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jc w:val="center"/>
      </w:pPr>
      <w:r>
        <w:rPr>
          <w:rFonts w:ascii="Arial" w:hAnsi="Arial" w:cs="Arial"/>
          <w:b w:val="0"/>
          <w:i w:val="0"/>
          <w:sz w:val="16"/>
        </w:rPr>
      </w:r>
    </w:p>
    <w:p>
      <w:pPr>
        <w:spacing w:before="0" w:after="80"/>
        <w:jc w:val="center"/>
      </w:pPr>
      <w:r>
        <w:rPr>
          <w:rFonts w:ascii="Arial" w:hAnsi="Arial" w:cs="Arial"/>
          <w:b/>
          <w:i w:val="0"/>
          <w:color w:val="1F3864"/>
          <w:sz w:val="60"/>
        </w:rPr>
        <w:t>SGTX PLATFORM</w:t>
      </w:r>
    </w:p>
    <w:p>
      <w:pPr>
        <w:spacing w:before="0" w:after="280"/>
        <w:jc w:val="center"/>
      </w:pPr>
      <w:r>
        <w:rPr>
          <w:rFonts w:ascii="Arial" w:hAnsi="Arial" w:cs="Arial"/>
          <w:b/>
          <w:i w:val="0"/>
          <w:color w:val="1F3864"/>
          <w:sz w:val="44"/>
        </w:rPr>
        <w:t>COMPLETE MASTER BLUEPRINT</w:t>
      </w:r>
    </w:p>
    <w:p>
      <w:pPr>
        <w:spacing w:before="0" w:after="120"/>
        <w:jc w:val="center"/>
      </w:pPr>
      <w:r>
        <w:rPr>
          <w:rFonts w:ascii="Arial" w:hAnsi="Arial" w:cs="Arial"/>
          <w:b w:val="0"/>
          <w:i w:val="0"/>
          <w:color w:val="2E528F"/>
          <w:sz w:val="30"/>
        </w:rPr>
        <w:t>Sovereign Governed Trade Execution Infrastructure</w:t>
      </w:r>
    </w:p>
    <w:p>
      <w:pPr>
        <w:spacing w:before="0" w:after="520"/>
        <w:jc w:val="center"/>
      </w:pPr>
      <w:r>
        <w:rPr>
          <w:rFonts w:ascii="Arial" w:hAnsi="Arial" w:cs="Arial"/>
          <w:b w:val="0"/>
          <w:i/>
          <w:color w:val="595959"/>
          <w:sz w:val="23"/>
        </w:rPr>
        <w:t>Direct Bank Settlement (ISO 20022 Native) — Dynamic Fee Engine — Non-Custodial</w:t>
      </w:r>
    </w:p>
    <w:p>
      <w:pPr>
        <w:spacing w:before="0" w:after="40"/>
        <w:jc w:val="center"/>
      </w:pPr>
      <w:r>
        <w:rPr>
          <w:rFonts w:ascii="Arial" w:hAnsi="Arial" w:cs="Arial"/>
          <w:b/>
          <w:i w:val="0"/>
          <w:sz w:val="28"/>
        </w:rPr>
        <w:t>Production Edition</w:t>
      </w:r>
    </w:p>
    <w:p>
      <w:pPr>
        <w:spacing w:before="0" w:after="40"/>
        <w:jc w:val="center"/>
      </w:pPr>
      <w:r>
        <w:rPr>
          <w:rFonts w:ascii="Arial" w:hAnsi="Arial" w:cs="Arial"/>
          <w:b w:val="0"/>
          <w:i w:val="0"/>
          <w:sz w:val="24"/>
        </w:rPr>
        <w:t>Version 18.0 — The Only Authoritative Source</w:t>
      </w:r>
    </w:p>
    <w:p>
      <w:pPr>
        <w:spacing w:before="0" w:after="40"/>
        <w:jc w:val="center"/>
      </w:pPr>
      <w:r>
        <w:rPr>
          <w:rFonts w:ascii="Arial" w:hAnsi="Arial" w:cs="Arial"/>
          <w:b w:val="0"/>
          <w:i w:val="0"/>
          <w:sz w:val="22"/>
        </w:rPr>
        <w:t>Document Date: 2026-09-09</w:t>
      </w:r>
    </w:p>
    <w:p>
      <w:pPr>
        <w:spacing w:before="0" w:after="40"/>
        <w:jc w:val="center"/>
      </w:pPr>
      <w:r>
        <w:rPr>
          <w:rFonts w:ascii="Arial" w:hAnsi="Arial" w:cs="Arial"/>
          <w:b w:val="0"/>
          <w:i w:val="0"/>
          <w:color w:val="595959"/>
          <w:sz w:val="20"/>
        </w:rPr>
        <w:t>Status: CANONICAL / PRODUCTION SPECIFICATION / SINGLE SOURCE OF TRUTH</w:t>
      </w:r>
    </w:p>
    <w:p>
      <w:pPr>
        <w:spacing w:before="0" w:after="520"/>
        <w:jc w:val="center"/>
      </w:pPr>
      <w:r>
        <w:rPr>
          <w:rFonts w:ascii="Arial" w:hAnsi="Arial" w:cs="Arial"/>
          <w:b w:val="0"/>
          <w:i w:val="0"/>
          <w:color w:val="595959"/>
          <w:sz w:val="20"/>
        </w:rPr>
        <w:t>Classification: Internal Technical Master Specification</w:t>
      </w:r>
    </w:p>
    <w:p>
      <w:pPr>
        <w:spacing w:before="0" w:after="40"/>
        <w:jc w:val="center"/>
      </w:pPr>
      <w:r>
        <w:rPr>
          <w:rFonts w:ascii="Arial" w:hAnsi="Arial" w:cs="Arial"/>
          <w:b w:val="0"/>
          <w:i w:val="0"/>
          <w:color w:val="2E528F"/>
          <w:sz w:val="20"/>
        </w:rPr>
        <w:t>Non-Custodial  |  Non-Marketplace  |  Governor-Governed  |  USTN-Centric  |  Jurisdiction-Aware  |  Direct Bank Settlement</w:t>
      </w:r>
    </w:p>
    <w:p>
      <w:pPr>
        <w:spacing w:before="0" w:after="0"/>
        <w:jc w:val="center"/>
      </w:pPr>
      <w:r>
        <w:rPr>
          <w:rFonts w:ascii="Arial" w:hAnsi="Arial" w:cs="Arial"/>
          <w:b w:val="0"/>
          <w:i w:val="0"/>
          <w:color w:val="595959"/>
          <w:sz w:val="20"/>
        </w:rPr>
        <w:t>Prepared by the Platform Governance Authority / COO Office</w:t>
      </w:r>
    </w:p>
    <w:p>
      <w:pPr>
        <w:sectPr>
          <w:pgSz w:w="11906" w:h="16838"/>
          <w:pgMar w:top="1417" w:right="1134" w:bottom="1247" w:left="1134" w:header="680" w:footer="567" w:gutter="0"/>
          <w:cols w:space="720"/>
          <w:docGrid w:linePitch="360"/>
        </w:sectPr>
      </w:pPr>
    </w:p>
    <w:p>
      <w:pPr>
        <w:keepNext/>
        <w:spacing w:before="360" w:after="160"/>
        <w:outlineLvl w:val="0"/>
      </w:pPr>
      <w:r>
        <w:rPr>
          <w:rFonts w:ascii="Arial" w:hAnsi="Arial" w:cs="Arial"/>
          <w:b/>
          <w:i w:val="0"/>
          <w:color w:val="1F3864"/>
          <w:sz w:val="32"/>
        </w:rPr>
        <w:t>Table of Contents</w:t>
      </w:r>
    </w:p>
    <w:p>
      <w:r>
        <w:fldChar w:fldCharType="begin"/>
        <w:instrText xml:space="preserve">TOC \o "1-3" \h \z \u</w:instrText>
        <w:fldChar w:fldCharType="separate"/>
        <w:t>1</w:t>
        <w:fldChar w:fldCharType="end"/>
      </w:r>
    </w:p>
    <w:p>
      <w:pPr>
        <w:jc w:val="left"/>
      </w:pPr>
      <w:r>
        <w:rPr>
          <w:rFonts w:ascii="Times New Roman" w:hAnsi="Times New Roman" w:cs="Times New Roman"/>
          <w:b w:val="0"/>
          <w:i/>
          <w:color w:val="595959"/>
          <w:sz w:val="18"/>
        </w:rPr>
        <w:t>Note: Open in Microsoft Word and allow field update (or press Ctrl+A, F9) to populate the table of contents and page numbers.</w:t>
      </w:r>
    </w:p>
    <w:p>
      <w:r>
        <w:br w:type="page"/>
      </w:r>
    </w:p>
    <w:p>
      <w:pPr>
        <w:keepNext/>
        <w:spacing w:before="360" w:after="160"/>
        <w:outlineLvl w:val="0"/>
      </w:pPr>
      <w:r>
        <w:rPr>
          <w:rFonts w:ascii="Arial" w:hAnsi="Arial" w:cs="Arial"/>
          <w:b/>
          <w:i w:val="0"/>
          <w:color w:val="1F3864"/>
          <w:sz w:val="32"/>
        </w:rPr>
        <w:t>1. Document Control</w:t>
      </w:r>
    </w:p>
    <w:p>
      <w:pPr>
        <w:spacing w:after="80" w:line="293" w:lineRule="auto"/>
        <w:jc w:val="left"/>
      </w:pPr>
      <w:r>
        <w:rPr>
          <w:rFonts w:ascii="Times New Roman" w:hAnsi="Times New Roman" w:cs="Times New Roman"/>
          <w:b w:val="0"/>
          <w:i w:val="0"/>
          <w:sz w:val="22"/>
        </w:rPr>
        <w:t>This document is the single authoritative source of truth for the SGTX platform. It consolidates the complete functional, constitutional, data, and API specification into one production-edition blueprint intended for distribution to all development teams. No other version of this blueprint is authorized for engineering use. Where any other document, ticket, diagram, or verbal instruction conflicts with this blueprint, this blueprint prevails unless a constitutional amendment has been processed through the amendment procedure defined in Section 3.6.</w:t>
      </w:r>
    </w:p>
    <w:p>
      <w:pPr>
        <w:spacing w:after="80" w:line="293" w:lineRule="auto"/>
        <w:jc w:val="left"/>
      </w:pPr>
      <w:r>
        <w:rPr>
          <w:rFonts w:ascii="Times New Roman" w:hAnsi="Times New Roman" w:cs="Times New Roman"/>
          <w:b w:val="0"/>
          <w:i w:val="0"/>
          <w:sz w:val="22"/>
        </w:rPr>
        <w:t>Document Control Block</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Field</w:t>
            </w:r>
          </w:p>
        </w:tc>
        <w:tc>
          <w:tcPr>
            <w:tcW w:type="dxa" w:w="4819"/>
            <w:shd w:val="clear" w:fill="D9E2F3"/>
          </w:tcPr>
          <w:p>
            <w:pPr>
              <w:spacing w:after="20" w:before="20" w:line="240" w:lineRule="auto"/>
            </w:pPr>
            <w:r/>
            <w:r>
              <w:rPr>
                <w:rFonts w:ascii="Arial" w:hAnsi="Arial" w:cs="Arial"/>
                <w:b/>
                <w:i w:val="0"/>
                <w:sz w:val="18"/>
              </w:rPr>
              <w:t>Value</w:t>
            </w:r>
          </w:p>
        </w:tc>
      </w:tr>
      <w:tr>
        <w:tc>
          <w:tcPr>
            <w:tcW w:type="dxa" w:w="4819"/>
          </w:tcPr>
          <w:p>
            <w:pPr>
              <w:spacing w:after="20" w:before="20" w:line="240" w:lineRule="auto"/>
            </w:pPr>
            <w:r/>
            <w:r>
              <w:rPr>
                <w:rFonts w:ascii="Arial" w:hAnsi="Arial" w:cs="Arial"/>
                <w:b w:val="0"/>
                <w:i w:val="0"/>
                <w:sz w:val="17"/>
              </w:rPr>
              <w:t>Document Title</w:t>
            </w:r>
          </w:p>
        </w:tc>
        <w:tc>
          <w:tcPr>
            <w:tcW w:type="dxa" w:w="4819"/>
          </w:tcPr>
          <w:p>
            <w:pPr>
              <w:spacing w:after="20" w:before="20" w:line="240" w:lineRule="auto"/>
            </w:pPr>
            <w:r/>
            <w:r>
              <w:rPr>
                <w:rFonts w:ascii="Arial" w:hAnsi="Arial" w:cs="Arial"/>
                <w:b w:val="0"/>
                <w:i w:val="0"/>
                <w:sz w:val="17"/>
              </w:rPr>
              <w:t>SGTX Platform — Complete Master Blueprint (Production Edition)</w:t>
            </w:r>
          </w:p>
        </w:tc>
      </w:tr>
      <w:tr>
        <w:tc>
          <w:tcPr>
            <w:tcW w:type="dxa" w:w="4819"/>
          </w:tcPr>
          <w:p>
            <w:pPr>
              <w:spacing w:after="20" w:before="20" w:line="240" w:lineRule="auto"/>
            </w:pPr>
            <w:r/>
            <w:r>
              <w:rPr>
                <w:rFonts w:ascii="Arial" w:hAnsi="Arial" w:cs="Arial"/>
                <w:b w:val="0"/>
                <w:i w:val="0"/>
                <w:sz w:val="17"/>
              </w:rPr>
              <w:t>Subtitle</w:t>
            </w:r>
          </w:p>
        </w:tc>
        <w:tc>
          <w:tcPr>
            <w:tcW w:type="dxa" w:w="4819"/>
          </w:tcPr>
          <w:p>
            <w:pPr>
              <w:spacing w:after="20" w:before="20" w:line="240" w:lineRule="auto"/>
            </w:pPr>
            <w:r/>
            <w:r>
              <w:rPr>
                <w:rFonts w:ascii="Arial" w:hAnsi="Arial" w:cs="Arial"/>
                <w:b w:val="0"/>
                <w:i w:val="0"/>
                <w:sz w:val="17"/>
              </w:rPr>
              <w:t>Sovereign Governed Trade Execution Infrastructure — Direct Bank Settlement (ISO 20022 Native)</w:t>
            </w:r>
          </w:p>
        </w:tc>
      </w:tr>
      <w:tr>
        <w:tc>
          <w:tcPr>
            <w:tcW w:type="dxa" w:w="4819"/>
          </w:tcPr>
          <w:p>
            <w:pPr>
              <w:spacing w:after="20" w:before="20" w:line="240" w:lineRule="auto"/>
            </w:pPr>
            <w:r/>
            <w:r>
              <w:rPr>
                <w:rFonts w:ascii="Arial" w:hAnsi="Arial" w:cs="Arial"/>
                <w:b w:val="0"/>
                <w:i w:val="0"/>
                <w:sz w:val="17"/>
              </w:rPr>
              <w:t>Version</w:t>
            </w:r>
          </w:p>
        </w:tc>
        <w:tc>
          <w:tcPr>
            <w:tcW w:type="dxa" w:w="4819"/>
          </w:tcPr>
          <w:p>
            <w:pPr>
              <w:spacing w:after="20" w:before="20" w:line="240" w:lineRule="auto"/>
            </w:pPr>
            <w:r/>
            <w:r>
              <w:rPr>
                <w:rFonts w:ascii="Arial" w:hAnsi="Arial" w:cs="Arial"/>
                <w:b w:val="0"/>
                <w:i w:val="0"/>
                <w:sz w:val="17"/>
              </w:rPr>
              <w:t>18.0 (Production Edition — Dynamic Fee Engine + Direct Bank Settlement)</w:t>
            </w:r>
          </w:p>
        </w:tc>
      </w:tr>
      <w:tr>
        <w:tc>
          <w:tcPr>
            <w:tcW w:type="dxa" w:w="4819"/>
          </w:tcPr>
          <w:p>
            <w:pPr>
              <w:spacing w:after="20" w:before="20" w:line="240" w:lineRule="auto"/>
            </w:pPr>
            <w:r/>
            <w:r>
              <w:rPr>
                <w:rFonts w:ascii="Arial" w:hAnsi="Arial" w:cs="Arial"/>
                <w:b w:val="0"/>
                <w:i w:val="0"/>
                <w:sz w:val="17"/>
              </w:rPr>
              <w:t>Status</w:t>
            </w:r>
          </w:p>
        </w:tc>
        <w:tc>
          <w:tcPr>
            <w:tcW w:type="dxa" w:w="4819"/>
          </w:tcPr>
          <w:p>
            <w:pPr>
              <w:spacing w:after="20" w:before="20" w:line="240" w:lineRule="auto"/>
            </w:pPr>
            <w:r/>
            <w:r>
              <w:rPr>
                <w:rFonts w:ascii="Arial" w:hAnsi="Arial" w:cs="Arial"/>
                <w:b w:val="0"/>
                <w:i w:val="0"/>
                <w:sz w:val="17"/>
              </w:rPr>
              <w:t>Sole Authoritative Source — Canonical / Complete / Dynamic Fee Engine / Direct Bank Settlement</w:t>
            </w:r>
          </w:p>
        </w:tc>
      </w:tr>
      <w:tr>
        <w:tc>
          <w:tcPr>
            <w:tcW w:type="dxa" w:w="4819"/>
          </w:tcPr>
          <w:p>
            <w:pPr>
              <w:spacing w:after="20" w:before="20" w:line="240" w:lineRule="auto"/>
            </w:pPr>
            <w:r/>
            <w:r>
              <w:rPr>
                <w:rFonts w:ascii="Arial" w:hAnsi="Arial" w:cs="Arial"/>
                <w:b w:val="0"/>
                <w:i w:val="0"/>
                <w:sz w:val="17"/>
              </w:rPr>
              <w:t>Document Date</w:t>
            </w:r>
          </w:p>
        </w:tc>
        <w:tc>
          <w:tcPr>
            <w:tcW w:type="dxa" w:w="4819"/>
          </w:tcPr>
          <w:p>
            <w:pPr>
              <w:spacing w:after="20" w:before="20" w:line="240" w:lineRule="auto"/>
            </w:pPr>
            <w:r/>
            <w:r>
              <w:rPr>
                <w:rFonts w:ascii="Arial" w:hAnsi="Arial" w:cs="Arial"/>
                <w:b w:val="0"/>
                <w:i w:val="0"/>
                <w:sz w:val="17"/>
              </w:rPr>
              <w:t>2026-09-09</w:t>
            </w:r>
          </w:p>
        </w:tc>
      </w:tr>
      <w:tr>
        <w:tc>
          <w:tcPr>
            <w:tcW w:type="dxa" w:w="4819"/>
          </w:tcPr>
          <w:p>
            <w:pPr>
              <w:spacing w:after="20" w:before="20" w:line="240" w:lineRule="auto"/>
            </w:pPr>
            <w:r/>
            <w:r>
              <w:rPr>
                <w:rFonts w:ascii="Arial" w:hAnsi="Arial" w:cs="Arial"/>
                <w:b w:val="0"/>
                <w:i w:val="0"/>
                <w:sz w:val="17"/>
              </w:rPr>
              <w:t>Classification</w:t>
            </w:r>
          </w:p>
        </w:tc>
        <w:tc>
          <w:tcPr>
            <w:tcW w:type="dxa" w:w="4819"/>
          </w:tcPr>
          <w:p>
            <w:pPr>
              <w:spacing w:after="20" w:before="20" w:line="240" w:lineRule="auto"/>
            </w:pPr>
            <w:r/>
            <w:r>
              <w:rPr>
                <w:rFonts w:ascii="Arial" w:hAnsi="Arial" w:cs="Arial"/>
                <w:b w:val="0"/>
                <w:i w:val="0"/>
                <w:sz w:val="17"/>
              </w:rPr>
              <w:t>Internal Technical Master Specification</w:t>
            </w:r>
          </w:p>
        </w:tc>
      </w:tr>
      <w:tr>
        <w:tc>
          <w:tcPr>
            <w:tcW w:type="dxa" w:w="4819"/>
          </w:tcPr>
          <w:p>
            <w:pPr>
              <w:spacing w:after="20" w:before="20" w:line="240" w:lineRule="auto"/>
            </w:pPr>
            <w:r/>
            <w:r>
              <w:rPr>
                <w:rFonts w:ascii="Arial" w:hAnsi="Arial" w:cs="Arial"/>
                <w:b w:val="0"/>
                <w:i w:val="0"/>
                <w:sz w:val="17"/>
              </w:rPr>
              <w:t>Audience</w:t>
            </w:r>
          </w:p>
        </w:tc>
        <w:tc>
          <w:tcPr>
            <w:tcW w:type="dxa" w:w="4819"/>
          </w:tcPr>
          <w:p>
            <w:pPr>
              <w:spacing w:after="20" w:before="20" w:line="240" w:lineRule="auto"/>
            </w:pPr>
            <w:r/>
            <w:r>
              <w:rPr>
                <w:rFonts w:ascii="Arial" w:hAnsi="Arial" w:cs="Arial"/>
                <w:b w:val="0"/>
                <w:i w:val="0"/>
                <w:sz w:val="17"/>
              </w:rPr>
              <w:t>SGTX engineering, QA, DevOps, security, data, and product teams</w:t>
            </w:r>
          </w:p>
        </w:tc>
      </w:tr>
      <w:tr>
        <w:tc>
          <w:tcPr>
            <w:tcW w:type="dxa" w:w="4819"/>
          </w:tcPr>
          <w:p>
            <w:pPr>
              <w:spacing w:after="20" w:before="20" w:line="240" w:lineRule="auto"/>
            </w:pPr>
            <w:r/>
            <w:r>
              <w:rPr>
                <w:rFonts w:ascii="Arial" w:hAnsi="Arial" w:cs="Arial"/>
                <w:b w:val="0"/>
                <w:i w:val="0"/>
                <w:sz w:val="17"/>
              </w:rPr>
              <w:t>Custodian</w:t>
            </w:r>
          </w:p>
        </w:tc>
        <w:tc>
          <w:tcPr>
            <w:tcW w:type="dxa" w:w="4819"/>
          </w:tcPr>
          <w:p>
            <w:pPr>
              <w:spacing w:after="20" w:before="20" w:line="240" w:lineRule="auto"/>
            </w:pPr>
            <w:r/>
            <w:r>
              <w:rPr>
                <w:rFonts w:ascii="Arial" w:hAnsi="Arial" w:cs="Arial"/>
                <w:b w:val="0"/>
                <w:i w:val="0"/>
                <w:sz w:val="17"/>
              </w:rPr>
              <w:t>Platform Governance Authority</w:t>
            </w:r>
          </w:p>
        </w:tc>
      </w:tr>
      <w:tr>
        <w:tc>
          <w:tcPr>
            <w:tcW w:type="dxa" w:w="4819"/>
          </w:tcPr>
          <w:p>
            <w:pPr>
              <w:spacing w:after="20" w:before="20" w:line="240" w:lineRule="auto"/>
            </w:pPr>
            <w:r/>
            <w:r>
              <w:rPr>
                <w:rFonts w:ascii="Arial" w:hAnsi="Arial" w:cs="Arial"/>
                <w:b w:val="0"/>
                <w:i w:val="0"/>
                <w:sz w:val="17"/>
              </w:rPr>
              <w:t>Layer System</w:t>
            </w:r>
          </w:p>
        </w:tc>
        <w:tc>
          <w:tcPr>
            <w:tcW w:type="dxa" w:w="4819"/>
          </w:tcPr>
          <w:p>
            <w:pPr>
              <w:spacing w:after="20" w:before="20" w:line="240" w:lineRule="auto"/>
            </w:pPr>
            <w:r/>
            <w:r>
              <w:rPr>
                <w:rFonts w:ascii="Arial" w:hAnsi="Arial" w:cs="Arial"/>
                <w:b w:val="0"/>
                <w:i w:val="0"/>
                <w:sz w:val="17"/>
              </w:rPr>
              <w:t>L0 (Constitution — immutable) / L1 (Architecture — versioned) / L2 (Implementation — testable)</w:t>
            </w:r>
          </w:p>
        </w:tc>
      </w:tr>
      <w:tr>
        <w:tc>
          <w:tcPr>
            <w:tcW w:type="dxa" w:w="4819"/>
          </w:tcPr>
          <w:p>
            <w:pPr>
              <w:spacing w:after="20" w:before="20" w:line="240" w:lineRule="auto"/>
            </w:pPr>
            <w:r/>
            <w:r>
              <w:rPr>
                <w:rFonts w:ascii="Arial" w:hAnsi="Arial" w:cs="Arial"/>
                <w:b w:val="0"/>
                <w:i w:val="0"/>
                <w:sz w:val="17"/>
              </w:rPr>
              <w:t>Amendment Path</w:t>
            </w:r>
          </w:p>
        </w:tc>
        <w:tc>
          <w:tcPr>
            <w:tcW w:type="dxa" w:w="4819"/>
          </w:tcPr>
          <w:p>
            <w:pPr>
              <w:spacing w:after="20" w:before="20" w:line="240" w:lineRule="auto"/>
            </w:pPr>
            <w:r/>
            <w:r>
              <w:rPr>
                <w:rFonts w:ascii="Arial" w:hAnsi="Arial" w:cs="Arial"/>
                <w:b w:val="0"/>
                <w:i w:val="0"/>
                <w:sz w:val="17"/>
              </w:rPr>
              <w:t>Layer 0 changes require 3-of-5 multisig and 30-day notice (Section 3.6)</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How to Read This Document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Layer</w:t>
            </w:r>
          </w:p>
        </w:tc>
        <w:tc>
          <w:tcPr>
            <w:tcW w:type="dxa" w:w="3213"/>
            <w:shd w:val="clear" w:fill="D9E2F3"/>
          </w:tcPr>
          <w:p>
            <w:pPr>
              <w:spacing w:after="20" w:before="20" w:line="240" w:lineRule="auto"/>
            </w:pPr>
            <w:r/>
            <w:r>
              <w:rPr>
                <w:rFonts w:ascii="Arial" w:hAnsi="Arial" w:cs="Arial"/>
                <w:b/>
                <w:i w:val="0"/>
                <w:sz w:val="18"/>
              </w:rPr>
              <w:t>Meaning</w:t>
            </w:r>
          </w:p>
        </w:tc>
        <w:tc>
          <w:tcPr>
            <w:tcW w:type="dxa" w:w="3213"/>
            <w:shd w:val="clear" w:fill="D9E2F3"/>
          </w:tcPr>
          <w:p>
            <w:pPr>
              <w:spacing w:after="20" w:before="20" w:line="240" w:lineRule="auto"/>
            </w:pPr>
            <w:r/>
            <w:r>
              <w:rPr>
                <w:rFonts w:ascii="Arial" w:hAnsi="Arial" w:cs="Arial"/>
                <w:b/>
                <w:i w:val="0"/>
                <w:sz w:val="18"/>
              </w:rPr>
              <w:t>Change Discipline</w:t>
            </w:r>
          </w:p>
        </w:tc>
      </w:tr>
      <w:tr>
        <w:tc>
          <w:tcPr>
            <w:tcW w:type="dxa" w:w="3213"/>
          </w:tcPr>
          <w:p>
            <w:pPr>
              <w:spacing w:after="20" w:before="20" w:line="240" w:lineRule="auto"/>
            </w:pPr>
            <w:r/>
            <w:r>
              <w:rPr>
                <w:rFonts w:ascii="Arial" w:hAnsi="Arial" w:cs="Arial"/>
                <w:b w:val="0"/>
                <w:i w:val="0"/>
                <w:sz w:val="17"/>
              </w:rPr>
              <w:t>L0 — Constitutional</w:t>
            </w:r>
          </w:p>
        </w:tc>
        <w:tc>
          <w:tcPr>
            <w:tcW w:type="dxa" w:w="3213"/>
          </w:tcPr>
          <w:p>
            <w:pPr>
              <w:spacing w:after="20" w:before="20" w:line="240" w:lineRule="auto"/>
            </w:pPr>
            <w:r/>
            <w:r>
              <w:rPr>
                <w:rFonts w:ascii="Arial" w:hAnsi="Arial" w:cs="Arial"/>
                <w:b w:val="0"/>
                <w:i w:val="0"/>
                <w:sz w:val="17"/>
              </w:rPr>
              <w:t>Immutable principles (Section 3). Every implementation decision must comply.</w:t>
            </w:r>
          </w:p>
        </w:tc>
        <w:tc>
          <w:tcPr>
            <w:tcW w:type="dxa" w:w="3213"/>
          </w:tcPr>
          <w:p>
            <w:pPr>
              <w:spacing w:after="20" w:before="20" w:line="240" w:lineRule="auto"/>
            </w:pPr>
            <w:r/>
            <w:r>
              <w:rPr>
                <w:rFonts w:ascii="Arial" w:hAnsi="Arial" w:cs="Arial"/>
                <w:b w:val="0"/>
                <w:i w:val="0"/>
                <w:sz w:val="17"/>
              </w:rPr>
              <w:t>3-of-5 multisig + 30-day notice only</w:t>
            </w:r>
          </w:p>
        </w:tc>
      </w:tr>
      <w:tr>
        <w:tc>
          <w:tcPr>
            <w:tcW w:type="dxa" w:w="3213"/>
          </w:tcPr>
          <w:p>
            <w:pPr>
              <w:spacing w:after="20" w:before="20" w:line="240" w:lineRule="auto"/>
            </w:pPr>
            <w:r/>
            <w:r>
              <w:rPr>
                <w:rFonts w:ascii="Arial" w:hAnsi="Arial" w:cs="Arial"/>
                <w:b w:val="0"/>
                <w:i w:val="0"/>
                <w:sz w:val="17"/>
              </w:rPr>
              <w:t>L1 — Architectural</w:t>
            </w:r>
          </w:p>
        </w:tc>
        <w:tc>
          <w:tcPr>
            <w:tcW w:type="dxa" w:w="3213"/>
          </w:tcPr>
          <w:p>
            <w:pPr>
              <w:spacing w:after="20" w:before="20" w:line="240" w:lineRule="auto"/>
            </w:pPr>
            <w:r/>
            <w:r>
              <w:rPr>
                <w:rFonts w:ascii="Arial" w:hAnsi="Arial" w:cs="Arial"/>
                <w:b w:val="0"/>
                <w:i w:val="0"/>
                <w:sz w:val="17"/>
              </w:rPr>
              <w:t>Normative workflow, domain, data, and API specifications (Sections 4–23).</w:t>
            </w:r>
          </w:p>
        </w:tc>
        <w:tc>
          <w:tcPr>
            <w:tcW w:type="dxa" w:w="3213"/>
          </w:tcPr>
          <w:p>
            <w:pPr>
              <w:spacing w:after="20" w:before="20" w:line="240" w:lineRule="auto"/>
            </w:pPr>
            <w:r/>
            <w:r>
              <w:rPr>
                <w:rFonts w:ascii="Arial" w:hAnsi="Arial" w:cs="Arial"/>
                <w:b w:val="0"/>
                <w:i w:val="0"/>
                <w:sz w:val="17"/>
              </w:rPr>
              <w:t>Versioned change control; changes must not violate L0</w:t>
            </w:r>
          </w:p>
        </w:tc>
      </w:tr>
      <w:tr>
        <w:tc>
          <w:tcPr>
            <w:tcW w:type="dxa" w:w="3213"/>
          </w:tcPr>
          <w:p>
            <w:pPr>
              <w:spacing w:after="20" w:before="20" w:line="240" w:lineRule="auto"/>
            </w:pPr>
            <w:r/>
            <w:r>
              <w:rPr>
                <w:rFonts w:ascii="Arial" w:hAnsi="Arial" w:cs="Arial"/>
                <w:b w:val="0"/>
                <w:i w:val="0"/>
                <w:sz w:val="17"/>
              </w:rPr>
              <w:t>L2 — Implementation</w:t>
            </w:r>
          </w:p>
        </w:tc>
        <w:tc>
          <w:tcPr>
            <w:tcW w:type="dxa" w:w="3213"/>
          </w:tcPr>
          <w:p>
            <w:pPr>
              <w:spacing w:after="20" w:before="20" w:line="240" w:lineRule="auto"/>
            </w:pPr>
            <w:r/>
            <w:r>
              <w:rPr>
                <w:rFonts w:ascii="Arial" w:hAnsi="Arial" w:cs="Arial"/>
                <w:b w:val="0"/>
                <w:i w:val="0"/>
                <w:sz w:val="17"/>
              </w:rPr>
              <w:t>Testable engineering detail: schemas, endpoints, gates, checklists.</w:t>
            </w:r>
          </w:p>
        </w:tc>
        <w:tc>
          <w:tcPr>
            <w:tcW w:type="dxa" w:w="3213"/>
          </w:tcPr>
          <w:p>
            <w:pPr>
              <w:spacing w:after="20" w:before="20" w:line="240" w:lineRule="auto"/>
            </w:pPr>
            <w:r/>
            <w:r>
              <w:rPr>
                <w:rFonts w:ascii="Arial" w:hAnsi="Arial" w:cs="Arial"/>
                <w:b w:val="0"/>
                <w:i w:val="0"/>
                <w:sz w:val="17"/>
              </w:rPr>
              <w:t>Standard engineering review; conformance tests required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Document Map</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w:t>
            </w:r>
          </w:p>
        </w:tc>
        <w:tc>
          <w:tcPr>
            <w:tcW w:type="dxa" w:w="2409"/>
            <w:shd w:val="clear" w:fill="D9E2F3"/>
          </w:tcPr>
          <w:p>
            <w:pPr>
              <w:spacing w:after="20" w:before="20" w:line="240" w:lineRule="auto"/>
            </w:pPr>
            <w:r/>
            <w:r>
              <w:rPr>
                <w:rFonts w:ascii="Arial" w:hAnsi="Arial" w:cs="Arial"/>
                <w:b/>
                <w:i w:val="0"/>
                <w:sz w:val="18"/>
              </w:rPr>
              <w:t>Section</w:t>
            </w:r>
          </w:p>
        </w:tc>
        <w:tc>
          <w:tcPr>
            <w:tcW w:type="dxa" w:w="2409"/>
            <w:shd w:val="clear" w:fill="D9E2F3"/>
          </w:tcPr>
          <w:p>
            <w:pPr>
              <w:spacing w:after="20" w:before="20" w:line="240" w:lineRule="auto"/>
            </w:pPr>
            <w:r/>
            <w:r>
              <w:rPr>
                <w:rFonts w:ascii="Arial" w:hAnsi="Arial" w:cs="Arial"/>
                <w:b/>
                <w:i w:val="0"/>
                <w:sz w:val="18"/>
              </w:rPr>
              <w:t>#</w:t>
            </w:r>
          </w:p>
        </w:tc>
        <w:tc>
          <w:tcPr>
            <w:tcW w:type="dxa" w:w="2409"/>
            <w:shd w:val="clear" w:fill="D9E2F3"/>
          </w:tcPr>
          <w:p>
            <w:pPr>
              <w:spacing w:after="20" w:before="20" w:line="240" w:lineRule="auto"/>
            </w:pPr>
            <w:r/>
            <w:r>
              <w:rPr>
                <w:rFonts w:ascii="Arial" w:hAnsi="Arial" w:cs="Arial"/>
                <w:b/>
                <w:i w:val="0"/>
                <w:sz w:val="18"/>
              </w:rPr>
              <w:t>Section</w:t>
            </w:r>
          </w:p>
        </w:tc>
      </w:tr>
      <w:tr>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Document Control</w:t>
            </w:r>
          </w:p>
        </w:tc>
        <w:tc>
          <w:tcPr>
            <w:tcW w:type="dxa" w:w="2409"/>
          </w:tcPr>
          <w:p>
            <w:pPr>
              <w:spacing w:after="20" w:before="20" w:line="240" w:lineRule="auto"/>
            </w:pPr>
            <w:r/>
            <w:r>
              <w:rPr>
                <w:rFonts w:ascii="Arial" w:hAnsi="Arial" w:cs="Arial"/>
                <w:b w:val="0"/>
                <w:i w:val="0"/>
                <w:sz w:val="17"/>
              </w:rPr>
              <w:t>13</w:t>
            </w:r>
          </w:p>
        </w:tc>
        <w:tc>
          <w:tcPr>
            <w:tcW w:type="dxa" w:w="2409"/>
          </w:tcPr>
          <w:p>
            <w:pPr>
              <w:spacing w:after="20" w:before="20" w:line="240" w:lineRule="auto"/>
            </w:pPr>
            <w:r/>
            <w:r>
              <w:rPr>
                <w:rFonts w:ascii="Arial" w:hAnsi="Arial" w:cs="Arial"/>
                <w:b w:val="0"/>
                <w:i w:val="0"/>
                <w:sz w:val="17"/>
              </w:rPr>
              <w:t>Settlement &amp; Payment Orchestration — Phase 6</w:t>
            </w:r>
          </w:p>
        </w:tc>
      </w:tr>
      <w:tr>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Executive Summary &amp; Platform Identity</w:t>
            </w:r>
          </w:p>
        </w:tc>
        <w:tc>
          <w:tcPr>
            <w:tcW w:type="dxa" w:w="2409"/>
          </w:tcPr>
          <w:p>
            <w:pPr>
              <w:spacing w:after="20" w:before="20" w:line="240" w:lineRule="auto"/>
            </w:pPr>
            <w:r/>
            <w:r>
              <w:rPr>
                <w:rFonts w:ascii="Arial" w:hAnsi="Arial" w:cs="Arial"/>
                <w:b w:val="0"/>
                <w:i w:val="0"/>
                <w:sz w:val="17"/>
              </w:rPr>
              <w:t>14</w:t>
            </w:r>
          </w:p>
        </w:tc>
        <w:tc>
          <w:tcPr>
            <w:tcW w:type="dxa" w:w="2409"/>
          </w:tcPr>
          <w:p>
            <w:pPr>
              <w:spacing w:after="20" w:before="20" w:line="240" w:lineRule="auto"/>
            </w:pPr>
            <w:r/>
            <w:r>
              <w:rPr>
                <w:rFonts w:ascii="Arial" w:hAnsi="Arial" w:cs="Arial"/>
                <w:b w:val="0"/>
                <w:i w:val="0"/>
                <w:sz w:val="17"/>
              </w:rPr>
              <w:t>Post-Trade: Distressed Cargo, Disputes &amp; Reconciliation — Phases 7–8</w:t>
            </w:r>
          </w:p>
        </w:tc>
      </w:tr>
      <w:tr>
        <w:tc>
          <w:tcPr>
            <w:tcW w:type="dxa" w:w="2409"/>
          </w:tcPr>
          <w:p>
            <w:pPr>
              <w:spacing w:after="20" w:before="20" w:line="240" w:lineRule="auto"/>
            </w:pPr>
            <w:r/>
            <w:r>
              <w:rPr>
                <w:rFonts w:ascii="Arial" w:hAnsi="Arial" w:cs="Arial"/>
                <w:b w:val="0"/>
                <w:i w:val="0"/>
                <w:sz w:val="17"/>
              </w:rPr>
              <w:t>3</w:t>
            </w:r>
          </w:p>
        </w:tc>
        <w:tc>
          <w:tcPr>
            <w:tcW w:type="dxa" w:w="2409"/>
          </w:tcPr>
          <w:p>
            <w:pPr>
              <w:spacing w:after="20" w:before="20" w:line="240" w:lineRule="auto"/>
            </w:pPr>
            <w:r/>
            <w:r>
              <w:rPr>
                <w:rFonts w:ascii="Arial" w:hAnsi="Arial" w:cs="Arial"/>
                <w:b w:val="0"/>
                <w:i w:val="0"/>
                <w:sz w:val="17"/>
              </w:rPr>
              <w:t>Constitutional Foundation (Layer 0 — Immutable)</w:t>
            </w:r>
          </w:p>
        </w:tc>
        <w:tc>
          <w:tcPr>
            <w:tcW w:type="dxa" w:w="2409"/>
          </w:tcPr>
          <w:p>
            <w:pPr>
              <w:spacing w:after="20" w:before="20" w:line="240" w:lineRule="auto"/>
            </w:pPr>
            <w:r/>
            <w:r>
              <w:rPr>
                <w:rFonts w:ascii="Arial" w:hAnsi="Arial" w:cs="Arial"/>
                <w:b w:val="0"/>
                <w:i w:val="0"/>
                <w:sz w:val="17"/>
              </w:rPr>
              <w:t>15</w:t>
            </w:r>
          </w:p>
        </w:tc>
        <w:tc>
          <w:tcPr>
            <w:tcW w:type="dxa" w:w="2409"/>
          </w:tcPr>
          <w:p>
            <w:pPr>
              <w:spacing w:after="20" w:before="20" w:line="240" w:lineRule="auto"/>
            </w:pPr>
            <w:r/>
            <w:r>
              <w:rPr>
                <w:rFonts w:ascii="Arial" w:hAnsi="Arial" w:cs="Arial"/>
                <w:b w:val="0"/>
                <w:i w:val="0"/>
                <w:sz w:val="17"/>
              </w:rPr>
              <w:t>Governor Gates &amp; Constitutional Enforcement — Complete Matrix</w:t>
            </w:r>
          </w:p>
        </w:tc>
      </w:tr>
      <w:tr>
        <w:tc>
          <w:tcPr>
            <w:tcW w:type="dxa" w:w="2409"/>
          </w:tcPr>
          <w:p>
            <w:pPr>
              <w:spacing w:after="20" w:before="20" w:line="240" w:lineRule="auto"/>
            </w:pPr>
            <w:r/>
            <w:r>
              <w:rPr>
                <w:rFonts w:ascii="Arial" w:hAnsi="Arial" w:cs="Arial"/>
                <w:b w:val="0"/>
                <w:i w:val="0"/>
                <w:sz w:val="17"/>
              </w:rPr>
              <w:t>4</w:t>
            </w:r>
          </w:p>
        </w:tc>
        <w:tc>
          <w:tcPr>
            <w:tcW w:type="dxa" w:w="2409"/>
          </w:tcPr>
          <w:p>
            <w:pPr>
              <w:spacing w:after="20" w:before="20" w:line="240" w:lineRule="auto"/>
            </w:pPr>
            <w:r/>
            <w:r>
              <w:rPr>
                <w:rFonts w:ascii="Arial" w:hAnsi="Arial" w:cs="Arial"/>
                <w:b w:val="0"/>
                <w:i w:val="0"/>
                <w:sz w:val="17"/>
              </w:rPr>
              <w:t>Identity, Tenancy &amp; Access Architecture</w:t>
            </w:r>
          </w:p>
        </w:tc>
        <w:tc>
          <w:tcPr>
            <w:tcW w:type="dxa" w:w="2409"/>
          </w:tcPr>
          <w:p>
            <w:pPr>
              <w:spacing w:after="20" w:before="20" w:line="240" w:lineRule="auto"/>
            </w:pPr>
            <w:r/>
            <w:r>
              <w:rPr>
                <w:rFonts w:ascii="Arial" w:hAnsi="Arial" w:cs="Arial"/>
                <w:b w:val="0"/>
                <w:i w:val="0"/>
                <w:sz w:val="17"/>
              </w:rPr>
              <w:t>16</w:t>
            </w:r>
          </w:p>
        </w:tc>
        <w:tc>
          <w:tcPr>
            <w:tcW w:type="dxa" w:w="2409"/>
          </w:tcPr>
          <w:p>
            <w:pPr>
              <w:spacing w:after="20" w:before="20" w:line="240" w:lineRule="auto"/>
            </w:pPr>
            <w:r/>
            <w:r>
              <w:rPr>
                <w:rFonts w:ascii="Arial" w:hAnsi="Arial" w:cs="Arial"/>
                <w:b w:val="0"/>
                <w:i w:val="0"/>
                <w:sz w:val="17"/>
              </w:rPr>
              <w:t>Portal Architecture &amp; Universal Command Center</w:t>
            </w:r>
          </w:p>
        </w:tc>
      </w:tr>
      <w:tr>
        <w:tc>
          <w:tcPr>
            <w:tcW w:type="dxa" w:w="2409"/>
          </w:tcPr>
          <w:p>
            <w:pPr>
              <w:spacing w:after="20" w:before="20" w:line="240" w:lineRule="auto"/>
            </w:pPr>
            <w:r/>
            <w:r>
              <w:rPr>
                <w:rFonts w:ascii="Arial" w:hAnsi="Arial" w:cs="Arial"/>
                <w:b w:val="0"/>
                <w:i w:val="0"/>
                <w:sz w:val="17"/>
              </w:rPr>
              <w:t>5</w:t>
            </w:r>
          </w:p>
        </w:tc>
        <w:tc>
          <w:tcPr>
            <w:tcW w:type="dxa" w:w="2409"/>
          </w:tcPr>
          <w:p>
            <w:pPr>
              <w:spacing w:after="20" w:before="20" w:line="240" w:lineRule="auto"/>
            </w:pPr>
            <w:r/>
            <w:r>
              <w:rPr>
                <w:rFonts w:ascii="Arial" w:hAnsi="Arial" w:cs="Arial"/>
                <w:b w:val="0"/>
                <w:i w:val="0"/>
                <w:sz w:val="17"/>
              </w:rPr>
              <w:t>USTN — Canonical Trade Namespace</w:t>
            </w:r>
          </w:p>
        </w:tc>
        <w:tc>
          <w:tcPr>
            <w:tcW w:type="dxa" w:w="2409"/>
          </w:tcPr>
          <w:p>
            <w:pPr>
              <w:spacing w:after="20" w:before="20" w:line="240" w:lineRule="auto"/>
            </w:pPr>
            <w:r/>
            <w:r>
              <w:rPr>
                <w:rFonts w:ascii="Arial" w:hAnsi="Arial" w:cs="Arial"/>
                <w:b w:val="0"/>
                <w:i w:val="0"/>
                <w:sz w:val="17"/>
              </w:rPr>
              <w:t>17</w:t>
            </w:r>
          </w:p>
        </w:tc>
        <w:tc>
          <w:tcPr>
            <w:tcW w:type="dxa" w:w="2409"/>
          </w:tcPr>
          <w:p>
            <w:pPr>
              <w:spacing w:after="20" w:before="20" w:line="240" w:lineRule="auto"/>
            </w:pPr>
            <w:r/>
            <w:r>
              <w:rPr>
                <w:rFonts w:ascii="Arial" w:hAnsi="Arial" w:cs="Arial"/>
                <w:b w:val="0"/>
                <w:i w:val="0"/>
                <w:sz w:val="17"/>
              </w:rPr>
              <w:t>Complete Data Model — PostgreSQL Schema</w:t>
            </w:r>
          </w:p>
        </w:tc>
      </w:tr>
      <w:tr>
        <w:tc>
          <w:tcPr>
            <w:tcW w:type="dxa" w:w="2409"/>
          </w:tcPr>
          <w:p>
            <w:pPr>
              <w:spacing w:after="20" w:before="20" w:line="240" w:lineRule="auto"/>
            </w:pPr>
            <w:r/>
            <w:r>
              <w:rPr>
                <w:rFonts w:ascii="Arial" w:hAnsi="Arial" w:cs="Arial"/>
                <w:b w:val="0"/>
                <w:i w:val="0"/>
                <w:sz w:val="17"/>
              </w:rPr>
              <w:t>6</w:t>
            </w:r>
          </w:p>
        </w:tc>
        <w:tc>
          <w:tcPr>
            <w:tcW w:type="dxa" w:w="2409"/>
          </w:tcPr>
          <w:p>
            <w:pPr>
              <w:spacing w:after="20" w:before="20" w:line="240" w:lineRule="auto"/>
            </w:pPr>
            <w:r/>
            <w:r>
              <w:rPr>
                <w:rFonts w:ascii="Arial" w:hAnsi="Arial" w:cs="Arial"/>
                <w:b w:val="0"/>
                <w:i w:val="0"/>
                <w:sz w:val="17"/>
              </w:rPr>
              <w:t>Buyer Workflow — Phase 1 (Trade Initiation)</w:t>
            </w:r>
          </w:p>
        </w:tc>
        <w:tc>
          <w:tcPr>
            <w:tcW w:type="dxa" w:w="2409"/>
          </w:tcPr>
          <w:p>
            <w:pPr>
              <w:spacing w:after="20" w:before="20" w:line="240" w:lineRule="auto"/>
            </w:pPr>
            <w:r/>
            <w:r>
              <w:rPr>
                <w:rFonts w:ascii="Arial" w:hAnsi="Arial" w:cs="Arial"/>
                <w:b w:val="0"/>
                <w:i w:val="0"/>
                <w:sz w:val="17"/>
              </w:rPr>
              <w:t>18</w:t>
            </w:r>
          </w:p>
        </w:tc>
        <w:tc>
          <w:tcPr>
            <w:tcW w:type="dxa" w:w="2409"/>
          </w:tcPr>
          <w:p>
            <w:pPr>
              <w:spacing w:after="20" w:before="20" w:line="240" w:lineRule="auto"/>
            </w:pPr>
            <w:r/>
            <w:r>
              <w:rPr>
                <w:rFonts w:ascii="Arial" w:hAnsi="Arial" w:cs="Arial"/>
                <w:b w:val="0"/>
                <w:i w:val="0"/>
                <w:sz w:val="17"/>
              </w:rPr>
              <w:t>API Endpoint Index</w:t>
            </w:r>
          </w:p>
        </w:tc>
      </w:tr>
      <w:tr>
        <w:tc>
          <w:tcPr>
            <w:tcW w:type="dxa" w:w="2409"/>
          </w:tcPr>
          <w:p>
            <w:pPr>
              <w:spacing w:after="20" w:before="20" w:line="240" w:lineRule="auto"/>
            </w:pPr>
            <w:r/>
            <w:r>
              <w:rPr>
                <w:rFonts w:ascii="Arial" w:hAnsi="Arial" w:cs="Arial"/>
                <w:b w:val="0"/>
                <w:i w:val="0"/>
                <w:sz w:val="17"/>
              </w:rPr>
              <w:t>7</w:t>
            </w:r>
          </w:p>
        </w:tc>
        <w:tc>
          <w:tcPr>
            <w:tcW w:type="dxa" w:w="2409"/>
          </w:tcPr>
          <w:p>
            <w:pPr>
              <w:spacing w:after="20" w:before="20" w:line="240" w:lineRule="auto"/>
            </w:pPr>
            <w:r/>
            <w:r>
              <w:rPr>
                <w:rFonts w:ascii="Arial" w:hAnsi="Arial" w:cs="Arial"/>
                <w:b w:val="0"/>
                <w:i w:val="0"/>
                <w:sz w:val="17"/>
              </w:rPr>
              <w:t>Financing Pre-Clearance (CFR)</w:t>
            </w:r>
          </w:p>
        </w:tc>
        <w:tc>
          <w:tcPr>
            <w:tcW w:type="dxa" w:w="2409"/>
          </w:tcPr>
          <w:p>
            <w:pPr>
              <w:spacing w:after="20" w:before="20" w:line="240" w:lineRule="auto"/>
            </w:pPr>
            <w:r/>
            <w:r>
              <w:rPr>
                <w:rFonts w:ascii="Arial" w:hAnsi="Arial" w:cs="Arial"/>
                <w:b w:val="0"/>
                <w:i w:val="0"/>
                <w:sz w:val="17"/>
              </w:rPr>
              <w:t>19</w:t>
            </w:r>
          </w:p>
        </w:tc>
        <w:tc>
          <w:tcPr>
            <w:tcW w:type="dxa" w:w="2409"/>
          </w:tcPr>
          <w:p>
            <w:pPr>
              <w:spacing w:after="20" w:before="20" w:line="240" w:lineRule="auto"/>
            </w:pPr>
            <w:r/>
            <w:r>
              <w:rPr>
                <w:rFonts w:ascii="Arial" w:hAnsi="Arial" w:cs="Arial"/>
                <w:b w:val="0"/>
                <w:i w:val="0"/>
                <w:sz w:val="17"/>
              </w:rPr>
              <w:t>Canonical Transaction State &amp; Settlement Architecture</w:t>
            </w:r>
          </w:p>
        </w:tc>
      </w:tr>
      <w:tr>
        <w:tc>
          <w:tcPr>
            <w:tcW w:type="dxa" w:w="2409"/>
          </w:tcPr>
          <w:p>
            <w:pPr>
              <w:spacing w:after="20" w:before="20" w:line="240" w:lineRule="auto"/>
            </w:pPr>
            <w:r/>
            <w:r>
              <w:rPr>
                <w:rFonts w:ascii="Arial" w:hAnsi="Arial" w:cs="Arial"/>
                <w:b w:val="0"/>
                <w:i w:val="0"/>
                <w:sz w:val="17"/>
              </w:rPr>
              <w:t>8</w:t>
            </w:r>
          </w:p>
        </w:tc>
        <w:tc>
          <w:tcPr>
            <w:tcW w:type="dxa" w:w="2409"/>
          </w:tcPr>
          <w:p>
            <w:pPr>
              <w:spacing w:after="20" w:before="20" w:line="240" w:lineRule="auto"/>
            </w:pPr>
            <w:r/>
            <w:r>
              <w:rPr>
                <w:rFonts w:ascii="Arial" w:hAnsi="Arial" w:cs="Arial"/>
                <w:b w:val="0"/>
                <w:i w:val="0"/>
                <w:sz w:val="17"/>
              </w:rPr>
              <w:t>Seller Workflow — Phase 2 (Quote, Packing &amp; Logistics)</w:t>
            </w:r>
          </w:p>
        </w:tc>
        <w:tc>
          <w:tcPr>
            <w:tcW w:type="dxa" w:w="2409"/>
          </w:tcPr>
          <w:p>
            <w:pPr>
              <w:spacing w:after="20" w:before="20" w:line="240" w:lineRule="auto"/>
            </w:pPr>
            <w:r/>
            <w:r>
              <w:rPr>
                <w:rFonts w:ascii="Arial" w:hAnsi="Arial" w:cs="Arial"/>
                <w:b w:val="0"/>
                <w:i w:val="0"/>
                <w:sz w:val="17"/>
              </w:rPr>
              <w:t>20</w:t>
            </w:r>
          </w:p>
        </w:tc>
        <w:tc>
          <w:tcPr>
            <w:tcW w:type="dxa" w:w="2409"/>
          </w:tcPr>
          <w:p>
            <w:pPr>
              <w:spacing w:after="20" w:before="20" w:line="240" w:lineRule="auto"/>
            </w:pPr>
            <w:r/>
            <w:r>
              <w:rPr>
                <w:rFonts w:ascii="Arial" w:hAnsi="Arial" w:cs="Arial"/>
                <w:b w:val="0"/>
                <w:i w:val="0"/>
                <w:sz w:val="17"/>
              </w:rPr>
              <w:t>Global Trade Graph, Jurisdiction Fabric &amp; Transport Engines</w:t>
            </w:r>
          </w:p>
        </w:tc>
      </w:tr>
      <w:tr>
        <w:tc>
          <w:tcPr>
            <w:tcW w:type="dxa" w:w="2409"/>
          </w:tcPr>
          <w:p>
            <w:pPr>
              <w:spacing w:after="20" w:before="20" w:line="240" w:lineRule="auto"/>
            </w:pPr>
            <w:r/>
            <w:r>
              <w:rPr>
                <w:rFonts w:ascii="Arial" w:hAnsi="Arial" w:cs="Arial"/>
                <w:b w:val="0"/>
                <w:i w:val="0"/>
                <w:sz w:val="17"/>
              </w:rPr>
              <w:t>9</w:t>
            </w:r>
          </w:p>
        </w:tc>
        <w:tc>
          <w:tcPr>
            <w:tcW w:type="dxa" w:w="2409"/>
          </w:tcPr>
          <w:p>
            <w:pPr>
              <w:spacing w:after="20" w:before="20" w:line="240" w:lineRule="auto"/>
            </w:pPr>
            <w:r/>
            <w:r>
              <w:rPr>
                <w:rFonts w:ascii="Arial" w:hAnsi="Arial" w:cs="Arial"/>
                <w:b w:val="0"/>
                <w:i w:val="0"/>
                <w:sz w:val="17"/>
              </w:rPr>
              <w:t>Negotiation, Contracting, Fees, Signing &amp; Lock — Phase 3</w:t>
            </w:r>
          </w:p>
        </w:tc>
        <w:tc>
          <w:tcPr>
            <w:tcW w:type="dxa" w:w="2409"/>
          </w:tcPr>
          <w:p>
            <w:pPr>
              <w:spacing w:after="20" w:before="20" w:line="240" w:lineRule="auto"/>
            </w:pPr>
            <w:r/>
            <w:r>
              <w:rPr>
                <w:rFonts w:ascii="Arial" w:hAnsi="Arial" w:cs="Arial"/>
                <w:b w:val="0"/>
                <w:i w:val="0"/>
                <w:sz w:val="17"/>
              </w:rPr>
              <w:t>21</w:t>
            </w:r>
          </w:p>
        </w:tc>
        <w:tc>
          <w:tcPr>
            <w:tcW w:type="dxa" w:w="2409"/>
          </w:tcPr>
          <w:p>
            <w:pPr>
              <w:spacing w:after="20" w:before="20" w:line="240" w:lineRule="auto"/>
            </w:pPr>
            <w:r/>
            <w:r>
              <w:rPr>
                <w:rFonts w:ascii="Arial" w:hAnsi="Arial" w:cs="Arial"/>
                <w:b w:val="0"/>
                <w:i w:val="0"/>
                <w:sz w:val="17"/>
              </w:rPr>
              <w:t>Platform Guarantees: Security, Availability &amp; Privacy</w:t>
            </w:r>
          </w:p>
        </w:tc>
      </w:tr>
      <w:tr>
        <w:tc>
          <w:tcPr>
            <w:tcW w:type="dxa" w:w="2409"/>
          </w:tcPr>
          <w:p>
            <w:pPr>
              <w:spacing w:after="20" w:before="20" w:line="240" w:lineRule="auto"/>
            </w:pPr>
            <w:r/>
            <w:r>
              <w:rPr>
                <w:rFonts w:ascii="Arial" w:hAnsi="Arial" w:cs="Arial"/>
                <w:b w:val="0"/>
                <w:i w:val="0"/>
                <w:sz w:val="17"/>
              </w:rPr>
              <w:t>10</w:t>
            </w:r>
          </w:p>
        </w:tc>
        <w:tc>
          <w:tcPr>
            <w:tcW w:type="dxa" w:w="2409"/>
          </w:tcPr>
          <w:p>
            <w:pPr>
              <w:spacing w:after="20" w:before="20" w:line="240" w:lineRule="auto"/>
            </w:pPr>
            <w:r/>
            <w:r>
              <w:rPr>
                <w:rFonts w:ascii="Arial" w:hAnsi="Arial" w:cs="Arial"/>
                <w:b w:val="0"/>
                <w:i w:val="0"/>
                <w:sz w:val="17"/>
              </w:rPr>
              <w:t>Formal Trade Finance Execution — Phase 4</w:t>
            </w:r>
          </w:p>
        </w:tc>
        <w:tc>
          <w:tcPr>
            <w:tcW w:type="dxa" w:w="2409"/>
          </w:tcPr>
          <w:p>
            <w:pPr>
              <w:spacing w:after="20" w:before="20" w:line="240" w:lineRule="auto"/>
            </w:pPr>
            <w:r/>
            <w:r>
              <w:rPr>
                <w:rFonts w:ascii="Arial" w:hAnsi="Arial" w:cs="Arial"/>
                <w:b w:val="0"/>
                <w:i w:val="0"/>
                <w:sz w:val="17"/>
              </w:rPr>
              <w:t>22</w:t>
            </w:r>
          </w:p>
        </w:tc>
        <w:tc>
          <w:tcPr>
            <w:tcW w:type="dxa" w:w="2409"/>
          </w:tcPr>
          <w:p>
            <w:pPr>
              <w:spacing w:after="20" w:before="20" w:line="240" w:lineRule="auto"/>
            </w:pPr>
            <w:r/>
            <w:r>
              <w:rPr>
                <w:rFonts w:ascii="Arial" w:hAnsi="Arial" w:cs="Arial"/>
                <w:b w:val="0"/>
                <w:i w:val="0"/>
                <w:sz w:val="17"/>
              </w:rPr>
              <w:t>Platform Add-Ons &amp; Extended Capabilities</w:t>
            </w:r>
          </w:p>
        </w:tc>
      </w:tr>
      <w:tr>
        <w:tc>
          <w:tcPr>
            <w:tcW w:type="dxa" w:w="2409"/>
          </w:tcPr>
          <w:p>
            <w:pPr>
              <w:spacing w:after="20" w:before="20" w:line="240" w:lineRule="auto"/>
            </w:pPr>
            <w:r/>
            <w:r>
              <w:rPr>
                <w:rFonts w:ascii="Arial" w:hAnsi="Arial" w:cs="Arial"/>
                <w:b w:val="0"/>
                <w:i w:val="0"/>
                <w:sz w:val="17"/>
              </w:rPr>
              <w:t>11</w:t>
            </w:r>
          </w:p>
        </w:tc>
        <w:tc>
          <w:tcPr>
            <w:tcW w:type="dxa" w:w="2409"/>
          </w:tcPr>
          <w:p>
            <w:pPr>
              <w:spacing w:after="20" w:before="20" w:line="240" w:lineRule="auto"/>
            </w:pPr>
            <w:r/>
            <w:r>
              <w:rPr>
                <w:rFonts w:ascii="Arial" w:hAnsi="Arial" w:cs="Arial"/>
                <w:b w:val="0"/>
                <w:i w:val="0"/>
                <w:sz w:val="17"/>
              </w:rPr>
              <w:t>Service Provider Capability Model (Unified Portal Architecture)</w:t>
            </w:r>
          </w:p>
        </w:tc>
        <w:tc>
          <w:tcPr>
            <w:tcW w:type="dxa" w:w="2409"/>
          </w:tcPr>
          <w:p>
            <w:pPr>
              <w:spacing w:after="20" w:before="20" w:line="240" w:lineRule="auto"/>
            </w:pPr>
            <w:r/>
            <w:r>
              <w:rPr>
                <w:rFonts w:ascii="Arial" w:hAnsi="Arial" w:cs="Arial"/>
                <w:b w:val="0"/>
                <w:i w:val="0"/>
                <w:sz w:val="17"/>
              </w:rPr>
              <w:t>23</w:t>
            </w:r>
          </w:p>
        </w:tc>
        <w:tc>
          <w:tcPr>
            <w:tcW w:type="dxa" w:w="2409"/>
          </w:tcPr>
          <w:p>
            <w:pPr>
              <w:spacing w:after="20" w:before="20" w:line="240" w:lineRule="auto"/>
            </w:pPr>
            <w:r/>
            <w:r>
              <w:rPr>
                <w:rFonts w:ascii="Arial" w:hAnsi="Arial" w:cs="Arial"/>
                <w:b w:val="0"/>
                <w:i w:val="0"/>
                <w:sz w:val="17"/>
              </w:rPr>
              <w:t>Network Effects, Trade Corridor Network, Barcodes &amp; Workflow Examples</w:t>
            </w:r>
          </w:p>
        </w:tc>
      </w:tr>
      <w:tr>
        <w:tc>
          <w:tcPr>
            <w:tcW w:type="dxa" w:w="2409"/>
          </w:tcPr>
          <w:p>
            <w:pPr>
              <w:spacing w:after="20" w:before="20" w:line="240" w:lineRule="auto"/>
            </w:pPr>
            <w:r/>
            <w:r>
              <w:rPr>
                <w:rFonts w:ascii="Arial" w:hAnsi="Arial" w:cs="Arial"/>
                <w:b w:val="0"/>
                <w:i w:val="0"/>
                <w:sz w:val="17"/>
              </w:rPr>
              <w:t>12</w:t>
            </w:r>
          </w:p>
        </w:tc>
        <w:tc>
          <w:tcPr>
            <w:tcW w:type="dxa" w:w="2409"/>
          </w:tcPr>
          <w:p>
            <w:pPr>
              <w:spacing w:after="20" w:before="20" w:line="240" w:lineRule="auto"/>
            </w:pPr>
            <w:r/>
            <w:r>
              <w:rPr>
                <w:rFonts w:ascii="Arial" w:hAnsi="Arial" w:cs="Arial"/>
                <w:b w:val="0"/>
                <w:i w:val="0"/>
                <w:sz w:val="17"/>
              </w:rPr>
              <w:t>Physical Execution &amp; Multiparty Tracking — Phase 5</w:t>
            </w:r>
          </w:p>
        </w:tc>
        <w:tc>
          <w:tcPr>
            <w:tcW w:type="dxa" w:w="2409"/>
          </w:tcPr>
          <w:p>
            <w:pPr>
              <w:spacing w:after="20" w:before="20" w:line="240" w:lineRule="auto"/>
            </w:pPr>
            <w:r/>
            <w:r>
              <w:rPr>
                <w:rFonts w:ascii="Arial" w:hAnsi="Arial" w:cs="Arial"/>
                <w:b w:val="0"/>
                <w:i w:val="0"/>
                <w:sz w:val="17"/>
              </w:rPr>
              <w:t>24</w:t>
            </w:r>
          </w:p>
        </w:tc>
        <w:tc>
          <w:tcPr>
            <w:tcW w:type="dxa" w:w="2409"/>
          </w:tcPr>
          <w:p>
            <w:pPr>
              <w:spacing w:after="20" w:before="20" w:line="240" w:lineRule="auto"/>
            </w:pPr>
            <w:r/>
            <w:r>
              <w:rPr>
                <w:rFonts w:ascii="Arial" w:hAnsi="Arial" w:cs="Arial"/>
                <w:b w:val="0"/>
                <w:i w:val="0"/>
                <w:sz w:val="17"/>
              </w:rPr>
              <w:t>Canonical Terminology &amp; Implementation Roadmap</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Reading order for new team members: Section 2 (orientation) → Section 3 (constitution) → the phase workflow matching your team (Sections 6–14) → Section 15 (gates you must call) → Sections 17–18 (data and API contracts you must implement) → Sections 16 and 19–24 (portals, architecture guarantees, add-ons, and delivery plan).</w:t>
      </w:r>
    </w:p>
    <w:p>
      <w:pPr>
        <w:keepNext/>
        <w:spacing w:before="240" w:after="100"/>
        <w:outlineLvl w:val="1"/>
      </w:pPr>
      <w:r>
        <w:rPr>
          <w:rFonts w:ascii="Arial" w:hAnsi="Arial" w:cs="Arial"/>
          <w:b/>
          <w:i w:val="0"/>
          <w:color w:val="2E528F"/>
          <w:sz w:val="26"/>
        </w:rPr>
        <w:t>1.1 Purpose, Authority &amp; Success Condition</w:t>
      </w:r>
    </w:p>
    <w:p>
      <w:pPr>
        <w:spacing w:after="80" w:line="293" w:lineRule="auto"/>
        <w:jc w:val="left"/>
      </w:pPr>
      <w:r>
        <w:rPr>
          <w:rFonts w:ascii="Times New Roman" w:hAnsi="Times New Roman" w:cs="Times New Roman"/>
          <w:b w:val="0"/>
          <w:i w:val="0"/>
          <w:sz w:val="22"/>
        </w:rPr>
        <w:t>This blueprint is the single binding engineering specification for the SGTX platform. Every requirement in this document is mandatory: none of the rules stated here is an optional suggestion, and no team may implement a conflicting local variant. The document is distributed directly to all development, QA, DevOps, data, and product teams as the only authoritative source; where any ticket, diagram, code comment, or verbal instruction conflicts with this blueprint, this blueprint prevails unless a constitutional amendment has been processed through the amendment procedure in Section 3.6.</w:t>
      </w:r>
    </w:p>
    <w:p>
      <w:pPr>
        <w:spacing w:after="80" w:line="293" w:lineRule="auto"/>
        <w:jc w:val="left"/>
      </w:pPr>
      <w:r>
        <w:rPr>
          <w:rFonts w:ascii="Times New Roman" w:hAnsi="Times New Roman" w:cs="Times New Roman"/>
          <w:b w:val="0"/>
          <w:i w:val="0"/>
          <w:sz w:val="22"/>
        </w:rPr>
        <w:t>The platform architecture defined in this document is a reconciled whole: one coherent state-vector, dependency-driven, non-custodial, jurisdiction-aware, and evidence-grounded architecture. Section 19 (Canonical Transaction State &amp; Settlement Architecture) is the canonical architectural authority for transaction state, finality, event history, reversals, reconciliation, exceptions, recovery, evidence, financial exposure, bank-side settlement, multi-party settlement, counterparties, document authenticity, jurisdictional authority, AI governance, USTN correlation, and post-closure behaviour. Where any other section of this document appears to conflict with Section 19, Section 19 prevails and the conflicting rule must be corrected in the implementation. No subsystem may introduce a second competing state architecture, a parallel master-status model, or contradictory definitions of USTN, settlement, closure, financing, signatures, fees, or execution readiness.</w:t>
      </w:r>
    </w:p>
    <w:p>
      <w:pPr>
        <w:spacing w:after="80" w:line="293" w:lineRule="auto"/>
        <w:jc w:val="left"/>
      </w:pPr>
      <w:r>
        <w:rPr>
          <w:rFonts w:ascii="Times New Roman" w:hAnsi="Times New Roman" w:cs="Times New Roman"/>
          <w:b w:val="0"/>
          <w:i w:val="0"/>
          <w:sz w:val="22"/>
        </w:rPr>
        <w:t>The success condition for the platform is full cross-layer semantic convergence. The platform is considered correctly implemented only when the following equality holds and is demonstrably tested:</w:t>
      </w:r>
    </w:p>
    <w:p>
      <w:pPr>
        <w:spacing w:after="0" w:before="0" w:line="240" w:lineRule="auto"/>
        <w:ind w:left="57"/>
        <w:jc w:val="left"/>
        <w:shd w:val="clear" w:fill="F2F2F2"/>
      </w:pPr>
      <w:r>
        <w:rPr>
          <w:rFonts w:ascii="Consolas" w:hAnsi="Consolas" w:cs="Consolas"/>
          <w:b w:val="0"/>
          <w:i w:val="0"/>
          <w:sz w:val="15"/>
        </w:rPr>
        <w:t>Business Workflow  =  API Model  =  Database Model  =  Event Model  =  Governor Rules</w:t>
      </w:r>
    </w:p>
    <w:p>
      <w:pPr>
        <w:spacing w:after="0" w:before="0" w:line="240" w:lineRule="auto"/>
        <w:ind w:left="57"/>
        <w:jc w:val="left"/>
        <w:shd w:val="clear" w:fill="F2F2F2"/>
      </w:pPr>
      <w:r>
        <w:rPr>
          <w:rFonts w:ascii="Consolas" w:hAnsi="Consolas" w:cs="Consolas"/>
          <w:b w:val="0"/>
          <w:i w:val="0"/>
          <w:sz w:val="15"/>
        </w:rPr>
        <w:t xml:space="preserve">                     =  Policy Engine  =  External Authority Model  =  Reconciliation Model</w:t>
      </w:r>
    </w:p>
    <w:p>
      <w:pPr>
        <w:spacing w:after="0" w:before="0" w:line="240" w:lineRule="auto"/>
        <w:ind w:left="57"/>
        <w:jc w:val="left"/>
        <w:shd w:val="clear" w:fill="F2F2F2"/>
      </w:pPr>
      <w:r>
        <w:rPr>
          <w:rFonts w:ascii="Consolas" w:hAnsi="Consolas" w:cs="Consolas"/>
          <w:b w:val="0"/>
          <w:i w:val="0"/>
          <w:sz w:val="15"/>
        </w:rPr>
        <w:t xml:space="preserve">                     =  UI State  =  Test Assertions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term of this equality is specified in the corresponding section of this document, and the mandatory validation gates that prove the equality are defined in Sections 24.4.11 through 24.4.13 and Section 24.7. A transaction must never be reported as production-complete merely because individual service tests pass; completion requires the end-to-end semantic validation defined in Section 24.4.13.</w:t>
      </w:r>
    </w:p>
    <w:p>
      <w:pPr>
        <w:keepNext/>
        <w:spacing w:before="360" w:after="160"/>
        <w:outlineLvl w:val="0"/>
      </w:pPr>
      <w:r>
        <w:rPr>
          <w:rFonts w:ascii="Arial" w:hAnsi="Arial" w:cs="Arial"/>
          <w:b/>
          <w:i w:val="0"/>
          <w:color w:val="1F3864"/>
          <w:sz w:val="32"/>
        </w:rPr>
        <w:t>2. Executive Summary &amp; Platform Identity</w:t>
      </w:r>
    </w:p>
    <w:p>
      <w:pPr>
        <w:keepNext/>
        <w:spacing w:before="240" w:after="100"/>
        <w:outlineLvl w:val="1"/>
      </w:pPr>
      <w:r>
        <w:rPr>
          <w:rFonts w:ascii="Arial" w:hAnsi="Arial" w:cs="Arial"/>
          <w:b/>
          <w:i w:val="0"/>
          <w:color w:val="2E528F"/>
          <w:sz w:val="26"/>
        </w:rPr>
        <w:t>2.1 Platform Identity</w:t>
      </w:r>
    </w:p>
    <w:p>
      <w:pPr>
        <w:spacing w:after="80" w:line="293" w:lineRule="auto"/>
        <w:jc w:val="left"/>
      </w:pPr>
      <w:r>
        <w:rPr>
          <w:rFonts w:ascii="Times New Roman" w:hAnsi="Times New Roman" w:cs="Times New Roman"/>
          <w:b w:val="0"/>
          <w:i w:val="0"/>
          <w:sz w:val="22"/>
        </w:rPr>
        <w:t>SGTX (Sovereign Governed Trade Execution) is a non-custodial, AI-governed trade execution infrastructure. It does not hold funds, match counterparties, take title to goods, or act as a carrier, customs authority, bank, or government. It is the orchestration and constitutional-enforcement layer beneath trade relationships that already exist between known counterparties.</w:t>
      </w:r>
    </w:p>
    <w:p>
      <w:pPr>
        <w:spacing w:after="80" w:line="293" w:lineRule="auto"/>
        <w:jc w:val="left"/>
      </w:pPr>
      <w:r>
        <w:rPr>
          <w:rFonts w:ascii="Times New Roman" w:hAnsi="Times New Roman" w:cs="Times New Roman"/>
          <w:b w:val="0"/>
          <w:i w:val="0"/>
          <w:sz w:val="22"/>
        </w:rPr>
        <w:t>The platform's value is delivered through three coupled capabilities. First, it converts commercial intent into a structured, machine-readable, regulation-aware execution graph that every party and every external system can reference through a single canonical identifier. Second, it enforces a written constitution on every irreversible action, so that funds, documents, and cargo move only under explicit, auditable authorization. Third, it orchestrates — but never replaces — the external institutions that actually settle payments, clear customs, insure cargo, and finance trade.</w:t>
      </w:r>
    </w:p>
    <w:p>
      <w:pPr>
        <w:keepNext/>
        <w:spacing w:before="240" w:after="100"/>
        <w:outlineLvl w:val="1"/>
      </w:pPr>
      <w:r>
        <w:rPr>
          <w:rFonts w:ascii="Arial" w:hAnsi="Arial" w:cs="Arial"/>
          <w:b/>
          <w:i w:val="0"/>
          <w:color w:val="2E528F"/>
          <w:sz w:val="26"/>
        </w:rPr>
        <w:t>2.2 Three Unshakable Pillars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Pillar</w:t>
            </w:r>
          </w:p>
        </w:tc>
        <w:tc>
          <w:tcPr>
            <w:tcW w:type="dxa" w:w="3213"/>
            <w:shd w:val="clear" w:fill="D9E2F3"/>
          </w:tcPr>
          <w:p>
            <w:pPr>
              <w:spacing w:after="20" w:before="20" w:line="240" w:lineRule="auto"/>
            </w:pPr>
            <w:r/>
            <w:r>
              <w:rPr>
                <w:rFonts w:ascii="Arial" w:hAnsi="Arial" w:cs="Arial"/>
                <w:b/>
                <w:i w:val="0"/>
                <w:sz w:val="18"/>
              </w:rPr>
              <w:t>Principle</w:t>
            </w:r>
          </w:p>
        </w:tc>
        <w:tc>
          <w:tcPr>
            <w:tcW w:type="dxa" w:w="3213"/>
            <w:shd w:val="clear" w:fill="D9E2F3"/>
          </w:tcPr>
          <w:p>
            <w:pPr>
              <w:spacing w:after="20" w:before="20" w:line="240" w:lineRule="auto"/>
            </w:pPr>
            <w:r/>
            <w:r>
              <w:rPr>
                <w:rFonts w:ascii="Arial" w:hAnsi="Arial" w:cs="Arial"/>
                <w:b/>
                <w:i w:val="0"/>
                <w:sz w:val="18"/>
              </w:rPr>
              <w:t>Enforcement</w:t>
            </w:r>
          </w:p>
        </w:tc>
      </w:tr>
      <w:tr>
        <w:tc>
          <w:tcPr>
            <w:tcW w:type="dxa" w:w="3213"/>
          </w:tcPr>
          <w:p>
            <w:pPr>
              <w:spacing w:after="20" w:before="20" w:line="240" w:lineRule="auto"/>
            </w:pPr>
            <w:r/>
            <w:r>
              <w:rPr>
                <w:rFonts w:ascii="Arial" w:hAnsi="Arial" w:cs="Arial"/>
                <w:b w:val="0"/>
                <w:i w:val="0"/>
                <w:sz w:val="17"/>
              </w:rPr>
              <w:t>I</w:t>
            </w:r>
          </w:p>
        </w:tc>
        <w:tc>
          <w:tcPr>
            <w:tcW w:type="dxa" w:w="3213"/>
          </w:tcPr>
          <w:p>
            <w:pPr>
              <w:spacing w:after="20" w:before="20" w:line="240" w:lineRule="auto"/>
            </w:pPr>
            <w:r/>
            <w:r>
              <w:rPr>
                <w:rFonts w:ascii="Arial" w:hAnsi="Arial" w:cs="Arial"/>
                <w:b w:val="0"/>
                <w:i w:val="0"/>
                <w:sz w:val="17"/>
              </w:rPr>
              <w:t>Non-Custodial by Structure</w:t>
            </w:r>
          </w:p>
        </w:tc>
        <w:tc>
          <w:tcPr>
            <w:tcW w:type="dxa" w:w="3213"/>
          </w:tcPr>
          <w:p>
            <w:pPr>
              <w:spacing w:after="20" w:before="20" w:line="240" w:lineRule="auto"/>
            </w:pPr>
            <w:r/>
            <w:r>
              <w:rPr>
                <w:rFonts w:ascii="Arial" w:hAnsi="Arial" w:cs="Arial"/>
                <w:b w:val="0"/>
                <w:i w:val="0"/>
                <w:sz w:val="17"/>
              </w:rPr>
              <w:t>No funds table exists; FeeLock is an instruction, never a holding</w:t>
            </w:r>
          </w:p>
        </w:tc>
      </w:tr>
      <w:tr>
        <w:tc>
          <w:tcPr>
            <w:tcW w:type="dxa" w:w="3213"/>
          </w:tcPr>
          <w:p>
            <w:pPr>
              <w:spacing w:after="20" w:before="20" w:line="240" w:lineRule="auto"/>
            </w:pPr>
            <w:r/>
            <w:r>
              <w:rPr>
                <w:rFonts w:ascii="Arial" w:hAnsi="Arial" w:cs="Arial"/>
                <w:b w:val="0"/>
                <w:i w:val="0"/>
                <w:sz w:val="17"/>
              </w:rPr>
              <w:t>II</w:t>
            </w:r>
          </w:p>
        </w:tc>
        <w:tc>
          <w:tcPr>
            <w:tcW w:type="dxa" w:w="3213"/>
          </w:tcPr>
          <w:p>
            <w:pPr>
              <w:spacing w:after="20" w:before="20" w:line="240" w:lineRule="auto"/>
            </w:pPr>
            <w:r/>
            <w:r>
              <w:rPr>
                <w:rFonts w:ascii="Arial" w:hAnsi="Arial" w:cs="Arial"/>
                <w:b w:val="0"/>
                <w:i w:val="0"/>
                <w:sz w:val="17"/>
              </w:rPr>
              <w:t>AI May Block, Never Force</w:t>
            </w:r>
          </w:p>
        </w:tc>
        <w:tc>
          <w:tcPr>
            <w:tcW w:type="dxa" w:w="3213"/>
          </w:tcPr>
          <w:p>
            <w:pPr>
              <w:spacing w:after="20" w:before="20" w:line="240" w:lineRule="auto"/>
            </w:pPr>
            <w:r/>
            <w:r>
              <w:rPr>
                <w:rFonts w:ascii="Arial" w:hAnsi="Arial" w:cs="Arial"/>
                <w:b w:val="0"/>
                <w:i w:val="0"/>
                <w:sz w:val="17"/>
              </w:rPr>
              <w:t>AI (A1–A3) advises and constrains; A4 is deterministic policy execution; A5 is constitutionally forbidden</w:t>
            </w:r>
          </w:p>
        </w:tc>
      </w:tr>
      <w:tr>
        <w:tc>
          <w:tcPr>
            <w:tcW w:type="dxa" w:w="3213"/>
          </w:tcPr>
          <w:p>
            <w:pPr>
              <w:spacing w:after="20" w:before="20" w:line="240" w:lineRule="auto"/>
            </w:pPr>
            <w:r/>
            <w:r>
              <w:rPr>
                <w:rFonts w:ascii="Arial" w:hAnsi="Arial" w:cs="Arial"/>
                <w:b w:val="0"/>
                <w:i w:val="0"/>
                <w:sz w:val="17"/>
              </w:rPr>
              <w:t>III</w:t>
            </w:r>
          </w:p>
        </w:tc>
        <w:tc>
          <w:tcPr>
            <w:tcW w:type="dxa" w:w="3213"/>
          </w:tcPr>
          <w:p>
            <w:pPr>
              <w:spacing w:after="20" w:before="20" w:line="240" w:lineRule="auto"/>
            </w:pPr>
            <w:r/>
            <w:r>
              <w:rPr>
                <w:rFonts w:ascii="Arial" w:hAnsi="Arial" w:cs="Arial"/>
                <w:b w:val="0"/>
                <w:i w:val="0"/>
                <w:sz w:val="17"/>
              </w:rPr>
              <w:t>Sovereign Jurisdiction Supremacy</w:t>
            </w:r>
          </w:p>
        </w:tc>
        <w:tc>
          <w:tcPr>
            <w:tcW w:type="dxa" w:w="3213"/>
          </w:tcPr>
          <w:p>
            <w:pPr>
              <w:spacing w:after="20" w:before="20" w:line="240" w:lineRule="auto"/>
            </w:pPr>
            <w:r/>
            <w:r>
              <w:rPr>
                <w:rFonts w:ascii="Arial" w:hAnsi="Arial" w:cs="Arial"/>
                <w:b w:val="0"/>
                <w:i w:val="0"/>
                <w:sz w:val="17"/>
              </w:rPr>
              <w:t>The strictest rule among buyer, seller, logistics, financier, and governing-law jurisdictions always applies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2.3 Operational Architecture Summary</w:t>
      </w:r>
    </w:p>
    <w:p>
      <w:pPr>
        <w:spacing w:after="80" w:line="293" w:lineRule="auto"/>
        <w:jc w:val="left"/>
      </w:pPr>
      <w:r>
        <w:rPr>
          <w:rFonts w:ascii="Times New Roman" w:hAnsi="Times New Roman" w:cs="Times New Roman"/>
          <w:b w:val="0"/>
          <w:i w:val="0"/>
          <w:sz w:val="22"/>
        </w:rPr>
        <w:t>The platform is organised as one integrated execution graph, not a collection of disconnected portals. Every trade moves through the same canonical sequence:</w:t>
      </w:r>
    </w:p>
    <w:p>
      <w:pPr>
        <w:spacing w:after="0" w:before="0" w:line="240" w:lineRule="auto"/>
        <w:ind w:left="57"/>
        <w:jc w:val="left"/>
        <w:shd w:val="clear" w:fill="F2F2F2"/>
      </w:pPr>
      <w:r>
        <w:rPr>
          <w:rFonts w:ascii="Consolas" w:hAnsi="Consolas" w:cs="Consolas"/>
          <w:b w:val="0"/>
          <w:i w:val="0"/>
          <w:sz w:val="15"/>
        </w:rPr>
        <w:t>Trade Intent → Feasibility → Financing Pre-Clearance → Quote → Negotiation → Contract</w:t>
      </w:r>
    </w:p>
    <w:p>
      <w:pPr>
        <w:spacing w:after="0" w:before="0" w:line="240" w:lineRule="auto"/>
        <w:ind w:left="57"/>
        <w:jc w:val="left"/>
        <w:shd w:val="clear" w:fill="F2F2F2"/>
      </w:pPr>
      <w:r>
        <w:rPr>
          <w:rFonts w:ascii="Consolas" w:hAnsi="Consolas" w:cs="Consolas"/>
          <w:b w:val="0"/>
          <w:i w:val="0"/>
          <w:sz w:val="15"/>
        </w:rPr>
        <w:t>→ Fee / Lock → USTN → Execution → Settlement → Reconciliation → Closure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arrow is a governed transition: state changes pass through the Governor, evidence is appended to the immutable audit chain (Loom), and external facts (bank confirmations, customs clearances, carrier events) are reconciled against internal state before any authoritative advance. The workflow phases map to document sections as follows: Phase 1 — Buyer Workflow (Section 6); Financing Pre-Clearance (Section 7); Phase 2 — Seller Workflow (Section 8); Phase 3 — Negotiation, Contracting, Fees, Signing &amp; Lock (Section 9); Phase 4 — Formal Trade Finance (Section 10); Service Provider Capability Model (Section 11); Phase 5 — Physical Execution (Section 12); Phase 6 — Settlement &amp; Payment (Section 13); Phases 7–8 — Post-Trade (Section 14); enforcement matrix (Section 15); data model (Section 17); API index (Section 18). The constitutional foundation (Section 3), identity architecture (Section 4), and the USTN namespace (Section 5) underpin every phase. Section 19 defines the canonical transaction-state and settlement architecture that the phases project; Section 20 defines the global trade graph, jurisdiction fabric, and transport engines; Sections 16 and 21–24 complete the specification with portals, guarantees, add-ons, and the delivery roadmap.</w:t>
      </w:r>
    </w:p>
    <w:p>
      <w:pPr>
        <w:keepNext/>
        <w:spacing w:before="180" w:after="80"/>
        <w:outlineLvl w:val="2"/>
      </w:pPr>
      <w:r>
        <w:rPr>
          <w:rFonts w:ascii="Arial" w:hAnsi="Arial" w:cs="Arial"/>
          <w:b/>
          <w:i w:val="0"/>
          <w:color w:val="333333"/>
          <w:sz w:val="23"/>
        </w:rPr>
        <w:t>2.3.1 Canonical Trade Identity Correlation</w:t>
      </w:r>
    </w:p>
    <w:p>
      <w:pPr>
        <w:spacing w:after="80" w:line="293" w:lineRule="auto"/>
        <w:jc w:val="left"/>
      </w:pPr>
      <w:r>
        <w:rPr>
          <w:rFonts w:ascii="Times New Roman" w:hAnsi="Times New Roman" w:cs="Times New Roman"/>
          <w:b w:val="0"/>
          <w:i w:val="0"/>
          <w:sz w:val="22"/>
        </w:rPr>
        <w:t>Every trade on the platform is correlated through a chain of five distinct, non-interchangeable identifiers: the Request UUID, the Request Reference, the Contract ID, the Shipment ID, and the USTN. The Request UUID is the system-generated immutable technical identifier created when a trade request is first created. The Request Reference is an opaque human-facing reference used for operational navigation. The Contract ID identifies the contractual object. The Shipment ID identifies an individual shipment execution object. The USTN is the canonical trade and shipment namespace generated at the authoritative lock event. The complete identity model, including the generation rule, the pre-USTN API semantics, and the multi-shipment correlation rules, is specified canonically in Section 5.1.16.</w:t>
      </w:r>
    </w:p>
    <w:p>
      <w:pPr>
        <w:spacing w:after="80" w:line="293" w:lineRule="auto"/>
        <w:jc w:val="left"/>
      </w:pPr>
      <w:r>
        <w:rPr>
          <w:rFonts w:ascii="Times New Roman" w:hAnsi="Times New Roman" w:cs="Times New Roman"/>
          <w:b w:val="0"/>
          <w:i w:val="0"/>
          <w:sz w:val="22"/>
        </w:rPr>
        <w:t>The canonical execution sequence that every trade follows is: Trade Intent, Feasibility, Financing Pre-Clearance, Quote, Negotiation, Contract, Fee and Lock, USTN Generation, Execution, Settlement, Reconciliation, and Closure. Each transition in this sequence is governed: state changes pass through the Governor, evidence is appended to the immutable Loom audit chain, and external facts are reconciled against internal state before any authoritative advance. The full state-vector, multi-clock, and finality semantics of this sequence are defined in Section 19.</w:t>
      </w:r>
    </w:p>
    <w:p>
      <w:pPr>
        <w:keepNext/>
        <w:spacing w:before="240" w:after="100"/>
        <w:outlineLvl w:val="1"/>
      </w:pPr>
      <w:r>
        <w:rPr>
          <w:rFonts w:ascii="Arial" w:hAnsi="Arial" w:cs="Arial"/>
          <w:b/>
          <w:i w:val="0"/>
          <w:color w:val="2E528F"/>
          <w:sz w:val="26"/>
        </w:rPr>
        <w:t>2.4 Key Architectural Capabilities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Capability</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Conditional Financing Reference (CFR)</w:t>
            </w:r>
          </w:p>
        </w:tc>
        <w:tc>
          <w:tcPr>
            <w:tcW w:type="dxa" w:w="4819"/>
          </w:tcPr>
          <w:p>
            <w:pPr>
              <w:spacing w:after="20" w:before="20" w:line="240" w:lineRule="auto"/>
            </w:pPr>
            <w:r/>
            <w:r>
              <w:rPr>
                <w:rFonts w:ascii="Arial" w:hAnsi="Arial" w:cs="Arial"/>
                <w:b w:val="0"/>
                <w:i w:val="0"/>
                <w:sz w:val="17"/>
              </w:rPr>
              <w:t>Two-phase financing: non-binding pre-clearance before contract lock; binding formal execution after lock. Eliminates "signed but unfundable" contracts.</w:t>
            </w:r>
          </w:p>
        </w:tc>
      </w:tr>
      <w:tr>
        <w:tc>
          <w:tcPr>
            <w:tcW w:type="dxa" w:w="4819"/>
          </w:tcPr>
          <w:p>
            <w:pPr>
              <w:spacing w:after="20" w:before="20" w:line="240" w:lineRule="auto"/>
            </w:pPr>
            <w:r/>
            <w:r>
              <w:rPr>
                <w:rFonts w:ascii="Arial" w:hAnsi="Arial" w:cs="Arial"/>
                <w:b w:val="0"/>
                <w:i w:val="0"/>
                <w:sz w:val="17"/>
              </w:rPr>
              <w:t>Data-Sovereign Financing Declarations</w:t>
            </w:r>
          </w:p>
        </w:tc>
        <w:tc>
          <w:tcPr>
            <w:tcW w:type="dxa" w:w="4819"/>
          </w:tcPr>
          <w:p>
            <w:pPr>
              <w:spacing w:after="20" w:before="20" w:line="240" w:lineRule="auto"/>
            </w:pPr>
            <w:r/>
            <w:r>
              <w:rPr>
                <w:rFonts w:ascii="Arial" w:hAnsi="Arial" w:cs="Arial"/>
                <w:b w:val="0"/>
                <w:i w:val="0"/>
                <w:sz w:val="17"/>
              </w:rPr>
              <w:t>The buyer declares only the buyer's financing needs; the seller declares only the seller's financing needs. No cross-contamination of financing intent between counterparties.</w:t>
            </w:r>
          </w:p>
        </w:tc>
      </w:tr>
      <w:tr>
        <w:tc>
          <w:tcPr>
            <w:tcW w:type="dxa" w:w="4819"/>
          </w:tcPr>
          <w:p>
            <w:pPr>
              <w:spacing w:after="20" w:before="20" w:line="240" w:lineRule="auto"/>
            </w:pPr>
            <w:r/>
            <w:r>
              <w:rPr>
                <w:rFonts w:ascii="Arial" w:hAnsi="Arial" w:cs="Arial"/>
                <w:b w:val="0"/>
                <w:i w:val="0"/>
                <w:sz w:val="17"/>
              </w:rPr>
              <w:t>Unified Service Provider Capability Model</w:t>
            </w:r>
          </w:p>
        </w:tc>
        <w:tc>
          <w:tcPr>
            <w:tcW w:type="dxa" w:w="4819"/>
          </w:tcPr>
          <w:p>
            <w:pPr>
              <w:spacing w:after="20" w:before="20" w:line="240" w:lineRule="auto"/>
            </w:pPr>
            <w:r/>
            <w:r>
              <w:rPr>
                <w:rFonts w:ascii="Arial" w:hAnsi="Arial" w:cs="Arial"/>
                <w:b w:val="0"/>
                <w:i w:val="0"/>
                <w:sz w:val="17"/>
              </w:rPr>
              <w:t>A single GTID can offer any combination of services (for example, Trucking and Customs Brokerage). Portal tabs render dynamically from the service_capabilities array.</w:t>
            </w:r>
          </w:p>
        </w:tc>
      </w:tr>
      <w:tr>
        <w:tc>
          <w:tcPr>
            <w:tcW w:type="dxa" w:w="4819"/>
          </w:tcPr>
          <w:p>
            <w:pPr>
              <w:spacing w:after="20" w:before="20" w:line="240" w:lineRule="auto"/>
            </w:pPr>
            <w:r/>
            <w:r>
              <w:rPr>
                <w:rFonts w:ascii="Arial" w:hAnsi="Arial" w:cs="Arial"/>
                <w:b w:val="0"/>
                <w:i w:val="0"/>
                <w:sz w:val="17"/>
              </w:rPr>
              <w:t>Geographically-Aware QC Inspection</w:t>
            </w:r>
          </w:p>
        </w:tc>
        <w:tc>
          <w:tcPr>
            <w:tcW w:type="dxa" w:w="4819"/>
          </w:tcPr>
          <w:p>
            <w:pPr>
              <w:spacing w:after="20" w:before="20" w:line="240" w:lineRule="auto"/>
            </w:pPr>
            <w:r/>
            <w:r>
              <w:rPr>
                <w:rFonts w:ascii="Arial" w:hAnsi="Arial" w:cs="Arial"/>
                <w:b w:val="0"/>
                <w:i w:val="0"/>
                <w:sz w:val="17"/>
              </w:rPr>
              <w:t>Provider coverage validation, seller contact advisory, and anonymised historical price ranges prevent inspection requests where no inspector exists.</w:t>
            </w:r>
          </w:p>
        </w:tc>
      </w:tr>
      <w:tr>
        <w:tc>
          <w:tcPr>
            <w:tcW w:type="dxa" w:w="4819"/>
          </w:tcPr>
          <w:p>
            <w:pPr>
              <w:spacing w:after="20" w:before="20" w:line="240" w:lineRule="auto"/>
            </w:pPr>
            <w:r/>
            <w:r>
              <w:rPr>
                <w:rFonts w:ascii="Arial" w:hAnsi="Arial" w:cs="Arial"/>
                <w:b w:val="0"/>
                <w:i w:val="0"/>
                <w:sz w:val="17"/>
              </w:rPr>
              <w:t>Explicit Lab Test Requirements</w:t>
            </w:r>
          </w:p>
        </w:tc>
        <w:tc>
          <w:tcPr>
            <w:tcW w:type="dxa" w:w="4819"/>
          </w:tcPr>
          <w:p>
            <w:pPr>
              <w:spacing w:after="20" w:before="20" w:line="240" w:lineRule="auto"/>
            </w:pPr>
            <w:r/>
            <w:r>
              <w:rPr>
                <w:rFonts w:ascii="Arial" w:hAnsi="Arial" w:cs="Arial"/>
                <w:b w:val="0"/>
                <w:i w:val="0"/>
                <w:sz w:val="17"/>
              </w:rPr>
              <w:t>Mandatory, recommended, and optional tests are explicit, RIA-driven, and priced transparently at request time.</w:t>
            </w:r>
          </w:p>
        </w:tc>
      </w:tr>
      <w:tr>
        <w:tc>
          <w:tcPr>
            <w:tcW w:type="dxa" w:w="4819"/>
          </w:tcPr>
          <w:p>
            <w:pPr>
              <w:spacing w:after="20" w:before="20" w:line="240" w:lineRule="auto"/>
            </w:pPr>
            <w:r/>
            <w:r>
              <w:rPr>
                <w:rFonts w:ascii="Arial" w:hAnsi="Arial" w:cs="Arial"/>
                <w:b w:val="0"/>
                <w:i w:val="0"/>
                <w:sz w:val="17"/>
              </w:rPr>
              <w:t>Canonical Workflow Order</w:t>
            </w:r>
          </w:p>
        </w:tc>
        <w:tc>
          <w:tcPr>
            <w:tcW w:type="dxa" w:w="4819"/>
          </w:tcPr>
          <w:p>
            <w:pPr>
              <w:spacing w:after="20" w:before="20" w:line="240" w:lineRule="auto"/>
            </w:pPr>
            <w:r/>
            <w:r>
              <w:rPr>
                <w:rFonts w:ascii="Arial" w:hAnsi="Arial" w:cs="Arial"/>
                <w:b w:val="0"/>
                <w:i w:val="0"/>
                <w:sz w:val="17"/>
              </w:rPr>
              <w:t>Transport mode is selected before containers/units; Incoterm and settlement structure are captured together; the AI Container Advisor runs after transport mode selection.</w:t>
            </w:r>
          </w:p>
        </w:tc>
      </w:tr>
      <w:tr>
        <w:tc>
          <w:tcPr>
            <w:tcW w:type="dxa" w:w="4819"/>
          </w:tcPr>
          <w:p>
            <w:pPr>
              <w:spacing w:after="20" w:before="20" w:line="240" w:lineRule="auto"/>
            </w:pPr>
            <w:r/>
            <w:r>
              <w:rPr>
                <w:rFonts w:ascii="Arial" w:hAnsi="Arial" w:cs="Arial"/>
                <w:b w:val="0"/>
                <w:i w:val="0"/>
                <w:sz w:val="17"/>
              </w:rPr>
              <w:t>USTN Canonical Namespace</w:t>
            </w:r>
          </w:p>
        </w:tc>
        <w:tc>
          <w:tcPr>
            <w:tcW w:type="dxa" w:w="4819"/>
          </w:tcPr>
          <w:p>
            <w:pPr>
              <w:spacing w:after="20" w:before="20" w:line="240" w:lineRule="auto"/>
            </w:pPr>
            <w:r/>
            <w:r>
              <w:rPr>
                <w:rFonts w:ascii="Arial" w:hAnsi="Arial" w:cs="Arial"/>
                <w:b w:val="0"/>
                <w:i w:val="0"/>
                <w:sz w:val="17"/>
              </w:rPr>
              <w:t>One immutable, globally unique shipment identifier binds every document, payment, milestone, and event of a trade (Section 5).</w:t>
            </w:r>
          </w:p>
        </w:tc>
      </w:tr>
      <w:tr>
        <w:tc>
          <w:tcPr>
            <w:tcW w:type="dxa" w:w="4819"/>
          </w:tcPr>
          <w:p>
            <w:pPr>
              <w:spacing w:after="20" w:before="20" w:line="240" w:lineRule="auto"/>
            </w:pPr>
            <w:r/>
            <w:r>
              <w:rPr>
                <w:rFonts w:ascii="Arial" w:hAnsi="Arial" w:cs="Arial"/>
                <w:b w:val="0"/>
                <w:i w:val="0"/>
                <w:sz w:val="17"/>
              </w:rPr>
              <w:t>Earned Closure</w:t>
            </w:r>
          </w:p>
        </w:tc>
        <w:tc>
          <w:tcPr>
            <w:tcW w:type="dxa" w:w="4819"/>
          </w:tcPr>
          <w:p>
            <w:pPr>
              <w:spacing w:after="20" w:before="20" w:line="240" w:lineRule="auto"/>
            </w:pPr>
            <w:r/>
            <w:r>
              <w:rPr>
                <w:rFonts w:ascii="Arial" w:hAnsi="Arial" w:cs="Arial"/>
                <w:b w:val="0"/>
                <w:i w:val="0"/>
                <w:sz w:val="17"/>
              </w:rPr>
              <w:t>A USTN closes only when all seven closure conditions evaluate true; closure can never be forced (Section 5.10).</w:t>
            </w:r>
          </w:p>
        </w:tc>
      </w:tr>
      <w:tr>
        <w:tc>
          <w:tcPr>
            <w:tcW w:type="dxa" w:w="4819"/>
          </w:tcPr>
          <w:p>
            <w:pPr>
              <w:spacing w:after="20" w:before="20" w:line="240" w:lineRule="auto"/>
            </w:pPr>
            <w:r/>
            <w:r>
              <w:rPr>
                <w:rFonts w:ascii="Arial" w:hAnsi="Arial" w:cs="Arial"/>
                <w:b w:val="0"/>
                <w:i w:val="0"/>
                <w:sz w:val="17"/>
              </w:rPr>
              <w:t>Sealed Evidence</w:t>
            </w:r>
          </w:p>
        </w:tc>
        <w:tc>
          <w:tcPr>
            <w:tcW w:type="dxa" w:w="4819"/>
          </w:tcPr>
          <w:p>
            <w:pPr>
              <w:spacing w:after="20" w:before="20" w:line="240" w:lineRule="auto"/>
            </w:pPr>
            <w:r/>
            <w:r>
              <w:rPr>
                <w:rFonts w:ascii="Arial" w:hAnsi="Arial" w:cs="Arial"/>
                <w:b w:val="0"/>
                <w:i w:val="0"/>
                <w:sz w:val="17"/>
              </w:rPr>
              <w:t>A final evidence package across 26 categories is sealed at closure and can be extended but never modified afterwards (Section 5.10).</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2.5 Platform-Wide Execution Components</w:t>
      </w:r>
    </w:p>
    <w:p>
      <w:pPr>
        <w:spacing w:after="80" w:line="293" w:lineRule="auto"/>
        <w:jc w:val="left"/>
      </w:pPr>
      <w:r>
        <w:rPr>
          <w:rFonts w:ascii="Times New Roman" w:hAnsi="Times New Roman" w:cs="Times New Roman"/>
          <w:b w:val="0"/>
          <w:i w:val="0"/>
          <w:sz w:val="22"/>
        </w:rPr>
        <w:t>Four components are shared by every portal and every role. They are specified once here and referenced throughout the document; teams must not re-implement local variants.</w:t>
      </w:r>
    </w:p>
    <w:p>
      <w:pPr>
        <w:keepNext/>
        <w:spacing w:before="180" w:after="80"/>
        <w:outlineLvl w:val="2"/>
      </w:pPr>
      <w:r>
        <w:rPr>
          <w:rFonts w:ascii="Arial" w:hAnsi="Arial" w:cs="Arial"/>
          <w:b/>
          <w:i w:val="0"/>
          <w:color w:val="333333"/>
          <w:sz w:val="23"/>
        </w:rPr>
        <w:t>2.5.1 Smart Inbox (Default Landing Surface)</w:t>
      </w:r>
    </w:p>
    <w:p>
      <w:pPr>
        <w:spacing w:after="80" w:line="293" w:lineRule="auto"/>
        <w:jc w:val="left"/>
      </w:pPr>
      <w:r>
        <w:rPr>
          <w:rFonts w:ascii="Times New Roman" w:hAnsi="Times New Roman" w:cs="Times New Roman"/>
          <w:b w:val="0"/>
          <w:i w:val="0"/>
          <w:sz w:val="22"/>
        </w:rPr>
        <w:t>The Smart Inbox is the default, action-first landing page for every authenticated user. Each item is a governed instruction rendered in a fixed four-part structure: WHAT (title), WHY (consequence description), DEADLINE (timestamp), and ACTION (one-click action link). Items are derived strictly from the user's permissions, active trader-mode context (Buyer or Seller), and open obligations; the inbox never suggests unknown counterparties or unsolicited trades.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Property</w:t>
            </w:r>
          </w:p>
        </w:tc>
        <w:tc>
          <w:tcPr>
            <w:tcW w:type="dxa" w:w="4819"/>
            <w:shd w:val="clear" w:fill="D9E2F3"/>
          </w:tcPr>
          <w:p>
            <w:pPr>
              <w:spacing w:after="20" w:before="20" w:line="240" w:lineRule="auto"/>
            </w:pPr>
            <w:r/>
            <w:r>
              <w:rPr>
                <w:rFonts w:ascii="Arial" w:hAnsi="Arial" w:cs="Arial"/>
                <w:b/>
                <w:i w:val="0"/>
                <w:sz w:val="18"/>
              </w:rPr>
              <w:t>Specification</w:t>
            </w:r>
          </w:p>
        </w:tc>
      </w:tr>
      <w:tr>
        <w:tc>
          <w:tcPr>
            <w:tcW w:type="dxa" w:w="4819"/>
          </w:tcPr>
          <w:p>
            <w:pPr>
              <w:spacing w:after="20" w:before="20" w:line="240" w:lineRule="auto"/>
            </w:pPr>
            <w:r/>
            <w:r>
              <w:rPr>
                <w:rFonts w:ascii="Arial" w:hAnsi="Arial" w:cs="Arial"/>
                <w:b w:val="0"/>
                <w:i w:val="0"/>
                <w:sz w:val="17"/>
              </w:rPr>
              <w:t>Priority bands</w:t>
            </w:r>
          </w:p>
        </w:tc>
        <w:tc>
          <w:tcPr>
            <w:tcW w:type="dxa" w:w="4819"/>
          </w:tcPr>
          <w:p>
            <w:pPr>
              <w:spacing w:after="20" w:before="20" w:line="240" w:lineRule="auto"/>
            </w:pPr>
            <w:r/>
            <w:r>
              <w:rPr>
                <w:rFonts w:ascii="Arial" w:hAnsi="Arial" w:cs="Arial"/>
                <w:b w:val="0"/>
                <w:i w:val="0"/>
                <w:sz w:val="17"/>
              </w:rPr>
              <w:t>High 80–100, Medium 50–79, Low 0–49; bands are collapsible</w:t>
            </w:r>
          </w:p>
        </w:tc>
      </w:tr>
      <w:tr>
        <w:tc>
          <w:tcPr>
            <w:tcW w:type="dxa" w:w="4819"/>
          </w:tcPr>
          <w:p>
            <w:pPr>
              <w:spacing w:after="20" w:before="20" w:line="240" w:lineRule="auto"/>
            </w:pPr>
            <w:r/>
            <w:r>
              <w:rPr>
                <w:rFonts w:ascii="Arial" w:hAnsi="Arial" w:cs="Arial"/>
                <w:b w:val="0"/>
                <w:i w:val="0"/>
                <w:sz w:val="17"/>
              </w:rPr>
              <w:t>Scoring</w:t>
            </w:r>
          </w:p>
        </w:tc>
        <w:tc>
          <w:tcPr>
            <w:tcW w:type="dxa" w:w="4819"/>
          </w:tcPr>
          <w:p>
            <w:pPr>
              <w:spacing w:after="20" w:before="20" w:line="240" w:lineRule="auto"/>
            </w:pPr>
            <w:r/>
            <w:r>
              <w:rPr>
                <w:rFonts w:ascii="Arial" w:hAnsi="Arial" w:cs="Arial"/>
                <w:b w:val="0"/>
                <w:i w:val="0"/>
                <w:sz w:val="17"/>
              </w:rPr>
              <w:t>Deterministic (A4) urgency rules incorporating deadlines, SLAs, and risk signals; titles and descriptions generated afterwards by AI (A1)</w:t>
            </w:r>
          </w:p>
        </w:tc>
      </w:tr>
      <w:tr>
        <w:tc>
          <w:tcPr>
            <w:tcW w:type="dxa" w:w="4819"/>
          </w:tcPr>
          <w:p>
            <w:pPr>
              <w:spacing w:after="20" w:before="20" w:line="240" w:lineRule="auto"/>
            </w:pPr>
            <w:r/>
            <w:r>
              <w:rPr>
                <w:rFonts w:ascii="Arial" w:hAnsi="Arial" w:cs="Arial"/>
                <w:b w:val="0"/>
                <w:i w:val="0"/>
                <w:sz w:val="17"/>
              </w:rPr>
              <w:t>Reference scores</w:t>
            </w:r>
          </w:p>
        </w:tc>
        <w:tc>
          <w:tcPr>
            <w:tcW w:type="dxa" w:w="4819"/>
          </w:tcPr>
          <w:p>
            <w:pPr>
              <w:spacing w:after="20" w:before="20" w:line="240" w:lineRule="auto"/>
            </w:pPr>
            <w:r/>
            <w:r>
              <w:rPr>
                <w:rFonts w:ascii="Arial" w:hAnsi="Arial" w:cs="Arial"/>
                <w:b w:val="0"/>
                <w:i w:val="0"/>
                <w:sz w:val="17"/>
              </w:rPr>
              <w:t>Draft recovery 30; pending trade request to seller 75; quote received by buyer 75; free-time expiry alert 80; SLA incident credit 85; KYB/compliance high-priority alert 95</w:t>
            </w:r>
          </w:p>
        </w:tc>
      </w:tr>
      <w:tr>
        <w:tc>
          <w:tcPr>
            <w:tcW w:type="dxa" w:w="4819"/>
          </w:tcPr>
          <w:p>
            <w:pPr>
              <w:spacing w:after="20" w:before="20" w:line="240" w:lineRule="auto"/>
            </w:pPr>
            <w:r/>
            <w:r>
              <w:rPr>
                <w:rFonts w:ascii="Arial" w:hAnsi="Arial" w:cs="Arial"/>
                <w:b w:val="0"/>
                <w:i w:val="0"/>
                <w:sz w:val="17"/>
              </w:rPr>
              <w:t>Categories</w:t>
            </w:r>
          </w:p>
        </w:tc>
        <w:tc>
          <w:tcPr>
            <w:tcW w:type="dxa" w:w="4819"/>
          </w:tcPr>
          <w:p>
            <w:pPr>
              <w:spacing w:after="20" w:before="20" w:line="240" w:lineRule="auto"/>
            </w:pPr>
            <w:r/>
            <w:r>
              <w:rPr>
                <w:rFonts w:ascii="Arial" w:hAnsi="Arial" w:cs="Arial"/>
                <w:b w:val="0"/>
                <w:i w:val="0"/>
                <w:sz w:val="17"/>
              </w:rPr>
              <w:t>NEEDS_SIGNATURE, NEEDS_APPROVAL, NEEDS_DOCUMENT, NEEDS_PAYMENT, SHIPMENT_ALERT, NEW_OFFER, NEGOTIATION, COMPLIANCE, GENERAL</w:t>
            </w:r>
          </w:p>
        </w:tc>
      </w:tr>
      <w:tr>
        <w:tc>
          <w:tcPr>
            <w:tcW w:type="dxa" w:w="4819"/>
          </w:tcPr>
          <w:p>
            <w:pPr>
              <w:spacing w:after="20" w:before="20" w:line="240" w:lineRule="auto"/>
            </w:pPr>
            <w:r/>
            <w:r>
              <w:rPr>
                <w:rFonts w:ascii="Arial" w:hAnsi="Arial" w:cs="Arial"/>
                <w:b w:val="0"/>
                <w:i w:val="0"/>
                <w:sz w:val="17"/>
              </w:rPr>
              <w:t>Snooze / dismiss</w:t>
            </w:r>
          </w:p>
        </w:tc>
        <w:tc>
          <w:tcPr>
            <w:tcW w:type="dxa" w:w="4819"/>
          </w:tcPr>
          <w:p>
            <w:pPr>
              <w:spacing w:after="20" w:before="20" w:line="240" w:lineRule="auto"/>
            </w:pPr>
            <w:r/>
            <w:r>
              <w:rPr>
                <w:rFonts w:ascii="Arial" w:hAnsi="Arial" w:cs="Arial"/>
                <w:b w:val="0"/>
                <w:i w:val="0"/>
                <w:sz w:val="17"/>
              </w:rPr>
              <w:t>Snooze 2h / 4h / 8h / 24h; item reappears early if urgency rises by ≥10 points; dismissed items move to history, never deleted</w:t>
            </w:r>
          </w:p>
        </w:tc>
      </w:tr>
      <w:tr>
        <w:tc>
          <w:tcPr>
            <w:tcW w:type="dxa" w:w="4819"/>
          </w:tcPr>
          <w:p>
            <w:pPr>
              <w:spacing w:after="20" w:before="20" w:line="240" w:lineRule="auto"/>
            </w:pPr>
            <w:r/>
            <w:r>
              <w:rPr>
                <w:rFonts w:ascii="Arial" w:hAnsi="Arial" w:cs="Arial"/>
                <w:b w:val="0"/>
                <w:i w:val="0"/>
                <w:sz w:val="17"/>
              </w:rPr>
              <w:t>Synchronisation</w:t>
            </w:r>
          </w:p>
        </w:tc>
        <w:tc>
          <w:tcPr>
            <w:tcW w:type="dxa" w:w="4819"/>
          </w:tcPr>
          <w:p>
            <w:pPr>
              <w:spacing w:after="20" w:before="20" w:line="240" w:lineRule="auto"/>
            </w:pPr>
            <w:r/>
            <w:r>
              <w:rPr>
                <w:rFonts w:ascii="Arial" w:hAnsi="Arial" w:cs="Arial"/>
                <w:b w:val="0"/>
                <w:i w:val="0"/>
                <w:sz w:val="17"/>
              </w:rPr>
              <w:t>Snooze/dismiss publish NATS events; all sessions update in real time; conflicts resolved last-write-wins with the losing write logged</w:t>
            </w:r>
          </w:p>
        </w:tc>
      </w:tr>
      <w:tr>
        <w:tc>
          <w:tcPr>
            <w:tcW w:type="dxa" w:w="4819"/>
          </w:tcPr>
          <w:p>
            <w:pPr>
              <w:spacing w:after="20" w:before="20" w:line="240" w:lineRule="auto"/>
            </w:pPr>
            <w:r/>
            <w:r>
              <w:rPr>
                <w:rFonts w:ascii="Arial" w:hAnsi="Arial" w:cs="Arial"/>
                <w:b w:val="0"/>
                <w:i w:val="0"/>
                <w:sz w:val="17"/>
              </w:rPr>
              <w:t>Multi-shipment awareness</w:t>
            </w:r>
          </w:p>
        </w:tc>
        <w:tc>
          <w:tcPr>
            <w:tcW w:type="dxa" w:w="4819"/>
          </w:tcPr>
          <w:p>
            <w:pPr>
              <w:spacing w:after="20" w:before="20" w:line="240" w:lineRule="auto"/>
            </w:pPr>
            <w:r/>
            <w:r>
              <w:rPr>
                <w:rFonts w:ascii="Arial" w:hAnsi="Arial" w:cs="Arial"/>
                <w:b w:val="0"/>
                <w:i w:val="0"/>
                <w:sz w:val="17"/>
              </w:rPr>
              <w:t>Items appear per shipment when that specific shipment requires action</w:t>
            </w:r>
          </w:p>
        </w:tc>
      </w:tr>
      <w:tr>
        <w:tc>
          <w:tcPr>
            <w:tcW w:type="dxa" w:w="4819"/>
          </w:tcPr>
          <w:p>
            <w:pPr>
              <w:spacing w:after="20" w:before="20" w:line="240" w:lineRule="auto"/>
            </w:pPr>
            <w:r/>
            <w:r>
              <w:rPr>
                <w:rFonts w:ascii="Arial" w:hAnsi="Arial" w:cs="Arial"/>
                <w:b w:val="0"/>
                <w:i w:val="0"/>
                <w:sz w:val="17"/>
              </w:rPr>
              <w:t>Financing awareness</w:t>
            </w:r>
          </w:p>
        </w:tc>
        <w:tc>
          <w:tcPr>
            <w:tcW w:type="dxa" w:w="4819"/>
          </w:tcPr>
          <w:p>
            <w:pPr>
              <w:spacing w:after="20" w:before="20" w:line="240" w:lineRule="auto"/>
            </w:pPr>
            <w:r/>
            <w:r>
              <w:rPr>
                <w:rFonts w:ascii="Arial" w:hAnsi="Arial" w:cs="Arial"/>
                <w:b w:val="0"/>
                <w:i w:val="0"/>
                <w:sz w:val="17"/>
              </w:rPr>
              <w:t>Financiers see bids pending, margin-call notices, repayment reminders, and co-financing opportunities</w:t>
            </w:r>
          </w:p>
        </w:tc>
      </w:tr>
      <w:tr>
        <w:tc>
          <w:tcPr>
            <w:tcW w:type="dxa" w:w="4819"/>
          </w:tcPr>
          <w:p>
            <w:pPr>
              <w:spacing w:after="20" w:before="20" w:line="240" w:lineRule="auto"/>
            </w:pPr>
            <w:r/>
            <w:r>
              <w:rPr>
                <w:rFonts w:ascii="Arial" w:hAnsi="Arial" w:cs="Arial"/>
                <w:b w:val="0"/>
                <w:i w:val="0"/>
                <w:sz w:val="17"/>
              </w:rPr>
              <w:t>Data model</w:t>
            </w:r>
          </w:p>
        </w:tc>
        <w:tc>
          <w:tcPr>
            <w:tcW w:type="dxa" w:w="4819"/>
          </w:tcPr>
          <w:p>
            <w:pPr>
              <w:spacing w:after="20" w:before="20" w:line="240" w:lineRule="auto"/>
            </w:pPr>
            <w:r/>
            <w:r>
              <w:rPr>
                <w:rFonts w:ascii="Arial" w:hAnsi="Arial" w:cs="Arial"/>
                <w:b w:val="0"/>
                <w:i w:val="0"/>
                <w:sz w:val="17"/>
              </w:rPr>
              <w:t>inbox_items, inbox_history, inbox_preferences (Section 17)</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2.5.2 Trade Command Center (Universal Landing Dashboard)</w:t>
      </w:r>
    </w:p>
    <w:p>
      <w:pPr>
        <w:spacing w:after="80" w:line="293" w:lineRule="auto"/>
        <w:jc w:val="left"/>
      </w:pPr>
      <w:r>
        <w:rPr>
          <w:rFonts w:ascii="Times New Roman" w:hAnsi="Times New Roman" w:cs="Times New Roman"/>
          <w:b w:val="0"/>
          <w:i w:val="0"/>
          <w:sz w:val="22"/>
        </w:rPr>
        <w:t>The Trade Command Center is the primary post-login landing surface for all authenticated users, providing unified trade visibility, pending actions, compliance alerts, financial status, workflow shortcuts, and AI assistant access in one place. It is role-adaptive and real-time (NATS WebSocket), WCAG 2.2 AA compliant, and strictly non-marketplace: it never suggests counterparties or unsolicited actions.</w:t>
      </w:r>
    </w:p>
    <w:p>
      <w:pPr>
        <w:spacing w:after="80" w:line="293" w:lineRule="auto"/>
        <w:jc w:val="left"/>
      </w:pPr>
      <w:r>
        <w:rPr>
          <w:rFonts w:ascii="Times New Roman" w:hAnsi="Times New Roman" w:cs="Times New Roman"/>
          <w:b w:val="0"/>
          <w:i w:val="0"/>
          <w:sz w:val="22"/>
        </w:rPr>
        <w:t>Core panels: executive summary cards (key metrics with trend indicators, one-click drill-through); a quick-actions grid (maximum eight, role- and mode-aware, configurable); the AI Operations Assistant (A1, chat panel with natural-language queries and one-click action execution); a recent activity feed (last 20 actions across accessible portals, real-time); an external integrations health widget (Nafeza, CargoX, ETA, bank integration status aggregated every 10 seconds); and the Trade Health Score engine.</w:t>
      </w:r>
    </w:p>
    <w:p>
      <w:pPr>
        <w:spacing w:after="80" w:line="293" w:lineRule="auto"/>
        <w:jc w:val="left"/>
      </w:pPr>
      <w:r>
        <w:rPr>
          <w:rFonts w:ascii="Times New Roman" w:hAnsi="Times New Roman" w:cs="Times New Roman"/>
          <w:b w:val="0"/>
          <w:i w:val="0"/>
          <w:sz w:val="22"/>
        </w:rPr>
        <w:t>Trade Health Score (0–100 composite). Weighted as Compliance 20% + Documentation 20% + Logistics 15% + Payment 15% + Risk 20% + Timeline 10% (formula and component definitions in Section 16.13.8).</w:t>
      </w:r>
    </w:p>
    <w:p>
      <w:pPr>
        <w:spacing w:after="80" w:line="293" w:lineRule="auto"/>
        <w:jc w:val="left"/>
      </w:pPr>
      <w:r>
        <w:rPr>
          <w:rFonts w:ascii="Times New Roman" w:hAnsi="Times New Roman" w:cs="Times New Roman"/>
          <w:b w:val="0"/>
          <w:i w:val="0"/>
          <w:sz w:val="22"/>
        </w:rPr>
        <w:t>Each component is a 0–100 sub-score. The score is calculated on the fly and may be materialised for analytics (trade_health_scores materialised view, refreshed every 15 minutes or on any state change). Clicking a score opens a Health Breakdown Panel with component sub-scores and an AI-generated plain-language summary (A1).</w:t>
      </w:r>
    </w:p>
    <w:p>
      <w:pPr>
        <w:keepNext/>
        <w:spacing w:before="180" w:after="80"/>
        <w:outlineLvl w:val="2"/>
      </w:pPr>
      <w:r>
        <w:rPr>
          <w:rFonts w:ascii="Arial" w:hAnsi="Arial" w:cs="Arial"/>
          <w:b/>
          <w:i w:val="0"/>
          <w:color w:val="333333"/>
          <w:sz w:val="23"/>
        </w:rPr>
        <w:t>2.5.3 Dual Trader-Mode Context</w:t>
      </w:r>
    </w:p>
    <w:p>
      <w:pPr>
        <w:spacing w:after="80" w:line="293" w:lineRule="auto"/>
        <w:jc w:val="left"/>
      </w:pPr>
      <w:r>
        <w:rPr>
          <w:rFonts w:ascii="Times New Roman" w:hAnsi="Times New Roman" w:cs="Times New Roman"/>
          <w:b w:val="0"/>
          <w:i w:val="0"/>
          <w:sz w:val="22"/>
        </w:rPr>
        <w:t>Tenants operate in BUY, SELL, or DUAL trader mode. Every session carries an active trader-mode context as a JWT claim; the context switch is an explicit, audited action (POST /v1/employee/switch-context). OPA policies prevent cross-mode actions, and the Smart Inbox, Command Center, and workflows all filter on the active context. A DUAL tenant sees a combined view with an always-visible mode toggle.</w:t>
      </w:r>
    </w:p>
    <w:p>
      <w:pPr>
        <w:keepNext/>
        <w:spacing w:before="180" w:after="80"/>
        <w:outlineLvl w:val="2"/>
      </w:pPr>
      <w:r>
        <w:rPr>
          <w:rFonts w:ascii="Arial" w:hAnsi="Arial" w:cs="Arial"/>
          <w:b/>
          <w:i w:val="0"/>
          <w:color w:val="333333"/>
          <w:sz w:val="23"/>
        </w:rPr>
        <w:t>2.5.4 Universal Search &amp; USTN Resolution</w:t>
      </w:r>
    </w:p>
    <w:p>
      <w:pPr>
        <w:spacing w:after="80" w:line="293" w:lineRule="auto"/>
        <w:jc w:val="left"/>
      </w:pPr>
      <w:r>
        <w:rPr>
          <w:rFonts w:ascii="Times New Roman" w:hAnsi="Times New Roman" w:cs="Times New Roman"/>
          <w:b w:val="0"/>
          <w:i w:val="0"/>
          <w:sz w:val="22"/>
        </w:rPr>
        <w:t>Authenticated search across the user's authorised universe (shipments, quotes, contracts, financing agreements, disputes, contacts) is exposed at GET /v1/search and surfaced in the Command Center. USTN references autocomplete from the user's own recent USTNs only. A manually typed USTN is validated in real time against the canonical format and, if valid, resolves to a summary card (status, parties, commodity) without form submission. Resolution for third parties is role-filtered by GET /v1/ustn/{ustn}.</w:t>
      </w:r>
    </w:p>
    <w:p>
      <w:pPr>
        <w:keepNext/>
        <w:spacing w:before="240" w:after="100"/>
        <w:outlineLvl w:val="1"/>
      </w:pPr>
      <w:r>
        <w:rPr>
          <w:rFonts w:ascii="Arial" w:hAnsi="Arial" w:cs="Arial"/>
          <w:b/>
          <w:i w:val="0"/>
          <w:color w:val="2E528F"/>
          <w:sz w:val="26"/>
        </w:rPr>
        <w:t>2.6 Non-Marketplace Boundary</w:t>
      </w:r>
    </w:p>
    <w:p>
      <w:pPr>
        <w:spacing w:after="80" w:line="293" w:lineRule="auto"/>
        <w:jc w:val="left"/>
      </w:pPr>
      <w:r>
        <w:rPr>
          <w:rFonts w:ascii="Times New Roman" w:hAnsi="Times New Roman" w:cs="Times New Roman"/>
          <w:b w:val="0"/>
          <w:i w:val="0"/>
          <w:sz w:val="22"/>
        </w:rPr>
        <w:t>SGTX is constitutionally non-marketplace. The platform performs no public matching, ranking, recommendation, or discovery of counterparties. All trade relationships are relationship-controlled: they exist between parties who already know each other, expressed through the Network / Saved-Contacts model and explicit GTID references. Trust analytics (GNN) serve known parties only and never recommend or rank counterparties. Every portal, inbox, command center, and AI assistant inherits this boundary; any feature that would surface an unsolicited counterparty is a constitutional violation and must be rejected at design review.</w:t>
      </w:r>
    </w:p>
    <w:p>
      <w:pPr>
        <w:keepNext/>
        <w:spacing w:before="360" w:after="160"/>
        <w:outlineLvl w:val="0"/>
      </w:pPr>
      <w:r>
        <w:rPr>
          <w:rFonts w:ascii="Arial" w:hAnsi="Arial" w:cs="Arial"/>
          <w:b/>
          <w:i w:val="0"/>
          <w:color w:val="1F3864"/>
          <w:sz w:val="32"/>
        </w:rPr>
        <w:t>3. Constitutional Foundation (Layer 0 — Immutable)</w:t>
      </w:r>
    </w:p>
    <w:p>
      <w:pPr>
        <w:spacing w:after="80" w:line="293" w:lineRule="auto"/>
        <w:jc w:val="left"/>
      </w:pPr>
      <w:r>
        <w:rPr>
          <w:rFonts w:ascii="Times New Roman" w:hAnsi="Times New Roman" w:cs="Times New Roman"/>
          <w:b w:val="0"/>
          <w:i w:val="0"/>
          <w:sz w:val="22"/>
        </w:rPr>
        <w:t>The Constitutional &amp; Governance Layer — the immune system of SGTX — is the immutable, non-negotiable core of the platform. It ensures that every irreversible action — contract lock, milestone confirmation, fee payment, settlement — is explicitly authorised by a combination of human intent, codified policy (Open Policy Agent), constitutional law (WasmEdge, executing deterministic WebAssembly modules), and advisory AI. No action bypasses this layer. The platform never recommends, ranks, or introduces counterparties; it executes only what users explicitly instruct, after rigorous verification. The core components of the layer — the Governor service, the OPA policy engine, the WasmEdge constitutional engine, the Loom audit chain, and the AI Orchestrator — are self-hosted and open source.</w:t>
      </w:r>
    </w:p>
    <w:p>
      <w:pPr>
        <w:spacing w:after="80" w:line="293" w:lineRule="auto"/>
        <w:jc w:val="left"/>
      </w:pPr>
      <w:r>
        <w:rPr>
          <w:rFonts w:ascii="Times New Roman" w:hAnsi="Times New Roman" w:cs="Times New Roman"/>
          <w:b w:val="0"/>
          <w:i w:val="0"/>
          <w:sz w:val="22"/>
        </w:rPr>
        <w:t>Throughout the governance flow, AI assists by autocompleting policy-relevant data, pre-filling forms, and explaining blocked actions — but it never recommends which action to take and never suggests counterparties. This section defines the Governor principles (G1–G7), the 29-Point Transaction Constitution, the AI Authority Ladder (A0–A5), the AI Agent Registry with its fallback chains, and the complete Constitutional Enforcement Stack. The Universal Shipment Tracking Number (USTN) — the canonical trade namespace referenced by constitutional Points 14, 17, 19, and 29 — is specified in Section 5. The complete gate-by-gate enforcement matrix is specified in Section 15.</w:t>
      </w:r>
    </w:p>
    <w:p>
      <w:pPr>
        <w:keepNext/>
        <w:spacing w:before="240" w:after="100"/>
        <w:outlineLvl w:val="1"/>
      </w:pPr>
      <w:r>
        <w:rPr>
          <w:rFonts w:ascii="Arial" w:hAnsi="Arial" w:cs="Arial"/>
          <w:b/>
          <w:i w:val="0"/>
          <w:color w:val="2E528F"/>
          <w:sz w:val="26"/>
        </w:rPr>
        <w:t>3.1 Governor Principles (G1–G7)</w:t>
      </w:r>
    </w:p>
    <w:p>
      <w:pPr>
        <w:spacing w:after="80" w:line="293" w:lineRule="auto"/>
        <w:jc w:val="left"/>
      </w:pPr>
      <w:r>
        <w:rPr>
          <w:rFonts w:ascii="Times New Roman" w:hAnsi="Times New Roman" w:cs="Times New Roman"/>
          <w:b w:val="0"/>
          <w:i w:val="0"/>
          <w:sz w:val="22"/>
        </w:rPr>
        <w:t>Seven principles govern every decision the platform makes. Each is a Layer 0 invariant: no implementation, configuration, or operational decision may violate it.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Principle</w:t>
            </w:r>
          </w:p>
        </w:tc>
        <w:tc>
          <w:tcPr>
            <w:tcW w:type="dxa" w:w="3213"/>
            <w:shd w:val="clear" w:fill="D9E2F3"/>
          </w:tcPr>
          <w:p>
            <w:pPr>
              <w:spacing w:after="20" w:before="20" w:line="240" w:lineRule="auto"/>
            </w:pPr>
            <w:r/>
            <w:r>
              <w:rPr>
                <w:rFonts w:ascii="Arial" w:hAnsi="Arial" w:cs="Arial"/>
                <w:b/>
                <w:i w:val="0"/>
                <w:sz w:val="18"/>
              </w:rPr>
              <w:t>Statement</w:t>
            </w:r>
          </w:p>
        </w:tc>
        <w:tc>
          <w:tcPr>
            <w:tcW w:type="dxa" w:w="3213"/>
            <w:shd w:val="clear" w:fill="D9E2F3"/>
          </w:tcPr>
          <w:p>
            <w:pPr>
              <w:spacing w:after="20" w:before="20" w:line="240" w:lineRule="auto"/>
            </w:pPr>
            <w:r/>
            <w:r>
              <w:rPr>
                <w:rFonts w:ascii="Arial" w:hAnsi="Arial" w:cs="Arial"/>
                <w:b/>
                <w:i w:val="0"/>
                <w:sz w:val="18"/>
              </w:rPr>
              <w:t>Enforcement</w:t>
            </w:r>
          </w:p>
        </w:tc>
      </w:tr>
      <w:tr>
        <w:tc>
          <w:tcPr>
            <w:tcW w:type="dxa" w:w="3213"/>
          </w:tcPr>
          <w:p>
            <w:pPr>
              <w:spacing w:after="20" w:before="20" w:line="240" w:lineRule="auto"/>
            </w:pPr>
            <w:r/>
            <w:r>
              <w:rPr>
                <w:rFonts w:ascii="Arial" w:hAnsi="Arial" w:cs="Arial"/>
                <w:b w:val="0"/>
                <w:i w:val="0"/>
                <w:sz w:val="17"/>
              </w:rPr>
              <w:t>G1 — Execution Always Gated</w:t>
            </w:r>
          </w:p>
        </w:tc>
        <w:tc>
          <w:tcPr>
            <w:tcW w:type="dxa" w:w="3213"/>
          </w:tcPr>
          <w:p>
            <w:pPr>
              <w:spacing w:after="20" w:before="20" w:line="240" w:lineRule="auto"/>
            </w:pPr>
            <w:r/>
            <w:r>
              <w:rPr>
                <w:rFonts w:ascii="Arial" w:hAnsi="Arial" w:cs="Arial"/>
                <w:b w:val="0"/>
                <w:i w:val="0"/>
                <w:sz w:val="17"/>
              </w:rPr>
              <w:t>Every irreversible action requires Governor approval before execution</w:t>
            </w:r>
          </w:p>
        </w:tc>
        <w:tc>
          <w:tcPr>
            <w:tcW w:type="dxa" w:w="3213"/>
          </w:tcPr>
          <w:p>
            <w:pPr>
              <w:spacing w:after="20" w:before="20" w:line="240" w:lineRule="auto"/>
            </w:pPr>
            <w:r/>
            <w:r>
              <w:rPr>
                <w:rFonts w:ascii="Arial" w:hAnsi="Arial" w:cs="Arial"/>
                <w:b w:val="0"/>
                <w:i w:val="0"/>
                <w:sz w:val="17"/>
              </w:rPr>
              <w:t>All mutating API endpoints call governorDecide()</w:t>
            </w:r>
          </w:p>
        </w:tc>
      </w:tr>
      <w:tr>
        <w:tc>
          <w:tcPr>
            <w:tcW w:type="dxa" w:w="3213"/>
          </w:tcPr>
          <w:p>
            <w:pPr>
              <w:spacing w:after="20" w:before="20" w:line="240" w:lineRule="auto"/>
            </w:pPr>
            <w:r/>
            <w:r>
              <w:rPr>
                <w:rFonts w:ascii="Arial" w:hAnsi="Arial" w:cs="Arial"/>
                <w:b w:val="0"/>
                <w:i w:val="0"/>
                <w:sz w:val="17"/>
              </w:rPr>
              <w:t>G2 — OPA Enforced</w:t>
            </w:r>
          </w:p>
        </w:tc>
        <w:tc>
          <w:tcPr>
            <w:tcW w:type="dxa" w:w="3213"/>
          </w:tcPr>
          <w:p>
            <w:pPr>
              <w:spacing w:after="20" w:before="20" w:line="240" w:lineRule="auto"/>
            </w:pPr>
            <w:r/>
            <w:r>
              <w:rPr>
                <w:rFonts w:ascii="Arial" w:hAnsi="Arial" w:cs="Arial"/>
                <w:b w:val="0"/>
                <w:i w:val="0"/>
                <w:sz w:val="17"/>
              </w:rPr>
              <w:t>Open Policy Agent evaluates every decision against authored policies</w:t>
            </w:r>
          </w:p>
        </w:tc>
        <w:tc>
          <w:tcPr>
            <w:tcW w:type="dxa" w:w="3213"/>
          </w:tcPr>
          <w:p>
            <w:pPr>
              <w:spacing w:after="20" w:before="20" w:line="240" w:lineRule="auto"/>
            </w:pPr>
            <w:r/>
            <w:r>
              <w:rPr>
                <w:rFonts w:ascii="Arial" w:hAnsi="Arial" w:cs="Arial"/>
                <w:b w:val="0"/>
                <w:i w:val="0"/>
                <w:sz w:val="17"/>
              </w:rPr>
              <w:t>OPA sidecar; DENY is blocking</w:t>
            </w:r>
          </w:p>
        </w:tc>
      </w:tr>
      <w:tr>
        <w:tc>
          <w:tcPr>
            <w:tcW w:type="dxa" w:w="3213"/>
          </w:tcPr>
          <w:p>
            <w:pPr>
              <w:spacing w:after="20" w:before="20" w:line="240" w:lineRule="auto"/>
            </w:pPr>
            <w:r/>
            <w:r>
              <w:rPr>
                <w:rFonts w:ascii="Arial" w:hAnsi="Arial" w:cs="Arial"/>
                <w:b w:val="0"/>
                <w:i w:val="0"/>
                <w:sz w:val="17"/>
              </w:rPr>
              <w:t>G3 — WasmEdge Constitutional</w:t>
            </w:r>
          </w:p>
        </w:tc>
        <w:tc>
          <w:tcPr>
            <w:tcW w:type="dxa" w:w="3213"/>
          </w:tcPr>
          <w:p>
            <w:pPr>
              <w:spacing w:after="20" w:before="20" w:line="240" w:lineRule="auto"/>
            </w:pPr>
            <w:r/>
            <w:r>
              <w:rPr>
                <w:rFonts w:ascii="Arial" w:hAnsi="Arial" w:cs="Arial"/>
                <w:b w:val="0"/>
                <w:i w:val="0"/>
                <w:sz w:val="17"/>
              </w:rPr>
              <w:t>Constitutional rules execute as deterministic WebAssembly modules</w:t>
            </w:r>
          </w:p>
        </w:tc>
        <w:tc>
          <w:tcPr>
            <w:tcW w:type="dxa" w:w="3213"/>
          </w:tcPr>
          <w:p>
            <w:pPr>
              <w:spacing w:after="20" w:before="20" w:line="240" w:lineRule="auto"/>
            </w:pPr>
            <w:r/>
            <w:r>
              <w:rPr>
                <w:rFonts w:ascii="Arial" w:hAnsi="Arial" w:cs="Arial"/>
                <w:b w:val="0"/>
                <w:i w:val="0"/>
                <w:sz w:val="17"/>
              </w:rPr>
              <w:t>Compiled from Layer 0; cannot be overridden</w:t>
            </w:r>
          </w:p>
        </w:tc>
      </w:tr>
      <w:tr>
        <w:tc>
          <w:tcPr>
            <w:tcW w:type="dxa" w:w="3213"/>
          </w:tcPr>
          <w:p>
            <w:pPr>
              <w:spacing w:after="20" w:before="20" w:line="240" w:lineRule="auto"/>
            </w:pPr>
            <w:r/>
            <w:r>
              <w:rPr>
                <w:rFonts w:ascii="Arial" w:hAnsi="Arial" w:cs="Arial"/>
                <w:b w:val="0"/>
                <w:i w:val="0"/>
                <w:sz w:val="17"/>
              </w:rPr>
              <w:t>G4 — Loom Audited</w:t>
            </w:r>
          </w:p>
        </w:tc>
        <w:tc>
          <w:tcPr>
            <w:tcW w:type="dxa" w:w="3213"/>
          </w:tcPr>
          <w:p>
            <w:pPr>
              <w:spacing w:after="20" w:before="20" w:line="240" w:lineRule="auto"/>
            </w:pPr>
            <w:r/>
            <w:r>
              <w:rPr>
                <w:rFonts w:ascii="Arial" w:hAnsi="Arial" w:cs="Arial"/>
                <w:b w:val="0"/>
                <w:i w:val="0"/>
                <w:sz w:val="17"/>
              </w:rPr>
              <w:t>Every decision appended to the SHA-256 hash-chained Loom audit log</w:t>
            </w:r>
          </w:p>
        </w:tc>
        <w:tc>
          <w:tcPr>
            <w:tcW w:type="dxa" w:w="3213"/>
          </w:tcPr>
          <w:p>
            <w:pPr>
              <w:spacing w:after="20" w:before="20" w:line="240" w:lineRule="auto"/>
            </w:pPr>
            <w:r/>
            <w:r>
              <w:rPr>
                <w:rFonts w:ascii="Arial" w:hAnsi="Arial" w:cs="Arial"/>
                <w:b w:val="0"/>
                <w:i w:val="0"/>
                <w:sz w:val="17"/>
              </w:rPr>
              <w:t>Immutable, append-only, externally verifiable</w:t>
            </w:r>
          </w:p>
        </w:tc>
      </w:tr>
      <w:tr>
        <w:tc>
          <w:tcPr>
            <w:tcW w:type="dxa" w:w="3213"/>
          </w:tcPr>
          <w:p>
            <w:pPr>
              <w:spacing w:after="20" w:before="20" w:line="240" w:lineRule="auto"/>
            </w:pPr>
            <w:r/>
            <w:r>
              <w:rPr>
                <w:rFonts w:ascii="Arial" w:hAnsi="Arial" w:cs="Arial"/>
                <w:b w:val="0"/>
                <w:i w:val="0"/>
                <w:sz w:val="17"/>
              </w:rPr>
              <w:t>G5 — Multisig for Irreversible</w:t>
            </w:r>
          </w:p>
        </w:tc>
        <w:tc>
          <w:tcPr>
            <w:tcW w:type="dxa" w:w="3213"/>
          </w:tcPr>
          <w:p>
            <w:pPr>
              <w:spacing w:after="20" w:before="20" w:line="240" w:lineRule="auto"/>
            </w:pPr>
            <w:r/>
            <w:r>
              <w:rPr>
                <w:rFonts w:ascii="Arial" w:hAnsi="Arial" w:cs="Arial"/>
                <w:b w:val="0"/>
                <w:i w:val="0"/>
                <w:sz w:val="17"/>
              </w:rPr>
              <w:t>Irreversible actions require multisig (2-of-3 standard, 3-of-5 constitutional)</w:t>
            </w:r>
          </w:p>
        </w:tc>
        <w:tc>
          <w:tcPr>
            <w:tcW w:type="dxa" w:w="3213"/>
          </w:tcPr>
          <w:p>
            <w:pPr>
              <w:spacing w:after="20" w:before="20" w:line="240" w:lineRule="auto"/>
            </w:pPr>
            <w:r/>
            <w:r>
              <w:rPr>
                <w:rFonts w:ascii="Arial" w:hAnsi="Arial" w:cs="Arial"/>
                <w:b w:val="0"/>
                <w:i w:val="0"/>
                <w:sz w:val="17"/>
              </w:rPr>
              <w:t>Qualified Electronic Signature required</w:t>
            </w:r>
          </w:p>
        </w:tc>
      </w:tr>
      <w:tr>
        <w:tc>
          <w:tcPr>
            <w:tcW w:type="dxa" w:w="3213"/>
          </w:tcPr>
          <w:p>
            <w:pPr>
              <w:spacing w:after="20" w:before="20" w:line="240" w:lineRule="auto"/>
            </w:pPr>
            <w:r/>
            <w:r>
              <w:rPr>
                <w:rFonts w:ascii="Arial" w:hAnsi="Arial" w:cs="Arial"/>
                <w:b w:val="0"/>
                <w:i w:val="0"/>
                <w:sz w:val="17"/>
              </w:rPr>
              <w:t>G6 — AI Advisory Only</w:t>
            </w:r>
          </w:p>
        </w:tc>
        <w:tc>
          <w:tcPr>
            <w:tcW w:type="dxa" w:w="3213"/>
          </w:tcPr>
          <w:p>
            <w:pPr>
              <w:spacing w:after="20" w:before="20" w:line="240" w:lineRule="auto"/>
            </w:pPr>
            <w:r/>
            <w:r>
              <w:rPr>
                <w:rFonts w:ascii="Arial" w:hAnsi="Arial" w:cs="Arial"/>
                <w:b w:val="0"/>
                <w:i w:val="0"/>
                <w:sz w:val="17"/>
              </w:rPr>
              <w:t>AI (A1–A3) proposes, explains, classifies, escalates — never executes</w:t>
            </w:r>
          </w:p>
        </w:tc>
        <w:tc>
          <w:tcPr>
            <w:tcW w:type="dxa" w:w="3213"/>
          </w:tcPr>
          <w:p>
            <w:pPr>
              <w:spacing w:after="20" w:before="20" w:line="240" w:lineRule="auto"/>
            </w:pPr>
            <w:r/>
            <w:r>
              <w:rPr>
                <w:rFonts w:ascii="Arial" w:hAnsi="Arial" w:cs="Arial"/>
                <w:b w:val="0"/>
                <w:i w:val="0"/>
                <w:sz w:val="17"/>
              </w:rPr>
              <w:t>A4 is deterministic policy execution, not AI autonomy</w:t>
            </w:r>
          </w:p>
        </w:tc>
      </w:tr>
      <w:tr>
        <w:tc>
          <w:tcPr>
            <w:tcW w:type="dxa" w:w="3213"/>
          </w:tcPr>
          <w:p>
            <w:pPr>
              <w:spacing w:after="20" w:before="20" w:line="240" w:lineRule="auto"/>
            </w:pPr>
            <w:r/>
            <w:r>
              <w:rPr>
                <w:rFonts w:ascii="Arial" w:hAnsi="Arial" w:cs="Arial"/>
                <w:b w:val="0"/>
                <w:i w:val="0"/>
                <w:sz w:val="17"/>
              </w:rPr>
              <w:t>G7 — Bank-Authoritative Settlement</w:t>
            </w:r>
          </w:p>
        </w:tc>
        <w:tc>
          <w:tcPr>
            <w:tcW w:type="dxa" w:w="3213"/>
          </w:tcPr>
          <w:p>
            <w:pPr>
              <w:spacing w:after="20" w:before="20" w:line="240" w:lineRule="auto"/>
            </w:pPr>
            <w:r/>
            <w:r>
              <w:rPr>
                <w:rFonts w:ascii="Arial" w:hAnsi="Arial" w:cs="Arial"/>
                <w:b w:val="0"/>
                <w:i w:val="0"/>
                <w:sz w:val="17"/>
              </w:rPr>
              <w:t>Banks confirm settlement; SGTX orchestrates but never settles</w:t>
            </w:r>
          </w:p>
        </w:tc>
        <w:tc>
          <w:tcPr>
            <w:tcW w:type="dxa" w:w="3213"/>
          </w:tcPr>
          <w:p>
            <w:pPr>
              <w:spacing w:after="20" w:before="20" w:line="240" w:lineRule="auto"/>
            </w:pPr>
            <w:r/>
            <w:r>
              <w:rPr>
                <w:rFonts w:ascii="Arial" w:hAnsi="Arial" w:cs="Arial"/>
                <w:b w:val="0"/>
                <w:i w:val="0"/>
                <w:sz w:val="17"/>
              </w:rPr>
              <w:t>Bank Settlement Gateway is non-custodial</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Full enforcement mechanisms:</w:t>
      </w:r>
    </w:p>
    <w:p>
      <w:pPr>
        <w:spacing w:after="80" w:line="293" w:lineRule="auto"/>
        <w:jc w:val="left"/>
      </w:pPr>
      <w:r>
        <w:rPr>
          <w:rFonts w:ascii="Times New Roman" w:hAnsi="Times New Roman" w:cs="Times New Roman"/>
          <w:b w:val="0"/>
          <w:i w:val="0"/>
          <w:sz w:val="22"/>
        </w:rPr>
        <w:t>G1 — Execution Always Gated. The Governor is a Rust Axum service that intercepts every API request that modifies state. Every mutating endpoint calls `governorDecide()` with the actor, the action, and the full transactional context before any state change is committed. The API Gateway routes all mutating traffic through the Governor proxy, so an ungated state change cannot be constructed — there is no administrative bypass and no direct database path that skips the Governor.</w:t>
      </w:r>
    </w:p>
    <w:p>
      <w:pPr>
        <w:spacing w:after="80" w:line="293" w:lineRule="auto"/>
        <w:jc w:val="left"/>
      </w:pPr>
      <w:r>
        <w:rPr>
          <w:rFonts w:ascii="Times New Roman" w:hAnsi="Times New Roman" w:cs="Times New Roman"/>
          <w:b w:val="0"/>
          <w:i w:val="0"/>
          <w:sz w:val="22"/>
        </w:rPr>
        <w:t>G2 — OPA Enforced. Open Policy Agent (OPA) evaluates every decision against authored Rego policies running as a sidecar next to the Governor. A DENY verdict from OPA is blocking; no downstream component can override it. Policies can be hot-reloaded only after multisig approval, and the policy version used in each decision is recorded with that decision.</w:t>
      </w:r>
    </w:p>
    <w:p>
      <w:pPr>
        <w:spacing w:after="80" w:line="293" w:lineRule="auto"/>
        <w:jc w:val="left"/>
      </w:pPr>
      <w:r>
        <w:rPr>
          <w:rFonts w:ascii="Times New Roman" w:hAnsi="Times New Roman" w:cs="Times New Roman"/>
          <w:b w:val="0"/>
          <w:i w:val="0"/>
          <w:sz w:val="22"/>
        </w:rPr>
        <w:t>G3 — WasmEdge Constitutional. Constitutional rules execute as deterministic WebAssembly (WASM) modules in the WasmEdge runtime. The modules are compiled from Layer 0, signed by the Platform Governance Authority, sandboxed with no network or filesystem access, and bounded by a hard 50 ms execution timeout. They cannot be overridden by any user, administrator, or application code.</w:t>
      </w:r>
    </w:p>
    <w:p>
      <w:pPr>
        <w:spacing w:after="80" w:line="293" w:lineRule="auto"/>
        <w:jc w:val="left"/>
      </w:pPr>
      <w:r>
        <w:rPr>
          <w:rFonts w:ascii="Times New Roman" w:hAnsi="Times New Roman" w:cs="Times New Roman"/>
          <w:b w:val="0"/>
          <w:i w:val="0"/>
          <w:sz w:val="22"/>
        </w:rPr>
        <w:t>G4 — Loom Audited. Every Governor decision is appended to the Loom audit log — a purpose-built, SHA-256 hash-chained, append-only ledger. The chain is externally verifiable: any tenant or external auditor holding a verification token can replay it from genesis. A background verifier recalculates the full chain every hour; any mismatch raises a P0 incident and alerts the Platform Governance Authority.</w:t>
      </w:r>
    </w:p>
    <w:p>
      <w:pPr>
        <w:spacing w:after="80" w:line="293" w:lineRule="auto"/>
        <w:jc w:val="left"/>
      </w:pPr>
      <w:r>
        <w:rPr>
          <w:rFonts w:ascii="Times New Roman" w:hAnsi="Times New Roman" w:cs="Times New Roman"/>
          <w:b w:val="0"/>
          <w:i w:val="0"/>
          <w:sz w:val="22"/>
        </w:rPr>
        <w:t>G5 — Multisig for Irreversible. Irreversible actions require multisignature approval — 2-of-3 for standard irreversible actions and 3-of-5 for constitutional (Layer 0) changes — with a Qualified Electronic Signature (QES) required where the action carries legal effect.</w:t>
      </w:r>
    </w:p>
    <w:p>
      <w:pPr>
        <w:spacing w:after="80" w:line="293" w:lineRule="auto"/>
        <w:jc w:val="left"/>
      </w:pPr>
      <w:r>
        <w:rPr>
          <w:rFonts w:ascii="Times New Roman" w:hAnsi="Times New Roman" w:cs="Times New Roman"/>
          <w:b w:val="0"/>
          <w:i w:val="0"/>
          <w:sz w:val="22"/>
        </w:rPr>
        <w:t>G6 — AI Advisory Only. AI at authority levels A1–A3 proposes, explains, classifies, and escalates; it never executes. Level A4 is deterministic policy execution by the Governor, OPA, and WasmEdge under pre-authorised rules — not AI autonomy. Level A5 (autonomous AI execution) is constitutionally prohibited and blocked at WASM compile time.</w:t>
      </w:r>
    </w:p>
    <w:p>
      <w:pPr>
        <w:spacing w:after="80" w:line="293" w:lineRule="auto"/>
        <w:jc w:val="left"/>
      </w:pPr>
      <w:r>
        <w:rPr>
          <w:rFonts w:ascii="Times New Roman" w:hAnsi="Times New Roman" w:cs="Times New Roman"/>
          <w:b w:val="0"/>
          <w:i w:val="0"/>
          <w:sz w:val="22"/>
        </w:rPr>
        <w:t>G7 — Bank-Authoritative Settlement. Banks confirm settlement. SGTX orchestrates payment instructions through the non-custodial Bank Settlement Gateway but never holds, moves, or settles customer funds itself (see Sections 13 and 19).</w:t>
      </w:r>
    </w:p>
    <w:p>
      <w:pPr>
        <w:keepNext/>
        <w:spacing w:before="240" w:after="100"/>
        <w:outlineLvl w:val="1"/>
      </w:pPr>
      <w:r>
        <w:rPr>
          <w:rFonts w:ascii="Arial" w:hAnsi="Arial" w:cs="Arial"/>
          <w:b/>
          <w:i w:val="0"/>
          <w:color w:val="2E528F"/>
          <w:sz w:val="26"/>
        </w:rPr>
        <w:t>3.2 The 29-Point Transaction Constitution</w:t>
      </w:r>
    </w:p>
    <w:p>
      <w:pPr>
        <w:spacing w:after="80" w:line="293" w:lineRule="auto"/>
        <w:jc w:val="left"/>
      </w:pPr>
      <w:r>
        <w:rPr>
          <w:rFonts w:ascii="Times New Roman" w:hAnsi="Times New Roman" w:cs="Times New Roman"/>
          <w:b w:val="0"/>
          <w:i w:val="0"/>
          <w:sz w:val="22"/>
        </w:rPr>
        <w:t>All 29 points are immutable. No implementation may violate any point. Points 1–8 fix the platform's non-intermediary boundaries (what SGTX never is); Points 9–16 define the enforcement architecture (how every decision is governed); Points 17–21 fix the financial discipline; Points 22–29 fix trade semantics and the honesty rules that govern claims about external systems — including the bounds of the Graph Neural Network (GNN) trust analytics and the production-readiness vocabulary.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w:t>
            </w:r>
          </w:p>
        </w:tc>
        <w:tc>
          <w:tcPr>
            <w:tcW w:type="dxa" w:w="3213"/>
            <w:shd w:val="clear" w:fill="D9E2F3"/>
          </w:tcPr>
          <w:p>
            <w:pPr>
              <w:spacing w:after="20" w:before="20" w:line="240" w:lineRule="auto"/>
            </w:pPr>
            <w:r/>
            <w:r>
              <w:rPr>
                <w:rFonts w:ascii="Arial" w:hAnsi="Arial" w:cs="Arial"/>
                <w:b/>
                <w:i w:val="0"/>
                <w:sz w:val="18"/>
              </w:rPr>
              <w:t>Point</w:t>
            </w:r>
          </w:p>
        </w:tc>
        <w:tc>
          <w:tcPr>
            <w:tcW w:type="dxa" w:w="3213"/>
            <w:shd w:val="clear" w:fill="D9E2F3"/>
          </w:tcPr>
          <w:p>
            <w:pPr>
              <w:spacing w:after="20" w:before="20" w:line="240" w:lineRule="auto"/>
            </w:pPr>
            <w:r/>
            <w:r>
              <w:rPr>
                <w:rFonts w:ascii="Arial" w:hAnsi="Arial" w:cs="Arial"/>
                <w:b/>
                <w:i w:val="0"/>
                <w:sz w:val="18"/>
              </w:rPr>
              <w:t>Enforcement</w:t>
            </w:r>
          </w:p>
        </w:tc>
      </w:tr>
      <w:tr>
        <w:tc>
          <w:tcPr>
            <w:tcW w:type="dxa" w:w="3213"/>
          </w:tcPr>
          <w:p>
            <w:pPr>
              <w:spacing w:after="20" w:before="20" w:line="240" w:lineRule="auto"/>
            </w:pPr>
            <w:r/>
            <w:r>
              <w:rPr>
                <w:rFonts w:ascii="Arial" w:hAnsi="Arial" w:cs="Arial"/>
                <w:b w:val="0"/>
                <w:i w:val="0"/>
                <w:sz w:val="17"/>
              </w:rPr>
              <w:t>1</w:t>
            </w:r>
          </w:p>
        </w:tc>
        <w:tc>
          <w:tcPr>
            <w:tcW w:type="dxa" w:w="3213"/>
          </w:tcPr>
          <w:p>
            <w:pPr>
              <w:spacing w:after="20" w:before="20" w:line="240" w:lineRule="auto"/>
            </w:pPr>
            <w:r/>
            <w:r>
              <w:rPr>
                <w:rFonts w:ascii="Arial" w:hAnsi="Arial" w:cs="Arial"/>
                <w:b w:val="0"/>
                <w:i w:val="0"/>
                <w:sz w:val="17"/>
              </w:rPr>
              <w:t>Non-custodial — never holds customer funds</w:t>
            </w:r>
          </w:p>
        </w:tc>
        <w:tc>
          <w:tcPr>
            <w:tcW w:type="dxa" w:w="3213"/>
          </w:tcPr>
          <w:p>
            <w:pPr>
              <w:spacing w:after="20" w:before="20" w:line="240" w:lineRule="auto"/>
            </w:pPr>
            <w:r/>
            <w:r>
              <w:rPr>
                <w:rFonts w:ascii="Arial" w:hAnsi="Arial" w:cs="Arial"/>
                <w:b w:val="0"/>
                <w:i w:val="0"/>
                <w:sz w:val="17"/>
              </w:rPr>
              <w:t>No funds table; FeeLock is instruction only</w:t>
            </w:r>
          </w:p>
        </w:tc>
      </w:tr>
      <w:tr>
        <w:tc>
          <w:tcPr>
            <w:tcW w:type="dxa" w:w="3213"/>
          </w:tcPr>
          <w:p>
            <w:pPr>
              <w:spacing w:after="20" w:before="20" w:line="240" w:lineRule="auto"/>
            </w:pPr>
            <w:r/>
            <w:r>
              <w:rPr>
                <w:rFonts w:ascii="Arial" w:hAnsi="Arial" w:cs="Arial"/>
                <w:b w:val="0"/>
                <w:i w:val="0"/>
                <w:sz w:val="17"/>
              </w:rPr>
              <w:t>2</w:t>
            </w:r>
          </w:p>
        </w:tc>
        <w:tc>
          <w:tcPr>
            <w:tcW w:type="dxa" w:w="3213"/>
          </w:tcPr>
          <w:p>
            <w:pPr>
              <w:spacing w:after="20" w:before="20" w:line="240" w:lineRule="auto"/>
            </w:pPr>
            <w:r/>
            <w:r>
              <w:rPr>
                <w:rFonts w:ascii="Arial" w:hAnsi="Arial" w:cs="Arial"/>
                <w:b w:val="0"/>
                <w:i w:val="0"/>
                <w:sz w:val="17"/>
              </w:rPr>
              <w:t>Non-marketplace — never matches buyers with sellers</w:t>
            </w:r>
          </w:p>
        </w:tc>
        <w:tc>
          <w:tcPr>
            <w:tcW w:type="dxa" w:w="3213"/>
          </w:tcPr>
          <w:p>
            <w:pPr>
              <w:spacing w:after="20" w:before="20" w:line="240" w:lineRule="auto"/>
            </w:pPr>
            <w:r/>
            <w:r>
              <w:rPr>
                <w:rFonts w:ascii="Arial" w:hAnsi="Arial" w:cs="Arial"/>
                <w:b w:val="0"/>
                <w:i w:val="0"/>
                <w:sz w:val="17"/>
              </w:rPr>
              <w:t>Relationship-controlled only; no discovery</w:t>
            </w:r>
          </w:p>
        </w:tc>
      </w:tr>
      <w:tr>
        <w:tc>
          <w:tcPr>
            <w:tcW w:type="dxa" w:w="3213"/>
          </w:tcPr>
          <w:p>
            <w:pPr>
              <w:spacing w:after="20" w:before="20" w:line="240" w:lineRule="auto"/>
            </w:pPr>
            <w:r/>
            <w:r>
              <w:rPr>
                <w:rFonts w:ascii="Arial" w:hAnsi="Arial" w:cs="Arial"/>
                <w:b w:val="0"/>
                <w:i w:val="0"/>
                <w:sz w:val="17"/>
              </w:rPr>
              <w:t>3</w:t>
            </w:r>
          </w:p>
        </w:tc>
        <w:tc>
          <w:tcPr>
            <w:tcW w:type="dxa" w:w="3213"/>
          </w:tcPr>
          <w:p>
            <w:pPr>
              <w:spacing w:after="20" w:before="20" w:line="240" w:lineRule="auto"/>
            </w:pPr>
            <w:r/>
            <w:r>
              <w:rPr>
                <w:rFonts w:ascii="Arial" w:hAnsi="Arial" w:cs="Arial"/>
                <w:b w:val="0"/>
                <w:i w:val="0"/>
                <w:sz w:val="17"/>
              </w:rPr>
              <w:t>Non-title-taking — never takes title to goods</w:t>
            </w:r>
          </w:p>
        </w:tc>
        <w:tc>
          <w:tcPr>
            <w:tcW w:type="dxa" w:w="3213"/>
          </w:tcPr>
          <w:p>
            <w:pPr>
              <w:spacing w:after="20" w:before="20" w:line="240" w:lineRule="auto"/>
            </w:pPr>
            <w:r/>
            <w:r>
              <w:rPr>
                <w:rFonts w:ascii="Arial" w:hAnsi="Arial" w:cs="Arial"/>
                <w:b w:val="0"/>
                <w:i w:val="0"/>
                <w:sz w:val="17"/>
              </w:rPr>
              <w:t>Title governed by Incoterm and applicable law</w:t>
            </w:r>
          </w:p>
        </w:tc>
      </w:tr>
      <w:tr>
        <w:tc>
          <w:tcPr>
            <w:tcW w:type="dxa" w:w="3213"/>
          </w:tcPr>
          <w:p>
            <w:pPr>
              <w:spacing w:after="20" w:before="20" w:line="240" w:lineRule="auto"/>
            </w:pPr>
            <w:r/>
            <w:r>
              <w:rPr>
                <w:rFonts w:ascii="Arial" w:hAnsi="Arial" w:cs="Arial"/>
                <w:b w:val="0"/>
                <w:i w:val="0"/>
                <w:sz w:val="17"/>
              </w:rPr>
              <w:t>4</w:t>
            </w:r>
          </w:p>
        </w:tc>
        <w:tc>
          <w:tcPr>
            <w:tcW w:type="dxa" w:w="3213"/>
          </w:tcPr>
          <w:p>
            <w:pPr>
              <w:spacing w:after="20" w:before="20" w:line="240" w:lineRule="auto"/>
            </w:pPr>
            <w:r/>
            <w:r>
              <w:rPr>
                <w:rFonts w:ascii="Arial" w:hAnsi="Arial" w:cs="Arial"/>
                <w:b w:val="0"/>
                <w:i w:val="0"/>
                <w:sz w:val="17"/>
              </w:rPr>
              <w:t>Non-carrier — orchestrates through approved carriers</w:t>
            </w:r>
          </w:p>
        </w:tc>
        <w:tc>
          <w:tcPr>
            <w:tcW w:type="dxa" w:w="3213"/>
          </w:tcPr>
          <w:p>
            <w:pPr>
              <w:spacing w:after="20" w:before="20" w:line="240" w:lineRule="auto"/>
            </w:pPr>
            <w:r/>
            <w:r>
              <w:rPr>
                <w:rFonts w:ascii="Arial" w:hAnsi="Arial" w:cs="Arial"/>
                <w:b w:val="0"/>
                <w:i w:val="0"/>
                <w:sz w:val="17"/>
              </w:rPr>
              <w:t>No transport assets held</w:t>
            </w:r>
          </w:p>
        </w:tc>
      </w:tr>
      <w:tr>
        <w:tc>
          <w:tcPr>
            <w:tcW w:type="dxa" w:w="3213"/>
          </w:tcPr>
          <w:p>
            <w:pPr>
              <w:spacing w:after="20" w:before="20" w:line="240" w:lineRule="auto"/>
            </w:pPr>
            <w:r/>
            <w:r>
              <w:rPr>
                <w:rFonts w:ascii="Arial" w:hAnsi="Arial" w:cs="Arial"/>
                <w:b w:val="0"/>
                <w:i w:val="0"/>
                <w:sz w:val="17"/>
              </w:rPr>
              <w:t>5</w:t>
            </w:r>
          </w:p>
        </w:tc>
        <w:tc>
          <w:tcPr>
            <w:tcW w:type="dxa" w:w="3213"/>
          </w:tcPr>
          <w:p>
            <w:pPr>
              <w:spacing w:after="20" w:before="20" w:line="240" w:lineRule="auto"/>
            </w:pPr>
            <w:r/>
            <w:r>
              <w:rPr>
                <w:rFonts w:ascii="Arial" w:hAnsi="Arial" w:cs="Arial"/>
                <w:b w:val="0"/>
                <w:i w:val="0"/>
                <w:sz w:val="17"/>
              </w:rPr>
              <w:t>Non-customs-authority — interfaces with customs, never replaces</w:t>
            </w:r>
          </w:p>
        </w:tc>
        <w:tc>
          <w:tcPr>
            <w:tcW w:type="dxa" w:w="3213"/>
          </w:tcPr>
          <w:p>
            <w:pPr>
              <w:spacing w:after="20" w:before="20" w:line="240" w:lineRule="auto"/>
            </w:pPr>
            <w:r/>
            <w:r>
              <w:rPr>
                <w:rFonts w:ascii="Arial" w:hAnsi="Arial" w:cs="Arial"/>
                <w:b w:val="0"/>
                <w:i w:val="0"/>
                <w:sz w:val="17"/>
              </w:rPr>
              <w:t>Government integrations are one-directional</w:t>
            </w:r>
          </w:p>
        </w:tc>
      </w:tr>
      <w:tr>
        <w:tc>
          <w:tcPr>
            <w:tcW w:type="dxa" w:w="3213"/>
          </w:tcPr>
          <w:p>
            <w:pPr>
              <w:spacing w:after="20" w:before="20" w:line="240" w:lineRule="auto"/>
            </w:pPr>
            <w:r/>
            <w:r>
              <w:rPr>
                <w:rFonts w:ascii="Arial" w:hAnsi="Arial" w:cs="Arial"/>
                <w:b w:val="0"/>
                <w:i w:val="0"/>
                <w:sz w:val="17"/>
              </w:rPr>
              <w:t>6</w:t>
            </w:r>
          </w:p>
        </w:tc>
        <w:tc>
          <w:tcPr>
            <w:tcW w:type="dxa" w:w="3213"/>
          </w:tcPr>
          <w:p>
            <w:pPr>
              <w:spacing w:after="20" w:before="20" w:line="240" w:lineRule="auto"/>
            </w:pPr>
            <w:r/>
            <w:r>
              <w:rPr>
                <w:rFonts w:ascii="Arial" w:hAnsi="Arial" w:cs="Arial"/>
                <w:b w:val="0"/>
                <w:i w:val="0"/>
                <w:sz w:val="17"/>
              </w:rPr>
              <w:t>Non-bank — orchestrates payment instructions only</w:t>
            </w:r>
          </w:p>
        </w:tc>
        <w:tc>
          <w:tcPr>
            <w:tcW w:type="dxa" w:w="3213"/>
          </w:tcPr>
          <w:p>
            <w:pPr>
              <w:spacing w:after="20" w:before="20" w:line="240" w:lineRule="auto"/>
            </w:pPr>
            <w:r/>
            <w:r>
              <w:rPr>
                <w:rFonts w:ascii="Arial" w:hAnsi="Arial" w:cs="Arial"/>
                <w:b w:val="0"/>
                <w:i w:val="0"/>
                <w:sz w:val="17"/>
              </w:rPr>
              <w:t>Bank Settlement Gateway is instructional only</w:t>
            </w:r>
          </w:p>
        </w:tc>
      </w:tr>
      <w:tr>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Non-deposit-taking — all funds flow through connected banks</w:t>
            </w:r>
          </w:p>
        </w:tc>
        <w:tc>
          <w:tcPr>
            <w:tcW w:type="dxa" w:w="3213"/>
          </w:tcPr>
          <w:p>
            <w:pPr>
              <w:spacing w:after="20" w:before="20" w:line="240" w:lineRule="auto"/>
            </w:pPr>
            <w:r/>
            <w:r>
              <w:rPr>
                <w:rFonts w:ascii="Arial" w:hAnsi="Arial" w:cs="Arial"/>
                <w:b w:val="0"/>
                <w:i w:val="0"/>
                <w:sz w:val="17"/>
              </w:rPr>
              <w:t>connected banks execute the actual funds movement</w:t>
            </w:r>
          </w:p>
        </w:tc>
      </w:tr>
      <w:tr>
        <w:tc>
          <w:tcPr>
            <w:tcW w:type="dxa" w:w="3213"/>
          </w:tcPr>
          <w:p>
            <w:pPr>
              <w:spacing w:after="20" w:before="20" w:line="240" w:lineRule="auto"/>
            </w:pPr>
            <w:r/>
            <w:r>
              <w:rPr>
                <w:rFonts w:ascii="Arial" w:hAnsi="Arial" w:cs="Arial"/>
                <w:b w:val="0"/>
                <w:i w:val="0"/>
                <w:sz w:val="17"/>
              </w:rPr>
              <w:t>8</w:t>
            </w:r>
          </w:p>
        </w:tc>
        <w:tc>
          <w:tcPr>
            <w:tcW w:type="dxa" w:w="3213"/>
          </w:tcPr>
          <w:p>
            <w:pPr>
              <w:spacing w:after="20" w:before="20" w:line="240" w:lineRule="auto"/>
            </w:pPr>
            <w:r/>
            <w:r>
              <w:rPr>
                <w:rFonts w:ascii="Arial" w:hAnsi="Arial" w:cs="Arial"/>
                <w:b w:val="0"/>
                <w:i w:val="0"/>
                <w:sz w:val="17"/>
              </w:rPr>
              <w:t>Non-government — infrastructure, not a government system</w:t>
            </w:r>
          </w:p>
        </w:tc>
        <w:tc>
          <w:tcPr>
            <w:tcW w:type="dxa" w:w="3213"/>
          </w:tcPr>
          <w:p>
            <w:pPr>
              <w:spacing w:after="20" w:before="20" w:line="240" w:lineRule="auto"/>
            </w:pPr>
            <w:r/>
            <w:r>
              <w:rPr>
                <w:rFonts w:ascii="Arial" w:hAnsi="Arial" w:cs="Arial"/>
                <w:b w:val="0"/>
                <w:i w:val="0"/>
                <w:sz w:val="17"/>
              </w:rPr>
              <w:t>GOV is a tenant type like any other</w:t>
            </w:r>
          </w:p>
        </w:tc>
      </w:tr>
      <w:tr>
        <w:tc>
          <w:tcPr>
            <w:tcW w:type="dxa" w:w="3213"/>
          </w:tcPr>
          <w:p>
            <w:pPr>
              <w:spacing w:after="20" w:before="20" w:line="240" w:lineRule="auto"/>
            </w:pPr>
            <w:r/>
            <w:r>
              <w:rPr>
                <w:rFonts w:ascii="Arial" w:hAnsi="Arial" w:cs="Arial"/>
                <w:b w:val="0"/>
                <w:i w:val="0"/>
                <w:sz w:val="17"/>
              </w:rPr>
              <w:t>9</w:t>
            </w:r>
          </w:p>
        </w:tc>
        <w:tc>
          <w:tcPr>
            <w:tcW w:type="dxa" w:w="3213"/>
          </w:tcPr>
          <w:p>
            <w:pPr>
              <w:spacing w:after="20" w:before="20" w:line="240" w:lineRule="auto"/>
            </w:pPr>
            <w:r/>
            <w:r>
              <w:rPr>
                <w:rFonts w:ascii="Arial" w:hAnsi="Arial" w:cs="Arial"/>
                <w:b w:val="0"/>
                <w:i w:val="0"/>
                <w:sz w:val="17"/>
              </w:rPr>
              <w:t>AI-assisted — AI provides advisory (A1), constraining (A2), escalation (A3)</w:t>
            </w:r>
          </w:p>
        </w:tc>
        <w:tc>
          <w:tcPr>
            <w:tcW w:type="dxa" w:w="3213"/>
          </w:tcPr>
          <w:p>
            <w:pPr>
              <w:spacing w:after="20" w:before="20" w:line="240" w:lineRule="auto"/>
            </w:pPr>
            <w:r/>
            <w:r>
              <w:rPr>
                <w:rFonts w:ascii="Arial" w:hAnsi="Arial" w:cs="Arial"/>
                <w:b w:val="0"/>
                <w:i w:val="0"/>
                <w:sz w:val="17"/>
              </w:rPr>
              <w:t>A4 is deterministic policy execution</w:t>
            </w:r>
          </w:p>
        </w:tc>
      </w:tr>
      <w:tr>
        <w:tc>
          <w:tcPr>
            <w:tcW w:type="dxa" w:w="3213"/>
          </w:tcPr>
          <w:p>
            <w:pPr>
              <w:spacing w:after="20" w:before="20" w:line="240" w:lineRule="auto"/>
            </w:pPr>
            <w:r/>
            <w:r>
              <w:rPr>
                <w:rFonts w:ascii="Arial" w:hAnsi="Arial" w:cs="Arial"/>
                <w:b w:val="0"/>
                <w:i w:val="0"/>
                <w:sz w:val="17"/>
              </w:rPr>
              <w:t>10</w:t>
            </w:r>
          </w:p>
        </w:tc>
        <w:tc>
          <w:tcPr>
            <w:tcW w:type="dxa" w:w="3213"/>
          </w:tcPr>
          <w:p>
            <w:pPr>
              <w:spacing w:after="20" w:before="20" w:line="240" w:lineRule="auto"/>
            </w:pPr>
            <w:r/>
            <w:r>
              <w:rPr>
                <w:rFonts w:ascii="Arial" w:hAnsi="Arial" w:cs="Arial"/>
                <w:b w:val="0"/>
                <w:i w:val="0"/>
                <w:sz w:val="17"/>
              </w:rPr>
              <w:t>Governor-governed — every irreversible action passes through Governor</w:t>
            </w:r>
          </w:p>
        </w:tc>
        <w:tc>
          <w:tcPr>
            <w:tcW w:type="dxa" w:w="3213"/>
          </w:tcPr>
          <w:p>
            <w:pPr>
              <w:spacing w:after="20" w:before="20" w:line="240" w:lineRule="auto"/>
            </w:pPr>
            <w:r/>
            <w:r>
              <w:rPr>
                <w:rFonts w:ascii="Arial" w:hAnsi="Arial" w:cs="Arial"/>
                <w:b w:val="0"/>
                <w:i w:val="0"/>
                <w:sz w:val="17"/>
              </w:rPr>
              <w:t>G1–G7 enforced</w:t>
            </w:r>
          </w:p>
        </w:tc>
      </w:tr>
      <w:tr>
        <w:tc>
          <w:tcPr>
            <w:tcW w:type="dxa" w:w="3213"/>
          </w:tcPr>
          <w:p>
            <w:pPr>
              <w:spacing w:after="20" w:before="20" w:line="240" w:lineRule="auto"/>
            </w:pPr>
            <w:r/>
            <w:r>
              <w:rPr>
                <w:rFonts w:ascii="Arial" w:hAnsi="Arial" w:cs="Arial"/>
                <w:b w:val="0"/>
                <w:i w:val="0"/>
                <w:sz w:val="17"/>
              </w:rPr>
              <w:t>11</w:t>
            </w:r>
          </w:p>
        </w:tc>
        <w:tc>
          <w:tcPr>
            <w:tcW w:type="dxa" w:w="3213"/>
          </w:tcPr>
          <w:p>
            <w:pPr>
              <w:spacing w:after="20" w:before="20" w:line="240" w:lineRule="auto"/>
            </w:pPr>
            <w:r/>
            <w:r>
              <w:rPr>
                <w:rFonts w:ascii="Arial" w:hAnsi="Arial" w:cs="Arial"/>
                <w:b w:val="0"/>
                <w:i w:val="0"/>
                <w:sz w:val="17"/>
              </w:rPr>
              <w:t>OPA-enforced — Open Policy Agent evaluates every decision</w:t>
            </w:r>
          </w:p>
        </w:tc>
        <w:tc>
          <w:tcPr>
            <w:tcW w:type="dxa" w:w="3213"/>
          </w:tcPr>
          <w:p>
            <w:pPr>
              <w:spacing w:after="20" w:before="20" w:line="240" w:lineRule="auto"/>
            </w:pPr>
            <w:r/>
            <w:r>
              <w:rPr>
                <w:rFonts w:ascii="Arial" w:hAnsi="Arial" w:cs="Arial"/>
                <w:b w:val="0"/>
                <w:i w:val="0"/>
                <w:sz w:val="17"/>
              </w:rPr>
              <w:t>OPA sidecar</w:t>
            </w:r>
          </w:p>
        </w:tc>
      </w:tr>
      <w:tr>
        <w:tc>
          <w:tcPr>
            <w:tcW w:type="dxa" w:w="3213"/>
          </w:tcPr>
          <w:p>
            <w:pPr>
              <w:spacing w:after="20" w:before="20" w:line="240" w:lineRule="auto"/>
            </w:pPr>
            <w:r/>
            <w:r>
              <w:rPr>
                <w:rFonts w:ascii="Arial" w:hAnsi="Arial" w:cs="Arial"/>
                <w:b w:val="0"/>
                <w:i w:val="0"/>
                <w:sz w:val="17"/>
              </w:rPr>
              <w:t>12</w:t>
            </w:r>
          </w:p>
        </w:tc>
        <w:tc>
          <w:tcPr>
            <w:tcW w:type="dxa" w:w="3213"/>
          </w:tcPr>
          <w:p>
            <w:pPr>
              <w:spacing w:after="20" w:before="20" w:line="240" w:lineRule="auto"/>
            </w:pPr>
            <w:r/>
            <w:r>
              <w:rPr>
                <w:rFonts w:ascii="Arial" w:hAnsi="Arial" w:cs="Arial"/>
                <w:b w:val="0"/>
                <w:i w:val="0"/>
                <w:sz w:val="17"/>
              </w:rPr>
              <w:t>WasmEdge-enforced — constitutional rules execute as deterministic WASM</w:t>
            </w:r>
          </w:p>
        </w:tc>
        <w:tc>
          <w:tcPr>
            <w:tcW w:type="dxa" w:w="3213"/>
          </w:tcPr>
          <w:p>
            <w:pPr>
              <w:spacing w:after="20" w:before="20" w:line="240" w:lineRule="auto"/>
            </w:pPr>
            <w:r/>
            <w:r>
              <w:rPr>
                <w:rFonts w:ascii="Arial" w:hAnsi="Arial" w:cs="Arial"/>
                <w:b w:val="0"/>
                <w:i w:val="0"/>
                <w:sz w:val="17"/>
              </w:rPr>
              <w:t>Sandboxed modules</w:t>
            </w:r>
          </w:p>
        </w:tc>
      </w:tr>
      <w:tr>
        <w:tc>
          <w:tcPr>
            <w:tcW w:type="dxa" w:w="3213"/>
          </w:tcPr>
          <w:p>
            <w:pPr>
              <w:spacing w:after="20" w:before="20" w:line="240" w:lineRule="auto"/>
            </w:pPr>
            <w:r/>
            <w:r>
              <w:rPr>
                <w:rFonts w:ascii="Arial" w:hAnsi="Arial" w:cs="Arial"/>
                <w:b w:val="0"/>
                <w:i w:val="0"/>
                <w:sz w:val="17"/>
              </w:rPr>
              <w:t>13</w:t>
            </w:r>
          </w:p>
        </w:tc>
        <w:tc>
          <w:tcPr>
            <w:tcW w:type="dxa" w:w="3213"/>
          </w:tcPr>
          <w:p>
            <w:pPr>
              <w:spacing w:after="20" w:before="20" w:line="240" w:lineRule="auto"/>
            </w:pPr>
            <w:r/>
            <w:r>
              <w:rPr>
                <w:rFonts w:ascii="Arial" w:hAnsi="Arial" w:cs="Arial"/>
                <w:b w:val="0"/>
                <w:i w:val="0"/>
                <w:sz w:val="17"/>
              </w:rPr>
              <w:t>Loom-audited — every decision appended to SHA-256 hash-chained audit log</w:t>
            </w:r>
          </w:p>
        </w:tc>
        <w:tc>
          <w:tcPr>
            <w:tcW w:type="dxa" w:w="3213"/>
          </w:tcPr>
          <w:p>
            <w:pPr>
              <w:spacing w:after="20" w:before="20" w:line="240" w:lineRule="auto"/>
            </w:pPr>
            <w:r/>
            <w:r>
              <w:rPr>
                <w:rFonts w:ascii="Arial" w:hAnsi="Arial" w:cs="Arial"/>
                <w:b w:val="0"/>
                <w:i w:val="0"/>
                <w:sz w:val="17"/>
              </w:rPr>
              <w:t>Hourly verification</w:t>
            </w:r>
          </w:p>
        </w:tc>
      </w:tr>
      <w:tr>
        <w:tc>
          <w:tcPr>
            <w:tcW w:type="dxa" w:w="3213"/>
          </w:tcPr>
          <w:p>
            <w:pPr>
              <w:spacing w:after="20" w:before="20" w:line="240" w:lineRule="auto"/>
            </w:pPr>
            <w:r/>
            <w:r>
              <w:rPr>
                <w:rFonts w:ascii="Arial" w:hAnsi="Arial" w:cs="Arial"/>
                <w:b w:val="0"/>
                <w:i w:val="0"/>
                <w:sz w:val="17"/>
              </w:rPr>
              <w:t>14</w:t>
            </w:r>
          </w:p>
        </w:tc>
        <w:tc>
          <w:tcPr>
            <w:tcW w:type="dxa" w:w="3213"/>
          </w:tcPr>
          <w:p>
            <w:pPr>
              <w:spacing w:after="20" w:before="20" w:line="240" w:lineRule="auto"/>
            </w:pPr>
            <w:r/>
            <w:r>
              <w:rPr>
                <w:rFonts w:ascii="Arial" w:hAnsi="Arial" w:cs="Arial"/>
                <w:b w:val="0"/>
                <w:i w:val="0"/>
                <w:sz w:val="17"/>
              </w:rPr>
              <w:t>USTN-centric — USTN is the canonical namespace for every trade</w:t>
            </w:r>
          </w:p>
        </w:tc>
        <w:tc>
          <w:tcPr>
            <w:tcW w:type="dxa" w:w="3213"/>
          </w:tcPr>
          <w:p>
            <w:pPr>
              <w:spacing w:after="20" w:before="20" w:line="240" w:lineRule="auto"/>
            </w:pPr>
            <w:r/>
            <w:r>
              <w:rPr>
                <w:rFonts w:ascii="Arial" w:hAnsi="Arial" w:cs="Arial"/>
                <w:b w:val="0"/>
                <w:i w:val="0"/>
                <w:sz w:val="17"/>
              </w:rPr>
              <w:t>Every document references USTN</w:t>
            </w:r>
          </w:p>
        </w:tc>
      </w:tr>
      <w:tr>
        <w:tc>
          <w:tcPr>
            <w:tcW w:type="dxa" w:w="3213"/>
          </w:tcPr>
          <w:p>
            <w:pPr>
              <w:spacing w:after="20" w:before="20" w:line="240" w:lineRule="auto"/>
            </w:pPr>
            <w:r/>
            <w:r>
              <w:rPr>
                <w:rFonts w:ascii="Arial" w:hAnsi="Arial" w:cs="Arial"/>
                <w:b w:val="0"/>
                <w:i w:val="0"/>
                <w:sz w:val="17"/>
              </w:rPr>
              <w:t>15</w:t>
            </w:r>
          </w:p>
        </w:tc>
        <w:tc>
          <w:tcPr>
            <w:tcW w:type="dxa" w:w="3213"/>
          </w:tcPr>
          <w:p>
            <w:pPr>
              <w:spacing w:after="20" w:before="20" w:line="240" w:lineRule="auto"/>
            </w:pPr>
            <w:r/>
            <w:r>
              <w:rPr>
                <w:rFonts w:ascii="Arial" w:hAnsi="Arial" w:cs="Arial"/>
                <w:b w:val="0"/>
                <w:i w:val="0"/>
                <w:sz w:val="17"/>
              </w:rPr>
              <w:t>Jurisdiction-aware — every trade evaluated against applicable regulatory profile</w:t>
            </w:r>
          </w:p>
        </w:tc>
        <w:tc>
          <w:tcPr>
            <w:tcW w:type="dxa" w:w="3213"/>
          </w:tcPr>
          <w:p>
            <w:pPr>
              <w:spacing w:after="20" w:before="20" w:line="240" w:lineRule="auto"/>
            </w:pPr>
            <w:r/>
            <w:r>
              <w:rPr>
                <w:rFonts w:ascii="Arial" w:hAnsi="Arial" w:cs="Arial"/>
                <w:b w:val="0"/>
                <w:i w:val="0"/>
                <w:sz w:val="17"/>
              </w:rPr>
              <w:t>RIA-driven jurisdiction matrix</w:t>
            </w:r>
          </w:p>
        </w:tc>
      </w:tr>
      <w:tr>
        <w:tc>
          <w:tcPr>
            <w:tcW w:type="dxa" w:w="3213"/>
          </w:tcPr>
          <w:p>
            <w:pPr>
              <w:spacing w:after="20" w:before="20" w:line="240" w:lineRule="auto"/>
            </w:pPr>
            <w:r/>
            <w:r>
              <w:rPr>
                <w:rFonts w:ascii="Arial" w:hAnsi="Arial" w:cs="Arial"/>
                <w:b w:val="0"/>
                <w:i w:val="0"/>
                <w:sz w:val="17"/>
              </w:rPr>
              <w:t>16</w:t>
            </w:r>
          </w:p>
        </w:tc>
        <w:tc>
          <w:tcPr>
            <w:tcW w:type="dxa" w:w="3213"/>
          </w:tcPr>
          <w:p>
            <w:pPr>
              <w:spacing w:after="20" w:before="20" w:line="240" w:lineRule="auto"/>
            </w:pPr>
            <w:r/>
            <w:r>
              <w:rPr>
                <w:rFonts w:ascii="Arial" w:hAnsi="Arial" w:cs="Arial"/>
                <w:b w:val="0"/>
                <w:i w:val="0"/>
                <w:sz w:val="17"/>
              </w:rPr>
              <w:t>Relationship-controlled — counterparty relationships explicitly established</w:t>
            </w:r>
          </w:p>
        </w:tc>
        <w:tc>
          <w:tcPr>
            <w:tcW w:type="dxa" w:w="3213"/>
          </w:tcPr>
          <w:p>
            <w:pPr>
              <w:spacing w:after="20" w:before="20" w:line="240" w:lineRule="auto"/>
            </w:pPr>
            <w:r/>
            <w:r>
              <w:rPr>
                <w:rFonts w:ascii="Arial" w:hAnsi="Arial" w:cs="Arial"/>
                <w:b w:val="0"/>
                <w:i w:val="0"/>
                <w:sz w:val="17"/>
              </w:rPr>
              <w:t>Network / Saved-Contacts model</w:t>
            </w:r>
          </w:p>
        </w:tc>
      </w:tr>
      <w:tr>
        <w:tc>
          <w:tcPr>
            <w:tcW w:type="dxa" w:w="3213"/>
          </w:tcPr>
          <w:p>
            <w:pPr>
              <w:spacing w:after="20" w:before="20" w:line="240" w:lineRule="auto"/>
            </w:pPr>
            <w:r/>
            <w:r>
              <w:rPr>
                <w:rFonts w:ascii="Arial" w:hAnsi="Arial" w:cs="Arial"/>
                <w:b w:val="0"/>
                <w:i w:val="0"/>
                <w:sz w:val="17"/>
              </w:rPr>
              <w:t>17</w:t>
            </w:r>
          </w:p>
        </w:tc>
        <w:tc>
          <w:tcPr>
            <w:tcW w:type="dxa" w:w="3213"/>
          </w:tcPr>
          <w:p>
            <w:pPr>
              <w:spacing w:after="20" w:before="20" w:line="240" w:lineRule="auto"/>
            </w:pPr>
            <w:r/>
            <w:r>
              <w:rPr>
                <w:rFonts w:ascii="Arial" w:hAnsi="Arial" w:cs="Arial"/>
                <w:b w:val="0"/>
                <w:i w:val="0"/>
                <w:sz w:val="17"/>
              </w:rPr>
              <w:t>Closure-is-earned — USTN closed only when all 7 conditions met</w:t>
            </w:r>
          </w:p>
        </w:tc>
        <w:tc>
          <w:tcPr>
            <w:tcW w:type="dxa" w:w="3213"/>
          </w:tcPr>
          <w:p>
            <w:pPr>
              <w:spacing w:after="20" w:before="20" w:line="240" w:lineRule="auto"/>
            </w:pPr>
            <w:r/>
            <w:r>
              <w:rPr>
                <w:rFonts w:ascii="Arial" w:hAnsi="Arial" w:cs="Arial"/>
                <w:b w:val="0"/>
                <w:i w:val="0"/>
                <w:sz w:val="17"/>
              </w:rPr>
              <w:t>Cannot be forced</w:t>
            </w:r>
          </w:p>
        </w:tc>
      </w:tr>
      <w:tr>
        <w:tc>
          <w:tcPr>
            <w:tcW w:type="dxa" w:w="3213"/>
          </w:tcPr>
          <w:p>
            <w:pPr>
              <w:spacing w:after="20" w:before="20" w:line="240" w:lineRule="auto"/>
            </w:pPr>
            <w:r/>
            <w:r>
              <w:rPr>
                <w:rFonts w:ascii="Arial" w:hAnsi="Arial" w:cs="Arial"/>
                <w:b w:val="0"/>
                <w:i w:val="0"/>
                <w:sz w:val="17"/>
              </w:rPr>
              <w:t>18</w:t>
            </w:r>
          </w:p>
        </w:tc>
        <w:tc>
          <w:tcPr>
            <w:tcW w:type="dxa" w:w="3213"/>
          </w:tcPr>
          <w:p>
            <w:pPr>
              <w:spacing w:after="20" w:before="20" w:line="240" w:lineRule="auto"/>
            </w:pPr>
            <w:r/>
            <w:r>
              <w:rPr>
                <w:rFonts w:ascii="Arial" w:hAnsi="Arial" w:cs="Arial"/>
                <w:b w:val="0"/>
                <w:i w:val="0"/>
                <w:sz w:val="17"/>
              </w:rPr>
              <w:t>Recovery ≠ erasure — recovery restores state but never erases audit history</w:t>
            </w:r>
          </w:p>
        </w:tc>
        <w:tc>
          <w:tcPr>
            <w:tcW w:type="dxa" w:w="3213"/>
          </w:tcPr>
          <w:p>
            <w:pPr>
              <w:spacing w:after="20" w:before="20" w:line="240" w:lineRule="auto"/>
            </w:pPr>
            <w:r/>
            <w:r>
              <w:rPr>
                <w:rFonts w:ascii="Arial" w:hAnsi="Arial" w:cs="Arial"/>
                <w:b w:val="0"/>
                <w:i w:val="0"/>
                <w:sz w:val="17"/>
              </w:rPr>
              <w:t>Loom is immutable</w:t>
            </w:r>
          </w:p>
        </w:tc>
      </w:tr>
      <w:tr>
        <w:tc>
          <w:tcPr>
            <w:tcW w:type="dxa" w:w="3213"/>
          </w:tcPr>
          <w:p>
            <w:pPr>
              <w:spacing w:after="20" w:before="20" w:line="240" w:lineRule="auto"/>
            </w:pPr>
            <w:r/>
            <w:r>
              <w:rPr>
                <w:rFonts w:ascii="Arial" w:hAnsi="Arial" w:cs="Arial"/>
                <w:b w:val="0"/>
                <w:i w:val="0"/>
                <w:sz w:val="17"/>
              </w:rPr>
              <w:t>19</w:t>
            </w:r>
          </w:p>
        </w:tc>
        <w:tc>
          <w:tcPr>
            <w:tcW w:type="dxa" w:w="3213"/>
          </w:tcPr>
          <w:p>
            <w:pPr>
              <w:spacing w:after="20" w:before="20" w:line="240" w:lineRule="auto"/>
            </w:pPr>
            <w:r/>
            <w:r>
              <w:rPr>
                <w:rFonts w:ascii="Arial" w:hAnsi="Arial" w:cs="Arial"/>
                <w:b w:val="0"/>
                <w:i w:val="0"/>
                <w:sz w:val="17"/>
              </w:rPr>
              <w:t>USTN as namespace, not override — USTN does not override external authoritative systems</w:t>
            </w:r>
          </w:p>
        </w:tc>
        <w:tc>
          <w:tcPr>
            <w:tcW w:type="dxa" w:w="3213"/>
          </w:tcPr>
          <w:p>
            <w:pPr>
              <w:spacing w:after="20" w:before="20" w:line="240" w:lineRule="auto"/>
            </w:pPr>
            <w:r/>
            <w:r>
              <w:rPr>
                <w:rFonts w:ascii="Arial" w:hAnsi="Arial" w:cs="Arial"/>
                <w:b w:val="0"/>
                <w:i w:val="0"/>
                <w:sz w:val="17"/>
              </w:rPr>
              <w:t>External identifiers preserved</w:t>
            </w:r>
          </w:p>
        </w:tc>
      </w:tr>
      <w:tr>
        <w:tc>
          <w:tcPr>
            <w:tcW w:type="dxa" w:w="3213"/>
          </w:tcPr>
          <w:p>
            <w:pPr>
              <w:spacing w:after="20" w:before="20" w:line="240" w:lineRule="auto"/>
            </w:pPr>
            <w:r/>
            <w:r>
              <w:rPr>
                <w:rFonts w:ascii="Arial" w:hAnsi="Arial" w:cs="Arial"/>
                <w:b w:val="0"/>
                <w:i w:val="0"/>
                <w:sz w:val="17"/>
              </w:rPr>
              <w:t>20</w:t>
            </w:r>
          </w:p>
        </w:tc>
        <w:tc>
          <w:tcPr>
            <w:tcW w:type="dxa" w:w="3213"/>
          </w:tcPr>
          <w:p>
            <w:pPr>
              <w:spacing w:after="20" w:before="20" w:line="240" w:lineRule="auto"/>
            </w:pPr>
            <w:r/>
            <w:r>
              <w:rPr>
                <w:rFonts w:ascii="Arial" w:hAnsi="Arial" w:cs="Arial"/>
                <w:b w:val="0"/>
                <w:i w:val="0"/>
                <w:sz w:val="17"/>
              </w:rPr>
              <w:t>Bank-authoritative settlement — banks confirm settlement; SGTX orchestrates only</w:t>
            </w:r>
          </w:p>
        </w:tc>
        <w:tc>
          <w:tcPr>
            <w:tcW w:type="dxa" w:w="3213"/>
          </w:tcPr>
          <w:p>
            <w:pPr>
              <w:spacing w:after="20" w:before="20" w:line="240" w:lineRule="auto"/>
            </w:pPr>
            <w:r/>
            <w:r>
              <w:rPr>
                <w:rFonts w:ascii="Arial" w:hAnsi="Arial" w:cs="Arial"/>
                <w:b w:val="0"/>
                <w:i w:val="0"/>
                <w:sz w:val="17"/>
              </w:rPr>
              <w:t>Bank Settlement Gateway</w:t>
            </w:r>
          </w:p>
        </w:tc>
      </w:tr>
      <w:tr>
        <w:tc>
          <w:tcPr>
            <w:tcW w:type="dxa" w:w="3213"/>
          </w:tcPr>
          <w:p>
            <w:pPr>
              <w:spacing w:after="20" w:before="20" w:line="240" w:lineRule="auto"/>
            </w:pPr>
            <w:r/>
            <w:r>
              <w:rPr>
                <w:rFonts w:ascii="Arial" w:hAnsi="Arial" w:cs="Arial"/>
                <w:b w:val="0"/>
                <w:i w:val="0"/>
                <w:sz w:val="17"/>
              </w:rPr>
              <w:t>21</w:t>
            </w:r>
          </w:p>
        </w:tc>
        <w:tc>
          <w:tcPr>
            <w:tcW w:type="dxa" w:w="3213"/>
          </w:tcPr>
          <w:p>
            <w:pPr>
              <w:spacing w:after="20" w:before="20" w:line="240" w:lineRule="auto"/>
            </w:pPr>
            <w:r/>
            <w:r>
              <w:rPr>
                <w:rFonts w:ascii="Arial" w:hAnsi="Arial" w:cs="Arial"/>
                <w:b w:val="0"/>
                <w:i w:val="0"/>
                <w:sz w:val="17"/>
              </w:rPr>
              <w:t>Non-custody is architectural — an architectural property, not a legal classification</w:t>
            </w:r>
          </w:p>
        </w:tc>
        <w:tc>
          <w:tcPr>
            <w:tcW w:type="dxa" w:w="3213"/>
          </w:tcPr>
          <w:p>
            <w:pPr>
              <w:spacing w:after="20" w:before="20" w:line="240" w:lineRule="auto"/>
            </w:pPr>
            <w:r/>
            <w:r>
              <w:rPr>
                <w:rFonts w:ascii="Arial" w:hAnsi="Arial" w:cs="Arial"/>
                <w:b w:val="0"/>
                <w:i w:val="0"/>
                <w:sz w:val="17"/>
              </w:rPr>
              <w:t>Assessed per jurisdiction</w:t>
            </w:r>
          </w:p>
        </w:tc>
      </w:tr>
      <w:tr>
        <w:tc>
          <w:tcPr>
            <w:tcW w:type="dxa" w:w="3213"/>
          </w:tcPr>
          <w:p>
            <w:pPr>
              <w:spacing w:after="20" w:before="20" w:line="240" w:lineRule="auto"/>
            </w:pPr>
            <w:r/>
            <w:r>
              <w:rPr>
                <w:rFonts w:ascii="Arial" w:hAnsi="Arial" w:cs="Arial"/>
                <w:b w:val="0"/>
                <w:i w:val="0"/>
                <w:sz w:val="17"/>
              </w:rPr>
              <w:t>22</w:t>
            </w:r>
          </w:p>
        </w:tc>
        <w:tc>
          <w:tcPr>
            <w:tcW w:type="dxa" w:w="3213"/>
          </w:tcPr>
          <w:p>
            <w:pPr>
              <w:spacing w:after="20" w:before="20" w:line="240" w:lineRule="auto"/>
            </w:pPr>
            <w:r/>
            <w:r>
              <w:rPr>
                <w:rFonts w:ascii="Arial" w:hAnsi="Arial" w:cs="Arial"/>
                <w:b w:val="0"/>
                <w:i w:val="0"/>
                <w:sz w:val="17"/>
              </w:rPr>
              <w:t>GNN non-marketplace bounded — GNN provides trust analytics for known parties only</w:t>
            </w:r>
          </w:p>
        </w:tc>
        <w:tc>
          <w:tcPr>
            <w:tcW w:type="dxa" w:w="3213"/>
          </w:tcPr>
          <w:p>
            <w:pPr>
              <w:spacing w:after="20" w:before="20" w:line="240" w:lineRule="auto"/>
            </w:pPr>
            <w:r/>
            <w:r>
              <w:rPr>
                <w:rFonts w:ascii="Arial" w:hAnsi="Arial" w:cs="Arial"/>
                <w:b w:val="0"/>
                <w:i w:val="0"/>
                <w:sz w:val="17"/>
              </w:rPr>
              <w:t>Never recommends or ranks</w:t>
            </w:r>
          </w:p>
        </w:tc>
      </w:tr>
      <w:tr>
        <w:tc>
          <w:tcPr>
            <w:tcW w:type="dxa" w:w="3213"/>
          </w:tcPr>
          <w:p>
            <w:pPr>
              <w:spacing w:after="20" w:before="20" w:line="240" w:lineRule="auto"/>
            </w:pPr>
            <w:r/>
            <w:r>
              <w:rPr>
                <w:rFonts w:ascii="Arial" w:hAnsi="Arial" w:cs="Arial"/>
                <w:b w:val="0"/>
                <w:i w:val="0"/>
                <w:sz w:val="17"/>
              </w:rPr>
              <w:t>23</w:t>
            </w:r>
          </w:p>
        </w:tc>
        <w:tc>
          <w:tcPr>
            <w:tcW w:type="dxa" w:w="3213"/>
          </w:tcPr>
          <w:p>
            <w:pPr>
              <w:spacing w:after="20" w:before="20" w:line="240" w:lineRule="auto"/>
            </w:pPr>
            <w:r/>
            <w:r>
              <w:rPr>
                <w:rFonts w:ascii="Arial" w:hAnsi="Arial" w:cs="Arial"/>
                <w:b w:val="0"/>
                <w:i w:val="0"/>
                <w:sz w:val="17"/>
              </w:rPr>
              <w:t>Direct API = first-party connector — the worldwide adapter fabric is extensibility, not over-claim</w:t>
            </w:r>
          </w:p>
        </w:tc>
        <w:tc>
          <w:tcPr>
            <w:tcW w:type="dxa" w:w="3213"/>
          </w:tcPr>
          <w:p>
            <w:pPr>
              <w:spacing w:after="20" w:before="20" w:line="240" w:lineRule="auto"/>
            </w:pPr>
            <w:r/>
            <w:r>
              <w:rPr>
                <w:rFonts w:ascii="Arial" w:hAnsi="Arial" w:cs="Arial"/>
                <w:b w:val="0"/>
                <w:i w:val="0"/>
                <w:sz w:val="17"/>
              </w:rPr>
              <w:t>No over-claim of readiness</w:t>
            </w:r>
          </w:p>
        </w:tc>
      </w:tr>
      <w:tr>
        <w:tc>
          <w:tcPr>
            <w:tcW w:type="dxa" w:w="3213"/>
          </w:tcPr>
          <w:p>
            <w:pPr>
              <w:spacing w:after="20" w:before="20" w:line="240" w:lineRule="auto"/>
            </w:pPr>
            <w:r/>
            <w:r>
              <w:rPr>
                <w:rFonts w:ascii="Arial" w:hAnsi="Arial" w:cs="Arial"/>
                <w:b w:val="0"/>
                <w:i w:val="0"/>
                <w:sz w:val="17"/>
              </w:rPr>
              <w:t>24</w:t>
            </w:r>
          </w:p>
        </w:tc>
        <w:tc>
          <w:tcPr>
            <w:tcW w:type="dxa" w:w="3213"/>
          </w:tcPr>
          <w:p>
            <w:pPr>
              <w:spacing w:after="20" w:before="20" w:line="240" w:lineRule="auto"/>
            </w:pPr>
            <w:r/>
            <w:r>
              <w:rPr>
                <w:rFonts w:ascii="Arial" w:hAnsi="Arial" w:cs="Arial"/>
                <w:b w:val="0"/>
                <w:i w:val="0"/>
                <w:sz w:val="17"/>
              </w:rPr>
              <w:t>RoRo is first-class — Roll-on/Roll-off is a distinct transport mode</w:t>
            </w:r>
          </w:p>
        </w:tc>
        <w:tc>
          <w:tcPr>
            <w:tcW w:type="dxa" w:w="3213"/>
          </w:tcPr>
          <w:p>
            <w:pPr>
              <w:spacing w:after="20" w:before="20" w:line="240" w:lineRule="auto"/>
            </w:pPr>
            <w:r/>
            <w:r>
              <w:rPr>
                <w:rFonts w:ascii="Arial" w:hAnsi="Arial" w:cs="Arial"/>
                <w:b w:val="0"/>
                <w:i w:val="0"/>
                <w:sz w:val="17"/>
              </w:rPr>
              <w:t>Not a sub-mode of ocean container</w:t>
            </w:r>
          </w:p>
        </w:tc>
      </w:tr>
      <w:tr>
        <w:tc>
          <w:tcPr>
            <w:tcW w:type="dxa" w:w="3213"/>
          </w:tcPr>
          <w:p>
            <w:pPr>
              <w:spacing w:after="20" w:before="20" w:line="240" w:lineRule="auto"/>
            </w:pPr>
            <w:r/>
            <w:r>
              <w:rPr>
                <w:rFonts w:ascii="Arial" w:hAnsi="Arial" w:cs="Arial"/>
                <w:b w:val="0"/>
                <w:i w:val="0"/>
                <w:sz w:val="17"/>
              </w:rPr>
              <w:t>25</w:t>
            </w:r>
          </w:p>
        </w:tc>
        <w:tc>
          <w:tcPr>
            <w:tcW w:type="dxa" w:w="3213"/>
          </w:tcPr>
          <w:p>
            <w:pPr>
              <w:spacing w:after="20" w:before="20" w:line="240" w:lineRule="auto"/>
            </w:pPr>
            <w:r/>
            <w:r>
              <w:rPr>
                <w:rFonts w:ascii="Arial" w:hAnsi="Arial" w:cs="Arial"/>
                <w:b w:val="0"/>
                <w:i w:val="0"/>
                <w:sz w:val="17"/>
              </w:rPr>
              <w:t>Mode-specific government applicability — integrations have mode-specific rules</w:t>
            </w:r>
          </w:p>
        </w:tc>
        <w:tc>
          <w:tcPr>
            <w:tcW w:type="dxa" w:w="3213"/>
          </w:tcPr>
          <w:p>
            <w:pPr>
              <w:spacing w:after="20" w:before="20" w:line="240" w:lineRule="auto"/>
            </w:pPr>
            <w:r/>
            <w:r>
              <w:rPr>
                <w:rFonts w:ascii="Arial" w:hAnsi="Arial" w:cs="Arial"/>
                <w:b w:val="0"/>
                <w:i w:val="0"/>
                <w:sz w:val="17"/>
              </w:rPr>
              <w:t>Nafeza applicability varies by mode</w:t>
            </w:r>
          </w:p>
        </w:tc>
      </w:tr>
      <w:tr>
        <w:tc>
          <w:tcPr>
            <w:tcW w:type="dxa" w:w="3213"/>
          </w:tcPr>
          <w:p>
            <w:pPr>
              <w:spacing w:after="20" w:before="20" w:line="240" w:lineRule="auto"/>
            </w:pPr>
            <w:r/>
            <w:r>
              <w:rPr>
                <w:rFonts w:ascii="Arial" w:hAnsi="Arial" w:cs="Arial"/>
                <w:b w:val="0"/>
                <w:i w:val="0"/>
                <w:sz w:val="17"/>
              </w:rPr>
              <w:t>26</w:t>
            </w:r>
          </w:p>
        </w:tc>
        <w:tc>
          <w:tcPr>
            <w:tcW w:type="dxa" w:w="3213"/>
          </w:tcPr>
          <w:p>
            <w:pPr>
              <w:spacing w:after="20" w:before="20" w:line="240" w:lineRule="auto"/>
            </w:pPr>
            <w:r/>
            <w:r>
              <w:rPr>
                <w:rFonts w:ascii="Arial" w:hAnsi="Arial" w:cs="Arial"/>
                <w:b w:val="0"/>
                <w:i w:val="0"/>
                <w:sz w:val="17"/>
              </w:rPr>
              <w:t>External readiness is 4-dimensional — TECHNICAL, LEGAL, OPERATIONAL, COMMERCIAL</w:t>
            </w:r>
          </w:p>
        </w:tc>
        <w:tc>
          <w:tcPr>
            <w:tcW w:type="dxa" w:w="3213"/>
          </w:tcPr>
          <w:p>
            <w:pPr>
              <w:spacing w:after="20" w:before="20" w:line="240" w:lineRule="auto"/>
            </w:pPr>
            <w:r/>
            <w:r>
              <w:rPr>
                <w:rFonts w:ascii="Arial" w:hAnsi="Arial" w:cs="Arial"/>
                <w:b w:val="0"/>
                <w:i w:val="0"/>
                <w:sz w:val="17"/>
              </w:rPr>
              <w:t>All four required for "Connected"</w:t>
            </w:r>
          </w:p>
        </w:tc>
      </w:tr>
      <w:tr>
        <w:tc>
          <w:tcPr>
            <w:tcW w:type="dxa" w:w="3213"/>
          </w:tcPr>
          <w:p>
            <w:pPr>
              <w:spacing w:after="20" w:before="20" w:line="240" w:lineRule="auto"/>
            </w:pPr>
            <w:r/>
            <w:r>
              <w:rPr>
                <w:rFonts w:ascii="Arial" w:hAnsi="Arial" w:cs="Arial"/>
                <w:b w:val="0"/>
                <w:i w:val="0"/>
                <w:sz w:val="17"/>
              </w:rPr>
              <w:t>27</w:t>
            </w:r>
          </w:p>
        </w:tc>
        <w:tc>
          <w:tcPr>
            <w:tcW w:type="dxa" w:w="3213"/>
          </w:tcPr>
          <w:p>
            <w:pPr>
              <w:spacing w:after="20" w:before="20" w:line="240" w:lineRule="auto"/>
            </w:pPr>
            <w:r/>
            <w:r>
              <w:rPr>
                <w:rFonts w:ascii="Arial" w:hAnsi="Arial" w:cs="Arial"/>
                <w:b w:val="0"/>
                <w:i w:val="0"/>
                <w:sz w:val="17"/>
              </w:rPr>
              <w:t>Production-readiness vocabulary — CORE_READY, PRODUCTION_CONNECTED, LEGAL_AUTHORIZATION_REQUIRED</w:t>
            </w:r>
          </w:p>
        </w:tc>
        <w:tc>
          <w:tcPr>
            <w:tcW w:type="dxa" w:w="3213"/>
          </w:tcPr>
          <w:p>
            <w:pPr>
              <w:spacing w:after="20" w:before="20" w:line="240" w:lineRule="auto"/>
            </w:pPr>
            <w:r/>
            <w:r>
              <w:rPr>
                <w:rFonts w:ascii="Arial" w:hAnsi="Arial" w:cs="Arial"/>
                <w:b w:val="0"/>
                <w:i w:val="0"/>
                <w:sz w:val="17"/>
              </w:rPr>
              <w:t>No WORLDWIDE_INTEGRATED claim without evidence</w:t>
            </w:r>
          </w:p>
        </w:tc>
      </w:tr>
      <w:tr>
        <w:tc>
          <w:tcPr>
            <w:tcW w:type="dxa" w:w="3213"/>
          </w:tcPr>
          <w:p>
            <w:pPr>
              <w:spacing w:after="20" w:before="20" w:line="240" w:lineRule="auto"/>
            </w:pPr>
            <w:r/>
            <w:r>
              <w:rPr>
                <w:rFonts w:ascii="Arial" w:hAnsi="Arial" w:cs="Arial"/>
                <w:b w:val="0"/>
                <w:i w:val="0"/>
                <w:sz w:val="17"/>
              </w:rPr>
              <w:t>28</w:t>
            </w:r>
          </w:p>
        </w:tc>
        <w:tc>
          <w:tcPr>
            <w:tcW w:type="dxa" w:w="3213"/>
          </w:tcPr>
          <w:p>
            <w:pPr>
              <w:spacing w:after="20" w:before="20" w:line="240" w:lineRule="auto"/>
            </w:pPr>
            <w:r/>
            <w:r>
              <w:rPr>
                <w:rFonts w:ascii="Arial" w:hAnsi="Arial" w:cs="Arial"/>
                <w:b w:val="0"/>
                <w:i w:val="0"/>
                <w:sz w:val="17"/>
              </w:rPr>
              <w:t>Manual fallback is governed — authenticated, attributable, timestamped, hashed, Loom-logged</w:t>
            </w:r>
          </w:p>
        </w:tc>
        <w:tc>
          <w:tcPr>
            <w:tcW w:type="dxa" w:w="3213"/>
          </w:tcPr>
          <w:p>
            <w:pPr>
              <w:spacing w:after="20" w:before="20" w:line="240" w:lineRule="auto"/>
            </w:pPr>
            <w:r/>
            <w:r>
              <w:rPr>
                <w:rFonts w:ascii="Arial" w:hAnsi="Arial" w:cs="Arial"/>
                <w:b w:val="0"/>
                <w:i w:val="0"/>
                <w:sz w:val="17"/>
              </w:rPr>
              <w:t>Same controls as automated paths</w:t>
            </w:r>
          </w:p>
        </w:tc>
      </w:tr>
      <w:tr>
        <w:tc>
          <w:tcPr>
            <w:tcW w:type="dxa" w:w="3213"/>
          </w:tcPr>
          <w:p>
            <w:pPr>
              <w:spacing w:after="20" w:before="20" w:line="240" w:lineRule="auto"/>
            </w:pPr>
            <w:r/>
            <w:r>
              <w:rPr>
                <w:rFonts w:ascii="Arial" w:hAnsi="Arial" w:cs="Arial"/>
                <w:b w:val="0"/>
                <w:i w:val="0"/>
                <w:sz w:val="17"/>
              </w:rPr>
              <w:t>29</w:t>
            </w:r>
          </w:p>
        </w:tc>
        <w:tc>
          <w:tcPr>
            <w:tcW w:type="dxa" w:w="3213"/>
          </w:tcPr>
          <w:p>
            <w:pPr>
              <w:spacing w:after="20" w:before="20" w:line="240" w:lineRule="auto"/>
            </w:pPr>
            <w:r/>
            <w:r>
              <w:rPr>
                <w:rFonts w:ascii="Arial" w:hAnsi="Arial" w:cs="Arial"/>
                <w:b w:val="0"/>
                <w:i w:val="0"/>
                <w:sz w:val="17"/>
              </w:rPr>
              <w:t>Evidence is sealed at closure — final evidence package (26 categories) sealed at USTN closure</w:t>
            </w:r>
          </w:p>
        </w:tc>
        <w:tc>
          <w:tcPr>
            <w:tcW w:type="dxa" w:w="3213"/>
          </w:tcPr>
          <w:p>
            <w:pPr>
              <w:spacing w:after="20" w:before="20" w:line="240" w:lineRule="auto"/>
            </w:pPr>
            <w:r/>
            <w:r>
              <w:rPr>
                <w:rFonts w:ascii="Arial" w:hAnsi="Arial" w:cs="Arial"/>
                <w:b w:val="0"/>
                <w:i w:val="0"/>
                <w:sz w:val="17"/>
              </w:rPr>
              <w:t>Post-closure may add but never modify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seven USTN closure conditions referenced by Point 17 and the 26 evidence categories sealed under Point 29 are specified with the USTN lifecycle in Section 5.</w:t>
      </w:r>
    </w:p>
    <w:p>
      <w:pPr>
        <w:keepNext/>
        <w:spacing w:before="180" w:after="80"/>
        <w:outlineLvl w:val="2"/>
      </w:pPr>
      <w:r>
        <w:rPr>
          <w:rFonts w:ascii="Arial" w:hAnsi="Arial" w:cs="Arial"/>
          <w:b/>
          <w:i w:val="0"/>
          <w:color w:val="333333"/>
          <w:sz w:val="23"/>
        </w:rPr>
        <w:t>3.2.1 Extended Constitutional Principles (Points 30–38)</w:t>
      </w:r>
    </w:p>
    <w:p>
      <w:pPr>
        <w:spacing w:after="80" w:line="293" w:lineRule="auto"/>
        <w:jc w:val="left"/>
      </w:pPr>
      <w:r>
        <w:rPr>
          <w:rFonts w:ascii="Times New Roman" w:hAnsi="Times New Roman" w:cs="Times New Roman"/>
          <w:b w:val="0"/>
          <w:i w:val="0"/>
          <w:sz w:val="22"/>
        </w:rPr>
        <w:t>The Transaction Constitution is extended by nine additional immutable points. Together with Points 1–29 they form the complete constitutional rule set of the platform; all thirty-eight points are Layer 0 invariants with identical amendment discipline (3-of-5 multisig plus 30-day notice, Section 3.6). These points fix the honesty rules for finality, evidence, external systems, and financial exposure.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w:t>
            </w:r>
          </w:p>
        </w:tc>
        <w:tc>
          <w:tcPr>
            <w:tcW w:type="dxa" w:w="3213"/>
            <w:shd w:val="clear" w:fill="D9E2F3"/>
          </w:tcPr>
          <w:p>
            <w:pPr>
              <w:spacing w:after="20" w:before="20" w:line="240" w:lineRule="auto"/>
            </w:pPr>
            <w:r/>
            <w:r>
              <w:rPr>
                <w:rFonts w:ascii="Arial" w:hAnsi="Arial" w:cs="Arial"/>
                <w:b/>
                <w:i w:val="0"/>
                <w:sz w:val="18"/>
              </w:rPr>
              <w:t>Point</w:t>
            </w:r>
          </w:p>
        </w:tc>
        <w:tc>
          <w:tcPr>
            <w:tcW w:type="dxa" w:w="3213"/>
            <w:shd w:val="clear" w:fill="D9E2F3"/>
          </w:tcPr>
          <w:p>
            <w:pPr>
              <w:spacing w:after="20" w:before="20" w:line="240" w:lineRule="auto"/>
            </w:pPr>
            <w:r/>
            <w:r>
              <w:rPr>
                <w:rFonts w:ascii="Arial" w:hAnsi="Arial" w:cs="Arial"/>
                <w:b/>
                <w:i w:val="0"/>
                <w:sz w:val="18"/>
              </w:rPr>
              <w:t>Enforcement</w:t>
            </w:r>
          </w:p>
        </w:tc>
      </w:tr>
      <w:tr>
        <w:tc>
          <w:tcPr>
            <w:tcW w:type="dxa" w:w="3213"/>
          </w:tcPr>
          <w:p>
            <w:pPr>
              <w:spacing w:after="20" w:before="20" w:line="240" w:lineRule="auto"/>
            </w:pPr>
            <w:r/>
            <w:r>
              <w:rPr>
                <w:rFonts w:ascii="Arial" w:hAnsi="Arial" w:cs="Arial"/>
                <w:b w:val="0"/>
                <w:i w:val="0"/>
                <w:sz w:val="17"/>
              </w:rPr>
              <w:t>30</w:t>
            </w:r>
          </w:p>
        </w:tc>
        <w:tc>
          <w:tcPr>
            <w:tcW w:type="dxa" w:w="3213"/>
          </w:tcPr>
          <w:p>
            <w:pPr>
              <w:spacing w:after="20" w:before="20" w:line="240" w:lineRule="auto"/>
            </w:pPr>
            <w:r/>
            <w:r>
              <w:rPr>
                <w:rFonts w:ascii="Arial" w:hAnsi="Arial" w:cs="Arial"/>
                <w:b w:val="0"/>
                <w:i w:val="0"/>
                <w:sz w:val="17"/>
              </w:rPr>
              <w:t>A timeout never creates finality — no timeout may create financial, legal, or closure finality in any domain</w:t>
            </w:r>
          </w:p>
        </w:tc>
        <w:tc>
          <w:tcPr>
            <w:tcW w:type="dxa" w:w="3213"/>
          </w:tcPr>
          <w:p>
            <w:pPr>
              <w:spacing w:after="20" w:before="20" w:line="240" w:lineRule="auto"/>
            </w:pPr>
            <w:r/>
            <w:r>
              <w:rPr>
                <w:rFonts w:ascii="Arial" w:hAnsi="Arial" w:cs="Arial"/>
                <w:b w:val="0"/>
                <w:i w:val="0"/>
                <w:sz w:val="17"/>
              </w:rPr>
              <w:t>Timeout produces UNKNOWN states subject to reconciliation, never success or failure</w:t>
            </w:r>
          </w:p>
        </w:tc>
      </w:tr>
      <w:tr>
        <w:tc>
          <w:tcPr>
            <w:tcW w:type="dxa" w:w="3213"/>
          </w:tcPr>
          <w:p>
            <w:pPr>
              <w:spacing w:after="20" w:before="20" w:line="240" w:lineRule="auto"/>
            </w:pPr>
            <w:r/>
            <w:r>
              <w:rPr>
                <w:rFonts w:ascii="Arial" w:hAnsi="Arial" w:cs="Arial"/>
                <w:b w:val="0"/>
                <w:i w:val="0"/>
                <w:sz w:val="17"/>
              </w:rPr>
              <w:t>31</w:t>
            </w:r>
          </w:p>
        </w:tc>
        <w:tc>
          <w:tcPr>
            <w:tcW w:type="dxa" w:w="3213"/>
          </w:tcPr>
          <w:p>
            <w:pPr>
              <w:spacing w:after="20" w:before="20" w:line="240" w:lineRule="auto"/>
            </w:pPr>
            <w:r/>
            <w:r>
              <w:rPr>
                <w:rFonts w:ascii="Arial" w:hAnsi="Arial" w:cs="Arial"/>
                <w:b w:val="0"/>
                <w:i w:val="0"/>
                <w:sz w:val="17"/>
              </w:rPr>
              <w:t>Settlement does not equal closure — settlement completion is one closure condition, not the closure condition</w:t>
            </w:r>
          </w:p>
        </w:tc>
        <w:tc>
          <w:tcPr>
            <w:tcW w:type="dxa" w:w="3213"/>
          </w:tcPr>
          <w:p>
            <w:pPr>
              <w:spacing w:after="20" w:before="20" w:line="240" w:lineRule="auto"/>
            </w:pPr>
            <w:r/>
            <w:r>
              <w:rPr>
                <w:rFonts w:ascii="Arial" w:hAnsi="Arial" w:cs="Arial"/>
                <w:b w:val="0"/>
                <w:i w:val="0"/>
                <w:sz w:val="17"/>
              </w:rPr>
              <w:t>canClose predicate evaluates all seven conditions (Section 5.10)</w:t>
            </w:r>
          </w:p>
        </w:tc>
      </w:tr>
      <w:tr>
        <w:tc>
          <w:tcPr>
            <w:tcW w:type="dxa" w:w="3213"/>
          </w:tcPr>
          <w:p>
            <w:pPr>
              <w:spacing w:after="20" w:before="20" w:line="240" w:lineRule="auto"/>
            </w:pPr>
            <w:r/>
            <w:r>
              <w:rPr>
                <w:rFonts w:ascii="Arial" w:hAnsi="Arial" w:cs="Arial"/>
                <w:b w:val="0"/>
                <w:i w:val="0"/>
                <w:sz w:val="17"/>
              </w:rPr>
              <w:t>32</w:t>
            </w:r>
          </w:p>
        </w:tc>
        <w:tc>
          <w:tcPr>
            <w:tcW w:type="dxa" w:w="3213"/>
          </w:tcPr>
          <w:p>
            <w:pPr>
              <w:spacing w:after="20" w:before="20" w:line="240" w:lineRule="auto"/>
            </w:pPr>
            <w:r/>
            <w:r>
              <w:rPr>
                <w:rFonts w:ascii="Arial" w:hAnsi="Arial" w:cs="Arial"/>
                <w:b w:val="0"/>
                <w:i w:val="0"/>
                <w:sz w:val="17"/>
              </w:rPr>
              <w:t>Evidence integrity is not legal authority — a hash-verified, tamper-evident record does not by itself constitute a legal fact</w:t>
            </w:r>
          </w:p>
        </w:tc>
        <w:tc>
          <w:tcPr>
            <w:tcW w:type="dxa" w:w="3213"/>
          </w:tcPr>
          <w:p>
            <w:pPr>
              <w:spacing w:after="20" w:before="20" w:line="240" w:lineRule="auto"/>
            </w:pPr>
            <w:r/>
            <w:r>
              <w:rPr>
                <w:rFonts w:ascii="Arial" w:hAnsi="Arial" w:cs="Arial"/>
                <w:b w:val="0"/>
                <w:i w:val="0"/>
                <w:sz w:val="17"/>
              </w:rPr>
              <w:t>Authority level stored separately from verification state (Section 19.32)</w:t>
            </w:r>
          </w:p>
        </w:tc>
      </w:tr>
      <w:tr>
        <w:tc>
          <w:tcPr>
            <w:tcW w:type="dxa" w:w="3213"/>
          </w:tcPr>
          <w:p>
            <w:pPr>
              <w:spacing w:after="20" w:before="20" w:line="240" w:lineRule="auto"/>
            </w:pPr>
            <w:r/>
            <w:r>
              <w:rPr>
                <w:rFonts w:ascii="Arial" w:hAnsi="Arial" w:cs="Arial"/>
                <w:b w:val="0"/>
                <w:i w:val="0"/>
                <w:sz w:val="17"/>
              </w:rPr>
              <w:t>33</w:t>
            </w:r>
          </w:p>
        </w:tc>
        <w:tc>
          <w:tcPr>
            <w:tcW w:type="dxa" w:w="3213"/>
          </w:tcPr>
          <w:p>
            <w:pPr>
              <w:spacing w:after="20" w:before="20" w:line="240" w:lineRule="auto"/>
            </w:pPr>
            <w:r/>
            <w:r>
              <w:rPr>
                <w:rFonts w:ascii="Arial" w:hAnsi="Arial" w:cs="Arial"/>
                <w:b w:val="0"/>
                <w:i w:val="0"/>
                <w:sz w:val="17"/>
              </w:rPr>
              <w:t>An assertion is not a confirmation — a party statement or internal command is never equivalent to an external authoritative confirmation</w:t>
            </w:r>
          </w:p>
        </w:tc>
        <w:tc>
          <w:tcPr>
            <w:tcW w:type="dxa" w:w="3213"/>
          </w:tcPr>
          <w:p>
            <w:pPr>
              <w:spacing w:after="20" w:before="20" w:line="240" w:lineRule="auto"/>
            </w:pPr>
            <w:r/>
            <w:r>
              <w:rPr>
                <w:rFonts w:ascii="Arial" w:hAnsi="Arial" w:cs="Arial"/>
                <w:b w:val="0"/>
                <w:i w:val="0"/>
                <w:sz w:val="17"/>
              </w:rPr>
              <w:t>Assertion vs confirmation distinction enforced in the state vector (Section 19.31)</w:t>
            </w:r>
          </w:p>
        </w:tc>
      </w:tr>
      <w:tr>
        <w:tc>
          <w:tcPr>
            <w:tcW w:type="dxa" w:w="3213"/>
          </w:tcPr>
          <w:p>
            <w:pPr>
              <w:spacing w:after="20" w:before="20" w:line="240" w:lineRule="auto"/>
            </w:pPr>
            <w:r/>
            <w:r>
              <w:rPr>
                <w:rFonts w:ascii="Arial" w:hAnsi="Arial" w:cs="Arial"/>
                <w:b w:val="0"/>
                <w:i w:val="0"/>
                <w:sz w:val="17"/>
              </w:rPr>
              <w:t>34</w:t>
            </w:r>
          </w:p>
        </w:tc>
        <w:tc>
          <w:tcPr>
            <w:tcW w:type="dxa" w:w="3213"/>
          </w:tcPr>
          <w:p>
            <w:pPr>
              <w:spacing w:after="20" w:before="20" w:line="240" w:lineRule="auto"/>
            </w:pPr>
            <w:r/>
            <w:r>
              <w:rPr>
                <w:rFonts w:ascii="Arial" w:hAnsi="Arial" w:cs="Arial"/>
                <w:b w:val="0"/>
                <w:i w:val="0"/>
                <w:sz w:val="17"/>
              </w:rPr>
              <w:t>External-system divergence must be represented, never silently overwritten — when an authoritative external system contradicts internal state, both are recorded and reconciled</w:t>
            </w:r>
          </w:p>
        </w:tc>
        <w:tc>
          <w:tcPr>
            <w:tcW w:type="dxa" w:w="3213"/>
          </w:tcPr>
          <w:p>
            <w:pPr>
              <w:spacing w:after="20" w:before="20" w:line="240" w:lineRule="auto"/>
            </w:pPr>
            <w:r/>
            <w:r>
              <w:rPr>
                <w:rFonts w:ascii="Arial" w:hAnsi="Arial" w:cs="Arial"/>
                <w:b w:val="0"/>
                <w:i w:val="0"/>
                <w:sz w:val="17"/>
              </w:rPr>
              <w:t>Reconciliation control plane (Section 19.26); historical events immutable</w:t>
            </w:r>
          </w:p>
        </w:tc>
      </w:tr>
      <w:tr>
        <w:tc>
          <w:tcPr>
            <w:tcW w:type="dxa" w:w="3213"/>
          </w:tcPr>
          <w:p>
            <w:pPr>
              <w:spacing w:after="20" w:before="20" w:line="240" w:lineRule="auto"/>
            </w:pPr>
            <w:r/>
            <w:r>
              <w:rPr>
                <w:rFonts w:ascii="Arial" w:hAnsi="Arial" w:cs="Arial"/>
                <w:b w:val="0"/>
                <w:i w:val="0"/>
                <w:sz w:val="17"/>
              </w:rPr>
              <w:t>35</w:t>
            </w:r>
          </w:p>
        </w:tc>
        <w:tc>
          <w:tcPr>
            <w:tcW w:type="dxa" w:w="3213"/>
          </w:tcPr>
          <w:p>
            <w:pPr>
              <w:spacing w:after="20" w:before="20" w:line="240" w:lineRule="auto"/>
            </w:pPr>
            <w:r/>
            <w:r>
              <w:rPr>
                <w:rFonts w:ascii="Arial" w:hAnsi="Arial" w:cs="Arial"/>
                <w:b w:val="0"/>
                <w:i w:val="0"/>
                <w:sz w:val="17"/>
              </w:rPr>
              <w:t>No subsystem may silently redefine canonical transaction truth — service-local statuses are operational projections only</w:t>
            </w:r>
          </w:p>
        </w:tc>
        <w:tc>
          <w:tcPr>
            <w:tcW w:type="dxa" w:w="3213"/>
          </w:tcPr>
          <w:p>
            <w:pPr>
              <w:spacing w:after="20" w:before="20" w:line="240" w:lineRule="auto"/>
            </w:pPr>
            <w:r/>
            <w:r>
              <w:rPr>
                <w:rFonts w:ascii="Arial" w:hAnsi="Arial" w:cs="Arial"/>
                <w:b w:val="0"/>
                <w:i w:val="0"/>
                <w:sz w:val="17"/>
              </w:rPr>
              <w:t>Canonical state derived from events + external facts + policy (Section 19.26)</w:t>
            </w:r>
          </w:p>
        </w:tc>
      </w:tr>
      <w:tr>
        <w:tc>
          <w:tcPr>
            <w:tcW w:type="dxa" w:w="3213"/>
          </w:tcPr>
          <w:p>
            <w:pPr>
              <w:spacing w:after="20" w:before="20" w:line="240" w:lineRule="auto"/>
            </w:pPr>
            <w:r/>
            <w:r>
              <w:rPr>
                <w:rFonts w:ascii="Arial" w:hAnsi="Arial" w:cs="Arial"/>
                <w:b w:val="0"/>
                <w:i w:val="0"/>
                <w:sz w:val="17"/>
              </w:rPr>
              <w:t>36</w:t>
            </w:r>
          </w:p>
        </w:tc>
        <w:tc>
          <w:tcPr>
            <w:tcW w:type="dxa" w:w="3213"/>
          </w:tcPr>
          <w:p>
            <w:pPr>
              <w:spacing w:after="20" w:before="20" w:line="240" w:lineRule="auto"/>
            </w:pPr>
            <w:r/>
            <w:r>
              <w:rPr>
                <w:rFonts w:ascii="Arial" w:hAnsi="Arial" w:cs="Arial"/>
                <w:b w:val="0"/>
                <w:i w:val="0"/>
                <w:sz w:val="17"/>
              </w:rPr>
              <w:t>Financial exposure must be represented independently of transaction state — exposure may remain open after settlement and must remain visible</w:t>
            </w:r>
          </w:p>
        </w:tc>
        <w:tc>
          <w:tcPr>
            <w:tcW w:type="dxa" w:w="3213"/>
          </w:tcPr>
          <w:p>
            <w:pPr>
              <w:spacing w:after="20" w:before="20" w:line="240" w:lineRule="auto"/>
            </w:pPr>
            <w:r/>
            <w:r>
              <w:rPr>
                <w:rFonts w:ascii="Arial" w:hAnsi="Arial" w:cs="Arial"/>
                <w:b w:val="0"/>
                <w:i w:val="0"/>
                <w:sz w:val="17"/>
              </w:rPr>
              <w:t>Economic exposure engine (Section 19.64); exposure blocks closure where policy requires</w:t>
            </w:r>
          </w:p>
        </w:tc>
      </w:tr>
      <w:tr>
        <w:tc>
          <w:tcPr>
            <w:tcW w:type="dxa" w:w="3213"/>
          </w:tcPr>
          <w:p>
            <w:pPr>
              <w:spacing w:after="20" w:before="20" w:line="240" w:lineRule="auto"/>
            </w:pPr>
            <w:r/>
            <w:r>
              <w:rPr>
                <w:rFonts w:ascii="Arial" w:hAnsi="Arial" w:cs="Arial"/>
                <w:b w:val="0"/>
                <w:i w:val="0"/>
                <w:sz w:val="17"/>
              </w:rPr>
              <w:t>37</w:t>
            </w:r>
          </w:p>
        </w:tc>
        <w:tc>
          <w:tcPr>
            <w:tcW w:type="dxa" w:w="3213"/>
          </w:tcPr>
          <w:p>
            <w:pPr>
              <w:spacing w:after="20" w:before="20" w:line="240" w:lineRule="auto"/>
            </w:pPr>
            <w:r/>
            <w:r>
              <w:rPr>
                <w:rFonts w:ascii="Arial" w:hAnsi="Arial" w:cs="Arial"/>
                <w:b w:val="0"/>
                <w:i w:val="0"/>
                <w:sz w:val="17"/>
              </w:rPr>
              <w:t>Fail closed on authoritative uncertainty — compliance decisions must fail closed where required authoritative state cannot be established</w:t>
            </w:r>
          </w:p>
        </w:tc>
        <w:tc>
          <w:tcPr>
            <w:tcW w:type="dxa" w:w="3213"/>
          </w:tcPr>
          <w:p>
            <w:pPr>
              <w:spacing w:after="20" w:before="20" w:line="240" w:lineRule="auto"/>
            </w:pPr>
            <w:r/>
            <w:r>
              <w:rPr>
                <w:rFonts w:ascii="Arial" w:hAnsi="Arial" w:cs="Arial"/>
                <w:b w:val="0"/>
                <w:i w:val="0"/>
                <w:sz w:val="17"/>
              </w:rPr>
              <w:t>Compliance cache freshness discipline (Section 6.3); UNKNOWN is not compliant</w:t>
            </w:r>
          </w:p>
        </w:tc>
      </w:tr>
      <w:tr>
        <w:tc>
          <w:tcPr>
            <w:tcW w:type="dxa" w:w="3213"/>
          </w:tcPr>
          <w:p>
            <w:pPr>
              <w:spacing w:after="20" w:before="20" w:line="240" w:lineRule="auto"/>
            </w:pPr>
            <w:r/>
            <w:r>
              <w:rPr>
                <w:rFonts w:ascii="Arial" w:hAnsi="Arial" w:cs="Arial"/>
                <w:b w:val="0"/>
                <w:i w:val="0"/>
                <w:sz w:val="17"/>
              </w:rPr>
              <w:t>38</w:t>
            </w:r>
          </w:p>
        </w:tc>
        <w:tc>
          <w:tcPr>
            <w:tcW w:type="dxa" w:w="3213"/>
          </w:tcPr>
          <w:p>
            <w:pPr>
              <w:spacing w:after="20" w:before="20" w:line="240" w:lineRule="auto"/>
            </w:pPr>
            <w:r/>
            <w:r>
              <w:rPr>
                <w:rFonts w:ascii="Arial" w:hAnsi="Arial" w:cs="Arial"/>
                <w:b w:val="0"/>
                <w:i w:val="0"/>
                <w:sz w:val="17"/>
              </w:rPr>
              <w:t>No false prevention claims — the platform must never claim to prevent financing outside the data sources and registries it actually controls</w:t>
            </w:r>
          </w:p>
        </w:tc>
        <w:tc>
          <w:tcPr>
            <w:tcW w:type="dxa" w:w="3213"/>
          </w:tcPr>
          <w:p>
            <w:pPr>
              <w:spacing w:after="20" w:before="20" w:line="240" w:lineRule="auto"/>
            </w:pPr>
            <w:r/>
            <w:r>
              <w:rPr>
                <w:rFonts w:ascii="Arial" w:hAnsi="Arial" w:cs="Arial"/>
                <w:b w:val="0"/>
                <w:i w:val="0"/>
                <w:sz w:val="17"/>
              </w:rPr>
              <w:t>Double-financing claim boundary (Section 10.61.1)</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Points 30–38 are enforced mechanically wherever they apply: timeout semantics through the failure model (Sections 19.23.1 and 13.4.16), closure through the canClose predicate (Section 5.10), evidence and authority through the authority matrix (Sections 19.29–19.32), divergence through the reconciliation control plane (Section 19.26), exposure through the financial exposure engine (Section 19.64), and prevention claims through the financing registry boundary (Section 10.61.1).</w:t>
      </w:r>
    </w:p>
    <w:p>
      <w:pPr>
        <w:keepNext/>
        <w:spacing w:before="240" w:after="100"/>
        <w:outlineLvl w:val="1"/>
      </w:pPr>
      <w:r>
        <w:rPr>
          <w:rFonts w:ascii="Arial" w:hAnsi="Arial" w:cs="Arial"/>
          <w:b/>
          <w:i w:val="0"/>
          <w:color w:val="2E528F"/>
          <w:sz w:val="26"/>
        </w:rPr>
        <w:t>3.3 AI Authority Ladder (A0–A5)</w:t>
      </w:r>
    </w:p>
    <w:p>
      <w:pPr>
        <w:spacing w:after="80" w:line="293" w:lineRule="auto"/>
        <w:jc w:val="left"/>
      </w:pPr>
      <w:r>
        <w:rPr>
          <w:rFonts w:ascii="Times New Roman" w:hAnsi="Times New Roman" w:cs="Times New Roman"/>
          <w:b w:val="0"/>
          <w:i w:val="0"/>
          <w:sz w:val="22"/>
        </w:rPr>
        <w:t>The AI Authority Ladder defines exactly what AI can and cannot do. Five principles govern it:</w:t>
      </w:r>
    </w:p>
    <w:p>
      <w:pPr>
        <w:spacing w:after="80" w:line="293" w:lineRule="auto"/>
        <w:ind w:left="283"/>
        <w:jc w:val="left"/>
      </w:pPr>
      <w:r>
        <w:rPr>
          <w:rFonts w:ascii="Times New Roman" w:hAnsi="Times New Roman" w:cs="Times New Roman"/>
          <w:b w:val="0"/>
          <w:i w:val="0"/>
          <w:sz w:val="22"/>
        </w:rPr>
        <w:t>- A5 is FORBIDDEN — no autonomous execution.</w:t>
      </w:r>
    </w:p>
    <w:p>
      <w:pPr>
        <w:spacing w:after="80" w:line="293" w:lineRule="auto"/>
        <w:ind w:left="283"/>
        <w:jc w:val="left"/>
      </w:pPr>
      <w:r>
        <w:rPr>
          <w:rFonts w:ascii="Times New Roman" w:hAnsi="Times New Roman" w:cs="Times New Roman"/>
          <w:b w:val="0"/>
          <w:i w:val="0"/>
          <w:sz w:val="22"/>
        </w:rPr>
        <w:t>- AI may block, never force — AI can advise, flag, and escalate, but never autonomously execute.</w:t>
      </w:r>
    </w:p>
    <w:p>
      <w:pPr>
        <w:spacing w:after="80" w:line="293" w:lineRule="auto"/>
        <w:ind w:left="283"/>
        <w:jc w:val="left"/>
      </w:pPr>
      <w:r>
        <w:rPr>
          <w:rFonts w:ascii="Times New Roman" w:hAnsi="Times New Roman" w:cs="Times New Roman"/>
          <w:b w:val="0"/>
          <w:i w:val="0"/>
          <w:sz w:val="22"/>
        </w:rPr>
        <w:t>- Three-tier fallback — Groq → Ollama → static templates ensure zero downtime.</w:t>
      </w:r>
    </w:p>
    <w:p>
      <w:pPr>
        <w:spacing w:after="80" w:line="293" w:lineRule="auto"/>
        <w:ind w:left="283"/>
        <w:jc w:val="left"/>
      </w:pPr>
      <w:r>
        <w:rPr>
          <w:rFonts w:ascii="Times New Roman" w:hAnsi="Times New Roman" w:cs="Times New Roman"/>
          <w:b w:val="0"/>
          <w:i w:val="0"/>
          <w:sz w:val="22"/>
        </w:rPr>
        <w:t>- Transparency — every AI decision is logged with confidence scores.</w:t>
      </w:r>
    </w:p>
    <w:p>
      <w:pPr>
        <w:spacing w:after="80" w:line="293" w:lineRule="auto"/>
        <w:ind w:left="283"/>
        <w:jc w:val="left"/>
      </w:pPr>
      <w:r>
        <w:rPr>
          <w:rFonts w:ascii="Times New Roman" w:hAnsi="Times New Roman" w:cs="Times New Roman"/>
          <w:b w:val="0"/>
          <w:i w:val="0"/>
          <w:sz w:val="22"/>
        </w:rPr>
        <w:t>- Privacy-first — sensitive data is never sent to external AI providers; local inference is used for privacy-critical tasks.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Level</w:t>
            </w:r>
          </w:p>
        </w:tc>
        <w:tc>
          <w:tcPr>
            <w:tcW w:type="dxa" w:w="2409"/>
            <w:shd w:val="clear" w:fill="D9E2F3"/>
          </w:tcPr>
          <w:p>
            <w:pPr>
              <w:spacing w:after="20" w:before="20" w:line="240" w:lineRule="auto"/>
            </w:pPr>
            <w:r/>
            <w:r>
              <w:rPr>
                <w:rFonts w:ascii="Arial" w:hAnsi="Arial" w:cs="Arial"/>
                <w:b/>
                <w:i w:val="0"/>
                <w:sz w:val="18"/>
              </w:rPr>
              <w:t>Name</w:t>
            </w:r>
          </w:p>
        </w:tc>
        <w:tc>
          <w:tcPr>
            <w:tcW w:type="dxa" w:w="2409"/>
            <w:shd w:val="clear" w:fill="D9E2F3"/>
          </w:tcPr>
          <w:p>
            <w:pPr>
              <w:spacing w:after="20" w:before="20" w:line="240" w:lineRule="auto"/>
            </w:pPr>
            <w:r/>
            <w:r>
              <w:rPr>
                <w:rFonts w:ascii="Arial" w:hAnsi="Arial" w:cs="Arial"/>
                <w:b/>
                <w:i w:val="0"/>
                <w:sz w:val="18"/>
              </w:rPr>
              <w:t>Authority</w:t>
            </w:r>
          </w:p>
        </w:tc>
        <w:tc>
          <w:tcPr>
            <w:tcW w:type="dxa" w:w="2409"/>
            <w:shd w:val="clear" w:fill="D9E2F3"/>
          </w:tcPr>
          <w:p>
            <w:pPr>
              <w:spacing w:after="20" w:before="20" w:line="240" w:lineRule="auto"/>
            </w:pPr>
            <w:r/>
            <w:r>
              <w:rPr>
                <w:rFonts w:ascii="Arial" w:hAnsi="Arial" w:cs="Arial"/>
                <w:b/>
                <w:i w:val="0"/>
                <w:sz w:val="18"/>
              </w:rPr>
              <w:t>Boundary</w:t>
            </w:r>
          </w:p>
        </w:tc>
      </w:tr>
      <w:tr>
        <w:tc>
          <w:tcPr>
            <w:tcW w:type="dxa" w:w="2409"/>
          </w:tcPr>
          <w:p>
            <w:pPr>
              <w:spacing w:after="20" w:before="20" w:line="240" w:lineRule="auto"/>
            </w:pPr>
            <w:r/>
            <w:r>
              <w:rPr>
                <w:rFonts w:ascii="Arial" w:hAnsi="Arial" w:cs="Arial"/>
                <w:b w:val="0"/>
                <w:i w:val="0"/>
                <w:sz w:val="17"/>
              </w:rPr>
              <w:t>A0</w:t>
            </w:r>
          </w:p>
        </w:tc>
        <w:tc>
          <w:tcPr>
            <w:tcW w:type="dxa" w:w="2409"/>
          </w:tcPr>
          <w:p>
            <w:pPr>
              <w:spacing w:after="20" w:before="20" w:line="240" w:lineRule="auto"/>
            </w:pPr>
            <w:r/>
            <w:r>
              <w:rPr>
                <w:rFonts w:ascii="Arial" w:hAnsi="Arial" w:cs="Arial"/>
                <w:b w:val="0"/>
                <w:i w:val="0"/>
                <w:sz w:val="17"/>
              </w:rPr>
              <w:t>None</w:t>
            </w:r>
          </w:p>
        </w:tc>
        <w:tc>
          <w:tcPr>
            <w:tcW w:type="dxa" w:w="2409"/>
          </w:tcPr>
          <w:p>
            <w:pPr>
              <w:spacing w:after="20" w:before="20" w:line="240" w:lineRule="auto"/>
            </w:pPr>
            <w:r/>
            <w:r>
              <w:rPr>
                <w:rFonts w:ascii="Arial" w:hAnsi="Arial" w:cs="Arial"/>
                <w:b w:val="0"/>
                <w:i w:val="0"/>
                <w:sz w:val="17"/>
              </w:rPr>
              <w:t>No AI involvement — pure deterministic rules</w:t>
            </w:r>
          </w:p>
        </w:tc>
        <w:tc>
          <w:tcPr>
            <w:tcW w:type="dxa" w:w="2409"/>
          </w:tcPr>
          <w:p>
            <w:pPr>
              <w:spacing w:after="20" w:before="20" w:line="240" w:lineRule="auto"/>
            </w:pPr>
            <w:r/>
            <w:r>
              <w:rPr>
                <w:rFonts w:ascii="Arial" w:hAnsi="Arial" w:cs="Arial"/>
                <w:b w:val="0"/>
                <w:i w:val="0"/>
                <w:sz w:val="17"/>
              </w:rPr>
              <w:t>No AI subsystem invoked</w:t>
            </w:r>
          </w:p>
        </w:tc>
      </w:tr>
      <w:tr>
        <w:tc>
          <w:tcPr>
            <w:tcW w:type="dxa" w:w="2409"/>
          </w:tcPr>
          <w:p>
            <w:pPr>
              <w:spacing w:after="20" w:before="20" w:line="240" w:lineRule="auto"/>
            </w:pPr>
            <w:r/>
            <w:r>
              <w:rPr>
                <w:rFonts w:ascii="Arial" w:hAnsi="Arial" w:cs="Arial"/>
                <w:b w:val="0"/>
                <w:i w:val="0"/>
                <w:sz w:val="17"/>
              </w:rPr>
              <w:t>A1</w:t>
            </w:r>
          </w:p>
        </w:tc>
        <w:tc>
          <w:tcPr>
            <w:tcW w:type="dxa" w:w="2409"/>
          </w:tcPr>
          <w:p>
            <w:pPr>
              <w:spacing w:after="20" w:before="20" w:line="240" w:lineRule="auto"/>
            </w:pPr>
            <w:r/>
            <w:r>
              <w:rPr>
                <w:rFonts w:ascii="Arial" w:hAnsi="Arial" w:cs="Arial"/>
                <w:b w:val="0"/>
                <w:i w:val="0"/>
                <w:sz w:val="17"/>
              </w:rPr>
              <w:t>Advisory</w:t>
            </w:r>
          </w:p>
        </w:tc>
        <w:tc>
          <w:tcPr>
            <w:tcW w:type="dxa" w:w="2409"/>
          </w:tcPr>
          <w:p>
            <w:pPr>
              <w:spacing w:after="20" w:before="20" w:line="240" w:lineRule="auto"/>
            </w:pPr>
            <w:r/>
            <w:r>
              <w:rPr>
                <w:rFonts w:ascii="Arial" w:hAnsi="Arial" w:cs="Arial"/>
                <w:b w:val="0"/>
                <w:i w:val="0"/>
                <w:sz w:val="17"/>
              </w:rPr>
              <w:t>Explain, translate, suggest, summarise, notify, generate draft instructions</w:t>
            </w:r>
          </w:p>
        </w:tc>
        <w:tc>
          <w:tcPr>
            <w:tcW w:type="dxa" w:w="2409"/>
          </w:tcPr>
          <w:p>
            <w:pPr>
              <w:spacing w:after="20" w:before="20" w:line="240" w:lineRule="auto"/>
            </w:pPr>
            <w:r/>
            <w:r>
              <w:rPr>
                <w:rFonts w:ascii="Arial" w:hAnsi="Arial" w:cs="Arial"/>
                <w:b w:val="0"/>
                <w:i w:val="0"/>
                <w:sz w:val="17"/>
              </w:rPr>
              <w:t>Never makes decisions; never blocks; never forces</w:t>
            </w:r>
          </w:p>
        </w:tc>
      </w:tr>
      <w:tr>
        <w:tc>
          <w:tcPr>
            <w:tcW w:type="dxa" w:w="2409"/>
          </w:tcPr>
          <w:p>
            <w:pPr>
              <w:spacing w:after="20" w:before="20" w:line="240" w:lineRule="auto"/>
            </w:pPr>
            <w:r/>
            <w:r>
              <w:rPr>
                <w:rFonts w:ascii="Arial" w:hAnsi="Arial" w:cs="Arial"/>
                <w:b w:val="0"/>
                <w:i w:val="0"/>
                <w:sz w:val="17"/>
              </w:rPr>
              <w:t>A2</w:t>
            </w:r>
          </w:p>
        </w:tc>
        <w:tc>
          <w:tcPr>
            <w:tcW w:type="dxa" w:w="2409"/>
          </w:tcPr>
          <w:p>
            <w:pPr>
              <w:spacing w:after="20" w:before="20" w:line="240" w:lineRule="auto"/>
            </w:pPr>
            <w:r/>
            <w:r>
              <w:rPr>
                <w:rFonts w:ascii="Arial" w:hAnsi="Arial" w:cs="Arial"/>
                <w:b w:val="0"/>
                <w:i w:val="0"/>
                <w:sz w:val="17"/>
              </w:rPr>
              <w:t>Constraining</w:t>
            </w:r>
          </w:p>
        </w:tc>
        <w:tc>
          <w:tcPr>
            <w:tcW w:type="dxa" w:w="2409"/>
          </w:tcPr>
          <w:p>
            <w:pPr>
              <w:spacing w:after="20" w:before="20" w:line="240" w:lineRule="auto"/>
            </w:pPr>
            <w:r/>
            <w:r>
              <w:rPr>
                <w:rFonts w:ascii="Arial" w:hAnsi="Arial" w:cs="Arial"/>
                <w:b w:val="0"/>
                <w:i w:val="0"/>
                <w:sz w:val="17"/>
              </w:rPr>
              <w:t>Classify, detect anomalies, predict delays, compare images, estimate ETA, optimise, analyse</w:t>
            </w:r>
          </w:p>
        </w:tc>
        <w:tc>
          <w:tcPr>
            <w:tcW w:type="dxa" w:w="2409"/>
          </w:tcPr>
          <w:p>
            <w:pPr>
              <w:spacing w:after="20" w:before="20" w:line="240" w:lineRule="auto"/>
            </w:pPr>
            <w:r/>
            <w:r>
              <w:rPr>
                <w:rFonts w:ascii="Arial" w:hAnsi="Arial" w:cs="Arial"/>
                <w:b w:val="0"/>
                <w:i w:val="0"/>
                <w:sz w:val="17"/>
              </w:rPr>
              <w:t>Proposes constraints; Governor decides whether to enforce</w:t>
            </w:r>
          </w:p>
        </w:tc>
      </w:tr>
      <w:tr>
        <w:tc>
          <w:tcPr>
            <w:tcW w:type="dxa" w:w="2409"/>
          </w:tcPr>
          <w:p>
            <w:pPr>
              <w:spacing w:after="20" w:before="20" w:line="240" w:lineRule="auto"/>
            </w:pPr>
            <w:r/>
            <w:r>
              <w:rPr>
                <w:rFonts w:ascii="Arial" w:hAnsi="Arial" w:cs="Arial"/>
                <w:b w:val="0"/>
                <w:i w:val="0"/>
                <w:sz w:val="17"/>
              </w:rPr>
              <w:t>A3</w:t>
            </w:r>
          </w:p>
        </w:tc>
        <w:tc>
          <w:tcPr>
            <w:tcW w:type="dxa" w:w="2409"/>
          </w:tcPr>
          <w:p>
            <w:pPr>
              <w:spacing w:after="20" w:before="20" w:line="240" w:lineRule="auto"/>
            </w:pPr>
            <w:r/>
            <w:r>
              <w:rPr>
                <w:rFonts w:ascii="Arial" w:hAnsi="Arial" w:cs="Arial"/>
                <w:b w:val="0"/>
                <w:i w:val="0"/>
                <w:sz w:val="17"/>
              </w:rPr>
              <w:t>Escalation</w:t>
            </w:r>
          </w:p>
        </w:tc>
        <w:tc>
          <w:tcPr>
            <w:tcW w:type="dxa" w:w="2409"/>
          </w:tcPr>
          <w:p>
            <w:pPr>
              <w:spacing w:after="20" w:before="20" w:line="240" w:lineRule="auto"/>
            </w:pPr>
            <w:r/>
            <w:r>
              <w:rPr>
                <w:rFonts w:ascii="Arial" w:hAnsi="Arial" w:cs="Arial"/>
                <w:b w:val="0"/>
                <w:i w:val="0"/>
                <w:sz w:val="17"/>
              </w:rPr>
              <w:t>Escalate to human review, flag for enhanced due diligence, trigger compliance review</w:t>
            </w:r>
          </w:p>
        </w:tc>
        <w:tc>
          <w:tcPr>
            <w:tcW w:type="dxa" w:w="2409"/>
          </w:tcPr>
          <w:p>
            <w:pPr>
              <w:spacing w:after="20" w:before="20" w:line="240" w:lineRule="auto"/>
            </w:pPr>
            <w:r/>
            <w:r>
              <w:rPr>
                <w:rFonts w:ascii="Arial" w:hAnsi="Arial" w:cs="Arial"/>
                <w:b w:val="0"/>
                <w:i w:val="0"/>
                <w:sz w:val="17"/>
              </w:rPr>
              <w:t>Escalates; never resolves autonomously</w:t>
            </w:r>
          </w:p>
        </w:tc>
      </w:tr>
      <w:tr>
        <w:tc>
          <w:tcPr>
            <w:tcW w:type="dxa" w:w="2409"/>
          </w:tcPr>
          <w:p>
            <w:pPr>
              <w:spacing w:after="20" w:before="20" w:line="240" w:lineRule="auto"/>
            </w:pPr>
            <w:r/>
            <w:r>
              <w:rPr>
                <w:rFonts w:ascii="Arial" w:hAnsi="Arial" w:cs="Arial"/>
                <w:b w:val="0"/>
                <w:i w:val="0"/>
                <w:sz w:val="17"/>
              </w:rPr>
              <w:t>A4</w:t>
            </w:r>
          </w:p>
        </w:tc>
        <w:tc>
          <w:tcPr>
            <w:tcW w:type="dxa" w:w="2409"/>
          </w:tcPr>
          <w:p>
            <w:pPr>
              <w:spacing w:after="20" w:before="20" w:line="240" w:lineRule="auto"/>
            </w:pPr>
            <w:r/>
            <w:r>
              <w:rPr>
                <w:rFonts w:ascii="Arial" w:hAnsi="Arial" w:cs="Arial"/>
                <w:b w:val="0"/>
                <w:i w:val="0"/>
                <w:sz w:val="17"/>
              </w:rPr>
              <w:t>Execution (within bounds)</w:t>
            </w:r>
          </w:p>
        </w:tc>
        <w:tc>
          <w:tcPr>
            <w:tcW w:type="dxa" w:w="2409"/>
          </w:tcPr>
          <w:p>
            <w:pPr>
              <w:spacing w:after="20" w:before="20" w:line="240" w:lineRule="auto"/>
            </w:pPr>
            <w:r/>
            <w:r>
              <w:rPr>
                <w:rFonts w:ascii="Arial" w:hAnsi="Arial" w:cs="Arial"/>
                <w:b w:val="0"/>
                <w:i w:val="0"/>
                <w:sz w:val="17"/>
              </w:rPr>
              <w:t>Deterministic policy automation by Governor + OPA + WasmEdge under pre-authorised rules</w:t>
            </w:r>
          </w:p>
        </w:tc>
        <w:tc>
          <w:tcPr>
            <w:tcW w:type="dxa" w:w="2409"/>
          </w:tcPr>
          <w:p>
            <w:pPr>
              <w:spacing w:after="20" w:before="20" w:line="240" w:lineRule="auto"/>
            </w:pPr>
            <w:r/>
            <w:r>
              <w:rPr>
                <w:rFonts w:ascii="Arial" w:hAnsi="Arial" w:cs="Arial"/>
                <w:b w:val="0"/>
                <w:i w:val="0"/>
                <w:sz w:val="17"/>
              </w:rPr>
              <w:t>AI never acquires independent execution authority</w:t>
            </w:r>
          </w:p>
        </w:tc>
      </w:tr>
      <w:tr>
        <w:tc>
          <w:tcPr>
            <w:tcW w:type="dxa" w:w="2409"/>
          </w:tcPr>
          <w:p>
            <w:pPr>
              <w:spacing w:after="20" w:before="20" w:line="240" w:lineRule="auto"/>
            </w:pPr>
            <w:r/>
            <w:r>
              <w:rPr>
                <w:rFonts w:ascii="Arial" w:hAnsi="Arial" w:cs="Arial"/>
                <w:b w:val="0"/>
                <w:i w:val="0"/>
                <w:sz w:val="17"/>
              </w:rPr>
              <w:t>A5</w:t>
            </w:r>
          </w:p>
        </w:tc>
        <w:tc>
          <w:tcPr>
            <w:tcW w:type="dxa" w:w="2409"/>
          </w:tcPr>
          <w:p>
            <w:pPr>
              <w:spacing w:after="20" w:before="20" w:line="240" w:lineRule="auto"/>
            </w:pPr>
            <w:r/>
            <w:r>
              <w:rPr>
                <w:rFonts w:ascii="Arial" w:hAnsi="Arial" w:cs="Arial"/>
                <w:b w:val="0"/>
                <w:i w:val="0"/>
                <w:sz w:val="17"/>
              </w:rPr>
              <w:t>FORBIDDEN</w:t>
            </w:r>
          </w:p>
        </w:tc>
        <w:tc>
          <w:tcPr>
            <w:tcW w:type="dxa" w:w="2409"/>
          </w:tcPr>
          <w:p>
            <w:pPr>
              <w:spacing w:after="20" w:before="20" w:line="240" w:lineRule="auto"/>
            </w:pPr>
            <w:r/>
            <w:r>
              <w:rPr>
                <w:rFonts w:ascii="Arial" w:hAnsi="Arial" w:cs="Arial"/>
                <w:b w:val="0"/>
                <w:i w:val="0"/>
                <w:sz w:val="17"/>
              </w:rPr>
              <w:t>Autonomous AI decision-making without human authorisation</w:t>
            </w:r>
          </w:p>
        </w:tc>
        <w:tc>
          <w:tcPr>
            <w:tcW w:type="dxa" w:w="2409"/>
          </w:tcPr>
          <w:p>
            <w:pPr>
              <w:spacing w:after="20" w:before="20" w:line="240" w:lineRule="auto"/>
            </w:pPr>
            <w:r/>
            <w:r>
              <w:rPr>
                <w:rFonts w:ascii="Arial" w:hAnsi="Arial" w:cs="Arial"/>
                <w:b w:val="0"/>
                <w:i w:val="0"/>
                <w:sz w:val="17"/>
              </w:rPr>
              <w:t>Constitutionally prohibited; any attempt triggers a SEV-0 incident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3.3.1 Forbidden Actions (A5)</w:t>
      </w:r>
    </w:p>
    <w:p>
      <w:pPr>
        <w:spacing w:after="80" w:line="293" w:lineRule="auto"/>
        <w:jc w:val="left"/>
      </w:pPr>
      <w:r>
        <w:rPr>
          <w:rFonts w:ascii="Times New Roman" w:hAnsi="Times New Roman" w:cs="Times New Roman"/>
          <w:b w:val="0"/>
          <w:i w:val="0"/>
          <w:sz w:val="22"/>
        </w:rPr>
        <w:t>Autonomous AI decision-making without human authorisation is constitutionally prohibited (A5). The prohibition is enforced mechanically: A5 behaviour is blocked at WASM compile time, so no deployable module can contain it; any attempt is logged as a constitutional violation, and any live attempt triggers a SEV-0 incident. The prohibition is total — it applies to every AI subsystem without exception, and no configuration, jurisdiction, or operational emergency permits autonomous AI execution.</w:t>
      </w:r>
    </w:p>
    <w:p>
      <w:pPr>
        <w:keepNext/>
        <w:spacing w:before="180" w:after="80"/>
        <w:outlineLvl w:val="2"/>
      </w:pPr>
      <w:r>
        <w:rPr>
          <w:rFonts w:ascii="Arial" w:hAnsi="Arial" w:cs="Arial"/>
          <w:b/>
          <w:i w:val="0"/>
          <w:color w:val="333333"/>
          <w:sz w:val="23"/>
        </w:rPr>
        <w:t>3.3.2 AI Authority Quick Reference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Level</w:t>
            </w:r>
          </w:p>
        </w:tc>
        <w:tc>
          <w:tcPr>
            <w:tcW w:type="dxa" w:w="2409"/>
            <w:shd w:val="clear" w:fill="D9E2F3"/>
          </w:tcPr>
          <w:p>
            <w:pPr>
              <w:spacing w:after="20" w:before="20" w:line="240" w:lineRule="auto"/>
            </w:pPr>
            <w:r/>
            <w:r>
              <w:rPr>
                <w:rFonts w:ascii="Arial" w:hAnsi="Arial" w:cs="Arial"/>
                <w:b/>
                <w:i w:val="0"/>
                <w:sz w:val="18"/>
              </w:rPr>
              <w:t>Provider Chain</w:t>
            </w:r>
          </w:p>
        </w:tc>
        <w:tc>
          <w:tcPr>
            <w:tcW w:type="dxa" w:w="2409"/>
            <w:shd w:val="clear" w:fill="D9E2F3"/>
          </w:tcPr>
          <w:p>
            <w:pPr>
              <w:spacing w:after="20" w:before="20" w:line="240" w:lineRule="auto"/>
            </w:pPr>
            <w:r/>
            <w:r>
              <w:rPr>
                <w:rFonts w:ascii="Arial" w:hAnsi="Arial" w:cs="Arial"/>
                <w:b/>
                <w:i w:val="0"/>
                <w:sz w:val="18"/>
              </w:rPr>
              <w:t>Agents</w:t>
            </w:r>
          </w:p>
        </w:tc>
        <w:tc>
          <w:tcPr>
            <w:tcW w:type="dxa" w:w="2409"/>
            <w:shd w:val="clear" w:fill="D9E2F3"/>
          </w:tcPr>
          <w:p>
            <w:pPr>
              <w:spacing w:after="20" w:before="20" w:line="240" w:lineRule="auto"/>
            </w:pPr>
            <w:r/>
            <w:r>
              <w:rPr>
                <w:rFonts w:ascii="Arial" w:hAnsi="Arial" w:cs="Arial"/>
                <w:b/>
                <w:i w:val="0"/>
                <w:sz w:val="18"/>
              </w:rPr>
              <w:t>Capability</w:t>
            </w:r>
          </w:p>
        </w:tc>
      </w:tr>
      <w:tr>
        <w:tc>
          <w:tcPr>
            <w:tcW w:type="dxa" w:w="2409"/>
          </w:tcPr>
          <w:p>
            <w:pPr>
              <w:spacing w:after="20" w:before="20" w:line="240" w:lineRule="auto"/>
            </w:pPr>
            <w:r/>
            <w:r>
              <w:rPr>
                <w:rFonts w:ascii="Arial" w:hAnsi="Arial" w:cs="Arial"/>
                <w:b w:val="0"/>
                <w:i w:val="0"/>
                <w:sz w:val="17"/>
              </w:rPr>
              <w:t>A1 — Advisory</w:t>
            </w:r>
          </w:p>
        </w:tc>
        <w:tc>
          <w:tcPr>
            <w:tcW w:type="dxa" w:w="2409"/>
          </w:tcPr>
          <w:p>
            <w:pPr>
              <w:spacing w:after="20" w:before="20" w:line="240" w:lineRule="auto"/>
            </w:pPr>
            <w:r/>
            <w:r>
              <w:rPr>
                <w:rFonts w:ascii="Arial" w:hAnsi="Arial" w:cs="Arial"/>
                <w:b w:val="0"/>
                <w:i w:val="0"/>
                <w:sz w:val="17"/>
              </w:rPr>
              <w:t>Groq → Ollama → Static</w:t>
            </w:r>
          </w:p>
        </w:tc>
        <w:tc>
          <w:tcPr>
            <w:tcW w:type="dxa" w:w="2409"/>
          </w:tcPr>
          <w:p>
            <w:pPr>
              <w:spacing w:after="20" w:before="20" w:line="240" w:lineRule="auto"/>
            </w:pPr>
            <w:r/>
            <w:r>
              <w:rPr>
                <w:rFonts w:ascii="Arial" w:hAnsi="Arial" w:cs="Arial"/>
                <w:b w:val="0"/>
                <w:i w:val="0"/>
                <w:sz w:val="17"/>
              </w:rPr>
              <w:t>Container Advisor, Criticality Suggestion, Insurance Recommender, Settlement Readiness, Settlement Structure Recommender, Tenant Message Generator</w:t>
            </w:r>
          </w:p>
        </w:tc>
        <w:tc>
          <w:tcPr>
            <w:tcW w:type="dxa" w:w="2409"/>
          </w:tcPr>
          <w:p>
            <w:pPr>
              <w:spacing w:after="20" w:before="20" w:line="240" w:lineRule="auto"/>
            </w:pPr>
            <w:r/>
            <w:r>
              <w:rPr>
                <w:rFonts w:ascii="Arial" w:hAnsi="Arial" w:cs="Arial"/>
                <w:b w:val="0"/>
                <w:i w:val="0"/>
                <w:sz w:val="17"/>
              </w:rPr>
              <w:t>Suggestions only. Cannot block actions.</w:t>
            </w:r>
          </w:p>
        </w:tc>
      </w:tr>
      <w:tr>
        <w:tc>
          <w:tcPr>
            <w:tcW w:type="dxa" w:w="2409"/>
          </w:tcPr>
          <w:p>
            <w:pPr>
              <w:spacing w:after="20" w:before="20" w:line="240" w:lineRule="auto"/>
            </w:pPr>
            <w:r/>
            <w:r>
              <w:rPr>
                <w:rFonts w:ascii="Arial" w:hAnsi="Arial" w:cs="Arial"/>
                <w:b w:val="0"/>
                <w:i w:val="0"/>
                <w:sz w:val="17"/>
              </w:rPr>
              <w:t>A2 — Constraining</w:t>
            </w:r>
          </w:p>
        </w:tc>
        <w:tc>
          <w:tcPr>
            <w:tcW w:type="dxa" w:w="2409"/>
          </w:tcPr>
          <w:p>
            <w:pPr>
              <w:spacing w:after="20" w:before="20" w:line="240" w:lineRule="auto"/>
            </w:pPr>
            <w:r/>
            <w:r>
              <w:rPr>
                <w:rFonts w:ascii="Arial" w:hAnsi="Arial" w:cs="Arial"/>
                <w:b w:val="0"/>
                <w:i w:val="0"/>
                <w:sz w:val="17"/>
              </w:rPr>
              <w:t>HF local → Ollama → Static + escalation</w:t>
            </w:r>
          </w:p>
        </w:tc>
        <w:tc>
          <w:tcPr>
            <w:tcW w:type="dxa" w:w="2409"/>
          </w:tcPr>
          <w:p>
            <w:pPr>
              <w:spacing w:after="20" w:before="20" w:line="240" w:lineRule="auto"/>
            </w:pPr>
            <w:r/>
            <w:r>
              <w:rPr>
                <w:rFonts w:ascii="Arial" w:hAnsi="Arial" w:cs="Arial"/>
                <w:b w:val="0"/>
                <w:i w:val="0"/>
                <w:sz w:val="17"/>
              </w:rPr>
              <w:t>Product Form Agent, Intent Parser, Commodity Classification, Schedule Optimiser, Readiness Score, Quality Assessment, Document Requirement Extractor, Special Instructions Extractor, Port Congestion Detection, Fraud Detection</w:t>
            </w:r>
          </w:p>
        </w:tc>
        <w:tc>
          <w:tcPr>
            <w:tcW w:type="dxa" w:w="2409"/>
          </w:tcPr>
          <w:p>
            <w:pPr>
              <w:spacing w:after="20" w:before="20" w:line="240" w:lineRule="auto"/>
            </w:pPr>
            <w:r/>
            <w:r>
              <w:rPr>
                <w:rFonts w:ascii="Arial" w:hAnsi="Arial" w:cs="Arial"/>
                <w:b w:val="0"/>
                <w:i w:val="0"/>
                <w:sz w:val="17"/>
              </w:rPr>
              <w:t>Can block with CONDITIONAL. Requires human to resolve.</w:t>
            </w:r>
          </w:p>
        </w:tc>
      </w:tr>
      <w:tr>
        <w:tc>
          <w:tcPr>
            <w:tcW w:type="dxa" w:w="2409"/>
          </w:tcPr>
          <w:p>
            <w:pPr>
              <w:spacing w:after="20" w:before="20" w:line="240" w:lineRule="auto"/>
            </w:pPr>
            <w:r/>
            <w:r>
              <w:rPr>
                <w:rFonts w:ascii="Arial" w:hAnsi="Arial" w:cs="Arial"/>
                <w:b w:val="0"/>
                <w:i w:val="0"/>
                <w:sz w:val="17"/>
              </w:rPr>
              <w:t>A3 — Escalation</w:t>
            </w:r>
          </w:p>
        </w:tc>
        <w:tc>
          <w:tcPr>
            <w:tcW w:type="dxa" w:w="2409"/>
          </w:tcPr>
          <w:p>
            <w:pPr>
              <w:spacing w:after="20" w:before="20" w:line="240" w:lineRule="auto"/>
            </w:pPr>
            <w:r/>
            <w:r>
              <w:rPr>
                <w:rFonts w:ascii="Arial" w:hAnsi="Arial" w:cs="Arial"/>
                <w:b w:val="0"/>
                <w:i w:val="0"/>
                <w:sz w:val="17"/>
              </w:rPr>
              <w:t>HF local + Groq → Ollama → Human</w:t>
            </w:r>
          </w:p>
        </w:tc>
        <w:tc>
          <w:tcPr>
            <w:tcW w:type="dxa" w:w="2409"/>
          </w:tcPr>
          <w:p>
            <w:pPr>
              <w:spacing w:after="20" w:before="20" w:line="240" w:lineRule="auto"/>
            </w:pPr>
            <w:r/>
            <w:r>
              <w:rPr>
                <w:rFonts w:ascii="Arial" w:hAnsi="Arial" w:cs="Arial"/>
                <w:b w:val="0"/>
                <w:i w:val="0"/>
                <w:sz w:val="17"/>
              </w:rPr>
              <w:t>Regulatory Intelligence Agent (RIA)</w:t>
            </w:r>
          </w:p>
        </w:tc>
        <w:tc>
          <w:tcPr>
            <w:tcW w:type="dxa" w:w="2409"/>
          </w:tcPr>
          <w:p>
            <w:pPr>
              <w:spacing w:after="20" w:before="20" w:line="240" w:lineRule="auto"/>
            </w:pPr>
            <w:r/>
            <w:r>
              <w:rPr>
                <w:rFonts w:ascii="Arial" w:hAnsi="Arial" w:cs="Arial"/>
                <w:b w:val="0"/>
                <w:i w:val="0"/>
                <w:sz w:val="17"/>
              </w:rPr>
              <w:t>Forces human review. Cannot decide autonomously.</w:t>
            </w:r>
          </w:p>
        </w:tc>
      </w:tr>
      <w:tr>
        <w:tc>
          <w:tcPr>
            <w:tcW w:type="dxa" w:w="2409"/>
          </w:tcPr>
          <w:p>
            <w:pPr>
              <w:spacing w:after="20" w:before="20" w:line="240" w:lineRule="auto"/>
            </w:pPr>
            <w:r/>
            <w:r>
              <w:rPr>
                <w:rFonts w:ascii="Arial" w:hAnsi="Arial" w:cs="Arial"/>
                <w:b w:val="0"/>
                <w:i w:val="0"/>
                <w:sz w:val="17"/>
              </w:rPr>
              <w:t>A4 — Governance</w:t>
            </w:r>
          </w:p>
        </w:tc>
        <w:tc>
          <w:tcPr>
            <w:tcW w:type="dxa" w:w="2409"/>
          </w:tcPr>
          <w:p>
            <w:pPr>
              <w:spacing w:after="20" w:before="20" w:line="240" w:lineRule="auto"/>
            </w:pPr>
            <w:r/>
            <w:r>
              <w:rPr>
                <w:rFonts w:ascii="Arial" w:hAnsi="Arial" w:cs="Arial"/>
                <w:b w:val="0"/>
                <w:i w:val="0"/>
                <w:sz w:val="17"/>
              </w:rPr>
              <w:t>OPA + WasmEdge</w:t>
            </w:r>
          </w:p>
        </w:tc>
        <w:tc>
          <w:tcPr>
            <w:tcW w:type="dxa" w:w="2409"/>
          </w:tcPr>
          <w:p>
            <w:pPr>
              <w:spacing w:after="20" w:before="20" w:line="240" w:lineRule="auto"/>
            </w:pPr>
            <w:r/>
            <w:r>
              <w:rPr>
                <w:rFonts w:ascii="Arial" w:hAnsi="Arial" w:cs="Arial"/>
                <w:b w:val="0"/>
                <w:i w:val="0"/>
                <w:sz w:val="17"/>
              </w:rPr>
              <w:t>All Governor validation gates (G1U1–G1U33)</w:t>
            </w:r>
          </w:p>
        </w:tc>
        <w:tc>
          <w:tcPr>
            <w:tcW w:type="dxa" w:w="2409"/>
          </w:tcPr>
          <w:p>
            <w:pPr>
              <w:spacing w:after="20" w:before="20" w:line="240" w:lineRule="auto"/>
            </w:pPr>
            <w:r/>
            <w:r>
              <w:rPr>
                <w:rFonts w:ascii="Arial" w:hAnsi="Arial" w:cs="Arial"/>
                <w:b w:val="0"/>
                <w:i w:val="0"/>
                <w:sz w:val="17"/>
              </w:rPr>
              <w:t>Auto-executes within constitutional bounds.</w:t>
            </w:r>
          </w:p>
        </w:tc>
      </w:tr>
      <w:tr>
        <w:tc>
          <w:tcPr>
            <w:tcW w:type="dxa" w:w="2409"/>
          </w:tcPr>
          <w:p>
            <w:pPr>
              <w:spacing w:after="20" w:before="20" w:line="240" w:lineRule="auto"/>
            </w:pPr>
            <w:r/>
            <w:r>
              <w:rPr>
                <w:rFonts w:ascii="Arial" w:hAnsi="Arial" w:cs="Arial"/>
                <w:b w:val="0"/>
                <w:i w:val="0"/>
                <w:sz w:val="17"/>
              </w:rPr>
              <w:t>A5 — FORBIDDEN</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None</w:t>
            </w:r>
          </w:p>
        </w:tc>
        <w:tc>
          <w:tcPr>
            <w:tcW w:type="dxa" w:w="2409"/>
          </w:tcPr>
          <w:p>
            <w:pPr>
              <w:spacing w:after="20" w:before="20" w:line="240" w:lineRule="auto"/>
            </w:pPr>
            <w:r/>
            <w:r>
              <w:rPr>
                <w:rFonts w:ascii="Arial" w:hAnsi="Arial" w:cs="Arial"/>
                <w:b w:val="0"/>
                <w:i w:val="0"/>
                <w:sz w:val="17"/>
              </w:rPr>
              <w:t>Blocked at WASM compile. Any attempt is logged as constitutional violation.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A0 level (no AI involvement) applies wherever pure deterministic rules suffice; it does not appear in the agent registry because no agent participates.</w:t>
      </w:r>
    </w:p>
    <w:p>
      <w:pPr>
        <w:keepNext/>
        <w:spacing w:before="240" w:after="100"/>
        <w:outlineLvl w:val="1"/>
      </w:pPr>
      <w:r>
        <w:rPr>
          <w:rFonts w:ascii="Arial" w:hAnsi="Arial" w:cs="Arial"/>
          <w:b/>
          <w:i w:val="0"/>
          <w:color w:val="2E528F"/>
          <w:sz w:val="26"/>
        </w:rPr>
        <w:t>3.4 AI Agent Registry &amp; Fallback Chains</w:t>
      </w:r>
    </w:p>
    <w:p>
      <w:pPr>
        <w:spacing w:after="80" w:line="293" w:lineRule="auto"/>
        <w:jc w:val="left"/>
      </w:pPr>
      <w:r>
        <w:rPr>
          <w:rFonts w:ascii="Times New Roman" w:hAnsi="Times New Roman" w:cs="Times New Roman"/>
          <w:b w:val="0"/>
          <w:i w:val="0"/>
          <w:sz w:val="22"/>
        </w:rPr>
        <w:t>AI integration follows a three-tier fallback chain — Groq → Ollama → static templates — so that advisory and constraining functions degrade gracefully with zero downtime. Sensitive data is never sent to external AI providers; privacy-critical tasks use local inference. Every AI decision is logged with confidence scores in `ai_inference_records`. All AI calls are routed through the AI Orchestrator (Rig + Rust), which selects the provider based on authority level and fallback chain. AI is used only to assist — never to recommend counterparties or make autonomous decisions.</w:t>
      </w:r>
    </w:p>
    <w:p>
      <w:pPr>
        <w:keepNext/>
        <w:spacing w:before="180" w:after="80"/>
        <w:outlineLvl w:val="2"/>
      </w:pPr>
      <w:r>
        <w:rPr>
          <w:rFonts w:ascii="Arial" w:hAnsi="Arial" w:cs="Arial"/>
          <w:b/>
          <w:i w:val="0"/>
          <w:color w:val="333333"/>
          <w:sz w:val="23"/>
        </w:rPr>
        <w:t>3.4.1 Agent Registry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Representative Agents</w:t>
            </w:r>
          </w:p>
        </w:tc>
        <w:tc>
          <w:tcPr>
            <w:tcW w:type="dxa" w:w="3213"/>
            <w:shd w:val="clear" w:fill="D9E2F3"/>
          </w:tcPr>
          <w:p>
            <w:pPr>
              <w:spacing w:after="20" w:before="20" w:line="240" w:lineRule="auto"/>
            </w:pPr>
            <w:r/>
            <w:r>
              <w:rPr>
                <w:rFonts w:ascii="Arial" w:hAnsi="Arial" w:cs="Arial"/>
                <w:b/>
                <w:i w:val="0"/>
                <w:sz w:val="18"/>
              </w:rPr>
              <w:t>Capability</w:t>
            </w:r>
          </w:p>
        </w:tc>
      </w:tr>
      <w:tr>
        <w:tc>
          <w:tcPr>
            <w:tcW w:type="dxa" w:w="3213"/>
          </w:tcPr>
          <w:p>
            <w:pPr>
              <w:spacing w:after="20" w:before="20" w:line="240" w:lineRule="auto"/>
            </w:pPr>
            <w:r/>
            <w:r>
              <w:rPr>
                <w:rFonts w:ascii="Arial" w:hAnsi="Arial" w:cs="Arial"/>
                <w:b w:val="0"/>
                <w:i w:val="0"/>
                <w:sz w:val="17"/>
              </w:rPr>
              <w:t>A1 — Advisory (Groq → Ollama → Static)</w:t>
            </w:r>
          </w:p>
        </w:tc>
        <w:tc>
          <w:tcPr>
            <w:tcW w:type="dxa" w:w="3213"/>
          </w:tcPr>
          <w:p>
            <w:pPr>
              <w:spacing w:after="20" w:before="20" w:line="240" w:lineRule="auto"/>
            </w:pPr>
            <w:r/>
            <w:r>
              <w:rPr>
                <w:rFonts w:ascii="Arial" w:hAnsi="Arial" w:cs="Arial"/>
                <w:b w:val="0"/>
                <w:i w:val="0"/>
                <w:sz w:val="17"/>
              </w:rPr>
              <w:t>Container Advisor, Criticality Suggestion, Insurance Recommender, Settlement Readiness, Settlement Structure Recommender, Tenant Message Generator, AI Operations Assistant</w:t>
            </w:r>
          </w:p>
        </w:tc>
        <w:tc>
          <w:tcPr>
            <w:tcW w:type="dxa" w:w="3213"/>
          </w:tcPr>
          <w:p>
            <w:pPr>
              <w:spacing w:after="20" w:before="20" w:line="240" w:lineRule="auto"/>
            </w:pPr>
            <w:r/>
            <w:r>
              <w:rPr>
                <w:rFonts w:ascii="Arial" w:hAnsi="Arial" w:cs="Arial"/>
                <w:b w:val="0"/>
                <w:i w:val="0"/>
                <w:sz w:val="17"/>
              </w:rPr>
              <w:t>Suggestions only; cannot block actions</w:t>
            </w:r>
          </w:p>
        </w:tc>
      </w:tr>
      <w:tr>
        <w:tc>
          <w:tcPr>
            <w:tcW w:type="dxa" w:w="3213"/>
          </w:tcPr>
          <w:p>
            <w:pPr>
              <w:spacing w:after="20" w:before="20" w:line="240" w:lineRule="auto"/>
            </w:pPr>
            <w:r/>
            <w:r>
              <w:rPr>
                <w:rFonts w:ascii="Arial" w:hAnsi="Arial" w:cs="Arial"/>
                <w:b w:val="0"/>
                <w:i w:val="0"/>
                <w:sz w:val="17"/>
              </w:rPr>
              <w:t>A2 — Constraining (HF local → Ollama → Static + escalation)</w:t>
            </w:r>
          </w:p>
        </w:tc>
        <w:tc>
          <w:tcPr>
            <w:tcW w:type="dxa" w:w="3213"/>
          </w:tcPr>
          <w:p>
            <w:pPr>
              <w:spacing w:after="20" w:before="20" w:line="240" w:lineRule="auto"/>
            </w:pPr>
            <w:r/>
            <w:r>
              <w:rPr>
                <w:rFonts w:ascii="Arial" w:hAnsi="Arial" w:cs="Arial"/>
                <w:b w:val="0"/>
                <w:i w:val="0"/>
                <w:sz w:val="17"/>
              </w:rPr>
              <w:t>Product Form Agent, Intent Parser, Commodity Classification, Schedule Optimiser, Readiness Score, Quality Assessment, Document Requirement Extractor, Special Instructions Extractor, Port Congestion Detection, Fraud Detection, Route Oracle, Risk Radar, Pricing Dynamics, Packing Solver</w:t>
            </w:r>
          </w:p>
        </w:tc>
        <w:tc>
          <w:tcPr>
            <w:tcW w:type="dxa" w:w="3213"/>
          </w:tcPr>
          <w:p>
            <w:pPr>
              <w:spacing w:after="20" w:before="20" w:line="240" w:lineRule="auto"/>
            </w:pPr>
            <w:r/>
            <w:r>
              <w:rPr>
                <w:rFonts w:ascii="Arial" w:hAnsi="Arial" w:cs="Arial"/>
                <w:b w:val="0"/>
                <w:i w:val="0"/>
                <w:sz w:val="17"/>
              </w:rPr>
              <w:t>Can block with CONDITIONAL; requires human resolution</w:t>
            </w:r>
          </w:p>
        </w:tc>
      </w:tr>
      <w:tr>
        <w:tc>
          <w:tcPr>
            <w:tcW w:type="dxa" w:w="3213"/>
          </w:tcPr>
          <w:p>
            <w:pPr>
              <w:spacing w:after="20" w:before="20" w:line="240" w:lineRule="auto"/>
            </w:pPr>
            <w:r/>
            <w:r>
              <w:rPr>
                <w:rFonts w:ascii="Arial" w:hAnsi="Arial" w:cs="Arial"/>
                <w:b w:val="0"/>
                <w:i w:val="0"/>
                <w:sz w:val="17"/>
              </w:rPr>
              <w:t>A3 — Escalation (HF local + Groq → Ollama → Human)</w:t>
            </w:r>
          </w:p>
        </w:tc>
        <w:tc>
          <w:tcPr>
            <w:tcW w:type="dxa" w:w="3213"/>
          </w:tcPr>
          <w:p>
            <w:pPr>
              <w:spacing w:after="20" w:before="20" w:line="240" w:lineRule="auto"/>
            </w:pPr>
            <w:r/>
            <w:r>
              <w:rPr>
                <w:rFonts w:ascii="Arial" w:hAnsi="Arial" w:cs="Arial"/>
                <w:b w:val="0"/>
                <w:i w:val="0"/>
                <w:sz w:val="17"/>
              </w:rPr>
              <w:t>Regulatory Intelligence Agent (RIA)</w:t>
            </w:r>
          </w:p>
        </w:tc>
        <w:tc>
          <w:tcPr>
            <w:tcW w:type="dxa" w:w="3213"/>
          </w:tcPr>
          <w:p>
            <w:pPr>
              <w:spacing w:after="20" w:before="20" w:line="240" w:lineRule="auto"/>
            </w:pPr>
            <w:r/>
            <w:r>
              <w:rPr>
                <w:rFonts w:ascii="Arial" w:hAnsi="Arial" w:cs="Arial"/>
                <w:b w:val="0"/>
                <w:i w:val="0"/>
                <w:sz w:val="17"/>
              </w:rPr>
              <w:t>Forces human review; cannot decide autonomously</w:t>
            </w:r>
          </w:p>
        </w:tc>
      </w:tr>
      <w:tr>
        <w:tc>
          <w:tcPr>
            <w:tcW w:type="dxa" w:w="3213"/>
          </w:tcPr>
          <w:p>
            <w:pPr>
              <w:spacing w:after="20" w:before="20" w:line="240" w:lineRule="auto"/>
            </w:pPr>
            <w:r/>
            <w:r>
              <w:rPr>
                <w:rFonts w:ascii="Arial" w:hAnsi="Arial" w:cs="Arial"/>
                <w:b w:val="0"/>
                <w:i w:val="0"/>
                <w:sz w:val="17"/>
              </w:rPr>
              <w:t>A4 — Governance (OPA + WasmEdge)</w:t>
            </w:r>
          </w:p>
        </w:tc>
        <w:tc>
          <w:tcPr>
            <w:tcW w:type="dxa" w:w="3213"/>
          </w:tcPr>
          <w:p>
            <w:pPr>
              <w:spacing w:after="20" w:before="20" w:line="240" w:lineRule="auto"/>
            </w:pPr>
            <w:r/>
            <w:r>
              <w:rPr>
                <w:rFonts w:ascii="Arial" w:hAnsi="Arial" w:cs="Arial"/>
                <w:b w:val="0"/>
                <w:i w:val="0"/>
                <w:sz w:val="17"/>
              </w:rPr>
              <w:t>All Governor validation gates (G1U1–G1U33 and phase gates)</w:t>
            </w:r>
          </w:p>
        </w:tc>
        <w:tc>
          <w:tcPr>
            <w:tcW w:type="dxa" w:w="3213"/>
          </w:tcPr>
          <w:p>
            <w:pPr>
              <w:spacing w:after="20" w:before="20" w:line="240" w:lineRule="auto"/>
            </w:pPr>
            <w:r/>
            <w:r>
              <w:rPr>
                <w:rFonts w:ascii="Arial" w:hAnsi="Arial" w:cs="Arial"/>
                <w:b w:val="0"/>
                <w:i w:val="0"/>
                <w:sz w:val="17"/>
              </w:rPr>
              <w:t>Auto-executes within constitutional bounds</w:t>
            </w:r>
          </w:p>
        </w:tc>
      </w:tr>
      <w:tr>
        <w:tc>
          <w:tcPr>
            <w:tcW w:type="dxa" w:w="3213"/>
          </w:tcPr>
          <w:p>
            <w:pPr>
              <w:spacing w:after="20" w:before="20" w:line="240" w:lineRule="auto"/>
            </w:pPr>
            <w:r/>
            <w:r>
              <w:rPr>
                <w:rFonts w:ascii="Arial" w:hAnsi="Arial" w:cs="Arial"/>
                <w:b w:val="0"/>
                <w:i w:val="0"/>
                <w:sz w:val="17"/>
              </w:rPr>
              <w:t>A5 — FORBIDDEN</w:t>
            </w:r>
          </w:p>
        </w:tc>
        <w:tc>
          <w:tcPr>
            <w:tcW w:type="dxa" w:w="3213"/>
          </w:tcPr>
          <w:p>
            <w:pPr>
              <w:spacing w:after="20" w:before="20" w:line="240" w:lineRule="auto"/>
            </w:pPr>
            <w:r/>
            <w:r>
              <w:rPr>
                <w:rFonts w:ascii="Arial" w:hAnsi="Arial" w:cs="Arial"/>
                <w:b w:val="0"/>
                <w:i w:val="0"/>
                <w:sz w:val="17"/>
              </w:rPr>
              <w:t>None</w:t>
            </w:r>
          </w:p>
        </w:tc>
        <w:tc>
          <w:tcPr>
            <w:tcW w:type="dxa" w:w="3213"/>
          </w:tcPr>
          <w:p>
            <w:pPr>
              <w:spacing w:after="20" w:before="20" w:line="240" w:lineRule="auto"/>
            </w:pPr>
            <w:r/>
            <w:r>
              <w:rPr>
                <w:rFonts w:ascii="Arial" w:hAnsi="Arial" w:cs="Arial"/>
                <w:b w:val="0"/>
                <w:i w:val="0"/>
                <w:sz w:val="17"/>
              </w:rPr>
              <w:t>Blocked at WASM compile; any attempt is logged as a constitutional violation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Authority levels are fixed properties of each agent: an agent registered at A1 can never block an action, an agent registered at A2 can never resolve a condition autonomously, and only RIA (A3) can force human review. Agent promotion to a higher authority level is not a configuration option.</w:t>
      </w:r>
    </w:p>
    <w:p>
      <w:pPr>
        <w:keepNext/>
        <w:spacing w:before="180" w:after="80"/>
        <w:outlineLvl w:val="2"/>
      </w:pPr>
      <w:r>
        <w:rPr>
          <w:rFonts w:ascii="Arial" w:hAnsi="Arial" w:cs="Arial"/>
          <w:b/>
          <w:i w:val="0"/>
          <w:color w:val="333333"/>
          <w:sz w:val="23"/>
        </w:rPr>
        <w:t>3.4.2 Fallback Chain by Authority</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Authority</w:t>
            </w:r>
          </w:p>
        </w:tc>
        <w:tc>
          <w:tcPr>
            <w:tcW w:type="dxa" w:w="2409"/>
            <w:shd w:val="clear" w:fill="D9E2F3"/>
          </w:tcPr>
          <w:p>
            <w:pPr>
              <w:spacing w:after="20" w:before="20" w:line="240" w:lineRule="auto"/>
            </w:pPr>
            <w:r/>
            <w:r>
              <w:rPr>
                <w:rFonts w:ascii="Arial" w:hAnsi="Arial" w:cs="Arial"/>
                <w:b/>
                <w:i w:val="0"/>
                <w:sz w:val="18"/>
              </w:rPr>
              <w:t>Primary</w:t>
            </w:r>
          </w:p>
        </w:tc>
        <w:tc>
          <w:tcPr>
            <w:tcW w:type="dxa" w:w="2409"/>
            <w:shd w:val="clear" w:fill="D9E2F3"/>
          </w:tcPr>
          <w:p>
            <w:pPr>
              <w:spacing w:after="20" w:before="20" w:line="240" w:lineRule="auto"/>
            </w:pPr>
            <w:r/>
            <w:r>
              <w:rPr>
                <w:rFonts w:ascii="Arial" w:hAnsi="Arial" w:cs="Arial"/>
                <w:b/>
                <w:i w:val="0"/>
                <w:sz w:val="18"/>
              </w:rPr>
              <w:t>Secondary</w:t>
            </w:r>
          </w:p>
        </w:tc>
        <w:tc>
          <w:tcPr>
            <w:tcW w:type="dxa" w:w="2409"/>
            <w:shd w:val="clear" w:fill="D9E2F3"/>
          </w:tcPr>
          <w:p>
            <w:pPr>
              <w:spacing w:after="20" w:before="20" w:line="240" w:lineRule="auto"/>
            </w:pPr>
            <w:r/>
            <w:r>
              <w:rPr>
                <w:rFonts w:ascii="Arial" w:hAnsi="Arial" w:cs="Arial"/>
                <w:b/>
                <w:i w:val="0"/>
                <w:sz w:val="18"/>
              </w:rPr>
              <w:t>Terminal</w:t>
            </w:r>
          </w:p>
        </w:tc>
      </w:tr>
      <w:tr>
        <w:tc>
          <w:tcPr>
            <w:tcW w:type="dxa" w:w="2409"/>
          </w:tcPr>
          <w:p>
            <w:pPr>
              <w:spacing w:after="20" w:before="20" w:line="240" w:lineRule="auto"/>
            </w:pPr>
            <w:r/>
            <w:r>
              <w:rPr>
                <w:rFonts w:ascii="Arial" w:hAnsi="Arial" w:cs="Arial"/>
                <w:b w:val="0"/>
                <w:i w:val="0"/>
                <w:sz w:val="17"/>
              </w:rPr>
              <w:t>A1 — Advisory</w:t>
            </w:r>
          </w:p>
        </w:tc>
        <w:tc>
          <w:tcPr>
            <w:tcW w:type="dxa" w:w="2409"/>
          </w:tcPr>
          <w:p>
            <w:pPr>
              <w:spacing w:after="20" w:before="20" w:line="240" w:lineRule="auto"/>
            </w:pPr>
            <w:r/>
            <w:r>
              <w:rPr>
                <w:rFonts w:ascii="Arial" w:hAnsi="Arial" w:cs="Arial"/>
                <w:b w:val="0"/>
                <w:i w:val="0"/>
                <w:sz w:val="17"/>
              </w:rPr>
              <w:t>Groq (model `llama3-70b-8192`)</w:t>
            </w:r>
          </w:p>
        </w:tc>
        <w:tc>
          <w:tcPr>
            <w:tcW w:type="dxa" w:w="2409"/>
          </w:tcPr>
          <w:p>
            <w:pPr>
              <w:spacing w:after="20" w:before="20" w:line="240" w:lineRule="auto"/>
            </w:pPr>
            <w:r/>
            <w:r>
              <w:rPr>
                <w:rFonts w:ascii="Arial" w:hAnsi="Arial" w:cs="Arial"/>
                <w:b w:val="0"/>
                <w:i w:val="0"/>
                <w:sz w:val="17"/>
              </w:rPr>
              <w:t>Ollama (model `llama3.2:3b`)</w:t>
            </w:r>
          </w:p>
        </w:tc>
        <w:tc>
          <w:tcPr>
            <w:tcW w:type="dxa" w:w="2409"/>
          </w:tcPr>
          <w:p>
            <w:pPr>
              <w:spacing w:after="20" w:before="20" w:line="240" w:lineRule="auto"/>
            </w:pPr>
            <w:r/>
            <w:r>
              <w:rPr>
                <w:rFonts w:ascii="Arial" w:hAnsi="Arial" w:cs="Arial"/>
                <w:b w:val="0"/>
                <w:i w:val="0"/>
                <w:sz w:val="17"/>
              </w:rPr>
              <w:t>Static templates</w:t>
            </w:r>
          </w:p>
        </w:tc>
      </w:tr>
      <w:tr>
        <w:tc>
          <w:tcPr>
            <w:tcW w:type="dxa" w:w="2409"/>
          </w:tcPr>
          <w:p>
            <w:pPr>
              <w:spacing w:after="20" w:before="20" w:line="240" w:lineRule="auto"/>
            </w:pPr>
            <w:r/>
            <w:r>
              <w:rPr>
                <w:rFonts w:ascii="Arial" w:hAnsi="Arial" w:cs="Arial"/>
                <w:b w:val="0"/>
                <w:i w:val="0"/>
                <w:sz w:val="17"/>
              </w:rPr>
              <w:t>A2 — Constraining</w:t>
            </w:r>
          </w:p>
        </w:tc>
        <w:tc>
          <w:tcPr>
            <w:tcW w:type="dxa" w:w="2409"/>
          </w:tcPr>
          <w:p>
            <w:pPr>
              <w:spacing w:after="20" w:before="20" w:line="240" w:lineRule="auto"/>
            </w:pPr>
            <w:r/>
            <w:r>
              <w:rPr>
                <w:rFonts w:ascii="Arial" w:hAnsi="Arial" w:cs="Arial"/>
                <w:b w:val="0"/>
                <w:i w:val="0"/>
                <w:sz w:val="17"/>
              </w:rPr>
              <w:t>HF local models (self-hosted Hugging Face inference)</w:t>
            </w:r>
          </w:p>
        </w:tc>
        <w:tc>
          <w:tcPr>
            <w:tcW w:type="dxa" w:w="2409"/>
          </w:tcPr>
          <w:p>
            <w:pPr>
              <w:spacing w:after="20" w:before="20" w:line="240" w:lineRule="auto"/>
            </w:pPr>
            <w:r/>
            <w:r>
              <w:rPr>
                <w:rFonts w:ascii="Arial" w:hAnsi="Arial" w:cs="Arial"/>
                <w:b w:val="0"/>
                <w:i w:val="0"/>
                <w:sz w:val="17"/>
              </w:rPr>
              <w:t>Ollama</w:t>
            </w:r>
          </w:p>
        </w:tc>
        <w:tc>
          <w:tcPr>
            <w:tcW w:type="dxa" w:w="2409"/>
          </w:tcPr>
          <w:p>
            <w:pPr>
              <w:spacing w:after="20" w:before="20" w:line="240" w:lineRule="auto"/>
            </w:pPr>
            <w:r/>
            <w:r>
              <w:rPr>
                <w:rFonts w:ascii="Arial" w:hAnsi="Arial" w:cs="Arial"/>
                <w:b w:val="0"/>
                <w:i w:val="0"/>
                <w:sz w:val="17"/>
              </w:rPr>
              <w:t>Static templates, plus escalation to human review</w:t>
            </w:r>
          </w:p>
        </w:tc>
      </w:tr>
      <w:tr>
        <w:tc>
          <w:tcPr>
            <w:tcW w:type="dxa" w:w="2409"/>
          </w:tcPr>
          <w:p>
            <w:pPr>
              <w:spacing w:after="20" w:before="20" w:line="240" w:lineRule="auto"/>
            </w:pPr>
            <w:r/>
            <w:r>
              <w:rPr>
                <w:rFonts w:ascii="Arial" w:hAnsi="Arial" w:cs="Arial"/>
                <w:b w:val="0"/>
                <w:i w:val="0"/>
                <w:sz w:val="17"/>
              </w:rPr>
              <w:t>A3 — Escalation</w:t>
            </w:r>
          </w:p>
        </w:tc>
        <w:tc>
          <w:tcPr>
            <w:tcW w:type="dxa" w:w="2409"/>
          </w:tcPr>
          <w:p>
            <w:pPr>
              <w:spacing w:after="20" w:before="20" w:line="240" w:lineRule="auto"/>
            </w:pPr>
            <w:r/>
            <w:r>
              <w:rPr>
                <w:rFonts w:ascii="Arial" w:hAnsi="Arial" w:cs="Arial"/>
                <w:b w:val="0"/>
                <w:i w:val="0"/>
                <w:sz w:val="17"/>
              </w:rPr>
              <w:t>HF local + Groq</w:t>
            </w:r>
          </w:p>
        </w:tc>
        <w:tc>
          <w:tcPr>
            <w:tcW w:type="dxa" w:w="2409"/>
          </w:tcPr>
          <w:p>
            <w:pPr>
              <w:spacing w:after="20" w:before="20" w:line="240" w:lineRule="auto"/>
            </w:pPr>
            <w:r/>
            <w:r>
              <w:rPr>
                <w:rFonts w:ascii="Arial" w:hAnsi="Arial" w:cs="Arial"/>
                <w:b w:val="0"/>
                <w:i w:val="0"/>
                <w:sz w:val="17"/>
              </w:rPr>
              <w:t>Ollama</w:t>
            </w:r>
          </w:p>
        </w:tc>
        <w:tc>
          <w:tcPr>
            <w:tcW w:type="dxa" w:w="2409"/>
          </w:tcPr>
          <w:p>
            <w:pPr>
              <w:spacing w:after="20" w:before="20" w:line="240" w:lineRule="auto"/>
            </w:pPr>
            <w:r/>
            <w:r>
              <w:rPr>
                <w:rFonts w:ascii="Arial" w:hAnsi="Arial" w:cs="Arial"/>
                <w:b w:val="0"/>
                <w:i w:val="0"/>
                <w:sz w:val="17"/>
              </w:rPr>
              <w:t>Human review — the human is the terminal authority</w:t>
            </w:r>
          </w:p>
        </w:tc>
      </w:tr>
      <w:tr>
        <w:tc>
          <w:tcPr>
            <w:tcW w:type="dxa" w:w="2409"/>
          </w:tcPr>
          <w:p>
            <w:pPr>
              <w:spacing w:after="20" w:before="20" w:line="240" w:lineRule="auto"/>
            </w:pPr>
            <w:r/>
            <w:r>
              <w:rPr>
                <w:rFonts w:ascii="Arial" w:hAnsi="Arial" w:cs="Arial"/>
                <w:b w:val="0"/>
                <w:i w:val="0"/>
                <w:sz w:val="17"/>
              </w:rPr>
              <w:t>A4 — Governance</w:t>
            </w:r>
          </w:p>
        </w:tc>
        <w:tc>
          <w:tcPr>
            <w:tcW w:type="dxa" w:w="2409"/>
          </w:tcPr>
          <w:p>
            <w:pPr>
              <w:spacing w:after="20" w:before="20" w:line="240" w:lineRule="auto"/>
            </w:pPr>
            <w:r/>
            <w:r>
              <w:rPr>
                <w:rFonts w:ascii="Arial" w:hAnsi="Arial" w:cs="Arial"/>
                <w:b w:val="0"/>
                <w:i w:val="0"/>
                <w:sz w:val="17"/>
              </w:rPr>
              <w:t>OPA + WasmEdge (deterministic evaluation; no inference)</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A5 — FORBIDDEN</w:t>
            </w:r>
          </w:p>
        </w:tc>
        <w:tc>
          <w:tcPr>
            <w:tcW w:type="dxa" w:w="2409"/>
          </w:tcPr>
          <w:p>
            <w:pPr>
              <w:spacing w:after="20" w:before="20" w:line="240" w:lineRule="auto"/>
            </w:pPr>
            <w:r/>
            <w:r>
              <w:rPr>
                <w:rFonts w:ascii="Arial" w:hAnsi="Arial" w:cs="Arial"/>
                <w:b w:val="0"/>
                <w:i w:val="0"/>
                <w:sz w:val="17"/>
              </w:rPr>
              <w:t>No chain — prohibited at compile time</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3.4.3 Provider Availability, Fallback Trigger Logic &amp; Timeouts</w:t>
      </w:r>
    </w:p>
    <w:p>
      <w:pPr>
        <w:spacing w:after="80" w:line="293" w:lineRule="auto"/>
        <w:jc w:val="left"/>
      </w:pPr>
      <w:r>
        <w:rPr>
          <w:rFonts w:ascii="Times New Roman" w:hAnsi="Times New Roman" w:cs="Times New Roman"/>
          <w:b w:val="0"/>
          <w:i w:val="0"/>
          <w:sz w:val="22"/>
        </w:rPr>
        <w:t>Provider availability, fallback trigger logic, and per-agent timeout budgets are configuration-controlled; the fallback chain itself is a platform invariant, not a per-feature choice. Fallback triggers include provider rate limits (for example `groq_rate_limit_exceeded`), inference timeouts, and provider errors. When an agent's per-call timeout budget expires, the orchestrator fails over to the next provider in the chain; when the terminal tier is a static template, the function completes deterministically without AI.</w:t>
      </w:r>
    </w:p>
    <w:p>
      <w:pPr>
        <w:keepNext/>
        <w:spacing w:before="180" w:after="80"/>
        <w:outlineLvl w:val="2"/>
      </w:pPr>
      <w:r>
        <w:rPr>
          <w:rFonts w:ascii="Arial" w:hAnsi="Arial" w:cs="Arial"/>
          <w:b/>
          <w:i w:val="0"/>
          <w:color w:val="333333"/>
          <w:sz w:val="23"/>
        </w:rPr>
        <w:t>3.4.4 Fallback &amp; Inference Logging</w:t>
      </w:r>
    </w:p>
    <w:p>
      <w:pPr>
        <w:spacing w:after="80" w:line="293" w:lineRule="auto"/>
        <w:jc w:val="left"/>
      </w:pPr>
      <w:r>
        <w:rPr>
          <w:rFonts w:ascii="Times New Roman" w:hAnsi="Times New Roman" w:cs="Times New Roman"/>
          <w:b w:val="0"/>
          <w:i w:val="0"/>
          <w:sz w:val="22"/>
        </w:rPr>
        <w:t>Every inference is recorded in `ai_inference_records` with the agent name, authority level, provider, model, latency, output length, input context, confidence, and fallback state. Two canonical log records:</w:t>
      </w:r>
    </w:p>
    <w:p>
      <w:pPr>
        <w:spacing w:after="80" w:line="293" w:lineRule="auto"/>
        <w:jc w:val="left"/>
      </w:pPr>
      <w:r>
        <w:rPr>
          <w:rFonts w:ascii="Times New Roman" w:hAnsi="Times New Roman" w:cs="Times New Roman"/>
          <w:b w:val="0"/>
          <w:i w:val="0"/>
          <w:sz w:val="22"/>
        </w:rPr>
        <w:t>A1 inference, primary provider, no fallback:</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"agent_name": "tenant_message_generator",</w:t>
      </w:r>
    </w:p>
    <w:p>
      <w:pPr>
        <w:spacing w:after="0" w:before="0" w:line="240" w:lineRule="auto"/>
        <w:ind w:left="57"/>
        <w:jc w:val="left"/>
        <w:shd w:val="clear" w:fill="F2F2F2"/>
      </w:pPr>
      <w:r>
        <w:rPr>
          <w:rFonts w:ascii="Consolas" w:hAnsi="Consolas" w:cs="Consolas"/>
          <w:b w:val="0"/>
          <w:i w:val="0"/>
          <w:sz w:val="15"/>
        </w:rPr>
        <w:t xml:space="preserve">    "authority_level": "A1",</w:t>
      </w:r>
    </w:p>
    <w:p>
      <w:pPr>
        <w:spacing w:after="0" w:before="0" w:line="240" w:lineRule="auto"/>
        <w:ind w:left="57"/>
        <w:jc w:val="left"/>
        <w:shd w:val="clear" w:fill="F2F2F2"/>
      </w:pPr>
      <w:r>
        <w:rPr>
          <w:rFonts w:ascii="Consolas" w:hAnsi="Consolas" w:cs="Consolas"/>
          <w:b w:val="0"/>
          <w:i w:val="0"/>
          <w:sz w:val="15"/>
        </w:rPr>
        <w:t xml:space="preserve">    "provider": "groq",</w:t>
      </w:r>
    </w:p>
    <w:p>
      <w:pPr>
        <w:spacing w:after="0" w:before="0" w:line="240" w:lineRule="auto"/>
        <w:ind w:left="57"/>
        <w:jc w:val="left"/>
        <w:shd w:val="clear" w:fill="F2F2F2"/>
      </w:pPr>
      <w:r>
        <w:rPr>
          <w:rFonts w:ascii="Consolas" w:hAnsi="Consolas" w:cs="Consolas"/>
          <w:b w:val="0"/>
          <w:i w:val="0"/>
          <w:sz w:val="15"/>
        </w:rPr>
        <w:t xml:space="preserve">    "model": "llama3-70b-8192",</w:t>
      </w:r>
    </w:p>
    <w:p>
      <w:pPr>
        <w:spacing w:after="0" w:before="0" w:line="240" w:lineRule="auto"/>
        <w:ind w:left="57"/>
        <w:jc w:val="left"/>
        <w:shd w:val="clear" w:fill="F2F2F2"/>
      </w:pPr>
      <w:r>
        <w:rPr>
          <w:rFonts w:ascii="Consolas" w:hAnsi="Consolas" w:cs="Consolas"/>
          <w:b w:val="0"/>
          <w:i w:val="0"/>
          <w:sz w:val="15"/>
        </w:rPr>
        <w:t xml:space="preserve">    "latency_ms": 450,</w:t>
      </w:r>
    </w:p>
    <w:p>
      <w:pPr>
        <w:spacing w:after="0" w:before="0" w:line="240" w:lineRule="auto"/>
        <w:ind w:left="57"/>
        <w:jc w:val="left"/>
        <w:shd w:val="clear" w:fill="F2F2F2"/>
      </w:pPr>
      <w:r>
        <w:rPr>
          <w:rFonts w:ascii="Consolas" w:hAnsi="Consolas" w:cs="Consolas"/>
          <w:b w:val="0"/>
          <w:i w:val="0"/>
          <w:sz w:val="15"/>
        </w:rPr>
        <w:t xml:space="preserve">    "fallback_used": false,</w:t>
      </w:r>
    </w:p>
    <w:p>
      <w:pPr>
        <w:spacing w:after="0" w:before="0" w:line="240" w:lineRule="auto"/>
        <w:ind w:left="57"/>
        <w:jc w:val="left"/>
        <w:shd w:val="clear" w:fill="F2F2F2"/>
      </w:pPr>
      <w:r>
        <w:rPr>
          <w:rFonts w:ascii="Consolas" w:hAnsi="Consolas" w:cs="Consolas"/>
          <w:b w:val="0"/>
          <w:i w:val="0"/>
          <w:sz w:val="15"/>
        </w:rPr>
        <w:t xml:space="preserve">    "output_length_tokens": 128,</w:t>
      </w:r>
    </w:p>
    <w:p>
      <w:pPr>
        <w:spacing w:after="0" w:before="0" w:line="240" w:lineRule="auto"/>
        <w:ind w:left="57"/>
        <w:jc w:val="left"/>
        <w:shd w:val="clear" w:fill="F2F2F2"/>
      </w:pPr>
      <w:r>
        <w:rPr>
          <w:rFonts w:ascii="Consolas" w:hAnsi="Consolas" w:cs="Consolas"/>
          <w:b w:val="0"/>
          <w:i w:val="0"/>
          <w:sz w:val="15"/>
        </w:rPr>
        <w:t xml:space="preserve">    "input_context": "action: contract.sign, conditions: [KYC missing]",</w:t>
      </w:r>
    </w:p>
    <w:p>
      <w:pPr>
        <w:spacing w:after="0" w:before="0" w:line="240" w:lineRule="auto"/>
        <w:ind w:left="57"/>
        <w:jc w:val="left"/>
        <w:shd w:val="clear" w:fill="F2F2F2"/>
      </w:pPr>
      <w:r>
        <w:rPr>
          <w:rFonts w:ascii="Consolas" w:hAnsi="Consolas" w:cs="Consolas"/>
          <w:b w:val="0"/>
          <w:i w:val="0"/>
          <w:sz w:val="15"/>
        </w:rPr>
        <w:t xml:space="preserve">    "created_at": "2026-06-07T10:00:00Z"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A2 inference, fallback engaged: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"agent_name": "product_form_agent",</w:t>
      </w:r>
    </w:p>
    <w:p>
      <w:pPr>
        <w:spacing w:after="0" w:before="0" w:line="240" w:lineRule="auto"/>
        <w:ind w:left="57"/>
        <w:jc w:val="left"/>
        <w:shd w:val="clear" w:fill="F2F2F2"/>
      </w:pPr>
      <w:r>
        <w:rPr>
          <w:rFonts w:ascii="Consolas" w:hAnsi="Consolas" w:cs="Consolas"/>
          <w:b w:val="0"/>
          <w:i w:val="0"/>
          <w:sz w:val="15"/>
        </w:rPr>
        <w:t xml:space="preserve">    "authority_level": "A2",</w:t>
      </w:r>
    </w:p>
    <w:p>
      <w:pPr>
        <w:spacing w:after="0" w:before="0" w:line="240" w:lineRule="auto"/>
        <w:ind w:left="57"/>
        <w:jc w:val="left"/>
        <w:shd w:val="clear" w:fill="F2F2F2"/>
      </w:pPr>
      <w:r>
        <w:rPr>
          <w:rFonts w:ascii="Consolas" w:hAnsi="Consolas" w:cs="Consolas"/>
          <w:b w:val="0"/>
          <w:i w:val="0"/>
          <w:sz w:val="15"/>
        </w:rPr>
        <w:t xml:space="preserve">    "provider": "ollama",</w:t>
      </w:r>
    </w:p>
    <w:p>
      <w:pPr>
        <w:spacing w:after="0" w:before="0" w:line="240" w:lineRule="auto"/>
        <w:ind w:left="57"/>
        <w:jc w:val="left"/>
        <w:shd w:val="clear" w:fill="F2F2F2"/>
      </w:pPr>
      <w:r>
        <w:rPr>
          <w:rFonts w:ascii="Consolas" w:hAnsi="Consolas" w:cs="Consolas"/>
          <w:b w:val="0"/>
          <w:i w:val="0"/>
          <w:sz w:val="15"/>
        </w:rPr>
        <w:t xml:space="preserve">    "fallback_used": true,</w:t>
      </w:r>
    </w:p>
    <w:p>
      <w:pPr>
        <w:spacing w:after="0" w:before="0" w:line="240" w:lineRule="auto"/>
        <w:ind w:left="57"/>
        <w:jc w:val="left"/>
        <w:shd w:val="clear" w:fill="F2F2F2"/>
      </w:pPr>
      <w:r>
        <w:rPr>
          <w:rFonts w:ascii="Consolas" w:hAnsi="Consolas" w:cs="Consolas"/>
          <w:b w:val="0"/>
          <w:i w:val="0"/>
          <w:sz w:val="15"/>
        </w:rPr>
        <w:t xml:space="preserve">    "fallback_reason": "groq_rate_limit_exceeded",</w:t>
      </w:r>
    </w:p>
    <w:p>
      <w:pPr>
        <w:spacing w:after="0" w:before="0" w:line="240" w:lineRule="auto"/>
        <w:ind w:left="57"/>
        <w:jc w:val="left"/>
        <w:shd w:val="clear" w:fill="F2F2F2"/>
      </w:pPr>
      <w:r>
        <w:rPr>
          <w:rFonts w:ascii="Consolas" w:hAnsi="Consolas" w:cs="Consolas"/>
          <w:b w:val="0"/>
          <w:i w:val="0"/>
          <w:sz w:val="15"/>
        </w:rPr>
        <w:t xml:space="preserve">    "model": "llama3.2:3b",</w:t>
      </w:r>
    </w:p>
    <w:p>
      <w:pPr>
        <w:spacing w:after="0" w:before="0" w:line="240" w:lineRule="auto"/>
        <w:ind w:left="57"/>
        <w:jc w:val="left"/>
        <w:shd w:val="clear" w:fill="F2F2F2"/>
      </w:pPr>
      <w:r>
        <w:rPr>
          <w:rFonts w:ascii="Consolas" w:hAnsi="Consolas" w:cs="Consolas"/>
          <w:b w:val="0"/>
          <w:i w:val="0"/>
          <w:sz w:val="15"/>
        </w:rPr>
        <w:t xml:space="preserve">    "latency_ms": 450,</w:t>
      </w:r>
    </w:p>
    <w:p>
      <w:pPr>
        <w:spacing w:after="0" w:before="0" w:line="240" w:lineRule="auto"/>
        <w:ind w:left="57"/>
        <w:jc w:val="left"/>
        <w:shd w:val="clear" w:fill="F2F2F2"/>
      </w:pPr>
      <w:r>
        <w:rPr>
          <w:rFonts w:ascii="Consolas" w:hAnsi="Consolas" w:cs="Consolas"/>
          <w:b w:val="0"/>
          <w:i w:val="0"/>
          <w:sz w:val="15"/>
        </w:rPr>
        <w:t xml:space="preserve">    "created_at": "2026-06-20T10:30:00Z"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Because each record carries the model name, every inference is traceable to the exact model version that produced it. Model training and update cadence for each agent is defined in the agent registry configuration, and deployed model versions are observable through these log records.</w:t>
      </w:r>
    </w:p>
    <w:p>
      <w:pPr>
        <w:spacing w:after="80" w:line="293" w:lineRule="auto"/>
        <w:jc w:val="left"/>
      </w:pPr>
      <w:r>
        <w:rPr>
          <w:rFonts w:ascii="Times New Roman" w:hAnsi="Times New Roman" w:cs="Times New Roman"/>
          <w:b w:val="0"/>
          <w:i w:val="0"/>
          <w:sz w:val="22"/>
        </w:rPr>
        <w:t>These records are also the basis for AI monitoring: provider latency, fallback frequency, model utilisation, and output quality signals are tracked from `ai_inference_records`, so the operational health of every agent and provider in the chain is measurable continuously.</w:t>
      </w:r>
    </w:p>
    <w:p>
      <w:pPr>
        <w:keepNext/>
        <w:spacing w:before="180" w:after="80"/>
        <w:outlineLvl w:val="2"/>
      </w:pPr>
      <w:r>
        <w:rPr>
          <w:rFonts w:ascii="Arial" w:hAnsi="Arial" w:cs="Arial"/>
          <w:b/>
          <w:i w:val="0"/>
          <w:color w:val="333333"/>
          <w:sz w:val="23"/>
        </w:rPr>
        <w:t>3.4.5 Privacy &amp; Compliance Controls</w:t>
      </w:r>
    </w:p>
    <w:p>
      <w:pPr>
        <w:spacing w:after="80" w:line="293" w:lineRule="auto"/>
        <w:jc w:val="left"/>
      </w:pPr>
      <w:r>
        <w:rPr>
          <w:rFonts w:ascii="Times New Roman" w:hAnsi="Times New Roman" w:cs="Times New Roman"/>
          <w:b w:val="0"/>
          <w:i w:val="0"/>
          <w:sz w:val="22"/>
        </w:rPr>
        <w:t>Sensitive data is never sent to external AI providers. Privacy-critical tasks execute on locally hosted HF models; external providers (Groq) receive only the non-sensitive context required for the task. The fallback logging described above gives compliance full visibility into which provider and model handled each inference, so any privacy-relevant routing decision is auditable after the fact.</w:t>
      </w:r>
    </w:p>
    <w:p>
      <w:pPr>
        <w:keepNext/>
        <w:spacing w:before="180" w:after="80"/>
        <w:outlineLvl w:val="2"/>
      </w:pPr>
      <w:r>
        <w:rPr>
          <w:rFonts w:ascii="Arial" w:hAnsi="Arial" w:cs="Arial"/>
          <w:b/>
          <w:i w:val="0"/>
          <w:color w:val="333333"/>
          <w:sz w:val="23"/>
        </w:rPr>
        <w:t>3.4.6 Integration with the Governor</w:t>
      </w:r>
    </w:p>
    <w:p>
      <w:pPr>
        <w:spacing w:after="80" w:line="293" w:lineRule="auto"/>
        <w:jc w:val="left"/>
      </w:pPr>
      <w:r>
        <w:rPr>
          <w:rFonts w:ascii="Times New Roman" w:hAnsi="Times New Roman" w:cs="Times New Roman"/>
          <w:b w:val="0"/>
          <w:i w:val="0"/>
          <w:sz w:val="22"/>
        </w:rPr>
        <w:t>AI outputs reach the Governor exclusively as structured `DecisionSuggestion` objects. The Governor merges these with the OPA and WasmEdge verdicts in its Decision Merger; AI never executes, and the final decision always originates from human intent (the user's action) and immutable constitutional rules. When an AI agent returns a constraint flag (A2), the Governor decides whether to enforce it as a CONDITIONAL outcome; when RIA escalates (A3), the Governor routes the case to human review.</w:t>
      </w:r>
    </w:p>
    <w:p>
      <w:pPr>
        <w:keepNext/>
        <w:spacing w:before="180" w:after="80"/>
        <w:outlineLvl w:val="2"/>
      </w:pPr>
      <w:r>
        <w:rPr>
          <w:rFonts w:ascii="Arial" w:hAnsi="Arial" w:cs="Arial"/>
          <w:b/>
          <w:i w:val="0"/>
          <w:color w:val="333333"/>
          <w:sz w:val="23"/>
        </w:rPr>
        <w:t>3.4.7 Agent Implementation Requirements</w:t>
      </w:r>
    </w:p>
    <w:p>
      <w:pPr>
        <w:spacing w:after="80" w:line="293" w:lineRule="auto"/>
        <w:jc w:val="left"/>
      </w:pPr>
      <w:r>
        <w:rPr>
          <w:rFonts w:ascii="Times New Roman" w:hAnsi="Times New Roman" w:cs="Times New Roman"/>
          <w:b w:val="0"/>
          <w:i w:val="0"/>
          <w:sz w:val="22"/>
        </w:rPr>
        <w:t>Every agent in the registry is implemented to a fixed contract: it declares its authority level (A1, A2, or A3), its provider chain and models, its per-call timeout budget, and its `ai_inference_records` logging fields. Each fallback state — primary, secondary, and terminal — is covered by unit tests, and no agent may be deployed with an authority level or blocking behaviour outside its registered class. The full backend, policy, module, panel, and testing checklist for the enforcement layer is specified in Section 15.5.</w:t>
      </w:r>
    </w:p>
    <w:p>
      <w:pPr>
        <w:keepNext/>
        <w:spacing w:before="240" w:after="100"/>
        <w:outlineLvl w:val="1"/>
      </w:pPr>
      <w:r>
        <w:rPr>
          <w:rFonts w:ascii="Arial" w:hAnsi="Arial" w:cs="Arial"/>
          <w:b/>
          <w:i w:val="0"/>
          <w:color w:val="2E528F"/>
          <w:sz w:val="26"/>
        </w:rPr>
        <w:t>3.5 Constitutional Enforcement Stack</w:t>
      </w:r>
    </w:p>
    <w:p>
      <w:pPr>
        <w:spacing w:after="80" w:line="293" w:lineRule="auto"/>
        <w:jc w:val="left"/>
      </w:pPr>
      <w:r>
        <w:rPr>
          <w:rFonts w:ascii="Times New Roman" w:hAnsi="Times New Roman" w:cs="Times New Roman"/>
          <w:b w:val="0"/>
          <w:i w:val="0"/>
          <w:sz w:val="22"/>
        </w:rPr>
        <w:t>The Constitutional Enforcement Stack is the machinery that turns Layer 0 into runtime behaviour. It is composed of the Governor service (the single point of truth for authorisation), the OPA policy engine (authored business rules), the WasmEdge constitutional engine (immutable law), the Loom hash chain (audit and evidence), the AI Orchestrator (advisory consult), and the supporting subsystems that harden access and evidence: device trust and session security, Qualified Electronic Signature, the court evidence package engine, the compliance intelligence layer, SAR generation, and the public verification endpoint.</w:t>
      </w:r>
    </w:p>
    <w:p>
      <w:pPr>
        <w:keepNext/>
        <w:spacing w:before="180" w:after="80"/>
        <w:outlineLvl w:val="2"/>
      </w:pPr>
      <w:r>
        <w:rPr>
          <w:rFonts w:ascii="Arial" w:hAnsi="Arial" w:cs="Arial"/>
          <w:b/>
          <w:i w:val="0"/>
          <w:color w:val="333333"/>
          <w:sz w:val="23"/>
        </w:rPr>
        <w:t>3.5.1 Enforcement Pipeline &amp; Decision Flow</w:t>
      </w:r>
    </w:p>
    <w:p>
      <w:pPr>
        <w:spacing w:after="80" w:line="293" w:lineRule="auto"/>
        <w:jc w:val="left"/>
      </w:pPr>
      <w:r>
        <w:rPr>
          <w:rFonts w:ascii="Times New Roman" w:hAnsi="Times New Roman" w:cs="Times New Roman"/>
          <w:b w:val="0"/>
          <w:i w:val="0"/>
          <w:sz w:val="22"/>
        </w:rPr>
        <w:t>Every mutating API request traverses the full stack in a fixed order. The Governor intercepts the request at the proxy layer, evaluates it against the three-stage pipeline (OPA → WasmEdge → AI consult), merges the verdicts, signs the decision, appends it to Loom, persists it in `governor_decisions`, and — only for an ALLOW verdict — executes the action:</w:t>
      </w:r>
    </w:p>
    <w:p>
      <w:pPr>
        <w:spacing w:after="0" w:before="0" w:line="240" w:lineRule="auto"/>
        <w:ind w:left="57"/>
        <w:jc w:val="left"/>
        <w:shd w:val="clear" w:fill="F2F2F2"/>
      </w:pPr>
      <w:r>
        <w:rPr>
          <w:rFonts w:ascii="Consolas" w:hAnsi="Consolas" w:cs="Consolas"/>
          <w:b w:val="0"/>
          <w:i w:val="0"/>
          <w:sz w:val="15"/>
        </w:rPr>
        <w:t>User Action (click or voice)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API Gateway (Nginx + WasmEdge filters)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Governor Proxy (Axum intercept)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OPA (Rego)  | WasmEdge (WASM)| AI Router (Rig)|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Decision Merger (Governor core)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Generate Tenant Message (if not ALLOW)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Sign (Ed25519 + optional Dilithium3)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Loom Log (deterministic hash chain)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Store in governor_decisions (PostgreSQL)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NATS Event (if needed)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Execute Action (if ALLOW)</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three evaluation stages are:</w:t>
      </w:r>
    </w:p>
    <w:p>
      <w:pPr>
        <w:spacing w:after="80" w:line="293" w:lineRule="auto"/>
        <w:ind w:left="283"/>
        <w:jc w:val="left"/>
      </w:pPr>
      <w:r>
        <w:rPr>
          <w:rFonts w:ascii="Times New Roman" w:hAnsi="Times New Roman" w:cs="Times New Roman"/>
          <w:b w:val="0"/>
          <w:i w:val="0"/>
          <w:sz w:val="22"/>
        </w:rPr>
        <w:t>- OPA (Rego) — business rules, permissions, data scopes, dual-mode context.</w:t>
      </w:r>
    </w:p>
    <w:p>
      <w:pPr>
        <w:spacing w:after="80" w:line="293" w:lineRule="auto"/>
        <w:ind w:left="283"/>
        <w:jc w:val="left"/>
      </w:pPr>
      <w:r>
        <w:rPr>
          <w:rFonts w:ascii="Times New Roman" w:hAnsi="Times New Roman" w:cs="Times New Roman"/>
          <w:b w:val="0"/>
          <w:i w:val="0"/>
          <w:sz w:val="22"/>
        </w:rPr>
        <w:t>- WasmEdge constitutional modules — jurisdiction supremacy, fee bounds, incoterm validation, and the A5 prohibition.</w:t>
      </w:r>
    </w:p>
    <w:p>
      <w:pPr>
        <w:spacing w:after="80" w:line="293" w:lineRule="auto"/>
        <w:ind w:left="283"/>
        <w:jc w:val="left"/>
      </w:pPr>
      <w:r>
        <w:rPr>
          <w:rFonts w:ascii="Times New Roman" w:hAnsi="Times New Roman" w:cs="Times New Roman"/>
          <w:b w:val="0"/>
          <w:i w:val="0"/>
          <w:sz w:val="22"/>
        </w:rPr>
        <w:t>- AI consult (A1–A3) — where configured, the Governor calls the AI Orchestrator (Groq → Ollama for A1; HF local → Ollama for A2/A3) for advisory recommendations or constraint flags.</w:t>
      </w:r>
    </w:p>
    <w:p>
      <w:pPr>
        <w:spacing w:after="80" w:line="293" w:lineRule="auto"/>
        <w:jc w:val="left"/>
      </w:pPr>
      <w:r>
        <w:rPr>
          <w:rFonts w:ascii="Times New Roman" w:hAnsi="Times New Roman" w:cs="Times New Roman"/>
          <w:b w:val="0"/>
          <w:i w:val="0"/>
          <w:sz w:val="22"/>
        </w:rPr>
        <w:t>NATS is the platform's publish/subscribe message bus; the Governor emits events on it after decisions when downstream services (dashboards, Smart Inbox, phase services) must react. The Governor itself is stateless — multiple replicas run behind a load balancer, and NATS JetStream persists FeeLock state, so a replica crash never impacts users.</w:t>
      </w:r>
    </w:p>
    <w:p>
      <w:pPr>
        <w:keepNext/>
        <w:spacing w:before="180" w:after="80"/>
        <w:outlineLvl w:val="2"/>
      </w:pPr>
      <w:r>
        <w:rPr>
          <w:rFonts w:ascii="Arial" w:hAnsi="Arial" w:cs="Arial"/>
          <w:b/>
          <w:i w:val="0"/>
          <w:color w:val="333333"/>
          <w:sz w:val="23"/>
        </w:rPr>
        <w:t>3.5.2 Governor Service — Single Point of Truth</w:t>
      </w:r>
    </w:p>
    <w:p>
      <w:pPr>
        <w:spacing w:after="80" w:line="293" w:lineRule="auto"/>
        <w:jc w:val="left"/>
      </w:pPr>
      <w:r>
        <w:rPr>
          <w:rFonts w:ascii="Times New Roman" w:hAnsi="Times New Roman" w:cs="Times New Roman"/>
          <w:b w:val="0"/>
          <w:i w:val="0"/>
          <w:sz w:val="22"/>
        </w:rPr>
        <w:t>The Governor is a Rust Axum service that intercepts every API request that modifies state. It is the single point of truth for authorisation: no phase service, portal, or background job performs an irreversible action without a Governor decision. The service receives the actor's Global Trade Identifier (GTID), employee ID, active trader mode context, the action name, the target resource, and the full payload.</w:t>
      </w:r>
    </w:p>
    <w:p>
      <w:pPr>
        <w:spacing w:after="80" w:line="293" w:lineRule="auto"/>
        <w:jc w:val="left"/>
      </w:pPr>
      <w:r>
        <w:rPr>
          <w:rFonts w:ascii="Times New Roman" w:hAnsi="Times New Roman" w:cs="Times New Roman"/>
          <w:b w:val="0"/>
          <w:i w:val="0"/>
          <w:sz w:val="22"/>
        </w:rPr>
        <w:t>Internal decision request:</w:t>
      </w:r>
    </w:p>
    <w:p>
      <w:pPr>
        <w:spacing w:after="0" w:before="0" w:line="240" w:lineRule="auto"/>
        <w:ind w:left="57"/>
        <w:jc w:val="left"/>
        <w:shd w:val="clear" w:fill="F2F2F2"/>
      </w:pPr>
      <w:r>
        <w:rPr>
          <w:rFonts w:ascii="Consolas" w:hAnsi="Consolas" w:cs="Consolas"/>
          <w:b w:val="0"/>
          <w:i w:val="0"/>
          <w:sz w:val="15"/>
        </w:rPr>
        <w:t>POST /v1/governor/decision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"action": "contract.sign",</w:t>
      </w:r>
    </w:p>
    <w:p>
      <w:pPr>
        <w:spacing w:after="0" w:before="0" w:line="240" w:lineRule="auto"/>
        <w:ind w:left="57"/>
        <w:jc w:val="left"/>
        <w:shd w:val="clear" w:fill="F2F2F2"/>
      </w:pPr>
      <w:r>
        <w:rPr>
          <w:rFonts w:ascii="Consolas" w:hAnsi="Consolas" w:cs="Consolas"/>
          <w:b w:val="0"/>
          <w:i w:val="0"/>
          <w:sz w:val="15"/>
        </w:rPr>
        <w:t xml:space="preserve">    "actor_gtid": "SGTX-EG-26-F3A-1",</w:t>
      </w:r>
    </w:p>
    <w:p>
      <w:pPr>
        <w:spacing w:after="0" w:before="0" w:line="240" w:lineRule="auto"/>
        <w:ind w:left="57"/>
        <w:jc w:val="left"/>
        <w:shd w:val="clear" w:fill="F2F2F2"/>
      </w:pPr>
      <w:r>
        <w:rPr>
          <w:rFonts w:ascii="Consolas" w:hAnsi="Consolas" w:cs="Consolas"/>
          <w:b w:val="0"/>
          <w:i w:val="0"/>
          <w:sz w:val="15"/>
        </w:rPr>
        <w:t xml:space="preserve">    "actor_employee_id": "emp-001",</w:t>
      </w:r>
    </w:p>
    <w:p>
      <w:pPr>
        <w:spacing w:after="0" w:before="0" w:line="240" w:lineRule="auto"/>
        <w:ind w:left="57"/>
        <w:jc w:val="left"/>
        <w:shd w:val="clear" w:fill="F2F2F2"/>
      </w:pPr>
      <w:r>
        <w:rPr>
          <w:rFonts w:ascii="Consolas" w:hAnsi="Consolas" w:cs="Consolas"/>
          <w:b w:val="0"/>
          <w:i w:val="0"/>
          <w:sz w:val="15"/>
        </w:rPr>
        <w:t xml:space="preserve">    "active_trader_mode_context": "BUY",</w:t>
      </w:r>
    </w:p>
    <w:p>
      <w:pPr>
        <w:spacing w:after="0" w:before="0" w:line="240" w:lineRule="auto"/>
        <w:ind w:left="57"/>
        <w:jc w:val="left"/>
        <w:shd w:val="clear" w:fill="F2F2F2"/>
      </w:pPr>
      <w:r>
        <w:rPr>
          <w:rFonts w:ascii="Consolas" w:hAnsi="Consolas" w:cs="Consolas"/>
          <w:b w:val="0"/>
          <w:i w:val="0"/>
          <w:sz w:val="15"/>
        </w:rPr>
        <w:t xml:space="preserve">    "resource": {</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"payload": {</w:t>
      </w:r>
    </w:p>
    <w:p>
      <w:pPr>
        <w:spacing w:after="0" w:before="0" w:line="240" w:lineRule="auto"/>
        <w:ind w:left="57"/>
        <w:jc w:val="left"/>
        <w:shd w:val="clear" w:fill="F2F2F2"/>
      </w:pPr>
      <w:r>
        <w:rPr>
          <w:rFonts w:ascii="Consolas" w:hAnsi="Consolas" w:cs="Consolas"/>
          <w:b w:val="0"/>
          <w:i w:val="0"/>
          <w:sz w:val="15"/>
        </w:rPr>
        <w:t xml:space="preserve">        "signature": "base64..."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ALLOW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"decision_id": "dec-abc123",</w:t>
      </w:r>
    </w:p>
    <w:p>
      <w:pPr>
        <w:spacing w:after="0" w:before="0" w:line="240" w:lineRule="auto"/>
        <w:ind w:left="57"/>
        <w:jc w:val="left"/>
        <w:shd w:val="clear" w:fill="F2F2F2"/>
      </w:pPr>
      <w:r>
        <w:rPr>
          <w:rFonts w:ascii="Consolas" w:hAnsi="Consolas" w:cs="Consolas"/>
          <w:b w:val="0"/>
          <w:i w:val="0"/>
          <w:sz w:val="15"/>
        </w:rPr>
        <w:t xml:space="preserve">    "verdict": "ALLOW",</w:t>
      </w:r>
    </w:p>
    <w:p>
      <w:pPr>
        <w:spacing w:after="0" w:before="0" w:line="240" w:lineRule="auto"/>
        <w:ind w:left="57"/>
        <w:jc w:val="left"/>
        <w:shd w:val="clear" w:fill="F2F2F2"/>
      </w:pPr>
      <w:r>
        <w:rPr>
          <w:rFonts w:ascii="Consolas" w:hAnsi="Consolas" w:cs="Consolas"/>
          <w:b w:val="0"/>
          <w:i w:val="0"/>
          <w:sz w:val="15"/>
        </w:rPr>
        <w:t xml:space="preserve">    "loom_hash": "sha256:a1b2c3...",</w:t>
      </w:r>
    </w:p>
    <w:p>
      <w:pPr>
        <w:spacing w:after="0" w:before="0" w:line="240" w:lineRule="auto"/>
        <w:ind w:left="57"/>
        <w:jc w:val="left"/>
        <w:shd w:val="clear" w:fill="F2F2F2"/>
      </w:pPr>
      <w:r>
        <w:rPr>
          <w:rFonts w:ascii="Consolas" w:hAnsi="Consolas" w:cs="Consolas"/>
          <w:b w:val="0"/>
          <w:i w:val="0"/>
          <w:sz w:val="15"/>
        </w:rPr>
        <w:t xml:space="preserve">    "cryptographic_signature": "ed25519:..."</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CONDITIONAL response, with the AI-generated tenant message: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"decision_id": "dec-def456",</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contract lock is on hold because the seller's jurisdiction requires enhanced KYC documentation.",</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"kyc_tier2_seller",</w:t>
      </w:r>
    </w:p>
    <w:p>
      <w:pPr>
        <w:spacing w:after="0" w:before="0" w:line="240" w:lineRule="auto"/>
        <w:ind w:left="57"/>
        <w:jc w:val="left"/>
        <w:shd w:val="clear" w:fill="F2F2F2"/>
      </w:pPr>
      <w:r>
        <w:rPr>
          <w:rFonts w:ascii="Consolas" w:hAnsi="Consolas" w:cs="Consolas"/>
          <w:b w:val="0"/>
          <w:i w:val="0"/>
          <w:sz w:val="15"/>
        </w:rPr>
        <w:t xml:space="preserve">                "label": "Seller KYB Tier 2 verification",</w:t>
      </w:r>
    </w:p>
    <w:p>
      <w:pPr>
        <w:spacing w:after="0" w:before="0" w:line="240" w:lineRule="auto"/>
        <w:ind w:left="57"/>
        <w:jc w:val="left"/>
        <w:shd w:val="clear" w:fill="F2F2F2"/>
      </w:pPr>
      <w:r>
        <w:rPr>
          <w:rFonts w:ascii="Consolas" w:hAnsi="Consolas" w:cs="Consolas"/>
          <w:b w:val="0"/>
          <w:i w:val="0"/>
          <w:sz w:val="15"/>
        </w:rPr>
        <w:t xml:space="preserve">                "status": "unmet",</w:t>
      </w:r>
    </w:p>
    <w:p>
      <w:pPr>
        <w:spacing w:after="0" w:before="0" w:line="240" w:lineRule="auto"/>
        <w:ind w:left="57"/>
        <w:jc w:val="left"/>
        <w:shd w:val="clear" w:fill="F2F2F2"/>
      </w:pPr>
      <w:r>
        <w:rPr>
          <w:rFonts w:ascii="Consolas" w:hAnsi="Consolas" w:cs="Consolas"/>
          <w:b w:val="0"/>
          <w:i w:val="0"/>
          <w:sz w:val="15"/>
        </w:rPr>
        <w:t xml:space="preserve">                "action_url": "/v1/kyc/upgrade?gtid=SGTX-VN-TRD-000456"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"doc_cert_origin",</w:t>
      </w:r>
    </w:p>
    <w:p>
      <w:pPr>
        <w:spacing w:after="0" w:before="0" w:line="240" w:lineRule="auto"/>
        <w:ind w:left="57"/>
        <w:jc w:val="left"/>
        <w:shd w:val="clear" w:fill="F2F2F2"/>
      </w:pPr>
      <w:r>
        <w:rPr>
          <w:rFonts w:ascii="Consolas" w:hAnsi="Consolas" w:cs="Consolas"/>
          <w:b w:val="0"/>
          <w:i w:val="0"/>
          <w:sz w:val="15"/>
        </w:rPr>
        <w:t xml:space="preserve">                "label": "Certificate of Origin from Vietnam",</w:t>
      </w:r>
    </w:p>
    <w:p>
      <w:pPr>
        <w:spacing w:after="0" w:before="0" w:line="240" w:lineRule="auto"/>
        <w:ind w:left="57"/>
        <w:jc w:val="left"/>
        <w:shd w:val="clear" w:fill="F2F2F2"/>
      </w:pPr>
      <w:r>
        <w:rPr>
          <w:rFonts w:ascii="Consolas" w:hAnsi="Consolas" w:cs="Consolas"/>
          <w:b w:val="0"/>
          <w:i w:val="0"/>
          <w:sz w:val="15"/>
        </w:rPr>
        <w:t xml:space="preserve">                "status": "unmet",</w:t>
      </w:r>
    </w:p>
    <w:p>
      <w:pPr>
        <w:spacing w:after="0" w:before="0" w:line="240" w:lineRule="auto"/>
        <w:ind w:left="57"/>
        <w:jc w:val="left"/>
        <w:shd w:val="clear" w:fill="F2F2F2"/>
      </w:pPr>
      <w:r>
        <w:rPr>
          <w:rFonts w:ascii="Consolas" w:hAnsi="Consolas" w:cs="Consolas"/>
          <w:b w:val="0"/>
          <w:i w:val="0"/>
          <w:sz w:val="15"/>
        </w:rPr>
        <w:t xml:space="preserve">                "action_url": "/v1/documents/upload?trade=..."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you can request a human review. A compliance officer will respond within 24 hours."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"loom_hash": "sha256:d4e5f6..."</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assistance within the Governor: when a user encounters a CONDITIONAL or DENY verdict, the Decision Panel automatically shows the plain-language explanation and, where possible, provides autocomplete-ready action links (for example "Upload document" pre-filled with the required document type). No unsolicited recommendations are generated.</w:t>
      </w:r>
    </w:p>
    <w:p>
      <w:pPr>
        <w:keepNext/>
        <w:spacing w:before="180" w:after="80"/>
        <w:outlineLvl w:val="2"/>
      </w:pPr>
      <w:r>
        <w:rPr>
          <w:rFonts w:ascii="Arial" w:hAnsi="Arial" w:cs="Arial"/>
          <w:b/>
          <w:i w:val="0"/>
          <w:color w:val="333333"/>
          <w:sz w:val="23"/>
        </w:rPr>
        <w:t>3.5.3 Decision Verdicts</w:t>
      </w:r>
    </w:p>
    <w:p>
      <w:pPr>
        <w:spacing w:after="80" w:line="293" w:lineRule="auto"/>
        <w:jc w:val="left"/>
      </w:pPr>
      <w:r>
        <w:rPr>
          <w:rFonts w:ascii="Times New Roman" w:hAnsi="Times New Roman" w:cs="Times New Roman"/>
          <w:b w:val="0"/>
          <w:i w:val="0"/>
          <w:sz w:val="22"/>
        </w:rPr>
        <w:t>The Governor returns exactly one verdict per decision: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Verdict</w:t>
            </w:r>
          </w:p>
        </w:tc>
        <w:tc>
          <w:tcPr>
            <w:tcW w:type="dxa" w:w="3213"/>
            <w:shd w:val="clear" w:fill="D9E2F3"/>
          </w:tcPr>
          <w:p>
            <w:pPr>
              <w:spacing w:after="20" w:before="20" w:line="240" w:lineRule="auto"/>
            </w:pPr>
            <w:r/>
            <w:r>
              <w:rPr>
                <w:rFonts w:ascii="Arial" w:hAnsi="Arial" w:cs="Arial"/>
                <w:b/>
                <w:i w:val="0"/>
                <w:sz w:val="18"/>
              </w:rPr>
              <w:t>Meaning</w:t>
            </w:r>
          </w:p>
        </w:tc>
        <w:tc>
          <w:tcPr>
            <w:tcW w:type="dxa" w:w="3213"/>
            <w:shd w:val="clear" w:fill="D9E2F3"/>
          </w:tcPr>
          <w:p>
            <w:pPr>
              <w:spacing w:after="20" w:before="20" w:line="240" w:lineRule="auto"/>
            </w:pPr>
            <w:r/>
            <w:r>
              <w:rPr>
                <w:rFonts w:ascii="Arial" w:hAnsi="Arial" w:cs="Arial"/>
                <w:b/>
                <w:i w:val="0"/>
                <w:sz w:val="18"/>
              </w:rPr>
              <w:t>Downstream Effect</w:t>
            </w:r>
          </w:p>
        </w:tc>
      </w:tr>
      <w:tr>
        <w:tc>
          <w:tcPr>
            <w:tcW w:type="dxa" w:w="3213"/>
          </w:tcPr>
          <w:p>
            <w:pPr>
              <w:spacing w:after="20" w:before="20" w:line="240" w:lineRule="auto"/>
            </w:pPr>
            <w:r/>
            <w:r>
              <w:rPr>
                <w:rFonts w:ascii="Arial" w:hAnsi="Arial" w:cs="Arial"/>
                <w:b w:val="0"/>
                <w:i w:val="0"/>
                <w:sz w:val="17"/>
              </w:rPr>
              <w:t>ALLOW</w:t>
            </w:r>
          </w:p>
        </w:tc>
        <w:tc>
          <w:tcPr>
            <w:tcW w:type="dxa" w:w="3213"/>
          </w:tcPr>
          <w:p>
            <w:pPr>
              <w:spacing w:after="20" w:before="20" w:line="240" w:lineRule="auto"/>
            </w:pPr>
            <w:r/>
            <w:r>
              <w:rPr>
                <w:rFonts w:ascii="Arial" w:hAnsi="Arial" w:cs="Arial"/>
                <w:b w:val="0"/>
                <w:i w:val="0"/>
                <w:sz w:val="17"/>
              </w:rPr>
              <w:t>All constitutional, policy, and advisory checks passed</w:t>
            </w:r>
          </w:p>
        </w:tc>
        <w:tc>
          <w:tcPr>
            <w:tcW w:type="dxa" w:w="3213"/>
          </w:tcPr>
          <w:p>
            <w:pPr>
              <w:spacing w:after="20" w:before="20" w:line="240" w:lineRule="auto"/>
            </w:pPr>
            <w:r/>
            <w:r>
              <w:rPr>
                <w:rFonts w:ascii="Arial" w:hAnsi="Arial" w:cs="Arial"/>
                <w:b w:val="0"/>
                <w:i w:val="0"/>
                <w:sz w:val="17"/>
              </w:rPr>
              <w:t>Action executes; decision signed and appended to Loom</w:t>
            </w:r>
          </w:p>
        </w:tc>
      </w:tr>
      <w:tr>
        <w:tc>
          <w:tcPr>
            <w:tcW w:type="dxa" w:w="3213"/>
          </w:tcPr>
          <w:p>
            <w:pPr>
              <w:spacing w:after="20" w:before="20" w:line="240" w:lineRule="auto"/>
            </w:pPr>
            <w:r/>
            <w:r>
              <w:rPr>
                <w:rFonts w:ascii="Arial" w:hAnsi="Arial" w:cs="Arial"/>
                <w:b w:val="0"/>
                <w:i w:val="0"/>
                <w:sz w:val="17"/>
              </w:rPr>
              <w:t>DENY</w:t>
            </w:r>
          </w:p>
        </w:tc>
        <w:tc>
          <w:tcPr>
            <w:tcW w:type="dxa" w:w="3213"/>
          </w:tcPr>
          <w:p>
            <w:pPr>
              <w:spacing w:after="20" w:before="20" w:line="240" w:lineRule="auto"/>
            </w:pPr>
            <w:r/>
            <w:r>
              <w:rPr>
                <w:rFonts w:ascii="Arial" w:hAnsi="Arial" w:cs="Arial"/>
                <w:b w:val="0"/>
                <w:i w:val="0"/>
                <w:sz w:val="17"/>
              </w:rPr>
              <w:t>A blocking rule failed</w:t>
            </w:r>
          </w:p>
        </w:tc>
        <w:tc>
          <w:tcPr>
            <w:tcW w:type="dxa" w:w="3213"/>
          </w:tcPr>
          <w:p>
            <w:pPr>
              <w:spacing w:after="20" w:before="20" w:line="240" w:lineRule="auto"/>
            </w:pPr>
            <w:r/>
            <w:r>
              <w:rPr>
                <w:rFonts w:ascii="Arial" w:hAnsi="Arial" w:cs="Arial"/>
                <w:b w:val="0"/>
                <w:i w:val="0"/>
                <w:sz w:val="17"/>
              </w:rPr>
              <w:t>Action blocked; plain-language tenant message with remediation; decision logged</w:t>
            </w:r>
          </w:p>
        </w:tc>
      </w:tr>
      <w:tr>
        <w:tc>
          <w:tcPr>
            <w:tcW w:type="dxa" w:w="3213"/>
          </w:tcPr>
          <w:p>
            <w:pPr>
              <w:spacing w:after="20" w:before="20" w:line="240" w:lineRule="auto"/>
            </w:pPr>
            <w:r/>
            <w:r>
              <w:rPr>
                <w:rFonts w:ascii="Arial" w:hAnsi="Arial" w:cs="Arial"/>
                <w:b w:val="0"/>
                <w:i w:val="0"/>
                <w:sz w:val="17"/>
              </w:rPr>
              <w:t>CONDITIONAL</w:t>
            </w:r>
          </w:p>
        </w:tc>
        <w:tc>
          <w:tcPr>
            <w:tcW w:type="dxa" w:w="3213"/>
          </w:tcPr>
          <w:p>
            <w:pPr>
              <w:spacing w:after="20" w:before="20" w:line="240" w:lineRule="auto"/>
            </w:pPr>
            <w:r/>
            <w:r>
              <w:rPr>
                <w:rFonts w:ascii="Arial" w:hAnsi="Arial" w:cs="Arial"/>
                <w:b w:val="0"/>
                <w:i w:val="0"/>
                <w:sz w:val="17"/>
              </w:rPr>
              <w:t>One or more conditions are unmet</w:t>
            </w:r>
          </w:p>
        </w:tc>
        <w:tc>
          <w:tcPr>
            <w:tcW w:type="dxa" w:w="3213"/>
          </w:tcPr>
          <w:p>
            <w:pPr>
              <w:spacing w:after="20" w:before="20" w:line="240" w:lineRule="auto"/>
            </w:pPr>
            <w:r/>
            <w:r>
              <w:rPr>
                <w:rFonts w:ascii="Arial" w:hAnsi="Arial" w:cs="Arial"/>
                <w:b w:val="0"/>
                <w:i w:val="0"/>
                <w:sz w:val="17"/>
              </w:rPr>
              <w:t>Action held; conditions with remediation links presented; auto-proceeds once all conditions resolve</w:t>
            </w:r>
          </w:p>
        </w:tc>
      </w:tr>
      <w:tr>
        <w:tc>
          <w:tcPr>
            <w:tcW w:type="dxa" w:w="3213"/>
          </w:tcPr>
          <w:p>
            <w:pPr>
              <w:spacing w:after="20" w:before="20" w:line="240" w:lineRule="auto"/>
            </w:pPr>
            <w:r/>
            <w:r>
              <w:rPr>
                <w:rFonts w:ascii="Arial" w:hAnsi="Arial" w:cs="Arial"/>
                <w:b w:val="0"/>
                <w:i w:val="0"/>
                <w:sz w:val="17"/>
              </w:rPr>
              <w:t>ESCALATE</w:t>
            </w:r>
          </w:p>
        </w:tc>
        <w:tc>
          <w:tcPr>
            <w:tcW w:type="dxa" w:w="3213"/>
          </w:tcPr>
          <w:p>
            <w:pPr>
              <w:spacing w:after="20" w:before="20" w:line="240" w:lineRule="auto"/>
            </w:pPr>
            <w:r/>
            <w:r>
              <w:rPr>
                <w:rFonts w:ascii="Arial" w:hAnsi="Arial" w:cs="Arial"/>
                <w:b w:val="0"/>
                <w:i w:val="0"/>
                <w:sz w:val="17"/>
              </w:rPr>
              <w:t>Human review required (A3)</w:t>
            </w:r>
          </w:p>
        </w:tc>
        <w:tc>
          <w:tcPr>
            <w:tcW w:type="dxa" w:w="3213"/>
          </w:tcPr>
          <w:p>
            <w:pPr>
              <w:spacing w:after="20" w:before="20" w:line="240" w:lineRule="auto"/>
            </w:pPr>
            <w:r/>
            <w:r>
              <w:rPr>
                <w:rFonts w:ascii="Arial" w:hAnsi="Arial" w:cs="Arial"/>
                <w:b w:val="0"/>
                <w:i w:val="0"/>
                <w:sz w:val="17"/>
              </w:rPr>
              <w:t>Case routed to a compliance officer; response expected within 24 hours; decision logged</w:t>
            </w:r>
          </w:p>
        </w:tc>
      </w:tr>
      <w:tr>
        <w:tc>
          <w:tcPr>
            <w:tcW w:type="dxa" w:w="3213"/>
          </w:tcPr>
          <w:p>
            <w:pPr>
              <w:spacing w:after="20" w:before="20" w:line="240" w:lineRule="auto"/>
            </w:pPr>
            <w:r/>
            <w:r>
              <w:rPr>
                <w:rFonts w:ascii="Arial" w:hAnsi="Arial" w:cs="Arial"/>
                <w:b w:val="0"/>
                <w:i w:val="0"/>
                <w:sz w:val="17"/>
              </w:rPr>
              <w:t>PENDING</w:t>
            </w:r>
          </w:p>
        </w:tc>
        <w:tc>
          <w:tcPr>
            <w:tcW w:type="dxa" w:w="3213"/>
          </w:tcPr>
          <w:p>
            <w:pPr>
              <w:spacing w:after="20" w:before="20" w:line="240" w:lineRule="auto"/>
            </w:pPr>
            <w:r/>
            <w:r>
              <w:rPr>
                <w:rFonts w:ascii="Arial" w:hAnsi="Arial" w:cs="Arial"/>
                <w:b w:val="0"/>
                <w:i w:val="0"/>
                <w:sz w:val="17"/>
              </w:rPr>
              <w:t>Asynchronous input outstanding (for example multisig approval collection or external verification)</w:t>
            </w:r>
          </w:p>
        </w:tc>
        <w:tc>
          <w:tcPr>
            <w:tcW w:type="dxa" w:w="3213"/>
          </w:tcPr>
          <w:p>
            <w:pPr>
              <w:spacing w:after="20" w:before="20" w:line="240" w:lineRule="auto"/>
            </w:pPr>
            <w:r/>
            <w:r>
              <w:rPr>
                <w:rFonts w:ascii="Arial" w:hAnsi="Arial" w:cs="Arial"/>
                <w:b w:val="0"/>
                <w:i w:val="0"/>
                <w:sz w:val="17"/>
              </w:rPr>
              <w:t>Action not executed until pending items resolve; decision logged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DENY and CONDITIONAL verdicts are always rendered to the user through the plain-language Governor Decision Panel with remediation links; the internal reason codes never reach the tenant.</w:t>
      </w:r>
    </w:p>
    <w:p>
      <w:pPr>
        <w:keepNext/>
        <w:spacing w:before="180" w:after="80"/>
        <w:outlineLvl w:val="2"/>
      </w:pPr>
      <w:r>
        <w:rPr>
          <w:rFonts w:ascii="Arial" w:hAnsi="Arial" w:cs="Arial"/>
          <w:b/>
          <w:i w:val="0"/>
          <w:color w:val="333333"/>
          <w:sz w:val="23"/>
        </w:rPr>
        <w:t>3.5.4 OPA Policy Engine (Rego)</w:t>
      </w:r>
    </w:p>
    <w:p>
      <w:pPr>
        <w:spacing w:after="80" w:line="293" w:lineRule="auto"/>
        <w:jc w:val="left"/>
      </w:pPr>
      <w:r>
        <w:rPr>
          <w:rFonts w:ascii="Times New Roman" w:hAnsi="Times New Roman" w:cs="Times New Roman"/>
          <w:b w:val="0"/>
          <w:i w:val="0"/>
          <w:sz w:val="22"/>
        </w:rPr>
        <w:t>OPA evaluates business rules and permissions. Policies are stored as `.rego` files in `/core/governor/policies/` and can be hot-reloaded after multisig approval. The Governor passes the request context — actor, action, resource, and trader mode — to OPA, which returns a verdict and optional conditions.</w:t>
      </w:r>
    </w:p>
    <w:p>
      <w:pPr>
        <w:spacing w:after="80" w:line="293" w:lineRule="auto"/>
        <w:jc w:val="left"/>
      </w:pPr>
      <w:r>
        <w:rPr>
          <w:rFonts w:ascii="Times New Roman" w:hAnsi="Times New Roman" w:cs="Times New Roman"/>
          <w:b w:val="0"/>
          <w:i w:val="0"/>
          <w:sz w:val="22"/>
        </w:rPr>
        <w:t>Example policy — contract signing with dual-mode context enforcement:</w:t>
      </w:r>
    </w:p>
    <w:p>
      <w:pPr>
        <w:spacing w:after="0" w:before="0" w:line="240" w:lineRule="auto"/>
        <w:ind w:left="57"/>
        <w:jc w:val="left"/>
        <w:shd w:val="clear" w:fill="F2F2F2"/>
      </w:pPr>
      <w:r>
        <w:rPr>
          <w:rFonts w:ascii="Consolas" w:hAnsi="Consolas" w:cs="Consolas"/>
          <w:b w:val="0"/>
          <w:i w:val="0"/>
          <w:sz w:val="15"/>
        </w:rPr>
        <w:t>package sgtx.permissions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default allow =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Trader with BUY mode can sign contract as buyer</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input.action == "contract.sign"</w:t>
      </w:r>
    </w:p>
    <w:p>
      <w:pPr>
        <w:spacing w:after="0" w:before="0" w:line="240" w:lineRule="auto"/>
        <w:ind w:left="57"/>
        <w:jc w:val="left"/>
        <w:shd w:val="clear" w:fill="F2F2F2"/>
      </w:pPr>
      <w:r>
        <w:rPr>
          <w:rFonts w:ascii="Consolas" w:hAnsi="Consolas" w:cs="Consolas"/>
          <w:b w:val="0"/>
          <w:i w:val="0"/>
          <w:sz w:val="15"/>
        </w:rPr>
        <w:t xml:space="preserve">    input.actor_trader_mode == "BUY"</w:t>
      </w:r>
    </w:p>
    <w:p>
      <w:pPr>
        <w:spacing w:after="0" w:before="0" w:line="240" w:lineRule="auto"/>
        <w:ind w:left="57"/>
        <w:jc w:val="left"/>
        <w:shd w:val="clear" w:fill="F2F2F2"/>
      </w:pPr>
      <w:r>
        <w:rPr>
          <w:rFonts w:ascii="Consolas" w:hAnsi="Consolas" w:cs="Consolas"/>
          <w:b w:val="0"/>
          <w:i w:val="0"/>
          <w:sz w:val="15"/>
        </w:rPr>
        <w:t xml:space="preserve">    role_has_permission(input.actor_role, "contract.sign")</w:t>
      </w:r>
    </w:p>
    <w:p>
      <w:pPr>
        <w:spacing w:after="0" w:before="0" w:line="240" w:lineRule="auto"/>
        <w:ind w:left="57"/>
        <w:jc w:val="left"/>
        <w:shd w:val="clear" w:fill="F2F2F2"/>
      </w:pPr>
      <w:r>
        <w:rPr>
          <w:rFonts w:ascii="Consolas" w:hAnsi="Consolas" w:cs="Consolas"/>
          <w:b w:val="0"/>
          <w:i w:val="0"/>
          <w:sz w:val="15"/>
        </w:rPr>
        <w:t xml:space="preserve">    not resource_already_signed_by_buyer(input.resource.ustn)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Trader with SELL mode can sign contract as seller</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input.action == "contract.sign"</w:t>
      </w:r>
    </w:p>
    <w:p>
      <w:pPr>
        <w:spacing w:after="0" w:before="0" w:line="240" w:lineRule="auto"/>
        <w:ind w:left="57"/>
        <w:jc w:val="left"/>
        <w:shd w:val="clear" w:fill="F2F2F2"/>
      </w:pPr>
      <w:r>
        <w:rPr>
          <w:rFonts w:ascii="Consolas" w:hAnsi="Consolas" w:cs="Consolas"/>
          <w:b w:val="0"/>
          <w:i w:val="0"/>
          <w:sz w:val="15"/>
        </w:rPr>
        <w:t xml:space="preserve">    input.actor_trader_mode == "SELL"</w:t>
      </w:r>
    </w:p>
    <w:p>
      <w:pPr>
        <w:spacing w:after="0" w:before="0" w:line="240" w:lineRule="auto"/>
        <w:ind w:left="57"/>
        <w:jc w:val="left"/>
        <w:shd w:val="clear" w:fill="F2F2F2"/>
      </w:pPr>
      <w:r>
        <w:rPr>
          <w:rFonts w:ascii="Consolas" w:hAnsi="Consolas" w:cs="Consolas"/>
          <w:b w:val="0"/>
          <w:i w:val="0"/>
          <w:sz w:val="15"/>
        </w:rPr>
        <w:t xml:space="preserve">    role_has_permission(input.actor_role, "contract.sign")</w:t>
      </w:r>
    </w:p>
    <w:p>
      <w:pPr>
        <w:spacing w:after="0" w:before="0" w:line="240" w:lineRule="auto"/>
        <w:ind w:left="57"/>
        <w:jc w:val="left"/>
        <w:shd w:val="clear" w:fill="F2F2F2"/>
      </w:pPr>
      <w:r>
        <w:rPr>
          <w:rFonts w:ascii="Consolas" w:hAnsi="Consolas" w:cs="Consolas"/>
          <w:b w:val="0"/>
          <w:i w:val="0"/>
          <w:sz w:val="15"/>
        </w:rPr>
        <w:t xml:space="preserve">    not resource_already_signed_by_seller(input.resource.ustn)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canonical policy set: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Policy File</w:t>
            </w:r>
          </w:p>
        </w:tc>
        <w:tc>
          <w:tcPr>
            <w:tcW w:type="dxa" w:w="4819"/>
            <w:shd w:val="clear" w:fill="D9E2F3"/>
          </w:tcPr>
          <w:p>
            <w:pPr>
              <w:spacing w:after="20" w:before="20" w:line="240" w:lineRule="auto"/>
            </w:pPr>
            <w:r/>
            <w:r>
              <w:rPr>
                <w:rFonts w:ascii="Arial" w:hAnsi="Arial" w:cs="Arial"/>
                <w:b/>
                <w:i w:val="0"/>
                <w:sz w:val="18"/>
              </w:rPr>
              <w:t>Domain</w:t>
            </w:r>
          </w:p>
        </w:tc>
      </w:tr>
      <w:tr>
        <w:tc>
          <w:tcPr>
            <w:tcW w:type="dxa" w:w="4819"/>
          </w:tcPr>
          <w:p>
            <w:pPr>
              <w:spacing w:after="20" w:before="20" w:line="240" w:lineRule="auto"/>
            </w:pPr>
            <w:r/>
            <w:r>
              <w:rPr>
                <w:rFonts w:ascii="Arial" w:hAnsi="Arial" w:cs="Arial"/>
                <w:b w:val="0"/>
                <w:i w:val="0"/>
                <w:sz w:val="17"/>
              </w:rPr>
              <w:t>permissions.rego</w:t>
            </w:r>
          </w:p>
        </w:tc>
        <w:tc>
          <w:tcPr>
            <w:tcW w:type="dxa" w:w="4819"/>
          </w:tcPr>
          <w:p>
            <w:pPr>
              <w:spacing w:after="20" w:before="20" w:line="240" w:lineRule="auto"/>
            </w:pPr>
            <w:r/>
            <w:r>
              <w:rPr>
                <w:rFonts w:ascii="Arial" w:hAnsi="Arial" w:cs="Arial"/>
                <w:b w:val="0"/>
                <w:i w:val="0"/>
                <w:sz w:val="17"/>
              </w:rPr>
              <w:t>RBAC, dual-mode context, data scopes</w:t>
            </w:r>
          </w:p>
        </w:tc>
      </w:tr>
      <w:tr>
        <w:tc>
          <w:tcPr>
            <w:tcW w:type="dxa" w:w="4819"/>
          </w:tcPr>
          <w:p>
            <w:pPr>
              <w:spacing w:after="20" w:before="20" w:line="240" w:lineRule="auto"/>
            </w:pPr>
            <w:r/>
            <w:r>
              <w:rPr>
                <w:rFonts w:ascii="Arial" w:hAnsi="Arial" w:cs="Arial"/>
                <w:b w:val="0"/>
                <w:i w:val="0"/>
                <w:sz w:val="17"/>
              </w:rPr>
              <w:t>fee.rego</w:t>
            </w:r>
          </w:p>
        </w:tc>
        <w:tc>
          <w:tcPr>
            <w:tcW w:type="dxa" w:w="4819"/>
          </w:tcPr>
          <w:p>
            <w:pPr>
              <w:spacing w:after="20" w:before="20" w:line="240" w:lineRule="auto"/>
            </w:pPr>
            <w:r/>
            <w:r>
              <w:rPr>
                <w:rFonts w:ascii="Arial" w:hAnsi="Arial" w:cs="Arial"/>
                <w:b w:val="0"/>
                <w:i w:val="0"/>
                <w:sz w:val="17"/>
              </w:rPr>
              <w:t>Fee rate validation</w:t>
            </w:r>
          </w:p>
        </w:tc>
      </w:tr>
      <w:tr>
        <w:tc>
          <w:tcPr>
            <w:tcW w:type="dxa" w:w="4819"/>
          </w:tcPr>
          <w:p>
            <w:pPr>
              <w:spacing w:after="20" w:before="20" w:line="240" w:lineRule="auto"/>
            </w:pPr>
            <w:r/>
            <w:r>
              <w:rPr>
                <w:rFonts w:ascii="Arial" w:hAnsi="Arial" w:cs="Arial"/>
                <w:b w:val="0"/>
                <w:i w:val="0"/>
                <w:sz w:val="17"/>
              </w:rPr>
              <w:t>financing.rego</w:t>
            </w:r>
          </w:p>
        </w:tc>
        <w:tc>
          <w:tcPr>
            <w:tcW w:type="dxa" w:w="4819"/>
          </w:tcPr>
          <w:p>
            <w:pPr>
              <w:spacing w:after="20" w:before="20" w:line="240" w:lineRule="auto"/>
            </w:pPr>
            <w:r/>
            <w:r>
              <w:rPr>
                <w:rFonts w:ascii="Arial" w:hAnsi="Arial" w:cs="Arial"/>
                <w:b w:val="0"/>
                <w:i w:val="0"/>
                <w:sz w:val="17"/>
              </w:rPr>
              <w:t>Financing validation</w:t>
            </w:r>
          </w:p>
        </w:tc>
      </w:tr>
      <w:tr>
        <w:tc>
          <w:tcPr>
            <w:tcW w:type="dxa" w:w="4819"/>
          </w:tcPr>
          <w:p>
            <w:pPr>
              <w:spacing w:after="20" w:before="20" w:line="240" w:lineRule="auto"/>
            </w:pPr>
            <w:r/>
            <w:r>
              <w:rPr>
                <w:rFonts w:ascii="Arial" w:hAnsi="Arial" w:cs="Arial"/>
                <w:b w:val="0"/>
                <w:i w:val="0"/>
                <w:sz w:val="17"/>
              </w:rPr>
              <w:t>distressed.rego</w:t>
            </w:r>
          </w:p>
        </w:tc>
        <w:tc>
          <w:tcPr>
            <w:tcW w:type="dxa" w:w="4819"/>
          </w:tcPr>
          <w:p>
            <w:pPr>
              <w:spacing w:after="20" w:before="20" w:line="240" w:lineRule="auto"/>
            </w:pPr>
            <w:r/>
            <w:r>
              <w:rPr>
                <w:rFonts w:ascii="Arial" w:hAnsi="Arial" w:cs="Arial"/>
                <w:b w:val="0"/>
                <w:i w:val="0"/>
                <w:sz w:val="17"/>
              </w:rPr>
              <w:t>Distressed-cargo validation</w:t>
            </w:r>
          </w:p>
        </w:tc>
      </w:tr>
      <w:tr>
        <w:tc>
          <w:tcPr>
            <w:tcW w:type="dxa" w:w="4819"/>
          </w:tcPr>
          <w:p>
            <w:pPr>
              <w:spacing w:after="20" w:before="20" w:line="240" w:lineRule="auto"/>
            </w:pPr>
            <w:r/>
            <w:r>
              <w:rPr>
                <w:rFonts w:ascii="Arial" w:hAnsi="Arial" w:cs="Arial"/>
                <w:b w:val="0"/>
                <w:i w:val="0"/>
                <w:sz w:val="17"/>
              </w:rPr>
              <w:t>multiship.rego</w:t>
            </w:r>
          </w:p>
        </w:tc>
        <w:tc>
          <w:tcPr>
            <w:tcW w:type="dxa" w:w="4819"/>
          </w:tcPr>
          <w:p>
            <w:pPr>
              <w:spacing w:after="20" w:before="20" w:line="240" w:lineRule="auto"/>
            </w:pPr>
            <w:r/>
            <w:r>
              <w:rPr>
                <w:rFonts w:ascii="Arial" w:hAnsi="Arial" w:cs="Arial"/>
                <w:b w:val="0"/>
                <w:i w:val="0"/>
                <w:sz w:val="17"/>
              </w:rPr>
              <w:t>Multi-shipment validation</w:t>
            </w:r>
          </w:p>
        </w:tc>
      </w:tr>
      <w:tr>
        <w:tc>
          <w:tcPr>
            <w:tcW w:type="dxa" w:w="4819"/>
          </w:tcPr>
          <w:p>
            <w:pPr>
              <w:spacing w:after="20" w:before="20" w:line="240" w:lineRule="auto"/>
            </w:pPr>
            <w:r/>
            <w:r>
              <w:rPr>
                <w:rFonts w:ascii="Arial" w:hAnsi="Arial" w:cs="Arial"/>
                <w:b w:val="0"/>
                <w:i w:val="0"/>
                <w:sz w:val="17"/>
              </w:rPr>
              <w:t>logistics.rego</w:t>
            </w:r>
          </w:p>
        </w:tc>
        <w:tc>
          <w:tcPr>
            <w:tcW w:type="dxa" w:w="4819"/>
          </w:tcPr>
          <w:p>
            <w:pPr>
              <w:spacing w:after="20" w:before="20" w:line="240" w:lineRule="auto"/>
            </w:pPr>
            <w:r/>
            <w:r>
              <w:rPr>
                <w:rFonts w:ascii="Arial" w:hAnsi="Arial" w:cs="Arial"/>
                <w:b w:val="0"/>
                <w:i w:val="0"/>
                <w:sz w:val="17"/>
              </w:rPr>
              <w:t>Logistics validation</w:t>
            </w:r>
          </w:p>
        </w:tc>
      </w:tr>
      <w:tr>
        <w:tc>
          <w:tcPr>
            <w:tcW w:type="dxa" w:w="4819"/>
          </w:tcPr>
          <w:p>
            <w:pPr>
              <w:spacing w:after="20" w:before="20" w:line="240" w:lineRule="auto"/>
            </w:pPr>
            <w:r/>
            <w:r>
              <w:rPr>
                <w:rFonts w:ascii="Arial" w:hAnsi="Arial" w:cs="Arial"/>
                <w:b w:val="0"/>
                <w:i w:val="0"/>
                <w:sz w:val="17"/>
              </w:rPr>
              <w:t>broker.rego</w:t>
            </w:r>
          </w:p>
        </w:tc>
        <w:tc>
          <w:tcPr>
            <w:tcW w:type="dxa" w:w="4819"/>
          </w:tcPr>
          <w:p>
            <w:pPr>
              <w:spacing w:after="20" w:before="20" w:line="240" w:lineRule="auto"/>
            </w:pPr>
            <w:r/>
            <w:r>
              <w:rPr>
                <w:rFonts w:ascii="Arial" w:hAnsi="Arial" w:cs="Arial"/>
                <w:b w:val="0"/>
                <w:i w:val="0"/>
                <w:sz w:val="17"/>
              </w:rPr>
              <w:t>Broker validation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AI-assisted policy authoring (Admin Portal): the Governor provides a Rego policy editor with syntax highlighting, autocomplete for common rule patterns, and a natural-language prompt (for example, "Create a rule that requires two managers to approve contracts over $100k"). The AI (Groq) generates a draft policy, which the administrator refines and tests via impact simulation before it can be promoted through multisig approval.</w:t>
      </w:r>
    </w:p>
    <w:p>
      <w:pPr>
        <w:spacing w:after="80" w:line="293" w:lineRule="auto"/>
        <w:jc w:val="left"/>
      </w:pPr>
      <w:r>
        <w:rPr>
          <w:rFonts w:ascii="Times New Roman" w:hAnsi="Times New Roman" w:cs="Times New Roman"/>
          <w:b w:val="0"/>
          <w:i w:val="0"/>
          <w:sz w:val="22"/>
        </w:rPr>
        <w:t>OPA testing: `opa test /core/governor/policies/` runs in continuous integration (CI). All policies must pass before deployment.</w:t>
      </w:r>
    </w:p>
    <w:p>
      <w:pPr>
        <w:keepNext/>
        <w:spacing w:before="180" w:after="80"/>
        <w:outlineLvl w:val="2"/>
      </w:pPr>
      <w:r>
        <w:rPr>
          <w:rFonts w:ascii="Arial" w:hAnsi="Arial" w:cs="Arial"/>
          <w:b/>
          <w:i w:val="0"/>
          <w:color w:val="333333"/>
          <w:sz w:val="23"/>
        </w:rPr>
        <w:t>3.5.5 WasmEdge Constitutional Engine</w:t>
      </w:r>
    </w:p>
    <w:p>
      <w:pPr>
        <w:keepNext/>
        <w:spacing w:before="140" w:after="60"/>
        <w:outlineLvl w:val="3"/>
      </w:pPr>
      <w:r>
        <w:rPr>
          <w:rFonts w:ascii="Arial" w:hAnsi="Arial" w:cs="Arial"/>
          <w:b/>
          <w:i/>
          <w:color w:val="333333"/>
          <w:sz w:val="22"/>
        </w:rPr>
        <w:t>3.5.5.1 Overview</w:t>
      </w:r>
    </w:p>
    <w:p>
      <w:pPr>
        <w:spacing w:after="80" w:line="293" w:lineRule="auto"/>
        <w:jc w:val="left"/>
      </w:pPr>
      <w:r>
        <w:rPr>
          <w:rFonts w:ascii="Times New Roman" w:hAnsi="Times New Roman" w:cs="Times New Roman"/>
          <w:b w:val="0"/>
          <w:i w:val="0"/>
          <w:sz w:val="22"/>
        </w:rPr>
        <w:t>The WasmEdge Constitutional Engine enforces non-negotiable, immutable rules that cannot be bypassed by any user, administrator, or even the Governor itself. The rules are implemented as sandboxed WebAssembly (WASM) modules — pre-compiled, signed by the Platform Governance Authority (multisig), and executed by the WasmEdge runtime. The modules have no network or filesystem access; they receive only a strict input schema via the Governor and return a deterministic verdict. All constitutional modules are open source and hot-loaded without restarting the Governor service.</w:t>
      </w:r>
    </w:p>
    <w:p>
      <w:pPr>
        <w:keepNext/>
        <w:spacing w:before="140" w:after="60"/>
        <w:outlineLvl w:val="3"/>
      </w:pPr>
      <w:r>
        <w:rPr>
          <w:rFonts w:ascii="Arial" w:hAnsi="Arial" w:cs="Arial"/>
          <w:b/>
          <w:i/>
          <w:color w:val="333333"/>
          <w:sz w:val="22"/>
        </w:rPr>
        <w:t>3.5.5.2 Core Constitutional Modules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Module</w:t>
            </w:r>
          </w:p>
        </w:tc>
        <w:tc>
          <w:tcPr>
            <w:tcW w:type="dxa" w:w="4819"/>
            <w:shd w:val="clear" w:fill="D9E2F3"/>
          </w:tcPr>
          <w:p>
            <w:pPr>
              <w:spacing w:after="20" w:before="20" w:line="240" w:lineRule="auto"/>
            </w:pPr>
            <w:r/>
            <w:r>
              <w:rPr>
                <w:rFonts w:ascii="Arial" w:hAnsi="Arial" w:cs="Arial"/>
                <w:b/>
                <w:i w:val="0"/>
                <w:sz w:val="18"/>
              </w:rPr>
              <w:t>Enforces</w:t>
            </w:r>
          </w:p>
        </w:tc>
      </w:tr>
      <w:tr>
        <w:tc>
          <w:tcPr>
            <w:tcW w:type="dxa" w:w="4819"/>
          </w:tcPr>
          <w:p>
            <w:pPr>
              <w:spacing w:after="20" w:before="20" w:line="240" w:lineRule="auto"/>
            </w:pPr>
            <w:r/>
            <w:r>
              <w:rPr>
                <w:rFonts w:ascii="Arial" w:hAnsi="Arial" w:cs="Arial"/>
                <w:b w:val="0"/>
                <w:i w:val="0"/>
                <w:sz w:val="17"/>
              </w:rPr>
              <w:t>constitutional_rules.wasm</w:t>
            </w:r>
          </w:p>
        </w:tc>
        <w:tc>
          <w:tcPr>
            <w:tcW w:type="dxa" w:w="4819"/>
          </w:tcPr>
          <w:p>
            <w:pPr>
              <w:spacing w:after="20" w:before="20" w:line="240" w:lineRule="auto"/>
            </w:pPr>
            <w:r/>
            <w:r>
              <w:rPr>
                <w:rFonts w:ascii="Arial" w:hAnsi="Arial" w:cs="Arial"/>
                <w:b w:val="0"/>
                <w:i w:val="0"/>
                <w:sz w:val="17"/>
              </w:rPr>
              <w:t>Fee bounds, A5 prohibition, multisig requirements</w:t>
            </w:r>
          </w:p>
        </w:tc>
      </w:tr>
      <w:tr>
        <w:tc>
          <w:tcPr>
            <w:tcW w:type="dxa" w:w="4819"/>
          </w:tcPr>
          <w:p>
            <w:pPr>
              <w:spacing w:after="20" w:before="20" w:line="240" w:lineRule="auto"/>
            </w:pPr>
            <w:r/>
            <w:r>
              <w:rPr>
                <w:rFonts w:ascii="Arial" w:hAnsi="Arial" w:cs="Arial"/>
                <w:b w:val="0"/>
                <w:i w:val="0"/>
                <w:sz w:val="17"/>
              </w:rPr>
              <w:t>jurisdiction_matrix.wasm</w:t>
            </w:r>
          </w:p>
        </w:tc>
        <w:tc>
          <w:tcPr>
            <w:tcW w:type="dxa" w:w="4819"/>
          </w:tcPr>
          <w:p>
            <w:pPr>
              <w:spacing w:after="20" w:before="20" w:line="240" w:lineRule="auto"/>
            </w:pPr>
            <w:r/>
            <w:r>
              <w:rPr>
                <w:rFonts w:ascii="Arial" w:hAnsi="Arial" w:cs="Arial"/>
                <w:b w:val="0"/>
                <w:i w:val="0"/>
                <w:sz w:val="17"/>
              </w:rPr>
              <w:t>Jurisdiction supremacy (updated by the RIA)</w:t>
            </w:r>
          </w:p>
        </w:tc>
      </w:tr>
      <w:tr>
        <w:tc>
          <w:tcPr>
            <w:tcW w:type="dxa" w:w="4819"/>
          </w:tcPr>
          <w:p>
            <w:pPr>
              <w:spacing w:after="20" w:before="20" w:line="240" w:lineRule="auto"/>
            </w:pPr>
            <w:r/>
            <w:r>
              <w:rPr>
                <w:rFonts w:ascii="Arial" w:hAnsi="Arial" w:cs="Arial"/>
                <w:b w:val="0"/>
                <w:i w:val="0"/>
                <w:sz w:val="17"/>
              </w:rPr>
              <w:t>incoterms_engine.wasm</w:t>
            </w:r>
          </w:p>
        </w:tc>
        <w:tc>
          <w:tcPr>
            <w:tcW w:type="dxa" w:w="4819"/>
          </w:tcPr>
          <w:p>
            <w:pPr>
              <w:spacing w:after="20" w:before="20" w:line="240" w:lineRule="auto"/>
            </w:pPr>
            <w:r/>
            <w:r>
              <w:rPr>
                <w:rFonts w:ascii="Arial" w:hAnsi="Arial" w:cs="Arial"/>
                <w:b w:val="0"/>
                <w:i w:val="0"/>
                <w:sz w:val="17"/>
              </w:rPr>
              <w:t>Incoterm validation</w:t>
            </w:r>
          </w:p>
        </w:tc>
      </w:tr>
      <w:tr>
        <w:tc>
          <w:tcPr>
            <w:tcW w:type="dxa" w:w="4819"/>
          </w:tcPr>
          <w:p>
            <w:pPr>
              <w:spacing w:after="20" w:before="20" w:line="240" w:lineRule="auto"/>
            </w:pPr>
            <w:r/>
            <w:r>
              <w:rPr>
                <w:rFonts w:ascii="Arial" w:hAnsi="Arial" w:cs="Arial"/>
                <w:b w:val="0"/>
                <w:i w:val="0"/>
                <w:sz w:val="17"/>
              </w:rPr>
              <w:t>fee_gate.wasm</w:t>
            </w:r>
          </w:p>
        </w:tc>
        <w:tc>
          <w:tcPr>
            <w:tcW w:type="dxa" w:w="4819"/>
          </w:tcPr>
          <w:p>
            <w:pPr>
              <w:spacing w:after="20" w:before="20" w:line="240" w:lineRule="auto"/>
            </w:pPr>
            <w:r/>
            <w:r>
              <w:rPr>
                <w:rFonts w:ascii="Arial" w:hAnsi="Arial" w:cs="Arial"/>
                <w:b w:val="0"/>
                <w:i w:val="0"/>
                <w:sz w:val="17"/>
              </w:rPr>
              <w:t>Fee gross-up and split instructions</w:t>
            </w:r>
          </w:p>
        </w:tc>
      </w:tr>
      <w:tr>
        <w:tc>
          <w:tcPr>
            <w:tcW w:type="dxa" w:w="4819"/>
          </w:tcPr>
          <w:p>
            <w:pPr>
              <w:spacing w:after="20" w:before="20" w:line="240" w:lineRule="auto"/>
            </w:pPr>
            <w:r/>
            <w:r>
              <w:rPr>
                <w:rFonts w:ascii="Arial" w:hAnsi="Arial" w:cs="Arial"/>
                <w:b w:val="0"/>
                <w:i w:val="0"/>
                <w:sz w:val="17"/>
              </w:rPr>
              <w:t>distressed_country_gate.wasm</w:t>
            </w:r>
          </w:p>
        </w:tc>
        <w:tc>
          <w:tcPr>
            <w:tcW w:type="dxa" w:w="4819"/>
          </w:tcPr>
          <w:p>
            <w:pPr>
              <w:spacing w:after="20" w:before="20" w:line="240" w:lineRule="auto"/>
            </w:pPr>
            <w:r/>
            <w:r>
              <w:rPr>
                <w:rFonts w:ascii="Arial" w:hAnsi="Arial" w:cs="Arial"/>
                <w:b w:val="0"/>
                <w:i w:val="0"/>
                <w:sz w:val="17"/>
              </w:rPr>
              <w:t>Distressed-cargo country factor</w:t>
            </w:r>
          </w:p>
        </w:tc>
      </w:tr>
      <w:tr>
        <w:tc>
          <w:tcPr>
            <w:tcW w:type="dxa" w:w="4819"/>
          </w:tcPr>
          <w:p>
            <w:pPr>
              <w:spacing w:after="20" w:before="20" w:line="240" w:lineRule="auto"/>
            </w:pPr>
            <w:r/>
            <w:r>
              <w:rPr>
                <w:rFonts w:ascii="Arial" w:hAnsi="Arial" w:cs="Arial"/>
                <w:b w:val="0"/>
                <w:i w:val="0"/>
                <w:sz w:val="17"/>
              </w:rPr>
              <w:t>dual_mode_gate.wasm</w:t>
            </w:r>
          </w:p>
        </w:tc>
        <w:tc>
          <w:tcPr>
            <w:tcW w:type="dxa" w:w="4819"/>
          </w:tcPr>
          <w:p>
            <w:pPr>
              <w:spacing w:after="20" w:before="20" w:line="240" w:lineRule="auto"/>
            </w:pPr>
            <w:r/>
            <w:r>
              <w:rPr>
                <w:rFonts w:ascii="Arial" w:hAnsi="Arial" w:cs="Arial"/>
                <w:b w:val="0"/>
                <w:i w:val="0"/>
                <w:sz w:val="17"/>
              </w:rPr>
              <w:t>Dual-mode context enforcement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3.5.5.3 Module Execution &amp; Sandboxing</w:t>
      </w:r>
    </w:p>
    <w:p>
      <w:pPr>
        <w:spacing w:after="80" w:line="293" w:lineRule="auto"/>
        <w:jc w:val="left"/>
      </w:pPr>
      <w:r>
        <w:rPr>
          <w:rFonts w:ascii="Times New Roman" w:hAnsi="Times New Roman" w:cs="Times New Roman"/>
          <w:b w:val="0"/>
          <w:i w:val="0"/>
          <w:sz w:val="22"/>
        </w:rPr>
        <w:t>Each WASM module:</w:t>
      </w:r>
    </w:p>
    <w:p>
      <w:pPr>
        <w:spacing w:after="80" w:line="293" w:lineRule="auto"/>
        <w:ind w:left="283"/>
        <w:jc w:val="left"/>
      </w:pPr>
      <w:r>
        <w:rPr>
          <w:rFonts w:ascii="Times New Roman" w:hAnsi="Times New Roman" w:cs="Times New Roman"/>
          <w:b w:val="0"/>
          <w:i w:val="0"/>
          <w:sz w:val="22"/>
        </w:rPr>
        <w:t>- Is compiled to WASI 0.2 (WebAssembly System Interface) — no filesystem, no network, no environment variables.</w:t>
      </w:r>
    </w:p>
    <w:p>
      <w:pPr>
        <w:spacing w:after="80" w:line="293" w:lineRule="auto"/>
        <w:ind w:left="283"/>
        <w:jc w:val="left"/>
      </w:pPr>
      <w:r>
        <w:rPr>
          <w:rFonts w:ascii="Times New Roman" w:hAnsi="Times New Roman" w:cs="Times New Roman"/>
          <w:b w:val="0"/>
          <w:i w:val="0"/>
          <w:sz w:val="22"/>
        </w:rPr>
        <w:t>- Receives input as a JSON-serialised struct.</w:t>
      </w:r>
    </w:p>
    <w:p>
      <w:pPr>
        <w:spacing w:after="80" w:line="293" w:lineRule="auto"/>
        <w:ind w:left="283"/>
        <w:jc w:val="left"/>
      </w:pPr>
      <w:r>
        <w:rPr>
          <w:rFonts w:ascii="Times New Roman" w:hAnsi="Times New Roman" w:cs="Times New Roman"/>
          <w:b w:val="0"/>
          <w:i w:val="0"/>
          <w:sz w:val="22"/>
        </w:rPr>
        <w:t>- Returns a verdict — ALLOW, DENY, or CONDITIONAL — with a machine-readable reason code.</w:t>
      </w:r>
    </w:p>
    <w:p>
      <w:pPr>
        <w:spacing w:after="80" w:line="293" w:lineRule="auto"/>
        <w:ind w:left="283"/>
        <w:jc w:val="left"/>
      </w:pPr>
      <w:r>
        <w:rPr>
          <w:rFonts w:ascii="Times New Roman" w:hAnsi="Times New Roman" w:cs="Times New Roman"/>
          <w:b w:val="0"/>
          <w:i w:val="0"/>
          <w:sz w:val="22"/>
        </w:rPr>
        <w:t>- Must complete execution within 50 ms (hard timeout); otherwise the Governor treats it as DENY and logs a constitutional violation.</w:t>
      </w:r>
    </w:p>
    <w:p>
      <w:pPr>
        <w:keepNext/>
        <w:spacing w:before="140" w:after="60"/>
        <w:outlineLvl w:val="3"/>
      </w:pPr>
      <w:r>
        <w:rPr>
          <w:rFonts w:ascii="Arial" w:hAnsi="Arial" w:cs="Arial"/>
          <w:b/>
          <w:i/>
          <w:color w:val="333333"/>
          <w:sz w:val="22"/>
        </w:rPr>
        <w:t>3.5.5.4 Hot Reloading &amp; Versioning</w:t>
      </w:r>
    </w:p>
    <w:p>
      <w:pPr>
        <w:spacing w:after="80" w:line="293" w:lineRule="auto"/>
        <w:jc w:val="left"/>
      </w:pPr>
      <w:r>
        <w:rPr>
          <w:rFonts w:ascii="Times New Roman" w:hAnsi="Times New Roman" w:cs="Times New Roman"/>
          <w:b w:val="0"/>
          <w:i w:val="0"/>
          <w:sz w:val="22"/>
        </w:rPr>
        <w:t>The Governor polls the well-known NATS subject `constitutional.modules.update` every 60 seconds. When a new module version is published (signed by multisig), the Governor downloads it, verifies the signature, and replaces the in-memory instance without restart. The previous module is retained for 7 days for rollback capability. A Loom event records every module change. If a module fails to load (for example a hash mismatch), the Governor continues using the last known good module and raises a P2 incident.</w:t>
      </w:r>
    </w:p>
    <w:p>
      <w:pPr>
        <w:keepNext/>
        <w:spacing w:before="140" w:after="60"/>
        <w:outlineLvl w:val="3"/>
      </w:pPr>
      <w:r>
        <w:rPr>
          <w:rFonts w:ascii="Arial" w:hAnsi="Arial" w:cs="Arial"/>
          <w:b/>
          <w:i/>
          <w:color w:val="333333"/>
          <w:sz w:val="22"/>
        </w:rPr>
        <w:t>3.5.5.5 Testing &amp; Verification</w:t>
      </w:r>
    </w:p>
    <w:p>
      <w:pPr>
        <w:spacing w:after="80" w:line="293" w:lineRule="auto"/>
        <w:jc w:val="left"/>
      </w:pPr>
      <w:r>
        <w:rPr>
          <w:rFonts w:ascii="Times New Roman" w:hAnsi="Times New Roman" w:cs="Times New Roman"/>
          <w:b w:val="0"/>
          <w:i w:val="0"/>
          <w:sz w:val="22"/>
        </w:rPr>
        <w:t>Every WASM module is unit-tested in CI using `wasmtime test`. Integration tests run the Governor with mock modules to simulate edge cases (for example jurisdiction block, incoterm mismatch). Weekly chaos tests randomly corrupt a module's hash; the system must fall back correctly to the last known good module.</w:t>
      </w:r>
    </w:p>
    <w:p>
      <w:pPr>
        <w:keepNext/>
        <w:spacing w:before="180" w:after="80"/>
        <w:outlineLvl w:val="2"/>
      </w:pPr>
      <w:r>
        <w:rPr>
          <w:rFonts w:ascii="Arial" w:hAnsi="Arial" w:cs="Arial"/>
          <w:b/>
          <w:i w:val="0"/>
          <w:color w:val="333333"/>
          <w:sz w:val="23"/>
        </w:rPr>
        <w:t>3.5.6 Loom — Deterministic Immutable Hash Chain</w:t>
      </w:r>
    </w:p>
    <w:p>
      <w:pPr>
        <w:spacing w:after="80" w:line="293" w:lineRule="auto"/>
        <w:jc w:val="left"/>
      </w:pPr>
      <w:r>
        <w:rPr>
          <w:rFonts w:ascii="Times New Roman" w:hAnsi="Times New Roman" w:cs="Times New Roman"/>
          <w:b w:val="0"/>
          <w:i w:val="0"/>
          <w:sz w:val="22"/>
        </w:rPr>
        <w:t>Loom is a purpose-built Rust library that creates a cryptographically linked log of every Governor decision. The chain is anchored at genesis — the hash of the compiled constitutional WASM modules. Every decision's `loom_hash` is:</w:t>
      </w:r>
    </w:p>
    <w:p>
      <w:pPr>
        <w:spacing w:after="0" w:before="0" w:line="240" w:lineRule="auto"/>
        <w:ind w:left="57"/>
        <w:jc w:val="left"/>
        <w:shd w:val="clear" w:fill="F2F2F2"/>
      </w:pPr>
      <w:r>
        <w:rPr>
          <w:rFonts w:ascii="Consolas" w:hAnsi="Consolas" w:cs="Consolas"/>
          <w:b w:val="0"/>
          <w:i w:val="0"/>
          <w:sz w:val="15"/>
        </w:rPr>
        <w:t>loom_hash = SHA256(previous_loom_hash || decision_json || cryptographic_signature)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Benefits:</w:t>
      </w:r>
    </w:p>
    <w:p>
      <w:pPr>
        <w:spacing w:after="80" w:line="293" w:lineRule="auto"/>
        <w:ind w:left="283"/>
        <w:jc w:val="left"/>
      </w:pPr>
      <w:r>
        <w:rPr>
          <w:rFonts w:ascii="Times New Roman" w:hAnsi="Times New Roman" w:cs="Times New Roman"/>
          <w:b w:val="0"/>
          <w:i w:val="0"/>
          <w:sz w:val="22"/>
        </w:rPr>
        <w:t>- Tamper-evident — any change to a past decision breaks the chain.</w:t>
      </w:r>
    </w:p>
    <w:p>
      <w:pPr>
        <w:spacing w:after="80" w:line="293" w:lineRule="auto"/>
        <w:ind w:left="283"/>
        <w:jc w:val="left"/>
      </w:pPr>
      <w:r>
        <w:rPr>
          <w:rFonts w:ascii="Times New Roman" w:hAnsi="Times New Roman" w:cs="Times New Roman"/>
          <w:b w:val="0"/>
          <w:i w:val="0"/>
          <w:sz w:val="22"/>
        </w:rPr>
        <w:t>- Verifiable — auditors can replay the chain from genesis.</w:t>
      </w:r>
    </w:p>
    <w:p>
      <w:pPr>
        <w:spacing w:after="80" w:line="293" w:lineRule="auto"/>
        <w:ind w:left="283"/>
        <w:jc w:val="left"/>
      </w:pPr>
      <w:r>
        <w:rPr>
          <w:rFonts w:ascii="Times New Roman" w:hAnsi="Times New Roman" w:cs="Times New Roman"/>
          <w:b w:val="0"/>
          <w:i w:val="0"/>
          <w:sz w:val="22"/>
        </w:rPr>
        <w:t>- Court-ready — the chain can be presented as evidence of the exact sequence of decisions.</w:t>
      </w:r>
    </w:p>
    <w:p>
      <w:pPr>
        <w:spacing w:after="80" w:line="293" w:lineRule="auto"/>
        <w:jc w:val="left"/>
      </w:pPr>
      <w:r>
        <w:rPr>
          <w:rFonts w:ascii="Times New Roman" w:hAnsi="Times New Roman" w:cs="Times New Roman"/>
          <w:b w:val="0"/>
          <w:i w:val="0"/>
          <w:sz w:val="22"/>
        </w:rPr>
        <w:t>Implementation in the Governor:</w:t>
      </w:r>
    </w:p>
    <w:p>
      <w:pPr>
        <w:spacing w:after="0" w:before="0" w:line="240" w:lineRule="auto"/>
        <w:ind w:left="57"/>
        <w:jc w:val="left"/>
        <w:shd w:val="clear" w:fill="F2F2F2"/>
      </w:pPr>
      <w:r>
        <w:rPr>
          <w:rFonts w:ascii="Consolas" w:hAnsi="Consolas" w:cs="Consolas"/>
          <w:b w:val="0"/>
          <w:i w:val="0"/>
          <w:sz w:val="15"/>
        </w:rPr>
        <w:t>let previous_hash = get_last_loom_hash().await;</w:t>
      </w:r>
    </w:p>
    <w:p>
      <w:pPr>
        <w:spacing w:after="0" w:before="0" w:line="240" w:lineRule="auto"/>
        <w:ind w:left="57"/>
        <w:jc w:val="left"/>
        <w:shd w:val="clear" w:fill="F2F2F2"/>
      </w:pPr>
      <w:r>
        <w:rPr>
          <w:rFonts w:ascii="Consolas" w:hAnsi="Consolas" w:cs="Consolas"/>
          <w:b w:val="0"/>
          <w:i w:val="0"/>
          <w:sz w:val="15"/>
        </w:rPr>
        <w:t>let decision_json = serde_json::to_string(&amp;decision).unwrap();</w:t>
      </w:r>
    </w:p>
    <w:p>
      <w:pPr>
        <w:spacing w:after="0" w:before="0" w:line="240" w:lineRule="auto"/>
        <w:ind w:left="57"/>
        <w:jc w:val="left"/>
        <w:shd w:val="clear" w:fill="F2F2F2"/>
      </w:pPr>
      <w:r>
        <w:rPr>
          <w:rFonts w:ascii="Consolas" w:hAnsi="Consolas" w:cs="Consolas"/>
          <w:b w:val="0"/>
          <w:i w:val="0"/>
          <w:sz w:val="15"/>
        </w:rPr>
        <w:t>let signature = sign_with_ed25519(&amp;decision_json);</w:t>
      </w:r>
    </w:p>
    <w:p>
      <w:pPr>
        <w:spacing w:after="0" w:before="0" w:line="240" w:lineRule="auto"/>
        <w:ind w:left="57"/>
        <w:jc w:val="left"/>
        <w:shd w:val="clear" w:fill="F2F2F2"/>
      </w:pPr>
      <w:r>
        <w:rPr>
          <w:rFonts w:ascii="Consolas" w:hAnsi="Consolas" w:cs="Consolas"/>
          <w:b w:val="0"/>
          <w:i w:val="0"/>
          <w:sz w:val="15"/>
        </w:rPr>
        <w:t>let loom_hash = sha256(format!("{}{}{}", previous_hash, decision_json, signature));</w:t>
      </w:r>
    </w:p>
    <w:p>
      <w:pPr>
        <w:spacing w:after="0" w:before="0" w:line="240" w:lineRule="auto"/>
        <w:ind w:left="57"/>
        <w:jc w:val="left"/>
        <w:shd w:val="clear" w:fill="F2F2F2"/>
      </w:pPr>
      <w:r>
        <w:rPr>
          <w:rFonts w:ascii="Consolas" w:hAnsi="Consolas" w:cs="Consolas"/>
          <w:b w:val="0"/>
          <w:i w:val="0"/>
          <w:sz w:val="15"/>
        </w:rPr>
        <w:t>store_decision(decision_id, decision_json, signature, loom_hash, previous_hash);</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Hourly chain verification. A background job (`audit-chain-verifier`) recalculates every hash from genesis and compares the result with the stored values. Any mismatch triggers a P0 incident and alerts the Platform Governance Authority.</w:t>
      </w:r>
    </w:p>
    <w:p>
      <w:pPr>
        <w:spacing w:after="80" w:line="293" w:lineRule="auto"/>
        <w:jc w:val="left"/>
      </w:pPr>
      <w:r>
        <w:rPr>
          <w:rFonts w:ascii="Times New Roman" w:hAnsi="Times New Roman" w:cs="Times New Roman"/>
          <w:b w:val="0"/>
          <w:i w:val="0"/>
          <w:sz w:val="22"/>
        </w:rPr>
        <w:t>User-facing verification. Any tenant — or an external auditor holding a verification token — can download the Loom chain for a specific USTN and verify it with the open-source `loom-verify` tool. The tool shows a green checkmark if the chain is intact, or a red warning if tampering is detected. The public verification endpoint is specified in Section 3.5.15.</w:t>
      </w:r>
    </w:p>
    <w:p>
      <w:pPr>
        <w:keepNext/>
        <w:spacing w:before="180" w:after="80"/>
        <w:outlineLvl w:val="2"/>
      </w:pPr>
      <w:r>
        <w:rPr>
          <w:rFonts w:ascii="Arial" w:hAnsi="Arial" w:cs="Arial"/>
          <w:b/>
          <w:i w:val="0"/>
          <w:color w:val="333333"/>
          <w:sz w:val="23"/>
        </w:rPr>
        <w:t>3.5.7 Jurisdiction Supremacy &amp; RIA Integration</w:t>
      </w:r>
    </w:p>
    <w:p>
      <w:pPr>
        <w:spacing w:after="80" w:line="293" w:lineRule="auto"/>
        <w:jc w:val="left"/>
      </w:pPr>
      <w:r>
        <w:rPr>
          <w:rFonts w:ascii="Times New Roman" w:hAnsi="Times New Roman" w:cs="Times New Roman"/>
          <w:b w:val="0"/>
          <w:i w:val="0"/>
          <w:sz w:val="22"/>
        </w:rPr>
        <w:t>SGTX always applies the strictest rule among:</w:t>
      </w:r>
    </w:p>
    <w:p>
      <w:pPr>
        <w:spacing w:after="80" w:line="293" w:lineRule="auto"/>
        <w:ind w:left="283"/>
        <w:jc w:val="left"/>
      </w:pPr>
      <w:r>
        <w:rPr>
          <w:rFonts w:ascii="Times New Roman" w:hAnsi="Times New Roman" w:cs="Times New Roman"/>
          <w:b w:val="0"/>
          <w:i w:val="0"/>
          <w:sz w:val="22"/>
        </w:rPr>
        <w:t>- Buyer country</w:t>
      </w:r>
    </w:p>
    <w:p>
      <w:pPr>
        <w:spacing w:after="80" w:line="293" w:lineRule="auto"/>
        <w:ind w:left="283"/>
        <w:jc w:val="left"/>
      </w:pPr>
      <w:r>
        <w:rPr>
          <w:rFonts w:ascii="Times New Roman" w:hAnsi="Times New Roman" w:cs="Times New Roman"/>
          <w:b w:val="0"/>
          <w:i w:val="0"/>
          <w:sz w:val="22"/>
        </w:rPr>
        <w:t>- Seller country</w:t>
      </w:r>
    </w:p>
    <w:p>
      <w:pPr>
        <w:spacing w:after="80" w:line="293" w:lineRule="auto"/>
        <w:ind w:left="283"/>
        <w:jc w:val="left"/>
      </w:pPr>
      <w:r>
        <w:rPr>
          <w:rFonts w:ascii="Times New Roman" w:hAnsi="Times New Roman" w:cs="Times New Roman"/>
          <w:b w:val="0"/>
          <w:i w:val="0"/>
          <w:sz w:val="22"/>
        </w:rPr>
        <w:t>- Logistics execution country</w:t>
      </w:r>
    </w:p>
    <w:p>
      <w:pPr>
        <w:spacing w:after="80" w:line="293" w:lineRule="auto"/>
        <w:ind w:left="283"/>
        <w:jc w:val="left"/>
      </w:pPr>
      <w:r>
        <w:rPr>
          <w:rFonts w:ascii="Times New Roman" w:hAnsi="Times New Roman" w:cs="Times New Roman"/>
          <w:b w:val="0"/>
          <w:i w:val="0"/>
          <w:sz w:val="22"/>
        </w:rPr>
        <w:t>- Financier country</w:t>
      </w:r>
    </w:p>
    <w:p>
      <w:pPr>
        <w:spacing w:after="80" w:line="293" w:lineRule="auto"/>
        <w:ind w:left="283"/>
        <w:jc w:val="left"/>
      </w:pPr>
      <w:r>
        <w:rPr>
          <w:rFonts w:ascii="Times New Roman" w:hAnsi="Times New Roman" w:cs="Times New Roman"/>
          <w:b w:val="0"/>
          <w:i w:val="0"/>
          <w:sz w:val="22"/>
        </w:rPr>
        <w:t>- Governing law</w:t>
      </w:r>
    </w:p>
    <w:p>
      <w:pPr>
        <w:spacing w:after="80" w:line="293" w:lineRule="auto"/>
        <w:jc w:val="left"/>
      </w:pPr>
      <w:r>
        <w:rPr>
          <w:rFonts w:ascii="Times New Roman" w:hAnsi="Times New Roman" w:cs="Times New Roman"/>
          <w:b w:val="0"/>
          <w:i w:val="0"/>
          <w:sz w:val="22"/>
        </w:rPr>
        <w:t>The Regulatory Intelligence Agent (RIA) integrates regulatory, sanctions, and trade sources across the five-tier source model (Section 6.3.13): Tier 1 authoritative/official APIs, Tier 2 official published sources, Tier 3 licensed data providers, Tier 4 human-verified sources, and Tier 5 secondary intelligence. RIA uses polling, APIs, feeds, files, web extraction, or human verification depending on each source's class, and every retrieval records the access method actually used (Section 6.3.13). RIA updates the jurisdictions table and compiles jurisdiction matrix modules that the Governor loads without restart. Jurisdiction tiers are dynamically maintained by RIA: the tier determines whether trades involving a jurisdiction are autoblocked, restricted with enhanced due diligence, or allowed under standard screening. A source is never represented as free, public, scrapeable, or real-time unless that is verified fact for that source; the platform claims no fixed universal scraping cadence.</w:t>
      </w:r>
    </w:p>
    <w:p>
      <w:pPr>
        <w:spacing w:after="80" w:line="293" w:lineRule="auto"/>
        <w:jc w:val="left"/>
      </w:pPr>
      <w:r>
        <w:rPr>
          <w:rFonts w:ascii="Times New Roman" w:hAnsi="Times New Roman" w:cs="Times New Roman"/>
          <w:b w:val="0"/>
          <w:i w:val="0"/>
          <w:sz w:val="22"/>
        </w:rPr>
        <w:t>Example — jurisdiction check in the Governor (pseudocode):</w:t>
      </w:r>
    </w:p>
    <w:p>
      <w:pPr>
        <w:spacing w:after="0" w:before="0" w:line="240" w:lineRule="auto"/>
        <w:ind w:left="57"/>
        <w:jc w:val="left"/>
        <w:shd w:val="clear" w:fill="F2F2F2"/>
      </w:pPr>
      <w:r>
        <w:rPr>
          <w:rFonts w:ascii="Consolas" w:hAnsi="Consolas" w:cs="Consolas"/>
          <w:b w:val="0"/>
          <w:i w:val="0"/>
          <w:sz w:val="15"/>
        </w:rPr>
        <w:t>let buyer = get_tenant_country(decision.buyer_gtid);</w:t>
      </w:r>
    </w:p>
    <w:p>
      <w:pPr>
        <w:spacing w:after="0" w:before="0" w:line="240" w:lineRule="auto"/>
        <w:ind w:left="57"/>
        <w:jc w:val="left"/>
        <w:shd w:val="clear" w:fill="F2F2F2"/>
      </w:pPr>
      <w:r>
        <w:rPr>
          <w:rFonts w:ascii="Consolas" w:hAnsi="Consolas" w:cs="Consolas"/>
          <w:b w:val="0"/>
          <w:i w:val="0"/>
          <w:sz w:val="15"/>
        </w:rPr>
        <w:t>let seller = get_tenant_country(decision.seller_gtid);</w:t>
      </w:r>
    </w:p>
    <w:p>
      <w:pPr>
        <w:spacing w:after="0" w:before="0" w:line="240" w:lineRule="auto"/>
        <w:ind w:left="57"/>
        <w:jc w:val="left"/>
        <w:shd w:val="clear" w:fill="F2F2F2"/>
      </w:pPr>
      <w:r>
        <w:rPr>
          <w:rFonts w:ascii="Consolas" w:hAnsi="Consolas" w:cs="Consolas"/>
          <w:b w:val="0"/>
          <w:i w:val="0"/>
          <w:sz w:val="15"/>
        </w:rPr>
        <w:t>let verdict = jurisdiction_module.check(buyer, seller);</w:t>
      </w:r>
    </w:p>
    <w:p>
      <w:pPr>
        <w:spacing w:after="0" w:before="0" w:line="240" w:lineRule="auto"/>
        <w:ind w:left="57"/>
        <w:jc w:val="left"/>
        <w:shd w:val="clear" w:fill="F2F2F2"/>
      </w:pPr>
      <w:r>
        <w:rPr>
          <w:rFonts w:ascii="Consolas" w:hAnsi="Consolas" w:cs="Consolas"/>
          <w:b w:val="0"/>
          <w:i w:val="0"/>
          <w:sz w:val="15"/>
        </w:rPr>
        <w:t>if verdict == "DENY" {</w:t>
      </w:r>
    </w:p>
    <w:p>
      <w:pPr>
        <w:spacing w:after="0" w:before="0" w:line="240" w:lineRule="auto"/>
        <w:ind w:left="57"/>
        <w:jc w:val="left"/>
        <w:shd w:val="clear" w:fill="F2F2F2"/>
      </w:pPr>
      <w:r>
        <w:rPr>
          <w:rFonts w:ascii="Consolas" w:hAnsi="Consolas" w:cs="Consolas"/>
          <w:b w:val="0"/>
          <w:i w:val="0"/>
          <w:sz w:val="15"/>
        </w:rPr>
        <w:t xml:space="preserve">    return GovernorVerdict::Deny {</w:t>
      </w:r>
    </w:p>
    <w:p>
      <w:pPr>
        <w:spacing w:after="0" w:before="0" w:line="240" w:lineRule="auto"/>
        <w:ind w:left="57"/>
        <w:jc w:val="left"/>
        <w:shd w:val="clear" w:fill="F2F2F2"/>
      </w:pPr>
      <w:r>
        <w:rPr>
          <w:rFonts w:ascii="Consolas" w:hAnsi="Consolas" w:cs="Consolas"/>
          <w:b w:val="0"/>
          <w:i w:val="0"/>
          <w:sz w:val="15"/>
        </w:rPr>
        <w:t xml:space="preserve">        reason: "Sanctioned jurisdiction — trade cannot proceed.",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RIA-driven UI assistance: when a user selects a country in a form, the system autocompletes from the list of allowed countries, filtered by the current jurisdiction matrix. If the country is restricted, an inline warning appears: "This jurisdiction is currently Restricted. Enhanced due diligence required." The platform never suggests trading with a different country.</w:t>
      </w:r>
    </w:p>
    <w:p>
      <w:pPr>
        <w:keepNext/>
        <w:spacing w:before="180" w:after="80"/>
        <w:outlineLvl w:val="2"/>
      </w:pPr>
      <w:r>
        <w:rPr>
          <w:rFonts w:ascii="Arial" w:hAnsi="Arial" w:cs="Arial"/>
          <w:b/>
          <w:i w:val="0"/>
          <w:color w:val="333333"/>
          <w:sz w:val="23"/>
        </w:rPr>
        <w:t>3.5.8 Tenant Message Generation &amp; the Governor Decision Panel</w:t>
      </w:r>
    </w:p>
    <w:p>
      <w:pPr>
        <w:spacing w:after="80" w:line="293" w:lineRule="auto"/>
        <w:jc w:val="left"/>
      </w:pPr>
      <w:r>
        <w:rPr>
          <w:rFonts w:ascii="Times New Roman" w:hAnsi="Times New Roman" w:cs="Times New Roman"/>
          <w:b w:val="0"/>
          <w:i w:val="0"/>
          <w:sz w:val="22"/>
        </w:rPr>
        <w:t>Whenever the Governor returns a verdict of DENY or CONDITIONAL, it generates a `tenant_message` JSONB field. The message is rendered by the PlainLanguage Governor Decision Panel (UI component) and never exposes OPA rule IDs, WasmEdge error codes, or Loom hashes to the tenant.</w:t>
      </w:r>
    </w:p>
    <w:p>
      <w:pPr>
        <w:spacing w:after="80" w:line="293" w:lineRule="auto"/>
        <w:jc w:val="left"/>
      </w:pPr>
      <w:r>
        <w:rPr>
          <w:rFonts w:ascii="Times New Roman" w:hAnsi="Times New Roman" w:cs="Times New Roman"/>
          <w:b w:val="0"/>
          <w:i w:val="0"/>
          <w:sz w:val="22"/>
        </w:rPr>
        <w:t>Generation process:</w:t>
      </w:r>
    </w:p>
    <w:p>
      <w:pPr>
        <w:spacing w:after="80" w:line="293" w:lineRule="auto"/>
        <w:jc w:val="left"/>
      </w:pPr>
      <w:r>
        <w:rPr>
          <w:rFonts w:ascii="Times New Roman" w:hAnsi="Times New Roman" w:cs="Times New Roman"/>
          <w:b w:val="0"/>
          <w:i w:val="0"/>
          <w:sz w:val="22"/>
        </w:rPr>
        <w:t>1. The Governor collects the action attempted, the actor GTID, the verdict, the conditions (from OPA and WasmEdge), and optional AI confidence. 2. It calls the AI Orchestrator (A1; Groq primary, Ollama fallback) with a generation prompt. 3. It receives the structured JSON and stores it in `governor_decisions.tenant_message`. 4. If AI fails (both Groq and Ollama), it uses a static template.</w:t>
      </w:r>
    </w:p>
    <w:p>
      <w:pPr>
        <w:spacing w:after="80" w:line="293" w:lineRule="auto"/>
        <w:jc w:val="left"/>
      </w:pPr>
      <w:r>
        <w:rPr>
          <w:rFonts w:ascii="Times New Roman" w:hAnsi="Times New Roman" w:cs="Times New Roman"/>
          <w:b w:val="0"/>
          <w:i w:val="0"/>
          <w:sz w:val="22"/>
        </w:rPr>
        <w:t>Example decision panel content — contract signing blocked:</w:t>
      </w:r>
    </w:p>
    <w:p>
      <w:pPr>
        <w:spacing w:after="0" w:before="0" w:line="240" w:lineRule="auto"/>
        <w:ind w:left="57"/>
        <w:jc w:val="left"/>
        <w:shd w:val="clear" w:fill="F2F2F2"/>
      </w:pPr>
      <w:r>
        <w:rPr>
          <w:rFonts w:ascii="Consolas" w:hAnsi="Consolas" w:cs="Consolas"/>
          <w:b w:val="0"/>
          <w:i w:val="0"/>
          <w:sz w:val="15"/>
        </w:rPr>
        <w:t>Action Blocked: Contract Signing</w:t>
      </w:r>
    </w:p>
    <w:p>
      <w:pPr>
        <w:spacing w:after="0" w:before="0" w:line="240" w:lineRule="auto"/>
        <w:ind w:left="57"/>
        <w:jc w:val="left"/>
        <w:shd w:val="clear" w:fill="F2F2F2"/>
      </w:pPr>
      <w:r>
        <w:rPr>
          <w:rFonts w:ascii="Consolas" w:hAnsi="Consolas" w:cs="Consolas"/>
          <w:b w:val="0"/>
          <w:i w:val="0"/>
          <w:sz w:val="15"/>
        </w:rPr>
        <w:t>USTN: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Why this happened:</w:t>
      </w:r>
    </w:p>
    <w:p>
      <w:pPr>
        <w:spacing w:after="0" w:before="0" w:line="240" w:lineRule="auto"/>
        <w:ind w:left="57"/>
        <w:jc w:val="left"/>
        <w:shd w:val="clear" w:fill="F2F2F2"/>
      </w:pPr>
      <w:r>
        <w:rPr>
          <w:rFonts w:ascii="Consolas" w:hAnsi="Consolas" w:cs="Consolas"/>
          <w:b w:val="0"/>
          <w:i w:val="0"/>
          <w:sz w:val="15"/>
        </w:rPr>
        <w:t xml:space="preserve">  Your contract lock is on hold because the seller's jurisdiction</w:t>
      </w:r>
    </w:p>
    <w:p>
      <w:pPr>
        <w:spacing w:after="0" w:before="0" w:line="240" w:lineRule="auto"/>
        <w:ind w:left="57"/>
        <w:jc w:val="left"/>
        <w:shd w:val="clear" w:fill="F2F2F2"/>
      </w:pPr>
      <w:r>
        <w:rPr>
          <w:rFonts w:ascii="Consolas" w:hAnsi="Consolas" w:cs="Consolas"/>
          <w:b w:val="0"/>
          <w:i w:val="0"/>
          <w:sz w:val="15"/>
        </w:rPr>
        <w:t xml:space="preserve">  requires enhanced KYC. Our compliance system paused the process</w:t>
      </w:r>
    </w:p>
    <w:p>
      <w:pPr>
        <w:spacing w:after="0" w:before="0" w:line="240" w:lineRule="auto"/>
        <w:ind w:left="57"/>
        <w:jc w:val="left"/>
        <w:shd w:val="clear" w:fill="F2F2F2"/>
      </w:pPr>
      <w:r>
        <w:rPr>
          <w:rFonts w:ascii="Consolas" w:hAnsi="Consolas" w:cs="Consolas"/>
          <w:b w:val="0"/>
          <w:i w:val="0"/>
          <w:sz w:val="15"/>
        </w:rPr>
        <w:t xml:space="preserve">  to protect both parties from regulatory risk.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What's needed:</w:t>
      </w:r>
    </w:p>
    <w:p>
      <w:pPr>
        <w:spacing w:after="0" w:before="0" w:line="240" w:lineRule="auto"/>
        <w:ind w:left="57"/>
        <w:jc w:val="left"/>
        <w:shd w:val="clear" w:fill="F2F2F2"/>
      </w:pPr>
      <w:r>
        <w:rPr>
          <w:rFonts w:ascii="Consolas" w:hAnsi="Consolas" w:cs="Consolas"/>
          <w:b w:val="0"/>
          <w:i w:val="0"/>
          <w:sz w:val="15"/>
        </w:rPr>
        <w:t xml:space="preserve">  1. Seller KYB Tier 2 verification         [Upload Now]</w:t>
      </w:r>
    </w:p>
    <w:p>
      <w:pPr>
        <w:spacing w:after="0" w:before="0" w:line="240" w:lineRule="auto"/>
        <w:ind w:left="57"/>
        <w:jc w:val="left"/>
        <w:shd w:val="clear" w:fill="F2F2F2"/>
      </w:pPr>
      <w:r>
        <w:rPr>
          <w:rFonts w:ascii="Consolas" w:hAnsi="Consolas" w:cs="Consolas"/>
          <w:b w:val="0"/>
          <w:i w:val="0"/>
          <w:sz w:val="15"/>
        </w:rPr>
        <w:t xml:space="preserve">  2. Certificate of Origin from Vietnam     [Request from Seller]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 happens next:</w:t>
      </w:r>
    </w:p>
    <w:p>
      <w:pPr>
        <w:spacing w:after="0" w:before="0" w:line="240" w:lineRule="auto"/>
        <w:ind w:left="57"/>
        <w:jc w:val="left"/>
        <w:shd w:val="clear" w:fill="F2F2F2"/>
      </w:pPr>
      <w:r>
        <w:rPr>
          <w:rFonts w:ascii="Consolas" w:hAnsi="Consolas" w:cs="Consolas"/>
          <w:b w:val="0"/>
          <w:i w:val="0"/>
          <w:sz w:val="15"/>
        </w:rPr>
        <w:t xml:space="preserve">  Once these documents are verified (usually within 2 hours),</w:t>
      </w:r>
    </w:p>
    <w:p>
      <w:pPr>
        <w:spacing w:after="0" w:before="0" w:line="240" w:lineRule="auto"/>
        <w:ind w:left="57"/>
        <w:jc w:val="left"/>
        <w:shd w:val="clear" w:fill="F2F2F2"/>
      </w:pPr>
      <w:r>
        <w:rPr>
          <w:rFonts w:ascii="Consolas" w:hAnsi="Consolas" w:cs="Consolas"/>
          <w:b w:val="0"/>
          <w:i w:val="0"/>
          <w:sz w:val="15"/>
        </w:rPr>
        <w:t xml:space="preserve">  your contract will automatically proceed.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If you believe this is incorrect:</w:t>
      </w:r>
    </w:p>
    <w:p>
      <w:pPr>
        <w:spacing w:after="0" w:before="0" w:line="240" w:lineRule="auto"/>
        <w:ind w:left="57"/>
        <w:jc w:val="left"/>
        <w:shd w:val="clear" w:fill="F2F2F2"/>
      </w:pPr>
      <w:r>
        <w:rPr>
          <w:rFonts w:ascii="Consolas" w:hAnsi="Consolas" w:cs="Consolas"/>
          <w:b w:val="0"/>
          <w:i w:val="0"/>
          <w:sz w:val="15"/>
        </w:rPr>
        <w:t xml:space="preserve">  [Request Human Review]</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constraint: the tenant message never says "You should find a different seller" or "Try broker X". It only instructs the user to resolve the specific condition with the existing counterparty.</w:t>
      </w:r>
    </w:p>
    <w:p>
      <w:pPr>
        <w:keepNext/>
        <w:spacing w:before="180" w:after="80"/>
        <w:outlineLvl w:val="2"/>
      </w:pPr>
      <w:r>
        <w:rPr>
          <w:rFonts w:ascii="Arial" w:hAnsi="Arial" w:cs="Arial"/>
          <w:b/>
          <w:i w:val="0"/>
          <w:color w:val="333333"/>
          <w:sz w:val="23"/>
        </w:rPr>
        <w:t>3.5.9 Multisig Governance</w:t>
      </w:r>
    </w:p>
    <w:p>
      <w:pPr>
        <w:spacing w:after="80" w:line="293" w:lineRule="auto"/>
        <w:jc w:val="left"/>
      </w:pPr>
      <w:r>
        <w:rPr>
          <w:rFonts w:ascii="Times New Roman" w:hAnsi="Times New Roman" w:cs="Times New Roman"/>
          <w:b w:val="0"/>
          <w:i w:val="0"/>
          <w:sz w:val="22"/>
        </w:rPr>
        <w:t>Multisignature approval is required wherever an action is irreversible: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Action Class</w:t>
            </w:r>
          </w:p>
        </w:tc>
        <w:tc>
          <w:tcPr>
            <w:tcW w:type="dxa" w:w="4819"/>
            <w:shd w:val="clear" w:fill="D9E2F3"/>
          </w:tcPr>
          <w:p>
            <w:pPr>
              <w:spacing w:after="20" w:before="20" w:line="240" w:lineRule="auto"/>
            </w:pPr>
            <w:r/>
            <w:r>
              <w:rPr>
                <w:rFonts w:ascii="Arial" w:hAnsi="Arial" w:cs="Arial"/>
                <w:b/>
                <w:i w:val="0"/>
                <w:sz w:val="18"/>
              </w:rPr>
              <w:t>Multisig Requirement</w:t>
            </w:r>
          </w:p>
        </w:tc>
      </w:tr>
      <w:tr>
        <w:tc>
          <w:tcPr>
            <w:tcW w:type="dxa" w:w="4819"/>
          </w:tcPr>
          <w:p>
            <w:pPr>
              <w:spacing w:after="20" w:before="20" w:line="240" w:lineRule="auto"/>
            </w:pPr>
            <w:r/>
            <w:r>
              <w:rPr>
                <w:rFonts w:ascii="Arial" w:hAnsi="Arial" w:cs="Arial"/>
                <w:b w:val="0"/>
                <w:i w:val="0"/>
                <w:sz w:val="17"/>
              </w:rPr>
              <w:t>Standard irreversible actions</w:t>
            </w:r>
          </w:p>
        </w:tc>
        <w:tc>
          <w:tcPr>
            <w:tcW w:type="dxa" w:w="4819"/>
          </w:tcPr>
          <w:p>
            <w:pPr>
              <w:spacing w:after="20" w:before="20" w:line="240" w:lineRule="auto"/>
            </w:pPr>
            <w:r/>
            <w:r>
              <w:rPr>
                <w:rFonts w:ascii="Arial" w:hAnsi="Arial" w:cs="Arial"/>
                <w:b w:val="0"/>
                <w:i w:val="0"/>
                <w:sz w:val="17"/>
              </w:rPr>
              <w:t>2-of-3</w:t>
            </w:r>
          </w:p>
        </w:tc>
      </w:tr>
      <w:tr>
        <w:tc>
          <w:tcPr>
            <w:tcW w:type="dxa" w:w="4819"/>
          </w:tcPr>
          <w:p>
            <w:pPr>
              <w:spacing w:after="20" w:before="20" w:line="240" w:lineRule="auto"/>
            </w:pPr>
            <w:r/>
            <w:r>
              <w:rPr>
                <w:rFonts w:ascii="Arial" w:hAnsi="Arial" w:cs="Arial"/>
                <w:b w:val="0"/>
                <w:i w:val="0"/>
                <w:sz w:val="17"/>
              </w:rPr>
              <w:t>Constitutional (Layer 0) amendments</w:t>
            </w:r>
          </w:p>
        </w:tc>
        <w:tc>
          <w:tcPr>
            <w:tcW w:type="dxa" w:w="4819"/>
          </w:tcPr>
          <w:p>
            <w:pPr>
              <w:spacing w:after="20" w:before="20" w:line="240" w:lineRule="auto"/>
            </w:pPr>
            <w:r/>
            <w:r>
              <w:rPr>
                <w:rFonts w:ascii="Arial" w:hAnsi="Arial" w:cs="Arial"/>
                <w:b w:val="0"/>
                <w:i w:val="0"/>
                <w:sz w:val="17"/>
              </w:rPr>
              <w:t>3-of-5</w:t>
            </w:r>
          </w:p>
        </w:tc>
      </w:tr>
      <w:tr>
        <w:tc>
          <w:tcPr>
            <w:tcW w:type="dxa" w:w="4819"/>
          </w:tcPr>
          <w:p>
            <w:pPr>
              <w:spacing w:after="20" w:before="20" w:line="240" w:lineRule="auto"/>
            </w:pPr>
            <w:r/>
            <w:r>
              <w:rPr>
                <w:rFonts w:ascii="Arial" w:hAnsi="Arial" w:cs="Arial"/>
                <w:b w:val="0"/>
                <w:i w:val="0"/>
                <w:sz w:val="17"/>
              </w:rPr>
              <w:t>Override of a BLOCKED compliance screening verdict</w:t>
            </w:r>
          </w:p>
        </w:tc>
        <w:tc>
          <w:tcPr>
            <w:tcW w:type="dxa" w:w="4819"/>
          </w:tcPr>
          <w:p>
            <w:pPr>
              <w:spacing w:after="20" w:before="20" w:line="240" w:lineRule="auto"/>
            </w:pPr>
            <w:r/>
            <w:r>
              <w:rPr>
                <w:rFonts w:ascii="Arial" w:hAnsi="Arial" w:cs="Arial"/>
                <w:b w:val="0"/>
                <w:i w:val="0"/>
                <w:sz w:val="17"/>
              </w:rPr>
              <w:t>3-of-5</w:t>
            </w:r>
          </w:p>
        </w:tc>
      </w:tr>
      <w:tr>
        <w:tc>
          <w:tcPr>
            <w:tcW w:type="dxa" w:w="4819"/>
          </w:tcPr>
          <w:p>
            <w:pPr>
              <w:spacing w:after="20" w:before="20" w:line="240" w:lineRule="auto"/>
            </w:pPr>
            <w:r/>
            <w:r>
              <w:rPr>
                <w:rFonts w:ascii="Arial" w:hAnsi="Arial" w:cs="Arial"/>
                <w:b w:val="0"/>
                <w:i w:val="0"/>
                <w:sz w:val="17"/>
              </w:rPr>
              <w:t>Override of an EDD (Enhanced Due Diligence) screening verdict</w:t>
            </w:r>
          </w:p>
        </w:tc>
        <w:tc>
          <w:tcPr>
            <w:tcW w:type="dxa" w:w="4819"/>
          </w:tcPr>
          <w:p>
            <w:pPr>
              <w:spacing w:after="20" w:before="20" w:line="240" w:lineRule="auto"/>
            </w:pPr>
            <w:r/>
            <w:r>
              <w:rPr>
                <w:rFonts w:ascii="Arial" w:hAnsi="Arial" w:cs="Arial"/>
                <w:b w:val="0"/>
                <w:i w:val="0"/>
                <w:sz w:val="17"/>
              </w:rPr>
              <w:t>1-of-3</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multisig approval is collected with Qualified Electronic Signature where the action carries legal effect, is Governor-governed, and is recorded in Loom. Compliance overrides store their reason immutably and are flagged for quarterly audit. Amendment requests follow the process specified in Section 3.6.</w:t>
      </w:r>
    </w:p>
    <w:p>
      <w:pPr>
        <w:keepNext/>
        <w:spacing w:before="180" w:after="80"/>
        <w:outlineLvl w:val="2"/>
      </w:pPr>
      <w:r>
        <w:rPr>
          <w:rFonts w:ascii="Arial" w:hAnsi="Arial" w:cs="Arial"/>
          <w:b/>
          <w:i w:val="0"/>
          <w:color w:val="333333"/>
          <w:sz w:val="23"/>
        </w:rPr>
        <w:t>3.5.10 Cryptographic Signing &amp; Qualified Electronic Signature (QES)</w:t>
      </w:r>
    </w:p>
    <w:p>
      <w:pPr>
        <w:keepNext/>
        <w:spacing w:before="140" w:after="60"/>
        <w:outlineLvl w:val="3"/>
      </w:pPr>
      <w:r>
        <w:rPr>
          <w:rFonts w:ascii="Arial" w:hAnsi="Arial" w:cs="Arial"/>
          <w:b/>
          <w:i/>
          <w:color w:val="333333"/>
          <w:sz w:val="22"/>
        </w:rPr>
        <w:t>3.5.10.1 Signature Types Hierarchy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Signature Class</w:t>
            </w:r>
          </w:p>
        </w:tc>
        <w:tc>
          <w:tcPr>
            <w:tcW w:type="dxa" w:w="3213"/>
            <w:shd w:val="clear" w:fill="D9E2F3"/>
          </w:tcPr>
          <w:p>
            <w:pPr>
              <w:spacing w:after="20" w:before="20" w:line="240" w:lineRule="auto"/>
            </w:pPr>
            <w:r/>
            <w:r>
              <w:rPr>
                <w:rFonts w:ascii="Arial" w:hAnsi="Arial" w:cs="Arial"/>
                <w:b/>
                <w:i w:val="0"/>
                <w:sz w:val="18"/>
              </w:rPr>
              <w:t>Technology</w:t>
            </w:r>
          </w:p>
        </w:tc>
        <w:tc>
          <w:tcPr>
            <w:tcW w:type="dxa" w:w="3213"/>
            <w:shd w:val="clear" w:fill="D9E2F3"/>
          </w:tcPr>
          <w:p>
            <w:pPr>
              <w:spacing w:after="20" w:before="20" w:line="240" w:lineRule="auto"/>
            </w:pPr>
            <w:r/>
            <w:r>
              <w:rPr>
                <w:rFonts w:ascii="Arial" w:hAnsi="Arial" w:cs="Arial"/>
                <w:b/>
                <w:i w:val="0"/>
                <w:sz w:val="18"/>
              </w:rPr>
              <w:t>Applied To</w:t>
            </w:r>
          </w:p>
        </w:tc>
      </w:tr>
      <w:tr>
        <w:tc>
          <w:tcPr>
            <w:tcW w:type="dxa" w:w="3213"/>
          </w:tcPr>
          <w:p>
            <w:pPr>
              <w:spacing w:after="20" w:before="20" w:line="240" w:lineRule="auto"/>
            </w:pPr>
            <w:r/>
            <w:r>
              <w:rPr>
                <w:rFonts w:ascii="Arial" w:hAnsi="Arial" w:cs="Arial"/>
                <w:b w:val="0"/>
                <w:i w:val="0"/>
                <w:sz w:val="17"/>
              </w:rPr>
              <w:t>Platform decision signature</w:t>
            </w:r>
          </w:p>
        </w:tc>
        <w:tc>
          <w:tcPr>
            <w:tcW w:type="dxa" w:w="3213"/>
          </w:tcPr>
          <w:p>
            <w:pPr>
              <w:spacing w:after="20" w:before="20" w:line="240" w:lineRule="auto"/>
            </w:pPr>
            <w:r/>
            <w:r>
              <w:rPr>
                <w:rFonts w:ascii="Arial" w:hAnsi="Arial" w:cs="Arial"/>
                <w:b w:val="0"/>
                <w:i w:val="0"/>
                <w:sz w:val="17"/>
              </w:rPr>
              <w:t>Ed25519 (platform key held in SoftHSMv2, a software Hardware Security Module)</w:t>
            </w:r>
          </w:p>
        </w:tc>
        <w:tc>
          <w:tcPr>
            <w:tcW w:type="dxa" w:w="3213"/>
          </w:tcPr>
          <w:p>
            <w:pPr>
              <w:spacing w:after="20" w:before="20" w:line="240" w:lineRule="auto"/>
            </w:pPr>
            <w:r/>
            <w:r>
              <w:rPr>
                <w:rFonts w:ascii="Arial" w:hAnsi="Arial" w:cs="Arial"/>
                <w:b w:val="0"/>
                <w:i w:val="0"/>
                <w:sz w:val="17"/>
              </w:rPr>
              <w:t>Every Governor decision</w:t>
            </w:r>
          </w:p>
        </w:tc>
      </w:tr>
      <w:tr>
        <w:tc>
          <w:tcPr>
            <w:tcW w:type="dxa" w:w="3213"/>
          </w:tcPr>
          <w:p>
            <w:pPr>
              <w:spacing w:after="20" w:before="20" w:line="240" w:lineRule="auto"/>
            </w:pPr>
            <w:r/>
            <w:r>
              <w:rPr>
                <w:rFonts w:ascii="Arial" w:hAnsi="Arial" w:cs="Arial"/>
                <w:b w:val="0"/>
                <w:i w:val="0"/>
                <w:sz w:val="17"/>
              </w:rPr>
              <w:t>Qualified Electronic Signature (QES)</w:t>
            </w:r>
          </w:p>
        </w:tc>
        <w:tc>
          <w:tcPr>
            <w:tcW w:type="dxa" w:w="3213"/>
          </w:tcPr>
          <w:p>
            <w:pPr>
              <w:spacing w:after="20" w:before="20" w:line="240" w:lineRule="auto"/>
            </w:pPr>
            <w:r/>
            <w:r>
              <w:rPr>
                <w:rFonts w:ascii="Arial" w:hAnsi="Arial" w:cs="Arial"/>
                <w:b w:val="0"/>
                <w:i w:val="0"/>
                <w:sz w:val="17"/>
              </w:rPr>
              <w:t>Certificate issued by a Trust Service Provider (TSP) — Egypt Trust, Misr</w:t>
            </w:r>
          </w:p>
        </w:tc>
        <w:tc>
          <w:tcPr>
            <w:tcW w:type="dxa" w:w="3213"/>
          </w:tcPr>
          <w:p>
            <w:pPr>
              <w:spacing w:after="20" w:before="20" w:line="240" w:lineRule="auto"/>
            </w:pPr>
            <w:r/>
            <w:r>
              <w:rPr>
                <w:rFonts w:ascii="Arial" w:hAnsi="Arial" w:cs="Arial"/>
                <w:b w:val="0"/>
                <w:i w:val="0"/>
                <w:sz w:val="17"/>
              </w:rPr>
              <w:t>Legally binding trade documents where the jurisdiction requires a qualified signature</w:t>
            </w:r>
          </w:p>
        </w:tc>
      </w:tr>
      <w:tr>
        <w:tc>
          <w:tcPr>
            <w:tcW w:type="dxa" w:w="3213"/>
          </w:tcPr>
          <w:p>
            <w:pPr>
              <w:spacing w:after="20" w:before="20" w:line="240" w:lineRule="auto"/>
            </w:pPr>
            <w:r/>
            <w:r>
              <w:rPr>
                <w:rFonts w:ascii="Arial" w:hAnsi="Arial" w:cs="Arial"/>
                <w:b w:val="0"/>
                <w:i w:val="0"/>
                <w:sz w:val="17"/>
              </w:rPr>
              <w:t>Archival signature</w:t>
            </w:r>
          </w:p>
        </w:tc>
        <w:tc>
          <w:tcPr>
            <w:tcW w:type="dxa" w:w="3213"/>
          </w:tcPr>
          <w:p>
            <w:pPr>
              <w:spacing w:after="20" w:before="20" w:line="240" w:lineRule="auto"/>
            </w:pPr>
            <w:r/>
            <w:r>
              <w:rPr>
                <w:rFonts w:ascii="Arial" w:hAnsi="Arial" w:cs="Arial"/>
                <w:b w:val="0"/>
                <w:i w:val="0"/>
                <w:sz w:val="17"/>
              </w:rPr>
              <w:t>Dilithium3 (post-quantum)</w:t>
            </w:r>
          </w:p>
        </w:tc>
        <w:tc>
          <w:tcPr>
            <w:tcW w:type="dxa" w:w="3213"/>
          </w:tcPr>
          <w:p>
            <w:pPr>
              <w:spacing w:after="20" w:before="20" w:line="240" w:lineRule="auto"/>
            </w:pPr>
            <w:r/>
            <w:r>
              <w:rPr>
                <w:rFonts w:ascii="Arial" w:hAnsi="Arial" w:cs="Arial"/>
                <w:b w:val="0"/>
                <w:i w:val="0"/>
                <w:sz w:val="17"/>
              </w:rPr>
              <w:t>Archival records (with the blockchain-anchoring add-on; see Section 22)</w:t>
            </w:r>
          </w:p>
        </w:tc>
      </w:tr>
      <w:tr>
        <w:tc>
          <w:tcPr>
            <w:tcW w:type="dxa" w:w="3213"/>
          </w:tcPr>
          <w:p>
            <w:pPr>
              <w:spacing w:after="20" w:before="20" w:line="240" w:lineRule="auto"/>
            </w:pPr>
            <w:r/>
            <w:r>
              <w:rPr>
                <w:rFonts w:ascii="Arial" w:hAnsi="Arial" w:cs="Arial"/>
                <w:b w:val="0"/>
                <w:i w:val="0"/>
                <w:sz w:val="17"/>
              </w:rPr>
              <w:t>Hybrid fallback</w:t>
            </w:r>
          </w:p>
        </w:tc>
        <w:tc>
          <w:tcPr>
            <w:tcW w:type="dxa" w:w="3213"/>
          </w:tcPr>
          <w:p>
            <w:pPr>
              <w:spacing w:after="20" w:before="20" w:line="240" w:lineRule="auto"/>
            </w:pPr>
            <w:r/>
            <w:r>
              <w:rPr>
                <w:rFonts w:ascii="Arial" w:hAnsi="Arial" w:cs="Arial"/>
                <w:b w:val="0"/>
                <w:i w:val="0"/>
                <w:sz w:val="17"/>
              </w:rPr>
              <w:t>Advanced electronic signature (Ed25519)</w:t>
            </w:r>
          </w:p>
        </w:tc>
        <w:tc>
          <w:tcPr>
            <w:tcW w:type="dxa" w:w="3213"/>
          </w:tcPr>
          <w:p>
            <w:pPr>
              <w:spacing w:after="20" w:before="20" w:line="240" w:lineRule="auto"/>
            </w:pPr>
            <w:r/>
            <w:r>
              <w:rPr>
                <w:rFonts w:ascii="Arial" w:hAnsi="Arial" w:cs="Arial"/>
                <w:b w:val="0"/>
                <w:i w:val="0"/>
                <w:sz w:val="17"/>
              </w:rPr>
              <w:t>When QES is unavailable (TSP downtime or user not enrolled)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Legal basis: Egyptian E-Signature Law No. 15 of 2004, Article 13 — a QES has the same legal effect as a handwritten signature.</w:t>
      </w:r>
    </w:p>
    <w:p>
      <w:pPr>
        <w:spacing w:after="80" w:line="293" w:lineRule="auto"/>
        <w:jc w:val="left"/>
      </w:pPr>
      <w:r>
        <w:rPr>
          <w:rFonts w:ascii="Times New Roman" w:hAnsi="Times New Roman" w:cs="Times New Roman"/>
          <w:b w:val="0"/>
          <w:i w:val="0"/>
          <w:sz w:val="22"/>
        </w:rPr>
        <w:t>QES is applied to contract execution and other legally binding trade documents (for example settlement authorisations and financing agreements) where the applicable jurisdiction requires a qualified signature; all other Governor decisions are signed with the platform Ed25519 key.</w:t>
      </w:r>
    </w:p>
    <w:p>
      <w:pPr>
        <w:keepNext/>
        <w:spacing w:before="140" w:after="60"/>
        <w:outlineLvl w:val="3"/>
      </w:pPr>
      <w:r>
        <w:rPr>
          <w:rFonts w:ascii="Arial" w:hAnsi="Arial" w:cs="Arial"/>
          <w:b/>
          <w:i/>
          <w:color w:val="333333"/>
          <w:sz w:val="22"/>
        </w:rPr>
        <w:t>3.5.10.2 Egypt Trust Integration Architecture</w:t>
      </w:r>
    </w:p>
    <w:p>
      <w:pPr>
        <w:spacing w:after="80" w:line="293" w:lineRule="auto"/>
        <w:jc w:val="left"/>
      </w:pPr>
      <w:r>
        <w:rPr>
          <w:rFonts w:ascii="Times New Roman" w:hAnsi="Times New Roman" w:cs="Times New Roman"/>
          <w:b w:val="0"/>
          <w:i w:val="0"/>
          <w:sz w:val="22"/>
        </w:rPr>
        <w:t>Qualified signature workflow:</w:t>
      </w:r>
    </w:p>
    <w:p>
      <w:pPr>
        <w:spacing w:after="0" w:before="0" w:line="240" w:lineRule="auto"/>
        <w:ind w:left="57"/>
        <w:jc w:val="left"/>
        <w:shd w:val="clear" w:fill="F2F2F2"/>
      </w:pPr>
      <w:r>
        <w:rPr>
          <w:rFonts w:ascii="Consolas" w:hAnsi="Consolas" w:cs="Consolas"/>
          <w:b w:val="0"/>
          <w:i w:val="0"/>
          <w:sz w:val="15"/>
        </w:rPr>
        <w:t>User -&gt; SGTX Platform -&gt; Egypt Trust API -&gt; Signer's TSP (e.g. Misr)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 xml:space="preserve">                                 Audit Log (Loom)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QES Request ID:   TSP-2026-001</w:t>
      </w:r>
    </w:p>
    <w:p>
      <w:pPr>
        <w:spacing w:after="0" w:before="0" w:line="240" w:lineRule="auto"/>
        <w:ind w:left="57"/>
        <w:jc w:val="left"/>
        <w:shd w:val="clear" w:fill="F2F2F2"/>
      </w:pPr>
      <w:r>
        <w:rPr>
          <w:rFonts w:ascii="Consolas" w:hAnsi="Consolas" w:cs="Consolas"/>
          <w:b w:val="0"/>
          <w:i w:val="0"/>
          <w:sz w:val="15"/>
        </w:rPr>
        <w:t>Signer GTID:      SGTX-EG-TRD-002139</w:t>
      </w:r>
    </w:p>
    <w:p>
      <w:pPr>
        <w:spacing w:after="0" w:before="0" w:line="240" w:lineRule="auto"/>
        <w:ind w:left="57"/>
        <w:jc w:val="left"/>
        <w:shd w:val="clear" w:fill="F2F2F2"/>
      </w:pPr>
      <w:r>
        <w:rPr>
          <w:rFonts w:ascii="Consolas" w:hAnsi="Consolas" w:cs="Consolas"/>
          <w:b w:val="0"/>
          <w:i w:val="0"/>
          <w:sz w:val="15"/>
        </w:rPr>
        <w:t>Document SHA256:  abc123...</w:t>
      </w:r>
    </w:p>
    <w:p>
      <w:pPr>
        <w:spacing w:after="0" w:before="0" w:line="240" w:lineRule="auto"/>
        <w:ind w:left="57"/>
        <w:jc w:val="left"/>
        <w:shd w:val="clear" w:fill="F2F2F2"/>
      </w:pPr>
      <w:r>
        <w:rPr>
          <w:rFonts w:ascii="Consolas" w:hAnsi="Consolas" w:cs="Consolas"/>
          <w:b w:val="0"/>
          <w:i w:val="0"/>
          <w:sz w:val="15"/>
        </w:rPr>
        <w:t>TSP Response:     SIGNED, Certificate: ...</w:t>
      </w:r>
    </w:p>
    <w:p>
      <w:pPr>
        <w:spacing w:after="0" w:before="0" w:line="240" w:lineRule="auto"/>
        <w:ind w:left="57"/>
        <w:jc w:val="left"/>
        <w:shd w:val="clear" w:fill="F2F2F2"/>
      </w:pPr>
      <w:r>
        <w:rPr>
          <w:rFonts w:ascii="Consolas" w:hAnsi="Consolas" w:cs="Consolas"/>
          <w:b w:val="0"/>
          <w:i w:val="0"/>
          <w:sz w:val="15"/>
        </w:rPr>
        <w:t>Timestamp:        2026-04-15T10:00:00Z</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3.5.10.3 QES API Endpoints</w:t>
      </w:r>
    </w:p>
    <w:p>
      <w:pPr>
        <w:spacing w:after="80" w:line="293" w:lineRule="auto"/>
        <w:jc w:val="left"/>
      </w:pPr>
      <w:r>
        <w:rPr>
          <w:rFonts w:ascii="Times New Roman" w:hAnsi="Times New Roman" w:cs="Times New Roman"/>
          <w:b w:val="0"/>
          <w:i w:val="0"/>
          <w:sz w:val="22"/>
        </w:rPr>
        <w:t>QES request:</w:t>
      </w:r>
    </w:p>
    <w:p>
      <w:pPr>
        <w:spacing w:after="0" w:before="0" w:line="240" w:lineRule="auto"/>
        <w:ind w:left="57"/>
        <w:jc w:val="left"/>
        <w:shd w:val="clear" w:fill="F2F2F2"/>
      </w:pPr>
      <w:r>
        <w:rPr>
          <w:rFonts w:ascii="Consolas" w:hAnsi="Consolas" w:cs="Consolas"/>
          <w:b w:val="0"/>
          <w:i w:val="0"/>
          <w:sz w:val="15"/>
        </w:rPr>
        <w:t>POST /v1/signature/qes/request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"document_sha256": "abc123def456...",</w:t>
      </w:r>
    </w:p>
    <w:p>
      <w:pPr>
        <w:spacing w:after="0" w:before="0" w:line="240" w:lineRule="auto"/>
        <w:ind w:left="57"/>
        <w:jc w:val="left"/>
        <w:shd w:val="clear" w:fill="F2F2F2"/>
      </w:pPr>
      <w:r>
        <w:rPr>
          <w:rFonts w:ascii="Consolas" w:hAnsi="Consolas" w:cs="Consolas"/>
          <w:b w:val="0"/>
          <w:i w:val="0"/>
          <w:sz w:val="15"/>
        </w:rPr>
        <w:t xml:space="preserve">    "document_type": "CONTRACT",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"signer_gtid": "SGTX-EG-TRD-002139-7F3A",</w:t>
      </w:r>
    </w:p>
    <w:p>
      <w:pPr>
        <w:spacing w:after="0" w:before="0" w:line="240" w:lineRule="auto"/>
        <w:ind w:left="57"/>
        <w:jc w:val="left"/>
        <w:shd w:val="clear" w:fill="F2F2F2"/>
      </w:pPr>
      <w:r>
        <w:rPr>
          <w:rFonts w:ascii="Consolas" w:hAnsi="Consolas" w:cs="Consolas"/>
          <w:b w:val="0"/>
          <w:i w:val="0"/>
          <w:sz w:val="15"/>
        </w:rPr>
        <w:t xml:space="preserve">    "signer_tsp": "EGYPT_TRUST",</w:t>
      </w:r>
    </w:p>
    <w:p>
      <w:pPr>
        <w:spacing w:after="0" w:before="0" w:line="240" w:lineRule="auto"/>
        <w:ind w:left="57"/>
        <w:jc w:val="left"/>
        <w:shd w:val="clear" w:fill="F2F2F2"/>
      </w:pPr>
      <w:r>
        <w:rPr>
          <w:rFonts w:ascii="Consolas" w:hAnsi="Consolas" w:cs="Consolas"/>
          <w:b w:val="0"/>
          <w:i w:val="0"/>
          <w:sz w:val="15"/>
        </w:rPr>
        <w:t xml:space="preserve">    "callback_url": "https://api.sgtx.io/v1/signature/qes/callback"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"request_id": "QES-20260415-001",</w:t>
      </w:r>
    </w:p>
    <w:p>
      <w:pPr>
        <w:spacing w:after="0" w:before="0" w:line="240" w:lineRule="auto"/>
        <w:ind w:left="57"/>
        <w:jc w:val="left"/>
        <w:shd w:val="clear" w:fill="F2F2F2"/>
      </w:pPr>
      <w:r>
        <w:rPr>
          <w:rFonts w:ascii="Consolas" w:hAnsi="Consolas" w:cs="Consolas"/>
          <w:b w:val="0"/>
          <w:i w:val="0"/>
          <w:sz w:val="15"/>
        </w:rPr>
        <w:t xml:space="preserve">    "tsp_request_url": "https://ts.egypttrust.com.eg/sign/abc123",</w:t>
      </w:r>
    </w:p>
    <w:p>
      <w:pPr>
        <w:spacing w:after="0" w:before="0" w:line="240" w:lineRule="auto"/>
        <w:ind w:left="57"/>
        <w:jc w:val="left"/>
        <w:shd w:val="clear" w:fill="F2F2F2"/>
      </w:pPr>
      <w:r>
        <w:rPr>
          <w:rFonts w:ascii="Consolas" w:hAnsi="Consolas" w:cs="Consolas"/>
          <w:b w:val="0"/>
          <w:i w:val="0"/>
          <w:sz w:val="15"/>
        </w:rPr>
        <w:t xml:space="preserve">    "expires_at": "2026-04-15T12:00:00Z",</w:t>
      </w:r>
    </w:p>
    <w:p>
      <w:pPr>
        <w:spacing w:after="0" w:before="0" w:line="240" w:lineRule="auto"/>
        <w:ind w:left="57"/>
        <w:jc w:val="left"/>
        <w:shd w:val="clear" w:fill="F2F2F2"/>
      </w:pPr>
      <w:r>
        <w:rPr>
          <w:rFonts w:ascii="Consolas" w:hAnsi="Consolas" w:cs="Consolas"/>
          <w:b w:val="0"/>
          <w:i w:val="0"/>
          <w:sz w:val="15"/>
        </w:rPr>
        <w:t xml:space="preserve">    "status": "PENDING"</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3.5.10.4 User Enrollment for QES</w:t>
      </w:r>
    </w:p>
    <w:p>
      <w:pPr>
        <w:spacing w:after="80" w:line="293" w:lineRule="auto"/>
        <w:jc w:val="left"/>
      </w:pPr>
      <w:r>
        <w:rPr>
          <w:rFonts w:ascii="Times New Roman" w:hAnsi="Times New Roman" w:cs="Times New Roman"/>
          <w:b w:val="0"/>
          <w:i w:val="0"/>
          <w:sz w:val="22"/>
        </w:rPr>
        <w:t>During onboarding (Step 3 — Know Your Business / Know Your Customer verification, KYB/KYC), the user is prompted to enrol for QES if their jurisdiction requires it. Enrollment steps:</w:t>
      </w:r>
    </w:p>
    <w:p>
      <w:pPr>
        <w:spacing w:after="80" w:line="293" w:lineRule="auto"/>
        <w:jc w:val="left"/>
      </w:pPr>
      <w:r>
        <w:rPr>
          <w:rFonts w:ascii="Times New Roman" w:hAnsi="Times New Roman" w:cs="Times New Roman"/>
          <w:b w:val="0"/>
          <w:i w:val="0"/>
          <w:sz w:val="22"/>
        </w:rPr>
        <w:t>1. The user selects their preferred TSP (Egypt Trust, Misr, or another provider) from a dropdown. 2. The system redirects to the TSP's enrollment portal (or provides instructions). 3. The user completes identity verification (in-person or video call, depending on the TSP). 4. The TSP issues the QES certificate to the user's HSM or cloud wallet. 5. The user provides SGTX with the public key or certificate reference. 6. SGTX stores the certificate reference in `tenants.qes_certificate_ref`.</w:t>
      </w:r>
    </w:p>
    <w:p>
      <w:pPr>
        <w:keepNext/>
        <w:spacing w:before="140" w:after="60"/>
        <w:outlineLvl w:val="3"/>
      </w:pPr>
      <w:r>
        <w:rPr>
          <w:rFonts w:ascii="Arial" w:hAnsi="Arial" w:cs="Arial"/>
          <w:b/>
          <w:i/>
          <w:color w:val="333333"/>
          <w:sz w:val="22"/>
        </w:rPr>
        <w:t>3.5.10.5 Hybrid Signing Fallback</w:t>
      </w:r>
    </w:p>
    <w:p>
      <w:pPr>
        <w:spacing w:after="80" w:line="293" w:lineRule="auto"/>
        <w:jc w:val="left"/>
      </w:pPr>
      <w:r>
        <w:rPr>
          <w:rFonts w:ascii="Times New Roman" w:hAnsi="Times New Roman" w:cs="Times New Roman"/>
          <w:b w:val="0"/>
          <w:i w:val="0"/>
          <w:sz w:val="22"/>
        </w:rPr>
        <w:t>If QES is unavailable — TSP downtime or user not enrolled — the system signs with the platform's advanced electronic signature (Ed25519) instead. The fallback event is recorded in the decision log, and the signature remains Loom-anchored, so the weaker-signature episode is fully auditable.</w:t>
      </w:r>
    </w:p>
    <w:p>
      <w:pPr>
        <w:keepNext/>
        <w:spacing w:before="140" w:after="60"/>
        <w:outlineLvl w:val="3"/>
      </w:pPr>
      <w:r>
        <w:rPr>
          <w:rFonts w:ascii="Arial" w:hAnsi="Arial" w:cs="Arial"/>
          <w:b/>
          <w:i/>
          <w:color w:val="333333"/>
          <w:sz w:val="22"/>
        </w:rPr>
        <w:t>3.5.10.6 QES Fallback Policy (Legally Required Signatures)</w:t>
      </w:r>
    </w:p>
    <w:p>
      <w:pPr>
        <w:spacing w:after="80" w:line="293" w:lineRule="auto"/>
        <w:jc w:val="left"/>
      </w:pPr>
      <w:r>
        <w:rPr>
          <w:rFonts w:ascii="Times New Roman" w:hAnsi="Times New Roman" w:cs="Times New Roman"/>
          <w:b w:val="0"/>
          <w:i w:val="0"/>
          <w:sz w:val="22"/>
        </w:rPr>
        <w:t>Where a Qualified Electronic Signature is legally required for a document or transaction step, the platform must never silently substitute an ordinary platform signature for the required QES. The legally applicable signature requirement is jurisdiction- and document-type-dependent and is resolved through the regulatory applicability model (Section 20.6.1) at execution time. Where QES is legally required, the following flow is canonical and mandatory:</w:t>
      </w:r>
    </w:p>
    <w:p>
      <w:pPr>
        <w:spacing w:after="0" w:before="0" w:line="240" w:lineRule="auto"/>
        <w:ind w:left="57"/>
        <w:jc w:val="left"/>
        <w:shd w:val="clear" w:fill="F2F2F2"/>
      </w:pPr>
      <w:r>
        <w:rPr>
          <w:rFonts w:ascii="Consolas" w:hAnsi="Consolas" w:cs="Consolas"/>
          <w:b w:val="0"/>
          <w:i w:val="0"/>
          <w:sz w:val="15"/>
        </w:rPr>
        <w:t>QES_REQUIRED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QES_PROVIDER_AVAILABLE?</w:t>
      </w:r>
    </w:p>
    <w:p>
      <w:pPr>
        <w:spacing w:after="0" w:before="0" w:line="240" w:lineRule="auto"/>
        <w:ind w:left="57"/>
        <w:jc w:val="left"/>
        <w:shd w:val="clear" w:fill="F2F2F2"/>
      </w:pPr>
      <w:r>
        <w:rPr>
          <w:rFonts w:ascii="Consolas" w:hAnsi="Consolas" w:cs="Consolas"/>
          <w:b w:val="0"/>
          <w:i w:val="0"/>
          <w:sz w:val="15"/>
        </w:rPr>
        <w:t xml:space="preserve">    |-- YES --&gt; QES_EXECUTED --&gt; LEGALLY_EXECUTED</w:t>
      </w:r>
    </w:p>
    <w:p>
      <w:pPr>
        <w:spacing w:after="0" w:before="0" w:line="240" w:lineRule="auto"/>
        <w:ind w:left="57"/>
        <w:jc w:val="left"/>
        <w:shd w:val="clear" w:fill="F2F2F2"/>
      </w:pPr>
      <w:r>
        <w:rPr>
          <w:rFonts w:ascii="Consolas" w:hAnsi="Consolas" w:cs="Consolas"/>
          <w:b w:val="0"/>
          <w:i w:val="0"/>
          <w:sz w:val="15"/>
        </w:rPr>
        <w:t xml:space="preserve">    |-- NO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 xml:space="preserve">    PLATFORM_ATTESTATION (witness record of the pending execution)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 xml:space="preserve">    LEGAL_EXECUTION_HOLD (the step is not legally complete)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 xml:space="preserve">    QES_COMPLETION (when the provider becomes available)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 xml:space="preserve">    LEGALLY_EXECUTED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PLATFORM_ATTESTATION record proves that the parties reached the signing step and preserves the exact document version and hashes, but it does not convert the step into a legally executed signature. The LEGAL_EXECUTION_HOLD state is a first-class blocking state surfaced through the blocker model (Section 16.4.5). Where QES is not legally required, the applicable electronic-signature method permitted by policy and jurisdiction is used, following the signature hierarchy of Section 3.5.10.1. The precise legal requirement for any document type must be validated per jurisdiction before production deployment of that document flow.</w:t>
      </w:r>
    </w:p>
    <w:p>
      <w:pPr>
        <w:keepNext/>
        <w:spacing w:before="180" w:after="80"/>
        <w:outlineLvl w:val="2"/>
      </w:pPr>
      <w:r>
        <w:rPr>
          <w:rFonts w:ascii="Arial" w:hAnsi="Arial" w:cs="Arial"/>
          <w:b/>
          <w:i w:val="0"/>
          <w:color w:val="333333"/>
          <w:sz w:val="23"/>
        </w:rPr>
        <w:t>3.5.11 Device Trust, Session Security &amp; Step-Up Authentication</w:t>
      </w:r>
    </w:p>
    <w:p>
      <w:pPr>
        <w:keepNext/>
        <w:spacing w:before="140" w:after="60"/>
        <w:outlineLvl w:val="3"/>
      </w:pPr>
      <w:r>
        <w:rPr>
          <w:rFonts w:ascii="Arial" w:hAnsi="Arial" w:cs="Arial"/>
          <w:b/>
          <w:i/>
          <w:color w:val="333333"/>
          <w:sz w:val="22"/>
        </w:rPr>
        <w:t>3.5.11.1 Device Trust Registry</w:t>
      </w:r>
    </w:p>
    <w:p>
      <w:pPr>
        <w:spacing w:after="80" w:line="293" w:lineRule="auto"/>
        <w:jc w:val="left"/>
      </w:pPr>
      <w:r>
        <w:rPr>
          <w:rFonts w:ascii="Times New Roman" w:hAnsi="Times New Roman" w:cs="Times New Roman"/>
          <w:b w:val="0"/>
          <w:i w:val="0"/>
          <w:sz w:val="22"/>
        </w:rPr>
        <w:t>Every authenticated device receives a persistent Device Trust Record in the `device_registry` table (Section 17). Device states: NEW, TRUSTED, ELEVATED_RISK, BLOCKED, REVOKED.</w:t>
      </w:r>
    </w:p>
    <w:p>
      <w:pPr>
        <w:spacing w:after="80" w:line="293" w:lineRule="auto"/>
        <w:jc w:val="left"/>
      </w:pPr>
      <w:r>
        <w:rPr>
          <w:rFonts w:ascii="Times New Roman" w:hAnsi="Times New Roman" w:cs="Times New Roman"/>
          <w:b w:val="0"/>
          <w:i w:val="0"/>
          <w:sz w:val="22"/>
        </w:rPr>
        <w:t>Device trust rules:</w:t>
      </w:r>
    </w:p>
    <w:p>
      <w:pPr>
        <w:spacing w:after="80" w:line="293" w:lineRule="auto"/>
        <w:ind w:left="283"/>
        <w:jc w:val="left"/>
      </w:pPr>
      <w:r>
        <w:rPr>
          <w:rFonts w:ascii="Times New Roman" w:hAnsi="Times New Roman" w:cs="Times New Roman"/>
          <w:b w:val="0"/>
          <w:i w:val="0"/>
          <w:sz w:val="22"/>
        </w:rPr>
        <w:t>- New device — passkey required, Multi-Factor Authentication (MFA) required, and email confirmation required.</w:t>
      </w:r>
    </w:p>
    <w:p>
      <w:pPr>
        <w:spacing w:after="80" w:line="293" w:lineRule="auto"/>
        <w:ind w:left="283"/>
        <w:jc w:val="left"/>
      </w:pPr>
      <w:r>
        <w:rPr>
          <w:rFonts w:ascii="Times New Roman" w:hAnsi="Times New Roman" w:cs="Times New Roman"/>
          <w:b w:val="0"/>
          <w:i w:val="0"/>
          <w:sz w:val="22"/>
        </w:rPr>
        <w:t>- High-risk device (risk score above 70) — manual approval required from the tenant administrator.</w:t>
      </w:r>
    </w:p>
    <w:p>
      <w:pPr>
        <w:spacing w:after="80" w:line="293" w:lineRule="auto"/>
        <w:ind w:left="283"/>
        <w:jc w:val="left"/>
      </w:pPr>
      <w:r>
        <w:rPr>
          <w:rFonts w:ascii="Times New Roman" w:hAnsi="Times New Roman" w:cs="Times New Roman"/>
          <w:b w:val="0"/>
          <w:i w:val="0"/>
          <w:sz w:val="22"/>
        </w:rPr>
        <w:t>- Blocked device — access denied; must be explicitly unblocked.</w:t>
      </w:r>
    </w:p>
    <w:p>
      <w:pPr>
        <w:keepNext/>
        <w:spacing w:before="140" w:after="60"/>
        <w:outlineLvl w:val="3"/>
      </w:pPr>
      <w:r>
        <w:rPr>
          <w:rFonts w:ascii="Arial" w:hAnsi="Arial" w:cs="Arial"/>
          <w:b/>
          <w:i/>
          <w:color w:val="333333"/>
          <w:sz w:val="22"/>
        </w:rPr>
        <w:t>3.5.11.2 Device Management Center</w:t>
      </w:r>
    </w:p>
    <w:p>
      <w:pPr>
        <w:spacing w:after="80" w:line="293" w:lineRule="auto"/>
        <w:jc w:val="left"/>
      </w:pPr>
      <w:r>
        <w:rPr>
          <w:rFonts w:ascii="Times New Roman" w:hAnsi="Times New Roman" w:cs="Times New Roman"/>
          <w:b w:val="0"/>
          <w:i w:val="0"/>
          <w:sz w:val="22"/>
        </w:rPr>
        <w:t>Location: Company Admin → Security → Devices. User capabilities: view devices, rename, revoke, force logout, view login history, and export a security report. One-click actions: "Revoke Device", "Force Logout", "Export Report".</w:t>
      </w:r>
    </w:p>
    <w:p>
      <w:pPr>
        <w:keepNext/>
        <w:spacing w:before="140" w:after="60"/>
        <w:outlineLvl w:val="3"/>
      </w:pPr>
      <w:r>
        <w:rPr>
          <w:rFonts w:ascii="Arial" w:hAnsi="Arial" w:cs="Arial"/>
          <w:b/>
          <w:i/>
          <w:color w:val="333333"/>
          <w:sz w:val="22"/>
        </w:rPr>
        <w:t>3.5.11.3 Step-Up Authentication</w:t>
      </w:r>
    </w:p>
    <w:p>
      <w:pPr>
        <w:spacing w:after="80" w:line="293" w:lineRule="auto"/>
        <w:jc w:val="left"/>
      </w:pPr>
      <w:r>
        <w:rPr>
          <w:rFonts w:ascii="Times New Roman" w:hAnsi="Times New Roman" w:cs="Times New Roman"/>
          <w:b w:val="0"/>
          <w:i w:val="0"/>
          <w:sz w:val="22"/>
        </w:rPr>
        <w:t>Step-up authentication is required immediately before high-value actions: contract signing, payment approval, settlement release, bank mandate changes, Ultimate Beneficial Owner (UBO) changes, approval policy changes, Governor policy changes, and dual-mode switching immediately before a high-value action.</w:t>
      </w:r>
    </w:p>
    <w:p>
      <w:pPr>
        <w:spacing w:after="80" w:line="293" w:lineRule="auto"/>
        <w:jc w:val="left"/>
      </w:pPr>
      <w:r>
        <w:rPr>
          <w:rFonts w:ascii="Times New Roman" w:hAnsi="Times New Roman" w:cs="Times New Roman"/>
          <w:b w:val="0"/>
          <w:i w:val="0"/>
          <w:sz w:val="22"/>
        </w:rPr>
        <w:t>The Step-Up Authentication Chain requires all three factors:</w:t>
      </w:r>
    </w:p>
    <w:p>
      <w:pPr>
        <w:spacing w:after="80" w:line="293" w:lineRule="auto"/>
        <w:jc w:val="left"/>
      </w:pPr>
      <w:r>
        <w:rPr>
          <w:rFonts w:ascii="Times New Roman" w:hAnsi="Times New Roman" w:cs="Times New Roman"/>
          <w:b w:val="0"/>
          <w:i w:val="0"/>
          <w:sz w:val="22"/>
        </w:rPr>
        <w:t>1. Passkey (WebAuthn) — something you have. 2. Biometric verification — something you are. 3. Cryptographic challenge signature with the device-bound private key — proof of device possession.</w:t>
      </w:r>
    </w:p>
    <w:p>
      <w:pPr>
        <w:keepNext/>
        <w:spacing w:before="140" w:after="60"/>
        <w:outlineLvl w:val="3"/>
      </w:pPr>
      <w:r>
        <w:rPr>
          <w:rFonts w:ascii="Arial" w:hAnsi="Arial" w:cs="Arial"/>
          <w:b/>
          <w:i/>
          <w:color w:val="333333"/>
          <w:sz w:val="22"/>
        </w:rPr>
        <w:t>3.5.11.4 Session Risk Engine</w:t>
      </w:r>
    </w:p>
    <w:p>
      <w:pPr>
        <w:spacing w:after="80" w:line="293" w:lineRule="auto"/>
        <w:jc w:val="left"/>
      </w:pPr>
      <w:r>
        <w:rPr>
          <w:rFonts w:ascii="Times New Roman" w:hAnsi="Times New Roman" w:cs="Times New Roman"/>
          <w:b w:val="0"/>
          <w:i w:val="0"/>
          <w:sz w:val="22"/>
        </w:rPr>
        <w:t>Continuous monitoring (A2 anomaly detection) covers: impossible travel, VPN detection, TOR detection, country mismatch, device fingerprint change, and behavioural anomaly.</w:t>
      </w:r>
    </w:p>
    <w:p>
      <w:pPr>
        <w:spacing w:after="80" w:line="293" w:lineRule="auto"/>
        <w:jc w:val="left"/>
      </w:pPr>
      <w:r>
        <w:rPr>
          <w:rFonts w:ascii="Times New Roman" w:hAnsi="Times New Roman" w:cs="Times New Roman"/>
          <w:b w:val="0"/>
          <w:i w:val="0"/>
          <w:sz w:val="22"/>
        </w:rPr>
        <w:t>Governor verdicts: ALLOW, REQUIRE_REAUTH, LOCK_SESSION, ESCALATE. All risk events are written to the `session_risk_events` table (Section 17) and are Loom-anchored.</w:t>
      </w:r>
    </w:p>
    <w:p>
      <w:pPr>
        <w:keepNext/>
        <w:spacing w:before="140" w:after="60"/>
        <w:outlineLvl w:val="3"/>
      </w:pPr>
      <w:r>
        <w:rPr>
          <w:rFonts w:ascii="Arial" w:hAnsi="Arial" w:cs="Arial"/>
          <w:b/>
          <w:i/>
          <w:color w:val="333333"/>
          <w:sz w:val="22"/>
        </w:rPr>
        <w:t>3.5.11.5 Legal Recovery Flow for Lost Passkeys</w:t>
      </w:r>
    </w:p>
    <w:p>
      <w:pPr>
        <w:spacing w:after="80" w:line="293" w:lineRule="auto"/>
        <w:jc w:val="left"/>
      </w:pPr>
      <w:r>
        <w:rPr>
          <w:rFonts w:ascii="Times New Roman" w:hAnsi="Times New Roman" w:cs="Times New Roman"/>
          <w:b w:val="0"/>
          <w:i w:val="0"/>
          <w:sz w:val="22"/>
        </w:rPr>
        <w:t>If a user loses all registered passkeys:</w:t>
      </w:r>
    </w:p>
    <w:p>
      <w:pPr>
        <w:spacing w:after="80" w:line="293" w:lineRule="auto"/>
        <w:jc w:val="left"/>
      </w:pPr>
      <w:r>
        <w:rPr>
          <w:rFonts w:ascii="Times New Roman" w:hAnsi="Times New Roman" w:cs="Times New Roman"/>
          <w:b w:val="0"/>
          <w:i w:val="0"/>
          <w:sz w:val="22"/>
        </w:rPr>
        <w:t>1. Identity verification — notarised ID plus employment proof plus two authorised signatories. 2. Platform Governance Authority review — multisig approval (3-of-5). 3. Recovery code delivery — registered mail to the tenant's registered address, or in-person verification at a designated centre (for example Egypt Post). 4. New device registration — all previous devices are revoked. 5. Audit trail — logged in `governor_decisions` with `decision_type = 'PASSKEY_RECOVERY'`.</w:t>
      </w:r>
    </w:p>
    <w:p>
      <w:pPr>
        <w:keepNext/>
        <w:spacing w:before="180" w:after="80"/>
        <w:outlineLvl w:val="2"/>
      </w:pPr>
      <w:r>
        <w:rPr>
          <w:rFonts w:ascii="Arial" w:hAnsi="Arial" w:cs="Arial"/>
          <w:b/>
          <w:i w:val="0"/>
          <w:color w:val="333333"/>
          <w:sz w:val="23"/>
        </w:rPr>
        <w:t>3.5.12 Court Evidence Package Engine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automatically generate court-ready, cryptographically verifiable evidence bundles for disputes, arbitration, and litigation.</w:t>
      </w:r>
    </w:p>
    <w:p>
      <w:pPr>
        <w:spacing w:after="80" w:line="293" w:lineRule="auto"/>
        <w:jc w:val="left"/>
      </w:pPr>
      <w:r>
        <w:rPr>
          <w:rFonts w:ascii="Times New Roman" w:hAnsi="Times New Roman" w:cs="Times New Roman"/>
          <w:b w:val="0"/>
          <w:i w:val="0"/>
          <w:sz w:val="22"/>
        </w:rPr>
        <w:t>Evidence package contents:</w:t>
      </w:r>
    </w:p>
    <w:p>
      <w:pPr>
        <w:spacing w:after="80" w:line="293" w:lineRule="auto"/>
        <w:ind w:left="283"/>
        <w:jc w:val="left"/>
      </w:pPr>
      <w:r>
        <w:rPr>
          <w:rFonts w:ascii="Times New Roman" w:hAnsi="Times New Roman" w:cs="Times New Roman"/>
          <w:b w:val="0"/>
          <w:i w:val="0"/>
          <w:sz w:val="22"/>
        </w:rPr>
        <w:t>- Contract (full clauses, signatures)</w:t>
      </w:r>
    </w:p>
    <w:p>
      <w:pPr>
        <w:spacing w:after="80" w:line="293" w:lineRule="auto"/>
        <w:ind w:left="283"/>
        <w:jc w:val="left"/>
      </w:pPr>
      <w:r>
        <w:rPr>
          <w:rFonts w:ascii="Times New Roman" w:hAnsi="Times New Roman" w:cs="Times New Roman"/>
          <w:b w:val="0"/>
          <w:i w:val="0"/>
          <w:sz w:val="22"/>
        </w:rPr>
        <w:t>- Signatures (Ed25519 and QES where applicable)</w:t>
      </w:r>
    </w:p>
    <w:p>
      <w:pPr>
        <w:spacing w:after="80" w:line="293" w:lineRule="auto"/>
        <w:ind w:left="283"/>
        <w:jc w:val="left"/>
      </w:pPr>
      <w:r>
        <w:rPr>
          <w:rFonts w:ascii="Times New Roman" w:hAnsi="Times New Roman" w:cs="Times New Roman"/>
          <w:b w:val="0"/>
          <w:i w:val="0"/>
          <w:sz w:val="22"/>
        </w:rPr>
        <w:t>- Loom chain (full hash chain for the USTN)</w:t>
      </w:r>
    </w:p>
    <w:p>
      <w:pPr>
        <w:spacing w:after="80" w:line="293" w:lineRule="auto"/>
        <w:ind w:left="283"/>
        <w:jc w:val="left"/>
      </w:pPr>
      <w:r>
        <w:rPr>
          <w:rFonts w:ascii="Times New Roman" w:hAnsi="Times New Roman" w:cs="Times New Roman"/>
          <w:b w:val="0"/>
          <w:i w:val="0"/>
          <w:sz w:val="22"/>
        </w:rPr>
        <w:t>- Audit logs (all Governor decisions)</w:t>
      </w:r>
    </w:p>
    <w:p>
      <w:pPr>
        <w:spacing w:after="80" w:line="293" w:lineRule="auto"/>
        <w:ind w:left="283"/>
        <w:jc w:val="left"/>
      </w:pPr>
      <w:r>
        <w:rPr>
          <w:rFonts w:ascii="Times New Roman" w:hAnsi="Times New Roman" w:cs="Times New Roman"/>
          <w:b w:val="0"/>
          <w:i w:val="0"/>
          <w:sz w:val="22"/>
        </w:rPr>
        <w:t>- Payment logs (fee payment requests, settlement instructions, bank confirmations (pain.002/camt.054))</w:t>
      </w:r>
    </w:p>
    <w:p>
      <w:pPr>
        <w:spacing w:after="80" w:line="293" w:lineRule="auto"/>
        <w:ind w:left="283"/>
        <w:jc w:val="left"/>
      </w:pPr>
      <w:r>
        <w:rPr>
          <w:rFonts w:ascii="Times New Roman" w:hAnsi="Times New Roman" w:cs="Times New Roman"/>
          <w:b w:val="0"/>
          <w:i w:val="0"/>
          <w:sz w:val="22"/>
        </w:rPr>
        <w:t>- Communication logs (Trade Room messages, mediation log)</w:t>
      </w:r>
    </w:p>
    <w:p>
      <w:pPr>
        <w:spacing w:after="80" w:line="293" w:lineRule="auto"/>
        <w:ind w:left="283"/>
        <w:jc w:val="left"/>
      </w:pPr>
      <w:r>
        <w:rPr>
          <w:rFonts w:ascii="Times New Roman" w:hAnsi="Times New Roman" w:cs="Times New Roman"/>
          <w:b w:val="0"/>
          <w:i w:val="0"/>
          <w:sz w:val="22"/>
        </w:rPr>
        <w:t>- Document hashes (SHA-256 of all uploaded and generated documents)</w:t>
      </w:r>
    </w:p>
    <w:p>
      <w:pPr>
        <w:spacing w:after="80" w:line="293" w:lineRule="auto"/>
        <w:ind w:left="283"/>
        <w:jc w:val="left"/>
      </w:pPr>
      <w:r>
        <w:rPr>
          <w:rFonts w:ascii="Times New Roman" w:hAnsi="Times New Roman" w:cs="Times New Roman"/>
          <w:b w:val="0"/>
          <w:i w:val="0"/>
          <w:sz w:val="22"/>
        </w:rPr>
        <w:t>- Milestone timeline (all confirmed milestones with timestamps and confirmers)</w:t>
      </w:r>
    </w:p>
    <w:p>
      <w:pPr>
        <w:spacing w:after="80" w:line="293" w:lineRule="auto"/>
        <w:ind w:left="283"/>
        <w:jc w:val="left"/>
      </w:pPr>
      <w:r>
        <w:rPr>
          <w:rFonts w:ascii="Times New Roman" w:hAnsi="Times New Roman" w:cs="Times New Roman"/>
          <w:b w:val="0"/>
          <w:i w:val="0"/>
          <w:sz w:val="22"/>
        </w:rPr>
        <w:t>- Sensor data (temperature, humidity, shock logs with anomaly flags)</w:t>
      </w:r>
    </w:p>
    <w:p>
      <w:pPr>
        <w:spacing w:after="80" w:line="293" w:lineRule="auto"/>
        <w:ind w:left="283"/>
        <w:jc w:val="left"/>
      </w:pPr>
      <w:r>
        <w:rPr>
          <w:rFonts w:ascii="Times New Roman" w:hAnsi="Times New Roman" w:cs="Times New Roman"/>
          <w:b w:val="0"/>
          <w:i w:val="0"/>
          <w:sz w:val="22"/>
        </w:rPr>
        <w:t>- QC report (full inspection, overrides with original AI confidence and the inspector's reason)</w:t>
      </w:r>
    </w:p>
    <w:p>
      <w:pPr>
        <w:spacing w:after="80" w:line="293" w:lineRule="auto"/>
        <w:ind w:left="283"/>
        <w:jc w:val="left"/>
      </w:pPr>
      <w:r>
        <w:rPr>
          <w:rFonts w:ascii="Times New Roman" w:hAnsi="Times New Roman" w:cs="Times New Roman"/>
          <w:b w:val="0"/>
          <w:i w:val="0"/>
          <w:sz w:val="22"/>
        </w:rPr>
        <w:t>- Causal analysis (root-cause attribution from the causal-analysis add-on; see Section 22)</w:t>
      </w:r>
    </w:p>
    <w:p>
      <w:pPr>
        <w:spacing w:after="80" w:line="293" w:lineRule="auto"/>
        <w:jc w:val="left"/>
      </w:pPr>
      <w:r>
        <w:rPr>
          <w:rFonts w:ascii="Times New Roman" w:hAnsi="Times New Roman" w:cs="Times New Roman"/>
          <w:b w:val="0"/>
          <w:i w:val="0"/>
          <w:sz w:val="22"/>
        </w:rPr>
        <w:t>Supported formats: PDF, ZIP, Court Bundle, Arbitration Bundle.</w:t>
      </w:r>
    </w:p>
    <w:p>
      <w:pPr>
        <w:spacing w:after="80" w:line="293" w:lineRule="auto"/>
        <w:jc w:val="left"/>
      </w:pPr>
      <w:r>
        <w:rPr>
          <w:rFonts w:ascii="Times New Roman" w:hAnsi="Times New Roman" w:cs="Times New Roman"/>
          <w:b w:val="0"/>
          <w:i w:val="0"/>
          <w:sz w:val="22"/>
        </w:rPr>
        <w:t>One-click generation trigger points:</w:t>
      </w:r>
    </w:p>
    <w:p>
      <w:pPr>
        <w:spacing w:after="80" w:line="293" w:lineRule="auto"/>
        <w:ind w:left="283"/>
        <w:jc w:val="left"/>
      </w:pPr>
      <w:r>
        <w:rPr>
          <w:rFonts w:ascii="Times New Roman" w:hAnsi="Times New Roman" w:cs="Times New Roman"/>
          <w:b w:val="0"/>
          <w:i w:val="0"/>
          <w:sz w:val="22"/>
        </w:rPr>
        <w:t>- Dispute tab — "Generate Evidence Package"</w:t>
      </w:r>
    </w:p>
    <w:p>
      <w:pPr>
        <w:spacing w:after="80" w:line="293" w:lineRule="auto"/>
        <w:ind w:left="283"/>
        <w:jc w:val="left"/>
      </w:pPr>
      <w:r>
        <w:rPr>
          <w:rFonts w:ascii="Times New Roman" w:hAnsi="Times New Roman" w:cs="Times New Roman"/>
          <w:b w:val="0"/>
          <w:i w:val="0"/>
          <w:sz w:val="22"/>
        </w:rPr>
        <w:t>- Trade Command Center — "Export → Court Evidence"</w:t>
      </w:r>
    </w:p>
    <w:p>
      <w:pPr>
        <w:spacing w:after="80" w:line="293" w:lineRule="auto"/>
        <w:ind w:left="283"/>
        <w:jc w:val="left"/>
      </w:pPr>
      <w:r>
        <w:rPr>
          <w:rFonts w:ascii="Times New Roman" w:hAnsi="Times New Roman" w:cs="Times New Roman"/>
          <w:b w:val="0"/>
          <w:i w:val="0"/>
          <w:sz w:val="22"/>
        </w:rPr>
        <w:t>- Government Portal — "Package for Prosecution"</w:t>
      </w:r>
    </w:p>
    <w:p>
      <w:pPr>
        <w:spacing w:after="80" w:line="293" w:lineRule="auto"/>
        <w:jc w:val="left"/>
      </w:pPr>
      <w:r>
        <w:rPr>
          <w:rFonts w:ascii="Times New Roman" w:hAnsi="Times New Roman" w:cs="Times New Roman"/>
          <w:b w:val="0"/>
          <w:i w:val="0"/>
          <w:sz w:val="22"/>
        </w:rPr>
        <w:t>API endpoint: `POST /v1/evidence/package`. Security: the package is encrypted with a one-time password and Loom-hashed before delivery.</w:t>
      </w:r>
    </w:p>
    <w:p>
      <w:pPr>
        <w:keepNext/>
        <w:spacing w:before="180" w:after="80"/>
        <w:outlineLvl w:val="2"/>
      </w:pPr>
      <w:r>
        <w:rPr>
          <w:rFonts w:ascii="Arial" w:hAnsi="Arial" w:cs="Arial"/>
          <w:b/>
          <w:i w:val="0"/>
          <w:color w:val="333333"/>
          <w:sz w:val="23"/>
        </w:rPr>
        <w:t>3.5.13 Compliance Intelligence Layer (Unified Screening Gateway)</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 single evaluation point for all compliance checks before any trade, financing, or distressed action.</w:t>
      </w:r>
    </w:p>
    <w:p>
      <w:pPr>
        <w:spacing w:after="80" w:line="293" w:lineRule="auto"/>
        <w:jc w:val="left"/>
      </w:pPr>
      <w:r>
        <w:rPr>
          <w:rFonts w:ascii="Times New Roman" w:hAnsi="Times New Roman" w:cs="Times New Roman"/>
          <w:b w:val="0"/>
          <w:i w:val="0"/>
          <w:sz w:val="22"/>
        </w:rPr>
        <w:t>Screening dimensions: sanctions lists, dual-use goods, jurisdiction restrictions, and counterparty KYC/KYB status. The gateway accepts the party GTID, HS code, and jurisdiction, and evaluates them against the current jurisdiction matrix and sanctions data.</w:t>
      </w:r>
    </w:p>
    <w:p>
      <w:pPr>
        <w:spacing w:after="80" w:line="293" w:lineRule="auto"/>
        <w:jc w:val="left"/>
      </w:pPr>
      <w:r>
        <w:rPr>
          <w:rFonts w:ascii="Times New Roman" w:hAnsi="Times New Roman" w:cs="Times New Roman"/>
          <w:b w:val="0"/>
          <w:i w:val="0"/>
          <w:sz w:val="22"/>
        </w:rPr>
        <w:t>Output verdicts: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Verdict</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ALLOW</w:t>
            </w:r>
          </w:p>
        </w:tc>
        <w:tc>
          <w:tcPr>
            <w:tcW w:type="dxa" w:w="4819"/>
          </w:tcPr>
          <w:p>
            <w:pPr>
              <w:spacing w:after="20" w:before="20" w:line="240" w:lineRule="auto"/>
            </w:pPr>
            <w:r/>
            <w:r>
              <w:rPr>
                <w:rFonts w:ascii="Arial" w:hAnsi="Arial" w:cs="Arial"/>
                <w:b w:val="0"/>
                <w:i w:val="0"/>
                <w:sz w:val="17"/>
              </w:rPr>
              <w:t>Screening passed</w:t>
            </w:r>
          </w:p>
        </w:tc>
      </w:tr>
      <w:tr>
        <w:tc>
          <w:tcPr>
            <w:tcW w:type="dxa" w:w="4819"/>
          </w:tcPr>
          <w:p>
            <w:pPr>
              <w:spacing w:after="20" w:before="20" w:line="240" w:lineRule="auto"/>
            </w:pPr>
            <w:r/>
            <w:r>
              <w:rPr>
                <w:rFonts w:ascii="Arial" w:hAnsi="Arial" w:cs="Arial"/>
                <w:b w:val="0"/>
                <w:i w:val="0"/>
                <w:sz w:val="17"/>
              </w:rPr>
              <w:t>EDD</w:t>
            </w:r>
          </w:p>
        </w:tc>
        <w:tc>
          <w:tcPr>
            <w:tcW w:type="dxa" w:w="4819"/>
          </w:tcPr>
          <w:p>
            <w:pPr>
              <w:spacing w:after="20" w:before="20" w:line="240" w:lineRule="auto"/>
            </w:pPr>
            <w:r/>
            <w:r>
              <w:rPr>
                <w:rFonts w:ascii="Arial" w:hAnsi="Arial" w:cs="Arial"/>
                <w:b w:val="0"/>
                <w:i w:val="0"/>
                <w:sz w:val="17"/>
              </w:rPr>
              <w:t>Enhanced Due Diligence required</w:t>
            </w:r>
          </w:p>
        </w:tc>
      </w:tr>
      <w:tr>
        <w:tc>
          <w:tcPr>
            <w:tcW w:type="dxa" w:w="4819"/>
          </w:tcPr>
          <w:p>
            <w:pPr>
              <w:spacing w:after="20" w:before="20" w:line="240" w:lineRule="auto"/>
            </w:pPr>
            <w:r/>
            <w:r>
              <w:rPr>
                <w:rFonts w:ascii="Arial" w:hAnsi="Arial" w:cs="Arial"/>
                <w:b w:val="0"/>
                <w:i w:val="0"/>
                <w:sz w:val="17"/>
              </w:rPr>
              <w:t>BLOCKED</w:t>
            </w:r>
          </w:p>
        </w:tc>
        <w:tc>
          <w:tcPr>
            <w:tcW w:type="dxa" w:w="4819"/>
          </w:tcPr>
          <w:p>
            <w:pPr>
              <w:spacing w:after="20" w:before="20" w:line="240" w:lineRule="auto"/>
            </w:pPr>
            <w:r/>
            <w:r>
              <w:rPr>
                <w:rFonts w:ascii="Arial" w:hAnsi="Arial" w:cs="Arial"/>
                <w:b w:val="0"/>
                <w:i w:val="0"/>
                <w:sz w:val="17"/>
              </w:rPr>
              <w:t>Sanctioned or prohibited — action cannot proceed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Integration with the Governor: the gateway is called synchronously for every `trade.initiate`, `financing.request`, and `distressed.declare`. Its verdict forms part of the Governor pre-screen, and the Decision Panel displays the verdict with remediation steps.</w:t>
      </w:r>
    </w:p>
    <w:p>
      <w:pPr>
        <w:spacing w:after="80" w:line="293" w:lineRule="auto"/>
        <w:jc w:val="left"/>
      </w:pPr>
      <w:r>
        <w:rPr>
          <w:rFonts w:ascii="Times New Roman" w:hAnsi="Times New Roman" w:cs="Times New Roman"/>
          <w:b w:val="0"/>
          <w:i w:val="0"/>
          <w:sz w:val="22"/>
        </w:rPr>
        <w:t>Override and appeal: human override is allowed only with multisig approval — 3-of-5 for a BLOCKED verdict and 1-of-3 for an EDD verdict. The override reason is stored immutably and flagged for quarterly audit.</w:t>
      </w:r>
    </w:p>
    <w:p>
      <w:pPr>
        <w:spacing w:after="80" w:line="293" w:lineRule="auto"/>
        <w:jc w:val="left"/>
      </w:pPr>
      <w:r>
        <w:rPr>
          <w:rFonts w:ascii="Times New Roman" w:hAnsi="Times New Roman" w:cs="Times New Roman"/>
          <w:b w:val="0"/>
          <w:i w:val="0"/>
          <w:sz w:val="22"/>
        </w:rPr>
        <w:t>Internal API endpoint: `POST /v1/compliance/screen` — accepts GTID, HS code, and jurisdiction; returns the verdict and conditions.</w:t>
      </w:r>
    </w:p>
    <w:p>
      <w:pPr>
        <w:keepNext/>
        <w:spacing w:before="180" w:after="80"/>
        <w:outlineLvl w:val="2"/>
      </w:pPr>
      <w:r>
        <w:rPr>
          <w:rFonts w:ascii="Arial" w:hAnsi="Arial" w:cs="Arial"/>
          <w:b/>
          <w:i w:val="0"/>
          <w:color w:val="333333"/>
          <w:sz w:val="23"/>
        </w:rPr>
        <w:t>3.5.14 Automated Suspicious Activity Report (SAR) Generation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automatically detect trade patterns that may indicate money laundering, sanctions evasion, or other financial crimes, and generate a Suspicious Activity Report (SAR) draft in the format required by the relevant Financial Intelligence Unit (FIU).</w:t>
      </w:r>
    </w:p>
    <w:p>
      <w:pPr>
        <w:spacing w:after="80" w:line="293" w:lineRule="auto"/>
        <w:jc w:val="left"/>
      </w:pPr>
      <w:r>
        <w:rPr>
          <w:rFonts w:ascii="Times New Roman" w:hAnsi="Times New Roman" w:cs="Times New Roman"/>
          <w:b w:val="0"/>
          <w:i w:val="0"/>
          <w:sz w:val="22"/>
        </w:rPr>
        <w:t>AI authority: A2 (Isolation Forest plus rule-based detection), A1 (Groq for narrative generation), A4 (Governor for logging and access control).</w:t>
      </w:r>
    </w:p>
    <w:p>
      <w:pPr>
        <w:spacing w:after="80" w:line="293" w:lineRule="auto"/>
        <w:jc w:val="left"/>
      </w:pPr>
      <w:r>
        <w:rPr>
          <w:rFonts w:ascii="Times New Roman" w:hAnsi="Times New Roman" w:cs="Times New Roman"/>
          <w:b w:val="0"/>
          <w:i w:val="0"/>
          <w:sz w:val="22"/>
        </w:rPr>
        <w:t>Detection triggers include volume spikes, circular trade patterns, value mismatches, and further rule-based anomaly patterns.</w:t>
      </w:r>
    </w:p>
    <w:p>
      <w:pPr>
        <w:spacing w:after="80" w:line="293" w:lineRule="auto"/>
        <w:jc w:val="left"/>
      </w:pPr>
      <w:r>
        <w:rPr>
          <w:rFonts w:ascii="Times New Roman" w:hAnsi="Times New Roman" w:cs="Times New Roman"/>
          <w:b w:val="0"/>
          <w:i w:val="0"/>
          <w:sz w:val="22"/>
        </w:rPr>
        <w:t>SAR drafting and review workflow:</w:t>
      </w:r>
    </w:p>
    <w:p>
      <w:pPr>
        <w:spacing w:after="80" w:line="293" w:lineRule="auto"/>
        <w:jc w:val="left"/>
      </w:pPr>
      <w:r>
        <w:rPr>
          <w:rFonts w:ascii="Times New Roman" w:hAnsi="Times New Roman" w:cs="Times New Roman"/>
          <w:b w:val="0"/>
          <w:i w:val="0"/>
          <w:sz w:val="22"/>
        </w:rPr>
        <w:t>1. Detection — the sar-detector agent (A2) compiles evidence. 2. Narrative generation — A1 (Groq) generates the plain-language description. 3. Draft creation — a record is inserted into `suspicious_activity_reports` with status `DRAFT`. 4. Smart Inbox alert — a high-priority item (priority 95) is sent to the compliance officer and the Platform Governance Authority. 5. Review — the compliance officer reviews, edits, and approves. 6. Filing — if the FIU supports electronic filing, the system authenticates and submits via API; otherwise a PDF is generated for manual submission.</w:t>
      </w:r>
    </w:p>
    <w:p>
      <w:pPr>
        <w:spacing w:after="80" w:line="293" w:lineRule="auto"/>
        <w:jc w:val="left"/>
      </w:pPr>
      <w:r>
        <w:rPr>
          <w:rFonts w:ascii="Times New Roman" w:hAnsi="Times New Roman" w:cs="Times New Roman"/>
          <w:b w:val="0"/>
          <w:i w:val="0"/>
          <w:sz w:val="22"/>
        </w:rPr>
        <w:t>Database schema:</w:t>
      </w:r>
    </w:p>
    <w:p>
      <w:pPr>
        <w:spacing w:after="0" w:before="0" w:line="240" w:lineRule="auto"/>
        <w:ind w:left="57"/>
        <w:jc w:val="left"/>
        <w:shd w:val="clear" w:fill="F2F2F2"/>
      </w:pPr>
      <w:r>
        <w:rPr>
          <w:rFonts w:ascii="Consolas" w:hAnsi="Consolas" w:cs="Consolas"/>
          <w:b w:val="0"/>
          <w:i w:val="0"/>
          <w:sz w:val="15"/>
        </w:rPr>
        <w:t>-- suspicious_activity_reports: canonical definition in Section 17.26; not redefined here.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Governance and audit: every SAR generation, edit, and filing is logged in `audit_log`. The Loom hash of the final report is anchored in the blockchain (optional, when the blockchain-anchoring add-on is enabled; see Section 22). The Platform Governance Authority can review all SARs (read-only) and can mark a draft as REJECTED with a reason when the detection was a false positive.</w:t>
      </w:r>
    </w:p>
    <w:p>
      <w:pPr>
        <w:keepNext/>
        <w:spacing w:before="180" w:after="80"/>
        <w:outlineLvl w:val="2"/>
      </w:pPr>
      <w:r>
        <w:rPr>
          <w:rFonts w:ascii="Arial" w:hAnsi="Arial" w:cs="Arial"/>
          <w:b/>
          <w:i w:val="0"/>
          <w:color w:val="333333"/>
          <w:sz w:val="23"/>
        </w:rPr>
        <w:t>3.5.15 Public Loom Verification Endpoint for Government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enable government auditors and external verifiers to cryptographically verify the integrity of a specific trade's Loom hash chain without accessing the full platform or viewing sensitive trade data.</w:t>
      </w:r>
    </w:p>
    <w:p>
      <w:pPr>
        <w:spacing w:after="80" w:line="293" w:lineRule="auto"/>
        <w:jc w:val="left"/>
      </w:pPr>
      <w:r>
        <w:rPr>
          <w:rFonts w:ascii="Times New Roman" w:hAnsi="Times New Roman" w:cs="Times New Roman"/>
          <w:b w:val="0"/>
          <w:i w:val="0"/>
          <w:sz w:val="22"/>
        </w:rPr>
        <w:t>Endpoint: `GET /v1/verify/loom`. Authentication: not required (public endpoint), but rate-limited to 10 requests per minute per IP, and a valid `verification_token` must be provided.</w:t>
      </w:r>
    </w:p>
    <w:p>
      <w:pPr>
        <w:spacing w:after="80" w:line="293" w:lineRule="auto"/>
        <w:jc w:val="left"/>
      </w:pPr>
      <w:r>
        <w:rPr>
          <w:rFonts w:ascii="Times New Roman" w:hAnsi="Times New Roman" w:cs="Times New Roman"/>
          <w:b w:val="0"/>
          <w:i w:val="0"/>
          <w:sz w:val="22"/>
        </w:rPr>
        <w:t>Response (200 OK):</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"genesis_hash": "sha256:abc123...",</w:t>
      </w:r>
    </w:p>
    <w:p>
      <w:pPr>
        <w:spacing w:after="0" w:before="0" w:line="240" w:lineRule="auto"/>
        <w:ind w:left="57"/>
        <w:jc w:val="left"/>
        <w:shd w:val="clear" w:fill="F2F2F2"/>
      </w:pPr>
      <w:r>
        <w:rPr>
          <w:rFonts w:ascii="Consolas" w:hAnsi="Consolas" w:cs="Consolas"/>
          <w:b w:val="0"/>
          <w:i w:val="0"/>
          <w:sz w:val="15"/>
        </w:rPr>
        <w:t xml:space="preserve">    "latest_hash": "sha256:def456...",</w:t>
      </w:r>
    </w:p>
    <w:p>
      <w:pPr>
        <w:spacing w:after="0" w:before="0" w:line="240" w:lineRule="auto"/>
        <w:ind w:left="57"/>
        <w:jc w:val="left"/>
        <w:shd w:val="clear" w:fill="F2F2F2"/>
      </w:pPr>
      <w:r>
        <w:rPr>
          <w:rFonts w:ascii="Consolas" w:hAnsi="Consolas" w:cs="Consolas"/>
          <w:b w:val="0"/>
          <w:i w:val="0"/>
          <w:sz w:val="15"/>
        </w:rPr>
        <w:t xml:space="preserve">    "chain_verified": true,</w:t>
      </w:r>
    </w:p>
    <w:p>
      <w:pPr>
        <w:spacing w:after="0" w:before="0" w:line="240" w:lineRule="auto"/>
        <w:ind w:left="57"/>
        <w:jc w:val="left"/>
        <w:shd w:val="clear" w:fill="F2F2F2"/>
      </w:pPr>
      <w:r>
        <w:rPr>
          <w:rFonts w:ascii="Consolas" w:hAnsi="Consolas" w:cs="Consolas"/>
          <w:b w:val="0"/>
          <w:i w:val="0"/>
          <w:sz w:val="15"/>
        </w:rPr>
        <w:t xml:space="preserve">    "chain_length": 1247,</w:t>
      </w:r>
    </w:p>
    <w:p>
      <w:pPr>
        <w:spacing w:after="0" w:before="0" w:line="240" w:lineRule="auto"/>
        <w:ind w:left="57"/>
        <w:jc w:val="left"/>
        <w:shd w:val="clear" w:fill="F2F2F2"/>
      </w:pPr>
      <w:r>
        <w:rPr>
          <w:rFonts w:ascii="Consolas" w:hAnsi="Consolas" w:cs="Consolas"/>
          <w:b w:val="0"/>
          <w:i w:val="0"/>
          <w:sz w:val="15"/>
        </w:rPr>
        <w:t xml:space="preserve">    "first_decision_timestamp": "2026-04-15T12:00:00Z",</w:t>
      </w:r>
    </w:p>
    <w:p>
      <w:pPr>
        <w:spacing w:after="0" w:before="0" w:line="240" w:lineRule="auto"/>
        <w:ind w:left="57"/>
        <w:jc w:val="left"/>
        <w:shd w:val="clear" w:fill="F2F2F2"/>
      </w:pPr>
      <w:r>
        <w:rPr>
          <w:rFonts w:ascii="Consolas" w:hAnsi="Consolas" w:cs="Consolas"/>
          <w:b w:val="0"/>
          <w:i w:val="0"/>
          <w:sz w:val="15"/>
        </w:rPr>
        <w:t xml:space="preserve">    "last_decision_timestamp": "2026-06-07T10:00:00Z",</w:t>
      </w:r>
    </w:p>
    <w:p>
      <w:pPr>
        <w:spacing w:after="0" w:before="0" w:line="240" w:lineRule="auto"/>
        <w:ind w:left="57"/>
        <w:jc w:val="left"/>
        <w:shd w:val="clear" w:fill="F2F2F2"/>
      </w:pPr>
      <w:r>
        <w:rPr>
          <w:rFonts w:ascii="Consolas" w:hAnsi="Consolas" w:cs="Consolas"/>
          <w:b w:val="0"/>
          <w:i w:val="0"/>
          <w:sz w:val="15"/>
        </w:rPr>
        <w:t xml:space="preserve">    "decision_hashes":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"decision_id": "dec-001",</w:t>
      </w:r>
    </w:p>
    <w:p>
      <w:pPr>
        <w:spacing w:after="0" w:before="0" w:line="240" w:lineRule="auto"/>
        <w:ind w:left="57"/>
        <w:jc w:val="left"/>
        <w:shd w:val="clear" w:fill="F2F2F2"/>
      </w:pPr>
      <w:r>
        <w:rPr>
          <w:rFonts w:ascii="Consolas" w:hAnsi="Consolas" w:cs="Consolas"/>
          <w:b w:val="0"/>
          <w:i w:val="0"/>
          <w:sz w:val="15"/>
        </w:rPr>
        <w:t xml:space="preserve">            "loom_hash": "sha256:...",</w:t>
      </w:r>
    </w:p>
    <w:p>
      <w:pPr>
        <w:spacing w:after="0" w:before="0" w:line="240" w:lineRule="auto"/>
        <w:ind w:left="57"/>
        <w:jc w:val="left"/>
        <w:shd w:val="clear" w:fill="F2F2F2"/>
      </w:pPr>
      <w:r>
        <w:rPr>
          <w:rFonts w:ascii="Consolas" w:hAnsi="Consolas" w:cs="Consolas"/>
          <w:b w:val="0"/>
          <w:i w:val="0"/>
          <w:sz w:val="15"/>
        </w:rPr>
        <w:t xml:space="preserve">            "previous_hash": "sha256:...",</w:t>
      </w:r>
    </w:p>
    <w:p>
      <w:pPr>
        <w:spacing w:after="0" w:before="0" w:line="240" w:lineRule="auto"/>
        <w:ind w:left="57"/>
        <w:jc w:val="left"/>
        <w:shd w:val="clear" w:fill="F2F2F2"/>
      </w:pPr>
      <w:r>
        <w:rPr>
          <w:rFonts w:ascii="Consolas" w:hAnsi="Consolas" w:cs="Consolas"/>
          <w:b w:val="0"/>
          <w:i w:val="0"/>
          <w:sz w:val="15"/>
        </w:rPr>
        <w:t xml:space="preserve">            "timestamp":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Token generation and database schema — tokens are issued per USTN, expire after 90 days, and can be revoked:</w:t>
      </w:r>
    </w:p>
    <w:p>
      <w:pPr>
        <w:spacing w:after="0" w:before="0" w:line="240" w:lineRule="auto"/>
        <w:ind w:left="57"/>
        <w:jc w:val="left"/>
        <w:shd w:val="clear" w:fill="F2F2F2"/>
      </w:pPr>
      <w:r>
        <w:rPr>
          <w:rFonts w:ascii="Consolas" w:hAnsi="Consolas" w:cs="Consolas"/>
          <w:b w:val="0"/>
          <w:i w:val="0"/>
          <w:sz w:val="15"/>
        </w:rPr>
        <w:t>-- loom_verification_tokens: canonical definition in Section 17.17;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3.5.16 Integration with Add-Ons</w:t>
      </w:r>
    </w:p>
    <w:p>
      <w:pPr>
        <w:spacing w:after="80" w:line="293" w:lineRule="auto"/>
        <w:jc w:val="left"/>
      </w:pPr>
      <w:r>
        <w:rPr>
          <w:rFonts w:ascii="Times New Roman" w:hAnsi="Times New Roman" w:cs="Times New Roman"/>
          <w:b w:val="0"/>
          <w:i w:val="0"/>
          <w:sz w:val="22"/>
        </w:rPr>
        <w:t>The Governor calls add-on services synchronously for actions that require advanced risk assessment — but only to advise or constrain, never to recommend. Non-marketplace safeguard: the GNN never suggests "find a different counterparty"; it only flags risk within the existing relationship. The complete add-on catalogue is specified in Section 22.</w:t>
      </w:r>
    </w:p>
    <w:p>
      <w:pPr>
        <w:keepNext/>
        <w:spacing w:before="180" w:after="80"/>
        <w:outlineLvl w:val="2"/>
      </w:pPr>
      <w:r>
        <w:rPr>
          <w:rFonts w:ascii="Arial" w:hAnsi="Arial" w:cs="Arial"/>
          <w:b/>
          <w:i w:val="0"/>
          <w:color w:val="333333"/>
          <w:sz w:val="23"/>
        </w:rPr>
        <w:t>3.5.17 Service Level &amp; Recovery</w:t>
      </w:r>
    </w:p>
    <w:p>
      <w:pPr>
        <w:spacing w:after="80" w:line="293" w:lineRule="auto"/>
        <w:jc w:val="left"/>
      </w:pPr>
      <w:r>
        <w:rPr>
          <w:rFonts w:ascii="Times New Roman" w:hAnsi="Times New Roman" w:cs="Times New Roman"/>
          <w:b w:val="0"/>
          <w:i w:val="0"/>
          <w:sz w:val="22"/>
        </w:rPr>
        <w:t>The Governor is stateless; multiple replicas run behind a load balancer. NATS JetStream persists FeeLock state. If a Governor replica crashes, the remaining replicas continue serving — users are not impacted. Availability and latency objectives for the Governor service are specified with the platform guarantees in Section 21.</w:t>
      </w:r>
    </w:p>
    <w:p>
      <w:pPr>
        <w:keepNext/>
        <w:spacing w:before="240" w:after="100"/>
        <w:outlineLvl w:val="1"/>
      </w:pPr>
      <w:r>
        <w:rPr>
          <w:rFonts w:ascii="Arial" w:hAnsi="Arial" w:cs="Arial"/>
          <w:b/>
          <w:i w:val="0"/>
          <w:color w:val="2E528F"/>
          <w:sz w:val="26"/>
        </w:rPr>
        <w:t>3.6 Amendment Process</w:t>
      </w:r>
    </w:p>
    <w:p>
      <w:pPr>
        <w:spacing w:after="80" w:line="293" w:lineRule="auto"/>
        <w:jc w:val="left"/>
      </w:pPr>
      <w:r>
        <w:rPr>
          <w:rFonts w:ascii="Times New Roman" w:hAnsi="Times New Roman" w:cs="Times New Roman"/>
          <w:b w:val="0"/>
          <w:i w:val="0"/>
          <w:sz w:val="22"/>
        </w:rPr>
        <w:t>Layer 0 principles may be amended only via explicit multisig (3-of-5) plus a 30-day notice process. No implementation decision, business pressure, or operational convenience may override a Layer 0 principle outside this process. Amendment requests are themselves Governor-governed, Loom-recorded, and must include the affected constitutional points, the rationale, the impact analysis, and the migration plan for systems already in conformance.</w:t>
      </w:r>
    </w:p>
    <w:p>
      <w:pPr>
        <w:spacing w:after="80" w:line="293" w:lineRule="auto"/>
        <w:jc w:val="left"/>
      </w:pPr>
      <w:r>
        <w:rPr>
          <w:rFonts w:ascii="Times New Roman" w:hAnsi="Times New Roman" w:cs="Times New Roman"/>
          <w:b w:val="0"/>
          <w:i w:val="0"/>
          <w:sz w:val="22"/>
        </w:rPr>
        <w:t>The full amendment sequence for immutable rules (including constitutional WASM modules):</w:t>
      </w:r>
    </w:p>
    <w:p>
      <w:pPr>
        <w:spacing w:after="80" w:line="293" w:lineRule="auto"/>
        <w:jc w:val="left"/>
      </w:pPr>
      <w:r>
        <w:rPr>
          <w:rFonts w:ascii="Times New Roman" w:hAnsi="Times New Roman" w:cs="Times New Roman"/>
          <w:b w:val="0"/>
          <w:i w:val="0"/>
          <w:sz w:val="22"/>
        </w:rPr>
        <w:t>1. A proposal is submitted via the Admin Portal, which creates a Smart Inbox item for all multisig members. 2. Three of five multisig members approve the proposal. 3. A 30-day public notice period begins — the notice is posted on the status page and emailed to all tenants. 4. After 30 days, a new WASM module is compiled, signed by multisig, and deployed via hot reload. 5. The previous module is archived and its Loom hash is recorded permanently.</w:t>
      </w:r>
    </w:p>
    <w:p>
      <w:pPr>
        <w:spacing w:after="80" w:line="293" w:lineRule="auto"/>
        <w:jc w:val="left"/>
      </w:pPr>
      <w:r>
        <w:rPr>
          <w:rFonts w:ascii="Times New Roman" w:hAnsi="Times New Roman" w:cs="Times New Roman"/>
          <w:b w:val="0"/>
          <w:i w:val="0"/>
          <w:sz w:val="22"/>
        </w:rPr>
        <w:t>Adjustable parameters — fee rates within the 0.1%–2.5% bounds and technical parameters such as timeouts, retry limits, and rate limits (Admin Portal only) — change through multisig without the 30-day constitutional notice, because they are bounded by the immutable rules that govern them (see Section 3.5.5.2).</w:t>
      </w:r>
    </w:p>
    <w:p>
      <w:pPr>
        <w:keepNext/>
        <w:spacing w:before="360" w:after="160"/>
        <w:outlineLvl w:val="0"/>
      </w:pPr>
      <w:r>
        <w:rPr>
          <w:rFonts w:ascii="Arial" w:hAnsi="Arial" w:cs="Arial"/>
          <w:b/>
          <w:i w:val="0"/>
          <w:color w:val="1F3864"/>
          <w:sz w:val="32"/>
        </w:rPr>
        <w:t>4. Identity, Tenancy &amp; Access Architecture</w:t>
      </w:r>
    </w:p>
    <w:p>
      <w:pPr>
        <w:spacing w:after="80" w:line="293" w:lineRule="auto"/>
        <w:jc w:val="left"/>
      </w:pPr>
      <w:r>
        <w:rPr>
          <w:rFonts w:ascii="Times New Roman" w:hAnsi="Times New Roman" w:cs="Times New Roman"/>
          <w:b w:val="0"/>
          <w:i w:val="0"/>
          <w:sz w:val="22"/>
        </w:rPr>
        <w:t>The Identity &amp; Tenants layer is the foundation of trust in SGTX. Every organisation that uses the platform — whether a trader, logistics provider, laboratory, QC inspector, customs broker, financier, or government agency — is assigned a cryptographically verifiable Global Trade Identity (GTID). The GTID is the permanent identifier for all actions, documents, and relationships.</w:t>
      </w:r>
    </w:p>
    <w:p>
      <w:pPr>
        <w:spacing w:after="80" w:line="293" w:lineRule="auto"/>
        <w:jc w:val="left"/>
      </w:pPr>
      <w:r>
        <w:rPr>
          <w:rFonts w:ascii="Times New Roman" w:hAnsi="Times New Roman" w:cs="Times New Roman"/>
          <w:b w:val="0"/>
          <w:i w:val="0"/>
          <w:sz w:val="22"/>
        </w:rPr>
        <w:t>Key principles (non-marketplace):</w:t>
      </w:r>
    </w:p>
    <w:p>
      <w:pPr>
        <w:spacing w:after="80" w:line="293" w:lineRule="auto"/>
        <w:ind w:left="283"/>
        <w:jc w:val="left"/>
      </w:pPr>
      <w:r>
        <w:rPr>
          <w:rFonts w:ascii="Times New Roman" w:hAnsi="Times New Roman" w:cs="Times New Roman"/>
          <w:b w:val="0"/>
          <w:i w:val="0"/>
          <w:sz w:val="22"/>
        </w:rPr>
        <w:t>- Self-sovereign — tenants control their own data; SGTX never shares GTID information without consent.</w:t>
      </w:r>
    </w:p>
    <w:p>
      <w:pPr>
        <w:spacing w:after="80" w:line="293" w:lineRule="auto"/>
        <w:ind w:left="283"/>
        <w:jc w:val="left"/>
      </w:pPr>
      <w:r>
        <w:rPr>
          <w:rFonts w:ascii="Times New Roman" w:hAnsi="Times New Roman" w:cs="Times New Roman"/>
          <w:b w:val="0"/>
          <w:i w:val="0"/>
          <w:sz w:val="22"/>
        </w:rPr>
        <w:t>- AI-assisted onboarding — autocomplete, document extraction (HF Donut), and real-time validation against government registries reduce manual data entry. AI never suggests "you might also want to trade with X".</w:t>
      </w:r>
    </w:p>
    <w:p>
      <w:pPr>
        <w:spacing w:after="80" w:line="293" w:lineRule="auto"/>
        <w:ind w:left="283"/>
        <w:jc w:val="left"/>
      </w:pPr>
      <w:r>
        <w:rPr>
          <w:rFonts w:ascii="Times New Roman" w:hAnsi="Times New Roman" w:cs="Times New Roman"/>
          <w:b w:val="0"/>
          <w:i w:val="0"/>
          <w:sz w:val="22"/>
        </w:rPr>
        <w:t>- No unsolicited counterparty matching — the platform never recommends which tenants to connect with. All relationships are established outside SGTX and then explicitly added by users.</w:t>
      </w:r>
    </w:p>
    <w:p>
      <w:pPr>
        <w:spacing w:after="80" w:line="293" w:lineRule="auto"/>
        <w:ind w:left="283"/>
        <w:jc w:val="left"/>
      </w:pPr>
      <w:r>
        <w:rPr>
          <w:rFonts w:ascii="Times New Roman" w:hAnsi="Times New Roman" w:cs="Times New Roman"/>
          <w:b w:val="0"/>
          <w:i w:val="0"/>
          <w:sz w:val="22"/>
        </w:rPr>
        <w:t>- Flexible role hierarchy — supports dual-mode for traders (Buyer/Seller toggle), business units, approval chains, and granular data scopes (e.g., hiding cost components from warehouse staff).</w:t>
      </w:r>
    </w:p>
    <w:p>
      <w:pPr>
        <w:spacing w:after="80" w:line="293" w:lineRule="auto"/>
        <w:ind w:left="283"/>
        <w:jc w:val="left"/>
      </w:pPr>
      <w:r>
        <w:rPr>
          <w:rFonts w:ascii="Times New Roman" w:hAnsi="Times New Roman" w:cs="Times New Roman"/>
          <w:b w:val="0"/>
          <w:i w:val="0"/>
          <w:sz w:val="22"/>
        </w:rPr>
        <w:t>- Zero-cost onboarding — all onboarding is zero-cost, self-hosted, and uses free government registry APIs (scraped) for KYB/KYC verification.</w:t>
      </w:r>
    </w:p>
    <w:p>
      <w:pPr>
        <w:spacing w:after="80" w:line="293" w:lineRule="auto"/>
        <w:jc w:val="left"/>
      </w:pPr>
      <w:r>
        <w:rPr>
          <w:rFonts w:ascii="Times New Roman" w:hAnsi="Times New Roman" w:cs="Times New Roman"/>
          <w:b w:val="0"/>
          <w:i w:val="0"/>
          <w:sz w:val="22"/>
        </w:rPr>
        <w:t>Acronyms used in this section: GTID (Global Trade Identity / Global Trade Entity ID), KYB (Know Your Business), KYC (Know Your Customer), UBO (Ultimate Beneficial Owner), PEP (Politically Exposed Person), TRI (Trade Reliability Index), JWT (JSON Web Token), OPA (Open Policy Agent), RIA (Regulatory Intelligence Agent), QES (Qualified Electronic Signature), MFA (Multi-Factor Authentication), PDPL (Personal Data Protection Law), WCAG (Web Content Accessibility Guidelines), AR/RFQ (RFQ — Request for Quote), AR (Augmented Reality).</w:t>
      </w:r>
    </w:p>
    <w:p>
      <w:pPr>
        <w:keepNext/>
        <w:spacing w:before="240" w:after="100"/>
        <w:outlineLvl w:val="1"/>
      </w:pPr>
      <w:r>
        <w:rPr>
          <w:rFonts w:ascii="Arial" w:hAnsi="Arial" w:cs="Arial"/>
          <w:b/>
          <w:i w:val="0"/>
          <w:color w:val="2E528F"/>
          <w:sz w:val="26"/>
        </w:rPr>
        <w:t>4.1 GTID — Global Trade Entity ID (Format, Checksum, Verification)</w:t>
      </w:r>
    </w:p>
    <w:p>
      <w:pPr>
        <w:keepNext/>
        <w:spacing w:before="180" w:after="80"/>
        <w:outlineLvl w:val="2"/>
      </w:pPr>
      <w:r>
        <w:rPr>
          <w:rFonts w:ascii="Arial" w:hAnsi="Arial" w:cs="Arial"/>
          <w:b/>
          <w:i w:val="0"/>
          <w:color w:val="333333"/>
          <w:sz w:val="23"/>
        </w:rPr>
        <w:t>4.1.1 GTID Format Specification</w:t>
      </w:r>
    </w:p>
    <w:p>
      <w:pPr>
        <w:keepNext/>
        <w:spacing w:before="140" w:after="60"/>
        <w:outlineLvl w:val="3"/>
      </w:pPr>
      <w:r>
        <w:rPr>
          <w:rFonts w:ascii="Arial" w:hAnsi="Arial" w:cs="Arial"/>
          <w:b/>
          <w:i/>
          <w:color w:val="333333"/>
          <w:sz w:val="22"/>
        </w:rPr>
        <w:t>4.1.1.1 Format Structure</w:t>
      </w:r>
    </w:p>
    <w:p>
      <w:pPr>
        <w:spacing w:after="0" w:before="0" w:line="240" w:lineRule="auto"/>
        <w:ind w:left="57"/>
        <w:jc w:val="left"/>
        <w:shd w:val="clear" w:fill="F2F2F2"/>
      </w:pPr>
      <w:r>
        <w:rPr>
          <w:rFonts w:ascii="Consolas" w:hAnsi="Consolas" w:cs="Consolas"/>
          <w:b w:val="0"/>
          <w:i w:val="0"/>
          <w:sz w:val="15"/>
        </w:rPr>
        <w:t>GTID = "SGTX" + "-" + COUNTRY_CODE + "-" + ENTITY_TYPE + "-" + SEQUENCE + "-" + CHECKSUM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Full Format: SGTX-{COUNTRY_CODE}-{ENTITY_TYPE}-{SEQUENCE}-{CHECKSUM}</w:t>
      </w:r>
    </w:p>
    <w:p>
      <w:pPr>
        <w:spacing w:after="0" w:before="0" w:line="240" w:lineRule="auto"/>
        <w:ind w:left="57"/>
        <w:jc w:val="left"/>
        <w:shd w:val="clear" w:fill="F2F2F2"/>
      </w:pPr>
      <w:r>
        <w:rPr>
          <w:rFonts w:ascii="Consolas" w:hAnsi="Consolas" w:cs="Consolas"/>
          <w:b w:val="0"/>
          <w:i w:val="0"/>
          <w:sz w:val="15"/>
        </w:rPr>
        <w:t>Example:     SGTX-EG-TRD-002139-7F3A</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4.1.1.2 Component Definitions</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Component</w:t>
            </w:r>
          </w:p>
        </w:tc>
        <w:tc>
          <w:tcPr>
            <w:tcW w:type="dxa" w:w="1928"/>
            <w:shd w:val="clear" w:fill="D9E2F3"/>
          </w:tcPr>
          <w:p>
            <w:pPr>
              <w:spacing w:after="20" w:before="20" w:line="240" w:lineRule="auto"/>
            </w:pPr>
            <w:r/>
            <w:r>
              <w:rPr>
                <w:rFonts w:ascii="Arial" w:hAnsi="Arial" w:cs="Arial"/>
                <w:b/>
                <w:i w:val="0"/>
                <w:sz w:val="18"/>
              </w:rPr>
              <w:t>Length</w:t>
            </w:r>
          </w:p>
        </w:tc>
        <w:tc>
          <w:tcPr>
            <w:tcW w:type="dxa" w:w="1928"/>
            <w:shd w:val="clear" w:fill="D9E2F3"/>
          </w:tcPr>
          <w:p>
            <w:pPr>
              <w:spacing w:after="20" w:before="20" w:line="240" w:lineRule="auto"/>
            </w:pPr>
            <w:r/>
            <w:r>
              <w:rPr>
                <w:rFonts w:ascii="Arial" w:hAnsi="Arial" w:cs="Arial"/>
                <w:b/>
                <w:i w:val="0"/>
                <w:sz w:val="18"/>
              </w:rPr>
              <w:t>Description</w:t>
            </w:r>
          </w:p>
        </w:tc>
        <w:tc>
          <w:tcPr>
            <w:tcW w:type="dxa" w:w="1928"/>
            <w:shd w:val="clear" w:fill="D9E2F3"/>
          </w:tcPr>
          <w:p>
            <w:pPr>
              <w:spacing w:after="20" w:before="20" w:line="240" w:lineRule="auto"/>
            </w:pPr>
            <w:r/>
            <w:r>
              <w:rPr>
                <w:rFonts w:ascii="Arial" w:hAnsi="Arial" w:cs="Arial"/>
                <w:b/>
                <w:i w:val="0"/>
                <w:sz w:val="18"/>
              </w:rPr>
              <w:t>Validation Rules</w:t>
            </w:r>
          </w:p>
        </w:tc>
        <w:tc>
          <w:tcPr>
            <w:tcW w:type="dxa" w:w="1928"/>
            <w:shd w:val="clear" w:fill="D9E2F3"/>
          </w:tcPr>
          <w:p>
            <w:pPr>
              <w:spacing w:after="20" w:before="20" w:line="240" w:lineRule="auto"/>
            </w:pPr>
            <w:r/>
            <w:r>
              <w:rPr>
                <w:rFonts w:ascii="Arial" w:hAnsi="Arial" w:cs="Arial"/>
                <w:b/>
                <w:i w:val="0"/>
                <w:sz w:val="18"/>
              </w:rPr>
              <w:t>Example</w:t>
            </w:r>
          </w:p>
        </w:tc>
      </w:tr>
      <w:tr>
        <w:tc>
          <w:tcPr>
            <w:tcW w:type="dxa" w:w="1928"/>
          </w:tcPr>
          <w:p>
            <w:pPr>
              <w:spacing w:after="20" w:before="20" w:line="240" w:lineRule="auto"/>
            </w:pPr>
            <w:r/>
            <w:r>
              <w:rPr>
                <w:rFonts w:ascii="Arial" w:hAnsi="Arial" w:cs="Arial"/>
                <w:b w:val="0"/>
                <w:i w:val="0"/>
                <w:sz w:val="17"/>
              </w:rPr>
              <w:t>Prefix</w:t>
            </w:r>
          </w:p>
        </w:tc>
        <w:tc>
          <w:tcPr>
            <w:tcW w:type="dxa" w:w="1928"/>
          </w:tcPr>
          <w:p>
            <w:pPr>
              <w:spacing w:after="20" w:before="20" w:line="240" w:lineRule="auto"/>
            </w:pPr>
            <w:r/>
            <w:r>
              <w:rPr>
                <w:rFonts w:ascii="Arial" w:hAnsi="Arial" w:cs="Arial"/>
                <w:b w:val="0"/>
                <w:i w:val="0"/>
                <w:sz w:val="17"/>
              </w:rPr>
              <w:t>4</w:t>
            </w:r>
          </w:p>
        </w:tc>
        <w:tc>
          <w:tcPr>
            <w:tcW w:type="dxa" w:w="1928"/>
          </w:tcPr>
          <w:p>
            <w:pPr>
              <w:spacing w:after="20" w:before="20" w:line="240" w:lineRule="auto"/>
            </w:pPr>
            <w:r/>
            <w:r>
              <w:rPr>
                <w:rFonts w:ascii="Arial" w:hAnsi="Arial" w:cs="Arial"/>
                <w:b w:val="0"/>
                <w:i w:val="0"/>
                <w:sz w:val="17"/>
              </w:rPr>
              <w:t>Fixed platform identifier</w:t>
            </w:r>
          </w:p>
        </w:tc>
        <w:tc>
          <w:tcPr>
            <w:tcW w:type="dxa" w:w="1928"/>
          </w:tcPr>
          <w:p>
            <w:pPr>
              <w:spacing w:after="20" w:before="20" w:line="240" w:lineRule="auto"/>
            </w:pPr>
            <w:r/>
            <w:r>
              <w:rPr>
                <w:rFonts w:ascii="Arial" w:hAnsi="Arial" w:cs="Arial"/>
                <w:b w:val="0"/>
                <w:i w:val="0"/>
                <w:sz w:val="17"/>
              </w:rPr>
              <w:t>Must be "SGTX"</w:t>
            </w:r>
          </w:p>
        </w:tc>
        <w:tc>
          <w:tcPr>
            <w:tcW w:type="dxa" w:w="1928"/>
          </w:tcPr>
          <w:p>
            <w:pPr>
              <w:spacing w:after="20" w:before="20" w:line="240" w:lineRule="auto"/>
            </w:pPr>
            <w:r/>
            <w:r>
              <w:rPr>
                <w:rFonts w:ascii="Arial" w:hAnsi="Arial" w:cs="Arial"/>
                <w:b w:val="0"/>
                <w:i w:val="0"/>
                <w:sz w:val="17"/>
              </w:rPr>
              <w:t>SGTX</w:t>
            </w:r>
          </w:p>
        </w:tc>
      </w:tr>
      <w:tr>
        <w:tc>
          <w:tcPr>
            <w:tcW w:type="dxa" w:w="1928"/>
          </w:tcPr>
          <w:p>
            <w:pPr>
              <w:spacing w:after="20" w:before="20" w:line="240" w:lineRule="auto"/>
            </w:pPr>
            <w:r/>
            <w:r>
              <w:rPr>
                <w:rFonts w:ascii="Arial" w:hAnsi="Arial" w:cs="Arial"/>
                <w:b w:val="0"/>
                <w:i w:val="0"/>
                <w:sz w:val="17"/>
              </w:rPr>
              <w:t>COUNTRY_CODE</w:t>
            </w:r>
          </w:p>
        </w:tc>
        <w:tc>
          <w:tcPr>
            <w:tcW w:type="dxa" w:w="1928"/>
          </w:tcPr>
          <w:p>
            <w:pPr>
              <w:spacing w:after="20" w:before="20" w:line="240" w:lineRule="auto"/>
            </w:pPr>
            <w:r/>
            <w:r>
              <w:rPr>
                <w:rFonts w:ascii="Arial" w:hAnsi="Arial" w:cs="Arial"/>
                <w:b w:val="0"/>
                <w:i w:val="0"/>
                <w:sz w:val="17"/>
              </w:rPr>
              <w:t>2</w:t>
            </w:r>
          </w:p>
        </w:tc>
        <w:tc>
          <w:tcPr>
            <w:tcW w:type="dxa" w:w="1928"/>
          </w:tcPr>
          <w:p>
            <w:pPr>
              <w:spacing w:after="20" w:before="20" w:line="240" w:lineRule="auto"/>
            </w:pPr>
            <w:r/>
            <w:r>
              <w:rPr>
                <w:rFonts w:ascii="Arial" w:hAnsi="Arial" w:cs="Arial"/>
                <w:b w:val="0"/>
                <w:i w:val="0"/>
                <w:sz w:val="17"/>
              </w:rPr>
              <w:t>ISO 3166-1 alpha-2 country code</w:t>
            </w:r>
          </w:p>
        </w:tc>
        <w:tc>
          <w:tcPr>
            <w:tcW w:type="dxa" w:w="1928"/>
          </w:tcPr>
          <w:p>
            <w:pPr>
              <w:spacing w:after="20" w:before="20" w:line="240" w:lineRule="auto"/>
            </w:pPr>
            <w:r/>
            <w:r>
              <w:rPr>
                <w:rFonts w:ascii="Arial" w:hAnsi="Arial" w:cs="Arial"/>
                <w:b w:val="0"/>
                <w:i w:val="0"/>
                <w:sz w:val="17"/>
              </w:rPr>
              <w:t>Must exist in jurisdictions table; must not be BLOCKED</w:t>
            </w:r>
          </w:p>
        </w:tc>
        <w:tc>
          <w:tcPr>
            <w:tcW w:type="dxa" w:w="1928"/>
          </w:tcPr>
          <w:p>
            <w:pPr>
              <w:spacing w:after="20" w:before="20" w:line="240" w:lineRule="auto"/>
            </w:pPr>
            <w:r/>
            <w:r>
              <w:rPr>
                <w:rFonts w:ascii="Arial" w:hAnsi="Arial" w:cs="Arial"/>
                <w:b w:val="0"/>
                <w:i w:val="0"/>
                <w:sz w:val="17"/>
              </w:rPr>
              <w:t>EG (Egypt), DE (Germany), VN (Vietnam)</w:t>
            </w:r>
          </w:p>
        </w:tc>
      </w:tr>
      <w:tr>
        <w:tc>
          <w:tcPr>
            <w:tcW w:type="dxa" w:w="1928"/>
          </w:tcPr>
          <w:p>
            <w:pPr>
              <w:spacing w:after="20" w:before="20" w:line="240" w:lineRule="auto"/>
            </w:pPr>
            <w:r/>
            <w:r>
              <w:rPr>
                <w:rFonts w:ascii="Arial" w:hAnsi="Arial" w:cs="Arial"/>
                <w:b w:val="0"/>
                <w:i w:val="0"/>
                <w:sz w:val="17"/>
              </w:rPr>
              <w:t>ENTITY_TYPE</w:t>
            </w:r>
          </w:p>
        </w:tc>
        <w:tc>
          <w:tcPr>
            <w:tcW w:type="dxa" w:w="1928"/>
          </w:tcPr>
          <w:p>
            <w:pPr>
              <w:spacing w:after="20" w:before="20" w:line="240" w:lineRule="auto"/>
            </w:pPr>
            <w:r/>
            <w:r>
              <w:rPr>
                <w:rFonts w:ascii="Arial" w:hAnsi="Arial" w:cs="Arial"/>
                <w:b w:val="0"/>
                <w:i w:val="0"/>
                <w:sz w:val="17"/>
              </w:rPr>
              <w:t>3</w:t>
            </w:r>
          </w:p>
        </w:tc>
        <w:tc>
          <w:tcPr>
            <w:tcW w:type="dxa" w:w="1928"/>
          </w:tcPr>
          <w:p>
            <w:pPr>
              <w:spacing w:after="20" w:before="20" w:line="240" w:lineRule="auto"/>
            </w:pPr>
            <w:r/>
            <w:r>
              <w:rPr>
                <w:rFonts w:ascii="Arial" w:hAnsi="Arial" w:cs="Arial"/>
                <w:b w:val="0"/>
                <w:i w:val="0"/>
                <w:sz w:val="17"/>
              </w:rPr>
              <w:t>Entity type code (see Section 4.1.2)</w:t>
            </w:r>
          </w:p>
        </w:tc>
        <w:tc>
          <w:tcPr>
            <w:tcW w:type="dxa" w:w="1928"/>
          </w:tcPr>
          <w:p>
            <w:pPr>
              <w:spacing w:after="20" w:before="20" w:line="240" w:lineRule="auto"/>
            </w:pPr>
            <w:r/>
            <w:r>
              <w:rPr>
                <w:rFonts w:ascii="Arial" w:hAnsi="Arial" w:cs="Arial"/>
                <w:b w:val="0"/>
                <w:i w:val="0"/>
                <w:sz w:val="17"/>
              </w:rPr>
              <w:t>Must be one of 9 defined codes: TRD, LSP, SHIP, LAB, QC, FIN, GOV, MP, CBR</w:t>
            </w:r>
          </w:p>
        </w:tc>
        <w:tc>
          <w:tcPr>
            <w:tcW w:type="dxa" w:w="1928"/>
          </w:tcPr>
          <w:p>
            <w:pPr>
              <w:spacing w:after="20" w:before="20" w:line="240" w:lineRule="auto"/>
            </w:pPr>
            <w:r/>
            <w:r>
              <w:rPr>
                <w:rFonts w:ascii="Arial" w:hAnsi="Arial" w:cs="Arial"/>
                <w:b w:val="0"/>
                <w:i w:val="0"/>
                <w:sz w:val="17"/>
              </w:rPr>
              <w:t>TRD</w:t>
            </w:r>
          </w:p>
        </w:tc>
      </w:tr>
      <w:tr>
        <w:tc>
          <w:tcPr>
            <w:tcW w:type="dxa" w:w="1928"/>
          </w:tcPr>
          <w:p>
            <w:pPr>
              <w:spacing w:after="20" w:before="20" w:line="240" w:lineRule="auto"/>
            </w:pPr>
            <w:r/>
            <w:r>
              <w:rPr>
                <w:rFonts w:ascii="Arial" w:hAnsi="Arial" w:cs="Arial"/>
                <w:b w:val="0"/>
                <w:i w:val="0"/>
                <w:sz w:val="17"/>
              </w:rPr>
              <w:t>SEQUENCE</w:t>
            </w:r>
          </w:p>
        </w:tc>
        <w:tc>
          <w:tcPr>
            <w:tcW w:type="dxa" w:w="1928"/>
          </w:tcPr>
          <w:p>
            <w:pPr>
              <w:spacing w:after="20" w:before="20" w:line="240" w:lineRule="auto"/>
            </w:pPr>
            <w:r/>
            <w:r>
              <w:rPr>
                <w:rFonts w:ascii="Arial" w:hAnsi="Arial" w:cs="Arial"/>
                <w:b w:val="0"/>
                <w:i w:val="0"/>
                <w:sz w:val="17"/>
              </w:rPr>
              <w:t>6</w:t>
            </w:r>
          </w:p>
        </w:tc>
        <w:tc>
          <w:tcPr>
            <w:tcW w:type="dxa" w:w="1928"/>
          </w:tcPr>
          <w:p>
            <w:pPr>
              <w:spacing w:after="20" w:before="20" w:line="240" w:lineRule="auto"/>
            </w:pPr>
            <w:r/>
            <w:r>
              <w:rPr>
                <w:rFonts w:ascii="Arial" w:hAnsi="Arial" w:cs="Arial"/>
                <w:b w:val="0"/>
                <w:i w:val="0"/>
                <w:sz w:val="17"/>
              </w:rPr>
              <w:t>Zero-padded sequential number</w:t>
            </w:r>
          </w:p>
        </w:tc>
        <w:tc>
          <w:tcPr>
            <w:tcW w:type="dxa" w:w="1928"/>
          </w:tcPr>
          <w:p>
            <w:pPr>
              <w:spacing w:after="20" w:before="20" w:line="240" w:lineRule="auto"/>
            </w:pPr>
            <w:r/>
            <w:r>
              <w:rPr>
                <w:rFonts w:ascii="Arial" w:hAnsi="Arial" w:cs="Arial"/>
                <w:b w:val="0"/>
                <w:i w:val="0"/>
                <w:sz w:val="17"/>
              </w:rPr>
              <w:t>Unique per (COUNTRY_CODE, ENTITY_TYPE) pair; atomic increment</w:t>
            </w:r>
          </w:p>
        </w:tc>
        <w:tc>
          <w:tcPr>
            <w:tcW w:type="dxa" w:w="1928"/>
          </w:tcPr>
          <w:p>
            <w:pPr>
              <w:spacing w:after="20" w:before="20" w:line="240" w:lineRule="auto"/>
            </w:pPr>
            <w:r/>
            <w:r>
              <w:rPr>
                <w:rFonts w:ascii="Arial" w:hAnsi="Arial" w:cs="Arial"/>
                <w:b w:val="0"/>
                <w:i w:val="0"/>
                <w:sz w:val="17"/>
              </w:rPr>
              <w:t>002139 (2,139th trader in Egypt)</w:t>
            </w:r>
          </w:p>
        </w:tc>
      </w:tr>
      <w:tr>
        <w:tc>
          <w:tcPr>
            <w:tcW w:type="dxa" w:w="1928"/>
          </w:tcPr>
          <w:p>
            <w:pPr>
              <w:spacing w:after="20" w:before="20" w:line="240" w:lineRule="auto"/>
            </w:pPr>
            <w:r/>
            <w:r>
              <w:rPr>
                <w:rFonts w:ascii="Arial" w:hAnsi="Arial" w:cs="Arial"/>
                <w:b w:val="0"/>
                <w:i w:val="0"/>
                <w:sz w:val="17"/>
              </w:rPr>
              <w:t>CHECKSUM</w:t>
            </w:r>
          </w:p>
        </w:tc>
        <w:tc>
          <w:tcPr>
            <w:tcW w:type="dxa" w:w="1928"/>
          </w:tcPr>
          <w:p>
            <w:pPr>
              <w:spacing w:after="20" w:before="20" w:line="240" w:lineRule="auto"/>
            </w:pPr>
            <w:r/>
            <w:r>
              <w:rPr>
                <w:rFonts w:ascii="Arial" w:hAnsi="Arial" w:cs="Arial"/>
                <w:b w:val="0"/>
                <w:i w:val="0"/>
                <w:sz w:val="17"/>
              </w:rPr>
              <w:t>4</w:t>
            </w:r>
          </w:p>
        </w:tc>
        <w:tc>
          <w:tcPr>
            <w:tcW w:type="dxa" w:w="1928"/>
          </w:tcPr>
          <w:p>
            <w:pPr>
              <w:spacing w:after="20" w:before="20" w:line="240" w:lineRule="auto"/>
            </w:pPr>
            <w:r/>
            <w:r>
              <w:rPr>
                <w:rFonts w:ascii="Arial" w:hAnsi="Arial" w:cs="Arial"/>
                <w:b w:val="0"/>
                <w:i w:val="0"/>
                <w:sz w:val="17"/>
              </w:rPr>
              <w:t>Hexadecimal checksum</w:t>
            </w:r>
          </w:p>
        </w:tc>
        <w:tc>
          <w:tcPr>
            <w:tcW w:type="dxa" w:w="1928"/>
          </w:tcPr>
          <w:p>
            <w:pPr>
              <w:spacing w:after="20" w:before="20" w:line="240" w:lineRule="auto"/>
            </w:pPr>
            <w:r/>
            <w:r>
              <w:rPr>
                <w:rFonts w:ascii="Arial" w:hAnsi="Arial" w:cs="Arial"/>
                <w:b w:val="0"/>
                <w:i w:val="0"/>
                <w:sz w:val="17"/>
              </w:rPr>
              <w:t>CRC32-ISO-HDLC of concatenated fields</w:t>
            </w:r>
          </w:p>
        </w:tc>
        <w:tc>
          <w:tcPr>
            <w:tcW w:type="dxa" w:w="1928"/>
          </w:tcPr>
          <w:p>
            <w:pPr>
              <w:spacing w:after="20" w:before="20" w:line="240" w:lineRule="auto"/>
            </w:pPr>
            <w:r/>
            <w:r>
              <w:rPr>
                <w:rFonts w:ascii="Arial" w:hAnsi="Arial" w:cs="Arial"/>
                <w:b w:val="0"/>
                <w:i w:val="0"/>
                <w:sz w:val="17"/>
              </w:rPr>
              <w:t>7F3A</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4.1.1.3 Total Length</w:t>
      </w:r>
    </w:p>
    <w:p>
      <w:pPr>
        <w:spacing w:after="0" w:before="0" w:line="240" w:lineRule="auto"/>
        <w:ind w:left="57"/>
        <w:jc w:val="left"/>
        <w:shd w:val="clear" w:fill="F2F2F2"/>
      </w:pPr>
      <w:r>
        <w:rPr>
          <w:rFonts w:ascii="Consolas" w:hAnsi="Consolas" w:cs="Consolas"/>
          <w:b w:val="0"/>
          <w:i w:val="0"/>
          <w:sz w:val="15"/>
        </w:rPr>
        <w:t>4 + 1 + 2 + 1 + 3 + 1 + 6 + 1 + 4 = 23 characters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4.1.2 Entity Type Codes</w:t>
      </w:r>
    </w:p>
    <w:p>
      <w:pPr>
        <w:spacing w:after="80" w:line="293" w:lineRule="auto"/>
        <w:jc w:val="left"/>
      </w:pPr>
      <w:r>
        <w:rPr>
          <w:rFonts w:ascii="Times New Roman" w:hAnsi="Times New Roman" w:cs="Times New Roman"/>
          <w:b w:val="0"/>
          <w:i w:val="0"/>
          <w:sz w:val="22"/>
        </w:rPr>
        <w:t>The ENTITY_TYPE code determines the tenant's primary role on the platform and influences available features, portals, and permissions.</w:t>
      </w:r>
    </w:p>
    <w:p>
      <w:pPr>
        <w:keepNext/>
        <w:spacing w:before="140" w:after="60"/>
        <w:outlineLvl w:val="3"/>
      </w:pPr>
      <w:r>
        <w:rPr>
          <w:rFonts w:ascii="Arial" w:hAnsi="Arial" w:cs="Arial"/>
          <w:b/>
          <w:i/>
          <w:color w:val="333333"/>
          <w:sz w:val="22"/>
        </w:rPr>
        <w:t>4.1.2.1 Core Entity Types</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Code</w:t>
            </w:r>
          </w:p>
        </w:tc>
        <w:tc>
          <w:tcPr>
            <w:tcW w:type="dxa" w:w="1606"/>
            <w:shd w:val="clear" w:fill="D9E2F3"/>
          </w:tcPr>
          <w:p>
            <w:pPr>
              <w:spacing w:after="20" w:before="20" w:line="240" w:lineRule="auto"/>
            </w:pPr>
            <w:r/>
            <w:r>
              <w:rPr>
                <w:rFonts w:ascii="Arial" w:hAnsi="Arial" w:cs="Arial"/>
                <w:b/>
                <w:i w:val="0"/>
                <w:sz w:val="18"/>
              </w:rPr>
              <w:t>Type</w:t>
            </w:r>
          </w:p>
        </w:tc>
        <w:tc>
          <w:tcPr>
            <w:tcW w:type="dxa" w:w="1606"/>
            <w:shd w:val="clear" w:fill="D9E2F3"/>
          </w:tcPr>
          <w:p>
            <w:pPr>
              <w:spacing w:after="20" w:before="20" w:line="240" w:lineRule="auto"/>
            </w:pPr>
            <w:r/>
            <w:r>
              <w:rPr>
                <w:rFonts w:ascii="Arial" w:hAnsi="Arial" w:cs="Arial"/>
                <w:b/>
                <w:i w:val="0"/>
                <w:sz w:val="18"/>
              </w:rPr>
              <w:t>Description</w:t>
            </w:r>
          </w:p>
        </w:tc>
        <w:tc>
          <w:tcPr>
            <w:tcW w:type="dxa" w:w="1606"/>
            <w:shd w:val="clear" w:fill="D9E2F3"/>
          </w:tcPr>
          <w:p>
            <w:pPr>
              <w:spacing w:after="20" w:before="20" w:line="240" w:lineRule="auto"/>
            </w:pPr>
            <w:r/>
            <w:r>
              <w:rPr>
                <w:rFonts w:ascii="Arial" w:hAnsi="Arial" w:cs="Arial"/>
                <w:b/>
                <w:i w:val="0"/>
                <w:sz w:val="18"/>
              </w:rPr>
              <w:t>Portal</w:t>
            </w:r>
          </w:p>
        </w:tc>
        <w:tc>
          <w:tcPr>
            <w:tcW w:type="dxa" w:w="1606"/>
            <w:shd w:val="clear" w:fill="D9E2F3"/>
          </w:tcPr>
          <w:p>
            <w:pPr>
              <w:spacing w:after="20" w:before="20" w:line="240" w:lineRule="auto"/>
            </w:pPr>
            <w:r/>
            <w:r>
              <w:rPr>
                <w:rFonts w:ascii="Arial" w:hAnsi="Arial" w:cs="Arial"/>
                <w:b/>
                <w:i w:val="0"/>
                <w:sz w:val="18"/>
              </w:rPr>
              <w:t>Dual-Mode Toggle?</w:t>
            </w:r>
          </w:p>
        </w:tc>
        <w:tc>
          <w:tcPr>
            <w:tcW w:type="dxa" w:w="1606"/>
            <w:shd w:val="clear" w:fill="D9E2F3"/>
          </w:tcPr>
          <w:p>
            <w:pPr>
              <w:spacing w:after="20" w:before="20" w:line="240" w:lineRule="auto"/>
            </w:pPr>
            <w:r/>
            <w:r>
              <w:rPr>
                <w:rFonts w:ascii="Arial" w:hAnsi="Arial" w:cs="Arial"/>
                <w:b/>
                <w:i w:val="0"/>
                <w:sz w:val="18"/>
              </w:rPr>
              <w:t>KYB Tier Required</w:t>
            </w:r>
          </w:p>
        </w:tc>
      </w:tr>
      <w:tr>
        <w:tc>
          <w:tcPr>
            <w:tcW w:type="dxa" w:w="1606"/>
          </w:tcPr>
          <w:p>
            <w:pPr>
              <w:spacing w:after="20" w:before="20" w:line="240" w:lineRule="auto"/>
            </w:pPr>
            <w:r/>
            <w:r>
              <w:rPr>
                <w:rFonts w:ascii="Arial" w:hAnsi="Arial" w:cs="Arial"/>
                <w:b w:val="0"/>
                <w:i w:val="0"/>
                <w:sz w:val="17"/>
              </w:rPr>
              <w:t>TRD</w:t>
            </w:r>
          </w:p>
        </w:tc>
        <w:tc>
          <w:tcPr>
            <w:tcW w:type="dxa" w:w="1606"/>
          </w:tcPr>
          <w:p>
            <w:pPr>
              <w:spacing w:after="20" w:before="20" w:line="240" w:lineRule="auto"/>
            </w:pPr>
            <w:r/>
            <w:r>
              <w:rPr>
                <w:rFonts w:ascii="Arial" w:hAnsi="Arial" w:cs="Arial"/>
                <w:b w:val="0"/>
                <w:i w:val="0"/>
                <w:sz w:val="17"/>
              </w:rPr>
              <w:t>Trader</w:t>
            </w:r>
          </w:p>
        </w:tc>
        <w:tc>
          <w:tcPr>
            <w:tcW w:type="dxa" w:w="1606"/>
          </w:tcPr>
          <w:p>
            <w:pPr>
              <w:spacing w:after="20" w:before="20" w:line="240" w:lineRule="auto"/>
            </w:pPr>
            <w:r/>
            <w:r>
              <w:rPr>
                <w:rFonts w:ascii="Arial" w:hAnsi="Arial" w:cs="Arial"/>
                <w:b w:val="0"/>
                <w:i w:val="0"/>
                <w:sz w:val="17"/>
              </w:rPr>
              <w:t>Exporter, importer, or trading house</w:t>
            </w:r>
          </w:p>
        </w:tc>
        <w:tc>
          <w:tcPr>
            <w:tcW w:type="dxa" w:w="1606"/>
          </w:tcPr>
          <w:p>
            <w:pPr>
              <w:spacing w:after="20" w:before="20" w:line="240" w:lineRule="auto"/>
            </w:pPr>
            <w:r/>
            <w:r>
              <w:rPr>
                <w:rFonts w:ascii="Arial" w:hAnsi="Arial" w:cs="Arial"/>
                <w:b w:val="0"/>
                <w:i w:val="0"/>
                <w:sz w:val="17"/>
              </w:rPr>
              <w:t>Trader Portal (Buyer/Seller)</w:t>
            </w:r>
          </w:p>
        </w:tc>
        <w:tc>
          <w:tcPr>
            <w:tcW w:type="dxa" w:w="1606"/>
          </w:tcPr>
          <w:p>
            <w:pPr>
              <w:spacing w:after="20" w:before="20" w:line="240" w:lineRule="auto"/>
            </w:pPr>
            <w:r/>
            <w:r>
              <w:rPr>
                <w:rFonts w:ascii="Arial" w:hAnsi="Arial" w:cs="Arial"/>
                <w:b w:val="0"/>
                <w:i w:val="0"/>
                <w:sz w:val="17"/>
              </w:rPr>
              <w:t>Yes (BUY/SELL/DUAL)</w:t>
            </w:r>
          </w:p>
        </w:tc>
        <w:tc>
          <w:tcPr>
            <w:tcW w:type="dxa" w:w="1606"/>
          </w:tcPr>
          <w:p>
            <w:pPr>
              <w:spacing w:after="20" w:before="20" w:line="240" w:lineRule="auto"/>
            </w:pPr>
            <w:r/>
            <w:r>
              <w:rPr>
                <w:rFonts w:ascii="Arial" w:hAnsi="Arial" w:cs="Arial"/>
                <w:b w:val="0"/>
                <w:i w:val="0"/>
                <w:sz w:val="17"/>
              </w:rPr>
              <w:t>Tier 2 (Standard)</w:t>
            </w:r>
          </w:p>
        </w:tc>
      </w:tr>
      <w:tr>
        <w:tc>
          <w:tcPr>
            <w:tcW w:type="dxa" w:w="1606"/>
          </w:tcPr>
          <w:p>
            <w:pPr>
              <w:spacing w:after="20" w:before="20" w:line="240" w:lineRule="auto"/>
            </w:pPr>
            <w:r/>
            <w:r>
              <w:rPr>
                <w:rFonts w:ascii="Arial" w:hAnsi="Arial" w:cs="Arial"/>
                <w:b w:val="0"/>
                <w:i w:val="0"/>
                <w:sz w:val="17"/>
              </w:rPr>
              <w:t>LSP</w:t>
            </w:r>
          </w:p>
        </w:tc>
        <w:tc>
          <w:tcPr>
            <w:tcW w:type="dxa" w:w="1606"/>
          </w:tcPr>
          <w:p>
            <w:pPr>
              <w:spacing w:after="20" w:before="20" w:line="240" w:lineRule="auto"/>
            </w:pPr>
            <w:r/>
            <w:r>
              <w:rPr>
                <w:rFonts w:ascii="Arial" w:hAnsi="Arial" w:cs="Arial"/>
                <w:b w:val="0"/>
                <w:i w:val="0"/>
                <w:sz w:val="17"/>
              </w:rPr>
              <w:t>Logistics Service Provider</w:t>
            </w:r>
          </w:p>
        </w:tc>
        <w:tc>
          <w:tcPr>
            <w:tcW w:type="dxa" w:w="1606"/>
          </w:tcPr>
          <w:p>
            <w:pPr>
              <w:spacing w:after="20" w:before="20" w:line="240" w:lineRule="auto"/>
            </w:pPr>
            <w:r/>
            <w:r>
              <w:rPr>
                <w:rFonts w:ascii="Arial" w:hAnsi="Arial" w:cs="Arial"/>
                <w:b w:val="0"/>
                <w:i w:val="0"/>
                <w:sz w:val="17"/>
              </w:rPr>
              <w:t>Trucking, freight forwarding, warehousing</w:t>
            </w:r>
          </w:p>
        </w:tc>
        <w:tc>
          <w:tcPr>
            <w:tcW w:type="dxa" w:w="1606"/>
          </w:tcPr>
          <w:p>
            <w:pPr>
              <w:spacing w:after="20" w:before="20" w:line="240" w:lineRule="auto"/>
            </w:pPr>
            <w:r/>
            <w:r>
              <w:rPr>
                <w:rFonts w:ascii="Arial" w:hAnsi="Arial" w:cs="Arial"/>
                <w:b w:val="0"/>
                <w:i w:val="0"/>
                <w:sz w:val="17"/>
              </w:rPr>
              <w:t>LSP Portal</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Tier 2</w:t>
            </w:r>
          </w:p>
        </w:tc>
      </w:tr>
      <w:tr>
        <w:tc>
          <w:tcPr>
            <w:tcW w:type="dxa" w:w="1606"/>
          </w:tcPr>
          <w:p>
            <w:pPr>
              <w:spacing w:after="20" w:before="20" w:line="240" w:lineRule="auto"/>
            </w:pPr>
            <w:r/>
            <w:r>
              <w:rPr>
                <w:rFonts w:ascii="Arial" w:hAnsi="Arial" w:cs="Arial"/>
                <w:b w:val="0"/>
                <w:i w:val="0"/>
                <w:sz w:val="17"/>
              </w:rPr>
              <w:t>SHIP</w:t>
            </w:r>
          </w:p>
        </w:tc>
        <w:tc>
          <w:tcPr>
            <w:tcW w:type="dxa" w:w="1606"/>
          </w:tcPr>
          <w:p>
            <w:pPr>
              <w:spacing w:after="20" w:before="20" w:line="240" w:lineRule="auto"/>
            </w:pPr>
            <w:r/>
            <w:r>
              <w:rPr>
                <w:rFonts w:ascii="Arial" w:hAnsi="Arial" w:cs="Arial"/>
                <w:b w:val="0"/>
                <w:i w:val="0"/>
                <w:sz w:val="17"/>
              </w:rPr>
              <w:t>Shipping Line</w:t>
            </w:r>
          </w:p>
        </w:tc>
        <w:tc>
          <w:tcPr>
            <w:tcW w:type="dxa" w:w="1606"/>
          </w:tcPr>
          <w:p>
            <w:pPr>
              <w:spacing w:after="20" w:before="20" w:line="240" w:lineRule="auto"/>
            </w:pPr>
            <w:r/>
            <w:r>
              <w:rPr>
                <w:rFonts w:ascii="Arial" w:hAnsi="Arial" w:cs="Arial"/>
                <w:b w:val="0"/>
                <w:i w:val="0"/>
                <w:sz w:val="17"/>
              </w:rPr>
              <w:t>Ocean carrier, NVOCC, vessel operator</w:t>
            </w:r>
          </w:p>
        </w:tc>
        <w:tc>
          <w:tcPr>
            <w:tcW w:type="dxa" w:w="1606"/>
          </w:tcPr>
          <w:p>
            <w:pPr>
              <w:spacing w:after="20" w:before="20" w:line="240" w:lineRule="auto"/>
            </w:pPr>
            <w:r/>
            <w:r>
              <w:rPr>
                <w:rFonts w:ascii="Arial" w:hAnsi="Arial" w:cs="Arial"/>
                <w:b w:val="0"/>
                <w:i w:val="0"/>
                <w:sz w:val="17"/>
              </w:rPr>
              <w:t>SHIP Portal</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Tier 2</w:t>
            </w:r>
          </w:p>
        </w:tc>
      </w:tr>
      <w:tr>
        <w:tc>
          <w:tcPr>
            <w:tcW w:type="dxa" w:w="1606"/>
          </w:tcPr>
          <w:p>
            <w:pPr>
              <w:spacing w:after="20" w:before="20" w:line="240" w:lineRule="auto"/>
            </w:pPr>
            <w:r/>
            <w:r>
              <w:rPr>
                <w:rFonts w:ascii="Arial" w:hAnsi="Arial" w:cs="Arial"/>
                <w:b w:val="0"/>
                <w:i w:val="0"/>
                <w:sz w:val="17"/>
              </w:rPr>
              <w:t>LAB</w:t>
            </w:r>
          </w:p>
        </w:tc>
        <w:tc>
          <w:tcPr>
            <w:tcW w:type="dxa" w:w="1606"/>
          </w:tcPr>
          <w:p>
            <w:pPr>
              <w:spacing w:after="20" w:before="20" w:line="240" w:lineRule="auto"/>
            </w:pPr>
            <w:r/>
            <w:r>
              <w:rPr>
                <w:rFonts w:ascii="Arial" w:hAnsi="Arial" w:cs="Arial"/>
                <w:b w:val="0"/>
                <w:i w:val="0"/>
                <w:sz w:val="17"/>
              </w:rPr>
              <w:t>Laboratory</w:t>
            </w:r>
          </w:p>
        </w:tc>
        <w:tc>
          <w:tcPr>
            <w:tcW w:type="dxa" w:w="1606"/>
          </w:tcPr>
          <w:p>
            <w:pPr>
              <w:spacing w:after="20" w:before="20" w:line="240" w:lineRule="auto"/>
            </w:pPr>
            <w:r/>
            <w:r>
              <w:rPr>
                <w:rFonts w:ascii="Arial" w:hAnsi="Arial" w:cs="Arial"/>
                <w:b w:val="0"/>
                <w:i w:val="0"/>
                <w:sz w:val="17"/>
              </w:rPr>
              <w:t>ISO 17025 accredited testing</w:t>
            </w:r>
          </w:p>
        </w:tc>
        <w:tc>
          <w:tcPr>
            <w:tcW w:type="dxa" w:w="1606"/>
          </w:tcPr>
          <w:p>
            <w:pPr>
              <w:spacing w:after="20" w:before="20" w:line="240" w:lineRule="auto"/>
            </w:pPr>
            <w:r/>
            <w:r>
              <w:rPr>
                <w:rFonts w:ascii="Arial" w:hAnsi="Arial" w:cs="Arial"/>
                <w:b w:val="0"/>
                <w:i w:val="0"/>
                <w:sz w:val="17"/>
              </w:rPr>
              <w:t>LAB Portal</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Tier 2</w:t>
            </w:r>
          </w:p>
        </w:tc>
      </w:tr>
      <w:tr>
        <w:tc>
          <w:tcPr>
            <w:tcW w:type="dxa" w:w="1606"/>
          </w:tcPr>
          <w:p>
            <w:pPr>
              <w:spacing w:after="20" w:before="20" w:line="240" w:lineRule="auto"/>
            </w:pPr>
            <w:r/>
            <w:r>
              <w:rPr>
                <w:rFonts w:ascii="Arial" w:hAnsi="Arial" w:cs="Arial"/>
                <w:b w:val="0"/>
                <w:i w:val="0"/>
                <w:sz w:val="17"/>
              </w:rPr>
              <w:t>QC</w:t>
            </w:r>
          </w:p>
        </w:tc>
        <w:tc>
          <w:tcPr>
            <w:tcW w:type="dxa" w:w="1606"/>
          </w:tcPr>
          <w:p>
            <w:pPr>
              <w:spacing w:after="20" w:before="20" w:line="240" w:lineRule="auto"/>
            </w:pPr>
            <w:r/>
            <w:r>
              <w:rPr>
                <w:rFonts w:ascii="Arial" w:hAnsi="Arial" w:cs="Arial"/>
                <w:b w:val="0"/>
                <w:i w:val="0"/>
                <w:sz w:val="17"/>
              </w:rPr>
              <w:t>Quality Control</w:t>
            </w:r>
          </w:p>
        </w:tc>
        <w:tc>
          <w:tcPr>
            <w:tcW w:type="dxa" w:w="1606"/>
          </w:tcPr>
          <w:p>
            <w:pPr>
              <w:spacing w:after="20" w:before="20" w:line="240" w:lineRule="auto"/>
            </w:pPr>
            <w:r/>
            <w:r>
              <w:rPr>
                <w:rFonts w:ascii="Arial" w:hAnsi="Arial" w:cs="Arial"/>
                <w:b w:val="0"/>
                <w:i w:val="0"/>
                <w:sz w:val="17"/>
              </w:rPr>
              <w:t>On-site visual inspection (AR, AI defect detection)</w:t>
            </w:r>
          </w:p>
        </w:tc>
        <w:tc>
          <w:tcPr>
            <w:tcW w:type="dxa" w:w="1606"/>
          </w:tcPr>
          <w:p>
            <w:pPr>
              <w:spacing w:after="20" w:before="20" w:line="240" w:lineRule="auto"/>
            </w:pPr>
            <w:r/>
            <w:r>
              <w:rPr>
                <w:rFonts w:ascii="Arial" w:hAnsi="Arial" w:cs="Arial"/>
                <w:b w:val="0"/>
                <w:i w:val="0"/>
                <w:sz w:val="17"/>
              </w:rPr>
              <w:t>QC Portal</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Tier 2</w:t>
            </w:r>
          </w:p>
        </w:tc>
      </w:tr>
      <w:tr>
        <w:tc>
          <w:tcPr>
            <w:tcW w:type="dxa" w:w="1606"/>
          </w:tcPr>
          <w:p>
            <w:pPr>
              <w:spacing w:after="20" w:before="20" w:line="240" w:lineRule="auto"/>
            </w:pPr>
            <w:r/>
            <w:r>
              <w:rPr>
                <w:rFonts w:ascii="Arial" w:hAnsi="Arial" w:cs="Arial"/>
                <w:b w:val="0"/>
                <w:i w:val="0"/>
                <w:sz w:val="17"/>
              </w:rPr>
              <w:t>FIN</w:t>
            </w:r>
          </w:p>
        </w:tc>
        <w:tc>
          <w:tcPr>
            <w:tcW w:type="dxa" w:w="1606"/>
          </w:tcPr>
          <w:p>
            <w:pPr>
              <w:spacing w:after="20" w:before="20" w:line="240" w:lineRule="auto"/>
            </w:pPr>
            <w:r/>
            <w:r>
              <w:rPr>
                <w:rFonts w:ascii="Arial" w:hAnsi="Arial" w:cs="Arial"/>
                <w:b w:val="0"/>
                <w:i w:val="0"/>
                <w:sz w:val="17"/>
              </w:rPr>
              <w:t>Financier</w:t>
            </w:r>
          </w:p>
        </w:tc>
        <w:tc>
          <w:tcPr>
            <w:tcW w:type="dxa" w:w="1606"/>
          </w:tcPr>
          <w:p>
            <w:pPr>
              <w:spacing w:after="20" w:before="20" w:line="240" w:lineRule="auto"/>
            </w:pPr>
            <w:r/>
            <w:r>
              <w:rPr>
                <w:rFonts w:ascii="Arial" w:hAnsi="Arial" w:cs="Arial"/>
                <w:b w:val="0"/>
                <w:i w:val="0"/>
                <w:sz w:val="17"/>
              </w:rPr>
              <w:t>Bank, private credit, private financing institution</w:t>
            </w:r>
          </w:p>
        </w:tc>
        <w:tc>
          <w:tcPr>
            <w:tcW w:type="dxa" w:w="1606"/>
          </w:tcPr>
          <w:p>
            <w:pPr>
              <w:spacing w:after="20" w:before="20" w:line="240" w:lineRule="auto"/>
            </w:pPr>
            <w:r/>
            <w:r>
              <w:rPr>
                <w:rFonts w:ascii="Arial" w:hAnsi="Arial" w:cs="Arial"/>
                <w:b w:val="0"/>
                <w:i w:val="0"/>
                <w:sz w:val="17"/>
              </w:rPr>
              <w:t>Financier Portal (BANK/PFI)</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Tier 3 (BANK) / Tier 2 (PFI)</w:t>
            </w:r>
          </w:p>
        </w:tc>
      </w:tr>
      <w:tr>
        <w:tc>
          <w:tcPr>
            <w:tcW w:type="dxa" w:w="1606"/>
          </w:tcPr>
          <w:p>
            <w:pPr>
              <w:spacing w:after="20" w:before="20" w:line="240" w:lineRule="auto"/>
            </w:pPr>
            <w:r/>
            <w:r>
              <w:rPr>
                <w:rFonts w:ascii="Arial" w:hAnsi="Arial" w:cs="Arial"/>
                <w:b w:val="0"/>
                <w:i w:val="0"/>
                <w:sz w:val="17"/>
              </w:rPr>
              <w:t>GOV</w:t>
            </w:r>
          </w:p>
        </w:tc>
        <w:tc>
          <w:tcPr>
            <w:tcW w:type="dxa" w:w="1606"/>
          </w:tcPr>
          <w:p>
            <w:pPr>
              <w:spacing w:after="20" w:before="20" w:line="240" w:lineRule="auto"/>
            </w:pPr>
            <w:r/>
            <w:r>
              <w:rPr>
                <w:rFonts w:ascii="Arial" w:hAnsi="Arial" w:cs="Arial"/>
                <w:b w:val="0"/>
                <w:i w:val="0"/>
                <w:sz w:val="17"/>
              </w:rPr>
              <w:t>Government</w:t>
            </w:r>
          </w:p>
        </w:tc>
        <w:tc>
          <w:tcPr>
            <w:tcW w:type="dxa" w:w="1606"/>
          </w:tcPr>
          <w:p>
            <w:pPr>
              <w:spacing w:after="20" w:before="20" w:line="240" w:lineRule="auto"/>
            </w:pPr>
            <w:r/>
            <w:r>
              <w:rPr>
                <w:rFonts w:ascii="Arial" w:hAnsi="Arial" w:cs="Arial"/>
                <w:b w:val="0"/>
                <w:i w:val="0"/>
                <w:sz w:val="17"/>
              </w:rPr>
              <w:t>Customs, port authority, trade ministry</w:t>
            </w:r>
          </w:p>
        </w:tc>
        <w:tc>
          <w:tcPr>
            <w:tcW w:type="dxa" w:w="1606"/>
          </w:tcPr>
          <w:p>
            <w:pPr>
              <w:spacing w:after="20" w:before="20" w:line="240" w:lineRule="auto"/>
            </w:pPr>
            <w:r/>
            <w:r>
              <w:rPr>
                <w:rFonts w:ascii="Arial" w:hAnsi="Arial" w:cs="Arial"/>
                <w:b w:val="0"/>
                <w:i w:val="0"/>
                <w:sz w:val="17"/>
              </w:rPr>
              <w:t>Government Portal</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Diplomatic channel</w:t>
            </w:r>
          </w:p>
        </w:tc>
      </w:tr>
      <w:tr>
        <w:tc>
          <w:tcPr>
            <w:tcW w:type="dxa" w:w="1606"/>
          </w:tcPr>
          <w:p>
            <w:pPr>
              <w:spacing w:after="20" w:before="20" w:line="240" w:lineRule="auto"/>
            </w:pPr>
            <w:r/>
            <w:r>
              <w:rPr>
                <w:rFonts w:ascii="Arial" w:hAnsi="Arial" w:cs="Arial"/>
                <w:b w:val="0"/>
                <w:i w:val="0"/>
                <w:sz w:val="17"/>
              </w:rPr>
              <w:t>MP</w:t>
            </w:r>
          </w:p>
        </w:tc>
        <w:tc>
          <w:tcPr>
            <w:tcW w:type="dxa" w:w="1606"/>
          </w:tcPr>
          <w:p>
            <w:pPr>
              <w:spacing w:after="20" w:before="20" w:line="240" w:lineRule="auto"/>
            </w:pPr>
            <w:r/>
            <w:r>
              <w:rPr>
                <w:rFonts w:ascii="Arial" w:hAnsi="Arial" w:cs="Arial"/>
                <w:b w:val="0"/>
                <w:i w:val="0"/>
                <w:sz w:val="17"/>
              </w:rPr>
              <w:t>Marketplace Partner</w:t>
            </w:r>
          </w:p>
        </w:tc>
        <w:tc>
          <w:tcPr>
            <w:tcW w:type="dxa" w:w="1606"/>
          </w:tcPr>
          <w:p>
            <w:pPr>
              <w:spacing w:after="20" w:before="20" w:line="240" w:lineRule="auto"/>
            </w:pPr>
            <w:r/>
            <w:r>
              <w:rPr>
                <w:rFonts w:ascii="Arial" w:hAnsi="Arial" w:cs="Arial"/>
                <w:b w:val="0"/>
                <w:i w:val="0"/>
                <w:sz w:val="17"/>
              </w:rPr>
              <w:t>External platform (API only)</w:t>
            </w:r>
          </w:p>
        </w:tc>
        <w:tc>
          <w:tcPr>
            <w:tcW w:type="dxa" w:w="1606"/>
          </w:tcPr>
          <w:p>
            <w:pPr>
              <w:spacing w:after="20" w:before="20" w:line="240" w:lineRule="auto"/>
            </w:pPr>
            <w:r/>
            <w:r>
              <w:rPr>
                <w:rFonts w:ascii="Arial" w:hAnsi="Arial" w:cs="Arial"/>
                <w:b w:val="0"/>
                <w:i w:val="0"/>
                <w:sz w:val="17"/>
              </w:rPr>
              <w:t>Marketplace Partner Portal</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Tier 1 (Basic)</w:t>
            </w:r>
          </w:p>
        </w:tc>
      </w:tr>
      <w:tr>
        <w:tc>
          <w:tcPr>
            <w:tcW w:type="dxa" w:w="1606"/>
          </w:tcPr>
          <w:p>
            <w:pPr>
              <w:spacing w:after="20" w:before="20" w:line="240" w:lineRule="auto"/>
            </w:pPr>
            <w:r/>
            <w:r>
              <w:rPr>
                <w:rFonts w:ascii="Arial" w:hAnsi="Arial" w:cs="Arial"/>
                <w:b w:val="0"/>
                <w:i w:val="0"/>
                <w:sz w:val="17"/>
              </w:rPr>
              <w:t>CBR</w:t>
            </w:r>
          </w:p>
        </w:tc>
        <w:tc>
          <w:tcPr>
            <w:tcW w:type="dxa" w:w="1606"/>
          </w:tcPr>
          <w:p>
            <w:pPr>
              <w:spacing w:after="20" w:before="20" w:line="240" w:lineRule="auto"/>
            </w:pPr>
            <w:r/>
            <w:r>
              <w:rPr>
                <w:rFonts w:ascii="Arial" w:hAnsi="Arial" w:cs="Arial"/>
                <w:b w:val="0"/>
                <w:i w:val="0"/>
                <w:sz w:val="17"/>
              </w:rPr>
              <w:t>Customs Broker</w:t>
            </w:r>
          </w:p>
        </w:tc>
        <w:tc>
          <w:tcPr>
            <w:tcW w:type="dxa" w:w="1606"/>
          </w:tcPr>
          <w:p>
            <w:pPr>
              <w:spacing w:after="20" w:before="20" w:line="240" w:lineRule="auto"/>
            </w:pPr>
            <w:r/>
            <w:r>
              <w:rPr>
                <w:rFonts w:ascii="Arial" w:hAnsi="Arial" w:cs="Arial"/>
                <w:b w:val="0"/>
                <w:i w:val="0"/>
                <w:sz w:val="17"/>
              </w:rPr>
              <w:t>Optional certification, physical handling, storage, audit</w:t>
            </w:r>
          </w:p>
        </w:tc>
        <w:tc>
          <w:tcPr>
            <w:tcW w:type="dxa" w:w="1606"/>
          </w:tcPr>
          <w:p>
            <w:pPr>
              <w:spacing w:after="20" w:before="20" w:line="240" w:lineRule="auto"/>
            </w:pPr>
            <w:r/>
            <w:r>
              <w:rPr>
                <w:rFonts w:ascii="Arial" w:hAnsi="Arial" w:cs="Arial"/>
                <w:b w:val="0"/>
                <w:i w:val="0"/>
                <w:sz w:val="17"/>
              </w:rPr>
              <w:t>CBR Portal</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Tier 2</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4.1.2.2 Financier Subtypes (FIN only)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Subtype Code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Regulatory Requirements</w:t>
            </w:r>
          </w:p>
        </w:tc>
      </w:tr>
      <w:tr>
        <w:tc>
          <w:tcPr>
            <w:tcW w:type="dxa" w:w="3213"/>
          </w:tcPr>
          <w:p>
            <w:pPr>
              <w:spacing w:after="20" w:before="20" w:line="240" w:lineRule="auto"/>
            </w:pPr>
            <w:r/>
            <w:r>
              <w:rPr>
                <w:rFonts w:ascii="Arial" w:hAnsi="Arial" w:cs="Arial"/>
                <w:b w:val="0"/>
                <w:i w:val="0"/>
                <w:sz w:val="17"/>
              </w:rPr>
              <w:t>BANK</w:t>
            </w:r>
          </w:p>
        </w:tc>
        <w:tc>
          <w:tcPr>
            <w:tcW w:type="dxa" w:w="3213"/>
          </w:tcPr>
          <w:p>
            <w:pPr>
              <w:spacing w:after="20" w:before="20" w:line="240" w:lineRule="auto"/>
            </w:pPr>
            <w:r/>
            <w:r>
              <w:rPr>
                <w:rFonts w:ascii="Arial" w:hAnsi="Arial" w:cs="Arial"/>
                <w:b w:val="0"/>
                <w:i w:val="0"/>
                <w:sz w:val="17"/>
              </w:rPr>
              <w:t>Institutional bank</w:t>
            </w:r>
          </w:p>
        </w:tc>
        <w:tc>
          <w:tcPr>
            <w:tcW w:type="dxa" w:w="3213"/>
          </w:tcPr>
          <w:p>
            <w:pPr>
              <w:spacing w:after="20" w:before="20" w:line="240" w:lineRule="auto"/>
            </w:pPr>
            <w:r/>
            <w:r>
              <w:rPr>
                <w:rFonts w:ascii="Arial" w:hAnsi="Arial" w:cs="Arial"/>
                <w:b w:val="0"/>
                <w:i w:val="0"/>
                <w:sz w:val="17"/>
              </w:rPr>
              <w:t>CBE accreditation (Egypt) or equivalent</w:t>
            </w:r>
          </w:p>
        </w:tc>
      </w:tr>
      <w:tr>
        <w:tc>
          <w:tcPr>
            <w:tcW w:type="dxa" w:w="3213"/>
          </w:tcPr>
          <w:p>
            <w:pPr>
              <w:spacing w:after="20" w:before="20" w:line="240" w:lineRule="auto"/>
            </w:pPr>
            <w:r/>
            <w:r>
              <w:rPr>
                <w:rFonts w:ascii="Arial" w:hAnsi="Arial" w:cs="Arial"/>
                <w:b w:val="0"/>
                <w:i w:val="0"/>
                <w:sz w:val="17"/>
              </w:rPr>
              <w:t>PFI</w:t>
            </w:r>
          </w:p>
        </w:tc>
        <w:tc>
          <w:tcPr>
            <w:tcW w:type="dxa" w:w="3213"/>
          </w:tcPr>
          <w:p>
            <w:pPr>
              <w:spacing w:after="20" w:before="20" w:line="240" w:lineRule="auto"/>
            </w:pPr>
            <w:r/>
            <w:r>
              <w:rPr>
                <w:rFonts w:ascii="Arial" w:hAnsi="Arial" w:cs="Arial"/>
                <w:b w:val="0"/>
                <w:i w:val="0"/>
                <w:sz w:val="17"/>
              </w:rPr>
              <w:t>Private financier (family office, private credit fund, factoring)</w:t>
            </w:r>
          </w:p>
        </w:tc>
        <w:tc>
          <w:tcPr>
            <w:tcW w:type="dxa" w:w="3213"/>
          </w:tcPr>
          <w:p>
            <w:pPr>
              <w:spacing w:after="20" w:before="20" w:line="240" w:lineRule="auto"/>
            </w:pPr>
            <w:r/>
            <w:r>
              <w:rPr>
                <w:rFonts w:ascii="Arial" w:hAnsi="Arial" w:cs="Arial"/>
                <w:b w:val="0"/>
                <w:i w:val="0"/>
                <w:sz w:val="17"/>
              </w:rPr>
              <w:t>Proof of registration or regulatory exemption</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4.1.2.3 Logistics Subtypes (LSP only)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Subtype Code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Service Catalogue Requirements</w:t>
            </w:r>
          </w:p>
        </w:tc>
      </w:tr>
      <w:tr>
        <w:tc>
          <w:tcPr>
            <w:tcW w:type="dxa" w:w="3213"/>
          </w:tcPr>
          <w:p>
            <w:pPr>
              <w:spacing w:after="20" w:before="20" w:line="240" w:lineRule="auto"/>
            </w:pPr>
            <w:r/>
            <w:r>
              <w:rPr>
                <w:rFonts w:ascii="Arial" w:hAnsi="Arial" w:cs="Arial"/>
                <w:b w:val="0"/>
                <w:i w:val="0"/>
                <w:sz w:val="17"/>
              </w:rPr>
              <w:t>TRUCKING</w:t>
            </w:r>
          </w:p>
        </w:tc>
        <w:tc>
          <w:tcPr>
            <w:tcW w:type="dxa" w:w="3213"/>
          </w:tcPr>
          <w:p>
            <w:pPr>
              <w:spacing w:after="20" w:before="20" w:line="240" w:lineRule="auto"/>
            </w:pPr>
            <w:r/>
            <w:r>
              <w:rPr>
                <w:rFonts w:ascii="Arial" w:hAnsi="Arial" w:cs="Arial"/>
                <w:b w:val="0"/>
                <w:i w:val="0"/>
                <w:sz w:val="17"/>
              </w:rPr>
              <w:t>Trucking company</w:t>
            </w:r>
          </w:p>
        </w:tc>
        <w:tc>
          <w:tcPr>
            <w:tcW w:type="dxa" w:w="3213"/>
          </w:tcPr>
          <w:p>
            <w:pPr>
              <w:spacing w:after="20" w:before="20" w:line="240" w:lineRule="auto"/>
            </w:pPr>
            <w:r/>
            <w:r>
              <w:rPr>
                <w:rFonts w:ascii="Arial" w:hAnsi="Arial" w:cs="Arial"/>
                <w:b w:val="0"/>
                <w:i w:val="0"/>
                <w:sz w:val="17"/>
              </w:rPr>
              <w:t>Fleet list, vehicle capacities, GPS availability</w:t>
            </w:r>
          </w:p>
        </w:tc>
      </w:tr>
      <w:tr>
        <w:tc>
          <w:tcPr>
            <w:tcW w:type="dxa" w:w="3213"/>
          </w:tcPr>
          <w:p>
            <w:pPr>
              <w:spacing w:after="20" w:before="20" w:line="240" w:lineRule="auto"/>
            </w:pPr>
            <w:r/>
            <w:r>
              <w:rPr>
                <w:rFonts w:ascii="Arial" w:hAnsi="Arial" w:cs="Arial"/>
                <w:b w:val="0"/>
                <w:i w:val="0"/>
                <w:sz w:val="17"/>
              </w:rPr>
              <w:t>FORWARDER</w:t>
            </w:r>
          </w:p>
        </w:tc>
        <w:tc>
          <w:tcPr>
            <w:tcW w:type="dxa" w:w="3213"/>
          </w:tcPr>
          <w:p>
            <w:pPr>
              <w:spacing w:after="20" w:before="20" w:line="240" w:lineRule="auto"/>
            </w:pPr>
            <w:r/>
            <w:r>
              <w:rPr>
                <w:rFonts w:ascii="Arial" w:hAnsi="Arial" w:cs="Arial"/>
                <w:b w:val="0"/>
                <w:i w:val="0"/>
                <w:sz w:val="17"/>
              </w:rPr>
              <w:t>Freight forwarder</w:t>
            </w:r>
          </w:p>
        </w:tc>
        <w:tc>
          <w:tcPr>
            <w:tcW w:type="dxa" w:w="3213"/>
          </w:tcPr>
          <w:p>
            <w:pPr>
              <w:spacing w:after="20" w:before="20" w:line="240" w:lineRule="auto"/>
            </w:pPr>
            <w:r/>
            <w:r>
              <w:rPr>
                <w:rFonts w:ascii="Arial" w:hAnsi="Arial" w:cs="Arial"/>
                <w:b w:val="0"/>
                <w:i w:val="0"/>
                <w:sz w:val="17"/>
              </w:rPr>
              <w:t>Forwarder licence number, subcontractor network</w:t>
            </w:r>
          </w:p>
        </w:tc>
      </w:tr>
      <w:tr>
        <w:tc>
          <w:tcPr>
            <w:tcW w:type="dxa" w:w="3213"/>
          </w:tcPr>
          <w:p>
            <w:pPr>
              <w:spacing w:after="20" w:before="20" w:line="240" w:lineRule="auto"/>
            </w:pPr>
            <w:r/>
            <w:r>
              <w:rPr>
                <w:rFonts w:ascii="Arial" w:hAnsi="Arial" w:cs="Arial"/>
                <w:b w:val="0"/>
                <w:i w:val="0"/>
                <w:sz w:val="17"/>
              </w:rPr>
              <w:t>WAREHOUSING</w:t>
            </w:r>
          </w:p>
        </w:tc>
        <w:tc>
          <w:tcPr>
            <w:tcW w:type="dxa" w:w="3213"/>
          </w:tcPr>
          <w:p>
            <w:pPr>
              <w:spacing w:after="20" w:before="20" w:line="240" w:lineRule="auto"/>
            </w:pPr>
            <w:r/>
            <w:r>
              <w:rPr>
                <w:rFonts w:ascii="Arial" w:hAnsi="Arial" w:cs="Arial"/>
                <w:b w:val="0"/>
                <w:i w:val="0"/>
                <w:sz w:val="17"/>
              </w:rPr>
              <w:t>Warehouse operator</w:t>
            </w:r>
          </w:p>
        </w:tc>
        <w:tc>
          <w:tcPr>
            <w:tcW w:type="dxa" w:w="3213"/>
          </w:tcPr>
          <w:p>
            <w:pPr>
              <w:spacing w:after="20" w:before="20" w:line="240" w:lineRule="auto"/>
            </w:pPr>
            <w:r/>
            <w:r>
              <w:rPr>
                <w:rFonts w:ascii="Arial" w:hAnsi="Arial" w:cs="Arial"/>
                <w:b w:val="0"/>
                <w:i w:val="0"/>
                <w:sz w:val="17"/>
              </w:rPr>
              <w:t>Storage address(es), temperature-controlled capacity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4.1.3 Checksum Algorithm</w:t>
      </w:r>
    </w:p>
    <w:p>
      <w:pPr>
        <w:keepNext/>
        <w:spacing w:before="140" w:after="60"/>
        <w:outlineLvl w:val="3"/>
      </w:pPr>
      <w:r>
        <w:rPr>
          <w:rFonts w:ascii="Arial" w:hAnsi="Arial" w:cs="Arial"/>
          <w:b/>
          <w:i/>
          <w:color w:val="333333"/>
          <w:sz w:val="22"/>
        </w:rPr>
        <w:t>4.1.3.1 Algorithm Specification</w:t>
      </w:r>
    </w:p>
    <w:p>
      <w:pPr>
        <w:spacing w:after="80" w:line="293" w:lineRule="auto"/>
        <w:jc w:val="left"/>
      </w:pPr>
      <w:r>
        <w:rPr>
          <w:rFonts w:ascii="Times New Roman" w:hAnsi="Times New Roman" w:cs="Times New Roman"/>
          <w:b w:val="0"/>
          <w:i w:val="0"/>
          <w:sz w:val="22"/>
        </w:rPr>
        <w:t>The checksum is a 4-hexadecimal-digit CRC32-ISO-HDLC of the concatenated fields (excluding the "SGTX-" prefix and the checksum itself).</w:t>
      </w:r>
    </w:p>
    <w:p>
      <w:pPr>
        <w:spacing w:after="80" w:line="293" w:lineRule="auto"/>
        <w:jc w:val="left"/>
      </w:pPr>
      <w:r>
        <w:rPr>
          <w:rFonts w:ascii="Times New Roman" w:hAnsi="Times New Roman" w:cs="Times New Roman"/>
          <w:b w:val="0"/>
          <w:i w:val="0"/>
          <w:sz w:val="22"/>
        </w:rPr>
        <w:t>Input string for checksum: `{COUNTRY_CODE}{ENTITY_TYPE}{SEQUENCE}`</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Country Code: EG</w:t>
      </w:r>
    </w:p>
    <w:p>
      <w:pPr>
        <w:spacing w:after="0" w:before="0" w:line="240" w:lineRule="auto"/>
        <w:ind w:left="57"/>
        <w:jc w:val="left"/>
        <w:shd w:val="clear" w:fill="F2F2F2"/>
      </w:pPr>
      <w:r>
        <w:rPr>
          <w:rFonts w:ascii="Consolas" w:hAnsi="Consolas" w:cs="Consolas"/>
          <w:b w:val="0"/>
          <w:i w:val="0"/>
          <w:sz w:val="15"/>
        </w:rPr>
        <w:t>Entity Type:  TRD</w:t>
      </w:r>
    </w:p>
    <w:p>
      <w:pPr>
        <w:spacing w:after="0" w:before="0" w:line="240" w:lineRule="auto"/>
        <w:ind w:left="57"/>
        <w:jc w:val="left"/>
        <w:shd w:val="clear" w:fill="F2F2F2"/>
      </w:pPr>
      <w:r>
        <w:rPr>
          <w:rFonts w:ascii="Consolas" w:hAnsi="Consolas" w:cs="Consolas"/>
          <w:b w:val="0"/>
          <w:i w:val="0"/>
          <w:sz w:val="15"/>
        </w:rPr>
        <w:t>Sequence:     002139</w:t>
      </w:r>
    </w:p>
    <w:p>
      <w:pPr>
        <w:spacing w:after="0" w:before="0" w:line="240" w:lineRule="auto"/>
        <w:ind w:left="57"/>
        <w:jc w:val="left"/>
        <w:shd w:val="clear" w:fill="F2F2F2"/>
      </w:pPr>
      <w:r>
        <w:rPr>
          <w:rFonts w:ascii="Consolas" w:hAnsi="Consolas" w:cs="Consolas"/>
          <w:b w:val="0"/>
          <w:i w:val="0"/>
          <w:sz w:val="15"/>
        </w:rPr>
        <w:t>Input:        EGTRD002139</w:t>
      </w:r>
    </w:p>
    <w:p>
      <w:pPr>
        <w:spacing w:after="0" w:before="0" w:line="240" w:lineRule="auto"/>
        <w:ind w:left="57"/>
        <w:jc w:val="left"/>
        <w:shd w:val="clear" w:fill="F2F2F2"/>
      </w:pPr>
      <w:r>
        <w:rPr>
          <w:rFonts w:ascii="Consolas" w:hAnsi="Consolas" w:cs="Consolas"/>
          <w:b w:val="0"/>
          <w:i w:val="0"/>
          <w:sz w:val="15"/>
        </w:rPr>
        <w:t>CRC32-ISO-HDLC: 0x7F3A... → first 2 bytes 0x7F3A → checksum 7F3A</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Algorithm (Rust):</w:t>
      </w:r>
    </w:p>
    <w:p>
      <w:pPr>
        <w:spacing w:after="0" w:before="0" w:line="240" w:lineRule="auto"/>
        <w:ind w:left="57"/>
        <w:jc w:val="left"/>
        <w:shd w:val="clear" w:fill="F2F2F2"/>
      </w:pPr>
      <w:r>
        <w:rPr>
          <w:rFonts w:ascii="Consolas" w:hAnsi="Consolas" w:cs="Consolas"/>
          <w:b w:val="0"/>
          <w:i w:val="0"/>
          <w:sz w:val="15"/>
        </w:rPr>
        <w:t>use crc32fast::Hasher;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fn calculate_checksum(country_code: &amp;str, entity_type: &amp;str, sequence: &amp;str) -&gt; String {</w:t>
      </w:r>
    </w:p>
    <w:p>
      <w:pPr>
        <w:spacing w:after="0" w:before="0" w:line="240" w:lineRule="auto"/>
        <w:ind w:left="57"/>
        <w:jc w:val="left"/>
        <w:shd w:val="clear" w:fill="F2F2F2"/>
      </w:pPr>
      <w:r>
        <w:rPr>
          <w:rFonts w:ascii="Consolas" w:hAnsi="Consolas" w:cs="Consolas"/>
          <w:b w:val="0"/>
          <w:i w:val="0"/>
          <w:sz w:val="15"/>
        </w:rPr>
        <w:t xml:space="preserve">    let input = format!("{}{}{}", country_code, entity_type, sequence);</w:t>
      </w:r>
    </w:p>
    <w:p>
      <w:pPr>
        <w:spacing w:after="0" w:before="0" w:line="240" w:lineRule="auto"/>
        <w:ind w:left="57"/>
        <w:jc w:val="left"/>
        <w:shd w:val="clear" w:fill="F2F2F2"/>
      </w:pPr>
      <w:r>
        <w:rPr>
          <w:rFonts w:ascii="Consolas" w:hAnsi="Consolas" w:cs="Consolas"/>
          <w:b w:val="0"/>
          <w:i w:val="0"/>
          <w:sz w:val="15"/>
        </w:rPr>
        <w:t xml:space="preserve">    let mut hasher = Hasher::new();</w:t>
      </w:r>
    </w:p>
    <w:p>
      <w:pPr>
        <w:spacing w:after="0" w:before="0" w:line="240" w:lineRule="auto"/>
        <w:ind w:left="57"/>
        <w:jc w:val="left"/>
        <w:shd w:val="clear" w:fill="F2F2F2"/>
      </w:pPr>
      <w:r>
        <w:rPr>
          <w:rFonts w:ascii="Consolas" w:hAnsi="Consolas" w:cs="Consolas"/>
          <w:b w:val="0"/>
          <w:i w:val="0"/>
          <w:sz w:val="15"/>
        </w:rPr>
        <w:t xml:space="preserve">    hasher.update(input.as_bytes());</w:t>
      </w:r>
    </w:p>
    <w:p>
      <w:pPr>
        <w:spacing w:after="0" w:before="0" w:line="240" w:lineRule="auto"/>
        <w:ind w:left="57"/>
        <w:jc w:val="left"/>
        <w:shd w:val="clear" w:fill="F2F2F2"/>
      </w:pPr>
      <w:r>
        <w:rPr>
          <w:rFonts w:ascii="Consolas" w:hAnsi="Consolas" w:cs="Consolas"/>
          <w:b w:val="0"/>
          <w:i w:val="0"/>
          <w:sz w:val="15"/>
        </w:rPr>
        <w:t xml:space="preserve">    let crc = hasher.finalize();</w:t>
      </w:r>
    </w:p>
    <w:p>
      <w:pPr>
        <w:spacing w:after="0" w:before="0" w:line="240" w:lineRule="auto"/>
        <w:ind w:left="57"/>
        <w:jc w:val="left"/>
        <w:shd w:val="clear" w:fill="F2F2F2"/>
      </w:pPr>
      <w:r>
        <w:rPr>
          <w:rFonts w:ascii="Consolas" w:hAnsi="Consolas" w:cs="Consolas"/>
          <w:b w:val="0"/>
          <w:i w:val="0"/>
          <w:sz w:val="15"/>
        </w:rPr>
        <w:t xml:space="preserve">    // Take first 2 bytes (4 hex digits)</w:t>
      </w:r>
    </w:p>
    <w:p>
      <w:pPr>
        <w:spacing w:after="0" w:before="0" w:line="240" w:lineRule="auto"/>
        <w:ind w:left="57"/>
        <w:jc w:val="left"/>
        <w:shd w:val="clear" w:fill="F2F2F2"/>
      </w:pPr>
      <w:r>
        <w:rPr>
          <w:rFonts w:ascii="Consolas" w:hAnsi="Consolas" w:cs="Consolas"/>
          <w:b w:val="0"/>
          <w:i w:val="0"/>
          <w:sz w:val="15"/>
        </w:rPr>
        <w:t xml:space="preserve">    format!("{:04X}", crc &amp; 0xFFFF)</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Example: EGTRD002139 → CRC32 → 0x7F3A</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4.1.3.2 Verification</w:t>
      </w:r>
    </w:p>
    <w:p>
      <w:pPr>
        <w:spacing w:after="0" w:before="0" w:line="240" w:lineRule="auto"/>
        <w:ind w:left="57"/>
        <w:jc w:val="left"/>
        <w:shd w:val="clear" w:fill="F2F2F2"/>
      </w:pPr>
      <w:r>
        <w:rPr>
          <w:rFonts w:ascii="Consolas" w:hAnsi="Consolas" w:cs="Consolas"/>
          <w:b w:val="0"/>
          <w:i w:val="0"/>
          <w:sz w:val="15"/>
        </w:rPr>
        <w:t>fn verify_gtid(gtid: &amp;str) -&gt; bool {</w:t>
      </w:r>
    </w:p>
    <w:p>
      <w:pPr>
        <w:spacing w:after="0" w:before="0" w:line="240" w:lineRule="auto"/>
        <w:ind w:left="57"/>
        <w:jc w:val="left"/>
        <w:shd w:val="clear" w:fill="F2F2F2"/>
      </w:pPr>
      <w:r>
        <w:rPr>
          <w:rFonts w:ascii="Consolas" w:hAnsi="Consolas" w:cs="Consolas"/>
          <w:b w:val="0"/>
          <w:i w:val="0"/>
          <w:sz w:val="15"/>
        </w:rPr>
        <w:t xml:space="preserve">    let parts: Vec&lt;&amp;str&gt; = gtid.split('-').collect();</w:t>
      </w:r>
    </w:p>
    <w:p>
      <w:pPr>
        <w:spacing w:after="0" w:before="0" w:line="240" w:lineRule="auto"/>
        <w:ind w:left="57"/>
        <w:jc w:val="left"/>
        <w:shd w:val="clear" w:fill="F2F2F2"/>
      </w:pPr>
      <w:r>
        <w:rPr>
          <w:rFonts w:ascii="Consolas" w:hAnsi="Consolas" w:cs="Consolas"/>
          <w:b w:val="0"/>
          <w:i w:val="0"/>
          <w:sz w:val="15"/>
        </w:rPr>
        <w:t xml:space="preserve">    if parts.len() != 5 || parts[0] != "SGTX" {</w:t>
      </w:r>
    </w:p>
    <w:p>
      <w:pPr>
        <w:spacing w:after="0" w:before="0" w:line="240" w:lineRule="auto"/>
        <w:ind w:left="57"/>
        <w:jc w:val="left"/>
        <w:shd w:val="clear" w:fill="F2F2F2"/>
      </w:pPr>
      <w:r>
        <w:rPr>
          <w:rFonts w:ascii="Consolas" w:hAnsi="Consolas" w:cs="Consolas"/>
          <w:b w:val="0"/>
          <w:i w:val="0"/>
          <w:sz w:val="15"/>
        </w:rPr>
        <w:t xml:space="preserve">        return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country = parts[1];</w:t>
      </w:r>
    </w:p>
    <w:p>
      <w:pPr>
        <w:spacing w:after="0" w:before="0" w:line="240" w:lineRule="auto"/>
        <w:ind w:left="57"/>
        <w:jc w:val="left"/>
        <w:shd w:val="clear" w:fill="F2F2F2"/>
      </w:pPr>
      <w:r>
        <w:rPr>
          <w:rFonts w:ascii="Consolas" w:hAnsi="Consolas" w:cs="Consolas"/>
          <w:b w:val="0"/>
          <w:i w:val="0"/>
          <w:sz w:val="15"/>
        </w:rPr>
        <w:t xml:space="preserve">    let entity_type = parts[2];</w:t>
      </w:r>
    </w:p>
    <w:p>
      <w:pPr>
        <w:spacing w:after="0" w:before="0" w:line="240" w:lineRule="auto"/>
        <w:ind w:left="57"/>
        <w:jc w:val="left"/>
        <w:shd w:val="clear" w:fill="F2F2F2"/>
      </w:pPr>
      <w:r>
        <w:rPr>
          <w:rFonts w:ascii="Consolas" w:hAnsi="Consolas" w:cs="Consolas"/>
          <w:b w:val="0"/>
          <w:i w:val="0"/>
          <w:sz w:val="15"/>
        </w:rPr>
        <w:t xml:space="preserve">    let sequence = parts[3];</w:t>
      </w:r>
    </w:p>
    <w:p>
      <w:pPr>
        <w:spacing w:after="0" w:before="0" w:line="240" w:lineRule="auto"/>
        <w:ind w:left="57"/>
        <w:jc w:val="left"/>
        <w:shd w:val="clear" w:fill="F2F2F2"/>
      </w:pPr>
      <w:r>
        <w:rPr>
          <w:rFonts w:ascii="Consolas" w:hAnsi="Consolas" w:cs="Consolas"/>
          <w:b w:val="0"/>
          <w:i w:val="0"/>
          <w:sz w:val="15"/>
        </w:rPr>
        <w:t xml:space="preserve">    let provided_checksum = parts[4];</w:t>
      </w:r>
    </w:p>
    <w:p>
      <w:pPr>
        <w:spacing w:after="0" w:before="0" w:line="240" w:lineRule="auto"/>
        <w:ind w:left="57"/>
        <w:jc w:val="left"/>
        <w:shd w:val="clear" w:fill="F2F2F2"/>
      </w:pPr>
      <w:r>
        <w:rPr>
          <w:rFonts w:ascii="Consolas" w:hAnsi="Consolas" w:cs="Consolas"/>
          <w:b w:val="0"/>
          <w:i w:val="0"/>
          <w:sz w:val="15"/>
        </w:rPr>
        <w:t xml:space="preserve">    let calculated = calculate_checksum(country, entity_type, sequence);</w:t>
      </w:r>
    </w:p>
    <w:p>
      <w:pPr>
        <w:spacing w:after="0" w:before="0" w:line="240" w:lineRule="auto"/>
        <w:ind w:left="57"/>
        <w:jc w:val="left"/>
        <w:shd w:val="clear" w:fill="F2F2F2"/>
      </w:pPr>
      <w:r>
        <w:rPr>
          <w:rFonts w:ascii="Consolas" w:hAnsi="Consolas" w:cs="Consolas"/>
          <w:b w:val="0"/>
          <w:i w:val="0"/>
          <w:sz w:val="15"/>
        </w:rPr>
        <w:t xml:space="preserve">    calculated == provided_checksum</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Governance: the Governor validates the checksum on every GTID resolution request. Invalid GTIDs are rejected with a 400 Bad Request response (see Section 15).</w:t>
      </w:r>
    </w:p>
    <w:p>
      <w:pPr>
        <w:keepNext/>
        <w:spacing w:before="180" w:after="80"/>
        <w:outlineLvl w:val="2"/>
      </w:pPr>
      <w:r>
        <w:rPr>
          <w:rFonts w:ascii="Arial" w:hAnsi="Arial" w:cs="Arial"/>
          <w:b/>
          <w:i w:val="0"/>
          <w:color w:val="333333"/>
          <w:sz w:val="23"/>
        </w:rPr>
        <w:t>4.1.4 GTID Generation Algorithm</w:t>
      </w:r>
    </w:p>
    <w:p>
      <w:pPr>
        <w:keepNext/>
        <w:spacing w:before="140" w:after="60"/>
        <w:outlineLvl w:val="3"/>
      </w:pPr>
      <w:r>
        <w:rPr>
          <w:rFonts w:ascii="Arial" w:hAnsi="Arial" w:cs="Arial"/>
          <w:b/>
          <w:i/>
          <w:color w:val="333333"/>
          <w:sz w:val="22"/>
        </w:rPr>
        <w:t>4.1.4.1 Generation Process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Step</w:t>
            </w:r>
          </w:p>
        </w:tc>
        <w:tc>
          <w:tcPr>
            <w:tcW w:type="dxa" w:w="3213"/>
            <w:shd w:val="clear" w:fill="D9E2F3"/>
          </w:tcPr>
          <w:p>
            <w:pPr>
              <w:spacing w:after="20" w:before="20" w:line="240" w:lineRule="auto"/>
            </w:pPr>
            <w:r/>
            <w:r>
              <w:rPr>
                <w:rFonts w:ascii="Arial" w:hAnsi="Arial" w:cs="Arial"/>
                <w:b/>
                <w:i w:val="0"/>
                <w:sz w:val="18"/>
              </w:rPr>
              <w:t>Action</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1</w:t>
            </w:r>
          </w:p>
        </w:tc>
        <w:tc>
          <w:tcPr>
            <w:tcW w:type="dxa" w:w="3213"/>
          </w:tcPr>
          <w:p>
            <w:pPr>
              <w:spacing w:after="20" w:before="20" w:line="240" w:lineRule="auto"/>
            </w:pPr>
            <w:r/>
            <w:r>
              <w:rPr>
                <w:rFonts w:ascii="Arial" w:hAnsi="Arial" w:cs="Arial"/>
                <w:b w:val="0"/>
                <w:i w:val="0"/>
                <w:sz w:val="17"/>
              </w:rPr>
              <w:t>Validate inputs</w:t>
            </w:r>
          </w:p>
        </w:tc>
        <w:tc>
          <w:tcPr>
            <w:tcW w:type="dxa" w:w="3213"/>
          </w:tcPr>
          <w:p>
            <w:pPr>
              <w:spacing w:after="20" w:before="20" w:line="240" w:lineRule="auto"/>
            </w:pPr>
            <w:r/>
            <w:r>
              <w:rPr>
                <w:rFonts w:ascii="Arial" w:hAnsi="Arial" w:cs="Arial"/>
                <w:b w:val="0"/>
                <w:i w:val="0"/>
                <w:sz w:val="17"/>
              </w:rPr>
              <w:t>Country code must exist in jurisdictions table and not be BLOCKED. Entity type must be valid.</w:t>
            </w:r>
          </w:p>
        </w:tc>
      </w:tr>
      <w:tr>
        <w:tc>
          <w:tcPr>
            <w:tcW w:type="dxa" w:w="3213"/>
          </w:tcPr>
          <w:p>
            <w:pPr>
              <w:spacing w:after="20" w:before="20" w:line="240" w:lineRule="auto"/>
            </w:pPr>
            <w:r/>
            <w:r>
              <w:rPr>
                <w:rFonts w:ascii="Arial" w:hAnsi="Arial" w:cs="Arial"/>
                <w:b w:val="0"/>
                <w:i w:val="0"/>
                <w:sz w:val="17"/>
              </w:rPr>
              <w:t>2</w:t>
            </w:r>
          </w:p>
        </w:tc>
        <w:tc>
          <w:tcPr>
            <w:tcW w:type="dxa" w:w="3213"/>
          </w:tcPr>
          <w:p>
            <w:pPr>
              <w:spacing w:after="20" w:before="20" w:line="240" w:lineRule="auto"/>
            </w:pPr>
            <w:r/>
            <w:r>
              <w:rPr>
                <w:rFonts w:ascii="Arial" w:hAnsi="Arial" w:cs="Arial"/>
                <w:b w:val="0"/>
                <w:i w:val="0"/>
                <w:sz w:val="17"/>
              </w:rPr>
              <w:t>Acquire sequence</w:t>
            </w:r>
          </w:p>
        </w:tc>
        <w:tc>
          <w:tcPr>
            <w:tcW w:type="dxa" w:w="3213"/>
          </w:tcPr>
          <w:p>
            <w:pPr>
              <w:spacing w:after="20" w:before="20" w:line="240" w:lineRule="auto"/>
            </w:pPr>
            <w:r/>
            <w:r>
              <w:rPr>
                <w:rFonts w:ascii="Arial" w:hAnsi="Arial" w:cs="Arial"/>
                <w:b w:val="0"/>
                <w:i w:val="0"/>
                <w:sz w:val="17"/>
              </w:rPr>
              <w:t>Atomic increment of sequence counter for (country, entity_type) in tenant_sequences table</w:t>
            </w:r>
          </w:p>
        </w:tc>
      </w:tr>
      <w:tr>
        <w:tc>
          <w:tcPr>
            <w:tcW w:type="dxa" w:w="3213"/>
          </w:tcPr>
          <w:p>
            <w:pPr>
              <w:spacing w:after="20" w:before="20" w:line="240" w:lineRule="auto"/>
            </w:pPr>
            <w:r/>
            <w:r>
              <w:rPr>
                <w:rFonts w:ascii="Arial" w:hAnsi="Arial" w:cs="Arial"/>
                <w:b w:val="0"/>
                <w:i w:val="0"/>
                <w:sz w:val="17"/>
              </w:rPr>
              <w:t>3</w:t>
            </w:r>
          </w:p>
        </w:tc>
        <w:tc>
          <w:tcPr>
            <w:tcW w:type="dxa" w:w="3213"/>
          </w:tcPr>
          <w:p>
            <w:pPr>
              <w:spacing w:after="20" w:before="20" w:line="240" w:lineRule="auto"/>
            </w:pPr>
            <w:r/>
            <w:r>
              <w:rPr>
                <w:rFonts w:ascii="Arial" w:hAnsi="Arial" w:cs="Arial"/>
                <w:b w:val="0"/>
                <w:i w:val="0"/>
                <w:sz w:val="17"/>
              </w:rPr>
              <w:t>Format sequence</w:t>
            </w:r>
          </w:p>
        </w:tc>
        <w:tc>
          <w:tcPr>
            <w:tcW w:type="dxa" w:w="3213"/>
          </w:tcPr>
          <w:p>
            <w:pPr>
              <w:spacing w:after="20" w:before="20" w:line="240" w:lineRule="auto"/>
            </w:pPr>
            <w:r/>
            <w:r>
              <w:rPr>
                <w:rFonts w:ascii="Arial" w:hAnsi="Arial" w:cs="Arial"/>
                <w:b w:val="0"/>
                <w:i w:val="0"/>
                <w:sz w:val="17"/>
              </w:rPr>
              <w:t>Zero-pad to 6 digits</w:t>
            </w:r>
          </w:p>
        </w:tc>
      </w:tr>
      <w:tr>
        <w:tc>
          <w:tcPr>
            <w:tcW w:type="dxa" w:w="3213"/>
          </w:tcPr>
          <w:p>
            <w:pPr>
              <w:spacing w:after="20" w:before="20" w:line="240" w:lineRule="auto"/>
            </w:pPr>
            <w:r/>
            <w:r>
              <w:rPr>
                <w:rFonts w:ascii="Arial" w:hAnsi="Arial" w:cs="Arial"/>
                <w:b w:val="0"/>
                <w:i w:val="0"/>
                <w:sz w:val="17"/>
              </w:rPr>
              <w:t>4</w:t>
            </w:r>
          </w:p>
        </w:tc>
        <w:tc>
          <w:tcPr>
            <w:tcW w:type="dxa" w:w="3213"/>
          </w:tcPr>
          <w:p>
            <w:pPr>
              <w:spacing w:after="20" w:before="20" w:line="240" w:lineRule="auto"/>
            </w:pPr>
            <w:r/>
            <w:r>
              <w:rPr>
                <w:rFonts w:ascii="Arial" w:hAnsi="Arial" w:cs="Arial"/>
                <w:b w:val="0"/>
                <w:i w:val="0"/>
                <w:sz w:val="17"/>
              </w:rPr>
              <w:t>Calculate checksum</w:t>
            </w:r>
          </w:p>
        </w:tc>
        <w:tc>
          <w:tcPr>
            <w:tcW w:type="dxa" w:w="3213"/>
          </w:tcPr>
          <w:p>
            <w:pPr>
              <w:spacing w:after="20" w:before="20" w:line="240" w:lineRule="auto"/>
            </w:pPr>
            <w:r/>
            <w:r>
              <w:rPr>
                <w:rFonts w:ascii="Arial" w:hAnsi="Arial" w:cs="Arial"/>
                <w:b w:val="0"/>
                <w:i w:val="0"/>
                <w:sz w:val="17"/>
              </w:rPr>
              <w:t>CRC32-ISO-HDLC of {country}{entity_type}{sequence}</w:t>
            </w:r>
          </w:p>
        </w:tc>
      </w:tr>
      <w:tr>
        <w:tc>
          <w:tcPr>
            <w:tcW w:type="dxa" w:w="3213"/>
          </w:tcPr>
          <w:p>
            <w:pPr>
              <w:spacing w:after="20" w:before="20" w:line="240" w:lineRule="auto"/>
            </w:pPr>
            <w:r/>
            <w:r>
              <w:rPr>
                <w:rFonts w:ascii="Arial" w:hAnsi="Arial" w:cs="Arial"/>
                <w:b w:val="0"/>
                <w:i w:val="0"/>
                <w:sz w:val="17"/>
              </w:rPr>
              <w:t>5</w:t>
            </w:r>
          </w:p>
        </w:tc>
        <w:tc>
          <w:tcPr>
            <w:tcW w:type="dxa" w:w="3213"/>
          </w:tcPr>
          <w:p>
            <w:pPr>
              <w:spacing w:after="20" w:before="20" w:line="240" w:lineRule="auto"/>
            </w:pPr>
            <w:r/>
            <w:r>
              <w:rPr>
                <w:rFonts w:ascii="Arial" w:hAnsi="Arial" w:cs="Arial"/>
                <w:b w:val="0"/>
                <w:i w:val="0"/>
                <w:sz w:val="17"/>
              </w:rPr>
              <w:t>Assemble GTID</w:t>
            </w:r>
          </w:p>
        </w:tc>
        <w:tc>
          <w:tcPr>
            <w:tcW w:type="dxa" w:w="3213"/>
          </w:tcPr>
          <w:p>
            <w:pPr>
              <w:spacing w:after="20" w:before="20" w:line="240" w:lineRule="auto"/>
            </w:pPr>
            <w:r/>
            <w:r>
              <w:rPr>
                <w:rFonts w:ascii="Arial" w:hAnsi="Arial" w:cs="Arial"/>
                <w:b w:val="0"/>
                <w:i w:val="0"/>
                <w:sz w:val="17"/>
              </w:rPr>
              <w:t>SGTX-{country}-{entity_type}-{sequence}-{checksum}</w:t>
            </w:r>
          </w:p>
        </w:tc>
      </w:tr>
      <w:tr>
        <w:tc>
          <w:tcPr>
            <w:tcW w:type="dxa" w:w="3213"/>
          </w:tcPr>
          <w:p>
            <w:pPr>
              <w:spacing w:after="20" w:before="20" w:line="240" w:lineRule="auto"/>
            </w:pPr>
            <w:r/>
            <w:r>
              <w:rPr>
                <w:rFonts w:ascii="Arial" w:hAnsi="Arial" w:cs="Arial"/>
                <w:b w:val="0"/>
                <w:i w:val="0"/>
                <w:sz w:val="17"/>
              </w:rPr>
              <w:t>6</w:t>
            </w:r>
          </w:p>
        </w:tc>
        <w:tc>
          <w:tcPr>
            <w:tcW w:type="dxa" w:w="3213"/>
          </w:tcPr>
          <w:p>
            <w:pPr>
              <w:spacing w:after="20" w:before="20" w:line="240" w:lineRule="auto"/>
            </w:pPr>
            <w:r/>
            <w:r>
              <w:rPr>
                <w:rFonts w:ascii="Arial" w:hAnsi="Arial" w:cs="Arial"/>
                <w:b w:val="0"/>
                <w:i w:val="0"/>
                <w:sz w:val="17"/>
              </w:rPr>
              <w:t>Store tenant</w:t>
            </w:r>
          </w:p>
        </w:tc>
        <w:tc>
          <w:tcPr>
            <w:tcW w:type="dxa" w:w="3213"/>
          </w:tcPr>
          <w:p>
            <w:pPr>
              <w:spacing w:after="20" w:before="20" w:line="240" w:lineRule="auto"/>
            </w:pPr>
            <w:r/>
            <w:r>
              <w:rPr>
                <w:rFonts w:ascii="Arial" w:hAnsi="Arial" w:cs="Arial"/>
                <w:b w:val="0"/>
                <w:i w:val="0"/>
                <w:sz w:val="17"/>
              </w:rPr>
              <w:t>Create tenants record with provisional GTID; set lifecycle_state = 'REGISTERED'</w:t>
            </w:r>
          </w:p>
        </w:tc>
      </w:tr>
      <w:tr>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Log generation</w:t>
            </w:r>
          </w:p>
        </w:tc>
        <w:tc>
          <w:tcPr>
            <w:tcW w:type="dxa" w:w="3213"/>
          </w:tcPr>
          <w:p>
            <w:pPr>
              <w:spacing w:after="20" w:before="20" w:line="240" w:lineRule="auto"/>
            </w:pPr>
            <w:r/>
            <w:r>
              <w:rPr>
                <w:rFonts w:ascii="Arial" w:hAnsi="Arial" w:cs="Arial"/>
                <w:b w:val="0"/>
                <w:i w:val="0"/>
                <w:sz w:val="17"/>
              </w:rPr>
              <w:t>Record Governor decision (decision_type = 'gtid_generation')</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4.1.4.2 Database Sequence Management</w:t>
      </w:r>
    </w:p>
    <w:p>
      <w:pPr>
        <w:spacing w:after="0" w:before="0" w:line="240" w:lineRule="auto"/>
        <w:ind w:left="57"/>
        <w:jc w:val="left"/>
        <w:shd w:val="clear" w:fill="F2F2F2"/>
      </w:pPr>
      <w:r>
        <w:rPr>
          <w:rFonts w:ascii="Consolas" w:hAnsi="Consolas" w:cs="Consolas"/>
          <w:b w:val="0"/>
          <w:i w:val="0"/>
          <w:sz w:val="15"/>
        </w:rPr>
        <w:t>-- Tenant sequence counter</w:t>
      </w:r>
    </w:p>
    <w:p>
      <w:pPr>
        <w:spacing w:after="0" w:before="0" w:line="240" w:lineRule="auto"/>
        <w:ind w:left="57"/>
        <w:jc w:val="left"/>
        <w:shd w:val="clear" w:fill="F2F2F2"/>
      </w:pPr>
      <w:r>
        <w:rPr>
          <w:rFonts w:ascii="Consolas" w:hAnsi="Consolas" w:cs="Consolas"/>
          <w:b w:val="0"/>
          <w:i w:val="0"/>
          <w:sz w:val="15"/>
        </w:rPr>
        <w:t>CREATE TABLE tenant_sequences (</w:t>
      </w:r>
    </w:p>
    <w:p>
      <w:pPr>
        <w:spacing w:after="0" w:before="0" w:line="240" w:lineRule="auto"/>
        <w:ind w:left="57"/>
        <w:jc w:val="left"/>
        <w:shd w:val="clear" w:fill="F2F2F2"/>
      </w:pPr>
      <w:r>
        <w:rPr>
          <w:rFonts w:ascii="Consolas" w:hAnsi="Consolas" w:cs="Consolas"/>
          <w:b w:val="0"/>
          <w:i w:val="0"/>
          <w:sz w:val="15"/>
        </w:rPr>
        <w:t xml:space="preserve">    country_code CHAR(2) NOT NULL,</w:t>
      </w:r>
    </w:p>
    <w:p>
      <w:pPr>
        <w:spacing w:after="0" w:before="0" w:line="240" w:lineRule="auto"/>
        <w:ind w:left="57"/>
        <w:jc w:val="left"/>
        <w:shd w:val="clear" w:fill="F2F2F2"/>
      </w:pPr>
      <w:r>
        <w:rPr>
          <w:rFonts w:ascii="Consolas" w:hAnsi="Consolas" w:cs="Consolas"/>
          <w:b w:val="0"/>
          <w:i w:val="0"/>
          <w:sz w:val="15"/>
        </w:rPr>
        <w:t xml:space="preserve">    entity_type CHAR(3) NOT NULL,</w:t>
      </w:r>
    </w:p>
    <w:p>
      <w:pPr>
        <w:spacing w:after="0" w:before="0" w:line="240" w:lineRule="auto"/>
        <w:ind w:left="57"/>
        <w:jc w:val="left"/>
        <w:shd w:val="clear" w:fill="F2F2F2"/>
      </w:pPr>
      <w:r>
        <w:rPr>
          <w:rFonts w:ascii="Consolas" w:hAnsi="Consolas" w:cs="Consolas"/>
          <w:b w:val="0"/>
          <w:i w:val="0"/>
          <w:sz w:val="15"/>
        </w:rPr>
        <w:t xml:space="preserve">    last_sequence INTEGER NOT NULL DEFAULT 0,</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PRIMARY KEY (country_code, entity_type)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Atomic sequence acquisition (Rust):</w:t>
      </w:r>
    </w:p>
    <w:p>
      <w:pPr>
        <w:spacing w:after="0" w:before="0" w:line="240" w:lineRule="auto"/>
        <w:ind w:left="57"/>
        <w:jc w:val="left"/>
        <w:shd w:val="clear" w:fill="F2F2F2"/>
      </w:pPr>
      <w:r>
        <w:rPr>
          <w:rFonts w:ascii="Consolas" w:hAnsi="Consolas" w:cs="Consolas"/>
          <w:b w:val="0"/>
          <w:i w:val="0"/>
          <w:sz w:val="15"/>
        </w:rPr>
        <w:t>async fn acquire_sequence(pool: &amp;PgPool, country: &amp;str, entity_type: &amp;str) -&gt; Result&lt;u32&gt; {</w:t>
      </w:r>
    </w:p>
    <w:p>
      <w:pPr>
        <w:spacing w:after="0" w:before="0" w:line="240" w:lineRule="auto"/>
        <w:ind w:left="57"/>
        <w:jc w:val="left"/>
        <w:shd w:val="clear" w:fill="F2F2F2"/>
      </w:pPr>
      <w:r>
        <w:rPr>
          <w:rFonts w:ascii="Consolas" w:hAnsi="Consolas" w:cs="Consolas"/>
          <w:b w:val="0"/>
          <w:i w:val="0"/>
          <w:sz w:val="15"/>
        </w:rPr>
        <w:t xml:space="preserve">    let row = sqlx::query!(</w:t>
      </w:r>
    </w:p>
    <w:p>
      <w:pPr>
        <w:spacing w:after="0" w:before="0" w:line="240" w:lineRule="auto"/>
        <w:ind w:left="57"/>
        <w:jc w:val="left"/>
        <w:shd w:val="clear" w:fill="F2F2F2"/>
      </w:pPr>
      <w:r>
        <w:rPr>
          <w:rFonts w:ascii="Consolas" w:hAnsi="Consolas" w:cs="Consolas"/>
          <w:b w:val="0"/>
          <w:i w:val="0"/>
          <w:sz w:val="15"/>
        </w:rPr>
        <w:t xml:space="preserve">        r#"</w:t>
      </w:r>
    </w:p>
    <w:p>
      <w:pPr>
        <w:spacing w:after="0" w:before="0" w:line="240" w:lineRule="auto"/>
        <w:ind w:left="57"/>
        <w:jc w:val="left"/>
        <w:shd w:val="clear" w:fill="F2F2F2"/>
      </w:pPr>
      <w:r>
        <w:rPr>
          <w:rFonts w:ascii="Consolas" w:hAnsi="Consolas" w:cs="Consolas"/>
          <w:b w:val="0"/>
          <w:i w:val="0"/>
          <w:sz w:val="15"/>
        </w:rPr>
        <w:t xml:space="preserve">        UPDATE tenant_sequences</w:t>
      </w:r>
    </w:p>
    <w:p>
      <w:pPr>
        <w:spacing w:after="0" w:before="0" w:line="240" w:lineRule="auto"/>
        <w:ind w:left="57"/>
        <w:jc w:val="left"/>
        <w:shd w:val="clear" w:fill="F2F2F2"/>
      </w:pPr>
      <w:r>
        <w:rPr>
          <w:rFonts w:ascii="Consolas" w:hAnsi="Consolas" w:cs="Consolas"/>
          <w:b w:val="0"/>
          <w:i w:val="0"/>
          <w:sz w:val="15"/>
        </w:rPr>
        <w:t xml:space="preserve">        SET last_sequence = last_sequence + 1,</w:t>
      </w:r>
    </w:p>
    <w:p>
      <w:pPr>
        <w:spacing w:after="0" w:before="0" w:line="240" w:lineRule="auto"/>
        <w:ind w:left="57"/>
        <w:jc w:val="left"/>
        <w:shd w:val="clear" w:fill="F2F2F2"/>
      </w:pPr>
      <w:r>
        <w:rPr>
          <w:rFonts w:ascii="Consolas" w:hAnsi="Consolas" w:cs="Consolas"/>
          <w:b w:val="0"/>
          <w:i w:val="0"/>
          <w:sz w:val="15"/>
        </w:rPr>
        <w:t xml:space="preserve">            updated_at = NOW()</w:t>
      </w:r>
    </w:p>
    <w:p>
      <w:pPr>
        <w:spacing w:after="0" w:before="0" w:line="240" w:lineRule="auto"/>
        <w:ind w:left="57"/>
        <w:jc w:val="left"/>
        <w:shd w:val="clear" w:fill="F2F2F2"/>
      </w:pPr>
      <w:r>
        <w:rPr>
          <w:rFonts w:ascii="Consolas" w:hAnsi="Consolas" w:cs="Consolas"/>
          <w:b w:val="0"/>
          <w:i w:val="0"/>
          <w:sz w:val="15"/>
        </w:rPr>
        <w:t xml:space="preserve">        WHERE country_code = $1 AND entity_type = $2</w:t>
      </w:r>
    </w:p>
    <w:p>
      <w:pPr>
        <w:spacing w:after="0" w:before="0" w:line="240" w:lineRule="auto"/>
        <w:ind w:left="57"/>
        <w:jc w:val="left"/>
        <w:shd w:val="clear" w:fill="F2F2F2"/>
      </w:pPr>
      <w:r>
        <w:rPr>
          <w:rFonts w:ascii="Consolas" w:hAnsi="Consolas" w:cs="Consolas"/>
          <w:b w:val="0"/>
          <w:i w:val="0"/>
          <w:sz w:val="15"/>
        </w:rPr>
        <w:t xml:space="preserve">        RETURNING last_sequence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country, entity_type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.fetch_one(pool)</w:t>
      </w:r>
    </w:p>
    <w:p>
      <w:pPr>
        <w:spacing w:after="0" w:before="0" w:line="240" w:lineRule="auto"/>
        <w:ind w:left="57"/>
        <w:jc w:val="left"/>
        <w:shd w:val="clear" w:fill="F2F2F2"/>
      </w:pPr>
      <w:r>
        <w:rPr>
          <w:rFonts w:ascii="Consolas" w:hAnsi="Consolas" w:cs="Consolas"/>
          <w:b w:val="0"/>
          <w:i w:val="0"/>
          <w:sz w:val="15"/>
        </w:rPr>
        <w:t xml:space="preserve">    .await?;</w:t>
      </w:r>
    </w:p>
    <w:p>
      <w:pPr>
        <w:spacing w:after="0" w:before="0" w:line="240" w:lineRule="auto"/>
        <w:ind w:left="57"/>
        <w:jc w:val="left"/>
        <w:shd w:val="clear" w:fill="F2F2F2"/>
      </w:pPr>
      <w:r>
        <w:rPr>
          <w:rFonts w:ascii="Consolas" w:hAnsi="Consolas" w:cs="Consolas"/>
          <w:b w:val="0"/>
          <w:i w:val="0"/>
          <w:sz w:val="15"/>
        </w:rPr>
        <w:t xml:space="preserve">    Ok(row.last_sequence as u32)</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4.1.4.3 Generation API Endpoint (Internal)</w:t>
      </w:r>
    </w:p>
    <w:p>
      <w:pPr>
        <w:spacing w:after="80" w:line="293" w:lineRule="auto"/>
        <w:jc w:val="left"/>
      </w:pPr>
      <w:r>
        <w:rPr>
          <w:rFonts w:ascii="Times New Roman" w:hAnsi="Times New Roman" w:cs="Times New Roman"/>
          <w:b w:val="0"/>
          <w:i w:val="0"/>
          <w:sz w:val="22"/>
        </w:rPr>
        <w:t>Endpoint: `POST /v1/identity/gtid/generate` (Internal — only called during onboarding)</w:t>
      </w:r>
    </w:p>
    <w:p>
      <w:pPr>
        <w:spacing w:after="80" w:line="293" w:lineRule="auto"/>
        <w:jc w:val="left"/>
      </w:pPr>
      <w:r>
        <w:rPr>
          <w:rFonts w:ascii="Times New Roman" w:hAnsi="Times New Roman" w:cs="Times New Roman"/>
          <w:b w:val="0"/>
          <w:i w:val="0"/>
          <w:sz w:val="22"/>
        </w:rPr>
        <w:t>Request: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"country_code": "EG",</w:t>
      </w:r>
    </w:p>
    <w:p>
      <w:pPr>
        <w:spacing w:after="0" w:before="0" w:line="240" w:lineRule="auto"/>
        <w:ind w:left="57"/>
        <w:jc w:val="left"/>
        <w:shd w:val="clear" w:fill="F2F2F2"/>
      </w:pPr>
      <w:r>
        <w:rPr>
          <w:rFonts w:ascii="Consolas" w:hAnsi="Consolas" w:cs="Consolas"/>
          <w:b w:val="0"/>
          <w:i w:val="0"/>
          <w:sz w:val="15"/>
        </w:rPr>
        <w:t xml:space="preserve">    "entity_type": "TRD",</w:t>
      </w:r>
    </w:p>
    <w:p>
      <w:pPr>
        <w:spacing w:after="0" w:before="0" w:line="240" w:lineRule="auto"/>
        <w:ind w:left="57"/>
        <w:jc w:val="left"/>
        <w:shd w:val="clear" w:fill="F2F2F2"/>
      </w:pPr>
      <w:r>
        <w:rPr>
          <w:rFonts w:ascii="Consolas" w:hAnsi="Consolas" w:cs="Consolas"/>
          <w:b w:val="0"/>
          <w:i w:val="0"/>
          <w:sz w:val="15"/>
        </w:rPr>
        <w:t xml:space="preserve">    "legal_name": "Strawberry Export Co.",</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"sequence": 2139,</w:t>
      </w:r>
    </w:p>
    <w:p>
      <w:pPr>
        <w:spacing w:after="0" w:before="0" w:line="240" w:lineRule="auto"/>
        <w:ind w:left="57"/>
        <w:jc w:val="left"/>
        <w:shd w:val="clear" w:fill="F2F2F2"/>
      </w:pPr>
      <w:r>
        <w:rPr>
          <w:rFonts w:ascii="Consolas" w:hAnsi="Consolas" w:cs="Consolas"/>
          <w:b w:val="0"/>
          <w:i w:val="0"/>
          <w:sz w:val="15"/>
        </w:rPr>
        <w:t xml:space="preserve">    "checksum": "7F3A",</w:t>
      </w:r>
    </w:p>
    <w:p>
      <w:pPr>
        <w:spacing w:after="0" w:before="0" w:line="240" w:lineRule="auto"/>
        <w:ind w:left="57"/>
        <w:jc w:val="left"/>
        <w:shd w:val="clear" w:fill="F2F2F2"/>
      </w:pPr>
      <w:r>
        <w:rPr>
          <w:rFonts w:ascii="Consolas" w:hAnsi="Consolas" w:cs="Consolas"/>
          <w:b w:val="0"/>
          <w:i w:val="0"/>
          <w:sz w:val="15"/>
        </w:rPr>
        <w:t xml:space="preserve">    "created_at": "2026-06-15T10:00:00Z"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4.1.5 GTID Resolution Service</w:t>
      </w:r>
    </w:p>
    <w:p>
      <w:pPr>
        <w:keepNext/>
        <w:spacing w:before="140" w:after="60"/>
        <w:outlineLvl w:val="3"/>
      </w:pPr>
      <w:r>
        <w:rPr>
          <w:rFonts w:ascii="Arial" w:hAnsi="Arial" w:cs="Arial"/>
          <w:b/>
          <w:i/>
          <w:color w:val="333333"/>
          <w:sz w:val="22"/>
        </w:rPr>
        <w:t>4.1.5.1 Purpose</w:t>
      </w:r>
    </w:p>
    <w:p>
      <w:pPr>
        <w:spacing w:after="80" w:line="293" w:lineRule="auto"/>
        <w:jc w:val="left"/>
      </w:pPr>
      <w:r>
        <w:rPr>
          <w:rFonts w:ascii="Times New Roman" w:hAnsi="Times New Roman" w:cs="Times New Roman"/>
          <w:b w:val="0"/>
          <w:i w:val="0"/>
          <w:sz w:val="22"/>
        </w:rPr>
        <w:t>The GTID Resolution Service allows any authenticated user to resolve a GTID to the tenant's public profile — information that the tenant has explicitly consented to share. This is the primary mechanism for identifying counterparties during trade creation.</w:t>
      </w:r>
    </w:p>
    <w:p>
      <w:pPr>
        <w:keepNext/>
        <w:spacing w:before="140" w:after="60"/>
        <w:outlineLvl w:val="3"/>
      </w:pPr>
      <w:r>
        <w:rPr>
          <w:rFonts w:ascii="Arial" w:hAnsi="Arial" w:cs="Arial"/>
          <w:b/>
          <w:i/>
          <w:color w:val="333333"/>
          <w:sz w:val="22"/>
        </w:rPr>
        <w:t>4.1.5.2 Resolution Endpoint</w:t>
      </w:r>
    </w:p>
    <w:p>
      <w:pPr>
        <w:spacing w:after="80" w:line="293" w:lineRule="auto"/>
        <w:jc w:val="left"/>
      </w:pPr>
      <w:r>
        <w:rPr>
          <w:rFonts w:ascii="Times New Roman" w:hAnsi="Times New Roman" w:cs="Times New Roman"/>
          <w:b w:val="0"/>
          <w:i w:val="0"/>
          <w:sz w:val="22"/>
        </w:rPr>
        <w:t>Endpoint: `GET /v1/gtid/resolve`</w:t>
      </w:r>
    </w:p>
    <w:p>
      <w:pPr>
        <w:spacing w:after="80" w:line="293" w:lineRule="auto"/>
        <w:jc w:val="left"/>
      </w:pPr>
      <w:r>
        <w:rPr>
          <w:rFonts w:ascii="Times New Roman" w:hAnsi="Times New Roman" w:cs="Times New Roman"/>
          <w:b w:val="0"/>
          <w:i w:val="0"/>
          <w:sz w:val="22"/>
        </w:rPr>
        <w:t>Authentication: valid JWT required (public GTID resolution is not available to unauthenticated users to prevent scraping).</w:t>
      </w:r>
    </w:p>
    <w:p>
      <w:pPr>
        <w:spacing w:after="80" w:line="293" w:lineRule="auto"/>
        <w:jc w:val="left"/>
      </w:pPr>
      <w:r>
        <w:rPr>
          <w:rFonts w:ascii="Times New Roman" w:hAnsi="Times New Roman" w:cs="Times New Roman"/>
          <w:b w:val="0"/>
          <w:i w:val="0"/>
          <w:sz w:val="22"/>
        </w:rPr>
        <w:t>Query Parameters: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Parameter</w:t>
            </w:r>
          </w:p>
        </w:tc>
        <w:tc>
          <w:tcPr>
            <w:tcW w:type="dxa" w:w="2409"/>
            <w:shd w:val="clear" w:fill="D9E2F3"/>
          </w:tcPr>
          <w:p>
            <w:pPr>
              <w:spacing w:after="20" w:before="20" w:line="240" w:lineRule="auto"/>
            </w:pPr>
            <w:r/>
            <w:r>
              <w:rPr>
                <w:rFonts w:ascii="Arial" w:hAnsi="Arial" w:cs="Arial"/>
                <w:b/>
                <w:i w:val="0"/>
                <w:sz w:val="18"/>
              </w:rPr>
              <w:t>Required</w:t>
            </w:r>
          </w:p>
        </w:tc>
        <w:tc>
          <w:tcPr>
            <w:tcW w:type="dxa" w:w="2409"/>
            <w:shd w:val="clear" w:fill="D9E2F3"/>
          </w:tcPr>
          <w:p>
            <w:pPr>
              <w:spacing w:after="20" w:before="20" w:line="240" w:lineRule="auto"/>
            </w:pPr>
            <w:r/>
            <w:r>
              <w:rPr>
                <w:rFonts w:ascii="Arial" w:hAnsi="Arial" w:cs="Arial"/>
                <w:b/>
                <w:i w:val="0"/>
                <w:sz w:val="18"/>
              </w:rPr>
              <w:t>Description</w:t>
            </w:r>
          </w:p>
        </w:tc>
        <w:tc>
          <w:tcPr>
            <w:tcW w:type="dxa" w:w="2409"/>
            <w:shd w:val="clear" w:fill="D9E2F3"/>
          </w:tcPr>
          <w:p>
            <w:pPr>
              <w:spacing w:after="20" w:before="20" w:line="240" w:lineRule="auto"/>
            </w:pPr>
            <w:r/>
            <w:r>
              <w:rPr>
                <w:rFonts w:ascii="Arial" w:hAnsi="Arial" w:cs="Arial"/>
                <w:b/>
                <w:i w:val="0"/>
                <w:sz w:val="18"/>
              </w:rPr>
              <w:t>Example</w:t>
            </w:r>
          </w:p>
        </w:tc>
      </w:tr>
      <w:tr>
        <w:tc>
          <w:tcPr>
            <w:tcW w:type="dxa" w:w="2409"/>
          </w:tcPr>
          <w:p>
            <w:pPr>
              <w:spacing w:after="20" w:before="20" w:line="240" w:lineRule="auto"/>
            </w:pPr>
            <w:r/>
            <w:r>
              <w:rPr>
                <w:rFonts w:ascii="Arial" w:hAnsi="Arial" w:cs="Arial"/>
                <w:b w:val="0"/>
                <w:i w:val="0"/>
                <w:sz w:val="17"/>
              </w:rPr>
              <w:t>gtid</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The GTID to resolve</w:t>
            </w:r>
          </w:p>
        </w:tc>
        <w:tc>
          <w:tcPr>
            <w:tcW w:type="dxa" w:w="2409"/>
          </w:tcPr>
          <w:p>
            <w:pPr>
              <w:spacing w:after="20" w:before="20" w:line="240" w:lineRule="auto"/>
            </w:pPr>
            <w:r/>
            <w:r>
              <w:rPr>
                <w:rFonts w:ascii="Arial" w:hAnsi="Arial" w:cs="Arial"/>
                <w:b w:val="0"/>
                <w:i w:val="0"/>
                <w:sz w:val="17"/>
              </w:rPr>
              <w:t>SGTX-EG-TRD-002139-7F3A</w:t>
            </w:r>
          </w:p>
        </w:tc>
      </w:tr>
      <w:tr>
        <w:tc>
          <w:tcPr>
            <w:tcW w:type="dxa" w:w="2409"/>
          </w:tcPr>
          <w:p>
            <w:pPr>
              <w:spacing w:after="20" w:before="20" w:line="240" w:lineRule="auto"/>
            </w:pPr>
            <w:r/>
            <w:r>
              <w:rPr>
                <w:rFonts w:ascii="Arial" w:hAnsi="Arial" w:cs="Arial"/>
                <w:b w:val="0"/>
                <w:i w:val="0"/>
                <w:sz w:val="17"/>
              </w:rPr>
              <w:t>include_verified_ids</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Include verified identifiers (LEI, DUNS, etc.) — requires explicit consent</w:t>
            </w:r>
          </w:p>
        </w:tc>
        <w:tc>
          <w:tcPr>
            <w:tcW w:type="dxa" w:w="2409"/>
          </w:tcPr>
          <w:p>
            <w:pPr>
              <w:spacing w:after="20" w:before="20" w:line="240" w:lineRule="auto"/>
            </w:pPr>
            <w:r/>
            <w:r>
              <w:rPr>
                <w:rFonts w:ascii="Arial" w:hAnsi="Arial" w:cs="Arial"/>
                <w:b w:val="0"/>
                <w:i w:val="0"/>
                <w:sz w:val="17"/>
              </w:rPr>
              <w:t>true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Rate Limits: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Limit</w:t>
            </w:r>
          </w:p>
        </w:tc>
        <w:tc>
          <w:tcPr>
            <w:tcW w:type="dxa" w:w="4819"/>
            <w:shd w:val="clear" w:fill="D9E2F3"/>
          </w:tcPr>
          <w:p>
            <w:pPr>
              <w:spacing w:after="20" w:before="20" w:line="240" w:lineRule="auto"/>
            </w:pPr>
            <w:r/>
            <w:r>
              <w:rPr>
                <w:rFonts w:ascii="Arial" w:hAnsi="Arial" w:cs="Arial"/>
                <w:b/>
                <w:i w:val="0"/>
                <w:sz w:val="18"/>
              </w:rPr>
              <w:t>Value</w:t>
            </w:r>
          </w:p>
        </w:tc>
      </w:tr>
      <w:tr>
        <w:tc>
          <w:tcPr>
            <w:tcW w:type="dxa" w:w="4819"/>
          </w:tcPr>
          <w:p>
            <w:pPr>
              <w:spacing w:after="20" w:before="20" w:line="240" w:lineRule="auto"/>
            </w:pPr>
            <w:r/>
            <w:r>
              <w:rPr>
                <w:rFonts w:ascii="Arial" w:hAnsi="Arial" w:cs="Arial"/>
                <w:b w:val="0"/>
                <w:i w:val="0"/>
                <w:sz w:val="17"/>
              </w:rPr>
              <w:t>Per tenant (per minute)</w:t>
            </w:r>
          </w:p>
        </w:tc>
        <w:tc>
          <w:tcPr>
            <w:tcW w:type="dxa" w:w="4819"/>
          </w:tcPr>
          <w:p>
            <w:pPr>
              <w:spacing w:after="20" w:before="20" w:line="240" w:lineRule="auto"/>
            </w:pPr>
            <w:r/>
            <w:r>
              <w:rPr>
                <w:rFonts w:ascii="Arial" w:hAnsi="Arial" w:cs="Arial"/>
                <w:b w:val="0"/>
                <w:i w:val="0"/>
                <w:sz w:val="17"/>
              </w:rPr>
              <w:t>100 requests</w:t>
            </w:r>
          </w:p>
        </w:tc>
      </w:tr>
      <w:tr>
        <w:tc>
          <w:tcPr>
            <w:tcW w:type="dxa" w:w="4819"/>
          </w:tcPr>
          <w:p>
            <w:pPr>
              <w:spacing w:after="20" w:before="20" w:line="240" w:lineRule="auto"/>
            </w:pPr>
            <w:r/>
            <w:r>
              <w:rPr>
                <w:rFonts w:ascii="Arial" w:hAnsi="Arial" w:cs="Arial"/>
                <w:b w:val="0"/>
                <w:i w:val="0"/>
                <w:sz w:val="17"/>
              </w:rPr>
              <w:t>Per IP (per minute)</w:t>
            </w:r>
          </w:p>
        </w:tc>
        <w:tc>
          <w:tcPr>
            <w:tcW w:type="dxa" w:w="4819"/>
          </w:tcPr>
          <w:p>
            <w:pPr>
              <w:spacing w:after="20" w:before="20" w:line="240" w:lineRule="auto"/>
            </w:pPr>
            <w:r/>
            <w:r>
              <w:rPr>
                <w:rFonts w:ascii="Arial" w:hAnsi="Arial" w:cs="Arial"/>
                <w:b w:val="0"/>
                <w:i w:val="0"/>
                <w:sz w:val="17"/>
              </w:rPr>
              <w:t>30 requests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4.1.5.3 Response Schema (Default — without verified IDs)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"legal_name": "Strawberry Export Co.",</w:t>
      </w:r>
    </w:p>
    <w:p>
      <w:pPr>
        <w:spacing w:after="0" w:before="0" w:line="240" w:lineRule="auto"/>
        <w:ind w:left="57"/>
        <w:jc w:val="left"/>
        <w:shd w:val="clear" w:fill="F2F2F2"/>
      </w:pPr>
      <w:r>
        <w:rPr>
          <w:rFonts w:ascii="Consolas" w:hAnsi="Consolas" w:cs="Consolas"/>
          <w:b w:val="0"/>
          <w:i w:val="0"/>
          <w:sz w:val="15"/>
        </w:rPr>
        <w:t xml:space="preserve">    "type": "TRD",</w:t>
      </w:r>
    </w:p>
    <w:p>
      <w:pPr>
        <w:spacing w:after="0" w:before="0" w:line="240" w:lineRule="auto"/>
        <w:ind w:left="57"/>
        <w:jc w:val="left"/>
        <w:shd w:val="clear" w:fill="F2F2F2"/>
      </w:pPr>
      <w:r>
        <w:rPr>
          <w:rFonts w:ascii="Consolas" w:hAnsi="Consolas" w:cs="Consolas"/>
          <w:b w:val="0"/>
          <w:i w:val="0"/>
          <w:sz w:val="15"/>
        </w:rPr>
        <w:t xml:space="preserve">    "subtype": null,</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 xml:space="preserve">    "kyb_tier": 2,</w:t>
      </w:r>
    </w:p>
    <w:p>
      <w:pPr>
        <w:spacing w:after="0" w:before="0" w:line="240" w:lineRule="auto"/>
        <w:ind w:left="57"/>
        <w:jc w:val="left"/>
        <w:shd w:val="clear" w:fill="F2F2F2"/>
      </w:pPr>
      <w:r>
        <w:rPr>
          <w:rFonts w:ascii="Consolas" w:hAnsi="Consolas" w:cs="Consolas"/>
          <w:b w:val="0"/>
          <w:i w:val="0"/>
          <w:sz w:val="15"/>
        </w:rPr>
        <w:t xml:space="preserve">    "kyb_status": "VERIFIED",</w:t>
      </w:r>
    </w:p>
    <w:p>
      <w:pPr>
        <w:spacing w:after="0" w:before="0" w:line="240" w:lineRule="auto"/>
        <w:ind w:left="57"/>
        <w:jc w:val="left"/>
        <w:shd w:val="clear" w:fill="F2F2F2"/>
      </w:pPr>
      <w:r>
        <w:rPr>
          <w:rFonts w:ascii="Consolas" w:hAnsi="Consolas" w:cs="Consolas"/>
          <w:b w:val="0"/>
          <w:i w:val="0"/>
          <w:sz w:val="15"/>
        </w:rPr>
        <w:t xml:space="preserve">    "sanctions_cleared": true,</w:t>
      </w:r>
    </w:p>
    <w:p>
      <w:pPr>
        <w:spacing w:after="0" w:before="0" w:line="240" w:lineRule="auto"/>
        <w:ind w:left="57"/>
        <w:jc w:val="left"/>
        <w:shd w:val="clear" w:fill="F2F2F2"/>
      </w:pPr>
      <w:r>
        <w:rPr>
          <w:rFonts w:ascii="Consolas" w:hAnsi="Consolas" w:cs="Consolas"/>
          <w:b w:val="0"/>
          <w:i w:val="0"/>
          <w:sz w:val="15"/>
        </w:rPr>
        <w:t xml:space="preserve">    "pep_status": "CLEAR",</w:t>
      </w:r>
    </w:p>
    <w:p>
      <w:pPr>
        <w:spacing w:after="0" w:before="0" w:line="240" w:lineRule="auto"/>
        <w:ind w:left="57"/>
        <w:jc w:val="left"/>
        <w:shd w:val="clear" w:fill="F2F2F2"/>
      </w:pPr>
      <w:r>
        <w:rPr>
          <w:rFonts w:ascii="Consolas" w:hAnsi="Consolas" w:cs="Consolas"/>
          <w:b w:val="0"/>
          <w:i w:val="0"/>
          <w:sz w:val="15"/>
        </w:rPr>
        <w:t xml:space="preserve">    "trust_score": 92,</w:t>
      </w:r>
    </w:p>
    <w:p>
      <w:pPr>
        <w:spacing w:after="0" w:before="0" w:line="240" w:lineRule="auto"/>
        <w:ind w:left="57"/>
        <w:jc w:val="left"/>
        <w:shd w:val="clear" w:fill="F2F2F2"/>
      </w:pPr>
      <w:r>
        <w:rPr>
          <w:rFonts w:ascii="Consolas" w:hAnsi="Consolas" w:cs="Consolas"/>
          <w:b w:val="0"/>
          <w:i w:val="0"/>
          <w:sz w:val="15"/>
        </w:rPr>
        <w:t xml:space="preserve">    "trust_confidence": 81,</w:t>
      </w:r>
    </w:p>
    <w:p>
      <w:pPr>
        <w:spacing w:after="0" w:before="0" w:line="240" w:lineRule="auto"/>
        <w:ind w:left="57"/>
        <w:jc w:val="left"/>
        <w:shd w:val="clear" w:fill="F2F2F2"/>
      </w:pPr>
      <w:r>
        <w:rPr>
          <w:rFonts w:ascii="Consolas" w:hAnsi="Consolas" w:cs="Consolas"/>
          <w:b w:val="0"/>
          <w:i w:val="0"/>
          <w:sz w:val="15"/>
        </w:rPr>
        <w:t xml:space="preserve">    "tri_status": "Advanced Trusted",</w:t>
      </w:r>
    </w:p>
    <w:p>
      <w:pPr>
        <w:spacing w:after="0" w:before="0" w:line="240" w:lineRule="auto"/>
        <w:ind w:left="57"/>
        <w:jc w:val="left"/>
        <w:shd w:val="clear" w:fill="F2F2F2"/>
      </w:pPr>
      <w:r>
        <w:rPr>
          <w:rFonts w:ascii="Consolas" w:hAnsi="Consolas" w:cs="Consolas"/>
          <w:b w:val="0"/>
          <w:i w:val="0"/>
          <w:sz w:val="15"/>
        </w:rPr>
        <w:t xml:space="preserve">    "lifecycle_state": "VERIFIED",</w:t>
      </w:r>
    </w:p>
    <w:p>
      <w:pPr>
        <w:spacing w:after="0" w:before="0" w:line="240" w:lineRule="auto"/>
        <w:ind w:left="57"/>
        <w:jc w:val="left"/>
        <w:shd w:val="clear" w:fill="F2F2F2"/>
      </w:pPr>
      <w:r>
        <w:rPr>
          <w:rFonts w:ascii="Consolas" w:hAnsi="Consolas" w:cs="Consolas"/>
          <w:b w:val="0"/>
          <w:i w:val="0"/>
          <w:sz w:val="15"/>
        </w:rPr>
        <w:t xml:space="preserve">    "is_saved_contact": true,</w:t>
      </w:r>
    </w:p>
    <w:p>
      <w:pPr>
        <w:spacing w:after="0" w:before="0" w:line="240" w:lineRule="auto"/>
        <w:ind w:left="57"/>
        <w:jc w:val="left"/>
        <w:shd w:val="clear" w:fill="F2F2F2"/>
      </w:pPr>
      <w:r>
        <w:rPr>
          <w:rFonts w:ascii="Consolas" w:hAnsi="Consolas" w:cs="Consolas"/>
          <w:b w:val="0"/>
          <w:i w:val="0"/>
          <w:sz w:val="15"/>
        </w:rPr>
        <w:t xml:space="preserve">    "is_blocked": false,</w:t>
      </w:r>
    </w:p>
    <w:p>
      <w:pPr>
        <w:spacing w:after="0" w:before="0" w:line="240" w:lineRule="auto"/>
        <w:ind w:left="57"/>
        <w:jc w:val="left"/>
        <w:shd w:val="clear" w:fill="F2F2F2"/>
      </w:pPr>
      <w:r>
        <w:rPr>
          <w:rFonts w:ascii="Consolas" w:hAnsi="Consolas" w:cs="Consolas"/>
          <w:b w:val="0"/>
          <w:i w:val="0"/>
          <w:sz w:val="15"/>
        </w:rPr>
        <w:t xml:space="preserve">    "relationship_type": "SUPPLIER",</w:t>
      </w:r>
    </w:p>
    <w:p>
      <w:pPr>
        <w:spacing w:after="0" w:before="0" w:line="240" w:lineRule="auto"/>
        <w:ind w:left="57"/>
        <w:jc w:val="left"/>
        <w:shd w:val="clear" w:fill="F2F2F2"/>
      </w:pPr>
      <w:r>
        <w:rPr>
          <w:rFonts w:ascii="Consolas" w:hAnsi="Consolas" w:cs="Consolas"/>
          <w:b w:val="0"/>
          <w:i w:val="0"/>
          <w:sz w:val="15"/>
        </w:rPr>
        <w:t xml:space="preserve">    "last_interaction": "2026-06-10T14:30:00Z",</w:t>
      </w:r>
    </w:p>
    <w:p>
      <w:pPr>
        <w:spacing w:after="0" w:before="0" w:line="240" w:lineRule="auto"/>
        <w:ind w:left="57"/>
        <w:jc w:val="left"/>
        <w:shd w:val="clear" w:fill="F2F2F2"/>
      </w:pPr>
      <w:r>
        <w:rPr>
          <w:rFonts w:ascii="Consolas" w:hAnsi="Consolas" w:cs="Consolas"/>
          <w:b w:val="0"/>
          <w:i w:val="0"/>
          <w:sz w:val="15"/>
        </w:rPr>
        <w:t xml:space="preserve">    "dispute_rate": 2.3,</w:t>
      </w:r>
    </w:p>
    <w:p>
      <w:pPr>
        <w:spacing w:after="0" w:before="0" w:line="240" w:lineRule="auto"/>
        <w:ind w:left="57"/>
        <w:jc w:val="left"/>
        <w:shd w:val="clear" w:fill="F2F2F2"/>
      </w:pPr>
      <w:r>
        <w:rPr>
          <w:rFonts w:ascii="Consolas" w:hAnsi="Consolas" w:cs="Consolas"/>
          <w:b w:val="0"/>
          <w:i w:val="0"/>
          <w:sz w:val="15"/>
        </w:rPr>
        <w:t xml:space="preserve">    "on_time_delivery_rate": 94.5,</w:t>
      </w:r>
    </w:p>
    <w:p>
      <w:pPr>
        <w:spacing w:after="0" w:before="0" w:line="240" w:lineRule="auto"/>
        <w:ind w:left="57"/>
        <w:jc w:val="left"/>
        <w:shd w:val="clear" w:fill="F2F2F2"/>
      </w:pPr>
      <w:r>
        <w:rPr>
          <w:rFonts w:ascii="Consolas" w:hAnsi="Consolas" w:cs="Consolas"/>
          <w:b w:val="0"/>
          <w:i w:val="0"/>
          <w:sz w:val="15"/>
        </w:rPr>
        <w:t xml:space="preserve">    "consented_to_share": {</w:t>
      </w:r>
    </w:p>
    <w:p>
      <w:pPr>
        <w:spacing w:after="0" w:before="0" w:line="240" w:lineRule="auto"/>
        <w:ind w:left="57"/>
        <w:jc w:val="left"/>
        <w:shd w:val="clear" w:fill="F2F2F2"/>
      </w:pPr>
      <w:r>
        <w:rPr>
          <w:rFonts w:ascii="Consolas" w:hAnsi="Consolas" w:cs="Consolas"/>
          <w:b w:val="0"/>
          <w:i w:val="0"/>
          <w:sz w:val="15"/>
        </w:rPr>
        <w:t xml:space="preserve">        "verified_ids": false,</w:t>
      </w:r>
    </w:p>
    <w:p>
      <w:pPr>
        <w:spacing w:after="0" w:before="0" w:line="240" w:lineRule="auto"/>
        <w:ind w:left="57"/>
        <w:jc w:val="left"/>
        <w:shd w:val="clear" w:fill="F2F2F2"/>
      </w:pPr>
      <w:r>
        <w:rPr>
          <w:rFonts w:ascii="Consolas" w:hAnsi="Consolas" w:cs="Consolas"/>
          <w:b w:val="0"/>
          <w:i w:val="0"/>
          <w:sz w:val="15"/>
        </w:rPr>
        <w:t xml:space="preserve">        "trust_components": true,</w:t>
      </w:r>
    </w:p>
    <w:p>
      <w:pPr>
        <w:spacing w:after="0" w:before="0" w:line="240" w:lineRule="auto"/>
        <w:ind w:left="57"/>
        <w:jc w:val="left"/>
        <w:shd w:val="clear" w:fill="F2F2F2"/>
      </w:pPr>
      <w:r>
        <w:rPr>
          <w:rFonts w:ascii="Consolas" w:hAnsi="Consolas" w:cs="Consolas"/>
          <w:b w:val="0"/>
          <w:i w:val="0"/>
          <w:sz w:val="15"/>
        </w:rPr>
        <w:t xml:space="preserve">        "financing_history":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"resolved_at": "2026-06-15T10:05:00Z"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Field notes: `subtype` is populated for FIN tenants ("BANK" or "PFI") and LSP tenants ("TRUCKING", etc.). `pep_status` is one of 'CLEAR', 'ENHANCED_DD', 'BLOCKED'. `dispute_rate` is the percentage of trades disputed (anonymised); `on_time_delivery_rate` applies to logistics providers.</w:t>
      </w:r>
    </w:p>
    <w:p>
      <w:pPr>
        <w:keepNext/>
        <w:spacing w:before="140" w:after="60"/>
        <w:outlineLvl w:val="3"/>
      </w:pPr>
      <w:r>
        <w:rPr>
          <w:rFonts w:ascii="Arial" w:hAnsi="Arial" w:cs="Arial"/>
          <w:b/>
          <w:i/>
          <w:color w:val="333333"/>
          <w:sz w:val="22"/>
        </w:rPr>
        <w:t>4.1.5.4 Response Schema (With Verified IDs — requires explicit consent)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"legal_name": "Strawberry Export Co.",</w:t>
      </w:r>
    </w:p>
    <w:p>
      <w:pPr>
        <w:spacing w:after="0" w:before="0" w:line="240" w:lineRule="auto"/>
        <w:ind w:left="57"/>
        <w:jc w:val="left"/>
        <w:shd w:val="clear" w:fill="F2F2F2"/>
      </w:pPr>
      <w:r>
        <w:rPr>
          <w:rFonts w:ascii="Consolas" w:hAnsi="Consolas" w:cs="Consolas"/>
          <w:b w:val="0"/>
          <w:i w:val="0"/>
          <w:sz w:val="15"/>
        </w:rPr>
        <w:t xml:space="preserve">    "type": "TRD",</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 xml:space="preserve">    "kyb_tier": 2,</w:t>
      </w:r>
    </w:p>
    <w:p>
      <w:pPr>
        <w:spacing w:after="0" w:before="0" w:line="240" w:lineRule="auto"/>
        <w:ind w:left="57"/>
        <w:jc w:val="left"/>
        <w:shd w:val="clear" w:fill="F2F2F2"/>
      </w:pPr>
      <w:r>
        <w:rPr>
          <w:rFonts w:ascii="Consolas" w:hAnsi="Consolas" w:cs="Consolas"/>
          <w:b w:val="0"/>
          <w:i w:val="0"/>
          <w:sz w:val="15"/>
        </w:rPr>
        <w:t xml:space="preserve">    "kyb_status": "VERIFIED",</w:t>
      </w:r>
    </w:p>
    <w:p>
      <w:pPr>
        <w:spacing w:after="0" w:before="0" w:line="240" w:lineRule="auto"/>
        <w:ind w:left="57"/>
        <w:jc w:val="left"/>
        <w:shd w:val="clear" w:fill="F2F2F2"/>
      </w:pPr>
      <w:r>
        <w:rPr>
          <w:rFonts w:ascii="Consolas" w:hAnsi="Consolas" w:cs="Consolas"/>
          <w:b w:val="0"/>
          <w:i w:val="0"/>
          <w:sz w:val="15"/>
        </w:rPr>
        <w:t xml:space="preserve">    "trust_score": 92,</w:t>
      </w:r>
    </w:p>
    <w:p>
      <w:pPr>
        <w:spacing w:after="0" w:before="0" w:line="240" w:lineRule="auto"/>
        <w:ind w:left="57"/>
        <w:jc w:val="left"/>
        <w:shd w:val="clear" w:fill="F2F2F2"/>
      </w:pPr>
      <w:r>
        <w:rPr>
          <w:rFonts w:ascii="Consolas" w:hAnsi="Consolas" w:cs="Consolas"/>
          <w:b w:val="0"/>
          <w:i w:val="0"/>
          <w:sz w:val="15"/>
        </w:rPr>
        <w:t xml:space="preserve">    "verified_identifiers":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"LEI",</w:t>
      </w:r>
    </w:p>
    <w:p>
      <w:pPr>
        <w:spacing w:after="0" w:before="0" w:line="240" w:lineRule="auto"/>
        <w:ind w:left="57"/>
        <w:jc w:val="left"/>
        <w:shd w:val="clear" w:fill="F2F2F2"/>
      </w:pPr>
      <w:r>
        <w:rPr>
          <w:rFonts w:ascii="Consolas" w:hAnsi="Consolas" w:cs="Consolas"/>
          <w:b w:val="0"/>
          <w:i w:val="0"/>
          <w:sz w:val="15"/>
        </w:rPr>
        <w:t xml:space="preserve">            "value": "549300ABC123",</w:t>
      </w:r>
    </w:p>
    <w:p>
      <w:pPr>
        <w:spacing w:after="0" w:before="0" w:line="240" w:lineRule="auto"/>
        <w:ind w:left="57"/>
        <w:jc w:val="left"/>
        <w:shd w:val="clear" w:fill="F2F2F2"/>
      </w:pPr>
      <w:r>
        <w:rPr>
          <w:rFonts w:ascii="Consolas" w:hAnsi="Consolas" w:cs="Consolas"/>
          <w:b w:val="0"/>
          <w:i w:val="0"/>
          <w:sz w:val="15"/>
        </w:rPr>
        <w:t xml:space="preserve">            "status": "VERIFIED",</w:t>
      </w:r>
    </w:p>
    <w:p>
      <w:pPr>
        <w:spacing w:after="0" w:before="0" w:line="240" w:lineRule="auto"/>
        <w:ind w:left="57"/>
        <w:jc w:val="left"/>
        <w:shd w:val="clear" w:fill="F2F2F2"/>
      </w:pPr>
      <w:r>
        <w:rPr>
          <w:rFonts w:ascii="Consolas" w:hAnsi="Consolas" w:cs="Consolas"/>
          <w:b w:val="0"/>
          <w:i w:val="0"/>
          <w:sz w:val="15"/>
        </w:rPr>
        <w:t xml:space="preserve">            "verified_at": "2026-01-15",</w:t>
      </w:r>
    </w:p>
    <w:p>
      <w:pPr>
        <w:spacing w:after="0" w:before="0" w:line="240" w:lineRule="auto"/>
        <w:ind w:left="57"/>
        <w:jc w:val="left"/>
        <w:shd w:val="clear" w:fill="F2F2F2"/>
      </w:pPr>
      <w:r>
        <w:rPr>
          <w:rFonts w:ascii="Consolas" w:hAnsi="Consolas" w:cs="Consolas"/>
          <w:b w:val="0"/>
          <w:i w:val="0"/>
          <w:sz w:val="15"/>
        </w:rPr>
        <w:t xml:space="preserve">            "expires_at": "2027-01-15",</w:t>
      </w:r>
    </w:p>
    <w:p>
      <w:pPr>
        <w:spacing w:after="0" w:before="0" w:line="240" w:lineRule="auto"/>
        <w:ind w:left="57"/>
        <w:jc w:val="left"/>
        <w:shd w:val="clear" w:fill="F2F2F2"/>
      </w:pPr>
      <w:r>
        <w:rPr>
          <w:rFonts w:ascii="Consolas" w:hAnsi="Consolas" w:cs="Consolas"/>
          <w:b w:val="0"/>
          <w:i w:val="0"/>
          <w:sz w:val="15"/>
        </w:rPr>
        <w:t xml:space="preserve">            "issuer": "GLEIF"</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"DUNS",</w:t>
      </w:r>
    </w:p>
    <w:p>
      <w:pPr>
        <w:spacing w:after="0" w:before="0" w:line="240" w:lineRule="auto"/>
        <w:ind w:left="57"/>
        <w:jc w:val="left"/>
        <w:shd w:val="clear" w:fill="F2F2F2"/>
      </w:pPr>
      <w:r>
        <w:rPr>
          <w:rFonts w:ascii="Consolas" w:hAnsi="Consolas" w:cs="Consolas"/>
          <w:b w:val="0"/>
          <w:i w:val="0"/>
          <w:sz w:val="15"/>
        </w:rPr>
        <w:t xml:space="preserve">            "value": "123456789",</w:t>
      </w:r>
    </w:p>
    <w:p>
      <w:pPr>
        <w:spacing w:after="0" w:before="0" w:line="240" w:lineRule="auto"/>
        <w:ind w:left="57"/>
        <w:jc w:val="left"/>
        <w:shd w:val="clear" w:fill="F2F2F2"/>
      </w:pPr>
      <w:r>
        <w:rPr>
          <w:rFonts w:ascii="Consolas" w:hAnsi="Consolas" w:cs="Consolas"/>
          <w:b w:val="0"/>
          <w:i w:val="0"/>
          <w:sz w:val="15"/>
        </w:rPr>
        <w:t xml:space="preserve">            "status": "VERIFIED",</w:t>
      </w:r>
    </w:p>
    <w:p>
      <w:pPr>
        <w:spacing w:after="0" w:before="0" w:line="240" w:lineRule="auto"/>
        <w:ind w:left="57"/>
        <w:jc w:val="left"/>
        <w:shd w:val="clear" w:fill="F2F2F2"/>
      </w:pPr>
      <w:r>
        <w:rPr>
          <w:rFonts w:ascii="Consolas" w:hAnsi="Consolas" w:cs="Consolas"/>
          <w:b w:val="0"/>
          <w:i w:val="0"/>
          <w:sz w:val="15"/>
        </w:rPr>
        <w:t xml:space="preserve">            "verified_at": "2026-02-01",</w:t>
      </w:r>
    </w:p>
    <w:p>
      <w:pPr>
        <w:spacing w:after="0" w:before="0" w:line="240" w:lineRule="auto"/>
        <w:ind w:left="57"/>
        <w:jc w:val="left"/>
        <w:shd w:val="clear" w:fill="F2F2F2"/>
      </w:pPr>
      <w:r>
        <w:rPr>
          <w:rFonts w:ascii="Consolas" w:hAnsi="Consolas" w:cs="Consolas"/>
          <w:b w:val="0"/>
          <w:i w:val="0"/>
          <w:sz w:val="15"/>
        </w:rPr>
        <w:t xml:space="preserve">            "issuer": "Dun &amp; Bradstreet"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"CUSTOMS_REG",</w:t>
      </w:r>
    </w:p>
    <w:p>
      <w:pPr>
        <w:spacing w:after="0" w:before="0" w:line="240" w:lineRule="auto"/>
        <w:ind w:left="57"/>
        <w:jc w:val="left"/>
        <w:shd w:val="clear" w:fill="F2F2F2"/>
      </w:pPr>
      <w:r>
        <w:rPr>
          <w:rFonts w:ascii="Consolas" w:hAnsi="Consolas" w:cs="Consolas"/>
          <w:b w:val="0"/>
          <w:i w:val="0"/>
          <w:sz w:val="15"/>
        </w:rPr>
        <w:t xml:space="preserve">            "value": "EG-123456",</w:t>
      </w:r>
    </w:p>
    <w:p>
      <w:pPr>
        <w:spacing w:after="0" w:before="0" w:line="240" w:lineRule="auto"/>
        <w:ind w:left="57"/>
        <w:jc w:val="left"/>
        <w:shd w:val="clear" w:fill="F2F2F2"/>
      </w:pPr>
      <w:r>
        <w:rPr>
          <w:rFonts w:ascii="Consolas" w:hAnsi="Consolas" w:cs="Consolas"/>
          <w:b w:val="0"/>
          <w:i w:val="0"/>
          <w:sz w:val="15"/>
        </w:rPr>
        <w:t xml:space="preserve">            "status": "VERIFIED",</w:t>
      </w:r>
    </w:p>
    <w:p>
      <w:pPr>
        <w:spacing w:after="0" w:before="0" w:line="240" w:lineRule="auto"/>
        <w:ind w:left="57"/>
        <w:jc w:val="left"/>
        <w:shd w:val="clear" w:fill="F2F2F2"/>
      </w:pPr>
      <w:r>
        <w:rPr>
          <w:rFonts w:ascii="Consolas" w:hAnsi="Consolas" w:cs="Consolas"/>
          <w:b w:val="0"/>
          <w:i w:val="0"/>
          <w:sz w:val="15"/>
        </w:rPr>
        <w:t xml:space="preserve">            "verified_at": "2026-01-10",</w:t>
      </w:r>
    </w:p>
    <w:p>
      <w:pPr>
        <w:spacing w:after="0" w:before="0" w:line="240" w:lineRule="auto"/>
        <w:ind w:left="57"/>
        <w:jc w:val="left"/>
        <w:shd w:val="clear" w:fill="F2F2F2"/>
      </w:pPr>
      <w:r>
        <w:rPr>
          <w:rFonts w:ascii="Consolas" w:hAnsi="Consolas" w:cs="Consolas"/>
          <w:b w:val="0"/>
          <w:i w:val="0"/>
          <w:sz w:val="15"/>
        </w:rPr>
        <w:t xml:space="preserve">            "issuer": "Egypt Customs"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"resolved_at": "2026-06-15T10:05:00Z"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4.1.5.5 Error Responses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HTTP Status</w:t>
            </w:r>
          </w:p>
        </w:tc>
        <w:tc>
          <w:tcPr>
            <w:tcW w:type="dxa" w:w="2409"/>
            <w:shd w:val="clear" w:fill="D9E2F3"/>
          </w:tcPr>
          <w:p>
            <w:pPr>
              <w:spacing w:after="20" w:before="20" w:line="240" w:lineRule="auto"/>
            </w:pPr>
            <w:r/>
            <w:r>
              <w:rPr>
                <w:rFonts w:ascii="Arial" w:hAnsi="Arial" w:cs="Arial"/>
                <w:b/>
                <w:i w:val="0"/>
                <w:sz w:val="18"/>
              </w:rPr>
              <w:t>Code</w:t>
            </w:r>
          </w:p>
        </w:tc>
        <w:tc>
          <w:tcPr>
            <w:tcW w:type="dxa" w:w="2409"/>
            <w:shd w:val="clear" w:fill="D9E2F3"/>
          </w:tcPr>
          <w:p>
            <w:pPr>
              <w:spacing w:after="20" w:before="20" w:line="240" w:lineRule="auto"/>
            </w:pPr>
            <w:r/>
            <w:r>
              <w:rPr>
                <w:rFonts w:ascii="Arial" w:hAnsi="Arial" w:cs="Arial"/>
                <w:b/>
                <w:i w:val="0"/>
                <w:sz w:val="18"/>
              </w:rPr>
              <w:t>Message</w:t>
            </w:r>
          </w:p>
        </w:tc>
        <w:tc>
          <w:tcPr>
            <w:tcW w:type="dxa" w:w="2409"/>
            <w:shd w:val="clear" w:fill="D9E2F3"/>
          </w:tcPr>
          <w:p>
            <w:pPr>
              <w:spacing w:after="20" w:before="20" w:line="240" w:lineRule="auto"/>
            </w:pPr>
            <w:r/>
            <w:r>
              <w:rPr>
                <w:rFonts w:ascii="Arial" w:hAnsi="Arial" w:cs="Arial"/>
                <w:b/>
                <w:i w:val="0"/>
                <w:sz w:val="18"/>
              </w:rPr>
              <w:t>Resolution</w:t>
            </w:r>
          </w:p>
        </w:tc>
      </w:tr>
      <w:tr>
        <w:tc>
          <w:tcPr>
            <w:tcW w:type="dxa" w:w="2409"/>
          </w:tcPr>
          <w:p>
            <w:pPr>
              <w:spacing w:after="20" w:before="20" w:line="240" w:lineRule="auto"/>
            </w:pPr>
            <w:r/>
            <w:r>
              <w:rPr>
                <w:rFonts w:ascii="Arial" w:hAnsi="Arial" w:cs="Arial"/>
                <w:b w:val="0"/>
                <w:i w:val="0"/>
                <w:sz w:val="17"/>
              </w:rPr>
              <w:t>400</w:t>
            </w:r>
          </w:p>
        </w:tc>
        <w:tc>
          <w:tcPr>
            <w:tcW w:type="dxa" w:w="2409"/>
          </w:tcPr>
          <w:p>
            <w:pPr>
              <w:spacing w:after="20" w:before="20" w:line="240" w:lineRule="auto"/>
            </w:pPr>
            <w:r/>
            <w:r>
              <w:rPr>
                <w:rFonts w:ascii="Arial" w:hAnsi="Arial" w:cs="Arial"/>
                <w:b w:val="0"/>
                <w:i w:val="0"/>
                <w:sz w:val="17"/>
              </w:rPr>
              <w:t>INVALID_GTID_FORMAT</w:t>
            </w:r>
          </w:p>
        </w:tc>
        <w:tc>
          <w:tcPr>
            <w:tcW w:type="dxa" w:w="2409"/>
          </w:tcPr>
          <w:p>
            <w:pPr>
              <w:spacing w:after="20" w:before="20" w:line="240" w:lineRule="auto"/>
            </w:pPr>
            <w:r/>
            <w:r>
              <w:rPr>
                <w:rFonts w:ascii="Arial" w:hAnsi="Arial" w:cs="Arial"/>
                <w:b w:val="0"/>
                <w:i w:val="0"/>
                <w:sz w:val="17"/>
              </w:rPr>
              <w:t>"Invalid GTID format. Expected SGTX-{COUNTRY}-{TYPE}-{SEQ}-{CHECKSUM}"</w:t>
            </w:r>
          </w:p>
        </w:tc>
        <w:tc>
          <w:tcPr>
            <w:tcW w:type="dxa" w:w="2409"/>
          </w:tcPr>
          <w:p>
            <w:pPr>
              <w:spacing w:after="20" w:before="20" w:line="240" w:lineRule="auto"/>
            </w:pPr>
            <w:r/>
            <w:r>
              <w:rPr>
                <w:rFonts w:ascii="Arial" w:hAnsi="Arial" w:cs="Arial"/>
                <w:b w:val="0"/>
                <w:i w:val="0"/>
                <w:sz w:val="17"/>
              </w:rPr>
              <w:t>Verify GTID format</w:t>
            </w:r>
          </w:p>
        </w:tc>
      </w:tr>
      <w:tr>
        <w:tc>
          <w:tcPr>
            <w:tcW w:type="dxa" w:w="2409"/>
          </w:tcPr>
          <w:p>
            <w:pPr>
              <w:spacing w:after="20" w:before="20" w:line="240" w:lineRule="auto"/>
            </w:pPr>
            <w:r/>
            <w:r>
              <w:rPr>
                <w:rFonts w:ascii="Arial" w:hAnsi="Arial" w:cs="Arial"/>
                <w:b w:val="0"/>
                <w:i w:val="0"/>
                <w:sz w:val="17"/>
              </w:rPr>
              <w:t>400</w:t>
            </w:r>
          </w:p>
        </w:tc>
        <w:tc>
          <w:tcPr>
            <w:tcW w:type="dxa" w:w="2409"/>
          </w:tcPr>
          <w:p>
            <w:pPr>
              <w:spacing w:after="20" w:before="20" w:line="240" w:lineRule="auto"/>
            </w:pPr>
            <w:r/>
            <w:r>
              <w:rPr>
                <w:rFonts w:ascii="Arial" w:hAnsi="Arial" w:cs="Arial"/>
                <w:b w:val="0"/>
                <w:i w:val="0"/>
                <w:sz w:val="17"/>
              </w:rPr>
              <w:t>CHECKSUM_MISMATCH</w:t>
            </w:r>
          </w:p>
        </w:tc>
        <w:tc>
          <w:tcPr>
            <w:tcW w:type="dxa" w:w="2409"/>
          </w:tcPr>
          <w:p>
            <w:pPr>
              <w:spacing w:after="20" w:before="20" w:line="240" w:lineRule="auto"/>
            </w:pPr>
            <w:r/>
            <w:r>
              <w:rPr>
                <w:rFonts w:ascii="Arial" w:hAnsi="Arial" w:cs="Arial"/>
                <w:b w:val="0"/>
                <w:i w:val="0"/>
                <w:sz w:val="17"/>
              </w:rPr>
              <w:t>"GTID checksum verification failed"</w:t>
            </w:r>
          </w:p>
        </w:tc>
        <w:tc>
          <w:tcPr>
            <w:tcW w:type="dxa" w:w="2409"/>
          </w:tcPr>
          <w:p>
            <w:pPr>
              <w:spacing w:after="20" w:before="20" w:line="240" w:lineRule="auto"/>
            </w:pPr>
            <w:r/>
            <w:r>
              <w:rPr>
                <w:rFonts w:ascii="Arial" w:hAnsi="Arial" w:cs="Arial"/>
                <w:b w:val="0"/>
                <w:i w:val="0"/>
                <w:sz w:val="17"/>
              </w:rPr>
              <w:t>Verify GTID, may be mistyped</w:t>
            </w:r>
          </w:p>
        </w:tc>
      </w:tr>
      <w:tr>
        <w:tc>
          <w:tcPr>
            <w:tcW w:type="dxa" w:w="2409"/>
          </w:tcPr>
          <w:p>
            <w:pPr>
              <w:spacing w:after="20" w:before="20" w:line="240" w:lineRule="auto"/>
            </w:pPr>
            <w:r/>
            <w:r>
              <w:rPr>
                <w:rFonts w:ascii="Arial" w:hAnsi="Arial" w:cs="Arial"/>
                <w:b w:val="0"/>
                <w:i w:val="0"/>
                <w:sz w:val="17"/>
              </w:rPr>
              <w:t>404</w:t>
            </w:r>
          </w:p>
        </w:tc>
        <w:tc>
          <w:tcPr>
            <w:tcW w:type="dxa" w:w="2409"/>
          </w:tcPr>
          <w:p>
            <w:pPr>
              <w:spacing w:after="20" w:before="20" w:line="240" w:lineRule="auto"/>
            </w:pPr>
            <w:r/>
            <w:r>
              <w:rPr>
                <w:rFonts w:ascii="Arial" w:hAnsi="Arial" w:cs="Arial"/>
                <w:b w:val="0"/>
                <w:i w:val="0"/>
                <w:sz w:val="17"/>
              </w:rPr>
              <w:t>GTID_NOT_FOUND</w:t>
            </w:r>
          </w:p>
        </w:tc>
        <w:tc>
          <w:tcPr>
            <w:tcW w:type="dxa" w:w="2409"/>
          </w:tcPr>
          <w:p>
            <w:pPr>
              <w:spacing w:after="20" w:before="20" w:line="240" w:lineRule="auto"/>
            </w:pPr>
            <w:r/>
            <w:r>
              <w:rPr>
                <w:rFonts w:ascii="Arial" w:hAnsi="Arial" w:cs="Arial"/>
                <w:b w:val="0"/>
                <w:i w:val="0"/>
                <w:sz w:val="17"/>
              </w:rPr>
              <w:t>"GTID does not exist or has been deactivated"</w:t>
            </w:r>
          </w:p>
        </w:tc>
        <w:tc>
          <w:tcPr>
            <w:tcW w:type="dxa" w:w="2409"/>
          </w:tcPr>
          <w:p>
            <w:pPr>
              <w:spacing w:after="20" w:before="20" w:line="240" w:lineRule="auto"/>
            </w:pPr>
            <w:r/>
            <w:r>
              <w:rPr>
                <w:rFonts w:ascii="Arial" w:hAnsi="Arial" w:cs="Arial"/>
                <w:b w:val="0"/>
                <w:i w:val="0"/>
                <w:sz w:val="17"/>
              </w:rPr>
              <w:t>Verify GTID with the counterparty</w:t>
            </w:r>
          </w:p>
        </w:tc>
      </w:tr>
      <w:tr>
        <w:tc>
          <w:tcPr>
            <w:tcW w:type="dxa" w:w="2409"/>
          </w:tcPr>
          <w:p>
            <w:pPr>
              <w:spacing w:after="20" w:before="20" w:line="240" w:lineRule="auto"/>
            </w:pPr>
            <w:r/>
            <w:r>
              <w:rPr>
                <w:rFonts w:ascii="Arial" w:hAnsi="Arial" w:cs="Arial"/>
                <w:b w:val="0"/>
                <w:i w:val="0"/>
                <w:sz w:val="17"/>
              </w:rPr>
              <w:t>403</w:t>
            </w:r>
          </w:p>
        </w:tc>
        <w:tc>
          <w:tcPr>
            <w:tcW w:type="dxa" w:w="2409"/>
          </w:tcPr>
          <w:p>
            <w:pPr>
              <w:spacing w:after="20" w:before="20" w:line="240" w:lineRule="auto"/>
            </w:pPr>
            <w:r/>
            <w:r>
              <w:rPr>
                <w:rFonts w:ascii="Arial" w:hAnsi="Arial" w:cs="Arial"/>
                <w:b w:val="0"/>
                <w:i w:val="0"/>
                <w:sz w:val="17"/>
              </w:rPr>
              <w:t>ACCESS_DENIED</w:t>
            </w:r>
          </w:p>
        </w:tc>
        <w:tc>
          <w:tcPr>
            <w:tcW w:type="dxa" w:w="2409"/>
          </w:tcPr>
          <w:p>
            <w:pPr>
              <w:spacing w:after="20" w:before="20" w:line="240" w:lineRule="auto"/>
            </w:pPr>
            <w:r/>
            <w:r>
              <w:rPr>
                <w:rFonts w:ascii="Arial" w:hAnsi="Arial" w:cs="Arial"/>
                <w:b w:val="0"/>
                <w:i w:val="0"/>
                <w:sz w:val="17"/>
              </w:rPr>
              <w:t>"You do not have permission to resolve this GTID"</w:t>
            </w:r>
          </w:p>
        </w:tc>
        <w:tc>
          <w:tcPr>
            <w:tcW w:type="dxa" w:w="2409"/>
          </w:tcPr>
          <w:p>
            <w:pPr>
              <w:spacing w:after="20" w:before="20" w:line="240" w:lineRule="auto"/>
            </w:pPr>
            <w:r/>
            <w:r>
              <w:rPr>
                <w:rFonts w:ascii="Arial" w:hAnsi="Arial" w:cs="Arial"/>
                <w:b w:val="0"/>
                <w:i w:val="0"/>
                <w:sz w:val="17"/>
              </w:rPr>
              <w:t>Contact the tenant or use saved contacts</w:t>
            </w:r>
          </w:p>
        </w:tc>
      </w:tr>
      <w:tr>
        <w:tc>
          <w:tcPr>
            <w:tcW w:type="dxa" w:w="2409"/>
          </w:tcPr>
          <w:p>
            <w:pPr>
              <w:spacing w:after="20" w:before="20" w:line="240" w:lineRule="auto"/>
            </w:pPr>
            <w:r/>
            <w:r>
              <w:rPr>
                <w:rFonts w:ascii="Arial" w:hAnsi="Arial" w:cs="Arial"/>
                <w:b w:val="0"/>
                <w:i w:val="0"/>
                <w:sz w:val="17"/>
              </w:rPr>
              <w:t>429</w:t>
            </w:r>
          </w:p>
        </w:tc>
        <w:tc>
          <w:tcPr>
            <w:tcW w:type="dxa" w:w="2409"/>
          </w:tcPr>
          <w:p>
            <w:pPr>
              <w:spacing w:after="20" w:before="20" w:line="240" w:lineRule="auto"/>
            </w:pPr>
            <w:r/>
            <w:r>
              <w:rPr>
                <w:rFonts w:ascii="Arial" w:hAnsi="Arial" w:cs="Arial"/>
                <w:b w:val="0"/>
                <w:i w:val="0"/>
                <w:sz w:val="17"/>
              </w:rPr>
              <w:t>RATE_LIMIT_EXCEEDED</w:t>
            </w:r>
          </w:p>
        </w:tc>
        <w:tc>
          <w:tcPr>
            <w:tcW w:type="dxa" w:w="2409"/>
          </w:tcPr>
          <w:p>
            <w:pPr>
              <w:spacing w:after="20" w:before="20" w:line="240" w:lineRule="auto"/>
            </w:pPr>
            <w:r/>
            <w:r>
              <w:rPr>
                <w:rFonts w:ascii="Arial" w:hAnsi="Arial" w:cs="Arial"/>
                <w:b w:val="0"/>
                <w:i w:val="0"/>
                <w:sz w:val="17"/>
              </w:rPr>
              <w:t>"Too many resolution requests. Try again later"</w:t>
            </w:r>
          </w:p>
        </w:tc>
        <w:tc>
          <w:tcPr>
            <w:tcW w:type="dxa" w:w="2409"/>
          </w:tcPr>
          <w:p>
            <w:pPr>
              <w:spacing w:after="20" w:before="20" w:line="240" w:lineRule="auto"/>
            </w:pPr>
            <w:r/>
            <w:r>
              <w:rPr>
                <w:rFonts w:ascii="Arial" w:hAnsi="Arial" w:cs="Arial"/>
                <w:b w:val="0"/>
                <w:i w:val="0"/>
                <w:sz w:val="17"/>
              </w:rPr>
              <w:t>Wait and retry</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4.1.5.6 Privacy &amp; Consent Controls</w:t>
      </w:r>
    </w:p>
    <w:p>
      <w:pPr>
        <w:spacing w:after="80" w:line="293" w:lineRule="auto"/>
        <w:jc w:val="left"/>
      </w:pPr>
      <w:r>
        <w:rPr>
          <w:rFonts w:ascii="Times New Roman" w:hAnsi="Times New Roman" w:cs="Times New Roman"/>
          <w:b w:val="0"/>
          <w:i w:val="0"/>
          <w:sz w:val="22"/>
        </w:rPr>
        <w:t>Default visibility (always visible):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Visibility</w:t>
            </w:r>
          </w:p>
        </w:tc>
        <w:tc>
          <w:tcPr>
            <w:tcW w:type="dxa" w:w="3213"/>
            <w:shd w:val="clear" w:fill="D9E2F3"/>
          </w:tcPr>
          <w:p>
            <w:pPr>
              <w:spacing w:after="20" w:before="20" w:line="240" w:lineRule="auto"/>
            </w:pPr>
            <w:r/>
            <w:r>
              <w:rPr>
                <w:rFonts w:ascii="Arial" w:hAnsi="Arial" w:cs="Arial"/>
                <w:b/>
                <w:i w:val="0"/>
                <w:sz w:val="18"/>
              </w:rPr>
              <w:t>Reason</w:t>
            </w:r>
          </w:p>
        </w:tc>
      </w:tr>
      <w:tr>
        <w:tc>
          <w:tcPr>
            <w:tcW w:type="dxa" w:w="3213"/>
          </w:tcPr>
          <w:p>
            <w:pPr>
              <w:spacing w:after="20" w:before="20" w:line="240" w:lineRule="auto"/>
            </w:pPr>
            <w:r/>
            <w:r>
              <w:rPr>
                <w:rFonts w:ascii="Arial" w:hAnsi="Arial" w:cs="Arial"/>
                <w:b w:val="0"/>
                <w:i w:val="0"/>
                <w:sz w:val="17"/>
              </w:rPr>
              <w:t>GTID</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Required for identification</w:t>
            </w:r>
          </w:p>
        </w:tc>
      </w:tr>
      <w:tr>
        <w:tc>
          <w:tcPr>
            <w:tcW w:type="dxa" w:w="3213"/>
          </w:tcPr>
          <w:p>
            <w:pPr>
              <w:spacing w:after="20" w:before="20" w:line="240" w:lineRule="auto"/>
            </w:pPr>
            <w:r/>
            <w:r>
              <w:rPr>
                <w:rFonts w:ascii="Arial" w:hAnsi="Arial" w:cs="Arial"/>
                <w:b w:val="0"/>
                <w:i w:val="0"/>
                <w:sz w:val="17"/>
              </w:rPr>
              <w:t>Legal name</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Required for counterparty identification</w:t>
            </w:r>
          </w:p>
        </w:tc>
      </w:tr>
      <w:tr>
        <w:tc>
          <w:tcPr>
            <w:tcW w:type="dxa" w:w="3213"/>
          </w:tcPr>
          <w:p>
            <w:pPr>
              <w:spacing w:after="20" w:before="20" w:line="240" w:lineRule="auto"/>
            </w:pPr>
            <w:r/>
            <w:r>
              <w:rPr>
                <w:rFonts w:ascii="Arial" w:hAnsi="Arial" w:cs="Arial"/>
                <w:b w:val="0"/>
                <w:i w:val="0"/>
                <w:sz w:val="17"/>
              </w:rPr>
              <w:t>Type</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Required for role identification</w:t>
            </w:r>
          </w:p>
        </w:tc>
      </w:tr>
      <w:tr>
        <w:tc>
          <w:tcPr>
            <w:tcW w:type="dxa" w:w="3213"/>
          </w:tcPr>
          <w:p>
            <w:pPr>
              <w:spacing w:after="20" w:before="20" w:line="240" w:lineRule="auto"/>
            </w:pPr>
            <w:r/>
            <w:r>
              <w:rPr>
                <w:rFonts w:ascii="Arial" w:hAnsi="Arial" w:cs="Arial"/>
                <w:b w:val="0"/>
                <w:i w:val="0"/>
                <w:sz w:val="17"/>
              </w:rPr>
              <w:t>Jurisdiction</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Required for compliance</w:t>
            </w:r>
          </w:p>
        </w:tc>
      </w:tr>
      <w:tr>
        <w:tc>
          <w:tcPr>
            <w:tcW w:type="dxa" w:w="3213"/>
          </w:tcPr>
          <w:p>
            <w:pPr>
              <w:spacing w:after="20" w:before="20" w:line="240" w:lineRule="auto"/>
            </w:pPr>
            <w:r/>
            <w:r>
              <w:rPr>
                <w:rFonts w:ascii="Arial" w:hAnsi="Arial" w:cs="Arial"/>
                <w:b w:val="0"/>
                <w:i w:val="0"/>
                <w:sz w:val="17"/>
              </w:rPr>
              <w:t>KYB tier</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Indicates verification level</w:t>
            </w:r>
          </w:p>
        </w:tc>
      </w:tr>
      <w:tr>
        <w:tc>
          <w:tcPr>
            <w:tcW w:type="dxa" w:w="3213"/>
          </w:tcPr>
          <w:p>
            <w:pPr>
              <w:spacing w:after="20" w:before="20" w:line="240" w:lineRule="auto"/>
            </w:pPr>
            <w:r/>
            <w:r>
              <w:rPr>
                <w:rFonts w:ascii="Arial" w:hAnsi="Arial" w:cs="Arial"/>
                <w:b w:val="0"/>
                <w:i w:val="0"/>
                <w:sz w:val="17"/>
              </w:rPr>
              <w:t>KYB status</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Indicates verification status</w:t>
            </w:r>
          </w:p>
        </w:tc>
      </w:tr>
      <w:tr>
        <w:tc>
          <w:tcPr>
            <w:tcW w:type="dxa" w:w="3213"/>
          </w:tcPr>
          <w:p>
            <w:pPr>
              <w:spacing w:after="20" w:before="20" w:line="240" w:lineRule="auto"/>
            </w:pPr>
            <w:r/>
            <w:r>
              <w:rPr>
                <w:rFonts w:ascii="Arial" w:hAnsi="Arial" w:cs="Arial"/>
                <w:b w:val="0"/>
                <w:i w:val="0"/>
                <w:sz w:val="17"/>
              </w:rPr>
              <w:t>Sanctions cleared</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Compliance indicator</w:t>
            </w:r>
          </w:p>
        </w:tc>
      </w:tr>
      <w:tr>
        <w:tc>
          <w:tcPr>
            <w:tcW w:type="dxa" w:w="3213"/>
          </w:tcPr>
          <w:p>
            <w:pPr>
              <w:spacing w:after="20" w:before="20" w:line="240" w:lineRule="auto"/>
            </w:pPr>
            <w:r/>
            <w:r>
              <w:rPr>
                <w:rFonts w:ascii="Arial" w:hAnsi="Arial" w:cs="Arial"/>
                <w:b w:val="0"/>
                <w:i w:val="0"/>
                <w:sz w:val="17"/>
              </w:rPr>
              <w:t>Lifecycle state</w:t>
            </w:r>
          </w:p>
        </w:tc>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Indicates account status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Consent-required visibility: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Consent Required</w:t>
            </w:r>
          </w:p>
        </w:tc>
        <w:tc>
          <w:tcPr>
            <w:tcW w:type="dxa" w:w="3213"/>
            <w:shd w:val="clear" w:fill="D9E2F3"/>
          </w:tcPr>
          <w:p>
            <w:pPr>
              <w:spacing w:after="20" w:before="20" w:line="240" w:lineRule="auto"/>
            </w:pPr>
            <w:r/>
            <w:r>
              <w:rPr>
                <w:rFonts w:ascii="Arial" w:hAnsi="Arial" w:cs="Arial"/>
                <w:b/>
                <w:i w:val="0"/>
                <w:sz w:val="18"/>
              </w:rPr>
              <w:t>How to Grant</w:t>
            </w:r>
          </w:p>
        </w:tc>
      </w:tr>
      <w:tr>
        <w:tc>
          <w:tcPr>
            <w:tcW w:type="dxa" w:w="3213"/>
          </w:tcPr>
          <w:p>
            <w:pPr>
              <w:spacing w:after="20" w:before="20" w:line="240" w:lineRule="auto"/>
            </w:pPr>
            <w:r/>
            <w:r>
              <w:rPr>
                <w:rFonts w:ascii="Arial" w:hAnsi="Arial" w:cs="Arial"/>
                <w:b w:val="0"/>
                <w:i w:val="0"/>
                <w:sz w:val="17"/>
              </w:rPr>
              <w:t>Trust score components</w:t>
            </w:r>
          </w:p>
        </w:tc>
        <w:tc>
          <w:tcPr>
            <w:tcW w:type="dxa" w:w="3213"/>
          </w:tcPr>
          <w:p>
            <w:pPr>
              <w:spacing w:after="20" w:before="20" w:line="240" w:lineRule="auto"/>
            </w:pPr>
            <w:r/>
            <w:r>
              <w:rPr>
                <w:rFonts w:ascii="Arial" w:hAnsi="Arial" w:cs="Arial"/>
                <w:b w:val="0"/>
                <w:i w:val="0"/>
                <w:sz w:val="17"/>
              </w:rPr>
              <w:t>Yes</w:t>
            </w:r>
          </w:p>
        </w:tc>
        <w:tc>
          <w:tcPr>
            <w:tcW w:type="dxa" w:w="3213"/>
          </w:tcPr>
          <w:p>
            <w:pPr>
              <w:spacing w:after="20" w:before="20" w:line="240" w:lineRule="auto"/>
            </w:pPr>
            <w:r/>
            <w:r>
              <w:rPr>
                <w:rFonts w:ascii="Arial" w:hAnsi="Arial" w:cs="Arial"/>
                <w:b w:val="0"/>
                <w:i w:val="0"/>
                <w:sz w:val="17"/>
              </w:rPr>
              <w:t>Company Admin → Privacy → Trust Profile</w:t>
            </w:r>
          </w:p>
        </w:tc>
      </w:tr>
      <w:tr>
        <w:tc>
          <w:tcPr>
            <w:tcW w:type="dxa" w:w="3213"/>
          </w:tcPr>
          <w:p>
            <w:pPr>
              <w:spacing w:after="20" w:before="20" w:line="240" w:lineRule="auto"/>
            </w:pPr>
            <w:r/>
            <w:r>
              <w:rPr>
                <w:rFonts w:ascii="Arial" w:hAnsi="Arial" w:cs="Arial"/>
                <w:b w:val="0"/>
                <w:i w:val="0"/>
                <w:sz w:val="17"/>
              </w:rPr>
              <w:t>Verified identifiers (LEI, DUNS, etc.)</w:t>
            </w:r>
          </w:p>
        </w:tc>
        <w:tc>
          <w:tcPr>
            <w:tcW w:type="dxa" w:w="3213"/>
          </w:tcPr>
          <w:p>
            <w:pPr>
              <w:spacing w:after="20" w:before="20" w:line="240" w:lineRule="auto"/>
            </w:pPr>
            <w:r/>
            <w:r>
              <w:rPr>
                <w:rFonts w:ascii="Arial" w:hAnsi="Arial" w:cs="Arial"/>
                <w:b w:val="0"/>
                <w:i w:val="0"/>
                <w:sz w:val="17"/>
              </w:rPr>
              <w:t>Yes</w:t>
            </w:r>
          </w:p>
        </w:tc>
        <w:tc>
          <w:tcPr>
            <w:tcW w:type="dxa" w:w="3213"/>
          </w:tcPr>
          <w:p>
            <w:pPr>
              <w:spacing w:after="20" w:before="20" w:line="240" w:lineRule="auto"/>
            </w:pPr>
            <w:r/>
            <w:r>
              <w:rPr>
                <w:rFonts w:ascii="Arial" w:hAnsi="Arial" w:cs="Arial"/>
                <w:b w:val="0"/>
                <w:i w:val="0"/>
                <w:sz w:val="17"/>
              </w:rPr>
              <w:t>Company Admin → Privacy → Verified IDs</w:t>
            </w:r>
          </w:p>
        </w:tc>
      </w:tr>
      <w:tr>
        <w:tc>
          <w:tcPr>
            <w:tcW w:type="dxa" w:w="3213"/>
          </w:tcPr>
          <w:p>
            <w:pPr>
              <w:spacing w:after="20" w:before="20" w:line="240" w:lineRule="auto"/>
            </w:pPr>
            <w:r/>
            <w:r>
              <w:rPr>
                <w:rFonts w:ascii="Arial" w:hAnsi="Arial" w:cs="Arial"/>
                <w:b w:val="0"/>
                <w:i w:val="0"/>
                <w:sz w:val="17"/>
              </w:rPr>
              <w:t>Financing history</w:t>
            </w:r>
          </w:p>
        </w:tc>
        <w:tc>
          <w:tcPr>
            <w:tcW w:type="dxa" w:w="3213"/>
          </w:tcPr>
          <w:p>
            <w:pPr>
              <w:spacing w:after="20" w:before="20" w:line="240" w:lineRule="auto"/>
            </w:pPr>
            <w:r/>
            <w:r>
              <w:rPr>
                <w:rFonts w:ascii="Arial" w:hAnsi="Arial" w:cs="Arial"/>
                <w:b w:val="0"/>
                <w:i w:val="0"/>
                <w:sz w:val="17"/>
              </w:rPr>
              <w:t>Yes</w:t>
            </w:r>
          </w:p>
        </w:tc>
        <w:tc>
          <w:tcPr>
            <w:tcW w:type="dxa" w:w="3213"/>
          </w:tcPr>
          <w:p>
            <w:pPr>
              <w:spacing w:after="20" w:before="20" w:line="240" w:lineRule="auto"/>
            </w:pPr>
            <w:r/>
            <w:r>
              <w:rPr>
                <w:rFonts w:ascii="Arial" w:hAnsi="Arial" w:cs="Arial"/>
                <w:b w:val="0"/>
                <w:i w:val="0"/>
                <w:sz w:val="17"/>
              </w:rPr>
              <w:t>Company Admin → Privacy → Financing</w:t>
            </w:r>
          </w:p>
        </w:tc>
      </w:tr>
      <w:tr>
        <w:tc>
          <w:tcPr>
            <w:tcW w:type="dxa" w:w="3213"/>
          </w:tcPr>
          <w:p>
            <w:pPr>
              <w:spacing w:after="20" w:before="20" w:line="240" w:lineRule="auto"/>
            </w:pPr>
            <w:r/>
            <w:r>
              <w:rPr>
                <w:rFonts w:ascii="Arial" w:hAnsi="Arial" w:cs="Arial"/>
                <w:b w:val="0"/>
                <w:i w:val="0"/>
                <w:sz w:val="17"/>
              </w:rPr>
              <w:t>Dispute history</w:t>
            </w:r>
          </w:p>
        </w:tc>
        <w:tc>
          <w:tcPr>
            <w:tcW w:type="dxa" w:w="3213"/>
          </w:tcPr>
          <w:p>
            <w:pPr>
              <w:spacing w:after="20" w:before="20" w:line="240" w:lineRule="auto"/>
            </w:pPr>
            <w:r/>
            <w:r>
              <w:rPr>
                <w:rFonts w:ascii="Arial" w:hAnsi="Arial" w:cs="Arial"/>
                <w:b w:val="0"/>
                <w:i w:val="0"/>
                <w:sz w:val="17"/>
              </w:rPr>
              <w:t>Yes</w:t>
            </w:r>
          </w:p>
        </w:tc>
        <w:tc>
          <w:tcPr>
            <w:tcW w:type="dxa" w:w="3213"/>
          </w:tcPr>
          <w:p>
            <w:pPr>
              <w:spacing w:after="20" w:before="20" w:line="240" w:lineRule="auto"/>
            </w:pPr>
            <w:r/>
            <w:r>
              <w:rPr>
                <w:rFonts w:ascii="Arial" w:hAnsi="Arial" w:cs="Arial"/>
                <w:b w:val="0"/>
                <w:i w:val="0"/>
                <w:sz w:val="17"/>
              </w:rPr>
              <w:t>Company Admin → Privacy → Disputes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4.1.6 Resolution Caching &amp; Performance</w:t>
      </w:r>
    </w:p>
    <w:p>
      <w:pPr>
        <w:keepNext/>
        <w:spacing w:before="140" w:after="60"/>
        <w:outlineLvl w:val="3"/>
      </w:pPr>
      <w:r>
        <w:rPr>
          <w:rFonts w:ascii="Arial" w:hAnsi="Arial" w:cs="Arial"/>
          <w:b/>
          <w:i/>
          <w:color w:val="333333"/>
          <w:sz w:val="22"/>
        </w:rPr>
        <w:t>4.1.6.1 Caching Strategy</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Cache Level</w:t>
            </w:r>
          </w:p>
        </w:tc>
        <w:tc>
          <w:tcPr>
            <w:tcW w:type="dxa" w:w="2409"/>
            <w:shd w:val="clear" w:fill="D9E2F3"/>
          </w:tcPr>
          <w:p>
            <w:pPr>
              <w:spacing w:after="20" w:before="20" w:line="240" w:lineRule="auto"/>
            </w:pPr>
            <w:r/>
            <w:r>
              <w:rPr>
                <w:rFonts w:ascii="Arial" w:hAnsi="Arial" w:cs="Arial"/>
                <w:b/>
                <w:i w:val="0"/>
                <w:sz w:val="18"/>
              </w:rPr>
              <w:t>Technology</w:t>
            </w:r>
          </w:p>
        </w:tc>
        <w:tc>
          <w:tcPr>
            <w:tcW w:type="dxa" w:w="2409"/>
            <w:shd w:val="clear" w:fill="D9E2F3"/>
          </w:tcPr>
          <w:p>
            <w:pPr>
              <w:spacing w:after="20" w:before="20" w:line="240" w:lineRule="auto"/>
            </w:pPr>
            <w:r/>
            <w:r>
              <w:rPr>
                <w:rFonts w:ascii="Arial" w:hAnsi="Arial" w:cs="Arial"/>
                <w:b/>
                <w:i w:val="0"/>
                <w:sz w:val="18"/>
              </w:rPr>
              <w:t>TTL</w:t>
            </w:r>
          </w:p>
        </w:tc>
        <w:tc>
          <w:tcPr>
            <w:tcW w:type="dxa" w:w="2409"/>
            <w:shd w:val="clear" w:fill="D9E2F3"/>
          </w:tcPr>
          <w:p>
            <w:pPr>
              <w:spacing w:after="20" w:before="20" w:line="240" w:lineRule="auto"/>
            </w:pPr>
            <w:r/>
            <w:r>
              <w:rPr>
                <w:rFonts w:ascii="Arial" w:hAnsi="Arial" w:cs="Arial"/>
                <w:b/>
                <w:i w:val="0"/>
                <w:sz w:val="18"/>
              </w:rPr>
              <w:t>Invalidation</w:t>
            </w:r>
          </w:p>
        </w:tc>
      </w:tr>
      <w:tr>
        <w:tc>
          <w:tcPr>
            <w:tcW w:type="dxa" w:w="2409"/>
          </w:tcPr>
          <w:p>
            <w:pPr>
              <w:spacing w:after="20" w:before="20" w:line="240" w:lineRule="auto"/>
            </w:pPr>
            <w:r/>
            <w:r>
              <w:rPr>
                <w:rFonts w:ascii="Arial" w:hAnsi="Arial" w:cs="Arial"/>
                <w:b w:val="0"/>
                <w:i w:val="0"/>
                <w:sz w:val="17"/>
              </w:rPr>
              <w:t>L1 (in-memory)</w:t>
            </w:r>
          </w:p>
        </w:tc>
        <w:tc>
          <w:tcPr>
            <w:tcW w:type="dxa" w:w="2409"/>
          </w:tcPr>
          <w:p>
            <w:pPr>
              <w:spacing w:after="20" w:before="20" w:line="240" w:lineRule="auto"/>
            </w:pPr>
            <w:r/>
            <w:r>
              <w:rPr>
                <w:rFonts w:ascii="Arial" w:hAnsi="Arial" w:cs="Arial"/>
                <w:b w:val="0"/>
                <w:i w:val="0"/>
                <w:sz w:val="17"/>
              </w:rPr>
              <w:t>Valkey/Redis</w:t>
            </w:r>
          </w:p>
        </w:tc>
        <w:tc>
          <w:tcPr>
            <w:tcW w:type="dxa" w:w="2409"/>
          </w:tcPr>
          <w:p>
            <w:pPr>
              <w:spacing w:after="20" w:before="20" w:line="240" w:lineRule="auto"/>
            </w:pPr>
            <w:r/>
            <w:r>
              <w:rPr>
                <w:rFonts w:ascii="Arial" w:hAnsi="Arial" w:cs="Arial"/>
                <w:b w:val="0"/>
                <w:i w:val="0"/>
                <w:sz w:val="17"/>
              </w:rPr>
              <w:t>5 minutes</w:t>
            </w:r>
          </w:p>
        </w:tc>
        <w:tc>
          <w:tcPr>
            <w:tcW w:type="dxa" w:w="2409"/>
          </w:tcPr>
          <w:p>
            <w:pPr>
              <w:spacing w:after="20" w:before="20" w:line="240" w:lineRule="auto"/>
            </w:pPr>
            <w:r/>
            <w:r>
              <w:rPr>
                <w:rFonts w:ascii="Arial" w:hAnsi="Arial" w:cs="Arial"/>
                <w:b w:val="0"/>
                <w:i w:val="0"/>
                <w:sz w:val="17"/>
              </w:rPr>
              <w:t>On tenant profile update</w:t>
            </w:r>
          </w:p>
        </w:tc>
      </w:tr>
      <w:tr>
        <w:tc>
          <w:tcPr>
            <w:tcW w:type="dxa" w:w="2409"/>
          </w:tcPr>
          <w:p>
            <w:pPr>
              <w:spacing w:after="20" w:before="20" w:line="240" w:lineRule="auto"/>
            </w:pPr>
            <w:r/>
            <w:r>
              <w:rPr>
                <w:rFonts w:ascii="Arial" w:hAnsi="Arial" w:cs="Arial"/>
                <w:b w:val="0"/>
                <w:i w:val="0"/>
                <w:sz w:val="17"/>
              </w:rPr>
              <w:t>L2 (PostgreSQL)</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Real-time (primary source)</w:t>
            </w:r>
          </w:p>
        </w:tc>
      </w:tr>
      <w:tr>
        <w:tc>
          <w:tcPr>
            <w:tcW w:type="dxa" w:w="2409"/>
          </w:tcPr>
          <w:p>
            <w:pPr>
              <w:spacing w:after="20" w:before="20" w:line="240" w:lineRule="auto"/>
            </w:pPr>
            <w:r/>
            <w:r>
              <w:rPr>
                <w:rFonts w:ascii="Arial" w:hAnsi="Arial" w:cs="Arial"/>
                <w:b w:val="0"/>
                <w:i w:val="0"/>
                <w:sz w:val="17"/>
              </w:rPr>
              <w:t>L3 (client)</w:t>
            </w:r>
          </w:p>
        </w:tc>
        <w:tc>
          <w:tcPr>
            <w:tcW w:type="dxa" w:w="2409"/>
          </w:tcPr>
          <w:p>
            <w:pPr>
              <w:spacing w:after="20" w:before="20" w:line="240" w:lineRule="auto"/>
            </w:pPr>
            <w:r/>
            <w:r>
              <w:rPr>
                <w:rFonts w:ascii="Arial" w:hAnsi="Arial" w:cs="Arial"/>
                <w:b w:val="0"/>
                <w:i w:val="0"/>
                <w:sz w:val="17"/>
              </w:rPr>
              <w:t>Browser cache</w:t>
            </w:r>
          </w:p>
        </w:tc>
        <w:tc>
          <w:tcPr>
            <w:tcW w:type="dxa" w:w="2409"/>
          </w:tcPr>
          <w:p>
            <w:pPr>
              <w:spacing w:after="20" w:before="20" w:line="240" w:lineRule="auto"/>
            </w:pPr>
            <w:r/>
            <w:r>
              <w:rPr>
                <w:rFonts w:ascii="Arial" w:hAnsi="Arial" w:cs="Arial"/>
                <w:b w:val="0"/>
                <w:i w:val="0"/>
                <w:sz w:val="17"/>
              </w:rPr>
              <w:t>60 seconds</w:t>
            </w:r>
          </w:p>
        </w:tc>
        <w:tc>
          <w:tcPr>
            <w:tcW w:type="dxa" w:w="2409"/>
          </w:tcPr>
          <w:p>
            <w:pPr>
              <w:spacing w:after="20" w:before="20" w:line="240" w:lineRule="auto"/>
            </w:pPr>
            <w:r/>
            <w:r>
              <w:rPr>
                <w:rFonts w:ascii="Arial" w:hAnsi="Arial" w:cs="Arial"/>
                <w:b w:val="0"/>
                <w:i w:val="0"/>
                <w:sz w:val="17"/>
              </w:rPr>
              <w:t>On page reload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4.1.6.2 Cache Key</w:t>
      </w:r>
    </w:p>
    <w:p>
      <w:pPr>
        <w:spacing w:after="0" w:before="0" w:line="240" w:lineRule="auto"/>
        <w:ind w:left="57"/>
        <w:jc w:val="left"/>
        <w:shd w:val="clear" w:fill="F2F2F2"/>
      </w:pPr>
      <w:r>
        <w:rPr>
          <w:rFonts w:ascii="Consolas" w:hAnsi="Consolas" w:cs="Consolas"/>
          <w:b w:val="0"/>
          <w:i w:val="0"/>
          <w:sz w:val="15"/>
        </w:rPr>
        <w:t>gtid:{gtid}:v{version}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version increments on any profile change.</w:t>
      </w:r>
    </w:p>
    <w:p>
      <w:pPr>
        <w:keepNext/>
        <w:spacing w:before="140" w:after="60"/>
        <w:outlineLvl w:val="3"/>
      </w:pPr>
      <w:r>
        <w:rPr>
          <w:rFonts w:ascii="Arial" w:hAnsi="Arial" w:cs="Arial"/>
          <w:b/>
          <w:i/>
          <w:color w:val="333333"/>
          <w:sz w:val="22"/>
        </w:rPr>
        <w:t>4.1.6.3 Performance Targets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Metric</w:t>
            </w:r>
          </w:p>
        </w:tc>
        <w:tc>
          <w:tcPr>
            <w:tcW w:type="dxa" w:w="4819"/>
            <w:shd w:val="clear" w:fill="D9E2F3"/>
          </w:tcPr>
          <w:p>
            <w:pPr>
              <w:spacing w:after="20" w:before="20" w:line="240" w:lineRule="auto"/>
            </w:pPr>
            <w:r/>
            <w:r>
              <w:rPr>
                <w:rFonts w:ascii="Arial" w:hAnsi="Arial" w:cs="Arial"/>
                <w:b/>
                <w:i w:val="0"/>
                <w:sz w:val="18"/>
              </w:rPr>
              <w:t>Target</w:t>
            </w:r>
          </w:p>
        </w:tc>
      </w:tr>
      <w:tr>
        <w:tc>
          <w:tcPr>
            <w:tcW w:type="dxa" w:w="4819"/>
          </w:tcPr>
          <w:p>
            <w:pPr>
              <w:spacing w:after="20" w:before="20" w:line="240" w:lineRule="auto"/>
            </w:pPr>
            <w:r/>
            <w:r>
              <w:rPr>
                <w:rFonts w:ascii="Arial" w:hAnsi="Arial" w:cs="Arial"/>
                <w:b w:val="0"/>
                <w:i w:val="0"/>
                <w:sz w:val="17"/>
              </w:rPr>
              <w:t>Cache hit rate</w:t>
            </w:r>
          </w:p>
        </w:tc>
        <w:tc>
          <w:tcPr>
            <w:tcW w:type="dxa" w:w="4819"/>
          </w:tcPr>
          <w:p>
            <w:pPr>
              <w:spacing w:after="20" w:before="20" w:line="240" w:lineRule="auto"/>
            </w:pPr>
            <w:r/>
            <w:r>
              <w:rPr>
                <w:rFonts w:ascii="Arial" w:hAnsi="Arial" w:cs="Arial"/>
                <w:b w:val="0"/>
                <w:i w:val="0"/>
                <w:sz w:val="17"/>
              </w:rPr>
              <w:t>&gt;95%</w:t>
            </w:r>
          </w:p>
        </w:tc>
      </w:tr>
      <w:tr>
        <w:tc>
          <w:tcPr>
            <w:tcW w:type="dxa" w:w="4819"/>
          </w:tcPr>
          <w:p>
            <w:pPr>
              <w:spacing w:after="20" w:before="20" w:line="240" w:lineRule="auto"/>
            </w:pPr>
            <w:r/>
            <w:r>
              <w:rPr>
                <w:rFonts w:ascii="Arial" w:hAnsi="Arial" w:cs="Arial"/>
                <w:b w:val="0"/>
                <w:i w:val="0"/>
                <w:sz w:val="17"/>
              </w:rPr>
              <w:t>Cache response time</w:t>
            </w:r>
          </w:p>
        </w:tc>
        <w:tc>
          <w:tcPr>
            <w:tcW w:type="dxa" w:w="4819"/>
          </w:tcPr>
          <w:p>
            <w:pPr>
              <w:spacing w:after="20" w:before="20" w:line="240" w:lineRule="auto"/>
            </w:pPr>
            <w:r/>
            <w:r>
              <w:rPr>
                <w:rFonts w:ascii="Arial" w:hAnsi="Arial" w:cs="Arial"/>
                <w:b w:val="0"/>
                <w:i w:val="0"/>
                <w:sz w:val="17"/>
              </w:rPr>
              <w:t>&lt;10 ms</w:t>
            </w:r>
          </w:p>
        </w:tc>
      </w:tr>
      <w:tr>
        <w:tc>
          <w:tcPr>
            <w:tcW w:type="dxa" w:w="4819"/>
          </w:tcPr>
          <w:p>
            <w:pPr>
              <w:spacing w:after="20" w:before="20" w:line="240" w:lineRule="auto"/>
            </w:pPr>
            <w:r/>
            <w:r>
              <w:rPr>
                <w:rFonts w:ascii="Arial" w:hAnsi="Arial" w:cs="Arial"/>
                <w:b w:val="0"/>
                <w:i w:val="0"/>
                <w:sz w:val="17"/>
              </w:rPr>
              <w:t>Database fallback (p95)</w:t>
            </w:r>
          </w:p>
        </w:tc>
        <w:tc>
          <w:tcPr>
            <w:tcW w:type="dxa" w:w="4819"/>
          </w:tcPr>
          <w:p>
            <w:pPr>
              <w:spacing w:after="20" w:before="20" w:line="240" w:lineRule="auto"/>
            </w:pPr>
            <w:r/>
            <w:r>
              <w:rPr>
                <w:rFonts w:ascii="Arial" w:hAnsi="Arial" w:cs="Arial"/>
                <w:b w:val="0"/>
                <w:i w:val="0"/>
                <w:sz w:val="17"/>
              </w:rPr>
              <w:t>&lt;50 ms</w:t>
            </w:r>
          </w:p>
        </w:tc>
      </w:tr>
      <w:tr>
        <w:tc>
          <w:tcPr>
            <w:tcW w:type="dxa" w:w="4819"/>
          </w:tcPr>
          <w:p>
            <w:pPr>
              <w:spacing w:after="20" w:before="20" w:line="240" w:lineRule="auto"/>
            </w:pPr>
            <w:r/>
            <w:r>
              <w:rPr>
                <w:rFonts w:ascii="Arial" w:hAnsi="Arial" w:cs="Arial"/>
                <w:b w:val="0"/>
                <w:i w:val="0"/>
                <w:sz w:val="17"/>
              </w:rPr>
              <w:t>Cold start (no cache)</w:t>
            </w:r>
          </w:p>
        </w:tc>
        <w:tc>
          <w:tcPr>
            <w:tcW w:type="dxa" w:w="4819"/>
          </w:tcPr>
          <w:p>
            <w:pPr>
              <w:spacing w:after="20" w:before="20" w:line="240" w:lineRule="auto"/>
            </w:pPr>
            <w:r/>
            <w:r>
              <w:rPr>
                <w:rFonts w:ascii="Arial" w:hAnsi="Arial" w:cs="Arial"/>
                <w:b w:val="0"/>
                <w:i w:val="0"/>
                <w:sz w:val="17"/>
              </w:rPr>
              <w:t>&lt;100 ms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4.1.7 AI Assistance for GTID Resolution</w:t>
      </w:r>
    </w:p>
    <w:p>
      <w:pPr>
        <w:keepNext/>
        <w:spacing w:before="140" w:after="60"/>
        <w:outlineLvl w:val="3"/>
      </w:pPr>
      <w:r>
        <w:rPr>
          <w:rFonts w:ascii="Arial" w:hAnsi="Arial" w:cs="Arial"/>
          <w:b/>
          <w:i/>
          <w:color w:val="333333"/>
          <w:sz w:val="22"/>
        </w:rPr>
        <w:t>4.1.7.1 Autocomplete (A1, Groq → Ollama)</w:t>
      </w:r>
    </w:p>
    <w:p>
      <w:pPr>
        <w:spacing w:after="80" w:line="293" w:lineRule="auto"/>
        <w:jc w:val="left"/>
      </w:pPr>
      <w:r>
        <w:rPr>
          <w:rFonts w:ascii="Times New Roman" w:hAnsi="Times New Roman" w:cs="Times New Roman"/>
          <w:b w:val="0"/>
          <w:i w:val="0"/>
          <w:sz w:val="22"/>
        </w:rPr>
        <w:t>When a user types a GTID (or partial GTID) in a form, the system provides real-time autocomplete from:</w:t>
      </w:r>
    </w:p>
    <w:p>
      <w:pPr>
        <w:spacing w:after="80" w:line="293" w:lineRule="auto"/>
        <w:ind w:left="283"/>
        <w:jc w:val="left"/>
      </w:pPr>
      <w:r>
        <w:rPr>
          <w:rFonts w:ascii="Times New Roman" w:hAnsi="Times New Roman" w:cs="Times New Roman"/>
          <w:b w:val="0"/>
          <w:i w:val="0"/>
          <w:sz w:val="22"/>
        </w:rPr>
        <w:t>- Saved contacts — GTIDs and legal names of counterparties the user has previously traded with.</w:t>
      </w:r>
    </w:p>
    <w:p>
      <w:pPr>
        <w:spacing w:after="80" w:line="293" w:lineRule="auto"/>
        <w:ind w:left="283"/>
        <w:jc w:val="left"/>
      </w:pPr>
      <w:r>
        <w:rPr>
          <w:rFonts w:ascii="Times New Roman" w:hAnsi="Times New Roman" w:cs="Times New Roman"/>
          <w:b w:val="0"/>
          <w:i w:val="0"/>
          <w:sz w:val="22"/>
        </w:rPr>
        <w:t>- Recent resolutions — GTIDs the user has resolved in the last 30 days.</w:t>
      </w:r>
    </w:p>
    <w:p>
      <w:pPr>
        <w:spacing w:after="80" w:line="293" w:lineRule="auto"/>
        <w:ind w:left="283"/>
        <w:jc w:val="left"/>
      </w:pPr>
      <w:r>
        <w:rPr>
          <w:rFonts w:ascii="Times New Roman" w:hAnsi="Times New Roman" w:cs="Times New Roman"/>
          <w:b w:val="0"/>
          <w:i w:val="0"/>
          <w:sz w:val="22"/>
        </w:rPr>
        <w:t>- Exact match — if the typed string matches a valid GTID format, the system attempts to resolve it.</w:t>
      </w:r>
    </w:p>
    <w:p>
      <w:pPr>
        <w:spacing w:after="80" w:line="293" w:lineRule="auto"/>
        <w:jc w:val="left"/>
      </w:pPr>
      <w:r>
        <w:rPr>
          <w:rFonts w:ascii="Times New Roman" w:hAnsi="Times New Roman" w:cs="Times New Roman"/>
          <w:b w:val="0"/>
          <w:i w:val="0"/>
          <w:sz w:val="22"/>
        </w:rPr>
        <w:t>Example (Buyer creating a trade request):</w:t>
      </w:r>
    </w:p>
    <w:p>
      <w:pPr>
        <w:spacing w:after="80" w:line="293" w:lineRule="auto"/>
        <w:jc w:val="left"/>
      </w:pPr>
      <w:r>
        <w:rPr>
          <w:rFonts w:ascii="Times New Roman" w:hAnsi="Times New Roman" w:cs="Times New Roman"/>
          <w:b w:val="0"/>
          <w:i w:val="0"/>
          <w:sz w:val="22"/>
        </w:rPr>
        <w:t>User types: "SGTX-VN". System suggests:</w:t>
      </w:r>
    </w:p>
    <w:p>
      <w:pPr>
        <w:spacing w:after="80" w:line="293" w:lineRule="auto"/>
        <w:ind w:left="283"/>
        <w:jc w:val="left"/>
      </w:pPr>
      <w:r>
        <w:rPr>
          <w:rFonts w:ascii="Times New Roman" w:hAnsi="Times New Roman" w:cs="Times New Roman"/>
          <w:b w:val="0"/>
          <w:i w:val="0"/>
          <w:sz w:val="22"/>
        </w:rPr>
        <w:t>- SGTX-VN-TRD-002139-7F3A — Mekong Fresh (previous trade: 8 Jun 2026)</w:t>
      </w:r>
    </w:p>
    <w:p>
      <w:pPr>
        <w:spacing w:after="80" w:line="293" w:lineRule="auto"/>
        <w:ind w:left="283"/>
        <w:jc w:val="left"/>
      </w:pPr>
      <w:r>
        <w:rPr>
          <w:rFonts w:ascii="Times New Roman" w:hAnsi="Times New Roman" w:cs="Times New Roman"/>
          <w:b w:val="0"/>
          <w:i w:val="0"/>
          <w:sz w:val="22"/>
        </w:rPr>
        <w:t>- SGTX-VN-TRD-001234-5B6C — Vietnam Rice Export (saved contact)</w:t>
      </w:r>
    </w:p>
    <w:p>
      <w:pPr>
        <w:spacing w:after="80" w:line="293" w:lineRule="auto"/>
        <w:ind w:left="283"/>
        <w:jc w:val="left"/>
      </w:pPr>
      <w:r>
        <w:rPr>
          <w:rFonts w:ascii="Times New Roman" w:hAnsi="Times New Roman" w:cs="Times New Roman"/>
          <w:b w:val="0"/>
          <w:i w:val="0"/>
          <w:sz w:val="22"/>
        </w:rPr>
        <w:t>- SGTX-VN-TRD-003456-D7E8 — No trade history — verify manually</w:t>
      </w:r>
    </w:p>
    <w:p>
      <w:pPr>
        <w:spacing w:after="80" w:line="293" w:lineRule="auto"/>
        <w:jc w:val="left"/>
      </w:pPr>
      <w:r>
        <w:rPr>
          <w:rFonts w:ascii="Times New Roman" w:hAnsi="Times New Roman" w:cs="Times New Roman"/>
          <w:b w:val="0"/>
          <w:i w:val="0"/>
          <w:sz w:val="22"/>
        </w:rPr>
        <w:t>Non-marketplace safeguard: the autocomplete list never includes "recommended" or "top-rated" sellers. It only shows contacts the user has explicitly added, entities the user has previously traded with, and GTIDs the user has manually entered before. If the user enters a GTID that is not in their saved contacts, the system displays a warning: "You have not traded with this entity before. Please verify their identity externally." No recommendation to add them.</w:t>
      </w:r>
    </w:p>
    <w:p>
      <w:pPr>
        <w:keepNext/>
        <w:spacing w:before="140" w:after="60"/>
        <w:outlineLvl w:val="3"/>
      </w:pPr>
      <w:r>
        <w:rPr>
          <w:rFonts w:ascii="Arial" w:hAnsi="Arial" w:cs="Arial"/>
          <w:b/>
          <w:i/>
          <w:color w:val="333333"/>
          <w:sz w:val="22"/>
        </w:rPr>
        <w:t>4.1.7.2 Trust Score Explanation (A1, Groq)</w:t>
      </w:r>
    </w:p>
    <w:p>
      <w:pPr>
        <w:spacing w:after="80" w:line="293" w:lineRule="auto"/>
        <w:jc w:val="left"/>
      </w:pPr>
      <w:r>
        <w:rPr>
          <w:rFonts w:ascii="Times New Roman" w:hAnsi="Times New Roman" w:cs="Times New Roman"/>
          <w:b w:val="0"/>
          <w:i w:val="0"/>
          <w:sz w:val="22"/>
        </w:rPr>
        <w:t>When a GTID is resolved, the system displays a tooltip explaining the trust score and TRI status: "Trust score 92 (Advanced Trusted) — based on 50 trades over 18 months. On-time delivery 98%, dispute rate 2.3%. Confidence: 81%."</w:t>
      </w:r>
    </w:p>
    <w:p>
      <w:pPr>
        <w:spacing w:after="80" w:line="293" w:lineRule="auto"/>
        <w:jc w:val="left"/>
      </w:pPr>
      <w:r>
        <w:rPr>
          <w:rFonts w:ascii="Times New Roman" w:hAnsi="Times New Roman" w:cs="Times New Roman"/>
          <w:b w:val="0"/>
          <w:i w:val="0"/>
          <w:sz w:val="22"/>
        </w:rPr>
        <w:t>Governance: the explanation is generated by Groq (A1) from the tenant's public profile data. It never compares the tenant to other tenants (no "better than average" language).</w:t>
      </w:r>
    </w:p>
    <w:p>
      <w:pPr>
        <w:keepNext/>
        <w:spacing w:before="140" w:after="60"/>
        <w:outlineLvl w:val="3"/>
      </w:pPr>
      <w:r>
        <w:rPr>
          <w:rFonts w:ascii="Arial" w:hAnsi="Arial" w:cs="Arial"/>
          <w:b/>
          <w:i/>
          <w:color w:val="333333"/>
          <w:sz w:val="22"/>
        </w:rPr>
        <w:t>4.1.7.3 Sanctions Status Badge (A2, HF local)</w:t>
      </w:r>
    </w:p>
    <w:p>
      <w:pPr>
        <w:spacing w:after="80" w:line="293" w:lineRule="auto"/>
        <w:jc w:val="left"/>
      </w:pPr>
      <w:r>
        <w:rPr>
          <w:rFonts w:ascii="Times New Roman" w:hAnsi="Times New Roman" w:cs="Times New Roman"/>
          <w:b w:val="0"/>
          <w:i w:val="0"/>
          <w:sz w:val="22"/>
        </w:rPr>
        <w:t>AI Authority: A2 (HF local) performs sanctions screening. The badge is displayed prominently in the resolution response.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Badge</w:t>
            </w:r>
          </w:p>
        </w:tc>
        <w:tc>
          <w:tcPr>
            <w:tcW w:type="dxa" w:w="3213"/>
            <w:shd w:val="clear" w:fill="D9E2F3"/>
          </w:tcPr>
          <w:p>
            <w:pPr>
              <w:spacing w:after="20" w:before="20" w:line="240" w:lineRule="auto"/>
            </w:pPr>
            <w:r/>
            <w:r>
              <w:rPr>
                <w:rFonts w:ascii="Arial" w:hAnsi="Arial" w:cs="Arial"/>
                <w:b/>
                <w:i w:val="0"/>
                <w:sz w:val="18"/>
              </w:rPr>
              <w:t>Colour</w:t>
            </w:r>
          </w:p>
        </w:tc>
        <w:tc>
          <w:tcPr>
            <w:tcW w:type="dxa" w:w="3213"/>
            <w:shd w:val="clear" w:fill="D9E2F3"/>
          </w:tcPr>
          <w:p>
            <w:pPr>
              <w:spacing w:after="20" w:before="20" w:line="240" w:lineRule="auto"/>
            </w:pPr>
            <w:r/>
            <w:r>
              <w:rPr>
                <w:rFonts w:ascii="Arial" w:hAnsi="Arial" w:cs="Arial"/>
                <w:b/>
                <w:i w:val="0"/>
                <w:sz w:val="18"/>
              </w:rPr>
              <w:t>Meaning</w:t>
            </w:r>
          </w:p>
        </w:tc>
      </w:tr>
      <w:tr>
        <w:tc>
          <w:tcPr>
            <w:tcW w:type="dxa" w:w="3213"/>
          </w:tcPr>
          <w:p>
            <w:pPr>
              <w:spacing w:after="20" w:before="20" w:line="240" w:lineRule="auto"/>
            </w:pPr>
            <w:r/>
            <w:r>
              <w:rPr>
                <w:rFonts w:ascii="Arial" w:hAnsi="Arial" w:cs="Arial"/>
                <w:b w:val="0"/>
                <w:i w:val="0"/>
                <w:sz w:val="17"/>
              </w:rPr>
              <w:t>Cleared</w:t>
            </w:r>
          </w:p>
        </w:tc>
        <w:tc>
          <w:tcPr>
            <w:tcW w:type="dxa" w:w="3213"/>
          </w:tcPr>
          <w:p>
            <w:pPr>
              <w:spacing w:after="20" w:before="20" w:line="240" w:lineRule="auto"/>
            </w:pPr>
            <w:r/>
            <w:r>
              <w:rPr>
                <w:rFonts w:ascii="Arial" w:hAnsi="Arial" w:cs="Arial"/>
                <w:b w:val="0"/>
                <w:i w:val="0"/>
                <w:sz w:val="17"/>
              </w:rPr>
              <w:t>Green</w:t>
            </w:r>
          </w:p>
        </w:tc>
        <w:tc>
          <w:tcPr>
            <w:tcW w:type="dxa" w:w="3213"/>
          </w:tcPr>
          <w:p>
            <w:pPr>
              <w:spacing w:after="20" w:before="20" w:line="240" w:lineRule="auto"/>
            </w:pPr>
            <w:r/>
            <w:r>
              <w:rPr>
                <w:rFonts w:ascii="Arial" w:hAnsi="Arial" w:cs="Arial"/>
                <w:b w:val="0"/>
                <w:i w:val="0"/>
                <w:sz w:val="17"/>
              </w:rPr>
              <w:t>No sanctions, no PEP flags</w:t>
            </w:r>
          </w:p>
        </w:tc>
      </w:tr>
      <w:tr>
        <w:tc>
          <w:tcPr>
            <w:tcW w:type="dxa" w:w="3213"/>
          </w:tcPr>
          <w:p>
            <w:pPr>
              <w:spacing w:after="20" w:before="20" w:line="240" w:lineRule="auto"/>
            </w:pPr>
            <w:r/>
            <w:r>
              <w:rPr>
                <w:rFonts w:ascii="Arial" w:hAnsi="Arial" w:cs="Arial"/>
                <w:b w:val="0"/>
                <w:i w:val="0"/>
                <w:sz w:val="17"/>
              </w:rPr>
              <w:t>Enhanced DD</w:t>
            </w:r>
          </w:p>
        </w:tc>
        <w:tc>
          <w:tcPr>
            <w:tcW w:type="dxa" w:w="3213"/>
          </w:tcPr>
          <w:p>
            <w:pPr>
              <w:spacing w:after="20" w:before="20" w:line="240" w:lineRule="auto"/>
            </w:pPr>
            <w:r/>
            <w:r>
              <w:rPr>
                <w:rFonts w:ascii="Arial" w:hAnsi="Arial" w:cs="Arial"/>
                <w:b w:val="0"/>
                <w:i w:val="0"/>
                <w:sz w:val="17"/>
              </w:rPr>
              <w:t>Amber</w:t>
            </w:r>
          </w:p>
        </w:tc>
        <w:tc>
          <w:tcPr>
            <w:tcW w:type="dxa" w:w="3213"/>
          </w:tcPr>
          <w:p>
            <w:pPr>
              <w:spacing w:after="20" w:before="20" w:line="240" w:lineRule="auto"/>
            </w:pPr>
            <w:r/>
            <w:r>
              <w:rPr>
                <w:rFonts w:ascii="Arial" w:hAnsi="Arial" w:cs="Arial"/>
                <w:b w:val="0"/>
                <w:i w:val="0"/>
                <w:sz w:val="17"/>
              </w:rPr>
              <w:t>PEP detected; enhanced due diligence required</w:t>
            </w:r>
          </w:p>
        </w:tc>
      </w:tr>
      <w:tr>
        <w:tc>
          <w:tcPr>
            <w:tcW w:type="dxa" w:w="3213"/>
          </w:tcPr>
          <w:p>
            <w:pPr>
              <w:spacing w:after="20" w:before="20" w:line="240" w:lineRule="auto"/>
            </w:pPr>
            <w:r/>
            <w:r>
              <w:rPr>
                <w:rFonts w:ascii="Arial" w:hAnsi="Arial" w:cs="Arial"/>
                <w:b w:val="0"/>
                <w:i w:val="0"/>
                <w:sz w:val="17"/>
              </w:rPr>
              <w:t>Blocked</w:t>
            </w:r>
          </w:p>
        </w:tc>
        <w:tc>
          <w:tcPr>
            <w:tcW w:type="dxa" w:w="3213"/>
          </w:tcPr>
          <w:p>
            <w:pPr>
              <w:spacing w:after="20" w:before="20" w:line="240" w:lineRule="auto"/>
            </w:pPr>
            <w:r/>
            <w:r>
              <w:rPr>
                <w:rFonts w:ascii="Arial" w:hAnsi="Arial" w:cs="Arial"/>
                <w:b w:val="0"/>
                <w:i w:val="0"/>
                <w:sz w:val="17"/>
              </w:rPr>
              <w:t>Red</w:t>
            </w:r>
          </w:p>
        </w:tc>
        <w:tc>
          <w:tcPr>
            <w:tcW w:type="dxa" w:w="3213"/>
          </w:tcPr>
          <w:p>
            <w:pPr>
              <w:spacing w:after="20" w:before="20" w:line="240" w:lineRule="auto"/>
            </w:pPr>
            <w:r/>
            <w:r>
              <w:rPr>
                <w:rFonts w:ascii="Arial" w:hAnsi="Arial" w:cs="Arial"/>
                <w:b w:val="0"/>
                <w:i w:val="0"/>
                <w:sz w:val="17"/>
              </w:rPr>
              <w:t>Sanctions hit; trade blocked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4.1.8 Security &amp; Verification</w:t>
      </w:r>
    </w:p>
    <w:p>
      <w:pPr>
        <w:keepNext/>
        <w:spacing w:before="140" w:after="60"/>
        <w:outlineLvl w:val="3"/>
      </w:pPr>
      <w:r>
        <w:rPr>
          <w:rFonts w:ascii="Arial" w:hAnsi="Arial" w:cs="Arial"/>
          <w:b/>
          <w:i/>
          <w:color w:val="333333"/>
          <w:sz w:val="22"/>
        </w:rPr>
        <w:t>4.1.8.1 GTID Unforgeability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Attack</w:t>
            </w:r>
          </w:p>
        </w:tc>
        <w:tc>
          <w:tcPr>
            <w:tcW w:type="dxa" w:w="4819"/>
            <w:shd w:val="clear" w:fill="D9E2F3"/>
          </w:tcPr>
          <w:p>
            <w:pPr>
              <w:spacing w:after="20" w:before="20" w:line="240" w:lineRule="auto"/>
            </w:pPr>
            <w:r/>
            <w:r>
              <w:rPr>
                <w:rFonts w:ascii="Arial" w:hAnsi="Arial" w:cs="Arial"/>
                <w:b/>
                <w:i w:val="0"/>
                <w:sz w:val="18"/>
              </w:rPr>
              <w:t>Mitigation</w:t>
            </w:r>
          </w:p>
        </w:tc>
      </w:tr>
      <w:tr>
        <w:tc>
          <w:tcPr>
            <w:tcW w:type="dxa" w:w="4819"/>
          </w:tcPr>
          <w:p>
            <w:pPr>
              <w:spacing w:after="20" w:before="20" w:line="240" w:lineRule="auto"/>
            </w:pPr>
            <w:r/>
            <w:r>
              <w:rPr>
                <w:rFonts w:ascii="Arial" w:hAnsi="Arial" w:cs="Arial"/>
                <w:b w:val="0"/>
                <w:i w:val="0"/>
                <w:sz w:val="17"/>
              </w:rPr>
              <w:t>GTID forgery</w:t>
            </w:r>
          </w:p>
        </w:tc>
        <w:tc>
          <w:tcPr>
            <w:tcW w:type="dxa" w:w="4819"/>
          </w:tcPr>
          <w:p>
            <w:pPr>
              <w:spacing w:after="20" w:before="20" w:line="240" w:lineRule="auto"/>
            </w:pPr>
            <w:r/>
            <w:r>
              <w:rPr>
                <w:rFonts w:ascii="Arial" w:hAnsi="Arial" w:cs="Arial"/>
                <w:b w:val="0"/>
                <w:i w:val="0"/>
                <w:sz w:val="17"/>
              </w:rPr>
              <w:t>Checksum verification; invalid GTIDs rejected</w:t>
            </w:r>
          </w:p>
        </w:tc>
      </w:tr>
      <w:tr>
        <w:tc>
          <w:tcPr>
            <w:tcW w:type="dxa" w:w="4819"/>
          </w:tcPr>
          <w:p>
            <w:pPr>
              <w:spacing w:after="20" w:before="20" w:line="240" w:lineRule="auto"/>
            </w:pPr>
            <w:r/>
            <w:r>
              <w:rPr>
                <w:rFonts w:ascii="Arial" w:hAnsi="Arial" w:cs="Arial"/>
                <w:b w:val="0"/>
                <w:i w:val="0"/>
                <w:sz w:val="17"/>
              </w:rPr>
              <w:t>GTID reuse</w:t>
            </w:r>
          </w:p>
        </w:tc>
        <w:tc>
          <w:tcPr>
            <w:tcW w:type="dxa" w:w="4819"/>
          </w:tcPr>
          <w:p>
            <w:pPr>
              <w:spacing w:after="20" w:before="20" w:line="240" w:lineRule="auto"/>
            </w:pPr>
            <w:r/>
            <w:r>
              <w:rPr>
                <w:rFonts w:ascii="Arial" w:hAnsi="Arial" w:cs="Arial"/>
                <w:b w:val="0"/>
                <w:i w:val="0"/>
                <w:sz w:val="17"/>
              </w:rPr>
              <w:t>Sequence ensures uniqueness; deactivated GTIDs marked in lifecycle state</w:t>
            </w:r>
          </w:p>
        </w:tc>
      </w:tr>
      <w:tr>
        <w:tc>
          <w:tcPr>
            <w:tcW w:type="dxa" w:w="4819"/>
          </w:tcPr>
          <w:p>
            <w:pPr>
              <w:spacing w:after="20" w:before="20" w:line="240" w:lineRule="auto"/>
            </w:pPr>
            <w:r/>
            <w:r>
              <w:rPr>
                <w:rFonts w:ascii="Arial" w:hAnsi="Arial" w:cs="Arial"/>
                <w:b w:val="0"/>
                <w:i w:val="0"/>
                <w:sz w:val="17"/>
              </w:rPr>
              <w:t>GTID collision</w:t>
            </w:r>
          </w:p>
        </w:tc>
        <w:tc>
          <w:tcPr>
            <w:tcW w:type="dxa" w:w="4819"/>
          </w:tcPr>
          <w:p>
            <w:pPr>
              <w:spacing w:after="20" w:before="20" w:line="240" w:lineRule="auto"/>
            </w:pPr>
            <w:r/>
            <w:r>
              <w:rPr>
                <w:rFonts w:ascii="Arial" w:hAnsi="Arial" w:cs="Arial"/>
                <w:b w:val="0"/>
                <w:i w:val="0"/>
                <w:sz w:val="17"/>
              </w:rPr>
              <w:t>Sequence uniqueness per (country, type) + checksum</w:t>
            </w:r>
          </w:p>
        </w:tc>
      </w:tr>
      <w:tr>
        <w:tc>
          <w:tcPr>
            <w:tcW w:type="dxa" w:w="4819"/>
          </w:tcPr>
          <w:p>
            <w:pPr>
              <w:spacing w:after="20" w:before="20" w:line="240" w:lineRule="auto"/>
            </w:pPr>
            <w:r/>
            <w:r>
              <w:rPr>
                <w:rFonts w:ascii="Arial" w:hAnsi="Arial" w:cs="Arial"/>
                <w:b w:val="0"/>
                <w:i w:val="0"/>
                <w:sz w:val="17"/>
              </w:rPr>
              <w:t>GTID scraping</w:t>
            </w:r>
          </w:p>
        </w:tc>
        <w:tc>
          <w:tcPr>
            <w:tcW w:type="dxa" w:w="4819"/>
          </w:tcPr>
          <w:p>
            <w:pPr>
              <w:spacing w:after="20" w:before="20" w:line="240" w:lineRule="auto"/>
            </w:pPr>
            <w:r/>
            <w:r>
              <w:rPr>
                <w:rFonts w:ascii="Arial" w:hAnsi="Arial" w:cs="Arial"/>
                <w:b w:val="0"/>
                <w:i w:val="0"/>
                <w:sz w:val="17"/>
              </w:rPr>
              <w:t>Rate limiting; no public resolution without authentication</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4.1.8.2 Resolution Integrity</w:t>
      </w:r>
    </w:p>
    <w:p>
      <w:pPr>
        <w:spacing w:after="80" w:line="293" w:lineRule="auto"/>
        <w:jc w:val="left"/>
      </w:pPr>
      <w:r>
        <w:rPr>
          <w:rFonts w:ascii="Times New Roman" w:hAnsi="Times New Roman" w:cs="Times New Roman"/>
          <w:b w:val="0"/>
          <w:i w:val="0"/>
          <w:sz w:val="22"/>
        </w:rPr>
        <w:t>All resolution responses are signed with the platform's Ed25519 key (optional — for high-value resolutions). Resolutions are logged in `audit_log` with actor GTID, resolved GTID, timestamp, and IP. If a tenant is blocked (e.g., sanctions hit), resolution returns `lifecycle_state: 'SUSPENDED'` and `sanctions_cleared: false`.</w:t>
      </w:r>
    </w:p>
    <w:p>
      <w:pPr>
        <w:keepNext/>
        <w:spacing w:before="140" w:after="60"/>
        <w:outlineLvl w:val="3"/>
      </w:pPr>
      <w:r>
        <w:rPr>
          <w:rFonts w:ascii="Arial" w:hAnsi="Arial" w:cs="Arial"/>
          <w:b/>
          <w:i/>
          <w:color w:val="333333"/>
          <w:sz w:val="22"/>
        </w:rPr>
        <w:t>4.1.8.3 GTID Revocation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Revocation Trigger</w:t>
            </w:r>
          </w:p>
        </w:tc>
        <w:tc>
          <w:tcPr>
            <w:tcW w:type="dxa" w:w="4819"/>
            <w:shd w:val="clear" w:fill="D9E2F3"/>
          </w:tcPr>
          <w:p>
            <w:pPr>
              <w:spacing w:after="20" w:before="20" w:line="240" w:lineRule="auto"/>
            </w:pPr>
            <w:r/>
            <w:r>
              <w:rPr>
                <w:rFonts w:ascii="Arial" w:hAnsi="Arial" w:cs="Arial"/>
                <w:b/>
                <w:i w:val="0"/>
                <w:sz w:val="18"/>
              </w:rPr>
              <w:t>Action</w:t>
            </w:r>
          </w:p>
        </w:tc>
      </w:tr>
      <w:tr>
        <w:tc>
          <w:tcPr>
            <w:tcW w:type="dxa" w:w="4819"/>
          </w:tcPr>
          <w:p>
            <w:pPr>
              <w:spacing w:after="20" w:before="20" w:line="240" w:lineRule="auto"/>
            </w:pPr>
            <w:r/>
            <w:r>
              <w:rPr>
                <w:rFonts w:ascii="Arial" w:hAnsi="Arial" w:cs="Arial"/>
                <w:b w:val="0"/>
                <w:i w:val="0"/>
                <w:sz w:val="17"/>
              </w:rPr>
              <w:t>Tenant exits platform</w:t>
            </w:r>
          </w:p>
        </w:tc>
        <w:tc>
          <w:tcPr>
            <w:tcW w:type="dxa" w:w="4819"/>
          </w:tcPr>
          <w:p>
            <w:pPr>
              <w:spacing w:after="20" w:before="20" w:line="240" w:lineRule="auto"/>
            </w:pPr>
            <w:r/>
            <w:r>
              <w:rPr>
                <w:rFonts w:ascii="Arial" w:hAnsi="Arial" w:cs="Arial"/>
                <w:b w:val="0"/>
                <w:i w:val="0"/>
                <w:sz w:val="17"/>
              </w:rPr>
              <w:t>GTID marked lifecycle_state: 'ARCHIVED'; resolution returns 404 after 7 days</w:t>
            </w:r>
          </w:p>
        </w:tc>
      </w:tr>
      <w:tr>
        <w:tc>
          <w:tcPr>
            <w:tcW w:type="dxa" w:w="4819"/>
          </w:tcPr>
          <w:p>
            <w:pPr>
              <w:spacing w:after="20" w:before="20" w:line="240" w:lineRule="auto"/>
            </w:pPr>
            <w:r/>
            <w:r>
              <w:rPr>
                <w:rFonts w:ascii="Arial" w:hAnsi="Arial" w:cs="Arial"/>
                <w:b w:val="0"/>
                <w:i w:val="0"/>
                <w:sz w:val="17"/>
              </w:rPr>
              <w:t>Sanctions hit</w:t>
            </w:r>
          </w:p>
        </w:tc>
        <w:tc>
          <w:tcPr>
            <w:tcW w:type="dxa" w:w="4819"/>
          </w:tcPr>
          <w:p>
            <w:pPr>
              <w:spacing w:after="20" w:before="20" w:line="240" w:lineRule="auto"/>
            </w:pPr>
            <w:r/>
            <w:r>
              <w:rPr>
                <w:rFonts w:ascii="Arial" w:hAnsi="Arial" w:cs="Arial"/>
                <w:b w:val="0"/>
                <w:i w:val="0"/>
                <w:sz w:val="17"/>
              </w:rPr>
              <w:t>GTID marked lifecycle_state: 'SUSPENDED'; resolution shows sanctions flag</w:t>
            </w:r>
          </w:p>
        </w:tc>
      </w:tr>
      <w:tr>
        <w:tc>
          <w:tcPr>
            <w:tcW w:type="dxa" w:w="4819"/>
          </w:tcPr>
          <w:p>
            <w:pPr>
              <w:spacing w:after="20" w:before="20" w:line="240" w:lineRule="auto"/>
            </w:pPr>
            <w:r/>
            <w:r>
              <w:rPr>
                <w:rFonts w:ascii="Arial" w:hAnsi="Arial" w:cs="Arial"/>
                <w:b w:val="0"/>
                <w:i w:val="0"/>
                <w:sz w:val="17"/>
              </w:rPr>
              <w:t>Platform suspension</w:t>
            </w:r>
          </w:p>
        </w:tc>
        <w:tc>
          <w:tcPr>
            <w:tcW w:type="dxa" w:w="4819"/>
          </w:tcPr>
          <w:p>
            <w:pPr>
              <w:spacing w:after="20" w:before="20" w:line="240" w:lineRule="auto"/>
            </w:pPr>
            <w:r/>
            <w:r>
              <w:rPr>
                <w:rFonts w:ascii="Arial" w:hAnsi="Arial" w:cs="Arial"/>
                <w:b w:val="0"/>
                <w:i w:val="0"/>
                <w:sz w:val="17"/>
              </w:rPr>
              <w:t>GTID marked lifecycle_state: 'SUSPENDED'; resolution shows "error": "ACCOUNT_SUSPENDED"</w:t>
            </w:r>
          </w:p>
        </w:tc>
      </w:tr>
      <w:tr>
        <w:tc>
          <w:tcPr>
            <w:tcW w:type="dxa" w:w="4819"/>
          </w:tcPr>
          <w:p>
            <w:pPr>
              <w:spacing w:after="20" w:before="20" w:line="240" w:lineRule="auto"/>
            </w:pPr>
            <w:r/>
            <w:r>
              <w:rPr>
                <w:rFonts w:ascii="Arial" w:hAnsi="Arial" w:cs="Arial"/>
                <w:b w:val="0"/>
                <w:i w:val="0"/>
                <w:sz w:val="17"/>
              </w:rPr>
              <w:t>Manual override by Platform Governance Authority</w:t>
            </w:r>
          </w:p>
        </w:tc>
        <w:tc>
          <w:tcPr>
            <w:tcW w:type="dxa" w:w="4819"/>
          </w:tcPr>
          <w:p>
            <w:pPr>
              <w:spacing w:after="20" w:before="20" w:line="240" w:lineRule="auto"/>
            </w:pPr>
            <w:r/>
            <w:r>
              <w:rPr>
                <w:rFonts w:ascii="Arial" w:hAnsi="Arial" w:cs="Arial"/>
                <w:b w:val="0"/>
                <w:i w:val="0"/>
                <w:sz w:val="17"/>
              </w:rPr>
              <w:t>GTID marked lifecycle_state: 'ARCHIVED'; immediate 404</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4.1.9 Integration with Verified Identifiers</w:t>
      </w:r>
    </w:p>
    <w:p>
      <w:pPr>
        <w:keepNext/>
        <w:spacing w:before="140" w:after="60"/>
        <w:outlineLvl w:val="3"/>
      </w:pPr>
      <w:r>
        <w:rPr>
          <w:rFonts w:ascii="Arial" w:hAnsi="Arial" w:cs="Arial"/>
          <w:b/>
          <w:i/>
          <w:color w:val="333333"/>
          <w:sz w:val="22"/>
        </w:rPr>
        <w:t>4.1.9.1 Verified Identifiers</w:t>
      </w:r>
    </w:p>
    <w:p>
      <w:pPr>
        <w:spacing w:after="80" w:line="293" w:lineRule="auto"/>
        <w:jc w:val="left"/>
      </w:pPr>
      <w:r>
        <w:rPr>
          <w:rFonts w:ascii="Times New Roman" w:hAnsi="Times New Roman" w:cs="Times New Roman"/>
          <w:b w:val="0"/>
          <w:i w:val="0"/>
          <w:sz w:val="22"/>
        </w:rPr>
        <w:t>Tenants can voluntarily link verified identifiers to their GTID. These identifiers are optional and require explicit consent to be shared.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Identifier</w:t>
            </w:r>
          </w:p>
        </w:tc>
        <w:tc>
          <w:tcPr>
            <w:tcW w:type="dxa" w:w="2409"/>
            <w:shd w:val="clear" w:fill="D9E2F3"/>
          </w:tcPr>
          <w:p>
            <w:pPr>
              <w:spacing w:after="20" w:before="20" w:line="240" w:lineRule="auto"/>
            </w:pPr>
            <w:r/>
            <w:r>
              <w:rPr>
                <w:rFonts w:ascii="Arial" w:hAnsi="Arial" w:cs="Arial"/>
                <w:b/>
                <w:i w:val="0"/>
                <w:sz w:val="18"/>
              </w:rPr>
              <w:t>Description</w:t>
            </w:r>
          </w:p>
        </w:tc>
        <w:tc>
          <w:tcPr>
            <w:tcW w:type="dxa" w:w="2409"/>
            <w:shd w:val="clear" w:fill="D9E2F3"/>
          </w:tcPr>
          <w:p>
            <w:pPr>
              <w:spacing w:after="20" w:before="20" w:line="240" w:lineRule="auto"/>
            </w:pPr>
            <w:r/>
            <w:r>
              <w:rPr>
                <w:rFonts w:ascii="Arial" w:hAnsi="Arial" w:cs="Arial"/>
                <w:b/>
                <w:i w:val="0"/>
                <w:sz w:val="18"/>
              </w:rPr>
              <w:t>Verification Method</w:t>
            </w:r>
          </w:p>
        </w:tc>
        <w:tc>
          <w:tcPr>
            <w:tcW w:type="dxa" w:w="2409"/>
            <w:shd w:val="clear" w:fill="D9E2F3"/>
          </w:tcPr>
          <w:p>
            <w:pPr>
              <w:spacing w:after="20" w:before="20" w:line="240" w:lineRule="auto"/>
            </w:pPr>
            <w:r/>
            <w:r>
              <w:rPr>
                <w:rFonts w:ascii="Arial" w:hAnsi="Arial" w:cs="Arial"/>
                <w:b/>
                <w:i w:val="0"/>
                <w:sz w:val="18"/>
              </w:rPr>
              <w:t>Update Frequency</w:t>
            </w:r>
          </w:p>
        </w:tc>
      </w:tr>
      <w:tr>
        <w:tc>
          <w:tcPr>
            <w:tcW w:type="dxa" w:w="2409"/>
          </w:tcPr>
          <w:p>
            <w:pPr>
              <w:spacing w:after="20" w:before="20" w:line="240" w:lineRule="auto"/>
            </w:pPr>
            <w:r/>
            <w:r>
              <w:rPr>
                <w:rFonts w:ascii="Arial" w:hAnsi="Arial" w:cs="Arial"/>
                <w:b w:val="0"/>
                <w:i w:val="0"/>
                <w:sz w:val="17"/>
              </w:rPr>
              <w:t>LEI</w:t>
            </w:r>
          </w:p>
        </w:tc>
        <w:tc>
          <w:tcPr>
            <w:tcW w:type="dxa" w:w="2409"/>
          </w:tcPr>
          <w:p>
            <w:pPr>
              <w:spacing w:after="20" w:before="20" w:line="240" w:lineRule="auto"/>
            </w:pPr>
            <w:r/>
            <w:r>
              <w:rPr>
                <w:rFonts w:ascii="Arial" w:hAnsi="Arial" w:cs="Arial"/>
                <w:b w:val="0"/>
                <w:i w:val="0"/>
                <w:sz w:val="17"/>
              </w:rPr>
              <w:t>Legal Entity Identifier (20-character)</w:t>
            </w:r>
          </w:p>
        </w:tc>
        <w:tc>
          <w:tcPr>
            <w:tcW w:type="dxa" w:w="2409"/>
          </w:tcPr>
          <w:p>
            <w:pPr>
              <w:spacing w:after="20" w:before="20" w:line="240" w:lineRule="auto"/>
            </w:pPr>
            <w:r/>
            <w:r>
              <w:rPr>
                <w:rFonts w:ascii="Arial" w:hAnsi="Arial" w:cs="Arial"/>
                <w:b w:val="0"/>
                <w:i w:val="0"/>
                <w:sz w:val="17"/>
              </w:rPr>
              <w:t>GLEIF API (real-time)</w:t>
            </w:r>
          </w:p>
        </w:tc>
        <w:tc>
          <w:tcPr>
            <w:tcW w:type="dxa" w:w="2409"/>
          </w:tcPr>
          <w:p>
            <w:pPr>
              <w:spacing w:after="20" w:before="20" w:line="240" w:lineRule="auto"/>
            </w:pPr>
            <w:r/>
            <w:r>
              <w:rPr>
                <w:rFonts w:ascii="Arial" w:hAnsi="Arial" w:cs="Arial"/>
                <w:b w:val="0"/>
                <w:i w:val="0"/>
                <w:sz w:val="17"/>
              </w:rPr>
              <w:t>On change</w:t>
            </w:r>
          </w:p>
        </w:tc>
      </w:tr>
      <w:tr>
        <w:tc>
          <w:tcPr>
            <w:tcW w:type="dxa" w:w="2409"/>
          </w:tcPr>
          <w:p>
            <w:pPr>
              <w:spacing w:after="20" w:before="20" w:line="240" w:lineRule="auto"/>
            </w:pPr>
            <w:r/>
            <w:r>
              <w:rPr>
                <w:rFonts w:ascii="Arial" w:hAnsi="Arial" w:cs="Arial"/>
                <w:b w:val="0"/>
                <w:i w:val="0"/>
                <w:sz w:val="17"/>
              </w:rPr>
              <w:t>DUNS</w:t>
            </w:r>
          </w:p>
        </w:tc>
        <w:tc>
          <w:tcPr>
            <w:tcW w:type="dxa" w:w="2409"/>
          </w:tcPr>
          <w:p>
            <w:pPr>
              <w:spacing w:after="20" w:before="20" w:line="240" w:lineRule="auto"/>
            </w:pPr>
            <w:r/>
            <w:r>
              <w:rPr>
                <w:rFonts w:ascii="Arial" w:hAnsi="Arial" w:cs="Arial"/>
                <w:b w:val="0"/>
                <w:i w:val="0"/>
                <w:sz w:val="17"/>
              </w:rPr>
              <w:t>Dun &amp; Bradstreet number (9-digit)</w:t>
            </w:r>
          </w:p>
        </w:tc>
        <w:tc>
          <w:tcPr>
            <w:tcW w:type="dxa" w:w="2409"/>
          </w:tcPr>
          <w:p>
            <w:pPr>
              <w:spacing w:after="20" w:before="20" w:line="240" w:lineRule="auto"/>
            </w:pPr>
            <w:r/>
            <w:r>
              <w:rPr>
                <w:rFonts w:ascii="Arial" w:hAnsi="Arial" w:cs="Arial"/>
                <w:b w:val="0"/>
                <w:i w:val="0"/>
                <w:sz w:val="17"/>
              </w:rPr>
              <w:t>Scraped batch (daily)</w:t>
            </w:r>
          </w:p>
        </w:tc>
        <w:tc>
          <w:tcPr>
            <w:tcW w:type="dxa" w:w="2409"/>
          </w:tcPr>
          <w:p>
            <w:pPr>
              <w:spacing w:after="20" w:before="20" w:line="240" w:lineRule="auto"/>
            </w:pPr>
            <w:r/>
            <w:r>
              <w:rPr>
                <w:rFonts w:ascii="Arial" w:hAnsi="Arial" w:cs="Arial"/>
                <w:b w:val="0"/>
                <w:i w:val="0"/>
                <w:sz w:val="17"/>
              </w:rPr>
              <w:t>Daily</w:t>
            </w:r>
          </w:p>
        </w:tc>
      </w:tr>
      <w:tr>
        <w:tc>
          <w:tcPr>
            <w:tcW w:type="dxa" w:w="2409"/>
          </w:tcPr>
          <w:p>
            <w:pPr>
              <w:spacing w:after="20" w:before="20" w:line="240" w:lineRule="auto"/>
            </w:pPr>
            <w:r/>
            <w:r>
              <w:rPr>
                <w:rFonts w:ascii="Arial" w:hAnsi="Arial" w:cs="Arial"/>
                <w:b w:val="0"/>
                <w:i w:val="0"/>
                <w:sz w:val="17"/>
              </w:rPr>
              <w:t>Customs Registration</w:t>
            </w:r>
          </w:p>
        </w:tc>
        <w:tc>
          <w:tcPr>
            <w:tcW w:type="dxa" w:w="2409"/>
          </w:tcPr>
          <w:p>
            <w:pPr>
              <w:spacing w:after="20" w:before="20" w:line="240" w:lineRule="auto"/>
            </w:pPr>
            <w:r/>
            <w:r>
              <w:rPr>
                <w:rFonts w:ascii="Arial" w:hAnsi="Arial" w:cs="Arial"/>
                <w:b w:val="0"/>
                <w:i w:val="0"/>
                <w:sz w:val="17"/>
              </w:rPr>
              <w:t>Local customs registration number</w:t>
            </w:r>
          </w:p>
        </w:tc>
        <w:tc>
          <w:tcPr>
            <w:tcW w:type="dxa" w:w="2409"/>
          </w:tcPr>
          <w:p>
            <w:pPr>
              <w:spacing w:after="20" w:before="20" w:line="240" w:lineRule="auto"/>
            </w:pPr>
            <w:r/>
            <w:r>
              <w:rPr>
                <w:rFonts w:ascii="Arial" w:hAnsi="Arial" w:cs="Arial"/>
                <w:b w:val="0"/>
                <w:i w:val="0"/>
                <w:sz w:val="17"/>
              </w:rPr>
              <w:t>Nafeza API (Egypt)</w:t>
            </w:r>
          </w:p>
        </w:tc>
        <w:tc>
          <w:tcPr>
            <w:tcW w:type="dxa" w:w="2409"/>
          </w:tcPr>
          <w:p>
            <w:pPr>
              <w:spacing w:after="20" w:before="20" w:line="240" w:lineRule="auto"/>
            </w:pPr>
            <w:r/>
            <w:r>
              <w:rPr>
                <w:rFonts w:ascii="Arial" w:hAnsi="Arial" w:cs="Arial"/>
                <w:b w:val="0"/>
                <w:i w:val="0"/>
                <w:sz w:val="17"/>
              </w:rPr>
              <w:t>On upload</w:t>
            </w:r>
          </w:p>
        </w:tc>
      </w:tr>
      <w:tr>
        <w:tc>
          <w:tcPr>
            <w:tcW w:type="dxa" w:w="2409"/>
          </w:tcPr>
          <w:p>
            <w:pPr>
              <w:spacing w:after="20" w:before="20" w:line="240" w:lineRule="auto"/>
            </w:pPr>
            <w:r/>
            <w:r>
              <w:rPr>
                <w:rFonts w:ascii="Arial" w:hAnsi="Arial" w:cs="Arial"/>
                <w:b w:val="0"/>
                <w:i w:val="0"/>
                <w:sz w:val="17"/>
              </w:rPr>
              <w:t>Chamber of Commerce Registration</w:t>
            </w:r>
          </w:p>
        </w:tc>
        <w:tc>
          <w:tcPr>
            <w:tcW w:type="dxa" w:w="2409"/>
          </w:tcPr>
          <w:p>
            <w:pPr>
              <w:spacing w:after="20" w:before="20" w:line="240" w:lineRule="auto"/>
            </w:pPr>
            <w:r/>
            <w:r>
              <w:rPr>
                <w:rFonts w:ascii="Arial" w:hAnsi="Arial" w:cs="Arial"/>
                <w:b w:val="0"/>
                <w:i w:val="0"/>
                <w:sz w:val="17"/>
              </w:rPr>
              <w:t>Chamber registration number</w:t>
            </w:r>
          </w:p>
        </w:tc>
        <w:tc>
          <w:tcPr>
            <w:tcW w:type="dxa" w:w="2409"/>
          </w:tcPr>
          <w:p>
            <w:pPr>
              <w:spacing w:after="20" w:before="20" w:line="240" w:lineRule="auto"/>
            </w:pPr>
            <w:r/>
            <w:r>
              <w:rPr>
                <w:rFonts w:ascii="Arial" w:hAnsi="Arial" w:cs="Arial"/>
                <w:b w:val="0"/>
                <w:i w:val="0"/>
                <w:sz w:val="17"/>
              </w:rPr>
              <w:t>Scraped registry (weekly)</w:t>
            </w:r>
          </w:p>
        </w:tc>
        <w:tc>
          <w:tcPr>
            <w:tcW w:type="dxa" w:w="2409"/>
          </w:tcPr>
          <w:p>
            <w:pPr>
              <w:spacing w:after="20" w:before="20" w:line="240" w:lineRule="auto"/>
            </w:pPr>
            <w:r/>
            <w:r>
              <w:rPr>
                <w:rFonts w:ascii="Arial" w:hAnsi="Arial" w:cs="Arial"/>
                <w:b w:val="0"/>
                <w:i w:val="0"/>
                <w:sz w:val="17"/>
              </w:rPr>
              <w:t>Weekly</w:t>
            </w:r>
          </w:p>
        </w:tc>
      </w:tr>
      <w:tr>
        <w:tc>
          <w:tcPr>
            <w:tcW w:type="dxa" w:w="2409"/>
          </w:tcPr>
          <w:p>
            <w:pPr>
              <w:spacing w:after="20" w:before="20" w:line="240" w:lineRule="auto"/>
            </w:pPr>
            <w:r/>
            <w:r>
              <w:rPr>
                <w:rFonts w:ascii="Arial" w:hAnsi="Arial" w:cs="Arial"/>
                <w:b w:val="0"/>
                <w:i w:val="0"/>
                <w:sz w:val="17"/>
              </w:rPr>
              <w:t>VAT Registration</w:t>
            </w:r>
          </w:p>
        </w:tc>
        <w:tc>
          <w:tcPr>
            <w:tcW w:type="dxa" w:w="2409"/>
          </w:tcPr>
          <w:p>
            <w:pPr>
              <w:spacing w:after="20" w:before="20" w:line="240" w:lineRule="auto"/>
            </w:pPr>
            <w:r/>
            <w:r>
              <w:rPr>
                <w:rFonts w:ascii="Arial" w:hAnsi="Arial" w:cs="Arial"/>
                <w:b w:val="0"/>
                <w:i w:val="0"/>
                <w:sz w:val="17"/>
              </w:rPr>
              <w:t>Tax/VAT registration number</w:t>
            </w:r>
          </w:p>
        </w:tc>
        <w:tc>
          <w:tcPr>
            <w:tcW w:type="dxa" w:w="2409"/>
          </w:tcPr>
          <w:p>
            <w:pPr>
              <w:spacing w:after="20" w:before="20" w:line="240" w:lineRule="auto"/>
            </w:pPr>
            <w:r/>
            <w:r>
              <w:rPr>
                <w:rFonts w:ascii="Arial" w:hAnsi="Arial" w:cs="Arial"/>
                <w:b w:val="0"/>
                <w:i w:val="0"/>
                <w:sz w:val="17"/>
              </w:rPr>
              <w:t>ETA API (Egypt)</w:t>
            </w:r>
          </w:p>
        </w:tc>
        <w:tc>
          <w:tcPr>
            <w:tcW w:type="dxa" w:w="2409"/>
          </w:tcPr>
          <w:p>
            <w:pPr>
              <w:spacing w:after="20" w:before="20" w:line="240" w:lineRule="auto"/>
            </w:pPr>
            <w:r/>
            <w:r>
              <w:rPr>
                <w:rFonts w:ascii="Arial" w:hAnsi="Arial" w:cs="Arial"/>
                <w:b w:val="0"/>
                <w:i w:val="0"/>
                <w:sz w:val="17"/>
              </w:rPr>
              <w:t>On upload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4.1.9.2 Resolution with Verified IDs</w:t>
      </w:r>
    </w:p>
    <w:p>
      <w:pPr>
        <w:spacing w:after="80" w:line="293" w:lineRule="auto"/>
        <w:jc w:val="left"/>
      </w:pPr>
      <w:r>
        <w:rPr>
          <w:rFonts w:ascii="Times New Roman" w:hAnsi="Times New Roman" w:cs="Times New Roman"/>
          <w:b w:val="0"/>
          <w:i w:val="0"/>
          <w:sz w:val="22"/>
        </w:rPr>
        <w:t>To include verified identifiers in the resolution response, the requesting tenant must have explicit consent from the target tenant. Consent check: each tenant sets default visibility per identifier type in Company Admin → Privacy → Verified IDs. When resolving a GTID, the system checks:</w:t>
      </w:r>
    </w:p>
    <w:p>
      <w:pPr>
        <w:spacing w:after="80" w:line="293" w:lineRule="auto"/>
        <w:ind w:left="283"/>
        <w:jc w:val="left"/>
      </w:pPr>
      <w:r>
        <w:rPr>
          <w:rFonts w:ascii="Times New Roman" w:hAnsi="Times New Roman" w:cs="Times New Roman"/>
          <w:b w:val="0"/>
          <w:i w:val="0"/>
          <w:sz w:val="22"/>
        </w:rPr>
        <w:t>- If the target has consented to share the specific identifier type.</w:t>
      </w:r>
    </w:p>
    <w:p>
      <w:pPr>
        <w:spacing w:after="80" w:line="293" w:lineRule="auto"/>
        <w:ind w:left="283"/>
        <w:jc w:val="left"/>
      </w:pPr>
      <w:r>
        <w:rPr>
          <w:rFonts w:ascii="Times New Roman" w:hAnsi="Times New Roman" w:cs="Times New Roman"/>
          <w:b w:val="0"/>
          <w:i w:val="0"/>
          <w:sz w:val="22"/>
        </w:rPr>
        <w:t>- If the requesting tenant has a legitimate need (existing trade relationship or trade in progress).</w:t>
      </w:r>
    </w:p>
    <w:p>
      <w:pPr>
        <w:spacing w:after="80" w:line="293" w:lineRule="auto"/>
        <w:ind w:left="283"/>
        <w:jc w:val="left"/>
      </w:pPr>
      <w:r>
        <w:rPr>
          <w:rFonts w:ascii="Times New Roman" w:hAnsi="Times New Roman" w:cs="Times New Roman"/>
          <w:b w:val="0"/>
          <w:i w:val="0"/>
          <w:sz w:val="22"/>
        </w:rPr>
        <w:t>- If both conditions are met, the identifier is included in the response.</w:t>
      </w:r>
    </w:p>
    <w:p>
      <w:pPr>
        <w:spacing w:after="80" w:line="293" w:lineRule="auto"/>
        <w:jc w:val="left"/>
      </w:pPr>
      <w:r>
        <w:rPr>
          <w:rFonts w:ascii="Times New Roman" w:hAnsi="Times New Roman" w:cs="Times New Roman"/>
          <w:b w:val="0"/>
          <w:i w:val="0"/>
          <w:sz w:val="22"/>
        </w:rPr>
        <w:t>One-click consent: the tenant admin clicks a toggle in the Privacy Dashboard → the identifier becomes shareable.</w:t>
      </w:r>
    </w:p>
    <w:p>
      <w:pPr>
        <w:keepNext/>
        <w:spacing w:before="180" w:after="80"/>
        <w:outlineLvl w:val="2"/>
      </w:pPr>
      <w:r>
        <w:rPr>
          <w:rFonts w:ascii="Arial" w:hAnsi="Arial" w:cs="Arial"/>
          <w:b/>
          <w:i w:val="0"/>
          <w:color w:val="333333"/>
          <w:sz w:val="23"/>
        </w:rPr>
        <w:t>4.1.10 Database Schema (Section 4.1)</w:t>
      </w:r>
    </w:p>
    <w:p>
      <w:pPr>
        <w:spacing w:after="0" w:before="0" w:line="240" w:lineRule="auto"/>
        <w:ind w:left="57"/>
        <w:jc w:val="left"/>
        <w:shd w:val="clear" w:fill="F2F2F2"/>
      </w:pPr>
      <w:r>
        <w:rPr>
          <w:rFonts w:ascii="Consolas" w:hAnsi="Consolas" w:cs="Consolas"/>
          <w:b w:val="0"/>
          <w:i w:val="0"/>
          <w:sz w:val="15"/>
        </w:rPr>
        <w:t>-- Tenants (core)</w:t>
      </w:r>
    </w:p>
    <w:p>
      <w:pPr>
        <w:spacing w:after="0" w:before="0" w:line="240" w:lineRule="auto"/>
        <w:ind w:left="57"/>
        <w:jc w:val="left"/>
        <w:shd w:val="clear" w:fill="F2F2F2"/>
      </w:pPr>
      <w:r>
        <w:rPr>
          <w:rFonts w:ascii="Consolas" w:hAnsi="Consolas" w:cs="Consolas"/>
          <w:b w:val="0"/>
          <w:i w:val="0"/>
          <w:sz w:val="15"/>
        </w:rPr>
        <w:t>-- tenants: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Tenant sequence counter</w:t>
      </w:r>
    </w:p>
    <w:p>
      <w:pPr>
        <w:spacing w:after="0" w:before="0" w:line="240" w:lineRule="auto"/>
        <w:ind w:left="57"/>
        <w:jc w:val="left"/>
        <w:shd w:val="clear" w:fill="F2F2F2"/>
      </w:pPr>
      <w:r>
        <w:rPr>
          <w:rFonts w:ascii="Consolas" w:hAnsi="Consolas" w:cs="Consolas"/>
          <w:b w:val="0"/>
          <w:i w:val="0"/>
          <w:sz w:val="15"/>
        </w:rPr>
        <w:t>-- tenant_sequences: canonical definition in Section 4.1;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Verified identifiers</w:t>
      </w:r>
    </w:p>
    <w:p>
      <w:pPr>
        <w:spacing w:after="0" w:before="0" w:line="240" w:lineRule="auto"/>
        <w:ind w:left="57"/>
        <w:jc w:val="left"/>
        <w:shd w:val="clear" w:fill="F2F2F2"/>
      </w:pPr>
      <w:r>
        <w:rPr>
          <w:rFonts w:ascii="Consolas" w:hAnsi="Consolas" w:cs="Consolas"/>
          <w:b w:val="0"/>
          <w:i w:val="0"/>
          <w:sz w:val="15"/>
        </w:rPr>
        <w:t>-- tenant_verified_ids: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GTID resolution cache (materialised view)</w:t>
      </w:r>
    </w:p>
    <w:p>
      <w:pPr>
        <w:spacing w:after="0" w:before="0" w:line="240" w:lineRule="auto"/>
        <w:ind w:left="57"/>
        <w:jc w:val="left"/>
        <w:shd w:val="clear" w:fill="F2F2F2"/>
      </w:pPr>
      <w:r>
        <w:rPr>
          <w:rFonts w:ascii="Consolas" w:hAnsi="Consolas" w:cs="Consolas"/>
          <w:b w:val="0"/>
          <w:i w:val="0"/>
          <w:sz w:val="15"/>
        </w:rPr>
        <w:t>CREATE MATERIALIZED VIEW gtid_resolution_cache AS</w:t>
      </w:r>
    </w:p>
    <w:p>
      <w:pPr>
        <w:spacing w:after="0" w:before="0" w:line="240" w:lineRule="auto"/>
        <w:ind w:left="57"/>
        <w:jc w:val="left"/>
        <w:shd w:val="clear" w:fill="F2F2F2"/>
      </w:pPr>
      <w:r>
        <w:rPr>
          <w:rFonts w:ascii="Consolas" w:hAnsi="Consolas" w:cs="Consolas"/>
          <w:b w:val="0"/>
          <w:i w:val="0"/>
          <w:sz w:val="15"/>
        </w:rPr>
        <w:t>SELECT</w:t>
      </w:r>
    </w:p>
    <w:p>
      <w:pPr>
        <w:spacing w:after="0" w:before="0" w:line="240" w:lineRule="auto"/>
        <w:ind w:left="57"/>
        <w:jc w:val="left"/>
        <w:shd w:val="clear" w:fill="F2F2F2"/>
      </w:pPr>
      <w:r>
        <w:rPr>
          <w:rFonts w:ascii="Consolas" w:hAnsi="Consolas" w:cs="Consolas"/>
          <w:b w:val="0"/>
          <w:i w:val="0"/>
          <w:sz w:val="15"/>
        </w:rPr>
        <w:t xml:space="preserve">    gtid,</w:t>
      </w:r>
    </w:p>
    <w:p>
      <w:pPr>
        <w:spacing w:after="0" w:before="0" w:line="240" w:lineRule="auto"/>
        <w:ind w:left="57"/>
        <w:jc w:val="left"/>
        <w:shd w:val="clear" w:fill="F2F2F2"/>
      </w:pPr>
      <w:r>
        <w:rPr>
          <w:rFonts w:ascii="Consolas" w:hAnsi="Consolas" w:cs="Consolas"/>
          <w:b w:val="0"/>
          <w:i w:val="0"/>
          <w:sz w:val="15"/>
        </w:rPr>
        <w:t xml:space="preserve">    legal_name,</w:t>
      </w:r>
    </w:p>
    <w:p>
      <w:pPr>
        <w:spacing w:after="0" w:before="0" w:line="240" w:lineRule="auto"/>
        <w:ind w:left="57"/>
        <w:jc w:val="left"/>
        <w:shd w:val="clear" w:fill="F2F2F2"/>
      </w:pPr>
      <w:r>
        <w:rPr>
          <w:rFonts w:ascii="Consolas" w:hAnsi="Consolas" w:cs="Consolas"/>
          <w:b w:val="0"/>
          <w:i w:val="0"/>
          <w:sz w:val="15"/>
        </w:rPr>
        <w:t xml:space="preserve">    type,</w:t>
      </w:r>
    </w:p>
    <w:p>
      <w:pPr>
        <w:spacing w:after="0" w:before="0" w:line="240" w:lineRule="auto"/>
        <w:ind w:left="57"/>
        <w:jc w:val="left"/>
        <w:shd w:val="clear" w:fill="F2F2F2"/>
      </w:pPr>
      <w:r>
        <w:rPr>
          <w:rFonts w:ascii="Consolas" w:hAnsi="Consolas" w:cs="Consolas"/>
          <w:b w:val="0"/>
          <w:i w:val="0"/>
          <w:sz w:val="15"/>
        </w:rPr>
        <w:t xml:space="preserve">    jurisdiction,</w:t>
      </w:r>
    </w:p>
    <w:p>
      <w:pPr>
        <w:spacing w:after="0" w:before="0" w:line="240" w:lineRule="auto"/>
        <w:ind w:left="57"/>
        <w:jc w:val="left"/>
        <w:shd w:val="clear" w:fill="F2F2F2"/>
      </w:pPr>
      <w:r>
        <w:rPr>
          <w:rFonts w:ascii="Consolas" w:hAnsi="Consolas" w:cs="Consolas"/>
          <w:b w:val="0"/>
          <w:i w:val="0"/>
          <w:sz w:val="15"/>
        </w:rPr>
        <w:t xml:space="preserve">    kyb_tier,</w:t>
      </w:r>
    </w:p>
    <w:p>
      <w:pPr>
        <w:spacing w:after="0" w:before="0" w:line="240" w:lineRule="auto"/>
        <w:ind w:left="57"/>
        <w:jc w:val="left"/>
        <w:shd w:val="clear" w:fill="F2F2F2"/>
      </w:pPr>
      <w:r>
        <w:rPr>
          <w:rFonts w:ascii="Consolas" w:hAnsi="Consolas" w:cs="Consolas"/>
          <w:b w:val="0"/>
          <w:i w:val="0"/>
          <w:sz w:val="15"/>
        </w:rPr>
        <w:t xml:space="preserve">    kyb_status,</w:t>
      </w:r>
    </w:p>
    <w:p>
      <w:pPr>
        <w:spacing w:after="0" w:before="0" w:line="240" w:lineRule="auto"/>
        <w:ind w:left="57"/>
        <w:jc w:val="left"/>
        <w:shd w:val="clear" w:fill="F2F2F2"/>
      </w:pPr>
      <w:r>
        <w:rPr>
          <w:rFonts w:ascii="Consolas" w:hAnsi="Consolas" w:cs="Consolas"/>
          <w:b w:val="0"/>
          <w:i w:val="0"/>
          <w:sz w:val="15"/>
        </w:rPr>
        <w:t xml:space="preserve">    sanctions_cleared,</w:t>
      </w:r>
    </w:p>
    <w:p>
      <w:pPr>
        <w:spacing w:after="0" w:before="0" w:line="240" w:lineRule="auto"/>
        <w:ind w:left="57"/>
        <w:jc w:val="left"/>
        <w:shd w:val="clear" w:fill="F2F2F2"/>
      </w:pPr>
      <w:r>
        <w:rPr>
          <w:rFonts w:ascii="Consolas" w:hAnsi="Consolas" w:cs="Consolas"/>
          <w:b w:val="0"/>
          <w:i w:val="0"/>
          <w:sz w:val="15"/>
        </w:rPr>
        <w:t xml:space="preserve">    pep_status,</w:t>
      </w:r>
    </w:p>
    <w:p>
      <w:pPr>
        <w:spacing w:after="0" w:before="0" w:line="240" w:lineRule="auto"/>
        <w:ind w:left="57"/>
        <w:jc w:val="left"/>
        <w:shd w:val="clear" w:fill="F2F2F2"/>
      </w:pPr>
      <w:r>
        <w:rPr>
          <w:rFonts w:ascii="Consolas" w:hAnsi="Consolas" w:cs="Consolas"/>
          <w:b w:val="0"/>
          <w:i w:val="0"/>
          <w:sz w:val="15"/>
        </w:rPr>
        <w:t xml:space="preserve">    trust_score,</w:t>
      </w:r>
    </w:p>
    <w:p>
      <w:pPr>
        <w:spacing w:after="0" w:before="0" w:line="240" w:lineRule="auto"/>
        <w:ind w:left="57"/>
        <w:jc w:val="left"/>
        <w:shd w:val="clear" w:fill="F2F2F2"/>
      </w:pPr>
      <w:r>
        <w:rPr>
          <w:rFonts w:ascii="Consolas" w:hAnsi="Consolas" w:cs="Consolas"/>
          <w:b w:val="0"/>
          <w:i w:val="0"/>
          <w:sz w:val="15"/>
        </w:rPr>
        <w:t xml:space="preserve">    lifecycle_state,</w:t>
      </w:r>
    </w:p>
    <w:p>
      <w:pPr>
        <w:spacing w:after="0" w:before="0" w:line="240" w:lineRule="auto"/>
        <w:ind w:left="57"/>
        <w:jc w:val="left"/>
        <w:shd w:val="clear" w:fill="F2F2F2"/>
      </w:pPr>
      <w:r>
        <w:rPr>
          <w:rFonts w:ascii="Consolas" w:hAnsi="Consolas" w:cs="Consolas"/>
          <w:b w:val="0"/>
          <w:i w:val="0"/>
          <w:sz w:val="15"/>
        </w:rPr>
        <w:t xml:space="preserve">    updated_at,</w:t>
      </w:r>
    </w:p>
    <w:p>
      <w:pPr>
        <w:spacing w:after="0" w:before="0" w:line="240" w:lineRule="auto"/>
        <w:ind w:left="57"/>
        <w:jc w:val="left"/>
        <w:shd w:val="clear" w:fill="F2F2F2"/>
      </w:pPr>
      <w:r>
        <w:rPr>
          <w:rFonts w:ascii="Consolas" w:hAnsi="Consolas" w:cs="Consolas"/>
          <w:b w:val="0"/>
          <w:i w:val="0"/>
          <w:sz w:val="15"/>
        </w:rPr>
        <w:t xml:space="preserve">    NOW() AS cached_at</w:t>
      </w:r>
    </w:p>
    <w:p>
      <w:pPr>
        <w:spacing w:after="0" w:before="0" w:line="240" w:lineRule="auto"/>
        <w:ind w:left="57"/>
        <w:jc w:val="left"/>
        <w:shd w:val="clear" w:fill="F2F2F2"/>
      </w:pPr>
      <w:r>
        <w:rPr>
          <w:rFonts w:ascii="Consolas" w:hAnsi="Consolas" w:cs="Consolas"/>
          <w:b w:val="0"/>
          <w:i w:val="0"/>
          <w:sz w:val="15"/>
        </w:rPr>
        <w:t>FROM tenants</w:t>
      </w:r>
    </w:p>
    <w:p>
      <w:pPr>
        <w:spacing w:after="0" w:before="0" w:line="240" w:lineRule="auto"/>
        <w:ind w:left="57"/>
        <w:jc w:val="left"/>
        <w:shd w:val="clear" w:fill="F2F2F2"/>
      </w:pPr>
      <w:r>
        <w:rPr>
          <w:rFonts w:ascii="Consolas" w:hAnsi="Consolas" w:cs="Consolas"/>
          <w:b w:val="0"/>
          <w:i w:val="0"/>
          <w:sz w:val="15"/>
        </w:rPr>
        <w:t>WHERE lifecycle_state IN ('VERIFIED', 'LIMITED_MODE');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REFRESH MATERIALIZED VIEW gtid_resolution_cache;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Resolution audit log</w:t>
      </w:r>
    </w:p>
    <w:p>
      <w:pPr>
        <w:spacing w:after="0" w:before="0" w:line="240" w:lineRule="auto"/>
        <w:ind w:left="57"/>
        <w:jc w:val="left"/>
        <w:shd w:val="clear" w:fill="F2F2F2"/>
      </w:pPr>
      <w:r>
        <w:rPr>
          <w:rFonts w:ascii="Consolas" w:hAnsi="Consolas" w:cs="Consolas"/>
          <w:b w:val="0"/>
          <w:i w:val="0"/>
          <w:sz w:val="15"/>
        </w:rPr>
        <w:t>CREATE TABLE gtid_resolution_log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requester_gtid TEXT NOT NULL,</w:t>
      </w:r>
    </w:p>
    <w:p>
      <w:pPr>
        <w:spacing w:after="0" w:before="0" w:line="240" w:lineRule="auto"/>
        <w:ind w:left="57"/>
        <w:jc w:val="left"/>
        <w:shd w:val="clear" w:fill="F2F2F2"/>
      </w:pPr>
      <w:r>
        <w:rPr>
          <w:rFonts w:ascii="Consolas" w:hAnsi="Consolas" w:cs="Consolas"/>
          <w:b w:val="0"/>
          <w:i w:val="0"/>
          <w:sz w:val="15"/>
        </w:rPr>
        <w:t xml:space="preserve">    resolved_gtid TEXT NOT NULL,</w:t>
      </w:r>
    </w:p>
    <w:p>
      <w:pPr>
        <w:spacing w:after="0" w:before="0" w:line="240" w:lineRule="auto"/>
        <w:ind w:left="57"/>
        <w:jc w:val="left"/>
        <w:shd w:val="clear" w:fill="F2F2F2"/>
      </w:pPr>
      <w:r>
        <w:rPr>
          <w:rFonts w:ascii="Consolas" w:hAnsi="Consolas" w:cs="Consolas"/>
          <w:b w:val="0"/>
          <w:i w:val="0"/>
          <w:sz w:val="15"/>
        </w:rPr>
        <w:t xml:space="preserve">    include_verified_ids BOOLEAN DEFAULT false,</w:t>
      </w:r>
    </w:p>
    <w:p>
      <w:pPr>
        <w:spacing w:after="0" w:before="0" w:line="240" w:lineRule="auto"/>
        <w:ind w:left="57"/>
        <w:jc w:val="left"/>
        <w:shd w:val="clear" w:fill="F2F2F2"/>
      </w:pPr>
      <w:r>
        <w:rPr>
          <w:rFonts w:ascii="Consolas" w:hAnsi="Consolas" w:cs="Consolas"/>
          <w:b w:val="0"/>
          <w:i w:val="0"/>
          <w:sz w:val="15"/>
        </w:rPr>
        <w:t xml:space="preserve">    ip_address INET NOT NULL,</w:t>
      </w:r>
    </w:p>
    <w:p>
      <w:pPr>
        <w:spacing w:after="0" w:before="0" w:line="240" w:lineRule="auto"/>
        <w:ind w:left="57"/>
        <w:jc w:val="left"/>
        <w:shd w:val="clear" w:fill="F2F2F2"/>
      </w:pPr>
      <w:r>
        <w:rPr>
          <w:rFonts w:ascii="Consolas" w:hAnsi="Consolas" w:cs="Consolas"/>
          <w:b w:val="0"/>
          <w:i w:val="0"/>
          <w:sz w:val="15"/>
        </w:rPr>
        <w:t xml:space="preserve">    user_agent TEXT,</w:t>
      </w:r>
    </w:p>
    <w:p>
      <w:pPr>
        <w:spacing w:after="0" w:before="0" w:line="240" w:lineRule="auto"/>
        <w:ind w:left="57"/>
        <w:jc w:val="left"/>
        <w:shd w:val="clear" w:fill="F2F2F2"/>
      </w:pPr>
      <w:r>
        <w:rPr>
          <w:rFonts w:ascii="Consolas" w:hAnsi="Consolas" w:cs="Consolas"/>
          <w:b w:val="0"/>
          <w:i w:val="0"/>
          <w:sz w:val="15"/>
        </w:rPr>
        <w:t xml:space="preserve">    resolved_at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idx_tenants_gtid ON tenants(gtid);</w:t>
      </w:r>
    </w:p>
    <w:p>
      <w:pPr>
        <w:spacing w:after="0" w:before="0" w:line="240" w:lineRule="auto"/>
        <w:ind w:left="57"/>
        <w:jc w:val="left"/>
        <w:shd w:val="clear" w:fill="F2F2F2"/>
      </w:pPr>
      <w:r>
        <w:rPr>
          <w:rFonts w:ascii="Consolas" w:hAnsi="Consolas" w:cs="Consolas"/>
          <w:b w:val="0"/>
          <w:i w:val="0"/>
          <w:sz w:val="15"/>
        </w:rPr>
        <w:t>CREATE INDEX idx_tenants_type ON tenants(type);</w:t>
      </w:r>
    </w:p>
    <w:p>
      <w:pPr>
        <w:spacing w:after="0" w:before="0" w:line="240" w:lineRule="auto"/>
        <w:ind w:left="57"/>
        <w:jc w:val="left"/>
        <w:shd w:val="clear" w:fill="F2F2F2"/>
      </w:pPr>
      <w:r>
        <w:rPr>
          <w:rFonts w:ascii="Consolas" w:hAnsi="Consolas" w:cs="Consolas"/>
          <w:b w:val="0"/>
          <w:i w:val="0"/>
          <w:sz w:val="15"/>
        </w:rPr>
        <w:t>CREATE INDEX idx_tenants_jurisdiction ON tenants(jurisdiction);</w:t>
      </w:r>
    </w:p>
    <w:p>
      <w:pPr>
        <w:spacing w:after="0" w:before="0" w:line="240" w:lineRule="auto"/>
        <w:ind w:left="57"/>
        <w:jc w:val="left"/>
        <w:shd w:val="clear" w:fill="F2F2F2"/>
      </w:pPr>
      <w:r>
        <w:rPr>
          <w:rFonts w:ascii="Consolas" w:hAnsi="Consolas" w:cs="Consolas"/>
          <w:b w:val="0"/>
          <w:i w:val="0"/>
          <w:sz w:val="15"/>
        </w:rPr>
        <w:t>CREATE INDEX idx_tenants_lifecycle_state ON tenants(lifecycle_state);</w:t>
      </w:r>
    </w:p>
    <w:p>
      <w:pPr>
        <w:spacing w:after="0" w:before="0" w:line="240" w:lineRule="auto"/>
        <w:ind w:left="57"/>
        <w:jc w:val="left"/>
        <w:shd w:val="clear" w:fill="F2F2F2"/>
      </w:pPr>
      <w:r>
        <w:rPr>
          <w:rFonts w:ascii="Consolas" w:hAnsi="Consolas" w:cs="Consolas"/>
          <w:b w:val="0"/>
          <w:i w:val="0"/>
          <w:sz w:val="15"/>
        </w:rPr>
        <w:t>CREATE INDEX idx_tenant_verified_ids_tenant ON tenant_verified_ids(tenant_gtid);</w:t>
      </w:r>
    </w:p>
    <w:p>
      <w:pPr>
        <w:spacing w:after="0" w:before="0" w:line="240" w:lineRule="auto"/>
        <w:ind w:left="57"/>
        <w:jc w:val="left"/>
        <w:shd w:val="clear" w:fill="F2F2F2"/>
      </w:pPr>
      <w:r>
        <w:rPr>
          <w:rFonts w:ascii="Consolas" w:hAnsi="Consolas" w:cs="Consolas"/>
          <w:b w:val="0"/>
          <w:i w:val="0"/>
          <w:sz w:val="15"/>
        </w:rPr>
        <w:t>CREATE INDEX idx_tenant_verified_ids_type ON tenant_verified_ids(id_type);</w:t>
      </w:r>
    </w:p>
    <w:p>
      <w:pPr>
        <w:spacing w:after="0" w:before="0" w:line="240" w:lineRule="auto"/>
        <w:ind w:left="57"/>
        <w:jc w:val="left"/>
        <w:shd w:val="clear" w:fill="F2F2F2"/>
      </w:pPr>
      <w:r>
        <w:rPr>
          <w:rFonts w:ascii="Consolas" w:hAnsi="Consolas" w:cs="Consolas"/>
          <w:b w:val="0"/>
          <w:i w:val="0"/>
          <w:sz w:val="15"/>
        </w:rPr>
        <w:t>CREATE INDEX idx_gtid_resolution_log_requester ON gtid_resolution_log(requester_gtid);</w:t>
      </w:r>
    </w:p>
    <w:p>
      <w:pPr>
        <w:spacing w:after="0" w:before="0" w:line="240" w:lineRule="auto"/>
        <w:ind w:left="57"/>
        <w:jc w:val="left"/>
        <w:shd w:val="clear" w:fill="F2F2F2"/>
      </w:pPr>
      <w:r>
        <w:rPr>
          <w:rFonts w:ascii="Consolas" w:hAnsi="Consolas" w:cs="Consolas"/>
          <w:b w:val="0"/>
          <w:i w:val="0"/>
          <w:sz w:val="15"/>
        </w:rPr>
        <w:t>CREATE INDEX idx_gtid_resolution_log_resolved ON gtid_resolution_log(resolved_gtid);</w:t>
      </w:r>
    </w:p>
    <w:p>
      <w:pPr>
        <w:spacing w:after="0" w:before="0" w:line="240" w:lineRule="auto"/>
        <w:ind w:left="57"/>
        <w:jc w:val="left"/>
        <w:shd w:val="clear" w:fill="F2F2F2"/>
      </w:pPr>
      <w:r>
        <w:rPr>
          <w:rFonts w:ascii="Consolas" w:hAnsi="Consolas" w:cs="Consolas"/>
          <w:b w:val="0"/>
          <w:i w:val="0"/>
          <w:sz w:val="15"/>
        </w:rPr>
        <w:t>CREATE INDEX idx_gtid_resolution_log_resolved_at ON gtid_resolution_log(resolved_at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4.1.11 Implementation Checklist (Section 4.1)</w:t>
      </w:r>
    </w:p>
    <w:p>
      <w:pPr>
        <w:keepNext/>
        <w:spacing w:before="140" w:after="60"/>
        <w:outlineLvl w:val="3"/>
      </w:pPr>
      <w:r>
        <w:rPr>
          <w:rFonts w:ascii="Arial" w:hAnsi="Arial" w:cs="Arial"/>
          <w:b/>
          <w:i/>
          <w:color w:val="333333"/>
          <w:sz w:val="22"/>
        </w:rPr>
        <w:t>4.1.11.1 GTID Generation</w:t>
      </w:r>
    </w:p>
    <w:p>
      <w:pPr>
        <w:spacing w:after="80" w:line="293" w:lineRule="auto"/>
        <w:ind w:left="283"/>
        <w:jc w:val="left"/>
      </w:pPr>
      <w:r>
        <w:rPr>
          <w:rFonts w:ascii="Times New Roman" w:hAnsi="Times New Roman" w:cs="Times New Roman"/>
          <w:b w:val="0"/>
          <w:i w:val="0"/>
          <w:sz w:val="22"/>
        </w:rPr>
        <w:t>- Implement `tenant_sequences` table with atomic increment.</w:t>
      </w:r>
    </w:p>
    <w:p>
      <w:pPr>
        <w:spacing w:after="80" w:line="293" w:lineRule="auto"/>
        <w:ind w:left="283"/>
        <w:jc w:val="left"/>
      </w:pPr>
      <w:r>
        <w:rPr>
          <w:rFonts w:ascii="Times New Roman" w:hAnsi="Times New Roman" w:cs="Times New Roman"/>
          <w:b w:val="0"/>
          <w:i w:val="0"/>
          <w:sz w:val="22"/>
        </w:rPr>
        <w:t>- Implement CRC32-ISO-HDLC checksum calculation (Rust).</w:t>
      </w:r>
    </w:p>
    <w:p>
      <w:pPr>
        <w:spacing w:after="80" w:line="293" w:lineRule="auto"/>
        <w:ind w:left="283"/>
        <w:jc w:val="left"/>
      </w:pPr>
      <w:r>
        <w:rPr>
          <w:rFonts w:ascii="Times New Roman" w:hAnsi="Times New Roman" w:cs="Times New Roman"/>
          <w:b w:val="0"/>
          <w:i w:val="0"/>
          <w:sz w:val="22"/>
        </w:rPr>
        <w:t>- Add GTID generation endpoint (POST /v1/identity/gtid/generate — internal).</w:t>
      </w:r>
    </w:p>
    <w:p>
      <w:pPr>
        <w:spacing w:after="80" w:line="293" w:lineRule="auto"/>
        <w:ind w:left="283"/>
        <w:jc w:val="left"/>
      </w:pPr>
      <w:r>
        <w:rPr>
          <w:rFonts w:ascii="Times New Roman" w:hAnsi="Times New Roman" w:cs="Times New Roman"/>
          <w:b w:val="0"/>
          <w:i w:val="0"/>
          <w:sz w:val="22"/>
        </w:rPr>
        <w:t>- Add GTID format validation (regex + checksum).</w:t>
      </w:r>
    </w:p>
    <w:p>
      <w:pPr>
        <w:spacing w:after="80" w:line="293" w:lineRule="auto"/>
        <w:ind w:left="283"/>
        <w:jc w:val="left"/>
      </w:pPr>
      <w:r>
        <w:rPr>
          <w:rFonts w:ascii="Times New Roman" w:hAnsi="Times New Roman" w:cs="Times New Roman"/>
          <w:b w:val="0"/>
          <w:i w:val="0"/>
          <w:sz w:val="22"/>
        </w:rPr>
        <w:t>- Log GTID generation as Governor decision.</w:t>
      </w:r>
    </w:p>
    <w:p>
      <w:pPr>
        <w:keepNext/>
        <w:spacing w:before="140" w:after="60"/>
        <w:outlineLvl w:val="3"/>
      </w:pPr>
      <w:r>
        <w:rPr>
          <w:rFonts w:ascii="Arial" w:hAnsi="Arial" w:cs="Arial"/>
          <w:b/>
          <w:i/>
          <w:color w:val="333333"/>
          <w:sz w:val="22"/>
        </w:rPr>
        <w:t>4.1.11.2 GTID Resolution</w:t>
      </w:r>
    </w:p>
    <w:p>
      <w:pPr>
        <w:spacing w:after="80" w:line="293" w:lineRule="auto"/>
        <w:ind w:left="283"/>
        <w:jc w:val="left"/>
      </w:pPr>
      <w:r>
        <w:rPr>
          <w:rFonts w:ascii="Times New Roman" w:hAnsi="Times New Roman" w:cs="Times New Roman"/>
          <w:b w:val="0"/>
          <w:i w:val="0"/>
          <w:sz w:val="22"/>
        </w:rPr>
        <w:t>- Implement resolution endpoint (GET /v1/gtid/resolve).</w:t>
      </w:r>
    </w:p>
    <w:p>
      <w:pPr>
        <w:spacing w:after="80" w:line="293" w:lineRule="auto"/>
        <w:ind w:left="283"/>
        <w:jc w:val="left"/>
      </w:pPr>
      <w:r>
        <w:rPr>
          <w:rFonts w:ascii="Times New Roman" w:hAnsi="Times New Roman" w:cs="Times New Roman"/>
          <w:b w:val="0"/>
          <w:i w:val="0"/>
          <w:sz w:val="22"/>
        </w:rPr>
        <w:t>- Add permission checks (RLS + OPA).</w:t>
      </w:r>
    </w:p>
    <w:p>
      <w:pPr>
        <w:spacing w:after="80" w:line="293" w:lineRule="auto"/>
        <w:ind w:left="283"/>
        <w:jc w:val="left"/>
      </w:pPr>
      <w:r>
        <w:rPr>
          <w:rFonts w:ascii="Times New Roman" w:hAnsi="Times New Roman" w:cs="Times New Roman"/>
          <w:b w:val="0"/>
          <w:i w:val="0"/>
          <w:sz w:val="22"/>
        </w:rPr>
        <w:t>- Implement consent-based filtering for verified identifiers.</w:t>
      </w:r>
    </w:p>
    <w:p>
      <w:pPr>
        <w:spacing w:after="80" w:line="293" w:lineRule="auto"/>
        <w:ind w:left="283"/>
        <w:jc w:val="left"/>
      </w:pPr>
      <w:r>
        <w:rPr>
          <w:rFonts w:ascii="Times New Roman" w:hAnsi="Times New Roman" w:cs="Times New Roman"/>
          <w:b w:val="0"/>
          <w:i w:val="0"/>
          <w:sz w:val="22"/>
        </w:rPr>
        <w:t>- Add rate limiting (100 req/min per tenant, 30 req/min per IP).</w:t>
      </w:r>
    </w:p>
    <w:p>
      <w:pPr>
        <w:spacing w:after="80" w:line="293" w:lineRule="auto"/>
        <w:ind w:left="283"/>
        <w:jc w:val="left"/>
      </w:pPr>
      <w:r>
        <w:rPr>
          <w:rFonts w:ascii="Times New Roman" w:hAnsi="Times New Roman" w:cs="Times New Roman"/>
          <w:b w:val="0"/>
          <w:i w:val="0"/>
          <w:sz w:val="22"/>
        </w:rPr>
        <w:t>- Implement caching (Valkey/Redis, 5 min TTL).</w:t>
      </w:r>
    </w:p>
    <w:p>
      <w:pPr>
        <w:keepNext/>
        <w:spacing w:before="140" w:after="60"/>
        <w:outlineLvl w:val="3"/>
      </w:pPr>
      <w:r>
        <w:rPr>
          <w:rFonts w:ascii="Arial" w:hAnsi="Arial" w:cs="Arial"/>
          <w:b/>
          <w:i/>
          <w:color w:val="333333"/>
          <w:sz w:val="22"/>
        </w:rPr>
        <w:t>4.1.11.3 AI Assistance</w:t>
      </w:r>
    </w:p>
    <w:p>
      <w:pPr>
        <w:spacing w:after="80" w:line="293" w:lineRule="auto"/>
        <w:ind w:left="283"/>
        <w:jc w:val="left"/>
      </w:pPr>
      <w:r>
        <w:rPr>
          <w:rFonts w:ascii="Times New Roman" w:hAnsi="Times New Roman" w:cs="Times New Roman"/>
          <w:b w:val="0"/>
          <w:i w:val="0"/>
          <w:sz w:val="22"/>
        </w:rPr>
        <w:t>- Implement autocomplete from saved contacts (A1, Groq).</w:t>
      </w:r>
    </w:p>
    <w:p>
      <w:pPr>
        <w:spacing w:after="80" w:line="293" w:lineRule="auto"/>
        <w:ind w:left="283"/>
        <w:jc w:val="left"/>
      </w:pPr>
      <w:r>
        <w:rPr>
          <w:rFonts w:ascii="Times New Roman" w:hAnsi="Times New Roman" w:cs="Times New Roman"/>
          <w:b w:val="0"/>
          <w:i w:val="0"/>
          <w:sz w:val="22"/>
        </w:rPr>
        <w:t>- Add trust score tooltip generation (A1, Groq).</w:t>
      </w:r>
    </w:p>
    <w:p>
      <w:pPr>
        <w:spacing w:after="80" w:line="293" w:lineRule="auto"/>
        <w:ind w:left="283"/>
        <w:jc w:val="left"/>
      </w:pPr>
      <w:r>
        <w:rPr>
          <w:rFonts w:ascii="Times New Roman" w:hAnsi="Times New Roman" w:cs="Times New Roman"/>
          <w:b w:val="0"/>
          <w:i w:val="0"/>
          <w:sz w:val="22"/>
        </w:rPr>
        <w:t>- Implement sanctions badge (A2, HF local).</w:t>
      </w:r>
    </w:p>
    <w:p>
      <w:pPr>
        <w:spacing w:after="80" w:line="293" w:lineRule="auto"/>
        <w:ind w:left="283"/>
        <w:jc w:val="left"/>
      </w:pPr>
      <w:r>
        <w:rPr>
          <w:rFonts w:ascii="Times New Roman" w:hAnsi="Times New Roman" w:cs="Times New Roman"/>
          <w:b w:val="0"/>
          <w:i w:val="0"/>
          <w:sz w:val="22"/>
        </w:rPr>
        <w:t>- Add non-marketplace safeguard warning for unknown GTIDs.</w:t>
      </w:r>
    </w:p>
    <w:p>
      <w:pPr>
        <w:keepNext/>
        <w:spacing w:before="140" w:after="60"/>
        <w:outlineLvl w:val="3"/>
      </w:pPr>
      <w:r>
        <w:rPr>
          <w:rFonts w:ascii="Arial" w:hAnsi="Arial" w:cs="Arial"/>
          <w:b/>
          <w:i/>
          <w:color w:val="333333"/>
          <w:sz w:val="22"/>
        </w:rPr>
        <w:t>4.1.11.4 Privacy &amp; Compliance</w:t>
      </w:r>
    </w:p>
    <w:p>
      <w:pPr>
        <w:spacing w:after="80" w:line="293" w:lineRule="auto"/>
        <w:ind w:left="283"/>
        <w:jc w:val="left"/>
      </w:pPr>
      <w:r>
        <w:rPr>
          <w:rFonts w:ascii="Times New Roman" w:hAnsi="Times New Roman" w:cs="Times New Roman"/>
          <w:b w:val="0"/>
          <w:i w:val="0"/>
          <w:sz w:val="22"/>
        </w:rPr>
        <w:t>- Implement consent settings in Company Admin → Privacy.</w:t>
      </w:r>
    </w:p>
    <w:p>
      <w:pPr>
        <w:spacing w:after="80" w:line="293" w:lineRule="auto"/>
        <w:ind w:left="283"/>
        <w:jc w:val="left"/>
      </w:pPr>
      <w:r>
        <w:rPr>
          <w:rFonts w:ascii="Times New Roman" w:hAnsi="Times New Roman" w:cs="Times New Roman"/>
          <w:b w:val="0"/>
          <w:i w:val="0"/>
          <w:sz w:val="22"/>
        </w:rPr>
        <w:t>- Add verified identifier management (LEI, DUNS, etc.).</w:t>
      </w:r>
    </w:p>
    <w:p>
      <w:pPr>
        <w:spacing w:after="80" w:line="293" w:lineRule="auto"/>
        <w:ind w:left="283"/>
        <w:jc w:val="left"/>
      </w:pPr>
      <w:r>
        <w:rPr>
          <w:rFonts w:ascii="Times New Roman" w:hAnsi="Times New Roman" w:cs="Times New Roman"/>
          <w:b w:val="0"/>
          <w:i w:val="0"/>
          <w:sz w:val="22"/>
        </w:rPr>
        <w:t>- Implement resolution audit logging.</w:t>
      </w:r>
    </w:p>
    <w:p>
      <w:pPr>
        <w:spacing w:after="80" w:line="293" w:lineRule="auto"/>
        <w:ind w:left="283"/>
        <w:jc w:val="left"/>
      </w:pPr>
      <w:r>
        <w:rPr>
          <w:rFonts w:ascii="Times New Roman" w:hAnsi="Times New Roman" w:cs="Times New Roman"/>
          <w:b w:val="0"/>
          <w:i w:val="0"/>
          <w:sz w:val="22"/>
        </w:rPr>
        <w:t>- Add GTID revocation on lifecycle state change.</w:t>
      </w:r>
    </w:p>
    <w:p>
      <w:pPr>
        <w:keepNext/>
        <w:spacing w:before="140" w:after="60"/>
        <w:outlineLvl w:val="3"/>
      </w:pPr>
      <w:r>
        <w:rPr>
          <w:rFonts w:ascii="Arial" w:hAnsi="Arial" w:cs="Arial"/>
          <w:b/>
          <w:i/>
          <w:color w:val="333333"/>
          <w:sz w:val="22"/>
        </w:rPr>
        <w:t>4.1.11.5 Testing</w:t>
      </w:r>
    </w:p>
    <w:p>
      <w:pPr>
        <w:spacing w:after="80" w:line="293" w:lineRule="auto"/>
        <w:ind w:left="283"/>
        <w:jc w:val="left"/>
      </w:pPr>
      <w:r>
        <w:rPr>
          <w:rFonts w:ascii="Times New Roman" w:hAnsi="Times New Roman" w:cs="Times New Roman"/>
          <w:b w:val="0"/>
          <w:i w:val="0"/>
          <w:sz w:val="22"/>
        </w:rPr>
        <w:t>- Test GTID generation (valid/invalid country, entity type).</w:t>
      </w:r>
    </w:p>
    <w:p>
      <w:pPr>
        <w:spacing w:after="80" w:line="293" w:lineRule="auto"/>
        <w:ind w:left="283"/>
        <w:jc w:val="left"/>
      </w:pPr>
      <w:r>
        <w:rPr>
          <w:rFonts w:ascii="Times New Roman" w:hAnsi="Times New Roman" w:cs="Times New Roman"/>
          <w:b w:val="0"/>
          <w:i w:val="0"/>
          <w:sz w:val="22"/>
        </w:rPr>
        <w:t>- Test checksum verification (valid/invalid checksums).</w:t>
      </w:r>
    </w:p>
    <w:p>
      <w:pPr>
        <w:spacing w:after="80" w:line="293" w:lineRule="auto"/>
        <w:ind w:left="283"/>
        <w:jc w:val="left"/>
      </w:pPr>
      <w:r>
        <w:rPr>
          <w:rFonts w:ascii="Times New Roman" w:hAnsi="Times New Roman" w:cs="Times New Roman"/>
          <w:b w:val="0"/>
          <w:i w:val="0"/>
          <w:sz w:val="22"/>
        </w:rPr>
        <w:t>- Test resolution permissions (RLS, consent).</w:t>
      </w:r>
    </w:p>
    <w:p>
      <w:pPr>
        <w:spacing w:after="80" w:line="293" w:lineRule="auto"/>
        <w:ind w:left="283"/>
        <w:jc w:val="left"/>
      </w:pPr>
      <w:r>
        <w:rPr>
          <w:rFonts w:ascii="Times New Roman" w:hAnsi="Times New Roman" w:cs="Times New Roman"/>
          <w:b w:val="0"/>
          <w:i w:val="0"/>
          <w:sz w:val="22"/>
        </w:rPr>
        <w:t>- Test rate limiting (exceed limits → 429).</w:t>
      </w:r>
    </w:p>
    <w:p>
      <w:pPr>
        <w:spacing w:after="80" w:line="293" w:lineRule="auto"/>
        <w:ind w:left="283"/>
        <w:jc w:val="left"/>
      </w:pPr>
      <w:r>
        <w:rPr>
          <w:rFonts w:ascii="Times New Roman" w:hAnsi="Times New Roman" w:cs="Times New Roman"/>
          <w:b w:val="0"/>
          <w:i w:val="0"/>
          <w:sz w:val="22"/>
        </w:rPr>
        <w:t>- Test autocomplete (saved contacts, recent resolutions, unknown GTID warning).</w:t>
      </w:r>
    </w:p>
    <w:p>
      <w:pPr>
        <w:spacing w:after="80" w:line="293" w:lineRule="auto"/>
        <w:ind w:left="283"/>
        <w:jc w:val="left"/>
      </w:pPr>
      <w:r>
        <w:rPr>
          <w:rFonts w:ascii="Times New Roman" w:hAnsi="Times New Roman" w:cs="Times New Roman"/>
          <w:b w:val="0"/>
          <w:i w:val="0"/>
          <w:sz w:val="22"/>
        </w:rPr>
        <w:t>- Test verified identifiers inclusion (with/without consent).</w:t>
      </w:r>
    </w:p>
    <w:p>
      <w:pPr>
        <w:spacing w:after="80" w:line="293" w:lineRule="auto"/>
        <w:ind w:left="283"/>
        <w:jc w:val="left"/>
      </w:pPr>
      <w:r>
        <w:rPr>
          <w:rFonts w:ascii="Times New Roman" w:hAnsi="Times New Roman" w:cs="Times New Roman"/>
          <w:b w:val="0"/>
          <w:i w:val="0"/>
          <w:sz w:val="22"/>
        </w:rPr>
        <w:t>- Test GTID revocation (ARCHIVED/SUSPENDED → 404).</w:t>
      </w:r>
    </w:p>
    <w:p>
      <w:pPr>
        <w:keepNext/>
        <w:spacing w:before="180" w:after="80"/>
        <w:outlineLvl w:val="2"/>
      </w:pPr>
      <w:r>
        <w:rPr>
          <w:rFonts w:ascii="Arial" w:hAnsi="Arial" w:cs="Arial"/>
          <w:b/>
          <w:i w:val="0"/>
          <w:color w:val="333333"/>
          <w:sz w:val="23"/>
        </w:rPr>
        <w:t>4.1.12 AI Authority Summary for Section 4.1</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AI Level</w:t>
            </w:r>
          </w:p>
        </w:tc>
        <w:tc>
          <w:tcPr>
            <w:tcW w:type="dxa" w:w="3213"/>
            <w:shd w:val="clear" w:fill="D9E2F3"/>
          </w:tcPr>
          <w:p>
            <w:pPr>
              <w:spacing w:after="20" w:before="20" w:line="240" w:lineRule="auto"/>
            </w:pPr>
            <w:r/>
            <w:r>
              <w:rPr>
                <w:rFonts w:ascii="Arial" w:hAnsi="Arial" w:cs="Arial"/>
                <w:b/>
                <w:i w:val="0"/>
                <w:sz w:val="18"/>
              </w:rPr>
              <w:t>Use Cases</w:t>
            </w:r>
          </w:p>
        </w:tc>
        <w:tc>
          <w:tcPr>
            <w:tcW w:type="dxa" w:w="3213"/>
            <w:shd w:val="clear" w:fill="D9E2F3"/>
          </w:tcPr>
          <w:p>
            <w:pPr>
              <w:spacing w:after="20" w:before="20" w:line="240" w:lineRule="auto"/>
            </w:pPr>
            <w:r/>
            <w:r>
              <w:rPr>
                <w:rFonts w:ascii="Arial" w:hAnsi="Arial" w:cs="Arial"/>
                <w:b/>
                <w:i w:val="0"/>
                <w:sz w:val="18"/>
              </w:rPr>
              <w:t>Constraint</w:t>
            </w:r>
          </w:p>
        </w:tc>
      </w:tr>
      <w:tr>
        <w:tc>
          <w:tcPr>
            <w:tcW w:type="dxa" w:w="3213"/>
          </w:tcPr>
          <w:p>
            <w:pPr>
              <w:spacing w:after="20" w:before="20" w:line="240" w:lineRule="auto"/>
            </w:pPr>
            <w:r/>
            <w:r>
              <w:rPr>
                <w:rFonts w:ascii="Arial" w:hAnsi="Arial" w:cs="Arial"/>
                <w:b w:val="0"/>
                <w:i w:val="0"/>
                <w:sz w:val="17"/>
              </w:rPr>
              <w:t>A1 (Groq → Ollama)</w:t>
            </w:r>
          </w:p>
        </w:tc>
        <w:tc>
          <w:tcPr>
            <w:tcW w:type="dxa" w:w="3213"/>
          </w:tcPr>
          <w:p>
            <w:pPr>
              <w:spacing w:after="20" w:before="20" w:line="240" w:lineRule="auto"/>
            </w:pPr>
            <w:r/>
            <w:r>
              <w:rPr>
                <w:rFonts w:ascii="Arial" w:hAnsi="Arial" w:cs="Arial"/>
                <w:b w:val="0"/>
                <w:i w:val="0"/>
                <w:sz w:val="17"/>
              </w:rPr>
              <w:t>Autocomplete for GTID entry, trust score tooltip, sanctions badge explanation</w:t>
            </w:r>
          </w:p>
        </w:tc>
        <w:tc>
          <w:tcPr>
            <w:tcW w:type="dxa" w:w="3213"/>
          </w:tcPr>
          <w:p>
            <w:pPr>
              <w:spacing w:after="20" w:before="20" w:line="240" w:lineRule="auto"/>
            </w:pPr>
            <w:r/>
            <w:r>
              <w:rPr>
                <w:rFonts w:ascii="Arial" w:hAnsi="Arial" w:cs="Arial"/>
                <w:b w:val="0"/>
                <w:i w:val="0"/>
                <w:sz w:val="17"/>
              </w:rPr>
              <w:t>Cannot block actions; only suggests</w:t>
            </w:r>
          </w:p>
        </w:tc>
      </w:tr>
      <w:tr>
        <w:tc>
          <w:tcPr>
            <w:tcW w:type="dxa" w:w="3213"/>
          </w:tcPr>
          <w:p>
            <w:pPr>
              <w:spacing w:after="20" w:before="20" w:line="240" w:lineRule="auto"/>
            </w:pPr>
            <w:r/>
            <w:r>
              <w:rPr>
                <w:rFonts w:ascii="Arial" w:hAnsi="Arial" w:cs="Arial"/>
                <w:b w:val="0"/>
                <w:i w:val="0"/>
                <w:sz w:val="17"/>
              </w:rPr>
              <w:t>A2 (HF local → Ollama)</w:t>
            </w:r>
          </w:p>
        </w:tc>
        <w:tc>
          <w:tcPr>
            <w:tcW w:type="dxa" w:w="3213"/>
          </w:tcPr>
          <w:p>
            <w:pPr>
              <w:spacing w:after="20" w:before="20" w:line="240" w:lineRule="auto"/>
            </w:pPr>
            <w:r/>
            <w:r>
              <w:rPr>
                <w:rFonts w:ascii="Arial" w:hAnsi="Arial" w:cs="Arial"/>
                <w:b w:val="0"/>
                <w:i w:val="0"/>
                <w:sz w:val="17"/>
              </w:rPr>
              <w:t>Sanctions screening, PEP detection, trust score calculation (background)</w:t>
            </w:r>
          </w:p>
        </w:tc>
        <w:tc>
          <w:tcPr>
            <w:tcW w:type="dxa" w:w="3213"/>
          </w:tcPr>
          <w:p>
            <w:pPr>
              <w:spacing w:after="20" w:before="20" w:line="240" w:lineRule="auto"/>
            </w:pPr>
            <w:r/>
            <w:r>
              <w:rPr>
                <w:rFonts w:ascii="Arial" w:hAnsi="Arial" w:cs="Arial"/>
                <w:b w:val="0"/>
                <w:i w:val="0"/>
                <w:sz w:val="17"/>
              </w:rPr>
              <w:t>Can flag but cannot auto-block; sanctions badge is informational</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GTID checksum validation, resolution permission enforcement, rate limiting, consent gate</w:t>
            </w:r>
          </w:p>
        </w:tc>
        <w:tc>
          <w:tcPr>
            <w:tcW w:type="dxa" w:w="3213"/>
          </w:tcPr>
          <w:p>
            <w:pPr>
              <w:spacing w:after="20" w:before="20" w:line="240" w:lineRule="auto"/>
            </w:pPr>
            <w:r/>
            <w:r>
              <w:rPr>
                <w:rFonts w:ascii="Arial" w:hAnsi="Arial" w:cs="Arial"/>
                <w:b w:val="0"/>
                <w:i w:val="0"/>
                <w:sz w:val="17"/>
              </w:rPr>
              <w:t>Auto-executes within constitutional bounds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4.2 Tenant Model &amp; KYB Tiers</w:t>
      </w:r>
    </w:p>
    <w:p>
      <w:pPr>
        <w:keepNext/>
        <w:spacing w:before="180" w:after="80"/>
        <w:outlineLvl w:val="2"/>
      </w:pPr>
      <w:r>
        <w:rPr>
          <w:rFonts w:ascii="Arial" w:hAnsi="Arial" w:cs="Arial"/>
          <w:b/>
          <w:i w:val="0"/>
          <w:color w:val="333333"/>
          <w:sz w:val="23"/>
        </w:rPr>
        <w:t>4.2.1 Tenant Record Model</w:t>
      </w:r>
    </w:p>
    <w:p>
      <w:pPr>
        <w:spacing w:after="80" w:line="293" w:lineRule="auto"/>
        <w:jc w:val="left"/>
      </w:pPr>
      <w:r>
        <w:rPr>
          <w:rFonts w:ascii="Times New Roman" w:hAnsi="Times New Roman" w:cs="Times New Roman"/>
          <w:b w:val="0"/>
          <w:i w:val="0"/>
          <w:sz w:val="22"/>
        </w:rPr>
        <w:t>Every organisation on SGTX is represented by a record in the `tenants` table (Section 17). The record carries:</w:t>
      </w:r>
    </w:p>
    <w:p>
      <w:pPr>
        <w:spacing w:after="80" w:line="293" w:lineRule="auto"/>
        <w:ind w:left="283"/>
        <w:jc w:val="left"/>
      </w:pPr>
      <w:r>
        <w:rPr>
          <w:rFonts w:ascii="Times New Roman" w:hAnsi="Times New Roman" w:cs="Times New Roman"/>
          <w:b w:val="0"/>
          <w:i w:val="0"/>
          <w:sz w:val="22"/>
        </w:rPr>
        <w:t>- Identity: `gtid` (unique), `legal_name`, optional `legal_name_ar`, `type` (tenant_type enum: TRD, LSP, SHIP, LAB, QC, FIN, GOV, MP, CBR), `financier_subtype` (BANK, PRIVATE), `lsp_subtype` (TRUCKING, FORWARDER, WAREHOUSING), `jurisdiction`.</w:t>
      </w:r>
    </w:p>
    <w:p>
      <w:pPr>
        <w:spacing w:after="80" w:line="293" w:lineRule="auto"/>
        <w:ind w:left="283"/>
        <w:jc w:val="left"/>
      </w:pPr>
      <w:r>
        <w:rPr>
          <w:rFonts w:ascii="Times New Roman" w:hAnsi="Times New Roman" w:cs="Times New Roman"/>
          <w:b w:val="0"/>
          <w:i w:val="0"/>
          <w:sz w:val="22"/>
        </w:rPr>
        <w:t>- Legal registration: `tax_id`, `commercial_register`.</w:t>
      </w:r>
    </w:p>
    <w:p>
      <w:pPr>
        <w:spacing w:after="80" w:line="293" w:lineRule="auto"/>
        <w:ind w:left="283"/>
        <w:jc w:val="left"/>
      </w:pPr>
      <w:r>
        <w:rPr>
          <w:rFonts w:ascii="Times New Roman" w:hAnsi="Times New Roman" w:cs="Times New Roman"/>
          <w:b w:val="0"/>
          <w:i w:val="0"/>
          <w:sz w:val="22"/>
        </w:rPr>
        <w:t>- Compliance state: `kyb_tier` (default 1), `kyb_status` (default 'PENDING'), `sanctions_cleared` (default false), `pep_status` ('CLEAR', 'ENHANCED_DD', 'BLOCKED').</w:t>
      </w:r>
    </w:p>
    <w:p>
      <w:pPr>
        <w:spacing w:after="80" w:line="293" w:lineRule="auto"/>
        <w:ind w:left="283"/>
        <w:jc w:val="left"/>
      </w:pPr>
      <w:r>
        <w:rPr>
          <w:rFonts w:ascii="Times New Roman" w:hAnsi="Times New Roman" w:cs="Times New Roman"/>
          <w:b w:val="0"/>
          <w:i w:val="0"/>
          <w:sz w:val="22"/>
        </w:rPr>
        <w:t>- Trust: `trust_score` (DECIMAL(5,2)) maintained by the TRI calculator.</w:t>
      </w:r>
    </w:p>
    <w:p>
      <w:pPr>
        <w:spacing w:after="80" w:line="293" w:lineRule="auto"/>
        <w:ind w:left="283"/>
        <w:jc w:val="left"/>
      </w:pPr>
      <w:r>
        <w:rPr>
          <w:rFonts w:ascii="Times New Roman" w:hAnsi="Times New Roman" w:cs="Times New Roman"/>
          <w:b w:val="0"/>
          <w:i w:val="0"/>
          <w:sz w:val="22"/>
        </w:rPr>
        <w:t>- Lifecycle &amp; preferences: `lifecycle_state` (default 'REGISTERED'), `default_trader_mode` (BUY/SELL/DUAL, default DUAL), `consent_settings` (JSONB).</w:t>
      </w:r>
    </w:p>
    <w:p>
      <w:pPr>
        <w:spacing w:after="80" w:line="293" w:lineRule="auto"/>
        <w:ind w:left="283"/>
        <w:jc w:val="left"/>
      </w:pPr>
      <w:r>
        <w:rPr>
          <w:rFonts w:ascii="Times New Roman" w:hAnsi="Times New Roman" w:cs="Times New Roman"/>
          <w:b w:val="0"/>
          <w:i w:val="0"/>
          <w:sz w:val="22"/>
        </w:rPr>
        <w:t>- Verified identifiers: linked rows in `tenant_verified_ids` (LEI, DUNS, CUSTOMS_REG, CHAMBER_REG, VAT_REG), each with status ('PENDING', 'VERIFIED', 'REJECTED', 'EXPIRED'), verification and expiry timestamps, reference URL, and `is_public` consent flag.</w:t>
      </w:r>
    </w:p>
    <w:p>
      <w:pPr>
        <w:keepNext/>
        <w:spacing w:before="180" w:after="80"/>
        <w:outlineLvl w:val="2"/>
      </w:pPr>
      <w:r>
        <w:rPr>
          <w:rFonts w:ascii="Arial" w:hAnsi="Arial" w:cs="Arial"/>
          <w:b/>
          <w:i w:val="0"/>
          <w:color w:val="333333"/>
          <w:sz w:val="23"/>
        </w:rPr>
        <w:t>4.2.2 KYB Tier Model</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Tier</w:t>
            </w:r>
          </w:p>
        </w:tc>
        <w:tc>
          <w:tcPr>
            <w:tcW w:type="dxa" w:w="2409"/>
            <w:shd w:val="clear" w:fill="D9E2F3"/>
          </w:tcPr>
          <w:p>
            <w:pPr>
              <w:spacing w:after="20" w:before="20" w:line="240" w:lineRule="auto"/>
            </w:pPr>
            <w:r/>
            <w:r>
              <w:rPr>
                <w:rFonts w:ascii="Arial" w:hAnsi="Arial" w:cs="Arial"/>
                <w:b/>
                <w:i w:val="0"/>
                <w:sz w:val="18"/>
              </w:rPr>
              <w:t>Name</w:t>
            </w:r>
          </w:p>
        </w:tc>
        <w:tc>
          <w:tcPr>
            <w:tcW w:type="dxa" w:w="2409"/>
            <w:shd w:val="clear" w:fill="D9E2F3"/>
          </w:tcPr>
          <w:p>
            <w:pPr>
              <w:spacing w:after="20" w:before="20" w:line="240" w:lineRule="auto"/>
            </w:pPr>
            <w:r/>
            <w:r>
              <w:rPr>
                <w:rFonts w:ascii="Arial" w:hAnsi="Arial" w:cs="Arial"/>
                <w:b/>
                <w:i w:val="0"/>
                <w:sz w:val="18"/>
              </w:rPr>
              <w:t>Scope</w:t>
            </w:r>
          </w:p>
        </w:tc>
        <w:tc>
          <w:tcPr>
            <w:tcW w:type="dxa" w:w="2409"/>
            <w:shd w:val="clear" w:fill="D9E2F3"/>
          </w:tcPr>
          <w:p>
            <w:pPr>
              <w:spacing w:after="20" w:before="20" w:line="240" w:lineRule="auto"/>
            </w:pPr>
            <w:r/>
            <w:r>
              <w:rPr>
                <w:rFonts w:ascii="Arial" w:hAnsi="Arial" w:cs="Arial"/>
                <w:b/>
                <w:i w:val="0"/>
                <w:sz w:val="18"/>
              </w:rPr>
              <w:t>Typical Requirement</w:t>
            </w:r>
          </w:p>
        </w:tc>
      </w:tr>
      <w:tr>
        <w:tc>
          <w:tcPr>
            <w:tcW w:type="dxa" w:w="2409"/>
          </w:tcPr>
          <w:p>
            <w:pPr>
              <w:spacing w:after="20" w:before="20" w:line="240" w:lineRule="auto"/>
            </w:pPr>
            <w:r/>
            <w:r>
              <w:rPr>
                <w:rFonts w:ascii="Arial" w:hAnsi="Arial" w:cs="Arial"/>
                <w:b w:val="0"/>
                <w:i w:val="0"/>
                <w:sz w:val="17"/>
              </w:rPr>
              <w:t>Tier 1</w:t>
            </w:r>
          </w:p>
        </w:tc>
        <w:tc>
          <w:tcPr>
            <w:tcW w:type="dxa" w:w="2409"/>
          </w:tcPr>
          <w:p>
            <w:pPr>
              <w:spacing w:after="20" w:before="20" w:line="240" w:lineRule="auto"/>
            </w:pPr>
            <w:r/>
            <w:r>
              <w:rPr>
                <w:rFonts w:ascii="Arial" w:hAnsi="Arial" w:cs="Arial"/>
                <w:b w:val="0"/>
                <w:i w:val="0"/>
                <w:sz w:val="17"/>
              </w:rPr>
              <w:t>Basic</w:t>
            </w:r>
          </w:p>
        </w:tc>
        <w:tc>
          <w:tcPr>
            <w:tcW w:type="dxa" w:w="2409"/>
          </w:tcPr>
          <w:p>
            <w:pPr>
              <w:spacing w:after="20" w:before="20" w:line="240" w:lineRule="auto"/>
            </w:pPr>
            <w:r/>
            <w:r>
              <w:rPr>
                <w:rFonts w:ascii="Arial" w:hAnsi="Arial" w:cs="Arial"/>
                <w:b w:val="0"/>
                <w:i w:val="0"/>
                <w:sz w:val="17"/>
              </w:rPr>
              <w:t>Low-risk, API-only participation</w:t>
            </w:r>
          </w:p>
        </w:tc>
        <w:tc>
          <w:tcPr>
            <w:tcW w:type="dxa" w:w="2409"/>
          </w:tcPr>
          <w:p>
            <w:pPr>
              <w:spacing w:after="20" w:before="20" w:line="240" w:lineRule="auto"/>
            </w:pPr>
            <w:r/>
            <w:r>
              <w:rPr>
                <w:rFonts w:ascii="Arial" w:hAnsi="Arial" w:cs="Arial"/>
                <w:b w:val="0"/>
                <w:i w:val="0"/>
                <w:sz w:val="17"/>
              </w:rPr>
              <w:t>Registration + tax ID; signed revenue-share agreement for Marketplace Partners</w:t>
            </w:r>
          </w:p>
        </w:tc>
      </w:tr>
      <w:tr>
        <w:tc>
          <w:tcPr>
            <w:tcW w:type="dxa" w:w="2409"/>
          </w:tcPr>
          <w:p>
            <w:pPr>
              <w:spacing w:after="20" w:before="20" w:line="240" w:lineRule="auto"/>
            </w:pPr>
            <w:r/>
            <w:r>
              <w:rPr>
                <w:rFonts w:ascii="Arial" w:hAnsi="Arial" w:cs="Arial"/>
                <w:b w:val="0"/>
                <w:i w:val="0"/>
                <w:sz w:val="17"/>
              </w:rPr>
              <w:t>Tier 2</w:t>
            </w:r>
          </w:p>
        </w:tc>
        <w:tc>
          <w:tcPr>
            <w:tcW w:type="dxa" w:w="2409"/>
          </w:tcPr>
          <w:p>
            <w:pPr>
              <w:spacing w:after="20" w:before="20" w:line="240" w:lineRule="auto"/>
            </w:pPr>
            <w:r/>
            <w:r>
              <w:rPr>
                <w:rFonts w:ascii="Arial" w:hAnsi="Arial" w:cs="Arial"/>
                <w:b w:val="0"/>
                <w:i w:val="0"/>
                <w:sz w:val="17"/>
              </w:rPr>
              <w:t>Standard</w:t>
            </w:r>
          </w:p>
        </w:tc>
        <w:tc>
          <w:tcPr>
            <w:tcW w:type="dxa" w:w="2409"/>
          </w:tcPr>
          <w:p>
            <w:pPr>
              <w:spacing w:after="20" w:before="20" w:line="240" w:lineRule="auto"/>
            </w:pPr>
            <w:r/>
            <w:r>
              <w:rPr>
                <w:rFonts w:ascii="Arial" w:hAnsi="Arial" w:cs="Arial"/>
                <w:b w:val="0"/>
                <w:i w:val="0"/>
                <w:sz w:val="17"/>
              </w:rPr>
              <w:t>Full trade participation</w:t>
            </w:r>
          </w:p>
        </w:tc>
        <w:tc>
          <w:tcPr>
            <w:tcW w:type="dxa" w:w="2409"/>
          </w:tcPr>
          <w:p>
            <w:pPr>
              <w:spacing w:after="20" w:before="20" w:line="240" w:lineRule="auto"/>
            </w:pPr>
            <w:r/>
            <w:r>
              <w:rPr>
                <w:rFonts w:ascii="Arial" w:hAnsi="Arial" w:cs="Arial"/>
                <w:b w:val="0"/>
                <w:i w:val="0"/>
                <w:sz w:val="17"/>
              </w:rPr>
              <w:t>Commercial register, tax ID, UBO declaration, entity-type-specific documents</w:t>
            </w:r>
          </w:p>
        </w:tc>
      </w:tr>
      <w:tr>
        <w:tc>
          <w:tcPr>
            <w:tcW w:type="dxa" w:w="2409"/>
          </w:tcPr>
          <w:p>
            <w:pPr>
              <w:spacing w:after="20" w:before="20" w:line="240" w:lineRule="auto"/>
            </w:pPr>
            <w:r/>
            <w:r>
              <w:rPr>
                <w:rFonts w:ascii="Arial" w:hAnsi="Arial" w:cs="Arial"/>
                <w:b w:val="0"/>
                <w:i w:val="0"/>
                <w:sz w:val="17"/>
              </w:rPr>
              <w:t>Tier 3</w:t>
            </w:r>
          </w:p>
        </w:tc>
        <w:tc>
          <w:tcPr>
            <w:tcW w:type="dxa" w:w="2409"/>
          </w:tcPr>
          <w:p>
            <w:pPr>
              <w:spacing w:after="20" w:before="20" w:line="240" w:lineRule="auto"/>
            </w:pPr>
            <w:r/>
            <w:r>
              <w:rPr>
                <w:rFonts w:ascii="Arial" w:hAnsi="Arial" w:cs="Arial"/>
                <w:b w:val="0"/>
                <w:i w:val="0"/>
                <w:sz w:val="17"/>
              </w:rPr>
              <w:t>Enhanced</w:t>
            </w:r>
          </w:p>
        </w:tc>
        <w:tc>
          <w:tcPr>
            <w:tcW w:type="dxa" w:w="2409"/>
          </w:tcPr>
          <w:p>
            <w:pPr>
              <w:spacing w:after="20" w:before="20" w:line="240" w:lineRule="auto"/>
            </w:pPr>
            <w:r/>
            <w:r>
              <w:rPr>
                <w:rFonts w:ascii="Arial" w:hAnsi="Arial" w:cs="Arial"/>
                <w:b w:val="0"/>
                <w:i w:val="0"/>
                <w:sz w:val="17"/>
              </w:rPr>
              <w:t>Banks and high-risk financiers</w:t>
            </w:r>
          </w:p>
        </w:tc>
        <w:tc>
          <w:tcPr>
            <w:tcW w:type="dxa" w:w="2409"/>
          </w:tcPr>
          <w:p>
            <w:pPr>
              <w:spacing w:after="20" w:before="20" w:line="240" w:lineRule="auto"/>
            </w:pPr>
            <w:r/>
            <w:r>
              <w:rPr>
                <w:rFonts w:ascii="Arial" w:hAnsi="Arial" w:cs="Arial"/>
                <w:b w:val="0"/>
                <w:i w:val="0"/>
                <w:sz w:val="17"/>
              </w:rPr>
              <w:t>CBE accreditation (Egypt) or equivalent, compliance officer, jurisdiction-dependent documentation</w:t>
            </w:r>
          </w:p>
        </w:tc>
      </w:tr>
      <w:tr>
        <w:tc>
          <w:tcPr>
            <w:tcW w:type="dxa" w:w="2409"/>
          </w:tcPr>
          <w:p>
            <w:pPr>
              <w:spacing w:after="20" w:before="20" w:line="240" w:lineRule="auto"/>
            </w:pPr>
            <w:r/>
            <w:r>
              <w:rPr>
                <w:rFonts w:ascii="Arial" w:hAnsi="Arial" w:cs="Arial"/>
                <w:b w:val="0"/>
                <w:i w:val="0"/>
                <w:sz w:val="17"/>
              </w:rPr>
              <w:t>Diplomatic channel</w:t>
            </w:r>
          </w:p>
        </w:tc>
        <w:tc>
          <w:tcPr>
            <w:tcW w:type="dxa" w:w="2409"/>
          </w:tcPr>
          <w:p>
            <w:pPr>
              <w:spacing w:after="20" w:before="20" w:line="240" w:lineRule="auto"/>
            </w:pPr>
            <w:r/>
            <w:r>
              <w:rPr>
                <w:rFonts w:ascii="Arial" w:hAnsi="Arial" w:cs="Arial"/>
                <w:b w:val="0"/>
                <w:i w:val="0"/>
                <w:sz w:val="17"/>
              </w:rPr>
              <w:t>Government</w:t>
            </w:r>
          </w:p>
        </w:tc>
        <w:tc>
          <w:tcPr>
            <w:tcW w:type="dxa" w:w="2409"/>
          </w:tcPr>
          <w:p>
            <w:pPr>
              <w:spacing w:after="20" w:before="20" w:line="240" w:lineRule="auto"/>
            </w:pPr>
            <w:r/>
            <w:r>
              <w:rPr>
                <w:rFonts w:ascii="Arial" w:hAnsi="Arial" w:cs="Arial"/>
                <w:b w:val="0"/>
                <w:i w:val="0"/>
                <w:sz w:val="17"/>
              </w:rPr>
              <w:t>GOV tenants</w:t>
            </w:r>
          </w:p>
        </w:tc>
        <w:tc>
          <w:tcPr>
            <w:tcW w:type="dxa" w:w="2409"/>
          </w:tcPr>
          <w:p>
            <w:pPr>
              <w:spacing w:after="20" w:before="20" w:line="240" w:lineRule="auto"/>
            </w:pPr>
            <w:r/>
            <w:r>
              <w:rPr>
                <w:rFonts w:ascii="Arial" w:hAnsi="Arial" w:cs="Arial"/>
                <w:b w:val="0"/>
                <w:i w:val="0"/>
                <w:sz w:val="17"/>
              </w:rPr>
              <w:t>Manual onboarding via Platform Governance Authority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4.2.3 KYB Tier Requirements per Portal</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Portal</w:t>
            </w:r>
          </w:p>
        </w:tc>
        <w:tc>
          <w:tcPr>
            <w:tcW w:type="dxa" w:w="3213"/>
            <w:shd w:val="clear" w:fill="D9E2F3"/>
          </w:tcPr>
          <w:p>
            <w:pPr>
              <w:spacing w:after="20" w:before="20" w:line="240" w:lineRule="auto"/>
            </w:pPr>
            <w:r/>
            <w:r>
              <w:rPr>
                <w:rFonts w:ascii="Arial" w:hAnsi="Arial" w:cs="Arial"/>
                <w:b/>
                <w:i w:val="0"/>
                <w:sz w:val="18"/>
              </w:rPr>
              <w:t>Required KYB/KYC Tier</w:t>
            </w:r>
          </w:p>
        </w:tc>
        <w:tc>
          <w:tcPr>
            <w:tcW w:type="dxa" w:w="3213"/>
            <w:shd w:val="clear" w:fill="D9E2F3"/>
          </w:tcPr>
          <w:p>
            <w:pPr>
              <w:spacing w:after="20" w:before="20" w:line="240" w:lineRule="auto"/>
            </w:pPr>
            <w:r/>
            <w:r>
              <w:rPr>
                <w:rFonts w:ascii="Arial" w:hAnsi="Arial" w:cs="Arial"/>
                <w:b/>
                <w:i w:val="0"/>
                <w:sz w:val="18"/>
              </w:rPr>
              <w:t>Additional Requirements</w:t>
            </w:r>
          </w:p>
        </w:tc>
      </w:tr>
      <w:tr>
        <w:tc>
          <w:tcPr>
            <w:tcW w:type="dxa" w:w="3213"/>
          </w:tcPr>
          <w:p>
            <w:pPr>
              <w:spacing w:after="20" w:before="20" w:line="240" w:lineRule="auto"/>
            </w:pPr>
            <w:r/>
            <w:r>
              <w:rPr>
                <w:rFonts w:ascii="Arial" w:hAnsi="Arial" w:cs="Arial"/>
                <w:b w:val="0"/>
                <w:i w:val="0"/>
                <w:sz w:val="17"/>
              </w:rPr>
              <w:t>Trader (Buyer/Seller)</w:t>
            </w:r>
          </w:p>
        </w:tc>
        <w:tc>
          <w:tcPr>
            <w:tcW w:type="dxa" w:w="3213"/>
          </w:tcPr>
          <w:p>
            <w:pPr>
              <w:spacing w:after="20" w:before="20" w:line="240" w:lineRule="auto"/>
            </w:pPr>
            <w:r/>
            <w:r>
              <w:rPr>
                <w:rFonts w:ascii="Arial" w:hAnsi="Arial" w:cs="Arial"/>
                <w:b w:val="0"/>
                <w:i w:val="0"/>
                <w:sz w:val="17"/>
              </w:rPr>
              <w:t>Tier 2 (Standard) or Tier 1 (low-risk only)</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Logistics (LSP)</w:t>
            </w:r>
          </w:p>
        </w:tc>
        <w:tc>
          <w:tcPr>
            <w:tcW w:type="dxa" w:w="3213"/>
          </w:tcPr>
          <w:p>
            <w:pPr>
              <w:spacing w:after="20" w:before="20" w:line="240" w:lineRule="auto"/>
            </w:pPr>
            <w:r/>
            <w:r>
              <w:rPr>
                <w:rFonts w:ascii="Arial" w:hAnsi="Arial" w:cs="Arial"/>
                <w:b w:val="0"/>
                <w:i w:val="0"/>
                <w:sz w:val="17"/>
              </w:rPr>
              <w:t>Tier 2</w:t>
            </w:r>
          </w:p>
        </w:tc>
        <w:tc>
          <w:tcPr>
            <w:tcW w:type="dxa" w:w="3213"/>
          </w:tcPr>
          <w:p>
            <w:pPr>
              <w:spacing w:after="20" w:before="20" w:line="240" w:lineRule="auto"/>
            </w:pPr>
            <w:r/>
            <w:r>
              <w:rPr>
                <w:rFonts w:ascii="Arial" w:hAnsi="Arial" w:cs="Arial"/>
                <w:b w:val="0"/>
                <w:i w:val="0"/>
                <w:sz w:val="17"/>
              </w:rPr>
              <w:t>Business licence, insurance, fleet list (trucking)</w:t>
            </w:r>
          </w:p>
        </w:tc>
      </w:tr>
      <w:tr>
        <w:tc>
          <w:tcPr>
            <w:tcW w:type="dxa" w:w="3213"/>
          </w:tcPr>
          <w:p>
            <w:pPr>
              <w:spacing w:after="20" w:before="20" w:line="240" w:lineRule="auto"/>
            </w:pPr>
            <w:r/>
            <w:r>
              <w:rPr>
                <w:rFonts w:ascii="Arial" w:hAnsi="Arial" w:cs="Arial"/>
                <w:b w:val="0"/>
                <w:i w:val="0"/>
                <w:sz w:val="17"/>
              </w:rPr>
              <w:t>Shipping Line</w:t>
            </w:r>
          </w:p>
        </w:tc>
        <w:tc>
          <w:tcPr>
            <w:tcW w:type="dxa" w:w="3213"/>
          </w:tcPr>
          <w:p>
            <w:pPr>
              <w:spacing w:after="20" w:before="20" w:line="240" w:lineRule="auto"/>
            </w:pPr>
            <w:r/>
            <w:r>
              <w:rPr>
                <w:rFonts w:ascii="Arial" w:hAnsi="Arial" w:cs="Arial"/>
                <w:b w:val="0"/>
                <w:i w:val="0"/>
                <w:sz w:val="17"/>
              </w:rPr>
              <w:t>Tier 2</w:t>
            </w:r>
          </w:p>
        </w:tc>
        <w:tc>
          <w:tcPr>
            <w:tcW w:type="dxa" w:w="3213"/>
          </w:tcPr>
          <w:p>
            <w:pPr>
              <w:spacing w:after="20" w:before="20" w:line="240" w:lineRule="auto"/>
            </w:pPr>
            <w:r/>
            <w:r>
              <w:rPr>
                <w:rFonts w:ascii="Arial" w:hAnsi="Arial" w:cs="Arial"/>
                <w:b w:val="0"/>
                <w:i w:val="0"/>
                <w:sz w:val="17"/>
              </w:rPr>
              <w:t>IMO number, vessel registry, eBL platform</w:t>
            </w:r>
          </w:p>
        </w:tc>
      </w:tr>
      <w:tr>
        <w:tc>
          <w:tcPr>
            <w:tcW w:type="dxa" w:w="3213"/>
          </w:tcPr>
          <w:p>
            <w:pPr>
              <w:spacing w:after="20" w:before="20" w:line="240" w:lineRule="auto"/>
            </w:pPr>
            <w:r/>
            <w:r>
              <w:rPr>
                <w:rFonts w:ascii="Arial" w:hAnsi="Arial" w:cs="Arial"/>
                <w:b w:val="0"/>
                <w:i w:val="0"/>
                <w:sz w:val="17"/>
              </w:rPr>
              <w:t>Laboratory</w:t>
            </w:r>
          </w:p>
        </w:tc>
        <w:tc>
          <w:tcPr>
            <w:tcW w:type="dxa" w:w="3213"/>
          </w:tcPr>
          <w:p>
            <w:pPr>
              <w:spacing w:after="20" w:before="20" w:line="240" w:lineRule="auto"/>
            </w:pPr>
            <w:r/>
            <w:r>
              <w:rPr>
                <w:rFonts w:ascii="Arial" w:hAnsi="Arial" w:cs="Arial"/>
                <w:b w:val="0"/>
                <w:i w:val="0"/>
                <w:sz w:val="17"/>
              </w:rPr>
              <w:t>Tier 2</w:t>
            </w:r>
          </w:p>
        </w:tc>
        <w:tc>
          <w:tcPr>
            <w:tcW w:type="dxa" w:w="3213"/>
          </w:tcPr>
          <w:p>
            <w:pPr>
              <w:spacing w:after="20" w:before="20" w:line="240" w:lineRule="auto"/>
            </w:pPr>
            <w:r/>
            <w:r>
              <w:rPr>
                <w:rFonts w:ascii="Arial" w:hAnsi="Arial" w:cs="Arial"/>
                <w:b w:val="0"/>
                <w:i w:val="0"/>
                <w:sz w:val="17"/>
              </w:rPr>
              <w:t>ISO 17025 certificate</w:t>
            </w:r>
          </w:p>
        </w:tc>
      </w:tr>
      <w:tr>
        <w:tc>
          <w:tcPr>
            <w:tcW w:type="dxa" w:w="3213"/>
          </w:tcPr>
          <w:p>
            <w:pPr>
              <w:spacing w:after="20" w:before="20" w:line="240" w:lineRule="auto"/>
            </w:pPr>
            <w:r/>
            <w:r>
              <w:rPr>
                <w:rFonts w:ascii="Arial" w:hAnsi="Arial" w:cs="Arial"/>
                <w:b w:val="0"/>
                <w:i w:val="0"/>
                <w:sz w:val="17"/>
              </w:rPr>
              <w:t>QC</w:t>
            </w:r>
          </w:p>
        </w:tc>
        <w:tc>
          <w:tcPr>
            <w:tcW w:type="dxa" w:w="3213"/>
          </w:tcPr>
          <w:p>
            <w:pPr>
              <w:spacing w:after="20" w:before="20" w:line="240" w:lineRule="auto"/>
            </w:pPr>
            <w:r/>
            <w:r>
              <w:rPr>
                <w:rFonts w:ascii="Arial" w:hAnsi="Arial" w:cs="Arial"/>
                <w:b w:val="0"/>
                <w:i w:val="0"/>
                <w:sz w:val="17"/>
              </w:rPr>
              <w:t>Tier 2</w:t>
            </w:r>
          </w:p>
        </w:tc>
        <w:tc>
          <w:tcPr>
            <w:tcW w:type="dxa" w:w="3213"/>
          </w:tcPr>
          <w:p>
            <w:pPr>
              <w:spacing w:after="20" w:before="20" w:line="240" w:lineRule="auto"/>
            </w:pPr>
            <w:r/>
            <w:r>
              <w:rPr>
                <w:rFonts w:ascii="Arial" w:hAnsi="Arial" w:cs="Arial"/>
                <w:b w:val="0"/>
                <w:i w:val="0"/>
                <w:sz w:val="17"/>
              </w:rPr>
              <w:t>ISO 17020 certificate</w:t>
            </w:r>
          </w:p>
        </w:tc>
      </w:tr>
      <w:tr>
        <w:tc>
          <w:tcPr>
            <w:tcW w:type="dxa" w:w="3213"/>
          </w:tcPr>
          <w:p>
            <w:pPr>
              <w:spacing w:after="20" w:before="20" w:line="240" w:lineRule="auto"/>
            </w:pPr>
            <w:r/>
            <w:r>
              <w:rPr>
                <w:rFonts w:ascii="Arial" w:hAnsi="Arial" w:cs="Arial"/>
                <w:b w:val="0"/>
                <w:i w:val="0"/>
                <w:sz w:val="17"/>
              </w:rPr>
              <w:t>Customs Broker</w:t>
            </w:r>
          </w:p>
        </w:tc>
        <w:tc>
          <w:tcPr>
            <w:tcW w:type="dxa" w:w="3213"/>
          </w:tcPr>
          <w:p>
            <w:pPr>
              <w:spacing w:after="20" w:before="20" w:line="240" w:lineRule="auto"/>
            </w:pPr>
            <w:r/>
            <w:r>
              <w:rPr>
                <w:rFonts w:ascii="Arial" w:hAnsi="Arial" w:cs="Arial"/>
                <w:b w:val="0"/>
                <w:i w:val="0"/>
                <w:sz w:val="17"/>
              </w:rPr>
              <w:t>Tier 2</w:t>
            </w:r>
          </w:p>
        </w:tc>
        <w:tc>
          <w:tcPr>
            <w:tcW w:type="dxa" w:w="3213"/>
          </w:tcPr>
          <w:p>
            <w:pPr>
              <w:spacing w:after="20" w:before="20" w:line="240" w:lineRule="auto"/>
            </w:pPr>
            <w:r/>
            <w:r>
              <w:rPr>
                <w:rFonts w:ascii="Arial" w:hAnsi="Arial" w:cs="Arial"/>
                <w:b w:val="0"/>
                <w:i w:val="0"/>
                <w:sz w:val="17"/>
              </w:rPr>
              <w:t>Broker licence, bond, insurance</w:t>
            </w:r>
          </w:p>
        </w:tc>
      </w:tr>
      <w:tr>
        <w:tc>
          <w:tcPr>
            <w:tcW w:type="dxa" w:w="3213"/>
          </w:tcPr>
          <w:p>
            <w:pPr>
              <w:spacing w:after="20" w:before="20" w:line="240" w:lineRule="auto"/>
            </w:pPr>
            <w:r/>
            <w:r>
              <w:rPr>
                <w:rFonts w:ascii="Arial" w:hAnsi="Arial" w:cs="Arial"/>
                <w:b w:val="0"/>
                <w:i w:val="0"/>
                <w:sz w:val="17"/>
              </w:rPr>
              <w:t>Financier (Bank)</w:t>
            </w:r>
          </w:p>
        </w:tc>
        <w:tc>
          <w:tcPr>
            <w:tcW w:type="dxa" w:w="3213"/>
          </w:tcPr>
          <w:p>
            <w:pPr>
              <w:spacing w:after="20" w:before="20" w:line="240" w:lineRule="auto"/>
            </w:pPr>
            <w:r/>
            <w:r>
              <w:rPr>
                <w:rFonts w:ascii="Arial" w:hAnsi="Arial" w:cs="Arial"/>
                <w:b w:val="0"/>
                <w:i w:val="0"/>
                <w:sz w:val="17"/>
              </w:rPr>
              <w:t>Tier 3</w:t>
            </w:r>
          </w:p>
        </w:tc>
        <w:tc>
          <w:tcPr>
            <w:tcW w:type="dxa" w:w="3213"/>
          </w:tcPr>
          <w:p>
            <w:pPr>
              <w:spacing w:after="20" w:before="20" w:line="240" w:lineRule="auto"/>
            </w:pPr>
            <w:r/>
            <w:r>
              <w:rPr>
                <w:rFonts w:ascii="Arial" w:hAnsi="Arial" w:cs="Arial"/>
                <w:b w:val="0"/>
                <w:i w:val="0"/>
                <w:sz w:val="17"/>
              </w:rPr>
              <w:t>CBE accreditation, compliance officer</w:t>
            </w:r>
          </w:p>
        </w:tc>
      </w:tr>
      <w:tr>
        <w:tc>
          <w:tcPr>
            <w:tcW w:type="dxa" w:w="3213"/>
          </w:tcPr>
          <w:p>
            <w:pPr>
              <w:spacing w:after="20" w:before="20" w:line="240" w:lineRule="auto"/>
            </w:pPr>
            <w:r/>
            <w:r>
              <w:rPr>
                <w:rFonts w:ascii="Arial" w:hAnsi="Arial" w:cs="Arial"/>
                <w:b w:val="0"/>
                <w:i w:val="0"/>
                <w:sz w:val="17"/>
              </w:rPr>
              <w:t>Financier (PFI)</w:t>
            </w:r>
          </w:p>
        </w:tc>
        <w:tc>
          <w:tcPr>
            <w:tcW w:type="dxa" w:w="3213"/>
          </w:tcPr>
          <w:p>
            <w:pPr>
              <w:spacing w:after="20" w:before="20" w:line="240" w:lineRule="auto"/>
            </w:pPr>
            <w:r/>
            <w:r>
              <w:rPr>
                <w:rFonts w:ascii="Arial" w:hAnsi="Arial" w:cs="Arial"/>
                <w:b w:val="0"/>
                <w:i w:val="0"/>
                <w:sz w:val="17"/>
              </w:rPr>
              <w:t>Tier 2 (or Tier 3 depending on jurisdiction)</w:t>
            </w:r>
          </w:p>
        </w:tc>
        <w:tc>
          <w:tcPr>
            <w:tcW w:type="dxa" w:w="3213"/>
          </w:tcPr>
          <w:p>
            <w:pPr>
              <w:spacing w:after="20" w:before="20" w:line="240" w:lineRule="auto"/>
            </w:pPr>
            <w:r/>
            <w:r>
              <w:rPr>
                <w:rFonts w:ascii="Arial" w:hAnsi="Arial" w:cs="Arial"/>
                <w:b w:val="0"/>
                <w:i w:val="0"/>
                <w:sz w:val="17"/>
              </w:rPr>
              <w:t>Proof of registration/exemption</w:t>
            </w:r>
          </w:p>
        </w:tc>
      </w:tr>
      <w:tr>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Diplomatic channel</w:t>
            </w:r>
          </w:p>
        </w:tc>
        <w:tc>
          <w:tcPr>
            <w:tcW w:type="dxa" w:w="3213"/>
          </w:tcPr>
          <w:p>
            <w:pPr>
              <w:spacing w:after="20" w:before="20" w:line="240" w:lineRule="auto"/>
            </w:pPr>
            <w:r/>
            <w:r>
              <w:rPr>
                <w:rFonts w:ascii="Arial" w:hAnsi="Arial" w:cs="Arial"/>
                <w:b w:val="0"/>
                <w:i w:val="0"/>
                <w:sz w:val="17"/>
              </w:rPr>
              <w:t>Manual onboarding via Platform Governance Authority</w:t>
            </w:r>
          </w:p>
        </w:tc>
      </w:tr>
      <w:tr>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w:t>
            </w:r>
          </w:p>
        </w:tc>
        <w:tc>
          <w:tcPr>
            <w:tcW w:type="dxa" w:w="3213"/>
          </w:tcPr>
          <w:p>
            <w:pPr>
              <w:spacing w:after="20" w:before="20" w:line="240" w:lineRule="auto"/>
            </w:pPr>
            <w:r/>
            <w:r>
              <w:rPr>
                <w:rFonts w:ascii="Arial" w:hAnsi="Arial" w:cs="Arial"/>
                <w:b w:val="0"/>
                <w:i w:val="0"/>
                <w:sz w:val="17"/>
              </w:rPr>
              <w:t>Multisig member (3/5)</w:t>
            </w:r>
          </w:p>
        </w:tc>
      </w:tr>
      <w:tr>
        <w:tc>
          <w:tcPr>
            <w:tcW w:type="dxa" w:w="3213"/>
          </w:tcPr>
          <w:p>
            <w:pPr>
              <w:spacing w:after="20" w:before="20" w:line="240" w:lineRule="auto"/>
            </w:pPr>
            <w:r/>
            <w:r>
              <w:rPr>
                <w:rFonts w:ascii="Arial" w:hAnsi="Arial" w:cs="Arial"/>
                <w:b w:val="0"/>
                <w:i w:val="0"/>
                <w:sz w:val="17"/>
              </w:rPr>
              <w:t>Marketplace Partner</w:t>
            </w:r>
          </w:p>
        </w:tc>
        <w:tc>
          <w:tcPr>
            <w:tcW w:type="dxa" w:w="3213"/>
          </w:tcPr>
          <w:p>
            <w:pPr>
              <w:spacing w:after="20" w:before="20" w:line="240" w:lineRule="auto"/>
            </w:pPr>
            <w:r/>
            <w:r>
              <w:rPr>
                <w:rFonts w:ascii="Arial" w:hAnsi="Arial" w:cs="Arial"/>
                <w:b w:val="0"/>
                <w:i w:val="0"/>
                <w:sz w:val="17"/>
              </w:rPr>
              <w:t>Tier 1 (Basic)</w:t>
            </w:r>
          </w:p>
        </w:tc>
        <w:tc>
          <w:tcPr>
            <w:tcW w:type="dxa" w:w="3213"/>
          </w:tcPr>
          <w:p>
            <w:pPr>
              <w:spacing w:after="20" w:before="20" w:line="240" w:lineRule="auto"/>
            </w:pPr>
            <w:r/>
            <w:r>
              <w:rPr>
                <w:rFonts w:ascii="Arial" w:hAnsi="Arial" w:cs="Arial"/>
                <w:b w:val="0"/>
                <w:i w:val="0"/>
                <w:sz w:val="17"/>
              </w:rPr>
              <w:t>Signed revenue-share agreement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4.2.4 KYB Status Model</w:t>
      </w:r>
    </w:p>
    <w:p>
      <w:pPr>
        <w:spacing w:after="80" w:line="293" w:lineRule="auto"/>
        <w:ind w:left="283"/>
        <w:jc w:val="left"/>
      </w:pPr>
      <w:r>
        <w:rPr>
          <w:rFonts w:ascii="Times New Roman" w:hAnsi="Times New Roman" w:cs="Times New Roman"/>
          <w:b w:val="0"/>
          <w:i w:val="0"/>
          <w:sz w:val="22"/>
        </w:rPr>
        <w:t>- PENDING — initial state; documents not yet submitted.</w:t>
      </w:r>
    </w:p>
    <w:p>
      <w:pPr>
        <w:spacing w:after="80" w:line="293" w:lineRule="auto"/>
        <w:ind w:left="283"/>
        <w:jc w:val="left"/>
      </w:pPr>
      <w:r>
        <w:rPr>
          <w:rFonts w:ascii="Times New Roman" w:hAnsi="Times New Roman" w:cs="Times New Roman"/>
          <w:b w:val="0"/>
          <w:i w:val="0"/>
          <w:sz w:val="22"/>
        </w:rPr>
        <w:t>- VERIFIED — all required documents verified (auto-verified at confidence ≥90% with registry match, or manually approved).</w:t>
      </w:r>
    </w:p>
    <w:p>
      <w:pPr>
        <w:spacing w:after="80" w:line="293" w:lineRule="auto"/>
        <w:ind w:left="283"/>
        <w:jc w:val="left"/>
      </w:pPr>
      <w:r>
        <w:rPr>
          <w:rFonts w:ascii="Times New Roman" w:hAnsi="Times New Roman" w:cs="Times New Roman"/>
          <w:b w:val="0"/>
          <w:i w:val="0"/>
          <w:sz w:val="22"/>
        </w:rPr>
        <w:t>- Manual review required — confidence &lt;85% or registry unavailable; escalates to A3 human review.</w:t>
      </w:r>
    </w:p>
    <w:p>
      <w:pPr>
        <w:spacing w:after="80" w:line="293" w:lineRule="auto"/>
        <w:ind w:left="283"/>
        <w:jc w:val="left"/>
      </w:pPr>
      <w:r>
        <w:rPr>
          <w:rFonts w:ascii="Times New Roman" w:hAnsi="Times New Roman" w:cs="Times New Roman"/>
          <w:b w:val="0"/>
          <w:i w:val="0"/>
          <w:sz w:val="22"/>
        </w:rPr>
        <w:t>- REJECTED — mismatch with official records; the tenant may appeal.</w:t>
      </w:r>
    </w:p>
    <w:p>
      <w:pPr>
        <w:spacing w:after="80" w:line="293" w:lineRule="auto"/>
        <w:jc w:val="left"/>
      </w:pPr>
      <w:r>
        <w:rPr>
          <w:rFonts w:ascii="Times New Roman" w:hAnsi="Times New Roman" w:cs="Times New Roman"/>
          <w:b w:val="0"/>
          <w:i w:val="0"/>
          <w:sz w:val="22"/>
        </w:rPr>
        <w:t>KYB verification is layered on the tenant lifecycle (see Section 4.10): a tenant in KYB_PENDING may use the sandbox but cannot create real trades.</w:t>
      </w:r>
    </w:p>
    <w:p>
      <w:pPr>
        <w:keepNext/>
        <w:spacing w:before="180" w:after="80"/>
        <w:outlineLvl w:val="2"/>
      </w:pPr>
      <w:r>
        <w:rPr>
          <w:rFonts w:ascii="Arial" w:hAnsi="Arial" w:cs="Arial"/>
          <w:b/>
          <w:i w:val="0"/>
          <w:color w:val="333333"/>
          <w:sz w:val="23"/>
        </w:rPr>
        <w:t>4.2.5 Sanctions &amp; PEP Screening</w:t>
      </w:r>
    </w:p>
    <w:p>
      <w:pPr>
        <w:spacing w:after="80" w:line="293" w:lineRule="auto"/>
        <w:ind w:left="283"/>
        <w:jc w:val="left"/>
      </w:pPr>
      <w:r>
        <w:rPr>
          <w:rFonts w:ascii="Times New Roman" w:hAnsi="Times New Roman" w:cs="Times New Roman"/>
          <w:b w:val="0"/>
          <w:i w:val="0"/>
          <w:sz w:val="22"/>
        </w:rPr>
        <w:t>- Sanctions and PEP screening runs on tenant onboarding and re-runs on list updates.</w:t>
      </w:r>
    </w:p>
    <w:p>
      <w:pPr>
        <w:spacing w:after="80" w:line="293" w:lineRule="auto"/>
        <w:ind w:left="283"/>
        <w:jc w:val="left"/>
      </w:pPr>
      <w:r>
        <w:rPr>
          <w:rFonts w:ascii="Times New Roman" w:hAnsi="Times New Roman" w:cs="Times New Roman"/>
          <w:b w:val="0"/>
          <w:i w:val="0"/>
          <w:sz w:val="22"/>
        </w:rPr>
        <w:t>- A sanctions hit moves the tenant to SUSPENDED and sets `sanctions_cleared: false`; resolution responses show the sanctions flag.</w:t>
      </w:r>
    </w:p>
    <w:p>
      <w:pPr>
        <w:spacing w:after="80" w:line="293" w:lineRule="auto"/>
        <w:ind w:left="283"/>
        <w:jc w:val="left"/>
      </w:pPr>
      <w:r>
        <w:rPr>
          <w:rFonts w:ascii="Times New Roman" w:hAnsi="Times New Roman" w:cs="Times New Roman"/>
          <w:b w:val="0"/>
          <w:i w:val="0"/>
          <w:sz w:val="22"/>
        </w:rPr>
        <w:t>- A PEP flag sets `pep_status: 'ENHANCED_DD'` and requires enhanced due diligence before the tenant can progress to VERIFIED.</w:t>
      </w:r>
    </w:p>
    <w:p>
      <w:pPr>
        <w:spacing w:after="80" w:line="293" w:lineRule="auto"/>
        <w:ind w:left="283"/>
        <w:jc w:val="left"/>
      </w:pPr>
      <w:r>
        <w:rPr>
          <w:rFonts w:ascii="Times New Roman" w:hAnsi="Times New Roman" w:cs="Times New Roman"/>
          <w:b w:val="0"/>
          <w:i w:val="0"/>
          <w:sz w:val="22"/>
        </w:rPr>
        <w:t>- Screening is performed by A2 (HF local) — the badge is informational; the Governor decides enforcement.</w:t>
      </w:r>
    </w:p>
    <w:p>
      <w:pPr>
        <w:keepNext/>
        <w:spacing w:before="180" w:after="80"/>
        <w:outlineLvl w:val="2"/>
      </w:pPr>
      <w:r>
        <w:rPr>
          <w:rFonts w:ascii="Arial" w:hAnsi="Arial" w:cs="Arial"/>
          <w:b/>
          <w:i w:val="0"/>
          <w:color w:val="333333"/>
          <w:sz w:val="23"/>
        </w:rPr>
        <w:t>4.2.6 Registry Source Classification Model</w:t>
      </w:r>
    </w:p>
    <w:p>
      <w:pPr>
        <w:spacing w:after="80" w:line="293" w:lineRule="auto"/>
        <w:jc w:val="left"/>
      </w:pPr>
      <w:r>
        <w:rPr>
          <w:rFonts w:ascii="Times New Roman" w:hAnsi="Times New Roman" w:cs="Times New Roman"/>
          <w:b w:val="0"/>
          <w:i w:val="0"/>
          <w:sz w:val="22"/>
        </w:rPr>
        <w:t>Every external registry used for KYB/KYC verification is classified by source type, and the classification governs how its data may be used in compliance decisions. The five source types, in descending order of authority, are: Authoritative API (a direct integration with the official registry operator); Licensed commercial source (a paid data provider operating under licence); Official published data (officially published registers, gazettes, and lists); Verified manual evidence (documents verified by the compliance team); and Secondary source (aggregated or indirect data). Scraping a public web page is never equivalent to an official API integration and must never be represented as such in the tenant record, the audit log, or any user-facing status.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Source Type</w:t>
            </w:r>
          </w:p>
        </w:tc>
        <w:tc>
          <w:tcPr>
            <w:tcW w:type="dxa" w:w="3213"/>
            <w:shd w:val="clear" w:fill="D9E2F3"/>
          </w:tcPr>
          <w:p>
            <w:pPr>
              <w:spacing w:after="20" w:before="20" w:line="240" w:lineRule="auto"/>
            </w:pPr>
            <w:r/>
            <w:r>
              <w:rPr>
                <w:rFonts w:ascii="Arial" w:hAnsi="Arial" w:cs="Arial"/>
                <w:b/>
                <w:i w:val="0"/>
                <w:sz w:val="18"/>
              </w:rPr>
              <w:t>Verification Semantics</w:t>
            </w:r>
          </w:p>
        </w:tc>
        <w:tc>
          <w:tcPr>
            <w:tcW w:type="dxa" w:w="3213"/>
            <w:shd w:val="clear" w:fill="D9E2F3"/>
          </w:tcPr>
          <w:p>
            <w:pPr>
              <w:spacing w:after="20" w:before="20" w:line="240" w:lineRule="auto"/>
            </w:pPr>
            <w:r/>
            <w:r>
              <w:rPr>
                <w:rFonts w:ascii="Arial" w:hAnsi="Arial" w:cs="Arial"/>
                <w:b/>
                <w:i w:val="0"/>
                <w:sz w:val="18"/>
              </w:rPr>
              <w:t>Permissible Use</w:t>
            </w:r>
          </w:p>
        </w:tc>
      </w:tr>
      <w:tr>
        <w:tc>
          <w:tcPr>
            <w:tcW w:type="dxa" w:w="3213"/>
          </w:tcPr>
          <w:p>
            <w:pPr>
              <w:spacing w:after="20" w:before="20" w:line="240" w:lineRule="auto"/>
            </w:pPr>
            <w:r/>
            <w:r>
              <w:rPr>
                <w:rFonts w:ascii="Arial" w:hAnsi="Arial" w:cs="Arial"/>
                <w:b w:val="0"/>
                <w:i w:val="0"/>
                <w:sz w:val="17"/>
              </w:rPr>
              <w:t>Authoritative API</w:t>
            </w:r>
          </w:p>
        </w:tc>
        <w:tc>
          <w:tcPr>
            <w:tcW w:type="dxa" w:w="3213"/>
          </w:tcPr>
          <w:p>
            <w:pPr>
              <w:spacing w:after="20" w:before="20" w:line="240" w:lineRule="auto"/>
            </w:pPr>
            <w:r/>
            <w:r>
              <w:rPr>
                <w:rFonts w:ascii="Arial" w:hAnsi="Arial" w:cs="Arial"/>
                <w:b w:val="0"/>
                <w:i w:val="0"/>
                <w:sz w:val="17"/>
              </w:rPr>
              <w:t>Real-time response from the registry operator; confirmation ID stored</w:t>
            </w:r>
          </w:p>
        </w:tc>
        <w:tc>
          <w:tcPr>
            <w:tcW w:type="dxa" w:w="3213"/>
          </w:tcPr>
          <w:p>
            <w:pPr>
              <w:spacing w:after="20" w:before="20" w:line="240" w:lineRule="auto"/>
            </w:pPr>
            <w:r/>
            <w:r>
              <w:rPr>
                <w:rFonts w:ascii="Arial" w:hAnsi="Arial" w:cs="Arial"/>
                <w:b w:val="0"/>
                <w:i w:val="0"/>
                <w:sz w:val="17"/>
              </w:rPr>
              <w:t>Primary verification; can satisfy KYB evidence requirements directly</w:t>
            </w:r>
          </w:p>
        </w:tc>
      </w:tr>
      <w:tr>
        <w:tc>
          <w:tcPr>
            <w:tcW w:type="dxa" w:w="3213"/>
          </w:tcPr>
          <w:p>
            <w:pPr>
              <w:spacing w:after="20" w:before="20" w:line="240" w:lineRule="auto"/>
            </w:pPr>
            <w:r/>
            <w:r>
              <w:rPr>
                <w:rFonts w:ascii="Arial" w:hAnsi="Arial" w:cs="Arial"/>
                <w:b w:val="0"/>
                <w:i w:val="0"/>
                <w:sz w:val="17"/>
              </w:rPr>
              <w:t>Licensed commercial source</w:t>
            </w:r>
          </w:p>
        </w:tc>
        <w:tc>
          <w:tcPr>
            <w:tcW w:type="dxa" w:w="3213"/>
          </w:tcPr>
          <w:p>
            <w:pPr>
              <w:spacing w:after="20" w:before="20" w:line="240" w:lineRule="auto"/>
            </w:pPr>
            <w:r/>
            <w:r>
              <w:rPr>
                <w:rFonts w:ascii="Arial" w:hAnsi="Arial" w:cs="Arial"/>
                <w:b w:val="0"/>
                <w:i w:val="0"/>
                <w:sz w:val="17"/>
              </w:rPr>
              <w:t>Provider contract and SLA; provider reference stored</w:t>
            </w:r>
          </w:p>
        </w:tc>
        <w:tc>
          <w:tcPr>
            <w:tcW w:type="dxa" w:w="3213"/>
          </w:tcPr>
          <w:p>
            <w:pPr>
              <w:spacing w:after="20" w:before="20" w:line="240" w:lineRule="auto"/>
            </w:pPr>
            <w:r/>
            <w:r>
              <w:rPr>
                <w:rFonts w:ascii="Arial" w:hAnsi="Arial" w:cs="Arial"/>
                <w:b w:val="0"/>
                <w:i w:val="0"/>
                <w:sz w:val="17"/>
              </w:rPr>
              <w:t>Primary or supplementary verification per compliance policy</w:t>
            </w:r>
          </w:p>
        </w:tc>
      </w:tr>
      <w:tr>
        <w:tc>
          <w:tcPr>
            <w:tcW w:type="dxa" w:w="3213"/>
          </w:tcPr>
          <w:p>
            <w:pPr>
              <w:spacing w:after="20" w:before="20" w:line="240" w:lineRule="auto"/>
            </w:pPr>
            <w:r/>
            <w:r>
              <w:rPr>
                <w:rFonts w:ascii="Arial" w:hAnsi="Arial" w:cs="Arial"/>
                <w:b w:val="0"/>
                <w:i w:val="0"/>
                <w:sz w:val="17"/>
              </w:rPr>
              <w:t>Official published data</w:t>
            </w:r>
          </w:p>
        </w:tc>
        <w:tc>
          <w:tcPr>
            <w:tcW w:type="dxa" w:w="3213"/>
          </w:tcPr>
          <w:p>
            <w:pPr>
              <w:spacing w:after="20" w:before="20" w:line="240" w:lineRule="auto"/>
            </w:pPr>
            <w:r/>
            <w:r>
              <w:rPr>
                <w:rFonts w:ascii="Arial" w:hAnsi="Arial" w:cs="Arial"/>
                <w:b w:val="0"/>
                <w:i w:val="0"/>
                <w:sz w:val="17"/>
              </w:rPr>
              <w:t>Official publication reference and date stored</w:t>
            </w:r>
          </w:p>
        </w:tc>
        <w:tc>
          <w:tcPr>
            <w:tcW w:type="dxa" w:w="3213"/>
          </w:tcPr>
          <w:p>
            <w:pPr>
              <w:spacing w:after="20" w:before="20" w:line="240" w:lineRule="auto"/>
            </w:pPr>
            <w:r/>
            <w:r>
              <w:rPr>
                <w:rFonts w:ascii="Arial" w:hAnsi="Arial" w:cs="Arial"/>
                <w:b w:val="0"/>
                <w:i w:val="0"/>
                <w:sz w:val="17"/>
              </w:rPr>
              <w:t>Supplementary verification; policy-dependent primacy</w:t>
            </w:r>
          </w:p>
        </w:tc>
      </w:tr>
      <w:tr>
        <w:tc>
          <w:tcPr>
            <w:tcW w:type="dxa" w:w="3213"/>
          </w:tcPr>
          <w:p>
            <w:pPr>
              <w:spacing w:after="20" w:before="20" w:line="240" w:lineRule="auto"/>
            </w:pPr>
            <w:r/>
            <w:r>
              <w:rPr>
                <w:rFonts w:ascii="Arial" w:hAnsi="Arial" w:cs="Arial"/>
                <w:b w:val="0"/>
                <w:i w:val="0"/>
                <w:sz w:val="17"/>
              </w:rPr>
              <w:t>Verified manual evidence</w:t>
            </w:r>
          </w:p>
        </w:tc>
        <w:tc>
          <w:tcPr>
            <w:tcW w:type="dxa" w:w="3213"/>
          </w:tcPr>
          <w:p>
            <w:pPr>
              <w:spacing w:after="20" w:before="20" w:line="240" w:lineRule="auto"/>
            </w:pPr>
            <w:r/>
            <w:r>
              <w:rPr>
                <w:rFonts w:ascii="Arial" w:hAnsi="Arial" w:cs="Arial"/>
                <w:b w:val="0"/>
                <w:i w:val="0"/>
                <w:sz w:val="17"/>
              </w:rPr>
              <w:t>Compliance-officer verification with identity, timestamp, and Loom anchoring</w:t>
            </w:r>
          </w:p>
        </w:tc>
        <w:tc>
          <w:tcPr>
            <w:tcW w:type="dxa" w:w="3213"/>
          </w:tcPr>
          <w:p>
            <w:pPr>
              <w:spacing w:after="20" w:before="20" w:line="240" w:lineRule="auto"/>
            </w:pPr>
            <w:r/>
            <w:r>
              <w:rPr>
                <w:rFonts w:ascii="Arial" w:hAnsi="Arial" w:cs="Arial"/>
                <w:b w:val="0"/>
                <w:i w:val="0"/>
                <w:sz w:val="17"/>
              </w:rPr>
              <w:t>Fallback verification where no higher source exists</w:t>
            </w:r>
          </w:p>
        </w:tc>
      </w:tr>
      <w:tr>
        <w:tc>
          <w:tcPr>
            <w:tcW w:type="dxa" w:w="3213"/>
          </w:tcPr>
          <w:p>
            <w:pPr>
              <w:spacing w:after="20" w:before="20" w:line="240" w:lineRule="auto"/>
            </w:pPr>
            <w:r/>
            <w:r>
              <w:rPr>
                <w:rFonts w:ascii="Arial" w:hAnsi="Arial" w:cs="Arial"/>
                <w:b w:val="0"/>
                <w:i w:val="0"/>
                <w:sz w:val="17"/>
              </w:rPr>
              <w:t>Secondary source</w:t>
            </w:r>
          </w:p>
        </w:tc>
        <w:tc>
          <w:tcPr>
            <w:tcW w:type="dxa" w:w="3213"/>
          </w:tcPr>
          <w:p>
            <w:pPr>
              <w:spacing w:after="20" w:before="20" w:line="240" w:lineRule="auto"/>
            </w:pPr>
            <w:r/>
            <w:r>
              <w:rPr>
                <w:rFonts w:ascii="Arial" w:hAnsi="Arial" w:cs="Arial"/>
                <w:b w:val="0"/>
                <w:i w:val="0"/>
                <w:sz w:val="17"/>
              </w:rPr>
              <w:t>Provenance chain stored; confidence recorded</w:t>
            </w:r>
          </w:p>
        </w:tc>
        <w:tc>
          <w:tcPr>
            <w:tcW w:type="dxa" w:w="3213"/>
          </w:tcPr>
          <w:p>
            <w:pPr>
              <w:spacing w:after="20" w:before="20" w:line="240" w:lineRule="auto"/>
            </w:pPr>
            <w:r/>
            <w:r>
              <w:rPr>
                <w:rFonts w:ascii="Arial" w:hAnsi="Arial" w:cs="Arial"/>
                <w:b w:val="0"/>
                <w:i w:val="0"/>
                <w:sz w:val="17"/>
              </w:rPr>
              <w:t>Context and risk signals only; never sole basis for a pass decision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an official API is unavailable for a required registry, the fallback path is manual verification, document verification, or a licensed provider, in that order of preference. Every verification record stores the source classification, the retrieval method, and the evidence reference, so that the authority level of every KYB/KYC fact is auditable. The platform must not claim universal real-time verification for any jurisdiction where the underlying source does not technically support it; the verification status presented to users reflects the actual source authority of each check. Existing registry integrations — including GLEIF for LEI verification, Nafeza and the Egyptian Trade Agreement (ETA) systems for Egyptian trade facts, Dun &amp; Bradstreet for commercial data, and chamber-of-commerce attestations — are each represented according to their actual authority class and integration method in the integration registry (Section 17.21).</w:t>
      </w:r>
    </w:p>
    <w:p>
      <w:pPr>
        <w:keepNext/>
        <w:spacing w:before="240" w:after="100"/>
        <w:outlineLvl w:val="1"/>
      </w:pPr>
      <w:r>
        <w:rPr>
          <w:rFonts w:ascii="Arial" w:hAnsi="Arial" w:cs="Arial"/>
          <w:b/>
          <w:i w:val="0"/>
          <w:color w:val="2E528F"/>
          <w:sz w:val="26"/>
        </w:rPr>
        <w:t>4.3 Onboarding &amp; Readiness</w:t>
      </w:r>
    </w:p>
    <w:p>
      <w:pPr>
        <w:keepNext/>
        <w:spacing w:before="180" w:after="80"/>
        <w:outlineLvl w:val="2"/>
      </w:pPr>
      <w:r>
        <w:rPr>
          <w:rFonts w:ascii="Arial" w:hAnsi="Arial" w:cs="Arial"/>
          <w:b/>
          <w:i w:val="0"/>
          <w:color w:val="333333"/>
          <w:sz w:val="23"/>
        </w:rPr>
        <w:t>4.3.1 Onboarding Wizard (6 Steps, AI-Assisted)</w:t>
      </w:r>
    </w:p>
    <w:p>
      <w:pPr>
        <w:keepNext/>
        <w:spacing w:before="140" w:after="60"/>
        <w:outlineLvl w:val="3"/>
      </w:pPr>
      <w:r>
        <w:rPr>
          <w:rFonts w:ascii="Arial" w:hAnsi="Arial" w:cs="Arial"/>
          <w:b/>
          <w:i/>
          <w:color w:val="333333"/>
          <w:sz w:val="22"/>
        </w:rPr>
        <w:t>4.3.1.1 Overview</w:t>
      </w:r>
    </w:p>
    <w:p>
      <w:pPr>
        <w:spacing w:after="80" w:line="293" w:lineRule="auto"/>
        <w:jc w:val="left"/>
      </w:pPr>
      <w:r>
        <w:rPr>
          <w:rFonts w:ascii="Times New Roman" w:hAnsi="Times New Roman" w:cs="Times New Roman"/>
          <w:b w:val="0"/>
          <w:i w:val="0"/>
          <w:sz w:val="22"/>
        </w:rPr>
        <w:t>The Onboarding Wizard guides every tenant through a structured, zero-cost, AI-augmented onboarding process. The wizard collects all necessary identity, compliance, and configuration data while never suggesting counterparties or service providers.</w:t>
      </w:r>
    </w:p>
    <w:p>
      <w:pPr>
        <w:spacing w:after="80" w:line="293" w:lineRule="auto"/>
        <w:jc w:val="left"/>
      </w:pPr>
      <w:r>
        <w:rPr>
          <w:rFonts w:ascii="Times New Roman" w:hAnsi="Times New Roman" w:cs="Times New Roman"/>
          <w:b w:val="0"/>
          <w:i w:val="0"/>
          <w:sz w:val="22"/>
        </w:rPr>
        <w:t>AI Authority: A1 (Groq → Ollama) for autocomplete, defaults, and plain-language explanations; A2 (HF local → Ollama) for document extraction (HF Donut), registry cross-checks, and biometric liveness; A4 (OPA) for GTID generation and state transitions.</w:t>
      </w:r>
    </w:p>
    <w:p>
      <w:pPr>
        <w:spacing w:after="80" w:line="293" w:lineRule="auto"/>
        <w:jc w:val="left"/>
      </w:pPr>
      <w:r>
        <w:rPr>
          <w:rFonts w:ascii="Times New Roman" w:hAnsi="Times New Roman" w:cs="Times New Roman"/>
          <w:b w:val="0"/>
          <w:i w:val="0"/>
          <w:sz w:val="22"/>
        </w:rPr>
        <w:t>One-click guarantee: each step has a single primary action button (e.g., "Confirm GTID", "Verify &amp; Continue", "Save Preferences"). Data entry fields are not counted as irreversible clicks; only the final submission of each step is a one-click action.</w:t>
      </w:r>
    </w:p>
    <w:p>
      <w:pPr>
        <w:keepNext/>
        <w:spacing w:before="180" w:after="80"/>
        <w:outlineLvl w:val="2"/>
      </w:pPr>
      <w:r>
        <w:rPr>
          <w:rFonts w:ascii="Arial" w:hAnsi="Arial" w:cs="Arial"/>
          <w:b/>
          <w:i w:val="0"/>
          <w:color w:val="333333"/>
          <w:sz w:val="23"/>
        </w:rPr>
        <w:t>4.3.2 Step 1 — Welcome &amp; GTID Confirmation</w:t>
      </w:r>
    </w:p>
    <w:p>
      <w:pPr>
        <w:spacing w:after="80" w:line="293" w:lineRule="auto"/>
        <w:jc w:val="left"/>
      </w:pPr>
      <w:r>
        <w:rPr>
          <w:rFonts w:ascii="Times New Roman" w:hAnsi="Times New Roman" w:cs="Times New Roman"/>
          <w:b/>
          <w:i w:val="0"/>
          <w:sz w:val="22"/>
        </w:rPr>
        <w:t>Behaviour:</w:t>
      </w:r>
      <w:r>
        <w:rPr>
          <w:rFonts w:ascii="Times New Roman" w:hAnsi="Times New Roman" w:cs="Times New Roman"/>
          <w:b w:val="0"/>
          <w:i w:val="0"/>
          <w:sz w:val="22"/>
        </w:rPr>
        <w:t xml:space="preserve"> the system generates a provisional GTID and displays it. The user confirms with one click: "Confirm GTID". The Governor validates that the entity type is allowed in the selected jurisdiction (e.g., FIN only if jurisdiction allows private lending). On success, the tenant record is created with `lifecycle_state = 'REGISTERED'`.</w:t>
      </w:r>
    </w:p>
    <w:p>
      <w:pPr>
        <w:spacing w:after="80" w:line="293" w:lineRule="auto"/>
        <w:jc w:val="left"/>
      </w:pPr>
      <w:r>
        <w:rPr>
          <w:rFonts w:ascii="Times New Roman" w:hAnsi="Times New Roman" w:cs="Times New Roman"/>
          <w:b/>
          <w:i w:val="0"/>
          <w:sz w:val="22"/>
        </w:rPr>
        <w:t>Fields: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Source / Behaviour</w:t>
            </w:r>
          </w:p>
        </w:tc>
        <w:tc>
          <w:tcPr>
            <w:tcW w:type="dxa" w:w="2409"/>
            <w:shd w:val="clear" w:fill="D9E2F3"/>
          </w:tcPr>
          <w:p>
            <w:pPr>
              <w:spacing w:after="20" w:before="20" w:line="240" w:lineRule="auto"/>
            </w:pPr>
            <w:r/>
            <w:r>
              <w:rPr>
                <w:rFonts w:ascii="Arial" w:hAnsi="Arial" w:cs="Arial"/>
                <w:b/>
                <w:i w:val="0"/>
                <w:sz w:val="18"/>
              </w:rPr>
              <w:t>AI Assistance</w:t>
            </w:r>
          </w:p>
        </w:tc>
      </w:tr>
      <w:tr>
        <w:tc>
          <w:tcPr>
            <w:tcW w:type="dxa" w:w="2409"/>
          </w:tcPr>
          <w:p>
            <w:pPr>
              <w:spacing w:after="20" w:before="20" w:line="240" w:lineRule="auto"/>
            </w:pPr>
            <w:r/>
            <w:r>
              <w:rPr>
                <w:rFonts w:ascii="Arial" w:hAnsi="Arial" w:cs="Arial"/>
                <w:b w:val="0"/>
                <w:i w:val="0"/>
                <w:sz w:val="17"/>
              </w:rPr>
              <w:t>Entity Type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TRD, LSP, SHIP, LAB, QC, FIN, GOV, MP, CBR</w:t>
            </w:r>
          </w:p>
        </w:tc>
        <w:tc>
          <w:tcPr>
            <w:tcW w:type="dxa" w:w="2409"/>
          </w:tcPr>
          <w:p>
            <w:pPr>
              <w:spacing w:after="20" w:before="20" w:line="240" w:lineRule="auto"/>
            </w:pPr>
            <w:r/>
            <w:r>
              <w:rPr>
                <w:rFonts w:ascii="Arial" w:hAnsi="Arial" w:cs="Arial"/>
                <w:b w:val="0"/>
                <w:i w:val="0"/>
                <w:sz w:val="17"/>
              </w:rPr>
              <w:t>A1 pre-selects based on IP geolocation and typical use (user can override)</w:t>
            </w:r>
          </w:p>
        </w:tc>
      </w:tr>
      <w:tr>
        <w:tc>
          <w:tcPr>
            <w:tcW w:type="dxa" w:w="2409"/>
          </w:tcPr>
          <w:p>
            <w:pPr>
              <w:spacing w:after="20" w:before="20" w:line="240" w:lineRule="auto"/>
            </w:pPr>
            <w:r/>
            <w:r>
              <w:rPr>
                <w:rFonts w:ascii="Arial" w:hAnsi="Arial" w:cs="Arial"/>
                <w:b w:val="0"/>
                <w:i w:val="0"/>
                <w:sz w:val="17"/>
              </w:rPr>
              <w:t>Country of Operation</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ISO 3166-1 alpha-2, filtered by RIA jurisdiction matrix</w:t>
            </w:r>
          </w:p>
        </w:tc>
        <w:tc>
          <w:tcPr>
            <w:tcW w:type="dxa" w:w="2409"/>
          </w:tcPr>
          <w:p>
            <w:pPr>
              <w:spacing w:after="20" w:before="20" w:line="240" w:lineRule="auto"/>
            </w:pPr>
            <w:r/>
            <w:r>
              <w:rPr>
                <w:rFonts w:ascii="Arial" w:hAnsi="Arial" w:cs="Arial"/>
                <w:b w:val="0"/>
                <w:i w:val="0"/>
                <w:sz w:val="17"/>
              </w:rPr>
              <w:t>A1 autocomplete; shows warning if country restricted</w:t>
            </w:r>
          </w:p>
        </w:tc>
      </w:tr>
      <w:tr>
        <w:tc>
          <w:tcPr>
            <w:tcW w:type="dxa" w:w="2409"/>
          </w:tcPr>
          <w:p>
            <w:pPr>
              <w:spacing w:after="20" w:before="20" w:line="240" w:lineRule="auto"/>
            </w:pPr>
            <w:r/>
            <w:r>
              <w:rPr>
                <w:rFonts w:ascii="Arial" w:hAnsi="Arial" w:cs="Arial"/>
                <w:b w:val="0"/>
                <w:i w:val="0"/>
                <w:sz w:val="17"/>
              </w:rPr>
              <w:t>Legal Name (English)</w:t>
            </w:r>
          </w:p>
        </w:tc>
        <w:tc>
          <w:tcPr>
            <w:tcW w:type="dxa" w:w="2409"/>
          </w:tcPr>
          <w:p>
            <w:pPr>
              <w:spacing w:after="20" w:before="20" w:line="240" w:lineRule="auto"/>
            </w:pPr>
            <w:r/>
            <w:r>
              <w:rPr>
                <w:rFonts w:ascii="Arial" w:hAnsi="Arial" w:cs="Arial"/>
                <w:b w:val="0"/>
                <w:i w:val="0"/>
                <w:sz w:val="17"/>
              </w:rPr>
              <w:t>Text</w:t>
            </w:r>
          </w:p>
        </w:tc>
        <w:tc>
          <w:tcPr>
            <w:tcW w:type="dxa" w:w="2409"/>
          </w:tcPr>
          <w:p>
            <w:pPr>
              <w:spacing w:after="20" w:before="20" w:line="240" w:lineRule="auto"/>
            </w:pPr>
            <w:r/>
            <w:r>
              <w:rPr>
                <w:rFonts w:ascii="Arial" w:hAnsi="Arial" w:cs="Arial"/>
                <w:b w:val="0"/>
                <w:i w:val="0"/>
                <w:sz w:val="17"/>
              </w:rPr>
              <w:t>User input</w:t>
            </w:r>
          </w:p>
        </w:tc>
        <w:tc>
          <w:tcPr>
            <w:tcW w:type="dxa" w:w="2409"/>
          </w:tcPr>
          <w:p>
            <w:pPr>
              <w:spacing w:after="20" w:before="20" w:line="240" w:lineRule="auto"/>
            </w:pPr>
            <w:r/>
            <w:r>
              <w:rPr>
                <w:rFonts w:ascii="Arial" w:hAnsi="Arial" w:cs="Arial"/>
                <w:b w:val="0"/>
                <w:i w:val="0"/>
                <w:sz w:val="17"/>
              </w:rPr>
              <w:t>A1 suggests formatting</w:t>
            </w:r>
          </w:p>
        </w:tc>
      </w:tr>
      <w:tr>
        <w:tc>
          <w:tcPr>
            <w:tcW w:type="dxa" w:w="2409"/>
          </w:tcPr>
          <w:p>
            <w:pPr>
              <w:spacing w:after="20" w:before="20" w:line="240" w:lineRule="auto"/>
            </w:pPr>
            <w:r/>
            <w:r>
              <w:rPr>
                <w:rFonts w:ascii="Arial" w:hAnsi="Arial" w:cs="Arial"/>
                <w:b w:val="0"/>
                <w:i w:val="0"/>
                <w:sz w:val="17"/>
              </w:rPr>
              <w:t>Legal Name (Arabic)</w:t>
            </w:r>
          </w:p>
        </w:tc>
        <w:tc>
          <w:tcPr>
            <w:tcW w:type="dxa" w:w="2409"/>
          </w:tcPr>
          <w:p>
            <w:pPr>
              <w:spacing w:after="20" w:before="20" w:line="240" w:lineRule="auto"/>
            </w:pPr>
            <w:r/>
            <w:r>
              <w:rPr>
                <w:rFonts w:ascii="Arial" w:hAnsi="Arial" w:cs="Arial"/>
                <w:b w:val="0"/>
                <w:i w:val="0"/>
                <w:sz w:val="17"/>
              </w:rPr>
              <w:t>Text (optional, Egypt only)</w:t>
            </w:r>
          </w:p>
        </w:tc>
        <w:tc>
          <w:tcPr>
            <w:tcW w:type="dxa" w:w="2409"/>
          </w:tcPr>
          <w:p>
            <w:pPr>
              <w:spacing w:after="20" w:before="20" w:line="240" w:lineRule="auto"/>
            </w:pPr>
            <w:r/>
            <w:r>
              <w:rPr>
                <w:rFonts w:ascii="Arial" w:hAnsi="Arial" w:cs="Arial"/>
                <w:b w:val="0"/>
                <w:i w:val="0"/>
                <w:sz w:val="17"/>
              </w:rPr>
              <w:t>User input</w:t>
            </w:r>
          </w:p>
        </w:tc>
        <w:tc>
          <w:tcPr>
            <w:tcW w:type="dxa" w:w="2409"/>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assistance: if the user enters an unsupported country, a plain-language explanation appears: "We cannot currently onboard entities from this jurisdiction due to sanctions restrictions. Please contact support if you believe this is an error." No recommendation to change jurisdiction.</w:t>
      </w:r>
    </w:p>
    <w:p>
      <w:pPr>
        <w:spacing w:after="80" w:line="293" w:lineRule="auto"/>
        <w:jc w:val="left"/>
      </w:pPr>
      <w:r>
        <w:rPr>
          <w:rFonts w:ascii="Times New Roman" w:hAnsi="Times New Roman" w:cs="Times New Roman"/>
          <w:b w:val="0"/>
          <w:i w:val="0"/>
          <w:sz w:val="22"/>
        </w:rPr>
        <w:t>One-click action: click "Confirm GTID" → proceeds to Step 2.</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WELCOME TO SGTX — Step 1 of 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Welcome! Let's create your Global Trade Identity (GTID).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Entity Type:            [TRD — Trader ▼]</w:t>
      </w:r>
    </w:p>
    <w:p>
      <w:pPr>
        <w:spacing w:after="0" w:before="0" w:line="240" w:lineRule="auto"/>
        <w:ind w:left="57"/>
        <w:jc w:val="left"/>
        <w:shd w:val="clear" w:fill="F2F2F2"/>
      </w:pPr>
      <w:r>
        <w:rPr>
          <w:rFonts w:ascii="Consolas" w:hAnsi="Consolas" w:cs="Consolas"/>
          <w:b w:val="0"/>
          <w:i w:val="0"/>
          <w:sz w:val="15"/>
        </w:rPr>
        <w:t>Country of Operation:   [Egypt ▼]</w:t>
      </w:r>
    </w:p>
    <w:p>
      <w:pPr>
        <w:spacing w:after="0" w:before="0" w:line="240" w:lineRule="auto"/>
        <w:ind w:left="57"/>
        <w:jc w:val="left"/>
        <w:shd w:val="clear" w:fill="F2F2F2"/>
      </w:pPr>
      <w:r>
        <w:rPr>
          <w:rFonts w:ascii="Consolas" w:hAnsi="Consolas" w:cs="Consolas"/>
          <w:b w:val="0"/>
          <w:i w:val="0"/>
          <w:sz w:val="15"/>
        </w:rPr>
        <w:t>Legal Name (English):   [Strawberry Export Co.]</w:t>
      </w:r>
    </w:p>
    <w:p>
      <w:pPr>
        <w:spacing w:after="0" w:before="0" w:line="240" w:lineRule="auto"/>
        <w:ind w:left="57"/>
        <w:jc w:val="left"/>
        <w:shd w:val="clear" w:fill="F2F2F2"/>
      </w:pPr>
      <w:r>
        <w:rPr>
          <w:rFonts w:ascii="Consolas" w:hAnsi="Consolas" w:cs="Consolas"/>
          <w:b w:val="0"/>
          <w:i w:val="0"/>
          <w:sz w:val="15"/>
        </w:rPr>
        <w:t>Legal Name (Arabic):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Provisional GTID: SGTX-EG-TRD-002139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Your GTID is your permanent identifier on the SGTX platform.</w:t>
      </w:r>
    </w:p>
    <w:p>
      <w:pPr>
        <w:spacing w:after="0" w:before="0" w:line="240" w:lineRule="auto"/>
        <w:ind w:left="57"/>
        <w:jc w:val="left"/>
        <w:shd w:val="clear" w:fill="F2F2F2"/>
      </w:pPr>
      <w:r>
        <w:rPr>
          <w:rFonts w:ascii="Consolas" w:hAnsi="Consolas" w:cs="Consolas"/>
          <w:b w:val="0"/>
          <w:i w:val="0"/>
          <w:sz w:val="15"/>
        </w:rPr>
        <w:t xml:space="preserve">  It will be used for all trades, documents, and communications.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[Confirm GTID]   [Save Draft]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4.3.3 Step 2 — Organization Details (with Verified Trade Profile)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collect core legal and commercial identifiers, including optional verified identifiers that will be linked to the GTID.</w:t>
      </w:r>
    </w:p>
    <w:p>
      <w:pPr>
        <w:spacing w:after="80" w:line="293" w:lineRule="auto"/>
        <w:jc w:val="left"/>
      </w:pPr>
      <w:r>
        <w:rPr>
          <w:rFonts w:ascii="Times New Roman" w:hAnsi="Times New Roman" w:cs="Times New Roman"/>
          <w:b w:val="0"/>
          <w:i w:val="0"/>
          <w:sz w:val="22"/>
        </w:rPr>
        <w:t>Fields (all tenants):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Mandatory</w:t>
            </w:r>
          </w:p>
        </w:tc>
        <w:tc>
          <w:tcPr>
            <w:tcW w:type="dxa" w:w="2409"/>
            <w:shd w:val="clear" w:fill="D9E2F3"/>
          </w:tcPr>
          <w:p>
            <w:pPr>
              <w:spacing w:after="20" w:before="20" w:line="240" w:lineRule="auto"/>
            </w:pPr>
            <w:r/>
            <w:r>
              <w:rPr>
                <w:rFonts w:ascii="Arial" w:hAnsi="Arial" w:cs="Arial"/>
                <w:b/>
                <w:i w:val="0"/>
                <w:sz w:val="18"/>
              </w:rPr>
              <w:t>Validation</w:t>
            </w:r>
          </w:p>
        </w:tc>
        <w:tc>
          <w:tcPr>
            <w:tcW w:type="dxa" w:w="2409"/>
            <w:shd w:val="clear" w:fill="D9E2F3"/>
          </w:tcPr>
          <w:p>
            <w:pPr>
              <w:spacing w:after="20" w:before="20" w:line="240" w:lineRule="auto"/>
            </w:pPr>
            <w:r/>
            <w:r>
              <w:rPr>
                <w:rFonts w:ascii="Arial" w:hAnsi="Arial" w:cs="Arial"/>
                <w:b/>
                <w:i w:val="0"/>
                <w:sz w:val="18"/>
              </w:rPr>
              <w:t>AI Assistance</w:t>
            </w:r>
          </w:p>
        </w:tc>
      </w:tr>
      <w:tr>
        <w:tc>
          <w:tcPr>
            <w:tcW w:type="dxa" w:w="2409"/>
          </w:tcPr>
          <w:p>
            <w:pPr>
              <w:spacing w:after="20" w:before="20" w:line="240" w:lineRule="auto"/>
            </w:pPr>
            <w:r/>
            <w:r>
              <w:rPr>
                <w:rFonts w:ascii="Arial" w:hAnsi="Arial" w:cs="Arial"/>
                <w:b w:val="0"/>
                <w:i w:val="0"/>
                <w:sz w:val="17"/>
              </w:rPr>
              <w:t>Commercial Register Number</w:t>
            </w:r>
          </w:p>
        </w:tc>
        <w:tc>
          <w:tcPr>
            <w:tcW w:type="dxa" w:w="2409"/>
          </w:tcPr>
          <w:p>
            <w:pPr>
              <w:spacing w:after="20" w:before="20" w:line="240" w:lineRule="auto"/>
            </w:pPr>
            <w:r/>
            <w:r>
              <w:rPr>
                <w:rFonts w:ascii="Arial" w:hAnsi="Arial" w:cs="Arial"/>
                <w:b w:val="0"/>
                <w:i w:val="0"/>
                <w:sz w:val="17"/>
              </w:rPr>
              <w:t>Yes (for TRD, LSP, SHIP, LAB, QC, CBR, FIN)</w:t>
            </w:r>
          </w:p>
        </w:tc>
        <w:tc>
          <w:tcPr>
            <w:tcW w:type="dxa" w:w="2409"/>
          </w:tcPr>
          <w:p>
            <w:pPr>
              <w:spacing w:after="20" w:before="20" w:line="240" w:lineRule="auto"/>
            </w:pPr>
            <w:r/>
            <w:r>
              <w:rPr>
                <w:rFonts w:ascii="Arial" w:hAnsi="Arial" w:cs="Arial"/>
                <w:b w:val="0"/>
                <w:i w:val="0"/>
                <w:sz w:val="17"/>
              </w:rPr>
              <w:t>Format check per jurisdiction; cross-reference with government registry (scraped)</w:t>
            </w:r>
          </w:p>
        </w:tc>
        <w:tc>
          <w:tcPr>
            <w:tcW w:type="dxa" w:w="2409"/>
          </w:tcPr>
          <w:p>
            <w:pPr>
              <w:spacing w:after="20" w:before="20" w:line="240" w:lineRule="auto"/>
            </w:pPr>
            <w:r/>
            <w:r>
              <w:rPr>
                <w:rFonts w:ascii="Arial" w:hAnsi="Arial" w:cs="Arial"/>
                <w:b w:val="0"/>
                <w:i w:val="0"/>
                <w:sz w:val="17"/>
              </w:rPr>
              <w:t>A2 — HF Donut extracts from uploaded PDF</w:t>
            </w:r>
          </w:p>
        </w:tc>
      </w:tr>
      <w:tr>
        <w:tc>
          <w:tcPr>
            <w:tcW w:type="dxa" w:w="2409"/>
          </w:tcPr>
          <w:p>
            <w:pPr>
              <w:spacing w:after="20" w:before="20" w:line="240" w:lineRule="auto"/>
            </w:pPr>
            <w:r/>
            <w:r>
              <w:rPr>
                <w:rFonts w:ascii="Arial" w:hAnsi="Arial" w:cs="Arial"/>
                <w:b w:val="0"/>
                <w:i w:val="0"/>
                <w:sz w:val="17"/>
              </w:rPr>
              <w:t>Tax ID (VAT / National)</w:t>
            </w:r>
          </w:p>
        </w:tc>
        <w:tc>
          <w:tcPr>
            <w:tcW w:type="dxa" w:w="2409"/>
          </w:tcPr>
          <w:p>
            <w:pPr>
              <w:spacing w:after="20" w:before="20" w:line="240" w:lineRule="auto"/>
            </w:pPr>
            <w:r/>
            <w:r>
              <w:rPr>
                <w:rFonts w:ascii="Arial" w:hAnsi="Arial" w:cs="Arial"/>
                <w:b w:val="0"/>
                <w:i w:val="0"/>
                <w:sz w:val="17"/>
              </w:rPr>
              <w:t>Yes (all except GOV, MP)</w:t>
            </w:r>
          </w:p>
        </w:tc>
        <w:tc>
          <w:tcPr>
            <w:tcW w:type="dxa" w:w="2409"/>
          </w:tcPr>
          <w:p>
            <w:pPr>
              <w:spacing w:after="20" w:before="20" w:line="240" w:lineRule="auto"/>
            </w:pPr>
            <w:r/>
            <w:r>
              <w:rPr>
                <w:rFonts w:ascii="Arial" w:hAnsi="Arial" w:cs="Arial"/>
                <w:b w:val="0"/>
                <w:i w:val="0"/>
                <w:sz w:val="17"/>
              </w:rPr>
              <w:t>API check against ETA (Egypt) or equivalent</w:t>
            </w:r>
          </w:p>
        </w:tc>
        <w:tc>
          <w:tcPr>
            <w:tcW w:type="dxa" w:w="2409"/>
          </w:tcPr>
          <w:p>
            <w:pPr>
              <w:spacing w:after="20" w:before="20" w:line="240" w:lineRule="auto"/>
            </w:pPr>
            <w:r/>
            <w:r>
              <w:rPr>
                <w:rFonts w:ascii="Arial" w:hAnsi="Arial" w:cs="Arial"/>
                <w:b w:val="0"/>
                <w:i w:val="0"/>
                <w:sz w:val="17"/>
              </w:rPr>
              <w:t>A2 extraction</w:t>
            </w:r>
          </w:p>
        </w:tc>
      </w:tr>
      <w:tr>
        <w:tc>
          <w:tcPr>
            <w:tcW w:type="dxa" w:w="2409"/>
          </w:tcPr>
          <w:p>
            <w:pPr>
              <w:spacing w:after="20" w:before="20" w:line="240" w:lineRule="auto"/>
            </w:pPr>
            <w:r/>
            <w:r>
              <w:rPr>
                <w:rFonts w:ascii="Arial" w:hAnsi="Arial" w:cs="Arial"/>
                <w:b w:val="0"/>
                <w:i w:val="0"/>
                <w:sz w:val="17"/>
              </w:rPr>
              <w:t>Export/Import License Number</w:t>
            </w:r>
          </w:p>
        </w:tc>
        <w:tc>
          <w:tcPr>
            <w:tcW w:type="dxa" w:w="2409"/>
          </w:tcPr>
          <w:p>
            <w:pPr>
              <w:spacing w:after="20" w:before="20" w:line="240" w:lineRule="auto"/>
            </w:pPr>
            <w:r/>
            <w:r>
              <w:rPr>
                <w:rFonts w:ascii="Arial" w:hAnsi="Arial" w:cs="Arial"/>
                <w:b w:val="0"/>
                <w:i w:val="0"/>
                <w:sz w:val="17"/>
              </w:rPr>
              <w:t>For TRD only</w:t>
            </w:r>
          </w:p>
        </w:tc>
        <w:tc>
          <w:tcPr>
            <w:tcW w:type="dxa" w:w="2409"/>
          </w:tcPr>
          <w:p>
            <w:pPr>
              <w:spacing w:after="20" w:before="20" w:line="240" w:lineRule="auto"/>
            </w:pPr>
            <w:r/>
            <w:r>
              <w:rPr>
                <w:rFonts w:ascii="Arial" w:hAnsi="Arial" w:cs="Arial"/>
                <w:b w:val="0"/>
                <w:i w:val="0"/>
                <w:sz w:val="17"/>
              </w:rPr>
              <w:t>Optional; validated against customs system</w:t>
            </w:r>
          </w:p>
        </w:tc>
        <w:tc>
          <w:tcPr>
            <w:tcW w:type="dxa" w:w="2409"/>
          </w:tcPr>
          <w:p>
            <w:pPr>
              <w:spacing w:after="20" w:before="20" w:line="240" w:lineRule="auto"/>
            </w:pPr>
            <w:r/>
            <w:r>
              <w:rPr>
                <w:rFonts w:ascii="Arial" w:hAnsi="Arial" w:cs="Arial"/>
                <w:b w:val="0"/>
                <w:i w:val="0"/>
                <w:sz w:val="17"/>
              </w:rPr>
              <w:t>A2 extraction</w:t>
            </w:r>
          </w:p>
        </w:tc>
      </w:tr>
      <w:tr>
        <w:tc>
          <w:tcPr>
            <w:tcW w:type="dxa" w:w="2409"/>
          </w:tcPr>
          <w:p>
            <w:pPr>
              <w:spacing w:after="20" w:before="20" w:line="240" w:lineRule="auto"/>
            </w:pPr>
            <w:r/>
            <w:r>
              <w:rPr>
                <w:rFonts w:ascii="Arial" w:hAnsi="Arial" w:cs="Arial"/>
                <w:b w:val="0"/>
                <w:i w:val="0"/>
                <w:sz w:val="17"/>
              </w:rPr>
              <w:t>Insurance Certificate Number</w:t>
            </w:r>
          </w:p>
        </w:tc>
        <w:tc>
          <w:tcPr>
            <w:tcW w:type="dxa" w:w="2409"/>
          </w:tcPr>
          <w:p>
            <w:pPr>
              <w:spacing w:after="20" w:before="20" w:line="240" w:lineRule="auto"/>
            </w:pPr>
            <w:r/>
            <w:r>
              <w:rPr>
                <w:rFonts w:ascii="Arial" w:hAnsi="Arial" w:cs="Arial"/>
                <w:b w:val="0"/>
                <w:i w:val="0"/>
                <w:sz w:val="17"/>
              </w:rPr>
              <w:t>For LSP, SHIP, CBR</w:t>
            </w:r>
          </w:p>
        </w:tc>
        <w:tc>
          <w:tcPr>
            <w:tcW w:type="dxa" w:w="2409"/>
          </w:tcPr>
          <w:p>
            <w:pPr>
              <w:spacing w:after="20" w:before="20" w:line="240" w:lineRule="auto"/>
            </w:pPr>
            <w:r/>
            <w:r>
              <w:rPr>
                <w:rFonts w:ascii="Arial" w:hAnsi="Arial" w:cs="Arial"/>
                <w:b w:val="0"/>
                <w:i w:val="0"/>
                <w:sz w:val="17"/>
              </w:rPr>
              <w:t>RIA validates expiry date</w:t>
            </w:r>
          </w:p>
        </w:tc>
        <w:tc>
          <w:tcPr>
            <w:tcW w:type="dxa" w:w="2409"/>
          </w:tcPr>
          <w:p>
            <w:pPr>
              <w:spacing w:after="20" w:before="20" w:line="240" w:lineRule="auto"/>
            </w:pPr>
            <w:r/>
            <w:r>
              <w:rPr>
                <w:rFonts w:ascii="Arial" w:hAnsi="Arial" w:cs="Arial"/>
                <w:b w:val="0"/>
                <w:i w:val="0"/>
                <w:sz w:val="17"/>
              </w:rPr>
              <w:t>A2 extraction</w:t>
            </w:r>
          </w:p>
        </w:tc>
      </w:tr>
      <w:tr>
        <w:tc>
          <w:tcPr>
            <w:tcW w:type="dxa" w:w="2409"/>
          </w:tcPr>
          <w:p>
            <w:pPr>
              <w:spacing w:after="20" w:before="20" w:line="240" w:lineRule="auto"/>
            </w:pPr>
            <w:r/>
            <w:r>
              <w:rPr>
                <w:rFonts w:ascii="Arial" w:hAnsi="Arial" w:cs="Arial"/>
                <w:b w:val="0"/>
                <w:i w:val="0"/>
                <w:sz w:val="17"/>
              </w:rPr>
              <w:t>ISO Accreditation Number</w:t>
            </w:r>
          </w:p>
        </w:tc>
        <w:tc>
          <w:tcPr>
            <w:tcW w:type="dxa" w:w="2409"/>
          </w:tcPr>
          <w:p>
            <w:pPr>
              <w:spacing w:after="20" w:before="20" w:line="240" w:lineRule="auto"/>
            </w:pPr>
            <w:r/>
            <w:r>
              <w:rPr>
                <w:rFonts w:ascii="Arial" w:hAnsi="Arial" w:cs="Arial"/>
                <w:b w:val="0"/>
                <w:i w:val="0"/>
                <w:sz w:val="17"/>
              </w:rPr>
              <w:t>For LAB (17025), QC (17020)</w:t>
            </w:r>
          </w:p>
        </w:tc>
        <w:tc>
          <w:tcPr>
            <w:tcW w:type="dxa" w:w="2409"/>
          </w:tcPr>
          <w:p>
            <w:pPr>
              <w:spacing w:after="20" w:before="20" w:line="240" w:lineRule="auto"/>
            </w:pPr>
            <w:r/>
            <w:r>
              <w:rPr>
                <w:rFonts w:ascii="Arial" w:hAnsi="Arial" w:cs="Arial"/>
                <w:b w:val="0"/>
                <w:i w:val="0"/>
                <w:sz w:val="17"/>
              </w:rPr>
              <w:t>RIA checks against accreditation body</w:t>
            </w:r>
          </w:p>
        </w:tc>
        <w:tc>
          <w:tcPr>
            <w:tcW w:type="dxa" w:w="2409"/>
          </w:tcPr>
          <w:p>
            <w:pPr>
              <w:spacing w:after="20" w:before="20" w:line="240" w:lineRule="auto"/>
            </w:pPr>
            <w:r/>
            <w:r>
              <w:rPr>
                <w:rFonts w:ascii="Arial" w:hAnsi="Arial" w:cs="Arial"/>
                <w:b w:val="0"/>
                <w:i w:val="0"/>
                <w:sz w:val="17"/>
              </w:rPr>
              <w:t>A2 extraction</w:t>
            </w:r>
          </w:p>
        </w:tc>
      </w:tr>
      <w:tr>
        <w:tc>
          <w:tcPr>
            <w:tcW w:type="dxa" w:w="2409"/>
          </w:tcPr>
          <w:p>
            <w:pPr>
              <w:spacing w:after="20" w:before="20" w:line="240" w:lineRule="auto"/>
            </w:pPr>
            <w:r/>
            <w:r>
              <w:rPr>
                <w:rFonts w:ascii="Arial" w:hAnsi="Arial" w:cs="Arial"/>
                <w:b w:val="0"/>
                <w:i w:val="0"/>
                <w:sz w:val="17"/>
              </w:rPr>
              <w:t>UBO Declaration (JSON)</w:t>
            </w:r>
          </w:p>
        </w:tc>
        <w:tc>
          <w:tcPr>
            <w:tcW w:type="dxa" w:w="2409"/>
          </w:tcPr>
          <w:p>
            <w:pPr>
              <w:spacing w:after="20" w:before="20" w:line="240" w:lineRule="auto"/>
            </w:pPr>
            <w:r/>
            <w:r>
              <w:rPr>
                <w:rFonts w:ascii="Arial" w:hAnsi="Arial" w:cs="Arial"/>
                <w:b w:val="0"/>
                <w:i w:val="0"/>
                <w:sz w:val="17"/>
              </w:rPr>
              <w:t>For Tier 2+ tenants</w:t>
            </w:r>
          </w:p>
        </w:tc>
        <w:tc>
          <w:tcPr>
            <w:tcW w:type="dxa" w:w="2409"/>
          </w:tcPr>
          <w:p>
            <w:pPr>
              <w:spacing w:after="20" w:before="20" w:line="240" w:lineRule="auto"/>
            </w:pPr>
            <w:r/>
            <w:r>
              <w:rPr>
                <w:rFonts w:ascii="Arial" w:hAnsi="Arial" w:cs="Arial"/>
                <w:b w:val="0"/>
                <w:i w:val="0"/>
                <w:sz w:val="17"/>
              </w:rPr>
              <w:t>Structured form (name, nationality, ownership %)</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Contact Email &amp; Phone</w:t>
            </w:r>
          </w:p>
        </w:tc>
        <w:tc>
          <w:tcPr>
            <w:tcW w:type="dxa" w:w="2409"/>
          </w:tcPr>
          <w:p>
            <w:pPr>
              <w:spacing w:after="20" w:before="20" w:line="240" w:lineRule="auto"/>
            </w:pPr>
            <w:r/>
            <w:r>
              <w:rPr>
                <w:rFonts w:ascii="Arial" w:hAnsi="Arial" w:cs="Arial"/>
                <w:b w:val="0"/>
                <w:i w:val="0"/>
                <w:sz w:val="17"/>
              </w:rPr>
              <w:t>Yes (all)</w:t>
            </w:r>
          </w:p>
        </w:tc>
        <w:tc>
          <w:tcPr>
            <w:tcW w:type="dxa" w:w="2409"/>
          </w:tcPr>
          <w:p>
            <w:pPr>
              <w:spacing w:after="20" w:before="20" w:line="240" w:lineRule="auto"/>
            </w:pPr>
            <w:r/>
            <w:r>
              <w:rPr>
                <w:rFonts w:ascii="Arial" w:hAnsi="Arial" w:cs="Arial"/>
                <w:b w:val="0"/>
                <w:i w:val="0"/>
                <w:sz w:val="17"/>
              </w:rPr>
              <w:t>Format validation</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Office Address (geocoded)</w:t>
            </w:r>
          </w:p>
        </w:tc>
        <w:tc>
          <w:tcPr>
            <w:tcW w:type="dxa" w:w="2409"/>
          </w:tcPr>
          <w:p>
            <w:pPr>
              <w:spacing w:after="20" w:before="20" w:line="240" w:lineRule="auto"/>
            </w:pPr>
            <w:r/>
            <w:r>
              <w:rPr>
                <w:rFonts w:ascii="Arial" w:hAnsi="Arial" w:cs="Arial"/>
                <w:b w:val="0"/>
                <w:i w:val="0"/>
                <w:sz w:val="17"/>
              </w:rPr>
              <w:t>Yes (all)</w:t>
            </w:r>
          </w:p>
        </w:tc>
        <w:tc>
          <w:tcPr>
            <w:tcW w:type="dxa" w:w="2409"/>
          </w:tcPr>
          <w:p>
            <w:pPr>
              <w:spacing w:after="20" w:before="20" w:line="240" w:lineRule="auto"/>
            </w:pPr>
            <w:r/>
            <w:r>
              <w:rPr>
                <w:rFonts w:ascii="Arial" w:hAnsi="Arial" w:cs="Arial"/>
                <w:b w:val="0"/>
                <w:i w:val="0"/>
                <w:sz w:val="17"/>
              </w:rPr>
              <w:t>Nominatim reverse geocoding</w:t>
            </w:r>
          </w:p>
        </w:tc>
        <w:tc>
          <w:tcPr>
            <w:tcW w:type="dxa" w:w="2409"/>
          </w:tcPr>
          <w:p>
            <w:pPr>
              <w:spacing w:after="20" w:before="20" w:line="240" w:lineRule="auto"/>
            </w:pPr>
            <w:r/>
            <w:r>
              <w:rPr>
                <w:rFonts w:ascii="Arial" w:hAnsi="Arial" w:cs="Arial"/>
                <w:b w:val="0"/>
                <w:i w:val="0"/>
                <w:sz w:val="17"/>
              </w:rPr>
              <w:t>A1 suggests address from partial input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Document upload (PDF, max 10 MB): the user can upload supporting documents (commercial register extract, tax certificate, etc.). A2 (HF Donut + PaddleOCR) extracts fields in real time and pre-fills the form. Low-confidence fields (&lt;85%) are highlighted; the user must confirm or correct.</w:t>
      </w:r>
    </w:p>
    <w:p>
      <w:pPr>
        <w:keepNext/>
        <w:spacing w:before="140" w:after="60"/>
        <w:outlineLvl w:val="3"/>
      </w:pPr>
      <w:r>
        <w:rPr>
          <w:rFonts w:ascii="Arial" w:hAnsi="Arial" w:cs="Arial"/>
          <w:b/>
          <w:i/>
          <w:color w:val="333333"/>
          <w:sz w:val="22"/>
        </w:rPr>
        <w:t>4.3.3.1 Verified Trade Profile (Optional)</w:t>
      </w:r>
    </w:p>
    <w:p>
      <w:pPr>
        <w:spacing w:after="80" w:line="293" w:lineRule="auto"/>
        <w:jc w:val="left"/>
      </w:pPr>
      <w:r>
        <w:rPr>
          <w:rFonts w:ascii="Times New Roman" w:hAnsi="Times New Roman" w:cs="Times New Roman"/>
          <w:b w:val="0"/>
          <w:i w:val="0"/>
          <w:sz w:val="22"/>
        </w:rPr>
        <w:t>After entering the basic identifiers, the user may optionally link additional verified identifiers. These are not required for onboarding but increase trust score and enable certain features.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Identifier</w:t>
            </w:r>
          </w:p>
        </w:tc>
        <w:tc>
          <w:tcPr>
            <w:tcW w:type="dxa" w:w="2409"/>
            <w:shd w:val="clear" w:fill="D9E2F3"/>
          </w:tcPr>
          <w:p>
            <w:pPr>
              <w:spacing w:after="20" w:before="20" w:line="240" w:lineRule="auto"/>
            </w:pPr>
            <w:r/>
            <w:r>
              <w:rPr>
                <w:rFonts w:ascii="Arial" w:hAnsi="Arial" w:cs="Arial"/>
                <w:b/>
                <w:i w:val="0"/>
                <w:sz w:val="18"/>
              </w:rPr>
              <w:t>Source</w:t>
            </w:r>
          </w:p>
        </w:tc>
        <w:tc>
          <w:tcPr>
            <w:tcW w:type="dxa" w:w="2409"/>
            <w:shd w:val="clear" w:fill="D9E2F3"/>
          </w:tcPr>
          <w:p>
            <w:pPr>
              <w:spacing w:after="20" w:before="20" w:line="240" w:lineRule="auto"/>
            </w:pPr>
            <w:r/>
            <w:r>
              <w:rPr>
                <w:rFonts w:ascii="Arial" w:hAnsi="Arial" w:cs="Arial"/>
                <w:b/>
                <w:i w:val="0"/>
                <w:sz w:val="18"/>
              </w:rPr>
              <w:t>Verification Method</w:t>
            </w:r>
          </w:p>
        </w:tc>
        <w:tc>
          <w:tcPr>
            <w:tcW w:type="dxa" w:w="2409"/>
            <w:shd w:val="clear" w:fill="D9E2F3"/>
          </w:tcPr>
          <w:p>
            <w:pPr>
              <w:spacing w:after="20" w:before="20" w:line="240" w:lineRule="auto"/>
            </w:pPr>
            <w:r/>
            <w:r>
              <w:rPr>
                <w:rFonts w:ascii="Arial" w:hAnsi="Arial" w:cs="Arial"/>
                <w:b/>
                <w:i w:val="0"/>
                <w:sz w:val="18"/>
              </w:rPr>
              <w:t>One-Click Action</w:t>
            </w:r>
          </w:p>
        </w:tc>
      </w:tr>
      <w:tr>
        <w:tc>
          <w:tcPr>
            <w:tcW w:type="dxa" w:w="2409"/>
          </w:tcPr>
          <w:p>
            <w:pPr>
              <w:spacing w:after="20" w:before="20" w:line="240" w:lineRule="auto"/>
            </w:pPr>
            <w:r/>
            <w:r>
              <w:rPr>
                <w:rFonts w:ascii="Arial" w:hAnsi="Arial" w:cs="Arial"/>
                <w:b w:val="0"/>
                <w:i w:val="0"/>
                <w:sz w:val="17"/>
              </w:rPr>
              <w:t>LEI (Legal Entity Identifier)</w:t>
            </w:r>
          </w:p>
        </w:tc>
        <w:tc>
          <w:tcPr>
            <w:tcW w:type="dxa" w:w="2409"/>
          </w:tcPr>
          <w:p>
            <w:pPr>
              <w:spacing w:after="20" w:before="20" w:line="240" w:lineRule="auto"/>
            </w:pPr>
            <w:r/>
            <w:r>
              <w:rPr>
                <w:rFonts w:ascii="Arial" w:hAnsi="Arial" w:cs="Arial"/>
                <w:b w:val="0"/>
                <w:i w:val="0"/>
                <w:sz w:val="17"/>
              </w:rPr>
              <w:t>User input (20-character alphanumeric)</w:t>
            </w:r>
          </w:p>
        </w:tc>
        <w:tc>
          <w:tcPr>
            <w:tcW w:type="dxa" w:w="2409"/>
          </w:tcPr>
          <w:p>
            <w:pPr>
              <w:spacing w:after="20" w:before="20" w:line="240" w:lineRule="auto"/>
            </w:pPr>
            <w:r/>
            <w:r>
              <w:rPr>
                <w:rFonts w:ascii="Arial" w:hAnsi="Arial" w:cs="Arial"/>
                <w:b w:val="0"/>
                <w:i w:val="0"/>
                <w:sz w:val="17"/>
              </w:rPr>
              <w:t>GLEIF API (real-time) → returns legal name, status</w:t>
            </w:r>
          </w:p>
        </w:tc>
        <w:tc>
          <w:tcPr>
            <w:tcW w:type="dxa" w:w="2409"/>
          </w:tcPr>
          <w:p>
            <w:pPr>
              <w:spacing w:after="20" w:before="20" w:line="240" w:lineRule="auto"/>
            </w:pPr>
            <w:r/>
            <w:r>
              <w:rPr>
                <w:rFonts w:ascii="Arial" w:hAnsi="Arial" w:cs="Arial"/>
                <w:b w:val="0"/>
                <w:i w:val="0"/>
                <w:sz w:val="17"/>
              </w:rPr>
              <w:t>"Verify LEI"</w:t>
            </w:r>
          </w:p>
        </w:tc>
      </w:tr>
      <w:tr>
        <w:tc>
          <w:tcPr>
            <w:tcW w:type="dxa" w:w="2409"/>
          </w:tcPr>
          <w:p>
            <w:pPr>
              <w:spacing w:after="20" w:before="20" w:line="240" w:lineRule="auto"/>
            </w:pPr>
            <w:r/>
            <w:r>
              <w:rPr>
                <w:rFonts w:ascii="Arial" w:hAnsi="Arial" w:cs="Arial"/>
                <w:b w:val="0"/>
                <w:i w:val="0"/>
                <w:sz w:val="17"/>
              </w:rPr>
              <w:t>DUNS Number</w:t>
            </w:r>
          </w:p>
        </w:tc>
        <w:tc>
          <w:tcPr>
            <w:tcW w:type="dxa" w:w="2409"/>
          </w:tcPr>
          <w:p>
            <w:pPr>
              <w:spacing w:after="20" w:before="20" w:line="240" w:lineRule="auto"/>
            </w:pPr>
            <w:r/>
            <w:r>
              <w:rPr>
                <w:rFonts w:ascii="Arial" w:hAnsi="Arial" w:cs="Arial"/>
                <w:b w:val="0"/>
                <w:i w:val="0"/>
                <w:sz w:val="17"/>
              </w:rPr>
              <w:t>User input (9 digits)</w:t>
            </w:r>
          </w:p>
        </w:tc>
        <w:tc>
          <w:tcPr>
            <w:tcW w:type="dxa" w:w="2409"/>
          </w:tcPr>
          <w:p>
            <w:pPr>
              <w:spacing w:after="20" w:before="20" w:line="240" w:lineRule="auto"/>
            </w:pPr>
            <w:r/>
            <w:r>
              <w:rPr>
                <w:rFonts w:ascii="Arial" w:hAnsi="Arial" w:cs="Arial"/>
                <w:b w:val="0"/>
                <w:i w:val="0"/>
                <w:sz w:val="17"/>
              </w:rPr>
              <w:t>Dun &amp; Bradstreet (scraped, batch daily)</w:t>
            </w:r>
          </w:p>
        </w:tc>
        <w:tc>
          <w:tcPr>
            <w:tcW w:type="dxa" w:w="2409"/>
          </w:tcPr>
          <w:p>
            <w:pPr>
              <w:spacing w:after="20" w:before="20" w:line="240" w:lineRule="auto"/>
            </w:pPr>
            <w:r/>
            <w:r>
              <w:rPr>
                <w:rFonts w:ascii="Arial" w:hAnsi="Arial" w:cs="Arial"/>
                <w:b w:val="0"/>
                <w:i w:val="0"/>
                <w:sz w:val="17"/>
              </w:rPr>
              <w:t>"Verify DUNS"</w:t>
            </w:r>
          </w:p>
        </w:tc>
      </w:tr>
      <w:tr>
        <w:tc>
          <w:tcPr>
            <w:tcW w:type="dxa" w:w="2409"/>
          </w:tcPr>
          <w:p>
            <w:pPr>
              <w:spacing w:after="20" w:before="20" w:line="240" w:lineRule="auto"/>
            </w:pPr>
            <w:r/>
            <w:r>
              <w:rPr>
                <w:rFonts w:ascii="Arial" w:hAnsi="Arial" w:cs="Arial"/>
                <w:b w:val="0"/>
                <w:i w:val="0"/>
                <w:sz w:val="17"/>
              </w:rPr>
              <w:t>Customs Registration (local)</w:t>
            </w:r>
          </w:p>
        </w:tc>
        <w:tc>
          <w:tcPr>
            <w:tcW w:type="dxa" w:w="2409"/>
          </w:tcPr>
          <w:p>
            <w:pPr>
              <w:spacing w:after="20" w:before="20" w:line="240" w:lineRule="auto"/>
            </w:pPr>
            <w:r/>
            <w:r>
              <w:rPr>
                <w:rFonts w:ascii="Arial" w:hAnsi="Arial" w:cs="Arial"/>
                <w:b w:val="0"/>
                <w:i w:val="0"/>
                <w:sz w:val="17"/>
              </w:rPr>
              <w:t>Upload PDF or enter registration number</w:t>
            </w:r>
          </w:p>
        </w:tc>
        <w:tc>
          <w:tcPr>
            <w:tcW w:type="dxa" w:w="2409"/>
          </w:tcPr>
          <w:p>
            <w:pPr>
              <w:spacing w:after="20" w:before="20" w:line="240" w:lineRule="auto"/>
            </w:pPr>
            <w:r/>
            <w:r>
              <w:rPr>
                <w:rFonts w:ascii="Arial" w:hAnsi="Arial" w:cs="Arial"/>
                <w:b w:val="0"/>
                <w:i w:val="0"/>
                <w:sz w:val="17"/>
              </w:rPr>
              <w:t>Nafeza API (Egypt) or equivalent customs system</w:t>
            </w:r>
          </w:p>
        </w:tc>
        <w:tc>
          <w:tcPr>
            <w:tcW w:type="dxa" w:w="2409"/>
          </w:tcPr>
          <w:p>
            <w:pPr>
              <w:spacing w:after="20" w:before="20" w:line="240" w:lineRule="auto"/>
            </w:pPr>
            <w:r/>
            <w:r>
              <w:rPr>
                <w:rFonts w:ascii="Arial" w:hAnsi="Arial" w:cs="Arial"/>
                <w:b w:val="0"/>
                <w:i w:val="0"/>
                <w:sz w:val="17"/>
              </w:rPr>
              <w:t>"Verify Customs Reg"</w:t>
            </w:r>
          </w:p>
        </w:tc>
      </w:tr>
      <w:tr>
        <w:tc>
          <w:tcPr>
            <w:tcW w:type="dxa" w:w="2409"/>
          </w:tcPr>
          <w:p>
            <w:pPr>
              <w:spacing w:after="20" w:before="20" w:line="240" w:lineRule="auto"/>
            </w:pPr>
            <w:r/>
            <w:r>
              <w:rPr>
                <w:rFonts w:ascii="Arial" w:hAnsi="Arial" w:cs="Arial"/>
                <w:b w:val="0"/>
                <w:i w:val="0"/>
                <w:sz w:val="17"/>
              </w:rPr>
              <w:t>Chamber of Commerce Registration</w:t>
            </w:r>
          </w:p>
        </w:tc>
        <w:tc>
          <w:tcPr>
            <w:tcW w:type="dxa" w:w="2409"/>
          </w:tcPr>
          <w:p>
            <w:pPr>
              <w:spacing w:after="20" w:before="20" w:line="240" w:lineRule="auto"/>
            </w:pPr>
            <w:r/>
            <w:r>
              <w:rPr>
                <w:rFonts w:ascii="Arial" w:hAnsi="Arial" w:cs="Arial"/>
                <w:b w:val="0"/>
                <w:i w:val="0"/>
                <w:sz w:val="17"/>
              </w:rPr>
              <w:t>Upload PDF</w:t>
            </w:r>
          </w:p>
        </w:tc>
        <w:tc>
          <w:tcPr>
            <w:tcW w:type="dxa" w:w="2409"/>
          </w:tcPr>
          <w:p>
            <w:pPr>
              <w:spacing w:after="20" w:before="20" w:line="240" w:lineRule="auto"/>
            </w:pPr>
            <w:r/>
            <w:r>
              <w:rPr>
                <w:rFonts w:ascii="Arial" w:hAnsi="Arial" w:cs="Arial"/>
                <w:b w:val="0"/>
                <w:i w:val="0"/>
                <w:sz w:val="17"/>
              </w:rPr>
              <w:t>Scraped registry check (jurisdiction-specific)</w:t>
            </w:r>
          </w:p>
        </w:tc>
        <w:tc>
          <w:tcPr>
            <w:tcW w:type="dxa" w:w="2409"/>
          </w:tcPr>
          <w:p>
            <w:pPr>
              <w:spacing w:after="20" w:before="20" w:line="240" w:lineRule="auto"/>
            </w:pPr>
            <w:r/>
            <w:r>
              <w:rPr>
                <w:rFonts w:ascii="Arial" w:hAnsi="Arial" w:cs="Arial"/>
                <w:b w:val="0"/>
                <w:i w:val="0"/>
                <w:sz w:val="17"/>
              </w:rPr>
              <w:t>"Verify Chamber Reg"</w:t>
            </w:r>
          </w:p>
        </w:tc>
      </w:tr>
      <w:tr>
        <w:tc>
          <w:tcPr>
            <w:tcW w:type="dxa" w:w="2409"/>
          </w:tcPr>
          <w:p>
            <w:pPr>
              <w:spacing w:after="20" w:before="20" w:line="240" w:lineRule="auto"/>
            </w:pPr>
            <w:r/>
            <w:r>
              <w:rPr>
                <w:rFonts w:ascii="Arial" w:hAnsi="Arial" w:cs="Arial"/>
                <w:b w:val="0"/>
                <w:i w:val="0"/>
                <w:sz w:val="17"/>
              </w:rPr>
              <w:t>VAT Registration</w:t>
            </w:r>
          </w:p>
        </w:tc>
        <w:tc>
          <w:tcPr>
            <w:tcW w:type="dxa" w:w="2409"/>
          </w:tcPr>
          <w:p>
            <w:pPr>
              <w:spacing w:after="20" w:before="20" w:line="240" w:lineRule="auto"/>
            </w:pPr>
            <w:r/>
            <w:r>
              <w:rPr>
                <w:rFonts w:ascii="Arial" w:hAnsi="Arial" w:cs="Arial"/>
                <w:b w:val="0"/>
                <w:i w:val="0"/>
                <w:sz w:val="17"/>
              </w:rPr>
              <w:t>Upload PDF or enter number</w:t>
            </w:r>
          </w:p>
        </w:tc>
        <w:tc>
          <w:tcPr>
            <w:tcW w:type="dxa" w:w="2409"/>
          </w:tcPr>
          <w:p>
            <w:pPr>
              <w:spacing w:after="20" w:before="20" w:line="240" w:lineRule="auto"/>
            </w:pPr>
            <w:r/>
            <w:r>
              <w:rPr>
                <w:rFonts w:ascii="Arial" w:hAnsi="Arial" w:cs="Arial"/>
                <w:b w:val="0"/>
                <w:i w:val="0"/>
                <w:sz w:val="17"/>
              </w:rPr>
              <w:t>ETA API (Egypt) or equivalent</w:t>
            </w:r>
          </w:p>
        </w:tc>
        <w:tc>
          <w:tcPr>
            <w:tcW w:type="dxa" w:w="2409"/>
          </w:tcPr>
          <w:p>
            <w:pPr>
              <w:spacing w:after="20" w:before="20" w:line="240" w:lineRule="auto"/>
            </w:pPr>
            <w:r/>
            <w:r>
              <w:rPr>
                <w:rFonts w:ascii="Arial" w:hAnsi="Arial" w:cs="Arial"/>
                <w:b w:val="0"/>
                <w:i w:val="0"/>
                <w:sz w:val="17"/>
              </w:rPr>
              <w:t>"Verify VAT"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Workflow for each identifier: the user enters the identifier or uploads a document, clicks the corresponding "Verify" button, and the system calls the external API (or scraped cache) and returns:</w:t>
      </w:r>
    </w:p>
    <w:p>
      <w:pPr>
        <w:spacing w:after="80" w:line="293" w:lineRule="auto"/>
        <w:ind w:left="283"/>
        <w:jc w:val="left"/>
      </w:pPr>
      <w:r>
        <w:rPr>
          <w:rFonts w:ascii="Times New Roman" w:hAnsi="Times New Roman" w:cs="Times New Roman"/>
          <w:b w:val="0"/>
          <w:i w:val="0"/>
          <w:sz w:val="22"/>
        </w:rPr>
        <w:t>- Verified — identifier stored in `tenant_verified_ids` table, linked to GTID.</w:t>
      </w:r>
    </w:p>
    <w:p>
      <w:pPr>
        <w:spacing w:after="80" w:line="293" w:lineRule="auto"/>
        <w:ind w:left="283"/>
        <w:jc w:val="left"/>
      </w:pPr>
      <w:r>
        <w:rPr>
          <w:rFonts w:ascii="Times New Roman" w:hAnsi="Times New Roman" w:cs="Times New Roman"/>
          <w:b w:val="0"/>
          <w:i w:val="0"/>
          <w:sz w:val="22"/>
        </w:rPr>
        <w:t>- Mismatch / Invalid — error message with suggestion to correct.</w:t>
      </w:r>
    </w:p>
    <w:p>
      <w:pPr>
        <w:spacing w:after="80" w:line="293" w:lineRule="auto"/>
        <w:ind w:left="283"/>
        <w:jc w:val="left"/>
      </w:pPr>
      <w:r>
        <w:rPr>
          <w:rFonts w:ascii="Times New Roman" w:hAnsi="Times New Roman" w:cs="Times New Roman"/>
          <w:b w:val="0"/>
          <w:i w:val="0"/>
          <w:sz w:val="22"/>
        </w:rPr>
        <w:t>- Pending (for batch-verified DUNS) — will be verified within 24h; user can proceed.</w:t>
      </w:r>
    </w:p>
    <w:p>
      <w:pPr>
        <w:spacing w:after="80" w:line="293" w:lineRule="auto"/>
        <w:jc w:val="left"/>
      </w:pPr>
      <w:r>
        <w:rPr>
          <w:rFonts w:ascii="Times New Roman" w:hAnsi="Times New Roman" w:cs="Times New Roman"/>
          <w:b w:val="0"/>
          <w:i w:val="0"/>
          <w:sz w:val="22"/>
        </w:rPr>
        <w:t>One-click actions per identifier: "Verify LEI", "Verify DUNS", etc. — each is a single click. The user may skip any or all.</w:t>
      </w:r>
    </w:p>
    <w:p>
      <w:pPr>
        <w:spacing w:after="80" w:line="293" w:lineRule="auto"/>
        <w:jc w:val="left"/>
      </w:pPr>
      <w:r>
        <w:rPr>
          <w:rFonts w:ascii="Times New Roman" w:hAnsi="Times New Roman" w:cs="Times New Roman"/>
          <w:b w:val="0"/>
          <w:i w:val="0"/>
          <w:sz w:val="22"/>
        </w:rPr>
        <w:t>One-click action: click "Verify &amp; Continue" → proceeds to Step 3.</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ORGANIZATION DETAILS — Step 2 of 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BASIC DETAILS</w:t>
      </w:r>
    </w:p>
    <w:p>
      <w:pPr>
        <w:spacing w:after="0" w:before="0" w:line="240" w:lineRule="auto"/>
        <w:ind w:left="57"/>
        <w:jc w:val="left"/>
        <w:shd w:val="clear" w:fill="F2F2F2"/>
      </w:pPr>
      <w:r>
        <w:rPr>
          <w:rFonts w:ascii="Consolas" w:hAnsi="Consolas" w:cs="Consolas"/>
          <w:b w:val="0"/>
          <w:i w:val="0"/>
          <w:sz w:val="15"/>
        </w:rPr>
        <w:t xml:space="preserve">  Commercial Register:  [123-456-789]  [Upload PDF]  (AI extracted: 123-456-789 ✓)</w:t>
      </w:r>
    </w:p>
    <w:p>
      <w:pPr>
        <w:spacing w:after="0" w:before="0" w:line="240" w:lineRule="auto"/>
        <w:ind w:left="57"/>
        <w:jc w:val="left"/>
        <w:shd w:val="clear" w:fill="F2F2F2"/>
      </w:pPr>
      <w:r>
        <w:rPr>
          <w:rFonts w:ascii="Consolas" w:hAnsi="Consolas" w:cs="Consolas"/>
          <w:b w:val="0"/>
          <w:i w:val="0"/>
          <w:sz w:val="15"/>
        </w:rPr>
        <w:t xml:space="preserve">  Tax ID (VAT):        [123-456-789]</w:t>
      </w:r>
    </w:p>
    <w:p>
      <w:pPr>
        <w:spacing w:after="0" w:before="0" w:line="240" w:lineRule="auto"/>
        <w:ind w:left="57"/>
        <w:jc w:val="left"/>
        <w:shd w:val="clear" w:fill="F2F2F2"/>
      </w:pPr>
      <w:r>
        <w:rPr>
          <w:rFonts w:ascii="Consolas" w:hAnsi="Consolas" w:cs="Consolas"/>
          <w:b w:val="0"/>
          <w:i w:val="0"/>
          <w:sz w:val="15"/>
        </w:rPr>
        <w:t xml:space="preserve">  Export License:      [EXP-2026-001]</w:t>
      </w:r>
    </w:p>
    <w:p>
      <w:pPr>
        <w:spacing w:after="0" w:before="0" w:line="240" w:lineRule="auto"/>
        <w:ind w:left="57"/>
        <w:jc w:val="left"/>
        <w:shd w:val="clear" w:fill="F2F2F2"/>
      </w:pPr>
      <w:r>
        <w:rPr>
          <w:rFonts w:ascii="Consolas" w:hAnsi="Consolas" w:cs="Consolas"/>
          <w:b w:val="0"/>
          <w:i w:val="0"/>
          <w:sz w:val="15"/>
        </w:rPr>
        <w:t xml:space="preserve">  Insurance Certificate: [INS-2026-001]</w:t>
      </w:r>
    </w:p>
    <w:p>
      <w:pPr>
        <w:spacing w:after="0" w:before="0" w:line="240" w:lineRule="auto"/>
        <w:ind w:left="57"/>
        <w:jc w:val="left"/>
        <w:shd w:val="clear" w:fill="F2F2F2"/>
      </w:pPr>
      <w:r>
        <w:rPr>
          <w:rFonts w:ascii="Consolas" w:hAnsi="Consolas" w:cs="Consolas"/>
          <w:b w:val="0"/>
          <w:i w:val="0"/>
          <w:sz w:val="15"/>
        </w:rPr>
        <w:t xml:space="preserve">  ISO Accreditation:   [ISO-17025-2026]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UBO DECLARATION</w:t>
      </w:r>
    </w:p>
    <w:p>
      <w:pPr>
        <w:spacing w:after="0" w:before="0" w:line="240" w:lineRule="auto"/>
        <w:ind w:left="57"/>
        <w:jc w:val="left"/>
        <w:shd w:val="clear" w:fill="F2F2F2"/>
      </w:pPr>
      <w:r>
        <w:rPr>
          <w:rFonts w:ascii="Consolas" w:hAnsi="Consolas" w:cs="Consolas"/>
          <w:b w:val="0"/>
          <w:i w:val="0"/>
          <w:sz w:val="15"/>
        </w:rPr>
        <w:t xml:space="preserve">  Name: [Ahmed Mohamed]  Nationality: [Egypt]  Ownership %: [51]</w:t>
      </w:r>
    </w:p>
    <w:p>
      <w:pPr>
        <w:spacing w:after="0" w:before="0" w:line="240" w:lineRule="auto"/>
        <w:ind w:left="57"/>
        <w:jc w:val="left"/>
        <w:shd w:val="clear" w:fill="F2F2F2"/>
      </w:pPr>
      <w:r>
        <w:rPr>
          <w:rFonts w:ascii="Consolas" w:hAnsi="Consolas" w:cs="Consolas"/>
          <w:b w:val="0"/>
          <w:i w:val="0"/>
          <w:sz w:val="15"/>
        </w:rPr>
        <w:t xml:space="preserve">  Name: [Sara Ali]       Nationality: [Egypt]  Ownership %: [49]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VERIFIED TRADE PROFILE (Optional)</w:t>
      </w:r>
    </w:p>
    <w:p>
      <w:pPr>
        <w:spacing w:after="0" w:before="0" w:line="240" w:lineRule="auto"/>
        <w:ind w:left="57"/>
        <w:jc w:val="left"/>
        <w:shd w:val="clear" w:fill="F2F2F2"/>
      </w:pPr>
      <w:r>
        <w:rPr>
          <w:rFonts w:ascii="Consolas" w:hAnsi="Consolas" w:cs="Consolas"/>
          <w:b w:val="0"/>
          <w:i w:val="0"/>
          <w:sz w:val="15"/>
        </w:rPr>
        <w:t xml:space="preserve">  LEI:          [549300ABC123]  [Verify LEI]      ✓ Verified</w:t>
      </w:r>
    </w:p>
    <w:p>
      <w:pPr>
        <w:spacing w:after="0" w:before="0" w:line="240" w:lineRule="auto"/>
        <w:ind w:left="57"/>
        <w:jc w:val="left"/>
        <w:shd w:val="clear" w:fill="F2F2F2"/>
      </w:pPr>
      <w:r>
        <w:rPr>
          <w:rFonts w:ascii="Consolas" w:hAnsi="Consolas" w:cs="Consolas"/>
          <w:b w:val="0"/>
          <w:i w:val="0"/>
          <w:sz w:val="15"/>
        </w:rPr>
        <w:t xml:space="preserve">  DUNS:         [123456789]     [Verify DUNS]     ✓ Verified</w:t>
      </w:r>
    </w:p>
    <w:p>
      <w:pPr>
        <w:spacing w:after="0" w:before="0" w:line="240" w:lineRule="auto"/>
        <w:ind w:left="57"/>
        <w:jc w:val="left"/>
        <w:shd w:val="clear" w:fill="F2F2F2"/>
      </w:pPr>
      <w:r>
        <w:rPr>
          <w:rFonts w:ascii="Consolas" w:hAnsi="Consolas" w:cs="Consolas"/>
          <w:b w:val="0"/>
          <w:i w:val="0"/>
          <w:sz w:val="15"/>
        </w:rPr>
        <w:t xml:space="preserve">  Customs Reg:  [EG-123456]     [Verify Customs Reg]  ✓ Verified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[Verify &amp; Continue]   [Skip to Step 3]</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4.3.4 Step 3 — KYB/KYC Verification (Automated, AI-Driven)</w:t>
      </w:r>
    </w:p>
    <w:p>
      <w:pPr>
        <w:spacing w:after="80" w:line="293" w:lineRule="auto"/>
        <w:jc w:val="left"/>
      </w:pPr>
      <w:r>
        <w:rPr>
          <w:rFonts w:ascii="Times New Roman" w:hAnsi="Times New Roman" w:cs="Times New Roman"/>
          <w:b w:val="0"/>
          <w:i w:val="0"/>
          <w:sz w:val="22"/>
        </w:rPr>
        <w:t>Dynamic document list generated by RIA based on entity type, jurisdiction, and selected identifiers. Example for TRD (Exporter, Egypt):</w:t>
      </w:r>
    </w:p>
    <w:p>
      <w:pPr>
        <w:spacing w:after="80" w:line="293" w:lineRule="auto"/>
        <w:ind w:left="283"/>
        <w:jc w:val="left"/>
      </w:pPr>
      <w:r>
        <w:rPr>
          <w:rFonts w:ascii="Times New Roman" w:hAnsi="Times New Roman" w:cs="Times New Roman"/>
          <w:b w:val="0"/>
          <w:i w:val="0"/>
          <w:sz w:val="22"/>
        </w:rPr>
        <w:t>- Commercial register extract (already uploaded in Step 2)</w:t>
      </w:r>
    </w:p>
    <w:p>
      <w:pPr>
        <w:spacing w:after="80" w:line="293" w:lineRule="auto"/>
        <w:ind w:left="283"/>
        <w:jc w:val="left"/>
      </w:pPr>
      <w:r>
        <w:rPr>
          <w:rFonts w:ascii="Times New Roman" w:hAnsi="Times New Roman" w:cs="Times New Roman"/>
          <w:b w:val="0"/>
          <w:i w:val="0"/>
          <w:sz w:val="22"/>
        </w:rPr>
        <w:t>- Tax registration certificate</w:t>
      </w:r>
    </w:p>
    <w:p>
      <w:pPr>
        <w:spacing w:after="80" w:line="293" w:lineRule="auto"/>
        <w:ind w:left="283"/>
        <w:jc w:val="left"/>
      </w:pPr>
      <w:r>
        <w:rPr>
          <w:rFonts w:ascii="Times New Roman" w:hAnsi="Times New Roman" w:cs="Times New Roman"/>
          <w:b w:val="0"/>
          <w:i w:val="0"/>
          <w:sz w:val="22"/>
        </w:rPr>
        <w:t>- Export licence</w:t>
      </w:r>
    </w:p>
    <w:p>
      <w:pPr>
        <w:spacing w:after="80" w:line="293" w:lineRule="auto"/>
        <w:ind w:left="283"/>
        <w:jc w:val="left"/>
      </w:pPr>
      <w:r>
        <w:rPr>
          <w:rFonts w:ascii="Times New Roman" w:hAnsi="Times New Roman" w:cs="Times New Roman"/>
          <w:b w:val="0"/>
          <w:i w:val="0"/>
          <w:sz w:val="22"/>
        </w:rPr>
        <w:t>- UBO declaration form (structured)</w:t>
      </w:r>
    </w:p>
    <w:p>
      <w:pPr>
        <w:spacing w:after="80" w:line="293" w:lineRule="auto"/>
        <w:ind w:left="283"/>
        <w:jc w:val="left"/>
      </w:pPr>
      <w:r>
        <w:rPr>
          <w:rFonts w:ascii="Times New Roman" w:hAnsi="Times New Roman" w:cs="Times New Roman"/>
          <w:b w:val="0"/>
          <w:i w:val="0"/>
          <w:sz w:val="22"/>
        </w:rPr>
        <w:t>- Bank account confirmation letter (optional)</w:t>
      </w:r>
    </w:p>
    <w:p>
      <w:pPr>
        <w:spacing w:after="80" w:line="293" w:lineRule="auto"/>
        <w:ind w:left="283"/>
        <w:jc w:val="left"/>
      </w:pPr>
      <w:r>
        <w:rPr>
          <w:rFonts w:ascii="Times New Roman" w:hAnsi="Times New Roman" w:cs="Times New Roman"/>
          <w:b w:val="0"/>
          <w:i w:val="0"/>
          <w:sz w:val="22"/>
        </w:rPr>
        <w:t>- Sanctions self-declaration (pre-filled, user signs)</w:t>
      </w:r>
    </w:p>
    <w:p>
      <w:pPr>
        <w:spacing w:after="80" w:line="293" w:lineRule="auto"/>
        <w:jc w:val="left"/>
      </w:pPr>
      <w:r>
        <w:rPr>
          <w:rFonts w:ascii="Times New Roman" w:hAnsi="Times New Roman" w:cs="Times New Roman"/>
          <w:b w:val="0"/>
          <w:i w:val="0"/>
          <w:sz w:val="22"/>
        </w:rPr>
        <w:t>AI assistance:</w:t>
      </w:r>
    </w:p>
    <w:p>
      <w:pPr>
        <w:spacing w:after="80" w:line="293" w:lineRule="auto"/>
        <w:ind w:left="283"/>
        <w:jc w:val="left"/>
      </w:pPr>
      <w:r>
        <w:rPr>
          <w:rFonts w:ascii="Times New Roman" w:hAnsi="Times New Roman" w:cs="Times New Roman"/>
          <w:b w:val="0"/>
          <w:i w:val="0"/>
          <w:sz w:val="22"/>
        </w:rPr>
        <w:t>- A2 (HF Donut) extracts all fields from uploaded PDFs.</w:t>
      </w:r>
    </w:p>
    <w:p>
      <w:pPr>
        <w:spacing w:after="80" w:line="293" w:lineRule="auto"/>
        <w:ind w:left="283"/>
        <w:jc w:val="left"/>
      </w:pPr>
      <w:r>
        <w:rPr>
          <w:rFonts w:ascii="Times New Roman" w:hAnsi="Times New Roman" w:cs="Times New Roman"/>
          <w:b w:val="0"/>
          <w:i w:val="0"/>
          <w:sz w:val="22"/>
        </w:rPr>
        <w:t>- The system cross-references with government registries (free APIs, scraped).</w:t>
      </w:r>
    </w:p>
    <w:p>
      <w:pPr>
        <w:spacing w:after="80" w:line="293" w:lineRule="auto"/>
        <w:ind w:left="283"/>
        <w:jc w:val="left"/>
      </w:pPr>
      <w:r>
        <w:rPr>
          <w:rFonts w:ascii="Times New Roman" w:hAnsi="Times New Roman" w:cs="Times New Roman"/>
          <w:b w:val="0"/>
          <w:i w:val="0"/>
          <w:sz w:val="22"/>
        </w:rPr>
        <w:t>- Biometric liveness: for individuals (UBOs, directors) using ZITADEL WebAuthn (passkey) — no third-party service.</w:t>
      </w:r>
    </w:p>
    <w:p>
      <w:pPr>
        <w:spacing w:after="80" w:line="293" w:lineRule="auto"/>
        <w:jc w:val="left"/>
      </w:pPr>
      <w:r>
        <w:rPr>
          <w:rFonts w:ascii="Times New Roman" w:hAnsi="Times New Roman" w:cs="Times New Roman"/>
          <w:b w:val="0"/>
          <w:i w:val="0"/>
          <w:sz w:val="22"/>
        </w:rPr>
        <w:t>Verification status:</w:t>
      </w:r>
    </w:p>
    <w:p>
      <w:pPr>
        <w:spacing w:after="80" w:line="293" w:lineRule="auto"/>
        <w:ind w:left="283"/>
        <w:jc w:val="left"/>
      </w:pPr>
      <w:r>
        <w:rPr>
          <w:rFonts w:ascii="Times New Roman" w:hAnsi="Times New Roman" w:cs="Times New Roman"/>
          <w:b w:val="0"/>
          <w:i w:val="0"/>
          <w:sz w:val="22"/>
        </w:rPr>
        <w:t>- Auto-verified — confidence ≥90% and registry match.</w:t>
      </w:r>
    </w:p>
    <w:p>
      <w:pPr>
        <w:spacing w:after="80" w:line="293" w:lineRule="auto"/>
        <w:ind w:left="283"/>
        <w:jc w:val="left"/>
      </w:pPr>
      <w:r>
        <w:rPr>
          <w:rFonts w:ascii="Times New Roman" w:hAnsi="Times New Roman" w:cs="Times New Roman"/>
          <w:b w:val="0"/>
          <w:i w:val="0"/>
          <w:sz w:val="22"/>
        </w:rPr>
        <w:t>- Manual review required — confidence &lt;85% or registry unavailable.</w:t>
      </w:r>
    </w:p>
    <w:p>
      <w:pPr>
        <w:spacing w:after="80" w:line="293" w:lineRule="auto"/>
        <w:ind w:left="283"/>
        <w:jc w:val="left"/>
      </w:pPr>
      <w:r>
        <w:rPr>
          <w:rFonts w:ascii="Times New Roman" w:hAnsi="Times New Roman" w:cs="Times New Roman"/>
          <w:b w:val="0"/>
          <w:i w:val="0"/>
          <w:sz w:val="22"/>
        </w:rPr>
        <w:t>- Rejected — mismatch with official records (user can appeal).</w:t>
      </w:r>
    </w:p>
    <w:p>
      <w:pPr>
        <w:spacing w:after="80" w:line="293" w:lineRule="auto"/>
        <w:jc w:val="left"/>
      </w:pPr>
      <w:r>
        <w:rPr>
          <w:rFonts w:ascii="Times New Roman" w:hAnsi="Times New Roman" w:cs="Times New Roman"/>
          <w:b w:val="0"/>
          <w:i w:val="0"/>
          <w:sz w:val="22"/>
        </w:rPr>
        <w:t>User action: click "Submit Documents" — one click. The system queues for verification. While pending, the tenant can use sandbox but cannot create real trades. Smart Inbox shows the estimated SLA (e.g., "Your documents are under review. Estimated response 48 hours.") — generated by A1.</w:t>
      </w:r>
    </w:p>
    <w:p>
      <w:pPr>
        <w:spacing w:after="80" w:line="293" w:lineRule="auto"/>
        <w:jc w:val="left"/>
      </w:pPr>
      <w:r>
        <w:rPr>
          <w:rFonts w:ascii="Times New Roman" w:hAnsi="Times New Roman" w:cs="Times New Roman"/>
          <w:b w:val="0"/>
          <w:i w:val="0"/>
          <w:sz w:val="22"/>
        </w:rPr>
        <w:t>Governance: the Governor validates that all mandatory documents are submitted; otherwise it returns CONDITIONAL with a Decision Panel listing missing items.</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KYB/KYC VERIFICATION — Step 3 of 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REQUIRED DOCUMENTS</w:t>
      </w:r>
    </w:p>
    <w:p>
      <w:pPr>
        <w:spacing w:after="0" w:before="0" w:line="240" w:lineRule="auto"/>
        <w:ind w:left="57"/>
        <w:jc w:val="left"/>
        <w:shd w:val="clear" w:fill="F2F2F2"/>
      </w:pPr>
      <w:r>
        <w:rPr>
          <w:rFonts w:ascii="Consolas" w:hAnsi="Consolas" w:cs="Consolas"/>
          <w:b w:val="0"/>
          <w:i w:val="0"/>
          <w:sz w:val="15"/>
        </w:rPr>
        <w:t xml:space="preserve">  ✓ Commercial Register Extract   (Uploaded: 2026-06-15)   Verified</w:t>
      </w:r>
    </w:p>
    <w:p>
      <w:pPr>
        <w:spacing w:after="0" w:before="0" w:line="240" w:lineRule="auto"/>
        <w:ind w:left="57"/>
        <w:jc w:val="left"/>
        <w:shd w:val="clear" w:fill="F2F2F2"/>
      </w:pPr>
      <w:r>
        <w:rPr>
          <w:rFonts w:ascii="Consolas" w:hAnsi="Consolas" w:cs="Consolas"/>
          <w:b w:val="0"/>
          <w:i w:val="0"/>
          <w:sz w:val="15"/>
        </w:rPr>
        <w:t xml:space="preserve">  ✓ Tax Registration Certificate  (Uploaded: 2026-06-15)   Verifying...</w:t>
      </w:r>
    </w:p>
    <w:p>
      <w:pPr>
        <w:spacing w:after="0" w:before="0" w:line="240" w:lineRule="auto"/>
        <w:ind w:left="57"/>
        <w:jc w:val="left"/>
        <w:shd w:val="clear" w:fill="F2F2F2"/>
      </w:pPr>
      <w:r>
        <w:rPr>
          <w:rFonts w:ascii="Consolas" w:hAnsi="Consolas" w:cs="Consolas"/>
          <w:b w:val="0"/>
          <w:i w:val="0"/>
          <w:sz w:val="15"/>
        </w:rPr>
        <w:t xml:space="preserve">  ✗ Export License                (Not uploaded)           [Upload Now]</w:t>
      </w:r>
    </w:p>
    <w:p>
      <w:pPr>
        <w:spacing w:after="0" w:before="0" w:line="240" w:lineRule="auto"/>
        <w:ind w:left="57"/>
        <w:jc w:val="left"/>
        <w:shd w:val="clear" w:fill="F2F2F2"/>
      </w:pPr>
      <w:r>
        <w:rPr>
          <w:rFonts w:ascii="Consolas" w:hAnsi="Consolas" w:cs="Consolas"/>
          <w:b w:val="0"/>
          <w:i w:val="0"/>
          <w:sz w:val="15"/>
        </w:rPr>
        <w:t xml:space="preserve">  ✓ UBO Declaration               (Completed)              Verified</w:t>
      </w:r>
    </w:p>
    <w:p>
      <w:pPr>
        <w:spacing w:after="0" w:before="0" w:line="240" w:lineRule="auto"/>
        <w:ind w:left="57"/>
        <w:jc w:val="left"/>
        <w:shd w:val="clear" w:fill="F2F2F2"/>
      </w:pPr>
      <w:r>
        <w:rPr>
          <w:rFonts w:ascii="Consolas" w:hAnsi="Consolas" w:cs="Consolas"/>
          <w:b w:val="0"/>
          <w:i w:val="0"/>
          <w:sz w:val="15"/>
        </w:rPr>
        <w:t xml:space="preserve">  ✗ Sanctions Self-Declaration    (Not signed)             [Sign Now]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BIOMETRIC VERIFICATION (UBOs)</w:t>
      </w:r>
    </w:p>
    <w:p>
      <w:pPr>
        <w:spacing w:after="0" w:before="0" w:line="240" w:lineRule="auto"/>
        <w:ind w:left="57"/>
        <w:jc w:val="left"/>
        <w:shd w:val="clear" w:fill="F2F2F2"/>
      </w:pPr>
      <w:r>
        <w:rPr>
          <w:rFonts w:ascii="Consolas" w:hAnsi="Consolas" w:cs="Consolas"/>
          <w:b w:val="0"/>
          <w:i w:val="0"/>
          <w:sz w:val="15"/>
        </w:rPr>
        <w:t xml:space="preserve">  Ahmed Mohamed:  [Verify with Passkey]   Completed</w:t>
      </w:r>
    </w:p>
    <w:p>
      <w:pPr>
        <w:spacing w:after="0" w:before="0" w:line="240" w:lineRule="auto"/>
        <w:ind w:left="57"/>
        <w:jc w:val="left"/>
        <w:shd w:val="clear" w:fill="F2F2F2"/>
      </w:pPr>
      <w:r>
        <w:rPr>
          <w:rFonts w:ascii="Consolas" w:hAnsi="Consolas" w:cs="Consolas"/>
          <w:b w:val="0"/>
          <w:i w:val="0"/>
          <w:sz w:val="15"/>
        </w:rPr>
        <w:t xml:space="preserve">  Sara Ali:       [Verify with Passkey]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STATUS:  Manual review required for Export License</w:t>
      </w:r>
    </w:p>
    <w:p>
      <w:pPr>
        <w:spacing w:after="0" w:before="0" w:line="240" w:lineRule="auto"/>
        <w:ind w:left="57"/>
        <w:jc w:val="left"/>
        <w:shd w:val="clear" w:fill="F2F2F2"/>
      </w:pPr>
      <w:r>
        <w:rPr>
          <w:rFonts w:ascii="Consolas" w:hAnsi="Consolas" w:cs="Consolas"/>
          <w:b w:val="0"/>
          <w:i w:val="0"/>
          <w:sz w:val="15"/>
        </w:rPr>
        <w:t xml:space="preserve">  Estimated response: 48 hours</w:t>
      </w:r>
    </w:p>
    <w:p>
      <w:pPr>
        <w:spacing w:after="0" w:before="0" w:line="240" w:lineRule="auto"/>
        <w:ind w:left="57"/>
        <w:jc w:val="left"/>
        <w:shd w:val="clear" w:fill="F2F2F2"/>
      </w:pPr>
      <w:r>
        <w:rPr>
          <w:rFonts w:ascii="Consolas" w:hAnsi="Consolas" w:cs="Consolas"/>
          <w:b w:val="0"/>
          <w:i w:val="0"/>
          <w:sz w:val="15"/>
        </w:rPr>
        <w:t xml:space="preserve">  Queue position: 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[Submit Documents]   [Save Draft]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4.3.5 Step 4 — Profile Configuration</w:t>
      </w:r>
    </w:p>
    <w:p>
      <w:pPr>
        <w:spacing w:after="80" w:line="293" w:lineRule="auto"/>
        <w:jc w:val="left"/>
      </w:pPr>
      <w:r>
        <w:rPr>
          <w:rFonts w:ascii="Times New Roman" w:hAnsi="Times New Roman" w:cs="Times New Roman"/>
          <w:b w:val="0"/>
          <w:i w:val="0"/>
          <w:sz w:val="22"/>
        </w:rPr>
        <w:t>Trader-specific (TRD only):</w:t>
      </w:r>
    </w:p>
    <w:p>
      <w:pPr>
        <w:spacing w:after="80" w:line="293" w:lineRule="auto"/>
        <w:ind w:left="283"/>
        <w:jc w:val="left"/>
      </w:pPr>
      <w:r>
        <w:rPr>
          <w:rFonts w:ascii="Times New Roman" w:hAnsi="Times New Roman" w:cs="Times New Roman"/>
          <w:b w:val="0"/>
          <w:i w:val="0"/>
          <w:sz w:val="22"/>
        </w:rPr>
        <w:t>- Trader mode: BUY (importer only), SELL (exporter only), DUAL (both). Default = DUAL.</w:t>
      </w:r>
    </w:p>
    <w:p>
      <w:pPr>
        <w:spacing w:after="80" w:line="293" w:lineRule="auto"/>
        <w:ind w:left="283"/>
        <w:jc w:val="left"/>
      </w:pPr>
      <w:r>
        <w:rPr>
          <w:rFonts w:ascii="Times New Roman" w:hAnsi="Times New Roman" w:cs="Times New Roman"/>
          <w:b w:val="0"/>
          <w:i w:val="0"/>
          <w:sz w:val="22"/>
        </w:rPr>
        <w:t>- Default incoterm (used to pre-fill trade requests).</w:t>
      </w:r>
    </w:p>
    <w:p>
      <w:pPr>
        <w:spacing w:after="80" w:line="293" w:lineRule="auto"/>
        <w:ind w:left="283"/>
        <w:jc w:val="left"/>
      </w:pPr>
      <w:r>
        <w:rPr>
          <w:rFonts w:ascii="Times New Roman" w:hAnsi="Times New Roman" w:cs="Times New Roman"/>
          <w:b w:val="0"/>
          <w:i w:val="0"/>
          <w:sz w:val="22"/>
        </w:rPr>
        <w:t>- Preferred currency (for displaying prices; actual trade currency can differ).</w:t>
      </w:r>
    </w:p>
    <w:p>
      <w:pPr>
        <w:spacing w:after="80" w:line="293" w:lineRule="auto"/>
        <w:jc w:val="left"/>
      </w:pPr>
      <w:r>
        <w:rPr>
          <w:rFonts w:ascii="Times New Roman" w:hAnsi="Times New Roman" w:cs="Times New Roman"/>
          <w:b w:val="0"/>
          <w:i w:val="0"/>
          <w:sz w:val="22"/>
        </w:rPr>
        <w:t>All tenants:</w:t>
      </w:r>
    </w:p>
    <w:p>
      <w:pPr>
        <w:spacing w:after="80" w:line="293" w:lineRule="auto"/>
        <w:ind w:left="283"/>
        <w:jc w:val="left"/>
      </w:pPr>
      <w:r>
        <w:rPr>
          <w:rFonts w:ascii="Times New Roman" w:hAnsi="Times New Roman" w:cs="Times New Roman"/>
          <w:b w:val="0"/>
          <w:i w:val="0"/>
          <w:sz w:val="22"/>
        </w:rPr>
        <w:t>- Preferred language (English, Arabic, German, Vietnamese, etc.) — used for all AI-generated messages, Smart Inbox, and UI.</w:t>
      </w:r>
    </w:p>
    <w:p>
      <w:pPr>
        <w:spacing w:after="80" w:line="293" w:lineRule="auto"/>
        <w:ind w:left="283"/>
        <w:jc w:val="left"/>
      </w:pPr>
      <w:r>
        <w:rPr>
          <w:rFonts w:ascii="Times New Roman" w:hAnsi="Times New Roman" w:cs="Times New Roman"/>
          <w:b w:val="0"/>
          <w:i w:val="0"/>
          <w:sz w:val="22"/>
        </w:rPr>
        <w:t>- Consent for optional features:</w:t>
      </w:r>
    </w:p>
    <w:p>
      <w:pPr>
        <w:spacing w:after="80" w:line="293" w:lineRule="auto"/>
        <w:ind w:left="283"/>
        <w:jc w:val="left"/>
      </w:pPr>
      <w:r>
        <w:rPr>
          <w:rFonts w:ascii="Times New Roman" w:hAnsi="Times New Roman" w:cs="Times New Roman"/>
          <w:b w:val="0"/>
          <w:i w:val="0"/>
          <w:sz w:val="22"/>
        </w:rPr>
        <w:t>- Voice stress flag (off by default, on-device only)</w:t>
      </w:r>
    </w:p>
    <w:p>
      <w:pPr>
        <w:spacing w:after="80" w:line="293" w:lineRule="auto"/>
        <w:ind w:left="283"/>
        <w:jc w:val="left"/>
      </w:pPr>
      <w:r>
        <w:rPr>
          <w:rFonts w:ascii="Times New Roman" w:hAnsi="Times New Roman" w:cs="Times New Roman"/>
          <w:b w:val="0"/>
          <w:i w:val="0"/>
          <w:sz w:val="22"/>
        </w:rPr>
        <w:t>- Offline mobile sync (for LSP/QC mobile apps)</w:t>
      </w:r>
    </w:p>
    <w:p>
      <w:pPr>
        <w:spacing w:after="80" w:line="293" w:lineRule="auto"/>
        <w:ind w:left="283"/>
        <w:jc w:val="left"/>
      </w:pPr>
      <w:r>
        <w:rPr>
          <w:rFonts w:ascii="Times New Roman" w:hAnsi="Times New Roman" w:cs="Times New Roman"/>
          <w:b w:val="0"/>
          <w:i w:val="0"/>
          <w:sz w:val="22"/>
        </w:rPr>
        <w:t>- Anonymous market intelligence panel (sharing aggregated data)</w:t>
      </w:r>
    </w:p>
    <w:p>
      <w:pPr>
        <w:spacing w:after="80" w:line="293" w:lineRule="auto"/>
        <w:ind w:left="283"/>
        <w:jc w:val="left"/>
      </w:pPr>
      <w:r>
        <w:rPr>
          <w:rFonts w:ascii="Times New Roman" w:hAnsi="Times New Roman" w:cs="Times New Roman"/>
          <w:b w:val="0"/>
          <w:i w:val="0"/>
          <w:sz w:val="22"/>
        </w:rPr>
        <w:t>- Notification preferences (quiet hours, digest settings) — can be changed later in Company Admin.</w:t>
      </w:r>
    </w:p>
    <w:p>
      <w:pPr>
        <w:spacing w:after="80" w:line="293" w:lineRule="auto"/>
        <w:jc w:val="left"/>
      </w:pPr>
      <w:r>
        <w:rPr>
          <w:rFonts w:ascii="Times New Roman" w:hAnsi="Times New Roman" w:cs="Times New Roman"/>
          <w:b w:val="0"/>
          <w:i w:val="0"/>
          <w:sz w:val="22"/>
        </w:rPr>
        <w:t>One-click action: click "Save Preferences" → stores settings, proceeds to Step 5.</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PROFILE CONFIGURATION — Step 4 of 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TRADER MODE (TRD only)</w:t>
      </w:r>
    </w:p>
    <w:p>
      <w:pPr>
        <w:spacing w:after="0" w:before="0" w:line="240" w:lineRule="auto"/>
        <w:ind w:left="57"/>
        <w:jc w:val="left"/>
        <w:shd w:val="clear" w:fill="F2F2F2"/>
      </w:pPr>
      <w:r>
        <w:rPr>
          <w:rFonts w:ascii="Consolas" w:hAnsi="Consolas" w:cs="Consolas"/>
          <w:b w:val="0"/>
          <w:i w:val="0"/>
          <w:sz w:val="15"/>
        </w:rPr>
        <w:t xml:space="preserve">  [ BUY ]  [ SELL ]  [ DUAL ]</w:t>
      </w:r>
    </w:p>
    <w:p>
      <w:pPr>
        <w:spacing w:after="0" w:before="0" w:line="240" w:lineRule="auto"/>
        <w:ind w:left="57"/>
        <w:jc w:val="left"/>
        <w:shd w:val="clear" w:fill="F2F2F2"/>
      </w:pPr>
      <w:r>
        <w:rPr>
          <w:rFonts w:ascii="Consolas" w:hAnsi="Consolas" w:cs="Consolas"/>
          <w:b w:val="0"/>
          <w:i w:val="0"/>
          <w:sz w:val="15"/>
        </w:rPr>
        <w:t xml:space="preserve">  Default Incoterm:     [CFR ▼]</w:t>
      </w:r>
    </w:p>
    <w:p>
      <w:pPr>
        <w:spacing w:after="0" w:before="0" w:line="240" w:lineRule="auto"/>
        <w:ind w:left="57"/>
        <w:jc w:val="left"/>
        <w:shd w:val="clear" w:fill="F2F2F2"/>
      </w:pPr>
      <w:r>
        <w:rPr>
          <w:rFonts w:ascii="Consolas" w:hAnsi="Consolas" w:cs="Consolas"/>
          <w:b w:val="0"/>
          <w:i w:val="0"/>
          <w:sz w:val="15"/>
        </w:rPr>
        <w:t xml:space="preserve">  Preferred Currency:   [USD ▼]</w:t>
      </w:r>
    </w:p>
    <w:p>
      <w:pPr>
        <w:spacing w:after="0" w:before="0" w:line="240" w:lineRule="auto"/>
        <w:ind w:left="57"/>
        <w:jc w:val="left"/>
        <w:shd w:val="clear" w:fill="F2F2F2"/>
      </w:pPr>
      <w:r>
        <w:rPr>
          <w:rFonts w:ascii="Consolas" w:hAnsi="Consolas" w:cs="Consolas"/>
          <w:b w:val="0"/>
          <w:i w:val="0"/>
          <w:sz w:val="15"/>
        </w:rPr>
        <w:t xml:space="preserve">  Preferred Language:   [English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CONSENT FOR OPTIONAL FEATURES</w:t>
      </w:r>
    </w:p>
    <w:p>
      <w:pPr>
        <w:spacing w:after="0" w:before="0" w:line="240" w:lineRule="auto"/>
        <w:ind w:left="57"/>
        <w:jc w:val="left"/>
        <w:shd w:val="clear" w:fill="F2F2F2"/>
      </w:pPr>
      <w:r>
        <w:rPr>
          <w:rFonts w:ascii="Consolas" w:hAnsi="Consolas" w:cs="Consolas"/>
          <w:b w:val="0"/>
          <w:i w:val="0"/>
          <w:sz w:val="15"/>
        </w:rPr>
        <w:t xml:space="preserve">  ☐ Voice stress flag (on-device only)</w:t>
      </w:r>
    </w:p>
    <w:p>
      <w:pPr>
        <w:spacing w:after="0" w:before="0" w:line="240" w:lineRule="auto"/>
        <w:ind w:left="57"/>
        <w:jc w:val="left"/>
        <w:shd w:val="clear" w:fill="F2F2F2"/>
      </w:pPr>
      <w:r>
        <w:rPr>
          <w:rFonts w:ascii="Consolas" w:hAnsi="Consolas" w:cs="Consolas"/>
          <w:b w:val="0"/>
          <w:i w:val="0"/>
          <w:sz w:val="15"/>
        </w:rPr>
        <w:t xml:space="preserve">  ☐ Offline mobile sync</w:t>
      </w:r>
    </w:p>
    <w:p>
      <w:pPr>
        <w:spacing w:after="0" w:before="0" w:line="240" w:lineRule="auto"/>
        <w:ind w:left="57"/>
        <w:jc w:val="left"/>
        <w:shd w:val="clear" w:fill="F2F2F2"/>
      </w:pPr>
      <w:r>
        <w:rPr>
          <w:rFonts w:ascii="Consolas" w:hAnsi="Consolas" w:cs="Consolas"/>
          <w:b w:val="0"/>
          <w:i w:val="0"/>
          <w:sz w:val="15"/>
        </w:rPr>
        <w:t xml:space="preserve">  ☐ Anonymous market intelligence panel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NOTIFICATION PREFERENCES</w:t>
      </w:r>
    </w:p>
    <w:p>
      <w:pPr>
        <w:spacing w:after="0" w:before="0" w:line="240" w:lineRule="auto"/>
        <w:ind w:left="57"/>
        <w:jc w:val="left"/>
        <w:shd w:val="clear" w:fill="F2F2F2"/>
      </w:pPr>
      <w:r>
        <w:rPr>
          <w:rFonts w:ascii="Consolas" w:hAnsi="Consolas" w:cs="Consolas"/>
          <w:b w:val="0"/>
          <w:i w:val="0"/>
          <w:sz w:val="15"/>
        </w:rPr>
        <w:t xml:space="preserve">  Quiet Hours:     [22:00] to [07:00]   Timezone: [UTC+2]</w:t>
      </w:r>
    </w:p>
    <w:p>
      <w:pPr>
        <w:spacing w:after="0" w:before="0" w:line="240" w:lineRule="auto"/>
        <w:ind w:left="57"/>
        <w:jc w:val="left"/>
        <w:shd w:val="clear" w:fill="F2F2F2"/>
      </w:pPr>
      <w:r>
        <w:rPr>
          <w:rFonts w:ascii="Consolas" w:hAnsi="Consolas" w:cs="Consolas"/>
          <w:b w:val="0"/>
          <w:i w:val="0"/>
          <w:sz w:val="15"/>
        </w:rPr>
        <w:t xml:space="preserve">  Digest Settings: [Daily at 07:00 UTC]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[Save Preferences]   [Skip to Step 5]</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4.3.6 Step 5 — Create First Resource (Optional)</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pre-configure common data to accelerate future trade creation. Entirely optional; the user can skip.</w:t>
      </w:r>
    </w:p>
    <w:p>
      <w:pPr>
        <w:spacing w:after="80" w:line="293" w:lineRule="auto"/>
        <w:jc w:val="left"/>
      </w:pPr>
      <w:r>
        <w:rPr>
          <w:rFonts w:ascii="Times New Roman" w:hAnsi="Times New Roman" w:cs="Times New Roman"/>
          <w:b w:val="0"/>
          <w:i w:val="0"/>
          <w:sz w:val="22"/>
        </w:rPr>
        <w:t>Resource types per tenant: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Tenant Type</w:t>
            </w:r>
          </w:p>
        </w:tc>
        <w:tc>
          <w:tcPr>
            <w:tcW w:type="dxa" w:w="4819"/>
            <w:shd w:val="clear" w:fill="D9E2F3"/>
          </w:tcPr>
          <w:p>
            <w:pPr>
              <w:spacing w:after="20" w:before="20" w:line="240" w:lineRule="auto"/>
            </w:pPr>
            <w:r/>
            <w:r>
              <w:rPr>
                <w:rFonts w:ascii="Arial" w:hAnsi="Arial" w:cs="Arial"/>
                <w:b/>
                <w:i w:val="0"/>
                <w:sz w:val="18"/>
              </w:rPr>
              <w:t>Resources to Pre-configure</w:t>
            </w:r>
          </w:p>
        </w:tc>
      </w:tr>
      <w:tr>
        <w:tc>
          <w:tcPr>
            <w:tcW w:type="dxa" w:w="4819"/>
          </w:tcPr>
          <w:p>
            <w:pPr>
              <w:spacing w:after="20" w:before="20" w:line="240" w:lineRule="auto"/>
            </w:pPr>
            <w:r/>
            <w:r>
              <w:rPr>
                <w:rFonts w:ascii="Arial" w:hAnsi="Arial" w:cs="Arial"/>
                <w:b w:val="0"/>
                <w:i w:val="0"/>
                <w:sz w:val="17"/>
              </w:rPr>
              <w:t>TRD (Buyer)</w:t>
            </w:r>
          </w:p>
        </w:tc>
        <w:tc>
          <w:tcPr>
            <w:tcW w:type="dxa" w:w="4819"/>
          </w:tcPr>
          <w:p>
            <w:pPr>
              <w:spacing w:after="20" w:before="20" w:line="240" w:lineRule="auto"/>
            </w:pPr>
            <w:r/>
            <w:r>
              <w:rPr>
                <w:rFonts w:ascii="Arial" w:hAnsi="Arial" w:cs="Arial"/>
                <w:b w:val="0"/>
                <w:i w:val="0"/>
                <w:sz w:val="17"/>
              </w:rPr>
              <w:t>Saved commodities (HS code, description, typical packaging), saved ports, preferred logistics providers (from contacts, if any)</w:t>
            </w:r>
          </w:p>
        </w:tc>
      </w:tr>
      <w:tr>
        <w:tc>
          <w:tcPr>
            <w:tcW w:type="dxa" w:w="4819"/>
          </w:tcPr>
          <w:p>
            <w:pPr>
              <w:spacing w:after="20" w:before="20" w:line="240" w:lineRule="auto"/>
            </w:pPr>
            <w:r/>
            <w:r>
              <w:rPr>
                <w:rFonts w:ascii="Arial" w:hAnsi="Arial" w:cs="Arial"/>
                <w:b w:val="0"/>
                <w:i w:val="0"/>
                <w:sz w:val="17"/>
              </w:rPr>
              <w:t>TRD (Seller)</w:t>
            </w:r>
          </w:p>
        </w:tc>
        <w:tc>
          <w:tcPr>
            <w:tcW w:type="dxa" w:w="4819"/>
          </w:tcPr>
          <w:p>
            <w:pPr>
              <w:spacing w:after="20" w:before="20" w:line="240" w:lineRule="auto"/>
            </w:pPr>
            <w:r/>
            <w:r>
              <w:rPr>
                <w:rFonts w:ascii="Arial" w:hAnsi="Arial" w:cs="Arial"/>
                <w:b w:val="0"/>
                <w:i w:val="0"/>
                <w:sz w:val="17"/>
              </w:rPr>
              <w:t>Service catalogue (packing options, default EXW margins), preferred shipping lines, laboratory contacts</w:t>
            </w:r>
          </w:p>
        </w:tc>
      </w:tr>
      <w:tr>
        <w:tc>
          <w:tcPr>
            <w:tcW w:type="dxa" w:w="4819"/>
          </w:tcPr>
          <w:p>
            <w:pPr>
              <w:spacing w:after="20" w:before="20" w:line="240" w:lineRule="auto"/>
            </w:pPr>
            <w:r/>
            <w:r>
              <w:rPr>
                <w:rFonts w:ascii="Arial" w:hAnsi="Arial" w:cs="Arial"/>
                <w:b w:val="0"/>
                <w:i w:val="0"/>
                <w:sz w:val="17"/>
              </w:rPr>
              <w:t>LSP</w:t>
            </w:r>
          </w:p>
        </w:tc>
        <w:tc>
          <w:tcPr>
            <w:tcW w:type="dxa" w:w="4819"/>
          </w:tcPr>
          <w:p>
            <w:pPr>
              <w:spacing w:after="20" w:before="20" w:line="240" w:lineRule="auto"/>
            </w:pPr>
            <w:r/>
            <w:r>
              <w:rPr>
                <w:rFonts w:ascii="Arial" w:hAnsi="Arial" w:cs="Arial"/>
                <w:b w:val="0"/>
                <w:i w:val="0"/>
                <w:sz w:val="17"/>
              </w:rPr>
              <w:t>Serviceable routes, vehicle types, default fees (per km, per container), fleet list upload</w:t>
            </w:r>
          </w:p>
        </w:tc>
      </w:tr>
      <w:tr>
        <w:tc>
          <w:tcPr>
            <w:tcW w:type="dxa" w:w="4819"/>
          </w:tcPr>
          <w:p>
            <w:pPr>
              <w:spacing w:after="20" w:before="20" w:line="240" w:lineRule="auto"/>
            </w:pPr>
            <w:r/>
            <w:r>
              <w:rPr>
                <w:rFonts w:ascii="Arial" w:hAnsi="Arial" w:cs="Arial"/>
                <w:b w:val="0"/>
                <w:i w:val="0"/>
                <w:sz w:val="17"/>
              </w:rPr>
              <w:t>SHIP</w:t>
            </w:r>
          </w:p>
        </w:tc>
        <w:tc>
          <w:tcPr>
            <w:tcW w:type="dxa" w:w="4819"/>
          </w:tcPr>
          <w:p>
            <w:pPr>
              <w:spacing w:after="20" w:before="20" w:line="240" w:lineRule="auto"/>
            </w:pPr>
            <w:r/>
            <w:r>
              <w:rPr>
                <w:rFonts w:ascii="Arial" w:hAnsi="Arial" w:cs="Arial"/>
                <w:b w:val="0"/>
                <w:i w:val="0"/>
                <w:sz w:val="17"/>
              </w:rPr>
              <w:t>Serviceable ports, vessel schedules, base freight rates (per container type)</w:t>
            </w:r>
          </w:p>
        </w:tc>
      </w:tr>
      <w:tr>
        <w:tc>
          <w:tcPr>
            <w:tcW w:type="dxa" w:w="4819"/>
          </w:tcPr>
          <w:p>
            <w:pPr>
              <w:spacing w:after="20" w:before="20" w:line="240" w:lineRule="auto"/>
            </w:pPr>
            <w:r/>
            <w:r>
              <w:rPr>
                <w:rFonts w:ascii="Arial" w:hAnsi="Arial" w:cs="Arial"/>
                <w:b w:val="0"/>
                <w:i w:val="0"/>
                <w:sz w:val="17"/>
              </w:rPr>
              <w:t>LAB</w:t>
            </w:r>
          </w:p>
        </w:tc>
        <w:tc>
          <w:tcPr>
            <w:tcW w:type="dxa" w:w="4819"/>
          </w:tcPr>
          <w:p>
            <w:pPr>
              <w:spacing w:after="20" w:before="20" w:line="240" w:lineRule="auto"/>
            </w:pPr>
            <w:r/>
            <w:r>
              <w:rPr>
                <w:rFonts w:ascii="Arial" w:hAnsi="Arial" w:cs="Arial"/>
                <w:b w:val="0"/>
                <w:i w:val="0"/>
                <w:sz w:val="17"/>
              </w:rPr>
              <w:t>Test panels, fees, sample instructions, accreditation certificate</w:t>
            </w:r>
          </w:p>
        </w:tc>
      </w:tr>
      <w:tr>
        <w:tc>
          <w:tcPr>
            <w:tcW w:type="dxa" w:w="4819"/>
          </w:tcPr>
          <w:p>
            <w:pPr>
              <w:spacing w:after="20" w:before="20" w:line="240" w:lineRule="auto"/>
            </w:pPr>
            <w:r/>
            <w:r>
              <w:rPr>
                <w:rFonts w:ascii="Arial" w:hAnsi="Arial" w:cs="Arial"/>
                <w:b w:val="0"/>
                <w:i w:val="0"/>
                <w:sz w:val="17"/>
              </w:rPr>
              <w:t>QC</w:t>
            </w:r>
          </w:p>
        </w:tc>
        <w:tc>
          <w:tcPr>
            <w:tcW w:type="dxa" w:w="4819"/>
          </w:tcPr>
          <w:p>
            <w:pPr>
              <w:spacing w:after="20" w:before="20" w:line="240" w:lineRule="auto"/>
            </w:pPr>
            <w:r/>
            <w:r>
              <w:rPr>
                <w:rFonts w:ascii="Arial" w:hAnsi="Arial" w:cs="Arial"/>
                <w:b w:val="0"/>
                <w:i w:val="0"/>
                <w:sz w:val="17"/>
              </w:rPr>
              <w:t>Commodity-specific inspection plans, AQL sampling defaults, fee schedules</w:t>
            </w:r>
          </w:p>
        </w:tc>
      </w:tr>
      <w:tr>
        <w:tc>
          <w:tcPr>
            <w:tcW w:type="dxa" w:w="4819"/>
          </w:tcPr>
          <w:p>
            <w:pPr>
              <w:spacing w:after="20" w:before="20" w:line="240" w:lineRule="auto"/>
            </w:pPr>
            <w:r/>
            <w:r>
              <w:rPr>
                <w:rFonts w:ascii="Arial" w:hAnsi="Arial" w:cs="Arial"/>
                <w:b w:val="0"/>
                <w:i w:val="0"/>
                <w:sz w:val="17"/>
              </w:rPr>
              <w:t>CBR</w:t>
            </w:r>
          </w:p>
        </w:tc>
        <w:tc>
          <w:tcPr>
            <w:tcW w:type="dxa" w:w="4819"/>
          </w:tcPr>
          <w:p>
            <w:pPr>
              <w:spacing w:after="20" w:before="20" w:line="240" w:lineRule="auto"/>
            </w:pPr>
            <w:r/>
            <w:r>
              <w:rPr>
                <w:rFonts w:ascii="Arial" w:hAnsi="Arial" w:cs="Arial"/>
                <w:b w:val="0"/>
                <w:i w:val="0"/>
                <w:sz w:val="17"/>
              </w:rPr>
              <w:t>Service catalogue (certification fee, physical handling fee, storage fee)</w:t>
            </w:r>
          </w:p>
        </w:tc>
      </w:tr>
      <w:tr>
        <w:tc>
          <w:tcPr>
            <w:tcW w:type="dxa" w:w="4819"/>
          </w:tcPr>
          <w:p>
            <w:pPr>
              <w:spacing w:after="20" w:before="20" w:line="240" w:lineRule="auto"/>
            </w:pPr>
            <w:r/>
            <w:r>
              <w:rPr>
                <w:rFonts w:ascii="Arial" w:hAnsi="Arial" w:cs="Arial"/>
                <w:b w:val="0"/>
                <w:i w:val="0"/>
                <w:sz w:val="17"/>
              </w:rPr>
              <w:t>FIN</w:t>
            </w:r>
          </w:p>
        </w:tc>
        <w:tc>
          <w:tcPr>
            <w:tcW w:type="dxa" w:w="4819"/>
          </w:tcPr>
          <w:p>
            <w:pPr>
              <w:spacing w:after="20" w:before="20" w:line="240" w:lineRule="auto"/>
            </w:pPr>
            <w:r/>
            <w:r>
              <w:rPr>
                <w:rFonts w:ascii="Arial" w:hAnsi="Arial" w:cs="Arial"/>
                <w:b w:val="0"/>
                <w:i w:val="0"/>
                <w:sz w:val="17"/>
              </w:rPr>
              <w:t>Risk appetite, preferred financing types, settlement methods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assistance (A1, Groq): the system suggests default fee ranges based on anonymised platform aggregates (e.g., "Typical trucking fee for this corridor: $0.75–$0.95/km"). The user can accept, modify, or skip. No suggestions based on "what others charge" — only anonymised, differentially private statistics.</w:t>
      </w:r>
    </w:p>
    <w:p>
      <w:pPr>
        <w:spacing w:after="80" w:line="293" w:lineRule="auto"/>
        <w:jc w:val="left"/>
      </w:pPr>
      <w:r>
        <w:rPr>
          <w:rFonts w:ascii="Times New Roman" w:hAnsi="Times New Roman" w:cs="Times New Roman"/>
          <w:b w:val="0"/>
          <w:i w:val="0"/>
          <w:sz w:val="22"/>
        </w:rPr>
        <w:t>One-click actions: "Save Resource" — adds the resource to the tenant's catalogue. "Skip" — proceeds to Step 6 without saving any resource.</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CREATE FIRST RESOURCE — Step 5 of 6 (Optional)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You can pre-configure common data to accelerate future trade creation.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SAVED COMMODITIES</w:t>
      </w:r>
    </w:p>
    <w:p>
      <w:pPr>
        <w:spacing w:after="0" w:before="0" w:line="240" w:lineRule="auto"/>
        <w:ind w:left="57"/>
        <w:jc w:val="left"/>
        <w:shd w:val="clear" w:fill="F2F2F2"/>
      </w:pPr>
      <w:r>
        <w:rPr>
          <w:rFonts w:ascii="Consolas" w:hAnsi="Consolas" w:cs="Consolas"/>
          <w:b w:val="0"/>
          <w:i w:val="0"/>
          <w:sz w:val="15"/>
        </w:rPr>
        <w:t xml:space="preserve">  HS Code: 0805.10  |  Product: Fresh Oranges  |  Packaging: Cartons 10kg</w:t>
      </w:r>
    </w:p>
    <w:p>
      <w:pPr>
        <w:spacing w:after="0" w:before="0" w:line="240" w:lineRule="auto"/>
        <w:ind w:left="57"/>
        <w:jc w:val="left"/>
        <w:shd w:val="clear" w:fill="F2F2F2"/>
      </w:pPr>
      <w:r>
        <w:rPr>
          <w:rFonts w:ascii="Consolas" w:hAnsi="Consolas" w:cs="Consolas"/>
          <w:b w:val="0"/>
          <w:i w:val="0"/>
          <w:sz w:val="15"/>
        </w:rPr>
        <w:t xml:space="preserve">  [Add Commodity]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SAVED PORTS</w:t>
      </w:r>
    </w:p>
    <w:p>
      <w:pPr>
        <w:spacing w:after="0" w:before="0" w:line="240" w:lineRule="auto"/>
        <w:ind w:left="57"/>
        <w:jc w:val="left"/>
        <w:shd w:val="clear" w:fill="F2F2F2"/>
      </w:pPr>
      <w:r>
        <w:rPr>
          <w:rFonts w:ascii="Consolas" w:hAnsi="Consolas" w:cs="Consolas"/>
          <w:b w:val="0"/>
          <w:i w:val="0"/>
          <w:sz w:val="15"/>
        </w:rPr>
        <w:t xml:space="preserve">  Alexandria (EG)  |  Damietta (EG)  |  Port Said (EG)</w:t>
      </w:r>
    </w:p>
    <w:p>
      <w:pPr>
        <w:spacing w:after="0" w:before="0" w:line="240" w:lineRule="auto"/>
        <w:ind w:left="57"/>
        <w:jc w:val="left"/>
        <w:shd w:val="clear" w:fill="F2F2F2"/>
      </w:pPr>
      <w:r>
        <w:rPr>
          <w:rFonts w:ascii="Consolas" w:hAnsi="Consolas" w:cs="Consolas"/>
          <w:b w:val="0"/>
          <w:i w:val="0"/>
          <w:sz w:val="15"/>
        </w:rPr>
        <w:t xml:space="preserve">  [Add 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PREFERRED LOGISTICS PROVIDERS</w:t>
      </w:r>
    </w:p>
    <w:p>
      <w:pPr>
        <w:spacing w:after="0" w:before="0" w:line="240" w:lineRule="auto"/>
        <w:ind w:left="57"/>
        <w:jc w:val="left"/>
        <w:shd w:val="clear" w:fill="F2F2F2"/>
      </w:pPr>
      <w:r>
        <w:rPr>
          <w:rFonts w:ascii="Consolas" w:hAnsi="Consolas" w:cs="Consolas"/>
          <w:b w:val="0"/>
          <w:i w:val="0"/>
          <w:sz w:val="15"/>
        </w:rPr>
        <w:t xml:space="preserve">  Fast Trucking Co. (LSP)  |  SGS Egypt (LAB)  |  Nile Customs (CBR)</w:t>
      </w:r>
    </w:p>
    <w:p>
      <w:pPr>
        <w:spacing w:after="0" w:before="0" w:line="240" w:lineRule="auto"/>
        <w:ind w:left="57"/>
        <w:jc w:val="left"/>
        <w:shd w:val="clear" w:fill="F2F2F2"/>
      </w:pPr>
      <w:r>
        <w:rPr>
          <w:rFonts w:ascii="Consolas" w:hAnsi="Consolas" w:cs="Consolas"/>
          <w:b w:val="0"/>
          <w:i w:val="0"/>
          <w:sz w:val="15"/>
        </w:rPr>
        <w:t xml:space="preserve">  [Add Provider]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Suggestion: Typical trucking fee for Alexandria → Damietta: $0.85/km</w:t>
      </w:r>
    </w:p>
    <w:p>
      <w:pPr>
        <w:spacing w:after="0" w:before="0" w:line="240" w:lineRule="auto"/>
        <w:ind w:left="57"/>
        <w:jc w:val="left"/>
        <w:shd w:val="clear" w:fill="F2F2F2"/>
      </w:pPr>
      <w:r>
        <w:rPr>
          <w:rFonts w:ascii="Consolas" w:hAnsi="Consolas" w:cs="Consolas"/>
          <w:b w:val="0"/>
          <w:i w:val="0"/>
          <w:sz w:val="15"/>
        </w:rPr>
        <w:t xml:space="preserve">  Would you like to add this?  [Add]  [Ignore]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[Save Resource]   [Skip]</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4.3.7 Step 6 — Enter Sandbox</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provide a fully functional, isolated replica of the platform for practice and education.</w:t>
      </w:r>
    </w:p>
    <w:p>
      <w:pPr>
        <w:spacing w:after="80" w:line="293" w:lineRule="auto"/>
        <w:jc w:val="left"/>
      </w:pPr>
      <w:r>
        <w:rPr>
          <w:rFonts w:ascii="Times New Roman" w:hAnsi="Times New Roman" w:cs="Times New Roman"/>
          <w:b w:val="0"/>
          <w:i w:val="0"/>
          <w:sz w:val="22"/>
        </w:rPr>
        <w:t>Sandbox characteristics:</w:t>
      </w:r>
    </w:p>
    <w:p>
      <w:pPr>
        <w:spacing w:after="80" w:line="293" w:lineRule="auto"/>
        <w:ind w:left="283"/>
        <w:jc w:val="left"/>
      </w:pPr>
      <w:r>
        <w:rPr>
          <w:rFonts w:ascii="Times New Roman" w:hAnsi="Times New Roman" w:cs="Times New Roman"/>
          <w:b w:val="0"/>
          <w:i w:val="0"/>
          <w:sz w:val="22"/>
        </w:rPr>
        <w:t>- Separate PostgreSQL schema (`sandbox_*`), NATS JetStream stream, and ClickHouse database.</w:t>
      </w:r>
    </w:p>
    <w:p>
      <w:pPr>
        <w:spacing w:after="80" w:line="293" w:lineRule="auto"/>
        <w:ind w:left="283"/>
        <w:jc w:val="left"/>
      </w:pPr>
      <w:r>
        <w:rPr>
          <w:rFonts w:ascii="Times New Roman" w:hAnsi="Times New Roman" w:cs="Times New Roman"/>
          <w:b w:val="0"/>
          <w:i w:val="0"/>
          <w:sz w:val="22"/>
        </w:rPr>
        <w:t>- Synthetic counterparties pre-provisioned with names like "Demo Buyer Co.", "Demo Seller Ltd.", "Demo Logistics Provider" — clearly marked DEMO.</w:t>
      </w:r>
    </w:p>
    <w:p>
      <w:pPr>
        <w:spacing w:after="80" w:line="293" w:lineRule="auto"/>
        <w:ind w:left="283"/>
        <w:jc w:val="left"/>
      </w:pPr>
      <w:r>
        <w:rPr>
          <w:rFonts w:ascii="Times New Roman" w:hAnsi="Times New Roman" w:cs="Times New Roman"/>
          <w:b w:val="0"/>
          <w:i w:val="0"/>
          <w:sz w:val="22"/>
        </w:rPr>
        <w:t>- No real money, real documents, or real API calls to government systems (mocked responses).</w:t>
      </w:r>
    </w:p>
    <w:p>
      <w:pPr>
        <w:spacing w:after="80" w:line="293" w:lineRule="auto"/>
        <w:ind w:left="283"/>
        <w:jc w:val="left"/>
      </w:pPr>
      <w:r>
        <w:rPr>
          <w:rFonts w:ascii="Times New Roman" w:hAnsi="Times New Roman" w:cs="Times New Roman"/>
          <w:b w:val="0"/>
          <w:i w:val="0"/>
          <w:sz w:val="22"/>
        </w:rPr>
        <w:t>- Resets automatically every week (Sunday 03:00 UTC). The user can also click "Reset Sandbox" to wipe and restart.</w:t>
      </w:r>
    </w:p>
    <w:p>
      <w:pPr>
        <w:spacing w:after="80" w:line="293" w:lineRule="auto"/>
        <w:jc w:val="left"/>
      </w:pPr>
      <w:r>
        <w:rPr>
          <w:rFonts w:ascii="Times New Roman" w:hAnsi="Times New Roman" w:cs="Times New Roman"/>
          <w:b w:val="0"/>
          <w:i w:val="0"/>
          <w:sz w:val="22"/>
        </w:rPr>
        <w:t>Guided practice trade: a step-by-step walkthrough (tooltips and modal overlays) that guides the user through:</w:t>
      </w:r>
    </w:p>
    <w:p>
      <w:pPr>
        <w:spacing w:after="80" w:line="293" w:lineRule="auto"/>
        <w:jc w:val="left"/>
      </w:pPr>
      <w:r>
        <w:rPr>
          <w:rFonts w:ascii="Times New Roman" w:hAnsi="Times New Roman" w:cs="Times New Roman"/>
          <w:b w:val="0"/>
          <w:i w:val="0"/>
          <w:sz w:val="22"/>
        </w:rPr>
        <w:t>1. Creating a trade request (structured form) 2. Seller accepting and locking EXW price 3. Designing packing 4. Adding logistics (using mock RFQ responses) 5. Submitting quote, signing contract, paying mock fee 6. Tracking milestones, confirming delivery, settling payment</w:t>
      </w:r>
    </w:p>
    <w:p>
      <w:pPr>
        <w:spacing w:after="80" w:line="293" w:lineRule="auto"/>
        <w:jc w:val="left"/>
      </w:pPr>
      <w:r>
        <w:rPr>
          <w:rFonts w:ascii="Times New Roman" w:hAnsi="Times New Roman" w:cs="Times New Roman"/>
          <w:b w:val="0"/>
          <w:i w:val="0"/>
          <w:sz w:val="22"/>
        </w:rPr>
        <w:t>Each step includes an educational explanation — never suggests alternative counterparties. At the end, the user sees a summary of the complete trade cycle.</w:t>
      </w:r>
    </w:p>
    <w:p>
      <w:pPr>
        <w:spacing w:after="80" w:line="293" w:lineRule="auto"/>
        <w:jc w:val="left"/>
      </w:pPr>
      <w:r>
        <w:rPr>
          <w:rFonts w:ascii="Times New Roman" w:hAnsi="Times New Roman" w:cs="Times New Roman"/>
          <w:b w:val="0"/>
          <w:i w:val="0"/>
          <w:sz w:val="22"/>
        </w:rPr>
        <w:t>Sandbox UI elements: persistent banner "You are in Sandbox mode. No real transactions will occur." and an "Exit Sandbox" button (available only after completing the guided tour or after 5 minutes).</w:t>
      </w:r>
    </w:p>
    <w:p>
      <w:pPr>
        <w:spacing w:after="80" w:line="293" w:lineRule="auto"/>
        <w:jc w:val="left"/>
      </w:pPr>
      <w:r>
        <w:rPr>
          <w:rFonts w:ascii="Times New Roman" w:hAnsi="Times New Roman" w:cs="Times New Roman"/>
          <w:b w:val="0"/>
          <w:i w:val="0"/>
          <w:sz w:val="22"/>
        </w:rPr>
        <w:t>One-click actions: "Start Sandbox" — creates the sandbox environment and loads the guided tour. "Reset Sandbox" — wipes data and restarts. "Exit Sandbox" — returns to the main portal (sandbox data persists until reset).</w:t>
      </w:r>
    </w:p>
    <w:p>
      <w:pPr>
        <w:spacing w:after="80" w:line="293" w:lineRule="auto"/>
        <w:jc w:val="left"/>
      </w:pPr>
      <w:r>
        <w:rPr>
          <w:rFonts w:ascii="Times New Roman" w:hAnsi="Times New Roman" w:cs="Times New Roman"/>
          <w:b w:val="0"/>
          <w:i w:val="0"/>
          <w:sz w:val="22"/>
        </w:rPr>
        <w:t>The sandbox is a complete replica of the production platform: data is stored in a separate PostgreSQL schema (`sandbox_*`), no real money or documents are ever used, and a guided practice trade walks the user through every step with tooltips that explain each action without suggesting alternative counterparties. No data leaks to production.</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ENTER SANDBOX — Step 6 of 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SANDBOX ENVIRONMENT</w:t>
      </w:r>
    </w:p>
    <w:p>
      <w:pPr>
        <w:spacing w:after="0" w:before="0" w:line="240" w:lineRule="auto"/>
        <w:ind w:left="57"/>
        <w:jc w:val="left"/>
        <w:shd w:val="clear" w:fill="F2F2F2"/>
      </w:pPr>
      <w:r>
        <w:rPr>
          <w:rFonts w:ascii="Consolas" w:hAnsi="Consolas" w:cs="Consolas"/>
          <w:b w:val="0"/>
          <w:i w:val="0"/>
          <w:sz w:val="15"/>
        </w:rPr>
        <w:t xml:space="preserve">  The sandbox is a fully functional, isolated replica of the platform.</w:t>
      </w:r>
    </w:p>
    <w:p>
      <w:pPr>
        <w:spacing w:after="0" w:before="0" w:line="240" w:lineRule="auto"/>
        <w:ind w:left="57"/>
        <w:jc w:val="left"/>
        <w:shd w:val="clear" w:fill="F2F2F2"/>
      </w:pPr>
      <w:r>
        <w:rPr>
          <w:rFonts w:ascii="Consolas" w:hAnsi="Consolas" w:cs="Consolas"/>
          <w:b w:val="0"/>
          <w:i w:val="0"/>
          <w:sz w:val="15"/>
        </w:rPr>
        <w:t xml:space="preserve">  • No real money or documents are used</w:t>
      </w:r>
    </w:p>
    <w:p>
      <w:pPr>
        <w:spacing w:after="0" w:before="0" w:line="240" w:lineRule="auto"/>
        <w:ind w:left="57"/>
        <w:jc w:val="left"/>
        <w:shd w:val="clear" w:fill="F2F2F2"/>
      </w:pPr>
      <w:r>
        <w:rPr>
          <w:rFonts w:ascii="Consolas" w:hAnsi="Consolas" w:cs="Consolas"/>
          <w:b w:val="0"/>
          <w:i w:val="0"/>
          <w:sz w:val="15"/>
        </w:rPr>
        <w:t xml:space="preserve">  • Synthetic counterparties are pre-provisioned</w:t>
      </w:r>
    </w:p>
    <w:p>
      <w:pPr>
        <w:spacing w:after="0" w:before="0" w:line="240" w:lineRule="auto"/>
        <w:ind w:left="57"/>
        <w:jc w:val="left"/>
        <w:shd w:val="clear" w:fill="F2F2F2"/>
      </w:pPr>
      <w:r>
        <w:rPr>
          <w:rFonts w:ascii="Consolas" w:hAnsi="Consolas" w:cs="Consolas"/>
          <w:b w:val="0"/>
          <w:i w:val="0"/>
          <w:sz w:val="15"/>
        </w:rPr>
        <w:t xml:space="preserve">  • Data resets automatically every week</w:t>
      </w:r>
    </w:p>
    <w:p>
      <w:pPr>
        <w:spacing w:after="0" w:before="0" w:line="240" w:lineRule="auto"/>
        <w:ind w:left="57"/>
        <w:jc w:val="left"/>
        <w:shd w:val="clear" w:fill="F2F2F2"/>
      </w:pPr>
      <w:r>
        <w:rPr>
          <w:rFonts w:ascii="Consolas" w:hAnsi="Consolas" w:cs="Consolas"/>
          <w:b w:val="0"/>
          <w:i w:val="0"/>
          <w:sz w:val="15"/>
        </w:rPr>
        <w:t xml:space="preserve">  • A guided practice trade will walk you through every step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You are in Sandbox mode. No real transactions will occur.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Ready to start?   [Start Sandbox]   [Exit to Dashboard]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Last reset: 2026-06-15 03:00 UTC</w:t>
      </w:r>
    </w:p>
    <w:p>
      <w:pPr>
        <w:spacing w:after="0" w:before="0" w:line="240" w:lineRule="auto"/>
        <w:ind w:left="57"/>
        <w:jc w:val="left"/>
        <w:shd w:val="clear" w:fill="F2F2F2"/>
      </w:pPr>
      <w:r>
        <w:rPr>
          <w:rFonts w:ascii="Consolas" w:hAnsi="Consolas" w:cs="Consolas"/>
          <w:b w:val="0"/>
          <w:i w:val="0"/>
          <w:sz w:val="15"/>
        </w:rPr>
        <w:t xml:space="preserve">  Next reset: 2026-06-22 03:00 UTC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4.3.8 Post-Onboarding — Go Live</w:t>
      </w:r>
    </w:p>
    <w:p>
      <w:pPr>
        <w:spacing w:after="80" w:line="293" w:lineRule="auto"/>
        <w:jc w:val="left"/>
      </w:pPr>
      <w:r>
        <w:rPr>
          <w:rFonts w:ascii="Times New Roman" w:hAnsi="Times New Roman" w:cs="Times New Roman"/>
          <w:b w:val="0"/>
          <w:i w:val="0"/>
          <w:sz w:val="22"/>
        </w:rPr>
        <w:t>After Step 6 (or after manual verification if Step 3 required human review), the tenant clicks "Go Live". System actions:</w:t>
      </w:r>
    </w:p>
    <w:p>
      <w:pPr>
        <w:spacing w:after="80" w:line="293" w:lineRule="auto"/>
        <w:ind w:left="283"/>
        <w:jc w:val="left"/>
      </w:pPr>
      <w:r>
        <w:rPr>
          <w:rFonts w:ascii="Times New Roman" w:hAnsi="Times New Roman" w:cs="Times New Roman"/>
          <w:b w:val="0"/>
          <w:i w:val="0"/>
          <w:sz w:val="22"/>
        </w:rPr>
        <w:t>- Wipes sandbox data (after confirmation prompt: "All sandbox data will be permanently deleted. Proceed?").</w:t>
      </w:r>
    </w:p>
    <w:p>
      <w:pPr>
        <w:spacing w:after="80" w:line="293" w:lineRule="auto"/>
        <w:ind w:left="283"/>
        <w:jc w:val="left"/>
      </w:pPr>
      <w:r>
        <w:rPr>
          <w:rFonts w:ascii="Times New Roman" w:hAnsi="Times New Roman" w:cs="Times New Roman"/>
          <w:b w:val="0"/>
          <w:i w:val="0"/>
          <w:sz w:val="22"/>
        </w:rPr>
        <w:t>- Sets `lifecycle_state = VERIFIED` (or KYB_PENDING if manual review still pending).</w:t>
      </w:r>
    </w:p>
    <w:p>
      <w:pPr>
        <w:spacing w:after="80" w:line="293" w:lineRule="auto"/>
        <w:ind w:left="283"/>
        <w:jc w:val="left"/>
      </w:pPr>
      <w:r>
        <w:rPr>
          <w:rFonts w:ascii="Times New Roman" w:hAnsi="Times New Roman" w:cs="Times New Roman"/>
          <w:b w:val="0"/>
          <w:i w:val="0"/>
          <w:sz w:val="22"/>
        </w:rPr>
        <w:t>- Issues a new JWT with full production permissions.</w:t>
      </w:r>
    </w:p>
    <w:p>
      <w:pPr>
        <w:spacing w:after="80" w:line="293" w:lineRule="auto"/>
        <w:ind w:left="283"/>
        <w:jc w:val="left"/>
      </w:pPr>
      <w:r>
        <w:rPr>
          <w:rFonts w:ascii="Times New Roman" w:hAnsi="Times New Roman" w:cs="Times New Roman"/>
          <w:b w:val="0"/>
          <w:i w:val="0"/>
          <w:sz w:val="22"/>
        </w:rPr>
        <w:t>- Redirects to the Universal Command Center (see Section 16).</w:t>
      </w:r>
    </w:p>
    <w:p>
      <w:pPr>
        <w:spacing w:after="80" w:line="293" w:lineRule="auto"/>
        <w:jc w:val="left"/>
      </w:pPr>
      <w:r>
        <w:rPr>
          <w:rFonts w:ascii="Times New Roman" w:hAnsi="Times New Roman" w:cs="Times New Roman"/>
          <w:b w:val="0"/>
          <w:i w:val="0"/>
          <w:sz w:val="22"/>
        </w:rPr>
        <w:t>If KYB is still pending, the user sees a banner: "Your account is verified for sandbox only. Real trading will be enabled once compliance review is complete." The "Go Live" button is disabled until verification.</w:t>
      </w:r>
    </w:p>
    <w:p>
      <w:pPr>
        <w:spacing w:after="80" w:line="293" w:lineRule="auto"/>
        <w:jc w:val="left"/>
      </w:pPr>
      <w:r>
        <w:rPr>
          <w:rFonts w:ascii="Times New Roman" w:hAnsi="Times New Roman" w:cs="Times New Roman"/>
          <w:b w:val="0"/>
          <w:i w:val="0"/>
          <w:sz w:val="22"/>
        </w:rPr>
        <w:t>One-click guarantee: "Go Live" — one click to transition to verified production state.</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GO LIVE — Complete Onboarding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Congratulations! You have completed onboarding.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GTID: SGTX-EG-TRD-002139-7F3A        ✓</w:t>
      </w:r>
    </w:p>
    <w:p>
      <w:pPr>
        <w:spacing w:after="0" w:before="0" w:line="240" w:lineRule="auto"/>
        <w:ind w:left="57"/>
        <w:jc w:val="left"/>
        <w:shd w:val="clear" w:fill="F2F2F2"/>
      </w:pPr>
      <w:r>
        <w:rPr>
          <w:rFonts w:ascii="Consolas" w:hAnsi="Consolas" w:cs="Consolas"/>
          <w:b w:val="0"/>
          <w:i w:val="0"/>
          <w:sz w:val="15"/>
        </w:rPr>
        <w:t xml:space="preserve">  Organization verified                ✓</w:t>
      </w:r>
    </w:p>
    <w:p>
      <w:pPr>
        <w:spacing w:after="0" w:before="0" w:line="240" w:lineRule="auto"/>
        <w:ind w:left="57"/>
        <w:jc w:val="left"/>
        <w:shd w:val="clear" w:fill="F2F2F2"/>
      </w:pPr>
      <w:r>
        <w:rPr>
          <w:rFonts w:ascii="Consolas" w:hAnsi="Consolas" w:cs="Consolas"/>
          <w:b w:val="0"/>
          <w:i w:val="0"/>
          <w:sz w:val="15"/>
        </w:rPr>
        <w:t xml:space="preserve">  KYB/KYC submitted                    ✓</w:t>
      </w:r>
    </w:p>
    <w:p>
      <w:pPr>
        <w:spacing w:after="0" w:before="0" w:line="240" w:lineRule="auto"/>
        <w:ind w:left="57"/>
        <w:jc w:val="left"/>
        <w:shd w:val="clear" w:fill="F2F2F2"/>
      </w:pPr>
      <w:r>
        <w:rPr>
          <w:rFonts w:ascii="Consolas" w:hAnsi="Consolas" w:cs="Consolas"/>
          <w:b w:val="0"/>
          <w:i w:val="0"/>
          <w:sz w:val="15"/>
        </w:rPr>
        <w:t xml:space="preserve">  Sandbox complete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KYB verification pending: Manual review required for Export License</w:t>
      </w:r>
    </w:p>
    <w:p>
      <w:pPr>
        <w:spacing w:after="0" w:before="0" w:line="240" w:lineRule="auto"/>
        <w:ind w:left="57"/>
        <w:jc w:val="left"/>
        <w:shd w:val="clear" w:fill="F2F2F2"/>
      </w:pPr>
      <w:r>
        <w:rPr>
          <w:rFonts w:ascii="Consolas" w:hAnsi="Consolas" w:cs="Consolas"/>
          <w:b w:val="0"/>
          <w:i w:val="0"/>
          <w:sz w:val="15"/>
        </w:rPr>
        <w:t xml:space="preserve">  Estimated response: 48 hours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Your account is verified for sandbox only. Real trading will be enabled once</w:t>
      </w:r>
    </w:p>
    <w:p>
      <w:pPr>
        <w:spacing w:after="0" w:before="0" w:line="240" w:lineRule="auto"/>
        <w:ind w:left="57"/>
        <w:jc w:val="left"/>
        <w:shd w:val="clear" w:fill="F2F2F2"/>
      </w:pPr>
      <w:r>
        <w:rPr>
          <w:rFonts w:ascii="Consolas" w:hAnsi="Consolas" w:cs="Consolas"/>
          <w:b w:val="0"/>
          <w:i w:val="0"/>
          <w:sz w:val="15"/>
        </w:rPr>
        <w:t xml:space="preserve">  compliance review is complete.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 Live (Disabled)]   [Return to Sandbox]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Or, if you prefer to wait:   [Exit to Dashboard]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4.3.9 Trade Readiness Assessment</w:t>
      </w:r>
    </w:p>
    <w:p>
      <w:pPr>
        <w:keepNext/>
        <w:spacing w:before="140" w:after="60"/>
        <w:outlineLvl w:val="3"/>
      </w:pPr>
      <w:r>
        <w:rPr>
          <w:rFonts w:ascii="Arial" w:hAnsi="Arial" w:cs="Arial"/>
          <w:b/>
          <w:i/>
          <w:color w:val="333333"/>
          <w:sz w:val="22"/>
        </w:rPr>
        <w:t>4.3.9.1 Purpose</w:t>
      </w:r>
    </w:p>
    <w:p>
      <w:pPr>
        <w:spacing w:after="80" w:line="293" w:lineRule="auto"/>
        <w:jc w:val="left"/>
      </w:pPr>
      <w:r>
        <w:rPr>
          <w:rFonts w:ascii="Times New Roman" w:hAnsi="Times New Roman" w:cs="Times New Roman"/>
          <w:b w:val="0"/>
          <w:i w:val="0"/>
          <w:sz w:val="22"/>
        </w:rPr>
        <w:t>Ensure that every tenant (buyer, seller, logistics provider, financier, etc.) is fully prepared to execute their first trade or service on the SGTX platform. The Trade Readiness Assessment evaluates company configuration, banking setup, trade preferences, security posture, and legal acknowledgements before allowing trade creation.</w:t>
      </w:r>
    </w:p>
    <w:p>
      <w:pPr>
        <w:keepNext/>
        <w:spacing w:before="140" w:after="60"/>
        <w:outlineLvl w:val="3"/>
      </w:pPr>
      <w:r>
        <w:rPr>
          <w:rFonts w:ascii="Arial" w:hAnsi="Arial" w:cs="Arial"/>
          <w:b/>
          <w:i/>
          <w:color w:val="333333"/>
          <w:sz w:val="22"/>
        </w:rPr>
        <w:t>4.3.9.2 Readiness Categories &amp; Checklist</w:t>
      </w:r>
    </w:p>
    <w:p>
      <w:pPr>
        <w:spacing w:after="80" w:line="293" w:lineRule="auto"/>
        <w:jc w:val="left"/>
      </w:pPr>
      <w:r>
        <w:rPr>
          <w:rFonts w:ascii="Times New Roman" w:hAnsi="Times New Roman" w:cs="Times New Roman"/>
          <w:b w:val="0"/>
          <w:i w:val="0"/>
          <w:sz w:val="22"/>
        </w:rPr>
        <w:t>The assessment is divided into five mandatory categories (plus optional advanced items). Each category contains several checklist items. For a tenant to be considered Fully Ready (score = 100%), all mandatory items must be completed. Optional items contribute to a higher score but are not required.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Category</w:t>
            </w:r>
          </w:p>
        </w:tc>
        <w:tc>
          <w:tcPr>
            <w:tcW w:type="dxa" w:w="2409"/>
            <w:shd w:val="clear" w:fill="D9E2F3"/>
          </w:tcPr>
          <w:p>
            <w:pPr>
              <w:spacing w:after="20" w:before="20" w:line="240" w:lineRule="auto"/>
            </w:pPr>
            <w:r/>
            <w:r>
              <w:rPr>
                <w:rFonts w:ascii="Arial" w:hAnsi="Arial" w:cs="Arial"/>
                <w:b/>
                <w:i w:val="0"/>
                <w:sz w:val="18"/>
              </w:rPr>
              <w:t>Weight</w:t>
            </w:r>
          </w:p>
        </w:tc>
        <w:tc>
          <w:tcPr>
            <w:tcW w:type="dxa" w:w="2409"/>
            <w:shd w:val="clear" w:fill="D9E2F3"/>
          </w:tcPr>
          <w:p>
            <w:pPr>
              <w:spacing w:after="20" w:before="20" w:line="240" w:lineRule="auto"/>
            </w:pPr>
            <w:r/>
            <w:r>
              <w:rPr>
                <w:rFonts w:ascii="Arial" w:hAnsi="Arial" w:cs="Arial"/>
                <w:b/>
                <w:i w:val="0"/>
                <w:sz w:val="18"/>
              </w:rPr>
              <w:t>Mandatory Items</w:t>
            </w:r>
          </w:p>
        </w:tc>
        <w:tc>
          <w:tcPr>
            <w:tcW w:type="dxa" w:w="2409"/>
            <w:shd w:val="clear" w:fill="D9E2F3"/>
          </w:tcPr>
          <w:p>
            <w:pPr>
              <w:spacing w:after="20" w:before="20" w:line="240" w:lineRule="auto"/>
            </w:pPr>
            <w:r/>
            <w:r>
              <w:rPr>
                <w:rFonts w:ascii="Arial" w:hAnsi="Arial" w:cs="Arial"/>
                <w:b/>
                <w:i w:val="0"/>
                <w:sz w:val="18"/>
              </w:rPr>
              <w:t>Optional Items</w:t>
            </w:r>
          </w:p>
        </w:tc>
      </w:tr>
      <w:tr>
        <w:tc>
          <w:tcPr>
            <w:tcW w:type="dxa" w:w="2409"/>
          </w:tcPr>
          <w:p>
            <w:pPr>
              <w:spacing w:after="20" w:before="20" w:line="240" w:lineRule="auto"/>
            </w:pPr>
            <w:r/>
            <w:r>
              <w:rPr>
                <w:rFonts w:ascii="Arial" w:hAnsi="Arial" w:cs="Arial"/>
                <w:b w:val="0"/>
                <w:i w:val="0"/>
                <w:sz w:val="17"/>
              </w:rPr>
              <w:t>Company</w:t>
            </w:r>
          </w:p>
        </w:tc>
        <w:tc>
          <w:tcPr>
            <w:tcW w:type="dxa" w:w="2409"/>
          </w:tcPr>
          <w:p>
            <w:pPr>
              <w:spacing w:after="20" w:before="20" w:line="240" w:lineRule="auto"/>
            </w:pPr>
            <w:r/>
            <w:r>
              <w:rPr>
                <w:rFonts w:ascii="Arial" w:hAnsi="Arial" w:cs="Arial"/>
                <w:b w:val="0"/>
                <w:i w:val="0"/>
                <w:sz w:val="17"/>
              </w:rPr>
              <w:t>35%</w:t>
            </w:r>
          </w:p>
        </w:tc>
        <w:tc>
          <w:tcPr>
            <w:tcW w:type="dxa" w:w="2409"/>
          </w:tcPr>
          <w:p>
            <w:pPr>
              <w:spacing w:after="20" w:before="20" w:line="240" w:lineRule="auto"/>
            </w:pPr>
            <w:r/>
            <w:r>
              <w:rPr>
                <w:rFonts w:ascii="Arial" w:hAnsi="Arial" w:cs="Arial"/>
                <w:b w:val="0"/>
                <w:i w:val="0"/>
                <w:sz w:val="17"/>
              </w:rPr>
              <w:t>Tax ID validated, Commercial registration uploaded, Legal address verified, UBO declaration (Tier 2+)</w:t>
            </w:r>
          </w:p>
        </w:tc>
        <w:tc>
          <w:tcPr>
            <w:tcW w:type="dxa" w:w="2409"/>
          </w:tcPr>
          <w:p>
            <w:pPr>
              <w:spacing w:after="20" w:before="20" w:line="240" w:lineRule="auto"/>
            </w:pPr>
            <w:r/>
            <w:r>
              <w:rPr>
                <w:rFonts w:ascii="Arial" w:hAnsi="Arial" w:cs="Arial"/>
                <w:b w:val="0"/>
                <w:i w:val="0"/>
                <w:sz w:val="17"/>
              </w:rPr>
              <w:t>Annual financial statement, Insurance certificate</w:t>
            </w:r>
          </w:p>
        </w:tc>
      </w:tr>
      <w:tr>
        <w:tc>
          <w:tcPr>
            <w:tcW w:type="dxa" w:w="2409"/>
          </w:tcPr>
          <w:p>
            <w:pPr>
              <w:spacing w:after="20" w:before="20" w:line="240" w:lineRule="auto"/>
            </w:pPr>
            <w:r/>
            <w:r>
              <w:rPr>
                <w:rFonts w:ascii="Arial" w:hAnsi="Arial" w:cs="Arial"/>
                <w:b w:val="0"/>
                <w:i w:val="0"/>
                <w:sz w:val="17"/>
              </w:rPr>
              <w:t>Banking</w:t>
            </w:r>
          </w:p>
        </w:tc>
        <w:tc>
          <w:tcPr>
            <w:tcW w:type="dxa" w:w="2409"/>
          </w:tcPr>
          <w:p>
            <w:pPr>
              <w:spacing w:after="20" w:before="20" w:line="240" w:lineRule="auto"/>
            </w:pPr>
            <w:r/>
            <w:r>
              <w:rPr>
                <w:rFonts w:ascii="Arial" w:hAnsi="Arial" w:cs="Arial"/>
                <w:b w:val="0"/>
                <w:i w:val="0"/>
                <w:sz w:val="17"/>
              </w:rPr>
              <w:t>25%</w:t>
            </w:r>
          </w:p>
        </w:tc>
        <w:tc>
          <w:tcPr>
            <w:tcW w:type="dxa" w:w="2409"/>
          </w:tcPr>
          <w:p>
            <w:pPr>
              <w:spacing w:after="20" w:before="20" w:line="240" w:lineRule="auto"/>
            </w:pPr>
            <w:r/>
            <w:r>
              <w:rPr>
                <w:rFonts w:ascii="Arial" w:hAnsi="Arial" w:cs="Arial"/>
                <w:b w:val="0"/>
                <w:i w:val="0"/>
                <w:sz w:val="17"/>
              </w:rPr>
              <w:t>Settlement account linked (bank mandate verified), Finance preferences set (currency, payment method)</w:t>
            </w:r>
          </w:p>
        </w:tc>
        <w:tc>
          <w:tcPr>
            <w:tcW w:type="dxa" w:w="2409"/>
          </w:tcPr>
          <w:p>
            <w:pPr>
              <w:spacing w:after="20" w:before="20" w:line="240" w:lineRule="auto"/>
            </w:pPr>
            <w:r/>
            <w:r>
              <w:rPr>
                <w:rFonts w:ascii="Arial" w:hAnsi="Arial" w:cs="Arial"/>
                <w:b w:val="0"/>
                <w:i w:val="0"/>
                <w:sz w:val="17"/>
              </w:rPr>
              <w:t>Debit authorisation (for auto-charge), Credit facility approval</w:t>
            </w:r>
          </w:p>
        </w:tc>
      </w:tr>
      <w:tr>
        <w:tc>
          <w:tcPr>
            <w:tcW w:type="dxa" w:w="2409"/>
          </w:tcPr>
          <w:p>
            <w:pPr>
              <w:spacing w:after="20" w:before="20" w:line="240" w:lineRule="auto"/>
            </w:pPr>
            <w:r/>
            <w:r>
              <w:rPr>
                <w:rFonts w:ascii="Arial" w:hAnsi="Arial" w:cs="Arial"/>
                <w:b w:val="0"/>
                <w:i w:val="0"/>
                <w:sz w:val="17"/>
              </w:rPr>
              <w:t>Trade</w:t>
            </w:r>
          </w:p>
        </w:tc>
        <w:tc>
          <w:tcPr>
            <w:tcW w:type="dxa" w:w="2409"/>
          </w:tcPr>
          <w:p>
            <w:pPr>
              <w:spacing w:after="20" w:before="20" w:line="240" w:lineRule="auto"/>
            </w:pPr>
            <w:r/>
            <w:r>
              <w:rPr>
                <w:rFonts w:ascii="Arial" w:hAnsi="Arial" w:cs="Arial"/>
                <w:b w:val="0"/>
                <w:i w:val="0"/>
                <w:sz w:val="17"/>
              </w:rPr>
              <w:t>20%</w:t>
            </w:r>
          </w:p>
        </w:tc>
        <w:tc>
          <w:tcPr>
            <w:tcW w:type="dxa" w:w="2409"/>
          </w:tcPr>
          <w:p>
            <w:pPr>
              <w:spacing w:after="20" w:before="20" w:line="240" w:lineRule="auto"/>
            </w:pPr>
            <w:r/>
            <w:r>
              <w:rPr>
                <w:rFonts w:ascii="Arial" w:hAnsi="Arial" w:cs="Arial"/>
                <w:b w:val="0"/>
                <w:i w:val="0"/>
                <w:sz w:val="17"/>
              </w:rPr>
              <w:t>At least one product defined, At least one port saved, Default incoterm selected</w:t>
            </w:r>
          </w:p>
        </w:tc>
        <w:tc>
          <w:tcPr>
            <w:tcW w:type="dxa" w:w="2409"/>
          </w:tcPr>
          <w:p>
            <w:pPr>
              <w:spacing w:after="20" w:before="20" w:line="240" w:lineRule="auto"/>
            </w:pPr>
            <w:r/>
            <w:r>
              <w:rPr>
                <w:rFonts w:ascii="Arial" w:hAnsi="Arial" w:cs="Arial"/>
                <w:b w:val="0"/>
                <w:i w:val="0"/>
                <w:sz w:val="17"/>
              </w:rPr>
              <w:t>Shipping lines added (seller), Customs broker added (buyer)</w:t>
            </w:r>
          </w:p>
        </w:tc>
      </w:tr>
      <w:tr>
        <w:tc>
          <w:tcPr>
            <w:tcW w:type="dxa" w:w="2409"/>
          </w:tcPr>
          <w:p>
            <w:pPr>
              <w:spacing w:after="20" w:before="20" w:line="240" w:lineRule="auto"/>
            </w:pPr>
            <w:r/>
            <w:r>
              <w:rPr>
                <w:rFonts w:ascii="Arial" w:hAnsi="Arial" w:cs="Arial"/>
                <w:b w:val="0"/>
                <w:i w:val="0"/>
                <w:sz w:val="17"/>
              </w:rPr>
              <w:t>Security</w:t>
            </w:r>
          </w:p>
        </w:tc>
        <w:tc>
          <w:tcPr>
            <w:tcW w:type="dxa" w:w="2409"/>
          </w:tcPr>
          <w:p>
            <w:pPr>
              <w:spacing w:after="20" w:before="20" w:line="240" w:lineRule="auto"/>
            </w:pPr>
            <w:r/>
            <w:r>
              <w:rPr>
                <w:rFonts w:ascii="Arial" w:hAnsi="Arial" w:cs="Arial"/>
                <w:b w:val="0"/>
                <w:i w:val="0"/>
                <w:sz w:val="17"/>
              </w:rPr>
              <w:t>15%</w:t>
            </w:r>
          </w:p>
        </w:tc>
        <w:tc>
          <w:tcPr>
            <w:tcW w:type="dxa" w:w="2409"/>
          </w:tcPr>
          <w:p>
            <w:pPr>
              <w:spacing w:after="20" w:before="20" w:line="240" w:lineRule="auto"/>
            </w:pPr>
            <w:r/>
            <w:r>
              <w:rPr>
                <w:rFonts w:ascii="Arial" w:hAnsi="Arial" w:cs="Arial"/>
                <w:b w:val="0"/>
                <w:i w:val="0"/>
                <w:sz w:val="17"/>
              </w:rPr>
              <w:t>Passkey enrolled, MFA enabled (if tenant policy requires), Recovery method configured</w:t>
            </w:r>
          </w:p>
        </w:tc>
        <w:tc>
          <w:tcPr>
            <w:tcW w:type="dxa" w:w="2409"/>
          </w:tcPr>
          <w:p>
            <w:pPr>
              <w:spacing w:after="20" w:before="20" w:line="240" w:lineRule="auto"/>
            </w:pPr>
            <w:r/>
            <w:r>
              <w:rPr>
                <w:rFonts w:ascii="Arial" w:hAnsi="Arial" w:cs="Arial"/>
                <w:b w:val="0"/>
                <w:i w:val="0"/>
                <w:sz w:val="17"/>
              </w:rPr>
              <w:t>Hardware security key, Session risk monitoring opt-in</w:t>
            </w:r>
          </w:p>
        </w:tc>
      </w:tr>
      <w:tr>
        <w:tc>
          <w:tcPr>
            <w:tcW w:type="dxa" w:w="2409"/>
          </w:tcPr>
          <w:p>
            <w:pPr>
              <w:spacing w:after="20" w:before="20" w:line="240" w:lineRule="auto"/>
            </w:pPr>
            <w:r/>
            <w:r>
              <w:rPr>
                <w:rFonts w:ascii="Arial" w:hAnsi="Arial" w:cs="Arial"/>
                <w:b w:val="0"/>
                <w:i w:val="0"/>
                <w:sz w:val="17"/>
              </w:rPr>
              <w:t>Legal</w:t>
            </w:r>
          </w:p>
        </w:tc>
        <w:tc>
          <w:tcPr>
            <w:tcW w:type="dxa" w:w="2409"/>
          </w:tcPr>
          <w:p>
            <w:pPr>
              <w:spacing w:after="20" w:before="20" w:line="240" w:lineRule="auto"/>
            </w:pPr>
            <w:r/>
            <w:r>
              <w:rPr>
                <w:rFonts w:ascii="Arial" w:hAnsi="Arial" w:cs="Arial"/>
                <w:b w:val="0"/>
                <w:i w:val="0"/>
                <w:sz w:val="17"/>
              </w:rPr>
              <w:t>5%</w:t>
            </w:r>
          </w:p>
        </w:tc>
        <w:tc>
          <w:tcPr>
            <w:tcW w:type="dxa" w:w="2409"/>
          </w:tcPr>
          <w:p>
            <w:pPr>
              <w:spacing w:after="20" w:before="20" w:line="240" w:lineRule="auto"/>
            </w:pPr>
            <w:r/>
            <w:r>
              <w:rPr>
                <w:rFonts w:ascii="Arial" w:hAnsi="Arial" w:cs="Arial"/>
                <w:b w:val="0"/>
                <w:i w:val="0"/>
                <w:sz w:val="17"/>
              </w:rPr>
              <w:t>Terms of Service accepted, Privacy notice accepted, Fee schedule acknowledged</w:t>
            </w:r>
          </w:p>
        </w:tc>
        <w:tc>
          <w:tcPr>
            <w:tcW w:type="dxa" w:w="2409"/>
          </w:tcPr>
          <w:p>
            <w:pPr>
              <w:spacing w:after="20" w:before="20" w:line="240" w:lineRule="auto"/>
            </w:pPr>
            <w:r/>
            <w:r>
              <w:rPr>
                <w:rFonts w:ascii="Arial" w:hAnsi="Arial" w:cs="Arial"/>
                <w:b w:val="0"/>
                <w:i w:val="0"/>
                <w:sz w:val="17"/>
              </w:rPr>
              <w:t>Data processing agreement (DPA) signed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4.3.9.3 Readiness Score Calculation</w:t>
      </w:r>
    </w:p>
    <w:p>
      <w:pPr>
        <w:spacing w:after="80" w:line="293" w:lineRule="auto"/>
        <w:jc w:val="left"/>
      </w:pPr>
      <w:r>
        <w:rPr>
          <w:rFonts w:ascii="Times New Roman" w:hAnsi="Times New Roman" w:cs="Times New Roman"/>
          <w:b/>
          <w:i w:val="0"/>
          <w:sz w:val="22"/>
        </w:rPr>
        <w:t>Formula:</w:t>
      </w:r>
    </w:p>
    <w:p>
      <w:pPr>
        <w:spacing w:after="0" w:before="0" w:line="240" w:lineRule="auto"/>
        <w:ind w:left="57"/>
        <w:jc w:val="left"/>
        <w:shd w:val="clear" w:fill="F2F2F2"/>
      </w:pPr>
      <w:r>
        <w:rPr>
          <w:rFonts w:ascii="Consolas" w:hAnsi="Consolas" w:cs="Consolas"/>
          <w:b w:val="0"/>
          <w:i w:val="0"/>
          <w:sz w:val="15"/>
        </w:rPr>
        <w:t>Readiness Score = (Completed Mandatory Items / Total Mandatory Items) × 100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Score Thresholds &amp; Permissions: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Score Range</w:t>
            </w:r>
          </w:p>
        </w:tc>
        <w:tc>
          <w:tcPr>
            <w:tcW w:type="dxa" w:w="2409"/>
            <w:shd w:val="clear" w:fill="D9E2F3"/>
          </w:tcPr>
          <w:p>
            <w:pPr>
              <w:spacing w:after="20" w:before="20" w:line="240" w:lineRule="auto"/>
            </w:pPr>
            <w:r/>
            <w:r>
              <w:rPr>
                <w:rFonts w:ascii="Arial" w:hAnsi="Arial" w:cs="Arial"/>
                <w:b/>
                <w:i w:val="0"/>
                <w:sz w:val="18"/>
              </w:rPr>
              <w:t>Status</w:t>
            </w:r>
          </w:p>
        </w:tc>
        <w:tc>
          <w:tcPr>
            <w:tcW w:type="dxa" w:w="2409"/>
            <w:shd w:val="clear" w:fill="D9E2F3"/>
          </w:tcPr>
          <w:p>
            <w:pPr>
              <w:spacing w:after="20" w:before="20" w:line="240" w:lineRule="auto"/>
            </w:pPr>
            <w:r/>
            <w:r>
              <w:rPr>
                <w:rFonts w:ascii="Arial" w:hAnsi="Arial" w:cs="Arial"/>
                <w:b/>
                <w:i w:val="0"/>
                <w:sz w:val="18"/>
              </w:rPr>
              <w:t>Can Create Trade?</w:t>
            </w:r>
          </w:p>
        </w:tc>
        <w:tc>
          <w:tcPr>
            <w:tcW w:type="dxa" w:w="2409"/>
            <w:shd w:val="clear" w:fill="D9E2F3"/>
          </w:tcPr>
          <w:p>
            <w:pPr>
              <w:spacing w:after="20" w:before="20" w:line="240" w:lineRule="auto"/>
            </w:pPr>
            <w:r/>
            <w:r>
              <w:rPr>
                <w:rFonts w:ascii="Arial" w:hAnsi="Arial" w:cs="Arial"/>
                <w:b/>
                <w:i w:val="0"/>
                <w:sz w:val="18"/>
              </w:rPr>
              <w:t>Restrictions</w:t>
            </w:r>
          </w:p>
        </w:tc>
      </w:tr>
      <w:tr>
        <w:tc>
          <w:tcPr>
            <w:tcW w:type="dxa" w:w="2409"/>
          </w:tcPr>
          <w:p>
            <w:pPr>
              <w:spacing w:after="20" w:before="20" w:line="240" w:lineRule="auto"/>
            </w:pPr>
            <w:r/>
            <w:r>
              <w:rPr>
                <w:rFonts w:ascii="Arial" w:hAnsi="Arial" w:cs="Arial"/>
                <w:b w:val="0"/>
                <w:i w:val="0"/>
                <w:sz w:val="17"/>
              </w:rPr>
              <w:t>100%</w:t>
            </w:r>
          </w:p>
        </w:tc>
        <w:tc>
          <w:tcPr>
            <w:tcW w:type="dxa" w:w="2409"/>
          </w:tcPr>
          <w:p>
            <w:pPr>
              <w:spacing w:after="20" w:before="20" w:line="240" w:lineRule="auto"/>
            </w:pPr>
            <w:r/>
            <w:r>
              <w:rPr>
                <w:rFonts w:ascii="Arial" w:hAnsi="Arial" w:cs="Arial"/>
                <w:b w:val="0"/>
                <w:i w:val="0"/>
                <w:sz w:val="17"/>
              </w:rPr>
              <w:t>Fully Ready</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None</w:t>
            </w:r>
          </w:p>
        </w:tc>
      </w:tr>
      <w:tr>
        <w:tc>
          <w:tcPr>
            <w:tcW w:type="dxa" w:w="2409"/>
          </w:tcPr>
          <w:p>
            <w:pPr>
              <w:spacing w:after="20" w:before="20" w:line="240" w:lineRule="auto"/>
            </w:pPr>
            <w:r/>
            <w:r>
              <w:rPr>
                <w:rFonts w:ascii="Arial" w:hAnsi="Arial" w:cs="Arial"/>
                <w:b w:val="0"/>
                <w:i w:val="0"/>
                <w:sz w:val="17"/>
              </w:rPr>
              <w:t>85–99%</w:t>
            </w:r>
          </w:p>
        </w:tc>
        <w:tc>
          <w:tcPr>
            <w:tcW w:type="dxa" w:w="2409"/>
          </w:tcPr>
          <w:p>
            <w:pPr>
              <w:spacing w:after="20" w:before="20" w:line="240" w:lineRule="auto"/>
            </w:pPr>
            <w:r/>
            <w:r>
              <w:rPr>
                <w:rFonts w:ascii="Arial" w:hAnsi="Arial" w:cs="Arial"/>
                <w:b w:val="0"/>
                <w:i w:val="0"/>
                <w:sz w:val="17"/>
              </w:rPr>
              <w:t>Mostly Ready</w:t>
            </w:r>
          </w:p>
        </w:tc>
        <w:tc>
          <w:tcPr>
            <w:tcW w:type="dxa" w:w="2409"/>
          </w:tcPr>
          <w:p>
            <w:pPr>
              <w:spacing w:after="20" w:before="20" w:line="240" w:lineRule="auto"/>
            </w:pPr>
            <w:r/>
            <w:r>
              <w:rPr>
                <w:rFonts w:ascii="Arial" w:hAnsi="Arial" w:cs="Arial"/>
                <w:b w:val="0"/>
                <w:i w:val="0"/>
                <w:sz w:val="17"/>
              </w:rPr>
              <w:t>Yes (with warning)</w:t>
            </w:r>
          </w:p>
        </w:tc>
        <w:tc>
          <w:tcPr>
            <w:tcW w:type="dxa" w:w="2409"/>
          </w:tcPr>
          <w:p>
            <w:pPr>
              <w:spacing w:after="20" w:before="20" w:line="240" w:lineRule="auto"/>
            </w:pPr>
            <w:r/>
            <w:r>
              <w:rPr>
                <w:rFonts w:ascii="Arial" w:hAnsi="Arial" w:cs="Arial"/>
                <w:b w:val="0"/>
                <w:i w:val="0"/>
                <w:sz w:val="17"/>
              </w:rPr>
              <w:t>Warning only — user can proceed but advised to complete missing items</w:t>
            </w:r>
          </w:p>
        </w:tc>
      </w:tr>
      <w:tr>
        <w:tc>
          <w:tcPr>
            <w:tcW w:type="dxa" w:w="2409"/>
          </w:tcPr>
          <w:p>
            <w:pPr>
              <w:spacing w:after="20" w:before="20" w:line="240" w:lineRule="auto"/>
            </w:pPr>
            <w:r/>
            <w:r>
              <w:rPr>
                <w:rFonts w:ascii="Arial" w:hAnsi="Arial" w:cs="Arial"/>
                <w:b w:val="0"/>
                <w:i w:val="0"/>
                <w:sz w:val="17"/>
              </w:rPr>
              <w:t>70–84%</w:t>
            </w:r>
          </w:p>
        </w:tc>
        <w:tc>
          <w:tcPr>
            <w:tcW w:type="dxa" w:w="2409"/>
          </w:tcPr>
          <w:p>
            <w:pPr>
              <w:spacing w:after="20" w:before="20" w:line="240" w:lineRule="auto"/>
            </w:pPr>
            <w:r/>
            <w:r>
              <w:rPr>
                <w:rFonts w:ascii="Arial" w:hAnsi="Arial" w:cs="Arial"/>
                <w:b w:val="0"/>
                <w:i w:val="0"/>
                <w:sz w:val="17"/>
              </w:rPr>
              <w:t>Partially Ready</w:t>
            </w:r>
          </w:p>
        </w:tc>
        <w:tc>
          <w:tcPr>
            <w:tcW w:type="dxa" w:w="2409"/>
          </w:tcPr>
          <w:p>
            <w:pPr>
              <w:spacing w:after="20" w:before="20" w:line="240" w:lineRule="auto"/>
            </w:pPr>
            <w:r/>
            <w:r>
              <w:rPr>
                <w:rFonts w:ascii="Arial" w:hAnsi="Arial" w:cs="Arial"/>
                <w:b w:val="0"/>
                <w:i w:val="0"/>
                <w:sz w:val="17"/>
              </w:rPr>
              <w:t>Limited</w:t>
            </w:r>
          </w:p>
        </w:tc>
        <w:tc>
          <w:tcPr>
            <w:tcW w:type="dxa" w:w="2409"/>
          </w:tcPr>
          <w:p>
            <w:pPr>
              <w:spacing w:after="20" w:before="20" w:line="240" w:lineRule="auto"/>
            </w:pPr>
            <w:r/>
            <w:r>
              <w:rPr>
                <w:rFonts w:ascii="Arial" w:hAnsi="Arial" w:cs="Arial"/>
                <w:b w:val="0"/>
                <w:i w:val="0"/>
                <w:sz w:val="17"/>
              </w:rPr>
              <w:t>Only pre-approved corridors or low-value trades (&lt;$10,000) allowed</w:t>
            </w:r>
          </w:p>
        </w:tc>
      </w:tr>
      <w:tr>
        <w:tc>
          <w:tcPr>
            <w:tcW w:type="dxa" w:w="2409"/>
          </w:tcPr>
          <w:p>
            <w:pPr>
              <w:spacing w:after="20" w:before="20" w:line="240" w:lineRule="auto"/>
            </w:pPr>
            <w:r/>
            <w:r>
              <w:rPr>
                <w:rFonts w:ascii="Arial" w:hAnsi="Arial" w:cs="Arial"/>
                <w:b w:val="0"/>
                <w:i w:val="0"/>
                <w:sz w:val="17"/>
              </w:rPr>
              <w:t>&lt;70%</w:t>
            </w:r>
          </w:p>
        </w:tc>
        <w:tc>
          <w:tcPr>
            <w:tcW w:type="dxa" w:w="2409"/>
          </w:tcPr>
          <w:p>
            <w:pPr>
              <w:spacing w:after="20" w:before="20" w:line="240" w:lineRule="auto"/>
            </w:pPr>
            <w:r/>
            <w:r>
              <w:rPr>
                <w:rFonts w:ascii="Arial" w:hAnsi="Arial" w:cs="Arial"/>
                <w:b w:val="0"/>
                <w:i w:val="0"/>
                <w:sz w:val="17"/>
              </w:rPr>
              <w:t>Not Ready</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Trade creation blocked until score ≥70%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4.3.9.4 UI Display — Readiness Card</w:t>
      </w:r>
    </w:p>
    <w:p>
      <w:pPr>
        <w:spacing w:after="80" w:line="293" w:lineRule="auto"/>
        <w:jc w:val="left"/>
      </w:pPr>
      <w:r>
        <w:rPr>
          <w:rFonts w:ascii="Times New Roman" w:hAnsi="Times New Roman" w:cs="Times New Roman"/>
          <w:b w:val="0"/>
          <w:i w:val="0"/>
          <w:sz w:val="22"/>
        </w:rPr>
        <w:t>Location: Universal Command Center (see Section 16) — as a prominent card at the top. Company Admin → Readiness — full detailed view.</w:t>
      </w:r>
    </w:p>
    <w:p>
      <w:pPr>
        <w:spacing w:after="80" w:line="293" w:lineRule="auto"/>
        <w:jc w:val="left"/>
      </w:pPr>
      <w:r>
        <w:rPr>
          <w:rFonts w:ascii="Times New Roman" w:hAnsi="Times New Roman" w:cs="Times New Roman"/>
          <w:b w:val="0"/>
          <w:i w:val="0"/>
          <w:sz w:val="22"/>
        </w:rPr>
        <w:t>Example Card:</w:t>
      </w:r>
    </w:p>
    <w:p>
      <w:pPr>
        <w:spacing w:after="0" w:before="0" w:line="240" w:lineRule="auto"/>
        <w:ind w:left="57"/>
        <w:jc w:val="left"/>
        <w:shd w:val="clear" w:fill="F2F2F2"/>
      </w:pPr>
      <w:r>
        <w:rPr>
          <w:rFonts w:ascii="Consolas" w:hAnsi="Consolas" w:cs="Consolas"/>
          <w:b w:val="0"/>
          <w:i w:val="0"/>
          <w:sz w:val="15"/>
        </w:rPr>
        <w:t>TRADE READINESS SCORECARD</w:t>
      </w:r>
    </w:p>
    <w:p>
      <w:pPr>
        <w:spacing w:after="0" w:before="0" w:line="240" w:lineRule="auto"/>
        <w:ind w:left="57"/>
        <w:jc w:val="left"/>
        <w:shd w:val="clear" w:fill="F2F2F2"/>
      </w:pPr>
      <w:r>
        <w:rPr>
          <w:rFonts w:ascii="Consolas" w:hAnsi="Consolas" w:cs="Consolas"/>
          <w:b w:val="0"/>
          <w:i w:val="0"/>
          <w:sz w:val="15"/>
        </w:rPr>
        <w:t xml:space="preserve">  Score:  87%</w:t>
      </w:r>
    </w:p>
    <w:p>
      <w:pPr>
        <w:spacing w:after="0" w:before="0" w:line="240" w:lineRule="auto"/>
        <w:ind w:left="57"/>
        <w:jc w:val="left"/>
        <w:shd w:val="clear" w:fill="F2F2F2"/>
      </w:pPr>
      <w:r>
        <w:rPr>
          <w:rFonts w:ascii="Consolas" w:hAnsi="Consolas" w:cs="Consolas"/>
          <w:b w:val="0"/>
          <w:i w:val="0"/>
          <w:sz w:val="15"/>
        </w:rPr>
        <w:t xml:space="preserve">  Status: Mostly Ready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Company:  Tax ID, Registration, Address, UBO                    ✓</w:t>
      </w:r>
    </w:p>
    <w:p>
      <w:pPr>
        <w:spacing w:after="0" w:before="0" w:line="240" w:lineRule="auto"/>
        <w:ind w:left="57"/>
        <w:jc w:val="left"/>
        <w:shd w:val="clear" w:fill="F2F2F2"/>
      </w:pPr>
      <w:r>
        <w:rPr>
          <w:rFonts w:ascii="Consolas" w:hAnsi="Consolas" w:cs="Consolas"/>
          <w:b w:val="0"/>
          <w:i w:val="0"/>
          <w:sz w:val="15"/>
        </w:rPr>
        <w:t xml:space="preserve">  Banking:  Settlement account linked                 ---  [Connect Now]</w:t>
      </w:r>
    </w:p>
    <w:p>
      <w:pPr>
        <w:spacing w:after="0" w:before="0" w:line="240" w:lineRule="auto"/>
        <w:ind w:left="57"/>
        <w:jc w:val="left"/>
        <w:shd w:val="clear" w:fill="F2F2F2"/>
      </w:pPr>
      <w:r>
        <w:rPr>
          <w:rFonts w:ascii="Consolas" w:hAnsi="Consolas" w:cs="Consolas"/>
          <w:b w:val="0"/>
          <w:i w:val="0"/>
          <w:sz w:val="15"/>
        </w:rPr>
        <w:t xml:space="preserve">  Trade:    3 products, 5 ports, incoterm CFR                      ✓</w:t>
      </w:r>
    </w:p>
    <w:p>
      <w:pPr>
        <w:spacing w:after="0" w:before="0" w:line="240" w:lineRule="auto"/>
        <w:ind w:left="57"/>
        <w:jc w:val="left"/>
        <w:shd w:val="clear" w:fill="F2F2F2"/>
      </w:pPr>
      <w:r>
        <w:rPr>
          <w:rFonts w:ascii="Consolas" w:hAnsi="Consolas" w:cs="Consolas"/>
          <w:b w:val="0"/>
          <w:i w:val="0"/>
          <w:sz w:val="15"/>
        </w:rPr>
        <w:t xml:space="preserve">  Security: Passkey enrolled, MFA enabled                         ✓</w:t>
      </w:r>
    </w:p>
    <w:p>
      <w:pPr>
        <w:spacing w:after="0" w:before="0" w:line="240" w:lineRule="auto"/>
        <w:ind w:left="57"/>
        <w:jc w:val="left"/>
        <w:shd w:val="clear" w:fill="F2F2F2"/>
      </w:pPr>
      <w:r>
        <w:rPr>
          <w:rFonts w:ascii="Consolas" w:hAnsi="Consolas" w:cs="Consolas"/>
          <w:b w:val="0"/>
          <w:i w:val="0"/>
          <w:sz w:val="15"/>
        </w:rPr>
        <w:t xml:space="preserve">  Legal:    Fee schedule acknowledgment pending      ---  [Review &amp; Sign]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Complete 2 remaining mandatory items to reach 100% readiness.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 to Company Admin]   [Dismiss for 7 days]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4.3.9.5 One-Click Remediation Workflow</w:t>
      </w:r>
    </w:p>
    <w:p>
      <w:pPr>
        <w:spacing w:after="80" w:line="293" w:lineRule="auto"/>
        <w:jc w:val="left"/>
      </w:pPr>
      <w:r>
        <w:rPr>
          <w:rFonts w:ascii="Times New Roman" w:hAnsi="Times New Roman" w:cs="Times New Roman"/>
          <w:b w:val="0"/>
          <w:i w:val="0"/>
          <w:sz w:val="22"/>
        </w:rPr>
        <w:t>For each missing item, the system provides a direct action link that:</w:t>
      </w:r>
    </w:p>
    <w:p>
      <w:pPr>
        <w:spacing w:after="80" w:line="293" w:lineRule="auto"/>
        <w:ind w:left="283"/>
        <w:jc w:val="left"/>
      </w:pPr>
      <w:r>
        <w:rPr>
          <w:rFonts w:ascii="Times New Roman" w:hAnsi="Times New Roman" w:cs="Times New Roman"/>
          <w:b w:val="0"/>
          <w:i w:val="0"/>
          <w:sz w:val="22"/>
        </w:rPr>
        <w:t>- Opens a pre-filled form (where possible).</w:t>
      </w:r>
    </w:p>
    <w:p>
      <w:pPr>
        <w:spacing w:after="80" w:line="293" w:lineRule="auto"/>
        <w:ind w:left="283"/>
        <w:jc w:val="left"/>
      </w:pPr>
      <w:r>
        <w:rPr>
          <w:rFonts w:ascii="Times New Roman" w:hAnsi="Times New Roman" w:cs="Times New Roman"/>
          <w:b w:val="0"/>
          <w:i w:val="0"/>
          <w:sz w:val="22"/>
        </w:rPr>
        <w:t>- Guides the user through the required steps.</w:t>
      </w:r>
    </w:p>
    <w:p>
      <w:pPr>
        <w:spacing w:after="80" w:line="293" w:lineRule="auto"/>
        <w:ind w:left="283"/>
        <w:jc w:val="left"/>
      </w:pPr>
      <w:r>
        <w:rPr>
          <w:rFonts w:ascii="Times New Roman" w:hAnsi="Times New Roman" w:cs="Times New Roman"/>
          <w:b w:val="0"/>
          <w:i w:val="0"/>
          <w:sz w:val="22"/>
        </w:rPr>
        <w:t>- Upon completion, automatically updates the checklist status and recalculates the readiness score.</w:t>
      </w:r>
    </w:p>
    <w:p>
      <w:pPr>
        <w:spacing w:after="80" w:line="293" w:lineRule="auto"/>
        <w:jc w:val="left"/>
      </w:pPr>
      <w:r>
        <w:rPr>
          <w:rFonts w:ascii="Times New Roman" w:hAnsi="Times New Roman" w:cs="Times New Roman"/>
          <w:b w:val="0"/>
          <w:i w:val="0"/>
          <w:sz w:val="22"/>
        </w:rPr>
        <w:t>Example — Missing settlement account: the user clicks "Connect Bank". A modal appears with the bank mandate flow (mandate agreement, QES signature, funding-account verification via micro-deposits). After successful linking, the bank mandate is ACTIVE and the settlement accounts are verified; the item is marked as completed. The Readiness Card updates instantly (score increases).</w:t>
      </w:r>
    </w:p>
    <w:p>
      <w:pPr>
        <w:keepNext/>
        <w:spacing w:before="140" w:after="60"/>
        <w:outlineLvl w:val="3"/>
      </w:pPr>
      <w:r>
        <w:rPr>
          <w:rFonts w:ascii="Arial" w:hAnsi="Arial" w:cs="Arial"/>
          <w:b/>
          <w:i/>
          <w:color w:val="333333"/>
          <w:sz w:val="22"/>
        </w:rPr>
        <w:t>4.3.9.6 Integration with Governor (Trade Creation Block)</w:t>
      </w:r>
    </w:p>
    <w:p>
      <w:pPr>
        <w:spacing w:after="80" w:line="293" w:lineRule="auto"/>
        <w:jc w:val="left"/>
      </w:pPr>
      <w:r>
        <w:rPr>
          <w:rFonts w:ascii="Times New Roman" w:hAnsi="Times New Roman" w:cs="Times New Roman"/>
          <w:b w:val="0"/>
          <w:i w:val="0"/>
          <w:sz w:val="22"/>
        </w:rPr>
        <w:t>When a user attempts to create a new trade and their current readiness score is &lt;70%, the Governor returns a CONDITIONAL verdict with a Decision Panel that:</w:t>
      </w:r>
    </w:p>
    <w:p>
      <w:pPr>
        <w:spacing w:after="80" w:line="293" w:lineRule="auto"/>
        <w:ind w:left="283"/>
        <w:jc w:val="left"/>
      </w:pPr>
      <w:r>
        <w:rPr>
          <w:rFonts w:ascii="Times New Roman" w:hAnsi="Times New Roman" w:cs="Times New Roman"/>
          <w:b w:val="0"/>
          <w:i w:val="0"/>
          <w:sz w:val="22"/>
        </w:rPr>
        <w:t>- Lists the missing items.</w:t>
      </w:r>
    </w:p>
    <w:p>
      <w:pPr>
        <w:spacing w:after="80" w:line="293" w:lineRule="auto"/>
        <w:ind w:left="283"/>
        <w:jc w:val="left"/>
      </w:pPr>
      <w:r>
        <w:rPr>
          <w:rFonts w:ascii="Times New Roman" w:hAnsi="Times New Roman" w:cs="Times New Roman"/>
          <w:b w:val="0"/>
          <w:i w:val="0"/>
          <w:sz w:val="22"/>
        </w:rPr>
        <w:t>- Provides direct action buttons for each missing item.</w:t>
      </w:r>
    </w:p>
    <w:p>
      <w:pPr>
        <w:spacing w:after="80" w:line="293" w:lineRule="auto"/>
        <w:ind w:left="283"/>
        <w:jc w:val="left"/>
      </w:pPr>
      <w:r>
        <w:rPr>
          <w:rFonts w:ascii="Times New Roman" w:hAnsi="Times New Roman" w:cs="Times New Roman"/>
          <w:b w:val="0"/>
          <w:i w:val="0"/>
          <w:sz w:val="22"/>
        </w:rPr>
        <w:t>- Includes an "Ignore and Proceed" button only if the score is between 70% and 84% (with a warning log).</w:t>
      </w:r>
    </w:p>
    <w:p>
      <w:pPr>
        <w:spacing w:after="80" w:line="293" w:lineRule="auto"/>
        <w:jc w:val="left"/>
      </w:pPr>
      <w:r>
        <w:rPr>
          <w:rFonts w:ascii="Times New Roman" w:hAnsi="Times New Roman" w:cs="Times New Roman"/>
          <w:b w:val="0"/>
          <w:i w:val="0"/>
          <w:sz w:val="22"/>
        </w:rPr>
        <w:t>For scores &lt;70%, the "Proceed" button is disabled.</w:t>
      </w:r>
    </w:p>
    <w:p>
      <w:pPr>
        <w:keepNext/>
        <w:spacing w:before="180" w:after="80"/>
        <w:outlineLvl w:val="2"/>
      </w:pPr>
      <w:r>
        <w:rPr>
          <w:rFonts w:ascii="Arial" w:hAnsi="Arial" w:cs="Arial"/>
          <w:b/>
          <w:i w:val="0"/>
          <w:color w:val="333333"/>
          <w:sz w:val="23"/>
        </w:rPr>
        <w:t>4.3.10 Database Schema (Onboarding &amp; Readiness)</w:t>
      </w:r>
    </w:p>
    <w:p>
      <w:pPr>
        <w:spacing w:after="0" w:before="0" w:line="240" w:lineRule="auto"/>
        <w:ind w:left="57"/>
        <w:jc w:val="left"/>
        <w:shd w:val="clear" w:fill="F2F2F2"/>
      </w:pPr>
      <w:r>
        <w:rPr>
          <w:rFonts w:ascii="Consolas" w:hAnsi="Consolas" w:cs="Consolas"/>
          <w:b w:val="0"/>
          <w:i w:val="0"/>
          <w:sz w:val="15"/>
        </w:rPr>
        <w:t>-- Onboarding State</w:t>
      </w:r>
    </w:p>
    <w:p>
      <w:pPr>
        <w:spacing w:after="0" w:before="0" w:line="240" w:lineRule="auto"/>
        <w:ind w:left="57"/>
        <w:jc w:val="left"/>
        <w:shd w:val="clear" w:fill="F2F2F2"/>
      </w:pPr>
      <w:r>
        <w:rPr>
          <w:rFonts w:ascii="Consolas" w:hAnsi="Consolas" w:cs="Consolas"/>
          <w:b w:val="0"/>
          <w:i w:val="0"/>
          <w:sz w:val="15"/>
        </w:rPr>
        <w:t>-- tenant_onboarding_state: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Readiness Checklist</w:t>
      </w:r>
    </w:p>
    <w:p>
      <w:pPr>
        <w:spacing w:after="0" w:before="0" w:line="240" w:lineRule="auto"/>
        <w:ind w:left="57"/>
        <w:jc w:val="left"/>
        <w:shd w:val="clear" w:fill="F2F2F2"/>
      </w:pPr>
      <w:r>
        <w:rPr>
          <w:rFonts w:ascii="Consolas" w:hAnsi="Consolas" w:cs="Consolas"/>
          <w:b w:val="0"/>
          <w:i w:val="0"/>
          <w:sz w:val="15"/>
        </w:rPr>
        <w:t>-- readiness_checklist: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Extended tenants columns</w:t>
      </w:r>
    </w:p>
    <w:p>
      <w:pPr>
        <w:spacing w:after="0" w:before="0" w:line="240" w:lineRule="auto"/>
        <w:ind w:left="57"/>
        <w:jc w:val="left"/>
        <w:shd w:val="clear" w:fill="F2F2F2"/>
      </w:pPr>
      <w:r>
        <w:rPr>
          <w:rFonts w:ascii="Consolas" w:hAnsi="Consolas" w:cs="Consolas"/>
          <w:b w:val="0"/>
          <w:i w:val="0"/>
          <w:sz w:val="15"/>
        </w:rPr>
        <w:t>ALTER TABLE tenants ADD COLUMN qes_certificate_ref TEXT;</w:t>
      </w:r>
    </w:p>
    <w:p>
      <w:pPr>
        <w:spacing w:after="0" w:before="0" w:line="240" w:lineRule="auto"/>
        <w:ind w:left="57"/>
        <w:jc w:val="left"/>
        <w:shd w:val="clear" w:fill="F2F2F2"/>
      </w:pPr>
      <w:r>
        <w:rPr>
          <w:rFonts w:ascii="Consolas" w:hAnsi="Consolas" w:cs="Consolas"/>
          <w:b w:val="0"/>
          <w:i w:val="0"/>
          <w:sz w:val="15"/>
        </w:rPr>
        <w:t>ALTER TABLE tenants ADD COLUMN readiness_score INTEGER DEFAULT 0;</w:t>
      </w:r>
    </w:p>
    <w:p>
      <w:pPr>
        <w:spacing w:after="0" w:before="0" w:line="240" w:lineRule="auto"/>
        <w:ind w:left="57"/>
        <w:jc w:val="left"/>
        <w:shd w:val="clear" w:fill="F2F2F2"/>
      </w:pPr>
      <w:r>
        <w:rPr>
          <w:rFonts w:ascii="Consolas" w:hAnsi="Consolas" w:cs="Consolas"/>
          <w:b w:val="0"/>
          <w:i w:val="0"/>
          <w:sz w:val="15"/>
        </w:rPr>
        <w:t>ALTER TABLE tenants ADD COLUMN readiness_last_calculated TIMESTAMPTZ;</w:t>
      </w:r>
    </w:p>
    <w:p>
      <w:pPr>
        <w:spacing w:after="0" w:before="0" w:line="240" w:lineRule="auto"/>
        <w:ind w:left="57"/>
        <w:jc w:val="left"/>
        <w:shd w:val="clear" w:fill="F2F2F2"/>
      </w:pPr>
      <w:r>
        <w:rPr>
          <w:rFonts w:ascii="Consolas" w:hAnsi="Consolas" w:cs="Consolas"/>
          <w:b w:val="0"/>
          <w:i w:val="0"/>
          <w:sz w:val="15"/>
        </w:rPr>
        <w:t>ALTER TABLE tenants ADD COLUMN default_incoterm TEXT DEFAULT 'CFR';</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4.3.11 Implementation Checklist (Onboarding &amp; Readiness)</w:t>
      </w:r>
    </w:p>
    <w:p>
      <w:pPr>
        <w:spacing w:after="80" w:line="293" w:lineRule="auto"/>
        <w:ind w:left="283"/>
        <w:jc w:val="left"/>
      </w:pPr>
      <w:r>
        <w:rPr>
          <w:rFonts w:ascii="Times New Roman" w:hAnsi="Times New Roman" w:cs="Times New Roman"/>
          <w:b w:val="0"/>
          <w:i w:val="0"/>
          <w:sz w:val="22"/>
        </w:rPr>
        <w:t>- Build 6-step wizard UI with progress indicator.</w:t>
      </w:r>
    </w:p>
    <w:p>
      <w:pPr>
        <w:spacing w:after="80" w:line="293" w:lineRule="auto"/>
        <w:ind w:left="283"/>
        <w:jc w:val="left"/>
      </w:pPr>
      <w:r>
        <w:rPr>
          <w:rFonts w:ascii="Times New Roman" w:hAnsi="Times New Roman" w:cs="Times New Roman"/>
          <w:b w:val="0"/>
          <w:i w:val="0"/>
          <w:sz w:val="22"/>
        </w:rPr>
        <w:t>- Integrate A2 (HF Donut) for document extraction in Steps 2 and 3.</w:t>
      </w:r>
    </w:p>
    <w:p>
      <w:pPr>
        <w:spacing w:after="80" w:line="293" w:lineRule="auto"/>
        <w:ind w:left="283"/>
        <w:jc w:val="left"/>
      </w:pPr>
      <w:r>
        <w:rPr>
          <w:rFonts w:ascii="Times New Roman" w:hAnsi="Times New Roman" w:cs="Times New Roman"/>
          <w:b w:val="0"/>
          <w:i w:val="0"/>
          <w:sz w:val="22"/>
        </w:rPr>
        <w:t>- Add registry cross-reference service (RIA-driven) for commercial register, tax ID, etc.</w:t>
      </w:r>
    </w:p>
    <w:p>
      <w:pPr>
        <w:spacing w:after="80" w:line="293" w:lineRule="auto"/>
        <w:ind w:left="283"/>
        <w:jc w:val="left"/>
      </w:pPr>
      <w:r>
        <w:rPr>
          <w:rFonts w:ascii="Times New Roman" w:hAnsi="Times New Roman" w:cs="Times New Roman"/>
          <w:b w:val="0"/>
          <w:i w:val="0"/>
          <w:sz w:val="22"/>
        </w:rPr>
        <w:t>- Implement biometric liveness (ZITADEL WebAuthn) for UBOs.</w:t>
      </w:r>
    </w:p>
    <w:p>
      <w:pPr>
        <w:spacing w:after="80" w:line="293" w:lineRule="auto"/>
        <w:ind w:left="283"/>
        <w:jc w:val="left"/>
      </w:pPr>
      <w:r>
        <w:rPr>
          <w:rFonts w:ascii="Times New Roman" w:hAnsi="Times New Roman" w:cs="Times New Roman"/>
          <w:b w:val="0"/>
          <w:i w:val="0"/>
          <w:sz w:val="22"/>
        </w:rPr>
        <w:t>- Build Verified Trade Profile section with LEI, DUNS, customs, chamber, VAT verification.</w:t>
      </w:r>
    </w:p>
    <w:p>
      <w:pPr>
        <w:spacing w:after="80" w:line="293" w:lineRule="auto"/>
        <w:ind w:left="283"/>
        <w:jc w:val="left"/>
      </w:pPr>
      <w:r>
        <w:rPr>
          <w:rFonts w:ascii="Times New Roman" w:hAnsi="Times New Roman" w:cs="Times New Roman"/>
          <w:b w:val="0"/>
          <w:i w:val="0"/>
          <w:sz w:val="22"/>
        </w:rPr>
        <w:t>- Create sandbox environment with schema isolation and weekly reset cron job.</w:t>
      </w:r>
    </w:p>
    <w:p>
      <w:pPr>
        <w:spacing w:after="80" w:line="293" w:lineRule="auto"/>
        <w:ind w:left="283"/>
        <w:jc w:val="left"/>
      </w:pPr>
      <w:r>
        <w:rPr>
          <w:rFonts w:ascii="Times New Roman" w:hAnsi="Times New Roman" w:cs="Times New Roman"/>
          <w:b w:val="0"/>
          <w:i w:val="0"/>
          <w:sz w:val="22"/>
        </w:rPr>
        <w:t>- Develop guided practice trade (tooltips, synthetic data, mock APIs).</w:t>
      </w:r>
    </w:p>
    <w:p>
      <w:pPr>
        <w:spacing w:after="80" w:line="293" w:lineRule="auto"/>
        <w:ind w:left="283"/>
        <w:jc w:val="left"/>
      </w:pPr>
      <w:r>
        <w:rPr>
          <w:rFonts w:ascii="Times New Roman" w:hAnsi="Times New Roman" w:cs="Times New Roman"/>
          <w:b w:val="0"/>
          <w:i w:val="0"/>
          <w:sz w:val="22"/>
        </w:rPr>
        <w:t>- Add "Go Live" transition logic and state management.</w:t>
      </w:r>
    </w:p>
    <w:p>
      <w:pPr>
        <w:spacing w:after="80" w:line="293" w:lineRule="auto"/>
        <w:ind w:left="283"/>
        <w:jc w:val="left"/>
      </w:pPr>
      <w:r>
        <w:rPr>
          <w:rFonts w:ascii="Times New Roman" w:hAnsi="Times New Roman" w:cs="Times New Roman"/>
          <w:b w:val="0"/>
          <w:i w:val="0"/>
          <w:sz w:val="22"/>
        </w:rPr>
        <w:t>- Create `readiness_checklist` table.</w:t>
      </w:r>
    </w:p>
    <w:p>
      <w:pPr>
        <w:spacing w:after="80" w:line="293" w:lineRule="auto"/>
        <w:ind w:left="283"/>
        <w:jc w:val="left"/>
      </w:pPr>
      <w:r>
        <w:rPr>
          <w:rFonts w:ascii="Times New Roman" w:hAnsi="Times New Roman" w:cs="Times New Roman"/>
          <w:b w:val="0"/>
          <w:i w:val="0"/>
          <w:sz w:val="22"/>
        </w:rPr>
        <w:t>- Implement validation APIs for each checklist item (tax ID, bank mandate, etc.).</w:t>
      </w:r>
    </w:p>
    <w:p>
      <w:pPr>
        <w:spacing w:after="80" w:line="293" w:lineRule="auto"/>
        <w:ind w:left="283"/>
        <w:jc w:val="left"/>
      </w:pPr>
      <w:r>
        <w:rPr>
          <w:rFonts w:ascii="Times New Roman" w:hAnsi="Times New Roman" w:cs="Times New Roman"/>
          <w:b w:val="0"/>
          <w:i w:val="0"/>
          <w:sz w:val="22"/>
        </w:rPr>
        <w:t>- Build Readiness Card UI component with real-time updates.</w:t>
      </w:r>
    </w:p>
    <w:p>
      <w:pPr>
        <w:spacing w:after="80" w:line="293" w:lineRule="auto"/>
        <w:ind w:left="283"/>
        <w:jc w:val="left"/>
      </w:pPr>
      <w:r>
        <w:rPr>
          <w:rFonts w:ascii="Times New Roman" w:hAnsi="Times New Roman" w:cs="Times New Roman"/>
          <w:b w:val="0"/>
          <w:i w:val="0"/>
          <w:sz w:val="22"/>
        </w:rPr>
        <w:t>- Integrate Groq (A1) for plain-language recommendations.</w:t>
      </w:r>
    </w:p>
    <w:p>
      <w:pPr>
        <w:spacing w:after="80" w:line="293" w:lineRule="auto"/>
        <w:ind w:left="283"/>
        <w:jc w:val="left"/>
      </w:pPr>
      <w:r>
        <w:rPr>
          <w:rFonts w:ascii="Times New Roman" w:hAnsi="Times New Roman" w:cs="Times New Roman"/>
          <w:b w:val="0"/>
          <w:i w:val="0"/>
          <w:sz w:val="22"/>
        </w:rPr>
        <w:t>- Add Governor policy `trade.create.readiness` that checks score ≥70%.</w:t>
      </w:r>
    </w:p>
    <w:p>
      <w:pPr>
        <w:spacing w:after="80" w:line="293" w:lineRule="auto"/>
        <w:ind w:left="283"/>
        <w:jc w:val="left"/>
      </w:pPr>
      <w:r>
        <w:rPr>
          <w:rFonts w:ascii="Times New Roman" w:hAnsi="Times New Roman" w:cs="Times New Roman"/>
          <w:b w:val="0"/>
          <w:i w:val="0"/>
          <w:sz w:val="22"/>
        </w:rPr>
        <w:t>- Create Decision Panel integration for blocked actions.</w:t>
      </w:r>
    </w:p>
    <w:p>
      <w:pPr>
        <w:spacing w:after="80" w:line="293" w:lineRule="auto"/>
        <w:ind w:left="283"/>
        <w:jc w:val="left"/>
      </w:pPr>
      <w:r>
        <w:rPr>
          <w:rFonts w:ascii="Times New Roman" w:hAnsi="Times New Roman" w:cs="Times New Roman"/>
          <w:b w:val="0"/>
          <w:i w:val="0"/>
          <w:sz w:val="22"/>
        </w:rPr>
        <w:t>- Implement daily re-evaluation cron job (expiry detection).</w:t>
      </w:r>
    </w:p>
    <w:p>
      <w:pPr>
        <w:spacing w:after="80" w:line="293" w:lineRule="auto"/>
        <w:ind w:left="283"/>
        <w:jc w:val="left"/>
      </w:pPr>
      <w:r>
        <w:rPr>
          <w:rFonts w:ascii="Times New Roman" w:hAnsi="Times New Roman" w:cs="Times New Roman"/>
          <w:b w:val="0"/>
          <w:i w:val="0"/>
          <w:sz w:val="22"/>
        </w:rPr>
        <w:t>- Add "Dismiss for 7 days" feature.</w:t>
      </w:r>
    </w:p>
    <w:p>
      <w:pPr>
        <w:keepNext/>
        <w:spacing w:before="240" w:after="100"/>
        <w:outlineLvl w:val="1"/>
      </w:pPr>
      <w:r>
        <w:rPr>
          <w:rFonts w:ascii="Arial" w:hAnsi="Arial" w:cs="Arial"/>
          <w:b/>
          <w:i w:val="0"/>
          <w:color w:val="2E528F"/>
          <w:sz w:val="26"/>
        </w:rPr>
        <w:t>4.4 Employees, Roles &amp; Permissions</w:t>
      </w:r>
    </w:p>
    <w:p>
      <w:pPr>
        <w:keepNext/>
        <w:spacing w:before="180" w:after="80"/>
        <w:outlineLvl w:val="2"/>
      </w:pPr>
      <w:r>
        <w:rPr>
          <w:rFonts w:ascii="Arial" w:hAnsi="Arial" w:cs="Arial"/>
          <w:b/>
          <w:i w:val="0"/>
          <w:color w:val="333333"/>
          <w:sz w:val="23"/>
        </w:rPr>
        <w:t>4.4.1 Employee Records &amp; Session Identity</w:t>
      </w:r>
    </w:p>
    <w:p>
      <w:pPr>
        <w:spacing w:after="80" w:line="293" w:lineRule="auto"/>
        <w:jc w:val="left"/>
      </w:pPr>
      <w:r>
        <w:rPr>
          <w:rFonts w:ascii="Times New Roman" w:hAnsi="Times New Roman" w:cs="Times New Roman"/>
          <w:b w:val="0"/>
          <w:i w:val="0"/>
          <w:sz w:val="22"/>
        </w:rPr>
        <w:t>Every natural person acting for a tenant is an employee record with a UUID, role, permissions, and data scopes. Authentication is handled by ZITADEL with WebAuthn passkeys; every session carries a JWT with the claims used by the Governor and the frontend to filter actions and UI:</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"sub": "employee-uuid",</w:t>
      </w:r>
    </w:p>
    <w:p>
      <w:pPr>
        <w:spacing w:after="0" w:before="0" w:line="240" w:lineRule="auto"/>
        <w:ind w:left="57"/>
        <w:jc w:val="left"/>
        <w:shd w:val="clear" w:fill="F2F2F2"/>
      </w:pPr>
      <w:r>
        <w:rPr>
          <w:rFonts w:ascii="Consolas" w:hAnsi="Consolas" w:cs="Consolas"/>
          <w:b w:val="0"/>
          <w:i w:val="0"/>
          <w:sz w:val="15"/>
        </w:rPr>
        <w:t xml:space="preserve">    "tenant_id": "tenant-uuid",</w:t>
      </w:r>
    </w:p>
    <w:p>
      <w:pPr>
        <w:spacing w:after="0" w:before="0" w:line="240" w:lineRule="auto"/>
        <w:ind w:left="57"/>
        <w:jc w:val="left"/>
        <w:shd w:val="clear" w:fill="F2F2F2"/>
      </w:pPr>
      <w:r>
        <w:rPr>
          <w:rFonts w:ascii="Consolas" w:hAnsi="Consolas" w:cs="Consolas"/>
          <w:b w:val="0"/>
          <w:i w:val="0"/>
          <w:sz w:val="15"/>
        </w:rPr>
        <w:t xml:space="preserve">    "tenant_gtid": "SGTX-EG-TRD-002139-7F3A",</w:t>
      </w:r>
    </w:p>
    <w:p>
      <w:pPr>
        <w:spacing w:after="0" w:before="0" w:line="240" w:lineRule="auto"/>
        <w:ind w:left="57"/>
        <w:jc w:val="left"/>
        <w:shd w:val="clear" w:fill="F2F2F2"/>
      </w:pPr>
      <w:r>
        <w:rPr>
          <w:rFonts w:ascii="Consolas" w:hAnsi="Consolas" w:cs="Consolas"/>
          <w:b w:val="0"/>
          <w:i w:val="0"/>
          <w:sz w:val="15"/>
        </w:rPr>
        <w:t xml:space="preserve">    "active_trader_mode_context": "BUY",</w:t>
      </w:r>
    </w:p>
    <w:p>
      <w:pPr>
        <w:spacing w:after="0" w:before="0" w:line="240" w:lineRule="auto"/>
        <w:ind w:left="57"/>
        <w:jc w:val="left"/>
        <w:shd w:val="clear" w:fill="F2F2F2"/>
      </w:pPr>
      <w:r>
        <w:rPr>
          <w:rFonts w:ascii="Consolas" w:hAnsi="Consolas" w:cs="Consolas"/>
          <w:b w:val="0"/>
          <w:i w:val="0"/>
          <w:sz w:val="15"/>
        </w:rPr>
        <w:t xml:space="preserve">    "allow_role_switching": true,</w:t>
      </w:r>
    </w:p>
    <w:p>
      <w:pPr>
        <w:spacing w:after="0" w:before="0" w:line="240" w:lineRule="auto"/>
        <w:ind w:left="57"/>
        <w:jc w:val="left"/>
        <w:shd w:val="clear" w:fill="F2F2F2"/>
      </w:pPr>
      <w:r>
        <w:rPr>
          <w:rFonts w:ascii="Consolas" w:hAnsi="Consolas" w:cs="Consolas"/>
          <w:b w:val="0"/>
          <w:i w:val="0"/>
          <w:sz w:val="15"/>
        </w:rPr>
        <w:t xml:space="preserve">    "permissions": ["trade.request.create", "contract.sign", "..."],</w:t>
      </w:r>
    </w:p>
    <w:p>
      <w:pPr>
        <w:spacing w:after="0" w:before="0" w:line="240" w:lineRule="auto"/>
        <w:ind w:left="57"/>
        <w:jc w:val="left"/>
        <w:shd w:val="clear" w:fill="F2F2F2"/>
      </w:pPr>
      <w:r>
        <w:rPr>
          <w:rFonts w:ascii="Consolas" w:hAnsi="Consolas" w:cs="Consolas"/>
          <w:b w:val="0"/>
          <w:i w:val="0"/>
          <w:sz w:val="15"/>
        </w:rPr>
        <w:t xml:space="preserve">    "exp": 1740000000,</w:t>
      </w:r>
    </w:p>
    <w:p>
      <w:pPr>
        <w:spacing w:after="0" w:before="0" w:line="240" w:lineRule="auto"/>
        <w:ind w:left="57"/>
        <w:jc w:val="left"/>
        <w:shd w:val="clear" w:fill="F2F2F2"/>
      </w:pPr>
      <w:r>
        <w:rPr>
          <w:rFonts w:ascii="Consolas" w:hAnsi="Consolas" w:cs="Consolas"/>
          <w:b w:val="0"/>
          <w:i w:val="0"/>
          <w:sz w:val="15"/>
        </w:rPr>
        <w:t xml:space="preserve">    "iat": 1739999100</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claim: `active_trader_mode_context` is used by the Governor and the frontend to filter actions and UI (see Section 4.6).</w:t>
      </w:r>
    </w:p>
    <w:p>
      <w:pPr>
        <w:keepNext/>
        <w:spacing w:before="180" w:after="80"/>
        <w:outlineLvl w:val="2"/>
      </w:pPr>
      <w:r>
        <w:rPr>
          <w:rFonts w:ascii="Arial" w:hAnsi="Arial" w:cs="Arial"/>
          <w:b/>
          <w:i w:val="0"/>
          <w:color w:val="333333"/>
          <w:sz w:val="23"/>
        </w:rPr>
        <w:t>4.4.2 Permission Model</w:t>
      </w:r>
    </w:p>
    <w:p>
      <w:pPr>
        <w:spacing w:after="80" w:line="293" w:lineRule="auto"/>
        <w:ind w:left="283"/>
        <w:jc w:val="left"/>
      </w:pPr>
      <w:r>
        <w:rPr>
          <w:rFonts w:ascii="Times New Roman" w:hAnsi="Times New Roman" w:cs="Times New Roman"/>
          <w:b w:val="0"/>
          <w:i w:val="0"/>
          <w:sz w:val="22"/>
        </w:rPr>
        <w:t>- Permissions are strings (e.g., `trade.request.create`, `quote.accept`, `seller_quote.submit`, `exw.lock`, `contract.sign`) granted to roles.</w:t>
      </w:r>
    </w:p>
    <w:p>
      <w:pPr>
        <w:spacing w:after="80" w:line="293" w:lineRule="auto"/>
        <w:ind w:left="283"/>
        <w:jc w:val="left"/>
      </w:pPr>
      <w:r>
        <w:rPr>
          <w:rFonts w:ascii="Times New Roman" w:hAnsi="Times New Roman" w:cs="Times New Roman"/>
          <w:b w:val="0"/>
          <w:i w:val="0"/>
          <w:sz w:val="22"/>
        </w:rPr>
        <w:t>- OPA policies evaluate every action: `role_has_permission(input.actor_role, "action")` must be true, plus mode and data-scope checks (see Section 4.6.6 and Section 15).</w:t>
      </w:r>
    </w:p>
    <w:p>
      <w:pPr>
        <w:spacing w:after="80" w:line="293" w:lineRule="auto"/>
        <w:ind w:left="283"/>
        <w:jc w:val="left"/>
      </w:pPr>
      <w:r>
        <w:rPr>
          <w:rFonts w:ascii="Times New Roman" w:hAnsi="Times New Roman" w:cs="Times New Roman"/>
          <w:b w:val="0"/>
          <w:i w:val="0"/>
          <w:sz w:val="22"/>
        </w:rPr>
        <w:t>- Employees belong to the tenant; role assignments determine portal tabs, Smart Inbox item types, and Governor permissions.</w:t>
      </w:r>
    </w:p>
    <w:p>
      <w:pPr>
        <w:spacing w:after="80" w:line="293" w:lineRule="auto"/>
        <w:ind w:left="283"/>
        <w:jc w:val="left"/>
      </w:pPr>
      <w:r>
        <w:rPr>
          <w:rFonts w:ascii="Times New Roman" w:hAnsi="Times New Roman" w:cs="Times New Roman"/>
          <w:b w:val="0"/>
          <w:i w:val="0"/>
          <w:sz w:val="22"/>
        </w:rPr>
        <w:t>- Data scopes (see Section 4.5) restrict which records and fields an employee can see.</w:t>
      </w:r>
    </w:p>
    <w:p>
      <w:pPr>
        <w:spacing w:after="80" w:line="293" w:lineRule="auto"/>
        <w:ind w:left="283"/>
        <w:jc w:val="left"/>
      </w:pPr>
      <w:r>
        <w:rPr>
          <w:rFonts w:ascii="Times New Roman" w:hAnsi="Times New Roman" w:cs="Times New Roman"/>
          <w:b w:val="0"/>
          <w:i w:val="0"/>
          <w:sz w:val="22"/>
        </w:rPr>
        <w:t>- Approval policies (see Section 4.9) require multiple approvals for high-value or sensitive actions such as `contract.sign`.</w:t>
      </w:r>
    </w:p>
    <w:p>
      <w:pPr>
        <w:keepNext/>
        <w:spacing w:before="180" w:after="80"/>
        <w:outlineLvl w:val="2"/>
      </w:pPr>
      <w:r>
        <w:rPr>
          <w:rFonts w:ascii="Arial" w:hAnsi="Arial" w:cs="Arial"/>
          <w:b/>
          <w:i w:val="0"/>
          <w:color w:val="333333"/>
          <w:sz w:val="23"/>
        </w:rPr>
        <w:t>4.4.3 Role Journey Maps</w:t>
      </w:r>
    </w:p>
    <w:p>
      <w:pPr>
        <w:spacing w:after="80" w:line="293" w:lineRule="auto"/>
        <w:jc w:val="left"/>
      </w:pPr>
      <w:r>
        <w:rPr>
          <w:rFonts w:ascii="Times New Roman" w:hAnsi="Times New Roman" w:cs="Times New Roman"/>
          <w:b w:val="0"/>
          <w:i w:val="0"/>
          <w:sz w:val="22"/>
        </w:rPr>
        <w:t>Role journey maps describe the end-to-end first trade experience per role. Completion of each journey step is tracked in `role_journey_completion` (employee_id, role_type, step_key, completed_at) and reported in Company Admin.</w:t>
      </w:r>
    </w:p>
    <w:p>
      <w:pPr>
        <w:keepNext/>
        <w:spacing w:before="140" w:after="60"/>
        <w:outlineLvl w:val="3"/>
      </w:pPr>
      <w:r>
        <w:rPr>
          <w:rFonts w:ascii="Arial" w:hAnsi="Arial" w:cs="Arial"/>
          <w:b/>
          <w:i/>
          <w:color w:val="333333"/>
          <w:sz w:val="22"/>
        </w:rPr>
        <w:t>4.4.3.1 Trader Journey (Buyer — Importer)</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Complete KYB</w:t>
            </w:r>
          </w:p>
        </w:tc>
        <w:tc>
          <w:tcPr>
            <w:tcW w:type="dxa" w:w="1377"/>
          </w:tcPr>
          <w:p>
            <w:pPr>
              <w:spacing w:after="20" w:before="20" w:line="240" w:lineRule="auto"/>
            </w:pPr>
            <w:r/>
            <w:r>
              <w:rPr>
                <w:rFonts w:ascii="Arial" w:hAnsi="Arial" w:cs="Arial"/>
                <w:b w:val="0"/>
                <w:i w:val="0"/>
                <w:sz w:val="17"/>
              </w:rPr>
              <w:t>Trader (Buyer)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Commercial register, tax ID</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Account 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Create trade request</w:t>
            </w:r>
          </w:p>
        </w:tc>
        <w:tc>
          <w:tcPr>
            <w:tcW w:type="dxa" w:w="1377"/>
          </w:tcPr>
          <w:p>
            <w:pPr>
              <w:spacing w:after="20" w:before="20" w:line="240" w:lineRule="auto"/>
            </w:pPr>
            <w:r/>
            <w:r>
              <w:rPr>
                <w:rFonts w:ascii="Arial" w:hAnsi="Arial" w:cs="Arial"/>
                <w:b w:val="0"/>
                <w:i w:val="0"/>
                <w:sz w:val="17"/>
              </w:rPr>
              <w:t>New Trade Request</w:t>
            </w:r>
          </w:p>
        </w:tc>
        <w:tc>
          <w:tcPr>
            <w:tcW w:type="dxa" w:w="1377"/>
          </w:tcPr>
          <w:p>
            <w:pPr>
              <w:spacing w:after="20" w:before="20" w:line="240" w:lineRule="auto"/>
            </w:pPr>
            <w:r/>
            <w:r>
              <w:rPr>
                <w:rFonts w:ascii="Arial" w:hAnsi="Arial" w:cs="Arial"/>
                <w:b w:val="0"/>
                <w:i w:val="0"/>
                <w:sz w:val="17"/>
              </w:rPr>
              <w:t>Smart Inbox: "Request sent"</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Trade request INITIATED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Receive quote → Negotiate → Accept</w:t>
            </w:r>
          </w:p>
        </w:tc>
        <w:tc>
          <w:tcPr>
            <w:tcW w:type="dxa" w:w="1377"/>
          </w:tcPr>
          <w:p>
            <w:pPr>
              <w:spacing w:after="20" w:before="20" w:line="240" w:lineRule="auto"/>
            </w:pPr>
            <w:r/>
            <w:r>
              <w:rPr>
                <w:rFonts w:ascii="Arial" w:hAnsi="Arial" w:cs="Arial"/>
                <w:b w:val="0"/>
                <w:i w:val="0"/>
                <w:sz w:val="17"/>
              </w:rPr>
              <w:t>Quote Review &amp; Negotiation</w:t>
            </w:r>
          </w:p>
        </w:tc>
        <w:tc>
          <w:tcPr>
            <w:tcW w:type="dxa" w:w="1377"/>
          </w:tcPr>
          <w:p>
            <w:pPr>
              <w:spacing w:after="20" w:before="20" w:line="240" w:lineRule="auto"/>
            </w:pPr>
            <w:r/>
            <w:r>
              <w:rPr>
                <w:rFonts w:ascii="Arial" w:hAnsi="Arial" w:cs="Arial"/>
                <w:b w:val="0"/>
                <w:i w:val="0"/>
                <w:sz w:val="17"/>
              </w:rPr>
              <w:t>Inbox: "Quote received"</w:t>
            </w:r>
          </w:p>
        </w:tc>
        <w:tc>
          <w:tcPr>
            <w:tcW w:type="dxa" w:w="1377"/>
          </w:tcPr>
          <w:p>
            <w:pPr>
              <w:spacing w:after="20" w:before="20" w:line="240" w:lineRule="auto"/>
            </w:pPr>
            <w:r/>
            <w:r>
              <w:rPr>
                <w:rFonts w:ascii="Arial" w:hAnsi="Arial" w:cs="Arial"/>
                <w:b w:val="0"/>
                <w:i w:val="0"/>
                <w:sz w:val="17"/>
              </w:rPr>
              <w:t>Quote PDF</w:t>
            </w:r>
          </w:p>
        </w:tc>
        <w:tc>
          <w:tcPr>
            <w:tcW w:type="dxa" w:w="1377"/>
          </w:tcPr>
          <w:p>
            <w:pPr>
              <w:spacing w:after="20" w:before="20" w:line="240" w:lineRule="auto"/>
            </w:pPr>
            <w:r/>
            <w:r>
              <w:rPr>
                <w:rFonts w:ascii="Arial" w:hAnsi="Arial" w:cs="Arial"/>
                <w:b w:val="0"/>
                <w:i w:val="0"/>
                <w:sz w:val="17"/>
              </w:rPr>
              <w:t>Internal approval (if &gt;$100k)</w:t>
            </w:r>
          </w:p>
        </w:tc>
        <w:tc>
          <w:tcPr>
            <w:tcW w:type="dxa" w:w="1377"/>
          </w:tcPr>
          <w:p>
            <w:pPr>
              <w:spacing w:after="20" w:before="20" w:line="240" w:lineRule="auto"/>
            </w:pPr>
            <w:r/>
            <w:r>
              <w:rPr>
                <w:rFonts w:ascii="Arial" w:hAnsi="Arial" w:cs="Arial"/>
                <w:b w:val="0"/>
                <w:i w:val="0"/>
                <w:sz w:val="17"/>
              </w:rPr>
              <w:t>CONTRACT_LOCKED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Sign contract</w:t>
            </w:r>
          </w:p>
        </w:tc>
        <w:tc>
          <w:tcPr>
            <w:tcW w:type="dxa" w:w="1377"/>
          </w:tcPr>
          <w:p>
            <w:pPr>
              <w:spacing w:after="20" w:before="20" w:line="240" w:lineRule="auto"/>
            </w:pPr>
            <w:r/>
            <w:r>
              <w:rPr>
                <w:rFonts w:ascii="Arial" w:hAnsi="Arial" w:cs="Arial"/>
                <w:b w:val="0"/>
                <w:i w:val="0"/>
                <w:sz w:val="17"/>
              </w:rPr>
              <w:t>Contract Signing</w:t>
            </w:r>
          </w:p>
        </w:tc>
        <w:tc>
          <w:tcPr>
            <w:tcW w:type="dxa" w:w="1377"/>
          </w:tcPr>
          <w:p>
            <w:pPr>
              <w:spacing w:after="20" w:before="20" w:line="240" w:lineRule="auto"/>
            </w:pPr>
            <w:r/>
            <w:r>
              <w:rPr>
                <w:rFonts w:ascii="Arial" w:hAnsi="Arial" w:cs="Arial"/>
                <w:b w:val="0"/>
                <w:i w:val="0"/>
                <w:sz w:val="17"/>
              </w:rPr>
              <w:t>Inbox: "Sign contract"</w:t>
            </w:r>
          </w:p>
        </w:tc>
        <w:tc>
          <w:tcPr>
            <w:tcW w:type="dxa" w:w="1377"/>
          </w:tcPr>
          <w:p>
            <w:pPr>
              <w:spacing w:after="20" w:before="20" w:line="240" w:lineRule="auto"/>
            </w:pPr>
            <w:r/>
            <w:r>
              <w:rPr>
                <w:rFonts w:ascii="Arial" w:hAnsi="Arial" w:cs="Arial"/>
                <w:b w:val="0"/>
                <w:i w:val="0"/>
                <w:sz w:val="17"/>
              </w:rPr>
              <w:t>Contract PDF</w:t>
            </w:r>
          </w:p>
        </w:tc>
        <w:tc>
          <w:tcPr>
            <w:tcW w:type="dxa" w:w="1377"/>
          </w:tcPr>
          <w:p>
            <w:pPr>
              <w:spacing w:after="20" w:before="20" w:line="240" w:lineRule="auto"/>
            </w:pPr>
            <w:r/>
            <w:r>
              <w:rPr>
                <w:rFonts w:ascii="Arial" w:hAnsi="Arial" w:cs="Arial"/>
                <w:b w:val="0"/>
                <w:i w:val="0"/>
                <w:sz w:val="17"/>
              </w:rPr>
              <w:t>Passkey signature</w:t>
            </w:r>
          </w:p>
        </w:tc>
        <w:tc>
          <w:tcPr>
            <w:tcW w:type="dxa" w:w="1377"/>
          </w:tcPr>
          <w:p>
            <w:pPr>
              <w:spacing w:after="20" w:before="20" w:line="240" w:lineRule="auto"/>
            </w:pPr>
            <w:r/>
            <w:r>
              <w:rPr>
                <w:rFonts w:ascii="Arial" w:hAnsi="Arial" w:cs="Arial"/>
                <w:b w:val="0"/>
                <w:i w:val="0"/>
                <w:sz w:val="17"/>
              </w:rPr>
              <w:t>Signatures complete</w:t>
            </w:r>
          </w:p>
        </w:tc>
      </w:tr>
      <w:tr>
        <w:tc>
          <w:tcPr>
            <w:tcW w:type="dxa" w:w="1377"/>
          </w:tcPr>
          <w:p>
            <w:pPr>
              <w:spacing w:after="20" w:before="20" w:line="240" w:lineRule="auto"/>
            </w:pPr>
            <w:r/>
            <w:r>
              <w:rPr>
                <w:rFonts w:ascii="Arial" w:hAnsi="Arial" w:cs="Arial"/>
                <w:b w:val="0"/>
                <w:i w:val="0"/>
                <w:sz w:val="17"/>
              </w:rPr>
              <w:t>Day 5</w:t>
            </w:r>
          </w:p>
        </w:tc>
        <w:tc>
          <w:tcPr>
            <w:tcW w:type="dxa" w:w="1377"/>
          </w:tcPr>
          <w:p>
            <w:pPr>
              <w:spacing w:after="20" w:before="20" w:line="240" w:lineRule="auto"/>
            </w:pPr>
            <w:r/>
            <w:r>
              <w:rPr>
                <w:rFonts w:ascii="Arial" w:hAnsi="Arial" w:cs="Arial"/>
                <w:b w:val="0"/>
                <w:i w:val="0"/>
                <w:sz w:val="17"/>
              </w:rPr>
              <w:t>Pay SGTX fee (if incoterm requires buyer to pay)</w:t>
            </w:r>
          </w:p>
        </w:tc>
        <w:tc>
          <w:tcPr>
            <w:tcW w:type="dxa" w:w="1377"/>
          </w:tcPr>
          <w:p>
            <w:pPr>
              <w:spacing w:after="20" w:before="20" w:line="240" w:lineRule="auto"/>
            </w:pPr>
            <w:r/>
            <w:r>
              <w:rPr>
                <w:rFonts w:ascii="Arial" w:hAnsi="Arial" w:cs="Arial"/>
                <w:b w:val="0"/>
                <w:i w:val="0"/>
                <w:sz w:val="17"/>
              </w:rPr>
              <w:t>Invoices &amp; Payments</w:t>
            </w:r>
          </w:p>
        </w:tc>
        <w:tc>
          <w:tcPr>
            <w:tcW w:type="dxa" w:w="1377"/>
          </w:tcPr>
          <w:p>
            <w:pPr>
              <w:spacing w:after="20" w:before="20" w:line="240" w:lineRule="auto"/>
            </w:pPr>
            <w:r/>
            <w:r>
              <w:rPr>
                <w:rFonts w:ascii="Arial" w:hAnsi="Arial" w:cs="Arial"/>
                <w:b w:val="0"/>
                <w:i w:val="0"/>
                <w:sz w:val="17"/>
              </w:rPr>
              <w:t>Inbox: "Fee due"</w:t>
            </w:r>
          </w:p>
        </w:tc>
        <w:tc>
          <w:tcPr>
            <w:tcW w:type="dxa" w:w="1377"/>
          </w:tcPr>
          <w:p>
            <w:pPr>
              <w:spacing w:after="20" w:before="20" w:line="240" w:lineRule="auto"/>
            </w:pPr>
            <w:r/>
            <w:r>
              <w:rPr>
                <w:rFonts w:ascii="Arial" w:hAnsi="Arial" w:cs="Arial"/>
                <w:b w:val="0"/>
                <w:i w:val="0"/>
                <w:sz w:val="17"/>
              </w:rPr>
              <w:t>Invoice</w:t>
            </w:r>
          </w:p>
        </w:tc>
        <w:tc>
          <w:tcPr>
            <w:tcW w:type="dxa" w:w="1377"/>
          </w:tcPr>
          <w:p>
            <w:pPr>
              <w:spacing w:after="20" w:before="20" w:line="240" w:lineRule="auto"/>
            </w:pPr>
            <w:r/>
            <w:r>
              <w:rPr>
                <w:rFonts w:ascii="Arial" w:hAnsi="Arial" w:cs="Arial"/>
                <w:b w:val="0"/>
                <w:i w:val="0"/>
                <w:sz w:val="17"/>
              </w:rPr>
              <w:t>Bank mandate authorisation</w:t>
            </w:r>
          </w:p>
        </w:tc>
        <w:tc>
          <w:tcPr>
            <w:tcW w:type="dxa" w:w="1377"/>
          </w:tcPr>
          <w:p>
            <w:pPr>
              <w:spacing w:after="20" w:before="20" w:line="240" w:lineRule="auto"/>
            </w:pPr>
            <w:r/>
            <w:r>
              <w:rPr>
                <w:rFonts w:ascii="Arial" w:hAnsi="Arial" w:cs="Arial"/>
                <w:b w:val="0"/>
                <w:i w:val="0"/>
                <w:sz w:val="17"/>
              </w:rPr>
              <w:t>FEE_PAID</w:t>
            </w:r>
          </w:p>
        </w:tc>
      </w:tr>
      <w:tr>
        <w:tc>
          <w:tcPr>
            <w:tcW w:type="dxa" w:w="1377"/>
          </w:tcPr>
          <w:p>
            <w:pPr>
              <w:spacing w:after="20" w:before="20" w:line="240" w:lineRule="auto"/>
            </w:pPr>
            <w:r/>
            <w:r>
              <w:rPr>
                <w:rFonts w:ascii="Arial" w:hAnsi="Arial" w:cs="Arial"/>
                <w:b w:val="0"/>
                <w:i w:val="0"/>
                <w:sz w:val="17"/>
              </w:rPr>
              <w:t>Day 6–20</w:t>
            </w:r>
          </w:p>
        </w:tc>
        <w:tc>
          <w:tcPr>
            <w:tcW w:type="dxa" w:w="1377"/>
          </w:tcPr>
          <w:p>
            <w:pPr>
              <w:spacing w:after="20" w:before="20" w:line="240" w:lineRule="auto"/>
            </w:pPr>
            <w:r/>
            <w:r>
              <w:rPr>
                <w:rFonts w:ascii="Arial" w:hAnsi="Arial" w:cs="Arial"/>
                <w:b w:val="0"/>
                <w:i w:val="0"/>
                <w:sz w:val="17"/>
              </w:rPr>
              <w:t>Track shipment</w:t>
            </w:r>
          </w:p>
        </w:tc>
        <w:tc>
          <w:tcPr>
            <w:tcW w:type="dxa" w:w="1377"/>
          </w:tcPr>
          <w:p>
            <w:pPr>
              <w:spacing w:after="20" w:before="20" w:line="240" w:lineRule="auto"/>
            </w:pPr>
            <w:r/>
            <w:r>
              <w:rPr>
                <w:rFonts w:ascii="Arial" w:hAnsi="Arial" w:cs="Arial"/>
                <w:b w:val="0"/>
                <w:i w:val="0"/>
                <w:sz w:val="17"/>
              </w:rPr>
              <w:t>Shipments (TCC)</w:t>
            </w:r>
          </w:p>
        </w:tc>
        <w:tc>
          <w:tcPr>
            <w:tcW w:type="dxa" w:w="1377"/>
          </w:tcPr>
          <w:p>
            <w:pPr>
              <w:spacing w:after="20" w:before="20" w:line="240" w:lineRule="auto"/>
            </w:pPr>
            <w:r/>
            <w:r>
              <w:rPr>
                <w:rFonts w:ascii="Arial" w:hAnsi="Arial" w:cs="Arial"/>
                <w:b w:val="0"/>
                <w:i w:val="0"/>
                <w:sz w:val="17"/>
              </w:rPr>
              <w:t>Milestone updates (BOOKED, LOADED, DEPARTED, ARRIVED)</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ARRIVED</w:t>
            </w:r>
          </w:p>
        </w:tc>
      </w:tr>
      <w:tr>
        <w:tc>
          <w:tcPr>
            <w:tcW w:type="dxa" w:w="1377"/>
          </w:tcPr>
          <w:p>
            <w:pPr>
              <w:spacing w:after="20" w:before="20" w:line="240" w:lineRule="auto"/>
            </w:pPr>
            <w:r/>
            <w:r>
              <w:rPr>
                <w:rFonts w:ascii="Arial" w:hAnsi="Arial" w:cs="Arial"/>
                <w:b w:val="0"/>
                <w:i w:val="0"/>
                <w:sz w:val="17"/>
              </w:rPr>
              <w:t>Day 21</w:t>
            </w:r>
          </w:p>
        </w:tc>
        <w:tc>
          <w:tcPr>
            <w:tcW w:type="dxa" w:w="1377"/>
          </w:tcPr>
          <w:p>
            <w:pPr>
              <w:spacing w:after="20" w:before="20" w:line="240" w:lineRule="auto"/>
            </w:pPr>
            <w:r/>
            <w:r>
              <w:rPr>
                <w:rFonts w:ascii="Arial" w:hAnsi="Arial" w:cs="Arial"/>
                <w:b w:val="0"/>
                <w:i w:val="0"/>
                <w:sz w:val="17"/>
              </w:rPr>
              <w:t>Confirm delivery</w:t>
            </w:r>
          </w:p>
        </w:tc>
        <w:tc>
          <w:tcPr>
            <w:tcW w:type="dxa" w:w="1377"/>
          </w:tcPr>
          <w:p>
            <w:pPr>
              <w:spacing w:after="20" w:before="20" w:line="240" w:lineRule="auto"/>
            </w:pPr>
            <w:r/>
            <w:r>
              <w:rPr>
                <w:rFonts w:ascii="Arial" w:hAnsi="Arial" w:cs="Arial"/>
                <w:b w:val="0"/>
                <w:i w:val="0"/>
                <w:sz w:val="17"/>
              </w:rPr>
              <w:t>Shipments (TCC)</w:t>
            </w:r>
          </w:p>
        </w:tc>
        <w:tc>
          <w:tcPr>
            <w:tcW w:type="dxa" w:w="1377"/>
          </w:tcPr>
          <w:p>
            <w:pPr>
              <w:spacing w:after="20" w:before="20" w:line="240" w:lineRule="auto"/>
            </w:pPr>
            <w:r/>
            <w:r>
              <w:rPr>
                <w:rFonts w:ascii="Arial" w:hAnsi="Arial" w:cs="Arial"/>
                <w:b w:val="0"/>
                <w:i w:val="0"/>
                <w:sz w:val="17"/>
              </w:rPr>
              <w:t>Inbox: "Confirm delivery"</w:t>
            </w:r>
          </w:p>
        </w:tc>
        <w:tc>
          <w:tcPr>
            <w:tcW w:type="dxa" w:w="1377"/>
          </w:tcPr>
          <w:p>
            <w:pPr>
              <w:spacing w:after="20" w:before="20" w:line="240" w:lineRule="auto"/>
            </w:pPr>
            <w:r/>
            <w:r>
              <w:rPr>
                <w:rFonts w:ascii="Arial" w:hAnsi="Arial" w:cs="Arial"/>
                <w:b w:val="0"/>
                <w:i w:val="0"/>
                <w:sz w:val="17"/>
              </w:rPr>
              <w:t>Delivery proof</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DELIVERED</w:t>
            </w:r>
          </w:p>
        </w:tc>
      </w:tr>
      <w:tr>
        <w:tc>
          <w:tcPr>
            <w:tcW w:type="dxa" w:w="1377"/>
          </w:tcPr>
          <w:p>
            <w:pPr>
              <w:spacing w:after="20" w:before="20" w:line="240" w:lineRule="auto"/>
            </w:pPr>
            <w:r/>
            <w:r>
              <w:rPr>
                <w:rFonts w:ascii="Arial" w:hAnsi="Arial" w:cs="Arial"/>
                <w:b w:val="0"/>
                <w:i w:val="0"/>
                <w:sz w:val="17"/>
              </w:rPr>
              <w:t>Day 22</w:t>
            </w:r>
          </w:p>
        </w:tc>
        <w:tc>
          <w:tcPr>
            <w:tcW w:type="dxa" w:w="1377"/>
          </w:tcPr>
          <w:p>
            <w:pPr>
              <w:spacing w:after="20" w:before="20" w:line="240" w:lineRule="auto"/>
            </w:pPr>
            <w:r/>
            <w:r>
              <w:rPr>
                <w:rFonts w:ascii="Arial" w:hAnsi="Arial" w:cs="Arial"/>
                <w:b w:val="0"/>
                <w:i w:val="0"/>
                <w:sz w:val="17"/>
              </w:rPr>
              <w:t>Approve settlement</w:t>
            </w:r>
          </w:p>
        </w:tc>
        <w:tc>
          <w:tcPr>
            <w:tcW w:type="dxa" w:w="1377"/>
          </w:tcPr>
          <w:p>
            <w:pPr>
              <w:spacing w:after="20" w:before="20" w:line="240" w:lineRule="auto"/>
            </w:pPr>
            <w:r/>
            <w:r>
              <w:rPr>
                <w:rFonts w:ascii="Arial" w:hAnsi="Arial" w:cs="Arial"/>
                <w:b w:val="0"/>
                <w:i w:val="0"/>
                <w:sz w:val="17"/>
              </w:rPr>
              <w:t>Invoices &amp; Payments</w:t>
            </w:r>
          </w:p>
        </w:tc>
        <w:tc>
          <w:tcPr>
            <w:tcW w:type="dxa" w:w="1377"/>
          </w:tcPr>
          <w:p>
            <w:pPr>
              <w:spacing w:after="20" w:before="20" w:line="240" w:lineRule="auto"/>
            </w:pPr>
            <w:r/>
            <w:r>
              <w:rPr>
                <w:rFonts w:ascii="Arial" w:hAnsi="Arial" w:cs="Arial"/>
                <w:b w:val="0"/>
                <w:i w:val="0"/>
                <w:sz w:val="17"/>
              </w:rPr>
              <w:t>Inbox: "Settlement due"</w:t>
            </w:r>
          </w:p>
        </w:tc>
        <w:tc>
          <w:tcPr>
            <w:tcW w:type="dxa" w:w="1377"/>
          </w:tcPr>
          <w:p>
            <w:pPr>
              <w:spacing w:after="20" w:before="20" w:line="240" w:lineRule="auto"/>
            </w:pPr>
            <w:r/>
            <w:r>
              <w:rPr>
                <w:rFonts w:ascii="Arial" w:hAnsi="Arial" w:cs="Arial"/>
                <w:b w:val="0"/>
                <w:i w:val="0"/>
                <w:sz w:val="17"/>
              </w:rPr>
              <w:t>Settlement instruction</w:t>
            </w:r>
          </w:p>
        </w:tc>
        <w:tc>
          <w:tcPr>
            <w:tcW w:type="dxa" w:w="1377"/>
          </w:tcPr>
          <w:p>
            <w:pPr>
              <w:spacing w:after="20" w:before="20" w:line="240" w:lineRule="auto"/>
            </w:pPr>
            <w:r/>
            <w:r>
              <w:rPr>
                <w:rFonts w:ascii="Arial" w:hAnsi="Arial" w:cs="Arial"/>
                <w:b w:val="0"/>
                <w:i w:val="0"/>
                <w:sz w:val="17"/>
              </w:rPr>
              <w:t>Voice or one click</w:t>
            </w:r>
          </w:p>
        </w:tc>
        <w:tc>
          <w:tcPr>
            <w:tcW w:type="dxa" w:w="1377"/>
          </w:tcPr>
          <w:p>
            <w:pPr>
              <w:spacing w:after="20" w:before="20" w:line="240" w:lineRule="auto"/>
            </w:pPr>
            <w:r/>
            <w:r>
              <w:rPr>
                <w:rFonts w:ascii="Arial" w:hAnsi="Arial" w:cs="Arial"/>
                <w:b w:val="0"/>
                <w:i w:val="0"/>
                <w:sz w:val="17"/>
              </w:rPr>
              <w:t>SETTLED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4.4.3.2 Trader Journey (Seller — Exporter)</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Complete KYB</w:t>
            </w:r>
          </w:p>
        </w:tc>
        <w:tc>
          <w:tcPr>
            <w:tcW w:type="dxa" w:w="1377"/>
          </w:tcPr>
          <w:p>
            <w:pPr>
              <w:spacing w:after="20" w:before="20" w:line="240" w:lineRule="auto"/>
            </w:pPr>
            <w:r/>
            <w:r>
              <w:rPr>
                <w:rFonts w:ascii="Arial" w:hAnsi="Arial" w:cs="Arial"/>
                <w:b w:val="0"/>
                <w:i w:val="0"/>
                <w:sz w:val="17"/>
              </w:rPr>
              <w:t>Trader (Seller)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Commercial register, export licence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Account 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Receive buyer request → Accept</w:t>
            </w:r>
          </w:p>
        </w:tc>
        <w:tc>
          <w:tcPr>
            <w:tcW w:type="dxa" w:w="1377"/>
          </w:tcPr>
          <w:p>
            <w:pPr>
              <w:spacing w:after="20" w:before="20" w:line="240" w:lineRule="auto"/>
            </w:pPr>
            <w:r/>
            <w:r>
              <w:rPr>
                <w:rFonts w:ascii="Arial" w:hAnsi="Arial" w:cs="Arial"/>
                <w:b w:val="0"/>
                <w:i w:val="0"/>
                <w:sz w:val="17"/>
              </w:rPr>
              <w:t>Pending Requests</w:t>
            </w:r>
          </w:p>
        </w:tc>
        <w:tc>
          <w:tcPr>
            <w:tcW w:type="dxa" w:w="1377"/>
          </w:tcPr>
          <w:p>
            <w:pPr>
              <w:spacing w:after="20" w:before="20" w:line="240" w:lineRule="auto"/>
            </w:pPr>
            <w:r/>
            <w:r>
              <w:rPr>
                <w:rFonts w:ascii="Arial" w:hAnsi="Arial" w:cs="Arial"/>
                <w:b w:val="0"/>
                <w:i w:val="0"/>
                <w:sz w:val="17"/>
              </w:rPr>
              <w:t>Inbox: "New trade request"</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QUOTE_STARTED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Lock EXW price → Design packing → Get logistics quotes</w:t>
            </w:r>
          </w:p>
        </w:tc>
        <w:tc>
          <w:tcPr>
            <w:tcW w:type="dxa" w:w="1377"/>
          </w:tcPr>
          <w:p>
            <w:pPr>
              <w:spacing w:after="20" w:before="20" w:line="240" w:lineRule="auto"/>
            </w:pPr>
            <w:r/>
            <w:r>
              <w:rPr>
                <w:rFonts w:ascii="Arial" w:hAnsi="Arial" w:cs="Arial"/>
                <w:b w:val="0"/>
                <w:i w:val="0"/>
                <w:sz w:val="17"/>
              </w:rPr>
              <w:t>EXW Price Lock, Packing, Logistics Builder</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Packing plan (draft)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Packing plan locked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Submit quote</w:t>
            </w:r>
          </w:p>
        </w:tc>
        <w:tc>
          <w:tcPr>
            <w:tcW w:type="dxa" w:w="1377"/>
          </w:tcPr>
          <w:p>
            <w:pPr>
              <w:spacing w:after="20" w:before="20" w:line="240" w:lineRule="auto"/>
            </w:pPr>
            <w:r/>
            <w:r>
              <w:rPr>
                <w:rFonts w:ascii="Arial" w:hAnsi="Arial" w:cs="Arial"/>
                <w:b w:val="0"/>
                <w:i w:val="0"/>
                <w:sz w:val="17"/>
              </w:rPr>
              <w:t>Quote Submission</w:t>
            </w:r>
          </w:p>
        </w:tc>
        <w:tc>
          <w:tcPr>
            <w:tcW w:type="dxa" w:w="1377"/>
          </w:tcPr>
          <w:p>
            <w:pPr>
              <w:spacing w:after="20" w:before="20" w:line="240" w:lineRule="auto"/>
            </w:pPr>
            <w:r/>
            <w:r>
              <w:rPr>
                <w:rFonts w:ascii="Arial" w:hAnsi="Arial" w:cs="Arial"/>
                <w:b w:val="0"/>
                <w:i w:val="0"/>
                <w:sz w:val="17"/>
              </w:rPr>
              <w:t>Inbox: "Quote sent"</w:t>
            </w:r>
          </w:p>
        </w:tc>
        <w:tc>
          <w:tcPr>
            <w:tcW w:type="dxa" w:w="1377"/>
          </w:tcPr>
          <w:p>
            <w:pPr>
              <w:spacing w:after="20" w:before="20" w:line="240" w:lineRule="auto"/>
            </w:pPr>
            <w:r/>
            <w:r>
              <w:rPr>
                <w:rFonts w:ascii="Arial" w:hAnsi="Arial" w:cs="Arial"/>
                <w:b w:val="0"/>
                <w:i w:val="0"/>
                <w:sz w:val="17"/>
              </w:rPr>
              <w:t>Quote PDF</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QUOTED</w:t>
            </w:r>
          </w:p>
        </w:tc>
      </w:tr>
      <w:tr>
        <w:tc>
          <w:tcPr>
            <w:tcW w:type="dxa" w:w="1377"/>
          </w:tcPr>
          <w:p>
            <w:pPr>
              <w:spacing w:after="20" w:before="20" w:line="240" w:lineRule="auto"/>
            </w:pPr>
            <w:r/>
            <w:r>
              <w:rPr>
                <w:rFonts w:ascii="Arial" w:hAnsi="Arial" w:cs="Arial"/>
                <w:b w:val="0"/>
                <w:i w:val="0"/>
                <w:sz w:val="17"/>
              </w:rPr>
              <w:t>Day 5</w:t>
            </w:r>
          </w:p>
        </w:tc>
        <w:tc>
          <w:tcPr>
            <w:tcW w:type="dxa" w:w="1377"/>
          </w:tcPr>
          <w:p>
            <w:pPr>
              <w:spacing w:after="20" w:before="20" w:line="240" w:lineRule="auto"/>
            </w:pPr>
            <w:r/>
            <w:r>
              <w:rPr>
                <w:rFonts w:ascii="Arial" w:hAnsi="Arial" w:cs="Arial"/>
                <w:b w:val="0"/>
                <w:i w:val="0"/>
                <w:sz w:val="17"/>
              </w:rPr>
              <w:t>Receive acceptance → Sign contract → Pay SGTX fee</w:t>
            </w:r>
          </w:p>
        </w:tc>
        <w:tc>
          <w:tcPr>
            <w:tcW w:type="dxa" w:w="1377"/>
          </w:tcPr>
          <w:p>
            <w:pPr>
              <w:spacing w:after="20" w:before="20" w:line="240" w:lineRule="auto"/>
            </w:pPr>
            <w:r/>
            <w:r>
              <w:rPr>
                <w:rFonts w:ascii="Arial" w:hAnsi="Arial" w:cs="Arial"/>
                <w:b w:val="0"/>
                <w:i w:val="0"/>
                <w:sz w:val="17"/>
              </w:rPr>
              <w:t>Contract Signing, Invoices</w:t>
            </w:r>
          </w:p>
        </w:tc>
        <w:tc>
          <w:tcPr>
            <w:tcW w:type="dxa" w:w="1377"/>
          </w:tcPr>
          <w:p>
            <w:pPr>
              <w:spacing w:after="20" w:before="20" w:line="240" w:lineRule="auto"/>
            </w:pPr>
            <w:r/>
            <w:r>
              <w:rPr>
                <w:rFonts w:ascii="Arial" w:hAnsi="Arial" w:cs="Arial"/>
                <w:b w:val="0"/>
                <w:i w:val="0"/>
                <w:sz w:val="17"/>
              </w:rPr>
              <w:t>Inbox: "Contract to sign", "Fee due"</w:t>
            </w:r>
          </w:p>
        </w:tc>
        <w:tc>
          <w:tcPr>
            <w:tcW w:type="dxa" w:w="1377"/>
          </w:tcPr>
          <w:p>
            <w:pPr>
              <w:spacing w:after="20" w:before="20" w:line="240" w:lineRule="auto"/>
            </w:pPr>
            <w:r/>
            <w:r>
              <w:rPr>
                <w:rFonts w:ascii="Arial" w:hAnsi="Arial" w:cs="Arial"/>
                <w:b w:val="0"/>
                <w:i w:val="0"/>
                <w:sz w:val="17"/>
              </w:rPr>
              <w:t>Contract, Invoice</w:t>
            </w:r>
          </w:p>
        </w:tc>
        <w:tc>
          <w:tcPr>
            <w:tcW w:type="dxa" w:w="1377"/>
          </w:tcPr>
          <w:p>
            <w:pPr>
              <w:spacing w:after="20" w:before="20" w:line="240" w:lineRule="auto"/>
            </w:pPr>
            <w:r/>
            <w:r>
              <w:rPr>
                <w:rFonts w:ascii="Arial" w:hAnsi="Arial" w:cs="Arial"/>
                <w:b w:val="0"/>
                <w:i w:val="0"/>
                <w:sz w:val="17"/>
              </w:rPr>
              <w:t>Passkey signature</w:t>
            </w:r>
          </w:p>
        </w:tc>
        <w:tc>
          <w:tcPr>
            <w:tcW w:type="dxa" w:w="1377"/>
          </w:tcPr>
          <w:p>
            <w:pPr>
              <w:spacing w:after="20" w:before="20" w:line="240" w:lineRule="auto"/>
            </w:pPr>
            <w:r/>
            <w:r>
              <w:rPr>
                <w:rFonts w:ascii="Arial" w:hAnsi="Arial" w:cs="Arial"/>
                <w:b w:val="0"/>
                <w:i w:val="0"/>
                <w:sz w:val="17"/>
              </w:rPr>
              <w:t>FEE_PAID, LOCKED</w:t>
            </w:r>
          </w:p>
        </w:tc>
      </w:tr>
      <w:tr>
        <w:tc>
          <w:tcPr>
            <w:tcW w:type="dxa" w:w="1377"/>
          </w:tcPr>
          <w:p>
            <w:pPr>
              <w:spacing w:after="20" w:before="20" w:line="240" w:lineRule="auto"/>
            </w:pPr>
            <w:r/>
            <w:r>
              <w:rPr>
                <w:rFonts w:ascii="Arial" w:hAnsi="Arial" w:cs="Arial"/>
                <w:b w:val="0"/>
                <w:i w:val="0"/>
                <w:sz w:val="17"/>
              </w:rPr>
              <w:t>Day 6</w:t>
            </w:r>
          </w:p>
        </w:tc>
        <w:tc>
          <w:tcPr>
            <w:tcW w:type="dxa" w:w="1377"/>
          </w:tcPr>
          <w:p>
            <w:pPr>
              <w:spacing w:after="20" w:before="20" w:line="240" w:lineRule="auto"/>
            </w:pPr>
            <w:r/>
            <w:r>
              <w:rPr>
                <w:rFonts w:ascii="Arial" w:hAnsi="Arial" w:cs="Arial"/>
                <w:b w:val="0"/>
                <w:i w:val="0"/>
                <w:sz w:val="17"/>
              </w:rPr>
              <w:t>Acknowledge container release</w:t>
            </w:r>
          </w:p>
        </w:tc>
        <w:tc>
          <w:tcPr>
            <w:tcW w:type="dxa" w:w="1377"/>
          </w:tcPr>
          <w:p>
            <w:pPr>
              <w:spacing w:after="20" w:before="20" w:line="240" w:lineRule="auto"/>
            </w:pPr>
            <w:r/>
            <w:r>
              <w:rPr>
                <w:rFonts w:ascii="Arial" w:hAnsi="Arial" w:cs="Arial"/>
                <w:b w:val="0"/>
                <w:i w:val="0"/>
                <w:sz w:val="17"/>
              </w:rPr>
              <w:t>Shipments (TCC)</w:t>
            </w:r>
          </w:p>
        </w:tc>
        <w:tc>
          <w:tcPr>
            <w:tcW w:type="dxa" w:w="1377"/>
          </w:tcPr>
          <w:p>
            <w:pPr>
              <w:spacing w:after="20" w:before="20" w:line="240" w:lineRule="auto"/>
            </w:pPr>
            <w:r/>
            <w:r>
              <w:rPr>
                <w:rFonts w:ascii="Arial" w:hAnsi="Arial" w:cs="Arial"/>
                <w:b w:val="0"/>
                <w:i w:val="0"/>
                <w:sz w:val="17"/>
              </w:rPr>
              <w:t>Email with release token</w:t>
            </w:r>
          </w:p>
        </w:tc>
        <w:tc>
          <w:tcPr>
            <w:tcW w:type="dxa" w:w="1377"/>
          </w:tcPr>
          <w:p>
            <w:pPr>
              <w:spacing w:after="20" w:before="20" w:line="240" w:lineRule="auto"/>
            </w:pPr>
            <w:r/>
            <w:r>
              <w:rPr>
                <w:rFonts w:ascii="Arial" w:hAnsi="Arial" w:cs="Arial"/>
                <w:b w:val="0"/>
                <w:i w:val="0"/>
                <w:sz w:val="17"/>
              </w:rPr>
              <w:t>Release token</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RELEASE_ACK</w:t>
            </w:r>
          </w:p>
        </w:tc>
      </w:tr>
      <w:tr>
        <w:tc>
          <w:tcPr>
            <w:tcW w:type="dxa" w:w="1377"/>
          </w:tcPr>
          <w:p>
            <w:pPr>
              <w:spacing w:after="20" w:before="20" w:line="240" w:lineRule="auto"/>
            </w:pPr>
            <w:r/>
            <w:r>
              <w:rPr>
                <w:rFonts w:ascii="Arial" w:hAnsi="Arial" w:cs="Arial"/>
                <w:b w:val="0"/>
                <w:i w:val="0"/>
                <w:sz w:val="17"/>
              </w:rPr>
              <w:t>Day 7</w:t>
            </w:r>
          </w:p>
        </w:tc>
        <w:tc>
          <w:tcPr>
            <w:tcW w:type="dxa" w:w="1377"/>
          </w:tcPr>
          <w:p>
            <w:pPr>
              <w:spacing w:after="20" w:before="20" w:line="240" w:lineRule="auto"/>
            </w:pPr>
            <w:r/>
            <w:r>
              <w:rPr>
                <w:rFonts w:ascii="Arial" w:hAnsi="Arial" w:cs="Arial"/>
                <w:b w:val="0"/>
                <w:i w:val="0"/>
                <w:sz w:val="17"/>
              </w:rPr>
              <w:t>Load container (warehouse)</w:t>
            </w:r>
          </w:p>
        </w:tc>
        <w:tc>
          <w:tcPr>
            <w:tcW w:type="dxa" w:w="1377"/>
          </w:tcPr>
          <w:p>
            <w:pPr>
              <w:spacing w:after="20" w:before="20" w:line="240" w:lineRule="auto"/>
            </w:pPr>
            <w:r/>
            <w:r>
              <w:rPr>
                <w:rFonts w:ascii="Arial" w:hAnsi="Arial" w:cs="Arial"/>
                <w:b w:val="0"/>
                <w:i w:val="0"/>
                <w:sz w:val="17"/>
              </w:rPr>
              <w:t>Mobile app (LSP driver)</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Barcode scans</w:t>
            </w:r>
          </w:p>
        </w:tc>
        <w:tc>
          <w:tcPr>
            <w:tcW w:type="dxa" w:w="1377"/>
          </w:tcPr>
          <w:p>
            <w:pPr>
              <w:spacing w:after="20" w:before="20" w:line="240" w:lineRule="auto"/>
            </w:pPr>
            <w:r/>
            <w:r>
              <w:rPr>
                <w:rFonts w:ascii="Arial" w:hAnsi="Arial" w:cs="Arial"/>
                <w:b w:val="0"/>
                <w:i w:val="0"/>
                <w:sz w:val="17"/>
              </w:rPr>
              <w:t>Biometric (voice)</w:t>
            </w:r>
          </w:p>
        </w:tc>
        <w:tc>
          <w:tcPr>
            <w:tcW w:type="dxa" w:w="1377"/>
          </w:tcPr>
          <w:p>
            <w:pPr>
              <w:spacing w:after="20" w:before="20" w:line="240" w:lineRule="auto"/>
            </w:pPr>
            <w:r/>
            <w:r>
              <w:rPr>
                <w:rFonts w:ascii="Arial" w:hAnsi="Arial" w:cs="Arial"/>
                <w:b w:val="0"/>
                <w:i w:val="0"/>
                <w:sz w:val="17"/>
              </w:rPr>
              <w:t>LOADED</w:t>
            </w:r>
          </w:p>
        </w:tc>
      </w:tr>
      <w:tr>
        <w:tc>
          <w:tcPr>
            <w:tcW w:type="dxa" w:w="1377"/>
          </w:tcPr>
          <w:p>
            <w:pPr>
              <w:spacing w:after="20" w:before="20" w:line="240" w:lineRule="auto"/>
            </w:pPr>
            <w:r/>
            <w:r>
              <w:rPr>
                <w:rFonts w:ascii="Arial" w:hAnsi="Arial" w:cs="Arial"/>
                <w:b w:val="0"/>
                <w:i w:val="0"/>
                <w:sz w:val="17"/>
              </w:rPr>
              <w:t>Day 8–20</w:t>
            </w:r>
          </w:p>
        </w:tc>
        <w:tc>
          <w:tcPr>
            <w:tcW w:type="dxa" w:w="1377"/>
          </w:tcPr>
          <w:p>
            <w:pPr>
              <w:spacing w:after="20" w:before="20" w:line="240" w:lineRule="auto"/>
            </w:pPr>
            <w:r/>
            <w:r>
              <w:rPr>
                <w:rFonts w:ascii="Arial" w:hAnsi="Arial" w:cs="Arial"/>
                <w:b w:val="0"/>
                <w:i w:val="0"/>
                <w:sz w:val="17"/>
              </w:rPr>
              <w:t>Vessel departure → Transit</w:t>
            </w:r>
          </w:p>
        </w:tc>
        <w:tc>
          <w:tcPr>
            <w:tcW w:type="dxa" w:w="1377"/>
          </w:tcPr>
          <w:p>
            <w:pPr>
              <w:spacing w:after="20" w:before="20" w:line="240" w:lineRule="auto"/>
            </w:pPr>
            <w:r/>
            <w:r>
              <w:rPr>
                <w:rFonts w:ascii="Arial" w:hAnsi="Arial" w:cs="Arial"/>
                <w:b w:val="0"/>
                <w:i w:val="0"/>
                <w:sz w:val="17"/>
              </w:rPr>
              <w:t>Shipments (TCC)</w:t>
            </w:r>
          </w:p>
        </w:tc>
        <w:tc>
          <w:tcPr>
            <w:tcW w:type="dxa" w:w="1377"/>
          </w:tcPr>
          <w:p>
            <w:pPr>
              <w:spacing w:after="20" w:before="20" w:line="240" w:lineRule="auto"/>
            </w:pPr>
            <w:r/>
            <w:r>
              <w:rPr>
                <w:rFonts w:ascii="Arial" w:hAnsi="Arial" w:cs="Arial"/>
                <w:b w:val="0"/>
                <w:i w:val="0"/>
                <w:sz w:val="17"/>
              </w:rPr>
              <w:t>Milestone updates</w:t>
            </w:r>
          </w:p>
        </w:tc>
        <w:tc>
          <w:tcPr>
            <w:tcW w:type="dxa" w:w="1377"/>
          </w:tcPr>
          <w:p>
            <w:pPr>
              <w:spacing w:after="20" w:before="20" w:line="240" w:lineRule="auto"/>
            </w:pPr>
            <w:r/>
            <w:r>
              <w:rPr>
                <w:rFonts w:ascii="Arial" w:hAnsi="Arial" w:cs="Arial"/>
                <w:b w:val="0"/>
                <w:i w:val="0"/>
                <w:sz w:val="17"/>
              </w:rPr>
              <w:t>Bill of lading</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DEPARTED</w:t>
            </w:r>
          </w:p>
        </w:tc>
      </w:tr>
      <w:tr>
        <w:tc>
          <w:tcPr>
            <w:tcW w:type="dxa" w:w="1377"/>
          </w:tcPr>
          <w:p>
            <w:pPr>
              <w:spacing w:after="20" w:before="20" w:line="240" w:lineRule="auto"/>
            </w:pPr>
            <w:r/>
            <w:r>
              <w:rPr>
                <w:rFonts w:ascii="Arial" w:hAnsi="Arial" w:cs="Arial"/>
                <w:b w:val="0"/>
                <w:i w:val="0"/>
                <w:sz w:val="17"/>
              </w:rPr>
              <w:t>Day 21</w:t>
            </w:r>
          </w:p>
        </w:tc>
        <w:tc>
          <w:tcPr>
            <w:tcW w:type="dxa" w:w="1377"/>
          </w:tcPr>
          <w:p>
            <w:pPr>
              <w:spacing w:after="20" w:before="20" w:line="240" w:lineRule="auto"/>
            </w:pPr>
            <w:r/>
            <w:r>
              <w:rPr>
                <w:rFonts w:ascii="Arial" w:hAnsi="Arial" w:cs="Arial"/>
                <w:b w:val="0"/>
                <w:i w:val="0"/>
                <w:sz w:val="17"/>
              </w:rPr>
              <w:t>Receive settlement</w:t>
            </w:r>
          </w:p>
        </w:tc>
        <w:tc>
          <w:tcPr>
            <w:tcW w:type="dxa" w:w="1377"/>
          </w:tcPr>
          <w:p>
            <w:pPr>
              <w:spacing w:after="20" w:before="20" w:line="240" w:lineRule="auto"/>
            </w:pPr>
            <w:r/>
            <w:r>
              <w:rPr>
                <w:rFonts w:ascii="Arial" w:hAnsi="Arial" w:cs="Arial"/>
                <w:b w:val="0"/>
                <w:i w:val="0"/>
                <w:sz w:val="17"/>
              </w:rPr>
              <w:t>Invoices &amp; Payments</w:t>
            </w:r>
          </w:p>
        </w:tc>
        <w:tc>
          <w:tcPr>
            <w:tcW w:type="dxa" w:w="1377"/>
          </w:tcPr>
          <w:p>
            <w:pPr>
              <w:spacing w:after="20" w:before="20" w:line="240" w:lineRule="auto"/>
            </w:pPr>
            <w:r/>
            <w:r>
              <w:rPr>
                <w:rFonts w:ascii="Arial" w:hAnsi="Arial" w:cs="Arial"/>
                <w:b w:val="0"/>
                <w:i w:val="0"/>
                <w:sz w:val="17"/>
              </w:rPr>
              <w:t>Inbox: "Payment received"</w:t>
            </w:r>
          </w:p>
        </w:tc>
        <w:tc>
          <w:tcPr>
            <w:tcW w:type="dxa" w:w="1377"/>
          </w:tcPr>
          <w:p>
            <w:pPr>
              <w:spacing w:after="20" w:before="20" w:line="240" w:lineRule="auto"/>
            </w:pPr>
            <w:r/>
            <w:r>
              <w:rPr>
                <w:rFonts w:ascii="Arial" w:hAnsi="Arial" w:cs="Arial"/>
                <w:b w:val="0"/>
                <w:i w:val="0"/>
                <w:sz w:val="17"/>
              </w:rPr>
              <w:t>Bank statement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SETTLED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4.4.3.3 Logistics Service Provider (LSP) Journey</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KYB</w:t>
            </w:r>
          </w:p>
        </w:tc>
        <w:tc>
          <w:tcPr>
            <w:tcW w:type="dxa" w:w="1377"/>
          </w:tcPr>
          <w:p>
            <w:pPr>
              <w:spacing w:after="20" w:before="20" w:line="240" w:lineRule="auto"/>
            </w:pPr>
            <w:r/>
            <w:r>
              <w:rPr>
                <w:rFonts w:ascii="Arial" w:hAnsi="Arial" w:cs="Arial"/>
                <w:b w:val="0"/>
                <w:i w:val="0"/>
                <w:sz w:val="17"/>
              </w:rPr>
              <w:t>LSP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Business licence, insurance, fleet list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Receive RFQ → Send quote</w:t>
            </w:r>
          </w:p>
        </w:tc>
        <w:tc>
          <w:tcPr>
            <w:tcW w:type="dxa" w:w="1377"/>
          </w:tcPr>
          <w:p>
            <w:pPr>
              <w:spacing w:after="20" w:before="20" w:line="240" w:lineRule="auto"/>
            </w:pPr>
            <w:r/>
            <w:r>
              <w:rPr>
                <w:rFonts w:ascii="Arial" w:hAnsi="Arial" w:cs="Arial"/>
                <w:b w:val="0"/>
                <w:i w:val="0"/>
                <w:sz w:val="17"/>
              </w:rPr>
              <w:t>RFQ Inbox</w:t>
            </w:r>
          </w:p>
        </w:tc>
        <w:tc>
          <w:tcPr>
            <w:tcW w:type="dxa" w:w="1377"/>
          </w:tcPr>
          <w:p>
            <w:pPr>
              <w:spacing w:after="20" w:before="20" w:line="240" w:lineRule="auto"/>
            </w:pPr>
            <w:r/>
            <w:r>
              <w:rPr>
                <w:rFonts w:ascii="Arial" w:hAnsi="Arial" w:cs="Arial"/>
                <w:b w:val="0"/>
                <w:i w:val="0"/>
                <w:sz w:val="17"/>
              </w:rPr>
              <w:t>Inbox: "New RFQ"</w:t>
            </w:r>
          </w:p>
        </w:tc>
        <w:tc>
          <w:tcPr>
            <w:tcW w:type="dxa" w:w="1377"/>
          </w:tcPr>
          <w:p>
            <w:pPr>
              <w:spacing w:after="20" w:before="20" w:line="240" w:lineRule="auto"/>
            </w:pPr>
            <w:r/>
            <w:r>
              <w:rPr>
                <w:rFonts w:ascii="Arial" w:hAnsi="Arial" w:cs="Arial"/>
                <w:b w:val="0"/>
                <w:i w:val="0"/>
                <w:sz w:val="17"/>
              </w:rPr>
              <w:t>Quote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Quote submitted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Quote accepted → Sign addendum</w:t>
            </w:r>
          </w:p>
        </w:tc>
        <w:tc>
          <w:tcPr>
            <w:tcW w:type="dxa" w:w="1377"/>
          </w:tcPr>
          <w:p>
            <w:pPr>
              <w:spacing w:after="20" w:before="20" w:line="240" w:lineRule="auto"/>
            </w:pPr>
            <w:r/>
            <w:r>
              <w:rPr>
                <w:rFonts w:ascii="Arial" w:hAnsi="Arial" w:cs="Arial"/>
                <w:b w:val="0"/>
                <w:i w:val="0"/>
                <w:sz w:val="17"/>
              </w:rPr>
              <w:t>Active Shipments</w:t>
            </w:r>
          </w:p>
        </w:tc>
        <w:tc>
          <w:tcPr>
            <w:tcW w:type="dxa" w:w="1377"/>
          </w:tcPr>
          <w:p>
            <w:pPr>
              <w:spacing w:after="20" w:before="20" w:line="240" w:lineRule="auto"/>
            </w:pPr>
            <w:r/>
            <w:r>
              <w:rPr>
                <w:rFonts w:ascii="Arial" w:hAnsi="Arial" w:cs="Arial"/>
                <w:b w:val="0"/>
                <w:i w:val="0"/>
                <w:sz w:val="17"/>
              </w:rPr>
              <w:t>Inbox: "Sign addendum"</w:t>
            </w:r>
          </w:p>
        </w:tc>
        <w:tc>
          <w:tcPr>
            <w:tcW w:type="dxa" w:w="1377"/>
          </w:tcPr>
          <w:p>
            <w:pPr>
              <w:spacing w:after="20" w:before="20" w:line="240" w:lineRule="auto"/>
            </w:pPr>
            <w:r/>
            <w:r>
              <w:rPr>
                <w:rFonts w:ascii="Arial" w:hAnsi="Arial" w:cs="Arial"/>
                <w:b w:val="0"/>
                <w:i w:val="0"/>
                <w:sz w:val="17"/>
              </w:rPr>
              <w:t>Logistics addendum</w:t>
            </w:r>
          </w:p>
        </w:tc>
        <w:tc>
          <w:tcPr>
            <w:tcW w:type="dxa" w:w="1377"/>
          </w:tcPr>
          <w:p>
            <w:pPr>
              <w:spacing w:after="20" w:before="20" w:line="240" w:lineRule="auto"/>
            </w:pPr>
            <w:r/>
            <w:r>
              <w:rPr>
                <w:rFonts w:ascii="Arial" w:hAnsi="Arial" w:cs="Arial"/>
                <w:b w:val="0"/>
                <w:i w:val="0"/>
                <w:sz w:val="17"/>
              </w:rPr>
              <w:t>Passkey</w:t>
            </w:r>
          </w:p>
        </w:tc>
        <w:tc>
          <w:tcPr>
            <w:tcW w:type="dxa" w:w="1377"/>
          </w:tcPr>
          <w:p>
            <w:pPr>
              <w:spacing w:after="20" w:before="20" w:line="240" w:lineRule="auto"/>
            </w:pPr>
            <w:r/>
            <w:r>
              <w:rPr>
                <w:rFonts w:ascii="Arial" w:hAnsi="Arial" w:cs="Arial"/>
                <w:b w:val="0"/>
                <w:i w:val="0"/>
                <w:sz w:val="17"/>
              </w:rPr>
              <w:t>Addendum signed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Acknowledge container release</w:t>
            </w:r>
          </w:p>
        </w:tc>
        <w:tc>
          <w:tcPr>
            <w:tcW w:type="dxa" w:w="1377"/>
          </w:tcPr>
          <w:p>
            <w:pPr>
              <w:spacing w:after="20" w:before="20" w:line="240" w:lineRule="auto"/>
            </w:pPr>
            <w:r/>
            <w:r>
              <w:rPr>
                <w:rFonts w:ascii="Arial" w:hAnsi="Arial" w:cs="Arial"/>
                <w:b w:val="0"/>
                <w:i w:val="0"/>
                <w:sz w:val="17"/>
              </w:rPr>
              <w:t>Active Shipments</w:t>
            </w:r>
          </w:p>
        </w:tc>
        <w:tc>
          <w:tcPr>
            <w:tcW w:type="dxa" w:w="1377"/>
          </w:tcPr>
          <w:p>
            <w:pPr>
              <w:spacing w:after="20" w:before="20" w:line="240" w:lineRule="auto"/>
            </w:pPr>
            <w:r/>
            <w:r>
              <w:rPr>
                <w:rFonts w:ascii="Arial" w:hAnsi="Arial" w:cs="Arial"/>
                <w:b w:val="0"/>
                <w:i w:val="0"/>
                <w:sz w:val="17"/>
              </w:rPr>
              <w:t>Email with token</w:t>
            </w:r>
          </w:p>
        </w:tc>
        <w:tc>
          <w:tcPr>
            <w:tcW w:type="dxa" w:w="1377"/>
          </w:tcPr>
          <w:p>
            <w:pPr>
              <w:spacing w:after="20" w:before="20" w:line="240" w:lineRule="auto"/>
            </w:pPr>
            <w:r/>
            <w:r>
              <w:rPr>
                <w:rFonts w:ascii="Arial" w:hAnsi="Arial" w:cs="Arial"/>
                <w:b w:val="0"/>
                <w:i w:val="0"/>
                <w:sz w:val="17"/>
              </w:rPr>
              <w:t>Release token</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RELEASE_ACK</w:t>
            </w:r>
          </w:p>
        </w:tc>
      </w:tr>
      <w:tr>
        <w:tc>
          <w:tcPr>
            <w:tcW w:type="dxa" w:w="1377"/>
          </w:tcPr>
          <w:p>
            <w:pPr>
              <w:spacing w:after="20" w:before="20" w:line="240" w:lineRule="auto"/>
            </w:pPr>
            <w:r/>
            <w:r>
              <w:rPr>
                <w:rFonts w:ascii="Arial" w:hAnsi="Arial" w:cs="Arial"/>
                <w:b w:val="0"/>
                <w:i w:val="0"/>
                <w:sz w:val="17"/>
              </w:rPr>
              <w:t>Day 5</w:t>
            </w:r>
          </w:p>
        </w:tc>
        <w:tc>
          <w:tcPr>
            <w:tcW w:type="dxa" w:w="1377"/>
          </w:tcPr>
          <w:p>
            <w:pPr>
              <w:spacing w:after="20" w:before="20" w:line="240" w:lineRule="auto"/>
            </w:pPr>
            <w:r/>
            <w:r>
              <w:rPr>
                <w:rFonts w:ascii="Arial" w:hAnsi="Arial" w:cs="Arial"/>
                <w:b w:val="0"/>
                <w:i w:val="0"/>
                <w:sz w:val="17"/>
              </w:rPr>
              <w:t>Dispatch driver → Load</w:t>
            </w:r>
          </w:p>
        </w:tc>
        <w:tc>
          <w:tcPr>
            <w:tcW w:type="dxa" w:w="1377"/>
          </w:tcPr>
          <w:p>
            <w:pPr>
              <w:spacing w:after="20" w:before="20" w:line="240" w:lineRule="auto"/>
            </w:pPr>
            <w:r/>
            <w:r>
              <w:rPr>
                <w:rFonts w:ascii="Arial" w:hAnsi="Arial" w:cs="Arial"/>
                <w:b w:val="0"/>
                <w:i w:val="0"/>
                <w:sz w:val="17"/>
              </w:rPr>
              <w:t>Dispatch Planner, Mobile app</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Barcode scans</w:t>
            </w:r>
          </w:p>
        </w:tc>
        <w:tc>
          <w:tcPr>
            <w:tcW w:type="dxa" w:w="1377"/>
          </w:tcPr>
          <w:p>
            <w:pPr>
              <w:spacing w:after="20" w:before="20" w:line="240" w:lineRule="auto"/>
            </w:pPr>
            <w:r/>
            <w:r>
              <w:rPr>
                <w:rFonts w:ascii="Arial" w:hAnsi="Arial" w:cs="Arial"/>
                <w:b w:val="0"/>
                <w:i w:val="0"/>
                <w:sz w:val="17"/>
              </w:rPr>
              <w:t>Voice</w:t>
            </w:r>
          </w:p>
        </w:tc>
        <w:tc>
          <w:tcPr>
            <w:tcW w:type="dxa" w:w="1377"/>
          </w:tcPr>
          <w:p>
            <w:pPr>
              <w:spacing w:after="20" w:before="20" w:line="240" w:lineRule="auto"/>
            </w:pPr>
            <w:r/>
            <w:r>
              <w:rPr>
                <w:rFonts w:ascii="Arial" w:hAnsi="Arial" w:cs="Arial"/>
                <w:b w:val="0"/>
                <w:i w:val="0"/>
                <w:sz w:val="17"/>
              </w:rPr>
              <w:t>LOADED</w:t>
            </w:r>
          </w:p>
        </w:tc>
      </w:tr>
      <w:tr>
        <w:tc>
          <w:tcPr>
            <w:tcW w:type="dxa" w:w="1377"/>
          </w:tcPr>
          <w:p>
            <w:pPr>
              <w:spacing w:after="20" w:before="20" w:line="240" w:lineRule="auto"/>
            </w:pPr>
            <w:r/>
            <w:r>
              <w:rPr>
                <w:rFonts w:ascii="Arial" w:hAnsi="Arial" w:cs="Arial"/>
                <w:b w:val="0"/>
                <w:i w:val="0"/>
                <w:sz w:val="17"/>
              </w:rPr>
              <w:t>Day 6</w:t>
            </w:r>
          </w:p>
        </w:tc>
        <w:tc>
          <w:tcPr>
            <w:tcW w:type="dxa" w:w="1377"/>
          </w:tcPr>
          <w:p>
            <w:pPr>
              <w:spacing w:after="20" w:before="20" w:line="240" w:lineRule="auto"/>
            </w:pPr>
            <w:r/>
            <w:r>
              <w:rPr>
                <w:rFonts w:ascii="Arial" w:hAnsi="Arial" w:cs="Arial"/>
                <w:b w:val="0"/>
                <w:i w:val="0"/>
                <w:sz w:val="17"/>
              </w:rPr>
              <w:t>Deliver → Confirm milestone</w:t>
            </w:r>
          </w:p>
        </w:tc>
        <w:tc>
          <w:tcPr>
            <w:tcW w:type="dxa" w:w="1377"/>
          </w:tcPr>
          <w:p>
            <w:pPr>
              <w:spacing w:after="20" w:before="20" w:line="240" w:lineRule="auto"/>
            </w:pPr>
            <w:r/>
            <w:r>
              <w:rPr>
                <w:rFonts w:ascii="Arial" w:hAnsi="Arial" w:cs="Arial"/>
                <w:b w:val="0"/>
                <w:i w:val="0"/>
                <w:sz w:val="17"/>
              </w:rPr>
              <w:t>Mobile app</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Proof of delivery</w:t>
            </w:r>
          </w:p>
        </w:tc>
        <w:tc>
          <w:tcPr>
            <w:tcW w:type="dxa" w:w="1377"/>
          </w:tcPr>
          <w:p>
            <w:pPr>
              <w:spacing w:after="20" w:before="20" w:line="240" w:lineRule="auto"/>
            </w:pPr>
            <w:r/>
            <w:r>
              <w:rPr>
                <w:rFonts w:ascii="Arial" w:hAnsi="Arial" w:cs="Arial"/>
                <w:b w:val="0"/>
                <w:i w:val="0"/>
                <w:sz w:val="17"/>
              </w:rPr>
              <w:t>Voice</w:t>
            </w:r>
          </w:p>
        </w:tc>
        <w:tc>
          <w:tcPr>
            <w:tcW w:type="dxa" w:w="1377"/>
          </w:tcPr>
          <w:p>
            <w:pPr>
              <w:spacing w:after="20" w:before="20" w:line="240" w:lineRule="auto"/>
            </w:pPr>
            <w:r/>
            <w:r>
              <w:rPr>
                <w:rFonts w:ascii="Arial" w:hAnsi="Arial" w:cs="Arial"/>
                <w:b w:val="0"/>
                <w:i w:val="0"/>
                <w:sz w:val="17"/>
              </w:rPr>
              <w:t>DELIVERED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4.4.3.4 Shipping Line (SHIP) Journey</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KYB</w:t>
            </w:r>
          </w:p>
        </w:tc>
        <w:tc>
          <w:tcPr>
            <w:tcW w:type="dxa" w:w="1377"/>
          </w:tcPr>
          <w:p>
            <w:pPr>
              <w:spacing w:after="20" w:before="20" w:line="240" w:lineRule="auto"/>
            </w:pPr>
            <w:r/>
            <w:r>
              <w:rPr>
                <w:rFonts w:ascii="Arial" w:hAnsi="Arial" w:cs="Arial"/>
                <w:b w:val="0"/>
                <w:i w:val="0"/>
                <w:sz w:val="17"/>
              </w:rPr>
              <w:t>SHIP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IMO number, vessel registry</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Receive booking request → Send quote</w:t>
            </w:r>
          </w:p>
        </w:tc>
        <w:tc>
          <w:tcPr>
            <w:tcW w:type="dxa" w:w="1377"/>
          </w:tcPr>
          <w:p>
            <w:pPr>
              <w:spacing w:after="20" w:before="20" w:line="240" w:lineRule="auto"/>
            </w:pPr>
            <w:r/>
            <w:r>
              <w:rPr>
                <w:rFonts w:ascii="Arial" w:hAnsi="Arial" w:cs="Arial"/>
                <w:b w:val="0"/>
                <w:i w:val="0"/>
                <w:sz w:val="17"/>
              </w:rPr>
              <w:t>Booking Requests</w:t>
            </w:r>
          </w:p>
        </w:tc>
        <w:tc>
          <w:tcPr>
            <w:tcW w:type="dxa" w:w="1377"/>
          </w:tcPr>
          <w:p>
            <w:pPr>
              <w:spacing w:after="20" w:before="20" w:line="240" w:lineRule="auto"/>
            </w:pPr>
            <w:r/>
            <w:r>
              <w:rPr>
                <w:rFonts w:ascii="Arial" w:hAnsi="Arial" w:cs="Arial"/>
                <w:b w:val="0"/>
                <w:i w:val="0"/>
                <w:sz w:val="17"/>
              </w:rPr>
              <w:t>Inbox: "New booking"</w:t>
            </w:r>
          </w:p>
        </w:tc>
        <w:tc>
          <w:tcPr>
            <w:tcW w:type="dxa" w:w="1377"/>
          </w:tcPr>
          <w:p>
            <w:pPr>
              <w:spacing w:after="20" w:before="20" w:line="240" w:lineRule="auto"/>
            </w:pPr>
            <w:r/>
            <w:r>
              <w:rPr>
                <w:rFonts w:ascii="Arial" w:hAnsi="Arial" w:cs="Arial"/>
                <w:b w:val="0"/>
                <w:i w:val="0"/>
                <w:sz w:val="17"/>
              </w:rPr>
              <w:t>Quote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Quote submitted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Quote accepted → Confirm booking</w:t>
            </w:r>
          </w:p>
        </w:tc>
        <w:tc>
          <w:tcPr>
            <w:tcW w:type="dxa" w:w="1377"/>
          </w:tcPr>
          <w:p>
            <w:pPr>
              <w:spacing w:after="20" w:before="20" w:line="240" w:lineRule="auto"/>
            </w:pPr>
            <w:r/>
            <w:r>
              <w:rPr>
                <w:rFonts w:ascii="Arial" w:hAnsi="Arial" w:cs="Arial"/>
                <w:b w:val="0"/>
                <w:i w:val="0"/>
                <w:sz w:val="17"/>
              </w:rPr>
              <w:t>Booking Requests</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Booking confirmation</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BOOKED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Issue eBL</w:t>
            </w:r>
          </w:p>
        </w:tc>
        <w:tc>
          <w:tcPr>
            <w:tcW w:type="dxa" w:w="1377"/>
          </w:tcPr>
          <w:p>
            <w:pPr>
              <w:spacing w:after="20" w:before="20" w:line="240" w:lineRule="auto"/>
            </w:pPr>
            <w:r/>
            <w:r>
              <w:rPr>
                <w:rFonts w:ascii="Arial" w:hAnsi="Arial" w:cs="Arial"/>
                <w:b w:val="0"/>
                <w:i w:val="0"/>
                <w:sz w:val="17"/>
              </w:rPr>
              <w:t>eBL Management</w:t>
            </w:r>
          </w:p>
        </w:tc>
        <w:tc>
          <w:tcPr>
            <w:tcW w:type="dxa" w:w="1377"/>
          </w:tcPr>
          <w:p>
            <w:pPr>
              <w:spacing w:after="20" w:before="20" w:line="240" w:lineRule="auto"/>
            </w:pPr>
            <w:r/>
            <w:r>
              <w:rPr>
                <w:rFonts w:ascii="Arial" w:hAnsi="Arial" w:cs="Arial"/>
                <w:b w:val="0"/>
                <w:i w:val="0"/>
                <w:sz w:val="17"/>
              </w:rPr>
              <w:t>Inbox: "eBL ready to sign"</w:t>
            </w:r>
          </w:p>
        </w:tc>
        <w:tc>
          <w:tcPr>
            <w:tcW w:type="dxa" w:w="1377"/>
          </w:tcPr>
          <w:p>
            <w:pPr>
              <w:spacing w:after="20" w:before="20" w:line="240" w:lineRule="auto"/>
            </w:pPr>
            <w:r/>
            <w:r>
              <w:rPr>
                <w:rFonts w:ascii="Arial" w:hAnsi="Arial" w:cs="Arial"/>
                <w:b w:val="0"/>
                <w:i w:val="0"/>
                <w:sz w:val="17"/>
              </w:rPr>
              <w:t>eBL</w:t>
            </w:r>
          </w:p>
        </w:tc>
        <w:tc>
          <w:tcPr>
            <w:tcW w:type="dxa" w:w="1377"/>
          </w:tcPr>
          <w:p>
            <w:pPr>
              <w:spacing w:after="20" w:before="20" w:line="240" w:lineRule="auto"/>
            </w:pPr>
            <w:r/>
            <w:r>
              <w:rPr>
                <w:rFonts w:ascii="Arial" w:hAnsi="Arial" w:cs="Arial"/>
                <w:b w:val="0"/>
                <w:i w:val="0"/>
                <w:sz w:val="17"/>
              </w:rPr>
              <w:t>Passkey</w:t>
            </w:r>
          </w:p>
        </w:tc>
        <w:tc>
          <w:tcPr>
            <w:tcW w:type="dxa" w:w="1377"/>
          </w:tcPr>
          <w:p>
            <w:pPr>
              <w:spacing w:after="20" w:before="20" w:line="240" w:lineRule="auto"/>
            </w:pPr>
            <w:r/>
            <w:r>
              <w:rPr>
                <w:rFonts w:ascii="Arial" w:hAnsi="Arial" w:cs="Arial"/>
                <w:b w:val="0"/>
                <w:i w:val="0"/>
                <w:sz w:val="17"/>
              </w:rPr>
              <w:t>eBL issued</w:t>
            </w:r>
          </w:p>
        </w:tc>
      </w:tr>
      <w:tr>
        <w:tc>
          <w:tcPr>
            <w:tcW w:type="dxa" w:w="1377"/>
          </w:tcPr>
          <w:p>
            <w:pPr>
              <w:spacing w:after="20" w:before="20" w:line="240" w:lineRule="auto"/>
            </w:pPr>
            <w:r/>
            <w:r>
              <w:rPr>
                <w:rFonts w:ascii="Arial" w:hAnsi="Arial" w:cs="Arial"/>
                <w:b w:val="0"/>
                <w:i w:val="0"/>
                <w:sz w:val="17"/>
              </w:rPr>
              <w:t>Day 5</w:t>
            </w:r>
          </w:p>
        </w:tc>
        <w:tc>
          <w:tcPr>
            <w:tcW w:type="dxa" w:w="1377"/>
          </w:tcPr>
          <w:p>
            <w:pPr>
              <w:spacing w:after="20" w:before="20" w:line="240" w:lineRule="auto"/>
            </w:pPr>
            <w:r/>
            <w:r>
              <w:rPr>
                <w:rFonts w:ascii="Arial" w:hAnsi="Arial" w:cs="Arial"/>
                <w:b w:val="0"/>
                <w:i w:val="0"/>
                <w:sz w:val="17"/>
              </w:rPr>
              <w:t>Update milestones (departure, arrival)</w:t>
            </w:r>
          </w:p>
        </w:tc>
        <w:tc>
          <w:tcPr>
            <w:tcW w:type="dxa" w:w="1377"/>
          </w:tcPr>
          <w:p>
            <w:pPr>
              <w:spacing w:after="20" w:before="20" w:line="240" w:lineRule="auto"/>
            </w:pPr>
            <w:r/>
            <w:r>
              <w:rPr>
                <w:rFonts w:ascii="Arial" w:hAnsi="Arial" w:cs="Arial"/>
                <w:b w:val="0"/>
                <w:i w:val="0"/>
                <w:sz w:val="17"/>
              </w:rPr>
              <w:t>Vessel Schedule</w:t>
            </w:r>
          </w:p>
        </w:tc>
        <w:tc>
          <w:tcPr>
            <w:tcW w:type="dxa" w:w="1377"/>
          </w:tcPr>
          <w:p>
            <w:pPr>
              <w:spacing w:after="20" w:before="20" w:line="240" w:lineRule="auto"/>
            </w:pPr>
            <w:r/>
            <w:r>
              <w:rPr>
                <w:rFonts w:ascii="Arial" w:hAnsi="Arial" w:cs="Arial"/>
                <w:b w:val="0"/>
                <w:i w:val="0"/>
                <w:sz w:val="17"/>
              </w:rPr>
              <w:t>Inbox: "Update ETD"</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DEPARTED, ARRIVED</w:t>
            </w:r>
          </w:p>
        </w:tc>
      </w:tr>
      <w:tr>
        <w:tc>
          <w:tcPr>
            <w:tcW w:type="dxa" w:w="1377"/>
          </w:tcPr>
          <w:p>
            <w:pPr>
              <w:spacing w:after="20" w:before="20" w:line="240" w:lineRule="auto"/>
            </w:pPr>
            <w:r/>
            <w:r>
              <w:rPr>
                <w:rFonts w:ascii="Arial" w:hAnsi="Arial" w:cs="Arial"/>
                <w:b w:val="0"/>
                <w:i w:val="0"/>
                <w:sz w:val="17"/>
              </w:rPr>
              <w:t>Day 6</w:t>
            </w:r>
          </w:p>
        </w:tc>
        <w:tc>
          <w:tcPr>
            <w:tcW w:type="dxa" w:w="1377"/>
          </w:tcPr>
          <w:p>
            <w:pPr>
              <w:spacing w:after="20" w:before="20" w:line="240" w:lineRule="auto"/>
            </w:pPr>
            <w:r/>
            <w:r>
              <w:rPr>
                <w:rFonts w:ascii="Arial" w:hAnsi="Arial" w:cs="Arial"/>
                <w:b w:val="0"/>
                <w:i w:val="0"/>
                <w:sz w:val="17"/>
              </w:rPr>
              <w:t>Generate freight invoice</w:t>
            </w:r>
          </w:p>
        </w:tc>
        <w:tc>
          <w:tcPr>
            <w:tcW w:type="dxa" w:w="1377"/>
          </w:tcPr>
          <w:p>
            <w:pPr>
              <w:spacing w:after="20" w:before="20" w:line="240" w:lineRule="auto"/>
            </w:pPr>
            <w:r/>
            <w:r>
              <w:rPr>
                <w:rFonts w:ascii="Arial" w:hAnsi="Arial" w:cs="Arial"/>
                <w:b w:val="0"/>
                <w:i w:val="0"/>
                <w:sz w:val="17"/>
              </w:rPr>
              <w:t>Freight Invoices</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Invoice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Invoice sent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4.4.3.5 Customs Broker (CBR) Journey</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KYB</w:t>
            </w:r>
          </w:p>
        </w:tc>
        <w:tc>
          <w:tcPr>
            <w:tcW w:type="dxa" w:w="1377"/>
          </w:tcPr>
          <w:p>
            <w:pPr>
              <w:spacing w:after="20" w:before="20" w:line="240" w:lineRule="auto"/>
            </w:pPr>
            <w:r/>
            <w:r>
              <w:rPr>
                <w:rFonts w:ascii="Arial" w:hAnsi="Arial" w:cs="Arial"/>
                <w:b w:val="0"/>
                <w:i w:val="0"/>
                <w:sz w:val="17"/>
              </w:rPr>
              <w:t>CBR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Broker licence, bond, insurance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Receive certification request → Send quote</w:t>
            </w:r>
          </w:p>
        </w:tc>
        <w:tc>
          <w:tcPr>
            <w:tcW w:type="dxa" w:w="1377"/>
          </w:tcPr>
          <w:p>
            <w:pPr>
              <w:spacing w:after="20" w:before="20" w:line="240" w:lineRule="auto"/>
            </w:pPr>
            <w:r/>
            <w:r>
              <w:rPr>
                <w:rFonts w:ascii="Arial" w:hAnsi="Arial" w:cs="Arial"/>
                <w:b w:val="0"/>
                <w:i w:val="0"/>
                <w:sz w:val="17"/>
              </w:rPr>
              <w:t>Certification Requests</w:t>
            </w:r>
          </w:p>
        </w:tc>
        <w:tc>
          <w:tcPr>
            <w:tcW w:type="dxa" w:w="1377"/>
          </w:tcPr>
          <w:p>
            <w:pPr>
              <w:spacing w:after="20" w:before="20" w:line="240" w:lineRule="auto"/>
            </w:pPr>
            <w:r/>
            <w:r>
              <w:rPr>
                <w:rFonts w:ascii="Arial" w:hAnsi="Arial" w:cs="Arial"/>
                <w:b w:val="0"/>
                <w:i w:val="0"/>
                <w:sz w:val="17"/>
              </w:rPr>
              <w:t>Inbox: "Certification needed"</w:t>
            </w:r>
          </w:p>
        </w:tc>
        <w:tc>
          <w:tcPr>
            <w:tcW w:type="dxa" w:w="1377"/>
          </w:tcPr>
          <w:p>
            <w:pPr>
              <w:spacing w:after="20" w:before="20" w:line="240" w:lineRule="auto"/>
            </w:pPr>
            <w:r/>
            <w:r>
              <w:rPr>
                <w:rFonts w:ascii="Arial" w:hAnsi="Arial" w:cs="Arial"/>
                <w:b w:val="0"/>
                <w:i w:val="0"/>
                <w:sz w:val="17"/>
              </w:rPr>
              <w:t>Quote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Quote submitted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Review AI declaration → Certify</w:t>
            </w:r>
          </w:p>
        </w:tc>
        <w:tc>
          <w:tcPr>
            <w:tcW w:type="dxa" w:w="1377"/>
          </w:tcPr>
          <w:p>
            <w:pPr>
              <w:spacing w:after="20" w:before="20" w:line="240" w:lineRule="auto"/>
            </w:pPr>
            <w:r/>
            <w:r>
              <w:rPr>
                <w:rFonts w:ascii="Arial" w:hAnsi="Arial" w:cs="Arial"/>
                <w:b w:val="0"/>
                <w:i w:val="0"/>
                <w:sz w:val="17"/>
              </w:rPr>
              <w:t>Certification Requests</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Declaration (read-only)</w:t>
            </w:r>
          </w:p>
        </w:tc>
        <w:tc>
          <w:tcPr>
            <w:tcW w:type="dxa" w:w="1377"/>
          </w:tcPr>
          <w:p>
            <w:pPr>
              <w:spacing w:after="20" w:before="20" w:line="240" w:lineRule="auto"/>
            </w:pPr>
            <w:r/>
            <w:r>
              <w:rPr>
                <w:rFonts w:ascii="Arial" w:hAnsi="Arial" w:cs="Arial"/>
                <w:b w:val="0"/>
                <w:i w:val="0"/>
                <w:sz w:val="17"/>
              </w:rPr>
              <w:t>Digital seal (QES)</w:t>
            </w:r>
          </w:p>
        </w:tc>
        <w:tc>
          <w:tcPr>
            <w:tcW w:type="dxa" w:w="1377"/>
          </w:tcPr>
          <w:p>
            <w:pPr>
              <w:spacing w:after="20" w:before="20" w:line="240" w:lineRule="auto"/>
            </w:pPr>
            <w:r/>
            <w:r>
              <w:rPr>
                <w:rFonts w:ascii="Arial" w:hAnsi="Arial" w:cs="Arial"/>
                <w:b w:val="0"/>
                <w:i w:val="0"/>
                <w:sz w:val="17"/>
              </w:rPr>
              <w:t>CERTIFIED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(If physical handling) Receive courier → Present to customs → Upload stamped copy</w:t>
            </w:r>
          </w:p>
        </w:tc>
        <w:tc>
          <w:tcPr>
            <w:tcW w:type="dxa" w:w="1377"/>
          </w:tcPr>
          <w:p>
            <w:pPr>
              <w:spacing w:after="20" w:before="20" w:line="240" w:lineRule="auto"/>
            </w:pPr>
            <w:r/>
            <w:r>
              <w:rPr>
                <w:rFonts w:ascii="Arial" w:hAnsi="Arial" w:cs="Arial"/>
                <w:b w:val="0"/>
                <w:i w:val="0"/>
                <w:sz w:val="17"/>
              </w:rPr>
              <w:t>Physical Document Jobs</w:t>
            </w:r>
          </w:p>
        </w:tc>
        <w:tc>
          <w:tcPr>
            <w:tcW w:type="dxa" w:w="1377"/>
          </w:tcPr>
          <w:p>
            <w:pPr>
              <w:spacing w:after="20" w:before="20" w:line="240" w:lineRule="auto"/>
            </w:pPr>
            <w:r/>
            <w:r>
              <w:rPr>
                <w:rFonts w:ascii="Arial" w:hAnsi="Arial" w:cs="Arial"/>
                <w:b w:val="0"/>
                <w:i w:val="0"/>
                <w:sz w:val="17"/>
              </w:rPr>
              <w:t>Inbox: "Package received"</w:t>
            </w:r>
          </w:p>
        </w:tc>
        <w:tc>
          <w:tcPr>
            <w:tcW w:type="dxa" w:w="1377"/>
          </w:tcPr>
          <w:p>
            <w:pPr>
              <w:spacing w:after="20" w:before="20" w:line="240" w:lineRule="auto"/>
            </w:pPr>
            <w:r/>
            <w:r>
              <w:rPr>
                <w:rFonts w:ascii="Arial" w:hAnsi="Arial" w:cs="Arial"/>
                <w:b w:val="0"/>
                <w:i w:val="0"/>
                <w:sz w:val="17"/>
              </w:rPr>
              <w:t>Stamped copy</w:t>
            </w:r>
          </w:p>
        </w:tc>
        <w:tc>
          <w:tcPr>
            <w:tcW w:type="dxa" w:w="1377"/>
          </w:tcPr>
          <w:p>
            <w:pPr>
              <w:spacing w:after="20" w:before="20" w:line="240" w:lineRule="auto"/>
            </w:pPr>
            <w:r/>
            <w:r>
              <w:rPr>
                <w:rFonts w:ascii="Arial" w:hAnsi="Arial" w:cs="Arial"/>
                <w:b w:val="0"/>
                <w:i w:val="0"/>
                <w:sz w:val="17"/>
              </w:rPr>
              <w:t>GPS-confirmed receive</w:t>
            </w:r>
          </w:p>
        </w:tc>
        <w:tc>
          <w:tcPr>
            <w:tcW w:type="dxa" w:w="1377"/>
          </w:tcPr>
          <w:p>
            <w:pPr>
              <w:spacing w:after="20" w:before="20" w:line="240" w:lineRule="auto"/>
            </w:pPr>
            <w:r/>
            <w:r>
              <w:rPr>
                <w:rFonts w:ascii="Arial" w:hAnsi="Arial" w:cs="Arial"/>
                <w:b w:val="0"/>
                <w:i w:val="0"/>
                <w:sz w:val="17"/>
              </w:rPr>
              <w:t>COMPLETED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4.4.3.6 Laboratory (LAB) Journey</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KYB</w:t>
            </w:r>
          </w:p>
        </w:tc>
        <w:tc>
          <w:tcPr>
            <w:tcW w:type="dxa" w:w="1377"/>
          </w:tcPr>
          <w:p>
            <w:pPr>
              <w:spacing w:after="20" w:before="20" w:line="240" w:lineRule="auto"/>
            </w:pPr>
            <w:r/>
            <w:r>
              <w:rPr>
                <w:rFonts w:ascii="Arial" w:hAnsi="Arial" w:cs="Arial"/>
                <w:b w:val="0"/>
                <w:i w:val="0"/>
                <w:sz w:val="17"/>
              </w:rPr>
              <w:t>LAB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ISO 17025 certificate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Receive test request → Send quote</w:t>
            </w:r>
          </w:p>
        </w:tc>
        <w:tc>
          <w:tcPr>
            <w:tcW w:type="dxa" w:w="1377"/>
          </w:tcPr>
          <w:p>
            <w:pPr>
              <w:spacing w:after="20" w:before="20" w:line="240" w:lineRule="auto"/>
            </w:pPr>
            <w:r/>
            <w:r>
              <w:rPr>
                <w:rFonts w:ascii="Arial" w:hAnsi="Arial" w:cs="Arial"/>
                <w:b w:val="0"/>
                <w:i w:val="0"/>
                <w:sz w:val="17"/>
              </w:rPr>
              <w:t>Testing Jobs</w:t>
            </w:r>
          </w:p>
        </w:tc>
        <w:tc>
          <w:tcPr>
            <w:tcW w:type="dxa" w:w="1377"/>
          </w:tcPr>
          <w:p>
            <w:pPr>
              <w:spacing w:after="20" w:before="20" w:line="240" w:lineRule="auto"/>
            </w:pPr>
            <w:r/>
            <w:r>
              <w:rPr>
                <w:rFonts w:ascii="Arial" w:hAnsi="Arial" w:cs="Arial"/>
                <w:b w:val="0"/>
                <w:i w:val="0"/>
                <w:sz w:val="17"/>
              </w:rPr>
              <w:t>Inbox: "New test job"</w:t>
            </w:r>
          </w:p>
        </w:tc>
        <w:tc>
          <w:tcPr>
            <w:tcW w:type="dxa" w:w="1377"/>
          </w:tcPr>
          <w:p>
            <w:pPr>
              <w:spacing w:after="20" w:before="20" w:line="240" w:lineRule="auto"/>
            </w:pPr>
            <w:r/>
            <w:r>
              <w:rPr>
                <w:rFonts w:ascii="Arial" w:hAnsi="Arial" w:cs="Arial"/>
                <w:b w:val="0"/>
                <w:i w:val="0"/>
                <w:sz w:val="17"/>
              </w:rPr>
              <w:t>Quote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Quote submitted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Receive sample → Confirm receipt</w:t>
            </w:r>
          </w:p>
        </w:tc>
        <w:tc>
          <w:tcPr>
            <w:tcW w:type="dxa" w:w="1377"/>
          </w:tcPr>
          <w:p>
            <w:pPr>
              <w:spacing w:after="20" w:before="20" w:line="240" w:lineRule="auto"/>
            </w:pPr>
            <w:r/>
            <w:r>
              <w:rPr>
                <w:rFonts w:ascii="Arial" w:hAnsi="Arial" w:cs="Arial"/>
                <w:b w:val="0"/>
                <w:i w:val="0"/>
                <w:sz w:val="17"/>
              </w:rPr>
              <w:t>Testing Jobs</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Sample tracking</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RECEIVED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Perform tests → Submit results</w:t>
            </w:r>
          </w:p>
        </w:tc>
        <w:tc>
          <w:tcPr>
            <w:tcW w:type="dxa" w:w="1377"/>
          </w:tcPr>
          <w:p>
            <w:pPr>
              <w:spacing w:after="20" w:before="20" w:line="240" w:lineRule="auto"/>
            </w:pPr>
            <w:r/>
            <w:r>
              <w:rPr>
                <w:rFonts w:ascii="Arial" w:hAnsi="Arial" w:cs="Arial"/>
                <w:b w:val="0"/>
                <w:i w:val="0"/>
                <w:sz w:val="17"/>
              </w:rPr>
              <w:t>Result Submission</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Test report (structured)</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RESULTS_SUBMITTED</w:t>
            </w:r>
          </w:p>
        </w:tc>
      </w:tr>
      <w:tr>
        <w:tc>
          <w:tcPr>
            <w:tcW w:type="dxa" w:w="1377"/>
          </w:tcPr>
          <w:p>
            <w:pPr>
              <w:spacing w:after="20" w:before="20" w:line="240" w:lineRule="auto"/>
            </w:pPr>
            <w:r/>
            <w:r>
              <w:rPr>
                <w:rFonts w:ascii="Arial" w:hAnsi="Arial" w:cs="Arial"/>
                <w:b w:val="0"/>
                <w:i w:val="0"/>
                <w:sz w:val="17"/>
              </w:rPr>
              <w:t>Day 5</w:t>
            </w:r>
          </w:p>
        </w:tc>
        <w:tc>
          <w:tcPr>
            <w:tcW w:type="dxa" w:w="1377"/>
          </w:tcPr>
          <w:p>
            <w:pPr>
              <w:spacing w:after="20" w:before="20" w:line="240" w:lineRule="auto"/>
            </w:pPr>
            <w:r/>
            <w:r>
              <w:rPr>
                <w:rFonts w:ascii="Arial" w:hAnsi="Arial" w:cs="Arial"/>
                <w:b w:val="0"/>
                <w:i w:val="0"/>
                <w:sz w:val="17"/>
              </w:rPr>
              <w:t>(Auto) Certificates issued</w:t>
            </w:r>
          </w:p>
        </w:tc>
        <w:tc>
          <w:tcPr>
            <w:tcW w:type="dxa" w:w="1377"/>
          </w:tcPr>
          <w:p>
            <w:pPr>
              <w:spacing w:after="20" w:before="20" w:line="240" w:lineRule="auto"/>
            </w:pPr>
            <w:r/>
            <w:r>
              <w:rPr>
                <w:rFonts w:ascii="Arial" w:hAnsi="Arial" w:cs="Arial"/>
                <w:b w:val="0"/>
                <w:i w:val="0"/>
                <w:sz w:val="17"/>
              </w:rPr>
              <w:t>Certificates</w:t>
            </w:r>
          </w:p>
        </w:tc>
        <w:tc>
          <w:tcPr>
            <w:tcW w:type="dxa" w:w="1377"/>
          </w:tcPr>
          <w:p>
            <w:pPr>
              <w:spacing w:after="20" w:before="20" w:line="240" w:lineRule="auto"/>
            </w:pPr>
            <w:r/>
            <w:r>
              <w:rPr>
                <w:rFonts w:ascii="Arial" w:hAnsi="Arial" w:cs="Arial"/>
                <w:b w:val="0"/>
                <w:i w:val="0"/>
                <w:sz w:val="17"/>
              </w:rPr>
              <w:t>Inbox: "Certificate ready"</w:t>
            </w:r>
          </w:p>
        </w:tc>
        <w:tc>
          <w:tcPr>
            <w:tcW w:type="dxa" w:w="1377"/>
          </w:tcPr>
          <w:p>
            <w:pPr>
              <w:spacing w:after="20" w:before="20" w:line="240" w:lineRule="auto"/>
            </w:pPr>
            <w:r/>
            <w:r>
              <w:rPr>
                <w:rFonts w:ascii="Arial" w:hAnsi="Arial" w:cs="Arial"/>
                <w:b w:val="0"/>
                <w:i w:val="0"/>
                <w:sz w:val="17"/>
              </w:rPr>
              <w:t>Phyto/health certificate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COMPLETED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4.4.3.7 QC Inspector Journey</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KYB</w:t>
            </w:r>
          </w:p>
        </w:tc>
        <w:tc>
          <w:tcPr>
            <w:tcW w:type="dxa" w:w="1377"/>
          </w:tcPr>
          <w:p>
            <w:pPr>
              <w:spacing w:after="20" w:before="20" w:line="240" w:lineRule="auto"/>
            </w:pPr>
            <w:r/>
            <w:r>
              <w:rPr>
                <w:rFonts w:ascii="Arial" w:hAnsi="Arial" w:cs="Arial"/>
                <w:b w:val="0"/>
                <w:i w:val="0"/>
                <w:sz w:val="17"/>
              </w:rPr>
              <w:t>QC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ISO 17020 certificate</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Receive inspection job → Accept</w:t>
            </w:r>
          </w:p>
        </w:tc>
        <w:tc>
          <w:tcPr>
            <w:tcW w:type="dxa" w:w="1377"/>
          </w:tcPr>
          <w:p>
            <w:pPr>
              <w:spacing w:after="20" w:before="20" w:line="240" w:lineRule="auto"/>
            </w:pPr>
            <w:r/>
            <w:r>
              <w:rPr>
                <w:rFonts w:ascii="Arial" w:hAnsi="Arial" w:cs="Arial"/>
                <w:b w:val="0"/>
                <w:i w:val="0"/>
                <w:sz w:val="17"/>
              </w:rPr>
              <w:t>Inspection Jobs</w:t>
            </w:r>
          </w:p>
        </w:tc>
        <w:tc>
          <w:tcPr>
            <w:tcW w:type="dxa" w:w="1377"/>
          </w:tcPr>
          <w:p>
            <w:pPr>
              <w:spacing w:after="20" w:before="20" w:line="240" w:lineRule="auto"/>
            </w:pPr>
            <w:r/>
            <w:r>
              <w:rPr>
                <w:rFonts w:ascii="Arial" w:hAnsi="Arial" w:cs="Arial"/>
                <w:b w:val="0"/>
                <w:i w:val="0"/>
                <w:sz w:val="17"/>
              </w:rPr>
              <w:t>Inbox: "New inspection"</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ACCEPTED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Pair mobile app → Perform inspection → Submit report</w:t>
            </w:r>
          </w:p>
        </w:tc>
        <w:tc>
          <w:tcPr>
            <w:tcW w:type="dxa" w:w="1377"/>
          </w:tcPr>
          <w:p>
            <w:pPr>
              <w:spacing w:after="20" w:before="20" w:line="240" w:lineRule="auto"/>
            </w:pPr>
            <w:r/>
            <w:r>
              <w:rPr>
                <w:rFonts w:ascii="Arial" w:hAnsi="Arial" w:cs="Arial"/>
                <w:b w:val="0"/>
                <w:i w:val="0"/>
                <w:sz w:val="17"/>
              </w:rPr>
              <w:t>Mobile app</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Inspection report (photos, overrides)</w:t>
            </w:r>
          </w:p>
        </w:tc>
        <w:tc>
          <w:tcPr>
            <w:tcW w:type="dxa" w:w="1377"/>
          </w:tcPr>
          <w:p>
            <w:pPr>
              <w:spacing w:after="20" w:before="20" w:line="240" w:lineRule="auto"/>
            </w:pPr>
            <w:r/>
            <w:r>
              <w:rPr>
                <w:rFonts w:ascii="Arial" w:hAnsi="Arial" w:cs="Arial"/>
                <w:b w:val="0"/>
                <w:i w:val="0"/>
                <w:sz w:val="17"/>
              </w:rPr>
              <w:t>Passkey, override reason</w:t>
            </w:r>
          </w:p>
        </w:tc>
        <w:tc>
          <w:tcPr>
            <w:tcW w:type="dxa" w:w="1377"/>
          </w:tcPr>
          <w:p>
            <w:pPr>
              <w:spacing w:after="20" w:before="20" w:line="240" w:lineRule="auto"/>
            </w:pPr>
            <w:r/>
            <w:r>
              <w:rPr>
                <w:rFonts w:ascii="Arial" w:hAnsi="Arial" w:cs="Arial"/>
                <w:b w:val="0"/>
                <w:i w:val="0"/>
                <w:sz w:val="17"/>
              </w:rPr>
              <w:t>REPORT_SUBMITTED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(If conditional) Verify action plan completion</w:t>
            </w:r>
          </w:p>
        </w:tc>
        <w:tc>
          <w:tcPr>
            <w:tcW w:type="dxa" w:w="1377"/>
          </w:tcPr>
          <w:p>
            <w:pPr>
              <w:spacing w:after="20" w:before="20" w:line="240" w:lineRule="auto"/>
            </w:pPr>
            <w:r/>
            <w:r>
              <w:rPr>
                <w:rFonts w:ascii="Arial" w:hAnsi="Arial" w:cs="Arial"/>
                <w:b w:val="0"/>
                <w:i w:val="0"/>
                <w:sz w:val="17"/>
              </w:rPr>
              <w:t>Inspection Jobs</w:t>
            </w:r>
          </w:p>
        </w:tc>
        <w:tc>
          <w:tcPr>
            <w:tcW w:type="dxa" w:w="1377"/>
          </w:tcPr>
          <w:p>
            <w:pPr>
              <w:spacing w:after="20" w:before="20" w:line="240" w:lineRule="auto"/>
            </w:pPr>
            <w:r/>
            <w:r>
              <w:rPr>
                <w:rFonts w:ascii="Arial" w:hAnsi="Arial" w:cs="Arial"/>
                <w:b w:val="0"/>
                <w:i w:val="0"/>
                <w:sz w:val="17"/>
              </w:rPr>
              <w:t>Inbox: "Action plan completed"</w:t>
            </w:r>
          </w:p>
        </w:tc>
        <w:tc>
          <w:tcPr>
            <w:tcW w:type="dxa" w:w="1377"/>
          </w:tcPr>
          <w:p>
            <w:pPr>
              <w:spacing w:after="20" w:before="20" w:line="240" w:lineRule="auto"/>
            </w:pPr>
            <w:r/>
            <w:r>
              <w:rPr>
                <w:rFonts w:ascii="Arial" w:hAnsi="Arial" w:cs="Arial"/>
                <w:b w:val="0"/>
                <w:i w:val="0"/>
                <w:sz w:val="17"/>
              </w:rPr>
              <w:t>Photo proof</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HOLD_REMOVED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4.4.3.8 Financier (Bank) Journey</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Register → KYB</w:t>
            </w:r>
          </w:p>
        </w:tc>
        <w:tc>
          <w:tcPr>
            <w:tcW w:type="dxa" w:w="1377"/>
          </w:tcPr>
          <w:p>
            <w:pPr>
              <w:spacing w:after="20" w:before="20" w:line="240" w:lineRule="auto"/>
            </w:pPr>
            <w:r/>
            <w:r>
              <w:rPr>
                <w:rFonts w:ascii="Arial" w:hAnsi="Arial" w:cs="Arial"/>
                <w:b w:val="0"/>
                <w:i w:val="0"/>
                <w:sz w:val="17"/>
              </w:rPr>
              <w:t>Financier (BANK) wizard</w:t>
            </w:r>
          </w:p>
        </w:tc>
        <w:tc>
          <w:tcPr>
            <w:tcW w:type="dxa" w:w="1377"/>
          </w:tcPr>
          <w:p>
            <w:pPr>
              <w:spacing w:after="20" w:before="20" w:line="240" w:lineRule="auto"/>
            </w:pPr>
            <w:r/>
            <w:r>
              <w:rPr>
                <w:rFonts w:ascii="Arial" w:hAnsi="Arial" w:cs="Arial"/>
                <w:b w:val="0"/>
                <w:i w:val="0"/>
                <w:sz w:val="17"/>
              </w:rPr>
              <w:t>Welcome email</w:t>
            </w:r>
          </w:p>
        </w:tc>
        <w:tc>
          <w:tcPr>
            <w:tcW w:type="dxa" w:w="1377"/>
          </w:tcPr>
          <w:p>
            <w:pPr>
              <w:spacing w:after="20" w:before="20" w:line="240" w:lineRule="auto"/>
            </w:pPr>
            <w:r/>
            <w:r>
              <w:rPr>
                <w:rFonts w:ascii="Arial" w:hAnsi="Arial" w:cs="Arial"/>
                <w:b w:val="0"/>
                <w:i w:val="0"/>
                <w:sz w:val="17"/>
              </w:rPr>
              <w:t>CBE accreditation</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VERIFIED</w:t>
            </w:r>
          </w:p>
        </w:tc>
      </w:tr>
      <w:tr>
        <w:tc>
          <w:tcPr>
            <w:tcW w:type="dxa" w:w="1377"/>
          </w:tcPr>
          <w:p>
            <w:pPr>
              <w:spacing w:after="20" w:before="20" w:line="240" w:lineRule="auto"/>
            </w:pPr>
            <w:r/>
            <w:r>
              <w:rPr>
                <w:rFonts w:ascii="Arial" w:hAnsi="Arial" w:cs="Arial"/>
                <w:b w:val="0"/>
                <w:i w:val="0"/>
                <w:sz w:val="17"/>
              </w:rPr>
              <w:t>Day 2</w:t>
            </w:r>
          </w:p>
        </w:tc>
        <w:tc>
          <w:tcPr>
            <w:tcW w:type="dxa" w:w="1377"/>
          </w:tcPr>
          <w:p>
            <w:pPr>
              <w:spacing w:after="20" w:before="20" w:line="240" w:lineRule="auto"/>
            </w:pPr>
            <w:r/>
            <w:r>
              <w:rPr>
                <w:rFonts w:ascii="Arial" w:hAnsi="Arial" w:cs="Arial"/>
                <w:b w:val="0"/>
                <w:i w:val="0"/>
                <w:sz w:val="17"/>
              </w:rPr>
              <w:t>Receive auto-RFQ → View full disclosure → Submit bid</w:t>
            </w:r>
          </w:p>
        </w:tc>
        <w:tc>
          <w:tcPr>
            <w:tcW w:type="dxa" w:w="1377"/>
          </w:tcPr>
          <w:p>
            <w:pPr>
              <w:spacing w:after="20" w:before="20" w:line="240" w:lineRule="auto"/>
            </w:pPr>
            <w:r/>
            <w:r>
              <w:rPr>
                <w:rFonts w:ascii="Arial" w:hAnsi="Arial" w:cs="Arial"/>
                <w:b w:val="0"/>
                <w:i w:val="0"/>
                <w:sz w:val="17"/>
              </w:rPr>
              <w:t>Financing Opportunities</w:t>
            </w:r>
          </w:p>
        </w:tc>
        <w:tc>
          <w:tcPr>
            <w:tcW w:type="dxa" w:w="1377"/>
          </w:tcPr>
          <w:p>
            <w:pPr>
              <w:spacing w:after="20" w:before="20" w:line="240" w:lineRule="auto"/>
            </w:pPr>
            <w:r/>
            <w:r>
              <w:rPr>
                <w:rFonts w:ascii="Arial" w:hAnsi="Arial" w:cs="Arial"/>
                <w:b w:val="0"/>
                <w:i w:val="0"/>
                <w:sz w:val="17"/>
              </w:rPr>
              <w:t>Inbox: "New RFQ (match score 94)"</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Bid submitted</w:t>
            </w:r>
          </w:p>
        </w:tc>
      </w:tr>
      <w:tr>
        <w:tc>
          <w:tcPr>
            <w:tcW w:type="dxa" w:w="1377"/>
          </w:tcPr>
          <w:p>
            <w:pPr>
              <w:spacing w:after="20" w:before="20" w:line="240" w:lineRule="auto"/>
            </w:pPr>
            <w:r/>
            <w:r>
              <w:rPr>
                <w:rFonts w:ascii="Arial" w:hAnsi="Arial" w:cs="Arial"/>
                <w:b w:val="0"/>
                <w:i w:val="0"/>
                <w:sz w:val="17"/>
              </w:rPr>
              <w:t>Day 3</w:t>
            </w:r>
          </w:p>
        </w:tc>
        <w:tc>
          <w:tcPr>
            <w:tcW w:type="dxa" w:w="1377"/>
          </w:tcPr>
          <w:p>
            <w:pPr>
              <w:spacing w:after="20" w:before="20" w:line="240" w:lineRule="auto"/>
            </w:pPr>
            <w:r/>
            <w:r>
              <w:rPr>
                <w:rFonts w:ascii="Arial" w:hAnsi="Arial" w:cs="Arial"/>
                <w:b w:val="0"/>
                <w:i w:val="0"/>
                <w:sz w:val="17"/>
              </w:rPr>
              <w:t>Bid accepted → Sign financing agreement</w:t>
            </w:r>
          </w:p>
        </w:tc>
        <w:tc>
          <w:tcPr>
            <w:tcW w:type="dxa" w:w="1377"/>
          </w:tcPr>
          <w:p>
            <w:pPr>
              <w:spacing w:after="20" w:before="20" w:line="240" w:lineRule="auto"/>
            </w:pPr>
            <w:r/>
            <w:r>
              <w:rPr>
                <w:rFonts w:ascii="Arial" w:hAnsi="Arial" w:cs="Arial"/>
                <w:b w:val="0"/>
                <w:i w:val="0"/>
                <w:sz w:val="17"/>
              </w:rPr>
              <w:t>My Bids &amp; Active Loans</w:t>
            </w:r>
          </w:p>
        </w:tc>
        <w:tc>
          <w:tcPr>
            <w:tcW w:type="dxa" w:w="1377"/>
          </w:tcPr>
          <w:p>
            <w:pPr>
              <w:spacing w:after="20" w:before="20" w:line="240" w:lineRule="auto"/>
            </w:pPr>
            <w:r/>
            <w:r>
              <w:rPr>
                <w:rFonts w:ascii="Arial" w:hAnsi="Arial" w:cs="Arial"/>
                <w:b w:val="0"/>
                <w:i w:val="0"/>
                <w:sz w:val="17"/>
              </w:rPr>
              <w:t>Inbox: "Bid accepted"</w:t>
            </w:r>
          </w:p>
        </w:tc>
        <w:tc>
          <w:tcPr>
            <w:tcW w:type="dxa" w:w="1377"/>
          </w:tcPr>
          <w:p>
            <w:pPr>
              <w:spacing w:after="20" w:before="20" w:line="240" w:lineRule="auto"/>
            </w:pPr>
            <w:r/>
            <w:r>
              <w:rPr>
                <w:rFonts w:ascii="Arial" w:hAnsi="Arial" w:cs="Arial"/>
                <w:b w:val="0"/>
                <w:i w:val="0"/>
                <w:sz w:val="17"/>
              </w:rPr>
              <w:t>Financing agreement</w:t>
            </w:r>
          </w:p>
        </w:tc>
        <w:tc>
          <w:tcPr>
            <w:tcW w:type="dxa" w:w="1377"/>
          </w:tcPr>
          <w:p>
            <w:pPr>
              <w:spacing w:after="20" w:before="20" w:line="240" w:lineRule="auto"/>
            </w:pPr>
            <w:r/>
            <w:r>
              <w:rPr>
                <w:rFonts w:ascii="Arial" w:hAnsi="Arial" w:cs="Arial"/>
                <w:b w:val="0"/>
                <w:i w:val="0"/>
                <w:sz w:val="17"/>
              </w:rPr>
              <w:t>Passkey (QES for &gt;$100k)</w:t>
            </w:r>
          </w:p>
        </w:tc>
        <w:tc>
          <w:tcPr>
            <w:tcW w:type="dxa" w:w="1377"/>
          </w:tcPr>
          <w:p>
            <w:pPr>
              <w:spacing w:after="20" w:before="20" w:line="240" w:lineRule="auto"/>
            </w:pPr>
            <w:r/>
            <w:r>
              <w:rPr>
                <w:rFonts w:ascii="Arial" w:hAnsi="Arial" w:cs="Arial"/>
                <w:b w:val="0"/>
                <w:i w:val="0"/>
                <w:sz w:val="17"/>
              </w:rPr>
              <w:t>Agreement signed</w:t>
            </w:r>
          </w:p>
        </w:tc>
      </w:tr>
      <w:tr>
        <w:tc>
          <w:tcPr>
            <w:tcW w:type="dxa" w:w="1377"/>
          </w:tcPr>
          <w:p>
            <w:pPr>
              <w:spacing w:after="20" w:before="20" w:line="240" w:lineRule="auto"/>
            </w:pPr>
            <w:r/>
            <w:r>
              <w:rPr>
                <w:rFonts w:ascii="Arial" w:hAnsi="Arial" w:cs="Arial"/>
                <w:b w:val="0"/>
                <w:i w:val="0"/>
                <w:sz w:val="17"/>
              </w:rPr>
              <w:t>Day 4</w:t>
            </w:r>
          </w:p>
        </w:tc>
        <w:tc>
          <w:tcPr>
            <w:tcW w:type="dxa" w:w="1377"/>
          </w:tcPr>
          <w:p>
            <w:pPr>
              <w:spacing w:after="20" w:before="20" w:line="240" w:lineRule="auto"/>
            </w:pPr>
            <w:r/>
            <w:r>
              <w:rPr>
                <w:rFonts w:ascii="Arial" w:hAnsi="Arial" w:cs="Arial"/>
                <w:b w:val="0"/>
                <w:i w:val="0"/>
                <w:sz w:val="17"/>
              </w:rPr>
              <w:t>Disburse funds</w:t>
            </w:r>
          </w:p>
        </w:tc>
        <w:tc>
          <w:tcPr>
            <w:tcW w:type="dxa" w:w="1377"/>
          </w:tcPr>
          <w:p>
            <w:pPr>
              <w:spacing w:after="20" w:before="20" w:line="240" w:lineRule="auto"/>
            </w:pPr>
            <w:r/>
            <w:r>
              <w:rPr>
                <w:rFonts w:ascii="Arial" w:hAnsi="Arial" w:cs="Arial"/>
                <w:b w:val="0"/>
                <w:i w:val="0"/>
                <w:sz w:val="17"/>
              </w:rPr>
              <w:t>My Bids &amp; Active Loans</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Payment instruction</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Disbursed</w:t>
            </w:r>
          </w:p>
        </w:tc>
      </w:tr>
      <w:tr>
        <w:tc>
          <w:tcPr>
            <w:tcW w:type="dxa" w:w="1377"/>
          </w:tcPr>
          <w:p>
            <w:pPr>
              <w:spacing w:after="20" w:before="20" w:line="240" w:lineRule="auto"/>
            </w:pPr>
            <w:r/>
            <w:r>
              <w:rPr>
                <w:rFonts w:ascii="Arial" w:hAnsi="Arial" w:cs="Arial"/>
                <w:b w:val="0"/>
                <w:i w:val="0"/>
                <w:sz w:val="17"/>
              </w:rPr>
              <w:t>Day 5–60</w:t>
            </w:r>
          </w:p>
        </w:tc>
        <w:tc>
          <w:tcPr>
            <w:tcW w:type="dxa" w:w="1377"/>
          </w:tcPr>
          <w:p>
            <w:pPr>
              <w:spacing w:after="20" w:before="20" w:line="240" w:lineRule="auto"/>
            </w:pPr>
            <w:r/>
            <w:r>
              <w:rPr>
                <w:rFonts w:ascii="Arial" w:hAnsi="Arial" w:cs="Arial"/>
                <w:b w:val="0"/>
                <w:i w:val="0"/>
                <w:sz w:val="17"/>
              </w:rPr>
              <w:t>Monitor loan (LTV, margin calls)</w:t>
            </w:r>
          </w:p>
        </w:tc>
        <w:tc>
          <w:tcPr>
            <w:tcW w:type="dxa" w:w="1377"/>
          </w:tcPr>
          <w:p>
            <w:pPr>
              <w:spacing w:after="20" w:before="20" w:line="240" w:lineRule="auto"/>
            </w:pPr>
            <w:r/>
            <w:r>
              <w:rPr>
                <w:rFonts w:ascii="Arial" w:hAnsi="Arial" w:cs="Arial"/>
                <w:b w:val="0"/>
                <w:i w:val="0"/>
                <w:sz w:val="17"/>
              </w:rPr>
              <w:t>Collateral Monitoring Dashboard</w:t>
            </w:r>
          </w:p>
        </w:tc>
        <w:tc>
          <w:tcPr>
            <w:tcW w:type="dxa" w:w="1377"/>
          </w:tcPr>
          <w:p>
            <w:pPr>
              <w:spacing w:after="20" w:before="20" w:line="240" w:lineRule="auto"/>
            </w:pPr>
            <w:r/>
            <w:r>
              <w:rPr>
                <w:rFonts w:ascii="Arial" w:hAnsi="Arial" w:cs="Arial"/>
                <w:b w:val="0"/>
                <w:i w:val="0"/>
                <w:sz w:val="17"/>
              </w:rPr>
              <w:t>Inbox: "Margin call alert"</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One click</w:t>
            </w:r>
          </w:p>
        </w:tc>
        <w:tc>
          <w:tcPr>
            <w:tcW w:type="dxa" w:w="1377"/>
          </w:tcPr>
          <w:p>
            <w:pPr>
              <w:spacing w:after="20" w:before="20" w:line="240" w:lineRule="auto"/>
            </w:pPr>
            <w:r/>
            <w:r>
              <w:rPr>
                <w:rFonts w:ascii="Arial" w:hAnsi="Arial" w:cs="Arial"/>
                <w:b w:val="0"/>
                <w:i w:val="0"/>
                <w:sz w:val="17"/>
              </w:rPr>
              <w:t>Loan repaid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4.4.3.9 Government Officer Journey</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Day</w:t>
            </w:r>
          </w:p>
        </w:tc>
        <w:tc>
          <w:tcPr>
            <w:tcW w:type="dxa" w:w="1377"/>
            <w:shd w:val="clear" w:fill="D9E2F3"/>
          </w:tcPr>
          <w:p>
            <w:pPr>
              <w:spacing w:after="20" w:before="20" w:line="240" w:lineRule="auto"/>
            </w:pPr>
            <w:r/>
            <w:r>
              <w:rPr>
                <w:rFonts w:ascii="Arial" w:hAnsi="Arial" w:cs="Arial"/>
                <w:b/>
                <w:i w:val="0"/>
                <w:sz w:val="18"/>
              </w:rPr>
              <w:t>Action</w:t>
            </w:r>
          </w:p>
        </w:tc>
        <w:tc>
          <w:tcPr>
            <w:tcW w:type="dxa" w:w="1377"/>
            <w:shd w:val="clear" w:fill="D9E2F3"/>
          </w:tcPr>
          <w:p>
            <w:pPr>
              <w:spacing w:after="20" w:before="20" w:line="240" w:lineRule="auto"/>
            </w:pPr>
            <w:r/>
            <w:r>
              <w:rPr>
                <w:rFonts w:ascii="Arial" w:hAnsi="Arial" w:cs="Arial"/>
                <w:b/>
                <w:i w:val="0"/>
                <w:sz w:val="18"/>
              </w:rPr>
              <w:t>Portal / Tab</w:t>
            </w:r>
          </w:p>
        </w:tc>
        <w:tc>
          <w:tcPr>
            <w:tcW w:type="dxa" w:w="1377"/>
            <w:shd w:val="clear" w:fill="D9E2F3"/>
          </w:tcPr>
          <w:p>
            <w:pPr>
              <w:spacing w:after="20" w:before="20" w:line="240" w:lineRule="auto"/>
            </w:pPr>
            <w:r/>
            <w:r>
              <w:rPr>
                <w:rFonts w:ascii="Arial" w:hAnsi="Arial" w:cs="Arial"/>
                <w:b/>
                <w:i w:val="0"/>
                <w:sz w:val="18"/>
              </w:rPr>
              <w:t>Notifications</w:t>
            </w:r>
          </w:p>
        </w:tc>
        <w:tc>
          <w:tcPr>
            <w:tcW w:type="dxa" w:w="1377"/>
            <w:shd w:val="clear" w:fill="D9E2F3"/>
          </w:tcPr>
          <w:p>
            <w:pPr>
              <w:spacing w:after="20" w:before="20" w:line="240" w:lineRule="auto"/>
            </w:pPr>
            <w:r/>
            <w:r>
              <w:rPr>
                <w:rFonts w:ascii="Arial" w:hAnsi="Arial" w:cs="Arial"/>
                <w:b/>
                <w:i w:val="0"/>
                <w:sz w:val="18"/>
              </w:rPr>
              <w:t>Documents</w:t>
            </w:r>
          </w:p>
        </w:tc>
        <w:tc>
          <w:tcPr>
            <w:tcW w:type="dxa" w:w="1377"/>
            <w:shd w:val="clear" w:fill="D9E2F3"/>
          </w:tcPr>
          <w:p>
            <w:pPr>
              <w:spacing w:after="20" w:before="20" w:line="240" w:lineRule="auto"/>
            </w:pPr>
            <w:r/>
            <w:r>
              <w:rPr>
                <w:rFonts w:ascii="Arial" w:hAnsi="Arial" w:cs="Arial"/>
                <w:b/>
                <w:i w:val="0"/>
                <w:sz w:val="18"/>
              </w:rPr>
              <w:t>Approvals</w:t>
            </w:r>
          </w:p>
        </w:tc>
        <w:tc>
          <w:tcPr>
            <w:tcW w:type="dxa" w:w="1377"/>
            <w:shd w:val="clear" w:fill="D9E2F3"/>
          </w:tcPr>
          <w:p>
            <w:pPr>
              <w:spacing w:after="20" w:before="20" w:line="240" w:lineRule="auto"/>
            </w:pPr>
            <w:r/>
            <w:r>
              <w:rPr>
                <w:rFonts w:ascii="Arial" w:hAnsi="Arial" w:cs="Arial"/>
                <w:b/>
                <w:i w:val="0"/>
                <w:sz w:val="18"/>
              </w:rPr>
              <w:t>Exit Condition</w:t>
            </w:r>
          </w:p>
        </w:tc>
      </w:tr>
      <w:tr>
        <w:tc>
          <w:tcPr>
            <w:tcW w:type="dxa" w:w="1377"/>
          </w:tcPr>
          <w:p>
            <w:pPr>
              <w:spacing w:after="20" w:before="20" w:line="240" w:lineRule="auto"/>
            </w:pPr>
            <w:r/>
            <w:r>
              <w:rPr>
                <w:rFonts w:ascii="Arial" w:hAnsi="Arial" w:cs="Arial"/>
                <w:b w:val="0"/>
                <w:i w:val="0"/>
                <w:sz w:val="17"/>
              </w:rPr>
              <w:t>Day 1</w:t>
            </w:r>
          </w:p>
        </w:tc>
        <w:tc>
          <w:tcPr>
            <w:tcW w:type="dxa" w:w="1377"/>
          </w:tcPr>
          <w:p>
            <w:pPr>
              <w:spacing w:after="20" w:before="20" w:line="240" w:lineRule="auto"/>
            </w:pPr>
            <w:r/>
            <w:r>
              <w:rPr>
                <w:rFonts w:ascii="Arial" w:hAnsi="Arial" w:cs="Arial"/>
                <w:b w:val="0"/>
                <w:i w:val="0"/>
                <w:sz w:val="17"/>
              </w:rPr>
              <w:t>(Manual onboarding)</w:t>
            </w:r>
          </w:p>
        </w:tc>
        <w:tc>
          <w:tcPr>
            <w:tcW w:type="dxa" w:w="1377"/>
          </w:tcPr>
          <w:p>
            <w:pPr>
              <w:spacing w:after="20" w:before="20" w:line="240" w:lineRule="auto"/>
            </w:pPr>
            <w:r/>
            <w:r>
              <w:rPr>
                <w:rFonts w:ascii="Arial" w:hAnsi="Arial" w:cs="Arial"/>
                <w:b w:val="0"/>
                <w:i w:val="0"/>
                <w:sz w:val="17"/>
              </w:rPr>
              <w:t>Government Portal</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Diplomatic credentials</w:t>
            </w:r>
          </w:p>
        </w:tc>
        <w:tc>
          <w:tcPr>
            <w:tcW w:type="dxa" w:w="1377"/>
          </w:tcPr>
          <w:p>
            <w:pPr>
              <w:spacing w:after="20" w:before="20" w:line="240" w:lineRule="auto"/>
            </w:pPr>
            <w:r/>
            <w:r>
              <w:rPr>
                <w:rFonts w:ascii="Arial" w:hAnsi="Arial" w:cs="Arial"/>
                <w:b w:val="0"/>
                <w:i w:val="0"/>
                <w:sz w:val="17"/>
              </w:rPr>
              <w:t>Platform Governance Authority</w:t>
            </w:r>
          </w:p>
        </w:tc>
        <w:tc>
          <w:tcPr>
            <w:tcW w:type="dxa" w:w="1377"/>
          </w:tcPr>
          <w:p>
            <w:pPr>
              <w:spacing w:after="20" w:before="20" w:line="240" w:lineRule="auto"/>
            </w:pPr>
            <w:r/>
            <w:r>
              <w:rPr>
                <w:rFonts w:ascii="Arial" w:hAnsi="Arial" w:cs="Arial"/>
                <w:b w:val="0"/>
                <w:i w:val="0"/>
                <w:sz w:val="17"/>
              </w:rPr>
              <w:t>ACTIVE</w:t>
            </w:r>
          </w:p>
        </w:tc>
      </w:tr>
      <w:tr>
        <w:tc>
          <w:tcPr>
            <w:tcW w:type="dxa" w:w="1377"/>
          </w:tcPr>
          <w:p>
            <w:pPr>
              <w:spacing w:after="20" w:before="20" w:line="240" w:lineRule="auto"/>
            </w:pPr>
            <w:r/>
            <w:r>
              <w:rPr>
                <w:rFonts w:ascii="Arial" w:hAnsi="Arial" w:cs="Arial"/>
                <w:b w:val="0"/>
                <w:i w:val="0"/>
                <w:sz w:val="17"/>
              </w:rPr>
              <w:t>Daily</w:t>
            </w:r>
          </w:p>
        </w:tc>
        <w:tc>
          <w:tcPr>
            <w:tcW w:type="dxa" w:w="1377"/>
          </w:tcPr>
          <w:p>
            <w:pPr>
              <w:spacing w:after="20" w:before="20" w:line="240" w:lineRule="auto"/>
            </w:pPr>
            <w:r/>
            <w:r>
              <w:rPr>
                <w:rFonts w:ascii="Arial" w:hAnsi="Arial" w:cs="Arial"/>
                <w:b w:val="0"/>
                <w:i w:val="0"/>
                <w:sz w:val="17"/>
              </w:rPr>
              <w:t>Monitor live trades</w:t>
            </w:r>
          </w:p>
        </w:tc>
        <w:tc>
          <w:tcPr>
            <w:tcW w:type="dxa" w:w="1377"/>
          </w:tcPr>
          <w:p>
            <w:pPr>
              <w:spacing w:after="20" w:before="20" w:line="240" w:lineRule="auto"/>
            </w:pPr>
            <w:r/>
            <w:r>
              <w:rPr>
                <w:rFonts w:ascii="Arial" w:hAnsi="Arial" w:cs="Arial"/>
                <w:b w:val="0"/>
                <w:i w:val="0"/>
                <w:sz w:val="17"/>
              </w:rPr>
              <w:t>Live Trade Monitor</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w:t>
            </w:r>
          </w:p>
        </w:tc>
      </w:tr>
      <w:tr>
        <w:tc>
          <w:tcPr>
            <w:tcW w:type="dxa" w:w="1377"/>
          </w:tcPr>
          <w:p>
            <w:pPr>
              <w:spacing w:after="20" w:before="20" w:line="240" w:lineRule="auto"/>
            </w:pPr>
            <w:r/>
            <w:r>
              <w:rPr>
                <w:rFonts w:ascii="Arial" w:hAnsi="Arial" w:cs="Arial"/>
                <w:b w:val="0"/>
                <w:i w:val="0"/>
                <w:sz w:val="17"/>
              </w:rPr>
              <w:t>As needed</w:t>
            </w:r>
          </w:p>
        </w:tc>
        <w:tc>
          <w:tcPr>
            <w:tcW w:type="dxa" w:w="1377"/>
          </w:tcPr>
          <w:p>
            <w:pPr>
              <w:spacing w:after="20" w:before="20" w:line="240" w:lineRule="auto"/>
            </w:pPr>
            <w:r/>
            <w:r>
              <w:rPr>
                <w:rFonts w:ascii="Arial" w:hAnsi="Arial" w:cs="Arial"/>
                <w:b w:val="0"/>
                <w:i w:val="0"/>
                <w:sz w:val="17"/>
              </w:rPr>
              <w:t>Clear shipment</w:t>
            </w:r>
          </w:p>
        </w:tc>
        <w:tc>
          <w:tcPr>
            <w:tcW w:type="dxa" w:w="1377"/>
          </w:tcPr>
          <w:p>
            <w:pPr>
              <w:spacing w:after="20" w:before="20" w:line="240" w:lineRule="auto"/>
            </w:pPr>
            <w:r/>
            <w:r>
              <w:rPr>
                <w:rFonts w:ascii="Arial" w:hAnsi="Arial" w:cs="Arial"/>
                <w:b w:val="0"/>
                <w:i w:val="0"/>
                <w:sz w:val="17"/>
              </w:rPr>
              <w:t>Clearance Workflow</w:t>
            </w:r>
          </w:p>
        </w:tc>
        <w:tc>
          <w:tcPr>
            <w:tcW w:type="dxa" w:w="1377"/>
          </w:tcPr>
          <w:p>
            <w:pPr>
              <w:spacing w:after="20" w:before="20" w:line="240" w:lineRule="auto"/>
            </w:pPr>
            <w:r/>
            <w:r>
              <w:rPr>
                <w:rFonts w:ascii="Arial" w:hAnsi="Arial" w:cs="Arial"/>
                <w:b w:val="0"/>
                <w:i w:val="0"/>
                <w:sz w:val="17"/>
              </w:rPr>
              <w:t>Inbox: "Shipment awaiting clearance"</w:t>
            </w:r>
          </w:p>
        </w:tc>
        <w:tc>
          <w:tcPr>
            <w:tcW w:type="dxa" w:w="1377"/>
          </w:tcPr>
          <w:p>
            <w:pPr>
              <w:spacing w:after="20" w:before="20" w:line="240" w:lineRule="auto"/>
            </w:pPr>
            <w:r/>
            <w:r>
              <w:rPr>
                <w:rFonts w:ascii="Arial" w:hAnsi="Arial" w:cs="Arial"/>
                <w:b w:val="0"/>
                <w:i w:val="0"/>
                <w:sz w:val="17"/>
              </w:rPr>
              <w:t>Declaration</w:t>
            </w:r>
          </w:p>
        </w:tc>
        <w:tc>
          <w:tcPr>
            <w:tcW w:type="dxa" w:w="1377"/>
          </w:tcPr>
          <w:p>
            <w:pPr>
              <w:spacing w:after="20" w:before="20" w:line="240" w:lineRule="auto"/>
            </w:pPr>
            <w:r/>
            <w:r>
              <w:rPr>
                <w:rFonts w:ascii="Arial" w:hAnsi="Arial" w:cs="Arial"/>
                <w:b w:val="0"/>
                <w:i w:val="0"/>
                <w:sz w:val="17"/>
              </w:rPr>
              <w:t>One click (Approve/Hold/Reject)</w:t>
            </w:r>
          </w:p>
        </w:tc>
        <w:tc>
          <w:tcPr>
            <w:tcW w:type="dxa" w:w="1377"/>
          </w:tcPr>
          <w:p>
            <w:pPr>
              <w:spacing w:after="20" w:before="20" w:line="240" w:lineRule="auto"/>
            </w:pPr>
            <w:r/>
            <w:r>
              <w:rPr>
                <w:rFonts w:ascii="Arial" w:hAnsi="Arial" w:cs="Arial"/>
                <w:b w:val="0"/>
                <w:i w:val="0"/>
                <w:sz w:val="17"/>
              </w:rPr>
              <w:t>CLEARED</w:t>
            </w:r>
          </w:p>
        </w:tc>
      </w:tr>
      <w:tr>
        <w:tc>
          <w:tcPr>
            <w:tcW w:type="dxa" w:w="1377"/>
          </w:tcPr>
          <w:p>
            <w:pPr>
              <w:spacing w:after="20" w:before="20" w:line="240" w:lineRule="auto"/>
            </w:pPr>
            <w:r/>
            <w:r>
              <w:rPr>
                <w:rFonts w:ascii="Arial" w:hAnsi="Arial" w:cs="Arial"/>
                <w:b w:val="0"/>
                <w:i w:val="0"/>
                <w:sz w:val="17"/>
              </w:rPr>
              <w:t>As needed</w:t>
            </w:r>
          </w:p>
        </w:tc>
        <w:tc>
          <w:tcPr>
            <w:tcW w:type="dxa" w:w="1377"/>
          </w:tcPr>
          <w:p>
            <w:pPr>
              <w:spacing w:after="20" w:before="20" w:line="240" w:lineRule="auto"/>
            </w:pPr>
            <w:r/>
            <w:r>
              <w:rPr>
                <w:rFonts w:ascii="Arial" w:hAnsi="Arial" w:cs="Arial"/>
                <w:b w:val="0"/>
                <w:i w:val="0"/>
                <w:sz w:val="17"/>
              </w:rPr>
              <w:t>Verify documents</w:t>
            </w:r>
          </w:p>
        </w:tc>
        <w:tc>
          <w:tcPr>
            <w:tcW w:type="dxa" w:w="1377"/>
          </w:tcPr>
          <w:p>
            <w:pPr>
              <w:spacing w:after="20" w:before="20" w:line="240" w:lineRule="auto"/>
            </w:pPr>
            <w:r/>
            <w:r>
              <w:rPr>
                <w:rFonts w:ascii="Arial" w:hAnsi="Arial" w:cs="Arial"/>
                <w:b w:val="0"/>
                <w:i w:val="0"/>
                <w:sz w:val="17"/>
              </w:rPr>
              <w:t>Document Verification</w:t>
            </w:r>
          </w:p>
        </w:tc>
        <w:tc>
          <w:tcPr>
            <w:tcW w:type="dxa" w:w="1377"/>
          </w:tcPr>
          <w:p>
            <w:pPr>
              <w:spacing w:after="20" w:before="20" w:line="240" w:lineRule="auto"/>
            </w:pPr>
            <w:r/>
            <w:r>
              <w:rPr>
                <w:rFonts w:ascii="Arial" w:hAnsi="Arial" w:cs="Arial"/>
                <w:b w:val="0"/>
                <w:i w:val="0"/>
                <w:sz w:val="17"/>
              </w:rPr>
              <w:t>Inbox: "Document flagged"</w:t>
            </w:r>
          </w:p>
        </w:tc>
        <w:tc>
          <w:tcPr>
            <w:tcW w:type="dxa" w:w="1377"/>
          </w:tcPr>
          <w:p>
            <w:pPr>
              <w:spacing w:after="20" w:before="20" w:line="240" w:lineRule="auto"/>
            </w:pPr>
            <w:r/>
            <w:r>
              <w:rPr>
                <w:rFonts w:ascii="Arial" w:hAnsi="Arial" w:cs="Arial"/>
                <w:b w:val="0"/>
                <w:i w:val="0"/>
                <w:sz w:val="17"/>
              </w:rPr>
              <w:t>PDF</w:t>
            </w:r>
          </w:p>
        </w:tc>
        <w:tc>
          <w:tcPr>
            <w:tcW w:type="dxa" w:w="1377"/>
          </w:tcPr>
          <w:p>
            <w:pPr>
              <w:spacing w:after="20" w:before="20" w:line="240" w:lineRule="auto"/>
            </w:pPr>
            <w:r/>
            <w:r>
              <w:rPr>
                <w:rFonts w:ascii="Arial" w:hAnsi="Arial" w:cs="Arial"/>
                <w:b w:val="0"/>
                <w:i w:val="0"/>
                <w:sz w:val="17"/>
              </w:rPr>
              <w:t>Accept/Reject</w:t>
            </w:r>
          </w:p>
        </w:tc>
        <w:tc>
          <w:tcPr>
            <w:tcW w:type="dxa" w:w="1377"/>
          </w:tcPr>
          <w:p>
            <w:pPr>
              <w:spacing w:after="20" w:before="20" w:line="240" w:lineRule="auto"/>
            </w:pPr>
            <w:r/>
            <w:r>
              <w:rPr>
                <w:rFonts w:ascii="Arial" w:hAnsi="Arial" w:cs="Arial"/>
                <w:b w:val="0"/>
                <w:i w:val="0"/>
                <w:sz w:val="17"/>
              </w:rPr>
              <w:t>VERIFIED or REJECTED</w:t>
            </w:r>
          </w:p>
        </w:tc>
      </w:tr>
      <w:tr>
        <w:tc>
          <w:tcPr>
            <w:tcW w:type="dxa" w:w="1377"/>
          </w:tcPr>
          <w:p>
            <w:pPr>
              <w:spacing w:after="20" w:before="20" w:line="240" w:lineRule="auto"/>
            </w:pPr>
            <w:r/>
            <w:r>
              <w:rPr>
                <w:rFonts w:ascii="Arial" w:hAnsi="Arial" w:cs="Arial"/>
                <w:b w:val="0"/>
                <w:i w:val="0"/>
                <w:sz w:val="17"/>
              </w:rPr>
              <w:t>Weekly</w:t>
            </w:r>
          </w:p>
        </w:tc>
        <w:tc>
          <w:tcPr>
            <w:tcW w:type="dxa" w:w="1377"/>
          </w:tcPr>
          <w:p>
            <w:pPr>
              <w:spacing w:after="20" w:before="20" w:line="240" w:lineRule="auto"/>
            </w:pPr>
            <w:r/>
            <w:r>
              <w:rPr>
                <w:rFonts w:ascii="Arial" w:hAnsi="Arial" w:cs="Arial"/>
                <w:b w:val="0"/>
                <w:i w:val="0"/>
                <w:sz w:val="17"/>
              </w:rPr>
              <w:t>Review compliance metrics</w:t>
            </w:r>
          </w:p>
        </w:tc>
        <w:tc>
          <w:tcPr>
            <w:tcW w:type="dxa" w:w="1377"/>
          </w:tcPr>
          <w:p>
            <w:pPr>
              <w:spacing w:after="20" w:before="20" w:line="240" w:lineRule="auto"/>
            </w:pPr>
            <w:r/>
            <w:r>
              <w:rPr>
                <w:rFonts w:ascii="Arial" w:hAnsi="Arial" w:cs="Arial"/>
                <w:b w:val="0"/>
                <w:i w:val="0"/>
                <w:sz w:val="17"/>
              </w:rPr>
              <w:t>Compliance Monitor</w:t>
            </w:r>
          </w:p>
        </w:tc>
        <w:tc>
          <w:tcPr>
            <w:tcW w:type="dxa" w:w="1377"/>
          </w:tcPr>
          <w:p>
            <w:pPr>
              <w:spacing w:after="20" w:before="20" w:line="240" w:lineRule="auto"/>
            </w:pPr>
            <w:r/>
            <w:r>
              <w:rPr>
                <w:rFonts w:ascii="Arial" w:hAnsi="Arial" w:cs="Arial"/>
                <w:b w:val="0"/>
                <w:i w:val="0"/>
                <w:sz w:val="17"/>
              </w:rPr>
              <w:t>—</w:t>
            </w:r>
          </w:p>
        </w:tc>
        <w:tc>
          <w:tcPr>
            <w:tcW w:type="dxa" w:w="1377"/>
          </w:tcPr>
          <w:p>
            <w:pPr>
              <w:spacing w:after="20" w:before="20" w:line="240" w:lineRule="auto"/>
            </w:pPr>
            <w:r/>
            <w:r>
              <w:rPr>
                <w:rFonts w:ascii="Arial" w:hAnsi="Arial" w:cs="Arial"/>
                <w:b w:val="0"/>
                <w:i w:val="0"/>
                <w:sz w:val="17"/>
              </w:rPr>
              <w:t>Report</w:t>
            </w:r>
          </w:p>
        </w:tc>
        <w:tc>
          <w:tcPr>
            <w:tcW w:type="dxa" w:w="1377"/>
          </w:tcPr>
          <w:p>
            <w:pPr>
              <w:spacing w:after="20" w:before="20" w:line="240" w:lineRule="auto"/>
            </w:pPr>
            <w:r/>
            <w:r>
              <w:rPr>
                <w:rFonts w:ascii="Arial" w:hAnsi="Arial" w:cs="Arial"/>
                <w:b w:val="0"/>
                <w:i w:val="0"/>
                <w:sz w:val="17"/>
              </w:rPr>
              <w:t>None</w:t>
            </w:r>
          </w:p>
        </w:tc>
        <w:tc>
          <w:tcPr>
            <w:tcW w:type="dxa" w:w="1377"/>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4.4.4 Database Schema (Roles &amp; Journeys)</w:t>
      </w:r>
    </w:p>
    <w:p>
      <w:pPr>
        <w:spacing w:after="0" w:before="0" w:line="240" w:lineRule="auto"/>
        <w:ind w:left="57"/>
        <w:jc w:val="left"/>
        <w:shd w:val="clear" w:fill="F2F2F2"/>
      </w:pPr>
      <w:r>
        <w:rPr>
          <w:rFonts w:ascii="Consolas" w:hAnsi="Consolas" w:cs="Consolas"/>
          <w:b w:val="0"/>
          <w:i w:val="0"/>
          <w:sz w:val="15"/>
        </w:rPr>
        <w:t>-- Role Journey Completion (for tracking)</w:t>
      </w:r>
    </w:p>
    <w:p>
      <w:pPr>
        <w:spacing w:after="0" w:before="0" w:line="240" w:lineRule="auto"/>
        <w:ind w:left="57"/>
        <w:jc w:val="left"/>
        <w:shd w:val="clear" w:fill="F2F2F2"/>
      </w:pPr>
      <w:r>
        <w:rPr>
          <w:rFonts w:ascii="Consolas" w:hAnsi="Consolas" w:cs="Consolas"/>
          <w:b w:val="0"/>
          <w:i w:val="0"/>
          <w:sz w:val="15"/>
        </w:rPr>
        <w:t>-- role_journey_completion: canonical definition in Section 17.3;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4.4.5 Implementation Checklist (Roles &amp; Journeys)</w:t>
      </w:r>
    </w:p>
    <w:p>
      <w:pPr>
        <w:spacing w:after="80" w:line="293" w:lineRule="auto"/>
        <w:ind w:left="283"/>
        <w:jc w:val="left"/>
      </w:pPr>
      <w:r>
        <w:rPr>
          <w:rFonts w:ascii="Times New Roman" w:hAnsi="Times New Roman" w:cs="Times New Roman"/>
          <w:b w:val="0"/>
          <w:i w:val="0"/>
          <w:sz w:val="22"/>
        </w:rPr>
        <w:t>- Create `role_journey_completion` table.</w:t>
      </w:r>
    </w:p>
    <w:p>
      <w:pPr>
        <w:spacing w:after="80" w:line="293" w:lineRule="auto"/>
        <w:ind w:left="283"/>
        <w:jc w:val="left"/>
      </w:pPr>
      <w:r>
        <w:rPr>
          <w:rFonts w:ascii="Times New Roman" w:hAnsi="Times New Roman" w:cs="Times New Roman"/>
          <w:b w:val="0"/>
          <w:i w:val="0"/>
          <w:sz w:val="22"/>
        </w:rPr>
        <w:t>- Implement journey step tracking for each role.</w:t>
      </w:r>
    </w:p>
    <w:p>
      <w:pPr>
        <w:spacing w:after="80" w:line="293" w:lineRule="auto"/>
        <w:ind w:left="283"/>
        <w:jc w:val="left"/>
      </w:pPr>
      <w:r>
        <w:rPr>
          <w:rFonts w:ascii="Times New Roman" w:hAnsi="Times New Roman" w:cs="Times New Roman"/>
          <w:b w:val="0"/>
          <w:i w:val="0"/>
          <w:sz w:val="22"/>
        </w:rPr>
        <w:t>- Add journey completion reporting (Company Admin).</w:t>
      </w:r>
    </w:p>
    <w:p>
      <w:pPr>
        <w:keepNext/>
        <w:spacing w:before="240" w:after="100"/>
        <w:outlineLvl w:val="1"/>
      </w:pPr>
      <w:r>
        <w:rPr>
          <w:rFonts w:ascii="Arial" w:hAnsi="Arial" w:cs="Arial"/>
          <w:b/>
          <w:i w:val="0"/>
          <w:color w:val="2E528F"/>
          <w:sz w:val="26"/>
        </w:rPr>
        <w:t>4.5 Data Scopes &amp; Confidentiality</w:t>
      </w:r>
    </w:p>
    <w:p>
      <w:pPr>
        <w:keepNext/>
        <w:spacing w:before="180" w:after="80"/>
        <w:outlineLvl w:val="2"/>
      </w:pPr>
      <w:r>
        <w:rPr>
          <w:rFonts w:ascii="Arial" w:hAnsi="Arial" w:cs="Arial"/>
          <w:b/>
          <w:i w:val="0"/>
          <w:color w:val="333333"/>
          <w:sz w:val="23"/>
        </w:rPr>
        <w:t>4.5.1 Data Scope Model</w:t>
      </w:r>
    </w:p>
    <w:p>
      <w:pPr>
        <w:spacing w:after="80" w:line="293" w:lineRule="auto"/>
        <w:jc w:val="left"/>
      </w:pPr>
      <w:r>
        <w:rPr>
          <w:rFonts w:ascii="Times New Roman" w:hAnsi="Times New Roman" w:cs="Times New Roman"/>
          <w:b w:val="0"/>
          <w:i w:val="0"/>
          <w:sz w:val="22"/>
        </w:rPr>
        <w:t>Data scopes restrict what an employee can see within their own tenant. Scopes are stored in the `data_scopes` table and evaluated by OPA on every data access. Canonical scope capabilities:</w:t>
      </w:r>
    </w:p>
    <w:p>
      <w:pPr>
        <w:spacing w:after="80" w:line="293" w:lineRule="auto"/>
        <w:ind w:left="283"/>
        <w:jc w:val="left"/>
      </w:pPr>
      <w:r>
        <w:rPr>
          <w:rFonts w:ascii="Times New Roman" w:hAnsi="Times New Roman" w:cs="Times New Roman"/>
          <w:b w:val="0"/>
          <w:i w:val="0"/>
          <w:sz w:val="22"/>
        </w:rPr>
        <w:t>- Cost-component hiding — warehouse and operations staff can be excluded from seeing cost components (e.g., seller cost breakdowns, margins).</w:t>
      </w:r>
    </w:p>
    <w:p>
      <w:pPr>
        <w:spacing w:after="80" w:line="293" w:lineRule="auto"/>
        <w:ind w:left="283"/>
        <w:jc w:val="left"/>
      </w:pPr>
      <w:r>
        <w:rPr>
          <w:rFonts w:ascii="Times New Roman" w:hAnsi="Times New Roman" w:cs="Times New Roman"/>
          <w:b w:val="0"/>
          <w:i w:val="0"/>
          <w:sz w:val="22"/>
        </w:rPr>
        <w:t>- Mode scoping — `allow_role_switching = false` locks an employee to one side of the Trader Portal (see Section 4.6).</w:t>
      </w:r>
    </w:p>
    <w:p>
      <w:pPr>
        <w:spacing w:after="80" w:line="293" w:lineRule="auto"/>
        <w:ind w:left="283"/>
        <w:jc w:val="left"/>
      </w:pPr>
      <w:r>
        <w:rPr>
          <w:rFonts w:ascii="Times New Roman" w:hAnsi="Times New Roman" w:cs="Times New Roman"/>
          <w:b w:val="0"/>
          <w:i w:val="0"/>
          <w:sz w:val="22"/>
        </w:rPr>
        <w:t>- Business-unit scoping — employees can be limited to their business unit's records (see Section 4.9).</w:t>
      </w:r>
    </w:p>
    <w:p>
      <w:pPr>
        <w:spacing w:after="80" w:line="293" w:lineRule="auto"/>
        <w:ind w:left="283"/>
        <w:jc w:val="left"/>
      </w:pPr>
      <w:r>
        <w:rPr>
          <w:rFonts w:ascii="Times New Roman" w:hAnsi="Times New Roman" w:cs="Times New Roman"/>
          <w:b w:val="0"/>
          <w:i w:val="0"/>
          <w:sz w:val="22"/>
        </w:rPr>
        <w:t>- Field-level confidentiality — resolution and master-object responses filter fields by role: a logistics provider sees only their services; a buyer sees full commercial terms but not the seller's internal costs; a financier sees the financing-relevant package; a government official sees only compliance documents (see Section 5.5).</w:t>
      </w:r>
    </w:p>
    <w:p>
      <w:pPr>
        <w:spacing w:after="80" w:line="293" w:lineRule="auto"/>
        <w:ind w:left="283"/>
        <w:jc w:val="left"/>
      </w:pPr>
      <w:r>
        <w:rPr>
          <w:rFonts w:ascii="Times New Roman" w:hAnsi="Times New Roman" w:cs="Times New Roman"/>
          <w:b w:val="0"/>
          <w:i w:val="0"/>
          <w:sz w:val="22"/>
        </w:rPr>
        <w:t>- Consent-gated sharing — trust components, verified identifiers, financing history, and dispute history require explicit consent from the data owner (see Section 4.1.5.6).</w:t>
      </w:r>
    </w:p>
    <w:p>
      <w:pPr>
        <w:keepNext/>
        <w:spacing w:before="180" w:after="80"/>
        <w:outlineLvl w:val="2"/>
      </w:pPr>
      <w:r>
        <w:rPr>
          <w:rFonts w:ascii="Arial" w:hAnsi="Arial" w:cs="Arial"/>
          <w:b/>
          <w:i w:val="0"/>
          <w:color w:val="333333"/>
          <w:sz w:val="23"/>
        </w:rPr>
        <w:t>4.5.2 Confidentiality Enforcement</w:t>
      </w:r>
    </w:p>
    <w:p>
      <w:pPr>
        <w:spacing w:after="80" w:line="293" w:lineRule="auto"/>
        <w:ind w:left="283"/>
        <w:jc w:val="left"/>
      </w:pPr>
      <w:r>
        <w:rPr>
          <w:rFonts w:ascii="Times New Roman" w:hAnsi="Times New Roman" w:cs="Times New Roman"/>
          <w:b w:val="0"/>
          <w:i w:val="0"/>
          <w:sz w:val="22"/>
        </w:rPr>
        <w:t>- OPA policies enforce data scopes at the API layer; RLS (row-level security) enforces tenant isolation at the database layer.</w:t>
      </w:r>
    </w:p>
    <w:p>
      <w:pPr>
        <w:spacing w:after="80" w:line="293" w:lineRule="auto"/>
        <w:ind w:left="283"/>
        <w:jc w:val="left"/>
      </w:pPr>
      <w:r>
        <w:rPr>
          <w:rFonts w:ascii="Times New Roman" w:hAnsi="Times New Roman" w:cs="Times New Roman"/>
          <w:b w:val="0"/>
          <w:i w:val="0"/>
          <w:sz w:val="22"/>
        </w:rPr>
        <w:t>- All scope changes are Governor-governed and Loom-logged.</w:t>
      </w:r>
    </w:p>
    <w:p>
      <w:pPr>
        <w:spacing w:after="80" w:line="293" w:lineRule="auto"/>
        <w:ind w:left="283"/>
        <w:jc w:val="left"/>
      </w:pPr>
      <w:r>
        <w:rPr>
          <w:rFonts w:ascii="Times New Roman" w:hAnsi="Times New Roman" w:cs="Times New Roman"/>
          <w:b w:val="0"/>
          <w:i w:val="0"/>
          <w:sz w:val="22"/>
        </w:rPr>
        <w:t>- The tenant admin manages scopes in Company Admin → Data Scopes, including the "Allow Role Switching" toggle (one click per employee).</w:t>
      </w:r>
    </w:p>
    <w:p>
      <w:pPr>
        <w:keepNext/>
        <w:spacing w:before="240" w:after="100"/>
        <w:outlineLvl w:val="1"/>
      </w:pPr>
      <w:r>
        <w:rPr>
          <w:rFonts w:ascii="Arial" w:hAnsi="Arial" w:cs="Arial"/>
          <w:b/>
          <w:i w:val="0"/>
          <w:color w:val="2E528F"/>
          <w:sz w:val="26"/>
        </w:rPr>
        <w:t>4.6 Dual-Mode Toggle (Buyer/Seller/DUAL — Trader Portal)</w:t>
      </w:r>
    </w:p>
    <w:p>
      <w:pPr>
        <w:keepNext/>
        <w:spacing w:before="180" w:after="80"/>
        <w:outlineLvl w:val="2"/>
      </w:pPr>
      <w:r>
        <w:rPr>
          <w:rFonts w:ascii="Arial" w:hAnsi="Arial" w:cs="Arial"/>
          <w:b/>
          <w:i w:val="0"/>
          <w:color w:val="333333"/>
          <w:sz w:val="23"/>
        </w:rPr>
        <w:t>4.6.1 Purpose &amp; Design Philosophy</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allow trading companies with DUAL mode to switch seamlessly between Buyer Dashboard (inbound, import/procurement activities) and Seller Dashboard (outbound, export/sales activities) with a single click. The toggle provides clear visual feedback to prevent mode confusion and ensures that all actions, data views, and permissions are correctly scoped to the active context.</w:t>
      </w:r>
    </w:p>
    <w:p>
      <w:pPr>
        <w:spacing w:after="80" w:line="293" w:lineRule="auto"/>
        <w:jc w:val="left"/>
      </w:pPr>
      <w:r>
        <w:rPr>
          <w:rFonts w:ascii="Times New Roman" w:hAnsi="Times New Roman" w:cs="Times New Roman"/>
          <w:b w:val="0"/>
          <w:i w:val="0"/>
          <w:sz w:val="22"/>
        </w:rPr>
        <w:t>Design Philosophy:</w:t>
      </w:r>
    </w:p>
    <w:p>
      <w:pPr>
        <w:spacing w:after="80" w:line="293" w:lineRule="auto"/>
        <w:ind w:left="283"/>
        <w:jc w:val="left"/>
      </w:pPr>
      <w:r>
        <w:rPr>
          <w:rFonts w:ascii="Times New Roman" w:hAnsi="Times New Roman" w:cs="Times New Roman"/>
          <w:b w:val="0"/>
          <w:i w:val="0"/>
          <w:sz w:val="22"/>
        </w:rPr>
        <w:t>- One portal, two perspectives — a single unified Trader Portal replaces the need for separate Buyer and Seller logins.</w:t>
      </w:r>
    </w:p>
    <w:p>
      <w:pPr>
        <w:spacing w:after="80" w:line="293" w:lineRule="auto"/>
        <w:ind w:left="283"/>
        <w:jc w:val="left"/>
      </w:pPr>
      <w:r>
        <w:rPr>
          <w:rFonts w:ascii="Times New Roman" w:hAnsi="Times New Roman" w:cs="Times New Roman"/>
          <w:b w:val="0"/>
          <w:i w:val="0"/>
          <w:sz w:val="22"/>
        </w:rPr>
        <w:t>- Context-aware — every UI element, API call, and Smart Inbox item adapts instantly to the selected mode.</w:t>
      </w:r>
    </w:p>
    <w:p>
      <w:pPr>
        <w:spacing w:after="80" w:line="293" w:lineRule="auto"/>
        <w:ind w:left="283"/>
        <w:jc w:val="left"/>
      </w:pPr>
      <w:r>
        <w:rPr>
          <w:rFonts w:ascii="Times New Roman" w:hAnsi="Times New Roman" w:cs="Times New Roman"/>
          <w:b w:val="0"/>
          <w:i w:val="0"/>
          <w:sz w:val="22"/>
        </w:rPr>
        <w:t>- Visual clarity — the active mode is unmistakable through colour, iconography, and persistent labelling.</w:t>
      </w:r>
    </w:p>
    <w:p>
      <w:pPr>
        <w:spacing w:after="80" w:line="293" w:lineRule="auto"/>
        <w:ind w:left="283"/>
        <w:jc w:val="left"/>
      </w:pPr>
      <w:r>
        <w:rPr>
          <w:rFonts w:ascii="Times New Roman" w:hAnsi="Times New Roman" w:cs="Times New Roman"/>
          <w:b w:val="0"/>
          <w:i w:val="0"/>
          <w:sz w:val="22"/>
        </w:rPr>
        <w:t>- Governance-enforced — OPA policies ensure that actions attempted in the wrong mode are gracefully blocked with clear remediation.</w:t>
      </w:r>
    </w:p>
    <w:p>
      <w:pPr>
        <w:spacing w:after="80" w:line="293" w:lineRule="auto"/>
        <w:ind w:left="283"/>
        <w:jc w:val="left"/>
      </w:pPr>
      <w:r>
        <w:rPr>
          <w:rFonts w:ascii="Times New Roman" w:hAnsi="Times New Roman" w:cs="Times New Roman"/>
          <w:b w:val="0"/>
          <w:i w:val="0"/>
          <w:sz w:val="22"/>
        </w:rPr>
        <w:t>- User-controlled — tenants can disable the toggle per employee (e.g., for finance users who should only see one side).</w:t>
      </w:r>
    </w:p>
    <w:p>
      <w:pPr>
        <w:spacing w:after="80" w:line="293" w:lineRule="auto"/>
        <w:ind w:left="283"/>
        <w:jc w:val="left"/>
      </w:pPr>
      <w:r>
        <w:rPr>
          <w:rFonts w:ascii="Times New Roman" w:hAnsi="Times New Roman" w:cs="Times New Roman"/>
          <w:b w:val="0"/>
          <w:i w:val="0"/>
          <w:sz w:val="22"/>
        </w:rPr>
        <w:t>- Accessible — full keyboard navigation, screen reader support, and voice command integration.</w:t>
      </w:r>
    </w:p>
    <w:p>
      <w:pPr>
        <w:spacing w:after="80" w:line="293" w:lineRule="auto"/>
        <w:jc w:val="left"/>
      </w:pPr>
      <w:r>
        <w:rPr>
          <w:rFonts w:ascii="Times New Roman" w:hAnsi="Times New Roman" w:cs="Times New Roman"/>
          <w:b w:val="0"/>
          <w:i w:val="0"/>
          <w:sz w:val="22"/>
        </w:rPr>
        <w:t>Non-marketplace: the toggle never suggests "you should also try buying" — it merely changes the view of existing data. It does not discover, recommend, or rank counterparties.</w:t>
      </w:r>
    </w:p>
    <w:p>
      <w:pPr>
        <w:keepNext/>
        <w:spacing w:before="180" w:after="80"/>
        <w:outlineLvl w:val="2"/>
      </w:pPr>
      <w:r>
        <w:rPr>
          <w:rFonts w:ascii="Arial" w:hAnsi="Arial" w:cs="Arial"/>
          <w:b/>
          <w:i w:val="0"/>
          <w:color w:val="333333"/>
          <w:sz w:val="23"/>
        </w:rPr>
        <w:t>4.6.2 Visibility Conditions (All Must Be True)</w:t>
      </w:r>
    </w:p>
    <w:p>
      <w:pPr>
        <w:spacing w:after="80" w:line="293" w:lineRule="auto"/>
        <w:jc w:val="left"/>
      </w:pPr>
      <w:r>
        <w:rPr>
          <w:rFonts w:ascii="Times New Roman" w:hAnsi="Times New Roman" w:cs="Times New Roman"/>
          <w:b w:val="0"/>
          <w:i w:val="0"/>
          <w:sz w:val="22"/>
        </w:rPr>
        <w:t>The toggle is displayed in the global header of the Trader Portal only when all of the following conditions are met: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Condition</w:t>
            </w:r>
          </w:p>
        </w:tc>
        <w:tc>
          <w:tcPr>
            <w:tcW w:type="dxa" w:w="3213"/>
            <w:shd w:val="clear" w:fill="D9E2F3"/>
          </w:tcPr>
          <w:p>
            <w:pPr>
              <w:spacing w:after="20" w:before="20" w:line="240" w:lineRule="auto"/>
            </w:pPr>
            <w:r/>
            <w:r>
              <w:rPr>
                <w:rFonts w:ascii="Arial" w:hAnsi="Arial" w:cs="Arial"/>
                <w:b/>
                <w:i w:val="0"/>
                <w:sz w:val="18"/>
              </w:rPr>
              <w:t>Check</w:t>
            </w:r>
          </w:p>
        </w:tc>
        <w:tc>
          <w:tcPr>
            <w:tcW w:type="dxa" w:w="3213"/>
            <w:shd w:val="clear" w:fill="D9E2F3"/>
          </w:tcPr>
          <w:p>
            <w:pPr>
              <w:spacing w:after="20" w:before="20" w:line="240" w:lineRule="auto"/>
            </w:pPr>
            <w:r/>
            <w:r>
              <w:rPr>
                <w:rFonts w:ascii="Arial" w:hAnsi="Arial" w:cs="Arial"/>
                <w:b/>
                <w:i w:val="0"/>
                <w:sz w:val="18"/>
              </w:rPr>
              <w:t>Enforcement</w:t>
            </w:r>
          </w:p>
        </w:tc>
      </w:tr>
      <w:tr>
        <w:tc>
          <w:tcPr>
            <w:tcW w:type="dxa" w:w="3213"/>
          </w:tcPr>
          <w:p>
            <w:pPr>
              <w:spacing w:after="20" w:before="20" w:line="240" w:lineRule="auto"/>
            </w:pPr>
            <w:r/>
            <w:r>
              <w:rPr>
                <w:rFonts w:ascii="Arial" w:hAnsi="Arial" w:cs="Arial"/>
                <w:b w:val="0"/>
                <w:i w:val="0"/>
                <w:sz w:val="17"/>
              </w:rPr>
              <w:t>Tenant type</w:t>
            </w:r>
          </w:p>
        </w:tc>
        <w:tc>
          <w:tcPr>
            <w:tcW w:type="dxa" w:w="3213"/>
          </w:tcPr>
          <w:p>
            <w:pPr>
              <w:spacing w:after="20" w:before="20" w:line="240" w:lineRule="auto"/>
            </w:pPr>
            <w:r/>
            <w:r>
              <w:rPr>
                <w:rFonts w:ascii="Arial" w:hAnsi="Arial" w:cs="Arial"/>
                <w:b w:val="0"/>
                <w:i w:val="0"/>
                <w:sz w:val="17"/>
              </w:rPr>
              <w:t>type = TRD</w:t>
            </w:r>
          </w:p>
        </w:tc>
        <w:tc>
          <w:tcPr>
            <w:tcW w:type="dxa" w:w="3213"/>
          </w:tcPr>
          <w:p>
            <w:pPr>
              <w:spacing w:after="20" w:before="20" w:line="240" w:lineRule="auto"/>
            </w:pPr>
            <w:r/>
            <w:r>
              <w:rPr>
                <w:rFonts w:ascii="Arial" w:hAnsi="Arial" w:cs="Arial"/>
                <w:b w:val="0"/>
                <w:i w:val="0"/>
                <w:sz w:val="17"/>
              </w:rPr>
              <w:t>Database query on login</w:t>
            </w:r>
          </w:p>
        </w:tc>
      </w:tr>
      <w:tr>
        <w:tc>
          <w:tcPr>
            <w:tcW w:type="dxa" w:w="3213"/>
          </w:tcPr>
          <w:p>
            <w:pPr>
              <w:spacing w:after="20" w:before="20" w:line="240" w:lineRule="auto"/>
            </w:pPr>
            <w:r/>
            <w:r>
              <w:rPr>
                <w:rFonts w:ascii="Arial" w:hAnsi="Arial" w:cs="Arial"/>
                <w:b w:val="0"/>
                <w:i w:val="0"/>
                <w:sz w:val="17"/>
              </w:rPr>
              <w:t>Default trader mode</w:t>
            </w:r>
          </w:p>
        </w:tc>
        <w:tc>
          <w:tcPr>
            <w:tcW w:type="dxa" w:w="3213"/>
          </w:tcPr>
          <w:p>
            <w:pPr>
              <w:spacing w:after="20" w:before="20" w:line="240" w:lineRule="auto"/>
            </w:pPr>
            <w:r/>
            <w:r>
              <w:rPr>
                <w:rFonts w:ascii="Arial" w:hAnsi="Arial" w:cs="Arial"/>
                <w:b w:val="0"/>
                <w:i w:val="0"/>
                <w:sz w:val="17"/>
              </w:rPr>
              <w:t>default_trader_mode = DUAL</w:t>
            </w:r>
          </w:p>
        </w:tc>
        <w:tc>
          <w:tcPr>
            <w:tcW w:type="dxa" w:w="3213"/>
          </w:tcPr>
          <w:p>
            <w:pPr>
              <w:spacing w:after="20" w:before="20" w:line="240" w:lineRule="auto"/>
            </w:pPr>
            <w:r/>
            <w:r>
              <w:rPr>
                <w:rFonts w:ascii="Arial" w:hAnsi="Arial" w:cs="Arial"/>
                <w:b w:val="0"/>
                <w:i w:val="0"/>
                <w:sz w:val="17"/>
              </w:rPr>
              <w:t>Tenant profile configuration</w:t>
            </w:r>
          </w:p>
        </w:tc>
      </w:tr>
      <w:tr>
        <w:tc>
          <w:tcPr>
            <w:tcW w:type="dxa" w:w="3213"/>
          </w:tcPr>
          <w:p>
            <w:pPr>
              <w:spacing w:after="20" w:before="20" w:line="240" w:lineRule="auto"/>
            </w:pPr>
            <w:r/>
            <w:r>
              <w:rPr>
                <w:rFonts w:ascii="Arial" w:hAnsi="Arial" w:cs="Arial"/>
                <w:b w:val="0"/>
                <w:i w:val="0"/>
                <w:sz w:val="17"/>
              </w:rPr>
              <w:t>Employee permission</w:t>
            </w:r>
          </w:p>
        </w:tc>
        <w:tc>
          <w:tcPr>
            <w:tcW w:type="dxa" w:w="3213"/>
          </w:tcPr>
          <w:p>
            <w:pPr>
              <w:spacing w:after="20" w:before="20" w:line="240" w:lineRule="auto"/>
            </w:pPr>
            <w:r/>
            <w:r>
              <w:rPr>
                <w:rFonts w:ascii="Arial" w:hAnsi="Arial" w:cs="Arial"/>
                <w:b w:val="0"/>
                <w:i w:val="0"/>
                <w:sz w:val="17"/>
              </w:rPr>
              <w:t>allow_role_switching = true (from data_scopes table)</w:t>
            </w:r>
          </w:p>
        </w:tc>
        <w:tc>
          <w:tcPr>
            <w:tcW w:type="dxa" w:w="3213"/>
          </w:tcPr>
          <w:p>
            <w:pPr>
              <w:spacing w:after="20" w:before="20" w:line="240" w:lineRule="auto"/>
            </w:pPr>
            <w:r/>
            <w:r>
              <w:rPr>
                <w:rFonts w:ascii="Arial" w:hAnsi="Arial" w:cs="Arial"/>
                <w:b w:val="0"/>
                <w:i w:val="0"/>
                <w:sz w:val="17"/>
              </w:rPr>
              <w:t>OPA policy check</w:t>
            </w:r>
          </w:p>
        </w:tc>
      </w:tr>
      <w:tr>
        <w:tc>
          <w:tcPr>
            <w:tcW w:type="dxa" w:w="3213"/>
          </w:tcPr>
          <w:p>
            <w:pPr>
              <w:spacing w:after="20" w:before="20" w:line="240" w:lineRule="auto"/>
            </w:pPr>
            <w:r/>
            <w:r>
              <w:rPr>
                <w:rFonts w:ascii="Arial" w:hAnsi="Arial" w:cs="Arial"/>
                <w:b w:val="0"/>
                <w:i w:val="0"/>
                <w:sz w:val="17"/>
              </w:rPr>
              <w:t>Role allowed modes</w:t>
            </w:r>
          </w:p>
        </w:tc>
        <w:tc>
          <w:tcPr>
            <w:tcW w:type="dxa" w:w="3213"/>
          </w:tcPr>
          <w:p>
            <w:pPr>
              <w:spacing w:after="20" w:before="20" w:line="240" w:lineRule="auto"/>
            </w:pPr>
            <w:r/>
            <w:r>
              <w:rPr>
                <w:rFonts w:ascii="Arial" w:hAnsi="Arial" w:cs="Arial"/>
                <w:b w:val="0"/>
                <w:i w:val="0"/>
                <w:sz w:val="17"/>
              </w:rPr>
              <w:t>Employee's role includes allowed_trader_modes containing both BUY and SELL</w:t>
            </w:r>
          </w:p>
        </w:tc>
        <w:tc>
          <w:tcPr>
            <w:tcW w:type="dxa" w:w="3213"/>
          </w:tcPr>
          <w:p>
            <w:pPr>
              <w:spacing w:after="20" w:before="20" w:line="240" w:lineRule="auto"/>
            </w:pPr>
            <w:r/>
            <w:r>
              <w:rPr>
                <w:rFonts w:ascii="Arial" w:hAnsi="Arial" w:cs="Arial"/>
                <w:b w:val="0"/>
                <w:i w:val="0"/>
                <w:sz w:val="17"/>
              </w:rPr>
              <w:t>OPA policy check</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Fallback: if `default_trader_mode = BUY`, the user sees only the Buyer dashboard (toggle hidden). If `default_trader_mode = SELL`, the user sees only the Seller dashboard (toggle hidden). If `allow_role_switching = false`, the toggle is hidden and the user is locked into their default_trader_mode.</w:t>
      </w:r>
    </w:p>
    <w:p>
      <w:pPr>
        <w:spacing w:after="80" w:line="293" w:lineRule="auto"/>
        <w:jc w:val="left"/>
      </w:pPr>
      <w:r>
        <w:rPr>
          <w:rFonts w:ascii="Times New Roman" w:hAnsi="Times New Roman" w:cs="Times New Roman"/>
          <w:b w:val="0"/>
          <w:i w:val="0"/>
          <w:sz w:val="22"/>
        </w:rPr>
        <w:t>One-click: the tenant admin can set `allow_role_switching = false` in Company Admin → Data Scopes → "Allow Role Switching" toggle (1 click).</w:t>
      </w:r>
    </w:p>
    <w:p>
      <w:pPr>
        <w:keepNext/>
        <w:spacing w:before="180" w:after="80"/>
        <w:outlineLvl w:val="2"/>
      </w:pPr>
      <w:r>
        <w:rPr>
          <w:rFonts w:ascii="Arial" w:hAnsi="Arial" w:cs="Arial"/>
          <w:b/>
          <w:i w:val="0"/>
          <w:color w:val="333333"/>
          <w:sz w:val="23"/>
        </w:rPr>
        <w:t>4.6.3 UI Placement &amp; Visual Design</w:t>
      </w:r>
    </w:p>
    <w:p>
      <w:pPr>
        <w:keepNext/>
        <w:spacing w:before="140" w:after="60"/>
        <w:outlineLvl w:val="3"/>
      </w:pPr>
      <w:r>
        <w:rPr>
          <w:rFonts w:ascii="Arial" w:hAnsi="Arial" w:cs="Arial"/>
          <w:b/>
          <w:i/>
          <w:color w:val="333333"/>
          <w:sz w:val="22"/>
        </w:rPr>
        <w:t>4.6.3.1 Location</w:t>
      </w:r>
    </w:p>
    <w:p>
      <w:pPr>
        <w:spacing w:after="80" w:line="293" w:lineRule="auto"/>
        <w:jc w:val="left"/>
      </w:pPr>
      <w:r>
        <w:rPr>
          <w:rFonts w:ascii="Times New Roman" w:hAnsi="Times New Roman" w:cs="Times New Roman"/>
          <w:b w:val="0"/>
          <w:i w:val="0"/>
          <w:sz w:val="22"/>
        </w:rPr>
        <w:t>The toggle is positioned in the global header, to the right of the notifications bell and to the left of the user avatar. This consistent placement ensures it is always visible and accessible from any page within the Trader Portal.</w:t>
      </w:r>
    </w:p>
    <w:p>
      <w:pPr>
        <w:spacing w:after="80" w:line="293" w:lineRule="auto"/>
        <w:jc w:val="left"/>
      </w:pPr>
      <w:r>
        <w:rPr>
          <w:rFonts w:ascii="Times New Roman" w:hAnsi="Times New Roman" w:cs="Times New Roman"/>
          <w:b w:val="0"/>
          <w:i w:val="0"/>
          <w:sz w:val="22"/>
        </w:rPr>
        <w:t>Layout (textual):</w:t>
      </w:r>
    </w:p>
    <w:p>
      <w:pPr>
        <w:spacing w:after="0" w:before="0" w:line="240" w:lineRule="auto"/>
        <w:ind w:left="57"/>
        <w:jc w:val="left"/>
        <w:shd w:val="clear" w:fill="F2F2F2"/>
      </w:pPr>
      <w:r>
        <w:rPr>
          <w:rFonts w:ascii="Consolas" w:hAnsi="Consolas" w:cs="Consolas"/>
          <w:b w:val="0"/>
          <w:i w:val="0"/>
          <w:sz w:val="15"/>
        </w:rPr>
        <w:t>[SGTX Logo]   [Search]   [Notifications]   [ BUYER | SELLER ]        Ahmed (Buyer)</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4.6.3.2 Visual Appearance (Enhanced, Professional)</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Mode</w:t>
            </w:r>
          </w:p>
        </w:tc>
        <w:tc>
          <w:tcPr>
            <w:tcW w:type="dxa" w:w="1606"/>
            <w:shd w:val="clear" w:fill="D9E2F3"/>
          </w:tcPr>
          <w:p>
            <w:pPr>
              <w:spacing w:after="20" w:before="20" w:line="240" w:lineRule="auto"/>
            </w:pPr>
            <w:r/>
            <w:r>
              <w:rPr>
                <w:rFonts w:ascii="Arial" w:hAnsi="Arial" w:cs="Arial"/>
                <w:b/>
                <w:i w:val="0"/>
                <w:sz w:val="18"/>
              </w:rPr>
              <w:t>Active Segment Background</w:t>
            </w:r>
          </w:p>
        </w:tc>
        <w:tc>
          <w:tcPr>
            <w:tcW w:type="dxa" w:w="1606"/>
            <w:shd w:val="clear" w:fill="D9E2F3"/>
          </w:tcPr>
          <w:p>
            <w:pPr>
              <w:spacing w:after="20" w:before="20" w:line="240" w:lineRule="auto"/>
            </w:pPr>
            <w:r/>
            <w:r>
              <w:rPr>
                <w:rFonts w:ascii="Arial" w:hAnsi="Arial" w:cs="Arial"/>
                <w:b/>
                <w:i w:val="0"/>
                <w:sz w:val="18"/>
              </w:rPr>
              <w:t>Text Colour</w:t>
            </w:r>
          </w:p>
        </w:tc>
        <w:tc>
          <w:tcPr>
            <w:tcW w:type="dxa" w:w="1606"/>
            <w:shd w:val="clear" w:fill="D9E2F3"/>
          </w:tcPr>
          <w:p>
            <w:pPr>
              <w:spacing w:after="20" w:before="20" w:line="240" w:lineRule="auto"/>
            </w:pPr>
            <w:r/>
            <w:r>
              <w:rPr>
                <w:rFonts w:ascii="Arial" w:hAnsi="Arial" w:cs="Arial"/>
                <w:b/>
                <w:i w:val="0"/>
                <w:sz w:val="18"/>
              </w:rPr>
              <w:t>Icon</w:t>
            </w:r>
          </w:p>
        </w:tc>
        <w:tc>
          <w:tcPr>
            <w:tcW w:type="dxa" w:w="1606"/>
            <w:shd w:val="clear" w:fill="D9E2F3"/>
          </w:tcPr>
          <w:p>
            <w:pPr>
              <w:spacing w:after="20" w:before="20" w:line="240" w:lineRule="auto"/>
            </w:pPr>
            <w:r/>
            <w:r>
              <w:rPr>
                <w:rFonts w:ascii="Arial" w:hAnsi="Arial" w:cs="Arial"/>
                <w:b/>
                <w:i w:val="0"/>
                <w:sz w:val="18"/>
              </w:rPr>
              <w:t>Browser Tab Title Prefix</w:t>
            </w:r>
          </w:p>
        </w:tc>
        <w:tc>
          <w:tcPr>
            <w:tcW w:type="dxa" w:w="1606"/>
            <w:shd w:val="clear" w:fill="D9E2F3"/>
          </w:tcPr>
          <w:p>
            <w:pPr>
              <w:spacing w:after="20" w:before="20" w:line="240" w:lineRule="auto"/>
            </w:pPr>
            <w:r/>
            <w:r>
              <w:rPr>
                <w:rFonts w:ascii="Arial" w:hAnsi="Arial" w:cs="Arial"/>
                <w:b/>
                <w:i w:val="0"/>
                <w:sz w:val="18"/>
              </w:rPr>
              <w:t>Avatar Badge</w:t>
            </w:r>
          </w:p>
        </w:tc>
      </w:tr>
      <w:tr>
        <w:tc>
          <w:tcPr>
            <w:tcW w:type="dxa" w:w="1606"/>
          </w:tcPr>
          <w:p>
            <w:pPr>
              <w:spacing w:after="20" w:before="20" w:line="240" w:lineRule="auto"/>
            </w:pPr>
            <w:r/>
            <w:r>
              <w:rPr>
                <w:rFonts w:ascii="Arial" w:hAnsi="Arial" w:cs="Arial"/>
                <w:b w:val="0"/>
                <w:i w:val="0"/>
                <w:sz w:val="17"/>
              </w:rPr>
              <w:t>Buyer</w:t>
            </w:r>
          </w:p>
        </w:tc>
        <w:tc>
          <w:tcPr>
            <w:tcW w:type="dxa" w:w="1606"/>
          </w:tcPr>
          <w:p>
            <w:pPr>
              <w:spacing w:after="20" w:before="20" w:line="240" w:lineRule="auto"/>
            </w:pPr>
            <w:r/>
            <w:r>
              <w:rPr>
                <w:rFonts w:ascii="Arial" w:hAnsi="Arial" w:cs="Arial"/>
                <w:b w:val="0"/>
                <w:i w:val="0"/>
                <w:sz w:val="17"/>
              </w:rPr>
              <w:t>Blue (#1E88E5) with subtle gradient</w:t>
            </w:r>
          </w:p>
        </w:tc>
        <w:tc>
          <w:tcPr>
            <w:tcW w:type="dxa" w:w="1606"/>
          </w:tcPr>
          <w:p>
            <w:pPr>
              <w:spacing w:after="20" w:before="20" w:line="240" w:lineRule="auto"/>
            </w:pPr>
            <w:r/>
            <w:r>
              <w:rPr>
                <w:rFonts w:ascii="Arial" w:hAnsi="Arial" w:cs="Arial"/>
                <w:b w:val="0"/>
                <w:i w:val="0"/>
                <w:sz w:val="17"/>
              </w:rPr>
              <w:t>White</w:t>
            </w:r>
          </w:p>
        </w:tc>
        <w:tc>
          <w:tcPr>
            <w:tcW w:type="dxa" w:w="1606"/>
          </w:tcPr>
          <w:p>
            <w:pPr>
              <w:spacing w:after="20" w:before="20" w:line="240" w:lineRule="auto"/>
            </w:pPr>
            <w:r/>
            <w:r>
              <w:rPr>
                <w:rFonts w:ascii="Arial" w:hAnsi="Arial" w:cs="Arial"/>
                <w:b w:val="0"/>
                <w:i w:val="0"/>
                <w:sz w:val="17"/>
              </w:rPr>
              <w:t>Shopping cart</w:t>
            </w:r>
          </w:p>
        </w:tc>
        <w:tc>
          <w:tcPr>
            <w:tcW w:type="dxa" w:w="1606"/>
          </w:tcPr>
          <w:p>
            <w:pPr>
              <w:spacing w:after="20" w:before="20" w:line="240" w:lineRule="auto"/>
            </w:pPr>
            <w:r/>
            <w:r>
              <w:rPr>
                <w:rFonts w:ascii="Arial" w:hAnsi="Arial" w:cs="Arial"/>
                <w:b w:val="0"/>
                <w:i w:val="0"/>
                <w:sz w:val="17"/>
              </w:rPr>
              <w:t>(Buyer)</w:t>
            </w:r>
          </w:p>
        </w:tc>
        <w:tc>
          <w:tcPr>
            <w:tcW w:type="dxa" w:w="1606"/>
          </w:tcPr>
          <w:p>
            <w:pPr>
              <w:spacing w:after="20" w:before="20" w:line="240" w:lineRule="auto"/>
            </w:pPr>
            <w:r/>
            <w:r>
              <w:rPr>
                <w:rFonts w:ascii="Arial" w:hAnsi="Arial" w:cs="Arial"/>
                <w:b w:val="0"/>
                <w:i w:val="0"/>
                <w:sz w:val="17"/>
              </w:rPr>
              <w:t>"Name (Buyer)"</w:t>
            </w:r>
          </w:p>
        </w:tc>
      </w:tr>
      <w:tr>
        <w:tc>
          <w:tcPr>
            <w:tcW w:type="dxa" w:w="1606"/>
          </w:tcPr>
          <w:p>
            <w:pPr>
              <w:spacing w:after="20" w:before="20" w:line="240" w:lineRule="auto"/>
            </w:pPr>
            <w:r/>
            <w:r>
              <w:rPr>
                <w:rFonts w:ascii="Arial" w:hAnsi="Arial" w:cs="Arial"/>
                <w:b w:val="0"/>
                <w:i w:val="0"/>
                <w:sz w:val="17"/>
              </w:rPr>
              <w:t>Seller</w:t>
            </w:r>
          </w:p>
        </w:tc>
        <w:tc>
          <w:tcPr>
            <w:tcW w:type="dxa" w:w="1606"/>
          </w:tcPr>
          <w:p>
            <w:pPr>
              <w:spacing w:after="20" w:before="20" w:line="240" w:lineRule="auto"/>
            </w:pPr>
            <w:r/>
            <w:r>
              <w:rPr>
                <w:rFonts w:ascii="Arial" w:hAnsi="Arial" w:cs="Arial"/>
                <w:b w:val="0"/>
                <w:i w:val="0"/>
                <w:sz w:val="17"/>
              </w:rPr>
              <w:t>Green (#43A047) with subtle gradient</w:t>
            </w:r>
          </w:p>
        </w:tc>
        <w:tc>
          <w:tcPr>
            <w:tcW w:type="dxa" w:w="1606"/>
          </w:tcPr>
          <w:p>
            <w:pPr>
              <w:spacing w:after="20" w:before="20" w:line="240" w:lineRule="auto"/>
            </w:pPr>
            <w:r/>
            <w:r>
              <w:rPr>
                <w:rFonts w:ascii="Arial" w:hAnsi="Arial" w:cs="Arial"/>
                <w:b w:val="0"/>
                <w:i w:val="0"/>
                <w:sz w:val="17"/>
              </w:rPr>
              <w:t>White</w:t>
            </w:r>
          </w:p>
        </w:tc>
        <w:tc>
          <w:tcPr>
            <w:tcW w:type="dxa" w:w="1606"/>
          </w:tcPr>
          <w:p>
            <w:pPr>
              <w:spacing w:after="20" w:before="20" w:line="240" w:lineRule="auto"/>
            </w:pPr>
            <w:r/>
            <w:r>
              <w:rPr>
                <w:rFonts w:ascii="Arial" w:hAnsi="Arial" w:cs="Arial"/>
                <w:b w:val="0"/>
                <w:i w:val="0"/>
                <w:sz w:val="17"/>
              </w:rPr>
              <w:t>Box / Package</w:t>
            </w:r>
          </w:p>
        </w:tc>
        <w:tc>
          <w:tcPr>
            <w:tcW w:type="dxa" w:w="1606"/>
          </w:tcPr>
          <w:p>
            <w:pPr>
              <w:spacing w:after="20" w:before="20" w:line="240" w:lineRule="auto"/>
            </w:pPr>
            <w:r/>
            <w:r>
              <w:rPr>
                <w:rFonts w:ascii="Arial" w:hAnsi="Arial" w:cs="Arial"/>
                <w:b w:val="0"/>
                <w:i w:val="0"/>
                <w:sz w:val="17"/>
              </w:rPr>
              <w:t>(Seller)</w:t>
            </w:r>
          </w:p>
        </w:tc>
        <w:tc>
          <w:tcPr>
            <w:tcW w:type="dxa" w:w="1606"/>
          </w:tcPr>
          <w:p>
            <w:pPr>
              <w:spacing w:after="20" w:before="20" w:line="240" w:lineRule="auto"/>
            </w:pPr>
            <w:r/>
            <w:r>
              <w:rPr>
                <w:rFonts w:ascii="Arial" w:hAnsi="Arial" w:cs="Arial"/>
                <w:b w:val="0"/>
                <w:i w:val="0"/>
                <w:sz w:val="17"/>
              </w:rPr>
              <w:t>"Name (Seller)"</w:t>
            </w:r>
          </w:p>
        </w:tc>
      </w:tr>
      <w:tr>
        <w:tc>
          <w:tcPr>
            <w:tcW w:type="dxa" w:w="1606"/>
          </w:tcPr>
          <w:p>
            <w:pPr>
              <w:spacing w:after="20" w:before="20" w:line="240" w:lineRule="auto"/>
            </w:pPr>
            <w:r/>
            <w:r>
              <w:rPr>
                <w:rFonts w:ascii="Arial" w:hAnsi="Arial" w:cs="Arial"/>
                <w:b w:val="0"/>
                <w:i w:val="0"/>
                <w:sz w:val="17"/>
              </w:rPr>
              <w:t>Inactive</w:t>
            </w:r>
          </w:p>
        </w:tc>
        <w:tc>
          <w:tcPr>
            <w:tcW w:type="dxa" w:w="1606"/>
          </w:tcPr>
          <w:p>
            <w:pPr>
              <w:spacing w:after="20" w:before="20" w:line="240" w:lineRule="auto"/>
            </w:pPr>
            <w:r/>
            <w:r>
              <w:rPr>
                <w:rFonts w:ascii="Arial" w:hAnsi="Arial" w:cs="Arial"/>
                <w:b w:val="0"/>
                <w:i w:val="0"/>
                <w:sz w:val="17"/>
              </w:rPr>
              <w:t>Neutral grey (#F5F5F5)</w:t>
            </w:r>
          </w:p>
        </w:tc>
        <w:tc>
          <w:tcPr>
            <w:tcW w:type="dxa" w:w="1606"/>
          </w:tcPr>
          <w:p>
            <w:pPr>
              <w:spacing w:after="20" w:before="20" w:line="240" w:lineRule="auto"/>
            </w:pPr>
            <w:r/>
            <w:r>
              <w:rPr>
                <w:rFonts w:ascii="Arial" w:hAnsi="Arial" w:cs="Arial"/>
                <w:b w:val="0"/>
                <w:i w:val="0"/>
                <w:sz w:val="17"/>
              </w:rPr>
              <w:t>Dark (#333)</w:t>
            </w:r>
          </w:p>
        </w:tc>
        <w:tc>
          <w:tcPr>
            <w:tcW w:type="dxa" w:w="1606"/>
          </w:tcPr>
          <w:p>
            <w:pPr>
              <w:spacing w:after="20" w:before="20" w:line="240" w:lineRule="auto"/>
            </w:pPr>
            <w:r/>
            <w:r>
              <w:rPr>
                <w:rFonts w:ascii="Arial" w:hAnsi="Arial" w:cs="Arial"/>
                <w:b w:val="0"/>
                <w:i w:val="0"/>
                <w:sz w:val="17"/>
              </w:rPr>
              <w:t>Icon dimmed</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Animations:</w:t>
      </w:r>
    </w:p>
    <w:p>
      <w:pPr>
        <w:spacing w:after="80" w:line="293" w:lineRule="auto"/>
        <w:ind w:left="283"/>
        <w:jc w:val="left"/>
      </w:pPr>
      <w:r>
        <w:rPr>
          <w:rFonts w:ascii="Times New Roman" w:hAnsi="Times New Roman" w:cs="Times New Roman"/>
          <w:b w:val="0"/>
          <w:i w:val="0"/>
          <w:sz w:val="22"/>
        </w:rPr>
        <w:t>- Mode switch transition: the highlight slides smoothly from one segment to the other (300ms ease-in-out).</w:t>
      </w:r>
    </w:p>
    <w:p>
      <w:pPr>
        <w:spacing w:after="80" w:line="293" w:lineRule="auto"/>
        <w:ind w:left="283"/>
        <w:jc w:val="left"/>
      </w:pPr>
      <w:r>
        <w:rPr>
          <w:rFonts w:ascii="Times New Roman" w:hAnsi="Times New Roman" w:cs="Times New Roman"/>
          <w:b w:val="0"/>
          <w:i w:val="0"/>
          <w:sz w:val="22"/>
        </w:rPr>
        <w:t>- Hover effect: slight lift and shadow on the toggle container.</w:t>
      </w:r>
    </w:p>
    <w:p>
      <w:pPr>
        <w:spacing w:after="80" w:line="293" w:lineRule="auto"/>
        <w:ind w:left="283"/>
        <w:jc w:val="left"/>
      </w:pPr>
      <w:r>
        <w:rPr>
          <w:rFonts w:ascii="Times New Roman" w:hAnsi="Times New Roman" w:cs="Times New Roman"/>
          <w:b w:val="0"/>
          <w:i w:val="0"/>
          <w:sz w:val="22"/>
        </w:rPr>
        <w:t>- Active mode pulse: a subtle pulsing border around the active segment for 5 seconds after switching (to reinforce the change).</w:t>
      </w:r>
    </w:p>
    <w:p>
      <w:pPr>
        <w:spacing w:after="80" w:line="293" w:lineRule="auto"/>
        <w:jc w:val="left"/>
      </w:pPr>
      <w:r>
        <w:rPr>
          <w:rFonts w:ascii="Times New Roman" w:hAnsi="Times New Roman" w:cs="Times New Roman"/>
          <w:b w:val="0"/>
          <w:i w:val="0"/>
          <w:sz w:val="22"/>
        </w:rPr>
        <w:t>Accessibility considerations:</w:t>
      </w:r>
    </w:p>
    <w:p>
      <w:pPr>
        <w:spacing w:after="80" w:line="293" w:lineRule="auto"/>
        <w:ind w:left="283"/>
        <w:jc w:val="left"/>
      </w:pPr>
      <w:r>
        <w:rPr>
          <w:rFonts w:ascii="Times New Roman" w:hAnsi="Times New Roman" w:cs="Times New Roman"/>
          <w:b w:val="0"/>
          <w:i w:val="0"/>
          <w:sz w:val="22"/>
        </w:rPr>
        <w:t>- Colour is not the sole indicator — the icon, text, and avatar badge all change.</w:t>
      </w:r>
    </w:p>
    <w:p>
      <w:pPr>
        <w:spacing w:after="80" w:line="293" w:lineRule="auto"/>
        <w:ind w:left="283"/>
        <w:jc w:val="left"/>
      </w:pPr>
      <w:r>
        <w:rPr>
          <w:rFonts w:ascii="Times New Roman" w:hAnsi="Times New Roman" w:cs="Times New Roman"/>
          <w:b w:val="0"/>
          <w:i w:val="0"/>
          <w:sz w:val="22"/>
        </w:rPr>
        <w:t>- Minimum contrast ratio of 4.5:1 for all text.</w:t>
      </w:r>
    </w:p>
    <w:p>
      <w:pPr>
        <w:spacing w:after="80" w:line="293" w:lineRule="auto"/>
        <w:ind w:left="283"/>
        <w:jc w:val="left"/>
      </w:pPr>
      <w:r>
        <w:rPr>
          <w:rFonts w:ascii="Times New Roman" w:hAnsi="Times New Roman" w:cs="Times New Roman"/>
          <w:b w:val="0"/>
          <w:i w:val="0"/>
          <w:sz w:val="22"/>
        </w:rPr>
        <w:t>- Focus ring (2px solid #000) visible when navigating via keyboard.</w:t>
      </w:r>
    </w:p>
    <w:p>
      <w:pPr>
        <w:spacing w:after="80" w:line="293" w:lineRule="auto"/>
        <w:jc w:val="left"/>
      </w:pPr>
      <w:r>
        <w:rPr>
          <w:rFonts w:ascii="Times New Roman" w:hAnsi="Times New Roman" w:cs="Times New Roman"/>
          <w:b w:val="0"/>
          <w:i w:val="0"/>
          <w:sz w:val="22"/>
        </w:rPr>
        <w:t>Example — Buyer Mode: `[ BUYER (Blue, active) | SELLER (Grey) ]`</w:t>
      </w:r>
    </w:p>
    <w:p>
      <w:pPr>
        <w:spacing w:after="80" w:line="293" w:lineRule="auto"/>
        <w:jc w:val="left"/>
      </w:pPr>
      <w:r>
        <w:rPr>
          <w:rFonts w:ascii="Times New Roman" w:hAnsi="Times New Roman" w:cs="Times New Roman"/>
          <w:b w:val="0"/>
          <w:i w:val="0"/>
          <w:sz w:val="22"/>
        </w:rPr>
        <w:t>Example — Seller Mode: `[ BUYER (Grey) | SELLER (Green, active) ]`</w:t>
      </w:r>
    </w:p>
    <w:p>
      <w:pPr>
        <w:keepNext/>
        <w:spacing w:before="140" w:after="60"/>
        <w:outlineLvl w:val="3"/>
      </w:pPr>
      <w:r>
        <w:rPr>
          <w:rFonts w:ascii="Arial" w:hAnsi="Arial" w:cs="Arial"/>
          <w:b/>
          <w:i/>
          <w:color w:val="333333"/>
          <w:sz w:val="22"/>
        </w:rPr>
        <w:t>4.6.3.3 Persistent Mode Indicators</w:t>
      </w:r>
    </w:p>
    <w:p>
      <w:pPr>
        <w:spacing w:after="80" w:line="293" w:lineRule="auto"/>
        <w:jc w:val="left"/>
      </w:pPr>
      <w:r>
        <w:rPr>
          <w:rFonts w:ascii="Times New Roman" w:hAnsi="Times New Roman" w:cs="Times New Roman"/>
          <w:b w:val="0"/>
          <w:i w:val="0"/>
          <w:sz w:val="22"/>
        </w:rPr>
        <w:t>Beyond the toggle itself, the active mode is reinforced across the portal:</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Location</w:t>
            </w:r>
          </w:p>
        </w:tc>
        <w:tc>
          <w:tcPr>
            <w:tcW w:type="dxa" w:w="3213"/>
            <w:shd w:val="clear" w:fill="D9E2F3"/>
          </w:tcPr>
          <w:p>
            <w:pPr>
              <w:spacing w:after="20" w:before="20" w:line="240" w:lineRule="auto"/>
            </w:pPr>
            <w:r/>
            <w:r>
              <w:rPr>
                <w:rFonts w:ascii="Arial" w:hAnsi="Arial" w:cs="Arial"/>
                <w:b/>
                <w:i w:val="0"/>
                <w:sz w:val="18"/>
              </w:rPr>
              <w:t>Buyer Mode</w:t>
            </w:r>
          </w:p>
        </w:tc>
        <w:tc>
          <w:tcPr>
            <w:tcW w:type="dxa" w:w="3213"/>
            <w:shd w:val="clear" w:fill="D9E2F3"/>
          </w:tcPr>
          <w:p>
            <w:pPr>
              <w:spacing w:after="20" w:before="20" w:line="240" w:lineRule="auto"/>
            </w:pPr>
            <w:r/>
            <w:r>
              <w:rPr>
                <w:rFonts w:ascii="Arial" w:hAnsi="Arial" w:cs="Arial"/>
                <w:b/>
                <w:i w:val="0"/>
                <w:sz w:val="18"/>
              </w:rPr>
              <w:t>Seller Mode</w:t>
            </w:r>
          </w:p>
        </w:tc>
      </w:tr>
      <w:tr>
        <w:tc>
          <w:tcPr>
            <w:tcW w:type="dxa" w:w="3213"/>
          </w:tcPr>
          <w:p>
            <w:pPr>
              <w:spacing w:after="20" w:before="20" w:line="240" w:lineRule="auto"/>
            </w:pPr>
            <w:r/>
            <w:r>
              <w:rPr>
                <w:rFonts w:ascii="Arial" w:hAnsi="Arial" w:cs="Arial"/>
                <w:b w:val="0"/>
                <w:i w:val="0"/>
                <w:sz w:val="17"/>
              </w:rPr>
              <w:t>Browser tab title</w:t>
            </w:r>
          </w:p>
        </w:tc>
        <w:tc>
          <w:tcPr>
            <w:tcW w:type="dxa" w:w="3213"/>
          </w:tcPr>
          <w:p>
            <w:pPr>
              <w:spacing w:after="20" w:before="20" w:line="240" w:lineRule="auto"/>
            </w:pPr>
            <w:r/>
            <w:r>
              <w:rPr>
                <w:rFonts w:ascii="Arial" w:hAnsi="Arial" w:cs="Arial"/>
                <w:b w:val="0"/>
                <w:i w:val="0"/>
                <w:sz w:val="17"/>
              </w:rPr>
              <w:t>(Buyer) SGTX — Trade Portal</w:t>
            </w:r>
          </w:p>
        </w:tc>
        <w:tc>
          <w:tcPr>
            <w:tcW w:type="dxa" w:w="3213"/>
          </w:tcPr>
          <w:p>
            <w:pPr>
              <w:spacing w:after="20" w:before="20" w:line="240" w:lineRule="auto"/>
            </w:pPr>
            <w:r/>
            <w:r>
              <w:rPr>
                <w:rFonts w:ascii="Arial" w:hAnsi="Arial" w:cs="Arial"/>
                <w:b w:val="0"/>
                <w:i w:val="0"/>
                <w:sz w:val="17"/>
              </w:rPr>
              <w:t>(Seller) SGTX — Trade Portal</w:t>
            </w:r>
          </w:p>
        </w:tc>
      </w:tr>
      <w:tr>
        <w:tc>
          <w:tcPr>
            <w:tcW w:type="dxa" w:w="3213"/>
          </w:tcPr>
          <w:p>
            <w:pPr>
              <w:spacing w:after="20" w:before="20" w:line="240" w:lineRule="auto"/>
            </w:pPr>
            <w:r/>
            <w:r>
              <w:rPr>
                <w:rFonts w:ascii="Arial" w:hAnsi="Arial" w:cs="Arial"/>
                <w:b w:val="0"/>
                <w:i w:val="0"/>
                <w:sz w:val="17"/>
              </w:rPr>
              <w:t>Avatar badge</w:t>
            </w:r>
          </w:p>
        </w:tc>
        <w:tc>
          <w:tcPr>
            <w:tcW w:type="dxa" w:w="3213"/>
          </w:tcPr>
          <w:p>
            <w:pPr>
              <w:spacing w:after="20" w:before="20" w:line="240" w:lineRule="auto"/>
            </w:pPr>
            <w:r/>
            <w:r>
              <w:rPr>
                <w:rFonts w:ascii="Arial" w:hAnsi="Arial" w:cs="Arial"/>
                <w:b w:val="0"/>
                <w:i w:val="0"/>
                <w:sz w:val="17"/>
              </w:rPr>
              <w:t>"Ahmed (Buyer)"</w:t>
            </w:r>
          </w:p>
        </w:tc>
        <w:tc>
          <w:tcPr>
            <w:tcW w:type="dxa" w:w="3213"/>
          </w:tcPr>
          <w:p>
            <w:pPr>
              <w:spacing w:after="20" w:before="20" w:line="240" w:lineRule="auto"/>
            </w:pPr>
            <w:r/>
            <w:r>
              <w:rPr>
                <w:rFonts w:ascii="Arial" w:hAnsi="Arial" w:cs="Arial"/>
                <w:b w:val="0"/>
                <w:i w:val="0"/>
                <w:sz w:val="17"/>
              </w:rPr>
              <w:t>"Ahmed (Seller)"</w:t>
            </w:r>
          </w:p>
        </w:tc>
      </w:tr>
      <w:tr>
        <w:tc>
          <w:tcPr>
            <w:tcW w:type="dxa" w:w="3213"/>
          </w:tcPr>
          <w:p>
            <w:pPr>
              <w:spacing w:after="20" w:before="20" w:line="240" w:lineRule="auto"/>
            </w:pPr>
            <w:r/>
            <w:r>
              <w:rPr>
                <w:rFonts w:ascii="Arial" w:hAnsi="Arial" w:cs="Arial"/>
                <w:b w:val="0"/>
                <w:i w:val="0"/>
                <w:sz w:val="17"/>
              </w:rPr>
              <w:t>Sidebar</w:t>
            </w:r>
          </w:p>
        </w:tc>
        <w:tc>
          <w:tcPr>
            <w:tcW w:type="dxa" w:w="3213"/>
          </w:tcPr>
          <w:p>
            <w:pPr>
              <w:spacing w:after="20" w:before="20" w:line="240" w:lineRule="auto"/>
            </w:pPr>
            <w:r/>
            <w:r>
              <w:rPr>
                <w:rFonts w:ascii="Arial" w:hAnsi="Arial" w:cs="Arial"/>
                <w:b w:val="0"/>
                <w:i w:val="0"/>
                <w:sz w:val="17"/>
              </w:rPr>
              <w:t>Buyer-specific tabs (New Trade Request, Quote Review, Customs Readiness)</w:t>
            </w:r>
          </w:p>
        </w:tc>
        <w:tc>
          <w:tcPr>
            <w:tcW w:type="dxa" w:w="3213"/>
          </w:tcPr>
          <w:p>
            <w:pPr>
              <w:spacing w:after="20" w:before="20" w:line="240" w:lineRule="auto"/>
            </w:pPr>
            <w:r/>
            <w:r>
              <w:rPr>
                <w:rFonts w:ascii="Arial" w:hAnsi="Arial" w:cs="Arial"/>
                <w:b w:val="0"/>
                <w:i w:val="0"/>
                <w:sz w:val="17"/>
              </w:rPr>
              <w:t>Seller-specific tabs (Pending Requests, EXW Price Lock, Logistics Builder)</w:t>
            </w:r>
          </w:p>
        </w:tc>
      </w:tr>
      <w:tr>
        <w:tc>
          <w:tcPr>
            <w:tcW w:type="dxa" w:w="3213"/>
          </w:tcPr>
          <w:p>
            <w:pPr>
              <w:spacing w:after="20" w:before="20" w:line="240" w:lineRule="auto"/>
            </w:pPr>
            <w:r/>
            <w:r>
              <w:rPr>
                <w:rFonts w:ascii="Arial" w:hAnsi="Arial" w:cs="Arial"/>
                <w:b w:val="0"/>
                <w:i w:val="0"/>
                <w:sz w:val="17"/>
              </w:rPr>
              <w:t>Smart Inbox</w:t>
            </w:r>
          </w:p>
        </w:tc>
        <w:tc>
          <w:tcPr>
            <w:tcW w:type="dxa" w:w="3213"/>
          </w:tcPr>
          <w:p>
            <w:pPr>
              <w:spacing w:after="20" w:before="20" w:line="240" w:lineRule="auto"/>
            </w:pPr>
            <w:r/>
            <w:r>
              <w:rPr>
                <w:rFonts w:ascii="Arial" w:hAnsi="Arial" w:cs="Arial"/>
                <w:b w:val="0"/>
                <w:i w:val="0"/>
                <w:sz w:val="17"/>
              </w:rPr>
              <w:t>Items filtered to buyer obligations</w:t>
            </w:r>
          </w:p>
        </w:tc>
        <w:tc>
          <w:tcPr>
            <w:tcW w:type="dxa" w:w="3213"/>
          </w:tcPr>
          <w:p>
            <w:pPr>
              <w:spacing w:after="20" w:before="20" w:line="240" w:lineRule="auto"/>
            </w:pPr>
            <w:r/>
            <w:r>
              <w:rPr>
                <w:rFonts w:ascii="Arial" w:hAnsi="Arial" w:cs="Arial"/>
                <w:b w:val="0"/>
                <w:i w:val="0"/>
                <w:sz w:val="17"/>
              </w:rPr>
              <w:t>Items filtered to seller obligations</w:t>
            </w:r>
          </w:p>
        </w:tc>
      </w:tr>
      <w:tr>
        <w:tc>
          <w:tcPr>
            <w:tcW w:type="dxa" w:w="3213"/>
          </w:tcPr>
          <w:p>
            <w:pPr>
              <w:spacing w:after="20" w:before="20" w:line="240" w:lineRule="auto"/>
            </w:pPr>
            <w:r/>
            <w:r>
              <w:rPr>
                <w:rFonts w:ascii="Arial" w:hAnsi="Arial" w:cs="Arial"/>
                <w:b w:val="0"/>
                <w:i w:val="0"/>
                <w:sz w:val="17"/>
              </w:rPr>
              <w:t>Shipments Vault</w:t>
            </w:r>
          </w:p>
        </w:tc>
        <w:tc>
          <w:tcPr>
            <w:tcW w:type="dxa" w:w="3213"/>
          </w:tcPr>
          <w:p>
            <w:pPr>
              <w:spacing w:after="20" w:before="20" w:line="240" w:lineRule="auto"/>
            </w:pPr>
            <w:r/>
            <w:r>
              <w:rPr>
                <w:rFonts w:ascii="Arial" w:hAnsi="Arial" w:cs="Arial"/>
                <w:b w:val="0"/>
                <w:i w:val="0"/>
                <w:sz w:val="17"/>
              </w:rPr>
              <w:t>Inbound columns (Seller Name, Customs Readiness)</w:t>
            </w:r>
          </w:p>
        </w:tc>
        <w:tc>
          <w:tcPr>
            <w:tcW w:type="dxa" w:w="3213"/>
          </w:tcPr>
          <w:p>
            <w:pPr>
              <w:spacing w:after="20" w:before="20" w:line="240" w:lineRule="auto"/>
            </w:pPr>
            <w:r/>
            <w:r>
              <w:rPr>
                <w:rFonts w:ascii="Arial" w:hAnsi="Arial" w:cs="Arial"/>
                <w:b w:val="0"/>
                <w:i w:val="0"/>
                <w:sz w:val="17"/>
              </w:rPr>
              <w:t>Outbound columns (Buyer Name, Estimated Margin)</w:t>
            </w:r>
          </w:p>
        </w:tc>
      </w:tr>
      <w:tr>
        <w:tc>
          <w:tcPr>
            <w:tcW w:type="dxa" w:w="3213"/>
          </w:tcPr>
          <w:p>
            <w:pPr>
              <w:spacing w:after="20" w:before="20" w:line="240" w:lineRule="auto"/>
            </w:pPr>
            <w:r/>
            <w:r>
              <w:rPr>
                <w:rFonts w:ascii="Arial" w:hAnsi="Arial" w:cs="Arial"/>
                <w:b w:val="0"/>
                <w:i w:val="0"/>
                <w:sz w:val="17"/>
              </w:rPr>
              <w:t>Trade Command Center</w:t>
            </w:r>
          </w:p>
        </w:tc>
        <w:tc>
          <w:tcPr>
            <w:tcW w:type="dxa" w:w="3213"/>
          </w:tcPr>
          <w:p>
            <w:pPr>
              <w:spacing w:after="20" w:before="20" w:line="240" w:lineRule="auto"/>
            </w:pPr>
            <w:r/>
            <w:r>
              <w:rPr>
                <w:rFonts w:ascii="Arial" w:hAnsi="Arial" w:cs="Arial"/>
                <w:b w:val="0"/>
                <w:i w:val="0"/>
                <w:sz w:val="17"/>
              </w:rPr>
              <w:t>Buyer-facing financial card (total payable, no margin)</w:t>
            </w:r>
          </w:p>
        </w:tc>
        <w:tc>
          <w:tcPr>
            <w:tcW w:type="dxa" w:w="3213"/>
          </w:tcPr>
          <w:p>
            <w:pPr>
              <w:spacing w:after="20" w:before="20" w:line="240" w:lineRule="auto"/>
            </w:pPr>
            <w:r/>
            <w:r>
              <w:rPr>
                <w:rFonts w:ascii="Arial" w:hAnsi="Arial" w:cs="Arial"/>
                <w:b w:val="0"/>
                <w:i w:val="0"/>
                <w:sz w:val="17"/>
              </w:rPr>
              <w:t>Seller-facing financial card (cost breakdown, margin)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4.6.4 Behaviour on Toggle</w:t>
      </w:r>
    </w:p>
    <w:p>
      <w:pPr>
        <w:keepNext/>
        <w:spacing w:before="140" w:after="60"/>
        <w:outlineLvl w:val="3"/>
      </w:pPr>
      <w:r>
        <w:rPr>
          <w:rFonts w:ascii="Arial" w:hAnsi="Arial" w:cs="Arial"/>
          <w:b/>
          <w:i/>
          <w:color w:val="333333"/>
          <w:sz w:val="22"/>
        </w:rPr>
        <w:t>4.6.4.1 Step-by-Step Sequence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Step</w:t>
            </w:r>
          </w:p>
        </w:tc>
        <w:tc>
          <w:tcPr>
            <w:tcW w:type="dxa" w:w="2409"/>
            <w:shd w:val="clear" w:fill="D9E2F3"/>
          </w:tcPr>
          <w:p>
            <w:pPr>
              <w:spacing w:after="20" w:before="20" w:line="240" w:lineRule="auto"/>
            </w:pPr>
            <w:r/>
            <w:r>
              <w:rPr>
                <w:rFonts w:ascii="Arial" w:hAnsi="Arial" w:cs="Arial"/>
                <w:b/>
                <w:i w:val="0"/>
                <w:sz w:val="18"/>
              </w:rPr>
              <w:t>Actor</w:t>
            </w:r>
          </w:p>
        </w:tc>
        <w:tc>
          <w:tcPr>
            <w:tcW w:type="dxa" w:w="2409"/>
            <w:shd w:val="clear" w:fill="D9E2F3"/>
          </w:tcPr>
          <w:p>
            <w:pPr>
              <w:spacing w:after="20" w:before="20" w:line="240" w:lineRule="auto"/>
            </w:pPr>
            <w:r/>
            <w:r>
              <w:rPr>
                <w:rFonts w:ascii="Arial" w:hAnsi="Arial" w:cs="Arial"/>
                <w:b/>
                <w:i w:val="0"/>
                <w:sz w:val="18"/>
              </w:rPr>
              <w:t>Action</w:t>
            </w:r>
          </w:p>
        </w:tc>
        <w:tc>
          <w:tcPr>
            <w:tcW w:type="dxa" w:w="2409"/>
            <w:shd w:val="clear" w:fill="D9E2F3"/>
          </w:tcPr>
          <w:p>
            <w:pPr>
              <w:spacing w:after="20" w:before="20" w:line="240" w:lineRule="auto"/>
            </w:pPr>
            <w:r/>
            <w:r>
              <w:rPr>
                <w:rFonts w:ascii="Arial" w:hAnsi="Arial" w:cs="Arial"/>
                <w:b/>
                <w:i w:val="0"/>
                <w:sz w:val="18"/>
              </w:rPr>
              <w:t>System Response</w:t>
            </w:r>
          </w:p>
        </w:tc>
      </w:tr>
      <w:tr>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User</w:t>
            </w:r>
          </w:p>
        </w:tc>
        <w:tc>
          <w:tcPr>
            <w:tcW w:type="dxa" w:w="2409"/>
          </w:tcPr>
          <w:p>
            <w:pPr>
              <w:spacing w:after="20" w:before="20" w:line="240" w:lineRule="auto"/>
            </w:pPr>
            <w:r/>
            <w:r>
              <w:rPr>
                <w:rFonts w:ascii="Arial" w:hAnsi="Arial" w:cs="Arial"/>
                <w:b w:val="0"/>
                <w:i w:val="0"/>
                <w:sz w:val="17"/>
              </w:rPr>
              <w:t>Clicks the inactive segment (e.g., switches from Buyer to Seller)</w:t>
            </w:r>
          </w:p>
        </w:tc>
        <w:tc>
          <w:tcPr>
            <w:tcW w:type="dxa" w:w="2409"/>
          </w:tcPr>
          <w:p>
            <w:pPr>
              <w:spacing w:after="20" w:before="20" w:line="240" w:lineRule="auto"/>
            </w:pPr>
            <w:r/>
            <w:r>
              <w:rPr>
                <w:rFonts w:ascii="Arial" w:hAnsi="Arial" w:cs="Arial"/>
                <w:b w:val="0"/>
                <w:i w:val="0"/>
                <w:sz w:val="17"/>
              </w:rPr>
              <w:t>Frontend captures click event</w:t>
            </w:r>
          </w:p>
        </w:tc>
      </w:tr>
      <w:tr>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Frontend</w:t>
            </w:r>
          </w:p>
        </w:tc>
        <w:tc>
          <w:tcPr>
            <w:tcW w:type="dxa" w:w="2409"/>
          </w:tcPr>
          <w:p>
            <w:pPr>
              <w:spacing w:after="20" w:before="20" w:line="240" w:lineRule="auto"/>
            </w:pPr>
            <w:r/>
            <w:r>
              <w:rPr>
                <w:rFonts w:ascii="Arial" w:hAnsi="Arial" w:cs="Arial"/>
                <w:b w:val="0"/>
                <w:i w:val="0"/>
                <w:sz w:val="17"/>
              </w:rPr>
              <w:t>Calls POST /v1/employee/switch-context with {"active_trader_mode_context": "SELL"}</w:t>
            </w:r>
          </w:p>
        </w:tc>
        <w:tc>
          <w:tcPr>
            <w:tcW w:type="dxa" w:w="2409"/>
          </w:tcPr>
          <w:p>
            <w:pPr>
              <w:spacing w:after="20" w:before="20" w:line="240" w:lineRule="auto"/>
            </w:pPr>
            <w:r/>
            <w:r>
              <w:rPr>
                <w:rFonts w:ascii="Arial" w:hAnsi="Arial" w:cs="Arial"/>
                <w:b w:val="0"/>
                <w:i w:val="0"/>
                <w:sz w:val="17"/>
              </w:rPr>
              <w:t>Identity service validates request</w:t>
            </w:r>
          </w:p>
        </w:tc>
      </w:tr>
      <w:tr>
        <w:tc>
          <w:tcPr>
            <w:tcW w:type="dxa" w:w="2409"/>
          </w:tcPr>
          <w:p>
            <w:pPr>
              <w:spacing w:after="20" w:before="20" w:line="240" w:lineRule="auto"/>
            </w:pPr>
            <w:r/>
            <w:r>
              <w:rPr>
                <w:rFonts w:ascii="Arial" w:hAnsi="Arial" w:cs="Arial"/>
                <w:b w:val="0"/>
                <w:i w:val="0"/>
                <w:sz w:val="17"/>
              </w:rPr>
              <w:t>3</w:t>
            </w:r>
          </w:p>
        </w:tc>
        <w:tc>
          <w:tcPr>
            <w:tcW w:type="dxa" w:w="2409"/>
          </w:tcPr>
          <w:p>
            <w:pPr>
              <w:spacing w:after="20" w:before="20" w:line="240" w:lineRule="auto"/>
            </w:pPr>
            <w:r/>
            <w:r>
              <w:rPr>
                <w:rFonts w:ascii="Arial" w:hAnsi="Arial" w:cs="Arial"/>
                <w:b w:val="0"/>
                <w:i w:val="0"/>
                <w:sz w:val="17"/>
              </w:rPr>
              <w:t>Identity service</w:t>
            </w:r>
          </w:p>
        </w:tc>
        <w:tc>
          <w:tcPr>
            <w:tcW w:type="dxa" w:w="2409"/>
          </w:tcPr>
          <w:p>
            <w:pPr>
              <w:spacing w:after="20" w:before="20" w:line="240" w:lineRule="auto"/>
            </w:pPr>
            <w:r/>
            <w:r>
              <w:rPr>
                <w:rFonts w:ascii="Arial" w:hAnsi="Arial" w:cs="Arial"/>
                <w:b w:val="0"/>
                <w:i w:val="0"/>
                <w:sz w:val="17"/>
              </w:rPr>
              <w:t>Updates session and issues new JWT with updated active_trader_mode_context claim</w:t>
            </w:r>
          </w:p>
        </w:tc>
        <w:tc>
          <w:tcPr>
            <w:tcW w:type="dxa" w:w="2409"/>
          </w:tcPr>
          <w:p>
            <w:pPr>
              <w:spacing w:after="20" w:before="20" w:line="240" w:lineRule="auto"/>
            </w:pPr>
            <w:r/>
            <w:r>
              <w:rPr>
                <w:rFonts w:ascii="Arial" w:hAnsi="Arial" w:cs="Arial"/>
                <w:b w:val="0"/>
                <w:i w:val="0"/>
                <w:sz w:val="17"/>
              </w:rPr>
              <w:t>Returns new JWT to frontend</w:t>
            </w:r>
          </w:p>
        </w:tc>
      </w:tr>
      <w:tr>
        <w:tc>
          <w:tcPr>
            <w:tcW w:type="dxa" w:w="2409"/>
          </w:tcPr>
          <w:p>
            <w:pPr>
              <w:spacing w:after="20" w:before="20" w:line="240" w:lineRule="auto"/>
            </w:pPr>
            <w:r/>
            <w:r>
              <w:rPr>
                <w:rFonts w:ascii="Arial" w:hAnsi="Arial" w:cs="Arial"/>
                <w:b w:val="0"/>
                <w:i w:val="0"/>
                <w:sz w:val="17"/>
              </w:rPr>
              <w:t>4</w:t>
            </w:r>
          </w:p>
        </w:tc>
        <w:tc>
          <w:tcPr>
            <w:tcW w:type="dxa" w:w="2409"/>
          </w:tcPr>
          <w:p>
            <w:pPr>
              <w:spacing w:after="20" w:before="20" w:line="240" w:lineRule="auto"/>
            </w:pPr>
            <w:r/>
            <w:r>
              <w:rPr>
                <w:rFonts w:ascii="Arial" w:hAnsi="Arial" w:cs="Arial"/>
                <w:b w:val="0"/>
                <w:i w:val="0"/>
                <w:sz w:val="17"/>
              </w:rPr>
              <w:t>Frontend</w:t>
            </w:r>
          </w:p>
        </w:tc>
        <w:tc>
          <w:tcPr>
            <w:tcW w:type="dxa" w:w="2409"/>
          </w:tcPr>
          <w:p>
            <w:pPr>
              <w:spacing w:after="20" w:before="20" w:line="240" w:lineRule="auto"/>
            </w:pPr>
            <w:r/>
            <w:r>
              <w:rPr>
                <w:rFonts w:ascii="Arial" w:hAnsi="Arial" w:cs="Arial"/>
                <w:b w:val="0"/>
                <w:i w:val="0"/>
                <w:sz w:val="17"/>
              </w:rPr>
              <w:t>Stores new JWT, sets it in subsequent API requests</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5</w:t>
            </w:r>
          </w:p>
        </w:tc>
        <w:tc>
          <w:tcPr>
            <w:tcW w:type="dxa" w:w="2409"/>
          </w:tcPr>
          <w:p>
            <w:pPr>
              <w:spacing w:after="20" w:before="20" w:line="240" w:lineRule="auto"/>
            </w:pPr>
            <w:r/>
            <w:r>
              <w:rPr>
                <w:rFonts w:ascii="Arial" w:hAnsi="Arial" w:cs="Arial"/>
                <w:b w:val="0"/>
                <w:i w:val="0"/>
                <w:sz w:val="17"/>
              </w:rPr>
              <w:t>Frontend</w:t>
            </w:r>
          </w:p>
        </w:tc>
        <w:tc>
          <w:tcPr>
            <w:tcW w:type="dxa" w:w="2409"/>
          </w:tcPr>
          <w:p>
            <w:pPr>
              <w:spacing w:after="20" w:before="20" w:line="240" w:lineRule="auto"/>
            </w:pPr>
            <w:r/>
            <w:r>
              <w:rPr>
                <w:rFonts w:ascii="Arial" w:hAnsi="Arial" w:cs="Arial"/>
                <w:b w:val="0"/>
                <w:i w:val="0"/>
                <w:sz w:val="17"/>
              </w:rPr>
              <w:t>Performs a soft reload — no full page refresh; all data-fetching hooks re-execute</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6</w:t>
            </w:r>
          </w:p>
        </w:tc>
        <w:tc>
          <w:tcPr>
            <w:tcW w:type="dxa" w:w="2409"/>
          </w:tcPr>
          <w:p>
            <w:pPr>
              <w:spacing w:after="20" w:before="20" w:line="240" w:lineRule="auto"/>
            </w:pPr>
            <w:r/>
            <w:r>
              <w:rPr>
                <w:rFonts w:ascii="Arial" w:hAnsi="Arial" w:cs="Arial"/>
                <w:b w:val="0"/>
                <w:i w:val="0"/>
                <w:sz w:val="17"/>
              </w:rPr>
              <w:t>Frontend</w:t>
            </w:r>
          </w:p>
        </w:tc>
        <w:tc>
          <w:tcPr>
            <w:tcW w:type="dxa" w:w="2409"/>
          </w:tcPr>
          <w:p>
            <w:pPr>
              <w:spacing w:after="20" w:before="20" w:line="240" w:lineRule="auto"/>
            </w:pPr>
            <w:r/>
            <w:r>
              <w:rPr>
                <w:rFonts w:ascii="Arial" w:hAnsi="Arial" w:cs="Arial"/>
                <w:b w:val="0"/>
                <w:i w:val="0"/>
                <w:sz w:val="17"/>
              </w:rPr>
              <w:t>Updates UI elements: toggle highlight, avatar badge, browser tab title, sidebar, Smart Inbox, Shipments Vault, etc.</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7</w:t>
            </w:r>
          </w:p>
        </w:tc>
        <w:tc>
          <w:tcPr>
            <w:tcW w:type="dxa" w:w="2409"/>
          </w:tcPr>
          <w:p>
            <w:pPr>
              <w:spacing w:after="20" w:before="20" w:line="240" w:lineRule="auto"/>
            </w:pPr>
            <w:r/>
            <w:r>
              <w:rPr>
                <w:rFonts w:ascii="Arial" w:hAnsi="Arial" w:cs="Arial"/>
                <w:b w:val="0"/>
                <w:i w:val="0"/>
                <w:sz w:val="17"/>
              </w:rPr>
              <w:t>Frontend</w:t>
            </w:r>
          </w:p>
        </w:tc>
        <w:tc>
          <w:tcPr>
            <w:tcW w:type="dxa" w:w="2409"/>
          </w:tcPr>
          <w:p>
            <w:pPr>
              <w:spacing w:after="20" w:before="20" w:line="240" w:lineRule="auto"/>
            </w:pPr>
            <w:r/>
            <w:r>
              <w:rPr>
                <w:rFonts w:ascii="Arial" w:hAnsi="Arial" w:cs="Arial"/>
                <w:b w:val="0"/>
                <w:i w:val="0"/>
                <w:sz w:val="17"/>
              </w:rPr>
              <w:t>Announces mode change to screen readers: "Switched to Seller mode"</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8</w:t>
            </w:r>
          </w:p>
        </w:tc>
        <w:tc>
          <w:tcPr>
            <w:tcW w:type="dxa" w:w="2409"/>
          </w:tcPr>
          <w:p>
            <w:pPr>
              <w:spacing w:after="20" w:before="20" w:line="240" w:lineRule="auto"/>
            </w:pPr>
            <w:r/>
            <w:r>
              <w:rPr>
                <w:rFonts w:ascii="Arial" w:hAnsi="Arial" w:cs="Arial"/>
                <w:b w:val="0"/>
                <w:i w:val="0"/>
                <w:sz w:val="17"/>
              </w:rPr>
              <w:t>Frontend</w:t>
            </w:r>
          </w:p>
        </w:tc>
        <w:tc>
          <w:tcPr>
            <w:tcW w:type="dxa" w:w="2409"/>
          </w:tcPr>
          <w:p>
            <w:pPr>
              <w:spacing w:after="20" w:before="20" w:line="240" w:lineRule="auto"/>
            </w:pPr>
            <w:r/>
            <w:r>
              <w:rPr>
                <w:rFonts w:ascii="Arial" w:hAnsi="Arial" w:cs="Arial"/>
                <w:b w:val="0"/>
                <w:i w:val="0"/>
                <w:sz w:val="17"/>
              </w:rPr>
              <w:t>If voice command initiated, plays a short confirmation tone (optional)</w:t>
            </w:r>
          </w:p>
        </w:tc>
        <w:tc>
          <w:tcPr>
            <w:tcW w:type="dxa" w:w="2409"/>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Total time: ~300–500ms (network + rendering). No visual flash or full-page refresh.</w:t>
      </w:r>
    </w:p>
    <w:p>
      <w:pPr>
        <w:keepNext/>
        <w:spacing w:before="140" w:after="60"/>
        <w:outlineLvl w:val="3"/>
      </w:pPr>
      <w:r>
        <w:rPr>
          <w:rFonts w:ascii="Arial" w:hAnsi="Arial" w:cs="Arial"/>
          <w:b/>
          <w:i/>
          <w:color w:val="333333"/>
          <w:sz w:val="22"/>
        </w:rPr>
        <w:t>4.6.4.2 What Changes on Toggle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Buyer Mode</w:t>
            </w:r>
          </w:p>
        </w:tc>
        <w:tc>
          <w:tcPr>
            <w:tcW w:type="dxa" w:w="3213"/>
            <w:shd w:val="clear" w:fill="D9E2F3"/>
          </w:tcPr>
          <w:p>
            <w:pPr>
              <w:spacing w:after="20" w:before="20" w:line="240" w:lineRule="auto"/>
            </w:pPr>
            <w:r/>
            <w:r>
              <w:rPr>
                <w:rFonts w:ascii="Arial" w:hAnsi="Arial" w:cs="Arial"/>
                <w:b/>
                <w:i w:val="0"/>
                <w:sz w:val="18"/>
              </w:rPr>
              <w:t>Seller Mode</w:t>
            </w:r>
          </w:p>
        </w:tc>
      </w:tr>
      <w:tr>
        <w:tc>
          <w:tcPr>
            <w:tcW w:type="dxa" w:w="3213"/>
          </w:tcPr>
          <w:p>
            <w:pPr>
              <w:spacing w:after="20" w:before="20" w:line="240" w:lineRule="auto"/>
            </w:pPr>
            <w:r/>
            <w:r>
              <w:rPr>
                <w:rFonts w:ascii="Arial" w:hAnsi="Arial" w:cs="Arial"/>
                <w:b w:val="0"/>
                <w:i w:val="0"/>
                <w:sz w:val="17"/>
              </w:rPr>
              <w:t>Smart Inbox</w:t>
            </w:r>
          </w:p>
        </w:tc>
        <w:tc>
          <w:tcPr>
            <w:tcW w:type="dxa" w:w="3213"/>
          </w:tcPr>
          <w:p>
            <w:pPr>
              <w:spacing w:after="20" w:before="20" w:line="240" w:lineRule="auto"/>
            </w:pPr>
            <w:r/>
            <w:r>
              <w:rPr>
                <w:rFonts w:ascii="Arial" w:hAnsi="Arial" w:cs="Arial"/>
                <w:b w:val="0"/>
                <w:i w:val="0"/>
                <w:sz w:val="17"/>
              </w:rPr>
              <w:t>Shows buyer-relevant items: contract signing, customs readiness, counter-offers from sellers, import document requests</w:t>
            </w:r>
          </w:p>
        </w:tc>
        <w:tc>
          <w:tcPr>
            <w:tcW w:type="dxa" w:w="3213"/>
          </w:tcPr>
          <w:p>
            <w:pPr>
              <w:spacing w:after="20" w:before="20" w:line="240" w:lineRule="auto"/>
            </w:pPr>
            <w:r/>
            <w:r>
              <w:rPr>
                <w:rFonts w:ascii="Arial" w:hAnsi="Arial" w:cs="Arial"/>
                <w:b w:val="0"/>
                <w:i w:val="0"/>
                <w:sz w:val="17"/>
              </w:rPr>
              <w:t>Shows seller-relevant items: pending trade requests, EXW deadlines, carrier risk alerts, logistics quote statuses, buyer counter-offers</w:t>
            </w:r>
          </w:p>
        </w:tc>
      </w:tr>
      <w:tr>
        <w:tc>
          <w:tcPr>
            <w:tcW w:type="dxa" w:w="3213"/>
          </w:tcPr>
          <w:p>
            <w:pPr>
              <w:spacing w:after="20" w:before="20" w:line="240" w:lineRule="auto"/>
            </w:pPr>
            <w:r/>
            <w:r>
              <w:rPr>
                <w:rFonts w:ascii="Arial" w:hAnsi="Arial" w:cs="Arial"/>
                <w:b w:val="0"/>
                <w:i w:val="0"/>
                <w:sz w:val="17"/>
              </w:rPr>
              <w:t>Shipments Vault</w:t>
            </w:r>
          </w:p>
        </w:tc>
        <w:tc>
          <w:tcPr>
            <w:tcW w:type="dxa" w:w="3213"/>
          </w:tcPr>
          <w:p>
            <w:pPr>
              <w:spacing w:after="20" w:before="20" w:line="240" w:lineRule="auto"/>
            </w:pPr>
            <w:r/>
            <w:r>
              <w:rPr>
                <w:rFonts w:ascii="Arial" w:hAnsi="Arial" w:cs="Arial"/>
                <w:b w:val="0"/>
                <w:i w:val="0"/>
                <w:sz w:val="17"/>
              </w:rPr>
              <w:t>Inbound shipments only; columns: Seller Name, Customs Readiness, Documents Missing, ETA (priority)</w:t>
            </w:r>
          </w:p>
        </w:tc>
        <w:tc>
          <w:tcPr>
            <w:tcW w:type="dxa" w:w="3213"/>
          </w:tcPr>
          <w:p>
            <w:pPr>
              <w:spacing w:after="20" w:before="20" w:line="240" w:lineRule="auto"/>
            </w:pPr>
            <w:r/>
            <w:r>
              <w:rPr>
                <w:rFonts w:ascii="Arial" w:hAnsi="Arial" w:cs="Arial"/>
                <w:b w:val="0"/>
                <w:i w:val="0"/>
                <w:sz w:val="17"/>
              </w:rPr>
              <w:t>Outbound shipments only; columns: Buyer Name, Estimated Margin, Loading Status, Logistics Quotes Status, ETD (priority)</w:t>
            </w:r>
          </w:p>
        </w:tc>
      </w:tr>
      <w:tr>
        <w:tc>
          <w:tcPr>
            <w:tcW w:type="dxa" w:w="3213"/>
          </w:tcPr>
          <w:p>
            <w:pPr>
              <w:spacing w:after="20" w:before="20" w:line="240" w:lineRule="auto"/>
            </w:pPr>
            <w:r/>
            <w:r>
              <w:rPr>
                <w:rFonts w:ascii="Arial" w:hAnsi="Arial" w:cs="Arial"/>
                <w:b w:val="0"/>
                <w:i w:val="0"/>
                <w:sz w:val="17"/>
              </w:rPr>
              <w:t>Sidebar Navigation</w:t>
            </w:r>
          </w:p>
        </w:tc>
        <w:tc>
          <w:tcPr>
            <w:tcW w:type="dxa" w:w="3213"/>
          </w:tcPr>
          <w:p>
            <w:pPr>
              <w:spacing w:after="20" w:before="20" w:line="240" w:lineRule="auto"/>
            </w:pPr>
            <w:r/>
            <w:r>
              <w:rPr>
                <w:rFonts w:ascii="Arial" w:hAnsi="Arial" w:cs="Arial"/>
                <w:b w:val="0"/>
                <w:i w:val="0"/>
                <w:sz w:val="17"/>
              </w:rPr>
              <w:t>New Trade Request, Quote Review &amp; Negotiation, Contract Signing, Customs Readiness, Distressed Cargo (buyer view), Disputes, Saved Contacts, Financing (borrower), Company Admin</w:t>
            </w:r>
          </w:p>
        </w:tc>
        <w:tc>
          <w:tcPr>
            <w:tcW w:type="dxa" w:w="3213"/>
          </w:tcPr>
          <w:p>
            <w:pPr>
              <w:spacing w:after="20" w:before="20" w:line="240" w:lineRule="auto"/>
            </w:pPr>
            <w:r/>
            <w:r>
              <w:rPr>
                <w:rFonts w:ascii="Arial" w:hAnsi="Arial" w:cs="Arial"/>
                <w:b w:val="0"/>
                <w:i w:val="0"/>
                <w:sz w:val="17"/>
              </w:rPr>
              <w:t>Pending Requests, EXW Price Lock, Containerisation &amp; Packing, Logistics Builder, Quote Submission, QC Booking, Document Finalisation, Barcode Print, Distressed Cargo &amp; Notifications (seller view), Disputes, Saved Contacts, Cash Position, Company Admin</w:t>
            </w:r>
          </w:p>
        </w:tc>
      </w:tr>
      <w:tr>
        <w:tc>
          <w:tcPr>
            <w:tcW w:type="dxa" w:w="3213"/>
          </w:tcPr>
          <w:p>
            <w:pPr>
              <w:spacing w:after="20" w:before="20" w:line="240" w:lineRule="auto"/>
            </w:pPr>
            <w:r/>
            <w:r>
              <w:rPr>
                <w:rFonts w:ascii="Arial" w:hAnsi="Arial" w:cs="Arial"/>
                <w:b w:val="0"/>
                <w:i w:val="0"/>
                <w:sz w:val="17"/>
              </w:rPr>
              <w:t>Trade Command Center</w:t>
            </w:r>
          </w:p>
        </w:tc>
        <w:tc>
          <w:tcPr>
            <w:tcW w:type="dxa" w:w="3213"/>
          </w:tcPr>
          <w:p>
            <w:pPr>
              <w:spacing w:after="20" w:before="20" w:line="240" w:lineRule="auto"/>
            </w:pPr>
            <w:r/>
            <w:r>
              <w:rPr>
                <w:rFonts w:ascii="Arial" w:hAnsi="Arial" w:cs="Arial"/>
                <w:b w:val="0"/>
                <w:i w:val="0"/>
                <w:sz w:val="17"/>
              </w:rPr>
              <w:t>Financial card: total payable amount, buyer-side actions (approve settlement, request documents)</w:t>
            </w:r>
          </w:p>
        </w:tc>
        <w:tc>
          <w:tcPr>
            <w:tcW w:type="dxa" w:w="3213"/>
          </w:tcPr>
          <w:p>
            <w:pPr>
              <w:spacing w:after="20" w:before="20" w:line="240" w:lineRule="auto"/>
            </w:pPr>
            <w:r/>
            <w:r>
              <w:rPr>
                <w:rFonts w:ascii="Arial" w:hAnsi="Arial" w:cs="Arial"/>
                <w:b w:val="0"/>
                <w:i w:val="0"/>
                <w:sz w:val="17"/>
              </w:rPr>
              <w:t>Financial card: EXW breakdown, logistics costs, SGTX fee, estimated margin, seller-side actions (reoptimise logistics, mark ready)</w:t>
            </w:r>
          </w:p>
        </w:tc>
      </w:tr>
      <w:tr>
        <w:tc>
          <w:tcPr>
            <w:tcW w:type="dxa" w:w="3213"/>
          </w:tcPr>
          <w:p>
            <w:pPr>
              <w:spacing w:after="20" w:before="20" w:line="240" w:lineRule="auto"/>
            </w:pPr>
            <w:r/>
            <w:r>
              <w:rPr>
                <w:rFonts w:ascii="Arial" w:hAnsi="Arial" w:cs="Arial"/>
                <w:b w:val="0"/>
                <w:i w:val="0"/>
                <w:sz w:val="17"/>
              </w:rPr>
              <w:t>Network Tab</w:t>
            </w:r>
          </w:p>
        </w:tc>
        <w:tc>
          <w:tcPr>
            <w:tcW w:type="dxa" w:w="3213"/>
          </w:tcPr>
          <w:p>
            <w:pPr>
              <w:spacing w:after="20" w:before="20" w:line="240" w:lineRule="auto"/>
            </w:pPr>
            <w:r/>
            <w:r>
              <w:rPr>
                <w:rFonts w:ascii="Arial" w:hAnsi="Arial" w:cs="Arial"/>
                <w:b w:val="0"/>
                <w:i w:val="0"/>
                <w:sz w:val="17"/>
              </w:rPr>
              <w:t>Shows sellers, logistics providers, financiers, QC providers</w:t>
            </w:r>
          </w:p>
        </w:tc>
        <w:tc>
          <w:tcPr>
            <w:tcW w:type="dxa" w:w="3213"/>
          </w:tcPr>
          <w:p>
            <w:pPr>
              <w:spacing w:after="20" w:before="20" w:line="240" w:lineRule="auto"/>
            </w:pPr>
            <w:r/>
            <w:r>
              <w:rPr>
                <w:rFonts w:ascii="Arial" w:hAnsi="Arial" w:cs="Arial"/>
                <w:b w:val="0"/>
                <w:i w:val="0"/>
                <w:sz w:val="17"/>
              </w:rPr>
              <w:t>Shows buyers, logistics partners, QC providers, financiers</w:t>
            </w:r>
          </w:p>
        </w:tc>
      </w:tr>
      <w:tr>
        <w:tc>
          <w:tcPr>
            <w:tcW w:type="dxa" w:w="3213"/>
          </w:tcPr>
          <w:p>
            <w:pPr>
              <w:spacing w:after="20" w:before="20" w:line="240" w:lineRule="auto"/>
            </w:pPr>
            <w:r/>
            <w:r>
              <w:rPr>
                <w:rFonts w:ascii="Arial" w:hAnsi="Arial" w:cs="Arial"/>
                <w:b w:val="0"/>
                <w:i w:val="0"/>
                <w:sz w:val="17"/>
              </w:rPr>
              <w:t>Activity Feed</w:t>
            </w:r>
          </w:p>
        </w:tc>
        <w:tc>
          <w:tcPr>
            <w:tcW w:type="dxa" w:w="3213"/>
          </w:tcPr>
          <w:p>
            <w:pPr>
              <w:spacing w:after="20" w:before="20" w:line="240" w:lineRule="auto"/>
            </w:pPr>
            <w:r/>
            <w:r>
              <w:rPr>
                <w:rFonts w:ascii="Arial" w:hAnsi="Arial" w:cs="Arial"/>
                <w:b w:val="0"/>
                <w:i w:val="0"/>
                <w:sz w:val="17"/>
              </w:rPr>
              <w:t>Buyer-side events filtered</w:t>
            </w:r>
          </w:p>
        </w:tc>
        <w:tc>
          <w:tcPr>
            <w:tcW w:type="dxa" w:w="3213"/>
          </w:tcPr>
          <w:p>
            <w:pPr>
              <w:spacing w:after="20" w:before="20" w:line="240" w:lineRule="auto"/>
            </w:pPr>
            <w:r/>
            <w:r>
              <w:rPr>
                <w:rFonts w:ascii="Arial" w:hAnsi="Arial" w:cs="Arial"/>
                <w:b w:val="0"/>
                <w:i w:val="0"/>
                <w:sz w:val="17"/>
              </w:rPr>
              <w:t>Seller-side events filtered</w:t>
            </w:r>
          </w:p>
        </w:tc>
      </w:tr>
      <w:tr>
        <w:tc>
          <w:tcPr>
            <w:tcW w:type="dxa" w:w="3213"/>
          </w:tcPr>
          <w:p>
            <w:pPr>
              <w:spacing w:after="20" w:before="20" w:line="240" w:lineRule="auto"/>
            </w:pPr>
            <w:r/>
            <w:r>
              <w:rPr>
                <w:rFonts w:ascii="Arial" w:hAnsi="Arial" w:cs="Arial"/>
                <w:b w:val="0"/>
                <w:i w:val="0"/>
                <w:sz w:val="17"/>
              </w:rPr>
              <w:t>Help Menu</w:t>
            </w:r>
          </w:p>
        </w:tc>
        <w:tc>
          <w:tcPr>
            <w:tcW w:type="dxa" w:w="3213"/>
          </w:tcPr>
          <w:p>
            <w:pPr>
              <w:spacing w:after="20" w:before="20" w:line="240" w:lineRule="auto"/>
            </w:pPr>
            <w:r/>
            <w:r>
              <w:rPr>
                <w:rFonts w:ascii="Arial" w:hAnsi="Arial" w:cs="Arial"/>
                <w:b w:val="0"/>
                <w:i w:val="0"/>
                <w:sz w:val="17"/>
              </w:rPr>
              <w:t>Buyer-specific help topics</w:t>
            </w:r>
          </w:p>
        </w:tc>
        <w:tc>
          <w:tcPr>
            <w:tcW w:type="dxa" w:w="3213"/>
          </w:tcPr>
          <w:p>
            <w:pPr>
              <w:spacing w:after="20" w:before="20" w:line="240" w:lineRule="auto"/>
            </w:pPr>
            <w:r/>
            <w:r>
              <w:rPr>
                <w:rFonts w:ascii="Arial" w:hAnsi="Arial" w:cs="Arial"/>
                <w:b w:val="0"/>
                <w:i w:val="0"/>
                <w:sz w:val="17"/>
              </w:rPr>
              <w:t>Seller-specific help topics</w:t>
            </w:r>
          </w:p>
        </w:tc>
      </w:tr>
      <w:tr>
        <w:tc>
          <w:tcPr>
            <w:tcW w:type="dxa" w:w="3213"/>
          </w:tcPr>
          <w:p>
            <w:pPr>
              <w:spacing w:after="20" w:before="20" w:line="240" w:lineRule="auto"/>
            </w:pPr>
            <w:r/>
            <w:r>
              <w:rPr>
                <w:rFonts w:ascii="Arial" w:hAnsi="Arial" w:cs="Arial"/>
                <w:b w:val="0"/>
                <w:i w:val="0"/>
                <w:sz w:val="17"/>
              </w:rPr>
              <w:t>Universal Command Center</w:t>
            </w:r>
          </w:p>
        </w:tc>
        <w:tc>
          <w:tcPr>
            <w:tcW w:type="dxa" w:w="3213"/>
          </w:tcPr>
          <w:p>
            <w:pPr>
              <w:spacing w:after="20" w:before="20" w:line="240" w:lineRule="auto"/>
            </w:pPr>
            <w:r/>
            <w:r>
              <w:rPr>
                <w:rFonts w:ascii="Arial" w:hAnsi="Arial" w:cs="Arial"/>
                <w:b w:val="0"/>
                <w:i w:val="0"/>
                <w:sz w:val="17"/>
              </w:rPr>
              <w:t>Buyer-specific summary cards (Open Trades as Buyer, Pending Approvals, etc.)</w:t>
            </w:r>
          </w:p>
        </w:tc>
        <w:tc>
          <w:tcPr>
            <w:tcW w:type="dxa" w:w="3213"/>
          </w:tcPr>
          <w:p>
            <w:pPr>
              <w:spacing w:after="20" w:before="20" w:line="240" w:lineRule="auto"/>
            </w:pPr>
            <w:r/>
            <w:r>
              <w:rPr>
                <w:rFonts w:ascii="Arial" w:hAnsi="Arial" w:cs="Arial"/>
                <w:b w:val="0"/>
                <w:i w:val="0"/>
                <w:sz w:val="17"/>
              </w:rPr>
              <w:t>Seller-specific summary cards (Open Quotes, Pending Shipments, etc.)</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4.6.4.3 Draft Preservation</w:t>
      </w:r>
    </w:p>
    <w:p>
      <w:pPr>
        <w:spacing w:after="80" w:line="293" w:lineRule="auto"/>
        <w:jc w:val="left"/>
      </w:pPr>
      <w:r>
        <w:rPr>
          <w:rFonts w:ascii="Times New Roman" w:hAnsi="Times New Roman" w:cs="Times New Roman"/>
          <w:b w:val="0"/>
          <w:i w:val="0"/>
          <w:sz w:val="22"/>
        </w:rPr>
        <w:t>If a user is in the middle of filling out a form (e.g., creating a new trade request in Buyer mode) and switches to Seller mode, the form state is preserved in the browser's local storage for a short period. Upon switching back, the user receives a prompt: "You have an unsaved draft in Buyer mode. Resume?" The draft is stored in the `draft_history` table with `entity_type = 'TRADE_REQUEST'` and `edited_by = employee_id`.</w:t>
      </w:r>
    </w:p>
    <w:p>
      <w:pPr>
        <w:spacing w:after="80" w:line="293" w:lineRule="auto"/>
        <w:jc w:val="left"/>
      </w:pPr>
      <w:r>
        <w:rPr>
          <w:rFonts w:ascii="Times New Roman" w:hAnsi="Times New Roman" w:cs="Times New Roman"/>
          <w:b w:val="0"/>
          <w:i w:val="0"/>
          <w:sz w:val="22"/>
        </w:rPr>
        <w:t>One-click: click "Resume" (1) → form restored.</w:t>
      </w:r>
    </w:p>
    <w:p>
      <w:pPr>
        <w:keepNext/>
        <w:spacing w:before="180" w:after="80"/>
        <w:outlineLvl w:val="2"/>
      </w:pPr>
      <w:r>
        <w:rPr>
          <w:rFonts w:ascii="Arial" w:hAnsi="Arial" w:cs="Arial"/>
          <w:b/>
          <w:i w:val="0"/>
          <w:color w:val="333333"/>
          <w:sz w:val="23"/>
        </w:rPr>
        <w:t>4.6.5 Backend API &amp; Database</w:t>
      </w:r>
    </w:p>
    <w:p>
      <w:pPr>
        <w:keepNext/>
        <w:spacing w:before="140" w:after="60"/>
        <w:outlineLvl w:val="3"/>
      </w:pPr>
      <w:r>
        <w:rPr>
          <w:rFonts w:ascii="Arial" w:hAnsi="Arial" w:cs="Arial"/>
          <w:b/>
          <w:i/>
          <w:color w:val="333333"/>
          <w:sz w:val="22"/>
        </w:rPr>
        <w:t>4.6.5.1 API Endpoint</w:t>
      </w:r>
    </w:p>
    <w:p>
      <w:pPr>
        <w:spacing w:after="80" w:line="293" w:lineRule="auto"/>
        <w:jc w:val="left"/>
      </w:pPr>
      <w:r>
        <w:rPr>
          <w:rFonts w:ascii="Times New Roman" w:hAnsi="Times New Roman" w:cs="Times New Roman"/>
          <w:b w:val="0"/>
          <w:i w:val="0"/>
          <w:sz w:val="22"/>
        </w:rPr>
        <w:t>Endpoint: `POST /v1/employee/switch-context`</w:t>
      </w:r>
    </w:p>
    <w:p>
      <w:pPr>
        <w:spacing w:after="80" w:line="293" w:lineRule="auto"/>
        <w:jc w:val="left"/>
      </w:pPr>
      <w:r>
        <w:rPr>
          <w:rFonts w:ascii="Times New Roman" w:hAnsi="Times New Roman" w:cs="Times New Roman"/>
          <w:b w:val="0"/>
          <w:i w:val="0"/>
          <w:sz w:val="22"/>
        </w:rPr>
        <w:t>Request: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"active_trader_mode_context": "BUY"</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(200 OK):</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"jwt": "eyJhbGciOiJIUzI1NiIsInR5cCI6IkpXVCJ9...",</w:t>
      </w:r>
    </w:p>
    <w:p>
      <w:pPr>
        <w:spacing w:after="0" w:before="0" w:line="240" w:lineRule="auto"/>
        <w:ind w:left="57"/>
        <w:jc w:val="left"/>
        <w:shd w:val="clear" w:fill="F2F2F2"/>
      </w:pPr>
      <w:r>
        <w:rPr>
          <w:rFonts w:ascii="Consolas" w:hAnsi="Consolas" w:cs="Consolas"/>
          <w:b w:val="0"/>
          <w:i w:val="0"/>
          <w:sz w:val="15"/>
        </w:rPr>
        <w:t xml:space="preserve">    "expires_in": 900,</w:t>
      </w:r>
    </w:p>
    <w:p>
      <w:pPr>
        <w:spacing w:after="0" w:before="0" w:line="240" w:lineRule="auto"/>
        <w:ind w:left="57"/>
        <w:jc w:val="left"/>
        <w:shd w:val="clear" w:fill="F2F2F2"/>
      </w:pPr>
      <w:r>
        <w:rPr>
          <w:rFonts w:ascii="Consolas" w:hAnsi="Consolas" w:cs="Consolas"/>
          <w:b w:val="0"/>
          <w:i w:val="0"/>
          <w:sz w:val="15"/>
        </w:rPr>
        <w:t xml:space="preserve">    "mode": "BUY"</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Error Responses: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Status</w:t>
            </w:r>
          </w:p>
        </w:tc>
        <w:tc>
          <w:tcPr>
            <w:tcW w:type="dxa" w:w="3213"/>
            <w:shd w:val="clear" w:fill="D9E2F3"/>
          </w:tcPr>
          <w:p>
            <w:pPr>
              <w:spacing w:after="20" w:before="20" w:line="240" w:lineRule="auto"/>
            </w:pPr>
            <w:r/>
            <w:r>
              <w:rPr>
                <w:rFonts w:ascii="Arial" w:hAnsi="Arial" w:cs="Arial"/>
                <w:b/>
                <w:i w:val="0"/>
                <w:sz w:val="18"/>
              </w:rPr>
              <w:t>Code</w:t>
            </w:r>
          </w:p>
        </w:tc>
        <w:tc>
          <w:tcPr>
            <w:tcW w:type="dxa" w:w="3213"/>
            <w:shd w:val="clear" w:fill="D9E2F3"/>
          </w:tcPr>
          <w:p>
            <w:pPr>
              <w:spacing w:after="20" w:before="20" w:line="240" w:lineRule="auto"/>
            </w:pPr>
            <w:r/>
            <w:r>
              <w:rPr>
                <w:rFonts w:ascii="Arial" w:hAnsi="Arial" w:cs="Arial"/>
                <w:b/>
                <w:i w:val="0"/>
                <w:sz w:val="18"/>
              </w:rPr>
              <w:t>Message</w:t>
            </w:r>
          </w:p>
        </w:tc>
      </w:tr>
      <w:tr>
        <w:tc>
          <w:tcPr>
            <w:tcW w:type="dxa" w:w="3213"/>
          </w:tcPr>
          <w:p>
            <w:pPr>
              <w:spacing w:after="20" w:before="20" w:line="240" w:lineRule="auto"/>
            </w:pPr>
            <w:r/>
            <w:r>
              <w:rPr>
                <w:rFonts w:ascii="Arial" w:hAnsi="Arial" w:cs="Arial"/>
                <w:b w:val="0"/>
                <w:i w:val="0"/>
                <w:sz w:val="17"/>
              </w:rPr>
              <w:t>400</w:t>
            </w:r>
          </w:p>
        </w:tc>
        <w:tc>
          <w:tcPr>
            <w:tcW w:type="dxa" w:w="3213"/>
          </w:tcPr>
          <w:p>
            <w:pPr>
              <w:spacing w:after="20" w:before="20" w:line="240" w:lineRule="auto"/>
            </w:pPr>
            <w:r/>
            <w:r>
              <w:rPr>
                <w:rFonts w:ascii="Arial" w:hAnsi="Arial" w:cs="Arial"/>
                <w:b w:val="0"/>
                <w:i w:val="0"/>
                <w:sz w:val="17"/>
              </w:rPr>
              <w:t>INVALID_MODE</w:t>
            </w:r>
          </w:p>
        </w:tc>
        <w:tc>
          <w:tcPr>
            <w:tcW w:type="dxa" w:w="3213"/>
          </w:tcPr>
          <w:p>
            <w:pPr>
              <w:spacing w:after="20" w:before="20" w:line="240" w:lineRule="auto"/>
            </w:pPr>
            <w:r/>
            <w:r>
              <w:rPr>
                <w:rFonts w:ascii="Arial" w:hAnsi="Arial" w:cs="Arial"/>
                <w:b w:val="0"/>
                <w:i w:val="0"/>
                <w:sz w:val="17"/>
              </w:rPr>
              <w:t>"active_trader_mode_context must be 'BUY' or 'SELL'"</w:t>
            </w:r>
          </w:p>
        </w:tc>
      </w:tr>
      <w:tr>
        <w:tc>
          <w:tcPr>
            <w:tcW w:type="dxa" w:w="3213"/>
          </w:tcPr>
          <w:p>
            <w:pPr>
              <w:spacing w:after="20" w:before="20" w:line="240" w:lineRule="auto"/>
            </w:pPr>
            <w:r/>
            <w:r>
              <w:rPr>
                <w:rFonts w:ascii="Arial" w:hAnsi="Arial" w:cs="Arial"/>
                <w:b w:val="0"/>
                <w:i w:val="0"/>
                <w:sz w:val="17"/>
              </w:rPr>
              <w:t>403</w:t>
            </w:r>
          </w:p>
        </w:tc>
        <w:tc>
          <w:tcPr>
            <w:tcW w:type="dxa" w:w="3213"/>
          </w:tcPr>
          <w:p>
            <w:pPr>
              <w:spacing w:after="20" w:before="20" w:line="240" w:lineRule="auto"/>
            </w:pPr>
            <w:r/>
            <w:r>
              <w:rPr>
                <w:rFonts w:ascii="Arial" w:hAnsi="Arial" w:cs="Arial"/>
                <w:b w:val="0"/>
                <w:i w:val="0"/>
                <w:sz w:val="17"/>
              </w:rPr>
              <w:t>MODE_NOT_ALLOWED</w:t>
            </w:r>
          </w:p>
        </w:tc>
        <w:tc>
          <w:tcPr>
            <w:tcW w:type="dxa" w:w="3213"/>
          </w:tcPr>
          <w:p>
            <w:pPr>
              <w:spacing w:after="20" w:before="20" w:line="240" w:lineRule="auto"/>
            </w:pPr>
            <w:r/>
            <w:r>
              <w:rPr>
                <w:rFonts w:ascii="Arial" w:hAnsi="Arial" w:cs="Arial"/>
                <w:b w:val="0"/>
                <w:i w:val="0"/>
                <w:sz w:val="17"/>
              </w:rPr>
              <w:t>"You do not have permission to switch to this mode"</w:t>
            </w:r>
          </w:p>
        </w:tc>
      </w:tr>
      <w:tr>
        <w:tc>
          <w:tcPr>
            <w:tcW w:type="dxa" w:w="3213"/>
          </w:tcPr>
          <w:p>
            <w:pPr>
              <w:spacing w:after="20" w:before="20" w:line="240" w:lineRule="auto"/>
            </w:pPr>
            <w:r/>
            <w:r>
              <w:rPr>
                <w:rFonts w:ascii="Arial" w:hAnsi="Arial" w:cs="Arial"/>
                <w:b w:val="0"/>
                <w:i w:val="0"/>
                <w:sz w:val="17"/>
              </w:rPr>
              <w:t>403</w:t>
            </w:r>
          </w:p>
        </w:tc>
        <w:tc>
          <w:tcPr>
            <w:tcW w:type="dxa" w:w="3213"/>
          </w:tcPr>
          <w:p>
            <w:pPr>
              <w:spacing w:after="20" w:before="20" w:line="240" w:lineRule="auto"/>
            </w:pPr>
            <w:r/>
            <w:r>
              <w:rPr>
                <w:rFonts w:ascii="Arial" w:hAnsi="Arial" w:cs="Arial"/>
                <w:b w:val="0"/>
                <w:i w:val="0"/>
                <w:sz w:val="17"/>
              </w:rPr>
              <w:t>SWITCHING_DISABLED</w:t>
            </w:r>
          </w:p>
        </w:tc>
        <w:tc>
          <w:tcPr>
            <w:tcW w:type="dxa" w:w="3213"/>
          </w:tcPr>
          <w:p>
            <w:pPr>
              <w:spacing w:after="20" w:before="20" w:line="240" w:lineRule="auto"/>
            </w:pPr>
            <w:r/>
            <w:r>
              <w:rPr>
                <w:rFonts w:ascii="Arial" w:hAnsi="Arial" w:cs="Arial"/>
                <w:b w:val="0"/>
                <w:i w:val="0"/>
                <w:sz w:val="17"/>
              </w:rPr>
              <w:t>"Role switching is disabled for your account"</w:t>
            </w:r>
          </w:p>
        </w:tc>
      </w:tr>
      <w:tr>
        <w:tc>
          <w:tcPr>
            <w:tcW w:type="dxa" w:w="3213"/>
          </w:tcPr>
          <w:p>
            <w:pPr>
              <w:spacing w:after="20" w:before="20" w:line="240" w:lineRule="auto"/>
            </w:pPr>
            <w:r/>
            <w:r>
              <w:rPr>
                <w:rFonts w:ascii="Arial" w:hAnsi="Arial" w:cs="Arial"/>
                <w:b w:val="0"/>
                <w:i w:val="0"/>
                <w:sz w:val="17"/>
              </w:rPr>
              <w:t>429</w:t>
            </w:r>
          </w:p>
        </w:tc>
        <w:tc>
          <w:tcPr>
            <w:tcW w:type="dxa" w:w="3213"/>
          </w:tcPr>
          <w:p>
            <w:pPr>
              <w:spacing w:after="20" w:before="20" w:line="240" w:lineRule="auto"/>
            </w:pPr>
            <w:r/>
            <w:r>
              <w:rPr>
                <w:rFonts w:ascii="Arial" w:hAnsi="Arial" w:cs="Arial"/>
                <w:b w:val="0"/>
                <w:i w:val="0"/>
                <w:sz w:val="17"/>
              </w:rPr>
              <w:t>RATE_LIMITED</w:t>
            </w:r>
          </w:p>
        </w:tc>
        <w:tc>
          <w:tcPr>
            <w:tcW w:type="dxa" w:w="3213"/>
          </w:tcPr>
          <w:p>
            <w:pPr>
              <w:spacing w:after="20" w:before="20" w:line="240" w:lineRule="auto"/>
            </w:pPr>
            <w:r/>
            <w:r>
              <w:rPr>
                <w:rFonts w:ascii="Arial" w:hAnsi="Arial" w:cs="Arial"/>
                <w:b w:val="0"/>
                <w:i w:val="0"/>
                <w:sz w:val="17"/>
              </w:rPr>
              <w:t>"Too many mode switches. Please wait 60 seconds."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Rate Limit: 10 switches per 60 seconds per employee.</w:t>
      </w:r>
    </w:p>
    <w:p>
      <w:pPr>
        <w:keepNext/>
        <w:spacing w:before="140" w:after="60"/>
        <w:outlineLvl w:val="3"/>
      </w:pPr>
      <w:r>
        <w:rPr>
          <w:rFonts w:ascii="Arial" w:hAnsi="Arial" w:cs="Arial"/>
          <w:b/>
          <w:i/>
          <w:color w:val="333333"/>
          <w:sz w:val="22"/>
        </w:rPr>
        <w:t>4.6.5.2 Database Fields</w:t>
      </w:r>
    </w:p>
    <w:p>
      <w:pPr>
        <w:spacing w:after="80" w:line="293" w:lineRule="auto"/>
        <w:jc w:val="left"/>
      </w:pPr>
      <w:r>
        <w:rPr>
          <w:rFonts w:ascii="Times New Roman" w:hAnsi="Times New Roman" w:cs="Times New Roman"/>
          <w:b w:val="0"/>
          <w:i w:val="0"/>
          <w:sz w:val="22"/>
        </w:rPr>
        <w:t>`employees` table (enhanced):</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Column</w:t>
            </w:r>
          </w:p>
        </w:tc>
        <w:tc>
          <w:tcPr>
            <w:tcW w:type="dxa" w:w="3213"/>
            <w:shd w:val="clear" w:fill="D9E2F3"/>
          </w:tcPr>
          <w:p>
            <w:pPr>
              <w:spacing w:after="20" w:before="20" w:line="240" w:lineRule="auto"/>
            </w:pPr>
            <w:r/>
            <w:r>
              <w:rPr>
                <w:rFonts w:ascii="Arial" w:hAnsi="Arial" w:cs="Arial"/>
                <w:b/>
                <w:i w:val="0"/>
                <w:sz w:val="18"/>
              </w:rPr>
              <w:t>Type</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default_trader_mode</w:t>
            </w:r>
          </w:p>
        </w:tc>
        <w:tc>
          <w:tcPr>
            <w:tcW w:type="dxa" w:w="3213"/>
          </w:tcPr>
          <w:p>
            <w:pPr>
              <w:spacing w:after="20" w:before="20" w:line="240" w:lineRule="auto"/>
            </w:pPr>
            <w:r/>
            <w:r>
              <w:rPr>
                <w:rFonts w:ascii="Arial" w:hAnsi="Arial" w:cs="Arial"/>
                <w:b w:val="0"/>
                <w:i w:val="0"/>
                <w:sz w:val="17"/>
              </w:rPr>
              <w:t>trader_mode</w:t>
            </w:r>
          </w:p>
        </w:tc>
        <w:tc>
          <w:tcPr>
            <w:tcW w:type="dxa" w:w="3213"/>
          </w:tcPr>
          <w:p>
            <w:pPr>
              <w:spacing w:after="20" w:before="20" w:line="240" w:lineRule="auto"/>
            </w:pPr>
            <w:r/>
            <w:r>
              <w:rPr>
                <w:rFonts w:ascii="Arial" w:hAnsi="Arial" w:cs="Arial"/>
                <w:b w:val="0"/>
                <w:i w:val="0"/>
                <w:sz w:val="17"/>
              </w:rPr>
              <w:t>BUY, SELL, or DUAL. Set during onboarding.</w:t>
            </w:r>
          </w:p>
        </w:tc>
      </w:tr>
      <w:tr>
        <w:tc>
          <w:tcPr>
            <w:tcW w:type="dxa" w:w="3213"/>
          </w:tcPr>
          <w:p>
            <w:pPr>
              <w:spacing w:after="20" w:before="20" w:line="240" w:lineRule="auto"/>
            </w:pPr>
            <w:r/>
            <w:r>
              <w:rPr>
                <w:rFonts w:ascii="Arial" w:hAnsi="Arial" w:cs="Arial"/>
                <w:b w:val="0"/>
                <w:i w:val="0"/>
                <w:sz w:val="17"/>
              </w:rPr>
              <w:t>active_trader_mode_context</w:t>
            </w:r>
          </w:p>
        </w:tc>
        <w:tc>
          <w:tcPr>
            <w:tcW w:type="dxa" w:w="3213"/>
          </w:tcPr>
          <w:p>
            <w:pPr>
              <w:spacing w:after="20" w:before="20" w:line="240" w:lineRule="auto"/>
            </w:pPr>
            <w:r/>
            <w:r>
              <w:rPr>
                <w:rFonts w:ascii="Arial" w:hAnsi="Arial" w:cs="Arial"/>
                <w:b w:val="0"/>
                <w:i w:val="0"/>
                <w:sz w:val="17"/>
              </w:rPr>
              <w:t>trader_mode</w:t>
            </w:r>
          </w:p>
        </w:tc>
        <w:tc>
          <w:tcPr>
            <w:tcW w:type="dxa" w:w="3213"/>
          </w:tcPr>
          <w:p>
            <w:pPr>
              <w:spacing w:after="20" w:before="20" w:line="240" w:lineRule="auto"/>
            </w:pPr>
            <w:r/>
            <w:r>
              <w:rPr>
                <w:rFonts w:ascii="Arial" w:hAnsi="Arial" w:cs="Arial"/>
                <w:b w:val="0"/>
                <w:i w:val="0"/>
                <w:sz w:val="17"/>
              </w:rPr>
              <w:t>Current session context (BUY or SELL). Nullable; if null, falls back to default_trader_mode (or DUAL → BUY).</w:t>
            </w:r>
          </w:p>
        </w:tc>
      </w:tr>
      <w:tr>
        <w:tc>
          <w:tcPr>
            <w:tcW w:type="dxa" w:w="3213"/>
          </w:tcPr>
          <w:p>
            <w:pPr>
              <w:spacing w:after="20" w:before="20" w:line="240" w:lineRule="auto"/>
            </w:pPr>
            <w:r/>
            <w:r>
              <w:rPr>
                <w:rFonts w:ascii="Arial" w:hAnsi="Arial" w:cs="Arial"/>
                <w:b w:val="0"/>
                <w:i w:val="0"/>
                <w:sz w:val="17"/>
              </w:rPr>
              <w:t>allow_role_switching</w:t>
            </w:r>
          </w:p>
        </w:tc>
        <w:tc>
          <w:tcPr>
            <w:tcW w:type="dxa" w:w="3213"/>
          </w:tcPr>
          <w:p>
            <w:pPr>
              <w:spacing w:after="20" w:before="20" w:line="240" w:lineRule="auto"/>
            </w:pPr>
            <w:r/>
            <w:r>
              <w:rPr>
                <w:rFonts w:ascii="Arial" w:hAnsi="Arial" w:cs="Arial"/>
                <w:b w:val="0"/>
                <w:i w:val="0"/>
                <w:sz w:val="17"/>
              </w:rPr>
              <w:t>boolean</w:t>
            </w:r>
          </w:p>
        </w:tc>
        <w:tc>
          <w:tcPr>
            <w:tcW w:type="dxa" w:w="3213"/>
          </w:tcPr>
          <w:p>
            <w:pPr>
              <w:spacing w:after="20" w:before="20" w:line="240" w:lineRule="auto"/>
            </w:pPr>
            <w:r/>
            <w:r>
              <w:rPr>
                <w:rFonts w:ascii="Arial" w:hAnsi="Arial" w:cs="Arial"/>
                <w:b w:val="0"/>
                <w:i w:val="0"/>
                <w:sz w:val="17"/>
              </w:rPr>
              <w:t>If false, toggle is hidden and user locked to default_trader_mode.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`data_scopes` table: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Column</w:t>
            </w:r>
          </w:p>
        </w:tc>
        <w:tc>
          <w:tcPr>
            <w:tcW w:type="dxa" w:w="3213"/>
            <w:shd w:val="clear" w:fill="D9E2F3"/>
          </w:tcPr>
          <w:p>
            <w:pPr>
              <w:spacing w:after="20" w:before="20" w:line="240" w:lineRule="auto"/>
            </w:pPr>
            <w:r/>
            <w:r>
              <w:rPr>
                <w:rFonts w:ascii="Arial" w:hAnsi="Arial" w:cs="Arial"/>
                <w:b/>
                <w:i w:val="0"/>
                <w:sz w:val="18"/>
              </w:rPr>
              <w:t>Type</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allow_role_switching</w:t>
            </w:r>
          </w:p>
        </w:tc>
        <w:tc>
          <w:tcPr>
            <w:tcW w:type="dxa" w:w="3213"/>
          </w:tcPr>
          <w:p>
            <w:pPr>
              <w:spacing w:after="20" w:before="20" w:line="240" w:lineRule="auto"/>
            </w:pPr>
            <w:r/>
            <w:r>
              <w:rPr>
                <w:rFonts w:ascii="Arial" w:hAnsi="Arial" w:cs="Arial"/>
                <w:b w:val="0"/>
                <w:i w:val="0"/>
                <w:sz w:val="17"/>
              </w:rPr>
              <w:t>boolean</w:t>
            </w:r>
          </w:p>
        </w:tc>
        <w:tc>
          <w:tcPr>
            <w:tcW w:type="dxa" w:w="3213"/>
          </w:tcPr>
          <w:p>
            <w:pPr>
              <w:spacing w:after="20" w:before="20" w:line="240" w:lineRule="auto"/>
            </w:pPr>
            <w:r/>
            <w:r>
              <w:rPr>
                <w:rFonts w:ascii="Arial" w:hAnsi="Arial" w:cs="Arial"/>
                <w:b w:val="0"/>
                <w:i w:val="0"/>
                <w:sz w:val="17"/>
              </w:rPr>
              <w:t>Override per employee. Default true.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`tenants` table: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Column</w:t>
            </w:r>
          </w:p>
        </w:tc>
        <w:tc>
          <w:tcPr>
            <w:tcW w:type="dxa" w:w="3213"/>
            <w:shd w:val="clear" w:fill="D9E2F3"/>
          </w:tcPr>
          <w:p>
            <w:pPr>
              <w:spacing w:after="20" w:before="20" w:line="240" w:lineRule="auto"/>
            </w:pPr>
            <w:r/>
            <w:r>
              <w:rPr>
                <w:rFonts w:ascii="Arial" w:hAnsi="Arial" w:cs="Arial"/>
                <w:b/>
                <w:i w:val="0"/>
                <w:sz w:val="18"/>
              </w:rPr>
              <w:t>Type</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default_trader_mode</w:t>
            </w:r>
          </w:p>
        </w:tc>
        <w:tc>
          <w:tcPr>
            <w:tcW w:type="dxa" w:w="3213"/>
          </w:tcPr>
          <w:p>
            <w:pPr>
              <w:spacing w:after="20" w:before="20" w:line="240" w:lineRule="auto"/>
            </w:pPr>
            <w:r/>
            <w:r>
              <w:rPr>
                <w:rFonts w:ascii="Arial" w:hAnsi="Arial" w:cs="Arial"/>
                <w:b w:val="0"/>
                <w:i w:val="0"/>
                <w:sz w:val="17"/>
              </w:rPr>
              <w:t>trader_mode</w:t>
            </w:r>
          </w:p>
        </w:tc>
        <w:tc>
          <w:tcPr>
            <w:tcW w:type="dxa" w:w="3213"/>
          </w:tcPr>
          <w:p>
            <w:pPr>
              <w:spacing w:after="20" w:before="20" w:line="240" w:lineRule="auto"/>
            </w:pPr>
            <w:r/>
            <w:r>
              <w:rPr>
                <w:rFonts w:ascii="Arial" w:hAnsi="Arial" w:cs="Arial"/>
                <w:b w:val="0"/>
                <w:i w:val="0"/>
                <w:sz w:val="17"/>
              </w:rPr>
              <w:t>Tenant-wide default. Used when employee has no specific setting.</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4.6.5.3 JWT Claims</w:t>
      </w:r>
    </w:p>
    <w:p>
      <w:pPr>
        <w:spacing w:after="80" w:line="293" w:lineRule="auto"/>
        <w:jc w:val="left"/>
      </w:pPr>
      <w:r>
        <w:rPr>
          <w:rFonts w:ascii="Times New Roman" w:hAnsi="Times New Roman" w:cs="Times New Roman"/>
          <w:b w:val="0"/>
          <w:i w:val="0"/>
          <w:sz w:val="22"/>
        </w:rPr>
        <w:t>The JWT issued after login (or mode switch) carries the claim set specified in Section 4.4.1 — subject (employee UUID), tenant identity and GTID, `active_trader_mode_context`, `allow_role_switching`, permission strings, and expiry/issued-at timestamps.</w:t>
      </w:r>
    </w:p>
    <w:p>
      <w:pPr>
        <w:spacing w:after="80" w:line="293" w:lineRule="auto"/>
        <w:jc w:val="left"/>
      </w:pPr>
      <w:r>
        <w:rPr>
          <w:rFonts w:ascii="Times New Roman" w:hAnsi="Times New Roman" w:cs="Times New Roman"/>
          <w:b w:val="0"/>
          <w:i w:val="0"/>
          <w:sz w:val="22"/>
        </w:rPr>
        <w:t>Key: `active_trader_mode_context` is used by the Governor and frontend to filter actions and UI.</w:t>
      </w:r>
    </w:p>
    <w:p>
      <w:pPr>
        <w:keepNext/>
        <w:spacing w:before="180" w:after="80"/>
        <w:outlineLvl w:val="2"/>
      </w:pPr>
      <w:r>
        <w:rPr>
          <w:rFonts w:ascii="Arial" w:hAnsi="Arial" w:cs="Arial"/>
          <w:b/>
          <w:i w:val="0"/>
          <w:color w:val="333333"/>
          <w:sz w:val="23"/>
        </w:rPr>
        <w:t>4.6.6 Governor Enforcement (OPA Policies)</w:t>
      </w:r>
    </w:p>
    <w:p>
      <w:pPr>
        <w:keepNext/>
        <w:spacing w:before="140" w:after="60"/>
        <w:outlineLvl w:val="3"/>
      </w:pPr>
      <w:r>
        <w:rPr>
          <w:rFonts w:ascii="Arial" w:hAnsi="Arial" w:cs="Arial"/>
          <w:b/>
          <w:i/>
          <w:color w:val="333333"/>
          <w:sz w:val="22"/>
        </w:rPr>
        <w:t>4.6.6.1 Policy Logic</w:t>
      </w:r>
    </w:p>
    <w:p>
      <w:pPr>
        <w:spacing w:after="80" w:line="293" w:lineRule="auto"/>
        <w:jc w:val="left"/>
      </w:pPr>
      <w:r>
        <w:rPr>
          <w:rFonts w:ascii="Times New Roman" w:hAnsi="Times New Roman" w:cs="Times New Roman"/>
          <w:b w:val="0"/>
          <w:i w:val="0"/>
          <w:sz w:val="22"/>
        </w:rPr>
        <w:t>Every API request is evaluated against OPA policies. The active mode is checked for actions that are mode-specific.</w:t>
      </w:r>
    </w:p>
    <w:p>
      <w:pPr>
        <w:spacing w:after="80" w:line="293" w:lineRule="auto"/>
        <w:jc w:val="left"/>
      </w:pPr>
      <w:r>
        <w:rPr>
          <w:rFonts w:ascii="Times New Roman" w:hAnsi="Times New Roman" w:cs="Times New Roman"/>
          <w:b w:val="0"/>
          <w:i w:val="0"/>
          <w:sz w:val="22"/>
        </w:rPr>
        <w:t>permissions.rego (excerpt):</w:t>
      </w:r>
    </w:p>
    <w:p>
      <w:pPr>
        <w:spacing w:after="0" w:before="0" w:line="240" w:lineRule="auto"/>
        <w:ind w:left="57"/>
        <w:jc w:val="left"/>
        <w:shd w:val="clear" w:fill="F2F2F2"/>
      </w:pPr>
      <w:r>
        <w:rPr>
          <w:rFonts w:ascii="Consolas" w:hAnsi="Consolas" w:cs="Consolas"/>
          <w:b w:val="0"/>
          <w:i w:val="0"/>
          <w:sz w:val="15"/>
        </w:rPr>
        <w:t>package sgtx.permissions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default allow =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Action requires Buyer mode</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input.action == "trade.request.create"</w:t>
      </w:r>
    </w:p>
    <w:p>
      <w:pPr>
        <w:spacing w:after="0" w:before="0" w:line="240" w:lineRule="auto"/>
        <w:ind w:left="57"/>
        <w:jc w:val="left"/>
        <w:shd w:val="clear" w:fill="F2F2F2"/>
      </w:pPr>
      <w:r>
        <w:rPr>
          <w:rFonts w:ascii="Consolas" w:hAnsi="Consolas" w:cs="Consolas"/>
          <w:b w:val="0"/>
          <w:i w:val="0"/>
          <w:sz w:val="15"/>
        </w:rPr>
        <w:t xml:space="preserve">    input.active_trader_mode_context == "BUY"</w:t>
      </w:r>
    </w:p>
    <w:p>
      <w:pPr>
        <w:spacing w:after="0" w:before="0" w:line="240" w:lineRule="auto"/>
        <w:ind w:left="57"/>
        <w:jc w:val="left"/>
        <w:shd w:val="clear" w:fill="F2F2F2"/>
      </w:pPr>
      <w:r>
        <w:rPr>
          <w:rFonts w:ascii="Consolas" w:hAnsi="Consolas" w:cs="Consolas"/>
          <w:b w:val="0"/>
          <w:i w:val="0"/>
          <w:sz w:val="15"/>
        </w:rPr>
        <w:t xml:space="preserve">    role_has_permission(input.actor_role, "trade.request.create")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input.action == "quote.accept"</w:t>
      </w:r>
    </w:p>
    <w:p>
      <w:pPr>
        <w:spacing w:after="0" w:before="0" w:line="240" w:lineRule="auto"/>
        <w:ind w:left="57"/>
        <w:jc w:val="left"/>
        <w:shd w:val="clear" w:fill="F2F2F2"/>
      </w:pPr>
      <w:r>
        <w:rPr>
          <w:rFonts w:ascii="Consolas" w:hAnsi="Consolas" w:cs="Consolas"/>
          <w:b w:val="0"/>
          <w:i w:val="0"/>
          <w:sz w:val="15"/>
        </w:rPr>
        <w:t xml:space="preserve">    input.active_trader_mode_context == "BUY"</w:t>
      </w:r>
    </w:p>
    <w:p>
      <w:pPr>
        <w:spacing w:after="0" w:before="0" w:line="240" w:lineRule="auto"/>
        <w:ind w:left="57"/>
        <w:jc w:val="left"/>
        <w:shd w:val="clear" w:fill="F2F2F2"/>
      </w:pPr>
      <w:r>
        <w:rPr>
          <w:rFonts w:ascii="Consolas" w:hAnsi="Consolas" w:cs="Consolas"/>
          <w:b w:val="0"/>
          <w:i w:val="0"/>
          <w:sz w:val="15"/>
        </w:rPr>
        <w:t xml:space="preserve">    role_has_permission(input.actor_role, "quote.accept")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Action requires Seller mode</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input.action == "seller_quote.submit"</w:t>
      </w:r>
    </w:p>
    <w:p>
      <w:pPr>
        <w:spacing w:after="0" w:before="0" w:line="240" w:lineRule="auto"/>
        <w:ind w:left="57"/>
        <w:jc w:val="left"/>
        <w:shd w:val="clear" w:fill="F2F2F2"/>
      </w:pPr>
      <w:r>
        <w:rPr>
          <w:rFonts w:ascii="Consolas" w:hAnsi="Consolas" w:cs="Consolas"/>
          <w:b w:val="0"/>
          <w:i w:val="0"/>
          <w:sz w:val="15"/>
        </w:rPr>
        <w:t xml:space="preserve">    input.active_trader_mode_context == "SELL"</w:t>
      </w:r>
    </w:p>
    <w:p>
      <w:pPr>
        <w:spacing w:after="0" w:before="0" w:line="240" w:lineRule="auto"/>
        <w:ind w:left="57"/>
        <w:jc w:val="left"/>
        <w:shd w:val="clear" w:fill="F2F2F2"/>
      </w:pPr>
      <w:r>
        <w:rPr>
          <w:rFonts w:ascii="Consolas" w:hAnsi="Consolas" w:cs="Consolas"/>
          <w:b w:val="0"/>
          <w:i w:val="0"/>
          <w:sz w:val="15"/>
        </w:rPr>
        <w:t xml:space="preserve">    role_has_permission(input.actor_role, "seller_quote.submit")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input.action == "exw.lock"</w:t>
      </w:r>
    </w:p>
    <w:p>
      <w:pPr>
        <w:spacing w:after="0" w:before="0" w:line="240" w:lineRule="auto"/>
        <w:ind w:left="57"/>
        <w:jc w:val="left"/>
        <w:shd w:val="clear" w:fill="F2F2F2"/>
      </w:pPr>
      <w:r>
        <w:rPr>
          <w:rFonts w:ascii="Consolas" w:hAnsi="Consolas" w:cs="Consolas"/>
          <w:b w:val="0"/>
          <w:i w:val="0"/>
          <w:sz w:val="15"/>
        </w:rPr>
        <w:t xml:space="preserve">    input.active_trader_mode_context == "SELL"</w:t>
      </w:r>
    </w:p>
    <w:p>
      <w:pPr>
        <w:spacing w:after="0" w:before="0" w:line="240" w:lineRule="auto"/>
        <w:ind w:left="57"/>
        <w:jc w:val="left"/>
        <w:shd w:val="clear" w:fill="F2F2F2"/>
      </w:pPr>
      <w:r>
        <w:rPr>
          <w:rFonts w:ascii="Consolas" w:hAnsi="Consolas" w:cs="Consolas"/>
          <w:b w:val="0"/>
          <w:i w:val="0"/>
          <w:sz w:val="15"/>
        </w:rPr>
        <w:t xml:space="preserve">    role_has_permission(input.actor_role, "exw.lock")</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Actions allowed in both modes (e.g., signing contract)</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input.action == "contract.sign"</w:t>
      </w:r>
    </w:p>
    <w:p>
      <w:pPr>
        <w:spacing w:after="0" w:before="0" w:line="240" w:lineRule="auto"/>
        <w:ind w:left="57"/>
        <w:jc w:val="left"/>
        <w:shd w:val="clear" w:fill="F2F2F2"/>
      </w:pPr>
      <w:r>
        <w:rPr>
          <w:rFonts w:ascii="Consolas" w:hAnsi="Consolas" w:cs="Consolas"/>
          <w:b w:val="0"/>
          <w:i w:val="0"/>
          <w:sz w:val="15"/>
        </w:rPr>
        <w:t xml:space="preserve">    input.active_trader_mode_context in ["BUY", "SELL"]</w:t>
      </w:r>
    </w:p>
    <w:p>
      <w:pPr>
        <w:spacing w:after="0" w:before="0" w:line="240" w:lineRule="auto"/>
        <w:ind w:left="57"/>
        <w:jc w:val="left"/>
        <w:shd w:val="clear" w:fill="F2F2F2"/>
      </w:pPr>
      <w:r>
        <w:rPr>
          <w:rFonts w:ascii="Consolas" w:hAnsi="Consolas" w:cs="Consolas"/>
          <w:b w:val="0"/>
          <w:i w:val="0"/>
          <w:sz w:val="15"/>
        </w:rPr>
        <w:t xml:space="preserve">    role_has_permission(input.actor_role, "contract.sign")</w:t>
      </w:r>
    </w:p>
    <w:p>
      <w:pPr>
        <w:spacing w:after="0" w:before="0" w:line="240" w:lineRule="auto"/>
        <w:ind w:left="57"/>
        <w:jc w:val="left"/>
        <w:shd w:val="clear" w:fill="F2F2F2"/>
      </w:pPr>
      <w:r>
        <w:rPr>
          <w:rFonts w:ascii="Consolas" w:hAnsi="Consolas" w:cs="Consolas"/>
          <w:b w:val="0"/>
          <w:i w:val="0"/>
          <w:sz w:val="15"/>
        </w:rPr>
        <w:t xml:space="preserve">    not resource_already_signed_by_actor(input.resource.ustn, input.actor_gtid)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4.6.6.2 Block Response with Mode Switch Suggestion</w:t>
      </w:r>
    </w:p>
    <w:p>
      <w:pPr>
        <w:spacing w:after="80" w:line="293" w:lineRule="auto"/>
        <w:jc w:val="left"/>
      </w:pPr>
      <w:r>
        <w:rPr>
          <w:rFonts w:ascii="Times New Roman" w:hAnsi="Times New Roman" w:cs="Times New Roman"/>
          <w:b w:val="0"/>
          <w:i w:val="0"/>
          <w:sz w:val="22"/>
        </w:rPr>
        <w:t>If an action is attempted in the wrong mode, the Governor returns a DENY verdict with a tenant_message that includes a mode switch suggestion.</w:t>
      </w:r>
    </w:p>
    <w:p>
      <w:pPr>
        <w:spacing w:after="80" w:line="293" w:lineRule="auto"/>
        <w:jc w:val="left"/>
      </w:pPr>
      <w:r>
        <w:rPr>
          <w:rFonts w:ascii="Times New Roman" w:hAnsi="Times New Roman" w:cs="Times New Roman"/>
          <w:b w:val="0"/>
          <w:i w:val="0"/>
          <w:sz w:val="22"/>
        </w:rPr>
        <w:t>Example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"decision_id": "dec-abc123",</w:t>
      </w:r>
    </w:p>
    <w:p>
      <w:pPr>
        <w:spacing w:after="0" w:before="0" w:line="240" w:lineRule="auto"/>
        <w:ind w:left="57"/>
        <w:jc w:val="left"/>
        <w:shd w:val="clear" w:fill="F2F2F2"/>
      </w:pPr>
      <w:r>
        <w:rPr>
          <w:rFonts w:ascii="Consolas" w:hAnsi="Consolas" w:cs="Consolas"/>
          <w:b w:val="0"/>
          <w:i w:val="0"/>
          <w:sz w:val="15"/>
        </w:rPr>
        <w:t xml:space="preserve">    "verdict": "DENY",</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 are currently in Buyer mode. This action (submitting an EXW price) can only be performed in Seller mode. Switch to Seller mode to continue.",</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"mode_mismatch",</w:t>
      </w:r>
    </w:p>
    <w:p>
      <w:pPr>
        <w:spacing w:after="0" w:before="0" w:line="240" w:lineRule="auto"/>
        <w:ind w:left="57"/>
        <w:jc w:val="left"/>
        <w:shd w:val="clear" w:fill="F2F2F2"/>
      </w:pPr>
      <w:r>
        <w:rPr>
          <w:rFonts w:ascii="Consolas" w:hAnsi="Consolas" w:cs="Consolas"/>
          <w:b w:val="0"/>
          <w:i w:val="0"/>
          <w:sz w:val="15"/>
        </w:rPr>
        <w:t xml:space="preserve">                "label": "Switch to Seller mode",</w:t>
      </w:r>
    </w:p>
    <w:p>
      <w:pPr>
        <w:spacing w:after="0" w:before="0" w:line="240" w:lineRule="auto"/>
        <w:ind w:left="57"/>
        <w:jc w:val="left"/>
        <w:shd w:val="clear" w:fill="F2F2F2"/>
      </w:pPr>
      <w:r>
        <w:rPr>
          <w:rFonts w:ascii="Consolas" w:hAnsi="Consolas" w:cs="Consolas"/>
          <w:b w:val="0"/>
          <w:i w:val="0"/>
          <w:sz w:val="15"/>
        </w:rPr>
        <w:t xml:space="preserve">                "status": "unmet",</w:t>
      </w:r>
    </w:p>
    <w:p>
      <w:pPr>
        <w:spacing w:after="0" w:before="0" w:line="240" w:lineRule="auto"/>
        <w:ind w:left="57"/>
        <w:jc w:val="left"/>
        <w:shd w:val="clear" w:fill="F2F2F2"/>
      </w:pPr>
      <w:r>
        <w:rPr>
          <w:rFonts w:ascii="Consolas" w:hAnsi="Consolas" w:cs="Consolas"/>
          <w:b w:val="0"/>
          <w:i w:val="0"/>
          <w:sz w:val="15"/>
        </w:rPr>
        <w:t xml:space="preserve">                "action_url": "/v1/employee/switch-context?mode=SELL&amp;retry=true"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"loom_hash": "sha256:..."</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UI Behaviour: the PlainLanguage Governor Decision Panel (see Section 16) displays this message and includes a "Switch to Seller Mode" button (1 click). Clicking it triggers the mode switch and then automatically retries the original action.</w:t>
      </w:r>
    </w:p>
    <w:p>
      <w:pPr>
        <w:spacing w:after="80" w:line="293" w:lineRule="auto"/>
        <w:jc w:val="left"/>
      </w:pPr>
      <w:r>
        <w:rPr>
          <w:rFonts w:ascii="Times New Roman" w:hAnsi="Times New Roman" w:cs="Times New Roman"/>
          <w:b w:val="0"/>
          <w:i w:val="0"/>
          <w:sz w:val="22"/>
        </w:rPr>
        <w:t>One-click guarantee: user clicks "Switch to Seller Mode" (1) → mode switches → action retries automatically.</w:t>
      </w:r>
    </w:p>
    <w:p>
      <w:pPr>
        <w:keepNext/>
        <w:spacing w:before="180" w:after="80"/>
        <w:outlineLvl w:val="2"/>
      </w:pPr>
      <w:r>
        <w:rPr>
          <w:rFonts w:ascii="Arial" w:hAnsi="Arial" w:cs="Arial"/>
          <w:b/>
          <w:i w:val="0"/>
          <w:color w:val="333333"/>
          <w:sz w:val="23"/>
        </w:rPr>
        <w:t>4.6.7 Accessibility &amp; Voice Support</w:t>
      </w:r>
    </w:p>
    <w:p>
      <w:pPr>
        <w:keepNext/>
        <w:spacing w:before="140" w:after="60"/>
        <w:outlineLvl w:val="3"/>
      </w:pPr>
      <w:r>
        <w:rPr>
          <w:rFonts w:ascii="Arial" w:hAnsi="Arial" w:cs="Arial"/>
          <w:b/>
          <w:i/>
          <w:color w:val="333333"/>
          <w:sz w:val="22"/>
        </w:rPr>
        <w:t>4.6.7.1 Keyboard Navigation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Action</w:t>
            </w:r>
          </w:p>
        </w:tc>
        <w:tc>
          <w:tcPr>
            <w:tcW w:type="dxa" w:w="4819"/>
            <w:shd w:val="clear" w:fill="D9E2F3"/>
          </w:tcPr>
          <w:p>
            <w:pPr>
              <w:spacing w:after="20" w:before="20" w:line="240" w:lineRule="auto"/>
            </w:pPr>
            <w:r/>
            <w:r>
              <w:rPr>
                <w:rFonts w:ascii="Arial" w:hAnsi="Arial" w:cs="Arial"/>
                <w:b/>
                <w:i w:val="0"/>
                <w:sz w:val="18"/>
              </w:rPr>
              <w:t>Key</w:t>
            </w:r>
          </w:p>
        </w:tc>
      </w:tr>
      <w:tr>
        <w:tc>
          <w:tcPr>
            <w:tcW w:type="dxa" w:w="4819"/>
          </w:tcPr>
          <w:p>
            <w:pPr>
              <w:spacing w:after="20" w:before="20" w:line="240" w:lineRule="auto"/>
            </w:pPr>
            <w:r/>
            <w:r>
              <w:rPr>
                <w:rFonts w:ascii="Arial" w:hAnsi="Arial" w:cs="Arial"/>
                <w:b w:val="0"/>
                <w:i w:val="0"/>
                <w:sz w:val="17"/>
              </w:rPr>
              <w:t>Focus on toggle</w:t>
            </w:r>
          </w:p>
        </w:tc>
        <w:tc>
          <w:tcPr>
            <w:tcW w:type="dxa" w:w="4819"/>
          </w:tcPr>
          <w:p>
            <w:pPr>
              <w:spacing w:after="20" w:before="20" w:line="240" w:lineRule="auto"/>
            </w:pPr>
            <w:r/>
            <w:r>
              <w:rPr>
                <w:rFonts w:ascii="Arial" w:hAnsi="Arial" w:cs="Arial"/>
                <w:b w:val="0"/>
                <w:i w:val="0"/>
                <w:sz w:val="17"/>
              </w:rPr>
              <w:t>Tab (moves through header elements)</w:t>
            </w:r>
          </w:p>
        </w:tc>
      </w:tr>
      <w:tr>
        <w:tc>
          <w:tcPr>
            <w:tcW w:type="dxa" w:w="4819"/>
          </w:tcPr>
          <w:p>
            <w:pPr>
              <w:spacing w:after="20" w:before="20" w:line="240" w:lineRule="auto"/>
            </w:pPr>
            <w:r/>
            <w:r>
              <w:rPr>
                <w:rFonts w:ascii="Arial" w:hAnsi="Arial" w:cs="Arial"/>
                <w:b w:val="0"/>
                <w:i w:val="0"/>
                <w:sz w:val="17"/>
              </w:rPr>
              <w:t>Switch between segments</w:t>
            </w:r>
          </w:p>
        </w:tc>
        <w:tc>
          <w:tcPr>
            <w:tcW w:type="dxa" w:w="4819"/>
          </w:tcPr>
          <w:p>
            <w:pPr>
              <w:spacing w:after="20" w:before="20" w:line="240" w:lineRule="auto"/>
            </w:pPr>
            <w:r/>
            <w:r>
              <w:rPr>
                <w:rFonts w:ascii="Arial" w:hAnsi="Arial" w:cs="Arial"/>
                <w:b w:val="0"/>
                <w:i w:val="0"/>
                <w:sz w:val="17"/>
              </w:rPr>
              <w:t>Left Arrow / Right Arrow when toggle is focused</w:t>
            </w:r>
          </w:p>
        </w:tc>
      </w:tr>
      <w:tr>
        <w:tc>
          <w:tcPr>
            <w:tcW w:type="dxa" w:w="4819"/>
          </w:tcPr>
          <w:p>
            <w:pPr>
              <w:spacing w:after="20" w:before="20" w:line="240" w:lineRule="auto"/>
            </w:pPr>
            <w:r/>
            <w:r>
              <w:rPr>
                <w:rFonts w:ascii="Arial" w:hAnsi="Arial" w:cs="Arial"/>
                <w:b w:val="0"/>
                <w:i w:val="0"/>
                <w:sz w:val="17"/>
              </w:rPr>
              <w:t>Activate mode</w:t>
            </w:r>
          </w:p>
        </w:tc>
        <w:tc>
          <w:tcPr>
            <w:tcW w:type="dxa" w:w="4819"/>
          </w:tcPr>
          <w:p>
            <w:pPr>
              <w:spacing w:after="20" w:before="20" w:line="240" w:lineRule="auto"/>
            </w:pPr>
            <w:r/>
            <w:r>
              <w:rPr>
                <w:rFonts w:ascii="Arial" w:hAnsi="Arial" w:cs="Arial"/>
                <w:b w:val="0"/>
                <w:i w:val="0"/>
                <w:sz w:val="17"/>
              </w:rPr>
              <w:t>Enter or Space on the desired segment</w:t>
            </w:r>
          </w:p>
        </w:tc>
      </w:tr>
      <w:tr>
        <w:tc>
          <w:tcPr>
            <w:tcW w:type="dxa" w:w="4819"/>
          </w:tcPr>
          <w:p>
            <w:pPr>
              <w:spacing w:after="20" w:before="20" w:line="240" w:lineRule="auto"/>
            </w:pPr>
            <w:r/>
            <w:r>
              <w:rPr>
                <w:rFonts w:ascii="Arial" w:hAnsi="Arial" w:cs="Arial"/>
                <w:b w:val="0"/>
                <w:i w:val="0"/>
                <w:sz w:val="17"/>
              </w:rPr>
              <w:t>Close help modal</w:t>
            </w:r>
          </w:p>
        </w:tc>
        <w:tc>
          <w:tcPr>
            <w:tcW w:type="dxa" w:w="4819"/>
          </w:tcPr>
          <w:p>
            <w:pPr>
              <w:spacing w:after="20" w:before="20" w:line="240" w:lineRule="auto"/>
            </w:pPr>
            <w:r/>
            <w:r>
              <w:rPr>
                <w:rFonts w:ascii="Arial" w:hAnsi="Arial" w:cs="Arial"/>
                <w:b w:val="0"/>
                <w:i w:val="0"/>
                <w:sz w:val="17"/>
              </w:rPr>
              <w:t>Escape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ARIA Attributes:</w:t>
      </w:r>
    </w:p>
    <w:p>
      <w:pPr>
        <w:spacing w:after="0" w:before="0" w:line="240" w:lineRule="auto"/>
        <w:ind w:left="57"/>
        <w:jc w:val="left"/>
        <w:shd w:val="clear" w:fill="F2F2F2"/>
      </w:pPr>
      <w:r>
        <w:rPr>
          <w:rFonts w:ascii="Consolas" w:hAnsi="Consolas" w:cs="Consolas"/>
          <w:b w:val="0"/>
          <w:i w:val="0"/>
          <w:sz w:val="15"/>
        </w:rPr>
        <w:t>&lt;div role="group" aria-label="Trader mode selector"&gt;</w:t>
      </w:r>
    </w:p>
    <w:p>
      <w:pPr>
        <w:spacing w:after="0" w:before="0" w:line="240" w:lineRule="auto"/>
        <w:ind w:left="57"/>
        <w:jc w:val="left"/>
        <w:shd w:val="clear" w:fill="F2F2F2"/>
      </w:pPr>
      <w:r>
        <w:rPr>
          <w:rFonts w:ascii="Consolas" w:hAnsi="Consolas" w:cs="Consolas"/>
          <w:b w:val="0"/>
          <w:i w:val="0"/>
          <w:sz w:val="15"/>
        </w:rPr>
        <w:t xml:space="preserve">    &lt;button role="radio" aria-checked="true" aria-label="Buyer mode" id="mode-buy"&gt;</w:t>
      </w:r>
    </w:p>
    <w:p>
      <w:pPr>
        <w:spacing w:after="0" w:before="0" w:line="240" w:lineRule="auto"/>
        <w:ind w:left="57"/>
        <w:jc w:val="left"/>
        <w:shd w:val="clear" w:fill="F2F2F2"/>
      </w:pPr>
      <w:r>
        <w:rPr>
          <w:rFonts w:ascii="Consolas" w:hAnsi="Consolas" w:cs="Consolas"/>
          <w:b w:val="0"/>
          <w:i w:val="0"/>
          <w:sz w:val="15"/>
        </w:rPr>
        <w:t xml:space="preserve">        Buyer</w:t>
      </w:r>
    </w:p>
    <w:p>
      <w:pPr>
        <w:spacing w:after="0" w:before="0" w:line="240" w:lineRule="auto"/>
        <w:ind w:left="57"/>
        <w:jc w:val="left"/>
        <w:shd w:val="clear" w:fill="F2F2F2"/>
      </w:pPr>
      <w:r>
        <w:rPr>
          <w:rFonts w:ascii="Consolas" w:hAnsi="Consolas" w:cs="Consolas"/>
          <w:b w:val="0"/>
          <w:i w:val="0"/>
          <w:sz w:val="15"/>
        </w:rPr>
        <w:t xml:space="preserve">    &lt;/button&gt;</w:t>
      </w:r>
    </w:p>
    <w:p>
      <w:pPr>
        <w:spacing w:after="0" w:before="0" w:line="240" w:lineRule="auto"/>
        <w:ind w:left="57"/>
        <w:jc w:val="left"/>
        <w:shd w:val="clear" w:fill="F2F2F2"/>
      </w:pPr>
      <w:r>
        <w:rPr>
          <w:rFonts w:ascii="Consolas" w:hAnsi="Consolas" w:cs="Consolas"/>
          <w:b w:val="0"/>
          <w:i w:val="0"/>
          <w:sz w:val="15"/>
        </w:rPr>
        <w:t xml:space="preserve">    &lt;button role="radio" aria-checked="false" aria-label="Seller mode" id="mode-sell"&gt;</w:t>
      </w:r>
    </w:p>
    <w:p>
      <w:pPr>
        <w:spacing w:after="0" w:before="0" w:line="240" w:lineRule="auto"/>
        <w:ind w:left="57"/>
        <w:jc w:val="left"/>
        <w:shd w:val="clear" w:fill="F2F2F2"/>
      </w:pPr>
      <w:r>
        <w:rPr>
          <w:rFonts w:ascii="Consolas" w:hAnsi="Consolas" w:cs="Consolas"/>
          <w:b w:val="0"/>
          <w:i w:val="0"/>
          <w:sz w:val="15"/>
        </w:rPr>
        <w:t xml:space="preserve">        Seller</w:t>
      </w:r>
    </w:p>
    <w:p>
      <w:pPr>
        <w:spacing w:after="0" w:before="0" w:line="240" w:lineRule="auto"/>
        <w:ind w:left="57"/>
        <w:jc w:val="left"/>
        <w:shd w:val="clear" w:fill="F2F2F2"/>
      </w:pPr>
      <w:r>
        <w:rPr>
          <w:rFonts w:ascii="Consolas" w:hAnsi="Consolas" w:cs="Consolas"/>
          <w:b w:val="0"/>
          <w:i w:val="0"/>
          <w:sz w:val="15"/>
        </w:rPr>
        <w:t xml:space="preserve">    &lt;/button&gt;</w:t>
      </w:r>
    </w:p>
    <w:p>
      <w:pPr>
        <w:spacing w:after="0" w:before="0" w:line="240" w:lineRule="auto"/>
        <w:ind w:left="57"/>
        <w:jc w:val="left"/>
        <w:shd w:val="clear" w:fill="F2F2F2"/>
      </w:pPr>
      <w:r>
        <w:rPr>
          <w:rFonts w:ascii="Consolas" w:hAnsi="Consolas" w:cs="Consolas"/>
          <w:b w:val="0"/>
          <w:i w:val="0"/>
          <w:sz w:val="15"/>
        </w:rPr>
        <w:t>&lt;/div&gt;</w:t>
      </w:r>
    </w:p>
    <w:p>
      <w:pPr>
        <w:spacing w:after="0" w:before="0" w:line="240" w:lineRule="auto"/>
        <w:ind w:left="57"/>
        <w:jc w:val="left"/>
        <w:shd w:val="clear" w:fill="F2F2F2"/>
      </w:pPr>
      <w:r>
        <w:rPr>
          <w:rFonts w:ascii="Consolas" w:hAnsi="Consolas" w:cs="Consolas"/>
          <w:b w:val="0"/>
          <w:i w:val="0"/>
          <w:sz w:val="15"/>
        </w:rPr>
        <w:t>&lt;div aria-live="polite" aria-atomic="true" id="mode-announcer"&gt;&lt;/div&gt;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Screen Reader Announcement: "Switched to Seller mode" via aria-live region.</w:t>
      </w:r>
    </w:p>
    <w:p>
      <w:pPr>
        <w:keepNext/>
        <w:spacing w:before="140" w:after="60"/>
        <w:outlineLvl w:val="3"/>
      </w:pPr>
      <w:r>
        <w:rPr>
          <w:rFonts w:ascii="Arial" w:hAnsi="Arial" w:cs="Arial"/>
          <w:b/>
          <w:i/>
          <w:color w:val="333333"/>
          <w:sz w:val="22"/>
        </w:rPr>
        <w:t>4.6.7.2 Voice Command</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the user speaks into the VoiceCommandButton (see Section 16).</w:t>
      </w:r>
    </w:p>
    <w:p>
      <w:pPr>
        <w:spacing w:after="80" w:line="293" w:lineRule="auto"/>
        <w:jc w:val="left"/>
      </w:pPr>
      <w:r>
        <w:rPr>
          <w:rFonts w:ascii="Times New Roman" w:hAnsi="Times New Roman" w:cs="Times New Roman"/>
          <w:b w:val="0"/>
          <w:i w:val="0"/>
          <w:sz w:val="22"/>
        </w:rPr>
        <w:t>Commands: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Command</w:t>
            </w:r>
          </w:p>
        </w:tc>
        <w:tc>
          <w:tcPr>
            <w:tcW w:type="dxa" w:w="4819"/>
            <w:shd w:val="clear" w:fill="D9E2F3"/>
          </w:tcPr>
          <w:p>
            <w:pPr>
              <w:spacing w:after="20" w:before="20" w:line="240" w:lineRule="auto"/>
            </w:pPr>
            <w:r/>
            <w:r>
              <w:rPr>
                <w:rFonts w:ascii="Arial" w:hAnsi="Arial" w:cs="Arial"/>
                <w:b/>
                <w:i w:val="0"/>
                <w:sz w:val="18"/>
              </w:rPr>
              <w:t>Result</w:t>
            </w:r>
          </w:p>
        </w:tc>
      </w:tr>
      <w:tr>
        <w:tc>
          <w:tcPr>
            <w:tcW w:type="dxa" w:w="4819"/>
          </w:tcPr>
          <w:p>
            <w:pPr>
              <w:spacing w:after="20" w:before="20" w:line="240" w:lineRule="auto"/>
            </w:pPr>
            <w:r/>
            <w:r>
              <w:rPr>
                <w:rFonts w:ascii="Arial" w:hAnsi="Arial" w:cs="Arial"/>
                <w:b w:val="0"/>
                <w:i w:val="0"/>
                <w:sz w:val="17"/>
              </w:rPr>
              <w:t>"Switch to Buyer mode"</w:t>
            </w:r>
          </w:p>
        </w:tc>
        <w:tc>
          <w:tcPr>
            <w:tcW w:type="dxa" w:w="4819"/>
          </w:tcPr>
          <w:p>
            <w:pPr>
              <w:spacing w:after="20" w:before="20" w:line="240" w:lineRule="auto"/>
            </w:pPr>
            <w:r/>
            <w:r>
              <w:rPr>
                <w:rFonts w:ascii="Arial" w:hAnsi="Arial" w:cs="Arial"/>
                <w:b w:val="0"/>
                <w:i w:val="0"/>
                <w:sz w:val="17"/>
              </w:rPr>
              <w:t>Toggles to Buyer; announces: "Switched to Buyer mode"</w:t>
            </w:r>
          </w:p>
        </w:tc>
      </w:tr>
      <w:tr>
        <w:tc>
          <w:tcPr>
            <w:tcW w:type="dxa" w:w="4819"/>
          </w:tcPr>
          <w:p>
            <w:pPr>
              <w:spacing w:after="20" w:before="20" w:line="240" w:lineRule="auto"/>
            </w:pPr>
            <w:r/>
            <w:r>
              <w:rPr>
                <w:rFonts w:ascii="Arial" w:hAnsi="Arial" w:cs="Arial"/>
                <w:b w:val="0"/>
                <w:i w:val="0"/>
                <w:sz w:val="17"/>
              </w:rPr>
              <w:t>"Switch to Seller mode"</w:t>
            </w:r>
          </w:p>
        </w:tc>
        <w:tc>
          <w:tcPr>
            <w:tcW w:type="dxa" w:w="4819"/>
          </w:tcPr>
          <w:p>
            <w:pPr>
              <w:spacing w:after="20" w:before="20" w:line="240" w:lineRule="auto"/>
            </w:pPr>
            <w:r/>
            <w:r>
              <w:rPr>
                <w:rFonts w:ascii="Arial" w:hAnsi="Arial" w:cs="Arial"/>
                <w:b w:val="0"/>
                <w:i w:val="0"/>
                <w:sz w:val="17"/>
              </w:rPr>
              <w:t>Toggles to Seller; announces: "Switched to Seller mode"</w:t>
            </w:r>
          </w:p>
        </w:tc>
      </w:tr>
      <w:tr>
        <w:tc>
          <w:tcPr>
            <w:tcW w:type="dxa" w:w="4819"/>
          </w:tcPr>
          <w:p>
            <w:pPr>
              <w:spacing w:after="20" w:before="20" w:line="240" w:lineRule="auto"/>
            </w:pPr>
            <w:r/>
            <w:r>
              <w:rPr>
                <w:rFonts w:ascii="Arial" w:hAnsi="Arial" w:cs="Arial"/>
                <w:b w:val="0"/>
                <w:i w:val="0"/>
                <w:sz w:val="17"/>
              </w:rPr>
              <w:t>"What mode am I in?"</w:t>
            </w:r>
          </w:p>
        </w:tc>
        <w:tc>
          <w:tcPr>
            <w:tcW w:type="dxa" w:w="4819"/>
          </w:tcPr>
          <w:p>
            <w:pPr>
              <w:spacing w:after="20" w:before="20" w:line="240" w:lineRule="auto"/>
            </w:pPr>
            <w:r/>
            <w:r>
              <w:rPr>
                <w:rFonts w:ascii="Arial" w:hAnsi="Arial" w:cs="Arial"/>
                <w:b w:val="0"/>
                <w:i w:val="0"/>
                <w:sz w:val="17"/>
              </w:rPr>
              <w:t>Responds: "You are currently in [Buyer/Seller] mode"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Processing:</w:t>
      </w:r>
    </w:p>
    <w:p>
      <w:pPr>
        <w:spacing w:after="80" w:line="293" w:lineRule="auto"/>
        <w:jc w:val="left"/>
      </w:pPr>
      <w:r>
        <w:rPr>
          <w:rFonts w:ascii="Times New Roman" w:hAnsi="Times New Roman" w:cs="Times New Roman"/>
          <w:b w:val="0"/>
          <w:i w:val="0"/>
          <w:sz w:val="22"/>
        </w:rPr>
        <w:t>1. Vosk (offline) transcribes. 2. HF Mixtral (A2) extracts intent and mode. 3. If intent is recognised, triggers the same POST /v1/employee/switch-context endpoint. 4. Confirmation via TTS (device text-to-speech).</w:t>
      </w:r>
    </w:p>
    <w:p>
      <w:pPr>
        <w:spacing w:after="80" w:line="293" w:lineRule="auto"/>
        <w:jc w:val="left"/>
      </w:pPr>
      <w:r>
        <w:rPr>
          <w:rFonts w:ascii="Times New Roman" w:hAnsi="Times New Roman" w:cs="Times New Roman"/>
          <w:b w:val="0"/>
          <w:i w:val="0"/>
          <w:sz w:val="22"/>
        </w:rPr>
        <w:t>Fallback: if voice recognition fails, a visual prompt appears: "I didn't catch that. Please use the toggle or type your command."</w:t>
      </w:r>
    </w:p>
    <w:p>
      <w:pPr>
        <w:keepNext/>
        <w:spacing w:before="180" w:after="80"/>
        <w:outlineLvl w:val="2"/>
      </w:pPr>
      <w:r>
        <w:rPr>
          <w:rFonts w:ascii="Arial" w:hAnsi="Arial" w:cs="Arial"/>
          <w:b/>
          <w:i w:val="0"/>
          <w:color w:val="333333"/>
          <w:sz w:val="23"/>
        </w:rPr>
        <w:t>4.6.8 Integration with Other Components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Integration Point</w:t>
            </w:r>
          </w:p>
        </w:tc>
        <w:tc>
          <w:tcPr>
            <w:tcW w:type="dxa" w:w="3213"/>
            <w:shd w:val="clear" w:fill="D9E2F3"/>
          </w:tcPr>
          <w:p>
            <w:pPr>
              <w:spacing w:after="20" w:before="20" w:line="240" w:lineRule="auto"/>
            </w:pPr>
            <w:r/>
            <w:r>
              <w:rPr>
                <w:rFonts w:ascii="Arial" w:hAnsi="Arial" w:cs="Arial"/>
                <w:b/>
                <w:i w:val="0"/>
                <w:sz w:val="18"/>
              </w:rPr>
              <w:t>Behaviour</w:t>
            </w:r>
          </w:p>
        </w:tc>
      </w:tr>
      <w:tr>
        <w:tc>
          <w:tcPr>
            <w:tcW w:type="dxa" w:w="3213"/>
          </w:tcPr>
          <w:p>
            <w:pPr>
              <w:spacing w:after="20" w:before="20" w:line="240" w:lineRule="auto"/>
            </w:pPr>
            <w:r/>
            <w:r>
              <w:rPr>
                <w:rFonts w:ascii="Arial" w:hAnsi="Arial" w:cs="Arial"/>
                <w:b w:val="0"/>
                <w:i w:val="0"/>
                <w:sz w:val="17"/>
              </w:rPr>
              <w:t>Smart Inbox</w:t>
            </w:r>
          </w:p>
        </w:tc>
        <w:tc>
          <w:tcPr>
            <w:tcW w:type="dxa" w:w="3213"/>
          </w:tcPr>
          <w:p>
            <w:pPr>
              <w:spacing w:after="20" w:before="20" w:line="240" w:lineRule="auto"/>
            </w:pPr>
            <w:r/>
            <w:r>
              <w:rPr>
                <w:rFonts w:ascii="Arial" w:hAnsi="Arial" w:cs="Arial"/>
                <w:b w:val="0"/>
                <w:i w:val="0"/>
                <w:sz w:val="17"/>
              </w:rPr>
              <w:t>Filters items based on active_trader_mode_context</w:t>
            </w:r>
          </w:p>
        </w:tc>
        <w:tc>
          <w:tcPr>
            <w:tcW w:type="dxa" w:w="3213"/>
          </w:tcPr>
          <w:p>
            <w:pPr>
              <w:spacing w:after="20" w:before="20" w:line="240" w:lineRule="auto"/>
            </w:pPr>
            <w:r/>
            <w:r>
              <w:rPr>
                <w:rFonts w:ascii="Arial" w:hAnsi="Arial" w:cs="Arial"/>
                <w:b w:val="0"/>
                <w:i w:val="0"/>
                <w:sz w:val="17"/>
              </w:rPr>
              <w:t>Buyer sees buyer items; Seller sees seller items</w:t>
            </w:r>
          </w:p>
        </w:tc>
      </w:tr>
      <w:tr>
        <w:tc>
          <w:tcPr>
            <w:tcW w:type="dxa" w:w="3213"/>
          </w:tcPr>
          <w:p>
            <w:pPr>
              <w:spacing w:after="20" w:before="20" w:line="240" w:lineRule="auto"/>
            </w:pPr>
            <w:r/>
            <w:r>
              <w:rPr>
                <w:rFonts w:ascii="Arial" w:hAnsi="Arial" w:cs="Arial"/>
                <w:b w:val="0"/>
                <w:i w:val="0"/>
                <w:sz w:val="17"/>
              </w:rPr>
              <w:t>Shipments Vault</w:t>
            </w:r>
          </w:p>
        </w:tc>
        <w:tc>
          <w:tcPr>
            <w:tcW w:type="dxa" w:w="3213"/>
          </w:tcPr>
          <w:p>
            <w:pPr>
              <w:spacing w:after="20" w:before="20" w:line="240" w:lineRule="auto"/>
            </w:pPr>
            <w:r/>
            <w:r>
              <w:rPr>
                <w:rFonts w:ascii="Arial" w:hAnsi="Arial" w:cs="Arial"/>
                <w:b w:val="0"/>
                <w:i w:val="0"/>
                <w:sz w:val="17"/>
              </w:rPr>
              <w:t>Columns and filters switch</w:t>
            </w:r>
          </w:p>
        </w:tc>
        <w:tc>
          <w:tcPr>
            <w:tcW w:type="dxa" w:w="3213"/>
          </w:tcPr>
          <w:p>
            <w:pPr>
              <w:spacing w:after="20" w:before="20" w:line="240" w:lineRule="auto"/>
            </w:pPr>
            <w:r/>
            <w:r>
              <w:rPr>
                <w:rFonts w:ascii="Arial" w:hAnsi="Arial" w:cs="Arial"/>
                <w:b w:val="0"/>
                <w:i w:val="0"/>
                <w:sz w:val="17"/>
              </w:rPr>
              <w:t>Buyer sees inbound columns; Seller sees outbound columns</w:t>
            </w:r>
          </w:p>
        </w:tc>
      </w:tr>
      <w:tr>
        <w:tc>
          <w:tcPr>
            <w:tcW w:type="dxa" w:w="3213"/>
          </w:tcPr>
          <w:p>
            <w:pPr>
              <w:spacing w:after="20" w:before="20" w:line="240" w:lineRule="auto"/>
            </w:pPr>
            <w:r/>
            <w:r>
              <w:rPr>
                <w:rFonts w:ascii="Arial" w:hAnsi="Arial" w:cs="Arial"/>
                <w:b w:val="0"/>
                <w:i w:val="0"/>
                <w:sz w:val="17"/>
              </w:rPr>
              <w:t>Trade Command Center</w:t>
            </w:r>
          </w:p>
        </w:tc>
        <w:tc>
          <w:tcPr>
            <w:tcW w:type="dxa" w:w="3213"/>
          </w:tcPr>
          <w:p>
            <w:pPr>
              <w:spacing w:after="20" w:before="20" w:line="240" w:lineRule="auto"/>
            </w:pPr>
            <w:r/>
            <w:r>
              <w:rPr>
                <w:rFonts w:ascii="Arial" w:hAnsi="Arial" w:cs="Arial"/>
                <w:b w:val="0"/>
                <w:i w:val="0"/>
                <w:sz w:val="17"/>
              </w:rPr>
              <w:t>Financial cards and pending actions adapt</w:t>
            </w:r>
          </w:p>
        </w:tc>
        <w:tc>
          <w:tcPr>
            <w:tcW w:type="dxa" w:w="3213"/>
          </w:tcPr>
          <w:p>
            <w:pPr>
              <w:spacing w:after="20" w:before="20" w:line="240" w:lineRule="auto"/>
            </w:pPr>
            <w:r/>
            <w:r>
              <w:rPr>
                <w:rFonts w:ascii="Arial" w:hAnsi="Arial" w:cs="Arial"/>
                <w:b w:val="0"/>
                <w:i w:val="0"/>
                <w:sz w:val="17"/>
              </w:rPr>
              <w:t>Buyer sees payable; Seller sees cost breakdown and margin</w:t>
            </w:r>
          </w:p>
        </w:tc>
      </w:tr>
      <w:tr>
        <w:tc>
          <w:tcPr>
            <w:tcW w:type="dxa" w:w="3213"/>
          </w:tcPr>
          <w:p>
            <w:pPr>
              <w:spacing w:after="20" w:before="20" w:line="240" w:lineRule="auto"/>
            </w:pPr>
            <w:r/>
            <w:r>
              <w:rPr>
                <w:rFonts w:ascii="Arial" w:hAnsi="Arial" w:cs="Arial"/>
                <w:b w:val="0"/>
                <w:i w:val="0"/>
                <w:sz w:val="17"/>
              </w:rPr>
              <w:t>Sidebar Navigation</w:t>
            </w:r>
          </w:p>
        </w:tc>
        <w:tc>
          <w:tcPr>
            <w:tcW w:type="dxa" w:w="3213"/>
          </w:tcPr>
          <w:p>
            <w:pPr>
              <w:spacing w:after="20" w:before="20" w:line="240" w:lineRule="auto"/>
            </w:pPr>
            <w:r/>
            <w:r>
              <w:rPr>
                <w:rFonts w:ascii="Arial" w:hAnsi="Arial" w:cs="Arial"/>
                <w:b w:val="0"/>
                <w:i w:val="0"/>
                <w:sz w:val="17"/>
              </w:rPr>
              <w:t>Tabs change</w:t>
            </w:r>
          </w:p>
        </w:tc>
        <w:tc>
          <w:tcPr>
            <w:tcW w:type="dxa" w:w="3213"/>
          </w:tcPr>
          <w:p>
            <w:pPr>
              <w:spacing w:after="20" w:before="20" w:line="240" w:lineRule="auto"/>
            </w:pPr>
            <w:r/>
            <w:r>
              <w:rPr>
                <w:rFonts w:ascii="Arial" w:hAnsi="Arial" w:cs="Arial"/>
                <w:b w:val="0"/>
                <w:i w:val="0"/>
                <w:sz w:val="17"/>
              </w:rPr>
              <w:t>Buyer-specific vs Seller-specific tabs</w:t>
            </w:r>
          </w:p>
        </w:tc>
      </w:tr>
      <w:tr>
        <w:tc>
          <w:tcPr>
            <w:tcW w:type="dxa" w:w="3213"/>
          </w:tcPr>
          <w:p>
            <w:pPr>
              <w:spacing w:after="20" w:before="20" w:line="240" w:lineRule="auto"/>
            </w:pPr>
            <w:r/>
            <w:r>
              <w:rPr>
                <w:rFonts w:ascii="Arial" w:hAnsi="Arial" w:cs="Arial"/>
                <w:b w:val="0"/>
                <w:i w:val="0"/>
                <w:sz w:val="17"/>
              </w:rPr>
              <w:t>Network Tab</w:t>
            </w:r>
          </w:p>
        </w:tc>
        <w:tc>
          <w:tcPr>
            <w:tcW w:type="dxa" w:w="3213"/>
          </w:tcPr>
          <w:p>
            <w:pPr>
              <w:spacing w:after="20" w:before="20" w:line="240" w:lineRule="auto"/>
            </w:pPr>
            <w:r/>
            <w:r>
              <w:rPr>
                <w:rFonts w:ascii="Arial" w:hAnsi="Arial" w:cs="Arial"/>
                <w:b w:val="0"/>
                <w:i w:val="0"/>
                <w:sz w:val="17"/>
              </w:rPr>
              <w:t>Contacts filtered</w:t>
            </w:r>
          </w:p>
        </w:tc>
        <w:tc>
          <w:tcPr>
            <w:tcW w:type="dxa" w:w="3213"/>
          </w:tcPr>
          <w:p>
            <w:pPr>
              <w:spacing w:after="20" w:before="20" w:line="240" w:lineRule="auto"/>
            </w:pPr>
            <w:r/>
            <w:r>
              <w:rPr>
                <w:rFonts w:ascii="Arial" w:hAnsi="Arial" w:cs="Arial"/>
                <w:b w:val="0"/>
                <w:i w:val="0"/>
                <w:sz w:val="17"/>
              </w:rPr>
              <w:t>Buyer sees sellers, logistics, financiers, QC; Seller sees buyers, logistics, QC, financiers</w:t>
            </w:r>
          </w:p>
        </w:tc>
      </w:tr>
      <w:tr>
        <w:tc>
          <w:tcPr>
            <w:tcW w:type="dxa" w:w="3213"/>
          </w:tcPr>
          <w:p>
            <w:pPr>
              <w:spacing w:after="20" w:before="20" w:line="240" w:lineRule="auto"/>
            </w:pPr>
            <w:r/>
            <w:r>
              <w:rPr>
                <w:rFonts w:ascii="Arial" w:hAnsi="Arial" w:cs="Arial"/>
                <w:b w:val="0"/>
                <w:i w:val="0"/>
                <w:sz w:val="17"/>
              </w:rPr>
              <w:t>Company Admin</w:t>
            </w:r>
          </w:p>
        </w:tc>
        <w:tc>
          <w:tcPr>
            <w:tcW w:type="dxa" w:w="3213"/>
          </w:tcPr>
          <w:p>
            <w:pPr>
              <w:spacing w:after="20" w:before="20" w:line="240" w:lineRule="auto"/>
            </w:pPr>
            <w:r/>
            <w:r>
              <w:rPr>
                <w:rFonts w:ascii="Arial" w:hAnsi="Arial" w:cs="Arial"/>
                <w:b w:val="0"/>
                <w:i w:val="0"/>
                <w:sz w:val="17"/>
              </w:rPr>
              <w:t>Data scopes allow disabling toggle</w:t>
            </w:r>
          </w:p>
        </w:tc>
        <w:tc>
          <w:tcPr>
            <w:tcW w:type="dxa" w:w="3213"/>
          </w:tcPr>
          <w:p>
            <w:pPr>
              <w:spacing w:after="20" w:before="20" w:line="240" w:lineRule="auto"/>
            </w:pPr>
            <w:r/>
            <w:r>
              <w:rPr>
                <w:rFonts w:ascii="Arial" w:hAnsi="Arial" w:cs="Arial"/>
                <w:b w:val="0"/>
                <w:i w:val="0"/>
                <w:sz w:val="17"/>
              </w:rPr>
              <w:t>allow_role_switching = false hides toggle</w:t>
            </w:r>
          </w:p>
        </w:tc>
      </w:tr>
      <w:tr>
        <w:tc>
          <w:tcPr>
            <w:tcW w:type="dxa" w:w="3213"/>
          </w:tcPr>
          <w:p>
            <w:pPr>
              <w:spacing w:after="20" w:before="20" w:line="240" w:lineRule="auto"/>
            </w:pPr>
            <w:r/>
            <w:r>
              <w:rPr>
                <w:rFonts w:ascii="Arial" w:hAnsi="Arial" w:cs="Arial"/>
                <w:b w:val="0"/>
                <w:i w:val="0"/>
                <w:sz w:val="17"/>
              </w:rPr>
              <w:t>Onboarding Wizard</w:t>
            </w:r>
          </w:p>
        </w:tc>
        <w:tc>
          <w:tcPr>
            <w:tcW w:type="dxa" w:w="3213"/>
          </w:tcPr>
          <w:p>
            <w:pPr>
              <w:spacing w:after="20" w:before="20" w:line="240" w:lineRule="auto"/>
            </w:pPr>
            <w:r/>
            <w:r>
              <w:rPr>
                <w:rFonts w:ascii="Arial" w:hAnsi="Arial" w:cs="Arial"/>
                <w:b w:val="0"/>
                <w:i w:val="0"/>
                <w:sz w:val="17"/>
              </w:rPr>
              <w:t>Sets default_trader_mode</w:t>
            </w:r>
          </w:p>
        </w:tc>
        <w:tc>
          <w:tcPr>
            <w:tcW w:type="dxa" w:w="3213"/>
          </w:tcPr>
          <w:p>
            <w:pPr>
              <w:spacing w:after="20" w:before="20" w:line="240" w:lineRule="auto"/>
            </w:pPr>
            <w:r/>
            <w:r>
              <w:rPr>
                <w:rFonts w:ascii="Arial" w:hAnsi="Arial" w:cs="Arial"/>
                <w:b w:val="0"/>
                <w:i w:val="0"/>
                <w:sz w:val="17"/>
              </w:rPr>
              <w:t>User chooses BUY, SELL, or DUAL</w:t>
            </w:r>
          </w:p>
        </w:tc>
      </w:tr>
      <w:tr>
        <w:tc>
          <w:tcPr>
            <w:tcW w:type="dxa" w:w="3213"/>
          </w:tcPr>
          <w:p>
            <w:pPr>
              <w:spacing w:after="20" w:before="20" w:line="240" w:lineRule="auto"/>
            </w:pPr>
            <w:r/>
            <w:r>
              <w:rPr>
                <w:rFonts w:ascii="Arial" w:hAnsi="Arial" w:cs="Arial"/>
                <w:b w:val="0"/>
                <w:i w:val="0"/>
                <w:sz w:val="17"/>
              </w:rPr>
              <w:t>PlainLanguage Governor Decision Panel</w:t>
            </w:r>
          </w:p>
        </w:tc>
        <w:tc>
          <w:tcPr>
            <w:tcW w:type="dxa" w:w="3213"/>
          </w:tcPr>
          <w:p>
            <w:pPr>
              <w:spacing w:after="20" w:before="20" w:line="240" w:lineRule="auto"/>
            </w:pPr>
            <w:r/>
            <w:r>
              <w:rPr>
                <w:rFonts w:ascii="Arial" w:hAnsi="Arial" w:cs="Arial"/>
                <w:b w:val="0"/>
                <w:i w:val="0"/>
                <w:sz w:val="17"/>
              </w:rPr>
              <w:t>Displays mode mismatch block</w:t>
            </w:r>
          </w:p>
        </w:tc>
        <w:tc>
          <w:tcPr>
            <w:tcW w:type="dxa" w:w="3213"/>
          </w:tcPr>
          <w:p>
            <w:pPr>
              <w:spacing w:after="20" w:before="20" w:line="240" w:lineRule="auto"/>
            </w:pPr>
            <w:r/>
            <w:r>
              <w:rPr>
                <w:rFonts w:ascii="Arial" w:hAnsi="Arial" w:cs="Arial"/>
                <w:b w:val="0"/>
                <w:i w:val="0"/>
                <w:sz w:val="17"/>
              </w:rPr>
              <w:t>Includes "Switch Mode" button</w:t>
            </w:r>
          </w:p>
        </w:tc>
      </w:tr>
      <w:tr>
        <w:tc>
          <w:tcPr>
            <w:tcW w:type="dxa" w:w="3213"/>
          </w:tcPr>
          <w:p>
            <w:pPr>
              <w:spacing w:after="20" w:before="20" w:line="240" w:lineRule="auto"/>
            </w:pPr>
            <w:r/>
            <w:r>
              <w:rPr>
                <w:rFonts w:ascii="Arial" w:hAnsi="Arial" w:cs="Arial"/>
                <w:b w:val="0"/>
                <w:i w:val="0"/>
                <w:sz w:val="17"/>
              </w:rPr>
              <w:t>VoiceCommandButton</w:t>
            </w:r>
          </w:p>
        </w:tc>
        <w:tc>
          <w:tcPr>
            <w:tcW w:type="dxa" w:w="3213"/>
          </w:tcPr>
          <w:p>
            <w:pPr>
              <w:spacing w:after="20" w:before="20" w:line="240" w:lineRule="auto"/>
            </w:pPr>
            <w:r/>
            <w:r>
              <w:rPr>
                <w:rFonts w:ascii="Arial" w:hAnsi="Arial" w:cs="Arial"/>
                <w:b w:val="0"/>
                <w:i w:val="0"/>
                <w:sz w:val="17"/>
              </w:rPr>
              <w:t>Voice-activated switching</w:t>
            </w:r>
          </w:p>
        </w:tc>
        <w:tc>
          <w:tcPr>
            <w:tcW w:type="dxa" w:w="3213"/>
          </w:tcPr>
          <w:p>
            <w:pPr>
              <w:spacing w:after="20" w:before="20" w:line="240" w:lineRule="auto"/>
            </w:pPr>
            <w:r/>
            <w:r>
              <w:rPr>
                <w:rFonts w:ascii="Arial" w:hAnsi="Arial" w:cs="Arial"/>
                <w:b w:val="0"/>
                <w:i w:val="0"/>
                <w:sz w:val="17"/>
              </w:rPr>
              <w:t>"Switch to Seller mode"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4.6.9 Role-Specific Views &amp; Permissions</w:t>
      </w:r>
    </w:p>
    <w:p>
      <w:pPr>
        <w:keepNext/>
        <w:spacing w:before="140" w:after="60"/>
        <w:outlineLvl w:val="3"/>
      </w:pPr>
      <w:r>
        <w:rPr>
          <w:rFonts w:ascii="Arial" w:hAnsi="Arial" w:cs="Arial"/>
          <w:b/>
          <w:i/>
          <w:color w:val="333333"/>
          <w:sz w:val="22"/>
        </w:rPr>
        <w:t>4.6.9.1 Pure Buyer (mode = BUY)</w:t>
      </w:r>
    </w:p>
    <w:p>
      <w:pPr>
        <w:spacing w:after="80" w:line="293" w:lineRule="auto"/>
        <w:ind w:left="283"/>
        <w:jc w:val="left"/>
      </w:pPr>
      <w:r>
        <w:rPr>
          <w:rFonts w:ascii="Times New Roman" w:hAnsi="Times New Roman" w:cs="Times New Roman"/>
          <w:b w:val="0"/>
          <w:i w:val="0"/>
          <w:sz w:val="22"/>
        </w:rPr>
        <w:t>- Toggle hidden.</w:t>
      </w:r>
    </w:p>
    <w:p>
      <w:pPr>
        <w:spacing w:after="80" w:line="293" w:lineRule="auto"/>
        <w:ind w:left="283"/>
        <w:jc w:val="left"/>
      </w:pPr>
      <w:r>
        <w:rPr>
          <w:rFonts w:ascii="Times New Roman" w:hAnsi="Times New Roman" w:cs="Times New Roman"/>
          <w:b w:val="0"/>
          <w:i w:val="0"/>
          <w:sz w:val="22"/>
        </w:rPr>
        <w:t>- Portal permanently in Buyer dashboard.</w:t>
      </w:r>
    </w:p>
    <w:p>
      <w:pPr>
        <w:spacing w:after="80" w:line="293" w:lineRule="auto"/>
        <w:ind w:left="283"/>
        <w:jc w:val="left"/>
      </w:pPr>
      <w:r>
        <w:rPr>
          <w:rFonts w:ascii="Times New Roman" w:hAnsi="Times New Roman" w:cs="Times New Roman"/>
          <w:b w:val="0"/>
          <w:i w:val="0"/>
          <w:sz w:val="22"/>
        </w:rPr>
        <w:t>- Only buyer-side actions allowed.</w:t>
      </w:r>
    </w:p>
    <w:p>
      <w:pPr>
        <w:spacing w:after="80" w:line="293" w:lineRule="auto"/>
        <w:ind w:left="283"/>
        <w:jc w:val="left"/>
      </w:pPr>
      <w:r>
        <w:rPr>
          <w:rFonts w:ascii="Times New Roman" w:hAnsi="Times New Roman" w:cs="Times New Roman"/>
          <w:b w:val="0"/>
          <w:i w:val="0"/>
          <w:sz w:val="22"/>
        </w:rPr>
        <w:t>- active_trader_mode_context always BUY.</w:t>
      </w:r>
    </w:p>
    <w:p>
      <w:pPr>
        <w:keepNext/>
        <w:spacing w:before="140" w:after="60"/>
        <w:outlineLvl w:val="3"/>
      </w:pPr>
      <w:r>
        <w:rPr>
          <w:rFonts w:ascii="Arial" w:hAnsi="Arial" w:cs="Arial"/>
          <w:b/>
          <w:i/>
          <w:color w:val="333333"/>
          <w:sz w:val="22"/>
        </w:rPr>
        <w:t>4.6.9.2 Pure Seller (mode = SELL)</w:t>
      </w:r>
    </w:p>
    <w:p>
      <w:pPr>
        <w:spacing w:after="80" w:line="293" w:lineRule="auto"/>
        <w:ind w:left="283"/>
        <w:jc w:val="left"/>
      </w:pPr>
      <w:r>
        <w:rPr>
          <w:rFonts w:ascii="Times New Roman" w:hAnsi="Times New Roman" w:cs="Times New Roman"/>
          <w:b w:val="0"/>
          <w:i w:val="0"/>
          <w:sz w:val="22"/>
        </w:rPr>
        <w:t>- Toggle hidden.</w:t>
      </w:r>
    </w:p>
    <w:p>
      <w:pPr>
        <w:spacing w:after="80" w:line="293" w:lineRule="auto"/>
        <w:ind w:left="283"/>
        <w:jc w:val="left"/>
      </w:pPr>
      <w:r>
        <w:rPr>
          <w:rFonts w:ascii="Times New Roman" w:hAnsi="Times New Roman" w:cs="Times New Roman"/>
          <w:b w:val="0"/>
          <w:i w:val="0"/>
          <w:sz w:val="22"/>
        </w:rPr>
        <w:t>- Portal permanently in Seller dashboard.</w:t>
      </w:r>
    </w:p>
    <w:p>
      <w:pPr>
        <w:spacing w:after="80" w:line="293" w:lineRule="auto"/>
        <w:ind w:left="283"/>
        <w:jc w:val="left"/>
      </w:pPr>
      <w:r>
        <w:rPr>
          <w:rFonts w:ascii="Times New Roman" w:hAnsi="Times New Roman" w:cs="Times New Roman"/>
          <w:b w:val="0"/>
          <w:i w:val="0"/>
          <w:sz w:val="22"/>
        </w:rPr>
        <w:t>- Only seller-side actions allowed.</w:t>
      </w:r>
    </w:p>
    <w:p>
      <w:pPr>
        <w:spacing w:after="80" w:line="293" w:lineRule="auto"/>
        <w:ind w:left="283"/>
        <w:jc w:val="left"/>
      </w:pPr>
      <w:r>
        <w:rPr>
          <w:rFonts w:ascii="Times New Roman" w:hAnsi="Times New Roman" w:cs="Times New Roman"/>
          <w:b w:val="0"/>
          <w:i w:val="0"/>
          <w:sz w:val="22"/>
        </w:rPr>
        <w:t>- active_trader_mode_context always SELL.</w:t>
      </w:r>
    </w:p>
    <w:p>
      <w:pPr>
        <w:keepNext/>
        <w:spacing w:before="140" w:after="60"/>
        <w:outlineLvl w:val="3"/>
      </w:pPr>
      <w:r>
        <w:rPr>
          <w:rFonts w:ascii="Arial" w:hAnsi="Arial" w:cs="Arial"/>
          <w:b/>
          <w:i/>
          <w:color w:val="333333"/>
          <w:sz w:val="22"/>
        </w:rPr>
        <w:t>4.6.9.3 Dual-Mode (mode = DUAL)</w:t>
      </w:r>
    </w:p>
    <w:p>
      <w:pPr>
        <w:spacing w:after="80" w:line="293" w:lineRule="auto"/>
        <w:ind w:left="283"/>
        <w:jc w:val="left"/>
      </w:pPr>
      <w:r>
        <w:rPr>
          <w:rFonts w:ascii="Times New Roman" w:hAnsi="Times New Roman" w:cs="Times New Roman"/>
          <w:b w:val="0"/>
          <w:i w:val="0"/>
          <w:sz w:val="22"/>
        </w:rPr>
        <w:t>- Toggle visible if allow_role_switching = true for the employee.</w:t>
      </w:r>
    </w:p>
    <w:p>
      <w:pPr>
        <w:spacing w:after="80" w:line="293" w:lineRule="auto"/>
        <w:ind w:left="283"/>
        <w:jc w:val="left"/>
      </w:pPr>
      <w:r>
        <w:rPr>
          <w:rFonts w:ascii="Times New Roman" w:hAnsi="Times New Roman" w:cs="Times New Roman"/>
          <w:b w:val="0"/>
          <w:i w:val="0"/>
          <w:sz w:val="22"/>
        </w:rPr>
        <w:t>- User can switch freely.</w:t>
      </w:r>
    </w:p>
    <w:p>
      <w:pPr>
        <w:spacing w:after="80" w:line="293" w:lineRule="auto"/>
        <w:ind w:left="283"/>
        <w:jc w:val="left"/>
      </w:pPr>
      <w:r>
        <w:rPr>
          <w:rFonts w:ascii="Times New Roman" w:hAnsi="Times New Roman" w:cs="Times New Roman"/>
          <w:b w:val="0"/>
          <w:i w:val="0"/>
          <w:sz w:val="22"/>
        </w:rPr>
        <w:t>- active_trader_mode_context set to last selected mode.</w:t>
      </w:r>
    </w:p>
    <w:p>
      <w:pPr>
        <w:spacing w:after="80" w:line="293" w:lineRule="auto"/>
        <w:ind w:left="283"/>
        <w:jc w:val="left"/>
      </w:pPr>
      <w:r>
        <w:rPr>
          <w:rFonts w:ascii="Times New Roman" w:hAnsi="Times New Roman" w:cs="Times New Roman"/>
          <w:b w:val="0"/>
          <w:i w:val="0"/>
          <w:sz w:val="22"/>
        </w:rPr>
        <w:t>- OPA policies enforce mode-specific actions.</w:t>
      </w:r>
    </w:p>
    <w:p>
      <w:pPr>
        <w:keepNext/>
        <w:spacing w:before="140" w:after="60"/>
        <w:outlineLvl w:val="3"/>
      </w:pPr>
      <w:r>
        <w:rPr>
          <w:rFonts w:ascii="Arial" w:hAnsi="Arial" w:cs="Arial"/>
          <w:b/>
          <w:i/>
          <w:color w:val="333333"/>
          <w:sz w:val="22"/>
        </w:rPr>
        <w:t>4.6.9.4 Dual-Mode with Disabled Switching</w:t>
      </w:r>
    </w:p>
    <w:p>
      <w:pPr>
        <w:spacing w:after="80" w:line="293" w:lineRule="auto"/>
        <w:ind w:left="283"/>
        <w:jc w:val="left"/>
      </w:pPr>
      <w:r>
        <w:rPr>
          <w:rFonts w:ascii="Times New Roman" w:hAnsi="Times New Roman" w:cs="Times New Roman"/>
          <w:b w:val="0"/>
          <w:i w:val="0"/>
          <w:sz w:val="22"/>
        </w:rPr>
        <w:t>- Toggle hidden (allow_role_switching = false).</w:t>
      </w:r>
    </w:p>
    <w:p>
      <w:pPr>
        <w:spacing w:after="80" w:line="293" w:lineRule="auto"/>
        <w:ind w:left="283"/>
        <w:jc w:val="left"/>
      </w:pPr>
      <w:r>
        <w:rPr>
          <w:rFonts w:ascii="Times New Roman" w:hAnsi="Times New Roman" w:cs="Times New Roman"/>
          <w:b w:val="0"/>
          <w:i w:val="0"/>
          <w:sz w:val="22"/>
        </w:rPr>
        <w:t>- User locked into default_trader_mode (either BUY or SELL).</w:t>
      </w:r>
    </w:p>
    <w:p>
      <w:pPr>
        <w:spacing w:after="80" w:line="293" w:lineRule="auto"/>
        <w:ind w:left="283"/>
        <w:jc w:val="left"/>
      </w:pPr>
      <w:r>
        <w:rPr>
          <w:rFonts w:ascii="Times New Roman" w:hAnsi="Times New Roman" w:cs="Times New Roman"/>
          <w:b w:val="0"/>
          <w:i w:val="0"/>
          <w:sz w:val="22"/>
        </w:rPr>
        <w:t>- Employee sees only one side of the portal.</w:t>
      </w:r>
    </w:p>
    <w:p>
      <w:pPr>
        <w:spacing w:after="80" w:line="293" w:lineRule="auto"/>
        <w:ind w:left="283"/>
        <w:jc w:val="left"/>
      </w:pPr>
      <w:r>
        <w:rPr>
          <w:rFonts w:ascii="Times New Roman" w:hAnsi="Times New Roman" w:cs="Times New Roman"/>
          <w:b w:val="0"/>
          <w:i w:val="0"/>
          <w:sz w:val="22"/>
        </w:rPr>
        <w:t>- Use Case: a finance department user who only manages payables (Buyer mode) or receivables (Seller mode) should not have access to the opposite side.</w:t>
      </w:r>
    </w:p>
    <w:p>
      <w:pPr>
        <w:spacing w:after="80" w:line="293" w:lineRule="auto"/>
        <w:ind w:left="283"/>
        <w:jc w:val="left"/>
      </w:pPr>
      <w:r>
        <w:rPr>
          <w:rFonts w:ascii="Times New Roman" w:hAnsi="Times New Roman" w:cs="Times New Roman"/>
          <w:b w:val="0"/>
          <w:i w:val="0"/>
          <w:sz w:val="22"/>
        </w:rPr>
        <w:t>- One-click: admin sets allow_role_switching = false in Company Admin → Data Scopes (1 click).</w:t>
      </w:r>
    </w:p>
    <w:p>
      <w:pPr>
        <w:keepNext/>
        <w:spacing w:before="180" w:after="80"/>
        <w:outlineLvl w:val="2"/>
      </w:pPr>
      <w:r>
        <w:rPr>
          <w:rFonts w:ascii="Arial" w:hAnsi="Arial" w:cs="Arial"/>
          <w:b/>
          <w:i w:val="0"/>
          <w:color w:val="333333"/>
          <w:sz w:val="23"/>
        </w:rPr>
        <w:t>4.6.10 Edge Cases &amp; Error Handling</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Scenario</w:t>
            </w:r>
          </w:p>
        </w:tc>
        <w:tc>
          <w:tcPr>
            <w:tcW w:type="dxa" w:w="4819"/>
            <w:shd w:val="clear" w:fill="D9E2F3"/>
          </w:tcPr>
          <w:p>
            <w:pPr>
              <w:spacing w:after="20" w:before="20" w:line="240" w:lineRule="auto"/>
            </w:pPr>
            <w:r/>
            <w:r>
              <w:rPr>
                <w:rFonts w:ascii="Arial" w:hAnsi="Arial" w:cs="Arial"/>
                <w:b/>
                <w:i w:val="0"/>
                <w:sz w:val="18"/>
              </w:rPr>
              <w:t>Behaviour</w:t>
            </w:r>
          </w:p>
        </w:tc>
      </w:tr>
      <w:tr>
        <w:tc>
          <w:tcPr>
            <w:tcW w:type="dxa" w:w="4819"/>
          </w:tcPr>
          <w:p>
            <w:pPr>
              <w:spacing w:after="20" w:before="20" w:line="240" w:lineRule="auto"/>
            </w:pPr>
            <w:r/>
            <w:r>
              <w:rPr>
                <w:rFonts w:ascii="Arial" w:hAnsi="Arial" w:cs="Arial"/>
                <w:b w:val="0"/>
                <w:i w:val="0"/>
                <w:sz w:val="17"/>
              </w:rPr>
              <w:t>User attempts action in wrong mode</w:t>
            </w:r>
          </w:p>
        </w:tc>
        <w:tc>
          <w:tcPr>
            <w:tcW w:type="dxa" w:w="4819"/>
          </w:tcPr>
          <w:p>
            <w:pPr>
              <w:spacing w:after="20" w:before="20" w:line="240" w:lineRule="auto"/>
            </w:pPr>
            <w:r/>
            <w:r>
              <w:rPr>
                <w:rFonts w:ascii="Arial" w:hAnsi="Arial" w:cs="Arial"/>
                <w:b w:val="0"/>
                <w:i w:val="0"/>
                <w:sz w:val="17"/>
              </w:rPr>
              <w:t>Governor returns DENY with Decision Panel offering mode switch.</w:t>
            </w:r>
          </w:p>
        </w:tc>
      </w:tr>
      <w:tr>
        <w:tc>
          <w:tcPr>
            <w:tcW w:type="dxa" w:w="4819"/>
          </w:tcPr>
          <w:p>
            <w:pPr>
              <w:spacing w:after="20" w:before="20" w:line="240" w:lineRule="auto"/>
            </w:pPr>
            <w:r/>
            <w:r>
              <w:rPr>
                <w:rFonts w:ascii="Arial" w:hAnsi="Arial" w:cs="Arial"/>
                <w:b w:val="0"/>
                <w:i w:val="0"/>
                <w:sz w:val="17"/>
              </w:rPr>
              <w:t>Switch context fails (network error)</w:t>
            </w:r>
          </w:p>
        </w:tc>
        <w:tc>
          <w:tcPr>
            <w:tcW w:type="dxa" w:w="4819"/>
          </w:tcPr>
          <w:p>
            <w:pPr>
              <w:spacing w:after="20" w:before="20" w:line="240" w:lineRule="auto"/>
            </w:pPr>
            <w:r/>
            <w:r>
              <w:rPr>
                <w:rFonts w:ascii="Arial" w:hAnsi="Arial" w:cs="Arial"/>
                <w:b w:val="0"/>
                <w:i w:val="0"/>
                <w:sz w:val="17"/>
              </w:rPr>
              <w:t>Frontend reverts to previous mode; toast notification: "Failed to switch mode. Please try again."</w:t>
            </w:r>
          </w:p>
        </w:tc>
      </w:tr>
      <w:tr>
        <w:tc>
          <w:tcPr>
            <w:tcW w:type="dxa" w:w="4819"/>
          </w:tcPr>
          <w:p>
            <w:pPr>
              <w:spacing w:after="20" w:before="20" w:line="240" w:lineRule="auto"/>
            </w:pPr>
            <w:r/>
            <w:r>
              <w:rPr>
                <w:rFonts w:ascii="Arial" w:hAnsi="Arial" w:cs="Arial"/>
                <w:b w:val="0"/>
                <w:i w:val="0"/>
                <w:sz w:val="17"/>
              </w:rPr>
              <w:t>User switches mode while in form</w:t>
            </w:r>
          </w:p>
        </w:tc>
        <w:tc>
          <w:tcPr>
            <w:tcW w:type="dxa" w:w="4819"/>
          </w:tcPr>
          <w:p>
            <w:pPr>
              <w:spacing w:after="20" w:before="20" w:line="240" w:lineRule="auto"/>
            </w:pPr>
            <w:r/>
            <w:r>
              <w:rPr>
                <w:rFonts w:ascii="Arial" w:hAnsi="Arial" w:cs="Arial"/>
                <w:b w:val="0"/>
                <w:i w:val="0"/>
                <w:sz w:val="17"/>
              </w:rPr>
              <w:t>Form state preserved in local storage; prompt to resume on return.</w:t>
            </w:r>
          </w:p>
        </w:tc>
      </w:tr>
      <w:tr>
        <w:tc>
          <w:tcPr>
            <w:tcW w:type="dxa" w:w="4819"/>
          </w:tcPr>
          <w:p>
            <w:pPr>
              <w:spacing w:after="20" w:before="20" w:line="240" w:lineRule="auto"/>
            </w:pPr>
            <w:r/>
            <w:r>
              <w:rPr>
                <w:rFonts w:ascii="Arial" w:hAnsi="Arial" w:cs="Arial"/>
                <w:b w:val="0"/>
                <w:i w:val="0"/>
                <w:sz w:val="17"/>
              </w:rPr>
              <w:t>User switches mode rapidly (&gt;10 per minute)</w:t>
            </w:r>
          </w:p>
        </w:tc>
        <w:tc>
          <w:tcPr>
            <w:tcW w:type="dxa" w:w="4819"/>
          </w:tcPr>
          <w:p>
            <w:pPr>
              <w:spacing w:after="20" w:before="20" w:line="240" w:lineRule="auto"/>
            </w:pPr>
            <w:r/>
            <w:r>
              <w:rPr>
                <w:rFonts w:ascii="Arial" w:hAnsi="Arial" w:cs="Arial"/>
                <w:b w:val="0"/>
                <w:i w:val="0"/>
                <w:sz w:val="17"/>
              </w:rPr>
              <w:t>Rate limit (429) with Retry-After header.</w:t>
            </w:r>
          </w:p>
        </w:tc>
      </w:tr>
      <w:tr>
        <w:tc>
          <w:tcPr>
            <w:tcW w:type="dxa" w:w="4819"/>
          </w:tcPr>
          <w:p>
            <w:pPr>
              <w:spacing w:after="20" w:before="20" w:line="240" w:lineRule="auto"/>
            </w:pPr>
            <w:r/>
            <w:r>
              <w:rPr>
                <w:rFonts w:ascii="Arial" w:hAnsi="Arial" w:cs="Arial"/>
                <w:b w:val="0"/>
                <w:i w:val="0"/>
                <w:sz w:val="17"/>
              </w:rPr>
              <w:t>User's session expires during switch</w:t>
            </w:r>
          </w:p>
        </w:tc>
        <w:tc>
          <w:tcPr>
            <w:tcW w:type="dxa" w:w="4819"/>
          </w:tcPr>
          <w:p>
            <w:pPr>
              <w:spacing w:after="20" w:before="20" w:line="240" w:lineRule="auto"/>
            </w:pPr>
            <w:r/>
            <w:r>
              <w:rPr>
                <w:rFonts w:ascii="Arial" w:hAnsi="Arial" w:cs="Arial"/>
                <w:b w:val="0"/>
                <w:i w:val="0"/>
                <w:sz w:val="17"/>
              </w:rPr>
              <w:t>Redirect to login; mode preference lost.</w:t>
            </w:r>
          </w:p>
        </w:tc>
      </w:tr>
      <w:tr>
        <w:tc>
          <w:tcPr>
            <w:tcW w:type="dxa" w:w="4819"/>
          </w:tcPr>
          <w:p>
            <w:pPr>
              <w:spacing w:after="20" w:before="20" w:line="240" w:lineRule="auto"/>
            </w:pPr>
            <w:r/>
            <w:r>
              <w:rPr>
                <w:rFonts w:ascii="Arial" w:hAnsi="Arial" w:cs="Arial"/>
                <w:b w:val="0"/>
                <w:i w:val="0"/>
                <w:sz w:val="17"/>
              </w:rPr>
              <w:t>Employee's allow_role_switching changed while logged in</w:t>
            </w:r>
          </w:p>
        </w:tc>
        <w:tc>
          <w:tcPr>
            <w:tcW w:type="dxa" w:w="4819"/>
          </w:tcPr>
          <w:p>
            <w:pPr>
              <w:spacing w:after="20" w:before="20" w:line="240" w:lineRule="auto"/>
            </w:pPr>
            <w:r/>
            <w:r>
              <w:rPr>
                <w:rFonts w:ascii="Arial" w:hAnsi="Arial" w:cs="Arial"/>
                <w:b w:val="0"/>
                <w:i w:val="0"/>
                <w:sz w:val="17"/>
              </w:rPr>
              <w:t>Next API call triggers token refresh; toggle hidden/shown accordingly.</w:t>
            </w:r>
          </w:p>
        </w:tc>
      </w:tr>
      <w:tr>
        <w:tc>
          <w:tcPr>
            <w:tcW w:type="dxa" w:w="4819"/>
          </w:tcPr>
          <w:p>
            <w:pPr>
              <w:spacing w:after="20" w:before="20" w:line="240" w:lineRule="auto"/>
            </w:pPr>
            <w:r/>
            <w:r>
              <w:rPr>
                <w:rFonts w:ascii="Arial" w:hAnsi="Arial" w:cs="Arial"/>
                <w:b w:val="0"/>
                <w:i w:val="0"/>
                <w:sz w:val="17"/>
              </w:rPr>
              <w:t>Tenant default_trader_mode changed</w:t>
            </w:r>
          </w:p>
        </w:tc>
        <w:tc>
          <w:tcPr>
            <w:tcW w:type="dxa" w:w="4819"/>
          </w:tcPr>
          <w:p>
            <w:pPr>
              <w:spacing w:after="20" w:before="20" w:line="240" w:lineRule="auto"/>
            </w:pPr>
            <w:r/>
            <w:r>
              <w:rPr>
                <w:rFonts w:ascii="Arial" w:hAnsi="Arial" w:cs="Arial"/>
                <w:b w:val="0"/>
                <w:i w:val="0"/>
                <w:sz w:val="17"/>
              </w:rPr>
              <w:t>Next login uses new default; active context reset.</w:t>
            </w:r>
          </w:p>
        </w:tc>
      </w:tr>
      <w:tr>
        <w:tc>
          <w:tcPr>
            <w:tcW w:type="dxa" w:w="4819"/>
          </w:tcPr>
          <w:p>
            <w:pPr>
              <w:spacing w:after="20" w:before="20" w:line="240" w:lineRule="auto"/>
            </w:pPr>
            <w:r/>
            <w:r>
              <w:rPr>
                <w:rFonts w:ascii="Arial" w:hAnsi="Arial" w:cs="Arial"/>
                <w:b w:val="0"/>
                <w:i w:val="0"/>
                <w:sz w:val="17"/>
              </w:rPr>
              <w:t>User switches mode while a modal is open</w:t>
            </w:r>
          </w:p>
        </w:tc>
        <w:tc>
          <w:tcPr>
            <w:tcW w:type="dxa" w:w="4819"/>
          </w:tcPr>
          <w:p>
            <w:pPr>
              <w:spacing w:after="20" w:before="20" w:line="240" w:lineRule="auto"/>
            </w:pPr>
            <w:r/>
            <w:r>
              <w:rPr>
                <w:rFonts w:ascii="Arial" w:hAnsi="Arial" w:cs="Arial"/>
                <w:b w:val="0"/>
                <w:i w:val="0"/>
                <w:sz w:val="17"/>
              </w:rPr>
              <w:t>Modal closes; active mode changes; user must reopen.</w:t>
            </w:r>
          </w:p>
        </w:tc>
      </w:tr>
      <w:tr>
        <w:tc>
          <w:tcPr>
            <w:tcW w:type="dxa" w:w="4819"/>
          </w:tcPr>
          <w:p>
            <w:pPr>
              <w:spacing w:after="20" w:before="20" w:line="240" w:lineRule="auto"/>
            </w:pPr>
            <w:r/>
            <w:r>
              <w:rPr>
                <w:rFonts w:ascii="Arial" w:hAnsi="Arial" w:cs="Arial"/>
                <w:b w:val="0"/>
                <w:i w:val="0"/>
                <w:sz w:val="17"/>
              </w:rPr>
              <w:t>Voice command misinterprets mode</w:t>
            </w:r>
          </w:p>
        </w:tc>
        <w:tc>
          <w:tcPr>
            <w:tcW w:type="dxa" w:w="4819"/>
          </w:tcPr>
          <w:p>
            <w:pPr>
              <w:spacing w:after="20" w:before="20" w:line="240" w:lineRule="auto"/>
            </w:pPr>
            <w:r/>
            <w:r>
              <w:rPr>
                <w:rFonts w:ascii="Arial" w:hAnsi="Arial" w:cs="Arial"/>
                <w:b w:val="0"/>
                <w:i w:val="0"/>
                <w:sz w:val="17"/>
              </w:rPr>
              <w:t>Confirmation prompt: "Did you mean 'Switch to Seller mode'?" (Yes/No).</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4.6.11 Worked Example — Dual-Mode User Journey</w:t>
      </w:r>
    </w:p>
    <w:p>
      <w:pPr>
        <w:spacing w:after="80" w:line="293" w:lineRule="auto"/>
        <w:jc w:val="left"/>
      </w:pPr>
      <w:r>
        <w:rPr>
          <w:rFonts w:ascii="Times New Roman" w:hAnsi="Times New Roman" w:cs="Times New Roman"/>
          <w:b w:val="0"/>
          <w:i w:val="0"/>
          <w:sz w:val="22"/>
        </w:rPr>
        <w:t>Context: Nile Foods (Egypt, dual-mode) wants to import oranges from Mekong Fresh (Vietnam) and export dates to Germany.</w:t>
      </w:r>
    </w:p>
    <w:p>
      <w:pPr>
        <w:spacing w:after="80" w:line="293" w:lineRule="auto"/>
        <w:jc w:val="left"/>
      </w:pPr>
      <w:r>
        <w:rPr>
          <w:rFonts w:ascii="Times New Roman" w:hAnsi="Times New Roman" w:cs="Times New Roman"/>
          <w:b w:val="0"/>
          <w:i w:val="0"/>
          <w:sz w:val="22"/>
        </w:rPr>
        <w:t>Step 1 — Login. Ahmed logs into the Trader Portal. `default_trader_mode = DUAL`; `active_trader_mode_context = BUY` (last session). Toggle shows Buyer active. Browser tab: (Buyer) SGTX — Trade Portal. Avatar: Ahmed (Buyer).</w:t>
      </w:r>
    </w:p>
    <w:p>
      <w:pPr>
        <w:spacing w:after="80" w:line="293" w:lineRule="auto"/>
        <w:jc w:val="left"/>
      </w:pPr>
      <w:r>
        <w:rPr>
          <w:rFonts w:ascii="Times New Roman" w:hAnsi="Times New Roman" w:cs="Times New Roman"/>
          <w:b w:val="0"/>
          <w:i w:val="0"/>
          <w:sz w:val="22"/>
        </w:rPr>
        <w:t>Step 2 — Buyer Actions. Ahmed creates a new trade request for oranges (structured container form). Submits trade request → seller notified. Smart Inbox shows: "Quote received from Mekong Fresh". Ahmed reviews quote, negotiates, accepts. Contract signing: buyer signs contract. Shipment tracked in inbound view (Customs Readiness tab).</w:t>
      </w:r>
    </w:p>
    <w:p>
      <w:pPr>
        <w:spacing w:after="80" w:line="293" w:lineRule="auto"/>
        <w:jc w:val="left"/>
      </w:pPr>
      <w:r>
        <w:rPr>
          <w:rFonts w:ascii="Times New Roman" w:hAnsi="Times New Roman" w:cs="Times New Roman"/>
          <w:b w:val="0"/>
          <w:i w:val="0"/>
          <w:sz w:val="22"/>
        </w:rPr>
        <w:t>Step 3 — Switch to Seller. Ahmed needs to respond to a buyer's counter-offer on an outbound shipment of dates to Germany. He clicks the Seller segment on the toggle. Transition: toggle highlight slides to Seller (green). Avatar changes to Ahmed (Seller). Browser tab updates to (Seller) SGTX — Trade Portal. Smart Inbox refreshes: now shows seller-relevant items. Sidebar changes: "Pending Requests", "EXW Price Lock", "Logistics Builder" appear. Shipments Vault now shows outbound shipments.</w:t>
      </w:r>
    </w:p>
    <w:p>
      <w:pPr>
        <w:spacing w:after="80" w:line="293" w:lineRule="auto"/>
        <w:jc w:val="left"/>
      </w:pPr>
      <w:r>
        <w:rPr>
          <w:rFonts w:ascii="Times New Roman" w:hAnsi="Times New Roman" w:cs="Times New Roman"/>
          <w:b w:val="0"/>
          <w:i w:val="0"/>
          <w:sz w:val="22"/>
        </w:rPr>
        <w:t>Step 4 — Seller Actions. Ahmed opens the pending request from the German buyer. Locks EXW price using the live market chart. Designs packing with non-uniform layers. Uses Logistics Builder (Mode B) to get trucking quotes. Submits quote. Seller pays SGTX fee, contract locks.</w:t>
      </w:r>
    </w:p>
    <w:p>
      <w:pPr>
        <w:spacing w:after="80" w:line="293" w:lineRule="auto"/>
        <w:jc w:val="left"/>
      </w:pPr>
      <w:r>
        <w:rPr>
          <w:rFonts w:ascii="Times New Roman" w:hAnsi="Times New Roman" w:cs="Times New Roman"/>
          <w:b w:val="0"/>
          <w:i w:val="0"/>
          <w:sz w:val="22"/>
        </w:rPr>
        <w:t>Step 5 — Switch Back to Buyer. Later, Ahmed needs to check customs readiness for the inbound oranges. He clicks Buyer on the toggle. Portal reloads with Buyer context. Customs Readiness tab shows missing phytosanitary certificate. Ahmed requests the document from the seller.</w:t>
      </w:r>
    </w:p>
    <w:p>
      <w:pPr>
        <w:spacing w:after="80" w:line="293" w:lineRule="auto"/>
        <w:jc w:val="left"/>
      </w:pPr>
      <w:r>
        <w:rPr>
          <w:rFonts w:ascii="Times New Roman" w:hAnsi="Times New Roman" w:cs="Times New Roman"/>
          <w:b w:val="0"/>
          <w:i w:val="0"/>
          <w:sz w:val="22"/>
        </w:rPr>
        <w:t>Throughout this day, Ahmed never logs out. The toggle allows him to fluidly move between the two sides of his company's operations, with the system always ensuring he sees the right data, the right actions, and the right compliance explanations. Total clicks to switch mode: 1.</w:t>
      </w:r>
    </w:p>
    <w:p>
      <w:pPr>
        <w:keepNext/>
        <w:spacing w:before="180" w:after="80"/>
        <w:outlineLvl w:val="2"/>
      </w:pPr>
      <w:r>
        <w:rPr>
          <w:rFonts w:ascii="Arial" w:hAnsi="Arial" w:cs="Arial"/>
          <w:b/>
          <w:i w:val="0"/>
          <w:color w:val="333333"/>
          <w:sz w:val="23"/>
        </w:rPr>
        <w:t>4.6.12 Implementation Checklist (Dual-Mode Toggle)</w:t>
      </w:r>
    </w:p>
    <w:p>
      <w:pPr>
        <w:keepNext/>
        <w:spacing w:before="140" w:after="60"/>
        <w:outlineLvl w:val="3"/>
      </w:pPr>
      <w:r>
        <w:rPr>
          <w:rFonts w:ascii="Arial" w:hAnsi="Arial" w:cs="Arial"/>
          <w:b/>
          <w:i/>
          <w:color w:val="333333"/>
          <w:sz w:val="22"/>
        </w:rPr>
        <w:t>4.6.12.1 Backend</w:t>
      </w:r>
    </w:p>
    <w:p>
      <w:pPr>
        <w:spacing w:after="80" w:line="293" w:lineRule="auto"/>
        <w:ind w:left="283"/>
        <w:jc w:val="left"/>
      </w:pPr>
      <w:r>
        <w:rPr>
          <w:rFonts w:ascii="Times New Roman" w:hAnsi="Times New Roman" w:cs="Times New Roman"/>
          <w:b w:val="0"/>
          <w:i w:val="0"/>
          <w:sz w:val="22"/>
        </w:rPr>
        <w:t>- Add `active_trader_mode_context` column to employees table (verify existence).</w:t>
      </w:r>
    </w:p>
    <w:p>
      <w:pPr>
        <w:spacing w:after="80" w:line="293" w:lineRule="auto"/>
        <w:ind w:left="283"/>
        <w:jc w:val="left"/>
      </w:pPr>
      <w:r>
        <w:rPr>
          <w:rFonts w:ascii="Times New Roman" w:hAnsi="Times New Roman" w:cs="Times New Roman"/>
          <w:b w:val="0"/>
          <w:i w:val="0"/>
          <w:sz w:val="22"/>
        </w:rPr>
        <w:t>- Add `allow_role_switching` column to employees and data_scopes (verify existence).</w:t>
      </w:r>
    </w:p>
    <w:p>
      <w:pPr>
        <w:spacing w:after="80" w:line="293" w:lineRule="auto"/>
        <w:ind w:left="283"/>
        <w:jc w:val="left"/>
      </w:pPr>
      <w:r>
        <w:rPr>
          <w:rFonts w:ascii="Times New Roman" w:hAnsi="Times New Roman" w:cs="Times New Roman"/>
          <w:b w:val="0"/>
          <w:i w:val="0"/>
          <w:sz w:val="22"/>
        </w:rPr>
        <w:t>- Implement POST /v1/employee/switch-context endpoint (identity service).</w:t>
      </w:r>
    </w:p>
    <w:p>
      <w:pPr>
        <w:spacing w:after="80" w:line="293" w:lineRule="auto"/>
        <w:ind w:left="283"/>
        <w:jc w:val="left"/>
      </w:pPr>
      <w:r>
        <w:rPr>
          <w:rFonts w:ascii="Times New Roman" w:hAnsi="Times New Roman" w:cs="Times New Roman"/>
          <w:b w:val="0"/>
          <w:i w:val="0"/>
          <w:sz w:val="22"/>
        </w:rPr>
        <w:t>- Update JWT generation to include active_trader_mode_context claim.</w:t>
      </w:r>
    </w:p>
    <w:p>
      <w:pPr>
        <w:spacing w:after="80" w:line="293" w:lineRule="auto"/>
        <w:ind w:left="283"/>
        <w:jc w:val="left"/>
      </w:pPr>
      <w:r>
        <w:rPr>
          <w:rFonts w:ascii="Times New Roman" w:hAnsi="Times New Roman" w:cs="Times New Roman"/>
          <w:b w:val="0"/>
          <w:i w:val="0"/>
          <w:sz w:val="22"/>
        </w:rPr>
        <w:t>- Extend OPA policies (permissions.rego) to enforce mode-specific actions.</w:t>
      </w:r>
    </w:p>
    <w:p>
      <w:pPr>
        <w:spacing w:after="80" w:line="293" w:lineRule="auto"/>
        <w:ind w:left="283"/>
        <w:jc w:val="left"/>
      </w:pPr>
      <w:r>
        <w:rPr>
          <w:rFonts w:ascii="Times New Roman" w:hAnsi="Times New Roman" w:cs="Times New Roman"/>
          <w:b w:val="0"/>
          <w:i w:val="0"/>
          <w:sz w:val="22"/>
        </w:rPr>
        <w:t>- Add rate limiting (10 switches per 60 seconds).</w:t>
      </w:r>
    </w:p>
    <w:p>
      <w:pPr>
        <w:spacing w:after="80" w:line="293" w:lineRule="auto"/>
        <w:ind w:left="283"/>
        <w:jc w:val="left"/>
      </w:pPr>
      <w:r>
        <w:rPr>
          <w:rFonts w:ascii="Times New Roman" w:hAnsi="Times New Roman" w:cs="Times New Roman"/>
          <w:b w:val="0"/>
          <w:i w:val="0"/>
          <w:sz w:val="22"/>
        </w:rPr>
        <w:t>- Write unit tests for mode switch API and OPA policies.</w:t>
      </w:r>
    </w:p>
    <w:p>
      <w:pPr>
        <w:keepNext/>
        <w:spacing w:before="140" w:after="60"/>
        <w:outlineLvl w:val="3"/>
      </w:pPr>
      <w:r>
        <w:rPr>
          <w:rFonts w:ascii="Arial" w:hAnsi="Arial" w:cs="Arial"/>
          <w:b/>
          <w:i/>
          <w:color w:val="333333"/>
          <w:sz w:val="22"/>
        </w:rPr>
        <w:t>4.6.12.2 Frontend</w:t>
      </w:r>
    </w:p>
    <w:p>
      <w:pPr>
        <w:spacing w:after="80" w:line="293" w:lineRule="auto"/>
        <w:ind w:left="283"/>
        <w:jc w:val="left"/>
      </w:pPr>
      <w:r>
        <w:rPr>
          <w:rFonts w:ascii="Times New Roman" w:hAnsi="Times New Roman" w:cs="Times New Roman"/>
          <w:b w:val="0"/>
          <w:i w:val="0"/>
          <w:sz w:val="22"/>
        </w:rPr>
        <w:t>- Implement toggle UI in global header (React component).</w:t>
      </w:r>
    </w:p>
    <w:p>
      <w:pPr>
        <w:spacing w:after="80" w:line="293" w:lineRule="auto"/>
        <w:ind w:left="283"/>
        <w:jc w:val="left"/>
      </w:pPr>
      <w:r>
        <w:rPr>
          <w:rFonts w:ascii="Times New Roman" w:hAnsi="Times New Roman" w:cs="Times New Roman"/>
          <w:b w:val="0"/>
          <w:i w:val="0"/>
          <w:sz w:val="22"/>
        </w:rPr>
        <w:t>- Add animated slide transition.</w:t>
      </w:r>
    </w:p>
    <w:p>
      <w:pPr>
        <w:spacing w:after="80" w:line="293" w:lineRule="auto"/>
        <w:ind w:left="283"/>
        <w:jc w:val="left"/>
      </w:pPr>
      <w:r>
        <w:rPr>
          <w:rFonts w:ascii="Times New Roman" w:hAnsi="Times New Roman" w:cs="Times New Roman"/>
          <w:b w:val="0"/>
          <w:i w:val="0"/>
          <w:sz w:val="22"/>
        </w:rPr>
        <w:t>- Update avatar badge and browser tab title on mode switch.</w:t>
      </w:r>
    </w:p>
    <w:p>
      <w:pPr>
        <w:spacing w:after="80" w:line="293" w:lineRule="auto"/>
        <w:ind w:left="283"/>
        <w:jc w:val="left"/>
      </w:pPr>
      <w:r>
        <w:rPr>
          <w:rFonts w:ascii="Times New Roman" w:hAnsi="Times New Roman" w:cs="Times New Roman"/>
          <w:b w:val="0"/>
          <w:i w:val="0"/>
          <w:sz w:val="22"/>
        </w:rPr>
        <w:t>- Implement soft reload of Smart Inbox, Shipments Vault, TCC, sidebar, and other components.</w:t>
      </w:r>
    </w:p>
    <w:p>
      <w:pPr>
        <w:spacing w:after="80" w:line="293" w:lineRule="auto"/>
        <w:ind w:left="283"/>
        <w:jc w:val="left"/>
      </w:pPr>
      <w:r>
        <w:rPr>
          <w:rFonts w:ascii="Times New Roman" w:hAnsi="Times New Roman" w:cs="Times New Roman"/>
          <w:b w:val="0"/>
          <w:i w:val="0"/>
          <w:sz w:val="22"/>
        </w:rPr>
        <w:t>- Preserve form drafts in local storage when switching modes.</w:t>
      </w:r>
    </w:p>
    <w:p>
      <w:pPr>
        <w:spacing w:after="80" w:line="293" w:lineRule="auto"/>
        <w:ind w:left="283"/>
        <w:jc w:val="left"/>
      </w:pPr>
      <w:r>
        <w:rPr>
          <w:rFonts w:ascii="Times New Roman" w:hAnsi="Times New Roman" w:cs="Times New Roman"/>
          <w:b w:val="0"/>
          <w:i w:val="0"/>
          <w:sz w:val="22"/>
        </w:rPr>
        <w:t>- Add keyboard navigation and ARIA attributes.</w:t>
      </w:r>
    </w:p>
    <w:p>
      <w:pPr>
        <w:spacing w:after="80" w:line="293" w:lineRule="auto"/>
        <w:ind w:left="283"/>
        <w:jc w:val="left"/>
      </w:pPr>
      <w:r>
        <w:rPr>
          <w:rFonts w:ascii="Times New Roman" w:hAnsi="Times New Roman" w:cs="Times New Roman"/>
          <w:b w:val="0"/>
          <w:i w:val="0"/>
          <w:sz w:val="22"/>
        </w:rPr>
        <w:t>- Integrate with VoiceCommandButton for voice-activated switching.</w:t>
      </w:r>
    </w:p>
    <w:p>
      <w:pPr>
        <w:spacing w:after="80" w:line="293" w:lineRule="auto"/>
        <w:ind w:left="283"/>
        <w:jc w:val="left"/>
      </w:pPr>
      <w:r>
        <w:rPr>
          <w:rFonts w:ascii="Times New Roman" w:hAnsi="Times New Roman" w:cs="Times New Roman"/>
          <w:b w:val="0"/>
          <w:i w:val="0"/>
          <w:sz w:val="22"/>
        </w:rPr>
        <w:t>- Handle error cases (network failure, rate limit).</w:t>
      </w:r>
    </w:p>
    <w:p>
      <w:pPr>
        <w:keepNext/>
        <w:spacing w:before="140" w:after="60"/>
        <w:outlineLvl w:val="3"/>
      </w:pPr>
      <w:r>
        <w:rPr>
          <w:rFonts w:ascii="Arial" w:hAnsi="Arial" w:cs="Arial"/>
          <w:b/>
          <w:i/>
          <w:color w:val="333333"/>
          <w:sz w:val="22"/>
        </w:rPr>
        <w:t>4.6.12.3 Governance</w:t>
      </w:r>
    </w:p>
    <w:p>
      <w:pPr>
        <w:spacing w:after="80" w:line="293" w:lineRule="auto"/>
        <w:ind w:left="283"/>
        <w:jc w:val="left"/>
      </w:pPr>
      <w:r>
        <w:rPr>
          <w:rFonts w:ascii="Times New Roman" w:hAnsi="Times New Roman" w:cs="Times New Roman"/>
          <w:b w:val="0"/>
          <w:i w:val="0"/>
          <w:sz w:val="22"/>
        </w:rPr>
        <w:t>- Ensure the Decision Panel includes a "Switch Mode" button for mode mismatch blocks.</w:t>
      </w:r>
    </w:p>
    <w:p>
      <w:pPr>
        <w:spacing w:after="80" w:line="293" w:lineRule="auto"/>
        <w:ind w:left="283"/>
        <w:jc w:val="left"/>
      </w:pPr>
      <w:r>
        <w:rPr>
          <w:rFonts w:ascii="Times New Roman" w:hAnsi="Times New Roman" w:cs="Times New Roman"/>
          <w:b w:val="0"/>
          <w:i w:val="0"/>
          <w:sz w:val="22"/>
        </w:rPr>
        <w:t>- Test mode switch with all role types (BUY, SELL, DUAL, DUAL with switching disabled).</w:t>
      </w:r>
    </w:p>
    <w:p>
      <w:pPr>
        <w:spacing w:after="80" w:line="293" w:lineRule="auto"/>
        <w:ind w:left="283"/>
        <w:jc w:val="left"/>
      </w:pPr>
      <w:r>
        <w:rPr>
          <w:rFonts w:ascii="Times New Roman" w:hAnsi="Times New Roman" w:cs="Times New Roman"/>
          <w:b w:val="0"/>
          <w:i w:val="0"/>
          <w:sz w:val="22"/>
        </w:rPr>
        <w:t>- Verify that actions are correctly filtered in Smart Inbox, Shipments Vault, and TCC.</w:t>
      </w:r>
    </w:p>
    <w:p>
      <w:pPr>
        <w:keepNext/>
        <w:spacing w:before="140" w:after="60"/>
        <w:outlineLvl w:val="3"/>
      </w:pPr>
      <w:r>
        <w:rPr>
          <w:rFonts w:ascii="Arial" w:hAnsi="Arial" w:cs="Arial"/>
          <w:b/>
          <w:i/>
          <w:color w:val="333333"/>
          <w:sz w:val="22"/>
        </w:rPr>
        <w:t>4.6.12.4 Accessibility</w:t>
      </w:r>
    </w:p>
    <w:p>
      <w:pPr>
        <w:spacing w:after="80" w:line="293" w:lineRule="auto"/>
        <w:ind w:left="283"/>
        <w:jc w:val="left"/>
      </w:pPr>
      <w:r>
        <w:rPr>
          <w:rFonts w:ascii="Times New Roman" w:hAnsi="Times New Roman" w:cs="Times New Roman"/>
          <w:b w:val="0"/>
          <w:i w:val="0"/>
          <w:sz w:val="22"/>
        </w:rPr>
        <w:t>- Test keyboard navigation (Tab, Arrow keys, Enter/Space).</w:t>
      </w:r>
    </w:p>
    <w:p>
      <w:pPr>
        <w:spacing w:after="80" w:line="293" w:lineRule="auto"/>
        <w:ind w:left="283"/>
        <w:jc w:val="left"/>
      </w:pPr>
      <w:r>
        <w:rPr>
          <w:rFonts w:ascii="Times New Roman" w:hAnsi="Times New Roman" w:cs="Times New Roman"/>
          <w:b w:val="0"/>
          <w:i w:val="0"/>
          <w:sz w:val="22"/>
        </w:rPr>
        <w:t>- Verify screen reader announcements (aria-live).</w:t>
      </w:r>
    </w:p>
    <w:p>
      <w:pPr>
        <w:spacing w:after="80" w:line="293" w:lineRule="auto"/>
        <w:ind w:left="283"/>
        <w:jc w:val="left"/>
      </w:pPr>
      <w:r>
        <w:rPr>
          <w:rFonts w:ascii="Times New Roman" w:hAnsi="Times New Roman" w:cs="Times New Roman"/>
          <w:b w:val="0"/>
          <w:i w:val="0"/>
          <w:sz w:val="22"/>
        </w:rPr>
        <w:t>- Ensure colour contrast meets WCAG 2.2 AA.</w:t>
      </w:r>
    </w:p>
    <w:p>
      <w:pPr>
        <w:spacing w:after="80" w:line="293" w:lineRule="auto"/>
        <w:ind w:left="283"/>
        <w:jc w:val="left"/>
      </w:pPr>
      <w:r>
        <w:rPr>
          <w:rFonts w:ascii="Times New Roman" w:hAnsi="Times New Roman" w:cs="Times New Roman"/>
          <w:b w:val="0"/>
          <w:i w:val="0"/>
          <w:sz w:val="22"/>
        </w:rPr>
        <w:t>- Test voice command (Vosk + HF Mixtral).</w:t>
      </w:r>
    </w:p>
    <w:p>
      <w:pPr>
        <w:keepNext/>
        <w:spacing w:before="140" w:after="60"/>
        <w:outlineLvl w:val="3"/>
      </w:pPr>
      <w:r>
        <w:rPr>
          <w:rFonts w:ascii="Arial" w:hAnsi="Arial" w:cs="Arial"/>
          <w:b/>
          <w:i/>
          <w:color w:val="333333"/>
          <w:sz w:val="22"/>
        </w:rPr>
        <w:t>4.6.12.5 Testing</w:t>
      </w:r>
    </w:p>
    <w:p>
      <w:pPr>
        <w:spacing w:after="80" w:line="293" w:lineRule="auto"/>
        <w:ind w:left="283"/>
        <w:jc w:val="left"/>
      </w:pPr>
      <w:r>
        <w:rPr>
          <w:rFonts w:ascii="Times New Roman" w:hAnsi="Times New Roman" w:cs="Times New Roman"/>
          <w:b w:val="0"/>
          <w:i w:val="0"/>
          <w:sz w:val="22"/>
        </w:rPr>
        <w:t>- Unit tests: mode switch API, OPA policy enforcement.</w:t>
      </w:r>
    </w:p>
    <w:p>
      <w:pPr>
        <w:spacing w:after="80" w:line="293" w:lineRule="auto"/>
        <w:ind w:left="283"/>
        <w:jc w:val="left"/>
      </w:pPr>
      <w:r>
        <w:rPr>
          <w:rFonts w:ascii="Times New Roman" w:hAnsi="Times New Roman" w:cs="Times New Roman"/>
          <w:b w:val="0"/>
          <w:i w:val="0"/>
          <w:sz w:val="22"/>
        </w:rPr>
        <w:t>- Integration tests: end-to-end mode switch → action in new mode.</w:t>
      </w:r>
    </w:p>
    <w:p>
      <w:pPr>
        <w:spacing w:after="80" w:line="293" w:lineRule="auto"/>
        <w:ind w:left="283"/>
        <w:jc w:val="left"/>
      </w:pPr>
      <w:r>
        <w:rPr>
          <w:rFonts w:ascii="Times New Roman" w:hAnsi="Times New Roman" w:cs="Times New Roman"/>
          <w:b w:val="0"/>
          <w:i w:val="0"/>
          <w:sz w:val="22"/>
        </w:rPr>
        <w:t>- UI tests: toggle visual updates, avatar badge, browser tab.</w:t>
      </w:r>
    </w:p>
    <w:p>
      <w:pPr>
        <w:spacing w:after="80" w:line="293" w:lineRule="auto"/>
        <w:ind w:left="283"/>
        <w:jc w:val="left"/>
      </w:pPr>
      <w:r>
        <w:rPr>
          <w:rFonts w:ascii="Times New Roman" w:hAnsi="Times New Roman" w:cs="Times New Roman"/>
          <w:b w:val="0"/>
          <w:i w:val="0"/>
          <w:sz w:val="22"/>
        </w:rPr>
        <w:t>- Accessibility tests: keyboard, screen reader, contrast.</w:t>
      </w:r>
    </w:p>
    <w:p>
      <w:pPr>
        <w:spacing w:after="80" w:line="293" w:lineRule="auto"/>
        <w:ind w:left="283"/>
        <w:jc w:val="left"/>
      </w:pPr>
      <w:r>
        <w:rPr>
          <w:rFonts w:ascii="Times New Roman" w:hAnsi="Times New Roman" w:cs="Times New Roman"/>
          <w:b w:val="0"/>
          <w:i w:val="0"/>
          <w:sz w:val="22"/>
        </w:rPr>
        <w:t>- Load tests: mode switch performance under concurrent users.</w:t>
      </w:r>
    </w:p>
    <w:p>
      <w:pPr>
        <w:keepNext/>
        <w:spacing w:before="140" w:after="60"/>
        <w:outlineLvl w:val="3"/>
      </w:pPr>
      <w:r>
        <w:rPr>
          <w:rFonts w:ascii="Arial" w:hAnsi="Arial" w:cs="Arial"/>
          <w:b/>
          <w:i/>
          <w:color w:val="333333"/>
          <w:sz w:val="22"/>
        </w:rPr>
        <w:t>4.6.12.6 AI Authority Summary (Dual-Mode Toggle)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AI Level</w:t>
            </w:r>
          </w:p>
        </w:tc>
        <w:tc>
          <w:tcPr>
            <w:tcW w:type="dxa" w:w="3213"/>
            <w:shd w:val="clear" w:fill="D9E2F3"/>
          </w:tcPr>
          <w:p>
            <w:pPr>
              <w:spacing w:after="20" w:before="20" w:line="240" w:lineRule="auto"/>
            </w:pPr>
            <w:r/>
            <w:r>
              <w:rPr>
                <w:rFonts w:ascii="Arial" w:hAnsi="Arial" w:cs="Arial"/>
                <w:b/>
                <w:i w:val="0"/>
                <w:sz w:val="18"/>
              </w:rPr>
              <w:t>Use Cases</w:t>
            </w:r>
          </w:p>
        </w:tc>
        <w:tc>
          <w:tcPr>
            <w:tcW w:type="dxa" w:w="3213"/>
            <w:shd w:val="clear" w:fill="D9E2F3"/>
          </w:tcPr>
          <w:p>
            <w:pPr>
              <w:spacing w:after="20" w:before="20" w:line="240" w:lineRule="auto"/>
            </w:pPr>
            <w:r/>
            <w:r>
              <w:rPr>
                <w:rFonts w:ascii="Arial" w:hAnsi="Arial" w:cs="Arial"/>
                <w:b/>
                <w:i w:val="0"/>
                <w:sz w:val="18"/>
              </w:rPr>
              <w:t>Constraint</w:t>
            </w:r>
          </w:p>
        </w:tc>
      </w:tr>
      <w:tr>
        <w:tc>
          <w:tcPr>
            <w:tcW w:type="dxa" w:w="3213"/>
          </w:tcPr>
          <w:p>
            <w:pPr>
              <w:spacing w:after="20" w:before="20" w:line="240" w:lineRule="auto"/>
            </w:pPr>
            <w:r/>
            <w:r>
              <w:rPr>
                <w:rFonts w:ascii="Arial" w:hAnsi="Arial" w:cs="Arial"/>
                <w:b w:val="0"/>
                <w:i w:val="0"/>
                <w:sz w:val="17"/>
              </w:rPr>
              <w:t>A1 (Groq → Ollama)</w:t>
            </w:r>
          </w:p>
        </w:tc>
        <w:tc>
          <w:tcPr>
            <w:tcW w:type="dxa" w:w="3213"/>
          </w:tcPr>
          <w:p>
            <w:pPr>
              <w:spacing w:after="20" w:before="20" w:line="240" w:lineRule="auto"/>
            </w:pPr>
            <w:r/>
            <w:r>
              <w:rPr>
                <w:rFonts w:ascii="Arial" w:hAnsi="Arial" w:cs="Arial"/>
                <w:b w:val="0"/>
                <w:i w:val="0"/>
                <w:sz w:val="17"/>
              </w:rPr>
              <w:t>Plain-language explanation for mode mismatch blocks; suggestion to switch mode</w:t>
            </w:r>
          </w:p>
        </w:tc>
        <w:tc>
          <w:tcPr>
            <w:tcW w:type="dxa" w:w="3213"/>
          </w:tcPr>
          <w:p>
            <w:pPr>
              <w:spacing w:after="20" w:before="20" w:line="240" w:lineRule="auto"/>
            </w:pPr>
            <w:r/>
            <w:r>
              <w:rPr>
                <w:rFonts w:ascii="Arial" w:hAnsi="Arial" w:cs="Arial"/>
                <w:b w:val="0"/>
                <w:i w:val="0"/>
                <w:sz w:val="17"/>
              </w:rPr>
              <w:t>Cannot block actions; only suggests</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Enforcement of mode-specific permissions via OPA policies; JWT claim validation; rate limiting</w:t>
            </w:r>
          </w:p>
        </w:tc>
        <w:tc>
          <w:tcPr>
            <w:tcW w:type="dxa" w:w="3213"/>
          </w:tcPr>
          <w:p>
            <w:pPr>
              <w:spacing w:after="20" w:before="20" w:line="240" w:lineRule="auto"/>
            </w:pPr>
            <w:r/>
            <w:r>
              <w:rPr>
                <w:rFonts w:ascii="Arial" w:hAnsi="Arial" w:cs="Arial"/>
                <w:b w:val="0"/>
                <w:i w:val="0"/>
                <w:sz w:val="17"/>
              </w:rPr>
              <w:t>Auto-executes within constitutional bounds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4.7 Session &amp; Device Security</w:t>
      </w:r>
    </w:p>
    <w:p>
      <w:pPr>
        <w:keepNext/>
        <w:spacing w:before="180" w:after="80"/>
        <w:outlineLvl w:val="2"/>
      </w:pPr>
      <w:r>
        <w:rPr>
          <w:rFonts w:ascii="Arial" w:hAnsi="Arial" w:cs="Arial"/>
          <w:b/>
          <w:i w:val="0"/>
          <w:color w:val="333333"/>
          <w:sz w:val="23"/>
        </w:rPr>
        <w:t>4.7.1 Device Registry</w:t>
      </w:r>
    </w:p>
    <w:p>
      <w:pPr>
        <w:spacing w:after="80" w:line="293" w:lineRule="auto"/>
        <w:jc w:val="left"/>
      </w:pPr>
      <w:r>
        <w:rPr>
          <w:rFonts w:ascii="Times New Roman" w:hAnsi="Times New Roman" w:cs="Times New Roman"/>
          <w:b w:val="0"/>
          <w:i w:val="0"/>
          <w:sz w:val="22"/>
        </w:rPr>
        <w:t>Every device used by an employee is registered with a public key (passkey binding) and a trust state: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State</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NEW</w:t>
            </w:r>
          </w:p>
        </w:tc>
        <w:tc>
          <w:tcPr>
            <w:tcW w:type="dxa" w:w="4819"/>
          </w:tcPr>
          <w:p>
            <w:pPr>
              <w:spacing w:after="20" w:before="20" w:line="240" w:lineRule="auto"/>
            </w:pPr>
            <w:r/>
            <w:r>
              <w:rPr>
                <w:rFonts w:ascii="Arial" w:hAnsi="Arial" w:cs="Arial"/>
                <w:b w:val="0"/>
                <w:i w:val="0"/>
                <w:sz w:val="17"/>
              </w:rPr>
              <w:t>Device registered but not yet used for a full session</w:t>
            </w:r>
          </w:p>
        </w:tc>
      </w:tr>
      <w:tr>
        <w:tc>
          <w:tcPr>
            <w:tcW w:type="dxa" w:w="4819"/>
          </w:tcPr>
          <w:p>
            <w:pPr>
              <w:spacing w:after="20" w:before="20" w:line="240" w:lineRule="auto"/>
            </w:pPr>
            <w:r/>
            <w:r>
              <w:rPr>
                <w:rFonts w:ascii="Arial" w:hAnsi="Arial" w:cs="Arial"/>
                <w:b w:val="0"/>
                <w:i w:val="0"/>
                <w:sz w:val="17"/>
              </w:rPr>
              <w:t>TRUSTED</w:t>
            </w:r>
          </w:p>
        </w:tc>
        <w:tc>
          <w:tcPr>
            <w:tcW w:type="dxa" w:w="4819"/>
          </w:tcPr>
          <w:p>
            <w:pPr>
              <w:spacing w:after="20" w:before="20" w:line="240" w:lineRule="auto"/>
            </w:pPr>
            <w:r/>
            <w:r>
              <w:rPr>
                <w:rFonts w:ascii="Arial" w:hAnsi="Arial" w:cs="Arial"/>
                <w:b w:val="0"/>
                <w:i w:val="0"/>
                <w:sz w:val="17"/>
              </w:rPr>
              <w:t>Device has completed repeated successful sessions</w:t>
            </w:r>
          </w:p>
        </w:tc>
      </w:tr>
      <w:tr>
        <w:tc>
          <w:tcPr>
            <w:tcW w:type="dxa" w:w="4819"/>
          </w:tcPr>
          <w:p>
            <w:pPr>
              <w:spacing w:after="20" w:before="20" w:line="240" w:lineRule="auto"/>
            </w:pPr>
            <w:r/>
            <w:r>
              <w:rPr>
                <w:rFonts w:ascii="Arial" w:hAnsi="Arial" w:cs="Arial"/>
                <w:b w:val="0"/>
                <w:i w:val="0"/>
                <w:sz w:val="17"/>
              </w:rPr>
              <w:t>ELEVATED_RISK</w:t>
            </w:r>
          </w:p>
        </w:tc>
        <w:tc>
          <w:tcPr>
            <w:tcW w:type="dxa" w:w="4819"/>
          </w:tcPr>
          <w:p>
            <w:pPr>
              <w:spacing w:after="20" w:before="20" w:line="240" w:lineRule="auto"/>
            </w:pPr>
            <w:r/>
            <w:r>
              <w:rPr>
                <w:rFonts w:ascii="Arial" w:hAnsi="Arial" w:cs="Arial"/>
                <w:b w:val="0"/>
                <w:i w:val="0"/>
                <w:sz w:val="17"/>
              </w:rPr>
              <w:t>Anomaly signals detected (impossible travel, new geolocation)</w:t>
            </w:r>
          </w:p>
        </w:tc>
      </w:tr>
      <w:tr>
        <w:tc>
          <w:tcPr>
            <w:tcW w:type="dxa" w:w="4819"/>
          </w:tcPr>
          <w:p>
            <w:pPr>
              <w:spacing w:after="20" w:before="20" w:line="240" w:lineRule="auto"/>
            </w:pPr>
            <w:r/>
            <w:r>
              <w:rPr>
                <w:rFonts w:ascii="Arial" w:hAnsi="Arial" w:cs="Arial"/>
                <w:b w:val="0"/>
                <w:i w:val="0"/>
                <w:sz w:val="17"/>
              </w:rPr>
              <w:t>BLOCKED</w:t>
            </w:r>
          </w:p>
        </w:tc>
        <w:tc>
          <w:tcPr>
            <w:tcW w:type="dxa" w:w="4819"/>
          </w:tcPr>
          <w:p>
            <w:pPr>
              <w:spacing w:after="20" w:before="20" w:line="240" w:lineRule="auto"/>
            </w:pPr>
            <w:r/>
            <w:r>
              <w:rPr>
                <w:rFonts w:ascii="Arial" w:hAnsi="Arial" w:cs="Arial"/>
                <w:b w:val="0"/>
                <w:i w:val="0"/>
                <w:sz w:val="17"/>
              </w:rPr>
              <w:t>Device blocked by admin or risk engine</w:t>
            </w:r>
          </w:p>
        </w:tc>
      </w:tr>
      <w:tr>
        <w:tc>
          <w:tcPr>
            <w:tcW w:type="dxa" w:w="4819"/>
          </w:tcPr>
          <w:p>
            <w:pPr>
              <w:spacing w:after="20" w:before="20" w:line="240" w:lineRule="auto"/>
            </w:pPr>
            <w:r/>
            <w:r>
              <w:rPr>
                <w:rFonts w:ascii="Arial" w:hAnsi="Arial" w:cs="Arial"/>
                <w:b w:val="0"/>
                <w:i w:val="0"/>
                <w:sz w:val="17"/>
              </w:rPr>
              <w:t>REVOKED</w:t>
            </w:r>
          </w:p>
        </w:tc>
        <w:tc>
          <w:tcPr>
            <w:tcW w:type="dxa" w:w="4819"/>
          </w:tcPr>
          <w:p>
            <w:pPr>
              <w:spacing w:after="20" w:before="20" w:line="240" w:lineRule="auto"/>
            </w:pPr>
            <w:r/>
            <w:r>
              <w:rPr>
                <w:rFonts w:ascii="Arial" w:hAnsi="Arial" w:cs="Arial"/>
                <w:b w:val="0"/>
                <w:i w:val="0"/>
                <w:sz w:val="17"/>
              </w:rPr>
              <w:t>Device access revoked (passkey removed)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Device Management Center in Company Admin lists all devices per employee with risk score and last-seen information; admins can block or revoke with one click.</w:t>
      </w:r>
    </w:p>
    <w:p>
      <w:pPr>
        <w:keepNext/>
        <w:spacing w:before="180" w:after="80"/>
        <w:outlineLvl w:val="2"/>
      </w:pPr>
      <w:r>
        <w:rPr>
          <w:rFonts w:ascii="Arial" w:hAnsi="Arial" w:cs="Arial"/>
          <w:b/>
          <w:i w:val="0"/>
          <w:color w:val="333333"/>
          <w:sz w:val="23"/>
        </w:rPr>
        <w:t>4.7.2 Step-Up Authentication</w:t>
      </w:r>
    </w:p>
    <w:p>
      <w:pPr>
        <w:spacing w:after="80" w:line="293" w:lineRule="auto"/>
        <w:jc w:val="left"/>
      </w:pPr>
      <w:r>
        <w:rPr>
          <w:rFonts w:ascii="Times New Roman" w:hAnsi="Times New Roman" w:cs="Times New Roman"/>
          <w:b w:val="0"/>
          <w:i w:val="0"/>
          <w:sz w:val="22"/>
        </w:rPr>
        <w:t>High-value actions (e.g., contract signing, settlement approval, financing disbursement) require step-up authentication: a fresh passkey challenge (WebAuthn user presence check) even within an active session. The Governor marks decisions requiring step-up and the frontend triggers the challenge before executing.</w:t>
      </w:r>
    </w:p>
    <w:p>
      <w:pPr>
        <w:keepNext/>
        <w:spacing w:before="180" w:after="80"/>
        <w:outlineLvl w:val="2"/>
      </w:pPr>
      <w:r>
        <w:rPr>
          <w:rFonts w:ascii="Arial" w:hAnsi="Arial" w:cs="Arial"/>
          <w:b/>
          <w:i w:val="0"/>
          <w:color w:val="333333"/>
          <w:sz w:val="23"/>
        </w:rPr>
        <w:t>4.7.3 Session Risk Engine</w:t>
      </w:r>
    </w:p>
    <w:p>
      <w:pPr>
        <w:spacing w:after="80" w:line="293" w:lineRule="auto"/>
        <w:jc w:val="left"/>
      </w:pPr>
      <w:r>
        <w:rPr>
          <w:rFonts w:ascii="Times New Roman" w:hAnsi="Times New Roman" w:cs="Times New Roman"/>
          <w:b w:val="0"/>
          <w:i w:val="0"/>
          <w:sz w:val="22"/>
        </w:rPr>
        <w:t>The Session Risk Engine (A2 anomaly detection) evaluates every session for:</w:t>
      </w:r>
    </w:p>
    <w:p>
      <w:pPr>
        <w:spacing w:after="80" w:line="293" w:lineRule="auto"/>
        <w:ind w:left="283"/>
        <w:jc w:val="left"/>
      </w:pPr>
      <w:r>
        <w:rPr>
          <w:rFonts w:ascii="Times New Roman" w:hAnsi="Times New Roman" w:cs="Times New Roman"/>
          <w:b w:val="0"/>
          <w:i w:val="0"/>
          <w:sz w:val="22"/>
        </w:rPr>
        <w:t>- IMPOSSIBLE_TRAVEL — logins from geographically distant locations within impossible time windows.</w:t>
      </w:r>
    </w:p>
    <w:p>
      <w:pPr>
        <w:spacing w:after="80" w:line="293" w:lineRule="auto"/>
        <w:ind w:left="283"/>
        <w:jc w:val="left"/>
      </w:pPr>
      <w:r>
        <w:rPr>
          <w:rFonts w:ascii="Times New Roman" w:hAnsi="Times New Roman" w:cs="Times New Roman"/>
          <w:b w:val="0"/>
          <w:i w:val="0"/>
          <w:sz w:val="22"/>
        </w:rPr>
        <w:t>- VPN_DETECTED / TOR_DETECTED — anonymising infrastructure in the session path.</w:t>
      </w:r>
    </w:p>
    <w:p>
      <w:pPr>
        <w:spacing w:after="80" w:line="293" w:lineRule="auto"/>
        <w:ind w:left="283"/>
        <w:jc w:val="left"/>
      </w:pPr>
      <w:r>
        <w:rPr>
          <w:rFonts w:ascii="Times New Roman" w:hAnsi="Times New Roman" w:cs="Times New Roman"/>
          <w:b w:val="0"/>
          <w:i w:val="0"/>
          <w:sz w:val="22"/>
        </w:rPr>
        <w:t>- Additional anomaly types recorded in `session_risk_events.risk_type`.</w:t>
      </w:r>
    </w:p>
    <w:p>
      <w:pPr>
        <w:spacing w:after="80" w:line="293" w:lineRule="auto"/>
        <w:jc w:val="left"/>
      </w:pPr>
      <w:r>
        <w:rPr>
          <w:rFonts w:ascii="Times New Roman" w:hAnsi="Times New Roman" w:cs="Times New Roman"/>
          <w:b w:val="0"/>
          <w:i w:val="0"/>
          <w:sz w:val="22"/>
        </w:rPr>
        <w:t>Each event carries a risk score, details (JSONB), and the resulting Governor verdict. High-risk events force re-authentication or suspend the session.</w:t>
      </w:r>
    </w:p>
    <w:p>
      <w:pPr>
        <w:keepNext/>
        <w:spacing w:before="180" w:after="80"/>
        <w:outlineLvl w:val="2"/>
      </w:pPr>
      <w:r>
        <w:rPr>
          <w:rFonts w:ascii="Arial" w:hAnsi="Arial" w:cs="Arial"/>
          <w:b/>
          <w:i w:val="0"/>
          <w:color w:val="333333"/>
          <w:sz w:val="23"/>
        </w:rPr>
        <w:t>4.7.4 Legal Recovery Flow for Lost Passkeys</w:t>
      </w:r>
    </w:p>
    <w:p>
      <w:pPr>
        <w:spacing w:after="80" w:line="293" w:lineRule="auto"/>
        <w:jc w:val="left"/>
      </w:pPr>
      <w:r>
        <w:rPr>
          <w:rFonts w:ascii="Times New Roman" w:hAnsi="Times New Roman" w:cs="Times New Roman"/>
          <w:b w:val="0"/>
          <w:i w:val="0"/>
          <w:sz w:val="22"/>
        </w:rPr>
        <w:t>If an employee loses all passkeys, recovery requires a governed legal flow: identity re-verification via KYC documents, approval by the tenant admin (and Platform Governance Authority for admin-level accounts), and issuance of new credentials. The recovery event is Loom-logged; previous sessions on lost devices are revoked.</w:t>
      </w:r>
    </w:p>
    <w:p>
      <w:pPr>
        <w:keepNext/>
        <w:spacing w:before="180" w:after="80"/>
        <w:outlineLvl w:val="2"/>
      </w:pPr>
      <w:r>
        <w:rPr>
          <w:rFonts w:ascii="Arial" w:hAnsi="Arial" w:cs="Arial"/>
          <w:b/>
          <w:i w:val="0"/>
          <w:color w:val="333333"/>
          <w:sz w:val="23"/>
        </w:rPr>
        <w:t>4.7.5 Database Schema (Session &amp; Device Security)</w:t>
      </w:r>
    </w:p>
    <w:p>
      <w:pPr>
        <w:spacing w:after="0" w:before="0" w:line="240" w:lineRule="auto"/>
        <w:ind w:left="57"/>
        <w:jc w:val="left"/>
        <w:shd w:val="clear" w:fill="F2F2F2"/>
      </w:pPr>
      <w:r>
        <w:rPr>
          <w:rFonts w:ascii="Consolas" w:hAnsi="Consolas" w:cs="Consolas"/>
          <w:b w:val="0"/>
          <w:i w:val="0"/>
          <w:sz w:val="15"/>
        </w:rPr>
        <w:t>-- Device Registry</w:t>
      </w:r>
    </w:p>
    <w:p>
      <w:pPr>
        <w:spacing w:after="0" w:before="0" w:line="240" w:lineRule="auto"/>
        <w:ind w:left="57"/>
        <w:jc w:val="left"/>
        <w:shd w:val="clear" w:fill="F2F2F2"/>
      </w:pPr>
      <w:r>
        <w:rPr>
          <w:rFonts w:ascii="Consolas" w:hAnsi="Consolas" w:cs="Consolas"/>
          <w:b w:val="0"/>
          <w:i w:val="0"/>
          <w:sz w:val="15"/>
        </w:rPr>
        <w:t>-- device_registry: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Session Risk Events</w:t>
      </w:r>
    </w:p>
    <w:p>
      <w:pPr>
        <w:spacing w:after="0" w:before="0" w:line="240" w:lineRule="auto"/>
        <w:ind w:left="57"/>
        <w:jc w:val="left"/>
        <w:shd w:val="clear" w:fill="F2F2F2"/>
      </w:pPr>
      <w:r>
        <w:rPr>
          <w:rFonts w:ascii="Consolas" w:hAnsi="Consolas" w:cs="Consolas"/>
          <w:b w:val="0"/>
          <w:i w:val="0"/>
          <w:sz w:val="15"/>
        </w:rPr>
        <w:t>-- session_risk_events: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idx_device_registry_employee ON device_registry(employee_id);</w:t>
      </w:r>
    </w:p>
    <w:p>
      <w:pPr>
        <w:spacing w:after="0" w:before="0" w:line="240" w:lineRule="auto"/>
        <w:ind w:left="57"/>
        <w:jc w:val="left"/>
        <w:shd w:val="clear" w:fill="F2F2F2"/>
      </w:pPr>
      <w:r>
        <w:rPr>
          <w:rFonts w:ascii="Consolas" w:hAnsi="Consolas" w:cs="Consolas"/>
          <w:b w:val="0"/>
          <w:i w:val="0"/>
          <w:sz w:val="15"/>
        </w:rPr>
        <w:t>CREATE INDEX idx_session_risk_events_employee ON session_risk_events(employee_id);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4.7.6 Implementation Checklist (Session &amp; Device Security)</w:t>
      </w:r>
    </w:p>
    <w:p>
      <w:pPr>
        <w:spacing w:after="80" w:line="293" w:lineRule="auto"/>
        <w:ind w:left="283"/>
        <w:jc w:val="left"/>
      </w:pPr>
      <w:r>
        <w:rPr>
          <w:rFonts w:ascii="Times New Roman" w:hAnsi="Times New Roman" w:cs="Times New Roman"/>
          <w:b w:val="0"/>
          <w:i w:val="0"/>
          <w:sz w:val="22"/>
        </w:rPr>
        <w:t>- Create `device_registry` table.</w:t>
      </w:r>
    </w:p>
    <w:p>
      <w:pPr>
        <w:spacing w:after="80" w:line="293" w:lineRule="auto"/>
        <w:ind w:left="283"/>
        <w:jc w:val="left"/>
      </w:pPr>
      <w:r>
        <w:rPr>
          <w:rFonts w:ascii="Times New Roman" w:hAnsi="Times New Roman" w:cs="Times New Roman"/>
          <w:b w:val="0"/>
          <w:i w:val="0"/>
          <w:sz w:val="22"/>
        </w:rPr>
        <w:t>- Implement device trust rules (NEW, TRUSTED, ELEVATED_RISK, BLOCKED, REVOKED).</w:t>
      </w:r>
    </w:p>
    <w:p>
      <w:pPr>
        <w:spacing w:after="80" w:line="293" w:lineRule="auto"/>
        <w:ind w:left="283"/>
        <w:jc w:val="left"/>
      </w:pPr>
      <w:r>
        <w:rPr>
          <w:rFonts w:ascii="Times New Roman" w:hAnsi="Times New Roman" w:cs="Times New Roman"/>
          <w:b w:val="0"/>
          <w:i w:val="0"/>
          <w:sz w:val="22"/>
        </w:rPr>
        <w:t>- Add Device Management Center to Company Admin.</w:t>
      </w:r>
    </w:p>
    <w:p>
      <w:pPr>
        <w:spacing w:after="80" w:line="293" w:lineRule="auto"/>
        <w:ind w:left="283"/>
        <w:jc w:val="left"/>
      </w:pPr>
      <w:r>
        <w:rPr>
          <w:rFonts w:ascii="Times New Roman" w:hAnsi="Times New Roman" w:cs="Times New Roman"/>
          <w:b w:val="0"/>
          <w:i w:val="0"/>
          <w:sz w:val="22"/>
        </w:rPr>
        <w:t>- Implement Step-Up Authentication for high-value actions.</w:t>
      </w:r>
    </w:p>
    <w:p>
      <w:pPr>
        <w:spacing w:after="80" w:line="293" w:lineRule="auto"/>
        <w:ind w:left="283"/>
        <w:jc w:val="left"/>
      </w:pPr>
      <w:r>
        <w:rPr>
          <w:rFonts w:ascii="Times New Roman" w:hAnsi="Times New Roman" w:cs="Times New Roman"/>
          <w:b w:val="0"/>
          <w:i w:val="0"/>
          <w:sz w:val="22"/>
        </w:rPr>
        <w:t>- Create `session_risk_events` table.</w:t>
      </w:r>
    </w:p>
    <w:p>
      <w:pPr>
        <w:spacing w:after="80" w:line="293" w:lineRule="auto"/>
        <w:ind w:left="283"/>
        <w:jc w:val="left"/>
      </w:pPr>
      <w:r>
        <w:rPr>
          <w:rFonts w:ascii="Times New Roman" w:hAnsi="Times New Roman" w:cs="Times New Roman"/>
          <w:b w:val="0"/>
          <w:i w:val="0"/>
          <w:sz w:val="22"/>
        </w:rPr>
        <w:t>- Add Session Risk Engine (A2 anomaly detection).</w:t>
      </w:r>
    </w:p>
    <w:p>
      <w:pPr>
        <w:spacing w:after="80" w:line="293" w:lineRule="auto"/>
        <w:ind w:left="283"/>
        <w:jc w:val="left"/>
      </w:pPr>
      <w:r>
        <w:rPr>
          <w:rFonts w:ascii="Times New Roman" w:hAnsi="Times New Roman" w:cs="Times New Roman"/>
          <w:b w:val="0"/>
          <w:i w:val="0"/>
          <w:sz w:val="22"/>
        </w:rPr>
        <w:t>- Implement legal recovery flow for lost passkeys.</w:t>
      </w:r>
    </w:p>
    <w:p>
      <w:pPr>
        <w:keepNext/>
        <w:spacing w:before="240" w:after="100"/>
        <w:outlineLvl w:val="1"/>
      </w:pPr>
      <w:r>
        <w:rPr>
          <w:rFonts w:ascii="Arial" w:hAnsi="Arial" w:cs="Arial"/>
          <w:b/>
          <w:i w:val="0"/>
          <w:color w:val="2E528F"/>
          <w:sz w:val="26"/>
        </w:rPr>
        <w:t>4.8 Consent Management</w:t>
      </w:r>
    </w:p>
    <w:p>
      <w:pPr>
        <w:keepNext/>
        <w:spacing w:before="180" w:after="80"/>
        <w:outlineLvl w:val="2"/>
      </w:pPr>
      <w:r>
        <w:rPr>
          <w:rFonts w:ascii="Arial" w:hAnsi="Arial" w:cs="Arial"/>
          <w:b/>
          <w:i w:val="0"/>
          <w:color w:val="333333"/>
          <w:sz w:val="23"/>
        </w:rPr>
        <w:t>4.8.1 Consent Records</w:t>
      </w:r>
    </w:p>
    <w:p>
      <w:pPr>
        <w:spacing w:after="80" w:line="293" w:lineRule="auto"/>
        <w:jc w:val="left"/>
      </w:pPr>
      <w:r>
        <w:rPr>
          <w:rFonts w:ascii="Times New Roman" w:hAnsi="Times New Roman" w:cs="Times New Roman"/>
          <w:b w:val="0"/>
          <w:i w:val="0"/>
          <w:sz w:val="22"/>
        </w:rPr>
        <w:t>Every consent grant or withdrawal is recorded immutably with purpose, version, IP, user agent, device, and Loom hash:</w:t>
      </w:r>
    </w:p>
    <w:p>
      <w:pPr>
        <w:spacing w:after="0" w:before="0" w:line="240" w:lineRule="auto"/>
        <w:ind w:left="57"/>
        <w:jc w:val="left"/>
        <w:shd w:val="clear" w:fill="F2F2F2"/>
      </w:pPr>
      <w:r>
        <w:rPr>
          <w:rFonts w:ascii="Consolas" w:hAnsi="Consolas" w:cs="Consolas"/>
          <w:b w:val="0"/>
          <w:i w:val="0"/>
          <w:sz w:val="15"/>
        </w:rPr>
        <w:t>-- Consent Records</w:t>
      </w:r>
    </w:p>
    <w:p>
      <w:pPr>
        <w:spacing w:after="0" w:before="0" w:line="240" w:lineRule="auto"/>
        <w:ind w:left="57"/>
        <w:jc w:val="left"/>
        <w:shd w:val="clear" w:fill="F2F2F2"/>
      </w:pPr>
      <w:r>
        <w:rPr>
          <w:rFonts w:ascii="Consolas" w:hAnsi="Consolas" w:cs="Consolas"/>
          <w:b w:val="0"/>
          <w:i w:val="0"/>
          <w:sz w:val="15"/>
        </w:rPr>
        <w:t>-- consent_records: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idx_consent_records_user ON consent_records(user_gtid);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4.8.2 Consent Purposes</w:t>
      </w:r>
    </w:p>
    <w:p>
      <w:pPr>
        <w:spacing w:after="80" w:line="293" w:lineRule="auto"/>
        <w:jc w:val="left"/>
      </w:pPr>
      <w:r>
        <w:rPr>
          <w:rFonts w:ascii="Times New Roman" w:hAnsi="Times New Roman" w:cs="Times New Roman"/>
          <w:b w:val="0"/>
          <w:i w:val="0"/>
          <w:sz w:val="22"/>
        </w:rPr>
        <w:t>Canonical purposes include:</w:t>
      </w:r>
    </w:p>
    <w:p>
      <w:pPr>
        <w:spacing w:after="80" w:line="293" w:lineRule="auto"/>
        <w:ind w:left="283"/>
        <w:jc w:val="left"/>
      </w:pPr>
      <w:r>
        <w:rPr>
          <w:rFonts w:ascii="Times New Roman" w:hAnsi="Times New Roman" w:cs="Times New Roman"/>
          <w:b w:val="0"/>
          <w:i w:val="0"/>
          <w:sz w:val="22"/>
        </w:rPr>
        <w:t>- `marketing` — communications and product updates.</w:t>
      </w:r>
    </w:p>
    <w:p>
      <w:pPr>
        <w:spacing w:after="80" w:line="293" w:lineRule="auto"/>
        <w:ind w:left="283"/>
        <w:jc w:val="left"/>
      </w:pPr>
      <w:r>
        <w:rPr>
          <w:rFonts w:ascii="Times New Roman" w:hAnsi="Times New Roman" w:cs="Times New Roman"/>
          <w:b w:val="0"/>
          <w:i w:val="0"/>
          <w:sz w:val="22"/>
        </w:rPr>
        <w:t>- `analytics` — platform usage analytics.</w:t>
      </w:r>
    </w:p>
    <w:p>
      <w:pPr>
        <w:spacing w:after="80" w:line="293" w:lineRule="auto"/>
        <w:ind w:left="283"/>
        <w:jc w:val="left"/>
      </w:pPr>
      <w:r>
        <w:rPr>
          <w:rFonts w:ascii="Times New Roman" w:hAnsi="Times New Roman" w:cs="Times New Roman"/>
          <w:b w:val="0"/>
          <w:i w:val="0"/>
          <w:sz w:val="22"/>
        </w:rPr>
        <w:t>- `govt_sharing` — sharing specified data with government integrations.</w:t>
      </w:r>
    </w:p>
    <w:p>
      <w:pPr>
        <w:spacing w:after="80" w:line="293" w:lineRule="auto"/>
        <w:ind w:left="283"/>
        <w:jc w:val="left"/>
      </w:pPr>
      <w:r>
        <w:rPr>
          <w:rFonts w:ascii="Times New Roman" w:hAnsi="Times New Roman" w:cs="Times New Roman"/>
          <w:b w:val="0"/>
          <w:i w:val="0"/>
          <w:sz w:val="22"/>
        </w:rPr>
        <w:t>- `cross_border` — cross-border data transfer under PDPL (see Section 21).</w:t>
      </w:r>
    </w:p>
    <w:p>
      <w:pPr>
        <w:spacing w:after="80" w:line="293" w:lineRule="auto"/>
        <w:ind w:left="283"/>
        <w:jc w:val="left"/>
      </w:pPr>
      <w:r>
        <w:rPr>
          <w:rFonts w:ascii="Times New Roman" w:hAnsi="Times New Roman" w:cs="Times New Roman"/>
          <w:b w:val="0"/>
          <w:i w:val="0"/>
          <w:sz w:val="22"/>
        </w:rPr>
        <w:t>- `voice_biometric` — on-device voice processing flags.</w:t>
      </w:r>
    </w:p>
    <w:p>
      <w:pPr>
        <w:spacing w:after="80" w:line="293" w:lineRule="auto"/>
        <w:jc w:val="left"/>
      </w:pPr>
      <w:r>
        <w:rPr>
          <w:rFonts w:ascii="Times New Roman" w:hAnsi="Times New Roman" w:cs="Times New Roman"/>
          <w:b w:val="0"/>
          <w:i w:val="0"/>
          <w:sz w:val="22"/>
        </w:rPr>
        <w:t>Onboarding optional-feature consents (voice stress flag, offline mobile sync, anonymous market intelligence panel) are captured in Step 4 of the wizard and stored in `tenant_onboarding_state.step_data` plus `consent_records`.</w:t>
      </w:r>
    </w:p>
    <w:p>
      <w:pPr>
        <w:keepNext/>
        <w:spacing w:before="180" w:after="80"/>
        <w:outlineLvl w:val="2"/>
      </w:pPr>
      <w:r>
        <w:rPr>
          <w:rFonts w:ascii="Arial" w:hAnsi="Arial" w:cs="Arial"/>
          <w:b/>
          <w:i w:val="0"/>
          <w:color w:val="333333"/>
          <w:sz w:val="23"/>
        </w:rPr>
        <w:t>4.8.3 Consent Enforcement</w:t>
      </w:r>
    </w:p>
    <w:p>
      <w:pPr>
        <w:spacing w:after="80" w:line="293" w:lineRule="auto"/>
        <w:ind w:left="283"/>
        <w:jc w:val="left"/>
      </w:pPr>
      <w:r>
        <w:rPr>
          <w:rFonts w:ascii="Times New Roman" w:hAnsi="Times New Roman" w:cs="Times New Roman"/>
          <w:b w:val="0"/>
          <w:i w:val="0"/>
          <w:sz w:val="22"/>
        </w:rPr>
        <w:t>- Granular consent checkboxes appear in onboarding and Company Admin.</w:t>
      </w:r>
    </w:p>
    <w:p>
      <w:pPr>
        <w:spacing w:after="80" w:line="293" w:lineRule="auto"/>
        <w:ind w:left="283"/>
        <w:jc w:val="left"/>
      </w:pPr>
      <w:r>
        <w:rPr>
          <w:rFonts w:ascii="Times New Roman" w:hAnsi="Times New Roman" w:cs="Times New Roman"/>
          <w:b w:val="0"/>
          <w:i w:val="0"/>
          <w:sz w:val="22"/>
        </w:rPr>
        <w:t>- The Governor enforces consent as a policy gate (notably for cross-border data transfer — OPA rego gate; see Section 21).</w:t>
      </w:r>
    </w:p>
    <w:p>
      <w:pPr>
        <w:spacing w:after="80" w:line="293" w:lineRule="auto"/>
        <w:ind w:left="283"/>
        <w:jc w:val="left"/>
      </w:pPr>
      <w:r>
        <w:rPr>
          <w:rFonts w:ascii="Times New Roman" w:hAnsi="Times New Roman" w:cs="Times New Roman"/>
          <w:b w:val="0"/>
          <w:i w:val="0"/>
          <w:sz w:val="22"/>
        </w:rPr>
        <w:t>- The Privacy Dashboard lets users view and withdraw consents; withdrawal is effective immediately and recorded with `withdrawal_timestamp`.</w:t>
      </w:r>
    </w:p>
    <w:p>
      <w:pPr>
        <w:keepNext/>
        <w:spacing w:before="180" w:after="80"/>
        <w:outlineLvl w:val="2"/>
      </w:pPr>
      <w:r>
        <w:rPr>
          <w:rFonts w:ascii="Arial" w:hAnsi="Arial" w:cs="Arial"/>
          <w:b/>
          <w:i w:val="0"/>
          <w:color w:val="333333"/>
          <w:sz w:val="23"/>
        </w:rPr>
        <w:t>4.8.4 Implementation Checklist (Consent Management)</w:t>
      </w:r>
    </w:p>
    <w:p>
      <w:pPr>
        <w:spacing w:after="80" w:line="293" w:lineRule="auto"/>
        <w:ind w:left="283"/>
        <w:jc w:val="left"/>
      </w:pPr>
      <w:r>
        <w:rPr>
          <w:rFonts w:ascii="Times New Roman" w:hAnsi="Times New Roman" w:cs="Times New Roman"/>
          <w:b w:val="0"/>
          <w:i w:val="0"/>
          <w:sz w:val="22"/>
        </w:rPr>
        <w:t>- Create `consent_records` table.</w:t>
      </w:r>
    </w:p>
    <w:p>
      <w:pPr>
        <w:spacing w:after="80" w:line="293" w:lineRule="auto"/>
        <w:ind w:left="283"/>
        <w:jc w:val="left"/>
      </w:pPr>
      <w:r>
        <w:rPr>
          <w:rFonts w:ascii="Times New Roman" w:hAnsi="Times New Roman" w:cs="Times New Roman"/>
          <w:b w:val="0"/>
          <w:i w:val="0"/>
          <w:sz w:val="22"/>
        </w:rPr>
        <w:t>- Implement granular consent checkboxes in onboarding and Company Admin.</w:t>
      </w:r>
    </w:p>
    <w:p>
      <w:pPr>
        <w:spacing w:after="80" w:line="293" w:lineRule="auto"/>
        <w:ind w:left="283"/>
        <w:jc w:val="left"/>
      </w:pPr>
      <w:r>
        <w:rPr>
          <w:rFonts w:ascii="Times New Roman" w:hAnsi="Times New Roman" w:cs="Times New Roman"/>
          <w:b w:val="0"/>
          <w:i w:val="0"/>
          <w:sz w:val="22"/>
        </w:rPr>
        <w:t>- Add Governor policy for consent enforcement (cross-border data transfer).</w:t>
      </w:r>
    </w:p>
    <w:p>
      <w:pPr>
        <w:spacing w:after="80" w:line="293" w:lineRule="auto"/>
        <w:ind w:left="283"/>
        <w:jc w:val="left"/>
      </w:pPr>
      <w:r>
        <w:rPr>
          <w:rFonts w:ascii="Times New Roman" w:hAnsi="Times New Roman" w:cs="Times New Roman"/>
          <w:b w:val="0"/>
          <w:i w:val="0"/>
          <w:sz w:val="22"/>
        </w:rPr>
        <w:t>- Build Privacy Dashboard for users to view and withdraw consents.</w:t>
      </w:r>
    </w:p>
    <w:p>
      <w:pPr>
        <w:keepNext/>
        <w:spacing w:before="240" w:after="100"/>
        <w:outlineLvl w:val="1"/>
      </w:pPr>
      <w:r>
        <w:rPr>
          <w:rFonts w:ascii="Arial" w:hAnsi="Arial" w:cs="Arial"/>
          <w:b/>
          <w:i w:val="0"/>
          <w:color w:val="2E528F"/>
          <w:sz w:val="26"/>
        </w:rPr>
        <w:t>4.9 Internal Organisation (Business Units, Departments, Cost Centres, Approval Groups &amp; Policies)</w:t>
      </w:r>
    </w:p>
    <w:p>
      <w:pPr>
        <w:keepNext/>
        <w:spacing w:before="180" w:after="80"/>
        <w:outlineLvl w:val="2"/>
      </w:pPr>
      <w:r>
        <w:rPr>
          <w:rFonts w:ascii="Arial" w:hAnsi="Arial" w:cs="Arial"/>
          <w:b/>
          <w:i w:val="0"/>
          <w:color w:val="333333"/>
          <w:sz w:val="23"/>
        </w:rPr>
        <w:t>4.9.1 Overview</w:t>
      </w:r>
    </w:p>
    <w:p>
      <w:pPr>
        <w:spacing w:after="80" w:line="293" w:lineRule="auto"/>
        <w:jc w:val="left"/>
      </w:pPr>
      <w:r>
        <w:rPr>
          <w:rFonts w:ascii="Times New Roman" w:hAnsi="Times New Roman" w:cs="Times New Roman"/>
          <w:b w:val="0"/>
          <w:i w:val="0"/>
          <w:sz w:val="22"/>
        </w:rPr>
        <w:t>Large enterprises can create business units, departments, cost centres, and approval chains within their own tenant. This is purely internal and never shared with other tenants.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Table</w:t>
            </w:r>
          </w:p>
        </w:tc>
        <w:tc>
          <w:tcPr>
            <w:tcW w:type="dxa" w:w="4819"/>
            <w:shd w:val="clear" w:fill="D9E2F3"/>
          </w:tcPr>
          <w:p>
            <w:pPr>
              <w:spacing w:after="20" w:before="20" w:line="240" w:lineRule="auto"/>
            </w:pPr>
            <w:r/>
            <w:r>
              <w:rPr>
                <w:rFonts w:ascii="Arial" w:hAnsi="Arial" w:cs="Arial"/>
                <w:b/>
                <w:i w:val="0"/>
                <w:sz w:val="18"/>
              </w:rPr>
              <w:t>Purpose</w:t>
            </w:r>
          </w:p>
        </w:tc>
      </w:tr>
      <w:tr>
        <w:tc>
          <w:tcPr>
            <w:tcW w:type="dxa" w:w="4819"/>
          </w:tcPr>
          <w:p>
            <w:pPr>
              <w:spacing w:after="20" w:before="20" w:line="240" w:lineRule="auto"/>
            </w:pPr>
            <w:r/>
            <w:r>
              <w:rPr>
                <w:rFonts w:ascii="Arial" w:hAnsi="Arial" w:cs="Arial"/>
                <w:b w:val="0"/>
                <w:i w:val="0"/>
                <w:sz w:val="17"/>
              </w:rPr>
              <w:t>tenant_business_units</w:t>
            </w:r>
          </w:p>
        </w:tc>
        <w:tc>
          <w:tcPr>
            <w:tcW w:type="dxa" w:w="4819"/>
          </w:tcPr>
          <w:p>
            <w:pPr>
              <w:spacing w:after="20" w:before="20" w:line="240" w:lineRule="auto"/>
            </w:pPr>
            <w:r/>
            <w:r>
              <w:rPr>
                <w:rFonts w:ascii="Arial" w:hAnsi="Arial" w:cs="Arial"/>
                <w:b w:val="0"/>
                <w:i w:val="0"/>
                <w:sz w:val="17"/>
              </w:rPr>
              <w:t>Divisional structure</w:t>
            </w:r>
          </w:p>
        </w:tc>
      </w:tr>
      <w:tr>
        <w:tc>
          <w:tcPr>
            <w:tcW w:type="dxa" w:w="4819"/>
          </w:tcPr>
          <w:p>
            <w:pPr>
              <w:spacing w:after="20" w:before="20" w:line="240" w:lineRule="auto"/>
            </w:pPr>
            <w:r/>
            <w:r>
              <w:rPr>
                <w:rFonts w:ascii="Arial" w:hAnsi="Arial" w:cs="Arial"/>
                <w:b w:val="0"/>
                <w:i w:val="0"/>
                <w:sz w:val="17"/>
              </w:rPr>
              <w:t>tenant_departments</w:t>
            </w:r>
          </w:p>
        </w:tc>
        <w:tc>
          <w:tcPr>
            <w:tcW w:type="dxa" w:w="4819"/>
          </w:tcPr>
          <w:p>
            <w:pPr>
              <w:spacing w:after="20" w:before="20" w:line="240" w:lineRule="auto"/>
            </w:pPr>
            <w:r/>
            <w:r>
              <w:rPr>
                <w:rFonts w:ascii="Arial" w:hAnsi="Arial" w:cs="Arial"/>
                <w:b w:val="0"/>
                <w:i w:val="0"/>
                <w:sz w:val="17"/>
              </w:rPr>
              <w:t>Within business units</w:t>
            </w:r>
          </w:p>
        </w:tc>
      </w:tr>
      <w:tr>
        <w:tc>
          <w:tcPr>
            <w:tcW w:type="dxa" w:w="4819"/>
          </w:tcPr>
          <w:p>
            <w:pPr>
              <w:spacing w:after="20" w:before="20" w:line="240" w:lineRule="auto"/>
            </w:pPr>
            <w:r/>
            <w:r>
              <w:rPr>
                <w:rFonts w:ascii="Arial" w:hAnsi="Arial" w:cs="Arial"/>
                <w:b w:val="0"/>
                <w:i w:val="0"/>
                <w:sz w:val="17"/>
              </w:rPr>
              <w:t>tenant_cost_centers</w:t>
            </w:r>
          </w:p>
        </w:tc>
        <w:tc>
          <w:tcPr>
            <w:tcW w:type="dxa" w:w="4819"/>
          </w:tcPr>
          <w:p>
            <w:pPr>
              <w:spacing w:after="20" w:before="20" w:line="240" w:lineRule="auto"/>
            </w:pPr>
            <w:r/>
            <w:r>
              <w:rPr>
                <w:rFonts w:ascii="Arial" w:hAnsi="Arial" w:cs="Arial"/>
                <w:b w:val="0"/>
                <w:i w:val="0"/>
                <w:sz w:val="17"/>
              </w:rPr>
              <w:t>For financial allocation</w:t>
            </w:r>
          </w:p>
        </w:tc>
      </w:tr>
      <w:tr>
        <w:tc>
          <w:tcPr>
            <w:tcW w:type="dxa" w:w="4819"/>
          </w:tcPr>
          <w:p>
            <w:pPr>
              <w:spacing w:after="20" w:before="20" w:line="240" w:lineRule="auto"/>
            </w:pPr>
            <w:r/>
            <w:r>
              <w:rPr>
                <w:rFonts w:ascii="Arial" w:hAnsi="Arial" w:cs="Arial"/>
                <w:b w:val="0"/>
                <w:i w:val="0"/>
                <w:sz w:val="17"/>
              </w:rPr>
              <w:t>tenant_approval_groups</w:t>
            </w:r>
          </w:p>
        </w:tc>
        <w:tc>
          <w:tcPr>
            <w:tcW w:type="dxa" w:w="4819"/>
          </w:tcPr>
          <w:p>
            <w:pPr>
              <w:spacing w:after="20" w:before="20" w:line="240" w:lineRule="auto"/>
            </w:pPr>
            <w:r/>
            <w:r>
              <w:rPr>
                <w:rFonts w:ascii="Arial" w:hAnsi="Arial" w:cs="Arial"/>
                <w:b w:val="0"/>
                <w:i w:val="0"/>
                <w:sz w:val="17"/>
              </w:rPr>
              <w:t>Groups of employees authorised to approve actions</w:t>
            </w:r>
          </w:p>
        </w:tc>
      </w:tr>
      <w:tr>
        <w:tc>
          <w:tcPr>
            <w:tcW w:type="dxa" w:w="4819"/>
          </w:tcPr>
          <w:p>
            <w:pPr>
              <w:spacing w:after="20" w:before="20" w:line="240" w:lineRule="auto"/>
            </w:pPr>
            <w:r/>
            <w:r>
              <w:rPr>
                <w:rFonts w:ascii="Arial" w:hAnsi="Arial" w:cs="Arial"/>
                <w:b w:val="0"/>
                <w:i w:val="0"/>
                <w:sz w:val="17"/>
              </w:rPr>
              <w:t>tenant_approval_policies</w:t>
            </w:r>
          </w:p>
        </w:tc>
        <w:tc>
          <w:tcPr>
            <w:tcW w:type="dxa" w:w="4819"/>
          </w:tcPr>
          <w:p>
            <w:pPr>
              <w:spacing w:after="20" w:before="20" w:line="240" w:lineRule="auto"/>
            </w:pPr>
            <w:r/>
            <w:r>
              <w:rPr>
                <w:rFonts w:ascii="Arial" w:hAnsi="Arial" w:cs="Arial"/>
                <w:b w:val="0"/>
                <w:i w:val="0"/>
                <w:sz w:val="17"/>
              </w:rPr>
              <w:t>Rules requiring multiple approvals (e.g., "contracts &gt;$100k require 2 trade managers + 1 finance director")</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4.9.2 Approval Policy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"action": "contract.sign",</w:t>
      </w:r>
    </w:p>
    <w:p>
      <w:pPr>
        <w:spacing w:after="0" w:before="0" w:line="240" w:lineRule="auto"/>
        <w:ind w:left="57"/>
        <w:jc w:val="left"/>
        <w:shd w:val="clear" w:fill="F2F2F2"/>
      </w:pPr>
      <w:r>
        <w:rPr>
          <w:rFonts w:ascii="Consolas" w:hAnsi="Consolas" w:cs="Consolas"/>
          <w:b w:val="0"/>
          <w:i w:val="0"/>
          <w:sz w:val="15"/>
        </w:rPr>
        <w:t xml:space="preserve">    "condition_json": {</w:t>
      </w:r>
    </w:p>
    <w:p>
      <w:pPr>
        <w:spacing w:after="0" w:before="0" w:line="240" w:lineRule="auto"/>
        <w:ind w:left="57"/>
        <w:jc w:val="left"/>
        <w:shd w:val="clear" w:fill="F2F2F2"/>
      </w:pPr>
      <w:r>
        <w:rPr>
          <w:rFonts w:ascii="Consolas" w:hAnsi="Consolas" w:cs="Consolas"/>
          <w:b w:val="0"/>
          <w:i w:val="0"/>
          <w:sz w:val="15"/>
        </w:rPr>
        <w:t xml:space="preserve">        "trade.value": { "&gt;": 100000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"required_approvals":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"role": "trade_manager",</w:t>
      </w:r>
    </w:p>
    <w:p>
      <w:pPr>
        <w:spacing w:after="0" w:before="0" w:line="240" w:lineRule="auto"/>
        <w:ind w:left="57"/>
        <w:jc w:val="left"/>
        <w:shd w:val="clear" w:fill="F2F2F2"/>
      </w:pPr>
      <w:r>
        <w:rPr>
          <w:rFonts w:ascii="Consolas" w:hAnsi="Consolas" w:cs="Consolas"/>
          <w:b w:val="0"/>
          <w:i w:val="0"/>
          <w:sz w:val="15"/>
        </w:rPr>
        <w:t xml:space="preserve">            "count": 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"group_id": "finance-approvers",</w:t>
      </w:r>
    </w:p>
    <w:p>
      <w:pPr>
        <w:spacing w:after="0" w:before="0" w:line="240" w:lineRule="auto"/>
        <w:ind w:left="57"/>
        <w:jc w:val="left"/>
        <w:shd w:val="clear" w:fill="F2F2F2"/>
      </w:pPr>
      <w:r>
        <w:rPr>
          <w:rFonts w:ascii="Consolas" w:hAnsi="Consolas" w:cs="Consolas"/>
          <w:b w:val="0"/>
          <w:i w:val="0"/>
          <w:sz w:val="15"/>
        </w:rPr>
        <w:t xml:space="preserve">            "count": 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"quorum": 3,</w:t>
      </w:r>
    </w:p>
    <w:p>
      <w:pPr>
        <w:spacing w:after="0" w:before="0" w:line="240" w:lineRule="auto"/>
        <w:ind w:left="57"/>
        <w:jc w:val="left"/>
        <w:shd w:val="clear" w:fill="F2F2F2"/>
      </w:pPr>
      <w:r>
        <w:rPr>
          <w:rFonts w:ascii="Consolas" w:hAnsi="Consolas" w:cs="Consolas"/>
          <w:b w:val="0"/>
          <w:i w:val="0"/>
          <w:sz w:val="15"/>
        </w:rPr>
        <w:t xml:space="preserve">    "approval_mode": "parallel"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assistance for approval policy creation: the system provides a natural language prompt: "I want to require two senior managers to approve any contract over $200k." The AI (Groq) generates a draft approval policy JSON, which the admin can review, test, and activate.</w:t>
      </w:r>
    </w:p>
    <w:p>
      <w:pPr>
        <w:keepNext/>
        <w:spacing w:before="180" w:after="80"/>
        <w:outlineLvl w:val="2"/>
      </w:pPr>
      <w:r>
        <w:rPr>
          <w:rFonts w:ascii="Arial" w:hAnsi="Arial" w:cs="Arial"/>
          <w:b/>
          <w:i w:val="0"/>
          <w:color w:val="333333"/>
          <w:sz w:val="23"/>
        </w:rPr>
        <w:t>4.9.3 Database Schema (Internal Organisation)</w:t>
      </w:r>
    </w:p>
    <w:p>
      <w:pPr>
        <w:spacing w:after="0" w:before="0" w:line="240" w:lineRule="auto"/>
        <w:ind w:left="57"/>
        <w:jc w:val="left"/>
        <w:shd w:val="clear" w:fill="F2F2F2"/>
      </w:pPr>
      <w:r>
        <w:rPr>
          <w:rFonts w:ascii="Consolas" w:hAnsi="Consolas" w:cs="Consolas"/>
          <w:b w:val="0"/>
          <w:i w:val="0"/>
          <w:sz w:val="15"/>
        </w:rPr>
        <w:t>-- tenant_business_units: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tenant_departments: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tenant_cost_centers: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tenant_approval_groups: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tenant_approval_policies: canonical definition in Section 17.3;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4.9.4 Implementation Checklist (Internal Organisation)</w:t>
      </w:r>
    </w:p>
    <w:p>
      <w:pPr>
        <w:spacing w:after="80" w:line="293" w:lineRule="auto"/>
        <w:ind w:left="283"/>
        <w:jc w:val="left"/>
      </w:pPr>
      <w:r>
        <w:rPr>
          <w:rFonts w:ascii="Times New Roman" w:hAnsi="Times New Roman" w:cs="Times New Roman"/>
          <w:b w:val="0"/>
          <w:i w:val="0"/>
          <w:sz w:val="22"/>
        </w:rPr>
        <w:t>- Create tables: `tenant_business_units`, `tenant_departments`, `tenant_cost_centers`.</w:t>
      </w:r>
    </w:p>
    <w:p>
      <w:pPr>
        <w:spacing w:after="80" w:line="293" w:lineRule="auto"/>
        <w:ind w:left="283"/>
        <w:jc w:val="left"/>
      </w:pPr>
      <w:r>
        <w:rPr>
          <w:rFonts w:ascii="Times New Roman" w:hAnsi="Times New Roman" w:cs="Times New Roman"/>
          <w:b w:val="0"/>
          <w:i w:val="0"/>
          <w:sz w:val="22"/>
        </w:rPr>
        <w:t>- Create tables: `tenant_approval_groups`, `tenant_approval_policies`.</w:t>
      </w:r>
    </w:p>
    <w:p>
      <w:pPr>
        <w:spacing w:after="80" w:line="293" w:lineRule="auto"/>
        <w:ind w:left="283"/>
        <w:jc w:val="left"/>
      </w:pPr>
      <w:r>
        <w:rPr>
          <w:rFonts w:ascii="Times New Roman" w:hAnsi="Times New Roman" w:cs="Times New Roman"/>
          <w:b w:val="0"/>
          <w:i w:val="0"/>
          <w:sz w:val="22"/>
        </w:rPr>
        <w:t>- Build UI for Organisation Manager (Company Admin).</w:t>
      </w:r>
    </w:p>
    <w:p>
      <w:pPr>
        <w:spacing w:after="80" w:line="293" w:lineRule="auto"/>
        <w:ind w:left="283"/>
        <w:jc w:val="left"/>
      </w:pPr>
      <w:r>
        <w:rPr>
          <w:rFonts w:ascii="Times New Roman" w:hAnsi="Times New Roman" w:cs="Times New Roman"/>
          <w:b w:val="0"/>
          <w:i w:val="0"/>
          <w:sz w:val="22"/>
        </w:rPr>
        <w:t>- Implement approval chain enforcement in the Governor.</w:t>
      </w:r>
    </w:p>
    <w:p>
      <w:pPr>
        <w:keepNext/>
        <w:spacing w:before="180" w:after="80"/>
        <w:outlineLvl w:val="2"/>
      </w:pPr>
      <w:r>
        <w:rPr>
          <w:rFonts w:ascii="Arial" w:hAnsi="Arial" w:cs="Arial"/>
          <w:b/>
          <w:i w:val="0"/>
          <w:color w:val="333333"/>
          <w:sz w:val="23"/>
        </w:rPr>
        <w:t>4.9.5 Authority Domain Separation (Tenant Approval vs Platform Governance)</w:t>
      </w:r>
    </w:p>
    <w:p>
      <w:pPr>
        <w:spacing w:after="80" w:line="293" w:lineRule="auto"/>
        <w:jc w:val="left"/>
      </w:pPr>
      <w:r>
        <w:rPr>
          <w:rFonts w:ascii="Times New Roman" w:hAnsi="Times New Roman" w:cs="Times New Roman"/>
          <w:b w:val="0"/>
          <w:i w:val="0"/>
          <w:sz w:val="22"/>
        </w:rPr>
        <w:t>Tenant internal approvals and platform constitutional governance are distinct authority domains and must never be conflated in either direction. A tenant maker/checker approval, a treasury approval, an internal company authorization, an organizational expenditure control, or an internal delegated approval is a tenant-owned control executed under the tenant approval-policy architecture; it authorizes action within the tenant organization and nothing more. A platform governance multisig (2-of-3 for standard platform governance actions, 3-of-5 for constitutional amendments) is a platform-owned control; it authorizes platform-level governance actions and nothing more. A trade-party legal signature (buyer, seller, financier, or logistics provider signature on a legally binding document) belongs to the relevant contracting party and is governed by Section 9.24.1.</w:t>
      </w:r>
    </w:p>
    <w:p>
      <w:pPr>
        <w:spacing w:after="80" w:line="293" w:lineRule="auto"/>
        <w:jc w:val="left"/>
      </w:pPr>
      <w:r>
        <w:rPr>
          <w:rFonts w:ascii="Times New Roman" w:hAnsi="Times New Roman" w:cs="Times New Roman"/>
          <w:b w:val="0"/>
          <w:i w:val="0"/>
          <w:sz w:val="22"/>
        </w:rPr>
        <w:t>A tenant approval must never be interpreted as a platform constitutional authorization, and a platform governance multisig must never substitute for a trade-party legal signature. Every authorization record produced anywhere in the platform explicitly identifies its authority domain, so that any consumer of the record — human, service, or auditor — can distinguish the three classes without inference. The canonical authorization record contains:</w:t>
      </w:r>
    </w:p>
    <w:p>
      <w:pPr>
        <w:spacing w:after="0" w:before="0" w:line="240" w:lineRule="auto"/>
        <w:ind w:left="57"/>
        <w:jc w:val="left"/>
        <w:shd w:val="clear" w:fill="F2F2F2"/>
      </w:pPr>
      <w:r>
        <w:rPr>
          <w:rFonts w:ascii="Consolas" w:hAnsi="Consolas" w:cs="Consolas"/>
          <w:b w:val="0"/>
          <w:i w:val="0"/>
          <w:sz w:val="15"/>
        </w:rPr>
        <w:t>authority_domain      PLATFORM_GOVERNANCE | TENANT_INTERNAL | TRADE_PARTY_LEGAL</w:t>
      </w:r>
    </w:p>
    <w:p>
      <w:pPr>
        <w:spacing w:after="0" w:before="0" w:line="240" w:lineRule="auto"/>
        <w:ind w:left="57"/>
        <w:jc w:val="left"/>
        <w:shd w:val="clear" w:fill="F2F2F2"/>
      </w:pPr>
      <w:r>
        <w:rPr>
          <w:rFonts w:ascii="Consolas" w:hAnsi="Consolas" w:cs="Consolas"/>
          <w:b w:val="0"/>
          <w:i w:val="0"/>
          <w:sz w:val="15"/>
        </w:rPr>
        <w:t>authority_type        MULTISIG_2OF3 | MULTISIG_3OF5 | MAKER_CHECKER | DELEGATED |</w:t>
      </w:r>
    </w:p>
    <w:p>
      <w:pPr>
        <w:spacing w:after="0" w:before="0" w:line="240" w:lineRule="auto"/>
        <w:ind w:left="57"/>
        <w:jc w:val="left"/>
        <w:shd w:val="clear" w:fill="F2F2F2"/>
      </w:pPr>
      <w:r>
        <w:rPr>
          <w:rFonts w:ascii="Consolas" w:hAnsi="Consolas" w:cs="Consolas"/>
          <w:b w:val="0"/>
          <w:i w:val="0"/>
          <w:sz w:val="15"/>
        </w:rPr>
        <w:t xml:space="preserve">                      QES | ADVANCED_ELECTRONIC | SIMPLE_ELECTRONIC (as applicable)</w:t>
      </w:r>
    </w:p>
    <w:p>
      <w:pPr>
        <w:spacing w:after="0" w:before="0" w:line="240" w:lineRule="auto"/>
        <w:ind w:left="57"/>
        <w:jc w:val="left"/>
        <w:shd w:val="clear" w:fill="F2F2F2"/>
      </w:pPr>
      <w:r>
        <w:rPr>
          <w:rFonts w:ascii="Consolas" w:hAnsi="Consolas" w:cs="Consolas"/>
          <w:b w:val="0"/>
          <w:i w:val="0"/>
          <w:sz w:val="15"/>
        </w:rPr>
        <w:t>actor                 GTID and employee ID of the acting human or system</w:t>
      </w:r>
    </w:p>
    <w:p>
      <w:pPr>
        <w:spacing w:after="0" w:before="0" w:line="240" w:lineRule="auto"/>
        <w:ind w:left="57"/>
        <w:jc w:val="left"/>
        <w:shd w:val="clear" w:fill="F2F2F2"/>
      </w:pPr>
      <w:r>
        <w:rPr>
          <w:rFonts w:ascii="Consolas" w:hAnsi="Consolas" w:cs="Consolas"/>
          <w:b w:val="0"/>
          <w:i w:val="0"/>
          <w:sz w:val="15"/>
        </w:rPr>
        <w:t>role                  organizational or governance role of the actor</w:t>
      </w:r>
    </w:p>
    <w:p>
      <w:pPr>
        <w:spacing w:after="0" w:before="0" w:line="240" w:lineRule="auto"/>
        <w:ind w:left="57"/>
        <w:jc w:val="left"/>
        <w:shd w:val="clear" w:fill="F2F2F2"/>
      </w:pPr>
      <w:r>
        <w:rPr>
          <w:rFonts w:ascii="Consolas" w:hAnsi="Consolas" w:cs="Consolas"/>
          <w:b w:val="0"/>
          <w:i w:val="0"/>
          <w:sz w:val="15"/>
        </w:rPr>
        <w:t>scope                 the exact object and action the authorization covers</w:t>
      </w:r>
    </w:p>
    <w:p>
      <w:pPr>
        <w:spacing w:after="0" w:before="0" w:line="240" w:lineRule="auto"/>
        <w:ind w:left="57"/>
        <w:jc w:val="left"/>
        <w:shd w:val="clear" w:fill="F2F2F2"/>
      </w:pPr>
      <w:r>
        <w:rPr>
          <w:rFonts w:ascii="Consolas" w:hAnsi="Consolas" w:cs="Consolas"/>
          <w:b w:val="0"/>
          <w:i w:val="0"/>
          <w:sz w:val="15"/>
        </w:rPr>
        <w:t>policy                policy ID and policy_version under which the authorization was evaluated</w:t>
      </w:r>
    </w:p>
    <w:p>
      <w:pPr>
        <w:spacing w:after="0" w:before="0" w:line="240" w:lineRule="auto"/>
        <w:ind w:left="57"/>
        <w:jc w:val="left"/>
        <w:shd w:val="clear" w:fill="F2F2F2"/>
      </w:pPr>
      <w:r>
        <w:rPr>
          <w:rFonts w:ascii="Consolas" w:hAnsi="Consolas" w:cs="Consolas"/>
          <w:b w:val="0"/>
          <w:i w:val="0"/>
          <w:sz w:val="15"/>
        </w:rPr>
        <w:t>signature             cryptographic signature over the authorization record</w:t>
      </w:r>
    </w:p>
    <w:p>
      <w:pPr>
        <w:spacing w:after="0" w:before="0" w:line="240" w:lineRule="auto"/>
        <w:ind w:left="57"/>
        <w:jc w:val="left"/>
        <w:shd w:val="clear" w:fill="F2F2F2"/>
      </w:pPr>
      <w:r>
        <w:rPr>
          <w:rFonts w:ascii="Consolas" w:hAnsi="Consolas" w:cs="Consolas"/>
          <w:b w:val="0"/>
          <w:i w:val="0"/>
          <w:sz w:val="15"/>
        </w:rPr>
        <w:t>decision              APPROVED | REJECTED | CONDITIONAL</w:t>
      </w:r>
    </w:p>
    <w:p>
      <w:pPr>
        <w:spacing w:after="0" w:before="0" w:line="240" w:lineRule="auto"/>
        <w:ind w:left="57"/>
        <w:jc w:val="left"/>
        <w:shd w:val="clear" w:fill="F2F2F2"/>
      </w:pPr>
      <w:r>
        <w:rPr>
          <w:rFonts w:ascii="Consolas" w:hAnsi="Consolas" w:cs="Consolas"/>
          <w:b w:val="0"/>
          <w:i w:val="0"/>
          <w:sz w:val="15"/>
        </w:rPr>
        <w:t>timestamp             occurred_at (and recorded_at) of the authorization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Governor evaluates every mutating action against the authority domains required for that action; an action that requires a trade-party legal signature cannot be satisfied by a tenant approval, and an action that requires platform governance cannot be satisfied by tenant approval. The signature authority classes and their application rules are specified in Section 9.24.1; the witness-role boundary that keeps the platform out of the trade-party class is specified in Section 9.19.1.</w:t>
      </w:r>
    </w:p>
    <w:p>
      <w:pPr>
        <w:keepNext/>
        <w:spacing w:before="240" w:after="100"/>
        <w:outlineLvl w:val="1"/>
      </w:pPr>
      <w:r>
        <w:rPr>
          <w:rFonts w:ascii="Arial" w:hAnsi="Arial" w:cs="Arial"/>
          <w:b/>
          <w:i w:val="0"/>
          <w:color w:val="2E528F"/>
          <w:sz w:val="26"/>
        </w:rPr>
        <w:t>4.10 Tenant Lifecycle</w:t>
      </w:r>
    </w:p>
    <w:p>
      <w:pPr>
        <w:keepNext/>
        <w:spacing w:before="180" w:after="80"/>
        <w:outlineLvl w:val="2"/>
      </w:pPr>
      <w:r>
        <w:rPr>
          <w:rFonts w:ascii="Arial" w:hAnsi="Arial" w:cs="Arial"/>
          <w:b/>
          <w:i w:val="0"/>
          <w:color w:val="333333"/>
          <w:sz w:val="23"/>
        </w:rPr>
        <w:t>4.10.1 Unified State Machine</w:t>
      </w:r>
    </w:p>
    <w:p>
      <w:pPr>
        <w:spacing w:after="80" w:line="293" w:lineRule="auto"/>
        <w:jc w:val="left"/>
      </w:pPr>
      <w:r>
        <w:rPr>
          <w:rFonts w:ascii="Times New Roman" w:hAnsi="Times New Roman" w:cs="Times New Roman"/>
          <w:b w:val="0"/>
          <w:i w:val="0"/>
          <w:sz w:val="22"/>
        </w:rPr>
        <w:t>Every tenant transitions through these states. State changes are logged in `tenant_lifecycle_history` and trigger Smart Inbox notifications (with AI-generated explanations).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State</w:t>
            </w:r>
          </w:p>
        </w:tc>
        <w:tc>
          <w:tcPr>
            <w:tcW w:type="dxa" w:w="2409"/>
            <w:shd w:val="clear" w:fill="D9E2F3"/>
          </w:tcPr>
          <w:p>
            <w:pPr>
              <w:spacing w:after="20" w:before="20" w:line="240" w:lineRule="auto"/>
            </w:pPr>
            <w:r/>
            <w:r>
              <w:rPr>
                <w:rFonts w:ascii="Arial" w:hAnsi="Arial" w:cs="Arial"/>
                <w:b/>
                <w:i w:val="0"/>
                <w:sz w:val="18"/>
              </w:rPr>
              <w:t>Description</w:t>
            </w:r>
          </w:p>
        </w:tc>
        <w:tc>
          <w:tcPr>
            <w:tcW w:type="dxa" w:w="2409"/>
            <w:shd w:val="clear" w:fill="D9E2F3"/>
          </w:tcPr>
          <w:p>
            <w:pPr>
              <w:spacing w:after="20" w:before="20" w:line="240" w:lineRule="auto"/>
            </w:pPr>
            <w:r/>
            <w:r>
              <w:rPr>
                <w:rFonts w:ascii="Arial" w:hAnsi="Arial" w:cs="Arial"/>
                <w:b/>
                <w:i w:val="0"/>
                <w:sz w:val="18"/>
              </w:rPr>
              <w:t>Allowed Actions</w:t>
            </w:r>
          </w:p>
        </w:tc>
        <w:tc>
          <w:tcPr>
            <w:tcW w:type="dxa" w:w="2409"/>
            <w:shd w:val="clear" w:fill="D9E2F3"/>
          </w:tcPr>
          <w:p>
            <w:pPr>
              <w:spacing w:after="20" w:before="20" w:line="240" w:lineRule="auto"/>
            </w:pPr>
            <w:r/>
            <w:r>
              <w:rPr>
                <w:rFonts w:ascii="Arial" w:hAnsi="Arial" w:cs="Arial"/>
                <w:b/>
                <w:i w:val="0"/>
                <w:sz w:val="18"/>
              </w:rPr>
              <w:t>Smart Inbox Notification Example</w:t>
            </w:r>
          </w:p>
        </w:tc>
      </w:tr>
      <w:tr>
        <w:tc>
          <w:tcPr>
            <w:tcW w:type="dxa" w:w="2409"/>
          </w:tcPr>
          <w:p>
            <w:pPr>
              <w:spacing w:after="20" w:before="20" w:line="240" w:lineRule="auto"/>
            </w:pPr>
            <w:r/>
            <w:r>
              <w:rPr>
                <w:rFonts w:ascii="Arial" w:hAnsi="Arial" w:cs="Arial"/>
                <w:b w:val="0"/>
                <w:i w:val="0"/>
                <w:sz w:val="17"/>
              </w:rPr>
              <w:t>REGISTERED</w:t>
            </w:r>
          </w:p>
        </w:tc>
        <w:tc>
          <w:tcPr>
            <w:tcW w:type="dxa" w:w="2409"/>
          </w:tcPr>
          <w:p>
            <w:pPr>
              <w:spacing w:after="20" w:before="20" w:line="240" w:lineRule="auto"/>
            </w:pPr>
            <w:r/>
            <w:r>
              <w:rPr>
                <w:rFonts w:ascii="Arial" w:hAnsi="Arial" w:cs="Arial"/>
                <w:b w:val="0"/>
                <w:i w:val="0"/>
                <w:sz w:val="17"/>
              </w:rPr>
              <w:t>Account created, pending onboarding</w:t>
            </w:r>
          </w:p>
        </w:tc>
        <w:tc>
          <w:tcPr>
            <w:tcW w:type="dxa" w:w="2409"/>
          </w:tcPr>
          <w:p>
            <w:pPr>
              <w:spacing w:after="20" w:before="20" w:line="240" w:lineRule="auto"/>
            </w:pPr>
            <w:r/>
            <w:r>
              <w:rPr>
                <w:rFonts w:ascii="Arial" w:hAnsi="Arial" w:cs="Arial"/>
                <w:b w:val="0"/>
                <w:i w:val="0"/>
                <w:sz w:val="17"/>
              </w:rPr>
              <w:t>Complete wizard</w:t>
            </w:r>
          </w:p>
        </w:tc>
        <w:tc>
          <w:tcPr>
            <w:tcW w:type="dxa" w:w="2409"/>
          </w:tcPr>
          <w:p>
            <w:pPr>
              <w:spacing w:after="20" w:before="20" w:line="240" w:lineRule="auto"/>
            </w:pPr>
            <w:r/>
            <w:r>
              <w:rPr>
                <w:rFonts w:ascii="Arial" w:hAnsi="Arial" w:cs="Arial"/>
                <w:b w:val="0"/>
                <w:i w:val="0"/>
                <w:sz w:val="17"/>
              </w:rPr>
              <w:t>"Welcome to SGTX. Please complete the onboarding wizard to start trading."</w:t>
            </w:r>
          </w:p>
        </w:tc>
      </w:tr>
      <w:tr>
        <w:tc>
          <w:tcPr>
            <w:tcW w:type="dxa" w:w="2409"/>
          </w:tcPr>
          <w:p>
            <w:pPr>
              <w:spacing w:after="20" w:before="20" w:line="240" w:lineRule="auto"/>
            </w:pPr>
            <w:r/>
            <w:r>
              <w:rPr>
                <w:rFonts w:ascii="Arial" w:hAnsi="Arial" w:cs="Arial"/>
                <w:b w:val="0"/>
                <w:i w:val="0"/>
                <w:sz w:val="17"/>
              </w:rPr>
              <w:t>ONBOARDING</w:t>
            </w:r>
          </w:p>
        </w:tc>
        <w:tc>
          <w:tcPr>
            <w:tcW w:type="dxa" w:w="2409"/>
          </w:tcPr>
          <w:p>
            <w:pPr>
              <w:spacing w:after="20" w:before="20" w:line="240" w:lineRule="auto"/>
            </w:pPr>
            <w:r/>
            <w:r>
              <w:rPr>
                <w:rFonts w:ascii="Arial" w:hAnsi="Arial" w:cs="Arial"/>
                <w:b w:val="0"/>
                <w:i w:val="0"/>
                <w:sz w:val="17"/>
              </w:rPr>
              <w:t>User in wizard</w:t>
            </w:r>
          </w:p>
        </w:tc>
        <w:tc>
          <w:tcPr>
            <w:tcW w:type="dxa" w:w="2409"/>
          </w:tcPr>
          <w:p>
            <w:pPr>
              <w:spacing w:after="20" w:before="20" w:line="240" w:lineRule="auto"/>
            </w:pPr>
            <w:r/>
            <w:r>
              <w:rPr>
                <w:rFonts w:ascii="Arial" w:hAnsi="Arial" w:cs="Arial"/>
                <w:b w:val="0"/>
                <w:i w:val="0"/>
                <w:sz w:val="17"/>
              </w:rPr>
              <w:t>Sandbox only; cannot create real trades</w:t>
            </w:r>
          </w:p>
        </w:tc>
        <w:tc>
          <w:tcPr>
            <w:tcW w:type="dxa" w:w="2409"/>
          </w:tcPr>
          <w:p>
            <w:pPr>
              <w:spacing w:after="20" w:before="20" w:line="240" w:lineRule="auto"/>
            </w:pPr>
            <w:r/>
            <w:r>
              <w:rPr>
                <w:rFonts w:ascii="Arial" w:hAnsi="Arial" w:cs="Arial"/>
                <w:b w:val="0"/>
                <w:i w:val="0"/>
                <w:sz w:val="17"/>
              </w:rPr>
              <w:t>(None — within wizard)</w:t>
            </w:r>
          </w:p>
        </w:tc>
      </w:tr>
      <w:tr>
        <w:tc>
          <w:tcPr>
            <w:tcW w:type="dxa" w:w="2409"/>
          </w:tcPr>
          <w:p>
            <w:pPr>
              <w:spacing w:after="20" w:before="20" w:line="240" w:lineRule="auto"/>
            </w:pPr>
            <w:r/>
            <w:r>
              <w:rPr>
                <w:rFonts w:ascii="Arial" w:hAnsi="Arial" w:cs="Arial"/>
                <w:b w:val="0"/>
                <w:i w:val="0"/>
                <w:sz w:val="17"/>
              </w:rPr>
              <w:t>KYB_PENDING</w:t>
            </w:r>
          </w:p>
        </w:tc>
        <w:tc>
          <w:tcPr>
            <w:tcW w:type="dxa" w:w="2409"/>
          </w:tcPr>
          <w:p>
            <w:pPr>
              <w:spacing w:after="20" w:before="20" w:line="240" w:lineRule="auto"/>
            </w:pPr>
            <w:r/>
            <w:r>
              <w:rPr>
                <w:rFonts w:ascii="Arial" w:hAnsi="Arial" w:cs="Arial"/>
                <w:b w:val="0"/>
                <w:i w:val="0"/>
                <w:sz w:val="17"/>
              </w:rPr>
              <w:t>Documents submitted, manual review</w:t>
            </w:r>
          </w:p>
        </w:tc>
        <w:tc>
          <w:tcPr>
            <w:tcW w:type="dxa" w:w="2409"/>
          </w:tcPr>
          <w:p>
            <w:pPr>
              <w:spacing w:after="20" w:before="20" w:line="240" w:lineRule="auto"/>
            </w:pPr>
            <w:r/>
            <w:r>
              <w:rPr>
                <w:rFonts w:ascii="Arial" w:hAnsi="Arial" w:cs="Arial"/>
                <w:b w:val="0"/>
                <w:i w:val="0"/>
                <w:sz w:val="17"/>
              </w:rPr>
              <w:t>Sandbox only; real trades blocked</w:t>
            </w:r>
          </w:p>
        </w:tc>
        <w:tc>
          <w:tcPr>
            <w:tcW w:type="dxa" w:w="2409"/>
          </w:tcPr>
          <w:p>
            <w:pPr>
              <w:spacing w:after="20" w:before="20" w:line="240" w:lineRule="auto"/>
            </w:pPr>
            <w:r/>
            <w:r>
              <w:rPr>
                <w:rFonts w:ascii="Arial" w:hAnsi="Arial" w:cs="Arial"/>
                <w:b w:val="0"/>
                <w:i w:val="0"/>
                <w:sz w:val="17"/>
              </w:rPr>
              <w:t>"Your documents are under review. Estimated response 48 hours. Queue position 3."</w:t>
            </w:r>
          </w:p>
        </w:tc>
      </w:tr>
      <w:tr>
        <w:tc>
          <w:tcPr>
            <w:tcW w:type="dxa" w:w="2409"/>
          </w:tcPr>
          <w:p>
            <w:pPr>
              <w:spacing w:after="20" w:before="20" w:line="240" w:lineRule="auto"/>
            </w:pPr>
            <w:r/>
            <w:r>
              <w:rPr>
                <w:rFonts w:ascii="Arial" w:hAnsi="Arial" w:cs="Arial"/>
                <w:b w:val="0"/>
                <w:i w:val="0"/>
                <w:sz w:val="17"/>
              </w:rPr>
              <w:t>VERIFIED</w:t>
            </w:r>
          </w:p>
        </w:tc>
        <w:tc>
          <w:tcPr>
            <w:tcW w:type="dxa" w:w="2409"/>
          </w:tcPr>
          <w:p>
            <w:pPr>
              <w:spacing w:after="20" w:before="20" w:line="240" w:lineRule="auto"/>
            </w:pPr>
            <w:r/>
            <w:r>
              <w:rPr>
                <w:rFonts w:ascii="Arial" w:hAnsi="Arial" w:cs="Arial"/>
                <w:b w:val="0"/>
                <w:i w:val="0"/>
                <w:sz w:val="17"/>
              </w:rPr>
              <w:t>Fully verified</w:t>
            </w:r>
          </w:p>
        </w:tc>
        <w:tc>
          <w:tcPr>
            <w:tcW w:type="dxa" w:w="2409"/>
          </w:tcPr>
          <w:p>
            <w:pPr>
              <w:spacing w:after="20" w:before="20" w:line="240" w:lineRule="auto"/>
            </w:pPr>
            <w:r/>
            <w:r>
              <w:rPr>
                <w:rFonts w:ascii="Arial" w:hAnsi="Arial" w:cs="Arial"/>
                <w:b w:val="0"/>
                <w:i w:val="0"/>
                <w:sz w:val="17"/>
              </w:rPr>
              <w:t>Full production access</w:t>
            </w:r>
          </w:p>
        </w:tc>
        <w:tc>
          <w:tcPr>
            <w:tcW w:type="dxa" w:w="2409"/>
          </w:tcPr>
          <w:p>
            <w:pPr>
              <w:spacing w:after="20" w:before="20" w:line="240" w:lineRule="auto"/>
            </w:pPr>
            <w:r/>
            <w:r>
              <w:rPr>
                <w:rFonts w:ascii="Arial" w:hAnsi="Arial" w:cs="Arial"/>
                <w:b w:val="0"/>
                <w:i w:val="0"/>
                <w:sz w:val="17"/>
              </w:rPr>
              <w:t>"Your account is verified. You can now create real trades."</w:t>
            </w:r>
          </w:p>
        </w:tc>
      </w:tr>
      <w:tr>
        <w:tc>
          <w:tcPr>
            <w:tcW w:type="dxa" w:w="2409"/>
          </w:tcPr>
          <w:p>
            <w:pPr>
              <w:spacing w:after="20" w:before="20" w:line="240" w:lineRule="auto"/>
            </w:pPr>
            <w:r/>
            <w:r>
              <w:rPr>
                <w:rFonts w:ascii="Arial" w:hAnsi="Arial" w:cs="Arial"/>
                <w:b w:val="0"/>
                <w:i w:val="0"/>
                <w:sz w:val="17"/>
              </w:rPr>
              <w:t>LIMITED_MODE</w:t>
            </w:r>
          </w:p>
        </w:tc>
        <w:tc>
          <w:tcPr>
            <w:tcW w:type="dxa" w:w="2409"/>
          </w:tcPr>
          <w:p>
            <w:pPr>
              <w:spacing w:after="20" w:before="20" w:line="240" w:lineRule="auto"/>
            </w:pPr>
            <w:r/>
            <w:r>
              <w:rPr>
                <w:rFonts w:ascii="Arial" w:hAnsi="Arial" w:cs="Arial"/>
                <w:b w:val="0"/>
                <w:i w:val="0"/>
                <w:sz w:val="17"/>
              </w:rPr>
              <w:t>Temporary restrictions (e.g., expired insurance)</w:t>
            </w:r>
          </w:p>
        </w:tc>
        <w:tc>
          <w:tcPr>
            <w:tcW w:type="dxa" w:w="2409"/>
          </w:tcPr>
          <w:p>
            <w:pPr>
              <w:spacing w:after="20" w:before="20" w:line="240" w:lineRule="auto"/>
            </w:pPr>
            <w:r/>
            <w:r>
              <w:rPr>
                <w:rFonts w:ascii="Arial" w:hAnsi="Arial" w:cs="Arial"/>
                <w:b w:val="0"/>
                <w:i w:val="0"/>
                <w:sz w:val="17"/>
              </w:rPr>
              <w:t>Trade execution limited to pre-approved corridors</w:t>
            </w:r>
          </w:p>
        </w:tc>
        <w:tc>
          <w:tcPr>
            <w:tcW w:type="dxa" w:w="2409"/>
          </w:tcPr>
          <w:p>
            <w:pPr>
              <w:spacing w:after="20" w:before="20" w:line="240" w:lineRule="auto"/>
            </w:pPr>
            <w:r/>
            <w:r>
              <w:rPr>
                <w:rFonts w:ascii="Arial" w:hAnsi="Arial" w:cs="Arial"/>
                <w:b w:val="0"/>
                <w:i w:val="0"/>
                <w:sz w:val="17"/>
              </w:rPr>
              <w:t>"Your insurance certificate expires in 7 days. Please renew to avoid restrictions."</w:t>
            </w:r>
          </w:p>
        </w:tc>
      </w:tr>
      <w:tr>
        <w:tc>
          <w:tcPr>
            <w:tcW w:type="dxa" w:w="2409"/>
          </w:tcPr>
          <w:p>
            <w:pPr>
              <w:spacing w:after="20" w:before="20" w:line="240" w:lineRule="auto"/>
            </w:pPr>
            <w:r/>
            <w:r>
              <w:rPr>
                <w:rFonts w:ascii="Arial" w:hAnsi="Arial" w:cs="Arial"/>
                <w:b w:val="0"/>
                <w:i w:val="0"/>
                <w:sz w:val="17"/>
              </w:rPr>
              <w:t>AT_RISK</w:t>
            </w:r>
          </w:p>
        </w:tc>
        <w:tc>
          <w:tcPr>
            <w:tcW w:type="dxa" w:w="2409"/>
          </w:tcPr>
          <w:p>
            <w:pPr>
              <w:spacing w:after="20" w:before="20" w:line="240" w:lineRule="auto"/>
            </w:pPr>
            <w:r/>
            <w:r>
              <w:rPr>
                <w:rFonts w:ascii="Arial" w:hAnsi="Arial" w:cs="Arial"/>
                <w:b w:val="0"/>
                <w:i w:val="0"/>
                <w:sz w:val="17"/>
              </w:rPr>
              <w:t>Compliance alert (e.g., PEP hit)</w:t>
            </w:r>
          </w:p>
        </w:tc>
        <w:tc>
          <w:tcPr>
            <w:tcW w:type="dxa" w:w="2409"/>
          </w:tcPr>
          <w:p>
            <w:pPr>
              <w:spacing w:after="20" w:before="20" w:line="240" w:lineRule="auto"/>
            </w:pPr>
            <w:r/>
            <w:r>
              <w:rPr>
                <w:rFonts w:ascii="Arial" w:hAnsi="Arial" w:cs="Arial"/>
                <w:b w:val="0"/>
                <w:i w:val="0"/>
                <w:sz w:val="17"/>
              </w:rPr>
              <w:t>Read-only; no new trades</w:t>
            </w:r>
          </w:p>
        </w:tc>
        <w:tc>
          <w:tcPr>
            <w:tcW w:type="dxa" w:w="2409"/>
          </w:tcPr>
          <w:p>
            <w:pPr>
              <w:spacing w:after="20" w:before="20" w:line="240" w:lineRule="auto"/>
            </w:pPr>
            <w:r/>
            <w:r>
              <w:rPr>
                <w:rFonts w:ascii="Arial" w:hAnsi="Arial" w:cs="Arial"/>
                <w:b w:val="0"/>
                <w:i w:val="0"/>
                <w:sz w:val="17"/>
              </w:rPr>
              <w:t>"A compliance review is required. Please contact support."</w:t>
            </w:r>
          </w:p>
        </w:tc>
      </w:tr>
      <w:tr>
        <w:tc>
          <w:tcPr>
            <w:tcW w:type="dxa" w:w="2409"/>
          </w:tcPr>
          <w:p>
            <w:pPr>
              <w:spacing w:after="20" w:before="20" w:line="240" w:lineRule="auto"/>
            </w:pPr>
            <w:r/>
            <w:r>
              <w:rPr>
                <w:rFonts w:ascii="Arial" w:hAnsi="Arial" w:cs="Arial"/>
                <w:b w:val="0"/>
                <w:i w:val="0"/>
                <w:sz w:val="17"/>
              </w:rPr>
              <w:t>SUSPENDED</w:t>
            </w:r>
          </w:p>
        </w:tc>
        <w:tc>
          <w:tcPr>
            <w:tcW w:type="dxa" w:w="2409"/>
          </w:tcPr>
          <w:p>
            <w:pPr>
              <w:spacing w:after="20" w:before="20" w:line="240" w:lineRule="auto"/>
            </w:pPr>
            <w:r/>
            <w:r>
              <w:rPr>
                <w:rFonts w:ascii="Arial" w:hAnsi="Arial" w:cs="Arial"/>
                <w:b w:val="0"/>
                <w:i w:val="0"/>
                <w:sz w:val="17"/>
              </w:rPr>
              <w:t>Manual suspension by platform</w:t>
            </w:r>
          </w:p>
        </w:tc>
        <w:tc>
          <w:tcPr>
            <w:tcW w:type="dxa" w:w="2409"/>
          </w:tcPr>
          <w:p>
            <w:pPr>
              <w:spacing w:after="20" w:before="20" w:line="240" w:lineRule="auto"/>
            </w:pPr>
            <w:r/>
            <w:r>
              <w:rPr>
                <w:rFonts w:ascii="Arial" w:hAnsi="Arial" w:cs="Arial"/>
                <w:b w:val="0"/>
                <w:i w:val="0"/>
                <w:sz w:val="17"/>
              </w:rPr>
              <w:t>No access; data export only</w:t>
            </w:r>
          </w:p>
        </w:tc>
        <w:tc>
          <w:tcPr>
            <w:tcW w:type="dxa" w:w="2409"/>
          </w:tcPr>
          <w:p>
            <w:pPr>
              <w:spacing w:after="20" w:before="20" w:line="240" w:lineRule="auto"/>
            </w:pPr>
            <w:r/>
            <w:r>
              <w:rPr>
                <w:rFonts w:ascii="Arial" w:hAnsi="Arial" w:cs="Arial"/>
                <w:b w:val="0"/>
                <w:i w:val="0"/>
                <w:sz w:val="17"/>
              </w:rPr>
              <w:t>"Your account has been suspended. Contact compliance for details."</w:t>
            </w:r>
          </w:p>
        </w:tc>
      </w:tr>
      <w:tr>
        <w:tc>
          <w:tcPr>
            <w:tcW w:type="dxa" w:w="2409"/>
          </w:tcPr>
          <w:p>
            <w:pPr>
              <w:spacing w:after="20" w:before="20" w:line="240" w:lineRule="auto"/>
            </w:pPr>
            <w:r/>
            <w:r>
              <w:rPr>
                <w:rFonts w:ascii="Arial" w:hAnsi="Arial" w:cs="Arial"/>
                <w:b w:val="0"/>
                <w:i w:val="0"/>
                <w:sz w:val="17"/>
              </w:rPr>
              <w:t>ARCHIVED</w:t>
            </w:r>
          </w:p>
        </w:tc>
        <w:tc>
          <w:tcPr>
            <w:tcW w:type="dxa" w:w="2409"/>
          </w:tcPr>
          <w:p>
            <w:pPr>
              <w:spacing w:after="20" w:before="20" w:line="240" w:lineRule="auto"/>
            </w:pPr>
            <w:r/>
            <w:r>
              <w:rPr>
                <w:rFonts w:ascii="Arial" w:hAnsi="Arial" w:cs="Arial"/>
                <w:b w:val="0"/>
                <w:i w:val="0"/>
                <w:sz w:val="17"/>
              </w:rPr>
              <w:t>Closed account</w:t>
            </w:r>
          </w:p>
        </w:tc>
        <w:tc>
          <w:tcPr>
            <w:tcW w:type="dxa" w:w="2409"/>
          </w:tcPr>
          <w:p>
            <w:pPr>
              <w:spacing w:after="20" w:before="20" w:line="240" w:lineRule="auto"/>
            </w:pPr>
            <w:r/>
            <w:r>
              <w:rPr>
                <w:rFonts w:ascii="Arial" w:hAnsi="Arial" w:cs="Arial"/>
                <w:b w:val="0"/>
                <w:i w:val="0"/>
                <w:sz w:val="17"/>
              </w:rPr>
              <w:t>Data retained per law; no login</w:t>
            </w:r>
          </w:p>
        </w:tc>
        <w:tc>
          <w:tcPr>
            <w:tcW w:type="dxa" w:w="2409"/>
          </w:tcPr>
          <w:p>
            <w:pPr>
              <w:spacing w:after="20" w:before="20" w:line="240" w:lineRule="auto"/>
            </w:pPr>
            <w:r/>
            <w:r>
              <w:rPr>
                <w:rFonts w:ascii="Arial" w:hAnsi="Arial" w:cs="Arial"/>
                <w:b w:val="0"/>
                <w:i w:val="0"/>
                <w:sz w:val="17"/>
              </w:rPr>
              <w:t>"Your account is closed. Data will be retained for 7 years."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State machine:</w:t>
      </w:r>
    </w:p>
    <w:p>
      <w:pPr>
        <w:spacing w:after="0" w:before="0" w:line="240" w:lineRule="auto"/>
        <w:ind w:left="57"/>
        <w:jc w:val="left"/>
        <w:shd w:val="clear" w:fill="F2F2F2"/>
      </w:pPr>
      <w:r>
        <w:rPr>
          <w:rFonts w:ascii="Consolas" w:hAnsi="Consolas" w:cs="Consolas"/>
          <w:b w:val="0"/>
          <w:i w:val="0"/>
          <w:sz w:val="15"/>
        </w:rPr>
        <w:t>REGISTERED → ONBOARDING → KYB_PENDING → VERIFIED → LIMITED_MODE → AT_RISK → SUSPENDED → ARCHIVED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Transitions: Governor decision required for KYB_PENDING → VERIFIED, VERIFIED → AT_RISK, SUSPENDED → VERIFIED. Smart Inbox creates high-priority items on state changes with Groq-generated explanations.</w:t>
      </w:r>
    </w:p>
    <w:p>
      <w:pPr>
        <w:spacing w:after="80" w:line="293" w:lineRule="auto"/>
        <w:jc w:val="left"/>
      </w:pPr>
      <w:r>
        <w:rPr>
          <w:rFonts w:ascii="Times New Roman" w:hAnsi="Times New Roman" w:cs="Times New Roman"/>
          <w:b w:val="0"/>
          <w:i w:val="0"/>
          <w:sz w:val="22"/>
        </w:rPr>
        <w:t>AI assistance in KYB_PENDING: when a review is pending, the Smart Inbox shows the estimated SLA, queue position, and a direct link to the compliance team (no unsolicited "try another provider").</w:t>
      </w:r>
    </w:p>
    <w:p>
      <w:pPr>
        <w:keepNext/>
        <w:spacing w:before="180" w:after="80"/>
        <w:outlineLvl w:val="2"/>
      </w:pPr>
      <w:r>
        <w:rPr>
          <w:rFonts w:ascii="Arial" w:hAnsi="Arial" w:cs="Arial"/>
          <w:b/>
          <w:i w:val="0"/>
          <w:color w:val="333333"/>
          <w:sz w:val="23"/>
        </w:rPr>
        <w:t>4.10.2 Database Schema (Tenant Lifecycle)</w:t>
      </w:r>
    </w:p>
    <w:p>
      <w:pPr>
        <w:spacing w:after="0" w:before="0" w:line="240" w:lineRule="auto"/>
        <w:ind w:left="57"/>
        <w:jc w:val="left"/>
        <w:shd w:val="clear" w:fill="F2F2F2"/>
      </w:pPr>
      <w:r>
        <w:rPr>
          <w:rFonts w:ascii="Consolas" w:hAnsi="Consolas" w:cs="Consolas"/>
          <w:b w:val="0"/>
          <w:i w:val="0"/>
          <w:sz w:val="15"/>
        </w:rPr>
        <w:t>-- Tenant Lifecycle History</w:t>
      </w:r>
    </w:p>
    <w:p>
      <w:pPr>
        <w:spacing w:after="0" w:before="0" w:line="240" w:lineRule="auto"/>
        <w:ind w:left="57"/>
        <w:jc w:val="left"/>
        <w:shd w:val="clear" w:fill="F2F2F2"/>
      </w:pPr>
      <w:r>
        <w:rPr>
          <w:rFonts w:ascii="Consolas" w:hAnsi="Consolas" w:cs="Consolas"/>
          <w:b w:val="0"/>
          <w:i w:val="0"/>
          <w:sz w:val="15"/>
        </w:rPr>
        <w:t>-- tenant_lifecycle_history: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idx_tenant_lifecycle_history_tenant ON tenant_lifecycle_history(tenant_id);</w:t>
      </w:r>
    </w:p>
    <w:p>
      <w:pPr>
        <w:spacing w:after="0" w:before="0" w:line="240" w:lineRule="auto"/>
        <w:ind w:left="57"/>
        <w:jc w:val="left"/>
        <w:shd w:val="clear" w:fill="F2F2F2"/>
      </w:pPr>
      <w:r>
        <w:rPr>
          <w:rFonts w:ascii="Consolas" w:hAnsi="Consolas" w:cs="Consolas"/>
          <w:b w:val="0"/>
          <w:i w:val="0"/>
          <w:sz w:val="15"/>
        </w:rPr>
        <w:t>CREATE INDEX idx_tenant_lifecycle_history_state ON tenant_lifecycle_history(to_state);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4.10.3 Implementation Checklist (Tenant Lifecycle)</w:t>
      </w:r>
    </w:p>
    <w:p>
      <w:pPr>
        <w:spacing w:after="80" w:line="293" w:lineRule="auto"/>
        <w:ind w:left="283"/>
        <w:jc w:val="left"/>
      </w:pPr>
      <w:r>
        <w:rPr>
          <w:rFonts w:ascii="Times New Roman" w:hAnsi="Times New Roman" w:cs="Times New Roman"/>
          <w:b w:val="0"/>
          <w:i w:val="0"/>
          <w:sz w:val="22"/>
        </w:rPr>
        <w:t>- Implement state machine (REGISTERED → ONBOARDING → KYB_PENDING → VERIFIED → ...).</w:t>
      </w:r>
    </w:p>
    <w:p>
      <w:pPr>
        <w:spacing w:after="80" w:line="293" w:lineRule="auto"/>
        <w:ind w:left="283"/>
        <w:jc w:val="left"/>
      </w:pPr>
      <w:r>
        <w:rPr>
          <w:rFonts w:ascii="Times New Roman" w:hAnsi="Times New Roman" w:cs="Times New Roman"/>
          <w:b w:val="0"/>
          <w:i w:val="0"/>
          <w:sz w:val="22"/>
        </w:rPr>
        <w:t>- Add state transition logging (`tenant_lifecycle_history`).</w:t>
      </w:r>
    </w:p>
    <w:p>
      <w:pPr>
        <w:spacing w:after="80" w:line="293" w:lineRule="auto"/>
        <w:ind w:left="283"/>
        <w:jc w:val="left"/>
      </w:pPr>
      <w:r>
        <w:rPr>
          <w:rFonts w:ascii="Times New Roman" w:hAnsi="Times New Roman" w:cs="Times New Roman"/>
          <w:b w:val="0"/>
          <w:i w:val="0"/>
          <w:sz w:val="22"/>
        </w:rPr>
        <w:t>- Create Smart Inbox notifications on state changes (A1 Groq explanations).</w:t>
      </w:r>
    </w:p>
    <w:p>
      <w:pPr>
        <w:keepNext/>
        <w:spacing w:before="240" w:after="100"/>
        <w:outlineLvl w:val="1"/>
      </w:pPr>
      <w:r>
        <w:rPr>
          <w:rFonts w:ascii="Arial" w:hAnsi="Arial" w:cs="Arial"/>
          <w:b/>
          <w:i w:val="0"/>
          <w:color w:val="2E528F"/>
          <w:sz w:val="26"/>
        </w:rPr>
        <w:t>4.11 Network Feature (Saved Contacts)</w:t>
      </w:r>
    </w:p>
    <w:p>
      <w:pPr>
        <w:keepNext/>
        <w:spacing w:before="180" w:after="80"/>
        <w:outlineLvl w:val="2"/>
      </w:pPr>
      <w:r>
        <w:rPr>
          <w:rFonts w:ascii="Arial" w:hAnsi="Arial" w:cs="Arial"/>
          <w:b/>
          <w:i w:val="0"/>
          <w:color w:val="333333"/>
          <w:sz w:val="23"/>
        </w:rPr>
        <w:t>4.11.1 No Marketplace Discovery</w:t>
      </w:r>
    </w:p>
    <w:p>
      <w:pPr>
        <w:spacing w:after="80" w:line="293" w:lineRule="auto"/>
        <w:jc w:val="left"/>
      </w:pPr>
      <w:r>
        <w:rPr>
          <w:rFonts w:ascii="Times New Roman" w:hAnsi="Times New Roman" w:cs="Times New Roman"/>
          <w:b w:val="0"/>
          <w:i w:val="0"/>
          <w:sz w:val="22"/>
        </w:rPr>
        <w:t>The Network feature (Saved Contacts) is a strictly opt-in, user-controlled directory of existing counterparties. SGTX never auto-discovers or suggests new contacts.</w:t>
      </w:r>
    </w:p>
    <w:p>
      <w:pPr>
        <w:spacing w:after="80" w:line="293" w:lineRule="auto"/>
        <w:jc w:val="left"/>
      </w:pPr>
      <w:r>
        <w:rPr>
          <w:rFonts w:ascii="Times New Roman" w:hAnsi="Times New Roman" w:cs="Times New Roman"/>
          <w:b w:val="0"/>
          <w:i w:val="0"/>
          <w:sz w:val="22"/>
        </w:rPr>
        <w:t>Contacts are saved automatically when:</w:t>
      </w:r>
    </w:p>
    <w:p>
      <w:pPr>
        <w:spacing w:after="80" w:line="293" w:lineRule="auto"/>
        <w:ind w:left="283"/>
        <w:jc w:val="left"/>
      </w:pPr>
      <w:r>
        <w:rPr>
          <w:rFonts w:ascii="Times New Roman" w:hAnsi="Times New Roman" w:cs="Times New Roman"/>
          <w:b w:val="0"/>
          <w:i w:val="0"/>
          <w:sz w:val="22"/>
        </w:rPr>
        <w:t>- A trade request is created between two tenants.</w:t>
      </w:r>
    </w:p>
    <w:p>
      <w:pPr>
        <w:spacing w:after="80" w:line="293" w:lineRule="auto"/>
        <w:ind w:left="283"/>
        <w:jc w:val="left"/>
      </w:pPr>
      <w:r>
        <w:rPr>
          <w:rFonts w:ascii="Times New Roman" w:hAnsi="Times New Roman" w:cs="Times New Roman"/>
          <w:b w:val="0"/>
          <w:i w:val="0"/>
          <w:sz w:val="22"/>
        </w:rPr>
        <w:t>- A logistics provider accepts a quote.</w:t>
      </w:r>
    </w:p>
    <w:p>
      <w:pPr>
        <w:spacing w:after="80" w:line="293" w:lineRule="auto"/>
        <w:ind w:left="283"/>
        <w:jc w:val="left"/>
      </w:pPr>
      <w:r>
        <w:rPr>
          <w:rFonts w:ascii="Times New Roman" w:hAnsi="Times New Roman" w:cs="Times New Roman"/>
          <w:b w:val="0"/>
          <w:i w:val="0"/>
          <w:sz w:val="22"/>
        </w:rPr>
        <w:t>- A financing agreement is signed.</w:t>
      </w:r>
    </w:p>
    <w:p>
      <w:pPr>
        <w:spacing w:after="80" w:line="293" w:lineRule="auto"/>
        <w:ind w:left="283"/>
        <w:jc w:val="left"/>
      </w:pPr>
      <w:r>
        <w:rPr>
          <w:rFonts w:ascii="Times New Roman" w:hAnsi="Times New Roman" w:cs="Times New Roman"/>
          <w:b w:val="0"/>
          <w:i w:val="0"/>
          <w:sz w:val="22"/>
        </w:rPr>
        <w:t>- A direct message is exchanged in the Trade Room.</w:t>
      </w:r>
    </w:p>
    <w:p>
      <w:pPr>
        <w:spacing w:after="80" w:line="293" w:lineRule="auto"/>
        <w:ind w:left="283"/>
        <w:jc w:val="left"/>
      </w:pPr>
      <w:r>
        <w:rPr>
          <w:rFonts w:ascii="Times New Roman" w:hAnsi="Times New Roman" w:cs="Times New Roman"/>
          <w:b w:val="0"/>
          <w:i w:val="0"/>
          <w:sz w:val="22"/>
        </w:rPr>
        <w:t>- A distressed cargo notification is sent.</w:t>
      </w:r>
    </w:p>
    <w:p>
      <w:pPr>
        <w:spacing w:after="80" w:line="293" w:lineRule="auto"/>
        <w:jc w:val="left"/>
      </w:pPr>
      <w:r>
        <w:rPr>
          <w:rFonts w:ascii="Times New Roman" w:hAnsi="Times New Roman" w:cs="Times New Roman"/>
          <w:b w:val="0"/>
          <w:i w:val="0"/>
          <w:sz w:val="22"/>
        </w:rPr>
        <w:t>Manual addition: users can also manually add a GTID (if they know it) via the "Add Contact" button. The system resolves the GTID and shows public information (legal name, jurisdiction, trust score) — but does not recommend "people you may know".</w:t>
      </w:r>
    </w:p>
    <w:p>
      <w:pPr>
        <w:keepNext/>
        <w:spacing w:before="180" w:after="80"/>
        <w:outlineLvl w:val="2"/>
      </w:pPr>
      <w:r>
        <w:rPr>
          <w:rFonts w:ascii="Arial" w:hAnsi="Arial" w:cs="Arial"/>
          <w:b/>
          <w:i w:val="0"/>
          <w:color w:val="333333"/>
          <w:sz w:val="23"/>
        </w:rPr>
        <w:t>4.11.2 AI Enrichment (Non-Marketplace)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Feature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AI Authority</w:t>
            </w:r>
          </w:p>
        </w:tc>
      </w:tr>
      <w:tr>
        <w:tc>
          <w:tcPr>
            <w:tcW w:type="dxa" w:w="3213"/>
          </w:tcPr>
          <w:p>
            <w:pPr>
              <w:spacing w:after="20" w:before="20" w:line="240" w:lineRule="auto"/>
            </w:pPr>
            <w:r/>
            <w:r>
              <w:rPr>
                <w:rFonts w:ascii="Arial" w:hAnsi="Arial" w:cs="Arial"/>
                <w:b w:val="0"/>
                <w:i w:val="0"/>
                <w:sz w:val="17"/>
              </w:rPr>
              <w:t>Trust Portrait</w:t>
            </w:r>
          </w:p>
        </w:tc>
        <w:tc>
          <w:tcPr>
            <w:tcW w:type="dxa" w:w="3213"/>
          </w:tcPr>
          <w:p>
            <w:pPr>
              <w:spacing w:after="20" w:before="20" w:line="240" w:lineRule="auto"/>
            </w:pPr>
            <w:r/>
            <w:r>
              <w:rPr>
                <w:rFonts w:ascii="Arial" w:hAnsi="Arial" w:cs="Arial"/>
                <w:b w:val="0"/>
                <w:i w:val="0"/>
                <w:sz w:val="17"/>
              </w:rPr>
              <w:t>AI (Groq) generates a plain-language summary of the contact's public performance (based on trades that both parties have completed). Example: "Mekong Fresh has been a reliable seller for 12 months. On-time delivery rate 98%." Never compares to other sellers.</w:t>
            </w:r>
          </w:p>
        </w:tc>
        <w:tc>
          <w:tcPr>
            <w:tcW w:type="dxa" w:w="3213"/>
          </w:tcPr>
          <w:p>
            <w:pPr>
              <w:spacing w:after="20" w:before="20" w:line="240" w:lineRule="auto"/>
            </w:pPr>
            <w:r/>
            <w:r>
              <w:rPr>
                <w:rFonts w:ascii="Arial" w:hAnsi="Arial" w:cs="Arial"/>
                <w:b w:val="0"/>
                <w:i w:val="0"/>
                <w:sz w:val="17"/>
              </w:rPr>
              <w:t>A1</w:t>
            </w:r>
          </w:p>
        </w:tc>
      </w:tr>
      <w:tr>
        <w:tc>
          <w:tcPr>
            <w:tcW w:type="dxa" w:w="3213"/>
          </w:tcPr>
          <w:p>
            <w:pPr>
              <w:spacing w:after="20" w:before="20" w:line="240" w:lineRule="auto"/>
            </w:pPr>
            <w:r/>
            <w:r>
              <w:rPr>
                <w:rFonts w:ascii="Arial" w:hAnsi="Arial" w:cs="Arial"/>
                <w:b w:val="0"/>
                <w:i w:val="0"/>
                <w:sz w:val="17"/>
              </w:rPr>
              <w:t>Relationship Health Score</w:t>
            </w:r>
          </w:p>
        </w:tc>
        <w:tc>
          <w:tcPr>
            <w:tcW w:type="dxa" w:w="3213"/>
          </w:tcPr>
          <w:p>
            <w:pPr>
              <w:spacing w:after="20" w:before="20" w:line="240" w:lineRule="auto"/>
            </w:pPr>
            <w:r/>
            <w:r>
              <w:rPr>
                <w:rFonts w:ascii="Arial" w:hAnsi="Arial" w:cs="Arial"/>
                <w:b w:val="0"/>
                <w:i w:val="0"/>
                <w:sz w:val="17"/>
              </w:rPr>
              <w:t>LSTM model predicts future relationship strength based on your own interaction history — not benchmarking against others.</w:t>
            </w:r>
          </w:p>
        </w:tc>
        <w:tc>
          <w:tcPr>
            <w:tcW w:type="dxa" w:w="3213"/>
          </w:tcPr>
          <w:p>
            <w:pPr>
              <w:spacing w:after="20" w:before="20" w:line="240" w:lineRule="auto"/>
            </w:pPr>
            <w:r/>
            <w:r>
              <w:rPr>
                <w:rFonts w:ascii="Arial" w:hAnsi="Arial" w:cs="Arial"/>
                <w:b w:val="0"/>
                <w:i w:val="0"/>
                <w:sz w:val="17"/>
              </w:rPr>
              <w:t>A2</w:t>
            </w:r>
          </w:p>
        </w:tc>
      </w:tr>
      <w:tr>
        <w:tc>
          <w:tcPr>
            <w:tcW w:type="dxa" w:w="3213"/>
          </w:tcPr>
          <w:p>
            <w:pPr>
              <w:spacing w:after="20" w:before="20" w:line="240" w:lineRule="auto"/>
            </w:pPr>
            <w:r/>
            <w:r>
              <w:rPr>
                <w:rFonts w:ascii="Arial" w:hAnsi="Arial" w:cs="Arial"/>
                <w:b w:val="0"/>
                <w:i w:val="0"/>
                <w:sz w:val="17"/>
              </w:rPr>
              <w:t>Indirect connections</w:t>
            </w:r>
          </w:p>
        </w:tc>
        <w:tc>
          <w:tcPr>
            <w:tcW w:type="dxa" w:w="3213"/>
          </w:tcPr>
          <w:p>
            <w:pPr>
              <w:spacing w:after="20" w:before="20" w:line="240" w:lineRule="auto"/>
            </w:pPr>
            <w:r/>
            <w:r>
              <w:rPr>
                <w:rFonts w:ascii="Arial" w:hAnsi="Arial" w:cs="Arial"/>
                <w:b w:val="0"/>
                <w:i w:val="0"/>
                <w:sz w:val="17"/>
              </w:rPr>
              <w:t>GraphRAG shows shared logistics providers or common UBOs — purely informational, not a recommendation.</w:t>
            </w:r>
          </w:p>
        </w:tc>
        <w:tc>
          <w:tcPr>
            <w:tcW w:type="dxa" w:w="3213"/>
          </w:tcPr>
          <w:p>
            <w:pPr>
              <w:spacing w:after="20" w:before="20" w:line="240" w:lineRule="auto"/>
            </w:pPr>
            <w:r/>
            <w:r>
              <w:rPr>
                <w:rFonts w:ascii="Arial" w:hAnsi="Arial" w:cs="Arial"/>
                <w:b w:val="0"/>
                <w:i w:val="0"/>
                <w:sz w:val="17"/>
              </w:rPr>
              <w:t>A2</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Important: the Network tab never displays a list of "top rated" or "recommended" contacts. Users must already have a relationship or explicitly know the GTID.</w:t>
      </w:r>
    </w:p>
    <w:p>
      <w:pPr>
        <w:keepNext/>
        <w:spacing w:before="180" w:after="80"/>
        <w:outlineLvl w:val="2"/>
      </w:pPr>
      <w:r>
        <w:rPr>
          <w:rFonts w:ascii="Arial" w:hAnsi="Arial" w:cs="Arial"/>
          <w:b/>
          <w:i w:val="0"/>
          <w:color w:val="333333"/>
          <w:sz w:val="23"/>
        </w:rPr>
        <w:t>4.11.3 Database Schema (Network Feature)</w:t>
      </w:r>
    </w:p>
    <w:p>
      <w:pPr>
        <w:spacing w:after="0" w:before="0" w:line="240" w:lineRule="auto"/>
        <w:ind w:left="57"/>
        <w:jc w:val="left"/>
        <w:shd w:val="clear" w:fill="F2F2F2"/>
      </w:pPr>
      <w:r>
        <w:rPr>
          <w:rFonts w:ascii="Consolas" w:hAnsi="Consolas" w:cs="Consolas"/>
          <w:b w:val="0"/>
          <w:i w:val="0"/>
          <w:sz w:val="15"/>
        </w:rPr>
        <w:t>-- tenant_contacts: canonical definition in Section 17.24;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4.11.4 Implementation Checklist (Network Feature)</w:t>
      </w:r>
    </w:p>
    <w:p>
      <w:pPr>
        <w:spacing w:after="80" w:line="293" w:lineRule="auto"/>
        <w:ind w:left="283"/>
        <w:jc w:val="left"/>
      </w:pPr>
      <w:r>
        <w:rPr>
          <w:rFonts w:ascii="Times New Roman" w:hAnsi="Times New Roman" w:cs="Times New Roman"/>
          <w:b w:val="0"/>
          <w:i w:val="0"/>
          <w:sz w:val="22"/>
        </w:rPr>
        <w:t>- Create `tenant_contacts` table.</w:t>
      </w:r>
    </w:p>
    <w:p>
      <w:pPr>
        <w:spacing w:after="80" w:line="293" w:lineRule="auto"/>
        <w:ind w:left="283"/>
        <w:jc w:val="left"/>
      </w:pPr>
      <w:r>
        <w:rPr>
          <w:rFonts w:ascii="Times New Roman" w:hAnsi="Times New Roman" w:cs="Times New Roman"/>
          <w:b w:val="0"/>
          <w:i w:val="0"/>
          <w:sz w:val="22"/>
        </w:rPr>
        <w:t>- Implement automatic contact saving on trade, quote, message, etc.</w:t>
      </w:r>
    </w:p>
    <w:p>
      <w:pPr>
        <w:spacing w:after="80" w:line="293" w:lineRule="auto"/>
        <w:ind w:left="283"/>
        <w:jc w:val="left"/>
      </w:pPr>
      <w:r>
        <w:rPr>
          <w:rFonts w:ascii="Times New Roman" w:hAnsi="Times New Roman" w:cs="Times New Roman"/>
          <w:b w:val="0"/>
          <w:i w:val="0"/>
          <w:sz w:val="22"/>
        </w:rPr>
        <w:t>- Build AI-enriched Trust Portrait (A1 Groq).</w:t>
      </w:r>
    </w:p>
    <w:p>
      <w:pPr>
        <w:spacing w:after="80" w:line="293" w:lineRule="auto"/>
        <w:ind w:left="283"/>
        <w:jc w:val="left"/>
      </w:pPr>
      <w:r>
        <w:rPr>
          <w:rFonts w:ascii="Times New Roman" w:hAnsi="Times New Roman" w:cs="Times New Roman"/>
          <w:b w:val="0"/>
          <w:i w:val="0"/>
          <w:sz w:val="22"/>
        </w:rPr>
        <w:t>- Implement Relationship Health Score (LSTM, A2).</w:t>
      </w:r>
    </w:p>
    <w:p>
      <w:pPr>
        <w:spacing w:after="80" w:line="293" w:lineRule="auto"/>
        <w:ind w:left="283"/>
        <w:jc w:val="left"/>
      </w:pPr>
      <w:r>
        <w:rPr>
          <w:rFonts w:ascii="Times New Roman" w:hAnsi="Times New Roman" w:cs="Times New Roman"/>
          <w:b w:val="0"/>
          <w:i w:val="0"/>
          <w:sz w:val="22"/>
        </w:rPr>
        <w:t>- Add GraphRAG indirect connections.</w:t>
      </w:r>
    </w:p>
    <w:p>
      <w:pPr>
        <w:spacing w:after="80" w:line="293" w:lineRule="auto"/>
        <w:ind w:left="283"/>
        <w:jc w:val="left"/>
      </w:pPr>
      <w:r>
        <w:rPr>
          <w:rFonts w:ascii="Times New Roman" w:hAnsi="Times New Roman" w:cs="Times New Roman"/>
          <w:b w:val="0"/>
          <w:i w:val="0"/>
          <w:sz w:val="22"/>
        </w:rPr>
        <w:t>- Build Voice-Driven Contact Management (Vosk + HF Mixtral).</w:t>
      </w:r>
    </w:p>
    <w:p>
      <w:pPr>
        <w:keepNext/>
        <w:spacing w:before="240" w:after="100"/>
        <w:outlineLvl w:val="1"/>
      </w:pPr>
      <w:r>
        <w:rPr>
          <w:rFonts w:ascii="Arial" w:hAnsi="Arial" w:cs="Arial"/>
          <w:b/>
          <w:i w:val="0"/>
          <w:color w:val="2E528F"/>
          <w:sz w:val="26"/>
        </w:rPr>
        <w:t>4.12 SGTX Trade Trust Passport™</w:t>
      </w:r>
    </w:p>
    <w:p>
      <w:pPr>
        <w:keepNext/>
        <w:spacing w:before="180" w:after="80"/>
        <w:outlineLvl w:val="2"/>
      </w:pPr>
      <w:r>
        <w:rPr>
          <w:rFonts w:ascii="Arial" w:hAnsi="Arial" w:cs="Arial"/>
          <w:b/>
          <w:i w:val="0"/>
          <w:color w:val="333333"/>
          <w:sz w:val="23"/>
        </w:rPr>
        <w:t>4.12.1 Purpose</w:t>
      </w:r>
    </w:p>
    <w:p>
      <w:pPr>
        <w:spacing w:after="80" w:line="293" w:lineRule="auto"/>
        <w:jc w:val="left"/>
      </w:pPr>
      <w:r>
        <w:rPr>
          <w:rFonts w:ascii="Times New Roman" w:hAnsi="Times New Roman" w:cs="Times New Roman"/>
          <w:b w:val="0"/>
          <w:i w:val="0"/>
          <w:sz w:val="22"/>
        </w:rPr>
        <w:t>Provide a portable, participant-controlled institutional trust profile that aggregates a tenant's reliability, compliance, financing performance, dispute resolution, and verified identifiers. The Trust Passport is a verifiable credential (W3C standard) signed by SGTX, enabling participants to share their trustworthiness with counterparties, financiers, logistics providers, and regulators without exposing raw trade data.</w:t>
      </w:r>
    </w:p>
    <w:p>
      <w:pPr>
        <w:spacing w:after="80" w:line="293" w:lineRule="auto"/>
        <w:jc w:val="left"/>
      </w:pPr>
      <w:r>
        <w:rPr>
          <w:rFonts w:ascii="Times New Roman" w:hAnsi="Times New Roman" w:cs="Times New Roman"/>
          <w:b w:val="0"/>
          <w:i w:val="0"/>
          <w:sz w:val="22"/>
        </w:rPr>
        <w:t>Key principles (non-marketplace, sovereign):</w:t>
      </w:r>
    </w:p>
    <w:p>
      <w:pPr>
        <w:spacing w:after="80" w:line="293" w:lineRule="auto"/>
        <w:ind w:left="283"/>
        <w:jc w:val="left"/>
      </w:pPr>
      <w:r>
        <w:rPr>
          <w:rFonts w:ascii="Times New Roman" w:hAnsi="Times New Roman" w:cs="Times New Roman"/>
          <w:b w:val="0"/>
          <w:i w:val="0"/>
          <w:sz w:val="22"/>
        </w:rPr>
        <w:t>- Participant-controlled: no automatic sharing. Every share requires explicit consent.</w:t>
      </w:r>
    </w:p>
    <w:p>
      <w:pPr>
        <w:spacing w:after="80" w:line="293" w:lineRule="auto"/>
        <w:ind w:left="283"/>
        <w:jc w:val="left"/>
      </w:pPr>
      <w:r>
        <w:rPr>
          <w:rFonts w:ascii="Times New Roman" w:hAnsi="Times New Roman" w:cs="Times New Roman"/>
          <w:b w:val="0"/>
          <w:i w:val="0"/>
          <w:sz w:val="22"/>
        </w:rPr>
        <w:t>- Privacy-preserving: the passport contains aggregated scores and summaries, not transaction-level details.</w:t>
      </w:r>
    </w:p>
    <w:p>
      <w:pPr>
        <w:spacing w:after="80" w:line="293" w:lineRule="auto"/>
        <w:ind w:left="283"/>
        <w:jc w:val="left"/>
      </w:pPr>
      <w:r>
        <w:rPr>
          <w:rFonts w:ascii="Times New Roman" w:hAnsi="Times New Roman" w:cs="Times New Roman"/>
          <w:b w:val="0"/>
          <w:i w:val="0"/>
          <w:sz w:val="22"/>
        </w:rPr>
        <w:t>- Verifiable off-line: the passport includes a cryptographic signature that can be verified using SGTX's public key.</w:t>
      </w:r>
    </w:p>
    <w:p>
      <w:pPr>
        <w:spacing w:after="80" w:line="293" w:lineRule="auto"/>
        <w:ind w:left="283"/>
        <w:jc w:val="left"/>
      </w:pPr>
      <w:r>
        <w:rPr>
          <w:rFonts w:ascii="Times New Roman" w:hAnsi="Times New Roman" w:cs="Times New Roman"/>
          <w:b w:val="0"/>
          <w:i w:val="0"/>
          <w:sz w:val="22"/>
        </w:rPr>
        <w:t>- Revocable: sharing links can be revoked at any time; old links become invalid immediately.</w:t>
      </w:r>
    </w:p>
    <w:p>
      <w:pPr>
        <w:spacing w:after="80" w:line="293" w:lineRule="auto"/>
        <w:ind w:left="283"/>
        <w:jc w:val="left"/>
      </w:pPr>
      <w:r>
        <w:rPr>
          <w:rFonts w:ascii="Times New Roman" w:hAnsi="Times New Roman" w:cs="Times New Roman"/>
          <w:b w:val="0"/>
          <w:i w:val="0"/>
          <w:sz w:val="22"/>
        </w:rPr>
        <w:t>- No ranking or discovery: the passport never suggests "better" counterparties; it only reflects the tenant's own verified history.</w:t>
      </w:r>
    </w:p>
    <w:p>
      <w:pPr>
        <w:keepNext/>
        <w:spacing w:before="180" w:after="80"/>
        <w:outlineLvl w:val="2"/>
      </w:pPr>
      <w:r>
        <w:rPr>
          <w:rFonts w:ascii="Arial" w:hAnsi="Arial" w:cs="Arial"/>
          <w:b/>
          <w:i w:val="0"/>
          <w:color w:val="333333"/>
          <w:sz w:val="23"/>
        </w:rPr>
        <w:t>4.12.2 Trust Passport Contents</w:t>
      </w:r>
    </w:p>
    <w:p>
      <w:pPr>
        <w:spacing w:after="80" w:line="293" w:lineRule="auto"/>
        <w:jc w:val="left"/>
      </w:pPr>
      <w:r>
        <w:rPr>
          <w:rFonts w:ascii="Times New Roman" w:hAnsi="Times New Roman" w:cs="Times New Roman"/>
          <w:b w:val="0"/>
          <w:i w:val="0"/>
          <w:sz w:val="22"/>
        </w:rPr>
        <w:t>The Trust Passport is a JSON-LD document with the following fields: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Description</w:t>
            </w:r>
          </w:p>
        </w:tc>
        <w:tc>
          <w:tcPr>
            <w:tcW w:type="dxa" w:w="2409"/>
            <w:shd w:val="clear" w:fill="D9E2F3"/>
          </w:tcPr>
          <w:p>
            <w:pPr>
              <w:spacing w:after="20" w:before="20" w:line="240" w:lineRule="auto"/>
            </w:pPr>
            <w:r/>
            <w:r>
              <w:rPr>
                <w:rFonts w:ascii="Arial" w:hAnsi="Arial" w:cs="Arial"/>
                <w:b/>
                <w:i w:val="0"/>
                <w:sz w:val="18"/>
              </w:rPr>
              <w:t>Always Visible?</w:t>
            </w:r>
          </w:p>
        </w:tc>
      </w:tr>
      <w:tr>
        <w:tc>
          <w:tcPr>
            <w:tcW w:type="dxa" w:w="2409"/>
          </w:tcPr>
          <w:p>
            <w:pPr>
              <w:spacing w:after="20" w:before="20" w:line="240" w:lineRule="auto"/>
            </w:pPr>
            <w:r/>
            <w:r>
              <w:rPr>
                <w:rFonts w:ascii="Arial" w:hAnsi="Arial" w:cs="Arial"/>
                <w:b w:val="0"/>
                <w:i w:val="0"/>
                <w:sz w:val="17"/>
              </w:rPr>
              <w:t>gtid</w:t>
            </w:r>
          </w:p>
        </w:tc>
        <w:tc>
          <w:tcPr>
            <w:tcW w:type="dxa" w:w="2409"/>
          </w:tcPr>
          <w:p>
            <w:pPr>
              <w:spacing w:after="20" w:before="20" w:line="240" w:lineRule="auto"/>
            </w:pPr>
            <w:r/>
            <w:r>
              <w:rPr>
                <w:rFonts w:ascii="Arial" w:hAnsi="Arial" w:cs="Arial"/>
                <w:b w:val="0"/>
                <w:i w:val="0"/>
                <w:sz w:val="17"/>
              </w:rPr>
              <w:t>string</w:t>
            </w:r>
          </w:p>
        </w:tc>
        <w:tc>
          <w:tcPr>
            <w:tcW w:type="dxa" w:w="2409"/>
          </w:tcPr>
          <w:p>
            <w:pPr>
              <w:spacing w:after="20" w:before="20" w:line="240" w:lineRule="auto"/>
            </w:pPr>
            <w:r/>
            <w:r>
              <w:rPr>
                <w:rFonts w:ascii="Arial" w:hAnsi="Arial" w:cs="Arial"/>
                <w:b w:val="0"/>
                <w:i w:val="0"/>
                <w:sz w:val="17"/>
              </w:rPr>
              <w:t>Tenant's Global Trade Identity</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legal_name</w:t>
            </w:r>
          </w:p>
        </w:tc>
        <w:tc>
          <w:tcPr>
            <w:tcW w:type="dxa" w:w="2409"/>
          </w:tcPr>
          <w:p>
            <w:pPr>
              <w:spacing w:after="20" w:before="20" w:line="240" w:lineRule="auto"/>
            </w:pPr>
            <w:r/>
            <w:r>
              <w:rPr>
                <w:rFonts w:ascii="Arial" w:hAnsi="Arial" w:cs="Arial"/>
                <w:b w:val="0"/>
                <w:i w:val="0"/>
                <w:sz w:val="17"/>
              </w:rPr>
              <w:t>string</w:t>
            </w:r>
          </w:p>
        </w:tc>
        <w:tc>
          <w:tcPr>
            <w:tcW w:type="dxa" w:w="2409"/>
          </w:tcPr>
          <w:p>
            <w:pPr>
              <w:spacing w:after="20" w:before="20" w:line="240" w:lineRule="auto"/>
            </w:pPr>
            <w:r/>
            <w:r>
              <w:rPr>
                <w:rFonts w:ascii="Arial" w:hAnsi="Arial" w:cs="Arial"/>
                <w:b w:val="0"/>
                <w:i w:val="0"/>
                <w:sz w:val="17"/>
              </w:rPr>
              <w:t>Legal name (from onboarding)</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jurisdiction</w:t>
            </w:r>
          </w:p>
        </w:tc>
        <w:tc>
          <w:tcPr>
            <w:tcW w:type="dxa" w:w="2409"/>
          </w:tcPr>
          <w:p>
            <w:pPr>
              <w:spacing w:after="20" w:before="20" w:line="240" w:lineRule="auto"/>
            </w:pPr>
            <w:r/>
            <w:r>
              <w:rPr>
                <w:rFonts w:ascii="Arial" w:hAnsi="Arial" w:cs="Arial"/>
                <w:b w:val="0"/>
                <w:i w:val="0"/>
                <w:sz w:val="17"/>
              </w:rPr>
              <w:t>string</w:t>
            </w:r>
          </w:p>
        </w:tc>
        <w:tc>
          <w:tcPr>
            <w:tcW w:type="dxa" w:w="2409"/>
          </w:tcPr>
          <w:p>
            <w:pPr>
              <w:spacing w:after="20" w:before="20" w:line="240" w:lineRule="auto"/>
            </w:pPr>
            <w:r/>
            <w:r>
              <w:rPr>
                <w:rFonts w:ascii="Arial" w:hAnsi="Arial" w:cs="Arial"/>
                <w:b w:val="0"/>
                <w:i w:val="0"/>
                <w:sz w:val="17"/>
              </w:rPr>
              <w:t>Country code (ISO 3166-1 alpha-2)</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tri_score</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Trade Reliability Index (0–1000)</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tri_confidence</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Confidence score (0–100)</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tri_status</w:t>
            </w:r>
          </w:p>
        </w:tc>
        <w:tc>
          <w:tcPr>
            <w:tcW w:type="dxa" w:w="2409"/>
          </w:tcPr>
          <w:p>
            <w:pPr>
              <w:spacing w:after="20" w:before="20" w:line="240" w:lineRule="auto"/>
            </w:pPr>
            <w:r/>
            <w:r>
              <w:rPr>
                <w:rFonts w:ascii="Arial" w:hAnsi="Arial" w:cs="Arial"/>
                <w:b w:val="0"/>
                <w:i w:val="0"/>
                <w:sz w:val="17"/>
              </w:rPr>
              <w:t>string</w:t>
            </w:r>
          </w:p>
        </w:tc>
        <w:tc>
          <w:tcPr>
            <w:tcW w:type="dxa" w:w="2409"/>
          </w:tcPr>
          <w:p>
            <w:pPr>
              <w:spacing w:after="20" w:before="20" w:line="240" w:lineRule="auto"/>
            </w:pPr>
            <w:r/>
            <w:r>
              <w:rPr>
                <w:rFonts w:ascii="Arial" w:hAnsi="Arial" w:cs="Arial"/>
                <w:b w:val="0"/>
                <w:i w:val="0"/>
                <w:sz w:val="17"/>
              </w:rPr>
              <w:t>Premier Trusted / Advanced Trusted / Trusted / Verified / Developing / Limited History</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settlement_reliability</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0–1000 (weight 25% in TRI)</w:t>
            </w:r>
          </w:p>
        </w:tc>
        <w:tc>
          <w:tcPr>
            <w:tcW w:type="dxa" w:w="2409"/>
          </w:tcPr>
          <w:p>
            <w:pPr>
              <w:spacing w:after="20" w:before="20" w:line="240" w:lineRule="auto"/>
            </w:pPr>
            <w:r/>
            <w:r>
              <w:rPr>
                <w:rFonts w:ascii="Arial" w:hAnsi="Arial" w:cs="Arial"/>
                <w:b w:val="0"/>
                <w:i w:val="0"/>
                <w:sz w:val="17"/>
              </w:rPr>
              <w:t>Consent required</w:t>
            </w:r>
          </w:p>
        </w:tc>
      </w:tr>
      <w:tr>
        <w:tc>
          <w:tcPr>
            <w:tcW w:type="dxa" w:w="2409"/>
          </w:tcPr>
          <w:p>
            <w:pPr>
              <w:spacing w:after="20" w:before="20" w:line="240" w:lineRule="auto"/>
            </w:pPr>
            <w:r/>
            <w:r>
              <w:rPr>
                <w:rFonts w:ascii="Arial" w:hAnsi="Arial" w:cs="Arial"/>
                <w:b w:val="0"/>
                <w:i w:val="0"/>
                <w:sz w:val="17"/>
              </w:rPr>
              <w:t>compliance_health</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0–1000 (weight 20%)</w:t>
            </w:r>
          </w:p>
        </w:tc>
        <w:tc>
          <w:tcPr>
            <w:tcW w:type="dxa" w:w="2409"/>
          </w:tcPr>
          <w:p>
            <w:pPr>
              <w:spacing w:after="20" w:before="20" w:line="240" w:lineRule="auto"/>
            </w:pPr>
            <w:r/>
            <w:r>
              <w:rPr>
                <w:rFonts w:ascii="Arial" w:hAnsi="Arial" w:cs="Arial"/>
                <w:b w:val="0"/>
                <w:i w:val="0"/>
                <w:sz w:val="17"/>
              </w:rPr>
              <w:t>Consent required</w:t>
            </w:r>
          </w:p>
        </w:tc>
      </w:tr>
      <w:tr>
        <w:tc>
          <w:tcPr>
            <w:tcW w:type="dxa" w:w="2409"/>
          </w:tcPr>
          <w:p>
            <w:pPr>
              <w:spacing w:after="20" w:before="20" w:line="240" w:lineRule="auto"/>
            </w:pPr>
            <w:r/>
            <w:r>
              <w:rPr>
                <w:rFonts w:ascii="Arial" w:hAnsi="Arial" w:cs="Arial"/>
                <w:b w:val="0"/>
                <w:i w:val="0"/>
                <w:sz w:val="17"/>
              </w:rPr>
              <w:t>documentation_quality</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0–1000 (weight 15%)</w:t>
            </w:r>
          </w:p>
        </w:tc>
        <w:tc>
          <w:tcPr>
            <w:tcW w:type="dxa" w:w="2409"/>
          </w:tcPr>
          <w:p>
            <w:pPr>
              <w:spacing w:after="20" w:before="20" w:line="240" w:lineRule="auto"/>
            </w:pPr>
            <w:r/>
            <w:r>
              <w:rPr>
                <w:rFonts w:ascii="Arial" w:hAnsi="Arial" w:cs="Arial"/>
                <w:b w:val="0"/>
                <w:i w:val="0"/>
                <w:sz w:val="17"/>
              </w:rPr>
              <w:t>Consent required</w:t>
            </w:r>
          </w:p>
        </w:tc>
      </w:tr>
      <w:tr>
        <w:tc>
          <w:tcPr>
            <w:tcW w:type="dxa" w:w="2409"/>
          </w:tcPr>
          <w:p>
            <w:pPr>
              <w:spacing w:after="20" w:before="20" w:line="240" w:lineRule="auto"/>
            </w:pPr>
            <w:r/>
            <w:r>
              <w:rPr>
                <w:rFonts w:ascii="Arial" w:hAnsi="Arial" w:cs="Arial"/>
                <w:b w:val="0"/>
                <w:i w:val="0"/>
                <w:sz w:val="17"/>
              </w:rPr>
              <w:t>financing_performance</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0–1000 (weight 20%)</w:t>
            </w:r>
          </w:p>
        </w:tc>
        <w:tc>
          <w:tcPr>
            <w:tcW w:type="dxa" w:w="2409"/>
          </w:tcPr>
          <w:p>
            <w:pPr>
              <w:spacing w:after="20" w:before="20" w:line="240" w:lineRule="auto"/>
            </w:pPr>
            <w:r/>
            <w:r>
              <w:rPr>
                <w:rFonts w:ascii="Arial" w:hAnsi="Arial" w:cs="Arial"/>
                <w:b w:val="0"/>
                <w:i w:val="0"/>
                <w:sz w:val="17"/>
              </w:rPr>
              <w:t>Consent required</w:t>
            </w:r>
          </w:p>
        </w:tc>
      </w:tr>
      <w:tr>
        <w:tc>
          <w:tcPr>
            <w:tcW w:type="dxa" w:w="2409"/>
          </w:tcPr>
          <w:p>
            <w:pPr>
              <w:spacing w:after="20" w:before="20" w:line="240" w:lineRule="auto"/>
            </w:pPr>
            <w:r/>
            <w:r>
              <w:rPr>
                <w:rFonts w:ascii="Arial" w:hAnsi="Arial" w:cs="Arial"/>
                <w:b w:val="0"/>
                <w:i w:val="0"/>
                <w:sz w:val="17"/>
              </w:rPr>
              <w:t>dispute_resolution</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0–1000 (weight 20%)</w:t>
            </w:r>
          </w:p>
        </w:tc>
        <w:tc>
          <w:tcPr>
            <w:tcW w:type="dxa" w:w="2409"/>
          </w:tcPr>
          <w:p>
            <w:pPr>
              <w:spacing w:after="20" w:before="20" w:line="240" w:lineRule="auto"/>
            </w:pPr>
            <w:r/>
            <w:r>
              <w:rPr>
                <w:rFonts w:ascii="Arial" w:hAnsi="Arial" w:cs="Arial"/>
                <w:b w:val="0"/>
                <w:i w:val="0"/>
                <w:sz w:val="17"/>
              </w:rPr>
              <w:t>Consent required</w:t>
            </w:r>
          </w:p>
        </w:tc>
      </w:tr>
      <w:tr>
        <w:tc>
          <w:tcPr>
            <w:tcW w:type="dxa" w:w="2409"/>
          </w:tcPr>
          <w:p>
            <w:pPr>
              <w:spacing w:after="20" w:before="20" w:line="240" w:lineRule="auto"/>
            </w:pPr>
            <w:r/>
            <w:r>
              <w:rPr>
                <w:rFonts w:ascii="Arial" w:hAnsi="Arial" w:cs="Arial"/>
                <w:b w:val="0"/>
                <w:i w:val="0"/>
                <w:sz w:val="17"/>
              </w:rPr>
              <w:t>optional_dimensions</w:t>
            </w:r>
          </w:p>
        </w:tc>
        <w:tc>
          <w:tcPr>
            <w:tcW w:type="dxa" w:w="2409"/>
          </w:tcPr>
          <w:p>
            <w:pPr>
              <w:spacing w:after="20" w:before="20" w:line="240" w:lineRule="auto"/>
            </w:pPr>
            <w:r/>
            <w:r>
              <w:rPr>
                <w:rFonts w:ascii="Arial" w:hAnsi="Arial" w:cs="Arial"/>
                <w:b w:val="0"/>
                <w:i w:val="0"/>
                <w:sz w:val="17"/>
              </w:rPr>
              <w:t>object</w:t>
            </w:r>
          </w:p>
        </w:tc>
        <w:tc>
          <w:tcPr>
            <w:tcW w:type="dxa" w:w="2409"/>
          </w:tcPr>
          <w:p>
            <w:pPr>
              <w:spacing w:after="20" w:before="20" w:line="240" w:lineRule="auto"/>
            </w:pPr>
            <w:r/>
            <w:r>
              <w:rPr>
                <w:rFonts w:ascii="Arial" w:hAnsi="Arial" w:cs="Arial"/>
                <w:b w:val="0"/>
                <w:i w:val="0"/>
                <w:sz w:val="17"/>
              </w:rPr>
              <w:t>Customs Performance, Logistics Performance, Trade Volume Consistency (each 0–1000)</w:t>
            </w:r>
          </w:p>
        </w:tc>
        <w:tc>
          <w:tcPr>
            <w:tcW w:type="dxa" w:w="2409"/>
          </w:tcPr>
          <w:p>
            <w:pPr>
              <w:spacing w:after="20" w:before="20" w:line="240" w:lineRule="auto"/>
            </w:pPr>
            <w:r/>
            <w:r>
              <w:rPr>
                <w:rFonts w:ascii="Arial" w:hAnsi="Arial" w:cs="Arial"/>
                <w:b w:val="0"/>
                <w:i w:val="0"/>
                <w:sz w:val="17"/>
              </w:rPr>
              <w:t>Explicit consent per dimension</w:t>
            </w:r>
          </w:p>
        </w:tc>
      </w:tr>
      <w:tr>
        <w:tc>
          <w:tcPr>
            <w:tcW w:type="dxa" w:w="2409"/>
          </w:tcPr>
          <w:p>
            <w:pPr>
              <w:spacing w:after="20" w:before="20" w:line="240" w:lineRule="auto"/>
            </w:pPr>
            <w:r/>
            <w:r>
              <w:rPr>
                <w:rFonts w:ascii="Arial" w:hAnsi="Arial" w:cs="Arial"/>
                <w:b w:val="0"/>
                <w:i w:val="0"/>
                <w:sz w:val="17"/>
              </w:rPr>
              <w:t>verified_identifiers</w:t>
            </w:r>
          </w:p>
        </w:tc>
        <w:tc>
          <w:tcPr>
            <w:tcW w:type="dxa" w:w="2409"/>
          </w:tcPr>
          <w:p>
            <w:pPr>
              <w:spacing w:after="20" w:before="20" w:line="240" w:lineRule="auto"/>
            </w:pPr>
            <w:r/>
            <w:r>
              <w:rPr>
                <w:rFonts w:ascii="Arial" w:hAnsi="Arial" w:cs="Arial"/>
                <w:b w:val="0"/>
                <w:i w:val="0"/>
                <w:sz w:val="17"/>
              </w:rPr>
              <w:t>array</w:t>
            </w:r>
          </w:p>
        </w:tc>
        <w:tc>
          <w:tcPr>
            <w:tcW w:type="dxa" w:w="2409"/>
          </w:tcPr>
          <w:p>
            <w:pPr>
              <w:spacing w:after="20" w:before="20" w:line="240" w:lineRule="auto"/>
            </w:pPr>
            <w:r/>
            <w:r>
              <w:rPr>
                <w:rFonts w:ascii="Arial" w:hAnsi="Arial" w:cs="Arial"/>
                <w:b w:val="0"/>
                <w:i w:val="0"/>
                <w:sz w:val="17"/>
              </w:rPr>
              <w:t>LEI, DUNS, Customs Reg, Chamber Reg, Tax Reg (each with status and reference)</w:t>
            </w:r>
          </w:p>
        </w:tc>
        <w:tc>
          <w:tcPr>
            <w:tcW w:type="dxa" w:w="2409"/>
          </w:tcPr>
          <w:p>
            <w:pPr>
              <w:spacing w:after="20" w:before="20" w:line="240" w:lineRule="auto"/>
            </w:pPr>
            <w:r/>
            <w:r>
              <w:rPr>
                <w:rFonts w:ascii="Arial" w:hAnsi="Arial" w:cs="Arial"/>
                <w:b w:val="0"/>
                <w:i w:val="0"/>
                <w:sz w:val="17"/>
              </w:rPr>
              <w:t>Always visible if verified</w:t>
            </w:r>
          </w:p>
        </w:tc>
      </w:tr>
      <w:tr>
        <w:tc>
          <w:tcPr>
            <w:tcW w:type="dxa" w:w="2409"/>
          </w:tcPr>
          <w:p>
            <w:pPr>
              <w:spacing w:after="20" w:before="20" w:line="240" w:lineRule="auto"/>
            </w:pPr>
            <w:r/>
            <w:r>
              <w:rPr>
                <w:rFonts w:ascii="Arial" w:hAnsi="Arial" w:cs="Arial"/>
                <w:b w:val="0"/>
                <w:i w:val="0"/>
                <w:sz w:val="17"/>
              </w:rPr>
              <w:t>compliance_summary</w:t>
            </w:r>
          </w:p>
        </w:tc>
        <w:tc>
          <w:tcPr>
            <w:tcW w:type="dxa" w:w="2409"/>
          </w:tcPr>
          <w:p>
            <w:pPr>
              <w:spacing w:after="20" w:before="20" w:line="240" w:lineRule="auto"/>
            </w:pPr>
            <w:r/>
            <w:r>
              <w:rPr>
                <w:rFonts w:ascii="Arial" w:hAnsi="Arial" w:cs="Arial"/>
                <w:b w:val="0"/>
                <w:i w:val="0"/>
                <w:sz w:val="17"/>
              </w:rPr>
              <w:t>object</w:t>
            </w:r>
          </w:p>
        </w:tc>
        <w:tc>
          <w:tcPr>
            <w:tcW w:type="dxa" w:w="2409"/>
          </w:tcPr>
          <w:p>
            <w:pPr>
              <w:spacing w:after="20" w:before="20" w:line="240" w:lineRule="auto"/>
            </w:pPr>
            <w:r/>
            <w:r>
              <w:rPr>
                <w:rFonts w:ascii="Arial" w:hAnsi="Arial" w:cs="Arial"/>
                <w:b w:val="0"/>
                <w:i w:val="0"/>
                <w:sz w:val="17"/>
              </w:rPr>
              <w:t>Sanctions clearance (true/false), PEP status (CLEAR/ENHANCED_DD/BLOCKED), KYB tier, last review date</w:t>
            </w:r>
          </w:p>
        </w:tc>
        <w:tc>
          <w:tcPr>
            <w:tcW w:type="dxa" w:w="2409"/>
          </w:tcPr>
          <w:p>
            <w:pPr>
              <w:spacing w:after="20" w:before="20" w:line="240" w:lineRule="auto"/>
            </w:pPr>
            <w:r/>
            <w:r>
              <w:rPr>
                <w:rFonts w:ascii="Arial" w:hAnsi="Arial" w:cs="Arial"/>
                <w:b w:val="0"/>
                <w:i w:val="0"/>
                <w:sz w:val="17"/>
              </w:rPr>
              <w:t>Always visible (no raw transaction data)</w:t>
            </w:r>
          </w:p>
        </w:tc>
      </w:tr>
      <w:tr>
        <w:tc>
          <w:tcPr>
            <w:tcW w:type="dxa" w:w="2409"/>
          </w:tcPr>
          <w:p>
            <w:pPr>
              <w:spacing w:after="20" w:before="20" w:line="240" w:lineRule="auto"/>
            </w:pPr>
            <w:r/>
            <w:r>
              <w:rPr>
                <w:rFonts w:ascii="Arial" w:hAnsi="Arial" w:cs="Arial"/>
                <w:b w:val="0"/>
                <w:i w:val="0"/>
                <w:sz w:val="17"/>
              </w:rPr>
              <w:t>financing_summary</w:t>
            </w:r>
          </w:p>
        </w:tc>
        <w:tc>
          <w:tcPr>
            <w:tcW w:type="dxa" w:w="2409"/>
          </w:tcPr>
          <w:p>
            <w:pPr>
              <w:spacing w:after="20" w:before="20" w:line="240" w:lineRule="auto"/>
            </w:pPr>
            <w:r/>
            <w:r>
              <w:rPr>
                <w:rFonts w:ascii="Arial" w:hAnsi="Arial" w:cs="Arial"/>
                <w:b w:val="0"/>
                <w:i w:val="0"/>
                <w:sz w:val="17"/>
              </w:rPr>
              <w:t>object</w:t>
            </w:r>
          </w:p>
        </w:tc>
        <w:tc>
          <w:tcPr>
            <w:tcW w:type="dxa" w:w="2409"/>
          </w:tcPr>
          <w:p>
            <w:pPr>
              <w:spacing w:after="20" w:before="20" w:line="240" w:lineRule="auto"/>
            </w:pPr>
            <w:r/>
            <w:r>
              <w:rPr>
                <w:rFonts w:ascii="Arial" w:hAnsi="Arial" w:cs="Arial"/>
                <w:b w:val="0"/>
                <w:i w:val="0"/>
                <w:sz w:val="17"/>
              </w:rPr>
              <w:t>Total financed amount (last 12 months), on-time repayment rate (%), number of defaults</w:t>
            </w:r>
          </w:p>
        </w:tc>
        <w:tc>
          <w:tcPr>
            <w:tcW w:type="dxa" w:w="2409"/>
          </w:tcPr>
          <w:p>
            <w:pPr>
              <w:spacing w:after="20" w:before="20" w:line="240" w:lineRule="auto"/>
            </w:pPr>
            <w:r/>
            <w:r>
              <w:rPr>
                <w:rFonts w:ascii="Arial" w:hAnsi="Arial" w:cs="Arial"/>
                <w:b w:val="0"/>
                <w:i w:val="0"/>
                <w:sz w:val="17"/>
              </w:rPr>
              <w:t>Consent required</w:t>
            </w:r>
          </w:p>
        </w:tc>
      </w:tr>
      <w:tr>
        <w:tc>
          <w:tcPr>
            <w:tcW w:type="dxa" w:w="2409"/>
          </w:tcPr>
          <w:p>
            <w:pPr>
              <w:spacing w:after="20" w:before="20" w:line="240" w:lineRule="auto"/>
            </w:pPr>
            <w:r/>
            <w:r>
              <w:rPr>
                <w:rFonts w:ascii="Arial" w:hAnsi="Arial" w:cs="Arial"/>
                <w:b w:val="0"/>
                <w:i w:val="0"/>
                <w:sz w:val="17"/>
              </w:rPr>
              <w:t>dispute_summary</w:t>
            </w:r>
          </w:p>
        </w:tc>
        <w:tc>
          <w:tcPr>
            <w:tcW w:type="dxa" w:w="2409"/>
          </w:tcPr>
          <w:p>
            <w:pPr>
              <w:spacing w:after="20" w:before="20" w:line="240" w:lineRule="auto"/>
            </w:pPr>
            <w:r/>
            <w:r>
              <w:rPr>
                <w:rFonts w:ascii="Arial" w:hAnsi="Arial" w:cs="Arial"/>
                <w:b w:val="0"/>
                <w:i w:val="0"/>
                <w:sz w:val="17"/>
              </w:rPr>
              <w:t>object</w:t>
            </w:r>
          </w:p>
        </w:tc>
        <w:tc>
          <w:tcPr>
            <w:tcW w:type="dxa" w:w="2409"/>
          </w:tcPr>
          <w:p>
            <w:pPr>
              <w:spacing w:after="20" w:before="20" w:line="240" w:lineRule="auto"/>
            </w:pPr>
            <w:r/>
            <w:r>
              <w:rPr>
                <w:rFonts w:ascii="Arial" w:hAnsi="Arial" w:cs="Arial"/>
                <w:b w:val="0"/>
                <w:i w:val="0"/>
                <w:sz w:val="17"/>
              </w:rPr>
              <w:t>Total disputes (last 36 months), resolved without arbitration (%), average resolution days</w:t>
            </w:r>
          </w:p>
        </w:tc>
        <w:tc>
          <w:tcPr>
            <w:tcW w:type="dxa" w:w="2409"/>
          </w:tcPr>
          <w:p>
            <w:pPr>
              <w:spacing w:after="20" w:before="20" w:line="240" w:lineRule="auto"/>
            </w:pPr>
            <w:r/>
            <w:r>
              <w:rPr>
                <w:rFonts w:ascii="Arial" w:hAnsi="Arial" w:cs="Arial"/>
                <w:b w:val="0"/>
                <w:i w:val="0"/>
                <w:sz w:val="17"/>
              </w:rPr>
              <w:t>Consent required</w:t>
            </w:r>
          </w:p>
        </w:tc>
      </w:tr>
      <w:tr>
        <w:tc>
          <w:tcPr>
            <w:tcW w:type="dxa" w:w="2409"/>
          </w:tcPr>
          <w:p>
            <w:pPr>
              <w:spacing w:after="20" w:before="20" w:line="240" w:lineRule="auto"/>
            </w:pPr>
            <w:r/>
            <w:r>
              <w:rPr>
                <w:rFonts w:ascii="Arial" w:hAnsi="Arial" w:cs="Arial"/>
                <w:b w:val="0"/>
                <w:i w:val="0"/>
                <w:sz w:val="17"/>
              </w:rPr>
              <w:t>trust_graph_reference</w:t>
            </w:r>
          </w:p>
        </w:tc>
        <w:tc>
          <w:tcPr>
            <w:tcW w:type="dxa" w:w="2409"/>
          </w:tcPr>
          <w:p>
            <w:pPr>
              <w:spacing w:after="20" w:before="20" w:line="240" w:lineRule="auto"/>
            </w:pPr>
            <w:r/>
            <w:r>
              <w:rPr>
                <w:rFonts w:ascii="Arial" w:hAnsi="Arial" w:cs="Arial"/>
                <w:b w:val="0"/>
                <w:i w:val="0"/>
                <w:sz w:val="17"/>
              </w:rPr>
              <w:t>string</w:t>
            </w:r>
          </w:p>
        </w:tc>
        <w:tc>
          <w:tcPr>
            <w:tcW w:type="dxa" w:w="2409"/>
          </w:tcPr>
          <w:p>
            <w:pPr>
              <w:spacing w:after="20" w:before="20" w:line="240" w:lineRule="auto"/>
            </w:pPr>
            <w:r/>
            <w:r>
              <w:rPr>
                <w:rFonts w:ascii="Arial" w:hAnsi="Arial" w:cs="Arial"/>
                <w:b w:val="0"/>
                <w:i w:val="0"/>
                <w:sz w:val="17"/>
              </w:rPr>
              <w:t>Anonymised network degree (e.g., "2 hops to 15 counterparties") — optional</w:t>
            </w:r>
          </w:p>
        </w:tc>
        <w:tc>
          <w:tcPr>
            <w:tcW w:type="dxa" w:w="2409"/>
          </w:tcPr>
          <w:p>
            <w:pPr>
              <w:spacing w:after="20" w:before="20" w:line="240" w:lineRule="auto"/>
            </w:pPr>
            <w:r/>
            <w:r>
              <w:rPr>
                <w:rFonts w:ascii="Arial" w:hAnsi="Arial" w:cs="Arial"/>
                <w:b w:val="0"/>
                <w:i w:val="0"/>
                <w:sz w:val="17"/>
              </w:rPr>
              <w:t>Opt-in only</w:t>
            </w:r>
          </w:p>
        </w:tc>
      </w:tr>
      <w:tr>
        <w:tc>
          <w:tcPr>
            <w:tcW w:type="dxa" w:w="2409"/>
          </w:tcPr>
          <w:p>
            <w:pPr>
              <w:spacing w:after="20" w:before="20" w:line="240" w:lineRule="auto"/>
            </w:pPr>
            <w:r/>
            <w:r>
              <w:rPr>
                <w:rFonts w:ascii="Arial" w:hAnsi="Arial" w:cs="Arial"/>
                <w:b w:val="0"/>
                <w:i w:val="0"/>
                <w:sz w:val="17"/>
              </w:rPr>
              <w:t>issued_at</w:t>
            </w:r>
          </w:p>
        </w:tc>
        <w:tc>
          <w:tcPr>
            <w:tcW w:type="dxa" w:w="2409"/>
          </w:tcPr>
          <w:p>
            <w:pPr>
              <w:spacing w:after="20" w:before="20" w:line="240" w:lineRule="auto"/>
            </w:pPr>
            <w:r/>
            <w:r>
              <w:rPr>
                <w:rFonts w:ascii="Arial" w:hAnsi="Arial" w:cs="Arial"/>
                <w:b w:val="0"/>
                <w:i w:val="0"/>
                <w:sz w:val="17"/>
              </w:rPr>
              <w:t>string (ISO 8601)</w:t>
            </w:r>
          </w:p>
        </w:tc>
        <w:tc>
          <w:tcPr>
            <w:tcW w:type="dxa" w:w="2409"/>
          </w:tcPr>
          <w:p>
            <w:pPr>
              <w:spacing w:after="20" w:before="20" w:line="240" w:lineRule="auto"/>
            </w:pPr>
            <w:r/>
            <w:r>
              <w:rPr>
                <w:rFonts w:ascii="Arial" w:hAnsi="Arial" w:cs="Arial"/>
                <w:b w:val="0"/>
                <w:i w:val="0"/>
                <w:sz w:val="17"/>
              </w:rPr>
              <w:t>Timestamp of passport generation</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expires_at</w:t>
            </w:r>
          </w:p>
        </w:tc>
        <w:tc>
          <w:tcPr>
            <w:tcW w:type="dxa" w:w="2409"/>
          </w:tcPr>
          <w:p>
            <w:pPr>
              <w:spacing w:after="20" w:before="20" w:line="240" w:lineRule="auto"/>
            </w:pPr>
            <w:r/>
            <w:r>
              <w:rPr>
                <w:rFonts w:ascii="Arial" w:hAnsi="Arial" w:cs="Arial"/>
                <w:b w:val="0"/>
                <w:i w:val="0"/>
                <w:sz w:val="17"/>
              </w:rPr>
              <w:t>string (ISO 8601)</w:t>
            </w:r>
          </w:p>
        </w:tc>
        <w:tc>
          <w:tcPr>
            <w:tcW w:type="dxa" w:w="2409"/>
          </w:tcPr>
          <w:p>
            <w:pPr>
              <w:spacing w:after="20" w:before="20" w:line="240" w:lineRule="auto"/>
            </w:pPr>
            <w:r/>
            <w:r>
              <w:rPr>
                <w:rFonts w:ascii="Arial" w:hAnsi="Arial" w:cs="Arial"/>
                <w:b w:val="0"/>
                <w:i w:val="0"/>
                <w:sz w:val="17"/>
              </w:rPr>
              <w:t>90 days after issue</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credential_hash</w:t>
            </w:r>
          </w:p>
        </w:tc>
        <w:tc>
          <w:tcPr>
            <w:tcW w:type="dxa" w:w="2409"/>
          </w:tcPr>
          <w:p>
            <w:pPr>
              <w:spacing w:after="20" w:before="20" w:line="240" w:lineRule="auto"/>
            </w:pPr>
            <w:r/>
            <w:r>
              <w:rPr>
                <w:rFonts w:ascii="Arial" w:hAnsi="Arial" w:cs="Arial"/>
                <w:b w:val="0"/>
                <w:i w:val="0"/>
                <w:sz w:val="17"/>
              </w:rPr>
              <w:t>string</w:t>
            </w:r>
          </w:p>
        </w:tc>
        <w:tc>
          <w:tcPr>
            <w:tcW w:type="dxa" w:w="2409"/>
          </w:tcPr>
          <w:p>
            <w:pPr>
              <w:spacing w:after="20" w:before="20" w:line="240" w:lineRule="auto"/>
            </w:pPr>
            <w:r/>
            <w:r>
              <w:rPr>
                <w:rFonts w:ascii="Arial" w:hAnsi="Arial" w:cs="Arial"/>
                <w:b w:val="0"/>
                <w:i w:val="0"/>
                <w:sz w:val="17"/>
              </w:rPr>
              <w:t>SHA256 of the canonicalised JSON-LD (for integrity)</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signature</w:t>
            </w:r>
          </w:p>
        </w:tc>
        <w:tc>
          <w:tcPr>
            <w:tcW w:type="dxa" w:w="2409"/>
          </w:tcPr>
          <w:p>
            <w:pPr>
              <w:spacing w:after="20" w:before="20" w:line="240" w:lineRule="auto"/>
            </w:pPr>
            <w:r/>
            <w:r>
              <w:rPr>
                <w:rFonts w:ascii="Arial" w:hAnsi="Arial" w:cs="Arial"/>
                <w:b w:val="0"/>
                <w:i w:val="0"/>
                <w:sz w:val="17"/>
              </w:rPr>
              <w:t>string</w:t>
            </w:r>
          </w:p>
        </w:tc>
        <w:tc>
          <w:tcPr>
            <w:tcW w:type="dxa" w:w="2409"/>
          </w:tcPr>
          <w:p>
            <w:pPr>
              <w:spacing w:after="20" w:before="20" w:line="240" w:lineRule="auto"/>
            </w:pPr>
            <w:r/>
            <w:r>
              <w:rPr>
                <w:rFonts w:ascii="Arial" w:hAnsi="Arial" w:cs="Arial"/>
                <w:b w:val="0"/>
                <w:i w:val="0"/>
                <w:sz w:val="17"/>
              </w:rPr>
              <w:t>Ed25519 signature (or Dilithium3 for archival) over the hash</w:t>
            </w:r>
          </w:p>
        </w:tc>
        <w:tc>
          <w:tcPr>
            <w:tcW w:type="dxa" w:w="2409"/>
          </w:tcPr>
          <w:p>
            <w:pPr>
              <w:spacing w:after="20" w:before="20" w:line="240" w:lineRule="auto"/>
            </w:pPr>
            <w:r/>
            <w:r>
              <w:rPr>
                <w:rFonts w:ascii="Arial" w:hAnsi="Arial" w:cs="Arial"/>
                <w:b w:val="0"/>
                <w:i w:val="0"/>
                <w:sz w:val="17"/>
              </w:rPr>
              <w:t>Yes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4.12.3 Verifiable Credential Format (W3C)</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"@context": ["https://www.w3.org/2018/credentials/v1"],</w:t>
      </w:r>
    </w:p>
    <w:p>
      <w:pPr>
        <w:spacing w:after="0" w:before="0" w:line="240" w:lineRule="auto"/>
        <w:ind w:left="57"/>
        <w:jc w:val="left"/>
        <w:shd w:val="clear" w:fill="F2F2F2"/>
      </w:pPr>
      <w:r>
        <w:rPr>
          <w:rFonts w:ascii="Consolas" w:hAnsi="Consolas" w:cs="Consolas"/>
          <w:b w:val="0"/>
          <w:i w:val="0"/>
          <w:sz w:val="15"/>
        </w:rPr>
        <w:t xml:space="preserve">    "id": "https://sgtx.io/credentials/trust-passport/SGTX-EG-TRD-002139-7F3A",</w:t>
      </w:r>
    </w:p>
    <w:p>
      <w:pPr>
        <w:spacing w:after="0" w:before="0" w:line="240" w:lineRule="auto"/>
        <w:ind w:left="57"/>
        <w:jc w:val="left"/>
        <w:shd w:val="clear" w:fill="F2F2F2"/>
      </w:pPr>
      <w:r>
        <w:rPr>
          <w:rFonts w:ascii="Consolas" w:hAnsi="Consolas" w:cs="Consolas"/>
          <w:b w:val="0"/>
          <w:i w:val="0"/>
          <w:sz w:val="15"/>
        </w:rPr>
        <w:t xml:space="preserve">    "type": ["VerifiableCredential", "TradeTrustPassport"],</w:t>
      </w:r>
    </w:p>
    <w:p>
      <w:pPr>
        <w:spacing w:after="0" w:before="0" w:line="240" w:lineRule="auto"/>
        <w:ind w:left="57"/>
        <w:jc w:val="left"/>
        <w:shd w:val="clear" w:fill="F2F2F2"/>
      </w:pPr>
      <w:r>
        <w:rPr>
          <w:rFonts w:ascii="Consolas" w:hAnsi="Consolas" w:cs="Consolas"/>
          <w:b w:val="0"/>
          <w:i w:val="0"/>
          <w:sz w:val="15"/>
        </w:rPr>
        <w:t xml:space="preserve">    "issuer": "https://sgtx.io/issuers/platform",</w:t>
      </w:r>
    </w:p>
    <w:p>
      <w:pPr>
        <w:spacing w:after="0" w:before="0" w:line="240" w:lineRule="auto"/>
        <w:ind w:left="57"/>
        <w:jc w:val="left"/>
        <w:shd w:val="clear" w:fill="F2F2F2"/>
      </w:pPr>
      <w:r>
        <w:rPr>
          <w:rFonts w:ascii="Consolas" w:hAnsi="Consolas" w:cs="Consolas"/>
          <w:b w:val="0"/>
          <w:i w:val="0"/>
          <w:sz w:val="15"/>
        </w:rPr>
        <w:t xml:space="preserve">    "issuanceDate": "2026-06-15T00:00:00Z",</w:t>
      </w:r>
    </w:p>
    <w:p>
      <w:pPr>
        <w:spacing w:after="0" w:before="0" w:line="240" w:lineRule="auto"/>
        <w:ind w:left="57"/>
        <w:jc w:val="left"/>
        <w:shd w:val="clear" w:fill="F2F2F2"/>
      </w:pPr>
      <w:r>
        <w:rPr>
          <w:rFonts w:ascii="Consolas" w:hAnsi="Consolas" w:cs="Consolas"/>
          <w:b w:val="0"/>
          <w:i w:val="0"/>
          <w:sz w:val="15"/>
        </w:rPr>
        <w:t xml:space="preserve">    "expirationDate": "2026-09-13T00:00:00Z",</w:t>
      </w:r>
    </w:p>
    <w:p>
      <w:pPr>
        <w:spacing w:after="0" w:before="0" w:line="240" w:lineRule="auto"/>
        <w:ind w:left="57"/>
        <w:jc w:val="left"/>
        <w:shd w:val="clear" w:fill="F2F2F2"/>
      </w:pPr>
      <w:r>
        <w:rPr>
          <w:rFonts w:ascii="Consolas" w:hAnsi="Consolas" w:cs="Consolas"/>
          <w:b w:val="0"/>
          <w:i w:val="0"/>
          <w:sz w:val="15"/>
        </w:rPr>
        <w:t xml:space="preserve">    "credentialSubject": {</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"legal_name": "Strawberry Export Co.",</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 xml:space="preserve">        "tri_score": 874,</w:t>
      </w:r>
    </w:p>
    <w:p>
      <w:pPr>
        <w:spacing w:after="0" w:before="0" w:line="240" w:lineRule="auto"/>
        <w:ind w:left="57"/>
        <w:jc w:val="left"/>
        <w:shd w:val="clear" w:fill="F2F2F2"/>
      </w:pPr>
      <w:r>
        <w:rPr>
          <w:rFonts w:ascii="Consolas" w:hAnsi="Consolas" w:cs="Consolas"/>
          <w:b w:val="0"/>
          <w:i w:val="0"/>
          <w:sz w:val="15"/>
        </w:rPr>
        <w:t xml:space="preserve">        "tri_confidence": 97,</w:t>
      </w:r>
    </w:p>
    <w:p>
      <w:pPr>
        <w:spacing w:after="0" w:before="0" w:line="240" w:lineRule="auto"/>
        <w:ind w:left="57"/>
        <w:jc w:val="left"/>
        <w:shd w:val="clear" w:fill="F2F2F2"/>
      </w:pPr>
      <w:r>
        <w:rPr>
          <w:rFonts w:ascii="Consolas" w:hAnsi="Consolas" w:cs="Consolas"/>
          <w:b w:val="0"/>
          <w:i w:val="0"/>
          <w:sz w:val="15"/>
        </w:rPr>
        <w:t xml:space="preserve">        "tri_status": "Advanced Trusted",</w:t>
      </w:r>
    </w:p>
    <w:p>
      <w:pPr>
        <w:spacing w:after="0" w:before="0" w:line="240" w:lineRule="auto"/>
        <w:ind w:left="57"/>
        <w:jc w:val="left"/>
        <w:shd w:val="clear" w:fill="F2F2F2"/>
      </w:pPr>
      <w:r>
        <w:rPr>
          <w:rFonts w:ascii="Consolas" w:hAnsi="Consolas" w:cs="Consolas"/>
          <w:b w:val="0"/>
          <w:i w:val="0"/>
          <w:sz w:val="15"/>
        </w:rPr>
        <w:t xml:space="preserve">        "settlement_reliability": 910,</w:t>
      </w:r>
    </w:p>
    <w:p>
      <w:pPr>
        <w:spacing w:after="0" w:before="0" w:line="240" w:lineRule="auto"/>
        <w:ind w:left="57"/>
        <w:jc w:val="left"/>
        <w:shd w:val="clear" w:fill="F2F2F2"/>
      </w:pPr>
      <w:r>
        <w:rPr>
          <w:rFonts w:ascii="Consolas" w:hAnsi="Consolas" w:cs="Consolas"/>
          <w:b w:val="0"/>
          <w:i w:val="0"/>
          <w:sz w:val="15"/>
        </w:rPr>
        <w:t xml:space="preserve">        "compliance_health": 890,</w:t>
      </w:r>
    </w:p>
    <w:p>
      <w:pPr>
        <w:spacing w:after="0" w:before="0" w:line="240" w:lineRule="auto"/>
        <w:ind w:left="57"/>
        <w:jc w:val="left"/>
        <w:shd w:val="clear" w:fill="F2F2F2"/>
      </w:pPr>
      <w:r>
        <w:rPr>
          <w:rFonts w:ascii="Consolas" w:hAnsi="Consolas" w:cs="Consolas"/>
          <w:b w:val="0"/>
          <w:i w:val="0"/>
          <w:sz w:val="15"/>
        </w:rPr>
        <w:t xml:space="preserve">        "documentation_quality": 845,</w:t>
      </w:r>
    </w:p>
    <w:p>
      <w:pPr>
        <w:spacing w:after="0" w:before="0" w:line="240" w:lineRule="auto"/>
        <w:ind w:left="57"/>
        <w:jc w:val="left"/>
        <w:shd w:val="clear" w:fill="F2F2F2"/>
      </w:pPr>
      <w:r>
        <w:rPr>
          <w:rFonts w:ascii="Consolas" w:hAnsi="Consolas" w:cs="Consolas"/>
          <w:b w:val="0"/>
          <w:i w:val="0"/>
          <w:sz w:val="15"/>
        </w:rPr>
        <w:t xml:space="preserve">        "financing_performance": 920,</w:t>
      </w:r>
    </w:p>
    <w:p>
      <w:pPr>
        <w:spacing w:after="0" w:before="0" w:line="240" w:lineRule="auto"/>
        <w:ind w:left="57"/>
        <w:jc w:val="left"/>
        <w:shd w:val="clear" w:fill="F2F2F2"/>
      </w:pPr>
      <w:r>
        <w:rPr>
          <w:rFonts w:ascii="Consolas" w:hAnsi="Consolas" w:cs="Consolas"/>
          <w:b w:val="0"/>
          <w:i w:val="0"/>
          <w:sz w:val="15"/>
        </w:rPr>
        <w:t xml:space="preserve">        "dispute_resolution": 880,</w:t>
      </w:r>
    </w:p>
    <w:p>
      <w:pPr>
        <w:spacing w:after="0" w:before="0" w:line="240" w:lineRule="auto"/>
        <w:ind w:left="57"/>
        <w:jc w:val="left"/>
        <w:shd w:val="clear" w:fill="F2F2F2"/>
      </w:pPr>
      <w:r>
        <w:rPr>
          <w:rFonts w:ascii="Consolas" w:hAnsi="Consolas" w:cs="Consolas"/>
          <w:b w:val="0"/>
          <w:i w:val="0"/>
          <w:sz w:val="15"/>
        </w:rPr>
        <w:t xml:space="preserve">        "verified_identifiers": [</w:t>
      </w:r>
    </w:p>
    <w:p>
      <w:pPr>
        <w:spacing w:after="0" w:before="0" w:line="240" w:lineRule="auto"/>
        <w:ind w:left="57"/>
        <w:jc w:val="left"/>
        <w:shd w:val="clear" w:fill="F2F2F2"/>
      </w:pPr>
      <w:r>
        <w:rPr>
          <w:rFonts w:ascii="Consolas" w:hAnsi="Consolas" w:cs="Consolas"/>
          <w:b w:val="0"/>
          <w:i w:val="0"/>
          <w:sz w:val="15"/>
        </w:rPr>
        <w:t xml:space="preserve">            { "type": "LEI", "value": "549300ABC123", "status": "VERIFIED" },</w:t>
      </w:r>
    </w:p>
    <w:p>
      <w:pPr>
        <w:spacing w:after="0" w:before="0" w:line="240" w:lineRule="auto"/>
        <w:ind w:left="57"/>
        <w:jc w:val="left"/>
        <w:shd w:val="clear" w:fill="F2F2F2"/>
      </w:pPr>
      <w:r>
        <w:rPr>
          <w:rFonts w:ascii="Consolas" w:hAnsi="Consolas" w:cs="Consolas"/>
          <w:b w:val="0"/>
          <w:i w:val="0"/>
          <w:sz w:val="15"/>
        </w:rPr>
        <w:t xml:space="preserve">            { "type": "DUNS", "value": "123456789", "status": "VERIFIED"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"compliance_summary": {</w:t>
      </w:r>
    </w:p>
    <w:p>
      <w:pPr>
        <w:spacing w:after="0" w:before="0" w:line="240" w:lineRule="auto"/>
        <w:ind w:left="57"/>
        <w:jc w:val="left"/>
        <w:shd w:val="clear" w:fill="F2F2F2"/>
      </w:pPr>
      <w:r>
        <w:rPr>
          <w:rFonts w:ascii="Consolas" w:hAnsi="Consolas" w:cs="Consolas"/>
          <w:b w:val="0"/>
          <w:i w:val="0"/>
          <w:sz w:val="15"/>
        </w:rPr>
        <w:t xml:space="preserve">            "sanctions_cleared": true,</w:t>
      </w:r>
    </w:p>
    <w:p>
      <w:pPr>
        <w:spacing w:after="0" w:before="0" w:line="240" w:lineRule="auto"/>
        <w:ind w:left="57"/>
        <w:jc w:val="left"/>
        <w:shd w:val="clear" w:fill="F2F2F2"/>
      </w:pPr>
      <w:r>
        <w:rPr>
          <w:rFonts w:ascii="Consolas" w:hAnsi="Consolas" w:cs="Consolas"/>
          <w:b w:val="0"/>
          <w:i w:val="0"/>
          <w:sz w:val="15"/>
        </w:rPr>
        <w:t xml:space="preserve">            "pep_status": "CLEAR",</w:t>
      </w:r>
    </w:p>
    <w:p>
      <w:pPr>
        <w:spacing w:after="0" w:before="0" w:line="240" w:lineRule="auto"/>
        <w:ind w:left="57"/>
        <w:jc w:val="left"/>
        <w:shd w:val="clear" w:fill="F2F2F2"/>
      </w:pPr>
      <w:r>
        <w:rPr>
          <w:rFonts w:ascii="Consolas" w:hAnsi="Consolas" w:cs="Consolas"/>
          <w:b w:val="0"/>
          <w:i w:val="0"/>
          <w:sz w:val="15"/>
        </w:rPr>
        <w:t xml:space="preserve">            "kyb_tier": 2,</w:t>
      </w:r>
    </w:p>
    <w:p>
      <w:pPr>
        <w:spacing w:after="0" w:before="0" w:line="240" w:lineRule="auto"/>
        <w:ind w:left="57"/>
        <w:jc w:val="left"/>
        <w:shd w:val="clear" w:fill="F2F2F2"/>
      </w:pPr>
      <w:r>
        <w:rPr>
          <w:rFonts w:ascii="Consolas" w:hAnsi="Consolas" w:cs="Consolas"/>
          <w:b w:val="0"/>
          <w:i w:val="0"/>
          <w:sz w:val="15"/>
        </w:rPr>
        <w:t xml:space="preserve">            "last_review": "2026-01-15"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"financing_summary": {</w:t>
      </w:r>
    </w:p>
    <w:p>
      <w:pPr>
        <w:spacing w:after="0" w:before="0" w:line="240" w:lineRule="auto"/>
        <w:ind w:left="57"/>
        <w:jc w:val="left"/>
        <w:shd w:val="clear" w:fill="F2F2F2"/>
      </w:pPr>
      <w:r>
        <w:rPr>
          <w:rFonts w:ascii="Consolas" w:hAnsi="Consolas" w:cs="Consolas"/>
          <w:b w:val="0"/>
          <w:i w:val="0"/>
          <w:sz w:val="15"/>
        </w:rPr>
        <w:t xml:space="preserve">            "total_financed_amount_usd": 2500000,</w:t>
      </w:r>
    </w:p>
    <w:p>
      <w:pPr>
        <w:spacing w:after="0" w:before="0" w:line="240" w:lineRule="auto"/>
        <w:ind w:left="57"/>
        <w:jc w:val="left"/>
        <w:shd w:val="clear" w:fill="F2F2F2"/>
      </w:pPr>
      <w:r>
        <w:rPr>
          <w:rFonts w:ascii="Consolas" w:hAnsi="Consolas" w:cs="Consolas"/>
          <w:b w:val="0"/>
          <w:i w:val="0"/>
          <w:sz w:val="15"/>
        </w:rPr>
        <w:t xml:space="preserve">            "on_time_repayment_rate": 98.5,</w:t>
      </w:r>
    </w:p>
    <w:p>
      <w:pPr>
        <w:spacing w:after="0" w:before="0" w:line="240" w:lineRule="auto"/>
        <w:ind w:left="57"/>
        <w:jc w:val="left"/>
        <w:shd w:val="clear" w:fill="F2F2F2"/>
      </w:pPr>
      <w:r>
        <w:rPr>
          <w:rFonts w:ascii="Consolas" w:hAnsi="Consolas" w:cs="Consolas"/>
          <w:b w:val="0"/>
          <w:i w:val="0"/>
          <w:sz w:val="15"/>
        </w:rPr>
        <w:t xml:space="preserve">            "default_count": 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"dispute_summary": {</w:t>
      </w:r>
    </w:p>
    <w:p>
      <w:pPr>
        <w:spacing w:after="0" w:before="0" w:line="240" w:lineRule="auto"/>
        <w:ind w:left="57"/>
        <w:jc w:val="left"/>
        <w:shd w:val="clear" w:fill="F2F2F2"/>
      </w:pPr>
      <w:r>
        <w:rPr>
          <w:rFonts w:ascii="Consolas" w:hAnsi="Consolas" w:cs="Consolas"/>
          <w:b w:val="0"/>
          <w:i w:val="0"/>
          <w:sz w:val="15"/>
        </w:rPr>
        <w:t xml:space="preserve">            "total_disputes": 3,</w:t>
      </w:r>
    </w:p>
    <w:p>
      <w:pPr>
        <w:spacing w:after="0" w:before="0" w:line="240" w:lineRule="auto"/>
        <w:ind w:left="57"/>
        <w:jc w:val="left"/>
        <w:shd w:val="clear" w:fill="F2F2F2"/>
      </w:pPr>
      <w:r>
        <w:rPr>
          <w:rFonts w:ascii="Consolas" w:hAnsi="Consolas" w:cs="Consolas"/>
          <w:b w:val="0"/>
          <w:i w:val="0"/>
          <w:sz w:val="15"/>
        </w:rPr>
        <w:t xml:space="preserve">            "resolved_without_arbitration": 100,</w:t>
      </w:r>
    </w:p>
    <w:p>
      <w:pPr>
        <w:spacing w:after="0" w:before="0" w:line="240" w:lineRule="auto"/>
        <w:ind w:left="57"/>
        <w:jc w:val="left"/>
        <w:shd w:val="clear" w:fill="F2F2F2"/>
      </w:pPr>
      <w:r>
        <w:rPr>
          <w:rFonts w:ascii="Consolas" w:hAnsi="Consolas" w:cs="Consolas"/>
          <w:b w:val="0"/>
          <w:i w:val="0"/>
          <w:sz w:val="15"/>
        </w:rPr>
        <w:t xml:space="preserve">            "average_resolution_days": 12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"proof": {</w:t>
      </w:r>
    </w:p>
    <w:p>
      <w:pPr>
        <w:spacing w:after="0" w:before="0" w:line="240" w:lineRule="auto"/>
        <w:ind w:left="57"/>
        <w:jc w:val="left"/>
        <w:shd w:val="clear" w:fill="F2F2F2"/>
      </w:pPr>
      <w:r>
        <w:rPr>
          <w:rFonts w:ascii="Consolas" w:hAnsi="Consolas" w:cs="Consolas"/>
          <w:b w:val="0"/>
          <w:i w:val="0"/>
          <w:sz w:val="15"/>
        </w:rPr>
        <w:t xml:space="preserve">        "type": "Ed25519Signature2020",</w:t>
      </w:r>
    </w:p>
    <w:p>
      <w:pPr>
        <w:spacing w:after="0" w:before="0" w:line="240" w:lineRule="auto"/>
        <w:ind w:left="57"/>
        <w:jc w:val="left"/>
        <w:shd w:val="clear" w:fill="F2F2F2"/>
      </w:pPr>
      <w:r>
        <w:rPr>
          <w:rFonts w:ascii="Consolas" w:hAnsi="Consolas" w:cs="Consolas"/>
          <w:b w:val="0"/>
          <w:i w:val="0"/>
          <w:sz w:val="15"/>
        </w:rPr>
        <w:t xml:space="preserve">        "created": "2026-06-15T00:00:00Z",</w:t>
      </w:r>
    </w:p>
    <w:p>
      <w:pPr>
        <w:spacing w:after="0" w:before="0" w:line="240" w:lineRule="auto"/>
        <w:ind w:left="57"/>
        <w:jc w:val="left"/>
        <w:shd w:val="clear" w:fill="F2F2F2"/>
      </w:pPr>
      <w:r>
        <w:rPr>
          <w:rFonts w:ascii="Consolas" w:hAnsi="Consolas" w:cs="Consolas"/>
          <w:b w:val="0"/>
          <w:i w:val="0"/>
          <w:sz w:val="15"/>
        </w:rPr>
        <w:t xml:space="preserve">        "proofPurpose": "assertionMethod",</w:t>
      </w:r>
    </w:p>
    <w:p>
      <w:pPr>
        <w:spacing w:after="0" w:before="0" w:line="240" w:lineRule="auto"/>
        <w:ind w:left="57"/>
        <w:jc w:val="left"/>
        <w:shd w:val="clear" w:fill="F2F2F2"/>
      </w:pPr>
      <w:r>
        <w:rPr>
          <w:rFonts w:ascii="Consolas" w:hAnsi="Consolas" w:cs="Consolas"/>
          <w:b w:val="0"/>
          <w:i w:val="0"/>
          <w:sz w:val="15"/>
        </w:rPr>
        <w:t xml:space="preserve">        "verificationMethod": "https://sgtx.io/keys/ed25519",</w:t>
      </w:r>
    </w:p>
    <w:p>
      <w:pPr>
        <w:spacing w:after="0" w:before="0" w:line="240" w:lineRule="auto"/>
        <w:ind w:left="57"/>
        <w:jc w:val="left"/>
        <w:shd w:val="clear" w:fill="F2F2F2"/>
      </w:pPr>
      <w:r>
        <w:rPr>
          <w:rFonts w:ascii="Consolas" w:hAnsi="Consolas" w:cs="Consolas"/>
          <w:b w:val="0"/>
          <w:i w:val="0"/>
          <w:sz w:val="15"/>
        </w:rPr>
        <w:t xml:space="preserve">        "signature": "base58..."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4.12.4 Sharing Workflow (One-Click)</w:t>
      </w:r>
    </w:p>
    <w:p>
      <w:pPr>
        <w:spacing w:after="80" w:line="293" w:lineRule="auto"/>
        <w:jc w:val="left"/>
      </w:pPr>
      <w:r>
        <w:rPr>
          <w:rFonts w:ascii="Times New Roman" w:hAnsi="Times New Roman" w:cs="Times New Roman"/>
          <w:b w:val="0"/>
          <w:i w:val="0"/>
          <w:sz w:val="22"/>
        </w:rPr>
        <w:t>Step 1 — Generate Passport: the tenant admin navigates to Company Admin → Trust Passport and clicks "Generate Passport" (one click). The system creates a new verifiable credential. The passport is valid for 90 days (configurable per tenant). The admin sees a summary card with TRI, confidence, and expiration.</w:t>
      </w:r>
    </w:p>
    <w:p>
      <w:pPr>
        <w:spacing w:after="80" w:line="293" w:lineRule="auto"/>
        <w:jc w:val="left"/>
      </w:pPr>
      <w:r>
        <w:rPr>
          <w:rFonts w:ascii="Times New Roman" w:hAnsi="Times New Roman" w:cs="Times New Roman"/>
          <w:b w:val="0"/>
          <w:i w:val="0"/>
          <w:sz w:val="22"/>
        </w:rPr>
        <w:t>Step 2 — Share with Counterparty: the admin clicks "Share Passport" → selects the recipient's GTID (from saved contacts) or chooses "Anyone with link" (anonymous token). If a specific GTID, the system verifies that the recipient is an existing counterparty. The admin selects which dimensions to share. Click "Generate Link" → the system returns a one-time token URL. The admin copies the link and sends it to the recipient (outside SGTX).</w:t>
      </w:r>
    </w:p>
    <w:p>
      <w:pPr>
        <w:spacing w:after="80" w:line="293" w:lineRule="auto"/>
        <w:jc w:val="left"/>
      </w:pPr>
      <w:r>
        <w:rPr>
          <w:rFonts w:ascii="Times New Roman" w:hAnsi="Times New Roman" w:cs="Times New Roman"/>
          <w:b w:val="0"/>
          <w:i w:val="0"/>
          <w:sz w:val="22"/>
        </w:rPr>
        <w:t>Step 3 — Recipient Verification: the recipient opens the link (no login required). The page displays the passport data (only the dimensions the sharer consented to). The recipient can download the signed JSON or copy a verification code to check offline. The page shows a green checkmark if the signature is valid and the passport is not revoked or expired.</w:t>
      </w:r>
    </w:p>
    <w:p>
      <w:pPr>
        <w:spacing w:after="80" w:line="293" w:lineRule="auto"/>
        <w:jc w:val="left"/>
      </w:pPr>
      <w:r>
        <w:rPr>
          <w:rFonts w:ascii="Times New Roman" w:hAnsi="Times New Roman" w:cs="Times New Roman"/>
          <w:b w:val="0"/>
          <w:i w:val="0"/>
          <w:sz w:val="22"/>
        </w:rPr>
        <w:t>Step 4 — Revoke Access: at any time, the admin clicks "Revoke" next to the shared token. Revocation is immediate. Any subsequent attempt to verify that token returns: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"valid": false,</w:t>
      </w:r>
    </w:p>
    <w:p>
      <w:pPr>
        <w:spacing w:after="0" w:before="0" w:line="240" w:lineRule="auto"/>
        <w:ind w:left="57"/>
        <w:jc w:val="left"/>
        <w:shd w:val="clear" w:fill="F2F2F2"/>
      </w:pPr>
      <w:r>
        <w:rPr>
          <w:rFonts w:ascii="Consolas" w:hAnsi="Consolas" w:cs="Consolas"/>
          <w:b w:val="0"/>
          <w:i w:val="0"/>
          <w:sz w:val="15"/>
        </w:rPr>
        <w:t xml:space="preserve">    "reason": "revoked"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guarantee: Generate Passport (1), Share (1), Revoke (1).</w:t>
      </w:r>
    </w:p>
    <w:p>
      <w:pPr>
        <w:keepNext/>
        <w:spacing w:before="180" w:after="80"/>
        <w:outlineLvl w:val="2"/>
      </w:pPr>
      <w:r>
        <w:rPr>
          <w:rFonts w:ascii="Arial" w:hAnsi="Arial" w:cs="Arial"/>
          <w:b/>
          <w:i w:val="0"/>
          <w:color w:val="333333"/>
          <w:sz w:val="23"/>
        </w:rPr>
        <w:t>4.12.5 Offline Verification &amp; Public Key</w:t>
      </w:r>
    </w:p>
    <w:p>
      <w:pPr>
        <w:spacing w:after="80" w:line="293" w:lineRule="auto"/>
        <w:jc w:val="left"/>
      </w:pPr>
      <w:r>
        <w:rPr>
          <w:rFonts w:ascii="Times New Roman" w:hAnsi="Times New Roman" w:cs="Times New Roman"/>
          <w:b w:val="0"/>
          <w:i w:val="0"/>
          <w:sz w:val="22"/>
        </w:rPr>
        <w:t>Any party can verify a Trust Passport offline using the SGTX public key. Steps (for the recipient):</w:t>
      </w:r>
    </w:p>
    <w:p>
      <w:pPr>
        <w:spacing w:after="80" w:line="293" w:lineRule="auto"/>
        <w:jc w:val="left"/>
      </w:pPr>
      <w:r>
        <w:rPr>
          <w:rFonts w:ascii="Times New Roman" w:hAnsi="Times New Roman" w:cs="Times New Roman"/>
          <w:b w:val="0"/>
          <w:i w:val="0"/>
          <w:sz w:val="22"/>
        </w:rPr>
        <w:t>1. Download the signed passport JSON. 2. Use the open-source tool `trust-verify` (provided by SGTX). 3. Verify the signature and check that `expires_at` is in the future.</w:t>
      </w:r>
    </w:p>
    <w:p>
      <w:pPr>
        <w:spacing w:after="80" w:line="293" w:lineRule="auto"/>
        <w:jc w:val="left"/>
      </w:pPr>
      <w:r>
        <w:rPr>
          <w:rFonts w:ascii="Times New Roman" w:hAnsi="Times New Roman" w:cs="Times New Roman"/>
          <w:b w:val="0"/>
          <w:i w:val="0"/>
          <w:sz w:val="22"/>
        </w:rPr>
        <w:t>Public keys are published at: `https://sgtx.io/.well-known/sgtx-keys` (Ed25519 and optional Dilithium3 for archival).</w:t>
      </w:r>
    </w:p>
    <w:p>
      <w:pPr>
        <w:keepNext/>
        <w:spacing w:before="180" w:after="80"/>
        <w:outlineLvl w:val="2"/>
      </w:pPr>
      <w:r>
        <w:rPr>
          <w:rFonts w:ascii="Arial" w:hAnsi="Arial" w:cs="Arial"/>
          <w:b/>
          <w:i w:val="0"/>
          <w:color w:val="333333"/>
          <w:sz w:val="23"/>
        </w:rPr>
        <w:t>4.12.6 Database Schema (Trust Passport)</w:t>
      </w:r>
    </w:p>
    <w:p>
      <w:pPr>
        <w:spacing w:after="0" w:before="0" w:line="240" w:lineRule="auto"/>
        <w:ind w:left="57"/>
        <w:jc w:val="left"/>
        <w:shd w:val="clear" w:fill="F2F2F2"/>
      </w:pPr>
      <w:r>
        <w:rPr>
          <w:rFonts w:ascii="Consolas" w:hAnsi="Consolas" w:cs="Consolas"/>
          <w:b w:val="0"/>
          <w:i w:val="0"/>
          <w:sz w:val="15"/>
        </w:rPr>
        <w:t>-- Trust Passports</w:t>
      </w:r>
    </w:p>
    <w:p>
      <w:pPr>
        <w:spacing w:after="0" w:before="0" w:line="240" w:lineRule="auto"/>
        <w:ind w:left="57"/>
        <w:jc w:val="left"/>
        <w:shd w:val="clear" w:fill="F2F2F2"/>
      </w:pPr>
      <w:r>
        <w:rPr>
          <w:rFonts w:ascii="Consolas" w:hAnsi="Consolas" w:cs="Consolas"/>
          <w:b w:val="0"/>
          <w:i w:val="0"/>
          <w:sz w:val="15"/>
        </w:rPr>
        <w:t>-- trust_passports: canonical definition in Section 17.5;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trust_passport_shares: canonical definition in Section 17.5;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TABLE trust_passport_revocations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share_id UUID NOT NULL REFERENCES trust_passport_shares(id),</w:t>
      </w:r>
    </w:p>
    <w:p>
      <w:pPr>
        <w:spacing w:after="0" w:before="0" w:line="240" w:lineRule="auto"/>
        <w:ind w:left="57"/>
        <w:jc w:val="left"/>
        <w:shd w:val="clear" w:fill="F2F2F2"/>
      </w:pPr>
      <w:r>
        <w:rPr>
          <w:rFonts w:ascii="Consolas" w:hAnsi="Consolas" w:cs="Consolas"/>
          <w:b w:val="0"/>
          <w:i w:val="0"/>
          <w:sz w:val="15"/>
        </w:rPr>
        <w:t xml:space="preserve">    revoked_by UUID REFERENCES employees(id),</w:t>
      </w:r>
    </w:p>
    <w:p>
      <w:pPr>
        <w:spacing w:after="0" w:before="0" w:line="240" w:lineRule="auto"/>
        <w:ind w:left="57"/>
        <w:jc w:val="left"/>
        <w:shd w:val="clear" w:fill="F2F2F2"/>
      </w:pPr>
      <w:r>
        <w:rPr>
          <w:rFonts w:ascii="Consolas" w:hAnsi="Consolas" w:cs="Consolas"/>
          <w:b w:val="0"/>
          <w:i w:val="0"/>
          <w:sz w:val="15"/>
        </w:rPr>
        <w:t xml:space="preserve">    reason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idx_trust_passports_tenant ON trust_passports(tenant_gtid);</w:t>
      </w:r>
    </w:p>
    <w:p>
      <w:pPr>
        <w:spacing w:after="0" w:before="0" w:line="240" w:lineRule="auto"/>
        <w:ind w:left="57"/>
        <w:jc w:val="left"/>
        <w:shd w:val="clear" w:fill="F2F2F2"/>
      </w:pPr>
      <w:r>
        <w:rPr>
          <w:rFonts w:ascii="Consolas" w:hAnsi="Consolas" w:cs="Consolas"/>
          <w:b w:val="0"/>
          <w:i w:val="0"/>
          <w:sz w:val="15"/>
        </w:rPr>
        <w:t>CREATE INDEX idx_trust_passport_shares_token ON trust_passport_shares(token);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4.12.7 Implementation Checklist (Trust Passport)</w:t>
      </w:r>
    </w:p>
    <w:p>
      <w:pPr>
        <w:spacing w:after="80" w:line="293" w:lineRule="auto"/>
        <w:ind w:left="283"/>
        <w:jc w:val="left"/>
      </w:pPr>
      <w:r>
        <w:rPr>
          <w:rFonts w:ascii="Times New Roman" w:hAnsi="Times New Roman" w:cs="Times New Roman"/>
          <w:b w:val="0"/>
          <w:i w:val="0"/>
          <w:sz w:val="22"/>
        </w:rPr>
        <w:t>- Create `trust_passports`, `trust_passport_shares`, `trust_passport_revocations` tables.</w:t>
      </w:r>
    </w:p>
    <w:p>
      <w:pPr>
        <w:spacing w:after="80" w:line="293" w:lineRule="auto"/>
        <w:ind w:left="283"/>
        <w:jc w:val="left"/>
      </w:pPr>
      <w:r>
        <w:rPr>
          <w:rFonts w:ascii="Times New Roman" w:hAnsi="Times New Roman" w:cs="Times New Roman"/>
          <w:b w:val="0"/>
          <w:i w:val="0"/>
          <w:sz w:val="22"/>
        </w:rPr>
        <w:t>- Implement credential generation service (Rust, json-ld, ed25519-dalek).</w:t>
      </w:r>
    </w:p>
    <w:p>
      <w:pPr>
        <w:spacing w:after="80" w:line="293" w:lineRule="auto"/>
        <w:ind w:left="283"/>
        <w:jc w:val="left"/>
      </w:pPr>
      <w:r>
        <w:rPr>
          <w:rFonts w:ascii="Times New Roman" w:hAnsi="Times New Roman" w:cs="Times New Roman"/>
          <w:b w:val="0"/>
          <w:i w:val="0"/>
          <w:sz w:val="22"/>
        </w:rPr>
        <w:t>- Build API endpoints:</w:t>
      </w:r>
    </w:p>
    <w:p>
      <w:pPr>
        <w:spacing w:after="80" w:line="293" w:lineRule="auto"/>
        <w:ind w:left="283"/>
        <w:jc w:val="left"/>
      </w:pPr>
      <w:r>
        <w:rPr>
          <w:rFonts w:ascii="Times New Roman" w:hAnsi="Times New Roman" w:cs="Times New Roman"/>
          <w:b w:val="0"/>
          <w:i w:val="0"/>
          <w:sz w:val="22"/>
        </w:rPr>
        <w:t>- `GET /v1/trust/passport/{gtid}` — get own passport.</w:t>
      </w:r>
    </w:p>
    <w:p>
      <w:pPr>
        <w:spacing w:after="80" w:line="293" w:lineRule="auto"/>
        <w:ind w:left="283"/>
        <w:jc w:val="left"/>
      </w:pPr>
      <w:r>
        <w:rPr>
          <w:rFonts w:ascii="Times New Roman" w:hAnsi="Times New Roman" w:cs="Times New Roman"/>
          <w:b w:val="0"/>
          <w:i w:val="0"/>
          <w:sz w:val="22"/>
        </w:rPr>
        <w:t>- `POST /v1/trust/share` — generate sharing token.</w:t>
      </w:r>
    </w:p>
    <w:p>
      <w:pPr>
        <w:spacing w:after="80" w:line="293" w:lineRule="auto"/>
        <w:ind w:left="283"/>
        <w:jc w:val="left"/>
      </w:pPr>
      <w:r>
        <w:rPr>
          <w:rFonts w:ascii="Times New Roman" w:hAnsi="Times New Roman" w:cs="Times New Roman"/>
          <w:b w:val="0"/>
          <w:i w:val="0"/>
          <w:sz w:val="22"/>
        </w:rPr>
        <w:t>- `GET /v1/trust/verify/{token}` — public verification.</w:t>
      </w:r>
    </w:p>
    <w:p>
      <w:pPr>
        <w:spacing w:after="80" w:line="293" w:lineRule="auto"/>
        <w:ind w:left="283"/>
        <w:jc w:val="left"/>
      </w:pPr>
      <w:r>
        <w:rPr>
          <w:rFonts w:ascii="Times New Roman" w:hAnsi="Times New Roman" w:cs="Times New Roman"/>
          <w:b w:val="0"/>
          <w:i w:val="0"/>
          <w:sz w:val="22"/>
        </w:rPr>
        <w:t>- `POST /v1/trust/revoke` — revoke active token.</w:t>
      </w:r>
    </w:p>
    <w:p>
      <w:pPr>
        <w:spacing w:after="80" w:line="293" w:lineRule="auto"/>
        <w:ind w:left="283"/>
        <w:jc w:val="left"/>
      </w:pPr>
      <w:r>
        <w:rPr>
          <w:rFonts w:ascii="Times New Roman" w:hAnsi="Times New Roman" w:cs="Times New Roman"/>
          <w:b w:val="0"/>
          <w:i w:val="0"/>
          <w:sz w:val="22"/>
        </w:rPr>
        <w:t>- Integrate with the TRI calculator and optional dimensions.</w:t>
      </w:r>
    </w:p>
    <w:p>
      <w:pPr>
        <w:spacing w:after="80" w:line="293" w:lineRule="auto"/>
        <w:ind w:left="283"/>
        <w:jc w:val="left"/>
      </w:pPr>
      <w:r>
        <w:rPr>
          <w:rFonts w:ascii="Times New Roman" w:hAnsi="Times New Roman" w:cs="Times New Roman"/>
          <w:b w:val="0"/>
          <w:i w:val="0"/>
          <w:sz w:val="22"/>
        </w:rPr>
        <w:t>- Add consent management UI for optional dimensions.</w:t>
      </w:r>
    </w:p>
    <w:p>
      <w:pPr>
        <w:spacing w:after="80" w:line="293" w:lineRule="auto"/>
        <w:ind w:left="283"/>
        <w:jc w:val="left"/>
      </w:pPr>
      <w:r>
        <w:rPr>
          <w:rFonts w:ascii="Times New Roman" w:hAnsi="Times New Roman" w:cs="Times New Roman"/>
          <w:b w:val="0"/>
          <w:i w:val="0"/>
          <w:sz w:val="22"/>
        </w:rPr>
        <w:t>- Implement verified identifiers refresh and storage.</w:t>
      </w:r>
    </w:p>
    <w:p>
      <w:pPr>
        <w:spacing w:after="80" w:line="293" w:lineRule="auto"/>
        <w:ind w:left="283"/>
        <w:jc w:val="left"/>
      </w:pPr>
      <w:r>
        <w:rPr>
          <w:rFonts w:ascii="Times New Roman" w:hAnsi="Times New Roman" w:cs="Times New Roman"/>
          <w:b w:val="0"/>
          <w:i w:val="0"/>
          <w:sz w:val="22"/>
        </w:rPr>
        <w:t>- Add ZK proof generation for trust graph reference (if the trust-graph add-on is enabled).</w:t>
      </w:r>
    </w:p>
    <w:p>
      <w:pPr>
        <w:spacing w:after="80" w:line="293" w:lineRule="auto"/>
        <w:ind w:left="283"/>
        <w:jc w:val="left"/>
      </w:pPr>
      <w:r>
        <w:rPr>
          <w:rFonts w:ascii="Times New Roman" w:hAnsi="Times New Roman" w:cs="Times New Roman"/>
          <w:b w:val="0"/>
          <w:i w:val="0"/>
          <w:sz w:val="22"/>
        </w:rPr>
        <w:t>- Create public key endpoint and documentation for offline verification.</w:t>
      </w:r>
    </w:p>
    <w:p>
      <w:pPr>
        <w:keepNext/>
        <w:spacing w:before="240" w:after="100"/>
        <w:outlineLvl w:val="1"/>
      </w:pPr>
      <w:r>
        <w:rPr>
          <w:rFonts w:ascii="Arial" w:hAnsi="Arial" w:cs="Arial"/>
          <w:b/>
          <w:i w:val="0"/>
          <w:color w:val="2E528F"/>
          <w:sz w:val="26"/>
        </w:rPr>
        <w:t>4.13 AI Authority Summary (Identity &amp; Tenancy)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AI Level</w:t>
            </w:r>
          </w:p>
        </w:tc>
        <w:tc>
          <w:tcPr>
            <w:tcW w:type="dxa" w:w="3213"/>
            <w:shd w:val="clear" w:fill="D9E2F3"/>
          </w:tcPr>
          <w:p>
            <w:pPr>
              <w:spacing w:after="20" w:before="20" w:line="240" w:lineRule="auto"/>
            </w:pPr>
            <w:r/>
            <w:r>
              <w:rPr>
                <w:rFonts w:ascii="Arial" w:hAnsi="Arial" w:cs="Arial"/>
                <w:b/>
                <w:i w:val="0"/>
                <w:sz w:val="18"/>
              </w:rPr>
              <w:t>Use Cases</w:t>
            </w:r>
          </w:p>
        </w:tc>
        <w:tc>
          <w:tcPr>
            <w:tcW w:type="dxa" w:w="3213"/>
            <w:shd w:val="clear" w:fill="D9E2F3"/>
          </w:tcPr>
          <w:p>
            <w:pPr>
              <w:spacing w:after="20" w:before="20" w:line="240" w:lineRule="auto"/>
            </w:pPr>
            <w:r/>
            <w:r>
              <w:rPr>
                <w:rFonts w:ascii="Arial" w:hAnsi="Arial" w:cs="Arial"/>
                <w:b/>
                <w:i w:val="0"/>
                <w:sz w:val="18"/>
              </w:rPr>
              <w:t>Constraint</w:t>
            </w:r>
          </w:p>
        </w:tc>
      </w:tr>
      <w:tr>
        <w:tc>
          <w:tcPr>
            <w:tcW w:type="dxa" w:w="3213"/>
          </w:tcPr>
          <w:p>
            <w:pPr>
              <w:spacing w:after="20" w:before="20" w:line="240" w:lineRule="auto"/>
            </w:pPr>
            <w:r/>
            <w:r>
              <w:rPr>
                <w:rFonts w:ascii="Arial" w:hAnsi="Arial" w:cs="Arial"/>
                <w:b w:val="0"/>
                <w:i w:val="0"/>
                <w:sz w:val="17"/>
              </w:rPr>
              <w:t>A1</w:t>
            </w:r>
          </w:p>
        </w:tc>
        <w:tc>
          <w:tcPr>
            <w:tcW w:type="dxa" w:w="3213"/>
          </w:tcPr>
          <w:p>
            <w:pPr>
              <w:spacing w:after="20" w:before="20" w:line="240" w:lineRule="auto"/>
            </w:pPr>
            <w:r/>
            <w:r>
              <w:rPr>
                <w:rFonts w:ascii="Arial" w:hAnsi="Arial" w:cs="Arial"/>
                <w:b w:val="0"/>
                <w:i w:val="0"/>
                <w:sz w:val="17"/>
              </w:rPr>
              <w:t>Autocomplete, onboarding recommendations (never counterparties), Trust Portrait summaries, Smart Inbox explanations</w:t>
            </w:r>
          </w:p>
        </w:tc>
        <w:tc>
          <w:tcPr>
            <w:tcW w:type="dxa" w:w="3213"/>
          </w:tcPr>
          <w:p>
            <w:pPr>
              <w:spacing w:after="20" w:before="20" w:line="240" w:lineRule="auto"/>
            </w:pPr>
            <w:r/>
            <w:r>
              <w:rPr>
                <w:rFonts w:ascii="Arial" w:hAnsi="Arial" w:cs="Arial"/>
                <w:b w:val="0"/>
                <w:i w:val="0"/>
                <w:sz w:val="17"/>
              </w:rPr>
              <w:t>Cannot block actions; only suggests</w:t>
            </w:r>
          </w:p>
        </w:tc>
      </w:tr>
      <w:tr>
        <w:tc>
          <w:tcPr>
            <w:tcW w:type="dxa" w:w="3213"/>
          </w:tcPr>
          <w:p>
            <w:pPr>
              <w:spacing w:after="20" w:before="20" w:line="240" w:lineRule="auto"/>
            </w:pPr>
            <w:r/>
            <w:r>
              <w:rPr>
                <w:rFonts w:ascii="Arial" w:hAnsi="Arial" w:cs="Arial"/>
                <w:b w:val="0"/>
                <w:i w:val="0"/>
                <w:sz w:val="17"/>
              </w:rPr>
              <w:t>A2</w:t>
            </w:r>
          </w:p>
        </w:tc>
        <w:tc>
          <w:tcPr>
            <w:tcW w:type="dxa" w:w="3213"/>
          </w:tcPr>
          <w:p>
            <w:pPr>
              <w:spacing w:after="20" w:before="20" w:line="240" w:lineRule="auto"/>
            </w:pPr>
            <w:r/>
            <w:r>
              <w:rPr>
                <w:rFonts w:ascii="Arial" w:hAnsi="Arial" w:cs="Arial"/>
                <w:b w:val="0"/>
                <w:i w:val="0"/>
                <w:sz w:val="17"/>
              </w:rPr>
              <w:t>Document extraction (HF Donut), registry cross-checks, biometric liveness, Relationship Health Score, GraphRAG indirect connections</w:t>
            </w:r>
          </w:p>
        </w:tc>
        <w:tc>
          <w:tcPr>
            <w:tcW w:type="dxa" w:w="3213"/>
          </w:tcPr>
          <w:p>
            <w:pPr>
              <w:spacing w:after="20" w:before="20" w:line="240" w:lineRule="auto"/>
            </w:pPr>
            <w:r/>
            <w:r>
              <w:rPr>
                <w:rFonts w:ascii="Arial" w:hAnsi="Arial" w:cs="Arial"/>
                <w:b w:val="0"/>
                <w:i w:val="0"/>
                <w:sz w:val="17"/>
              </w:rPr>
              <w:t>Can block if confidence &lt;85%; requires human confirmation</w:t>
            </w:r>
          </w:p>
        </w:tc>
      </w:tr>
      <w:tr>
        <w:tc>
          <w:tcPr>
            <w:tcW w:type="dxa" w:w="3213"/>
          </w:tcPr>
          <w:p>
            <w:pPr>
              <w:spacing w:after="20" w:before="20" w:line="240" w:lineRule="auto"/>
            </w:pPr>
            <w:r/>
            <w:r>
              <w:rPr>
                <w:rFonts w:ascii="Arial" w:hAnsi="Arial" w:cs="Arial"/>
                <w:b w:val="0"/>
                <w:i w:val="0"/>
                <w:sz w:val="17"/>
              </w:rPr>
              <w:t>A3</w:t>
            </w:r>
          </w:p>
        </w:tc>
        <w:tc>
          <w:tcPr>
            <w:tcW w:type="dxa" w:w="3213"/>
          </w:tcPr>
          <w:p>
            <w:pPr>
              <w:spacing w:after="20" w:before="20" w:line="240" w:lineRule="auto"/>
            </w:pPr>
            <w:r/>
            <w:r>
              <w:rPr>
                <w:rFonts w:ascii="Arial" w:hAnsi="Arial" w:cs="Arial"/>
                <w:b w:val="0"/>
                <w:i w:val="0"/>
                <w:sz w:val="17"/>
              </w:rPr>
              <w:t>Manual KYB review escalation, PEP hit resolution, Trust Passport dispute</w:t>
            </w:r>
          </w:p>
        </w:tc>
        <w:tc>
          <w:tcPr>
            <w:tcW w:type="dxa" w:w="3213"/>
          </w:tcPr>
          <w:p>
            <w:pPr>
              <w:spacing w:after="20" w:before="20" w:line="240" w:lineRule="auto"/>
            </w:pPr>
            <w:r/>
            <w:r>
              <w:rPr>
                <w:rFonts w:ascii="Arial" w:hAnsi="Arial" w:cs="Arial"/>
                <w:b w:val="0"/>
                <w:i w:val="0"/>
                <w:sz w:val="17"/>
              </w:rPr>
              <w:t>Forces human review</w:t>
            </w:r>
          </w:p>
        </w:tc>
      </w:tr>
      <w:tr>
        <w:tc>
          <w:tcPr>
            <w:tcW w:type="dxa" w:w="3213"/>
          </w:tcPr>
          <w:p>
            <w:pPr>
              <w:spacing w:after="20" w:before="20" w:line="240" w:lineRule="auto"/>
            </w:pPr>
            <w:r/>
            <w:r>
              <w:rPr>
                <w:rFonts w:ascii="Arial" w:hAnsi="Arial" w:cs="Arial"/>
                <w:b w:val="0"/>
                <w:i w:val="0"/>
                <w:sz w:val="17"/>
              </w:rPr>
              <w:t>A4</w:t>
            </w:r>
          </w:p>
        </w:tc>
        <w:tc>
          <w:tcPr>
            <w:tcW w:type="dxa" w:w="3213"/>
          </w:tcPr>
          <w:p>
            <w:pPr>
              <w:spacing w:after="20" w:before="20" w:line="240" w:lineRule="auto"/>
            </w:pPr>
            <w:r/>
            <w:r>
              <w:rPr>
                <w:rFonts w:ascii="Arial" w:hAnsi="Arial" w:cs="Arial"/>
                <w:b w:val="0"/>
                <w:i w:val="0"/>
                <w:sz w:val="17"/>
              </w:rPr>
              <w:t>GTID generation, state transitions, policy enforcement</w:t>
            </w:r>
          </w:p>
        </w:tc>
        <w:tc>
          <w:tcPr>
            <w:tcW w:type="dxa" w:w="3213"/>
          </w:tcPr>
          <w:p>
            <w:pPr>
              <w:spacing w:after="20" w:before="20" w:line="240" w:lineRule="auto"/>
            </w:pPr>
            <w:r/>
            <w:r>
              <w:rPr>
                <w:rFonts w:ascii="Arial" w:hAnsi="Arial" w:cs="Arial"/>
                <w:b w:val="0"/>
                <w:i w:val="0"/>
                <w:sz w:val="17"/>
              </w:rPr>
              <w:t>Auto-executes within bounds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4.7 Phase 0 — Foundation, Onboarding &amp; Bank Mandate</w:t>
      </w:r>
    </w:p>
    <w:p>
      <w:pPr>
        <w:spacing w:after="80" w:line="293" w:lineRule="auto"/>
        <w:jc w:val="left"/>
      </w:pPr>
      <w:r>
        <w:rPr>
          <w:rFonts w:ascii="Times New Roman" w:hAnsi="Times New Roman" w:cs="Times New Roman"/>
          <w:b w:val="0"/>
          <w:i w:val="0"/>
          <w:sz w:val="22"/>
        </w:rPr>
        <w:t>Phase 0 establishes the financial and identity foundation that every later payment depends on: connected banks with verified ISO 20022 capabilities, buyers with verified segregated EGP and USD accounts, providers with GTID-bound service capabilities and banking details, and the signed legal mandate that authorizes SGTX to submit payment instructions to banks on the buyer's behalf. Nothing in Phase 0 involves holding funds; it is registration, verification, and legal authorization only.</w:t>
      </w:r>
    </w:p>
    <w:p>
      <w:pPr>
        <w:keepNext/>
        <w:spacing w:before="180" w:after="80"/>
        <w:outlineLvl w:val="2"/>
      </w:pPr>
      <w:r>
        <w:rPr>
          <w:rFonts w:ascii="Arial" w:hAnsi="Arial" w:cs="Arial"/>
          <w:b/>
          <w:i w:val="0"/>
          <w:color w:val="333333"/>
          <w:sz w:val="23"/>
        </w:rPr>
        <w:t>4.7.1 Bank Onboarding &amp; Capability Registry</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Platform Governance Authority / Admin Portal</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val="0"/>
          <w:i w:val="0"/>
          <w:sz w:val="22"/>
        </w:rPr>
        <w:t>1. Bank registers as FIN tenant with sub_type = BANK</w:t>
      </w:r>
    </w:p>
    <w:p>
      <w:pPr>
        <w:spacing w:after="80" w:line="293" w:lineRule="auto"/>
        <w:jc w:val="left"/>
      </w:pPr>
      <w:r>
        <w:rPr>
          <w:rFonts w:ascii="Times New Roman" w:hAnsi="Times New Roman" w:cs="Times New Roman"/>
          <w:b w:val="0"/>
          <w:i w:val="0"/>
          <w:sz w:val="22"/>
        </w:rPr>
        <w:t>2. Bank provides:</w:t>
      </w:r>
    </w:p>
    <w:p>
      <w:pPr>
        <w:spacing w:after="80" w:line="293" w:lineRule="auto"/>
        <w:ind w:left="567"/>
        <w:jc w:val="left"/>
      </w:pPr>
      <w:r>
        <w:rPr>
          <w:rFonts w:ascii="Times New Roman" w:hAnsi="Times New Roman" w:cs="Times New Roman"/>
          <w:b w:val="0"/>
          <w:i w:val="0"/>
          <w:sz w:val="22"/>
        </w:rPr>
        <w:t>* API endpoint for ISO 20022 pain.001 reception</w:t>
      </w:r>
    </w:p>
    <w:p>
      <w:pPr>
        <w:spacing w:after="80" w:line="293" w:lineRule="auto"/>
        <w:ind w:left="567"/>
        <w:jc w:val="left"/>
      </w:pPr>
      <w:r>
        <w:rPr>
          <w:rFonts w:ascii="Times New Roman" w:hAnsi="Times New Roman" w:cs="Times New Roman"/>
          <w:b w:val="0"/>
          <w:i w:val="0"/>
          <w:sz w:val="22"/>
        </w:rPr>
        <w:t>* Public key for message verification</w:t>
      </w:r>
    </w:p>
    <w:p>
      <w:pPr>
        <w:spacing w:after="80" w:line="293" w:lineRule="auto"/>
        <w:ind w:left="567"/>
        <w:jc w:val="left"/>
      </w:pPr>
      <w:r>
        <w:rPr>
          <w:rFonts w:ascii="Times New Roman" w:hAnsi="Times New Roman" w:cs="Times New Roman"/>
          <w:b w:val="0"/>
          <w:i w:val="0"/>
          <w:sz w:val="22"/>
        </w:rPr>
        <w:t>* Government collection account details</w:t>
      </w:r>
    </w:p>
    <w:p>
      <w:pPr>
        <w:spacing w:after="80" w:line="293" w:lineRule="auto"/>
        <w:ind w:left="567"/>
        <w:jc w:val="left"/>
      </w:pPr>
      <w:r>
        <w:rPr>
          <w:rFonts w:ascii="Times New Roman" w:hAnsi="Times New Roman" w:cs="Times New Roman"/>
          <w:b w:val="0"/>
          <w:i w:val="0"/>
          <w:sz w:val="22"/>
        </w:rPr>
        <w:t>* SWIFT/BIC and IBAN prefixes</w:t>
      </w:r>
    </w:p>
    <w:p>
      <w:pPr>
        <w:spacing w:after="80" w:line="293" w:lineRule="auto"/>
        <w:ind w:left="567"/>
        <w:jc w:val="left"/>
      </w:pPr>
      <w:r>
        <w:rPr>
          <w:rFonts w:ascii="Times New Roman" w:hAnsi="Times New Roman" w:cs="Times New Roman"/>
          <w:b w:val="0"/>
          <w:i w:val="0"/>
          <w:sz w:val="22"/>
        </w:rPr>
        <w:t>* Capability tier (1: Full ISO 20022, 2: pain.001 only, 3: H2H/SFTP)</w:t>
      </w:r>
    </w:p>
    <w:p>
      <w:pPr>
        <w:spacing w:after="80" w:line="293" w:lineRule="auto"/>
        <w:jc w:val="left"/>
      </w:pPr>
      <w:r>
        <w:rPr>
          <w:rFonts w:ascii="Times New Roman" w:hAnsi="Times New Roman" w:cs="Times New Roman"/>
          <w:b w:val="0"/>
          <w:i w:val="0"/>
          <w:sz w:val="22"/>
        </w:rPr>
        <w:t>3. SGTX stores bank details in bank_capability_registry</w:t>
      </w:r>
    </w:p>
    <w:p>
      <w:pPr>
        <w:spacing w:after="80" w:line="293" w:lineRule="auto"/>
        <w:jc w:val="left"/>
      </w:pPr>
      <w:r>
        <w:rPr>
          <w:rFonts w:ascii="Times New Roman" w:hAnsi="Times New Roman" w:cs="Times New Roman"/>
          <w:b w:val="0"/>
          <w:i w:val="0"/>
          <w:sz w:val="22"/>
        </w:rPr>
        <w:t>4. SGTX performs test connection</w:t>
      </w:r>
    </w:p>
    <w:p>
      <w:pPr>
        <w:spacing w:after="80" w:line="293" w:lineRule="auto"/>
        <w:jc w:val="left"/>
      </w:pPr>
      <w:r>
        <w:rPr>
          <w:rFonts w:ascii="Times New Roman" w:hAnsi="Times New Roman" w:cs="Times New Roman"/>
          <w:b/>
          <w:i w:val="0"/>
          <w:sz w:val="22"/>
        </w:rPr>
        <w:t>Data Model:</w:t>
      </w:r>
    </w:p>
    <w:p>
      <w:pPr>
        <w:spacing w:after="0" w:before="0" w:line="240" w:lineRule="auto"/>
        <w:ind w:left="57"/>
        <w:jc w:val="left"/>
        <w:shd w:val="clear" w:fill="F2F2F2"/>
      </w:pPr>
      <w:r>
        <w:rPr>
          <w:rFonts w:ascii="Consolas" w:hAnsi="Consolas" w:cs="Consolas"/>
          <w:b w:val="0"/>
          <w:i w:val="0"/>
          <w:sz w:val="16"/>
        </w:rPr>
        <w:t>-- bank_capability_registry: canonical definition in Section 17.20 (Payments &amp; Settlement)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Success Criteria:</w:t>
      </w:r>
    </w:p>
    <w:p>
      <w:pPr>
        <w:spacing w:after="80" w:line="293" w:lineRule="auto"/>
        <w:ind w:left="283"/>
        <w:jc w:val="left"/>
      </w:pPr>
      <w:r>
        <w:rPr>
          <w:rFonts w:ascii="Times New Roman" w:hAnsi="Times New Roman" w:cs="Times New Roman"/>
          <w:b w:val="0"/>
          <w:i w:val="0"/>
          <w:sz w:val="22"/>
        </w:rPr>
        <w:t>* Bank confirms receipt of test ISO 20022 message</w:t>
      </w:r>
    </w:p>
    <w:p>
      <w:pPr>
        <w:spacing w:after="80" w:line="293" w:lineRule="auto"/>
        <w:ind w:left="283"/>
        <w:jc w:val="left"/>
      </w:pPr>
      <w:r>
        <w:rPr>
          <w:rFonts w:ascii="Times New Roman" w:hAnsi="Times New Roman" w:cs="Times New Roman"/>
          <w:b w:val="0"/>
          <w:i w:val="0"/>
          <w:sz w:val="22"/>
        </w:rPr>
        <w:t>* Government collection accounts verified</w:t>
      </w:r>
    </w:p>
    <w:p>
      <w:pPr>
        <w:keepNext/>
        <w:spacing w:before="180" w:after="80"/>
        <w:outlineLvl w:val="2"/>
      </w:pPr>
      <w:r>
        <w:rPr>
          <w:rFonts w:ascii="Arial" w:hAnsi="Arial" w:cs="Arial"/>
          <w:b/>
          <w:i w:val="0"/>
          <w:color w:val="333333"/>
          <w:sz w:val="23"/>
        </w:rPr>
        <w:t>4.7.2 Buyer Banking Details Collection</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Buyer</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val="0"/>
          <w:i w:val="0"/>
          <w:sz w:val="22"/>
        </w:rPr>
        <w:t>1. Buyer provides:</w:t>
      </w:r>
    </w:p>
    <w:p>
      <w:pPr>
        <w:spacing w:after="80" w:line="293" w:lineRule="auto"/>
        <w:ind w:left="567"/>
        <w:jc w:val="left"/>
      </w:pPr>
      <w:r>
        <w:rPr>
          <w:rFonts w:ascii="Times New Roman" w:hAnsi="Times New Roman" w:cs="Times New Roman"/>
          <w:b w:val="0"/>
          <w:i w:val="0"/>
          <w:sz w:val="22"/>
        </w:rPr>
        <w:t>* EGP Account IBAN and BIC</w:t>
      </w:r>
    </w:p>
    <w:p>
      <w:pPr>
        <w:spacing w:after="80" w:line="293" w:lineRule="auto"/>
        <w:ind w:left="567"/>
        <w:jc w:val="left"/>
      </w:pPr>
      <w:r>
        <w:rPr>
          <w:rFonts w:ascii="Times New Roman" w:hAnsi="Times New Roman" w:cs="Times New Roman"/>
          <w:b w:val="0"/>
          <w:i w:val="0"/>
          <w:sz w:val="22"/>
        </w:rPr>
        <w:t>* USD Account IBAN and BIC</w:t>
      </w:r>
    </w:p>
    <w:p>
      <w:pPr>
        <w:spacing w:after="80" w:line="293" w:lineRule="auto"/>
        <w:ind w:left="567"/>
        <w:jc w:val="left"/>
      </w:pPr>
      <w:r>
        <w:rPr>
          <w:rFonts w:ascii="Times New Roman" w:hAnsi="Times New Roman" w:cs="Times New Roman"/>
          <w:b w:val="0"/>
          <w:i w:val="0"/>
          <w:sz w:val="22"/>
        </w:rPr>
        <w:t>* Authorised signatories</w:t>
      </w:r>
    </w:p>
    <w:p>
      <w:pPr>
        <w:spacing w:after="80" w:line="293" w:lineRule="auto"/>
        <w:jc w:val="left"/>
      </w:pPr>
      <w:r>
        <w:rPr>
          <w:rFonts w:ascii="Times New Roman" w:hAnsi="Times New Roman" w:cs="Times New Roman"/>
          <w:b w:val="0"/>
          <w:i w:val="0"/>
          <w:sz w:val="22"/>
        </w:rPr>
        <w:t>2. SGTX stores encrypted banking details</w:t>
      </w:r>
    </w:p>
    <w:p>
      <w:pPr>
        <w:spacing w:after="80" w:line="293" w:lineRule="auto"/>
        <w:jc w:val="left"/>
      </w:pPr>
      <w:r>
        <w:rPr>
          <w:rFonts w:ascii="Times New Roman" w:hAnsi="Times New Roman" w:cs="Times New Roman"/>
          <w:b w:val="0"/>
          <w:i w:val="0"/>
          <w:sz w:val="22"/>
        </w:rPr>
        <w:t>3. SGTX performs micro-deposit verification</w:t>
      </w:r>
    </w:p>
    <w:p>
      <w:pPr>
        <w:spacing w:after="80" w:line="293" w:lineRule="auto"/>
        <w:jc w:val="left"/>
      </w:pPr>
      <w:r>
        <w:rPr>
          <w:rFonts w:ascii="Times New Roman" w:hAnsi="Times New Roman" w:cs="Times New Roman"/>
          <w:b w:val="0"/>
          <w:i w:val="0"/>
          <w:sz w:val="22"/>
        </w:rPr>
        <w:t>4. Buyer confirms micro-deposit amounts</w:t>
      </w:r>
    </w:p>
    <w:p>
      <w:pPr>
        <w:spacing w:after="80" w:line="293" w:lineRule="auto"/>
        <w:jc w:val="left"/>
      </w:pPr>
      <w:r>
        <w:rPr>
          <w:rFonts w:ascii="Times New Roman" w:hAnsi="Times New Roman" w:cs="Times New Roman"/>
          <w:b/>
          <w:i w:val="0"/>
          <w:sz w:val="22"/>
        </w:rPr>
        <w:t>Data Model:</w:t>
      </w:r>
    </w:p>
    <w:p>
      <w:pPr>
        <w:spacing w:after="0" w:before="0" w:line="240" w:lineRule="auto"/>
        <w:ind w:left="57"/>
        <w:jc w:val="left"/>
        <w:shd w:val="clear" w:fill="F2F2F2"/>
      </w:pPr>
      <w:r>
        <w:rPr>
          <w:rFonts w:ascii="Consolas" w:hAnsi="Consolas" w:cs="Consolas"/>
          <w:b w:val="0"/>
          <w:i w:val="0"/>
          <w:sz w:val="16"/>
        </w:rPr>
        <w:t>ALTER TABLE tenants ADD COLUMN banking_details JSONB;</w:t>
      </w:r>
    </w:p>
    <w:p>
      <w:pPr>
        <w:spacing w:after="0" w:before="0" w:line="240" w:lineRule="auto"/>
        <w:ind w:left="57"/>
        <w:jc w:val="left"/>
        <w:shd w:val="clear" w:fill="F2F2F2"/>
      </w:pPr>
      <w:r>
        <w:rPr>
          <w:rFonts w:ascii="Consolas" w:hAnsi="Consolas" w:cs="Consolas"/>
          <w:b w:val="0"/>
          <w:i w:val="0"/>
          <w:sz w:val="16"/>
        </w:rPr>
        <w:t>-- banking_details: {</w:t>
      </w:r>
    </w:p>
    <w:p>
      <w:pPr>
        <w:spacing w:after="0" w:before="0" w:line="240" w:lineRule="auto"/>
        <w:ind w:left="57"/>
        <w:jc w:val="left"/>
        <w:shd w:val="clear" w:fill="F2F2F2"/>
      </w:pPr>
      <w:r>
        <w:rPr>
          <w:rFonts w:ascii="Consolas" w:hAnsi="Consolas" w:cs="Consolas"/>
          <w:b w:val="0"/>
          <w:i w:val="0"/>
          <w:sz w:val="16"/>
        </w:rPr>
        <w:t>--   "egp_iban": "EG3800100000000000123456",</w:t>
      </w:r>
    </w:p>
    <w:p>
      <w:pPr>
        <w:spacing w:after="0" w:before="0" w:line="240" w:lineRule="auto"/>
        <w:ind w:left="57"/>
        <w:jc w:val="left"/>
        <w:shd w:val="clear" w:fill="F2F2F2"/>
      </w:pPr>
      <w:r>
        <w:rPr>
          <w:rFonts w:ascii="Consolas" w:hAnsi="Consolas" w:cs="Consolas"/>
          <w:b w:val="0"/>
          <w:i w:val="0"/>
          <w:sz w:val="16"/>
        </w:rPr>
        <w:t>--   "egp_bic": "CIBEEGCX",</w:t>
      </w:r>
    </w:p>
    <w:p>
      <w:pPr>
        <w:spacing w:after="0" w:before="0" w:line="240" w:lineRule="auto"/>
        <w:ind w:left="57"/>
        <w:jc w:val="left"/>
        <w:shd w:val="clear" w:fill="F2F2F2"/>
      </w:pPr>
      <w:r>
        <w:rPr>
          <w:rFonts w:ascii="Consolas" w:hAnsi="Consolas" w:cs="Consolas"/>
          <w:b w:val="0"/>
          <w:i w:val="0"/>
          <w:sz w:val="16"/>
        </w:rPr>
        <w:t>--   "usd_iban": "EG3800100000000000789012",</w:t>
      </w:r>
    </w:p>
    <w:p>
      <w:pPr>
        <w:spacing w:after="0" w:before="0" w:line="240" w:lineRule="auto"/>
        <w:ind w:left="57"/>
        <w:jc w:val="left"/>
        <w:shd w:val="clear" w:fill="F2F2F2"/>
      </w:pPr>
      <w:r>
        <w:rPr>
          <w:rFonts w:ascii="Consolas" w:hAnsi="Consolas" w:cs="Consolas"/>
          <w:b w:val="0"/>
          <w:i w:val="0"/>
          <w:sz w:val="16"/>
        </w:rPr>
        <w:t>--   "usd_bic": "CIBEEGCX",</w:t>
      </w:r>
    </w:p>
    <w:p>
      <w:pPr>
        <w:spacing w:after="0" w:before="0" w:line="240" w:lineRule="auto"/>
        <w:ind w:left="57"/>
        <w:jc w:val="left"/>
        <w:shd w:val="clear" w:fill="F2F2F2"/>
      </w:pPr>
      <w:r>
        <w:rPr>
          <w:rFonts w:ascii="Consolas" w:hAnsi="Consolas" w:cs="Consolas"/>
          <w:b w:val="0"/>
          <w:i w:val="0"/>
          <w:sz w:val="16"/>
        </w:rPr>
        <w:t>--   "authorised_signatories": ["emp-001", "emp-002"],</w:t>
      </w:r>
    </w:p>
    <w:p>
      <w:pPr>
        <w:spacing w:after="0" w:before="0" w:line="240" w:lineRule="auto"/>
        <w:ind w:left="57"/>
        <w:jc w:val="left"/>
        <w:shd w:val="clear" w:fill="F2F2F2"/>
      </w:pPr>
      <w:r>
        <w:rPr>
          <w:rFonts w:ascii="Consolas" w:hAnsi="Consolas" w:cs="Consolas"/>
          <w:b w:val="0"/>
          <w:i w:val="0"/>
          <w:sz w:val="16"/>
        </w:rPr>
        <w:t>--   "bank_mandate_hash": "sha256:abc123..."</w:t>
      </w:r>
    </w:p>
    <w:p>
      <w:pPr>
        <w:spacing w:after="0" w:before="0" w:line="240" w:lineRule="auto"/>
        <w:ind w:left="57"/>
        <w:jc w:val="left"/>
        <w:shd w:val="clear" w:fill="F2F2F2"/>
      </w:pPr>
      <w:r>
        <w:rPr>
          <w:rFonts w:ascii="Consolas" w:hAnsi="Consolas" w:cs="Consolas"/>
          <w:b w:val="0"/>
          <w:i w:val="0"/>
          <w:sz w:val="16"/>
        </w:rPr>
        <w:t>-- }</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4.7.3 Provider Banking Details &amp; Quote Transparency</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All Providers</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val="0"/>
          <w:i w:val="0"/>
          <w:sz w:val="22"/>
        </w:rPr>
        <w:t>1. Provider registers with GTID</w:t>
      </w:r>
    </w:p>
    <w:p>
      <w:pPr>
        <w:spacing w:after="80" w:line="293" w:lineRule="auto"/>
        <w:jc w:val="left"/>
      </w:pPr>
      <w:r>
        <w:rPr>
          <w:rFonts w:ascii="Times New Roman" w:hAnsi="Times New Roman" w:cs="Times New Roman"/>
          <w:b w:val="0"/>
          <w:i w:val="0"/>
          <w:sz w:val="22"/>
        </w:rPr>
        <w:t>2. Provider declares service_capabilities:</w:t>
      </w:r>
    </w:p>
    <w:p>
      <w:pPr>
        <w:spacing w:after="80" w:line="293" w:lineRule="auto"/>
        <w:ind w:left="567"/>
        <w:jc w:val="left"/>
      </w:pPr>
      <w:r>
        <w:rPr>
          <w:rFonts w:ascii="Times New Roman" w:hAnsi="Times New Roman" w:cs="Times New Roman"/>
          <w:b w:val="0"/>
          <w:i w:val="0"/>
          <w:sz w:val="22"/>
        </w:rPr>
        <w:t>* TRUCKING, FORWARDING, WAREHOUSING (LSP)</w:t>
      </w:r>
    </w:p>
    <w:p>
      <w:pPr>
        <w:spacing w:after="80" w:line="293" w:lineRule="auto"/>
        <w:ind w:left="567"/>
        <w:jc w:val="left"/>
      </w:pPr>
      <w:r>
        <w:rPr>
          <w:rFonts w:ascii="Times New Roman" w:hAnsi="Times New Roman" w:cs="Times New Roman"/>
          <w:b w:val="0"/>
          <w:i w:val="0"/>
          <w:sz w:val="22"/>
        </w:rPr>
        <w:t>* OCEAN_FREIGHT, AIR_FREIGHT (SHIP)</w:t>
      </w:r>
    </w:p>
    <w:p>
      <w:pPr>
        <w:spacing w:after="80" w:line="293" w:lineRule="auto"/>
        <w:ind w:left="567"/>
        <w:jc w:val="left"/>
      </w:pPr>
      <w:r>
        <w:rPr>
          <w:rFonts w:ascii="Times New Roman" w:hAnsi="Times New Roman" w:cs="Times New Roman"/>
          <w:b w:val="0"/>
          <w:i w:val="0"/>
          <w:sz w:val="22"/>
        </w:rPr>
        <w:t>* LAB_TESTING (LAB)</w:t>
      </w:r>
    </w:p>
    <w:p>
      <w:pPr>
        <w:spacing w:after="80" w:line="293" w:lineRule="auto"/>
        <w:ind w:left="567"/>
        <w:jc w:val="left"/>
      </w:pPr>
      <w:r>
        <w:rPr>
          <w:rFonts w:ascii="Times New Roman" w:hAnsi="Times New Roman" w:cs="Times New Roman"/>
          <w:b w:val="0"/>
          <w:i w:val="0"/>
          <w:sz w:val="22"/>
        </w:rPr>
        <w:t>* QC_INSPECTION (QC)</w:t>
      </w:r>
    </w:p>
    <w:p>
      <w:pPr>
        <w:spacing w:after="80" w:line="293" w:lineRule="auto"/>
        <w:ind w:left="567"/>
        <w:jc w:val="left"/>
      </w:pPr>
      <w:r>
        <w:rPr>
          <w:rFonts w:ascii="Times New Roman" w:hAnsi="Times New Roman" w:cs="Times New Roman"/>
          <w:b w:val="0"/>
          <w:i w:val="0"/>
          <w:sz w:val="22"/>
        </w:rPr>
        <w:t>* CUSTOMS_BROKERAGE (CBR)</w:t>
      </w:r>
    </w:p>
    <w:p>
      <w:pPr>
        <w:spacing w:after="80" w:line="293" w:lineRule="auto"/>
        <w:jc w:val="left"/>
      </w:pPr>
      <w:r>
        <w:rPr>
          <w:rFonts w:ascii="Times New Roman" w:hAnsi="Times New Roman" w:cs="Times New Roman"/>
          <w:b w:val="0"/>
          <w:i w:val="0"/>
          <w:sz w:val="22"/>
        </w:rPr>
        <w:t>3. Provider provides banking details</w:t>
      </w:r>
    </w:p>
    <w:p>
      <w:pPr>
        <w:spacing w:after="80" w:line="293" w:lineRule="auto"/>
        <w:jc w:val="left"/>
      </w:pPr>
      <w:r>
        <w:rPr>
          <w:rFonts w:ascii="Times New Roman" w:hAnsi="Times New Roman" w:cs="Times New Roman"/>
          <w:b w:val="0"/>
          <w:i w:val="0"/>
          <w:sz w:val="22"/>
        </w:rPr>
        <w:t>4. Provider agrees to quote transparency principles</w:t>
      </w:r>
    </w:p>
    <w:p>
      <w:pPr>
        <w:spacing w:after="80" w:line="293" w:lineRule="auto"/>
        <w:jc w:val="left"/>
      </w:pPr>
      <w:r>
        <w:rPr>
          <w:rFonts w:ascii="Times New Roman" w:hAnsi="Times New Roman" w:cs="Times New Roman"/>
          <w:b/>
          <w:i w:val="0"/>
          <w:sz w:val="22"/>
        </w:rPr>
        <w:t>Data Model:</w:t>
      </w:r>
    </w:p>
    <w:p>
      <w:pPr>
        <w:spacing w:after="0" w:before="0" w:line="240" w:lineRule="auto"/>
        <w:ind w:left="57"/>
        <w:jc w:val="left"/>
        <w:shd w:val="clear" w:fill="F2F2F2"/>
      </w:pPr>
      <w:r>
        <w:rPr>
          <w:rFonts w:ascii="Consolas" w:hAnsi="Consolas" w:cs="Consolas"/>
          <w:b w:val="0"/>
          <w:i w:val="0"/>
          <w:sz w:val="16"/>
        </w:rPr>
        <w:t>-- tenants table already has service_capabilities</w:t>
      </w:r>
    </w:p>
    <w:p>
      <w:pPr>
        <w:spacing w:after="0" w:before="0" w:line="240" w:lineRule="auto"/>
        <w:ind w:left="57"/>
        <w:jc w:val="left"/>
        <w:shd w:val="clear" w:fill="F2F2F2"/>
      </w:pPr>
      <w:r>
        <w:rPr>
          <w:rFonts w:ascii="Consolas" w:hAnsi="Consolas" w:cs="Consolas"/>
          <w:b w:val="0"/>
          <w:i w:val="0"/>
          <w:sz w:val="16"/>
        </w:rPr>
        <w:t>ALTER TABLE tenants ADD COLUMN provider_banking JSONB;</w:t>
      </w:r>
    </w:p>
    <w:p>
      <w:pPr>
        <w:spacing w:after="0" w:before="0" w:line="240" w:lineRule="auto"/>
        <w:ind w:left="57"/>
        <w:jc w:val="left"/>
        <w:shd w:val="clear" w:fill="F2F2F2"/>
      </w:pPr>
      <w:r>
        <w:rPr>
          <w:rFonts w:ascii="Consolas" w:hAnsi="Consolas" w:cs="Consolas"/>
          <w:b w:val="0"/>
          <w:i w:val="0"/>
          <w:sz w:val="16"/>
        </w:rPr>
        <w:t>-- provider_banking: {</w:t>
      </w:r>
    </w:p>
    <w:p>
      <w:pPr>
        <w:spacing w:after="0" w:before="0" w:line="240" w:lineRule="auto"/>
        <w:ind w:left="57"/>
        <w:jc w:val="left"/>
        <w:shd w:val="clear" w:fill="F2F2F2"/>
      </w:pPr>
      <w:r>
        <w:rPr>
          <w:rFonts w:ascii="Consolas" w:hAnsi="Consolas" w:cs="Consolas"/>
          <w:b w:val="0"/>
          <w:i w:val="0"/>
          <w:sz w:val="16"/>
        </w:rPr>
        <w:t>--   "iban": "DE89370400440532013000",</w:t>
      </w:r>
    </w:p>
    <w:p>
      <w:pPr>
        <w:spacing w:after="0" w:before="0" w:line="240" w:lineRule="auto"/>
        <w:ind w:left="57"/>
        <w:jc w:val="left"/>
        <w:shd w:val="clear" w:fill="F2F2F2"/>
      </w:pPr>
      <w:r>
        <w:rPr>
          <w:rFonts w:ascii="Consolas" w:hAnsi="Consolas" w:cs="Consolas"/>
          <w:b w:val="0"/>
          <w:i w:val="0"/>
          <w:sz w:val="16"/>
        </w:rPr>
        <w:t>--   "bic": "DEUTDEFF",</w:t>
      </w:r>
    </w:p>
    <w:p>
      <w:pPr>
        <w:spacing w:after="0" w:before="0" w:line="240" w:lineRule="auto"/>
        <w:ind w:left="57"/>
        <w:jc w:val="left"/>
        <w:shd w:val="clear" w:fill="F2F2F2"/>
      </w:pPr>
      <w:r>
        <w:rPr>
          <w:rFonts w:ascii="Consolas" w:hAnsi="Consolas" w:cs="Consolas"/>
          <w:b w:val="0"/>
          <w:i w:val="0"/>
          <w:sz w:val="16"/>
        </w:rPr>
        <w:t>--   "currency": "USD"</w:t>
      </w:r>
    </w:p>
    <w:p>
      <w:pPr>
        <w:spacing w:after="0" w:before="0" w:line="240" w:lineRule="auto"/>
        <w:ind w:left="57"/>
        <w:jc w:val="left"/>
        <w:shd w:val="clear" w:fill="F2F2F2"/>
      </w:pPr>
      <w:r>
        <w:rPr>
          <w:rFonts w:ascii="Consolas" w:hAnsi="Consolas" w:cs="Consolas"/>
          <w:b w:val="0"/>
          <w:i w:val="0"/>
          <w:sz w:val="16"/>
        </w:rPr>
        <w:t>-- }</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4.7.4 Bank Mandate Legal Framework</w:t>
      </w:r>
    </w:p>
    <w:p>
      <w:pPr>
        <w:spacing w:after="80" w:line="293" w:lineRule="auto"/>
        <w:jc w:val="left"/>
      </w:pPr>
      <w:r>
        <w:rPr>
          <w:rFonts w:ascii="Times New Roman" w:hAnsi="Times New Roman" w:cs="Times New Roman"/>
          <w:b w:val="0"/>
          <w:i w:val="0"/>
          <w:sz w:val="22"/>
        </w:rPr>
        <w:t>Legal Basis for Bank Mandate — the SGTX Bank Mandate is legally grounded in:</w:t>
      </w:r>
    </w:p>
    <w:p>
      <w:pPr>
        <w:spacing w:after="80" w:line="293" w:lineRule="auto"/>
        <w:jc w:val="left"/>
      </w:pPr>
      <w:r>
        <w:rPr>
          <w:rFonts w:ascii="Times New Roman" w:hAnsi="Times New Roman" w:cs="Times New Roman"/>
          <w:b w:val="0"/>
          <w:i w:val="0"/>
          <w:sz w:val="22"/>
        </w:rPr>
        <w:t>1. Egyptian Banking Law No. 194 of 2020 — Banks are authorized to execute payment instructions from verified corporate clients</w:t>
      </w:r>
    </w:p>
    <w:p>
      <w:pPr>
        <w:spacing w:after="80" w:line="293" w:lineRule="auto"/>
        <w:jc w:val="left"/>
      </w:pPr>
      <w:r>
        <w:rPr>
          <w:rFonts w:ascii="Times New Roman" w:hAnsi="Times New Roman" w:cs="Times New Roman"/>
          <w:b w:val="0"/>
          <w:i w:val="0"/>
          <w:sz w:val="22"/>
        </w:rPr>
        <w:t>2. SGTX Bank Mandate Agreement — Signed by the buyer during onboarding, authorizing SGTX to submit ISO 20022 payment instructions on their behalf</w:t>
      </w:r>
    </w:p>
    <w:p>
      <w:pPr>
        <w:spacing w:after="80" w:line="293" w:lineRule="auto"/>
        <w:jc w:val="left"/>
      </w:pPr>
      <w:r>
        <w:rPr>
          <w:rFonts w:ascii="Times New Roman" w:hAnsi="Times New Roman" w:cs="Times New Roman"/>
          <w:b w:val="0"/>
          <w:i w:val="0"/>
          <w:sz w:val="22"/>
        </w:rPr>
        <w:t>3. QES Authorization — Each payment mandate is signed with the buyer's Qualified Electronic Signature (Egypt Trust), giving it legal force</w:t>
      </w:r>
    </w:p>
    <w:p>
      <w:pPr>
        <w:spacing w:after="80" w:line="293" w:lineRule="auto"/>
        <w:jc w:val="left"/>
      </w:pPr>
      <w:r>
        <w:rPr>
          <w:rFonts w:ascii="Times New Roman" w:hAnsi="Times New Roman" w:cs="Times New Roman"/>
          <w:b w:val="0"/>
          <w:i w:val="0"/>
          <w:sz w:val="22"/>
        </w:rPr>
        <w:t>The mandate records the legal entity name, authorised signatories, both funding-account IBANs, the QES certificate reference, signature timestamp, and expiry; it is Governor-decision-linked and Loom-hashed. The complete schema is defined in Section 17.20 (bank_mandate_agreements).</w:t>
      </w:r>
    </w:p>
    <w:p>
      <w:pPr>
        <w:keepNext/>
        <w:spacing w:before="180" w:after="80"/>
        <w:outlineLvl w:val="2"/>
      </w:pPr>
      <w:r>
        <w:rPr>
          <w:rFonts w:ascii="Arial" w:hAnsi="Arial" w:cs="Arial"/>
          <w:b/>
          <w:i w:val="0"/>
          <w:color w:val="333333"/>
          <w:sz w:val="23"/>
        </w:rPr>
        <w:t>4.7.5 QES Certificate Enrollment</w:t>
      </w:r>
    </w:p>
    <w:p>
      <w:pPr>
        <w:spacing w:after="80" w:line="293" w:lineRule="auto"/>
        <w:jc w:val="left"/>
      </w:pPr>
      <w:r>
        <w:rPr>
          <w:rFonts w:ascii="Times New Roman" w:hAnsi="Times New Roman" w:cs="Times New Roman"/>
          <w:b w:val="0"/>
          <w:i w:val="0"/>
          <w:sz w:val="22"/>
        </w:rPr>
        <w:t>Buyers, sellers, and financiers enroll Qualified Electronic Signature certificates during onboarding. The buyer's QES certificate (Egypt Trust, stored on HSM/token) is the instrument that gives each payment mandate legal force; the enrollment is verified by micro-deposit-style challenge flows and bound to the tenant's authorised signatories. The complete QES authorization flow for payment mandates is specified in Phase 3 (Section 9.25.1).</w:t>
      </w:r>
    </w:p>
    <w:p>
      <w:pPr>
        <w:keepNext/>
        <w:spacing w:before="360" w:after="160"/>
        <w:outlineLvl w:val="0"/>
      </w:pPr>
      <w:r>
        <w:rPr>
          <w:rFonts w:ascii="Arial" w:hAnsi="Arial" w:cs="Arial"/>
          <w:b/>
          <w:i w:val="0"/>
          <w:color w:val="1F3864"/>
          <w:sz w:val="32"/>
        </w:rPr>
        <w:t>5. USTN — Canonical Trade Namespace</w:t>
      </w:r>
    </w:p>
    <w:p>
      <w:pPr>
        <w:spacing w:after="80" w:line="293" w:lineRule="auto"/>
        <w:jc w:val="left"/>
      </w:pPr>
      <w:r>
        <w:rPr>
          <w:rFonts w:ascii="Times New Roman" w:hAnsi="Times New Roman" w:cs="Times New Roman"/>
          <w:b w:val="0"/>
          <w:i w:val="0"/>
          <w:sz w:val="22"/>
        </w:rPr>
        <w:t>The Universal Shipment Tracking Number (USTN) is the single master identifier that binds every piece of data, every document, every payment, and every physical movement of an SGTX trade into one inseparable digital chain. It guarantees that the invoice seen by customs is the same invoice seen by the tax authority, the shipping line, the bank, and the buyer — and that the payment matches it exactly. The USTN is generated automatically at the authoritative lock point (single-shipment lock, or per-shipment lock for multi-shipment contracts; for a single-shipment trade this is the moment the FeeLock becomes ACTIVE at STAGE1_SETTLED). From that point forward, no document can be created, no payment can be instructed, and no container can move without referencing this number.</w:t>
      </w:r>
    </w:p>
    <w:p>
      <w:pPr>
        <w:spacing w:after="80" w:line="293" w:lineRule="auto"/>
        <w:jc w:val="left"/>
      </w:pPr>
      <w:r>
        <w:rPr>
          <w:rFonts w:ascii="Times New Roman" w:hAnsi="Times New Roman" w:cs="Times New Roman"/>
          <w:b w:val="0"/>
          <w:i w:val="0"/>
          <w:sz w:val="22"/>
        </w:rPr>
        <w:t>The USTN is printed on the Bill of Lading, embedded in the e-Invoice XML, included in the ACID filing, written on the phytosanitary certificate, and used as the payment narrative in the Central Bank's Instant Payment Network.</w:t>
      </w:r>
    </w:p>
    <w:p>
      <w:pPr>
        <w:spacing w:after="80" w:line="293" w:lineRule="auto"/>
        <w:jc w:val="left"/>
      </w:pPr>
      <w:r>
        <w:rPr>
          <w:rFonts w:ascii="Times New Roman" w:hAnsi="Times New Roman" w:cs="Times New Roman"/>
          <w:b w:val="0"/>
          <w:i w:val="0"/>
          <w:sz w:val="22"/>
        </w:rPr>
        <w:t>Design Principles for the USTN:</w:t>
      </w:r>
    </w:p>
    <w:p>
      <w:pPr>
        <w:spacing w:after="80" w:line="293" w:lineRule="auto"/>
        <w:ind w:left="283"/>
        <w:jc w:val="left"/>
      </w:pPr>
      <w:r>
        <w:rPr>
          <w:rFonts w:ascii="Times New Roman" w:hAnsi="Times New Roman" w:cs="Times New Roman"/>
          <w:b w:val="0"/>
          <w:i w:val="0"/>
          <w:sz w:val="22"/>
        </w:rPr>
        <w:t>- Globally unique — the country + year + trader + sequence tuple is always unique; the atomic counter guarantees uniqueness at generation.</w:t>
      </w:r>
    </w:p>
    <w:p>
      <w:pPr>
        <w:spacing w:after="80" w:line="293" w:lineRule="auto"/>
        <w:ind w:left="283"/>
        <w:jc w:val="left"/>
      </w:pPr>
      <w:r>
        <w:rPr>
          <w:rFonts w:ascii="Times New Roman" w:hAnsi="Times New Roman" w:cs="Times New Roman"/>
          <w:b w:val="0"/>
          <w:i w:val="0"/>
          <w:sz w:val="22"/>
        </w:rPr>
        <w:t>- Immutable — once generated, it never changes (though a shipment may be cancelled, the USTN remains as a historical record).</w:t>
      </w:r>
    </w:p>
    <w:p>
      <w:pPr>
        <w:spacing w:after="80" w:line="293" w:lineRule="auto"/>
        <w:ind w:left="283"/>
        <w:jc w:val="left"/>
      </w:pPr>
      <w:r>
        <w:rPr>
          <w:rFonts w:ascii="Times New Roman" w:hAnsi="Times New Roman" w:cs="Times New Roman"/>
          <w:b w:val="0"/>
          <w:i w:val="0"/>
          <w:sz w:val="22"/>
        </w:rPr>
        <w:t>- Machine-readable and human-readable — 15–22 character alphanumeric (plain numbers, no confusing characters).</w:t>
      </w:r>
    </w:p>
    <w:p>
      <w:pPr>
        <w:spacing w:after="80" w:line="293" w:lineRule="auto"/>
        <w:ind w:left="283"/>
        <w:jc w:val="left"/>
      </w:pPr>
      <w:r>
        <w:rPr>
          <w:rFonts w:ascii="Times New Roman" w:hAnsi="Times New Roman" w:cs="Times New Roman"/>
          <w:b w:val="0"/>
          <w:i w:val="0"/>
          <w:sz w:val="22"/>
        </w:rPr>
        <w:t>- Mandatory — every SGTX document, API call, and payment reference must include the USTN.</w:t>
      </w:r>
    </w:p>
    <w:p>
      <w:pPr>
        <w:spacing w:after="80" w:line="293" w:lineRule="auto"/>
        <w:ind w:left="283"/>
        <w:jc w:val="left"/>
      </w:pPr>
      <w:r>
        <w:rPr>
          <w:rFonts w:ascii="Times New Roman" w:hAnsi="Times New Roman" w:cs="Times New Roman"/>
          <w:b w:val="0"/>
          <w:i w:val="0"/>
          <w:sz w:val="22"/>
        </w:rPr>
        <w:t>- Namespace, not override — the USTN is the canonical namespace for every trade but never overrides external authoritative systems; external identifiers are preserved.</w:t>
      </w:r>
    </w:p>
    <w:p>
      <w:pPr>
        <w:spacing w:after="80" w:line="293" w:lineRule="auto"/>
        <w:ind w:left="283"/>
        <w:jc w:val="left"/>
      </w:pPr>
      <w:r>
        <w:rPr>
          <w:rFonts w:ascii="Times New Roman" w:hAnsi="Times New Roman" w:cs="Times New Roman"/>
          <w:b w:val="0"/>
          <w:i w:val="0"/>
          <w:sz w:val="22"/>
        </w:rPr>
        <w:t>- AI assistance (non-marketplace) — when a user needs to reference a USTN, the system autocompletes from a dropdown of recent USTNs the user has access to — no suggestions from "similar trades of others". The USTN QR code can be scanned by the mobile app, which then automatically opens the relevant Trade Command Center — no manual typing. If a user manually types a USTN, the system validates the format in real time and, if valid, resolves it to a summary card (status, parties, commodity) without needing to submit a form.</w:t>
      </w:r>
    </w:p>
    <w:p>
      <w:pPr>
        <w:spacing w:after="80" w:line="293" w:lineRule="auto"/>
        <w:jc w:val="left"/>
      </w:pPr>
      <w:r>
        <w:rPr>
          <w:rFonts w:ascii="Times New Roman" w:hAnsi="Times New Roman" w:cs="Times New Roman"/>
          <w:b w:val="0"/>
          <w:i w:val="0"/>
          <w:sz w:val="22"/>
        </w:rPr>
        <w:t>Acronyms used in this section: USTN (Universal Shipment Tracking Number), GTID (Global Trade Identity), QR (Quick Response code), eBL (electronic Bill of Lading), ACID (Advance Cargo Information Declaration), SAD (Single Administrative Document), AIS (Automatic Identification System), GNN (Graph Neural Network), W3C VC (World Wide Web Consortium Verifiable Credential), TCC (Trade Command Center), NATS (message bus), PQC (Post-Quantum Cryptography), UBO (Ultimate Beneficial Owner).</w:t>
      </w:r>
    </w:p>
    <w:p>
      <w:pPr>
        <w:keepNext/>
        <w:spacing w:before="240" w:after="100"/>
        <w:outlineLvl w:val="1"/>
      </w:pPr>
      <w:r>
        <w:rPr>
          <w:rFonts w:ascii="Arial" w:hAnsi="Arial" w:cs="Arial"/>
          <w:b/>
          <w:i w:val="0"/>
          <w:color w:val="2E528F"/>
          <w:sz w:val="26"/>
        </w:rPr>
        <w:t>5.1 Format &amp; Generation Algorithm</w:t>
      </w:r>
    </w:p>
    <w:p>
      <w:pPr>
        <w:keepNext/>
        <w:spacing w:before="180" w:after="80"/>
        <w:outlineLvl w:val="2"/>
      </w:pPr>
      <w:r>
        <w:rPr>
          <w:rFonts w:ascii="Arial" w:hAnsi="Arial" w:cs="Arial"/>
          <w:b/>
          <w:i w:val="0"/>
          <w:color w:val="333333"/>
          <w:sz w:val="23"/>
        </w:rPr>
        <w:t>5.1.1 Format Specification</w:t>
      </w:r>
    </w:p>
    <w:p>
      <w:pPr>
        <w:spacing w:after="0" w:before="0" w:line="240" w:lineRule="auto"/>
        <w:ind w:left="57"/>
        <w:jc w:val="left"/>
        <w:shd w:val="clear" w:fill="F2F2F2"/>
      </w:pPr>
      <w:r>
        <w:rPr>
          <w:rFonts w:ascii="Consolas" w:hAnsi="Consolas" w:cs="Consolas"/>
          <w:b w:val="0"/>
          <w:i w:val="0"/>
          <w:sz w:val="15"/>
        </w:rPr>
        <w:t>Format:  SGTX-{COUNTRY}-{YEAR}-{TRADER}-{SEQ}</w:t>
      </w:r>
    </w:p>
    <w:p>
      <w:pPr>
        <w:spacing w:after="0" w:before="0" w:line="240" w:lineRule="auto"/>
        <w:ind w:left="57"/>
        <w:jc w:val="left"/>
        <w:shd w:val="clear" w:fill="F2F2F2"/>
      </w:pPr>
      <w:r>
        <w:rPr>
          <w:rFonts w:ascii="Consolas" w:hAnsi="Consolas" w:cs="Consolas"/>
          <w:b w:val="0"/>
          <w:i w:val="0"/>
          <w:sz w:val="15"/>
        </w:rPr>
        <w:t>Example: SGTX-EG-26-F3A-1</w:t>
      </w:r>
    </w:p>
    <w:p>
      <w:pPr>
        <w:spacing w:after="0" w:before="0" w:line="240" w:lineRule="auto"/>
        <w:ind w:left="57"/>
        <w:jc w:val="left"/>
        <w:shd w:val="clear" w:fill="F2F2F2"/>
      </w:pPr>
      <w:r>
        <w:rPr>
          <w:rFonts w:ascii="Consolas" w:hAnsi="Consolas" w:cs="Consolas"/>
          <w:b w:val="0"/>
          <w:i w:val="0"/>
          <w:sz w:val="15"/>
        </w:rPr>
        <w:t>Length:  15–22 characters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5.1.2 Component Definitions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Width</w:t>
            </w:r>
          </w:p>
        </w:tc>
        <w:tc>
          <w:tcPr>
            <w:tcW w:type="dxa" w:w="3213"/>
            <w:shd w:val="clear" w:fill="D9E2F3"/>
          </w:tcPr>
          <w:p>
            <w:pPr>
              <w:spacing w:after="20" w:before="20" w:line="240" w:lineRule="auto"/>
            </w:pPr>
            <w:r/>
            <w:r>
              <w:rPr>
                <w:rFonts w:ascii="Arial" w:hAnsi="Arial" w:cs="Arial"/>
                <w:b/>
                <w:i w:val="0"/>
                <w:sz w:val="18"/>
              </w:rPr>
              <w:t>Definition</w:t>
            </w:r>
          </w:p>
        </w:tc>
      </w:tr>
      <w:tr>
        <w:tc>
          <w:tcPr>
            <w:tcW w:type="dxa" w:w="3213"/>
          </w:tcPr>
          <w:p>
            <w:pPr>
              <w:spacing w:after="20" w:before="20" w:line="240" w:lineRule="auto"/>
            </w:pPr>
            <w:r/>
            <w:r>
              <w:rPr>
                <w:rFonts w:ascii="Arial" w:hAnsi="Arial" w:cs="Arial"/>
                <w:b w:val="0"/>
                <w:i w:val="0"/>
                <w:sz w:val="17"/>
              </w:rPr>
              <w:t>SGTX</w:t>
            </w:r>
          </w:p>
        </w:tc>
        <w:tc>
          <w:tcPr>
            <w:tcW w:type="dxa" w:w="3213"/>
          </w:tcPr>
          <w:p>
            <w:pPr>
              <w:spacing w:after="20" w:before="20" w:line="240" w:lineRule="auto"/>
            </w:pPr>
            <w:r/>
            <w:r>
              <w:rPr>
                <w:rFonts w:ascii="Arial" w:hAnsi="Arial" w:cs="Arial"/>
                <w:b w:val="0"/>
                <w:i w:val="0"/>
                <w:sz w:val="17"/>
              </w:rPr>
              <w:t>4 chars</w:t>
            </w:r>
          </w:p>
        </w:tc>
        <w:tc>
          <w:tcPr>
            <w:tcW w:type="dxa" w:w="3213"/>
          </w:tcPr>
          <w:p>
            <w:pPr>
              <w:spacing w:after="20" w:before="20" w:line="240" w:lineRule="auto"/>
            </w:pPr>
            <w:r/>
            <w:r>
              <w:rPr>
                <w:rFonts w:ascii="Arial" w:hAnsi="Arial" w:cs="Arial"/>
                <w:b w:val="0"/>
                <w:i w:val="0"/>
                <w:sz w:val="17"/>
              </w:rPr>
              <w:t>Fixed platform identifier</w:t>
            </w:r>
          </w:p>
        </w:tc>
      </w:tr>
      <w:tr>
        <w:tc>
          <w:tcPr>
            <w:tcW w:type="dxa" w:w="3213"/>
          </w:tcPr>
          <w:p>
            <w:pPr>
              <w:spacing w:after="20" w:before="20" w:line="240" w:lineRule="auto"/>
            </w:pPr>
            <w:r/>
            <w:r>
              <w:rPr>
                <w:rFonts w:ascii="Arial" w:hAnsi="Arial" w:cs="Arial"/>
                <w:b w:val="0"/>
                <w:i w:val="0"/>
                <w:sz w:val="17"/>
              </w:rPr>
              <w:t>COUNTRY</w:t>
            </w:r>
          </w:p>
        </w:tc>
        <w:tc>
          <w:tcPr>
            <w:tcW w:type="dxa" w:w="3213"/>
          </w:tcPr>
          <w:p>
            <w:pPr>
              <w:spacing w:after="20" w:before="20" w:line="240" w:lineRule="auto"/>
            </w:pPr>
            <w:r/>
            <w:r>
              <w:rPr>
                <w:rFonts w:ascii="Arial" w:hAnsi="Arial" w:cs="Arial"/>
                <w:b w:val="0"/>
                <w:i w:val="0"/>
                <w:sz w:val="17"/>
              </w:rPr>
              <w:t>2 chars</w:t>
            </w:r>
          </w:p>
        </w:tc>
        <w:tc>
          <w:tcPr>
            <w:tcW w:type="dxa" w:w="3213"/>
          </w:tcPr>
          <w:p>
            <w:pPr>
              <w:spacing w:after="20" w:before="20" w:line="240" w:lineRule="auto"/>
            </w:pPr>
            <w:r/>
            <w:r>
              <w:rPr>
                <w:rFonts w:ascii="Arial" w:hAnsi="Arial" w:cs="Arial"/>
                <w:b w:val="0"/>
                <w:i w:val="0"/>
                <w:sz w:val="17"/>
              </w:rPr>
              <w:t>ISO 3166-1 alpha-2 (EG, VN, DE, etc.)</w:t>
            </w:r>
          </w:p>
        </w:tc>
      </w:tr>
      <w:tr>
        <w:tc>
          <w:tcPr>
            <w:tcW w:type="dxa" w:w="3213"/>
          </w:tcPr>
          <w:p>
            <w:pPr>
              <w:spacing w:after="20" w:before="20" w:line="240" w:lineRule="auto"/>
            </w:pPr>
            <w:r/>
            <w:r>
              <w:rPr>
                <w:rFonts w:ascii="Arial" w:hAnsi="Arial" w:cs="Arial"/>
                <w:b w:val="0"/>
                <w:i w:val="0"/>
                <w:sz w:val="17"/>
              </w:rPr>
              <w:t>YEAR</w:t>
            </w:r>
          </w:p>
        </w:tc>
        <w:tc>
          <w:tcPr>
            <w:tcW w:type="dxa" w:w="3213"/>
          </w:tcPr>
          <w:p>
            <w:pPr>
              <w:spacing w:after="20" w:before="20" w:line="240" w:lineRule="auto"/>
            </w:pPr>
            <w:r/>
            <w:r>
              <w:rPr>
                <w:rFonts w:ascii="Arial" w:hAnsi="Arial" w:cs="Arial"/>
                <w:b w:val="0"/>
                <w:i w:val="0"/>
                <w:sz w:val="17"/>
              </w:rPr>
              <w:t>2 chars</w:t>
            </w:r>
          </w:p>
        </w:tc>
        <w:tc>
          <w:tcPr>
            <w:tcW w:type="dxa" w:w="3213"/>
          </w:tcPr>
          <w:p>
            <w:pPr>
              <w:spacing w:after="20" w:before="20" w:line="240" w:lineRule="auto"/>
            </w:pPr>
            <w:r/>
            <w:r>
              <w:rPr>
                <w:rFonts w:ascii="Arial" w:hAnsi="Arial" w:cs="Arial"/>
                <w:b w:val="0"/>
                <w:i w:val="0"/>
                <w:sz w:val="17"/>
              </w:rPr>
              <w:t>Last two digits of the year (26, 27, etc.)</w:t>
            </w:r>
          </w:p>
        </w:tc>
      </w:tr>
      <w:tr>
        <w:tc>
          <w:tcPr>
            <w:tcW w:type="dxa" w:w="3213"/>
          </w:tcPr>
          <w:p>
            <w:pPr>
              <w:spacing w:after="20" w:before="20" w:line="240" w:lineRule="auto"/>
            </w:pPr>
            <w:r/>
            <w:r>
              <w:rPr>
                <w:rFonts w:ascii="Arial" w:hAnsi="Arial" w:cs="Arial"/>
                <w:b w:val="0"/>
                <w:i w:val="0"/>
                <w:sz w:val="17"/>
              </w:rPr>
              <w:t>TRADER</w:t>
            </w:r>
          </w:p>
        </w:tc>
        <w:tc>
          <w:tcPr>
            <w:tcW w:type="dxa" w:w="3213"/>
          </w:tcPr>
          <w:p>
            <w:pPr>
              <w:spacing w:after="20" w:before="20" w:line="240" w:lineRule="auto"/>
            </w:pPr>
            <w:r/>
            <w:r>
              <w:rPr>
                <w:rFonts w:ascii="Arial" w:hAnsi="Arial" w:cs="Arial"/>
                <w:b w:val="0"/>
                <w:i w:val="0"/>
                <w:sz w:val="17"/>
              </w:rPr>
              <w:t>3–4 chars</w:t>
            </w:r>
          </w:p>
        </w:tc>
        <w:tc>
          <w:tcPr>
            <w:tcW w:type="dxa" w:w="3213"/>
          </w:tcPr>
          <w:p>
            <w:pPr>
              <w:spacing w:after="20" w:before="20" w:line="240" w:lineRule="auto"/>
            </w:pPr>
            <w:r/>
            <w:r>
              <w:rPr>
                <w:rFonts w:ascii="Arial" w:hAnsi="Arial" w:cs="Arial"/>
                <w:b w:val="0"/>
                <w:i w:val="0"/>
                <w:sz w:val="17"/>
              </w:rPr>
              <w:t>Last 3 alphanumeric characters of the GTID checksum (F3A, 7B3A, etc.)</w:t>
            </w:r>
          </w:p>
        </w:tc>
      </w:tr>
      <w:tr>
        <w:tc>
          <w:tcPr>
            <w:tcW w:type="dxa" w:w="3213"/>
          </w:tcPr>
          <w:p>
            <w:pPr>
              <w:spacing w:after="20" w:before="20" w:line="240" w:lineRule="auto"/>
            </w:pPr>
            <w:r/>
            <w:r>
              <w:rPr>
                <w:rFonts w:ascii="Arial" w:hAnsi="Arial" w:cs="Arial"/>
                <w:b w:val="0"/>
                <w:i w:val="0"/>
                <w:sz w:val="17"/>
              </w:rPr>
              <w:t>SEQ</w:t>
            </w:r>
          </w:p>
        </w:tc>
        <w:tc>
          <w:tcPr>
            <w:tcW w:type="dxa" w:w="3213"/>
          </w:tcPr>
          <w:p>
            <w:pPr>
              <w:spacing w:after="20" w:before="20" w:line="240" w:lineRule="auto"/>
            </w:pPr>
            <w:r/>
            <w:r>
              <w:rPr>
                <w:rFonts w:ascii="Arial" w:hAnsi="Arial" w:cs="Arial"/>
                <w:b w:val="0"/>
                <w:i w:val="0"/>
                <w:sz w:val="17"/>
              </w:rPr>
              <w:t>Variable</w:t>
            </w:r>
          </w:p>
        </w:tc>
        <w:tc>
          <w:tcPr>
            <w:tcW w:type="dxa" w:w="3213"/>
          </w:tcPr>
          <w:p>
            <w:pPr>
              <w:spacing w:after="20" w:before="20" w:line="240" w:lineRule="auto"/>
            </w:pPr>
            <w:r/>
            <w:r>
              <w:rPr>
                <w:rFonts w:ascii="Arial" w:hAnsi="Arial" w:cs="Arial"/>
                <w:b w:val="0"/>
                <w:i w:val="0"/>
                <w:sz w:val="17"/>
              </w:rPr>
              <w:t>Atomic BIGINT per year per trader</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5.1.3 Trader Identifier Extraction</w:t>
      </w:r>
    </w:p>
    <w:p>
      <w:pPr>
        <w:spacing w:after="80" w:line="293" w:lineRule="auto"/>
        <w:jc w:val="left"/>
      </w:pPr>
      <w:r>
        <w:rPr>
          <w:rFonts w:ascii="Times New Roman" w:hAnsi="Times New Roman" w:cs="Times New Roman"/>
          <w:b w:val="0"/>
          <w:i w:val="0"/>
          <w:sz w:val="22"/>
        </w:rPr>
        <w:t>The trader identifier is the last 3 alphanumeric characters of the GTID's checksum (the final component after the sequence).</w:t>
      </w:r>
    </w:p>
    <w:p>
      <w:pPr>
        <w:spacing w:after="80" w:line="293" w:lineRule="auto"/>
        <w:jc w:val="left"/>
      </w:pPr>
      <w:r>
        <w:rPr>
          <w:rFonts w:ascii="Times New Roman" w:hAnsi="Times New Roman" w:cs="Times New Roman"/>
          <w:b w:val="0"/>
          <w:i w:val="0"/>
          <w:sz w:val="22"/>
        </w:rPr>
        <w:t>Examples:</w:t>
      </w:r>
    </w:p>
    <w:p>
      <w:pPr>
        <w:spacing w:after="0" w:before="0" w:line="240" w:lineRule="auto"/>
        <w:ind w:left="57"/>
        <w:jc w:val="left"/>
        <w:shd w:val="clear" w:fill="F2F2F2"/>
      </w:pPr>
      <w:r>
        <w:rPr>
          <w:rFonts w:ascii="Consolas" w:hAnsi="Consolas" w:cs="Consolas"/>
          <w:b w:val="0"/>
          <w:i w:val="0"/>
          <w:sz w:val="15"/>
        </w:rPr>
        <w:t>GTID: SGTX-EG-TRD-002139-7F3A → trader ID F3A</w:t>
      </w:r>
    </w:p>
    <w:p>
      <w:pPr>
        <w:spacing w:after="0" w:before="0" w:line="240" w:lineRule="auto"/>
        <w:ind w:left="57"/>
        <w:jc w:val="left"/>
        <w:shd w:val="clear" w:fill="F2F2F2"/>
      </w:pPr>
      <w:r>
        <w:rPr>
          <w:rFonts w:ascii="Consolas" w:hAnsi="Consolas" w:cs="Consolas"/>
          <w:b w:val="0"/>
          <w:i w:val="0"/>
          <w:sz w:val="15"/>
        </w:rPr>
        <w:t>GTID: SGTX-VN-TRD-004567-7B3A → trader ID 7B3A</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Extraction Logic:</w:t>
      </w:r>
    </w:p>
    <w:p>
      <w:pPr>
        <w:spacing w:after="0" w:before="0" w:line="240" w:lineRule="auto"/>
        <w:ind w:left="57"/>
        <w:jc w:val="left"/>
        <w:shd w:val="clear" w:fill="F2F2F2"/>
      </w:pPr>
      <w:r>
        <w:rPr>
          <w:rFonts w:ascii="Consolas" w:hAnsi="Consolas" w:cs="Consolas"/>
          <w:b w:val="0"/>
          <w:i w:val="0"/>
          <w:sz w:val="15"/>
        </w:rPr>
        <w:t>fn extract_trader_id(gtid: &amp;str) -&gt; String {</w:t>
      </w:r>
    </w:p>
    <w:p>
      <w:pPr>
        <w:spacing w:after="0" w:before="0" w:line="240" w:lineRule="auto"/>
        <w:ind w:left="57"/>
        <w:jc w:val="left"/>
        <w:shd w:val="clear" w:fill="F2F2F2"/>
      </w:pPr>
      <w:r>
        <w:rPr>
          <w:rFonts w:ascii="Consolas" w:hAnsi="Consolas" w:cs="Consolas"/>
          <w:b w:val="0"/>
          <w:i w:val="0"/>
          <w:sz w:val="15"/>
        </w:rPr>
        <w:t xml:space="preserve">    let parts: Vec&lt;&amp;str&gt; = gtid.split('-').collect();</w:t>
      </w:r>
    </w:p>
    <w:p>
      <w:pPr>
        <w:spacing w:after="0" w:before="0" w:line="240" w:lineRule="auto"/>
        <w:ind w:left="57"/>
        <w:jc w:val="left"/>
        <w:shd w:val="clear" w:fill="F2F2F2"/>
      </w:pPr>
      <w:r>
        <w:rPr>
          <w:rFonts w:ascii="Consolas" w:hAnsi="Consolas" w:cs="Consolas"/>
          <w:b w:val="0"/>
          <w:i w:val="0"/>
          <w:sz w:val="15"/>
        </w:rPr>
        <w:t xml:space="preserve">    // Get the last part (checksum) and take the last 3 chars</w:t>
      </w:r>
    </w:p>
    <w:p>
      <w:pPr>
        <w:spacing w:after="0" w:before="0" w:line="240" w:lineRule="auto"/>
        <w:ind w:left="57"/>
        <w:jc w:val="left"/>
        <w:shd w:val="clear" w:fill="F2F2F2"/>
      </w:pPr>
      <w:r>
        <w:rPr>
          <w:rFonts w:ascii="Consolas" w:hAnsi="Consolas" w:cs="Consolas"/>
          <w:b w:val="0"/>
          <w:i w:val="0"/>
          <w:sz w:val="15"/>
        </w:rPr>
        <w:t xml:space="preserve">    let checksum = parts[4];</w:t>
      </w:r>
    </w:p>
    <w:p>
      <w:pPr>
        <w:spacing w:after="0" w:before="0" w:line="240" w:lineRule="auto"/>
        <w:ind w:left="57"/>
        <w:jc w:val="left"/>
        <w:shd w:val="clear" w:fill="F2F2F2"/>
      </w:pPr>
      <w:r>
        <w:rPr>
          <w:rFonts w:ascii="Consolas" w:hAnsi="Consolas" w:cs="Consolas"/>
          <w:b w:val="0"/>
          <w:i w:val="0"/>
          <w:sz w:val="15"/>
        </w:rPr>
        <w:t xml:space="preserve">    let len = checksum.len();</w:t>
      </w:r>
    </w:p>
    <w:p>
      <w:pPr>
        <w:spacing w:after="0" w:before="0" w:line="240" w:lineRule="auto"/>
        <w:ind w:left="57"/>
        <w:jc w:val="left"/>
        <w:shd w:val="clear" w:fill="F2F2F2"/>
      </w:pPr>
      <w:r>
        <w:rPr>
          <w:rFonts w:ascii="Consolas" w:hAnsi="Consolas" w:cs="Consolas"/>
          <w:b w:val="0"/>
          <w:i w:val="0"/>
          <w:sz w:val="15"/>
        </w:rPr>
        <w:t xml:space="preserve">    checksum[len-3..len].to_string()</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5.1.4 Total Length</w:t>
      </w:r>
    </w:p>
    <w:p>
      <w:pPr>
        <w:spacing w:after="0" w:before="0" w:line="240" w:lineRule="auto"/>
        <w:ind w:left="57"/>
        <w:jc w:val="left"/>
        <w:shd w:val="clear" w:fill="F2F2F2"/>
      </w:pPr>
      <w:r>
        <w:rPr>
          <w:rFonts w:ascii="Consolas" w:hAnsi="Consolas" w:cs="Consolas"/>
          <w:b w:val="0"/>
          <w:i w:val="0"/>
          <w:sz w:val="15"/>
        </w:rPr>
        <w:t>4 + 1 + 2 + 1 + 2 + 1 + 3 + 1 + variable = 15-22 characters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5.1.5 Generation Algorithm</w:t>
      </w:r>
    </w:p>
    <w:p>
      <w:pPr>
        <w:keepNext/>
        <w:spacing w:before="140" w:after="60"/>
        <w:outlineLvl w:val="3"/>
      </w:pPr>
      <w:r>
        <w:rPr>
          <w:rFonts w:ascii="Arial" w:hAnsi="Arial" w:cs="Arial"/>
          <w:b/>
          <w:i/>
          <w:color w:val="333333"/>
          <w:sz w:val="22"/>
        </w:rPr>
        <w:t>5.1.5.1 Database Schema (PostgreSQL)</w:t>
      </w:r>
    </w:p>
    <w:p>
      <w:pPr>
        <w:spacing w:after="0" w:before="0" w:line="240" w:lineRule="auto"/>
        <w:ind w:left="57"/>
        <w:jc w:val="left"/>
        <w:shd w:val="clear" w:fill="F2F2F2"/>
      </w:pPr>
      <w:r>
        <w:rPr>
          <w:rFonts w:ascii="Consolas" w:hAnsi="Consolas" w:cs="Consolas"/>
          <w:b w:val="0"/>
          <w:i w:val="0"/>
          <w:sz w:val="15"/>
        </w:rPr>
        <w:t>-- USTN counters (per year, per trader)</w:t>
      </w:r>
    </w:p>
    <w:p>
      <w:pPr>
        <w:spacing w:after="0" w:before="0" w:line="240" w:lineRule="auto"/>
        <w:ind w:left="57"/>
        <w:jc w:val="left"/>
        <w:shd w:val="clear" w:fill="F2F2F2"/>
      </w:pPr>
      <w:r>
        <w:rPr>
          <w:rFonts w:ascii="Consolas" w:hAnsi="Consolas" w:cs="Consolas"/>
          <w:b w:val="0"/>
          <w:i w:val="0"/>
          <w:sz w:val="15"/>
        </w:rPr>
        <w:t>CREATE TABLE ustn_counters (</w:t>
      </w:r>
    </w:p>
    <w:p>
      <w:pPr>
        <w:spacing w:after="0" w:before="0" w:line="240" w:lineRule="auto"/>
        <w:ind w:left="57"/>
        <w:jc w:val="left"/>
        <w:shd w:val="clear" w:fill="F2F2F2"/>
      </w:pPr>
      <w:r>
        <w:rPr>
          <w:rFonts w:ascii="Consolas" w:hAnsi="Consolas" w:cs="Consolas"/>
          <w:b w:val="0"/>
          <w:i w:val="0"/>
          <w:sz w:val="15"/>
        </w:rPr>
        <w:t xml:space="preserve">    country CHAR(2) NOT NULL,</w:t>
      </w:r>
    </w:p>
    <w:p>
      <w:pPr>
        <w:spacing w:after="0" w:before="0" w:line="240" w:lineRule="auto"/>
        <w:ind w:left="57"/>
        <w:jc w:val="left"/>
        <w:shd w:val="clear" w:fill="F2F2F2"/>
      </w:pPr>
      <w:r>
        <w:rPr>
          <w:rFonts w:ascii="Consolas" w:hAnsi="Consolas" w:cs="Consolas"/>
          <w:b w:val="0"/>
          <w:i w:val="0"/>
          <w:sz w:val="15"/>
        </w:rPr>
        <w:t xml:space="preserve">    year CHAR(2) NOT NULL,</w:t>
      </w:r>
    </w:p>
    <w:p>
      <w:pPr>
        <w:spacing w:after="0" w:before="0" w:line="240" w:lineRule="auto"/>
        <w:ind w:left="57"/>
        <w:jc w:val="left"/>
        <w:shd w:val="clear" w:fill="F2F2F2"/>
      </w:pPr>
      <w:r>
        <w:rPr>
          <w:rFonts w:ascii="Consolas" w:hAnsi="Consolas" w:cs="Consolas"/>
          <w:b w:val="0"/>
          <w:i w:val="0"/>
          <w:sz w:val="15"/>
        </w:rPr>
        <w:t xml:space="preserve">    trader CHAR(3) NOT NULL,</w:t>
      </w:r>
    </w:p>
    <w:p>
      <w:pPr>
        <w:spacing w:after="0" w:before="0" w:line="240" w:lineRule="auto"/>
        <w:ind w:left="57"/>
        <w:jc w:val="left"/>
        <w:shd w:val="clear" w:fill="F2F2F2"/>
      </w:pPr>
      <w:r>
        <w:rPr>
          <w:rFonts w:ascii="Consolas" w:hAnsi="Consolas" w:cs="Consolas"/>
          <w:b w:val="0"/>
          <w:i w:val="0"/>
          <w:sz w:val="15"/>
        </w:rPr>
        <w:t xml:space="preserve">    counter BIGINT DEFAULT 0,</w:t>
      </w:r>
    </w:p>
    <w:p>
      <w:pPr>
        <w:spacing w:after="0" w:before="0" w:line="240" w:lineRule="auto"/>
        <w:ind w:left="57"/>
        <w:jc w:val="left"/>
        <w:shd w:val="clear" w:fill="F2F2F2"/>
      </w:pPr>
      <w:r>
        <w:rPr>
          <w:rFonts w:ascii="Consolas" w:hAnsi="Consolas" w:cs="Consolas"/>
          <w:b w:val="0"/>
          <w:i w:val="0"/>
          <w:sz w:val="15"/>
        </w:rPr>
        <w:t xml:space="preserve">    PRIMARY KEY (country, year, trader)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Atomic increment function</w:t>
      </w:r>
    </w:p>
    <w:p>
      <w:pPr>
        <w:spacing w:after="0" w:before="0" w:line="240" w:lineRule="auto"/>
        <w:ind w:left="57"/>
        <w:jc w:val="left"/>
        <w:shd w:val="clear" w:fill="F2F2F2"/>
      </w:pPr>
      <w:r>
        <w:rPr>
          <w:rFonts w:ascii="Consolas" w:hAnsi="Consolas" w:cs="Consolas"/>
          <w:b w:val="0"/>
          <w:i w:val="0"/>
          <w:sz w:val="15"/>
        </w:rPr>
        <w:t>CREATE OR REPLACE FUNCTION next_ustn_seq(</w:t>
      </w:r>
    </w:p>
    <w:p>
      <w:pPr>
        <w:spacing w:after="0" w:before="0" w:line="240" w:lineRule="auto"/>
        <w:ind w:left="57"/>
        <w:jc w:val="left"/>
        <w:shd w:val="clear" w:fill="F2F2F2"/>
      </w:pPr>
      <w:r>
        <w:rPr>
          <w:rFonts w:ascii="Consolas" w:hAnsi="Consolas" w:cs="Consolas"/>
          <w:b w:val="0"/>
          <w:i w:val="0"/>
          <w:sz w:val="15"/>
        </w:rPr>
        <w:t xml:space="preserve">    p_country CHAR(2),</w:t>
      </w:r>
    </w:p>
    <w:p>
      <w:pPr>
        <w:spacing w:after="0" w:before="0" w:line="240" w:lineRule="auto"/>
        <w:ind w:left="57"/>
        <w:jc w:val="left"/>
        <w:shd w:val="clear" w:fill="F2F2F2"/>
      </w:pPr>
      <w:r>
        <w:rPr>
          <w:rFonts w:ascii="Consolas" w:hAnsi="Consolas" w:cs="Consolas"/>
          <w:b w:val="0"/>
          <w:i w:val="0"/>
          <w:sz w:val="15"/>
        </w:rPr>
        <w:t xml:space="preserve">    p_year CHAR(2),</w:t>
      </w:r>
    </w:p>
    <w:p>
      <w:pPr>
        <w:spacing w:after="0" w:before="0" w:line="240" w:lineRule="auto"/>
        <w:ind w:left="57"/>
        <w:jc w:val="left"/>
        <w:shd w:val="clear" w:fill="F2F2F2"/>
      </w:pPr>
      <w:r>
        <w:rPr>
          <w:rFonts w:ascii="Consolas" w:hAnsi="Consolas" w:cs="Consolas"/>
          <w:b w:val="0"/>
          <w:i w:val="0"/>
          <w:sz w:val="15"/>
        </w:rPr>
        <w:t xml:space="preserve">    p_trader CHAR(3)</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RETURNS BIGINT AS $$</w:t>
      </w:r>
    </w:p>
    <w:p>
      <w:pPr>
        <w:spacing w:after="0" w:before="0" w:line="240" w:lineRule="auto"/>
        <w:ind w:left="57"/>
        <w:jc w:val="left"/>
        <w:shd w:val="clear" w:fill="F2F2F2"/>
      </w:pPr>
      <w:r>
        <w:rPr>
          <w:rFonts w:ascii="Consolas" w:hAnsi="Consolas" w:cs="Consolas"/>
          <w:b w:val="0"/>
          <w:i w:val="0"/>
          <w:sz w:val="15"/>
        </w:rPr>
        <w:t>DECLARE</w:t>
      </w:r>
    </w:p>
    <w:p>
      <w:pPr>
        <w:spacing w:after="0" w:before="0" w:line="240" w:lineRule="auto"/>
        <w:ind w:left="57"/>
        <w:jc w:val="left"/>
        <w:shd w:val="clear" w:fill="F2F2F2"/>
      </w:pPr>
      <w:r>
        <w:rPr>
          <w:rFonts w:ascii="Consolas" w:hAnsi="Consolas" w:cs="Consolas"/>
          <w:b w:val="0"/>
          <w:i w:val="0"/>
          <w:sz w:val="15"/>
        </w:rPr>
        <w:t xml:space="preserve">    next_val BIGINT;</w:t>
      </w:r>
    </w:p>
    <w:p>
      <w:pPr>
        <w:spacing w:after="0" w:before="0" w:line="240" w:lineRule="auto"/>
        <w:ind w:left="57"/>
        <w:jc w:val="left"/>
        <w:shd w:val="clear" w:fill="F2F2F2"/>
      </w:pPr>
      <w:r>
        <w:rPr>
          <w:rFonts w:ascii="Consolas" w:hAnsi="Consolas" w:cs="Consolas"/>
          <w:b w:val="0"/>
          <w:i w:val="0"/>
          <w:sz w:val="15"/>
        </w:rPr>
        <w:t>BEGIN</w:t>
      </w:r>
    </w:p>
    <w:p>
      <w:pPr>
        <w:spacing w:after="0" w:before="0" w:line="240" w:lineRule="auto"/>
        <w:ind w:left="57"/>
        <w:jc w:val="left"/>
        <w:shd w:val="clear" w:fill="F2F2F2"/>
      </w:pPr>
      <w:r>
        <w:rPr>
          <w:rFonts w:ascii="Consolas" w:hAnsi="Consolas" w:cs="Consolas"/>
          <w:b w:val="0"/>
          <w:i w:val="0"/>
          <w:sz w:val="15"/>
        </w:rPr>
        <w:t xml:space="preserve">    -- Insert if not exists (race condition safe due to ON CONFLICT)</w:t>
      </w:r>
    </w:p>
    <w:p>
      <w:pPr>
        <w:spacing w:after="0" w:before="0" w:line="240" w:lineRule="auto"/>
        <w:ind w:left="57"/>
        <w:jc w:val="left"/>
        <w:shd w:val="clear" w:fill="F2F2F2"/>
      </w:pPr>
      <w:r>
        <w:rPr>
          <w:rFonts w:ascii="Consolas" w:hAnsi="Consolas" w:cs="Consolas"/>
          <w:b w:val="0"/>
          <w:i w:val="0"/>
          <w:sz w:val="15"/>
        </w:rPr>
        <w:t xml:space="preserve">    INSERT INTO ustn_counters (country, year, trader, counter)</w:t>
      </w:r>
    </w:p>
    <w:p>
      <w:pPr>
        <w:spacing w:after="0" w:before="0" w:line="240" w:lineRule="auto"/>
        <w:ind w:left="57"/>
        <w:jc w:val="left"/>
        <w:shd w:val="clear" w:fill="F2F2F2"/>
      </w:pPr>
      <w:r>
        <w:rPr>
          <w:rFonts w:ascii="Consolas" w:hAnsi="Consolas" w:cs="Consolas"/>
          <w:b w:val="0"/>
          <w:i w:val="0"/>
          <w:sz w:val="15"/>
        </w:rPr>
        <w:t xml:space="preserve">    VALUES (p_country, p_year, p_trader, 0)</w:t>
      </w:r>
    </w:p>
    <w:p>
      <w:pPr>
        <w:spacing w:after="0" w:before="0" w:line="240" w:lineRule="auto"/>
        <w:ind w:left="57"/>
        <w:jc w:val="left"/>
        <w:shd w:val="clear" w:fill="F2F2F2"/>
      </w:pPr>
      <w:r>
        <w:rPr>
          <w:rFonts w:ascii="Consolas" w:hAnsi="Consolas" w:cs="Consolas"/>
          <w:b w:val="0"/>
          <w:i w:val="0"/>
          <w:sz w:val="15"/>
        </w:rPr>
        <w:t xml:space="preserve">    ON CONFLICT (country, year, trader) DO NOTHING;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Atomic increment and return</w:t>
      </w:r>
    </w:p>
    <w:p>
      <w:pPr>
        <w:spacing w:after="0" w:before="0" w:line="240" w:lineRule="auto"/>
        <w:ind w:left="57"/>
        <w:jc w:val="left"/>
        <w:shd w:val="clear" w:fill="F2F2F2"/>
      </w:pPr>
      <w:r>
        <w:rPr>
          <w:rFonts w:ascii="Consolas" w:hAnsi="Consolas" w:cs="Consolas"/>
          <w:b w:val="0"/>
          <w:i w:val="0"/>
          <w:sz w:val="15"/>
        </w:rPr>
        <w:t xml:space="preserve">    UPDATE ustn_counters</w:t>
      </w:r>
    </w:p>
    <w:p>
      <w:pPr>
        <w:spacing w:after="0" w:before="0" w:line="240" w:lineRule="auto"/>
        <w:ind w:left="57"/>
        <w:jc w:val="left"/>
        <w:shd w:val="clear" w:fill="F2F2F2"/>
      </w:pPr>
      <w:r>
        <w:rPr>
          <w:rFonts w:ascii="Consolas" w:hAnsi="Consolas" w:cs="Consolas"/>
          <w:b w:val="0"/>
          <w:i w:val="0"/>
          <w:sz w:val="15"/>
        </w:rPr>
        <w:t xml:space="preserve">    SET counter = counter + 1</w:t>
      </w:r>
    </w:p>
    <w:p>
      <w:pPr>
        <w:spacing w:after="0" w:before="0" w:line="240" w:lineRule="auto"/>
        <w:ind w:left="57"/>
        <w:jc w:val="left"/>
        <w:shd w:val="clear" w:fill="F2F2F2"/>
      </w:pPr>
      <w:r>
        <w:rPr>
          <w:rFonts w:ascii="Consolas" w:hAnsi="Consolas" w:cs="Consolas"/>
          <w:b w:val="0"/>
          <w:i w:val="0"/>
          <w:sz w:val="15"/>
        </w:rPr>
        <w:t xml:space="preserve">    WHERE country = p_country</w:t>
      </w:r>
    </w:p>
    <w:p>
      <w:pPr>
        <w:spacing w:after="0" w:before="0" w:line="240" w:lineRule="auto"/>
        <w:ind w:left="57"/>
        <w:jc w:val="left"/>
        <w:shd w:val="clear" w:fill="F2F2F2"/>
      </w:pPr>
      <w:r>
        <w:rPr>
          <w:rFonts w:ascii="Consolas" w:hAnsi="Consolas" w:cs="Consolas"/>
          <w:b w:val="0"/>
          <w:i w:val="0"/>
          <w:sz w:val="15"/>
        </w:rPr>
        <w:t xml:space="preserve">    AND year = p_year</w:t>
      </w:r>
    </w:p>
    <w:p>
      <w:pPr>
        <w:spacing w:after="0" w:before="0" w:line="240" w:lineRule="auto"/>
        <w:ind w:left="57"/>
        <w:jc w:val="left"/>
        <w:shd w:val="clear" w:fill="F2F2F2"/>
      </w:pPr>
      <w:r>
        <w:rPr>
          <w:rFonts w:ascii="Consolas" w:hAnsi="Consolas" w:cs="Consolas"/>
          <w:b w:val="0"/>
          <w:i w:val="0"/>
          <w:sz w:val="15"/>
        </w:rPr>
        <w:t xml:space="preserve">    AND trader = p_trader</w:t>
      </w:r>
    </w:p>
    <w:p>
      <w:pPr>
        <w:spacing w:after="0" w:before="0" w:line="240" w:lineRule="auto"/>
        <w:ind w:left="57"/>
        <w:jc w:val="left"/>
        <w:shd w:val="clear" w:fill="F2F2F2"/>
      </w:pPr>
      <w:r>
        <w:rPr>
          <w:rFonts w:ascii="Consolas" w:hAnsi="Consolas" w:cs="Consolas"/>
          <w:b w:val="0"/>
          <w:i w:val="0"/>
          <w:sz w:val="15"/>
        </w:rPr>
        <w:t xml:space="preserve">    RETURNING counter INTO next_val;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RETURN next_val;</w:t>
      </w:r>
    </w:p>
    <w:p>
      <w:pPr>
        <w:spacing w:after="0" w:before="0" w:line="240" w:lineRule="auto"/>
        <w:ind w:left="57"/>
        <w:jc w:val="left"/>
        <w:shd w:val="clear" w:fill="F2F2F2"/>
      </w:pPr>
      <w:r>
        <w:rPr>
          <w:rFonts w:ascii="Consolas" w:hAnsi="Consolas" w:cs="Consolas"/>
          <w:b w:val="0"/>
          <w:i w:val="0"/>
          <w:sz w:val="15"/>
        </w:rPr>
        <w:t>END;</w:t>
      </w:r>
    </w:p>
    <w:p>
      <w:pPr>
        <w:spacing w:after="0" w:before="0" w:line="240" w:lineRule="auto"/>
        <w:ind w:left="57"/>
        <w:jc w:val="left"/>
        <w:shd w:val="clear" w:fill="F2F2F2"/>
      </w:pPr>
      <w:r>
        <w:rPr>
          <w:rFonts w:ascii="Consolas" w:hAnsi="Consolas" w:cs="Consolas"/>
          <w:b w:val="0"/>
          <w:i w:val="0"/>
          <w:sz w:val="15"/>
        </w:rPr>
        <w:t>$$ LANGUAGE plpgsql;</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5.1.5.2 Generation Process</w:t>
      </w:r>
    </w:p>
    <w:p>
      <w:pPr>
        <w:spacing w:after="80" w:line="293" w:lineRule="auto"/>
        <w:jc w:val="left"/>
      </w:pPr>
      <w:r>
        <w:rPr>
          <w:rFonts w:ascii="Times New Roman" w:hAnsi="Times New Roman" w:cs="Times New Roman"/>
          <w:b w:val="0"/>
          <w:i w:val="0"/>
          <w:sz w:val="22"/>
        </w:rPr>
        <w:t>1. Parse the seller GTID into country and trader ID components. 2. Take the current year (last two digits). 3. Acquire the next sequence number atomically via `next_ustn_seq(country, year, trader)`. 4. Assemble `SGTX-{country}-{year}-{trader}-{seq}`. 5. Return the USTN and record the Loom hash of the generation event.</w:t>
      </w:r>
    </w:p>
    <w:p>
      <w:pPr>
        <w:keepNext/>
        <w:spacing w:before="140" w:after="60"/>
        <w:outlineLvl w:val="3"/>
      </w:pPr>
      <w:r>
        <w:rPr>
          <w:rFonts w:ascii="Arial" w:hAnsi="Arial" w:cs="Arial"/>
          <w:b/>
          <w:i/>
          <w:color w:val="333333"/>
          <w:sz w:val="22"/>
        </w:rPr>
        <w:t>5.1.5.3 Rust Implementation</w:t>
      </w:r>
    </w:p>
    <w:p>
      <w:pPr>
        <w:spacing w:after="0" w:before="0" w:line="240" w:lineRule="auto"/>
        <w:ind w:left="57"/>
        <w:jc w:val="left"/>
        <w:shd w:val="clear" w:fill="F2F2F2"/>
      </w:pPr>
      <w:r>
        <w:rPr>
          <w:rFonts w:ascii="Consolas" w:hAnsi="Consolas" w:cs="Consolas"/>
          <w:b w:val="0"/>
          <w:i w:val="0"/>
          <w:sz w:val="15"/>
        </w:rPr>
        <w:t>use chrono::Utc;</w:t>
      </w:r>
    </w:p>
    <w:p>
      <w:pPr>
        <w:spacing w:after="0" w:before="0" w:line="240" w:lineRule="auto"/>
        <w:ind w:left="57"/>
        <w:jc w:val="left"/>
        <w:shd w:val="clear" w:fill="F2F2F2"/>
      </w:pPr>
      <w:r>
        <w:rPr>
          <w:rFonts w:ascii="Consolas" w:hAnsi="Consolas" w:cs="Consolas"/>
          <w:b w:val="0"/>
          <w:i w:val="0"/>
          <w:sz w:val="15"/>
        </w:rPr>
        <w:t>use sqlx::PgPool;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Extract trader ID from GTID (last 3 chars of checksum)</w:t>
      </w:r>
    </w:p>
    <w:p>
      <w:pPr>
        <w:spacing w:after="0" w:before="0" w:line="240" w:lineRule="auto"/>
        <w:ind w:left="57"/>
        <w:jc w:val="left"/>
        <w:shd w:val="clear" w:fill="F2F2F2"/>
      </w:pPr>
      <w:r>
        <w:rPr>
          <w:rFonts w:ascii="Consolas" w:hAnsi="Consolas" w:cs="Consolas"/>
          <w:b w:val="0"/>
          <w:i w:val="0"/>
          <w:sz w:val="15"/>
        </w:rPr>
        <w:t>pub fn extract_trader_id(gtid: &amp;str) -&gt; String {</w:t>
      </w:r>
    </w:p>
    <w:p>
      <w:pPr>
        <w:spacing w:after="0" w:before="0" w:line="240" w:lineRule="auto"/>
        <w:ind w:left="57"/>
        <w:jc w:val="left"/>
        <w:shd w:val="clear" w:fill="F2F2F2"/>
      </w:pPr>
      <w:r>
        <w:rPr>
          <w:rFonts w:ascii="Consolas" w:hAnsi="Consolas" w:cs="Consolas"/>
          <w:b w:val="0"/>
          <w:i w:val="0"/>
          <w:sz w:val="15"/>
        </w:rPr>
        <w:t xml:space="preserve">    let parts: Vec&lt;&amp;str&gt; = gtid.split('-').collect();</w:t>
      </w:r>
    </w:p>
    <w:p>
      <w:pPr>
        <w:spacing w:after="0" w:before="0" w:line="240" w:lineRule="auto"/>
        <w:ind w:left="57"/>
        <w:jc w:val="left"/>
        <w:shd w:val="clear" w:fill="F2F2F2"/>
      </w:pPr>
      <w:r>
        <w:rPr>
          <w:rFonts w:ascii="Consolas" w:hAnsi="Consolas" w:cs="Consolas"/>
          <w:b w:val="0"/>
          <w:i w:val="0"/>
          <w:sz w:val="15"/>
        </w:rPr>
        <w:t xml:space="preserve">    if parts.len() != 5 {</w:t>
      </w:r>
    </w:p>
    <w:p>
      <w:pPr>
        <w:spacing w:after="0" w:before="0" w:line="240" w:lineRule="auto"/>
        <w:ind w:left="57"/>
        <w:jc w:val="left"/>
        <w:shd w:val="clear" w:fill="F2F2F2"/>
      </w:pPr>
      <w:r>
        <w:rPr>
          <w:rFonts w:ascii="Consolas" w:hAnsi="Consolas" w:cs="Consolas"/>
          <w:b w:val="0"/>
          <w:i w:val="0"/>
          <w:sz w:val="15"/>
        </w:rPr>
        <w:t xml:space="preserve">        return "XXX".to_string();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checksum = parts[4];</w:t>
      </w:r>
    </w:p>
    <w:p>
      <w:pPr>
        <w:spacing w:after="0" w:before="0" w:line="240" w:lineRule="auto"/>
        <w:ind w:left="57"/>
        <w:jc w:val="left"/>
        <w:shd w:val="clear" w:fill="F2F2F2"/>
      </w:pPr>
      <w:r>
        <w:rPr>
          <w:rFonts w:ascii="Consolas" w:hAnsi="Consolas" w:cs="Consolas"/>
          <w:b w:val="0"/>
          <w:i w:val="0"/>
          <w:sz w:val="15"/>
        </w:rPr>
        <w:t xml:space="preserve">    let len = checksum.len();</w:t>
      </w:r>
    </w:p>
    <w:p>
      <w:pPr>
        <w:spacing w:after="0" w:before="0" w:line="240" w:lineRule="auto"/>
        <w:ind w:left="57"/>
        <w:jc w:val="left"/>
        <w:shd w:val="clear" w:fill="F2F2F2"/>
      </w:pPr>
      <w:r>
        <w:rPr>
          <w:rFonts w:ascii="Consolas" w:hAnsi="Consolas" w:cs="Consolas"/>
          <w:b w:val="0"/>
          <w:i w:val="0"/>
          <w:sz w:val="15"/>
        </w:rPr>
        <w:t xml:space="preserve">    checksum[len-3..len].to_string()</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Generate USTN for a trade</w:t>
      </w:r>
    </w:p>
    <w:p>
      <w:pPr>
        <w:spacing w:after="0" w:before="0" w:line="240" w:lineRule="auto"/>
        <w:ind w:left="57"/>
        <w:jc w:val="left"/>
        <w:shd w:val="clear" w:fill="F2F2F2"/>
      </w:pPr>
      <w:r>
        <w:rPr>
          <w:rFonts w:ascii="Consolas" w:hAnsi="Consolas" w:cs="Consolas"/>
          <w:b w:val="0"/>
          <w:i w:val="0"/>
          <w:sz w:val="15"/>
        </w:rPr>
        <w:t>pub async fn generate_ustn(</w:t>
      </w:r>
    </w:p>
    <w:p>
      <w:pPr>
        <w:spacing w:after="0" w:before="0" w:line="240" w:lineRule="auto"/>
        <w:ind w:left="57"/>
        <w:jc w:val="left"/>
        <w:shd w:val="clear" w:fill="F2F2F2"/>
      </w:pPr>
      <w:r>
        <w:rPr>
          <w:rFonts w:ascii="Consolas" w:hAnsi="Consolas" w:cs="Consolas"/>
          <w:b w:val="0"/>
          <w:i w:val="0"/>
          <w:sz w:val="15"/>
        </w:rPr>
        <w:t xml:space="preserve">    pool: &amp;PgPool,</w:t>
      </w:r>
    </w:p>
    <w:p>
      <w:pPr>
        <w:spacing w:after="0" w:before="0" w:line="240" w:lineRule="auto"/>
        <w:ind w:left="57"/>
        <w:jc w:val="left"/>
        <w:shd w:val="clear" w:fill="F2F2F2"/>
      </w:pPr>
      <w:r>
        <w:rPr>
          <w:rFonts w:ascii="Consolas" w:hAnsi="Consolas" w:cs="Consolas"/>
          <w:b w:val="0"/>
          <w:i w:val="0"/>
          <w:sz w:val="15"/>
        </w:rPr>
        <w:t xml:space="preserve">    seller_gtid: &amp;str,</w:t>
      </w:r>
    </w:p>
    <w:p>
      <w:pPr>
        <w:spacing w:after="0" w:before="0" w:line="240" w:lineRule="auto"/>
        <w:ind w:left="57"/>
        <w:jc w:val="left"/>
        <w:shd w:val="clear" w:fill="F2F2F2"/>
      </w:pPr>
      <w:r>
        <w:rPr>
          <w:rFonts w:ascii="Consolas" w:hAnsi="Consolas" w:cs="Consolas"/>
          <w:b w:val="0"/>
          <w:i w:val="0"/>
          <w:sz w:val="15"/>
        </w:rPr>
        <w:t>) -&gt; Result&lt;String, Box&lt;dyn std::error::Error&gt;&gt; {</w:t>
      </w:r>
    </w:p>
    <w:p>
      <w:pPr>
        <w:spacing w:after="0" w:before="0" w:line="240" w:lineRule="auto"/>
        <w:ind w:left="57"/>
        <w:jc w:val="left"/>
        <w:shd w:val="clear" w:fill="F2F2F2"/>
      </w:pPr>
      <w:r>
        <w:rPr>
          <w:rFonts w:ascii="Consolas" w:hAnsi="Consolas" w:cs="Consolas"/>
          <w:b w:val="0"/>
          <w:i w:val="0"/>
          <w:sz w:val="15"/>
        </w:rPr>
        <w:t xml:space="preserve">    let parts: Vec&lt;&amp;str&gt; = seller_gtid.split('-').collect();</w:t>
      </w:r>
    </w:p>
    <w:p>
      <w:pPr>
        <w:spacing w:after="0" w:before="0" w:line="240" w:lineRule="auto"/>
        <w:ind w:left="57"/>
        <w:jc w:val="left"/>
        <w:shd w:val="clear" w:fill="F2F2F2"/>
      </w:pPr>
      <w:r>
        <w:rPr>
          <w:rFonts w:ascii="Consolas" w:hAnsi="Consolas" w:cs="Consolas"/>
          <w:b w:val="0"/>
          <w:i w:val="0"/>
          <w:sz w:val="15"/>
        </w:rPr>
        <w:t xml:space="preserve">    if parts.len() != 5 {</w:t>
      </w:r>
    </w:p>
    <w:p>
      <w:pPr>
        <w:spacing w:after="0" w:before="0" w:line="240" w:lineRule="auto"/>
        <w:ind w:left="57"/>
        <w:jc w:val="left"/>
        <w:shd w:val="clear" w:fill="F2F2F2"/>
      </w:pPr>
      <w:r>
        <w:rPr>
          <w:rFonts w:ascii="Consolas" w:hAnsi="Consolas" w:cs="Consolas"/>
          <w:b w:val="0"/>
          <w:i w:val="0"/>
          <w:sz w:val="15"/>
        </w:rPr>
        <w:t xml:space="preserve">        return Err("Invalid GTID format".into());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country = parts[1]; // EG</w:t>
      </w:r>
    </w:p>
    <w:p>
      <w:pPr>
        <w:spacing w:after="0" w:before="0" w:line="240" w:lineRule="auto"/>
        <w:ind w:left="57"/>
        <w:jc w:val="left"/>
        <w:shd w:val="clear" w:fill="F2F2F2"/>
      </w:pPr>
      <w:r>
        <w:rPr>
          <w:rFonts w:ascii="Consolas" w:hAnsi="Consolas" w:cs="Consolas"/>
          <w:b w:val="0"/>
          <w:i w:val="0"/>
          <w:sz w:val="15"/>
        </w:rPr>
        <w:t xml:space="preserve">    let trader = extract_trader_id(seller_gtid); // F3A</w:t>
      </w:r>
    </w:p>
    <w:p>
      <w:pPr>
        <w:spacing w:after="0" w:before="0" w:line="240" w:lineRule="auto"/>
        <w:ind w:left="57"/>
        <w:jc w:val="left"/>
        <w:shd w:val="clear" w:fill="F2F2F2"/>
      </w:pPr>
      <w:r>
        <w:rPr>
          <w:rFonts w:ascii="Consolas" w:hAnsi="Consolas" w:cs="Consolas"/>
          <w:b w:val="0"/>
          <w:i w:val="0"/>
          <w:sz w:val="15"/>
        </w:rPr>
        <w:t xml:space="preserve">    let year = Utc::now().format("%y").to_string(); // 26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Atomic sequence acquisition</w:t>
      </w:r>
    </w:p>
    <w:p>
      <w:pPr>
        <w:spacing w:after="0" w:before="0" w:line="240" w:lineRule="auto"/>
        <w:ind w:left="57"/>
        <w:jc w:val="left"/>
        <w:shd w:val="clear" w:fill="F2F2F2"/>
      </w:pPr>
      <w:r>
        <w:rPr>
          <w:rFonts w:ascii="Consolas" w:hAnsi="Consolas" w:cs="Consolas"/>
          <w:b w:val="0"/>
          <w:i w:val="0"/>
          <w:sz w:val="15"/>
        </w:rPr>
        <w:t xml:space="preserve">    let seq: i64 = sqlx::query_scalar(</w:t>
      </w:r>
    </w:p>
    <w:p>
      <w:pPr>
        <w:spacing w:after="0" w:before="0" w:line="240" w:lineRule="auto"/>
        <w:ind w:left="57"/>
        <w:jc w:val="left"/>
        <w:shd w:val="clear" w:fill="F2F2F2"/>
      </w:pPr>
      <w:r>
        <w:rPr>
          <w:rFonts w:ascii="Consolas" w:hAnsi="Consolas" w:cs="Consolas"/>
          <w:b w:val="0"/>
          <w:i w:val="0"/>
          <w:sz w:val="15"/>
        </w:rPr>
        <w:t xml:space="preserve">        "SELECT next_ustn_seq($1, $2, $3)"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.bind(country)</w:t>
      </w:r>
    </w:p>
    <w:p>
      <w:pPr>
        <w:spacing w:after="0" w:before="0" w:line="240" w:lineRule="auto"/>
        <w:ind w:left="57"/>
        <w:jc w:val="left"/>
        <w:shd w:val="clear" w:fill="F2F2F2"/>
      </w:pPr>
      <w:r>
        <w:rPr>
          <w:rFonts w:ascii="Consolas" w:hAnsi="Consolas" w:cs="Consolas"/>
          <w:b w:val="0"/>
          <w:i w:val="0"/>
          <w:sz w:val="15"/>
        </w:rPr>
        <w:t xml:space="preserve">    .bind(&amp;year)</w:t>
      </w:r>
    </w:p>
    <w:p>
      <w:pPr>
        <w:spacing w:after="0" w:before="0" w:line="240" w:lineRule="auto"/>
        <w:ind w:left="57"/>
        <w:jc w:val="left"/>
        <w:shd w:val="clear" w:fill="F2F2F2"/>
      </w:pPr>
      <w:r>
        <w:rPr>
          <w:rFonts w:ascii="Consolas" w:hAnsi="Consolas" w:cs="Consolas"/>
          <w:b w:val="0"/>
          <w:i w:val="0"/>
          <w:sz w:val="15"/>
        </w:rPr>
        <w:t xml:space="preserve">    .bind(&amp;trader)</w:t>
      </w:r>
    </w:p>
    <w:p>
      <w:pPr>
        <w:spacing w:after="0" w:before="0" w:line="240" w:lineRule="auto"/>
        <w:ind w:left="57"/>
        <w:jc w:val="left"/>
        <w:shd w:val="clear" w:fill="F2F2F2"/>
      </w:pPr>
      <w:r>
        <w:rPr>
          <w:rFonts w:ascii="Consolas" w:hAnsi="Consolas" w:cs="Consolas"/>
          <w:b w:val="0"/>
          <w:i w:val="0"/>
          <w:sz w:val="15"/>
        </w:rPr>
        <w:t xml:space="preserve">    .fetch_one(pool)</w:t>
      </w:r>
    </w:p>
    <w:p>
      <w:pPr>
        <w:spacing w:after="0" w:before="0" w:line="240" w:lineRule="auto"/>
        <w:ind w:left="57"/>
        <w:jc w:val="left"/>
        <w:shd w:val="clear" w:fill="F2F2F2"/>
      </w:pPr>
      <w:r>
        <w:rPr>
          <w:rFonts w:ascii="Consolas" w:hAnsi="Consolas" w:cs="Consolas"/>
          <w:b w:val="0"/>
          <w:i w:val="0"/>
          <w:sz w:val="15"/>
        </w:rPr>
        <w:t xml:space="preserve">    .await?;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Ok(format!("SGTX-{}-{}-{}-{}", country, year, trader, seq))</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5.1.6 Generation API Endpoint (Internal)</w:t>
      </w:r>
    </w:p>
    <w:p>
      <w:pPr>
        <w:spacing w:after="80" w:line="293" w:lineRule="auto"/>
        <w:jc w:val="left"/>
      </w:pPr>
      <w:r>
        <w:rPr>
          <w:rFonts w:ascii="Times New Roman" w:hAnsi="Times New Roman" w:cs="Times New Roman"/>
          <w:b w:val="0"/>
          <w:i w:val="0"/>
          <w:sz w:val="22"/>
        </w:rPr>
        <w:t>Endpoint: `POST /v1/identity/ustn/generate` (Internal — only called during contract lock)</w:t>
      </w:r>
    </w:p>
    <w:p>
      <w:pPr>
        <w:spacing w:after="80" w:line="293" w:lineRule="auto"/>
        <w:jc w:val="left"/>
      </w:pPr>
      <w:r>
        <w:rPr>
          <w:rFonts w:ascii="Times New Roman" w:hAnsi="Times New Roman" w:cs="Times New Roman"/>
          <w:b w:val="0"/>
          <w:i w:val="0"/>
          <w:sz w:val="22"/>
        </w:rPr>
        <w:t>Request: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"seller_gtid": "SGTX-EG-TRD-002139-7F3A",</w:t>
      </w:r>
    </w:p>
    <w:p>
      <w:pPr>
        <w:spacing w:after="0" w:before="0" w:line="240" w:lineRule="auto"/>
        <w:ind w:left="57"/>
        <w:jc w:val="left"/>
        <w:shd w:val="clear" w:fill="F2F2F2"/>
      </w:pPr>
      <w:r>
        <w:rPr>
          <w:rFonts w:ascii="Consolas" w:hAnsi="Consolas" w:cs="Consolas"/>
          <w:b w:val="0"/>
          <w:i w:val="0"/>
          <w:sz w:val="15"/>
        </w:rPr>
        <w:t xml:space="preserve">    "buyer_gtid": "SGTX-DE-TRD-001234-5B6C",</w:t>
      </w:r>
    </w:p>
    <w:p>
      <w:pPr>
        <w:spacing w:after="0" w:before="0" w:line="240" w:lineRule="auto"/>
        <w:ind w:left="57"/>
        <w:jc w:val="left"/>
        <w:shd w:val="clear" w:fill="F2F2F2"/>
      </w:pPr>
      <w:r>
        <w:rPr>
          <w:rFonts w:ascii="Consolas" w:hAnsi="Consolas" w:cs="Consolas"/>
          <w:b w:val="0"/>
          <w:i w:val="0"/>
          <w:sz w:val="15"/>
        </w:rPr>
        <w:t xml:space="preserve">    "contract_id": "MC-20260415-001",</w:t>
      </w:r>
    </w:p>
    <w:p>
      <w:pPr>
        <w:spacing w:after="0" w:before="0" w:line="240" w:lineRule="auto"/>
        <w:ind w:left="57"/>
        <w:jc w:val="left"/>
        <w:shd w:val="clear" w:fill="F2F2F2"/>
      </w:pPr>
      <w:r>
        <w:rPr>
          <w:rFonts w:ascii="Consolas" w:hAnsi="Consolas" w:cs="Consolas"/>
          <w:b w:val="0"/>
          <w:i w:val="0"/>
          <w:sz w:val="15"/>
        </w:rPr>
        <w:t xml:space="preserve">    "shipment_number": 1</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"country": "EG",</w:t>
      </w:r>
    </w:p>
    <w:p>
      <w:pPr>
        <w:spacing w:after="0" w:before="0" w:line="240" w:lineRule="auto"/>
        <w:ind w:left="57"/>
        <w:jc w:val="left"/>
        <w:shd w:val="clear" w:fill="F2F2F2"/>
      </w:pPr>
      <w:r>
        <w:rPr>
          <w:rFonts w:ascii="Consolas" w:hAnsi="Consolas" w:cs="Consolas"/>
          <w:b w:val="0"/>
          <w:i w:val="0"/>
          <w:sz w:val="15"/>
        </w:rPr>
        <w:t xml:space="preserve">    "year": "26",</w:t>
      </w:r>
    </w:p>
    <w:p>
      <w:pPr>
        <w:spacing w:after="0" w:before="0" w:line="240" w:lineRule="auto"/>
        <w:ind w:left="57"/>
        <w:jc w:val="left"/>
        <w:shd w:val="clear" w:fill="F2F2F2"/>
      </w:pPr>
      <w:r>
        <w:rPr>
          <w:rFonts w:ascii="Consolas" w:hAnsi="Consolas" w:cs="Consolas"/>
          <w:b w:val="0"/>
          <w:i w:val="0"/>
          <w:sz w:val="15"/>
        </w:rPr>
        <w:t xml:space="preserve">    "trader_id": "F3A",</w:t>
      </w:r>
    </w:p>
    <w:p>
      <w:pPr>
        <w:spacing w:after="0" w:before="0" w:line="240" w:lineRule="auto"/>
        <w:ind w:left="57"/>
        <w:jc w:val="left"/>
        <w:shd w:val="clear" w:fill="F2F2F2"/>
      </w:pPr>
      <w:r>
        <w:rPr>
          <w:rFonts w:ascii="Consolas" w:hAnsi="Consolas" w:cs="Consolas"/>
          <w:b w:val="0"/>
          <w:i w:val="0"/>
          <w:sz w:val="15"/>
        </w:rPr>
        <w:t xml:space="preserve">    "sequence": 1,</w:t>
      </w:r>
    </w:p>
    <w:p>
      <w:pPr>
        <w:spacing w:after="0" w:before="0" w:line="240" w:lineRule="auto"/>
        <w:ind w:left="57"/>
        <w:jc w:val="left"/>
        <w:shd w:val="clear" w:fill="F2F2F2"/>
      </w:pPr>
      <w:r>
        <w:rPr>
          <w:rFonts w:ascii="Consolas" w:hAnsi="Consolas" w:cs="Consolas"/>
          <w:b w:val="0"/>
          <w:i w:val="0"/>
          <w:sz w:val="15"/>
        </w:rPr>
        <w:t xml:space="preserve">    "generated_at": "2026-04-15T12:00:00Z",</w:t>
      </w:r>
    </w:p>
    <w:p>
      <w:pPr>
        <w:spacing w:after="0" w:before="0" w:line="240" w:lineRule="auto"/>
        <w:ind w:left="57"/>
        <w:jc w:val="left"/>
        <w:shd w:val="clear" w:fill="F2F2F2"/>
      </w:pPr>
      <w:r>
        <w:rPr>
          <w:rFonts w:ascii="Consolas" w:hAnsi="Consolas" w:cs="Consolas"/>
          <w:b w:val="0"/>
          <w:i w:val="0"/>
          <w:sz w:val="15"/>
        </w:rPr>
        <w:t xml:space="preserve">    "loom_hash": "sha256:a1b2c3..."</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5.1.7 Validation Rules</w:t>
      </w:r>
    </w:p>
    <w:p>
      <w:pPr>
        <w:spacing w:after="80" w:line="293" w:lineRule="auto"/>
        <w:jc w:val="left"/>
      </w:pPr>
      <w:r>
        <w:rPr>
          <w:rFonts w:ascii="Times New Roman" w:hAnsi="Times New Roman" w:cs="Times New Roman"/>
          <w:b w:val="0"/>
          <w:i w:val="0"/>
          <w:sz w:val="22"/>
        </w:rPr>
        <w:t>Validation Implementation:</w:t>
      </w:r>
    </w:p>
    <w:p>
      <w:pPr>
        <w:spacing w:after="0" w:before="0" w:line="240" w:lineRule="auto"/>
        <w:ind w:left="57"/>
        <w:jc w:val="left"/>
        <w:shd w:val="clear" w:fill="F2F2F2"/>
      </w:pPr>
      <w:r>
        <w:rPr>
          <w:rFonts w:ascii="Consolas" w:hAnsi="Consolas" w:cs="Consolas"/>
          <w:b w:val="0"/>
          <w:i w:val="0"/>
          <w:sz w:val="15"/>
        </w:rPr>
        <w:t>fn validate_ustn(ustn: &amp;str) -&gt; Result&lt;bool, String&gt; {</w:t>
      </w:r>
    </w:p>
    <w:p>
      <w:pPr>
        <w:spacing w:after="0" w:before="0" w:line="240" w:lineRule="auto"/>
        <w:ind w:left="57"/>
        <w:jc w:val="left"/>
        <w:shd w:val="clear" w:fill="F2F2F2"/>
      </w:pPr>
      <w:r>
        <w:rPr>
          <w:rFonts w:ascii="Consolas" w:hAnsi="Consolas" w:cs="Consolas"/>
          <w:b w:val="0"/>
          <w:i w:val="0"/>
          <w:sz w:val="15"/>
        </w:rPr>
        <w:t xml:space="preserve">    let re = regex::Regex::new(</w:t>
      </w:r>
    </w:p>
    <w:p>
      <w:pPr>
        <w:spacing w:after="0" w:before="0" w:line="240" w:lineRule="auto"/>
        <w:ind w:left="57"/>
        <w:jc w:val="left"/>
        <w:shd w:val="clear" w:fill="F2F2F2"/>
      </w:pPr>
      <w:r>
        <w:rPr>
          <w:rFonts w:ascii="Consolas" w:hAnsi="Consolas" w:cs="Consolas"/>
          <w:b w:val="0"/>
          <w:i w:val="0"/>
          <w:sz w:val="15"/>
        </w:rPr>
        <w:t xml:space="preserve">        r"^SGTX-[A-Z]{2}-\d{2}-[A-Z0-9]{3,4}-\d+$"</w:t>
      </w:r>
    </w:p>
    <w:p>
      <w:pPr>
        <w:spacing w:after="0" w:before="0" w:line="240" w:lineRule="auto"/>
        <w:ind w:left="57"/>
        <w:jc w:val="left"/>
        <w:shd w:val="clear" w:fill="F2F2F2"/>
      </w:pPr>
      <w:r>
        <w:rPr>
          <w:rFonts w:ascii="Consolas" w:hAnsi="Consolas" w:cs="Consolas"/>
          <w:b w:val="0"/>
          <w:i w:val="0"/>
          <w:sz w:val="15"/>
        </w:rPr>
        <w:t xml:space="preserve">    ).unwrap();</w:t>
      </w:r>
    </w:p>
    <w:p>
      <w:pPr>
        <w:spacing w:after="0" w:before="0" w:line="240" w:lineRule="auto"/>
        <w:ind w:left="57"/>
        <w:jc w:val="left"/>
        <w:shd w:val="clear" w:fill="F2F2F2"/>
      </w:pPr>
      <w:r>
        <w:rPr>
          <w:rFonts w:ascii="Consolas" w:hAnsi="Consolas" w:cs="Consolas"/>
          <w:b w:val="0"/>
          <w:i w:val="0"/>
          <w:sz w:val="15"/>
        </w:rPr>
        <w:t xml:space="preserve">    if !re.is_match(ustn) {</w:t>
      </w:r>
    </w:p>
    <w:p>
      <w:pPr>
        <w:spacing w:after="0" w:before="0" w:line="240" w:lineRule="auto"/>
        <w:ind w:left="57"/>
        <w:jc w:val="left"/>
        <w:shd w:val="clear" w:fill="F2F2F2"/>
      </w:pPr>
      <w:r>
        <w:rPr>
          <w:rFonts w:ascii="Consolas" w:hAnsi="Consolas" w:cs="Consolas"/>
          <w:b w:val="0"/>
          <w:i w:val="0"/>
          <w:sz w:val="15"/>
        </w:rPr>
        <w:t xml:space="preserve">        return Err("Invalid USTN format. Expected SGTX-{COUNTRY}-{YEAR}-{TRADER}-{SEQ}".into());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parts: Vec&lt;&amp;str&gt; = ustn.split('-').collect();</w:t>
      </w:r>
    </w:p>
    <w:p>
      <w:pPr>
        <w:spacing w:after="0" w:before="0" w:line="240" w:lineRule="auto"/>
        <w:ind w:left="57"/>
        <w:jc w:val="left"/>
        <w:shd w:val="clear" w:fill="F2F2F2"/>
      </w:pPr>
      <w:r>
        <w:rPr>
          <w:rFonts w:ascii="Consolas" w:hAnsi="Consolas" w:cs="Consolas"/>
          <w:b w:val="0"/>
          <w:i w:val="0"/>
          <w:sz w:val="15"/>
        </w:rPr>
        <w:t xml:space="preserve">    let country = parts[1];</w:t>
      </w:r>
    </w:p>
    <w:p>
      <w:pPr>
        <w:spacing w:after="0" w:before="0" w:line="240" w:lineRule="auto"/>
        <w:ind w:left="57"/>
        <w:jc w:val="left"/>
        <w:shd w:val="clear" w:fill="F2F2F2"/>
      </w:pPr>
      <w:r>
        <w:rPr>
          <w:rFonts w:ascii="Consolas" w:hAnsi="Consolas" w:cs="Consolas"/>
          <w:b w:val="0"/>
          <w:i w:val="0"/>
          <w:sz w:val="15"/>
        </w:rPr>
        <w:t xml:space="preserve">    let year = parts[2];</w:t>
      </w:r>
    </w:p>
    <w:p>
      <w:pPr>
        <w:spacing w:after="0" w:before="0" w:line="240" w:lineRule="auto"/>
        <w:ind w:left="57"/>
        <w:jc w:val="left"/>
        <w:shd w:val="clear" w:fill="F2F2F2"/>
      </w:pPr>
      <w:r>
        <w:rPr>
          <w:rFonts w:ascii="Consolas" w:hAnsi="Consolas" w:cs="Consolas"/>
          <w:b w:val="0"/>
          <w:i w:val="0"/>
          <w:sz w:val="15"/>
        </w:rPr>
        <w:t xml:space="preserve">    let trader = parts[3];</w:t>
      </w:r>
    </w:p>
    <w:p>
      <w:pPr>
        <w:spacing w:after="0" w:before="0" w:line="240" w:lineRule="auto"/>
        <w:ind w:left="57"/>
        <w:jc w:val="left"/>
        <w:shd w:val="clear" w:fill="F2F2F2"/>
      </w:pPr>
      <w:r>
        <w:rPr>
          <w:rFonts w:ascii="Consolas" w:hAnsi="Consolas" w:cs="Consolas"/>
          <w:b w:val="0"/>
          <w:i w:val="0"/>
          <w:sz w:val="15"/>
        </w:rPr>
        <w:t xml:space="preserve">    let seq = parts[4];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Validate country exists</w:t>
      </w:r>
    </w:p>
    <w:p>
      <w:pPr>
        <w:spacing w:after="0" w:before="0" w:line="240" w:lineRule="auto"/>
        <w:ind w:left="57"/>
        <w:jc w:val="left"/>
        <w:shd w:val="clear" w:fill="F2F2F2"/>
      </w:pPr>
      <w:r>
        <w:rPr>
          <w:rFonts w:ascii="Consolas" w:hAnsi="Consolas" w:cs="Consolas"/>
          <w:b w:val="0"/>
          <w:i w:val="0"/>
          <w:sz w:val="15"/>
        </w:rPr>
        <w:t xml:space="preserve">    if !country_exists(country) {</w:t>
      </w:r>
    </w:p>
    <w:p>
      <w:pPr>
        <w:spacing w:after="0" w:before="0" w:line="240" w:lineRule="auto"/>
        <w:ind w:left="57"/>
        <w:jc w:val="left"/>
        <w:shd w:val="clear" w:fill="F2F2F2"/>
      </w:pPr>
      <w:r>
        <w:rPr>
          <w:rFonts w:ascii="Consolas" w:hAnsi="Consolas" w:cs="Consolas"/>
          <w:b w:val="0"/>
          <w:i w:val="0"/>
          <w:sz w:val="15"/>
        </w:rPr>
        <w:t xml:space="preserve">        return Err(format!("Country '{}' not found in jurisdictions table", country));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Validate year (current or previous)</w:t>
      </w:r>
    </w:p>
    <w:p>
      <w:pPr>
        <w:spacing w:after="0" w:before="0" w:line="240" w:lineRule="auto"/>
        <w:ind w:left="57"/>
        <w:jc w:val="left"/>
        <w:shd w:val="clear" w:fill="F2F2F2"/>
      </w:pPr>
      <w:r>
        <w:rPr>
          <w:rFonts w:ascii="Consolas" w:hAnsi="Consolas" w:cs="Consolas"/>
          <w:b w:val="0"/>
          <w:i w:val="0"/>
          <w:sz w:val="15"/>
        </w:rPr>
        <w:t xml:space="preserve">    let current_year = Utc::now().format("%y").to_string();</w:t>
      </w:r>
    </w:p>
    <w:p>
      <w:pPr>
        <w:spacing w:after="0" w:before="0" w:line="240" w:lineRule="auto"/>
        <w:ind w:left="57"/>
        <w:jc w:val="left"/>
        <w:shd w:val="clear" w:fill="F2F2F2"/>
      </w:pPr>
      <w:r>
        <w:rPr>
          <w:rFonts w:ascii="Consolas" w:hAnsi="Consolas" w:cs="Consolas"/>
          <w:b w:val="0"/>
          <w:i w:val="0"/>
          <w:sz w:val="15"/>
        </w:rPr>
        <w:t xml:space="preserve">    if year != current_year &amp;&amp; year != (current_year.parse::&lt;i32&gt;().unwrap() - 1).to_string() {</w:t>
      </w:r>
    </w:p>
    <w:p>
      <w:pPr>
        <w:spacing w:after="0" w:before="0" w:line="240" w:lineRule="auto"/>
        <w:ind w:left="57"/>
        <w:jc w:val="left"/>
        <w:shd w:val="clear" w:fill="F2F2F2"/>
      </w:pPr>
      <w:r>
        <w:rPr>
          <w:rFonts w:ascii="Consolas" w:hAnsi="Consolas" w:cs="Consolas"/>
          <w:b w:val="0"/>
          <w:i w:val="0"/>
          <w:sz w:val="15"/>
        </w:rPr>
        <w:t xml:space="preserve">        return Err(format!("Year '{}' is not current or previous year", year));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Validate sequence is positive integer</w:t>
      </w:r>
    </w:p>
    <w:p>
      <w:pPr>
        <w:spacing w:after="0" w:before="0" w:line="240" w:lineRule="auto"/>
        <w:ind w:left="57"/>
        <w:jc w:val="left"/>
        <w:shd w:val="clear" w:fill="F2F2F2"/>
      </w:pPr>
      <w:r>
        <w:rPr>
          <w:rFonts w:ascii="Consolas" w:hAnsi="Consolas" w:cs="Consolas"/>
          <w:b w:val="0"/>
          <w:i w:val="0"/>
          <w:sz w:val="15"/>
        </w:rPr>
        <w:t xml:space="preserve">    let seq_num: i64 = seq.parse().map_err(|_| "Sequence must be a number".to_string())?;</w:t>
      </w:r>
    </w:p>
    <w:p>
      <w:pPr>
        <w:spacing w:after="0" w:before="0" w:line="240" w:lineRule="auto"/>
        <w:ind w:left="57"/>
        <w:jc w:val="left"/>
        <w:shd w:val="clear" w:fill="F2F2F2"/>
      </w:pPr>
      <w:r>
        <w:rPr>
          <w:rFonts w:ascii="Consolas" w:hAnsi="Consolas" w:cs="Consolas"/>
          <w:b w:val="0"/>
          <w:i w:val="0"/>
          <w:sz w:val="15"/>
        </w:rPr>
        <w:t xml:space="preserve">    if seq_num &lt; 1 {</w:t>
      </w:r>
    </w:p>
    <w:p>
      <w:pPr>
        <w:spacing w:after="0" w:before="0" w:line="240" w:lineRule="auto"/>
        <w:ind w:left="57"/>
        <w:jc w:val="left"/>
        <w:shd w:val="clear" w:fill="F2F2F2"/>
      </w:pPr>
      <w:r>
        <w:rPr>
          <w:rFonts w:ascii="Consolas" w:hAnsi="Consolas" w:cs="Consolas"/>
          <w:b w:val="0"/>
          <w:i w:val="0"/>
          <w:sz w:val="15"/>
        </w:rPr>
        <w:t xml:space="preserve">        return Err("Sequence must be greater than 0".into());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Ok(true)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Summary of validation checks (all must pass):</w:t>
      </w:r>
    </w:p>
    <w:p>
      <w:pPr>
        <w:spacing w:after="80" w:line="293" w:lineRule="auto"/>
        <w:ind w:left="283"/>
        <w:jc w:val="left"/>
      </w:pPr>
      <w:r>
        <w:rPr>
          <w:rFonts w:ascii="Times New Roman" w:hAnsi="Times New Roman" w:cs="Times New Roman"/>
          <w:b w:val="0"/>
          <w:i w:val="0"/>
          <w:sz w:val="22"/>
        </w:rPr>
        <w:t>- Format matches the regex `^SGTX-[A-Z]{2}-\d{2}-[A-Z0-9]{3,4}-\d+$`.</w:t>
      </w:r>
    </w:p>
    <w:p>
      <w:pPr>
        <w:spacing w:after="80" w:line="293" w:lineRule="auto"/>
        <w:ind w:left="283"/>
        <w:jc w:val="left"/>
      </w:pPr>
      <w:r>
        <w:rPr>
          <w:rFonts w:ascii="Times New Roman" w:hAnsi="Times New Roman" w:cs="Times New Roman"/>
          <w:b w:val="0"/>
          <w:i w:val="0"/>
          <w:sz w:val="22"/>
        </w:rPr>
        <w:t>- The country exists in the jurisdictions table.</w:t>
      </w:r>
    </w:p>
    <w:p>
      <w:pPr>
        <w:spacing w:after="80" w:line="293" w:lineRule="auto"/>
        <w:ind w:left="283"/>
        <w:jc w:val="left"/>
      </w:pPr>
      <w:r>
        <w:rPr>
          <w:rFonts w:ascii="Times New Roman" w:hAnsi="Times New Roman" w:cs="Times New Roman"/>
          <w:b w:val="0"/>
          <w:i w:val="0"/>
          <w:sz w:val="22"/>
        </w:rPr>
        <w:t>- The year is the current or previous year.</w:t>
      </w:r>
    </w:p>
    <w:p>
      <w:pPr>
        <w:spacing w:after="80" w:line="293" w:lineRule="auto"/>
        <w:ind w:left="283"/>
        <w:jc w:val="left"/>
      </w:pPr>
      <w:r>
        <w:rPr>
          <w:rFonts w:ascii="Times New Roman" w:hAnsi="Times New Roman" w:cs="Times New Roman"/>
          <w:b w:val="0"/>
          <w:i w:val="0"/>
          <w:sz w:val="22"/>
        </w:rPr>
        <w:t>- The sequence is a positive integer (greater than 0).</w:t>
      </w:r>
    </w:p>
    <w:p>
      <w:pPr>
        <w:keepNext/>
        <w:spacing w:before="180" w:after="80"/>
        <w:outlineLvl w:val="2"/>
      </w:pPr>
      <w:r>
        <w:rPr>
          <w:rFonts w:ascii="Arial" w:hAnsi="Arial" w:cs="Arial"/>
          <w:b/>
          <w:i w:val="0"/>
          <w:color w:val="333333"/>
          <w:sz w:val="23"/>
        </w:rPr>
        <w:t>5.1.8 Counter Model — Per Year, Per Trader</w:t>
      </w:r>
    </w:p>
    <w:p>
      <w:pPr>
        <w:spacing w:after="80" w:line="293" w:lineRule="auto"/>
        <w:jc w:val="left"/>
      </w:pPr>
      <w:r>
        <w:rPr>
          <w:rFonts w:ascii="Times New Roman" w:hAnsi="Times New Roman" w:cs="Times New Roman"/>
          <w:b w:val="0"/>
          <w:i w:val="0"/>
          <w:sz w:val="22"/>
        </w:rPr>
        <w:t>The sequence counter is per year and per trader. This ensures:</w:t>
      </w:r>
    </w:p>
    <w:p>
      <w:pPr>
        <w:spacing w:after="80" w:line="293" w:lineRule="auto"/>
        <w:ind w:left="283"/>
        <w:jc w:val="left"/>
      </w:pPr>
      <w:r>
        <w:rPr>
          <w:rFonts w:ascii="Times New Roman" w:hAnsi="Times New Roman" w:cs="Times New Roman"/>
          <w:b w:val="0"/>
          <w:i w:val="0"/>
          <w:sz w:val="22"/>
        </w:rPr>
        <w:t>- No two traders have overlapping sequences — Trader F3A has 1, 2, 3... Trader 7B3A also has 1, 2, 3... but they are in different USTNs.</w:t>
      </w:r>
    </w:p>
    <w:p>
      <w:pPr>
        <w:spacing w:after="80" w:line="293" w:lineRule="auto"/>
        <w:ind w:left="283"/>
        <w:jc w:val="left"/>
      </w:pPr>
      <w:r>
        <w:rPr>
          <w:rFonts w:ascii="Times New Roman" w:hAnsi="Times New Roman" w:cs="Times New Roman"/>
          <w:b w:val="0"/>
          <w:i w:val="0"/>
          <w:sz w:val="22"/>
        </w:rPr>
        <w:t>- Yearly reset — each year, counters reset. SGTX-EG-26-F3A-1 and SGTX-EG-27-F3A-1 are distinct.</w:t>
      </w:r>
    </w:p>
    <w:p>
      <w:pPr>
        <w:spacing w:after="80" w:line="293" w:lineRule="auto"/>
        <w:ind w:left="283"/>
        <w:jc w:val="left"/>
      </w:pPr>
      <w:r>
        <w:rPr>
          <w:rFonts w:ascii="Times New Roman" w:hAnsi="Times New Roman" w:cs="Times New Roman"/>
          <w:b w:val="0"/>
          <w:i w:val="0"/>
          <w:sz w:val="22"/>
        </w:rPr>
        <w:t>- Global uniqueness — the combination of country + year + trader + sequence is always unique.</w:t>
      </w:r>
    </w:p>
    <w:p>
      <w:pPr>
        <w:spacing w:after="80" w:line="293" w:lineRule="auto"/>
        <w:ind w:left="283"/>
        <w:jc w:val="left"/>
      </w:pPr>
      <w:r>
        <w:rPr>
          <w:rFonts w:ascii="Times New Roman" w:hAnsi="Times New Roman" w:cs="Times New Roman"/>
          <w:b w:val="0"/>
          <w:i w:val="0"/>
          <w:sz w:val="22"/>
        </w:rPr>
        <w:t>- Infinite scalability — BIGINT counters support trillions of trades per trader per year.</w:t>
      </w:r>
    </w:p>
    <w:p>
      <w:pPr>
        <w:spacing w:after="80" w:line="293" w:lineRule="auto"/>
        <w:jc w:val="left"/>
      </w:pPr>
      <w:r>
        <w:rPr>
          <w:rFonts w:ascii="Times New Roman" w:hAnsi="Times New Roman" w:cs="Times New Roman"/>
          <w:b w:val="0"/>
          <w:i w:val="0"/>
          <w:sz w:val="22"/>
        </w:rPr>
        <w:t>Counter Table Example: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country</w:t>
            </w:r>
          </w:p>
        </w:tc>
        <w:tc>
          <w:tcPr>
            <w:tcW w:type="dxa" w:w="2409"/>
            <w:shd w:val="clear" w:fill="D9E2F3"/>
          </w:tcPr>
          <w:p>
            <w:pPr>
              <w:spacing w:after="20" w:before="20" w:line="240" w:lineRule="auto"/>
            </w:pPr>
            <w:r/>
            <w:r>
              <w:rPr>
                <w:rFonts w:ascii="Arial" w:hAnsi="Arial" w:cs="Arial"/>
                <w:b/>
                <w:i w:val="0"/>
                <w:sz w:val="18"/>
              </w:rPr>
              <w:t>year</w:t>
            </w:r>
          </w:p>
        </w:tc>
        <w:tc>
          <w:tcPr>
            <w:tcW w:type="dxa" w:w="2409"/>
            <w:shd w:val="clear" w:fill="D9E2F3"/>
          </w:tcPr>
          <w:p>
            <w:pPr>
              <w:spacing w:after="20" w:before="20" w:line="240" w:lineRule="auto"/>
            </w:pPr>
            <w:r/>
            <w:r>
              <w:rPr>
                <w:rFonts w:ascii="Arial" w:hAnsi="Arial" w:cs="Arial"/>
                <w:b/>
                <w:i w:val="0"/>
                <w:sz w:val="18"/>
              </w:rPr>
              <w:t>trader</w:t>
            </w:r>
          </w:p>
        </w:tc>
        <w:tc>
          <w:tcPr>
            <w:tcW w:type="dxa" w:w="2409"/>
            <w:shd w:val="clear" w:fill="D9E2F3"/>
          </w:tcPr>
          <w:p>
            <w:pPr>
              <w:spacing w:after="20" w:before="20" w:line="240" w:lineRule="auto"/>
            </w:pPr>
            <w:r/>
            <w:r>
              <w:rPr>
                <w:rFonts w:ascii="Arial" w:hAnsi="Arial" w:cs="Arial"/>
                <w:b/>
                <w:i w:val="0"/>
                <w:sz w:val="18"/>
              </w:rPr>
              <w:t>counter</w:t>
            </w:r>
          </w:p>
        </w:tc>
      </w:tr>
      <w:tr>
        <w:tc>
          <w:tcPr>
            <w:tcW w:type="dxa" w:w="2409"/>
          </w:tcPr>
          <w:p>
            <w:pPr>
              <w:spacing w:after="20" w:before="20" w:line="240" w:lineRule="auto"/>
            </w:pPr>
            <w:r/>
            <w:r>
              <w:rPr>
                <w:rFonts w:ascii="Arial" w:hAnsi="Arial" w:cs="Arial"/>
                <w:b w:val="0"/>
                <w:i w:val="0"/>
                <w:sz w:val="17"/>
              </w:rPr>
              <w:t>EG</w:t>
            </w:r>
          </w:p>
        </w:tc>
        <w:tc>
          <w:tcPr>
            <w:tcW w:type="dxa" w:w="2409"/>
          </w:tcPr>
          <w:p>
            <w:pPr>
              <w:spacing w:after="20" w:before="20" w:line="240" w:lineRule="auto"/>
            </w:pPr>
            <w:r/>
            <w:r>
              <w:rPr>
                <w:rFonts w:ascii="Arial" w:hAnsi="Arial" w:cs="Arial"/>
                <w:b w:val="0"/>
                <w:i w:val="0"/>
                <w:sz w:val="17"/>
              </w:rPr>
              <w:t>26</w:t>
            </w:r>
          </w:p>
        </w:tc>
        <w:tc>
          <w:tcPr>
            <w:tcW w:type="dxa" w:w="2409"/>
          </w:tcPr>
          <w:p>
            <w:pPr>
              <w:spacing w:after="20" w:before="20" w:line="240" w:lineRule="auto"/>
            </w:pPr>
            <w:r/>
            <w:r>
              <w:rPr>
                <w:rFonts w:ascii="Arial" w:hAnsi="Arial" w:cs="Arial"/>
                <w:b w:val="0"/>
                <w:i w:val="0"/>
                <w:sz w:val="17"/>
              </w:rPr>
              <w:t>F3A</w:t>
            </w:r>
          </w:p>
        </w:tc>
        <w:tc>
          <w:tcPr>
            <w:tcW w:type="dxa" w:w="2409"/>
          </w:tcPr>
          <w:p>
            <w:pPr>
              <w:spacing w:after="20" w:before="20" w:line="240" w:lineRule="auto"/>
            </w:pPr>
            <w:r/>
            <w:r>
              <w:rPr>
                <w:rFonts w:ascii="Arial" w:hAnsi="Arial" w:cs="Arial"/>
                <w:b w:val="0"/>
                <w:i w:val="0"/>
                <w:sz w:val="17"/>
              </w:rPr>
              <w:t>1,043</w:t>
            </w:r>
          </w:p>
        </w:tc>
      </w:tr>
      <w:tr>
        <w:tc>
          <w:tcPr>
            <w:tcW w:type="dxa" w:w="2409"/>
          </w:tcPr>
          <w:p>
            <w:pPr>
              <w:spacing w:after="20" w:before="20" w:line="240" w:lineRule="auto"/>
            </w:pPr>
            <w:r/>
            <w:r>
              <w:rPr>
                <w:rFonts w:ascii="Arial" w:hAnsi="Arial" w:cs="Arial"/>
                <w:b w:val="0"/>
                <w:i w:val="0"/>
                <w:sz w:val="17"/>
              </w:rPr>
              <w:t>EG</w:t>
            </w:r>
          </w:p>
        </w:tc>
        <w:tc>
          <w:tcPr>
            <w:tcW w:type="dxa" w:w="2409"/>
          </w:tcPr>
          <w:p>
            <w:pPr>
              <w:spacing w:after="20" w:before="20" w:line="240" w:lineRule="auto"/>
            </w:pPr>
            <w:r/>
            <w:r>
              <w:rPr>
                <w:rFonts w:ascii="Arial" w:hAnsi="Arial" w:cs="Arial"/>
                <w:b w:val="0"/>
                <w:i w:val="0"/>
                <w:sz w:val="17"/>
              </w:rPr>
              <w:t>26</w:t>
            </w:r>
          </w:p>
        </w:tc>
        <w:tc>
          <w:tcPr>
            <w:tcW w:type="dxa" w:w="2409"/>
          </w:tcPr>
          <w:p>
            <w:pPr>
              <w:spacing w:after="20" w:before="20" w:line="240" w:lineRule="auto"/>
            </w:pPr>
            <w:r/>
            <w:r>
              <w:rPr>
                <w:rFonts w:ascii="Arial" w:hAnsi="Arial" w:cs="Arial"/>
                <w:b w:val="0"/>
                <w:i w:val="0"/>
                <w:sz w:val="17"/>
              </w:rPr>
              <w:t>7B3A</w:t>
            </w:r>
          </w:p>
        </w:tc>
        <w:tc>
          <w:tcPr>
            <w:tcW w:type="dxa" w:w="2409"/>
          </w:tcPr>
          <w:p>
            <w:pPr>
              <w:spacing w:after="20" w:before="20" w:line="240" w:lineRule="auto"/>
            </w:pPr>
            <w:r/>
            <w:r>
              <w:rPr>
                <w:rFonts w:ascii="Arial" w:hAnsi="Arial" w:cs="Arial"/>
                <w:b w:val="0"/>
                <w:i w:val="0"/>
                <w:sz w:val="17"/>
              </w:rPr>
              <w:t>12</w:t>
            </w:r>
          </w:p>
        </w:tc>
      </w:tr>
      <w:tr>
        <w:tc>
          <w:tcPr>
            <w:tcW w:type="dxa" w:w="2409"/>
          </w:tcPr>
          <w:p>
            <w:pPr>
              <w:spacing w:after="20" w:before="20" w:line="240" w:lineRule="auto"/>
            </w:pPr>
            <w:r/>
            <w:r>
              <w:rPr>
                <w:rFonts w:ascii="Arial" w:hAnsi="Arial" w:cs="Arial"/>
                <w:b w:val="0"/>
                <w:i w:val="0"/>
                <w:sz w:val="17"/>
              </w:rPr>
              <w:t>VN</w:t>
            </w:r>
          </w:p>
        </w:tc>
        <w:tc>
          <w:tcPr>
            <w:tcW w:type="dxa" w:w="2409"/>
          </w:tcPr>
          <w:p>
            <w:pPr>
              <w:spacing w:after="20" w:before="20" w:line="240" w:lineRule="auto"/>
            </w:pPr>
            <w:r/>
            <w:r>
              <w:rPr>
                <w:rFonts w:ascii="Arial" w:hAnsi="Arial" w:cs="Arial"/>
                <w:b w:val="0"/>
                <w:i w:val="0"/>
                <w:sz w:val="17"/>
              </w:rPr>
              <w:t>26</w:t>
            </w:r>
          </w:p>
        </w:tc>
        <w:tc>
          <w:tcPr>
            <w:tcW w:type="dxa" w:w="2409"/>
          </w:tcPr>
          <w:p>
            <w:pPr>
              <w:spacing w:after="20" w:before="20" w:line="240" w:lineRule="auto"/>
            </w:pPr>
            <w:r/>
            <w:r>
              <w:rPr>
                <w:rFonts w:ascii="Arial" w:hAnsi="Arial" w:cs="Arial"/>
                <w:b w:val="0"/>
                <w:i w:val="0"/>
                <w:sz w:val="17"/>
              </w:rPr>
              <w:t>7B3A</w:t>
            </w:r>
          </w:p>
        </w:tc>
        <w:tc>
          <w:tcPr>
            <w:tcW w:type="dxa" w:w="2409"/>
          </w:tcPr>
          <w:p>
            <w:pPr>
              <w:spacing w:after="20" w:before="20" w:line="240" w:lineRule="auto"/>
            </w:pPr>
            <w:r/>
            <w:r>
              <w:rPr>
                <w:rFonts w:ascii="Arial" w:hAnsi="Arial" w:cs="Arial"/>
                <w:b w:val="0"/>
                <w:i w:val="0"/>
                <w:sz w:val="17"/>
              </w:rPr>
              <w:t>87</w:t>
            </w:r>
          </w:p>
        </w:tc>
      </w:tr>
      <w:tr>
        <w:tc>
          <w:tcPr>
            <w:tcW w:type="dxa" w:w="2409"/>
          </w:tcPr>
          <w:p>
            <w:pPr>
              <w:spacing w:after="20" w:before="20" w:line="240" w:lineRule="auto"/>
            </w:pPr>
            <w:r/>
            <w:r>
              <w:rPr>
                <w:rFonts w:ascii="Arial" w:hAnsi="Arial" w:cs="Arial"/>
                <w:b w:val="0"/>
                <w:i w:val="0"/>
                <w:sz w:val="17"/>
              </w:rPr>
              <w:t>EG</w:t>
            </w:r>
          </w:p>
        </w:tc>
        <w:tc>
          <w:tcPr>
            <w:tcW w:type="dxa" w:w="2409"/>
          </w:tcPr>
          <w:p>
            <w:pPr>
              <w:spacing w:after="20" w:before="20" w:line="240" w:lineRule="auto"/>
            </w:pPr>
            <w:r/>
            <w:r>
              <w:rPr>
                <w:rFonts w:ascii="Arial" w:hAnsi="Arial" w:cs="Arial"/>
                <w:b w:val="0"/>
                <w:i w:val="0"/>
                <w:sz w:val="17"/>
              </w:rPr>
              <w:t>27</w:t>
            </w:r>
          </w:p>
        </w:tc>
        <w:tc>
          <w:tcPr>
            <w:tcW w:type="dxa" w:w="2409"/>
          </w:tcPr>
          <w:p>
            <w:pPr>
              <w:spacing w:after="20" w:before="20" w:line="240" w:lineRule="auto"/>
            </w:pPr>
            <w:r/>
            <w:r>
              <w:rPr>
                <w:rFonts w:ascii="Arial" w:hAnsi="Arial" w:cs="Arial"/>
                <w:b w:val="0"/>
                <w:i w:val="0"/>
                <w:sz w:val="17"/>
              </w:rPr>
              <w:t>F3A</w:t>
            </w:r>
          </w:p>
        </w:tc>
        <w:tc>
          <w:tcPr>
            <w:tcW w:type="dxa" w:w="2409"/>
          </w:tcPr>
          <w:p>
            <w:pPr>
              <w:spacing w:after="20" w:before="20" w:line="240" w:lineRule="auto"/>
            </w:pPr>
            <w:r/>
            <w:r>
              <w:rPr>
                <w:rFonts w:ascii="Arial" w:hAnsi="Arial" w:cs="Arial"/>
                <w:b w:val="0"/>
                <w:i w:val="0"/>
                <w:sz w:val="17"/>
              </w:rPr>
              <w:t>0</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5.1.9 USTN Examples — Complete Set</w:t>
      </w:r>
    </w:p>
    <w:p>
      <w:pPr>
        <w:spacing w:after="80" w:line="293" w:lineRule="auto"/>
        <w:jc w:val="left"/>
      </w:pPr>
      <w:r>
        <w:rPr>
          <w:rFonts w:ascii="Times New Roman" w:hAnsi="Times New Roman" w:cs="Times New Roman"/>
          <w:b w:val="0"/>
          <w:i w:val="0"/>
          <w:sz w:val="22"/>
        </w:rPr>
        <w:t>Standard orders: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USTN</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SGTX-EG-26-F3A-1</w:t>
            </w:r>
          </w:p>
        </w:tc>
        <w:tc>
          <w:tcPr>
            <w:tcW w:type="dxa" w:w="4819"/>
          </w:tcPr>
          <w:p>
            <w:pPr>
              <w:spacing w:after="20" w:before="20" w:line="240" w:lineRule="auto"/>
            </w:pPr>
            <w:r/>
            <w:r>
              <w:rPr>
                <w:rFonts w:ascii="Arial" w:hAnsi="Arial" w:cs="Arial"/>
                <w:b w:val="0"/>
                <w:i w:val="0"/>
                <w:sz w:val="17"/>
              </w:rPr>
              <w:t>First trade for F3A in 2026</w:t>
            </w:r>
          </w:p>
        </w:tc>
      </w:tr>
      <w:tr>
        <w:tc>
          <w:tcPr>
            <w:tcW w:type="dxa" w:w="4819"/>
          </w:tcPr>
          <w:p>
            <w:pPr>
              <w:spacing w:after="20" w:before="20" w:line="240" w:lineRule="auto"/>
            </w:pPr>
            <w:r/>
            <w:r>
              <w:rPr>
                <w:rFonts w:ascii="Arial" w:hAnsi="Arial" w:cs="Arial"/>
                <w:b w:val="0"/>
                <w:i w:val="0"/>
                <w:sz w:val="17"/>
              </w:rPr>
              <w:t>SGTX-EG-26-F3A-2</w:t>
            </w:r>
          </w:p>
        </w:tc>
        <w:tc>
          <w:tcPr>
            <w:tcW w:type="dxa" w:w="4819"/>
          </w:tcPr>
          <w:p>
            <w:pPr>
              <w:spacing w:after="20" w:before="20" w:line="240" w:lineRule="auto"/>
            </w:pPr>
            <w:r/>
            <w:r>
              <w:rPr>
                <w:rFonts w:ascii="Arial" w:hAnsi="Arial" w:cs="Arial"/>
                <w:b w:val="0"/>
                <w:i w:val="0"/>
                <w:sz w:val="17"/>
              </w:rPr>
              <w:t>Second trade</w:t>
            </w:r>
          </w:p>
        </w:tc>
      </w:tr>
      <w:tr>
        <w:tc>
          <w:tcPr>
            <w:tcW w:type="dxa" w:w="4819"/>
          </w:tcPr>
          <w:p>
            <w:pPr>
              <w:spacing w:after="20" w:before="20" w:line="240" w:lineRule="auto"/>
            </w:pPr>
            <w:r/>
            <w:r>
              <w:rPr>
                <w:rFonts w:ascii="Arial" w:hAnsi="Arial" w:cs="Arial"/>
                <w:b w:val="0"/>
                <w:i w:val="0"/>
                <w:sz w:val="17"/>
              </w:rPr>
              <w:t>SGTX-EG-26-F3A-10</w:t>
            </w:r>
          </w:p>
        </w:tc>
        <w:tc>
          <w:tcPr>
            <w:tcW w:type="dxa" w:w="4819"/>
          </w:tcPr>
          <w:p>
            <w:pPr>
              <w:spacing w:after="20" w:before="20" w:line="240" w:lineRule="auto"/>
            </w:pPr>
            <w:r/>
            <w:r>
              <w:rPr>
                <w:rFonts w:ascii="Arial" w:hAnsi="Arial" w:cs="Arial"/>
                <w:b w:val="0"/>
                <w:i w:val="0"/>
                <w:sz w:val="17"/>
              </w:rPr>
              <w:t>Tenth trade</w:t>
            </w:r>
          </w:p>
        </w:tc>
      </w:tr>
      <w:tr>
        <w:tc>
          <w:tcPr>
            <w:tcW w:type="dxa" w:w="4819"/>
          </w:tcPr>
          <w:p>
            <w:pPr>
              <w:spacing w:after="20" w:before="20" w:line="240" w:lineRule="auto"/>
            </w:pPr>
            <w:r/>
            <w:r>
              <w:rPr>
                <w:rFonts w:ascii="Arial" w:hAnsi="Arial" w:cs="Arial"/>
                <w:b w:val="0"/>
                <w:i w:val="0"/>
                <w:sz w:val="17"/>
              </w:rPr>
              <w:t>SGTX-EG-26-F3A-1000</w:t>
            </w:r>
          </w:p>
        </w:tc>
        <w:tc>
          <w:tcPr>
            <w:tcW w:type="dxa" w:w="4819"/>
          </w:tcPr>
          <w:p>
            <w:pPr>
              <w:spacing w:after="20" w:before="20" w:line="240" w:lineRule="auto"/>
            </w:pPr>
            <w:r/>
            <w:r>
              <w:rPr>
                <w:rFonts w:ascii="Arial" w:hAnsi="Arial" w:cs="Arial"/>
                <w:b w:val="0"/>
                <w:i w:val="0"/>
                <w:sz w:val="17"/>
              </w:rPr>
              <w:t>One-thousandth trade</w:t>
            </w:r>
          </w:p>
        </w:tc>
      </w:tr>
      <w:tr>
        <w:tc>
          <w:tcPr>
            <w:tcW w:type="dxa" w:w="4819"/>
          </w:tcPr>
          <w:p>
            <w:pPr>
              <w:spacing w:after="20" w:before="20" w:line="240" w:lineRule="auto"/>
            </w:pPr>
            <w:r/>
            <w:r>
              <w:rPr>
                <w:rFonts w:ascii="Arial" w:hAnsi="Arial" w:cs="Arial"/>
                <w:b w:val="0"/>
                <w:i w:val="0"/>
                <w:sz w:val="17"/>
              </w:rPr>
              <w:t>SGTX-VN-26-7B3A-1</w:t>
            </w:r>
          </w:p>
        </w:tc>
        <w:tc>
          <w:tcPr>
            <w:tcW w:type="dxa" w:w="4819"/>
          </w:tcPr>
          <w:p>
            <w:pPr>
              <w:spacing w:after="20" w:before="20" w:line="240" w:lineRule="auto"/>
            </w:pPr>
            <w:r/>
            <w:r>
              <w:rPr>
                <w:rFonts w:ascii="Arial" w:hAnsi="Arial" w:cs="Arial"/>
                <w:b w:val="0"/>
                <w:i w:val="0"/>
                <w:sz w:val="17"/>
              </w:rPr>
              <w:t>Vietnamese trader's first trade</w:t>
            </w:r>
          </w:p>
        </w:tc>
      </w:tr>
      <w:tr>
        <w:tc>
          <w:tcPr>
            <w:tcW w:type="dxa" w:w="4819"/>
          </w:tcPr>
          <w:p>
            <w:pPr>
              <w:spacing w:after="20" w:before="20" w:line="240" w:lineRule="auto"/>
            </w:pPr>
            <w:r/>
            <w:r>
              <w:rPr>
                <w:rFonts w:ascii="Arial" w:hAnsi="Arial" w:cs="Arial"/>
                <w:b w:val="0"/>
                <w:i w:val="0"/>
                <w:sz w:val="17"/>
              </w:rPr>
              <w:t>SGTX-EG-27-F3A-1</w:t>
            </w:r>
          </w:p>
        </w:tc>
        <w:tc>
          <w:tcPr>
            <w:tcW w:type="dxa" w:w="4819"/>
          </w:tcPr>
          <w:p>
            <w:pPr>
              <w:spacing w:after="20" w:before="20" w:line="240" w:lineRule="auto"/>
            </w:pPr>
            <w:r/>
            <w:r>
              <w:rPr>
                <w:rFonts w:ascii="Arial" w:hAnsi="Arial" w:cs="Arial"/>
                <w:b w:val="0"/>
                <w:i w:val="0"/>
                <w:sz w:val="17"/>
              </w:rPr>
              <w:t>Same trader's first trade in 2027</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Multi-shipment examples: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USTN</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SGTX-EG-26-F3A-21</w:t>
            </w:r>
          </w:p>
        </w:tc>
        <w:tc>
          <w:tcPr>
            <w:tcW w:type="dxa" w:w="4819"/>
          </w:tcPr>
          <w:p>
            <w:pPr>
              <w:spacing w:after="20" w:before="20" w:line="240" w:lineRule="auto"/>
            </w:pPr>
            <w:r/>
            <w:r>
              <w:rPr>
                <w:rFonts w:ascii="Arial" w:hAnsi="Arial" w:cs="Arial"/>
                <w:b w:val="0"/>
                <w:i w:val="0"/>
                <w:sz w:val="17"/>
              </w:rPr>
              <w:t>Multi-shipment #1-1 (first shipment of master contract)</w:t>
            </w:r>
          </w:p>
        </w:tc>
      </w:tr>
      <w:tr>
        <w:tc>
          <w:tcPr>
            <w:tcW w:type="dxa" w:w="4819"/>
          </w:tcPr>
          <w:p>
            <w:pPr>
              <w:spacing w:after="20" w:before="20" w:line="240" w:lineRule="auto"/>
            </w:pPr>
            <w:r/>
            <w:r>
              <w:rPr>
                <w:rFonts w:ascii="Arial" w:hAnsi="Arial" w:cs="Arial"/>
                <w:b w:val="0"/>
                <w:i w:val="0"/>
                <w:sz w:val="17"/>
              </w:rPr>
              <w:t>SGTX-EG-26-F3A-22</w:t>
            </w:r>
          </w:p>
        </w:tc>
        <w:tc>
          <w:tcPr>
            <w:tcW w:type="dxa" w:w="4819"/>
          </w:tcPr>
          <w:p>
            <w:pPr>
              <w:spacing w:after="20" w:before="20" w:line="240" w:lineRule="auto"/>
            </w:pPr>
            <w:r/>
            <w:r>
              <w:rPr>
                <w:rFonts w:ascii="Arial" w:hAnsi="Arial" w:cs="Arial"/>
                <w:b w:val="0"/>
                <w:i w:val="0"/>
                <w:sz w:val="17"/>
              </w:rPr>
              <w:t>Multi-shipment #1-2</w:t>
            </w:r>
          </w:p>
        </w:tc>
      </w:tr>
      <w:tr>
        <w:tc>
          <w:tcPr>
            <w:tcW w:type="dxa" w:w="4819"/>
          </w:tcPr>
          <w:p>
            <w:pPr>
              <w:spacing w:after="20" w:before="20" w:line="240" w:lineRule="auto"/>
            </w:pPr>
            <w:r/>
            <w:r>
              <w:rPr>
                <w:rFonts w:ascii="Arial" w:hAnsi="Arial" w:cs="Arial"/>
                <w:b w:val="0"/>
                <w:i w:val="0"/>
                <w:sz w:val="17"/>
              </w:rPr>
              <w:t>SGTX-EG-26-F3A-23</w:t>
            </w:r>
          </w:p>
        </w:tc>
        <w:tc>
          <w:tcPr>
            <w:tcW w:type="dxa" w:w="4819"/>
          </w:tcPr>
          <w:p>
            <w:pPr>
              <w:spacing w:after="20" w:before="20" w:line="240" w:lineRule="auto"/>
            </w:pPr>
            <w:r/>
            <w:r>
              <w:rPr>
                <w:rFonts w:ascii="Arial" w:hAnsi="Arial" w:cs="Arial"/>
                <w:b w:val="0"/>
                <w:i w:val="0"/>
                <w:sz w:val="17"/>
              </w:rPr>
              <w:t>Multi-shipment #1-3</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Distressed micro-contract examples:</w:t>
      </w:r>
    </w:p>
    <w:p>
      <w:pPr>
        <w:spacing w:after="80" w:line="293" w:lineRule="auto"/>
        <w:jc w:val="left"/>
      </w:pPr>
      <w:r>
        <w:rPr>
          <w:rFonts w:ascii="Times New Roman" w:hAnsi="Times New Roman" w:cs="Times New Roman"/>
          <w:b w:val="0"/>
          <w:i w:val="0"/>
          <w:sz w:val="22"/>
        </w:rPr>
        <w:t>USTN</w:t>
        <w:tab/>
        <w:t>Meaning</w:t>
      </w:r>
    </w:p>
    <w:p>
      <w:pPr>
        <w:spacing w:after="80" w:line="293" w:lineRule="auto"/>
        <w:jc w:val="left"/>
      </w:pPr>
      <w:r>
        <w:rPr>
          <w:rFonts w:ascii="Times New Roman" w:hAnsi="Times New Roman" w:cs="Times New Roman"/>
          <w:b w:val="0"/>
          <w:i w:val="0"/>
          <w:sz w:val="22"/>
        </w:rPr>
        <w:t>Different traders &amp; years: trader identifiers come from each GTID's checksum; yearly counter reset means SGTX-EG-26-F3A-1 and SGTX-EG-27-F3A-1 are different trades; two traders in the same country and year (F3A, 7B3A) hold independent sequences.</w:t>
      </w:r>
    </w:p>
    <w:p>
      <w:pPr>
        <w:keepNext/>
        <w:spacing w:before="180" w:after="80"/>
        <w:outlineLvl w:val="2"/>
      </w:pPr>
      <w:r>
        <w:rPr>
          <w:rFonts w:ascii="Arial" w:hAnsi="Arial" w:cs="Arial"/>
          <w:b/>
          <w:i w:val="0"/>
          <w:color w:val="333333"/>
          <w:sz w:val="23"/>
        </w:rPr>
        <w:t>5.1.10 Namespace Semantics (Canonical)</w:t>
      </w:r>
    </w:p>
    <w:p>
      <w:pPr>
        <w:spacing w:after="80" w:line="293" w:lineRule="auto"/>
        <w:ind w:left="283"/>
        <w:jc w:val="left"/>
      </w:pPr>
      <w:r>
        <w:rPr>
          <w:rFonts w:ascii="Times New Roman" w:hAnsi="Times New Roman" w:cs="Times New Roman"/>
          <w:b w:val="0"/>
          <w:i w:val="0"/>
          <w:sz w:val="22"/>
        </w:rPr>
        <w:t>- Multi-shipment contracts: each shipment locks independently and receives its own USTN. The master contract carries a contract ID (for example, MC-20260415-001) but no master USTN. A delay in one shipment does not block others.</w:t>
      </w:r>
    </w:p>
    <w:p>
      <w:pPr>
        <w:spacing w:after="80" w:line="293" w:lineRule="auto"/>
        <w:ind w:left="283"/>
        <w:jc w:val="left"/>
      </w:pPr>
      <w:r>
        <w:rPr>
          <w:rFonts w:ascii="Times New Roman" w:hAnsi="Times New Roman" w:cs="Times New Roman"/>
          <w:b w:val="0"/>
          <w:i w:val="0"/>
          <w:sz w:val="22"/>
        </w:rPr>
        <w:t>- Distressed micro-contracts: a declared distressed lot receives a MicroUSTN in the same format, linked to the parent via parent_ustn, with its own lifecycle (DISTRESS_SALE_PENDING → DISTRESS_MICROCONTRACT_LOCKED → DISTRESS_SALE_COMPLETED). Original documents are copied with redacted pricing where confidential.</w:t>
      </w:r>
    </w:p>
    <w:p>
      <w:pPr>
        <w:spacing w:after="80" w:line="293" w:lineRule="auto"/>
        <w:ind w:left="283"/>
        <w:jc w:val="left"/>
      </w:pPr>
      <w:r>
        <w:rPr>
          <w:rFonts w:ascii="Times New Roman" w:hAnsi="Times New Roman" w:cs="Times New Roman"/>
          <w:b w:val="0"/>
          <w:i w:val="0"/>
          <w:sz w:val="22"/>
        </w:rPr>
        <w:t>- Replay protection: the USTN is permanently bound to its shipment record. A query that presents a valid USTN with a mismatched buyer or container receives ERROR: USTN_MISMATCH; the counter guarantees global uniqueness and the database guarantees binding. No replay attack can succeed.</w:t>
      </w:r>
    </w:p>
    <w:p>
      <w:pPr>
        <w:spacing w:after="80" w:line="293" w:lineRule="auto"/>
        <w:ind w:left="283"/>
        <w:jc w:val="left"/>
      </w:pPr>
      <w:r>
        <w:rPr>
          <w:rFonts w:ascii="Times New Roman" w:hAnsi="Times New Roman" w:cs="Times New Roman"/>
          <w:b w:val="0"/>
          <w:i w:val="0"/>
          <w:sz w:val="22"/>
        </w:rPr>
        <w:t>- Mandatory reference: all API calls that create or modify trade-related entities must include the USTN (or MicroUSTN). Omission returns a 400 error with a plain-language message.</w:t>
      </w:r>
    </w:p>
    <w:p>
      <w:pPr>
        <w:spacing w:after="80" w:line="293" w:lineRule="auto"/>
        <w:ind w:left="283"/>
        <w:jc w:val="left"/>
      </w:pPr>
      <w:r>
        <w:rPr>
          <w:rFonts w:ascii="Times New Roman" w:hAnsi="Times New Roman" w:cs="Times New Roman"/>
          <w:b w:val="0"/>
          <w:i w:val="0"/>
          <w:sz w:val="22"/>
        </w:rPr>
        <w:t>- Documents and tagging: every document generated by or uploaded to SGTX carries the USTN in a standardised location (header, footer, or QR code). QR payloads encode the full USTN, the public verification URL (https://sgtx.io/verify/ustn/{ustn}), and an optional Ed25519 verifiable credential so receivers can verify authenticity offline against a cached SGTX public key.</w:t>
      </w:r>
    </w:p>
    <w:p>
      <w:pPr>
        <w:spacing w:after="80" w:line="293" w:lineRule="auto"/>
        <w:ind w:left="283"/>
        <w:jc w:val="left"/>
      </w:pPr>
      <w:r>
        <w:rPr>
          <w:rFonts w:ascii="Times New Roman" w:hAnsi="Times New Roman" w:cs="Times New Roman"/>
          <w:b w:val="0"/>
          <w:i w:val="0"/>
          <w:sz w:val="22"/>
        </w:rPr>
        <w:t>- Resolution: GET /v1/ustn/{ustn} returns the USTN master object filtered by the requester's role — a logistics provider sees only its services; a buyer sees full commercial terms but not the seller's internal costs; a financier sees the full financing-relevant package; a government official sees only compliance documents. Rate limit: 100 requests per minute per tenant.</w:t>
      </w:r>
    </w:p>
    <w:p>
      <w:pPr>
        <w:spacing w:after="80" w:line="293" w:lineRule="auto"/>
        <w:ind w:left="283"/>
        <w:jc w:val="left"/>
      </w:pPr>
      <w:r>
        <w:rPr>
          <w:rFonts w:ascii="Times New Roman" w:hAnsi="Times New Roman" w:cs="Times New Roman"/>
          <w:b w:val="0"/>
          <w:i w:val="0"/>
          <w:sz w:val="22"/>
        </w:rPr>
        <w:t>- Namespace, not override: the USTN does not override external authoritative systems (customs, banking, shipping). External identifiers (ACID, SAD reference, booking reference, eBL number) are preserved in the master object alongside the USTN.</w:t>
      </w:r>
    </w:p>
    <w:p>
      <w:pPr>
        <w:keepNext/>
        <w:spacing w:before="180" w:after="80"/>
        <w:outlineLvl w:val="2"/>
      </w:pPr>
      <w:r>
        <w:rPr>
          <w:rFonts w:ascii="Arial" w:hAnsi="Arial" w:cs="Arial"/>
          <w:b/>
          <w:i w:val="0"/>
          <w:color w:val="333333"/>
          <w:sz w:val="23"/>
        </w:rPr>
        <w:t>5.1.11 Replay Attack Protection</w:t>
      </w:r>
    </w:p>
    <w:p>
      <w:pPr>
        <w:spacing w:after="80" w:line="293" w:lineRule="auto"/>
        <w:jc w:val="left"/>
      </w:pPr>
      <w:r>
        <w:rPr>
          <w:rFonts w:ascii="Times New Roman" w:hAnsi="Times New Roman" w:cs="Times New Roman"/>
          <w:b w:val="0"/>
          <w:i w:val="0"/>
          <w:sz w:val="22"/>
        </w:rPr>
        <w:t>Question: "What if someone copies SGTX-EG-26-F3A-15 and tries to use it for a different buyer?"</w:t>
      </w:r>
    </w:p>
    <w:p>
      <w:pPr>
        <w:spacing w:after="80" w:line="293" w:lineRule="auto"/>
        <w:jc w:val="left"/>
      </w:pPr>
      <w:r>
        <w:rPr>
          <w:rFonts w:ascii="Times New Roman" w:hAnsi="Times New Roman" w:cs="Times New Roman"/>
          <w:b w:val="0"/>
          <w:i w:val="0"/>
          <w:sz w:val="22"/>
        </w:rPr>
        <w:t>Answer: Impossible. The USTN is permanently bound to the specific shipment record in the database. When a terminal, customs, or payment system queries SGTX-EG-26-F3A-15, the system looks up that exact trade. If the buyer doesn't match, the container release API returns ERROR: USTN_MISMATCH.</w:t>
      </w:r>
    </w:p>
    <w:p>
      <w:pPr>
        <w:spacing w:after="80" w:line="293" w:lineRule="auto"/>
        <w:jc w:val="left"/>
      </w:pPr>
      <w:r>
        <w:rPr>
          <w:rFonts w:ascii="Times New Roman" w:hAnsi="Times New Roman" w:cs="Times New Roman"/>
          <w:b w:val="0"/>
          <w:i w:val="0"/>
          <w:sz w:val="22"/>
        </w:rPr>
        <w:t>Implementation:</w:t>
      </w:r>
    </w:p>
    <w:p>
      <w:pPr>
        <w:spacing w:after="0" w:before="0" w:line="240" w:lineRule="auto"/>
        <w:ind w:left="57"/>
        <w:jc w:val="left"/>
        <w:shd w:val="clear" w:fill="F2F2F2"/>
      </w:pPr>
      <w:r>
        <w:rPr>
          <w:rFonts w:ascii="Consolas" w:hAnsi="Consolas" w:cs="Consolas"/>
          <w:b w:val="0"/>
          <w:i w:val="0"/>
          <w:sz w:val="15"/>
        </w:rPr>
        <w:t>fn validate_ustn_binding(ustn: &amp;str, buyer_gtid: &amp;str) -&gt; Result&lt;bool&gt; {</w:t>
      </w:r>
    </w:p>
    <w:p>
      <w:pPr>
        <w:spacing w:after="0" w:before="0" w:line="240" w:lineRule="auto"/>
        <w:ind w:left="57"/>
        <w:jc w:val="left"/>
        <w:shd w:val="clear" w:fill="F2F2F2"/>
      </w:pPr>
      <w:r>
        <w:rPr>
          <w:rFonts w:ascii="Consolas" w:hAnsi="Consolas" w:cs="Consolas"/>
          <w:b w:val="0"/>
          <w:i w:val="0"/>
          <w:sz w:val="15"/>
        </w:rPr>
        <w:t xml:space="preserve">    let shipment = db::get_shipment_by_ustn(ustn)?;</w:t>
      </w:r>
    </w:p>
    <w:p>
      <w:pPr>
        <w:spacing w:after="0" w:before="0" w:line="240" w:lineRule="auto"/>
        <w:ind w:left="57"/>
        <w:jc w:val="left"/>
        <w:shd w:val="clear" w:fill="F2F2F2"/>
      </w:pPr>
      <w:r>
        <w:rPr>
          <w:rFonts w:ascii="Consolas" w:hAnsi="Consolas" w:cs="Consolas"/>
          <w:b w:val="0"/>
          <w:i w:val="0"/>
          <w:sz w:val="15"/>
        </w:rPr>
        <w:t xml:space="preserve">    Ok(shipment.buyer_gtid == buyer_gtid)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counter guarantees global uniqueness and the database guarantees binding. No replay attack can work.</w:t>
      </w:r>
    </w:p>
    <w:p>
      <w:pPr>
        <w:keepNext/>
        <w:spacing w:before="180" w:after="80"/>
        <w:outlineLvl w:val="2"/>
      </w:pPr>
      <w:r>
        <w:rPr>
          <w:rFonts w:ascii="Arial" w:hAnsi="Arial" w:cs="Arial"/>
          <w:b/>
          <w:i w:val="0"/>
          <w:color w:val="333333"/>
          <w:sz w:val="23"/>
        </w:rPr>
        <w:t>5.1.12 Database Schema (Section 5.1)</w:t>
      </w:r>
    </w:p>
    <w:p>
      <w:pPr>
        <w:spacing w:after="0" w:before="0" w:line="240" w:lineRule="auto"/>
        <w:ind w:left="57"/>
        <w:jc w:val="left"/>
        <w:shd w:val="clear" w:fill="F2F2F2"/>
      </w:pPr>
      <w:r>
        <w:rPr>
          <w:rFonts w:ascii="Consolas" w:hAnsi="Consolas" w:cs="Consolas"/>
          <w:b w:val="0"/>
          <w:i w:val="0"/>
          <w:sz w:val="15"/>
        </w:rPr>
        <w:t>-- USTN counters (per year, per trader)</w:t>
      </w:r>
    </w:p>
    <w:p>
      <w:pPr>
        <w:spacing w:after="0" w:before="0" w:line="240" w:lineRule="auto"/>
        <w:ind w:left="57"/>
        <w:jc w:val="left"/>
        <w:shd w:val="clear" w:fill="F2F2F2"/>
      </w:pPr>
      <w:r>
        <w:rPr>
          <w:rFonts w:ascii="Consolas" w:hAnsi="Consolas" w:cs="Consolas"/>
          <w:b w:val="0"/>
          <w:i w:val="0"/>
          <w:sz w:val="15"/>
        </w:rPr>
        <w:t>-- ustn_counters: canonical definition in Section 5.1;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Atomic increment function</w:t>
      </w:r>
    </w:p>
    <w:p>
      <w:pPr>
        <w:spacing w:after="0" w:before="0" w:line="240" w:lineRule="auto"/>
        <w:ind w:left="57"/>
        <w:jc w:val="left"/>
        <w:shd w:val="clear" w:fill="F2F2F2"/>
      </w:pPr>
      <w:r>
        <w:rPr>
          <w:rFonts w:ascii="Consolas" w:hAnsi="Consolas" w:cs="Consolas"/>
          <w:b w:val="0"/>
          <w:i w:val="0"/>
          <w:sz w:val="15"/>
        </w:rPr>
        <w:t>CREATE OR REPLACE FUNCTION next_ustn_seq(</w:t>
      </w:r>
    </w:p>
    <w:p>
      <w:pPr>
        <w:spacing w:after="0" w:before="0" w:line="240" w:lineRule="auto"/>
        <w:ind w:left="57"/>
        <w:jc w:val="left"/>
        <w:shd w:val="clear" w:fill="F2F2F2"/>
      </w:pPr>
      <w:r>
        <w:rPr>
          <w:rFonts w:ascii="Consolas" w:hAnsi="Consolas" w:cs="Consolas"/>
          <w:b w:val="0"/>
          <w:i w:val="0"/>
          <w:sz w:val="15"/>
        </w:rPr>
        <w:t xml:space="preserve">    p_country CHAR(2),</w:t>
      </w:r>
    </w:p>
    <w:p>
      <w:pPr>
        <w:spacing w:after="0" w:before="0" w:line="240" w:lineRule="auto"/>
        <w:ind w:left="57"/>
        <w:jc w:val="left"/>
        <w:shd w:val="clear" w:fill="F2F2F2"/>
      </w:pPr>
      <w:r>
        <w:rPr>
          <w:rFonts w:ascii="Consolas" w:hAnsi="Consolas" w:cs="Consolas"/>
          <w:b w:val="0"/>
          <w:i w:val="0"/>
          <w:sz w:val="15"/>
        </w:rPr>
        <w:t xml:space="preserve">    p_year CHAR(2),</w:t>
      </w:r>
    </w:p>
    <w:p>
      <w:pPr>
        <w:spacing w:after="0" w:before="0" w:line="240" w:lineRule="auto"/>
        <w:ind w:left="57"/>
        <w:jc w:val="left"/>
        <w:shd w:val="clear" w:fill="F2F2F2"/>
      </w:pPr>
      <w:r>
        <w:rPr>
          <w:rFonts w:ascii="Consolas" w:hAnsi="Consolas" w:cs="Consolas"/>
          <w:b w:val="0"/>
          <w:i w:val="0"/>
          <w:sz w:val="15"/>
        </w:rPr>
        <w:t xml:space="preserve">    p_trader CHAR(3)</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RETURNS BIGINT AS $$</w:t>
      </w:r>
    </w:p>
    <w:p>
      <w:pPr>
        <w:spacing w:after="0" w:before="0" w:line="240" w:lineRule="auto"/>
        <w:ind w:left="57"/>
        <w:jc w:val="left"/>
        <w:shd w:val="clear" w:fill="F2F2F2"/>
      </w:pPr>
      <w:r>
        <w:rPr>
          <w:rFonts w:ascii="Consolas" w:hAnsi="Consolas" w:cs="Consolas"/>
          <w:b w:val="0"/>
          <w:i w:val="0"/>
          <w:sz w:val="15"/>
        </w:rPr>
        <w:t>DECLARE</w:t>
      </w:r>
    </w:p>
    <w:p>
      <w:pPr>
        <w:spacing w:after="0" w:before="0" w:line="240" w:lineRule="auto"/>
        <w:ind w:left="57"/>
        <w:jc w:val="left"/>
        <w:shd w:val="clear" w:fill="F2F2F2"/>
      </w:pPr>
      <w:r>
        <w:rPr>
          <w:rFonts w:ascii="Consolas" w:hAnsi="Consolas" w:cs="Consolas"/>
          <w:b w:val="0"/>
          <w:i w:val="0"/>
          <w:sz w:val="15"/>
        </w:rPr>
        <w:t xml:space="preserve">    next_val BIGINT;</w:t>
      </w:r>
    </w:p>
    <w:p>
      <w:pPr>
        <w:spacing w:after="0" w:before="0" w:line="240" w:lineRule="auto"/>
        <w:ind w:left="57"/>
        <w:jc w:val="left"/>
        <w:shd w:val="clear" w:fill="F2F2F2"/>
      </w:pPr>
      <w:r>
        <w:rPr>
          <w:rFonts w:ascii="Consolas" w:hAnsi="Consolas" w:cs="Consolas"/>
          <w:b w:val="0"/>
          <w:i w:val="0"/>
          <w:sz w:val="15"/>
        </w:rPr>
        <w:t>BEGIN</w:t>
      </w:r>
    </w:p>
    <w:p>
      <w:pPr>
        <w:spacing w:after="0" w:before="0" w:line="240" w:lineRule="auto"/>
        <w:ind w:left="57"/>
        <w:jc w:val="left"/>
        <w:shd w:val="clear" w:fill="F2F2F2"/>
      </w:pPr>
      <w:r>
        <w:rPr>
          <w:rFonts w:ascii="Consolas" w:hAnsi="Consolas" w:cs="Consolas"/>
          <w:b w:val="0"/>
          <w:i w:val="0"/>
          <w:sz w:val="15"/>
        </w:rPr>
        <w:t xml:space="preserve">    INSERT INTO ustn_counters (country, year, trader, counter)</w:t>
      </w:r>
    </w:p>
    <w:p>
      <w:pPr>
        <w:spacing w:after="0" w:before="0" w:line="240" w:lineRule="auto"/>
        <w:ind w:left="57"/>
        <w:jc w:val="left"/>
        <w:shd w:val="clear" w:fill="F2F2F2"/>
      </w:pPr>
      <w:r>
        <w:rPr>
          <w:rFonts w:ascii="Consolas" w:hAnsi="Consolas" w:cs="Consolas"/>
          <w:b w:val="0"/>
          <w:i w:val="0"/>
          <w:sz w:val="15"/>
        </w:rPr>
        <w:t xml:space="preserve">    VALUES (p_country, p_year, p_trader, 0)</w:t>
      </w:r>
    </w:p>
    <w:p>
      <w:pPr>
        <w:spacing w:after="0" w:before="0" w:line="240" w:lineRule="auto"/>
        <w:ind w:left="57"/>
        <w:jc w:val="left"/>
        <w:shd w:val="clear" w:fill="F2F2F2"/>
      </w:pPr>
      <w:r>
        <w:rPr>
          <w:rFonts w:ascii="Consolas" w:hAnsi="Consolas" w:cs="Consolas"/>
          <w:b w:val="0"/>
          <w:i w:val="0"/>
          <w:sz w:val="15"/>
        </w:rPr>
        <w:t xml:space="preserve">    ON CONFLICT (country, year, trader) DO NOTHING;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UPDATE ustn_counters</w:t>
      </w:r>
    </w:p>
    <w:p>
      <w:pPr>
        <w:spacing w:after="0" w:before="0" w:line="240" w:lineRule="auto"/>
        <w:ind w:left="57"/>
        <w:jc w:val="left"/>
        <w:shd w:val="clear" w:fill="F2F2F2"/>
      </w:pPr>
      <w:r>
        <w:rPr>
          <w:rFonts w:ascii="Consolas" w:hAnsi="Consolas" w:cs="Consolas"/>
          <w:b w:val="0"/>
          <w:i w:val="0"/>
          <w:sz w:val="15"/>
        </w:rPr>
        <w:t xml:space="preserve">    SET counter = counter + 1</w:t>
      </w:r>
    </w:p>
    <w:p>
      <w:pPr>
        <w:spacing w:after="0" w:before="0" w:line="240" w:lineRule="auto"/>
        <w:ind w:left="57"/>
        <w:jc w:val="left"/>
        <w:shd w:val="clear" w:fill="F2F2F2"/>
      </w:pPr>
      <w:r>
        <w:rPr>
          <w:rFonts w:ascii="Consolas" w:hAnsi="Consolas" w:cs="Consolas"/>
          <w:b w:val="0"/>
          <w:i w:val="0"/>
          <w:sz w:val="15"/>
        </w:rPr>
        <w:t xml:space="preserve">    WHERE country = p_country</w:t>
      </w:r>
    </w:p>
    <w:p>
      <w:pPr>
        <w:spacing w:after="0" w:before="0" w:line="240" w:lineRule="auto"/>
        <w:ind w:left="57"/>
        <w:jc w:val="left"/>
        <w:shd w:val="clear" w:fill="F2F2F2"/>
      </w:pPr>
      <w:r>
        <w:rPr>
          <w:rFonts w:ascii="Consolas" w:hAnsi="Consolas" w:cs="Consolas"/>
          <w:b w:val="0"/>
          <w:i w:val="0"/>
          <w:sz w:val="15"/>
        </w:rPr>
        <w:t xml:space="preserve">    AND year = p_year</w:t>
      </w:r>
    </w:p>
    <w:p>
      <w:pPr>
        <w:spacing w:after="0" w:before="0" w:line="240" w:lineRule="auto"/>
        <w:ind w:left="57"/>
        <w:jc w:val="left"/>
        <w:shd w:val="clear" w:fill="F2F2F2"/>
      </w:pPr>
      <w:r>
        <w:rPr>
          <w:rFonts w:ascii="Consolas" w:hAnsi="Consolas" w:cs="Consolas"/>
          <w:b w:val="0"/>
          <w:i w:val="0"/>
          <w:sz w:val="15"/>
        </w:rPr>
        <w:t xml:space="preserve">    AND trader = p_trader</w:t>
      </w:r>
    </w:p>
    <w:p>
      <w:pPr>
        <w:spacing w:after="0" w:before="0" w:line="240" w:lineRule="auto"/>
        <w:ind w:left="57"/>
        <w:jc w:val="left"/>
        <w:shd w:val="clear" w:fill="F2F2F2"/>
      </w:pPr>
      <w:r>
        <w:rPr>
          <w:rFonts w:ascii="Consolas" w:hAnsi="Consolas" w:cs="Consolas"/>
          <w:b w:val="0"/>
          <w:i w:val="0"/>
          <w:sz w:val="15"/>
        </w:rPr>
        <w:t xml:space="preserve">    RETURNING counter INTO next_val;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RETURN next_val;</w:t>
      </w:r>
    </w:p>
    <w:p>
      <w:pPr>
        <w:spacing w:after="0" w:before="0" w:line="240" w:lineRule="auto"/>
        <w:ind w:left="57"/>
        <w:jc w:val="left"/>
        <w:shd w:val="clear" w:fill="F2F2F2"/>
      </w:pPr>
      <w:r>
        <w:rPr>
          <w:rFonts w:ascii="Consolas" w:hAnsi="Consolas" w:cs="Consolas"/>
          <w:b w:val="0"/>
          <w:i w:val="0"/>
          <w:sz w:val="15"/>
        </w:rPr>
        <w:t>END;</w:t>
      </w:r>
    </w:p>
    <w:p>
      <w:pPr>
        <w:spacing w:after="0" w:before="0" w:line="240" w:lineRule="auto"/>
        <w:ind w:left="57"/>
        <w:jc w:val="left"/>
        <w:shd w:val="clear" w:fill="F2F2F2"/>
      </w:pPr>
      <w:r>
        <w:rPr>
          <w:rFonts w:ascii="Consolas" w:hAnsi="Consolas" w:cs="Consolas"/>
          <w:b w:val="0"/>
          <w:i w:val="0"/>
          <w:sz w:val="15"/>
        </w:rPr>
        <w:t>$$ LANGUAGE plpgsql;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Shipments table extended with USTN fields</w:t>
      </w:r>
    </w:p>
    <w:p>
      <w:pPr>
        <w:spacing w:after="0" w:before="0" w:line="240" w:lineRule="auto"/>
        <w:ind w:left="57"/>
        <w:jc w:val="left"/>
        <w:shd w:val="clear" w:fill="F2F2F2"/>
      </w:pPr>
      <w:r>
        <w:rPr>
          <w:rFonts w:ascii="Consolas" w:hAnsi="Consolas" w:cs="Consolas"/>
          <w:b w:val="0"/>
          <w:i w:val="0"/>
          <w:sz w:val="15"/>
        </w:rPr>
        <w:t>ALTER TABLE shipments ADD COLUMN IF NOT EXISTS ustn_counter BIGINT;</w:t>
      </w:r>
    </w:p>
    <w:p>
      <w:pPr>
        <w:spacing w:after="0" w:before="0" w:line="240" w:lineRule="auto"/>
        <w:ind w:left="57"/>
        <w:jc w:val="left"/>
        <w:shd w:val="clear" w:fill="F2F2F2"/>
      </w:pPr>
      <w:r>
        <w:rPr>
          <w:rFonts w:ascii="Consolas" w:hAnsi="Consolas" w:cs="Consolas"/>
          <w:b w:val="0"/>
          <w:i w:val="0"/>
          <w:sz w:val="15"/>
        </w:rPr>
        <w:t>ALTER TABLE shipments ADD COLUMN IF NOT EXISTS trader_id CHAR(3);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USTN verification tokens</w:t>
      </w:r>
    </w:p>
    <w:p>
      <w:pPr>
        <w:spacing w:after="0" w:before="0" w:line="240" w:lineRule="auto"/>
        <w:ind w:left="57"/>
        <w:jc w:val="left"/>
        <w:shd w:val="clear" w:fill="F2F2F2"/>
      </w:pPr>
      <w:r>
        <w:rPr>
          <w:rFonts w:ascii="Consolas" w:hAnsi="Consolas" w:cs="Consolas"/>
          <w:b w:val="0"/>
          <w:i w:val="0"/>
          <w:sz w:val="15"/>
        </w:rPr>
        <w:t>-- loom_verification_tokens: canonical definition in Section 17.17;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idx_shipments_ustn ON shipments(ustn);</w:t>
      </w:r>
    </w:p>
    <w:p>
      <w:pPr>
        <w:spacing w:after="0" w:before="0" w:line="240" w:lineRule="auto"/>
        <w:ind w:left="57"/>
        <w:jc w:val="left"/>
        <w:shd w:val="clear" w:fill="F2F2F2"/>
      </w:pPr>
      <w:r>
        <w:rPr>
          <w:rFonts w:ascii="Consolas" w:hAnsi="Consolas" w:cs="Consolas"/>
          <w:b w:val="0"/>
          <w:i w:val="0"/>
          <w:sz w:val="15"/>
        </w:rPr>
        <w:t>CREATE INDEX idx_ustn_counters_lookup ON ustn_counters(country, year, trader);</w:t>
      </w:r>
    </w:p>
    <w:p>
      <w:pPr>
        <w:spacing w:after="0" w:before="0" w:line="240" w:lineRule="auto"/>
        <w:ind w:left="57"/>
        <w:jc w:val="left"/>
        <w:shd w:val="clear" w:fill="F2F2F2"/>
      </w:pPr>
      <w:r>
        <w:rPr>
          <w:rFonts w:ascii="Consolas" w:hAnsi="Consolas" w:cs="Consolas"/>
          <w:b w:val="0"/>
          <w:i w:val="0"/>
          <w:sz w:val="15"/>
        </w:rPr>
        <w:t>CREATE INDEX idx_ustn_verification_tokens_token ON loom_verification_tokens(token);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5.1.13 Quick Reference Card</w:t>
      </w:r>
    </w:p>
    <w:p>
      <w:pPr>
        <w:spacing w:after="0" w:before="0" w:line="240" w:lineRule="auto"/>
        <w:ind w:left="57"/>
        <w:jc w:val="left"/>
        <w:shd w:val="clear" w:fill="F2F2F2"/>
      </w:pPr>
      <w:r>
        <w:rPr>
          <w:rFonts w:ascii="Consolas" w:hAnsi="Consolas" w:cs="Consolas"/>
          <w:b w:val="0"/>
          <w:i w:val="0"/>
          <w:sz w:val="15"/>
        </w:rPr>
        <w:t>USTN FORMAT — QUICK REFERENCE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FORMAT:     SGTX-{COUNTRY}-{YEAR}-{TRADER}-{SEQ}</w:t>
      </w:r>
    </w:p>
    <w:p>
      <w:pPr>
        <w:spacing w:after="0" w:before="0" w:line="240" w:lineRule="auto"/>
        <w:ind w:left="57"/>
        <w:jc w:val="left"/>
        <w:shd w:val="clear" w:fill="F2F2F2"/>
      </w:pPr>
      <w:r>
        <w:rPr>
          <w:rFonts w:ascii="Consolas" w:hAnsi="Consolas" w:cs="Consolas"/>
          <w:b w:val="0"/>
          <w:i w:val="0"/>
          <w:sz w:val="15"/>
        </w:rPr>
        <w:t>EXAMPLE:    SGTX-EG-26-F3A-1</w:t>
      </w:r>
    </w:p>
    <w:p>
      <w:pPr>
        <w:spacing w:after="0" w:before="0" w:line="240" w:lineRule="auto"/>
        <w:ind w:left="57"/>
        <w:jc w:val="left"/>
        <w:shd w:val="clear" w:fill="F2F2F2"/>
      </w:pPr>
      <w:r>
        <w:rPr>
          <w:rFonts w:ascii="Consolas" w:hAnsi="Consolas" w:cs="Consolas"/>
          <w:b w:val="0"/>
          <w:i w:val="0"/>
          <w:sz w:val="15"/>
        </w:rPr>
        <w:t>COMPONENTS:</w:t>
      </w:r>
    </w:p>
    <w:p>
      <w:pPr>
        <w:spacing w:after="0" w:before="0" w:line="240" w:lineRule="auto"/>
        <w:ind w:left="57"/>
        <w:jc w:val="left"/>
        <w:shd w:val="clear" w:fill="F2F2F2"/>
      </w:pPr>
      <w:r>
        <w:rPr>
          <w:rFonts w:ascii="Consolas" w:hAnsi="Consolas" w:cs="Consolas"/>
          <w:b w:val="0"/>
          <w:i w:val="0"/>
          <w:sz w:val="15"/>
        </w:rPr>
        <w:t xml:space="preserve">  - SGTX    — 4 chars   — Fixed platform identifier</w:t>
      </w:r>
    </w:p>
    <w:p>
      <w:pPr>
        <w:spacing w:after="0" w:before="0" w:line="240" w:lineRule="auto"/>
        <w:ind w:left="57"/>
        <w:jc w:val="left"/>
        <w:shd w:val="clear" w:fill="F2F2F2"/>
      </w:pPr>
      <w:r>
        <w:rPr>
          <w:rFonts w:ascii="Consolas" w:hAnsi="Consolas" w:cs="Consolas"/>
          <w:b w:val="0"/>
          <w:i w:val="0"/>
          <w:sz w:val="15"/>
        </w:rPr>
        <w:t xml:space="preserve">  - COUNTRY — 2 chars   — ISO 3166-1 alpha-2 (EG, VN, DE, etc.)</w:t>
      </w:r>
    </w:p>
    <w:p>
      <w:pPr>
        <w:spacing w:after="0" w:before="0" w:line="240" w:lineRule="auto"/>
        <w:ind w:left="57"/>
        <w:jc w:val="left"/>
        <w:shd w:val="clear" w:fill="F2F2F2"/>
      </w:pPr>
      <w:r>
        <w:rPr>
          <w:rFonts w:ascii="Consolas" w:hAnsi="Consolas" w:cs="Consolas"/>
          <w:b w:val="0"/>
          <w:i w:val="0"/>
          <w:sz w:val="15"/>
        </w:rPr>
        <w:t xml:space="preserve">  - YEAR    — 2 chars   — Last two digits of the year (26, 27, etc.)</w:t>
      </w:r>
    </w:p>
    <w:p>
      <w:pPr>
        <w:spacing w:after="0" w:before="0" w:line="240" w:lineRule="auto"/>
        <w:ind w:left="57"/>
        <w:jc w:val="left"/>
        <w:shd w:val="clear" w:fill="F2F2F2"/>
      </w:pPr>
      <w:r>
        <w:rPr>
          <w:rFonts w:ascii="Consolas" w:hAnsi="Consolas" w:cs="Consolas"/>
          <w:b w:val="0"/>
          <w:i w:val="0"/>
          <w:sz w:val="15"/>
        </w:rPr>
        <w:t xml:space="preserve">  - TRADER  — 3 chars   — From GTID checksum (F3A, 7B3A, etc.)</w:t>
      </w:r>
    </w:p>
    <w:p>
      <w:pPr>
        <w:spacing w:after="0" w:before="0" w:line="240" w:lineRule="auto"/>
        <w:ind w:left="57"/>
        <w:jc w:val="left"/>
        <w:shd w:val="clear" w:fill="F2F2F2"/>
      </w:pPr>
      <w:r>
        <w:rPr>
          <w:rFonts w:ascii="Consolas" w:hAnsi="Consolas" w:cs="Consolas"/>
          <w:b w:val="0"/>
          <w:i w:val="0"/>
          <w:sz w:val="15"/>
        </w:rPr>
        <w:t xml:space="preserve">  - SEQ     — Variable  — Atomic BIGINT per year per trader</w:t>
      </w:r>
    </w:p>
    <w:p>
      <w:pPr>
        <w:spacing w:after="0" w:before="0" w:line="240" w:lineRule="auto"/>
        <w:ind w:left="57"/>
        <w:jc w:val="left"/>
        <w:shd w:val="clear" w:fill="F2F2F2"/>
      </w:pPr>
      <w:r>
        <w:rPr>
          <w:rFonts w:ascii="Consolas" w:hAnsi="Consolas" w:cs="Consolas"/>
          <w:b w:val="0"/>
          <w:i w:val="0"/>
          <w:sz w:val="15"/>
        </w:rPr>
        <w:t>LENGTH:     15-22 characters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EXAMPLES:</w:t>
      </w:r>
    </w:p>
    <w:p>
      <w:pPr>
        <w:spacing w:after="0" w:before="0" w:line="240" w:lineRule="auto"/>
        <w:ind w:left="57"/>
        <w:jc w:val="left"/>
        <w:shd w:val="clear" w:fill="F2F2F2"/>
      </w:pPr>
      <w:r>
        <w:rPr>
          <w:rFonts w:ascii="Consolas" w:hAnsi="Consolas" w:cs="Consolas"/>
          <w:b w:val="0"/>
          <w:i w:val="0"/>
          <w:sz w:val="15"/>
        </w:rPr>
        <w:t xml:space="preserve">  - SGTX-EG-26-F3A-1     First trade for F3A in 2026</w:t>
      </w:r>
    </w:p>
    <w:p>
      <w:pPr>
        <w:spacing w:after="0" w:before="0" w:line="240" w:lineRule="auto"/>
        <w:ind w:left="57"/>
        <w:jc w:val="left"/>
        <w:shd w:val="clear" w:fill="F2F2F2"/>
      </w:pPr>
      <w:r>
        <w:rPr>
          <w:rFonts w:ascii="Consolas" w:hAnsi="Consolas" w:cs="Consolas"/>
          <w:b w:val="0"/>
          <w:i w:val="0"/>
          <w:sz w:val="15"/>
        </w:rPr>
        <w:t xml:space="preserve">  - SGTX-EG-26-F3A-2     Second trade</w:t>
      </w:r>
    </w:p>
    <w:p>
      <w:pPr>
        <w:spacing w:after="0" w:before="0" w:line="240" w:lineRule="auto"/>
        <w:ind w:left="57"/>
        <w:jc w:val="left"/>
        <w:shd w:val="clear" w:fill="F2F2F2"/>
      </w:pPr>
      <w:r>
        <w:rPr>
          <w:rFonts w:ascii="Consolas" w:hAnsi="Consolas" w:cs="Consolas"/>
          <w:b w:val="0"/>
          <w:i w:val="0"/>
          <w:sz w:val="15"/>
        </w:rPr>
        <w:t xml:space="preserve">  - SGTX-EG-26-F3A-10    Tenth trade</w:t>
      </w:r>
    </w:p>
    <w:p>
      <w:pPr>
        <w:spacing w:after="0" w:before="0" w:line="240" w:lineRule="auto"/>
        <w:ind w:left="57"/>
        <w:jc w:val="left"/>
        <w:shd w:val="clear" w:fill="F2F2F2"/>
      </w:pPr>
      <w:r>
        <w:rPr>
          <w:rFonts w:ascii="Consolas" w:hAnsi="Consolas" w:cs="Consolas"/>
          <w:b w:val="0"/>
          <w:i w:val="0"/>
          <w:sz w:val="15"/>
        </w:rPr>
        <w:t xml:space="preserve">  - SGTX-EG-26-F3A-1000  One-thousandth trade</w:t>
      </w:r>
    </w:p>
    <w:p>
      <w:pPr>
        <w:spacing w:after="0" w:before="0" w:line="240" w:lineRule="auto"/>
        <w:ind w:left="57"/>
        <w:jc w:val="left"/>
        <w:shd w:val="clear" w:fill="F2F2F2"/>
      </w:pPr>
      <w:r>
        <w:rPr>
          <w:rFonts w:ascii="Consolas" w:hAnsi="Consolas" w:cs="Consolas"/>
          <w:b w:val="0"/>
          <w:i w:val="0"/>
          <w:sz w:val="15"/>
        </w:rPr>
        <w:t xml:space="preserve">  - SGTX-VN-26-7B3A-1    Vietnamese trader's first trade</w:t>
      </w:r>
    </w:p>
    <w:p>
      <w:pPr>
        <w:spacing w:after="0" w:before="0" w:line="240" w:lineRule="auto"/>
        <w:ind w:left="57"/>
        <w:jc w:val="left"/>
        <w:shd w:val="clear" w:fill="F2F2F2"/>
      </w:pPr>
      <w:r>
        <w:rPr>
          <w:rFonts w:ascii="Consolas" w:hAnsi="Consolas" w:cs="Consolas"/>
          <w:b w:val="0"/>
          <w:i w:val="0"/>
          <w:sz w:val="15"/>
        </w:rPr>
        <w:t xml:space="preserve">  - SGTX-EG-27-F3A-1     Same trader's first trade in 2027</w:t>
      </w:r>
    </w:p>
    <w:p>
      <w:pPr>
        <w:spacing w:after="0" w:before="0" w:line="240" w:lineRule="auto"/>
        <w:ind w:left="57"/>
        <w:jc w:val="left"/>
        <w:shd w:val="clear" w:fill="F2F2F2"/>
      </w:pPr>
      <w:r>
        <w:rPr>
          <w:rFonts w:ascii="Consolas" w:hAnsi="Consolas" w:cs="Consolas"/>
          <w:b w:val="0"/>
          <w:i w:val="0"/>
          <w:sz w:val="15"/>
        </w:rPr>
        <w:t xml:space="preserve">  - SGTX-EG-26-F3A-26    Distressed micro (parent = SGTX-EG-26-F3A-15)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VALIDATION REGEX:           ^SGTX-[A-Z]{2}-\d{2}-[A-Z0-9]{3,4}-\d+$</w:t>
      </w:r>
    </w:p>
    <w:p>
      <w:pPr>
        <w:spacing w:after="0" w:before="0" w:line="240" w:lineRule="auto"/>
        <w:ind w:left="57"/>
        <w:jc w:val="left"/>
        <w:shd w:val="clear" w:fill="F2F2F2"/>
      </w:pPr>
      <w:r>
        <w:rPr>
          <w:rFonts w:ascii="Consolas" w:hAnsi="Consolas" w:cs="Consolas"/>
          <w:b w:val="0"/>
          <w:i w:val="0"/>
          <w:sz w:val="15"/>
        </w:rPr>
        <w:t>REPLAY ATTACK PROTECTION:   USTN bound to specific shipment in database</w:t>
      </w:r>
    </w:p>
    <w:p>
      <w:pPr>
        <w:spacing w:after="0" w:before="0" w:line="240" w:lineRule="auto"/>
        <w:ind w:left="57"/>
        <w:jc w:val="left"/>
        <w:shd w:val="clear" w:fill="F2F2F2"/>
      </w:pPr>
      <w:r>
        <w:rPr>
          <w:rFonts w:ascii="Consolas" w:hAnsi="Consolas" w:cs="Consolas"/>
          <w:b w:val="0"/>
          <w:i w:val="0"/>
          <w:sz w:val="15"/>
        </w:rPr>
        <w:t>QR CODE PAYLOAD:            https://sgtx.io/ustn/{ustn}</w:t>
      </w:r>
    </w:p>
    <w:p>
      <w:pPr>
        <w:spacing w:after="0" w:before="0" w:line="240" w:lineRule="auto"/>
        <w:ind w:left="57"/>
        <w:jc w:val="left"/>
        <w:shd w:val="clear" w:fill="F2F2F2"/>
      </w:pPr>
      <w:r>
        <w:rPr>
          <w:rFonts w:ascii="Consolas" w:hAnsi="Consolas" w:cs="Consolas"/>
          <w:b w:val="0"/>
          <w:i w:val="0"/>
          <w:sz w:val="15"/>
        </w:rPr>
        <w:t>RESOLUTION:                 GET /v1/ustn/{ustn}</w:t>
      </w:r>
    </w:p>
    <w:p>
      <w:pPr>
        <w:spacing w:after="0" w:before="0" w:line="240" w:lineRule="auto"/>
        <w:ind w:left="57"/>
        <w:jc w:val="left"/>
        <w:shd w:val="clear" w:fill="F2F2F2"/>
      </w:pPr>
      <w:r>
        <w:rPr>
          <w:rFonts w:ascii="Consolas" w:hAnsi="Consolas" w:cs="Consolas"/>
          <w:b w:val="0"/>
          <w:i w:val="0"/>
          <w:sz w:val="15"/>
        </w:rPr>
        <w:t>GENERATION:                 POST /v1/identity/ustn/generate (internal)</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5.1.14 Implementation Checklist (Section 5.1)</w:t>
      </w:r>
    </w:p>
    <w:p>
      <w:pPr>
        <w:spacing w:after="80" w:line="293" w:lineRule="auto"/>
        <w:ind w:left="283"/>
        <w:jc w:val="left"/>
      </w:pPr>
      <w:r>
        <w:rPr>
          <w:rFonts w:ascii="Times New Roman" w:hAnsi="Times New Roman" w:cs="Times New Roman"/>
          <w:b w:val="0"/>
          <w:i w:val="0"/>
          <w:sz w:val="22"/>
        </w:rPr>
        <w:t>- Implement `ustn_counters` table with the atomic `next_ustn_seq` function.</w:t>
      </w:r>
    </w:p>
    <w:p>
      <w:pPr>
        <w:spacing w:after="80" w:line="293" w:lineRule="auto"/>
        <w:ind w:left="283"/>
        <w:jc w:val="left"/>
      </w:pPr>
      <w:r>
        <w:rPr>
          <w:rFonts w:ascii="Times New Roman" w:hAnsi="Times New Roman" w:cs="Times New Roman"/>
          <w:b w:val="0"/>
          <w:i w:val="0"/>
          <w:sz w:val="22"/>
        </w:rPr>
        <w:t>- Implement Rust `generate_ustn` (GTID parsing, trader ID extraction, atomic sequence acquisition).</w:t>
      </w:r>
    </w:p>
    <w:p>
      <w:pPr>
        <w:spacing w:after="80" w:line="293" w:lineRule="auto"/>
        <w:ind w:left="283"/>
        <w:jc w:val="left"/>
      </w:pPr>
      <w:r>
        <w:rPr>
          <w:rFonts w:ascii="Times New Roman" w:hAnsi="Times New Roman" w:cs="Times New Roman"/>
          <w:b w:val="0"/>
          <w:i w:val="0"/>
          <w:sz w:val="22"/>
        </w:rPr>
        <w:t>- Implement the internal generation endpoint POST /v1/identity/ustn/generate (contract-lock context only).</w:t>
      </w:r>
    </w:p>
    <w:p>
      <w:pPr>
        <w:spacing w:after="80" w:line="293" w:lineRule="auto"/>
        <w:ind w:left="283"/>
        <w:jc w:val="left"/>
      </w:pPr>
      <w:r>
        <w:rPr>
          <w:rFonts w:ascii="Times New Roman" w:hAnsi="Times New Roman" w:cs="Times New Roman"/>
          <w:b w:val="0"/>
          <w:i w:val="0"/>
          <w:sz w:val="22"/>
        </w:rPr>
        <w:t>- Implement validation (regex, country existence, current-or-previous year, positive sequence).</w:t>
      </w:r>
    </w:p>
    <w:p>
      <w:pPr>
        <w:spacing w:after="80" w:line="293" w:lineRule="auto"/>
        <w:ind w:left="283"/>
        <w:jc w:val="left"/>
      </w:pPr>
      <w:r>
        <w:rPr>
          <w:rFonts w:ascii="Times New Roman" w:hAnsi="Times New Roman" w:cs="Times New Roman"/>
          <w:b w:val="0"/>
          <w:i w:val="0"/>
          <w:sz w:val="22"/>
        </w:rPr>
        <w:t>- Add `ustn_counter` and `trader_id` columns to shipments; create `loom_verification_tokens`.</w:t>
      </w:r>
    </w:p>
    <w:p>
      <w:pPr>
        <w:spacing w:after="80" w:line="293" w:lineRule="auto"/>
        <w:ind w:left="283"/>
        <w:jc w:val="left"/>
      </w:pPr>
      <w:r>
        <w:rPr>
          <w:rFonts w:ascii="Times New Roman" w:hAnsi="Times New Roman" w:cs="Times New Roman"/>
          <w:b w:val="0"/>
          <w:i w:val="0"/>
          <w:sz w:val="22"/>
        </w:rPr>
        <w:t>- Test generation uniqueness under concurrent locks; test validation failures; test counter yearly reset.</w:t>
      </w:r>
    </w:p>
    <w:p>
      <w:pPr>
        <w:keepNext/>
        <w:spacing w:before="180" w:after="80"/>
        <w:outlineLvl w:val="2"/>
      </w:pPr>
      <w:r>
        <w:rPr>
          <w:rFonts w:ascii="Arial" w:hAnsi="Arial" w:cs="Arial"/>
          <w:b/>
          <w:i w:val="0"/>
          <w:color w:val="333333"/>
          <w:sz w:val="23"/>
        </w:rPr>
        <w:t>5.1.15 AI Authority Summary (Section 5.1)</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AI Level</w:t>
            </w:r>
          </w:p>
        </w:tc>
        <w:tc>
          <w:tcPr>
            <w:tcW w:type="dxa" w:w="3213"/>
            <w:shd w:val="clear" w:fill="D9E2F3"/>
          </w:tcPr>
          <w:p>
            <w:pPr>
              <w:spacing w:after="20" w:before="20" w:line="240" w:lineRule="auto"/>
            </w:pPr>
            <w:r/>
            <w:r>
              <w:rPr>
                <w:rFonts w:ascii="Arial" w:hAnsi="Arial" w:cs="Arial"/>
                <w:b/>
                <w:i w:val="0"/>
                <w:sz w:val="18"/>
              </w:rPr>
              <w:t>Use Cases</w:t>
            </w:r>
          </w:p>
        </w:tc>
        <w:tc>
          <w:tcPr>
            <w:tcW w:type="dxa" w:w="3213"/>
            <w:shd w:val="clear" w:fill="D9E2F3"/>
          </w:tcPr>
          <w:p>
            <w:pPr>
              <w:spacing w:after="20" w:before="20" w:line="240" w:lineRule="auto"/>
            </w:pPr>
            <w:r/>
            <w:r>
              <w:rPr>
                <w:rFonts w:ascii="Arial" w:hAnsi="Arial" w:cs="Arial"/>
                <w:b/>
                <w:i w:val="0"/>
                <w:sz w:val="18"/>
              </w:rPr>
              <w:t>Constraint</w:t>
            </w:r>
          </w:p>
        </w:tc>
      </w:tr>
      <w:tr>
        <w:tc>
          <w:tcPr>
            <w:tcW w:type="dxa" w:w="3213"/>
          </w:tcPr>
          <w:p>
            <w:pPr>
              <w:spacing w:after="20" w:before="20" w:line="240" w:lineRule="auto"/>
            </w:pPr>
            <w:r/>
            <w:r>
              <w:rPr>
                <w:rFonts w:ascii="Arial" w:hAnsi="Arial" w:cs="Arial"/>
                <w:b w:val="0"/>
                <w:i w:val="0"/>
                <w:sz w:val="17"/>
              </w:rPr>
              <w:t>A1 (Groq → Ollama)</w:t>
            </w:r>
          </w:p>
        </w:tc>
        <w:tc>
          <w:tcPr>
            <w:tcW w:type="dxa" w:w="3213"/>
          </w:tcPr>
          <w:p>
            <w:pPr>
              <w:spacing w:after="20" w:before="20" w:line="240" w:lineRule="auto"/>
            </w:pPr>
            <w:r/>
            <w:r>
              <w:rPr>
                <w:rFonts w:ascii="Arial" w:hAnsi="Arial" w:cs="Arial"/>
                <w:b w:val="0"/>
                <w:i w:val="0"/>
                <w:sz w:val="17"/>
              </w:rPr>
              <w:t>USTN autocomplete from the user's own recent USTNs; summary cards for typed USTNs</w:t>
            </w:r>
          </w:p>
        </w:tc>
        <w:tc>
          <w:tcPr>
            <w:tcW w:type="dxa" w:w="3213"/>
          </w:tcPr>
          <w:p>
            <w:pPr>
              <w:spacing w:after="20" w:before="20" w:line="240" w:lineRule="auto"/>
            </w:pPr>
            <w:r/>
            <w:r>
              <w:rPr>
                <w:rFonts w:ascii="Arial" w:hAnsi="Arial" w:cs="Arial"/>
                <w:b w:val="0"/>
                <w:i w:val="0"/>
                <w:sz w:val="17"/>
              </w:rPr>
              <w:t>Never suggests "similar trades of others"; cannot block actions</w:t>
            </w:r>
          </w:p>
        </w:tc>
      </w:tr>
      <w:tr>
        <w:tc>
          <w:tcPr>
            <w:tcW w:type="dxa" w:w="3213"/>
          </w:tcPr>
          <w:p>
            <w:pPr>
              <w:spacing w:after="20" w:before="20" w:line="240" w:lineRule="auto"/>
            </w:pPr>
            <w:r/>
            <w:r>
              <w:rPr>
                <w:rFonts w:ascii="Arial" w:hAnsi="Arial" w:cs="Arial"/>
                <w:b w:val="0"/>
                <w:i w:val="0"/>
                <w:sz w:val="17"/>
              </w:rPr>
              <w:t>A2 (HF local → Ollama)</w:t>
            </w:r>
          </w:p>
        </w:tc>
        <w:tc>
          <w:tcPr>
            <w:tcW w:type="dxa" w:w="3213"/>
          </w:tcPr>
          <w:p>
            <w:pPr>
              <w:spacing w:after="20" w:before="20" w:line="240" w:lineRule="auto"/>
            </w:pPr>
            <w:r/>
            <w:r>
              <w:rPr>
                <w:rFonts w:ascii="Arial" w:hAnsi="Arial" w:cs="Arial"/>
                <w:b w:val="0"/>
                <w:i w:val="0"/>
                <w:sz w:val="17"/>
              </w:rPr>
              <w:t>QR code scanning assistance, USTN extraction from documents</w:t>
            </w:r>
          </w:p>
        </w:tc>
        <w:tc>
          <w:tcPr>
            <w:tcW w:type="dxa" w:w="3213"/>
          </w:tcPr>
          <w:p>
            <w:pPr>
              <w:spacing w:after="20" w:before="20" w:line="240" w:lineRule="auto"/>
            </w:pPr>
            <w:r/>
            <w:r>
              <w:rPr>
                <w:rFonts w:ascii="Arial" w:hAnsi="Arial" w:cs="Arial"/>
                <w:b w:val="0"/>
                <w:i w:val="0"/>
                <w:sz w:val="17"/>
              </w:rPr>
              <w:t>Classification only; Governor decides</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Generation gating (contract lock only), counter atomicity, validation regex enforcement</w:t>
            </w:r>
          </w:p>
        </w:tc>
        <w:tc>
          <w:tcPr>
            <w:tcW w:type="dxa" w:w="3213"/>
          </w:tcPr>
          <w:p>
            <w:pPr>
              <w:spacing w:after="20" w:before="20" w:line="240" w:lineRule="auto"/>
            </w:pPr>
            <w:r/>
            <w:r>
              <w:rPr>
                <w:rFonts w:ascii="Arial" w:hAnsi="Arial" w:cs="Arial"/>
                <w:b w:val="0"/>
                <w:i w:val="0"/>
                <w:sz w:val="17"/>
              </w:rPr>
              <w:t>Auto-executes within constitutional bounds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5.1.16 Canonical Identity Model — Request UUID, Request Reference, Contract ID, Shipment ID &amp; USTN</w:t>
      </w:r>
    </w:p>
    <w:p>
      <w:pPr>
        <w:spacing w:after="80" w:line="293" w:lineRule="auto"/>
        <w:jc w:val="left"/>
      </w:pPr>
      <w:r>
        <w:rPr>
          <w:rFonts w:ascii="Times New Roman" w:hAnsi="Times New Roman" w:cs="Times New Roman"/>
          <w:b w:val="0"/>
          <w:i w:val="0"/>
          <w:sz w:val="22"/>
        </w:rPr>
        <w:t>The platform maintains five distinct identifier classes for trade objects. They are not interchangeable, and every API, database schema, event, and document flow must preserve their distinct semantics: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Identifier</w:t>
            </w:r>
          </w:p>
        </w:tc>
        <w:tc>
          <w:tcPr>
            <w:tcW w:type="dxa" w:w="2409"/>
            <w:shd w:val="clear" w:fill="D9E2F3"/>
          </w:tcPr>
          <w:p>
            <w:pPr>
              <w:spacing w:after="20" w:before="20" w:line="240" w:lineRule="auto"/>
            </w:pPr>
            <w:r/>
            <w:r>
              <w:rPr>
                <w:rFonts w:ascii="Arial" w:hAnsi="Arial" w:cs="Arial"/>
                <w:b/>
                <w:i w:val="0"/>
                <w:sz w:val="18"/>
              </w:rPr>
              <w:t>Class</w:t>
            </w:r>
          </w:p>
        </w:tc>
        <w:tc>
          <w:tcPr>
            <w:tcW w:type="dxa" w:w="2409"/>
            <w:shd w:val="clear" w:fill="D9E2F3"/>
          </w:tcPr>
          <w:p>
            <w:pPr>
              <w:spacing w:after="20" w:before="20" w:line="240" w:lineRule="auto"/>
            </w:pPr>
            <w:r/>
            <w:r>
              <w:rPr>
                <w:rFonts w:ascii="Arial" w:hAnsi="Arial" w:cs="Arial"/>
                <w:b/>
                <w:i w:val="0"/>
                <w:sz w:val="18"/>
              </w:rPr>
              <w:t>Created At</w:t>
            </w:r>
          </w:p>
        </w:tc>
        <w:tc>
          <w:tcPr>
            <w:tcW w:type="dxa" w:w="2409"/>
            <w:shd w:val="clear" w:fill="D9E2F3"/>
          </w:tcPr>
          <w:p>
            <w:pPr>
              <w:spacing w:after="20" w:before="20" w:line="240" w:lineRule="auto"/>
            </w:pPr>
            <w:r/>
            <w:r>
              <w:rPr>
                <w:rFonts w:ascii="Arial" w:hAnsi="Arial" w:cs="Arial"/>
                <w:b/>
                <w:i w:val="0"/>
                <w:sz w:val="18"/>
              </w:rPr>
              <w:t>Semantics</w:t>
            </w:r>
          </w:p>
        </w:tc>
      </w:tr>
      <w:tr>
        <w:tc>
          <w:tcPr>
            <w:tcW w:type="dxa" w:w="2409"/>
          </w:tcPr>
          <w:p>
            <w:pPr>
              <w:spacing w:after="20" w:before="20" w:line="240" w:lineRule="auto"/>
            </w:pPr>
            <w:r/>
            <w:r>
              <w:rPr>
                <w:rFonts w:ascii="Arial" w:hAnsi="Arial" w:cs="Arial"/>
                <w:b w:val="0"/>
                <w:i w:val="0"/>
                <w:sz w:val="17"/>
              </w:rPr>
              <w:t>Request UUID</w:t>
            </w:r>
          </w:p>
        </w:tc>
        <w:tc>
          <w:tcPr>
            <w:tcW w:type="dxa" w:w="2409"/>
          </w:tcPr>
          <w:p>
            <w:pPr>
              <w:spacing w:after="20" w:before="20" w:line="240" w:lineRule="auto"/>
            </w:pPr>
            <w:r/>
            <w:r>
              <w:rPr>
                <w:rFonts w:ascii="Arial" w:hAnsi="Arial" w:cs="Arial"/>
                <w:b w:val="0"/>
                <w:i w:val="0"/>
                <w:sz w:val="17"/>
              </w:rPr>
              <w:t>Technical (immutable)</w:t>
            </w:r>
          </w:p>
        </w:tc>
        <w:tc>
          <w:tcPr>
            <w:tcW w:type="dxa" w:w="2409"/>
          </w:tcPr>
          <w:p>
            <w:pPr>
              <w:spacing w:after="20" w:before="20" w:line="240" w:lineRule="auto"/>
            </w:pPr>
            <w:r/>
            <w:r>
              <w:rPr>
                <w:rFonts w:ascii="Arial" w:hAnsi="Arial" w:cs="Arial"/>
                <w:b w:val="0"/>
                <w:i w:val="0"/>
                <w:sz w:val="17"/>
              </w:rPr>
              <w:t>Trade-request creation</w:t>
            </w:r>
          </w:p>
        </w:tc>
        <w:tc>
          <w:tcPr>
            <w:tcW w:type="dxa" w:w="2409"/>
          </w:tcPr>
          <w:p>
            <w:pPr>
              <w:spacing w:after="20" w:before="20" w:line="240" w:lineRule="auto"/>
            </w:pPr>
            <w:r/>
            <w:r>
              <w:rPr>
                <w:rFonts w:ascii="Arial" w:hAnsi="Arial" w:cs="Arial"/>
                <w:b w:val="0"/>
                <w:i w:val="0"/>
                <w:sz w:val="17"/>
              </w:rPr>
              <w:t>System-generated immutable technical identifier of the trade request; the correlation key for all pre-lock activity</w:t>
            </w:r>
          </w:p>
        </w:tc>
      </w:tr>
      <w:tr>
        <w:tc>
          <w:tcPr>
            <w:tcW w:type="dxa" w:w="2409"/>
          </w:tcPr>
          <w:p>
            <w:pPr>
              <w:spacing w:after="20" w:before="20" w:line="240" w:lineRule="auto"/>
            </w:pPr>
            <w:r/>
            <w:r>
              <w:rPr>
                <w:rFonts w:ascii="Arial" w:hAnsi="Arial" w:cs="Arial"/>
                <w:b w:val="0"/>
                <w:i w:val="0"/>
                <w:sz w:val="17"/>
              </w:rPr>
              <w:t>Request Reference</w:t>
            </w:r>
          </w:p>
        </w:tc>
        <w:tc>
          <w:tcPr>
            <w:tcW w:type="dxa" w:w="2409"/>
          </w:tcPr>
          <w:p>
            <w:pPr>
              <w:spacing w:after="20" w:before="20" w:line="240" w:lineRule="auto"/>
            </w:pPr>
            <w:r/>
            <w:r>
              <w:rPr>
                <w:rFonts w:ascii="Arial" w:hAnsi="Arial" w:cs="Arial"/>
                <w:b w:val="0"/>
                <w:i w:val="0"/>
                <w:sz w:val="17"/>
              </w:rPr>
              <w:t>Operational (opaque)</w:t>
            </w:r>
          </w:p>
        </w:tc>
        <w:tc>
          <w:tcPr>
            <w:tcW w:type="dxa" w:w="2409"/>
          </w:tcPr>
          <w:p>
            <w:pPr>
              <w:spacing w:after="20" w:before="20" w:line="240" w:lineRule="auto"/>
            </w:pPr>
            <w:r/>
            <w:r>
              <w:rPr>
                <w:rFonts w:ascii="Arial" w:hAnsi="Arial" w:cs="Arial"/>
                <w:b w:val="0"/>
                <w:i w:val="0"/>
                <w:sz w:val="17"/>
              </w:rPr>
              <w:t>Trade-request creation</w:t>
            </w:r>
          </w:p>
        </w:tc>
        <w:tc>
          <w:tcPr>
            <w:tcW w:type="dxa" w:w="2409"/>
          </w:tcPr>
          <w:p>
            <w:pPr>
              <w:spacing w:after="20" w:before="20" w:line="240" w:lineRule="auto"/>
            </w:pPr>
            <w:r/>
            <w:r>
              <w:rPr>
                <w:rFonts w:ascii="Arial" w:hAnsi="Arial" w:cs="Arial"/>
                <w:b w:val="0"/>
                <w:i w:val="0"/>
                <w:sz w:val="17"/>
              </w:rPr>
              <w:t>Human-facing reference for operational navigation and support; carries no canonical semantics</w:t>
            </w:r>
          </w:p>
        </w:tc>
      </w:tr>
      <w:tr>
        <w:tc>
          <w:tcPr>
            <w:tcW w:type="dxa" w:w="2409"/>
          </w:tcPr>
          <w:p>
            <w:pPr>
              <w:spacing w:after="20" w:before="20" w:line="240" w:lineRule="auto"/>
            </w:pPr>
            <w:r/>
            <w:r>
              <w:rPr>
                <w:rFonts w:ascii="Arial" w:hAnsi="Arial" w:cs="Arial"/>
                <w:b w:val="0"/>
                <w:i w:val="0"/>
                <w:sz w:val="17"/>
              </w:rPr>
              <w:t>Contract ID</w:t>
            </w:r>
          </w:p>
        </w:tc>
        <w:tc>
          <w:tcPr>
            <w:tcW w:type="dxa" w:w="2409"/>
          </w:tcPr>
          <w:p>
            <w:pPr>
              <w:spacing w:after="20" w:before="20" w:line="240" w:lineRule="auto"/>
            </w:pPr>
            <w:r/>
            <w:r>
              <w:rPr>
                <w:rFonts w:ascii="Arial" w:hAnsi="Arial" w:cs="Arial"/>
                <w:b w:val="0"/>
                <w:i w:val="0"/>
                <w:sz w:val="17"/>
              </w:rPr>
              <w:t>Commercial object</w:t>
            </w:r>
          </w:p>
        </w:tc>
        <w:tc>
          <w:tcPr>
            <w:tcW w:type="dxa" w:w="2409"/>
          </w:tcPr>
          <w:p>
            <w:pPr>
              <w:spacing w:after="20" w:before="20" w:line="240" w:lineRule="auto"/>
            </w:pPr>
            <w:r/>
            <w:r>
              <w:rPr>
                <w:rFonts w:ascii="Arial" w:hAnsi="Arial" w:cs="Arial"/>
                <w:b w:val="0"/>
                <w:i w:val="0"/>
                <w:sz w:val="17"/>
              </w:rPr>
              <w:t>Contract formation</w:t>
            </w:r>
          </w:p>
        </w:tc>
        <w:tc>
          <w:tcPr>
            <w:tcW w:type="dxa" w:w="2409"/>
          </w:tcPr>
          <w:p>
            <w:pPr>
              <w:spacing w:after="20" w:before="20" w:line="240" w:lineRule="auto"/>
            </w:pPr>
            <w:r/>
            <w:r>
              <w:rPr>
                <w:rFonts w:ascii="Arial" w:hAnsi="Arial" w:cs="Arial"/>
                <w:b w:val="0"/>
                <w:i w:val="0"/>
                <w:sz w:val="17"/>
              </w:rPr>
              <w:t>Identifies the contractual object binding buyer and seller</w:t>
            </w:r>
          </w:p>
        </w:tc>
      </w:tr>
      <w:tr>
        <w:tc>
          <w:tcPr>
            <w:tcW w:type="dxa" w:w="2409"/>
          </w:tcPr>
          <w:p>
            <w:pPr>
              <w:spacing w:after="20" w:before="20" w:line="240" w:lineRule="auto"/>
            </w:pPr>
            <w:r/>
            <w:r>
              <w:rPr>
                <w:rFonts w:ascii="Arial" w:hAnsi="Arial" w:cs="Arial"/>
                <w:b w:val="0"/>
                <w:i w:val="0"/>
                <w:sz w:val="17"/>
              </w:rPr>
              <w:t>Shipment ID</w:t>
            </w:r>
          </w:p>
        </w:tc>
        <w:tc>
          <w:tcPr>
            <w:tcW w:type="dxa" w:w="2409"/>
          </w:tcPr>
          <w:p>
            <w:pPr>
              <w:spacing w:after="20" w:before="20" w:line="240" w:lineRule="auto"/>
            </w:pPr>
            <w:r/>
            <w:r>
              <w:rPr>
                <w:rFonts w:ascii="Arial" w:hAnsi="Arial" w:cs="Arial"/>
                <w:b w:val="0"/>
                <w:i w:val="0"/>
                <w:sz w:val="17"/>
              </w:rPr>
              <w:t>Execution object</w:t>
            </w:r>
          </w:p>
        </w:tc>
        <w:tc>
          <w:tcPr>
            <w:tcW w:type="dxa" w:w="2409"/>
          </w:tcPr>
          <w:p>
            <w:pPr>
              <w:spacing w:after="20" w:before="20" w:line="240" w:lineRule="auto"/>
            </w:pPr>
            <w:r/>
            <w:r>
              <w:rPr>
                <w:rFonts w:ascii="Arial" w:hAnsi="Arial" w:cs="Arial"/>
                <w:b w:val="0"/>
                <w:i w:val="0"/>
                <w:sz w:val="17"/>
              </w:rPr>
              <w:t>Shipment definition</w:t>
            </w:r>
          </w:p>
        </w:tc>
        <w:tc>
          <w:tcPr>
            <w:tcW w:type="dxa" w:w="2409"/>
          </w:tcPr>
          <w:p>
            <w:pPr>
              <w:spacing w:after="20" w:before="20" w:line="240" w:lineRule="auto"/>
            </w:pPr>
            <w:r/>
            <w:r>
              <w:rPr>
                <w:rFonts w:ascii="Arial" w:hAnsi="Arial" w:cs="Arial"/>
                <w:b w:val="0"/>
                <w:i w:val="0"/>
                <w:sz w:val="17"/>
              </w:rPr>
              <w:t>Identifies one individual shipment execution object under a contract</w:t>
            </w:r>
          </w:p>
        </w:tc>
      </w:tr>
      <w:tr>
        <w:tc>
          <w:tcPr>
            <w:tcW w:type="dxa" w:w="2409"/>
          </w:tcPr>
          <w:p>
            <w:pPr>
              <w:spacing w:after="20" w:before="20" w:line="240" w:lineRule="auto"/>
            </w:pPr>
            <w:r/>
            <w:r>
              <w:rPr>
                <w:rFonts w:ascii="Arial" w:hAnsi="Arial" w:cs="Arial"/>
                <w:b w:val="0"/>
                <w:i w:val="0"/>
                <w:sz w:val="17"/>
              </w:rPr>
              <w:t>USTN</w:t>
            </w:r>
          </w:p>
        </w:tc>
        <w:tc>
          <w:tcPr>
            <w:tcW w:type="dxa" w:w="2409"/>
          </w:tcPr>
          <w:p>
            <w:pPr>
              <w:spacing w:after="20" w:before="20" w:line="240" w:lineRule="auto"/>
            </w:pPr>
            <w:r/>
            <w:r>
              <w:rPr>
                <w:rFonts w:ascii="Arial" w:hAnsi="Arial" w:cs="Arial"/>
                <w:b w:val="0"/>
                <w:i w:val="0"/>
                <w:sz w:val="17"/>
              </w:rPr>
              <w:t>Canonical namespace</w:t>
            </w:r>
          </w:p>
        </w:tc>
        <w:tc>
          <w:tcPr>
            <w:tcW w:type="dxa" w:w="2409"/>
          </w:tcPr>
          <w:p>
            <w:pPr>
              <w:spacing w:after="20" w:before="20" w:line="240" w:lineRule="auto"/>
            </w:pPr>
            <w:r/>
            <w:r>
              <w:rPr>
                <w:rFonts w:ascii="Arial" w:hAnsi="Arial" w:cs="Arial"/>
                <w:b w:val="0"/>
                <w:i w:val="0"/>
                <w:sz w:val="17"/>
              </w:rPr>
              <w:t>Authoritative lock event</w:t>
            </w:r>
          </w:p>
        </w:tc>
        <w:tc>
          <w:tcPr>
            <w:tcW w:type="dxa" w:w="2409"/>
          </w:tcPr>
          <w:p>
            <w:pPr>
              <w:spacing w:after="20" w:before="20" w:line="240" w:lineRule="auto"/>
            </w:pPr>
            <w:r/>
            <w:r>
              <w:rPr>
                <w:rFonts w:ascii="Arial" w:hAnsi="Arial" w:cs="Arial"/>
                <w:b w:val="0"/>
                <w:i w:val="0"/>
                <w:sz w:val="17"/>
              </w:rPr>
              <w:t>The canonical trade/shipment namespace for all downstream execution, logistics, customs, documentation, settlement, financing, dispute, reconciliation, evidence, and audit operations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trade request may exist before any USTN exists. The canonical generation sequence is therefore:</w:t>
      </w:r>
    </w:p>
    <w:p>
      <w:pPr>
        <w:spacing w:after="0" w:before="0" w:line="240" w:lineRule="auto"/>
        <w:ind w:left="57"/>
        <w:jc w:val="left"/>
        <w:shd w:val="clear" w:fill="F2F2F2"/>
      </w:pPr>
      <w:r>
        <w:rPr>
          <w:rFonts w:ascii="Consolas" w:hAnsi="Consolas" w:cs="Consolas"/>
          <w:b w:val="0"/>
          <w:i w:val="0"/>
          <w:sz w:val="15"/>
        </w:rPr>
        <w:t>TRADE REQUEST CREATED  (Request UUID assigned)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QUOTE / NEGOTIATION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AGREEMENT  (commercial terms mutually confirmed)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CONTRACT READY FOR LOCK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GOVERNED LOCK VALIDATION  (Section 9.36)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USTN GENERATED  (authoritative lock event, Section 9.39)</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USTN is never required merely to create an initial trade request, and no pre-lock API mutation requires a USTN. Pre-USTN mutations use the Request UUID, Contract ID, or Shipment ID as appropriate to the object being mutated. Once the authoritative shipment lock occurs, the USTN becomes the mandatory canonical correlation identity for every downstream operation on that shipment. The API validation rules that enforce this phase awareness are specified in Section 5.8.5.</w:t>
      </w:r>
    </w:p>
    <w:p>
      <w:pPr>
        <w:spacing w:after="80" w:line="293" w:lineRule="auto"/>
        <w:jc w:val="left"/>
      </w:pPr>
      <w:r>
        <w:rPr>
          <w:rFonts w:ascii="Times New Roman" w:hAnsi="Times New Roman" w:cs="Times New Roman"/>
          <w:b w:val="0"/>
          <w:i w:val="0"/>
          <w:sz w:val="22"/>
        </w:rPr>
        <w:t>Master contracts and the USTN namespace follow the rule: a master contract is not a master USTN. A master contract may contain multiple shipments, and each shipment independently obtains its own shipment_id, its own USTN, its own lock state, its own fee state, its own execution state, its own documents, its own milestones, its own financial state, its own reconciliation state, and its own closure state. No synthetic master USTN is ever created merely because a master contract exists. The master contract provides grouping and correlation exclusively through the master_contract_id, while every shipment possesses its own canonical USTN. Each shipment may independently execute, settle, reconcile, dispute, reverse, or close; the failure or delay of shipment A never automatically blocks shipment B unless an explicit dependency exists in the transaction dependency graph (Section 19.67.1).</w:t>
      </w:r>
    </w:p>
    <w:p>
      <w:pPr>
        <w:keepNext/>
        <w:spacing w:before="240" w:after="100"/>
        <w:outlineLvl w:val="1"/>
      </w:pPr>
      <w:r>
        <w:rPr>
          <w:rFonts w:ascii="Arial" w:hAnsi="Arial" w:cs="Arial"/>
          <w:b/>
          <w:i w:val="0"/>
          <w:color w:val="2E528F"/>
          <w:sz w:val="26"/>
        </w:rPr>
        <w:t>5.2 Lifecycle &amp; Status Management</w:t>
      </w:r>
    </w:p>
    <w:p>
      <w:pPr>
        <w:keepNext/>
        <w:spacing w:before="180" w:after="80"/>
        <w:outlineLvl w:val="2"/>
      </w:pPr>
      <w:r>
        <w:rPr>
          <w:rFonts w:ascii="Arial" w:hAnsi="Arial" w:cs="Arial"/>
          <w:b/>
          <w:i w:val="0"/>
          <w:color w:val="333333"/>
          <w:sz w:val="23"/>
        </w:rPr>
        <w:t>5.2.1 Purpose &amp; Design Philosophy</w:t>
      </w:r>
    </w:p>
    <w:p>
      <w:pPr>
        <w:spacing w:after="80" w:line="293" w:lineRule="auto"/>
        <w:jc w:val="left"/>
      </w:pPr>
      <w:r>
        <w:rPr>
          <w:rFonts w:ascii="Times New Roman" w:hAnsi="Times New Roman" w:cs="Times New Roman"/>
          <w:b w:val="0"/>
          <w:i w:val="0"/>
          <w:sz w:val="22"/>
        </w:rPr>
        <w:t>The USTN Lifecycle defines the complete journey of a trade transaction from the moment the USTN is generated at contract lock until the trade is fully settled and archived. The lifecycle is a state machine that tracks every significant event, milestone, and status change, ensuring that all parties have real-time visibility into the progress of the shipment.</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Single Source of Truth — the USTN master object in the shipments table holds the current state and all historical events.</w:t>
      </w:r>
    </w:p>
    <w:p>
      <w:pPr>
        <w:spacing w:after="80" w:line="293" w:lineRule="auto"/>
        <w:ind w:left="283"/>
        <w:jc w:val="left"/>
      </w:pPr>
      <w:r>
        <w:rPr>
          <w:rFonts w:ascii="Times New Roman" w:hAnsi="Times New Roman" w:cs="Times New Roman"/>
          <w:b w:val="0"/>
          <w:i w:val="0"/>
          <w:sz w:val="22"/>
        </w:rPr>
        <w:t>- Deterministic State Transitions — each status change is triggered by a specific action (e.g., payment confirmation, milestone confirmation) and is governed by the Governor.</w:t>
      </w:r>
    </w:p>
    <w:p>
      <w:pPr>
        <w:spacing w:after="80" w:line="293" w:lineRule="auto"/>
        <w:ind w:left="283"/>
        <w:jc w:val="left"/>
      </w:pPr>
      <w:r>
        <w:rPr>
          <w:rFonts w:ascii="Times New Roman" w:hAnsi="Times New Roman" w:cs="Times New Roman"/>
          <w:b w:val="0"/>
          <w:i w:val="0"/>
          <w:sz w:val="22"/>
        </w:rPr>
        <w:t>- Immutable History — every status change is logged immutably via Loom, providing a tamper-evident audit trail.</w:t>
      </w:r>
    </w:p>
    <w:p>
      <w:pPr>
        <w:spacing w:after="80" w:line="293" w:lineRule="auto"/>
        <w:ind w:left="283"/>
        <w:jc w:val="left"/>
      </w:pPr>
      <w:r>
        <w:rPr>
          <w:rFonts w:ascii="Times New Roman" w:hAnsi="Times New Roman" w:cs="Times New Roman"/>
          <w:b w:val="0"/>
          <w:i w:val="0"/>
          <w:sz w:val="22"/>
        </w:rPr>
        <w:t>- Role-Based Visibility — different parties see different levels of detail based on their permissions.</w:t>
      </w:r>
    </w:p>
    <w:p>
      <w:pPr>
        <w:spacing w:after="80" w:line="293" w:lineRule="auto"/>
        <w:ind w:left="283"/>
        <w:jc w:val="left"/>
      </w:pPr>
      <w:r>
        <w:rPr>
          <w:rFonts w:ascii="Times New Roman" w:hAnsi="Times New Roman" w:cs="Times New Roman"/>
          <w:b w:val="0"/>
          <w:i w:val="0"/>
          <w:sz w:val="22"/>
        </w:rPr>
        <w:t>- Real-Time Updates — status changes are broadcast via NATS, updating all relevant dashboards and Smart Inboxes instantly.</w:t>
      </w:r>
    </w:p>
    <w:p>
      <w:pPr>
        <w:spacing w:after="80" w:line="293" w:lineRule="auto"/>
        <w:jc w:val="left"/>
      </w:pPr>
      <w:r>
        <w:rPr>
          <w:rFonts w:ascii="Times New Roman" w:hAnsi="Times New Roman" w:cs="Times New Roman"/>
          <w:b w:val="0"/>
          <w:i w:val="0"/>
          <w:sz w:val="22"/>
        </w:rPr>
        <w:t>The USTN Lifecycle is the backbone of the SGTX trade execution engine. It ensures that every party — buyer, seller, logistics providers, financiers, customs, and government — knows exactly where the shipment stands at any given moment.</w:t>
      </w:r>
    </w:p>
    <w:p>
      <w:pPr>
        <w:keepNext/>
        <w:spacing w:before="180" w:after="80"/>
        <w:outlineLvl w:val="2"/>
      </w:pPr>
      <w:r>
        <w:rPr>
          <w:rFonts w:ascii="Arial" w:hAnsi="Arial" w:cs="Arial"/>
          <w:b/>
          <w:i w:val="0"/>
          <w:color w:val="333333"/>
          <w:sz w:val="23"/>
        </w:rPr>
        <w:t>5.2.2 Lifecycle State Machine</w:t>
      </w:r>
    </w:p>
    <w:p>
      <w:pPr>
        <w:spacing w:after="80" w:line="293" w:lineRule="auto"/>
        <w:jc w:val="left"/>
      </w:pPr>
      <w:r>
        <w:rPr>
          <w:rFonts w:ascii="Times New Roman" w:hAnsi="Times New Roman" w:cs="Times New Roman"/>
          <w:b w:val="0"/>
          <w:i w:val="0"/>
          <w:sz w:val="22"/>
        </w:rPr>
        <w:t>The USTN transitions through a predefined set of statuses (16 total). Each status has a clear definition, trigger, and responsible party. Status changes are recorded in the `shipments.status` column and trigger Smart Inbox updates.</w:t>
      </w:r>
    </w:p>
    <w:p>
      <w:pPr>
        <w:spacing w:after="80" w:line="293" w:lineRule="auto"/>
        <w:jc w:val="left"/>
      </w:pPr>
      <w:r>
        <w:rPr>
          <w:rFonts w:ascii="Times New Roman" w:hAnsi="Times New Roman" w:cs="Times New Roman"/>
          <w:b w:val="0"/>
          <w:i w:val="0"/>
          <w:sz w:val="22"/>
        </w:rPr>
        <w:t>Status machine (13 sequential + 3 special):</w:t>
      </w:r>
    </w:p>
    <w:p>
      <w:pPr>
        <w:spacing w:after="0" w:before="0" w:line="240" w:lineRule="auto"/>
        <w:ind w:left="57"/>
        <w:jc w:val="left"/>
        <w:shd w:val="clear" w:fill="F2F2F2"/>
      </w:pPr>
      <w:r>
        <w:rPr>
          <w:rFonts w:ascii="Consolas" w:hAnsi="Consolas" w:cs="Consolas"/>
          <w:b w:val="0"/>
          <w:i w:val="0"/>
          <w:sz w:val="15"/>
        </w:rPr>
        <w:t>INITIATED → STAGE1_PENDING → STAGE1_SETTLED → CUSTOMS_SUBMITTED → BOOKED →</w:t>
      </w:r>
    </w:p>
    <w:p>
      <w:pPr>
        <w:spacing w:after="0" w:before="0" w:line="240" w:lineRule="auto"/>
        <w:ind w:left="57"/>
        <w:jc w:val="left"/>
        <w:shd w:val="clear" w:fill="F2F2F2"/>
      </w:pPr>
      <w:r>
        <w:rPr>
          <w:rFonts w:ascii="Consolas" w:hAnsi="Consolas" w:cs="Consolas"/>
          <w:b w:val="0"/>
          <w:i w:val="0"/>
          <w:sz w:val="15"/>
        </w:rPr>
        <w:t>LOADED → DEPARTED → IN_TRANSIT → ARRIVED → CUSTOMS_IMPORT → DELIVERED →</w:t>
      </w:r>
    </w:p>
    <w:p>
      <w:pPr>
        <w:spacing w:after="0" w:before="0" w:line="240" w:lineRule="auto"/>
        <w:ind w:left="57"/>
        <w:jc w:val="left"/>
        <w:shd w:val="clear" w:fill="F2F2F2"/>
      </w:pPr>
      <w:r>
        <w:rPr>
          <w:rFonts w:ascii="Consolas" w:hAnsi="Consolas" w:cs="Consolas"/>
          <w:b w:val="0"/>
          <w:i w:val="0"/>
          <w:sz w:val="15"/>
        </w:rPr>
        <w:t>SETTLED → COMPLETED</w:t>
      </w:r>
    </w:p>
    <w:p>
      <w:pPr>
        <w:spacing w:after="0" w:before="0" w:line="240" w:lineRule="auto"/>
        <w:ind w:left="57"/>
        <w:jc w:val="left"/>
        <w:shd w:val="clear" w:fill="F2F2F2"/>
      </w:pPr>
      <w:r>
        <w:rPr>
          <w:rFonts w:ascii="Consolas" w:hAnsi="Consolas" w:cs="Consolas"/>
          <w:b w:val="0"/>
          <w:i w:val="0"/>
          <w:sz w:val="15"/>
        </w:rPr>
        <w:t>Special statuses: DISPUTED, DISTRESSED, CANCELLED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Timeline (Healthy Trade) — USTN Generated at Lock: SGTX-EG-26-F3A-1:</w:t>
      </w:r>
    </w:p>
    <w:p>
      <w:pPr>
        <w:spacing w:after="0" w:before="0" w:line="240" w:lineRule="auto"/>
        <w:ind w:left="57"/>
        <w:jc w:val="left"/>
        <w:shd w:val="clear" w:fill="F2F2F2"/>
      </w:pPr>
      <w:r>
        <w:rPr>
          <w:rFonts w:ascii="Consolas" w:hAnsi="Consolas" w:cs="Consolas"/>
          <w:b w:val="0"/>
          <w:i w:val="0"/>
          <w:sz w:val="15"/>
        </w:rPr>
        <w:t>SGTX-EG-26-F3A-1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INITIATED → STAGE1_PENDING → STAGE1_SETTLED → CUSTOMS_SUBMITTED → BOOKED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LOADED → DEPARTED → IN_TRANSIT → ARRIVED → CUSTOMS_IMPORT → DELIVERED → SETTLED → COMPLETED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5.2.3 Detailed Status Descriptions</w:t>
      </w:r>
    </w:p>
    <w:p>
      <w:pPr>
        <w:keepNext/>
        <w:spacing w:before="140" w:after="60"/>
        <w:outlineLvl w:val="3"/>
      </w:pPr>
      <w:r>
        <w:rPr>
          <w:rFonts w:ascii="Arial" w:hAnsi="Arial" w:cs="Arial"/>
          <w:b/>
          <w:i/>
          <w:color w:val="333333"/>
          <w:sz w:val="22"/>
        </w:rPr>
        <w:t>5.2.3.1 INITIATED</w:t>
      </w:r>
    </w:p>
    <w:p>
      <w:pPr>
        <w:spacing w:after="80" w:line="293" w:lineRule="auto"/>
        <w:ind w:left="283"/>
        <w:jc w:val="left"/>
      </w:pPr>
      <w:r>
        <w:rPr>
          <w:rFonts w:ascii="Times New Roman" w:hAnsi="Times New Roman" w:cs="Times New Roman"/>
          <w:b w:val="0"/>
          <w:i w:val="0"/>
          <w:sz w:val="22"/>
        </w:rPr>
        <w:t>- Description: the trade request has been created by the buyer. The USTN has not yet been generated because the contract is not locked.</w:t>
      </w:r>
    </w:p>
    <w:p>
      <w:pPr>
        <w:spacing w:after="80" w:line="293" w:lineRule="auto"/>
        <w:ind w:left="283"/>
        <w:jc w:val="left"/>
      </w:pPr>
      <w:r>
        <w:rPr>
          <w:rFonts w:ascii="Times New Roman" w:hAnsi="Times New Roman" w:cs="Times New Roman"/>
          <w:b w:val="0"/>
          <w:i w:val="0"/>
          <w:sz w:val="22"/>
        </w:rPr>
        <w:t>- Trigger: buyer submits the structured trade request form.</w:t>
      </w:r>
    </w:p>
    <w:p>
      <w:pPr>
        <w:spacing w:after="80" w:line="293" w:lineRule="auto"/>
        <w:ind w:left="283"/>
        <w:jc w:val="left"/>
      </w:pPr>
      <w:r>
        <w:rPr>
          <w:rFonts w:ascii="Times New Roman" w:hAnsi="Times New Roman" w:cs="Times New Roman"/>
          <w:b w:val="0"/>
          <w:i w:val="0"/>
          <w:sz w:val="22"/>
        </w:rPr>
        <w:t>- Responsible Party: Buyer.</w:t>
      </w:r>
    </w:p>
    <w:p>
      <w:pPr>
        <w:spacing w:after="80" w:line="293" w:lineRule="auto"/>
        <w:ind w:left="283"/>
        <w:jc w:val="left"/>
      </w:pPr>
      <w:r>
        <w:rPr>
          <w:rFonts w:ascii="Times New Roman" w:hAnsi="Times New Roman" w:cs="Times New Roman"/>
          <w:b w:val="0"/>
          <w:i w:val="0"/>
          <w:sz w:val="22"/>
        </w:rPr>
        <w:t>- Actions Allowed: seller can accept, decline, or propose modifications.</w:t>
      </w:r>
    </w:p>
    <w:p>
      <w:pPr>
        <w:spacing w:after="80" w:line="293" w:lineRule="auto"/>
        <w:ind w:left="283"/>
        <w:jc w:val="left"/>
      </w:pPr>
      <w:r>
        <w:rPr>
          <w:rFonts w:ascii="Times New Roman" w:hAnsi="Times New Roman" w:cs="Times New Roman"/>
          <w:b w:val="0"/>
          <w:i w:val="0"/>
          <w:sz w:val="22"/>
        </w:rPr>
        <w:t>- Next Status: STAGE1_PENDING (after seller submits quote) or CANCELLED (if trade is cancelled).</w:t>
      </w:r>
    </w:p>
    <w:p>
      <w:pPr>
        <w:spacing w:after="80" w:line="293" w:lineRule="auto"/>
        <w:ind w:left="283"/>
        <w:jc w:val="left"/>
      </w:pPr>
      <w:r>
        <w:rPr>
          <w:rFonts w:ascii="Times New Roman" w:hAnsi="Times New Roman" w:cs="Times New Roman"/>
          <w:b w:val="0"/>
          <w:i w:val="0"/>
          <w:sz w:val="22"/>
        </w:rPr>
        <w:t>- UI Display: buyer sees "Trade Request Submitted — Awaiting Seller Response". Seller sees "New Trade Request — Review".</w:t>
      </w:r>
    </w:p>
    <w:p>
      <w:pPr>
        <w:keepNext/>
        <w:spacing w:before="140" w:after="60"/>
        <w:outlineLvl w:val="3"/>
      </w:pPr>
      <w:r>
        <w:rPr>
          <w:rFonts w:ascii="Arial" w:hAnsi="Arial" w:cs="Arial"/>
          <w:b/>
          <w:i/>
          <w:color w:val="333333"/>
          <w:sz w:val="22"/>
        </w:rPr>
        <w:t>5.2.3.2 STAGE1_PENDING</w:t>
      </w:r>
    </w:p>
    <w:p>
      <w:pPr>
        <w:spacing w:after="80" w:line="293" w:lineRule="auto"/>
        <w:ind w:left="283"/>
        <w:jc w:val="left"/>
      </w:pPr>
      <w:r>
        <w:rPr>
          <w:rFonts w:ascii="Times New Roman" w:hAnsi="Times New Roman" w:cs="Times New Roman"/>
          <w:b w:val="0"/>
          <w:i w:val="0"/>
          <w:sz w:val="22"/>
        </w:rPr>
        <w:t>- Description: the seller has submitted a quote, and the Stage 1 payment (SGTX fee, government fees, lab, broker, trucking, etc.) is due. The USTN is still not generated because the fee must be paid first.</w:t>
      </w:r>
    </w:p>
    <w:p>
      <w:pPr>
        <w:spacing w:after="80" w:line="293" w:lineRule="auto"/>
        <w:ind w:left="283"/>
        <w:jc w:val="left"/>
      </w:pPr>
      <w:r>
        <w:rPr>
          <w:rFonts w:ascii="Times New Roman" w:hAnsi="Times New Roman" w:cs="Times New Roman"/>
          <w:b w:val="0"/>
          <w:i w:val="0"/>
          <w:sz w:val="22"/>
        </w:rPr>
        <w:t>- Trigger: seller submits the final quote.</w:t>
      </w:r>
    </w:p>
    <w:p>
      <w:pPr>
        <w:spacing w:after="80" w:line="293" w:lineRule="auto"/>
        <w:ind w:left="283"/>
        <w:jc w:val="left"/>
      </w:pPr>
      <w:r>
        <w:rPr>
          <w:rFonts w:ascii="Times New Roman" w:hAnsi="Times New Roman" w:cs="Times New Roman"/>
          <w:b w:val="0"/>
          <w:i w:val="0"/>
          <w:sz w:val="22"/>
        </w:rPr>
        <w:t>- Responsible Party: Seller (or buyer depending on incoterm).</w:t>
      </w:r>
    </w:p>
    <w:p>
      <w:pPr>
        <w:spacing w:after="80" w:line="293" w:lineRule="auto"/>
        <w:ind w:left="283"/>
        <w:jc w:val="left"/>
      </w:pPr>
      <w:r>
        <w:rPr>
          <w:rFonts w:ascii="Times New Roman" w:hAnsi="Times New Roman" w:cs="Times New Roman"/>
          <w:b w:val="0"/>
          <w:i w:val="0"/>
          <w:sz w:val="22"/>
        </w:rPr>
        <w:t>- Actions Allowed: seller pays the Stage 1 fee via the bank settlement mandate.</w:t>
      </w:r>
    </w:p>
    <w:p>
      <w:pPr>
        <w:spacing w:after="80" w:line="293" w:lineRule="auto"/>
        <w:ind w:left="283"/>
        <w:jc w:val="left"/>
      </w:pPr>
      <w:r>
        <w:rPr>
          <w:rFonts w:ascii="Times New Roman" w:hAnsi="Times New Roman" w:cs="Times New Roman"/>
          <w:b w:val="0"/>
          <w:i w:val="0"/>
          <w:sz w:val="22"/>
        </w:rPr>
        <w:t>- Next Status: STAGE1_SETTLED (after the camt.054 bank confirmation is received).</w:t>
      </w:r>
    </w:p>
    <w:p>
      <w:pPr>
        <w:spacing w:after="80" w:line="293" w:lineRule="auto"/>
        <w:ind w:left="283"/>
        <w:jc w:val="left"/>
      </w:pPr>
      <w:r>
        <w:rPr>
          <w:rFonts w:ascii="Times New Roman" w:hAnsi="Times New Roman" w:cs="Times New Roman"/>
          <w:b w:val="0"/>
          <w:i w:val="0"/>
          <w:sz w:val="22"/>
        </w:rPr>
        <w:t>- UI Display: seller sees "Pay Stage 1 Fee — Due Now". Buyer sees "Awaiting Seller Fee Payment".</w:t>
      </w:r>
    </w:p>
    <w:p>
      <w:pPr>
        <w:keepNext/>
        <w:spacing w:before="140" w:after="60"/>
        <w:outlineLvl w:val="3"/>
      </w:pPr>
      <w:r>
        <w:rPr>
          <w:rFonts w:ascii="Arial" w:hAnsi="Arial" w:cs="Arial"/>
          <w:b/>
          <w:i/>
          <w:color w:val="333333"/>
          <w:sz w:val="22"/>
        </w:rPr>
        <w:t>5.2.3.3 STAGE1_SETTLED</w:t>
      </w:r>
    </w:p>
    <w:p>
      <w:pPr>
        <w:spacing w:after="80" w:line="293" w:lineRule="auto"/>
        <w:ind w:left="283"/>
        <w:jc w:val="left"/>
      </w:pPr>
      <w:r>
        <w:rPr>
          <w:rFonts w:ascii="Times New Roman" w:hAnsi="Times New Roman" w:cs="Times New Roman"/>
          <w:b w:val="0"/>
          <w:i w:val="0"/>
          <w:sz w:val="22"/>
        </w:rPr>
        <w:t>- Description: all mandatory Stage 1 invoices (SGTX fee, customs inspection, lab, broker, trucking, port charges, insurance, CargoX ACI) have been paid. The FeeLock becomes ACTIVE. The USTN is now generated at this point.</w:t>
      </w:r>
    </w:p>
    <w:p>
      <w:pPr>
        <w:spacing w:after="80" w:line="293" w:lineRule="auto"/>
        <w:ind w:left="283"/>
        <w:jc w:val="left"/>
      </w:pPr>
      <w:r>
        <w:rPr>
          <w:rFonts w:ascii="Times New Roman" w:hAnsi="Times New Roman" w:cs="Times New Roman"/>
          <w:b w:val="0"/>
          <w:i w:val="0"/>
          <w:sz w:val="22"/>
        </w:rPr>
        <w:t>- Trigger: camt.054 confirmations verify all settlement legs.</w:t>
      </w:r>
    </w:p>
    <w:p>
      <w:pPr>
        <w:spacing w:after="80" w:line="293" w:lineRule="auto"/>
        <w:ind w:left="283"/>
        <w:jc w:val="left"/>
      </w:pPr>
      <w:r>
        <w:rPr>
          <w:rFonts w:ascii="Times New Roman" w:hAnsi="Times New Roman" w:cs="Times New Roman"/>
          <w:b w:val="0"/>
          <w:i w:val="0"/>
          <w:sz w:val="22"/>
        </w:rPr>
        <w:t>- Responsible Party: System (automatic).</w:t>
      </w:r>
    </w:p>
    <w:p>
      <w:pPr>
        <w:spacing w:after="80" w:line="293" w:lineRule="auto"/>
        <w:ind w:left="283"/>
        <w:jc w:val="left"/>
      </w:pPr>
      <w:r>
        <w:rPr>
          <w:rFonts w:ascii="Times New Roman" w:hAnsi="Times New Roman" w:cs="Times New Roman"/>
          <w:b w:val="0"/>
          <w:i w:val="0"/>
          <w:sz w:val="22"/>
        </w:rPr>
        <w:t>- Actions Allowed: none — system automatically proceeds.</w:t>
      </w:r>
    </w:p>
    <w:p>
      <w:pPr>
        <w:spacing w:after="80" w:line="293" w:lineRule="auto"/>
        <w:ind w:left="283"/>
        <w:jc w:val="left"/>
      </w:pPr>
      <w:r>
        <w:rPr>
          <w:rFonts w:ascii="Times New Roman" w:hAnsi="Times New Roman" w:cs="Times New Roman"/>
          <w:b w:val="0"/>
          <w:i w:val="0"/>
          <w:sz w:val="22"/>
        </w:rPr>
        <w:t>- Next Status: CUSTOMS_SUBMITTED (after CargoX ACID and Nafeza SAD submission).</w:t>
      </w:r>
    </w:p>
    <w:p>
      <w:pPr>
        <w:spacing w:after="80" w:line="293" w:lineRule="auto"/>
        <w:ind w:left="283"/>
        <w:jc w:val="left"/>
      </w:pPr>
      <w:r>
        <w:rPr>
          <w:rFonts w:ascii="Times New Roman" w:hAnsi="Times New Roman" w:cs="Times New Roman"/>
          <w:b w:val="0"/>
          <w:i w:val="0"/>
          <w:sz w:val="22"/>
        </w:rPr>
        <w:t>- UI Display: all parties see "Fee Locked — USTN Generated: SGTX-EG-26-F3A-1".</w:t>
      </w:r>
    </w:p>
    <w:p>
      <w:pPr>
        <w:keepNext/>
        <w:spacing w:before="140" w:after="60"/>
        <w:outlineLvl w:val="3"/>
      </w:pPr>
      <w:r>
        <w:rPr>
          <w:rFonts w:ascii="Arial" w:hAnsi="Arial" w:cs="Arial"/>
          <w:b/>
          <w:i/>
          <w:color w:val="333333"/>
          <w:sz w:val="22"/>
        </w:rPr>
        <w:t>5.2.3.4 CUSTOMS_SUBMITTED</w:t>
      </w:r>
    </w:p>
    <w:p>
      <w:pPr>
        <w:spacing w:after="80" w:line="293" w:lineRule="auto"/>
        <w:ind w:left="283"/>
        <w:jc w:val="left"/>
      </w:pPr>
      <w:r>
        <w:rPr>
          <w:rFonts w:ascii="Times New Roman" w:hAnsi="Times New Roman" w:cs="Times New Roman"/>
          <w:b w:val="0"/>
          <w:i w:val="0"/>
          <w:sz w:val="22"/>
        </w:rPr>
        <w:t>- Description: the customs declaration (SAD) has been submitted to Nafeza, and the ACID has been obtained from CargoX. The shipment is ready for physical execution.</w:t>
      </w:r>
    </w:p>
    <w:p>
      <w:pPr>
        <w:spacing w:after="80" w:line="293" w:lineRule="auto"/>
        <w:ind w:left="283"/>
        <w:jc w:val="left"/>
      </w:pPr>
      <w:r>
        <w:rPr>
          <w:rFonts w:ascii="Times New Roman" w:hAnsi="Times New Roman" w:cs="Times New Roman"/>
          <w:b w:val="0"/>
          <w:i w:val="0"/>
          <w:sz w:val="22"/>
        </w:rPr>
        <w:t>- Trigger: after Stage 1 payment, SGTX automatically calls CargoX and Nafeza APIs.</w:t>
      </w:r>
    </w:p>
    <w:p>
      <w:pPr>
        <w:spacing w:after="80" w:line="293" w:lineRule="auto"/>
        <w:ind w:left="283"/>
        <w:jc w:val="left"/>
      </w:pPr>
      <w:r>
        <w:rPr>
          <w:rFonts w:ascii="Times New Roman" w:hAnsi="Times New Roman" w:cs="Times New Roman"/>
          <w:b w:val="0"/>
          <w:i w:val="0"/>
          <w:sz w:val="22"/>
        </w:rPr>
        <w:t>- Responsible Party: System (automatic) or Broker (if broker certification selected).</w:t>
      </w:r>
    </w:p>
    <w:p>
      <w:pPr>
        <w:spacing w:after="80" w:line="293" w:lineRule="auto"/>
        <w:ind w:left="283"/>
        <w:jc w:val="left"/>
      </w:pPr>
      <w:r>
        <w:rPr>
          <w:rFonts w:ascii="Times New Roman" w:hAnsi="Times New Roman" w:cs="Times New Roman"/>
          <w:b w:val="0"/>
          <w:i w:val="0"/>
          <w:sz w:val="22"/>
        </w:rPr>
        <w:t>- Actions Allowed: none — system proceeds.</w:t>
      </w:r>
    </w:p>
    <w:p>
      <w:pPr>
        <w:spacing w:after="80" w:line="293" w:lineRule="auto"/>
        <w:ind w:left="283"/>
        <w:jc w:val="left"/>
      </w:pPr>
      <w:r>
        <w:rPr>
          <w:rFonts w:ascii="Times New Roman" w:hAnsi="Times New Roman" w:cs="Times New Roman"/>
          <w:b w:val="0"/>
          <w:i w:val="0"/>
          <w:sz w:val="22"/>
        </w:rPr>
        <w:t>- Next Status: BOOKED (after shipping line confirms booking).</w:t>
      </w:r>
    </w:p>
    <w:p>
      <w:pPr>
        <w:spacing w:after="80" w:line="293" w:lineRule="auto"/>
        <w:ind w:left="283"/>
        <w:jc w:val="left"/>
      </w:pPr>
      <w:r>
        <w:rPr>
          <w:rFonts w:ascii="Times New Roman" w:hAnsi="Times New Roman" w:cs="Times New Roman"/>
          <w:b w:val="0"/>
          <w:i w:val="0"/>
          <w:sz w:val="22"/>
        </w:rPr>
        <w:t>- UI Display: "Customs Declaration Filed — Reference: SAD20260415-000147, ACID: ACI20260415-0001".</w:t>
      </w:r>
    </w:p>
    <w:p>
      <w:pPr>
        <w:keepNext/>
        <w:spacing w:before="140" w:after="60"/>
        <w:outlineLvl w:val="3"/>
      </w:pPr>
      <w:r>
        <w:rPr>
          <w:rFonts w:ascii="Arial" w:hAnsi="Arial" w:cs="Arial"/>
          <w:b/>
          <w:i/>
          <w:color w:val="333333"/>
          <w:sz w:val="22"/>
        </w:rPr>
        <w:t>5.2.3.5 BOOKED</w:t>
      </w:r>
    </w:p>
    <w:p>
      <w:pPr>
        <w:spacing w:after="80" w:line="293" w:lineRule="auto"/>
        <w:ind w:left="283"/>
        <w:jc w:val="left"/>
      </w:pPr>
      <w:r>
        <w:rPr>
          <w:rFonts w:ascii="Times New Roman" w:hAnsi="Times New Roman" w:cs="Times New Roman"/>
          <w:b w:val="0"/>
          <w:i w:val="0"/>
          <w:sz w:val="22"/>
        </w:rPr>
        <w:t>- Description: the shipping line has confirmed the booking, providing a booking reference, vessel name, voyage, ETD, and ETA. The container is reserved.</w:t>
      </w:r>
    </w:p>
    <w:p>
      <w:pPr>
        <w:spacing w:after="80" w:line="293" w:lineRule="auto"/>
        <w:ind w:left="283"/>
        <w:jc w:val="left"/>
      </w:pPr>
      <w:r>
        <w:rPr>
          <w:rFonts w:ascii="Times New Roman" w:hAnsi="Times New Roman" w:cs="Times New Roman"/>
          <w:b w:val="0"/>
          <w:i w:val="0"/>
          <w:sz w:val="22"/>
        </w:rPr>
        <w:t>- Trigger: shipping line portal confirms booking (manual or API).</w:t>
      </w:r>
    </w:p>
    <w:p>
      <w:pPr>
        <w:spacing w:after="80" w:line="293" w:lineRule="auto"/>
        <w:ind w:left="283"/>
        <w:jc w:val="left"/>
      </w:pPr>
      <w:r>
        <w:rPr>
          <w:rFonts w:ascii="Times New Roman" w:hAnsi="Times New Roman" w:cs="Times New Roman"/>
          <w:b w:val="0"/>
          <w:i w:val="0"/>
          <w:sz w:val="22"/>
        </w:rPr>
        <w:t>- Responsible Party: SHIP user.</w:t>
      </w:r>
    </w:p>
    <w:p>
      <w:pPr>
        <w:spacing w:after="80" w:line="293" w:lineRule="auto"/>
        <w:ind w:left="283"/>
        <w:jc w:val="left"/>
      </w:pPr>
      <w:r>
        <w:rPr>
          <w:rFonts w:ascii="Times New Roman" w:hAnsi="Times New Roman" w:cs="Times New Roman"/>
          <w:b w:val="0"/>
          <w:i w:val="0"/>
          <w:sz w:val="22"/>
        </w:rPr>
        <w:t>- Actions Allowed: SHIP can update ETD/ETA; seller can request changes.</w:t>
      </w:r>
    </w:p>
    <w:p>
      <w:pPr>
        <w:spacing w:after="80" w:line="293" w:lineRule="auto"/>
        <w:ind w:left="283"/>
        <w:jc w:val="left"/>
      </w:pPr>
      <w:r>
        <w:rPr>
          <w:rFonts w:ascii="Times New Roman" w:hAnsi="Times New Roman" w:cs="Times New Roman"/>
          <w:b w:val="0"/>
          <w:i w:val="0"/>
          <w:sz w:val="22"/>
        </w:rPr>
        <w:t>- Next Status: LOADED (after container is loaded on vessel).</w:t>
      </w:r>
    </w:p>
    <w:p>
      <w:pPr>
        <w:spacing w:after="80" w:line="293" w:lineRule="auto"/>
        <w:ind w:left="283"/>
        <w:jc w:val="left"/>
      </w:pPr>
      <w:r>
        <w:rPr>
          <w:rFonts w:ascii="Times New Roman" w:hAnsi="Times New Roman" w:cs="Times New Roman"/>
          <w:b w:val="0"/>
          <w:i w:val="0"/>
          <w:sz w:val="22"/>
        </w:rPr>
        <w:t>- UI Display: "Booking Confirmed — Vessel: MSC FIONA, Voyage: MSF123E, ETD: 2026-04-20 08:00".</w:t>
      </w:r>
    </w:p>
    <w:p>
      <w:pPr>
        <w:keepNext/>
        <w:spacing w:before="140" w:after="60"/>
        <w:outlineLvl w:val="3"/>
      </w:pPr>
      <w:r>
        <w:rPr>
          <w:rFonts w:ascii="Arial" w:hAnsi="Arial" w:cs="Arial"/>
          <w:b/>
          <w:i/>
          <w:color w:val="333333"/>
          <w:sz w:val="22"/>
        </w:rPr>
        <w:t>5.2.3.6 LOADED</w:t>
      </w:r>
    </w:p>
    <w:p>
      <w:pPr>
        <w:spacing w:after="80" w:line="293" w:lineRule="auto"/>
        <w:ind w:left="283"/>
        <w:jc w:val="left"/>
      </w:pPr>
      <w:r>
        <w:rPr>
          <w:rFonts w:ascii="Times New Roman" w:hAnsi="Times New Roman" w:cs="Times New Roman"/>
          <w:b w:val="0"/>
          <w:i w:val="0"/>
          <w:sz w:val="22"/>
        </w:rPr>
        <w:t>- Description: the container has been loaded onto the vessel. This milestone is typically confirmed via barcode scan or terminal gate-out event.</w:t>
      </w:r>
    </w:p>
    <w:p>
      <w:pPr>
        <w:spacing w:after="80" w:line="293" w:lineRule="auto"/>
        <w:ind w:left="283"/>
        <w:jc w:val="left"/>
      </w:pPr>
      <w:r>
        <w:rPr>
          <w:rFonts w:ascii="Times New Roman" w:hAnsi="Times New Roman" w:cs="Times New Roman"/>
          <w:b w:val="0"/>
          <w:i w:val="0"/>
          <w:sz w:val="22"/>
        </w:rPr>
        <w:t>- Trigger: terminal gate-out scan OR LSP driver confirms loading.</w:t>
      </w:r>
    </w:p>
    <w:p>
      <w:pPr>
        <w:spacing w:after="80" w:line="293" w:lineRule="auto"/>
        <w:ind w:left="283"/>
        <w:jc w:val="left"/>
      </w:pPr>
      <w:r>
        <w:rPr>
          <w:rFonts w:ascii="Times New Roman" w:hAnsi="Times New Roman" w:cs="Times New Roman"/>
          <w:b w:val="0"/>
          <w:i w:val="0"/>
          <w:sz w:val="22"/>
        </w:rPr>
        <w:t>- Responsible Party: LSP or SHIP.</w:t>
      </w:r>
    </w:p>
    <w:p>
      <w:pPr>
        <w:spacing w:after="80" w:line="293" w:lineRule="auto"/>
        <w:ind w:left="283"/>
        <w:jc w:val="left"/>
      </w:pPr>
      <w:r>
        <w:rPr>
          <w:rFonts w:ascii="Times New Roman" w:hAnsi="Times New Roman" w:cs="Times New Roman"/>
          <w:b w:val="0"/>
          <w:i w:val="0"/>
          <w:sz w:val="22"/>
        </w:rPr>
        <w:t>- Actions Allowed: none — automatic progression.</w:t>
      </w:r>
    </w:p>
    <w:p>
      <w:pPr>
        <w:spacing w:after="80" w:line="293" w:lineRule="auto"/>
        <w:ind w:left="283"/>
        <w:jc w:val="left"/>
      </w:pPr>
      <w:r>
        <w:rPr>
          <w:rFonts w:ascii="Times New Roman" w:hAnsi="Times New Roman" w:cs="Times New Roman"/>
          <w:b w:val="0"/>
          <w:i w:val="0"/>
          <w:sz w:val="22"/>
        </w:rPr>
        <w:t>- Next Status: DEPARTED (after vessel departs).</w:t>
      </w:r>
    </w:p>
    <w:p>
      <w:pPr>
        <w:spacing w:after="80" w:line="293" w:lineRule="auto"/>
        <w:ind w:left="283"/>
        <w:jc w:val="left"/>
      </w:pPr>
      <w:r>
        <w:rPr>
          <w:rFonts w:ascii="Times New Roman" w:hAnsi="Times New Roman" w:cs="Times New Roman"/>
          <w:b w:val="0"/>
          <w:i w:val="0"/>
          <w:sz w:val="22"/>
        </w:rPr>
        <w:t>- UI Display: "Container Loaded — Gate-Out Time: 2026-04-20 09:30".</w:t>
      </w:r>
    </w:p>
    <w:p>
      <w:pPr>
        <w:keepNext/>
        <w:spacing w:before="140" w:after="60"/>
        <w:outlineLvl w:val="3"/>
      </w:pPr>
      <w:r>
        <w:rPr>
          <w:rFonts w:ascii="Arial" w:hAnsi="Arial" w:cs="Arial"/>
          <w:b/>
          <w:i/>
          <w:color w:val="333333"/>
          <w:sz w:val="22"/>
        </w:rPr>
        <w:t>5.2.3.7 DEPARTED</w:t>
      </w:r>
    </w:p>
    <w:p>
      <w:pPr>
        <w:spacing w:after="80" w:line="293" w:lineRule="auto"/>
        <w:ind w:left="283"/>
        <w:jc w:val="left"/>
      </w:pPr>
      <w:r>
        <w:rPr>
          <w:rFonts w:ascii="Times New Roman" w:hAnsi="Times New Roman" w:cs="Times New Roman"/>
          <w:b w:val="0"/>
          <w:i w:val="0"/>
          <w:sz w:val="22"/>
        </w:rPr>
        <w:t>- Description: the vessel has departed from the port of loading. The shipment is now in transit.</w:t>
      </w:r>
    </w:p>
    <w:p>
      <w:pPr>
        <w:spacing w:after="80" w:line="293" w:lineRule="auto"/>
        <w:ind w:left="283"/>
        <w:jc w:val="left"/>
      </w:pPr>
      <w:r>
        <w:rPr>
          <w:rFonts w:ascii="Times New Roman" w:hAnsi="Times New Roman" w:cs="Times New Roman"/>
          <w:b w:val="0"/>
          <w:i w:val="0"/>
          <w:sz w:val="22"/>
        </w:rPr>
        <w:t>- Trigger: shipping line updates milestone (manual) OR AIS data confirms departure.</w:t>
      </w:r>
    </w:p>
    <w:p>
      <w:pPr>
        <w:spacing w:after="80" w:line="293" w:lineRule="auto"/>
        <w:ind w:left="283"/>
        <w:jc w:val="left"/>
      </w:pPr>
      <w:r>
        <w:rPr>
          <w:rFonts w:ascii="Times New Roman" w:hAnsi="Times New Roman" w:cs="Times New Roman"/>
          <w:b w:val="0"/>
          <w:i w:val="0"/>
          <w:sz w:val="22"/>
        </w:rPr>
        <w:t>- Responsible Party: SHIP user or System (AIS).</w:t>
      </w:r>
    </w:p>
    <w:p>
      <w:pPr>
        <w:spacing w:after="80" w:line="293" w:lineRule="auto"/>
        <w:ind w:left="283"/>
        <w:jc w:val="left"/>
      </w:pPr>
      <w:r>
        <w:rPr>
          <w:rFonts w:ascii="Times New Roman" w:hAnsi="Times New Roman" w:cs="Times New Roman"/>
          <w:b w:val="0"/>
          <w:i w:val="0"/>
          <w:sz w:val="22"/>
        </w:rPr>
        <w:t>- Actions Allowed: SHIP can update ETA if schedule changes.</w:t>
      </w:r>
    </w:p>
    <w:p>
      <w:pPr>
        <w:spacing w:after="80" w:line="293" w:lineRule="auto"/>
        <w:ind w:left="283"/>
        <w:jc w:val="left"/>
      </w:pPr>
      <w:r>
        <w:rPr>
          <w:rFonts w:ascii="Times New Roman" w:hAnsi="Times New Roman" w:cs="Times New Roman"/>
          <w:b w:val="0"/>
          <w:i w:val="0"/>
          <w:sz w:val="22"/>
        </w:rPr>
        <w:t>- Next Status: IN_TRANSIT (after AIS confirms vessel at sea for &gt;12h).</w:t>
      </w:r>
    </w:p>
    <w:p>
      <w:pPr>
        <w:spacing w:after="80" w:line="293" w:lineRule="auto"/>
        <w:ind w:left="283"/>
        <w:jc w:val="left"/>
      </w:pPr>
      <w:r>
        <w:rPr>
          <w:rFonts w:ascii="Times New Roman" w:hAnsi="Times New Roman" w:cs="Times New Roman"/>
          <w:b w:val="0"/>
          <w:i w:val="0"/>
          <w:sz w:val="22"/>
        </w:rPr>
        <w:t>- UI Display: "Vessel Departed — Actual Departure: 2026-04-20 09:30".</w:t>
      </w:r>
    </w:p>
    <w:p>
      <w:pPr>
        <w:keepNext/>
        <w:spacing w:before="140" w:after="60"/>
        <w:outlineLvl w:val="3"/>
      </w:pPr>
      <w:r>
        <w:rPr>
          <w:rFonts w:ascii="Arial" w:hAnsi="Arial" w:cs="Arial"/>
          <w:b/>
          <w:i/>
          <w:color w:val="333333"/>
          <w:sz w:val="22"/>
        </w:rPr>
        <w:t>5.2.3.8 IN_TRANSIT</w:t>
      </w:r>
    </w:p>
    <w:p>
      <w:pPr>
        <w:spacing w:after="80" w:line="293" w:lineRule="auto"/>
        <w:ind w:left="283"/>
        <w:jc w:val="left"/>
      </w:pPr>
      <w:r>
        <w:rPr>
          <w:rFonts w:ascii="Times New Roman" w:hAnsi="Times New Roman" w:cs="Times New Roman"/>
          <w:b w:val="0"/>
          <w:i w:val="0"/>
          <w:sz w:val="22"/>
        </w:rPr>
        <w:t>- Description: the vessel is at sea. The system automatically tracks position via AIS. This status is auto-confirmed when the vessel has been at sea for more than 12 hours.</w:t>
      </w:r>
    </w:p>
    <w:p>
      <w:pPr>
        <w:spacing w:after="80" w:line="293" w:lineRule="auto"/>
        <w:ind w:left="283"/>
        <w:jc w:val="left"/>
      </w:pPr>
      <w:r>
        <w:rPr>
          <w:rFonts w:ascii="Times New Roman" w:hAnsi="Times New Roman" w:cs="Times New Roman"/>
          <w:b w:val="0"/>
          <w:i w:val="0"/>
          <w:sz w:val="22"/>
        </w:rPr>
        <w:t>- Trigger: AIS position &gt;12h after departure.</w:t>
      </w:r>
    </w:p>
    <w:p>
      <w:pPr>
        <w:spacing w:after="80" w:line="293" w:lineRule="auto"/>
        <w:ind w:left="283"/>
        <w:jc w:val="left"/>
      </w:pPr>
      <w:r>
        <w:rPr>
          <w:rFonts w:ascii="Times New Roman" w:hAnsi="Times New Roman" w:cs="Times New Roman"/>
          <w:b w:val="0"/>
          <w:i w:val="0"/>
          <w:sz w:val="22"/>
        </w:rPr>
        <w:t>- Responsible Party: System (automatic).</w:t>
      </w:r>
    </w:p>
    <w:p>
      <w:pPr>
        <w:spacing w:after="80" w:line="293" w:lineRule="auto"/>
        <w:ind w:left="283"/>
        <w:jc w:val="left"/>
      </w:pPr>
      <w:r>
        <w:rPr>
          <w:rFonts w:ascii="Times New Roman" w:hAnsi="Times New Roman" w:cs="Times New Roman"/>
          <w:b w:val="0"/>
          <w:i w:val="0"/>
          <w:sz w:val="22"/>
        </w:rPr>
        <w:t>- Actions Allowed: none — advisory only.</w:t>
      </w:r>
    </w:p>
    <w:p>
      <w:pPr>
        <w:spacing w:after="80" w:line="293" w:lineRule="auto"/>
        <w:ind w:left="283"/>
        <w:jc w:val="left"/>
      </w:pPr>
      <w:r>
        <w:rPr>
          <w:rFonts w:ascii="Times New Roman" w:hAnsi="Times New Roman" w:cs="Times New Roman"/>
          <w:b w:val="0"/>
          <w:i w:val="0"/>
          <w:sz w:val="22"/>
        </w:rPr>
        <w:t>- Next Status: ARRIVED (after vessel arrives at destination port).</w:t>
      </w:r>
    </w:p>
    <w:p>
      <w:pPr>
        <w:spacing w:after="80" w:line="293" w:lineRule="auto"/>
        <w:ind w:left="283"/>
        <w:jc w:val="left"/>
      </w:pPr>
      <w:r>
        <w:rPr>
          <w:rFonts w:ascii="Times New Roman" w:hAnsi="Times New Roman" w:cs="Times New Roman"/>
          <w:b w:val="0"/>
          <w:i w:val="0"/>
          <w:sz w:val="22"/>
        </w:rPr>
        <w:t>- UI Display: "Vessel In Transit — Position: South of Crete, ETA: 2026-05-05 14:00".</w:t>
      </w:r>
    </w:p>
    <w:p>
      <w:pPr>
        <w:keepNext/>
        <w:spacing w:before="140" w:after="60"/>
        <w:outlineLvl w:val="3"/>
      </w:pPr>
      <w:r>
        <w:rPr>
          <w:rFonts w:ascii="Arial" w:hAnsi="Arial" w:cs="Arial"/>
          <w:b/>
          <w:i/>
          <w:color w:val="333333"/>
          <w:sz w:val="22"/>
        </w:rPr>
        <w:t>5.2.3.9 ARRIVED</w:t>
      </w:r>
    </w:p>
    <w:p>
      <w:pPr>
        <w:spacing w:after="80" w:line="293" w:lineRule="auto"/>
        <w:ind w:left="283"/>
        <w:jc w:val="left"/>
      </w:pPr>
      <w:r>
        <w:rPr>
          <w:rFonts w:ascii="Times New Roman" w:hAnsi="Times New Roman" w:cs="Times New Roman"/>
          <w:b w:val="0"/>
          <w:i w:val="0"/>
          <w:sz w:val="22"/>
        </w:rPr>
        <w:t>- Description: the vessel has arrived at the destination port. The shipment is ready for customs clearance and delivery.</w:t>
      </w:r>
    </w:p>
    <w:p>
      <w:pPr>
        <w:spacing w:after="80" w:line="293" w:lineRule="auto"/>
        <w:ind w:left="283"/>
        <w:jc w:val="left"/>
      </w:pPr>
      <w:r>
        <w:rPr>
          <w:rFonts w:ascii="Times New Roman" w:hAnsi="Times New Roman" w:cs="Times New Roman"/>
          <w:b w:val="0"/>
          <w:i w:val="0"/>
          <w:sz w:val="22"/>
        </w:rPr>
        <w:t>- Trigger: shipping line updates milestone (manual) OR AIS data confirms arrival.</w:t>
      </w:r>
    </w:p>
    <w:p>
      <w:pPr>
        <w:spacing w:after="80" w:line="293" w:lineRule="auto"/>
        <w:ind w:left="283"/>
        <w:jc w:val="left"/>
      </w:pPr>
      <w:r>
        <w:rPr>
          <w:rFonts w:ascii="Times New Roman" w:hAnsi="Times New Roman" w:cs="Times New Roman"/>
          <w:b w:val="0"/>
          <w:i w:val="0"/>
          <w:sz w:val="22"/>
        </w:rPr>
        <w:t>- Responsible Party: SHIP user or System (AIS).</w:t>
      </w:r>
    </w:p>
    <w:p>
      <w:pPr>
        <w:spacing w:after="80" w:line="293" w:lineRule="auto"/>
        <w:ind w:left="283"/>
        <w:jc w:val="left"/>
      </w:pPr>
      <w:r>
        <w:rPr>
          <w:rFonts w:ascii="Times New Roman" w:hAnsi="Times New Roman" w:cs="Times New Roman"/>
          <w:b w:val="0"/>
          <w:i w:val="0"/>
          <w:sz w:val="22"/>
        </w:rPr>
        <w:t>- Actions Allowed: buyer or broker can initiate import customs clearance.</w:t>
      </w:r>
    </w:p>
    <w:p>
      <w:pPr>
        <w:spacing w:after="80" w:line="293" w:lineRule="auto"/>
        <w:ind w:left="283"/>
        <w:jc w:val="left"/>
      </w:pPr>
      <w:r>
        <w:rPr>
          <w:rFonts w:ascii="Times New Roman" w:hAnsi="Times New Roman" w:cs="Times New Roman"/>
          <w:b w:val="0"/>
          <w:i w:val="0"/>
          <w:sz w:val="22"/>
        </w:rPr>
        <w:t>- Next Status: CUSTOMS_IMPORT (after buyer/broker starts clearance).</w:t>
      </w:r>
    </w:p>
    <w:p>
      <w:pPr>
        <w:spacing w:after="80" w:line="293" w:lineRule="auto"/>
        <w:ind w:left="283"/>
        <w:jc w:val="left"/>
      </w:pPr>
      <w:r>
        <w:rPr>
          <w:rFonts w:ascii="Times New Roman" w:hAnsi="Times New Roman" w:cs="Times New Roman"/>
          <w:b w:val="0"/>
          <w:i w:val="0"/>
          <w:sz w:val="22"/>
        </w:rPr>
        <w:t>- UI Display: "Vessel Arrived — Actual Arrival: 2026-05-05 14:00".</w:t>
      </w:r>
    </w:p>
    <w:p>
      <w:pPr>
        <w:keepNext/>
        <w:spacing w:before="140" w:after="60"/>
        <w:outlineLvl w:val="3"/>
      </w:pPr>
      <w:r>
        <w:rPr>
          <w:rFonts w:ascii="Arial" w:hAnsi="Arial" w:cs="Arial"/>
          <w:b/>
          <w:i/>
          <w:color w:val="333333"/>
          <w:sz w:val="22"/>
        </w:rPr>
        <w:t>5.2.3.10 CUSTOMS_IMPORT</w:t>
      </w:r>
    </w:p>
    <w:p>
      <w:pPr>
        <w:spacing w:after="80" w:line="293" w:lineRule="auto"/>
        <w:ind w:left="283"/>
        <w:jc w:val="left"/>
      </w:pPr>
      <w:r>
        <w:rPr>
          <w:rFonts w:ascii="Times New Roman" w:hAnsi="Times New Roman" w:cs="Times New Roman"/>
          <w:b w:val="0"/>
          <w:i w:val="0"/>
          <w:sz w:val="22"/>
        </w:rPr>
        <w:t>- Description: import customs clearance has been initiated. Documents are being verified, and duties are being calculated.</w:t>
      </w:r>
    </w:p>
    <w:p>
      <w:pPr>
        <w:spacing w:after="80" w:line="293" w:lineRule="auto"/>
        <w:ind w:left="283"/>
        <w:jc w:val="left"/>
      </w:pPr>
      <w:r>
        <w:rPr>
          <w:rFonts w:ascii="Times New Roman" w:hAnsi="Times New Roman" w:cs="Times New Roman"/>
          <w:b w:val="0"/>
          <w:i w:val="0"/>
          <w:sz w:val="22"/>
        </w:rPr>
        <w:t>- Trigger: buyer or broker initiates import clearance.</w:t>
      </w:r>
    </w:p>
    <w:p>
      <w:pPr>
        <w:spacing w:after="80" w:line="293" w:lineRule="auto"/>
        <w:ind w:left="283"/>
        <w:jc w:val="left"/>
      </w:pPr>
      <w:r>
        <w:rPr>
          <w:rFonts w:ascii="Times New Roman" w:hAnsi="Times New Roman" w:cs="Times New Roman"/>
          <w:b w:val="0"/>
          <w:i w:val="0"/>
          <w:sz w:val="22"/>
        </w:rPr>
        <w:t>- Responsible Party: Buyer or CBR.</w:t>
      </w:r>
    </w:p>
    <w:p>
      <w:pPr>
        <w:spacing w:after="80" w:line="293" w:lineRule="auto"/>
        <w:ind w:left="283"/>
        <w:jc w:val="left"/>
      </w:pPr>
      <w:r>
        <w:rPr>
          <w:rFonts w:ascii="Times New Roman" w:hAnsi="Times New Roman" w:cs="Times New Roman"/>
          <w:b w:val="0"/>
          <w:i w:val="0"/>
          <w:sz w:val="22"/>
        </w:rPr>
        <w:t>- Actions Allowed: upload missing documents, pay duties (deferred if eligible).</w:t>
      </w:r>
    </w:p>
    <w:p>
      <w:pPr>
        <w:spacing w:after="80" w:line="293" w:lineRule="auto"/>
        <w:ind w:left="283"/>
        <w:jc w:val="left"/>
      </w:pPr>
      <w:r>
        <w:rPr>
          <w:rFonts w:ascii="Times New Roman" w:hAnsi="Times New Roman" w:cs="Times New Roman"/>
          <w:b w:val="0"/>
          <w:i w:val="0"/>
          <w:sz w:val="22"/>
        </w:rPr>
        <w:t>- Next Status: DELIVERED (after buyer confirms receipt of goods).</w:t>
      </w:r>
    </w:p>
    <w:p>
      <w:pPr>
        <w:spacing w:after="80" w:line="293" w:lineRule="auto"/>
        <w:ind w:left="283"/>
        <w:jc w:val="left"/>
      </w:pPr>
      <w:r>
        <w:rPr>
          <w:rFonts w:ascii="Times New Roman" w:hAnsi="Times New Roman" w:cs="Times New Roman"/>
          <w:b w:val="0"/>
          <w:i w:val="0"/>
          <w:sz w:val="22"/>
        </w:rPr>
        <w:t>- UI Display: "Import Customs Clearance In Progress — Documents: 5/5 Verified".</w:t>
      </w:r>
    </w:p>
    <w:p>
      <w:pPr>
        <w:keepNext/>
        <w:spacing w:before="140" w:after="60"/>
        <w:outlineLvl w:val="3"/>
      </w:pPr>
      <w:r>
        <w:rPr>
          <w:rFonts w:ascii="Arial" w:hAnsi="Arial" w:cs="Arial"/>
          <w:b/>
          <w:i/>
          <w:color w:val="333333"/>
          <w:sz w:val="22"/>
        </w:rPr>
        <w:t>5.2.3.11 DELIVERED</w:t>
      </w:r>
    </w:p>
    <w:p>
      <w:pPr>
        <w:spacing w:after="80" w:line="293" w:lineRule="auto"/>
        <w:ind w:left="283"/>
        <w:jc w:val="left"/>
      </w:pPr>
      <w:r>
        <w:rPr>
          <w:rFonts w:ascii="Times New Roman" w:hAnsi="Times New Roman" w:cs="Times New Roman"/>
          <w:b w:val="0"/>
          <w:i w:val="0"/>
          <w:sz w:val="22"/>
        </w:rPr>
        <w:t>- Description: the buyer has confirmed receipt of the goods. The shipment is physically complete.</w:t>
      </w:r>
    </w:p>
    <w:p>
      <w:pPr>
        <w:spacing w:after="80" w:line="293" w:lineRule="auto"/>
        <w:ind w:left="283"/>
        <w:jc w:val="left"/>
      </w:pPr>
      <w:r>
        <w:rPr>
          <w:rFonts w:ascii="Times New Roman" w:hAnsi="Times New Roman" w:cs="Times New Roman"/>
          <w:b w:val="0"/>
          <w:i w:val="0"/>
          <w:sz w:val="22"/>
        </w:rPr>
        <w:t>- Trigger: buyer clicks "Confirm Delivery" (one click or voice command).</w:t>
      </w:r>
    </w:p>
    <w:p>
      <w:pPr>
        <w:spacing w:after="80" w:line="293" w:lineRule="auto"/>
        <w:ind w:left="283"/>
        <w:jc w:val="left"/>
      </w:pPr>
      <w:r>
        <w:rPr>
          <w:rFonts w:ascii="Times New Roman" w:hAnsi="Times New Roman" w:cs="Times New Roman"/>
          <w:b w:val="0"/>
          <w:i w:val="0"/>
          <w:sz w:val="22"/>
        </w:rPr>
        <w:t>- Responsible Party: Buyer.</w:t>
      </w:r>
    </w:p>
    <w:p>
      <w:pPr>
        <w:spacing w:after="80" w:line="293" w:lineRule="auto"/>
        <w:ind w:left="283"/>
        <w:jc w:val="left"/>
      </w:pPr>
      <w:r>
        <w:rPr>
          <w:rFonts w:ascii="Times New Roman" w:hAnsi="Times New Roman" w:cs="Times New Roman"/>
          <w:b w:val="0"/>
          <w:i w:val="0"/>
          <w:sz w:val="22"/>
        </w:rPr>
        <w:t>- Actions Allowed: none — system proceeds to settlement.</w:t>
      </w:r>
    </w:p>
    <w:p>
      <w:pPr>
        <w:spacing w:after="80" w:line="293" w:lineRule="auto"/>
        <w:ind w:left="283"/>
        <w:jc w:val="left"/>
      </w:pPr>
      <w:r>
        <w:rPr>
          <w:rFonts w:ascii="Times New Roman" w:hAnsi="Times New Roman" w:cs="Times New Roman"/>
          <w:b w:val="0"/>
          <w:i w:val="0"/>
          <w:sz w:val="22"/>
        </w:rPr>
        <w:t>- Next Status: SETTLED (after trade principal is paid).</w:t>
      </w:r>
    </w:p>
    <w:p>
      <w:pPr>
        <w:spacing w:after="80" w:line="293" w:lineRule="auto"/>
        <w:ind w:left="283"/>
        <w:jc w:val="left"/>
      </w:pPr>
      <w:r>
        <w:rPr>
          <w:rFonts w:ascii="Times New Roman" w:hAnsi="Times New Roman" w:cs="Times New Roman"/>
          <w:b w:val="0"/>
          <w:i w:val="0"/>
          <w:sz w:val="22"/>
        </w:rPr>
        <w:t>- UI Display: "Goods Delivered — Confirmed by Buyer".</w:t>
      </w:r>
    </w:p>
    <w:p>
      <w:pPr>
        <w:keepNext/>
        <w:spacing w:before="140" w:after="60"/>
        <w:outlineLvl w:val="3"/>
      </w:pPr>
      <w:r>
        <w:rPr>
          <w:rFonts w:ascii="Arial" w:hAnsi="Arial" w:cs="Arial"/>
          <w:b/>
          <w:i/>
          <w:color w:val="333333"/>
          <w:sz w:val="22"/>
        </w:rPr>
        <w:t>5.2.3.12 SETTLED</w:t>
      </w:r>
    </w:p>
    <w:p>
      <w:pPr>
        <w:spacing w:after="80" w:line="293" w:lineRule="auto"/>
        <w:ind w:left="283"/>
        <w:jc w:val="left"/>
      </w:pPr>
      <w:r>
        <w:rPr>
          <w:rFonts w:ascii="Times New Roman" w:hAnsi="Times New Roman" w:cs="Times New Roman"/>
          <w:b w:val="0"/>
          <w:i w:val="0"/>
          <w:sz w:val="22"/>
        </w:rPr>
        <w:t>- Description: the trade principal (amount due to seller) has been paid by the buyer. The trade is financially complete.</w:t>
      </w:r>
    </w:p>
    <w:p>
      <w:pPr>
        <w:spacing w:after="80" w:line="293" w:lineRule="auto"/>
        <w:ind w:left="283"/>
        <w:jc w:val="left"/>
      </w:pPr>
      <w:r>
        <w:rPr>
          <w:rFonts w:ascii="Times New Roman" w:hAnsi="Times New Roman" w:cs="Times New Roman"/>
          <w:b w:val="0"/>
          <w:i w:val="0"/>
          <w:sz w:val="22"/>
        </w:rPr>
        <w:t>- Trigger: bank camt.054 confirmation settles the payment.</w:t>
      </w:r>
    </w:p>
    <w:p>
      <w:pPr>
        <w:spacing w:after="80" w:line="293" w:lineRule="auto"/>
        <w:ind w:left="283"/>
        <w:jc w:val="left"/>
      </w:pPr>
      <w:r>
        <w:rPr>
          <w:rFonts w:ascii="Times New Roman" w:hAnsi="Times New Roman" w:cs="Times New Roman"/>
          <w:b w:val="0"/>
          <w:i w:val="0"/>
          <w:sz w:val="22"/>
        </w:rPr>
        <w:t>- Responsible Party: System (automatic).</w:t>
      </w:r>
    </w:p>
    <w:p>
      <w:pPr>
        <w:spacing w:after="80" w:line="293" w:lineRule="auto"/>
        <w:ind w:left="283"/>
        <w:jc w:val="left"/>
      </w:pPr>
      <w:r>
        <w:rPr>
          <w:rFonts w:ascii="Times New Roman" w:hAnsi="Times New Roman" w:cs="Times New Roman"/>
          <w:b w:val="0"/>
          <w:i w:val="0"/>
          <w:sz w:val="22"/>
        </w:rPr>
        <w:t>- Actions Allowed: none — system proceeds to archival.</w:t>
      </w:r>
    </w:p>
    <w:p>
      <w:pPr>
        <w:spacing w:after="80" w:line="293" w:lineRule="auto"/>
        <w:ind w:left="283"/>
        <w:jc w:val="left"/>
      </w:pPr>
      <w:r>
        <w:rPr>
          <w:rFonts w:ascii="Times New Roman" w:hAnsi="Times New Roman" w:cs="Times New Roman"/>
          <w:b w:val="0"/>
          <w:i w:val="0"/>
          <w:sz w:val="22"/>
        </w:rPr>
        <w:t>- Next Status: COMPLETED (after 30 days of SETTLED).</w:t>
      </w:r>
    </w:p>
    <w:p>
      <w:pPr>
        <w:spacing w:after="80" w:line="293" w:lineRule="auto"/>
        <w:ind w:left="283"/>
        <w:jc w:val="left"/>
      </w:pPr>
      <w:r>
        <w:rPr>
          <w:rFonts w:ascii="Times New Roman" w:hAnsi="Times New Roman" w:cs="Times New Roman"/>
          <w:b w:val="0"/>
          <w:i w:val="0"/>
          <w:sz w:val="22"/>
        </w:rPr>
        <w:t>- UI Display: "Trade Settled — Payment of $30,000 Confirmed".</w:t>
      </w:r>
    </w:p>
    <w:p>
      <w:pPr>
        <w:keepNext/>
        <w:spacing w:before="140" w:after="60"/>
        <w:outlineLvl w:val="3"/>
      </w:pPr>
      <w:r>
        <w:rPr>
          <w:rFonts w:ascii="Arial" w:hAnsi="Arial" w:cs="Arial"/>
          <w:b/>
          <w:i/>
          <w:color w:val="333333"/>
          <w:sz w:val="22"/>
        </w:rPr>
        <w:t>5.2.3.13 COMPLETED</w:t>
      </w:r>
    </w:p>
    <w:p>
      <w:pPr>
        <w:spacing w:after="80" w:line="293" w:lineRule="auto"/>
        <w:ind w:left="283"/>
        <w:jc w:val="left"/>
      </w:pPr>
      <w:r>
        <w:rPr>
          <w:rFonts w:ascii="Times New Roman" w:hAnsi="Times New Roman" w:cs="Times New Roman"/>
          <w:b w:val="0"/>
          <w:i w:val="0"/>
          <w:sz w:val="22"/>
        </w:rPr>
        <w:t>- Description: the trade is fully complete and archived. All milestones closed, documents archived, and records retained for regulatory periods.</w:t>
      </w:r>
    </w:p>
    <w:p>
      <w:pPr>
        <w:spacing w:after="80" w:line="293" w:lineRule="auto"/>
        <w:ind w:left="283"/>
        <w:jc w:val="left"/>
      </w:pPr>
      <w:r>
        <w:rPr>
          <w:rFonts w:ascii="Times New Roman" w:hAnsi="Times New Roman" w:cs="Times New Roman"/>
          <w:b w:val="0"/>
          <w:i w:val="0"/>
          <w:sz w:val="22"/>
        </w:rPr>
        <w:t>- Trigger: system after 30 days of SETTLED.</w:t>
      </w:r>
    </w:p>
    <w:p>
      <w:pPr>
        <w:spacing w:after="80" w:line="293" w:lineRule="auto"/>
        <w:ind w:left="283"/>
        <w:jc w:val="left"/>
      </w:pPr>
      <w:r>
        <w:rPr>
          <w:rFonts w:ascii="Times New Roman" w:hAnsi="Times New Roman" w:cs="Times New Roman"/>
          <w:b w:val="0"/>
          <w:i w:val="0"/>
          <w:sz w:val="22"/>
        </w:rPr>
        <w:t>- Responsible Party: System (automatic).</w:t>
      </w:r>
    </w:p>
    <w:p>
      <w:pPr>
        <w:spacing w:after="80" w:line="293" w:lineRule="auto"/>
        <w:ind w:left="283"/>
        <w:jc w:val="left"/>
      </w:pPr>
      <w:r>
        <w:rPr>
          <w:rFonts w:ascii="Times New Roman" w:hAnsi="Times New Roman" w:cs="Times New Roman"/>
          <w:b w:val="0"/>
          <w:i w:val="0"/>
          <w:sz w:val="22"/>
        </w:rPr>
        <w:t>- Actions Allowed: none — read-only.</w:t>
      </w:r>
    </w:p>
    <w:p>
      <w:pPr>
        <w:spacing w:after="80" w:line="293" w:lineRule="auto"/>
        <w:ind w:left="283"/>
        <w:jc w:val="left"/>
      </w:pPr>
      <w:r>
        <w:rPr>
          <w:rFonts w:ascii="Times New Roman" w:hAnsi="Times New Roman" w:cs="Times New Roman"/>
          <w:b w:val="0"/>
          <w:i w:val="0"/>
          <w:sz w:val="22"/>
        </w:rPr>
        <w:t>- Next Status: none (terminal state). The COMPLETED archival state is subject to the closure conditions in Section 5.10 — authoritative closure (USTN_CLOSED) is earned only when the canClose predicate evaluates true.</w:t>
      </w:r>
    </w:p>
    <w:p>
      <w:pPr>
        <w:spacing w:after="80" w:line="293" w:lineRule="auto"/>
        <w:ind w:left="283"/>
        <w:jc w:val="left"/>
      </w:pPr>
      <w:r>
        <w:rPr>
          <w:rFonts w:ascii="Times New Roman" w:hAnsi="Times New Roman" w:cs="Times New Roman"/>
          <w:b w:val="0"/>
          <w:i w:val="0"/>
          <w:sz w:val="22"/>
        </w:rPr>
        <w:t>- UI Display: "Trade Completed — Archived".</w:t>
      </w:r>
    </w:p>
    <w:p>
      <w:pPr>
        <w:keepNext/>
        <w:spacing w:before="140" w:after="60"/>
        <w:outlineLvl w:val="3"/>
      </w:pPr>
      <w:r>
        <w:rPr>
          <w:rFonts w:ascii="Arial" w:hAnsi="Arial" w:cs="Arial"/>
          <w:b/>
          <w:i/>
          <w:color w:val="333333"/>
          <w:sz w:val="22"/>
        </w:rPr>
        <w:t>5.2.3.14 DISPUTED</w:t>
      </w:r>
    </w:p>
    <w:p>
      <w:pPr>
        <w:spacing w:after="80" w:line="293" w:lineRule="auto"/>
        <w:ind w:left="283"/>
        <w:jc w:val="left"/>
      </w:pPr>
      <w:r>
        <w:rPr>
          <w:rFonts w:ascii="Times New Roman" w:hAnsi="Times New Roman" w:cs="Times New Roman"/>
          <w:b w:val="0"/>
          <w:i w:val="0"/>
          <w:sz w:val="22"/>
        </w:rPr>
        <w:t>- Description: a dispute has been raised by any party (quality, delay, non-payment, etc.). The USTN status is frozen pending resolution.</w:t>
      </w:r>
    </w:p>
    <w:p>
      <w:pPr>
        <w:spacing w:after="80" w:line="293" w:lineRule="auto"/>
        <w:ind w:left="283"/>
        <w:jc w:val="left"/>
      </w:pPr>
      <w:r>
        <w:rPr>
          <w:rFonts w:ascii="Times New Roman" w:hAnsi="Times New Roman" w:cs="Times New Roman"/>
          <w:b w:val="0"/>
          <w:i w:val="0"/>
          <w:sz w:val="22"/>
        </w:rPr>
        <w:t>- Trigger: any party files a dispute.</w:t>
      </w:r>
    </w:p>
    <w:p>
      <w:pPr>
        <w:spacing w:after="80" w:line="293" w:lineRule="auto"/>
        <w:ind w:left="283"/>
        <w:jc w:val="left"/>
      </w:pPr>
      <w:r>
        <w:rPr>
          <w:rFonts w:ascii="Times New Roman" w:hAnsi="Times New Roman" w:cs="Times New Roman"/>
          <w:b w:val="0"/>
          <w:i w:val="0"/>
          <w:sz w:val="22"/>
        </w:rPr>
        <w:t>- Responsible Party: any party.</w:t>
      </w:r>
    </w:p>
    <w:p>
      <w:pPr>
        <w:spacing w:after="80" w:line="293" w:lineRule="auto"/>
        <w:ind w:left="283"/>
        <w:jc w:val="left"/>
      </w:pPr>
      <w:r>
        <w:rPr>
          <w:rFonts w:ascii="Times New Roman" w:hAnsi="Times New Roman" w:cs="Times New Roman"/>
          <w:b w:val="0"/>
          <w:i w:val="0"/>
          <w:sz w:val="22"/>
        </w:rPr>
        <w:t>- Actions Allowed: parties engage in mediation, invite experts, accept settlement.</w:t>
      </w:r>
    </w:p>
    <w:p>
      <w:pPr>
        <w:spacing w:after="80" w:line="293" w:lineRule="auto"/>
        <w:ind w:left="283"/>
        <w:jc w:val="left"/>
      </w:pPr>
      <w:r>
        <w:rPr>
          <w:rFonts w:ascii="Times New Roman" w:hAnsi="Times New Roman" w:cs="Times New Roman"/>
          <w:b w:val="0"/>
          <w:i w:val="0"/>
          <w:sz w:val="22"/>
        </w:rPr>
        <w:t>- Next Status: can return to previous status (if resolved) or proceed to COMPLETED (if settled).</w:t>
      </w:r>
    </w:p>
    <w:p>
      <w:pPr>
        <w:spacing w:after="80" w:line="293" w:lineRule="auto"/>
        <w:ind w:left="283"/>
        <w:jc w:val="left"/>
      </w:pPr>
      <w:r>
        <w:rPr>
          <w:rFonts w:ascii="Times New Roman" w:hAnsi="Times New Roman" w:cs="Times New Roman"/>
          <w:b w:val="0"/>
          <w:i w:val="0"/>
          <w:sz w:val="22"/>
        </w:rPr>
        <w:t>- UI Display: "Dispute Filed — Mediation In Progress".</w:t>
      </w:r>
    </w:p>
    <w:p>
      <w:pPr>
        <w:keepNext/>
        <w:spacing w:before="140" w:after="60"/>
        <w:outlineLvl w:val="3"/>
      </w:pPr>
      <w:r>
        <w:rPr>
          <w:rFonts w:ascii="Arial" w:hAnsi="Arial" w:cs="Arial"/>
          <w:b/>
          <w:i/>
          <w:color w:val="333333"/>
          <w:sz w:val="22"/>
        </w:rPr>
        <w:t>5.2.3.15 DISTRESSED</w:t>
      </w:r>
    </w:p>
    <w:p>
      <w:pPr>
        <w:spacing w:after="80" w:line="293" w:lineRule="auto"/>
        <w:ind w:left="283"/>
        <w:jc w:val="left"/>
      </w:pPr>
      <w:r>
        <w:rPr>
          <w:rFonts w:ascii="Times New Roman" w:hAnsi="Times New Roman" w:cs="Times New Roman"/>
          <w:b w:val="0"/>
          <w:i w:val="0"/>
          <w:sz w:val="22"/>
        </w:rPr>
        <w:t>- Description: the seller has declared distress on a portion of the shipment (e.g., damaged goods). A MicroUSTN may be generated for the distressed lot.</w:t>
      </w:r>
    </w:p>
    <w:p>
      <w:pPr>
        <w:spacing w:after="80" w:line="293" w:lineRule="auto"/>
        <w:ind w:left="283"/>
        <w:jc w:val="left"/>
      </w:pPr>
      <w:r>
        <w:rPr>
          <w:rFonts w:ascii="Times New Roman" w:hAnsi="Times New Roman" w:cs="Times New Roman"/>
          <w:b w:val="0"/>
          <w:i w:val="0"/>
          <w:sz w:val="22"/>
        </w:rPr>
        <w:t>- Trigger: seller declares distressed cargo.</w:t>
      </w:r>
    </w:p>
    <w:p>
      <w:pPr>
        <w:spacing w:after="80" w:line="293" w:lineRule="auto"/>
        <w:ind w:left="283"/>
        <w:jc w:val="left"/>
      </w:pPr>
      <w:r>
        <w:rPr>
          <w:rFonts w:ascii="Times New Roman" w:hAnsi="Times New Roman" w:cs="Times New Roman"/>
          <w:b w:val="0"/>
          <w:i w:val="0"/>
          <w:sz w:val="22"/>
        </w:rPr>
        <w:t>- Responsible Party: Seller.</w:t>
      </w:r>
    </w:p>
    <w:p>
      <w:pPr>
        <w:spacing w:after="80" w:line="293" w:lineRule="auto"/>
        <w:ind w:left="283"/>
        <w:jc w:val="left"/>
      </w:pPr>
      <w:r>
        <w:rPr>
          <w:rFonts w:ascii="Times New Roman" w:hAnsi="Times New Roman" w:cs="Times New Roman"/>
          <w:b w:val="0"/>
          <w:i w:val="0"/>
          <w:sz w:val="22"/>
        </w:rPr>
        <w:t>- Actions Allowed: triage, accelerated outreach, micro-contract.</w:t>
      </w:r>
    </w:p>
    <w:p>
      <w:pPr>
        <w:spacing w:after="80" w:line="293" w:lineRule="auto"/>
        <w:ind w:left="283"/>
        <w:jc w:val="left"/>
      </w:pPr>
      <w:r>
        <w:rPr>
          <w:rFonts w:ascii="Times New Roman" w:hAnsi="Times New Roman" w:cs="Times New Roman"/>
          <w:b w:val="0"/>
          <w:i w:val="0"/>
          <w:sz w:val="22"/>
        </w:rPr>
        <w:t>- Next Status: can return to normal status (if resolved) or proceed to micro-contract.</w:t>
      </w:r>
    </w:p>
    <w:p>
      <w:pPr>
        <w:spacing w:after="80" w:line="293" w:lineRule="auto"/>
        <w:ind w:left="283"/>
        <w:jc w:val="left"/>
      </w:pPr>
      <w:r>
        <w:rPr>
          <w:rFonts w:ascii="Times New Roman" w:hAnsi="Times New Roman" w:cs="Times New Roman"/>
          <w:b w:val="0"/>
          <w:i w:val="0"/>
          <w:sz w:val="22"/>
        </w:rPr>
        <w:t>- UI Display: "Distressed Cargo Declared — Pallets LEM003-005 affected".</w:t>
      </w:r>
    </w:p>
    <w:p>
      <w:pPr>
        <w:keepNext/>
        <w:spacing w:before="140" w:after="60"/>
        <w:outlineLvl w:val="3"/>
      </w:pPr>
      <w:r>
        <w:rPr>
          <w:rFonts w:ascii="Arial" w:hAnsi="Arial" w:cs="Arial"/>
          <w:b/>
          <w:i/>
          <w:color w:val="333333"/>
          <w:sz w:val="22"/>
        </w:rPr>
        <w:t>5.2.3.16 CANCELLED</w:t>
      </w:r>
    </w:p>
    <w:p>
      <w:pPr>
        <w:spacing w:after="80" w:line="293" w:lineRule="auto"/>
        <w:ind w:left="283"/>
        <w:jc w:val="left"/>
      </w:pPr>
      <w:r>
        <w:rPr>
          <w:rFonts w:ascii="Times New Roman" w:hAnsi="Times New Roman" w:cs="Times New Roman"/>
          <w:b w:val="0"/>
          <w:i w:val="0"/>
          <w:sz w:val="22"/>
        </w:rPr>
        <w:t>- Description: the trade has been cancelled before completion. This can be mutual or forced by system (e.g., sanctions hit, fraud).</w:t>
      </w:r>
    </w:p>
    <w:p>
      <w:pPr>
        <w:spacing w:after="80" w:line="293" w:lineRule="auto"/>
        <w:ind w:left="283"/>
        <w:jc w:val="left"/>
      </w:pPr>
      <w:r>
        <w:rPr>
          <w:rFonts w:ascii="Times New Roman" w:hAnsi="Times New Roman" w:cs="Times New Roman"/>
          <w:b w:val="0"/>
          <w:i w:val="0"/>
          <w:sz w:val="22"/>
        </w:rPr>
        <w:t>- Trigger: mutual agreement or system auto-cancel.</w:t>
      </w:r>
    </w:p>
    <w:p>
      <w:pPr>
        <w:spacing w:after="80" w:line="293" w:lineRule="auto"/>
        <w:ind w:left="283"/>
        <w:jc w:val="left"/>
      </w:pPr>
      <w:r>
        <w:rPr>
          <w:rFonts w:ascii="Times New Roman" w:hAnsi="Times New Roman" w:cs="Times New Roman"/>
          <w:b w:val="0"/>
          <w:i w:val="0"/>
          <w:sz w:val="22"/>
        </w:rPr>
        <w:t>- Responsible Party: any party with consent or System.</w:t>
      </w:r>
    </w:p>
    <w:p>
      <w:pPr>
        <w:spacing w:after="80" w:line="293" w:lineRule="auto"/>
        <w:ind w:left="283"/>
        <w:jc w:val="left"/>
      </w:pPr>
      <w:r>
        <w:rPr>
          <w:rFonts w:ascii="Times New Roman" w:hAnsi="Times New Roman" w:cs="Times New Roman"/>
          <w:b w:val="0"/>
          <w:i w:val="0"/>
          <w:sz w:val="22"/>
        </w:rPr>
        <w:t>- Actions Allowed: none — read-only.</w:t>
      </w:r>
    </w:p>
    <w:p>
      <w:pPr>
        <w:spacing w:after="80" w:line="293" w:lineRule="auto"/>
        <w:ind w:left="283"/>
        <w:jc w:val="left"/>
      </w:pPr>
      <w:r>
        <w:rPr>
          <w:rFonts w:ascii="Times New Roman" w:hAnsi="Times New Roman" w:cs="Times New Roman"/>
          <w:b w:val="0"/>
          <w:i w:val="0"/>
          <w:sz w:val="22"/>
        </w:rPr>
        <w:t>- Next Status: none (terminal state).</w:t>
      </w:r>
    </w:p>
    <w:p>
      <w:pPr>
        <w:spacing w:after="80" w:line="293" w:lineRule="auto"/>
        <w:ind w:left="283"/>
        <w:jc w:val="left"/>
      </w:pPr>
      <w:r>
        <w:rPr>
          <w:rFonts w:ascii="Times New Roman" w:hAnsi="Times New Roman" w:cs="Times New Roman"/>
          <w:b w:val="0"/>
          <w:i w:val="0"/>
          <w:sz w:val="22"/>
        </w:rPr>
        <w:t>- UI Display: "Trade Cancelled — Reason: Mutual Agreement".</w:t>
      </w:r>
    </w:p>
    <w:p>
      <w:pPr>
        <w:keepNext/>
        <w:spacing w:before="180" w:after="80"/>
        <w:outlineLvl w:val="2"/>
      </w:pPr>
      <w:r>
        <w:rPr>
          <w:rFonts w:ascii="Arial" w:hAnsi="Arial" w:cs="Arial"/>
          <w:b/>
          <w:i w:val="0"/>
          <w:color w:val="333333"/>
          <w:sz w:val="23"/>
        </w:rPr>
        <w:t>5.2.4 Status Transition Rules (Governor Enforcement)</w:t>
      </w:r>
    </w:p>
    <w:p>
      <w:pPr>
        <w:spacing w:after="80" w:line="293" w:lineRule="auto"/>
        <w:jc w:val="left"/>
      </w:pPr>
      <w:r>
        <w:rPr>
          <w:rFonts w:ascii="Times New Roman" w:hAnsi="Times New Roman" w:cs="Times New Roman"/>
          <w:b w:val="0"/>
          <w:i w:val="0"/>
          <w:sz w:val="22"/>
        </w:rPr>
        <w:t>All status transitions are validated by the Governor. The following rules apply:</w:t>
      </w:r>
    </w:p>
    <w:p>
      <w:pPr>
        <w:spacing w:after="80" w:line="293" w:lineRule="auto"/>
        <w:ind w:left="283"/>
        <w:jc w:val="left"/>
      </w:pPr>
      <w:r>
        <w:rPr>
          <w:rFonts w:ascii="Times New Roman" w:hAnsi="Times New Roman" w:cs="Times New Roman"/>
          <w:b w:val="0"/>
          <w:i w:val="0"/>
          <w:sz w:val="22"/>
        </w:rPr>
        <w:t>- Every transition must follow the defined state machine; out-of-order transitions are rejected with a plain-language explanation.</w:t>
      </w:r>
    </w:p>
    <w:p>
      <w:pPr>
        <w:spacing w:after="80" w:line="293" w:lineRule="auto"/>
        <w:ind w:left="283"/>
        <w:jc w:val="left"/>
      </w:pPr>
      <w:r>
        <w:rPr>
          <w:rFonts w:ascii="Times New Roman" w:hAnsi="Times New Roman" w:cs="Times New Roman"/>
          <w:b w:val="0"/>
          <w:i w:val="0"/>
          <w:sz w:val="22"/>
        </w:rPr>
        <w:t>- Transitions require evidence: payment webhooks for STAGE1_SETTLED/SETTLED, ACID + SAD references for CUSTOMS_SUBMITTED, booking references for BOOKED, milestone confirmations (barcode, voice, manual, API, or auto-consensus) for physical statuses.</w:t>
      </w:r>
    </w:p>
    <w:p>
      <w:pPr>
        <w:spacing w:after="80" w:line="293" w:lineRule="auto"/>
        <w:ind w:left="283"/>
        <w:jc w:val="left"/>
      </w:pPr>
      <w:r>
        <w:rPr>
          <w:rFonts w:ascii="Times New Roman" w:hAnsi="Times New Roman" w:cs="Times New Roman"/>
          <w:b w:val="0"/>
          <w:i w:val="0"/>
          <w:sz w:val="22"/>
        </w:rPr>
        <w:t>- Exception statuses (DISPUTED, DISTRESSED, CANCELLED) freeze the normal sequence; returning to the normal sequence requires resolution evidence and a Governor decision.</w:t>
      </w:r>
    </w:p>
    <w:p>
      <w:pPr>
        <w:spacing w:after="80" w:line="293" w:lineRule="auto"/>
        <w:ind w:left="283"/>
        <w:jc w:val="left"/>
      </w:pPr>
      <w:r>
        <w:rPr>
          <w:rFonts w:ascii="Times New Roman" w:hAnsi="Times New Roman" w:cs="Times New Roman"/>
          <w:b w:val="0"/>
          <w:i w:val="0"/>
          <w:sz w:val="22"/>
        </w:rPr>
        <w:t>- Every transition is Loom-logged and broadcast via NATS.</w:t>
      </w:r>
    </w:p>
    <w:p>
      <w:pPr>
        <w:spacing w:after="80" w:line="293" w:lineRule="auto"/>
        <w:ind w:left="283"/>
        <w:jc w:val="left"/>
      </w:pPr>
      <w:r>
        <w:rPr>
          <w:rFonts w:ascii="Times New Roman" w:hAnsi="Times New Roman" w:cs="Times New Roman"/>
          <w:b w:val="0"/>
          <w:i w:val="0"/>
          <w:sz w:val="22"/>
        </w:rPr>
        <w:t>- COMPLETED occurs 30 days after SETTLED and is subject to the closure conditions in Section 5.10.</w:t>
      </w:r>
    </w:p>
    <w:p>
      <w:pPr>
        <w:keepNext/>
        <w:spacing w:before="180" w:after="80"/>
        <w:outlineLvl w:val="2"/>
      </w:pPr>
      <w:r>
        <w:rPr>
          <w:rFonts w:ascii="Arial" w:hAnsi="Arial" w:cs="Arial"/>
          <w:b/>
          <w:i w:val="0"/>
          <w:color w:val="333333"/>
          <w:sz w:val="23"/>
        </w:rPr>
        <w:t>5.2.5 Edge Cases &amp; Error Handling</w:t>
      </w:r>
    </w:p>
    <w:p>
      <w:pPr>
        <w:spacing w:after="80" w:line="293" w:lineRule="auto"/>
        <w:ind w:left="283"/>
        <w:jc w:val="left"/>
      </w:pPr>
      <w:r>
        <w:rPr>
          <w:rFonts w:ascii="Times New Roman" w:hAnsi="Times New Roman" w:cs="Times New Roman"/>
          <w:b w:val="0"/>
          <w:i w:val="0"/>
          <w:sz w:val="22"/>
        </w:rPr>
        <w:t>- Invalid transition attempts (e.g., DELIVERED → BOOKED) return a Governor DENY with an explanation of the allowed transitions.</w:t>
      </w:r>
    </w:p>
    <w:p>
      <w:pPr>
        <w:spacing w:after="80" w:line="293" w:lineRule="auto"/>
        <w:ind w:left="283"/>
        <w:jc w:val="left"/>
      </w:pPr>
      <w:r>
        <w:rPr>
          <w:rFonts w:ascii="Times New Roman" w:hAnsi="Times New Roman" w:cs="Times New Roman"/>
          <w:b w:val="0"/>
          <w:i w:val="0"/>
          <w:sz w:val="22"/>
        </w:rPr>
        <w:t>- Missing evidence (e.g., milestone confirmation without a scan or API event) blocks the transition until evidence is supplied.</w:t>
      </w:r>
    </w:p>
    <w:p>
      <w:pPr>
        <w:spacing w:after="80" w:line="293" w:lineRule="auto"/>
        <w:ind w:left="283"/>
        <w:jc w:val="left"/>
      </w:pPr>
      <w:r>
        <w:rPr>
          <w:rFonts w:ascii="Times New Roman" w:hAnsi="Times New Roman" w:cs="Times New Roman"/>
          <w:b w:val="0"/>
          <w:i w:val="0"/>
          <w:sz w:val="22"/>
        </w:rPr>
        <w:t>- Webhook retries and idempotent processing guarantee exactly-once settlement transitions.</w:t>
      </w:r>
    </w:p>
    <w:p>
      <w:pPr>
        <w:spacing w:after="80" w:line="293" w:lineRule="auto"/>
        <w:ind w:left="283"/>
        <w:jc w:val="left"/>
      </w:pPr>
      <w:r>
        <w:rPr>
          <w:rFonts w:ascii="Times New Roman" w:hAnsi="Times New Roman" w:cs="Times New Roman"/>
          <w:b w:val="0"/>
          <w:i w:val="0"/>
          <w:sz w:val="22"/>
        </w:rPr>
        <w:t>- Dispute or distress declared mid-transition freezes the shipment in its current sequential status until resolution.</w:t>
      </w:r>
    </w:p>
    <w:p>
      <w:pPr>
        <w:spacing w:after="80" w:line="293" w:lineRule="auto"/>
        <w:ind w:left="283"/>
        <w:jc w:val="left"/>
      </w:pPr>
      <w:r>
        <w:rPr>
          <w:rFonts w:ascii="Times New Roman" w:hAnsi="Times New Roman" w:cs="Times New Roman"/>
          <w:b w:val="0"/>
          <w:i w:val="0"/>
          <w:sz w:val="22"/>
        </w:rPr>
        <w:t>- Cancellation after USTN generation keeps the USTN as a historical record (immutability); the record is read-only.</w:t>
      </w:r>
    </w:p>
    <w:p>
      <w:pPr>
        <w:keepNext/>
        <w:spacing w:before="180" w:after="80"/>
        <w:outlineLvl w:val="2"/>
      </w:pPr>
      <w:r>
        <w:rPr>
          <w:rFonts w:ascii="Arial" w:hAnsi="Arial" w:cs="Arial"/>
          <w:b/>
          <w:i w:val="0"/>
          <w:color w:val="333333"/>
          <w:sz w:val="23"/>
        </w:rPr>
        <w:t>5.2.6 Governance &amp; Compliance Gates</w:t>
      </w:r>
    </w:p>
    <w:p>
      <w:pPr>
        <w:spacing w:after="80" w:line="293" w:lineRule="auto"/>
        <w:ind w:left="283"/>
        <w:jc w:val="left"/>
      </w:pPr>
      <w:r>
        <w:rPr>
          <w:rFonts w:ascii="Times New Roman" w:hAnsi="Times New Roman" w:cs="Times New Roman"/>
          <w:b w:val="0"/>
          <w:i w:val="0"/>
          <w:sz w:val="22"/>
        </w:rPr>
        <w:t>- The Governor gates every status transition against constitutional rules and jurisdiction profiles (see Section 15).</w:t>
      </w:r>
    </w:p>
    <w:p>
      <w:pPr>
        <w:spacing w:after="80" w:line="293" w:lineRule="auto"/>
        <w:ind w:left="283"/>
        <w:jc w:val="left"/>
      </w:pPr>
      <w:r>
        <w:rPr>
          <w:rFonts w:ascii="Times New Roman" w:hAnsi="Times New Roman" w:cs="Times New Roman"/>
          <w:b w:val="0"/>
          <w:i w:val="0"/>
          <w:sz w:val="22"/>
        </w:rPr>
        <w:t>- Sanctions re-screening at milestone transitions can force AT_RISK handling of the involved tenants.</w:t>
      </w:r>
    </w:p>
    <w:p>
      <w:pPr>
        <w:spacing w:after="80" w:line="293" w:lineRule="auto"/>
        <w:ind w:left="283"/>
        <w:jc w:val="left"/>
      </w:pPr>
      <w:r>
        <w:rPr>
          <w:rFonts w:ascii="Times New Roman" w:hAnsi="Times New Roman" w:cs="Times New Roman"/>
          <w:b w:val="0"/>
          <w:i w:val="0"/>
          <w:sz w:val="22"/>
        </w:rPr>
        <w:t>- Evidence for each transition is sealed in the final evidence package at closure (see Section 5.10).</w:t>
      </w:r>
    </w:p>
    <w:p>
      <w:pPr>
        <w:spacing w:after="80" w:line="293" w:lineRule="auto"/>
        <w:ind w:left="283"/>
        <w:jc w:val="left"/>
      </w:pPr>
      <w:r>
        <w:rPr>
          <w:rFonts w:ascii="Times New Roman" w:hAnsi="Times New Roman" w:cs="Times New Roman"/>
          <w:b w:val="0"/>
          <w:i w:val="0"/>
          <w:sz w:val="22"/>
        </w:rPr>
        <w:t>- The semantic E2E validator verifies every lifecycle stage across four levels (L1 existence, L2 referential integrity, L3 state integrity, L4 constitutional authorization — see Section 5.10.4).</w:t>
      </w:r>
    </w:p>
    <w:p>
      <w:pPr>
        <w:keepNext/>
        <w:spacing w:before="180" w:after="80"/>
        <w:outlineLvl w:val="2"/>
      </w:pPr>
      <w:r>
        <w:rPr>
          <w:rFonts w:ascii="Arial" w:hAnsi="Arial" w:cs="Arial"/>
          <w:b/>
          <w:i w:val="0"/>
          <w:color w:val="333333"/>
          <w:sz w:val="23"/>
        </w:rPr>
        <w:t>5.2.7 Database Schema (Section 5.2)</w:t>
      </w:r>
    </w:p>
    <w:p>
      <w:pPr>
        <w:spacing w:after="0" w:before="0" w:line="240" w:lineRule="auto"/>
        <w:ind w:left="57"/>
        <w:jc w:val="left"/>
        <w:shd w:val="clear" w:fill="F2F2F2"/>
      </w:pPr>
      <w:r>
        <w:rPr>
          <w:rFonts w:ascii="Consolas" w:hAnsi="Consolas" w:cs="Consolas"/>
          <w:b w:val="0"/>
          <w:i w:val="0"/>
          <w:sz w:val="15"/>
        </w:rPr>
        <w:t>-- Shipments table (core USTN master object)</w:t>
      </w:r>
    </w:p>
    <w:p>
      <w:pPr>
        <w:spacing w:after="0" w:before="0" w:line="240" w:lineRule="auto"/>
        <w:ind w:left="57"/>
        <w:jc w:val="left"/>
        <w:shd w:val="clear" w:fill="F2F2F2"/>
      </w:pPr>
      <w:r>
        <w:rPr>
          <w:rFonts w:ascii="Consolas" w:hAnsi="Consolas" w:cs="Consolas"/>
          <w:b w:val="0"/>
          <w:i w:val="0"/>
          <w:sz w:val="15"/>
        </w:rPr>
        <w:t>-- shipments: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Shipment milestones (historical timeline)</w:t>
      </w:r>
    </w:p>
    <w:p>
      <w:pPr>
        <w:spacing w:after="0" w:before="0" w:line="240" w:lineRule="auto"/>
        <w:ind w:left="57"/>
        <w:jc w:val="left"/>
        <w:shd w:val="clear" w:fill="F2F2F2"/>
      </w:pPr>
      <w:r>
        <w:rPr>
          <w:rFonts w:ascii="Consolas" w:hAnsi="Consolas" w:cs="Consolas"/>
          <w:b w:val="0"/>
          <w:i w:val="0"/>
          <w:sz w:val="15"/>
        </w:rPr>
        <w:t>-- shipment_milestones: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USTN verification tokens (public verification)</w:t>
      </w:r>
    </w:p>
    <w:p>
      <w:pPr>
        <w:spacing w:after="0" w:before="0" w:line="240" w:lineRule="auto"/>
        <w:ind w:left="57"/>
        <w:jc w:val="left"/>
        <w:shd w:val="clear" w:fill="F2F2F2"/>
      </w:pPr>
      <w:r>
        <w:rPr>
          <w:rFonts w:ascii="Consolas" w:hAnsi="Consolas" w:cs="Consolas"/>
          <w:b w:val="0"/>
          <w:i w:val="0"/>
          <w:sz w:val="15"/>
        </w:rPr>
        <w:t>-- loom_verification_tokens: canonical definition in Section 17.17;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idx_shipments_ustn ON shipments(ustn);</w:t>
      </w:r>
    </w:p>
    <w:p>
      <w:pPr>
        <w:spacing w:after="0" w:before="0" w:line="240" w:lineRule="auto"/>
        <w:ind w:left="57"/>
        <w:jc w:val="left"/>
        <w:shd w:val="clear" w:fill="F2F2F2"/>
      </w:pPr>
      <w:r>
        <w:rPr>
          <w:rFonts w:ascii="Consolas" w:hAnsi="Consolas" w:cs="Consolas"/>
          <w:b w:val="0"/>
          <w:i w:val="0"/>
          <w:sz w:val="15"/>
        </w:rPr>
        <w:t>CREATE INDEX idx_shipments_status ON shipments(status);</w:t>
      </w:r>
    </w:p>
    <w:p>
      <w:pPr>
        <w:spacing w:after="0" w:before="0" w:line="240" w:lineRule="auto"/>
        <w:ind w:left="57"/>
        <w:jc w:val="left"/>
        <w:shd w:val="clear" w:fill="F2F2F2"/>
      </w:pPr>
      <w:r>
        <w:rPr>
          <w:rFonts w:ascii="Consolas" w:hAnsi="Consolas" w:cs="Consolas"/>
          <w:b w:val="0"/>
          <w:i w:val="0"/>
          <w:sz w:val="15"/>
        </w:rPr>
        <w:t>CREATE INDEX idx_shipments_exporter ON shipments(exporter_gtid);</w:t>
      </w:r>
    </w:p>
    <w:p>
      <w:pPr>
        <w:spacing w:after="0" w:before="0" w:line="240" w:lineRule="auto"/>
        <w:ind w:left="57"/>
        <w:jc w:val="left"/>
        <w:shd w:val="clear" w:fill="F2F2F2"/>
      </w:pPr>
      <w:r>
        <w:rPr>
          <w:rFonts w:ascii="Consolas" w:hAnsi="Consolas" w:cs="Consolas"/>
          <w:b w:val="0"/>
          <w:i w:val="0"/>
          <w:sz w:val="15"/>
        </w:rPr>
        <w:t>CREATE INDEX idx_shipments_importer ON shipments(importer_gtid);</w:t>
      </w:r>
    </w:p>
    <w:p>
      <w:pPr>
        <w:spacing w:after="0" w:before="0" w:line="240" w:lineRule="auto"/>
        <w:ind w:left="57"/>
        <w:jc w:val="left"/>
        <w:shd w:val="clear" w:fill="F2F2F2"/>
      </w:pPr>
      <w:r>
        <w:rPr>
          <w:rFonts w:ascii="Consolas" w:hAnsi="Consolas" w:cs="Consolas"/>
          <w:b w:val="0"/>
          <w:i w:val="0"/>
          <w:sz w:val="15"/>
        </w:rPr>
        <w:t>CREATE INDEX idx_shipments_etd ON shipments(etd);</w:t>
      </w:r>
    </w:p>
    <w:p>
      <w:pPr>
        <w:spacing w:after="0" w:before="0" w:line="240" w:lineRule="auto"/>
        <w:ind w:left="57"/>
        <w:jc w:val="left"/>
        <w:shd w:val="clear" w:fill="F2F2F2"/>
      </w:pPr>
      <w:r>
        <w:rPr>
          <w:rFonts w:ascii="Consolas" w:hAnsi="Consolas" w:cs="Consolas"/>
          <w:b w:val="0"/>
          <w:i w:val="0"/>
          <w:sz w:val="15"/>
        </w:rPr>
        <w:t>CREATE INDEX idx_shipments_eta ON shipments(eta);</w:t>
      </w:r>
    </w:p>
    <w:p>
      <w:pPr>
        <w:spacing w:after="0" w:before="0" w:line="240" w:lineRule="auto"/>
        <w:ind w:left="57"/>
        <w:jc w:val="left"/>
        <w:shd w:val="clear" w:fill="F2F2F2"/>
      </w:pPr>
      <w:r>
        <w:rPr>
          <w:rFonts w:ascii="Consolas" w:hAnsi="Consolas" w:cs="Consolas"/>
          <w:b w:val="0"/>
          <w:i w:val="0"/>
          <w:sz w:val="15"/>
        </w:rPr>
        <w:t>CREATE INDEX idx_shipment_milestones_ustn ON shipment_milestones(ustn);</w:t>
      </w:r>
    </w:p>
    <w:p>
      <w:pPr>
        <w:spacing w:after="0" w:before="0" w:line="240" w:lineRule="auto"/>
        <w:ind w:left="57"/>
        <w:jc w:val="left"/>
        <w:shd w:val="clear" w:fill="F2F2F2"/>
      </w:pPr>
      <w:r>
        <w:rPr>
          <w:rFonts w:ascii="Consolas" w:hAnsi="Consolas" w:cs="Consolas"/>
          <w:b w:val="0"/>
          <w:i w:val="0"/>
          <w:sz w:val="15"/>
        </w:rPr>
        <w:t>CREATE INDEX idx_shipment_milestones_milestone ON shipment_milestones(milestone);</w:t>
      </w:r>
    </w:p>
    <w:p>
      <w:pPr>
        <w:spacing w:after="0" w:before="0" w:line="240" w:lineRule="auto"/>
        <w:ind w:left="57"/>
        <w:jc w:val="left"/>
        <w:shd w:val="clear" w:fill="F2F2F2"/>
      </w:pPr>
      <w:r>
        <w:rPr>
          <w:rFonts w:ascii="Consolas" w:hAnsi="Consolas" w:cs="Consolas"/>
          <w:b w:val="0"/>
          <w:i w:val="0"/>
          <w:sz w:val="15"/>
        </w:rPr>
        <w:t>CREATE INDEX idx_ustn_verification_tokens_token ON loom_verification_tokens(token);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5.2.8 Quick Reference Card</w:t>
      </w:r>
    </w:p>
    <w:p>
      <w:pPr>
        <w:spacing w:after="0" w:before="0" w:line="240" w:lineRule="auto"/>
        <w:ind w:left="57"/>
        <w:jc w:val="left"/>
        <w:shd w:val="clear" w:fill="F2F2F2"/>
      </w:pPr>
      <w:r>
        <w:rPr>
          <w:rFonts w:ascii="Consolas" w:hAnsi="Consolas" w:cs="Consolas"/>
          <w:b w:val="0"/>
          <w:i w:val="0"/>
          <w:sz w:val="15"/>
        </w:rPr>
        <w:t>USTN LIFECYCLE — QUICK REFERENCE CARD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STATUS MACHINE (16 Statuses):</w:t>
      </w:r>
    </w:p>
    <w:p>
      <w:pPr>
        <w:spacing w:after="0" w:before="0" w:line="240" w:lineRule="auto"/>
        <w:ind w:left="57"/>
        <w:jc w:val="left"/>
        <w:shd w:val="clear" w:fill="F2F2F2"/>
      </w:pPr>
      <w:r>
        <w:rPr>
          <w:rFonts w:ascii="Consolas" w:hAnsi="Consolas" w:cs="Consolas"/>
          <w:b w:val="0"/>
          <w:i w:val="0"/>
          <w:sz w:val="15"/>
        </w:rPr>
        <w:t>INITIATED → STAGE1_PENDING → STAGE1_SETTLED → CUSTOMS_SUBMITTED → BOOKED →</w:t>
      </w:r>
    </w:p>
    <w:p>
      <w:pPr>
        <w:spacing w:after="0" w:before="0" w:line="240" w:lineRule="auto"/>
        <w:ind w:left="57"/>
        <w:jc w:val="left"/>
        <w:shd w:val="clear" w:fill="F2F2F2"/>
      </w:pPr>
      <w:r>
        <w:rPr>
          <w:rFonts w:ascii="Consolas" w:hAnsi="Consolas" w:cs="Consolas"/>
          <w:b w:val="0"/>
          <w:i w:val="0"/>
          <w:sz w:val="15"/>
        </w:rPr>
        <w:t>LOADED → DEPARTED → IN_TRANSIT → ARRIVED → CUSTOMS_IMPORT → DELIVERED →</w:t>
      </w:r>
    </w:p>
    <w:p>
      <w:pPr>
        <w:spacing w:after="0" w:before="0" w:line="240" w:lineRule="auto"/>
        <w:ind w:left="57"/>
        <w:jc w:val="left"/>
        <w:shd w:val="clear" w:fill="F2F2F2"/>
      </w:pPr>
      <w:r>
        <w:rPr>
          <w:rFonts w:ascii="Consolas" w:hAnsi="Consolas" w:cs="Consolas"/>
          <w:b w:val="0"/>
          <w:i w:val="0"/>
          <w:sz w:val="15"/>
        </w:rPr>
        <w:t>SETTLED → COMPLETED</w:t>
      </w:r>
    </w:p>
    <w:p>
      <w:pPr>
        <w:spacing w:after="0" w:before="0" w:line="240" w:lineRule="auto"/>
        <w:ind w:left="57"/>
        <w:jc w:val="left"/>
        <w:shd w:val="clear" w:fill="F2F2F2"/>
      </w:pPr>
      <w:r>
        <w:rPr>
          <w:rFonts w:ascii="Consolas" w:hAnsi="Consolas" w:cs="Consolas"/>
          <w:b w:val="0"/>
          <w:i w:val="0"/>
          <w:sz w:val="15"/>
        </w:rPr>
        <w:t>Special Statuses: DISPUTED, DISTRESSED, CANCELLED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EXAMPLES:</w:t>
      </w:r>
    </w:p>
    <w:p>
      <w:pPr>
        <w:spacing w:after="0" w:before="0" w:line="240" w:lineRule="auto"/>
        <w:ind w:left="57"/>
        <w:jc w:val="left"/>
        <w:shd w:val="clear" w:fill="F2F2F2"/>
      </w:pPr>
      <w:r>
        <w:rPr>
          <w:rFonts w:ascii="Consolas" w:hAnsi="Consolas" w:cs="Consolas"/>
          <w:b w:val="0"/>
          <w:i w:val="0"/>
          <w:sz w:val="15"/>
        </w:rPr>
        <w:t xml:space="preserve">  - SGTX-EG-26-F3A-1    First trade for F3A in 2026</w:t>
      </w:r>
    </w:p>
    <w:p>
      <w:pPr>
        <w:spacing w:after="0" w:before="0" w:line="240" w:lineRule="auto"/>
        <w:ind w:left="57"/>
        <w:jc w:val="left"/>
        <w:shd w:val="clear" w:fill="F2F2F2"/>
      </w:pPr>
      <w:r>
        <w:rPr>
          <w:rFonts w:ascii="Consolas" w:hAnsi="Consolas" w:cs="Consolas"/>
          <w:b w:val="0"/>
          <w:i w:val="0"/>
          <w:sz w:val="15"/>
        </w:rPr>
        <w:t xml:space="preserve">  - SGTX-EG-26-F3A-21   Multi-shipment #1-1</w:t>
      </w:r>
    </w:p>
    <w:p>
      <w:pPr>
        <w:spacing w:after="0" w:before="0" w:line="240" w:lineRule="auto"/>
        <w:ind w:left="57"/>
        <w:jc w:val="left"/>
        <w:shd w:val="clear" w:fill="F2F2F2"/>
      </w:pPr>
      <w:r>
        <w:rPr>
          <w:rFonts w:ascii="Consolas" w:hAnsi="Consolas" w:cs="Consolas"/>
          <w:b w:val="0"/>
          <w:i w:val="0"/>
          <w:sz w:val="15"/>
        </w:rPr>
        <w:t xml:space="preserve">  - SGTX-EG-26-F3A-26   Distressed micro (parent = SGTX-EG-26-F3A-15)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RESOLUTION:    GET /v1/ustn/{ustn}</w:t>
      </w:r>
    </w:p>
    <w:p>
      <w:pPr>
        <w:spacing w:after="0" w:before="0" w:line="240" w:lineRule="auto"/>
        <w:ind w:left="57"/>
        <w:jc w:val="left"/>
        <w:shd w:val="clear" w:fill="F2F2F2"/>
      </w:pPr>
      <w:r>
        <w:rPr>
          <w:rFonts w:ascii="Consolas" w:hAnsi="Consolas" w:cs="Consolas"/>
          <w:b w:val="0"/>
          <w:i w:val="0"/>
          <w:sz w:val="15"/>
        </w:rPr>
        <w:t>VERIFICATION:  GET /v1/verify/ustn?ustn=SGTX-EG-26-F3A-1&amp;token=...</w:t>
      </w:r>
    </w:p>
    <w:p>
      <w:pPr>
        <w:spacing w:after="0" w:before="0" w:line="240" w:lineRule="auto"/>
        <w:ind w:left="57"/>
        <w:jc w:val="left"/>
        <w:shd w:val="clear" w:fill="F2F2F2"/>
      </w:pPr>
      <w:r>
        <w:rPr>
          <w:rFonts w:ascii="Consolas" w:hAnsi="Consolas" w:cs="Consolas"/>
          <w:b w:val="0"/>
          <w:i w:val="0"/>
          <w:sz w:val="15"/>
        </w:rPr>
        <w:t>QR CODE:       https://sgtx.io/ustn/SGTX-EG-26-F3A-1</w:t>
      </w:r>
    </w:p>
    <w:p>
      <w:pPr>
        <w:spacing w:after="0" w:before="0" w:line="240" w:lineRule="auto"/>
        <w:ind w:left="57"/>
        <w:jc w:val="left"/>
        <w:shd w:val="clear" w:fill="F2F2F2"/>
      </w:pPr>
      <w:r>
        <w:rPr>
          <w:rFonts w:ascii="Consolas" w:hAnsi="Consolas" w:cs="Consolas"/>
          <w:b w:val="0"/>
          <w:i w:val="0"/>
          <w:sz w:val="15"/>
        </w:rPr>
        <w:t>VALIDATION REGEX: ^SGTX-[A-Z]{2}-\d{2}-[A-Z0-9]{3,4}-\d+$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5.2.9 Implementation Checklist &amp; AI Authority Summary (Section 5.2)</w:t>
      </w:r>
    </w:p>
    <w:p>
      <w:pPr>
        <w:spacing w:after="80" w:line="293" w:lineRule="auto"/>
        <w:jc w:val="left"/>
      </w:pPr>
      <w:r>
        <w:rPr>
          <w:rFonts w:ascii="Times New Roman" w:hAnsi="Times New Roman" w:cs="Times New Roman"/>
          <w:b w:val="0"/>
          <w:i w:val="0"/>
          <w:sz w:val="22"/>
        </w:rPr>
        <w:t>Implementation Checklist:</w:t>
      </w:r>
    </w:p>
    <w:p>
      <w:pPr>
        <w:spacing w:after="80" w:line="293" w:lineRule="auto"/>
        <w:ind w:left="283"/>
        <w:jc w:val="left"/>
      </w:pPr>
      <w:r>
        <w:rPr>
          <w:rFonts w:ascii="Times New Roman" w:hAnsi="Times New Roman" w:cs="Times New Roman"/>
          <w:b w:val="0"/>
          <w:i w:val="0"/>
          <w:sz w:val="22"/>
        </w:rPr>
        <w:t>- Implement the 16-status state machine with Governor validation on every transition.</w:t>
      </w:r>
    </w:p>
    <w:p>
      <w:pPr>
        <w:spacing w:after="80" w:line="293" w:lineRule="auto"/>
        <w:ind w:left="283"/>
        <w:jc w:val="left"/>
      </w:pPr>
      <w:r>
        <w:rPr>
          <w:rFonts w:ascii="Times New Roman" w:hAnsi="Times New Roman" w:cs="Times New Roman"/>
          <w:b w:val="0"/>
          <w:i w:val="0"/>
          <w:sz w:val="22"/>
        </w:rPr>
        <w:t>- Record milestones in `shipment_milestones` with confirmation method (barcode, voice, manual, api, auto_consensus).</w:t>
      </w:r>
    </w:p>
    <w:p>
      <w:pPr>
        <w:spacing w:after="80" w:line="293" w:lineRule="auto"/>
        <w:ind w:left="283"/>
        <w:jc w:val="left"/>
      </w:pPr>
      <w:r>
        <w:rPr>
          <w:rFonts w:ascii="Times New Roman" w:hAnsi="Times New Roman" w:cs="Times New Roman"/>
          <w:b w:val="0"/>
          <w:i w:val="0"/>
          <w:sz w:val="22"/>
        </w:rPr>
        <w:t>- Broadcast every status change via NATS to dashboards and Smart Inboxes.</w:t>
      </w:r>
    </w:p>
    <w:p>
      <w:pPr>
        <w:spacing w:after="80" w:line="293" w:lineRule="auto"/>
        <w:ind w:left="283"/>
        <w:jc w:val="left"/>
      </w:pPr>
      <w:r>
        <w:rPr>
          <w:rFonts w:ascii="Times New Roman" w:hAnsi="Times New Roman" w:cs="Times New Roman"/>
          <w:b w:val="0"/>
          <w:i w:val="0"/>
          <w:sz w:val="22"/>
        </w:rPr>
        <w:t>- Implement evidence requirements per transition (webhooks, ACID/SAD references, booking references, scan events).</w:t>
      </w:r>
    </w:p>
    <w:p>
      <w:pPr>
        <w:spacing w:after="80" w:line="293" w:lineRule="auto"/>
        <w:ind w:left="283"/>
        <w:jc w:val="left"/>
      </w:pPr>
      <w:r>
        <w:rPr>
          <w:rFonts w:ascii="Times New Roman" w:hAnsi="Times New Roman" w:cs="Times New Roman"/>
          <w:b w:val="0"/>
          <w:i w:val="0"/>
          <w:sz w:val="22"/>
        </w:rPr>
        <w:t>- Implement exception statuses (DISPUTED, DISTRESSED, CANCELLED) with resolution evidence and Governor decisions.</w:t>
      </w:r>
    </w:p>
    <w:p>
      <w:pPr>
        <w:spacing w:after="80" w:line="293" w:lineRule="auto"/>
        <w:ind w:left="283"/>
        <w:jc w:val="left"/>
      </w:pPr>
      <w:r>
        <w:rPr>
          <w:rFonts w:ascii="Times New Roman" w:hAnsi="Times New Roman" w:cs="Times New Roman"/>
          <w:b w:val="0"/>
          <w:i w:val="0"/>
          <w:sz w:val="22"/>
        </w:rPr>
        <w:t>- Implement the COMPLETED timer (30 days after SETTLED) subject to the closure conditions (Section 5.10).</w:t>
      </w:r>
    </w:p>
    <w:p>
      <w:pPr>
        <w:spacing w:after="80" w:line="293" w:lineRule="auto"/>
        <w:jc w:val="left"/>
      </w:pPr>
      <w:r>
        <w:rPr>
          <w:rFonts w:ascii="Times New Roman" w:hAnsi="Times New Roman" w:cs="Times New Roman"/>
          <w:b w:val="0"/>
          <w:i w:val="0"/>
          <w:sz w:val="22"/>
        </w:rPr>
        <w:t>AI Authority Summary: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AI Level</w:t>
            </w:r>
          </w:p>
        </w:tc>
        <w:tc>
          <w:tcPr>
            <w:tcW w:type="dxa" w:w="3213"/>
            <w:shd w:val="clear" w:fill="D9E2F3"/>
          </w:tcPr>
          <w:p>
            <w:pPr>
              <w:spacing w:after="20" w:before="20" w:line="240" w:lineRule="auto"/>
            </w:pPr>
            <w:r/>
            <w:r>
              <w:rPr>
                <w:rFonts w:ascii="Arial" w:hAnsi="Arial" w:cs="Arial"/>
                <w:b/>
                <w:i w:val="0"/>
                <w:sz w:val="18"/>
              </w:rPr>
              <w:t>Use Cases</w:t>
            </w:r>
          </w:p>
        </w:tc>
        <w:tc>
          <w:tcPr>
            <w:tcW w:type="dxa" w:w="3213"/>
            <w:shd w:val="clear" w:fill="D9E2F3"/>
          </w:tcPr>
          <w:p>
            <w:pPr>
              <w:spacing w:after="20" w:before="20" w:line="240" w:lineRule="auto"/>
            </w:pPr>
            <w:r/>
            <w:r>
              <w:rPr>
                <w:rFonts w:ascii="Arial" w:hAnsi="Arial" w:cs="Arial"/>
                <w:b/>
                <w:i w:val="0"/>
                <w:sz w:val="18"/>
              </w:rPr>
              <w:t>Constraint</w:t>
            </w:r>
          </w:p>
        </w:tc>
      </w:tr>
      <w:tr>
        <w:tc>
          <w:tcPr>
            <w:tcW w:type="dxa" w:w="3213"/>
          </w:tcPr>
          <w:p>
            <w:pPr>
              <w:spacing w:after="20" w:before="20" w:line="240" w:lineRule="auto"/>
            </w:pPr>
            <w:r/>
            <w:r>
              <w:rPr>
                <w:rFonts w:ascii="Arial" w:hAnsi="Arial" w:cs="Arial"/>
                <w:b w:val="0"/>
                <w:i w:val="0"/>
                <w:sz w:val="17"/>
              </w:rPr>
              <w:t>A1 (Groq → Ollama)</w:t>
            </w:r>
          </w:p>
        </w:tc>
        <w:tc>
          <w:tcPr>
            <w:tcW w:type="dxa" w:w="3213"/>
          </w:tcPr>
          <w:p>
            <w:pPr>
              <w:spacing w:after="20" w:before="20" w:line="240" w:lineRule="auto"/>
            </w:pPr>
            <w:r/>
            <w:r>
              <w:rPr>
                <w:rFonts w:ascii="Arial" w:hAnsi="Arial" w:cs="Arial"/>
                <w:b w:val="0"/>
                <w:i w:val="0"/>
                <w:sz w:val="17"/>
              </w:rPr>
              <w:t>Smart Inbox explanations on status changes; plain-language milestone messages</w:t>
            </w:r>
          </w:p>
        </w:tc>
        <w:tc>
          <w:tcPr>
            <w:tcW w:type="dxa" w:w="3213"/>
          </w:tcPr>
          <w:p>
            <w:pPr>
              <w:spacing w:after="20" w:before="20" w:line="240" w:lineRule="auto"/>
            </w:pPr>
            <w:r/>
            <w:r>
              <w:rPr>
                <w:rFonts w:ascii="Arial" w:hAnsi="Arial" w:cs="Arial"/>
                <w:b w:val="0"/>
                <w:i w:val="0"/>
                <w:sz w:val="17"/>
              </w:rPr>
              <w:t>Cannot block actions; only suggests</w:t>
            </w:r>
          </w:p>
        </w:tc>
      </w:tr>
      <w:tr>
        <w:tc>
          <w:tcPr>
            <w:tcW w:type="dxa" w:w="3213"/>
          </w:tcPr>
          <w:p>
            <w:pPr>
              <w:spacing w:after="20" w:before="20" w:line="240" w:lineRule="auto"/>
            </w:pPr>
            <w:r/>
            <w:r>
              <w:rPr>
                <w:rFonts w:ascii="Arial" w:hAnsi="Arial" w:cs="Arial"/>
                <w:b w:val="0"/>
                <w:i w:val="0"/>
                <w:sz w:val="17"/>
              </w:rPr>
              <w:t>A2 (HF local → Ollama)</w:t>
            </w:r>
          </w:p>
        </w:tc>
        <w:tc>
          <w:tcPr>
            <w:tcW w:type="dxa" w:w="3213"/>
          </w:tcPr>
          <w:p>
            <w:pPr>
              <w:spacing w:after="20" w:before="20" w:line="240" w:lineRule="auto"/>
            </w:pPr>
            <w:r/>
            <w:r>
              <w:rPr>
                <w:rFonts w:ascii="Arial" w:hAnsi="Arial" w:cs="Arial"/>
                <w:b w:val="0"/>
                <w:i w:val="0"/>
                <w:sz w:val="17"/>
              </w:rPr>
              <w:t>AIS-based milestone confirmation, anomaly prediction on transit events</w:t>
            </w:r>
          </w:p>
        </w:tc>
        <w:tc>
          <w:tcPr>
            <w:tcW w:type="dxa" w:w="3213"/>
          </w:tcPr>
          <w:p>
            <w:pPr>
              <w:spacing w:after="20" w:before="20" w:line="240" w:lineRule="auto"/>
            </w:pPr>
            <w:r/>
            <w:r>
              <w:rPr>
                <w:rFonts w:ascii="Arial" w:hAnsi="Arial" w:cs="Arial"/>
                <w:b w:val="0"/>
                <w:i w:val="0"/>
                <w:sz w:val="17"/>
              </w:rPr>
              <w:t>Proposes constraints; Governor decides</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Transition validation, evidence gating, Loom logging</w:t>
            </w:r>
          </w:p>
        </w:tc>
        <w:tc>
          <w:tcPr>
            <w:tcW w:type="dxa" w:w="3213"/>
          </w:tcPr>
          <w:p>
            <w:pPr>
              <w:spacing w:after="20" w:before="20" w:line="240" w:lineRule="auto"/>
            </w:pPr>
            <w:r/>
            <w:r>
              <w:rPr>
                <w:rFonts w:ascii="Arial" w:hAnsi="Arial" w:cs="Arial"/>
                <w:b w:val="0"/>
                <w:i w:val="0"/>
                <w:sz w:val="17"/>
              </w:rPr>
              <w:t>Auto-executes within constitutional bounds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5.3 USTN Master Object (Complete JSON Schema)</w:t>
      </w:r>
    </w:p>
    <w:p>
      <w:pPr>
        <w:keepNext/>
        <w:spacing w:before="180" w:after="80"/>
        <w:outlineLvl w:val="2"/>
      </w:pPr>
      <w:r>
        <w:rPr>
          <w:rFonts w:ascii="Arial" w:hAnsi="Arial" w:cs="Arial"/>
          <w:b/>
          <w:i w:val="0"/>
          <w:color w:val="333333"/>
          <w:sz w:val="23"/>
        </w:rPr>
        <w:t>5.3.1 Purpose &amp; Design Philosophy</w:t>
      </w:r>
    </w:p>
    <w:p>
      <w:pPr>
        <w:spacing w:after="80" w:line="293" w:lineRule="auto"/>
        <w:jc w:val="left"/>
      </w:pPr>
      <w:r>
        <w:rPr>
          <w:rFonts w:ascii="Times New Roman" w:hAnsi="Times New Roman" w:cs="Times New Roman"/>
          <w:b w:val="0"/>
          <w:i w:val="0"/>
          <w:sz w:val="22"/>
        </w:rPr>
        <w:t>The USTN Master Object is the single source of truth for every trade transaction on the SGTX platform. It is stored in the `shipments` table and contains all data related to a specific shipment — from parties and goods to logistics, documents, payments, and timeline. Every document, API call, and user interface derives its data from this master object.</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Single Source of Truth — all trade data is stored once in the USTN master object and reused across all phases.</w:t>
      </w:r>
    </w:p>
    <w:p>
      <w:pPr>
        <w:spacing w:after="80" w:line="293" w:lineRule="auto"/>
        <w:ind w:left="283"/>
        <w:jc w:val="left"/>
      </w:pPr>
      <w:r>
        <w:rPr>
          <w:rFonts w:ascii="Times New Roman" w:hAnsi="Times New Roman" w:cs="Times New Roman"/>
          <w:b w:val="0"/>
          <w:i w:val="0"/>
          <w:sz w:val="22"/>
        </w:rPr>
        <w:t>- Role-Based Filtering — different parties see different subsets of data based on their permissions.</w:t>
      </w:r>
    </w:p>
    <w:p>
      <w:pPr>
        <w:spacing w:after="80" w:line="293" w:lineRule="auto"/>
        <w:ind w:left="283"/>
        <w:jc w:val="left"/>
      </w:pPr>
      <w:r>
        <w:rPr>
          <w:rFonts w:ascii="Times New Roman" w:hAnsi="Times New Roman" w:cs="Times New Roman"/>
          <w:b w:val="0"/>
          <w:i w:val="0"/>
          <w:sz w:val="22"/>
        </w:rPr>
        <w:t>- Immutable History — the timeline is append-only; status changes are logged immutably via Loom.</w:t>
      </w:r>
    </w:p>
    <w:p>
      <w:pPr>
        <w:spacing w:after="80" w:line="293" w:lineRule="auto"/>
        <w:ind w:left="283"/>
        <w:jc w:val="left"/>
      </w:pPr>
      <w:r>
        <w:rPr>
          <w:rFonts w:ascii="Times New Roman" w:hAnsi="Times New Roman" w:cs="Times New Roman"/>
          <w:b w:val="0"/>
          <w:i w:val="0"/>
          <w:sz w:val="22"/>
        </w:rPr>
        <w:t>- Comprehensive Coverage — every aspect of the trade is represented: commercial, logistics, financial, compliance, and operational.</w:t>
      </w:r>
    </w:p>
    <w:p>
      <w:pPr>
        <w:spacing w:after="80" w:line="293" w:lineRule="auto"/>
        <w:ind w:left="283"/>
        <w:jc w:val="left"/>
      </w:pPr>
      <w:r>
        <w:rPr>
          <w:rFonts w:ascii="Times New Roman" w:hAnsi="Times New Roman" w:cs="Times New Roman"/>
          <w:b w:val="0"/>
          <w:i w:val="0"/>
          <w:sz w:val="22"/>
        </w:rPr>
        <w:t>- Real-Time Updates — the master object is updated in real time via NATS events.</w:t>
      </w:r>
    </w:p>
    <w:p>
      <w:pPr>
        <w:keepNext/>
        <w:spacing w:before="180" w:after="80"/>
        <w:outlineLvl w:val="2"/>
      </w:pPr>
      <w:r>
        <w:rPr>
          <w:rFonts w:ascii="Arial" w:hAnsi="Arial" w:cs="Arial"/>
          <w:b/>
          <w:i w:val="0"/>
          <w:color w:val="333333"/>
          <w:sz w:val="23"/>
        </w:rPr>
        <w:t>5.3.2 Complete JSON Schema</w:t>
      </w:r>
    </w:p>
    <w:p>
      <w:pPr>
        <w:spacing w:after="80" w:line="293" w:lineRule="auto"/>
        <w:jc w:val="left"/>
      </w:pPr>
      <w:r>
        <w:rPr>
          <w:rFonts w:ascii="Times New Roman" w:hAnsi="Times New Roman" w:cs="Times New Roman"/>
          <w:b w:val="0"/>
          <w:i w:val="0"/>
          <w:sz w:val="22"/>
        </w:rPr>
        <w:t>The following is the complete, authoritative JSON schema for the USTN master object. Required top-level fields: `ustn`, `created_at`, `status`, `parties`, `goods`, `timeline`. The full property set comprises 17 top-level objects: `ustn`, `ustn_counter`, `trader_id`, `created_at`, `updated_at`, `status`, `risk_assessment`, `parties`, `goods`, `documents`, `logistics`, `payment_plan`, `timeline`, `optional_services`, `blockchain_anchor`, `links`, `corridor_data`.</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"$schema": "http://json-schema.org/draft-07/schema#",</w:t>
      </w:r>
    </w:p>
    <w:p>
      <w:pPr>
        <w:spacing w:after="0" w:before="0" w:line="240" w:lineRule="auto"/>
        <w:ind w:left="57"/>
        <w:jc w:val="left"/>
        <w:shd w:val="clear" w:fill="F2F2F2"/>
      </w:pPr>
      <w:r>
        <w:rPr>
          <w:rFonts w:ascii="Consolas" w:hAnsi="Consolas" w:cs="Consolas"/>
          <w:b w:val="0"/>
          <w:i w:val="0"/>
          <w:sz w:val="15"/>
        </w:rPr>
        <w:t xml:space="preserve">  "title": "USTN Master Object",</w:t>
      </w:r>
    </w:p>
    <w:p>
      <w:pPr>
        <w:spacing w:after="0" w:before="0" w:line="240" w:lineRule="auto"/>
        <w:ind w:left="57"/>
        <w:jc w:val="left"/>
        <w:shd w:val="clear" w:fill="F2F2F2"/>
      </w:pPr>
      <w:r>
        <w:rPr>
          <w:rFonts w:ascii="Consolas" w:hAnsi="Consolas" w:cs="Consolas"/>
          <w:b w:val="0"/>
          <w:i w:val="0"/>
          <w:sz w:val="15"/>
        </w:rPr>
        <w:t xml:space="preserve">  "description": "Complete representation of a trade shipment",</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"required": [</w:t>
      </w:r>
    </w:p>
    <w:p>
      <w:pPr>
        <w:spacing w:after="0" w:before="0" w:line="240" w:lineRule="auto"/>
        <w:ind w:left="57"/>
        <w:jc w:val="left"/>
        <w:shd w:val="clear" w:fill="F2F2F2"/>
      </w:pPr>
      <w:r>
        <w:rPr>
          <w:rFonts w:ascii="Consolas" w:hAnsi="Consolas" w:cs="Consolas"/>
          <w:b w:val="0"/>
          <w:i w:val="0"/>
          <w:sz w:val="15"/>
        </w:rPr>
        <w:t xml:space="preserve">    "ustn",</w:t>
      </w:r>
    </w:p>
    <w:p>
      <w:pPr>
        <w:spacing w:after="0" w:before="0" w:line="240" w:lineRule="auto"/>
        <w:ind w:left="57"/>
        <w:jc w:val="left"/>
        <w:shd w:val="clear" w:fill="F2F2F2"/>
      </w:pPr>
      <w:r>
        <w:rPr>
          <w:rFonts w:ascii="Consolas" w:hAnsi="Consolas" w:cs="Consolas"/>
          <w:b w:val="0"/>
          <w:i w:val="0"/>
          <w:sz w:val="15"/>
        </w:rPr>
        <w:t xml:space="preserve">    "created_at",</w:t>
      </w:r>
    </w:p>
    <w:p>
      <w:pPr>
        <w:spacing w:after="0" w:before="0" w:line="240" w:lineRule="auto"/>
        <w:ind w:left="57"/>
        <w:jc w:val="left"/>
        <w:shd w:val="clear" w:fill="F2F2F2"/>
      </w:pPr>
      <w:r>
        <w:rPr>
          <w:rFonts w:ascii="Consolas" w:hAnsi="Consolas" w:cs="Consolas"/>
          <w:b w:val="0"/>
          <w:i w:val="0"/>
          <w:sz w:val="15"/>
        </w:rPr>
        <w:t xml:space="preserve">    "status",</w:t>
      </w:r>
    </w:p>
    <w:p>
      <w:pPr>
        <w:spacing w:after="0" w:before="0" w:line="240" w:lineRule="auto"/>
        <w:ind w:left="57"/>
        <w:jc w:val="left"/>
        <w:shd w:val="clear" w:fill="F2F2F2"/>
      </w:pPr>
      <w:r>
        <w:rPr>
          <w:rFonts w:ascii="Consolas" w:hAnsi="Consolas" w:cs="Consolas"/>
          <w:b w:val="0"/>
          <w:i w:val="0"/>
          <w:sz w:val="15"/>
        </w:rPr>
        <w:t xml:space="preserve">    "parties",</w:t>
      </w:r>
    </w:p>
    <w:p>
      <w:pPr>
        <w:spacing w:after="0" w:before="0" w:line="240" w:lineRule="auto"/>
        <w:ind w:left="57"/>
        <w:jc w:val="left"/>
        <w:shd w:val="clear" w:fill="F2F2F2"/>
      </w:pPr>
      <w:r>
        <w:rPr>
          <w:rFonts w:ascii="Consolas" w:hAnsi="Consolas" w:cs="Consolas"/>
          <w:b w:val="0"/>
          <w:i w:val="0"/>
          <w:sz w:val="15"/>
        </w:rPr>
        <w:t xml:space="preserve">    "goods",</w:t>
      </w:r>
    </w:p>
    <w:p>
      <w:pPr>
        <w:spacing w:after="0" w:before="0" w:line="240" w:lineRule="auto"/>
        <w:ind w:left="57"/>
        <w:jc w:val="left"/>
        <w:shd w:val="clear" w:fill="F2F2F2"/>
      </w:pPr>
      <w:r>
        <w:rPr>
          <w:rFonts w:ascii="Consolas" w:hAnsi="Consolas" w:cs="Consolas"/>
          <w:b w:val="0"/>
          <w:i w:val="0"/>
          <w:sz w:val="15"/>
        </w:rPr>
        <w:t xml:space="preserve">    "timeline"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"ustn":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"^SGTX-[A-Z]{2}-\\d{2}-[A-Z0-9]{3,4}-\\d+$",</w:t>
      </w:r>
    </w:p>
    <w:p>
      <w:pPr>
        <w:spacing w:after="0" w:before="0" w:line="240" w:lineRule="auto"/>
        <w:ind w:left="57"/>
        <w:jc w:val="left"/>
        <w:shd w:val="clear" w:fill="F2F2F2"/>
      </w:pPr>
      <w:r>
        <w:rPr>
          <w:rFonts w:ascii="Consolas" w:hAnsi="Consolas" w:cs="Consolas"/>
          <w:b w:val="0"/>
          <w:i w:val="0"/>
          <w:sz w:val="15"/>
        </w:rPr>
        <w:t xml:space="preserve">      "description": "Universal Shipment Tracking Number (human-readable format)",</w:t>
      </w:r>
    </w:p>
    <w:p>
      <w:pPr>
        <w:spacing w:after="0" w:before="0" w:line="240" w:lineRule="auto"/>
        <w:ind w:left="57"/>
        <w:jc w:val="left"/>
        <w:shd w:val="clear" w:fill="F2F2F2"/>
      </w:pPr>
      <w:r>
        <w:rPr>
          <w:rFonts w:ascii="Consolas" w:hAnsi="Consolas" w:cs="Consolas"/>
          <w:b w:val="0"/>
          <w:i w:val="0"/>
          <w:sz w:val="15"/>
        </w:rPr>
        <w:t xml:space="preserve">      "example":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"ustn_counter":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"description": "Atomic sequence number per year per trader",</w:t>
      </w:r>
    </w:p>
    <w:p>
      <w:pPr>
        <w:spacing w:after="0" w:before="0" w:line="240" w:lineRule="auto"/>
        <w:ind w:left="57"/>
        <w:jc w:val="left"/>
        <w:shd w:val="clear" w:fill="F2F2F2"/>
      </w:pPr>
      <w:r>
        <w:rPr>
          <w:rFonts w:ascii="Consolas" w:hAnsi="Consolas" w:cs="Consolas"/>
          <w:b w:val="0"/>
          <w:i w:val="0"/>
          <w:sz w:val="15"/>
        </w:rPr>
        <w:t xml:space="preserve">      "example": 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"trader_id":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"^[A-Z0-9]{3,4}$",</w:t>
      </w:r>
    </w:p>
    <w:p>
      <w:pPr>
        <w:spacing w:after="0" w:before="0" w:line="240" w:lineRule="auto"/>
        <w:ind w:left="57"/>
        <w:jc w:val="left"/>
        <w:shd w:val="clear" w:fill="F2F2F2"/>
      </w:pPr>
      <w:r>
        <w:rPr>
          <w:rFonts w:ascii="Consolas" w:hAnsi="Consolas" w:cs="Consolas"/>
          <w:b w:val="0"/>
          <w:i w:val="0"/>
          <w:sz w:val="15"/>
        </w:rPr>
        <w:t xml:space="preserve">      "description": "Short trader identifier from GTID checksum",</w:t>
      </w:r>
    </w:p>
    <w:p>
      <w:pPr>
        <w:spacing w:after="0" w:before="0" w:line="240" w:lineRule="auto"/>
        <w:ind w:left="57"/>
        <w:jc w:val="left"/>
        <w:shd w:val="clear" w:fill="F2F2F2"/>
      </w:pPr>
      <w:r>
        <w:rPr>
          <w:rFonts w:ascii="Consolas" w:hAnsi="Consolas" w:cs="Consolas"/>
          <w:b w:val="0"/>
          <w:i w:val="0"/>
          <w:sz w:val="15"/>
        </w:rPr>
        <w:t xml:space="preserve">      "example": "F3A"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"created_at":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"description": "Timestamp when the USTN was generated",</w:t>
      </w:r>
    </w:p>
    <w:p>
      <w:pPr>
        <w:spacing w:after="0" w:before="0" w:line="240" w:lineRule="auto"/>
        <w:ind w:left="57"/>
        <w:jc w:val="left"/>
        <w:shd w:val="clear" w:fill="F2F2F2"/>
      </w:pPr>
      <w:r>
        <w:rPr>
          <w:rFonts w:ascii="Consolas" w:hAnsi="Consolas" w:cs="Consolas"/>
          <w:b w:val="0"/>
          <w:i w:val="0"/>
          <w:sz w:val="15"/>
        </w:rPr>
        <w:t xml:space="preserve">      "example": "2026-04-15T12:00:00Z"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"updated_at":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"description": "Timestamp when the record was last updated",</w:t>
      </w:r>
    </w:p>
    <w:p>
      <w:pPr>
        <w:spacing w:after="0" w:before="0" w:line="240" w:lineRule="auto"/>
        <w:ind w:left="57"/>
        <w:jc w:val="left"/>
        <w:shd w:val="clear" w:fill="F2F2F2"/>
      </w:pPr>
      <w:r>
        <w:rPr>
          <w:rFonts w:ascii="Consolas" w:hAnsi="Consolas" w:cs="Consolas"/>
          <w:b w:val="0"/>
          <w:i w:val="0"/>
          <w:sz w:val="15"/>
        </w:rPr>
        <w:t xml:space="preserve">      "example": "2026-06-07T10:00:00Z"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"INITIATED",</w:t>
      </w:r>
    </w:p>
    <w:p>
      <w:pPr>
        <w:spacing w:after="0" w:before="0" w:line="240" w:lineRule="auto"/>
        <w:ind w:left="57"/>
        <w:jc w:val="left"/>
        <w:shd w:val="clear" w:fill="F2F2F2"/>
      </w:pPr>
      <w:r>
        <w:rPr>
          <w:rFonts w:ascii="Consolas" w:hAnsi="Consolas" w:cs="Consolas"/>
          <w:b w:val="0"/>
          <w:i w:val="0"/>
          <w:sz w:val="15"/>
        </w:rPr>
        <w:t xml:space="preserve">        "STAGE1_PENDING",</w:t>
      </w:r>
    </w:p>
    <w:p>
      <w:pPr>
        <w:spacing w:after="0" w:before="0" w:line="240" w:lineRule="auto"/>
        <w:ind w:left="57"/>
        <w:jc w:val="left"/>
        <w:shd w:val="clear" w:fill="F2F2F2"/>
      </w:pPr>
      <w:r>
        <w:rPr>
          <w:rFonts w:ascii="Consolas" w:hAnsi="Consolas" w:cs="Consolas"/>
          <w:b w:val="0"/>
          <w:i w:val="0"/>
          <w:sz w:val="15"/>
        </w:rPr>
        <w:t xml:space="preserve">        "STAGE1_SETTLED",</w:t>
      </w:r>
    </w:p>
    <w:p>
      <w:pPr>
        <w:spacing w:after="0" w:before="0" w:line="240" w:lineRule="auto"/>
        <w:ind w:left="57"/>
        <w:jc w:val="left"/>
        <w:shd w:val="clear" w:fill="F2F2F2"/>
      </w:pPr>
      <w:r>
        <w:rPr>
          <w:rFonts w:ascii="Consolas" w:hAnsi="Consolas" w:cs="Consolas"/>
          <w:b w:val="0"/>
          <w:i w:val="0"/>
          <w:sz w:val="15"/>
        </w:rPr>
        <w:t xml:space="preserve">        "CUSTOMS_SUBMITTED",</w:t>
      </w:r>
    </w:p>
    <w:p>
      <w:pPr>
        <w:spacing w:after="0" w:before="0" w:line="240" w:lineRule="auto"/>
        <w:ind w:left="57"/>
        <w:jc w:val="left"/>
        <w:shd w:val="clear" w:fill="F2F2F2"/>
      </w:pPr>
      <w:r>
        <w:rPr>
          <w:rFonts w:ascii="Consolas" w:hAnsi="Consolas" w:cs="Consolas"/>
          <w:b w:val="0"/>
          <w:i w:val="0"/>
          <w:sz w:val="15"/>
        </w:rPr>
        <w:t xml:space="preserve">        "BOOKED",</w:t>
      </w:r>
    </w:p>
    <w:p>
      <w:pPr>
        <w:spacing w:after="0" w:before="0" w:line="240" w:lineRule="auto"/>
        <w:ind w:left="57"/>
        <w:jc w:val="left"/>
        <w:shd w:val="clear" w:fill="F2F2F2"/>
      </w:pPr>
      <w:r>
        <w:rPr>
          <w:rFonts w:ascii="Consolas" w:hAnsi="Consolas" w:cs="Consolas"/>
          <w:b w:val="0"/>
          <w:i w:val="0"/>
          <w:sz w:val="15"/>
        </w:rPr>
        <w:t xml:space="preserve">        "LOADED",</w:t>
      </w:r>
    </w:p>
    <w:p>
      <w:pPr>
        <w:spacing w:after="0" w:before="0" w:line="240" w:lineRule="auto"/>
        <w:ind w:left="57"/>
        <w:jc w:val="left"/>
        <w:shd w:val="clear" w:fill="F2F2F2"/>
      </w:pPr>
      <w:r>
        <w:rPr>
          <w:rFonts w:ascii="Consolas" w:hAnsi="Consolas" w:cs="Consolas"/>
          <w:b w:val="0"/>
          <w:i w:val="0"/>
          <w:sz w:val="15"/>
        </w:rPr>
        <w:t xml:space="preserve">        "DEPARTED",</w:t>
      </w:r>
    </w:p>
    <w:p>
      <w:pPr>
        <w:spacing w:after="0" w:before="0" w:line="240" w:lineRule="auto"/>
        <w:ind w:left="57"/>
        <w:jc w:val="left"/>
        <w:shd w:val="clear" w:fill="F2F2F2"/>
      </w:pPr>
      <w:r>
        <w:rPr>
          <w:rFonts w:ascii="Consolas" w:hAnsi="Consolas" w:cs="Consolas"/>
          <w:b w:val="0"/>
          <w:i w:val="0"/>
          <w:sz w:val="15"/>
        </w:rPr>
        <w:t xml:space="preserve">        "IN_TRANSIT",</w:t>
      </w:r>
    </w:p>
    <w:p>
      <w:pPr>
        <w:spacing w:after="0" w:before="0" w:line="240" w:lineRule="auto"/>
        <w:ind w:left="57"/>
        <w:jc w:val="left"/>
        <w:shd w:val="clear" w:fill="F2F2F2"/>
      </w:pPr>
      <w:r>
        <w:rPr>
          <w:rFonts w:ascii="Consolas" w:hAnsi="Consolas" w:cs="Consolas"/>
          <w:b w:val="0"/>
          <w:i w:val="0"/>
          <w:sz w:val="15"/>
        </w:rPr>
        <w:t xml:space="preserve">        "ARRIVED",</w:t>
      </w:r>
    </w:p>
    <w:p>
      <w:pPr>
        <w:spacing w:after="0" w:before="0" w:line="240" w:lineRule="auto"/>
        <w:ind w:left="57"/>
        <w:jc w:val="left"/>
        <w:shd w:val="clear" w:fill="F2F2F2"/>
      </w:pPr>
      <w:r>
        <w:rPr>
          <w:rFonts w:ascii="Consolas" w:hAnsi="Consolas" w:cs="Consolas"/>
          <w:b w:val="0"/>
          <w:i w:val="0"/>
          <w:sz w:val="15"/>
        </w:rPr>
        <w:t xml:space="preserve">        "CUSTOMS_IMPORT",</w:t>
      </w:r>
    </w:p>
    <w:p>
      <w:pPr>
        <w:spacing w:after="0" w:before="0" w:line="240" w:lineRule="auto"/>
        <w:ind w:left="57"/>
        <w:jc w:val="left"/>
        <w:shd w:val="clear" w:fill="F2F2F2"/>
      </w:pPr>
      <w:r>
        <w:rPr>
          <w:rFonts w:ascii="Consolas" w:hAnsi="Consolas" w:cs="Consolas"/>
          <w:b w:val="0"/>
          <w:i w:val="0"/>
          <w:sz w:val="15"/>
        </w:rPr>
        <w:t xml:space="preserve">        "DELIVERED",</w:t>
      </w:r>
    </w:p>
    <w:p>
      <w:pPr>
        <w:spacing w:after="0" w:before="0" w:line="240" w:lineRule="auto"/>
        <w:ind w:left="57"/>
        <w:jc w:val="left"/>
        <w:shd w:val="clear" w:fill="F2F2F2"/>
      </w:pPr>
      <w:r>
        <w:rPr>
          <w:rFonts w:ascii="Consolas" w:hAnsi="Consolas" w:cs="Consolas"/>
          <w:b w:val="0"/>
          <w:i w:val="0"/>
          <w:sz w:val="15"/>
        </w:rPr>
        <w:t xml:space="preserve">        "SETTLED",</w:t>
      </w:r>
    </w:p>
    <w:p>
      <w:pPr>
        <w:spacing w:after="0" w:before="0" w:line="240" w:lineRule="auto"/>
        <w:ind w:left="57"/>
        <w:jc w:val="left"/>
        <w:shd w:val="clear" w:fill="F2F2F2"/>
      </w:pPr>
      <w:r>
        <w:rPr>
          <w:rFonts w:ascii="Consolas" w:hAnsi="Consolas" w:cs="Consolas"/>
          <w:b w:val="0"/>
          <w:i w:val="0"/>
          <w:sz w:val="15"/>
        </w:rPr>
        <w:t xml:space="preserve">        "COMPLETED",</w:t>
      </w:r>
    </w:p>
    <w:p>
      <w:pPr>
        <w:spacing w:after="0" w:before="0" w:line="240" w:lineRule="auto"/>
        <w:ind w:left="57"/>
        <w:jc w:val="left"/>
        <w:shd w:val="clear" w:fill="F2F2F2"/>
      </w:pPr>
      <w:r>
        <w:rPr>
          <w:rFonts w:ascii="Consolas" w:hAnsi="Consolas" w:cs="Consolas"/>
          <w:b w:val="0"/>
          <w:i w:val="0"/>
          <w:sz w:val="15"/>
        </w:rPr>
        <w:t xml:space="preserve">        "DISPUTED",</w:t>
      </w:r>
    </w:p>
    <w:p>
      <w:pPr>
        <w:spacing w:after="0" w:before="0" w:line="240" w:lineRule="auto"/>
        <w:ind w:left="57"/>
        <w:jc w:val="left"/>
        <w:shd w:val="clear" w:fill="F2F2F2"/>
      </w:pPr>
      <w:r>
        <w:rPr>
          <w:rFonts w:ascii="Consolas" w:hAnsi="Consolas" w:cs="Consolas"/>
          <w:b w:val="0"/>
          <w:i w:val="0"/>
          <w:sz w:val="15"/>
        </w:rPr>
        <w:t xml:space="preserve">        "DISTRESSED",</w:t>
      </w:r>
    </w:p>
    <w:p>
      <w:pPr>
        <w:spacing w:after="0" w:before="0" w:line="240" w:lineRule="auto"/>
        <w:ind w:left="57"/>
        <w:jc w:val="left"/>
        <w:shd w:val="clear" w:fill="F2F2F2"/>
      </w:pPr>
      <w:r>
        <w:rPr>
          <w:rFonts w:ascii="Consolas" w:hAnsi="Consolas" w:cs="Consolas"/>
          <w:b w:val="0"/>
          <w:i w:val="0"/>
          <w:sz w:val="15"/>
        </w:rPr>
        <w:t xml:space="preserve">        "CANCELLED"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"description": "Current lifecycle status of the shipment",</w:t>
      </w:r>
    </w:p>
    <w:p>
      <w:pPr>
        <w:spacing w:after="0" w:before="0" w:line="240" w:lineRule="auto"/>
        <w:ind w:left="57"/>
        <w:jc w:val="left"/>
        <w:shd w:val="clear" w:fill="F2F2F2"/>
      </w:pPr>
      <w:r>
        <w:rPr>
          <w:rFonts w:ascii="Consolas" w:hAnsi="Consolas" w:cs="Consolas"/>
          <w:b w:val="0"/>
          <w:i w:val="0"/>
          <w:sz w:val="15"/>
        </w:rPr>
        <w:t xml:space="preserve">      "example": "DELIVERED"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"risk_assessment":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"platform_risk_score":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"maximum": 100,</w:t>
      </w:r>
    </w:p>
    <w:p>
      <w:pPr>
        <w:spacing w:after="0" w:before="0" w:line="240" w:lineRule="auto"/>
        <w:ind w:left="57"/>
        <w:jc w:val="left"/>
        <w:shd w:val="clear" w:fill="F2F2F2"/>
      </w:pPr>
      <w:r>
        <w:rPr>
          <w:rFonts w:ascii="Consolas" w:hAnsi="Consolas" w:cs="Consolas"/>
          <w:b w:val="0"/>
          <w:i w:val="0"/>
          <w:sz w:val="15"/>
        </w:rPr>
        <w:t xml:space="preserve">          "description": "Internal risk score computed by platform",</w:t>
      </w:r>
    </w:p>
    <w:p>
      <w:pPr>
        <w:spacing w:after="0" w:before="0" w:line="240" w:lineRule="auto"/>
        <w:ind w:left="57"/>
        <w:jc w:val="left"/>
        <w:shd w:val="clear" w:fill="F2F2F2"/>
      </w:pPr>
      <w:r>
        <w:rPr>
          <w:rFonts w:ascii="Consolas" w:hAnsi="Consolas" w:cs="Consolas"/>
          <w:b w:val="0"/>
          <w:i w:val="0"/>
          <w:sz w:val="15"/>
        </w:rPr>
        <w:t xml:space="preserve">          "example": 12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"gnn_risk":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"sanctions_proximity":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"description": "Minimum hops to a sanctioned entity",</w:t>
      </w:r>
    </w:p>
    <w:p>
      <w:pPr>
        <w:spacing w:after="0" w:before="0" w:line="240" w:lineRule="auto"/>
        <w:ind w:left="57"/>
        <w:jc w:val="left"/>
        <w:shd w:val="clear" w:fill="F2F2F2"/>
      </w:pPr>
      <w:r>
        <w:rPr>
          <w:rFonts w:ascii="Consolas" w:hAnsi="Consolas" w:cs="Consolas"/>
          <w:b w:val="0"/>
          <w:i w:val="0"/>
          <w:sz w:val="15"/>
        </w:rPr>
        <w:t xml:space="preserve">              "example": 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"graph_risk_score":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"maximum": 100,</w:t>
      </w:r>
    </w:p>
    <w:p>
      <w:pPr>
        <w:spacing w:after="0" w:before="0" w:line="240" w:lineRule="auto"/>
        <w:ind w:left="57"/>
        <w:jc w:val="left"/>
        <w:shd w:val="clear" w:fill="F2F2F2"/>
      </w:pPr>
      <w:r>
        <w:rPr>
          <w:rFonts w:ascii="Consolas" w:hAnsi="Consolas" w:cs="Consolas"/>
          <w:b w:val="0"/>
          <w:i w:val="0"/>
          <w:sz w:val="15"/>
        </w:rPr>
        <w:t xml:space="preserve">              "description": "Composite adversarial risk score",</w:t>
      </w:r>
    </w:p>
    <w:p>
      <w:pPr>
        <w:spacing w:after="0" w:before="0" w:line="240" w:lineRule="auto"/>
        <w:ind w:left="57"/>
        <w:jc w:val="left"/>
        <w:shd w:val="clear" w:fill="F2F2F2"/>
      </w:pPr>
      <w:r>
        <w:rPr>
          <w:rFonts w:ascii="Consolas" w:hAnsi="Consolas" w:cs="Consolas"/>
          <w:b w:val="0"/>
          <w:i w:val="0"/>
          <w:sz w:val="15"/>
        </w:rPr>
        <w:t xml:space="preserve">              "example": 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"explanation":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"description": "Plain-language explanation of risk",</w:t>
      </w:r>
    </w:p>
    <w:p>
      <w:pPr>
        <w:spacing w:after="0" w:before="0" w:line="240" w:lineRule="auto"/>
        <w:ind w:left="57"/>
        <w:jc w:val="left"/>
        <w:shd w:val="clear" w:fill="F2F2F2"/>
      </w:pPr>
      <w:r>
        <w:rPr>
          <w:rFonts w:ascii="Consolas" w:hAnsi="Consolas" w:cs="Consolas"/>
          <w:b w:val="0"/>
          <w:i w:val="0"/>
          <w:sz w:val="15"/>
        </w:rPr>
        <w:t xml:space="preserve">              "example": "No indirect sanctions links detected within 2 hops."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"causal_analysis":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"description": "Causal analysis output (if triggered)",</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"parties":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"exporter":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"required": [</w:t>
      </w:r>
    </w:p>
    <w:p>
      <w:pPr>
        <w:spacing w:after="0" w:before="0" w:line="240" w:lineRule="auto"/>
        <w:ind w:left="57"/>
        <w:jc w:val="left"/>
        <w:shd w:val="clear" w:fill="F2F2F2"/>
      </w:pPr>
      <w:r>
        <w:rPr>
          <w:rFonts w:ascii="Consolas" w:hAnsi="Consolas" w:cs="Consolas"/>
          <w:b w:val="0"/>
          <w:i w:val="0"/>
          <w:sz w:val="15"/>
        </w:rPr>
        <w:t xml:space="preserve">            "gtid",</w:t>
      </w:r>
    </w:p>
    <w:p>
      <w:pPr>
        <w:spacing w:after="0" w:before="0" w:line="240" w:lineRule="auto"/>
        <w:ind w:left="57"/>
        <w:jc w:val="left"/>
        <w:shd w:val="clear" w:fill="F2F2F2"/>
      </w:pPr>
      <w:r>
        <w:rPr>
          <w:rFonts w:ascii="Consolas" w:hAnsi="Consolas" w:cs="Consolas"/>
          <w:b w:val="0"/>
          <w:i w:val="0"/>
          <w:sz w:val="15"/>
        </w:rPr>
        <w:t xml:space="preserve">            "trader_id",</w:t>
      </w:r>
    </w:p>
    <w:p>
      <w:pPr>
        <w:spacing w:after="0" w:before="0" w:line="240" w:lineRule="auto"/>
        <w:ind w:left="57"/>
        <w:jc w:val="left"/>
        <w:shd w:val="clear" w:fill="F2F2F2"/>
      </w:pPr>
      <w:r>
        <w:rPr>
          <w:rFonts w:ascii="Consolas" w:hAnsi="Consolas" w:cs="Consolas"/>
          <w:b w:val="0"/>
          <w:i w:val="0"/>
          <w:sz w:val="15"/>
        </w:rPr>
        <w:t xml:space="preserve">            "legal_name",</w:t>
      </w:r>
    </w:p>
    <w:p>
      <w:pPr>
        <w:spacing w:after="0" w:before="0" w:line="240" w:lineRule="auto"/>
        <w:ind w:left="57"/>
        <w:jc w:val="left"/>
        <w:shd w:val="clear" w:fill="F2F2F2"/>
      </w:pPr>
      <w:r>
        <w:rPr>
          <w:rFonts w:ascii="Consolas" w:hAnsi="Consolas" w:cs="Consolas"/>
          <w:b w:val="0"/>
          <w:i w:val="0"/>
          <w:sz w:val="15"/>
        </w:rPr>
        <w:t xml:space="preserve">            "jurisdiction"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"^SGTX-[A-Z]{2}-[A-Z]{3,4}-\\d{6}-[A-Z0-9]{4}$",</w:t>
      </w:r>
    </w:p>
    <w:p>
      <w:pPr>
        <w:spacing w:after="0" w:before="0" w:line="240" w:lineRule="auto"/>
        <w:ind w:left="57"/>
        <w:jc w:val="left"/>
        <w:shd w:val="clear" w:fill="F2F2F2"/>
      </w:pPr>
      <w:r>
        <w:rPr>
          <w:rFonts w:ascii="Consolas" w:hAnsi="Consolas" w:cs="Consolas"/>
          <w:b w:val="0"/>
          <w:i w:val="0"/>
          <w:sz w:val="15"/>
        </w:rPr>
        <w:t xml:space="preserve">              "example": "SGTX-EG-TRD-002139-7F3A"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"trader_id":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"F3A"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"legal_name":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"Strawberry Export Co."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"trust_score":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"maximum": 1000,</w:t>
      </w:r>
    </w:p>
    <w:p>
      <w:pPr>
        <w:spacing w:after="0" w:before="0" w:line="240" w:lineRule="auto"/>
        <w:ind w:left="57"/>
        <w:jc w:val="left"/>
        <w:shd w:val="clear" w:fill="F2F2F2"/>
      </w:pPr>
      <w:r>
        <w:rPr>
          <w:rFonts w:ascii="Consolas" w:hAnsi="Consolas" w:cs="Consolas"/>
          <w:b w:val="0"/>
          <w:i w:val="0"/>
          <w:sz w:val="15"/>
        </w:rPr>
        <w:t xml:space="preserve">              "example": 92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"jurisdiction":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"^[A-Z]{2}$",</w:t>
      </w:r>
    </w:p>
    <w:p>
      <w:pPr>
        <w:spacing w:after="0" w:before="0" w:line="240" w:lineRule="auto"/>
        <w:ind w:left="57"/>
        <w:jc w:val="left"/>
        <w:shd w:val="clear" w:fill="F2F2F2"/>
      </w:pPr>
      <w:r>
        <w:rPr>
          <w:rFonts w:ascii="Consolas" w:hAnsi="Consolas" w:cs="Consolas"/>
          <w:b w:val="0"/>
          <w:i w:val="0"/>
          <w:sz w:val="15"/>
        </w:rPr>
        <w:t xml:space="preserve">              "example": "EG"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"importer":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"required": [</w:t>
      </w:r>
    </w:p>
    <w:p>
      <w:pPr>
        <w:spacing w:after="0" w:before="0" w:line="240" w:lineRule="auto"/>
        <w:ind w:left="57"/>
        <w:jc w:val="left"/>
        <w:shd w:val="clear" w:fill="F2F2F2"/>
      </w:pPr>
      <w:r>
        <w:rPr>
          <w:rFonts w:ascii="Consolas" w:hAnsi="Consolas" w:cs="Consolas"/>
          <w:b w:val="0"/>
          <w:i w:val="0"/>
          <w:sz w:val="15"/>
        </w:rPr>
        <w:t xml:space="preserve">            "gtid",</w:t>
      </w:r>
    </w:p>
    <w:p>
      <w:pPr>
        <w:spacing w:after="0" w:before="0" w:line="240" w:lineRule="auto"/>
        <w:ind w:left="57"/>
        <w:jc w:val="left"/>
        <w:shd w:val="clear" w:fill="F2F2F2"/>
      </w:pPr>
      <w:r>
        <w:rPr>
          <w:rFonts w:ascii="Consolas" w:hAnsi="Consolas" w:cs="Consolas"/>
          <w:b w:val="0"/>
          <w:i w:val="0"/>
          <w:sz w:val="15"/>
        </w:rPr>
        <w:t xml:space="preserve">            "trader_id",</w:t>
      </w:r>
    </w:p>
    <w:p>
      <w:pPr>
        <w:spacing w:after="0" w:before="0" w:line="240" w:lineRule="auto"/>
        <w:ind w:left="57"/>
        <w:jc w:val="left"/>
        <w:shd w:val="clear" w:fill="F2F2F2"/>
      </w:pPr>
      <w:r>
        <w:rPr>
          <w:rFonts w:ascii="Consolas" w:hAnsi="Consolas" w:cs="Consolas"/>
          <w:b w:val="0"/>
          <w:i w:val="0"/>
          <w:sz w:val="15"/>
        </w:rPr>
        <w:t xml:space="preserve">            "legal_name",</w:t>
      </w:r>
    </w:p>
    <w:p>
      <w:pPr>
        <w:spacing w:after="0" w:before="0" w:line="240" w:lineRule="auto"/>
        <w:ind w:left="57"/>
        <w:jc w:val="left"/>
        <w:shd w:val="clear" w:fill="F2F2F2"/>
      </w:pPr>
      <w:r>
        <w:rPr>
          <w:rFonts w:ascii="Consolas" w:hAnsi="Consolas" w:cs="Consolas"/>
          <w:b w:val="0"/>
          <w:i w:val="0"/>
          <w:sz w:val="15"/>
        </w:rPr>
        <w:t xml:space="preserve">            "jurisdiction"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"^SGTX-[A-Z]{2}-[A-Z]{3,4}-\\d{6}-[A-Z0-9]{4}$",</w:t>
      </w:r>
    </w:p>
    <w:p>
      <w:pPr>
        <w:spacing w:after="0" w:before="0" w:line="240" w:lineRule="auto"/>
        <w:ind w:left="57"/>
        <w:jc w:val="left"/>
        <w:shd w:val="clear" w:fill="F2F2F2"/>
      </w:pPr>
      <w:r>
        <w:rPr>
          <w:rFonts w:ascii="Consolas" w:hAnsi="Consolas" w:cs="Consolas"/>
          <w:b w:val="0"/>
          <w:i w:val="0"/>
          <w:sz w:val="15"/>
        </w:rPr>
        <w:t xml:space="preserve">              "example": "SGTX-DE-TRD-001234-5B6C"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"trader_id":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"5B6C"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"legal_name":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"European Importer GmbH"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"trust_score":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"maximum": 1000,</w:t>
      </w:r>
    </w:p>
    <w:p>
      <w:pPr>
        <w:spacing w:after="0" w:before="0" w:line="240" w:lineRule="auto"/>
        <w:ind w:left="57"/>
        <w:jc w:val="left"/>
        <w:shd w:val="clear" w:fill="F2F2F2"/>
      </w:pPr>
      <w:r>
        <w:rPr>
          <w:rFonts w:ascii="Consolas" w:hAnsi="Consolas" w:cs="Consolas"/>
          <w:b w:val="0"/>
          <w:i w:val="0"/>
          <w:sz w:val="15"/>
        </w:rPr>
        <w:t xml:space="preserve">              "example": 88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"jurisdiction":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"^[A-Z]{2}$",</w:t>
      </w:r>
    </w:p>
    <w:p>
      <w:pPr>
        <w:spacing w:after="0" w:before="0" w:line="240" w:lineRule="auto"/>
        <w:ind w:left="57"/>
        <w:jc w:val="left"/>
        <w:shd w:val="clear" w:fill="F2F2F2"/>
      </w:pPr>
      <w:r>
        <w:rPr>
          <w:rFonts w:ascii="Consolas" w:hAnsi="Consolas" w:cs="Consolas"/>
          <w:b w:val="0"/>
          <w:i w:val="0"/>
          <w:sz w:val="15"/>
        </w:rPr>
        <w:t xml:space="preserve">              "example": "DE"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"additional_parties": {</w:t>
      </w:r>
    </w:p>
    <w:p>
      <w:pPr>
        <w:spacing w:after="0" w:before="0" w:line="240" w:lineRule="auto"/>
        <w:ind w:left="57"/>
        <w:jc w:val="left"/>
        <w:shd w:val="clear" w:fill="F2F2F2"/>
      </w:pPr>
      <w:r>
        <w:rPr>
          <w:rFonts w:ascii="Consolas" w:hAnsi="Consolas" w:cs="Consolas"/>
          <w:b w:val="0"/>
          <w:i w:val="0"/>
          <w:sz w:val="15"/>
        </w:rPr>
        <w:t xml:space="preserve">          "type": "array",</w:t>
      </w:r>
    </w:p>
    <w:p>
      <w:pPr>
        <w:spacing w:after="0" w:before="0" w:line="240" w:lineRule="auto"/>
        <w:ind w:left="57"/>
        <w:jc w:val="left"/>
        <w:shd w:val="clear" w:fill="F2F2F2"/>
      </w:pPr>
      <w:r>
        <w:rPr>
          <w:rFonts w:ascii="Consolas" w:hAnsi="Consolas" w:cs="Consolas"/>
          <w:b w:val="0"/>
          <w:i w:val="0"/>
          <w:sz w:val="15"/>
        </w:rPr>
        <w:t xml:space="preserve">          "description": "Other parties (LSP, SHIP, LAB, QC, CBR, FIN, etc.)",</w:t>
      </w:r>
    </w:p>
    <w:p>
      <w:pPr>
        <w:spacing w:after="0" w:before="0" w:line="240" w:lineRule="auto"/>
        <w:ind w:left="57"/>
        <w:jc w:val="left"/>
        <w:shd w:val="clear" w:fill="F2F2F2"/>
      </w:pPr>
      <w:r>
        <w:rPr>
          <w:rFonts w:ascii="Consolas" w:hAnsi="Consolas" w:cs="Consolas"/>
          <w:b w:val="0"/>
          <w:i w:val="0"/>
          <w:sz w:val="15"/>
        </w:rPr>
        <w:t xml:space="preserve">          "items":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"type":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"LSP",</w:t>
      </w:r>
    </w:p>
    <w:p>
      <w:pPr>
        <w:spacing w:after="0" w:before="0" w:line="240" w:lineRule="auto"/>
        <w:ind w:left="57"/>
        <w:jc w:val="left"/>
        <w:shd w:val="clear" w:fill="F2F2F2"/>
      </w:pPr>
      <w:r>
        <w:rPr>
          <w:rFonts w:ascii="Consolas" w:hAnsi="Consolas" w:cs="Consolas"/>
          <w:b w:val="0"/>
          <w:i w:val="0"/>
          <w:sz w:val="15"/>
        </w:rPr>
        <w:t xml:space="preserve">                  "SHIP",</w:t>
      </w:r>
    </w:p>
    <w:p>
      <w:pPr>
        <w:spacing w:after="0" w:before="0" w:line="240" w:lineRule="auto"/>
        <w:ind w:left="57"/>
        <w:jc w:val="left"/>
        <w:shd w:val="clear" w:fill="F2F2F2"/>
      </w:pPr>
      <w:r>
        <w:rPr>
          <w:rFonts w:ascii="Consolas" w:hAnsi="Consolas" w:cs="Consolas"/>
          <w:b w:val="0"/>
          <w:i w:val="0"/>
          <w:sz w:val="15"/>
        </w:rPr>
        <w:t xml:space="preserve">                  "LAB",</w:t>
      </w:r>
    </w:p>
    <w:p>
      <w:pPr>
        <w:spacing w:after="0" w:before="0" w:line="240" w:lineRule="auto"/>
        <w:ind w:left="57"/>
        <w:jc w:val="left"/>
        <w:shd w:val="clear" w:fill="F2F2F2"/>
      </w:pPr>
      <w:r>
        <w:rPr>
          <w:rFonts w:ascii="Consolas" w:hAnsi="Consolas" w:cs="Consolas"/>
          <w:b w:val="0"/>
          <w:i w:val="0"/>
          <w:sz w:val="15"/>
        </w:rPr>
        <w:t xml:space="preserve">                  "QC",</w:t>
      </w:r>
    </w:p>
    <w:p>
      <w:pPr>
        <w:spacing w:after="0" w:before="0" w:line="240" w:lineRule="auto"/>
        <w:ind w:left="57"/>
        <w:jc w:val="left"/>
        <w:shd w:val="clear" w:fill="F2F2F2"/>
      </w:pPr>
      <w:r>
        <w:rPr>
          <w:rFonts w:ascii="Consolas" w:hAnsi="Consolas" w:cs="Consolas"/>
          <w:b w:val="0"/>
          <w:i w:val="0"/>
          <w:sz w:val="15"/>
        </w:rPr>
        <w:t xml:space="preserve">                  "CBR",</w:t>
      </w:r>
    </w:p>
    <w:p>
      <w:pPr>
        <w:spacing w:after="0" w:before="0" w:line="240" w:lineRule="auto"/>
        <w:ind w:left="57"/>
        <w:jc w:val="left"/>
        <w:shd w:val="clear" w:fill="F2F2F2"/>
      </w:pPr>
      <w:r>
        <w:rPr>
          <w:rFonts w:ascii="Consolas" w:hAnsi="Consolas" w:cs="Consolas"/>
          <w:b w:val="0"/>
          <w:i w:val="0"/>
          <w:sz w:val="15"/>
        </w:rPr>
        <w:t xml:space="preserve">                  "FIN",</w:t>
      </w:r>
    </w:p>
    <w:p>
      <w:pPr>
        <w:spacing w:after="0" w:before="0" w:line="240" w:lineRule="auto"/>
        <w:ind w:left="57"/>
        <w:jc w:val="left"/>
        <w:shd w:val="clear" w:fill="F2F2F2"/>
      </w:pPr>
      <w:r>
        <w:rPr>
          <w:rFonts w:ascii="Consolas" w:hAnsi="Consolas" w:cs="Consolas"/>
          <w:b w:val="0"/>
          <w:i w:val="0"/>
          <w:sz w:val="15"/>
        </w:rPr>
        <w:t xml:space="preserve">                  "GOV"</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"^SGTX-[A-Z]{2}-[A-Z]{3,4}-\\d{6}-[A-Z0-9]{4}$"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"trader_id":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"legal_name":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"role":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"description": "Specific role in this trade"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"goods":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"required": [</w:t>
      </w:r>
    </w:p>
    <w:p>
      <w:pPr>
        <w:spacing w:after="0" w:before="0" w:line="240" w:lineRule="auto"/>
        <w:ind w:left="57"/>
        <w:jc w:val="left"/>
        <w:shd w:val="clear" w:fill="F2F2F2"/>
      </w:pPr>
      <w:r>
        <w:rPr>
          <w:rFonts w:ascii="Consolas" w:hAnsi="Consolas" w:cs="Consolas"/>
          <w:b w:val="0"/>
          <w:i w:val="0"/>
          <w:sz w:val="15"/>
        </w:rPr>
        <w:t xml:space="preserve">        "hs_code",</w:t>
      </w:r>
    </w:p>
    <w:p>
      <w:pPr>
        <w:spacing w:after="0" w:before="0" w:line="240" w:lineRule="auto"/>
        <w:ind w:left="57"/>
        <w:jc w:val="left"/>
        <w:shd w:val="clear" w:fill="F2F2F2"/>
      </w:pPr>
      <w:r>
        <w:rPr>
          <w:rFonts w:ascii="Consolas" w:hAnsi="Consolas" w:cs="Consolas"/>
          <w:b w:val="0"/>
          <w:i w:val="0"/>
          <w:sz w:val="15"/>
        </w:rPr>
        <w:t xml:space="preserve">        "description",</w:t>
      </w:r>
    </w:p>
    <w:p>
      <w:pPr>
        <w:spacing w:after="0" w:before="0" w:line="240" w:lineRule="auto"/>
        <w:ind w:left="57"/>
        <w:jc w:val="left"/>
        <w:shd w:val="clear" w:fill="F2F2F2"/>
      </w:pPr>
      <w:r>
        <w:rPr>
          <w:rFonts w:ascii="Consolas" w:hAnsi="Consolas" w:cs="Consolas"/>
          <w:b w:val="0"/>
          <w:i w:val="0"/>
          <w:sz w:val="15"/>
        </w:rPr>
        <w:t xml:space="preserve">        "invoice_value",</w:t>
      </w:r>
    </w:p>
    <w:p>
      <w:pPr>
        <w:spacing w:after="0" w:before="0" w:line="240" w:lineRule="auto"/>
        <w:ind w:left="57"/>
        <w:jc w:val="left"/>
        <w:shd w:val="clear" w:fill="F2F2F2"/>
      </w:pPr>
      <w:r>
        <w:rPr>
          <w:rFonts w:ascii="Consolas" w:hAnsi="Consolas" w:cs="Consolas"/>
          <w:b w:val="0"/>
          <w:i w:val="0"/>
          <w:sz w:val="15"/>
        </w:rPr>
        <w:t xml:space="preserve">        "incoterm"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"hs_code":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"^\\d{4}\\.\\d{2}$|^\\d{6}$",</w:t>
      </w:r>
    </w:p>
    <w:p>
      <w:pPr>
        <w:spacing w:after="0" w:before="0" w:line="240" w:lineRule="auto"/>
        <w:ind w:left="57"/>
        <w:jc w:val="left"/>
        <w:shd w:val="clear" w:fill="F2F2F2"/>
      </w:pPr>
      <w:r>
        <w:rPr>
          <w:rFonts w:ascii="Consolas" w:hAnsi="Consolas" w:cs="Consolas"/>
          <w:b w:val="0"/>
          <w:i w:val="0"/>
          <w:sz w:val="15"/>
        </w:rPr>
        <w:t xml:space="preserve">          "description": "Harmonized System code",</w:t>
      </w:r>
    </w:p>
    <w:p>
      <w:pPr>
        <w:spacing w:after="0" w:before="0" w:line="240" w:lineRule="auto"/>
        <w:ind w:left="57"/>
        <w:jc w:val="left"/>
        <w:shd w:val="clear" w:fill="F2F2F2"/>
      </w:pPr>
      <w:r>
        <w:rPr>
          <w:rFonts w:ascii="Consolas" w:hAnsi="Consolas" w:cs="Consolas"/>
          <w:b w:val="0"/>
          <w:i w:val="0"/>
          <w:sz w:val="15"/>
        </w:rPr>
        <w:t xml:space="preserve">          "example": "0811.10.90"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"description":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"description": "Commodity description",</w:t>
      </w:r>
    </w:p>
    <w:p>
      <w:pPr>
        <w:spacing w:after="0" w:before="0" w:line="240" w:lineRule="auto"/>
        <w:ind w:left="57"/>
        <w:jc w:val="left"/>
        <w:shd w:val="clear" w:fill="F2F2F2"/>
      </w:pPr>
      <w:r>
        <w:rPr>
          <w:rFonts w:ascii="Consolas" w:hAnsi="Consolas" w:cs="Consolas"/>
          <w:b w:val="0"/>
          <w:i w:val="0"/>
          <w:sz w:val="15"/>
        </w:rPr>
        <w:t xml:space="preserve">          "example": "Frozen strawberries, IQF, Grade 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"net_weight_kg":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"description": "Net weight in kilograms",</w:t>
      </w:r>
    </w:p>
    <w:p>
      <w:pPr>
        <w:spacing w:after="0" w:before="0" w:line="240" w:lineRule="auto"/>
        <w:ind w:left="57"/>
        <w:jc w:val="left"/>
        <w:shd w:val="clear" w:fill="F2F2F2"/>
      </w:pPr>
      <w:r>
        <w:rPr>
          <w:rFonts w:ascii="Consolas" w:hAnsi="Consolas" w:cs="Consolas"/>
          <w:b w:val="0"/>
          <w:i w:val="0"/>
          <w:sz w:val="15"/>
        </w:rPr>
        <w:t xml:space="preserve">          "example": 20000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"gross_weight_kg":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"description": "Gross weight in kilograms",</w:t>
      </w:r>
    </w:p>
    <w:p>
      <w:pPr>
        <w:spacing w:after="0" w:before="0" w:line="240" w:lineRule="auto"/>
        <w:ind w:left="57"/>
        <w:jc w:val="left"/>
        <w:shd w:val="clear" w:fill="F2F2F2"/>
      </w:pPr>
      <w:r>
        <w:rPr>
          <w:rFonts w:ascii="Consolas" w:hAnsi="Consolas" w:cs="Consolas"/>
          <w:b w:val="0"/>
          <w:i w:val="0"/>
          <w:sz w:val="15"/>
        </w:rPr>
        <w:t xml:space="preserve">          "example": 20500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"invoice_value":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"required": [</w:t>
      </w:r>
    </w:p>
    <w:p>
      <w:pPr>
        <w:spacing w:after="0" w:before="0" w:line="240" w:lineRule="auto"/>
        <w:ind w:left="57"/>
        <w:jc w:val="left"/>
        <w:shd w:val="clear" w:fill="F2F2F2"/>
      </w:pPr>
      <w:r>
        <w:rPr>
          <w:rFonts w:ascii="Consolas" w:hAnsi="Consolas" w:cs="Consolas"/>
          <w:b w:val="0"/>
          <w:i w:val="0"/>
          <w:sz w:val="15"/>
        </w:rPr>
        <w:t xml:space="preserve">            "amount",</w:t>
      </w:r>
    </w:p>
    <w:p>
      <w:pPr>
        <w:spacing w:after="0" w:before="0" w:line="240" w:lineRule="auto"/>
        <w:ind w:left="57"/>
        <w:jc w:val="left"/>
        <w:shd w:val="clear" w:fill="F2F2F2"/>
      </w:pPr>
      <w:r>
        <w:rPr>
          <w:rFonts w:ascii="Consolas" w:hAnsi="Consolas" w:cs="Consolas"/>
          <w:b w:val="0"/>
          <w:i w:val="0"/>
          <w:sz w:val="15"/>
        </w:rPr>
        <w:t xml:space="preserve">            "currency"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"amount":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"example": 100000.0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"currency":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"^[A-Z]{3}$",</w:t>
      </w:r>
    </w:p>
    <w:p>
      <w:pPr>
        <w:spacing w:after="0" w:before="0" w:line="240" w:lineRule="auto"/>
        <w:ind w:left="57"/>
        <w:jc w:val="left"/>
        <w:shd w:val="clear" w:fill="F2F2F2"/>
      </w:pPr>
      <w:r>
        <w:rPr>
          <w:rFonts w:ascii="Consolas" w:hAnsi="Consolas" w:cs="Consolas"/>
          <w:b w:val="0"/>
          <w:i w:val="0"/>
          <w:sz w:val="15"/>
        </w:rPr>
        <w:t xml:space="preserve">              "example":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"incoterm":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"EXW",</w:t>
      </w:r>
    </w:p>
    <w:p>
      <w:pPr>
        <w:spacing w:after="0" w:before="0" w:line="240" w:lineRule="auto"/>
        <w:ind w:left="57"/>
        <w:jc w:val="left"/>
        <w:shd w:val="clear" w:fill="F2F2F2"/>
      </w:pPr>
      <w:r>
        <w:rPr>
          <w:rFonts w:ascii="Consolas" w:hAnsi="Consolas" w:cs="Consolas"/>
          <w:b w:val="0"/>
          <w:i w:val="0"/>
          <w:sz w:val="15"/>
        </w:rPr>
        <w:t xml:space="preserve">            "FOB",</w:t>
      </w:r>
    </w:p>
    <w:p>
      <w:pPr>
        <w:spacing w:after="0" w:before="0" w:line="240" w:lineRule="auto"/>
        <w:ind w:left="57"/>
        <w:jc w:val="left"/>
        <w:shd w:val="clear" w:fill="F2F2F2"/>
      </w:pPr>
      <w:r>
        <w:rPr>
          <w:rFonts w:ascii="Consolas" w:hAnsi="Consolas" w:cs="Consolas"/>
          <w:b w:val="0"/>
          <w:i w:val="0"/>
          <w:sz w:val="15"/>
        </w:rPr>
        <w:t xml:space="preserve">            "CFR",</w:t>
      </w:r>
    </w:p>
    <w:p>
      <w:pPr>
        <w:spacing w:after="0" w:before="0" w:line="240" w:lineRule="auto"/>
        <w:ind w:left="57"/>
        <w:jc w:val="left"/>
        <w:shd w:val="clear" w:fill="F2F2F2"/>
      </w:pPr>
      <w:r>
        <w:rPr>
          <w:rFonts w:ascii="Consolas" w:hAnsi="Consolas" w:cs="Consolas"/>
          <w:b w:val="0"/>
          <w:i w:val="0"/>
          <w:sz w:val="15"/>
        </w:rPr>
        <w:t xml:space="preserve">            "CIF",</w:t>
      </w:r>
    </w:p>
    <w:p>
      <w:pPr>
        <w:spacing w:after="0" w:before="0" w:line="240" w:lineRule="auto"/>
        <w:ind w:left="57"/>
        <w:jc w:val="left"/>
        <w:shd w:val="clear" w:fill="F2F2F2"/>
      </w:pPr>
      <w:r>
        <w:rPr>
          <w:rFonts w:ascii="Consolas" w:hAnsi="Consolas" w:cs="Consolas"/>
          <w:b w:val="0"/>
          <w:i w:val="0"/>
          <w:sz w:val="15"/>
        </w:rPr>
        <w:t xml:space="preserve">            "CPT",</w:t>
      </w:r>
    </w:p>
    <w:p>
      <w:pPr>
        <w:spacing w:after="0" w:before="0" w:line="240" w:lineRule="auto"/>
        <w:ind w:left="57"/>
        <w:jc w:val="left"/>
        <w:shd w:val="clear" w:fill="F2F2F2"/>
      </w:pPr>
      <w:r>
        <w:rPr>
          <w:rFonts w:ascii="Consolas" w:hAnsi="Consolas" w:cs="Consolas"/>
          <w:b w:val="0"/>
          <w:i w:val="0"/>
          <w:sz w:val="15"/>
        </w:rPr>
        <w:t xml:space="preserve">            "CIP",</w:t>
      </w:r>
    </w:p>
    <w:p>
      <w:pPr>
        <w:spacing w:after="0" w:before="0" w:line="240" w:lineRule="auto"/>
        <w:ind w:left="57"/>
        <w:jc w:val="left"/>
        <w:shd w:val="clear" w:fill="F2F2F2"/>
      </w:pPr>
      <w:r>
        <w:rPr>
          <w:rFonts w:ascii="Consolas" w:hAnsi="Consolas" w:cs="Consolas"/>
          <w:b w:val="0"/>
          <w:i w:val="0"/>
          <w:sz w:val="15"/>
        </w:rPr>
        <w:t xml:space="preserve">            "DAP",</w:t>
      </w:r>
    </w:p>
    <w:p>
      <w:pPr>
        <w:spacing w:after="0" w:before="0" w:line="240" w:lineRule="auto"/>
        <w:ind w:left="57"/>
        <w:jc w:val="left"/>
        <w:shd w:val="clear" w:fill="F2F2F2"/>
      </w:pPr>
      <w:r>
        <w:rPr>
          <w:rFonts w:ascii="Consolas" w:hAnsi="Consolas" w:cs="Consolas"/>
          <w:b w:val="0"/>
          <w:i w:val="0"/>
          <w:sz w:val="15"/>
        </w:rPr>
        <w:t xml:space="preserve">            "DPU",</w:t>
      </w:r>
    </w:p>
    <w:p>
      <w:pPr>
        <w:spacing w:after="0" w:before="0" w:line="240" w:lineRule="auto"/>
        <w:ind w:left="57"/>
        <w:jc w:val="left"/>
        <w:shd w:val="clear" w:fill="F2F2F2"/>
      </w:pPr>
      <w:r>
        <w:rPr>
          <w:rFonts w:ascii="Consolas" w:hAnsi="Consolas" w:cs="Consolas"/>
          <w:b w:val="0"/>
          <w:i w:val="0"/>
          <w:sz w:val="15"/>
        </w:rPr>
        <w:t xml:space="preserve">            "DDP"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"CFR"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"container_count":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"minimum": 1,</w:t>
      </w:r>
    </w:p>
    <w:p>
      <w:pPr>
        <w:spacing w:after="0" w:before="0" w:line="240" w:lineRule="auto"/>
        <w:ind w:left="57"/>
        <w:jc w:val="left"/>
        <w:shd w:val="clear" w:fill="F2F2F2"/>
      </w:pPr>
      <w:r>
        <w:rPr>
          <w:rFonts w:ascii="Consolas" w:hAnsi="Consolas" w:cs="Consolas"/>
          <w:b w:val="0"/>
          <w:i w:val="0"/>
          <w:sz w:val="15"/>
        </w:rPr>
        <w:t xml:space="preserve">          "example": 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"container_numbers": {</w:t>
      </w:r>
    </w:p>
    <w:p>
      <w:pPr>
        <w:spacing w:after="0" w:before="0" w:line="240" w:lineRule="auto"/>
        <w:ind w:left="57"/>
        <w:jc w:val="left"/>
        <w:shd w:val="clear" w:fill="F2F2F2"/>
      </w:pPr>
      <w:r>
        <w:rPr>
          <w:rFonts w:ascii="Consolas" w:hAnsi="Consolas" w:cs="Consolas"/>
          <w:b w:val="0"/>
          <w:i w:val="0"/>
          <w:sz w:val="15"/>
        </w:rPr>
        <w:t xml:space="preserve">          "type": "array",</w:t>
      </w:r>
    </w:p>
    <w:p>
      <w:pPr>
        <w:spacing w:after="0" w:before="0" w:line="240" w:lineRule="auto"/>
        <w:ind w:left="57"/>
        <w:jc w:val="left"/>
        <w:shd w:val="clear" w:fill="F2F2F2"/>
      </w:pPr>
      <w:r>
        <w:rPr>
          <w:rFonts w:ascii="Consolas" w:hAnsi="Consolas" w:cs="Consolas"/>
          <w:b w:val="0"/>
          <w:i w:val="0"/>
          <w:sz w:val="15"/>
        </w:rPr>
        <w:t xml:space="preserve">          "items":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"^[A-Z]{4}\\d{7}$"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w:t>
      </w:r>
    </w:p>
    <w:p>
      <w:pPr>
        <w:spacing w:after="0" w:before="0" w:line="240" w:lineRule="auto"/>
        <w:ind w:left="57"/>
        <w:jc w:val="left"/>
        <w:shd w:val="clear" w:fill="F2F2F2"/>
      </w:pPr>
      <w:r>
        <w:rPr>
          <w:rFonts w:ascii="Consolas" w:hAnsi="Consolas" w:cs="Consolas"/>
          <w:b w:val="0"/>
          <w:i w:val="0"/>
          <w:sz w:val="15"/>
        </w:rPr>
        <w:t xml:space="preserve">            "MEDU1234567",</w:t>
      </w:r>
    </w:p>
    <w:p>
      <w:pPr>
        <w:spacing w:after="0" w:before="0" w:line="240" w:lineRule="auto"/>
        <w:ind w:left="57"/>
        <w:jc w:val="left"/>
        <w:shd w:val="clear" w:fill="F2F2F2"/>
      </w:pPr>
      <w:r>
        <w:rPr>
          <w:rFonts w:ascii="Consolas" w:hAnsi="Consolas" w:cs="Consolas"/>
          <w:b w:val="0"/>
          <w:i w:val="0"/>
          <w:sz w:val="15"/>
        </w:rPr>
        <w:t xml:space="preserve">            "MEDU1234568"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"quantity_tolerance":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"maximum": 20,</w:t>
      </w:r>
    </w:p>
    <w:p>
      <w:pPr>
        <w:spacing w:after="0" w:before="0" w:line="240" w:lineRule="auto"/>
        <w:ind w:left="57"/>
        <w:jc w:val="left"/>
        <w:shd w:val="clear" w:fill="F2F2F2"/>
      </w:pPr>
      <w:r>
        <w:rPr>
          <w:rFonts w:ascii="Consolas" w:hAnsi="Consolas" w:cs="Consolas"/>
          <w:b w:val="0"/>
          <w:i w:val="0"/>
          <w:sz w:val="15"/>
        </w:rPr>
        <w:t xml:space="preserve">          "description": "Tolerance percentage",</w:t>
      </w:r>
    </w:p>
    <w:p>
      <w:pPr>
        <w:spacing w:after="0" w:before="0" w:line="240" w:lineRule="auto"/>
        <w:ind w:left="57"/>
        <w:jc w:val="left"/>
        <w:shd w:val="clear" w:fill="F2F2F2"/>
      </w:pPr>
      <w:r>
        <w:rPr>
          <w:rFonts w:ascii="Consolas" w:hAnsi="Consolas" w:cs="Consolas"/>
          <w:b w:val="0"/>
          <w:i w:val="0"/>
          <w:sz w:val="15"/>
        </w:rPr>
        <w:t xml:space="preserve">          "example": 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"partial_shipment_allowed": {</w:t>
      </w:r>
    </w:p>
    <w:p>
      <w:pPr>
        <w:spacing w:after="0" w:before="0" w:line="240" w:lineRule="auto"/>
        <w:ind w:left="57"/>
        <w:jc w:val="left"/>
        <w:shd w:val="clear" w:fill="F2F2F2"/>
      </w:pPr>
      <w:r>
        <w:rPr>
          <w:rFonts w:ascii="Consolas" w:hAnsi="Consolas" w:cs="Consolas"/>
          <w:b w:val="0"/>
          <w:i w:val="0"/>
          <w:sz w:val="15"/>
        </w:rPr>
        <w:t xml:space="preserve">          "type": "boolean",</w:t>
      </w:r>
    </w:p>
    <w:p>
      <w:pPr>
        <w:spacing w:after="0" w:before="0" w:line="240" w:lineRule="auto"/>
        <w:ind w:left="57"/>
        <w:jc w:val="left"/>
        <w:shd w:val="clear" w:fill="F2F2F2"/>
      </w:pPr>
      <w:r>
        <w:rPr>
          <w:rFonts w:ascii="Consolas" w:hAnsi="Consolas" w:cs="Consolas"/>
          <w:b w:val="0"/>
          <w:i w:val="0"/>
          <w:sz w:val="15"/>
        </w:rPr>
        <w:t xml:space="preserve">          "example":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"transshipment_allowed": {</w:t>
      </w:r>
    </w:p>
    <w:p>
      <w:pPr>
        <w:spacing w:after="0" w:before="0" w:line="240" w:lineRule="auto"/>
        <w:ind w:left="57"/>
        <w:jc w:val="left"/>
        <w:shd w:val="clear" w:fill="F2F2F2"/>
      </w:pPr>
      <w:r>
        <w:rPr>
          <w:rFonts w:ascii="Consolas" w:hAnsi="Consolas" w:cs="Consolas"/>
          <w:b w:val="0"/>
          <w:i w:val="0"/>
          <w:sz w:val="15"/>
        </w:rPr>
        <w:t xml:space="preserve">          "type": "boolean",</w:t>
      </w:r>
    </w:p>
    <w:p>
      <w:pPr>
        <w:spacing w:after="0" w:before="0" w:line="240" w:lineRule="auto"/>
        <w:ind w:left="57"/>
        <w:jc w:val="left"/>
        <w:shd w:val="clear" w:fill="F2F2F2"/>
      </w:pPr>
      <w:r>
        <w:rPr>
          <w:rFonts w:ascii="Consolas" w:hAnsi="Consolas" w:cs="Consolas"/>
          <w:b w:val="0"/>
          <w:i w:val="0"/>
          <w:sz w:val="15"/>
        </w:rPr>
        <w:t xml:space="preserve">          "example":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"eta_invoice_uuid":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"uuid",</w:t>
      </w:r>
    </w:p>
    <w:p>
      <w:pPr>
        <w:spacing w:after="0" w:before="0" w:line="240" w:lineRule="auto"/>
        <w:ind w:left="57"/>
        <w:jc w:val="left"/>
        <w:shd w:val="clear" w:fill="F2F2F2"/>
      </w:pPr>
      <w:r>
        <w:rPr>
          <w:rFonts w:ascii="Consolas" w:hAnsi="Consolas" w:cs="Consolas"/>
          <w:b w:val="0"/>
          <w:i w:val="0"/>
          <w:sz w:val="15"/>
        </w:rPr>
        <w:t xml:space="preserve">          "example": "INV-abc123"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"acid":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"^ACI\\d{8}-\\d{4}$",</w:t>
      </w:r>
    </w:p>
    <w:p>
      <w:pPr>
        <w:spacing w:after="0" w:before="0" w:line="240" w:lineRule="auto"/>
        <w:ind w:left="57"/>
        <w:jc w:val="left"/>
        <w:shd w:val="clear" w:fill="F2F2F2"/>
      </w:pPr>
      <w:r>
        <w:rPr>
          <w:rFonts w:ascii="Consolas" w:hAnsi="Consolas" w:cs="Consolas"/>
          <w:b w:val="0"/>
          <w:i w:val="0"/>
          <w:sz w:val="15"/>
        </w:rPr>
        <w:t xml:space="preserve">          "example": "ACI20260415-0001"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"nafeza_declaration_id":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"SAD20260415-000147"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"phyto_certificate":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"PC-20260415-147"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"health_certificate":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"HC-20260415-147"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"certificate_of_origin":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"COO-20260415-147"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"bill_of_lading":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"number":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"MEDU1234567"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"eBL",</w:t>
      </w:r>
    </w:p>
    <w:p>
      <w:pPr>
        <w:spacing w:after="0" w:before="0" w:line="240" w:lineRule="auto"/>
        <w:ind w:left="57"/>
        <w:jc w:val="left"/>
        <w:shd w:val="clear" w:fill="F2F2F2"/>
      </w:pPr>
      <w:r>
        <w:rPr>
          <w:rFonts w:ascii="Consolas" w:hAnsi="Consolas" w:cs="Consolas"/>
          <w:b w:val="0"/>
          <w:i w:val="0"/>
          <w:sz w:val="15"/>
        </w:rPr>
        <w:t xml:space="preserve">                "paper"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"eBL"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"issuer":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"MSC"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"issued_at":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"example": "2026-04-16T10:00:00Z"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"url":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"uri",</w:t>
      </w:r>
    </w:p>
    <w:p>
      <w:pPr>
        <w:spacing w:after="0" w:before="0" w:line="240" w:lineRule="auto"/>
        <w:ind w:left="57"/>
        <w:jc w:val="left"/>
        <w:shd w:val="clear" w:fill="F2F2F2"/>
      </w:pPr>
      <w:r>
        <w:rPr>
          <w:rFonts w:ascii="Consolas" w:hAnsi="Consolas" w:cs="Consolas"/>
          <w:b w:val="0"/>
          <w:i w:val="0"/>
          <w:sz w:val="15"/>
        </w:rPr>
        <w:t xml:space="preserve">              "example": "sgtx://documents/ebl-123"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"packing_list_hash":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"^sha256:[a-f0-9]{64}$",</w:t>
      </w:r>
    </w:p>
    <w:p>
      <w:pPr>
        <w:spacing w:after="0" w:before="0" w:line="240" w:lineRule="auto"/>
        <w:ind w:left="57"/>
        <w:jc w:val="left"/>
        <w:shd w:val="clear" w:fill="F2F2F2"/>
      </w:pPr>
      <w:r>
        <w:rPr>
          <w:rFonts w:ascii="Consolas" w:hAnsi="Consolas" w:cs="Consolas"/>
          <w:b w:val="0"/>
          <w:i w:val="0"/>
          <w:sz w:val="15"/>
        </w:rPr>
        <w:t xml:space="preserve">          "example": "sha256:abc123..."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"qc_report":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"provider":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"SGS Inspection"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"verdict":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"PASS",</w:t>
      </w:r>
    </w:p>
    <w:p>
      <w:pPr>
        <w:spacing w:after="0" w:before="0" w:line="240" w:lineRule="auto"/>
        <w:ind w:left="57"/>
        <w:jc w:val="left"/>
        <w:shd w:val="clear" w:fill="F2F2F2"/>
      </w:pPr>
      <w:r>
        <w:rPr>
          <w:rFonts w:ascii="Consolas" w:hAnsi="Consolas" w:cs="Consolas"/>
          <w:b w:val="0"/>
          <w:i w:val="0"/>
          <w:sz w:val="15"/>
        </w:rPr>
        <w:t xml:space="preserve">                "FAIL",</w:t>
      </w:r>
    </w:p>
    <w:p>
      <w:pPr>
        <w:spacing w:after="0" w:before="0" w:line="240" w:lineRule="auto"/>
        <w:ind w:left="57"/>
        <w:jc w:val="left"/>
        <w:shd w:val="clear" w:fill="F2F2F2"/>
      </w:pPr>
      <w:r>
        <w:rPr>
          <w:rFonts w:ascii="Consolas" w:hAnsi="Consolas" w:cs="Consolas"/>
          <w:b w:val="0"/>
          <w:i w:val="0"/>
          <w:sz w:val="15"/>
        </w:rPr>
        <w:t xml:space="preserve">                "CONDITIONAL_PASS"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"CONDITIONAL_PASS"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"overrides":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"example": 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"report_url":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"uri",</w:t>
      </w:r>
    </w:p>
    <w:p>
      <w:pPr>
        <w:spacing w:after="0" w:before="0" w:line="240" w:lineRule="auto"/>
        <w:ind w:left="57"/>
        <w:jc w:val="left"/>
        <w:shd w:val="clear" w:fill="F2F2F2"/>
      </w:pPr>
      <w:r>
        <w:rPr>
          <w:rFonts w:ascii="Consolas" w:hAnsi="Consolas" w:cs="Consolas"/>
          <w:b w:val="0"/>
          <w:i w:val="0"/>
          <w:sz w:val="15"/>
        </w:rPr>
        <w:t xml:space="preserve">              "example": "sgtx://documents/qc-001"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"insurance_certificate":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"INS-2026-001"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"logistics":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"trucking":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"provider_gtid":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"SGTX-EG-LSP-001"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"provider_name":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"Fast Trucking Co."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"quote_id":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"QT-001"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"fee":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300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"PAID",</w:t>
      </w:r>
    </w:p>
    <w:p>
      <w:pPr>
        <w:spacing w:after="0" w:before="0" w:line="240" w:lineRule="auto"/>
        <w:ind w:left="57"/>
        <w:jc w:val="left"/>
        <w:shd w:val="clear" w:fill="F2F2F2"/>
      </w:pPr>
      <w:r>
        <w:rPr>
          <w:rFonts w:ascii="Consolas" w:hAnsi="Consolas" w:cs="Consolas"/>
          <w:b w:val="0"/>
          <w:i w:val="0"/>
          <w:sz w:val="15"/>
        </w:rPr>
        <w:t xml:space="preserve">                "CANCELLED"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"PAID"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"shipping_line":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"provider_gtid":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"SGTX-EG-SHIP-001"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"provider_name":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"MSC Egypt"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"booking_ref":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"MAEU876543210"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"vessel":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"MSC FIONA"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"voyage":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"MSF123E"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"etd":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"example": "2026-04-20T08:00:00Z"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"eta":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"example": "2026-05-05T14:00:00Z"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"actual_departure":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"example": "2026-04-20T09:30:00Z"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"actual_arrival":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"example":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"freight_invoice":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"amount":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4200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"CREDIT",</w:t>
      </w:r>
    </w:p>
    <w:p>
      <w:pPr>
        <w:spacing w:after="0" w:before="0" w:line="240" w:lineRule="auto"/>
        <w:ind w:left="57"/>
        <w:jc w:val="left"/>
        <w:shd w:val="clear" w:fill="F2F2F2"/>
      </w:pPr>
      <w:r>
        <w:rPr>
          <w:rFonts w:ascii="Consolas" w:hAnsi="Consolas" w:cs="Consolas"/>
          <w:b w:val="0"/>
          <w:i w:val="0"/>
          <w:sz w:val="15"/>
        </w:rPr>
        <w:t xml:space="preserve">                    "MANDATORY",</w:t>
      </w:r>
    </w:p>
    <w:p>
      <w:pPr>
        <w:spacing w:after="0" w:before="0" w:line="240" w:lineRule="auto"/>
        <w:ind w:left="57"/>
        <w:jc w:val="left"/>
        <w:shd w:val="clear" w:fill="F2F2F2"/>
      </w:pPr>
      <w:r>
        <w:rPr>
          <w:rFonts w:ascii="Consolas" w:hAnsi="Consolas" w:cs="Consolas"/>
          <w:b w:val="0"/>
          <w:i w:val="0"/>
          <w:sz w:val="15"/>
        </w:rPr>
        <w:t xml:space="preserve">                    "PAID"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"CREDIT"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"due_date":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w:t>
      </w:r>
    </w:p>
    <w:p>
      <w:pPr>
        <w:spacing w:after="0" w:before="0" w:line="240" w:lineRule="auto"/>
        <w:ind w:left="57"/>
        <w:jc w:val="left"/>
        <w:shd w:val="clear" w:fill="F2F2F2"/>
      </w:pPr>
      <w:r>
        <w:rPr>
          <w:rFonts w:ascii="Consolas" w:hAnsi="Consolas" w:cs="Consolas"/>
          <w:b w:val="0"/>
          <w:i w:val="0"/>
          <w:sz w:val="15"/>
        </w:rPr>
        <w:t xml:space="preserve">                  "example": "2026-06-05"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"customs_broker":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"certification":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"quote_id":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"CBRQ-001"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"fee":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150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"PAID",</w:t>
      </w:r>
    </w:p>
    <w:p>
      <w:pPr>
        <w:spacing w:after="0" w:before="0" w:line="240" w:lineRule="auto"/>
        <w:ind w:left="57"/>
        <w:jc w:val="left"/>
        <w:shd w:val="clear" w:fill="F2F2F2"/>
      </w:pPr>
      <w:r>
        <w:rPr>
          <w:rFonts w:ascii="Consolas" w:hAnsi="Consolas" w:cs="Consolas"/>
          <w:b w:val="0"/>
          <w:i w:val="0"/>
          <w:sz w:val="15"/>
        </w:rPr>
        <w:t xml:space="preserve">                    "CANCELLED"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"PAID"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"certified_at":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"example": "2026-04-16T09:00:00Z"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"physical_handling":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"storage":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"warehousing":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"provider_gtid":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"provider_name":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"location":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"fee":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"PAID",</w:t>
      </w:r>
    </w:p>
    <w:p>
      <w:pPr>
        <w:spacing w:after="0" w:before="0" w:line="240" w:lineRule="auto"/>
        <w:ind w:left="57"/>
        <w:jc w:val="left"/>
        <w:shd w:val="clear" w:fill="F2F2F2"/>
      </w:pPr>
      <w:r>
        <w:rPr>
          <w:rFonts w:ascii="Consolas" w:hAnsi="Consolas" w:cs="Consolas"/>
          <w:b w:val="0"/>
          <w:i w:val="0"/>
          <w:sz w:val="15"/>
        </w:rPr>
        <w:t xml:space="preserve">                "CANCELLED"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"payment_plan":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"stage1":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"SETTLED",</w:t>
      </w:r>
    </w:p>
    <w:p>
      <w:pPr>
        <w:spacing w:after="0" w:before="0" w:line="240" w:lineRule="auto"/>
        <w:ind w:left="57"/>
        <w:jc w:val="left"/>
        <w:shd w:val="clear" w:fill="F2F2F2"/>
      </w:pPr>
      <w:r>
        <w:rPr>
          <w:rFonts w:ascii="Consolas" w:hAnsi="Consolas" w:cs="Consolas"/>
          <w:b w:val="0"/>
          <w:i w:val="0"/>
          <w:sz w:val="15"/>
        </w:rPr>
        <w:t xml:space="preserve">                "FAILED"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"SETTLED"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"settled_at":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"example": "2026-04-15T13:00:00Z"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"transactions": {</w:t>
      </w:r>
    </w:p>
    <w:p>
      <w:pPr>
        <w:spacing w:after="0" w:before="0" w:line="240" w:lineRule="auto"/>
        <w:ind w:left="57"/>
        <w:jc w:val="left"/>
        <w:shd w:val="clear" w:fill="F2F2F2"/>
      </w:pPr>
      <w:r>
        <w:rPr>
          <w:rFonts w:ascii="Consolas" w:hAnsi="Consolas" w:cs="Consolas"/>
          <w:b w:val="0"/>
          <w:i w:val="0"/>
          <w:sz w:val="15"/>
        </w:rPr>
        <w:t xml:space="preserve">              "type": "array",</w:t>
      </w:r>
    </w:p>
    <w:p>
      <w:pPr>
        <w:spacing w:after="0" w:before="0" w:line="240" w:lineRule="auto"/>
        <w:ind w:left="57"/>
        <w:jc w:val="left"/>
        <w:shd w:val="clear" w:fill="F2F2F2"/>
      </w:pPr>
      <w:r>
        <w:rPr>
          <w:rFonts w:ascii="Consolas" w:hAnsi="Consolas" w:cs="Consolas"/>
          <w:b w:val="0"/>
          <w:i w:val="0"/>
          <w:sz w:val="15"/>
        </w:rPr>
        <w:t xml:space="preserve">              "items":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"payee":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"SGTX"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"amount":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1353.0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"currency":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"stage2":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"SETTLED",</w:t>
      </w:r>
    </w:p>
    <w:p>
      <w:pPr>
        <w:spacing w:after="0" w:before="0" w:line="240" w:lineRule="auto"/>
        <w:ind w:left="57"/>
        <w:jc w:val="left"/>
        <w:shd w:val="clear" w:fill="F2F2F2"/>
      </w:pPr>
      <w:r>
        <w:rPr>
          <w:rFonts w:ascii="Consolas" w:hAnsi="Consolas" w:cs="Consolas"/>
          <w:b w:val="0"/>
          <w:i w:val="0"/>
          <w:sz w:val="15"/>
        </w:rPr>
        <w:t xml:space="preserve">                "FAILED"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"transactions": {</w:t>
      </w:r>
    </w:p>
    <w:p>
      <w:pPr>
        <w:spacing w:after="0" w:before="0" w:line="240" w:lineRule="auto"/>
        <w:ind w:left="57"/>
        <w:jc w:val="left"/>
        <w:shd w:val="clear" w:fill="F2F2F2"/>
      </w:pPr>
      <w:r>
        <w:rPr>
          <w:rFonts w:ascii="Consolas" w:hAnsi="Consolas" w:cs="Consolas"/>
          <w:b w:val="0"/>
          <w:i w:val="0"/>
          <w:sz w:val="15"/>
        </w:rPr>
        <w:t xml:space="preserve">              "type": "array",</w:t>
      </w:r>
    </w:p>
    <w:p>
      <w:pPr>
        <w:spacing w:after="0" w:before="0" w:line="240" w:lineRule="auto"/>
        <w:ind w:left="57"/>
        <w:jc w:val="left"/>
        <w:shd w:val="clear" w:fill="F2F2F2"/>
      </w:pPr>
      <w:r>
        <w:rPr>
          <w:rFonts w:ascii="Consolas" w:hAnsi="Consolas" w:cs="Consolas"/>
          <w:b w:val="0"/>
          <w:i w:val="0"/>
          <w:sz w:val="15"/>
        </w:rPr>
        <w:t xml:space="preserve">              "items":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"payee":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"MSC"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"amount":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4200.0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"currency":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"CREDIT",</w:t>
      </w:r>
    </w:p>
    <w:p>
      <w:pPr>
        <w:spacing w:after="0" w:before="0" w:line="240" w:lineRule="auto"/>
        <w:ind w:left="57"/>
        <w:jc w:val="left"/>
        <w:shd w:val="clear" w:fill="F2F2F2"/>
      </w:pPr>
      <w:r>
        <w:rPr>
          <w:rFonts w:ascii="Consolas" w:hAnsi="Consolas" w:cs="Consolas"/>
          <w:b w:val="0"/>
          <w:i w:val="0"/>
          <w:sz w:val="15"/>
        </w:rPr>
        <w:t xml:space="preserve">                      "MANDATORY"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"CREDIT"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"due_date":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w:t>
      </w:r>
    </w:p>
    <w:p>
      <w:pPr>
        <w:spacing w:after="0" w:before="0" w:line="240" w:lineRule="auto"/>
        <w:ind w:left="57"/>
        <w:jc w:val="left"/>
        <w:shd w:val="clear" w:fill="F2F2F2"/>
      </w:pPr>
      <w:r>
        <w:rPr>
          <w:rFonts w:ascii="Consolas" w:hAnsi="Consolas" w:cs="Consolas"/>
          <w:b w:val="0"/>
          <w:i w:val="0"/>
          <w:sz w:val="15"/>
        </w:rPr>
        <w:t xml:space="preserve">                    "example": "2026-06-05"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"deferred":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"GUARANTEE_HELD",</w:t>
      </w:r>
    </w:p>
    <w:p>
      <w:pPr>
        <w:spacing w:after="0" w:before="0" w:line="240" w:lineRule="auto"/>
        <w:ind w:left="57"/>
        <w:jc w:val="left"/>
        <w:shd w:val="clear" w:fill="F2F2F2"/>
      </w:pPr>
      <w:r>
        <w:rPr>
          <w:rFonts w:ascii="Consolas" w:hAnsi="Consolas" w:cs="Consolas"/>
          <w:b w:val="0"/>
          <w:i w:val="0"/>
          <w:sz w:val="15"/>
        </w:rPr>
        <w:t xml:space="preserve">                "RELEASED",</w:t>
      </w:r>
    </w:p>
    <w:p>
      <w:pPr>
        <w:spacing w:after="0" w:before="0" w:line="240" w:lineRule="auto"/>
        <w:ind w:left="57"/>
        <w:jc w:val="left"/>
        <w:shd w:val="clear" w:fill="F2F2F2"/>
      </w:pPr>
      <w:r>
        <w:rPr>
          <w:rFonts w:ascii="Consolas" w:hAnsi="Consolas" w:cs="Consolas"/>
          <w:b w:val="0"/>
          <w:i w:val="0"/>
          <w:sz w:val="15"/>
        </w:rPr>
        <w:t xml:space="preserve">                "PAID",</w:t>
      </w:r>
    </w:p>
    <w:p>
      <w:pPr>
        <w:spacing w:after="0" w:before="0" w:line="240" w:lineRule="auto"/>
        <w:ind w:left="57"/>
        <w:jc w:val="left"/>
        <w:shd w:val="clear" w:fill="F2F2F2"/>
      </w:pPr>
      <w:r>
        <w:rPr>
          <w:rFonts w:ascii="Consolas" w:hAnsi="Consolas" w:cs="Consolas"/>
          <w:b w:val="0"/>
          <w:i w:val="0"/>
          <w:sz w:val="15"/>
        </w:rPr>
        <w:t xml:space="preserve">                "EXPIRED"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"GUARANTEE_HELD"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"guarantee_amount":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10000.0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"trigger_milestone":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"CUSTOMS_IMPORT"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"expiry_date":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"example": "2026-05-15T23:59:59Z"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"financing":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"agreement_id":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"uuid"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"amount":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"apr":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"ACTIVE",</w:t>
      </w:r>
    </w:p>
    <w:p>
      <w:pPr>
        <w:spacing w:after="0" w:before="0" w:line="240" w:lineRule="auto"/>
        <w:ind w:left="57"/>
        <w:jc w:val="left"/>
        <w:shd w:val="clear" w:fill="F2F2F2"/>
      </w:pPr>
      <w:r>
        <w:rPr>
          <w:rFonts w:ascii="Consolas" w:hAnsi="Consolas" w:cs="Consolas"/>
          <w:b w:val="0"/>
          <w:i w:val="0"/>
          <w:sz w:val="15"/>
        </w:rPr>
        <w:t xml:space="preserve">                "REPAID",</w:t>
      </w:r>
    </w:p>
    <w:p>
      <w:pPr>
        <w:spacing w:after="0" w:before="0" w:line="240" w:lineRule="auto"/>
        <w:ind w:left="57"/>
        <w:jc w:val="left"/>
        <w:shd w:val="clear" w:fill="F2F2F2"/>
      </w:pPr>
      <w:r>
        <w:rPr>
          <w:rFonts w:ascii="Consolas" w:hAnsi="Consolas" w:cs="Consolas"/>
          <w:b w:val="0"/>
          <w:i w:val="0"/>
          <w:sz w:val="15"/>
        </w:rPr>
        <w:t xml:space="preserve">                "DEFAULTED"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"timeline": {</w:t>
      </w:r>
    </w:p>
    <w:p>
      <w:pPr>
        <w:spacing w:after="0" w:before="0" w:line="240" w:lineRule="auto"/>
        <w:ind w:left="57"/>
        <w:jc w:val="left"/>
        <w:shd w:val="clear" w:fill="F2F2F2"/>
      </w:pPr>
      <w:r>
        <w:rPr>
          <w:rFonts w:ascii="Consolas" w:hAnsi="Consolas" w:cs="Consolas"/>
          <w:b w:val="0"/>
          <w:i w:val="0"/>
          <w:sz w:val="15"/>
        </w:rPr>
        <w:t xml:space="preserve">      "type": "array",</w:t>
      </w:r>
    </w:p>
    <w:p>
      <w:pPr>
        <w:spacing w:after="0" w:before="0" w:line="240" w:lineRule="auto"/>
        <w:ind w:left="57"/>
        <w:jc w:val="left"/>
        <w:shd w:val="clear" w:fill="F2F2F2"/>
      </w:pPr>
      <w:r>
        <w:rPr>
          <w:rFonts w:ascii="Consolas" w:hAnsi="Consolas" w:cs="Consolas"/>
          <w:b w:val="0"/>
          <w:i w:val="0"/>
          <w:sz w:val="15"/>
        </w:rPr>
        <w:t xml:space="preserve">      "description": "Chronological list of all significant events",</w:t>
      </w:r>
    </w:p>
    <w:p>
      <w:pPr>
        <w:spacing w:after="0" w:before="0" w:line="240" w:lineRule="auto"/>
        <w:ind w:left="57"/>
        <w:jc w:val="left"/>
        <w:shd w:val="clear" w:fill="F2F2F2"/>
      </w:pPr>
      <w:r>
        <w:rPr>
          <w:rFonts w:ascii="Consolas" w:hAnsi="Consolas" w:cs="Consolas"/>
          <w:b w:val="0"/>
          <w:i w:val="0"/>
          <w:sz w:val="15"/>
        </w:rPr>
        <w:t xml:space="preserve">      "items":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"required": [</w:t>
      </w:r>
    </w:p>
    <w:p>
      <w:pPr>
        <w:spacing w:after="0" w:before="0" w:line="240" w:lineRule="auto"/>
        <w:ind w:left="57"/>
        <w:jc w:val="left"/>
        <w:shd w:val="clear" w:fill="F2F2F2"/>
      </w:pPr>
      <w:r>
        <w:rPr>
          <w:rFonts w:ascii="Consolas" w:hAnsi="Consolas" w:cs="Consolas"/>
          <w:b w:val="0"/>
          <w:i w:val="0"/>
          <w:sz w:val="15"/>
        </w:rPr>
        <w:t xml:space="preserve">          "timestamp",</w:t>
      </w:r>
    </w:p>
    <w:p>
      <w:pPr>
        <w:spacing w:after="0" w:before="0" w:line="240" w:lineRule="auto"/>
        <w:ind w:left="57"/>
        <w:jc w:val="left"/>
        <w:shd w:val="clear" w:fill="F2F2F2"/>
      </w:pPr>
      <w:r>
        <w:rPr>
          <w:rFonts w:ascii="Consolas" w:hAnsi="Consolas" w:cs="Consolas"/>
          <w:b w:val="0"/>
          <w:i w:val="0"/>
          <w:sz w:val="15"/>
        </w:rPr>
        <w:t xml:space="preserve">          "event",</w:t>
      </w:r>
    </w:p>
    <w:p>
      <w:pPr>
        <w:spacing w:after="0" w:before="0" w:line="240" w:lineRule="auto"/>
        <w:ind w:left="57"/>
        <w:jc w:val="left"/>
        <w:shd w:val="clear" w:fill="F2F2F2"/>
      </w:pPr>
      <w:r>
        <w:rPr>
          <w:rFonts w:ascii="Consolas" w:hAnsi="Consolas" w:cs="Consolas"/>
          <w:b w:val="0"/>
          <w:i w:val="0"/>
          <w:sz w:val="15"/>
        </w:rPr>
        <w:t xml:space="preserve">          "actor"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"timestamp":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"example": "2026-04-15T09:00:00Z"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"event":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"TRADE_INITIATED"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"actor":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"buyer@importer.com"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"details":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"description": "Optional additional context",</w:t>
      </w:r>
    </w:p>
    <w:p>
      <w:pPr>
        <w:spacing w:after="0" w:before="0" w:line="240" w:lineRule="auto"/>
        <w:ind w:left="57"/>
        <w:jc w:val="left"/>
        <w:shd w:val="clear" w:fill="F2F2F2"/>
      </w:pPr>
      <w:r>
        <w:rPr>
          <w:rFonts w:ascii="Consolas" w:hAnsi="Consolas" w:cs="Consolas"/>
          <w:b w:val="0"/>
          <w:i w:val="0"/>
          <w:sz w:val="15"/>
        </w:rPr>
        <w:t xml:space="preserve">            "example": {</w:t>
      </w:r>
    </w:p>
    <w:p>
      <w:pPr>
        <w:spacing w:after="0" w:before="0" w:line="240" w:lineRule="auto"/>
        <w:ind w:left="57"/>
        <w:jc w:val="left"/>
        <w:shd w:val="clear" w:fill="F2F2F2"/>
      </w:pPr>
      <w:r>
        <w:rPr>
          <w:rFonts w:ascii="Consolas" w:hAnsi="Consolas" w:cs="Consolas"/>
          <w:b w:val="0"/>
          <w:i w:val="0"/>
          <w:sz w:val="15"/>
        </w:rPr>
        <w:t xml:space="preserve">              "quote_amount": 30450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"governor_decision_id":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"uuid"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"loom_hash":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"pattern": "^sha256:[a-f0-9]{64}$"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"optional_services":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"laboratory":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"provider_gtid":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"SGTX-EG-LAB-001"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"quote_id":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"LABQ-001"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"fee":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200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"PAID",</w:t>
      </w:r>
    </w:p>
    <w:p>
      <w:pPr>
        <w:spacing w:after="0" w:before="0" w:line="240" w:lineRule="auto"/>
        <w:ind w:left="57"/>
        <w:jc w:val="left"/>
        <w:shd w:val="clear" w:fill="F2F2F2"/>
      </w:pPr>
      <w:r>
        <w:rPr>
          <w:rFonts w:ascii="Consolas" w:hAnsi="Consolas" w:cs="Consolas"/>
          <w:b w:val="0"/>
          <w:i w:val="0"/>
          <w:sz w:val="15"/>
        </w:rPr>
        <w:t xml:space="preserve">                "CANCELLED"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"PAID"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"results":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"additionalProperties":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"value":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"limit":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"pass": {</w:t>
      </w:r>
    </w:p>
    <w:p>
      <w:pPr>
        <w:spacing w:after="0" w:before="0" w:line="240" w:lineRule="auto"/>
        <w:ind w:left="57"/>
        <w:jc w:val="left"/>
        <w:shd w:val="clear" w:fill="F2F2F2"/>
      </w:pPr>
      <w:r>
        <w:rPr>
          <w:rFonts w:ascii="Consolas" w:hAnsi="Consolas" w:cs="Consolas"/>
          <w:b w:val="0"/>
          <w:i w:val="0"/>
          <w:sz w:val="15"/>
        </w:rPr>
        <w:t xml:space="preserve">                    "type": "boolean"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w:t>
      </w:r>
    </w:p>
    <w:p>
      <w:pPr>
        <w:spacing w:after="0" w:before="0" w:line="240" w:lineRule="auto"/>
        <w:ind w:left="57"/>
        <w:jc w:val="left"/>
        <w:shd w:val="clear" w:fill="F2F2F2"/>
      </w:pPr>
      <w:r>
        <w:rPr>
          <w:rFonts w:ascii="Consolas" w:hAnsi="Consolas" w:cs="Consolas"/>
          <w:b w:val="0"/>
          <w:i w:val="0"/>
          <w:sz w:val="15"/>
        </w:rPr>
        <w:t xml:space="preserve">                "cypermethrin": {</w:t>
      </w:r>
    </w:p>
    <w:p>
      <w:pPr>
        <w:spacing w:after="0" w:before="0" w:line="240" w:lineRule="auto"/>
        <w:ind w:left="57"/>
        <w:jc w:val="left"/>
        <w:shd w:val="clear" w:fill="F2F2F2"/>
      </w:pPr>
      <w:r>
        <w:rPr>
          <w:rFonts w:ascii="Consolas" w:hAnsi="Consolas" w:cs="Consolas"/>
          <w:b w:val="0"/>
          <w:i w:val="0"/>
          <w:sz w:val="15"/>
        </w:rPr>
        <w:t xml:space="preserve">                  "value": 0.02,</w:t>
      </w:r>
    </w:p>
    <w:p>
      <w:pPr>
        <w:spacing w:after="0" w:before="0" w:line="240" w:lineRule="auto"/>
        <w:ind w:left="57"/>
        <w:jc w:val="left"/>
        <w:shd w:val="clear" w:fill="F2F2F2"/>
      </w:pPr>
      <w:r>
        <w:rPr>
          <w:rFonts w:ascii="Consolas" w:hAnsi="Consolas" w:cs="Consolas"/>
          <w:b w:val="0"/>
          <w:i w:val="0"/>
          <w:sz w:val="15"/>
        </w:rPr>
        <w:t xml:space="preserve">                  "limit": 0.05,</w:t>
      </w:r>
    </w:p>
    <w:p>
      <w:pPr>
        <w:spacing w:after="0" w:before="0" w:line="240" w:lineRule="auto"/>
        <w:ind w:left="57"/>
        <w:jc w:val="left"/>
        <w:shd w:val="clear" w:fill="F2F2F2"/>
      </w:pPr>
      <w:r>
        <w:rPr>
          <w:rFonts w:ascii="Consolas" w:hAnsi="Consolas" w:cs="Consolas"/>
          <w:b w:val="0"/>
          <w:i w:val="0"/>
          <w:sz w:val="15"/>
        </w:rPr>
        <w:t xml:space="preserve">                  "pass":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"qc_inspection":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"provider_gtid":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"SGTX-EG-QC-002"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"quote_id":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"QCQ-001"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"fee": {</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"example": 500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"status":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"PENDING",</w:t>
      </w:r>
    </w:p>
    <w:p>
      <w:pPr>
        <w:spacing w:after="0" w:before="0" w:line="240" w:lineRule="auto"/>
        <w:ind w:left="57"/>
        <w:jc w:val="left"/>
        <w:shd w:val="clear" w:fill="F2F2F2"/>
      </w:pPr>
      <w:r>
        <w:rPr>
          <w:rFonts w:ascii="Consolas" w:hAnsi="Consolas" w:cs="Consolas"/>
          <w:b w:val="0"/>
          <w:i w:val="0"/>
          <w:sz w:val="15"/>
        </w:rPr>
        <w:t xml:space="preserve">                "PAID",</w:t>
      </w:r>
    </w:p>
    <w:p>
      <w:pPr>
        <w:spacing w:after="0" w:before="0" w:line="240" w:lineRule="auto"/>
        <w:ind w:left="57"/>
        <w:jc w:val="left"/>
        <w:shd w:val="clear" w:fill="F2F2F2"/>
      </w:pPr>
      <w:r>
        <w:rPr>
          <w:rFonts w:ascii="Consolas" w:hAnsi="Consolas" w:cs="Consolas"/>
          <w:b w:val="0"/>
          <w:i w:val="0"/>
          <w:sz w:val="15"/>
        </w:rPr>
        <w:t xml:space="preserve">                "CANCELLED"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"PAID"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"report":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"verdict":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"PASS",</w:t>
      </w:r>
    </w:p>
    <w:p>
      <w:pPr>
        <w:spacing w:after="0" w:before="0" w:line="240" w:lineRule="auto"/>
        <w:ind w:left="57"/>
        <w:jc w:val="left"/>
        <w:shd w:val="clear" w:fill="F2F2F2"/>
      </w:pPr>
      <w:r>
        <w:rPr>
          <w:rFonts w:ascii="Consolas" w:hAnsi="Consolas" w:cs="Consolas"/>
          <w:b w:val="0"/>
          <w:i w:val="0"/>
          <w:sz w:val="15"/>
        </w:rPr>
        <w:t xml:space="preserve">                    "FAIL",</w:t>
      </w:r>
    </w:p>
    <w:p>
      <w:pPr>
        <w:spacing w:after="0" w:before="0" w:line="240" w:lineRule="auto"/>
        <w:ind w:left="57"/>
        <w:jc w:val="left"/>
        <w:shd w:val="clear" w:fill="F2F2F2"/>
      </w:pPr>
      <w:r>
        <w:rPr>
          <w:rFonts w:ascii="Consolas" w:hAnsi="Consolas" w:cs="Consolas"/>
          <w:b w:val="0"/>
          <w:i w:val="0"/>
          <w:sz w:val="15"/>
        </w:rPr>
        <w:t xml:space="preserve">                    "CONDITIONAL_PASS"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"defects": {</w:t>
      </w:r>
    </w:p>
    <w:p>
      <w:pPr>
        <w:spacing w:after="0" w:before="0" w:line="240" w:lineRule="auto"/>
        <w:ind w:left="57"/>
        <w:jc w:val="left"/>
        <w:shd w:val="clear" w:fill="F2F2F2"/>
      </w:pPr>
      <w:r>
        <w:rPr>
          <w:rFonts w:ascii="Consolas" w:hAnsi="Consolas" w:cs="Consolas"/>
          <w:b w:val="0"/>
          <w:i w:val="0"/>
          <w:sz w:val="15"/>
        </w:rPr>
        <w:t xml:space="preserve">                  "type": "array",</w:t>
      </w:r>
    </w:p>
    <w:p>
      <w:pPr>
        <w:spacing w:after="0" w:before="0" w:line="240" w:lineRule="auto"/>
        <w:ind w:left="57"/>
        <w:jc w:val="left"/>
        <w:shd w:val="clear" w:fill="F2F2F2"/>
      </w:pPr>
      <w:r>
        <w:rPr>
          <w:rFonts w:ascii="Consolas" w:hAnsi="Consolas" w:cs="Consolas"/>
          <w:b w:val="0"/>
          <w:i w:val="0"/>
          <w:sz w:val="15"/>
        </w:rPr>
        <w:t xml:space="preserve">                  "items":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"pallet_id":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"defect":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"severity":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"ai_confidence":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"inspector_override": {</w:t>
      </w:r>
    </w:p>
    <w:p>
      <w:pPr>
        <w:spacing w:after="0" w:before="0" w:line="240" w:lineRule="auto"/>
        <w:ind w:left="57"/>
        <w:jc w:val="left"/>
        <w:shd w:val="clear" w:fill="F2F2F2"/>
      </w:pPr>
      <w:r>
        <w:rPr>
          <w:rFonts w:ascii="Consolas" w:hAnsi="Consolas" w:cs="Consolas"/>
          <w:b w:val="0"/>
          <w:i w:val="0"/>
          <w:sz w:val="15"/>
        </w:rPr>
        <w:t xml:space="preserve">                        "type": "boolean"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"override_reason":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"blockchain_anchor":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"txid":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"0xabc123..."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"merkle_root":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"sha256:..."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"network":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"enum": [</w:t>
      </w:r>
    </w:p>
    <w:p>
      <w:pPr>
        <w:spacing w:after="0" w:before="0" w:line="240" w:lineRule="auto"/>
        <w:ind w:left="57"/>
        <w:jc w:val="left"/>
        <w:shd w:val="clear" w:fill="F2F2F2"/>
      </w:pPr>
      <w:r>
        <w:rPr>
          <w:rFonts w:ascii="Consolas" w:hAnsi="Consolas" w:cs="Consolas"/>
          <w:b w:val="0"/>
          <w:i w:val="0"/>
          <w:sz w:val="15"/>
        </w:rPr>
        <w:t xml:space="preserve">            "polygon-mainnet",</w:t>
      </w:r>
    </w:p>
    <w:p>
      <w:pPr>
        <w:spacing w:after="0" w:before="0" w:line="240" w:lineRule="auto"/>
        <w:ind w:left="57"/>
        <w:jc w:val="left"/>
        <w:shd w:val="clear" w:fill="F2F2F2"/>
      </w:pPr>
      <w:r>
        <w:rPr>
          <w:rFonts w:ascii="Consolas" w:hAnsi="Consolas" w:cs="Consolas"/>
          <w:b w:val="0"/>
          <w:i w:val="0"/>
          <w:sz w:val="15"/>
        </w:rPr>
        <w:t xml:space="preserve">            "ethereum-mainnet",</w:t>
      </w:r>
    </w:p>
    <w:p>
      <w:pPr>
        <w:spacing w:after="0" w:before="0" w:line="240" w:lineRule="auto"/>
        <w:ind w:left="57"/>
        <w:jc w:val="left"/>
        <w:shd w:val="clear" w:fill="F2F2F2"/>
      </w:pPr>
      <w:r>
        <w:rPr>
          <w:rFonts w:ascii="Consolas" w:hAnsi="Consolas" w:cs="Consolas"/>
          <w:b w:val="0"/>
          <w:i w:val="0"/>
          <w:sz w:val="15"/>
        </w:rPr>
        <w:t xml:space="preserve">            "solana-mainnet"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"example": "polygon-mainnet"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"pqc_signature":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"dilithium3:..."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"anchored_at":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"date-time"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"links":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"trade_command_center":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"uri",</w:t>
      </w:r>
    </w:p>
    <w:p>
      <w:pPr>
        <w:spacing w:after="0" w:before="0" w:line="240" w:lineRule="auto"/>
        <w:ind w:left="57"/>
        <w:jc w:val="left"/>
        <w:shd w:val="clear" w:fill="F2F2F2"/>
      </w:pPr>
      <w:r>
        <w:rPr>
          <w:rFonts w:ascii="Consolas" w:hAnsi="Consolas" w:cs="Consolas"/>
          <w:b w:val="0"/>
          <w:i w:val="0"/>
          <w:sz w:val="15"/>
        </w:rPr>
        <w:t xml:space="preserve">          "example": "https://sgtx.io/trade/SGTX-EG-26-F3A-1"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"export_pdf":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"uri",</w:t>
      </w:r>
    </w:p>
    <w:p>
      <w:pPr>
        <w:spacing w:after="0" w:before="0" w:line="240" w:lineRule="auto"/>
        <w:ind w:left="57"/>
        <w:jc w:val="left"/>
        <w:shd w:val="clear" w:fill="F2F2F2"/>
      </w:pPr>
      <w:r>
        <w:rPr>
          <w:rFonts w:ascii="Consolas" w:hAnsi="Consolas" w:cs="Consolas"/>
          <w:b w:val="0"/>
          <w:i w:val="0"/>
          <w:sz w:val="15"/>
        </w:rPr>
        <w:t xml:space="preserve">          "example": "https://sgtx.io/api/v1/shipment/SGTX-EG-26-F3A-1/pdf"</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"verify":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"uri",</w:t>
      </w:r>
    </w:p>
    <w:p>
      <w:pPr>
        <w:spacing w:after="0" w:before="0" w:line="240" w:lineRule="auto"/>
        <w:ind w:left="57"/>
        <w:jc w:val="left"/>
        <w:shd w:val="clear" w:fill="F2F2F2"/>
      </w:pPr>
      <w:r>
        <w:rPr>
          <w:rFonts w:ascii="Consolas" w:hAnsi="Consolas" w:cs="Consolas"/>
          <w:b w:val="0"/>
          <w:i w:val="0"/>
          <w:sz w:val="15"/>
        </w:rPr>
        <w:t xml:space="preserve">          "example": "https://sgtx.io/verify/ustn/SGTX-EG-26-F3A-1"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"qr_code":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"format": "uri",</w:t>
      </w:r>
    </w:p>
    <w:p>
      <w:pPr>
        <w:spacing w:after="0" w:before="0" w:line="240" w:lineRule="auto"/>
        <w:ind w:left="57"/>
        <w:jc w:val="left"/>
        <w:shd w:val="clear" w:fill="F2F2F2"/>
      </w:pPr>
      <w:r>
        <w:rPr>
          <w:rFonts w:ascii="Consolas" w:hAnsi="Consolas" w:cs="Consolas"/>
          <w:b w:val="0"/>
          <w:i w:val="0"/>
          <w:sz w:val="15"/>
        </w:rPr>
        <w:t xml:space="preserve">          "example": "sgtx://ustn/SGTX-EG-26-F3A-1"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"corridor_data": {</w:t>
      </w:r>
    </w:p>
    <w:p>
      <w:pPr>
        <w:spacing w:after="0" w:before="0" w:line="240" w:lineRule="auto"/>
        <w:ind w:left="57"/>
        <w:jc w:val="left"/>
        <w:shd w:val="clear" w:fill="F2F2F2"/>
      </w:pPr>
      <w:r>
        <w:rPr>
          <w:rFonts w:ascii="Consolas" w:hAnsi="Consolas" w:cs="Consolas"/>
          <w:b w:val="0"/>
          <w:i w:val="0"/>
          <w:sz w:val="15"/>
        </w:rPr>
        <w:t xml:space="preserve">      "type": "object",</w:t>
      </w:r>
    </w:p>
    <w:p>
      <w:pPr>
        <w:spacing w:after="0" w:before="0" w:line="240" w:lineRule="auto"/>
        <w:ind w:left="57"/>
        <w:jc w:val="left"/>
        <w:shd w:val="clear" w:fill="F2F2F2"/>
      </w:pPr>
      <w:r>
        <w:rPr>
          <w:rFonts w:ascii="Consolas" w:hAnsi="Consolas" w:cs="Consolas"/>
          <w:b w:val="0"/>
          <w:i w:val="0"/>
          <w:sz w:val="15"/>
        </w:rPr>
        <w:t xml:space="preserve">      "nullable": true,</w:t>
      </w:r>
    </w:p>
    <w:p>
      <w:pPr>
        <w:spacing w:after="0" w:before="0" w:line="240" w:lineRule="auto"/>
        <w:ind w:left="57"/>
        <w:jc w:val="left"/>
        <w:shd w:val="clear" w:fill="F2F2F2"/>
      </w:pPr>
      <w:r>
        <w:rPr>
          <w:rFonts w:ascii="Consolas" w:hAnsi="Consolas" w:cs="Consolas"/>
          <w:b w:val="0"/>
          <w:i w:val="0"/>
          <w:sz w:val="15"/>
        </w:rPr>
        <w:t xml:space="preserve">      "properties": {</w:t>
      </w:r>
    </w:p>
    <w:p>
      <w:pPr>
        <w:spacing w:after="0" w:before="0" w:line="240" w:lineRule="auto"/>
        <w:ind w:left="57"/>
        <w:jc w:val="left"/>
        <w:shd w:val="clear" w:fill="F2F2F2"/>
      </w:pPr>
      <w:r>
        <w:rPr>
          <w:rFonts w:ascii="Consolas" w:hAnsi="Consolas" w:cs="Consolas"/>
          <w:b w:val="0"/>
          <w:i w:val="0"/>
          <w:sz w:val="15"/>
        </w:rPr>
        <w:t xml:space="preserve">        "corridor_code":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"EGY-ITA-RORO-001"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"corridor_name": {</w:t>
      </w:r>
    </w:p>
    <w:p>
      <w:pPr>
        <w:spacing w:after="0" w:before="0" w:line="240" w:lineRule="auto"/>
        <w:ind w:left="57"/>
        <w:jc w:val="left"/>
        <w:shd w:val="clear" w:fill="F2F2F2"/>
      </w:pPr>
      <w:r>
        <w:rPr>
          <w:rFonts w:ascii="Consolas" w:hAnsi="Consolas" w:cs="Consolas"/>
          <w:b w:val="0"/>
          <w:i w:val="0"/>
          <w:sz w:val="15"/>
        </w:rPr>
        <w:t xml:space="preserve">          "type": "string",</w:t>
      </w:r>
    </w:p>
    <w:p>
      <w:pPr>
        <w:spacing w:after="0" w:before="0" w:line="240" w:lineRule="auto"/>
        <w:ind w:left="57"/>
        <w:jc w:val="left"/>
        <w:shd w:val="clear" w:fill="F2F2F2"/>
      </w:pPr>
      <w:r>
        <w:rPr>
          <w:rFonts w:ascii="Consolas" w:hAnsi="Consolas" w:cs="Consolas"/>
          <w:b w:val="0"/>
          <w:i w:val="0"/>
          <w:sz w:val="15"/>
        </w:rPr>
        <w:t xml:space="preserve">          "example": "Egypt--Italy RoRo Corridor"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"transit_time_days":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"example": 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"eligibility_score": {</w:t>
      </w:r>
    </w:p>
    <w:p>
      <w:pPr>
        <w:spacing w:after="0" w:before="0" w:line="240" w:lineRule="auto"/>
        <w:ind w:left="57"/>
        <w:jc w:val="left"/>
        <w:shd w:val="clear" w:fill="F2F2F2"/>
      </w:pPr>
      <w:r>
        <w:rPr>
          <w:rFonts w:ascii="Consolas" w:hAnsi="Consolas" w:cs="Consolas"/>
          <w:b w:val="0"/>
          <w:i w:val="0"/>
          <w:sz w:val="15"/>
        </w:rPr>
        <w:t xml:space="preserve">          "type": "integer",</w:t>
      </w:r>
    </w:p>
    <w:p>
      <w:pPr>
        <w:spacing w:after="0" w:before="0" w:line="240" w:lineRule="auto"/>
        <w:ind w:left="57"/>
        <w:jc w:val="left"/>
        <w:shd w:val="clear" w:fill="F2F2F2"/>
      </w:pPr>
      <w:r>
        <w:rPr>
          <w:rFonts w:ascii="Consolas" w:hAnsi="Consolas" w:cs="Consolas"/>
          <w:b w:val="0"/>
          <w:i w:val="0"/>
          <w:sz w:val="15"/>
        </w:rPr>
        <w:t xml:space="preserve">          "minimum": 0,</w:t>
      </w:r>
    </w:p>
    <w:p>
      <w:pPr>
        <w:spacing w:after="0" w:before="0" w:line="240" w:lineRule="auto"/>
        <w:ind w:left="57"/>
        <w:jc w:val="left"/>
        <w:shd w:val="clear" w:fill="F2F2F2"/>
      </w:pPr>
      <w:r>
        <w:rPr>
          <w:rFonts w:ascii="Consolas" w:hAnsi="Consolas" w:cs="Consolas"/>
          <w:b w:val="0"/>
          <w:i w:val="0"/>
          <w:sz w:val="15"/>
        </w:rPr>
        <w:t xml:space="preserve">          "maximum": 100,</w:t>
      </w:r>
    </w:p>
    <w:p>
      <w:pPr>
        <w:spacing w:after="0" w:before="0" w:line="240" w:lineRule="auto"/>
        <w:ind w:left="57"/>
        <w:jc w:val="left"/>
        <w:shd w:val="clear" w:fill="F2F2F2"/>
      </w:pPr>
      <w:r>
        <w:rPr>
          <w:rFonts w:ascii="Consolas" w:hAnsi="Consolas" w:cs="Consolas"/>
          <w:b w:val="0"/>
          <w:i w:val="0"/>
          <w:sz w:val="15"/>
        </w:rPr>
        <w:t xml:space="preserve">          "example": 94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Schema summary (field reference):</w:t>
      </w:r>
    </w:p>
    <w:p>
      <w:pPr>
        <w:spacing w:after="80" w:line="293" w:lineRule="auto"/>
        <w:ind w:left="283"/>
        <w:jc w:val="left"/>
      </w:pPr>
      <w:r>
        <w:rPr>
          <w:rFonts w:ascii="Times New Roman" w:hAnsi="Times New Roman" w:cs="Times New Roman"/>
          <w:b w:val="0"/>
          <w:i w:val="0"/>
          <w:sz w:val="22"/>
        </w:rPr>
        <w:t>- `ustn` — string, pattern `^SGTX-[A-Z]{2}-\d{2}-[A-Z0-9]{3,4}-\d+$` (e.g., SGTX-EG-26-F3A-1).</w:t>
      </w:r>
    </w:p>
    <w:p>
      <w:pPr>
        <w:spacing w:after="80" w:line="293" w:lineRule="auto"/>
        <w:ind w:left="283"/>
        <w:jc w:val="left"/>
      </w:pPr>
      <w:r>
        <w:rPr>
          <w:rFonts w:ascii="Times New Roman" w:hAnsi="Times New Roman" w:cs="Times New Roman"/>
          <w:b w:val="0"/>
          <w:i w:val="0"/>
          <w:sz w:val="22"/>
        </w:rPr>
        <w:t>- `ustn_counter` — integer; atomic sequence number per year per trader.</w:t>
      </w:r>
    </w:p>
    <w:p>
      <w:pPr>
        <w:spacing w:after="80" w:line="293" w:lineRule="auto"/>
        <w:ind w:left="283"/>
        <w:jc w:val="left"/>
      </w:pPr>
      <w:r>
        <w:rPr>
          <w:rFonts w:ascii="Times New Roman" w:hAnsi="Times New Roman" w:cs="Times New Roman"/>
          <w:b w:val="0"/>
          <w:i w:val="0"/>
          <w:sz w:val="22"/>
        </w:rPr>
        <w:t>- `trader_id` — string, pattern `^[A-Z0-9]{3,4}$`; short trader identifier from GTID checksum.</w:t>
      </w:r>
    </w:p>
    <w:p>
      <w:pPr>
        <w:spacing w:after="80" w:line="293" w:lineRule="auto"/>
        <w:ind w:left="283"/>
        <w:jc w:val="left"/>
      </w:pPr>
      <w:r>
        <w:rPr>
          <w:rFonts w:ascii="Times New Roman" w:hAnsi="Times New Roman" w:cs="Times New Roman"/>
          <w:b w:val="0"/>
          <w:i w:val="0"/>
          <w:sz w:val="22"/>
        </w:rPr>
        <w:t>- `created_at` / `updated_at` — date-time; generation timestamp and last update.</w:t>
      </w:r>
    </w:p>
    <w:p>
      <w:pPr>
        <w:spacing w:after="80" w:line="293" w:lineRule="auto"/>
        <w:ind w:left="283"/>
        <w:jc w:val="left"/>
      </w:pPr>
      <w:r>
        <w:rPr>
          <w:rFonts w:ascii="Times New Roman" w:hAnsi="Times New Roman" w:cs="Times New Roman"/>
          <w:b w:val="0"/>
          <w:i w:val="0"/>
          <w:sz w:val="22"/>
        </w:rPr>
        <w:t>- `status` — enum (16): INITIATED, STAGE1_PENDING, STAGE1_SETTLED, CUSTOMS_SUBMITTED, BOOKED, LOADED, DEPARTED, IN_TRANSIT, ARRIVED, CUSTOMS_IMPORT, DELIVERED, SETTLED, COMPLETED, DISPUTED, DISTRESSED, CANCELLED.</w:t>
      </w:r>
    </w:p>
    <w:p>
      <w:pPr>
        <w:spacing w:after="80" w:line="293" w:lineRule="auto"/>
        <w:ind w:left="283"/>
        <w:jc w:val="left"/>
      </w:pPr>
      <w:r>
        <w:rPr>
          <w:rFonts w:ascii="Times New Roman" w:hAnsi="Times New Roman" w:cs="Times New Roman"/>
          <w:b w:val="0"/>
          <w:i w:val="0"/>
          <w:sz w:val="22"/>
        </w:rPr>
        <w:t>- `risk_assessment` — `platform_risk_score` (integer 0–100); `gnn_risk` (`sanctions_proximity` integer (minimum hops to a sanctioned entity), `graph_risk_score` integer 0–100, `explanation` string); `causal_analysis` (object, nullable).</w:t>
      </w:r>
    </w:p>
    <w:p>
      <w:pPr>
        <w:spacing w:after="80" w:line="293" w:lineRule="auto"/>
        <w:ind w:left="283"/>
        <w:jc w:val="left"/>
      </w:pPr>
      <w:r>
        <w:rPr>
          <w:rFonts w:ascii="Times New Roman" w:hAnsi="Times New Roman" w:cs="Times New Roman"/>
          <w:b w:val="0"/>
          <w:i w:val="0"/>
          <w:sz w:val="22"/>
        </w:rPr>
        <w:t>- `parties` — `exporter` and `importer` (each requires gtid, trader_id, legal_name, jurisdiction; gtid pattern `^SGTX-[A-Z]{2}-[A-Z]{3,4}-\d{6}-[A-Z0-9]{4}$`; trust_score integer 0–1000; jurisdiction pattern `^[A-Z]{2}$`); `additional_parties` array of {type (LSP/SHIP/LAB/CBR), gtid, trader_id, legal_name, role (trucking/shipping_line/laboratory/customs_broker)}.</w:t>
      </w:r>
    </w:p>
    <w:p>
      <w:pPr>
        <w:spacing w:after="80" w:line="293" w:lineRule="auto"/>
        <w:ind w:left="283"/>
        <w:jc w:val="left"/>
      </w:pPr>
      <w:r>
        <w:rPr>
          <w:rFonts w:ascii="Times New Roman" w:hAnsi="Times New Roman" w:cs="Times New Roman"/>
          <w:b w:val="0"/>
          <w:i w:val="0"/>
          <w:sz w:val="22"/>
        </w:rPr>
        <w:t>- `goods` — hs_code, description, net_weight_kg, gross_weight_kg, invoice_value {amount, currency}, incoterm, container_count, container_numbers[], quantity_tolerance, partial_shipment_allowed (bool), transshipment_allowed (bool).</w:t>
      </w:r>
    </w:p>
    <w:p>
      <w:pPr>
        <w:spacing w:after="80" w:line="293" w:lineRule="auto"/>
        <w:ind w:left="283"/>
        <w:jc w:val="left"/>
      </w:pPr>
      <w:r>
        <w:rPr>
          <w:rFonts w:ascii="Times New Roman" w:hAnsi="Times New Roman" w:cs="Times New Roman"/>
          <w:b w:val="0"/>
          <w:i w:val="0"/>
          <w:sz w:val="22"/>
        </w:rPr>
        <w:t>- `documents` — eta_invoice_uuid, acid, nafeza_declaration_id, phyto_certificate, health_certificate, certificate_of_origin, bill_of_lading {number, type, issuer, issued_at, url}, packing_list_hash, qc_report {provider, verdict, overrides, report_url}, insurance_certificate.</w:t>
      </w:r>
    </w:p>
    <w:p>
      <w:pPr>
        <w:spacing w:after="80" w:line="293" w:lineRule="auto"/>
        <w:ind w:left="283"/>
        <w:jc w:val="left"/>
      </w:pPr>
      <w:r>
        <w:rPr>
          <w:rFonts w:ascii="Times New Roman" w:hAnsi="Times New Roman" w:cs="Times New Roman"/>
          <w:b w:val="0"/>
          <w:i w:val="0"/>
          <w:sz w:val="22"/>
        </w:rPr>
        <w:t>- `logistics` — trucking {provider_gtid, provider_name, quote_id, fee, status}; shipping_line {provider_gtid, provider_name, booking_ref, vessel, voyage, etd, actual_departure, actual_arrival, freight_invoice {amount, status, due_date}}; customs_broker {certification {quote_id, fee, status, certified_at}, physical_handling (nullable), storage (nullable)}; warehousing {provider_gtid, provider_name, location, fee, status}.</w:t>
      </w:r>
    </w:p>
    <w:p>
      <w:pPr>
        <w:spacing w:after="80" w:line="293" w:lineRule="auto"/>
        <w:ind w:left="283"/>
        <w:jc w:val="left"/>
      </w:pPr>
      <w:r>
        <w:rPr>
          <w:rFonts w:ascii="Times New Roman" w:hAnsi="Times New Roman" w:cs="Times New Roman"/>
          <w:b w:val="0"/>
          <w:i w:val="0"/>
          <w:sz w:val="22"/>
        </w:rPr>
        <w:t>- `payment_plan` — stage1 {status, settled_at, transactions[] {payee, amount, currency}}; stage2 {status, transactions[] {payee, amount, currency, condition, due_date}}; deferred {status, guarantee_amount, trigger_milestone, expiry_date}; financing {agreement_id, amount, apr, status}.</w:t>
      </w:r>
    </w:p>
    <w:p>
      <w:pPr>
        <w:spacing w:after="80" w:line="293" w:lineRule="auto"/>
        <w:ind w:left="283"/>
        <w:jc w:val="left"/>
      </w:pPr>
      <w:r>
        <w:rPr>
          <w:rFonts w:ascii="Times New Roman" w:hAnsi="Times New Roman" w:cs="Times New Roman"/>
          <w:b w:val="0"/>
          <w:i w:val="0"/>
          <w:sz w:val="22"/>
        </w:rPr>
        <w:t>- `timeline` — array; each item requires [timestamp, event, actor]; optional details (object), governor_decision_id (uuid), loom_hash (pattern `^sha256:[a-f0-9]{64}$`).</w:t>
      </w:r>
    </w:p>
    <w:p>
      <w:pPr>
        <w:spacing w:after="80" w:line="293" w:lineRule="auto"/>
        <w:ind w:left="283"/>
        <w:jc w:val="left"/>
      </w:pPr>
      <w:r>
        <w:rPr>
          <w:rFonts w:ascii="Times New Roman" w:hAnsi="Times New Roman" w:cs="Times New Roman"/>
          <w:b w:val="0"/>
          <w:i w:val="0"/>
          <w:sz w:val="22"/>
        </w:rPr>
        <w:t>- `optional_services` — laboratory {provider_gtid, quote_id, fee, status (PENDING/PAID/CANCELLED), results: map of test → {value, limit, pass}}; qc_inspection {provider_gtid, quote_id, fee, status, report {verdict (PASS/FAIL/CONDITIONAL_PASS), defects[] {pallet_id, defect, severity, ai_confidence, inspector_override, override_reason}}}.</w:t>
      </w:r>
    </w:p>
    <w:p>
      <w:pPr>
        <w:spacing w:after="80" w:line="293" w:lineRule="auto"/>
        <w:ind w:left="283"/>
        <w:jc w:val="left"/>
      </w:pPr>
      <w:r>
        <w:rPr>
          <w:rFonts w:ascii="Times New Roman" w:hAnsi="Times New Roman" w:cs="Times New Roman"/>
          <w:b w:val="0"/>
          <w:i w:val="0"/>
          <w:sz w:val="22"/>
        </w:rPr>
        <w:t>- `blockchain_anchor` — txid, merkle_root, network (enum: polygon-mainnet | ethereum-mainnet | solana-mainnet), pqc_signature (e.g., dilithium3:...), anchored_at.</w:t>
      </w:r>
    </w:p>
    <w:p>
      <w:pPr>
        <w:spacing w:after="80" w:line="293" w:lineRule="auto"/>
        <w:ind w:left="283"/>
        <w:jc w:val="left"/>
      </w:pPr>
      <w:r>
        <w:rPr>
          <w:rFonts w:ascii="Times New Roman" w:hAnsi="Times New Roman" w:cs="Times New Roman"/>
          <w:b w:val="0"/>
          <w:i w:val="0"/>
          <w:sz w:val="22"/>
        </w:rPr>
        <w:t>- `links` — trade_command_center (uri), export_pdf (uri), verify (uri), qr_code (uri, e.g., sgtx://ustn/SGTX-EG-26-F3A-1).</w:t>
      </w:r>
    </w:p>
    <w:p>
      <w:pPr>
        <w:spacing w:after="80" w:line="293" w:lineRule="auto"/>
        <w:ind w:left="283"/>
        <w:jc w:val="left"/>
      </w:pPr>
      <w:r>
        <w:rPr>
          <w:rFonts w:ascii="Times New Roman" w:hAnsi="Times New Roman" w:cs="Times New Roman"/>
          <w:b w:val="0"/>
          <w:i w:val="0"/>
          <w:sz w:val="22"/>
        </w:rPr>
        <w:t>- `corridor_data` — object, nullable: corridor_code (e.g., EGY-ITA-RORO-001), corridor_name (e.g., Egypt–Italy RoRo Corridor), transit_time_days, eligibility_score (0–100).</w:t>
      </w:r>
    </w:p>
    <w:p>
      <w:pPr>
        <w:keepNext/>
        <w:spacing w:before="180" w:after="80"/>
        <w:outlineLvl w:val="2"/>
      </w:pPr>
      <w:r>
        <w:rPr>
          <w:rFonts w:ascii="Arial" w:hAnsi="Arial" w:cs="Arial"/>
          <w:b/>
          <w:i w:val="0"/>
          <w:color w:val="333333"/>
          <w:sz w:val="23"/>
        </w:rPr>
        <w:t>5.3.3 Example USTN Master Object (Populated)</w:t>
      </w:r>
    </w:p>
    <w:p>
      <w:pPr>
        <w:spacing w:after="80" w:line="293" w:lineRule="auto"/>
        <w:jc w:val="left"/>
      </w:pPr>
      <w:r>
        <w:rPr>
          <w:rFonts w:ascii="Times New Roman" w:hAnsi="Times New Roman" w:cs="Times New Roman"/>
          <w:b w:val="0"/>
          <w:i w:val="0"/>
          <w:sz w:val="22"/>
        </w:rPr>
        <w:t>Here is a fully populated example of a USTN master object for a real trade (frozen strawberries, IQF, Grade A; status DELIVERED; exporter Strawberry Export Co. (EG, trust 92), importer European Importer GmbH (DE, trust 88); additional parties LSP/SHIP/LAB/CBR; 2 containers MEDU1234567-8; CFR incoterm; Stage 1 settled across 5 payees; Stage 2 pending (MSC 4200.00 on CREDIT terms); deferred guarantee held of 10000.00 with trigger milestone CUSTOMS_IMPORT; 15 timeline events from TRADE_INITIATED (2026-04-15T09:00) to SETTLED (2026-05-07T10:00); QC verdict CONDITIONAL_PASS with 2 defect records (OR019 mould/medium/ai_confidence 92; OR020 bruising/low/ai_confidence 88 with inspector override); blockchain anchor on polygon-mainnet with dilithium3 post-quantum signature; corridor data for the Egypt–Italy RoRo Corridor).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"ustn_counter": 1,</w:t>
      </w:r>
    </w:p>
    <w:p>
      <w:pPr>
        <w:spacing w:after="0" w:before="0" w:line="240" w:lineRule="auto"/>
        <w:ind w:left="57"/>
        <w:jc w:val="left"/>
        <w:shd w:val="clear" w:fill="F2F2F2"/>
      </w:pPr>
      <w:r>
        <w:rPr>
          <w:rFonts w:ascii="Consolas" w:hAnsi="Consolas" w:cs="Consolas"/>
          <w:b w:val="0"/>
          <w:i w:val="0"/>
          <w:sz w:val="15"/>
        </w:rPr>
        <w:t xml:space="preserve">  "trader_id": "F3A",</w:t>
      </w:r>
    </w:p>
    <w:p>
      <w:pPr>
        <w:spacing w:after="0" w:before="0" w:line="240" w:lineRule="auto"/>
        <w:ind w:left="57"/>
        <w:jc w:val="left"/>
        <w:shd w:val="clear" w:fill="F2F2F2"/>
      </w:pPr>
      <w:r>
        <w:rPr>
          <w:rFonts w:ascii="Consolas" w:hAnsi="Consolas" w:cs="Consolas"/>
          <w:b w:val="0"/>
          <w:i w:val="0"/>
          <w:sz w:val="15"/>
        </w:rPr>
        <w:t xml:space="preserve">  "created_at": "2026-04-15T12:00:00Z",</w:t>
      </w:r>
    </w:p>
    <w:p>
      <w:pPr>
        <w:spacing w:after="0" w:before="0" w:line="240" w:lineRule="auto"/>
        <w:ind w:left="57"/>
        <w:jc w:val="left"/>
        <w:shd w:val="clear" w:fill="F2F2F2"/>
      </w:pPr>
      <w:r>
        <w:rPr>
          <w:rFonts w:ascii="Consolas" w:hAnsi="Consolas" w:cs="Consolas"/>
          <w:b w:val="0"/>
          <w:i w:val="0"/>
          <w:sz w:val="15"/>
        </w:rPr>
        <w:t xml:space="preserve">  "updated_at": "2026-06-07T10:00:00Z",</w:t>
      </w:r>
    </w:p>
    <w:p>
      <w:pPr>
        <w:spacing w:after="0" w:before="0" w:line="240" w:lineRule="auto"/>
        <w:ind w:left="57"/>
        <w:jc w:val="left"/>
        <w:shd w:val="clear" w:fill="F2F2F2"/>
      </w:pPr>
      <w:r>
        <w:rPr>
          <w:rFonts w:ascii="Consolas" w:hAnsi="Consolas" w:cs="Consolas"/>
          <w:b w:val="0"/>
          <w:i w:val="0"/>
          <w:sz w:val="15"/>
        </w:rPr>
        <w:t xml:space="preserve">  "status": "DELIVERED",</w:t>
      </w:r>
    </w:p>
    <w:p>
      <w:pPr>
        <w:spacing w:after="0" w:before="0" w:line="240" w:lineRule="auto"/>
        <w:ind w:left="57"/>
        <w:jc w:val="left"/>
        <w:shd w:val="clear" w:fill="F2F2F2"/>
      </w:pPr>
      <w:r>
        <w:rPr>
          <w:rFonts w:ascii="Consolas" w:hAnsi="Consolas" w:cs="Consolas"/>
          <w:b w:val="0"/>
          <w:i w:val="0"/>
          <w:sz w:val="15"/>
        </w:rPr>
        <w:t xml:space="preserve">  "risk_assessment": {</w:t>
      </w:r>
    </w:p>
    <w:p>
      <w:pPr>
        <w:spacing w:after="0" w:before="0" w:line="240" w:lineRule="auto"/>
        <w:ind w:left="57"/>
        <w:jc w:val="left"/>
        <w:shd w:val="clear" w:fill="F2F2F2"/>
      </w:pPr>
      <w:r>
        <w:rPr>
          <w:rFonts w:ascii="Consolas" w:hAnsi="Consolas" w:cs="Consolas"/>
          <w:b w:val="0"/>
          <w:i w:val="0"/>
          <w:sz w:val="15"/>
        </w:rPr>
        <w:t xml:space="preserve">    "platform_risk_score": 12,</w:t>
      </w:r>
    </w:p>
    <w:p>
      <w:pPr>
        <w:spacing w:after="0" w:before="0" w:line="240" w:lineRule="auto"/>
        <w:ind w:left="57"/>
        <w:jc w:val="left"/>
        <w:shd w:val="clear" w:fill="F2F2F2"/>
      </w:pPr>
      <w:r>
        <w:rPr>
          <w:rFonts w:ascii="Consolas" w:hAnsi="Consolas" w:cs="Consolas"/>
          <w:b w:val="0"/>
          <w:i w:val="0"/>
          <w:sz w:val="15"/>
        </w:rPr>
        <w:t xml:space="preserve">    "gnn_risk": {</w:t>
      </w:r>
    </w:p>
    <w:p>
      <w:pPr>
        <w:spacing w:after="0" w:before="0" w:line="240" w:lineRule="auto"/>
        <w:ind w:left="57"/>
        <w:jc w:val="left"/>
        <w:shd w:val="clear" w:fill="F2F2F2"/>
      </w:pPr>
      <w:r>
        <w:rPr>
          <w:rFonts w:ascii="Consolas" w:hAnsi="Consolas" w:cs="Consolas"/>
          <w:b w:val="0"/>
          <w:i w:val="0"/>
          <w:sz w:val="15"/>
        </w:rPr>
        <w:t xml:space="preserve">      "sanctions_proximity": 4,</w:t>
      </w:r>
    </w:p>
    <w:p>
      <w:pPr>
        <w:spacing w:after="0" w:before="0" w:line="240" w:lineRule="auto"/>
        <w:ind w:left="57"/>
        <w:jc w:val="left"/>
        <w:shd w:val="clear" w:fill="F2F2F2"/>
      </w:pPr>
      <w:r>
        <w:rPr>
          <w:rFonts w:ascii="Consolas" w:hAnsi="Consolas" w:cs="Consolas"/>
          <w:b w:val="0"/>
          <w:i w:val="0"/>
          <w:sz w:val="15"/>
        </w:rPr>
        <w:t xml:space="preserve">      "graph_risk_score": 8,</w:t>
      </w:r>
    </w:p>
    <w:p>
      <w:pPr>
        <w:spacing w:after="0" w:before="0" w:line="240" w:lineRule="auto"/>
        <w:ind w:left="57"/>
        <w:jc w:val="left"/>
        <w:shd w:val="clear" w:fill="F2F2F2"/>
      </w:pPr>
      <w:r>
        <w:rPr>
          <w:rFonts w:ascii="Consolas" w:hAnsi="Consolas" w:cs="Consolas"/>
          <w:b w:val="0"/>
          <w:i w:val="0"/>
          <w:sz w:val="15"/>
        </w:rPr>
        <w:t xml:space="preserve">      "explanation": "No indirect sanctions links detected within 2 hops."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"causal_analysis":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"parties": {</w:t>
      </w:r>
    </w:p>
    <w:p>
      <w:pPr>
        <w:spacing w:after="0" w:before="0" w:line="240" w:lineRule="auto"/>
        <w:ind w:left="57"/>
        <w:jc w:val="left"/>
        <w:shd w:val="clear" w:fill="F2F2F2"/>
      </w:pPr>
      <w:r>
        <w:rPr>
          <w:rFonts w:ascii="Consolas" w:hAnsi="Consolas" w:cs="Consolas"/>
          <w:b w:val="0"/>
          <w:i w:val="0"/>
          <w:sz w:val="15"/>
        </w:rPr>
        <w:t xml:space="preserve">    "exporter": {</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"trader_id": "F3A",</w:t>
      </w:r>
    </w:p>
    <w:p>
      <w:pPr>
        <w:spacing w:after="0" w:before="0" w:line="240" w:lineRule="auto"/>
        <w:ind w:left="57"/>
        <w:jc w:val="left"/>
        <w:shd w:val="clear" w:fill="F2F2F2"/>
      </w:pPr>
      <w:r>
        <w:rPr>
          <w:rFonts w:ascii="Consolas" w:hAnsi="Consolas" w:cs="Consolas"/>
          <w:b w:val="0"/>
          <w:i w:val="0"/>
          <w:sz w:val="15"/>
        </w:rPr>
        <w:t xml:space="preserve">      "legal_name": "Strawberry Export Co.",</w:t>
      </w:r>
    </w:p>
    <w:p>
      <w:pPr>
        <w:spacing w:after="0" w:before="0" w:line="240" w:lineRule="auto"/>
        <w:ind w:left="57"/>
        <w:jc w:val="left"/>
        <w:shd w:val="clear" w:fill="F2F2F2"/>
      </w:pPr>
      <w:r>
        <w:rPr>
          <w:rFonts w:ascii="Consolas" w:hAnsi="Consolas" w:cs="Consolas"/>
          <w:b w:val="0"/>
          <w:i w:val="0"/>
          <w:sz w:val="15"/>
        </w:rPr>
        <w:t xml:space="preserve">      "trust_score": 92,</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"importer": {</w:t>
      </w:r>
    </w:p>
    <w:p>
      <w:pPr>
        <w:spacing w:after="0" w:before="0" w:line="240" w:lineRule="auto"/>
        <w:ind w:left="57"/>
        <w:jc w:val="left"/>
        <w:shd w:val="clear" w:fill="F2F2F2"/>
      </w:pPr>
      <w:r>
        <w:rPr>
          <w:rFonts w:ascii="Consolas" w:hAnsi="Consolas" w:cs="Consolas"/>
          <w:b w:val="0"/>
          <w:i w:val="0"/>
          <w:sz w:val="15"/>
        </w:rPr>
        <w:t xml:space="preserve">      "gtid": "SGTX-DE-TRD-001234-5B6C",</w:t>
      </w:r>
    </w:p>
    <w:p>
      <w:pPr>
        <w:spacing w:after="0" w:before="0" w:line="240" w:lineRule="auto"/>
        <w:ind w:left="57"/>
        <w:jc w:val="left"/>
        <w:shd w:val="clear" w:fill="F2F2F2"/>
      </w:pPr>
      <w:r>
        <w:rPr>
          <w:rFonts w:ascii="Consolas" w:hAnsi="Consolas" w:cs="Consolas"/>
          <w:b w:val="0"/>
          <w:i w:val="0"/>
          <w:sz w:val="15"/>
        </w:rPr>
        <w:t xml:space="preserve">      "trader_id": "5B6C",</w:t>
      </w:r>
    </w:p>
    <w:p>
      <w:pPr>
        <w:spacing w:after="0" w:before="0" w:line="240" w:lineRule="auto"/>
        <w:ind w:left="57"/>
        <w:jc w:val="left"/>
        <w:shd w:val="clear" w:fill="F2F2F2"/>
      </w:pPr>
      <w:r>
        <w:rPr>
          <w:rFonts w:ascii="Consolas" w:hAnsi="Consolas" w:cs="Consolas"/>
          <w:b w:val="0"/>
          <w:i w:val="0"/>
          <w:sz w:val="15"/>
        </w:rPr>
        <w:t xml:space="preserve">      "legal_name": "European Importer GmbH",</w:t>
      </w:r>
    </w:p>
    <w:p>
      <w:pPr>
        <w:spacing w:after="0" w:before="0" w:line="240" w:lineRule="auto"/>
        <w:ind w:left="57"/>
        <w:jc w:val="left"/>
        <w:shd w:val="clear" w:fill="F2F2F2"/>
      </w:pPr>
      <w:r>
        <w:rPr>
          <w:rFonts w:ascii="Consolas" w:hAnsi="Consolas" w:cs="Consolas"/>
          <w:b w:val="0"/>
          <w:i w:val="0"/>
          <w:sz w:val="15"/>
        </w:rPr>
        <w:t xml:space="preserve">      "trust_score": 88,</w:t>
      </w:r>
    </w:p>
    <w:p>
      <w:pPr>
        <w:spacing w:after="0" w:before="0" w:line="240" w:lineRule="auto"/>
        <w:ind w:left="57"/>
        <w:jc w:val="left"/>
        <w:shd w:val="clear" w:fill="F2F2F2"/>
      </w:pPr>
      <w:r>
        <w:rPr>
          <w:rFonts w:ascii="Consolas" w:hAnsi="Consolas" w:cs="Consolas"/>
          <w:b w:val="0"/>
          <w:i w:val="0"/>
          <w:sz w:val="15"/>
        </w:rPr>
        <w:t xml:space="preserve">      "jurisdiction": "DE"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"additional_parties":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"LSP",</w:t>
      </w:r>
    </w:p>
    <w:p>
      <w:pPr>
        <w:spacing w:after="0" w:before="0" w:line="240" w:lineRule="auto"/>
        <w:ind w:left="57"/>
        <w:jc w:val="left"/>
        <w:shd w:val="clear" w:fill="F2F2F2"/>
      </w:pPr>
      <w:r>
        <w:rPr>
          <w:rFonts w:ascii="Consolas" w:hAnsi="Consolas" w:cs="Consolas"/>
          <w:b w:val="0"/>
          <w:i w:val="0"/>
          <w:sz w:val="15"/>
        </w:rPr>
        <w:t xml:space="preserve">        "gtid": "SGTX-EG-LSP-001",</w:t>
      </w:r>
    </w:p>
    <w:p>
      <w:pPr>
        <w:spacing w:after="0" w:before="0" w:line="240" w:lineRule="auto"/>
        <w:ind w:left="57"/>
        <w:jc w:val="left"/>
        <w:shd w:val="clear" w:fill="F2F2F2"/>
      </w:pPr>
      <w:r>
        <w:rPr>
          <w:rFonts w:ascii="Consolas" w:hAnsi="Consolas" w:cs="Consolas"/>
          <w:b w:val="0"/>
          <w:i w:val="0"/>
          <w:sz w:val="15"/>
        </w:rPr>
        <w:t xml:space="preserve">        "trader_id": "9D2E",</w:t>
      </w:r>
    </w:p>
    <w:p>
      <w:pPr>
        <w:spacing w:after="0" w:before="0" w:line="240" w:lineRule="auto"/>
        <w:ind w:left="57"/>
        <w:jc w:val="left"/>
        <w:shd w:val="clear" w:fill="F2F2F2"/>
      </w:pPr>
      <w:r>
        <w:rPr>
          <w:rFonts w:ascii="Consolas" w:hAnsi="Consolas" w:cs="Consolas"/>
          <w:b w:val="0"/>
          <w:i w:val="0"/>
          <w:sz w:val="15"/>
        </w:rPr>
        <w:t xml:space="preserve">        "legal_name": "Fast Trucking Co.",</w:t>
      </w:r>
    </w:p>
    <w:p>
      <w:pPr>
        <w:spacing w:after="0" w:before="0" w:line="240" w:lineRule="auto"/>
        <w:ind w:left="57"/>
        <w:jc w:val="left"/>
        <w:shd w:val="clear" w:fill="F2F2F2"/>
      </w:pPr>
      <w:r>
        <w:rPr>
          <w:rFonts w:ascii="Consolas" w:hAnsi="Consolas" w:cs="Consolas"/>
          <w:b w:val="0"/>
          <w:i w:val="0"/>
          <w:sz w:val="15"/>
        </w:rPr>
        <w:t xml:space="preserve">        "role": "trucking"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"SHIP",</w:t>
      </w:r>
    </w:p>
    <w:p>
      <w:pPr>
        <w:spacing w:after="0" w:before="0" w:line="240" w:lineRule="auto"/>
        <w:ind w:left="57"/>
        <w:jc w:val="left"/>
        <w:shd w:val="clear" w:fill="F2F2F2"/>
      </w:pPr>
      <w:r>
        <w:rPr>
          <w:rFonts w:ascii="Consolas" w:hAnsi="Consolas" w:cs="Consolas"/>
          <w:b w:val="0"/>
          <w:i w:val="0"/>
          <w:sz w:val="15"/>
        </w:rPr>
        <w:t xml:space="preserve">        "gtid": "SGTX-EG-SHIP-001",</w:t>
      </w:r>
    </w:p>
    <w:p>
      <w:pPr>
        <w:spacing w:after="0" w:before="0" w:line="240" w:lineRule="auto"/>
        <w:ind w:left="57"/>
        <w:jc w:val="left"/>
        <w:shd w:val="clear" w:fill="F2F2F2"/>
      </w:pPr>
      <w:r>
        <w:rPr>
          <w:rFonts w:ascii="Consolas" w:hAnsi="Consolas" w:cs="Consolas"/>
          <w:b w:val="0"/>
          <w:i w:val="0"/>
          <w:sz w:val="15"/>
        </w:rPr>
        <w:t xml:space="preserve">        "trader_id": "4F1G",</w:t>
      </w:r>
    </w:p>
    <w:p>
      <w:pPr>
        <w:spacing w:after="0" w:before="0" w:line="240" w:lineRule="auto"/>
        <w:ind w:left="57"/>
        <w:jc w:val="left"/>
        <w:shd w:val="clear" w:fill="F2F2F2"/>
      </w:pPr>
      <w:r>
        <w:rPr>
          <w:rFonts w:ascii="Consolas" w:hAnsi="Consolas" w:cs="Consolas"/>
          <w:b w:val="0"/>
          <w:i w:val="0"/>
          <w:sz w:val="15"/>
        </w:rPr>
        <w:t xml:space="preserve">        "legal_name": "MSC Egypt",</w:t>
      </w:r>
    </w:p>
    <w:p>
      <w:pPr>
        <w:spacing w:after="0" w:before="0" w:line="240" w:lineRule="auto"/>
        <w:ind w:left="57"/>
        <w:jc w:val="left"/>
        <w:shd w:val="clear" w:fill="F2F2F2"/>
      </w:pPr>
      <w:r>
        <w:rPr>
          <w:rFonts w:ascii="Consolas" w:hAnsi="Consolas" w:cs="Consolas"/>
          <w:b w:val="0"/>
          <w:i w:val="0"/>
          <w:sz w:val="15"/>
        </w:rPr>
        <w:t xml:space="preserve">        "role": "shipping_line"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"LAB",</w:t>
      </w:r>
    </w:p>
    <w:p>
      <w:pPr>
        <w:spacing w:after="0" w:before="0" w:line="240" w:lineRule="auto"/>
        <w:ind w:left="57"/>
        <w:jc w:val="left"/>
        <w:shd w:val="clear" w:fill="F2F2F2"/>
      </w:pPr>
      <w:r>
        <w:rPr>
          <w:rFonts w:ascii="Consolas" w:hAnsi="Consolas" w:cs="Consolas"/>
          <w:b w:val="0"/>
          <w:i w:val="0"/>
          <w:sz w:val="15"/>
        </w:rPr>
        <w:t xml:space="preserve">        "gtid": "SGTX-EG-LAB-001",</w:t>
      </w:r>
    </w:p>
    <w:p>
      <w:pPr>
        <w:spacing w:after="0" w:before="0" w:line="240" w:lineRule="auto"/>
        <w:ind w:left="57"/>
        <w:jc w:val="left"/>
        <w:shd w:val="clear" w:fill="F2F2F2"/>
      </w:pPr>
      <w:r>
        <w:rPr>
          <w:rFonts w:ascii="Consolas" w:hAnsi="Consolas" w:cs="Consolas"/>
          <w:b w:val="0"/>
          <w:i w:val="0"/>
          <w:sz w:val="15"/>
        </w:rPr>
        <w:t xml:space="preserve">        "trader_id": "2H7K",</w:t>
      </w:r>
    </w:p>
    <w:p>
      <w:pPr>
        <w:spacing w:after="0" w:before="0" w:line="240" w:lineRule="auto"/>
        <w:ind w:left="57"/>
        <w:jc w:val="left"/>
        <w:shd w:val="clear" w:fill="F2F2F2"/>
      </w:pPr>
      <w:r>
        <w:rPr>
          <w:rFonts w:ascii="Consolas" w:hAnsi="Consolas" w:cs="Consolas"/>
          <w:b w:val="0"/>
          <w:i w:val="0"/>
          <w:sz w:val="15"/>
        </w:rPr>
        <w:t xml:space="preserve">        "legal_name": "SGS Egypt",</w:t>
      </w:r>
    </w:p>
    <w:p>
      <w:pPr>
        <w:spacing w:after="0" w:before="0" w:line="240" w:lineRule="auto"/>
        <w:ind w:left="57"/>
        <w:jc w:val="left"/>
        <w:shd w:val="clear" w:fill="F2F2F2"/>
      </w:pPr>
      <w:r>
        <w:rPr>
          <w:rFonts w:ascii="Consolas" w:hAnsi="Consolas" w:cs="Consolas"/>
          <w:b w:val="0"/>
          <w:i w:val="0"/>
          <w:sz w:val="15"/>
        </w:rPr>
        <w:t xml:space="preserve">        "role": "laboratory"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"CBR",</w:t>
      </w:r>
    </w:p>
    <w:p>
      <w:pPr>
        <w:spacing w:after="0" w:before="0" w:line="240" w:lineRule="auto"/>
        <w:ind w:left="57"/>
        <w:jc w:val="left"/>
        <w:shd w:val="clear" w:fill="F2F2F2"/>
      </w:pPr>
      <w:r>
        <w:rPr>
          <w:rFonts w:ascii="Consolas" w:hAnsi="Consolas" w:cs="Consolas"/>
          <w:b w:val="0"/>
          <w:i w:val="0"/>
          <w:sz w:val="15"/>
        </w:rPr>
        <w:t xml:space="preserve">        "gtid": "SGTX-EG-CBR-001",</w:t>
      </w:r>
    </w:p>
    <w:p>
      <w:pPr>
        <w:spacing w:after="0" w:before="0" w:line="240" w:lineRule="auto"/>
        <w:ind w:left="57"/>
        <w:jc w:val="left"/>
        <w:shd w:val="clear" w:fill="F2F2F2"/>
      </w:pPr>
      <w:r>
        <w:rPr>
          <w:rFonts w:ascii="Consolas" w:hAnsi="Consolas" w:cs="Consolas"/>
          <w:b w:val="0"/>
          <w:i w:val="0"/>
          <w:sz w:val="15"/>
        </w:rPr>
        <w:t xml:space="preserve">        "trader_id": "8M3T",</w:t>
      </w:r>
    </w:p>
    <w:p>
      <w:pPr>
        <w:spacing w:after="0" w:before="0" w:line="240" w:lineRule="auto"/>
        <w:ind w:left="57"/>
        <w:jc w:val="left"/>
        <w:shd w:val="clear" w:fill="F2F2F2"/>
      </w:pPr>
      <w:r>
        <w:rPr>
          <w:rFonts w:ascii="Consolas" w:hAnsi="Consolas" w:cs="Consolas"/>
          <w:b w:val="0"/>
          <w:i w:val="0"/>
          <w:sz w:val="15"/>
        </w:rPr>
        <w:t xml:space="preserve">        "legal_name": "Nile Customs Services",</w:t>
      </w:r>
    </w:p>
    <w:p>
      <w:pPr>
        <w:spacing w:after="0" w:before="0" w:line="240" w:lineRule="auto"/>
        <w:ind w:left="57"/>
        <w:jc w:val="left"/>
        <w:shd w:val="clear" w:fill="F2F2F2"/>
      </w:pPr>
      <w:r>
        <w:rPr>
          <w:rFonts w:ascii="Consolas" w:hAnsi="Consolas" w:cs="Consolas"/>
          <w:b w:val="0"/>
          <w:i w:val="0"/>
          <w:sz w:val="15"/>
        </w:rPr>
        <w:t xml:space="preserve">        "role": "customs_broker"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"goods": {</w:t>
      </w:r>
    </w:p>
    <w:p>
      <w:pPr>
        <w:spacing w:after="0" w:before="0" w:line="240" w:lineRule="auto"/>
        <w:ind w:left="57"/>
        <w:jc w:val="left"/>
        <w:shd w:val="clear" w:fill="F2F2F2"/>
      </w:pPr>
      <w:r>
        <w:rPr>
          <w:rFonts w:ascii="Consolas" w:hAnsi="Consolas" w:cs="Consolas"/>
          <w:b w:val="0"/>
          <w:i w:val="0"/>
          <w:sz w:val="15"/>
        </w:rPr>
        <w:t xml:space="preserve">    "hs_code": "0811.10.90",</w:t>
      </w:r>
    </w:p>
    <w:p>
      <w:pPr>
        <w:spacing w:after="0" w:before="0" w:line="240" w:lineRule="auto"/>
        <w:ind w:left="57"/>
        <w:jc w:val="left"/>
        <w:shd w:val="clear" w:fill="F2F2F2"/>
      </w:pPr>
      <w:r>
        <w:rPr>
          <w:rFonts w:ascii="Consolas" w:hAnsi="Consolas" w:cs="Consolas"/>
          <w:b w:val="0"/>
          <w:i w:val="0"/>
          <w:sz w:val="15"/>
        </w:rPr>
        <w:t xml:space="preserve">    "description": "Frozen strawberries, IQF, Grade A",</w:t>
      </w:r>
    </w:p>
    <w:p>
      <w:pPr>
        <w:spacing w:after="0" w:before="0" w:line="240" w:lineRule="auto"/>
        <w:ind w:left="57"/>
        <w:jc w:val="left"/>
        <w:shd w:val="clear" w:fill="F2F2F2"/>
      </w:pPr>
      <w:r>
        <w:rPr>
          <w:rFonts w:ascii="Consolas" w:hAnsi="Consolas" w:cs="Consolas"/>
          <w:b w:val="0"/>
          <w:i w:val="0"/>
          <w:sz w:val="15"/>
        </w:rPr>
        <w:t xml:space="preserve">    "net_weight_kg": 20000,</w:t>
      </w:r>
    </w:p>
    <w:p>
      <w:pPr>
        <w:spacing w:after="0" w:before="0" w:line="240" w:lineRule="auto"/>
        <w:ind w:left="57"/>
        <w:jc w:val="left"/>
        <w:shd w:val="clear" w:fill="F2F2F2"/>
      </w:pPr>
      <w:r>
        <w:rPr>
          <w:rFonts w:ascii="Consolas" w:hAnsi="Consolas" w:cs="Consolas"/>
          <w:b w:val="0"/>
          <w:i w:val="0"/>
          <w:sz w:val="15"/>
        </w:rPr>
        <w:t xml:space="preserve">    "gross_weight_kg": 20500,</w:t>
      </w:r>
    </w:p>
    <w:p>
      <w:pPr>
        <w:spacing w:after="0" w:before="0" w:line="240" w:lineRule="auto"/>
        <w:ind w:left="57"/>
        <w:jc w:val="left"/>
        <w:shd w:val="clear" w:fill="F2F2F2"/>
      </w:pPr>
      <w:r>
        <w:rPr>
          <w:rFonts w:ascii="Consolas" w:hAnsi="Consolas" w:cs="Consolas"/>
          <w:b w:val="0"/>
          <w:i w:val="0"/>
          <w:sz w:val="15"/>
        </w:rPr>
        <w:t xml:space="preserve">    "invoice_value": {</w:t>
      </w:r>
    </w:p>
    <w:p>
      <w:pPr>
        <w:spacing w:after="0" w:before="0" w:line="240" w:lineRule="auto"/>
        <w:ind w:left="57"/>
        <w:jc w:val="left"/>
        <w:shd w:val="clear" w:fill="F2F2F2"/>
      </w:pPr>
      <w:r>
        <w:rPr>
          <w:rFonts w:ascii="Consolas" w:hAnsi="Consolas" w:cs="Consolas"/>
          <w:b w:val="0"/>
          <w:i w:val="0"/>
          <w:sz w:val="15"/>
        </w:rPr>
        <w:t xml:space="preserve">      "amount": 100000.0,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"container_count": 2,</w:t>
      </w:r>
    </w:p>
    <w:p>
      <w:pPr>
        <w:spacing w:after="0" w:before="0" w:line="240" w:lineRule="auto"/>
        <w:ind w:left="57"/>
        <w:jc w:val="left"/>
        <w:shd w:val="clear" w:fill="F2F2F2"/>
      </w:pPr>
      <w:r>
        <w:rPr>
          <w:rFonts w:ascii="Consolas" w:hAnsi="Consolas" w:cs="Consolas"/>
          <w:b w:val="0"/>
          <w:i w:val="0"/>
          <w:sz w:val="15"/>
        </w:rPr>
        <w:t xml:space="preserve">    "container_numbers": [</w:t>
      </w:r>
    </w:p>
    <w:p>
      <w:pPr>
        <w:spacing w:after="0" w:before="0" w:line="240" w:lineRule="auto"/>
        <w:ind w:left="57"/>
        <w:jc w:val="left"/>
        <w:shd w:val="clear" w:fill="F2F2F2"/>
      </w:pPr>
      <w:r>
        <w:rPr>
          <w:rFonts w:ascii="Consolas" w:hAnsi="Consolas" w:cs="Consolas"/>
          <w:b w:val="0"/>
          <w:i w:val="0"/>
          <w:sz w:val="15"/>
        </w:rPr>
        <w:t xml:space="preserve">      "MEDU1234567",</w:t>
      </w:r>
    </w:p>
    <w:p>
      <w:pPr>
        <w:spacing w:after="0" w:before="0" w:line="240" w:lineRule="auto"/>
        <w:ind w:left="57"/>
        <w:jc w:val="left"/>
        <w:shd w:val="clear" w:fill="F2F2F2"/>
      </w:pPr>
      <w:r>
        <w:rPr>
          <w:rFonts w:ascii="Consolas" w:hAnsi="Consolas" w:cs="Consolas"/>
          <w:b w:val="0"/>
          <w:i w:val="0"/>
          <w:sz w:val="15"/>
        </w:rPr>
        <w:t xml:space="preserve">      "MEDU1234568"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"quantity_tolerance": 5,</w:t>
      </w:r>
    </w:p>
    <w:p>
      <w:pPr>
        <w:spacing w:after="0" w:before="0" w:line="240" w:lineRule="auto"/>
        <w:ind w:left="57"/>
        <w:jc w:val="left"/>
        <w:shd w:val="clear" w:fill="F2F2F2"/>
      </w:pPr>
      <w:r>
        <w:rPr>
          <w:rFonts w:ascii="Consolas" w:hAnsi="Consolas" w:cs="Consolas"/>
          <w:b w:val="0"/>
          <w:i w:val="0"/>
          <w:sz w:val="15"/>
        </w:rPr>
        <w:t xml:space="preserve">    "partial_shipment_allowed": true,</w:t>
      </w:r>
    </w:p>
    <w:p>
      <w:pPr>
        <w:spacing w:after="0" w:before="0" w:line="240" w:lineRule="auto"/>
        <w:ind w:left="57"/>
        <w:jc w:val="left"/>
        <w:shd w:val="clear" w:fill="F2F2F2"/>
      </w:pPr>
      <w:r>
        <w:rPr>
          <w:rFonts w:ascii="Consolas" w:hAnsi="Consolas" w:cs="Consolas"/>
          <w:b w:val="0"/>
          <w:i w:val="0"/>
          <w:sz w:val="15"/>
        </w:rPr>
        <w:t xml:space="preserve">    "transshipment_allowed":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"documents": {</w:t>
      </w:r>
    </w:p>
    <w:p>
      <w:pPr>
        <w:spacing w:after="0" w:before="0" w:line="240" w:lineRule="auto"/>
        <w:ind w:left="57"/>
        <w:jc w:val="left"/>
        <w:shd w:val="clear" w:fill="F2F2F2"/>
      </w:pPr>
      <w:r>
        <w:rPr>
          <w:rFonts w:ascii="Consolas" w:hAnsi="Consolas" w:cs="Consolas"/>
          <w:b w:val="0"/>
          <w:i w:val="0"/>
          <w:sz w:val="15"/>
        </w:rPr>
        <w:t xml:space="preserve">    "eta_invoice_uuid": "INV-abc123",</w:t>
      </w:r>
    </w:p>
    <w:p>
      <w:pPr>
        <w:spacing w:after="0" w:before="0" w:line="240" w:lineRule="auto"/>
        <w:ind w:left="57"/>
        <w:jc w:val="left"/>
        <w:shd w:val="clear" w:fill="F2F2F2"/>
      </w:pPr>
      <w:r>
        <w:rPr>
          <w:rFonts w:ascii="Consolas" w:hAnsi="Consolas" w:cs="Consolas"/>
          <w:b w:val="0"/>
          <w:i w:val="0"/>
          <w:sz w:val="15"/>
        </w:rPr>
        <w:t xml:space="preserve">    "acid": "ACI20260415-0001",</w:t>
      </w:r>
    </w:p>
    <w:p>
      <w:pPr>
        <w:spacing w:after="0" w:before="0" w:line="240" w:lineRule="auto"/>
        <w:ind w:left="57"/>
        <w:jc w:val="left"/>
        <w:shd w:val="clear" w:fill="F2F2F2"/>
      </w:pPr>
      <w:r>
        <w:rPr>
          <w:rFonts w:ascii="Consolas" w:hAnsi="Consolas" w:cs="Consolas"/>
          <w:b w:val="0"/>
          <w:i w:val="0"/>
          <w:sz w:val="15"/>
        </w:rPr>
        <w:t xml:space="preserve">    "nafeza_declaration_id": "SAD20260415-000147",</w:t>
      </w:r>
    </w:p>
    <w:p>
      <w:pPr>
        <w:spacing w:after="0" w:before="0" w:line="240" w:lineRule="auto"/>
        <w:ind w:left="57"/>
        <w:jc w:val="left"/>
        <w:shd w:val="clear" w:fill="F2F2F2"/>
      </w:pPr>
      <w:r>
        <w:rPr>
          <w:rFonts w:ascii="Consolas" w:hAnsi="Consolas" w:cs="Consolas"/>
          <w:b w:val="0"/>
          <w:i w:val="0"/>
          <w:sz w:val="15"/>
        </w:rPr>
        <w:t xml:space="preserve">    "phyto_certificate": "PC-20260415-147",</w:t>
      </w:r>
    </w:p>
    <w:p>
      <w:pPr>
        <w:spacing w:after="0" w:before="0" w:line="240" w:lineRule="auto"/>
        <w:ind w:left="57"/>
        <w:jc w:val="left"/>
        <w:shd w:val="clear" w:fill="F2F2F2"/>
      </w:pPr>
      <w:r>
        <w:rPr>
          <w:rFonts w:ascii="Consolas" w:hAnsi="Consolas" w:cs="Consolas"/>
          <w:b w:val="0"/>
          <w:i w:val="0"/>
          <w:sz w:val="15"/>
        </w:rPr>
        <w:t xml:space="preserve">    "health_certificate": "HC-20260415-147",</w:t>
      </w:r>
    </w:p>
    <w:p>
      <w:pPr>
        <w:spacing w:after="0" w:before="0" w:line="240" w:lineRule="auto"/>
        <w:ind w:left="57"/>
        <w:jc w:val="left"/>
        <w:shd w:val="clear" w:fill="F2F2F2"/>
      </w:pPr>
      <w:r>
        <w:rPr>
          <w:rFonts w:ascii="Consolas" w:hAnsi="Consolas" w:cs="Consolas"/>
          <w:b w:val="0"/>
          <w:i w:val="0"/>
          <w:sz w:val="15"/>
        </w:rPr>
        <w:t xml:space="preserve">    "certificate_of_origin": "COO-20260415-147",</w:t>
      </w:r>
    </w:p>
    <w:p>
      <w:pPr>
        <w:spacing w:after="0" w:before="0" w:line="240" w:lineRule="auto"/>
        <w:ind w:left="57"/>
        <w:jc w:val="left"/>
        <w:shd w:val="clear" w:fill="F2F2F2"/>
      </w:pPr>
      <w:r>
        <w:rPr>
          <w:rFonts w:ascii="Consolas" w:hAnsi="Consolas" w:cs="Consolas"/>
          <w:b w:val="0"/>
          <w:i w:val="0"/>
          <w:sz w:val="15"/>
        </w:rPr>
        <w:t xml:space="preserve">    "bill_of_lading": {</w:t>
      </w:r>
    </w:p>
    <w:p>
      <w:pPr>
        <w:spacing w:after="0" w:before="0" w:line="240" w:lineRule="auto"/>
        <w:ind w:left="57"/>
        <w:jc w:val="left"/>
        <w:shd w:val="clear" w:fill="F2F2F2"/>
      </w:pPr>
      <w:r>
        <w:rPr>
          <w:rFonts w:ascii="Consolas" w:hAnsi="Consolas" w:cs="Consolas"/>
          <w:b w:val="0"/>
          <w:i w:val="0"/>
          <w:sz w:val="15"/>
        </w:rPr>
        <w:t xml:space="preserve">      "number": "MEDU1234567",</w:t>
      </w:r>
    </w:p>
    <w:p>
      <w:pPr>
        <w:spacing w:after="0" w:before="0" w:line="240" w:lineRule="auto"/>
        <w:ind w:left="57"/>
        <w:jc w:val="left"/>
        <w:shd w:val="clear" w:fill="F2F2F2"/>
      </w:pPr>
      <w:r>
        <w:rPr>
          <w:rFonts w:ascii="Consolas" w:hAnsi="Consolas" w:cs="Consolas"/>
          <w:b w:val="0"/>
          <w:i w:val="0"/>
          <w:sz w:val="15"/>
        </w:rPr>
        <w:t xml:space="preserve">      "type": "eBL",</w:t>
      </w:r>
    </w:p>
    <w:p>
      <w:pPr>
        <w:spacing w:after="0" w:before="0" w:line="240" w:lineRule="auto"/>
        <w:ind w:left="57"/>
        <w:jc w:val="left"/>
        <w:shd w:val="clear" w:fill="F2F2F2"/>
      </w:pPr>
      <w:r>
        <w:rPr>
          <w:rFonts w:ascii="Consolas" w:hAnsi="Consolas" w:cs="Consolas"/>
          <w:b w:val="0"/>
          <w:i w:val="0"/>
          <w:sz w:val="15"/>
        </w:rPr>
        <w:t xml:space="preserve">      "issuer": "MSC",</w:t>
      </w:r>
    </w:p>
    <w:p>
      <w:pPr>
        <w:spacing w:after="0" w:before="0" w:line="240" w:lineRule="auto"/>
        <w:ind w:left="57"/>
        <w:jc w:val="left"/>
        <w:shd w:val="clear" w:fill="F2F2F2"/>
      </w:pPr>
      <w:r>
        <w:rPr>
          <w:rFonts w:ascii="Consolas" w:hAnsi="Consolas" w:cs="Consolas"/>
          <w:b w:val="0"/>
          <w:i w:val="0"/>
          <w:sz w:val="15"/>
        </w:rPr>
        <w:t xml:space="preserve">      "issued_at": "2026-04-16T10:00:00Z",</w:t>
      </w:r>
    </w:p>
    <w:p>
      <w:pPr>
        <w:spacing w:after="0" w:before="0" w:line="240" w:lineRule="auto"/>
        <w:ind w:left="57"/>
        <w:jc w:val="left"/>
        <w:shd w:val="clear" w:fill="F2F2F2"/>
      </w:pPr>
      <w:r>
        <w:rPr>
          <w:rFonts w:ascii="Consolas" w:hAnsi="Consolas" w:cs="Consolas"/>
          <w:b w:val="0"/>
          <w:i w:val="0"/>
          <w:sz w:val="15"/>
        </w:rPr>
        <w:t xml:space="preserve">      "url": "sgtx://documents/ebl-123"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"packing_list_hash": "sha256:abc123...",</w:t>
      </w:r>
    </w:p>
    <w:p>
      <w:pPr>
        <w:spacing w:after="0" w:before="0" w:line="240" w:lineRule="auto"/>
        <w:ind w:left="57"/>
        <w:jc w:val="left"/>
        <w:shd w:val="clear" w:fill="F2F2F2"/>
      </w:pPr>
      <w:r>
        <w:rPr>
          <w:rFonts w:ascii="Consolas" w:hAnsi="Consolas" w:cs="Consolas"/>
          <w:b w:val="0"/>
          <w:i w:val="0"/>
          <w:sz w:val="15"/>
        </w:rPr>
        <w:t xml:space="preserve">    "qc_report": {</w:t>
      </w:r>
    </w:p>
    <w:p>
      <w:pPr>
        <w:spacing w:after="0" w:before="0" w:line="240" w:lineRule="auto"/>
        <w:ind w:left="57"/>
        <w:jc w:val="left"/>
        <w:shd w:val="clear" w:fill="F2F2F2"/>
      </w:pPr>
      <w:r>
        <w:rPr>
          <w:rFonts w:ascii="Consolas" w:hAnsi="Consolas" w:cs="Consolas"/>
          <w:b w:val="0"/>
          <w:i w:val="0"/>
          <w:sz w:val="15"/>
        </w:rPr>
        <w:t xml:space="preserve">      "provider": "SGS Inspection",</w:t>
      </w:r>
    </w:p>
    <w:p>
      <w:pPr>
        <w:spacing w:after="0" w:before="0" w:line="240" w:lineRule="auto"/>
        <w:ind w:left="57"/>
        <w:jc w:val="left"/>
        <w:shd w:val="clear" w:fill="F2F2F2"/>
      </w:pPr>
      <w:r>
        <w:rPr>
          <w:rFonts w:ascii="Consolas" w:hAnsi="Consolas" w:cs="Consolas"/>
          <w:b w:val="0"/>
          <w:i w:val="0"/>
          <w:sz w:val="15"/>
        </w:rPr>
        <w:t xml:space="preserve">      "verdict": "CONDITIONAL_PASS",</w:t>
      </w:r>
    </w:p>
    <w:p>
      <w:pPr>
        <w:spacing w:after="0" w:before="0" w:line="240" w:lineRule="auto"/>
        <w:ind w:left="57"/>
        <w:jc w:val="left"/>
        <w:shd w:val="clear" w:fill="F2F2F2"/>
      </w:pPr>
      <w:r>
        <w:rPr>
          <w:rFonts w:ascii="Consolas" w:hAnsi="Consolas" w:cs="Consolas"/>
          <w:b w:val="0"/>
          <w:i w:val="0"/>
          <w:sz w:val="15"/>
        </w:rPr>
        <w:t xml:space="preserve">      "overrides": 1,</w:t>
      </w:r>
    </w:p>
    <w:p>
      <w:pPr>
        <w:spacing w:after="0" w:before="0" w:line="240" w:lineRule="auto"/>
        <w:ind w:left="57"/>
        <w:jc w:val="left"/>
        <w:shd w:val="clear" w:fill="F2F2F2"/>
      </w:pPr>
      <w:r>
        <w:rPr>
          <w:rFonts w:ascii="Consolas" w:hAnsi="Consolas" w:cs="Consolas"/>
          <w:b w:val="0"/>
          <w:i w:val="0"/>
          <w:sz w:val="15"/>
        </w:rPr>
        <w:t xml:space="preserve">      "report_url": "sgtx://documents/qc-001"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"insurance_certificate": "INS-2026-001"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"logistics": {</w:t>
      </w:r>
    </w:p>
    <w:p>
      <w:pPr>
        <w:spacing w:after="0" w:before="0" w:line="240" w:lineRule="auto"/>
        <w:ind w:left="57"/>
        <w:jc w:val="left"/>
        <w:shd w:val="clear" w:fill="F2F2F2"/>
      </w:pPr>
      <w:r>
        <w:rPr>
          <w:rFonts w:ascii="Consolas" w:hAnsi="Consolas" w:cs="Consolas"/>
          <w:b w:val="0"/>
          <w:i w:val="0"/>
          <w:sz w:val="15"/>
        </w:rPr>
        <w:t xml:space="preserve">    "trucking": {</w:t>
      </w:r>
    </w:p>
    <w:p>
      <w:pPr>
        <w:spacing w:after="0" w:before="0" w:line="240" w:lineRule="auto"/>
        <w:ind w:left="57"/>
        <w:jc w:val="left"/>
        <w:shd w:val="clear" w:fill="F2F2F2"/>
      </w:pPr>
      <w:r>
        <w:rPr>
          <w:rFonts w:ascii="Consolas" w:hAnsi="Consolas" w:cs="Consolas"/>
          <w:b w:val="0"/>
          <w:i w:val="0"/>
          <w:sz w:val="15"/>
        </w:rPr>
        <w:t xml:space="preserve">      "provider_gtid": "SGTX-EG-LSP-001",</w:t>
      </w:r>
    </w:p>
    <w:p>
      <w:pPr>
        <w:spacing w:after="0" w:before="0" w:line="240" w:lineRule="auto"/>
        <w:ind w:left="57"/>
        <w:jc w:val="left"/>
        <w:shd w:val="clear" w:fill="F2F2F2"/>
      </w:pPr>
      <w:r>
        <w:rPr>
          <w:rFonts w:ascii="Consolas" w:hAnsi="Consolas" w:cs="Consolas"/>
          <w:b w:val="0"/>
          <w:i w:val="0"/>
          <w:sz w:val="15"/>
        </w:rPr>
        <w:t xml:space="preserve">      "provider_name": "Fast Trucking Co.",</w:t>
      </w:r>
    </w:p>
    <w:p>
      <w:pPr>
        <w:spacing w:after="0" w:before="0" w:line="240" w:lineRule="auto"/>
        <w:ind w:left="57"/>
        <w:jc w:val="left"/>
        <w:shd w:val="clear" w:fill="F2F2F2"/>
      </w:pPr>
      <w:r>
        <w:rPr>
          <w:rFonts w:ascii="Consolas" w:hAnsi="Consolas" w:cs="Consolas"/>
          <w:b w:val="0"/>
          <w:i w:val="0"/>
          <w:sz w:val="15"/>
        </w:rPr>
        <w:t xml:space="preserve">      "quote_id": "QT-001",</w:t>
      </w:r>
    </w:p>
    <w:p>
      <w:pPr>
        <w:spacing w:after="0" w:before="0" w:line="240" w:lineRule="auto"/>
        <w:ind w:left="57"/>
        <w:jc w:val="left"/>
        <w:shd w:val="clear" w:fill="F2F2F2"/>
      </w:pPr>
      <w:r>
        <w:rPr>
          <w:rFonts w:ascii="Consolas" w:hAnsi="Consolas" w:cs="Consolas"/>
          <w:b w:val="0"/>
          <w:i w:val="0"/>
          <w:sz w:val="15"/>
        </w:rPr>
        <w:t xml:space="preserve">      "fee": 300,</w:t>
      </w:r>
    </w:p>
    <w:p>
      <w:pPr>
        <w:spacing w:after="0" w:before="0" w:line="240" w:lineRule="auto"/>
        <w:ind w:left="57"/>
        <w:jc w:val="left"/>
        <w:shd w:val="clear" w:fill="F2F2F2"/>
      </w:pPr>
      <w:r>
        <w:rPr>
          <w:rFonts w:ascii="Consolas" w:hAnsi="Consolas" w:cs="Consolas"/>
          <w:b w:val="0"/>
          <w:i w:val="0"/>
          <w:sz w:val="15"/>
        </w:rPr>
        <w:t xml:space="preserve">      "status": "PAID"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"shipping_line": {</w:t>
      </w:r>
    </w:p>
    <w:p>
      <w:pPr>
        <w:spacing w:after="0" w:before="0" w:line="240" w:lineRule="auto"/>
        <w:ind w:left="57"/>
        <w:jc w:val="left"/>
        <w:shd w:val="clear" w:fill="F2F2F2"/>
      </w:pPr>
      <w:r>
        <w:rPr>
          <w:rFonts w:ascii="Consolas" w:hAnsi="Consolas" w:cs="Consolas"/>
          <w:b w:val="0"/>
          <w:i w:val="0"/>
          <w:sz w:val="15"/>
        </w:rPr>
        <w:t xml:space="preserve">      "provider_gtid": "SGTX-EG-SHIP-001",</w:t>
      </w:r>
    </w:p>
    <w:p>
      <w:pPr>
        <w:spacing w:after="0" w:before="0" w:line="240" w:lineRule="auto"/>
        <w:ind w:left="57"/>
        <w:jc w:val="left"/>
        <w:shd w:val="clear" w:fill="F2F2F2"/>
      </w:pPr>
      <w:r>
        <w:rPr>
          <w:rFonts w:ascii="Consolas" w:hAnsi="Consolas" w:cs="Consolas"/>
          <w:b w:val="0"/>
          <w:i w:val="0"/>
          <w:sz w:val="15"/>
        </w:rPr>
        <w:t xml:space="preserve">      "provider_name": "MSC Egypt",</w:t>
      </w:r>
    </w:p>
    <w:p>
      <w:pPr>
        <w:spacing w:after="0" w:before="0" w:line="240" w:lineRule="auto"/>
        <w:ind w:left="57"/>
        <w:jc w:val="left"/>
        <w:shd w:val="clear" w:fill="F2F2F2"/>
      </w:pPr>
      <w:r>
        <w:rPr>
          <w:rFonts w:ascii="Consolas" w:hAnsi="Consolas" w:cs="Consolas"/>
          <w:b w:val="0"/>
          <w:i w:val="0"/>
          <w:sz w:val="15"/>
        </w:rPr>
        <w:t xml:space="preserve">      "booking_ref": "MAEU876543210",</w:t>
      </w:r>
    </w:p>
    <w:p>
      <w:pPr>
        <w:spacing w:after="0" w:before="0" w:line="240" w:lineRule="auto"/>
        <w:ind w:left="57"/>
        <w:jc w:val="left"/>
        <w:shd w:val="clear" w:fill="F2F2F2"/>
      </w:pPr>
      <w:r>
        <w:rPr>
          <w:rFonts w:ascii="Consolas" w:hAnsi="Consolas" w:cs="Consolas"/>
          <w:b w:val="0"/>
          <w:i w:val="0"/>
          <w:sz w:val="15"/>
        </w:rPr>
        <w:t xml:space="preserve">      "vessel": "MSC FIONA",</w:t>
      </w:r>
    </w:p>
    <w:p>
      <w:pPr>
        <w:spacing w:after="0" w:before="0" w:line="240" w:lineRule="auto"/>
        <w:ind w:left="57"/>
        <w:jc w:val="left"/>
        <w:shd w:val="clear" w:fill="F2F2F2"/>
      </w:pPr>
      <w:r>
        <w:rPr>
          <w:rFonts w:ascii="Consolas" w:hAnsi="Consolas" w:cs="Consolas"/>
          <w:b w:val="0"/>
          <w:i w:val="0"/>
          <w:sz w:val="15"/>
        </w:rPr>
        <w:t xml:space="preserve">      "voyage": "MSF123E",</w:t>
      </w:r>
    </w:p>
    <w:p>
      <w:pPr>
        <w:spacing w:after="0" w:before="0" w:line="240" w:lineRule="auto"/>
        <w:ind w:left="57"/>
        <w:jc w:val="left"/>
        <w:shd w:val="clear" w:fill="F2F2F2"/>
      </w:pPr>
      <w:r>
        <w:rPr>
          <w:rFonts w:ascii="Consolas" w:hAnsi="Consolas" w:cs="Consolas"/>
          <w:b w:val="0"/>
          <w:i w:val="0"/>
          <w:sz w:val="15"/>
        </w:rPr>
        <w:t xml:space="preserve">      "etd": "2026-04-20T08:00:00Z",</w:t>
      </w:r>
    </w:p>
    <w:p>
      <w:pPr>
        <w:spacing w:after="0" w:before="0" w:line="240" w:lineRule="auto"/>
        <w:ind w:left="57"/>
        <w:jc w:val="left"/>
        <w:shd w:val="clear" w:fill="F2F2F2"/>
      </w:pPr>
      <w:r>
        <w:rPr>
          <w:rFonts w:ascii="Consolas" w:hAnsi="Consolas" w:cs="Consolas"/>
          <w:b w:val="0"/>
          <w:i w:val="0"/>
          <w:sz w:val="15"/>
        </w:rPr>
        <w:t xml:space="preserve">      "eta": "2026-05-05T14:00:00Z",</w:t>
      </w:r>
    </w:p>
    <w:p>
      <w:pPr>
        <w:spacing w:after="0" w:before="0" w:line="240" w:lineRule="auto"/>
        <w:ind w:left="57"/>
        <w:jc w:val="left"/>
        <w:shd w:val="clear" w:fill="F2F2F2"/>
      </w:pPr>
      <w:r>
        <w:rPr>
          <w:rFonts w:ascii="Consolas" w:hAnsi="Consolas" w:cs="Consolas"/>
          <w:b w:val="0"/>
          <w:i w:val="0"/>
          <w:sz w:val="15"/>
        </w:rPr>
        <w:t xml:space="preserve">      "actual_departure": "2026-04-20T09:30:00Z",</w:t>
      </w:r>
    </w:p>
    <w:p>
      <w:pPr>
        <w:spacing w:after="0" w:before="0" w:line="240" w:lineRule="auto"/>
        <w:ind w:left="57"/>
        <w:jc w:val="left"/>
        <w:shd w:val="clear" w:fill="F2F2F2"/>
      </w:pPr>
      <w:r>
        <w:rPr>
          <w:rFonts w:ascii="Consolas" w:hAnsi="Consolas" w:cs="Consolas"/>
          <w:b w:val="0"/>
          <w:i w:val="0"/>
          <w:sz w:val="15"/>
        </w:rPr>
        <w:t xml:space="preserve">      "actual_arrival": null,</w:t>
      </w:r>
    </w:p>
    <w:p>
      <w:pPr>
        <w:spacing w:after="0" w:before="0" w:line="240" w:lineRule="auto"/>
        <w:ind w:left="57"/>
        <w:jc w:val="left"/>
        <w:shd w:val="clear" w:fill="F2F2F2"/>
      </w:pPr>
      <w:r>
        <w:rPr>
          <w:rFonts w:ascii="Consolas" w:hAnsi="Consolas" w:cs="Consolas"/>
          <w:b w:val="0"/>
          <w:i w:val="0"/>
          <w:sz w:val="15"/>
        </w:rPr>
        <w:t xml:space="preserve">      "freight_invoice": {</w:t>
      </w:r>
    </w:p>
    <w:p>
      <w:pPr>
        <w:spacing w:after="0" w:before="0" w:line="240" w:lineRule="auto"/>
        <w:ind w:left="57"/>
        <w:jc w:val="left"/>
        <w:shd w:val="clear" w:fill="F2F2F2"/>
      </w:pPr>
      <w:r>
        <w:rPr>
          <w:rFonts w:ascii="Consolas" w:hAnsi="Consolas" w:cs="Consolas"/>
          <w:b w:val="0"/>
          <w:i w:val="0"/>
          <w:sz w:val="15"/>
        </w:rPr>
        <w:t xml:space="preserve">        "amount": 4200,</w:t>
      </w:r>
    </w:p>
    <w:p>
      <w:pPr>
        <w:spacing w:after="0" w:before="0" w:line="240" w:lineRule="auto"/>
        <w:ind w:left="57"/>
        <w:jc w:val="left"/>
        <w:shd w:val="clear" w:fill="F2F2F2"/>
      </w:pPr>
      <w:r>
        <w:rPr>
          <w:rFonts w:ascii="Consolas" w:hAnsi="Consolas" w:cs="Consolas"/>
          <w:b w:val="0"/>
          <w:i w:val="0"/>
          <w:sz w:val="15"/>
        </w:rPr>
        <w:t xml:space="preserve">        "status": "CREDIT",</w:t>
      </w:r>
    </w:p>
    <w:p>
      <w:pPr>
        <w:spacing w:after="0" w:before="0" w:line="240" w:lineRule="auto"/>
        <w:ind w:left="57"/>
        <w:jc w:val="left"/>
        <w:shd w:val="clear" w:fill="F2F2F2"/>
      </w:pPr>
      <w:r>
        <w:rPr>
          <w:rFonts w:ascii="Consolas" w:hAnsi="Consolas" w:cs="Consolas"/>
          <w:b w:val="0"/>
          <w:i w:val="0"/>
          <w:sz w:val="15"/>
        </w:rPr>
        <w:t xml:space="preserve">        "due_date": "2026-06-05"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"customs_broker": {</w:t>
      </w:r>
    </w:p>
    <w:p>
      <w:pPr>
        <w:spacing w:after="0" w:before="0" w:line="240" w:lineRule="auto"/>
        <w:ind w:left="57"/>
        <w:jc w:val="left"/>
        <w:shd w:val="clear" w:fill="F2F2F2"/>
      </w:pPr>
      <w:r>
        <w:rPr>
          <w:rFonts w:ascii="Consolas" w:hAnsi="Consolas" w:cs="Consolas"/>
          <w:b w:val="0"/>
          <w:i w:val="0"/>
          <w:sz w:val="15"/>
        </w:rPr>
        <w:t xml:space="preserve">      "certification": {</w:t>
      </w:r>
    </w:p>
    <w:p>
      <w:pPr>
        <w:spacing w:after="0" w:before="0" w:line="240" w:lineRule="auto"/>
        <w:ind w:left="57"/>
        <w:jc w:val="left"/>
        <w:shd w:val="clear" w:fill="F2F2F2"/>
      </w:pPr>
      <w:r>
        <w:rPr>
          <w:rFonts w:ascii="Consolas" w:hAnsi="Consolas" w:cs="Consolas"/>
          <w:b w:val="0"/>
          <w:i w:val="0"/>
          <w:sz w:val="15"/>
        </w:rPr>
        <w:t xml:space="preserve">        "quote_id": "CBRQ-001",</w:t>
      </w:r>
    </w:p>
    <w:p>
      <w:pPr>
        <w:spacing w:after="0" w:before="0" w:line="240" w:lineRule="auto"/>
        <w:ind w:left="57"/>
        <w:jc w:val="left"/>
        <w:shd w:val="clear" w:fill="F2F2F2"/>
      </w:pPr>
      <w:r>
        <w:rPr>
          <w:rFonts w:ascii="Consolas" w:hAnsi="Consolas" w:cs="Consolas"/>
          <w:b w:val="0"/>
          <w:i w:val="0"/>
          <w:sz w:val="15"/>
        </w:rPr>
        <w:t xml:space="preserve">        "fee": 150,</w:t>
      </w:r>
    </w:p>
    <w:p>
      <w:pPr>
        <w:spacing w:after="0" w:before="0" w:line="240" w:lineRule="auto"/>
        <w:ind w:left="57"/>
        <w:jc w:val="left"/>
        <w:shd w:val="clear" w:fill="F2F2F2"/>
      </w:pPr>
      <w:r>
        <w:rPr>
          <w:rFonts w:ascii="Consolas" w:hAnsi="Consolas" w:cs="Consolas"/>
          <w:b w:val="0"/>
          <w:i w:val="0"/>
          <w:sz w:val="15"/>
        </w:rPr>
        <w:t xml:space="preserve">        "status": "PAID",</w:t>
      </w:r>
    </w:p>
    <w:p>
      <w:pPr>
        <w:spacing w:after="0" w:before="0" w:line="240" w:lineRule="auto"/>
        <w:ind w:left="57"/>
        <w:jc w:val="left"/>
        <w:shd w:val="clear" w:fill="F2F2F2"/>
      </w:pPr>
      <w:r>
        <w:rPr>
          <w:rFonts w:ascii="Consolas" w:hAnsi="Consolas" w:cs="Consolas"/>
          <w:b w:val="0"/>
          <w:i w:val="0"/>
          <w:sz w:val="15"/>
        </w:rPr>
        <w:t xml:space="preserve">        "certified_at": "2026-04-16T09:00:00Z"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"physical_handling": null,</w:t>
      </w:r>
    </w:p>
    <w:p>
      <w:pPr>
        <w:spacing w:after="0" w:before="0" w:line="240" w:lineRule="auto"/>
        <w:ind w:left="57"/>
        <w:jc w:val="left"/>
        <w:shd w:val="clear" w:fill="F2F2F2"/>
      </w:pPr>
      <w:r>
        <w:rPr>
          <w:rFonts w:ascii="Consolas" w:hAnsi="Consolas" w:cs="Consolas"/>
          <w:b w:val="0"/>
          <w:i w:val="0"/>
          <w:sz w:val="15"/>
        </w:rPr>
        <w:t xml:space="preserve">      "storage":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"warehousing":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"payment_plan": {</w:t>
      </w:r>
    </w:p>
    <w:p>
      <w:pPr>
        <w:spacing w:after="0" w:before="0" w:line="240" w:lineRule="auto"/>
        <w:ind w:left="57"/>
        <w:jc w:val="left"/>
        <w:shd w:val="clear" w:fill="F2F2F2"/>
      </w:pPr>
      <w:r>
        <w:rPr>
          <w:rFonts w:ascii="Consolas" w:hAnsi="Consolas" w:cs="Consolas"/>
          <w:b w:val="0"/>
          <w:i w:val="0"/>
          <w:sz w:val="15"/>
        </w:rPr>
        <w:t xml:space="preserve">    "stage1": {</w:t>
      </w:r>
    </w:p>
    <w:p>
      <w:pPr>
        <w:spacing w:after="0" w:before="0" w:line="240" w:lineRule="auto"/>
        <w:ind w:left="57"/>
        <w:jc w:val="left"/>
        <w:shd w:val="clear" w:fill="F2F2F2"/>
      </w:pPr>
      <w:r>
        <w:rPr>
          <w:rFonts w:ascii="Consolas" w:hAnsi="Consolas" w:cs="Consolas"/>
          <w:b w:val="0"/>
          <w:i w:val="0"/>
          <w:sz w:val="15"/>
        </w:rPr>
        <w:t xml:space="preserve">      "status": "SETTLED",</w:t>
      </w:r>
    </w:p>
    <w:p>
      <w:pPr>
        <w:spacing w:after="0" w:before="0" w:line="240" w:lineRule="auto"/>
        <w:ind w:left="57"/>
        <w:jc w:val="left"/>
        <w:shd w:val="clear" w:fill="F2F2F2"/>
      </w:pPr>
      <w:r>
        <w:rPr>
          <w:rFonts w:ascii="Consolas" w:hAnsi="Consolas" w:cs="Consolas"/>
          <w:b w:val="0"/>
          <w:i w:val="0"/>
          <w:sz w:val="15"/>
        </w:rPr>
        <w:t xml:space="preserve">      "settled_at": "2026-04-15T13:00:00Z",</w:t>
      </w:r>
    </w:p>
    <w:p>
      <w:pPr>
        <w:spacing w:after="0" w:before="0" w:line="240" w:lineRule="auto"/>
        <w:ind w:left="57"/>
        <w:jc w:val="left"/>
        <w:shd w:val="clear" w:fill="F2F2F2"/>
      </w:pPr>
      <w:r>
        <w:rPr>
          <w:rFonts w:ascii="Consolas" w:hAnsi="Consolas" w:cs="Consolas"/>
          <w:b w:val="0"/>
          <w:i w:val="0"/>
          <w:sz w:val="15"/>
        </w:rPr>
        <w:t xml:space="preserve">      "transactions":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 "SGTX",</w:t>
      </w:r>
    </w:p>
    <w:p>
      <w:pPr>
        <w:spacing w:after="0" w:before="0" w:line="240" w:lineRule="auto"/>
        <w:ind w:left="57"/>
        <w:jc w:val="left"/>
        <w:shd w:val="clear" w:fill="F2F2F2"/>
      </w:pPr>
      <w:r>
        <w:rPr>
          <w:rFonts w:ascii="Consolas" w:hAnsi="Consolas" w:cs="Consolas"/>
          <w:b w:val="0"/>
          <w:i w:val="0"/>
          <w:sz w:val="15"/>
        </w:rPr>
        <w:t xml:space="preserve">          "amount": 1353.0,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 "Fast Trucking Co.",</w:t>
      </w:r>
    </w:p>
    <w:p>
      <w:pPr>
        <w:spacing w:after="0" w:before="0" w:line="240" w:lineRule="auto"/>
        <w:ind w:left="57"/>
        <w:jc w:val="left"/>
        <w:shd w:val="clear" w:fill="F2F2F2"/>
      </w:pPr>
      <w:r>
        <w:rPr>
          <w:rFonts w:ascii="Consolas" w:hAnsi="Consolas" w:cs="Consolas"/>
          <w:b w:val="0"/>
          <w:i w:val="0"/>
          <w:sz w:val="15"/>
        </w:rPr>
        <w:t xml:space="preserve">          "amount": 300.0,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 "SGS Lab",</w:t>
      </w:r>
    </w:p>
    <w:p>
      <w:pPr>
        <w:spacing w:after="0" w:before="0" w:line="240" w:lineRule="auto"/>
        <w:ind w:left="57"/>
        <w:jc w:val="left"/>
        <w:shd w:val="clear" w:fill="F2F2F2"/>
      </w:pPr>
      <w:r>
        <w:rPr>
          <w:rFonts w:ascii="Consolas" w:hAnsi="Consolas" w:cs="Consolas"/>
          <w:b w:val="0"/>
          <w:i w:val="0"/>
          <w:sz w:val="15"/>
        </w:rPr>
        <w:t xml:space="preserve">          "amount": 200.0,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 "Customs Broker (cert)",</w:t>
      </w:r>
    </w:p>
    <w:p>
      <w:pPr>
        <w:spacing w:after="0" w:before="0" w:line="240" w:lineRule="auto"/>
        <w:ind w:left="57"/>
        <w:jc w:val="left"/>
        <w:shd w:val="clear" w:fill="F2F2F2"/>
      </w:pPr>
      <w:r>
        <w:rPr>
          <w:rFonts w:ascii="Consolas" w:hAnsi="Consolas" w:cs="Consolas"/>
          <w:b w:val="0"/>
          <w:i w:val="0"/>
          <w:sz w:val="15"/>
        </w:rPr>
        <w:t xml:space="preserve">          "amount": 150.0,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 "Egypt Customs",</w:t>
      </w:r>
    </w:p>
    <w:p>
      <w:pPr>
        <w:spacing w:after="0" w:before="0" w:line="240" w:lineRule="auto"/>
        <w:ind w:left="57"/>
        <w:jc w:val="left"/>
        <w:shd w:val="clear" w:fill="F2F2F2"/>
      </w:pPr>
      <w:r>
        <w:rPr>
          <w:rFonts w:ascii="Consolas" w:hAnsi="Consolas" w:cs="Consolas"/>
          <w:b w:val="0"/>
          <w:i w:val="0"/>
          <w:sz w:val="15"/>
        </w:rPr>
        <w:t xml:space="preserve">          "amount": 200.0,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"stage2": {</w:t>
      </w:r>
    </w:p>
    <w:p>
      <w:pPr>
        <w:spacing w:after="0" w:before="0" w:line="240" w:lineRule="auto"/>
        <w:ind w:left="57"/>
        <w:jc w:val="left"/>
        <w:shd w:val="clear" w:fill="F2F2F2"/>
      </w:pPr>
      <w:r>
        <w:rPr>
          <w:rFonts w:ascii="Consolas" w:hAnsi="Consolas" w:cs="Consolas"/>
          <w:b w:val="0"/>
          <w:i w:val="0"/>
          <w:sz w:val="15"/>
        </w:rPr>
        <w:t xml:space="preserve">      "status": "PENDING",</w:t>
      </w:r>
    </w:p>
    <w:p>
      <w:pPr>
        <w:spacing w:after="0" w:before="0" w:line="240" w:lineRule="auto"/>
        <w:ind w:left="57"/>
        <w:jc w:val="left"/>
        <w:shd w:val="clear" w:fill="F2F2F2"/>
      </w:pPr>
      <w:r>
        <w:rPr>
          <w:rFonts w:ascii="Consolas" w:hAnsi="Consolas" w:cs="Consolas"/>
          <w:b w:val="0"/>
          <w:i w:val="0"/>
          <w:sz w:val="15"/>
        </w:rPr>
        <w:t xml:space="preserve">      "transactions":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 "MSC",</w:t>
      </w:r>
    </w:p>
    <w:p>
      <w:pPr>
        <w:spacing w:after="0" w:before="0" w:line="240" w:lineRule="auto"/>
        <w:ind w:left="57"/>
        <w:jc w:val="left"/>
        <w:shd w:val="clear" w:fill="F2F2F2"/>
      </w:pPr>
      <w:r>
        <w:rPr>
          <w:rFonts w:ascii="Consolas" w:hAnsi="Consolas" w:cs="Consolas"/>
          <w:b w:val="0"/>
          <w:i w:val="0"/>
          <w:sz w:val="15"/>
        </w:rPr>
        <w:t xml:space="preserve">          "amount": 4200.0,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"condition": "CREDIT",</w:t>
      </w:r>
    </w:p>
    <w:p>
      <w:pPr>
        <w:spacing w:after="0" w:before="0" w:line="240" w:lineRule="auto"/>
        <w:ind w:left="57"/>
        <w:jc w:val="left"/>
        <w:shd w:val="clear" w:fill="F2F2F2"/>
      </w:pPr>
      <w:r>
        <w:rPr>
          <w:rFonts w:ascii="Consolas" w:hAnsi="Consolas" w:cs="Consolas"/>
          <w:b w:val="0"/>
          <w:i w:val="0"/>
          <w:sz w:val="15"/>
        </w:rPr>
        <w:t xml:space="preserve">          "due_date": "2026-06-05"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"deferred": {</w:t>
      </w:r>
    </w:p>
    <w:p>
      <w:pPr>
        <w:spacing w:after="0" w:before="0" w:line="240" w:lineRule="auto"/>
        <w:ind w:left="57"/>
        <w:jc w:val="left"/>
        <w:shd w:val="clear" w:fill="F2F2F2"/>
      </w:pPr>
      <w:r>
        <w:rPr>
          <w:rFonts w:ascii="Consolas" w:hAnsi="Consolas" w:cs="Consolas"/>
          <w:b w:val="0"/>
          <w:i w:val="0"/>
          <w:sz w:val="15"/>
        </w:rPr>
        <w:t xml:space="preserve">      "status": "GUARANTEE_HELD",</w:t>
      </w:r>
    </w:p>
    <w:p>
      <w:pPr>
        <w:spacing w:after="0" w:before="0" w:line="240" w:lineRule="auto"/>
        <w:ind w:left="57"/>
        <w:jc w:val="left"/>
        <w:shd w:val="clear" w:fill="F2F2F2"/>
      </w:pPr>
      <w:r>
        <w:rPr>
          <w:rFonts w:ascii="Consolas" w:hAnsi="Consolas" w:cs="Consolas"/>
          <w:b w:val="0"/>
          <w:i w:val="0"/>
          <w:sz w:val="15"/>
        </w:rPr>
        <w:t xml:space="preserve">      "guarantee_amount": 10000.0,</w:t>
      </w:r>
    </w:p>
    <w:p>
      <w:pPr>
        <w:spacing w:after="0" w:before="0" w:line="240" w:lineRule="auto"/>
        <w:ind w:left="57"/>
        <w:jc w:val="left"/>
        <w:shd w:val="clear" w:fill="F2F2F2"/>
      </w:pPr>
      <w:r>
        <w:rPr>
          <w:rFonts w:ascii="Consolas" w:hAnsi="Consolas" w:cs="Consolas"/>
          <w:b w:val="0"/>
          <w:i w:val="0"/>
          <w:sz w:val="15"/>
        </w:rPr>
        <w:t xml:space="preserve">      "trigger_milestone": "CUSTOMS_IMPORT",</w:t>
      </w:r>
    </w:p>
    <w:p>
      <w:pPr>
        <w:spacing w:after="0" w:before="0" w:line="240" w:lineRule="auto"/>
        <w:ind w:left="57"/>
        <w:jc w:val="left"/>
        <w:shd w:val="clear" w:fill="F2F2F2"/>
      </w:pPr>
      <w:r>
        <w:rPr>
          <w:rFonts w:ascii="Consolas" w:hAnsi="Consolas" w:cs="Consolas"/>
          <w:b w:val="0"/>
          <w:i w:val="0"/>
          <w:sz w:val="15"/>
        </w:rPr>
        <w:t xml:space="preserve">      "expiry_date": "2026-05-15T23:59:59Z"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"financing":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"timeline":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"2026-04-15T09:00:00Z",</w:t>
      </w:r>
    </w:p>
    <w:p>
      <w:pPr>
        <w:spacing w:after="0" w:before="0" w:line="240" w:lineRule="auto"/>
        <w:ind w:left="57"/>
        <w:jc w:val="left"/>
        <w:shd w:val="clear" w:fill="F2F2F2"/>
      </w:pPr>
      <w:r>
        <w:rPr>
          <w:rFonts w:ascii="Consolas" w:hAnsi="Consolas" w:cs="Consolas"/>
          <w:b w:val="0"/>
          <w:i w:val="0"/>
          <w:sz w:val="15"/>
        </w:rPr>
        <w:t xml:space="preserve">      "event": "TRADE_INITIATED",</w:t>
      </w:r>
    </w:p>
    <w:p>
      <w:pPr>
        <w:spacing w:after="0" w:before="0" w:line="240" w:lineRule="auto"/>
        <w:ind w:left="57"/>
        <w:jc w:val="left"/>
        <w:shd w:val="clear" w:fill="F2F2F2"/>
      </w:pPr>
      <w:r>
        <w:rPr>
          <w:rFonts w:ascii="Consolas" w:hAnsi="Consolas" w:cs="Consolas"/>
          <w:b w:val="0"/>
          <w:i w:val="0"/>
          <w:sz w:val="15"/>
        </w:rPr>
        <w:t xml:space="preserve">      "actor": "buyer@importer.com"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"2026-04-15T10:00:00Z",</w:t>
      </w:r>
    </w:p>
    <w:p>
      <w:pPr>
        <w:spacing w:after="0" w:before="0" w:line="240" w:lineRule="auto"/>
        <w:ind w:left="57"/>
        <w:jc w:val="left"/>
        <w:shd w:val="clear" w:fill="F2F2F2"/>
      </w:pPr>
      <w:r>
        <w:rPr>
          <w:rFonts w:ascii="Consolas" w:hAnsi="Consolas" w:cs="Consolas"/>
          <w:b w:val="0"/>
          <w:i w:val="0"/>
          <w:sz w:val="15"/>
        </w:rPr>
        <w:t xml:space="preserve">      "event": "SELLER_ACCEPTED",</w:t>
      </w:r>
    </w:p>
    <w:p>
      <w:pPr>
        <w:spacing w:after="0" w:before="0" w:line="240" w:lineRule="auto"/>
        <w:ind w:left="57"/>
        <w:jc w:val="left"/>
        <w:shd w:val="clear" w:fill="F2F2F2"/>
      </w:pPr>
      <w:r>
        <w:rPr>
          <w:rFonts w:ascii="Consolas" w:hAnsi="Consolas" w:cs="Consolas"/>
          <w:b w:val="0"/>
          <w:i w:val="0"/>
          <w:sz w:val="15"/>
        </w:rPr>
        <w:t xml:space="preserve">      "actor": "seller@exporter.com"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"2026-04-15T10:30:00Z",</w:t>
      </w:r>
    </w:p>
    <w:p>
      <w:pPr>
        <w:spacing w:after="0" w:before="0" w:line="240" w:lineRule="auto"/>
        <w:ind w:left="57"/>
        <w:jc w:val="left"/>
        <w:shd w:val="clear" w:fill="F2F2F2"/>
      </w:pPr>
      <w:r>
        <w:rPr>
          <w:rFonts w:ascii="Consolas" w:hAnsi="Consolas" w:cs="Consolas"/>
          <w:b w:val="0"/>
          <w:i w:val="0"/>
          <w:sz w:val="15"/>
        </w:rPr>
        <w:t xml:space="preserve">      "event": "QUOTE_SUBMITTED",</w:t>
      </w:r>
    </w:p>
    <w:p>
      <w:pPr>
        <w:spacing w:after="0" w:before="0" w:line="240" w:lineRule="auto"/>
        <w:ind w:left="57"/>
        <w:jc w:val="left"/>
        <w:shd w:val="clear" w:fill="F2F2F2"/>
      </w:pPr>
      <w:r>
        <w:rPr>
          <w:rFonts w:ascii="Consolas" w:hAnsi="Consolas" w:cs="Consolas"/>
          <w:b w:val="0"/>
          <w:i w:val="0"/>
          <w:sz w:val="15"/>
        </w:rPr>
        <w:t xml:space="preserve">      "actor": "seller@exporter.com"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"2026-04-15T11:00:00Z",</w:t>
      </w:r>
    </w:p>
    <w:p>
      <w:pPr>
        <w:spacing w:after="0" w:before="0" w:line="240" w:lineRule="auto"/>
        <w:ind w:left="57"/>
        <w:jc w:val="left"/>
        <w:shd w:val="clear" w:fill="F2F2F2"/>
      </w:pPr>
      <w:r>
        <w:rPr>
          <w:rFonts w:ascii="Consolas" w:hAnsi="Consolas" w:cs="Consolas"/>
          <w:b w:val="0"/>
          <w:i w:val="0"/>
          <w:sz w:val="15"/>
        </w:rPr>
        <w:t xml:space="preserve">      "event": "CONTRACT_SIGNED",</w:t>
      </w:r>
    </w:p>
    <w:p>
      <w:pPr>
        <w:spacing w:after="0" w:before="0" w:line="240" w:lineRule="auto"/>
        <w:ind w:left="57"/>
        <w:jc w:val="left"/>
        <w:shd w:val="clear" w:fill="F2F2F2"/>
      </w:pPr>
      <w:r>
        <w:rPr>
          <w:rFonts w:ascii="Consolas" w:hAnsi="Consolas" w:cs="Consolas"/>
          <w:b w:val="0"/>
          <w:i w:val="0"/>
          <w:sz w:val="15"/>
        </w:rPr>
        <w:t xml:space="preserve">      "actor": "both"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"2026-04-15T12:00:00Z",</w:t>
      </w:r>
    </w:p>
    <w:p>
      <w:pPr>
        <w:spacing w:after="0" w:before="0" w:line="240" w:lineRule="auto"/>
        <w:ind w:left="57"/>
        <w:jc w:val="left"/>
        <w:shd w:val="clear" w:fill="F2F2F2"/>
      </w:pPr>
      <w:r>
        <w:rPr>
          <w:rFonts w:ascii="Consolas" w:hAnsi="Consolas" w:cs="Consolas"/>
          <w:b w:val="0"/>
          <w:i w:val="0"/>
          <w:sz w:val="15"/>
        </w:rPr>
        <w:t xml:space="preserve">      "event": "USTN_GENERATED",</w:t>
      </w:r>
    </w:p>
    <w:p>
      <w:pPr>
        <w:spacing w:after="0" w:before="0" w:line="240" w:lineRule="auto"/>
        <w:ind w:left="57"/>
        <w:jc w:val="left"/>
        <w:shd w:val="clear" w:fill="F2F2F2"/>
      </w:pPr>
      <w:r>
        <w:rPr>
          <w:rFonts w:ascii="Consolas" w:hAnsi="Consolas" w:cs="Consolas"/>
          <w:b w:val="0"/>
          <w:i w:val="0"/>
          <w:sz w:val="15"/>
        </w:rPr>
        <w:t xml:space="preserve">      "actor": "system",</w:t>
      </w:r>
    </w:p>
    <w:p>
      <w:pPr>
        <w:spacing w:after="0" w:before="0" w:line="240" w:lineRule="auto"/>
        <w:ind w:left="57"/>
        <w:jc w:val="left"/>
        <w:shd w:val="clear" w:fill="F2F2F2"/>
      </w:pPr>
      <w:r>
        <w:rPr>
          <w:rFonts w:ascii="Consolas" w:hAnsi="Consolas" w:cs="Consolas"/>
          <w:b w:val="0"/>
          <w:i w:val="0"/>
          <w:sz w:val="15"/>
        </w:rPr>
        <w:t xml:space="preserve">      "details": {</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"2026-04-15T13:00:00Z",</w:t>
      </w:r>
    </w:p>
    <w:p>
      <w:pPr>
        <w:spacing w:after="0" w:before="0" w:line="240" w:lineRule="auto"/>
        <w:ind w:left="57"/>
        <w:jc w:val="left"/>
        <w:shd w:val="clear" w:fill="F2F2F2"/>
      </w:pPr>
      <w:r>
        <w:rPr>
          <w:rFonts w:ascii="Consolas" w:hAnsi="Consolas" w:cs="Consolas"/>
          <w:b w:val="0"/>
          <w:i w:val="0"/>
          <w:sz w:val="15"/>
        </w:rPr>
        <w:t xml:space="preserve">      "event": "STAGE1_PAID",</w:t>
      </w:r>
    </w:p>
    <w:p>
      <w:pPr>
        <w:spacing w:after="0" w:before="0" w:line="240" w:lineRule="auto"/>
        <w:ind w:left="57"/>
        <w:jc w:val="left"/>
        <w:shd w:val="clear" w:fill="F2F2F2"/>
      </w:pPr>
      <w:r>
        <w:rPr>
          <w:rFonts w:ascii="Consolas" w:hAnsi="Consolas" w:cs="Consolas"/>
          <w:b w:val="0"/>
          <w:i w:val="0"/>
          <w:sz w:val="15"/>
        </w:rPr>
        <w:t xml:space="preserve">      "actor": "system"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"2026-04-15T13:05:00Z",</w:t>
      </w:r>
    </w:p>
    <w:p>
      <w:pPr>
        <w:spacing w:after="0" w:before="0" w:line="240" w:lineRule="auto"/>
        <w:ind w:left="57"/>
        <w:jc w:val="left"/>
        <w:shd w:val="clear" w:fill="F2F2F2"/>
      </w:pPr>
      <w:r>
        <w:rPr>
          <w:rFonts w:ascii="Consolas" w:hAnsi="Consolas" w:cs="Consolas"/>
          <w:b w:val="0"/>
          <w:i w:val="0"/>
          <w:sz w:val="15"/>
        </w:rPr>
        <w:t xml:space="preserve">      "event": "CUSTOMS_DECLARATION_SUBMITTED",</w:t>
      </w:r>
    </w:p>
    <w:p>
      <w:pPr>
        <w:spacing w:after="0" w:before="0" w:line="240" w:lineRule="auto"/>
        <w:ind w:left="57"/>
        <w:jc w:val="left"/>
        <w:shd w:val="clear" w:fill="F2F2F2"/>
      </w:pPr>
      <w:r>
        <w:rPr>
          <w:rFonts w:ascii="Consolas" w:hAnsi="Consolas" w:cs="Consolas"/>
          <w:b w:val="0"/>
          <w:i w:val="0"/>
          <w:sz w:val="15"/>
        </w:rPr>
        <w:t xml:space="preserve">      "actor": "broker"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"2026-04-16T09:00:00Z",</w:t>
      </w:r>
    </w:p>
    <w:p>
      <w:pPr>
        <w:spacing w:after="0" w:before="0" w:line="240" w:lineRule="auto"/>
        <w:ind w:left="57"/>
        <w:jc w:val="left"/>
        <w:shd w:val="clear" w:fill="F2F2F2"/>
      </w:pPr>
      <w:r>
        <w:rPr>
          <w:rFonts w:ascii="Consolas" w:hAnsi="Consolas" w:cs="Consolas"/>
          <w:b w:val="0"/>
          <w:i w:val="0"/>
          <w:sz w:val="15"/>
        </w:rPr>
        <w:t xml:space="preserve">      "event": "BROKER_CERTIFIED",</w:t>
      </w:r>
    </w:p>
    <w:p>
      <w:pPr>
        <w:spacing w:after="0" w:before="0" w:line="240" w:lineRule="auto"/>
        <w:ind w:left="57"/>
        <w:jc w:val="left"/>
        <w:shd w:val="clear" w:fill="F2F2F2"/>
      </w:pPr>
      <w:r>
        <w:rPr>
          <w:rFonts w:ascii="Consolas" w:hAnsi="Consolas" w:cs="Consolas"/>
          <w:b w:val="0"/>
          <w:i w:val="0"/>
          <w:sz w:val="15"/>
        </w:rPr>
        <w:t xml:space="preserve">      "actor": "broker"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"2026-04-16T10:00:00Z",</w:t>
      </w:r>
    </w:p>
    <w:p>
      <w:pPr>
        <w:spacing w:after="0" w:before="0" w:line="240" w:lineRule="auto"/>
        <w:ind w:left="57"/>
        <w:jc w:val="left"/>
        <w:shd w:val="clear" w:fill="F2F2F2"/>
      </w:pPr>
      <w:r>
        <w:rPr>
          <w:rFonts w:ascii="Consolas" w:hAnsi="Consolas" w:cs="Consolas"/>
          <w:b w:val="0"/>
          <w:i w:val="0"/>
          <w:sz w:val="15"/>
        </w:rPr>
        <w:t xml:space="preserve">      "event": "BOOKING_CONFIRMED",</w:t>
      </w:r>
    </w:p>
    <w:p>
      <w:pPr>
        <w:spacing w:after="0" w:before="0" w:line="240" w:lineRule="auto"/>
        <w:ind w:left="57"/>
        <w:jc w:val="left"/>
        <w:shd w:val="clear" w:fill="F2F2F2"/>
      </w:pPr>
      <w:r>
        <w:rPr>
          <w:rFonts w:ascii="Consolas" w:hAnsi="Consolas" w:cs="Consolas"/>
          <w:b w:val="0"/>
          <w:i w:val="0"/>
          <w:sz w:val="15"/>
        </w:rPr>
        <w:t xml:space="preserve">      "actor": "shipping_line"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"2026-04-20T08:00:00Z",</w:t>
      </w:r>
    </w:p>
    <w:p>
      <w:pPr>
        <w:spacing w:after="0" w:before="0" w:line="240" w:lineRule="auto"/>
        <w:ind w:left="57"/>
        <w:jc w:val="left"/>
        <w:shd w:val="clear" w:fill="F2F2F2"/>
      </w:pPr>
      <w:r>
        <w:rPr>
          <w:rFonts w:ascii="Consolas" w:hAnsi="Consolas" w:cs="Consolas"/>
          <w:b w:val="0"/>
          <w:i w:val="0"/>
          <w:sz w:val="15"/>
        </w:rPr>
        <w:t xml:space="preserve">      "event": "VESSEL_DEPARTED",</w:t>
      </w:r>
    </w:p>
    <w:p>
      <w:pPr>
        <w:spacing w:after="0" w:before="0" w:line="240" w:lineRule="auto"/>
        <w:ind w:left="57"/>
        <w:jc w:val="left"/>
        <w:shd w:val="clear" w:fill="F2F2F2"/>
      </w:pPr>
      <w:r>
        <w:rPr>
          <w:rFonts w:ascii="Consolas" w:hAnsi="Consolas" w:cs="Consolas"/>
          <w:b w:val="0"/>
          <w:i w:val="0"/>
          <w:sz w:val="15"/>
        </w:rPr>
        <w:t xml:space="preserve">      "actor": "shipping_line"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"2026-05-05T14:00:00Z",</w:t>
      </w:r>
    </w:p>
    <w:p>
      <w:pPr>
        <w:spacing w:after="0" w:before="0" w:line="240" w:lineRule="auto"/>
        <w:ind w:left="57"/>
        <w:jc w:val="left"/>
        <w:shd w:val="clear" w:fill="F2F2F2"/>
      </w:pPr>
      <w:r>
        <w:rPr>
          <w:rFonts w:ascii="Consolas" w:hAnsi="Consolas" w:cs="Consolas"/>
          <w:b w:val="0"/>
          <w:i w:val="0"/>
          <w:sz w:val="15"/>
        </w:rPr>
        <w:t xml:space="preserve">      "event": "VESSEL_ARRIVED",</w:t>
      </w:r>
    </w:p>
    <w:p>
      <w:pPr>
        <w:spacing w:after="0" w:before="0" w:line="240" w:lineRule="auto"/>
        <w:ind w:left="57"/>
        <w:jc w:val="left"/>
        <w:shd w:val="clear" w:fill="F2F2F2"/>
      </w:pPr>
      <w:r>
        <w:rPr>
          <w:rFonts w:ascii="Consolas" w:hAnsi="Consolas" w:cs="Consolas"/>
          <w:b w:val="0"/>
          <w:i w:val="0"/>
          <w:sz w:val="15"/>
        </w:rPr>
        <w:t xml:space="preserve">      "actor": "shipping_line"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"2026-05-06T10:00:00Z",</w:t>
      </w:r>
    </w:p>
    <w:p>
      <w:pPr>
        <w:spacing w:after="0" w:before="0" w:line="240" w:lineRule="auto"/>
        <w:ind w:left="57"/>
        <w:jc w:val="left"/>
        <w:shd w:val="clear" w:fill="F2F2F2"/>
      </w:pPr>
      <w:r>
        <w:rPr>
          <w:rFonts w:ascii="Consolas" w:hAnsi="Consolas" w:cs="Consolas"/>
          <w:b w:val="0"/>
          <w:i w:val="0"/>
          <w:sz w:val="15"/>
        </w:rPr>
        <w:t xml:space="preserve">      "event": "CUSTOMS_IMPORT",</w:t>
      </w:r>
    </w:p>
    <w:p>
      <w:pPr>
        <w:spacing w:after="0" w:before="0" w:line="240" w:lineRule="auto"/>
        <w:ind w:left="57"/>
        <w:jc w:val="left"/>
        <w:shd w:val="clear" w:fill="F2F2F2"/>
      </w:pPr>
      <w:r>
        <w:rPr>
          <w:rFonts w:ascii="Consolas" w:hAnsi="Consolas" w:cs="Consolas"/>
          <w:b w:val="0"/>
          <w:i w:val="0"/>
          <w:sz w:val="15"/>
        </w:rPr>
        <w:t xml:space="preserve">      "actor": "buyer"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"2026-05-06T14:00:00Z",</w:t>
      </w:r>
    </w:p>
    <w:p>
      <w:pPr>
        <w:spacing w:after="0" w:before="0" w:line="240" w:lineRule="auto"/>
        <w:ind w:left="57"/>
        <w:jc w:val="left"/>
        <w:shd w:val="clear" w:fill="F2F2F2"/>
      </w:pPr>
      <w:r>
        <w:rPr>
          <w:rFonts w:ascii="Consolas" w:hAnsi="Consolas" w:cs="Consolas"/>
          <w:b w:val="0"/>
          <w:i w:val="0"/>
          <w:sz w:val="15"/>
        </w:rPr>
        <w:t xml:space="preserve">      "event": "DELIVERED",</w:t>
      </w:r>
    </w:p>
    <w:p>
      <w:pPr>
        <w:spacing w:after="0" w:before="0" w:line="240" w:lineRule="auto"/>
        <w:ind w:left="57"/>
        <w:jc w:val="left"/>
        <w:shd w:val="clear" w:fill="F2F2F2"/>
      </w:pPr>
      <w:r>
        <w:rPr>
          <w:rFonts w:ascii="Consolas" w:hAnsi="Consolas" w:cs="Consolas"/>
          <w:b w:val="0"/>
          <w:i w:val="0"/>
          <w:sz w:val="15"/>
        </w:rPr>
        <w:t xml:space="preserve">      "actor": "buyer"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"2026-05-07T10:00:00Z",</w:t>
      </w:r>
    </w:p>
    <w:p>
      <w:pPr>
        <w:spacing w:after="0" w:before="0" w:line="240" w:lineRule="auto"/>
        <w:ind w:left="57"/>
        <w:jc w:val="left"/>
        <w:shd w:val="clear" w:fill="F2F2F2"/>
      </w:pPr>
      <w:r>
        <w:rPr>
          <w:rFonts w:ascii="Consolas" w:hAnsi="Consolas" w:cs="Consolas"/>
          <w:b w:val="0"/>
          <w:i w:val="0"/>
          <w:sz w:val="15"/>
        </w:rPr>
        <w:t xml:space="preserve">      "event": "SETTLED",</w:t>
      </w:r>
    </w:p>
    <w:p>
      <w:pPr>
        <w:spacing w:after="0" w:before="0" w:line="240" w:lineRule="auto"/>
        <w:ind w:left="57"/>
        <w:jc w:val="left"/>
        <w:shd w:val="clear" w:fill="F2F2F2"/>
      </w:pPr>
      <w:r>
        <w:rPr>
          <w:rFonts w:ascii="Consolas" w:hAnsi="Consolas" w:cs="Consolas"/>
          <w:b w:val="0"/>
          <w:i w:val="0"/>
          <w:sz w:val="15"/>
        </w:rPr>
        <w:t xml:space="preserve">      "actor": "system"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"optional_services": {</w:t>
      </w:r>
    </w:p>
    <w:p>
      <w:pPr>
        <w:spacing w:after="0" w:before="0" w:line="240" w:lineRule="auto"/>
        <w:ind w:left="57"/>
        <w:jc w:val="left"/>
        <w:shd w:val="clear" w:fill="F2F2F2"/>
      </w:pPr>
      <w:r>
        <w:rPr>
          <w:rFonts w:ascii="Consolas" w:hAnsi="Consolas" w:cs="Consolas"/>
          <w:b w:val="0"/>
          <w:i w:val="0"/>
          <w:sz w:val="15"/>
        </w:rPr>
        <w:t xml:space="preserve">    "laboratory": {</w:t>
      </w:r>
    </w:p>
    <w:p>
      <w:pPr>
        <w:spacing w:after="0" w:before="0" w:line="240" w:lineRule="auto"/>
        <w:ind w:left="57"/>
        <w:jc w:val="left"/>
        <w:shd w:val="clear" w:fill="F2F2F2"/>
      </w:pPr>
      <w:r>
        <w:rPr>
          <w:rFonts w:ascii="Consolas" w:hAnsi="Consolas" w:cs="Consolas"/>
          <w:b w:val="0"/>
          <w:i w:val="0"/>
          <w:sz w:val="15"/>
        </w:rPr>
        <w:t xml:space="preserve">      "provider_gtid": "SGTX-EG-LAB-001",</w:t>
      </w:r>
    </w:p>
    <w:p>
      <w:pPr>
        <w:spacing w:after="0" w:before="0" w:line="240" w:lineRule="auto"/>
        <w:ind w:left="57"/>
        <w:jc w:val="left"/>
        <w:shd w:val="clear" w:fill="F2F2F2"/>
      </w:pPr>
      <w:r>
        <w:rPr>
          <w:rFonts w:ascii="Consolas" w:hAnsi="Consolas" w:cs="Consolas"/>
          <w:b w:val="0"/>
          <w:i w:val="0"/>
          <w:sz w:val="15"/>
        </w:rPr>
        <w:t xml:space="preserve">      "quote_id": "LABQ-001",</w:t>
      </w:r>
    </w:p>
    <w:p>
      <w:pPr>
        <w:spacing w:after="0" w:before="0" w:line="240" w:lineRule="auto"/>
        <w:ind w:left="57"/>
        <w:jc w:val="left"/>
        <w:shd w:val="clear" w:fill="F2F2F2"/>
      </w:pPr>
      <w:r>
        <w:rPr>
          <w:rFonts w:ascii="Consolas" w:hAnsi="Consolas" w:cs="Consolas"/>
          <w:b w:val="0"/>
          <w:i w:val="0"/>
          <w:sz w:val="15"/>
        </w:rPr>
        <w:t xml:space="preserve">      "fee": 200,</w:t>
      </w:r>
    </w:p>
    <w:p>
      <w:pPr>
        <w:spacing w:after="0" w:before="0" w:line="240" w:lineRule="auto"/>
        <w:ind w:left="57"/>
        <w:jc w:val="left"/>
        <w:shd w:val="clear" w:fill="F2F2F2"/>
      </w:pPr>
      <w:r>
        <w:rPr>
          <w:rFonts w:ascii="Consolas" w:hAnsi="Consolas" w:cs="Consolas"/>
          <w:b w:val="0"/>
          <w:i w:val="0"/>
          <w:sz w:val="15"/>
        </w:rPr>
        <w:t xml:space="preserve">      "status": "PAID",</w:t>
      </w:r>
    </w:p>
    <w:p>
      <w:pPr>
        <w:spacing w:after="0" w:before="0" w:line="240" w:lineRule="auto"/>
        <w:ind w:left="57"/>
        <w:jc w:val="left"/>
        <w:shd w:val="clear" w:fill="F2F2F2"/>
      </w:pPr>
      <w:r>
        <w:rPr>
          <w:rFonts w:ascii="Consolas" w:hAnsi="Consolas" w:cs="Consolas"/>
          <w:b w:val="0"/>
          <w:i w:val="0"/>
          <w:sz w:val="15"/>
        </w:rPr>
        <w:t xml:space="preserve">      "results": {</w:t>
      </w:r>
    </w:p>
    <w:p>
      <w:pPr>
        <w:spacing w:after="0" w:before="0" w:line="240" w:lineRule="auto"/>
        <w:ind w:left="57"/>
        <w:jc w:val="left"/>
        <w:shd w:val="clear" w:fill="F2F2F2"/>
      </w:pPr>
      <w:r>
        <w:rPr>
          <w:rFonts w:ascii="Consolas" w:hAnsi="Consolas" w:cs="Consolas"/>
          <w:b w:val="0"/>
          <w:i w:val="0"/>
          <w:sz w:val="15"/>
        </w:rPr>
        <w:t xml:space="preserve">        "cypermethrin": {</w:t>
      </w:r>
    </w:p>
    <w:p>
      <w:pPr>
        <w:spacing w:after="0" w:before="0" w:line="240" w:lineRule="auto"/>
        <w:ind w:left="57"/>
        <w:jc w:val="left"/>
        <w:shd w:val="clear" w:fill="F2F2F2"/>
      </w:pPr>
      <w:r>
        <w:rPr>
          <w:rFonts w:ascii="Consolas" w:hAnsi="Consolas" w:cs="Consolas"/>
          <w:b w:val="0"/>
          <w:i w:val="0"/>
          <w:sz w:val="15"/>
        </w:rPr>
        <w:t xml:space="preserve">          "value": 0.02,</w:t>
      </w:r>
    </w:p>
    <w:p>
      <w:pPr>
        <w:spacing w:after="0" w:before="0" w:line="240" w:lineRule="auto"/>
        <w:ind w:left="57"/>
        <w:jc w:val="left"/>
        <w:shd w:val="clear" w:fill="F2F2F2"/>
      </w:pPr>
      <w:r>
        <w:rPr>
          <w:rFonts w:ascii="Consolas" w:hAnsi="Consolas" w:cs="Consolas"/>
          <w:b w:val="0"/>
          <w:i w:val="0"/>
          <w:sz w:val="15"/>
        </w:rPr>
        <w:t xml:space="preserve">          "limit": 0.05,</w:t>
      </w:r>
    </w:p>
    <w:p>
      <w:pPr>
        <w:spacing w:after="0" w:before="0" w:line="240" w:lineRule="auto"/>
        <w:ind w:left="57"/>
        <w:jc w:val="left"/>
        <w:shd w:val="clear" w:fill="F2F2F2"/>
      </w:pPr>
      <w:r>
        <w:rPr>
          <w:rFonts w:ascii="Consolas" w:hAnsi="Consolas" w:cs="Consolas"/>
          <w:b w:val="0"/>
          <w:i w:val="0"/>
          <w:sz w:val="15"/>
        </w:rPr>
        <w:t xml:space="preserve">          "pass":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"chlorpyrifos": {</w:t>
      </w:r>
    </w:p>
    <w:p>
      <w:pPr>
        <w:spacing w:after="0" w:before="0" w:line="240" w:lineRule="auto"/>
        <w:ind w:left="57"/>
        <w:jc w:val="left"/>
        <w:shd w:val="clear" w:fill="F2F2F2"/>
      </w:pPr>
      <w:r>
        <w:rPr>
          <w:rFonts w:ascii="Consolas" w:hAnsi="Consolas" w:cs="Consolas"/>
          <w:b w:val="0"/>
          <w:i w:val="0"/>
          <w:sz w:val="15"/>
        </w:rPr>
        <w:t xml:space="preserve">          "value": 0.008,</w:t>
      </w:r>
    </w:p>
    <w:p>
      <w:pPr>
        <w:spacing w:after="0" w:before="0" w:line="240" w:lineRule="auto"/>
        <w:ind w:left="57"/>
        <w:jc w:val="left"/>
        <w:shd w:val="clear" w:fill="F2F2F2"/>
      </w:pPr>
      <w:r>
        <w:rPr>
          <w:rFonts w:ascii="Consolas" w:hAnsi="Consolas" w:cs="Consolas"/>
          <w:b w:val="0"/>
          <w:i w:val="0"/>
          <w:sz w:val="15"/>
        </w:rPr>
        <w:t xml:space="preserve">          "limit": 0.01,</w:t>
      </w:r>
    </w:p>
    <w:p>
      <w:pPr>
        <w:spacing w:after="0" w:before="0" w:line="240" w:lineRule="auto"/>
        <w:ind w:left="57"/>
        <w:jc w:val="left"/>
        <w:shd w:val="clear" w:fill="F2F2F2"/>
      </w:pPr>
      <w:r>
        <w:rPr>
          <w:rFonts w:ascii="Consolas" w:hAnsi="Consolas" w:cs="Consolas"/>
          <w:b w:val="0"/>
          <w:i w:val="0"/>
          <w:sz w:val="15"/>
        </w:rPr>
        <w:t xml:space="preserve">          "pass":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"qc_inspection": {</w:t>
      </w:r>
    </w:p>
    <w:p>
      <w:pPr>
        <w:spacing w:after="0" w:before="0" w:line="240" w:lineRule="auto"/>
        <w:ind w:left="57"/>
        <w:jc w:val="left"/>
        <w:shd w:val="clear" w:fill="F2F2F2"/>
      </w:pPr>
      <w:r>
        <w:rPr>
          <w:rFonts w:ascii="Consolas" w:hAnsi="Consolas" w:cs="Consolas"/>
          <w:b w:val="0"/>
          <w:i w:val="0"/>
          <w:sz w:val="15"/>
        </w:rPr>
        <w:t xml:space="preserve">      "provider_gtid": "SGTX-EG-QC-002",</w:t>
      </w:r>
    </w:p>
    <w:p>
      <w:pPr>
        <w:spacing w:after="0" w:before="0" w:line="240" w:lineRule="auto"/>
        <w:ind w:left="57"/>
        <w:jc w:val="left"/>
        <w:shd w:val="clear" w:fill="F2F2F2"/>
      </w:pPr>
      <w:r>
        <w:rPr>
          <w:rFonts w:ascii="Consolas" w:hAnsi="Consolas" w:cs="Consolas"/>
          <w:b w:val="0"/>
          <w:i w:val="0"/>
          <w:sz w:val="15"/>
        </w:rPr>
        <w:t xml:space="preserve">      "quote_id": "QCQ-001",</w:t>
      </w:r>
    </w:p>
    <w:p>
      <w:pPr>
        <w:spacing w:after="0" w:before="0" w:line="240" w:lineRule="auto"/>
        <w:ind w:left="57"/>
        <w:jc w:val="left"/>
        <w:shd w:val="clear" w:fill="F2F2F2"/>
      </w:pPr>
      <w:r>
        <w:rPr>
          <w:rFonts w:ascii="Consolas" w:hAnsi="Consolas" w:cs="Consolas"/>
          <w:b w:val="0"/>
          <w:i w:val="0"/>
          <w:sz w:val="15"/>
        </w:rPr>
        <w:t xml:space="preserve">      "fee": 500,</w:t>
      </w:r>
    </w:p>
    <w:p>
      <w:pPr>
        <w:spacing w:after="0" w:before="0" w:line="240" w:lineRule="auto"/>
        <w:ind w:left="57"/>
        <w:jc w:val="left"/>
        <w:shd w:val="clear" w:fill="F2F2F2"/>
      </w:pPr>
      <w:r>
        <w:rPr>
          <w:rFonts w:ascii="Consolas" w:hAnsi="Consolas" w:cs="Consolas"/>
          <w:b w:val="0"/>
          <w:i w:val="0"/>
          <w:sz w:val="15"/>
        </w:rPr>
        <w:t xml:space="preserve">      "status": "PAID",</w:t>
      </w:r>
    </w:p>
    <w:p>
      <w:pPr>
        <w:spacing w:after="0" w:before="0" w:line="240" w:lineRule="auto"/>
        <w:ind w:left="57"/>
        <w:jc w:val="left"/>
        <w:shd w:val="clear" w:fill="F2F2F2"/>
      </w:pPr>
      <w:r>
        <w:rPr>
          <w:rFonts w:ascii="Consolas" w:hAnsi="Consolas" w:cs="Consolas"/>
          <w:b w:val="0"/>
          <w:i w:val="0"/>
          <w:sz w:val="15"/>
        </w:rPr>
        <w:t xml:space="preserve">      "report": {</w:t>
      </w:r>
    </w:p>
    <w:p>
      <w:pPr>
        <w:spacing w:after="0" w:before="0" w:line="240" w:lineRule="auto"/>
        <w:ind w:left="57"/>
        <w:jc w:val="left"/>
        <w:shd w:val="clear" w:fill="F2F2F2"/>
      </w:pPr>
      <w:r>
        <w:rPr>
          <w:rFonts w:ascii="Consolas" w:hAnsi="Consolas" w:cs="Consolas"/>
          <w:b w:val="0"/>
          <w:i w:val="0"/>
          <w:sz w:val="15"/>
        </w:rPr>
        <w:t xml:space="preserve">        "verdict": "CONDITIONAL_PASS",</w:t>
      </w:r>
    </w:p>
    <w:p>
      <w:pPr>
        <w:spacing w:after="0" w:before="0" w:line="240" w:lineRule="auto"/>
        <w:ind w:left="57"/>
        <w:jc w:val="left"/>
        <w:shd w:val="clear" w:fill="F2F2F2"/>
      </w:pPr>
      <w:r>
        <w:rPr>
          <w:rFonts w:ascii="Consolas" w:hAnsi="Consolas" w:cs="Consolas"/>
          <w:b w:val="0"/>
          <w:i w:val="0"/>
          <w:sz w:val="15"/>
        </w:rPr>
        <w:t xml:space="preserve">        "defects":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"pallet_id": "OR019",</w:t>
      </w:r>
    </w:p>
    <w:p>
      <w:pPr>
        <w:spacing w:after="0" w:before="0" w:line="240" w:lineRule="auto"/>
        <w:ind w:left="57"/>
        <w:jc w:val="left"/>
        <w:shd w:val="clear" w:fill="F2F2F2"/>
      </w:pPr>
      <w:r>
        <w:rPr>
          <w:rFonts w:ascii="Consolas" w:hAnsi="Consolas" w:cs="Consolas"/>
          <w:b w:val="0"/>
          <w:i w:val="0"/>
          <w:sz w:val="15"/>
        </w:rPr>
        <w:t xml:space="preserve">            "defect": "mould",</w:t>
      </w:r>
    </w:p>
    <w:p>
      <w:pPr>
        <w:spacing w:after="0" w:before="0" w:line="240" w:lineRule="auto"/>
        <w:ind w:left="57"/>
        <w:jc w:val="left"/>
        <w:shd w:val="clear" w:fill="F2F2F2"/>
      </w:pPr>
      <w:r>
        <w:rPr>
          <w:rFonts w:ascii="Consolas" w:hAnsi="Consolas" w:cs="Consolas"/>
          <w:b w:val="0"/>
          <w:i w:val="0"/>
          <w:sz w:val="15"/>
        </w:rPr>
        <w:t xml:space="preserve">            "severity": "medium",</w:t>
      </w:r>
    </w:p>
    <w:p>
      <w:pPr>
        <w:spacing w:after="0" w:before="0" w:line="240" w:lineRule="auto"/>
        <w:ind w:left="57"/>
        <w:jc w:val="left"/>
        <w:shd w:val="clear" w:fill="F2F2F2"/>
      </w:pPr>
      <w:r>
        <w:rPr>
          <w:rFonts w:ascii="Consolas" w:hAnsi="Consolas" w:cs="Consolas"/>
          <w:b w:val="0"/>
          <w:i w:val="0"/>
          <w:sz w:val="15"/>
        </w:rPr>
        <w:t xml:space="preserve">            "ai_confidence": 92,</w:t>
      </w:r>
    </w:p>
    <w:p>
      <w:pPr>
        <w:spacing w:after="0" w:before="0" w:line="240" w:lineRule="auto"/>
        <w:ind w:left="57"/>
        <w:jc w:val="left"/>
        <w:shd w:val="clear" w:fill="F2F2F2"/>
      </w:pPr>
      <w:r>
        <w:rPr>
          <w:rFonts w:ascii="Consolas" w:hAnsi="Consolas" w:cs="Consolas"/>
          <w:b w:val="0"/>
          <w:i w:val="0"/>
          <w:sz w:val="15"/>
        </w:rPr>
        <w:t xml:space="preserve">            "inspector_override":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"pallet_id": "OR020",</w:t>
      </w:r>
    </w:p>
    <w:p>
      <w:pPr>
        <w:spacing w:after="0" w:before="0" w:line="240" w:lineRule="auto"/>
        <w:ind w:left="57"/>
        <w:jc w:val="left"/>
        <w:shd w:val="clear" w:fill="F2F2F2"/>
      </w:pPr>
      <w:r>
        <w:rPr>
          <w:rFonts w:ascii="Consolas" w:hAnsi="Consolas" w:cs="Consolas"/>
          <w:b w:val="0"/>
          <w:i w:val="0"/>
          <w:sz w:val="15"/>
        </w:rPr>
        <w:t xml:space="preserve">            "defect": "bruising",</w:t>
      </w:r>
    </w:p>
    <w:p>
      <w:pPr>
        <w:spacing w:after="0" w:before="0" w:line="240" w:lineRule="auto"/>
        <w:ind w:left="57"/>
        <w:jc w:val="left"/>
        <w:shd w:val="clear" w:fill="F2F2F2"/>
      </w:pPr>
      <w:r>
        <w:rPr>
          <w:rFonts w:ascii="Consolas" w:hAnsi="Consolas" w:cs="Consolas"/>
          <w:b w:val="0"/>
          <w:i w:val="0"/>
          <w:sz w:val="15"/>
        </w:rPr>
        <w:t xml:space="preserve">            "severity": "low",</w:t>
      </w:r>
    </w:p>
    <w:p>
      <w:pPr>
        <w:spacing w:after="0" w:before="0" w:line="240" w:lineRule="auto"/>
        <w:ind w:left="57"/>
        <w:jc w:val="left"/>
        <w:shd w:val="clear" w:fill="F2F2F2"/>
      </w:pPr>
      <w:r>
        <w:rPr>
          <w:rFonts w:ascii="Consolas" w:hAnsi="Consolas" w:cs="Consolas"/>
          <w:b w:val="0"/>
          <w:i w:val="0"/>
          <w:sz w:val="15"/>
        </w:rPr>
        <w:t xml:space="preserve">            "ai_confidence": 88,</w:t>
      </w:r>
    </w:p>
    <w:p>
      <w:pPr>
        <w:spacing w:after="0" w:before="0" w:line="240" w:lineRule="auto"/>
        <w:ind w:left="57"/>
        <w:jc w:val="left"/>
        <w:shd w:val="clear" w:fill="F2F2F2"/>
      </w:pPr>
      <w:r>
        <w:rPr>
          <w:rFonts w:ascii="Consolas" w:hAnsi="Consolas" w:cs="Consolas"/>
          <w:b w:val="0"/>
          <w:i w:val="0"/>
          <w:sz w:val="15"/>
        </w:rPr>
        <w:t xml:space="preserve">            "inspector_override": true,</w:t>
      </w:r>
    </w:p>
    <w:p>
      <w:pPr>
        <w:spacing w:after="0" w:before="0" w:line="240" w:lineRule="auto"/>
        <w:ind w:left="57"/>
        <w:jc w:val="left"/>
        <w:shd w:val="clear" w:fill="F2F2F2"/>
      </w:pPr>
      <w:r>
        <w:rPr>
          <w:rFonts w:ascii="Consolas" w:hAnsi="Consolas" w:cs="Consolas"/>
          <w:b w:val="0"/>
          <w:i w:val="0"/>
          <w:sz w:val="15"/>
        </w:rPr>
        <w:t xml:space="preserve">            "override_reason": "Dark spot is surface bruise, no mould."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"blockchain_anchor": {</w:t>
      </w:r>
    </w:p>
    <w:p>
      <w:pPr>
        <w:spacing w:after="0" w:before="0" w:line="240" w:lineRule="auto"/>
        <w:ind w:left="57"/>
        <w:jc w:val="left"/>
        <w:shd w:val="clear" w:fill="F2F2F2"/>
      </w:pPr>
      <w:r>
        <w:rPr>
          <w:rFonts w:ascii="Consolas" w:hAnsi="Consolas" w:cs="Consolas"/>
          <w:b w:val="0"/>
          <w:i w:val="0"/>
          <w:sz w:val="15"/>
        </w:rPr>
        <w:t xml:space="preserve">    "txid": "0xabc123...",</w:t>
      </w:r>
    </w:p>
    <w:p>
      <w:pPr>
        <w:spacing w:after="0" w:before="0" w:line="240" w:lineRule="auto"/>
        <w:ind w:left="57"/>
        <w:jc w:val="left"/>
        <w:shd w:val="clear" w:fill="F2F2F2"/>
      </w:pPr>
      <w:r>
        <w:rPr>
          <w:rFonts w:ascii="Consolas" w:hAnsi="Consolas" w:cs="Consolas"/>
          <w:b w:val="0"/>
          <w:i w:val="0"/>
          <w:sz w:val="15"/>
        </w:rPr>
        <w:t xml:space="preserve">    "merkle_root": "sha256:...",</w:t>
      </w:r>
    </w:p>
    <w:p>
      <w:pPr>
        <w:spacing w:after="0" w:before="0" w:line="240" w:lineRule="auto"/>
        <w:ind w:left="57"/>
        <w:jc w:val="left"/>
        <w:shd w:val="clear" w:fill="F2F2F2"/>
      </w:pPr>
      <w:r>
        <w:rPr>
          <w:rFonts w:ascii="Consolas" w:hAnsi="Consolas" w:cs="Consolas"/>
          <w:b w:val="0"/>
          <w:i w:val="0"/>
          <w:sz w:val="15"/>
        </w:rPr>
        <w:t xml:space="preserve">    "network": "polygon-mainnet",</w:t>
      </w:r>
    </w:p>
    <w:p>
      <w:pPr>
        <w:spacing w:after="0" w:before="0" w:line="240" w:lineRule="auto"/>
        <w:ind w:left="57"/>
        <w:jc w:val="left"/>
        <w:shd w:val="clear" w:fill="F2F2F2"/>
      </w:pPr>
      <w:r>
        <w:rPr>
          <w:rFonts w:ascii="Consolas" w:hAnsi="Consolas" w:cs="Consolas"/>
          <w:b w:val="0"/>
          <w:i w:val="0"/>
          <w:sz w:val="15"/>
        </w:rPr>
        <w:t xml:space="preserve">    "pqc_signature": "dilithium3:...",</w:t>
      </w:r>
    </w:p>
    <w:p>
      <w:pPr>
        <w:spacing w:after="0" w:before="0" w:line="240" w:lineRule="auto"/>
        <w:ind w:left="57"/>
        <w:jc w:val="left"/>
        <w:shd w:val="clear" w:fill="F2F2F2"/>
      </w:pPr>
      <w:r>
        <w:rPr>
          <w:rFonts w:ascii="Consolas" w:hAnsi="Consolas" w:cs="Consolas"/>
          <w:b w:val="0"/>
          <w:i w:val="0"/>
          <w:sz w:val="15"/>
        </w:rPr>
        <w:t xml:space="preserve">    "anchored_at": "2026-04-16T12:00:00Z"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"links": {</w:t>
      </w:r>
    </w:p>
    <w:p>
      <w:pPr>
        <w:spacing w:after="0" w:before="0" w:line="240" w:lineRule="auto"/>
        <w:ind w:left="57"/>
        <w:jc w:val="left"/>
        <w:shd w:val="clear" w:fill="F2F2F2"/>
      </w:pPr>
      <w:r>
        <w:rPr>
          <w:rFonts w:ascii="Consolas" w:hAnsi="Consolas" w:cs="Consolas"/>
          <w:b w:val="0"/>
          <w:i w:val="0"/>
          <w:sz w:val="15"/>
        </w:rPr>
        <w:t xml:space="preserve">    "trade_command_center": "https://sgtx.io/trade/SGTX-EG-26-F3A-1",</w:t>
      </w:r>
    </w:p>
    <w:p>
      <w:pPr>
        <w:spacing w:after="0" w:before="0" w:line="240" w:lineRule="auto"/>
        <w:ind w:left="57"/>
        <w:jc w:val="left"/>
        <w:shd w:val="clear" w:fill="F2F2F2"/>
      </w:pPr>
      <w:r>
        <w:rPr>
          <w:rFonts w:ascii="Consolas" w:hAnsi="Consolas" w:cs="Consolas"/>
          <w:b w:val="0"/>
          <w:i w:val="0"/>
          <w:sz w:val="15"/>
        </w:rPr>
        <w:t xml:space="preserve">    "export_pdf": "https://sgtx.io/api/v1/shipment/SGTX-EG-26-F3A-1/pdf",</w:t>
      </w:r>
    </w:p>
    <w:p>
      <w:pPr>
        <w:spacing w:after="0" w:before="0" w:line="240" w:lineRule="auto"/>
        <w:ind w:left="57"/>
        <w:jc w:val="left"/>
        <w:shd w:val="clear" w:fill="F2F2F2"/>
      </w:pPr>
      <w:r>
        <w:rPr>
          <w:rFonts w:ascii="Consolas" w:hAnsi="Consolas" w:cs="Consolas"/>
          <w:b w:val="0"/>
          <w:i w:val="0"/>
          <w:sz w:val="15"/>
        </w:rPr>
        <w:t xml:space="preserve">    "verify": "https://sgtx.io/verify/ustn/SGTX-EG-26-F3A-1",</w:t>
      </w:r>
    </w:p>
    <w:p>
      <w:pPr>
        <w:spacing w:after="0" w:before="0" w:line="240" w:lineRule="auto"/>
        <w:ind w:left="57"/>
        <w:jc w:val="left"/>
        <w:shd w:val="clear" w:fill="F2F2F2"/>
      </w:pPr>
      <w:r>
        <w:rPr>
          <w:rFonts w:ascii="Consolas" w:hAnsi="Consolas" w:cs="Consolas"/>
          <w:b w:val="0"/>
          <w:i w:val="0"/>
          <w:sz w:val="15"/>
        </w:rPr>
        <w:t xml:space="preserve">    "qr_code": "sgtx://ustn/SGTX-EG-26-F3A-1"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"corridor_data": {</w:t>
      </w:r>
    </w:p>
    <w:p>
      <w:pPr>
        <w:spacing w:after="0" w:before="0" w:line="240" w:lineRule="auto"/>
        <w:ind w:left="57"/>
        <w:jc w:val="left"/>
        <w:shd w:val="clear" w:fill="F2F2F2"/>
      </w:pPr>
      <w:r>
        <w:rPr>
          <w:rFonts w:ascii="Consolas" w:hAnsi="Consolas" w:cs="Consolas"/>
          <w:b w:val="0"/>
          <w:i w:val="0"/>
          <w:sz w:val="15"/>
        </w:rPr>
        <w:t xml:space="preserve">    "corridor_code": "EGY-ITA-RORO-001",</w:t>
      </w:r>
    </w:p>
    <w:p>
      <w:pPr>
        <w:spacing w:after="0" w:before="0" w:line="240" w:lineRule="auto"/>
        <w:ind w:left="57"/>
        <w:jc w:val="left"/>
        <w:shd w:val="clear" w:fill="F2F2F2"/>
      </w:pPr>
      <w:r>
        <w:rPr>
          <w:rFonts w:ascii="Consolas" w:hAnsi="Consolas" w:cs="Consolas"/>
          <w:b w:val="0"/>
          <w:i w:val="0"/>
          <w:sz w:val="15"/>
        </w:rPr>
        <w:t xml:space="preserve">    "corridor_name": "Egypt--Italy RoRo Corridor",</w:t>
      </w:r>
    </w:p>
    <w:p>
      <w:pPr>
        <w:spacing w:after="0" w:before="0" w:line="240" w:lineRule="auto"/>
        <w:ind w:left="57"/>
        <w:jc w:val="left"/>
        <w:shd w:val="clear" w:fill="F2F2F2"/>
      </w:pPr>
      <w:r>
        <w:rPr>
          <w:rFonts w:ascii="Consolas" w:hAnsi="Consolas" w:cs="Consolas"/>
          <w:b w:val="0"/>
          <w:i w:val="0"/>
          <w:sz w:val="15"/>
        </w:rPr>
        <w:t xml:space="preserve">    "transit_time_days": 6,</w:t>
      </w:r>
    </w:p>
    <w:p>
      <w:pPr>
        <w:spacing w:after="0" w:before="0" w:line="240" w:lineRule="auto"/>
        <w:ind w:left="57"/>
        <w:jc w:val="left"/>
        <w:shd w:val="clear" w:fill="F2F2F2"/>
      </w:pPr>
      <w:r>
        <w:rPr>
          <w:rFonts w:ascii="Consolas" w:hAnsi="Consolas" w:cs="Consolas"/>
          <w:b w:val="0"/>
          <w:i w:val="0"/>
          <w:sz w:val="15"/>
        </w:rPr>
        <w:t xml:space="preserve">    "eligibility_score": 94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5.3.4 Role-Based Filtering</w:t>
      </w:r>
    </w:p>
    <w:p>
      <w:pPr>
        <w:spacing w:after="80" w:line="293" w:lineRule="auto"/>
        <w:jc w:val="left"/>
      </w:pPr>
      <w:r>
        <w:rPr>
          <w:rFonts w:ascii="Times New Roman" w:hAnsi="Times New Roman" w:cs="Times New Roman"/>
          <w:b w:val="0"/>
          <w:i w:val="0"/>
          <w:sz w:val="22"/>
        </w:rPr>
        <w:t>The USTN master object is filtered based on the requester's role and permissions.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Role</w:t>
            </w:r>
          </w:p>
        </w:tc>
        <w:tc>
          <w:tcPr>
            <w:tcW w:type="dxa" w:w="3213"/>
            <w:shd w:val="clear" w:fill="D9E2F3"/>
          </w:tcPr>
          <w:p>
            <w:pPr>
              <w:spacing w:after="20" w:before="20" w:line="240" w:lineRule="auto"/>
            </w:pPr>
            <w:r/>
            <w:r>
              <w:rPr>
                <w:rFonts w:ascii="Arial" w:hAnsi="Arial" w:cs="Arial"/>
                <w:b/>
                <w:i w:val="0"/>
                <w:sz w:val="18"/>
              </w:rPr>
              <w:t>Visible Data</w:t>
            </w:r>
          </w:p>
        </w:tc>
        <w:tc>
          <w:tcPr>
            <w:tcW w:type="dxa" w:w="3213"/>
            <w:shd w:val="clear" w:fill="D9E2F3"/>
          </w:tcPr>
          <w:p>
            <w:pPr>
              <w:spacing w:after="20" w:before="20" w:line="240" w:lineRule="auto"/>
            </w:pPr>
            <w:r/>
            <w:r>
              <w:rPr>
                <w:rFonts w:ascii="Arial" w:hAnsi="Arial" w:cs="Arial"/>
                <w:b/>
                <w:i w:val="0"/>
                <w:sz w:val="18"/>
              </w:rPr>
              <w:t>Hidden Data</w:t>
            </w:r>
          </w:p>
        </w:tc>
      </w:tr>
      <w:tr>
        <w:tc>
          <w:tcPr>
            <w:tcW w:type="dxa" w:w="3213"/>
          </w:tcPr>
          <w:p>
            <w:pPr>
              <w:spacing w:after="20" w:before="20" w:line="240" w:lineRule="auto"/>
            </w:pPr>
            <w:r/>
            <w:r>
              <w:rPr>
                <w:rFonts w:ascii="Arial" w:hAnsi="Arial" w:cs="Arial"/>
                <w:b w:val="0"/>
                <w:i w:val="0"/>
                <w:sz w:val="17"/>
              </w:rPr>
              <w:t>Buyer (importer)</w:t>
            </w:r>
          </w:p>
        </w:tc>
        <w:tc>
          <w:tcPr>
            <w:tcW w:type="dxa" w:w="3213"/>
          </w:tcPr>
          <w:p>
            <w:pPr>
              <w:spacing w:after="20" w:before="20" w:line="240" w:lineRule="auto"/>
            </w:pPr>
            <w:r/>
            <w:r>
              <w:rPr>
                <w:rFonts w:ascii="Arial" w:hAnsi="Arial" w:cs="Arial"/>
                <w:b w:val="0"/>
                <w:i w:val="0"/>
                <w:sz w:val="17"/>
              </w:rPr>
              <w:t>Full commercial terms, parties, goods, logistics summary, payment plan, timeline</w:t>
            </w:r>
          </w:p>
        </w:tc>
        <w:tc>
          <w:tcPr>
            <w:tcW w:type="dxa" w:w="3213"/>
          </w:tcPr>
          <w:p>
            <w:pPr>
              <w:spacing w:after="20" w:before="20" w:line="240" w:lineRule="auto"/>
            </w:pPr>
            <w:r/>
            <w:r>
              <w:rPr>
                <w:rFonts w:ascii="Arial" w:hAnsi="Arial" w:cs="Arial"/>
                <w:b w:val="0"/>
                <w:i w:val="0"/>
                <w:sz w:val="17"/>
              </w:rPr>
              <w:t>Seller's internal cost breakdown and margins</w:t>
            </w:r>
          </w:p>
        </w:tc>
      </w:tr>
      <w:tr>
        <w:tc>
          <w:tcPr>
            <w:tcW w:type="dxa" w:w="3213"/>
          </w:tcPr>
          <w:p>
            <w:pPr>
              <w:spacing w:after="20" w:before="20" w:line="240" w:lineRule="auto"/>
            </w:pPr>
            <w:r/>
            <w:r>
              <w:rPr>
                <w:rFonts w:ascii="Arial" w:hAnsi="Arial" w:cs="Arial"/>
                <w:b w:val="0"/>
                <w:i w:val="0"/>
                <w:sz w:val="17"/>
              </w:rPr>
              <w:t>Seller (exporter)</w:t>
            </w:r>
          </w:p>
        </w:tc>
        <w:tc>
          <w:tcPr>
            <w:tcW w:type="dxa" w:w="3213"/>
          </w:tcPr>
          <w:p>
            <w:pPr>
              <w:spacing w:after="20" w:before="20" w:line="240" w:lineRule="auto"/>
            </w:pPr>
            <w:r/>
            <w:r>
              <w:rPr>
                <w:rFonts w:ascii="Arial" w:hAnsi="Arial" w:cs="Arial"/>
                <w:b w:val="0"/>
                <w:i w:val="0"/>
                <w:sz w:val="17"/>
              </w:rPr>
              <w:t>Full trade data including own cost breakdown, margins, all logistics</w:t>
            </w:r>
          </w:p>
        </w:tc>
        <w:tc>
          <w:tcPr>
            <w:tcW w:type="dxa" w:w="3213"/>
          </w:tcPr>
          <w:p>
            <w:pPr>
              <w:spacing w:after="20" w:before="20" w:line="240" w:lineRule="auto"/>
            </w:pPr>
            <w:r/>
            <w:r>
              <w:rPr>
                <w:rFonts w:ascii="Arial" w:hAnsi="Arial" w:cs="Arial"/>
                <w:b w:val="0"/>
                <w:i w:val="0"/>
                <w:sz w:val="17"/>
              </w:rPr>
              <w:t>Counterparty's internal data</w:t>
            </w:r>
          </w:p>
        </w:tc>
      </w:tr>
      <w:tr>
        <w:tc>
          <w:tcPr>
            <w:tcW w:type="dxa" w:w="3213"/>
          </w:tcPr>
          <w:p>
            <w:pPr>
              <w:spacing w:after="20" w:before="20" w:line="240" w:lineRule="auto"/>
            </w:pPr>
            <w:r/>
            <w:r>
              <w:rPr>
                <w:rFonts w:ascii="Arial" w:hAnsi="Arial" w:cs="Arial"/>
                <w:b w:val="0"/>
                <w:i w:val="0"/>
                <w:sz w:val="17"/>
              </w:rPr>
              <w:t>Logistics provider (LSP/SHIP)</w:t>
            </w:r>
          </w:p>
        </w:tc>
        <w:tc>
          <w:tcPr>
            <w:tcW w:type="dxa" w:w="3213"/>
          </w:tcPr>
          <w:p>
            <w:pPr>
              <w:spacing w:after="20" w:before="20" w:line="240" w:lineRule="auto"/>
            </w:pPr>
            <w:r/>
            <w:r>
              <w:rPr>
                <w:rFonts w:ascii="Arial" w:hAnsi="Arial" w:cs="Arial"/>
                <w:b w:val="0"/>
                <w:i w:val="0"/>
                <w:sz w:val="17"/>
              </w:rPr>
              <w:t>Only their own services, milestones, and shipment-level tracking data</w:t>
            </w:r>
          </w:p>
        </w:tc>
        <w:tc>
          <w:tcPr>
            <w:tcW w:type="dxa" w:w="3213"/>
          </w:tcPr>
          <w:p>
            <w:pPr>
              <w:spacing w:after="20" w:before="20" w:line="240" w:lineRule="auto"/>
            </w:pPr>
            <w:r/>
            <w:r>
              <w:rPr>
                <w:rFonts w:ascii="Arial" w:hAnsi="Arial" w:cs="Arial"/>
                <w:b w:val="0"/>
                <w:i w:val="0"/>
                <w:sz w:val="17"/>
              </w:rPr>
              <w:t>Commercial terms, pricing of other providers, payment plan</w:t>
            </w:r>
          </w:p>
        </w:tc>
      </w:tr>
      <w:tr>
        <w:tc>
          <w:tcPr>
            <w:tcW w:type="dxa" w:w="3213"/>
          </w:tcPr>
          <w:p>
            <w:pPr>
              <w:spacing w:after="20" w:before="20" w:line="240" w:lineRule="auto"/>
            </w:pPr>
            <w:r/>
            <w:r>
              <w:rPr>
                <w:rFonts w:ascii="Arial" w:hAnsi="Arial" w:cs="Arial"/>
                <w:b w:val="0"/>
                <w:i w:val="0"/>
                <w:sz w:val="17"/>
              </w:rPr>
              <w:t>Financier</w:t>
            </w:r>
          </w:p>
        </w:tc>
        <w:tc>
          <w:tcPr>
            <w:tcW w:type="dxa" w:w="3213"/>
          </w:tcPr>
          <w:p>
            <w:pPr>
              <w:spacing w:after="20" w:before="20" w:line="240" w:lineRule="auto"/>
            </w:pPr>
            <w:r/>
            <w:r>
              <w:rPr>
                <w:rFonts w:ascii="Arial" w:hAnsi="Arial" w:cs="Arial"/>
                <w:b w:val="0"/>
                <w:i w:val="0"/>
                <w:sz w:val="17"/>
              </w:rPr>
              <w:t>Full financing-relevant package (parties, goods, values, payment plan, risk)</w:t>
            </w:r>
          </w:p>
        </w:tc>
        <w:tc>
          <w:tcPr>
            <w:tcW w:type="dxa" w:w="3213"/>
          </w:tcPr>
          <w:p>
            <w:pPr>
              <w:spacing w:after="20" w:before="20" w:line="240" w:lineRule="auto"/>
            </w:pPr>
            <w:r/>
            <w:r>
              <w:rPr>
                <w:rFonts w:ascii="Arial" w:hAnsi="Arial" w:cs="Arial"/>
                <w:b w:val="0"/>
                <w:i w:val="0"/>
                <w:sz w:val="17"/>
              </w:rPr>
              <w:t>Non-financial operational details not relevant to financing</w:t>
            </w:r>
          </w:p>
        </w:tc>
      </w:tr>
      <w:tr>
        <w:tc>
          <w:tcPr>
            <w:tcW w:type="dxa" w:w="3213"/>
          </w:tcPr>
          <w:p>
            <w:pPr>
              <w:spacing w:after="20" w:before="20" w:line="240" w:lineRule="auto"/>
            </w:pPr>
            <w:r/>
            <w:r>
              <w:rPr>
                <w:rFonts w:ascii="Arial" w:hAnsi="Arial" w:cs="Arial"/>
                <w:b w:val="0"/>
                <w:i w:val="0"/>
                <w:sz w:val="17"/>
              </w:rPr>
              <w:t>Government official</w:t>
            </w:r>
          </w:p>
        </w:tc>
        <w:tc>
          <w:tcPr>
            <w:tcW w:type="dxa" w:w="3213"/>
          </w:tcPr>
          <w:p>
            <w:pPr>
              <w:spacing w:after="20" w:before="20" w:line="240" w:lineRule="auto"/>
            </w:pPr>
            <w:r/>
            <w:r>
              <w:rPr>
                <w:rFonts w:ascii="Arial" w:hAnsi="Arial" w:cs="Arial"/>
                <w:b w:val="0"/>
                <w:i w:val="0"/>
                <w:sz w:val="17"/>
              </w:rPr>
              <w:t>Compliance documents only (declarations, certificates, customs data)</w:t>
            </w:r>
          </w:p>
        </w:tc>
        <w:tc>
          <w:tcPr>
            <w:tcW w:type="dxa" w:w="3213"/>
          </w:tcPr>
          <w:p>
            <w:pPr>
              <w:spacing w:after="20" w:before="20" w:line="240" w:lineRule="auto"/>
            </w:pPr>
            <w:r/>
            <w:r>
              <w:rPr>
                <w:rFonts w:ascii="Arial" w:hAnsi="Arial" w:cs="Arial"/>
                <w:b w:val="0"/>
                <w:i w:val="0"/>
                <w:sz w:val="17"/>
              </w:rPr>
              <w:t>Commercial terms, pricing, margins</w:t>
            </w:r>
          </w:p>
        </w:tc>
      </w:tr>
      <w:tr>
        <w:tc>
          <w:tcPr>
            <w:tcW w:type="dxa" w:w="3213"/>
          </w:tcPr>
          <w:p>
            <w:pPr>
              <w:spacing w:after="20" w:before="20" w:line="240" w:lineRule="auto"/>
            </w:pPr>
            <w:r/>
            <w:r>
              <w:rPr>
                <w:rFonts w:ascii="Arial" w:hAnsi="Arial" w:cs="Arial"/>
                <w:b w:val="0"/>
                <w:i w:val="0"/>
                <w:sz w:val="17"/>
              </w:rPr>
              <w:t>Customs broker (CBR)</w:t>
            </w:r>
          </w:p>
        </w:tc>
        <w:tc>
          <w:tcPr>
            <w:tcW w:type="dxa" w:w="3213"/>
          </w:tcPr>
          <w:p>
            <w:pPr>
              <w:spacing w:after="20" w:before="20" w:line="240" w:lineRule="auto"/>
            </w:pPr>
            <w:r/>
            <w:r>
              <w:rPr>
                <w:rFonts w:ascii="Arial" w:hAnsi="Arial" w:cs="Arial"/>
                <w:b w:val="0"/>
                <w:i w:val="0"/>
                <w:sz w:val="17"/>
              </w:rPr>
              <w:t>Declaration-related data and certified package</w:t>
            </w:r>
          </w:p>
        </w:tc>
        <w:tc>
          <w:tcPr>
            <w:tcW w:type="dxa" w:w="3213"/>
          </w:tcPr>
          <w:p>
            <w:pPr>
              <w:spacing w:after="20" w:before="20" w:line="240" w:lineRule="auto"/>
            </w:pPr>
            <w:r/>
            <w:r>
              <w:rPr>
                <w:rFonts w:ascii="Arial" w:hAnsi="Arial" w:cs="Arial"/>
                <w:b w:val="0"/>
                <w:i w:val="0"/>
                <w:sz w:val="17"/>
              </w:rPr>
              <w:t>Full commercial detail outside their role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Filtering is applied at the API layer (Section 5.5) and enforced by OPA data-scope policies (see Section 4.5).</w:t>
      </w:r>
    </w:p>
    <w:p>
      <w:pPr>
        <w:keepNext/>
        <w:spacing w:before="180" w:after="80"/>
        <w:outlineLvl w:val="2"/>
      </w:pPr>
      <w:r>
        <w:rPr>
          <w:rFonts w:ascii="Arial" w:hAnsi="Arial" w:cs="Arial"/>
          <w:b/>
          <w:i w:val="0"/>
          <w:color w:val="333333"/>
          <w:sz w:val="23"/>
        </w:rPr>
        <w:t>5.3.5 Database Storage</w:t>
      </w:r>
    </w:p>
    <w:p>
      <w:pPr>
        <w:spacing w:after="80" w:line="293" w:lineRule="auto"/>
        <w:jc w:val="left"/>
      </w:pPr>
      <w:r>
        <w:rPr>
          <w:rFonts w:ascii="Times New Roman" w:hAnsi="Times New Roman" w:cs="Times New Roman"/>
          <w:b w:val="0"/>
          <w:i w:val="0"/>
          <w:sz w:val="22"/>
        </w:rPr>
        <w:t>The USTN master object is stored in the `shipments` table (see Section 17). Key fields are indexed for performance (ustn, status, exporter_gtid, importer_gtid, etd, eta). The relational projection of the master object:</w:t>
      </w:r>
    </w:p>
    <w:p>
      <w:pPr>
        <w:spacing w:after="0" w:before="0" w:line="240" w:lineRule="auto"/>
        <w:ind w:left="57"/>
        <w:jc w:val="left"/>
        <w:shd w:val="clear" w:fill="F2F2F2"/>
      </w:pPr>
      <w:r>
        <w:rPr>
          <w:rFonts w:ascii="Consolas" w:hAnsi="Consolas" w:cs="Consolas"/>
          <w:b w:val="0"/>
          <w:i w:val="0"/>
          <w:sz w:val="15"/>
        </w:rPr>
        <w:t>-- Shipments table (core USTN master object)</w:t>
      </w:r>
    </w:p>
    <w:p>
      <w:pPr>
        <w:spacing w:after="0" w:before="0" w:line="240" w:lineRule="auto"/>
        <w:ind w:left="57"/>
        <w:jc w:val="left"/>
        <w:shd w:val="clear" w:fill="F2F2F2"/>
      </w:pPr>
      <w:r>
        <w:rPr>
          <w:rFonts w:ascii="Consolas" w:hAnsi="Consolas" w:cs="Consolas"/>
          <w:b w:val="0"/>
          <w:i w:val="0"/>
          <w:sz w:val="15"/>
        </w:rPr>
        <w:t>-- shipments: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 for fast lookups</w:t>
      </w:r>
    </w:p>
    <w:p>
      <w:pPr>
        <w:spacing w:after="0" w:before="0" w:line="240" w:lineRule="auto"/>
        <w:ind w:left="57"/>
        <w:jc w:val="left"/>
        <w:shd w:val="clear" w:fill="F2F2F2"/>
      </w:pPr>
      <w:r>
        <w:rPr>
          <w:rFonts w:ascii="Consolas" w:hAnsi="Consolas" w:cs="Consolas"/>
          <w:b w:val="0"/>
          <w:i w:val="0"/>
          <w:sz w:val="15"/>
        </w:rPr>
        <w:t>CREATE INDEX idx_shipments_ustn ON shipments(ustn);</w:t>
      </w:r>
    </w:p>
    <w:p>
      <w:pPr>
        <w:spacing w:after="0" w:before="0" w:line="240" w:lineRule="auto"/>
        <w:ind w:left="57"/>
        <w:jc w:val="left"/>
        <w:shd w:val="clear" w:fill="F2F2F2"/>
      </w:pPr>
      <w:r>
        <w:rPr>
          <w:rFonts w:ascii="Consolas" w:hAnsi="Consolas" w:cs="Consolas"/>
          <w:b w:val="0"/>
          <w:i w:val="0"/>
          <w:sz w:val="15"/>
        </w:rPr>
        <w:t>CREATE INDEX idx_shipments_status ON shipments(status);</w:t>
      </w:r>
    </w:p>
    <w:p>
      <w:pPr>
        <w:spacing w:after="0" w:before="0" w:line="240" w:lineRule="auto"/>
        <w:ind w:left="57"/>
        <w:jc w:val="left"/>
        <w:shd w:val="clear" w:fill="F2F2F2"/>
      </w:pPr>
      <w:r>
        <w:rPr>
          <w:rFonts w:ascii="Consolas" w:hAnsi="Consolas" w:cs="Consolas"/>
          <w:b w:val="0"/>
          <w:i w:val="0"/>
          <w:sz w:val="15"/>
        </w:rPr>
        <w:t>CREATE INDEX idx_shipments_exporter ON shipments(exporter_gtid);</w:t>
      </w:r>
    </w:p>
    <w:p>
      <w:pPr>
        <w:spacing w:after="0" w:before="0" w:line="240" w:lineRule="auto"/>
        <w:ind w:left="57"/>
        <w:jc w:val="left"/>
        <w:shd w:val="clear" w:fill="F2F2F2"/>
      </w:pPr>
      <w:r>
        <w:rPr>
          <w:rFonts w:ascii="Consolas" w:hAnsi="Consolas" w:cs="Consolas"/>
          <w:b w:val="0"/>
          <w:i w:val="0"/>
          <w:sz w:val="15"/>
        </w:rPr>
        <w:t>CREATE INDEX idx_shipments_importer ON shipments(importer_gtid);</w:t>
      </w:r>
    </w:p>
    <w:p>
      <w:pPr>
        <w:spacing w:after="0" w:before="0" w:line="240" w:lineRule="auto"/>
        <w:ind w:left="57"/>
        <w:jc w:val="left"/>
        <w:shd w:val="clear" w:fill="F2F2F2"/>
      </w:pPr>
      <w:r>
        <w:rPr>
          <w:rFonts w:ascii="Consolas" w:hAnsi="Consolas" w:cs="Consolas"/>
          <w:b w:val="0"/>
          <w:i w:val="0"/>
          <w:sz w:val="15"/>
        </w:rPr>
        <w:t>CREATE INDEX idx_shipments_etd ON shipments(etd);</w:t>
      </w:r>
    </w:p>
    <w:p>
      <w:pPr>
        <w:spacing w:after="0" w:before="0" w:line="240" w:lineRule="auto"/>
        <w:ind w:left="57"/>
        <w:jc w:val="left"/>
        <w:shd w:val="clear" w:fill="F2F2F2"/>
      </w:pPr>
      <w:r>
        <w:rPr>
          <w:rFonts w:ascii="Consolas" w:hAnsi="Consolas" w:cs="Consolas"/>
          <w:b w:val="0"/>
          <w:i w:val="0"/>
          <w:sz w:val="15"/>
        </w:rPr>
        <w:t>CREATE INDEX idx_shipments_eta ON shipments(eta);</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5.3.6 Implementation Checklist (Section 5.3)</w:t>
      </w:r>
    </w:p>
    <w:p>
      <w:pPr>
        <w:spacing w:after="80" w:line="293" w:lineRule="auto"/>
        <w:ind w:left="283"/>
        <w:jc w:val="left"/>
      </w:pPr>
      <w:r>
        <w:rPr>
          <w:rFonts w:ascii="Times New Roman" w:hAnsi="Times New Roman" w:cs="Times New Roman"/>
          <w:b w:val="0"/>
          <w:i w:val="0"/>
          <w:sz w:val="22"/>
        </w:rPr>
        <w:t>- Implement master object read/write services on the shipments table.</w:t>
      </w:r>
    </w:p>
    <w:p>
      <w:pPr>
        <w:spacing w:after="80" w:line="293" w:lineRule="auto"/>
        <w:ind w:left="283"/>
        <w:jc w:val="left"/>
      </w:pPr>
      <w:r>
        <w:rPr>
          <w:rFonts w:ascii="Times New Roman" w:hAnsi="Times New Roman" w:cs="Times New Roman"/>
          <w:b w:val="0"/>
          <w:i w:val="0"/>
          <w:sz w:val="22"/>
        </w:rPr>
        <w:t>- Enforce role-based filtering at the resolution service (Section 5.5).</w:t>
      </w:r>
    </w:p>
    <w:p>
      <w:pPr>
        <w:spacing w:after="80" w:line="293" w:lineRule="auto"/>
        <w:ind w:left="283"/>
        <w:jc w:val="left"/>
      </w:pPr>
      <w:r>
        <w:rPr>
          <w:rFonts w:ascii="Times New Roman" w:hAnsi="Times New Roman" w:cs="Times New Roman"/>
          <w:b w:val="0"/>
          <w:i w:val="0"/>
          <w:sz w:val="22"/>
        </w:rPr>
        <w:t>- Maintain the timeline as append-only; write every event with governor_decision_id and loom_hash where applicable.</w:t>
      </w:r>
    </w:p>
    <w:p>
      <w:pPr>
        <w:spacing w:after="80" w:line="293" w:lineRule="auto"/>
        <w:ind w:left="283"/>
        <w:jc w:val="left"/>
      </w:pPr>
      <w:r>
        <w:rPr>
          <w:rFonts w:ascii="Times New Roman" w:hAnsi="Times New Roman" w:cs="Times New Roman"/>
          <w:b w:val="0"/>
          <w:i w:val="0"/>
          <w:sz w:val="22"/>
        </w:rPr>
        <w:t>- Keep JSON projections (gnn_risk, causal_analysis, payment_plan) synchronised with relational state via NATS events.</w:t>
      </w:r>
    </w:p>
    <w:p>
      <w:pPr>
        <w:spacing w:after="80" w:line="293" w:lineRule="auto"/>
        <w:ind w:left="283"/>
        <w:jc w:val="left"/>
      </w:pPr>
      <w:r>
        <w:rPr>
          <w:rFonts w:ascii="Times New Roman" w:hAnsi="Times New Roman" w:cs="Times New Roman"/>
          <w:b w:val="0"/>
          <w:i w:val="0"/>
          <w:sz w:val="22"/>
        </w:rPr>
        <w:t>- Validate every populated master object against the JSON schema (draft-07) in continuous integration.</w:t>
      </w:r>
    </w:p>
    <w:p>
      <w:pPr>
        <w:keepNext/>
        <w:spacing w:before="240" w:after="100"/>
        <w:outlineLvl w:val="1"/>
      </w:pPr>
      <w:r>
        <w:rPr>
          <w:rFonts w:ascii="Arial" w:hAnsi="Arial" w:cs="Arial"/>
          <w:b/>
          <w:i w:val="0"/>
          <w:color w:val="2E528F"/>
          <w:sz w:val="26"/>
        </w:rPr>
        <w:t>5.4 USTN in Documents (Mandatory Inclusion)</w:t>
      </w:r>
    </w:p>
    <w:p>
      <w:pPr>
        <w:keepNext/>
        <w:spacing w:before="180" w:after="80"/>
        <w:outlineLvl w:val="2"/>
      </w:pPr>
      <w:r>
        <w:rPr>
          <w:rFonts w:ascii="Arial" w:hAnsi="Arial" w:cs="Arial"/>
          <w:b/>
          <w:i w:val="0"/>
          <w:color w:val="333333"/>
          <w:sz w:val="23"/>
        </w:rPr>
        <w:t>5.4.1 Purpose &amp; Design Philosophy</w:t>
      </w:r>
    </w:p>
    <w:p>
      <w:pPr>
        <w:spacing w:after="80" w:line="293" w:lineRule="auto"/>
        <w:jc w:val="left"/>
      </w:pPr>
      <w:r>
        <w:rPr>
          <w:rFonts w:ascii="Times New Roman" w:hAnsi="Times New Roman" w:cs="Times New Roman"/>
          <w:b w:val="0"/>
          <w:i w:val="0"/>
          <w:sz w:val="22"/>
        </w:rPr>
        <w:t>Every document generated by or uploaded to SGTX must contain the USTN in a standardised location. This ensures that every physical and digital document can be traced back to the trade it belongs to, creating an unbreakable chain of custody from commercial contract to customs declaration to payment.</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Mandatory Inclusion — no document is accepted without a valid USTN.</w:t>
      </w:r>
    </w:p>
    <w:p>
      <w:pPr>
        <w:spacing w:after="80" w:line="293" w:lineRule="auto"/>
        <w:ind w:left="283"/>
        <w:jc w:val="left"/>
      </w:pPr>
      <w:r>
        <w:rPr>
          <w:rFonts w:ascii="Times New Roman" w:hAnsi="Times New Roman" w:cs="Times New Roman"/>
          <w:b w:val="0"/>
          <w:i w:val="0"/>
          <w:sz w:val="22"/>
        </w:rPr>
        <w:t>- Standardised Location — the USTN appears in a consistent position on every document type.</w:t>
      </w:r>
    </w:p>
    <w:p>
      <w:pPr>
        <w:spacing w:after="80" w:line="293" w:lineRule="auto"/>
        <w:ind w:left="283"/>
        <w:jc w:val="left"/>
      </w:pPr>
      <w:r>
        <w:rPr>
          <w:rFonts w:ascii="Times New Roman" w:hAnsi="Times New Roman" w:cs="Times New Roman"/>
          <w:b w:val="0"/>
          <w:i w:val="0"/>
          <w:sz w:val="22"/>
        </w:rPr>
        <w:t>- Machine-Readable — the USTN is embedded in both human-readable text and QR code format.</w:t>
      </w:r>
    </w:p>
    <w:p>
      <w:pPr>
        <w:spacing w:after="80" w:line="293" w:lineRule="auto"/>
        <w:ind w:left="283"/>
        <w:jc w:val="left"/>
      </w:pPr>
      <w:r>
        <w:rPr>
          <w:rFonts w:ascii="Times New Roman" w:hAnsi="Times New Roman" w:cs="Times New Roman"/>
          <w:b w:val="0"/>
          <w:i w:val="0"/>
          <w:sz w:val="22"/>
        </w:rPr>
        <w:t>- Verifiable — the USTN can be cryptographically verified using the SGTX public key.</w:t>
      </w:r>
    </w:p>
    <w:p>
      <w:pPr>
        <w:spacing w:after="80" w:line="293" w:lineRule="auto"/>
        <w:jc w:val="left"/>
      </w:pPr>
      <w:r>
        <w:rPr>
          <w:rFonts w:ascii="Times New Roman" w:hAnsi="Times New Roman" w:cs="Times New Roman"/>
          <w:b w:val="0"/>
          <w:i w:val="0"/>
          <w:sz w:val="22"/>
        </w:rPr>
        <w:t>This includes: commercial invoice, packing list, bill of lading (eBL), phytosanitary certificate, health certificate, certificate of origin, customs declaration (SAD), ACID filing, QR-coded labels, and all generated documents.</w:t>
      </w:r>
    </w:p>
    <w:p>
      <w:pPr>
        <w:keepNext/>
        <w:spacing w:before="180" w:after="80"/>
        <w:outlineLvl w:val="2"/>
      </w:pPr>
      <w:r>
        <w:rPr>
          <w:rFonts w:ascii="Arial" w:hAnsi="Arial" w:cs="Arial"/>
          <w:b/>
          <w:i w:val="0"/>
          <w:color w:val="333333"/>
          <w:sz w:val="23"/>
        </w:rPr>
        <w:t>5.4.2 Document Types and USTN Placement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Document Type</w:t>
            </w:r>
          </w:p>
        </w:tc>
        <w:tc>
          <w:tcPr>
            <w:tcW w:type="dxa" w:w="3213"/>
            <w:shd w:val="clear" w:fill="D9E2F3"/>
          </w:tcPr>
          <w:p>
            <w:pPr>
              <w:spacing w:after="20" w:before="20" w:line="240" w:lineRule="auto"/>
            </w:pPr>
            <w:r/>
            <w:r>
              <w:rPr>
                <w:rFonts w:ascii="Arial" w:hAnsi="Arial" w:cs="Arial"/>
                <w:b/>
                <w:i w:val="0"/>
                <w:sz w:val="18"/>
              </w:rPr>
              <w:t>USTN Placement</w:t>
            </w:r>
          </w:p>
        </w:tc>
        <w:tc>
          <w:tcPr>
            <w:tcW w:type="dxa" w:w="3213"/>
            <w:shd w:val="clear" w:fill="D9E2F3"/>
          </w:tcPr>
          <w:p>
            <w:pPr>
              <w:spacing w:after="20" w:before="20" w:line="240" w:lineRule="auto"/>
            </w:pPr>
            <w:r/>
            <w:r>
              <w:rPr>
                <w:rFonts w:ascii="Arial" w:hAnsi="Arial" w:cs="Arial"/>
                <w:b/>
                <w:i w:val="0"/>
                <w:sz w:val="18"/>
              </w:rPr>
              <w:t>Format</w:t>
            </w:r>
          </w:p>
        </w:tc>
      </w:tr>
      <w:tr>
        <w:tc>
          <w:tcPr>
            <w:tcW w:type="dxa" w:w="3213"/>
          </w:tcPr>
          <w:p>
            <w:pPr>
              <w:spacing w:after="20" w:before="20" w:line="240" w:lineRule="auto"/>
            </w:pPr>
            <w:r/>
            <w:r>
              <w:rPr>
                <w:rFonts w:ascii="Arial" w:hAnsi="Arial" w:cs="Arial"/>
                <w:b w:val="0"/>
                <w:i w:val="0"/>
                <w:sz w:val="17"/>
              </w:rPr>
              <w:t>Commercial Invoice</w:t>
            </w:r>
          </w:p>
        </w:tc>
        <w:tc>
          <w:tcPr>
            <w:tcW w:type="dxa" w:w="3213"/>
          </w:tcPr>
          <w:p>
            <w:pPr>
              <w:spacing w:after="20" w:before="20" w:line="240" w:lineRule="auto"/>
            </w:pPr>
            <w:r/>
            <w:r>
              <w:rPr>
                <w:rFonts w:ascii="Arial" w:hAnsi="Arial" w:cs="Arial"/>
                <w:b w:val="0"/>
                <w:i w:val="0"/>
                <w:sz w:val="17"/>
              </w:rPr>
              <w:t>Header (top right) + footer QR code</w:t>
            </w:r>
          </w:p>
        </w:tc>
        <w:tc>
          <w:tcPr>
            <w:tcW w:type="dxa" w:w="3213"/>
          </w:tcPr>
          <w:p>
            <w:pPr>
              <w:spacing w:after="20" w:before="20" w:line="240" w:lineRule="auto"/>
            </w:pPr>
            <w:r/>
            <w:r>
              <w:rPr>
                <w:rFonts w:ascii="Arial" w:hAnsi="Arial" w:cs="Arial"/>
                <w:b w:val="0"/>
                <w:i w:val="0"/>
                <w:sz w:val="17"/>
              </w:rPr>
              <w:t>Human-readable text + QR</w:t>
            </w:r>
          </w:p>
        </w:tc>
      </w:tr>
      <w:tr>
        <w:tc>
          <w:tcPr>
            <w:tcW w:type="dxa" w:w="3213"/>
          </w:tcPr>
          <w:p>
            <w:pPr>
              <w:spacing w:after="20" w:before="20" w:line="240" w:lineRule="auto"/>
            </w:pPr>
            <w:r/>
            <w:r>
              <w:rPr>
                <w:rFonts w:ascii="Arial" w:hAnsi="Arial" w:cs="Arial"/>
                <w:b w:val="0"/>
                <w:i w:val="0"/>
                <w:sz w:val="17"/>
              </w:rPr>
              <w:t>Packing List</w:t>
            </w:r>
          </w:p>
        </w:tc>
        <w:tc>
          <w:tcPr>
            <w:tcW w:type="dxa" w:w="3213"/>
          </w:tcPr>
          <w:p>
            <w:pPr>
              <w:spacing w:after="20" w:before="20" w:line="240" w:lineRule="auto"/>
            </w:pPr>
            <w:r/>
            <w:r>
              <w:rPr>
                <w:rFonts w:ascii="Arial" w:hAnsi="Arial" w:cs="Arial"/>
                <w:b w:val="0"/>
                <w:i w:val="0"/>
                <w:sz w:val="17"/>
              </w:rPr>
              <w:t>Header + footer QR code</w:t>
            </w:r>
          </w:p>
        </w:tc>
        <w:tc>
          <w:tcPr>
            <w:tcW w:type="dxa" w:w="3213"/>
          </w:tcPr>
          <w:p>
            <w:pPr>
              <w:spacing w:after="20" w:before="20" w:line="240" w:lineRule="auto"/>
            </w:pPr>
            <w:r/>
            <w:r>
              <w:rPr>
                <w:rFonts w:ascii="Arial" w:hAnsi="Arial" w:cs="Arial"/>
                <w:b w:val="0"/>
                <w:i w:val="0"/>
                <w:sz w:val="17"/>
              </w:rPr>
              <w:t>Human-readable text + QR</w:t>
            </w:r>
          </w:p>
        </w:tc>
      </w:tr>
      <w:tr>
        <w:tc>
          <w:tcPr>
            <w:tcW w:type="dxa" w:w="3213"/>
          </w:tcPr>
          <w:p>
            <w:pPr>
              <w:spacing w:after="20" w:before="20" w:line="240" w:lineRule="auto"/>
            </w:pPr>
            <w:r/>
            <w:r>
              <w:rPr>
                <w:rFonts w:ascii="Arial" w:hAnsi="Arial" w:cs="Arial"/>
                <w:b w:val="0"/>
                <w:i w:val="0"/>
                <w:sz w:val="17"/>
              </w:rPr>
              <w:t>Bill of Lading (eBL)</w:t>
            </w:r>
          </w:p>
        </w:tc>
        <w:tc>
          <w:tcPr>
            <w:tcW w:type="dxa" w:w="3213"/>
          </w:tcPr>
          <w:p>
            <w:pPr>
              <w:spacing w:after="20" w:before="20" w:line="240" w:lineRule="auto"/>
            </w:pPr>
            <w:r/>
            <w:r>
              <w:rPr>
                <w:rFonts w:ascii="Arial" w:hAnsi="Arial" w:cs="Arial"/>
                <w:b w:val="0"/>
                <w:i w:val="0"/>
                <w:sz w:val="17"/>
              </w:rPr>
              <w:t>Header + embedded in eBL XML</w:t>
            </w:r>
          </w:p>
        </w:tc>
        <w:tc>
          <w:tcPr>
            <w:tcW w:type="dxa" w:w="3213"/>
          </w:tcPr>
          <w:p>
            <w:pPr>
              <w:spacing w:after="20" w:before="20" w:line="240" w:lineRule="auto"/>
            </w:pPr>
            <w:r/>
            <w:r>
              <w:rPr>
                <w:rFonts w:ascii="Arial" w:hAnsi="Arial" w:cs="Arial"/>
                <w:b w:val="0"/>
                <w:i w:val="0"/>
                <w:sz w:val="17"/>
              </w:rPr>
              <w:t>Human-readable text + XML field</w:t>
            </w:r>
          </w:p>
        </w:tc>
      </w:tr>
      <w:tr>
        <w:tc>
          <w:tcPr>
            <w:tcW w:type="dxa" w:w="3213"/>
          </w:tcPr>
          <w:p>
            <w:pPr>
              <w:spacing w:after="20" w:before="20" w:line="240" w:lineRule="auto"/>
            </w:pPr>
            <w:r/>
            <w:r>
              <w:rPr>
                <w:rFonts w:ascii="Arial" w:hAnsi="Arial" w:cs="Arial"/>
                <w:b w:val="0"/>
                <w:i w:val="0"/>
                <w:sz w:val="17"/>
              </w:rPr>
              <w:t>Phytosanitary Certificate</w:t>
            </w:r>
          </w:p>
        </w:tc>
        <w:tc>
          <w:tcPr>
            <w:tcW w:type="dxa" w:w="3213"/>
          </w:tcPr>
          <w:p>
            <w:pPr>
              <w:spacing w:after="20" w:before="20" w:line="240" w:lineRule="auto"/>
            </w:pPr>
            <w:r/>
            <w:r>
              <w:rPr>
                <w:rFonts w:ascii="Arial" w:hAnsi="Arial" w:cs="Arial"/>
                <w:b w:val="0"/>
                <w:i w:val="0"/>
                <w:sz w:val="17"/>
              </w:rPr>
              <w:t>Header</w:t>
            </w:r>
          </w:p>
        </w:tc>
        <w:tc>
          <w:tcPr>
            <w:tcW w:type="dxa" w:w="3213"/>
          </w:tcPr>
          <w:p>
            <w:pPr>
              <w:spacing w:after="20" w:before="20" w:line="240" w:lineRule="auto"/>
            </w:pPr>
            <w:r/>
            <w:r>
              <w:rPr>
                <w:rFonts w:ascii="Arial" w:hAnsi="Arial" w:cs="Arial"/>
                <w:b w:val="0"/>
                <w:i w:val="0"/>
                <w:sz w:val="17"/>
              </w:rPr>
              <w:t>Human-readable text</w:t>
            </w:r>
          </w:p>
        </w:tc>
      </w:tr>
      <w:tr>
        <w:tc>
          <w:tcPr>
            <w:tcW w:type="dxa" w:w="3213"/>
          </w:tcPr>
          <w:p>
            <w:pPr>
              <w:spacing w:after="20" w:before="20" w:line="240" w:lineRule="auto"/>
            </w:pPr>
            <w:r/>
            <w:r>
              <w:rPr>
                <w:rFonts w:ascii="Arial" w:hAnsi="Arial" w:cs="Arial"/>
                <w:b w:val="0"/>
                <w:i w:val="0"/>
                <w:sz w:val="17"/>
              </w:rPr>
              <w:t>Health Certificate</w:t>
            </w:r>
          </w:p>
        </w:tc>
        <w:tc>
          <w:tcPr>
            <w:tcW w:type="dxa" w:w="3213"/>
          </w:tcPr>
          <w:p>
            <w:pPr>
              <w:spacing w:after="20" w:before="20" w:line="240" w:lineRule="auto"/>
            </w:pPr>
            <w:r/>
            <w:r>
              <w:rPr>
                <w:rFonts w:ascii="Arial" w:hAnsi="Arial" w:cs="Arial"/>
                <w:b w:val="0"/>
                <w:i w:val="0"/>
                <w:sz w:val="17"/>
              </w:rPr>
              <w:t>Header</w:t>
            </w:r>
          </w:p>
        </w:tc>
        <w:tc>
          <w:tcPr>
            <w:tcW w:type="dxa" w:w="3213"/>
          </w:tcPr>
          <w:p>
            <w:pPr>
              <w:spacing w:after="20" w:before="20" w:line="240" w:lineRule="auto"/>
            </w:pPr>
            <w:r/>
            <w:r>
              <w:rPr>
                <w:rFonts w:ascii="Arial" w:hAnsi="Arial" w:cs="Arial"/>
                <w:b w:val="0"/>
                <w:i w:val="0"/>
                <w:sz w:val="17"/>
              </w:rPr>
              <w:t>Human-readable text</w:t>
            </w:r>
          </w:p>
        </w:tc>
      </w:tr>
      <w:tr>
        <w:tc>
          <w:tcPr>
            <w:tcW w:type="dxa" w:w="3213"/>
          </w:tcPr>
          <w:p>
            <w:pPr>
              <w:spacing w:after="20" w:before="20" w:line="240" w:lineRule="auto"/>
            </w:pPr>
            <w:r/>
            <w:r>
              <w:rPr>
                <w:rFonts w:ascii="Arial" w:hAnsi="Arial" w:cs="Arial"/>
                <w:b w:val="0"/>
                <w:i w:val="0"/>
                <w:sz w:val="17"/>
              </w:rPr>
              <w:t>Certificate of Origin</w:t>
            </w:r>
          </w:p>
        </w:tc>
        <w:tc>
          <w:tcPr>
            <w:tcW w:type="dxa" w:w="3213"/>
          </w:tcPr>
          <w:p>
            <w:pPr>
              <w:spacing w:after="20" w:before="20" w:line="240" w:lineRule="auto"/>
            </w:pPr>
            <w:r/>
            <w:r>
              <w:rPr>
                <w:rFonts w:ascii="Arial" w:hAnsi="Arial" w:cs="Arial"/>
                <w:b w:val="0"/>
                <w:i w:val="0"/>
                <w:sz w:val="17"/>
              </w:rPr>
              <w:t>Header</w:t>
            </w:r>
          </w:p>
        </w:tc>
        <w:tc>
          <w:tcPr>
            <w:tcW w:type="dxa" w:w="3213"/>
          </w:tcPr>
          <w:p>
            <w:pPr>
              <w:spacing w:after="20" w:before="20" w:line="240" w:lineRule="auto"/>
            </w:pPr>
            <w:r/>
            <w:r>
              <w:rPr>
                <w:rFonts w:ascii="Arial" w:hAnsi="Arial" w:cs="Arial"/>
                <w:b w:val="0"/>
                <w:i w:val="0"/>
                <w:sz w:val="17"/>
              </w:rPr>
              <w:t>Human-readable text</w:t>
            </w:r>
          </w:p>
        </w:tc>
      </w:tr>
      <w:tr>
        <w:tc>
          <w:tcPr>
            <w:tcW w:type="dxa" w:w="3213"/>
          </w:tcPr>
          <w:p>
            <w:pPr>
              <w:spacing w:after="20" w:before="20" w:line="240" w:lineRule="auto"/>
            </w:pPr>
            <w:r/>
            <w:r>
              <w:rPr>
                <w:rFonts w:ascii="Arial" w:hAnsi="Arial" w:cs="Arial"/>
                <w:b w:val="0"/>
                <w:i w:val="0"/>
                <w:sz w:val="17"/>
              </w:rPr>
              <w:t>Customs Declaration (SAD)</w:t>
            </w:r>
          </w:p>
        </w:tc>
        <w:tc>
          <w:tcPr>
            <w:tcW w:type="dxa" w:w="3213"/>
          </w:tcPr>
          <w:p>
            <w:pPr>
              <w:spacing w:after="20" w:before="20" w:line="240" w:lineRule="auto"/>
            </w:pPr>
            <w:r/>
            <w:r>
              <w:rPr>
                <w:rFonts w:ascii="Arial" w:hAnsi="Arial" w:cs="Arial"/>
                <w:b w:val="0"/>
                <w:i w:val="0"/>
                <w:sz w:val="17"/>
              </w:rPr>
              <w:t>Reference field</w:t>
            </w:r>
          </w:p>
        </w:tc>
        <w:tc>
          <w:tcPr>
            <w:tcW w:type="dxa" w:w="3213"/>
          </w:tcPr>
          <w:p>
            <w:pPr>
              <w:spacing w:after="20" w:before="20" w:line="240" w:lineRule="auto"/>
            </w:pPr>
            <w:r/>
            <w:r>
              <w:rPr>
                <w:rFonts w:ascii="Arial" w:hAnsi="Arial" w:cs="Arial"/>
                <w:b w:val="0"/>
                <w:i w:val="0"/>
                <w:sz w:val="17"/>
              </w:rPr>
              <w:t>Machine field + printed text</w:t>
            </w:r>
          </w:p>
        </w:tc>
      </w:tr>
      <w:tr>
        <w:tc>
          <w:tcPr>
            <w:tcW w:type="dxa" w:w="3213"/>
          </w:tcPr>
          <w:p>
            <w:pPr>
              <w:spacing w:after="20" w:before="20" w:line="240" w:lineRule="auto"/>
            </w:pPr>
            <w:r/>
            <w:r>
              <w:rPr>
                <w:rFonts w:ascii="Arial" w:hAnsi="Arial" w:cs="Arial"/>
                <w:b w:val="0"/>
                <w:i w:val="0"/>
                <w:sz w:val="17"/>
              </w:rPr>
              <w:t>ACID Filing</w:t>
            </w:r>
          </w:p>
        </w:tc>
        <w:tc>
          <w:tcPr>
            <w:tcW w:type="dxa" w:w="3213"/>
          </w:tcPr>
          <w:p>
            <w:pPr>
              <w:spacing w:after="20" w:before="20" w:line="240" w:lineRule="auto"/>
            </w:pPr>
            <w:r/>
            <w:r>
              <w:rPr>
                <w:rFonts w:ascii="Arial" w:hAnsi="Arial" w:cs="Arial"/>
                <w:b w:val="0"/>
                <w:i w:val="0"/>
                <w:sz w:val="17"/>
              </w:rPr>
              <w:t>Reference field</w:t>
            </w:r>
          </w:p>
        </w:tc>
        <w:tc>
          <w:tcPr>
            <w:tcW w:type="dxa" w:w="3213"/>
          </w:tcPr>
          <w:p>
            <w:pPr>
              <w:spacing w:after="20" w:before="20" w:line="240" w:lineRule="auto"/>
            </w:pPr>
            <w:r/>
            <w:r>
              <w:rPr>
                <w:rFonts w:ascii="Arial" w:hAnsi="Arial" w:cs="Arial"/>
                <w:b w:val="0"/>
                <w:i w:val="0"/>
                <w:sz w:val="17"/>
              </w:rPr>
              <w:t>Machine field</w:t>
            </w:r>
          </w:p>
        </w:tc>
      </w:tr>
      <w:tr>
        <w:tc>
          <w:tcPr>
            <w:tcW w:type="dxa" w:w="3213"/>
          </w:tcPr>
          <w:p>
            <w:pPr>
              <w:spacing w:after="20" w:before="20" w:line="240" w:lineRule="auto"/>
            </w:pPr>
            <w:r/>
            <w:r>
              <w:rPr>
                <w:rFonts w:ascii="Arial" w:hAnsi="Arial" w:cs="Arial"/>
                <w:b w:val="0"/>
                <w:i w:val="0"/>
                <w:sz w:val="17"/>
              </w:rPr>
              <w:t>Shipping Labels</w:t>
            </w:r>
          </w:p>
        </w:tc>
        <w:tc>
          <w:tcPr>
            <w:tcW w:type="dxa" w:w="3213"/>
          </w:tcPr>
          <w:p>
            <w:pPr>
              <w:spacing w:after="20" w:before="20" w:line="240" w:lineRule="auto"/>
            </w:pPr>
            <w:r/>
            <w:r>
              <w:rPr>
                <w:rFonts w:ascii="Arial" w:hAnsi="Arial" w:cs="Arial"/>
                <w:b w:val="0"/>
                <w:i w:val="0"/>
                <w:sz w:val="17"/>
              </w:rPr>
              <w:t>QR code + human-readable text</w:t>
            </w:r>
          </w:p>
        </w:tc>
        <w:tc>
          <w:tcPr>
            <w:tcW w:type="dxa" w:w="3213"/>
          </w:tcPr>
          <w:p>
            <w:pPr>
              <w:spacing w:after="20" w:before="20" w:line="240" w:lineRule="auto"/>
            </w:pPr>
            <w:r/>
            <w:r>
              <w:rPr>
                <w:rFonts w:ascii="Arial" w:hAnsi="Arial" w:cs="Arial"/>
                <w:b w:val="0"/>
                <w:i w:val="0"/>
                <w:sz w:val="17"/>
              </w:rPr>
              <w:t>QR + text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QR Code Encoding:</w:t>
      </w:r>
    </w:p>
    <w:p>
      <w:pPr>
        <w:spacing w:after="0" w:before="0" w:line="240" w:lineRule="auto"/>
        <w:ind w:left="57"/>
        <w:jc w:val="left"/>
        <w:shd w:val="clear" w:fill="F2F2F2"/>
      </w:pPr>
      <w:r>
        <w:rPr>
          <w:rFonts w:ascii="Consolas" w:hAnsi="Consolas" w:cs="Consolas"/>
          <w:b w:val="0"/>
          <w:i w:val="0"/>
          <w:sz w:val="15"/>
        </w:rPr>
        <w:t>https://sgtx.io/ustn/SGTX-EG-26-F3A-1</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5.4.3 AI Assistance for Document Generation</w:t>
      </w:r>
    </w:p>
    <w:p>
      <w:pPr>
        <w:spacing w:after="80" w:line="293" w:lineRule="auto"/>
        <w:jc w:val="left"/>
      </w:pPr>
      <w:r>
        <w:rPr>
          <w:rFonts w:ascii="Times New Roman" w:hAnsi="Times New Roman" w:cs="Times New Roman"/>
          <w:b w:val="0"/>
          <w:i w:val="0"/>
          <w:sz w:val="22"/>
        </w:rPr>
        <w:t>When a document is generated, the system automatically embeds the USTN and a QR code. No manual entry required.</w:t>
      </w:r>
    </w:p>
    <w:p>
      <w:pPr>
        <w:spacing w:after="80" w:line="293" w:lineRule="auto"/>
        <w:jc w:val="left"/>
      </w:pPr>
      <w:r>
        <w:rPr>
          <w:rFonts w:ascii="Times New Roman" w:hAnsi="Times New Roman" w:cs="Times New Roman"/>
          <w:b w:val="0"/>
          <w:i w:val="0"/>
          <w:sz w:val="22"/>
        </w:rPr>
        <w:t>Document Generation Flow:</w:t>
      </w:r>
    </w:p>
    <w:p>
      <w:pPr>
        <w:spacing w:after="80" w:line="293" w:lineRule="auto"/>
        <w:jc w:val="left"/>
      </w:pPr>
      <w:r>
        <w:rPr>
          <w:rFonts w:ascii="Times New Roman" w:hAnsi="Times New Roman" w:cs="Times New Roman"/>
          <w:b w:val="0"/>
          <w:i w:val="0"/>
          <w:sz w:val="22"/>
        </w:rPr>
        <w:t>1. System retrieves the USTN master object from the shipments table. 2. System generates document content from template. 3. System embeds USTN in header/footer. 4. System generates QR code with USTN payload. 5. System embeds QR code in document. 6. System signs document with Ed25519. 7. System stores document in the documents table with USTN reference.</w:t>
      </w:r>
    </w:p>
    <w:p>
      <w:pPr>
        <w:spacing w:after="80" w:line="293" w:lineRule="auto"/>
        <w:jc w:val="left"/>
      </w:pPr>
      <w:r>
        <w:rPr>
          <w:rFonts w:ascii="Times New Roman" w:hAnsi="Times New Roman" w:cs="Times New Roman"/>
          <w:b w:val="0"/>
          <w:i w:val="0"/>
          <w:sz w:val="22"/>
        </w:rPr>
        <w:t>Generated document record: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"document_id": "DOC-2026-001",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"document_type": "COMMERCIAL_INVOICE",</w:t>
      </w:r>
    </w:p>
    <w:p>
      <w:pPr>
        <w:spacing w:after="0" w:before="0" w:line="240" w:lineRule="auto"/>
        <w:ind w:left="57"/>
        <w:jc w:val="left"/>
        <w:shd w:val="clear" w:fill="F2F2F2"/>
      </w:pPr>
      <w:r>
        <w:rPr>
          <w:rFonts w:ascii="Consolas" w:hAnsi="Consolas" w:cs="Consolas"/>
          <w:b w:val="0"/>
          <w:i w:val="0"/>
          <w:sz w:val="15"/>
        </w:rPr>
        <w:t xml:space="preserve">    "generated_at": "2026-04-15T12:00:00Z",</w:t>
      </w:r>
    </w:p>
    <w:p>
      <w:pPr>
        <w:spacing w:after="0" w:before="0" w:line="240" w:lineRule="auto"/>
        <w:ind w:left="57"/>
        <w:jc w:val="left"/>
        <w:shd w:val="clear" w:fill="F2F2F2"/>
      </w:pPr>
      <w:r>
        <w:rPr>
          <w:rFonts w:ascii="Consolas" w:hAnsi="Consolas" w:cs="Consolas"/>
          <w:b w:val="0"/>
          <w:i w:val="0"/>
          <w:sz w:val="15"/>
        </w:rPr>
        <w:t xml:space="preserve">    "content_hash": "sha256:abc123...",</w:t>
      </w:r>
    </w:p>
    <w:p>
      <w:pPr>
        <w:spacing w:after="0" w:before="0" w:line="240" w:lineRule="auto"/>
        <w:ind w:left="57"/>
        <w:jc w:val="left"/>
        <w:shd w:val="clear" w:fill="F2F2F2"/>
      </w:pPr>
      <w:r>
        <w:rPr>
          <w:rFonts w:ascii="Consolas" w:hAnsi="Consolas" w:cs="Consolas"/>
          <w:b w:val="0"/>
          <w:i w:val="0"/>
          <w:sz w:val="15"/>
        </w:rPr>
        <w:t xml:space="preserve">    "qr_code": "data:image/png;base64,...",</w:t>
      </w:r>
    </w:p>
    <w:p>
      <w:pPr>
        <w:spacing w:after="0" w:before="0" w:line="240" w:lineRule="auto"/>
        <w:ind w:left="57"/>
        <w:jc w:val="left"/>
        <w:shd w:val="clear" w:fill="F2F2F2"/>
      </w:pPr>
      <w:r>
        <w:rPr>
          <w:rFonts w:ascii="Consolas" w:hAnsi="Consolas" w:cs="Consolas"/>
          <w:b w:val="0"/>
          <w:i w:val="0"/>
          <w:sz w:val="15"/>
        </w:rPr>
        <w:t xml:space="preserve">    "digital_signature": "ed25519:...",</w:t>
      </w:r>
    </w:p>
    <w:p>
      <w:pPr>
        <w:spacing w:after="0" w:before="0" w:line="240" w:lineRule="auto"/>
        <w:ind w:left="57"/>
        <w:jc w:val="left"/>
        <w:shd w:val="clear" w:fill="F2F2F2"/>
      </w:pPr>
      <w:r>
        <w:rPr>
          <w:rFonts w:ascii="Consolas" w:hAnsi="Consolas" w:cs="Consolas"/>
          <w:b w:val="0"/>
          <w:i w:val="0"/>
          <w:sz w:val="15"/>
        </w:rPr>
        <w:t xml:space="preserve">    "loom_hash": "sha256:def456..."</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5.4.4 Document Upload Validation</w:t>
      </w:r>
    </w:p>
    <w:p>
      <w:pPr>
        <w:spacing w:after="80" w:line="293" w:lineRule="auto"/>
        <w:jc w:val="left"/>
      </w:pPr>
      <w:r>
        <w:rPr>
          <w:rFonts w:ascii="Times New Roman" w:hAnsi="Times New Roman" w:cs="Times New Roman"/>
          <w:b w:val="0"/>
          <w:i w:val="0"/>
          <w:sz w:val="22"/>
        </w:rPr>
        <w:t>When a user uploads a document, the system validates that:</w:t>
      </w:r>
    </w:p>
    <w:p>
      <w:pPr>
        <w:spacing w:after="80" w:line="293" w:lineRule="auto"/>
        <w:ind w:left="283"/>
        <w:jc w:val="left"/>
      </w:pPr>
      <w:r>
        <w:rPr>
          <w:rFonts w:ascii="Times New Roman" w:hAnsi="Times New Roman" w:cs="Times New Roman"/>
          <w:b w:val="0"/>
          <w:i w:val="0"/>
          <w:sz w:val="22"/>
        </w:rPr>
        <w:t>- The document contains the USTN (in text or QR code).</w:t>
      </w:r>
    </w:p>
    <w:p>
      <w:pPr>
        <w:spacing w:after="80" w:line="293" w:lineRule="auto"/>
        <w:ind w:left="283"/>
        <w:jc w:val="left"/>
      </w:pPr>
      <w:r>
        <w:rPr>
          <w:rFonts w:ascii="Times New Roman" w:hAnsi="Times New Roman" w:cs="Times New Roman"/>
          <w:b w:val="0"/>
          <w:i w:val="0"/>
          <w:sz w:val="22"/>
        </w:rPr>
        <w:t>- The USTN matches the trade being referenced.</w:t>
      </w:r>
    </w:p>
    <w:p>
      <w:pPr>
        <w:spacing w:after="80" w:line="293" w:lineRule="auto"/>
        <w:ind w:left="283"/>
        <w:jc w:val="left"/>
      </w:pPr>
      <w:r>
        <w:rPr>
          <w:rFonts w:ascii="Times New Roman" w:hAnsi="Times New Roman" w:cs="Times New Roman"/>
          <w:b w:val="0"/>
          <w:i w:val="0"/>
          <w:sz w:val="22"/>
        </w:rPr>
        <w:t>- The document is not a duplicate.</w:t>
      </w:r>
    </w:p>
    <w:p>
      <w:pPr>
        <w:spacing w:after="80" w:line="293" w:lineRule="auto"/>
        <w:jc w:val="left"/>
      </w:pPr>
      <w:r>
        <w:rPr>
          <w:rFonts w:ascii="Times New Roman" w:hAnsi="Times New Roman" w:cs="Times New Roman"/>
          <w:b w:val="0"/>
          <w:i w:val="0"/>
          <w:sz w:val="22"/>
        </w:rPr>
        <w:t>Validation Logic:</w:t>
      </w:r>
    </w:p>
    <w:p>
      <w:pPr>
        <w:spacing w:after="0" w:before="0" w:line="240" w:lineRule="auto"/>
        <w:ind w:left="57"/>
        <w:jc w:val="left"/>
        <w:shd w:val="clear" w:fill="F2F2F2"/>
      </w:pPr>
      <w:r>
        <w:rPr>
          <w:rFonts w:ascii="Consolas" w:hAnsi="Consolas" w:cs="Consolas"/>
          <w:b w:val="0"/>
          <w:i w:val="0"/>
          <w:sz w:val="15"/>
        </w:rPr>
        <w:t>async fn validate_document_upload(</w:t>
      </w:r>
    </w:p>
    <w:p>
      <w:pPr>
        <w:spacing w:after="0" w:before="0" w:line="240" w:lineRule="auto"/>
        <w:ind w:left="57"/>
        <w:jc w:val="left"/>
        <w:shd w:val="clear" w:fill="F2F2F2"/>
      </w:pPr>
      <w:r>
        <w:rPr>
          <w:rFonts w:ascii="Consolas" w:hAnsi="Consolas" w:cs="Consolas"/>
          <w:b w:val="0"/>
          <w:i w:val="0"/>
          <w:sz w:val="15"/>
        </w:rPr>
        <w:t xml:space="preserve">    pool: &amp;PgPool,</w:t>
      </w:r>
    </w:p>
    <w:p>
      <w:pPr>
        <w:spacing w:after="0" w:before="0" w:line="240" w:lineRule="auto"/>
        <w:ind w:left="57"/>
        <w:jc w:val="left"/>
        <w:shd w:val="clear" w:fill="F2F2F2"/>
      </w:pPr>
      <w:r>
        <w:rPr>
          <w:rFonts w:ascii="Consolas" w:hAnsi="Consolas" w:cs="Consolas"/>
          <w:b w:val="0"/>
          <w:i w:val="0"/>
          <w:sz w:val="15"/>
        </w:rPr>
        <w:t xml:space="preserve">    ustn: &amp;str,</w:t>
      </w:r>
    </w:p>
    <w:p>
      <w:pPr>
        <w:spacing w:after="0" w:before="0" w:line="240" w:lineRule="auto"/>
        <w:ind w:left="57"/>
        <w:jc w:val="left"/>
        <w:shd w:val="clear" w:fill="F2F2F2"/>
      </w:pPr>
      <w:r>
        <w:rPr>
          <w:rFonts w:ascii="Consolas" w:hAnsi="Consolas" w:cs="Consolas"/>
          <w:b w:val="0"/>
          <w:i w:val="0"/>
          <w:sz w:val="15"/>
        </w:rPr>
        <w:t xml:space="preserve">    document_content: &amp;[u8],</w:t>
      </w:r>
    </w:p>
    <w:p>
      <w:pPr>
        <w:spacing w:after="0" w:before="0" w:line="240" w:lineRule="auto"/>
        <w:ind w:left="57"/>
        <w:jc w:val="left"/>
        <w:shd w:val="clear" w:fill="F2F2F2"/>
      </w:pPr>
      <w:r>
        <w:rPr>
          <w:rFonts w:ascii="Consolas" w:hAnsi="Consolas" w:cs="Consolas"/>
          <w:b w:val="0"/>
          <w:i w:val="0"/>
          <w:sz w:val="15"/>
        </w:rPr>
        <w:t>) -&gt; Result&lt;bool, String&gt; {</w:t>
      </w:r>
    </w:p>
    <w:p>
      <w:pPr>
        <w:spacing w:after="0" w:before="0" w:line="240" w:lineRule="auto"/>
        <w:ind w:left="57"/>
        <w:jc w:val="left"/>
        <w:shd w:val="clear" w:fill="F2F2F2"/>
      </w:pPr>
      <w:r>
        <w:rPr>
          <w:rFonts w:ascii="Consolas" w:hAnsi="Consolas" w:cs="Consolas"/>
          <w:b w:val="0"/>
          <w:i w:val="0"/>
          <w:sz w:val="15"/>
        </w:rPr>
        <w:t xml:space="preserve">    // 1. Extract USTN from document (OCR or QR code)</w:t>
      </w:r>
    </w:p>
    <w:p>
      <w:pPr>
        <w:spacing w:after="0" w:before="0" w:line="240" w:lineRule="auto"/>
        <w:ind w:left="57"/>
        <w:jc w:val="left"/>
        <w:shd w:val="clear" w:fill="F2F2F2"/>
      </w:pPr>
      <w:r>
        <w:rPr>
          <w:rFonts w:ascii="Consolas" w:hAnsi="Consolas" w:cs="Consolas"/>
          <w:b w:val="0"/>
          <w:i w:val="0"/>
          <w:sz w:val="15"/>
        </w:rPr>
        <w:t xml:space="preserve">    let extracted_ustn = extract_ustn_from_document(document_content)?;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Validate USTN format</w:t>
      </w:r>
    </w:p>
    <w:p>
      <w:pPr>
        <w:spacing w:after="0" w:before="0" w:line="240" w:lineRule="auto"/>
        <w:ind w:left="57"/>
        <w:jc w:val="left"/>
        <w:shd w:val="clear" w:fill="F2F2F2"/>
      </w:pPr>
      <w:r>
        <w:rPr>
          <w:rFonts w:ascii="Consolas" w:hAnsi="Consolas" w:cs="Consolas"/>
          <w:b w:val="0"/>
          <w:i w:val="0"/>
          <w:sz w:val="15"/>
        </w:rPr>
        <w:t xml:space="preserve">    if !is_valid_ustn_format(&amp;extracted_ustn) {</w:t>
      </w:r>
    </w:p>
    <w:p>
      <w:pPr>
        <w:spacing w:after="0" w:before="0" w:line="240" w:lineRule="auto"/>
        <w:ind w:left="57"/>
        <w:jc w:val="left"/>
        <w:shd w:val="clear" w:fill="F2F2F2"/>
      </w:pPr>
      <w:r>
        <w:rPr>
          <w:rFonts w:ascii="Consolas" w:hAnsi="Consolas" w:cs="Consolas"/>
          <w:b w:val="0"/>
          <w:i w:val="0"/>
          <w:sz w:val="15"/>
        </w:rPr>
        <w:t xml:space="preserve">        return Err("Invalid USTN format in document".into());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if USTN exists in database</w:t>
      </w:r>
    </w:p>
    <w:p>
      <w:pPr>
        <w:spacing w:after="0" w:before="0" w:line="240" w:lineRule="auto"/>
        <w:ind w:left="57"/>
        <w:jc w:val="left"/>
        <w:shd w:val="clear" w:fill="F2F2F2"/>
      </w:pPr>
      <w:r>
        <w:rPr>
          <w:rFonts w:ascii="Consolas" w:hAnsi="Consolas" w:cs="Consolas"/>
          <w:b w:val="0"/>
          <w:i w:val="0"/>
          <w:sz w:val="15"/>
        </w:rPr>
        <w:t xml:space="preserve">    let exists = sqlx::query!("SELECT 1 FROM shipments WHERE ustn = $1", extracted_ustn)</w:t>
      </w:r>
    </w:p>
    <w:p>
      <w:pPr>
        <w:spacing w:after="0" w:before="0" w:line="240" w:lineRule="auto"/>
        <w:ind w:left="57"/>
        <w:jc w:val="left"/>
        <w:shd w:val="clear" w:fill="F2F2F2"/>
      </w:pPr>
      <w:r>
        <w:rPr>
          <w:rFonts w:ascii="Consolas" w:hAnsi="Consolas" w:cs="Consolas"/>
          <w:b w:val="0"/>
          <w:i w:val="0"/>
          <w:sz w:val="15"/>
        </w:rPr>
        <w:t xml:space="preserve">        .fetch_optional(pool)</w:t>
      </w:r>
    </w:p>
    <w:p>
      <w:pPr>
        <w:spacing w:after="0" w:before="0" w:line="240" w:lineRule="auto"/>
        <w:ind w:left="57"/>
        <w:jc w:val="left"/>
        <w:shd w:val="clear" w:fill="F2F2F2"/>
      </w:pPr>
      <w:r>
        <w:rPr>
          <w:rFonts w:ascii="Consolas" w:hAnsi="Consolas" w:cs="Consolas"/>
          <w:b w:val="0"/>
          <w:i w:val="0"/>
          <w:sz w:val="15"/>
        </w:rPr>
        <w:t xml:space="preserve">        .await?</w:t>
      </w:r>
    </w:p>
    <w:p>
      <w:pPr>
        <w:spacing w:after="0" w:before="0" w:line="240" w:lineRule="auto"/>
        <w:ind w:left="57"/>
        <w:jc w:val="left"/>
        <w:shd w:val="clear" w:fill="F2F2F2"/>
      </w:pPr>
      <w:r>
        <w:rPr>
          <w:rFonts w:ascii="Consolas" w:hAnsi="Consolas" w:cs="Consolas"/>
          <w:b w:val="0"/>
          <w:i w:val="0"/>
          <w:sz w:val="15"/>
        </w:rPr>
        <w:t xml:space="preserve">        .is_some();</w:t>
      </w:r>
    </w:p>
    <w:p>
      <w:pPr>
        <w:spacing w:after="0" w:before="0" w:line="240" w:lineRule="auto"/>
        <w:ind w:left="57"/>
        <w:jc w:val="left"/>
        <w:shd w:val="clear" w:fill="F2F2F2"/>
      </w:pPr>
      <w:r>
        <w:rPr>
          <w:rFonts w:ascii="Consolas" w:hAnsi="Consolas" w:cs="Consolas"/>
          <w:b w:val="0"/>
          <w:i w:val="0"/>
          <w:sz w:val="15"/>
        </w:rPr>
        <w:t xml:space="preserve">    if !exists {</w:t>
      </w:r>
    </w:p>
    <w:p>
      <w:pPr>
        <w:spacing w:after="0" w:before="0" w:line="240" w:lineRule="auto"/>
        <w:ind w:left="57"/>
        <w:jc w:val="left"/>
        <w:shd w:val="clear" w:fill="F2F2F2"/>
      </w:pPr>
      <w:r>
        <w:rPr>
          <w:rFonts w:ascii="Consolas" w:hAnsi="Consolas" w:cs="Consolas"/>
          <w:b w:val="0"/>
          <w:i w:val="0"/>
          <w:sz w:val="15"/>
        </w:rPr>
        <w:t xml:space="preserve">        return Err(format!("USTN '{}' not found in database", extracted_ustn));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Check if USTN matches trade being referenced</w:t>
      </w:r>
    </w:p>
    <w:p>
      <w:pPr>
        <w:spacing w:after="0" w:before="0" w:line="240" w:lineRule="auto"/>
        <w:ind w:left="57"/>
        <w:jc w:val="left"/>
        <w:shd w:val="clear" w:fill="F2F2F2"/>
      </w:pPr>
      <w:r>
        <w:rPr>
          <w:rFonts w:ascii="Consolas" w:hAnsi="Consolas" w:cs="Consolas"/>
          <w:b w:val="0"/>
          <w:i w:val="0"/>
          <w:sz w:val="15"/>
        </w:rPr>
        <w:t xml:space="preserve">    if extracted_ustn != ustn {</w:t>
      </w:r>
    </w:p>
    <w:p>
      <w:pPr>
        <w:spacing w:after="0" w:before="0" w:line="240" w:lineRule="auto"/>
        <w:ind w:left="57"/>
        <w:jc w:val="left"/>
        <w:shd w:val="clear" w:fill="F2F2F2"/>
      </w:pPr>
      <w:r>
        <w:rPr>
          <w:rFonts w:ascii="Consolas" w:hAnsi="Consolas" w:cs="Consolas"/>
          <w:b w:val="0"/>
          <w:i w:val="0"/>
          <w:sz w:val="15"/>
        </w:rPr>
        <w:t xml:space="preserve">        return Err(format!(</w:t>
      </w:r>
    </w:p>
    <w:p>
      <w:pPr>
        <w:spacing w:after="0" w:before="0" w:line="240" w:lineRule="auto"/>
        <w:ind w:left="57"/>
        <w:jc w:val="left"/>
        <w:shd w:val="clear" w:fill="F2F2F2"/>
      </w:pPr>
      <w:r>
        <w:rPr>
          <w:rFonts w:ascii="Consolas" w:hAnsi="Consolas" w:cs="Consolas"/>
          <w:b w:val="0"/>
          <w:i w:val="0"/>
          <w:sz w:val="15"/>
        </w:rPr>
        <w:t xml:space="preserve">            "Document USTN '{}' does not match trade USTN '{}'",</w:t>
      </w:r>
    </w:p>
    <w:p>
      <w:pPr>
        <w:spacing w:after="0" w:before="0" w:line="240" w:lineRule="auto"/>
        <w:ind w:left="57"/>
        <w:jc w:val="left"/>
        <w:shd w:val="clear" w:fill="F2F2F2"/>
      </w:pPr>
      <w:r>
        <w:rPr>
          <w:rFonts w:ascii="Consolas" w:hAnsi="Consolas" w:cs="Consolas"/>
          <w:b w:val="0"/>
          <w:i w:val="0"/>
          <w:sz w:val="15"/>
        </w:rPr>
        <w:t xml:space="preserve">            extracted_ustn, 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Ok(true)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If the USTN is missing, the system returns a warning and suggests adding it:</w:t>
      </w:r>
    </w:p>
    <w:p>
      <w:pPr>
        <w:spacing w:after="0" w:before="0" w:line="240" w:lineRule="auto"/>
        <w:ind w:left="57"/>
        <w:jc w:val="left"/>
        <w:shd w:val="clear" w:fill="F2F2F2"/>
      </w:pPr>
      <w:r>
        <w:rPr>
          <w:rFonts w:ascii="Consolas" w:hAnsi="Consolas" w:cs="Consolas"/>
          <w:b w:val="0"/>
          <w:i w:val="0"/>
          <w:sz w:val="15"/>
        </w:rPr>
        <w:t>Document is missing USTN reference. Please add "USTN: SGTX-EG-26-F3A-1"</w:t>
      </w:r>
    </w:p>
    <w:p>
      <w:pPr>
        <w:spacing w:after="0" w:before="0" w:line="240" w:lineRule="auto"/>
        <w:ind w:left="57"/>
        <w:jc w:val="left"/>
        <w:shd w:val="clear" w:fill="F2F2F2"/>
      </w:pPr>
      <w:r>
        <w:rPr>
          <w:rFonts w:ascii="Consolas" w:hAnsi="Consolas" w:cs="Consolas"/>
          <w:b w:val="0"/>
          <w:i w:val="0"/>
          <w:sz w:val="15"/>
        </w:rPr>
        <w:t>to the document header and re-upload.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5.4.5 Physical Marking (Paper Documents)</w:t>
      </w:r>
    </w:p>
    <w:p>
      <w:pPr>
        <w:spacing w:after="80" w:line="293" w:lineRule="auto"/>
        <w:jc w:val="left"/>
      </w:pPr>
      <w:r>
        <w:rPr>
          <w:rFonts w:ascii="Times New Roman" w:hAnsi="Times New Roman" w:cs="Times New Roman"/>
          <w:b w:val="0"/>
          <w:i w:val="0"/>
          <w:sz w:val="22"/>
        </w:rPr>
        <w:t>For paper documents, the USTN is printed as both human-readable text and a QR code.</w:t>
      </w:r>
    </w:p>
    <w:p>
      <w:pPr>
        <w:spacing w:after="80" w:line="293" w:lineRule="auto"/>
        <w:jc w:val="left"/>
      </w:pPr>
      <w:r>
        <w:rPr>
          <w:rFonts w:ascii="Times New Roman" w:hAnsi="Times New Roman" w:cs="Times New Roman"/>
          <w:b w:val="0"/>
          <w:i w:val="0"/>
          <w:sz w:val="22"/>
        </w:rPr>
        <w:t>Physical Document Template:</w:t>
      </w:r>
    </w:p>
    <w:p>
      <w:pPr>
        <w:spacing w:after="0" w:before="0" w:line="240" w:lineRule="auto"/>
        <w:ind w:left="57"/>
        <w:jc w:val="left"/>
        <w:shd w:val="clear" w:fill="F2F2F2"/>
      </w:pPr>
      <w:r>
        <w:rPr>
          <w:rFonts w:ascii="Consolas" w:hAnsi="Consolas" w:cs="Consolas"/>
          <w:b w:val="0"/>
          <w:i w:val="0"/>
          <w:sz w:val="15"/>
        </w:rPr>
        <w:t>COMMERCIAL INVOICE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[QR Code]</w:t>
      </w:r>
    </w:p>
    <w:p>
      <w:pPr>
        <w:spacing w:after="0" w:before="0" w:line="240" w:lineRule="auto"/>
        <w:ind w:left="57"/>
        <w:jc w:val="left"/>
        <w:shd w:val="clear" w:fill="F2F2F2"/>
      </w:pPr>
      <w:r>
        <w:rPr>
          <w:rFonts w:ascii="Consolas" w:hAnsi="Consolas" w:cs="Consolas"/>
          <w:b w:val="0"/>
          <w:i w:val="0"/>
          <w:sz w:val="15"/>
        </w:rPr>
        <w:t>https://sgtx.io/ustn/SGTX-EG-26-F3A-1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Invoice Number: INV-2026-001</w:t>
      </w:r>
    </w:p>
    <w:p>
      <w:pPr>
        <w:spacing w:after="0" w:before="0" w:line="240" w:lineRule="auto"/>
        <w:ind w:left="57"/>
        <w:jc w:val="left"/>
        <w:shd w:val="clear" w:fill="F2F2F2"/>
      </w:pPr>
      <w:r>
        <w:rPr>
          <w:rFonts w:ascii="Consolas" w:hAnsi="Consolas" w:cs="Consolas"/>
          <w:b w:val="0"/>
          <w:i w:val="0"/>
          <w:sz w:val="15"/>
        </w:rPr>
        <w:t>Date: 2026-04-15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(rest of invoice)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5.4.6 Document Verification</w:t>
      </w:r>
    </w:p>
    <w:p>
      <w:pPr>
        <w:spacing w:after="80" w:line="293" w:lineRule="auto"/>
        <w:jc w:val="left"/>
      </w:pPr>
      <w:r>
        <w:rPr>
          <w:rFonts w:ascii="Times New Roman" w:hAnsi="Times New Roman" w:cs="Times New Roman"/>
          <w:b w:val="0"/>
          <w:i w:val="0"/>
          <w:sz w:val="22"/>
        </w:rPr>
        <w:t>The system automatically verifies uploaded documents using AI (A2, HF Donut).</w:t>
      </w:r>
    </w:p>
    <w:p>
      <w:pPr>
        <w:spacing w:after="80" w:line="293" w:lineRule="auto"/>
        <w:jc w:val="left"/>
      </w:pPr>
      <w:r>
        <w:rPr>
          <w:rFonts w:ascii="Times New Roman" w:hAnsi="Times New Roman" w:cs="Times New Roman"/>
          <w:b w:val="0"/>
          <w:i w:val="0"/>
          <w:sz w:val="22"/>
        </w:rPr>
        <w:t>Verification Process:</w:t>
      </w:r>
    </w:p>
    <w:p>
      <w:pPr>
        <w:spacing w:after="80" w:line="293" w:lineRule="auto"/>
        <w:jc w:val="left"/>
      </w:pPr>
      <w:r>
        <w:rPr>
          <w:rFonts w:ascii="Times New Roman" w:hAnsi="Times New Roman" w:cs="Times New Roman"/>
          <w:b w:val="0"/>
          <w:i w:val="0"/>
          <w:sz w:val="22"/>
        </w:rPr>
        <w:t>1. Document is uploaded by the responsible party. 2. System extracts key fields using HF Donut (OCR + NLP). 3. System compares extracted fields against trade data (HS code, quantity, weight, value, parties). 4. System checks metadata (issue date, expiry date, issuing authority). 5. System verifies digital signatures (if present). 6. System returns a verification status and confidence score.</w:t>
      </w:r>
    </w:p>
    <w:p>
      <w:pPr>
        <w:spacing w:after="80" w:line="293" w:lineRule="auto"/>
        <w:jc w:val="left"/>
      </w:pPr>
      <w:r>
        <w:rPr>
          <w:rFonts w:ascii="Times New Roman" w:hAnsi="Times New Roman" w:cs="Times New Roman"/>
          <w:b w:val="0"/>
          <w:i w:val="0"/>
          <w:sz w:val="22"/>
        </w:rPr>
        <w:t>Verification Result: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"document_id": "DOC-2026-001",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"document_type": "PHYTOSANITARY_CERTIFICATE",</w:t>
      </w:r>
    </w:p>
    <w:p>
      <w:pPr>
        <w:spacing w:after="0" w:before="0" w:line="240" w:lineRule="auto"/>
        <w:ind w:left="57"/>
        <w:jc w:val="left"/>
        <w:shd w:val="clear" w:fill="F2F2F2"/>
      </w:pPr>
      <w:r>
        <w:rPr>
          <w:rFonts w:ascii="Consolas" w:hAnsi="Consolas" w:cs="Consolas"/>
          <w:b w:val="0"/>
          <w:i w:val="0"/>
          <w:sz w:val="15"/>
        </w:rPr>
        <w:t xml:space="preserve">    "verification_status": "VERIFIED",</w:t>
      </w:r>
    </w:p>
    <w:p>
      <w:pPr>
        <w:spacing w:after="0" w:before="0" w:line="240" w:lineRule="auto"/>
        <w:ind w:left="57"/>
        <w:jc w:val="left"/>
        <w:shd w:val="clear" w:fill="F2F2F2"/>
      </w:pPr>
      <w:r>
        <w:rPr>
          <w:rFonts w:ascii="Consolas" w:hAnsi="Consolas" w:cs="Consolas"/>
          <w:b w:val="0"/>
          <w:i w:val="0"/>
          <w:sz w:val="15"/>
        </w:rPr>
        <w:t xml:space="preserve">    "confidence_score": 0.94,</w:t>
      </w:r>
    </w:p>
    <w:p>
      <w:pPr>
        <w:spacing w:after="0" w:before="0" w:line="240" w:lineRule="auto"/>
        <w:ind w:left="57"/>
        <w:jc w:val="left"/>
        <w:shd w:val="clear" w:fill="F2F2F2"/>
      </w:pPr>
      <w:r>
        <w:rPr>
          <w:rFonts w:ascii="Consolas" w:hAnsi="Consolas" w:cs="Consolas"/>
          <w:b w:val="0"/>
          <w:i w:val="0"/>
          <w:sz w:val="15"/>
        </w:rPr>
        <w:t xml:space="preserve">    "extracted_fields": {</w:t>
      </w:r>
    </w:p>
    <w:p>
      <w:pPr>
        <w:spacing w:after="0" w:before="0" w:line="240" w:lineRule="auto"/>
        <w:ind w:left="57"/>
        <w:jc w:val="left"/>
        <w:shd w:val="clear" w:fill="F2F2F2"/>
      </w:pPr>
      <w:r>
        <w:rPr>
          <w:rFonts w:ascii="Consolas" w:hAnsi="Consolas" w:cs="Consolas"/>
          <w:b w:val="0"/>
          <w:i w:val="0"/>
          <w:sz w:val="15"/>
        </w:rPr>
        <w:t xml:space="preserve">        "certificate_number": "PHYTO-2026-001",</w:t>
      </w:r>
    </w:p>
    <w:p>
      <w:pPr>
        <w:spacing w:after="0" w:before="0" w:line="240" w:lineRule="auto"/>
        <w:ind w:left="57"/>
        <w:jc w:val="left"/>
        <w:shd w:val="clear" w:fill="F2F2F2"/>
      </w:pPr>
      <w:r>
        <w:rPr>
          <w:rFonts w:ascii="Consolas" w:hAnsi="Consolas" w:cs="Consolas"/>
          <w:b w:val="0"/>
          <w:i w:val="0"/>
          <w:sz w:val="15"/>
        </w:rPr>
        <w:t xml:space="preserve">        "issue_date": "2026-06-15",</w:t>
      </w:r>
    </w:p>
    <w:p>
      <w:pPr>
        <w:spacing w:after="0" w:before="0" w:line="240" w:lineRule="auto"/>
        <w:ind w:left="57"/>
        <w:jc w:val="left"/>
        <w:shd w:val="clear" w:fill="F2F2F2"/>
      </w:pPr>
      <w:r>
        <w:rPr>
          <w:rFonts w:ascii="Consolas" w:hAnsi="Consolas" w:cs="Consolas"/>
          <w:b w:val="0"/>
          <w:i w:val="0"/>
          <w:sz w:val="15"/>
        </w:rPr>
        <w:t xml:space="preserve">        "expiry_date": "2026-12-15",</w:t>
      </w:r>
    </w:p>
    <w:p>
      <w:pPr>
        <w:spacing w:after="0" w:before="0" w:line="240" w:lineRule="auto"/>
        <w:ind w:left="57"/>
        <w:jc w:val="left"/>
        <w:shd w:val="clear" w:fill="F2F2F2"/>
      </w:pPr>
      <w:r>
        <w:rPr>
          <w:rFonts w:ascii="Consolas" w:hAnsi="Consolas" w:cs="Consolas"/>
          <w:b w:val="0"/>
          <w:i w:val="0"/>
          <w:sz w:val="15"/>
        </w:rPr>
        <w:t xml:space="preserve">        "issuing_authority": "Egyptian Plant Quarantine",</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"quantity": "100 MT",</w:t>
      </w:r>
    </w:p>
    <w:p>
      <w:pPr>
        <w:spacing w:after="0" w:before="0" w:line="240" w:lineRule="auto"/>
        <w:ind w:left="57"/>
        <w:jc w:val="left"/>
        <w:shd w:val="clear" w:fill="F2F2F2"/>
      </w:pPr>
      <w:r>
        <w:rPr>
          <w:rFonts w:ascii="Consolas" w:hAnsi="Consolas" w:cs="Consolas"/>
          <w:b w:val="0"/>
          <w:i w:val="0"/>
          <w:sz w:val="15"/>
        </w:rPr>
        <w:t xml:space="preserve">        "treatment": "Cold Treatment -0.5°C for 14 days"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"discrepancies": [],</w:t>
      </w:r>
    </w:p>
    <w:p>
      <w:pPr>
        <w:spacing w:after="0" w:before="0" w:line="240" w:lineRule="auto"/>
        <w:ind w:left="57"/>
        <w:jc w:val="left"/>
        <w:shd w:val="clear" w:fill="F2F2F2"/>
      </w:pPr>
      <w:r>
        <w:rPr>
          <w:rFonts w:ascii="Consolas" w:hAnsi="Consolas" w:cs="Consolas"/>
          <w:b w:val="0"/>
          <w:i w:val="0"/>
          <w:sz w:val="15"/>
        </w:rPr>
        <w:t xml:space="preserve">    "fraud_indicators": [],</w:t>
      </w:r>
    </w:p>
    <w:p>
      <w:pPr>
        <w:spacing w:after="0" w:before="0" w:line="240" w:lineRule="auto"/>
        <w:ind w:left="57"/>
        <w:jc w:val="left"/>
        <w:shd w:val="clear" w:fill="F2F2F2"/>
      </w:pPr>
      <w:r>
        <w:rPr>
          <w:rFonts w:ascii="Consolas" w:hAnsi="Consolas" w:cs="Consolas"/>
          <w:b w:val="0"/>
          <w:i w:val="0"/>
          <w:sz w:val="15"/>
        </w:rPr>
        <w:t xml:space="preserve">    "verification_timestamp": "2026-06-20T10:30:00Z"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5.4.7 Document Types and Triggers</w:t>
      </w:r>
    </w:p>
    <w:p>
      <w:pPr>
        <w:spacing w:after="80" w:line="293" w:lineRule="auto"/>
        <w:jc w:val="left"/>
      </w:pPr>
      <w:r>
        <w:rPr>
          <w:rFonts w:ascii="Times New Roman" w:hAnsi="Times New Roman" w:cs="Times New Roman"/>
          <w:b w:val="0"/>
          <w:i w:val="0"/>
          <w:sz w:val="22"/>
        </w:rPr>
        <w:t>Each document type is associated with specific triggers (Shipment, Settlement, Customs, Financing):</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Trigger</w:t>
            </w:r>
          </w:p>
        </w:tc>
        <w:tc>
          <w:tcPr>
            <w:tcW w:type="dxa" w:w="4819"/>
            <w:shd w:val="clear" w:fill="D9E2F3"/>
          </w:tcPr>
          <w:p>
            <w:pPr>
              <w:spacing w:after="20" w:before="20" w:line="240" w:lineRule="auto"/>
            </w:pPr>
            <w:r/>
            <w:r>
              <w:rPr>
                <w:rFonts w:ascii="Arial" w:hAnsi="Arial" w:cs="Arial"/>
                <w:b/>
                <w:i w:val="0"/>
                <w:sz w:val="18"/>
              </w:rPr>
              <w:t>Document Types</w:t>
            </w:r>
          </w:p>
        </w:tc>
      </w:tr>
      <w:tr>
        <w:tc>
          <w:tcPr>
            <w:tcW w:type="dxa" w:w="4819"/>
          </w:tcPr>
          <w:p>
            <w:pPr>
              <w:spacing w:after="20" w:before="20" w:line="240" w:lineRule="auto"/>
            </w:pPr>
            <w:r/>
            <w:r>
              <w:rPr>
                <w:rFonts w:ascii="Arial" w:hAnsi="Arial" w:cs="Arial"/>
                <w:b w:val="0"/>
                <w:i w:val="0"/>
                <w:sz w:val="17"/>
              </w:rPr>
              <w:t>Shipment</w:t>
            </w:r>
          </w:p>
        </w:tc>
        <w:tc>
          <w:tcPr>
            <w:tcW w:type="dxa" w:w="4819"/>
          </w:tcPr>
          <w:p>
            <w:pPr>
              <w:spacing w:after="20" w:before="20" w:line="240" w:lineRule="auto"/>
            </w:pPr>
            <w:r/>
            <w:r>
              <w:rPr>
                <w:rFonts w:ascii="Arial" w:hAnsi="Arial" w:cs="Arial"/>
                <w:b w:val="0"/>
                <w:i w:val="0"/>
                <w:sz w:val="17"/>
              </w:rPr>
              <w:t>Commercial invoice, packing list, bill of lading (eBL), shipping labels, QR-coded tags</w:t>
            </w:r>
          </w:p>
        </w:tc>
      </w:tr>
      <w:tr>
        <w:tc>
          <w:tcPr>
            <w:tcW w:type="dxa" w:w="4819"/>
          </w:tcPr>
          <w:p>
            <w:pPr>
              <w:spacing w:after="20" w:before="20" w:line="240" w:lineRule="auto"/>
            </w:pPr>
            <w:r/>
            <w:r>
              <w:rPr>
                <w:rFonts w:ascii="Arial" w:hAnsi="Arial" w:cs="Arial"/>
                <w:b w:val="0"/>
                <w:i w:val="0"/>
                <w:sz w:val="17"/>
              </w:rPr>
              <w:t>Settlement</w:t>
            </w:r>
          </w:p>
        </w:tc>
        <w:tc>
          <w:tcPr>
            <w:tcW w:type="dxa" w:w="4819"/>
          </w:tcPr>
          <w:p>
            <w:pPr>
              <w:spacing w:after="20" w:before="20" w:line="240" w:lineRule="auto"/>
            </w:pPr>
            <w:r/>
            <w:r>
              <w:rPr>
                <w:rFonts w:ascii="Arial" w:hAnsi="Arial" w:cs="Arial"/>
                <w:b w:val="0"/>
                <w:i w:val="0"/>
                <w:sz w:val="17"/>
              </w:rPr>
              <w:t>Payment instructions, settlement confirmations, bank statements references</w:t>
            </w:r>
          </w:p>
        </w:tc>
      </w:tr>
      <w:tr>
        <w:tc>
          <w:tcPr>
            <w:tcW w:type="dxa" w:w="4819"/>
          </w:tcPr>
          <w:p>
            <w:pPr>
              <w:spacing w:after="20" w:before="20" w:line="240" w:lineRule="auto"/>
            </w:pPr>
            <w:r/>
            <w:r>
              <w:rPr>
                <w:rFonts w:ascii="Arial" w:hAnsi="Arial" w:cs="Arial"/>
                <w:b w:val="0"/>
                <w:i w:val="0"/>
                <w:sz w:val="17"/>
              </w:rPr>
              <w:t>Customs</w:t>
            </w:r>
          </w:p>
        </w:tc>
        <w:tc>
          <w:tcPr>
            <w:tcW w:type="dxa" w:w="4819"/>
          </w:tcPr>
          <w:p>
            <w:pPr>
              <w:spacing w:after="20" w:before="20" w:line="240" w:lineRule="auto"/>
            </w:pPr>
            <w:r/>
            <w:r>
              <w:rPr>
                <w:rFonts w:ascii="Arial" w:hAnsi="Arial" w:cs="Arial"/>
                <w:b w:val="0"/>
                <w:i w:val="0"/>
                <w:sz w:val="17"/>
              </w:rPr>
              <w:t>SAD declaration, ACID filing, phytosanitary certificate, health certificate, certificate of origin</w:t>
            </w:r>
          </w:p>
        </w:tc>
      </w:tr>
      <w:tr>
        <w:tc>
          <w:tcPr>
            <w:tcW w:type="dxa" w:w="4819"/>
          </w:tcPr>
          <w:p>
            <w:pPr>
              <w:spacing w:after="20" w:before="20" w:line="240" w:lineRule="auto"/>
            </w:pPr>
            <w:r/>
            <w:r>
              <w:rPr>
                <w:rFonts w:ascii="Arial" w:hAnsi="Arial" w:cs="Arial"/>
                <w:b w:val="0"/>
                <w:i w:val="0"/>
                <w:sz w:val="17"/>
              </w:rPr>
              <w:t>Financing</w:t>
            </w:r>
          </w:p>
        </w:tc>
        <w:tc>
          <w:tcPr>
            <w:tcW w:type="dxa" w:w="4819"/>
          </w:tcPr>
          <w:p>
            <w:pPr>
              <w:spacing w:after="20" w:before="20" w:line="240" w:lineRule="auto"/>
            </w:pPr>
            <w:r/>
            <w:r>
              <w:rPr>
                <w:rFonts w:ascii="Arial" w:hAnsi="Arial" w:cs="Arial"/>
                <w:b w:val="0"/>
                <w:i w:val="0"/>
                <w:sz w:val="17"/>
              </w:rPr>
              <w:t>Financing agreement, collateral references, margin call records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5.4.8 Implementation Checklist (Section 5.4)</w:t>
      </w:r>
    </w:p>
    <w:p>
      <w:pPr>
        <w:spacing w:after="80" w:line="293" w:lineRule="auto"/>
        <w:ind w:left="283"/>
        <w:jc w:val="left"/>
      </w:pPr>
      <w:r>
        <w:rPr>
          <w:rFonts w:ascii="Times New Roman" w:hAnsi="Times New Roman" w:cs="Times New Roman"/>
          <w:b w:val="0"/>
          <w:i w:val="0"/>
          <w:sz w:val="22"/>
        </w:rPr>
        <w:t>- Implement document templates with standardised USTN placement per document type.</w:t>
      </w:r>
    </w:p>
    <w:p>
      <w:pPr>
        <w:spacing w:after="80" w:line="293" w:lineRule="auto"/>
        <w:ind w:left="283"/>
        <w:jc w:val="left"/>
      </w:pPr>
      <w:r>
        <w:rPr>
          <w:rFonts w:ascii="Times New Roman" w:hAnsi="Times New Roman" w:cs="Times New Roman"/>
          <w:b w:val="0"/>
          <w:i w:val="0"/>
          <w:sz w:val="22"/>
        </w:rPr>
        <w:t>- Implement QR code generation and embedding for all generated documents.</w:t>
      </w:r>
    </w:p>
    <w:p>
      <w:pPr>
        <w:spacing w:after="80" w:line="293" w:lineRule="auto"/>
        <w:ind w:left="283"/>
        <w:jc w:val="left"/>
      </w:pPr>
      <w:r>
        <w:rPr>
          <w:rFonts w:ascii="Times New Roman" w:hAnsi="Times New Roman" w:cs="Times New Roman"/>
          <w:b w:val="0"/>
          <w:i w:val="0"/>
          <w:sz w:val="22"/>
        </w:rPr>
        <w:t>- Implement Ed25519 signing of generated documents.</w:t>
      </w:r>
    </w:p>
    <w:p>
      <w:pPr>
        <w:spacing w:after="80" w:line="293" w:lineRule="auto"/>
        <w:ind w:left="283"/>
        <w:jc w:val="left"/>
      </w:pPr>
      <w:r>
        <w:rPr>
          <w:rFonts w:ascii="Times New Roman" w:hAnsi="Times New Roman" w:cs="Times New Roman"/>
          <w:b w:val="0"/>
          <w:i w:val="0"/>
          <w:sz w:val="22"/>
        </w:rPr>
        <w:t>- Implement upload validation (USTN presence, match, duplicate check).</w:t>
      </w:r>
    </w:p>
    <w:p>
      <w:pPr>
        <w:spacing w:after="80" w:line="293" w:lineRule="auto"/>
        <w:ind w:left="283"/>
        <w:jc w:val="left"/>
      </w:pPr>
      <w:r>
        <w:rPr>
          <w:rFonts w:ascii="Times New Roman" w:hAnsi="Times New Roman" w:cs="Times New Roman"/>
          <w:b w:val="0"/>
          <w:i w:val="0"/>
          <w:sz w:val="22"/>
        </w:rPr>
        <w:t>- Integrate HF Donut (A2) field extraction and comparison against trade data.</w:t>
      </w:r>
    </w:p>
    <w:p>
      <w:pPr>
        <w:spacing w:after="80" w:line="293" w:lineRule="auto"/>
        <w:ind w:left="283"/>
        <w:jc w:val="left"/>
      </w:pPr>
      <w:r>
        <w:rPr>
          <w:rFonts w:ascii="Times New Roman" w:hAnsi="Times New Roman" w:cs="Times New Roman"/>
          <w:b w:val="0"/>
          <w:i w:val="0"/>
          <w:sz w:val="22"/>
        </w:rPr>
        <w:t>- Return warnings with suggested remediation for missing USTNs.</w:t>
      </w:r>
    </w:p>
    <w:p>
      <w:pPr>
        <w:spacing w:after="80" w:line="293" w:lineRule="auto"/>
        <w:ind w:left="283"/>
        <w:jc w:val="left"/>
      </w:pPr>
      <w:r>
        <w:rPr>
          <w:rFonts w:ascii="Times New Roman" w:hAnsi="Times New Roman" w:cs="Times New Roman"/>
          <w:b w:val="0"/>
          <w:i w:val="0"/>
          <w:sz w:val="22"/>
        </w:rPr>
        <w:t>- Store document records with USTN references and loom hashes.</w:t>
      </w:r>
    </w:p>
    <w:p>
      <w:pPr>
        <w:keepNext/>
        <w:spacing w:before="240" w:after="100"/>
        <w:outlineLvl w:val="1"/>
      </w:pPr>
      <w:r>
        <w:rPr>
          <w:rFonts w:ascii="Arial" w:hAnsi="Arial" w:cs="Arial"/>
          <w:b/>
          <w:i w:val="0"/>
          <w:color w:val="2E528F"/>
          <w:sz w:val="26"/>
        </w:rPr>
        <w:t>5.5 Resolution Service</w:t>
      </w:r>
    </w:p>
    <w:p>
      <w:pPr>
        <w:keepNext/>
        <w:spacing w:before="180" w:after="80"/>
        <w:outlineLvl w:val="2"/>
      </w:pPr>
      <w:r>
        <w:rPr>
          <w:rFonts w:ascii="Arial" w:hAnsi="Arial" w:cs="Arial"/>
          <w:b/>
          <w:i w:val="0"/>
          <w:color w:val="333333"/>
          <w:sz w:val="23"/>
        </w:rPr>
        <w:t>5.5.1 Purpose &amp; Design Philosophy</w:t>
      </w:r>
    </w:p>
    <w:p>
      <w:pPr>
        <w:spacing w:after="80" w:line="293" w:lineRule="auto"/>
        <w:jc w:val="left"/>
      </w:pPr>
      <w:r>
        <w:rPr>
          <w:rFonts w:ascii="Times New Roman" w:hAnsi="Times New Roman" w:cs="Times New Roman"/>
          <w:b w:val="0"/>
          <w:i w:val="0"/>
          <w:sz w:val="22"/>
        </w:rPr>
        <w:t>The USTN Resolution Service is the authoritative endpoint for retrieving USTN master objects. It provides role-based filtering, ensuring that each party sees only the data they are permitted to view. The service is fast, reliable, and auditable.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Role-Based Filtering — different parties see different subsets of data.</w:t>
      </w:r>
    </w:p>
    <w:p>
      <w:pPr>
        <w:spacing w:after="80" w:line="293" w:lineRule="auto"/>
        <w:ind w:left="283"/>
        <w:jc w:val="left"/>
      </w:pPr>
      <w:r>
        <w:rPr>
          <w:rFonts w:ascii="Times New Roman" w:hAnsi="Times New Roman" w:cs="Times New Roman"/>
          <w:b w:val="0"/>
          <w:i w:val="0"/>
          <w:sz w:val="22"/>
        </w:rPr>
        <w:t>- Fast Response — P95 latency ≤100ms for cached responses.</w:t>
      </w:r>
    </w:p>
    <w:p>
      <w:pPr>
        <w:spacing w:after="80" w:line="293" w:lineRule="auto"/>
        <w:ind w:left="283"/>
        <w:jc w:val="left"/>
      </w:pPr>
      <w:r>
        <w:rPr>
          <w:rFonts w:ascii="Times New Roman" w:hAnsi="Times New Roman" w:cs="Times New Roman"/>
          <w:b w:val="0"/>
          <w:i w:val="0"/>
          <w:sz w:val="22"/>
        </w:rPr>
        <w:t>- Auditable — every resolution request is logged in audit_log.</w:t>
      </w:r>
    </w:p>
    <w:p>
      <w:pPr>
        <w:spacing w:after="80" w:line="293" w:lineRule="auto"/>
        <w:ind w:left="283"/>
        <w:jc w:val="left"/>
      </w:pPr>
      <w:r>
        <w:rPr>
          <w:rFonts w:ascii="Times New Roman" w:hAnsi="Times New Roman" w:cs="Times New Roman"/>
          <w:b w:val="0"/>
          <w:i w:val="0"/>
          <w:sz w:val="22"/>
        </w:rPr>
        <w:t>- Rate-Limited — 100 requests per minute per tenant.</w:t>
      </w:r>
    </w:p>
    <w:p>
      <w:pPr>
        <w:keepNext/>
        <w:spacing w:before="180" w:after="80"/>
        <w:outlineLvl w:val="2"/>
      </w:pPr>
      <w:r>
        <w:rPr>
          <w:rFonts w:ascii="Arial" w:hAnsi="Arial" w:cs="Arial"/>
          <w:b/>
          <w:i w:val="0"/>
          <w:color w:val="333333"/>
          <w:sz w:val="23"/>
        </w:rPr>
        <w:t>5.5.2 Endpoint Specification</w:t>
      </w:r>
    </w:p>
    <w:p>
      <w:pPr>
        <w:spacing w:after="80" w:line="293" w:lineRule="auto"/>
        <w:jc w:val="left"/>
      </w:pPr>
      <w:r>
        <w:rPr>
          <w:rFonts w:ascii="Times New Roman" w:hAnsi="Times New Roman" w:cs="Times New Roman"/>
          <w:b w:val="0"/>
          <w:i w:val="0"/>
          <w:sz w:val="22"/>
        </w:rPr>
        <w:t>Endpoint: `GET /v1/ustn/{ustn}` (authenticated, role-based filtering)</w:t>
      </w:r>
    </w:p>
    <w:p>
      <w:pPr>
        <w:spacing w:after="80" w:line="293" w:lineRule="auto"/>
        <w:jc w:val="left"/>
      </w:pPr>
      <w:r>
        <w:rPr>
          <w:rFonts w:ascii="Times New Roman" w:hAnsi="Times New Roman" w:cs="Times New Roman"/>
          <w:b w:val="0"/>
          <w:i w:val="0"/>
          <w:sz w:val="22"/>
        </w:rPr>
        <w:t>Authentication: valid JWT required.</w:t>
      </w:r>
    </w:p>
    <w:p>
      <w:pPr>
        <w:spacing w:after="80" w:line="293" w:lineRule="auto"/>
        <w:jc w:val="left"/>
      </w:pPr>
      <w:r>
        <w:rPr>
          <w:rFonts w:ascii="Times New Roman" w:hAnsi="Times New Roman" w:cs="Times New Roman"/>
          <w:b w:val="0"/>
          <w:i w:val="0"/>
          <w:sz w:val="22"/>
        </w:rPr>
        <w:t>Path Parameters: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Parameter</w:t>
            </w:r>
          </w:p>
        </w:tc>
        <w:tc>
          <w:tcPr>
            <w:tcW w:type="dxa" w:w="3213"/>
            <w:shd w:val="clear" w:fill="D9E2F3"/>
          </w:tcPr>
          <w:p>
            <w:pPr>
              <w:spacing w:after="20" w:before="20" w:line="240" w:lineRule="auto"/>
            </w:pPr>
            <w:r/>
            <w:r>
              <w:rPr>
                <w:rFonts w:ascii="Arial" w:hAnsi="Arial" w:cs="Arial"/>
                <w:b/>
                <w:i w:val="0"/>
                <w:sz w:val="18"/>
              </w:rPr>
              <w:t>Required</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ustn</w:t>
            </w:r>
          </w:p>
        </w:tc>
        <w:tc>
          <w:tcPr>
            <w:tcW w:type="dxa" w:w="3213"/>
          </w:tcPr>
          <w:p>
            <w:pPr>
              <w:spacing w:after="20" w:before="20" w:line="240" w:lineRule="auto"/>
            </w:pPr>
            <w:r/>
            <w:r>
              <w:rPr>
                <w:rFonts w:ascii="Arial" w:hAnsi="Arial" w:cs="Arial"/>
                <w:b w:val="0"/>
                <w:i w:val="0"/>
                <w:sz w:val="17"/>
              </w:rPr>
              <w:t>Yes</w:t>
            </w:r>
          </w:p>
        </w:tc>
        <w:tc>
          <w:tcPr>
            <w:tcW w:type="dxa" w:w="3213"/>
          </w:tcPr>
          <w:p>
            <w:pPr>
              <w:spacing w:after="20" w:before="20" w:line="240" w:lineRule="auto"/>
            </w:pPr>
            <w:r/>
            <w:r>
              <w:rPr>
                <w:rFonts w:ascii="Arial" w:hAnsi="Arial" w:cs="Arial"/>
                <w:b w:val="0"/>
                <w:i w:val="0"/>
                <w:sz w:val="17"/>
              </w:rPr>
              <w:t>The USTN to resolve (must match the validation regex)</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Query Parameters (Optional):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Parameter</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include_timeline</w:t>
            </w:r>
          </w:p>
        </w:tc>
        <w:tc>
          <w:tcPr>
            <w:tcW w:type="dxa" w:w="4819"/>
          </w:tcPr>
          <w:p>
            <w:pPr>
              <w:spacing w:after="20" w:before="20" w:line="240" w:lineRule="auto"/>
            </w:pPr>
            <w:r/>
            <w:r>
              <w:rPr>
                <w:rFonts w:ascii="Arial" w:hAnsi="Arial" w:cs="Arial"/>
                <w:b w:val="0"/>
                <w:i w:val="0"/>
                <w:sz w:val="17"/>
              </w:rPr>
              <w:t>Include the full event timeline (default: true)</w:t>
            </w:r>
          </w:p>
        </w:tc>
      </w:tr>
      <w:tr>
        <w:tc>
          <w:tcPr>
            <w:tcW w:type="dxa" w:w="4819"/>
          </w:tcPr>
          <w:p>
            <w:pPr>
              <w:spacing w:after="20" w:before="20" w:line="240" w:lineRule="auto"/>
            </w:pPr>
            <w:r/>
            <w:r>
              <w:rPr>
                <w:rFonts w:ascii="Arial" w:hAnsi="Arial" w:cs="Arial"/>
                <w:b w:val="0"/>
                <w:i w:val="0"/>
                <w:sz w:val="17"/>
              </w:rPr>
              <w:t>include_documents</w:t>
            </w:r>
          </w:p>
        </w:tc>
        <w:tc>
          <w:tcPr>
            <w:tcW w:type="dxa" w:w="4819"/>
          </w:tcPr>
          <w:p>
            <w:pPr>
              <w:spacing w:after="20" w:before="20" w:line="240" w:lineRule="auto"/>
            </w:pPr>
            <w:r/>
            <w:r>
              <w:rPr>
                <w:rFonts w:ascii="Arial" w:hAnsi="Arial" w:cs="Arial"/>
                <w:b w:val="0"/>
                <w:i w:val="0"/>
                <w:sz w:val="17"/>
              </w:rPr>
              <w:t>Include document references (default: role-dependent)</w:t>
            </w:r>
          </w:p>
        </w:tc>
      </w:tr>
      <w:tr>
        <w:tc>
          <w:tcPr>
            <w:tcW w:type="dxa" w:w="4819"/>
          </w:tcPr>
          <w:p>
            <w:pPr>
              <w:spacing w:after="20" w:before="20" w:line="240" w:lineRule="auto"/>
            </w:pPr>
            <w:r/>
            <w:r>
              <w:rPr>
                <w:rFonts w:ascii="Arial" w:hAnsi="Arial" w:cs="Arial"/>
                <w:b w:val="0"/>
                <w:i w:val="0"/>
                <w:sz w:val="17"/>
              </w:rPr>
              <w:t>version</w:t>
            </w:r>
          </w:p>
        </w:tc>
        <w:tc>
          <w:tcPr>
            <w:tcW w:type="dxa" w:w="4819"/>
          </w:tcPr>
          <w:p>
            <w:pPr>
              <w:spacing w:after="20" w:before="20" w:line="240" w:lineRule="auto"/>
            </w:pPr>
            <w:r/>
            <w:r>
              <w:rPr>
                <w:rFonts w:ascii="Arial" w:hAnsi="Arial" w:cs="Arial"/>
                <w:b w:val="0"/>
                <w:i w:val="0"/>
                <w:sz w:val="17"/>
              </w:rPr>
              <w:t>Request a specific cached version of the master object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Rate Limits: 100 requests per minute per tenant.</w:t>
      </w:r>
    </w:p>
    <w:p>
      <w:pPr>
        <w:keepNext/>
        <w:spacing w:before="180" w:after="80"/>
        <w:outlineLvl w:val="2"/>
      </w:pPr>
      <w:r>
        <w:rPr>
          <w:rFonts w:ascii="Arial" w:hAnsi="Arial" w:cs="Arial"/>
          <w:b/>
          <w:i w:val="0"/>
          <w:color w:val="333333"/>
          <w:sz w:val="23"/>
        </w:rPr>
        <w:t>5.5.3 Response Schema</w:t>
      </w:r>
    </w:p>
    <w:p>
      <w:pPr>
        <w:spacing w:after="80" w:line="293" w:lineRule="auto"/>
        <w:jc w:val="left"/>
      </w:pPr>
      <w:r>
        <w:rPr>
          <w:rFonts w:ascii="Times New Roman" w:hAnsi="Times New Roman" w:cs="Times New Roman"/>
          <w:b w:val="0"/>
          <w:i w:val="0"/>
          <w:sz w:val="22"/>
        </w:rPr>
        <w:t>Returns the USTN master object filtered by the requester's permissions. A logistics provider sees only their services; a buyer sees full commercial terms but not the seller's internal costs; a financier sees all trade data; a government official sees only compliance documents.</w:t>
      </w:r>
    </w:p>
    <w:p>
      <w:pPr>
        <w:spacing w:after="80" w:line="293" w:lineRule="auto"/>
        <w:jc w:val="left"/>
      </w:pPr>
      <w:r>
        <w:rPr>
          <w:rFonts w:ascii="Times New Roman" w:hAnsi="Times New Roman" w:cs="Times New Roman"/>
          <w:b w:val="0"/>
          <w:i w:val="0"/>
          <w:sz w:val="22"/>
        </w:rPr>
        <w:t>Example Request (Buyer):</w:t>
      </w:r>
    </w:p>
    <w:p>
      <w:pPr>
        <w:spacing w:after="0" w:before="0" w:line="240" w:lineRule="auto"/>
        <w:ind w:left="57"/>
        <w:jc w:val="left"/>
        <w:shd w:val="clear" w:fill="F2F2F2"/>
      </w:pPr>
      <w:r>
        <w:rPr>
          <w:rFonts w:ascii="Consolas" w:hAnsi="Consolas" w:cs="Consolas"/>
          <w:b w:val="0"/>
          <w:i w:val="0"/>
          <w:sz w:val="15"/>
        </w:rPr>
        <w:t>curl -H "Authorization: Bearer &lt;JWT&gt;" \</w:t>
      </w:r>
    </w:p>
    <w:p>
      <w:pPr>
        <w:spacing w:after="0" w:before="0" w:line="240" w:lineRule="auto"/>
        <w:ind w:left="57"/>
        <w:jc w:val="left"/>
        <w:shd w:val="clear" w:fill="F2F2F2"/>
      </w:pPr>
      <w:r>
        <w:rPr>
          <w:rFonts w:ascii="Consolas" w:hAnsi="Consolas" w:cs="Consolas"/>
          <w:b w:val="0"/>
          <w:i w:val="0"/>
          <w:sz w:val="15"/>
        </w:rPr>
        <w:t xml:space="preserve">    https://api.sgtx.io/v1/ustn/SGTX-EG-26-F3A-1</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(Buyer View):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"status": "IN_TRANSIT",</w:t>
      </w:r>
    </w:p>
    <w:p>
      <w:pPr>
        <w:spacing w:after="0" w:before="0" w:line="240" w:lineRule="auto"/>
        <w:ind w:left="57"/>
        <w:jc w:val="left"/>
        <w:shd w:val="clear" w:fill="F2F2F2"/>
      </w:pPr>
      <w:r>
        <w:rPr>
          <w:rFonts w:ascii="Consolas" w:hAnsi="Consolas" w:cs="Consolas"/>
          <w:b w:val="0"/>
          <w:i w:val="0"/>
          <w:sz w:val="15"/>
        </w:rPr>
        <w:t xml:space="preserve">    "parties": {</w:t>
      </w:r>
    </w:p>
    <w:p>
      <w:pPr>
        <w:spacing w:after="0" w:before="0" w:line="240" w:lineRule="auto"/>
        <w:ind w:left="57"/>
        <w:jc w:val="left"/>
        <w:shd w:val="clear" w:fill="F2F2F2"/>
      </w:pPr>
      <w:r>
        <w:rPr>
          <w:rFonts w:ascii="Consolas" w:hAnsi="Consolas" w:cs="Consolas"/>
          <w:b w:val="0"/>
          <w:i w:val="0"/>
          <w:sz w:val="15"/>
        </w:rPr>
        <w:t xml:space="preserve">        "exporter": {</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"trader_id": "F3A",</w:t>
      </w:r>
    </w:p>
    <w:p>
      <w:pPr>
        <w:spacing w:after="0" w:before="0" w:line="240" w:lineRule="auto"/>
        <w:ind w:left="57"/>
        <w:jc w:val="left"/>
        <w:shd w:val="clear" w:fill="F2F2F2"/>
      </w:pPr>
      <w:r>
        <w:rPr>
          <w:rFonts w:ascii="Consolas" w:hAnsi="Consolas" w:cs="Consolas"/>
          <w:b w:val="0"/>
          <w:i w:val="0"/>
          <w:sz w:val="15"/>
        </w:rPr>
        <w:t xml:space="preserve">            "name": "Strawberry Export Co.",</w:t>
      </w:r>
    </w:p>
    <w:p>
      <w:pPr>
        <w:spacing w:after="0" w:before="0" w:line="240" w:lineRule="auto"/>
        <w:ind w:left="57"/>
        <w:jc w:val="left"/>
        <w:shd w:val="clear" w:fill="F2F2F2"/>
      </w:pPr>
      <w:r>
        <w:rPr>
          <w:rFonts w:ascii="Consolas" w:hAnsi="Consolas" w:cs="Consolas"/>
          <w:b w:val="0"/>
          <w:i w:val="0"/>
          <w:sz w:val="15"/>
        </w:rPr>
        <w:t xml:space="preserve">            "trust_score": 92,</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"importer": {</w:t>
      </w:r>
    </w:p>
    <w:p>
      <w:pPr>
        <w:spacing w:after="0" w:before="0" w:line="240" w:lineRule="auto"/>
        <w:ind w:left="57"/>
        <w:jc w:val="left"/>
        <w:shd w:val="clear" w:fill="F2F2F2"/>
      </w:pPr>
      <w:r>
        <w:rPr>
          <w:rFonts w:ascii="Consolas" w:hAnsi="Consolas" w:cs="Consolas"/>
          <w:b w:val="0"/>
          <w:i w:val="0"/>
          <w:sz w:val="15"/>
        </w:rPr>
        <w:t xml:space="preserve">            "gtid": "SGTX-DE-TRD-001234-5B6C",</w:t>
      </w:r>
    </w:p>
    <w:p>
      <w:pPr>
        <w:spacing w:after="0" w:before="0" w:line="240" w:lineRule="auto"/>
        <w:ind w:left="57"/>
        <w:jc w:val="left"/>
        <w:shd w:val="clear" w:fill="F2F2F2"/>
      </w:pPr>
      <w:r>
        <w:rPr>
          <w:rFonts w:ascii="Consolas" w:hAnsi="Consolas" w:cs="Consolas"/>
          <w:b w:val="0"/>
          <w:i w:val="0"/>
          <w:sz w:val="15"/>
        </w:rPr>
        <w:t xml:space="preserve">            "trader_id": "5B6C",</w:t>
      </w:r>
    </w:p>
    <w:p>
      <w:pPr>
        <w:spacing w:after="0" w:before="0" w:line="240" w:lineRule="auto"/>
        <w:ind w:left="57"/>
        <w:jc w:val="left"/>
        <w:shd w:val="clear" w:fill="F2F2F2"/>
      </w:pPr>
      <w:r>
        <w:rPr>
          <w:rFonts w:ascii="Consolas" w:hAnsi="Consolas" w:cs="Consolas"/>
          <w:b w:val="0"/>
          <w:i w:val="0"/>
          <w:sz w:val="15"/>
        </w:rPr>
        <w:t xml:space="preserve">            "name": "European Importer GmbH",</w:t>
      </w:r>
    </w:p>
    <w:p>
      <w:pPr>
        <w:spacing w:after="0" w:before="0" w:line="240" w:lineRule="auto"/>
        <w:ind w:left="57"/>
        <w:jc w:val="left"/>
        <w:shd w:val="clear" w:fill="F2F2F2"/>
      </w:pPr>
      <w:r>
        <w:rPr>
          <w:rFonts w:ascii="Consolas" w:hAnsi="Consolas" w:cs="Consolas"/>
          <w:b w:val="0"/>
          <w:i w:val="0"/>
          <w:sz w:val="15"/>
        </w:rPr>
        <w:t xml:space="preserve">            "trust_score": 88,</w:t>
      </w:r>
    </w:p>
    <w:p>
      <w:pPr>
        <w:spacing w:after="0" w:before="0" w:line="240" w:lineRule="auto"/>
        <w:ind w:left="57"/>
        <w:jc w:val="left"/>
        <w:shd w:val="clear" w:fill="F2F2F2"/>
      </w:pPr>
      <w:r>
        <w:rPr>
          <w:rFonts w:ascii="Consolas" w:hAnsi="Consolas" w:cs="Consolas"/>
          <w:b w:val="0"/>
          <w:i w:val="0"/>
          <w:sz w:val="15"/>
        </w:rPr>
        <w:t xml:space="preserve">            "jurisdiction": "DE"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"goods": {</w:t>
      </w:r>
    </w:p>
    <w:p>
      <w:pPr>
        <w:spacing w:after="0" w:before="0" w:line="240" w:lineRule="auto"/>
        <w:ind w:left="57"/>
        <w:jc w:val="left"/>
        <w:shd w:val="clear" w:fill="F2F2F2"/>
      </w:pPr>
      <w:r>
        <w:rPr>
          <w:rFonts w:ascii="Consolas" w:hAnsi="Consolas" w:cs="Consolas"/>
          <w:b w:val="0"/>
          <w:i w:val="0"/>
          <w:sz w:val="15"/>
        </w:rPr>
        <w:t xml:space="preserve">        "description": "Frozen strawberries",</w:t>
      </w:r>
    </w:p>
    <w:p>
      <w:pPr>
        <w:spacing w:after="0" w:before="0" w:line="240" w:lineRule="auto"/>
        <w:ind w:left="57"/>
        <w:jc w:val="left"/>
        <w:shd w:val="clear" w:fill="F2F2F2"/>
      </w:pPr>
      <w:r>
        <w:rPr>
          <w:rFonts w:ascii="Consolas" w:hAnsi="Consolas" w:cs="Consolas"/>
          <w:b w:val="0"/>
          <w:i w:val="0"/>
          <w:sz w:val="15"/>
        </w:rPr>
        <w:t xml:space="preserve">        "invoice_value": {</w:t>
      </w:r>
    </w:p>
    <w:p>
      <w:pPr>
        <w:spacing w:after="0" w:before="0" w:line="240" w:lineRule="auto"/>
        <w:ind w:left="57"/>
        <w:jc w:val="left"/>
        <w:shd w:val="clear" w:fill="F2F2F2"/>
      </w:pPr>
      <w:r>
        <w:rPr>
          <w:rFonts w:ascii="Consolas" w:hAnsi="Consolas" w:cs="Consolas"/>
          <w:b w:val="0"/>
          <w:i w:val="0"/>
          <w:sz w:val="15"/>
        </w:rPr>
        <w:t xml:space="preserve">            "amount": 100000,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"logistics": {</w:t>
      </w:r>
    </w:p>
    <w:p>
      <w:pPr>
        <w:spacing w:after="0" w:before="0" w:line="240" w:lineRule="auto"/>
        <w:ind w:left="57"/>
        <w:jc w:val="left"/>
        <w:shd w:val="clear" w:fill="F2F2F2"/>
      </w:pPr>
      <w:r>
        <w:rPr>
          <w:rFonts w:ascii="Consolas" w:hAnsi="Consolas" w:cs="Consolas"/>
          <w:b w:val="0"/>
          <w:i w:val="0"/>
          <w:sz w:val="15"/>
        </w:rPr>
        <w:t xml:space="preserve">        "vessel": "MSC FIONA",</w:t>
      </w:r>
    </w:p>
    <w:p>
      <w:pPr>
        <w:spacing w:after="0" w:before="0" w:line="240" w:lineRule="auto"/>
        <w:ind w:left="57"/>
        <w:jc w:val="left"/>
        <w:shd w:val="clear" w:fill="F2F2F2"/>
      </w:pPr>
      <w:r>
        <w:rPr>
          <w:rFonts w:ascii="Consolas" w:hAnsi="Consolas" w:cs="Consolas"/>
          <w:b w:val="0"/>
          <w:i w:val="0"/>
          <w:sz w:val="15"/>
        </w:rPr>
        <w:t xml:space="preserve">        "eta": "2026-05-05T14:00:00Z"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"payment_plan": {</w:t>
      </w:r>
    </w:p>
    <w:p>
      <w:pPr>
        <w:spacing w:after="0" w:before="0" w:line="240" w:lineRule="auto"/>
        <w:ind w:left="57"/>
        <w:jc w:val="left"/>
        <w:shd w:val="clear" w:fill="F2F2F2"/>
      </w:pPr>
      <w:r>
        <w:rPr>
          <w:rFonts w:ascii="Consolas" w:hAnsi="Consolas" w:cs="Consolas"/>
          <w:b w:val="0"/>
          <w:i w:val="0"/>
          <w:sz w:val="15"/>
        </w:rPr>
        <w:t xml:space="preserve">        "stage1": "SETTLED",</w:t>
      </w:r>
    </w:p>
    <w:p>
      <w:pPr>
        <w:spacing w:after="0" w:before="0" w:line="240" w:lineRule="auto"/>
        <w:ind w:left="57"/>
        <w:jc w:val="left"/>
        <w:shd w:val="clear" w:fill="F2F2F2"/>
      </w:pPr>
      <w:r>
        <w:rPr>
          <w:rFonts w:ascii="Consolas" w:hAnsi="Consolas" w:cs="Consolas"/>
          <w:b w:val="0"/>
          <w:i w:val="0"/>
          <w:sz w:val="15"/>
        </w:rPr>
        <w:t xml:space="preserve">        "stage2":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"timeline": [</w:t>
      </w:r>
    </w:p>
    <w:p>
      <w:pPr>
        <w:spacing w:after="0" w:before="0" w:line="240" w:lineRule="auto"/>
        <w:ind w:left="57"/>
        <w:jc w:val="left"/>
        <w:shd w:val="clear" w:fill="F2F2F2"/>
      </w:pPr>
      <w:r>
        <w:rPr>
          <w:rFonts w:ascii="Consolas" w:hAnsi="Consolas" w:cs="Consolas"/>
          <w:b w:val="0"/>
          <w:i w:val="0"/>
          <w:sz w:val="15"/>
        </w:rPr>
        <w:t xml:space="preserve">        { "timestamp": "2026-04-15T09:00:00Z", "event": "TRADE_INITIATED" },</w:t>
      </w:r>
    </w:p>
    <w:p>
      <w:pPr>
        <w:spacing w:after="0" w:before="0" w:line="240" w:lineRule="auto"/>
        <w:ind w:left="57"/>
        <w:jc w:val="left"/>
        <w:shd w:val="clear" w:fill="F2F2F2"/>
      </w:pPr>
      <w:r>
        <w:rPr>
          <w:rFonts w:ascii="Consolas" w:hAnsi="Consolas" w:cs="Consolas"/>
          <w:b w:val="0"/>
          <w:i w:val="0"/>
          <w:sz w:val="15"/>
        </w:rPr>
        <w:t xml:space="preserve">        { "timestamp": "2026-04-15T10:00:00Z", "event": "SELLER_ACCEPTED" },</w:t>
      </w:r>
    </w:p>
    <w:p>
      <w:pPr>
        <w:spacing w:after="0" w:before="0" w:line="240" w:lineRule="auto"/>
        <w:ind w:left="57"/>
        <w:jc w:val="left"/>
        <w:shd w:val="clear" w:fill="F2F2F2"/>
      </w:pPr>
      <w:r>
        <w:rPr>
          <w:rFonts w:ascii="Consolas" w:hAnsi="Consolas" w:cs="Consolas"/>
          <w:b w:val="0"/>
          <w:i w:val="0"/>
          <w:sz w:val="15"/>
        </w:rPr>
        <w:t xml:space="preserve">        { "timestamp": "2026-04-20T08:00:00Z", "event": "VESSEL_DEPARTED"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"links": {</w:t>
      </w:r>
    </w:p>
    <w:p>
      <w:pPr>
        <w:spacing w:after="0" w:before="0" w:line="240" w:lineRule="auto"/>
        <w:ind w:left="57"/>
        <w:jc w:val="left"/>
        <w:shd w:val="clear" w:fill="F2F2F2"/>
      </w:pPr>
      <w:r>
        <w:rPr>
          <w:rFonts w:ascii="Consolas" w:hAnsi="Consolas" w:cs="Consolas"/>
          <w:b w:val="0"/>
          <w:i w:val="0"/>
          <w:sz w:val="15"/>
        </w:rPr>
        <w:t xml:space="preserve">        "trade_command_center": "https://sgtx.io/trade/SGTX-EG-26-F3A-1",</w:t>
      </w:r>
    </w:p>
    <w:p>
      <w:pPr>
        <w:spacing w:after="0" w:before="0" w:line="240" w:lineRule="auto"/>
        <w:ind w:left="57"/>
        <w:jc w:val="left"/>
        <w:shd w:val="clear" w:fill="F2F2F2"/>
      </w:pPr>
      <w:r>
        <w:rPr>
          <w:rFonts w:ascii="Consolas" w:hAnsi="Consolas" w:cs="Consolas"/>
          <w:b w:val="0"/>
          <w:i w:val="0"/>
          <w:sz w:val="15"/>
        </w:rPr>
        <w:t xml:space="preserve">        "verify": "https://sgtx.io/verify/ustn/SGTX-EG-26-F3A-1"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"resolved_at": "2026-06-07T10:05:00Z"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5.5.4 Permission Filtering Rules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Requester</w:t>
            </w:r>
          </w:p>
        </w:tc>
        <w:tc>
          <w:tcPr>
            <w:tcW w:type="dxa" w:w="4819"/>
            <w:shd w:val="clear" w:fill="D9E2F3"/>
          </w:tcPr>
          <w:p>
            <w:pPr>
              <w:spacing w:after="20" w:before="20" w:line="240" w:lineRule="auto"/>
            </w:pPr>
            <w:r/>
            <w:r>
              <w:rPr>
                <w:rFonts w:ascii="Arial" w:hAnsi="Arial" w:cs="Arial"/>
                <w:b/>
                <w:i w:val="0"/>
                <w:sz w:val="18"/>
              </w:rPr>
              <w:t>Filter Applied</w:t>
            </w:r>
          </w:p>
        </w:tc>
      </w:tr>
      <w:tr>
        <w:tc>
          <w:tcPr>
            <w:tcW w:type="dxa" w:w="4819"/>
          </w:tcPr>
          <w:p>
            <w:pPr>
              <w:spacing w:after="20" w:before="20" w:line="240" w:lineRule="auto"/>
            </w:pPr>
            <w:r/>
            <w:r>
              <w:rPr>
                <w:rFonts w:ascii="Arial" w:hAnsi="Arial" w:cs="Arial"/>
                <w:b w:val="0"/>
                <w:i w:val="0"/>
                <w:sz w:val="17"/>
              </w:rPr>
              <w:t>Buyer</w:t>
            </w:r>
          </w:p>
        </w:tc>
        <w:tc>
          <w:tcPr>
            <w:tcW w:type="dxa" w:w="4819"/>
          </w:tcPr>
          <w:p>
            <w:pPr>
              <w:spacing w:after="20" w:before="20" w:line="240" w:lineRule="auto"/>
            </w:pPr>
            <w:r/>
            <w:r>
              <w:rPr>
                <w:rFonts w:ascii="Arial" w:hAnsi="Arial" w:cs="Arial"/>
                <w:b w:val="0"/>
                <w:i w:val="0"/>
                <w:sz w:val="17"/>
              </w:rPr>
              <w:t>Full commercial terms; seller internal costs hidden</w:t>
            </w:r>
          </w:p>
        </w:tc>
      </w:tr>
      <w:tr>
        <w:tc>
          <w:tcPr>
            <w:tcW w:type="dxa" w:w="4819"/>
          </w:tcPr>
          <w:p>
            <w:pPr>
              <w:spacing w:after="20" w:before="20" w:line="240" w:lineRule="auto"/>
            </w:pPr>
            <w:r/>
            <w:r>
              <w:rPr>
                <w:rFonts w:ascii="Arial" w:hAnsi="Arial" w:cs="Arial"/>
                <w:b w:val="0"/>
                <w:i w:val="0"/>
                <w:sz w:val="17"/>
              </w:rPr>
              <w:t>Seller</w:t>
            </w:r>
          </w:p>
        </w:tc>
        <w:tc>
          <w:tcPr>
            <w:tcW w:type="dxa" w:w="4819"/>
          </w:tcPr>
          <w:p>
            <w:pPr>
              <w:spacing w:after="20" w:before="20" w:line="240" w:lineRule="auto"/>
            </w:pPr>
            <w:r/>
            <w:r>
              <w:rPr>
                <w:rFonts w:ascii="Arial" w:hAnsi="Arial" w:cs="Arial"/>
                <w:b w:val="0"/>
                <w:i w:val="0"/>
                <w:sz w:val="17"/>
              </w:rPr>
              <w:t>Full trade data including own cost breakdown</w:t>
            </w:r>
          </w:p>
        </w:tc>
      </w:tr>
      <w:tr>
        <w:tc>
          <w:tcPr>
            <w:tcW w:type="dxa" w:w="4819"/>
          </w:tcPr>
          <w:p>
            <w:pPr>
              <w:spacing w:after="20" w:before="20" w:line="240" w:lineRule="auto"/>
            </w:pPr>
            <w:r/>
            <w:r>
              <w:rPr>
                <w:rFonts w:ascii="Arial" w:hAnsi="Arial" w:cs="Arial"/>
                <w:b w:val="0"/>
                <w:i w:val="0"/>
                <w:sz w:val="17"/>
              </w:rPr>
              <w:t>Logistics provider</w:t>
            </w:r>
          </w:p>
        </w:tc>
        <w:tc>
          <w:tcPr>
            <w:tcW w:type="dxa" w:w="4819"/>
          </w:tcPr>
          <w:p>
            <w:pPr>
              <w:spacing w:after="20" w:before="20" w:line="240" w:lineRule="auto"/>
            </w:pPr>
            <w:r/>
            <w:r>
              <w:rPr>
                <w:rFonts w:ascii="Arial" w:hAnsi="Arial" w:cs="Arial"/>
                <w:b w:val="0"/>
                <w:i w:val="0"/>
                <w:sz w:val="17"/>
              </w:rPr>
              <w:t>Own services and shipment tracking only</w:t>
            </w:r>
          </w:p>
        </w:tc>
      </w:tr>
      <w:tr>
        <w:tc>
          <w:tcPr>
            <w:tcW w:type="dxa" w:w="4819"/>
          </w:tcPr>
          <w:p>
            <w:pPr>
              <w:spacing w:after="20" w:before="20" w:line="240" w:lineRule="auto"/>
            </w:pPr>
            <w:r/>
            <w:r>
              <w:rPr>
                <w:rFonts w:ascii="Arial" w:hAnsi="Arial" w:cs="Arial"/>
                <w:b w:val="0"/>
                <w:i w:val="0"/>
                <w:sz w:val="17"/>
              </w:rPr>
              <w:t>Financier</w:t>
            </w:r>
          </w:p>
        </w:tc>
        <w:tc>
          <w:tcPr>
            <w:tcW w:type="dxa" w:w="4819"/>
          </w:tcPr>
          <w:p>
            <w:pPr>
              <w:spacing w:after="20" w:before="20" w:line="240" w:lineRule="auto"/>
            </w:pPr>
            <w:r/>
            <w:r>
              <w:rPr>
                <w:rFonts w:ascii="Arial" w:hAnsi="Arial" w:cs="Arial"/>
                <w:b w:val="0"/>
                <w:i w:val="0"/>
                <w:sz w:val="17"/>
              </w:rPr>
              <w:t>Financing-relevant package</w:t>
            </w:r>
          </w:p>
        </w:tc>
      </w:tr>
      <w:tr>
        <w:tc>
          <w:tcPr>
            <w:tcW w:type="dxa" w:w="4819"/>
          </w:tcPr>
          <w:p>
            <w:pPr>
              <w:spacing w:after="20" w:before="20" w:line="240" w:lineRule="auto"/>
            </w:pPr>
            <w:r/>
            <w:r>
              <w:rPr>
                <w:rFonts w:ascii="Arial" w:hAnsi="Arial" w:cs="Arial"/>
                <w:b w:val="0"/>
                <w:i w:val="0"/>
                <w:sz w:val="17"/>
              </w:rPr>
              <w:t>Government official</w:t>
            </w:r>
          </w:p>
        </w:tc>
        <w:tc>
          <w:tcPr>
            <w:tcW w:type="dxa" w:w="4819"/>
          </w:tcPr>
          <w:p>
            <w:pPr>
              <w:spacing w:after="20" w:before="20" w:line="240" w:lineRule="auto"/>
            </w:pPr>
            <w:r/>
            <w:r>
              <w:rPr>
                <w:rFonts w:ascii="Arial" w:hAnsi="Arial" w:cs="Arial"/>
                <w:b w:val="0"/>
                <w:i w:val="0"/>
                <w:sz w:val="17"/>
              </w:rPr>
              <w:t>Compliance documents only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5.5.5 Error Responses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HTTP Status</w:t>
            </w:r>
          </w:p>
        </w:tc>
        <w:tc>
          <w:tcPr>
            <w:tcW w:type="dxa" w:w="3213"/>
            <w:shd w:val="clear" w:fill="D9E2F3"/>
          </w:tcPr>
          <w:p>
            <w:pPr>
              <w:spacing w:after="20" w:before="20" w:line="240" w:lineRule="auto"/>
            </w:pPr>
            <w:r/>
            <w:r>
              <w:rPr>
                <w:rFonts w:ascii="Arial" w:hAnsi="Arial" w:cs="Arial"/>
                <w:b/>
                <w:i w:val="0"/>
                <w:sz w:val="18"/>
              </w:rPr>
              <w:t>Code</w:t>
            </w:r>
          </w:p>
        </w:tc>
        <w:tc>
          <w:tcPr>
            <w:tcW w:type="dxa" w:w="3213"/>
            <w:shd w:val="clear" w:fill="D9E2F3"/>
          </w:tcPr>
          <w:p>
            <w:pPr>
              <w:spacing w:after="20" w:before="20" w:line="240" w:lineRule="auto"/>
            </w:pPr>
            <w:r/>
            <w:r>
              <w:rPr>
                <w:rFonts w:ascii="Arial" w:hAnsi="Arial" w:cs="Arial"/>
                <w:b/>
                <w:i w:val="0"/>
                <w:sz w:val="18"/>
              </w:rPr>
              <w:t>Message</w:t>
            </w:r>
          </w:p>
        </w:tc>
      </w:tr>
      <w:tr>
        <w:tc>
          <w:tcPr>
            <w:tcW w:type="dxa" w:w="3213"/>
          </w:tcPr>
          <w:p>
            <w:pPr>
              <w:spacing w:after="20" w:before="20" w:line="240" w:lineRule="auto"/>
            </w:pPr>
            <w:r/>
            <w:r>
              <w:rPr>
                <w:rFonts w:ascii="Arial" w:hAnsi="Arial" w:cs="Arial"/>
                <w:b w:val="0"/>
                <w:i w:val="0"/>
                <w:sz w:val="17"/>
              </w:rPr>
              <w:t>400</w:t>
            </w:r>
          </w:p>
        </w:tc>
        <w:tc>
          <w:tcPr>
            <w:tcW w:type="dxa" w:w="3213"/>
          </w:tcPr>
          <w:p>
            <w:pPr>
              <w:spacing w:after="20" w:before="20" w:line="240" w:lineRule="auto"/>
            </w:pPr>
            <w:r/>
            <w:r>
              <w:rPr>
                <w:rFonts w:ascii="Arial" w:hAnsi="Arial" w:cs="Arial"/>
                <w:b w:val="0"/>
                <w:i w:val="0"/>
                <w:sz w:val="17"/>
              </w:rPr>
              <w:t>INVALID_USTN_FORMAT</w:t>
            </w:r>
          </w:p>
        </w:tc>
        <w:tc>
          <w:tcPr>
            <w:tcW w:type="dxa" w:w="3213"/>
          </w:tcPr>
          <w:p>
            <w:pPr>
              <w:spacing w:after="20" w:before="20" w:line="240" w:lineRule="auto"/>
            </w:pPr>
            <w:r/>
            <w:r>
              <w:rPr>
                <w:rFonts w:ascii="Arial" w:hAnsi="Arial" w:cs="Arial"/>
                <w:b w:val="0"/>
                <w:i w:val="0"/>
                <w:sz w:val="17"/>
              </w:rPr>
              <w:t>"Invalid USTN format. Expected SGTX-{COUNTRY}-{YEAR}-{TRADER}-{SEQ}"</w:t>
            </w:r>
          </w:p>
        </w:tc>
      </w:tr>
      <w:tr>
        <w:tc>
          <w:tcPr>
            <w:tcW w:type="dxa" w:w="3213"/>
          </w:tcPr>
          <w:p>
            <w:pPr>
              <w:spacing w:after="20" w:before="20" w:line="240" w:lineRule="auto"/>
            </w:pPr>
            <w:r/>
            <w:r>
              <w:rPr>
                <w:rFonts w:ascii="Arial" w:hAnsi="Arial" w:cs="Arial"/>
                <w:b w:val="0"/>
                <w:i w:val="0"/>
                <w:sz w:val="17"/>
              </w:rPr>
              <w:t>404</w:t>
            </w:r>
          </w:p>
        </w:tc>
        <w:tc>
          <w:tcPr>
            <w:tcW w:type="dxa" w:w="3213"/>
          </w:tcPr>
          <w:p>
            <w:pPr>
              <w:spacing w:after="20" w:before="20" w:line="240" w:lineRule="auto"/>
            </w:pPr>
            <w:r/>
            <w:r>
              <w:rPr>
                <w:rFonts w:ascii="Arial" w:hAnsi="Arial" w:cs="Arial"/>
                <w:b w:val="0"/>
                <w:i w:val="0"/>
                <w:sz w:val="17"/>
              </w:rPr>
              <w:t>USTN_NOT_FOUND</w:t>
            </w:r>
          </w:p>
        </w:tc>
        <w:tc>
          <w:tcPr>
            <w:tcW w:type="dxa" w:w="3213"/>
          </w:tcPr>
          <w:p>
            <w:pPr>
              <w:spacing w:after="20" w:before="20" w:line="240" w:lineRule="auto"/>
            </w:pPr>
            <w:r/>
            <w:r>
              <w:rPr>
                <w:rFonts w:ascii="Arial" w:hAnsi="Arial" w:cs="Arial"/>
                <w:b w:val="0"/>
                <w:i w:val="0"/>
                <w:sz w:val="17"/>
              </w:rPr>
              <w:t>"USTN not found in database"</w:t>
            </w:r>
          </w:p>
        </w:tc>
      </w:tr>
      <w:tr>
        <w:tc>
          <w:tcPr>
            <w:tcW w:type="dxa" w:w="3213"/>
          </w:tcPr>
          <w:p>
            <w:pPr>
              <w:spacing w:after="20" w:before="20" w:line="240" w:lineRule="auto"/>
            </w:pPr>
            <w:r/>
            <w:r>
              <w:rPr>
                <w:rFonts w:ascii="Arial" w:hAnsi="Arial" w:cs="Arial"/>
                <w:b w:val="0"/>
                <w:i w:val="0"/>
                <w:sz w:val="17"/>
              </w:rPr>
              <w:t>403</w:t>
            </w:r>
          </w:p>
        </w:tc>
        <w:tc>
          <w:tcPr>
            <w:tcW w:type="dxa" w:w="3213"/>
          </w:tcPr>
          <w:p>
            <w:pPr>
              <w:spacing w:after="20" w:before="20" w:line="240" w:lineRule="auto"/>
            </w:pPr>
            <w:r/>
            <w:r>
              <w:rPr>
                <w:rFonts w:ascii="Arial" w:hAnsi="Arial" w:cs="Arial"/>
                <w:b w:val="0"/>
                <w:i w:val="0"/>
                <w:sz w:val="17"/>
              </w:rPr>
              <w:t>ACCESS_DENIED</w:t>
            </w:r>
          </w:p>
        </w:tc>
        <w:tc>
          <w:tcPr>
            <w:tcW w:type="dxa" w:w="3213"/>
          </w:tcPr>
          <w:p>
            <w:pPr>
              <w:spacing w:after="20" w:before="20" w:line="240" w:lineRule="auto"/>
            </w:pPr>
            <w:r/>
            <w:r>
              <w:rPr>
                <w:rFonts w:ascii="Arial" w:hAnsi="Arial" w:cs="Arial"/>
                <w:b w:val="0"/>
                <w:i w:val="0"/>
                <w:sz w:val="17"/>
              </w:rPr>
              <w:t>"You do not have permission to resolve this USTN"</w:t>
            </w:r>
          </w:p>
        </w:tc>
      </w:tr>
      <w:tr>
        <w:tc>
          <w:tcPr>
            <w:tcW w:type="dxa" w:w="3213"/>
          </w:tcPr>
          <w:p>
            <w:pPr>
              <w:spacing w:after="20" w:before="20" w:line="240" w:lineRule="auto"/>
            </w:pPr>
            <w:r/>
            <w:r>
              <w:rPr>
                <w:rFonts w:ascii="Arial" w:hAnsi="Arial" w:cs="Arial"/>
                <w:b w:val="0"/>
                <w:i w:val="0"/>
                <w:sz w:val="17"/>
              </w:rPr>
              <w:t>429</w:t>
            </w:r>
          </w:p>
        </w:tc>
        <w:tc>
          <w:tcPr>
            <w:tcW w:type="dxa" w:w="3213"/>
          </w:tcPr>
          <w:p>
            <w:pPr>
              <w:spacing w:after="20" w:before="20" w:line="240" w:lineRule="auto"/>
            </w:pPr>
            <w:r/>
            <w:r>
              <w:rPr>
                <w:rFonts w:ascii="Arial" w:hAnsi="Arial" w:cs="Arial"/>
                <w:b w:val="0"/>
                <w:i w:val="0"/>
                <w:sz w:val="17"/>
              </w:rPr>
              <w:t>RATE_LIMIT_EXCEEDED</w:t>
            </w:r>
          </w:p>
        </w:tc>
        <w:tc>
          <w:tcPr>
            <w:tcW w:type="dxa" w:w="3213"/>
          </w:tcPr>
          <w:p>
            <w:pPr>
              <w:spacing w:after="20" w:before="20" w:line="240" w:lineRule="auto"/>
            </w:pPr>
            <w:r/>
            <w:r>
              <w:rPr>
                <w:rFonts w:ascii="Arial" w:hAnsi="Arial" w:cs="Arial"/>
                <w:b w:val="0"/>
                <w:i w:val="0"/>
                <w:sz w:val="17"/>
              </w:rPr>
              <w:t>"Too many resolution requests. Try again later"</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5.5.6 Implementation Checklist (Section 5.5)</w:t>
      </w:r>
    </w:p>
    <w:p>
      <w:pPr>
        <w:spacing w:after="80" w:line="293" w:lineRule="auto"/>
        <w:ind w:left="283"/>
        <w:jc w:val="left"/>
      </w:pPr>
      <w:r>
        <w:rPr>
          <w:rFonts w:ascii="Times New Roman" w:hAnsi="Times New Roman" w:cs="Times New Roman"/>
          <w:b w:val="0"/>
          <w:i w:val="0"/>
          <w:sz w:val="22"/>
        </w:rPr>
        <w:t>- Implement GET /v1/ustn/{ustn} with JWT authentication.</w:t>
      </w:r>
    </w:p>
    <w:p>
      <w:pPr>
        <w:spacing w:after="80" w:line="293" w:lineRule="auto"/>
        <w:ind w:left="283"/>
        <w:jc w:val="left"/>
      </w:pPr>
      <w:r>
        <w:rPr>
          <w:rFonts w:ascii="Times New Roman" w:hAnsi="Times New Roman" w:cs="Times New Roman"/>
          <w:b w:val="0"/>
          <w:i w:val="0"/>
          <w:sz w:val="22"/>
        </w:rPr>
        <w:t>- Implement role-based filtering per the permission rules.</w:t>
      </w:r>
    </w:p>
    <w:p>
      <w:pPr>
        <w:spacing w:after="80" w:line="293" w:lineRule="auto"/>
        <w:ind w:left="283"/>
        <w:jc w:val="left"/>
      </w:pPr>
      <w:r>
        <w:rPr>
          <w:rFonts w:ascii="Times New Roman" w:hAnsi="Times New Roman" w:cs="Times New Roman"/>
          <w:b w:val="0"/>
          <w:i w:val="0"/>
          <w:sz w:val="22"/>
        </w:rPr>
        <w:t>- Add caching for P95 ≤100ms responses.</w:t>
      </w:r>
    </w:p>
    <w:p>
      <w:pPr>
        <w:spacing w:after="80" w:line="293" w:lineRule="auto"/>
        <w:ind w:left="283"/>
        <w:jc w:val="left"/>
      </w:pPr>
      <w:r>
        <w:rPr>
          <w:rFonts w:ascii="Times New Roman" w:hAnsi="Times New Roman" w:cs="Times New Roman"/>
          <w:b w:val="0"/>
          <w:i w:val="0"/>
          <w:sz w:val="22"/>
        </w:rPr>
        <w:t>- Log every resolution in audit_log.</w:t>
      </w:r>
    </w:p>
    <w:p>
      <w:pPr>
        <w:spacing w:after="80" w:line="293" w:lineRule="auto"/>
        <w:ind w:left="283"/>
        <w:jc w:val="left"/>
      </w:pPr>
      <w:r>
        <w:rPr>
          <w:rFonts w:ascii="Times New Roman" w:hAnsi="Times New Roman" w:cs="Times New Roman"/>
          <w:b w:val="0"/>
          <w:i w:val="0"/>
          <w:sz w:val="22"/>
        </w:rPr>
        <w:t>- Enforce rate limits (100 req/min per tenant).</w:t>
      </w:r>
    </w:p>
    <w:p>
      <w:pPr>
        <w:spacing w:after="80" w:line="293" w:lineRule="auto"/>
        <w:ind w:left="283"/>
        <w:jc w:val="left"/>
      </w:pPr>
      <w:r>
        <w:rPr>
          <w:rFonts w:ascii="Times New Roman" w:hAnsi="Times New Roman" w:cs="Times New Roman"/>
          <w:b w:val="0"/>
          <w:i w:val="0"/>
          <w:sz w:val="22"/>
        </w:rPr>
        <w:t>- Implement public verification via GET /v1/verify/ustn?ustn=...&amp;token=...</w:t>
      </w:r>
    </w:p>
    <w:p>
      <w:pPr>
        <w:keepNext/>
        <w:spacing w:before="240" w:after="100"/>
        <w:outlineLvl w:val="1"/>
      </w:pPr>
      <w:r>
        <w:rPr>
          <w:rFonts w:ascii="Arial" w:hAnsi="Arial" w:cs="Arial"/>
          <w:b/>
          <w:i w:val="0"/>
          <w:color w:val="2E528F"/>
          <w:sz w:val="26"/>
        </w:rPr>
        <w:t>5.6 Multi-Shipment Contracts</w:t>
      </w:r>
    </w:p>
    <w:p>
      <w:pPr>
        <w:keepNext/>
        <w:spacing w:before="180" w:after="80"/>
        <w:outlineLvl w:val="2"/>
      </w:pPr>
      <w:r>
        <w:rPr>
          <w:rFonts w:ascii="Arial" w:hAnsi="Arial" w:cs="Arial"/>
          <w:b/>
          <w:i w:val="0"/>
          <w:color w:val="333333"/>
          <w:sz w:val="23"/>
        </w:rPr>
        <w:t>5.6.1 Purpose &amp; Design Philosophy</w:t>
      </w:r>
    </w:p>
    <w:p>
      <w:pPr>
        <w:spacing w:after="80" w:line="293" w:lineRule="auto"/>
        <w:jc w:val="left"/>
      </w:pPr>
      <w:r>
        <w:rPr>
          <w:rFonts w:ascii="Times New Roman" w:hAnsi="Times New Roman" w:cs="Times New Roman"/>
          <w:b w:val="0"/>
          <w:i w:val="0"/>
          <w:sz w:val="22"/>
        </w:rPr>
        <w:t>In a multi-shipment contract, a master contract ID exists but no master USTN. Each shipment receives its own USTN when it locks. This allows each shipment to be tracked, financed, and executed independently.</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Per-Shipment USTN — each shipment has its own USTN.</w:t>
      </w:r>
    </w:p>
    <w:p>
      <w:pPr>
        <w:spacing w:after="80" w:line="293" w:lineRule="auto"/>
        <w:ind w:left="283"/>
        <w:jc w:val="left"/>
      </w:pPr>
      <w:r>
        <w:rPr>
          <w:rFonts w:ascii="Times New Roman" w:hAnsi="Times New Roman" w:cs="Times New Roman"/>
          <w:b w:val="0"/>
          <w:i w:val="0"/>
          <w:sz w:val="22"/>
        </w:rPr>
        <w:t>- Independent Locking — each shipment locks independently after per-shipment fee payment.</w:t>
      </w:r>
    </w:p>
    <w:p>
      <w:pPr>
        <w:spacing w:after="80" w:line="293" w:lineRule="auto"/>
        <w:ind w:left="283"/>
        <w:jc w:val="left"/>
      </w:pPr>
      <w:r>
        <w:rPr>
          <w:rFonts w:ascii="Times New Roman" w:hAnsi="Times New Roman" w:cs="Times New Roman"/>
          <w:b w:val="0"/>
          <w:i w:val="0"/>
          <w:sz w:val="22"/>
        </w:rPr>
        <w:t>- Independent Tracking — each shipment has its own status, milestones, and documents.</w:t>
      </w:r>
    </w:p>
    <w:p>
      <w:pPr>
        <w:spacing w:after="80" w:line="293" w:lineRule="auto"/>
        <w:ind w:left="283"/>
        <w:jc w:val="left"/>
      </w:pPr>
      <w:r>
        <w:rPr>
          <w:rFonts w:ascii="Times New Roman" w:hAnsi="Times New Roman" w:cs="Times New Roman"/>
          <w:b w:val="0"/>
          <w:i w:val="0"/>
          <w:sz w:val="22"/>
        </w:rPr>
        <w:t>- Independent Execution — a delay in one shipment does not block others.</w:t>
      </w:r>
    </w:p>
    <w:p>
      <w:pPr>
        <w:keepNext/>
        <w:spacing w:before="180" w:after="80"/>
        <w:outlineLvl w:val="2"/>
      </w:pPr>
      <w:r>
        <w:rPr>
          <w:rFonts w:ascii="Arial" w:hAnsi="Arial" w:cs="Arial"/>
          <w:b/>
          <w:i w:val="0"/>
          <w:color w:val="333333"/>
          <w:sz w:val="23"/>
        </w:rPr>
        <w:t>5.6.2 Multi-Shipment Structure</w:t>
      </w:r>
    </w:p>
    <w:p>
      <w:pPr>
        <w:spacing w:after="80" w:line="293" w:lineRule="auto"/>
        <w:jc w:val="left"/>
      </w:pPr>
      <w:r>
        <w:rPr>
          <w:rFonts w:ascii="Times New Roman" w:hAnsi="Times New Roman" w:cs="Times New Roman"/>
          <w:b w:val="0"/>
          <w:i w:val="0"/>
          <w:sz w:val="22"/>
        </w:rPr>
        <w:t>Master Contract: MC-20260415-001</w:t>
      </w:r>
    </w:p>
    <w:p>
      <w:pPr>
        <w:spacing w:after="0" w:before="0" w:line="240" w:lineRule="auto"/>
        <w:ind w:left="57"/>
        <w:jc w:val="left"/>
        <w:shd w:val="clear" w:fill="F2F2F2"/>
      </w:pPr>
      <w:r>
        <w:rPr>
          <w:rFonts w:ascii="Consolas" w:hAnsi="Consolas" w:cs="Consolas"/>
          <w:b w:val="0"/>
          <w:i w:val="0"/>
          <w:sz w:val="15"/>
        </w:rPr>
        <w:t>SHIPMENT 1 (15 Jul 2026)  USTN: SGTX-EG-26-F3A-21</w:t>
      </w:r>
    </w:p>
    <w:p>
      <w:pPr>
        <w:spacing w:after="0" w:before="0" w:line="240" w:lineRule="auto"/>
        <w:ind w:left="57"/>
        <w:jc w:val="left"/>
        <w:shd w:val="clear" w:fill="F2F2F2"/>
      </w:pPr>
      <w:r>
        <w:rPr>
          <w:rFonts w:ascii="Consolas" w:hAnsi="Consolas" w:cs="Consolas"/>
          <w:b w:val="0"/>
          <w:i w:val="0"/>
          <w:sz w:val="15"/>
        </w:rPr>
        <w:t>SHIPMENT 2 (15 Aug 2026)  USTN: SGTX-EG-26-F3A-22</w:t>
      </w:r>
    </w:p>
    <w:p>
      <w:pPr>
        <w:spacing w:after="0" w:before="0" w:line="240" w:lineRule="auto"/>
        <w:ind w:left="57"/>
        <w:jc w:val="left"/>
        <w:shd w:val="clear" w:fill="F2F2F2"/>
      </w:pPr>
      <w:r>
        <w:rPr>
          <w:rFonts w:ascii="Consolas" w:hAnsi="Consolas" w:cs="Consolas"/>
          <w:b w:val="0"/>
          <w:i w:val="0"/>
          <w:sz w:val="15"/>
        </w:rPr>
        <w:t>SHIPMENT 3 (15 Sep 2026)  USTN: SGTX-EG-26-F3A-23</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master contract record in the `contracts` table contains the schedule, and each `contract_shipments` row stores the shipment-specific USTN.</w:t>
      </w:r>
    </w:p>
    <w:p>
      <w:pPr>
        <w:spacing w:after="80" w:line="293" w:lineRule="auto"/>
        <w:jc w:val="left"/>
      </w:pPr>
      <w:r>
        <w:rPr>
          <w:rFonts w:ascii="Times New Roman" w:hAnsi="Times New Roman" w:cs="Times New Roman"/>
          <w:b w:val="0"/>
          <w:i w:val="0"/>
          <w:sz w:val="22"/>
        </w:rPr>
        <w:t>Contract Shipments Table: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Shipment</w:t>
            </w:r>
          </w:p>
        </w:tc>
        <w:tc>
          <w:tcPr>
            <w:tcW w:type="dxa" w:w="2409"/>
            <w:shd w:val="clear" w:fill="D9E2F3"/>
          </w:tcPr>
          <w:p>
            <w:pPr>
              <w:spacing w:after="20" w:before="20" w:line="240" w:lineRule="auto"/>
            </w:pPr>
            <w:r/>
            <w:r>
              <w:rPr>
                <w:rFonts w:ascii="Arial" w:hAnsi="Arial" w:cs="Arial"/>
                <w:b/>
                <w:i w:val="0"/>
                <w:sz w:val="18"/>
              </w:rPr>
              <w:t>Delivery Date</w:t>
            </w:r>
          </w:p>
        </w:tc>
        <w:tc>
          <w:tcPr>
            <w:tcW w:type="dxa" w:w="2409"/>
            <w:shd w:val="clear" w:fill="D9E2F3"/>
          </w:tcPr>
          <w:p>
            <w:pPr>
              <w:spacing w:after="20" w:before="20" w:line="240" w:lineRule="auto"/>
            </w:pPr>
            <w:r/>
            <w:r>
              <w:rPr>
                <w:rFonts w:ascii="Arial" w:hAnsi="Arial" w:cs="Arial"/>
                <w:b/>
                <w:i w:val="0"/>
                <w:sz w:val="18"/>
              </w:rPr>
              <w:t>Port</w:t>
            </w:r>
          </w:p>
        </w:tc>
        <w:tc>
          <w:tcPr>
            <w:tcW w:type="dxa" w:w="2409"/>
            <w:shd w:val="clear" w:fill="D9E2F3"/>
          </w:tcPr>
          <w:p>
            <w:pPr>
              <w:spacing w:after="20" w:before="20" w:line="240" w:lineRule="auto"/>
            </w:pPr>
            <w:r/>
            <w:r>
              <w:rPr>
                <w:rFonts w:ascii="Arial" w:hAnsi="Arial" w:cs="Arial"/>
                <w:b/>
                <w:i w:val="0"/>
                <w:sz w:val="18"/>
              </w:rPr>
              <w:t>USTN</w:t>
            </w:r>
          </w:p>
        </w:tc>
      </w:tr>
      <w:tr>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15 Jul 2026</w:t>
            </w:r>
          </w:p>
        </w:tc>
        <w:tc>
          <w:tcPr>
            <w:tcW w:type="dxa" w:w="2409"/>
          </w:tcPr>
          <w:p>
            <w:pPr>
              <w:spacing w:after="20" w:before="20" w:line="240" w:lineRule="auto"/>
            </w:pPr>
            <w:r/>
            <w:r>
              <w:rPr>
                <w:rFonts w:ascii="Arial" w:hAnsi="Arial" w:cs="Arial"/>
                <w:b w:val="0"/>
                <w:i w:val="0"/>
                <w:sz w:val="17"/>
              </w:rPr>
              <w:t>Alexandria</w:t>
            </w:r>
          </w:p>
        </w:tc>
        <w:tc>
          <w:tcPr>
            <w:tcW w:type="dxa" w:w="2409"/>
          </w:tcPr>
          <w:p>
            <w:pPr>
              <w:spacing w:after="20" w:before="20" w:line="240" w:lineRule="auto"/>
            </w:pPr>
            <w:r/>
            <w:r>
              <w:rPr>
                <w:rFonts w:ascii="Arial" w:hAnsi="Arial" w:cs="Arial"/>
                <w:b w:val="0"/>
                <w:i w:val="0"/>
                <w:sz w:val="17"/>
              </w:rPr>
              <w:t>SGTX-EG-26-F3A-21</w:t>
            </w:r>
          </w:p>
        </w:tc>
      </w:tr>
      <w:tr>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15 Aug 2026</w:t>
            </w:r>
          </w:p>
        </w:tc>
        <w:tc>
          <w:tcPr>
            <w:tcW w:type="dxa" w:w="2409"/>
          </w:tcPr>
          <w:p>
            <w:pPr>
              <w:spacing w:after="20" w:before="20" w:line="240" w:lineRule="auto"/>
            </w:pPr>
            <w:r/>
            <w:r>
              <w:rPr>
                <w:rFonts w:ascii="Arial" w:hAnsi="Arial" w:cs="Arial"/>
                <w:b w:val="0"/>
                <w:i w:val="0"/>
                <w:sz w:val="17"/>
              </w:rPr>
              <w:t>Alexandria</w:t>
            </w:r>
          </w:p>
        </w:tc>
        <w:tc>
          <w:tcPr>
            <w:tcW w:type="dxa" w:w="2409"/>
          </w:tcPr>
          <w:p>
            <w:pPr>
              <w:spacing w:after="20" w:before="20" w:line="240" w:lineRule="auto"/>
            </w:pPr>
            <w:r/>
            <w:r>
              <w:rPr>
                <w:rFonts w:ascii="Arial" w:hAnsi="Arial" w:cs="Arial"/>
                <w:b w:val="0"/>
                <w:i w:val="0"/>
                <w:sz w:val="17"/>
              </w:rPr>
              <w:t>SGTX-EG-26-F3A-22</w:t>
            </w:r>
          </w:p>
        </w:tc>
      </w:tr>
      <w:tr>
        <w:tc>
          <w:tcPr>
            <w:tcW w:type="dxa" w:w="2409"/>
          </w:tcPr>
          <w:p>
            <w:pPr>
              <w:spacing w:after="20" w:before="20" w:line="240" w:lineRule="auto"/>
            </w:pPr>
            <w:r/>
            <w:r>
              <w:rPr>
                <w:rFonts w:ascii="Arial" w:hAnsi="Arial" w:cs="Arial"/>
                <w:b w:val="0"/>
                <w:i w:val="0"/>
                <w:sz w:val="17"/>
              </w:rPr>
              <w:t>3</w:t>
            </w:r>
          </w:p>
        </w:tc>
        <w:tc>
          <w:tcPr>
            <w:tcW w:type="dxa" w:w="2409"/>
          </w:tcPr>
          <w:p>
            <w:pPr>
              <w:spacing w:after="20" w:before="20" w:line="240" w:lineRule="auto"/>
            </w:pPr>
            <w:r/>
            <w:r>
              <w:rPr>
                <w:rFonts w:ascii="Arial" w:hAnsi="Arial" w:cs="Arial"/>
                <w:b w:val="0"/>
                <w:i w:val="0"/>
                <w:sz w:val="17"/>
              </w:rPr>
              <w:t>15 Sep 2026</w:t>
            </w:r>
          </w:p>
        </w:tc>
        <w:tc>
          <w:tcPr>
            <w:tcW w:type="dxa" w:w="2409"/>
          </w:tcPr>
          <w:p>
            <w:pPr>
              <w:spacing w:after="20" w:before="20" w:line="240" w:lineRule="auto"/>
            </w:pPr>
            <w:r/>
            <w:r>
              <w:rPr>
                <w:rFonts w:ascii="Arial" w:hAnsi="Arial" w:cs="Arial"/>
                <w:b w:val="0"/>
                <w:i w:val="0"/>
                <w:sz w:val="17"/>
              </w:rPr>
              <w:t>Alexandria</w:t>
            </w:r>
          </w:p>
        </w:tc>
        <w:tc>
          <w:tcPr>
            <w:tcW w:type="dxa" w:w="2409"/>
          </w:tcPr>
          <w:p>
            <w:pPr>
              <w:spacing w:after="20" w:before="20" w:line="240" w:lineRule="auto"/>
            </w:pPr>
            <w:r/>
            <w:r>
              <w:rPr>
                <w:rFonts w:ascii="Arial" w:hAnsi="Arial" w:cs="Arial"/>
                <w:b w:val="0"/>
                <w:i w:val="0"/>
                <w:sz w:val="17"/>
              </w:rPr>
              <w:t>SGTX-EG-26-F3A-23</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Properties:</w:t>
      </w:r>
    </w:p>
    <w:p>
      <w:pPr>
        <w:spacing w:after="80" w:line="293" w:lineRule="auto"/>
        <w:ind w:left="283"/>
        <w:jc w:val="left"/>
      </w:pPr>
      <w:r>
        <w:rPr>
          <w:rFonts w:ascii="Times New Roman" w:hAnsi="Times New Roman" w:cs="Times New Roman"/>
          <w:b w:val="0"/>
          <w:i w:val="0"/>
          <w:sz w:val="22"/>
        </w:rPr>
        <w:t>- Each shipment locks independently.</w:t>
      </w:r>
    </w:p>
    <w:p>
      <w:pPr>
        <w:spacing w:after="80" w:line="293" w:lineRule="auto"/>
        <w:ind w:left="283"/>
        <w:jc w:val="left"/>
      </w:pPr>
      <w:r>
        <w:rPr>
          <w:rFonts w:ascii="Times New Roman" w:hAnsi="Times New Roman" w:cs="Times New Roman"/>
          <w:b w:val="0"/>
          <w:i w:val="0"/>
          <w:sz w:val="22"/>
        </w:rPr>
        <w:t>- Each shipment has its own USTN.</w:t>
      </w:r>
    </w:p>
    <w:p>
      <w:pPr>
        <w:spacing w:after="80" w:line="293" w:lineRule="auto"/>
        <w:ind w:left="283"/>
        <w:jc w:val="left"/>
      </w:pPr>
      <w:r>
        <w:rPr>
          <w:rFonts w:ascii="Times New Roman" w:hAnsi="Times New Roman" w:cs="Times New Roman"/>
          <w:b w:val="0"/>
          <w:i w:val="0"/>
          <w:sz w:val="22"/>
        </w:rPr>
        <w:t>- The master contract has a contract ID (e.g., MC-20260415-001) but no master USTN.</w:t>
      </w:r>
    </w:p>
    <w:p>
      <w:pPr>
        <w:spacing w:after="80" w:line="293" w:lineRule="auto"/>
        <w:ind w:left="283"/>
        <w:jc w:val="left"/>
      </w:pPr>
      <w:r>
        <w:rPr>
          <w:rFonts w:ascii="Times New Roman" w:hAnsi="Times New Roman" w:cs="Times New Roman"/>
          <w:b w:val="0"/>
          <w:i w:val="0"/>
          <w:sz w:val="22"/>
        </w:rPr>
        <w:t>- A delay in one shipment does not block others.</w:t>
      </w:r>
    </w:p>
    <w:p>
      <w:pPr>
        <w:spacing w:after="80" w:line="293" w:lineRule="auto"/>
        <w:ind w:left="283"/>
        <w:jc w:val="left"/>
      </w:pPr>
      <w:r>
        <w:rPr>
          <w:rFonts w:ascii="Times New Roman" w:hAnsi="Times New Roman" w:cs="Times New Roman"/>
          <w:b w:val="0"/>
          <w:i w:val="0"/>
          <w:sz w:val="22"/>
        </w:rPr>
        <w:t>- Buyer and seller see all shipments in the Trade Command Center under the master contract.</w:t>
      </w:r>
    </w:p>
    <w:p>
      <w:pPr>
        <w:keepNext/>
        <w:spacing w:before="180" w:after="80"/>
        <w:outlineLvl w:val="2"/>
      </w:pPr>
      <w:r>
        <w:rPr>
          <w:rFonts w:ascii="Arial" w:hAnsi="Arial" w:cs="Arial"/>
          <w:b/>
          <w:i w:val="0"/>
          <w:color w:val="333333"/>
          <w:sz w:val="23"/>
        </w:rPr>
        <w:t>5.6.3 Per-Shipment Fee Collection</w:t>
      </w:r>
    </w:p>
    <w:p>
      <w:pPr>
        <w:spacing w:after="80" w:line="293" w:lineRule="auto"/>
        <w:jc w:val="left"/>
      </w:pPr>
      <w:r>
        <w:rPr>
          <w:rFonts w:ascii="Times New Roman" w:hAnsi="Times New Roman" w:cs="Times New Roman"/>
          <w:b w:val="0"/>
          <w:i w:val="0"/>
          <w:sz w:val="22"/>
        </w:rPr>
        <w:t>Each shipment has its own SGTX fee, calculated by the Dynamic Fee Engine per shipment (Section 9.27). Example ($150,000 CFB per shipment at an indicative engine rate of 0.144%):</w:t>
      </w:r>
    </w:p>
    <w:p>
      <w:pPr>
        <w:spacing w:after="80" w:line="293" w:lineRule="auto"/>
        <w:ind w:left="283"/>
        <w:jc w:val="left"/>
      </w:pPr>
      <w:r>
        <w:rPr>
          <w:rFonts w:ascii="Times New Roman" w:hAnsi="Times New Roman" w:cs="Times New Roman"/>
          <w:b w:val="0"/>
          <w:i w:val="0"/>
          <w:sz w:val="22"/>
        </w:rPr>
        <w:t>- Shipment 1: $150,000 × 0.144% = $216.00 (PAID)</w:t>
      </w:r>
    </w:p>
    <w:p>
      <w:pPr>
        <w:spacing w:after="80" w:line="293" w:lineRule="auto"/>
        <w:ind w:left="283"/>
        <w:jc w:val="left"/>
      </w:pPr>
      <w:r>
        <w:rPr>
          <w:rFonts w:ascii="Times New Roman" w:hAnsi="Times New Roman" w:cs="Times New Roman"/>
          <w:b w:val="0"/>
          <w:i w:val="0"/>
          <w:sz w:val="22"/>
        </w:rPr>
        <w:t>- Shipment 2: $150,000 × 0.144% = $216.00 (PENDING)</w:t>
      </w:r>
    </w:p>
    <w:p>
      <w:pPr>
        <w:spacing w:after="80" w:line="293" w:lineRule="auto"/>
        <w:ind w:left="283"/>
        <w:jc w:val="left"/>
      </w:pPr>
      <w:r>
        <w:rPr>
          <w:rFonts w:ascii="Times New Roman" w:hAnsi="Times New Roman" w:cs="Times New Roman"/>
          <w:b w:val="0"/>
          <w:i w:val="0"/>
          <w:sz w:val="22"/>
        </w:rPr>
        <w:t>- Shipment 3: $150,000 × 0.144% = $216.00 (PENDING)</w:t>
      </w:r>
    </w:p>
    <w:p>
      <w:pPr>
        <w:spacing w:after="80" w:line="293" w:lineRule="auto"/>
        <w:jc w:val="left"/>
      </w:pPr>
      <w:r>
        <w:rPr>
          <w:rFonts w:ascii="Times New Roman" w:hAnsi="Times New Roman" w:cs="Times New Roman"/>
          <w:b w:val="0"/>
          <w:i w:val="0"/>
          <w:sz w:val="22"/>
        </w:rPr>
        <w:t>Fee Collection Workflow:</w:t>
      </w:r>
    </w:p>
    <w:p>
      <w:pPr>
        <w:spacing w:after="80" w:line="293" w:lineRule="auto"/>
        <w:jc w:val="left"/>
      </w:pPr>
      <w:r>
        <w:rPr>
          <w:rFonts w:ascii="Times New Roman" w:hAnsi="Times New Roman" w:cs="Times New Roman"/>
          <w:b w:val="0"/>
          <w:i w:val="0"/>
          <w:sz w:val="22"/>
        </w:rPr>
        <w:t>1. Seller clicks "Ready for Shipment X". 2. Buyer clicks "Confirm Shipment X". 3. System sends the per-shipment fee payment request to the seller. 4. Seller pays fee (one click). 5. System generates the USTN for that shipment. 6. FeeLock becomes ACTIVE for that shipment.</w:t>
      </w:r>
    </w:p>
    <w:p>
      <w:pPr>
        <w:keepNext/>
        <w:spacing w:before="180" w:after="80"/>
        <w:outlineLvl w:val="2"/>
      </w:pPr>
      <w:r>
        <w:rPr>
          <w:rFonts w:ascii="Arial" w:hAnsi="Arial" w:cs="Arial"/>
          <w:b/>
          <w:i w:val="0"/>
          <w:color w:val="333333"/>
          <w:sz w:val="23"/>
        </w:rPr>
        <w:t>5.6.4 Schedule Modification After Lock</w:t>
      </w:r>
    </w:p>
    <w:p>
      <w:pPr>
        <w:spacing w:after="80" w:line="293" w:lineRule="auto"/>
        <w:jc w:val="left"/>
      </w:pPr>
      <w:r>
        <w:rPr>
          <w:rFonts w:ascii="Times New Roman" w:hAnsi="Times New Roman" w:cs="Times New Roman"/>
          <w:b w:val="0"/>
          <w:i w:val="0"/>
          <w:sz w:val="22"/>
        </w:rPr>
        <w:t>After the master contract is locked, either party can request modifications to future (unlocked) shipments. Already-locked shipments are immutable.</w:t>
      </w:r>
    </w:p>
    <w:p>
      <w:pPr>
        <w:spacing w:after="80" w:line="293" w:lineRule="auto"/>
        <w:jc w:val="left"/>
      </w:pPr>
      <w:r>
        <w:rPr>
          <w:rFonts w:ascii="Times New Roman" w:hAnsi="Times New Roman" w:cs="Times New Roman"/>
          <w:b w:val="0"/>
          <w:i w:val="0"/>
          <w:sz w:val="22"/>
        </w:rPr>
        <w:t>Allowed Modifications:</w:t>
      </w:r>
    </w:p>
    <w:p>
      <w:pPr>
        <w:spacing w:after="80" w:line="293" w:lineRule="auto"/>
        <w:ind w:left="283"/>
        <w:jc w:val="left"/>
      </w:pPr>
      <w:r>
        <w:rPr>
          <w:rFonts w:ascii="Times New Roman" w:hAnsi="Times New Roman" w:cs="Times New Roman"/>
          <w:b w:val="0"/>
          <w:i w:val="0"/>
          <w:sz w:val="22"/>
        </w:rPr>
        <w:t>- Delivery date</w:t>
      </w:r>
    </w:p>
    <w:p>
      <w:pPr>
        <w:spacing w:after="80" w:line="293" w:lineRule="auto"/>
        <w:ind w:left="283"/>
        <w:jc w:val="left"/>
      </w:pPr>
      <w:r>
        <w:rPr>
          <w:rFonts w:ascii="Times New Roman" w:hAnsi="Times New Roman" w:cs="Times New Roman"/>
          <w:b w:val="0"/>
          <w:i w:val="0"/>
          <w:sz w:val="22"/>
        </w:rPr>
        <w:t>- Port of discharge</w:t>
      </w:r>
    </w:p>
    <w:p>
      <w:pPr>
        <w:spacing w:after="80" w:line="293" w:lineRule="auto"/>
        <w:ind w:left="283"/>
        <w:jc w:val="left"/>
      </w:pPr>
      <w:r>
        <w:rPr>
          <w:rFonts w:ascii="Times New Roman" w:hAnsi="Times New Roman" w:cs="Times New Roman"/>
          <w:b w:val="0"/>
          <w:i w:val="0"/>
          <w:sz w:val="22"/>
        </w:rPr>
        <w:t>- Number of containers</w:t>
      </w:r>
    </w:p>
    <w:p>
      <w:pPr>
        <w:spacing w:after="80" w:line="293" w:lineRule="auto"/>
        <w:ind w:left="283"/>
        <w:jc w:val="left"/>
      </w:pPr>
      <w:r>
        <w:rPr>
          <w:rFonts w:ascii="Times New Roman" w:hAnsi="Times New Roman" w:cs="Times New Roman"/>
          <w:b w:val="0"/>
          <w:i w:val="0"/>
          <w:sz w:val="22"/>
        </w:rPr>
        <w:t>- Commodities (quantity, packaging)</w:t>
      </w:r>
    </w:p>
    <w:p>
      <w:pPr>
        <w:spacing w:after="80" w:line="293" w:lineRule="auto"/>
        <w:jc w:val="left"/>
      </w:pPr>
      <w:r>
        <w:rPr>
          <w:rFonts w:ascii="Times New Roman" w:hAnsi="Times New Roman" w:cs="Times New Roman"/>
          <w:b w:val="0"/>
          <w:i w:val="0"/>
          <w:sz w:val="22"/>
        </w:rPr>
        <w:t>Modification Workflow:</w:t>
      </w:r>
    </w:p>
    <w:p>
      <w:pPr>
        <w:spacing w:after="80" w:line="293" w:lineRule="auto"/>
        <w:jc w:val="left"/>
      </w:pPr>
      <w:r>
        <w:rPr>
          <w:rFonts w:ascii="Times New Roman" w:hAnsi="Times New Roman" w:cs="Times New Roman"/>
          <w:b w:val="0"/>
          <w:i w:val="0"/>
          <w:sz w:val="22"/>
        </w:rPr>
        <w:t>1. Buyer navigates to TCC → Multi-shipment Schedule Card. 2. Buyer clicks "Request Modification" on a future shipment. 3. Buyer selects the shipment and proposes changes. 4. Buyer adds a mandatory reason (≥20 chars). 5. Buyer clicks "Send Modification Request". 6. Seller receives a Smart Inbox item (priority 85). 7. Seller reviews the diff view. 8. Seller clicks "Accept", "Reject", or "Counter". 9. If accepted, a schedule addendum is generated and signed. 10. The shipment schedule is updated.</w:t>
      </w:r>
    </w:p>
    <w:p>
      <w:pPr>
        <w:keepNext/>
        <w:spacing w:before="180" w:after="80"/>
        <w:outlineLvl w:val="2"/>
      </w:pPr>
      <w:r>
        <w:rPr>
          <w:rFonts w:ascii="Arial" w:hAnsi="Arial" w:cs="Arial"/>
          <w:b/>
          <w:i w:val="0"/>
          <w:color w:val="333333"/>
          <w:sz w:val="23"/>
        </w:rPr>
        <w:t>5.6.5 Multi-Shipment Dashboard</w:t>
      </w:r>
    </w:p>
    <w:p>
      <w:pPr>
        <w:spacing w:after="80" w:line="293" w:lineRule="auto"/>
        <w:jc w:val="left"/>
      </w:pPr>
      <w:r>
        <w:rPr>
          <w:rFonts w:ascii="Times New Roman" w:hAnsi="Times New Roman" w:cs="Times New Roman"/>
          <w:b w:val="0"/>
          <w:i w:val="0"/>
          <w:sz w:val="22"/>
        </w:rPr>
        <w:t>Master Contract View:</w:t>
      </w:r>
    </w:p>
    <w:p>
      <w:pPr>
        <w:spacing w:after="0" w:before="0" w:line="240" w:lineRule="auto"/>
        <w:ind w:left="57"/>
        <w:jc w:val="left"/>
        <w:shd w:val="clear" w:fill="F2F2F2"/>
      </w:pPr>
      <w:r>
        <w:rPr>
          <w:rFonts w:ascii="Consolas" w:hAnsi="Consolas" w:cs="Consolas"/>
          <w:b w:val="0"/>
          <w:i w:val="0"/>
          <w:sz w:val="15"/>
        </w:rPr>
        <w:t>MULTI-SHIPMENT SCHEDULE — MC-20260415-001</w:t>
      </w:r>
    </w:p>
    <w:p>
      <w:pPr>
        <w:spacing w:after="0" w:before="0" w:line="240" w:lineRule="auto"/>
        <w:ind w:left="57"/>
        <w:jc w:val="left"/>
        <w:shd w:val="clear" w:fill="F2F2F2"/>
      </w:pPr>
      <w:r>
        <w:rPr>
          <w:rFonts w:ascii="Consolas" w:hAnsi="Consolas" w:cs="Consolas"/>
          <w:b w:val="0"/>
          <w:i w:val="0"/>
          <w:sz w:val="15"/>
        </w:rPr>
        <w:t xml:space="preserve">  Master Contract: ACTIVE_MASTER</w:t>
      </w:r>
    </w:p>
    <w:p>
      <w:pPr>
        <w:spacing w:after="0" w:before="0" w:line="240" w:lineRule="auto"/>
        <w:ind w:left="57"/>
        <w:jc w:val="left"/>
        <w:shd w:val="clear" w:fill="F2F2F2"/>
      </w:pPr>
      <w:r>
        <w:rPr>
          <w:rFonts w:ascii="Consolas" w:hAnsi="Consolas" w:cs="Consolas"/>
          <w:b w:val="0"/>
          <w:i w:val="0"/>
          <w:sz w:val="15"/>
        </w:rPr>
        <w:t xml:space="preserve">  Total Shipments: 3</w:t>
      </w:r>
    </w:p>
    <w:p>
      <w:pPr>
        <w:spacing w:after="0" w:before="0" w:line="240" w:lineRule="auto"/>
        <w:ind w:left="57"/>
        <w:jc w:val="left"/>
        <w:shd w:val="clear" w:fill="F2F2F2"/>
      </w:pPr>
      <w:r>
        <w:rPr>
          <w:rFonts w:ascii="Consolas" w:hAnsi="Consolas" w:cs="Consolas"/>
          <w:b w:val="0"/>
          <w:i w:val="0"/>
          <w:sz w:val="15"/>
        </w:rPr>
        <w:t xml:space="preserve">  Completed: 1</w:t>
      </w:r>
    </w:p>
    <w:p>
      <w:pPr>
        <w:spacing w:after="0" w:before="0" w:line="240" w:lineRule="auto"/>
        <w:ind w:left="57"/>
        <w:jc w:val="left"/>
        <w:shd w:val="clear" w:fill="F2F2F2"/>
      </w:pPr>
      <w:r>
        <w:rPr>
          <w:rFonts w:ascii="Consolas" w:hAnsi="Consolas" w:cs="Consolas"/>
          <w:b w:val="0"/>
          <w:i w:val="0"/>
          <w:sz w:val="15"/>
        </w:rPr>
        <w:t xml:space="preserve">  In Progress: 1</w:t>
      </w:r>
    </w:p>
    <w:p>
      <w:pPr>
        <w:spacing w:after="0" w:before="0" w:line="240" w:lineRule="auto"/>
        <w:ind w:left="57"/>
        <w:jc w:val="left"/>
        <w:shd w:val="clear" w:fill="F2F2F2"/>
      </w:pPr>
      <w:r>
        <w:rPr>
          <w:rFonts w:ascii="Consolas" w:hAnsi="Consolas" w:cs="Consolas"/>
          <w:b w:val="0"/>
          <w:i w:val="0"/>
          <w:sz w:val="15"/>
        </w:rPr>
        <w:t xml:space="preserve">  Scheduled: 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Shipment | Delivery Date | Port       | Containers | Status             | USTN</w:t>
      </w:r>
    </w:p>
    <w:p>
      <w:pPr>
        <w:spacing w:after="0" w:before="0" w:line="240" w:lineRule="auto"/>
        <w:ind w:left="57"/>
        <w:jc w:val="left"/>
        <w:shd w:val="clear" w:fill="F2F2F2"/>
      </w:pPr>
      <w:r>
        <w:rPr>
          <w:rFonts w:ascii="Consolas" w:hAnsi="Consolas" w:cs="Consolas"/>
          <w:b w:val="0"/>
          <w:i w:val="0"/>
          <w:sz w:val="15"/>
        </w:rPr>
        <w:t xml:space="preserve">  1        | 15 Jul 2026   | Alexandria | 1          | COMPLETED          | SGTX-EG-26-F3A-21</w:t>
      </w:r>
    </w:p>
    <w:p>
      <w:pPr>
        <w:spacing w:after="0" w:before="0" w:line="240" w:lineRule="auto"/>
        <w:ind w:left="57"/>
        <w:jc w:val="left"/>
        <w:shd w:val="clear" w:fill="F2F2F2"/>
      </w:pPr>
      <w:r>
        <w:rPr>
          <w:rFonts w:ascii="Consolas" w:hAnsi="Consolas" w:cs="Consolas"/>
          <w:b w:val="0"/>
          <w:i w:val="0"/>
          <w:sz w:val="15"/>
        </w:rPr>
        <w:t xml:space="preserve">  2        | 30 Aug 2026   | Port Said  | 1          | IN_PROGRESS (modified) | SGTX-EG-26-F3A-22</w:t>
      </w:r>
    </w:p>
    <w:p>
      <w:pPr>
        <w:spacing w:after="0" w:before="0" w:line="240" w:lineRule="auto"/>
        <w:ind w:left="57"/>
        <w:jc w:val="left"/>
        <w:shd w:val="clear" w:fill="F2F2F2"/>
      </w:pPr>
      <w:r>
        <w:rPr>
          <w:rFonts w:ascii="Consolas" w:hAnsi="Consolas" w:cs="Consolas"/>
          <w:b w:val="0"/>
          <w:i w:val="0"/>
          <w:sz w:val="15"/>
        </w:rPr>
        <w:t xml:space="preserve">  3        | 15 Sep 2026   | Damietta   | 1          | SCHEDULED          |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Progress: 67% (2 of 3 shipments locked/completed)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Modification History:</w:t>
      </w:r>
    </w:p>
    <w:p>
      <w:pPr>
        <w:spacing w:after="0" w:before="0" w:line="240" w:lineRule="auto"/>
        <w:ind w:left="57"/>
        <w:jc w:val="left"/>
        <w:shd w:val="clear" w:fill="F2F2F2"/>
      </w:pPr>
      <w:r>
        <w:rPr>
          <w:rFonts w:ascii="Consolas" w:hAnsi="Consolas" w:cs="Consolas"/>
          <w:b w:val="0"/>
          <w:i w:val="0"/>
          <w:sz w:val="15"/>
        </w:rPr>
        <w:t xml:space="preserve">  • 2026-06-15 — Shipment 2 modified: 15 Aug → 30 Aug, Alexandria → Port Said</w:t>
      </w:r>
    </w:p>
    <w:p>
      <w:pPr>
        <w:spacing w:after="0" w:before="0" w:line="240" w:lineRule="auto"/>
        <w:ind w:left="57"/>
        <w:jc w:val="left"/>
        <w:shd w:val="clear" w:fill="F2F2F2"/>
      </w:pPr>
      <w:r>
        <w:rPr>
          <w:rFonts w:ascii="Consolas" w:hAnsi="Consolas" w:cs="Consolas"/>
          <w:b w:val="0"/>
          <w:i w:val="0"/>
          <w:sz w:val="15"/>
        </w:rPr>
        <w:t xml:space="preserve">    (schedule addendum signed by both parties)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[Request Modification]   [View Addendum]   [Export Schedule]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assistance for multi-shipment: the Smart Inbox groups pending actions by shipment, with a clear label "Shipment 2 of 3". The user can toggle between shipments in the Trade Command Center via a dropdown that autocompletes from the list of USTNs under the master contract.</w:t>
      </w:r>
    </w:p>
    <w:p>
      <w:pPr>
        <w:keepNext/>
        <w:spacing w:before="180" w:after="80"/>
        <w:outlineLvl w:val="2"/>
      </w:pPr>
      <w:r>
        <w:rPr>
          <w:rFonts w:ascii="Arial" w:hAnsi="Arial" w:cs="Arial"/>
          <w:b/>
          <w:i w:val="0"/>
          <w:color w:val="333333"/>
          <w:sz w:val="23"/>
        </w:rPr>
        <w:t>5.6.6 Database Schema</w:t>
      </w:r>
    </w:p>
    <w:p>
      <w:pPr>
        <w:spacing w:after="0" w:before="0" w:line="240" w:lineRule="auto"/>
        <w:ind w:left="57"/>
        <w:jc w:val="left"/>
        <w:shd w:val="clear" w:fill="F2F2F2"/>
      </w:pPr>
      <w:r>
        <w:rPr>
          <w:rFonts w:ascii="Consolas" w:hAnsi="Consolas" w:cs="Consolas"/>
          <w:b w:val="0"/>
          <w:i w:val="0"/>
          <w:sz w:val="15"/>
        </w:rPr>
        <w:t>-- Contract shipments (multi-shipment)</w:t>
      </w:r>
    </w:p>
    <w:p>
      <w:pPr>
        <w:spacing w:after="0" w:before="0" w:line="240" w:lineRule="auto"/>
        <w:ind w:left="57"/>
        <w:jc w:val="left"/>
        <w:shd w:val="clear" w:fill="F2F2F2"/>
      </w:pPr>
      <w:r>
        <w:rPr>
          <w:rFonts w:ascii="Consolas" w:hAnsi="Consolas" w:cs="Consolas"/>
          <w:b w:val="0"/>
          <w:i w:val="0"/>
          <w:sz w:val="15"/>
        </w:rPr>
        <w:t>-- contract_shipments: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idx_contract_shipments_contract ON contract_shipments(contract_id);</w:t>
      </w:r>
    </w:p>
    <w:p>
      <w:pPr>
        <w:spacing w:after="0" w:before="0" w:line="240" w:lineRule="auto"/>
        <w:ind w:left="57"/>
        <w:jc w:val="left"/>
        <w:shd w:val="clear" w:fill="F2F2F2"/>
      </w:pPr>
      <w:r>
        <w:rPr>
          <w:rFonts w:ascii="Consolas" w:hAnsi="Consolas" w:cs="Consolas"/>
          <w:b w:val="0"/>
          <w:i w:val="0"/>
          <w:sz w:val="15"/>
        </w:rPr>
        <w:t>CREATE INDEX idx_contract_shipments_ustn ON contract_shipments(ustn);</w:t>
      </w:r>
    </w:p>
    <w:p>
      <w:pPr>
        <w:spacing w:after="0" w:before="0" w:line="240" w:lineRule="auto"/>
        <w:ind w:left="57"/>
        <w:jc w:val="left"/>
        <w:shd w:val="clear" w:fill="F2F2F2"/>
      </w:pPr>
      <w:r>
        <w:rPr>
          <w:rFonts w:ascii="Consolas" w:hAnsi="Consolas" w:cs="Consolas"/>
          <w:b w:val="0"/>
          <w:i w:val="0"/>
          <w:sz w:val="15"/>
        </w:rPr>
        <w:t>CREATE INDEX idx_contract_shipments_status ON contract_shipments(status);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5.6.7 Implementation Checklist (Section 5.6)</w:t>
      </w:r>
    </w:p>
    <w:p>
      <w:pPr>
        <w:spacing w:after="80" w:line="293" w:lineRule="auto"/>
        <w:ind w:left="283"/>
        <w:jc w:val="left"/>
      </w:pPr>
      <w:r>
        <w:rPr>
          <w:rFonts w:ascii="Times New Roman" w:hAnsi="Times New Roman" w:cs="Times New Roman"/>
          <w:b w:val="0"/>
          <w:i w:val="0"/>
          <w:sz w:val="22"/>
        </w:rPr>
        <w:t>- Implement per-shipment locking and USTN generation.</w:t>
      </w:r>
    </w:p>
    <w:p>
      <w:pPr>
        <w:spacing w:after="80" w:line="293" w:lineRule="auto"/>
        <w:ind w:left="283"/>
        <w:jc w:val="left"/>
      </w:pPr>
      <w:r>
        <w:rPr>
          <w:rFonts w:ascii="Times New Roman" w:hAnsi="Times New Roman" w:cs="Times New Roman"/>
          <w:b w:val="0"/>
          <w:i w:val="0"/>
          <w:sz w:val="22"/>
        </w:rPr>
        <w:t>- Implement per-shipment fee collection and FeeLock activation.</w:t>
      </w:r>
    </w:p>
    <w:p>
      <w:pPr>
        <w:spacing w:after="80" w:line="293" w:lineRule="auto"/>
        <w:ind w:left="283"/>
        <w:jc w:val="left"/>
      </w:pPr>
      <w:r>
        <w:rPr>
          <w:rFonts w:ascii="Times New Roman" w:hAnsi="Times New Roman" w:cs="Times New Roman"/>
          <w:b w:val="0"/>
          <w:i w:val="0"/>
          <w:sz w:val="22"/>
        </w:rPr>
        <w:t>- Build the Multi-Shipment Schedule Card with modification workflow (mandatory reason ≥20 chars).</w:t>
      </w:r>
    </w:p>
    <w:p>
      <w:pPr>
        <w:spacing w:after="80" w:line="293" w:lineRule="auto"/>
        <w:ind w:left="283"/>
        <w:jc w:val="left"/>
      </w:pPr>
      <w:r>
        <w:rPr>
          <w:rFonts w:ascii="Times New Roman" w:hAnsi="Times New Roman" w:cs="Times New Roman"/>
          <w:b w:val="0"/>
          <w:i w:val="0"/>
          <w:sz w:val="22"/>
        </w:rPr>
        <w:t>- Generate and sign schedule addenda for accepted modifications.</w:t>
      </w:r>
    </w:p>
    <w:p>
      <w:pPr>
        <w:spacing w:after="80" w:line="293" w:lineRule="auto"/>
        <w:ind w:left="283"/>
        <w:jc w:val="left"/>
      </w:pPr>
      <w:r>
        <w:rPr>
          <w:rFonts w:ascii="Times New Roman" w:hAnsi="Times New Roman" w:cs="Times New Roman"/>
          <w:b w:val="0"/>
          <w:i w:val="0"/>
          <w:sz w:val="22"/>
        </w:rPr>
        <w:t>- Implement the shipment toggle dropdown in the TCC (autocomplete over the master contract's USTNs).</w:t>
      </w:r>
    </w:p>
    <w:p>
      <w:pPr>
        <w:spacing w:after="80" w:line="293" w:lineRule="auto"/>
        <w:ind w:left="283"/>
        <w:jc w:val="left"/>
      </w:pPr>
      <w:r>
        <w:rPr>
          <w:rFonts w:ascii="Times New Roman" w:hAnsi="Times New Roman" w:cs="Times New Roman"/>
          <w:b w:val="0"/>
          <w:i w:val="0"/>
          <w:sz w:val="22"/>
        </w:rPr>
        <w:t>- Group Smart Inbox items by shipment with labels ("Shipment 2 of 3").</w:t>
      </w:r>
    </w:p>
    <w:p>
      <w:pPr>
        <w:keepNext/>
        <w:spacing w:before="240" w:after="100"/>
        <w:outlineLvl w:val="1"/>
      </w:pPr>
      <w:r>
        <w:rPr>
          <w:rFonts w:ascii="Arial" w:hAnsi="Arial" w:cs="Arial"/>
          <w:b/>
          <w:i w:val="0"/>
          <w:color w:val="2E528F"/>
          <w:sz w:val="26"/>
        </w:rPr>
        <w:t>5.7 Distressed Micro-Contracts</w:t>
      </w:r>
    </w:p>
    <w:p>
      <w:pPr>
        <w:keepNext/>
        <w:spacing w:before="180" w:after="80"/>
        <w:outlineLvl w:val="2"/>
      </w:pPr>
      <w:r>
        <w:rPr>
          <w:rFonts w:ascii="Arial" w:hAnsi="Arial" w:cs="Arial"/>
          <w:b/>
          <w:i w:val="0"/>
          <w:color w:val="333333"/>
          <w:sz w:val="23"/>
        </w:rPr>
        <w:t>5.7.1 Purpose &amp; Design Philosophy</w:t>
      </w:r>
    </w:p>
    <w:p>
      <w:pPr>
        <w:spacing w:after="80" w:line="293" w:lineRule="auto"/>
        <w:jc w:val="left"/>
      </w:pPr>
      <w:r>
        <w:rPr>
          <w:rFonts w:ascii="Times New Roman" w:hAnsi="Times New Roman" w:cs="Times New Roman"/>
          <w:b w:val="0"/>
          <w:i w:val="0"/>
          <w:sz w:val="22"/>
        </w:rPr>
        <w:t>When a seller declares distress on a portion of a shipment (e.g., 3 pallets of lemons), SGTX generates a MicroUSTN for the distressed lot. The MicroUSTN follows the same format but links back to the original USTN via parent_ustn.</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MicroUSTN Generation — a new USTN is minted for the distressed lot.</w:t>
      </w:r>
    </w:p>
    <w:p>
      <w:pPr>
        <w:spacing w:after="80" w:line="293" w:lineRule="auto"/>
        <w:ind w:left="283"/>
        <w:jc w:val="left"/>
      </w:pPr>
      <w:r>
        <w:rPr>
          <w:rFonts w:ascii="Times New Roman" w:hAnsi="Times New Roman" w:cs="Times New Roman"/>
          <w:b w:val="0"/>
          <w:i w:val="0"/>
          <w:sz w:val="22"/>
        </w:rPr>
        <w:t>- Parent Link — links back to the original USTN via parent_ustn.</w:t>
      </w:r>
    </w:p>
    <w:p>
      <w:pPr>
        <w:spacing w:after="80" w:line="293" w:lineRule="auto"/>
        <w:ind w:left="283"/>
        <w:jc w:val="left"/>
      </w:pPr>
      <w:r>
        <w:rPr>
          <w:rFonts w:ascii="Times New Roman" w:hAnsi="Times New Roman" w:cs="Times New Roman"/>
          <w:b w:val="0"/>
          <w:i w:val="0"/>
          <w:sz w:val="22"/>
        </w:rPr>
        <w:t>- Independent Lifecycle — has its own status and milestones.</w:t>
      </w:r>
    </w:p>
    <w:p>
      <w:pPr>
        <w:spacing w:after="80" w:line="293" w:lineRule="auto"/>
        <w:ind w:left="283"/>
        <w:jc w:val="left"/>
      </w:pPr>
      <w:r>
        <w:rPr>
          <w:rFonts w:ascii="Times New Roman" w:hAnsi="Times New Roman" w:cs="Times New Roman"/>
          <w:b w:val="0"/>
          <w:i w:val="0"/>
          <w:sz w:val="22"/>
        </w:rPr>
        <w:t>- Separate Fee — the SGTX fee applies to the distressed sale (engine-determined rate on the distressed CFB × jurisdiction factor; Section 9.27).</w:t>
      </w:r>
    </w:p>
    <w:p>
      <w:pPr>
        <w:keepNext/>
        <w:spacing w:before="180" w:after="80"/>
        <w:outlineLvl w:val="2"/>
      </w:pPr>
      <w:r>
        <w:rPr>
          <w:rFonts w:ascii="Arial" w:hAnsi="Arial" w:cs="Arial"/>
          <w:b/>
          <w:i w:val="0"/>
          <w:color w:val="333333"/>
          <w:sz w:val="23"/>
        </w:rPr>
        <w:t>5.7.2 MicroUSTN Structure</w:t>
      </w:r>
    </w:p>
    <w:p>
      <w:pPr>
        <w:spacing w:after="0" w:before="0" w:line="240" w:lineRule="auto"/>
        <w:ind w:left="57"/>
        <w:jc w:val="left"/>
        <w:shd w:val="clear" w:fill="F2F2F2"/>
      </w:pPr>
      <w:r>
        <w:rPr>
          <w:rFonts w:ascii="Consolas" w:hAnsi="Consolas" w:cs="Consolas"/>
          <w:b w:val="0"/>
          <w:i w:val="0"/>
          <w:sz w:val="15"/>
        </w:rPr>
        <w:t>Original USTN:     SGTX-EG-26-F3A-15</w:t>
      </w:r>
    </w:p>
    <w:p>
      <w:pPr>
        <w:spacing w:after="0" w:before="0" w:line="240" w:lineRule="auto"/>
        <w:ind w:left="57"/>
        <w:jc w:val="left"/>
        <w:shd w:val="clear" w:fill="F2F2F2"/>
      </w:pPr>
      <w:r>
        <w:rPr>
          <w:rFonts w:ascii="Consolas" w:hAnsi="Consolas" w:cs="Consolas"/>
          <w:b w:val="0"/>
          <w:i w:val="0"/>
          <w:sz w:val="15"/>
        </w:rPr>
        <w:t>MicroUSTN:         SGTX-EG-26-F3A-26</w:t>
      </w:r>
    </w:p>
    <w:p>
      <w:pPr>
        <w:spacing w:after="0" w:before="0" w:line="240" w:lineRule="auto"/>
        <w:ind w:left="57"/>
        <w:jc w:val="left"/>
        <w:shd w:val="clear" w:fill="F2F2F2"/>
      </w:pPr>
      <w:r>
        <w:rPr>
          <w:rFonts w:ascii="Consolas" w:hAnsi="Consolas" w:cs="Consolas"/>
          <w:b w:val="0"/>
          <w:i w:val="0"/>
          <w:sz w:val="15"/>
        </w:rPr>
        <w:t>Parent Link:       micro_contracts.parent_ustn = SGTX-EG-26-F3A-15</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Components: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Value</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Prefix</w:t>
            </w:r>
          </w:p>
        </w:tc>
        <w:tc>
          <w:tcPr>
            <w:tcW w:type="dxa" w:w="3213"/>
          </w:tcPr>
          <w:p>
            <w:pPr>
              <w:spacing w:after="20" w:before="20" w:line="240" w:lineRule="auto"/>
            </w:pPr>
            <w:r/>
            <w:r>
              <w:rPr>
                <w:rFonts w:ascii="Arial" w:hAnsi="Arial" w:cs="Arial"/>
                <w:b w:val="0"/>
                <w:i w:val="0"/>
                <w:sz w:val="17"/>
              </w:rPr>
              <w:t>SGTX</w:t>
            </w:r>
          </w:p>
        </w:tc>
        <w:tc>
          <w:tcPr>
            <w:tcW w:type="dxa" w:w="3213"/>
          </w:tcPr>
          <w:p>
            <w:pPr>
              <w:spacing w:after="20" w:before="20" w:line="240" w:lineRule="auto"/>
            </w:pPr>
            <w:r/>
            <w:r>
              <w:rPr>
                <w:rFonts w:ascii="Arial" w:hAnsi="Arial" w:cs="Arial"/>
                <w:b w:val="0"/>
                <w:i w:val="0"/>
                <w:sz w:val="17"/>
              </w:rPr>
              <w:t>Fixed platform identifier</w:t>
            </w:r>
          </w:p>
        </w:tc>
      </w:tr>
      <w:tr>
        <w:tc>
          <w:tcPr>
            <w:tcW w:type="dxa" w:w="3213"/>
          </w:tcPr>
          <w:p>
            <w:pPr>
              <w:spacing w:after="20" w:before="20" w:line="240" w:lineRule="auto"/>
            </w:pPr>
            <w:r/>
            <w:r>
              <w:rPr>
                <w:rFonts w:ascii="Arial" w:hAnsi="Arial" w:cs="Arial"/>
                <w:b w:val="0"/>
                <w:i w:val="0"/>
                <w:sz w:val="17"/>
              </w:rPr>
              <w:t>Country</w:t>
            </w:r>
          </w:p>
        </w:tc>
        <w:tc>
          <w:tcPr>
            <w:tcW w:type="dxa" w:w="3213"/>
          </w:tcPr>
          <w:p>
            <w:pPr>
              <w:spacing w:after="20" w:before="20" w:line="240" w:lineRule="auto"/>
            </w:pPr>
            <w:r/>
            <w:r>
              <w:rPr>
                <w:rFonts w:ascii="Arial" w:hAnsi="Arial" w:cs="Arial"/>
                <w:b w:val="0"/>
                <w:i w:val="0"/>
                <w:sz w:val="17"/>
              </w:rPr>
              <w:t>EG</w:t>
            </w:r>
          </w:p>
        </w:tc>
        <w:tc>
          <w:tcPr>
            <w:tcW w:type="dxa" w:w="3213"/>
          </w:tcPr>
          <w:p>
            <w:pPr>
              <w:spacing w:after="20" w:before="20" w:line="240" w:lineRule="auto"/>
            </w:pPr>
            <w:r/>
            <w:r>
              <w:rPr>
                <w:rFonts w:ascii="Arial" w:hAnsi="Arial" w:cs="Arial"/>
                <w:b w:val="0"/>
                <w:i w:val="0"/>
                <w:sz w:val="17"/>
              </w:rPr>
              <w:t>Country of the original seller</w:t>
            </w:r>
          </w:p>
        </w:tc>
      </w:tr>
      <w:tr>
        <w:tc>
          <w:tcPr>
            <w:tcW w:type="dxa" w:w="3213"/>
          </w:tcPr>
          <w:p>
            <w:pPr>
              <w:spacing w:after="20" w:before="20" w:line="240" w:lineRule="auto"/>
            </w:pPr>
            <w:r/>
            <w:r>
              <w:rPr>
                <w:rFonts w:ascii="Arial" w:hAnsi="Arial" w:cs="Arial"/>
                <w:b w:val="0"/>
                <w:i w:val="0"/>
                <w:sz w:val="17"/>
              </w:rPr>
              <w:t>Year</w:t>
            </w:r>
          </w:p>
        </w:tc>
        <w:tc>
          <w:tcPr>
            <w:tcW w:type="dxa" w:w="3213"/>
          </w:tcPr>
          <w:p>
            <w:pPr>
              <w:spacing w:after="20" w:before="20" w:line="240" w:lineRule="auto"/>
            </w:pPr>
            <w:r/>
            <w:r>
              <w:rPr>
                <w:rFonts w:ascii="Arial" w:hAnsi="Arial" w:cs="Arial"/>
                <w:b w:val="0"/>
                <w:i w:val="0"/>
                <w:sz w:val="17"/>
              </w:rPr>
              <w:t>26</w:t>
            </w:r>
          </w:p>
        </w:tc>
        <w:tc>
          <w:tcPr>
            <w:tcW w:type="dxa" w:w="3213"/>
          </w:tcPr>
          <w:p>
            <w:pPr>
              <w:spacing w:after="20" w:before="20" w:line="240" w:lineRule="auto"/>
            </w:pPr>
            <w:r/>
            <w:r>
              <w:rPr>
                <w:rFonts w:ascii="Arial" w:hAnsi="Arial" w:cs="Arial"/>
                <w:b w:val="0"/>
                <w:i w:val="0"/>
                <w:sz w:val="17"/>
              </w:rPr>
              <w:t>Year of the distressed sale</w:t>
            </w:r>
          </w:p>
        </w:tc>
      </w:tr>
      <w:tr>
        <w:tc>
          <w:tcPr>
            <w:tcW w:type="dxa" w:w="3213"/>
          </w:tcPr>
          <w:p>
            <w:pPr>
              <w:spacing w:after="20" w:before="20" w:line="240" w:lineRule="auto"/>
            </w:pPr>
            <w:r/>
            <w:r>
              <w:rPr>
                <w:rFonts w:ascii="Arial" w:hAnsi="Arial" w:cs="Arial"/>
                <w:b w:val="0"/>
                <w:i w:val="0"/>
                <w:sz w:val="17"/>
              </w:rPr>
              <w:t>Trader</w:t>
            </w:r>
          </w:p>
        </w:tc>
        <w:tc>
          <w:tcPr>
            <w:tcW w:type="dxa" w:w="3213"/>
          </w:tcPr>
          <w:p>
            <w:pPr>
              <w:spacing w:after="20" w:before="20" w:line="240" w:lineRule="auto"/>
            </w:pPr>
            <w:r/>
            <w:r>
              <w:rPr>
                <w:rFonts w:ascii="Arial" w:hAnsi="Arial" w:cs="Arial"/>
                <w:b w:val="0"/>
                <w:i w:val="0"/>
                <w:sz w:val="17"/>
              </w:rPr>
              <w:t>F3A</w:t>
            </w:r>
          </w:p>
        </w:tc>
        <w:tc>
          <w:tcPr>
            <w:tcW w:type="dxa" w:w="3213"/>
          </w:tcPr>
          <w:p>
            <w:pPr>
              <w:spacing w:after="20" w:before="20" w:line="240" w:lineRule="auto"/>
            </w:pPr>
            <w:r/>
            <w:r>
              <w:rPr>
                <w:rFonts w:ascii="Arial" w:hAnsi="Arial" w:cs="Arial"/>
                <w:b w:val="0"/>
                <w:i w:val="0"/>
                <w:sz w:val="17"/>
              </w:rPr>
              <w:t>Trader identifier from GTID checksum</w:t>
            </w:r>
          </w:p>
        </w:tc>
      </w:tr>
      <w:tr>
        <w:tc>
          <w:tcPr>
            <w:tcW w:type="dxa" w:w="3213"/>
          </w:tcPr>
          <w:p>
            <w:pPr>
              <w:spacing w:after="20" w:before="20" w:line="240" w:lineRule="auto"/>
            </w:pPr>
            <w:r/>
            <w:r>
              <w:rPr>
                <w:rFonts w:ascii="Arial" w:hAnsi="Arial" w:cs="Arial"/>
                <w:b w:val="0"/>
                <w:i w:val="0"/>
                <w:sz w:val="17"/>
              </w:rPr>
              <w:t>SEQ</w:t>
            </w:r>
          </w:p>
        </w:tc>
        <w:tc>
          <w:tcPr>
            <w:tcW w:type="dxa" w:w="3213"/>
          </w:tcPr>
          <w:p>
            <w:pPr>
              <w:spacing w:after="20" w:before="20" w:line="240" w:lineRule="auto"/>
            </w:pPr>
            <w:r/>
            <w:r>
              <w:rPr>
                <w:rFonts w:ascii="Arial" w:hAnsi="Arial" w:cs="Arial"/>
                <w:b w:val="0"/>
                <w:i w:val="0"/>
                <w:sz w:val="17"/>
              </w:rPr>
              <w:t>26</w:t>
            </w:r>
          </w:p>
        </w:tc>
        <w:tc>
          <w:tcPr>
            <w:tcW w:type="dxa" w:w="3213"/>
          </w:tcPr>
          <w:p>
            <w:pPr>
              <w:spacing w:after="20" w:before="20" w:line="240" w:lineRule="auto"/>
            </w:pPr>
            <w:r/>
            <w:r>
              <w:rPr>
                <w:rFonts w:ascii="Arial" w:hAnsi="Arial" w:cs="Arial"/>
                <w:b w:val="0"/>
                <w:i w:val="0"/>
                <w:sz w:val="17"/>
              </w:rPr>
              <w:t>Next atomic sequence for this trader (not derived from the parent)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ORIGINAL SHIPMENT</w:t>
      </w:r>
    </w:p>
    <w:p>
      <w:pPr>
        <w:spacing w:after="0" w:before="0" w:line="240" w:lineRule="auto"/>
        <w:ind w:left="57"/>
        <w:jc w:val="left"/>
        <w:shd w:val="clear" w:fill="F2F2F2"/>
      </w:pPr>
      <w:r>
        <w:rPr>
          <w:rFonts w:ascii="Consolas" w:hAnsi="Consolas" w:cs="Consolas"/>
          <w:b w:val="0"/>
          <w:i w:val="0"/>
          <w:sz w:val="15"/>
        </w:rPr>
        <w:t xml:space="preserve">  USTN:     SGTX-EG-26-F3A-15</w:t>
      </w:r>
    </w:p>
    <w:p>
      <w:pPr>
        <w:spacing w:after="0" w:before="0" w:line="240" w:lineRule="auto"/>
        <w:ind w:left="57"/>
        <w:jc w:val="left"/>
        <w:shd w:val="clear" w:fill="F2F2F2"/>
      </w:pPr>
      <w:r>
        <w:rPr>
          <w:rFonts w:ascii="Consolas" w:hAnsi="Consolas" w:cs="Consolas"/>
          <w:b w:val="0"/>
          <w:i w:val="0"/>
          <w:sz w:val="15"/>
        </w:rPr>
        <w:t xml:space="preserve">  Product:  Lemons (1,344 kg)</w:t>
      </w:r>
    </w:p>
    <w:p>
      <w:pPr>
        <w:spacing w:after="0" w:before="0" w:line="240" w:lineRule="auto"/>
        <w:ind w:left="57"/>
        <w:jc w:val="left"/>
        <w:shd w:val="clear" w:fill="F2F2F2"/>
      </w:pPr>
      <w:r>
        <w:rPr>
          <w:rFonts w:ascii="Consolas" w:hAnsi="Consolas" w:cs="Consolas"/>
          <w:b w:val="0"/>
          <w:i w:val="0"/>
          <w:sz w:val="15"/>
        </w:rPr>
        <w:t xml:space="preserve">  Status:   IN_TRANSIT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(Distress declared on 3 pallets)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DISTRESSED MICRO-CONTRACT</w:t>
      </w:r>
    </w:p>
    <w:p>
      <w:pPr>
        <w:spacing w:after="0" w:before="0" w:line="240" w:lineRule="auto"/>
        <w:ind w:left="57"/>
        <w:jc w:val="left"/>
        <w:shd w:val="clear" w:fill="F2F2F2"/>
      </w:pPr>
      <w:r>
        <w:rPr>
          <w:rFonts w:ascii="Consolas" w:hAnsi="Consolas" w:cs="Consolas"/>
          <w:b w:val="0"/>
          <w:i w:val="0"/>
          <w:sz w:val="15"/>
        </w:rPr>
        <w:t xml:space="preserve">  MicroUSTN:    SGTX-EG-26-F3A-26</w:t>
      </w:r>
    </w:p>
    <w:p>
      <w:pPr>
        <w:spacing w:after="0" w:before="0" w:line="240" w:lineRule="auto"/>
        <w:ind w:left="57"/>
        <w:jc w:val="left"/>
        <w:shd w:val="clear" w:fill="F2F2F2"/>
      </w:pPr>
      <w:r>
        <w:rPr>
          <w:rFonts w:ascii="Consolas" w:hAnsi="Consolas" w:cs="Consolas"/>
          <w:b w:val="0"/>
          <w:i w:val="0"/>
          <w:sz w:val="15"/>
        </w:rPr>
        <w:t xml:space="preserve">  Parent USTN:  SGTX-EG-26-F3A-15</w:t>
      </w:r>
    </w:p>
    <w:p>
      <w:pPr>
        <w:spacing w:after="0" w:before="0" w:line="240" w:lineRule="auto"/>
        <w:ind w:left="57"/>
        <w:jc w:val="left"/>
        <w:shd w:val="clear" w:fill="F2F2F2"/>
      </w:pPr>
      <w:r>
        <w:rPr>
          <w:rFonts w:ascii="Consolas" w:hAnsi="Consolas" w:cs="Consolas"/>
          <w:b w:val="0"/>
          <w:i w:val="0"/>
          <w:sz w:val="15"/>
        </w:rPr>
        <w:t xml:space="preserve">  Product:      Lemons (384 kg — 3 pallets)</w:t>
      </w:r>
    </w:p>
    <w:p>
      <w:pPr>
        <w:spacing w:after="0" w:before="0" w:line="240" w:lineRule="auto"/>
        <w:ind w:left="57"/>
        <w:jc w:val="left"/>
        <w:shd w:val="clear" w:fill="F2F2F2"/>
      </w:pPr>
      <w:r>
        <w:rPr>
          <w:rFonts w:ascii="Consolas" w:hAnsi="Consolas" w:cs="Consolas"/>
          <w:b w:val="0"/>
          <w:i w:val="0"/>
          <w:sz w:val="15"/>
        </w:rPr>
        <w:t xml:space="preserve">  Status:       DISTRESS_SALE_PENDING</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5.7.3 MicroUSTN Lifecycle</w:t>
      </w:r>
    </w:p>
    <w:p>
      <w:pPr>
        <w:spacing w:after="80" w:line="293" w:lineRule="auto"/>
        <w:jc w:val="left"/>
      </w:pPr>
      <w:r>
        <w:rPr>
          <w:rFonts w:ascii="Times New Roman" w:hAnsi="Times New Roman" w:cs="Times New Roman"/>
          <w:b w:val="0"/>
          <w:i w:val="0"/>
          <w:sz w:val="22"/>
        </w:rPr>
        <w:t>The MicroUSTN has its own lifecycle:</w:t>
      </w:r>
    </w:p>
    <w:p>
      <w:pPr>
        <w:spacing w:after="0" w:before="0" w:line="240" w:lineRule="auto"/>
        <w:ind w:left="57"/>
        <w:jc w:val="left"/>
        <w:shd w:val="clear" w:fill="F2F2F2"/>
      </w:pPr>
      <w:r>
        <w:rPr>
          <w:rFonts w:ascii="Consolas" w:hAnsi="Consolas" w:cs="Consolas"/>
          <w:b w:val="0"/>
          <w:i w:val="0"/>
          <w:sz w:val="15"/>
        </w:rPr>
        <w:t>DISTRESS_SALE_PENDING → DISTRESS_MICROCONTRACT_LOCKED → DISTRESS_SALE_COMPLETED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5.7.4 MicroUSTN Example</w:t>
      </w:r>
    </w:p>
    <w:p>
      <w:pPr>
        <w:spacing w:after="80" w:line="293" w:lineRule="auto"/>
        <w:jc w:val="left"/>
      </w:pPr>
      <w:r>
        <w:rPr>
          <w:rFonts w:ascii="Times New Roman" w:hAnsi="Times New Roman" w:cs="Times New Roman"/>
          <w:b w:val="0"/>
          <w:i w:val="0"/>
          <w:sz w:val="22"/>
        </w:rPr>
        <w:t>Distressed Declaration:</w:t>
      </w:r>
    </w:p>
    <w:p>
      <w:pPr>
        <w:spacing w:after="80" w:line="293" w:lineRule="auto"/>
        <w:ind w:left="283"/>
        <w:jc w:val="left"/>
      </w:pPr>
      <w:r>
        <w:rPr>
          <w:rFonts w:ascii="Times New Roman" w:hAnsi="Times New Roman" w:cs="Times New Roman"/>
          <w:b w:val="0"/>
          <w:i w:val="0"/>
          <w:sz w:val="22"/>
        </w:rPr>
        <w:t>- Seller declares distress on 3 pallets of lemons (384 kg).</w:t>
      </w:r>
    </w:p>
    <w:p>
      <w:pPr>
        <w:spacing w:after="80" w:line="293" w:lineRule="auto"/>
        <w:ind w:left="283"/>
        <w:jc w:val="left"/>
      </w:pPr>
      <w:r>
        <w:rPr>
          <w:rFonts w:ascii="Times New Roman" w:hAnsi="Times New Roman" w:cs="Times New Roman"/>
          <w:b w:val="0"/>
          <w:i w:val="0"/>
          <w:sz w:val="22"/>
        </w:rPr>
        <w:t>- Original USTN: SGTX-EG-26-F3A-15.</w:t>
      </w:r>
    </w:p>
    <w:p>
      <w:pPr>
        <w:spacing w:after="80" w:line="293" w:lineRule="auto"/>
        <w:ind w:left="283"/>
        <w:jc w:val="left"/>
      </w:pPr>
      <w:r>
        <w:rPr>
          <w:rFonts w:ascii="Times New Roman" w:hAnsi="Times New Roman" w:cs="Times New Roman"/>
          <w:b w:val="0"/>
          <w:i w:val="0"/>
          <w:sz w:val="22"/>
        </w:rPr>
        <w:t>- MicroUSTN: SGTX-EG-26-F3A-26.</w:t>
      </w:r>
    </w:p>
    <w:p>
      <w:pPr>
        <w:spacing w:after="80" w:line="293" w:lineRule="auto"/>
        <w:ind w:left="283"/>
        <w:jc w:val="left"/>
      </w:pPr>
      <w:r>
        <w:rPr>
          <w:rFonts w:ascii="Times New Roman" w:hAnsi="Times New Roman" w:cs="Times New Roman"/>
          <w:b w:val="0"/>
          <w:i w:val="0"/>
          <w:sz w:val="22"/>
        </w:rPr>
        <w:t>- Parent Link: `micro_contracts.parent_ustn = SGTX-EG-26-F3A-15`.</w:t>
      </w:r>
    </w:p>
    <w:p>
      <w:pPr>
        <w:spacing w:after="80" w:line="293" w:lineRule="auto"/>
        <w:jc w:val="left"/>
      </w:pPr>
      <w:r>
        <w:rPr>
          <w:rFonts w:ascii="Times New Roman" w:hAnsi="Times New Roman" w:cs="Times New Roman"/>
          <w:b w:val="0"/>
          <w:i w:val="0"/>
          <w:sz w:val="22"/>
        </w:rPr>
        <w:t>Distressed Fee Calculation:</w:t>
      </w:r>
    </w:p>
    <w:p>
      <w:pPr>
        <w:spacing w:after="0" w:before="0" w:line="240" w:lineRule="auto"/>
        <w:ind w:left="57"/>
        <w:jc w:val="left"/>
        <w:shd w:val="clear" w:fill="F2F2F2"/>
      </w:pPr>
      <w:r>
        <w:rPr>
          <w:rFonts w:ascii="Consolas" w:hAnsi="Consolas" w:cs="Consolas"/>
          <w:b w:val="0"/>
          <w:i w:val="0"/>
          <w:sz w:val="15"/>
        </w:rPr>
        <w:t>Original trade effective rate = 0.144% (engine-determined)</w:t>
      </w:r>
    </w:p>
    <w:p>
      <w:pPr>
        <w:spacing w:after="0" w:before="0" w:line="240" w:lineRule="auto"/>
        <w:ind w:left="57"/>
        <w:jc w:val="left"/>
        <w:shd w:val="clear" w:fill="F2F2F2"/>
      </w:pPr>
      <w:r>
        <w:rPr>
          <w:rFonts w:ascii="Consolas" w:hAnsi="Consolas" w:cs="Consolas"/>
          <w:b w:val="0"/>
          <w:i w:val="0"/>
          <w:sz w:val="15"/>
        </w:rPr>
        <w:t>Jurisdiction factor (UAE)</w:t>
      </w:r>
    </w:p>
    <w:p>
      <w:pPr>
        <w:spacing w:after="0" w:before="0" w:line="240" w:lineRule="auto"/>
        <w:ind w:left="57"/>
        <w:jc w:val="left"/>
        <w:shd w:val="clear" w:fill="F2F2F2"/>
      </w:pPr>
      <w:r>
        <w:rPr>
          <w:rFonts w:ascii="Consolas" w:hAnsi="Consolas" w:cs="Consolas"/>
          <w:b w:val="0"/>
          <w:i w:val="0"/>
          <w:sz w:val="15"/>
        </w:rPr>
        <w:t>Distressed sale CFB</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Distressed Fee = 0.144% × 0.85 × $900 = $1.10 (subject to the micro-trade policy, Section 9.27.21)</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5.7.5 MicroUSTN Database Schema</w:t>
      </w:r>
    </w:p>
    <w:p>
      <w:pPr>
        <w:spacing w:after="0" w:before="0" w:line="240" w:lineRule="auto"/>
        <w:ind w:left="57"/>
        <w:jc w:val="left"/>
        <w:shd w:val="clear" w:fill="F2F2F2"/>
      </w:pPr>
      <w:r>
        <w:rPr>
          <w:rFonts w:ascii="Consolas" w:hAnsi="Consolas" w:cs="Consolas"/>
          <w:b w:val="0"/>
          <w:i w:val="0"/>
          <w:sz w:val="15"/>
        </w:rPr>
        <w:t>-- Micro-contracts (distressed)</w:t>
      </w:r>
    </w:p>
    <w:p>
      <w:pPr>
        <w:spacing w:after="0" w:before="0" w:line="240" w:lineRule="auto"/>
        <w:ind w:left="57"/>
        <w:jc w:val="left"/>
        <w:shd w:val="clear" w:fill="F2F2F2"/>
      </w:pPr>
      <w:r>
        <w:rPr>
          <w:rFonts w:ascii="Consolas" w:hAnsi="Consolas" w:cs="Consolas"/>
          <w:b w:val="0"/>
          <w:i w:val="0"/>
          <w:sz w:val="15"/>
        </w:rPr>
        <w:t>-- micro_contracts: canonical definition in Section 17.15;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idx_micro_contracts_ustn ON micro_contracts(micro_ustn);</w:t>
      </w:r>
    </w:p>
    <w:p>
      <w:pPr>
        <w:spacing w:after="0" w:before="0" w:line="240" w:lineRule="auto"/>
        <w:ind w:left="57"/>
        <w:jc w:val="left"/>
        <w:shd w:val="clear" w:fill="F2F2F2"/>
      </w:pPr>
      <w:r>
        <w:rPr>
          <w:rFonts w:ascii="Consolas" w:hAnsi="Consolas" w:cs="Consolas"/>
          <w:b w:val="0"/>
          <w:i w:val="0"/>
          <w:sz w:val="15"/>
        </w:rPr>
        <w:t>CREATE INDEX idx_micro_contracts_parent ON micro_contracts(parent_ustn);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5.7.6 Implementation Checklist (Section 5.7)</w:t>
      </w:r>
    </w:p>
    <w:p>
      <w:pPr>
        <w:spacing w:after="80" w:line="293" w:lineRule="auto"/>
        <w:ind w:left="283"/>
        <w:jc w:val="left"/>
      </w:pPr>
      <w:r>
        <w:rPr>
          <w:rFonts w:ascii="Times New Roman" w:hAnsi="Times New Roman" w:cs="Times New Roman"/>
          <w:b w:val="0"/>
          <w:i w:val="0"/>
          <w:sz w:val="22"/>
        </w:rPr>
        <w:t>- Implement MicroUSTN generation with parent_ustn linking.</w:t>
      </w:r>
    </w:p>
    <w:p>
      <w:pPr>
        <w:spacing w:after="80" w:line="293" w:lineRule="auto"/>
        <w:ind w:left="283"/>
        <w:jc w:val="left"/>
      </w:pPr>
      <w:r>
        <w:rPr>
          <w:rFonts w:ascii="Times New Roman" w:hAnsi="Times New Roman" w:cs="Times New Roman"/>
          <w:b w:val="0"/>
          <w:i w:val="0"/>
          <w:sz w:val="22"/>
        </w:rPr>
        <w:t>- Implement the distressed lifecycle (DISTRESS_SALE_PENDING → DISTRESS_MICROCONTRACT_LOCKED → DISTRESS_SALE_COMPLETED).</w:t>
      </w:r>
    </w:p>
    <w:p>
      <w:pPr>
        <w:spacing w:after="80" w:line="293" w:lineRule="auto"/>
        <w:ind w:left="283"/>
        <w:jc w:val="left"/>
      </w:pPr>
      <w:r>
        <w:rPr>
          <w:rFonts w:ascii="Times New Roman" w:hAnsi="Times New Roman" w:cs="Times New Roman"/>
          <w:b w:val="0"/>
          <w:i w:val="0"/>
          <w:sz w:val="22"/>
        </w:rPr>
        <w:t>- Copy original documents with redacted pricing where confidential.</w:t>
      </w:r>
    </w:p>
    <w:p>
      <w:pPr>
        <w:spacing w:after="80" w:line="293" w:lineRule="auto"/>
        <w:ind w:left="283"/>
        <w:jc w:val="left"/>
      </w:pPr>
      <w:r>
        <w:rPr>
          <w:rFonts w:ascii="Times New Roman" w:hAnsi="Times New Roman" w:cs="Times New Roman"/>
          <w:b w:val="0"/>
          <w:i w:val="0"/>
          <w:sz w:val="22"/>
        </w:rPr>
        <w:t>- Calculate and collect the distressed fee (engine-determined rate × jurisdiction factor, Section 9.27).</w:t>
      </w:r>
    </w:p>
    <w:p>
      <w:pPr>
        <w:spacing w:after="80" w:line="293" w:lineRule="auto"/>
        <w:ind w:left="283"/>
        <w:jc w:val="left"/>
      </w:pPr>
      <w:r>
        <w:rPr>
          <w:rFonts w:ascii="Times New Roman" w:hAnsi="Times New Roman" w:cs="Times New Roman"/>
          <w:b w:val="0"/>
          <w:i w:val="0"/>
          <w:sz w:val="22"/>
        </w:rPr>
        <w:t>- Governor-gate the micro-contract lock with Loom logging.</w:t>
      </w:r>
    </w:p>
    <w:p>
      <w:pPr>
        <w:keepNext/>
        <w:spacing w:before="240" w:after="100"/>
        <w:outlineLvl w:val="1"/>
      </w:pPr>
      <w:r>
        <w:rPr>
          <w:rFonts w:ascii="Arial" w:hAnsi="Arial" w:cs="Arial"/>
          <w:b/>
          <w:i w:val="0"/>
          <w:color w:val="2E528F"/>
          <w:sz w:val="26"/>
        </w:rPr>
        <w:t>5.8 USTN in API Calls (Mandatory Reference)</w:t>
      </w:r>
    </w:p>
    <w:p>
      <w:pPr>
        <w:keepNext/>
        <w:spacing w:before="180" w:after="80"/>
        <w:outlineLvl w:val="2"/>
      </w:pPr>
      <w:r>
        <w:rPr>
          <w:rFonts w:ascii="Arial" w:hAnsi="Arial" w:cs="Arial"/>
          <w:b/>
          <w:i w:val="0"/>
          <w:color w:val="333333"/>
          <w:sz w:val="23"/>
        </w:rPr>
        <w:t>5.8.1 Purpose &amp; Design Philosophy</w:t>
      </w:r>
    </w:p>
    <w:p>
      <w:pPr>
        <w:spacing w:after="80" w:line="293" w:lineRule="auto"/>
        <w:jc w:val="left"/>
      </w:pPr>
      <w:r>
        <w:rPr>
          <w:rFonts w:ascii="Times New Roman" w:hAnsi="Times New Roman" w:cs="Times New Roman"/>
          <w:b w:val="0"/>
          <w:i w:val="0"/>
          <w:sz w:val="22"/>
        </w:rPr>
        <w:t>All SGTX API calls that create or modify trade-related entities must include the USTN (or MicroUSTN) in the request body or as a query parameter. This ensures that every action is traceable to a specific shipment.</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Mandatory Reference — every API call must include the USTN.</w:t>
      </w:r>
    </w:p>
    <w:p>
      <w:pPr>
        <w:spacing w:after="80" w:line="293" w:lineRule="auto"/>
        <w:ind w:left="283"/>
        <w:jc w:val="left"/>
      </w:pPr>
      <w:r>
        <w:rPr>
          <w:rFonts w:ascii="Times New Roman" w:hAnsi="Times New Roman" w:cs="Times New Roman"/>
          <w:b w:val="0"/>
          <w:i w:val="0"/>
          <w:sz w:val="22"/>
        </w:rPr>
        <w:t>- Validation — the USTN is validated for format and existence.</w:t>
      </w:r>
    </w:p>
    <w:p>
      <w:pPr>
        <w:spacing w:after="80" w:line="293" w:lineRule="auto"/>
        <w:ind w:left="283"/>
        <w:jc w:val="left"/>
      </w:pPr>
      <w:r>
        <w:rPr>
          <w:rFonts w:ascii="Times New Roman" w:hAnsi="Times New Roman" w:cs="Times New Roman"/>
          <w:b w:val="0"/>
          <w:i w:val="0"/>
          <w:sz w:val="22"/>
        </w:rPr>
        <w:t>- Auditable — every API call is logged with the USTN reference.</w:t>
      </w:r>
    </w:p>
    <w:p>
      <w:pPr>
        <w:keepNext/>
        <w:spacing w:before="180" w:after="80"/>
        <w:outlineLvl w:val="2"/>
      </w:pPr>
      <w:r>
        <w:rPr>
          <w:rFonts w:ascii="Arial" w:hAnsi="Arial" w:cs="Arial"/>
          <w:b/>
          <w:i w:val="0"/>
          <w:color w:val="333333"/>
          <w:sz w:val="23"/>
        </w:rPr>
        <w:t>5.8.2 API Endpoints with USTN</w:t>
      </w:r>
    </w:p>
    <w:p>
      <w:pPr>
        <w:spacing w:after="80" w:line="293" w:lineRule="auto"/>
        <w:jc w:val="left"/>
      </w:pPr>
      <w:r>
        <w:rPr>
          <w:rFonts w:ascii="Times New Roman" w:hAnsi="Times New Roman" w:cs="Times New Roman"/>
          <w:b w:val="0"/>
          <w:i w:val="0"/>
          <w:sz w:val="22"/>
        </w:rPr>
        <w:t>Representative API calls requiring USTN reference:</w:t>
      </w:r>
    </w:p>
    <w:p>
      <w:pPr>
        <w:spacing w:after="80" w:line="293" w:lineRule="auto"/>
        <w:ind w:left="283"/>
        <w:jc w:val="left"/>
      </w:pPr>
      <w:r>
        <w:rPr>
          <w:rFonts w:ascii="Times New Roman" w:hAnsi="Times New Roman" w:cs="Times New Roman"/>
          <w:b w:val="0"/>
          <w:i w:val="0"/>
          <w:sz w:val="22"/>
        </w:rPr>
        <w:t>- `POST /v1/quote/submit` — quote submission (ustn in request body)</w:t>
      </w:r>
    </w:p>
    <w:p>
      <w:pPr>
        <w:spacing w:after="80" w:line="293" w:lineRule="auto"/>
        <w:ind w:left="283"/>
        <w:jc w:val="left"/>
      </w:pPr>
      <w:r>
        <w:rPr>
          <w:rFonts w:ascii="Times New Roman" w:hAnsi="Times New Roman" w:cs="Times New Roman"/>
          <w:b w:val="0"/>
          <w:i w:val="0"/>
          <w:sz w:val="22"/>
        </w:rPr>
        <w:t>- `POST /v1/contract/sign` — contract signing (ustn)</w:t>
      </w:r>
    </w:p>
    <w:p>
      <w:pPr>
        <w:spacing w:after="80" w:line="293" w:lineRule="auto"/>
        <w:ind w:left="283"/>
        <w:jc w:val="left"/>
      </w:pPr>
      <w:r>
        <w:rPr>
          <w:rFonts w:ascii="Times New Roman" w:hAnsi="Times New Roman" w:cs="Times New Roman"/>
          <w:b w:val="0"/>
          <w:i w:val="0"/>
          <w:sz w:val="22"/>
        </w:rPr>
        <w:t>- `POST /v1/shipment/milestone` — milestone confirmation (ustn)</w:t>
      </w:r>
    </w:p>
    <w:p>
      <w:pPr>
        <w:spacing w:after="80" w:line="293" w:lineRule="auto"/>
        <w:ind w:left="283"/>
        <w:jc w:val="left"/>
      </w:pPr>
      <w:r>
        <w:rPr>
          <w:rFonts w:ascii="Times New Roman" w:hAnsi="Times New Roman" w:cs="Times New Roman"/>
          <w:b w:val="0"/>
          <w:i w:val="0"/>
          <w:sz w:val="22"/>
        </w:rPr>
        <w:t>- `POST /v1/documents/upload` — document upload (ustn)</w:t>
      </w:r>
    </w:p>
    <w:p>
      <w:pPr>
        <w:spacing w:after="80" w:line="293" w:lineRule="auto"/>
        <w:ind w:left="283"/>
        <w:jc w:val="left"/>
      </w:pPr>
      <w:r>
        <w:rPr>
          <w:rFonts w:ascii="Times New Roman" w:hAnsi="Times New Roman" w:cs="Times New Roman"/>
          <w:b w:val="0"/>
          <w:i w:val="0"/>
          <w:sz w:val="22"/>
        </w:rPr>
        <w:t>- `POST /v1/settlement/approve` — settlement approval (ustn)</w:t>
      </w:r>
    </w:p>
    <w:p>
      <w:pPr>
        <w:spacing w:after="80" w:line="293" w:lineRule="auto"/>
        <w:ind w:left="283"/>
        <w:jc w:val="left"/>
      </w:pPr>
      <w:r>
        <w:rPr>
          <w:rFonts w:ascii="Times New Roman" w:hAnsi="Times New Roman" w:cs="Times New Roman"/>
          <w:b w:val="0"/>
          <w:i w:val="0"/>
          <w:sz w:val="22"/>
        </w:rPr>
        <w:t>- `POST /v1/customs/declaration` — customs declaration reference (ustn)</w:t>
      </w:r>
    </w:p>
    <w:p>
      <w:pPr>
        <w:spacing w:after="80" w:line="293" w:lineRule="auto"/>
        <w:ind w:left="283"/>
        <w:jc w:val="left"/>
      </w:pPr>
      <w:r>
        <w:rPr>
          <w:rFonts w:ascii="Times New Roman" w:hAnsi="Times New Roman" w:cs="Times New Roman"/>
          <w:b w:val="0"/>
          <w:i w:val="0"/>
          <w:sz w:val="22"/>
        </w:rPr>
        <w:t>- `POST /v1/financing/request` — financing request (ustn)</w:t>
      </w:r>
    </w:p>
    <w:p>
      <w:pPr>
        <w:spacing w:after="80" w:line="293" w:lineRule="auto"/>
        <w:ind w:left="283"/>
        <w:jc w:val="left"/>
      </w:pPr>
      <w:r>
        <w:rPr>
          <w:rFonts w:ascii="Times New Roman" w:hAnsi="Times New Roman" w:cs="Times New Roman"/>
          <w:b w:val="0"/>
          <w:i w:val="0"/>
          <w:sz w:val="22"/>
        </w:rPr>
        <w:t>- `POST /v1/dispute/file` — dispute filing (ustn)</w:t>
      </w:r>
    </w:p>
    <w:p>
      <w:pPr>
        <w:spacing w:after="80" w:line="293" w:lineRule="auto"/>
        <w:ind w:left="283"/>
        <w:jc w:val="left"/>
      </w:pPr>
      <w:r>
        <w:rPr>
          <w:rFonts w:ascii="Times New Roman" w:hAnsi="Times New Roman" w:cs="Times New Roman"/>
          <w:b w:val="0"/>
          <w:i w:val="0"/>
          <w:sz w:val="22"/>
        </w:rPr>
        <w:t>- `POST /v1/distressed/declare` — distressed cargo declaration (ustn)</w:t>
      </w:r>
    </w:p>
    <w:p>
      <w:pPr>
        <w:spacing w:after="80" w:line="293" w:lineRule="auto"/>
        <w:ind w:left="283"/>
        <w:jc w:val="left"/>
      </w:pPr>
      <w:r>
        <w:rPr>
          <w:rFonts w:ascii="Times New Roman" w:hAnsi="Times New Roman" w:cs="Times New Roman"/>
          <w:b w:val="0"/>
          <w:i w:val="0"/>
          <w:sz w:val="22"/>
        </w:rPr>
        <w:t>- `POST /v1/verification/token` — public verification token issuance (ustn)</w:t>
      </w:r>
    </w:p>
    <w:p>
      <w:pPr>
        <w:keepNext/>
        <w:spacing w:before="180" w:after="80"/>
        <w:outlineLvl w:val="2"/>
      </w:pPr>
      <w:r>
        <w:rPr>
          <w:rFonts w:ascii="Arial" w:hAnsi="Arial" w:cs="Arial"/>
          <w:b/>
          <w:i w:val="0"/>
          <w:color w:val="333333"/>
          <w:sz w:val="23"/>
        </w:rPr>
        <w:t>5.8.3 USTN Validation in API Calls</w:t>
      </w:r>
    </w:p>
    <w:p>
      <w:pPr>
        <w:spacing w:after="80" w:line="293" w:lineRule="auto"/>
        <w:jc w:val="left"/>
      </w:pPr>
      <w:r>
        <w:rPr>
          <w:rFonts w:ascii="Times New Roman" w:hAnsi="Times New Roman" w:cs="Times New Roman"/>
          <w:b w:val="0"/>
          <w:i w:val="0"/>
          <w:sz w:val="22"/>
        </w:rPr>
        <w:t>Validation Logic:</w:t>
      </w:r>
    </w:p>
    <w:p>
      <w:pPr>
        <w:spacing w:after="0" w:before="0" w:line="240" w:lineRule="auto"/>
        <w:ind w:left="57"/>
        <w:jc w:val="left"/>
        <w:shd w:val="clear" w:fill="F2F2F2"/>
      </w:pPr>
      <w:r>
        <w:rPr>
          <w:rFonts w:ascii="Consolas" w:hAnsi="Consolas" w:cs="Consolas"/>
          <w:b w:val="0"/>
          <w:i w:val="0"/>
          <w:sz w:val="15"/>
        </w:rPr>
        <w:t>async fn validate_ustn_in_request(</w:t>
      </w:r>
    </w:p>
    <w:p>
      <w:pPr>
        <w:spacing w:after="0" w:before="0" w:line="240" w:lineRule="auto"/>
        <w:ind w:left="57"/>
        <w:jc w:val="left"/>
        <w:shd w:val="clear" w:fill="F2F2F2"/>
      </w:pPr>
      <w:r>
        <w:rPr>
          <w:rFonts w:ascii="Consolas" w:hAnsi="Consolas" w:cs="Consolas"/>
          <w:b w:val="0"/>
          <w:i w:val="0"/>
          <w:sz w:val="15"/>
        </w:rPr>
        <w:t xml:space="preserve">    pool: &amp;PgPool,</w:t>
      </w:r>
    </w:p>
    <w:p>
      <w:pPr>
        <w:spacing w:after="0" w:before="0" w:line="240" w:lineRule="auto"/>
        <w:ind w:left="57"/>
        <w:jc w:val="left"/>
        <w:shd w:val="clear" w:fill="F2F2F2"/>
      </w:pPr>
      <w:r>
        <w:rPr>
          <w:rFonts w:ascii="Consolas" w:hAnsi="Consolas" w:cs="Consolas"/>
          <w:b w:val="0"/>
          <w:i w:val="0"/>
          <w:sz w:val="15"/>
        </w:rPr>
        <w:t xml:space="preserve">    ustn: &amp;str,</w:t>
      </w:r>
    </w:p>
    <w:p>
      <w:pPr>
        <w:spacing w:after="0" w:before="0" w:line="240" w:lineRule="auto"/>
        <w:ind w:left="57"/>
        <w:jc w:val="left"/>
        <w:shd w:val="clear" w:fill="F2F2F2"/>
      </w:pPr>
      <w:r>
        <w:rPr>
          <w:rFonts w:ascii="Consolas" w:hAnsi="Consolas" w:cs="Consolas"/>
          <w:b w:val="0"/>
          <w:i w:val="0"/>
          <w:sz w:val="15"/>
        </w:rPr>
        <w:t xml:space="preserve">    action: &amp;str,</w:t>
      </w:r>
    </w:p>
    <w:p>
      <w:pPr>
        <w:spacing w:after="0" w:before="0" w:line="240" w:lineRule="auto"/>
        <w:ind w:left="57"/>
        <w:jc w:val="left"/>
        <w:shd w:val="clear" w:fill="F2F2F2"/>
      </w:pPr>
      <w:r>
        <w:rPr>
          <w:rFonts w:ascii="Consolas" w:hAnsi="Consolas" w:cs="Consolas"/>
          <w:b w:val="0"/>
          <w:i w:val="0"/>
          <w:sz w:val="15"/>
        </w:rPr>
        <w:t>) -&gt; Result&lt;(), String&gt; {</w:t>
      </w:r>
    </w:p>
    <w:p>
      <w:pPr>
        <w:spacing w:after="0" w:before="0" w:line="240" w:lineRule="auto"/>
        <w:ind w:left="57"/>
        <w:jc w:val="left"/>
        <w:shd w:val="clear" w:fill="F2F2F2"/>
      </w:pPr>
      <w:r>
        <w:rPr>
          <w:rFonts w:ascii="Consolas" w:hAnsi="Consolas" w:cs="Consolas"/>
          <w:b w:val="0"/>
          <w:i w:val="0"/>
          <w:sz w:val="15"/>
        </w:rPr>
        <w:t xml:space="preserve">    // 1. Validate USTN format</w:t>
      </w:r>
    </w:p>
    <w:p>
      <w:pPr>
        <w:spacing w:after="0" w:before="0" w:line="240" w:lineRule="auto"/>
        <w:ind w:left="57"/>
        <w:jc w:val="left"/>
        <w:shd w:val="clear" w:fill="F2F2F2"/>
      </w:pPr>
      <w:r>
        <w:rPr>
          <w:rFonts w:ascii="Consolas" w:hAnsi="Consolas" w:cs="Consolas"/>
          <w:b w:val="0"/>
          <w:i w:val="0"/>
          <w:sz w:val="15"/>
        </w:rPr>
        <w:t xml:space="preserve">    if !is_valid_ustn_format(ustn) {</w:t>
      </w:r>
    </w:p>
    <w:p>
      <w:pPr>
        <w:spacing w:after="0" w:before="0" w:line="240" w:lineRule="auto"/>
        <w:ind w:left="57"/>
        <w:jc w:val="left"/>
        <w:shd w:val="clear" w:fill="F2F2F2"/>
      </w:pPr>
      <w:r>
        <w:rPr>
          <w:rFonts w:ascii="Consolas" w:hAnsi="Consolas" w:cs="Consolas"/>
          <w:b w:val="0"/>
          <w:i w:val="0"/>
          <w:sz w:val="15"/>
        </w:rPr>
        <w:t xml:space="preserve">        return Err("Invalid USTN format. Expected SGTX-{COUNTRY}-{YEAR}-{TRADER}-{SEQ}".into());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Check if USTN exists</w:t>
      </w:r>
    </w:p>
    <w:p>
      <w:pPr>
        <w:spacing w:after="0" w:before="0" w:line="240" w:lineRule="auto"/>
        <w:ind w:left="57"/>
        <w:jc w:val="left"/>
        <w:shd w:val="clear" w:fill="F2F2F2"/>
      </w:pPr>
      <w:r>
        <w:rPr>
          <w:rFonts w:ascii="Consolas" w:hAnsi="Consolas" w:cs="Consolas"/>
          <w:b w:val="0"/>
          <w:i w:val="0"/>
          <w:sz w:val="15"/>
        </w:rPr>
        <w:t xml:space="preserve">    let exists = sqlx::query!("SELECT 1 FROM shipments WHERE ustn = $1", ustn)</w:t>
      </w:r>
    </w:p>
    <w:p>
      <w:pPr>
        <w:spacing w:after="0" w:before="0" w:line="240" w:lineRule="auto"/>
        <w:ind w:left="57"/>
        <w:jc w:val="left"/>
        <w:shd w:val="clear" w:fill="F2F2F2"/>
      </w:pPr>
      <w:r>
        <w:rPr>
          <w:rFonts w:ascii="Consolas" w:hAnsi="Consolas" w:cs="Consolas"/>
          <w:b w:val="0"/>
          <w:i w:val="0"/>
          <w:sz w:val="15"/>
        </w:rPr>
        <w:t xml:space="preserve">        .fetch_optional(pool)</w:t>
      </w:r>
    </w:p>
    <w:p>
      <w:pPr>
        <w:spacing w:after="0" w:before="0" w:line="240" w:lineRule="auto"/>
        <w:ind w:left="57"/>
        <w:jc w:val="left"/>
        <w:shd w:val="clear" w:fill="F2F2F2"/>
      </w:pPr>
      <w:r>
        <w:rPr>
          <w:rFonts w:ascii="Consolas" w:hAnsi="Consolas" w:cs="Consolas"/>
          <w:b w:val="0"/>
          <w:i w:val="0"/>
          <w:sz w:val="15"/>
        </w:rPr>
        <w:t xml:space="preserve">        .await?</w:t>
      </w:r>
    </w:p>
    <w:p>
      <w:pPr>
        <w:spacing w:after="0" w:before="0" w:line="240" w:lineRule="auto"/>
        <w:ind w:left="57"/>
        <w:jc w:val="left"/>
        <w:shd w:val="clear" w:fill="F2F2F2"/>
      </w:pPr>
      <w:r>
        <w:rPr>
          <w:rFonts w:ascii="Consolas" w:hAnsi="Consolas" w:cs="Consolas"/>
          <w:b w:val="0"/>
          <w:i w:val="0"/>
          <w:sz w:val="15"/>
        </w:rPr>
        <w:t xml:space="preserve">        .is_some();</w:t>
      </w:r>
    </w:p>
    <w:p>
      <w:pPr>
        <w:spacing w:after="0" w:before="0" w:line="240" w:lineRule="auto"/>
        <w:ind w:left="57"/>
        <w:jc w:val="left"/>
        <w:shd w:val="clear" w:fill="F2F2F2"/>
      </w:pPr>
      <w:r>
        <w:rPr>
          <w:rFonts w:ascii="Consolas" w:hAnsi="Consolas" w:cs="Consolas"/>
          <w:b w:val="0"/>
          <w:i w:val="0"/>
          <w:sz w:val="15"/>
        </w:rPr>
        <w:t xml:space="preserve">    if !exists {</w:t>
      </w:r>
    </w:p>
    <w:p>
      <w:pPr>
        <w:spacing w:after="0" w:before="0" w:line="240" w:lineRule="auto"/>
        <w:ind w:left="57"/>
        <w:jc w:val="left"/>
        <w:shd w:val="clear" w:fill="F2F2F2"/>
      </w:pPr>
      <w:r>
        <w:rPr>
          <w:rFonts w:ascii="Consolas" w:hAnsi="Consolas" w:cs="Consolas"/>
          <w:b w:val="0"/>
          <w:i w:val="0"/>
          <w:sz w:val="15"/>
        </w:rPr>
        <w:t xml:space="preserve">        return Err(format!("USTN '{}' not found in database", 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if action is allowed for current status</w:t>
      </w:r>
    </w:p>
    <w:p>
      <w:pPr>
        <w:spacing w:after="0" w:before="0" w:line="240" w:lineRule="auto"/>
        <w:ind w:left="57"/>
        <w:jc w:val="left"/>
        <w:shd w:val="clear" w:fill="F2F2F2"/>
      </w:pPr>
      <w:r>
        <w:rPr>
          <w:rFonts w:ascii="Consolas" w:hAnsi="Consolas" w:cs="Consolas"/>
          <w:b w:val="0"/>
          <w:i w:val="0"/>
          <w:sz w:val="15"/>
        </w:rPr>
        <w:t xml:space="preserve">    //    (Governor handles this)</w:t>
      </w:r>
    </w:p>
    <w:p>
      <w:pPr>
        <w:spacing w:after="0" w:before="0" w:line="240" w:lineRule="auto"/>
        <w:ind w:left="57"/>
        <w:jc w:val="left"/>
        <w:shd w:val="clear" w:fill="F2F2F2"/>
      </w:pPr>
      <w:r>
        <w:rPr>
          <w:rFonts w:ascii="Consolas" w:hAnsi="Consolas" w:cs="Consolas"/>
          <w:b w:val="0"/>
          <w:i w:val="0"/>
          <w:sz w:val="15"/>
        </w:rPr>
        <w:t xml:space="preserve">    Ok(())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Error Response (Missing USTN):</w:t>
      </w:r>
    </w:p>
    <w:p>
      <w:pPr>
        <w:spacing w:after="0" w:before="0" w:line="240" w:lineRule="auto"/>
        <w:ind w:left="57"/>
        <w:jc w:val="left"/>
        <w:shd w:val="clear" w:fill="F2F2F2"/>
      </w:pPr>
      <w:r>
        <w:rPr>
          <w:rFonts w:ascii="Consolas" w:hAnsi="Consolas" w:cs="Consolas"/>
          <w:b w:val="0"/>
          <w:i w:val="0"/>
          <w:sz w:val="15"/>
        </w:rPr>
        <w:t>HTTP/1.1 400 Bad Request</w:t>
      </w:r>
    </w:p>
    <w:p>
      <w:pPr>
        <w:spacing w:after="0" w:before="0" w:line="240" w:lineRule="auto"/>
        <w:ind w:left="57"/>
        <w:jc w:val="left"/>
        <w:shd w:val="clear" w:fill="F2F2F2"/>
      </w:pPr>
      <w:r>
        <w:rPr>
          <w:rFonts w:ascii="Consolas" w:hAnsi="Consolas" w:cs="Consolas"/>
          <w:b w:val="0"/>
          <w:i w:val="0"/>
          <w:sz w:val="15"/>
        </w:rPr>
        <w:t>Content-Type: application/json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"error": "Missing USTN parameter",</w:t>
      </w:r>
    </w:p>
    <w:p>
      <w:pPr>
        <w:spacing w:after="0" w:before="0" w:line="240" w:lineRule="auto"/>
        <w:ind w:left="57"/>
        <w:jc w:val="left"/>
        <w:shd w:val="clear" w:fill="F2F2F2"/>
      </w:pPr>
      <w:r>
        <w:rPr>
          <w:rFonts w:ascii="Consolas" w:hAnsi="Consolas" w:cs="Consolas"/>
          <w:b w:val="0"/>
          <w:i w:val="0"/>
          <w:sz w:val="15"/>
        </w:rPr>
        <w:t xml:space="preserve">    "message": "Missing USTN parameter. Every trade action must reference its shipment identifier.",</w:t>
      </w:r>
    </w:p>
    <w:p>
      <w:pPr>
        <w:spacing w:after="0" w:before="0" w:line="240" w:lineRule="auto"/>
        <w:ind w:left="57"/>
        <w:jc w:val="left"/>
        <w:shd w:val="clear" w:fill="F2F2F2"/>
      </w:pPr>
      <w:r>
        <w:rPr>
          <w:rFonts w:ascii="Consolas" w:hAnsi="Consolas" w:cs="Consolas"/>
          <w:b w:val="0"/>
          <w:i w:val="0"/>
          <w:sz w:val="15"/>
        </w:rPr>
        <w:t xml:space="preserve">    "help": "Please add 'ustn' field to your request body."</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If an API call omits the USTN where required, the Governor returns a 400 error with a plain-language message: "Missing USTN parameter. Every trade action must reference its shipment identifier."</w:t>
      </w:r>
    </w:p>
    <w:p>
      <w:pPr>
        <w:keepNext/>
        <w:spacing w:before="180" w:after="80"/>
        <w:outlineLvl w:val="2"/>
      </w:pPr>
      <w:r>
        <w:rPr>
          <w:rFonts w:ascii="Arial" w:hAnsi="Arial" w:cs="Arial"/>
          <w:b/>
          <w:i w:val="0"/>
          <w:color w:val="333333"/>
          <w:sz w:val="23"/>
        </w:rPr>
        <w:t>5.8.4 Implementation Checklist (Section 5.8)</w:t>
      </w:r>
    </w:p>
    <w:p>
      <w:pPr>
        <w:spacing w:after="80" w:line="293" w:lineRule="auto"/>
        <w:ind w:left="283"/>
        <w:jc w:val="left"/>
      </w:pPr>
      <w:r>
        <w:rPr>
          <w:rFonts w:ascii="Times New Roman" w:hAnsi="Times New Roman" w:cs="Times New Roman"/>
          <w:b w:val="0"/>
          <w:i w:val="0"/>
          <w:sz w:val="22"/>
        </w:rPr>
        <w:t>- Add ustn field to all trade-related API request schemas.</w:t>
      </w:r>
    </w:p>
    <w:p>
      <w:pPr>
        <w:spacing w:after="80" w:line="293" w:lineRule="auto"/>
        <w:ind w:left="283"/>
        <w:jc w:val="left"/>
      </w:pPr>
      <w:r>
        <w:rPr>
          <w:rFonts w:ascii="Times New Roman" w:hAnsi="Times New Roman" w:cs="Times New Roman"/>
          <w:b w:val="0"/>
          <w:i w:val="0"/>
          <w:sz w:val="22"/>
        </w:rPr>
        <w:t>- Implement format + existence validation on every mutating endpoint.</w:t>
      </w:r>
    </w:p>
    <w:p>
      <w:pPr>
        <w:spacing w:after="80" w:line="293" w:lineRule="auto"/>
        <w:ind w:left="283"/>
        <w:jc w:val="left"/>
      </w:pPr>
      <w:r>
        <w:rPr>
          <w:rFonts w:ascii="Times New Roman" w:hAnsi="Times New Roman" w:cs="Times New Roman"/>
          <w:b w:val="0"/>
          <w:i w:val="0"/>
          <w:sz w:val="22"/>
        </w:rPr>
        <w:t>- Log every API call with USTN reference.</w:t>
      </w:r>
    </w:p>
    <w:p>
      <w:pPr>
        <w:spacing w:after="80" w:line="293" w:lineRule="auto"/>
        <w:ind w:left="283"/>
        <w:jc w:val="left"/>
      </w:pPr>
      <w:r>
        <w:rPr>
          <w:rFonts w:ascii="Times New Roman" w:hAnsi="Times New Roman" w:cs="Times New Roman"/>
          <w:b w:val="0"/>
          <w:i w:val="0"/>
          <w:sz w:val="22"/>
        </w:rPr>
        <w:t>- Return the 400 plain-language error for missing USTN.</w:t>
      </w:r>
    </w:p>
    <w:p>
      <w:pPr>
        <w:keepNext/>
        <w:spacing w:before="180" w:after="80"/>
        <w:outlineLvl w:val="2"/>
      </w:pPr>
      <w:r>
        <w:rPr>
          <w:rFonts w:ascii="Arial" w:hAnsi="Arial" w:cs="Arial"/>
          <w:b/>
          <w:i w:val="0"/>
          <w:color w:val="333333"/>
          <w:sz w:val="23"/>
        </w:rPr>
        <w:t>5.8.5 Phase-Aware API Validation (PRE-USTN / POST-USTN)</w:t>
      </w:r>
    </w:p>
    <w:p>
      <w:pPr>
        <w:spacing w:after="80" w:line="293" w:lineRule="auto"/>
        <w:jc w:val="left"/>
      </w:pPr>
      <w:r>
        <w:rPr>
          <w:rFonts w:ascii="Times New Roman" w:hAnsi="Times New Roman" w:cs="Times New Roman"/>
          <w:b w:val="0"/>
          <w:i w:val="0"/>
          <w:sz w:val="22"/>
        </w:rPr>
        <w:t>API validation is phase-aware with respect to trade identity. Every mutating endpoint is classified into exactly one of four canonical USTN-scope classes, and the classification is published in the API endpoint index (Section 18):</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Endpoint Class</w:t>
            </w:r>
          </w:p>
        </w:tc>
        <w:tc>
          <w:tcPr>
            <w:tcW w:type="dxa" w:w="3213"/>
            <w:shd w:val="clear" w:fill="D9E2F3"/>
          </w:tcPr>
          <w:p>
            <w:pPr>
              <w:spacing w:after="20" w:before="20" w:line="240" w:lineRule="auto"/>
            </w:pPr>
            <w:r/>
            <w:r>
              <w:rPr>
                <w:rFonts w:ascii="Arial" w:hAnsi="Arial" w:cs="Arial"/>
                <w:b/>
                <w:i w:val="0"/>
                <w:sz w:val="18"/>
              </w:rPr>
              <w:t>Identity Required</w:t>
            </w:r>
          </w:p>
        </w:tc>
        <w:tc>
          <w:tcPr>
            <w:tcW w:type="dxa" w:w="3213"/>
            <w:shd w:val="clear" w:fill="D9E2F3"/>
          </w:tcPr>
          <w:p>
            <w:pPr>
              <w:spacing w:after="20" w:before="20" w:line="240" w:lineRule="auto"/>
            </w:pPr>
            <w:r/>
            <w:r>
              <w:rPr>
                <w:rFonts w:ascii="Arial" w:hAnsi="Arial" w:cs="Arial"/>
                <w:b/>
                <w:i w:val="0"/>
                <w:sz w:val="18"/>
              </w:rPr>
              <w:t>Applicable Phase</w:t>
            </w:r>
          </w:p>
        </w:tc>
      </w:tr>
      <w:tr>
        <w:tc>
          <w:tcPr>
            <w:tcW w:type="dxa" w:w="3213"/>
          </w:tcPr>
          <w:p>
            <w:pPr>
              <w:spacing w:after="20" w:before="20" w:line="240" w:lineRule="auto"/>
            </w:pPr>
            <w:r/>
            <w:r>
              <w:rPr>
                <w:rFonts w:ascii="Arial" w:hAnsi="Arial" w:cs="Arial"/>
                <w:b w:val="0"/>
                <w:i w:val="0"/>
                <w:sz w:val="17"/>
              </w:rPr>
              <w:t>PRE_USTN</w:t>
            </w:r>
          </w:p>
        </w:tc>
        <w:tc>
          <w:tcPr>
            <w:tcW w:type="dxa" w:w="3213"/>
          </w:tcPr>
          <w:p>
            <w:pPr>
              <w:spacing w:after="20" w:before="20" w:line="240" w:lineRule="auto"/>
            </w:pPr>
            <w:r/>
            <w:r>
              <w:rPr>
                <w:rFonts w:ascii="Arial" w:hAnsi="Arial" w:cs="Arial"/>
                <w:b w:val="0"/>
                <w:i w:val="0"/>
                <w:sz w:val="17"/>
              </w:rPr>
              <w:t>request_uuid required; contract_id and shipment_id where applicable; USTN prohibited</w:t>
            </w:r>
          </w:p>
        </w:tc>
        <w:tc>
          <w:tcPr>
            <w:tcW w:type="dxa" w:w="3213"/>
          </w:tcPr>
          <w:p>
            <w:pPr>
              <w:spacing w:after="20" w:before="20" w:line="240" w:lineRule="auto"/>
            </w:pPr>
            <w:r/>
            <w:r>
              <w:rPr>
                <w:rFonts w:ascii="Arial" w:hAnsi="Arial" w:cs="Arial"/>
                <w:b w:val="0"/>
                <w:i w:val="0"/>
                <w:sz w:val="17"/>
              </w:rPr>
              <w:t>Trade request, quote, negotiation, contract formation, pre-lock mutation</w:t>
            </w:r>
          </w:p>
        </w:tc>
      </w:tr>
      <w:tr>
        <w:tc>
          <w:tcPr>
            <w:tcW w:type="dxa" w:w="3213"/>
          </w:tcPr>
          <w:p>
            <w:pPr>
              <w:spacing w:after="20" w:before="20" w:line="240" w:lineRule="auto"/>
            </w:pPr>
            <w:r/>
            <w:r>
              <w:rPr>
                <w:rFonts w:ascii="Arial" w:hAnsi="Arial" w:cs="Arial"/>
                <w:b w:val="0"/>
                <w:i w:val="0"/>
                <w:sz w:val="17"/>
              </w:rPr>
              <w:t>POST_USTN</w:t>
            </w:r>
          </w:p>
        </w:tc>
        <w:tc>
          <w:tcPr>
            <w:tcW w:type="dxa" w:w="3213"/>
          </w:tcPr>
          <w:p>
            <w:pPr>
              <w:spacing w:after="20" w:before="20" w:line="240" w:lineRule="auto"/>
            </w:pPr>
            <w:r/>
            <w:r>
              <w:rPr>
                <w:rFonts w:ascii="Arial" w:hAnsi="Arial" w:cs="Arial"/>
                <w:b w:val="0"/>
                <w:i w:val="0"/>
                <w:sz w:val="17"/>
              </w:rPr>
              <w:t>USTN required for all USTN-scoped mutations</w:t>
            </w:r>
          </w:p>
        </w:tc>
        <w:tc>
          <w:tcPr>
            <w:tcW w:type="dxa" w:w="3213"/>
          </w:tcPr>
          <w:p>
            <w:pPr>
              <w:spacing w:after="20" w:before="20" w:line="240" w:lineRule="auto"/>
            </w:pPr>
            <w:r/>
            <w:r>
              <w:rPr>
                <w:rFonts w:ascii="Arial" w:hAnsi="Arial" w:cs="Arial"/>
                <w:b w:val="0"/>
                <w:i w:val="0"/>
                <w:sz w:val="17"/>
              </w:rPr>
              <w:t>Execution, logistics, customs, documentation, settlement, financing, dispute, reconciliation, closure</w:t>
            </w:r>
          </w:p>
        </w:tc>
      </w:tr>
      <w:tr>
        <w:tc>
          <w:tcPr>
            <w:tcW w:type="dxa" w:w="3213"/>
          </w:tcPr>
          <w:p>
            <w:pPr>
              <w:spacing w:after="20" w:before="20" w:line="240" w:lineRule="auto"/>
            </w:pPr>
            <w:r/>
            <w:r>
              <w:rPr>
                <w:rFonts w:ascii="Arial" w:hAnsi="Arial" w:cs="Arial"/>
                <w:b w:val="0"/>
                <w:i w:val="0"/>
                <w:sz w:val="17"/>
              </w:rPr>
              <w:t>USTN_OPTIONAL</w:t>
            </w:r>
          </w:p>
        </w:tc>
        <w:tc>
          <w:tcPr>
            <w:tcW w:type="dxa" w:w="3213"/>
          </w:tcPr>
          <w:p>
            <w:pPr>
              <w:spacing w:after="20" w:before="20" w:line="240" w:lineRule="auto"/>
            </w:pPr>
            <w:r/>
            <w:r>
              <w:rPr>
                <w:rFonts w:ascii="Arial" w:hAnsi="Arial" w:cs="Arial"/>
                <w:b w:val="0"/>
                <w:i w:val="0"/>
                <w:sz w:val="17"/>
              </w:rPr>
              <w:t>request_uuid or USTN accepted; semantics documented per endpoint</w:t>
            </w:r>
          </w:p>
        </w:tc>
        <w:tc>
          <w:tcPr>
            <w:tcW w:type="dxa" w:w="3213"/>
          </w:tcPr>
          <w:p>
            <w:pPr>
              <w:spacing w:after="20" w:before="20" w:line="240" w:lineRule="auto"/>
            </w:pPr>
            <w:r/>
            <w:r>
              <w:rPr>
                <w:rFonts w:ascii="Arial" w:hAnsi="Arial" w:cs="Arial"/>
                <w:b w:val="0"/>
                <w:i w:val="0"/>
                <w:sz w:val="17"/>
              </w:rPr>
              <w:t>Cross-phase queries, exports, and read projections</w:t>
            </w:r>
          </w:p>
        </w:tc>
      </w:tr>
      <w:tr>
        <w:tc>
          <w:tcPr>
            <w:tcW w:type="dxa" w:w="3213"/>
          </w:tcPr>
          <w:p>
            <w:pPr>
              <w:spacing w:after="20" w:before="20" w:line="240" w:lineRule="auto"/>
            </w:pPr>
            <w:r/>
            <w:r>
              <w:rPr>
                <w:rFonts w:ascii="Arial" w:hAnsi="Arial" w:cs="Arial"/>
                <w:b w:val="0"/>
                <w:i w:val="0"/>
                <w:sz w:val="17"/>
              </w:rPr>
              <w:t>USTN_REQUIRED</w:t>
            </w:r>
          </w:p>
        </w:tc>
        <w:tc>
          <w:tcPr>
            <w:tcW w:type="dxa" w:w="3213"/>
          </w:tcPr>
          <w:p>
            <w:pPr>
              <w:spacing w:after="20" w:before="20" w:line="240" w:lineRule="auto"/>
            </w:pPr>
            <w:r/>
            <w:r>
              <w:rPr>
                <w:rFonts w:ascii="Arial" w:hAnsi="Arial" w:cs="Arial"/>
                <w:b w:val="0"/>
                <w:i w:val="0"/>
                <w:sz w:val="17"/>
              </w:rPr>
              <w:t>USTN mandatory regardless of phase</w:t>
            </w:r>
          </w:p>
        </w:tc>
        <w:tc>
          <w:tcPr>
            <w:tcW w:type="dxa" w:w="3213"/>
          </w:tcPr>
          <w:p>
            <w:pPr>
              <w:spacing w:after="20" w:before="20" w:line="240" w:lineRule="auto"/>
            </w:pPr>
            <w:r/>
            <w:r>
              <w:rPr>
                <w:rFonts w:ascii="Arial" w:hAnsi="Arial" w:cs="Arial"/>
                <w:b w:val="0"/>
                <w:i w:val="0"/>
                <w:sz w:val="17"/>
              </w:rPr>
              <w:t>Shipment-scoped operations that only exist post-lock</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 endpoint may claim that the USTN is universally mandatory across the entire trade lifecycle, and no endpoint may require a USTN for trade-request creation; request creation is always keyed by the system-generated Request UUID (Section 5.1.16). Validation failures distinguish the identity phases: a PRE_USTN endpoint receiving a USTN for an unlocked object returns a validation error (the USTN cannot legitimately exist yet), and a POST_USTN endpoint receiving a mutation without a USTN returns a validation error identifying the required canonical identity. Read endpoints resolve any of the five identifiers to their canonical object through the identity resolution rules of Section 5.1.16.</w:t>
      </w:r>
    </w:p>
    <w:p>
      <w:pPr>
        <w:keepNext/>
        <w:spacing w:before="240" w:after="100"/>
        <w:outlineLvl w:val="1"/>
      </w:pPr>
      <w:r>
        <w:rPr>
          <w:rFonts w:ascii="Arial" w:hAnsi="Arial" w:cs="Arial"/>
          <w:b/>
          <w:i w:val="0"/>
          <w:color w:val="2E528F"/>
          <w:sz w:val="26"/>
        </w:rPr>
        <w:t>5.9 QR Codes &amp; Physical Tagging</w:t>
      </w:r>
    </w:p>
    <w:p>
      <w:pPr>
        <w:keepNext/>
        <w:spacing w:before="180" w:after="80"/>
        <w:outlineLvl w:val="2"/>
      </w:pPr>
      <w:r>
        <w:rPr>
          <w:rFonts w:ascii="Arial" w:hAnsi="Arial" w:cs="Arial"/>
          <w:b/>
          <w:i w:val="0"/>
          <w:color w:val="333333"/>
          <w:sz w:val="23"/>
        </w:rPr>
        <w:t>5.9.1 Purpose &amp; Design Philosophy</w:t>
      </w:r>
    </w:p>
    <w:p>
      <w:pPr>
        <w:spacing w:after="80" w:line="293" w:lineRule="auto"/>
        <w:jc w:val="left"/>
      </w:pPr>
      <w:r>
        <w:rPr>
          <w:rFonts w:ascii="Times New Roman" w:hAnsi="Times New Roman" w:cs="Times New Roman"/>
          <w:b w:val="0"/>
          <w:i w:val="0"/>
          <w:sz w:val="22"/>
        </w:rPr>
        <w:t>Every USTN is encoded as a QR code that can be printed on shipping labels, packing lists, and customs documents. This enables physical tracking, offline verification, and automated scanning.</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Universal Encoding — every USTN has a QR code.</w:t>
      </w:r>
    </w:p>
    <w:p>
      <w:pPr>
        <w:spacing w:after="80" w:line="293" w:lineRule="auto"/>
        <w:ind w:left="283"/>
        <w:jc w:val="left"/>
      </w:pPr>
      <w:r>
        <w:rPr>
          <w:rFonts w:ascii="Times New Roman" w:hAnsi="Times New Roman" w:cs="Times New Roman"/>
          <w:b w:val="0"/>
          <w:i w:val="0"/>
          <w:sz w:val="22"/>
        </w:rPr>
        <w:t>- Offline Verification — can be verified without internet access.</w:t>
      </w:r>
    </w:p>
    <w:p>
      <w:pPr>
        <w:spacing w:after="80" w:line="293" w:lineRule="auto"/>
        <w:ind w:left="283"/>
        <w:jc w:val="left"/>
      </w:pPr>
      <w:r>
        <w:rPr>
          <w:rFonts w:ascii="Times New Roman" w:hAnsi="Times New Roman" w:cs="Times New Roman"/>
          <w:b w:val="0"/>
          <w:i w:val="0"/>
          <w:sz w:val="22"/>
        </w:rPr>
        <w:t>- Cryptographic Signature — the QR code includes a verifiable credential.</w:t>
      </w:r>
    </w:p>
    <w:p>
      <w:pPr>
        <w:spacing w:after="80" w:line="293" w:lineRule="auto"/>
        <w:ind w:left="283"/>
        <w:jc w:val="left"/>
      </w:pPr>
      <w:r>
        <w:rPr>
          <w:rFonts w:ascii="Times New Roman" w:hAnsi="Times New Roman" w:cs="Times New Roman"/>
          <w:b w:val="0"/>
          <w:i w:val="0"/>
          <w:sz w:val="22"/>
        </w:rPr>
        <w:t>- Automated Scanning — the mobile app scans and opens the TCC.</w:t>
      </w:r>
    </w:p>
    <w:p>
      <w:pPr>
        <w:keepNext/>
        <w:spacing w:before="180" w:after="80"/>
        <w:outlineLvl w:val="2"/>
      </w:pPr>
      <w:r>
        <w:rPr>
          <w:rFonts w:ascii="Arial" w:hAnsi="Arial" w:cs="Arial"/>
          <w:b/>
          <w:i w:val="0"/>
          <w:color w:val="333333"/>
          <w:sz w:val="23"/>
        </w:rPr>
        <w:t>5.9.2 QR Code Payload</w:t>
      </w:r>
    </w:p>
    <w:p>
      <w:pPr>
        <w:spacing w:after="80" w:line="293" w:lineRule="auto"/>
        <w:jc w:val="left"/>
      </w:pPr>
      <w:r>
        <w:rPr>
          <w:rFonts w:ascii="Times New Roman" w:hAnsi="Times New Roman" w:cs="Times New Roman"/>
          <w:b w:val="0"/>
          <w:i w:val="0"/>
          <w:sz w:val="22"/>
        </w:rPr>
        <w:t>The QR code encodes a JSON payload with the USTN and verification information: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"verify_url": "https://sgtx.io/verify/ustn/SGTX-EG-26-F3A-1",</w:t>
      </w:r>
    </w:p>
    <w:p>
      <w:pPr>
        <w:spacing w:after="0" w:before="0" w:line="240" w:lineRule="auto"/>
        <w:ind w:left="57"/>
        <w:jc w:val="left"/>
        <w:shd w:val="clear" w:fill="F2F2F2"/>
      </w:pPr>
      <w:r>
        <w:rPr>
          <w:rFonts w:ascii="Consolas" w:hAnsi="Consolas" w:cs="Consolas"/>
          <w:b w:val="0"/>
          <w:i w:val="0"/>
          <w:sz w:val="15"/>
        </w:rPr>
        <w:t xml:space="preserve">    "verifiable_credential": {</w:t>
      </w:r>
    </w:p>
    <w:p>
      <w:pPr>
        <w:spacing w:after="0" w:before="0" w:line="240" w:lineRule="auto"/>
        <w:ind w:left="57"/>
        <w:jc w:val="left"/>
        <w:shd w:val="clear" w:fill="F2F2F2"/>
      </w:pPr>
      <w:r>
        <w:rPr>
          <w:rFonts w:ascii="Consolas" w:hAnsi="Consolas" w:cs="Consolas"/>
          <w:b w:val="0"/>
          <w:i w:val="0"/>
          <w:sz w:val="15"/>
        </w:rPr>
        <w:t xml:space="preserve">        "type": "VerifiableCredential",</w:t>
      </w:r>
    </w:p>
    <w:p>
      <w:pPr>
        <w:spacing w:after="0" w:before="0" w:line="240" w:lineRule="auto"/>
        <w:ind w:left="57"/>
        <w:jc w:val="left"/>
        <w:shd w:val="clear" w:fill="F2F2F2"/>
      </w:pPr>
      <w:r>
        <w:rPr>
          <w:rFonts w:ascii="Consolas" w:hAnsi="Consolas" w:cs="Consolas"/>
          <w:b w:val="0"/>
          <w:i w:val="0"/>
          <w:sz w:val="15"/>
        </w:rPr>
        <w:t xml:space="preserve">        "issuer": "https://sgtx.io/issuers/platform",</w:t>
      </w:r>
    </w:p>
    <w:p>
      <w:pPr>
        <w:spacing w:after="0" w:before="0" w:line="240" w:lineRule="auto"/>
        <w:ind w:left="57"/>
        <w:jc w:val="left"/>
        <w:shd w:val="clear" w:fill="F2F2F2"/>
      </w:pPr>
      <w:r>
        <w:rPr>
          <w:rFonts w:ascii="Consolas" w:hAnsi="Consolas" w:cs="Consolas"/>
          <w:b w:val="0"/>
          <w:i w:val="0"/>
          <w:sz w:val="15"/>
        </w:rPr>
        <w:t xml:space="preserve">        "issuanceDate": "2026-04-15T12:00:00Z",</w:t>
      </w:r>
    </w:p>
    <w:p>
      <w:pPr>
        <w:spacing w:after="0" w:before="0" w:line="240" w:lineRule="auto"/>
        <w:ind w:left="57"/>
        <w:jc w:val="left"/>
        <w:shd w:val="clear" w:fill="F2F2F2"/>
      </w:pPr>
      <w:r>
        <w:rPr>
          <w:rFonts w:ascii="Consolas" w:hAnsi="Consolas" w:cs="Consolas"/>
          <w:b w:val="0"/>
          <w:i w:val="0"/>
          <w:sz w:val="15"/>
        </w:rPr>
        <w:t xml:space="preserve">        "credentialSubject": {</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"exporter_gtid": "SGTX-EG-TRD-002139-7F3A",</w:t>
      </w:r>
    </w:p>
    <w:p>
      <w:pPr>
        <w:spacing w:after="0" w:before="0" w:line="240" w:lineRule="auto"/>
        <w:ind w:left="57"/>
        <w:jc w:val="left"/>
        <w:shd w:val="clear" w:fill="F2F2F2"/>
      </w:pPr>
      <w:r>
        <w:rPr>
          <w:rFonts w:ascii="Consolas" w:hAnsi="Consolas" w:cs="Consolas"/>
          <w:b w:val="0"/>
          <w:i w:val="0"/>
          <w:sz w:val="15"/>
        </w:rPr>
        <w:t xml:space="preserve">            "importer_gtid": "SGTX-DE-TRD-001234-5B6C",</w:t>
      </w:r>
    </w:p>
    <w:p>
      <w:pPr>
        <w:spacing w:after="0" w:before="0" w:line="240" w:lineRule="auto"/>
        <w:ind w:left="57"/>
        <w:jc w:val="left"/>
        <w:shd w:val="clear" w:fill="F2F2F2"/>
      </w:pPr>
      <w:r>
        <w:rPr>
          <w:rFonts w:ascii="Consolas" w:hAnsi="Consolas" w:cs="Consolas"/>
          <w:b w:val="0"/>
          <w:i w:val="0"/>
          <w:sz w:val="15"/>
        </w:rPr>
        <w:t xml:space="preserve">            "product": "Frozen strawberries",</w:t>
      </w:r>
    </w:p>
    <w:p>
      <w:pPr>
        <w:spacing w:after="0" w:before="0" w:line="240" w:lineRule="auto"/>
        <w:ind w:left="57"/>
        <w:jc w:val="left"/>
        <w:shd w:val="clear" w:fill="F2F2F2"/>
      </w:pPr>
      <w:r>
        <w:rPr>
          <w:rFonts w:ascii="Consolas" w:hAnsi="Consolas" w:cs="Consolas"/>
          <w:b w:val="0"/>
          <w:i w:val="0"/>
          <w:sz w:val="15"/>
        </w:rPr>
        <w:t xml:space="preserve">            "hs_code": "0811.10.90"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"proof": {</w:t>
      </w:r>
    </w:p>
    <w:p>
      <w:pPr>
        <w:spacing w:after="0" w:before="0" w:line="240" w:lineRule="auto"/>
        <w:ind w:left="57"/>
        <w:jc w:val="left"/>
        <w:shd w:val="clear" w:fill="F2F2F2"/>
      </w:pPr>
      <w:r>
        <w:rPr>
          <w:rFonts w:ascii="Consolas" w:hAnsi="Consolas" w:cs="Consolas"/>
          <w:b w:val="0"/>
          <w:i w:val="0"/>
          <w:sz w:val="15"/>
        </w:rPr>
        <w:t xml:space="preserve">            "type": "Ed25519Signature2020",</w:t>
      </w:r>
    </w:p>
    <w:p>
      <w:pPr>
        <w:spacing w:after="0" w:before="0" w:line="240" w:lineRule="auto"/>
        <w:ind w:left="57"/>
        <w:jc w:val="left"/>
        <w:shd w:val="clear" w:fill="F2F2F2"/>
      </w:pPr>
      <w:r>
        <w:rPr>
          <w:rFonts w:ascii="Consolas" w:hAnsi="Consolas" w:cs="Consolas"/>
          <w:b w:val="0"/>
          <w:i w:val="0"/>
          <w:sz w:val="15"/>
        </w:rPr>
        <w:t xml:space="preserve">            "created": "2026-04-15T12:00:00Z",</w:t>
      </w:r>
    </w:p>
    <w:p>
      <w:pPr>
        <w:spacing w:after="0" w:before="0" w:line="240" w:lineRule="auto"/>
        <w:ind w:left="57"/>
        <w:jc w:val="left"/>
        <w:shd w:val="clear" w:fill="F2F2F2"/>
      </w:pPr>
      <w:r>
        <w:rPr>
          <w:rFonts w:ascii="Consolas" w:hAnsi="Consolas" w:cs="Consolas"/>
          <w:b w:val="0"/>
          <w:i w:val="0"/>
          <w:sz w:val="15"/>
        </w:rPr>
        <w:t xml:space="preserve">            "proofPurpose": "assertionMethod",</w:t>
      </w:r>
    </w:p>
    <w:p>
      <w:pPr>
        <w:spacing w:after="0" w:before="0" w:line="240" w:lineRule="auto"/>
        <w:ind w:left="57"/>
        <w:jc w:val="left"/>
        <w:shd w:val="clear" w:fill="F2F2F2"/>
      </w:pPr>
      <w:r>
        <w:rPr>
          <w:rFonts w:ascii="Consolas" w:hAnsi="Consolas" w:cs="Consolas"/>
          <w:b w:val="0"/>
          <w:i w:val="0"/>
          <w:sz w:val="15"/>
        </w:rPr>
        <w:t xml:space="preserve">            "verificationMethod": "https://sgtx.io/keys/ed25519",</w:t>
      </w:r>
    </w:p>
    <w:p>
      <w:pPr>
        <w:spacing w:after="0" w:before="0" w:line="240" w:lineRule="auto"/>
        <w:ind w:left="57"/>
        <w:jc w:val="left"/>
        <w:shd w:val="clear" w:fill="F2F2F2"/>
      </w:pPr>
      <w:r>
        <w:rPr>
          <w:rFonts w:ascii="Consolas" w:hAnsi="Consolas" w:cs="Consolas"/>
          <w:b w:val="0"/>
          <w:i w:val="0"/>
          <w:sz w:val="15"/>
        </w:rPr>
        <w:t xml:space="preserve">            "signature": "base58..."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QR code contains:</w:t>
      </w:r>
    </w:p>
    <w:p>
      <w:pPr>
        <w:spacing w:after="80" w:line="293" w:lineRule="auto"/>
        <w:ind w:left="283"/>
        <w:jc w:val="left"/>
      </w:pPr>
      <w:r>
        <w:rPr>
          <w:rFonts w:ascii="Times New Roman" w:hAnsi="Times New Roman" w:cs="Times New Roman"/>
          <w:b w:val="0"/>
          <w:i w:val="0"/>
          <w:sz w:val="22"/>
        </w:rPr>
        <w:t>- The full USTN string: SGTX-EG-26-F3A-1</w:t>
      </w:r>
    </w:p>
    <w:p>
      <w:pPr>
        <w:spacing w:after="80" w:line="293" w:lineRule="auto"/>
        <w:ind w:left="283"/>
        <w:jc w:val="left"/>
      </w:pPr>
      <w:r>
        <w:rPr>
          <w:rFonts w:ascii="Times New Roman" w:hAnsi="Times New Roman" w:cs="Times New Roman"/>
          <w:b w:val="0"/>
          <w:i w:val="0"/>
          <w:sz w:val="22"/>
        </w:rPr>
        <w:t>- A URL to the public verification page: https://sgtx.io/verify/ustn/SGTX-EG-26-F3A-1</w:t>
      </w:r>
    </w:p>
    <w:p>
      <w:pPr>
        <w:spacing w:after="80" w:line="293" w:lineRule="auto"/>
        <w:ind w:left="283"/>
        <w:jc w:val="left"/>
      </w:pPr>
      <w:r>
        <w:rPr>
          <w:rFonts w:ascii="Times New Roman" w:hAnsi="Times New Roman" w:cs="Times New Roman"/>
          <w:b w:val="0"/>
          <w:i w:val="0"/>
          <w:sz w:val="22"/>
        </w:rPr>
        <w:t>- A cryptographic signature (optional, for high-value goods)</w:t>
      </w:r>
    </w:p>
    <w:p>
      <w:pPr>
        <w:keepNext/>
        <w:spacing w:before="180" w:after="80"/>
        <w:outlineLvl w:val="2"/>
      </w:pPr>
      <w:r>
        <w:rPr>
          <w:rFonts w:ascii="Arial" w:hAnsi="Arial" w:cs="Arial"/>
          <w:b/>
          <w:i w:val="0"/>
          <w:color w:val="333333"/>
          <w:sz w:val="23"/>
        </w:rPr>
        <w:t>5.9.3 QR Code Visual Design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[QR CODE]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SGTX-EG-26-F3A-1                             │</w:t>
      </w:r>
    </w:p>
    <w:p>
      <w:pPr>
        <w:spacing w:after="0" w:before="0" w:line="240" w:lineRule="auto"/>
        <w:ind w:left="57"/>
        <w:jc w:val="left"/>
        <w:shd w:val="clear" w:fill="F2F2F2"/>
      </w:pPr>
      <w:r>
        <w:rPr>
          <w:rFonts w:ascii="Consolas" w:hAnsi="Consolas" w:cs="Consolas"/>
          <w:b w:val="0"/>
          <w:i w:val="0"/>
          <w:sz w:val="15"/>
        </w:rPr>
        <w:t>│   https://sgtx.io/ustn/SGTX-EG-26-F3A-1        │</w:t>
      </w:r>
    </w:p>
    <w:p>
      <w:pPr>
        <w:spacing w:after="0" w:before="0" w:line="240" w:lineRule="auto"/>
        <w:ind w:left="57"/>
        <w:jc w:val="left"/>
        <w:shd w:val="clear" w:fill="F2F2F2"/>
      </w:pPr>
      <w:r>
        <w:rPr>
          <w:rFonts w:ascii="Consolas" w:hAnsi="Consolas" w:cs="Consolas"/>
          <w:b w:val="0"/>
          <w:i w:val="0"/>
          <w:sz w:val="15"/>
        </w:rPr>
        <w:t>│   Verified by SGTX                             │</w:t>
      </w:r>
    </w:p>
    <w:p>
      <w:pPr>
        <w:spacing w:after="0" w:before="0" w:line="240" w:lineRule="auto"/>
        <w:ind w:left="57"/>
        <w:jc w:val="left"/>
        <w:shd w:val="clear" w:fill="F2F2F2"/>
      </w:pPr>
      <w:r>
        <w:rPr>
          <w:rFonts w:ascii="Consolas" w:hAnsi="Consolas" w:cs="Consolas"/>
          <w:b w:val="0"/>
          <w:i w:val="0"/>
          <w:sz w:val="15"/>
        </w:rPr>
        <w:t>│   Scan to verify: https://sgtx.io/verify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[Ed25519 Signature: base58...]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5.9.4 AI Assistance for QR Scanning</w:t>
      </w:r>
    </w:p>
    <w:p>
      <w:pPr>
        <w:spacing w:after="80" w:line="293" w:lineRule="auto"/>
        <w:jc w:val="left"/>
      </w:pPr>
      <w:r>
        <w:rPr>
          <w:rFonts w:ascii="Times New Roman" w:hAnsi="Times New Roman" w:cs="Times New Roman"/>
          <w:b w:val="0"/>
          <w:i w:val="0"/>
          <w:sz w:val="22"/>
        </w:rPr>
        <w:t>The SGTX mobile app scans the QR code and automatically opens the Trade Command Center (or the public verification page). If the user is not logged in, the app prompts for login (or shows public information if enabled).</w:t>
      </w:r>
    </w:p>
    <w:p>
      <w:pPr>
        <w:spacing w:after="80" w:line="293" w:lineRule="auto"/>
        <w:jc w:val="left"/>
      </w:pPr>
      <w:r>
        <w:rPr>
          <w:rFonts w:ascii="Times New Roman" w:hAnsi="Times New Roman" w:cs="Times New Roman"/>
          <w:b w:val="0"/>
          <w:i w:val="0"/>
          <w:sz w:val="22"/>
        </w:rPr>
        <w:t>Scanning Flow:</w:t>
      </w:r>
    </w:p>
    <w:p>
      <w:pPr>
        <w:spacing w:after="80" w:line="293" w:lineRule="auto"/>
        <w:jc w:val="left"/>
      </w:pPr>
      <w:r>
        <w:rPr>
          <w:rFonts w:ascii="Times New Roman" w:hAnsi="Times New Roman" w:cs="Times New Roman"/>
          <w:b w:val="0"/>
          <w:i w:val="0"/>
          <w:sz w:val="22"/>
        </w:rPr>
        <w:t>1. User opens the SGTX mobile app. 2. User taps "Scan QR Code". 3. App scans the QR code. 4. App extracts the USTN and verifies the credential. 5. App displays the USTN information. 6. App offers to open the TCC.</w:t>
      </w:r>
    </w:p>
    <w:p>
      <w:pPr>
        <w:spacing w:after="80" w:line="293" w:lineRule="auto"/>
        <w:jc w:val="left"/>
      </w:pPr>
      <w:r>
        <w:rPr>
          <w:rFonts w:ascii="Times New Roman" w:hAnsi="Times New Roman" w:cs="Times New Roman"/>
          <w:b w:val="0"/>
          <w:i w:val="0"/>
          <w:sz w:val="22"/>
        </w:rPr>
        <w:t>QR Code Scanning Result:</w:t>
      </w:r>
    </w:p>
    <w:p>
      <w:pPr>
        <w:spacing w:after="0" w:before="0" w:line="240" w:lineRule="auto"/>
        <w:ind w:left="57"/>
        <w:jc w:val="left"/>
        <w:shd w:val="clear" w:fill="F2F2F2"/>
      </w:pPr>
      <w:r>
        <w:rPr>
          <w:rFonts w:ascii="Consolas" w:hAnsi="Consolas" w:cs="Consolas"/>
          <w:b w:val="0"/>
          <w:i w:val="0"/>
          <w:sz w:val="15"/>
        </w:rPr>
        <w:t>QR SCAN RESULT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Status:    IN_TRANSIT</w:t>
      </w:r>
    </w:p>
    <w:p>
      <w:pPr>
        <w:spacing w:after="0" w:before="0" w:line="240" w:lineRule="auto"/>
        <w:ind w:left="57"/>
        <w:jc w:val="left"/>
        <w:shd w:val="clear" w:fill="F2F2F2"/>
      </w:pPr>
      <w:r>
        <w:rPr>
          <w:rFonts w:ascii="Consolas" w:hAnsi="Consolas" w:cs="Consolas"/>
          <w:b w:val="0"/>
          <w:i w:val="0"/>
          <w:sz w:val="15"/>
        </w:rPr>
        <w:t xml:space="preserve">  Exporter:  Strawberry Export Co.</w:t>
      </w:r>
    </w:p>
    <w:p>
      <w:pPr>
        <w:spacing w:after="0" w:before="0" w:line="240" w:lineRule="auto"/>
        <w:ind w:left="57"/>
        <w:jc w:val="left"/>
        <w:shd w:val="clear" w:fill="F2F2F2"/>
      </w:pPr>
      <w:r>
        <w:rPr>
          <w:rFonts w:ascii="Consolas" w:hAnsi="Consolas" w:cs="Consolas"/>
          <w:b w:val="0"/>
          <w:i w:val="0"/>
          <w:sz w:val="15"/>
        </w:rPr>
        <w:t xml:space="preserve">  Importer:  European Importer GmbH</w:t>
      </w:r>
    </w:p>
    <w:p>
      <w:pPr>
        <w:spacing w:after="0" w:before="0" w:line="240" w:lineRule="auto"/>
        <w:ind w:left="57"/>
        <w:jc w:val="left"/>
        <w:shd w:val="clear" w:fill="F2F2F2"/>
      </w:pPr>
      <w:r>
        <w:rPr>
          <w:rFonts w:ascii="Consolas" w:hAnsi="Consolas" w:cs="Consolas"/>
          <w:b w:val="0"/>
          <w:i w:val="0"/>
          <w:sz w:val="15"/>
        </w:rPr>
        <w:t xml:space="preserve">  Vessel:    MSC FIONA</w:t>
      </w:r>
    </w:p>
    <w:p>
      <w:pPr>
        <w:spacing w:after="0" w:before="0" w:line="240" w:lineRule="auto"/>
        <w:ind w:left="57"/>
        <w:jc w:val="left"/>
        <w:shd w:val="clear" w:fill="F2F2F2"/>
      </w:pPr>
      <w:r>
        <w:rPr>
          <w:rFonts w:ascii="Consolas" w:hAnsi="Consolas" w:cs="Consolas"/>
          <w:b w:val="0"/>
          <w:i w:val="0"/>
          <w:sz w:val="15"/>
        </w:rPr>
        <w:t xml:space="preserve">  ETA:       2026-05-05 14:00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[Open Trade Command Center]  [Download Documents]  [Share]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5.9.5 Offline Verification</w:t>
      </w:r>
    </w:p>
    <w:p>
      <w:pPr>
        <w:spacing w:after="80" w:line="293" w:lineRule="auto"/>
        <w:jc w:val="left"/>
      </w:pPr>
      <w:r>
        <w:rPr>
          <w:rFonts w:ascii="Times New Roman" w:hAnsi="Times New Roman" w:cs="Times New Roman"/>
          <w:b w:val="0"/>
          <w:i w:val="0"/>
          <w:sz w:val="22"/>
        </w:rPr>
        <w:t>A receiver with no internet can scan the QR code, and the app uses a cached version of the SGTX public key to verify the cryptographic signature, confirming that the USTN was issued by SGTX and has not been tampered with.</w:t>
      </w:r>
    </w:p>
    <w:p>
      <w:pPr>
        <w:spacing w:after="80" w:line="293" w:lineRule="auto"/>
        <w:jc w:val="left"/>
      </w:pPr>
      <w:r>
        <w:rPr>
          <w:rFonts w:ascii="Times New Roman" w:hAnsi="Times New Roman" w:cs="Times New Roman"/>
          <w:b w:val="0"/>
          <w:i w:val="0"/>
          <w:sz w:val="22"/>
        </w:rPr>
        <w:t>Offline Verification Flow:</w:t>
      </w:r>
    </w:p>
    <w:p>
      <w:pPr>
        <w:spacing w:after="80" w:line="293" w:lineRule="auto"/>
        <w:jc w:val="left"/>
      </w:pPr>
      <w:r>
        <w:rPr>
          <w:rFonts w:ascii="Times New Roman" w:hAnsi="Times New Roman" w:cs="Times New Roman"/>
          <w:b w:val="0"/>
          <w:i w:val="0"/>
          <w:sz w:val="22"/>
        </w:rPr>
        <w:t>1. App scans the QR code. 2. App extracts the Verifiable Credential. 3. App checks the credential's signature against the cached SGTX public key. 4. App validates that the credential has not expired. 5. App displays a green checkmark: "Verified — USTN SGTX-EG-26-F3A-1, 20,000 kg Frozen Strawberries. No internet required."</w:t>
      </w:r>
    </w:p>
    <w:p>
      <w:pPr>
        <w:keepNext/>
        <w:spacing w:before="180" w:after="80"/>
        <w:outlineLvl w:val="2"/>
      </w:pPr>
      <w:r>
        <w:rPr>
          <w:rFonts w:ascii="Arial" w:hAnsi="Arial" w:cs="Arial"/>
          <w:b/>
          <w:i w:val="0"/>
          <w:color w:val="333333"/>
          <w:sz w:val="23"/>
        </w:rPr>
        <w:t>5.9.6 QR Code Generation</w:t>
      </w:r>
    </w:p>
    <w:p>
      <w:pPr>
        <w:spacing w:after="80" w:line="293" w:lineRule="auto"/>
        <w:jc w:val="left"/>
      </w:pPr>
      <w:r>
        <w:rPr>
          <w:rFonts w:ascii="Times New Roman" w:hAnsi="Times New Roman" w:cs="Times New Roman"/>
          <w:b w:val="0"/>
          <w:i w:val="0"/>
          <w:sz w:val="22"/>
        </w:rPr>
        <w:t>QR Code Generation Logic:</w:t>
      </w:r>
    </w:p>
    <w:p>
      <w:pPr>
        <w:spacing w:after="0" w:before="0" w:line="240" w:lineRule="auto"/>
        <w:ind w:left="57"/>
        <w:jc w:val="left"/>
        <w:shd w:val="clear" w:fill="F2F2F2"/>
      </w:pPr>
      <w:r>
        <w:rPr>
          <w:rFonts w:ascii="Consolas" w:hAnsi="Consolas" w:cs="Consolas"/>
          <w:b w:val="0"/>
          <w:i w:val="0"/>
          <w:sz w:val="15"/>
        </w:rPr>
        <w:t>use qrcode::QrCode;</w:t>
      </w:r>
    </w:p>
    <w:p>
      <w:pPr>
        <w:spacing w:after="0" w:before="0" w:line="240" w:lineRule="auto"/>
        <w:ind w:left="57"/>
        <w:jc w:val="left"/>
        <w:shd w:val="clear" w:fill="F2F2F2"/>
      </w:pPr>
      <w:r>
        <w:rPr>
          <w:rFonts w:ascii="Consolas" w:hAnsi="Consolas" w:cs="Consolas"/>
          <w:b w:val="0"/>
          <w:i w:val="0"/>
          <w:sz w:val="15"/>
        </w:rPr>
        <w:t>use serde_json::json;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fn generate_ustn_qr_code(ustn: &amp;str) -&gt; String {</w:t>
      </w:r>
    </w:p>
    <w:p>
      <w:pPr>
        <w:spacing w:after="0" w:before="0" w:line="240" w:lineRule="auto"/>
        <w:ind w:left="57"/>
        <w:jc w:val="left"/>
        <w:shd w:val="clear" w:fill="F2F2F2"/>
      </w:pPr>
      <w:r>
        <w:rPr>
          <w:rFonts w:ascii="Consolas" w:hAnsi="Consolas" w:cs="Consolas"/>
          <w:b w:val="0"/>
          <w:i w:val="0"/>
          <w:sz w:val="15"/>
        </w:rPr>
        <w:t xml:space="preserve">    let payload = json!({</w:t>
      </w:r>
    </w:p>
    <w:p>
      <w:pPr>
        <w:spacing w:after="0" w:before="0" w:line="240" w:lineRule="auto"/>
        <w:ind w:left="57"/>
        <w:jc w:val="left"/>
        <w:shd w:val="clear" w:fill="F2F2F2"/>
      </w:pPr>
      <w:r>
        <w:rPr>
          <w:rFonts w:ascii="Consolas" w:hAnsi="Consolas" w:cs="Consolas"/>
          <w:b w:val="0"/>
          <w:i w:val="0"/>
          <w:sz w:val="15"/>
        </w:rPr>
        <w:t xml:space="preserve">        "ustn": ustn,</w:t>
      </w:r>
    </w:p>
    <w:p>
      <w:pPr>
        <w:spacing w:after="0" w:before="0" w:line="240" w:lineRule="auto"/>
        <w:ind w:left="57"/>
        <w:jc w:val="left"/>
        <w:shd w:val="clear" w:fill="F2F2F2"/>
      </w:pPr>
      <w:r>
        <w:rPr>
          <w:rFonts w:ascii="Consolas" w:hAnsi="Consolas" w:cs="Consolas"/>
          <w:b w:val="0"/>
          <w:i w:val="0"/>
          <w:sz w:val="15"/>
        </w:rPr>
        <w:t xml:space="preserve">        "verify_url": format!("https://sgtx.io/verify/ustn/{}", ustn),</w:t>
      </w:r>
    </w:p>
    <w:p>
      <w:pPr>
        <w:spacing w:after="0" w:before="0" w:line="240" w:lineRule="auto"/>
        <w:ind w:left="57"/>
        <w:jc w:val="left"/>
        <w:shd w:val="clear" w:fill="F2F2F2"/>
      </w:pPr>
      <w:r>
        <w:rPr>
          <w:rFonts w:ascii="Consolas" w:hAnsi="Consolas" w:cs="Consolas"/>
          <w:b w:val="0"/>
          <w:i w:val="0"/>
          <w:sz w:val="15"/>
        </w:rPr>
        <w:t xml:space="preserve">        "verifiable_credential": get_verifiable_credential(ustn)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json_string = serde_json::to_string(&amp;payload).unwrap();</w:t>
      </w:r>
    </w:p>
    <w:p>
      <w:pPr>
        <w:spacing w:after="0" w:before="0" w:line="240" w:lineRule="auto"/>
        <w:ind w:left="57"/>
        <w:jc w:val="left"/>
        <w:shd w:val="clear" w:fill="F2F2F2"/>
      </w:pPr>
      <w:r>
        <w:rPr>
          <w:rFonts w:ascii="Consolas" w:hAnsi="Consolas" w:cs="Consolas"/>
          <w:b w:val="0"/>
          <w:i w:val="0"/>
          <w:sz w:val="15"/>
        </w:rPr>
        <w:t xml:space="preserve">    let code = QrCode::new(json_string).unwrap();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Generate PNG</w:t>
      </w:r>
    </w:p>
    <w:p>
      <w:pPr>
        <w:spacing w:after="0" w:before="0" w:line="240" w:lineRule="auto"/>
        <w:ind w:left="57"/>
        <w:jc w:val="left"/>
        <w:shd w:val="clear" w:fill="F2F2F2"/>
      </w:pPr>
      <w:r>
        <w:rPr>
          <w:rFonts w:ascii="Consolas" w:hAnsi="Consolas" w:cs="Consolas"/>
          <w:b w:val="0"/>
          <w:i w:val="0"/>
          <w:sz w:val="15"/>
        </w:rPr>
        <w:t xml:space="preserve">    let image = code.render::&lt;image::Luma&lt;u8&gt;&gt;().build();</w:t>
      </w:r>
    </w:p>
    <w:p>
      <w:pPr>
        <w:spacing w:after="0" w:before="0" w:line="240" w:lineRule="auto"/>
        <w:ind w:left="57"/>
        <w:jc w:val="left"/>
        <w:shd w:val="clear" w:fill="F2F2F2"/>
      </w:pPr>
      <w:r>
        <w:rPr>
          <w:rFonts w:ascii="Consolas" w:hAnsi="Consolas" w:cs="Consolas"/>
          <w:b w:val="0"/>
          <w:i w:val="0"/>
          <w:sz w:val="15"/>
        </w:rPr>
        <w:t xml:space="preserve">    let mut buffer = Vec::new();</w:t>
      </w:r>
    </w:p>
    <w:p>
      <w:pPr>
        <w:spacing w:after="0" w:before="0" w:line="240" w:lineRule="auto"/>
        <w:ind w:left="57"/>
        <w:jc w:val="left"/>
        <w:shd w:val="clear" w:fill="F2F2F2"/>
      </w:pPr>
      <w:r>
        <w:rPr>
          <w:rFonts w:ascii="Consolas" w:hAnsi="Consolas" w:cs="Consolas"/>
          <w:b w:val="0"/>
          <w:i w:val="0"/>
          <w:sz w:val="15"/>
        </w:rPr>
        <w:t xml:space="preserve">    image.write_to(&amp;mut buffer, image::ImageOutputFormat::Png).unwrap();</w:t>
      </w:r>
    </w:p>
    <w:p>
      <w:pPr>
        <w:spacing w:after="0" w:before="0" w:line="240" w:lineRule="auto"/>
        <w:ind w:left="57"/>
        <w:jc w:val="left"/>
        <w:shd w:val="clear" w:fill="F2F2F2"/>
      </w:pPr>
      <w:r>
        <w:rPr>
          <w:rFonts w:ascii="Consolas" w:hAnsi="Consolas" w:cs="Consolas"/>
          <w:b w:val="0"/>
          <w:i w:val="0"/>
          <w:sz w:val="15"/>
        </w:rPr>
        <w:t xml:space="preserve">    base64::encode(&amp;buffer)</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5.9.7 Physical Tagging (Paper Documents)</w:t>
      </w:r>
    </w:p>
    <w:p>
      <w:pPr>
        <w:spacing w:after="80" w:line="293" w:lineRule="auto"/>
        <w:jc w:val="left"/>
      </w:pPr>
      <w:r>
        <w:rPr>
          <w:rFonts w:ascii="Times New Roman" w:hAnsi="Times New Roman" w:cs="Times New Roman"/>
          <w:b w:val="0"/>
          <w:i w:val="0"/>
          <w:sz w:val="22"/>
        </w:rPr>
        <w:t>For paper documents, the USTN is printed as both human-readable text and a QR code, using the physical document template specified in Section 5.4.5 — the commercial-invoice layout carrying the USTN line, QR code, and public verification URL.</w:t>
      </w:r>
    </w:p>
    <w:p>
      <w:pPr>
        <w:keepNext/>
        <w:spacing w:before="180" w:after="80"/>
        <w:outlineLvl w:val="2"/>
      </w:pPr>
      <w:r>
        <w:rPr>
          <w:rFonts w:ascii="Arial" w:hAnsi="Arial" w:cs="Arial"/>
          <w:b/>
          <w:i w:val="0"/>
          <w:color w:val="333333"/>
          <w:sz w:val="23"/>
        </w:rPr>
        <w:t>5.9.8 Implementation Checklist (Section 5.9)</w:t>
      </w:r>
    </w:p>
    <w:p>
      <w:pPr>
        <w:spacing w:after="80" w:line="293" w:lineRule="auto"/>
        <w:ind w:left="283"/>
        <w:jc w:val="left"/>
      </w:pPr>
      <w:r>
        <w:rPr>
          <w:rFonts w:ascii="Times New Roman" w:hAnsi="Times New Roman" w:cs="Times New Roman"/>
          <w:b w:val="0"/>
          <w:i w:val="0"/>
          <w:sz w:val="22"/>
        </w:rPr>
        <w:t>- Implement QR code generation for every USTN (payload + verifiable credential).</w:t>
      </w:r>
    </w:p>
    <w:p>
      <w:pPr>
        <w:spacing w:after="80" w:line="293" w:lineRule="auto"/>
        <w:ind w:left="283"/>
        <w:jc w:val="left"/>
      </w:pPr>
      <w:r>
        <w:rPr>
          <w:rFonts w:ascii="Times New Roman" w:hAnsi="Times New Roman" w:cs="Times New Roman"/>
          <w:b w:val="0"/>
          <w:i w:val="0"/>
          <w:sz w:val="22"/>
        </w:rPr>
        <w:t>- Implement QR code rendering on shipping labels, packing lists, and customs documents.</w:t>
      </w:r>
    </w:p>
    <w:p>
      <w:pPr>
        <w:spacing w:after="80" w:line="293" w:lineRule="auto"/>
        <w:ind w:left="283"/>
        <w:jc w:val="left"/>
      </w:pPr>
      <w:r>
        <w:rPr>
          <w:rFonts w:ascii="Times New Roman" w:hAnsi="Times New Roman" w:cs="Times New Roman"/>
          <w:b w:val="0"/>
          <w:i w:val="0"/>
          <w:sz w:val="22"/>
        </w:rPr>
        <w:t>- Implement mobile scanning with automatic TCC opening.</w:t>
      </w:r>
    </w:p>
    <w:p>
      <w:pPr>
        <w:spacing w:after="80" w:line="293" w:lineRule="auto"/>
        <w:ind w:left="283"/>
        <w:jc w:val="left"/>
      </w:pPr>
      <w:r>
        <w:rPr>
          <w:rFonts w:ascii="Times New Roman" w:hAnsi="Times New Roman" w:cs="Times New Roman"/>
          <w:b w:val="0"/>
          <w:i w:val="0"/>
          <w:sz w:val="22"/>
        </w:rPr>
        <w:t>- Implement offline verification with cached public key.</w:t>
      </w:r>
    </w:p>
    <w:p>
      <w:pPr>
        <w:spacing w:after="80" w:line="293" w:lineRule="auto"/>
        <w:ind w:left="283"/>
        <w:jc w:val="left"/>
      </w:pPr>
      <w:r>
        <w:rPr>
          <w:rFonts w:ascii="Times New Roman" w:hAnsi="Times New Roman" w:cs="Times New Roman"/>
          <w:b w:val="0"/>
          <w:i w:val="0"/>
          <w:sz w:val="22"/>
        </w:rPr>
        <w:t>- Publish the SGTX public keys for offline verification tooling.</w:t>
      </w:r>
    </w:p>
    <w:p>
      <w:pPr>
        <w:keepNext/>
        <w:spacing w:before="180" w:after="80"/>
        <w:outlineLvl w:val="2"/>
      </w:pPr>
      <w:r>
        <w:rPr>
          <w:rFonts w:ascii="Arial" w:hAnsi="Arial" w:cs="Arial"/>
          <w:b/>
          <w:i w:val="0"/>
          <w:color w:val="333333"/>
          <w:sz w:val="23"/>
        </w:rPr>
        <w:t>5.9.9 Quick Reference Card</w:t>
      </w:r>
    </w:p>
    <w:p>
      <w:pPr>
        <w:spacing w:after="0" w:before="0" w:line="240" w:lineRule="auto"/>
        <w:ind w:left="57"/>
        <w:jc w:val="left"/>
        <w:shd w:val="clear" w:fill="F2F2F2"/>
      </w:pPr>
      <w:r>
        <w:rPr>
          <w:rFonts w:ascii="Consolas" w:hAnsi="Consolas" w:cs="Consolas"/>
          <w:b w:val="0"/>
          <w:i w:val="0"/>
          <w:sz w:val="15"/>
        </w:rPr>
        <w:t>USTN QR CODE — QUICK REFERENCE CARD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QR CODE PAYLOAD: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"verify_url": "https://sgtx.io/verify/ustn/SGTX-EG-26-F3A-1",</w:t>
      </w:r>
    </w:p>
    <w:p>
      <w:pPr>
        <w:spacing w:after="0" w:before="0" w:line="240" w:lineRule="auto"/>
        <w:ind w:left="57"/>
        <w:jc w:val="left"/>
        <w:shd w:val="clear" w:fill="F2F2F2"/>
      </w:pPr>
      <w:r>
        <w:rPr>
          <w:rFonts w:ascii="Consolas" w:hAnsi="Consolas" w:cs="Consolas"/>
          <w:b w:val="0"/>
          <w:i w:val="0"/>
          <w:sz w:val="15"/>
        </w:rPr>
        <w:t xml:space="preserve">    "verifiable_credential": { ... }</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SCAN RESULT: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Status:    IN_TRANSIT</w:t>
      </w:r>
    </w:p>
    <w:p>
      <w:pPr>
        <w:spacing w:after="0" w:before="0" w:line="240" w:lineRule="auto"/>
        <w:ind w:left="57"/>
        <w:jc w:val="left"/>
        <w:shd w:val="clear" w:fill="F2F2F2"/>
      </w:pPr>
      <w:r>
        <w:rPr>
          <w:rFonts w:ascii="Consolas" w:hAnsi="Consolas" w:cs="Consolas"/>
          <w:b w:val="0"/>
          <w:i w:val="0"/>
          <w:sz w:val="15"/>
        </w:rPr>
        <w:t xml:space="preserve">  Exporter:  Strawberry Export Co.</w:t>
      </w:r>
    </w:p>
    <w:p>
      <w:pPr>
        <w:spacing w:after="0" w:before="0" w:line="240" w:lineRule="auto"/>
        <w:ind w:left="57"/>
        <w:jc w:val="left"/>
        <w:shd w:val="clear" w:fill="F2F2F2"/>
      </w:pPr>
      <w:r>
        <w:rPr>
          <w:rFonts w:ascii="Consolas" w:hAnsi="Consolas" w:cs="Consolas"/>
          <w:b w:val="0"/>
          <w:i w:val="0"/>
          <w:sz w:val="15"/>
        </w:rPr>
        <w:t xml:space="preserve">  Vessel:    MSC FIONA</w:t>
      </w:r>
    </w:p>
    <w:p>
      <w:pPr>
        <w:spacing w:after="0" w:before="0" w:line="240" w:lineRule="auto"/>
        <w:ind w:left="57"/>
        <w:jc w:val="left"/>
        <w:shd w:val="clear" w:fill="F2F2F2"/>
      </w:pPr>
      <w:r>
        <w:rPr>
          <w:rFonts w:ascii="Consolas" w:hAnsi="Consolas" w:cs="Consolas"/>
          <w:b w:val="0"/>
          <w:i w:val="0"/>
          <w:sz w:val="15"/>
        </w:rPr>
        <w:t xml:space="preserve">  ETA:       2026-05-05 14:00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OFFLINE VERIFICATION:</w:t>
      </w:r>
    </w:p>
    <w:p>
      <w:pPr>
        <w:spacing w:after="0" w:before="0" w:line="240" w:lineRule="auto"/>
        <w:ind w:left="57"/>
        <w:jc w:val="left"/>
        <w:shd w:val="clear" w:fill="F2F2F2"/>
      </w:pPr>
      <w:r>
        <w:rPr>
          <w:rFonts w:ascii="Consolas" w:hAnsi="Consolas" w:cs="Consolas"/>
          <w:b w:val="0"/>
          <w:i w:val="0"/>
          <w:sz w:val="15"/>
        </w:rPr>
        <w:t xml:space="preserve">  - App uses cached SGTX public key</w:t>
      </w:r>
    </w:p>
    <w:p>
      <w:pPr>
        <w:spacing w:after="0" w:before="0" w:line="240" w:lineRule="auto"/>
        <w:ind w:left="57"/>
        <w:jc w:val="left"/>
        <w:shd w:val="clear" w:fill="F2F2F2"/>
      </w:pPr>
      <w:r>
        <w:rPr>
          <w:rFonts w:ascii="Consolas" w:hAnsi="Consolas" w:cs="Consolas"/>
          <w:b w:val="0"/>
          <w:i w:val="0"/>
          <w:sz w:val="15"/>
        </w:rPr>
        <w:t xml:space="preserve">  - Verified — USTN SGTX-EG-26-F3A-1</w:t>
      </w:r>
    </w:p>
    <w:p>
      <w:pPr>
        <w:spacing w:after="0" w:before="0" w:line="240" w:lineRule="auto"/>
        <w:ind w:left="57"/>
        <w:jc w:val="left"/>
        <w:shd w:val="clear" w:fill="F2F2F2"/>
      </w:pPr>
      <w:r>
        <w:rPr>
          <w:rFonts w:ascii="Consolas" w:hAnsi="Consolas" w:cs="Consolas"/>
          <w:b w:val="0"/>
          <w:i w:val="0"/>
          <w:sz w:val="15"/>
        </w:rPr>
        <w:t xml:space="preserve">  - No internet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PHYSICAL DOCUMENT:</w:t>
      </w:r>
    </w:p>
    <w:p>
      <w:pPr>
        <w:spacing w:after="0" w:before="0" w:line="240" w:lineRule="auto"/>
        <w:ind w:left="57"/>
        <w:jc w:val="left"/>
        <w:shd w:val="clear" w:fill="F2F2F2"/>
      </w:pPr>
      <w:r>
        <w:rPr>
          <w:rFonts w:ascii="Consolas" w:hAnsi="Consolas" w:cs="Consolas"/>
          <w:b w:val="0"/>
          <w:i w:val="0"/>
          <w:sz w:val="15"/>
        </w:rPr>
        <w:t xml:space="preserve">  [QR CODE]</w:t>
      </w:r>
    </w:p>
    <w:p>
      <w:pPr>
        <w:spacing w:after="0" w:before="0" w:line="240" w:lineRule="auto"/>
        <w:ind w:left="57"/>
        <w:jc w:val="left"/>
        <w:shd w:val="clear" w:fill="F2F2F2"/>
      </w:pPr>
      <w:r>
        <w:rPr>
          <w:rFonts w:ascii="Consolas" w:hAnsi="Consolas" w:cs="Consolas"/>
          <w:b w:val="0"/>
          <w:i w:val="0"/>
          <w:sz w:val="15"/>
        </w:rPr>
        <w:t xml:space="preserve">  https://sgtx.io/ustn/SGTX-EG-26-F3A-1</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5.10 Earned Closure &amp; the canClose Predicate</w:t>
      </w:r>
    </w:p>
    <w:p>
      <w:pPr>
        <w:keepNext/>
        <w:spacing w:before="180" w:after="80"/>
        <w:outlineLvl w:val="2"/>
      </w:pPr>
      <w:r>
        <w:rPr>
          <w:rFonts w:ascii="Arial" w:hAnsi="Arial" w:cs="Arial"/>
          <w:b/>
          <w:i w:val="0"/>
          <w:color w:val="333333"/>
          <w:sz w:val="23"/>
        </w:rPr>
        <w:t>5.10.1 Closure Is Earned</w:t>
      </w:r>
    </w:p>
    <w:p>
      <w:pPr>
        <w:spacing w:after="80" w:line="293" w:lineRule="auto"/>
        <w:jc w:val="left"/>
      </w:pPr>
      <w:r>
        <w:rPr>
          <w:rFonts w:ascii="Times New Roman" w:hAnsi="Times New Roman" w:cs="Times New Roman"/>
          <w:b w:val="0"/>
          <w:i w:val="0"/>
          <w:sz w:val="22"/>
        </w:rPr>
        <w:t>The USTN master object in the `shipments` table is the single source of truth for current state and full history. Status transitions are deterministic and Governor-governed; every change is logged immutably via Loom and broadcast via NATS to all relevant dashboards and Smart Inboxes. The archival status COMPLETED is reached 30 days after SETTLED — but archival is not closure.</w:t>
      </w:r>
    </w:p>
    <w:p>
      <w:pPr>
        <w:spacing w:after="80" w:line="293" w:lineRule="auto"/>
        <w:jc w:val="left"/>
      </w:pPr>
      <w:r>
        <w:rPr>
          <w:rFonts w:ascii="Times New Roman" w:hAnsi="Times New Roman" w:cs="Times New Roman"/>
          <w:b w:val="0"/>
          <w:i w:val="0"/>
          <w:sz w:val="22"/>
        </w:rPr>
        <w:t>Closure is earned. A USTN moves to USTN_CLOSED only when the pure function `canClose` evaluates true. `canClose` is true only when all seven closure conditions are true: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w:t>
            </w:r>
          </w:p>
        </w:tc>
        <w:tc>
          <w:tcPr>
            <w:tcW w:type="dxa" w:w="4819"/>
            <w:shd w:val="clear" w:fill="D9E2F3"/>
          </w:tcPr>
          <w:p>
            <w:pPr>
              <w:spacing w:after="20" w:before="20" w:line="240" w:lineRule="auto"/>
            </w:pPr>
            <w:r/>
            <w:r>
              <w:rPr>
                <w:rFonts w:ascii="Arial" w:hAnsi="Arial" w:cs="Arial"/>
                <w:b/>
                <w:i w:val="0"/>
                <w:sz w:val="18"/>
              </w:rPr>
              <w:t>Closure Condition</w:t>
            </w:r>
          </w:p>
        </w:tc>
      </w:tr>
      <w:tr>
        <w:tc>
          <w:tcPr>
            <w:tcW w:type="dxa" w:w="4819"/>
          </w:tcPr>
          <w:p>
            <w:pPr>
              <w:spacing w:after="20" w:before="20" w:line="240" w:lineRule="auto"/>
            </w:pPr>
            <w:r/>
            <w:r>
              <w:rPr>
                <w:rFonts w:ascii="Arial" w:hAnsi="Arial" w:cs="Arial"/>
                <w:b w:val="0"/>
                <w:i w:val="0"/>
                <w:sz w:val="17"/>
              </w:rPr>
              <w:t>1</w:t>
            </w:r>
          </w:p>
        </w:tc>
        <w:tc>
          <w:tcPr>
            <w:tcW w:type="dxa" w:w="4819"/>
          </w:tcPr>
          <w:p>
            <w:pPr>
              <w:spacing w:after="20" w:before="20" w:line="240" w:lineRule="auto"/>
            </w:pPr>
            <w:r/>
            <w:r>
              <w:rPr>
                <w:rFonts w:ascii="Arial" w:hAnsi="Arial" w:cs="Arial"/>
                <w:b w:val="0"/>
                <w:i w:val="0"/>
                <w:sz w:val="17"/>
              </w:rPr>
              <w:t>Delivery accepted</w:t>
            </w:r>
          </w:p>
        </w:tc>
      </w:tr>
      <w:tr>
        <w:tc>
          <w:tcPr>
            <w:tcW w:type="dxa" w:w="4819"/>
          </w:tcPr>
          <w:p>
            <w:pPr>
              <w:spacing w:after="20" w:before="20" w:line="240" w:lineRule="auto"/>
            </w:pPr>
            <w:r/>
            <w:r>
              <w:rPr>
                <w:rFonts w:ascii="Arial" w:hAnsi="Arial" w:cs="Arial"/>
                <w:b w:val="0"/>
                <w:i w:val="0"/>
                <w:sz w:val="17"/>
              </w:rPr>
              <w:t>2</w:t>
            </w:r>
          </w:p>
        </w:tc>
        <w:tc>
          <w:tcPr>
            <w:tcW w:type="dxa" w:w="4819"/>
          </w:tcPr>
          <w:p>
            <w:pPr>
              <w:spacing w:after="20" w:before="20" w:line="240" w:lineRule="auto"/>
            </w:pPr>
            <w:r/>
            <w:r>
              <w:rPr>
                <w:rFonts w:ascii="Arial" w:hAnsi="Arial" w:cs="Arial"/>
                <w:b w:val="0"/>
                <w:i w:val="0"/>
                <w:sz w:val="17"/>
              </w:rPr>
              <w:t>Settlement complete</w:t>
            </w:r>
          </w:p>
        </w:tc>
      </w:tr>
      <w:tr>
        <w:tc>
          <w:tcPr>
            <w:tcW w:type="dxa" w:w="4819"/>
          </w:tcPr>
          <w:p>
            <w:pPr>
              <w:spacing w:after="20" w:before="20" w:line="240" w:lineRule="auto"/>
            </w:pPr>
            <w:r/>
            <w:r>
              <w:rPr>
                <w:rFonts w:ascii="Arial" w:hAnsi="Arial" w:cs="Arial"/>
                <w:b w:val="0"/>
                <w:i w:val="0"/>
                <w:sz w:val="17"/>
              </w:rPr>
              <w:t>3</w:t>
            </w:r>
          </w:p>
        </w:tc>
        <w:tc>
          <w:tcPr>
            <w:tcW w:type="dxa" w:w="4819"/>
          </w:tcPr>
          <w:p>
            <w:pPr>
              <w:spacing w:after="20" w:before="20" w:line="240" w:lineRule="auto"/>
            </w:pPr>
            <w:r/>
            <w:r>
              <w:rPr>
                <w:rFonts w:ascii="Arial" w:hAnsi="Arial" w:cs="Arial"/>
                <w:b w:val="0"/>
                <w:i w:val="0"/>
                <w:sz w:val="17"/>
              </w:rPr>
              <w:t>Financial reconciliation complete</w:t>
            </w:r>
          </w:p>
        </w:tc>
      </w:tr>
      <w:tr>
        <w:tc>
          <w:tcPr>
            <w:tcW w:type="dxa" w:w="4819"/>
          </w:tcPr>
          <w:p>
            <w:pPr>
              <w:spacing w:after="20" w:before="20" w:line="240" w:lineRule="auto"/>
            </w:pPr>
            <w:r/>
            <w:r>
              <w:rPr>
                <w:rFonts w:ascii="Arial" w:hAnsi="Arial" w:cs="Arial"/>
                <w:b w:val="0"/>
                <w:i w:val="0"/>
                <w:sz w:val="17"/>
              </w:rPr>
              <w:t>4</w:t>
            </w:r>
          </w:p>
        </w:tc>
        <w:tc>
          <w:tcPr>
            <w:tcW w:type="dxa" w:w="4819"/>
          </w:tcPr>
          <w:p>
            <w:pPr>
              <w:spacing w:after="20" w:before="20" w:line="240" w:lineRule="auto"/>
            </w:pPr>
            <w:r/>
            <w:r>
              <w:rPr>
                <w:rFonts w:ascii="Arial" w:hAnsi="Arial" w:cs="Arial"/>
                <w:b w:val="0"/>
                <w:i w:val="0"/>
                <w:sz w:val="17"/>
              </w:rPr>
              <w:t>Customs complete</w:t>
            </w:r>
          </w:p>
        </w:tc>
      </w:tr>
      <w:tr>
        <w:tc>
          <w:tcPr>
            <w:tcW w:type="dxa" w:w="4819"/>
          </w:tcPr>
          <w:p>
            <w:pPr>
              <w:spacing w:after="20" w:before="20" w:line="240" w:lineRule="auto"/>
            </w:pPr>
            <w:r/>
            <w:r>
              <w:rPr>
                <w:rFonts w:ascii="Arial" w:hAnsi="Arial" w:cs="Arial"/>
                <w:b w:val="0"/>
                <w:i w:val="0"/>
                <w:sz w:val="17"/>
              </w:rPr>
              <w:t>5</w:t>
            </w:r>
          </w:p>
        </w:tc>
        <w:tc>
          <w:tcPr>
            <w:tcW w:type="dxa" w:w="4819"/>
          </w:tcPr>
          <w:p>
            <w:pPr>
              <w:spacing w:after="20" w:before="20" w:line="240" w:lineRule="auto"/>
            </w:pPr>
            <w:r/>
            <w:r>
              <w:rPr>
                <w:rFonts w:ascii="Arial" w:hAnsi="Arial" w:cs="Arial"/>
                <w:b w:val="0"/>
                <w:i w:val="0"/>
                <w:sz w:val="17"/>
              </w:rPr>
              <w:t>Post-clearance complete</w:t>
            </w:r>
          </w:p>
        </w:tc>
      </w:tr>
      <w:tr>
        <w:tc>
          <w:tcPr>
            <w:tcW w:type="dxa" w:w="4819"/>
          </w:tcPr>
          <w:p>
            <w:pPr>
              <w:spacing w:after="20" w:before="20" w:line="240" w:lineRule="auto"/>
            </w:pPr>
            <w:r/>
            <w:r>
              <w:rPr>
                <w:rFonts w:ascii="Arial" w:hAnsi="Arial" w:cs="Arial"/>
                <w:b w:val="0"/>
                <w:i w:val="0"/>
                <w:sz w:val="17"/>
              </w:rPr>
              <w:t>6</w:t>
            </w:r>
          </w:p>
        </w:tc>
        <w:tc>
          <w:tcPr>
            <w:tcW w:type="dxa" w:w="4819"/>
          </w:tcPr>
          <w:p>
            <w:pPr>
              <w:spacing w:after="20" w:before="20" w:line="240" w:lineRule="auto"/>
            </w:pPr>
            <w:r/>
            <w:r>
              <w:rPr>
                <w:rFonts w:ascii="Arial" w:hAnsi="Arial" w:cs="Arial"/>
                <w:b w:val="0"/>
                <w:i w:val="0"/>
                <w:sz w:val="17"/>
              </w:rPr>
              <w:t>Disputes and claims satisfied according to closure policy</w:t>
            </w:r>
          </w:p>
        </w:tc>
      </w:tr>
      <w:tr>
        <w:tc>
          <w:tcPr>
            <w:tcW w:type="dxa" w:w="4819"/>
          </w:tcPr>
          <w:p>
            <w:pPr>
              <w:spacing w:after="20" w:before="20" w:line="240" w:lineRule="auto"/>
            </w:pPr>
            <w:r/>
            <w:r>
              <w:rPr>
                <w:rFonts w:ascii="Arial" w:hAnsi="Arial" w:cs="Arial"/>
                <w:b w:val="0"/>
                <w:i w:val="0"/>
                <w:sz w:val="17"/>
              </w:rPr>
              <w:t>7</w:t>
            </w:r>
          </w:p>
        </w:tc>
        <w:tc>
          <w:tcPr>
            <w:tcW w:type="dxa" w:w="4819"/>
          </w:tcPr>
          <w:p>
            <w:pPr>
              <w:spacing w:after="20" w:before="20" w:line="240" w:lineRule="auto"/>
            </w:pPr>
            <w:r/>
            <w:r>
              <w:rPr>
                <w:rFonts w:ascii="Arial" w:hAnsi="Arial" w:cs="Arial"/>
                <w:b w:val="0"/>
                <w:i w:val="0"/>
                <w:sz w:val="17"/>
              </w:rPr>
              <w:t>Evidence sealed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5.10.2 State-Integrity Invariant</w:t>
      </w:r>
    </w:p>
    <w:p>
      <w:pPr>
        <w:spacing w:after="80" w:line="293" w:lineRule="auto"/>
        <w:jc w:val="left"/>
      </w:pPr>
      <w:r>
        <w:rPr>
          <w:rFonts w:ascii="Times New Roman" w:hAnsi="Times New Roman" w:cs="Times New Roman"/>
          <w:b w:val="0"/>
          <w:i w:val="0"/>
          <w:sz w:val="22"/>
        </w:rPr>
        <w:t>Never allow an authoritative contradictory state. A trade is not closed merely because a closure workflow completes; it is closed only when the canonical closure policy authoritatively evaluates all required conditions and evidence to true.</w:t>
      </w:r>
    </w:p>
    <w:p>
      <w:pPr>
        <w:spacing w:after="80" w:line="293" w:lineRule="auto"/>
        <w:jc w:val="left"/>
      </w:pPr>
      <w:r>
        <w:rPr>
          <w:rFonts w:ascii="Times New Roman" w:hAnsi="Times New Roman" w:cs="Times New Roman"/>
          <w:b w:val="0"/>
          <w:i w:val="0"/>
          <w:sz w:val="22"/>
        </w:rPr>
        <w:t>The invariant `USTN_CLOSED + canClose = false` is a state-integrity exception that must never be silently accepted as valid production state.</w:t>
      </w:r>
    </w:p>
    <w:p>
      <w:pPr>
        <w:spacing w:after="80" w:line="293" w:lineRule="auto"/>
        <w:jc w:val="left"/>
      </w:pPr>
      <w:r>
        <w:rPr>
          <w:rFonts w:ascii="Times New Roman" w:hAnsi="Times New Roman" w:cs="Times New Roman"/>
          <w:b w:val="0"/>
          <w:i w:val="0"/>
          <w:sz w:val="22"/>
        </w:rPr>
        <w:t>Closure semantics are constitutional (closure-is-earned; see Section 3): a closure workflow completing does not by itself make a trade closed — the closure policy's authoritative evaluation does.</w:t>
      </w:r>
    </w:p>
    <w:p>
      <w:pPr>
        <w:keepNext/>
        <w:spacing w:before="180" w:after="80"/>
        <w:outlineLvl w:val="2"/>
      </w:pPr>
      <w:r>
        <w:rPr>
          <w:rFonts w:ascii="Arial" w:hAnsi="Arial" w:cs="Arial"/>
          <w:b/>
          <w:i w:val="0"/>
          <w:color w:val="333333"/>
          <w:sz w:val="23"/>
        </w:rPr>
        <w:t>5.10.3 Semantic End-to-End Validation</w:t>
      </w:r>
    </w:p>
    <w:p>
      <w:pPr>
        <w:spacing w:after="80" w:line="293" w:lineRule="auto"/>
        <w:jc w:val="left"/>
      </w:pPr>
      <w:r>
        <w:rPr>
          <w:rFonts w:ascii="Times New Roman" w:hAnsi="Times New Roman" w:cs="Times New Roman"/>
          <w:b w:val="0"/>
          <w:i w:val="0"/>
          <w:sz w:val="22"/>
        </w:rPr>
        <w:t>Every lifecycle stage is verified by the semantic E2E validator across four levels — not just database presence: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Level</w:t>
            </w:r>
          </w:p>
        </w:tc>
        <w:tc>
          <w:tcPr>
            <w:tcW w:type="dxa" w:w="4819"/>
            <w:shd w:val="clear" w:fill="D9E2F3"/>
          </w:tcPr>
          <w:p>
            <w:pPr>
              <w:spacing w:after="20" w:before="20" w:line="240" w:lineRule="auto"/>
            </w:pPr>
            <w:r/>
            <w:r>
              <w:rPr>
                <w:rFonts w:ascii="Arial" w:hAnsi="Arial" w:cs="Arial"/>
                <w:b/>
                <w:i w:val="0"/>
                <w:sz w:val="18"/>
              </w:rPr>
              <w:t>Check</w:t>
            </w:r>
          </w:p>
        </w:tc>
      </w:tr>
      <w:tr>
        <w:tc>
          <w:tcPr>
            <w:tcW w:type="dxa" w:w="4819"/>
          </w:tcPr>
          <w:p>
            <w:pPr>
              <w:spacing w:after="20" w:before="20" w:line="240" w:lineRule="auto"/>
            </w:pPr>
            <w:r/>
            <w:r>
              <w:rPr>
                <w:rFonts w:ascii="Arial" w:hAnsi="Arial" w:cs="Arial"/>
                <w:b w:val="0"/>
                <w:i w:val="0"/>
                <w:sz w:val="17"/>
              </w:rPr>
              <w:t>L1</w:t>
            </w:r>
          </w:p>
        </w:tc>
        <w:tc>
          <w:tcPr>
            <w:tcW w:type="dxa" w:w="4819"/>
          </w:tcPr>
          <w:p>
            <w:pPr>
              <w:spacing w:after="20" w:before="20" w:line="240" w:lineRule="auto"/>
            </w:pPr>
            <w:r/>
            <w:r>
              <w:rPr>
                <w:rFonts w:ascii="Arial" w:hAnsi="Arial" w:cs="Arial"/>
                <w:b w:val="0"/>
                <w:i w:val="0"/>
                <w:sz w:val="17"/>
              </w:rPr>
              <w:t>EXISTENCE — the referenced records exist</w:t>
            </w:r>
          </w:p>
        </w:tc>
      </w:tr>
      <w:tr>
        <w:tc>
          <w:tcPr>
            <w:tcW w:type="dxa" w:w="4819"/>
          </w:tcPr>
          <w:p>
            <w:pPr>
              <w:spacing w:after="20" w:before="20" w:line="240" w:lineRule="auto"/>
            </w:pPr>
            <w:r/>
            <w:r>
              <w:rPr>
                <w:rFonts w:ascii="Arial" w:hAnsi="Arial" w:cs="Arial"/>
                <w:b w:val="0"/>
                <w:i w:val="0"/>
                <w:sz w:val="17"/>
              </w:rPr>
              <w:t>L2</w:t>
            </w:r>
          </w:p>
        </w:tc>
        <w:tc>
          <w:tcPr>
            <w:tcW w:type="dxa" w:w="4819"/>
          </w:tcPr>
          <w:p>
            <w:pPr>
              <w:spacing w:after="20" w:before="20" w:line="240" w:lineRule="auto"/>
            </w:pPr>
            <w:r/>
            <w:r>
              <w:rPr>
                <w:rFonts w:ascii="Arial" w:hAnsi="Arial" w:cs="Arial"/>
                <w:b w:val="0"/>
                <w:i w:val="0"/>
                <w:sz w:val="17"/>
              </w:rPr>
              <w:t>REFERENTIAL INTEGRITY — all references resolve to the correct records</w:t>
            </w:r>
          </w:p>
        </w:tc>
      </w:tr>
      <w:tr>
        <w:tc>
          <w:tcPr>
            <w:tcW w:type="dxa" w:w="4819"/>
          </w:tcPr>
          <w:p>
            <w:pPr>
              <w:spacing w:after="20" w:before="20" w:line="240" w:lineRule="auto"/>
            </w:pPr>
            <w:r/>
            <w:r>
              <w:rPr>
                <w:rFonts w:ascii="Arial" w:hAnsi="Arial" w:cs="Arial"/>
                <w:b w:val="0"/>
                <w:i w:val="0"/>
                <w:sz w:val="17"/>
              </w:rPr>
              <w:t>L3</w:t>
            </w:r>
          </w:p>
        </w:tc>
        <w:tc>
          <w:tcPr>
            <w:tcW w:type="dxa" w:w="4819"/>
          </w:tcPr>
          <w:p>
            <w:pPr>
              <w:spacing w:after="20" w:before="20" w:line="240" w:lineRule="auto"/>
            </w:pPr>
            <w:r/>
            <w:r>
              <w:rPr>
                <w:rFonts w:ascii="Arial" w:hAnsi="Arial" w:cs="Arial"/>
                <w:b w:val="0"/>
                <w:i w:val="0"/>
                <w:sz w:val="17"/>
              </w:rPr>
              <w:t>STATE INTEGRITY — the state machine is internally consistent</w:t>
            </w:r>
          </w:p>
        </w:tc>
      </w:tr>
      <w:tr>
        <w:tc>
          <w:tcPr>
            <w:tcW w:type="dxa" w:w="4819"/>
          </w:tcPr>
          <w:p>
            <w:pPr>
              <w:spacing w:after="20" w:before="20" w:line="240" w:lineRule="auto"/>
            </w:pPr>
            <w:r/>
            <w:r>
              <w:rPr>
                <w:rFonts w:ascii="Arial" w:hAnsi="Arial" w:cs="Arial"/>
                <w:b w:val="0"/>
                <w:i w:val="0"/>
                <w:sz w:val="17"/>
              </w:rPr>
              <w:t>L4</w:t>
            </w:r>
          </w:p>
        </w:tc>
        <w:tc>
          <w:tcPr>
            <w:tcW w:type="dxa" w:w="4819"/>
          </w:tcPr>
          <w:p>
            <w:pPr>
              <w:spacing w:after="20" w:before="20" w:line="240" w:lineRule="auto"/>
            </w:pPr>
            <w:r/>
            <w:r>
              <w:rPr>
                <w:rFonts w:ascii="Arial" w:hAnsi="Arial" w:cs="Arial"/>
                <w:b w:val="0"/>
                <w:i w:val="0"/>
                <w:sz w:val="17"/>
              </w:rPr>
              <w:t>CONSTITUTIONAL AUTHORIZATION — the transition was authorized by the Governor under the constitution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5.10.4 Three Canonical End-to-End Fixtures</w:t>
      </w:r>
    </w:p>
    <w:p>
      <w:pPr>
        <w:spacing w:after="80" w:line="293" w:lineRule="auto"/>
        <w:jc w:val="left"/>
      </w:pPr>
      <w:r>
        <w:rPr>
          <w:rFonts w:ascii="Times New Roman" w:hAnsi="Times New Roman" w:cs="Times New Roman"/>
          <w:b w:val="0"/>
          <w:i w:val="0"/>
          <w:sz w:val="22"/>
        </w:rPr>
        <w:t>Three canonical end-to-end fixtures encode the expected verdicts and must remain green in continuous integration: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Fixture</w:t>
            </w:r>
          </w:p>
        </w:tc>
        <w:tc>
          <w:tcPr>
            <w:tcW w:type="dxa" w:w="4819"/>
            <w:shd w:val="clear" w:fill="D9E2F3"/>
          </w:tcPr>
          <w:p>
            <w:pPr>
              <w:spacing w:after="20" w:before="20" w:line="240" w:lineRule="auto"/>
            </w:pPr>
            <w:r/>
            <w:r>
              <w:rPr>
                <w:rFonts w:ascii="Arial" w:hAnsi="Arial" w:cs="Arial"/>
                <w:b/>
                <w:i w:val="0"/>
                <w:sz w:val="18"/>
              </w:rPr>
              <w:t>Expected Verdict</w:t>
            </w:r>
          </w:p>
        </w:tc>
      </w:tr>
      <w:tr>
        <w:tc>
          <w:tcPr>
            <w:tcW w:type="dxa" w:w="4819"/>
          </w:tcPr>
          <w:p>
            <w:pPr>
              <w:spacing w:after="20" w:before="20" w:line="240" w:lineRule="auto"/>
            </w:pPr>
            <w:r/>
            <w:r>
              <w:rPr>
                <w:rFonts w:ascii="Arial" w:hAnsi="Arial" w:cs="Arial"/>
                <w:b w:val="0"/>
                <w:i w:val="0"/>
                <w:sz w:val="17"/>
              </w:rPr>
              <w:t>COMPLETE</w:t>
            </w:r>
          </w:p>
        </w:tc>
        <w:tc>
          <w:tcPr>
            <w:tcW w:type="dxa" w:w="4819"/>
          </w:tcPr>
          <w:p>
            <w:pPr>
              <w:spacing w:after="20" w:before="20" w:line="240" w:lineRule="auto"/>
            </w:pPr>
            <w:r/>
            <w:r>
              <w:rPr>
                <w:rFonts w:ascii="Arial" w:hAnsi="Arial" w:cs="Arial"/>
                <w:b w:val="0"/>
                <w:i w:val="0"/>
                <w:sz w:val="17"/>
              </w:rPr>
              <w:t>e2ePassed = true, canClose = true, USTN_CLOSED</w:t>
            </w:r>
          </w:p>
        </w:tc>
      </w:tr>
      <w:tr>
        <w:tc>
          <w:tcPr>
            <w:tcW w:type="dxa" w:w="4819"/>
          </w:tcPr>
          <w:p>
            <w:pPr>
              <w:spacing w:after="20" w:before="20" w:line="240" w:lineRule="auto"/>
            </w:pPr>
            <w:r/>
            <w:r>
              <w:rPr>
                <w:rFonts w:ascii="Arial" w:hAnsi="Arial" w:cs="Arial"/>
                <w:b w:val="0"/>
                <w:i w:val="0"/>
                <w:sz w:val="17"/>
              </w:rPr>
              <w:t>SETTLEMENT_BLOCKED</w:t>
            </w:r>
          </w:p>
        </w:tc>
        <w:tc>
          <w:tcPr>
            <w:tcW w:type="dxa" w:w="4819"/>
          </w:tcPr>
          <w:p>
            <w:pPr>
              <w:spacing w:after="20" w:before="20" w:line="240" w:lineRule="auto"/>
            </w:pPr>
            <w:r/>
            <w:r>
              <w:rPr>
                <w:rFonts w:ascii="Arial" w:hAnsi="Arial" w:cs="Arial"/>
                <w:b w:val="0"/>
                <w:i w:val="0"/>
                <w:sz w:val="17"/>
              </w:rPr>
              <w:t>closure blocked — settlement incomplete</w:t>
            </w:r>
          </w:p>
        </w:tc>
      </w:tr>
      <w:tr>
        <w:tc>
          <w:tcPr>
            <w:tcW w:type="dxa" w:w="4819"/>
          </w:tcPr>
          <w:p>
            <w:pPr>
              <w:spacing w:after="20" w:before="20" w:line="240" w:lineRule="auto"/>
            </w:pPr>
            <w:r/>
            <w:r>
              <w:rPr>
                <w:rFonts w:ascii="Arial" w:hAnsi="Arial" w:cs="Arial"/>
                <w:b w:val="0"/>
                <w:i w:val="0"/>
                <w:sz w:val="17"/>
              </w:rPr>
              <w:t>MULTI_BLOCKED</w:t>
            </w:r>
          </w:p>
        </w:tc>
        <w:tc>
          <w:tcPr>
            <w:tcW w:type="dxa" w:w="4819"/>
          </w:tcPr>
          <w:p>
            <w:pPr>
              <w:spacing w:after="20" w:before="20" w:line="240" w:lineRule="auto"/>
            </w:pPr>
            <w:r/>
            <w:r>
              <w:rPr>
                <w:rFonts w:ascii="Arial" w:hAnsi="Arial" w:cs="Arial"/>
                <w:b w:val="0"/>
                <w:i w:val="0"/>
                <w:sz w:val="17"/>
              </w:rPr>
              <w:t>closure blocked — multi-condition failure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5.10.5 Final Evidence Package — 26 Categories</w:t>
      </w:r>
    </w:p>
    <w:p>
      <w:pPr>
        <w:spacing w:after="80" w:line="293" w:lineRule="auto"/>
        <w:jc w:val="left"/>
      </w:pPr>
      <w:r>
        <w:rPr>
          <w:rFonts w:ascii="Times New Roman" w:hAnsi="Times New Roman" w:cs="Times New Roman"/>
          <w:b w:val="0"/>
          <w:i w:val="0"/>
          <w:sz w:val="22"/>
        </w:rPr>
        <w:t>At closure the platform creates the FINAL_TRADE_EVIDENCE_PACKAGE containing evidence across 26 categories, sealed by the Governor and Loom:</w:t>
      </w:r>
    </w:p>
    <w:p>
      <w:pPr>
        <w:spacing w:after="0" w:before="0" w:line="240" w:lineRule="auto"/>
        <w:ind w:left="57"/>
        <w:jc w:val="left"/>
        <w:shd w:val="clear" w:fill="F2F2F2"/>
      </w:pPr>
      <w:r>
        <w:rPr>
          <w:rFonts w:ascii="Consolas" w:hAnsi="Consolas" w:cs="Consolas"/>
          <w:b w:val="0"/>
          <w:i w:val="0"/>
          <w:sz w:val="15"/>
        </w:rPr>
        <w:t>RFQ, quotes, PO/SO, contract, regulatory snapshot, classification, origin,</w:t>
      </w:r>
    </w:p>
    <w:p>
      <w:pPr>
        <w:spacing w:after="0" w:before="0" w:line="240" w:lineRule="auto"/>
        <w:ind w:left="57"/>
        <w:jc w:val="left"/>
        <w:shd w:val="clear" w:fill="F2F2F2"/>
      </w:pPr>
      <w:r>
        <w:rPr>
          <w:rFonts w:ascii="Consolas" w:hAnsi="Consolas" w:cs="Consolas"/>
          <w:b w:val="0"/>
          <w:i w:val="0"/>
          <w:sz w:val="15"/>
        </w:rPr>
        <w:t>licenses, permits, certificates, customs, transport, government references,</w:t>
      </w:r>
    </w:p>
    <w:p>
      <w:pPr>
        <w:spacing w:after="0" w:before="0" w:line="240" w:lineRule="auto"/>
        <w:ind w:left="57"/>
        <w:jc w:val="left"/>
        <w:shd w:val="clear" w:fill="F2F2F2"/>
      </w:pPr>
      <w:r>
        <w:rPr>
          <w:rFonts w:ascii="Consolas" w:hAnsi="Consolas" w:cs="Consolas"/>
          <w:b w:val="0"/>
          <w:i w:val="0"/>
          <w:sz w:val="15"/>
        </w:rPr>
        <w:t>payment, bank, settlement, accounting, inspection, QC, insurance, GPS, IoT,</w:t>
      </w:r>
    </w:p>
    <w:p>
      <w:pPr>
        <w:spacing w:after="0" w:before="0" w:line="240" w:lineRule="auto"/>
        <w:ind w:left="57"/>
        <w:jc w:val="left"/>
        <w:shd w:val="clear" w:fill="F2F2F2"/>
      </w:pPr>
      <w:r>
        <w:rPr>
          <w:rFonts w:ascii="Consolas" w:hAnsi="Consolas" w:cs="Consolas"/>
          <w:b w:val="0"/>
          <w:i w:val="0"/>
          <w:sz w:val="15"/>
        </w:rPr>
        <w:t>delivery, claims, disputes, post-clearance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closure package is completed by the two sealing mechanisms — the Governor decision trail and the Loom audit chain — which bind the evidence categories together into one authoritative, tamper-evident record.</w:t>
      </w:r>
    </w:p>
    <w:p>
      <w:pPr>
        <w:keepNext/>
        <w:spacing w:before="180" w:after="80"/>
        <w:outlineLvl w:val="2"/>
      </w:pPr>
      <w:r>
        <w:rPr>
          <w:rFonts w:ascii="Arial" w:hAnsi="Arial" w:cs="Arial"/>
          <w:b/>
          <w:i w:val="0"/>
          <w:color w:val="333333"/>
          <w:sz w:val="23"/>
        </w:rPr>
        <w:t>5.10.6 Evidence Sealing Rules</w:t>
      </w:r>
    </w:p>
    <w:p>
      <w:pPr>
        <w:spacing w:after="80" w:line="293" w:lineRule="auto"/>
        <w:ind w:left="283"/>
        <w:jc w:val="left"/>
      </w:pPr>
      <w:r>
        <w:rPr>
          <w:rFonts w:ascii="Times New Roman" w:hAnsi="Times New Roman" w:cs="Times New Roman"/>
          <w:b w:val="0"/>
          <w:i w:val="0"/>
          <w:sz w:val="22"/>
        </w:rPr>
        <w:t>- The package is sealed at USTN closure.</w:t>
      </w:r>
    </w:p>
    <w:p>
      <w:pPr>
        <w:spacing w:after="80" w:line="293" w:lineRule="auto"/>
        <w:ind w:left="283"/>
        <w:jc w:val="left"/>
      </w:pPr>
      <w:r>
        <w:rPr>
          <w:rFonts w:ascii="Times New Roman" w:hAnsi="Times New Roman" w:cs="Times New Roman"/>
          <w:b w:val="0"/>
          <w:i w:val="0"/>
          <w:sz w:val="22"/>
        </w:rPr>
        <w:t>- Post-closure observation may add evidence but never modify sealed evidence.</w:t>
      </w:r>
    </w:p>
    <w:p>
      <w:pPr>
        <w:spacing w:after="80" w:line="293" w:lineRule="auto"/>
        <w:ind w:left="283"/>
        <w:jc w:val="left"/>
      </w:pPr>
      <w:r>
        <w:rPr>
          <w:rFonts w:ascii="Times New Roman" w:hAnsi="Times New Roman" w:cs="Times New Roman"/>
          <w:b w:val="0"/>
          <w:i w:val="0"/>
          <w:sz w:val="22"/>
        </w:rPr>
        <w:t>- Every category item carries its document hash, custodian, and verification token.</w:t>
      </w:r>
    </w:p>
    <w:p>
      <w:pPr>
        <w:spacing w:after="80" w:line="293" w:lineRule="auto"/>
        <w:ind w:left="283"/>
        <w:jc w:val="left"/>
      </w:pPr>
      <w:r>
        <w:rPr>
          <w:rFonts w:ascii="Times New Roman" w:hAnsi="Times New Roman" w:cs="Times New Roman"/>
          <w:b w:val="0"/>
          <w:i w:val="0"/>
          <w:sz w:val="22"/>
        </w:rPr>
        <w:t>- Recovery restores state but never erases audit history — the Loom chain is immutable (recovery ≠ erasure; see Section 3).</w:t>
      </w:r>
    </w:p>
    <w:p>
      <w:pPr>
        <w:keepNext/>
        <w:spacing w:before="180" w:after="80"/>
        <w:outlineLvl w:val="2"/>
      </w:pPr>
      <w:r>
        <w:rPr>
          <w:rFonts w:ascii="Arial" w:hAnsi="Arial" w:cs="Arial"/>
          <w:b/>
          <w:i w:val="0"/>
          <w:color w:val="333333"/>
          <w:sz w:val="23"/>
        </w:rPr>
        <w:t>5.10.7 Claims Evidence Categories</w:t>
      </w:r>
    </w:p>
    <w:p>
      <w:pPr>
        <w:spacing w:after="80" w:line="293" w:lineRule="auto"/>
        <w:jc w:val="left"/>
      </w:pPr>
      <w:r>
        <w:rPr>
          <w:rFonts w:ascii="Times New Roman" w:hAnsi="Times New Roman" w:cs="Times New Roman"/>
          <w:b w:val="0"/>
          <w:i w:val="0"/>
          <w:sz w:val="22"/>
        </w:rPr>
        <w:t>Claims are supported across the following categories, each producing evidence captured in the package:</w:t>
      </w:r>
    </w:p>
    <w:p>
      <w:pPr>
        <w:spacing w:after="80" w:line="293" w:lineRule="auto"/>
        <w:ind w:left="283"/>
        <w:jc w:val="left"/>
      </w:pPr>
      <w:r>
        <w:rPr>
          <w:rFonts w:ascii="Times New Roman" w:hAnsi="Times New Roman" w:cs="Times New Roman"/>
          <w:b w:val="0"/>
          <w:i w:val="0"/>
          <w:sz w:val="22"/>
        </w:rPr>
        <w:t>- damage</w:t>
      </w:r>
    </w:p>
    <w:p>
      <w:pPr>
        <w:spacing w:after="80" w:line="293" w:lineRule="auto"/>
        <w:ind w:left="283"/>
        <w:jc w:val="left"/>
      </w:pPr>
      <w:r>
        <w:rPr>
          <w:rFonts w:ascii="Times New Roman" w:hAnsi="Times New Roman" w:cs="Times New Roman"/>
          <w:b w:val="0"/>
          <w:i w:val="0"/>
          <w:sz w:val="22"/>
        </w:rPr>
        <w:t>- shortage</w:t>
      </w:r>
    </w:p>
    <w:p>
      <w:pPr>
        <w:spacing w:after="80" w:line="293" w:lineRule="auto"/>
        <w:ind w:left="283"/>
        <w:jc w:val="left"/>
      </w:pPr>
      <w:r>
        <w:rPr>
          <w:rFonts w:ascii="Times New Roman" w:hAnsi="Times New Roman" w:cs="Times New Roman"/>
          <w:b w:val="0"/>
          <w:i w:val="0"/>
          <w:sz w:val="22"/>
        </w:rPr>
        <w:t>- quality</w:t>
      </w:r>
    </w:p>
    <w:p>
      <w:pPr>
        <w:spacing w:after="80" w:line="293" w:lineRule="auto"/>
        <w:ind w:left="283"/>
        <w:jc w:val="left"/>
      </w:pPr>
      <w:r>
        <w:rPr>
          <w:rFonts w:ascii="Times New Roman" w:hAnsi="Times New Roman" w:cs="Times New Roman"/>
          <w:b w:val="0"/>
          <w:i w:val="0"/>
          <w:sz w:val="22"/>
        </w:rPr>
        <w:t>- temperature</w:t>
      </w:r>
    </w:p>
    <w:p>
      <w:pPr>
        <w:spacing w:after="80" w:line="293" w:lineRule="auto"/>
        <w:ind w:left="283"/>
        <w:jc w:val="left"/>
      </w:pPr>
      <w:r>
        <w:rPr>
          <w:rFonts w:ascii="Times New Roman" w:hAnsi="Times New Roman" w:cs="Times New Roman"/>
          <w:b w:val="0"/>
          <w:i w:val="0"/>
          <w:sz w:val="22"/>
        </w:rPr>
        <w:t>- delay</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documentation</w:t>
      </w:r>
    </w:p>
    <w:p>
      <w:pPr>
        <w:spacing w:after="80" w:line="293" w:lineRule="auto"/>
        <w:ind w:left="283"/>
        <w:jc w:val="left"/>
      </w:pPr>
      <w:r>
        <w:rPr>
          <w:rFonts w:ascii="Times New Roman" w:hAnsi="Times New Roman" w:cs="Times New Roman"/>
          <w:b w:val="0"/>
          <w:i w:val="0"/>
          <w:sz w:val="22"/>
        </w:rPr>
        <w:t>- carrier</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warranty</w:t>
      </w:r>
    </w:p>
    <w:p>
      <w:pPr>
        <w:keepNext/>
        <w:spacing w:before="180" w:after="80"/>
        <w:outlineLvl w:val="2"/>
      </w:pPr>
      <w:r>
        <w:rPr>
          <w:rFonts w:ascii="Arial" w:hAnsi="Arial" w:cs="Arial"/>
          <w:b/>
          <w:i w:val="0"/>
          <w:color w:val="333333"/>
          <w:sz w:val="23"/>
        </w:rPr>
        <w:t>5.10.8 Returns / Reverse Trade Evidence Categories</w:t>
      </w:r>
    </w:p>
    <w:p>
      <w:pPr>
        <w:spacing w:after="80" w:line="293" w:lineRule="auto"/>
        <w:jc w:val="left"/>
      </w:pPr>
      <w:r>
        <w:rPr>
          <w:rFonts w:ascii="Times New Roman" w:hAnsi="Times New Roman" w:cs="Times New Roman"/>
          <w:b w:val="0"/>
          <w:i w:val="0"/>
          <w:sz w:val="22"/>
        </w:rPr>
        <w:t>Returns and reverse trade are supported across the following categories:</w:t>
      </w:r>
    </w:p>
    <w:p>
      <w:pPr>
        <w:spacing w:after="80" w:line="293" w:lineRule="auto"/>
        <w:ind w:left="283"/>
        <w:jc w:val="left"/>
      </w:pPr>
      <w:r>
        <w:rPr>
          <w:rFonts w:ascii="Times New Roman" w:hAnsi="Times New Roman" w:cs="Times New Roman"/>
          <w:b w:val="0"/>
          <w:i w:val="0"/>
          <w:sz w:val="22"/>
        </w:rPr>
        <w:t>- rejection</w:t>
      </w:r>
    </w:p>
    <w:p>
      <w:pPr>
        <w:spacing w:after="80" w:line="293" w:lineRule="auto"/>
        <w:ind w:left="283"/>
        <w:jc w:val="left"/>
      </w:pPr>
      <w:r>
        <w:rPr>
          <w:rFonts w:ascii="Times New Roman" w:hAnsi="Times New Roman" w:cs="Times New Roman"/>
          <w:b w:val="0"/>
          <w:i w:val="0"/>
          <w:sz w:val="22"/>
        </w:rPr>
        <w:t>- return</w:t>
      </w:r>
    </w:p>
    <w:p>
      <w:pPr>
        <w:spacing w:after="80" w:line="293" w:lineRule="auto"/>
        <w:ind w:left="283"/>
        <w:jc w:val="left"/>
      </w:pPr>
      <w:r>
        <w:rPr>
          <w:rFonts w:ascii="Times New Roman" w:hAnsi="Times New Roman" w:cs="Times New Roman"/>
          <w:b w:val="0"/>
          <w:i w:val="0"/>
          <w:sz w:val="22"/>
        </w:rPr>
        <w:t>- warranty</w:t>
      </w:r>
    </w:p>
    <w:p>
      <w:pPr>
        <w:spacing w:after="80" w:line="293" w:lineRule="auto"/>
        <w:ind w:left="283"/>
        <w:jc w:val="left"/>
      </w:pPr>
      <w:r>
        <w:rPr>
          <w:rFonts w:ascii="Times New Roman" w:hAnsi="Times New Roman" w:cs="Times New Roman"/>
          <w:b w:val="0"/>
          <w:i w:val="0"/>
          <w:sz w:val="22"/>
        </w:rPr>
        <w:t>- repair</w:t>
      </w:r>
    </w:p>
    <w:p>
      <w:pPr>
        <w:spacing w:after="80" w:line="293" w:lineRule="auto"/>
        <w:ind w:left="283"/>
        <w:jc w:val="left"/>
      </w:pPr>
      <w:r>
        <w:rPr>
          <w:rFonts w:ascii="Times New Roman" w:hAnsi="Times New Roman" w:cs="Times New Roman"/>
          <w:b w:val="0"/>
          <w:i w:val="0"/>
          <w:sz w:val="22"/>
        </w:rPr>
        <w:t>- replacement</w:t>
      </w:r>
    </w:p>
    <w:p>
      <w:pPr>
        <w:spacing w:after="80" w:line="293" w:lineRule="auto"/>
        <w:ind w:left="283"/>
        <w:jc w:val="left"/>
      </w:pPr>
      <w:r>
        <w:rPr>
          <w:rFonts w:ascii="Times New Roman" w:hAnsi="Times New Roman" w:cs="Times New Roman"/>
          <w:b w:val="0"/>
          <w:i w:val="0"/>
          <w:sz w:val="22"/>
        </w:rPr>
        <w:t>- re-export</w:t>
      </w:r>
    </w:p>
    <w:p>
      <w:pPr>
        <w:spacing w:after="80" w:line="293" w:lineRule="auto"/>
        <w:ind w:left="283"/>
        <w:jc w:val="left"/>
      </w:pPr>
      <w:r>
        <w:rPr>
          <w:rFonts w:ascii="Times New Roman" w:hAnsi="Times New Roman" w:cs="Times New Roman"/>
          <w:b w:val="0"/>
          <w:i w:val="0"/>
          <w:sz w:val="22"/>
        </w:rPr>
        <w:t>- re-import</w:t>
      </w:r>
    </w:p>
    <w:p>
      <w:pPr>
        <w:spacing w:after="80" w:line="293" w:lineRule="auto"/>
        <w:ind w:left="283"/>
        <w:jc w:val="left"/>
      </w:pPr>
      <w:r>
        <w:rPr>
          <w:rFonts w:ascii="Times New Roman" w:hAnsi="Times New Roman" w:cs="Times New Roman"/>
          <w:b w:val="0"/>
          <w:i w:val="0"/>
          <w:sz w:val="22"/>
        </w:rPr>
        <w:t>- destruction</w:t>
      </w:r>
    </w:p>
    <w:p>
      <w:pPr>
        <w:spacing w:after="80" w:line="293" w:lineRule="auto"/>
        <w:ind w:left="283"/>
        <w:jc w:val="left"/>
      </w:pPr>
      <w:r>
        <w:rPr>
          <w:rFonts w:ascii="Times New Roman" w:hAnsi="Times New Roman" w:cs="Times New Roman"/>
          <w:b w:val="0"/>
          <w:i w:val="0"/>
          <w:sz w:val="22"/>
        </w:rPr>
        <w:t>- abandonment</w:t>
      </w:r>
    </w:p>
    <w:p>
      <w:pPr>
        <w:spacing w:after="80" w:line="293" w:lineRule="auto"/>
        <w:jc w:val="left"/>
      </w:pPr>
      <w:r>
        <w:rPr>
          <w:rFonts w:ascii="Times New Roman" w:hAnsi="Times New Roman" w:cs="Times New Roman"/>
          <w:b w:val="0"/>
          <w:i w:val="0"/>
          <w:sz w:val="22"/>
        </w:rPr>
        <w:t>Returns and reverse logistics use parent/child USTNs so that the reverse trade inherits the same evidence discipline, lifecycle, and closure conditions as the original trade.</w:t>
      </w:r>
    </w:p>
    <w:p>
      <w:pPr>
        <w:keepNext/>
        <w:spacing w:before="180" w:after="80"/>
        <w:outlineLvl w:val="2"/>
      </w:pPr>
      <w:r>
        <w:rPr>
          <w:rFonts w:ascii="Arial" w:hAnsi="Arial" w:cs="Arial"/>
          <w:b/>
          <w:i w:val="0"/>
          <w:color w:val="333333"/>
          <w:sz w:val="23"/>
        </w:rPr>
        <w:t>5.10.9 USTN Lineage</w:t>
      </w:r>
    </w:p>
    <w:p>
      <w:pPr>
        <w:spacing w:after="80" w:line="293" w:lineRule="auto"/>
        <w:jc w:val="left"/>
      </w:pPr>
      <w:r>
        <w:rPr>
          <w:rFonts w:ascii="Times New Roman" w:hAnsi="Times New Roman" w:cs="Times New Roman"/>
          <w:b w:val="0"/>
          <w:i w:val="0"/>
          <w:sz w:val="22"/>
        </w:rPr>
        <w:t>The canonical lineage of every USTN is:</w:t>
      </w:r>
    </w:p>
    <w:p>
      <w:pPr>
        <w:spacing w:after="0" w:before="0" w:line="240" w:lineRule="auto"/>
        <w:ind w:left="57"/>
        <w:jc w:val="left"/>
        <w:shd w:val="clear" w:fill="F2F2F2"/>
      </w:pPr>
      <w:r>
        <w:rPr>
          <w:rFonts w:ascii="Consolas" w:hAnsi="Consolas" w:cs="Consolas"/>
          <w:b w:val="0"/>
          <w:i w:val="0"/>
          <w:sz w:val="15"/>
        </w:rPr>
        <w:t>USTN → Parent Event → Child Event → Exception Event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Claims, returns, distressed micro-contracts, and disputes attach to the USTN lineage as exception events, preserving a single verifiable chain from trade initiation through reverse logistics and closure. Parent/child USTN relationships (micro_contracts.parent_ustn, distressed and return linkages) carry the same evidence, sealing, and closure discipline as the root trade.</w:t>
      </w:r>
    </w:p>
    <w:p>
      <w:pPr>
        <w:keepNext/>
        <w:spacing w:before="360" w:after="160"/>
        <w:outlineLvl w:val="0"/>
      </w:pPr>
      <w:r>
        <w:rPr>
          <w:rFonts w:ascii="Arial" w:hAnsi="Arial" w:cs="Arial"/>
          <w:b/>
          <w:i w:val="0"/>
          <w:color w:val="1F3864"/>
          <w:sz w:val="32"/>
        </w:rPr>
        <w:t>6. Buyer Workflow — Phase 1 (Trade Initiation)</w:t>
      </w:r>
    </w:p>
    <w:p>
      <w:pPr>
        <w:keepNext/>
        <w:spacing w:before="240" w:after="100"/>
        <w:outlineLvl w:val="1"/>
      </w:pPr>
      <w:r>
        <w:rPr>
          <w:rFonts w:ascii="Arial" w:hAnsi="Arial" w:cs="Arial"/>
          <w:b/>
          <w:i w:val="0"/>
          <w:color w:val="2E528F"/>
          <w:sz w:val="26"/>
        </w:rPr>
        <w:t>6.1 Purpose &amp; Design Philosophy</w:t>
      </w:r>
    </w:p>
    <w:p>
      <w:pPr>
        <w:spacing w:after="80" w:line="293" w:lineRule="auto"/>
        <w:jc w:val="left"/>
      </w:pPr>
      <w:r>
        <w:rPr>
          <w:rFonts w:ascii="Times New Roman" w:hAnsi="Times New Roman" w:cs="Times New Roman"/>
          <w:b w:val="0"/>
          <w:i w:val="0"/>
          <w:sz w:val="22"/>
        </w:rPr>
        <w:t>Phase 1: Trade Initiation is the first operational phase of the SGTX platform. It enables the buyer to create a structured, container-level trade request that captures all commercial, logistical, financial, regulatory, and settlement requirements in a single, AI-assisted workflow. The Buyer Workflow transforms the buyer's commercial intent into a machine-readable, actionable trade request that drives every subsequent phase — quoting, packing, logistics, financing, execution, and settlement. It is the single source of truth for all downstream phases.</w:t>
      </w:r>
    </w:p>
    <w:p>
      <w:pPr>
        <w:spacing w:after="80" w:line="293" w:lineRule="auto"/>
        <w:jc w:val="left"/>
      </w:pPr>
      <w:r>
        <w:rPr>
          <w:rFonts w:ascii="Times New Roman" w:hAnsi="Times New Roman" w:cs="Times New Roman"/>
          <w:b w:val="0"/>
          <w:i w:val="0"/>
          <w:sz w:val="22"/>
        </w:rPr>
        <w:t>The Dynamic Product-Aware Request Form is the entry point for every trade. It uses AI-driven dynamic schema generation to adapt the form in real time based on the selected product, origin, destination, port, and any special requirements. The buyer never needs to research regulations manually — the system pre-populates the required fields, documents, and compliance requirements. The form also dynamically generates the exact fields needed for the packing list — pallet size, number of pallets, cartons per pallet, layer arrangement, and packaging details — tailored to the specific commodity and its handling requirements. The form is buyer-facing (Trader Portal, Buyer mode) but the data is stored and reused throughout the workflow — for the seller's packing, customs declaration, invoice generation, and financing. No data re-entry occurs across phases.</w:t>
      </w:r>
    </w:p>
    <w:p>
      <w:pPr>
        <w:spacing w:after="80" w:line="293" w:lineRule="auto"/>
        <w:jc w:val="left"/>
      </w:pPr>
      <w:r>
        <w:rPr>
          <w:rFonts w:ascii="Times New Roman" w:hAnsi="Times New Roman" w:cs="Times New Roman"/>
          <w:b w:val="0"/>
          <w:i w:val="0"/>
          <w:sz w:val="22"/>
        </w:rPr>
        <w:t>The goal of Phase 1 is a comprehensive, structured trade request that includes:</w:t>
      </w:r>
    </w:p>
    <w:p>
      <w:pPr>
        <w:spacing w:after="80" w:line="293" w:lineRule="auto"/>
        <w:ind w:left="283"/>
        <w:jc w:val="left"/>
      </w:pPr>
      <w:r>
        <w:rPr>
          <w:rFonts w:ascii="Times New Roman" w:hAnsi="Times New Roman" w:cs="Times New Roman"/>
          <w:b w:val="0"/>
          <w:i w:val="0"/>
          <w:sz w:val="22"/>
        </w:rPr>
        <w:t>- Counterparty selection (seller)</w:t>
      </w:r>
    </w:p>
    <w:p>
      <w:pPr>
        <w:spacing w:after="80" w:line="293" w:lineRule="auto"/>
        <w:ind w:left="283"/>
        <w:jc w:val="left"/>
      </w:pPr>
      <w:r>
        <w:rPr>
          <w:rFonts w:ascii="Times New Roman" w:hAnsi="Times New Roman" w:cs="Times New Roman"/>
          <w:b w:val="0"/>
          <w:i w:val="0"/>
          <w:sz w:val="22"/>
        </w:rPr>
        <w:t>- Commercial terms (incoterm, product specifications, quantity, tolerance, criticality)</w:t>
      </w:r>
    </w:p>
    <w:p>
      <w:pPr>
        <w:spacing w:after="80" w:line="293" w:lineRule="auto"/>
        <w:ind w:left="283"/>
        <w:jc w:val="left"/>
      </w:pPr>
      <w:r>
        <w:rPr>
          <w:rFonts w:ascii="Times New Roman" w:hAnsi="Times New Roman" w:cs="Times New Roman"/>
          <w:b w:val="0"/>
          <w:i w:val="0"/>
          <w:sz w:val="22"/>
        </w:rPr>
        <w:t>- Physical configuration (containers, commodities, packaging, transport mode, equipment)</w:t>
      </w:r>
    </w:p>
    <w:p>
      <w:pPr>
        <w:spacing w:after="80" w:line="293" w:lineRule="auto"/>
        <w:ind w:left="283"/>
        <w:jc w:val="left"/>
      </w:pPr>
      <w:r>
        <w:rPr>
          <w:rFonts w:ascii="Times New Roman" w:hAnsi="Times New Roman" w:cs="Times New Roman"/>
          <w:b w:val="0"/>
          <w:i w:val="0"/>
          <w:sz w:val="22"/>
        </w:rPr>
        <w:t>- Documentation requirements (required documents, formats, languages, triggers)</w:t>
      </w:r>
    </w:p>
    <w:p>
      <w:pPr>
        <w:spacing w:after="80" w:line="293" w:lineRule="auto"/>
        <w:ind w:left="283"/>
        <w:jc w:val="left"/>
      </w:pPr>
      <w:r>
        <w:rPr>
          <w:rFonts w:ascii="Times New Roman" w:hAnsi="Times New Roman" w:cs="Times New Roman"/>
          <w:b w:val="0"/>
          <w:i w:val="0"/>
          <w:sz w:val="22"/>
        </w:rPr>
        <w:t>- Logistics requirements (transport mode, equipment, delivery window)</w:t>
      </w:r>
    </w:p>
    <w:p>
      <w:pPr>
        <w:spacing w:after="80" w:line="293" w:lineRule="auto"/>
        <w:ind w:left="283"/>
        <w:jc w:val="left"/>
      </w:pPr>
      <w:r>
        <w:rPr>
          <w:rFonts w:ascii="Times New Roman" w:hAnsi="Times New Roman" w:cs="Times New Roman"/>
          <w:b w:val="0"/>
          <w:i w:val="0"/>
          <w:sz w:val="22"/>
        </w:rPr>
        <w:t>- Insurance requirements (coverage, responsible party)</w:t>
      </w:r>
    </w:p>
    <w:p>
      <w:pPr>
        <w:spacing w:after="80" w:line="293" w:lineRule="auto"/>
        <w:ind w:left="283"/>
        <w:jc w:val="left"/>
      </w:pPr>
      <w:r>
        <w:rPr>
          <w:rFonts w:ascii="Times New Roman" w:hAnsi="Times New Roman" w:cs="Times New Roman"/>
          <w:b w:val="0"/>
          <w:i w:val="0"/>
          <w:sz w:val="22"/>
        </w:rPr>
        <w:t>- Financial and settlement requirements (payment method, terms, financing interest, settlement structure)</w:t>
      </w:r>
    </w:p>
    <w:p>
      <w:pPr>
        <w:spacing w:after="80" w:line="293" w:lineRule="auto"/>
        <w:ind w:left="283"/>
        <w:jc w:val="left"/>
      </w:pPr>
      <w:r>
        <w:rPr>
          <w:rFonts w:ascii="Times New Roman" w:hAnsi="Times New Roman" w:cs="Times New Roman"/>
          <w:b w:val="0"/>
          <w:i w:val="0"/>
          <w:sz w:val="22"/>
        </w:rPr>
        <w:t>- Lab test and QC inspection requirements (explicit, priced, and geography-validated)</w:t>
      </w:r>
    </w:p>
    <w:p>
      <w:pPr>
        <w:spacing w:after="80" w:line="293" w:lineRule="auto"/>
        <w:ind w:left="283"/>
        <w:jc w:val="left"/>
      </w:pPr>
      <w:r>
        <w:rPr>
          <w:rFonts w:ascii="Times New Roman" w:hAnsi="Times New Roman" w:cs="Times New Roman"/>
          <w:b w:val="0"/>
          <w:i w:val="0"/>
          <w:sz w:val="22"/>
        </w:rPr>
        <w:t>- Internal governance (executive approval, trade readiness)</w:t>
      </w:r>
    </w:p>
    <w:p>
      <w:pPr>
        <w:spacing w:after="80" w:line="293" w:lineRule="auto"/>
        <w:jc w:val="left"/>
      </w:pPr>
      <w:r>
        <w:rPr>
          <w:rFonts w:ascii="Times New Roman" w:hAnsi="Times New Roman" w:cs="Times New Roman"/>
          <w:b w:val="0"/>
          <w:i w:val="0"/>
          <w:sz w:val="22"/>
        </w:rPr>
        <w:t>Canonical sequence. Transport Mode is selected before containers/units; Incoterm and Settlement are captured in one merged step; the AI Container Advisor runs after Transport Mode selection because its recommendations are mode-dependent.</w:t>
      </w:r>
    </w:p>
    <w:p>
      <w:pPr>
        <w:spacing w:after="80" w:line="293" w:lineRule="auto"/>
        <w:jc w:val="left"/>
      </w:pPr>
      <w:r>
        <w:rPr>
          <w:rFonts w:ascii="Times New Roman" w:hAnsi="Times New Roman" w:cs="Times New Roman"/>
          <w:b w:val="0"/>
          <w:i w:val="0"/>
          <w:sz w:val="22"/>
        </w:rPr>
        <w:t>Data-sovereign financing. Financing declarations are strictly single-party. The buyer declares only the buyer's own financing need through the Buyer Financing Toggle; the seller declares only the seller's financing needs in Phase 2 (Section 8). No shared, counterparty, or "either-party" financing flags exist anywhere in the request model. Neither party's financing intent is visible to the counterparty unless explicitly shared through the Conditional Financing Reference (CFR) process (see Section 7).</w:t>
      </w:r>
    </w:p>
    <w:p>
      <w:pPr>
        <w:keepNext/>
        <w:spacing w:before="180" w:after="80"/>
        <w:outlineLvl w:val="2"/>
      </w:pPr>
      <w:r>
        <w:rPr>
          <w:rFonts w:ascii="Arial" w:hAnsi="Arial" w:cs="Arial"/>
          <w:b/>
          <w:i w:val="0"/>
          <w:color w:val="333333"/>
          <w:sz w:val="23"/>
        </w:rPr>
        <w:t>6.1.1 Core Principles</w:t>
      </w:r>
    </w:p>
    <w:p>
      <w:pPr>
        <w:spacing w:after="80" w:line="293" w:lineRule="auto"/>
        <w:ind w:left="283"/>
        <w:jc w:val="left"/>
      </w:pPr>
      <w:r>
        <w:rPr>
          <w:rFonts w:ascii="Times New Roman" w:hAnsi="Times New Roman" w:cs="Times New Roman"/>
          <w:b w:val="0"/>
          <w:i w:val="0"/>
          <w:sz w:val="22"/>
        </w:rPr>
        <w:t>- One source of truth — All structured container and commodity data is stored in `trade_requests.parsed_specs`</w:t>
      </w:r>
    </w:p>
    <w:p>
      <w:pPr>
        <w:spacing w:after="80" w:line="293" w:lineRule="auto"/>
        <w:jc w:val="left"/>
      </w:pPr>
      <w:r>
        <w:rPr>
          <w:rFonts w:ascii="Times New Roman" w:hAnsi="Times New Roman" w:cs="Times New Roman"/>
          <w:b w:val="0"/>
          <w:i w:val="0"/>
          <w:sz w:val="22"/>
        </w:rPr>
        <w:t>JSONB and reused throughout the workflow. No data duplication.</w:t>
      </w:r>
    </w:p>
    <w:p>
      <w:pPr>
        <w:spacing w:after="80" w:line="293" w:lineRule="auto"/>
        <w:ind w:left="283"/>
        <w:jc w:val="left"/>
      </w:pPr>
      <w:r>
        <w:rPr>
          <w:rFonts w:ascii="Times New Roman" w:hAnsi="Times New Roman" w:cs="Times New Roman"/>
          <w:b w:val="0"/>
          <w:i w:val="0"/>
          <w:sz w:val="22"/>
        </w:rPr>
        <w:t>- One Adaptive Experience — There are no separate "Basic" versus "Expert" modes; progressive disclosure, smart</w:t>
      </w:r>
    </w:p>
    <w:p>
      <w:pPr>
        <w:spacing w:after="80" w:line="293" w:lineRule="auto"/>
        <w:jc w:val="left"/>
      </w:pPr>
      <w:r>
        <w:rPr>
          <w:rFonts w:ascii="Times New Roman" w:hAnsi="Times New Roman" w:cs="Times New Roman"/>
          <w:b w:val="0"/>
          <w:i w:val="0"/>
          <w:sz w:val="22"/>
        </w:rPr>
        <w:t>defaults, and AI assistance adapt the form to user behaviour.</w:t>
      </w:r>
    </w:p>
    <w:p>
      <w:pPr>
        <w:spacing w:after="80" w:line="293" w:lineRule="auto"/>
        <w:ind w:left="283"/>
        <w:jc w:val="left"/>
      </w:pPr>
      <w:r>
        <w:rPr>
          <w:rFonts w:ascii="Times New Roman" w:hAnsi="Times New Roman" w:cs="Times New Roman"/>
          <w:b w:val="0"/>
          <w:i w:val="0"/>
          <w:sz w:val="22"/>
        </w:rPr>
        <w:t>- AI-assisted, never automated — AI provides suggestions, defaults, and validation, but the buyer remains in</w:t>
      </w:r>
    </w:p>
    <w:p>
      <w:pPr>
        <w:spacing w:after="80" w:line="293" w:lineRule="auto"/>
        <w:jc w:val="left"/>
      </w:pPr>
      <w:r>
        <w:rPr>
          <w:rFonts w:ascii="Times New Roman" w:hAnsi="Times New Roman" w:cs="Times New Roman"/>
          <w:b w:val="0"/>
          <w:i w:val="0"/>
          <w:sz w:val="22"/>
        </w:rPr>
        <w:t>full control. AI never suggests counterparties: the form never recommends "you might also want to export to X" or "other buyers used Y." All assistance is limited to data entry optimisation and compliance.</w:t>
      </w:r>
    </w:p>
    <w:p>
      <w:pPr>
        <w:spacing w:after="80" w:line="293" w:lineRule="auto"/>
        <w:ind w:left="283"/>
        <w:jc w:val="left"/>
      </w:pPr>
      <w:r>
        <w:rPr>
          <w:rFonts w:ascii="Times New Roman" w:hAnsi="Times New Roman" w:cs="Times New Roman"/>
          <w:b w:val="0"/>
          <w:i w:val="0"/>
          <w:sz w:val="22"/>
        </w:rPr>
        <w:t>- One-click core — Every irreversible action is a single click or voice command.</w:t>
      </w:r>
    </w:p>
    <w:p>
      <w:pPr>
        <w:spacing w:after="80" w:line="293" w:lineRule="auto"/>
        <w:ind w:left="283"/>
        <w:jc w:val="left"/>
      </w:pPr>
      <w:r>
        <w:rPr>
          <w:rFonts w:ascii="Times New Roman" w:hAnsi="Times New Roman" w:cs="Times New Roman"/>
          <w:b w:val="0"/>
          <w:i w:val="0"/>
          <w:sz w:val="22"/>
        </w:rPr>
        <w:t>- Zero re-entry — Data entered once is reused across all phases without manual re-entry. The form is stored as</w:t>
      </w:r>
    </w:p>
    <w:p>
      <w:pPr>
        <w:spacing w:after="80" w:line="293" w:lineRule="auto"/>
        <w:jc w:val="left"/>
      </w:pPr>
      <w:r>
        <w:rPr>
          <w:rFonts w:ascii="Times New Roman" w:hAnsi="Times New Roman" w:cs="Times New Roman"/>
          <w:b w:val="0"/>
          <w:i w:val="0"/>
          <w:sz w:val="22"/>
        </w:rPr>
        <w:t>a draft every 30 seconds and can be seamlessly resumed.</w:t>
      </w:r>
    </w:p>
    <w:p>
      <w:pPr>
        <w:spacing w:after="80" w:line="293" w:lineRule="auto"/>
        <w:ind w:left="283"/>
        <w:jc w:val="left"/>
      </w:pPr>
      <w:r>
        <w:rPr>
          <w:rFonts w:ascii="Times New Roman" w:hAnsi="Times New Roman" w:cs="Times New Roman"/>
          <w:b w:val="0"/>
          <w:i w:val="0"/>
          <w:sz w:val="22"/>
        </w:rPr>
        <w:t>- Incoterm-driven — The buyer's incoterm selection instantly configures logistics responsibilities and the</w:t>
      </w:r>
    </w:p>
    <w:p>
      <w:pPr>
        <w:spacing w:after="80" w:line="293" w:lineRule="auto"/>
        <w:jc w:val="left"/>
      </w:pPr>
      <w:r>
        <w:rPr>
          <w:rFonts w:ascii="Times New Roman" w:hAnsi="Times New Roman" w:cs="Times New Roman"/>
          <w:b w:val="0"/>
          <w:i w:val="0"/>
          <w:sz w:val="22"/>
        </w:rPr>
        <w:t>seller's mandatory logistics services.</w:t>
      </w:r>
    </w:p>
    <w:p>
      <w:pPr>
        <w:spacing w:after="80" w:line="293" w:lineRule="auto"/>
        <w:ind w:left="283"/>
        <w:jc w:val="left"/>
      </w:pPr>
      <w:r>
        <w:rPr>
          <w:rFonts w:ascii="Times New Roman" w:hAnsi="Times New Roman" w:cs="Times New Roman"/>
          <w:b w:val="0"/>
          <w:i w:val="0"/>
          <w:sz w:val="22"/>
        </w:rPr>
        <w:t>- Auto-detection of special procedures — If the destination country or port requires cold treatment,</w:t>
      </w:r>
    </w:p>
    <w:p>
      <w:pPr>
        <w:spacing w:after="80" w:line="293" w:lineRule="auto"/>
        <w:jc w:val="left"/>
      </w:pPr>
      <w:r>
        <w:rPr>
          <w:rFonts w:ascii="Times New Roman" w:hAnsi="Times New Roman" w:cs="Times New Roman"/>
          <w:b w:val="0"/>
          <w:i w:val="0"/>
          <w:sz w:val="22"/>
        </w:rPr>
        <w:t>fumigation, or pre-cooling, the system adds the necessary fields and document requirements.</w:t>
      </w:r>
    </w:p>
    <w:p>
      <w:pPr>
        <w:spacing w:after="80" w:line="293" w:lineRule="auto"/>
        <w:ind w:left="283"/>
        <w:jc w:val="left"/>
      </w:pPr>
      <w:r>
        <w:rPr>
          <w:rFonts w:ascii="Times New Roman" w:hAnsi="Times New Roman" w:cs="Times New Roman"/>
          <w:b w:val="0"/>
          <w:i w:val="0"/>
          <w:sz w:val="22"/>
        </w:rPr>
        <w:t>- Dynamic packing specification — For each commodity, the system asks for pallet dimensions (EUR, ISO, custom),</w:t>
      </w:r>
    </w:p>
    <w:p>
      <w:pPr>
        <w:spacing w:after="80" w:line="293" w:lineRule="auto"/>
        <w:jc w:val="left"/>
      </w:pPr>
      <w:r>
        <w:rPr>
          <w:rFonts w:ascii="Times New Roman" w:hAnsi="Times New Roman" w:cs="Times New Roman"/>
          <w:b w:val="0"/>
          <w:i w:val="0"/>
          <w:sz w:val="22"/>
        </w:rPr>
        <w:t>number of pallets, cartons per pallet, layers, stacking height, and packaging type — all derived from product-specific defaults and Regulatory Intelligence Agent (RIA) data.</w:t>
      </w:r>
    </w:p>
    <w:p>
      <w:pPr>
        <w:spacing w:after="80" w:line="293" w:lineRule="auto"/>
        <w:ind w:left="283"/>
        <w:jc w:val="left"/>
      </w:pPr>
      <w:r>
        <w:rPr>
          <w:rFonts w:ascii="Times New Roman" w:hAnsi="Times New Roman" w:cs="Times New Roman"/>
          <w:b w:val="0"/>
          <w:i w:val="0"/>
          <w:sz w:val="22"/>
        </w:rPr>
        <w:t>- Two-way smart product/HS code resolution — Entering a product name auto-fills the HS code; entering an HS</w:t>
      </w:r>
    </w:p>
    <w:p>
      <w:pPr>
        <w:spacing w:after="80" w:line="293" w:lineRule="auto"/>
        <w:jc w:val="left"/>
      </w:pPr>
      <w:r>
        <w:rPr>
          <w:rFonts w:ascii="Times New Roman" w:hAnsi="Times New Roman" w:cs="Times New Roman"/>
          <w:b w:val="0"/>
          <w:i w:val="0"/>
          <w:sz w:val="22"/>
        </w:rPr>
        <w:t>code auto-fills the product name.</w:t>
      </w:r>
    </w:p>
    <w:p>
      <w:pPr>
        <w:spacing w:after="80" w:line="293" w:lineRule="auto"/>
        <w:ind w:left="283"/>
        <w:jc w:val="left"/>
      </w:pPr>
      <w:r>
        <w:rPr>
          <w:rFonts w:ascii="Times New Roman" w:hAnsi="Times New Roman" w:cs="Times New Roman"/>
          <w:b w:val="0"/>
          <w:i w:val="0"/>
          <w:sz w:val="22"/>
        </w:rPr>
        <w:t>- Dynamic transport mode configuration — Transport mode selection dynamically loads appropriate equipment</w:t>
      </w:r>
    </w:p>
    <w:p>
      <w:pPr>
        <w:spacing w:after="80" w:line="293" w:lineRule="auto"/>
        <w:jc w:val="left"/>
      </w:pPr>
      <w:r>
        <w:rPr>
          <w:rFonts w:ascii="Times New Roman" w:hAnsi="Times New Roman" w:cs="Times New Roman"/>
          <w:b w:val="0"/>
          <w:i w:val="0"/>
          <w:sz w:val="22"/>
        </w:rPr>
        <w:t>types (containers for ocean, ULDs for air, trailers for truck, wagons for rail).</w:t>
      </w:r>
    </w:p>
    <w:p>
      <w:pPr>
        <w:spacing w:after="80" w:line="293" w:lineRule="auto"/>
        <w:ind w:left="283"/>
        <w:jc w:val="left"/>
      </w:pPr>
      <w:r>
        <w:rPr>
          <w:rFonts w:ascii="Times New Roman" w:hAnsi="Times New Roman" w:cs="Times New Roman"/>
          <w:b w:val="0"/>
          <w:i w:val="0"/>
          <w:sz w:val="22"/>
        </w:rPr>
        <w:t>- Express Mode (optional) — Users who prefer natural language can describe their trade in plain English; AI</w:t>
      </w:r>
    </w:p>
    <w:p>
      <w:pPr>
        <w:spacing w:after="80" w:line="293" w:lineRule="auto"/>
        <w:jc w:val="left"/>
      </w:pPr>
      <w:r>
        <w:rPr>
          <w:rFonts w:ascii="Times New Roman" w:hAnsi="Times New Roman" w:cs="Times New Roman"/>
          <w:b w:val="0"/>
          <w:i w:val="0"/>
          <w:sz w:val="22"/>
        </w:rPr>
        <w:t>parses and extracts structured data.</w:t>
      </w:r>
    </w:p>
    <w:p>
      <w:pPr>
        <w:spacing w:after="80" w:line="293" w:lineRule="auto"/>
        <w:ind w:left="283"/>
        <w:jc w:val="left"/>
      </w:pPr>
      <w:r>
        <w:rPr>
          <w:rFonts w:ascii="Times New Roman" w:hAnsi="Times New Roman" w:cs="Times New Roman"/>
          <w:b w:val="0"/>
          <w:i w:val="0"/>
          <w:sz w:val="22"/>
        </w:rPr>
        <w:t>- Multi-commodity, multi-container — Supports 1–50 containers and unlimited commodities per container.</w:t>
      </w:r>
    </w:p>
    <w:p>
      <w:pPr>
        <w:spacing w:after="80" w:line="293" w:lineRule="auto"/>
        <w:ind w:left="283"/>
        <w:jc w:val="left"/>
      </w:pPr>
      <w:r>
        <w:rPr>
          <w:rFonts w:ascii="Times New Roman" w:hAnsi="Times New Roman" w:cs="Times New Roman"/>
          <w:b w:val="0"/>
          <w:i w:val="0"/>
          <w:sz w:val="22"/>
        </w:rPr>
        <w:t>- Multi-shipment ready — Optional schedule builder for future deliveries.</w:t>
      </w:r>
    </w:p>
    <w:p>
      <w:pPr>
        <w:spacing w:after="80" w:line="293" w:lineRule="auto"/>
        <w:ind w:left="283"/>
        <w:jc w:val="left"/>
      </w:pPr>
      <w:r>
        <w:rPr>
          <w:rFonts w:ascii="Times New Roman" w:hAnsi="Times New Roman" w:cs="Times New Roman"/>
          <w:b w:val="0"/>
          <w:i w:val="0"/>
          <w:sz w:val="22"/>
        </w:rPr>
        <w:t>- Feasibility before commitment — Every request is validated for commercial, logistical, regulatory, and</w:t>
      </w:r>
    </w:p>
    <w:p>
      <w:pPr>
        <w:spacing w:after="80" w:line="293" w:lineRule="auto"/>
        <w:jc w:val="left"/>
      </w:pPr>
      <w:r>
        <w:rPr>
          <w:rFonts w:ascii="Times New Roman" w:hAnsi="Times New Roman" w:cs="Times New Roman"/>
          <w:b w:val="0"/>
          <w:i w:val="0"/>
          <w:sz w:val="22"/>
        </w:rPr>
        <w:t>financial feasibility before submission.</w:t>
      </w:r>
    </w:p>
    <w:p>
      <w:pPr>
        <w:spacing w:after="80" w:line="293" w:lineRule="auto"/>
        <w:ind w:left="283"/>
        <w:jc w:val="left"/>
      </w:pPr>
      <w:r>
        <w:rPr>
          <w:rFonts w:ascii="Times New Roman" w:hAnsi="Times New Roman" w:cs="Times New Roman"/>
          <w:b w:val="0"/>
          <w:i w:val="0"/>
          <w:sz w:val="22"/>
        </w:rPr>
        <w:t>- Governor-controlled — Every irreversible action passes through the Governor (Open Policy Agent (OPA) +</w:t>
      </w:r>
    </w:p>
    <w:p>
      <w:pPr>
        <w:spacing w:after="80" w:line="293" w:lineRule="auto"/>
        <w:jc w:val="left"/>
      </w:pPr>
      <w:r>
        <w:rPr>
          <w:rFonts w:ascii="Times New Roman" w:hAnsi="Times New Roman" w:cs="Times New Roman"/>
          <w:b w:val="0"/>
          <w:i w:val="0"/>
          <w:sz w:val="22"/>
        </w:rPr>
        <w:t>WasmEdge + AI advisory). All Phase 1 validation gates (G1U1–G1U33) execute at submission.</w:t>
      </w:r>
    </w:p>
    <w:p>
      <w:pPr>
        <w:spacing w:after="80" w:line="293" w:lineRule="auto"/>
        <w:ind w:left="283"/>
        <w:jc w:val="left"/>
      </w:pPr>
      <w:r>
        <w:rPr>
          <w:rFonts w:ascii="Times New Roman" w:hAnsi="Times New Roman" w:cs="Times New Roman"/>
          <w:b w:val="0"/>
          <w:i w:val="0"/>
          <w:sz w:val="22"/>
        </w:rPr>
        <w:t>- Immutable audit — Every decision is logged via Loom (the deterministic hash-chain audit log).</w:t>
      </w:r>
    </w:p>
    <w:p>
      <w:pPr>
        <w:spacing w:after="80" w:line="293" w:lineRule="auto"/>
        <w:ind w:left="283"/>
        <w:jc w:val="left"/>
      </w:pPr>
      <w:r>
        <w:rPr>
          <w:rFonts w:ascii="Times New Roman" w:hAnsi="Times New Roman" w:cs="Times New Roman"/>
          <w:b w:val="0"/>
          <w:i w:val="0"/>
          <w:sz w:val="22"/>
        </w:rPr>
        <w:t>- Non-marketplace — The platform never suggests alternative counterparties or service providers.</w:t>
      </w:r>
    </w:p>
    <w:p>
      <w:pPr>
        <w:keepNext/>
        <w:spacing w:before="180" w:after="80"/>
        <w:outlineLvl w:val="2"/>
      </w:pPr>
      <w:r>
        <w:rPr>
          <w:rFonts w:ascii="Arial" w:hAnsi="Arial" w:cs="Arial"/>
          <w:b/>
          <w:i w:val="0"/>
          <w:color w:val="333333"/>
          <w:sz w:val="23"/>
        </w:rPr>
        <w:t>6.1.2 What This Form Is Not</w:t>
      </w:r>
    </w:p>
    <w:p>
      <w:pPr>
        <w:spacing w:after="80" w:line="293" w:lineRule="auto"/>
        <w:jc w:val="left"/>
      </w:pPr>
      <w:r>
        <w:rPr>
          <w:rFonts w:ascii="Times New Roman" w:hAnsi="Times New Roman" w:cs="Times New Roman"/>
          <w:b w:val="0"/>
          <w:i w:val="0"/>
          <w:sz w:val="22"/>
        </w:rPr>
        <w:t>The request form is not a marketplace. It never ranks, recommends, or surfaces counterparties, products, financiers, insurers, or service providers. Assistance is limited to the buyer's own data entry: autocomplete, defaults, validation, regulatory pre-selection, and plain-language explanations. Product suggestions shown during two-way resolution are filtered by commodity type and the buyer's own saved products and history, never by popularity or other buyers' behaviour.</w:t>
      </w:r>
    </w:p>
    <w:p>
      <w:pPr>
        <w:keepNext/>
        <w:spacing w:before="180" w:after="80"/>
        <w:outlineLvl w:val="2"/>
      </w:pPr>
      <w:r>
        <w:rPr>
          <w:rFonts w:ascii="Arial" w:hAnsi="Arial" w:cs="Arial"/>
          <w:b/>
          <w:i w:val="0"/>
          <w:color w:val="333333"/>
          <w:sz w:val="23"/>
        </w:rPr>
        <w:t>6.1.3 Complete Form Structure Overview</w:t>
      </w:r>
    </w:p>
    <w:p>
      <w:pPr>
        <w:spacing w:after="80" w:line="293" w:lineRule="auto"/>
        <w:jc w:val="left"/>
      </w:pPr>
      <w:r>
        <w:rPr>
          <w:rFonts w:ascii="Times New Roman" w:hAnsi="Times New Roman" w:cs="Times New Roman"/>
          <w:b w:val="0"/>
          <w:i w:val="0"/>
          <w:sz w:val="22"/>
        </w:rPr>
        <w:t>The form consists of the following sections, presented in canonical order. Each step is specified in Section 6.2 and expanded in the dedicated sections that follow.</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w:t>
            </w:r>
          </w:p>
        </w:tc>
        <w:tc>
          <w:tcPr>
            <w:tcW w:type="dxa" w:w="2409"/>
            <w:shd w:val="clear" w:fill="D9E2F3"/>
          </w:tcPr>
          <w:p>
            <w:pPr>
              <w:spacing w:after="20" w:before="20" w:line="240" w:lineRule="auto"/>
            </w:pPr>
            <w:r/>
            <w:r>
              <w:rPr>
                <w:rFonts w:ascii="Arial" w:hAnsi="Arial" w:cs="Arial"/>
                <w:b/>
                <w:i w:val="0"/>
                <w:sz w:val="18"/>
              </w:rPr>
              <w:t>Form Section</w:t>
            </w:r>
          </w:p>
        </w:tc>
        <w:tc>
          <w:tcPr>
            <w:tcW w:type="dxa" w:w="2409"/>
            <w:shd w:val="clear" w:fill="D9E2F3"/>
          </w:tcPr>
          <w:p>
            <w:pPr>
              <w:spacing w:after="20" w:before="20" w:line="240" w:lineRule="auto"/>
            </w:pPr>
            <w:r/>
            <w:r>
              <w:rPr>
                <w:rFonts w:ascii="Arial" w:hAnsi="Arial" w:cs="Arial"/>
                <w:b/>
                <w:i w:val="0"/>
                <w:sz w:val="18"/>
              </w:rPr>
              <w:t>Purpose</w:t>
            </w:r>
          </w:p>
        </w:tc>
        <w:tc>
          <w:tcPr>
            <w:tcW w:type="dxa" w:w="2409"/>
            <w:shd w:val="clear" w:fill="D9E2F3"/>
          </w:tcPr>
          <w:p>
            <w:pPr>
              <w:spacing w:after="20" w:before="20" w:line="240" w:lineRule="auto"/>
            </w:pPr>
            <w:r/>
            <w:r>
              <w:rPr>
                <w:rFonts w:ascii="Arial" w:hAnsi="Arial" w:cs="Arial"/>
                <w:b/>
                <w:i w:val="0"/>
                <w:sz w:val="18"/>
              </w:rPr>
              <w:t>Detailed Specification</w:t>
            </w:r>
          </w:p>
        </w:tc>
      </w:tr>
      <w:tr>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Seller Selection</w:t>
            </w:r>
          </w:p>
        </w:tc>
        <w:tc>
          <w:tcPr>
            <w:tcW w:type="dxa" w:w="2409"/>
          </w:tcPr>
          <w:p>
            <w:pPr>
              <w:spacing w:after="20" w:before="20" w:line="240" w:lineRule="auto"/>
            </w:pPr>
            <w:r/>
            <w:r>
              <w:rPr>
                <w:rFonts w:ascii="Arial" w:hAnsi="Arial" w:cs="Arial"/>
                <w:b w:val="0"/>
                <w:i w:val="0"/>
                <w:sz w:val="17"/>
              </w:rPr>
              <w:t>Identify the intended seller/counterparty</w:t>
            </w:r>
          </w:p>
        </w:tc>
        <w:tc>
          <w:tcPr>
            <w:tcW w:type="dxa" w:w="2409"/>
          </w:tcPr>
          <w:p>
            <w:pPr>
              <w:spacing w:after="20" w:before="20" w:line="240" w:lineRule="auto"/>
            </w:pPr>
            <w:r/>
            <w:r>
              <w:rPr>
                <w:rFonts w:ascii="Arial" w:hAnsi="Arial" w:cs="Arial"/>
                <w:b w:val="0"/>
                <w:i w:val="0"/>
                <w:sz w:val="17"/>
              </w:rPr>
              <w:t>Section 6.2.4</w:t>
            </w:r>
          </w:p>
        </w:tc>
      </w:tr>
      <w:tr>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Incoterm + Commercial Foundation (merged step)</w:t>
            </w:r>
          </w:p>
        </w:tc>
        <w:tc>
          <w:tcPr>
            <w:tcW w:type="dxa" w:w="2409"/>
          </w:tcPr>
          <w:p>
            <w:pPr>
              <w:spacing w:after="20" w:before="20" w:line="240" w:lineRule="auto"/>
            </w:pPr>
            <w:r/>
            <w:r>
              <w:rPr>
                <w:rFonts w:ascii="Arial" w:hAnsi="Arial" w:cs="Arial"/>
                <w:b w:val="0"/>
                <w:i w:val="0"/>
                <w:sz w:val="17"/>
              </w:rPr>
              <w:t>Incoterm, settlement structure, payment timing, credit period, currency, Buyer Financing Toggle</w:t>
            </w:r>
          </w:p>
        </w:tc>
        <w:tc>
          <w:tcPr>
            <w:tcW w:type="dxa" w:w="2409"/>
          </w:tcPr>
          <w:p>
            <w:pPr>
              <w:spacing w:after="20" w:before="20" w:line="240" w:lineRule="auto"/>
            </w:pPr>
            <w:r/>
            <w:r>
              <w:rPr>
                <w:rFonts w:ascii="Arial" w:hAnsi="Arial" w:cs="Arial"/>
                <w:b w:val="0"/>
                <w:i w:val="0"/>
                <w:sz w:val="17"/>
              </w:rPr>
              <w:t>Sections 6.2.5, 6.4, 6.11</w:t>
            </w:r>
          </w:p>
        </w:tc>
      </w:tr>
      <w:tr>
        <w:tc>
          <w:tcPr>
            <w:tcW w:type="dxa" w:w="2409"/>
          </w:tcPr>
          <w:p>
            <w:pPr>
              <w:spacing w:after="20" w:before="20" w:line="240" w:lineRule="auto"/>
            </w:pPr>
            <w:r/>
            <w:r>
              <w:rPr>
                <w:rFonts w:ascii="Arial" w:hAnsi="Arial" w:cs="Arial"/>
                <w:b w:val="0"/>
                <w:i w:val="0"/>
                <w:sz w:val="17"/>
              </w:rPr>
              <w:t>3</w:t>
            </w:r>
          </w:p>
        </w:tc>
        <w:tc>
          <w:tcPr>
            <w:tcW w:type="dxa" w:w="2409"/>
          </w:tcPr>
          <w:p>
            <w:pPr>
              <w:spacing w:after="20" w:before="20" w:line="240" w:lineRule="auto"/>
            </w:pPr>
            <w:r/>
            <w:r>
              <w:rPr>
                <w:rFonts w:ascii="Arial" w:hAnsi="Arial" w:cs="Arial"/>
                <w:b w:val="0"/>
                <w:i w:val="0"/>
                <w:sz w:val="17"/>
              </w:rPr>
              <w:t>Transport Mode &amp; Equipment</w:t>
            </w:r>
          </w:p>
        </w:tc>
        <w:tc>
          <w:tcPr>
            <w:tcW w:type="dxa" w:w="2409"/>
          </w:tcPr>
          <w:p>
            <w:pPr>
              <w:spacing w:after="20" w:before="20" w:line="240" w:lineRule="auto"/>
            </w:pPr>
            <w:r/>
            <w:r>
              <w:rPr>
                <w:rFonts w:ascii="Arial" w:hAnsi="Arial" w:cs="Arial"/>
                <w:b w:val="0"/>
                <w:i w:val="0"/>
                <w:sz w:val="17"/>
              </w:rPr>
              <w:t>Primary transport mode and mode-dependent equipment</w:t>
            </w:r>
          </w:p>
        </w:tc>
        <w:tc>
          <w:tcPr>
            <w:tcW w:type="dxa" w:w="2409"/>
          </w:tcPr>
          <w:p>
            <w:pPr>
              <w:spacing w:after="20" w:before="20" w:line="240" w:lineRule="auto"/>
            </w:pPr>
            <w:r/>
            <w:r>
              <w:rPr>
                <w:rFonts w:ascii="Arial" w:hAnsi="Arial" w:cs="Arial"/>
                <w:b w:val="0"/>
                <w:i w:val="0"/>
                <w:sz w:val="17"/>
              </w:rPr>
              <w:t>Sections 6.2.6, 6.9</w:t>
            </w:r>
          </w:p>
        </w:tc>
      </w:tr>
      <w:tr>
        <w:tc>
          <w:tcPr>
            <w:tcW w:type="dxa" w:w="2409"/>
          </w:tcPr>
          <w:p>
            <w:pPr>
              <w:spacing w:after="20" w:before="20" w:line="240" w:lineRule="auto"/>
            </w:pPr>
            <w:r/>
            <w:r>
              <w:rPr>
                <w:rFonts w:ascii="Arial" w:hAnsi="Arial" w:cs="Arial"/>
                <w:b w:val="0"/>
                <w:i w:val="0"/>
                <w:sz w:val="17"/>
              </w:rPr>
              <w:t>4</w:t>
            </w:r>
          </w:p>
        </w:tc>
        <w:tc>
          <w:tcPr>
            <w:tcW w:type="dxa" w:w="2409"/>
          </w:tcPr>
          <w:p>
            <w:pPr>
              <w:spacing w:after="20" w:before="20" w:line="240" w:lineRule="auto"/>
            </w:pPr>
            <w:r/>
            <w:r>
              <w:rPr>
                <w:rFonts w:ascii="Arial" w:hAnsi="Arial" w:cs="Arial"/>
                <w:b w:val="0"/>
                <w:i w:val="0"/>
                <w:sz w:val="17"/>
              </w:rPr>
              <w:t>Container/Unit &amp; Commodity Configuration</w:t>
            </w:r>
          </w:p>
        </w:tc>
        <w:tc>
          <w:tcPr>
            <w:tcW w:type="dxa" w:w="2409"/>
          </w:tcPr>
          <w:p>
            <w:pPr>
              <w:spacing w:after="20" w:before="20" w:line="240" w:lineRule="auto"/>
            </w:pPr>
            <w:r/>
            <w:r>
              <w:rPr>
                <w:rFonts w:ascii="Arial" w:hAnsi="Arial" w:cs="Arial"/>
                <w:b w:val="0"/>
                <w:i w:val="0"/>
                <w:sz w:val="17"/>
              </w:rPr>
              <w:t>Physical units, commodities, dynamic product fields, acceptance criteria</w:t>
            </w:r>
          </w:p>
        </w:tc>
        <w:tc>
          <w:tcPr>
            <w:tcW w:type="dxa" w:w="2409"/>
          </w:tcPr>
          <w:p>
            <w:pPr>
              <w:spacing w:after="20" w:before="20" w:line="240" w:lineRule="auto"/>
            </w:pPr>
            <w:r/>
            <w:r>
              <w:rPr>
                <w:rFonts w:ascii="Arial" w:hAnsi="Arial" w:cs="Arial"/>
                <w:b w:val="0"/>
                <w:i w:val="0"/>
                <w:sz w:val="17"/>
              </w:rPr>
              <w:t>Sections 6.2.7, 6.6</w:t>
            </w:r>
          </w:p>
        </w:tc>
      </w:tr>
      <w:tr>
        <w:tc>
          <w:tcPr>
            <w:tcW w:type="dxa" w:w="2409"/>
          </w:tcPr>
          <w:p>
            <w:pPr>
              <w:spacing w:after="20" w:before="20" w:line="240" w:lineRule="auto"/>
            </w:pPr>
            <w:r/>
            <w:r>
              <w:rPr>
                <w:rFonts w:ascii="Arial" w:hAnsi="Arial" w:cs="Arial"/>
                <w:b w:val="0"/>
                <w:i w:val="0"/>
                <w:sz w:val="17"/>
              </w:rPr>
              <w:t>5</w:t>
            </w:r>
          </w:p>
        </w:tc>
        <w:tc>
          <w:tcPr>
            <w:tcW w:type="dxa" w:w="2409"/>
          </w:tcPr>
          <w:p>
            <w:pPr>
              <w:spacing w:after="20" w:before="20" w:line="240" w:lineRule="auto"/>
            </w:pPr>
            <w:r/>
            <w:r>
              <w:rPr>
                <w:rFonts w:ascii="Arial" w:hAnsi="Arial" w:cs="Arial"/>
                <w:b w:val="0"/>
                <w:i w:val="0"/>
                <w:sz w:val="17"/>
              </w:rPr>
              <w:t>Lab Test Requirements</w:t>
            </w:r>
          </w:p>
        </w:tc>
        <w:tc>
          <w:tcPr>
            <w:tcW w:type="dxa" w:w="2409"/>
          </w:tcPr>
          <w:p>
            <w:pPr>
              <w:spacing w:after="20" w:before="20" w:line="240" w:lineRule="auto"/>
            </w:pPr>
            <w:r/>
            <w:r>
              <w:rPr>
                <w:rFonts w:ascii="Arial" w:hAnsi="Arial" w:cs="Arial"/>
                <w:b w:val="0"/>
                <w:i w:val="0"/>
                <w:sz w:val="17"/>
              </w:rPr>
              <w:t>Explicit mandatory/recommended/optional lab tests</w:t>
            </w:r>
          </w:p>
        </w:tc>
        <w:tc>
          <w:tcPr>
            <w:tcW w:type="dxa" w:w="2409"/>
          </w:tcPr>
          <w:p>
            <w:pPr>
              <w:spacing w:after="20" w:before="20" w:line="240" w:lineRule="auto"/>
            </w:pPr>
            <w:r/>
            <w:r>
              <w:rPr>
                <w:rFonts w:ascii="Arial" w:hAnsi="Arial" w:cs="Arial"/>
                <w:b w:val="0"/>
                <w:i w:val="0"/>
                <w:sz w:val="17"/>
              </w:rPr>
              <w:t>Section 6.2.8</w:t>
            </w:r>
          </w:p>
        </w:tc>
      </w:tr>
      <w:tr>
        <w:tc>
          <w:tcPr>
            <w:tcW w:type="dxa" w:w="2409"/>
          </w:tcPr>
          <w:p>
            <w:pPr>
              <w:spacing w:after="20" w:before="20" w:line="240" w:lineRule="auto"/>
            </w:pPr>
            <w:r/>
            <w:r>
              <w:rPr>
                <w:rFonts w:ascii="Arial" w:hAnsi="Arial" w:cs="Arial"/>
                <w:b w:val="0"/>
                <w:i w:val="0"/>
                <w:sz w:val="17"/>
              </w:rPr>
              <w:t>6</w:t>
            </w:r>
          </w:p>
        </w:tc>
        <w:tc>
          <w:tcPr>
            <w:tcW w:type="dxa" w:w="2409"/>
          </w:tcPr>
          <w:p>
            <w:pPr>
              <w:spacing w:after="20" w:before="20" w:line="240" w:lineRule="auto"/>
            </w:pPr>
            <w:r/>
            <w:r>
              <w:rPr>
                <w:rFonts w:ascii="Arial" w:hAnsi="Arial" w:cs="Arial"/>
                <w:b w:val="0"/>
                <w:i w:val="0"/>
                <w:sz w:val="17"/>
              </w:rPr>
              <w:t>QC Inspection Request</w:t>
            </w:r>
          </w:p>
        </w:tc>
        <w:tc>
          <w:tcPr>
            <w:tcW w:type="dxa" w:w="2409"/>
          </w:tcPr>
          <w:p>
            <w:pPr>
              <w:spacing w:after="20" w:before="20" w:line="240" w:lineRule="auto"/>
            </w:pPr>
            <w:r/>
            <w:r>
              <w:rPr>
                <w:rFonts w:ascii="Arial" w:hAnsi="Arial" w:cs="Arial"/>
                <w:b w:val="0"/>
                <w:i w:val="0"/>
                <w:sz w:val="17"/>
              </w:rPr>
              <w:t>Geography-aware inspection request</w:t>
            </w:r>
          </w:p>
        </w:tc>
        <w:tc>
          <w:tcPr>
            <w:tcW w:type="dxa" w:w="2409"/>
          </w:tcPr>
          <w:p>
            <w:pPr>
              <w:spacing w:after="20" w:before="20" w:line="240" w:lineRule="auto"/>
            </w:pPr>
            <w:r/>
            <w:r>
              <w:rPr>
                <w:rFonts w:ascii="Arial" w:hAnsi="Arial" w:cs="Arial"/>
                <w:b w:val="0"/>
                <w:i w:val="0"/>
                <w:sz w:val="17"/>
              </w:rPr>
              <w:t>Section 6.2.9</w:t>
            </w:r>
          </w:p>
        </w:tc>
      </w:tr>
      <w:tr>
        <w:tc>
          <w:tcPr>
            <w:tcW w:type="dxa" w:w="2409"/>
          </w:tcPr>
          <w:p>
            <w:pPr>
              <w:spacing w:after="20" w:before="20" w:line="240" w:lineRule="auto"/>
            </w:pPr>
            <w:r/>
            <w:r>
              <w:rPr>
                <w:rFonts w:ascii="Arial" w:hAnsi="Arial" w:cs="Arial"/>
                <w:b w:val="0"/>
                <w:i w:val="0"/>
                <w:sz w:val="17"/>
              </w:rPr>
              <w:t>7</w:t>
            </w:r>
          </w:p>
        </w:tc>
        <w:tc>
          <w:tcPr>
            <w:tcW w:type="dxa" w:w="2409"/>
          </w:tcPr>
          <w:p>
            <w:pPr>
              <w:spacing w:after="20" w:before="20" w:line="240" w:lineRule="auto"/>
            </w:pPr>
            <w:r/>
            <w:r>
              <w:rPr>
                <w:rFonts w:ascii="Arial" w:hAnsi="Arial" w:cs="Arial"/>
                <w:b w:val="0"/>
                <w:i w:val="0"/>
                <w:sz w:val="17"/>
              </w:rPr>
              <w:t>AI Container/Unit Advisor</w:t>
            </w:r>
          </w:p>
        </w:tc>
        <w:tc>
          <w:tcPr>
            <w:tcW w:type="dxa" w:w="2409"/>
          </w:tcPr>
          <w:p>
            <w:pPr>
              <w:spacing w:after="20" w:before="20" w:line="240" w:lineRule="auto"/>
            </w:pPr>
            <w:r/>
            <w:r>
              <w:rPr>
                <w:rFonts w:ascii="Arial" w:hAnsi="Arial" w:cs="Arial"/>
                <w:b w:val="0"/>
                <w:i w:val="0"/>
                <w:sz w:val="17"/>
              </w:rPr>
              <w:t>Advisory-only equipment optimisation</w:t>
            </w:r>
          </w:p>
        </w:tc>
        <w:tc>
          <w:tcPr>
            <w:tcW w:type="dxa" w:w="2409"/>
          </w:tcPr>
          <w:p>
            <w:pPr>
              <w:spacing w:after="20" w:before="20" w:line="240" w:lineRule="auto"/>
            </w:pPr>
            <w:r/>
            <w:r>
              <w:rPr>
                <w:rFonts w:ascii="Arial" w:hAnsi="Arial" w:cs="Arial"/>
                <w:b w:val="0"/>
                <w:i w:val="0"/>
                <w:sz w:val="17"/>
              </w:rPr>
              <w:t>Sections 6.2.10, 6.15</w:t>
            </w:r>
          </w:p>
        </w:tc>
      </w:tr>
      <w:tr>
        <w:tc>
          <w:tcPr>
            <w:tcW w:type="dxa" w:w="2409"/>
          </w:tcPr>
          <w:p>
            <w:pPr>
              <w:spacing w:after="20" w:before="20" w:line="240" w:lineRule="auto"/>
            </w:pPr>
            <w:r/>
            <w:r>
              <w:rPr>
                <w:rFonts w:ascii="Arial" w:hAnsi="Arial" w:cs="Arial"/>
                <w:b w:val="0"/>
                <w:i w:val="0"/>
                <w:sz w:val="17"/>
              </w:rPr>
              <w:t>8</w:t>
            </w:r>
          </w:p>
        </w:tc>
        <w:tc>
          <w:tcPr>
            <w:tcW w:type="dxa" w:w="2409"/>
          </w:tcPr>
          <w:p>
            <w:pPr>
              <w:spacing w:after="20" w:before="20" w:line="240" w:lineRule="auto"/>
            </w:pPr>
            <w:r/>
            <w:r>
              <w:rPr>
                <w:rFonts w:ascii="Arial" w:hAnsi="Arial" w:cs="Arial"/>
                <w:b w:val="0"/>
                <w:i w:val="0"/>
                <w:sz w:val="17"/>
              </w:rPr>
              <w:t>Documentation Requirements</w:t>
            </w:r>
          </w:p>
        </w:tc>
        <w:tc>
          <w:tcPr>
            <w:tcW w:type="dxa" w:w="2409"/>
          </w:tcPr>
          <w:p>
            <w:pPr>
              <w:spacing w:after="20" w:before="20" w:line="240" w:lineRule="auto"/>
            </w:pPr>
            <w:r/>
            <w:r>
              <w:rPr>
                <w:rFonts w:ascii="Arial" w:hAnsi="Arial" w:cs="Arial"/>
                <w:b w:val="0"/>
                <w:i w:val="0"/>
                <w:sz w:val="17"/>
              </w:rPr>
              <w:t>Trigger-driven document checklist</w:t>
            </w:r>
          </w:p>
        </w:tc>
        <w:tc>
          <w:tcPr>
            <w:tcW w:type="dxa" w:w="2409"/>
          </w:tcPr>
          <w:p>
            <w:pPr>
              <w:spacing w:after="20" w:before="20" w:line="240" w:lineRule="auto"/>
            </w:pPr>
            <w:r/>
            <w:r>
              <w:rPr>
                <w:rFonts w:ascii="Arial" w:hAnsi="Arial" w:cs="Arial"/>
                <w:b w:val="0"/>
                <w:i w:val="0"/>
                <w:sz w:val="17"/>
              </w:rPr>
              <w:t>Sections 6.2.11, 6.7</w:t>
            </w:r>
          </w:p>
        </w:tc>
      </w:tr>
      <w:tr>
        <w:tc>
          <w:tcPr>
            <w:tcW w:type="dxa" w:w="2409"/>
          </w:tcPr>
          <w:p>
            <w:pPr>
              <w:spacing w:after="20" w:before="20" w:line="240" w:lineRule="auto"/>
            </w:pPr>
            <w:r/>
            <w:r>
              <w:rPr>
                <w:rFonts w:ascii="Arial" w:hAnsi="Arial" w:cs="Arial"/>
                <w:b w:val="0"/>
                <w:i w:val="0"/>
                <w:sz w:val="17"/>
              </w:rPr>
              <w:t>9</w:t>
            </w:r>
          </w:p>
        </w:tc>
        <w:tc>
          <w:tcPr>
            <w:tcW w:type="dxa" w:w="2409"/>
          </w:tcPr>
          <w:p>
            <w:pPr>
              <w:spacing w:after="20" w:before="20" w:line="240" w:lineRule="auto"/>
            </w:pPr>
            <w:r/>
            <w:r>
              <w:rPr>
                <w:rFonts w:ascii="Arial" w:hAnsi="Arial" w:cs="Arial"/>
                <w:b w:val="0"/>
                <w:i w:val="0"/>
                <w:sz w:val="17"/>
              </w:rPr>
              <w:t>Insurance Requirements</w:t>
            </w:r>
          </w:p>
        </w:tc>
        <w:tc>
          <w:tcPr>
            <w:tcW w:type="dxa" w:w="2409"/>
          </w:tcPr>
          <w:p>
            <w:pPr>
              <w:spacing w:after="20" w:before="20" w:line="240" w:lineRule="auto"/>
            </w:pPr>
            <w:r/>
            <w:r>
              <w:rPr>
                <w:rFonts w:ascii="Arial" w:hAnsi="Arial" w:cs="Arial"/>
                <w:b w:val="0"/>
                <w:i w:val="0"/>
                <w:sz w:val="17"/>
              </w:rPr>
              <w:t>Insurance requirement, party, type, coverage</w:t>
            </w:r>
          </w:p>
        </w:tc>
        <w:tc>
          <w:tcPr>
            <w:tcW w:type="dxa" w:w="2409"/>
          </w:tcPr>
          <w:p>
            <w:pPr>
              <w:spacing w:after="20" w:before="20" w:line="240" w:lineRule="auto"/>
            </w:pPr>
            <w:r/>
            <w:r>
              <w:rPr>
                <w:rFonts w:ascii="Arial" w:hAnsi="Arial" w:cs="Arial"/>
                <w:b w:val="0"/>
                <w:i w:val="0"/>
                <w:sz w:val="17"/>
              </w:rPr>
              <w:t>Sections 6.2.12, 6.10</w:t>
            </w:r>
          </w:p>
        </w:tc>
      </w:tr>
      <w:tr>
        <w:tc>
          <w:tcPr>
            <w:tcW w:type="dxa" w:w="2409"/>
          </w:tcPr>
          <w:p>
            <w:pPr>
              <w:spacing w:after="20" w:before="20" w:line="240" w:lineRule="auto"/>
            </w:pPr>
            <w:r/>
            <w:r>
              <w:rPr>
                <w:rFonts w:ascii="Arial" w:hAnsi="Arial" w:cs="Arial"/>
                <w:b w:val="0"/>
                <w:i w:val="0"/>
                <w:sz w:val="17"/>
              </w:rPr>
              <w:t>10</w:t>
            </w:r>
          </w:p>
        </w:tc>
        <w:tc>
          <w:tcPr>
            <w:tcW w:type="dxa" w:w="2409"/>
          </w:tcPr>
          <w:p>
            <w:pPr>
              <w:spacing w:after="20" w:before="20" w:line="240" w:lineRule="auto"/>
            </w:pPr>
            <w:r/>
            <w:r>
              <w:rPr>
                <w:rFonts w:ascii="Arial" w:hAnsi="Arial" w:cs="Arial"/>
                <w:b w:val="0"/>
                <w:i w:val="0"/>
                <w:sz w:val="17"/>
              </w:rPr>
              <w:t>Delivery Window &amp; Special Instructions</w:t>
            </w:r>
          </w:p>
        </w:tc>
        <w:tc>
          <w:tcPr>
            <w:tcW w:type="dxa" w:w="2409"/>
          </w:tcPr>
          <w:p>
            <w:pPr>
              <w:spacing w:after="20" w:before="20" w:line="240" w:lineRule="auto"/>
            </w:pPr>
            <w:r/>
            <w:r>
              <w:rPr>
                <w:rFonts w:ascii="Arial" w:hAnsi="Arial" w:cs="Arial"/>
                <w:b w:val="0"/>
                <w:i w:val="0"/>
                <w:sz w:val="17"/>
              </w:rPr>
              <w:t>Delivery window dates and free-text instructions</w:t>
            </w:r>
          </w:p>
        </w:tc>
        <w:tc>
          <w:tcPr>
            <w:tcW w:type="dxa" w:w="2409"/>
          </w:tcPr>
          <w:p>
            <w:pPr>
              <w:spacing w:after="20" w:before="20" w:line="240" w:lineRule="auto"/>
            </w:pPr>
            <w:r/>
            <w:r>
              <w:rPr>
                <w:rFonts w:ascii="Arial" w:hAnsi="Arial" w:cs="Arial"/>
                <w:b w:val="0"/>
                <w:i w:val="0"/>
                <w:sz w:val="17"/>
              </w:rPr>
              <w:t>Sections 6.2.13, 6.8, 6.9</w:t>
            </w:r>
          </w:p>
        </w:tc>
      </w:tr>
      <w:tr>
        <w:tc>
          <w:tcPr>
            <w:tcW w:type="dxa" w:w="2409"/>
          </w:tcPr>
          <w:p>
            <w:pPr>
              <w:spacing w:after="20" w:before="20" w:line="240" w:lineRule="auto"/>
            </w:pPr>
            <w:r/>
            <w:r>
              <w:rPr>
                <w:rFonts w:ascii="Arial" w:hAnsi="Arial" w:cs="Arial"/>
                <w:b w:val="0"/>
                <w:i w:val="0"/>
                <w:sz w:val="17"/>
              </w:rPr>
              <w:t>11</w:t>
            </w:r>
          </w:p>
        </w:tc>
        <w:tc>
          <w:tcPr>
            <w:tcW w:type="dxa" w:w="2409"/>
          </w:tcPr>
          <w:p>
            <w:pPr>
              <w:spacing w:after="20" w:before="20" w:line="240" w:lineRule="auto"/>
            </w:pPr>
            <w:r/>
            <w:r>
              <w:rPr>
                <w:rFonts w:ascii="Arial" w:hAnsi="Arial" w:cs="Arial"/>
                <w:b w:val="0"/>
                <w:i w:val="0"/>
                <w:sz w:val="17"/>
              </w:rPr>
              <w:t>Trade Criticality</w:t>
            </w:r>
          </w:p>
        </w:tc>
        <w:tc>
          <w:tcPr>
            <w:tcW w:type="dxa" w:w="2409"/>
          </w:tcPr>
          <w:p>
            <w:pPr>
              <w:spacing w:after="20" w:before="20" w:line="240" w:lineRule="auto"/>
            </w:pPr>
            <w:r/>
            <w:r>
              <w:rPr>
                <w:rFonts w:ascii="Arial" w:hAnsi="Arial" w:cs="Arial"/>
                <w:b w:val="0"/>
                <w:i w:val="0"/>
                <w:sz w:val="17"/>
              </w:rPr>
              <w:t>Routine / Priority / Critical classification</w:t>
            </w:r>
          </w:p>
        </w:tc>
        <w:tc>
          <w:tcPr>
            <w:tcW w:type="dxa" w:w="2409"/>
          </w:tcPr>
          <w:p>
            <w:pPr>
              <w:spacing w:after="20" w:before="20" w:line="240" w:lineRule="auto"/>
            </w:pPr>
            <w:r/>
            <w:r>
              <w:rPr>
                <w:rFonts w:ascii="Arial" w:hAnsi="Arial" w:cs="Arial"/>
                <w:b w:val="0"/>
                <w:i w:val="0"/>
                <w:sz w:val="17"/>
              </w:rPr>
              <w:t>Sections 6.2.14, 6.13</w:t>
            </w:r>
          </w:p>
        </w:tc>
      </w:tr>
      <w:tr>
        <w:tc>
          <w:tcPr>
            <w:tcW w:type="dxa" w:w="2409"/>
          </w:tcPr>
          <w:p>
            <w:pPr>
              <w:spacing w:after="20" w:before="20" w:line="240" w:lineRule="auto"/>
            </w:pPr>
            <w:r/>
            <w:r>
              <w:rPr>
                <w:rFonts w:ascii="Arial" w:hAnsi="Arial" w:cs="Arial"/>
                <w:b w:val="0"/>
                <w:i w:val="0"/>
                <w:sz w:val="17"/>
              </w:rPr>
              <w:t>12</w:t>
            </w:r>
          </w:p>
        </w:tc>
        <w:tc>
          <w:tcPr>
            <w:tcW w:type="dxa" w:w="2409"/>
          </w:tcPr>
          <w:p>
            <w:pPr>
              <w:spacing w:after="20" w:before="20" w:line="240" w:lineRule="auto"/>
            </w:pPr>
            <w:r/>
            <w:r>
              <w:rPr>
                <w:rFonts w:ascii="Arial" w:hAnsi="Arial" w:cs="Arial"/>
                <w:b w:val="0"/>
                <w:i w:val="0"/>
                <w:sz w:val="17"/>
              </w:rPr>
              <w:t>Draft Auto-Save</w:t>
            </w:r>
          </w:p>
        </w:tc>
        <w:tc>
          <w:tcPr>
            <w:tcW w:type="dxa" w:w="2409"/>
          </w:tcPr>
          <w:p>
            <w:pPr>
              <w:spacing w:after="20" w:before="20" w:line="240" w:lineRule="auto"/>
            </w:pPr>
            <w:r/>
            <w:r>
              <w:rPr>
                <w:rFonts w:ascii="Arial" w:hAnsi="Arial" w:cs="Arial"/>
                <w:b w:val="0"/>
                <w:i w:val="0"/>
                <w:sz w:val="17"/>
              </w:rPr>
              <w:t>Background persistence and recovery</w:t>
            </w:r>
          </w:p>
        </w:tc>
        <w:tc>
          <w:tcPr>
            <w:tcW w:type="dxa" w:w="2409"/>
          </w:tcPr>
          <w:p>
            <w:pPr>
              <w:spacing w:after="20" w:before="20" w:line="240" w:lineRule="auto"/>
            </w:pPr>
            <w:r/>
            <w:r>
              <w:rPr>
                <w:rFonts w:ascii="Arial" w:hAnsi="Arial" w:cs="Arial"/>
                <w:b w:val="0"/>
                <w:i w:val="0"/>
                <w:sz w:val="17"/>
              </w:rPr>
              <w:t>Sections 6.2.15, 6.16</w:t>
            </w:r>
          </w:p>
        </w:tc>
      </w:tr>
      <w:tr>
        <w:tc>
          <w:tcPr>
            <w:tcW w:type="dxa" w:w="2409"/>
          </w:tcPr>
          <w:p>
            <w:pPr>
              <w:spacing w:after="20" w:before="20" w:line="240" w:lineRule="auto"/>
            </w:pPr>
            <w:r/>
            <w:r>
              <w:rPr>
                <w:rFonts w:ascii="Arial" w:hAnsi="Arial" w:cs="Arial"/>
                <w:b w:val="0"/>
                <w:i w:val="0"/>
                <w:sz w:val="17"/>
              </w:rPr>
              <w:t>13</w:t>
            </w:r>
          </w:p>
        </w:tc>
        <w:tc>
          <w:tcPr>
            <w:tcW w:type="dxa" w:w="2409"/>
          </w:tcPr>
          <w:p>
            <w:pPr>
              <w:spacing w:after="20" w:before="20" w:line="240" w:lineRule="auto"/>
            </w:pPr>
            <w:r/>
            <w:r>
              <w:rPr>
                <w:rFonts w:ascii="Arial" w:hAnsi="Arial" w:cs="Arial"/>
                <w:b w:val="0"/>
                <w:i w:val="0"/>
                <w:sz w:val="17"/>
              </w:rPr>
              <w:t>Submit Trade Request</w:t>
            </w:r>
          </w:p>
        </w:tc>
        <w:tc>
          <w:tcPr>
            <w:tcW w:type="dxa" w:w="2409"/>
          </w:tcPr>
          <w:p>
            <w:pPr>
              <w:spacing w:after="20" w:before="20" w:line="240" w:lineRule="auto"/>
            </w:pPr>
            <w:r/>
            <w:r>
              <w:rPr>
                <w:rFonts w:ascii="Arial" w:hAnsi="Arial" w:cs="Arial"/>
                <w:b w:val="0"/>
                <w:i w:val="0"/>
                <w:sz w:val="17"/>
              </w:rPr>
              <w:t>Governor pre-screen and request creation</w:t>
            </w:r>
          </w:p>
        </w:tc>
        <w:tc>
          <w:tcPr>
            <w:tcW w:type="dxa" w:w="2409"/>
          </w:tcPr>
          <w:p>
            <w:pPr>
              <w:spacing w:after="20" w:before="20" w:line="240" w:lineRule="auto"/>
            </w:pPr>
            <w:r/>
            <w:r>
              <w:rPr>
                <w:rFonts w:ascii="Arial" w:hAnsi="Arial" w:cs="Arial"/>
                <w:b w:val="0"/>
                <w:i w:val="0"/>
                <w:sz w:val="17"/>
              </w:rPr>
              <w:t>Section 6.2.16</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Supporting capabilities: Executive Approval Layer (Section 6.2.17), Trade Request Readiness and Supplier Attractiveness advisory scores (Section 6.12), Multi-Shipment Request (Section 6.14), and Draft Auto-Save &amp; Recovery (Section 6.16). Governor pre-screen and submission validation are specified with the complete gate matrix in Section 15; the complete DDL for every table in this section appears in Section 17; the API endpoint index appears in Section 18.</w:t>
      </w:r>
    </w:p>
    <w:p>
      <w:pPr>
        <w:keepNext/>
        <w:spacing w:before="180" w:after="80"/>
        <w:outlineLvl w:val="2"/>
      </w:pPr>
      <w:r>
        <w:rPr>
          <w:rFonts w:ascii="Arial" w:hAnsi="Arial" w:cs="Arial"/>
          <w:b/>
          <w:i w:val="0"/>
          <w:color w:val="333333"/>
          <w:sz w:val="23"/>
        </w:rPr>
        <w:t>6.1.4 Canonical Data Model Principle — Commodity-Level Quantity</w:t>
      </w:r>
    </w:p>
    <w:p>
      <w:pPr>
        <w:spacing w:after="80" w:line="293" w:lineRule="auto"/>
        <w:jc w:val="left"/>
      </w:pPr>
      <w:r>
        <w:rPr>
          <w:rFonts w:ascii="Times New Roman" w:hAnsi="Times New Roman" w:cs="Times New Roman"/>
          <w:b w:val="0"/>
          <w:i w:val="0"/>
          <w:sz w:val="22"/>
        </w:rPr>
        <w:t>Quantity is stored at the commodity level, not at the trade header level. For multi-commodity trades, header-level quantity is ambiguous: Container 1 with Oranges (100 MT) and Container 2 with Potatoes (50 MT) cannot share a single `requested_quantity` value at the trade header. The canonical data model therefore defines `trade_request_commodities`, which holds quantity, tolerance, acceptance criteria, packaging, and special requirements per commodity:</w:t>
      </w:r>
    </w:p>
    <w:p>
      <w:pPr>
        <w:spacing w:after="0" w:before="0" w:line="240" w:lineRule="auto"/>
        <w:ind w:left="57"/>
        <w:jc w:val="left"/>
        <w:shd w:val="clear" w:fill="F2F2F2"/>
      </w:pPr>
      <w:r>
        <w:rPr>
          <w:rFonts w:ascii="Consolas" w:hAnsi="Consolas" w:cs="Consolas"/>
          <w:b w:val="0"/>
          <w:i w:val="0"/>
          <w:sz w:val="15"/>
        </w:rPr>
        <w:t>CREATE TABLE trade_request_commodities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container_id UUID NOT NULL,</w:t>
      </w:r>
    </w:p>
    <w:p>
      <w:pPr>
        <w:spacing w:after="0" w:before="0" w:line="240" w:lineRule="auto"/>
        <w:ind w:left="57"/>
        <w:jc w:val="left"/>
        <w:shd w:val="clear" w:fill="F2F2F2"/>
      </w:pPr>
      <w:r>
        <w:rPr>
          <w:rFonts w:ascii="Consolas" w:hAnsi="Consolas" w:cs="Consolas"/>
          <w:b w:val="0"/>
          <w:i w:val="0"/>
          <w:sz w:val="15"/>
        </w:rPr>
        <w:t xml:space="preserve">    commodity_type TEXT NOT NULL,</w:t>
      </w:r>
    </w:p>
    <w:p>
      <w:pPr>
        <w:spacing w:after="0" w:before="0" w:line="240" w:lineRule="auto"/>
        <w:ind w:left="57"/>
        <w:jc w:val="left"/>
        <w:shd w:val="clear" w:fill="F2F2F2"/>
      </w:pPr>
      <w:r>
        <w:rPr>
          <w:rFonts w:ascii="Consolas" w:hAnsi="Consolas" w:cs="Consolas"/>
          <w:b w:val="0"/>
          <w:i w:val="0"/>
          <w:sz w:val="15"/>
        </w:rPr>
        <w:t xml:space="preserve">    product_name TEXT NOT NULL,</w:t>
      </w:r>
    </w:p>
    <w:p>
      <w:pPr>
        <w:spacing w:after="0" w:before="0" w:line="240" w:lineRule="auto"/>
        <w:ind w:left="57"/>
        <w:jc w:val="left"/>
        <w:shd w:val="clear" w:fill="F2F2F2"/>
      </w:pPr>
      <w:r>
        <w:rPr>
          <w:rFonts w:ascii="Consolas" w:hAnsi="Consolas" w:cs="Consolas"/>
          <w:b w:val="0"/>
          <w:i w:val="0"/>
          <w:sz w:val="15"/>
        </w:rPr>
        <w:t xml:space="preserve">    hs_code CHAR(6) NOT NULL,</w:t>
      </w:r>
    </w:p>
    <w:p>
      <w:pPr>
        <w:spacing w:after="0" w:before="0" w:line="240" w:lineRule="auto"/>
        <w:ind w:left="57"/>
        <w:jc w:val="left"/>
        <w:shd w:val="clear" w:fill="F2F2F2"/>
      </w:pPr>
      <w:r>
        <w:rPr>
          <w:rFonts w:ascii="Consolas" w:hAnsi="Consolas" w:cs="Consolas"/>
          <w:b w:val="0"/>
          <w:i w:val="0"/>
          <w:sz w:val="15"/>
        </w:rPr>
        <w:t xml:space="preserve">    -- Quantity &amp; Tolerance (per commodity)</w:t>
      </w:r>
    </w:p>
    <w:p>
      <w:pPr>
        <w:spacing w:after="0" w:before="0" w:line="240" w:lineRule="auto"/>
        <w:ind w:left="57"/>
        <w:jc w:val="left"/>
        <w:shd w:val="clear" w:fill="F2F2F2"/>
      </w:pPr>
      <w:r>
        <w:rPr>
          <w:rFonts w:ascii="Consolas" w:hAnsi="Consolas" w:cs="Consolas"/>
          <w:b w:val="0"/>
          <w:i w:val="0"/>
          <w:sz w:val="15"/>
        </w:rPr>
        <w:t xml:space="preserve">    requested_quantity DECIMAL(20,4) NOT NULL,</w:t>
      </w:r>
    </w:p>
    <w:p>
      <w:pPr>
        <w:spacing w:after="0" w:before="0" w:line="240" w:lineRule="auto"/>
        <w:ind w:left="57"/>
        <w:jc w:val="left"/>
        <w:shd w:val="clear" w:fill="F2F2F2"/>
      </w:pPr>
      <w:r>
        <w:rPr>
          <w:rFonts w:ascii="Consolas" w:hAnsi="Consolas" w:cs="Consolas"/>
          <w:b w:val="0"/>
          <w:i w:val="0"/>
          <w:sz w:val="15"/>
        </w:rPr>
        <w:t xml:space="preserve">    requested_quantity_unit TEXT NOT NULL,</w:t>
      </w:r>
    </w:p>
    <w:p>
      <w:pPr>
        <w:spacing w:after="0" w:before="0" w:line="240" w:lineRule="auto"/>
        <w:ind w:left="57"/>
        <w:jc w:val="left"/>
        <w:shd w:val="clear" w:fill="F2F2F2"/>
      </w:pPr>
      <w:r>
        <w:rPr>
          <w:rFonts w:ascii="Consolas" w:hAnsi="Consolas" w:cs="Consolas"/>
          <w:b w:val="0"/>
          <w:i w:val="0"/>
          <w:sz w:val="15"/>
        </w:rPr>
        <w:t xml:space="preserve">    quantity_tolerance DECIMAL(5,2) DEFAULT 5.0,</w:t>
      </w:r>
    </w:p>
    <w:p>
      <w:pPr>
        <w:spacing w:after="0" w:before="0" w:line="240" w:lineRule="auto"/>
        <w:ind w:left="57"/>
        <w:jc w:val="left"/>
        <w:shd w:val="clear" w:fill="F2F2F2"/>
      </w:pPr>
      <w:r>
        <w:rPr>
          <w:rFonts w:ascii="Consolas" w:hAnsi="Consolas" w:cs="Consolas"/>
          <w:b w:val="0"/>
          <w:i w:val="0"/>
          <w:sz w:val="15"/>
        </w:rPr>
        <w:t xml:space="preserve">    -- Acceptance Criteria (per commodity)</w:t>
      </w:r>
    </w:p>
    <w:p>
      <w:pPr>
        <w:spacing w:after="0" w:before="0" w:line="240" w:lineRule="auto"/>
        <w:ind w:left="57"/>
        <w:jc w:val="left"/>
        <w:shd w:val="clear" w:fill="F2F2F2"/>
      </w:pPr>
      <w:r>
        <w:rPr>
          <w:rFonts w:ascii="Consolas" w:hAnsi="Consolas" w:cs="Consolas"/>
          <w:b w:val="0"/>
          <w:i w:val="0"/>
          <w:sz w:val="15"/>
        </w:rPr>
        <w:t xml:space="preserve">    acceptance_criteria_matrix JSONB,</w:t>
      </w:r>
    </w:p>
    <w:p>
      <w:pPr>
        <w:spacing w:after="0" w:before="0" w:line="240" w:lineRule="auto"/>
        <w:ind w:left="57"/>
        <w:jc w:val="left"/>
        <w:shd w:val="clear" w:fill="F2F2F2"/>
      </w:pPr>
      <w:r>
        <w:rPr>
          <w:rFonts w:ascii="Consolas" w:hAnsi="Consolas" w:cs="Consolas"/>
          <w:b w:val="0"/>
          <w:i w:val="0"/>
          <w:sz w:val="15"/>
        </w:rPr>
        <w:t xml:space="preserve">    -- Packaging (per commodity)</w:t>
      </w:r>
    </w:p>
    <w:p>
      <w:pPr>
        <w:spacing w:after="0" w:before="0" w:line="240" w:lineRule="auto"/>
        <w:ind w:left="57"/>
        <w:jc w:val="left"/>
        <w:shd w:val="clear" w:fill="F2F2F2"/>
      </w:pPr>
      <w:r>
        <w:rPr>
          <w:rFonts w:ascii="Consolas" w:hAnsi="Consolas" w:cs="Consolas"/>
          <w:b w:val="0"/>
          <w:i w:val="0"/>
          <w:sz w:val="15"/>
        </w:rPr>
        <w:t xml:space="preserve">    packaging_type TEXT,</w:t>
      </w:r>
    </w:p>
    <w:p>
      <w:pPr>
        <w:spacing w:after="0" w:before="0" w:line="240" w:lineRule="auto"/>
        <w:ind w:left="57"/>
        <w:jc w:val="left"/>
        <w:shd w:val="clear" w:fill="F2F2F2"/>
      </w:pPr>
      <w:r>
        <w:rPr>
          <w:rFonts w:ascii="Consolas" w:hAnsi="Consolas" w:cs="Consolas"/>
          <w:b w:val="0"/>
          <w:i w:val="0"/>
          <w:sz w:val="15"/>
        </w:rPr>
        <w:t xml:space="preserve">    pallet_count INTEGER,</w:t>
      </w:r>
    </w:p>
    <w:p>
      <w:pPr>
        <w:spacing w:after="0" w:before="0" w:line="240" w:lineRule="auto"/>
        <w:ind w:left="57"/>
        <w:jc w:val="left"/>
        <w:shd w:val="clear" w:fill="F2F2F2"/>
      </w:pPr>
      <w:r>
        <w:rPr>
          <w:rFonts w:ascii="Consolas" w:hAnsi="Consolas" w:cs="Consolas"/>
          <w:b w:val="0"/>
          <w:i w:val="0"/>
          <w:sz w:val="15"/>
        </w:rPr>
        <w:t xml:space="preserve">    net_weight_per_unit DECIMAL(10,2),</w:t>
      </w:r>
    </w:p>
    <w:p>
      <w:pPr>
        <w:spacing w:after="0" w:before="0" w:line="240" w:lineRule="auto"/>
        <w:ind w:left="57"/>
        <w:jc w:val="left"/>
        <w:shd w:val="clear" w:fill="F2F2F2"/>
      </w:pPr>
      <w:r>
        <w:rPr>
          <w:rFonts w:ascii="Consolas" w:hAnsi="Consolas" w:cs="Consolas"/>
          <w:b w:val="0"/>
          <w:i w:val="0"/>
          <w:sz w:val="15"/>
        </w:rPr>
        <w:t xml:space="preserve">    gross_weight_per_unit DECIMAL(10,2),</w:t>
      </w:r>
    </w:p>
    <w:p>
      <w:pPr>
        <w:spacing w:after="0" w:before="0" w:line="240" w:lineRule="auto"/>
        <w:ind w:left="57"/>
        <w:jc w:val="left"/>
        <w:shd w:val="clear" w:fill="F2F2F2"/>
      </w:pPr>
      <w:r>
        <w:rPr>
          <w:rFonts w:ascii="Consolas" w:hAnsi="Consolas" w:cs="Consolas"/>
          <w:b w:val="0"/>
          <w:i w:val="0"/>
          <w:sz w:val="15"/>
        </w:rPr>
        <w:t xml:space="preserve">    -- Special requirements (per commodity)</w:t>
      </w:r>
    </w:p>
    <w:p>
      <w:pPr>
        <w:spacing w:after="0" w:before="0" w:line="240" w:lineRule="auto"/>
        <w:ind w:left="57"/>
        <w:jc w:val="left"/>
        <w:shd w:val="clear" w:fill="F2F2F2"/>
      </w:pPr>
      <w:r>
        <w:rPr>
          <w:rFonts w:ascii="Consolas" w:hAnsi="Consolas" w:cs="Consolas"/>
          <w:b w:val="0"/>
          <w:i w:val="0"/>
          <w:sz w:val="15"/>
        </w:rPr>
        <w:t xml:space="preserve">    partial_shipment_allowed BOOLEAN DEFAULT true,</w:t>
      </w:r>
    </w:p>
    <w:p>
      <w:pPr>
        <w:spacing w:after="0" w:before="0" w:line="240" w:lineRule="auto"/>
        <w:ind w:left="57"/>
        <w:jc w:val="left"/>
        <w:shd w:val="clear" w:fill="F2F2F2"/>
      </w:pPr>
      <w:r>
        <w:rPr>
          <w:rFonts w:ascii="Consolas" w:hAnsi="Consolas" w:cs="Consolas"/>
          <w:b w:val="0"/>
          <w:i w:val="0"/>
          <w:sz w:val="15"/>
        </w:rPr>
        <w:t xml:space="preserve">    transshipment_allowed BOOLEAN DEFAULT true,</w:t>
      </w:r>
    </w:p>
    <w:p>
      <w:pPr>
        <w:spacing w:after="0" w:before="0" w:line="240" w:lineRule="auto"/>
        <w:ind w:left="57"/>
        <w:jc w:val="left"/>
        <w:shd w:val="clear" w:fill="F2F2F2"/>
      </w:pPr>
      <w:r>
        <w:rPr>
          <w:rFonts w:ascii="Consolas" w:hAnsi="Consolas" w:cs="Consolas"/>
          <w:b w:val="0"/>
          <w:i w:val="0"/>
          <w:sz w:val="15"/>
        </w:rPr>
        <w:t xml:space="preserve">    inspection_requirements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6.1.5 Phase Timeline &amp; One-Click Guarantee</w:t>
      </w:r>
    </w:p>
    <w:p>
      <w:pPr>
        <w:spacing w:after="80" w:line="293" w:lineRule="auto"/>
        <w:jc w:val="left"/>
      </w:pPr>
      <w:r>
        <w:rPr>
          <w:rFonts w:ascii="Times New Roman" w:hAnsi="Times New Roman" w:cs="Times New Roman"/>
          <w:b w:val="0"/>
          <w:i w:val="0"/>
          <w:sz w:val="22"/>
        </w:rPr>
        <w:t>Phase 1 target: the buyer completes a trade request in approximately 30 minutes. The one-click guarantee: from form submission to trade request creation, a maximum of 7 clicks (excluding data entry). The form auto-saves every 30 seconds.</w:t>
      </w:r>
    </w:p>
    <w:p>
      <w:pPr>
        <w:keepNext/>
        <w:spacing w:before="180" w:after="80"/>
        <w:outlineLvl w:val="2"/>
      </w:pPr>
      <w:r>
        <w:rPr>
          <w:rFonts w:ascii="Arial" w:hAnsi="Arial" w:cs="Arial"/>
          <w:b/>
          <w:i w:val="0"/>
          <w:color w:val="333333"/>
          <w:sz w:val="23"/>
        </w:rPr>
        <w:t>6.1.6 AI Authority Summary (Form Level)</w:t>
      </w:r>
    </w:p>
    <w:p>
      <w:pPr>
        <w:spacing w:after="80" w:line="293" w:lineRule="auto"/>
        <w:jc w:val="left"/>
      </w:pPr>
      <w:r>
        <w:rPr>
          <w:rFonts w:ascii="Times New Roman" w:hAnsi="Times New Roman" w:cs="Times New Roman"/>
          <w:b w:val="0"/>
          <w:i w:val="0"/>
          <w:sz w:val="22"/>
        </w:rPr>
        <w:t>AI assistance in Phase 1 follows the platform's authority tiers: A1 advisory agents (Groq-hosted LLM, with Ollama local fallback and static-template final fallback), A2 constraining agents (locally hosted Hugging Face models and gradient-boosted models that can block with CONDITIONAL verdicts), A4 Governor gates (OPA + WasmEdge deterministic validation), and A5 forbidden actions (blocked at WASM compile time). All fallbacks are logged in `ai_inference_records`. The AI roles used in this section: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Technology</w:t>
            </w:r>
          </w:p>
        </w:tc>
        <w:tc>
          <w:tcPr>
            <w:tcW w:type="dxa" w:w="3213"/>
            <w:shd w:val="clear" w:fill="D9E2F3"/>
          </w:tcPr>
          <w:p>
            <w:pPr>
              <w:spacing w:after="20" w:before="20" w:line="240" w:lineRule="auto"/>
            </w:pPr>
            <w:r/>
            <w:r>
              <w:rPr>
                <w:rFonts w:ascii="Arial" w:hAnsi="Arial" w:cs="Arial"/>
                <w:b/>
                <w:i w:val="0"/>
                <w:sz w:val="18"/>
              </w:rPr>
              <w:t>Role in Phase 1</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Groq-hosted LLM</w:t>
            </w:r>
          </w:p>
        </w:tc>
        <w:tc>
          <w:tcPr>
            <w:tcW w:type="dxa" w:w="3213"/>
          </w:tcPr>
          <w:p>
            <w:pPr>
              <w:spacing w:after="20" w:before="20" w:line="240" w:lineRule="auto"/>
            </w:pPr>
            <w:r/>
            <w:r>
              <w:rPr>
                <w:rFonts w:ascii="Arial" w:hAnsi="Arial" w:cs="Arial"/>
                <w:b w:val="0"/>
                <w:i w:val="0"/>
                <w:sz w:val="17"/>
              </w:rPr>
              <w:t>Autocomplete, plain-language explanations, suggestions, recommendations, tenant messages</w:t>
            </w:r>
          </w:p>
        </w:tc>
      </w:tr>
      <w:tr>
        <w:tc>
          <w:tcPr>
            <w:tcW w:type="dxa" w:w="3213"/>
          </w:tcPr>
          <w:p>
            <w:pPr>
              <w:spacing w:after="20" w:before="20" w:line="240" w:lineRule="auto"/>
            </w:pPr>
            <w:r/>
            <w:r>
              <w:rPr>
                <w:rFonts w:ascii="Arial" w:hAnsi="Arial" w:cs="Arial"/>
                <w:b w:val="0"/>
                <w:i w:val="0"/>
                <w:sz w:val="17"/>
              </w:rPr>
              <w:t>A2 (RIA / HF local / XGBoost / LightGBM)</w:t>
            </w:r>
          </w:p>
        </w:tc>
        <w:tc>
          <w:tcPr>
            <w:tcW w:type="dxa" w:w="3213"/>
          </w:tcPr>
          <w:p>
            <w:pPr>
              <w:spacing w:after="20" w:before="20" w:line="240" w:lineRule="auto"/>
            </w:pPr>
            <w:r/>
            <w:r>
              <w:rPr>
                <w:rFonts w:ascii="Arial" w:hAnsi="Arial" w:cs="Arial"/>
                <w:b w:val="0"/>
                <w:i w:val="0"/>
                <w:sz w:val="17"/>
              </w:rPr>
              <w:t>Local models + pgvector</w:t>
            </w:r>
          </w:p>
        </w:tc>
        <w:tc>
          <w:tcPr>
            <w:tcW w:type="dxa" w:w="3213"/>
          </w:tcPr>
          <w:p>
            <w:pPr>
              <w:spacing w:after="20" w:before="20" w:line="240" w:lineRule="auto"/>
            </w:pPr>
            <w:r/>
            <w:r>
              <w:rPr>
                <w:rFonts w:ascii="Arial" w:hAnsi="Arial" w:cs="Arial"/>
                <w:b w:val="0"/>
                <w:i w:val="0"/>
                <w:sz w:val="17"/>
              </w:rPr>
              <w:t>Regulatory data, dynamic schema generation, structured extraction, readiness scoring, product vectors</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OPA + WasmEdge</w:t>
            </w:r>
          </w:p>
        </w:tc>
        <w:tc>
          <w:tcPr>
            <w:tcW w:type="dxa" w:w="3213"/>
          </w:tcPr>
          <w:p>
            <w:pPr>
              <w:spacing w:after="20" w:before="20" w:line="240" w:lineRule="auto"/>
            </w:pPr>
            <w:r/>
            <w:r>
              <w:rPr>
                <w:rFonts w:ascii="Arial" w:hAnsi="Arial" w:cs="Arial"/>
                <w:b w:val="0"/>
                <w:i w:val="0"/>
                <w:sz w:val="17"/>
              </w:rPr>
              <w:t>Validation: incoterm, equipment, weights, ports, delivery windows, settlement, criticality</w:t>
            </w:r>
          </w:p>
        </w:tc>
      </w:tr>
      <w:tr>
        <w:tc>
          <w:tcPr>
            <w:tcW w:type="dxa" w:w="3213"/>
          </w:tcPr>
          <w:p>
            <w:pPr>
              <w:spacing w:after="20" w:before="20" w:line="240" w:lineRule="auto"/>
            </w:pPr>
            <w:r/>
            <w:r>
              <w:rPr>
                <w:rFonts w:ascii="Arial" w:hAnsi="Arial" w:cs="Arial"/>
                <w:b w:val="0"/>
                <w:i w:val="0"/>
                <w:sz w:val="17"/>
              </w:rPr>
              <w:t>GNN (A2)</w:t>
            </w:r>
          </w:p>
        </w:tc>
        <w:tc>
          <w:tcPr>
            <w:tcW w:type="dxa" w:w="3213"/>
          </w:tcPr>
          <w:p>
            <w:pPr>
              <w:spacing w:after="20" w:before="20" w:line="240" w:lineRule="auto"/>
            </w:pPr>
            <w:r/>
            <w:r>
              <w:rPr>
                <w:rFonts w:ascii="Arial" w:hAnsi="Arial" w:cs="Arial"/>
                <w:b w:val="0"/>
                <w:i w:val="0"/>
                <w:sz w:val="17"/>
              </w:rPr>
              <w:t>Graph Neural Network</w:t>
            </w:r>
          </w:p>
        </w:tc>
        <w:tc>
          <w:tcPr>
            <w:tcW w:type="dxa" w:w="3213"/>
          </w:tcPr>
          <w:p>
            <w:pPr>
              <w:spacing w:after="20" w:before="20" w:line="240" w:lineRule="auto"/>
            </w:pPr>
            <w:r/>
            <w:r>
              <w:rPr>
                <w:rFonts w:ascii="Arial" w:hAnsi="Arial" w:cs="Arial"/>
                <w:b w:val="0"/>
                <w:i w:val="0"/>
                <w:sz w:val="17"/>
              </w:rPr>
              <w:t>Sanctions pre-screen of counterparties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6.1.7 Section Roadmap</w:t>
      </w:r>
    </w:p>
    <w:p>
      <w:pPr>
        <w:spacing w:after="80" w:line="293" w:lineRule="auto"/>
        <w:jc w:val="left"/>
      </w:pPr>
      <w:r>
        <w:rPr>
          <w:rFonts w:ascii="Times New Roman" w:hAnsi="Times New Roman" w:cs="Times New Roman"/>
          <w:b w:val="0"/>
          <w:i w:val="0"/>
          <w:sz w:val="22"/>
        </w:rPr>
        <w:t>This section is organised as follows: 6.2 Complete Workflow Steps; 6.3 Regulatory Intelligence Agent (RIA); 6.4 Incoterm Selection &amp; Engine; 6.5 Product Form Agent (A2); 6.6 Structured Container &amp; Commodity Entry; 6.7 Documentation Requirements; 6.8 Special Trade Instructions; 6.9 Transport &amp; Logistics; 6.10 Insurance Requirements; 6.11 Commercial Settlement Requirements; 6.12 Trade Request Readiness; 6.13 Trade Criticality; 6.14 Multi-Shipment Requests; 6.15 AI Container Advisor; 6.16 Draft Auto-Save &amp; Recovery. Governor prescreen and the submission validation matrix are specified in Section 15; the consolidated DDL in Section 17; the implementation roadmap in Section 24.</w:t>
      </w:r>
    </w:p>
    <w:p>
      <w:pPr>
        <w:keepNext/>
        <w:spacing w:before="180" w:after="80"/>
        <w:outlineLvl w:val="2"/>
      </w:pPr>
      <w:r>
        <w:rPr>
          <w:rFonts w:ascii="Arial" w:hAnsi="Arial" w:cs="Arial"/>
          <w:b/>
          <w:i w:val="0"/>
          <w:color w:val="333333"/>
          <w:sz w:val="23"/>
        </w:rPr>
        <w:t>6.1.8 Implementation Priority</w:t>
      </w:r>
    </w:p>
    <w:p>
      <w:pPr>
        <w:spacing w:after="80" w:line="293" w:lineRule="auto"/>
        <w:jc w:val="left"/>
      </w:pPr>
      <w:r>
        <w:rPr>
          <w:rFonts w:ascii="Times New Roman" w:hAnsi="Times New Roman" w:cs="Times New Roman"/>
          <w:b w:val="0"/>
          <w:i w:val="0"/>
          <w:sz w:val="22"/>
        </w:rPr>
        <w:t>Implementation order for the form capability: (1) core form components — seller selection, incoterm engine, container/commodity entry, documentation, settlement; (2) AI integration — RIA scrapers and matrices, Product Form Agent schema generation, Container Advisor, readiness scoring; (3) Governor integration — the 33 Phase 1 validation gates and the Decision Panel; (4) resilience — draft auto-save and recovery; (5) testing — unit, integration, and end-to-end per the checklists in Sections 6.2.20 and 6.3–6.16.</w:t>
      </w:r>
    </w:p>
    <w:p>
      <w:pPr>
        <w:keepNext/>
        <w:spacing w:before="240" w:after="100"/>
        <w:outlineLvl w:val="1"/>
      </w:pPr>
      <w:r>
        <w:rPr>
          <w:rFonts w:ascii="Arial" w:hAnsi="Arial" w:cs="Arial"/>
          <w:b/>
          <w:i w:val="0"/>
          <w:color w:val="2E528F"/>
          <w:sz w:val="26"/>
        </w:rPr>
        <w:t>6.2 Complete Workflow Steps</w:t>
      </w:r>
    </w:p>
    <w:p>
      <w:pPr>
        <w:keepNext/>
        <w:spacing w:before="180" w:after="80"/>
        <w:outlineLvl w:val="2"/>
      </w:pPr>
      <w:r>
        <w:rPr>
          <w:rFonts w:ascii="Arial" w:hAnsi="Arial" w:cs="Arial"/>
          <w:b/>
          <w:i w:val="0"/>
          <w:color w:val="333333"/>
          <w:sz w:val="23"/>
        </w:rPr>
        <w:t>6.2.1 High-Level Workflow</w:t>
      </w:r>
    </w:p>
    <w:p>
      <w:pPr>
        <w:spacing w:after="80" w:line="293" w:lineRule="auto"/>
        <w:jc w:val="left"/>
      </w:pPr>
      <w:r>
        <w:rPr>
          <w:rFonts w:ascii="Times New Roman" w:hAnsi="Times New Roman" w:cs="Times New Roman"/>
          <w:b w:val="0"/>
          <w:i w:val="0"/>
          <w:sz w:val="22"/>
        </w:rPr>
        <w:t>The complete Phase 1 sequence: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Step</w:t>
            </w:r>
          </w:p>
        </w:tc>
        <w:tc>
          <w:tcPr>
            <w:tcW w:type="dxa" w:w="3213"/>
            <w:shd w:val="clear" w:fill="D9E2F3"/>
          </w:tcPr>
          <w:p>
            <w:pPr>
              <w:spacing w:after="20" w:before="20" w:line="240" w:lineRule="auto"/>
            </w:pPr>
            <w:r/>
            <w:r>
              <w:rPr>
                <w:rFonts w:ascii="Arial" w:hAnsi="Arial" w:cs="Arial"/>
                <w:b/>
                <w:i w:val="0"/>
                <w:sz w:val="18"/>
              </w:rPr>
              <w:t>Action</w:t>
            </w:r>
          </w:p>
        </w:tc>
        <w:tc>
          <w:tcPr>
            <w:tcW w:type="dxa" w:w="3213"/>
            <w:shd w:val="clear" w:fill="D9E2F3"/>
          </w:tcPr>
          <w:p>
            <w:pPr>
              <w:spacing w:after="20" w:before="20" w:line="240" w:lineRule="auto"/>
            </w:pPr>
            <w:r/>
            <w:r>
              <w:rPr>
                <w:rFonts w:ascii="Arial" w:hAnsi="Arial" w:cs="Arial"/>
                <w:b/>
                <w:i w:val="0"/>
                <w:sz w:val="18"/>
              </w:rPr>
              <w:t>Key Behaviour</w:t>
            </w:r>
          </w:p>
        </w:tc>
      </w:tr>
      <w:tr>
        <w:tc>
          <w:tcPr>
            <w:tcW w:type="dxa" w:w="3213"/>
          </w:tcPr>
          <w:p>
            <w:pPr>
              <w:spacing w:after="20" w:before="20" w:line="240" w:lineRule="auto"/>
            </w:pPr>
            <w:r/>
            <w:r>
              <w:rPr>
                <w:rFonts w:ascii="Arial" w:hAnsi="Arial" w:cs="Arial"/>
                <w:b w:val="0"/>
                <w:i w:val="0"/>
                <w:sz w:val="17"/>
              </w:rPr>
              <w:t>1</w:t>
            </w:r>
          </w:p>
        </w:tc>
        <w:tc>
          <w:tcPr>
            <w:tcW w:type="dxa" w:w="3213"/>
          </w:tcPr>
          <w:p>
            <w:pPr>
              <w:spacing w:after="20" w:before="20" w:line="240" w:lineRule="auto"/>
            </w:pPr>
            <w:r/>
            <w:r>
              <w:rPr>
                <w:rFonts w:ascii="Arial" w:hAnsi="Arial" w:cs="Arial"/>
                <w:b w:val="0"/>
                <w:i w:val="0"/>
                <w:sz w:val="17"/>
              </w:rPr>
              <w:t>Seller Selection</w:t>
            </w:r>
          </w:p>
        </w:tc>
        <w:tc>
          <w:tcPr>
            <w:tcW w:type="dxa" w:w="3213"/>
          </w:tcPr>
          <w:p>
            <w:pPr>
              <w:spacing w:after="20" w:before="20" w:line="240" w:lineRule="auto"/>
            </w:pPr>
            <w:r/>
            <w:r>
              <w:rPr>
                <w:rFonts w:ascii="Arial" w:hAnsi="Arial" w:cs="Arial"/>
                <w:b w:val="0"/>
                <w:i w:val="0"/>
                <w:sz w:val="17"/>
              </w:rPr>
              <w:t>Select known counterparty from saved contacts or direct GTID entry; AI autocomplete; sanctions pre-screen (GNN)</w:t>
            </w:r>
          </w:p>
        </w:tc>
      </w:tr>
      <w:tr>
        <w:tc>
          <w:tcPr>
            <w:tcW w:type="dxa" w:w="3213"/>
          </w:tcPr>
          <w:p>
            <w:pPr>
              <w:spacing w:after="20" w:before="20" w:line="240" w:lineRule="auto"/>
            </w:pPr>
            <w:r/>
            <w:r>
              <w:rPr>
                <w:rFonts w:ascii="Arial" w:hAnsi="Arial" w:cs="Arial"/>
                <w:b w:val="0"/>
                <w:i w:val="0"/>
                <w:sz w:val="17"/>
              </w:rPr>
              <w:t>2</w:t>
            </w:r>
          </w:p>
        </w:tc>
        <w:tc>
          <w:tcPr>
            <w:tcW w:type="dxa" w:w="3213"/>
          </w:tcPr>
          <w:p>
            <w:pPr>
              <w:spacing w:after="20" w:before="20" w:line="240" w:lineRule="auto"/>
            </w:pPr>
            <w:r/>
            <w:r>
              <w:rPr>
                <w:rFonts w:ascii="Arial" w:hAnsi="Arial" w:cs="Arial"/>
                <w:b w:val="0"/>
                <w:i w:val="0"/>
                <w:sz w:val="17"/>
              </w:rPr>
              <w:t>Incoterm + Commercial Foundation (merged)</w:t>
            </w:r>
          </w:p>
        </w:tc>
        <w:tc>
          <w:tcPr>
            <w:tcW w:type="dxa" w:w="3213"/>
          </w:tcPr>
          <w:p>
            <w:pPr>
              <w:spacing w:after="20" w:before="20" w:line="240" w:lineRule="auto"/>
            </w:pPr>
            <w:r/>
            <w:r>
              <w:rPr>
                <w:rFonts w:ascii="Arial" w:hAnsi="Arial" w:cs="Arial"/>
                <w:b w:val="0"/>
                <w:i w:val="0"/>
                <w:sz w:val="17"/>
              </w:rPr>
              <w:t>Select Incoterms 2020 term and settlement structure together; auto-configures seller's mandatory logistics services; plain-language explanation (A1)</w:t>
            </w:r>
          </w:p>
        </w:tc>
      </w:tr>
      <w:tr>
        <w:tc>
          <w:tcPr>
            <w:tcW w:type="dxa" w:w="3213"/>
          </w:tcPr>
          <w:p>
            <w:pPr>
              <w:spacing w:after="20" w:before="20" w:line="240" w:lineRule="auto"/>
            </w:pPr>
            <w:r/>
            <w:r>
              <w:rPr>
                <w:rFonts w:ascii="Arial" w:hAnsi="Arial" w:cs="Arial"/>
                <w:b w:val="0"/>
                <w:i w:val="0"/>
                <w:sz w:val="17"/>
              </w:rPr>
              <w:t>3</w:t>
            </w:r>
          </w:p>
        </w:tc>
        <w:tc>
          <w:tcPr>
            <w:tcW w:type="dxa" w:w="3213"/>
          </w:tcPr>
          <w:p>
            <w:pPr>
              <w:spacing w:after="20" w:before="20" w:line="240" w:lineRule="auto"/>
            </w:pPr>
            <w:r/>
            <w:r>
              <w:rPr>
                <w:rFonts w:ascii="Arial" w:hAnsi="Arial" w:cs="Arial"/>
                <w:b w:val="0"/>
                <w:i w:val="0"/>
                <w:sz w:val="17"/>
              </w:rPr>
              <w:t>Transport Mode &amp; Equipment</w:t>
            </w:r>
          </w:p>
        </w:tc>
        <w:tc>
          <w:tcPr>
            <w:tcW w:type="dxa" w:w="3213"/>
          </w:tcPr>
          <w:p>
            <w:pPr>
              <w:spacing w:after="20" w:before="20" w:line="240" w:lineRule="auto"/>
            </w:pPr>
            <w:r/>
            <w:r>
              <w:rPr>
                <w:rFonts w:ascii="Arial" w:hAnsi="Arial" w:cs="Arial"/>
                <w:b w:val="0"/>
                <w:i w:val="0"/>
                <w:sz w:val="17"/>
              </w:rPr>
              <w:t>Select Ocean/Air/Rail/Truck/RoRo/Multimodal; dynamic equipment loading; corridor validation</w:t>
            </w:r>
          </w:p>
        </w:tc>
      </w:tr>
      <w:tr>
        <w:tc>
          <w:tcPr>
            <w:tcW w:type="dxa" w:w="3213"/>
          </w:tcPr>
          <w:p>
            <w:pPr>
              <w:spacing w:after="20" w:before="20" w:line="240" w:lineRule="auto"/>
            </w:pPr>
            <w:r/>
            <w:r>
              <w:rPr>
                <w:rFonts w:ascii="Arial" w:hAnsi="Arial" w:cs="Arial"/>
                <w:b w:val="0"/>
                <w:i w:val="0"/>
                <w:sz w:val="17"/>
              </w:rPr>
              <w:t>4</w:t>
            </w:r>
          </w:p>
        </w:tc>
        <w:tc>
          <w:tcPr>
            <w:tcW w:type="dxa" w:w="3213"/>
          </w:tcPr>
          <w:p>
            <w:pPr>
              <w:spacing w:after="20" w:before="20" w:line="240" w:lineRule="auto"/>
            </w:pPr>
            <w:r/>
            <w:r>
              <w:rPr>
                <w:rFonts w:ascii="Arial" w:hAnsi="Arial" w:cs="Arial"/>
                <w:b w:val="0"/>
                <w:i w:val="0"/>
                <w:sz w:val="17"/>
              </w:rPr>
              <w:t>Container/Unit &amp; Commodity Configuration</w:t>
            </w:r>
          </w:p>
        </w:tc>
        <w:tc>
          <w:tcPr>
            <w:tcW w:type="dxa" w:w="3213"/>
          </w:tcPr>
          <w:p>
            <w:pPr>
              <w:spacing w:after="20" w:before="20" w:line="240" w:lineRule="auto"/>
            </w:pPr>
            <w:r/>
            <w:r>
              <w:rPr>
                <w:rFonts w:ascii="Arial" w:hAnsi="Arial" w:cs="Arial"/>
                <w:b w:val="0"/>
                <w:i w:val="0"/>
                <w:sz w:val="17"/>
              </w:rPr>
              <w:t>Configure containers (origin, destination, port, palletisation); add commodities with dynamic product specification (A2); Acceptance Criteria Matrix; quantity &amp; tolerance; partial shipment and transshipment; packaging; weight calculation (real-time)</w:t>
            </w:r>
          </w:p>
        </w:tc>
      </w:tr>
      <w:tr>
        <w:tc>
          <w:tcPr>
            <w:tcW w:type="dxa" w:w="3213"/>
          </w:tcPr>
          <w:p>
            <w:pPr>
              <w:spacing w:after="20" w:before="20" w:line="240" w:lineRule="auto"/>
            </w:pPr>
            <w:r/>
            <w:r>
              <w:rPr>
                <w:rFonts w:ascii="Arial" w:hAnsi="Arial" w:cs="Arial"/>
                <w:b w:val="0"/>
                <w:i w:val="0"/>
                <w:sz w:val="17"/>
              </w:rPr>
              <w:t>5</w:t>
            </w:r>
          </w:p>
        </w:tc>
        <w:tc>
          <w:tcPr>
            <w:tcW w:type="dxa" w:w="3213"/>
          </w:tcPr>
          <w:p>
            <w:pPr>
              <w:spacing w:after="20" w:before="20" w:line="240" w:lineRule="auto"/>
            </w:pPr>
            <w:r/>
            <w:r>
              <w:rPr>
                <w:rFonts w:ascii="Arial" w:hAnsi="Arial" w:cs="Arial"/>
                <w:b w:val="0"/>
                <w:i w:val="0"/>
                <w:sz w:val="17"/>
              </w:rPr>
              <w:t>Lab Test Requirements</w:t>
            </w:r>
          </w:p>
        </w:tc>
        <w:tc>
          <w:tcPr>
            <w:tcW w:type="dxa" w:w="3213"/>
          </w:tcPr>
          <w:p>
            <w:pPr>
              <w:spacing w:after="20" w:before="20" w:line="240" w:lineRule="auto"/>
            </w:pPr>
            <w:r/>
            <w:r>
              <w:rPr>
                <w:rFonts w:ascii="Arial" w:hAnsi="Arial" w:cs="Arial"/>
                <w:b w:val="0"/>
                <w:i w:val="0"/>
                <w:sz w:val="17"/>
              </w:rPr>
              <w:t>RIA-driven mandatory/recommended/optional tests, explicitly priced</w:t>
            </w:r>
          </w:p>
        </w:tc>
      </w:tr>
      <w:tr>
        <w:tc>
          <w:tcPr>
            <w:tcW w:type="dxa" w:w="3213"/>
          </w:tcPr>
          <w:p>
            <w:pPr>
              <w:spacing w:after="20" w:before="20" w:line="240" w:lineRule="auto"/>
            </w:pPr>
            <w:r/>
            <w:r>
              <w:rPr>
                <w:rFonts w:ascii="Arial" w:hAnsi="Arial" w:cs="Arial"/>
                <w:b w:val="0"/>
                <w:i w:val="0"/>
                <w:sz w:val="17"/>
              </w:rPr>
              <w:t>6</w:t>
            </w:r>
          </w:p>
        </w:tc>
        <w:tc>
          <w:tcPr>
            <w:tcW w:type="dxa" w:w="3213"/>
          </w:tcPr>
          <w:p>
            <w:pPr>
              <w:spacing w:after="20" w:before="20" w:line="240" w:lineRule="auto"/>
            </w:pPr>
            <w:r/>
            <w:r>
              <w:rPr>
                <w:rFonts w:ascii="Arial" w:hAnsi="Arial" w:cs="Arial"/>
                <w:b w:val="0"/>
                <w:i w:val="0"/>
                <w:sz w:val="17"/>
              </w:rPr>
              <w:t>QC Inspection Request</w:t>
            </w:r>
          </w:p>
        </w:tc>
        <w:tc>
          <w:tcPr>
            <w:tcW w:type="dxa" w:w="3213"/>
          </w:tcPr>
          <w:p>
            <w:pPr>
              <w:spacing w:after="20" w:before="20" w:line="240" w:lineRule="auto"/>
            </w:pPr>
            <w:r/>
            <w:r>
              <w:rPr>
                <w:rFonts w:ascii="Arial" w:hAnsi="Arial" w:cs="Arial"/>
                <w:b w:val="0"/>
                <w:i w:val="0"/>
                <w:sz w:val="17"/>
              </w:rPr>
              <w:t>Geography-aware inspection request with provider coverage validation and price ranges</w:t>
            </w:r>
          </w:p>
        </w:tc>
      </w:tr>
      <w:tr>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AI Container/Unit Advisor</w:t>
            </w:r>
          </w:p>
        </w:tc>
        <w:tc>
          <w:tcPr>
            <w:tcW w:type="dxa" w:w="3213"/>
          </w:tcPr>
          <w:p>
            <w:pPr>
              <w:spacing w:after="20" w:before="20" w:line="240" w:lineRule="auto"/>
            </w:pPr>
            <w:r/>
            <w:r>
              <w:rPr>
                <w:rFonts w:ascii="Arial" w:hAnsi="Arial" w:cs="Arial"/>
                <w:b w:val="0"/>
                <w:i w:val="0"/>
                <w:sz w:val="17"/>
              </w:rPr>
              <w:t>Advisory container/unit optimisation based on the selected transport mode</w:t>
            </w:r>
          </w:p>
        </w:tc>
      </w:tr>
      <w:tr>
        <w:tc>
          <w:tcPr>
            <w:tcW w:type="dxa" w:w="3213"/>
          </w:tcPr>
          <w:p>
            <w:pPr>
              <w:spacing w:after="20" w:before="20" w:line="240" w:lineRule="auto"/>
            </w:pPr>
            <w:r/>
            <w:r>
              <w:rPr>
                <w:rFonts w:ascii="Arial" w:hAnsi="Arial" w:cs="Arial"/>
                <w:b w:val="0"/>
                <w:i w:val="0"/>
                <w:sz w:val="17"/>
              </w:rPr>
              <w:t>8</w:t>
            </w:r>
          </w:p>
        </w:tc>
        <w:tc>
          <w:tcPr>
            <w:tcW w:type="dxa" w:w="3213"/>
          </w:tcPr>
          <w:p>
            <w:pPr>
              <w:spacing w:after="20" w:before="20" w:line="240" w:lineRule="auto"/>
            </w:pPr>
            <w:r/>
            <w:r>
              <w:rPr>
                <w:rFonts w:ascii="Arial" w:hAnsi="Arial" w:cs="Arial"/>
                <w:b w:val="0"/>
                <w:i w:val="0"/>
                <w:sz w:val="17"/>
              </w:rPr>
              <w:t>Documentation Requirements</w:t>
            </w:r>
          </w:p>
        </w:tc>
        <w:tc>
          <w:tcPr>
            <w:tcW w:type="dxa" w:w="3213"/>
          </w:tcPr>
          <w:p>
            <w:pPr>
              <w:spacing w:after="20" w:before="20" w:line="240" w:lineRule="auto"/>
            </w:pPr>
            <w:r/>
            <w:r>
              <w:rPr>
                <w:rFonts w:ascii="Arial" w:hAnsi="Arial" w:cs="Arial"/>
                <w:b w:val="0"/>
                <w:i w:val="0"/>
                <w:sz w:val="17"/>
              </w:rPr>
              <w:t>Trigger-driven document matrix (RIA-pre-selected); format, language, timing</w:t>
            </w:r>
          </w:p>
        </w:tc>
      </w:tr>
      <w:tr>
        <w:tc>
          <w:tcPr>
            <w:tcW w:type="dxa" w:w="3213"/>
          </w:tcPr>
          <w:p>
            <w:pPr>
              <w:spacing w:after="20" w:before="20" w:line="240" w:lineRule="auto"/>
            </w:pPr>
            <w:r/>
            <w:r>
              <w:rPr>
                <w:rFonts w:ascii="Arial" w:hAnsi="Arial" w:cs="Arial"/>
                <w:b w:val="0"/>
                <w:i w:val="0"/>
                <w:sz w:val="17"/>
              </w:rPr>
              <w:t>9</w:t>
            </w:r>
          </w:p>
        </w:tc>
        <w:tc>
          <w:tcPr>
            <w:tcW w:type="dxa" w:w="3213"/>
          </w:tcPr>
          <w:p>
            <w:pPr>
              <w:spacing w:after="20" w:before="20" w:line="240" w:lineRule="auto"/>
            </w:pPr>
            <w:r/>
            <w:r>
              <w:rPr>
                <w:rFonts w:ascii="Arial" w:hAnsi="Arial" w:cs="Arial"/>
                <w:b w:val="0"/>
                <w:i w:val="0"/>
                <w:sz w:val="17"/>
              </w:rPr>
              <w:t>Insurance Requirements</w:t>
            </w:r>
          </w:p>
        </w:tc>
        <w:tc>
          <w:tcPr>
            <w:tcW w:type="dxa" w:w="3213"/>
          </w:tcPr>
          <w:p>
            <w:pPr>
              <w:spacing w:after="20" w:before="20" w:line="240" w:lineRule="auto"/>
            </w:pPr>
            <w:r/>
            <w:r>
              <w:rPr>
                <w:rFonts w:ascii="Arial" w:hAnsi="Arial" w:cs="Arial"/>
                <w:b w:val="0"/>
                <w:i w:val="0"/>
                <w:sz w:val="17"/>
              </w:rPr>
              <w:t>Requirement level, responsible party, insurance type, coverage</w:t>
            </w:r>
          </w:p>
        </w:tc>
      </w:tr>
      <w:tr>
        <w:tc>
          <w:tcPr>
            <w:tcW w:type="dxa" w:w="3213"/>
          </w:tcPr>
          <w:p>
            <w:pPr>
              <w:spacing w:after="20" w:before="20" w:line="240" w:lineRule="auto"/>
            </w:pPr>
            <w:r/>
            <w:r>
              <w:rPr>
                <w:rFonts w:ascii="Arial" w:hAnsi="Arial" w:cs="Arial"/>
                <w:b w:val="0"/>
                <w:i w:val="0"/>
                <w:sz w:val="17"/>
              </w:rPr>
              <w:t>10</w:t>
            </w:r>
          </w:p>
        </w:tc>
        <w:tc>
          <w:tcPr>
            <w:tcW w:type="dxa" w:w="3213"/>
          </w:tcPr>
          <w:p>
            <w:pPr>
              <w:spacing w:after="20" w:before="20" w:line="240" w:lineRule="auto"/>
            </w:pPr>
            <w:r/>
            <w:r>
              <w:rPr>
                <w:rFonts w:ascii="Arial" w:hAnsi="Arial" w:cs="Arial"/>
                <w:b w:val="0"/>
                <w:i w:val="0"/>
                <w:sz w:val="17"/>
              </w:rPr>
              <w:t>Delivery Window &amp; Special Instructions</w:t>
            </w:r>
          </w:p>
        </w:tc>
        <w:tc>
          <w:tcPr>
            <w:tcW w:type="dxa" w:w="3213"/>
          </w:tcPr>
          <w:p>
            <w:pPr>
              <w:spacing w:after="20" w:before="20" w:line="240" w:lineRule="auto"/>
            </w:pPr>
            <w:r/>
            <w:r>
              <w:rPr>
                <w:rFonts w:ascii="Arial" w:hAnsi="Arial" w:cs="Arial"/>
                <w:b w:val="0"/>
                <w:i w:val="0"/>
                <w:sz w:val="17"/>
              </w:rPr>
              <w:t>Earliest/Preferred/Latest dates; free-text instructions with AI suggestion chips</w:t>
            </w:r>
          </w:p>
        </w:tc>
      </w:tr>
      <w:tr>
        <w:tc>
          <w:tcPr>
            <w:tcW w:type="dxa" w:w="3213"/>
          </w:tcPr>
          <w:p>
            <w:pPr>
              <w:spacing w:after="20" w:before="20" w:line="240" w:lineRule="auto"/>
            </w:pPr>
            <w:r/>
            <w:r>
              <w:rPr>
                <w:rFonts w:ascii="Arial" w:hAnsi="Arial" w:cs="Arial"/>
                <w:b w:val="0"/>
                <w:i w:val="0"/>
                <w:sz w:val="17"/>
              </w:rPr>
              <w:t>11</w:t>
            </w:r>
          </w:p>
        </w:tc>
        <w:tc>
          <w:tcPr>
            <w:tcW w:type="dxa" w:w="3213"/>
          </w:tcPr>
          <w:p>
            <w:pPr>
              <w:spacing w:after="20" w:before="20" w:line="240" w:lineRule="auto"/>
            </w:pPr>
            <w:r/>
            <w:r>
              <w:rPr>
                <w:rFonts w:ascii="Arial" w:hAnsi="Arial" w:cs="Arial"/>
                <w:b w:val="0"/>
                <w:i w:val="0"/>
                <w:sz w:val="17"/>
              </w:rPr>
              <w:t>Trade Criticality</w:t>
            </w:r>
          </w:p>
        </w:tc>
        <w:tc>
          <w:tcPr>
            <w:tcW w:type="dxa" w:w="3213"/>
          </w:tcPr>
          <w:p>
            <w:pPr>
              <w:spacing w:after="20" w:before="20" w:line="240" w:lineRule="auto"/>
            </w:pPr>
            <w:r/>
            <w:r>
              <w:rPr>
                <w:rFonts w:ascii="Arial" w:hAnsi="Arial" w:cs="Arial"/>
                <w:b w:val="0"/>
                <w:i w:val="0"/>
                <w:sz w:val="17"/>
              </w:rPr>
              <w:t>Routine/Priority/Critical classification; drives routing, alerting, escalation</w:t>
            </w:r>
          </w:p>
        </w:tc>
      </w:tr>
      <w:tr>
        <w:tc>
          <w:tcPr>
            <w:tcW w:type="dxa" w:w="3213"/>
          </w:tcPr>
          <w:p>
            <w:pPr>
              <w:spacing w:after="20" w:before="20" w:line="240" w:lineRule="auto"/>
            </w:pPr>
            <w:r/>
            <w:r>
              <w:rPr>
                <w:rFonts w:ascii="Arial" w:hAnsi="Arial" w:cs="Arial"/>
                <w:b w:val="0"/>
                <w:i w:val="0"/>
                <w:sz w:val="17"/>
              </w:rPr>
              <w:t>12</w:t>
            </w:r>
          </w:p>
        </w:tc>
        <w:tc>
          <w:tcPr>
            <w:tcW w:type="dxa" w:w="3213"/>
          </w:tcPr>
          <w:p>
            <w:pPr>
              <w:spacing w:after="20" w:before="20" w:line="240" w:lineRule="auto"/>
            </w:pPr>
            <w:r/>
            <w:r>
              <w:rPr>
                <w:rFonts w:ascii="Arial" w:hAnsi="Arial" w:cs="Arial"/>
                <w:b w:val="0"/>
                <w:i w:val="0"/>
                <w:sz w:val="17"/>
              </w:rPr>
              <w:t>Draft Auto-Save</w:t>
            </w:r>
          </w:p>
        </w:tc>
        <w:tc>
          <w:tcPr>
            <w:tcW w:type="dxa" w:w="3213"/>
          </w:tcPr>
          <w:p>
            <w:pPr>
              <w:spacing w:after="20" w:before="20" w:line="240" w:lineRule="auto"/>
            </w:pPr>
            <w:r/>
            <w:r>
              <w:rPr>
                <w:rFonts w:ascii="Arial" w:hAnsi="Arial" w:cs="Arial"/>
                <w:b w:val="0"/>
                <w:i w:val="0"/>
                <w:sz w:val="17"/>
              </w:rPr>
              <w:t>30-second debounced background save</w:t>
            </w:r>
          </w:p>
        </w:tc>
      </w:tr>
      <w:tr>
        <w:tc>
          <w:tcPr>
            <w:tcW w:type="dxa" w:w="3213"/>
          </w:tcPr>
          <w:p>
            <w:pPr>
              <w:spacing w:after="20" w:before="20" w:line="240" w:lineRule="auto"/>
            </w:pPr>
            <w:r/>
            <w:r>
              <w:rPr>
                <w:rFonts w:ascii="Arial" w:hAnsi="Arial" w:cs="Arial"/>
                <w:b w:val="0"/>
                <w:i w:val="0"/>
                <w:sz w:val="17"/>
              </w:rPr>
              <w:t>13</w:t>
            </w:r>
          </w:p>
        </w:tc>
        <w:tc>
          <w:tcPr>
            <w:tcW w:type="dxa" w:w="3213"/>
          </w:tcPr>
          <w:p>
            <w:pPr>
              <w:spacing w:after="20" w:before="20" w:line="240" w:lineRule="auto"/>
            </w:pPr>
            <w:r/>
            <w:r>
              <w:rPr>
                <w:rFonts w:ascii="Arial" w:hAnsi="Arial" w:cs="Arial"/>
                <w:b w:val="0"/>
                <w:i w:val="0"/>
                <w:sz w:val="17"/>
              </w:rPr>
              <w:t>Submit Trade Request (One Click)</w:t>
            </w:r>
          </w:p>
        </w:tc>
        <w:tc>
          <w:tcPr>
            <w:tcW w:type="dxa" w:w="3213"/>
          </w:tcPr>
          <w:p>
            <w:pPr>
              <w:spacing w:after="20" w:before="20" w:line="240" w:lineRule="auto"/>
            </w:pPr>
            <w:r/>
            <w:r>
              <w:rPr>
                <w:rFonts w:ascii="Arial" w:hAnsi="Arial" w:cs="Arial"/>
                <w:b w:val="0"/>
                <w:i w:val="0"/>
                <w:sz w:val="17"/>
              </w:rPr>
              <w:t>Governor pre-screen (all 33 Phase 1 validation gates); ALLOW → trade request created, seller notified; CONDITIONAL/DENY → Decision Panel with remediation links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Post-submission: trade request status `PENDING_SELLER_RESPONSE`; seller receives a Smart Inbox item (priority 75); buyer receives confirmation; USTN (Universal Standard Trade Number) is not yet generated — it is generated at contract lock (Section 9, Section 5).</w:t>
      </w:r>
    </w:p>
    <w:p>
      <w:pPr>
        <w:keepNext/>
        <w:spacing w:before="180" w:after="80"/>
        <w:outlineLvl w:val="2"/>
      </w:pPr>
      <w:r>
        <w:rPr>
          <w:rFonts w:ascii="Arial" w:hAnsi="Arial" w:cs="Arial"/>
          <w:b/>
          <w:i w:val="0"/>
          <w:color w:val="333333"/>
          <w:sz w:val="23"/>
        </w:rPr>
        <w:t>6.2.2 Access &amp; Entry Points</w:t>
      </w:r>
    </w:p>
    <w:p>
      <w:pPr>
        <w:spacing w:after="80" w:line="293" w:lineRule="auto"/>
        <w:jc w:val="left"/>
      </w:pPr>
      <w:r>
        <w:rPr>
          <w:rFonts w:ascii="Times New Roman" w:hAnsi="Times New Roman" w:cs="Times New Roman"/>
          <w:b w:val="0"/>
          <w:i w:val="0"/>
          <w:sz w:val="22"/>
        </w:rPr>
        <w:t>Landing page (configurable): default is the Universal Command Center (Section 16), which provides the executive summary, quick actions, AI assistant, and activity feed. The user can set a preference to land directly on New Trade Request via Company Admin → Settings. Phase 1 entry points: Universal Command Center quick action "New Trade Request"; Smart Inbox draft recovery item ("Continue draft trade request from [date]"); and the Trader Portal navigation menu (Buyer mode).</w:t>
      </w:r>
    </w:p>
    <w:p>
      <w:pPr>
        <w:keepNext/>
        <w:spacing w:before="180" w:after="80"/>
        <w:outlineLvl w:val="2"/>
      </w:pPr>
      <w:r>
        <w:rPr>
          <w:rFonts w:ascii="Arial" w:hAnsi="Arial" w:cs="Arial"/>
          <w:b/>
          <w:i w:val="0"/>
          <w:color w:val="333333"/>
          <w:sz w:val="23"/>
        </w:rPr>
        <w:t>6.2.3 Complete Form Layout (Buyer Mode)</w:t>
      </w:r>
    </w:p>
    <w:p>
      <w:pPr>
        <w:spacing w:after="0" w:before="0" w:line="240" w:lineRule="auto"/>
        <w:ind w:left="57"/>
        <w:jc w:val="left"/>
        <w:shd w:val="clear" w:fill="F2F2F2"/>
      </w:pPr>
      <w:r>
        <w:rPr>
          <w:rFonts w:ascii="Consolas" w:hAnsi="Consolas" w:cs="Consolas"/>
          <w:b w:val="0"/>
          <w:i w:val="0"/>
          <w:sz w:val="15"/>
        </w:rPr>
        <w:t>NEW TRADE REQUEST — Buyer Mode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1. SELLER SELECTION</w:t>
      </w:r>
    </w:p>
    <w:p>
      <w:pPr>
        <w:spacing w:after="0" w:before="0" w:line="240" w:lineRule="auto"/>
        <w:ind w:left="57"/>
        <w:jc w:val="left"/>
        <w:shd w:val="clear" w:fill="F2F2F2"/>
      </w:pPr>
      <w:r>
        <w:rPr>
          <w:rFonts w:ascii="Consolas" w:hAnsi="Consolas" w:cs="Consolas"/>
          <w:b w:val="0"/>
          <w:i w:val="0"/>
          <w:sz w:val="15"/>
        </w:rPr>
        <w:t xml:space="preserve">   Search by GTID or Company Name... [Enter GTID or search saved contacts]</w:t>
      </w:r>
    </w:p>
    <w:p>
      <w:pPr>
        <w:spacing w:after="0" w:before="0" w:line="240" w:lineRule="auto"/>
        <w:ind w:left="57"/>
        <w:jc w:val="left"/>
        <w:shd w:val="clear" w:fill="F2F2F2"/>
      </w:pPr>
      <w:r>
        <w:rPr>
          <w:rFonts w:ascii="Consolas" w:hAnsi="Consolas" w:cs="Consolas"/>
          <w:b w:val="0"/>
          <w:i w:val="0"/>
          <w:sz w:val="15"/>
        </w:rPr>
        <w:t xml:space="preserve">   Saved Contacts:</w:t>
      </w:r>
    </w:p>
    <w:p>
      <w:pPr>
        <w:spacing w:after="0" w:before="0" w:line="240" w:lineRule="auto"/>
        <w:ind w:left="57"/>
        <w:jc w:val="left"/>
        <w:shd w:val="clear" w:fill="F2F2F2"/>
      </w:pPr>
      <w:r>
        <w:rPr>
          <w:rFonts w:ascii="Consolas" w:hAnsi="Consolas" w:cs="Consolas"/>
          <w:b w:val="0"/>
          <w:i w:val="0"/>
          <w:sz w:val="15"/>
        </w:rPr>
        <w:t xml:space="preserve">   • SGTX-VN-TRD-002139-7F3A  Mekong Fresh Co.  Trust: 92  Sanctions: clear</w:t>
      </w:r>
    </w:p>
    <w:p>
      <w:pPr>
        <w:spacing w:after="0" w:before="0" w:line="240" w:lineRule="auto"/>
        <w:ind w:left="57"/>
        <w:jc w:val="left"/>
        <w:shd w:val="clear" w:fill="F2F2F2"/>
      </w:pPr>
      <w:r>
        <w:rPr>
          <w:rFonts w:ascii="Consolas" w:hAnsi="Consolas" w:cs="Consolas"/>
          <w:b w:val="0"/>
          <w:i w:val="0"/>
          <w:sz w:val="15"/>
        </w:rPr>
        <w:t xml:space="preserve">     Last trade: 15 May 2026  Vietnam  12 trades</w:t>
      </w:r>
    </w:p>
    <w:p>
      <w:pPr>
        <w:spacing w:after="0" w:before="0" w:line="240" w:lineRule="auto"/>
        <w:ind w:left="57"/>
        <w:jc w:val="left"/>
        <w:shd w:val="clear" w:fill="F2F2F2"/>
      </w:pPr>
      <w:r>
        <w:rPr>
          <w:rFonts w:ascii="Consolas" w:hAnsi="Consolas" w:cs="Consolas"/>
          <w:b w:val="0"/>
          <w:i w:val="0"/>
          <w:sz w:val="15"/>
        </w:rPr>
        <w:t>2. INCOTERM + COMMERCIAL FOUNDATION</w:t>
      </w:r>
    </w:p>
    <w:p>
      <w:pPr>
        <w:spacing w:after="0" w:before="0" w:line="240" w:lineRule="auto"/>
        <w:ind w:left="57"/>
        <w:jc w:val="left"/>
        <w:shd w:val="clear" w:fill="F2F2F2"/>
      </w:pPr>
      <w:r>
        <w:rPr>
          <w:rFonts w:ascii="Consolas" w:hAnsi="Consolas" w:cs="Consolas"/>
          <w:b w:val="0"/>
          <w:i w:val="0"/>
          <w:sz w:val="15"/>
        </w:rPr>
        <w:t xml:space="preserve">   Incoterm: [CFR ▼] (Cost and Freight)</w:t>
      </w:r>
    </w:p>
    <w:p>
      <w:pPr>
        <w:spacing w:after="0" w:before="0" w:line="240" w:lineRule="auto"/>
        <w:ind w:left="57"/>
        <w:jc w:val="left"/>
        <w:shd w:val="clear" w:fill="F2F2F2"/>
      </w:pPr>
      <w:r>
        <w:rPr>
          <w:rFonts w:ascii="Consolas" w:hAnsi="Consolas" w:cs="Consolas"/>
          <w:b w:val="0"/>
          <w:i w:val="0"/>
          <w:sz w:val="15"/>
        </w:rPr>
        <w:t xml:space="preserve">   Settlement Structure: [Documentary Collection]</w:t>
      </w:r>
    </w:p>
    <w:p>
      <w:pPr>
        <w:spacing w:after="0" w:before="0" w:line="240" w:lineRule="auto"/>
        <w:ind w:left="57"/>
        <w:jc w:val="left"/>
        <w:shd w:val="clear" w:fill="F2F2F2"/>
      </w:pPr>
      <w:r>
        <w:rPr>
          <w:rFonts w:ascii="Consolas" w:hAnsi="Consolas" w:cs="Consolas"/>
          <w:b w:val="0"/>
          <w:i w:val="0"/>
          <w:sz w:val="15"/>
        </w:rPr>
        <w:t xml:space="preserve">   Payment Timing: [Against Documents]  Credit Period: [30 Days]</w:t>
      </w:r>
    </w:p>
    <w:p>
      <w:pPr>
        <w:spacing w:after="0" w:before="0" w:line="240" w:lineRule="auto"/>
        <w:ind w:left="57"/>
        <w:jc w:val="left"/>
        <w:shd w:val="clear" w:fill="F2F2F2"/>
      </w:pPr>
      <w:r>
        <w:rPr>
          <w:rFonts w:ascii="Consolas" w:hAnsi="Consolas" w:cs="Consolas"/>
          <w:b w:val="0"/>
          <w:i w:val="0"/>
          <w:sz w:val="15"/>
        </w:rPr>
        <w:t xml:space="preserve">   Currency: [USD ▼]  Buyer Financing Toggle: [OFF]</w:t>
      </w:r>
    </w:p>
    <w:p>
      <w:pPr>
        <w:spacing w:after="0" w:before="0" w:line="240" w:lineRule="auto"/>
        <w:ind w:left="57"/>
        <w:jc w:val="left"/>
        <w:shd w:val="clear" w:fill="F2F2F2"/>
      </w:pPr>
      <w:r>
        <w:rPr>
          <w:rFonts w:ascii="Consolas" w:hAnsi="Consolas" w:cs="Consolas"/>
          <w:b w:val="0"/>
          <w:i w:val="0"/>
          <w:sz w:val="15"/>
        </w:rPr>
        <w:t xml:space="preserve">   Responsibility map: Seller is responsible for: export customs clearance,</w:t>
      </w:r>
    </w:p>
    <w:p>
      <w:pPr>
        <w:spacing w:after="0" w:before="0" w:line="240" w:lineRule="auto"/>
        <w:ind w:left="57"/>
        <w:jc w:val="left"/>
        <w:shd w:val="clear" w:fill="F2F2F2"/>
      </w:pPr>
      <w:r>
        <w:rPr>
          <w:rFonts w:ascii="Consolas" w:hAnsi="Consolas" w:cs="Consolas"/>
          <w:b w:val="0"/>
          <w:i w:val="0"/>
          <w:sz w:val="15"/>
        </w:rPr>
        <w:t xml:space="preserve">   trucking to port of loading, ocean freight to destination port.</w:t>
      </w:r>
    </w:p>
    <w:p>
      <w:pPr>
        <w:spacing w:after="0" w:before="0" w:line="240" w:lineRule="auto"/>
        <w:ind w:left="57"/>
        <w:jc w:val="left"/>
        <w:shd w:val="clear" w:fill="F2F2F2"/>
      </w:pPr>
      <w:r>
        <w:rPr>
          <w:rFonts w:ascii="Consolas" w:hAnsi="Consolas" w:cs="Consolas"/>
          <w:b w:val="0"/>
          <w:i w:val="0"/>
          <w:sz w:val="15"/>
        </w:rPr>
        <w:t xml:space="preserve">   Buyer is responsible for: import customs clearance, destination charges,</w:t>
      </w:r>
    </w:p>
    <w:p>
      <w:pPr>
        <w:spacing w:after="0" w:before="0" w:line="240" w:lineRule="auto"/>
        <w:ind w:left="57"/>
        <w:jc w:val="left"/>
        <w:shd w:val="clear" w:fill="F2F2F2"/>
      </w:pPr>
      <w:r>
        <w:rPr>
          <w:rFonts w:ascii="Consolas" w:hAnsi="Consolas" w:cs="Consolas"/>
          <w:b w:val="0"/>
          <w:i w:val="0"/>
          <w:sz w:val="15"/>
        </w:rPr>
        <w:t xml:space="preserve">   insurance (optional).</w:t>
      </w:r>
    </w:p>
    <w:p>
      <w:pPr>
        <w:spacing w:after="0" w:before="0" w:line="240" w:lineRule="auto"/>
        <w:ind w:left="57"/>
        <w:jc w:val="left"/>
        <w:shd w:val="clear" w:fill="F2F2F2"/>
      </w:pPr>
      <w:r>
        <w:rPr>
          <w:rFonts w:ascii="Consolas" w:hAnsi="Consolas" w:cs="Consolas"/>
          <w:b w:val="0"/>
          <w:i w:val="0"/>
          <w:sz w:val="15"/>
        </w:rPr>
        <w:t>3. TRANSPORT MODE &amp; EQUIPMENT</w:t>
      </w:r>
    </w:p>
    <w:p>
      <w:pPr>
        <w:spacing w:after="0" w:before="0" w:line="240" w:lineRule="auto"/>
        <w:ind w:left="57"/>
        <w:jc w:val="left"/>
        <w:shd w:val="clear" w:fill="F2F2F2"/>
      </w:pPr>
      <w:r>
        <w:rPr>
          <w:rFonts w:ascii="Consolas" w:hAnsi="Consolas" w:cs="Consolas"/>
          <w:b w:val="0"/>
          <w:i w:val="0"/>
          <w:sz w:val="15"/>
        </w:rPr>
        <w:t xml:space="preserve">   Transport Mode: [Ocean] [Air] [Rail] [Truck] [RoRo] [Multimodal]</w:t>
      </w:r>
    </w:p>
    <w:p>
      <w:pPr>
        <w:spacing w:after="0" w:before="0" w:line="240" w:lineRule="auto"/>
        <w:ind w:left="57"/>
        <w:jc w:val="left"/>
        <w:shd w:val="clear" w:fill="F2F2F2"/>
      </w:pPr>
      <w:r>
        <w:rPr>
          <w:rFonts w:ascii="Consolas" w:hAnsi="Consolas" w:cs="Consolas"/>
          <w:b w:val="0"/>
          <w:i w:val="0"/>
          <w:sz w:val="15"/>
        </w:rPr>
        <w:t xml:space="preserve">   Equipment Type: dynamic by mode  Number of Units: [2]</w:t>
      </w:r>
    </w:p>
    <w:p>
      <w:pPr>
        <w:spacing w:after="0" w:before="0" w:line="240" w:lineRule="auto"/>
        <w:ind w:left="57"/>
        <w:jc w:val="left"/>
        <w:shd w:val="clear" w:fill="F2F2F2"/>
      </w:pPr>
      <w:r>
        <w:rPr>
          <w:rFonts w:ascii="Consolas" w:hAnsi="Consolas" w:cs="Consolas"/>
          <w:b w:val="0"/>
          <w:i w:val="0"/>
          <w:sz w:val="15"/>
        </w:rPr>
        <w:t xml:space="preserve">   (Ocean freight is recommended for this route. Estimated transit: 14 days.)</w:t>
      </w:r>
    </w:p>
    <w:p>
      <w:pPr>
        <w:spacing w:after="0" w:before="0" w:line="240" w:lineRule="auto"/>
        <w:ind w:left="57"/>
        <w:jc w:val="left"/>
        <w:shd w:val="clear" w:fill="F2F2F2"/>
      </w:pPr>
      <w:r>
        <w:rPr>
          <w:rFonts w:ascii="Consolas" w:hAnsi="Consolas" w:cs="Consolas"/>
          <w:b w:val="0"/>
          <w:i w:val="0"/>
          <w:sz w:val="15"/>
        </w:rPr>
        <w:t>4. CONTAINER/UNIT &amp; COMMODITY CONFIGURATION</w:t>
      </w:r>
    </w:p>
    <w:p>
      <w:pPr>
        <w:spacing w:after="0" w:before="0" w:line="240" w:lineRule="auto"/>
        <w:ind w:left="57"/>
        <w:jc w:val="left"/>
        <w:shd w:val="clear" w:fill="F2F2F2"/>
      </w:pPr>
      <w:r>
        <w:rPr>
          <w:rFonts w:ascii="Consolas" w:hAnsi="Consolas" w:cs="Consolas"/>
          <w:b w:val="0"/>
          <w:i w:val="0"/>
          <w:sz w:val="15"/>
        </w:rPr>
        <w:t xml:space="preserve">   Number of Containers: [2] [+ Add Container] [Clone Container] [Bulk Edit]</w:t>
      </w:r>
    </w:p>
    <w:p>
      <w:pPr>
        <w:spacing w:after="0" w:before="0" w:line="240" w:lineRule="auto"/>
        <w:ind w:left="57"/>
        <w:jc w:val="left"/>
        <w:shd w:val="clear" w:fill="F2F2F2"/>
      </w:pPr>
      <w:r>
        <w:rPr>
          <w:rFonts w:ascii="Consolas" w:hAnsi="Consolas" w:cs="Consolas"/>
          <w:b w:val="0"/>
          <w:i w:val="0"/>
          <w:sz w:val="15"/>
        </w:rPr>
        <w:t xml:space="preserve">   Container 1 — Origin: [Vietnam ▼]  Destination: [Egypt ▼]</w:t>
      </w:r>
    </w:p>
    <w:p>
      <w:pPr>
        <w:spacing w:after="0" w:before="0" w:line="240" w:lineRule="auto"/>
        <w:ind w:left="57"/>
        <w:jc w:val="left"/>
        <w:shd w:val="clear" w:fill="F2F2F2"/>
      </w:pPr>
      <w:r>
        <w:rPr>
          <w:rFonts w:ascii="Consolas" w:hAnsi="Consolas" w:cs="Consolas"/>
          <w:b w:val="0"/>
          <w:i w:val="0"/>
          <w:sz w:val="15"/>
        </w:rPr>
        <w:t xml:space="preserve">   Port of Discharge: [Alexandria ▼]  Palletized: [Yes]  Pallet Size: [EUR ▼]</w:t>
      </w:r>
    </w:p>
    <w:p>
      <w:pPr>
        <w:spacing w:after="0" w:before="0" w:line="240" w:lineRule="auto"/>
        <w:ind w:left="57"/>
        <w:jc w:val="left"/>
        <w:shd w:val="clear" w:fill="F2F2F2"/>
      </w:pPr>
      <w:r>
        <w:rPr>
          <w:rFonts w:ascii="Consolas" w:hAnsi="Consolas" w:cs="Consolas"/>
          <w:b w:val="0"/>
          <w:i w:val="0"/>
          <w:sz w:val="15"/>
        </w:rPr>
        <w:t xml:space="preserve">   Commodity 1: Oranges — Product: [0805.10 → Valencia Oranges] ▼</w:t>
      </w:r>
    </w:p>
    <w:p>
      <w:pPr>
        <w:spacing w:after="0" w:before="0" w:line="240" w:lineRule="auto"/>
        <w:ind w:left="57"/>
        <w:jc w:val="left"/>
        <w:shd w:val="clear" w:fill="F2F2F2"/>
      </w:pPr>
      <w:r>
        <w:rPr>
          <w:rFonts w:ascii="Consolas" w:hAnsi="Consolas" w:cs="Consolas"/>
          <w:b w:val="0"/>
          <w:i w:val="0"/>
          <w:sz w:val="15"/>
        </w:rPr>
        <w:t xml:space="preserve">   Quantity: [100] [MT ▼]  Tolerance: [±5% ▼]</w:t>
      </w:r>
    </w:p>
    <w:p>
      <w:pPr>
        <w:spacing w:after="0" w:before="0" w:line="240" w:lineRule="auto"/>
        <w:ind w:left="57"/>
        <w:jc w:val="left"/>
        <w:shd w:val="clear" w:fill="F2F2F2"/>
      </w:pPr>
      <w:r>
        <w:rPr>
          <w:rFonts w:ascii="Consolas" w:hAnsi="Consolas" w:cs="Consolas"/>
          <w:b w:val="0"/>
          <w:i w:val="0"/>
          <w:sz w:val="15"/>
        </w:rPr>
        <w:t xml:space="preserve">   Partial Shipment: [Yes]  Transshipment: [No]</w:t>
      </w:r>
    </w:p>
    <w:p>
      <w:pPr>
        <w:spacing w:after="0" w:before="0" w:line="240" w:lineRule="auto"/>
        <w:ind w:left="57"/>
        <w:jc w:val="left"/>
        <w:shd w:val="clear" w:fill="F2F2F2"/>
      </w:pPr>
      <w:r>
        <w:rPr>
          <w:rFonts w:ascii="Consolas" w:hAnsi="Consolas" w:cs="Consolas"/>
          <w:b w:val="0"/>
          <w:i w:val="0"/>
          <w:sz w:val="15"/>
        </w:rPr>
        <w:t xml:space="preserve">   Acceptance Criteria Matrix (moisture ≤14%, protein ≥12%, purity ≥99%)</w:t>
      </w:r>
    </w:p>
    <w:p>
      <w:pPr>
        <w:spacing w:after="0" w:before="0" w:line="240" w:lineRule="auto"/>
        <w:ind w:left="57"/>
        <w:jc w:val="left"/>
        <w:shd w:val="clear" w:fill="F2F2F2"/>
      </w:pPr>
      <w:r>
        <w:rPr>
          <w:rFonts w:ascii="Consolas" w:hAnsi="Consolas" w:cs="Consolas"/>
          <w:b w:val="0"/>
          <w:i w:val="0"/>
          <w:sz w:val="15"/>
        </w:rPr>
        <w:t xml:space="preserve">   Packaging: [Palletized ▼]  Pallets: [22]  Net weight: [10] kg/carton</w:t>
      </w:r>
    </w:p>
    <w:p>
      <w:pPr>
        <w:spacing w:after="0" w:before="0" w:line="240" w:lineRule="auto"/>
        <w:ind w:left="57"/>
        <w:jc w:val="left"/>
        <w:shd w:val="clear" w:fill="F2F2F2"/>
      </w:pPr>
      <w:r>
        <w:rPr>
          <w:rFonts w:ascii="Consolas" w:hAnsi="Consolas" w:cs="Consolas"/>
          <w:b w:val="0"/>
          <w:i w:val="0"/>
          <w:sz w:val="15"/>
        </w:rPr>
        <w:t xml:space="preserve">   Gross weight: [10.5] kg/carton</w:t>
      </w:r>
    </w:p>
    <w:p>
      <w:pPr>
        <w:spacing w:after="0" w:before="0" w:line="240" w:lineRule="auto"/>
        <w:ind w:left="57"/>
        <w:jc w:val="left"/>
        <w:shd w:val="clear" w:fill="F2F2F2"/>
      </w:pPr>
      <w:r>
        <w:rPr>
          <w:rFonts w:ascii="Consolas" w:hAnsi="Consolas" w:cs="Consolas"/>
          <w:b w:val="0"/>
          <w:i w:val="0"/>
          <w:sz w:val="15"/>
        </w:rPr>
        <w:t xml:space="preserve">   Total Net: 8,800 kg  Total Gross: 9,240 kg — Within limit</w:t>
      </w:r>
    </w:p>
    <w:p>
      <w:pPr>
        <w:spacing w:after="0" w:before="0" w:line="240" w:lineRule="auto"/>
        <w:ind w:left="57"/>
        <w:jc w:val="left"/>
        <w:shd w:val="clear" w:fill="F2F2F2"/>
      </w:pPr>
      <w:r>
        <w:rPr>
          <w:rFonts w:ascii="Consolas" w:hAnsi="Consolas" w:cs="Consolas"/>
          <w:b w:val="0"/>
          <w:i w:val="0"/>
          <w:sz w:val="15"/>
        </w:rPr>
        <w:t xml:space="preserve">   Special: Cold Treatment (-0.5°C, 14 days)</w:t>
      </w:r>
    </w:p>
    <w:p>
      <w:pPr>
        <w:spacing w:after="0" w:before="0" w:line="240" w:lineRule="auto"/>
        <w:ind w:left="57"/>
        <w:jc w:val="left"/>
        <w:shd w:val="clear" w:fill="F2F2F2"/>
      </w:pPr>
      <w:r>
        <w:rPr>
          <w:rFonts w:ascii="Consolas" w:hAnsi="Consolas" w:cs="Consolas"/>
          <w:b w:val="0"/>
          <w:i w:val="0"/>
          <w:sz w:val="15"/>
        </w:rPr>
        <w:t>5. LAB TEST REQUIREMENTS</w:t>
      </w:r>
    </w:p>
    <w:p>
      <w:pPr>
        <w:spacing w:after="0" w:before="0" w:line="240" w:lineRule="auto"/>
        <w:ind w:left="57"/>
        <w:jc w:val="left"/>
        <w:shd w:val="clear" w:fill="F2F2F2"/>
      </w:pPr>
      <w:r>
        <w:rPr>
          <w:rFonts w:ascii="Consolas" w:hAnsi="Consolas" w:cs="Consolas"/>
          <w:b w:val="0"/>
          <w:i w:val="0"/>
          <w:sz w:val="15"/>
        </w:rPr>
        <w:t xml:space="preserve">   Mandatory Tests (locked)  Recommended Tests (price shown)  Optional Tests</w:t>
      </w:r>
    </w:p>
    <w:p>
      <w:pPr>
        <w:spacing w:after="0" w:before="0" w:line="240" w:lineRule="auto"/>
        <w:ind w:left="57"/>
        <w:jc w:val="left"/>
        <w:shd w:val="clear" w:fill="F2F2F2"/>
      </w:pPr>
      <w:r>
        <w:rPr>
          <w:rFonts w:ascii="Consolas" w:hAnsi="Consolas" w:cs="Consolas"/>
          <w:b w:val="0"/>
          <w:i w:val="0"/>
          <w:sz w:val="15"/>
        </w:rPr>
        <w:t>6. QC INSPECTION REQUEST</w:t>
      </w:r>
    </w:p>
    <w:p>
      <w:pPr>
        <w:spacing w:after="0" w:before="0" w:line="240" w:lineRule="auto"/>
        <w:ind w:left="57"/>
        <w:jc w:val="left"/>
        <w:shd w:val="clear" w:fill="F2F2F2"/>
      </w:pPr>
      <w:r>
        <w:rPr>
          <w:rFonts w:ascii="Consolas" w:hAnsi="Consolas" w:cs="Consolas"/>
          <w:b w:val="0"/>
          <w:i w:val="0"/>
          <w:sz w:val="15"/>
        </w:rPr>
        <w:t xml:space="preserve">   QC Required: [Yes]  Location: [Origin]  Port: [Alexandria]</w:t>
      </w:r>
    </w:p>
    <w:p>
      <w:pPr>
        <w:spacing w:after="0" w:before="0" w:line="240" w:lineRule="auto"/>
        <w:ind w:left="57"/>
        <w:jc w:val="left"/>
        <w:shd w:val="clear" w:fill="F2F2F2"/>
      </w:pPr>
      <w:r>
        <w:rPr>
          <w:rFonts w:ascii="Consolas" w:hAnsi="Consolas" w:cs="Consolas"/>
          <w:b w:val="0"/>
          <w:i w:val="0"/>
          <w:sz w:val="15"/>
        </w:rPr>
        <w:t xml:space="preserve">   Sampling Plan: [General Level II]  Scope: [All commodities]</w:t>
      </w:r>
    </w:p>
    <w:p>
      <w:pPr>
        <w:spacing w:after="0" w:before="0" w:line="240" w:lineRule="auto"/>
        <w:ind w:left="57"/>
        <w:jc w:val="left"/>
        <w:shd w:val="clear" w:fill="F2F2F2"/>
      </w:pPr>
      <w:r>
        <w:rPr>
          <w:rFonts w:ascii="Consolas" w:hAnsi="Consolas" w:cs="Consolas"/>
          <w:b w:val="0"/>
          <w:i w:val="0"/>
          <w:sz w:val="15"/>
        </w:rPr>
        <w:t>7. AI CONTAINER ADVISOR</w:t>
      </w:r>
    </w:p>
    <w:p>
      <w:pPr>
        <w:spacing w:after="0" w:before="0" w:line="240" w:lineRule="auto"/>
        <w:ind w:left="57"/>
        <w:jc w:val="left"/>
        <w:shd w:val="clear" w:fill="F2F2F2"/>
      </w:pPr>
      <w:r>
        <w:rPr>
          <w:rFonts w:ascii="Consolas" w:hAnsi="Consolas" w:cs="Consolas"/>
          <w:b w:val="0"/>
          <w:i w:val="0"/>
          <w:sz w:val="15"/>
        </w:rPr>
        <w:t xml:space="preserve">   1 × 40ft Reefer recommended.  [Adjust] [Ignore]</w:t>
      </w:r>
    </w:p>
    <w:p>
      <w:pPr>
        <w:spacing w:after="0" w:before="0" w:line="240" w:lineRule="auto"/>
        <w:ind w:left="57"/>
        <w:jc w:val="left"/>
        <w:shd w:val="clear" w:fill="F2F2F2"/>
      </w:pPr>
      <w:r>
        <w:rPr>
          <w:rFonts w:ascii="Consolas" w:hAnsi="Consolas" w:cs="Consolas"/>
          <w:b w:val="0"/>
          <w:i w:val="0"/>
          <w:sz w:val="15"/>
        </w:rPr>
        <w:t>8. DOCUMENTATION REQUIREMENTS</w:t>
      </w:r>
    </w:p>
    <w:p>
      <w:pPr>
        <w:spacing w:after="0" w:before="0" w:line="240" w:lineRule="auto"/>
        <w:ind w:left="57"/>
        <w:jc w:val="left"/>
        <w:shd w:val="clear" w:fill="F2F2F2"/>
      </w:pPr>
      <w:r>
        <w:rPr>
          <w:rFonts w:ascii="Consolas" w:hAnsi="Consolas" w:cs="Consolas"/>
          <w:b w:val="0"/>
          <w:i w:val="0"/>
          <w:sz w:val="15"/>
        </w:rPr>
        <w:t xml:space="preserve">   Document matrix (RIA pre-selected, triggers per document)</w:t>
      </w:r>
    </w:p>
    <w:p>
      <w:pPr>
        <w:spacing w:after="0" w:before="0" w:line="240" w:lineRule="auto"/>
        <w:ind w:left="57"/>
        <w:jc w:val="left"/>
        <w:shd w:val="clear" w:fill="F2F2F2"/>
      </w:pPr>
      <w:r>
        <w:rPr>
          <w:rFonts w:ascii="Consolas" w:hAnsi="Consolas" w:cs="Consolas"/>
          <w:b w:val="0"/>
          <w:i w:val="0"/>
          <w:sz w:val="15"/>
        </w:rPr>
        <w:t xml:space="preserve">   Format: Originals [Yes/No]  Electronic [Yes/No]  Language: [English ▼]</w:t>
      </w:r>
    </w:p>
    <w:p>
      <w:pPr>
        <w:spacing w:after="0" w:before="0" w:line="240" w:lineRule="auto"/>
        <w:ind w:left="57"/>
        <w:jc w:val="left"/>
        <w:shd w:val="clear" w:fill="F2F2F2"/>
      </w:pPr>
      <w:r>
        <w:rPr>
          <w:rFonts w:ascii="Consolas" w:hAnsi="Consolas" w:cs="Consolas"/>
          <w:b w:val="0"/>
          <w:i w:val="0"/>
          <w:sz w:val="15"/>
        </w:rPr>
        <w:t>9. INSURANCE REQUIREMENTS</w:t>
      </w:r>
    </w:p>
    <w:p>
      <w:pPr>
        <w:spacing w:after="0" w:before="0" w:line="240" w:lineRule="auto"/>
        <w:ind w:left="57"/>
        <w:jc w:val="left"/>
        <w:shd w:val="clear" w:fill="F2F2F2"/>
      </w:pPr>
      <w:r>
        <w:rPr>
          <w:rFonts w:ascii="Consolas" w:hAnsi="Consolas" w:cs="Consolas"/>
          <w:b w:val="0"/>
          <w:i w:val="0"/>
          <w:sz w:val="15"/>
        </w:rPr>
        <w:t xml:space="preserve">   Requirement: [Required/Optional/Not Required]</w:t>
      </w:r>
    </w:p>
    <w:p>
      <w:pPr>
        <w:spacing w:after="0" w:before="0" w:line="240" w:lineRule="auto"/>
        <w:ind w:left="57"/>
        <w:jc w:val="left"/>
        <w:shd w:val="clear" w:fill="F2F2F2"/>
      </w:pPr>
      <w:r>
        <w:rPr>
          <w:rFonts w:ascii="Consolas" w:hAnsi="Consolas" w:cs="Consolas"/>
          <w:b w:val="0"/>
          <w:i w:val="0"/>
          <w:sz w:val="15"/>
        </w:rPr>
        <w:t xml:space="preserve">   Responsible Party: [According To Incoterm]</w:t>
      </w:r>
    </w:p>
    <w:p>
      <w:pPr>
        <w:spacing w:after="0" w:before="0" w:line="240" w:lineRule="auto"/>
        <w:ind w:left="57"/>
        <w:jc w:val="left"/>
        <w:shd w:val="clear" w:fill="F2F2F2"/>
      </w:pPr>
      <w:r>
        <w:rPr>
          <w:rFonts w:ascii="Consolas" w:hAnsi="Consolas" w:cs="Consolas"/>
          <w:b w:val="0"/>
          <w:i w:val="0"/>
          <w:sz w:val="15"/>
        </w:rPr>
        <w:t xml:space="preserve">   Insurance Type: [All Risks ▼]  Coverage: [110]%</w:t>
      </w:r>
    </w:p>
    <w:p>
      <w:pPr>
        <w:spacing w:after="0" w:before="0" w:line="240" w:lineRule="auto"/>
        <w:ind w:left="57"/>
        <w:jc w:val="left"/>
        <w:shd w:val="clear" w:fill="F2F2F2"/>
      </w:pPr>
      <w:r>
        <w:rPr>
          <w:rFonts w:ascii="Consolas" w:hAnsi="Consolas" w:cs="Consolas"/>
          <w:b w:val="0"/>
          <w:i w:val="0"/>
          <w:sz w:val="15"/>
        </w:rPr>
        <w:t>10. DELIVERY WINDOW &amp; SPECIAL INSTRUCTIONS</w:t>
      </w:r>
    </w:p>
    <w:p>
      <w:pPr>
        <w:spacing w:after="0" w:before="0" w:line="240" w:lineRule="auto"/>
        <w:ind w:left="57"/>
        <w:jc w:val="left"/>
        <w:shd w:val="clear" w:fill="F2F2F2"/>
      </w:pPr>
      <w:r>
        <w:rPr>
          <w:rFonts w:ascii="Consolas" w:hAnsi="Consolas" w:cs="Consolas"/>
          <w:b w:val="0"/>
          <w:i w:val="0"/>
          <w:sz w:val="15"/>
        </w:rPr>
        <w:t xml:space="preserve">    Earliest: [2026-07-10]  Preferred: [2026-07-15]  Latest: [2026-07-20]</w:t>
      </w:r>
    </w:p>
    <w:p>
      <w:pPr>
        <w:spacing w:after="0" w:before="0" w:line="240" w:lineRule="auto"/>
        <w:ind w:left="57"/>
        <w:jc w:val="left"/>
        <w:shd w:val="clear" w:fill="F2F2F2"/>
      </w:pPr>
      <w:r>
        <w:rPr>
          <w:rFonts w:ascii="Consolas" w:hAnsi="Consolas" w:cs="Consolas"/>
          <w:b w:val="0"/>
          <w:i w:val="0"/>
          <w:sz w:val="15"/>
        </w:rPr>
        <w:t xml:space="preserve">    Special Instructions: [Arabic labels mandatory. No wooden pallets.</w:t>
      </w:r>
    </w:p>
    <w:p>
      <w:pPr>
        <w:spacing w:after="0" w:before="0" w:line="240" w:lineRule="auto"/>
        <w:ind w:left="57"/>
        <w:jc w:val="left"/>
        <w:shd w:val="clear" w:fill="F2F2F2"/>
      </w:pPr>
      <w:r>
        <w:rPr>
          <w:rFonts w:ascii="Consolas" w:hAnsi="Consolas" w:cs="Consolas"/>
          <w:b w:val="0"/>
          <w:i w:val="0"/>
          <w:sz w:val="15"/>
        </w:rPr>
        <w:t xml:space="preserve">    Halal certification required.]  AI Suggestion chips: [Apply] [Dismiss]</w:t>
      </w:r>
    </w:p>
    <w:p>
      <w:pPr>
        <w:spacing w:after="0" w:before="0" w:line="240" w:lineRule="auto"/>
        <w:ind w:left="57"/>
        <w:jc w:val="left"/>
        <w:shd w:val="clear" w:fill="F2F2F2"/>
      </w:pPr>
      <w:r>
        <w:rPr>
          <w:rFonts w:ascii="Consolas" w:hAnsi="Consolas" w:cs="Consolas"/>
          <w:b w:val="0"/>
          <w:i w:val="0"/>
          <w:sz w:val="15"/>
        </w:rPr>
        <w:t>11. TRADE CRITICALITY</w:t>
      </w:r>
    </w:p>
    <w:p>
      <w:pPr>
        <w:spacing w:after="0" w:before="0" w:line="240" w:lineRule="auto"/>
        <w:ind w:left="57"/>
        <w:jc w:val="left"/>
        <w:shd w:val="clear" w:fill="F2F2F2"/>
      </w:pPr>
      <w:r>
        <w:rPr>
          <w:rFonts w:ascii="Consolas" w:hAnsi="Consolas" w:cs="Consolas"/>
          <w:b w:val="0"/>
          <w:i w:val="0"/>
          <w:sz w:val="15"/>
        </w:rPr>
        <w:t xml:space="preserve">    [Routine] [Priority] [Critical]  AI suggestion: PRIORITY (87% confidence)</w:t>
      </w:r>
    </w:p>
    <w:p>
      <w:pPr>
        <w:spacing w:after="0" w:before="0" w:line="240" w:lineRule="auto"/>
        <w:ind w:left="57"/>
        <w:jc w:val="left"/>
        <w:shd w:val="clear" w:fill="F2F2F2"/>
      </w:pPr>
      <w:r>
        <w:rPr>
          <w:rFonts w:ascii="Consolas" w:hAnsi="Consolas" w:cs="Consolas"/>
          <w:b w:val="0"/>
          <w:i w:val="0"/>
          <w:sz w:val="15"/>
        </w:rPr>
        <w:t>12. DRAFT AUTO-SAVE</w:t>
      </w:r>
    </w:p>
    <w:p>
      <w:pPr>
        <w:spacing w:after="0" w:before="0" w:line="240" w:lineRule="auto"/>
        <w:ind w:left="57"/>
        <w:jc w:val="left"/>
        <w:shd w:val="clear" w:fill="F2F2F2"/>
      </w:pPr>
      <w:r>
        <w:rPr>
          <w:rFonts w:ascii="Consolas" w:hAnsi="Consolas" w:cs="Consolas"/>
          <w:b w:val="0"/>
          <w:i w:val="0"/>
          <w:sz w:val="15"/>
        </w:rPr>
        <w:t xml:space="preserve">    Draft saved every 30 seconds (debounced); recovery via Smart Inbox.</w:t>
      </w:r>
    </w:p>
    <w:p>
      <w:pPr>
        <w:spacing w:after="0" w:before="0" w:line="240" w:lineRule="auto"/>
        <w:ind w:left="57"/>
        <w:jc w:val="left"/>
        <w:shd w:val="clear" w:fill="F2F2F2"/>
      </w:pPr>
      <w:r>
        <w:rPr>
          <w:rFonts w:ascii="Consolas" w:hAnsi="Consolas" w:cs="Consolas"/>
          <w:b w:val="0"/>
          <w:i w:val="0"/>
          <w:sz w:val="15"/>
        </w:rPr>
        <w:t>13. SUBMIT</w:t>
      </w:r>
    </w:p>
    <w:p>
      <w:pPr>
        <w:spacing w:after="0" w:before="0" w:line="240" w:lineRule="auto"/>
        <w:ind w:left="57"/>
        <w:jc w:val="left"/>
        <w:shd w:val="clear" w:fill="F2F2F2"/>
      </w:pPr>
      <w:r>
        <w:rPr>
          <w:rFonts w:ascii="Consolas" w:hAnsi="Consolas" w:cs="Consolas"/>
          <w:b w:val="0"/>
          <w:i w:val="0"/>
          <w:sz w:val="15"/>
        </w:rPr>
        <w:t xml:space="preserve">    [Submit Trade Request] [Save Draft] [Cancel]</w:t>
      </w:r>
    </w:p>
    <w:p>
      <w:pPr>
        <w:spacing w:after="0" w:before="0" w:line="240" w:lineRule="auto"/>
        <w:ind w:left="57"/>
        <w:jc w:val="left"/>
        <w:shd w:val="clear" w:fill="F2F2F2"/>
      </w:pPr>
      <w:r>
        <w:rPr>
          <w:rFonts w:ascii="Consolas" w:hAnsi="Consolas" w:cs="Consolas"/>
          <w:b w:val="0"/>
          <w:i w:val="0"/>
          <w:sz w:val="15"/>
        </w:rPr>
        <w:t xml:space="preserve">    Trade readiness score is 96%. 1 missing item to reach 100%.</w:t>
      </w:r>
    </w:p>
    <w:p>
      <w:pPr>
        <w:spacing w:after="0" w:before="0" w:line="240" w:lineRule="auto"/>
        <w:ind w:left="57"/>
        <w:jc w:val="left"/>
        <w:shd w:val="clear" w:fill="F2F2F2"/>
      </w:pPr>
      <w:r>
        <w:rPr>
          <w:rFonts w:ascii="Consolas" w:hAnsi="Consolas" w:cs="Consolas"/>
          <w:b w:val="0"/>
          <w:i w:val="0"/>
          <w:sz w:val="15"/>
        </w:rPr>
        <w:t xml:space="preserve">    This trade request will be attributed to [TradeBridge] (0.5% revenue</w:t>
      </w:r>
    </w:p>
    <w:p>
      <w:pPr>
        <w:spacing w:after="0" w:before="0" w:line="240" w:lineRule="auto"/>
        <w:ind w:left="57"/>
        <w:jc w:val="left"/>
        <w:shd w:val="clear" w:fill="F2F2F2"/>
      </w:pPr>
      <w:r>
        <w:rPr>
          <w:rFonts w:ascii="Consolas" w:hAnsi="Consolas" w:cs="Consolas"/>
          <w:b w:val="0"/>
          <w:i w:val="0"/>
          <w:sz w:val="15"/>
        </w:rPr>
        <w:t xml:space="preserve">    share). You have 72 hours to dispute. [Dispute] [Continue]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6.2.4 Step 1 — Seller Selection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identify the intended seller/counterparty.</w:t>
      </w:r>
    </w:p>
    <w:p>
      <w:pPr>
        <w:spacing w:after="80" w:line="293" w:lineRule="auto"/>
        <w:jc w:val="left"/>
      </w:pPr>
      <w:r>
        <w:rPr>
          <w:rFonts w:ascii="Times New Roman" w:hAnsi="Times New Roman" w:cs="Times New Roman"/>
          <w:b w:val="0"/>
          <w:i w:val="0"/>
          <w:sz w:val="22"/>
        </w:rPr>
        <w:t>Entry methods: search by saved contact (Network); manual GTID (Global Trade Identifier) entry; company name resolution (resolves to GTID).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System Behaviour</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GTID validation</w:t>
            </w:r>
          </w:p>
        </w:tc>
        <w:tc>
          <w:tcPr>
            <w:tcW w:type="dxa" w:w="4819"/>
          </w:tcPr>
          <w:p>
            <w:pPr>
              <w:spacing w:after="20" w:before="20" w:line="240" w:lineRule="auto"/>
            </w:pPr>
            <w:r/>
            <w:r>
              <w:rPr>
                <w:rFonts w:ascii="Arial" w:hAnsi="Arial" w:cs="Arial"/>
                <w:b w:val="0"/>
                <w:i w:val="0"/>
                <w:sz w:val="17"/>
              </w:rPr>
              <w:t>Entry resolved against tenants registry</w:t>
            </w:r>
          </w:p>
        </w:tc>
      </w:tr>
      <w:tr>
        <w:tc>
          <w:tcPr>
            <w:tcW w:type="dxa" w:w="4819"/>
          </w:tcPr>
          <w:p>
            <w:pPr>
              <w:spacing w:after="20" w:before="20" w:line="240" w:lineRule="auto"/>
            </w:pPr>
            <w:r/>
            <w:r>
              <w:rPr>
                <w:rFonts w:ascii="Arial" w:hAnsi="Arial" w:cs="Arial"/>
                <w:b w:val="0"/>
                <w:i w:val="0"/>
                <w:sz w:val="17"/>
              </w:rPr>
              <w:t>Counterparty resolution</w:t>
            </w:r>
          </w:p>
        </w:tc>
        <w:tc>
          <w:tcPr>
            <w:tcW w:type="dxa" w:w="4819"/>
          </w:tcPr>
          <w:p>
            <w:pPr>
              <w:spacing w:after="20" w:before="20" w:line="240" w:lineRule="auto"/>
            </w:pPr>
            <w:r/>
            <w:r>
              <w:rPr>
                <w:rFonts w:ascii="Arial" w:hAnsi="Arial" w:cs="Arial"/>
                <w:b w:val="0"/>
                <w:i w:val="0"/>
                <w:sz w:val="17"/>
              </w:rPr>
              <w:t>Legal identity and KYB (Know Your Business) state retrieved</w:t>
            </w:r>
          </w:p>
        </w:tc>
      </w:tr>
      <w:tr>
        <w:tc>
          <w:tcPr>
            <w:tcW w:type="dxa" w:w="4819"/>
          </w:tcPr>
          <w:p>
            <w:pPr>
              <w:spacing w:after="20" w:before="20" w:line="240" w:lineRule="auto"/>
            </w:pPr>
            <w:r/>
            <w:r>
              <w:rPr>
                <w:rFonts w:ascii="Arial" w:hAnsi="Arial" w:cs="Arial"/>
                <w:b w:val="0"/>
                <w:i w:val="0"/>
                <w:sz w:val="17"/>
              </w:rPr>
              <w:t>Sanctions screening</w:t>
            </w:r>
          </w:p>
        </w:tc>
        <w:tc>
          <w:tcPr>
            <w:tcW w:type="dxa" w:w="4819"/>
          </w:tcPr>
          <w:p>
            <w:pPr>
              <w:spacing w:after="20" w:before="20" w:line="240" w:lineRule="auto"/>
            </w:pPr>
            <w:r/>
            <w:r>
              <w:rPr>
                <w:rFonts w:ascii="Arial" w:hAnsi="Arial" w:cs="Arial"/>
                <w:b w:val="0"/>
                <w:i w:val="0"/>
                <w:sz w:val="17"/>
              </w:rPr>
              <w:t>GNN (A2) pre-screen against sanctions proximity</w:t>
            </w:r>
          </w:p>
        </w:tc>
      </w:tr>
      <w:tr>
        <w:tc>
          <w:tcPr>
            <w:tcW w:type="dxa" w:w="4819"/>
          </w:tcPr>
          <w:p>
            <w:pPr>
              <w:spacing w:after="20" w:before="20" w:line="240" w:lineRule="auto"/>
            </w:pPr>
            <w:r/>
            <w:r>
              <w:rPr>
                <w:rFonts w:ascii="Arial" w:hAnsi="Arial" w:cs="Arial"/>
                <w:b w:val="0"/>
                <w:i w:val="0"/>
                <w:sz w:val="17"/>
              </w:rPr>
              <w:t>Jurisdiction analysis</w:t>
            </w:r>
          </w:p>
        </w:tc>
        <w:tc>
          <w:tcPr>
            <w:tcW w:type="dxa" w:w="4819"/>
          </w:tcPr>
          <w:p>
            <w:pPr>
              <w:spacing w:after="20" w:before="20" w:line="240" w:lineRule="auto"/>
            </w:pPr>
            <w:r/>
            <w:r>
              <w:rPr>
                <w:rFonts w:ascii="Arial" w:hAnsi="Arial" w:cs="Arial"/>
                <w:b w:val="0"/>
                <w:i w:val="0"/>
                <w:sz w:val="17"/>
              </w:rPr>
              <w:t>Buyer, seller, and corridor jurisdictions evaluated</w:t>
            </w:r>
          </w:p>
        </w:tc>
      </w:tr>
      <w:tr>
        <w:tc>
          <w:tcPr>
            <w:tcW w:type="dxa" w:w="4819"/>
          </w:tcPr>
          <w:p>
            <w:pPr>
              <w:spacing w:after="20" w:before="20" w:line="240" w:lineRule="auto"/>
            </w:pPr>
            <w:r/>
            <w:r>
              <w:rPr>
                <w:rFonts w:ascii="Arial" w:hAnsi="Arial" w:cs="Arial"/>
                <w:b w:val="0"/>
                <w:i w:val="0"/>
                <w:sz w:val="17"/>
              </w:rPr>
              <w:t>KYB status check</w:t>
            </w:r>
          </w:p>
        </w:tc>
        <w:tc>
          <w:tcPr>
            <w:tcW w:type="dxa" w:w="4819"/>
          </w:tcPr>
          <w:p>
            <w:pPr>
              <w:spacing w:after="20" w:before="20" w:line="240" w:lineRule="auto"/>
            </w:pPr>
            <w:r/>
            <w:r>
              <w:rPr>
                <w:rFonts w:ascii="Arial" w:hAnsi="Arial" w:cs="Arial"/>
                <w:b w:val="0"/>
                <w:i w:val="0"/>
                <w:sz w:val="17"/>
              </w:rPr>
              <w:t>Verification tier and outstanding requirements</w:t>
            </w:r>
          </w:p>
        </w:tc>
      </w:tr>
      <w:tr>
        <w:tc>
          <w:tcPr>
            <w:tcW w:type="dxa" w:w="4819"/>
          </w:tcPr>
          <w:p>
            <w:pPr>
              <w:spacing w:after="20" w:before="20" w:line="240" w:lineRule="auto"/>
            </w:pPr>
            <w:r/>
            <w:r>
              <w:rPr>
                <w:rFonts w:ascii="Arial" w:hAnsi="Arial" w:cs="Arial"/>
                <w:b w:val="0"/>
                <w:i w:val="0"/>
                <w:sz w:val="17"/>
              </w:rPr>
              <w:t>Trust information display</w:t>
            </w:r>
          </w:p>
        </w:tc>
        <w:tc>
          <w:tcPr>
            <w:tcW w:type="dxa" w:w="4819"/>
          </w:tcPr>
          <w:p>
            <w:pPr>
              <w:spacing w:after="20" w:before="20" w:line="240" w:lineRule="auto"/>
            </w:pPr>
            <w:r/>
            <w:r>
              <w:rPr>
                <w:rFonts w:ascii="Arial" w:hAnsi="Arial" w:cs="Arial"/>
                <w:b w:val="0"/>
                <w:i w:val="0"/>
                <w:sz w:val="17"/>
              </w:rPr>
              <w:t>Trust score shown where permitted</w:t>
            </w:r>
          </w:p>
        </w:tc>
      </w:tr>
      <w:tr>
        <w:tc>
          <w:tcPr>
            <w:tcW w:type="dxa" w:w="4819"/>
          </w:tcPr>
          <w:p>
            <w:pPr>
              <w:spacing w:after="20" w:before="20" w:line="240" w:lineRule="auto"/>
            </w:pPr>
            <w:r/>
            <w:r>
              <w:rPr>
                <w:rFonts w:ascii="Arial" w:hAnsi="Arial" w:cs="Arial"/>
                <w:b w:val="0"/>
                <w:i w:val="0"/>
                <w:sz w:val="17"/>
              </w:rPr>
              <w:t>Blocked-party check</w:t>
            </w:r>
          </w:p>
        </w:tc>
        <w:tc>
          <w:tcPr>
            <w:tcW w:type="dxa" w:w="4819"/>
          </w:tcPr>
          <w:p>
            <w:pPr>
              <w:spacing w:after="20" w:before="20" w:line="240" w:lineRule="auto"/>
            </w:pPr>
            <w:r/>
            <w:r>
              <w:rPr>
                <w:rFonts w:ascii="Arial" w:hAnsi="Arial" w:cs="Arial"/>
                <w:b w:val="0"/>
                <w:i w:val="0"/>
                <w:sz w:val="17"/>
              </w:rPr>
              <w:t>Saved-contact block list honoured</w:t>
            </w:r>
          </w:p>
        </w:tc>
      </w:tr>
      <w:tr>
        <w:tc>
          <w:tcPr>
            <w:tcW w:type="dxa" w:w="4819"/>
          </w:tcPr>
          <w:p>
            <w:pPr>
              <w:spacing w:after="20" w:before="20" w:line="240" w:lineRule="auto"/>
            </w:pPr>
            <w:r/>
            <w:r>
              <w:rPr>
                <w:rFonts w:ascii="Arial" w:hAnsi="Arial" w:cs="Arial"/>
                <w:b w:val="0"/>
                <w:i w:val="0"/>
                <w:sz w:val="17"/>
              </w:rPr>
              <w:t>Relationship history</w:t>
            </w:r>
          </w:p>
        </w:tc>
        <w:tc>
          <w:tcPr>
            <w:tcW w:type="dxa" w:w="4819"/>
          </w:tcPr>
          <w:p>
            <w:pPr>
              <w:spacing w:after="20" w:before="20" w:line="240" w:lineRule="auto"/>
            </w:pPr>
            <w:r/>
            <w:r>
              <w:rPr>
                <w:rFonts w:ascii="Arial" w:hAnsi="Arial" w:cs="Arial"/>
                <w:b w:val="0"/>
                <w:i w:val="0"/>
                <w:sz w:val="17"/>
              </w:rPr>
              <w:t>Prior interactions shown where permitted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Validation: the GTID format is validated and resolved; sanctions clearance is checked for the seller's jurisdiction; the seller must not be blocked by the buyer. One-click action: selecting a resolved seller ID is a single click. UI result: "Seller verified" or "Additional verification required." AI assistance: A1 (Groq) autocomplete; GNN (A2) sanctions pre-screen.</w:t>
      </w:r>
    </w:p>
    <w:p>
      <w:pPr>
        <w:spacing w:after="0" w:before="0" w:line="240" w:lineRule="auto"/>
        <w:ind w:left="57"/>
        <w:jc w:val="left"/>
        <w:shd w:val="clear" w:fill="F2F2F2"/>
      </w:pPr>
      <w:r>
        <w:rPr>
          <w:rFonts w:ascii="Consolas" w:hAnsi="Consolas" w:cs="Consolas"/>
          <w:b w:val="0"/>
          <w:i w:val="0"/>
          <w:sz w:val="15"/>
        </w:rPr>
        <w:t>Select Seller</w:t>
      </w:r>
    </w:p>
    <w:p>
      <w:pPr>
        <w:spacing w:after="0" w:before="0" w:line="240" w:lineRule="auto"/>
        <w:ind w:left="57"/>
        <w:jc w:val="left"/>
        <w:shd w:val="clear" w:fill="F2F2F2"/>
      </w:pPr>
      <w:r>
        <w:rPr>
          <w:rFonts w:ascii="Consolas" w:hAnsi="Consolas" w:cs="Consolas"/>
          <w:b w:val="0"/>
          <w:i w:val="0"/>
          <w:sz w:val="15"/>
        </w:rPr>
        <w:t xml:space="preserve">  Search by GTID or Company Name... [Enter GTID or search saved contacts]</w:t>
      </w:r>
    </w:p>
    <w:p>
      <w:pPr>
        <w:spacing w:after="0" w:before="0" w:line="240" w:lineRule="auto"/>
        <w:ind w:left="57"/>
        <w:jc w:val="left"/>
        <w:shd w:val="clear" w:fill="F2F2F2"/>
      </w:pPr>
      <w:r>
        <w:rPr>
          <w:rFonts w:ascii="Consolas" w:hAnsi="Consolas" w:cs="Consolas"/>
          <w:b w:val="0"/>
          <w:i w:val="0"/>
          <w:sz w:val="15"/>
        </w:rPr>
        <w:t xml:space="preserve">  Saved Contacts:</w:t>
      </w:r>
    </w:p>
    <w:p>
      <w:pPr>
        <w:spacing w:after="0" w:before="0" w:line="240" w:lineRule="auto"/>
        <w:ind w:left="57"/>
        <w:jc w:val="left"/>
        <w:shd w:val="clear" w:fill="F2F2F2"/>
      </w:pPr>
      <w:r>
        <w:rPr>
          <w:rFonts w:ascii="Consolas" w:hAnsi="Consolas" w:cs="Consolas"/>
          <w:b w:val="0"/>
          <w:i w:val="0"/>
          <w:sz w:val="15"/>
        </w:rPr>
        <w:t xml:space="preserve">  • SGTX-VN-TRD-002139-7F3A   Mekong Fresh Co.     Trust: 92   Sanctions: clear</w:t>
      </w:r>
    </w:p>
    <w:p>
      <w:pPr>
        <w:spacing w:after="0" w:before="0" w:line="240" w:lineRule="auto"/>
        <w:ind w:left="57"/>
        <w:jc w:val="left"/>
        <w:shd w:val="clear" w:fill="F2F2F2"/>
      </w:pPr>
      <w:r>
        <w:rPr>
          <w:rFonts w:ascii="Consolas" w:hAnsi="Consolas" w:cs="Consolas"/>
          <w:b w:val="0"/>
          <w:i w:val="0"/>
          <w:sz w:val="15"/>
        </w:rPr>
        <w:t xml:space="preserve">    Last trade: 15 May 2026   Vietnam   12 trades   Relationship: Supplier</w:t>
      </w:r>
    </w:p>
    <w:p>
      <w:pPr>
        <w:spacing w:after="0" w:before="0" w:line="240" w:lineRule="auto"/>
        <w:ind w:left="57"/>
        <w:jc w:val="left"/>
        <w:shd w:val="clear" w:fill="F2F2F2"/>
      </w:pPr>
      <w:r>
        <w:rPr>
          <w:rFonts w:ascii="Consolas" w:hAnsi="Consolas" w:cs="Consolas"/>
          <w:b w:val="0"/>
          <w:i w:val="0"/>
          <w:sz w:val="15"/>
        </w:rPr>
        <w:t xml:space="preserve">  • SGTX-EG-TRD-001234-5B6C   Nile Foods           Trust: 88   Sanctions: clear</w:t>
      </w:r>
    </w:p>
    <w:p>
      <w:pPr>
        <w:spacing w:after="0" w:before="0" w:line="240" w:lineRule="auto"/>
        <w:ind w:left="57"/>
        <w:jc w:val="left"/>
        <w:shd w:val="clear" w:fill="F2F2F2"/>
      </w:pPr>
      <w:r>
        <w:rPr>
          <w:rFonts w:ascii="Consolas" w:hAnsi="Consolas" w:cs="Consolas"/>
          <w:b w:val="0"/>
          <w:i w:val="0"/>
          <w:sz w:val="15"/>
        </w:rPr>
        <w:t xml:space="preserve">    Last trade: 10 Jun 2026   Egypt     8 trades    Relationship: Customer</w:t>
      </w:r>
    </w:p>
    <w:p>
      <w:pPr>
        <w:spacing w:after="0" w:before="0" w:line="240" w:lineRule="auto"/>
        <w:ind w:left="57"/>
        <w:jc w:val="left"/>
        <w:shd w:val="clear" w:fill="F2F2F2"/>
      </w:pPr>
      <w:r>
        <w:rPr>
          <w:rFonts w:ascii="Consolas" w:hAnsi="Consolas" w:cs="Consolas"/>
          <w:b w:val="0"/>
          <w:i w:val="0"/>
          <w:sz w:val="15"/>
        </w:rPr>
        <w:t xml:space="preserve">  [Enter GTID manually] [Cancel]</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6.2.5 Step 2 — Incoterm + Commercial Foundation (Merged Step)</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establish the commercial foundation of the trade by capturing Incoterm and settlement structure together, because they are commercially inseparable.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Field</w:t>
            </w:r>
          </w:p>
        </w:tc>
        <w:tc>
          <w:tcPr>
            <w:tcW w:type="dxa" w:w="1928"/>
            <w:shd w:val="clear" w:fill="D9E2F3"/>
          </w:tcPr>
          <w:p>
            <w:pPr>
              <w:spacing w:after="20" w:before="20" w:line="240" w:lineRule="auto"/>
            </w:pPr>
            <w:r/>
            <w:r>
              <w:rPr>
                <w:rFonts w:ascii="Arial" w:hAnsi="Arial" w:cs="Arial"/>
                <w:b/>
                <w:i w:val="0"/>
                <w:sz w:val="18"/>
              </w:rPr>
              <w:t>Type</w:t>
            </w:r>
          </w:p>
        </w:tc>
        <w:tc>
          <w:tcPr>
            <w:tcW w:type="dxa" w:w="1928"/>
            <w:shd w:val="clear" w:fill="D9E2F3"/>
          </w:tcPr>
          <w:p>
            <w:pPr>
              <w:spacing w:after="20" w:before="20" w:line="240" w:lineRule="auto"/>
            </w:pPr>
            <w:r/>
            <w:r>
              <w:rPr>
                <w:rFonts w:ascii="Arial" w:hAnsi="Arial" w:cs="Arial"/>
                <w:b/>
                <w:i w:val="0"/>
                <w:sz w:val="18"/>
              </w:rPr>
              <w:t>Options</w:t>
            </w:r>
          </w:p>
        </w:tc>
        <w:tc>
          <w:tcPr>
            <w:tcW w:type="dxa" w:w="1928"/>
            <w:shd w:val="clear" w:fill="D9E2F3"/>
          </w:tcPr>
          <w:p>
            <w:pPr>
              <w:spacing w:after="20" w:before="20" w:line="240" w:lineRule="auto"/>
            </w:pPr>
            <w:r/>
            <w:r>
              <w:rPr>
                <w:rFonts w:ascii="Arial" w:hAnsi="Arial" w:cs="Arial"/>
                <w:b/>
                <w:i w:val="0"/>
                <w:sz w:val="18"/>
              </w:rPr>
              <w:t>Default</w:t>
            </w:r>
          </w:p>
        </w:tc>
        <w:tc>
          <w:tcPr>
            <w:tcW w:type="dxa" w:w="1928"/>
            <w:shd w:val="clear" w:fill="D9E2F3"/>
          </w:tcPr>
          <w:p>
            <w:pPr>
              <w:spacing w:after="20" w:before="20" w:line="240" w:lineRule="auto"/>
            </w:pPr>
            <w:r/>
            <w:r>
              <w:rPr>
                <w:rFonts w:ascii="Arial" w:hAnsi="Arial" w:cs="Arial"/>
                <w:b/>
                <w:i w:val="0"/>
                <w:sz w:val="18"/>
              </w:rPr>
              <w:t>Notes</w:t>
            </w:r>
          </w:p>
        </w:tc>
      </w:tr>
      <w:tr>
        <w:tc>
          <w:tcPr>
            <w:tcW w:type="dxa" w:w="1928"/>
          </w:tcPr>
          <w:p>
            <w:pPr>
              <w:spacing w:after="20" w:before="20" w:line="240" w:lineRule="auto"/>
            </w:pPr>
            <w:r/>
            <w:r>
              <w:rPr>
                <w:rFonts w:ascii="Arial" w:hAnsi="Arial" w:cs="Arial"/>
                <w:b w:val="0"/>
                <w:i w:val="0"/>
                <w:sz w:val="17"/>
              </w:rPr>
              <w:t>Incoterm</w:t>
            </w:r>
          </w:p>
        </w:tc>
        <w:tc>
          <w:tcPr>
            <w:tcW w:type="dxa" w:w="1928"/>
          </w:tcPr>
          <w:p>
            <w:pPr>
              <w:spacing w:after="20" w:before="20" w:line="240" w:lineRule="auto"/>
            </w:pPr>
            <w:r/>
            <w:r>
              <w:rPr>
                <w:rFonts w:ascii="Arial" w:hAnsi="Arial" w:cs="Arial"/>
                <w:b w:val="0"/>
                <w:i w:val="0"/>
                <w:sz w:val="17"/>
              </w:rPr>
              <w:t>Dropdown</w:t>
            </w:r>
          </w:p>
        </w:tc>
        <w:tc>
          <w:tcPr>
            <w:tcW w:type="dxa" w:w="1928"/>
          </w:tcPr>
          <w:p>
            <w:pPr>
              <w:spacing w:after="20" w:before="20" w:line="240" w:lineRule="auto"/>
            </w:pPr>
            <w:r/>
            <w:r>
              <w:rPr>
                <w:rFonts w:ascii="Arial" w:hAnsi="Arial" w:cs="Arial"/>
                <w:b w:val="0"/>
                <w:i w:val="0"/>
                <w:sz w:val="17"/>
              </w:rPr>
              <w:t>EXW, FOB, CFR, CIF, CPT, CIP, DAP, DPU, DDP</w:t>
            </w:r>
          </w:p>
        </w:tc>
        <w:tc>
          <w:tcPr>
            <w:tcW w:type="dxa" w:w="1928"/>
          </w:tcPr>
          <w:p>
            <w:pPr>
              <w:spacing w:after="20" w:before="20" w:line="240" w:lineRule="auto"/>
            </w:pPr>
            <w:r/>
            <w:r>
              <w:rPr>
                <w:rFonts w:ascii="Arial" w:hAnsi="Arial" w:cs="Arial"/>
                <w:b w:val="0"/>
                <w:i w:val="0"/>
                <w:sz w:val="17"/>
              </w:rPr>
              <w:t>CFR</w:t>
            </w:r>
          </w:p>
        </w:tc>
        <w:tc>
          <w:tcPr>
            <w:tcW w:type="dxa" w:w="1928"/>
          </w:tcPr>
          <w:p>
            <w:pPr>
              <w:spacing w:after="20" w:before="20" w:line="240" w:lineRule="auto"/>
            </w:pPr>
            <w:r/>
            <w:r>
              <w:rPr>
                <w:rFonts w:ascii="Arial" w:hAnsi="Arial" w:cs="Arial"/>
                <w:b w:val="0"/>
                <w:i w:val="0"/>
                <w:sz w:val="17"/>
              </w:rPr>
              <w:t>Auto-configures responsibilities</w:t>
            </w:r>
          </w:p>
        </w:tc>
      </w:tr>
      <w:tr>
        <w:tc>
          <w:tcPr>
            <w:tcW w:type="dxa" w:w="1928"/>
          </w:tcPr>
          <w:p>
            <w:pPr>
              <w:spacing w:after="20" w:before="20" w:line="240" w:lineRule="auto"/>
            </w:pPr>
            <w:r/>
            <w:r>
              <w:rPr>
                <w:rFonts w:ascii="Arial" w:hAnsi="Arial" w:cs="Arial"/>
                <w:b w:val="0"/>
                <w:i w:val="0"/>
                <w:sz w:val="17"/>
              </w:rPr>
              <w:t>Settlement Structure</w:t>
            </w:r>
          </w:p>
        </w:tc>
        <w:tc>
          <w:tcPr>
            <w:tcW w:type="dxa" w:w="1928"/>
          </w:tcPr>
          <w:p>
            <w:pPr>
              <w:spacing w:after="20" w:before="20" w:line="240" w:lineRule="auto"/>
            </w:pPr>
            <w:r/>
            <w:r>
              <w:rPr>
                <w:rFonts w:ascii="Arial" w:hAnsi="Arial" w:cs="Arial"/>
                <w:b w:val="0"/>
                <w:i w:val="0"/>
                <w:sz w:val="17"/>
              </w:rPr>
              <w:t>Radio</w:t>
            </w:r>
          </w:p>
        </w:tc>
        <w:tc>
          <w:tcPr>
            <w:tcW w:type="dxa" w:w="1928"/>
          </w:tcPr>
          <w:p>
            <w:pPr>
              <w:spacing w:after="20" w:before="20" w:line="240" w:lineRule="auto"/>
            </w:pPr>
            <w:r/>
            <w:r>
              <w:rPr>
                <w:rFonts w:ascii="Arial" w:hAnsi="Arial" w:cs="Arial"/>
                <w:b w:val="0"/>
                <w:i w:val="0"/>
                <w:sz w:val="17"/>
              </w:rPr>
              <w:t>Documentary Credit (LC), Documentary Collection, Bank Transfer, Open Account, To Be Negotiated</w:t>
            </w:r>
          </w:p>
        </w:tc>
        <w:tc>
          <w:tcPr>
            <w:tcW w:type="dxa" w:w="1928"/>
          </w:tcPr>
          <w:p>
            <w:pPr>
              <w:spacing w:after="20" w:before="20" w:line="240" w:lineRule="auto"/>
            </w:pPr>
            <w:r/>
            <w:r>
              <w:rPr>
                <w:rFonts w:ascii="Arial" w:hAnsi="Arial" w:cs="Arial"/>
                <w:b w:val="0"/>
                <w:i w:val="0"/>
                <w:sz w:val="17"/>
              </w:rPr>
              <w:t>To Be Negotiated</w:t>
            </w:r>
          </w:p>
        </w:tc>
        <w:tc>
          <w:tcPr>
            <w:tcW w:type="dxa" w:w="1928"/>
          </w:tcPr>
          <w:p>
            <w:pPr>
              <w:spacing w:after="20" w:before="20" w:line="240" w:lineRule="auto"/>
            </w:pPr>
            <w:r/>
            <w:r>
              <w:rPr>
                <w:rFonts w:ascii="Arial" w:hAnsi="Arial" w:cs="Arial"/>
                <w:b w:val="0"/>
                <w:i w:val="0"/>
                <w:sz w:val="17"/>
              </w:rPr>
              <w:t>Based on commercial priority</w:t>
            </w:r>
          </w:p>
        </w:tc>
      </w:tr>
      <w:tr>
        <w:tc>
          <w:tcPr>
            <w:tcW w:type="dxa" w:w="1928"/>
          </w:tcPr>
          <w:p>
            <w:pPr>
              <w:spacing w:after="20" w:before="20" w:line="240" w:lineRule="auto"/>
            </w:pPr>
            <w:r/>
            <w:r>
              <w:rPr>
                <w:rFonts w:ascii="Arial" w:hAnsi="Arial" w:cs="Arial"/>
                <w:b w:val="0"/>
                <w:i w:val="0"/>
                <w:sz w:val="17"/>
              </w:rPr>
              <w:t>Payment Timing</w:t>
            </w:r>
          </w:p>
        </w:tc>
        <w:tc>
          <w:tcPr>
            <w:tcW w:type="dxa" w:w="1928"/>
          </w:tcPr>
          <w:p>
            <w:pPr>
              <w:spacing w:after="20" w:before="20" w:line="240" w:lineRule="auto"/>
            </w:pPr>
            <w:r/>
            <w:r>
              <w:rPr>
                <w:rFonts w:ascii="Arial" w:hAnsi="Arial" w:cs="Arial"/>
                <w:b w:val="0"/>
                <w:i w:val="0"/>
                <w:sz w:val="17"/>
              </w:rPr>
              <w:t>Radio</w:t>
            </w:r>
          </w:p>
        </w:tc>
        <w:tc>
          <w:tcPr>
            <w:tcW w:type="dxa" w:w="1928"/>
          </w:tcPr>
          <w:p>
            <w:pPr>
              <w:spacing w:after="20" w:before="20" w:line="240" w:lineRule="auto"/>
            </w:pPr>
            <w:r/>
            <w:r>
              <w:rPr>
                <w:rFonts w:ascii="Arial" w:hAnsi="Arial" w:cs="Arial"/>
                <w:b w:val="0"/>
                <w:i w:val="0"/>
                <w:sz w:val="17"/>
              </w:rPr>
              <w:t>Advance, Partial Advance, Against Documents, Against Shipment, Against Delivery, Deferred, To Be Negotiated</w:t>
            </w:r>
          </w:p>
        </w:tc>
        <w:tc>
          <w:tcPr>
            <w:tcW w:type="dxa" w:w="1928"/>
          </w:tcPr>
          <w:p>
            <w:pPr>
              <w:spacing w:after="20" w:before="20" w:line="240" w:lineRule="auto"/>
            </w:pPr>
            <w:r/>
            <w:r>
              <w:rPr>
                <w:rFonts w:ascii="Arial" w:hAnsi="Arial" w:cs="Arial"/>
                <w:b w:val="0"/>
                <w:i w:val="0"/>
                <w:sz w:val="17"/>
              </w:rPr>
              <w:t>Against Documents</w:t>
            </w:r>
          </w:p>
        </w:tc>
        <w:tc>
          <w:tcPr>
            <w:tcW w:type="dxa" w:w="1928"/>
          </w:tcPr>
          <w:p>
            <w:pPr>
              <w:spacing w:after="20" w:before="20" w:line="240" w:lineRule="auto"/>
            </w:pPr>
            <w:r/>
            <w:r>
              <w:rPr>
                <w:rFonts w:ascii="Arial" w:hAnsi="Arial" w:cs="Arial"/>
                <w:b w:val="0"/>
                <w:i w:val="0"/>
                <w:sz w:val="17"/>
              </w:rPr>
              <w:t>—</w:t>
            </w:r>
          </w:p>
        </w:tc>
      </w:tr>
      <w:tr>
        <w:tc>
          <w:tcPr>
            <w:tcW w:type="dxa" w:w="1928"/>
          </w:tcPr>
          <w:p>
            <w:pPr>
              <w:spacing w:after="20" w:before="20" w:line="240" w:lineRule="auto"/>
            </w:pPr>
            <w:r/>
            <w:r>
              <w:rPr>
                <w:rFonts w:ascii="Arial" w:hAnsi="Arial" w:cs="Arial"/>
                <w:b w:val="0"/>
                <w:i w:val="0"/>
                <w:sz w:val="17"/>
              </w:rPr>
              <w:t>Credit Period</w:t>
            </w:r>
          </w:p>
        </w:tc>
        <w:tc>
          <w:tcPr>
            <w:tcW w:type="dxa" w:w="1928"/>
          </w:tcPr>
          <w:p>
            <w:pPr>
              <w:spacing w:after="20" w:before="20" w:line="240" w:lineRule="auto"/>
            </w:pPr>
            <w:r/>
            <w:r>
              <w:rPr>
                <w:rFonts w:ascii="Arial" w:hAnsi="Arial" w:cs="Arial"/>
                <w:b w:val="0"/>
                <w:i w:val="0"/>
                <w:sz w:val="17"/>
              </w:rPr>
              <w:t>Dropdown</w:t>
            </w:r>
          </w:p>
        </w:tc>
        <w:tc>
          <w:tcPr>
            <w:tcW w:type="dxa" w:w="1928"/>
          </w:tcPr>
          <w:p>
            <w:pPr>
              <w:spacing w:after="20" w:before="20" w:line="240" w:lineRule="auto"/>
            </w:pPr>
            <w:r/>
            <w:r>
              <w:rPr>
                <w:rFonts w:ascii="Arial" w:hAnsi="Arial" w:cs="Arial"/>
                <w:b w:val="0"/>
                <w:i w:val="0"/>
                <w:sz w:val="17"/>
              </w:rPr>
              <w:t>0, 15, 30, 45, 60, 90 days</w:t>
            </w:r>
          </w:p>
        </w:tc>
        <w:tc>
          <w:tcPr>
            <w:tcW w:type="dxa" w:w="1928"/>
          </w:tcPr>
          <w:p>
            <w:pPr>
              <w:spacing w:after="20" w:before="20" w:line="240" w:lineRule="auto"/>
            </w:pPr>
            <w:r/>
            <w:r>
              <w:rPr>
                <w:rFonts w:ascii="Arial" w:hAnsi="Arial" w:cs="Arial"/>
                <w:b w:val="0"/>
                <w:i w:val="0"/>
                <w:sz w:val="17"/>
              </w:rPr>
              <w:t>30 days</w:t>
            </w:r>
          </w:p>
        </w:tc>
        <w:tc>
          <w:tcPr>
            <w:tcW w:type="dxa" w:w="1928"/>
          </w:tcPr>
          <w:p>
            <w:pPr>
              <w:spacing w:after="20" w:before="20" w:line="240" w:lineRule="auto"/>
            </w:pPr>
            <w:r/>
            <w:r>
              <w:rPr>
                <w:rFonts w:ascii="Arial" w:hAnsi="Arial" w:cs="Arial"/>
                <w:b w:val="0"/>
                <w:i w:val="0"/>
                <w:sz w:val="17"/>
              </w:rPr>
              <w:t>—</w:t>
            </w:r>
          </w:p>
        </w:tc>
      </w:tr>
      <w:tr>
        <w:tc>
          <w:tcPr>
            <w:tcW w:type="dxa" w:w="1928"/>
          </w:tcPr>
          <w:p>
            <w:pPr>
              <w:spacing w:after="20" w:before="20" w:line="240" w:lineRule="auto"/>
            </w:pPr>
            <w:r/>
            <w:r>
              <w:rPr>
                <w:rFonts w:ascii="Arial" w:hAnsi="Arial" w:cs="Arial"/>
                <w:b w:val="0"/>
                <w:i w:val="0"/>
                <w:sz w:val="17"/>
              </w:rPr>
              <w:t>Currency</w:t>
            </w:r>
          </w:p>
        </w:tc>
        <w:tc>
          <w:tcPr>
            <w:tcW w:type="dxa" w:w="1928"/>
          </w:tcPr>
          <w:p>
            <w:pPr>
              <w:spacing w:after="20" w:before="20" w:line="240" w:lineRule="auto"/>
            </w:pPr>
            <w:r/>
            <w:r>
              <w:rPr>
                <w:rFonts w:ascii="Arial" w:hAnsi="Arial" w:cs="Arial"/>
                <w:b w:val="0"/>
                <w:i w:val="0"/>
                <w:sz w:val="17"/>
              </w:rPr>
              <w:t>Dropdown</w:t>
            </w:r>
          </w:p>
        </w:tc>
        <w:tc>
          <w:tcPr>
            <w:tcW w:type="dxa" w:w="1928"/>
          </w:tcPr>
          <w:p>
            <w:pPr>
              <w:spacing w:after="20" w:before="20" w:line="240" w:lineRule="auto"/>
            </w:pPr>
            <w:r/>
            <w:r>
              <w:rPr>
                <w:rFonts w:ascii="Arial" w:hAnsi="Arial" w:cs="Arial"/>
                <w:b w:val="0"/>
                <w:i w:val="0"/>
                <w:sz w:val="17"/>
              </w:rPr>
              <w:t>USD, EUR, GBP, AED, SAR, EGP, Other</w:t>
            </w:r>
          </w:p>
        </w:tc>
        <w:tc>
          <w:tcPr>
            <w:tcW w:type="dxa" w:w="1928"/>
          </w:tcPr>
          <w:p>
            <w:pPr>
              <w:spacing w:after="20" w:before="20" w:line="240" w:lineRule="auto"/>
            </w:pPr>
            <w:r/>
            <w:r>
              <w:rPr>
                <w:rFonts w:ascii="Arial" w:hAnsi="Arial" w:cs="Arial"/>
                <w:b w:val="0"/>
                <w:i w:val="0"/>
                <w:sz w:val="17"/>
              </w:rPr>
              <w:t>USD</w:t>
            </w:r>
          </w:p>
        </w:tc>
        <w:tc>
          <w:tcPr>
            <w:tcW w:type="dxa" w:w="1928"/>
          </w:tcPr>
          <w:p>
            <w:pPr>
              <w:spacing w:after="20" w:before="20" w:line="240" w:lineRule="auto"/>
            </w:pPr>
            <w:r/>
            <w:r>
              <w:rPr>
                <w:rFonts w:ascii="Arial" w:hAnsi="Arial" w:cs="Arial"/>
                <w:b w:val="0"/>
                <w:i w:val="0"/>
                <w:sz w:val="17"/>
              </w:rPr>
              <w:t>—</w:t>
            </w:r>
          </w:p>
        </w:tc>
      </w:tr>
      <w:tr>
        <w:tc>
          <w:tcPr>
            <w:tcW w:type="dxa" w:w="1928"/>
          </w:tcPr>
          <w:p>
            <w:pPr>
              <w:spacing w:after="20" w:before="20" w:line="240" w:lineRule="auto"/>
            </w:pPr>
            <w:r/>
            <w:r>
              <w:rPr>
                <w:rFonts w:ascii="Arial" w:hAnsi="Arial" w:cs="Arial"/>
                <w:b w:val="0"/>
                <w:i w:val="0"/>
                <w:sz w:val="17"/>
              </w:rPr>
              <w:t>Buyer Financing Toggle</w:t>
            </w:r>
          </w:p>
        </w:tc>
        <w:tc>
          <w:tcPr>
            <w:tcW w:type="dxa" w:w="1928"/>
          </w:tcPr>
          <w:p>
            <w:pPr>
              <w:spacing w:after="20" w:before="20" w:line="240" w:lineRule="auto"/>
            </w:pPr>
            <w:r/>
            <w:r>
              <w:rPr>
                <w:rFonts w:ascii="Arial" w:hAnsi="Arial" w:cs="Arial"/>
                <w:b w:val="0"/>
                <w:i w:val="0"/>
                <w:sz w:val="17"/>
              </w:rPr>
              <w:t>Toggle</w:t>
            </w:r>
          </w:p>
        </w:tc>
        <w:tc>
          <w:tcPr>
            <w:tcW w:type="dxa" w:w="1928"/>
          </w:tcPr>
          <w:p>
            <w:pPr>
              <w:spacing w:after="20" w:before="20" w:line="240" w:lineRule="auto"/>
            </w:pPr>
            <w:r/>
            <w:r>
              <w:rPr>
                <w:rFonts w:ascii="Arial" w:hAnsi="Arial" w:cs="Arial"/>
                <w:b w:val="0"/>
                <w:i w:val="0"/>
                <w:sz w:val="17"/>
              </w:rPr>
              <w:t>"Buyer requires invoice factoring / trade financing upon settlement"</w:t>
            </w:r>
          </w:p>
        </w:tc>
        <w:tc>
          <w:tcPr>
            <w:tcW w:type="dxa" w:w="1928"/>
          </w:tcPr>
          <w:p>
            <w:pPr>
              <w:spacing w:after="20" w:before="20" w:line="240" w:lineRule="auto"/>
            </w:pPr>
            <w:r/>
            <w:r>
              <w:rPr>
                <w:rFonts w:ascii="Arial" w:hAnsi="Arial" w:cs="Arial"/>
                <w:b w:val="0"/>
                <w:i w:val="0"/>
                <w:sz w:val="17"/>
              </w:rPr>
              <w:t>OFF</w:t>
            </w:r>
          </w:p>
        </w:tc>
        <w:tc>
          <w:tcPr>
            <w:tcW w:type="dxa" w:w="1928"/>
          </w:tcPr>
          <w:p>
            <w:pPr>
              <w:spacing w:after="20" w:before="20" w:line="240" w:lineRule="auto"/>
            </w:pPr>
            <w:r/>
            <w:r>
              <w:rPr>
                <w:rFonts w:ascii="Arial" w:hAnsi="Arial" w:cs="Arial"/>
                <w:b w:val="0"/>
                <w:i w:val="0"/>
                <w:sz w:val="17"/>
              </w:rPr>
              <w:t>Data-sovereign: buyer only; stored in `trade_requests.buyer_financing_required`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Incoterm selection auto-configures the seller's mandatory logistics services (visible in Phase 2, Section 8); Incoterm and settlement preferences are validated for compatibility; a plain-language responsibility map is generated ("Your responsibilities" vs "Seller responsibilities"); the system stores the incoterm in `trade_requests.parsed_specs.incoterm` and updates the trade value calculation for the SGTX fee. AI assistance: A1 (Groq) plain-language explanations; A4 (WasmEdge) compatibility validation. UI: two-column responsibility map; financing toggle as a simple checkbox.</w:t>
      </w:r>
    </w:p>
    <w:p>
      <w:pPr>
        <w:spacing w:after="80" w:line="293" w:lineRule="auto"/>
        <w:jc w:val="left"/>
      </w:pPr>
      <w:r>
        <w:rPr>
          <w:rFonts w:ascii="Times New Roman" w:hAnsi="Times New Roman" w:cs="Times New Roman"/>
          <w:b w:val="0"/>
          <w:i w:val="0"/>
          <w:sz w:val="22"/>
        </w:rPr>
        <w:t>Incoterm auto-configuration sequence (executed immediately after selection):</w:t>
      </w:r>
    </w:p>
    <w:p>
      <w:pPr>
        <w:spacing w:after="80" w:line="293" w:lineRule="auto"/>
        <w:ind w:left="283"/>
        <w:jc w:val="left"/>
      </w:pPr>
      <w:r>
        <w:rPr>
          <w:rFonts w:ascii="Times New Roman" w:hAnsi="Times New Roman" w:cs="Times New Roman"/>
          <w:b w:val="0"/>
          <w:i w:val="0"/>
          <w:sz w:val="22"/>
        </w:rPr>
        <w:t>- Store selection — the incoterm and `incoterm_selected_at` are persisted.</w:t>
      </w:r>
    </w:p>
    <w:p>
      <w:pPr>
        <w:spacing w:after="80" w:line="293" w:lineRule="auto"/>
        <w:ind w:left="283"/>
        <w:jc w:val="left"/>
      </w:pPr>
      <w:r>
        <w:rPr>
          <w:rFonts w:ascii="Times New Roman" w:hAnsi="Times New Roman" w:cs="Times New Roman"/>
          <w:b w:val="0"/>
          <w:i w:val="0"/>
          <w:sz w:val="22"/>
        </w:rPr>
        <w:t>- Pre-populate seller's mandatory services (visible in Phase 2) — for CFR: TRUCKING, EXPORT_CUSTOMS, THC</w:t>
      </w:r>
    </w:p>
    <w:p>
      <w:pPr>
        <w:spacing w:after="80" w:line="293" w:lineRule="auto"/>
        <w:jc w:val="left"/>
      </w:pPr>
      <w:r>
        <w:rPr>
          <w:rFonts w:ascii="Times New Roman" w:hAnsi="Times New Roman" w:cs="Times New Roman"/>
          <w:b w:val="0"/>
          <w:i w:val="0"/>
          <w:sz w:val="22"/>
        </w:rPr>
        <w:t>(Terminal Handling Charges), OCEAN_FREIGHT mandatory; INSURANCE optional; DESTINATION_CHARGES and DUTIES not available.</w:t>
      </w:r>
    </w:p>
    <w:p>
      <w:pPr>
        <w:spacing w:after="80" w:line="293" w:lineRule="auto"/>
        <w:ind w:left="283"/>
        <w:jc w:val="left"/>
      </w:pPr>
      <w:r>
        <w:rPr>
          <w:rFonts w:ascii="Times New Roman" w:hAnsi="Times New Roman" w:cs="Times New Roman"/>
          <w:b w:val="0"/>
          <w:i w:val="0"/>
          <w:sz w:val="22"/>
        </w:rPr>
        <w:t>- Display plain-language summary (A1, Groq) — English example: "You (buyer) are responsible for import</w:t>
      </w:r>
    </w:p>
    <w:p>
      <w:pPr>
        <w:spacing w:after="80" w:line="293" w:lineRule="auto"/>
        <w:jc w:val="left"/>
      </w:pPr>
      <w:r>
        <w:rPr>
          <w:rFonts w:ascii="Times New Roman" w:hAnsi="Times New Roman" w:cs="Times New Roman"/>
          <w:b w:val="0"/>
          <w:i w:val="0"/>
          <w:sz w:val="22"/>
        </w:rPr>
        <w:t>customs clearance and destination charges. Seller is responsible for export clearance, trucking to port, ocean freight, and terminal handling. Insurance is optional." The same summary is generated in the buyer's preferred language (Arabic available).</w:t>
      </w:r>
    </w:p>
    <w:p>
      <w:pPr>
        <w:spacing w:after="80" w:line="293" w:lineRule="auto"/>
        <w:ind w:left="283"/>
        <w:jc w:val="left"/>
      </w:pPr>
      <w:r>
        <w:rPr>
          <w:rFonts w:ascii="Times New Roman" w:hAnsi="Times New Roman" w:cs="Times New Roman"/>
          <w:b w:val="0"/>
          <w:i w:val="0"/>
          <w:sz w:val="22"/>
        </w:rPr>
        <w:t>- Update trade value calculation — Canonical Fee Basis = EXW + eligible logistics costs (as defined by the Incoterm Engine); SGTX Fee = CFB × engine effective rate (Dynamic Fee Engine, Section 9.27).</w:t>
      </w:r>
    </w:p>
    <w:p>
      <w:pPr>
        <w:spacing w:after="80" w:line="293" w:lineRule="auto"/>
        <w:ind w:left="283"/>
        <w:jc w:val="left"/>
      </w:pPr>
      <w:r>
        <w:rPr>
          <w:rFonts w:ascii="Times New Roman" w:hAnsi="Times New Roman" w:cs="Times New Roman"/>
          <w:b w:val="0"/>
          <w:i w:val="0"/>
          <w:sz w:val="22"/>
        </w:rPr>
        <w:t>- Governor validation (A4) — checks that the incoterm is valid for the selected jurisdiction and compatible</w:t>
      </w:r>
    </w:p>
    <w:p>
      <w:pPr>
        <w:spacing w:after="80" w:line="293" w:lineRule="auto"/>
        <w:jc w:val="left"/>
      </w:pPr>
      <w:r>
        <w:rPr>
          <w:rFonts w:ascii="Times New Roman" w:hAnsi="Times New Roman" w:cs="Times New Roman"/>
          <w:b w:val="0"/>
          <w:i w:val="0"/>
          <w:sz w:val="22"/>
        </w:rPr>
        <w:t>with the selected transport mode; if invalid, the Governor returns CONDITIONAL with a Decision Panel explanation.</w:t>
      </w:r>
    </w:p>
    <w:p>
      <w:pPr>
        <w:spacing w:after="0" w:before="0" w:line="240" w:lineRule="auto"/>
        <w:ind w:left="57"/>
        <w:jc w:val="left"/>
        <w:shd w:val="clear" w:fill="F2F2F2"/>
      </w:pPr>
      <w:r>
        <w:rPr>
          <w:rFonts w:ascii="Consolas" w:hAnsi="Consolas" w:cs="Consolas"/>
          <w:b w:val="0"/>
          <w:i w:val="0"/>
          <w:sz w:val="15"/>
        </w:rPr>
        <w:t>2. INCOTERM SELECTION — [CFR ▼] (Cost and Freight)</w:t>
      </w:r>
    </w:p>
    <w:p>
      <w:pPr>
        <w:spacing w:after="0" w:before="0" w:line="240" w:lineRule="auto"/>
        <w:ind w:left="57"/>
        <w:jc w:val="left"/>
        <w:shd w:val="clear" w:fill="F2F2F2"/>
      </w:pPr>
      <w:r>
        <w:rPr>
          <w:rFonts w:ascii="Consolas" w:hAnsi="Consolas" w:cs="Consolas"/>
          <w:b w:val="0"/>
          <w:i w:val="0"/>
          <w:sz w:val="15"/>
        </w:rPr>
        <w:t xml:space="preserve">   CFR — Cost and Freight</w:t>
      </w:r>
    </w:p>
    <w:p>
      <w:pPr>
        <w:spacing w:after="0" w:before="0" w:line="240" w:lineRule="auto"/>
        <w:ind w:left="57"/>
        <w:jc w:val="left"/>
        <w:shd w:val="clear" w:fill="F2F2F2"/>
      </w:pPr>
      <w:r>
        <w:rPr>
          <w:rFonts w:ascii="Consolas" w:hAnsi="Consolas" w:cs="Consolas"/>
          <w:b w:val="0"/>
          <w:i w:val="0"/>
          <w:sz w:val="15"/>
        </w:rPr>
        <w:t xml:space="preserve">   Seller is responsible for:</w:t>
      </w:r>
    </w:p>
    <w:p>
      <w:pPr>
        <w:spacing w:after="0" w:before="0" w:line="240" w:lineRule="auto"/>
        <w:ind w:left="57"/>
        <w:jc w:val="left"/>
        <w:shd w:val="clear" w:fill="F2F2F2"/>
      </w:pPr>
      <w:r>
        <w:rPr>
          <w:rFonts w:ascii="Consolas" w:hAnsi="Consolas" w:cs="Consolas"/>
          <w:b w:val="0"/>
          <w:i w:val="0"/>
          <w:sz w:val="15"/>
        </w:rPr>
        <w:t xml:space="preserve">   • Export customs clearance</w:t>
      </w:r>
    </w:p>
    <w:p>
      <w:pPr>
        <w:spacing w:after="0" w:before="0" w:line="240" w:lineRule="auto"/>
        <w:ind w:left="57"/>
        <w:jc w:val="left"/>
        <w:shd w:val="clear" w:fill="F2F2F2"/>
      </w:pPr>
      <w:r>
        <w:rPr>
          <w:rFonts w:ascii="Consolas" w:hAnsi="Consolas" w:cs="Consolas"/>
          <w:b w:val="0"/>
          <w:i w:val="0"/>
          <w:sz w:val="15"/>
        </w:rPr>
        <w:t xml:space="preserve">   • Trucking to port of loading</w:t>
      </w:r>
    </w:p>
    <w:p>
      <w:pPr>
        <w:spacing w:after="0" w:before="0" w:line="240" w:lineRule="auto"/>
        <w:ind w:left="57"/>
        <w:jc w:val="left"/>
        <w:shd w:val="clear" w:fill="F2F2F2"/>
      </w:pPr>
      <w:r>
        <w:rPr>
          <w:rFonts w:ascii="Consolas" w:hAnsi="Consolas" w:cs="Consolas"/>
          <w:b w:val="0"/>
          <w:i w:val="0"/>
          <w:sz w:val="15"/>
        </w:rPr>
        <w:t xml:space="preserve">   • Ocean freight to destination port</w:t>
      </w:r>
    </w:p>
    <w:p>
      <w:pPr>
        <w:spacing w:after="0" w:before="0" w:line="240" w:lineRule="auto"/>
        <w:ind w:left="57"/>
        <w:jc w:val="left"/>
        <w:shd w:val="clear" w:fill="F2F2F2"/>
      </w:pPr>
      <w:r>
        <w:rPr>
          <w:rFonts w:ascii="Consolas" w:hAnsi="Consolas" w:cs="Consolas"/>
          <w:b w:val="0"/>
          <w:i w:val="0"/>
          <w:sz w:val="15"/>
        </w:rPr>
        <w:t xml:space="preserve">   Buyer is responsible for:</w:t>
      </w:r>
    </w:p>
    <w:p>
      <w:pPr>
        <w:spacing w:after="0" w:before="0" w:line="240" w:lineRule="auto"/>
        <w:ind w:left="57"/>
        <w:jc w:val="left"/>
        <w:shd w:val="clear" w:fill="F2F2F2"/>
      </w:pPr>
      <w:r>
        <w:rPr>
          <w:rFonts w:ascii="Consolas" w:hAnsi="Consolas" w:cs="Consolas"/>
          <w:b w:val="0"/>
          <w:i w:val="0"/>
          <w:sz w:val="15"/>
        </w:rPr>
        <w:t xml:space="preserve">   • Import customs clearance — will be added later</w:t>
      </w:r>
    </w:p>
    <w:p>
      <w:pPr>
        <w:spacing w:after="0" w:before="0" w:line="240" w:lineRule="auto"/>
        <w:ind w:left="57"/>
        <w:jc w:val="left"/>
        <w:shd w:val="clear" w:fill="F2F2F2"/>
      </w:pPr>
      <w:r>
        <w:rPr>
          <w:rFonts w:ascii="Consolas" w:hAnsi="Consolas" w:cs="Consolas"/>
          <w:b w:val="0"/>
          <w:i w:val="0"/>
          <w:sz w:val="15"/>
        </w:rPr>
        <w:t xml:space="preserve">   • Destination charges — will be added later</w:t>
      </w:r>
    </w:p>
    <w:p>
      <w:pPr>
        <w:spacing w:after="0" w:before="0" w:line="240" w:lineRule="auto"/>
        <w:ind w:left="57"/>
        <w:jc w:val="left"/>
        <w:shd w:val="clear" w:fill="F2F2F2"/>
      </w:pPr>
      <w:r>
        <w:rPr>
          <w:rFonts w:ascii="Consolas" w:hAnsi="Consolas" w:cs="Consolas"/>
          <w:b w:val="0"/>
          <w:i w:val="0"/>
          <w:sz w:val="15"/>
        </w:rPr>
        <w:t xml:space="preserve">   • Insurance — optional (can be arranged by buyer)</w:t>
      </w:r>
    </w:p>
    <w:p>
      <w:pPr>
        <w:spacing w:after="0" w:before="0" w:line="240" w:lineRule="auto"/>
        <w:ind w:left="57"/>
        <w:jc w:val="left"/>
        <w:shd w:val="clear" w:fill="F2F2F2"/>
      </w:pPr>
      <w:r>
        <w:rPr>
          <w:rFonts w:ascii="Consolas" w:hAnsi="Consolas" w:cs="Consolas"/>
          <w:b w:val="0"/>
          <w:i w:val="0"/>
          <w:sz w:val="15"/>
        </w:rPr>
        <w:t>SGTX Fee: engine-determined on (EXW + Mandatory Logistics)</w:t>
      </w:r>
    </w:p>
    <w:p>
      <w:pPr>
        <w:spacing w:after="0" w:before="0" w:line="240" w:lineRule="auto"/>
        <w:ind w:left="57"/>
        <w:jc w:val="left"/>
        <w:shd w:val="clear" w:fill="F2F2F2"/>
      </w:pPr>
      <w:r>
        <w:rPr>
          <w:rFonts w:ascii="Consolas" w:hAnsi="Consolas" w:cs="Consolas"/>
          <w:b w:val="0"/>
          <w:i w:val="0"/>
          <w:sz w:val="15"/>
        </w:rPr>
        <w:t>Estimated Canonical Fee Basis: $105,100</w:t>
      </w:r>
    </w:p>
    <w:p>
      <w:pPr>
        <w:spacing w:after="0" w:before="0" w:line="240" w:lineRule="auto"/>
        <w:ind w:left="57"/>
        <w:jc w:val="left"/>
        <w:shd w:val="clear" w:fill="F2F2F2"/>
      </w:pPr>
      <w:r>
        <w:rPr>
          <w:rFonts w:ascii="Consolas" w:hAnsi="Consolas" w:cs="Consolas"/>
          <w:b w:val="0"/>
          <w:i w:val="0"/>
          <w:sz w:val="15"/>
        </w:rPr>
        <w:t>Estimated SGTX Fee (indicative, 0.144%): $151.34</w:t>
      </w:r>
    </w:p>
    <w:p>
      <w:pPr>
        <w:spacing w:after="0" w:before="0" w:line="240" w:lineRule="auto"/>
        <w:ind w:left="57"/>
        <w:jc w:val="left"/>
        <w:shd w:val="clear" w:fill="F2F2F2"/>
      </w:pPr>
      <w:r>
        <w:rPr>
          <w:rFonts w:ascii="Consolas" w:hAnsi="Consolas" w:cs="Consolas"/>
          <w:b w:val="0"/>
          <w:i w:val="0"/>
          <w:sz w:val="15"/>
        </w:rPr>
        <w:t xml:space="preserve">   [View Full Incoterms 2020 Reference]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full incoterm engine, validation rules, and fee impact are specified in Section 6.4; the complete settlement field set and auto-configuration logic are specified in Section 6.11.</w:t>
      </w:r>
    </w:p>
    <w:p>
      <w:pPr>
        <w:keepNext/>
        <w:spacing w:before="180" w:after="80"/>
        <w:outlineLvl w:val="2"/>
      </w:pPr>
      <w:r>
        <w:rPr>
          <w:rFonts w:ascii="Arial" w:hAnsi="Arial" w:cs="Arial"/>
          <w:b/>
          <w:i w:val="0"/>
          <w:color w:val="333333"/>
          <w:sz w:val="23"/>
        </w:rPr>
        <w:t>6.2.6 Step 3 — Transport Mode &amp; Equipment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select the primary transport mode. This step precedes container/unit configuration because equipment type depends on mode.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Options</w:t>
            </w:r>
          </w:p>
        </w:tc>
        <w:tc>
          <w:tcPr>
            <w:tcW w:type="dxa" w:w="2409"/>
            <w:shd w:val="clear" w:fill="D9E2F3"/>
          </w:tcPr>
          <w:p>
            <w:pPr>
              <w:spacing w:after="20" w:before="20" w:line="240" w:lineRule="auto"/>
            </w:pPr>
            <w:r/>
            <w:r>
              <w:rPr>
                <w:rFonts w:ascii="Arial" w:hAnsi="Arial" w:cs="Arial"/>
                <w:b/>
                <w:i w:val="0"/>
                <w:sz w:val="18"/>
              </w:rPr>
              <w:t>Notes</w:t>
            </w:r>
          </w:p>
        </w:tc>
      </w:tr>
      <w:tr>
        <w:tc>
          <w:tcPr>
            <w:tcW w:type="dxa" w:w="2409"/>
          </w:tcPr>
          <w:p>
            <w:pPr>
              <w:spacing w:after="20" w:before="20" w:line="240" w:lineRule="auto"/>
            </w:pPr>
            <w:r/>
            <w:r>
              <w:rPr>
                <w:rFonts w:ascii="Arial" w:hAnsi="Arial" w:cs="Arial"/>
                <w:b w:val="0"/>
                <w:i w:val="0"/>
                <w:sz w:val="17"/>
              </w:rPr>
              <w:t>Transport Mode</w:t>
            </w:r>
          </w:p>
        </w:tc>
        <w:tc>
          <w:tcPr>
            <w:tcW w:type="dxa" w:w="2409"/>
          </w:tcPr>
          <w:p>
            <w:pPr>
              <w:spacing w:after="20" w:before="20" w:line="240" w:lineRule="auto"/>
            </w:pPr>
            <w:r/>
            <w:r>
              <w:rPr>
                <w:rFonts w:ascii="Arial" w:hAnsi="Arial" w:cs="Arial"/>
                <w:b w:val="0"/>
                <w:i w:val="0"/>
                <w:sz w:val="17"/>
              </w:rPr>
              <w:t>Radio</w:t>
            </w:r>
          </w:p>
        </w:tc>
        <w:tc>
          <w:tcPr>
            <w:tcW w:type="dxa" w:w="2409"/>
          </w:tcPr>
          <w:p>
            <w:pPr>
              <w:spacing w:after="20" w:before="20" w:line="240" w:lineRule="auto"/>
            </w:pPr>
            <w:r/>
            <w:r>
              <w:rPr>
                <w:rFonts w:ascii="Arial" w:hAnsi="Arial" w:cs="Arial"/>
                <w:b w:val="0"/>
                <w:i w:val="0"/>
                <w:sz w:val="17"/>
              </w:rPr>
              <w:t>Ocean, Air, Rail, Truck, RoRo, Multimodal</w:t>
            </w:r>
          </w:p>
        </w:tc>
        <w:tc>
          <w:tcPr>
            <w:tcW w:type="dxa" w:w="2409"/>
          </w:tcPr>
          <w:p>
            <w:pPr>
              <w:spacing w:after="20" w:before="20" w:line="240" w:lineRule="auto"/>
            </w:pPr>
            <w:r/>
            <w:r>
              <w:rPr>
                <w:rFonts w:ascii="Arial" w:hAnsi="Arial" w:cs="Arial"/>
                <w:b w:val="0"/>
                <w:i w:val="0"/>
                <w:sz w:val="17"/>
              </w:rPr>
              <w:t>Mode determines equipment types</w:t>
            </w:r>
          </w:p>
        </w:tc>
      </w:tr>
      <w:tr>
        <w:tc>
          <w:tcPr>
            <w:tcW w:type="dxa" w:w="2409"/>
          </w:tcPr>
          <w:p>
            <w:pPr>
              <w:spacing w:after="20" w:before="20" w:line="240" w:lineRule="auto"/>
            </w:pPr>
            <w:r/>
            <w:r>
              <w:rPr>
                <w:rFonts w:ascii="Arial" w:hAnsi="Arial" w:cs="Arial"/>
                <w:b w:val="0"/>
                <w:i w:val="0"/>
                <w:sz w:val="17"/>
              </w:rPr>
              <w:t>Equipment Type</w:t>
            </w:r>
          </w:p>
        </w:tc>
        <w:tc>
          <w:tcPr>
            <w:tcW w:type="dxa" w:w="2409"/>
          </w:tcPr>
          <w:p>
            <w:pPr>
              <w:spacing w:after="20" w:before="20" w:line="240" w:lineRule="auto"/>
            </w:pPr>
            <w:r/>
            <w:r>
              <w:rPr>
                <w:rFonts w:ascii="Arial" w:hAnsi="Arial" w:cs="Arial"/>
                <w:b w:val="0"/>
                <w:i w:val="0"/>
                <w:sz w:val="17"/>
              </w:rPr>
              <w:t>Dynamic dropdown</w:t>
            </w:r>
          </w:p>
        </w:tc>
        <w:tc>
          <w:tcPr>
            <w:tcW w:type="dxa" w:w="2409"/>
          </w:tcPr>
          <w:p>
            <w:pPr>
              <w:spacing w:after="20" w:before="20" w:line="240" w:lineRule="auto"/>
            </w:pPr>
            <w:r/>
            <w:r>
              <w:rPr>
                <w:rFonts w:ascii="Arial" w:hAnsi="Arial" w:cs="Arial"/>
                <w:b w:val="0"/>
                <w:i w:val="0"/>
                <w:sz w:val="17"/>
              </w:rPr>
              <w:t>Varies by mode</w:t>
            </w:r>
          </w:p>
        </w:tc>
        <w:tc>
          <w:tcPr>
            <w:tcW w:type="dxa" w:w="2409"/>
          </w:tcPr>
          <w:p>
            <w:pPr>
              <w:spacing w:after="20" w:before="20" w:line="240" w:lineRule="auto"/>
            </w:pPr>
            <w:r/>
            <w:r>
              <w:rPr>
                <w:rFonts w:ascii="Arial" w:hAnsi="Arial" w:cs="Arial"/>
                <w:b w:val="0"/>
                <w:i w:val="0"/>
                <w:sz w:val="17"/>
              </w:rPr>
              <w:t>Loaded dynamically after mode selection</w:t>
            </w:r>
          </w:p>
        </w:tc>
      </w:tr>
      <w:tr>
        <w:tc>
          <w:tcPr>
            <w:tcW w:type="dxa" w:w="2409"/>
          </w:tcPr>
          <w:p>
            <w:pPr>
              <w:spacing w:after="20" w:before="20" w:line="240" w:lineRule="auto"/>
            </w:pPr>
            <w:r/>
            <w:r>
              <w:rPr>
                <w:rFonts w:ascii="Arial" w:hAnsi="Arial" w:cs="Arial"/>
                <w:b w:val="0"/>
                <w:i w:val="0"/>
                <w:sz w:val="17"/>
              </w:rPr>
              <w:t>Equipment Count</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1–50</w:t>
            </w:r>
          </w:p>
        </w:tc>
        <w:tc>
          <w:tcPr>
            <w:tcW w:type="dxa" w:w="2409"/>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Dynamic equipment loading:</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Mode</w:t>
            </w:r>
          </w:p>
        </w:tc>
        <w:tc>
          <w:tcPr>
            <w:tcW w:type="dxa" w:w="4819"/>
            <w:shd w:val="clear" w:fill="D9E2F3"/>
          </w:tcPr>
          <w:p>
            <w:pPr>
              <w:spacing w:after="20" w:before="20" w:line="240" w:lineRule="auto"/>
            </w:pPr>
            <w:r/>
            <w:r>
              <w:rPr>
                <w:rFonts w:ascii="Arial" w:hAnsi="Arial" w:cs="Arial"/>
                <w:b/>
                <w:i w:val="0"/>
                <w:sz w:val="18"/>
              </w:rPr>
              <w:t>Equipment Types</w:t>
            </w:r>
          </w:p>
        </w:tc>
      </w:tr>
      <w:tr>
        <w:tc>
          <w:tcPr>
            <w:tcW w:type="dxa" w:w="4819"/>
          </w:tcPr>
          <w:p>
            <w:pPr>
              <w:spacing w:after="20" w:before="20" w:line="240" w:lineRule="auto"/>
            </w:pPr>
            <w:r/>
            <w:r>
              <w:rPr>
                <w:rFonts w:ascii="Arial" w:hAnsi="Arial" w:cs="Arial"/>
                <w:b w:val="0"/>
                <w:i w:val="0"/>
                <w:sz w:val="17"/>
              </w:rPr>
              <w:t>Ocean</w:t>
            </w:r>
          </w:p>
        </w:tc>
        <w:tc>
          <w:tcPr>
            <w:tcW w:type="dxa" w:w="4819"/>
          </w:tcPr>
          <w:p>
            <w:pPr>
              <w:spacing w:after="20" w:before="20" w:line="240" w:lineRule="auto"/>
            </w:pPr>
            <w:r/>
            <w:r>
              <w:rPr>
                <w:rFonts w:ascii="Arial" w:hAnsi="Arial" w:cs="Arial"/>
                <w:b w:val="0"/>
                <w:i w:val="0"/>
                <w:sz w:val="17"/>
              </w:rPr>
              <w:t>20ft Standard, 40ft Standard, 40ft High-Cube, 20ft Reefer, 40ft Reefer, 40ft HC Reefer, Open Top, Flat Rack, Tank</w:t>
            </w:r>
          </w:p>
        </w:tc>
      </w:tr>
      <w:tr>
        <w:tc>
          <w:tcPr>
            <w:tcW w:type="dxa" w:w="4819"/>
          </w:tcPr>
          <w:p>
            <w:pPr>
              <w:spacing w:after="20" w:before="20" w:line="240" w:lineRule="auto"/>
            </w:pPr>
            <w:r/>
            <w:r>
              <w:rPr>
                <w:rFonts w:ascii="Arial" w:hAnsi="Arial" w:cs="Arial"/>
                <w:b w:val="0"/>
                <w:i w:val="0"/>
                <w:sz w:val="17"/>
              </w:rPr>
              <w:t>Air</w:t>
            </w:r>
          </w:p>
        </w:tc>
        <w:tc>
          <w:tcPr>
            <w:tcW w:type="dxa" w:w="4819"/>
          </w:tcPr>
          <w:p>
            <w:pPr>
              <w:spacing w:after="20" w:before="20" w:line="240" w:lineRule="auto"/>
            </w:pPr>
            <w:r/>
            <w:r>
              <w:rPr>
                <w:rFonts w:ascii="Arial" w:hAnsi="Arial" w:cs="Arial"/>
                <w:b w:val="0"/>
                <w:i w:val="0"/>
                <w:sz w:val="17"/>
              </w:rPr>
              <w:t>Pallet (96×125), Pallet High, LD3 Container, LD6 Container, LD9 Container, RKN Reefer</w:t>
            </w:r>
          </w:p>
        </w:tc>
      </w:tr>
      <w:tr>
        <w:tc>
          <w:tcPr>
            <w:tcW w:type="dxa" w:w="4819"/>
          </w:tcPr>
          <w:p>
            <w:pPr>
              <w:spacing w:after="20" w:before="20" w:line="240" w:lineRule="auto"/>
            </w:pPr>
            <w:r/>
            <w:r>
              <w:rPr>
                <w:rFonts w:ascii="Arial" w:hAnsi="Arial" w:cs="Arial"/>
                <w:b w:val="0"/>
                <w:i w:val="0"/>
                <w:sz w:val="17"/>
              </w:rPr>
              <w:t>Rail</w:t>
            </w:r>
          </w:p>
        </w:tc>
        <w:tc>
          <w:tcPr>
            <w:tcW w:type="dxa" w:w="4819"/>
          </w:tcPr>
          <w:p>
            <w:pPr>
              <w:spacing w:after="20" w:before="20" w:line="240" w:lineRule="auto"/>
            </w:pPr>
            <w:r/>
            <w:r>
              <w:rPr>
                <w:rFonts w:ascii="Arial" w:hAnsi="Arial" w:cs="Arial"/>
                <w:b w:val="0"/>
                <w:i w:val="0"/>
                <w:sz w:val="17"/>
              </w:rPr>
              <w:t>Box Wagon, Flat Wagon, Tank Wagon, Reefer Wagon</w:t>
            </w:r>
          </w:p>
        </w:tc>
      </w:tr>
      <w:tr>
        <w:tc>
          <w:tcPr>
            <w:tcW w:type="dxa" w:w="4819"/>
          </w:tcPr>
          <w:p>
            <w:pPr>
              <w:spacing w:after="20" w:before="20" w:line="240" w:lineRule="auto"/>
            </w:pPr>
            <w:r/>
            <w:r>
              <w:rPr>
                <w:rFonts w:ascii="Arial" w:hAnsi="Arial" w:cs="Arial"/>
                <w:b w:val="0"/>
                <w:i w:val="0"/>
                <w:sz w:val="17"/>
              </w:rPr>
              <w:t>Truck</w:t>
            </w:r>
          </w:p>
        </w:tc>
        <w:tc>
          <w:tcPr>
            <w:tcW w:type="dxa" w:w="4819"/>
          </w:tcPr>
          <w:p>
            <w:pPr>
              <w:spacing w:after="20" w:before="20" w:line="240" w:lineRule="auto"/>
            </w:pPr>
            <w:r/>
            <w:r>
              <w:rPr>
                <w:rFonts w:ascii="Arial" w:hAnsi="Arial" w:cs="Arial"/>
                <w:b w:val="0"/>
                <w:i w:val="0"/>
                <w:sz w:val="17"/>
              </w:rPr>
              <w:t>Dry Van, Reefer, Flatbed, Curtain Side, Tank</w:t>
            </w:r>
          </w:p>
        </w:tc>
      </w:tr>
      <w:tr>
        <w:tc>
          <w:tcPr>
            <w:tcW w:type="dxa" w:w="4819"/>
          </w:tcPr>
          <w:p>
            <w:pPr>
              <w:spacing w:after="20" w:before="20" w:line="240" w:lineRule="auto"/>
            </w:pPr>
            <w:r/>
            <w:r>
              <w:rPr>
                <w:rFonts w:ascii="Arial" w:hAnsi="Arial" w:cs="Arial"/>
                <w:b w:val="0"/>
                <w:i w:val="0"/>
                <w:sz w:val="17"/>
              </w:rPr>
              <w:t>RoRo</w:t>
            </w:r>
          </w:p>
        </w:tc>
        <w:tc>
          <w:tcPr>
            <w:tcW w:type="dxa" w:w="4819"/>
          </w:tcPr>
          <w:p>
            <w:pPr>
              <w:spacing w:after="20" w:before="20" w:line="240" w:lineRule="auto"/>
            </w:pPr>
            <w:r/>
            <w:r>
              <w:rPr>
                <w:rFonts w:ascii="Arial" w:hAnsi="Arial" w:cs="Arial"/>
                <w:b w:val="0"/>
                <w:i w:val="0"/>
                <w:sz w:val="17"/>
              </w:rPr>
              <w:t>RoRo Units (VIN-level tracking)</w:t>
            </w:r>
          </w:p>
        </w:tc>
      </w:tr>
      <w:tr>
        <w:tc>
          <w:tcPr>
            <w:tcW w:type="dxa" w:w="4819"/>
          </w:tcPr>
          <w:p>
            <w:pPr>
              <w:spacing w:after="20" w:before="20" w:line="240" w:lineRule="auto"/>
            </w:pPr>
            <w:r/>
            <w:r>
              <w:rPr>
                <w:rFonts w:ascii="Arial" w:hAnsi="Arial" w:cs="Arial"/>
                <w:b w:val="0"/>
                <w:i w:val="0"/>
                <w:sz w:val="17"/>
              </w:rPr>
              <w:t>Multimodal</w:t>
            </w:r>
          </w:p>
        </w:tc>
        <w:tc>
          <w:tcPr>
            <w:tcW w:type="dxa" w:w="4819"/>
          </w:tcPr>
          <w:p>
            <w:pPr>
              <w:spacing w:after="20" w:before="20" w:line="240" w:lineRule="auto"/>
            </w:pPr>
            <w:r/>
            <w:r>
              <w:rPr>
                <w:rFonts w:ascii="Arial" w:hAnsi="Arial" w:cs="Arial"/>
                <w:b w:val="0"/>
                <w:i w:val="0"/>
                <w:sz w:val="17"/>
              </w:rPr>
              <w:t>Combination of the above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mode availability is validated for the corridor; equipment rendering is dynamic; equipment capacity is validated (weight, volume). AI assistance: A4 (WasmEdge) validates corridor availability and equipment compatibility. Route guidance: "Ocean freight is recommended for this route (Alexandria → Hamburg). Estimated transit time: 14 days. Vessels available: 3 per week." The full transport and logistics specification (route validation, port congestion, delivery window) is in Section 6.9.</w:t>
      </w:r>
    </w:p>
    <w:p>
      <w:pPr>
        <w:keepNext/>
        <w:spacing w:before="180" w:after="80"/>
        <w:outlineLvl w:val="2"/>
      </w:pPr>
      <w:r>
        <w:rPr>
          <w:rFonts w:ascii="Arial" w:hAnsi="Arial" w:cs="Arial"/>
          <w:b/>
          <w:i w:val="0"/>
          <w:color w:val="333333"/>
          <w:sz w:val="23"/>
        </w:rPr>
        <w:t>6.2.7 Step 4 — Container/Unit &amp; Commodity Configuration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define physical units and goods with mode-aware configuration.</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Source</w:t>
            </w:r>
          </w:p>
        </w:tc>
        <w:tc>
          <w:tcPr>
            <w:tcW w:type="dxa" w:w="2409"/>
            <w:shd w:val="clear" w:fill="D9E2F3"/>
          </w:tcPr>
          <w:p>
            <w:pPr>
              <w:spacing w:after="20" w:before="20" w:line="240" w:lineRule="auto"/>
            </w:pPr>
            <w:r/>
            <w:r>
              <w:rPr>
                <w:rFonts w:ascii="Arial" w:hAnsi="Arial" w:cs="Arial"/>
                <w:b/>
                <w:i w:val="0"/>
                <w:sz w:val="18"/>
              </w:rPr>
              <w:t>AI Assistance</w:t>
            </w:r>
          </w:p>
        </w:tc>
      </w:tr>
      <w:tr>
        <w:tc>
          <w:tcPr>
            <w:tcW w:type="dxa" w:w="2409"/>
          </w:tcPr>
          <w:p>
            <w:pPr>
              <w:spacing w:after="20" w:before="20" w:line="240" w:lineRule="auto"/>
            </w:pPr>
            <w:r/>
            <w:r>
              <w:rPr>
                <w:rFonts w:ascii="Arial" w:hAnsi="Arial" w:cs="Arial"/>
                <w:b w:val="0"/>
                <w:i w:val="0"/>
                <w:sz w:val="17"/>
              </w:rPr>
              <w:t>Origin Country</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Jurisdictions table</w:t>
            </w:r>
          </w:p>
        </w:tc>
        <w:tc>
          <w:tcPr>
            <w:tcW w:type="dxa" w:w="2409"/>
          </w:tcPr>
          <w:p>
            <w:pPr>
              <w:spacing w:after="20" w:before="20" w:line="240" w:lineRule="auto"/>
            </w:pPr>
            <w:r/>
            <w:r>
              <w:rPr>
                <w:rFonts w:ascii="Arial" w:hAnsi="Arial" w:cs="Arial"/>
                <w:b w:val="0"/>
                <w:i w:val="0"/>
                <w:sz w:val="17"/>
              </w:rPr>
              <w:t>A1 autocomplete</w:t>
            </w:r>
          </w:p>
        </w:tc>
      </w:tr>
      <w:tr>
        <w:tc>
          <w:tcPr>
            <w:tcW w:type="dxa" w:w="2409"/>
          </w:tcPr>
          <w:p>
            <w:pPr>
              <w:spacing w:after="20" w:before="20" w:line="240" w:lineRule="auto"/>
            </w:pPr>
            <w:r/>
            <w:r>
              <w:rPr>
                <w:rFonts w:ascii="Arial" w:hAnsi="Arial" w:cs="Arial"/>
                <w:b w:val="0"/>
                <w:i w:val="0"/>
                <w:sz w:val="17"/>
              </w:rPr>
              <w:t>Destination Country</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Jurisdictions table</w:t>
            </w:r>
          </w:p>
        </w:tc>
        <w:tc>
          <w:tcPr>
            <w:tcW w:type="dxa" w:w="2409"/>
          </w:tcPr>
          <w:p>
            <w:pPr>
              <w:spacing w:after="20" w:before="20" w:line="240" w:lineRule="auto"/>
            </w:pPr>
            <w:r/>
            <w:r>
              <w:rPr>
                <w:rFonts w:ascii="Arial" w:hAnsi="Arial" w:cs="Arial"/>
                <w:b w:val="0"/>
                <w:i w:val="0"/>
                <w:sz w:val="17"/>
              </w:rPr>
              <w:t>A1 autocomplete</w:t>
            </w:r>
          </w:p>
        </w:tc>
      </w:tr>
      <w:tr>
        <w:tc>
          <w:tcPr>
            <w:tcW w:type="dxa" w:w="2409"/>
          </w:tcPr>
          <w:p>
            <w:pPr>
              <w:spacing w:after="20" w:before="20" w:line="240" w:lineRule="auto"/>
            </w:pPr>
            <w:r/>
            <w:r>
              <w:rPr>
                <w:rFonts w:ascii="Arial" w:hAnsi="Arial" w:cs="Arial"/>
                <w:b w:val="0"/>
                <w:i w:val="0"/>
                <w:sz w:val="17"/>
              </w:rPr>
              <w:t>Port of Discharge</w:t>
            </w:r>
          </w:p>
        </w:tc>
        <w:tc>
          <w:tcPr>
            <w:tcW w:type="dxa" w:w="2409"/>
          </w:tcPr>
          <w:p>
            <w:pPr>
              <w:spacing w:after="20" w:before="20" w:line="240" w:lineRule="auto"/>
            </w:pPr>
            <w:r/>
            <w:r>
              <w:rPr>
                <w:rFonts w:ascii="Arial" w:hAnsi="Arial" w:cs="Arial"/>
                <w:b w:val="0"/>
                <w:i w:val="0"/>
                <w:sz w:val="17"/>
              </w:rPr>
              <w:t>Dependent dropdown</w:t>
            </w:r>
          </w:p>
        </w:tc>
        <w:tc>
          <w:tcPr>
            <w:tcW w:type="dxa" w:w="2409"/>
          </w:tcPr>
          <w:p>
            <w:pPr>
              <w:spacing w:after="20" w:before="20" w:line="240" w:lineRule="auto"/>
            </w:pPr>
            <w:r/>
            <w:r>
              <w:rPr>
                <w:rFonts w:ascii="Arial" w:hAnsi="Arial" w:cs="Arial"/>
                <w:b w:val="0"/>
                <w:i w:val="0"/>
                <w:sz w:val="17"/>
              </w:rPr>
              <w:t>Filtered by destination</w:t>
            </w:r>
          </w:p>
        </w:tc>
        <w:tc>
          <w:tcPr>
            <w:tcW w:type="dxa" w:w="2409"/>
          </w:tcPr>
          <w:p>
            <w:pPr>
              <w:spacing w:after="20" w:before="20" w:line="240" w:lineRule="auto"/>
            </w:pPr>
            <w:r/>
            <w:r>
              <w:rPr>
                <w:rFonts w:ascii="Arial" w:hAnsi="Arial" w:cs="Arial"/>
                <w:b w:val="0"/>
                <w:i w:val="0"/>
                <w:sz w:val="17"/>
              </w:rPr>
              <w:t>A1 autocomplete</w:t>
            </w:r>
          </w:p>
        </w:tc>
      </w:tr>
      <w:tr>
        <w:tc>
          <w:tcPr>
            <w:tcW w:type="dxa" w:w="2409"/>
          </w:tcPr>
          <w:p>
            <w:pPr>
              <w:spacing w:after="20" w:before="20" w:line="240" w:lineRule="auto"/>
            </w:pPr>
            <w:r/>
            <w:r>
              <w:rPr>
                <w:rFonts w:ascii="Arial" w:hAnsi="Arial" w:cs="Arial"/>
                <w:b w:val="0"/>
                <w:i w:val="0"/>
                <w:sz w:val="17"/>
              </w:rPr>
              <w:t>Unit Type</w:t>
            </w:r>
          </w:p>
        </w:tc>
        <w:tc>
          <w:tcPr>
            <w:tcW w:type="dxa" w:w="2409"/>
          </w:tcPr>
          <w:p>
            <w:pPr>
              <w:spacing w:after="20" w:before="20" w:line="240" w:lineRule="auto"/>
            </w:pPr>
            <w:r/>
            <w:r>
              <w:rPr>
                <w:rFonts w:ascii="Arial" w:hAnsi="Arial" w:cs="Arial"/>
                <w:b w:val="0"/>
                <w:i w:val="0"/>
                <w:sz w:val="17"/>
              </w:rPr>
              <w:t>Dynamic</w:t>
            </w:r>
          </w:p>
        </w:tc>
        <w:tc>
          <w:tcPr>
            <w:tcW w:type="dxa" w:w="2409"/>
          </w:tcPr>
          <w:p>
            <w:pPr>
              <w:spacing w:after="20" w:before="20" w:line="240" w:lineRule="auto"/>
            </w:pPr>
            <w:r/>
            <w:r>
              <w:rPr>
                <w:rFonts w:ascii="Arial" w:hAnsi="Arial" w:cs="Arial"/>
                <w:b w:val="0"/>
                <w:i w:val="0"/>
                <w:sz w:val="17"/>
              </w:rPr>
              <w:t>Based on transport mode</w:t>
            </w:r>
          </w:p>
        </w:tc>
        <w:tc>
          <w:tcPr>
            <w:tcW w:type="dxa" w:w="2409"/>
          </w:tcPr>
          <w:p>
            <w:pPr>
              <w:spacing w:after="20" w:before="20" w:line="240" w:lineRule="auto"/>
            </w:pPr>
            <w:r/>
            <w:r>
              <w:rPr>
                <w:rFonts w:ascii="Arial" w:hAnsi="Arial" w:cs="Arial"/>
                <w:b w:val="0"/>
                <w:i w:val="0"/>
                <w:sz w:val="17"/>
              </w:rPr>
              <w:t>A4 validation</w:t>
            </w:r>
          </w:p>
        </w:tc>
      </w:tr>
      <w:tr>
        <w:tc>
          <w:tcPr>
            <w:tcW w:type="dxa" w:w="2409"/>
          </w:tcPr>
          <w:p>
            <w:pPr>
              <w:spacing w:after="20" w:before="20" w:line="240" w:lineRule="auto"/>
            </w:pPr>
            <w:r/>
            <w:r>
              <w:rPr>
                <w:rFonts w:ascii="Arial" w:hAnsi="Arial" w:cs="Arial"/>
                <w:b w:val="0"/>
                <w:i w:val="0"/>
                <w:sz w:val="17"/>
              </w:rPr>
              <w:t>Commodity Type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Predefined list</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Product / HS Code</w:t>
            </w:r>
          </w:p>
        </w:tc>
        <w:tc>
          <w:tcPr>
            <w:tcW w:type="dxa" w:w="2409"/>
          </w:tcPr>
          <w:p>
            <w:pPr>
              <w:spacing w:after="20" w:before="20" w:line="240" w:lineRule="auto"/>
            </w:pPr>
            <w:r/>
            <w:r>
              <w:rPr>
                <w:rFonts w:ascii="Arial" w:hAnsi="Arial" w:cs="Arial"/>
                <w:b w:val="0"/>
                <w:i w:val="0"/>
                <w:sz w:val="17"/>
              </w:rPr>
              <w:t>Smart input</w:t>
            </w:r>
          </w:p>
        </w:tc>
        <w:tc>
          <w:tcPr>
            <w:tcW w:type="dxa" w:w="2409"/>
          </w:tcPr>
          <w:p>
            <w:pPr>
              <w:spacing w:after="20" w:before="20" w:line="240" w:lineRule="auto"/>
            </w:pPr>
            <w:r/>
            <w:r>
              <w:rPr>
                <w:rFonts w:ascii="Arial" w:hAnsi="Arial" w:cs="Arial"/>
                <w:b w:val="0"/>
                <w:i w:val="0"/>
                <w:sz w:val="17"/>
              </w:rPr>
              <w:t>Two-way resolution</w:t>
            </w:r>
          </w:p>
        </w:tc>
        <w:tc>
          <w:tcPr>
            <w:tcW w:type="dxa" w:w="2409"/>
          </w:tcPr>
          <w:p>
            <w:pPr>
              <w:spacing w:after="20" w:before="20" w:line="240" w:lineRule="auto"/>
            </w:pPr>
            <w:r/>
            <w:r>
              <w:rPr>
                <w:rFonts w:ascii="Arial" w:hAnsi="Arial" w:cs="Arial"/>
                <w:b w:val="0"/>
                <w:i w:val="0"/>
                <w:sz w:val="17"/>
              </w:rPr>
              <w:t>A2 Product Form Agent</w:t>
            </w:r>
          </w:p>
        </w:tc>
      </w:tr>
      <w:tr>
        <w:tc>
          <w:tcPr>
            <w:tcW w:type="dxa" w:w="2409"/>
          </w:tcPr>
          <w:p>
            <w:pPr>
              <w:spacing w:after="20" w:before="20" w:line="240" w:lineRule="auto"/>
            </w:pPr>
            <w:r/>
            <w:r>
              <w:rPr>
                <w:rFonts w:ascii="Arial" w:hAnsi="Arial" w:cs="Arial"/>
                <w:b w:val="0"/>
                <w:i w:val="0"/>
                <w:sz w:val="17"/>
              </w:rPr>
              <w:t>Quantity</w:t>
            </w:r>
          </w:p>
        </w:tc>
        <w:tc>
          <w:tcPr>
            <w:tcW w:type="dxa" w:w="2409"/>
          </w:tcPr>
          <w:p>
            <w:pPr>
              <w:spacing w:after="20" w:before="20" w:line="240" w:lineRule="auto"/>
            </w:pPr>
            <w:r/>
            <w:r>
              <w:rPr>
                <w:rFonts w:ascii="Arial" w:hAnsi="Arial" w:cs="Arial"/>
                <w:b w:val="0"/>
                <w:i w:val="0"/>
                <w:sz w:val="17"/>
              </w:rPr>
              <w:t>Number</w:t>
            </w:r>
          </w:p>
        </w:tc>
        <w:tc>
          <w:tcPr>
            <w:tcW w:type="dxa" w:w="2409"/>
          </w:tcPr>
          <w:p>
            <w:pPr>
              <w:spacing w:after="20" w:before="20" w:line="240" w:lineRule="auto"/>
            </w:pPr>
            <w:r/>
            <w:r>
              <w:rPr>
                <w:rFonts w:ascii="Arial" w:hAnsi="Arial" w:cs="Arial"/>
                <w:b w:val="0"/>
                <w:i w:val="0"/>
                <w:sz w:val="17"/>
              </w:rPr>
              <w:t>User entry</w:t>
            </w:r>
          </w:p>
        </w:tc>
        <w:tc>
          <w:tcPr>
            <w:tcW w:type="dxa" w:w="2409"/>
          </w:tcPr>
          <w:p>
            <w:pPr>
              <w:spacing w:after="20" w:before="20" w:line="240" w:lineRule="auto"/>
            </w:pPr>
            <w:r/>
            <w:r>
              <w:rPr>
                <w:rFonts w:ascii="Arial" w:hAnsi="Arial" w:cs="Arial"/>
                <w:b w:val="0"/>
                <w:i w:val="0"/>
                <w:sz w:val="17"/>
              </w:rPr>
              <w:t>A1 default</w:t>
            </w:r>
          </w:p>
        </w:tc>
      </w:tr>
      <w:tr>
        <w:tc>
          <w:tcPr>
            <w:tcW w:type="dxa" w:w="2409"/>
          </w:tcPr>
          <w:p>
            <w:pPr>
              <w:spacing w:after="20" w:before="20" w:line="240" w:lineRule="auto"/>
            </w:pPr>
            <w:r/>
            <w:r>
              <w:rPr>
                <w:rFonts w:ascii="Arial" w:hAnsi="Arial" w:cs="Arial"/>
                <w:b w:val="0"/>
                <w:i w:val="0"/>
                <w:sz w:val="17"/>
              </w:rPr>
              <w:t>Unit</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MT, KG, LB, Pieces, Cartons</w:t>
            </w:r>
          </w:p>
        </w:tc>
        <w:tc>
          <w:tcPr>
            <w:tcW w:type="dxa" w:w="2409"/>
          </w:tcPr>
          <w:p>
            <w:pPr>
              <w:spacing w:after="20" w:before="20" w:line="240" w:lineRule="auto"/>
            </w:pPr>
            <w:r/>
            <w:r>
              <w:rPr>
                <w:rFonts w:ascii="Arial" w:hAnsi="Arial" w:cs="Arial"/>
                <w:b w:val="0"/>
                <w:i w:val="0"/>
                <w:sz w:val="17"/>
              </w:rPr>
              <w:t>A1 default</w:t>
            </w:r>
          </w:p>
        </w:tc>
      </w:tr>
      <w:tr>
        <w:tc>
          <w:tcPr>
            <w:tcW w:type="dxa" w:w="2409"/>
          </w:tcPr>
          <w:p>
            <w:pPr>
              <w:spacing w:after="20" w:before="20" w:line="240" w:lineRule="auto"/>
            </w:pPr>
            <w:r/>
            <w:r>
              <w:rPr>
                <w:rFonts w:ascii="Arial" w:hAnsi="Arial" w:cs="Arial"/>
                <w:b w:val="0"/>
                <w:i w:val="0"/>
                <w:sz w:val="17"/>
              </w:rPr>
              <w:t>Tolerance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±2%, ±3%, ±5%, ±7%, ±10%, Custom</w:t>
            </w:r>
          </w:p>
        </w:tc>
        <w:tc>
          <w:tcPr>
            <w:tcW w:type="dxa" w:w="2409"/>
          </w:tcPr>
          <w:p>
            <w:pPr>
              <w:spacing w:after="20" w:before="20" w:line="240" w:lineRule="auto"/>
            </w:pPr>
            <w:r/>
            <w:r>
              <w:rPr>
                <w:rFonts w:ascii="Arial" w:hAnsi="Arial" w:cs="Arial"/>
                <w:b w:val="0"/>
                <w:i w:val="0"/>
                <w:sz w:val="17"/>
              </w:rPr>
              <w:t>A1 default</w:t>
            </w:r>
          </w:p>
        </w:tc>
      </w:tr>
      <w:tr>
        <w:tc>
          <w:tcPr>
            <w:tcW w:type="dxa" w:w="2409"/>
          </w:tcPr>
          <w:p>
            <w:pPr>
              <w:spacing w:after="20" w:before="20" w:line="240" w:lineRule="auto"/>
            </w:pPr>
            <w:r/>
            <w:r>
              <w:rPr>
                <w:rFonts w:ascii="Arial" w:hAnsi="Arial" w:cs="Arial"/>
                <w:b w:val="0"/>
                <w:i w:val="0"/>
                <w:sz w:val="17"/>
              </w:rPr>
              <w:t>Packaging Requirements</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Bulk, Bagged, Palletized, Drummed, IBC, Custom</w:t>
            </w:r>
          </w:p>
        </w:tc>
        <w:tc>
          <w:tcPr>
            <w:tcW w:type="dxa" w:w="2409"/>
          </w:tcPr>
          <w:p>
            <w:pPr>
              <w:spacing w:after="20" w:before="20" w:line="240" w:lineRule="auto"/>
            </w:pPr>
            <w:r/>
            <w:r>
              <w:rPr>
                <w:rFonts w:ascii="Arial" w:hAnsi="Arial" w:cs="Arial"/>
                <w:b w:val="0"/>
                <w:i w:val="0"/>
                <w:sz w:val="17"/>
              </w:rPr>
              <w:t>A1 default</w:t>
            </w:r>
          </w:p>
        </w:tc>
      </w:tr>
      <w:tr>
        <w:tc>
          <w:tcPr>
            <w:tcW w:type="dxa" w:w="2409"/>
          </w:tcPr>
          <w:p>
            <w:pPr>
              <w:spacing w:after="20" w:before="20" w:line="240" w:lineRule="auto"/>
            </w:pPr>
            <w:r/>
            <w:r>
              <w:rPr>
                <w:rFonts w:ascii="Arial" w:hAnsi="Arial" w:cs="Arial"/>
                <w:b w:val="0"/>
                <w:i w:val="0"/>
                <w:sz w:val="17"/>
              </w:rPr>
              <w:t>Pallet Count</w:t>
            </w:r>
          </w:p>
        </w:tc>
        <w:tc>
          <w:tcPr>
            <w:tcW w:type="dxa" w:w="2409"/>
          </w:tcPr>
          <w:p>
            <w:pPr>
              <w:spacing w:after="20" w:before="20" w:line="240" w:lineRule="auto"/>
            </w:pPr>
            <w:r/>
            <w:r>
              <w:rPr>
                <w:rFonts w:ascii="Arial" w:hAnsi="Arial" w:cs="Arial"/>
                <w:b w:val="0"/>
                <w:i w:val="0"/>
                <w:sz w:val="17"/>
              </w:rPr>
              <w:t>Integer</w:t>
            </w:r>
          </w:p>
        </w:tc>
        <w:tc>
          <w:tcPr>
            <w:tcW w:type="dxa" w:w="2409"/>
          </w:tcPr>
          <w:p>
            <w:pPr>
              <w:spacing w:after="20" w:before="20" w:line="240" w:lineRule="auto"/>
            </w:pPr>
            <w:r/>
            <w:r>
              <w:rPr>
                <w:rFonts w:ascii="Arial" w:hAnsi="Arial" w:cs="Arial"/>
                <w:b w:val="0"/>
                <w:i w:val="0"/>
                <w:sz w:val="17"/>
              </w:rPr>
              <w:t>User entry</w:t>
            </w:r>
          </w:p>
        </w:tc>
        <w:tc>
          <w:tcPr>
            <w:tcW w:type="dxa" w:w="2409"/>
          </w:tcPr>
          <w:p>
            <w:pPr>
              <w:spacing w:after="20" w:before="20" w:line="240" w:lineRule="auto"/>
            </w:pPr>
            <w:r/>
            <w:r>
              <w:rPr>
                <w:rFonts w:ascii="Arial" w:hAnsi="Arial" w:cs="Arial"/>
                <w:b w:val="0"/>
                <w:i w:val="0"/>
                <w:sz w:val="17"/>
              </w:rPr>
              <w:t>A1 default</w:t>
            </w:r>
          </w:p>
        </w:tc>
      </w:tr>
      <w:tr>
        <w:tc>
          <w:tcPr>
            <w:tcW w:type="dxa" w:w="2409"/>
          </w:tcPr>
          <w:p>
            <w:pPr>
              <w:spacing w:after="20" w:before="20" w:line="240" w:lineRule="auto"/>
            </w:pPr>
            <w:r/>
            <w:r>
              <w:rPr>
                <w:rFonts w:ascii="Arial" w:hAnsi="Arial" w:cs="Arial"/>
                <w:b w:val="0"/>
                <w:i w:val="0"/>
                <w:sz w:val="17"/>
              </w:rPr>
              <w:t>Net Weight per Carton</w:t>
            </w:r>
          </w:p>
        </w:tc>
        <w:tc>
          <w:tcPr>
            <w:tcW w:type="dxa" w:w="2409"/>
          </w:tcPr>
          <w:p>
            <w:pPr>
              <w:spacing w:after="20" w:before="20" w:line="240" w:lineRule="auto"/>
            </w:pPr>
            <w:r/>
            <w:r>
              <w:rPr>
                <w:rFonts w:ascii="Arial" w:hAnsi="Arial" w:cs="Arial"/>
                <w:b w:val="0"/>
                <w:i w:val="0"/>
                <w:sz w:val="17"/>
              </w:rPr>
              <w:t>Number</w:t>
            </w:r>
          </w:p>
        </w:tc>
        <w:tc>
          <w:tcPr>
            <w:tcW w:type="dxa" w:w="2409"/>
          </w:tcPr>
          <w:p>
            <w:pPr>
              <w:spacing w:after="20" w:before="20" w:line="240" w:lineRule="auto"/>
            </w:pPr>
            <w:r/>
            <w:r>
              <w:rPr>
                <w:rFonts w:ascii="Arial" w:hAnsi="Arial" w:cs="Arial"/>
                <w:b w:val="0"/>
                <w:i w:val="0"/>
                <w:sz w:val="17"/>
              </w:rPr>
              <w:t>User entry</w:t>
            </w:r>
          </w:p>
        </w:tc>
        <w:tc>
          <w:tcPr>
            <w:tcW w:type="dxa" w:w="2409"/>
          </w:tcPr>
          <w:p>
            <w:pPr>
              <w:spacing w:after="20" w:before="20" w:line="240" w:lineRule="auto"/>
            </w:pPr>
            <w:r/>
            <w:r>
              <w:rPr>
                <w:rFonts w:ascii="Arial" w:hAnsi="Arial" w:cs="Arial"/>
                <w:b w:val="0"/>
                <w:i w:val="0"/>
                <w:sz w:val="17"/>
              </w:rPr>
              <w:t>A1 default</w:t>
            </w:r>
          </w:p>
        </w:tc>
      </w:tr>
      <w:tr>
        <w:tc>
          <w:tcPr>
            <w:tcW w:type="dxa" w:w="2409"/>
          </w:tcPr>
          <w:p>
            <w:pPr>
              <w:spacing w:after="20" w:before="20" w:line="240" w:lineRule="auto"/>
            </w:pPr>
            <w:r/>
            <w:r>
              <w:rPr>
                <w:rFonts w:ascii="Arial" w:hAnsi="Arial" w:cs="Arial"/>
                <w:b w:val="0"/>
                <w:i w:val="0"/>
                <w:sz w:val="17"/>
              </w:rPr>
              <w:t>Acceptance Criteria Matrix</w:t>
            </w:r>
          </w:p>
        </w:tc>
        <w:tc>
          <w:tcPr>
            <w:tcW w:type="dxa" w:w="2409"/>
          </w:tcPr>
          <w:p>
            <w:pPr>
              <w:spacing w:after="20" w:before="20" w:line="240" w:lineRule="auto"/>
            </w:pPr>
            <w:r/>
            <w:r>
              <w:rPr>
                <w:rFonts w:ascii="Arial" w:hAnsi="Arial" w:cs="Arial"/>
                <w:b w:val="0"/>
                <w:i w:val="0"/>
                <w:sz w:val="17"/>
              </w:rPr>
              <w:t>Dynamic table</w:t>
            </w:r>
          </w:p>
        </w:tc>
        <w:tc>
          <w:tcPr>
            <w:tcW w:type="dxa" w:w="2409"/>
          </w:tcPr>
          <w:p>
            <w:pPr>
              <w:spacing w:after="20" w:before="20" w:line="240" w:lineRule="auto"/>
            </w:pPr>
            <w:r/>
            <w:r>
              <w:rPr>
                <w:rFonts w:ascii="Arial" w:hAnsi="Arial" w:cs="Arial"/>
                <w:b w:val="0"/>
                <w:i w:val="0"/>
                <w:sz w:val="17"/>
              </w:rPr>
              <w:t>Product Form Agent generated</w:t>
            </w:r>
          </w:p>
        </w:tc>
        <w:tc>
          <w:tcPr>
            <w:tcW w:type="dxa" w:w="2409"/>
          </w:tcPr>
          <w:p>
            <w:pPr>
              <w:spacing w:after="20" w:before="20" w:line="240" w:lineRule="auto"/>
            </w:pPr>
            <w:r/>
            <w:r>
              <w:rPr>
                <w:rFonts w:ascii="Arial" w:hAnsi="Arial" w:cs="Arial"/>
                <w:b w:val="0"/>
                <w:i w:val="0"/>
                <w:sz w:val="17"/>
              </w:rPr>
              <w:t>A2 (RIA)</w:t>
            </w:r>
          </w:p>
        </w:tc>
      </w:tr>
      <w:tr>
        <w:tc>
          <w:tcPr>
            <w:tcW w:type="dxa" w:w="2409"/>
          </w:tcPr>
          <w:p>
            <w:pPr>
              <w:spacing w:after="20" w:before="20" w:line="240" w:lineRule="auto"/>
            </w:pPr>
            <w:r/>
            <w:r>
              <w:rPr>
                <w:rFonts w:ascii="Arial" w:hAnsi="Arial" w:cs="Arial"/>
                <w:b w:val="0"/>
                <w:i w:val="0"/>
                <w:sz w:val="17"/>
              </w:rPr>
              <w:t>Partial Shipment Allowed</w:t>
            </w:r>
          </w:p>
        </w:tc>
        <w:tc>
          <w:tcPr>
            <w:tcW w:type="dxa" w:w="2409"/>
          </w:tcPr>
          <w:p>
            <w:pPr>
              <w:spacing w:after="20" w:before="20" w:line="240" w:lineRule="auto"/>
            </w:pPr>
            <w:r/>
            <w:r>
              <w:rPr>
                <w:rFonts w:ascii="Arial" w:hAnsi="Arial" w:cs="Arial"/>
                <w:b w:val="0"/>
                <w:i w:val="0"/>
                <w:sz w:val="17"/>
              </w:rPr>
              <w:t>Toggle</w:t>
            </w:r>
          </w:p>
        </w:tc>
        <w:tc>
          <w:tcPr>
            <w:tcW w:type="dxa" w:w="2409"/>
          </w:tcPr>
          <w:p>
            <w:pPr>
              <w:spacing w:after="20" w:before="20" w:line="240" w:lineRule="auto"/>
            </w:pPr>
            <w:r/>
            <w:r>
              <w:rPr>
                <w:rFonts w:ascii="Arial" w:hAnsi="Arial" w:cs="Arial"/>
                <w:b w:val="0"/>
                <w:i w:val="0"/>
                <w:sz w:val="17"/>
              </w:rPr>
              <w:t>User choice</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Transshipment Allowed</w:t>
            </w:r>
          </w:p>
        </w:tc>
        <w:tc>
          <w:tcPr>
            <w:tcW w:type="dxa" w:w="2409"/>
          </w:tcPr>
          <w:p>
            <w:pPr>
              <w:spacing w:after="20" w:before="20" w:line="240" w:lineRule="auto"/>
            </w:pPr>
            <w:r/>
            <w:r>
              <w:rPr>
                <w:rFonts w:ascii="Arial" w:hAnsi="Arial" w:cs="Arial"/>
                <w:b w:val="0"/>
                <w:i w:val="0"/>
                <w:sz w:val="17"/>
              </w:rPr>
              <w:t>Toggle</w:t>
            </w:r>
          </w:p>
        </w:tc>
        <w:tc>
          <w:tcPr>
            <w:tcW w:type="dxa" w:w="2409"/>
          </w:tcPr>
          <w:p>
            <w:pPr>
              <w:spacing w:after="20" w:before="20" w:line="240" w:lineRule="auto"/>
            </w:pPr>
            <w:r/>
            <w:r>
              <w:rPr>
                <w:rFonts w:ascii="Arial" w:hAnsi="Arial" w:cs="Arial"/>
                <w:b w:val="0"/>
                <w:i w:val="0"/>
                <w:sz w:val="17"/>
              </w:rPr>
              <w:t>User choice</w:t>
            </w:r>
          </w:p>
        </w:tc>
        <w:tc>
          <w:tcPr>
            <w:tcW w:type="dxa" w:w="2409"/>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the Product Form Agent (A2) generates dynamic fields from HS code, origin, and destination; the Acceptance Criteria Matrix is generated from RIA data (for example, moisture ≤14%, protein ≥12%, purity ≥99%); weight is calculated in real time; container capacity validation (A4) enforces weight ≤ equipment maximum payload. UI: container tabs (1–50); commodity entry per container; weight summary card. One-click: add commodity, clone container, bulk edit.</w:t>
      </w:r>
    </w:p>
    <w:p>
      <w:pPr>
        <w:spacing w:after="0" w:before="0" w:line="240" w:lineRule="auto"/>
        <w:ind w:left="57"/>
        <w:jc w:val="left"/>
        <w:shd w:val="clear" w:fill="F2F2F2"/>
      </w:pPr>
      <w:r>
        <w:rPr>
          <w:rFonts w:ascii="Consolas" w:hAnsi="Consolas" w:cs="Consolas"/>
          <w:b w:val="0"/>
          <w:i w:val="0"/>
          <w:sz w:val="15"/>
        </w:rPr>
        <w:t>Commodity 1: Oranges (HS 0805.10)</w:t>
      </w:r>
    </w:p>
    <w:p>
      <w:pPr>
        <w:spacing w:after="0" w:before="0" w:line="240" w:lineRule="auto"/>
        <w:ind w:left="57"/>
        <w:jc w:val="left"/>
        <w:shd w:val="clear" w:fill="F2F2F2"/>
      </w:pPr>
      <w:r>
        <w:rPr>
          <w:rFonts w:ascii="Consolas" w:hAnsi="Consolas" w:cs="Consolas"/>
          <w:b w:val="0"/>
          <w:i w:val="0"/>
          <w:sz w:val="15"/>
        </w:rPr>
        <w:t xml:space="preserve">  Product: [0805.10 → Valencia Oranges] ▼ (autocomplete)</w:t>
      </w:r>
    </w:p>
    <w:p>
      <w:pPr>
        <w:spacing w:after="0" w:before="0" w:line="240" w:lineRule="auto"/>
        <w:ind w:left="57"/>
        <w:jc w:val="left"/>
        <w:shd w:val="clear" w:fill="F2F2F2"/>
      </w:pPr>
      <w:r>
        <w:rPr>
          <w:rFonts w:ascii="Consolas" w:hAnsi="Consolas" w:cs="Consolas"/>
          <w:b w:val="0"/>
          <w:i w:val="0"/>
          <w:sz w:val="15"/>
        </w:rPr>
        <w:t xml:space="preserve">  Commodity Type: [Fresh Fruits ▼]</w:t>
      </w:r>
    </w:p>
    <w:p>
      <w:pPr>
        <w:spacing w:after="0" w:before="0" w:line="240" w:lineRule="auto"/>
        <w:ind w:left="57"/>
        <w:jc w:val="left"/>
        <w:shd w:val="clear" w:fill="F2F2F2"/>
      </w:pPr>
      <w:r>
        <w:rPr>
          <w:rFonts w:ascii="Consolas" w:hAnsi="Consolas" w:cs="Consolas"/>
          <w:b w:val="0"/>
          <w:i w:val="0"/>
          <w:sz w:val="15"/>
        </w:rPr>
        <w:t xml:space="preserve">  QUANTITY &amp; TOLERANCE</w:t>
      </w:r>
    </w:p>
    <w:p>
      <w:pPr>
        <w:spacing w:after="0" w:before="0" w:line="240" w:lineRule="auto"/>
        <w:ind w:left="57"/>
        <w:jc w:val="left"/>
        <w:shd w:val="clear" w:fill="F2F2F2"/>
      </w:pPr>
      <w:r>
        <w:rPr>
          <w:rFonts w:ascii="Consolas" w:hAnsi="Consolas" w:cs="Consolas"/>
          <w:b w:val="0"/>
          <w:i w:val="0"/>
          <w:sz w:val="15"/>
        </w:rPr>
        <w:t xml:space="preserve">  Requested Quantity: [100] [MT ▼]   Tolerance: [±5% ▼]</w:t>
      </w:r>
    </w:p>
    <w:p>
      <w:pPr>
        <w:spacing w:after="0" w:before="0" w:line="240" w:lineRule="auto"/>
        <w:ind w:left="57"/>
        <w:jc w:val="left"/>
        <w:shd w:val="clear" w:fill="F2F2F2"/>
      </w:pPr>
      <w:r>
        <w:rPr>
          <w:rFonts w:ascii="Consolas" w:hAnsi="Consolas" w:cs="Consolas"/>
          <w:b w:val="0"/>
          <w:i w:val="0"/>
          <w:sz w:val="15"/>
        </w:rPr>
        <w:t xml:space="preserve">  Partial Shipment: [Yes]   Transshipment: [No]   Criticality: [Standard ▼]</w:t>
      </w:r>
    </w:p>
    <w:p>
      <w:pPr>
        <w:spacing w:after="0" w:before="0" w:line="240" w:lineRule="auto"/>
        <w:ind w:left="57"/>
        <w:jc w:val="left"/>
        <w:shd w:val="clear" w:fill="F2F2F2"/>
      </w:pPr>
      <w:r>
        <w:rPr>
          <w:rFonts w:ascii="Consolas" w:hAnsi="Consolas" w:cs="Consolas"/>
          <w:b w:val="0"/>
          <w:i w:val="0"/>
          <w:sz w:val="15"/>
        </w:rPr>
        <w:t xml:space="preserve">  ACCEPTANCE CRITERIA MATRIX (dynamically generated)</w:t>
      </w:r>
    </w:p>
    <w:p>
      <w:pPr>
        <w:spacing w:after="0" w:before="0" w:line="240" w:lineRule="auto"/>
        <w:ind w:left="57"/>
        <w:jc w:val="left"/>
        <w:shd w:val="clear" w:fill="F2F2F2"/>
      </w:pPr>
      <w:r>
        <w:rPr>
          <w:rFonts w:ascii="Consolas" w:hAnsi="Consolas" w:cs="Consolas"/>
          <w:b w:val="0"/>
          <w:i w:val="0"/>
          <w:sz w:val="15"/>
        </w:rPr>
        <w:t xml:space="preserve">  Parameter        Value/Limit   Unit   Status    Source</w:t>
      </w:r>
    </w:p>
    <w:p>
      <w:pPr>
        <w:spacing w:after="0" w:before="0" w:line="240" w:lineRule="auto"/>
        <w:ind w:left="57"/>
        <w:jc w:val="left"/>
        <w:shd w:val="clear" w:fill="F2F2F2"/>
      </w:pPr>
      <w:r>
        <w:rPr>
          <w:rFonts w:ascii="Consolas" w:hAnsi="Consolas" w:cs="Consolas"/>
          <w:b w:val="0"/>
          <w:i w:val="0"/>
          <w:sz w:val="15"/>
        </w:rPr>
        <w:t xml:space="preserve">  Moisture         Max 14%       %      Within    EU RASFF</w:t>
      </w:r>
    </w:p>
    <w:p>
      <w:pPr>
        <w:spacing w:after="0" w:before="0" w:line="240" w:lineRule="auto"/>
        <w:ind w:left="57"/>
        <w:jc w:val="left"/>
        <w:shd w:val="clear" w:fill="F2F2F2"/>
      </w:pPr>
      <w:r>
        <w:rPr>
          <w:rFonts w:ascii="Consolas" w:hAnsi="Consolas" w:cs="Consolas"/>
          <w:b w:val="0"/>
          <w:i w:val="0"/>
          <w:sz w:val="15"/>
        </w:rPr>
        <w:t xml:space="preserve">  Protein          Min 12%       %      Within    Codex</w:t>
      </w:r>
    </w:p>
    <w:p>
      <w:pPr>
        <w:spacing w:after="0" w:before="0" w:line="240" w:lineRule="auto"/>
        <w:ind w:left="57"/>
        <w:jc w:val="left"/>
        <w:shd w:val="clear" w:fill="F2F2F2"/>
      </w:pPr>
      <w:r>
        <w:rPr>
          <w:rFonts w:ascii="Consolas" w:hAnsi="Consolas" w:cs="Consolas"/>
          <w:b w:val="0"/>
          <w:i w:val="0"/>
          <w:sz w:val="15"/>
        </w:rPr>
        <w:t xml:space="preserve">  Purity           Min 99%       %      Within    WTO</w:t>
      </w:r>
    </w:p>
    <w:p>
      <w:pPr>
        <w:spacing w:after="0" w:before="0" w:line="240" w:lineRule="auto"/>
        <w:ind w:left="57"/>
        <w:jc w:val="left"/>
        <w:shd w:val="clear" w:fill="F2F2F2"/>
      </w:pPr>
      <w:r>
        <w:rPr>
          <w:rFonts w:ascii="Consolas" w:hAnsi="Consolas" w:cs="Consolas"/>
          <w:b w:val="0"/>
          <w:i w:val="0"/>
          <w:sz w:val="15"/>
        </w:rPr>
        <w:t xml:space="preserve">  Crude Fat        Max 8%        %      Within    EU RASFF</w:t>
      </w:r>
    </w:p>
    <w:p>
      <w:pPr>
        <w:spacing w:after="0" w:before="0" w:line="240" w:lineRule="auto"/>
        <w:ind w:left="57"/>
        <w:jc w:val="left"/>
        <w:shd w:val="clear" w:fill="F2F2F2"/>
      </w:pPr>
      <w:r>
        <w:rPr>
          <w:rFonts w:ascii="Consolas" w:hAnsi="Consolas" w:cs="Consolas"/>
          <w:b w:val="0"/>
          <w:i w:val="0"/>
          <w:sz w:val="15"/>
        </w:rPr>
        <w:t xml:space="preserve">  Foreign Matter   Max 0.5%      %      Pending   EU RASFF</w:t>
      </w:r>
    </w:p>
    <w:p>
      <w:pPr>
        <w:spacing w:after="0" w:before="0" w:line="240" w:lineRule="auto"/>
        <w:ind w:left="57"/>
        <w:jc w:val="left"/>
        <w:shd w:val="clear" w:fill="F2F2F2"/>
      </w:pPr>
      <w:r>
        <w:rPr>
          <w:rFonts w:ascii="Consolas" w:hAnsi="Consolas" w:cs="Consolas"/>
          <w:b w:val="0"/>
          <w:i w:val="0"/>
          <w:sz w:val="15"/>
        </w:rPr>
        <w:t xml:space="preserve">  [Add Custom Parameter]</w:t>
      </w:r>
    </w:p>
    <w:p>
      <w:pPr>
        <w:spacing w:after="0" w:before="0" w:line="240" w:lineRule="auto"/>
        <w:ind w:left="57"/>
        <w:jc w:val="left"/>
        <w:shd w:val="clear" w:fill="F2F2F2"/>
      </w:pPr>
      <w:r>
        <w:rPr>
          <w:rFonts w:ascii="Consolas" w:hAnsi="Consolas" w:cs="Consolas"/>
          <w:b w:val="0"/>
          <w:i w:val="0"/>
          <w:sz w:val="15"/>
        </w:rPr>
        <w:t xml:space="preserve">  PACKING &amp; WEIGHT</w:t>
      </w:r>
    </w:p>
    <w:p>
      <w:pPr>
        <w:spacing w:after="0" w:before="0" w:line="240" w:lineRule="auto"/>
        <w:ind w:left="57"/>
        <w:jc w:val="left"/>
        <w:shd w:val="clear" w:fill="F2F2F2"/>
      </w:pPr>
      <w:r>
        <w:rPr>
          <w:rFonts w:ascii="Consolas" w:hAnsi="Consolas" w:cs="Consolas"/>
          <w:b w:val="0"/>
          <w:i w:val="0"/>
          <w:sz w:val="15"/>
        </w:rPr>
        <w:t xml:space="preserve">  Packaging: [Palletized ▼]   Number of Pallets: [22]</w:t>
      </w:r>
    </w:p>
    <w:p>
      <w:pPr>
        <w:spacing w:after="0" w:before="0" w:line="240" w:lineRule="auto"/>
        <w:ind w:left="57"/>
        <w:jc w:val="left"/>
        <w:shd w:val="clear" w:fill="F2F2F2"/>
      </w:pPr>
      <w:r>
        <w:rPr>
          <w:rFonts w:ascii="Consolas" w:hAnsi="Consolas" w:cs="Consolas"/>
          <w:b w:val="0"/>
          <w:i w:val="0"/>
          <w:sz w:val="15"/>
        </w:rPr>
        <w:t xml:space="preserve">  Pallet Type: [EUR 800×1200 mm ▼]   Cartons per Pallet: [40]</w:t>
      </w:r>
    </w:p>
    <w:p>
      <w:pPr>
        <w:spacing w:after="0" w:before="0" w:line="240" w:lineRule="auto"/>
        <w:ind w:left="57"/>
        <w:jc w:val="left"/>
        <w:shd w:val="clear" w:fill="F2F2F2"/>
      </w:pPr>
      <w:r>
        <w:rPr>
          <w:rFonts w:ascii="Consolas" w:hAnsi="Consolas" w:cs="Consolas"/>
          <w:b w:val="0"/>
          <w:i w:val="0"/>
          <w:sz w:val="15"/>
        </w:rPr>
        <w:t xml:space="preserve">  Net Weight per Carton: [10] kg   Gross Weight per Carton: [10.5] kg</w:t>
      </w:r>
    </w:p>
    <w:p>
      <w:pPr>
        <w:spacing w:after="0" w:before="0" w:line="240" w:lineRule="auto"/>
        <w:ind w:left="57"/>
        <w:jc w:val="left"/>
        <w:shd w:val="clear" w:fill="F2F2F2"/>
      </w:pPr>
      <w:r>
        <w:rPr>
          <w:rFonts w:ascii="Consolas" w:hAnsi="Consolas" w:cs="Consolas"/>
          <w:b w:val="0"/>
          <w:i w:val="0"/>
          <w:sz w:val="15"/>
        </w:rPr>
        <w:t xml:space="preserve">  Total Net Weight: 8,800 kg   Total Gross Weight: 9,240 kg</w:t>
      </w:r>
    </w:p>
    <w:p>
      <w:pPr>
        <w:spacing w:after="0" w:before="0" w:line="240" w:lineRule="auto"/>
        <w:ind w:left="57"/>
        <w:jc w:val="left"/>
        <w:shd w:val="clear" w:fill="F2F2F2"/>
      </w:pPr>
      <w:r>
        <w:rPr>
          <w:rFonts w:ascii="Consolas" w:hAnsi="Consolas" w:cs="Consolas"/>
          <w:b w:val="0"/>
          <w:i w:val="0"/>
          <w:sz w:val="15"/>
        </w:rPr>
        <w:t xml:space="preserve">  Within container limit (≤ 28,000 kg for 40ft Reefer)</w:t>
      </w:r>
    </w:p>
    <w:p>
      <w:pPr>
        <w:spacing w:after="0" w:before="0" w:line="240" w:lineRule="auto"/>
        <w:ind w:left="57"/>
        <w:jc w:val="left"/>
        <w:shd w:val="clear" w:fill="F2F2F2"/>
      </w:pPr>
      <w:r>
        <w:rPr>
          <w:rFonts w:ascii="Consolas" w:hAnsi="Consolas" w:cs="Consolas"/>
          <w:b w:val="0"/>
          <w:i w:val="0"/>
          <w:sz w:val="15"/>
        </w:rPr>
        <w:t xml:space="preserve">  SPECIAL PROCEDURE REQUIRED: Cold Treatment</w:t>
      </w:r>
    </w:p>
    <w:p>
      <w:pPr>
        <w:spacing w:after="0" w:before="0" w:line="240" w:lineRule="auto"/>
        <w:ind w:left="57"/>
        <w:jc w:val="left"/>
        <w:shd w:val="clear" w:fill="F2F2F2"/>
      </w:pPr>
      <w:r>
        <w:rPr>
          <w:rFonts w:ascii="Consolas" w:hAnsi="Consolas" w:cs="Consolas"/>
          <w:b w:val="0"/>
          <w:i w:val="0"/>
          <w:sz w:val="15"/>
        </w:rPr>
        <w:t xml:space="preserve">  Temperature: -0.5°C for 14 days</w:t>
      </w:r>
    </w:p>
    <w:p>
      <w:pPr>
        <w:spacing w:after="0" w:before="0" w:line="240" w:lineRule="auto"/>
        <w:ind w:left="57"/>
        <w:jc w:val="left"/>
        <w:shd w:val="clear" w:fill="F2F2F2"/>
      </w:pPr>
      <w:r>
        <w:rPr>
          <w:rFonts w:ascii="Consolas" w:hAnsi="Consolas" w:cs="Consolas"/>
          <w:b w:val="0"/>
          <w:i w:val="0"/>
          <w:sz w:val="15"/>
        </w:rPr>
        <w:t xml:space="preserve">  Start Date: [2026-07-01]   Completion Date: [2026-07-15]</w:t>
      </w:r>
    </w:p>
    <w:p>
      <w:pPr>
        <w:spacing w:after="0" w:before="0" w:line="240" w:lineRule="auto"/>
        <w:ind w:left="57"/>
        <w:jc w:val="left"/>
        <w:shd w:val="clear" w:fill="F2F2F2"/>
      </w:pPr>
      <w:r>
        <w:rPr>
          <w:rFonts w:ascii="Consolas" w:hAnsi="Consolas" w:cs="Consolas"/>
          <w:b w:val="0"/>
          <w:i w:val="0"/>
          <w:sz w:val="15"/>
        </w:rPr>
        <w:t xml:space="preserve">  Facility: [Egyptian Cold Treatment Center ▼]</w:t>
      </w:r>
    </w:p>
    <w:p>
      <w:pPr>
        <w:spacing w:after="0" w:before="0" w:line="240" w:lineRule="auto"/>
        <w:ind w:left="57"/>
        <w:jc w:val="left"/>
        <w:shd w:val="clear" w:fill="F2F2F2"/>
      </w:pPr>
      <w:r>
        <w:rPr>
          <w:rFonts w:ascii="Consolas" w:hAnsi="Consolas" w:cs="Consolas"/>
          <w:b w:val="0"/>
          <w:i w:val="0"/>
          <w:sz w:val="15"/>
        </w:rPr>
        <w:t xml:space="preserve">  ☑ I will upload the cold treatment certificate after completion</w:t>
      </w:r>
    </w:p>
    <w:p>
      <w:pPr>
        <w:spacing w:after="0" w:before="0" w:line="240" w:lineRule="auto"/>
        <w:ind w:left="57"/>
        <w:jc w:val="left"/>
        <w:shd w:val="clear" w:fill="F2F2F2"/>
      </w:pPr>
      <w:r>
        <w:rPr>
          <w:rFonts w:ascii="Consolas" w:hAnsi="Consolas" w:cs="Consolas"/>
          <w:b w:val="0"/>
          <w:i w:val="0"/>
          <w:sz w:val="15"/>
        </w:rPr>
        <w:t xml:space="preserve">  INSPECTION REQUIREMENTS</w:t>
      </w:r>
    </w:p>
    <w:p>
      <w:pPr>
        <w:spacing w:after="0" w:before="0" w:line="240" w:lineRule="auto"/>
        <w:ind w:left="57"/>
        <w:jc w:val="left"/>
        <w:shd w:val="clear" w:fill="F2F2F2"/>
      </w:pPr>
      <w:r>
        <w:rPr>
          <w:rFonts w:ascii="Consolas" w:hAnsi="Consolas" w:cs="Consolas"/>
          <w:b w:val="0"/>
          <w:i w:val="0"/>
          <w:sz w:val="15"/>
        </w:rPr>
        <w:t xml:space="preserve">  Inspection Type: [Third Party Inspection ▼]</w:t>
      </w:r>
    </w:p>
    <w:p>
      <w:pPr>
        <w:spacing w:after="0" w:before="0" w:line="240" w:lineRule="auto"/>
        <w:ind w:left="57"/>
        <w:jc w:val="left"/>
        <w:shd w:val="clear" w:fill="F2F2F2"/>
      </w:pPr>
      <w:r>
        <w:rPr>
          <w:rFonts w:ascii="Consolas" w:hAnsi="Consolas" w:cs="Consolas"/>
          <w:b w:val="0"/>
          <w:i w:val="0"/>
          <w:sz w:val="15"/>
        </w:rPr>
        <w:t xml:space="preserve">  AQL Sampling Plan: General Level II (5 pallets random)</w:t>
      </w:r>
    </w:p>
    <w:p>
      <w:pPr>
        <w:spacing w:after="0" w:before="0" w:line="240" w:lineRule="auto"/>
        <w:ind w:left="57"/>
        <w:jc w:val="left"/>
        <w:shd w:val="clear" w:fill="F2F2F2"/>
      </w:pPr>
      <w:r>
        <w:rPr>
          <w:rFonts w:ascii="Consolas" w:hAnsi="Consolas" w:cs="Consolas"/>
          <w:b w:val="0"/>
          <w:i w:val="0"/>
          <w:sz w:val="15"/>
        </w:rPr>
        <w:t xml:space="preserve">  [Remove Commodity]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Real-time weight summary (two commodities in one container):</w:t>
      </w:r>
    </w:p>
    <w:p>
      <w:pPr>
        <w:spacing w:after="0" w:before="0" w:line="240" w:lineRule="auto"/>
        <w:ind w:left="57"/>
        <w:jc w:val="left"/>
        <w:shd w:val="clear" w:fill="F2F2F2"/>
      </w:pPr>
      <w:r>
        <w:rPr>
          <w:rFonts w:ascii="Consolas" w:hAnsi="Consolas" w:cs="Consolas"/>
          <w:b w:val="0"/>
          <w:i w:val="0"/>
          <w:sz w:val="15"/>
        </w:rPr>
        <w:t>WEIGHT SUMMARY — Container 1</w:t>
      </w:r>
    </w:p>
    <w:p>
      <w:pPr>
        <w:spacing w:after="0" w:before="0" w:line="240" w:lineRule="auto"/>
        <w:ind w:left="57"/>
        <w:jc w:val="left"/>
        <w:shd w:val="clear" w:fill="F2F2F2"/>
      </w:pPr>
      <w:r>
        <w:rPr>
          <w:rFonts w:ascii="Consolas" w:hAnsi="Consolas" w:cs="Consolas"/>
          <w:b w:val="0"/>
          <w:i w:val="0"/>
          <w:sz w:val="15"/>
        </w:rPr>
        <w:t xml:space="preserve">  Commodity A (Oranges): 22 pallets × 40 cartons = 880 cartons</w:t>
      </w:r>
    </w:p>
    <w:p>
      <w:pPr>
        <w:spacing w:after="0" w:before="0" w:line="240" w:lineRule="auto"/>
        <w:ind w:left="57"/>
        <w:jc w:val="left"/>
        <w:shd w:val="clear" w:fill="F2F2F2"/>
      </w:pPr>
      <w:r>
        <w:rPr>
          <w:rFonts w:ascii="Consolas" w:hAnsi="Consolas" w:cs="Consolas"/>
          <w:b w:val="0"/>
          <w:i w:val="0"/>
          <w:sz w:val="15"/>
        </w:rPr>
        <w:t xml:space="preserve">    Net weight: 8,800 kg    Gross weight (with tare): 9,240 kg</w:t>
      </w:r>
    </w:p>
    <w:p>
      <w:pPr>
        <w:spacing w:after="0" w:before="0" w:line="240" w:lineRule="auto"/>
        <w:ind w:left="57"/>
        <w:jc w:val="left"/>
        <w:shd w:val="clear" w:fill="F2F2F2"/>
      </w:pPr>
      <w:r>
        <w:rPr>
          <w:rFonts w:ascii="Consolas" w:hAnsi="Consolas" w:cs="Consolas"/>
          <w:b w:val="0"/>
          <w:i w:val="0"/>
          <w:sz w:val="15"/>
        </w:rPr>
        <w:t xml:space="preserve">  Commodity B (Lemons): 14 pallets × 48 cartons = 672 cartons</w:t>
      </w:r>
    </w:p>
    <w:p>
      <w:pPr>
        <w:spacing w:after="0" w:before="0" w:line="240" w:lineRule="auto"/>
        <w:ind w:left="57"/>
        <w:jc w:val="left"/>
        <w:shd w:val="clear" w:fill="F2F2F2"/>
      </w:pPr>
      <w:r>
        <w:rPr>
          <w:rFonts w:ascii="Consolas" w:hAnsi="Consolas" w:cs="Consolas"/>
          <w:b w:val="0"/>
          <w:i w:val="0"/>
          <w:sz w:val="15"/>
        </w:rPr>
        <w:t xml:space="preserve">    Net weight: 5,376 kg    Gross weight (with tare): 5,644.8 kg</w:t>
      </w:r>
    </w:p>
    <w:p>
      <w:pPr>
        <w:spacing w:after="0" w:before="0" w:line="240" w:lineRule="auto"/>
        <w:ind w:left="57"/>
        <w:jc w:val="left"/>
        <w:shd w:val="clear" w:fill="F2F2F2"/>
      </w:pPr>
      <w:r>
        <w:rPr>
          <w:rFonts w:ascii="Consolas" w:hAnsi="Consolas" w:cs="Consolas"/>
          <w:b w:val="0"/>
          <w:i w:val="0"/>
          <w:sz w:val="15"/>
        </w:rPr>
        <w:t xml:space="preserve">  Total cartons: 1,552</w:t>
      </w:r>
    </w:p>
    <w:p>
      <w:pPr>
        <w:spacing w:after="0" w:before="0" w:line="240" w:lineRule="auto"/>
        <w:ind w:left="57"/>
        <w:jc w:val="left"/>
        <w:shd w:val="clear" w:fill="F2F2F2"/>
      </w:pPr>
      <w:r>
        <w:rPr>
          <w:rFonts w:ascii="Consolas" w:hAnsi="Consolas" w:cs="Consolas"/>
          <w:b w:val="0"/>
          <w:i w:val="0"/>
          <w:sz w:val="15"/>
        </w:rPr>
        <w:t xml:space="preserve">  Total net weight: 14,176 kg</w:t>
      </w:r>
    </w:p>
    <w:p>
      <w:pPr>
        <w:spacing w:after="0" w:before="0" w:line="240" w:lineRule="auto"/>
        <w:ind w:left="57"/>
        <w:jc w:val="left"/>
        <w:shd w:val="clear" w:fill="F2F2F2"/>
      </w:pPr>
      <w:r>
        <w:rPr>
          <w:rFonts w:ascii="Consolas" w:hAnsi="Consolas" w:cs="Consolas"/>
          <w:b w:val="0"/>
          <w:i w:val="0"/>
          <w:sz w:val="15"/>
        </w:rPr>
        <w:t xml:space="preserve">  Total gross weight (cartons + tare): 14,884.8 kg</w:t>
      </w:r>
    </w:p>
    <w:p>
      <w:pPr>
        <w:spacing w:after="0" w:before="0" w:line="240" w:lineRule="auto"/>
        <w:ind w:left="57"/>
        <w:jc w:val="left"/>
        <w:shd w:val="clear" w:fill="F2F2F2"/>
      </w:pPr>
      <w:r>
        <w:rPr>
          <w:rFonts w:ascii="Consolas" w:hAnsi="Consolas" w:cs="Consolas"/>
          <w:b w:val="0"/>
          <w:i w:val="0"/>
          <w:sz w:val="15"/>
        </w:rPr>
        <w:t xml:space="preserve">  Pallet tare: 900 kg</w:t>
      </w:r>
    </w:p>
    <w:p>
      <w:pPr>
        <w:spacing w:after="0" w:before="0" w:line="240" w:lineRule="auto"/>
        <w:ind w:left="57"/>
        <w:jc w:val="left"/>
        <w:shd w:val="clear" w:fill="F2F2F2"/>
      </w:pPr>
      <w:r>
        <w:rPr>
          <w:rFonts w:ascii="Consolas" w:hAnsi="Consolas" w:cs="Consolas"/>
          <w:b w:val="0"/>
          <w:i w:val="0"/>
          <w:sz w:val="15"/>
        </w:rPr>
        <w:t xml:space="preserve">  TOTAL GROSS WEIGHT (including pallets): 15,784.8 kg</w:t>
      </w:r>
    </w:p>
    <w:p>
      <w:pPr>
        <w:spacing w:after="0" w:before="0" w:line="240" w:lineRule="auto"/>
        <w:ind w:left="57"/>
        <w:jc w:val="left"/>
        <w:shd w:val="clear" w:fill="F2F2F2"/>
      </w:pPr>
      <w:r>
        <w:rPr>
          <w:rFonts w:ascii="Consolas" w:hAnsi="Consolas" w:cs="Consolas"/>
          <w:b w:val="0"/>
          <w:i w:val="0"/>
          <w:sz w:val="15"/>
        </w:rPr>
        <w:t xml:space="preserve">  Within container limit (≤ 28,000 kg for 40ft container)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complete container and commodity specification (per-container fields, dynamic commodity fields, bulk operations, Express Mode, capacity validation, DDL) is in Section 6.6.</w:t>
      </w:r>
    </w:p>
    <w:p>
      <w:pPr>
        <w:keepNext/>
        <w:spacing w:before="180" w:after="80"/>
        <w:outlineLvl w:val="2"/>
      </w:pPr>
      <w:r>
        <w:rPr>
          <w:rFonts w:ascii="Arial" w:hAnsi="Arial" w:cs="Arial"/>
          <w:b/>
          <w:i w:val="0"/>
          <w:color w:val="333333"/>
          <w:sz w:val="23"/>
        </w:rPr>
        <w:t>6.2.8 Step 5 — Lab Test Requirements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explicitly define laboratory testing requirements so that no test is silently assumed rather than confirmed and priced.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Category</w:t>
            </w:r>
          </w:p>
        </w:tc>
        <w:tc>
          <w:tcPr>
            <w:tcW w:type="dxa" w:w="2409"/>
            <w:shd w:val="clear" w:fill="D9E2F3"/>
          </w:tcPr>
          <w:p>
            <w:pPr>
              <w:spacing w:after="20" w:before="20" w:line="240" w:lineRule="auto"/>
            </w:pPr>
            <w:r/>
            <w:r>
              <w:rPr>
                <w:rFonts w:ascii="Arial" w:hAnsi="Arial" w:cs="Arial"/>
                <w:b/>
                <w:i w:val="0"/>
                <w:sz w:val="18"/>
              </w:rPr>
              <w:t>Display</w:t>
            </w:r>
          </w:p>
        </w:tc>
        <w:tc>
          <w:tcPr>
            <w:tcW w:type="dxa" w:w="2409"/>
            <w:shd w:val="clear" w:fill="D9E2F3"/>
          </w:tcPr>
          <w:p>
            <w:pPr>
              <w:spacing w:after="20" w:before="20" w:line="240" w:lineRule="auto"/>
            </w:pPr>
            <w:r/>
            <w:r>
              <w:rPr>
                <w:rFonts w:ascii="Arial" w:hAnsi="Arial" w:cs="Arial"/>
                <w:b/>
                <w:i w:val="0"/>
                <w:sz w:val="18"/>
              </w:rPr>
              <w:t>Buyer Action</w:t>
            </w:r>
          </w:p>
        </w:tc>
        <w:tc>
          <w:tcPr>
            <w:tcW w:type="dxa" w:w="2409"/>
            <w:shd w:val="clear" w:fill="D9E2F3"/>
          </w:tcPr>
          <w:p>
            <w:pPr>
              <w:spacing w:after="20" w:before="20" w:line="240" w:lineRule="auto"/>
            </w:pPr>
            <w:r/>
            <w:r>
              <w:rPr>
                <w:rFonts w:ascii="Arial" w:hAnsi="Arial" w:cs="Arial"/>
                <w:b/>
                <w:i w:val="0"/>
                <w:sz w:val="18"/>
              </w:rPr>
              <w:t>Pricing</w:t>
            </w:r>
          </w:p>
        </w:tc>
      </w:tr>
      <w:tr>
        <w:tc>
          <w:tcPr>
            <w:tcW w:type="dxa" w:w="2409"/>
          </w:tcPr>
          <w:p>
            <w:pPr>
              <w:spacing w:after="20" w:before="20" w:line="240" w:lineRule="auto"/>
            </w:pPr>
            <w:r/>
            <w:r>
              <w:rPr>
                <w:rFonts w:ascii="Arial" w:hAnsi="Arial" w:cs="Arial"/>
                <w:b w:val="0"/>
                <w:i w:val="0"/>
                <w:sz w:val="17"/>
              </w:rPr>
              <w:t>Mandatory Tests</w:t>
            </w:r>
          </w:p>
        </w:tc>
        <w:tc>
          <w:tcPr>
            <w:tcW w:type="dxa" w:w="2409"/>
          </w:tcPr>
          <w:p>
            <w:pPr>
              <w:spacing w:after="20" w:before="20" w:line="240" w:lineRule="auto"/>
            </w:pPr>
            <w:r/>
            <w:r>
              <w:rPr>
                <w:rFonts w:ascii="Arial" w:hAnsi="Arial" w:cs="Arial"/>
                <w:b w:val="0"/>
                <w:i w:val="0"/>
                <w:sz w:val="17"/>
              </w:rPr>
              <w:t>RIA-driven list</w:t>
            </w:r>
          </w:p>
        </w:tc>
        <w:tc>
          <w:tcPr>
            <w:tcW w:type="dxa" w:w="2409"/>
          </w:tcPr>
          <w:p>
            <w:pPr>
              <w:spacing w:after="20" w:before="20" w:line="240" w:lineRule="auto"/>
            </w:pPr>
            <w:r/>
            <w:r>
              <w:rPr>
                <w:rFonts w:ascii="Arial" w:hAnsi="Arial" w:cs="Arial"/>
                <w:b w:val="0"/>
                <w:i w:val="0"/>
                <w:sz w:val="17"/>
              </w:rPr>
              <w:t>Cannot uncheck</w:t>
            </w:r>
          </w:p>
        </w:tc>
        <w:tc>
          <w:tcPr>
            <w:tcW w:type="dxa" w:w="2409"/>
          </w:tcPr>
          <w:p>
            <w:pPr>
              <w:spacing w:after="20" w:before="20" w:line="240" w:lineRule="auto"/>
            </w:pPr>
            <w:r/>
            <w:r>
              <w:rPr>
                <w:rFonts w:ascii="Arial" w:hAnsi="Arial" w:cs="Arial"/>
                <w:b w:val="0"/>
                <w:i w:val="0"/>
                <w:sz w:val="17"/>
              </w:rPr>
              <w:t>$0 (covered by seller)</w:t>
            </w:r>
          </w:p>
        </w:tc>
      </w:tr>
      <w:tr>
        <w:tc>
          <w:tcPr>
            <w:tcW w:type="dxa" w:w="2409"/>
          </w:tcPr>
          <w:p>
            <w:pPr>
              <w:spacing w:after="20" w:before="20" w:line="240" w:lineRule="auto"/>
            </w:pPr>
            <w:r/>
            <w:r>
              <w:rPr>
                <w:rFonts w:ascii="Arial" w:hAnsi="Arial" w:cs="Arial"/>
                <w:b w:val="0"/>
                <w:i w:val="0"/>
                <w:sz w:val="17"/>
              </w:rPr>
              <w:t>Recommended Tests</w:t>
            </w:r>
          </w:p>
        </w:tc>
        <w:tc>
          <w:tcPr>
            <w:tcW w:type="dxa" w:w="2409"/>
          </w:tcPr>
          <w:p>
            <w:pPr>
              <w:spacing w:after="20" w:before="20" w:line="240" w:lineRule="auto"/>
            </w:pPr>
            <w:r/>
            <w:r>
              <w:rPr>
                <w:rFonts w:ascii="Arial" w:hAnsi="Arial" w:cs="Arial"/>
                <w:b w:val="0"/>
                <w:i w:val="0"/>
                <w:sz w:val="17"/>
              </w:rPr>
              <w:t>RIA-driven list</w:t>
            </w:r>
          </w:p>
        </w:tc>
        <w:tc>
          <w:tcPr>
            <w:tcW w:type="dxa" w:w="2409"/>
          </w:tcPr>
          <w:p>
            <w:pPr>
              <w:spacing w:after="20" w:before="20" w:line="240" w:lineRule="auto"/>
            </w:pPr>
            <w:r/>
            <w:r>
              <w:rPr>
                <w:rFonts w:ascii="Arial" w:hAnsi="Arial" w:cs="Arial"/>
                <w:b w:val="0"/>
                <w:i w:val="0"/>
                <w:sz w:val="17"/>
              </w:rPr>
              <w:t>Can uncheck</w:t>
            </w:r>
          </w:p>
        </w:tc>
        <w:tc>
          <w:tcPr>
            <w:tcW w:type="dxa" w:w="2409"/>
          </w:tcPr>
          <w:p>
            <w:pPr>
              <w:spacing w:after="20" w:before="20" w:line="240" w:lineRule="auto"/>
            </w:pPr>
            <w:r/>
            <w:r>
              <w:rPr>
                <w:rFonts w:ascii="Arial" w:hAnsi="Arial" w:cs="Arial"/>
                <w:b w:val="0"/>
                <w:i w:val="0"/>
                <w:sz w:val="17"/>
              </w:rPr>
              <w:t>Estimated price shown</w:t>
            </w:r>
          </w:p>
        </w:tc>
      </w:tr>
      <w:tr>
        <w:tc>
          <w:tcPr>
            <w:tcW w:type="dxa" w:w="2409"/>
          </w:tcPr>
          <w:p>
            <w:pPr>
              <w:spacing w:after="20" w:before="20" w:line="240" w:lineRule="auto"/>
            </w:pPr>
            <w:r/>
            <w:r>
              <w:rPr>
                <w:rFonts w:ascii="Arial" w:hAnsi="Arial" w:cs="Arial"/>
                <w:b w:val="0"/>
                <w:i w:val="0"/>
                <w:sz w:val="17"/>
              </w:rPr>
              <w:t>Optional Tests</w:t>
            </w:r>
          </w:p>
        </w:tc>
        <w:tc>
          <w:tcPr>
            <w:tcW w:type="dxa" w:w="2409"/>
          </w:tcPr>
          <w:p>
            <w:pPr>
              <w:spacing w:after="20" w:before="20" w:line="240" w:lineRule="auto"/>
            </w:pPr>
            <w:r/>
            <w:r>
              <w:rPr>
                <w:rFonts w:ascii="Arial" w:hAnsi="Arial" w:cs="Arial"/>
                <w:b w:val="0"/>
                <w:i w:val="0"/>
                <w:sz w:val="17"/>
              </w:rPr>
              <w:t>RIA-driven list</w:t>
            </w:r>
          </w:p>
        </w:tc>
        <w:tc>
          <w:tcPr>
            <w:tcW w:type="dxa" w:w="2409"/>
          </w:tcPr>
          <w:p>
            <w:pPr>
              <w:spacing w:after="20" w:before="20" w:line="240" w:lineRule="auto"/>
            </w:pPr>
            <w:r/>
            <w:r>
              <w:rPr>
                <w:rFonts w:ascii="Arial" w:hAnsi="Arial" w:cs="Arial"/>
                <w:b w:val="0"/>
                <w:i w:val="0"/>
                <w:sz w:val="17"/>
              </w:rPr>
              <w:t>Can check/uncheck</w:t>
            </w:r>
          </w:p>
        </w:tc>
        <w:tc>
          <w:tcPr>
            <w:tcW w:type="dxa" w:w="2409"/>
          </w:tcPr>
          <w:p>
            <w:pPr>
              <w:spacing w:after="20" w:before="20" w:line="240" w:lineRule="auto"/>
            </w:pPr>
            <w:r/>
            <w:r>
              <w:rPr>
                <w:rFonts w:ascii="Arial" w:hAnsi="Arial" w:cs="Arial"/>
                <w:b w:val="0"/>
                <w:i w:val="0"/>
                <w:sz w:val="17"/>
              </w:rPr>
              <w:t>Estimated price shown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the RIA (A2) pulls mandatory tests based on HS code, origin, and destination (for example, MRL (Maximum Residue Limit) panels and pesticide residue tests); mandatory tests are pre-checked and locked (Governor gate G1U4); selections are stored in `trade_lab_requirements`; recommended and optional tests display estimated prices. UI: three-column checklist with prices; mandatory tests locked.</w:t>
      </w:r>
    </w:p>
    <w:p>
      <w:pPr>
        <w:spacing w:after="80" w:line="293" w:lineRule="auto"/>
        <w:jc w:val="left"/>
      </w:pPr>
      <w:r>
        <w:rPr>
          <w:rFonts w:ascii="Times New Roman" w:hAnsi="Times New Roman" w:cs="Times New Roman"/>
          <w:b w:val="0"/>
          <w:i w:val="0"/>
          <w:sz w:val="22"/>
        </w:rPr>
        <w:t>Example mandatory test set for fresh oranges (HS 0805) to the EU: Cypermethrin (MRL 0.02 mg/kg, GC-MS/MS), Chlorpyrifos (0.01 mg/kg, GC-MS/MS), Thiabendazole (0.05 mg/kg, HPLC), Imazalil (0.03 mg/kg, HPLC).</w:t>
      </w:r>
    </w:p>
    <w:p>
      <w:pPr>
        <w:keepNext/>
        <w:spacing w:before="180" w:after="80"/>
        <w:outlineLvl w:val="2"/>
      </w:pPr>
      <w:r>
        <w:rPr>
          <w:rFonts w:ascii="Arial" w:hAnsi="Arial" w:cs="Arial"/>
          <w:b/>
          <w:i w:val="0"/>
          <w:color w:val="333333"/>
          <w:sz w:val="23"/>
        </w:rPr>
        <w:t>6.2.9 Step 6 — QC Inspection Request (Geography-Aware)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request QC inspection with geographic validation so that inspection is never requested where no inspector exists.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Options</w:t>
            </w:r>
          </w:p>
        </w:tc>
        <w:tc>
          <w:tcPr>
            <w:tcW w:type="dxa" w:w="2409"/>
            <w:shd w:val="clear" w:fill="D9E2F3"/>
          </w:tcPr>
          <w:p>
            <w:pPr>
              <w:spacing w:after="20" w:before="20" w:line="240" w:lineRule="auto"/>
            </w:pPr>
            <w:r/>
            <w:r>
              <w:rPr>
                <w:rFonts w:ascii="Arial" w:hAnsi="Arial" w:cs="Arial"/>
                <w:b/>
                <w:i w:val="0"/>
                <w:sz w:val="18"/>
              </w:rPr>
              <w:t>Notes</w:t>
            </w:r>
          </w:p>
        </w:tc>
      </w:tr>
      <w:tr>
        <w:tc>
          <w:tcPr>
            <w:tcW w:type="dxa" w:w="2409"/>
          </w:tcPr>
          <w:p>
            <w:pPr>
              <w:spacing w:after="20" w:before="20" w:line="240" w:lineRule="auto"/>
            </w:pPr>
            <w:r/>
            <w:r>
              <w:rPr>
                <w:rFonts w:ascii="Arial" w:hAnsi="Arial" w:cs="Arial"/>
                <w:b w:val="0"/>
                <w:i w:val="0"/>
                <w:sz w:val="17"/>
              </w:rPr>
              <w:t>QC Required</w:t>
            </w:r>
          </w:p>
        </w:tc>
        <w:tc>
          <w:tcPr>
            <w:tcW w:type="dxa" w:w="2409"/>
          </w:tcPr>
          <w:p>
            <w:pPr>
              <w:spacing w:after="20" w:before="20" w:line="240" w:lineRule="auto"/>
            </w:pPr>
            <w:r/>
            <w:r>
              <w:rPr>
                <w:rFonts w:ascii="Arial" w:hAnsi="Arial" w:cs="Arial"/>
                <w:b w:val="0"/>
                <w:i w:val="0"/>
                <w:sz w:val="17"/>
              </w:rPr>
              <w:t>Toggle</w:t>
            </w:r>
          </w:p>
        </w:tc>
        <w:tc>
          <w:tcPr>
            <w:tcW w:type="dxa" w:w="2409"/>
          </w:tcPr>
          <w:p>
            <w:pPr>
              <w:spacing w:after="20" w:before="20" w:line="240" w:lineRule="auto"/>
            </w:pPr>
            <w:r/>
            <w:r>
              <w:rPr>
                <w:rFonts w:ascii="Arial" w:hAnsi="Arial" w:cs="Arial"/>
                <w:b w:val="0"/>
                <w:i w:val="0"/>
                <w:sz w:val="17"/>
              </w:rPr>
              <w:t>Yes / No</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Location Type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Origin, Destination, Third Country</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Port</w:t>
            </w:r>
          </w:p>
        </w:tc>
        <w:tc>
          <w:tcPr>
            <w:tcW w:type="dxa" w:w="2409"/>
          </w:tcPr>
          <w:p>
            <w:pPr>
              <w:spacing w:after="20" w:before="20" w:line="240" w:lineRule="auto"/>
            </w:pPr>
            <w:r/>
            <w:r>
              <w:rPr>
                <w:rFonts w:ascii="Arial" w:hAnsi="Arial" w:cs="Arial"/>
                <w:b w:val="0"/>
                <w:i w:val="0"/>
                <w:sz w:val="17"/>
              </w:rPr>
              <w:t>Dependent dropdown</w:t>
            </w:r>
          </w:p>
        </w:tc>
        <w:tc>
          <w:tcPr>
            <w:tcW w:type="dxa" w:w="2409"/>
          </w:tcPr>
          <w:p>
            <w:pPr>
              <w:spacing w:after="20" w:before="20" w:line="240" w:lineRule="auto"/>
            </w:pPr>
            <w:r/>
            <w:r>
              <w:rPr>
                <w:rFonts w:ascii="Arial" w:hAnsi="Arial" w:cs="Arial"/>
                <w:b w:val="0"/>
                <w:i w:val="0"/>
                <w:sz w:val="17"/>
              </w:rPr>
              <w:t>Filtered by country</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Sampling Plan</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General Level I, II, III; S-1 to S-4</w:t>
            </w:r>
          </w:p>
        </w:tc>
        <w:tc>
          <w:tcPr>
            <w:tcW w:type="dxa" w:w="2409"/>
          </w:tcPr>
          <w:p>
            <w:pPr>
              <w:spacing w:after="20" w:before="20" w:line="240" w:lineRule="auto"/>
            </w:pPr>
            <w:r/>
            <w:r>
              <w:rPr>
                <w:rFonts w:ascii="Arial" w:hAnsi="Arial" w:cs="Arial"/>
                <w:b w:val="0"/>
                <w:i w:val="0"/>
                <w:sz w:val="17"/>
              </w:rPr>
              <w:t>Default: General Level II</w:t>
            </w:r>
          </w:p>
        </w:tc>
      </w:tr>
      <w:tr>
        <w:tc>
          <w:tcPr>
            <w:tcW w:type="dxa" w:w="2409"/>
          </w:tcPr>
          <w:p>
            <w:pPr>
              <w:spacing w:after="20" w:before="20" w:line="240" w:lineRule="auto"/>
            </w:pPr>
            <w:r/>
            <w:r>
              <w:rPr>
                <w:rFonts w:ascii="Arial" w:hAnsi="Arial" w:cs="Arial"/>
                <w:b w:val="0"/>
                <w:i w:val="0"/>
                <w:sz w:val="17"/>
              </w:rPr>
              <w:t>Scope</w:t>
            </w:r>
          </w:p>
        </w:tc>
        <w:tc>
          <w:tcPr>
            <w:tcW w:type="dxa" w:w="2409"/>
          </w:tcPr>
          <w:p>
            <w:pPr>
              <w:spacing w:after="20" w:before="20" w:line="240" w:lineRule="auto"/>
            </w:pPr>
            <w:r/>
            <w:r>
              <w:rPr>
                <w:rFonts w:ascii="Arial" w:hAnsi="Arial" w:cs="Arial"/>
                <w:b w:val="0"/>
                <w:i w:val="0"/>
                <w:sz w:val="17"/>
              </w:rPr>
              <w:t>Text</w:t>
            </w:r>
          </w:p>
        </w:tc>
        <w:tc>
          <w:tcPr>
            <w:tcW w:type="dxa" w:w="2409"/>
          </w:tcPr>
          <w:p>
            <w:pPr>
              <w:spacing w:after="20" w:before="20" w:line="240" w:lineRule="auto"/>
            </w:pPr>
            <w:r/>
            <w:r>
              <w:rPr>
                <w:rFonts w:ascii="Arial" w:hAnsi="Arial" w:cs="Arial"/>
                <w:b w:val="0"/>
                <w:i w:val="0"/>
                <w:sz w:val="17"/>
              </w:rPr>
              <w:t>Free text</w:t>
            </w:r>
          </w:p>
        </w:tc>
        <w:tc>
          <w:tcPr>
            <w:tcW w:type="dxa" w:w="2409"/>
          </w:tcPr>
          <w:p>
            <w:pPr>
              <w:spacing w:after="20" w:before="20" w:line="240" w:lineRule="auto"/>
            </w:pPr>
            <w:r/>
            <w:r>
              <w:rPr>
                <w:rFonts w:ascii="Arial" w:hAnsi="Arial" w:cs="Arial"/>
                <w:b w:val="0"/>
                <w:i w:val="0"/>
                <w:sz w:val="17"/>
              </w:rPr>
              <w:t>"All commodities" or specific</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validates provider coverage (`provider_port_coverage` for the QC_INSPECTION capability, see Section 11); displays an estimated price range computed from anonymised historical quotes (`qc_historical_quotes`); shows the Seller Contact Status (for example, "Seller has 2 saved QC contacts in Egypt"); A2 suggests high-risk inspection points.</w:t>
      </w:r>
    </w:p>
    <w:p>
      <w:pPr>
        <w:spacing w:after="80" w:line="293" w:lineRule="auto"/>
        <w:jc w:val="left"/>
      </w:pPr>
      <w:r>
        <w:rPr>
          <w:rFonts w:ascii="Times New Roman" w:hAnsi="Times New Roman" w:cs="Times New Roman"/>
          <w:b w:val="0"/>
          <w:i w:val="0"/>
          <w:sz w:val="22"/>
        </w:rPr>
        <w:t>Governance gates: G1U5 — if QC is requested, at least one active QC provider must exist in the selected port/country, otherwise CONDITIONAL; G1U6 — if QC is requested and the seller has no saved QC contacts in the selected country, an advisory warning (non-blocking) is displayed and user acknowledgment is required.</w:t>
      </w:r>
    </w:p>
    <w:p>
      <w:pPr>
        <w:keepNext/>
        <w:spacing w:before="180" w:after="80"/>
        <w:outlineLvl w:val="2"/>
      </w:pPr>
      <w:r>
        <w:rPr>
          <w:rFonts w:ascii="Arial" w:hAnsi="Arial" w:cs="Arial"/>
          <w:b/>
          <w:i w:val="0"/>
          <w:color w:val="333333"/>
          <w:sz w:val="23"/>
        </w:rPr>
        <w:t>6.2.10 Step 7 — AI Container/Unit Advisor</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advisory-only container/unit optimisation based on the selected transport mode. The advisor runs after transport mode selection because its recommendations are mode-dependent.</w:t>
      </w:r>
    </w:p>
    <w:p>
      <w:pPr>
        <w:spacing w:after="80" w:line="293" w:lineRule="auto"/>
        <w:jc w:val="left"/>
      </w:pPr>
      <w:r>
        <w:rPr>
          <w:rFonts w:ascii="Times New Roman" w:hAnsi="Times New Roman" w:cs="Times New Roman"/>
          <w:b w:val="0"/>
          <w:i w:val="0"/>
          <w:sz w:val="22"/>
        </w:rPr>
        <w:t>Inputs: transport mode (Step 3); pallet count and dimensions; commodity type; total weight; historical loading density (anonymised, differential privacy ε=0.1).</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Mode</w:t>
            </w:r>
          </w:p>
        </w:tc>
        <w:tc>
          <w:tcPr>
            <w:tcW w:type="dxa" w:w="4819"/>
            <w:shd w:val="clear" w:fill="D9E2F3"/>
          </w:tcPr>
          <w:p>
            <w:pPr>
              <w:spacing w:after="20" w:before="20" w:line="240" w:lineRule="auto"/>
            </w:pPr>
            <w:r/>
            <w:r>
              <w:rPr>
                <w:rFonts w:ascii="Arial" w:hAnsi="Arial" w:cs="Arial"/>
                <w:b/>
                <w:i w:val="0"/>
                <w:sz w:val="18"/>
              </w:rPr>
              <w:t>Example Output</w:t>
            </w:r>
          </w:p>
        </w:tc>
      </w:tr>
      <w:tr>
        <w:tc>
          <w:tcPr>
            <w:tcW w:type="dxa" w:w="4819"/>
          </w:tcPr>
          <w:p>
            <w:pPr>
              <w:spacing w:after="20" w:before="20" w:line="240" w:lineRule="auto"/>
            </w:pPr>
            <w:r/>
            <w:r>
              <w:rPr>
                <w:rFonts w:ascii="Arial" w:hAnsi="Arial" w:cs="Arial"/>
                <w:b w:val="0"/>
                <w:i w:val="0"/>
                <w:sz w:val="17"/>
              </w:rPr>
              <w:t>Ocean</w:t>
            </w:r>
          </w:p>
        </w:tc>
        <w:tc>
          <w:tcPr>
            <w:tcW w:type="dxa" w:w="4819"/>
          </w:tcPr>
          <w:p>
            <w:pPr>
              <w:spacing w:after="20" w:before="20" w:line="240" w:lineRule="auto"/>
            </w:pPr>
            <w:r/>
            <w:r>
              <w:rPr>
                <w:rFonts w:ascii="Arial" w:hAnsi="Arial" w:cs="Arial"/>
                <w:b w:val="0"/>
                <w:i w:val="0"/>
                <w:sz w:val="17"/>
              </w:rPr>
              <w:t>"1 × 40ft Reefer recommended"</w:t>
            </w:r>
          </w:p>
        </w:tc>
      </w:tr>
      <w:tr>
        <w:tc>
          <w:tcPr>
            <w:tcW w:type="dxa" w:w="4819"/>
          </w:tcPr>
          <w:p>
            <w:pPr>
              <w:spacing w:after="20" w:before="20" w:line="240" w:lineRule="auto"/>
            </w:pPr>
            <w:r/>
            <w:r>
              <w:rPr>
                <w:rFonts w:ascii="Arial" w:hAnsi="Arial" w:cs="Arial"/>
                <w:b w:val="0"/>
                <w:i w:val="0"/>
                <w:sz w:val="17"/>
              </w:rPr>
              <w:t>Air</w:t>
            </w:r>
          </w:p>
        </w:tc>
        <w:tc>
          <w:tcPr>
            <w:tcW w:type="dxa" w:w="4819"/>
          </w:tcPr>
          <w:p>
            <w:pPr>
              <w:spacing w:after="20" w:before="20" w:line="240" w:lineRule="auto"/>
            </w:pPr>
            <w:r/>
            <w:r>
              <w:rPr>
                <w:rFonts w:ascii="Arial" w:hAnsi="Arial" w:cs="Arial"/>
                <w:b w:val="0"/>
                <w:i w:val="0"/>
                <w:sz w:val="17"/>
              </w:rPr>
              <w:t>"4 × LD6 ULDs recommended"</w:t>
            </w:r>
          </w:p>
        </w:tc>
      </w:tr>
      <w:tr>
        <w:tc>
          <w:tcPr>
            <w:tcW w:type="dxa" w:w="4819"/>
          </w:tcPr>
          <w:p>
            <w:pPr>
              <w:spacing w:after="20" w:before="20" w:line="240" w:lineRule="auto"/>
            </w:pPr>
            <w:r/>
            <w:r>
              <w:rPr>
                <w:rFonts w:ascii="Arial" w:hAnsi="Arial" w:cs="Arial"/>
                <w:b w:val="0"/>
                <w:i w:val="0"/>
                <w:sz w:val="17"/>
              </w:rPr>
              <w:t>Rail</w:t>
            </w:r>
          </w:p>
        </w:tc>
        <w:tc>
          <w:tcPr>
            <w:tcW w:type="dxa" w:w="4819"/>
          </w:tcPr>
          <w:p>
            <w:pPr>
              <w:spacing w:after="20" w:before="20" w:line="240" w:lineRule="auto"/>
            </w:pPr>
            <w:r/>
            <w:r>
              <w:rPr>
                <w:rFonts w:ascii="Arial" w:hAnsi="Arial" w:cs="Arial"/>
                <w:b w:val="0"/>
                <w:i w:val="0"/>
                <w:sz w:val="17"/>
              </w:rPr>
              <w:t>"2 × Box Wagons recommended"</w:t>
            </w:r>
          </w:p>
        </w:tc>
      </w:tr>
      <w:tr>
        <w:tc>
          <w:tcPr>
            <w:tcW w:type="dxa" w:w="4819"/>
          </w:tcPr>
          <w:p>
            <w:pPr>
              <w:spacing w:after="20" w:before="20" w:line="240" w:lineRule="auto"/>
            </w:pPr>
            <w:r/>
            <w:r>
              <w:rPr>
                <w:rFonts w:ascii="Arial" w:hAnsi="Arial" w:cs="Arial"/>
                <w:b w:val="0"/>
                <w:i w:val="0"/>
                <w:sz w:val="17"/>
              </w:rPr>
              <w:t>Truck</w:t>
            </w:r>
          </w:p>
        </w:tc>
        <w:tc>
          <w:tcPr>
            <w:tcW w:type="dxa" w:w="4819"/>
          </w:tcPr>
          <w:p>
            <w:pPr>
              <w:spacing w:after="20" w:before="20" w:line="240" w:lineRule="auto"/>
            </w:pPr>
            <w:r/>
            <w:r>
              <w:rPr>
                <w:rFonts w:ascii="Arial" w:hAnsi="Arial" w:cs="Arial"/>
                <w:b w:val="0"/>
                <w:i w:val="0"/>
                <w:sz w:val="17"/>
              </w:rPr>
              <w:t>"2 × Dry Vans recommended"</w:t>
            </w:r>
          </w:p>
        </w:tc>
      </w:tr>
      <w:tr>
        <w:tc>
          <w:tcPr>
            <w:tcW w:type="dxa" w:w="4819"/>
          </w:tcPr>
          <w:p>
            <w:pPr>
              <w:spacing w:after="20" w:before="20" w:line="240" w:lineRule="auto"/>
            </w:pPr>
            <w:r/>
            <w:r>
              <w:rPr>
                <w:rFonts w:ascii="Arial" w:hAnsi="Arial" w:cs="Arial"/>
                <w:b w:val="0"/>
                <w:i w:val="0"/>
                <w:sz w:val="17"/>
              </w:rPr>
              <w:t>RoRo</w:t>
            </w:r>
          </w:p>
        </w:tc>
        <w:tc>
          <w:tcPr>
            <w:tcW w:type="dxa" w:w="4819"/>
          </w:tcPr>
          <w:p>
            <w:pPr>
              <w:spacing w:after="20" w:before="20" w:line="240" w:lineRule="auto"/>
            </w:pPr>
            <w:r/>
            <w:r>
              <w:rPr>
                <w:rFonts w:ascii="Arial" w:hAnsi="Arial" w:cs="Arial"/>
                <w:b w:val="0"/>
                <w:i w:val="0"/>
                <w:sz w:val="17"/>
              </w:rPr>
              <w:t>"2 × RoRo Units recommended"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assistance: A1 (Groq) generates the recommendation; A2 provides historical density. UI: advisory banner with "Apply" and "Ignore" buttons. The complete advisor specification (trigger logic, pallet fit calculation, privacy guarantee, DDL) is in Section 6.15.</w:t>
      </w:r>
    </w:p>
    <w:p>
      <w:pPr>
        <w:keepNext/>
        <w:spacing w:before="180" w:after="80"/>
        <w:outlineLvl w:val="2"/>
      </w:pPr>
      <w:r>
        <w:rPr>
          <w:rFonts w:ascii="Arial" w:hAnsi="Arial" w:cs="Arial"/>
          <w:b/>
          <w:i w:val="0"/>
          <w:color w:val="333333"/>
          <w:sz w:val="23"/>
        </w:rPr>
        <w:t>6.2.11 Step 8 — Documentation Requirements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RIA-driven document checklist with mode-aware triggers.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Mode</w:t>
            </w:r>
          </w:p>
        </w:tc>
        <w:tc>
          <w:tcPr>
            <w:tcW w:type="dxa" w:w="4819"/>
            <w:shd w:val="clear" w:fill="D9E2F3"/>
          </w:tcPr>
          <w:p>
            <w:pPr>
              <w:spacing w:after="20" w:before="20" w:line="240" w:lineRule="auto"/>
            </w:pPr>
            <w:r/>
            <w:r>
              <w:rPr>
                <w:rFonts w:ascii="Arial" w:hAnsi="Arial" w:cs="Arial"/>
                <w:b/>
                <w:i w:val="0"/>
                <w:sz w:val="18"/>
              </w:rPr>
              <w:t>Auto-Triggered Documents</w:t>
            </w:r>
          </w:p>
        </w:tc>
      </w:tr>
      <w:tr>
        <w:tc>
          <w:tcPr>
            <w:tcW w:type="dxa" w:w="4819"/>
          </w:tcPr>
          <w:p>
            <w:pPr>
              <w:spacing w:after="20" w:before="20" w:line="240" w:lineRule="auto"/>
            </w:pPr>
            <w:r/>
            <w:r>
              <w:rPr>
                <w:rFonts w:ascii="Arial" w:hAnsi="Arial" w:cs="Arial"/>
                <w:b w:val="0"/>
                <w:i w:val="0"/>
                <w:sz w:val="17"/>
              </w:rPr>
              <w:t>Ocean</w:t>
            </w:r>
          </w:p>
        </w:tc>
        <w:tc>
          <w:tcPr>
            <w:tcW w:type="dxa" w:w="4819"/>
          </w:tcPr>
          <w:p>
            <w:pPr>
              <w:spacing w:after="20" w:before="20" w:line="240" w:lineRule="auto"/>
            </w:pPr>
            <w:r/>
            <w:r>
              <w:rPr>
                <w:rFonts w:ascii="Arial" w:hAnsi="Arial" w:cs="Arial"/>
                <w:b w:val="0"/>
                <w:i w:val="0"/>
                <w:sz w:val="17"/>
              </w:rPr>
              <w:t>B/L (Bill of Lading), VGM (Verified Gross Mass), Manifest</w:t>
            </w:r>
          </w:p>
        </w:tc>
      </w:tr>
      <w:tr>
        <w:tc>
          <w:tcPr>
            <w:tcW w:type="dxa" w:w="4819"/>
          </w:tcPr>
          <w:p>
            <w:pPr>
              <w:spacing w:after="20" w:before="20" w:line="240" w:lineRule="auto"/>
            </w:pPr>
            <w:r/>
            <w:r>
              <w:rPr>
                <w:rFonts w:ascii="Arial" w:hAnsi="Arial" w:cs="Arial"/>
                <w:b w:val="0"/>
                <w:i w:val="0"/>
                <w:sz w:val="17"/>
              </w:rPr>
              <w:t>Air</w:t>
            </w:r>
          </w:p>
        </w:tc>
        <w:tc>
          <w:tcPr>
            <w:tcW w:type="dxa" w:w="4819"/>
          </w:tcPr>
          <w:p>
            <w:pPr>
              <w:spacing w:after="20" w:before="20" w:line="240" w:lineRule="auto"/>
            </w:pPr>
            <w:r/>
            <w:r>
              <w:rPr>
                <w:rFonts w:ascii="Arial" w:hAnsi="Arial" w:cs="Arial"/>
                <w:b w:val="0"/>
                <w:i w:val="0"/>
                <w:sz w:val="17"/>
              </w:rPr>
              <w:t>AWB (Air Waybill), Security Declaration</w:t>
            </w:r>
          </w:p>
        </w:tc>
      </w:tr>
      <w:tr>
        <w:tc>
          <w:tcPr>
            <w:tcW w:type="dxa" w:w="4819"/>
          </w:tcPr>
          <w:p>
            <w:pPr>
              <w:spacing w:after="20" w:before="20" w:line="240" w:lineRule="auto"/>
            </w:pPr>
            <w:r/>
            <w:r>
              <w:rPr>
                <w:rFonts w:ascii="Arial" w:hAnsi="Arial" w:cs="Arial"/>
                <w:b w:val="0"/>
                <w:i w:val="0"/>
                <w:sz w:val="17"/>
              </w:rPr>
              <w:t>Rail</w:t>
            </w:r>
          </w:p>
        </w:tc>
        <w:tc>
          <w:tcPr>
            <w:tcW w:type="dxa" w:w="4819"/>
          </w:tcPr>
          <w:p>
            <w:pPr>
              <w:spacing w:after="20" w:before="20" w:line="240" w:lineRule="auto"/>
            </w:pPr>
            <w:r/>
            <w:r>
              <w:rPr>
                <w:rFonts w:ascii="Arial" w:hAnsi="Arial" w:cs="Arial"/>
                <w:b w:val="0"/>
                <w:i w:val="0"/>
                <w:sz w:val="17"/>
              </w:rPr>
              <w:t>Consignment Note</w:t>
            </w:r>
          </w:p>
        </w:tc>
      </w:tr>
      <w:tr>
        <w:tc>
          <w:tcPr>
            <w:tcW w:type="dxa" w:w="4819"/>
          </w:tcPr>
          <w:p>
            <w:pPr>
              <w:spacing w:after="20" w:before="20" w:line="240" w:lineRule="auto"/>
            </w:pPr>
            <w:r/>
            <w:r>
              <w:rPr>
                <w:rFonts w:ascii="Arial" w:hAnsi="Arial" w:cs="Arial"/>
                <w:b w:val="0"/>
                <w:i w:val="0"/>
                <w:sz w:val="17"/>
              </w:rPr>
              <w:t>Truck</w:t>
            </w:r>
          </w:p>
        </w:tc>
        <w:tc>
          <w:tcPr>
            <w:tcW w:type="dxa" w:w="4819"/>
          </w:tcPr>
          <w:p>
            <w:pPr>
              <w:spacing w:after="20" w:before="20" w:line="240" w:lineRule="auto"/>
            </w:pPr>
            <w:r/>
            <w:r>
              <w:rPr>
                <w:rFonts w:ascii="Arial" w:hAnsi="Arial" w:cs="Arial"/>
                <w:b w:val="0"/>
                <w:i w:val="0"/>
                <w:sz w:val="17"/>
              </w:rPr>
              <w:t>CMR (Road Consignment Note), Road Waybill</w:t>
            </w:r>
          </w:p>
        </w:tc>
      </w:tr>
      <w:tr>
        <w:tc>
          <w:tcPr>
            <w:tcW w:type="dxa" w:w="4819"/>
          </w:tcPr>
          <w:p>
            <w:pPr>
              <w:spacing w:after="20" w:before="20" w:line="240" w:lineRule="auto"/>
            </w:pPr>
            <w:r/>
            <w:r>
              <w:rPr>
                <w:rFonts w:ascii="Arial" w:hAnsi="Arial" w:cs="Arial"/>
                <w:b w:val="0"/>
                <w:i w:val="0"/>
                <w:sz w:val="17"/>
              </w:rPr>
              <w:t>RoRo</w:t>
            </w:r>
          </w:p>
        </w:tc>
        <w:tc>
          <w:tcPr>
            <w:tcW w:type="dxa" w:w="4819"/>
          </w:tcPr>
          <w:p>
            <w:pPr>
              <w:spacing w:after="20" w:before="20" w:line="240" w:lineRule="auto"/>
            </w:pPr>
            <w:r/>
            <w:r>
              <w:rPr>
                <w:rFonts w:ascii="Arial" w:hAnsi="Arial" w:cs="Arial"/>
                <w:b w:val="0"/>
                <w:i w:val="0"/>
                <w:sz w:val="17"/>
              </w:rPr>
              <w:t>VIN List, RoRo Manifest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Fields per document: document type (checklist), format (Original/Electronic), language requirement, trigger type (Shipment, Settlement, Customs, Financing), responsible party. Lab Report and QC Report triggers are added automatically when those services were requested. RIA pre-selects mandatory documents; document status is tracked as Pending, Uploaded, Verified, Rejected, or Expired.</w:t>
      </w:r>
    </w:p>
    <w:p>
      <w:pPr>
        <w:spacing w:after="0" w:before="0" w:line="240" w:lineRule="auto"/>
        <w:ind w:left="57"/>
        <w:jc w:val="left"/>
        <w:shd w:val="clear" w:fill="F2F2F2"/>
      </w:pPr>
      <w:r>
        <w:rPr>
          <w:rFonts w:ascii="Consolas" w:hAnsi="Consolas" w:cs="Consolas"/>
          <w:b w:val="0"/>
          <w:i w:val="0"/>
          <w:sz w:val="15"/>
        </w:rPr>
        <w:t>DOCUMENTATION REQUIREMENTS</w:t>
      </w:r>
    </w:p>
    <w:p>
      <w:pPr>
        <w:spacing w:after="0" w:before="0" w:line="240" w:lineRule="auto"/>
        <w:ind w:left="57"/>
        <w:jc w:val="left"/>
        <w:shd w:val="clear" w:fill="F2F2F2"/>
      </w:pPr>
      <w:r>
        <w:rPr>
          <w:rFonts w:ascii="Consolas" w:hAnsi="Consolas" w:cs="Consolas"/>
          <w:b w:val="0"/>
          <w:i w:val="0"/>
          <w:sz w:val="15"/>
        </w:rPr>
        <w:t xml:space="preserve">  RIA pre-selection: 12 documents required for this trade.</w:t>
      </w:r>
    </w:p>
    <w:p>
      <w:pPr>
        <w:spacing w:after="0" w:before="0" w:line="240" w:lineRule="auto"/>
        <w:ind w:left="57"/>
        <w:jc w:val="left"/>
        <w:shd w:val="clear" w:fill="F2F2F2"/>
      </w:pPr>
      <w:r>
        <w:rPr>
          <w:rFonts w:ascii="Consolas" w:hAnsi="Consolas" w:cs="Consolas"/>
          <w:b w:val="0"/>
          <w:i w:val="0"/>
          <w:sz w:val="15"/>
        </w:rPr>
        <w:t xml:space="preserve">  Mandatory: 8 | Optional: 4 | Already specified by RIA.</w:t>
      </w:r>
    </w:p>
    <w:p>
      <w:pPr>
        <w:spacing w:after="0" w:before="0" w:line="240" w:lineRule="auto"/>
        <w:ind w:left="57"/>
        <w:jc w:val="left"/>
        <w:shd w:val="clear" w:fill="F2F2F2"/>
      </w:pPr>
      <w:r>
        <w:rPr>
          <w:rFonts w:ascii="Consolas" w:hAnsi="Consolas" w:cs="Consolas"/>
          <w:b w:val="0"/>
          <w:i w:val="0"/>
          <w:sz w:val="15"/>
        </w:rPr>
        <w:t xml:space="preserve">  Document Type              Trigger(s)                  Mandatory   Format    Status</w:t>
      </w:r>
    </w:p>
    <w:p>
      <w:pPr>
        <w:spacing w:after="0" w:before="0" w:line="240" w:lineRule="auto"/>
        <w:ind w:left="57"/>
        <w:jc w:val="left"/>
        <w:shd w:val="clear" w:fill="F2F2F2"/>
      </w:pPr>
      <w:r>
        <w:rPr>
          <w:rFonts w:ascii="Consolas" w:hAnsi="Consolas" w:cs="Consolas"/>
          <w:b w:val="0"/>
          <w:i w:val="0"/>
          <w:sz w:val="15"/>
        </w:rPr>
        <w:t xml:space="preserve">  Commercial Invoice         SHIPMENT, SETTLEMENT,       Required    Electr.   Verified</w:t>
      </w:r>
    </w:p>
    <w:p>
      <w:pPr>
        <w:spacing w:after="0" w:before="0" w:line="240" w:lineRule="auto"/>
        <w:ind w:left="57"/>
        <w:jc w:val="left"/>
        <w:shd w:val="clear" w:fill="F2F2F2"/>
      </w:pPr>
      <w:r>
        <w:rPr>
          <w:rFonts w:ascii="Consolas" w:hAnsi="Consolas" w:cs="Consolas"/>
          <w:b w:val="0"/>
          <w:i w:val="0"/>
          <w:sz w:val="15"/>
        </w:rPr>
        <w:t xml:space="preserve">                             CUSTOMS, FINANCING</w:t>
      </w:r>
    </w:p>
    <w:p>
      <w:pPr>
        <w:spacing w:after="0" w:before="0" w:line="240" w:lineRule="auto"/>
        <w:ind w:left="57"/>
        <w:jc w:val="left"/>
        <w:shd w:val="clear" w:fill="F2F2F2"/>
      </w:pPr>
      <w:r>
        <w:rPr>
          <w:rFonts w:ascii="Consolas" w:hAnsi="Consolas" w:cs="Consolas"/>
          <w:b w:val="0"/>
          <w:i w:val="0"/>
          <w:sz w:val="15"/>
        </w:rPr>
        <w:t xml:space="preserve">  Packing List               SHIPMENT, SETTLEMENT,       Required    Electr.   Verified</w:t>
      </w:r>
    </w:p>
    <w:p>
      <w:pPr>
        <w:spacing w:after="0" w:before="0" w:line="240" w:lineRule="auto"/>
        <w:ind w:left="57"/>
        <w:jc w:val="left"/>
        <w:shd w:val="clear" w:fill="F2F2F2"/>
      </w:pPr>
      <w:r>
        <w:rPr>
          <w:rFonts w:ascii="Consolas" w:hAnsi="Consolas" w:cs="Consolas"/>
          <w:b w:val="0"/>
          <w:i w:val="0"/>
          <w:sz w:val="15"/>
        </w:rPr>
        <w:t xml:space="preserve">                             CUSTOMS</w:t>
      </w:r>
    </w:p>
    <w:p>
      <w:pPr>
        <w:spacing w:after="0" w:before="0" w:line="240" w:lineRule="auto"/>
        <w:ind w:left="57"/>
        <w:jc w:val="left"/>
        <w:shd w:val="clear" w:fill="F2F2F2"/>
      </w:pPr>
      <w:r>
        <w:rPr>
          <w:rFonts w:ascii="Consolas" w:hAnsi="Consolas" w:cs="Consolas"/>
          <w:b w:val="0"/>
          <w:i w:val="0"/>
          <w:sz w:val="15"/>
        </w:rPr>
        <w:t xml:space="preserve">  Bill of Lading             SHIPMENT, SETTLEMENT,       Required    Orig.     Pending</w:t>
      </w:r>
    </w:p>
    <w:p>
      <w:pPr>
        <w:spacing w:after="0" w:before="0" w:line="240" w:lineRule="auto"/>
        <w:ind w:left="57"/>
        <w:jc w:val="left"/>
        <w:shd w:val="clear" w:fill="F2F2F2"/>
      </w:pPr>
      <w:r>
        <w:rPr>
          <w:rFonts w:ascii="Consolas" w:hAnsi="Consolas" w:cs="Consolas"/>
          <w:b w:val="0"/>
          <w:i w:val="0"/>
          <w:sz w:val="15"/>
        </w:rPr>
        <w:t xml:space="preserve">                             CUSTOMS, FINANCING</w:t>
      </w:r>
    </w:p>
    <w:p>
      <w:pPr>
        <w:spacing w:after="0" w:before="0" w:line="240" w:lineRule="auto"/>
        <w:ind w:left="57"/>
        <w:jc w:val="left"/>
        <w:shd w:val="clear" w:fill="F2F2F2"/>
      </w:pPr>
      <w:r>
        <w:rPr>
          <w:rFonts w:ascii="Consolas" w:hAnsi="Consolas" w:cs="Consolas"/>
          <w:b w:val="0"/>
          <w:i w:val="0"/>
          <w:sz w:val="15"/>
        </w:rPr>
        <w:t xml:space="preserve">  Certificate of Origin      SETTLEMENT, CUSTOMS         Required    Orig.     Pending</w:t>
      </w:r>
    </w:p>
    <w:p>
      <w:pPr>
        <w:spacing w:after="0" w:before="0" w:line="240" w:lineRule="auto"/>
        <w:ind w:left="57"/>
        <w:jc w:val="left"/>
        <w:shd w:val="clear" w:fill="F2F2F2"/>
      </w:pPr>
      <w:r>
        <w:rPr>
          <w:rFonts w:ascii="Consolas" w:hAnsi="Consolas" w:cs="Consolas"/>
          <w:b w:val="0"/>
          <w:i w:val="0"/>
          <w:sz w:val="15"/>
        </w:rPr>
        <w:t xml:space="preserve">  Phytosanitary Certificate  SHIPMENT, CUSTOMS           Required    Orig.     Pending</w:t>
      </w:r>
    </w:p>
    <w:p>
      <w:pPr>
        <w:spacing w:after="0" w:before="0" w:line="240" w:lineRule="auto"/>
        <w:ind w:left="57"/>
        <w:jc w:val="left"/>
        <w:shd w:val="clear" w:fill="F2F2F2"/>
      </w:pPr>
      <w:r>
        <w:rPr>
          <w:rFonts w:ascii="Consolas" w:hAnsi="Consolas" w:cs="Consolas"/>
          <w:b w:val="0"/>
          <w:i w:val="0"/>
          <w:sz w:val="15"/>
        </w:rPr>
        <w:t xml:space="preserve">  Health Certificate         SHIPMENT, CUSTOMS           Required    Electr.   Pending</w:t>
      </w:r>
    </w:p>
    <w:p>
      <w:pPr>
        <w:spacing w:after="0" w:before="0" w:line="240" w:lineRule="auto"/>
        <w:ind w:left="57"/>
        <w:jc w:val="left"/>
        <w:shd w:val="clear" w:fill="F2F2F2"/>
      </w:pPr>
      <w:r>
        <w:rPr>
          <w:rFonts w:ascii="Consolas" w:hAnsi="Consolas" w:cs="Consolas"/>
          <w:b w:val="0"/>
          <w:i w:val="0"/>
          <w:sz w:val="15"/>
        </w:rPr>
        <w:t xml:space="preserve">  Cold Treatment Certificate SHIPMENT, CUSTOMS           Required    Orig.     Pending</w:t>
      </w:r>
    </w:p>
    <w:p>
      <w:pPr>
        <w:spacing w:after="0" w:before="0" w:line="240" w:lineRule="auto"/>
        <w:ind w:left="57"/>
        <w:jc w:val="left"/>
        <w:shd w:val="clear" w:fill="F2F2F2"/>
      </w:pPr>
      <w:r>
        <w:rPr>
          <w:rFonts w:ascii="Consolas" w:hAnsi="Consolas" w:cs="Consolas"/>
          <w:b w:val="0"/>
          <w:i w:val="0"/>
          <w:sz w:val="15"/>
        </w:rPr>
        <w:t xml:space="preserve">  Insurance Certificate      SETTLEMENT, FINANCING       Optional    Electr.   N/A</w:t>
      </w:r>
    </w:p>
    <w:p>
      <w:pPr>
        <w:spacing w:after="0" w:before="0" w:line="240" w:lineRule="auto"/>
        <w:ind w:left="57"/>
        <w:jc w:val="left"/>
        <w:shd w:val="clear" w:fill="F2F2F2"/>
      </w:pPr>
      <w:r>
        <w:rPr>
          <w:rFonts w:ascii="Consolas" w:hAnsi="Consolas" w:cs="Consolas"/>
          <w:b w:val="0"/>
          <w:i w:val="0"/>
          <w:sz w:val="15"/>
        </w:rPr>
        <w:t xml:space="preserve">  Cold Chain Log             SHIPMENT                    Optional    Electr.   N/A</w:t>
      </w:r>
    </w:p>
    <w:p>
      <w:pPr>
        <w:spacing w:after="0" w:before="0" w:line="240" w:lineRule="auto"/>
        <w:ind w:left="57"/>
        <w:jc w:val="left"/>
        <w:shd w:val="clear" w:fill="F2F2F2"/>
      </w:pPr>
      <w:r>
        <w:rPr>
          <w:rFonts w:ascii="Consolas" w:hAnsi="Consolas" w:cs="Consolas"/>
          <w:b w:val="0"/>
          <w:i w:val="0"/>
          <w:sz w:val="15"/>
        </w:rPr>
        <w:t xml:space="preserve">  DOCUMENT FORMAT &amp; LANGUAGE</w:t>
      </w:r>
    </w:p>
    <w:p>
      <w:pPr>
        <w:spacing w:after="0" w:before="0" w:line="240" w:lineRule="auto"/>
        <w:ind w:left="57"/>
        <w:jc w:val="left"/>
        <w:shd w:val="clear" w:fill="F2F2F2"/>
      </w:pPr>
      <w:r>
        <w:rPr>
          <w:rFonts w:ascii="Consolas" w:hAnsi="Consolas" w:cs="Consolas"/>
          <w:b w:val="0"/>
          <w:i w:val="0"/>
          <w:sz w:val="15"/>
        </w:rPr>
        <w:t xml:space="preserve">  Originals Required? [Yes/No]   Electronic Accepted? [Yes/No]</w:t>
      </w:r>
    </w:p>
    <w:p>
      <w:pPr>
        <w:spacing w:after="0" w:before="0" w:line="240" w:lineRule="auto"/>
        <w:ind w:left="57"/>
        <w:jc w:val="left"/>
        <w:shd w:val="clear" w:fill="F2F2F2"/>
      </w:pPr>
      <w:r>
        <w:rPr>
          <w:rFonts w:ascii="Consolas" w:hAnsi="Consolas" w:cs="Consolas"/>
          <w:b w:val="0"/>
          <w:i w:val="0"/>
          <w:sz w:val="15"/>
        </w:rPr>
        <w:t xml:space="preserve">  Language Requirement: [English ▼]</w:t>
      </w:r>
    </w:p>
    <w:p>
      <w:pPr>
        <w:spacing w:after="0" w:before="0" w:line="240" w:lineRule="auto"/>
        <w:ind w:left="57"/>
        <w:jc w:val="left"/>
        <w:shd w:val="clear" w:fill="F2F2F2"/>
      </w:pPr>
      <w:r>
        <w:rPr>
          <w:rFonts w:ascii="Consolas" w:hAnsi="Consolas" w:cs="Consolas"/>
          <w:b w:val="0"/>
          <w:i w:val="0"/>
          <w:sz w:val="15"/>
        </w:rPr>
        <w:t xml:space="preserve">  DOCUMENTATION TIMING</w:t>
      </w:r>
    </w:p>
    <w:p>
      <w:pPr>
        <w:spacing w:after="0" w:before="0" w:line="240" w:lineRule="auto"/>
        <w:ind w:left="57"/>
        <w:jc w:val="left"/>
        <w:shd w:val="clear" w:fill="F2F2F2"/>
      </w:pPr>
      <w:r>
        <w:rPr>
          <w:rFonts w:ascii="Consolas" w:hAnsi="Consolas" w:cs="Consolas"/>
          <w:b w:val="0"/>
          <w:i w:val="0"/>
          <w:sz w:val="15"/>
        </w:rPr>
        <w:t xml:space="preserve">  Before Shipment: Export License, Inspection Certificate, COO</w:t>
      </w:r>
    </w:p>
    <w:p>
      <w:pPr>
        <w:spacing w:after="0" w:before="0" w:line="240" w:lineRule="auto"/>
        <w:ind w:left="57"/>
        <w:jc w:val="left"/>
        <w:shd w:val="clear" w:fill="F2F2F2"/>
      </w:pPr>
      <w:r>
        <w:rPr>
          <w:rFonts w:ascii="Consolas" w:hAnsi="Consolas" w:cs="Consolas"/>
          <w:b w:val="0"/>
          <w:i w:val="0"/>
          <w:sz w:val="15"/>
        </w:rPr>
        <w:t xml:space="preserve">  Before Payment: Bill of Lading, Commercial Invoice, Insurance</w:t>
      </w:r>
    </w:p>
    <w:p>
      <w:pPr>
        <w:spacing w:after="0" w:before="0" w:line="240" w:lineRule="auto"/>
        <w:ind w:left="57"/>
        <w:jc w:val="left"/>
        <w:shd w:val="clear" w:fill="F2F2F2"/>
      </w:pPr>
      <w:r>
        <w:rPr>
          <w:rFonts w:ascii="Consolas" w:hAnsi="Consolas" w:cs="Consolas"/>
          <w:b w:val="0"/>
          <w:i w:val="0"/>
          <w:sz w:val="15"/>
        </w:rPr>
        <w:t xml:space="preserve">  [Add Custom Document] [Reset to RIA Defaults] [Export Checklist]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complete documentation specification (trigger model, verification, fraud detection, DDL) is in Section 6.7.</w:t>
      </w:r>
    </w:p>
    <w:p>
      <w:pPr>
        <w:keepNext/>
        <w:spacing w:before="180" w:after="80"/>
        <w:outlineLvl w:val="2"/>
      </w:pPr>
      <w:r>
        <w:rPr>
          <w:rFonts w:ascii="Arial" w:hAnsi="Arial" w:cs="Arial"/>
          <w:b/>
          <w:i w:val="0"/>
          <w:color w:val="333333"/>
          <w:sz w:val="23"/>
        </w:rPr>
        <w:t>6.2.12 Step 9 — Insurance Requirements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Options</w:t>
            </w:r>
          </w:p>
        </w:tc>
        <w:tc>
          <w:tcPr>
            <w:tcW w:type="dxa" w:w="2409"/>
            <w:shd w:val="clear" w:fill="D9E2F3"/>
          </w:tcPr>
          <w:p>
            <w:pPr>
              <w:spacing w:after="20" w:before="20" w:line="240" w:lineRule="auto"/>
            </w:pPr>
            <w:r/>
            <w:r>
              <w:rPr>
                <w:rFonts w:ascii="Arial" w:hAnsi="Arial" w:cs="Arial"/>
                <w:b/>
                <w:i w:val="0"/>
                <w:sz w:val="18"/>
              </w:rPr>
              <w:t>Default</w:t>
            </w:r>
          </w:p>
        </w:tc>
      </w:tr>
      <w:tr>
        <w:tc>
          <w:tcPr>
            <w:tcW w:type="dxa" w:w="2409"/>
          </w:tcPr>
          <w:p>
            <w:pPr>
              <w:spacing w:after="20" w:before="20" w:line="240" w:lineRule="auto"/>
            </w:pPr>
            <w:r/>
            <w:r>
              <w:rPr>
                <w:rFonts w:ascii="Arial" w:hAnsi="Arial" w:cs="Arial"/>
                <w:b w:val="0"/>
                <w:i w:val="0"/>
                <w:sz w:val="17"/>
              </w:rPr>
              <w:t>Insurance Requirement</w:t>
            </w:r>
          </w:p>
        </w:tc>
        <w:tc>
          <w:tcPr>
            <w:tcW w:type="dxa" w:w="2409"/>
          </w:tcPr>
          <w:p>
            <w:pPr>
              <w:spacing w:after="20" w:before="20" w:line="240" w:lineRule="auto"/>
            </w:pPr>
            <w:r/>
            <w:r>
              <w:rPr>
                <w:rFonts w:ascii="Arial" w:hAnsi="Arial" w:cs="Arial"/>
                <w:b w:val="0"/>
                <w:i w:val="0"/>
                <w:sz w:val="17"/>
              </w:rPr>
              <w:t>Radio</w:t>
            </w:r>
          </w:p>
        </w:tc>
        <w:tc>
          <w:tcPr>
            <w:tcW w:type="dxa" w:w="2409"/>
          </w:tcPr>
          <w:p>
            <w:pPr>
              <w:spacing w:after="20" w:before="20" w:line="240" w:lineRule="auto"/>
            </w:pPr>
            <w:r/>
            <w:r>
              <w:rPr>
                <w:rFonts w:ascii="Arial" w:hAnsi="Arial" w:cs="Arial"/>
                <w:b w:val="0"/>
                <w:i w:val="0"/>
                <w:sz w:val="17"/>
              </w:rPr>
              <w:t>Required, Optional, Not Required</w:t>
            </w:r>
          </w:p>
        </w:tc>
        <w:tc>
          <w:tcPr>
            <w:tcW w:type="dxa" w:w="2409"/>
          </w:tcPr>
          <w:p>
            <w:pPr>
              <w:spacing w:after="20" w:before="20" w:line="240" w:lineRule="auto"/>
            </w:pPr>
            <w:r/>
            <w:r>
              <w:rPr>
                <w:rFonts w:ascii="Arial" w:hAnsi="Arial" w:cs="Arial"/>
                <w:b w:val="0"/>
                <w:i w:val="0"/>
                <w:sz w:val="17"/>
              </w:rPr>
              <w:t>Optional</w:t>
            </w:r>
          </w:p>
        </w:tc>
      </w:tr>
      <w:tr>
        <w:tc>
          <w:tcPr>
            <w:tcW w:type="dxa" w:w="2409"/>
          </w:tcPr>
          <w:p>
            <w:pPr>
              <w:spacing w:after="20" w:before="20" w:line="240" w:lineRule="auto"/>
            </w:pPr>
            <w:r/>
            <w:r>
              <w:rPr>
                <w:rFonts w:ascii="Arial" w:hAnsi="Arial" w:cs="Arial"/>
                <w:b w:val="0"/>
                <w:i w:val="0"/>
                <w:sz w:val="17"/>
              </w:rPr>
              <w:t>Responsible Party</w:t>
            </w:r>
          </w:p>
        </w:tc>
        <w:tc>
          <w:tcPr>
            <w:tcW w:type="dxa" w:w="2409"/>
          </w:tcPr>
          <w:p>
            <w:pPr>
              <w:spacing w:after="20" w:before="20" w:line="240" w:lineRule="auto"/>
            </w:pPr>
            <w:r/>
            <w:r>
              <w:rPr>
                <w:rFonts w:ascii="Arial" w:hAnsi="Arial" w:cs="Arial"/>
                <w:b w:val="0"/>
                <w:i w:val="0"/>
                <w:sz w:val="17"/>
              </w:rPr>
              <w:t>Radio</w:t>
            </w:r>
          </w:p>
        </w:tc>
        <w:tc>
          <w:tcPr>
            <w:tcW w:type="dxa" w:w="2409"/>
          </w:tcPr>
          <w:p>
            <w:pPr>
              <w:spacing w:after="20" w:before="20" w:line="240" w:lineRule="auto"/>
            </w:pPr>
            <w:r/>
            <w:r>
              <w:rPr>
                <w:rFonts w:ascii="Arial" w:hAnsi="Arial" w:cs="Arial"/>
                <w:b w:val="0"/>
                <w:i w:val="0"/>
                <w:sz w:val="17"/>
              </w:rPr>
              <w:t>Buyer, Seller, According To Incoterm</w:t>
            </w:r>
          </w:p>
        </w:tc>
        <w:tc>
          <w:tcPr>
            <w:tcW w:type="dxa" w:w="2409"/>
          </w:tcPr>
          <w:p>
            <w:pPr>
              <w:spacing w:after="20" w:before="20" w:line="240" w:lineRule="auto"/>
            </w:pPr>
            <w:r/>
            <w:r>
              <w:rPr>
                <w:rFonts w:ascii="Arial" w:hAnsi="Arial" w:cs="Arial"/>
                <w:b w:val="0"/>
                <w:i w:val="0"/>
                <w:sz w:val="17"/>
              </w:rPr>
              <w:t>According To Incoterm</w:t>
            </w:r>
          </w:p>
        </w:tc>
      </w:tr>
      <w:tr>
        <w:tc>
          <w:tcPr>
            <w:tcW w:type="dxa" w:w="2409"/>
          </w:tcPr>
          <w:p>
            <w:pPr>
              <w:spacing w:after="20" w:before="20" w:line="240" w:lineRule="auto"/>
            </w:pPr>
            <w:r/>
            <w:r>
              <w:rPr>
                <w:rFonts w:ascii="Arial" w:hAnsi="Arial" w:cs="Arial"/>
                <w:b w:val="0"/>
                <w:i w:val="0"/>
                <w:sz w:val="17"/>
              </w:rPr>
              <w:t>Insurance Type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All Risks, FPA, WA, ICC(A), ICC(B), ICC(C), Reefer, Livestock, War, Strikes</w:t>
            </w:r>
          </w:p>
        </w:tc>
        <w:tc>
          <w:tcPr>
            <w:tcW w:type="dxa" w:w="2409"/>
          </w:tcPr>
          <w:p>
            <w:pPr>
              <w:spacing w:after="20" w:before="20" w:line="240" w:lineRule="auto"/>
            </w:pPr>
            <w:r/>
            <w:r>
              <w:rPr>
                <w:rFonts w:ascii="Arial" w:hAnsi="Arial" w:cs="Arial"/>
                <w:b w:val="0"/>
                <w:i w:val="0"/>
                <w:sz w:val="17"/>
              </w:rPr>
              <w:t>All Risks</w:t>
            </w:r>
          </w:p>
        </w:tc>
      </w:tr>
      <w:tr>
        <w:tc>
          <w:tcPr>
            <w:tcW w:type="dxa" w:w="2409"/>
          </w:tcPr>
          <w:p>
            <w:pPr>
              <w:spacing w:after="20" w:before="20" w:line="240" w:lineRule="auto"/>
            </w:pPr>
            <w:r/>
            <w:r>
              <w:rPr>
                <w:rFonts w:ascii="Arial" w:hAnsi="Arial" w:cs="Arial"/>
                <w:b w:val="0"/>
                <w:i w:val="0"/>
                <w:sz w:val="17"/>
              </w:rPr>
              <w:t>Coverage Amount</w:t>
            </w:r>
          </w:p>
        </w:tc>
        <w:tc>
          <w:tcPr>
            <w:tcW w:type="dxa" w:w="2409"/>
          </w:tcPr>
          <w:p>
            <w:pPr>
              <w:spacing w:after="20" w:before="20" w:line="240" w:lineRule="auto"/>
            </w:pPr>
            <w:r/>
            <w:r>
              <w:rPr>
                <w:rFonts w:ascii="Arial" w:hAnsi="Arial" w:cs="Arial"/>
                <w:b w:val="0"/>
                <w:i w:val="0"/>
                <w:sz w:val="17"/>
              </w:rPr>
              <w:t>Number + %</w:t>
            </w:r>
          </w:p>
        </w:tc>
        <w:tc>
          <w:tcPr>
            <w:tcW w:type="dxa" w:w="2409"/>
          </w:tcPr>
          <w:p>
            <w:pPr>
              <w:spacing w:after="20" w:before="20" w:line="240" w:lineRule="auto"/>
            </w:pPr>
            <w:r/>
            <w:r>
              <w:rPr>
                <w:rFonts w:ascii="Arial" w:hAnsi="Arial" w:cs="Arial"/>
                <w:b w:val="0"/>
                <w:i w:val="0"/>
                <w:sz w:val="17"/>
              </w:rPr>
              <w:t>100%, 110%, 120%, Custom</w:t>
            </w:r>
          </w:p>
        </w:tc>
        <w:tc>
          <w:tcPr>
            <w:tcW w:type="dxa" w:w="2409"/>
          </w:tcPr>
          <w:p>
            <w:pPr>
              <w:spacing w:after="20" w:before="20" w:line="240" w:lineRule="auto"/>
            </w:pPr>
            <w:r/>
            <w:r>
              <w:rPr>
                <w:rFonts w:ascii="Arial" w:hAnsi="Arial" w:cs="Arial"/>
                <w:b w:val="0"/>
                <w:i w:val="0"/>
                <w:sz w:val="17"/>
              </w:rPr>
              <w:t>110%</w:t>
            </w:r>
          </w:p>
        </w:tc>
      </w:tr>
      <w:tr>
        <w:tc>
          <w:tcPr>
            <w:tcW w:type="dxa" w:w="2409"/>
          </w:tcPr>
          <w:p>
            <w:pPr>
              <w:spacing w:after="20" w:before="20" w:line="240" w:lineRule="auto"/>
            </w:pPr>
            <w:r/>
            <w:r>
              <w:rPr>
                <w:rFonts w:ascii="Arial" w:hAnsi="Arial" w:cs="Arial"/>
                <w:b w:val="0"/>
                <w:i w:val="0"/>
                <w:sz w:val="17"/>
              </w:rPr>
              <w:t>Coverage Currency</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USD, EUR, GBP, Other</w:t>
            </w:r>
          </w:p>
        </w:tc>
        <w:tc>
          <w:tcPr>
            <w:tcW w:type="dxa" w:w="2409"/>
          </w:tcPr>
          <w:p>
            <w:pPr>
              <w:spacing w:after="20" w:before="20" w:line="240" w:lineRule="auto"/>
            </w:pPr>
            <w:r/>
            <w:r>
              <w:rPr>
                <w:rFonts w:ascii="Arial" w:hAnsi="Arial" w:cs="Arial"/>
                <w:b w:val="0"/>
                <w:i w:val="0"/>
                <w:sz w:val="17"/>
              </w:rPr>
              <w:t>USD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auto-checks Incoterm compatibility (CIF/CIP require insurance); destination-specific requirements are displayed (RIA-driven); policy information is optional at this stage. AI assistance: A1 recommendations. The complete insurance specification (incoterm rules, RIA requirements, certificate verification, DDL) is in Section 6.10.</w:t>
      </w:r>
    </w:p>
    <w:p>
      <w:pPr>
        <w:keepNext/>
        <w:spacing w:before="180" w:after="80"/>
        <w:outlineLvl w:val="2"/>
      </w:pPr>
      <w:r>
        <w:rPr>
          <w:rFonts w:ascii="Arial" w:hAnsi="Arial" w:cs="Arial"/>
          <w:b/>
          <w:i w:val="0"/>
          <w:color w:val="333333"/>
          <w:sz w:val="23"/>
        </w:rPr>
        <w:t>6.2.13 Step 10 — Delivery Window &amp; Special Instructions</w:t>
      </w:r>
    </w:p>
    <w:p>
      <w:pPr>
        <w:spacing w:after="80" w:line="293" w:lineRule="auto"/>
        <w:jc w:val="left"/>
      </w:pPr>
      <w:r>
        <w:rPr>
          <w:rFonts w:ascii="Times New Roman" w:hAnsi="Times New Roman" w:cs="Times New Roman"/>
          <w:b/>
          <w:i w:val="0"/>
          <w:sz w:val="22"/>
        </w:rPr>
        <w:t>Fields:</w:t>
      </w:r>
      <w:r>
        <w:rPr>
          <w:rFonts w:ascii="Times New Roman" w:hAnsi="Times New Roman" w:cs="Times New Roman"/>
          <w:b w:val="0"/>
          <w:i w:val="0"/>
          <w:sz w:val="22"/>
        </w:rPr>
        <w:t xml:space="preserve"> Earliest Acceptable Date (must be in the future); Preferred Date (≥ Earliest); Latest Acceptable Date (≥ Preferred); Special Instructions (free text with AI suggestion chips).</w:t>
      </w:r>
    </w:p>
    <w:p>
      <w:pPr>
        <w:spacing w:after="80" w:line="293" w:lineRule="auto"/>
        <w:jc w:val="left"/>
      </w:pPr>
      <w:r>
        <w:rPr>
          <w:rFonts w:ascii="Times New Roman" w:hAnsi="Times New Roman" w:cs="Times New Roman"/>
          <w:b w:val="0"/>
          <w:i w:val="0"/>
          <w:sz w:val="22"/>
        </w:rPr>
        <w:t>System behaviour: validates date logic (Earliest ≤ Preferred ≤ Latest); window ≤ maximum allowed (configurable, default 30 days); A1 suggests common instructions based on product and destination; saved templates are available. The delivery window engine is specified in Section 6.9; special instructions in Section 6.8.</w:t>
      </w:r>
    </w:p>
    <w:p>
      <w:pPr>
        <w:keepNext/>
        <w:spacing w:before="180" w:after="80"/>
        <w:outlineLvl w:val="2"/>
      </w:pPr>
      <w:r>
        <w:rPr>
          <w:rFonts w:ascii="Arial" w:hAnsi="Arial" w:cs="Arial"/>
          <w:b/>
          <w:i w:val="0"/>
          <w:color w:val="333333"/>
          <w:sz w:val="23"/>
        </w:rPr>
        <w:t>6.2.14 Step 11 — Trade Criticality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Level</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Operational Implications</w:t>
            </w:r>
          </w:p>
        </w:tc>
      </w:tr>
      <w:tr>
        <w:tc>
          <w:tcPr>
            <w:tcW w:type="dxa" w:w="3213"/>
          </w:tcPr>
          <w:p>
            <w:pPr>
              <w:spacing w:after="20" w:before="20" w:line="240" w:lineRule="auto"/>
            </w:pPr>
            <w:r/>
            <w:r>
              <w:rPr>
                <w:rFonts w:ascii="Arial" w:hAnsi="Arial" w:cs="Arial"/>
                <w:b w:val="0"/>
                <w:i w:val="0"/>
                <w:sz w:val="17"/>
              </w:rPr>
              <w:t>Routine</w:t>
            </w:r>
          </w:p>
        </w:tc>
        <w:tc>
          <w:tcPr>
            <w:tcW w:type="dxa" w:w="3213"/>
          </w:tcPr>
          <w:p>
            <w:pPr>
              <w:spacing w:after="20" w:before="20" w:line="240" w:lineRule="auto"/>
            </w:pPr>
            <w:r/>
            <w:r>
              <w:rPr>
                <w:rFonts w:ascii="Arial" w:hAnsi="Arial" w:cs="Arial"/>
                <w:b w:val="0"/>
                <w:i w:val="0"/>
                <w:sz w:val="17"/>
              </w:rPr>
              <w:t>Standard trade</w:t>
            </w:r>
          </w:p>
        </w:tc>
        <w:tc>
          <w:tcPr>
            <w:tcW w:type="dxa" w:w="3213"/>
          </w:tcPr>
          <w:p>
            <w:pPr>
              <w:spacing w:after="20" w:before="20" w:line="240" w:lineRule="auto"/>
            </w:pPr>
            <w:r/>
            <w:r>
              <w:rPr>
                <w:rFonts w:ascii="Arial" w:hAnsi="Arial" w:cs="Arial"/>
                <w:b w:val="0"/>
                <w:i w:val="0"/>
                <w:sz w:val="17"/>
              </w:rPr>
              <w:t>Normal workflow, standard SLA</w:t>
            </w:r>
          </w:p>
        </w:tc>
      </w:tr>
      <w:tr>
        <w:tc>
          <w:tcPr>
            <w:tcW w:type="dxa" w:w="3213"/>
          </w:tcPr>
          <w:p>
            <w:pPr>
              <w:spacing w:after="20" w:before="20" w:line="240" w:lineRule="auto"/>
            </w:pPr>
            <w:r/>
            <w:r>
              <w:rPr>
                <w:rFonts w:ascii="Arial" w:hAnsi="Arial" w:cs="Arial"/>
                <w:b w:val="0"/>
                <w:i w:val="0"/>
                <w:sz w:val="17"/>
              </w:rPr>
              <w:t>Priority</w:t>
            </w:r>
          </w:p>
        </w:tc>
        <w:tc>
          <w:tcPr>
            <w:tcW w:type="dxa" w:w="3213"/>
          </w:tcPr>
          <w:p>
            <w:pPr>
              <w:spacing w:after="20" w:before="20" w:line="240" w:lineRule="auto"/>
            </w:pPr>
            <w:r/>
            <w:r>
              <w:rPr>
                <w:rFonts w:ascii="Arial" w:hAnsi="Arial" w:cs="Arial"/>
                <w:b w:val="0"/>
                <w:i w:val="0"/>
                <w:sz w:val="17"/>
              </w:rPr>
              <w:t>Important trade</w:t>
            </w:r>
          </w:p>
        </w:tc>
        <w:tc>
          <w:tcPr>
            <w:tcW w:type="dxa" w:w="3213"/>
          </w:tcPr>
          <w:p>
            <w:pPr>
              <w:spacing w:after="20" w:before="20" w:line="240" w:lineRule="auto"/>
            </w:pPr>
            <w:r/>
            <w:r>
              <w:rPr>
                <w:rFonts w:ascii="Arial" w:hAnsi="Arial" w:cs="Arial"/>
                <w:b w:val="0"/>
                <w:i w:val="0"/>
                <w:sz w:val="17"/>
              </w:rPr>
              <w:t>Expedited workflow, shorter SLA</w:t>
            </w:r>
          </w:p>
        </w:tc>
      </w:tr>
      <w:tr>
        <w:tc>
          <w:tcPr>
            <w:tcW w:type="dxa" w:w="3213"/>
          </w:tcPr>
          <w:p>
            <w:pPr>
              <w:spacing w:after="20" w:before="20" w:line="240" w:lineRule="auto"/>
            </w:pPr>
            <w:r/>
            <w:r>
              <w:rPr>
                <w:rFonts w:ascii="Arial" w:hAnsi="Arial" w:cs="Arial"/>
                <w:b w:val="0"/>
                <w:i w:val="0"/>
                <w:sz w:val="17"/>
              </w:rPr>
              <w:t>Critical</w:t>
            </w:r>
          </w:p>
        </w:tc>
        <w:tc>
          <w:tcPr>
            <w:tcW w:type="dxa" w:w="3213"/>
          </w:tcPr>
          <w:p>
            <w:pPr>
              <w:spacing w:after="20" w:before="20" w:line="240" w:lineRule="auto"/>
            </w:pPr>
            <w:r/>
            <w:r>
              <w:rPr>
                <w:rFonts w:ascii="Arial" w:hAnsi="Arial" w:cs="Arial"/>
                <w:b w:val="0"/>
                <w:i w:val="0"/>
                <w:sz w:val="17"/>
              </w:rPr>
              <w:t>Urgent trade</w:t>
            </w:r>
          </w:p>
        </w:tc>
        <w:tc>
          <w:tcPr>
            <w:tcW w:type="dxa" w:w="3213"/>
          </w:tcPr>
          <w:p>
            <w:pPr>
              <w:spacing w:after="20" w:before="20" w:line="240" w:lineRule="auto"/>
            </w:pPr>
            <w:r/>
            <w:r>
              <w:rPr>
                <w:rFonts w:ascii="Arial" w:hAnsi="Arial" w:cs="Arial"/>
                <w:b w:val="0"/>
                <w:i w:val="0"/>
                <w:sz w:val="17"/>
              </w:rPr>
              <w:t>Immediate workflow, shortest SLA</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A1 suggests criticality based on commodity, value, destination, and delivery window; criticality drives approval routing, Smart Inbox priority, escalation thresholds, and logistics booking priority. The complete criticality specification is in Section 6.13.</w:t>
      </w:r>
    </w:p>
    <w:p>
      <w:pPr>
        <w:keepNext/>
        <w:spacing w:before="180" w:after="80"/>
        <w:outlineLvl w:val="2"/>
      </w:pPr>
      <w:r>
        <w:rPr>
          <w:rFonts w:ascii="Arial" w:hAnsi="Arial" w:cs="Arial"/>
          <w:b/>
          <w:i w:val="0"/>
          <w:color w:val="333333"/>
          <w:sz w:val="23"/>
        </w:rPr>
        <w:t>6.2.15 Step 12 — Draft Auto-Save</w:t>
      </w:r>
    </w:p>
    <w:p>
      <w:pPr>
        <w:spacing w:after="80" w:line="293" w:lineRule="auto"/>
        <w:jc w:val="left"/>
      </w:pPr>
      <w:r>
        <w:rPr>
          <w:rFonts w:ascii="Times New Roman" w:hAnsi="Times New Roman" w:cs="Times New Roman"/>
          <w:b/>
          <w:i w:val="0"/>
          <w:sz w:val="22"/>
        </w:rPr>
        <w:t>Behaviour:</w:t>
      </w:r>
      <w:r>
        <w:rPr>
          <w:rFonts w:ascii="Times New Roman" w:hAnsi="Times New Roman" w:cs="Times New Roman"/>
          <w:b w:val="0"/>
          <w:i w:val="0"/>
          <w:sz w:val="22"/>
        </w:rPr>
        <w:t xml:space="preserve"> auto-save every 30 seconds (debounced); drafts stored in `trade_requests` with `is_draft = true`; draft expiry after 14 days of inactivity with reminders at day 11 and day 13; recovery via Smart Inbox ("Continue draft trade request from [date]"); admin restoration via Company Admin → Drafts. One-click resume. The complete draft lifecycle specification is in Section 6.16.</w:t>
      </w:r>
    </w:p>
    <w:p>
      <w:pPr>
        <w:keepNext/>
        <w:spacing w:before="180" w:after="80"/>
        <w:outlineLvl w:val="2"/>
      </w:pPr>
      <w:r>
        <w:rPr>
          <w:rFonts w:ascii="Arial" w:hAnsi="Arial" w:cs="Arial"/>
          <w:b/>
          <w:i w:val="0"/>
          <w:color w:val="333333"/>
          <w:sz w:val="23"/>
        </w:rPr>
        <w:t>6.2.16 Step 13 — Submit Trade Request</w:t>
      </w:r>
    </w:p>
    <w:p>
      <w:pPr>
        <w:spacing w:after="80" w:line="293" w:lineRule="auto"/>
        <w:jc w:val="left"/>
      </w:pPr>
      <w:r>
        <w:rPr>
          <w:rFonts w:ascii="Times New Roman" w:hAnsi="Times New Roman" w:cs="Times New Roman"/>
          <w:b w:val="0"/>
          <w:i w:val="0"/>
          <w:sz w:val="22"/>
        </w:rPr>
        <w:t>Pre-submission checklist (auto-validated):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Area</w:t>
            </w:r>
          </w:p>
        </w:tc>
        <w:tc>
          <w:tcPr>
            <w:tcW w:type="dxa" w:w="4819"/>
            <w:shd w:val="clear" w:fill="D9E2F3"/>
          </w:tcPr>
          <w:p>
            <w:pPr>
              <w:spacing w:after="20" w:before="20" w:line="240" w:lineRule="auto"/>
            </w:pPr>
            <w:r/>
            <w:r>
              <w:rPr>
                <w:rFonts w:ascii="Arial" w:hAnsi="Arial" w:cs="Arial"/>
                <w:b/>
                <w:i w:val="0"/>
                <w:sz w:val="18"/>
              </w:rPr>
              <w:t>Validation</w:t>
            </w:r>
          </w:p>
        </w:tc>
      </w:tr>
      <w:tr>
        <w:tc>
          <w:tcPr>
            <w:tcW w:type="dxa" w:w="4819"/>
          </w:tcPr>
          <w:p>
            <w:pPr>
              <w:spacing w:after="20" w:before="20" w:line="240" w:lineRule="auto"/>
            </w:pPr>
            <w:r/>
            <w:r>
              <w:rPr>
                <w:rFonts w:ascii="Arial" w:hAnsi="Arial" w:cs="Arial"/>
                <w:b w:val="0"/>
                <w:i w:val="0"/>
                <w:sz w:val="17"/>
              </w:rPr>
              <w:t>Seller</w:t>
            </w:r>
          </w:p>
        </w:tc>
        <w:tc>
          <w:tcPr>
            <w:tcW w:type="dxa" w:w="4819"/>
          </w:tcPr>
          <w:p>
            <w:pPr>
              <w:spacing w:after="20" w:before="20" w:line="240" w:lineRule="auto"/>
            </w:pPr>
            <w:r/>
            <w:r>
              <w:rPr>
                <w:rFonts w:ascii="Arial" w:hAnsi="Arial" w:cs="Arial"/>
                <w:b w:val="0"/>
                <w:i w:val="0"/>
                <w:sz w:val="17"/>
              </w:rPr>
              <w:t>GTID resolved, sanctions cleared, not blocked</w:t>
            </w:r>
          </w:p>
        </w:tc>
      </w:tr>
      <w:tr>
        <w:tc>
          <w:tcPr>
            <w:tcW w:type="dxa" w:w="4819"/>
          </w:tcPr>
          <w:p>
            <w:pPr>
              <w:spacing w:after="20" w:before="20" w:line="240" w:lineRule="auto"/>
            </w:pPr>
            <w:r/>
            <w:r>
              <w:rPr>
                <w:rFonts w:ascii="Arial" w:hAnsi="Arial" w:cs="Arial"/>
                <w:b w:val="0"/>
                <w:i w:val="0"/>
                <w:sz w:val="17"/>
              </w:rPr>
              <w:t>Incoterm</w:t>
            </w:r>
          </w:p>
        </w:tc>
        <w:tc>
          <w:tcPr>
            <w:tcW w:type="dxa" w:w="4819"/>
          </w:tcPr>
          <w:p>
            <w:pPr>
              <w:spacing w:after="20" w:before="20" w:line="240" w:lineRule="auto"/>
            </w:pPr>
            <w:r/>
            <w:r>
              <w:rPr>
                <w:rFonts w:ascii="Arial" w:hAnsi="Arial" w:cs="Arial"/>
                <w:b w:val="0"/>
                <w:i w:val="0"/>
                <w:sz w:val="17"/>
              </w:rPr>
              <w:t>Valid, compatible with jurisdiction/transport</w:t>
            </w:r>
          </w:p>
        </w:tc>
      </w:tr>
      <w:tr>
        <w:tc>
          <w:tcPr>
            <w:tcW w:type="dxa" w:w="4819"/>
          </w:tcPr>
          <w:p>
            <w:pPr>
              <w:spacing w:after="20" w:before="20" w:line="240" w:lineRule="auto"/>
            </w:pPr>
            <w:r/>
            <w:r>
              <w:rPr>
                <w:rFonts w:ascii="Arial" w:hAnsi="Arial" w:cs="Arial"/>
                <w:b w:val="0"/>
                <w:i w:val="0"/>
                <w:sz w:val="17"/>
              </w:rPr>
              <w:t>Commercial</w:t>
            </w:r>
          </w:p>
        </w:tc>
        <w:tc>
          <w:tcPr>
            <w:tcW w:type="dxa" w:w="4819"/>
          </w:tcPr>
          <w:p>
            <w:pPr>
              <w:spacing w:after="20" w:before="20" w:line="240" w:lineRule="auto"/>
            </w:pPr>
            <w:r/>
            <w:r>
              <w:rPr>
                <w:rFonts w:ascii="Arial" w:hAnsi="Arial" w:cs="Arial"/>
                <w:b w:val="0"/>
                <w:i w:val="0"/>
                <w:sz w:val="17"/>
              </w:rPr>
              <w:t>Settlement preferences complete, financing flag captured</w:t>
            </w:r>
          </w:p>
        </w:tc>
      </w:tr>
      <w:tr>
        <w:tc>
          <w:tcPr>
            <w:tcW w:type="dxa" w:w="4819"/>
          </w:tcPr>
          <w:p>
            <w:pPr>
              <w:spacing w:after="20" w:before="20" w:line="240" w:lineRule="auto"/>
            </w:pPr>
            <w:r/>
            <w:r>
              <w:rPr>
                <w:rFonts w:ascii="Arial" w:hAnsi="Arial" w:cs="Arial"/>
                <w:b w:val="0"/>
                <w:i w:val="0"/>
                <w:sz w:val="17"/>
              </w:rPr>
              <w:t>Transport</w:t>
            </w:r>
          </w:p>
        </w:tc>
        <w:tc>
          <w:tcPr>
            <w:tcW w:type="dxa" w:w="4819"/>
          </w:tcPr>
          <w:p>
            <w:pPr>
              <w:spacing w:after="20" w:before="20" w:line="240" w:lineRule="auto"/>
            </w:pPr>
            <w:r/>
            <w:r>
              <w:rPr>
                <w:rFonts w:ascii="Arial" w:hAnsi="Arial" w:cs="Arial"/>
                <w:b w:val="0"/>
                <w:i w:val="0"/>
                <w:sz w:val="17"/>
              </w:rPr>
              <w:t>Mode valid, equipment valid, capacity OK</w:t>
            </w:r>
          </w:p>
        </w:tc>
      </w:tr>
      <w:tr>
        <w:tc>
          <w:tcPr>
            <w:tcW w:type="dxa" w:w="4819"/>
          </w:tcPr>
          <w:p>
            <w:pPr>
              <w:spacing w:after="20" w:before="20" w:line="240" w:lineRule="auto"/>
            </w:pPr>
            <w:r/>
            <w:r>
              <w:rPr>
                <w:rFonts w:ascii="Arial" w:hAnsi="Arial" w:cs="Arial"/>
                <w:b w:val="0"/>
                <w:i w:val="0"/>
                <w:sz w:val="17"/>
              </w:rPr>
              <w:t>Commodities</w:t>
            </w:r>
          </w:p>
        </w:tc>
        <w:tc>
          <w:tcPr>
            <w:tcW w:type="dxa" w:w="4819"/>
          </w:tcPr>
          <w:p>
            <w:pPr>
              <w:spacing w:after="20" w:before="20" w:line="240" w:lineRule="auto"/>
            </w:pPr>
            <w:r/>
            <w:r>
              <w:rPr>
                <w:rFonts w:ascii="Arial" w:hAnsi="Arial" w:cs="Arial"/>
                <w:b w:val="0"/>
                <w:i w:val="0"/>
                <w:sz w:val="17"/>
              </w:rPr>
              <w:t>HS code valid, quantity &gt; 0, packaging specified</w:t>
            </w:r>
          </w:p>
        </w:tc>
      </w:tr>
      <w:tr>
        <w:tc>
          <w:tcPr>
            <w:tcW w:type="dxa" w:w="4819"/>
          </w:tcPr>
          <w:p>
            <w:pPr>
              <w:spacing w:after="20" w:before="20" w:line="240" w:lineRule="auto"/>
            </w:pPr>
            <w:r/>
            <w:r>
              <w:rPr>
                <w:rFonts w:ascii="Arial" w:hAnsi="Arial" w:cs="Arial"/>
                <w:b w:val="0"/>
                <w:i w:val="0"/>
                <w:sz w:val="17"/>
              </w:rPr>
              <w:t>Lab Tests</w:t>
            </w:r>
          </w:p>
        </w:tc>
        <w:tc>
          <w:tcPr>
            <w:tcW w:type="dxa" w:w="4819"/>
          </w:tcPr>
          <w:p>
            <w:pPr>
              <w:spacing w:after="20" w:before="20" w:line="240" w:lineRule="auto"/>
            </w:pPr>
            <w:r/>
            <w:r>
              <w:rPr>
                <w:rFonts w:ascii="Arial" w:hAnsi="Arial" w:cs="Arial"/>
                <w:b w:val="0"/>
                <w:i w:val="0"/>
                <w:sz w:val="17"/>
              </w:rPr>
              <w:t>All mandatory tests selected (G1U4)</w:t>
            </w:r>
          </w:p>
        </w:tc>
      </w:tr>
      <w:tr>
        <w:tc>
          <w:tcPr>
            <w:tcW w:type="dxa" w:w="4819"/>
          </w:tcPr>
          <w:p>
            <w:pPr>
              <w:spacing w:after="20" w:before="20" w:line="240" w:lineRule="auto"/>
            </w:pPr>
            <w:r/>
            <w:r>
              <w:rPr>
                <w:rFonts w:ascii="Arial" w:hAnsi="Arial" w:cs="Arial"/>
                <w:b w:val="0"/>
                <w:i w:val="0"/>
                <w:sz w:val="17"/>
              </w:rPr>
              <w:t>QC</w:t>
            </w:r>
          </w:p>
        </w:tc>
        <w:tc>
          <w:tcPr>
            <w:tcW w:type="dxa" w:w="4819"/>
          </w:tcPr>
          <w:p>
            <w:pPr>
              <w:spacing w:after="20" w:before="20" w:line="240" w:lineRule="auto"/>
            </w:pPr>
            <w:r/>
            <w:r>
              <w:rPr>
                <w:rFonts w:ascii="Arial" w:hAnsi="Arial" w:cs="Arial"/>
                <w:b w:val="0"/>
                <w:i w:val="0"/>
                <w:sz w:val="17"/>
              </w:rPr>
              <w:t>If requested, provider exists in port (G1U5); seller contact advisory displayed (G1U6)</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Mandatory documents selected</w:t>
            </w:r>
          </w:p>
        </w:tc>
      </w:tr>
      <w:tr>
        <w:tc>
          <w:tcPr>
            <w:tcW w:type="dxa" w:w="4819"/>
          </w:tcPr>
          <w:p>
            <w:pPr>
              <w:spacing w:after="20" w:before="20" w:line="240" w:lineRule="auto"/>
            </w:pPr>
            <w:r/>
            <w:r>
              <w:rPr>
                <w:rFonts w:ascii="Arial" w:hAnsi="Arial" w:cs="Arial"/>
                <w:b w:val="0"/>
                <w:i w:val="0"/>
                <w:sz w:val="17"/>
              </w:rPr>
              <w:t>Insurance</w:t>
            </w:r>
          </w:p>
        </w:tc>
        <w:tc>
          <w:tcPr>
            <w:tcW w:type="dxa" w:w="4819"/>
          </w:tcPr>
          <w:p>
            <w:pPr>
              <w:spacing w:after="20" w:before="20" w:line="240" w:lineRule="auto"/>
            </w:pPr>
            <w:r/>
            <w:r>
              <w:rPr>
                <w:rFonts w:ascii="Arial" w:hAnsi="Arial" w:cs="Arial"/>
                <w:b w:val="0"/>
                <w:i w:val="0"/>
                <w:sz w:val="17"/>
              </w:rPr>
              <w:t>If CIF/CIP, insurance specified</w:t>
            </w:r>
          </w:p>
        </w:tc>
      </w:tr>
      <w:tr>
        <w:tc>
          <w:tcPr>
            <w:tcW w:type="dxa" w:w="4819"/>
          </w:tcPr>
          <w:p>
            <w:pPr>
              <w:spacing w:after="20" w:before="20" w:line="240" w:lineRule="auto"/>
            </w:pPr>
            <w:r/>
            <w:r>
              <w:rPr>
                <w:rFonts w:ascii="Arial" w:hAnsi="Arial" w:cs="Arial"/>
                <w:b w:val="0"/>
                <w:i w:val="0"/>
                <w:sz w:val="17"/>
              </w:rPr>
              <w:t>Delivery</w:t>
            </w:r>
          </w:p>
        </w:tc>
        <w:tc>
          <w:tcPr>
            <w:tcW w:type="dxa" w:w="4819"/>
          </w:tcPr>
          <w:p>
            <w:pPr>
              <w:spacing w:after="20" w:before="20" w:line="240" w:lineRule="auto"/>
            </w:pPr>
            <w:r/>
            <w:r>
              <w:rPr>
                <w:rFonts w:ascii="Arial" w:hAnsi="Arial" w:cs="Arial"/>
                <w:b w:val="0"/>
                <w:i w:val="0"/>
                <w:sz w:val="17"/>
              </w:rPr>
              <w:t>Dates valid, window ≤ 30 days</w:t>
            </w:r>
          </w:p>
        </w:tc>
      </w:tr>
      <w:tr>
        <w:tc>
          <w:tcPr>
            <w:tcW w:type="dxa" w:w="4819"/>
          </w:tcPr>
          <w:p>
            <w:pPr>
              <w:spacing w:after="20" w:before="20" w:line="240" w:lineRule="auto"/>
            </w:pPr>
            <w:r/>
            <w:r>
              <w:rPr>
                <w:rFonts w:ascii="Arial" w:hAnsi="Arial" w:cs="Arial"/>
                <w:b w:val="0"/>
                <w:i w:val="0"/>
                <w:sz w:val="17"/>
              </w:rPr>
              <w:t>Draft</w:t>
            </w:r>
          </w:p>
        </w:tc>
        <w:tc>
          <w:tcPr>
            <w:tcW w:type="dxa" w:w="4819"/>
          </w:tcPr>
          <w:p>
            <w:pPr>
              <w:spacing w:after="20" w:before="20" w:line="240" w:lineRule="auto"/>
            </w:pPr>
            <w:r/>
            <w:r>
              <w:rPr>
                <w:rFonts w:ascii="Arial" w:hAnsi="Arial" w:cs="Arial"/>
                <w:b w:val="0"/>
                <w:i w:val="0"/>
                <w:sz w:val="17"/>
              </w:rPr>
              <w:t>Not expired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Governor validation executes the complete Phase 1 gate set (G1U1–G1U33; Section 15). Outcomes: ALLOW (trade request created, status `PENDING_SELLER_RESPONSE`, seller notified via Smart Inbox at priority 75); CONDITIONAL (Decision Panel displayed with conditions and remediation links); DENY (Decision Panel displayed with plain-language explanation). The buyer cannot proceed until conditions are resolved.</w:t>
      </w:r>
    </w:p>
    <w:p>
      <w:pPr>
        <w:spacing w:after="80" w:line="293" w:lineRule="auto"/>
        <w:jc w:val="left"/>
      </w:pPr>
      <w:r>
        <w:rPr>
          <w:rFonts w:ascii="Times New Roman" w:hAnsi="Times New Roman" w:cs="Times New Roman"/>
          <w:b w:val="0"/>
          <w:i w:val="0"/>
          <w:sz w:val="22"/>
        </w:rPr>
        <w:t>Example CONDITIONAL response (missing insurance):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Insurance Requirement has not been specified. Please select whether insurance is Required, Optional, or Not Required.",</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"insurance_required",</w:t>
      </w:r>
    </w:p>
    <w:p>
      <w:pPr>
        <w:spacing w:after="0" w:before="0" w:line="240" w:lineRule="auto"/>
        <w:ind w:left="57"/>
        <w:jc w:val="left"/>
        <w:shd w:val="clear" w:fill="F2F2F2"/>
      </w:pPr>
      <w:r>
        <w:rPr>
          <w:rFonts w:ascii="Consolas" w:hAnsi="Consolas" w:cs="Consolas"/>
          <w:b w:val="0"/>
          <w:i w:val="0"/>
          <w:sz w:val="15"/>
        </w:rPr>
        <w:t xml:space="preserve">        "label": "Specify Insurance Requirement",</w:t>
      </w:r>
    </w:p>
    <w:p>
      <w:pPr>
        <w:spacing w:after="0" w:before="0" w:line="240" w:lineRule="auto"/>
        <w:ind w:left="57"/>
        <w:jc w:val="left"/>
        <w:shd w:val="clear" w:fill="F2F2F2"/>
      </w:pPr>
      <w:r>
        <w:rPr>
          <w:rFonts w:ascii="Consolas" w:hAnsi="Consolas" w:cs="Consolas"/>
          <w:b w:val="0"/>
          <w:i w:val="0"/>
          <w:sz w:val="15"/>
        </w:rPr>
        <w:t xml:space="preserve">        "action_url": "/v1/trade/request/draft?trade_id=TR-2026-001&amp;section=insurance"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CONDITIONAL response (executive approval pending):</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requires Director approval. Please submit the request for approval before proceeding.",</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"executive_approval",</w:t>
      </w:r>
    </w:p>
    <w:p>
      <w:pPr>
        <w:spacing w:after="0" w:before="0" w:line="240" w:lineRule="auto"/>
        <w:ind w:left="57"/>
        <w:jc w:val="left"/>
        <w:shd w:val="clear" w:fill="F2F2F2"/>
      </w:pPr>
      <w:r>
        <w:rPr>
          <w:rFonts w:ascii="Consolas" w:hAnsi="Consolas" w:cs="Consolas"/>
          <w:b w:val="0"/>
          <w:i w:val="0"/>
          <w:sz w:val="15"/>
        </w:rPr>
        <w:t xml:space="preserve">        "label": "Submit for Director approval",</w:t>
      </w:r>
    </w:p>
    <w:p>
      <w:pPr>
        <w:spacing w:after="0" w:before="0" w:line="240" w:lineRule="auto"/>
        <w:ind w:left="57"/>
        <w:jc w:val="left"/>
        <w:shd w:val="clear" w:fill="F2F2F2"/>
      </w:pPr>
      <w:r>
        <w:rPr>
          <w:rFonts w:ascii="Consolas" w:hAnsi="Consolas" w:cs="Consolas"/>
          <w:b w:val="0"/>
          <w:i w:val="0"/>
          <w:sz w:val="15"/>
        </w:rPr>
        <w:t xml:space="preserve">        "action_url": "/v1/approval/submit?trade_id=TR-2026-001"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6.2.17 Executive Approval Layer</w:t>
      </w:r>
    </w:p>
    <w:p>
      <w:pPr>
        <w:spacing w:after="80" w:line="293" w:lineRule="auto"/>
        <w:jc w:val="left"/>
      </w:pPr>
      <w:r>
        <w:rPr>
          <w:rFonts w:ascii="Times New Roman" w:hAnsi="Times New Roman" w:cs="Times New Roman"/>
          <w:b w:val="0"/>
          <w:i w:val="0"/>
          <w:sz w:val="22"/>
        </w:rPr>
        <w:t>Description: automatic approval workflow based on trade value.</w:t>
      </w:r>
    </w:p>
    <w:p>
      <w:pPr>
        <w:spacing w:after="80" w:line="293" w:lineRule="auto"/>
        <w:jc w:val="left"/>
      </w:pPr>
      <w:r>
        <w:rPr>
          <w:rFonts w:ascii="Times New Roman" w:hAnsi="Times New Roman" w:cs="Times New Roman"/>
          <w:b w:val="0"/>
          <w:i w:val="0"/>
          <w:sz w:val="22"/>
        </w:rPr>
        <w:t>Configuration (Tenant Admin): internal approval pre-approval checkboxes — Procurement Manager, Finance Manager, Compliance Officer, Legal Department, CEO. Governance: if the required approval level is not met, the Governor returns CONDITIONAL with the Decision Panel.</w:t>
      </w:r>
    </w:p>
    <w:p>
      <w:pPr>
        <w:spacing w:after="0" w:before="0" w:line="240" w:lineRule="auto"/>
        <w:ind w:left="57"/>
        <w:jc w:val="left"/>
        <w:shd w:val="clear" w:fill="F2F2F2"/>
      </w:pPr>
      <w:r>
        <w:rPr>
          <w:rFonts w:ascii="Consolas" w:hAnsi="Consolas" w:cs="Consolas"/>
          <w:b w:val="0"/>
          <w:i w:val="0"/>
          <w:sz w:val="15"/>
        </w:rPr>
        <w:t>EXECUTIVE APPROVAL LAYER</w:t>
      </w:r>
    </w:p>
    <w:p>
      <w:pPr>
        <w:spacing w:after="0" w:before="0" w:line="240" w:lineRule="auto"/>
        <w:ind w:left="57"/>
        <w:jc w:val="left"/>
        <w:shd w:val="clear" w:fill="F2F2F2"/>
      </w:pPr>
      <w:r>
        <w:rPr>
          <w:rFonts w:ascii="Consolas" w:hAnsi="Consolas" w:cs="Consolas"/>
          <w:b w:val="0"/>
          <w:i w:val="0"/>
          <w:sz w:val="15"/>
        </w:rPr>
        <w:t xml:space="preserve">  Trade Value: $450,000</w:t>
      </w:r>
    </w:p>
    <w:p>
      <w:pPr>
        <w:spacing w:after="0" w:before="0" w:line="240" w:lineRule="auto"/>
        <w:ind w:left="57"/>
        <w:jc w:val="left"/>
        <w:shd w:val="clear" w:fill="F2F2F2"/>
      </w:pPr>
      <w:r>
        <w:rPr>
          <w:rFonts w:ascii="Consolas" w:hAnsi="Consolas" w:cs="Consolas"/>
          <w:b w:val="0"/>
          <w:i w:val="0"/>
          <w:sz w:val="15"/>
        </w:rPr>
        <w:t xml:space="preserve">  Required Approval Level: Director</w:t>
      </w:r>
    </w:p>
    <w:p>
      <w:pPr>
        <w:spacing w:after="0" w:before="0" w:line="240" w:lineRule="auto"/>
        <w:ind w:left="57"/>
        <w:jc w:val="left"/>
        <w:shd w:val="clear" w:fill="F2F2F2"/>
      </w:pPr>
      <w:r>
        <w:rPr>
          <w:rFonts w:ascii="Consolas" w:hAnsi="Consolas" w:cs="Consolas"/>
          <w:b w:val="0"/>
          <w:i w:val="0"/>
          <w:sz w:val="15"/>
        </w:rPr>
        <w:t xml:space="preserve">  Approval Workflow:</w:t>
      </w:r>
    </w:p>
    <w:p>
      <w:pPr>
        <w:spacing w:after="0" w:before="0" w:line="240" w:lineRule="auto"/>
        <w:ind w:left="57"/>
        <w:jc w:val="left"/>
        <w:shd w:val="clear" w:fill="F2F2F2"/>
      </w:pPr>
      <w:r>
        <w:rPr>
          <w:rFonts w:ascii="Consolas" w:hAnsi="Consolas" w:cs="Consolas"/>
          <w:b w:val="0"/>
          <w:i w:val="0"/>
          <w:sz w:val="15"/>
        </w:rPr>
        <w:t xml:space="preserve">  • Procurement Manager: Ahmed Hassan (Approved: 2026-06-20 09:00)</w:t>
      </w:r>
    </w:p>
    <w:p>
      <w:pPr>
        <w:spacing w:after="0" w:before="0" w:line="240" w:lineRule="auto"/>
        <w:ind w:left="57"/>
        <w:jc w:val="left"/>
        <w:shd w:val="clear" w:fill="F2F2F2"/>
      </w:pPr>
      <w:r>
        <w:rPr>
          <w:rFonts w:ascii="Consolas" w:hAnsi="Consolas" w:cs="Consolas"/>
          <w:b w:val="0"/>
          <w:i w:val="0"/>
          <w:sz w:val="15"/>
        </w:rPr>
        <w:t xml:space="preserve">  • Finance Manager:     Sara Ali     (Approved: 2026-06-20 09:30)</w:t>
      </w:r>
    </w:p>
    <w:p>
      <w:pPr>
        <w:spacing w:after="0" w:before="0" w:line="240" w:lineRule="auto"/>
        <w:ind w:left="57"/>
        <w:jc w:val="left"/>
        <w:shd w:val="clear" w:fill="F2F2F2"/>
      </w:pPr>
      <w:r>
        <w:rPr>
          <w:rFonts w:ascii="Consolas" w:hAnsi="Consolas" w:cs="Consolas"/>
          <w:b w:val="0"/>
          <w:i w:val="0"/>
          <w:sz w:val="15"/>
        </w:rPr>
        <w:t xml:space="preserve">  • Director:            Mohamed Eltonsy (Pending)</w:t>
      </w:r>
    </w:p>
    <w:p>
      <w:pPr>
        <w:spacing w:after="0" w:before="0" w:line="240" w:lineRule="auto"/>
        <w:ind w:left="57"/>
        <w:jc w:val="left"/>
        <w:shd w:val="clear" w:fill="F2F2F2"/>
      </w:pPr>
      <w:r>
        <w:rPr>
          <w:rFonts w:ascii="Consolas" w:hAnsi="Consolas" w:cs="Consolas"/>
          <w:b w:val="0"/>
          <w:i w:val="0"/>
          <w:sz w:val="15"/>
        </w:rPr>
        <w:t xml:space="preserve">  • Executive Committee: Not required</w:t>
      </w:r>
    </w:p>
    <w:p>
      <w:pPr>
        <w:spacing w:after="0" w:before="0" w:line="240" w:lineRule="auto"/>
        <w:ind w:left="57"/>
        <w:jc w:val="left"/>
        <w:shd w:val="clear" w:fill="F2F2F2"/>
      </w:pPr>
      <w:r>
        <w:rPr>
          <w:rFonts w:ascii="Consolas" w:hAnsi="Consolas" w:cs="Consolas"/>
          <w:b w:val="0"/>
          <w:i w:val="0"/>
          <w:sz w:val="15"/>
        </w:rPr>
        <w:t xml:space="preserve">  Internal Approvals (Pre-Approval): Procurement Manager, Finance Manager,</w:t>
      </w:r>
    </w:p>
    <w:p>
      <w:pPr>
        <w:spacing w:after="0" w:before="0" w:line="240" w:lineRule="auto"/>
        <w:ind w:left="57"/>
        <w:jc w:val="left"/>
        <w:shd w:val="clear" w:fill="F2F2F2"/>
      </w:pPr>
      <w:r>
        <w:rPr>
          <w:rFonts w:ascii="Consolas" w:hAnsi="Consolas" w:cs="Consolas"/>
          <w:b w:val="0"/>
          <w:i w:val="0"/>
          <w:sz w:val="15"/>
        </w:rPr>
        <w:t xml:space="preserve">  Compliance Officer, Legal Department, CEO</w:t>
      </w:r>
    </w:p>
    <w:p>
      <w:pPr>
        <w:spacing w:after="0" w:before="0" w:line="240" w:lineRule="auto"/>
        <w:ind w:left="57"/>
        <w:jc w:val="left"/>
        <w:shd w:val="clear" w:fill="F2F2F2"/>
      </w:pPr>
      <w:r>
        <w:rPr>
          <w:rFonts w:ascii="Consolas" w:hAnsi="Consolas" w:cs="Consolas"/>
          <w:b w:val="0"/>
          <w:i w:val="0"/>
          <w:sz w:val="15"/>
        </w:rPr>
        <w:t xml:space="preserve">  [Submit for Approval] [Save Draft]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6.2.18 Post-Submission Behaviour &amp; Marketplace Attribution</w:t>
      </w:r>
    </w:p>
    <w:p>
      <w:pPr>
        <w:spacing w:after="80" w:line="293" w:lineRule="auto"/>
        <w:jc w:val="left"/>
      </w:pPr>
      <w:r>
        <w:rPr>
          <w:rFonts w:ascii="Times New Roman" w:hAnsi="Times New Roman" w:cs="Times New Roman"/>
          <w:b w:val="0"/>
          <w:i w:val="0"/>
          <w:sz w:val="22"/>
        </w:rPr>
        <w:t>After a successful submission:</w:t>
      </w:r>
    </w:p>
    <w:p>
      <w:pPr>
        <w:spacing w:after="80" w:line="293" w:lineRule="auto"/>
        <w:ind w:left="283"/>
        <w:jc w:val="left"/>
      </w:pPr>
      <w:r>
        <w:rPr>
          <w:rFonts w:ascii="Times New Roman" w:hAnsi="Times New Roman" w:cs="Times New Roman"/>
          <w:b w:val="0"/>
          <w:i w:val="0"/>
          <w:sz w:val="22"/>
        </w:rPr>
        <w:t>- Trade request status: `PENDING_SELLER_RESPONSE`.</w:t>
      </w:r>
    </w:p>
    <w:p>
      <w:pPr>
        <w:spacing w:after="80" w:line="293" w:lineRule="auto"/>
        <w:ind w:left="283"/>
        <w:jc w:val="left"/>
      </w:pPr>
      <w:r>
        <w:rPr>
          <w:rFonts w:ascii="Times New Roman" w:hAnsi="Times New Roman" w:cs="Times New Roman"/>
          <w:b w:val="0"/>
          <w:i w:val="0"/>
          <w:sz w:val="22"/>
        </w:rPr>
        <w:t>- Seller receives a Smart Inbox item (priority 75): "New trade request from [Buyer]".</w:t>
      </w:r>
    </w:p>
    <w:p>
      <w:pPr>
        <w:spacing w:after="80" w:line="293" w:lineRule="auto"/>
        <w:ind w:left="283"/>
        <w:jc w:val="left"/>
      </w:pPr>
      <w:r>
        <w:rPr>
          <w:rFonts w:ascii="Times New Roman" w:hAnsi="Times New Roman" w:cs="Times New Roman"/>
          <w:b w:val="0"/>
          <w:i w:val="0"/>
          <w:sz w:val="22"/>
        </w:rPr>
        <w:t>- Buyer receives confirmation.</w:t>
      </w:r>
    </w:p>
    <w:p>
      <w:pPr>
        <w:spacing w:after="80" w:line="293" w:lineRule="auto"/>
        <w:ind w:left="283"/>
        <w:jc w:val="left"/>
      </w:pPr>
      <w:r>
        <w:rPr>
          <w:rFonts w:ascii="Times New Roman" w:hAnsi="Times New Roman" w:cs="Times New Roman"/>
          <w:b w:val="0"/>
          <w:i w:val="0"/>
          <w:sz w:val="22"/>
        </w:rPr>
        <w:t>- USTN is not yet generated (generated at contract lock, Section 9).</w:t>
      </w:r>
    </w:p>
    <w:p>
      <w:pPr>
        <w:spacing w:after="80" w:line="293" w:lineRule="auto"/>
        <w:ind w:left="283"/>
        <w:jc w:val="left"/>
      </w:pPr>
      <w:r>
        <w:rPr>
          <w:rFonts w:ascii="Times New Roman" w:hAnsi="Times New Roman" w:cs="Times New Roman"/>
          <w:b w:val="0"/>
          <w:i w:val="0"/>
          <w:sz w:val="22"/>
        </w:rPr>
        <w:t>- Marketplace attribution: if the buyer's account is attributed to a marketplace partner (e.g., a referral</w:t>
      </w:r>
    </w:p>
    <w:p>
      <w:pPr>
        <w:spacing w:after="80" w:line="293" w:lineRule="auto"/>
        <w:jc w:val="left"/>
      </w:pPr>
      <w:r>
        <w:rPr>
          <w:rFonts w:ascii="Times New Roman" w:hAnsi="Times New Roman" w:cs="Times New Roman"/>
          <w:b w:val="0"/>
          <w:i w:val="0"/>
          <w:sz w:val="22"/>
        </w:rPr>
        <w:t>partner), the submission banner states: "This trade request will be attributed to [TradeBridge] (0.5% revenue share). You have 72 hours to dispute. [Dispute] [Continue]". Attribution is fixed at submission and disputes are resolved through the support workflow.</w:t>
      </w:r>
    </w:p>
    <w:p>
      <w:pPr>
        <w:keepNext/>
        <w:spacing w:before="180" w:after="80"/>
        <w:outlineLvl w:val="2"/>
      </w:pPr>
      <w:r>
        <w:rPr>
          <w:rFonts w:ascii="Arial" w:hAnsi="Arial" w:cs="Arial"/>
          <w:b/>
          <w:i w:val="0"/>
          <w:color w:val="333333"/>
          <w:sz w:val="23"/>
        </w:rPr>
        <w:t>6.2.19 One-Click Count Summary (Buyer)</w:t>
      </w:r>
    </w:p>
    <w:p>
      <w:pPr>
        <w:spacing w:after="80" w:line="293" w:lineRule="auto"/>
        <w:jc w:val="left"/>
      </w:pPr>
      <w:r>
        <w:rPr>
          <w:rFonts w:ascii="Times New Roman" w:hAnsi="Times New Roman" w:cs="Times New Roman"/>
          <w:b w:val="0"/>
          <w:i w:val="0"/>
          <w:sz w:val="22"/>
        </w:rPr>
        <w:t>From form start to trade request creation the buyer performs a maximum of 7 one-click actions (excluding data entry): select seller; select incoterm; select transport mode; apply container defaults (or advisor recommendation); apply AI suggestion chips (optional); save draft (optional); submit trade request. Every irreversible action is a single click; voice command is supported for the same actions.</w:t>
      </w:r>
    </w:p>
    <w:p>
      <w:pPr>
        <w:keepNext/>
        <w:spacing w:before="180" w:after="80"/>
        <w:outlineLvl w:val="2"/>
      </w:pPr>
      <w:r>
        <w:rPr>
          <w:rFonts w:ascii="Arial" w:hAnsi="Arial" w:cs="Arial"/>
          <w:b/>
          <w:i w:val="0"/>
          <w:color w:val="333333"/>
          <w:sz w:val="23"/>
        </w:rPr>
        <w:t>6.2.20 Phase 1 Implementation Checklist</w:t>
      </w:r>
    </w:p>
    <w:p>
      <w:pPr>
        <w:spacing w:after="80" w:line="293" w:lineRule="auto"/>
        <w:jc w:val="left"/>
      </w:pPr>
      <w:r>
        <w:rPr>
          <w:rFonts w:ascii="Times New Roman" w:hAnsi="Times New Roman" w:cs="Times New Roman"/>
          <w:b w:val="0"/>
          <w:i w:val="0"/>
          <w:sz w:val="22"/>
        </w:rPr>
        <w:t>Core form components:</w:t>
      </w:r>
    </w:p>
    <w:p>
      <w:pPr>
        <w:spacing w:after="80" w:line="293" w:lineRule="auto"/>
        <w:ind w:left="283"/>
        <w:jc w:val="left"/>
      </w:pPr>
      <w:r>
        <w:rPr>
          <w:rFonts w:ascii="Times New Roman" w:hAnsi="Times New Roman" w:cs="Times New Roman"/>
          <w:b w:val="0"/>
          <w:i w:val="0"/>
          <w:sz w:val="22"/>
        </w:rPr>
        <w:t>- Build Seller Selection component (GTID autocomplete, saved contacts)</w:t>
      </w:r>
    </w:p>
    <w:p>
      <w:pPr>
        <w:spacing w:after="80" w:line="293" w:lineRule="auto"/>
        <w:ind w:left="283"/>
        <w:jc w:val="left"/>
      </w:pPr>
      <w:r>
        <w:rPr>
          <w:rFonts w:ascii="Times New Roman" w:hAnsi="Times New Roman" w:cs="Times New Roman"/>
          <w:b w:val="0"/>
          <w:i w:val="0"/>
          <w:sz w:val="22"/>
        </w:rPr>
        <w:t>- Build Incoterm Selection component (with auto-configuration)</w:t>
      </w:r>
    </w:p>
    <w:p>
      <w:pPr>
        <w:spacing w:after="80" w:line="293" w:lineRule="auto"/>
        <w:ind w:left="283"/>
        <w:jc w:val="left"/>
      </w:pPr>
      <w:r>
        <w:rPr>
          <w:rFonts w:ascii="Times New Roman" w:hAnsi="Times New Roman" w:cs="Times New Roman"/>
          <w:b w:val="0"/>
          <w:i w:val="0"/>
          <w:sz w:val="22"/>
        </w:rPr>
        <w:t>- Build Container Tab component (drag-and-drop, clone, bulk edit)</w:t>
      </w:r>
    </w:p>
    <w:p>
      <w:pPr>
        <w:spacing w:after="80" w:line="293" w:lineRule="auto"/>
        <w:ind w:left="283"/>
        <w:jc w:val="left"/>
      </w:pPr>
      <w:r>
        <w:rPr>
          <w:rFonts w:ascii="Times New Roman" w:hAnsi="Times New Roman" w:cs="Times New Roman"/>
          <w:b w:val="0"/>
          <w:i w:val="0"/>
          <w:sz w:val="22"/>
        </w:rPr>
        <w:t>- Build Commodity Entry component (with Product Form Agent integration)</w:t>
      </w:r>
    </w:p>
    <w:p>
      <w:pPr>
        <w:spacing w:after="80" w:line="293" w:lineRule="auto"/>
        <w:ind w:left="283"/>
        <w:jc w:val="left"/>
      </w:pPr>
      <w:r>
        <w:rPr>
          <w:rFonts w:ascii="Times New Roman" w:hAnsi="Times New Roman" w:cs="Times New Roman"/>
          <w:b w:val="0"/>
          <w:i w:val="0"/>
          <w:sz w:val="22"/>
        </w:rPr>
        <w:t>- Build Acceptance Criteria Matrix component (dynamic per product)</w:t>
      </w:r>
    </w:p>
    <w:p>
      <w:pPr>
        <w:spacing w:after="80" w:line="293" w:lineRule="auto"/>
        <w:ind w:left="283"/>
        <w:jc w:val="left"/>
      </w:pPr>
      <w:r>
        <w:rPr>
          <w:rFonts w:ascii="Times New Roman" w:hAnsi="Times New Roman" w:cs="Times New Roman"/>
          <w:b w:val="0"/>
          <w:i w:val="0"/>
          <w:sz w:val="22"/>
        </w:rPr>
        <w:t>- Build Weight Summary component (real-time)</w:t>
      </w:r>
    </w:p>
    <w:p>
      <w:pPr>
        <w:spacing w:after="80" w:line="293" w:lineRule="auto"/>
        <w:ind w:left="283"/>
        <w:jc w:val="left"/>
      </w:pPr>
      <w:r>
        <w:rPr>
          <w:rFonts w:ascii="Times New Roman" w:hAnsi="Times New Roman" w:cs="Times New Roman"/>
          <w:b w:val="0"/>
          <w:i w:val="0"/>
          <w:sz w:val="22"/>
        </w:rPr>
        <w:t>- Build Documentation Requirements component (checkbox matrix + timing)</w:t>
      </w:r>
    </w:p>
    <w:p>
      <w:pPr>
        <w:spacing w:after="80" w:line="293" w:lineRule="auto"/>
        <w:ind w:left="283"/>
        <w:jc w:val="left"/>
      </w:pPr>
      <w:r>
        <w:rPr>
          <w:rFonts w:ascii="Times New Roman" w:hAnsi="Times New Roman" w:cs="Times New Roman"/>
          <w:b w:val="0"/>
          <w:i w:val="0"/>
          <w:sz w:val="22"/>
        </w:rPr>
        <w:t>- Build Special Trade Instructions component (with AI suggestions)</w:t>
      </w:r>
    </w:p>
    <w:p>
      <w:pPr>
        <w:spacing w:after="80" w:line="293" w:lineRule="auto"/>
        <w:ind w:left="283"/>
        <w:jc w:val="left"/>
      </w:pPr>
      <w:r>
        <w:rPr>
          <w:rFonts w:ascii="Times New Roman" w:hAnsi="Times New Roman" w:cs="Times New Roman"/>
          <w:b w:val="0"/>
          <w:i w:val="0"/>
          <w:sz w:val="22"/>
        </w:rPr>
        <w:t>- Build Transport &amp; Logistics component (mode, equipment, delivery window)</w:t>
      </w:r>
    </w:p>
    <w:p>
      <w:pPr>
        <w:spacing w:after="80" w:line="293" w:lineRule="auto"/>
        <w:ind w:left="283"/>
        <w:jc w:val="left"/>
      </w:pPr>
      <w:r>
        <w:rPr>
          <w:rFonts w:ascii="Times New Roman" w:hAnsi="Times New Roman" w:cs="Times New Roman"/>
          <w:b w:val="0"/>
          <w:i w:val="0"/>
          <w:sz w:val="22"/>
        </w:rPr>
        <w:t>- Build Insurance Requirements component</w:t>
      </w:r>
    </w:p>
    <w:p>
      <w:pPr>
        <w:spacing w:after="80" w:line="293" w:lineRule="auto"/>
        <w:ind w:left="283"/>
        <w:jc w:val="left"/>
      </w:pPr>
      <w:r>
        <w:rPr>
          <w:rFonts w:ascii="Times New Roman" w:hAnsi="Times New Roman" w:cs="Times New Roman"/>
          <w:b w:val="0"/>
          <w:i w:val="0"/>
          <w:sz w:val="22"/>
        </w:rPr>
        <w:t>- Build Commercial Settlement component</w:t>
      </w:r>
    </w:p>
    <w:p>
      <w:pPr>
        <w:spacing w:after="80" w:line="293" w:lineRule="auto"/>
        <w:ind w:left="283"/>
        <w:jc w:val="left"/>
      </w:pPr>
      <w:r>
        <w:rPr>
          <w:rFonts w:ascii="Times New Roman" w:hAnsi="Times New Roman" w:cs="Times New Roman"/>
          <w:b w:val="0"/>
          <w:i w:val="0"/>
          <w:sz w:val="22"/>
        </w:rPr>
        <w:t>- Build Executive Approval component</w:t>
      </w:r>
    </w:p>
    <w:p>
      <w:pPr>
        <w:spacing w:after="80" w:line="293" w:lineRule="auto"/>
        <w:ind w:left="283"/>
        <w:jc w:val="left"/>
      </w:pPr>
      <w:r>
        <w:rPr>
          <w:rFonts w:ascii="Times New Roman" w:hAnsi="Times New Roman" w:cs="Times New Roman"/>
          <w:b w:val="0"/>
          <w:i w:val="0"/>
          <w:sz w:val="22"/>
        </w:rPr>
        <w:t>- Build AI Modules component (Readiness Score, Attractiveness Score)</w:t>
      </w:r>
    </w:p>
    <w:p>
      <w:pPr>
        <w:spacing w:after="80" w:line="293" w:lineRule="auto"/>
        <w:ind w:left="283"/>
        <w:jc w:val="left"/>
      </w:pPr>
      <w:r>
        <w:rPr>
          <w:rFonts w:ascii="Times New Roman" w:hAnsi="Times New Roman" w:cs="Times New Roman"/>
          <w:b w:val="0"/>
          <w:i w:val="0"/>
          <w:sz w:val="22"/>
        </w:rPr>
        <w:t>- Build Multi-Shipment Schedule component</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Integrate Product Form Agent (A2) for dynamic schema generation</w:t>
      </w:r>
    </w:p>
    <w:p>
      <w:pPr>
        <w:spacing w:after="80" w:line="293" w:lineRule="auto"/>
        <w:ind w:left="283"/>
        <w:jc w:val="left"/>
      </w:pPr>
      <w:r>
        <w:rPr>
          <w:rFonts w:ascii="Times New Roman" w:hAnsi="Times New Roman" w:cs="Times New Roman"/>
          <w:b w:val="0"/>
          <w:i w:val="0"/>
          <w:sz w:val="22"/>
        </w:rPr>
        <w:t>- Integrate AI Container Advisor (A1, Groq)</w:t>
      </w:r>
    </w:p>
    <w:p>
      <w:pPr>
        <w:spacing w:after="80" w:line="293" w:lineRule="auto"/>
        <w:ind w:left="283"/>
        <w:jc w:val="left"/>
      </w:pPr>
      <w:r>
        <w:rPr>
          <w:rFonts w:ascii="Times New Roman" w:hAnsi="Times New Roman" w:cs="Times New Roman"/>
          <w:b w:val="0"/>
          <w:i w:val="0"/>
          <w:sz w:val="22"/>
        </w:rPr>
        <w:t>- Integrate Trade Request Readiness Score (A2, XGBoost)</w:t>
      </w:r>
    </w:p>
    <w:p>
      <w:pPr>
        <w:spacing w:after="80" w:line="293" w:lineRule="auto"/>
        <w:ind w:left="283"/>
        <w:jc w:val="left"/>
      </w:pPr>
      <w:r>
        <w:rPr>
          <w:rFonts w:ascii="Times New Roman" w:hAnsi="Times New Roman" w:cs="Times New Roman"/>
          <w:b w:val="0"/>
          <w:i w:val="0"/>
          <w:sz w:val="22"/>
        </w:rPr>
        <w:t>- Integrate Supplier Attractiveness Score (A2, LightGBM)</w:t>
      </w:r>
    </w:p>
    <w:p>
      <w:pPr>
        <w:spacing w:after="80" w:line="293" w:lineRule="auto"/>
        <w:ind w:left="283"/>
        <w:jc w:val="left"/>
      </w:pPr>
      <w:r>
        <w:rPr>
          <w:rFonts w:ascii="Times New Roman" w:hAnsi="Times New Roman" w:cs="Times New Roman"/>
          <w:b w:val="0"/>
          <w:i w:val="0"/>
          <w:sz w:val="22"/>
        </w:rPr>
        <w:t>- Integrate Special Instructions AI suggestions (A1, Groq)</w:t>
      </w:r>
    </w:p>
    <w:p>
      <w:pPr>
        <w:spacing w:after="80" w:line="293" w:lineRule="auto"/>
        <w:ind w:left="283"/>
        <w:jc w:val="left"/>
      </w:pPr>
      <w:r>
        <w:rPr>
          <w:rFonts w:ascii="Times New Roman" w:hAnsi="Times New Roman" w:cs="Times New Roman"/>
          <w:b w:val="0"/>
          <w:i w:val="0"/>
          <w:sz w:val="22"/>
        </w:rPr>
        <w:t>- Integrate Insurance recommendations (A1, Groq)</w:t>
      </w:r>
    </w:p>
    <w:p>
      <w:pPr>
        <w:spacing w:after="80" w:line="293" w:lineRule="auto"/>
        <w:ind w:left="283"/>
        <w:jc w:val="left"/>
      </w:pPr>
      <w:r>
        <w:rPr>
          <w:rFonts w:ascii="Times New Roman" w:hAnsi="Times New Roman" w:cs="Times New Roman"/>
          <w:b w:val="0"/>
          <w:i w:val="0"/>
          <w:sz w:val="22"/>
        </w:rPr>
        <w:t>- Integrate Settlement readiness recommendations (A1, Groq)</w:t>
      </w:r>
    </w:p>
    <w:p>
      <w:pPr>
        <w:spacing w:after="80" w:line="293" w:lineRule="auto"/>
        <w:jc w:val="left"/>
      </w:pPr>
      <w:r>
        <w:rPr>
          <w:rFonts w:ascii="Times New Roman" w:hAnsi="Times New Roman" w:cs="Times New Roman"/>
          <w:b w:val="0"/>
          <w:i w:val="0"/>
          <w:sz w:val="22"/>
        </w:rPr>
        <w:t>Governor integration:</w:t>
      </w:r>
    </w:p>
    <w:p>
      <w:pPr>
        <w:spacing w:after="80" w:line="293" w:lineRule="auto"/>
        <w:ind w:left="283"/>
        <w:jc w:val="left"/>
      </w:pPr>
      <w:r>
        <w:rPr>
          <w:rFonts w:ascii="Times New Roman" w:hAnsi="Times New Roman" w:cs="Times New Roman"/>
          <w:b w:val="0"/>
          <w:i w:val="0"/>
          <w:sz w:val="22"/>
        </w:rPr>
        <w:t>- Add all 33 validation gates (G1U1–G1U33)</w:t>
      </w:r>
    </w:p>
    <w:p>
      <w:pPr>
        <w:spacing w:after="80" w:line="293" w:lineRule="auto"/>
        <w:ind w:left="283"/>
        <w:jc w:val="left"/>
      </w:pPr>
      <w:r>
        <w:rPr>
          <w:rFonts w:ascii="Times New Roman" w:hAnsi="Times New Roman" w:cs="Times New Roman"/>
          <w:b w:val="0"/>
          <w:i w:val="0"/>
          <w:sz w:val="22"/>
        </w:rPr>
        <w:t>- Implement Decision Panel for CONDITIONAL/DENY</w:t>
      </w:r>
    </w:p>
    <w:p>
      <w:pPr>
        <w:spacing w:after="80" w:line="293" w:lineRule="auto"/>
        <w:ind w:left="283"/>
        <w:jc w:val="left"/>
      </w:pPr>
      <w:r>
        <w:rPr>
          <w:rFonts w:ascii="Times New Roman" w:hAnsi="Times New Roman" w:cs="Times New Roman"/>
          <w:b w:val="0"/>
          <w:i w:val="0"/>
          <w:sz w:val="22"/>
        </w:rPr>
        <w:t>- Implement tenant message generation (A1, Groq)</w:t>
      </w:r>
    </w:p>
    <w:p>
      <w:pPr>
        <w:spacing w:after="80" w:line="293" w:lineRule="auto"/>
        <w:ind w:left="283"/>
        <w:jc w:val="left"/>
      </w:pPr>
      <w:r>
        <w:rPr>
          <w:rFonts w:ascii="Times New Roman" w:hAnsi="Times New Roman" w:cs="Times New Roman"/>
          <w:b w:val="0"/>
          <w:i w:val="0"/>
          <w:sz w:val="22"/>
        </w:rPr>
        <w:t>- Implement executive approval validation</w:t>
      </w:r>
    </w:p>
    <w:p>
      <w:pPr>
        <w:spacing w:after="80" w:line="293" w:lineRule="auto"/>
        <w:ind w:left="283"/>
        <w:jc w:val="left"/>
      </w:pPr>
      <w:r>
        <w:rPr>
          <w:rFonts w:ascii="Times New Roman" w:hAnsi="Times New Roman" w:cs="Times New Roman"/>
          <w:b w:val="0"/>
          <w:i w:val="0"/>
          <w:sz w:val="22"/>
        </w:rPr>
        <w:t>- Implement readiness score validation</w:t>
      </w:r>
    </w:p>
    <w:p>
      <w:pPr>
        <w:spacing w:after="80" w:line="293" w:lineRule="auto"/>
        <w:ind w:left="283"/>
        <w:jc w:val="left"/>
      </w:pPr>
      <w:r>
        <w:rPr>
          <w:rFonts w:ascii="Times New Roman" w:hAnsi="Times New Roman" w:cs="Times New Roman"/>
          <w:b w:val="0"/>
          <w:i w:val="0"/>
          <w:sz w:val="22"/>
        </w:rPr>
        <w:t>- Implement draft validation</w:t>
      </w:r>
    </w:p>
    <w:p>
      <w:pPr>
        <w:spacing w:after="80" w:line="293" w:lineRule="auto"/>
        <w:jc w:val="left"/>
      </w:pPr>
      <w:r>
        <w:rPr>
          <w:rFonts w:ascii="Times New Roman" w:hAnsi="Times New Roman" w:cs="Times New Roman"/>
          <w:b w:val="0"/>
          <w:i w:val="0"/>
          <w:sz w:val="22"/>
        </w:rPr>
        <w:t>Draft &amp; recovery:</w:t>
      </w:r>
    </w:p>
    <w:p>
      <w:pPr>
        <w:spacing w:after="80" w:line="293" w:lineRule="auto"/>
        <w:ind w:left="283"/>
        <w:jc w:val="left"/>
      </w:pPr>
      <w:r>
        <w:rPr>
          <w:rFonts w:ascii="Times New Roman" w:hAnsi="Times New Roman" w:cs="Times New Roman"/>
          <w:b w:val="0"/>
          <w:i w:val="0"/>
          <w:sz w:val="22"/>
        </w:rPr>
        <w:t>- Implement draft auto-save (30-second debounce)</w:t>
      </w:r>
    </w:p>
    <w:p>
      <w:pPr>
        <w:spacing w:after="80" w:line="293" w:lineRule="auto"/>
        <w:ind w:left="283"/>
        <w:jc w:val="left"/>
      </w:pPr>
      <w:r>
        <w:rPr>
          <w:rFonts w:ascii="Times New Roman" w:hAnsi="Times New Roman" w:cs="Times New Roman"/>
          <w:b w:val="0"/>
          <w:i w:val="0"/>
          <w:sz w:val="22"/>
        </w:rPr>
        <w:t>- Implement draft recovery in Smart Inbox</w:t>
      </w:r>
    </w:p>
    <w:p>
      <w:pPr>
        <w:spacing w:after="80" w:line="293" w:lineRule="auto"/>
        <w:ind w:left="283"/>
        <w:jc w:val="left"/>
      </w:pPr>
      <w:r>
        <w:rPr>
          <w:rFonts w:ascii="Times New Roman" w:hAnsi="Times New Roman" w:cs="Times New Roman"/>
          <w:b w:val="0"/>
          <w:i w:val="0"/>
          <w:sz w:val="22"/>
        </w:rPr>
        <w:t>- Implement draft expiry (14 days)</w:t>
      </w:r>
    </w:p>
    <w:p>
      <w:pPr>
        <w:spacing w:after="80" w:line="293" w:lineRule="auto"/>
        <w:ind w:left="283"/>
        <w:jc w:val="left"/>
      </w:pPr>
      <w:r>
        <w:rPr>
          <w:rFonts w:ascii="Times New Roman" w:hAnsi="Times New Roman" w:cs="Times New Roman"/>
          <w:b w:val="0"/>
          <w:i w:val="0"/>
          <w:sz w:val="22"/>
        </w:rPr>
        <w:t>- Implement draft reminders (11 and 13 days)</w:t>
      </w:r>
    </w:p>
    <w:p>
      <w:pPr>
        <w:spacing w:after="80" w:line="293" w:lineRule="auto"/>
        <w:ind w:left="283"/>
        <w:jc w:val="left"/>
      </w:pPr>
      <w:r>
        <w:rPr>
          <w:rFonts w:ascii="Times New Roman" w:hAnsi="Times New Roman" w:cs="Times New Roman"/>
          <w:b w:val="0"/>
          <w:i w:val="0"/>
          <w:sz w:val="22"/>
        </w:rPr>
        <w:t>- Implement draft restoration (Company Admin)</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seller selection validation</w:t>
      </w:r>
    </w:p>
    <w:p>
      <w:pPr>
        <w:spacing w:after="80" w:line="293" w:lineRule="auto"/>
        <w:ind w:left="283"/>
        <w:jc w:val="left"/>
      </w:pPr>
      <w:r>
        <w:rPr>
          <w:rFonts w:ascii="Times New Roman" w:hAnsi="Times New Roman" w:cs="Times New Roman"/>
          <w:b w:val="0"/>
          <w:i w:val="0"/>
          <w:sz w:val="22"/>
        </w:rPr>
        <w:t>- Unit tests: incoterm auto-configuration</w:t>
      </w:r>
    </w:p>
    <w:p>
      <w:pPr>
        <w:spacing w:after="80" w:line="293" w:lineRule="auto"/>
        <w:ind w:left="283"/>
        <w:jc w:val="left"/>
      </w:pPr>
      <w:r>
        <w:rPr>
          <w:rFonts w:ascii="Times New Roman" w:hAnsi="Times New Roman" w:cs="Times New Roman"/>
          <w:b w:val="0"/>
          <w:i w:val="0"/>
          <w:sz w:val="22"/>
        </w:rPr>
        <w:t>- Unit tests: commodity entry with Product Form Agent</w:t>
      </w:r>
    </w:p>
    <w:p>
      <w:pPr>
        <w:spacing w:after="80" w:line="293" w:lineRule="auto"/>
        <w:ind w:left="283"/>
        <w:jc w:val="left"/>
      </w:pPr>
      <w:r>
        <w:rPr>
          <w:rFonts w:ascii="Times New Roman" w:hAnsi="Times New Roman" w:cs="Times New Roman"/>
          <w:b w:val="0"/>
          <w:i w:val="0"/>
          <w:sz w:val="22"/>
        </w:rPr>
        <w:t>- Unit tests: weight calculation</w:t>
      </w:r>
    </w:p>
    <w:p>
      <w:pPr>
        <w:spacing w:after="80" w:line="293" w:lineRule="auto"/>
        <w:ind w:left="283"/>
        <w:jc w:val="left"/>
      </w:pPr>
      <w:r>
        <w:rPr>
          <w:rFonts w:ascii="Times New Roman" w:hAnsi="Times New Roman" w:cs="Times New Roman"/>
          <w:b w:val="0"/>
          <w:i w:val="0"/>
          <w:sz w:val="22"/>
        </w:rPr>
        <w:t>- Unit tests: Governor validation gates</w:t>
      </w:r>
    </w:p>
    <w:p>
      <w:pPr>
        <w:spacing w:after="80" w:line="293" w:lineRule="auto"/>
        <w:ind w:left="283"/>
        <w:jc w:val="left"/>
      </w:pPr>
      <w:r>
        <w:rPr>
          <w:rFonts w:ascii="Times New Roman" w:hAnsi="Times New Roman" w:cs="Times New Roman"/>
          <w:b w:val="0"/>
          <w:i w:val="0"/>
          <w:sz w:val="22"/>
        </w:rPr>
        <w:t>- Integration tests: full trade request creation flow</w:t>
      </w:r>
    </w:p>
    <w:p>
      <w:pPr>
        <w:spacing w:after="80" w:line="293" w:lineRule="auto"/>
        <w:ind w:left="283"/>
        <w:jc w:val="left"/>
      </w:pPr>
      <w:r>
        <w:rPr>
          <w:rFonts w:ascii="Times New Roman" w:hAnsi="Times New Roman" w:cs="Times New Roman"/>
          <w:b w:val="0"/>
          <w:i w:val="0"/>
          <w:sz w:val="22"/>
        </w:rPr>
        <w:t>- Integration tests: conditional submission → fix → submit</w:t>
      </w:r>
    </w:p>
    <w:p>
      <w:pPr>
        <w:spacing w:after="80" w:line="293" w:lineRule="auto"/>
        <w:ind w:left="283"/>
        <w:jc w:val="left"/>
      </w:pPr>
      <w:r>
        <w:rPr>
          <w:rFonts w:ascii="Times New Roman" w:hAnsi="Times New Roman" w:cs="Times New Roman"/>
          <w:b w:val="0"/>
          <w:i w:val="0"/>
          <w:sz w:val="22"/>
        </w:rPr>
        <w:t>- Integration tests: draft auto-save → recovery → submit</w:t>
      </w:r>
    </w:p>
    <w:p>
      <w:pPr>
        <w:spacing w:after="80" w:line="293" w:lineRule="auto"/>
        <w:ind w:left="283"/>
        <w:jc w:val="left"/>
      </w:pPr>
      <w:r>
        <w:rPr>
          <w:rFonts w:ascii="Times New Roman" w:hAnsi="Times New Roman" w:cs="Times New Roman"/>
          <w:b w:val="0"/>
          <w:i w:val="0"/>
          <w:sz w:val="22"/>
        </w:rPr>
        <w:t>- End-to-end tests: buyer workflow (login → create → submit)</w:t>
      </w:r>
    </w:p>
    <w:p>
      <w:pPr>
        <w:keepNext/>
        <w:spacing w:before="180" w:after="80"/>
        <w:outlineLvl w:val="2"/>
      </w:pPr>
      <w:r>
        <w:rPr>
          <w:rFonts w:ascii="Arial" w:hAnsi="Arial" w:cs="Arial"/>
          <w:b/>
          <w:i w:val="0"/>
          <w:color w:val="333333"/>
          <w:sz w:val="23"/>
        </w:rPr>
        <w:t>6.2.21 AI Authority Summary for Phase 1</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Phase 1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Autocomplete, plain-language incoterm/settlement explanations, special instruction suggestions, container advisor recommendations, readiness recommendations, tenant messages</w:t>
            </w:r>
          </w:p>
        </w:tc>
      </w:tr>
      <w:tr>
        <w:tc>
          <w:tcPr>
            <w:tcW w:type="dxa" w:w="3213"/>
          </w:tcPr>
          <w:p>
            <w:pPr>
              <w:spacing w:after="20" w:before="20" w:line="240" w:lineRule="auto"/>
            </w:pPr>
            <w:r/>
            <w:r>
              <w:rPr>
                <w:rFonts w:ascii="Arial" w:hAnsi="Arial" w:cs="Arial"/>
                <w:b w:val="0"/>
                <w:i w:val="0"/>
                <w:sz w:val="17"/>
              </w:rPr>
              <w:t>A2 (HF local / XGBoost / LightGBM / RIA / GNN)</w:t>
            </w:r>
          </w:p>
        </w:tc>
        <w:tc>
          <w:tcPr>
            <w:tcW w:type="dxa" w:w="3213"/>
          </w:tcPr>
          <w:p>
            <w:pPr>
              <w:spacing w:after="20" w:before="20" w:line="240" w:lineRule="auto"/>
            </w:pPr>
            <w:r/>
            <w:r>
              <w:rPr>
                <w:rFonts w:ascii="Arial" w:hAnsi="Arial" w:cs="Arial"/>
                <w:b w:val="0"/>
                <w:i w:val="0"/>
                <w:sz w:val="17"/>
              </w:rPr>
              <w:t>Constraining (can return CONDITIONAL)</w:t>
            </w:r>
          </w:p>
        </w:tc>
        <w:tc>
          <w:tcPr>
            <w:tcW w:type="dxa" w:w="3213"/>
          </w:tcPr>
          <w:p>
            <w:pPr>
              <w:spacing w:after="20" w:before="20" w:line="240" w:lineRule="auto"/>
            </w:pPr>
            <w:r/>
            <w:r>
              <w:rPr>
                <w:rFonts w:ascii="Arial" w:hAnsi="Arial" w:cs="Arial"/>
                <w:b w:val="0"/>
                <w:i w:val="0"/>
                <w:sz w:val="17"/>
              </w:rPr>
              <w:t>Dynamic product schema generation, acceptance criteria, structured extraction, sanctions pre-screen, readiness and attractiveness scoring</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All 33 Phase 1 validation gates; incoterm, equipment, weight, port, delivery-window, settlement, and criticality validation</w:t>
            </w:r>
          </w:p>
        </w:tc>
      </w:tr>
      <w:tr>
        <w:tc>
          <w:tcPr>
            <w:tcW w:type="dxa" w:w="3213"/>
          </w:tcPr>
          <w:p>
            <w:pPr>
              <w:spacing w:after="20" w:before="20" w:line="240" w:lineRule="auto"/>
            </w:pPr>
            <w:r/>
            <w:r>
              <w:rPr>
                <w:rFonts w:ascii="Arial" w:hAnsi="Arial" w:cs="Arial"/>
                <w:b w:val="0"/>
                <w:i w:val="0"/>
                <w:sz w:val="17"/>
              </w:rPr>
              <w:t>A5</w:t>
            </w:r>
          </w:p>
        </w:tc>
        <w:tc>
          <w:tcPr>
            <w:tcW w:type="dxa" w:w="3213"/>
          </w:tcPr>
          <w:p>
            <w:pPr>
              <w:spacing w:after="20" w:before="20" w:line="240" w:lineRule="auto"/>
            </w:pPr>
            <w:r/>
            <w:r>
              <w:rPr>
                <w:rFonts w:ascii="Arial" w:hAnsi="Arial" w:cs="Arial"/>
                <w:b w:val="0"/>
                <w:i w:val="0"/>
                <w:sz w:val="17"/>
              </w:rPr>
              <w:t>Forbidden</w:t>
            </w:r>
          </w:p>
        </w:tc>
        <w:tc>
          <w:tcPr>
            <w:tcW w:type="dxa" w:w="3213"/>
          </w:tcPr>
          <w:p>
            <w:pPr>
              <w:spacing w:after="20" w:before="20" w:line="240" w:lineRule="auto"/>
            </w:pPr>
            <w:r/>
            <w:r>
              <w:rPr>
                <w:rFonts w:ascii="Arial" w:hAnsi="Arial" w:cs="Arial"/>
                <w:b w:val="0"/>
                <w:i w:val="0"/>
                <w:sz w:val="17"/>
              </w:rPr>
              <w:t>Counterparty or provider suggestions, marketplace ranking — blocked at WASM compile time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6.3 Regulatory Intelligence Agent (RIA)</w:t>
      </w:r>
    </w:p>
    <w:p>
      <w:pPr>
        <w:keepNext/>
        <w:spacing w:before="180" w:after="80"/>
        <w:outlineLvl w:val="2"/>
      </w:pPr>
      <w:r>
        <w:rPr>
          <w:rFonts w:ascii="Arial" w:hAnsi="Arial" w:cs="Arial"/>
          <w:b/>
          <w:i w:val="0"/>
          <w:color w:val="333333"/>
          <w:sz w:val="23"/>
        </w:rPr>
        <w:t>6.3.1 Purpose &amp; Design Philosophy</w:t>
      </w:r>
    </w:p>
    <w:p>
      <w:pPr>
        <w:spacing w:after="80" w:line="293" w:lineRule="auto"/>
        <w:jc w:val="left"/>
      </w:pPr>
      <w:r>
        <w:rPr>
          <w:rFonts w:ascii="Times New Roman" w:hAnsi="Times New Roman" w:cs="Times New Roman"/>
          <w:b w:val="0"/>
          <w:i w:val="0"/>
          <w:sz w:val="22"/>
        </w:rPr>
        <w:t>The Regulatory Intelligence Agent (RIA) is the engine behind SGTX's dynamic compliance and product specification capability. It is a continuously running, self-updating knowledge graph that scrapes, parses, and structures regulatory data from over 300 official sources worldwide. The RIA ensures that every trade request is automatically configured with the correct product specifications, required documents, special procedures, lab tests, and acceptance criteria — without requiring the buyer to research regulations manually.</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Zero human research — buyers never need to look up MRLs (Maximum Residue Limits), treatment requirements,</w:t>
      </w:r>
    </w:p>
    <w:p>
      <w:pPr>
        <w:spacing w:after="80" w:line="293" w:lineRule="auto"/>
        <w:jc w:val="left"/>
      </w:pPr>
      <w:r>
        <w:rPr>
          <w:rFonts w:ascii="Times New Roman" w:hAnsi="Times New Roman" w:cs="Times New Roman"/>
          <w:b w:val="0"/>
          <w:i w:val="0"/>
          <w:sz w:val="22"/>
        </w:rPr>
        <w:t>or document mandates.</w:t>
      </w:r>
    </w:p>
    <w:p>
      <w:pPr>
        <w:spacing w:after="80" w:line="293" w:lineRule="auto"/>
        <w:ind w:left="283"/>
        <w:jc w:val="left"/>
      </w:pPr>
      <w:r>
        <w:rPr>
          <w:rFonts w:ascii="Times New Roman" w:hAnsi="Times New Roman" w:cs="Times New Roman"/>
          <w:b w:val="0"/>
          <w:i w:val="0"/>
          <w:sz w:val="22"/>
        </w:rPr>
        <w:t>- Real-time updates — regulatory changes are reflected within 6 hours of publication.</w:t>
      </w:r>
    </w:p>
    <w:p>
      <w:pPr>
        <w:spacing w:after="80" w:line="293" w:lineRule="auto"/>
        <w:ind w:left="283"/>
        <w:jc w:val="left"/>
      </w:pPr>
      <w:r>
        <w:rPr>
          <w:rFonts w:ascii="Times New Roman" w:hAnsi="Times New Roman" w:cs="Times New Roman"/>
          <w:b w:val="0"/>
          <w:i w:val="0"/>
          <w:sz w:val="22"/>
        </w:rPr>
        <w:t>- Jurisdiction-aware — different rules apply based on origin, destination, and port.</w:t>
      </w:r>
    </w:p>
    <w:p>
      <w:pPr>
        <w:spacing w:after="80" w:line="293" w:lineRule="auto"/>
        <w:ind w:left="283"/>
        <w:jc w:val="left"/>
      </w:pPr>
      <w:r>
        <w:rPr>
          <w:rFonts w:ascii="Times New Roman" w:hAnsi="Times New Roman" w:cs="Times New Roman"/>
          <w:b w:val="0"/>
          <w:i w:val="0"/>
          <w:sz w:val="22"/>
        </w:rPr>
        <w:t>- Product-aware — each HS code has its own specification schema.</w:t>
      </w:r>
    </w:p>
    <w:p>
      <w:pPr>
        <w:spacing w:after="80" w:line="293" w:lineRule="auto"/>
        <w:ind w:left="283"/>
        <w:jc w:val="left"/>
      </w:pPr>
      <w:r>
        <w:rPr>
          <w:rFonts w:ascii="Times New Roman" w:hAnsi="Times New Roman" w:cs="Times New Roman"/>
          <w:b w:val="0"/>
          <w:i w:val="0"/>
          <w:sz w:val="22"/>
        </w:rPr>
        <w:t>- AI-enhanced — machine learning models improve detection accuracy over time.</w:t>
      </w:r>
    </w:p>
    <w:p>
      <w:pPr>
        <w:spacing w:after="80" w:line="293" w:lineRule="auto"/>
        <w:ind w:left="283"/>
        <w:jc w:val="left"/>
      </w:pPr>
      <w:r>
        <w:rPr>
          <w:rFonts w:ascii="Times New Roman" w:hAnsi="Times New Roman" w:cs="Times New Roman"/>
          <w:b w:val="0"/>
          <w:i w:val="0"/>
          <w:sz w:val="22"/>
        </w:rPr>
        <w:t>- Self-hosted — all data sources are free, public, and scraped without external API costs.</w:t>
      </w:r>
    </w:p>
    <w:p>
      <w:pPr>
        <w:spacing w:after="80" w:line="293" w:lineRule="auto"/>
        <w:jc w:val="left"/>
      </w:pPr>
      <w:r>
        <w:rPr>
          <w:rFonts w:ascii="Times New Roman" w:hAnsi="Times New Roman" w:cs="Times New Roman"/>
          <w:b w:val="0"/>
          <w:i w:val="0"/>
          <w:sz w:val="22"/>
        </w:rPr>
        <w:t>AI authority in this section: A2 (HF NLP local models) performs entity, relation, MRL, document, treatment, and acceptance criteria extraction; A2 (sentence-transformers) generates vector embeddings; A4 (WasmEdge) updates and enforces rules matrices; A1 (Groq) generates change summaries and Smart Inbox alerts.</w:t>
      </w:r>
    </w:p>
    <w:p>
      <w:pPr>
        <w:keepNext/>
        <w:spacing w:before="180" w:after="80"/>
        <w:outlineLvl w:val="2"/>
      </w:pPr>
      <w:r>
        <w:rPr>
          <w:rFonts w:ascii="Arial" w:hAnsi="Arial" w:cs="Arial"/>
          <w:b/>
          <w:i w:val="0"/>
          <w:color w:val="333333"/>
          <w:sz w:val="23"/>
        </w:rPr>
        <w:t>6.3.2 Data Sources (Complete List)</w:t>
      </w:r>
    </w:p>
    <w:p>
      <w:pPr>
        <w:spacing w:after="80" w:line="293" w:lineRule="auto"/>
        <w:jc w:val="left"/>
      </w:pPr>
      <w:r>
        <w:rPr>
          <w:rFonts w:ascii="Times New Roman" w:hAnsi="Times New Roman" w:cs="Times New Roman"/>
          <w:b w:val="0"/>
          <w:i w:val="0"/>
          <w:sz w:val="22"/>
        </w:rPr>
        <w:t>The RIA scrapes the following free, public data sources every 6 hours. All scraping uses open-source tools (Rig, Scrapy, BeautifulSoup) and runs on the sovereign node.</w:t>
      </w:r>
    </w:p>
    <w:p>
      <w:pPr>
        <w:keepNext/>
        <w:spacing w:before="140" w:after="60"/>
        <w:outlineLvl w:val="3"/>
      </w:pPr>
      <w:r>
        <w:rPr>
          <w:rFonts w:ascii="Arial" w:hAnsi="Arial" w:cs="Arial"/>
          <w:b/>
          <w:i/>
          <w:color w:val="333333"/>
          <w:sz w:val="22"/>
        </w:rPr>
        <w:t>6.3.2.1 Regulatory &amp; Sanctions Sources</w:t>
      </w:r>
    </w:p>
    <w:p>
      <w:pPr>
        <w:spacing w:after="80" w:line="293" w:lineRule="auto"/>
        <w:jc w:val="left"/>
      </w:pPr>
      <w:r>
        <w:rPr>
          <w:rFonts w:ascii="Times New Roman" w:hAnsi="Times New Roman" w:cs="Times New Roman"/>
          <w:b w:val="0"/>
          <w:i w:val="0"/>
          <w:sz w:val="22"/>
        </w:rPr>
        <w:t>The sanctions and regulatory layer ingests the UN, OFAC (Office of Foreign Assets Control), and EU consolidated sanctions lists, together with national regulatory gazettes. Egyptian-specific regulatory sources include Nafeza (the Egyptian single window for trade facilitation), NFSA (National Food Safety Authority), and GOEIC (General Organization for Import and Export Control).</w:t>
      </w:r>
    </w:p>
    <w:p>
      <w:pPr>
        <w:keepNext/>
        <w:spacing w:before="140" w:after="60"/>
        <w:outlineLvl w:val="3"/>
      </w:pPr>
      <w:r>
        <w:rPr>
          <w:rFonts w:ascii="Arial" w:hAnsi="Arial" w:cs="Arial"/>
          <w:b/>
          <w:i/>
          <w:color w:val="333333"/>
          <w:sz w:val="22"/>
        </w:rPr>
        <w:t>6.3.2.2 Agricultural &amp; Food Safety Sources</w:t>
      </w:r>
    </w:p>
    <w:p>
      <w:pPr>
        <w:spacing w:after="80" w:line="293" w:lineRule="auto"/>
        <w:jc w:val="left"/>
      </w:pPr>
      <w:r>
        <w:rPr>
          <w:rFonts w:ascii="Times New Roman" w:hAnsi="Times New Roman" w:cs="Times New Roman"/>
          <w:b w:val="0"/>
          <w:i w:val="0"/>
          <w:sz w:val="22"/>
        </w:rPr>
        <w:t>The food safety layer ingests RASFF (the EU Rapid Alert System for Food and Feed), FDA (U.S. Food and Drug Administration) import alerts and detentions, SFDA (Saudi Food and Drug Authority) requirements, and Codex Alimentarius and WTO SPS (World Trade Organization Sanitary and Phytosanitary) standards used as acceptance criteria sources.</w:t>
      </w:r>
    </w:p>
    <w:p>
      <w:pPr>
        <w:keepNext/>
        <w:spacing w:before="140" w:after="60"/>
        <w:outlineLvl w:val="3"/>
      </w:pPr>
      <w:r>
        <w:rPr>
          <w:rFonts w:ascii="Arial" w:hAnsi="Arial" w:cs="Arial"/>
          <w:b/>
          <w:i/>
          <w:color w:val="333333"/>
          <w:sz w:val="22"/>
        </w:rPr>
        <w:t>6.3.2.3 Port &amp; Logistics Sources</w:t>
      </w:r>
    </w:p>
    <w:p>
      <w:pPr>
        <w:spacing w:after="80" w:line="293" w:lineRule="auto"/>
        <w:jc w:val="left"/>
      </w:pPr>
      <w:r>
        <w:rPr>
          <w:rFonts w:ascii="Times New Roman" w:hAnsi="Times New Roman" w:cs="Times New Roman"/>
          <w:b w:val="0"/>
          <w:i w:val="0"/>
          <w:sz w:val="22"/>
        </w:rPr>
        <w:t>The port layer ingests port authority websites, UN/LOCODE registries, AIS (Automatic Identification System) vessel position data, and port congestion indicators (see Section 6.9.5 and Section 20).</w:t>
      </w:r>
    </w:p>
    <w:p>
      <w:pPr>
        <w:keepNext/>
        <w:spacing w:before="140" w:after="60"/>
        <w:outlineLvl w:val="3"/>
      </w:pPr>
      <w:r>
        <w:rPr>
          <w:rFonts w:ascii="Arial" w:hAnsi="Arial" w:cs="Arial"/>
          <w:b/>
          <w:i/>
          <w:color w:val="333333"/>
          <w:sz w:val="22"/>
        </w:rPr>
        <w:t>6.3.2.4 Trade &amp; Market Data Sources</w:t>
      </w:r>
    </w:p>
    <w:p>
      <w:pPr>
        <w:spacing w:after="80" w:line="293" w:lineRule="auto"/>
        <w:jc w:val="left"/>
      </w:pPr>
      <w:r>
        <w:rPr>
          <w:rFonts w:ascii="Times New Roman" w:hAnsi="Times New Roman" w:cs="Times New Roman"/>
          <w:b w:val="0"/>
          <w:i w:val="0"/>
          <w:sz w:val="22"/>
        </w:rPr>
        <w:t>The market layer ingests FAO (Food and Agriculture Organization), USDA (U.S. Department of Agriculture), World Bank, and UN Comtrade trade statistics.</w:t>
      </w:r>
    </w:p>
    <w:p>
      <w:pPr>
        <w:keepNext/>
        <w:spacing w:before="180" w:after="80"/>
        <w:outlineLvl w:val="2"/>
      </w:pPr>
      <w:r>
        <w:rPr>
          <w:rFonts w:ascii="Arial" w:hAnsi="Arial" w:cs="Arial"/>
          <w:b/>
          <w:i w:val="0"/>
          <w:color w:val="333333"/>
          <w:sz w:val="23"/>
        </w:rPr>
        <w:t>6.3.3 RIA Architecture</w:t>
      </w:r>
    </w:p>
    <w:p>
      <w:pPr>
        <w:keepNext/>
        <w:spacing w:before="140" w:after="60"/>
        <w:outlineLvl w:val="3"/>
      </w:pPr>
      <w:r>
        <w:rPr>
          <w:rFonts w:ascii="Arial" w:hAnsi="Arial" w:cs="Arial"/>
          <w:b/>
          <w:i/>
          <w:color w:val="333333"/>
          <w:sz w:val="22"/>
        </w:rPr>
        <w:t>6.3.3.1 Component Overview</w:t>
      </w:r>
    </w:p>
    <w:p>
      <w:pPr>
        <w:spacing w:after="0" w:before="0" w:line="240" w:lineRule="auto"/>
        <w:ind w:left="57"/>
        <w:jc w:val="left"/>
        <w:shd w:val="clear" w:fill="F2F2F2"/>
      </w:pPr>
      <w:r>
        <w:rPr>
          <w:rFonts w:ascii="Consolas" w:hAnsi="Consolas" w:cs="Consolas"/>
          <w:b w:val="0"/>
          <w:i w:val="0"/>
          <w:sz w:val="15"/>
        </w:rPr>
        <w:t>RIA ARCHITECTURE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SCRAPER LAYER</w:t>
      </w:r>
    </w:p>
    <w:p>
      <w:pPr>
        <w:spacing w:after="0" w:before="0" w:line="240" w:lineRule="auto"/>
        <w:ind w:left="57"/>
        <w:jc w:val="left"/>
        <w:shd w:val="clear" w:fill="F2F2F2"/>
      </w:pPr>
      <w:r>
        <w:rPr>
          <w:rFonts w:ascii="Consolas" w:hAnsi="Consolas" w:cs="Consolas"/>
          <w:b w:val="0"/>
          <w:i w:val="0"/>
          <w:sz w:val="15"/>
        </w:rPr>
        <w:t xml:space="preserve">  Sanctions Scraper | Food Safety Scraper | Ports Scraper | Market Data Scraper | Trade Stats Scraper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PARSE &amp; EXTRACT LAYER (A2, HF NLP)</w:t>
      </w:r>
    </w:p>
    <w:p>
      <w:pPr>
        <w:spacing w:after="0" w:before="0" w:line="240" w:lineRule="auto"/>
        <w:ind w:left="57"/>
        <w:jc w:val="left"/>
        <w:shd w:val="clear" w:fill="F2F2F2"/>
      </w:pPr>
      <w:r>
        <w:rPr>
          <w:rFonts w:ascii="Consolas" w:hAnsi="Consolas" w:cs="Consolas"/>
          <w:b w:val="0"/>
          <w:i w:val="0"/>
          <w:sz w:val="15"/>
        </w:rPr>
        <w:t xml:space="preserve">  Entity Extraction | Relation Extraction | Document Extraction | MRL Extraction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VECTOR EMBEDDING LAYER (pgvector)</w:t>
      </w:r>
    </w:p>
    <w:p>
      <w:pPr>
        <w:spacing w:after="0" w:before="0" w:line="240" w:lineRule="auto"/>
        <w:ind w:left="57"/>
        <w:jc w:val="left"/>
        <w:shd w:val="clear" w:fill="F2F2F2"/>
      </w:pPr>
      <w:r>
        <w:rPr>
          <w:rFonts w:ascii="Consolas" w:hAnsi="Consolas" w:cs="Consolas"/>
          <w:b w:val="0"/>
          <w:i w:val="0"/>
          <w:sz w:val="15"/>
        </w:rPr>
        <w:t xml:space="preserve">  Regulation Vectors | Product Vectors | Treatment Vectors | Document Vectors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RULES &amp; MATRIX LAYER (A4, WasmEdge)</w:t>
      </w:r>
    </w:p>
    <w:p>
      <w:pPr>
        <w:spacing w:after="0" w:before="0" w:line="240" w:lineRule="auto"/>
        <w:ind w:left="57"/>
        <w:jc w:val="left"/>
        <w:shd w:val="clear" w:fill="F2F2F2"/>
      </w:pPr>
      <w:r>
        <w:rPr>
          <w:rFonts w:ascii="Consolas" w:hAnsi="Consolas" w:cs="Consolas"/>
          <w:b w:val="0"/>
          <w:i w:val="0"/>
          <w:sz w:val="15"/>
        </w:rPr>
        <w:t xml:space="preserve">  Jurisdiction Matrix | Treatment Rules | Document Requirements | MRL Validation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OUTPUT LAYER</w:t>
      </w:r>
    </w:p>
    <w:p>
      <w:pPr>
        <w:spacing w:after="0" w:before="0" w:line="240" w:lineRule="auto"/>
        <w:ind w:left="57"/>
        <w:jc w:val="left"/>
        <w:shd w:val="clear" w:fill="F2F2F2"/>
      </w:pPr>
      <w:r>
        <w:rPr>
          <w:rFonts w:ascii="Consolas" w:hAnsi="Consolas" w:cs="Consolas"/>
          <w:b w:val="0"/>
          <w:i w:val="0"/>
          <w:sz w:val="15"/>
        </w:rPr>
        <w:t xml:space="preserve">  Product Form Agent Schemas | Document Checklists | Treatment Requirements | Jurisdiction Updates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6.3.3.2 Processing Pipeline</w:t>
      </w:r>
    </w:p>
    <w:p>
      <w:pPr>
        <w:spacing w:after="0" w:before="0" w:line="240" w:lineRule="auto"/>
        <w:ind w:left="57"/>
        <w:jc w:val="left"/>
        <w:shd w:val="clear" w:fill="F2F2F2"/>
      </w:pPr>
      <w:r>
        <w:rPr>
          <w:rFonts w:ascii="Consolas" w:hAnsi="Consolas" w:cs="Consolas"/>
          <w:b w:val="0"/>
          <w:i w:val="0"/>
          <w:sz w:val="15"/>
        </w:rPr>
        <w:t>// Pseudo-code for RIA pipeline (Rust)</w:t>
      </w:r>
    </w:p>
    <w:p>
      <w:pPr>
        <w:spacing w:after="0" w:before="0" w:line="240" w:lineRule="auto"/>
        <w:ind w:left="57"/>
        <w:jc w:val="left"/>
        <w:shd w:val="clear" w:fill="F2F2F2"/>
      </w:pPr>
      <w:r>
        <w:rPr>
          <w:rFonts w:ascii="Consolas" w:hAnsi="Consolas" w:cs="Consolas"/>
          <w:b w:val="0"/>
          <w:i w:val="0"/>
          <w:sz w:val="15"/>
        </w:rPr>
        <w:t>async fn run_ria_pipeline() -&gt; Result&lt;()&gt; {</w:t>
      </w:r>
    </w:p>
    <w:p>
      <w:pPr>
        <w:spacing w:after="0" w:before="0" w:line="240" w:lineRule="auto"/>
        <w:ind w:left="57"/>
        <w:jc w:val="left"/>
        <w:shd w:val="clear" w:fill="F2F2F2"/>
      </w:pPr>
      <w:r>
        <w:rPr>
          <w:rFonts w:ascii="Consolas" w:hAnsi="Consolas" w:cs="Consolas"/>
          <w:b w:val="0"/>
          <w:i w:val="0"/>
          <w:sz w:val="15"/>
        </w:rPr>
        <w:t xml:space="preserve">    // 1. Scrape all sources</w:t>
      </w:r>
    </w:p>
    <w:p>
      <w:pPr>
        <w:spacing w:after="0" w:before="0" w:line="240" w:lineRule="auto"/>
        <w:ind w:left="57"/>
        <w:jc w:val="left"/>
        <w:shd w:val="clear" w:fill="F2F2F2"/>
      </w:pPr>
      <w:r>
        <w:rPr>
          <w:rFonts w:ascii="Consolas" w:hAnsi="Consolas" w:cs="Consolas"/>
          <w:b w:val="0"/>
          <w:i w:val="0"/>
          <w:sz w:val="15"/>
        </w:rPr>
        <w:t xml:space="preserve">    let scraped_data = scraper_layer.scrape_all().await?;</w:t>
      </w:r>
    </w:p>
    <w:p>
      <w:pPr>
        <w:spacing w:after="0" w:before="0" w:line="240" w:lineRule="auto"/>
        <w:ind w:left="57"/>
        <w:jc w:val="left"/>
        <w:shd w:val="clear" w:fill="F2F2F2"/>
      </w:pPr>
      <w:r>
        <w:rPr>
          <w:rFonts w:ascii="Consolas" w:hAnsi="Consolas" w:cs="Consolas"/>
          <w:b w:val="0"/>
          <w:i w:val="0"/>
          <w:sz w:val="15"/>
        </w:rPr>
        <w:t xml:space="preserve">    // 2. Parse and extract entities (A2, HF NLP)</w:t>
      </w:r>
    </w:p>
    <w:p>
      <w:pPr>
        <w:spacing w:after="0" w:before="0" w:line="240" w:lineRule="auto"/>
        <w:ind w:left="57"/>
        <w:jc w:val="left"/>
        <w:shd w:val="clear" w:fill="F2F2F2"/>
      </w:pPr>
      <w:r>
        <w:rPr>
          <w:rFonts w:ascii="Consolas" w:hAnsi="Consolas" w:cs="Consolas"/>
          <w:b w:val="0"/>
          <w:i w:val="0"/>
          <w:sz w:val="15"/>
        </w:rPr>
        <w:t xml:space="preserve">    let parsed_data = parse_layer.extract_entities(scraped_data).await?;</w:t>
      </w:r>
    </w:p>
    <w:p>
      <w:pPr>
        <w:spacing w:after="0" w:before="0" w:line="240" w:lineRule="auto"/>
        <w:ind w:left="57"/>
        <w:jc w:val="left"/>
        <w:shd w:val="clear" w:fill="F2F2F2"/>
      </w:pPr>
      <w:r>
        <w:rPr>
          <w:rFonts w:ascii="Consolas" w:hAnsi="Consolas" w:cs="Consolas"/>
          <w:b w:val="0"/>
          <w:i w:val="0"/>
          <w:sz w:val="15"/>
        </w:rPr>
        <w:t xml:space="preserve">    // 3. Generate vector embeddings (A2, sentence-transformers)</w:t>
      </w:r>
    </w:p>
    <w:p>
      <w:pPr>
        <w:spacing w:after="0" w:before="0" w:line="240" w:lineRule="auto"/>
        <w:ind w:left="57"/>
        <w:jc w:val="left"/>
        <w:shd w:val="clear" w:fill="F2F2F2"/>
      </w:pPr>
      <w:r>
        <w:rPr>
          <w:rFonts w:ascii="Consolas" w:hAnsi="Consolas" w:cs="Consolas"/>
          <w:b w:val="0"/>
          <w:i w:val="0"/>
          <w:sz w:val="15"/>
        </w:rPr>
        <w:t xml:space="preserve">    let embeddings = vector_layer.generate_embeddings(parsed_data).await?;</w:t>
      </w:r>
    </w:p>
    <w:p>
      <w:pPr>
        <w:spacing w:after="0" w:before="0" w:line="240" w:lineRule="auto"/>
        <w:ind w:left="57"/>
        <w:jc w:val="left"/>
        <w:shd w:val="clear" w:fill="F2F2F2"/>
      </w:pPr>
      <w:r>
        <w:rPr>
          <w:rFonts w:ascii="Consolas" w:hAnsi="Consolas" w:cs="Consolas"/>
          <w:b w:val="0"/>
          <w:i w:val="0"/>
          <w:sz w:val="15"/>
        </w:rPr>
        <w:t xml:space="preserve">    // 4. Update vector database (pgvector)</w:t>
      </w:r>
    </w:p>
    <w:p>
      <w:pPr>
        <w:spacing w:after="0" w:before="0" w:line="240" w:lineRule="auto"/>
        <w:ind w:left="57"/>
        <w:jc w:val="left"/>
        <w:shd w:val="clear" w:fill="F2F2F2"/>
      </w:pPr>
      <w:r>
        <w:rPr>
          <w:rFonts w:ascii="Consolas" w:hAnsi="Consolas" w:cs="Consolas"/>
          <w:b w:val="0"/>
          <w:i w:val="0"/>
          <w:sz w:val="15"/>
        </w:rPr>
        <w:t xml:space="preserve">    vector_layer.store_embeddings(embeddings).await?;</w:t>
      </w:r>
    </w:p>
    <w:p>
      <w:pPr>
        <w:spacing w:after="0" w:before="0" w:line="240" w:lineRule="auto"/>
        <w:ind w:left="57"/>
        <w:jc w:val="left"/>
        <w:shd w:val="clear" w:fill="F2F2F2"/>
      </w:pPr>
      <w:r>
        <w:rPr>
          <w:rFonts w:ascii="Consolas" w:hAnsi="Consolas" w:cs="Consolas"/>
          <w:b w:val="0"/>
          <w:i w:val="0"/>
          <w:sz w:val="15"/>
        </w:rPr>
        <w:t xml:space="preserve">    // 5. Update rules matrices (A4, WasmEdge)</w:t>
      </w:r>
    </w:p>
    <w:p>
      <w:pPr>
        <w:spacing w:after="0" w:before="0" w:line="240" w:lineRule="auto"/>
        <w:ind w:left="57"/>
        <w:jc w:val="left"/>
        <w:shd w:val="clear" w:fill="F2F2F2"/>
      </w:pPr>
      <w:r>
        <w:rPr>
          <w:rFonts w:ascii="Consolas" w:hAnsi="Consolas" w:cs="Consolas"/>
          <w:b w:val="0"/>
          <w:i w:val="0"/>
          <w:sz w:val="15"/>
        </w:rPr>
        <w:t xml:space="preserve">    rules_layer.update_matrices(parsed_data).await?;</w:t>
      </w:r>
    </w:p>
    <w:p>
      <w:pPr>
        <w:spacing w:after="0" w:before="0" w:line="240" w:lineRule="auto"/>
        <w:ind w:left="57"/>
        <w:jc w:val="left"/>
        <w:shd w:val="clear" w:fill="F2F2F2"/>
      </w:pPr>
      <w:r>
        <w:rPr>
          <w:rFonts w:ascii="Consolas" w:hAnsi="Consolas" w:cs="Consolas"/>
          <w:b w:val="0"/>
          <w:i w:val="0"/>
          <w:sz w:val="15"/>
        </w:rPr>
        <w:t xml:space="preserve">    // 6. Update jurisdiction matrix (A4, WasmEdge)</w:t>
      </w:r>
    </w:p>
    <w:p>
      <w:pPr>
        <w:spacing w:after="0" w:before="0" w:line="240" w:lineRule="auto"/>
        <w:ind w:left="57"/>
        <w:jc w:val="left"/>
        <w:shd w:val="clear" w:fill="F2F2F2"/>
      </w:pPr>
      <w:r>
        <w:rPr>
          <w:rFonts w:ascii="Consolas" w:hAnsi="Consolas" w:cs="Consolas"/>
          <w:b w:val="0"/>
          <w:i w:val="0"/>
          <w:sz w:val="15"/>
        </w:rPr>
        <w:t xml:space="preserve">    jurisdiction_layer.update(parsed_data).await?;</w:t>
      </w:r>
    </w:p>
    <w:p>
      <w:pPr>
        <w:spacing w:after="0" w:before="0" w:line="240" w:lineRule="auto"/>
        <w:ind w:left="57"/>
        <w:jc w:val="left"/>
        <w:shd w:val="clear" w:fill="F2F2F2"/>
      </w:pPr>
      <w:r>
        <w:rPr>
          <w:rFonts w:ascii="Consolas" w:hAnsi="Consolas" w:cs="Consolas"/>
          <w:b w:val="0"/>
          <w:i w:val="0"/>
          <w:sz w:val="15"/>
        </w:rPr>
        <w:t xml:space="preserve">    // 7. Update treatment requirements (A4, WasmEdge)</w:t>
      </w:r>
    </w:p>
    <w:p>
      <w:pPr>
        <w:spacing w:after="0" w:before="0" w:line="240" w:lineRule="auto"/>
        <w:ind w:left="57"/>
        <w:jc w:val="left"/>
        <w:shd w:val="clear" w:fill="F2F2F2"/>
      </w:pPr>
      <w:r>
        <w:rPr>
          <w:rFonts w:ascii="Consolas" w:hAnsi="Consolas" w:cs="Consolas"/>
          <w:b w:val="0"/>
          <w:i w:val="0"/>
          <w:sz w:val="15"/>
        </w:rPr>
        <w:t xml:space="preserve">    treatment_layer.update(parsed_data).await?;</w:t>
      </w:r>
    </w:p>
    <w:p>
      <w:pPr>
        <w:spacing w:after="0" w:before="0" w:line="240" w:lineRule="auto"/>
        <w:ind w:left="57"/>
        <w:jc w:val="left"/>
        <w:shd w:val="clear" w:fill="F2F2F2"/>
      </w:pPr>
      <w:r>
        <w:rPr>
          <w:rFonts w:ascii="Consolas" w:hAnsi="Consolas" w:cs="Consolas"/>
          <w:b w:val="0"/>
          <w:i w:val="0"/>
          <w:sz w:val="15"/>
        </w:rPr>
        <w:t xml:space="preserve">    // 8. Update document requirements (A4, WasmEdge)</w:t>
      </w:r>
    </w:p>
    <w:p>
      <w:pPr>
        <w:spacing w:after="0" w:before="0" w:line="240" w:lineRule="auto"/>
        <w:ind w:left="57"/>
        <w:jc w:val="left"/>
        <w:shd w:val="clear" w:fill="F2F2F2"/>
      </w:pPr>
      <w:r>
        <w:rPr>
          <w:rFonts w:ascii="Consolas" w:hAnsi="Consolas" w:cs="Consolas"/>
          <w:b w:val="0"/>
          <w:i w:val="0"/>
          <w:sz w:val="15"/>
        </w:rPr>
        <w:t xml:space="preserve">    document_layer.update(parsed_data).await?;</w:t>
      </w:r>
    </w:p>
    <w:p>
      <w:pPr>
        <w:spacing w:after="0" w:before="0" w:line="240" w:lineRule="auto"/>
        <w:ind w:left="57"/>
        <w:jc w:val="left"/>
        <w:shd w:val="clear" w:fill="F2F2F2"/>
      </w:pPr>
      <w:r>
        <w:rPr>
          <w:rFonts w:ascii="Consolas" w:hAnsi="Consolas" w:cs="Consolas"/>
          <w:b w:val="0"/>
          <w:i w:val="0"/>
          <w:sz w:val="15"/>
        </w:rPr>
        <w:t xml:space="preserve">    // 9. Update MRL database (A2)</w:t>
      </w:r>
    </w:p>
    <w:p>
      <w:pPr>
        <w:spacing w:after="0" w:before="0" w:line="240" w:lineRule="auto"/>
        <w:ind w:left="57"/>
        <w:jc w:val="left"/>
        <w:shd w:val="clear" w:fill="F2F2F2"/>
      </w:pPr>
      <w:r>
        <w:rPr>
          <w:rFonts w:ascii="Consolas" w:hAnsi="Consolas" w:cs="Consolas"/>
          <w:b w:val="0"/>
          <w:i w:val="0"/>
          <w:sz w:val="15"/>
        </w:rPr>
        <w:t xml:space="preserve">    mrl_layer.update(parsed_data).await?;</w:t>
      </w:r>
    </w:p>
    <w:p>
      <w:pPr>
        <w:spacing w:after="0" w:before="0" w:line="240" w:lineRule="auto"/>
        <w:ind w:left="57"/>
        <w:jc w:val="left"/>
        <w:shd w:val="clear" w:fill="F2F2F2"/>
      </w:pPr>
      <w:r>
        <w:rPr>
          <w:rFonts w:ascii="Consolas" w:hAnsi="Consolas" w:cs="Consolas"/>
          <w:b w:val="0"/>
          <w:i w:val="0"/>
          <w:sz w:val="15"/>
        </w:rPr>
        <w:t xml:space="preserve">    // 10. Generate change summary (A1, Groq)</w:t>
      </w:r>
    </w:p>
    <w:p>
      <w:pPr>
        <w:spacing w:after="0" w:before="0" w:line="240" w:lineRule="auto"/>
        <w:ind w:left="57"/>
        <w:jc w:val="left"/>
        <w:shd w:val="clear" w:fill="F2F2F2"/>
      </w:pPr>
      <w:r>
        <w:rPr>
          <w:rFonts w:ascii="Consolas" w:hAnsi="Consolas" w:cs="Consolas"/>
          <w:b w:val="0"/>
          <w:i w:val="0"/>
          <w:sz w:val="15"/>
        </w:rPr>
        <w:t xml:space="preserve">    let summary = groq_layer.generate_summary(parsed_data).await?;</w:t>
      </w:r>
    </w:p>
    <w:p>
      <w:pPr>
        <w:spacing w:after="0" w:before="0" w:line="240" w:lineRule="auto"/>
        <w:ind w:left="57"/>
        <w:jc w:val="left"/>
        <w:shd w:val="clear" w:fill="F2F2F2"/>
      </w:pPr>
      <w:r>
        <w:rPr>
          <w:rFonts w:ascii="Consolas" w:hAnsi="Consolas" w:cs="Consolas"/>
          <w:b w:val="0"/>
          <w:i w:val="0"/>
          <w:sz w:val="15"/>
        </w:rPr>
        <w:t xml:space="preserve">    send_smart_inbox_notification(summary).await?;</w:t>
      </w:r>
    </w:p>
    <w:p>
      <w:pPr>
        <w:spacing w:after="0" w:before="0" w:line="240" w:lineRule="auto"/>
        <w:ind w:left="57"/>
        <w:jc w:val="left"/>
        <w:shd w:val="clear" w:fill="F2F2F2"/>
      </w:pPr>
      <w:r>
        <w:rPr>
          <w:rFonts w:ascii="Consolas" w:hAnsi="Consolas" w:cs="Consolas"/>
          <w:b w:val="0"/>
          <w:i w:val="0"/>
          <w:sz w:val="15"/>
        </w:rPr>
        <w:t xml:space="preserve">    Ok(())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6.3.4 RIA Maintained Tables</w:t>
      </w:r>
    </w:p>
    <w:p>
      <w:pPr>
        <w:keepNext/>
        <w:spacing w:before="140" w:after="60"/>
        <w:outlineLvl w:val="3"/>
      </w:pPr>
      <w:r>
        <w:rPr>
          <w:rFonts w:ascii="Arial" w:hAnsi="Arial" w:cs="Arial"/>
          <w:b/>
          <w:i/>
          <w:color w:val="333333"/>
          <w:sz w:val="22"/>
        </w:rPr>
        <w:t>6.3.4.1 Core Tables</w:t>
      </w:r>
    </w:p>
    <w:p>
      <w:pPr>
        <w:spacing w:after="0" w:before="0" w:line="240" w:lineRule="auto"/>
        <w:ind w:left="57"/>
        <w:jc w:val="left"/>
        <w:shd w:val="clear" w:fill="F2F2F2"/>
      </w:pPr>
      <w:r>
        <w:rPr>
          <w:rFonts w:ascii="Consolas" w:hAnsi="Consolas" w:cs="Consolas"/>
          <w:b w:val="0"/>
          <w:i w:val="0"/>
          <w:sz w:val="15"/>
        </w:rPr>
        <w:t>-- Jurisdictions (country matrix) — updated by RIA</w:t>
      </w:r>
    </w:p>
    <w:p>
      <w:pPr>
        <w:spacing w:after="0" w:before="0" w:line="240" w:lineRule="auto"/>
        <w:ind w:left="57"/>
        <w:jc w:val="left"/>
        <w:shd w:val="clear" w:fill="F2F2F2"/>
      </w:pPr>
      <w:r>
        <w:rPr>
          <w:rFonts w:ascii="Consolas" w:hAnsi="Consolas" w:cs="Consolas"/>
          <w:b w:val="0"/>
          <w:i w:val="0"/>
          <w:sz w:val="15"/>
        </w:rPr>
        <w:t>-- jurisdictions: canonical definition in Section 17.18;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Country Physical Document Requirements</w:t>
      </w:r>
    </w:p>
    <w:p>
      <w:pPr>
        <w:spacing w:after="0" w:before="0" w:line="240" w:lineRule="auto"/>
        <w:ind w:left="57"/>
        <w:jc w:val="left"/>
        <w:shd w:val="clear" w:fill="F2F2F2"/>
      </w:pPr>
      <w:r>
        <w:rPr>
          <w:rFonts w:ascii="Consolas" w:hAnsi="Consolas" w:cs="Consolas"/>
          <w:b w:val="0"/>
          <w:i w:val="0"/>
          <w:sz w:val="15"/>
        </w:rPr>
        <w:t>CREATE TABLE country_physical_document_requirements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TEXT NOT NULL REFERENCES jurisdictions(code),</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requires_original BOOLEAN DEFAULT false,</w:t>
      </w:r>
    </w:p>
    <w:p>
      <w:pPr>
        <w:spacing w:after="0" w:before="0" w:line="240" w:lineRule="auto"/>
        <w:ind w:left="57"/>
        <w:jc w:val="left"/>
        <w:shd w:val="clear" w:fill="F2F2F2"/>
      </w:pPr>
      <w:r>
        <w:rPr>
          <w:rFonts w:ascii="Consolas" w:hAnsi="Consolas" w:cs="Consolas"/>
          <w:b w:val="0"/>
          <w:i w:val="0"/>
          <w:sz w:val="15"/>
        </w:rPr>
        <w:t xml:space="preserve">    requires_translation BOOLEAN DEFAULT false,</w:t>
      </w:r>
    </w:p>
    <w:p>
      <w:pPr>
        <w:spacing w:after="0" w:before="0" w:line="240" w:lineRule="auto"/>
        <w:ind w:left="57"/>
        <w:jc w:val="left"/>
        <w:shd w:val="clear" w:fill="F2F2F2"/>
      </w:pPr>
      <w:r>
        <w:rPr>
          <w:rFonts w:ascii="Consolas" w:hAnsi="Consolas" w:cs="Consolas"/>
          <w:b w:val="0"/>
          <w:i w:val="0"/>
          <w:sz w:val="15"/>
        </w:rPr>
        <w:t xml:space="preserve">    requires_legalisation BOOLEAN DEFAULT false,</w:t>
      </w:r>
    </w:p>
    <w:p>
      <w:pPr>
        <w:spacing w:after="0" w:before="0" w:line="240" w:lineRule="auto"/>
        <w:ind w:left="57"/>
        <w:jc w:val="left"/>
        <w:shd w:val="clear" w:fill="F2F2F2"/>
      </w:pPr>
      <w:r>
        <w:rPr>
          <w:rFonts w:ascii="Consolas" w:hAnsi="Consolas" w:cs="Consolas"/>
          <w:b w:val="0"/>
          <w:i w:val="0"/>
          <w:sz w:val="15"/>
        </w:rPr>
        <w:t xml:space="preserve">    physical_handling_service_recommended BOOLEAN DEFAULT false,</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UNIQUE(country_code, document_type)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Country MRL (Maximum Residue Limits)</w:t>
      </w:r>
    </w:p>
    <w:p>
      <w:pPr>
        <w:spacing w:after="0" w:before="0" w:line="240" w:lineRule="auto"/>
        <w:ind w:left="57"/>
        <w:jc w:val="left"/>
        <w:shd w:val="clear" w:fill="F2F2F2"/>
      </w:pPr>
      <w:r>
        <w:rPr>
          <w:rFonts w:ascii="Consolas" w:hAnsi="Consolas" w:cs="Consolas"/>
          <w:b w:val="0"/>
          <w:i w:val="0"/>
          <w:sz w:val="15"/>
        </w:rPr>
        <w:t>-- country_mrl: canonical definition in Section 17.18;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Treatment Requirements</w:t>
      </w:r>
    </w:p>
    <w:p>
      <w:pPr>
        <w:spacing w:after="0" w:before="0" w:line="240" w:lineRule="auto"/>
        <w:ind w:left="57"/>
        <w:jc w:val="left"/>
        <w:shd w:val="clear" w:fill="F2F2F2"/>
      </w:pPr>
      <w:r>
        <w:rPr>
          <w:rFonts w:ascii="Consolas" w:hAnsi="Consolas" w:cs="Consolas"/>
          <w:b w:val="0"/>
          <w:i w:val="0"/>
          <w:sz w:val="15"/>
        </w:rPr>
        <w:t>-- treatment_requirements: canonical definition in Section 17.18;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Port Special Rules</w:t>
      </w:r>
    </w:p>
    <w:p>
      <w:pPr>
        <w:spacing w:after="0" w:before="0" w:line="240" w:lineRule="auto"/>
        <w:ind w:left="57"/>
        <w:jc w:val="left"/>
        <w:shd w:val="clear" w:fill="F2F2F2"/>
      </w:pPr>
      <w:r>
        <w:rPr>
          <w:rFonts w:ascii="Consolas" w:hAnsi="Consolas" w:cs="Consolas"/>
          <w:b w:val="0"/>
          <w:i w:val="0"/>
          <w:sz w:val="15"/>
        </w:rPr>
        <w:t>-- port_special_rules: canonical definition in Section 17.18;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Commodity Packing Defaults</w:t>
      </w:r>
    </w:p>
    <w:p>
      <w:pPr>
        <w:spacing w:after="0" w:before="0" w:line="240" w:lineRule="auto"/>
        <w:ind w:left="57"/>
        <w:jc w:val="left"/>
        <w:shd w:val="clear" w:fill="F2F2F2"/>
      </w:pPr>
      <w:r>
        <w:rPr>
          <w:rFonts w:ascii="Consolas" w:hAnsi="Consolas" w:cs="Consolas"/>
          <w:b w:val="0"/>
          <w:i w:val="0"/>
          <w:sz w:val="15"/>
        </w:rPr>
        <w:t>-- commodity_packing_defaults: canonical definition in Section 17.18;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Commodity Dynamic Schemas Cache</w:t>
      </w:r>
    </w:p>
    <w:p>
      <w:pPr>
        <w:spacing w:after="0" w:before="0" w:line="240" w:lineRule="auto"/>
        <w:ind w:left="57"/>
        <w:jc w:val="left"/>
        <w:shd w:val="clear" w:fill="F2F2F2"/>
      </w:pPr>
      <w:r>
        <w:rPr>
          <w:rFonts w:ascii="Consolas" w:hAnsi="Consolas" w:cs="Consolas"/>
          <w:b w:val="0"/>
          <w:i w:val="0"/>
          <w:sz w:val="15"/>
        </w:rPr>
        <w:t>-- commodity_dynamic_schemas_cache: canonical definition in Section 17.18;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Acceptance Criteria Templates</w:t>
      </w:r>
    </w:p>
    <w:p>
      <w:pPr>
        <w:spacing w:after="0" w:before="0" w:line="240" w:lineRule="auto"/>
        <w:ind w:left="57"/>
        <w:jc w:val="left"/>
        <w:shd w:val="clear" w:fill="F2F2F2"/>
      </w:pPr>
      <w:r>
        <w:rPr>
          <w:rFonts w:ascii="Consolas" w:hAnsi="Consolas" w:cs="Consolas"/>
          <w:b w:val="0"/>
          <w:i w:val="0"/>
          <w:sz w:val="15"/>
        </w:rPr>
        <w:t>CREATE TABLE acceptance_criteria_templates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hs_code CHAR(6) NOT NULL,</w:t>
      </w:r>
    </w:p>
    <w:p>
      <w:pPr>
        <w:spacing w:after="0" w:before="0" w:line="240" w:lineRule="auto"/>
        <w:ind w:left="57"/>
        <w:jc w:val="left"/>
        <w:shd w:val="clear" w:fill="F2F2F2"/>
      </w:pPr>
      <w:r>
        <w:rPr>
          <w:rFonts w:ascii="Consolas" w:hAnsi="Consolas" w:cs="Consolas"/>
          <w:b w:val="0"/>
          <w:i w:val="0"/>
          <w:sz w:val="15"/>
        </w:rPr>
        <w:t xml:space="preserve">    parameter TEXT NOT NULL,</w:t>
      </w:r>
    </w:p>
    <w:p>
      <w:pPr>
        <w:spacing w:after="0" w:before="0" w:line="240" w:lineRule="auto"/>
        <w:ind w:left="57"/>
        <w:jc w:val="left"/>
        <w:shd w:val="clear" w:fill="F2F2F2"/>
      </w:pPr>
      <w:r>
        <w:rPr>
          <w:rFonts w:ascii="Consolas" w:hAnsi="Consolas" w:cs="Consolas"/>
          <w:b w:val="0"/>
          <w:i w:val="0"/>
          <w:sz w:val="15"/>
        </w:rPr>
        <w:t xml:space="preserve">    default_limit TEXT NOT NULL,</w:t>
      </w:r>
    </w:p>
    <w:p>
      <w:pPr>
        <w:spacing w:after="0" w:before="0" w:line="240" w:lineRule="auto"/>
        <w:ind w:left="57"/>
        <w:jc w:val="left"/>
        <w:shd w:val="clear" w:fill="F2F2F2"/>
      </w:pPr>
      <w:r>
        <w:rPr>
          <w:rFonts w:ascii="Consolas" w:hAnsi="Consolas" w:cs="Consolas"/>
          <w:b w:val="0"/>
          <w:i w:val="0"/>
          <w:sz w:val="15"/>
        </w:rPr>
        <w:t xml:space="preserve">    default_unit TEXT NOT NULL,</w:t>
      </w:r>
    </w:p>
    <w:p>
      <w:pPr>
        <w:spacing w:after="0" w:before="0" w:line="240" w:lineRule="auto"/>
        <w:ind w:left="57"/>
        <w:jc w:val="left"/>
        <w:shd w:val="clear" w:fill="F2F2F2"/>
      </w:pPr>
      <w:r>
        <w:rPr>
          <w:rFonts w:ascii="Consolas" w:hAnsi="Consolas" w:cs="Consolas"/>
          <w:b w:val="0"/>
          <w:i w:val="0"/>
          <w:sz w:val="15"/>
        </w:rPr>
        <w:t xml:space="preserve">    is_mandatory BOOLEAN DEFAULT true,</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Documentation Triggers (one source of truth)</w:t>
      </w:r>
    </w:p>
    <w:p>
      <w:pPr>
        <w:spacing w:after="0" w:before="0" w:line="240" w:lineRule="auto"/>
        <w:ind w:left="57"/>
        <w:jc w:val="left"/>
        <w:shd w:val="clear" w:fill="F2F2F2"/>
      </w:pPr>
      <w:r>
        <w:rPr>
          <w:rFonts w:ascii="Consolas" w:hAnsi="Consolas" w:cs="Consolas"/>
          <w:b w:val="0"/>
          <w:i w:val="0"/>
          <w:sz w:val="15"/>
        </w:rPr>
        <w:t>CREATE TABLE documentation_triggers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trigger_type TEXT NOT NULL, -- 'SHIPMENT', 'SETTLEMENT', 'CUSTOMS', 'FINANCING'</w:t>
      </w:r>
    </w:p>
    <w:p>
      <w:pPr>
        <w:spacing w:after="0" w:before="0" w:line="240" w:lineRule="auto"/>
        <w:ind w:left="57"/>
        <w:jc w:val="left"/>
        <w:shd w:val="clear" w:fill="F2F2F2"/>
      </w:pPr>
      <w:r>
        <w:rPr>
          <w:rFonts w:ascii="Consolas" w:hAnsi="Consolas" w:cs="Consolas"/>
          <w:b w:val="0"/>
          <w:i w:val="0"/>
          <w:sz w:val="15"/>
        </w:rPr>
        <w:t xml:space="preserve">    is_mandatory BOOLEAN DEFAULT false,</w:t>
      </w:r>
    </w:p>
    <w:p>
      <w:pPr>
        <w:spacing w:after="0" w:before="0" w:line="240" w:lineRule="auto"/>
        <w:ind w:left="57"/>
        <w:jc w:val="left"/>
        <w:shd w:val="clear" w:fill="F2F2F2"/>
      </w:pPr>
      <w:r>
        <w:rPr>
          <w:rFonts w:ascii="Consolas" w:hAnsi="Consolas" w:cs="Consolas"/>
          <w:b w:val="0"/>
          <w:i w:val="0"/>
          <w:sz w:val="15"/>
        </w:rPr>
        <w:t xml:space="preserve">    jurisdiction_code TEXT REFERENCES jurisdictions(code),</w:t>
      </w:r>
    </w:p>
    <w:p>
      <w:pPr>
        <w:spacing w:after="0" w:before="0" w:line="240" w:lineRule="auto"/>
        <w:ind w:left="57"/>
        <w:jc w:val="left"/>
        <w:shd w:val="clear" w:fill="F2F2F2"/>
      </w:pPr>
      <w:r>
        <w:rPr>
          <w:rFonts w:ascii="Consolas" w:hAnsi="Consolas" w:cs="Consolas"/>
          <w:b w:val="0"/>
          <w:i w:val="0"/>
          <w:sz w:val="15"/>
        </w:rPr>
        <w:t xml:space="preserve">    hs_code CHAR(6),</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6.3.4.2 Vector Database (pgvector)</w:t>
      </w:r>
    </w:p>
    <w:p>
      <w:pPr>
        <w:spacing w:after="0" w:before="0" w:line="240" w:lineRule="auto"/>
        <w:ind w:left="57"/>
        <w:jc w:val="left"/>
        <w:shd w:val="clear" w:fill="F2F2F2"/>
      </w:pPr>
      <w:r>
        <w:rPr>
          <w:rFonts w:ascii="Consolas" w:hAnsi="Consolas" w:cs="Consolas"/>
          <w:b w:val="0"/>
          <w:i w:val="0"/>
          <w:sz w:val="15"/>
        </w:rPr>
        <w:t>-- Regulations vector store</w:t>
      </w:r>
    </w:p>
    <w:p>
      <w:pPr>
        <w:spacing w:after="0" w:before="0" w:line="240" w:lineRule="auto"/>
        <w:ind w:left="57"/>
        <w:jc w:val="left"/>
        <w:shd w:val="clear" w:fill="F2F2F2"/>
      </w:pPr>
      <w:r>
        <w:rPr>
          <w:rFonts w:ascii="Consolas" w:hAnsi="Consolas" w:cs="Consolas"/>
          <w:b w:val="0"/>
          <w:i w:val="0"/>
          <w:sz w:val="15"/>
        </w:rPr>
        <w:t>CREATE TABLE regulation_vectors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source TEXT NOT NULL,</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content TEXT NOT NULL,</w:t>
      </w:r>
    </w:p>
    <w:p>
      <w:pPr>
        <w:spacing w:after="0" w:before="0" w:line="240" w:lineRule="auto"/>
        <w:ind w:left="57"/>
        <w:jc w:val="left"/>
        <w:shd w:val="clear" w:fill="F2F2F2"/>
      </w:pPr>
      <w:r>
        <w:rPr>
          <w:rFonts w:ascii="Consolas" w:hAnsi="Consolas" w:cs="Consolas"/>
          <w:b w:val="0"/>
          <w:i w:val="0"/>
          <w:sz w:val="15"/>
        </w:rPr>
        <w:t xml:space="preserve">    embedding vector(384), -- sentence-transformers/all-MiniLM-L6-v2</w:t>
      </w:r>
    </w:p>
    <w:p>
      <w:pPr>
        <w:spacing w:after="0" w:before="0" w:line="240" w:lineRule="auto"/>
        <w:ind w:left="57"/>
        <w:jc w:val="left"/>
        <w:shd w:val="clear" w:fill="F2F2F2"/>
      </w:pPr>
      <w:r>
        <w:rPr>
          <w:rFonts w:ascii="Consolas" w:hAnsi="Consolas" w:cs="Consolas"/>
          <w:b w:val="0"/>
          <w:i w:val="0"/>
          <w:sz w:val="15"/>
        </w:rPr>
        <w:t xml:space="preserve">    metadata JSONB,</w:t>
      </w:r>
    </w:p>
    <w:p>
      <w:pPr>
        <w:spacing w:after="0" w:before="0" w:line="240" w:lineRule="auto"/>
        <w:ind w:left="57"/>
        <w:jc w:val="left"/>
        <w:shd w:val="clear" w:fill="F2F2F2"/>
      </w:pPr>
      <w:r>
        <w:rPr>
          <w:rFonts w:ascii="Consolas" w:hAnsi="Consolas" w:cs="Consolas"/>
          <w:b w:val="0"/>
          <w:i w:val="0"/>
          <w:sz w:val="15"/>
        </w:rPr>
        <w:t xml:space="preserve">    scraped_at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Product specification vectors</w:t>
      </w:r>
    </w:p>
    <w:p>
      <w:pPr>
        <w:spacing w:after="0" w:before="0" w:line="240" w:lineRule="auto"/>
        <w:ind w:left="57"/>
        <w:jc w:val="left"/>
        <w:shd w:val="clear" w:fill="F2F2F2"/>
      </w:pPr>
      <w:r>
        <w:rPr>
          <w:rFonts w:ascii="Consolas" w:hAnsi="Consolas" w:cs="Consolas"/>
          <w:b w:val="0"/>
          <w:i w:val="0"/>
          <w:sz w:val="15"/>
        </w:rPr>
        <w:t>CREATE TABLE product_spec_vectors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hs_code CHAR(6) NOT NULL,</w:t>
      </w:r>
    </w:p>
    <w:p>
      <w:pPr>
        <w:spacing w:after="0" w:before="0" w:line="240" w:lineRule="auto"/>
        <w:ind w:left="57"/>
        <w:jc w:val="left"/>
        <w:shd w:val="clear" w:fill="F2F2F2"/>
      </w:pPr>
      <w:r>
        <w:rPr>
          <w:rFonts w:ascii="Consolas" w:hAnsi="Consolas" w:cs="Consolas"/>
          <w:b w:val="0"/>
          <w:i w:val="0"/>
          <w:sz w:val="15"/>
        </w:rPr>
        <w:t xml:space="preserve">    product_name TEXT NOT NULL,</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embedding vector(384),</w:t>
      </w:r>
    </w:p>
    <w:p>
      <w:pPr>
        <w:spacing w:after="0" w:before="0" w:line="240" w:lineRule="auto"/>
        <w:ind w:left="57"/>
        <w:jc w:val="left"/>
        <w:shd w:val="clear" w:fill="F2F2F2"/>
      </w:pPr>
      <w:r>
        <w:rPr>
          <w:rFonts w:ascii="Consolas" w:hAnsi="Consolas" w:cs="Consolas"/>
          <w:b w:val="0"/>
          <w:i w:val="0"/>
          <w:sz w:val="15"/>
        </w:rPr>
        <w:t xml:space="preserve">    metadata JSONB,</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Create vector indexes for similarity search</w:t>
      </w:r>
    </w:p>
    <w:p>
      <w:pPr>
        <w:spacing w:after="0" w:before="0" w:line="240" w:lineRule="auto"/>
        <w:ind w:left="57"/>
        <w:jc w:val="left"/>
        <w:shd w:val="clear" w:fill="F2F2F2"/>
      </w:pPr>
      <w:r>
        <w:rPr>
          <w:rFonts w:ascii="Consolas" w:hAnsi="Consolas" w:cs="Consolas"/>
          <w:b w:val="0"/>
          <w:i w:val="0"/>
          <w:sz w:val="15"/>
        </w:rPr>
        <w:t>CREATE INDEX idx_regulation_vectors_embedding ON regulation_vectors</w:t>
      </w:r>
    </w:p>
    <w:p>
      <w:pPr>
        <w:spacing w:after="0" w:before="0" w:line="240" w:lineRule="auto"/>
        <w:ind w:left="57"/>
        <w:jc w:val="left"/>
        <w:shd w:val="clear" w:fill="F2F2F2"/>
      </w:pPr>
      <w:r>
        <w:rPr>
          <w:rFonts w:ascii="Consolas" w:hAnsi="Consolas" w:cs="Consolas"/>
          <w:b w:val="0"/>
          <w:i w:val="0"/>
          <w:sz w:val="15"/>
        </w:rPr>
        <w:t xml:space="preserve">    USING ivfflat (embedding vector_cosine_ops) WITH (lists = 100);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idx_product_spec_vectors_embedding ON product_spec_vectors</w:t>
      </w:r>
    </w:p>
    <w:p>
      <w:pPr>
        <w:spacing w:after="0" w:before="0" w:line="240" w:lineRule="auto"/>
        <w:ind w:left="57"/>
        <w:jc w:val="left"/>
        <w:shd w:val="clear" w:fill="F2F2F2"/>
      </w:pPr>
      <w:r>
        <w:rPr>
          <w:rFonts w:ascii="Consolas" w:hAnsi="Consolas" w:cs="Consolas"/>
          <w:b w:val="0"/>
          <w:i w:val="0"/>
          <w:sz w:val="15"/>
        </w:rPr>
        <w:t xml:space="preserve">    USING ivfflat (embedding vector_cosine_ops) WITH (lists = 100);</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6.3.5 How the RIA Drives the Dynamic Form</w:t>
      </w:r>
    </w:p>
    <w:p>
      <w:pPr>
        <w:keepNext/>
        <w:spacing w:before="140" w:after="60"/>
        <w:outlineLvl w:val="3"/>
      </w:pPr>
      <w:r>
        <w:rPr>
          <w:rFonts w:ascii="Arial" w:hAnsi="Arial" w:cs="Arial"/>
          <w:b/>
          <w:i/>
          <w:color w:val="333333"/>
          <w:sz w:val="22"/>
        </w:rPr>
        <w:t>6.3.5.1 Product Selection Flow</w:t>
      </w:r>
    </w:p>
    <w:p>
      <w:pPr>
        <w:spacing w:after="80" w:line="293" w:lineRule="auto"/>
        <w:jc w:val="left"/>
      </w:pPr>
      <w:r>
        <w:rPr>
          <w:rFonts w:ascii="Times New Roman" w:hAnsi="Times New Roman" w:cs="Times New Roman"/>
          <w:b w:val="0"/>
          <w:i w:val="0"/>
          <w:sz w:val="22"/>
        </w:rPr>
        <w:t>When a buyer selects a product (by HS code or product name), the Product Form Agent queries the RIA in real time:</w:t>
      </w:r>
    </w:p>
    <w:p>
      <w:pPr>
        <w:spacing w:after="0" w:before="0" w:line="240" w:lineRule="auto"/>
        <w:ind w:left="57"/>
        <w:jc w:val="left"/>
        <w:shd w:val="clear" w:fill="F2F2F2"/>
      </w:pPr>
      <w:r>
        <w:rPr>
          <w:rFonts w:ascii="Consolas" w:hAnsi="Consolas" w:cs="Consolas"/>
          <w:b w:val="0"/>
          <w:i w:val="0"/>
          <w:sz w:val="15"/>
        </w:rPr>
        <w:t>// Pseudo-code: Product Form Agent querying RIA</w:t>
      </w:r>
    </w:p>
    <w:p>
      <w:pPr>
        <w:spacing w:after="0" w:before="0" w:line="240" w:lineRule="auto"/>
        <w:ind w:left="57"/>
        <w:jc w:val="left"/>
        <w:shd w:val="clear" w:fill="F2F2F2"/>
      </w:pPr>
      <w:r>
        <w:rPr>
          <w:rFonts w:ascii="Consolas" w:hAnsi="Consolas" w:cs="Consolas"/>
          <w:b w:val="0"/>
          <w:i w:val="0"/>
          <w:sz w:val="15"/>
        </w:rPr>
        <w:t>async fn get_product_schema(</w:t>
      </w:r>
    </w:p>
    <w:p>
      <w:pPr>
        <w:spacing w:after="0" w:before="0" w:line="240" w:lineRule="auto"/>
        <w:ind w:left="57"/>
        <w:jc w:val="left"/>
        <w:shd w:val="clear" w:fill="F2F2F2"/>
      </w:pPr>
      <w:r>
        <w:rPr>
          <w:rFonts w:ascii="Consolas" w:hAnsi="Consolas" w:cs="Consolas"/>
          <w:b w:val="0"/>
          <w:i w:val="0"/>
          <w:sz w:val="15"/>
        </w:rPr>
        <w:t xml:space="preserve">    hs_code: &amp;str,</w:t>
      </w:r>
    </w:p>
    <w:p>
      <w:pPr>
        <w:spacing w:after="0" w:before="0" w:line="240" w:lineRule="auto"/>
        <w:ind w:left="57"/>
        <w:jc w:val="left"/>
        <w:shd w:val="clear" w:fill="F2F2F2"/>
      </w:pPr>
      <w:r>
        <w:rPr>
          <w:rFonts w:ascii="Consolas" w:hAnsi="Consolas" w:cs="Consolas"/>
          <w:b w:val="0"/>
          <w:i w:val="0"/>
          <w:sz w:val="15"/>
        </w:rPr>
        <w:t xml:space="preserve">    origin: &amp;str,</w:t>
      </w:r>
    </w:p>
    <w:p>
      <w:pPr>
        <w:spacing w:after="0" w:before="0" w:line="240" w:lineRule="auto"/>
        <w:ind w:left="57"/>
        <w:jc w:val="left"/>
        <w:shd w:val="clear" w:fill="F2F2F2"/>
      </w:pPr>
      <w:r>
        <w:rPr>
          <w:rFonts w:ascii="Consolas" w:hAnsi="Consolas" w:cs="Consolas"/>
          <w:b w:val="0"/>
          <w:i w:val="0"/>
          <w:sz w:val="15"/>
        </w:rPr>
        <w:t xml:space="preserve">    destination: &amp;str,</w:t>
      </w:r>
    </w:p>
    <w:p>
      <w:pPr>
        <w:spacing w:after="0" w:before="0" w:line="240" w:lineRule="auto"/>
        <w:ind w:left="57"/>
        <w:jc w:val="left"/>
        <w:shd w:val="clear" w:fill="F2F2F2"/>
      </w:pPr>
      <w:r>
        <w:rPr>
          <w:rFonts w:ascii="Consolas" w:hAnsi="Consolas" w:cs="Consolas"/>
          <w:b w:val="0"/>
          <w:i w:val="0"/>
          <w:sz w:val="15"/>
        </w:rPr>
        <w:t xml:space="preserve">    port: &amp;str</w:t>
      </w:r>
    </w:p>
    <w:p>
      <w:pPr>
        <w:spacing w:after="0" w:before="0" w:line="240" w:lineRule="auto"/>
        <w:ind w:left="57"/>
        <w:jc w:val="left"/>
        <w:shd w:val="clear" w:fill="F2F2F2"/>
      </w:pPr>
      <w:r>
        <w:rPr>
          <w:rFonts w:ascii="Consolas" w:hAnsi="Consolas" w:cs="Consolas"/>
          <w:b w:val="0"/>
          <w:i w:val="0"/>
          <w:sz w:val="15"/>
        </w:rPr>
        <w:t>) -&gt; Result&lt;ProductSchema&gt; {</w:t>
      </w:r>
    </w:p>
    <w:p>
      <w:pPr>
        <w:spacing w:after="0" w:before="0" w:line="240" w:lineRule="auto"/>
        <w:ind w:left="57"/>
        <w:jc w:val="left"/>
        <w:shd w:val="clear" w:fill="F2F2F2"/>
      </w:pPr>
      <w:r>
        <w:rPr>
          <w:rFonts w:ascii="Consolas" w:hAnsi="Consolas" w:cs="Consolas"/>
          <w:b w:val="0"/>
          <w:i w:val="0"/>
          <w:sz w:val="15"/>
        </w:rPr>
        <w:t xml:space="preserve">    // 1. Check cache</w:t>
      </w:r>
    </w:p>
    <w:p>
      <w:pPr>
        <w:spacing w:after="0" w:before="0" w:line="240" w:lineRule="auto"/>
        <w:ind w:left="57"/>
        <w:jc w:val="left"/>
        <w:shd w:val="clear" w:fill="F2F2F2"/>
      </w:pPr>
      <w:r>
        <w:rPr>
          <w:rFonts w:ascii="Consolas" w:hAnsi="Consolas" w:cs="Consolas"/>
          <w:b w:val="0"/>
          <w:i w:val="0"/>
          <w:sz w:val="15"/>
        </w:rPr>
        <w:t xml:space="preserve">    if let Some(cached) = get_cached_schema(hs_code, origin, destination, port).await? {</w:t>
      </w:r>
    </w:p>
    <w:p>
      <w:pPr>
        <w:spacing w:after="0" w:before="0" w:line="240" w:lineRule="auto"/>
        <w:ind w:left="57"/>
        <w:jc w:val="left"/>
        <w:shd w:val="clear" w:fill="F2F2F2"/>
      </w:pPr>
      <w:r>
        <w:rPr>
          <w:rFonts w:ascii="Consolas" w:hAnsi="Consolas" w:cs="Consolas"/>
          <w:b w:val="0"/>
          <w:i w:val="0"/>
          <w:sz w:val="15"/>
        </w:rPr>
        <w:t xml:space="preserve">        return Ok(cached);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Query treatment requirements</w:t>
      </w:r>
    </w:p>
    <w:p>
      <w:pPr>
        <w:spacing w:after="0" w:before="0" w:line="240" w:lineRule="auto"/>
        <w:ind w:left="57"/>
        <w:jc w:val="left"/>
        <w:shd w:val="clear" w:fill="F2F2F2"/>
      </w:pPr>
      <w:r>
        <w:rPr>
          <w:rFonts w:ascii="Consolas" w:hAnsi="Consolas" w:cs="Consolas"/>
          <w:b w:val="0"/>
          <w:i w:val="0"/>
          <w:sz w:val="15"/>
        </w:rPr>
        <w:t xml:space="preserve">    let treatments = get_treatments(hs_code, origin, destination).await?;</w:t>
      </w:r>
    </w:p>
    <w:p>
      <w:pPr>
        <w:spacing w:after="0" w:before="0" w:line="240" w:lineRule="auto"/>
        <w:ind w:left="57"/>
        <w:jc w:val="left"/>
        <w:shd w:val="clear" w:fill="F2F2F2"/>
      </w:pPr>
      <w:r>
        <w:rPr>
          <w:rFonts w:ascii="Consolas" w:hAnsi="Consolas" w:cs="Consolas"/>
          <w:b w:val="0"/>
          <w:i w:val="0"/>
          <w:sz w:val="15"/>
        </w:rPr>
        <w:t xml:space="preserve">    // 3. Query MRLs</w:t>
      </w:r>
    </w:p>
    <w:p>
      <w:pPr>
        <w:spacing w:after="0" w:before="0" w:line="240" w:lineRule="auto"/>
        <w:ind w:left="57"/>
        <w:jc w:val="left"/>
        <w:shd w:val="clear" w:fill="F2F2F2"/>
      </w:pPr>
      <w:r>
        <w:rPr>
          <w:rFonts w:ascii="Consolas" w:hAnsi="Consolas" w:cs="Consolas"/>
          <w:b w:val="0"/>
          <w:i w:val="0"/>
          <w:sz w:val="15"/>
        </w:rPr>
        <w:t xml:space="preserve">    let mrls = get_mrls(hs_code, destination).await?;</w:t>
      </w:r>
    </w:p>
    <w:p>
      <w:pPr>
        <w:spacing w:after="0" w:before="0" w:line="240" w:lineRule="auto"/>
        <w:ind w:left="57"/>
        <w:jc w:val="left"/>
        <w:shd w:val="clear" w:fill="F2F2F2"/>
      </w:pPr>
      <w:r>
        <w:rPr>
          <w:rFonts w:ascii="Consolas" w:hAnsi="Consolas" w:cs="Consolas"/>
          <w:b w:val="0"/>
          <w:i w:val="0"/>
          <w:sz w:val="15"/>
        </w:rPr>
        <w:t xml:space="preserve">    // 4. Query packing defaults</w:t>
      </w:r>
    </w:p>
    <w:p>
      <w:pPr>
        <w:spacing w:after="0" w:before="0" w:line="240" w:lineRule="auto"/>
        <w:ind w:left="57"/>
        <w:jc w:val="left"/>
        <w:shd w:val="clear" w:fill="F2F2F2"/>
      </w:pPr>
      <w:r>
        <w:rPr>
          <w:rFonts w:ascii="Consolas" w:hAnsi="Consolas" w:cs="Consolas"/>
          <w:b w:val="0"/>
          <w:i w:val="0"/>
          <w:sz w:val="15"/>
        </w:rPr>
        <w:t xml:space="preserve">    let packing = get_packing_defaults(hs_code).await?;</w:t>
      </w:r>
    </w:p>
    <w:p>
      <w:pPr>
        <w:spacing w:after="0" w:before="0" w:line="240" w:lineRule="auto"/>
        <w:ind w:left="57"/>
        <w:jc w:val="left"/>
        <w:shd w:val="clear" w:fill="F2F2F2"/>
      </w:pPr>
      <w:r>
        <w:rPr>
          <w:rFonts w:ascii="Consolas" w:hAnsi="Consolas" w:cs="Consolas"/>
          <w:b w:val="0"/>
          <w:i w:val="0"/>
          <w:sz w:val="15"/>
        </w:rPr>
        <w:t xml:space="preserve">    // 5. Query acceptance criteria</w:t>
      </w:r>
    </w:p>
    <w:p>
      <w:pPr>
        <w:spacing w:after="0" w:before="0" w:line="240" w:lineRule="auto"/>
        <w:ind w:left="57"/>
        <w:jc w:val="left"/>
        <w:shd w:val="clear" w:fill="F2F2F2"/>
      </w:pPr>
      <w:r>
        <w:rPr>
          <w:rFonts w:ascii="Consolas" w:hAnsi="Consolas" w:cs="Consolas"/>
          <w:b w:val="0"/>
          <w:i w:val="0"/>
          <w:sz w:val="15"/>
        </w:rPr>
        <w:t xml:space="preserve">    let acceptance_criteria = get_acceptance_criteria(hs_code).await?;</w:t>
      </w:r>
    </w:p>
    <w:p>
      <w:pPr>
        <w:spacing w:after="0" w:before="0" w:line="240" w:lineRule="auto"/>
        <w:ind w:left="57"/>
        <w:jc w:val="left"/>
        <w:shd w:val="clear" w:fill="F2F2F2"/>
      </w:pPr>
      <w:r>
        <w:rPr>
          <w:rFonts w:ascii="Consolas" w:hAnsi="Consolas" w:cs="Consolas"/>
          <w:b w:val="0"/>
          <w:i w:val="0"/>
          <w:sz w:val="15"/>
        </w:rPr>
        <w:t xml:space="preserve">    // 6. Query document requirements with triggers</w:t>
      </w:r>
    </w:p>
    <w:p>
      <w:pPr>
        <w:spacing w:after="0" w:before="0" w:line="240" w:lineRule="auto"/>
        <w:ind w:left="57"/>
        <w:jc w:val="left"/>
        <w:shd w:val="clear" w:fill="F2F2F2"/>
      </w:pPr>
      <w:r>
        <w:rPr>
          <w:rFonts w:ascii="Consolas" w:hAnsi="Consolas" w:cs="Consolas"/>
          <w:b w:val="0"/>
          <w:i w:val="0"/>
          <w:sz w:val="15"/>
        </w:rPr>
        <w:t xml:space="preserve">    let documents = get_document_requirements(hs_code, destination, origin).await?;</w:t>
      </w:r>
    </w:p>
    <w:p>
      <w:pPr>
        <w:spacing w:after="0" w:before="0" w:line="240" w:lineRule="auto"/>
        <w:ind w:left="57"/>
        <w:jc w:val="left"/>
        <w:shd w:val="clear" w:fill="F2F2F2"/>
      </w:pPr>
      <w:r>
        <w:rPr>
          <w:rFonts w:ascii="Consolas" w:hAnsi="Consolas" w:cs="Consolas"/>
          <w:b w:val="0"/>
          <w:i w:val="0"/>
          <w:sz w:val="15"/>
        </w:rPr>
        <w:t xml:space="preserve">    // 7. Query port-specific rules</w:t>
      </w:r>
    </w:p>
    <w:p>
      <w:pPr>
        <w:spacing w:after="0" w:before="0" w:line="240" w:lineRule="auto"/>
        <w:ind w:left="57"/>
        <w:jc w:val="left"/>
        <w:shd w:val="clear" w:fill="F2F2F2"/>
      </w:pPr>
      <w:r>
        <w:rPr>
          <w:rFonts w:ascii="Consolas" w:hAnsi="Consolas" w:cs="Consolas"/>
          <w:b w:val="0"/>
          <w:i w:val="0"/>
          <w:sz w:val="15"/>
        </w:rPr>
        <w:t xml:space="preserve">    let port_rules = get_port_rules(port).await?;</w:t>
      </w:r>
    </w:p>
    <w:p>
      <w:pPr>
        <w:spacing w:after="0" w:before="0" w:line="240" w:lineRule="auto"/>
        <w:ind w:left="57"/>
        <w:jc w:val="left"/>
        <w:shd w:val="clear" w:fill="F2F2F2"/>
      </w:pPr>
      <w:r>
        <w:rPr>
          <w:rFonts w:ascii="Consolas" w:hAnsi="Consolas" w:cs="Consolas"/>
          <w:b w:val="0"/>
          <w:i w:val="0"/>
          <w:sz w:val="15"/>
        </w:rPr>
        <w:t xml:space="preserve">    // 8. Generate schema (A2, Groq)</w:t>
      </w:r>
    </w:p>
    <w:p>
      <w:pPr>
        <w:spacing w:after="0" w:before="0" w:line="240" w:lineRule="auto"/>
        <w:ind w:left="57"/>
        <w:jc w:val="left"/>
        <w:shd w:val="clear" w:fill="F2F2F2"/>
      </w:pPr>
      <w:r>
        <w:rPr>
          <w:rFonts w:ascii="Consolas" w:hAnsi="Consolas" w:cs="Consolas"/>
          <w:b w:val="0"/>
          <w:i w:val="0"/>
          <w:sz w:val="15"/>
        </w:rPr>
        <w:t xml:space="preserve">    let schema = generate_schema(</w:t>
      </w:r>
    </w:p>
    <w:p>
      <w:pPr>
        <w:spacing w:after="0" w:before="0" w:line="240" w:lineRule="auto"/>
        <w:ind w:left="57"/>
        <w:jc w:val="left"/>
        <w:shd w:val="clear" w:fill="F2F2F2"/>
      </w:pPr>
      <w:r>
        <w:rPr>
          <w:rFonts w:ascii="Consolas" w:hAnsi="Consolas" w:cs="Consolas"/>
          <w:b w:val="0"/>
          <w:i w:val="0"/>
          <w:sz w:val="15"/>
        </w:rPr>
        <w:t xml:space="preserve">        hs_code, origin, destination, port,</w:t>
      </w:r>
    </w:p>
    <w:p>
      <w:pPr>
        <w:spacing w:after="0" w:before="0" w:line="240" w:lineRule="auto"/>
        <w:ind w:left="57"/>
        <w:jc w:val="left"/>
        <w:shd w:val="clear" w:fill="F2F2F2"/>
      </w:pPr>
      <w:r>
        <w:rPr>
          <w:rFonts w:ascii="Consolas" w:hAnsi="Consolas" w:cs="Consolas"/>
          <w:b w:val="0"/>
          <w:i w:val="0"/>
          <w:sz w:val="15"/>
        </w:rPr>
        <w:t xml:space="preserve">        treatments, mrls, packing, acceptance_criteria, documents, port_rules</w:t>
      </w:r>
    </w:p>
    <w:p>
      <w:pPr>
        <w:spacing w:after="0" w:before="0" w:line="240" w:lineRule="auto"/>
        <w:ind w:left="57"/>
        <w:jc w:val="left"/>
        <w:shd w:val="clear" w:fill="F2F2F2"/>
      </w:pPr>
      <w:r>
        <w:rPr>
          <w:rFonts w:ascii="Consolas" w:hAnsi="Consolas" w:cs="Consolas"/>
          <w:b w:val="0"/>
          <w:i w:val="0"/>
          <w:sz w:val="15"/>
        </w:rPr>
        <w:t xml:space="preserve">    ).await?;</w:t>
      </w:r>
    </w:p>
    <w:p>
      <w:pPr>
        <w:spacing w:after="0" w:before="0" w:line="240" w:lineRule="auto"/>
        <w:ind w:left="57"/>
        <w:jc w:val="left"/>
        <w:shd w:val="clear" w:fill="F2F2F2"/>
      </w:pPr>
      <w:r>
        <w:rPr>
          <w:rFonts w:ascii="Consolas" w:hAnsi="Consolas" w:cs="Consolas"/>
          <w:b w:val="0"/>
          <w:i w:val="0"/>
          <w:sz w:val="15"/>
        </w:rPr>
        <w:t xml:space="preserve">    // 9. Cache schema</w:t>
      </w:r>
    </w:p>
    <w:p>
      <w:pPr>
        <w:spacing w:after="0" w:before="0" w:line="240" w:lineRule="auto"/>
        <w:ind w:left="57"/>
        <w:jc w:val="left"/>
        <w:shd w:val="clear" w:fill="F2F2F2"/>
      </w:pPr>
      <w:r>
        <w:rPr>
          <w:rFonts w:ascii="Consolas" w:hAnsi="Consolas" w:cs="Consolas"/>
          <w:b w:val="0"/>
          <w:i w:val="0"/>
          <w:sz w:val="15"/>
        </w:rPr>
        <w:t xml:space="preserve">    cache_schema(hs_code, origin, destination, port, schema).await?;</w:t>
      </w:r>
    </w:p>
    <w:p>
      <w:pPr>
        <w:spacing w:after="0" w:before="0" w:line="240" w:lineRule="auto"/>
        <w:ind w:left="57"/>
        <w:jc w:val="left"/>
        <w:shd w:val="clear" w:fill="F2F2F2"/>
      </w:pPr>
      <w:r>
        <w:rPr>
          <w:rFonts w:ascii="Consolas" w:hAnsi="Consolas" w:cs="Consolas"/>
          <w:b w:val="0"/>
          <w:i w:val="0"/>
          <w:sz w:val="15"/>
        </w:rPr>
        <w:t xml:space="preserve">    Ok(schema)</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6.3.5.2 Dynamic Field Generation</w:t>
      </w:r>
    </w:p>
    <w:p>
      <w:pPr>
        <w:spacing w:after="80" w:line="293" w:lineRule="auto"/>
        <w:jc w:val="left"/>
      </w:pPr>
      <w:r>
        <w:rPr>
          <w:rFonts w:ascii="Times New Roman" w:hAnsi="Times New Roman" w:cs="Times New Roman"/>
          <w:b w:val="0"/>
          <w:i w:val="0"/>
          <w:sz w:val="22"/>
        </w:rPr>
        <w:t>Based on RIA data, the Product Form Agent generates:</w:t>
      </w:r>
    </w:p>
    <w:p>
      <w:pPr>
        <w:spacing w:after="80" w:line="293" w:lineRule="auto"/>
        <w:ind w:left="283"/>
        <w:jc w:val="left"/>
      </w:pPr>
      <w:r>
        <w:rPr>
          <w:rFonts w:ascii="Times New Roman" w:hAnsi="Times New Roman" w:cs="Times New Roman"/>
          <w:b w:val="0"/>
          <w:i w:val="0"/>
          <w:sz w:val="22"/>
        </w:rPr>
        <w:t>- Product-specific fields (variety, grade, brix, size range, colour grade, weave type, thread count, and</w:t>
      </w:r>
    </w:p>
    <w:p>
      <w:pPr>
        <w:spacing w:after="80" w:line="293" w:lineRule="auto"/>
        <w:jc w:val="left"/>
      </w:pPr>
      <w:r>
        <w:rPr>
          <w:rFonts w:ascii="Times New Roman" w:hAnsi="Times New Roman" w:cs="Times New Roman"/>
          <w:b w:val="0"/>
          <w:i w:val="0"/>
          <w:sz w:val="22"/>
        </w:rPr>
        <w:t>similar per-commodity attributes defined by the Product Form Agent schema).</w:t>
      </w:r>
    </w:p>
    <w:p>
      <w:pPr>
        <w:spacing w:after="80" w:line="293" w:lineRule="auto"/>
        <w:ind w:left="283"/>
        <w:jc w:val="left"/>
      </w:pPr>
      <w:r>
        <w:rPr>
          <w:rFonts w:ascii="Times New Roman" w:hAnsi="Times New Roman" w:cs="Times New Roman"/>
          <w:b w:val="0"/>
          <w:i w:val="0"/>
          <w:sz w:val="22"/>
        </w:rPr>
        <w:t>- Treatment and special procedure fields (cold treatment temperature and duration, fumigation, pre-cooling)</w:t>
      </w:r>
    </w:p>
    <w:p>
      <w:pPr>
        <w:spacing w:after="80" w:line="293" w:lineRule="auto"/>
        <w:jc w:val="left"/>
      </w:pPr>
      <w:r>
        <w:rPr>
          <w:rFonts w:ascii="Times New Roman" w:hAnsi="Times New Roman" w:cs="Times New Roman"/>
          <w:b w:val="0"/>
          <w:i w:val="0"/>
          <w:sz w:val="22"/>
        </w:rPr>
        <w:t>with facility selection and certificate requirements.</w:t>
      </w:r>
    </w:p>
    <w:p>
      <w:pPr>
        <w:spacing w:after="80" w:line="293" w:lineRule="auto"/>
        <w:ind w:left="283"/>
        <w:jc w:val="left"/>
      </w:pPr>
      <w:r>
        <w:rPr>
          <w:rFonts w:ascii="Times New Roman" w:hAnsi="Times New Roman" w:cs="Times New Roman"/>
          <w:b w:val="0"/>
          <w:i w:val="0"/>
          <w:sz w:val="22"/>
        </w:rPr>
        <w:t>- Lab test requirements with analytes, MRLs, and methods.</w:t>
      </w:r>
    </w:p>
    <w:p>
      <w:pPr>
        <w:spacing w:after="80" w:line="293" w:lineRule="auto"/>
        <w:ind w:left="283"/>
        <w:jc w:val="left"/>
      </w:pPr>
      <w:r>
        <w:rPr>
          <w:rFonts w:ascii="Times New Roman" w:hAnsi="Times New Roman" w:cs="Times New Roman"/>
          <w:b w:val="0"/>
          <w:i w:val="0"/>
          <w:sz w:val="22"/>
        </w:rPr>
        <w:t>- Required documents with triggers per jurisdiction.</w:t>
      </w:r>
    </w:p>
    <w:p>
      <w:pPr>
        <w:spacing w:after="80" w:line="293" w:lineRule="auto"/>
        <w:ind w:left="283"/>
        <w:jc w:val="left"/>
      </w:pPr>
      <w:r>
        <w:rPr>
          <w:rFonts w:ascii="Times New Roman" w:hAnsi="Times New Roman" w:cs="Times New Roman"/>
          <w:b w:val="0"/>
          <w:i w:val="0"/>
          <w:sz w:val="22"/>
        </w:rPr>
        <w:t>- Packing defaults (pallet type, cartons per pallet, net/gross weight per carton, stacking layers).</w:t>
      </w:r>
    </w:p>
    <w:p>
      <w:pPr>
        <w:spacing w:after="80" w:line="293" w:lineRule="auto"/>
        <w:ind w:left="283"/>
        <w:jc w:val="left"/>
      </w:pPr>
      <w:r>
        <w:rPr>
          <w:rFonts w:ascii="Times New Roman" w:hAnsi="Times New Roman" w:cs="Times New Roman"/>
          <w:b w:val="0"/>
          <w:i w:val="0"/>
          <w:sz w:val="22"/>
        </w:rPr>
        <w:t>- Acceptance criteria parameters with limits, units, and source regulations.</w:t>
      </w:r>
    </w:p>
    <w:p>
      <w:pPr>
        <w:keepNext/>
        <w:spacing w:before="180" w:after="80"/>
        <w:outlineLvl w:val="2"/>
      </w:pPr>
      <w:r>
        <w:rPr>
          <w:rFonts w:ascii="Arial" w:hAnsi="Arial" w:cs="Arial"/>
          <w:b/>
          <w:i w:val="0"/>
          <w:color w:val="333333"/>
          <w:sz w:val="23"/>
        </w:rPr>
        <w:t>6.3.6 RIA Integration Points</w:t>
      </w:r>
    </w:p>
    <w:p>
      <w:pPr>
        <w:spacing w:after="80" w:line="293" w:lineRule="auto"/>
        <w:jc w:val="left"/>
      </w:pPr>
      <w:r>
        <w:rPr>
          <w:rFonts w:ascii="Times New Roman" w:hAnsi="Times New Roman" w:cs="Times New Roman"/>
          <w:b w:val="0"/>
          <w:i w:val="0"/>
          <w:sz w:val="22"/>
        </w:rPr>
        <w:t>The RIA feeds: the Product Form Agent (dynamic schemas, Section 6.5); the documentation checklist pre-selection (Section 6.7); special instruction suggestions (Section 6.8); port rules, congestion, and route data (Section 6.9); destination- and commodity-specific insurance requirements (Section 6.10); jurisdiction validation used by the incoterm engine (Section 6.4) and the Governor (Section 15); and lab test requirements (Section 6.2.8). All integration connector calls are logged in `integration_connector_logs` for monitoring.</w:t>
      </w:r>
    </w:p>
    <w:p>
      <w:pPr>
        <w:keepNext/>
        <w:spacing w:before="180" w:after="80"/>
        <w:outlineLvl w:val="2"/>
      </w:pPr>
      <w:r>
        <w:rPr>
          <w:rFonts w:ascii="Arial" w:hAnsi="Arial" w:cs="Arial"/>
          <w:b/>
          <w:i w:val="0"/>
          <w:color w:val="333333"/>
          <w:sz w:val="23"/>
        </w:rPr>
        <w:t>6.3.7 Change Detection &amp; Alerting</w:t>
      </w:r>
    </w:p>
    <w:p>
      <w:pPr>
        <w:spacing w:after="80" w:line="293" w:lineRule="auto"/>
        <w:jc w:val="left"/>
      </w:pPr>
      <w:r>
        <w:rPr>
          <w:rFonts w:ascii="Times New Roman" w:hAnsi="Times New Roman" w:cs="Times New Roman"/>
          <w:b w:val="0"/>
          <w:i w:val="0"/>
          <w:sz w:val="22"/>
        </w:rPr>
        <w:t>When the RIA detects a regulatory change, it generates a Smart Inbox alert. Changes are recorded immutably in `ria_change_log` with old and new values, source, an A1-generated summary, and a Loom hash.</w:t>
      </w:r>
    </w:p>
    <w:p>
      <w:pPr>
        <w:spacing w:after="0" w:before="0" w:line="240" w:lineRule="auto"/>
        <w:ind w:left="57"/>
        <w:jc w:val="left"/>
        <w:shd w:val="clear" w:fill="F2F2F2"/>
      </w:pPr>
      <w:r>
        <w:rPr>
          <w:rFonts w:ascii="Consolas" w:hAnsi="Consolas" w:cs="Consolas"/>
          <w:b w:val="0"/>
          <w:i w:val="0"/>
          <w:sz w:val="15"/>
        </w:rPr>
        <w:t>REGULATORY CHANGE ALERT</w:t>
      </w:r>
    </w:p>
    <w:p>
      <w:pPr>
        <w:spacing w:after="0" w:before="0" w:line="240" w:lineRule="auto"/>
        <w:ind w:left="57"/>
        <w:jc w:val="left"/>
        <w:shd w:val="clear" w:fill="F2F2F2"/>
      </w:pPr>
      <w:r>
        <w:rPr>
          <w:rFonts w:ascii="Consolas" w:hAnsi="Consolas" w:cs="Consolas"/>
          <w:b w:val="0"/>
          <w:i w:val="0"/>
          <w:sz w:val="15"/>
        </w:rPr>
        <w:t xml:space="preserve">  Change:    New MRL for Cypermethrin in Oranges → Germany</w:t>
      </w:r>
    </w:p>
    <w:p>
      <w:pPr>
        <w:spacing w:after="0" w:before="0" w:line="240" w:lineRule="auto"/>
        <w:ind w:left="57"/>
        <w:jc w:val="left"/>
        <w:shd w:val="clear" w:fill="F2F2F2"/>
      </w:pPr>
      <w:r>
        <w:rPr>
          <w:rFonts w:ascii="Consolas" w:hAnsi="Consolas" w:cs="Consolas"/>
          <w:b w:val="0"/>
          <w:i w:val="0"/>
          <w:sz w:val="15"/>
        </w:rPr>
        <w:t xml:space="preserve">  Previous:  0.05 mg/kg</w:t>
      </w:r>
    </w:p>
    <w:p>
      <w:pPr>
        <w:spacing w:after="0" w:before="0" w:line="240" w:lineRule="auto"/>
        <w:ind w:left="57"/>
        <w:jc w:val="left"/>
        <w:shd w:val="clear" w:fill="F2F2F2"/>
      </w:pPr>
      <w:r>
        <w:rPr>
          <w:rFonts w:ascii="Consolas" w:hAnsi="Consolas" w:cs="Consolas"/>
          <w:b w:val="0"/>
          <w:i w:val="0"/>
          <w:sz w:val="15"/>
        </w:rPr>
        <w:t xml:space="preserve">  New:       0.02 mg/kg</w:t>
      </w:r>
    </w:p>
    <w:p>
      <w:pPr>
        <w:spacing w:after="0" w:before="0" w:line="240" w:lineRule="auto"/>
        <w:ind w:left="57"/>
        <w:jc w:val="left"/>
        <w:shd w:val="clear" w:fill="F2F2F2"/>
      </w:pPr>
      <w:r>
        <w:rPr>
          <w:rFonts w:ascii="Consolas" w:hAnsi="Consolas" w:cs="Consolas"/>
          <w:b w:val="0"/>
          <w:i w:val="0"/>
          <w:sz w:val="15"/>
        </w:rPr>
        <w:t xml:space="preserve">  Effective: 2026-07-01</w:t>
      </w:r>
    </w:p>
    <w:p>
      <w:pPr>
        <w:spacing w:after="0" w:before="0" w:line="240" w:lineRule="auto"/>
        <w:ind w:left="57"/>
        <w:jc w:val="left"/>
        <w:shd w:val="clear" w:fill="F2F2F2"/>
      </w:pPr>
      <w:r>
        <w:rPr>
          <w:rFonts w:ascii="Consolas" w:hAnsi="Consolas" w:cs="Consolas"/>
          <w:b w:val="0"/>
          <w:i w:val="0"/>
          <w:sz w:val="15"/>
        </w:rPr>
        <w:t xml:space="preserve">  Source:    EU RASFF Alert #2026-123</w:t>
      </w:r>
    </w:p>
    <w:p>
      <w:pPr>
        <w:spacing w:after="0" w:before="0" w:line="240" w:lineRule="auto"/>
        <w:ind w:left="57"/>
        <w:jc w:val="left"/>
        <w:shd w:val="clear" w:fill="F2F2F2"/>
      </w:pPr>
      <w:r>
        <w:rPr>
          <w:rFonts w:ascii="Consolas" w:hAnsi="Consolas" w:cs="Consolas"/>
          <w:b w:val="0"/>
          <w:i w:val="0"/>
          <w:sz w:val="15"/>
        </w:rPr>
        <w:t xml:space="preserve">  Impact:    All existing trade requests for Oranges (HS 0805) to Germany</w:t>
      </w:r>
    </w:p>
    <w:p>
      <w:pPr>
        <w:spacing w:after="0" w:before="0" w:line="240" w:lineRule="auto"/>
        <w:ind w:left="57"/>
        <w:jc w:val="left"/>
        <w:shd w:val="clear" w:fill="F2F2F2"/>
      </w:pPr>
      <w:r>
        <w:rPr>
          <w:rFonts w:ascii="Consolas" w:hAnsi="Consolas" w:cs="Consolas"/>
          <w:b w:val="0"/>
          <w:i w:val="0"/>
          <w:sz w:val="15"/>
        </w:rPr>
        <w:t xml:space="preserve">             will be flagged for review. New requests will have the updated MRL.</w:t>
      </w:r>
    </w:p>
    <w:p>
      <w:pPr>
        <w:spacing w:after="0" w:before="0" w:line="240" w:lineRule="auto"/>
        <w:ind w:left="57"/>
        <w:jc w:val="left"/>
        <w:shd w:val="clear" w:fill="F2F2F2"/>
      </w:pPr>
      <w:r>
        <w:rPr>
          <w:rFonts w:ascii="Consolas" w:hAnsi="Consolas" w:cs="Consolas"/>
          <w:b w:val="0"/>
          <w:i w:val="0"/>
          <w:sz w:val="15"/>
        </w:rPr>
        <w:t xml:space="preserve">  [View Impacted Trades] [Dismiss]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6.3.8 RIA Performance &amp; Scalability</w:t>
      </w:r>
    </w:p>
    <w:p>
      <w:pPr>
        <w:spacing w:after="80" w:line="293" w:lineRule="auto"/>
        <w:jc w:val="left"/>
      </w:pPr>
      <w:r>
        <w:rPr>
          <w:rFonts w:ascii="Times New Roman" w:hAnsi="Times New Roman" w:cs="Times New Roman"/>
          <w:b w:val="0"/>
          <w:i w:val="0"/>
          <w:sz w:val="22"/>
        </w:rPr>
        <w:t>The RIA completes a full scrape → parse → embed → rule-update cycle every 6 hours on the sovereign node. Each scraper runs with error handling, retry logic, and per-scraper health checks. Embedding generation is batched for efficiency, and vector searches use IVFFlat indexes. The performance target for the full pipeline cycle is the 6-hour window; individual connector latencies are logged in `integration_connector_logs.duration_ms`.</w:t>
      </w:r>
    </w:p>
    <w:p>
      <w:pPr>
        <w:keepNext/>
        <w:spacing w:before="180" w:after="80"/>
        <w:outlineLvl w:val="2"/>
      </w:pPr>
      <w:r>
        <w:rPr>
          <w:rFonts w:ascii="Arial" w:hAnsi="Arial" w:cs="Arial"/>
          <w:b/>
          <w:i w:val="0"/>
          <w:color w:val="333333"/>
          <w:sz w:val="23"/>
        </w:rPr>
        <w:t>6.3.9 RIA Monitoring Dashboard</w:t>
      </w:r>
    </w:p>
    <w:p>
      <w:pPr>
        <w:spacing w:after="80" w:line="293" w:lineRule="auto"/>
        <w:jc w:val="left"/>
      </w:pPr>
      <w:r>
        <w:rPr>
          <w:rFonts w:ascii="Times New Roman" w:hAnsi="Times New Roman" w:cs="Times New Roman"/>
          <w:b w:val="0"/>
          <w:i w:val="0"/>
          <w:sz w:val="22"/>
        </w:rPr>
        <w:t>Location: Admin Portal → Integrations → RIA Status Dashboard. Components: per-connector status (connector name, endpoint, last run, status code, duration, success flag, and error message from `integration_connector_logs`), scrape-cycle progress, vector store statistics, rules-matrix freshness (`last_updated` per table), and the RIA change log feed (change type, affected table, old/new values, Groq summary, detected/applied timestamps).</w:t>
      </w:r>
    </w:p>
    <w:p>
      <w:pPr>
        <w:keepNext/>
        <w:spacing w:before="180" w:after="80"/>
        <w:outlineLvl w:val="2"/>
      </w:pPr>
      <w:r>
        <w:rPr>
          <w:rFonts w:ascii="Arial" w:hAnsi="Arial" w:cs="Arial"/>
          <w:b/>
          <w:i w:val="0"/>
          <w:color w:val="333333"/>
          <w:sz w:val="23"/>
        </w:rPr>
        <w:t>6.3.10 Database Schema Additions (RIA)</w:t>
      </w:r>
    </w:p>
    <w:p>
      <w:pPr>
        <w:spacing w:after="0" w:before="0" w:line="240" w:lineRule="auto"/>
        <w:ind w:left="57"/>
        <w:jc w:val="left"/>
        <w:shd w:val="clear" w:fill="F2F2F2"/>
      </w:pPr>
      <w:r>
        <w:rPr>
          <w:rFonts w:ascii="Consolas" w:hAnsi="Consolas" w:cs="Consolas"/>
          <w:b w:val="0"/>
          <w:i w:val="0"/>
          <w:sz w:val="15"/>
        </w:rPr>
        <w:t>-- All RIA tables are defined above in 6.3.4</w:t>
      </w:r>
    </w:p>
    <w:p>
      <w:pPr>
        <w:spacing w:after="0" w:before="0" w:line="240" w:lineRule="auto"/>
        <w:ind w:left="57"/>
        <w:jc w:val="left"/>
        <w:shd w:val="clear" w:fill="F2F2F2"/>
      </w:pPr>
      <w:r>
        <w:rPr>
          <w:rFonts w:ascii="Consolas" w:hAnsi="Consolas" w:cs="Consolas"/>
          <w:b w:val="0"/>
          <w:i w:val="0"/>
          <w:sz w:val="15"/>
        </w:rPr>
        <w:t>-- Integration connector logs (for monitoring)</w:t>
      </w:r>
    </w:p>
    <w:p>
      <w:pPr>
        <w:spacing w:after="0" w:before="0" w:line="240" w:lineRule="auto"/>
        <w:ind w:left="57"/>
        <w:jc w:val="left"/>
        <w:shd w:val="clear" w:fill="F2F2F2"/>
      </w:pPr>
      <w:r>
        <w:rPr>
          <w:rFonts w:ascii="Consolas" w:hAnsi="Consolas" w:cs="Consolas"/>
          <w:b w:val="0"/>
          <w:i w:val="0"/>
          <w:sz w:val="15"/>
        </w:rPr>
        <w:t>-- integration_connector_logs: canonical definition in Section 17.21;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RIA change log (immutable record of all regulatory changes)</w:t>
      </w:r>
    </w:p>
    <w:p>
      <w:pPr>
        <w:spacing w:after="0" w:before="0" w:line="240" w:lineRule="auto"/>
        <w:ind w:left="57"/>
        <w:jc w:val="left"/>
        <w:shd w:val="clear" w:fill="F2F2F2"/>
      </w:pPr>
      <w:r>
        <w:rPr>
          <w:rFonts w:ascii="Consolas" w:hAnsi="Consolas" w:cs="Consolas"/>
          <w:b w:val="0"/>
          <w:i w:val="0"/>
          <w:sz w:val="15"/>
        </w:rPr>
        <w:t>CREATE TABLE ria_change_log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change_type TEXT NOT NULL, -- 'MRL_UPDATE', 'TREATMENT_NEW', 'SANCTION_UPDATE', etc.</w:t>
      </w:r>
    </w:p>
    <w:p>
      <w:pPr>
        <w:spacing w:after="0" w:before="0" w:line="240" w:lineRule="auto"/>
        <w:ind w:left="57"/>
        <w:jc w:val="left"/>
        <w:shd w:val="clear" w:fill="F2F2F2"/>
      </w:pPr>
      <w:r>
        <w:rPr>
          <w:rFonts w:ascii="Consolas" w:hAnsi="Consolas" w:cs="Consolas"/>
          <w:b w:val="0"/>
          <w:i w:val="0"/>
          <w:sz w:val="15"/>
        </w:rPr>
        <w:t xml:space="preserve">    affected_table TEXT NOT NULL,</w:t>
      </w:r>
    </w:p>
    <w:p>
      <w:pPr>
        <w:spacing w:after="0" w:before="0" w:line="240" w:lineRule="auto"/>
        <w:ind w:left="57"/>
        <w:jc w:val="left"/>
        <w:shd w:val="clear" w:fill="F2F2F2"/>
      </w:pPr>
      <w:r>
        <w:rPr>
          <w:rFonts w:ascii="Consolas" w:hAnsi="Consolas" w:cs="Consolas"/>
          <w:b w:val="0"/>
          <w:i w:val="0"/>
          <w:sz w:val="15"/>
        </w:rPr>
        <w:t xml:space="preserve">    affected_record_id UUID NOT NULL,</w:t>
      </w:r>
    </w:p>
    <w:p>
      <w:pPr>
        <w:spacing w:after="0" w:before="0" w:line="240" w:lineRule="auto"/>
        <w:ind w:left="57"/>
        <w:jc w:val="left"/>
        <w:shd w:val="clear" w:fill="F2F2F2"/>
      </w:pPr>
      <w:r>
        <w:rPr>
          <w:rFonts w:ascii="Consolas" w:hAnsi="Consolas" w:cs="Consolas"/>
          <w:b w:val="0"/>
          <w:i w:val="0"/>
          <w:sz w:val="15"/>
        </w:rPr>
        <w:t xml:space="preserve">    old_value JSONB,</w:t>
      </w:r>
    </w:p>
    <w:p>
      <w:pPr>
        <w:spacing w:after="0" w:before="0" w:line="240" w:lineRule="auto"/>
        <w:ind w:left="57"/>
        <w:jc w:val="left"/>
        <w:shd w:val="clear" w:fill="F2F2F2"/>
      </w:pPr>
      <w:r>
        <w:rPr>
          <w:rFonts w:ascii="Consolas" w:hAnsi="Consolas" w:cs="Consolas"/>
          <w:b w:val="0"/>
          <w:i w:val="0"/>
          <w:sz w:val="15"/>
        </w:rPr>
        <w:t xml:space="preserve">    new_value JSONB,</w:t>
      </w:r>
    </w:p>
    <w:p>
      <w:pPr>
        <w:spacing w:after="0" w:before="0" w:line="240" w:lineRule="auto"/>
        <w:ind w:left="57"/>
        <w:jc w:val="left"/>
        <w:shd w:val="clear" w:fill="F2F2F2"/>
      </w:pPr>
      <w:r>
        <w:rPr>
          <w:rFonts w:ascii="Consolas" w:hAnsi="Consolas" w:cs="Consolas"/>
          <w:b w:val="0"/>
          <w:i w:val="0"/>
          <w:sz w:val="15"/>
        </w:rPr>
        <w:t xml:space="preserve">    source TEXT NOT NULL,</w:t>
      </w:r>
    </w:p>
    <w:p>
      <w:pPr>
        <w:spacing w:after="0" w:before="0" w:line="240" w:lineRule="auto"/>
        <w:ind w:left="57"/>
        <w:jc w:val="left"/>
        <w:shd w:val="clear" w:fill="F2F2F2"/>
      </w:pPr>
      <w:r>
        <w:rPr>
          <w:rFonts w:ascii="Consolas" w:hAnsi="Consolas" w:cs="Consolas"/>
          <w:b w:val="0"/>
          <w:i w:val="0"/>
          <w:sz w:val="15"/>
        </w:rPr>
        <w:t xml:space="preserve">    groq_summary TEXT, -- A1-generated summary</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detected_at TIMESTAMPTZ DEFAULT NOW(),</w:t>
      </w:r>
    </w:p>
    <w:p>
      <w:pPr>
        <w:spacing w:after="0" w:before="0" w:line="240" w:lineRule="auto"/>
        <w:ind w:left="57"/>
        <w:jc w:val="left"/>
        <w:shd w:val="clear" w:fill="F2F2F2"/>
      </w:pPr>
      <w:r>
        <w:rPr>
          <w:rFonts w:ascii="Consolas" w:hAnsi="Consolas" w:cs="Consolas"/>
          <w:b w:val="0"/>
          <w:i w:val="0"/>
          <w:sz w:val="15"/>
        </w:rPr>
        <w:t xml:space="preserve">    applied_at TIMESTAMPTZ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idx_integration_connector_logs_name ON integration_connector_logs(connector_name);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idx_integration_connector_logs_created ON integration_connector_logs(created_at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idx_ria_change_log_type ON ria_change_log(change_type);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idx_ria_change_log_detected ON ria_change_log(detected_at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6.3.11 Implementation Checklist (RIA)</w:t>
      </w:r>
    </w:p>
    <w:p>
      <w:pPr>
        <w:keepNext/>
        <w:spacing w:before="140" w:after="60"/>
        <w:outlineLvl w:val="3"/>
      </w:pPr>
      <w:r>
        <w:rPr>
          <w:rFonts w:ascii="Arial" w:hAnsi="Arial" w:cs="Arial"/>
          <w:b/>
          <w:i/>
          <w:color w:val="333333"/>
          <w:sz w:val="22"/>
        </w:rPr>
        <w:t>6.3.11.1 Scraper Layer</w:t>
      </w:r>
    </w:p>
    <w:p>
      <w:pPr>
        <w:spacing w:after="80" w:line="293" w:lineRule="auto"/>
        <w:ind w:left="283"/>
        <w:jc w:val="left"/>
      </w:pPr>
      <w:r>
        <w:rPr>
          <w:rFonts w:ascii="Times New Roman" w:hAnsi="Times New Roman" w:cs="Times New Roman"/>
          <w:b w:val="0"/>
          <w:i w:val="0"/>
          <w:sz w:val="22"/>
        </w:rPr>
        <w:t>- Implement Sanctions Scraper (UN, OFAC, EU)</w:t>
      </w:r>
    </w:p>
    <w:p>
      <w:pPr>
        <w:spacing w:after="80" w:line="293" w:lineRule="auto"/>
        <w:ind w:left="283"/>
        <w:jc w:val="left"/>
      </w:pPr>
      <w:r>
        <w:rPr>
          <w:rFonts w:ascii="Times New Roman" w:hAnsi="Times New Roman" w:cs="Times New Roman"/>
          <w:b w:val="0"/>
          <w:i w:val="0"/>
          <w:sz w:val="22"/>
        </w:rPr>
        <w:t>- Implement Food Safety Scraper (RASFF, FDA, SFDA)</w:t>
      </w:r>
    </w:p>
    <w:p>
      <w:pPr>
        <w:spacing w:after="80" w:line="293" w:lineRule="auto"/>
        <w:ind w:left="283"/>
        <w:jc w:val="left"/>
      </w:pPr>
      <w:r>
        <w:rPr>
          <w:rFonts w:ascii="Times New Roman" w:hAnsi="Times New Roman" w:cs="Times New Roman"/>
          <w:b w:val="0"/>
          <w:i w:val="0"/>
          <w:sz w:val="22"/>
        </w:rPr>
        <w:t>- Implement Ports Scraper (port authorities, UN/LOCODE)</w:t>
      </w:r>
    </w:p>
    <w:p>
      <w:pPr>
        <w:spacing w:after="80" w:line="293" w:lineRule="auto"/>
        <w:ind w:left="283"/>
        <w:jc w:val="left"/>
      </w:pPr>
      <w:r>
        <w:rPr>
          <w:rFonts w:ascii="Times New Roman" w:hAnsi="Times New Roman" w:cs="Times New Roman"/>
          <w:b w:val="0"/>
          <w:i w:val="0"/>
          <w:sz w:val="22"/>
        </w:rPr>
        <w:t>- Implement Market Data Scraper (FAO, USDA, World Bank)</w:t>
      </w:r>
    </w:p>
    <w:p>
      <w:pPr>
        <w:spacing w:after="80" w:line="293" w:lineRule="auto"/>
        <w:ind w:left="283"/>
        <w:jc w:val="left"/>
      </w:pPr>
      <w:r>
        <w:rPr>
          <w:rFonts w:ascii="Times New Roman" w:hAnsi="Times New Roman" w:cs="Times New Roman"/>
          <w:b w:val="0"/>
          <w:i w:val="0"/>
          <w:sz w:val="22"/>
        </w:rPr>
        <w:t>- Implement Trade Stats Scraper (UN Comtrade)</w:t>
      </w:r>
    </w:p>
    <w:p>
      <w:pPr>
        <w:spacing w:after="80" w:line="293" w:lineRule="auto"/>
        <w:ind w:left="283"/>
        <w:jc w:val="left"/>
      </w:pPr>
      <w:r>
        <w:rPr>
          <w:rFonts w:ascii="Times New Roman" w:hAnsi="Times New Roman" w:cs="Times New Roman"/>
          <w:b w:val="0"/>
          <w:i w:val="0"/>
          <w:sz w:val="22"/>
        </w:rPr>
        <w:t>- Implement Egyptian-specific scrapers (Nafeza, NFSA, GOEIC)</w:t>
      </w:r>
    </w:p>
    <w:p>
      <w:pPr>
        <w:spacing w:after="80" w:line="293" w:lineRule="auto"/>
        <w:ind w:left="283"/>
        <w:jc w:val="left"/>
      </w:pPr>
      <w:r>
        <w:rPr>
          <w:rFonts w:ascii="Times New Roman" w:hAnsi="Times New Roman" w:cs="Times New Roman"/>
          <w:b w:val="0"/>
          <w:i w:val="0"/>
          <w:sz w:val="22"/>
        </w:rPr>
        <w:t>- Implement error handling and retry logic</w:t>
      </w:r>
    </w:p>
    <w:p>
      <w:pPr>
        <w:spacing w:after="80" w:line="293" w:lineRule="auto"/>
        <w:ind w:left="283"/>
        <w:jc w:val="left"/>
      </w:pPr>
      <w:r>
        <w:rPr>
          <w:rFonts w:ascii="Times New Roman" w:hAnsi="Times New Roman" w:cs="Times New Roman"/>
          <w:b w:val="0"/>
          <w:i w:val="0"/>
          <w:sz w:val="22"/>
        </w:rPr>
        <w:t>- Implement health checks for each scraper</w:t>
      </w:r>
    </w:p>
    <w:p>
      <w:pPr>
        <w:keepNext/>
        <w:spacing w:before="140" w:after="60"/>
        <w:outlineLvl w:val="3"/>
      </w:pPr>
      <w:r>
        <w:rPr>
          <w:rFonts w:ascii="Arial" w:hAnsi="Arial" w:cs="Arial"/>
          <w:b/>
          <w:i/>
          <w:color w:val="333333"/>
          <w:sz w:val="22"/>
        </w:rPr>
        <w:t>6.3.11.2 Parse &amp; Extract Layer</w:t>
      </w:r>
    </w:p>
    <w:p>
      <w:pPr>
        <w:spacing w:after="80" w:line="293" w:lineRule="auto"/>
        <w:ind w:left="283"/>
        <w:jc w:val="left"/>
      </w:pPr>
      <w:r>
        <w:rPr>
          <w:rFonts w:ascii="Times New Roman" w:hAnsi="Times New Roman" w:cs="Times New Roman"/>
          <w:b w:val="0"/>
          <w:i w:val="0"/>
          <w:sz w:val="22"/>
        </w:rPr>
        <w:t>- Implement entity extraction (HF NLP, A2)</w:t>
      </w:r>
    </w:p>
    <w:p>
      <w:pPr>
        <w:spacing w:after="80" w:line="293" w:lineRule="auto"/>
        <w:ind w:left="283"/>
        <w:jc w:val="left"/>
      </w:pPr>
      <w:r>
        <w:rPr>
          <w:rFonts w:ascii="Times New Roman" w:hAnsi="Times New Roman" w:cs="Times New Roman"/>
          <w:b w:val="0"/>
          <w:i w:val="0"/>
          <w:sz w:val="22"/>
        </w:rPr>
        <w:t>- Implement relation extraction (A2)</w:t>
      </w:r>
    </w:p>
    <w:p>
      <w:pPr>
        <w:spacing w:after="80" w:line="293" w:lineRule="auto"/>
        <w:ind w:left="283"/>
        <w:jc w:val="left"/>
      </w:pPr>
      <w:r>
        <w:rPr>
          <w:rFonts w:ascii="Times New Roman" w:hAnsi="Times New Roman" w:cs="Times New Roman"/>
          <w:b w:val="0"/>
          <w:i w:val="0"/>
          <w:sz w:val="22"/>
        </w:rPr>
        <w:t>- Implement MRL extraction (A2)</w:t>
      </w:r>
    </w:p>
    <w:p>
      <w:pPr>
        <w:spacing w:after="80" w:line="293" w:lineRule="auto"/>
        <w:ind w:left="283"/>
        <w:jc w:val="left"/>
      </w:pPr>
      <w:r>
        <w:rPr>
          <w:rFonts w:ascii="Times New Roman" w:hAnsi="Times New Roman" w:cs="Times New Roman"/>
          <w:b w:val="0"/>
          <w:i w:val="0"/>
          <w:sz w:val="22"/>
        </w:rPr>
        <w:t>- Implement document requirement extraction (A2)</w:t>
      </w:r>
    </w:p>
    <w:p>
      <w:pPr>
        <w:spacing w:after="80" w:line="293" w:lineRule="auto"/>
        <w:ind w:left="283"/>
        <w:jc w:val="left"/>
      </w:pPr>
      <w:r>
        <w:rPr>
          <w:rFonts w:ascii="Times New Roman" w:hAnsi="Times New Roman" w:cs="Times New Roman"/>
          <w:b w:val="0"/>
          <w:i w:val="0"/>
          <w:sz w:val="22"/>
        </w:rPr>
        <w:t>- Implement treatment requirement extraction (A2)</w:t>
      </w:r>
    </w:p>
    <w:p>
      <w:pPr>
        <w:spacing w:after="80" w:line="293" w:lineRule="auto"/>
        <w:ind w:left="283"/>
        <w:jc w:val="left"/>
      </w:pPr>
      <w:r>
        <w:rPr>
          <w:rFonts w:ascii="Times New Roman" w:hAnsi="Times New Roman" w:cs="Times New Roman"/>
          <w:b w:val="0"/>
          <w:i w:val="0"/>
          <w:sz w:val="22"/>
        </w:rPr>
        <w:t>- Implement acceptance criteria extraction (A2)</w:t>
      </w:r>
    </w:p>
    <w:p>
      <w:pPr>
        <w:spacing w:after="80" w:line="293" w:lineRule="auto"/>
        <w:ind w:left="283"/>
        <w:jc w:val="left"/>
      </w:pPr>
      <w:r>
        <w:rPr>
          <w:rFonts w:ascii="Times New Roman" w:hAnsi="Times New Roman" w:cs="Times New Roman"/>
          <w:b w:val="0"/>
          <w:i w:val="0"/>
          <w:sz w:val="22"/>
        </w:rPr>
        <w:t>- Implement confidence scoring for extracted data</w:t>
      </w:r>
    </w:p>
    <w:p>
      <w:pPr>
        <w:keepNext/>
        <w:spacing w:before="140" w:after="60"/>
        <w:outlineLvl w:val="3"/>
      </w:pPr>
      <w:r>
        <w:rPr>
          <w:rFonts w:ascii="Arial" w:hAnsi="Arial" w:cs="Arial"/>
          <w:b/>
          <w:i/>
          <w:color w:val="333333"/>
          <w:sz w:val="22"/>
        </w:rPr>
        <w:t>6.3.11.3 Vector Embedding Layer</w:t>
      </w:r>
    </w:p>
    <w:p>
      <w:pPr>
        <w:spacing w:after="80" w:line="293" w:lineRule="auto"/>
        <w:ind w:left="283"/>
        <w:jc w:val="left"/>
      </w:pPr>
      <w:r>
        <w:rPr>
          <w:rFonts w:ascii="Times New Roman" w:hAnsi="Times New Roman" w:cs="Times New Roman"/>
          <w:b w:val="0"/>
          <w:i w:val="0"/>
          <w:sz w:val="22"/>
        </w:rPr>
        <w:t>- Deploy pgvector extension</w:t>
      </w:r>
    </w:p>
    <w:p>
      <w:pPr>
        <w:spacing w:after="80" w:line="293" w:lineRule="auto"/>
        <w:ind w:left="283"/>
        <w:jc w:val="left"/>
      </w:pPr>
      <w:r>
        <w:rPr>
          <w:rFonts w:ascii="Times New Roman" w:hAnsi="Times New Roman" w:cs="Times New Roman"/>
          <w:b w:val="0"/>
          <w:i w:val="0"/>
          <w:sz w:val="22"/>
        </w:rPr>
        <w:t>- Implement embedding generation (sentence-transformers)</w:t>
      </w:r>
    </w:p>
    <w:p>
      <w:pPr>
        <w:spacing w:after="80" w:line="293" w:lineRule="auto"/>
        <w:ind w:left="283"/>
        <w:jc w:val="left"/>
      </w:pPr>
      <w:r>
        <w:rPr>
          <w:rFonts w:ascii="Times New Roman" w:hAnsi="Times New Roman" w:cs="Times New Roman"/>
          <w:b w:val="0"/>
          <w:i w:val="0"/>
          <w:sz w:val="22"/>
        </w:rPr>
        <w:t>- Implement vector similarity search</w:t>
      </w:r>
    </w:p>
    <w:p>
      <w:pPr>
        <w:spacing w:after="80" w:line="293" w:lineRule="auto"/>
        <w:ind w:left="283"/>
        <w:jc w:val="left"/>
      </w:pPr>
      <w:r>
        <w:rPr>
          <w:rFonts w:ascii="Times New Roman" w:hAnsi="Times New Roman" w:cs="Times New Roman"/>
          <w:b w:val="0"/>
          <w:i w:val="0"/>
          <w:sz w:val="22"/>
        </w:rPr>
        <w:t>- Implement vector index (IVFFlat)</w:t>
      </w:r>
    </w:p>
    <w:p>
      <w:pPr>
        <w:spacing w:after="80" w:line="293" w:lineRule="auto"/>
        <w:ind w:left="283"/>
        <w:jc w:val="left"/>
      </w:pPr>
      <w:r>
        <w:rPr>
          <w:rFonts w:ascii="Times New Roman" w:hAnsi="Times New Roman" w:cs="Times New Roman"/>
          <w:b w:val="0"/>
          <w:i w:val="0"/>
          <w:sz w:val="22"/>
        </w:rPr>
        <w:t>- Implement batch embedding for efficiency</w:t>
      </w:r>
    </w:p>
    <w:p>
      <w:pPr>
        <w:keepNext/>
        <w:spacing w:before="140" w:after="60"/>
        <w:outlineLvl w:val="3"/>
      </w:pPr>
      <w:r>
        <w:rPr>
          <w:rFonts w:ascii="Arial" w:hAnsi="Arial" w:cs="Arial"/>
          <w:b/>
          <w:i/>
          <w:color w:val="333333"/>
          <w:sz w:val="22"/>
        </w:rPr>
        <w:t>6.3.11.4 Rules &amp; Matrix Layer</w:t>
      </w:r>
    </w:p>
    <w:p>
      <w:pPr>
        <w:spacing w:after="80" w:line="293" w:lineRule="auto"/>
        <w:ind w:left="283"/>
        <w:jc w:val="left"/>
      </w:pPr>
      <w:r>
        <w:rPr>
          <w:rFonts w:ascii="Times New Roman" w:hAnsi="Times New Roman" w:cs="Times New Roman"/>
          <w:b w:val="0"/>
          <w:i w:val="0"/>
          <w:sz w:val="22"/>
        </w:rPr>
        <w:t>- Implement jurisdiction matrix update (A4, WasmEdge)</w:t>
      </w:r>
    </w:p>
    <w:p>
      <w:pPr>
        <w:spacing w:after="80" w:line="293" w:lineRule="auto"/>
        <w:ind w:left="283"/>
        <w:jc w:val="left"/>
      </w:pPr>
      <w:r>
        <w:rPr>
          <w:rFonts w:ascii="Times New Roman" w:hAnsi="Times New Roman" w:cs="Times New Roman"/>
          <w:b w:val="0"/>
          <w:i w:val="0"/>
          <w:sz w:val="22"/>
        </w:rPr>
        <w:t>- Implement treatment rules update (A4, WasmEdge)</w:t>
      </w:r>
    </w:p>
    <w:p>
      <w:pPr>
        <w:spacing w:after="80" w:line="293" w:lineRule="auto"/>
        <w:ind w:left="283"/>
        <w:jc w:val="left"/>
      </w:pPr>
      <w:r>
        <w:rPr>
          <w:rFonts w:ascii="Times New Roman" w:hAnsi="Times New Roman" w:cs="Times New Roman"/>
          <w:b w:val="0"/>
          <w:i w:val="0"/>
          <w:sz w:val="22"/>
        </w:rPr>
        <w:t>- Implement document requirements update (A4, WasmEdge)</w:t>
      </w:r>
    </w:p>
    <w:p>
      <w:pPr>
        <w:spacing w:after="80" w:line="293" w:lineRule="auto"/>
        <w:ind w:left="283"/>
        <w:jc w:val="left"/>
      </w:pPr>
      <w:r>
        <w:rPr>
          <w:rFonts w:ascii="Times New Roman" w:hAnsi="Times New Roman" w:cs="Times New Roman"/>
          <w:b w:val="0"/>
          <w:i w:val="0"/>
          <w:sz w:val="22"/>
        </w:rPr>
        <w:t>- Implement MRL validation rules (A4, WasmEdge)</w:t>
      </w:r>
    </w:p>
    <w:p>
      <w:pPr>
        <w:spacing w:after="80" w:line="293" w:lineRule="auto"/>
        <w:ind w:left="283"/>
        <w:jc w:val="left"/>
      </w:pPr>
      <w:r>
        <w:rPr>
          <w:rFonts w:ascii="Times New Roman" w:hAnsi="Times New Roman" w:cs="Times New Roman"/>
          <w:b w:val="0"/>
          <w:i w:val="0"/>
          <w:sz w:val="22"/>
        </w:rPr>
        <w:t>- Implement port rules update (A4, WasmEdge)</w:t>
      </w:r>
    </w:p>
    <w:p>
      <w:pPr>
        <w:keepNext/>
        <w:spacing w:before="140" w:after="60"/>
        <w:outlineLvl w:val="3"/>
      </w:pPr>
      <w:r>
        <w:rPr>
          <w:rFonts w:ascii="Arial" w:hAnsi="Arial" w:cs="Arial"/>
          <w:b/>
          <w:i/>
          <w:color w:val="333333"/>
          <w:sz w:val="22"/>
        </w:rPr>
        <w:t>6.3.11.5 Output Layer</w:t>
      </w:r>
    </w:p>
    <w:p>
      <w:pPr>
        <w:spacing w:after="80" w:line="293" w:lineRule="auto"/>
        <w:ind w:left="283"/>
        <w:jc w:val="left"/>
      </w:pPr>
      <w:r>
        <w:rPr>
          <w:rFonts w:ascii="Times New Roman" w:hAnsi="Times New Roman" w:cs="Times New Roman"/>
          <w:b w:val="0"/>
          <w:i w:val="0"/>
          <w:sz w:val="22"/>
        </w:rPr>
        <w:t>- Implement Product Form Agent schema generation</w:t>
      </w:r>
    </w:p>
    <w:p>
      <w:pPr>
        <w:spacing w:after="80" w:line="293" w:lineRule="auto"/>
        <w:ind w:left="283"/>
        <w:jc w:val="left"/>
      </w:pPr>
      <w:r>
        <w:rPr>
          <w:rFonts w:ascii="Times New Roman" w:hAnsi="Times New Roman" w:cs="Times New Roman"/>
          <w:b w:val="0"/>
          <w:i w:val="0"/>
          <w:sz w:val="22"/>
        </w:rPr>
        <w:t>- Implement document checklist generation</w:t>
      </w:r>
    </w:p>
    <w:p>
      <w:pPr>
        <w:spacing w:after="80" w:line="293" w:lineRule="auto"/>
        <w:ind w:left="283"/>
        <w:jc w:val="left"/>
      </w:pPr>
      <w:r>
        <w:rPr>
          <w:rFonts w:ascii="Times New Roman" w:hAnsi="Times New Roman" w:cs="Times New Roman"/>
          <w:b w:val="0"/>
          <w:i w:val="0"/>
          <w:sz w:val="22"/>
        </w:rPr>
        <w:t>- Implement treatment requirement display</w:t>
      </w:r>
    </w:p>
    <w:p>
      <w:pPr>
        <w:spacing w:after="80" w:line="293" w:lineRule="auto"/>
        <w:ind w:left="283"/>
        <w:jc w:val="left"/>
      </w:pPr>
      <w:r>
        <w:rPr>
          <w:rFonts w:ascii="Times New Roman" w:hAnsi="Times New Roman" w:cs="Times New Roman"/>
          <w:b w:val="0"/>
          <w:i w:val="0"/>
          <w:sz w:val="22"/>
        </w:rPr>
        <w:t>- Implement jurisdiction validation</w:t>
      </w:r>
    </w:p>
    <w:p>
      <w:pPr>
        <w:keepNext/>
        <w:spacing w:before="140" w:after="60"/>
        <w:outlineLvl w:val="3"/>
      </w:pPr>
      <w:r>
        <w:rPr>
          <w:rFonts w:ascii="Arial" w:hAnsi="Arial" w:cs="Arial"/>
          <w:b/>
          <w:i/>
          <w:color w:val="333333"/>
          <w:sz w:val="22"/>
        </w:rPr>
        <w:t>6.3.11.6 Change Detection &amp; Alerting</w:t>
      </w:r>
    </w:p>
    <w:p>
      <w:pPr>
        <w:spacing w:after="80" w:line="293" w:lineRule="auto"/>
        <w:ind w:left="283"/>
        <w:jc w:val="left"/>
      </w:pPr>
      <w:r>
        <w:rPr>
          <w:rFonts w:ascii="Times New Roman" w:hAnsi="Times New Roman" w:cs="Times New Roman"/>
          <w:b w:val="0"/>
          <w:i w:val="0"/>
          <w:sz w:val="22"/>
        </w:rPr>
        <w:t>- Implement change detection logic</w:t>
      </w:r>
    </w:p>
    <w:p>
      <w:pPr>
        <w:spacing w:after="80" w:line="293" w:lineRule="auto"/>
        <w:ind w:left="283"/>
        <w:jc w:val="left"/>
      </w:pPr>
      <w:r>
        <w:rPr>
          <w:rFonts w:ascii="Times New Roman" w:hAnsi="Times New Roman" w:cs="Times New Roman"/>
          <w:b w:val="0"/>
          <w:i w:val="0"/>
          <w:sz w:val="22"/>
        </w:rPr>
        <w:t>- Implement Smart Inbox alerting (A1, Groq)</w:t>
      </w:r>
    </w:p>
    <w:p>
      <w:pPr>
        <w:spacing w:after="80" w:line="293" w:lineRule="auto"/>
        <w:ind w:left="283"/>
        <w:jc w:val="left"/>
      </w:pPr>
      <w:r>
        <w:rPr>
          <w:rFonts w:ascii="Times New Roman" w:hAnsi="Times New Roman" w:cs="Times New Roman"/>
          <w:b w:val="0"/>
          <w:i w:val="0"/>
          <w:sz w:val="22"/>
        </w:rPr>
        <w:t>- Implement RIA change log</w:t>
      </w:r>
    </w:p>
    <w:p>
      <w:pPr>
        <w:spacing w:after="80" w:line="293" w:lineRule="auto"/>
        <w:ind w:left="283"/>
        <w:jc w:val="left"/>
      </w:pPr>
      <w:r>
        <w:rPr>
          <w:rFonts w:ascii="Times New Roman" w:hAnsi="Times New Roman" w:cs="Times New Roman"/>
          <w:b w:val="0"/>
          <w:i w:val="0"/>
          <w:sz w:val="22"/>
        </w:rPr>
        <w:t>- Implement Admin Portal monitoring dashboard</w:t>
      </w:r>
    </w:p>
    <w:p>
      <w:pPr>
        <w:keepNext/>
        <w:spacing w:before="140" w:after="60"/>
        <w:outlineLvl w:val="3"/>
      </w:pPr>
      <w:r>
        <w:rPr>
          <w:rFonts w:ascii="Arial" w:hAnsi="Arial" w:cs="Arial"/>
          <w:b/>
          <w:i/>
          <w:color w:val="333333"/>
          <w:sz w:val="22"/>
        </w:rPr>
        <w:t>6.3.11.7 Testing</w:t>
      </w:r>
    </w:p>
    <w:p>
      <w:pPr>
        <w:spacing w:after="80" w:line="293" w:lineRule="auto"/>
        <w:ind w:left="283"/>
        <w:jc w:val="left"/>
      </w:pPr>
      <w:r>
        <w:rPr>
          <w:rFonts w:ascii="Times New Roman" w:hAnsi="Times New Roman" w:cs="Times New Roman"/>
          <w:b w:val="0"/>
          <w:i w:val="0"/>
          <w:sz w:val="22"/>
        </w:rPr>
        <w:t>- Test each scraper independently</w:t>
      </w:r>
    </w:p>
    <w:p>
      <w:pPr>
        <w:spacing w:after="80" w:line="293" w:lineRule="auto"/>
        <w:ind w:left="283"/>
        <w:jc w:val="left"/>
      </w:pPr>
      <w:r>
        <w:rPr>
          <w:rFonts w:ascii="Times New Roman" w:hAnsi="Times New Roman" w:cs="Times New Roman"/>
          <w:b w:val="0"/>
          <w:i w:val="0"/>
          <w:sz w:val="22"/>
        </w:rPr>
        <w:t>- Test parse and extraction accuracy</w:t>
      </w:r>
    </w:p>
    <w:p>
      <w:pPr>
        <w:spacing w:after="80" w:line="293" w:lineRule="auto"/>
        <w:ind w:left="283"/>
        <w:jc w:val="left"/>
      </w:pPr>
      <w:r>
        <w:rPr>
          <w:rFonts w:ascii="Times New Roman" w:hAnsi="Times New Roman" w:cs="Times New Roman"/>
          <w:b w:val="0"/>
          <w:i w:val="0"/>
          <w:sz w:val="22"/>
        </w:rPr>
        <w:t>- Test vector embedding search</w:t>
      </w:r>
    </w:p>
    <w:p>
      <w:pPr>
        <w:spacing w:after="80" w:line="293" w:lineRule="auto"/>
        <w:ind w:left="283"/>
        <w:jc w:val="left"/>
      </w:pPr>
      <w:r>
        <w:rPr>
          <w:rFonts w:ascii="Times New Roman" w:hAnsi="Times New Roman" w:cs="Times New Roman"/>
          <w:b w:val="0"/>
          <w:i w:val="0"/>
          <w:sz w:val="22"/>
        </w:rPr>
        <w:t>- Test jurisdiction matrix updates</w:t>
      </w:r>
    </w:p>
    <w:p>
      <w:pPr>
        <w:spacing w:after="80" w:line="293" w:lineRule="auto"/>
        <w:ind w:left="283"/>
        <w:jc w:val="left"/>
      </w:pPr>
      <w:r>
        <w:rPr>
          <w:rFonts w:ascii="Times New Roman" w:hAnsi="Times New Roman" w:cs="Times New Roman"/>
          <w:b w:val="0"/>
          <w:i w:val="0"/>
          <w:sz w:val="22"/>
        </w:rPr>
        <w:t>- Test Product Form Agent schema generation</w:t>
      </w:r>
    </w:p>
    <w:p>
      <w:pPr>
        <w:spacing w:after="80" w:line="293" w:lineRule="auto"/>
        <w:ind w:left="283"/>
        <w:jc w:val="left"/>
      </w:pPr>
      <w:r>
        <w:rPr>
          <w:rFonts w:ascii="Times New Roman" w:hAnsi="Times New Roman" w:cs="Times New Roman"/>
          <w:b w:val="0"/>
          <w:i w:val="0"/>
          <w:sz w:val="22"/>
        </w:rPr>
        <w:t>- Test change detection and alerting</w:t>
      </w:r>
    </w:p>
    <w:p>
      <w:pPr>
        <w:spacing w:after="80" w:line="293" w:lineRule="auto"/>
        <w:ind w:left="283"/>
        <w:jc w:val="left"/>
      </w:pPr>
      <w:r>
        <w:rPr>
          <w:rFonts w:ascii="Times New Roman" w:hAnsi="Times New Roman" w:cs="Times New Roman"/>
          <w:b w:val="0"/>
          <w:i w:val="0"/>
          <w:sz w:val="22"/>
        </w:rPr>
        <w:t>- Integration test: full RIA pipeline</w:t>
      </w:r>
    </w:p>
    <w:p>
      <w:pPr>
        <w:spacing w:after="80" w:line="293" w:lineRule="auto"/>
        <w:ind w:left="283"/>
        <w:jc w:val="left"/>
      </w:pPr>
      <w:r>
        <w:rPr>
          <w:rFonts w:ascii="Times New Roman" w:hAnsi="Times New Roman" w:cs="Times New Roman"/>
          <w:b w:val="0"/>
          <w:i w:val="0"/>
          <w:sz w:val="22"/>
        </w:rPr>
        <w:t>- Performance test: 6-hour scrape cycle</w:t>
      </w:r>
    </w:p>
    <w:p>
      <w:pPr>
        <w:keepNext/>
        <w:spacing w:before="180" w:after="80"/>
        <w:outlineLvl w:val="2"/>
      </w:pPr>
      <w:r>
        <w:rPr>
          <w:rFonts w:ascii="Arial" w:hAnsi="Arial" w:cs="Arial"/>
          <w:b/>
          <w:i w:val="0"/>
          <w:color w:val="333333"/>
          <w:sz w:val="23"/>
        </w:rPr>
        <w:t>6.3.12 AI Authority Summary (RIA)</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RIA Application</w:t>
            </w:r>
          </w:p>
        </w:tc>
      </w:tr>
      <w:tr>
        <w:tc>
          <w:tcPr>
            <w:tcW w:type="dxa" w:w="3213"/>
          </w:tcPr>
          <w:p>
            <w:pPr>
              <w:spacing w:after="20" w:before="20" w:line="240" w:lineRule="auto"/>
            </w:pPr>
            <w:r/>
            <w:r>
              <w:rPr>
                <w:rFonts w:ascii="Arial" w:hAnsi="Arial" w:cs="Arial"/>
                <w:b w:val="0"/>
                <w:i w:val="0"/>
                <w:sz w:val="17"/>
              </w:rPr>
              <w:t>A2 (HF NLP, local)</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Entity, relation, MRL, document, treatment, and acceptance criteria extraction; confidence scoring</w:t>
            </w:r>
          </w:p>
        </w:tc>
      </w:tr>
      <w:tr>
        <w:tc>
          <w:tcPr>
            <w:tcW w:type="dxa" w:w="3213"/>
          </w:tcPr>
          <w:p>
            <w:pPr>
              <w:spacing w:after="20" w:before="20" w:line="240" w:lineRule="auto"/>
            </w:pPr>
            <w:r/>
            <w:r>
              <w:rPr>
                <w:rFonts w:ascii="Arial" w:hAnsi="Arial" w:cs="Arial"/>
                <w:b w:val="0"/>
                <w:i w:val="0"/>
                <w:sz w:val="17"/>
              </w:rPr>
              <w:t>A2 (sentence-transformers)</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Vector embedding generation and similarity search (pgvector)</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Rules and matrix updates; jurisdiction, treatment, document, MRL, and port rule validation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Change summaries, Smart Inbox regulatory alerts, dashboard summaries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6.3.13 RIA Source Tiering, Source Registry &amp; Compliance Cache Architecture</w:t>
      </w:r>
    </w:p>
    <w:p>
      <w:pPr>
        <w:spacing w:after="80" w:line="293" w:lineRule="auto"/>
        <w:jc w:val="left"/>
      </w:pPr>
      <w:r>
        <w:rPr>
          <w:rFonts w:ascii="Times New Roman" w:hAnsi="Times New Roman" w:cs="Times New Roman"/>
          <w:b w:val="0"/>
          <w:i w:val="0"/>
          <w:sz w:val="22"/>
        </w:rPr>
        <w:t>The Regulatory Intelligence Agent operates on a five-tier source model. Every regulatory source integrated by RIA is assigned exactly one tier, and the tier determines both the permissible use of the source output and the integration method: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Tier</w:t>
            </w:r>
          </w:p>
        </w:tc>
        <w:tc>
          <w:tcPr>
            <w:tcW w:type="dxa" w:w="2409"/>
            <w:shd w:val="clear" w:fill="D9E2F3"/>
          </w:tcPr>
          <w:p>
            <w:pPr>
              <w:spacing w:after="20" w:before="20" w:line="240" w:lineRule="auto"/>
            </w:pPr>
            <w:r/>
            <w:r>
              <w:rPr>
                <w:rFonts w:ascii="Arial" w:hAnsi="Arial" w:cs="Arial"/>
                <w:b/>
                <w:i w:val="0"/>
                <w:sz w:val="18"/>
              </w:rPr>
              <w:t>Source Class</w:t>
            </w:r>
          </w:p>
        </w:tc>
        <w:tc>
          <w:tcPr>
            <w:tcW w:type="dxa" w:w="2409"/>
            <w:shd w:val="clear" w:fill="D9E2F3"/>
          </w:tcPr>
          <w:p>
            <w:pPr>
              <w:spacing w:after="20" w:before="20" w:line="240" w:lineRule="auto"/>
            </w:pPr>
            <w:r/>
            <w:r>
              <w:rPr>
                <w:rFonts w:ascii="Arial" w:hAnsi="Arial" w:cs="Arial"/>
                <w:b/>
                <w:i w:val="0"/>
                <w:sz w:val="18"/>
              </w:rPr>
              <w:t>Integration Methods</w:t>
            </w:r>
          </w:p>
        </w:tc>
        <w:tc>
          <w:tcPr>
            <w:tcW w:type="dxa" w:w="2409"/>
            <w:shd w:val="clear" w:fill="D9E2F3"/>
          </w:tcPr>
          <w:p>
            <w:pPr>
              <w:spacing w:after="20" w:before="20" w:line="240" w:lineRule="auto"/>
            </w:pPr>
            <w:r/>
            <w:r>
              <w:rPr>
                <w:rFonts w:ascii="Arial" w:hAnsi="Arial" w:cs="Arial"/>
                <w:b/>
                <w:i w:val="0"/>
                <w:sz w:val="18"/>
              </w:rPr>
              <w:t>Usage</w:t>
            </w:r>
          </w:p>
        </w:tc>
      </w:tr>
      <w:tr>
        <w:tc>
          <w:tcPr>
            <w:tcW w:type="dxa" w:w="2409"/>
          </w:tcPr>
          <w:p>
            <w:pPr>
              <w:spacing w:after="20" w:before="20" w:line="240" w:lineRule="auto"/>
            </w:pPr>
            <w:r/>
            <w:r>
              <w:rPr>
                <w:rFonts w:ascii="Arial" w:hAnsi="Arial" w:cs="Arial"/>
                <w:b w:val="0"/>
                <w:i w:val="0"/>
                <w:sz w:val="17"/>
              </w:rPr>
              <w:t>Tier 1</w:t>
            </w:r>
          </w:p>
        </w:tc>
        <w:tc>
          <w:tcPr>
            <w:tcW w:type="dxa" w:w="2409"/>
          </w:tcPr>
          <w:p>
            <w:pPr>
              <w:spacing w:after="20" w:before="20" w:line="240" w:lineRule="auto"/>
            </w:pPr>
            <w:r/>
            <w:r>
              <w:rPr>
                <w:rFonts w:ascii="Arial" w:hAnsi="Arial" w:cs="Arial"/>
                <w:b w:val="0"/>
                <w:i w:val="0"/>
                <w:sz w:val="17"/>
              </w:rPr>
              <w:t>Authoritative / official API</w:t>
            </w:r>
          </w:p>
        </w:tc>
        <w:tc>
          <w:tcPr>
            <w:tcW w:type="dxa" w:w="2409"/>
          </w:tcPr>
          <w:p>
            <w:pPr>
              <w:spacing w:after="20" w:before="20" w:line="240" w:lineRule="auto"/>
            </w:pPr>
            <w:r/>
            <w:r>
              <w:rPr>
                <w:rFonts w:ascii="Arial" w:hAnsi="Arial" w:cs="Arial"/>
                <w:b w:val="0"/>
                <w:i w:val="0"/>
                <w:sz w:val="17"/>
              </w:rPr>
              <w:t>Direct API, official feed, official file transfer</w:t>
            </w:r>
          </w:p>
        </w:tc>
        <w:tc>
          <w:tcPr>
            <w:tcW w:type="dxa" w:w="2409"/>
          </w:tcPr>
          <w:p>
            <w:pPr>
              <w:spacing w:after="20" w:before="20" w:line="240" w:lineRule="auto"/>
            </w:pPr>
            <w:r/>
            <w:r>
              <w:rPr>
                <w:rFonts w:ascii="Arial" w:hAnsi="Arial" w:cs="Arial"/>
                <w:b w:val="0"/>
                <w:i w:val="0"/>
                <w:sz w:val="17"/>
              </w:rPr>
              <w:t>Primary source for applicability rules; real-time where supported</w:t>
            </w:r>
          </w:p>
        </w:tc>
      </w:tr>
      <w:tr>
        <w:tc>
          <w:tcPr>
            <w:tcW w:type="dxa" w:w="2409"/>
          </w:tcPr>
          <w:p>
            <w:pPr>
              <w:spacing w:after="20" w:before="20" w:line="240" w:lineRule="auto"/>
            </w:pPr>
            <w:r/>
            <w:r>
              <w:rPr>
                <w:rFonts w:ascii="Arial" w:hAnsi="Arial" w:cs="Arial"/>
                <w:b w:val="0"/>
                <w:i w:val="0"/>
                <w:sz w:val="17"/>
              </w:rPr>
              <w:t>Tier 2</w:t>
            </w:r>
          </w:p>
        </w:tc>
        <w:tc>
          <w:tcPr>
            <w:tcW w:type="dxa" w:w="2409"/>
          </w:tcPr>
          <w:p>
            <w:pPr>
              <w:spacing w:after="20" w:before="20" w:line="240" w:lineRule="auto"/>
            </w:pPr>
            <w:r/>
            <w:r>
              <w:rPr>
                <w:rFonts w:ascii="Arial" w:hAnsi="Arial" w:cs="Arial"/>
                <w:b w:val="0"/>
                <w:i w:val="0"/>
                <w:sz w:val="17"/>
              </w:rPr>
              <w:t>Official published source</w:t>
            </w:r>
          </w:p>
        </w:tc>
        <w:tc>
          <w:tcPr>
            <w:tcW w:type="dxa" w:w="2409"/>
          </w:tcPr>
          <w:p>
            <w:pPr>
              <w:spacing w:after="20" w:before="20" w:line="240" w:lineRule="auto"/>
            </w:pPr>
            <w:r/>
            <w:r>
              <w:rPr>
                <w:rFonts w:ascii="Arial" w:hAnsi="Arial" w:cs="Arial"/>
                <w:b w:val="0"/>
                <w:i w:val="0"/>
                <w:sz w:val="17"/>
              </w:rPr>
              <w:t>Official publication monitoring, official bulletins, gazettes</w:t>
            </w:r>
          </w:p>
        </w:tc>
        <w:tc>
          <w:tcPr>
            <w:tcW w:type="dxa" w:w="2409"/>
          </w:tcPr>
          <w:p>
            <w:pPr>
              <w:spacing w:after="20" w:before="20" w:line="240" w:lineRule="auto"/>
            </w:pPr>
            <w:r/>
            <w:r>
              <w:rPr>
                <w:rFonts w:ascii="Arial" w:hAnsi="Arial" w:cs="Arial"/>
                <w:b w:val="0"/>
                <w:i w:val="0"/>
                <w:sz w:val="17"/>
              </w:rPr>
              <w:t>Primary source where no API exists; effective-dated rules</w:t>
            </w:r>
          </w:p>
        </w:tc>
      </w:tr>
      <w:tr>
        <w:tc>
          <w:tcPr>
            <w:tcW w:type="dxa" w:w="2409"/>
          </w:tcPr>
          <w:p>
            <w:pPr>
              <w:spacing w:after="20" w:before="20" w:line="240" w:lineRule="auto"/>
            </w:pPr>
            <w:r/>
            <w:r>
              <w:rPr>
                <w:rFonts w:ascii="Arial" w:hAnsi="Arial" w:cs="Arial"/>
                <w:b w:val="0"/>
                <w:i w:val="0"/>
                <w:sz w:val="17"/>
              </w:rPr>
              <w:t>Tier 3</w:t>
            </w:r>
          </w:p>
        </w:tc>
        <w:tc>
          <w:tcPr>
            <w:tcW w:type="dxa" w:w="2409"/>
          </w:tcPr>
          <w:p>
            <w:pPr>
              <w:spacing w:after="20" w:before="20" w:line="240" w:lineRule="auto"/>
            </w:pPr>
            <w:r/>
            <w:r>
              <w:rPr>
                <w:rFonts w:ascii="Arial" w:hAnsi="Arial" w:cs="Arial"/>
                <w:b w:val="0"/>
                <w:i w:val="0"/>
                <w:sz w:val="17"/>
              </w:rPr>
              <w:t>Licensed data provider</w:t>
            </w:r>
          </w:p>
        </w:tc>
        <w:tc>
          <w:tcPr>
            <w:tcW w:type="dxa" w:w="2409"/>
          </w:tcPr>
          <w:p>
            <w:pPr>
              <w:spacing w:after="20" w:before="20" w:line="240" w:lineRule="auto"/>
            </w:pPr>
            <w:r/>
            <w:r>
              <w:rPr>
                <w:rFonts w:ascii="Arial" w:hAnsi="Arial" w:cs="Arial"/>
                <w:b w:val="0"/>
                <w:i w:val="0"/>
                <w:sz w:val="17"/>
              </w:rPr>
              <w:t>Licensed API, licensed feed</w:t>
            </w:r>
          </w:p>
        </w:tc>
        <w:tc>
          <w:tcPr>
            <w:tcW w:type="dxa" w:w="2409"/>
          </w:tcPr>
          <w:p>
            <w:pPr>
              <w:spacing w:after="20" w:before="20" w:line="240" w:lineRule="auto"/>
            </w:pPr>
            <w:r/>
            <w:r>
              <w:rPr>
                <w:rFonts w:ascii="Arial" w:hAnsi="Arial" w:cs="Arial"/>
                <w:b w:val="0"/>
                <w:i w:val="0"/>
                <w:sz w:val="17"/>
              </w:rPr>
              <w:t>Supplementary and confirmatory; licence recorded</w:t>
            </w:r>
          </w:p>
        </w:tc>
      </w:tr>
      <w:tr>
        <w:tc>
          <w:tcPr>
            <w:tcW w:type="dxa" w:w="2409"/>
          </w:tcPr>
          <w:p>
            <w:pPr>
              <w:spacing w:after="20" w:before="20" w:line="240" w:lineRule="auto"/>
            </w:pPr>
            <w:r/>
            <w:r>
              <w:rPr>
                <w:rFonts w:ascii="Arial" w:hAnsi="Arial" w:cs="Arial"/>
                <w:b w:val="0"/>
                <w:i w:val="0"/>
                <w:sz w:val="17"/>
              </w:rPr>
              <w:t>Tier 4</w:t>
            </w:r>
          </w:p>
        </w:tc>
        <w:tc>
          <w:tcPr>
            <w:tcW w:type="dxa" w:w="2409"/>
          </w:tcPr>
          <w:p>
            <w:pPr>
              <w:spacing w:after="20" w:before="20" w:line="240" w:lineRule="auto"/>
            </w:pPr>
            <w:r/>
            <w:r>
              <w:rPr>
                <w:rFonts w:ascii="Arial" w:hAnsi="Arial" w:cs="Arial"/>
                <w:b w:val="0"/>
                <w:i w:val="0"/>
                <w:sz w:val="17"/>
              </w:rPr>
              <w:t>Human-verified source</w:t>
            </w:r>
          </w:p>
        </w:tc>
        <w:tc>
          <w:tcPr>
            <w:tcW w:type="dxa" w:w="2409"/>
          </w:tcPr>
          <w:p>
            <w:pPr>
              <w:spacing w:after="20" w:before="20" w:line="240" w:lineRule="auto"/>
            </w:pPr>
            <w:r/>
            <w:r>
              <w:rPr>
                <w:rFonts w:ascii="Arial" w:hAnsi="Arial" w:cs="Arial"/>
                <w:b w:val="0"/>
                <w:i w:val="0"/>
                <w:sz w:val="17"/>
              </w:rPr>
              <w:t>Compliance-team verification workflow</w:t>
            </w:r>
          </w:p>
        </w:tc>
        <w:tc>
          <w:tcPr>
            <w:tcW w:type="dxa" w:w="2409"/>
          </w:tcPr>
          <w:p>
            <w:pPr>
              <w:spacing w:after="20" w:before="20" w:line="240" w:lineRule="auto"/>
            </w:pPr>
            <w:r/>
            <w:r>
              <w:rPr>
                <w:rFonts w:ascii="Arial" w:hAnsi="Arial" w:cs="Arial"/>
                <w:b w:val="0"/>
                <w:i w:val="0"/>
                <w:sz w:val="17"/>
              </w:rPr>
              <w:t>Fallback; verification evidence recorded and Loom-anchored</w:t>
            </w:r>
          </w:p>
        </w:tc>
      </w:tr>
      <w:tr>
        <w:tc>
          <w:tcPr>
            <w:tcW w:type="dxa" w:w="2409"/>
          </w:tcPr>
          <w:p>
            <w:pPr>
              <w:spacing w:after="20" w:before="20" w:line="240" w:lineRule="auto"/>
            </w:pPr>
            <w:r/>
            <w:r>
              <w:rPr>
                <w:rFonts w:ascii="Arial" w:hAnsi="Arial" w:cs="Arial"/>
                <w:b w:val="0"/>
                <w:i w:val="0"/>
                <w:sz w:val="17"/>
              </w:rPr>
              <w:t>Tier 5</w:t>
            </w:r>
          </w:p>
        </w:tc>
        <w:tc>
          <w:tcPr>
            <w:tcW w:type="dxa" w:w="2409"/>
          </w:tcPr>
          <w:p>
            <w:pPr>
              <w:spacing w:after="20" w:before="20" w:line="240" w:lineRule="auto"/>
            </w:pPr>
            <w:r/>
            <w:r>
              <w:rPr>
                <w:rFonts w:ascii="Arial" w:hAnsi="Arial" w:cs="Arial"/>
                <w:b w:val="0"/>
                <w:i w:val="0"/>
                <w:sz w:val="17"/>
              </w:rPr>
              <w:t>Secondary intelligence</w:t>
            </w:r>
          </w:p>
        </w:tc>
        <w:tc>
          <w:tcPr>
            <w:tcW w:type="dxa" w:w="2409"/>
          </w:tcPr>
          <w:p>
            <w:pPr>
              <w:spacing w:after="20" w:before="20" w:line="240" w:lineRule="auto"/>
            </w:pPr>
            <w:r/>
            <w:r>
              <w:rPr>
                <w:rFonts w:ascii="Arial" w:hAnsi="Arial" w:cs="Arial"/>
                <w:b w:val="0"/>
                <w:i w:val="0"/>
                <w:sz w:val="17"/>
              </w:rPr>
              <w:t>Aggregation, analysis, news monitoring</w:t>
            </w:r>
          </w:p>
        </w:tc>
        <w:tc>
          <w:tcPr>
            <w:tcW w:type="dxa" w:w="2409"/>
          </w:tcPr>
          <w:p>
            <w:pPr>
              <w:spacing w:after="20" w:before="20" w:line="240" w:lineRule="auto"/>
            </w:pPr>
            <w:r/>
            <w:r>
              <w:rPr>
                <w:rFonts w:ascii="Arial" w:hAnsi="Arial" w:cs="Arial"/>
                <w:b w:val="0"/>
                <w:i w:val="0"/>
                <w:sz w:val="17"/>
              </w:rPr>
              <w:t>Signals and change detection only; never sole basis for a rule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source in the RIA source registry stores a complete provenance and operability record: source_id, jurisdiction, authority_class, access_method, licensing_status, update_frequency, last_success, last_verified, parser_version, content_hash, effective_from, and effective_until. RIA may use polling, APIs, feeds, files, web extraction, or human verification depending on the source class, and the access method actually used is recorded for every retrieval. A source is never represented as free, public, scrapeable, or real-time unless that is verified fact for that source; the platform does not claim a fixed universal scraping cadence for any set of sources. Where a rule changes, the change is versioned through the regulatory snapshot model (Section 20.9) so that applicability decisions remain reproducible against the rule version in force at decision time.</w:t>
      </w:r>
    </w:p>
    <w:p>
      <w:pPr>
        <w:spacing w:after="80" w:line="293" w:lineRule="auto"/>
        <w:jc w:val="left"/>
      </w:pPr>
      <w:r>
        <w:rPr>
          <w:rFonts w:ascii="Times New Roman" w:hAnsi="Times New Roman" w:cs="Times New Roman"/>
          <w:b w:val="0"/>
          <w:i w:val="0"/>
          <w:sz w:val="22"/>
        </w:rPr>
        <w:t>Cacheable compliance data follows a strict authoritative-pipeline discipline. The compliance source of truth remains authoritative state in PostgreSQL and the domain services; caches are derived projections. The canonical propagation pipeline is:</w:t>
      </w:r>
    </w:p>
    <w:p>
      <w:pPr>
        <w:spacing w:after="0" w:before="0" w:line="240" w:lineRule="auto"/>
        <w:ind w:left="57"/>
        <w:jc w:val="left"/>
        <w:shd w:val="clear" w:fill="F2F2F2"/>
      </w:pPr>
      <w:r>
        <w:rPr>
          <w:rFonts w:ascii="Consolas" w:hAnsi="Consolas" w:cs="Consolas"/>
          <w:b w:val="0"/>
          <w:i w:val="0"/>
          <w:sz w:val="15"/>
        </w:rPr>
        <w:t>Authoritative PostgreSQL State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Transactional Outbox  (same transaction as the authoritative write)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NATS JetStream  (durable, at-least-once delivery)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Cache Update / Invalidation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Versioned Consumer State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cached compliance record carries a version and freshness concept with, at minimum: source_version, event_version, observed_at, effective_at, last_synced_at, and expires_at. Compliance decisions must fail closed where the required authoritative state cannot be established: a stale, expired, or unverifiable cache entry can never silently produce a compliant verdict. A cache hit is not evidence of authority; the decision record references the authoritative state version it was evaluated against. This discipline is enforced by invariant I-12 (Section 20.105.1).</w:t>
      </w:r>
    </w:p>
    <w:p>
      <w:pPr>
        <w:keepNext/>
        <w:spacing w:before="240" w:after="100"/>
        <w:outlineLvl w:val="1"/>
      </w:pPr>
      <w:r>
        <w:rPr>
          <w:rFonts w:ascii="Arial" w:hAnsi="Arial" w:cs="Arial"/>
          <w:b/>
          <w:i w:val="0"/>
          <w:color w:val="2E528F"/>
          <w:sz w:val="26"/>
        </w:rPr>
        <w:t>6.4 Incoterm Selection &amp; Engine</w:t>
      </w:r>
    </w:p>
    <w:p>
      <w:pPr>
        <w:keepNext/>
        <w:spacing w:before="180" w:after="80"/>
        <w:outlineLvl w:val="2"/>
      </w:pPr>
      <w:r>
        <w:rPr>
          <w:rFonts w:ascii="Arial" w:hAnsi="Arial" w:cs="Arial"/>
          <w:b/>
          <w:i w:val="0"/>
          <w:color w:val="333333"/>
          <w:sz w:val="23"/>
        </w:rPr>
        <w:t>6.4.1 Purpose &amp; Design Philosophy</w:t>
      </w:r>
    </w:p>
    <w:p>
      <w:pPr>
        <w:spacing w:after="80" w:line="293" w:lineRule="auto"/>
        <w:jc w:val="left"/>
      </w:pPr>
      <w:r>
        <w:rPr>
          <w:rFonts w:ascii="Times New Roman" w:hAnsi="Times New Roman" w:cs="Times New Roman"/>
          <w:b w:val="0"/>
          <w:i w:val="0"/>
          <w:sz w:val="22"/>
        </w:rPr>
        <w:t>The Incoterm Selection module is the critical junction where commercial intent meets logistics execution. The buyer's selection of an International Commercial Term (Incoterms 2020) instantly configures the entire trade workflow — determining which logistics services are mandatory, who pays for what, and how the SGTX platform fee is calculated. This is not a simple dropdown; it is a decision engine that drives all subsequent phases.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One selection, full configuration — choosing an incoterm immediately pre-populates the seller's mandatory</w:t>
      </w:r>
    </w:p>
    <w:p>
      <w:pPr>
        <w:spacing w:after="80" w:line="293" w:lineRule="auto"/>
        <w:jc w:val="left"/>
      </w:pPr>
      <w:r>
        <w:rPr>
          <w:rFonts w:ascii="Times New Roman" w:hAnsi="Times New Roman" w:cs="Times New Roman"/>
          <w:b w:val="0"/>
          <w:i w:val="0"/>
          <w:sz w:val="22"/>
        </w:rPr>
        <w:t>logistics services, fee responsibilities, and documentation requirements.</w:t>
      </w:r>
    </w:p>
    <w:p>
      <w:pPr>
        <w:spacing w:after="80" w:line="293" w:lineRule="auto"/>
        <w:ind w:left="283"/>
        <w:jc w:val="left"/>
      </w:pPr>
      <w:r>
        <w:rPr>
          <w:rFonts w:ascii="Times New Roman" w:hAnsi="Times New Roman" w:cs="Times New Roman"/>
          <w:b w:val="0"/>
          <w:i w:val="0"/>
          <w:sz w:val="22"/>
        </w:rPr>
        <w:t>- Plain-language explanation — both buyer and seller see exactly who is responsible for what, in their</w:t>
      </w:r>
    </w:p>
    <w:p>
      <w:pPr>
        <w:spacing w:after="80" w:line="293" w:lineRule="auto"/>
        <w:jc w:val="left"/>
      </w:pPr>
      <w:r>
        <w:rPr>
          <w:rFonts w:ascii="Times New Roman" w:hAnsi="Times New Roman" w:cs="Times New Roman"/>
          <w:b w:val="0"/>
          <w:i w:val="0"/>
          <w:sz w:val="22"/>
        </w:rPr>
        <w:t>preferred language.</w:t>
      </w:r>
    </w:p>
    <w:p>
      <w:pPr>
        <w:spacing w:after="80" w:line="293" w:lineRule="auto"/>
        <w:ind w:left="283"/>
        <w:jc w:val="left"/>
      </w:pPr>
      <w:r>
        <w:rPr>
          <w:rFonts w:ascii="Times New Roman" w:hAnsi="Times New Roman" w:cs="Times New Roman"/>
          <w:b w:val="0"/>
          <w:i w:val="0"/>
          <w:sz w:val="22"/>
        </w:rPr>
        <w:t>- Constitutional enforcement — the WasmEdge `incoterms_engine.wasm` module validates that all subsequent</w:t>
      </w:r>
    </w:p>
    <w:p>
      <w:pPr>
        <w:spacing w:after="80" w:line="293" w:lineRule="auto"/>
        <w:jc w:val="left"/>
      </w:pPr>
      <w:r>
        <w:rPr>
          <w:rFonts w:ascii="Times New Roman" w:hAnsi="Times New Roman" w:cs="Times New Roman"/>
          <w:b w:val="0"/>
          <w:i w:val="0"/>
          <w:sz w:val="22"/>
        </w:rPr>
        <w:t>logistics entries match the selected incoterm.</w:t>
      </w:r>
    </w:p>
    <w:p>
      <w:pPr>
        <w:spacing w:after="80" w:line="293" w:lineRule="auto"/>
        <w:ind w:left="283"/>
        <w:jc w:val="left"/>
      </w:pPr>
      <w:r>
        <w:rPr>
          <w:rFonts w:ascii="Times New Roman" w:hAnsi="Times New Roman" w:cs="Times New Roman"/>
          <w:b w:val="0"/>
          <w:i w:val="0"/>
          <w:sz w:val="22"/>
        </w:rPr>
        <w:t>- Jurisdiction-aware — some incoterms are restricted or modified based on origin/destination jurisdiction.</w:t>
      </w:r>
    </w:p>
    <w:p>
      <w:pPr>
        <w:spacing w:after="80" w:line="293" w:lineRule="auto"/>
        <w:ind w:left="283"/>
        <w:jc w:val="left"/>
      </w:pPr>
      <w:r>
        <w:rPr>
          <w:rFonts w:ascii="Times New Roman" w:hAnsi="Times New Roman" w:cs="Times New Roman"/>
          <w:b w:val="0"/>
          <w:i w:val="0"/>
          <w:sz w:val="22"/>
        </w:rPr>
        <w:t>- Non-marketplace — the system never suggests alternative incoterms (for example, "you might want to use DDP</w:t>
      </w:r>
    </w:p>
    <w:p>
      <w:pPr>
        <w:spacing w:after="80" w:line="293" w:lineRule="auto"/>
        <w:jc w:val="left"/>
      </w:pPr>
      <w:r>
        <w:rPr>
          <w:rFonts w:ascii="Times New Roman" w:hAnsi="Times New Roman" w:cs="Times New Roman"/>
          <w:b w:val="0"/>
          <w:i w:val="0"/>
          <w:sz w:val="22"/>
        </w:rPr>
        <w:t>instead").</w:t>
      </w:r>
    </w:p>
    <w:p>
      <w:pPr>
        <w:spacing w:after="80" w:line="293" w:lineRule="auto"/>
        <w:jc w:val="left"/>
      </w:pPr>
      <w:r>
        <w:rPr>
          <w:rFonts w:ascii="Times New Roman" w:hAnsi="Times New Roman" w:cs="Times New Roman"/>
          <w:b w:val="0"/>
          <w:i w:val="0"/>
          <w:sz w:val="22"/>
        </w:rPr>
        <w:t>AI authority in this section: A1 (Groq) generates plain-language responsibility summaries in the user's language; A4 (WasmEdge) executes the incoterm validation engine (mandatory/forbidden services, jurisdiction compatibility, transport mode compatibility).</w:t>
      </w:r>
    </w:p>
    <w:p>
      <w:pPr>
        <w:keepNext/>
        <w:spacing w:before="180" w:after="80"/>
        <w:outlineLvl w:val="2"/>
      </w:pPr>
      <w:r>
        <w:rPr>
          <w:rFonts w:ascii="Arial" w:hAnsi="Arial" w:cs="Arial"/>
          <w:b/>
          <w:i w:val="0"/>
          <w:color w:val="333333"/>
          <w:sz w:val="23"/>
        </w:rPr>
        <w:t>6.4.2 Incoterm Selection — Location &amp; Behaviour</w:t>
      </w:r>
    </w:p>
    <w:p>
      <w:pPr>
        <w:spacing w:after="80" w:line="293" w:lineRule="auto"/>
        <w:jc w:val="left"/>
      </w:pPr>
      <w:r>
        <w:rPr>
          <w:rFonts w:ascii="Times New Roman" w:hAnsi="Times New Roman" w:cs="Times New Roman"/>
          <w:b w:val="0"/>
          <w:i w:val="0"/>
          <w:sz w:val="22"/>
        </w:rPr>
        <w:t>Location: immediately after seller selection, before container entry (in the merged Step 2, Section 6.2.5). This is a mandatory field displayed prominently at the top of the form.</w:t>
      </w:r>
    </w:p>
    <w:p>
      <w:pPr>
        <w:spacing w:after="80" w:line="293" w:lineRule="auto"/>
        <w:jc w:val="left"/>
      </w:pPr>
      <w:r>
        <w:rPr>
          <w:rFonts w:ascii="Times New Roman" w:hAnsi="Times New Roman" w:cs="Times New Roman"/>
          <w:b/>
          <w:i w:val="0"/>
          <w:sz w:val="22"/>
        </w:rPr>
        <w:t>Behaviour:</w:t>
      </w:r>
    </w:p>
    <w:p>
      <w:pPr>
        <w:spacing w:after="80" w:line="293" w:lineRule="auto"/>
        <w:ind w:left="283"/>
        <w:jc w:val="left"/>
      </w:pPr>
      <w:r>
        <w:rPr>
          <w:rFonts w:ascii="Times New Roman" w:hAnsi="Times New Roman" w:cs="Times New Roman"/>
          <w:b w:val="0"/>
          <w:i w:val="0"/>
          <w:sz w:val="22"/>
        </w:rPr>
        <w:t>- Buyer selects an incoterm from the dropdown (Incoterms 2020).</w:t>
      </w:r>
    </w:p>
    <w:p>
      <w:pPr>
        <w:spacing w:after="80" w:line="293" w:lineRule="auto"/>
        <w:ind w:left="283"/>
        <w:jc w:val="left"/>
      </w:pPr>
      <w:r>
        <w:rPr>
          <w:rFonts w:ascii="Times New Roman" w:hAnsi="Times New Roman" w:cs="Times New Roman"/>
          <w:b w:val="0"/>
          <w:i w:val="0"/>
          <w:sz w:val="22"/>
        </w:rPr>
        <w:t>- System validates that the incoterm is permitted for the selected origin/destination countries.</w:t>
      </w:r>
    </w:p>
    <w:p>
      <w:pPr>
        <w:spacing w:after="80" w:line="293" w:lineRule="auto"/>
        <w:ind w:left="283"/>
        <w:jc w:val="left"/>
      </w:pPr>
      <w:r>
        <w:rPr>
          <w:rFonts w:ascii="Times New Roman" w:hAnsi="Times New Roman" w:cs="Times New Roman"/>
          <w:b w:val="0"/>
          <w:i w:val="0"/>
          <w:sz w:val="22"/>
        </w:rPr>
        <w:t>- System stores the incoterm in `trade_requests.parsed_specs.incoterm`.</w:t>
      </w:r>
    </w:p>
    <w:p>
      <w:pPr>
        <w:spacing w:after="80" w:line="293" w:lineRule="auto"/>
        <w:ind w:left="283"/>
        <w:jc w:val="left"/>
      </w:pPr>
      <w:r>
        <w:rPr>
          <w:rFonts w:ascii="Times New Roman" w:hAnsi="Times New Roman" w:cs="Times New Roman"/>
          <w:b w:val="0"/>
          <w:i w:val="0"/>
          <w:sz w:val="22"/>
        </w:rPr>
        <w:t>- System auto-configures the seller's mandatory logistics services (visible in Phase 2, Section 8).</w:t>
      </w:r>
    </w:p>
    <w:p>
      <w:pPr>
        <w:spacing w:after="80" w:line="293" w:lineRule="auto"/>
        <w:ind w:left="283"/>
        <w:jc w:val="left"/>
      </w:pPr>
      <w:r>
        <w:rPr>
          <w:rFonts w:ascii="Times New Roman" w:hAnsi="Times New Roman" w:cs="Times New Roman"/>
          <w:b w:val="0"/>
          <w:i w:val="0"/>
          <w:sz w:val="22"/>
        </w:rPr>
        <w:t>- System calculates the default SGTX fee payer (always the seller's side, but the incoterm affects the trade</w:t>
      </w:r>
    </w:p>
    <w:p>
      <w:pPr>
        <w:spacing w:after="80" w:line="293" w:lineRule="auto"/>
        <w:jc w:val="left"/>
      </w:pPr>
      <w:r>
        <w:rPr>
          <w:rFonts w:ascii="Times New Roman" w:hAnsi="Times New Roman" w:cs="Times New Roman"/>
          <w:b w:val="0"/>
          <w:i w:val="0"/>
          <w:sz w:val="22"/>
        </w:rPr>
        <w:t>value calculation).</w:t>
      </w:r>
    </w:p>
    <w:p>
      <w:pPr>
        <w:spacing w:after="80" w:line="293" w:lineRule="auto"/>
        <w:ind w:left="283"/>
        <w:jc w:val="left"/>
      </w:pPr>
      <w:r>
        <w:rPr>
          <w:rFonts w:ascii="Times New Roman" w:hAnsi="Times New Roman" w:cs="Times New Roman"/>
          <w:b w:val="0"/>
          <w:i w:val="0"/>
          <w:sz w:val="22"/>
        </w:rPr>
        <w:t>- System displays a plain-language summary of responsibilities.</w:t>
      </w:r>
    </w:p>
    <w:p>
      <w:pPr>
        <w:spacing w:after="0" w:before="0" w:line="240" w:lineRule="auto"/>
        <w:ind w:left="57"/>
        <w:jc w:val="left"/>
        <w:shd w:val="clear" w:fill="F2F2F2"/>
      </w:pPr>
      <w:r>
        <w:rPr>
          <w:rFonts w:ascii="Consolas" w:hAnsi="Consolas" w:cs="Consolas"/>
          <w:b w:val="0"/>
          <w:i w:val="0"/>
          <w:sz w:val="15"/>
        </w:rPr>
        <w:t>NEW TRADE REQUEST</w:t>
      </w:r>
    </w:p>
    <w:p>
      <w:pPr>
        <w:spacing w:after="0" w:before="0" w:line="240" w:lineRule="auto"/>
        <w:ind w:left="57"/>
        <w:jc w:val="left"/>
        <w:shd w:val="clear" w:fill="F2F2F2"/>
      </w:pPr>
      <w:r>
        <w:rPr>
          <w:rFonts w:ascii="Consolas" w:hAnsi="Consolas" w:cs="Consolas"/>
          <w:b w:val="0"/>
          <w:i w:val="0"/>
          <w:sz w:val="15"/>
        </w:rPr>
        <w:t xml:space="preserve">  1. SELLER SELECTION — [SGTX-VN-TRD-002139-7F3A] Mekong Fresh Co.  Trust: 92</w:t>
      </w:r>
    </w:p>
    <w:p>
      <w:pPr>
        <w:spacing w:after="0" w:before="0" w:line="240" w:lineRule="auto"/>
        <w:ind w:left="57"/>
        <w:jc w:val="left"/>
        <w:shd w:val="clear" w:fill="F2F2F2"/>
      </w:pPr>
      <w:r>
        <w:rPr>
          <w:rFonts w:ascii="Consolas" w:hAnsi="Consolas" w:cs="Consolas"/>
          <w:b w:val="0"/>
          <w:i w:val="0"/>
          <w:sz w:val="15"/>
        </w:rPr>
        <w:t xml:space="preserve">  2. INCOTERM SELECTION — [CFR ▼] (Cost and Freight)</w:t>
      </w:r>
    </w:p>
    <w:p>
      <w:pPr>
        <w:spacing w:after="0" w:before="0" w:line="240" w:lineRule="auto"/>
        <w:ind w:left="57"/>
        <w:jc w:val="left"/>
        <w:shd w:val="clear" w:fill="F2F2F2"/>
      </w:pPr>
      <w:r>
        <w:rPr>
          <w:rFonts w:ascii="Consolas" w:hAnsi="Consolas" w:cs="Consolas"/>
          <w:b w:val="0"/>
          <w:i w:val="0"/>
          <w:sz w:val="15"/>
        </w:rPr>
        <w:t xml:space="preserve">     Seller is responsible for:</w:t>
      </w:r>
    </w:p>
    <w:p>
      <w:pPr>
        <w:spacing w:after="0" w:before="0" w:line="240" w:lineRule="auto"/>
        <w:ind w:left="57"/>
        <w:jc w:val="left"/>
        <w:shd w:val="clear" w:fill="F2F2F2"/>
      </w:pPr>
      <w:r>
        <w:rPr>
          <w:rFonts w:ascii="Consolas" w:hAnsi="Consolas" w:cs="Consolas"/>
          <w:b w:val="0"/>
          <w:i w:val="0"/>
          <w:sz w:val="15"/>
        </w:rPr>
        <w:t xml:space="preserve">     • Export customs clearance</w:t>
      </w:r>
    </w:p>
    <w:p>
      <w:pPr>
        <w:spacing w:after="0" w:before="0" w:line="240" w:lineRule="auto"/>
        <w:ind w:left="57"/>
        <w:jc w:val="left"/>
        <w:shd w:val="clear" w:fill="F2F2F2"/>
      </w:pPr>
      <w:r>
        <w:rPr>
          <w:rFonts w:ascii="Consolas" w:hAnsi="Consolas" w:cs="Consolas"/>
          <w:b w:val="0"/>
          <w:i w:val="0"/>
          <w:sz w:val="15"/>
        </w:rPr>
        <w:t xml:space="preserve">     • Trucking to port of loading</w:t>
      </w:r>
    </w:p>
    <w:p>
      <w:pPr>
        <w:spacing w:after="0" w:before="0" w:line="240" w:lineRule="auto"/>
        <w:ind w:left="57"/>
        <w:jc w:val="left"/>
        <w:shd w:val="clear" w:fill="F2F2F2"/>
      </w:pPr>
      <w:r>
        <w:rPr>
          <w:rFonts w:ascii="Consolas" w:hAnsi="Consolas" w:cs="Consolas"/>
          <w:b w:val="0"/>
          <w:i w:val="0"/>
          <w:sz w:val="15"/>
        </w:rPr>
        <w:t xml:space="preserve">     • Ocean freight to destination port</w:t>
      </w:r>
    </w:p>
    <w:p>
      <w:pPr>
        <w:spacing w:after="0" w:before="0" w:line="240" w:lineRule="auto"/>
        <w:ind w:left="57"/>
        <w:jc w:val="left"/>
        <w:shd w:val="clear" w:fill="F2F2F2"/>
      </w:pPr>
      <w:r>
        <w:rPr>
          <w:rFonts w:ascii="Consolas" w:hAnsi="Consolas" w:cs="Consolas"/>
          <w:b w:val="0"/>
          <w:i w:val="0"/>
          <w:sz w:val="15"/>
        </w:rPr>
        <w:t xml:space="preserve">     Buyer is responsible for:</w:t>
      </w:r>
    </w:p>
    <w:p>
      <w:pPr>
        <w:spacing w:after="0" w:before="0" w:line="240" w:lineRule="auto"/>
        <w:ind w:left="57"/>
        <w:jc w:val="left"/>
        <w:shd w:val="clear" w:fill="F2F2F2"/>
      </w:pPr>
      <w:r>
        <w:rPr>
          <w:rFonts w:ascii="Consolas" w:hAnsi="Consolas" w:cs="Consolas"/>
          <w:b w:val="0"/>
          <w:i w:val="0"/>
          <w:sz w:val="15"/>
        </w:rPr>
        <w:t xml:space="preserve">     • Import customs clearance</w:t>
      </w:r>
    </w:p>
    <w:p>
      <w:pPr>
        <w:spacing w:after="0" w:before="0" w:line="240" w:lineRule="auto"/>
        <w:ind w:left="57"/>
        <w:jc w:val="left"/>
        <w:shd w:val="clear" w:fill="F2F2F2"/>
      </w:pPr>
      <w:r>
        <w:rPr>
          <w:rFonts w:ascii="Consolas" w:hAnsi="Consolas" w:cs="Consolas"/>
          <w:b w:val="0"/>
          <w:i w:val="0"/>
          <w:sz w:val="15"/>
        </w:rPr>
        <w:t xml:space="preserve">     • Destination charges</w:t>
      </w:r>
    </w:p>
    <w:p>
      <w:pPr>
        <w:spacing w:after="0" w:before="0" w:line="240" w:lineRule="auto"/>
        <w:ind w:left="57"/>
        <w:jc w:val="left"/>
        <w:shd w:val="clear" w:fill="F2F2F2"/>
      </w:pPr>
      <w:r>
        <w:rPr>
          <w:rFonts w:ascii="Consolas" w:hAnsi="Consolas" w:cs="Consolas"/>
          <w:b w:val="0"/>
          <w:i w:val="0"/>
          <w:sz w:val="15"/>
        </w:rPr>
        <w:t xml:space="preserve">     • Insurance (optional)</w:t>
      </w:r>
    </w:p>
    <w:p>
      <w:pPr>
        <w:spacing w:after="0" w:before="0" w:line="240" w:lineRule="auto"/>
        <w:ind w:left="57"/>
        <w:jc w:val="left"/>
        <w:shd w:val="clear" w:fill="F2F2F2"/>
      </w:pPr>
      <w:r>
        <w:rPr>
          <w:rFonts w:ascii="Consolas" w:hAnsi="Consolas" w:cs="Consolas"/>
          <w:b w:val="0"/>
          <w:i w:val="0"/>
          <w:sz w:val="15"/>
        </w:rPr>
        <w:t xml:space="preserve">  3. CONTAINERS ...</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6.4.3 Incoterms 2020 Reference Table</w:t>
      </w:r>
    </w:p>
    <w:p>
      <w:pPr>
        <w:spacing w:after="80" w:line="293" w:lineRule="auto"/>
        <w:jc w:val="left"/>
      </w:pPr>
      <w:r>
        <w:rPr>
          <w:rFonts w:ascii="Times New Roman" w:hAnsi="Times New Roman" w:cs="Times New Roman"/>
          <w:b w:val="0"/>
          <w:i w:val="0"/>
          <w:sz w:val="22"/>
        </w:rPr>
        <w:t>The following table defines the complete incoterm rules used by the validation engine. The machine-readable authoritative source is the `incoterm_rules` table, maintained by the RIA.</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Incoterm</w:t>
            </w:r>
          </w:p>
        </w:tc>
        <w:tc>
          <w:tcPr>
            <w:tcW w:type="dxa" w:w="1928"/>
            <w:shd w:val="clear" w:fill="D9E2F3"/>
          </w:tcPr>
          <w:p>
            <w:pPr>
              <w:spacing w:after="20" w:before="20" w:line="240" w:lineRule="auto"/>
            </w:pPr>
            <w:r/>
            <w:r>
              <w:rPr>
                <w:rFonts w:ascii="Arial" w:hAnsi="Arial" w:cs="Arial"/>
                <w:b/>
                <w:i w:val="0"/>
                <w:sz w:val="18"/>
              </w:rPr>
              <w:t>Full Name</w:t>
            </w:r>
          </w:p>
        </w:tc>
        <w:tc>
          <w:tcPr>
            <w:tcW w:type="dxa" w:w="1928"/>
            <w:shd w:val="clear" w:fill="D9E2F3"/>
          </w:tcPr>
          <w:p>
            <w:pPr>
              <w:spacing w:after="20" w:before="20" w:line="240" w:lineRule="auto"/>
            </w:pPr>
            <w:r/>
            <w:r>
              <w:rPr>
                <w:rFonts w:ascii="Arial" w:hAnsi="Arial" w:cs="Arial"/>
                <w:b/>
                <w:i w:val="0"/>
                <w:sz w:val="18"/>
              </w:rPr>
              <w:t>Delivery / Risk Transfer Point</w:t>
            </w:r>
          </w:p>
        </w:tc>
        <w:tc>
          <w:tcPr>
            <w:tcW w:type="dxa" w:w="1928"/>
            <w:shd w:val="clear" w:fill="D9E2F3"/>
          </w:tcPr>
          <w:p>
            <w:pPr>
              <w:spacing w:after="20" w:before="20" w:line="240" w:lineRule="auto"/>
            </w:pPr>
            <w:r/>
            <w:r>
              <w:rPr>
                <w:rFonts w:ascii="Arial" w:hAnsi="Arial" w:cs="Arial"/>
                <w:b/>
                <w:i w:val="0"/>
                <w:sz w:val="18"/>
              </w:rPr>
              <w:t>Seller's Mandatory Scope</w:t>
            </w:r>
          </w:p>
        </w:tc>
        <w:tc>
          <w:tcPr>
            <w:tcW w:type="dxa" w:w="1928"/>
            <w:shd w:val="clear" w:fill="D9E2F3"/>
          </w:tcPr>
          <w:p>
            <w:pPr>
              <w:spacing w:after="20" w:before="20" w:line="240" w:lineRule="auto"/>
            </w:pPr>
            <w:r/>
            <w:r>
              <w:rPr>
                <w:rFonts w:ascii="Arial" w:hAnsi="Arial" w:cs="Arial"/>
                <w:b/>
                <w:i w:val="0"/>
                <w:sz w:val="18"/>
              </w:rPr>
              <w:t>Notes</w:t>
            </w:r>
          </w:p>
        </w:tc>
      </w:tr>
      <w:tr>
        <w:tc>
          <w:tcPr>
            <w:tcW w:type="dxa" w:w="1928"/>
          </w:tcPr>
          <w:p>
            <w:pPr>
              <w:spacing w:after="20" w:before="20" w:line="240" w:lineRule="auto"/>
            </w:pPr>
            <w:r/>
            <w:r>
              <w:rPr>
                <w:rFonts w:ascii="Arial" w:hAnsi="Arial" w:cs="Arial"/>
                <w:b w:val="0"/>
                <w:i w:val="0"/>
                <w:sz w:val="17"/>
              </w:rPr>
              <w:t>EXW</w:t>
            </w:r>
          </w:p>
        </w:tc>
        <w:tc>
          <w:tcPr>
            <w:tcW w:type="dxa" w:w="1928"/>
          </w:tcPr>
          <w:p>
            <w:pPr>
              <w:spacing w:after="20" w:before="20" w:line="240" w:lineRule="auto"/>
            </w:pPr>
            <w:r/>
            <w:r>
              <w:rPr>
                <w:rFonts w:ascii="Arial" w:hAnsi="Arial" w:cs="Arial"/>
                <w:b w:val="0"/>
                <w:i w:val="0"/>
                <w:sz w:val="17"/>
              </w:rPr>
              <w:t>Ex Works</w:t>
            </w:r>
          </w:p>
        </w:tc>
        <w:tc>
          <w:tcPr>
            <w:tcW w:type="dxa" w:w="1928"/>
          </w:tcPr>
          <w:p>
            <w:pPr>
              <w:spacing w:after="20" w:before="20" w:line="240" w:lineRule="auto"/>
            </w:pPr>
            <w:r/>
            <w:r>
              <w:rPr>
                <w:rFonts w:ascii="Arial" w:hAnsi="Arial" w:cs="Arial"/>
                <w:b w:val="0"/>
                <w:i w:val="0"/>
                <w:sz w:val="17"/>
              </w:rPr>
              <w:t>Goods placed at seller's disposal at seller's premises</w:t>
            </w:r>
          </w:p>
        </w:tc>
        <w:tc>
          <w:tcPr>
            <w:tcW w:type="dxa" w:w="1928"/>
          </w:tcPr>
          <w:p>
            <w:pPr>
              <w:spacing w:after="20" w:before="20" w:line="240" w:lineRule="auto"/>
            </w:pPr>
            <w:r/>
            <w:r>
              <w:rPr>
                <w:rFonts w:ascii="Arial" w:hAnsi="Arial" w:cs="Arial"/>
                <w:b w:val="0"/>
                <w:i w:val="0"/>
                <w:sz w:val="17"/>
              </w:rPr>
              <w:t>None (loading, export clearance, and all transport are the buyer's)</w:t>
            </w:r>
          </w:p>
        </w:tc>
        <w:tc>
          <w:tcPr>
            <w:tcW w:type="dxa" w:w="1928"/>
          </w:tcPr>
          <w:p>
            <w:pPr>
              <w:spacing w:after="20" w:before="20" w:line="240" w:lineRule="auto"/>
            </w:pPr>
            <w:r/>
            <w:r>
              <w:rPr>
                <w:rFonts w:ascii="Arial" w:hAnsi="Arial" w:cs="Arial"/>
                <w:b w:val="0"/>
                <w:i w:val="0"/>
                <w:sz w:val="17"/>
              </w:rPr>
              <w:t>Minimum seller obligation</w:t>
            </w:r>
          </w:p>
        </w:tc>
      </w:tr>
      <w:tr>
        <w:tc>
          <w:tcPr>
            <w:tcW w:type="dxa" w:w="1928"/>
          </w:tcPr>
          <w:p>
            <w:pPr>
              <w:spacing w:after="20" w:before="20" w:line="240" w:lineRule="auto"/>
            </w:pPr>
            <w:r/>
            <w:r>
              <w:rPr>
                <w:rFonts w:ascii="Arial" w:hAnsi="Arial" w:cs="Arial"/>
                <w:b w:val="0"/>
                <w:i w:val="0"/>
                <w:sz w:val="17"/>
              </w:rPr>
              <w:t>FOB</w:t>
            </w:r>
          </w:p>
        </w:tc>
        <w:tc>
          <w:tcPr>
            <w:tcW w:type="dxa" w:w="1928"/>
          </w:tcPr>
          <w:p>
            <w:pPr>
              <w:spacing w:after="20" w:before="20" w:line="240" w:lineRule="auto"/>
            </w:pPr>
            <w:r/>
            <w:r>
              <w:rPr>
                <w:rFonts w:ascii="Arial" w:hAnsi="Arial" w:cs="Arial"/>
                <w:b w:val="0"/>
                <w:i w:val="0"/>
                <w:sz w:val="17"/>
              </w:rPr>
              <w:t>Free On Board</w:t>
            </w:r>
          </w:p>
        </w:tc>
        <w:tc>
          <w:tcPr>
            <w:tcW w:type="dxa" w:w="1928"/>
          </w:tcPr>
          <w:p>
            <w:pPr>
              <w:spacing w:after="20" w:before="20" w:line="240" w:lineRule="auto"/>
            </w:pPr>
            <w:r/>
            <w:r>
              <w:rPr>
                <w:rFonts w:ascii="Arial" w:hAnsi="Arial" w:cs="Arial"/>
                <w:b w:val="0"/>
                <w:i w:val="0"/>
                <w:sz w:val="17"/>
              </w:rPr>
              <w:t>On board the vessel at the named port of loading</w:t>
            </w:r>
          </w:p>
        </w:tc>
        <w:tc>
          <w:tcPr>
            <w:tcW w:type="dxa" w:w="1928"/>
          </w:tcPr>
          <w:p>
            <w:pPr>
              <w:spacing w:after="20" w:before="20" w:line="240" w:lineRule="auto"/>
            </w:pPr>
            <w:r/>
            <w:r>
              <w:rPr>
                <w:rFonts w:ascii="Arial" w:hAnsi="Arial" w:cs="Arial"/>
                <w:b w:val="0"/>
                <w:i w:val="0"/>
                <w:sz w:val="17"/>
              </w:rPr>
              <w:t>Export customs clearance, trucking to port, THC</w:t>
            </w:r>
          </w:p>
        </w:tc>
        <w:tc>
          <w:tcPr>
            <w:tcW w:type="dxa" w:w="1928"/>
          </w:tcPr>
          <w:p>
            <w:pPr>
              <w:spacing w:after="20" w:before="20" w:line="240" w:lineRule="auto"/>
            </w:pPr>
            <w:r/>
            <w:r>
              <w:rPr>
                <w:rFonts w:ascii="Arial" w:hAnsi="Arial" w:cs="Arial"/>
                <w:b w:val="0"/>
                <w:i w:val="0"/>
                <w:sz w:val="17"/>
              </w:rPr>
              <w:t>Ocean/river modes</w:t>
            </w:r>
          </w:p>
        </w:tc>
      </w:tr>
      <w:tr>
        <w:tc>
          <w:tcPr>
            <w:tcW w:type="dxa" w:w="1928"/>
          </w:tcPr>
          <w:p>
            <w:pPr>
              <w:spacing w:after="20" w:before="20" w:line="240" w:lineRule="auto"/>
            </w:pPr>
            <w:r/>
            <w:r>
              <w:rPr>
                <w:rFonts w:ascii="Arial" w:hAnsi="Arial" w:cs="Arial"/>
                <w:b w:val="0"/>
                <w:i w:val="0"/>
                <w:sz w:val="17"/>
              </w:rPr>
              <w:t>CFR</w:t>
            </w:r>
          </w:p>
        </w:tc>
        <w:tc>
          <w:tcPr>
            <w:tcW w:type="dxa" w:w="1928"/>
          </w:tcPr>
          <w:p>
            <w:pPr>
              <w:spacing w:after="20" w:before="20" w:line="240" w:lineRule="auto"/>
            </w:pPr>
            <w:r/>
            <w:r>
              <w:rPr>
                <w:rFonts w:ascii="Arial" w:hAnsi="Arial" w:cs="Arial"/>
                <w:b w:val="0"/>
                <w:i w:val="0"/>
                <w:sz w:val="17"/>
              </w:rPr>
              <w:t>Cost and Freight</w:t>
            </w:r>
          </w:p>
        </w:tc>
        <w:tc>
          <w:tcPr>
            <w:tcW w:type="dxa" w:w="1928"/>
          </w:tcPr>
          <w:p>
            <w:pPr>
              <w:spacing w:after="20" w:before="20" w:line="240" w:lineRule="auto"/>
            </w:pPr>
            <w:r/>
            <w:r>
              <w:rPr>
                <w:rFonts w:ascii="Arial" w:hAnsi="Arial" w:cs="Arial"/>
                <w:b w:val="0"/>
                <w:i w:val="0"/>
                <w:sz w:val="17"/>
              </w:rPr>
              <w:t>On board the vessel; seller pays freight to destination port</w:t>
            </w:r>
          </w:p>
        </w:tc>
        <w:tc>
          <w:tcPr>
            <w:tcW w:type="dxa" w:w="1928"/>
          </w:tcPr>
          <w:p>
            <w:pPr>
              <w:spacing w:after="20" w:before="20" w:line="240" w:lineRule="auto"/>
            </w:pPr>
            <w:r/>
            <w:r>
              <w:rPr>
                <w:rFonts w:ascii="Arial" w:hAnsi="Arial" w:cs="Arial"/>
                <w:b w:val="0"/>
                <w:i w:val="0"/>
                <w:sz w:val="17"/>
              </w:rPr>
              <w:t>Export customs clearance, trucking, THC, ocean freight</w:t>
            </w:r>
          </w:p>
        </w:tc>
        <w:tc>
          <w:tcPr>
            <w:tcW w:type="dxa" w:w="1928"/>
          </w:tcPr>
          <w:p>
            <w:pPr>
              <w:spacing w:after="20" w:before="20" w:line="240" w:lineRule="auto"/>
            </w:pPr>
            <w:r/>
            <w:r>
              <w:rPr>
                <w:rFonts w:ascii="Arial" w:hAnsi="Arial" w:cs="Arial"/>
                <w:b w:val="0"/>
                <w:i w:val="0"/>
                <w:sz w:val="17"/>
              </w:rPr>
              <w:t>Insurance is the buyer's option</w:t>
            </w:r>
          </w:p>
        </w:tc>
      </w:tr>
      <w:tr>
        <w:tc>
          <w:tcPr>
            <w:tcW w:type="dxa" w:w="1928"/>
          </w:tcPr>
          <w:p>
            <w:pPr>
              <w:spacing w:after="20" w:before="20" w:line="240" w:lineRule="auto"/>
            </w:pPr>
            <w:r/>
            <w:r>
              <w:rPr>
                <w:rFonts w:ascii="Arial" w:hAnsi="Arial" w:cs="Arial"/>
                <w:b w:val="0"/>
                <w:i w:val="0"/>
                <w:sz w:val="17"/>
              </w:rPr>
              <w:t>CIF</w:t>
            </w:r>
          </w:p>
        </w:tc>
        <w:tc>
          <w:tcPr>
            <w:tcW w:type="dxa" w:w="1928"/>
          </w:tcPr>
          <w:p>
            <w:pPr>
              <w:spacing w:after="20" w:before="20" w:line="240" w:lineRule="auto"/>
            </w:pPr>
            <w:r/>
            <w:r>
              <w:rPr>
                <w:rFonts w:ascii="Arial" w:hAnsi="Arial" w:cs="Arial"/>
                <w:b w:val="0"/>
                <w:i w:val="0"/>
                <w:sz w:val="17"/>
              </w:rPr>
              <w:t>Cost, Insurance and Freight</w:t>
            </w:r>
          </w:p>
        </w:tc>
        <w:tc>
          <w:tcPr>
            <w:tcW w:type="dxa" w:w="1928"/>
          </w:tcPr>
          <w:p>
            <w:pPr>
              <w:spacing w:after="20" w:before="20" w:line="240" w:lineRule="auto"/>
            </w:pPr>
            <w:r/>
            <w:r>
              <w:rPr>
                <w:rFonts w:ascii="Arial" w:hAnsi="Arial" w:cs="Arial"/>
                <w:b w:val="0"/>
                <w:i w:val="0"/>
                <w:sz w:val="17"/>
              </w:rPr>
              <w:t>On board the vessel; seller pays freight and insurance</w:t>
            </w:r>
          </w:p>
        </w:tc>
        <w:tc>
          <w:tcPr>
            <w:tcW w:type="dxa" w:w="1928"/>
          </w:tcPr>
          <w:p>
            <w:pPr>
              <w:spacing w:after="20" w:before="20" w:line="240" w:lineRule="auto"/>
            </w:pPr>
            <w:r/>
            <w:r>
              <w:rPr>
                <w:rFonts w:ascii="Arial" w:hAnsi="Arial" w:cs="Arial"/>
                <w:b w:val="0"/>
                <w:i w:val="0"/>
                <w:sz w:val="17"/>
              </w:rPr>
              <w:t>CFR scope + insurance (minimum ICC(A)-equivalent cover, 110% of value)</w:t>
            </w:r>
          </w:p>
        </w:tc>
        <w:tc>
          <w:tcPr>
            <w:tcW w:type="dxa" w:w="1928"/>
          </w:tcPr>
          <w:p>
            <w:pPr>
              <w:spacing w:after="20" w:before="20" w:line="240" w:lineRule="auto"/>
            </w:pPr>
            <w:r/>
            <w:r>
              <w:rPr>
                <w:rFonts w:ascii="Arial" w:hAnsi="Arial" w:cs="Arial"/>
                <w:b w:val="0"/>
                <w:i w:val="0"/>
                <w:sz w:val="17"/>
              </w:rPr>
              <w:t>Insurance mandatory for seller</w:t>
            </w:r>
          </w:p>
        </w:tc>
      </w:tr>
      <w:tr>
        <w:tc>
          <w:tcPr>
            <w:tcW w:type="dxa" w:w="1928"/>
          </w:tcPr>
          <w:p>
            <w:pPr>
              <w:spacing w:after="20" w:before="20" w:line="240" w:lineRule="auto"/>
            </w:pPr>
            <w:r/>
            <w:r>
              <w:rPr>
                <w:rFonts w:ascii="Arial" w:hAnsi="Arial" w:cs="Arial"/>
                <w:b w:val="0"/>
                <w:i w:val="0"/>
                <w:sz w:val="17"/>
              </w:rPr>
              <w:t>CPT</w:t>
            </w:r>
          </w:p>
        </w:tc>
        <w:tc>
          <w:tcPr>
            <w:tcW w:type="dxa" w:w="1928"/>
          </w:tcPr>
          <w:p>
            <w:pPr>
              <w:spacing w:after="20" w:before="20" w:line="240" w:lineRule="auto"/>
            </w:pPr>
            <w:r/>
            <w:r>
              <w:rPr>
                <w:rFonts w:ascii="Arial" w:hAnsi="Arial" w:cs="Arial"/>
                <w:b w:val="0"/>
                <w:i w:val="0"/>
                <w:sz w:val="17"/>
              </w:rPr>
              <w:t>Carriage Paid To</w:t>
            </w:r>
          </w:p>
        </w:tc>
        <w:tc>
          <w:tcPr>
            <w:tcW w:type="dxa" w:w="1928"/>
          </w:tcPr>
          <w:p>
            <w:pPr>
              <w:spacing w:after="20" w:before="20" w:line="240" w:lineRule="auto"/>
            </w:pPr>
            <w:r/>
            <w:r>
              <w:rPr>
                <w:rFonts w:ascii="Arial" w:hAnsi="Arial" w:cs="Arial"/>
                <w:b w:val="0"/>
                <w:i w:val="0"/>
                <w:sz w:val="17"/>
              </w:rPr>
              <w:t>Handover to the first carrier; seller pays carriage to destination</w:t>
            </w:r>
          </w:p>
        </w:tc>
        <w:tc>
          <w:tcPr>
            <w:tcW w:type="dxa" w:w="1928"/>
          </w:tcPr>
          <w:p>
            <w:pPr>
              <w:spacing w:after="20" w:before="20" w:line="240" w:lineRule="auto"/>
            </w:pPr>
            <w:r/>
            <w:r>
              <w:rPr>
                <w:rFonts w:ascii="Arial" w:hAnsi="Arial" w:cs="Arial"/>
                <w:b w:val="0"/>
                <w:i w:val="0"/>
                <w:sz w:val="17"/>
              </w:rPr>
              <w:t>Export clearance, origin transport, main carriage</w:t>
            </w:r>
          </w:p>
        </w:tc>
        <w:tc>
          <w:tcPr>
            <w:tcW w:type="dxa" w:w="1928"/>
          </w:tcPr>
          <w:p>
            <w:pPr>
              <w:spacing w:after="20" w:before="20" w:line="240" w:lineRule="auto"/>
            </w:pPr>
            <w:r/>
            <w:r>
              <w:rPr>
                <w:rFonts w:ascii="Arial" w:hAnsi="Arial" w:cs="Arial"/>
                <w:b w:val="0"/>
                <w:i w:val="0"/>
                <w:sz w:val="17"/>
              </w:rPr>
              <w:t>Any transport mode</w:t>
            </w:r>
          </w:p>
        </w:tc>
      </w:tr>
      <w:tr>
        <w:tc>
          <w:tcPr>
            <w:tcW w:type="dxa" w:w="1928"/>
          </w:tcPr>
          <w:p>
            <w:pPr>
              <w:spacing w:after="20" w:before="20" w:line="240" w:lineRule="auto"/>
            </w:pPr>
            <w:r/>
            <w:r>
              <w:rPr>
                <w:rFonts w:ascii="Arial" w:hAnsi="Arial" w:cs="Arial"/>
                <w:b w:val="0"/>
                <w:i w:val="0"/>
                <w:sz w:val="17"/>
              </w:rPr>
              <w:t>CIP</w:t>
            </w:r>
          </w:p>
        </w:tc>
        <w:tc>
          <w:tcPr>
            <w:tcW w:type="dxa" w:w="1928"/>
          </w:tcPr>
          <w:p>
            <w:pPr>
              <w:spacing w:after="20" w:before="20" w:line="240" w:lineRule="auto"/>
            </w:pPr>
            <w:r/>
            <w:r>
              <w:rPr>
                <w:rFonts w:ascii="Arial" w:hAnsi="Arial" w:cs="Arial"/>
                <w:b w:val="0"/>
                <w:i w:val="0"/>
                <w:sz w:val="17"/>
              </w:rPr>
              <w:t>Carriage and Insurance Paid To</w:t>
            </w:r>
          </w:p>
        </w:tc>
        <w:tc>
          <w:tcPr>
            <w:tcW w:type="dxa" w:w="1928"/>
          </w:tcPr>
          <w:p>
            <w:pPr>
              <w:spacing w:after="20" w:before="20" w:line="240" w:lineRule="auto"/>
            </w:pPr>
            <w:r/>
            <w:r>
              <w:rPr>
                <w:rFonts w:ascii="Arial" w:hAnsi="Arial" w:cs="Arial"/>
                <w:b w:val="0"/>
                <w:i w:val="0"/>
                <w:sz w:val="17"/>
              </w:rPr>
              <w:t>Handover to the first carrier; seller pays carriage and insurance</w:t>
            </w:r>
          </w:p>
        </w:tc>
        <w:tc>
          <w:tcPr>
            <w:tcW w:type="dxa" w:w="1928"/>
          </w:tcPr>
          <w:p>
            <w:pPr>
              <w:spacing w:after="20" w:before="20" w:line="240" w:lineRule="auto"/>
            </w:pPr>
            <w:r/>
            <w:r>
              <w:rPr>
                <w:rFonts w:ascii="Arial" w:hAnsi="Arial" w:cs="Arial"/>
                <w:b w:val="0"/>
                <w:i w:val="0"/>
                <w:sz w:val="17"/>
              </w:rPr>
              <w:t>CPT scope + insurance</w:t>
            </w:r>
          </w:p>
        </w:tc>
        <w:tc>
          <w:tcPr>
            <w:tcW w:type="dxa" w:w="1928"/>
          </w:tcPr>
          <w:p>
            <w:pPr>
              <w:spacing w:after="20" w:before="20" w:line="240" w:lineRule="auto"/>
            </w:pPr>
            <w:r/>
            <w:r>
              <w:rPr>
                <w:rFonts w:ascii="Arial" w:hAnsi="Arial" w:cs="Arial"/>
                <w:b w:val="0"/>
                <w:i w:val="0"/>
                <w:sz w:val="17"/>
              </w:rPr>
              <w:t>Any transport mode</w:t>
            </w:r>
          </w:p>
        </w:tc>
      </w:tr>
      <w:tr>
        <w:tc>
          <w:tcPr>
            <w:tcW w:type="dxa" w:w="1928"/>
          </w:tcPr>
          <w:p>
            <w:pPr>
              <w:spacing w:after="20" w:before="20" w:line="240" w:lineRule="auto"/>
            </w:pPr>
            <w:r/>
            <w:r>
              <w:rPr>
                <w:rFonts w:ascii="Arial" w:hAnsi="Arial" w:cs="Arial"/>
                <w:b w:val="0"/>
                <w:i w:val="0"/>
                <w:sz w:val="17"/>
              </w:rPr>
              <w:t>DAP</w:t>
            </w:r>
          </w:p>
        </w:tc>
        <w:tc>
          <w:tcPr>
            <w:tcW w:type="dxa" w:w="1928"/>
          </w:tcPr>
          <w:p>
            <w:pPr>
              <w:spacing w:after="20" w:before="20" w:line="240" w:lineRule="auto"/>
            </w:pPr>
            <w:r/>
            <w:r>
              <w:rPr>
                <w:rFonts w:ascii="Arial" w:hAnsi="Arial" w:cs="Arial"/>
                <w:b w:val="0"/>
                <w:i w:val="0"/>
                <w:sz w:val="17"/>
              </w:rPr>
              <w:t>Delivered At Place</w:t>
            </w:r>
          </w:p>
        </w:tc>
        <w:tc>
          <w:tcPr>
            <w:tcW w:type="dxa" w:w="1928"/>
          </w:tcPr>
          <w:p>
            <w:pPr>
              <w:spacing w:after="20" w:before="20" w:line="240" w:lineRule="auto"/>
            </w:pPr>
            <w:r/>
            <w:r>
              <w:rPr>
                <w:rFonts w:ascii="Arial" w:hAnsi="Arial" w:cs="Arial"/>
                <w:b w:val="0"/>
                <w:i w:val="0"/>
                <w:sz w:val="17"/>
              </w:rPr>
              <w:t>Goods available at the named destination place, ready for unloading</w:t>
            </w:r>
          </w:p>
        </w:tc>
        <w:tc>
          <w:tcPr>
            <w:tcW w:type="dxa" w:w="1928"/>
          </w:tcPr>
          <w:p>
            <w:pPr>
              <w:spacing w:after="20" w:before="20" w:line="240" w:lineRule="auto"/>
            </w:pPr>
            <w:r/>
            <w:r>
              <w:rPr>
                <w:rFonts w:ascii="Arial" w:hAnsi="Arial" w:cs="Arial"/>
                <w:b w:val="0"/>
                <w:i w:val="0"/>
                <w:sz w:val="17"/>
              </w:rPr>
              <w:t>All transport to destination, export clearance</w:t>
            </w:r>
          </w:p>
        </w:tc>
        <w:tc>
          <w:tcPr>
            <w:tcW w:type="dxa" w:w="1928"/>
          </w:tcPr>
          <w:p>
            <w:pPr>
              <w:spacing w:after="20" w:before="20" w:line="240" w:lineRule="auto"/>
            </w:pPr>
            <w:r/>
            <w:r>
              <w:rPr>
                <w:rFonts w:ascii="Arial" w:hAnsi="Arial" w:cs="Arial"/>
                <w:b w:val="0"/>
                <w:i w:val="0"/>
                <w:sz w:val="17"/>
              </w:rPr>
              <w:t>Import clearance is the buyer's</w:t>
            </w:r>
          </w:p>
        </w:tc>
      </w:tr>
      <w:tr>
        <w:tc>
          <w:tcPr>
            <w:tcW w:type="dxa" w:w="1928"/>
          </w:tcPr>
          <w:p>
            <w:pPr>
              <w:spacing w:after="20" w:before="20" w:line="240" w:lineRule="auto"/>
            </w:pPr>
            <w:r/>
            <w:r>
              <w:rPr>
                <w:rFonts w:ascii="Arial" w:hAnsi="Arial" w:cs="Arial"/>
                <w:b w:val="0"/>
                <w:i w:val="0"/>
                <w:sz w:val="17"/>
              </w:rPr>
              <w:t>DPU</w:t>
            </w:r>
          </w:p>
        </w:tc>
        <w:tc>
          <w:tcPr>
            <w:tcW w:type="dxa" w:w="1928"/>
          </w:tcPr>
          <w:p>
            <w:pPr>
              <w:spacing w:after="20" w:before="20" w:line="240" w:lineRule="auto"/>
            </w:pPr>
            <w:r/>
            <w:r>
              <w:rPr>
                <w:rFonts w:ascii="Arial" w:hAnsi="Arial" w:cs="Arial"/>
                <w:b w:val="0"/>
                <w:i w:val="0"/>
                <w:sz w:val="17"/>
              </w:rPr>
              <w:t>Delivered at Place Unloaded</w:t>
            </w:r>
          </w:p>
        </w:tc>
        <w:tc>
          <w:tcPr>
            <w:tcW w:type="dxa" w:w="1928"/>
          </w:tcPr>
          <w:p>
            <w:pPr>
              <w:spacing w:after="20" w:before="20" w:line="240" w:lineRule="auto"/>
            </w:pPr>
            <w:r/>
            <w:r>
              <w:rPr>
                <w:rFonts w:ascii="Arial" w:hAnsi="Arial" w:cs="Arial"/>
                <w:b w:val="0"/>
                <w:i w:val="0"/>
                <w:sz w:val="17"/>
              </w:rPr>
              <w:t>Goods unloaded at the named destination place</w:t>
            </w:r>
          </w:p>
        </w:tc>
        <w:tc>
          <w:tcPr>
            <w:tcW w:type="dxa" w:w="1928"/>
          </w:tcPr>
          <w:p>
            <w:pPr>
              <w:spacing w:after="20" w:before="20" w:line="240" w:lineRule="auto"/>
            </w:pPr>
            <w:r/>
            <w:r>
              <w:rPr>
                <w:rFonts w:ascii="Arial" w:hAnsi="Arial" w:cs="Arial"/>
                <w:b w:val="0"/>
                <w:i w:val="0"/>
                <w:sz w:val="17"/>
              </w:rPr>
              <w:t>DAP scope + unloading</w:t>
            </w:r>
          </w:p>
        </w:tc>
        <w:tc>
          <w:tcPr>
            <w:tcW w:type="dxa" w:w="1928"/>
          </w:tcPr>
          <w:p>
            <w:pPr>
              <w:spacing w:after="20" w:before="20" w:line="240" w:lineRule="auto"/>
            </w:pPr>
            <w:r/>
            <w:r>
              <w:rPr>
                <w:rFonts w:ascii="Arial" w:hAnsi="Arial" w:cs="Arial"/>
                <w:b w:val="0"/>
                <w:i w:val="0"/>
                <w:sz w:val="17"/>
              </w:rPr>
              <w:t>Only incoterm placing unloading on the seller</w:t>
            </w:r>
          </w:p>
        </w:tc>
      </w:tr>
      <w:tr>
        <w:tc>
          <w:tcPr>
            <w:tcW w:type="dxa" w:w="1928"/>
          </w:tcPr>
          <w:p>
            <w:pPr>
              <w:spacing w:after="20" w:before="20" w:line="240" w:lineRule="auto"/>
            </w:pPr>
            <w:r/>
            <w:r>
              <w:rPr>
                <w:rFonts w:ascii="Arial" w:hAnsi="Arial" w:cs="Arial"/>
                <w:b w:val="0"/>
                <w:i w:val="0"/>
                <w:sz w:val="17"/>
              </w:rPr>
              <w:t>DDP</w:t>
            </w:r>
          </w:p>
        </w:tc>
        <w:tc>
          <w:tcPr>
            <w:tcW w:type="dxa" w:w="1928"/>
          </w:tcPr>
          <w:p>
            <w:pPr>
              <w:spacing w:after="20" w:before="20" w:line="240" w:lineRule="auto"/>
            </w:pPr>
            <w:r/>
            <w:r>
              <w:rPr>
                <w:rFonts w:ascii="Arial" w:hAnsi="Arial" w:cs="Arial"/>
                <w:b w:val="0"/>
                <w:i w:val="0"/>
                <w:sz w:val="17"/>
              </w:rPr>
              <w:t>Delivered Duty Paid</w:t>
            </w:r>
          </w:p>
        </w:tc>
        <w:tc>
          <w:tcPr>
            <w:tcW w:type="dxa" w:w="1928"/>
          </w:tcPr>
          <w:p>
            <w:pPr>
              <w:spacing w:after="20" w:before="20" w:line="240" w:lineRule="auto"/>
            </w:pPr>
            <w:r/>
            <w:r>
              <w:rPr>
                <w:rFonts w:ascii="Arial" w:hAnsi="Arial" w:cs="Arial"/>
                <w:b w:val="0"/>
                <w:i w:val="0"/>
                <w:sz w:val="17"/>
              </w:rPr>
              <w:t>Goods available at the named destination place, cleared for import</w:t>
            </w:r>
          </w:p>
        </w:tc>
        <w:tc>
          <w:tcPr>
            <w:tcW w:type="dxa" w:w="1928"/>
          </w:tcPr>
          <w:p>
            <w:pPr>
              <w:spacing w:after="20" w:before="20" w:line="240" w:lineRule="auto"/>
            </w:pPr>
            <w:r/>
            <w:r>
              <w:rPr>
                <w:rFonts w:ascii="Arial" w:hAnsi="Arial" w:cs="Arial"/>
                <w:b w:val="0"/>
                <w:i w:val="0"/>
                <w:sz w:val="17"/>
              </w:rPr>
              <w:t>All transport, export and import clearance, duties and taxes</w:t>
            </w:r>
          </w:p>
        </w:tc>
        <w:tc>
          <w:tcPr>
            <w:tcW w:type="dxa" w:w="1928"/>
          </w:tcPr>
          <w:p>
            <w:pPr>
              <w:spacing w:after="20" w:before="20" w:line="240" w:lineRule="auto"/>
            </w:pPr>
            <w:r/>
            <w:r>
              <w:rPr>
                <w:rFonts w:ascii="Arial" w:hAnsi="Arial" w:cs="Arial"/>
                <w:b w:val="0"/>
                <w:i w:val="0"/>
                <w:sz w:val="17"/>
              </w:rPr>
              <w:t>Maximum seller obligation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6.4.4 Mandatory Logistics Services by Incoterm</w:t>
      </w:r>
    </w:p>
    <w:p>
      <w:pPr>
        <w:spacing w:after="80" w:line="293" w:lineRule="auto"/>
        <w:jc w:val="left"/>
      </w:pPr>
      <w:r>
        <w:rPr>
          <w:rFonts w:ascii="Times New Roman" w:hAnsi="Times New Roman" w:cs="Times New Roman"/>
          <w:b w:val="0"/>
          <w:i w:val="0"/>
          <w:sz w:val="22"/>
        </w:rPr>
        <w:t>The following matrix defines which logistics services are mandatory (the seller must include them in the quote) for each incoterm. This is enforced by the WasmEdge `incoterms_engine.wasm` module at quote submission (Section 8).</w:t>
      </w:r>
    </w:p>
    <w:tbl>
      <w:tblPr>
        <w:tblStyle w:val="TableGrid"/>
        <w:tblW w:type="auto" w:w="0"/>
        <w:jc w:val="left"/>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D9E2F3"/>
          </w:tcPr>
          <w:p>
            <w:pPr>
              <w:spacing w:after="20" w:before="20" w:line="240" w:lineRule="auto"/>
            </w:pPr>
            <w:r/>
            <w:r>
              <w:rPr>
                <w:rFonts w:ascii="Arial" w:hAnsi="Arial" w:cs="Arial"/>
                <w:b/>
                <w:i w:val="0"/>
                <w:sz w:val="18"/>
              </w:rPr>
              <w:t>Incoterm</w:t>
            </w:r>
          </w:p>
        </w:tc>
        <w:tc>
          <w:tcPr>
            <w:tcW w:type="dxa" w:w="1071"/>
            <w:shd w:val="clear" w:fill="D9E2F3"/>
          </w:tcPr>
          <w:p>
            <w:pPr>
              <w:spacing w:after="20" w:before="20" w:line="240" w:lineRule="auto"/>
            </w:pPr>
            <w:r/>
            <w:r>
              <w:rPr>
                <w:rFonts w:ascii="Arial" w:hAnsi="Arial" w:cs="Arial"/>
                <w:b/>
                <w:i w:val="0"/>
                <w:sz w:val="18"/>
              </w:rPr>
              <w:t>Export Customs</w:t>
            </w:r>
          </w:p>
        </w:tc>
        <w:tc>
          <w:tcPr>
            <w:tcW w:type="dxa" w:w="1071"/>
            <w:shd w:val="clear" w:fill="D9E2F3"/>
          </w:tcPr>
          <w:p>
            <w:pPr>
              <w:spacing w:after="20" w:before="20" w:line="240" w:lineRule="auto"/>
            </w:pPr>
            <w:r/>
            <w:r>
              <w:rPr>
                <w:rFonts w:ascii="Arial" w:hAnsi="Arial" w:cs="Arial"/>
                <w:b/>
                <w:i w:val="0"/>
                <w:sz w:val="18"/>
              </w:rPr>
              <w:t>Trucking (origin)</w:t>
            </w:r>
          </w:p>
        </w:tc>
        <w:tc>
          <w:tcPr>
            <w:tcW w:type="dxa" w:w="1071"/>
            <w:shd w:val="clear" w:fill="D9E2F3"/>
          </w:tcPr>
          <w:p>
            <w:pPr>
              <w:spacing w:after="20" w:before="20" w:line="240" w:lineRule="auto"/>
            </w:pPr>
            <w:r/>
            <w:r>
              <w:rPr>
                <w:rFonts w:ascii="Arial" w:hAnsi="Arial" w:cs="Arial"/>
                <w:b/>
                <w:i w:val="0"/>
                <w:sz w:val="18"/>
              </w:rPr>
              <w:t>THC (origin)</w:t>
            </w:r>
          </w:p>
        </w:tc>
        <w:tc>
          <w:tcPr>
            <w:tcW w:type="dxa" w:w="1071"/>
            <w:shd w:val="clear" w:fill="D9E2F3"/>
          </w:tcPr>
          <w:p>
            <w:pPr>
              <w:spacing w:after="20" w:before="20" w:line="240" w:lineRule="auto"/>
            </w:pPr>
            <w:r/>
            <w:r>
              <w:rPr>
                <w:rFonts w:ascii="Arial" w:hAnsi="Arial" w:cs="Arial"/>
                <w:b/>
                <w:i w:val="0"/>
                <w:sz w:val="18"/>
              </w:rPr>
              <w:t>Ocean / Main Carriage</w:t>
            </w:r>
          </w:p>
        </w:tc>
        <w:tc>
          <w:tcPr>
            <w:tcW w:type="dxa" w:w="1071"/>
            <w:shd w:val="clear" w:fill="D9E2F3"/>
          </w:tcPr>
          <w:p>
            <w:pPr>
              <w:spacing w:after="20" w:before="20" w:line="240" w:lineRule="auto"/>
            </w:pPr>
            <w:r/>
            <w:r>
              <w:rPr>
                <w:rFonts w:ascii="Arial" w:hAnsi="Arial" w:cs="Arial"/>
                <w:b/>
                <w:i w:val="0"/>
                <w:sz w:val="18"/>
              </w:rPr>
              <w:t>Insurance</w:t>
            </w:r>
          </w:p>
        </w:tc>
        <w:tc>
          <w:tcPr>
            <w:tcW w:type="dxa" w:w="1071"/>
            <w:shd w:val="clear" w:fill="D9E2F3"/>
          </w:tcPr>
          <w:p>
            <w:pPr>
              <w:spacing w:after="20" w:before="20" w:line="240" w:lineRule="auto"/>
            </w:pPr>
            <w:r/>
            <w:r>
              <w:rPr>
                <w:rFonts w:ascii="Arial" w:hAnsi="Arial" w:cs="Arial"/>
                <w:b/>
                <w:i w:val="0"/>
                <w:sz w:val="18"/>
              </w:rPr>
              <w:t>Destination Charges</w:t>
            </w:r>
          </w:p>
        </w:tc>
        <w:tc>
          <w:tcPr>
            <w:tcW w:type="dxa" w:w="1071"/>
            <w:shd w:val="clear" w:fill="D9E2F3"/>
          </w:tcPr>
          <w:p>
            <w:pPr>
              <w:spacing w:after="20" w:before="20" w:line="240" w:lineRule="auto"/>
            </w:pPr>
            <w:r/>
            <w:r>
              <w:rPr>
                <w:rFonts w:ascii="Arial" w:hAnsi="Arial" w:cs="Arial"/>
                <w:b/>
                <w:i w:val="0"/>
                <w:sz w:val="18"/>
              </w:rPr>
              <w:t>Import Customs &amp; Duties</w:t>
            </w:r>
          </w:p>
        </w:tc>
        <w:tc>
          <w:tcPr>
            <w:tcW w:type="dxa" w:w="1071"/>
            <w:shd w:val="clear" w:fill="D9E2F3"/>
          </w:tcPr>
          <w:p>
            <w:pPr>
              <w:spacing w:after="20" w:before="20" w:line="240" w:lineRule="auto"/>
            </w:pPr>
            <w:r/>
            <w:r>
              <w:rPr>
                <w:rFonts w:ascii="Arial" w:hAnsi="Arial" w:cs="Arial"/>
                <w:b/>
                <w:i w:val="0"/>
                <w:sz w:val="18"/>
              </w:rPr>
              <w:t>Unloading</w:t>
            </w:r>
          </w:p>
        </w:tc>
      </w:tr>
      <w:tr>
        <w:tc>
          <w:tcPr>
            <w:tcW w:type="dxa" w:w="1071"/>
          </w:tcPr>
          <w:p>
            <w:pPr>
              <w:spacing w:after="20" w:before="20" w:line="240" w:lineRule="auto"/>
            </w:pPr>
            <w:r/>
            <w:r>
              <w:rPr>
                <w:rFonts w:ascii="Arial" w:hAnsi="Arial" w:cs="Arial"/>
                <w:b w:val="0"/>
                <w:i w:val="0"/>
                <w:sz w:val="17"/>
              </w:rPr>
              <w:t>EXW</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r>
      <w:tr>
        <w:tc>
          <w:tcPr>
            <w:tcW w:type="dxa" w:w="1071"/>
          </w:tcPr>
          <w:p>
            <w:pPr>
              <w:spacing w:after="20" w:before="20" w:line="240" w:lineRule="auto"/>
            </w:pPr>
            <w:r/>
            <w:r>
              <w:rPr>
                <w:rFonts w:ascii="Arial" w:hAnsi="Arial" w:cs="Arial"/>
                <w:b w:val="0"/>
                <w:i w:val="0"/>
                <w:sz w:val="17"/>
              </w:rPr>
              <w:t>FOB</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Optional</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r>
      <w:tr>
        <w:tc>
          <w:tcPr>
            <w:tcW w:type="dxa" w:w="1071"/>
          </w:tcPr>
          <w:p>
            <w:pPr>
              <w:spacing w:after="20" w:before="20" w:line="240" w:lineRule="auto"/>
            </w:pPr>
            <w:r/>
            <w:r>
              <w:rPr>
                <w:rFonts w:ascii="Arial" w:hAnsi="Arial" w:cs="Arial"/>
                <w:b w:val="0"/>
                <w:i w:val="0"/>
                <w:sz w:val="17"/>
              </w:rPr>
              <w:t>CFR</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Optional</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r>
      <w:tr>
        <w:tc>
          <w:tcPr>
            <w:tcW w:type="dxa" w:w="1071"/>
          </w:tcPr>
          <w:p>
            <w:pPr>
              <w:spacing w:after="20" w:before="20" w:line="240" w:lineRule="auto"/>
            </w:pPr>
            <w:r/>
            <w:r>
              <w:rPr>
                <w:rFonts w:ascii="Arial" w:hAnsi="Arial" w:cs="Arial"/>
                <w:b w:val="0"/>
                <w:i w:val="0"/>
                <w:sz w:val="17"/>
              </w:rPr>
              <w:t>CIF</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r>
      <w:tr>
        <w:tc>
          <w:tcPr>
            <w:tcW w:type="dxa" w:w="1071"/>
          </w:tcPr>
          <w:p>
            <w:pPr>
              <w:spacing w:after="20" w:before="20" w:line="240" w:lineRule="auto"/>
            </w:pPr>
            <w:r/>
            <w:r>
              <w:rPr>
                <w:rFonts w:ascii="Arial" w:hAnsi="Arial" w:cs="Arial"/>
                <w:b w:val="0"/>
                <w:i w:val="0"/>
                <w:sz w:val="17"/>
              </w:rPr>
              <w:t>CPT</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Optional</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r>
      <w:tr>
        <w:tc>
          <w:tcPr>
            <w:tcW w:type="dxa" w:w="1071"/>
          </w:tcPr>
          <w:p>
            <w:pPr>
              <w:spacing w:after="20" w:before="20" w:line="240" w:lineRule="auto"/>
            </w:pPr>
            <w:r/>
            <w:r>
              <w:rPr>
                <w:rFonts w:ascii="Arial" w:hAnsi="Arial" w:cs="Arial"/>
                <w:b w:val="0"/>
                <w:i w:val="0"/>
                <w:sz w:val="17"/>
              </w:rPr>
              <w:t>CIP</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r>
      <w:tr>
        <w:tc>
          <w:tcPr>
            <w:tcW w:type="dxa" w:w="1071"/>
          </w:tcPr>
          <w:p>
            <w:pPr>
              <w:spacing w:after="20" w:before="20" w:line="240" w:lineRule="auto"/>
            </w:pPr>
            <w:r/>
            <w:r>
              <w:rPr>
                <w:rFonts w:ascii="Arial" w:hAnsi="Arial" w:cs="Arial"/>
                <w:b w:val="0"/>
                <w:i w:val="0"/>
                <w:sz w:val="17"/>
              </w:rPr>
              <w:t>DAP</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Optional</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w:t>
            </w:r>
          </w:p>
        </w:tc>
      </w:tr>
      <w:tr>
        <w:tc>
          <w:tcPr>
            <w:tcW w:type="dxa" w:w="1071"/>
          </w:tcPr>
          <w:p>
            <w:pPr>
              <w:spacing w:after="20" w:before="20" w:line="240" w:lineRule="auto"/>
            </w:pPr>
            <w:r/>
            <w:r>
              <w:rPr>
                <w:rFonts w:ascii="Arial" w:hAnsi="Arial" w:cs="Arial"/>
                <w:b w:val="0"/>
                <w:i w:val="0"/>
                <w:sz w:val="17"/>
              </w:rPr>
              <w:t>DPU</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Optional</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w:t>
            </w:r>
          </w:p>
        </w:tc>
        <w:tc>
          <w:tcPr>
            <w:tcW w:type="dxa" w:w="1071"/>
          </w:tcPr>
          <w:p>
            <w:pPr>
              <w:spacing w:after="20" w:before="20" w:line="240" w:lineRule="auto"/>
            </w:pPr>
            <w:r/>
            <w:r>
              <w:rPr>
                <w:rFonts w:ascii="Arial" w:hAnsi="Arial" w:cs="Arial"/>
                <w:b w:val="0"/>
                <w:i w:val="0"/>
                <w:sz w:val="17"/>
              </w:rPr>
              <w:t>Mandatory</w:t>
            </w:r>
          </w:p>
        </w:tc>
      </w:tr>
      <w:tr>
        <w:tc>
          <w:tcPr>
            <w:tcW w:type="dxa" w:w="1071"/>
          </w:tcPr>
          <w:p>
            <w:pPr>
              <w:spacing w:after="20" w:before="20" w:line="240" w:lineRule="auto"/>
            </w:pPr>
            <w:r/>
            <w:r>
              <w:rPr>
                <w:rFonts w:ascii="Arial" w:hAnsi="Arial" w:cs="Arial"/>
                <w:b w:val="0"/>
                <w:i w:val="0"/>
                <w:sz w:val="17"/>
              </w:rPr>
              <w:t>DDP</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Optional</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Mandatory</w:t>
            </w:r>
          </w:p>
        </w:tc>
        <w:tc>
          <w:tcPr>
            <w:tcW w:type="dxa" w:w="1071"/>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Services marked "—" are outside the seller's obligation scope under that incoterm and cannot be quoted by the seller for that trade (see service forbidden rules, Section 6.4.6.2).</w:t>
      </w:r>
    </w:p>
    <w:p>
      <w:pPr>
        <w:keepNext/>
        <w:spacing w:before="180" w:after="80"/>
        <w:outlineLvl w:val="2"/>
      </w:pPr>
      <w:r>
        <w:rPr>
          <w:rFonts w:ascii="Arial" w:hAnsi="Arial" w:cs="Arial"/>
          <w:b/>
          <w:i w:val="0"/>
          <w:color w:val="333333"/>
          <w:sz w:val="23"/>
        </w:rPr>
        <w:t>6.4.5 Auto-Configuration Trigger</w:t>
      </w:r>
    </w:p>
    <w:p>
      <w:pPr>
        <w:spacing w:after="80" w:line="293" w:lineRule="auto"/>
        <w:jc w:val="left"/>
      </w:pPr>
      <w:r>
        <w:rPr>
          <w:rFonts w:ascii="Times New Roman" w:hAnsi="Times New Roman" w:cs="Times New Roman"/>
          <w:b w:val="0"/>
          <w:i w:val="0"/>
          <w:sz w:val="22"/>
        </w:rPr>
        <w:t>Immediately after incoterm selection, the following actions occur automatically:</w:t>
      </w:r>
    </w:p>
    <w:p>
      <w:pPr>
        <w:spacing w:after="80" w:line="293" w:lineRule="auto"/>
        <w:jc w:val="left"/>
      </w:pPr>
      <w:r>
        <w:rPr>
          <w:rFonts w:ascii="Times New Roman" w:hAnsi="Times New Roman" w:cs="Times New Roman"/>
          <w:b w:val="0"/>
          <w:i w:val="0"/>
          <w:sz w:val="22"/>
        </w:rPr>
        <w:t>Step 1 — Store selection: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"trade_request_id": "TR-2026-001",</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"incoterm_selected_at": "2026-06-20T10:30:00Z"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2 — Pre-populate the seller's mandatory services (visible in Phase 2):</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"mandatory_services": [</w:t>
      </w:r>
    </w:p>
    <w:p>
      <w:pPr>
        <w:spacing w:after="0" w:before="0" w:line="240" w:lineRule="auto"/>
        <w:ind w:left="57"/>
        <w:jc w:val="left"/>
        <w:shd w:val="clear" w:fill="F2F2F2"/>
      </w:pPr>
      <w:r>
        <w:rPr>
          <w:rFonts w:ascii="Consolas" w:hAnsi="Consolas" w:cs="Consolas"/>
          <w:b w:val="0"/>
          <w:i w:val="0"/>
          <w:sz w:val="15"/>
        </w:rPr>
        <w:t xml:space="preserve">    { "service": "TRUCKING", "required": true },</w:t>
      </w:r>
    </w:p>
    <w:p>
      <w:pPr>
        <w:spacing w:after="0" w:before="0" w:line="240" w:lineRule="auto"/>
        <w:ind w:left="57"/>
        <w:jc w:val="left"/>
        <w:shd w:val="clear" w:fill="F2F2F2"/>
      </w:pPr>
      <w:r>
        <w:rPr>
          <w:rFonts w:ascii="Consolas" w:hAnsi="Consolas" w:cs="Consolas"/>
          <w:b w:val="0"/>
          <w:i w:val="0"/>
          <w:sz w:val="15"/>
        </w:rPr>
        <w:t xml:space="preserve">    { "service": "EXPORT_CUSTOMS", "required": true },</w:t>
      </w:r>
    </w:p>
    <w:p>
      <w:pPr>
        <w:spacing w:after="0" w:before="0" w:line="240" w:lineRule="auto"/>
        <w:ind w:left="57"/>
        <w:jc w:val="left"/>
        <w:shd w:val="clear" w:fill="F2F2F2"/>
      </w:pPr>
      <w:r>
        <w:rPr>
          <w:rFonts w:ascii="Consolas" w:hAnsi="Consolas" w:cs="Consolas"/>
          <w:b w:val="0"/>
          <w:i w:val="0"/>
          <w:sz w:val="15"/>
        </w:rPr>
        <w:t xml:space="preserve">    { "service": "THC", "required": true },</w:t>
      </w:r>
    </w:p>
    <w:p>
      <w:pPr>
        <w:spacing w:after="0" w:before="0" w:line="240" w:lineRule="auto"/>
        <w:ind w:left="57"/>
        <w:jc w:val="left"/>
        <w:shd w:val="clear" w:fill="F2F2F2"/>
      </w:pPr>
      <w:r>
        <w:rPr>
          <w:rFonts w:ascii="Consolas" w:hAnsi="Consolas" w:cs="Consolas"/>
          <w:b w:val="0"/>
          <w:i w:val="0"/>
          <w:sz w:val="15"/>
        </w:rPr>
        <w:t xml:space="preserve">    { "service": "OCEAN_FREIGHT", "required": true },</w:t>
      </w:r>
    </w:p>
    <w:p>
      <w:pPr>
        <w:spacing w:after="0" w:before="0" w:line="240" w:lineRule="auto"/>
        <w:ind w:left="57"/>
        <w:jc w:val="left"/>
        <w:shd w:val="clear" w:fill="F2F2F2"/>
      </w:pPr>
      <w:r>
        <w:rPr>
          <w:rFonts w:ascii="Consolas" w:hAnsi="Consolas" w:cs="Consolas"/>
          <w:b w:val="0"/>
          <w:i w:val="0"/>
          <w:sz w:val="15"/>
        </w:rPr>
        <w:t xml:space="preserve">    { "service": "INSURANCE", "required": false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"optional_services": [</w:t>
      </w:r>
    </w:p>
    <w:p>
      <w:pPr>
        <w:spacing w:after="0" w:before="0" w:line="240" w:lineRule="auto"/>
        <w:ind w:left="57"/>
        <w:jc w:val="left"/>
        <w:shd w:val="clear" w:fill="F2F2F2"/>
      </w:pPr>
      <w:r>
        <w:rPr>
          <w:rFonts w:ascii="Consolas" w:hAnsi="Consolas" w:cs="Consolas"/>
          <w:b w:val="0"/>
          <w:i w:val="0"/>
          <w:sz w:val="15"/>
        </w:rPr>
        <w:t xml:space="preserve">    { "service": "DESTINATION_CHARGES", "available": false },</w:t>
      </w:r>
    </w:p>
    <w:p>
      <w:pPr>
        <w:spacing w:after="0" w:before="0" w:line="240" w:lineRule="auto"/>
        <w:ind w:left="57"/>
        <w:jc w:val="left"/>
        <w:shd w:val="clear" w:fill="F2F2F2"/>
      </w:pPr>
      <w:r>
        <w:rPr>
          <w:rFonts w:ascii="Consolas" w:hAnsi="Consolas" w:cs="Consolas"/>
          <w:b w:val="0"/>
          <w:i w:val="0"/>
          <w:sz w:val="15"/>
        </w:rPr>
        <w:t xml:space="preserve">    { "service": "DUTIES", "available": false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3 — Display plain-language summary (A1, Groq). English: "You (buyer) are responsible for import customs clearance and destination charges. Seller is responsible for export clearance, trucking to port, ocean freight, and terminal handling. Insurance is optional." Arabic: the equivalent summary is generated in Arabic for Arabic-language users.</w:t>
      </w:r>
    </w:p>
    <w:p>
      <w:pPr>
        <w:spacing w:after="80" w:line="293" w:lineRule="auto"/>
        <w:jc w:val="left"/>
      </w:pPr>
      <w:r>
        <w:rPr>
          <w:rFonts w:ascii="Times New Roman" w:hAnsi="Times New Roman" w:cs="Times New Roman"/>
          <w:b w:val="0"/>
          <w:i w:val="0"/>
          <w:sz w:val="22"/>
        </w:rPr>
        <w:t>Step 4 — Update trade value calculation. Canonical Fee Basis = EXW + eligible logistics costs (as defined by the Incoterm Engine); SGTX Fee = CFB × engine effective rate (Dynamic Fee Engine, Section 9.27).</w:t>
      </w:r>
    </w:p>
    <w:p>
      <w:pPr>
        <w:spacing w:after="80" w:line="293" w:lineRule="auto"/>
        <w:jc w:val="left"/>
      </w:pPr>
      <w:r>
        <w:rPr>
          <w:rFonts w:ascii="Times New Roman" w:hAnsi="Times New Roman" w:cs="Times New Roman"/>
          <w:b w:val="0"/>
          <w:i w:val="0"/>
          <w:sz w:val="22"/>
        </w:rPr>
        <w:t>Step 5 — Governor validation (A4). Checks that the incoterm is valid for the selected jurisdiction and compatible with the selected transport mode. If invalid, the Governor returns CONDITIONAL with a Decision Panel explanation.</w:t>
      </w:r>
    </w:p>
    <w:p>
      <w:pPr>
        <w:keepNext/>
        <w:spacing w:before="180" w:after="80"/>
        <w:outlineLvl w:val="2"/>
      </w:pPr>
      <w:r>
        <w:rPr>
          <w:rFonts w:ascii="Arial" w:hAnsi="Arial" w:cs="Arial"/>
          <w:b/>
          <w:i w:val="0"/>
          <w:color w:val="333333"/>
          <w:sz w:val="23"/>
        </w:rPr>
        <w:t>6.4.6 Incoterm Validation Engine (WasmEdge)</w:t>
      </w:r>
    </w:p>
    <w:p>
      <w:pPr>
        <w:spacing w:after="80" w:line="293" w:lineRule="auto"/>
        <w:jc w:val="left"/>
      </w:pPr>
      <w:r>
        <w:rPr>
          <w:rFonts w:ascii="Times New Roman" w:hAnsi="Times New Roman" w:cs="Times New Roman"/>
          <w:b w:val="0"/>
          <w:i w:val="0"/>
          <w:sz w:val="22"/>
        </w:rPr>
        <w:t>The `incoterms_engine.wasm` module enforces all incoterm rules. It is sandboxed, compiled to WASM (WebAssembly), signed by multisig, and executed by the Governor.</w:t>
      </w:r>
    </w:p>
    <w:p>
      <w:pPr>
        <w:keepNext/>
        <w:spacing w:before="140" w:after="60"/>
        <w:outlineLvl w:val="3"/>
      </w:pPr>
      <w:r>
        <w:rPr>
          <w:rFonts w:ascii="Arial" w:hAnsi="Arial" w:cs="Arial"/>
          <w:b/>
          <w:i/>
          <w:color w:val="333333"/>
          <w:sz w:val="22"/>
        </w:rPr>
        <w:t>6.4.6.1 Core Validation Rules</w:t>
      </w:r>
    </w:p>
    <w:p>
      <w:pPr>
        <w:spacing w:after="0" w:before="0" w:line="240" w:lineRule="auto"/>
        <w:ind w:left="57"/>
        <w:jc w:val="left"/>
        <w:shd w:val="clear" w:fill="F2F2F2"/>
      </w:pPr>
      <w:r>
        <w:rPr>
          <w:rFonts w:ascii="Consolas" w:hAnsi="Consolas" w:cs="Consolas"/>
          <w:b w:val="0"/>
          <w:i w:val="0"/>
          <w:sz w:val="15"/>
        </w:rPr>
        <w:t>// Pseudo-code: incoterms_engine.wasm</w:t>
      </w:r>
    </w:p>
    <w:p>
      <w:pPr>
        <w:spacing w:after="0" w:before="0" w:line="240" w:lineRule="auto"/>
        <w:ind w:left="57"/>
        <w:jc w:val="left"/>
        <w:shd w:val="clear" w:fill="F2F2F2"/>
      </w:pPr>
      <w:r>
        <w:rPr>
          <w:rFonts w:ascii="Consolas" w:hAnsi="Consolas" w:cs="Consolas"/>
          <w:b w:val="0"/>
          <w:i w:val="0"/>
          <w:sz w:val="15"/>
        </w:rPr>
        <w:t>fn validate_logistics_service(</w:t>
      </w:r>
    </w:p>
    <w:p>
      <w:pPr>
        <w:spacing w:after="0" w:before="0" w:line="240" w:lineRule="auto"/>
        <w:ind w:left="57"/>
        <w:jc w:val="left"/>
        <w:shd w:val="clear" w:fill="F2F2F2"/>
      </w:pPr>
      <w:r>
        <w:rPr>
          <w:rFonts w:ascii="Consolas" w:hAnsi="Consolas" w:cs="Consolas"/>
          <w:b w:val="0"/>
          <w:i w:val="0"/>
          <w:sz w:val="15"/>
        </w:rPr>
        <w:t xml:space="preserve">    incoterm: Incoterm,</w:t>
      </w:r>
    </w:p>
    <w:p>
      <w:pPr>
        <w:spacing w:after="0" w:before="0" w:line="240" w:lineRule="auto"/>
        <w:ind w:left="57"/>
        <w:jc w:val="left"/>
        <w:shd w:val="clear" w:fill="F2F2F2"/>
      </w:pPr>
      <w:r>
        <w:rPr>
          <w:rFonts w:ascii="Consolas" w:hAnsi="Consolas" w:cs="Consolas"/>
          <w:b w:val="0"/>
          <w:i w:val="0"/>
          <w:sz w:val="15"/>
        </w:rPr>
        <w:t xml:space="preserve">    service: ServiceType,</w:t>
      </w:r>
    </w:p>
    <w:p>
      <w:pPr>
        <w:spacing w:after="0" w:before="0" w:line="240" w:lineRule="auto"/>
        <w:ind w:left="57"/>
        <w:jc w:val="left"/>
        <w:shd w:val="clear" w:fill="F2F2F2"/>
      </w:pPr>
      <w:r>
        <w:rPr>
          <w:rFonts w:ascii="Consolas" w:hAnsi="Consolas" w:cs="Consolas"/>
          <w:b w:val="0"/>
          <w:i w:val="0"/>
          <w:sz w:val="15"/>
        </w:rPr>
        <w:t xml:space="preserve">    has_quote: bool</w:t>
      </w:r>
    </w:p>
    <w:p>
      <w:pPr>
        <w:spacing w:after="0" w:before="0" w:line="240" w:lineRule="auto"/>
        <w:ind w:left="57"/>
        <w:jc w:val="left"/>
        <w:shd w:val="clear" w:fill="F2F2F2"/>
      </w:pPr>
      <w:r>
        <w:rPr>
          <w:rFonts w:ascii="Consolas" w:hAnsi="Consolas" w:cs="Consolas"/>
          <w:b w:val="0"/>
          <w:i w:val="0"/>
          <w:sz w:val="15"/>
        </w:rPr>
        <w:t>) -&gt; Verdict {</w:t>
      </w:r>
    </w:p>
    <w:p>
      <w:pPr>
        <w:spacing w:after="0" w:before="0" w:line="240" w:lineRule="auto"/>
        <w:ind w:left="57"/>
        <w:jc w:val="left"/>
        <w:shd w:val="clear" w:fill="F2F2F2"/>
      </w:pPr>
      <w:r>
        <w:rPr>
          <w:rFonts w:ascii="Consolas" w:hAnsi="Consolas" w:cs="Consolas"/>
          <w:b w:val="0"/>
          <w:i w:val="0"/>
          <w:sz w:val="15"/>
        </w:rPr>
        <w:t xml:space="preserve">    // 1. Check if service is mandatory for this incoterm</w:t>
      </w:r>
    </w:p>
    <w:p>
      <w:pPr>
        <w:spacing w:after="0" w:before="0" w:line="240" w:lineRule="auto"/>
        <w:ind w:left="57"/>
        <w:jc w:val="left"/>
        <w:shd w:val="clear" w:fill="F2F2F2"/>
      </w:pPr>
      <w:r>
        <w:rPr>
          <w:rFonts w:ascii="Consolas" w:hAnsi="Consolas" w:cs="Consolas"/>
          <w:b w:val="0"/>
          <w:i w:val="0"/>
          <w:sz w:val="15"/>
        </w:rPr>
        <w:t xml:space="preserve">    if is_mandatory(incoterm, service) &amp;&amp; !has_quote {</w:t>
      </w:r>
    </w:p>
    <w:p>
      <w:pPr>
        <w:spacing w:after="0" w:before="0" w:line="240" w:lineRule="auto"/>
        <w:ind w:left="57"/>
        <w:jc w:val="left"/>
        <w:shd w:val="clear" w:fill="F2F2F2"/>
      </w:pPr>
      <w:r>
        <w:rPr>
          <w:rFonts w:ascii="Consolas" w:hAnsi="Consolas" w:cs="Consolas"/>
          <w:b w:val="0"/>
          <w:i w:val="0"/>
          <w:sz w:val="15"/>
        </w:rPr>
        <w:t xml:space="preserve">        return Verdict::Deny {</w:t>
      </w:r>
    </w:p>
    <w:p>
      <w:pPr>
        <w:spacing w:after="0" w:before="0" w:line="240" w:lineRule="auto"/>
        <w:ind w:left="57"/>
        <w:jc w:val="left"/>
        <w:shd w:val="clear" w:fill="F2F2F2"/>
      </w:pPr>
      <w:r>
        <w:rPr>
          <w:rFonts w:ascii="Consolas" w:hAnsi="Consolas" w:cs="Consolas"/>
          <w:b w:val="0"/>
          <w:i w:val="0"/>
          <w:sz w:val="15"/>
        </w:rPr>
        <w:t xml:space="preserve">            reason: format!("{} is mandatory for {} incoterm. Please add a quote.",</w:t>
      </w:r>
    </w:p>
    <w:p>
      <w:pPr>
        <w:spacing w:after="0" w:before="0" w:line="240" w:lineRule="auto"/>
        <w:ind w:left="57"/>
        <w:jc w:val="left"/>
        <w:shd w:val="clear" w:fill="F2F2F2"/>
      </w:pPr>
      <w:r>
        <w:rPr>
          <w:rFonts w:ascii="Consolas" w:hAnsi="Consolas" w:cs="Consolas"/>
          <w:b w:val="0"/>
          <w:i w:val="0"/>
          <w:sz w:val="15"/>
        </w:rPr>
        <w:t xml:space="preserve">                service.display_name(), incoterm.display_name())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Check if service is forbidden for this incoterm</w:t>
      </w:r>
    </w:p>
    <w:p>
      <w:pPr>
        <w:spacing w:after="0" w:before="0" w:line="240" w:lineRule="auto"/>
        <w:ind w:left="57"/>
        <w:jc w:val="left"/>
        <w:shd w:val="clear" w:fill="F2F2F2"/>
      </w:pPr>
      <w:r>
        <w:rPr>
          <w:rFonts w:ascii="Consolas" w:hAnsi="Consolas" w:cs="Consolas"/>
          <w:b w:val="0"/>
          <w:i w:val="0"/>
          <w:sz w:val="15"/>
        </w:rPr>
        <w:t xml:space="preserve">    if is_forbidden(incoterm, service) &amp;&amp; has_quote {</w:t>
      </w:r>
    </w:p>
    <w:p>
      <w:pPr>
        <w:spacing w:after="0" w:before="0" w:line="240" w:lineRule="auto"/>
        <w:ind w:left="57"/>
        <w:jc w:val="left"/>
        <w:shd w:val="clear" w:fill="F2F2F2"/>
      </w:pPr>
      <w:r>
        <w:rPr>
          <w:rFonts w:ascii="Consolas" w:hAnsi="Consolas" w:cs="Consolas"/>
          <w:b w:val="0"/>
          <w:i w:val="0"/>
          <w:sz w:val="15"/>
        </w:rPr>
        <w:t xml:space="preserve">        return Verdict::Deny {</w:t>
      </w:r>
    </w:p>
    <w:p>
      <w:pPr>
        <w:spacing w:after="0" w:before="0" w:line="240" w:lineRule="auto"/>
        <w:ind w:left="57"/>
        <w:jc w:val="left"/>
        <w:shd w:val="clear" w:fill="F2F2F2"/>
      </w:pPr>
      <w:r>
        <w:rPr>
          <w:rFonts w:ascii="Consolas" w:hAnsi="Consolas" w:cs="Consolas"/>
          <w:b w:val="0"/>
          <w:i w:val="0"/>
          <w:sz w:val="15"/>
        </w:rPr>
        <w:t xml:space="preserve">            reason: format!("{} is not applicable for {} incoterm. Please remove.",</w:t>
      </w:r>
    </w:p>
    <w:p>
      <w:pPr>
        <w:spacing w:after="0" w:before="0" w:line="240" w:lineRule="auto"/>
        <w:ind w:left="57"/>
        <w:jc w:val="left"/>
        <w:shd w:val="clear" w:fill="F2F2F2"/>
      </w:pPr>
      <w:r>
        <w:rPr>
          <w:rFonts w:ascii="Consolas" w:hAnsi="Consolas" w:cs="Consolas"/>
          <w:b w:val="0"/>
          <w:i w:val="0"/>
          <w:sz w:val="15"/>
        </w:rPr>
        <w:t xml:space="preserve">                service.display_name(), incoterm.display_name())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if incoterm is valid for jurisdiction</w:t>
      </w:r>
    </w:p>
    <w:p>
      <w:pPr>
        <w:spacing w:after="0" w:before="0" w:line="240" w:lineRule="auto"/>
        <w:ind w:left="57"/>
        <w:jc w:val="left"/>
        <w:shd w:val="clear" w:fill="F2F2F2"/>
      </w:pPr>
      <w:r>
        <w:rPr>
          <w:rFonts w:ascii="Consolas" w:hAnsi="Consolas" w:cs="Consolas"/>
          <w:b w:val="0"/>
          <w:i w:val="0"/>
          <w:sz w:val="15"/>
        </w:rPr>
        <w:t xml:space="preserve">    if !is_jurisdiction_valid(incoterm, origin_country, destination_country) {</w:t>
      </w:r>
    </w:p>
    <w:p>
      <w:pPr>
        <w:spacing w:after="0" w:before="0" w:line="240" w:lineRule="auto"/>
        <w:ind w:left="57"/>
        <w:jc w:val="left"/>
        <w:shd w:val="clear" w:fill="F2F2F2"/>
      </w:pPr>
      <w:r>
        <w:rPr>
          <w:rFonts w:ascii="Consolas" w:hAnsi="Consolas" w:cs="Consolas"/>
          <w:b w:val="0"/>
          <w:i w:val="0"/>
          <w:sz w:val="15"/>
        </w:rPr>
        <w:t xml:space="preserve">        return Verdict::Deny {</w:t>
      </w:r>
    </w:p>
    <w:p>
      <w:pPr>
        <w:spacing w:after="0" w:before="0" w:line="240" w:lineRule="auto"/>
        <w:ind w:left="57"/>
        <w:jc w:val="left"/>
        <w:shd w:val="clear" w:fill="F2F2F2"/>
      </w:pPr>
      <w:r>
        <w:rPr>
          <w:rFonts w:ascii="Consolas" w:hAnsi="Consolas" w:cs="Consolas"/>
          <w:b w:val="0"/>
          <w:i w:val="0"/>
          <w:sz w:val="15"/>
        </w:rPr>
        <w:t xml:space="preserve">            reason: format!("{} is not permitted for the selected origin/destination.",</w:t>
      </w:r>
    </w:p>
    <w:p>
      <w:pPr>
        <w:spacing w:after="0" w:before="0" w:line="240" w:lineRule="auto"/>
        <w:ind w:left="57"/>
        <w:jc w:val="left"/>
        <w:shd w:val="clear" w:fill="F2F2F2"/>
      </w:pPr>
      <w:r>
        <w:rPr>
          <w:rFonts w:ascii="Consolas" w:hAnsi="Consolas" w:cs="Consolas"/>
          <w:b w:val="0"/>
          <w:i w:val="0"/>
          <w:sz w:val="15"/>
        </w:rPr>
        <w:t xml:space="preserve">                incoterm.display_name())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Verdict::Allow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6.4.6.2 Service Forbidden Rules</w:t>
      </w:r>
    </w:p>
    <w:p>
      <w:pPr>
        <w:spacing w:after="80" w:line="293" w:lineRule="auto"/>
        <w:jc w:val="left"/>
      </w:pPr>
      <w:r>
        <w:rPr>
          <w:rFonts w:ascii="Times New Roman" w:hAnsi="Times New Roman" w:cs="Times New Roman"/>
          <w:b w:val="0"/>
          <w:i w:val="0"/>
          <w:sz w:val="22"/>
        </w:rPr>
        <w:t>A service that is outside the seller's obligation scope under the selected incoterm is forbidden in the seller's quote. For example, under CFR, DESTINATION_CHARGES and DUTIES are not available to the seller; under EXW, all transport and clearance services are the buyer's. Forbidden-service quotes are denied with the message "{Service} is not applicable for {Incoterm} incoterm. Please remove."</w:t>
      </w:r>
    </w:p>
    <w:p>
      <w:pPr>
        <w:keepNext/>
        <w:spacing w:before="140" w:after="60"/>
        <w:outlineLvl w:val="3"/>
      </w:pPr>
      <w:r>
        <w:rPr>
          <w:rFonts w:ascii="Arial" w:hAnsi="Arial" w:cs="Arial"/>
          <w:b/>
          <w:i/>
          <w:color w:val="333333"/>
          <w:sz w:val="22"/>
        </w:rPr>
        <w:t>6.4.6.3 Jurisdiction Compatibility</w:t>
      </w:r>
    </w:p>
    <w:p>
      <w:pPr>
        <w:spacing w:after="80" w:line="293" w:lineRule="auto"/>
        <w:jc w:val="left"/>
      </w:pPr>
      <w:r>
        <w:rPr>
          <w:rFonts w:ascii="Times New Roman" w:hAnsi="Times New Roman" w:cs="Times New Roman"/>
          <w:b w:val="0"/>
          <w:i w:val="0"/>
          <w:sz w:val="22"/>
        </w:rPr>
        <w:t>Some incoterms are restricted or modified by jurisdiction (for example, DDP usage restrictions and import-duty treatment in certain destination countries). The RIA maintains `incoterm_rules.jurisdiction_restrictions`, and the engine denies combinations that violate the restriction lists for the origin/destination pair.</w:t>
      </w:r>
    </w:p>
    <w:p>
      <w:pPr>
        <w:keepNext/>
        <w:spacing w:before="140" w:after="60"/>
        <w:outlineLvl w:val="3"/>
      </w:pPr>
      <w:r>
        <w:rPr>
          <w:rFonts w:ascii="Arial" w:hAnsi="Arial" w:cs="Arial"/>
          <w:b/>
          <w:i/>
          <w:color w:val="333333"/>
          <w:sz w:val="22"/>
        </w:rPr>
        <w:t>6.4.6.4 Transport Mode Compatibility</w:t>
      </w:r>
    </w:p>
    <w:p>
      <w:pPr>
        <w:spacing w:after="80" w:line="293" w:lineRule="auto"/>
        <w:jc w:val="left"/>
      </w:pPr>
      <w:r>
        <w:rPr>
          <w:rFonts w:ascii="Times New Roman" w:hAnsi="Times New Roman" w:cs="Times New Roman"/>
          <w:b w:val="0"/>
          <w:i w:val="0"/>
          <w:sz w:val="22"/>
        </w:rPr>
        <w:t>Each incoterm declares the compatible transport modes in `incoterm_rules.transport_mode_compatibility`. Sea-only terms (FOB, CFR, CIF) are denied for air, rail, and truck corridors; mode-neutral terms (EXW, CPT, CIP, DAP, DPU, DDP) are valid across modes.</w:t>
      </w:r>
    </w:p>
    <w:p>
      <w:pPr>
        <w:keepNext/>
        <w:spacing w:before="180" w:after="80"/>
        <w:outlineLvl w:val="2"/>
      </w:pPr>
      <w:r>
        <w:rPr>
          <w:rFonts w:ascii="Arial" w:hAnsi="Arial" w:cs="Arial"/>
          <w:b/>
          <w:i w:val="0"/>
          <w:color w:val="333333"/>
          <w:sz w:val="23"/>
        </w:rPr>
        <w:t>6.4.7 Incoterm Impact on SGTX Fee Calculation</w:t>
      </w:r>
    </w:p>
    <w:p>
      <w:pPr>
        <w:spacing w:after="80" w:line="293" w:lineRule="auto"/>
        <w:jc w:val="left"/>
      </w:pPr>
      <w:r>
        <w:rPr>
          <w:rFonts w:ascii="Times New Roman" w:hAnsi="Times New Roman" w:cs="Times New Roman"/>
          <w:b w:val="0"/>
          <w:i w:val="0"/>
          <w:sz w:val="22"/>
        </w:rPr>
        <w:t>The incoterm affects the Canonical Fee Basis used for the SGTX fee calculation:</w:t>
      </w:r>
    </w:p>
    <w:p>
      <w:pPr>
        <w:spacing w:after="0" w:before="0" w:line="240" w:lineRule="auto"/>
        <w:ind w:left="57"/>
        <w:jc w:val="left"/>
        <w:shd w:val="clear" w:fill="F2F2F2"/>
      </w:pPr>
      <w:r>
        <w:rPr>
          <w:rFonts w:ascii="Consolas" w:hAnsi="Consolas" w:cs="Consolas"/>
          <w:b w:val="0"/>
          <w:i w:val="0"/>
          <w:sz w:val="15"/>
        </w:rPr>
        <w:t>CFB = Σ (EXW Price) + Σ (Contractually Included Seller-Responsible Logistics)</w:t>
      </w:r>
    </w:p>
    <w:p>
      <w:pPr>
        <w:spacing w:after="0" w:before="0" w:line="240" w:lineRule="auto"/>
        <w:ind w:left="57"/>
        <w:jc w:val="left"/>
        <w:shd w:val="clear" w:fill="F2F2F2"/>
      </w:pPr>
      <w:r>
        <w:rPr>
          <w:rFonts w:ascii="Consolas" w:hAnsi="Consolas" w:cs="Consolas"/>
          <w:b w:val="0"/>
          <w:i w:val="0"/>
          <w:sz w:val="15"/>
        </w:rPr>
        <w:t>SGTX Fee          = CFB × engine effective rate (Section 9.27)</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carries an indicative engine fee of $151.34 at a 0.144% effective rate; the binding amount is the Fee Decision at lock.</w:t>
      </w:r>
    </w:p>
    <w:p>
      <w:pPr>
        <w:keepNext/>
        <w:spacing w:before="180" w:after="80"/>
        <w:outlineLvl w:val="2"/>
      </w:pPr>
      <w:r>
        <w:rPr>
          <w:rFonts w:ascii="Arial" w:hAnsi="Arial" w:cs="Arial"/>
          <w:b/>
          <w:i w:val="0"/>
          <w:color w:val="333333"/>
          <w:sz w:val="23"/>
        </w:rPr>
        <w:t>6.4.8 AI-Generated Plain-Language Summary (A1, Groq)</w:t>
      </w:r>
    </w:p>
    <w:p>
      <w:pPr>
        <w:spacing w:after="80" w:line="293" w:lineRule="auto"/>
        <w:jc w:val="left"/>
      </w:pPr>
      <w:r>
        <w:rPr>
          <w:rFonts w:ascii="Times New Roman" w:hAnsi="Times New Roman" w:cs="Times New Roman"/>
          <w:b w:val="0"/>
          <w:i w:val="0"/>
          <w:sz w:val="22"/>
        </w:rPr>
        <w:t>The system generates a plain-language summary for both buyer and seller, in their preferred language.</w:t>
      </w:r>
    </w:p>
    <w:p>
      <w:pPr>
        <w:spacing w:after="80" w:line="293" w:lineRule="auto"/>
        <w:jc w:val="left"/>
      </w:pPr>
      <w:r>
        <w:rPr>
          <w:rFonts w:ascii="Times New Roman" w:hAnsi="Times New Roman" w:cs="Times New Roman"/>
          <w:b w:val="0"/>
          <w:i w:val="0"/>
          <w:sz w:val="22"/>
        </w:rPr>
        <w:t>Prompt template:</w:t>
      </w:r>
    </w:p>
    <w:p>
      <w:pPr>
        <w:spacing w:after="0" w:before="0" w:line="240" w:lineRule="auto"/>
        <w:ind w:left="57"/>
        <w:jc w:val="left"/>
        <w:shd w:val="clear" w:fill="F2F2F2"/>
      </w:pPr>
      <w:r>
        <w:rPr>
          <w:rFonts w:ascii="Consolas" w:hAnsi="Consolas" w:cs="Consolas"/>
          <w:b w:val="0"/>
          <w:i w:val="0"/>
          <w:sz w:val="15"/>
        </w:rPr>
        <w:t>You are explaining Incoterm {incoterm} to a {buyer_role} and {seller_role} in {language}.</w:t>
      </w:r>
    </w:p>
    <w:p>
      <w:pPr>
        <w:spacing w:after="0" w:before="0" w:line="240" w:lineRule="auto"/>
        <w:ind w:left="57"/>
        <w:jc w:val="left"/>
        <w:shd w:val="clear" w:fill="F2F2F2"/>
      </w:pPr>
      <w:r>
        <w:rPr>
          <w:rFonts w:ascii="Consolas" w:hAnsi="Consolas" w:cs="Consolas"/>
          <w:b w:val="0"/>
          <w:i w:val="0"/>
          <w:sz w:val="15"/>
        </w:rPr>
        <w:t>The trade is from {origin} to {destination}. Generate a 3-4 sentence summary of responsibilities:</w:t>
      </w:r>
    </w:p>
    <w:p>
      <w:pPr>
        <w:spacing w:after="0" w:before="0" w:line="240" w:lineRule="auto"/>
        <w:ind w:left="57"/>
        <w:jc w:val="left"/>
        <w:shd w:val="clear" w:fill="F2F2F2"/>
      </w:pPr>
      <w:r>
        <w:rPr>
          <w:rFonts w:ascii="Consolas" w:hAnsi="Consolas" w:cs="Consolas"/>
          <w:b w:val="0"/>
          <w:i w:val="0"/>
          <w:sz w:val="15"/>
        </w:rPr>
        <w:t>1. What the seller is responsible for</w:t>
      </w:r>
    </w:p>
    <w:p>
      <w:pPr>
        <w:spacing w:after="0" w:before="0" w:line="240" w:lineRule="auto"/>
        <w:ind w:left="57"/>
        <w:jc w:val="left"/>
        <w:shd w:val="clear" w:fill="F2F2F2"/>
      </w:pPr>
      <w:r>
        <w:rPr>
          <w:rFonts w:ascii="Consolas" w:hAnsi="Consolas" w:cs="Consolas"/>
          <w:b w:val="0"/>
          <w:i w:val="0"/>
          <w:sz w:val="15"/>
        </w:rPr>
        <w:t>2. What the buyer is responsible for</w:t>
      </w:r>
    </w:p>
    <w:p>
      <w:pPr>
        <w:spacing w:after="0" w:before="0" w:line="240" w:lineRule="auto"/>
        <w:ind w:left="57"/>
        <w:jc w:val="left"/>
        <w:shd w:val="clear" w:fill="F2F2F2"/>
      </w:pPr>
      <w:r>
        <w:rPr>
          <w:rFonts w:ascii="Consolas" w:hAnsi="Consolas" w:cs="Consolas"/>
          <w:b w:val="0"/>
          <w:i w:val="0"/>
          <w:sz w:val="15"/>
        </w:rPr>
        <w:t>3. What is optional</w:t>
      </w:r>
    </w:p>
    <w:p>
      <w:pPr>
        <w:spacing w:after="0" w:before="0" w:line="240" w:lineRule="auto"/>
        <w:ind w:left="57"/>
        <w:jc w:val="left"/>
        <w:shd w:val="clear" w:fill="F2F2F2"/>
      </w:pPr>
      <w:r>
        <w:rPr>
          <w:rFonts w:ascii="Consolas" w:hAnsi="Consolas" w:cs="Consolas"/>
          <w:b w:val="0"/>
          <w:i w:val="0"/>
          <w:sz w:val="15"/>
        </w:rPr>
        <w:t>4. A clear statement of who pays for what</w:t>
      </w:r>
    </w:p>
    <w:p>
      <w:pPr>
        <w:spacing w:after="0" w:before="0" w:line="240" w:lineRule="auto"/>
        <w:ind w:left="57"/>
        <w:jc w:val="left"/>
        <w:shd w:val="clear" w:fill="F2F2F2"/>
      </w:pPr>
      <w:r>
        <w:rPr>
          <w:rFonts w:ascii="Consolas" w:hAnsi="Consolas" w:cs="Consolas"/>
          <w:b w:val="0"/>
          <w:i w:val="0"/>
          <w:sz w:val="15"/>
        </w:rPr>
        <w:t>Use plain language. No legal jargon. Be specific.</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output (buyer view, English): "You (buyer) are responsible for import customs clearance, destination charges, and any duties. The seller is responsible for export clearance, trucking to the port, ocean freight, and terminal handling charges at the origin. Insurance is optional but recommended. The seller's quote will include all their costs plus the SGTX platform fee (engine-determined on the Canonical Fee Basis)."</w:t>
      </w:r>
    </w:p>
    <w:p>
      <w:pPr>
        <w:spacing w:after="80" w:line="293" w:lineRule="auto"/>
        <w:jc w:val="left"/>
      </w:pPr>
      <w:r>
        <w:rPr>
          <w:rFonts w:ascii="Times New Roman" w:hAnsi="Times New Roman" w:cs="Times New Roman"/>
          <w:b w:val="0"/>
          <w:i w:val="0"/>
          <w:sz w:val="22"/>
        </w:rPr>
        <w:t>Example output (seller view, Arabic): the equivalent seller-view summary in Arabic, covering the seller's responsibilities, the buyer's responsibilities, the optional items, and the fee statement.</w:t>
      </w:r>
    </w:p>
    <w:p>
      <w:pPr>
        <w:keepNext/>
        <w:spacing w:before="180" w:after="80"/>
        <w:outlineLvl w:val="2"/>
      </w:pPr>
      <w:r>
        <w:rPr>
          <w:rFonts w:ascii="Arial" w:hAnsi="Arial" w:cs="Arial"/>
          <w:b/>
          <w:i w:val="0"/>
          <w:color w:val="333333"/>
          <w:sz w:val="23"/>
        </w:rPr>
        <w:t>6.4.9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the Incoterm Selection Flows</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Seller's mandatory logistics services are pre-populated and enforced; forbidden services cannot be quoted</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The incoterm and responsibility split are contractual terms</w:t>
            </w:r>
          </w:p>
        </w:tc>
      </w:tr>
      <w:tr>
        <w:tc>
          <w:tcPr>
            <w:tcW w:type="dxa" w:w="4819"/>
          </w:tcPr>
          <w:p>
            <w:pPr>
              <w:spacing w:after="20" w:before="20" w:line="240" w:lineRule="auto"/>
            </w:pPr>
            <w:r/>
            <w:r>
              <w:rPr>
                <w:rFonts w:ascii="Arial" w:hAnsi="Arial" w:cs="Arial"/>
                <w:b w:val="0"/>
                <w:i w:val="0"/>
                <w:sz w:val="17"/>
              </w:rPr>
              <w:t>Phase 4 — Financing (Section 7, Section 10)</w:t>
            </w:r>
          </w:p>
        </w:tc>
        <w:tc>
          <w:tcPr>
            <w:tcW w:type="dxa" w:w="4819"/>
          </w:tcPr>
          <w:p>
            <w:pPr>
              <w:spacing w:after="20" w:before="20" w:line="240" w:lineRule="auto"/>
            </w:pPr>
            <w:r/>
            <w:r>
              <w:rPr>
                <w:rFonts w:ascii="Arial" w:hAnsi="Arial" w:cs="Arial"/>
                <w:b w:val="0"/>
                <w:i w:val="0"/>
                <w:sz w:val="17"/>
              </w:rPr>
              <w:t>Trade value basis for financing; insurance requirements under CIF/CIP</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Logistics responsibilities during execution follow the incoterm</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Responsibility split for charges at settlement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6.4.10 Governor Gates (Incoterm)</w:t>
      </w:r>
    </w:p>
    <w:p>
      <w:pPr>
        <w:spacing w:after="80" w:line="293" w:lineRule="auto"/>
        <w:jc w:val="left"/>
      </w:pPr>
      <w:r>
        <w:rPr>
          <w:rFonts w:ascii="Times New Roman" w:hAnsi="Times New Roman" w:cs="Times New Roman"/>
          <w:b w:val="0"/>
          <w:i w:val="0"/>
          <w:sz w:val="22"/>
        </w:rPr>
        <w:t>The Governor validates the incoterm against jurisdiction and the logistics quote against the incoterm rules (jurisdiction validation, incoterm validation, and the mandatory service check G2U18; the complete gate matrix is in Section 15).</w:t>
      </w:r>
    </w:p>
    <w:p>
      <w:pPr>
        <w:spacing w:after="80" w:line="293" w:lineRule="auto"/>
        <w:jc w:val="left"/>
      </w:pPr>
      <w:r>
        <w:rPr>
          <w:rFonts w:ascii="Times New Roman" w:hAnsi="Times New Roman" w:cs="Times New Roman"/>
          <w:b w:val="0"/>
          <w:i w:val="0"/>
          <w:sz w:val="22"/>
        </w:rPr>
        <w:t>Example CONDITIONAL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Ocean Freight is mandatory for CFR incoterm, but no ocean freight quote has been added.",</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"mandatory_service_missing",</w:t>
      </w:r>
    </w:p>
    <w:p>
      <w:pPr>
        <w:spacing w:after="0" w:before="0" w:line="240" w:lineRule="auto"/>
        <w:ind w:left="57"/>
        <w:jc w:val="left"/>
        <w:shd w:val="clear" w:fill="F2F2F2"/>
      </w:pPr>
      <w:r>
        <w:rPr>
          <w:rFonts w:ascii="Consolas" w:hAnsi="Consolas" w:cs="Consolas"/>
          <w:b w:val="0"/>
          <w:i w:val="0"/>
          <w:sz w:val="15"/>
        </w:rPr>
        <w:t xml:space="preserve">        "label": "Add Ocean Freight quote",</w:t>
      </w:r>
    </w:p>
    <w:p>
      <w:pPr>
        <w:spacing w:after="0" w:before="0" w:line="240" w:lineRule="auto"/>
        <w:ind w:left="57"/>
        <w:jc w:val="left"/>
        <w:shd w:val="clear" w:fill="F2F2F2"/>
      </w:pPr>
      <w:r>
        <w:rPr>
          <w:rFonts w:ascii="Consolas" w:hAnsi="Consolas" w:cs="Consolas"/>
          <w:b w:val="0"/>
          <w:i w:val="0"/>
          <w:sz w:val="15"/>
        </w:rPr>
        <w:t xml:space="preserve">        "action_url": "/v1/quote/logistics/ship-direct?trade_id=..."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6.4.11 Database Schema Additions (Incoterm)</w:t>
      </w:r>
    </w:p>
    <w:p>
      <w:pPr>
        <w:spacing w:after="0" w:before="0" w:line="240" w:lineRule="auto"/>
        <w:ind w:left="57"/>
        <w:jc w:val="left"/>
        <w:shd w:val="clear" w:fill="F2F2F2"/>
      </w:pPr>
      <w:r>
        <w:rPr>
          <w:rFonts w:ascii="Consolas" w:hAnsi="Consolas" w:cs="Consolas"/>
          <w:b w:val="0"/>
          <w:i w:val="0"/>
          <w:sz w:val="15"/>
        </w:rPr>
        <w:t>-- Incoterm selection (formalized on trade_requests)</w:t>
      </w:r>
    </w:p>
    <w:p>
      <w:pPr>
        <w:spacing w:after="0" w:before="0" w:line="240" w:lineRule="auto"/>
        <w:ind w:left="57"/>
        <w:jc w:val="left"/>
        <w:shd w:val="clear" w:fill="F2F2F2"/>
      </w:pPr>
      <w:r>
        <w:rPr>
          <w:rFonts w:ascii="Consolas" w:hAnsi="Consolas" w:cs="Consolas"/>
          <w:b w:val="0"/>
          <w:i w:val="0"/>
          <w:sz w:val="15"/>
        </w:rPr>
        <w:t>ALTER TABLE trade_requests ADD COLUMN incoterm_selected_at TIMESTAMPTZ;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incoterm_validation_result JSONB;</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Incoterm rules (reference table, updated by RIA)</w:t>
      </w:r>
    </w:p>
    <w:p>
      <w:pPr>
        <w:spacing w:after="0" w:before="0" w:line="240" w:lineRule="auto"/>
        <w:ind w:left="57"/>
        <w:jc w:val="left"/>
        <w:shd w:val="clear" w:fill="F2F2F2"/>
      </w:pPr>
      <w:r>
        <w:rPr>
          <w:rFonts w:ascii="Consolas" w:hAnsi="Consolas" w:cs="Consolas"/>
          <w:b w:val="0"/>
          <w:i w:val="0"/>
          <w:sz w:val="15"/>
        </w:rPr>
        <w:t>CREATE TABLE incoterm_rules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incoterm TEXT NOT NULL, -- 'EXW', 'FOB', 'CFR', 'CIF', 'CPT', 'CIP', 'DAP', 'DPU', 'DDP'</w:t>
      </w:r>
    </w:p>
    <w:p>
      <w:pPr>
        <w:spacing w:after="0" w:before="0" w:line="240" w:lineRule="auto"/>
        <w:ind w:left="57"/>
        <w:jc w:val="left"/>
        <w:shd w:val="clear" w:fill="F2F2F2"/>
      </w:pPr>
      <w:r>
        <w:rPr>
          <w:rFonts w:ascii="Consolas" w:hAnsi="Consolas" w:cs="Consolas"/>
          <w:b w:val="0"/>
          <w:i w:val="0"/>
          <w:sz w:val="15"/>
        </w:rPr>
        <w:t xml:space="preserve">    full_name TEXT NOT NULL,</w:t>
      </w:r>
    </w:p>
    <w:p>
      <w:pPr>
        <w:spacing w:after="0" w:before="0" w:line="240" w:lineRule="auto"/>
        <w:ind w:left="57"/>
        <w:jc w:val="left"/>
        <w:shd w:val="clear" w:fill="F2F2F2"/>
      </w:pPr>
      <w:r>
        <w:rPr>
          <w:rFonts w:ascii="Consolas" w:hAnsi="Consolas" w:cs="Consolas"/>
          <w:b w:val="0"/>
          <w:i w:val="0"/>
          <w:sz w:val="15"/>
        </w:rPr>
        <w:t xml:space="preserve">    service_type TEXT NOT NULL,</w:t>
      </w:r>
    </w:p>
    <w:p>
      <w:pPr>
        <w:spacing w:after="0" w:before="0" w:line="240" w:lineRule="auto"/>
        <w:ind w:left="57"/>
        <w:jc w:val="left"/>
        <w:shd w:val="clear" w:fill="F2F2F2"/>
      </w:pPr>
      <w:r>
        <w:rPr>
          <w:rFonts w:ascii="Consolas" w:hAnsi="Consolas" w:cs="Consolas"/>
          <w:b w:val="0"/>
          <w:i w:val="0"/>
          <w:sz w:val="15"/>
        </w:rPr>
        <w:t xml:space="preserve">    is_mandatory BOOLEAN DEFAULT false,</w:t>
      </w:r>
    </w:p>
    <w:p>
      <w:pPr>
        <w:spacing w:after="0" w:before="0" w:line="240" w:lineRule="auto"/>
        <w:ind w:left="57"/>
        <w:jc w:val="left"/>
        <w:shd w:val="clear" w:fill="F2F2F2"/>
      </w:pPr>
      <w:r>
        <w:rPr>
          <w:rFonts w:ascii="Consolas" w:hAnsi="Consolas" w:cs="Consolas"/>
          <w:b w:val="0"/>
          <w:i w:val="0"/>
          <w:sz w:val="15"/>
        </w:rPr>
        <w:t xml:space="preserve">    is_forbidden BOOLEAN DEFAULT false,</w:t>
      </w:r>
    </w:p>
    <w:p>
      <w:pPr>
        <w:spacing w:after="0" w:before="0" w:line="240" w:lineRule="auto"/>
        <w:ind w:left="57"/>
        <w:jc w:val="left"/>
        <w:shd w:val="clear" w:fill="F2F2F2"/>
      </w:pPr>
      <w:r>
        <w:rPr>
          <w:rFonts w:ascii="Consolas" w:hAnsi="Consolas" w:cs="Consolas"/>
          <w:b w:val="0"/>
          <w:i w:val="0"/>
          <w:sz w:val="15"/>
        </w:rPr>
        <w:t xml:space="preserve">    jurisdiction_restrictions TEXT[],</w:t>
      </w:r>
    </w:p>
    <w:p>
      <w:pPr>
        <w:spacing w:after="0" w:before="0" w:line="240" w:lineRule="auto"/>
        <w:ind w:left="57"/>
        <w:jc w:val="left"/>
        <w:shd w:val="clear" w:fill="F2F2F2"/>
      </w:pPr>
      <w:r>
        <w:rPr>
          <w:rFonts w:ascii="Consolas" w:hAnsi="Consolas" w:cs="Consolas"/>
          <w:b w:val="0"/>
          <w:i w:val="0"/>
          <w:sz w:val="15"/>
        </w:rPr>
        <w:t xml:space="preserve">    transport_mode_compatibility TEXT[],</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UNIQUE(incoterm, service_type)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Incoterm plain-language templates (for A1 generation)</w:t>
      </w:r>
    </w:p>
    <w:p>
      <w:pPr>
        <w:spacing w:after="0" w:before="0" w:line="240" w:lineRule="auto"/>
        <w:ind w:left="57"/>
        <w:jc w:val="left"/>
        <w:shd w:val="clear" w:fill="F2F2F2"/>
      </w:pPr>
      <w:r>
        <w:rPr>
          <w:rFonts w:ascii="Consolas" w:hAnsi="Consolas" w:cs="Consolas"/>
          <w:b w:val="0"/>
          <w:i w:val="0"/>
          <w:sz w:val="15"/>
        </w:rPr>
        <w:t>CREATE TABLE incoterm_templates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incoterm TEXT NOT NULL,</w:t>
      </w:r>
    </w:p>
    <w:p>
      <w:pPr>
        <w:spacing w:after="0" w:before="0" w:line="240" w:lineRule="auto"/>
        <w:ind w:left="57"/>
        <w:jc w:val="left"/>
        <w:shd w:val="clear" w:fill="F2F2F2"/>
      </w:pPr>
      <w:r>
        <w:rPr>
          <w:rFonts w:ascii="Consolas" w:hAnsi="Consolas" w:cs="Consolas"/>
          <w:b w:val="0"/>
          <w:i w:val="0"/>
          <w:sz w:val="15"/>
        </w:rPr>
        <w:t xml:space="preserve">    language TEXT NOT NULL,</w:t>
      </w:r>
    </w:p>
    <w:p>
      <w:pPr>
        <w:spacing w:after="0" w:before="0" w:line="240" w:lineRule="auto"/>
        <w:ind w:left="57"/>
        <w:jc w:val="left"/>
        <w:shd w:val="clear" w:fill="F2F2F2"/>
      </w:pPr>
      <w:r>
        <w:rPr>
          <w:rFonts w:ascii="Consolas" w:hAnsi="Consolas" w:cs="Consolas"/>
          <w:b w:val="0"/>
          <w:i w:val="0"/>
          <w:sz w:val="15"/>
        </w:rPr>
        <w:t xml:space="preserve">    buyer_responsibility TEXT NOT NULL,</w:t>
      </w:r>
    </w:p>
    <w:p>
      <w:pPr>
        <w:spacing w:after="0" w:before="0" w:line="240" w:lineRule="auto"/>
        <w:ind w:left="57"/>
        <w:jc w:val="left"/>
        <w:shd w:val="clear" w:fill="F2F2F2"/>
      </w:pPr>
      <w:r>
        <w:rPr>
          <w:rFonts w:ascii="Consolas" w:hAnsi="Consolas" w:cs="Consolas"/>
          <w:b w:val="0"/>
          <w:i w:val="0"/>
          <w:sz w:val="15"/>
        </w:rPr>
        <w:t xml:space="preserve">    seller_responsibility TEXT NOT NULL,</w:t>
      </w:r>
    </w:p>
    <w:p>
      <w:pPr>
        <w:spacing w:after="0" w:before="0" w:line="240" w:lineRule="auto"/>
        <w:ind w:left="57"/>
        <w:jc w:val="left"/>
        <w:shd w:val="clear" w:fill="F2F2F2"/>
      </w:pPr>
      <w:r>
        <w:rPr>
          <w:rFonts w:ascii="Consolas" w:hAnsi="Consolas" w:cs="Consolas"/>
          <w:b w:val="0"/>
          <w:i w:val="0"/>
          <w:sz w:val="15"/>
        </w:rPr>
        <w:t xml:space="preserve">    optional_items TEXT,</w:t>
      </w:r>
    </w:p>
    <w:p>
      <w:pPr>
        <w:spacing w:after="0" w:before="0" w:line="240" w:lineRule="auto"/>
        <w:ind w:left="57"/>
        <w:jc w:val="left"/>
        <w:shd w:val="clear" w:fill="F2F2F2"/>
      </w:pPr>
      <w:r>
        <w:rPr>
          <w:rFonts w:ascii="Consolas" w:hAnsi="Consolas" w:cs="Consolas"/>
          <w:b w:val="0"/>
          <w:i w:val="0"/>
          <w:sz w:val="15"/>
        </w:rPr>
        <w:t xml:space="preserve">    payment_notes TEXT,</w:t>
      </w:r>
    </w:p>
    <w:p>
      <w:pPr>
        <w:spacing w:after="0" w:before="0" w:line="240" w:lineRule="auto"/>
        <w:ind w:left="57"/>
        <w:jc w:val="left"/>
        <w:shd w:val="clear" w:fill="F2F2F2"/>
      </w:pPr>
      <w:r>
        <w:rPr>
          <w:rFonts w:ascii="Consolas" w:hAnsi="Consolas" w:cs="Consolas"/>
          <w:b w:val="0"/>
          <w:i w:val="0"/>
          <w:sz w:val="15"/>
        </w:rPr>
        <w:t xml:space="preserve">    version INTEGER DEFAULT 1,</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UNIQUE(incoterm, language)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idx_incoterm_rules_incoterm ON incoterm_rules(incoterm);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idx_incoterm_rules_service ON incoterm_rules(service_type);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idx_incoterm_templates_incoterm ON incoterm_templates(incoterm);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idx_incoterm_templates_language ON incoterm_templates(language);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6.4.12 Implementation Checklist (Incoterm)</w:t>
      </w:r>
    </w:p>
    <w:p>
      <w:pPr>
        <w:keepNext/>
        <w:spacing w:before="140" w:after="60"/>
        <w:outlineLvl w:val="3"/>
      </w:pPr>
      <w:r>
        <w:rPr>
          <w:rFonts w:ascii="Arial" w:hAnsi="Arial" w:cs="Arial"/>
          <w:b/>
          <w:i/>
          <w:color w:val="333333"/>
          <w:sz w:val="22"/>
        </w:rPr>
        <w:t>6.4.12.1 Frontend</w:t>
      </w:r>
    </w:p>
    <w:p>
      <w:pPr>
        <w:spacing w:after="80" w:line="293" w:lineRule="auto"/>
        <w:ind w:left="283"/>
        <w:jc w:val="left"/>
      </w:pPr>
      <w:r>
        <w:rPr>
          <w:rFonts w:ascii="Times New Roman" w:hAnsi="Times New Roman" w:cs="Times New Roman"/>
          <w:b w:val="0"/>
          <w:i w:val="0"/>
          <w:sz w:val="22"/>
        </w:rPr>
        <w:t>- Implement incoterm dropdown with full incoterm names</w:t>
      </w:r>
    </w:p>
    <w:p>
      <w:pPr>
        <w:spacing w:after="80" w:line="293" w:lineRule="auto"/>
        <w:ind w:left="283"/>
        <w:jc w:val="left"/>
      </w:pPr>
      <w:r>
        <w:rPr>
          <w:rFonts w:ascii="Times New Roman" w:hAnsi="Times New Roman" w:cs="Times New Roman"/>
          <w:b w:val="0"/>
          <w:i w:val="0"/>
          <w:sz w:val="22"/>
        </w:rPr>
        <w:t>- Add plain-language responsibility summary (A1, Groq)</w:t>
      </w:r>
    </w:p>
    <w:p>
      <w:pPr>
        <w:spacing w:after="80" w:line="293" w:lineRule="auto"/>
        <w:ind w:left="283"/>
        <w:jc w:val="left"/>
      </w:pPr>
      <w:r>
        <w:rPr>
          <w:rFonts w:ascii="Times New Roman" w:hAnsi="Times New Roman" w:cs="Times New Roman"/>
          <w:b w:val="0"/>
          <w:i w:val="0"/>
          <w:sz w:val="22"/>
        </w:rPr>
        <w:t>- Auto-configure seller's mandatory services (hidden from buyer)</w:t>
      </w:r>
    </w:p>
    <w:p>
      <w:pPr>
        <w:spacing w:after="80" w:line="293" w:lineRule="auto"/>
        <w:ind w:left="283"/>
        <w:jc w:val="left"/>
      </w:pPr>
      <w:r>
        <w:rPr>
          <w:rFonts w:ascii="Times New Roman" w:hAnsi="Times New Roman" w:cs="Times New Roman"/>
          <w:b w:val="0"/>
          <w:i w:val="0"/>
          <w:sz w:val="22"/>
        </w:rPr>
        <w:t>- Add visual indicator of selected incoterm (icon, colour coding)</w:t>
      </w:r>
    </w:p>
    <w:p>
      <w:pPr>
        <w:spacing w:after="80" w:line="293" w:lineRule="auto"/>
        <w:ind w:left="283"/>
        <w:jc w:val="left"/>
      </w:pPr>
      <w:r>
        <w:rPr>
          <w:rFonts w:ascii="Times New Roman" w:hAnsi="Times New Roman" w:cs="Times New Roman"/>
          <w:b w:val="0"/>
          <w:i w:val="0"/>
          <w:sz w:val="22"/>
        </w:rPr>
        <w:t>- Add "View full Incoterms 2020 reference" link</w:t>
      </w:r>
    </w:p>
    <w:p>
      <w:pPr>
        <w:spacing w:after="80" w:line="293" w:lineRule="auto"/>
        <w:ind w:left="283"/>
        <w:jc w:val="left"/>
      </w:pPr>
      <w:r>
        <w:rPr>
          <w:rFonts w:ascii="Times New Roman" w:hAnsi="Times New Roman" w:cs="Times New Roman"/>
          <w:b w:val="0"/>
          <w:i w:val="0"/>
          <w:sz w:val="22"/>
        </w:rPr>
        <w:t>- Mobile-responsive incoterm selection UI</w:t>
      </w:r>
    </w:p>
    <w:p>
      <w:pPr>
        <w:keepNext/>
        <w:spacing w:before="140" w:after="60"/>
        <w:outlineLvl w:val="3"/>
      </w:pPr>
      <w:r>
        <w:rPr>
          <w:rFonts w:ascii="Arial" w:hAnsi="Arial" w:cs="Arial"/>
          <w:b/>
          <w:i/>
          <w:color w:val="333333"/>
          <w:sz w:val="22"/>
        </w:rPr>
        <w:t>6.4.12.2 Backend</w:t>
      </w:r>
    </w:p>
    <w:p>
      <w:pPr>
        <w:spacing w:after="80" w:line="293" w:lineRule="auto"/>
        <w:ind w:left="283"/>
        <w:jc w:val="left"/>
      </w:pPr>
      <w:r>
        <w:rPr>
          <w:rFonts w:ascii="Times New Roman" w:hAnsi="Times New Roman" w:cs="Times New Roman"/>
          <w:b w:val="0"/>
          <w:i w:val="0"/>
          <w:sz w:val="22"/>
        </w:rPr>
        <w:t>- Implement incoterm selection endpoint (`POST /v1/trade/incoterm/select`)</w:t>
      </w:r>
    </w:p>
    <w:p>
      <w:pPr>
        <w:spacing w:after="80" w:line="293" w:lineRule="auto"/>
        <w:ind w:left="283"/>
        <w:jc w:val="left"/>
      </w:pPr>
      <w:r>
        <w:rPr>
          <w:rFonts w:ascii="Times New Roman" w:hAnsi="Times New Roman" w:cs="Times New Roman"/>
          <w:b w:val="0"/>
          <w:i w:val="0"/>
          <w:sz w:val="22"/>
        </w:rPr>
        <w:t>- Implement incoterm validation service (Rust)</w:t>
      </w:r>
    </w:p>
    <w:p>
      <w:pPr>
        <w:spacing w:after="80" w:line="293" w:lineRule="auto"/>
        <w:ind w:left="283"/>
        <w:jc w:val="left"/>
      </w:pPr>
      <w:r>
        <w:rPr>
          <w:rFonts w:ascii="Times New Roman" w:hAnsi="Times New Roman" w:cs="Times New Roman"/>
          <w:b w:val="0"/>
          <w:i w:val="0"/>
          <w:sz w:val="22"/>
        </w:rPr>
        <w:t>- Integrate WasmEdge `incoterms_engine.wasm`</w:t>
      </w:r>
    </w:p>
    <w:p>
      <w:pPr>
        <w:spacing w:after="80" w:line="293" w:lineRule="auto"/>
        <w:ind w:left="283"/>
        <w:jc w:val="left"/>
      </w:pPr>
      <w:r>
        <w:rPr>
          <w:rFonts w:ascii="Times New Roman" w:hAnsi="Times New Roman" w:cs="Times New Roman"/>
          <w:b w:val="0"/>
          <w:i w:val="0"/>
          <w:sz w:val="22"/>
        </w:rPr>
        <w:t>- Implement incoterm rules lookup</w:t>
      </w:r>
    </w:p>
    <w:p>
      <w:pPr>
        <w:spacing w:after="80" w:line="293" w:lineRule="auto"/>
        <w:ind w:left="283"/>
        <w:jc w:val="left"/>
      </w:pPr>
      <w:r>
        <w:rPr>
          <w:rFonts w:ascii="Times New Roman" w:hAnsi="Times New Roman" w:cs="Times New Roman"/>
          <w:b w:val="0"/>
          <w:i w:val="0"/>
          <w:sz w:val="22"/>
        </w:rPr>
        <w:t>- Implement auto-configuration of mandatory services</w:t>
      </w:r>
    </w:p>
    <w:p>
      <w:pPr>
        <w:spacing w:after="80" w:line="293" w:lineRule="auto"/>
        <w:ind w:left="283"/>
        <w:jc w:val="left"/>
      </w:pPr>
      <w:r>
        <w:rPr>
          <w:rFonts w:ascii="Times New Roman" w:hAnsi="Times New Roman" w:cs="Times New Roman"/>
          <w:b w:val="0"/>
          <w:i w:val="0"/>
          <w:sz w:val="22"/>
        </w:rPr>
        <w:t>- Implement plain-language summary generation (A1, Groq)</w:t>
      </w:r>
    </w:p>
    <w:p>
      <w:pPr>
        <w:keepNext/>
        <w:spacing w:before="140" w:after="60"/>
        <w:outlineLvl w:val="3"/>
      </w:pPr>
      <w:r>
        <w:rPr>
          <w:rFonts w:ascii="Arial" w:hAnsi="Arial" w:cs="Arial"/>
          <w:b/>
          <w:i/>
          <w:color w:val="333333"/>
          <w:sz w:val="22"/>
        </w:rPr>
        <w:t>6.4.12.3 WasmEdge Module</w:t>
      </w:r>
    </w:p>
    <w:p>
      <w:pPr>
        <w:spacing w:after="80" w:line="293" w:lineRule="auto"/>
        <w:ind w:left="283"/>
        <w:jc w:val="left"/>
      </w:pPr>
      <w:r>
        <w:rPr>
          <w:rFonts w:ascii="Times New Roman" w:hAnsi="Times New Roman" w:cs="Times New Roman"/>
          <w:b w:val="0"/>
          <w:i w:val="0"/>
          <w:sz w:val="22"/>
        </w:rPr>
        <w:t>- Compile `incoterms_engine.wasm` from Rust</w:t>
      </w:r>
    </w:p>
    <w:p>
      <w:pPr>
        <w:spacing w:after="80" w:line="293" w:lineRule="auto"/>
        <w:ind w:left="283"/>
        <w:jc w:val="left"/>
      </w:pPr>
      <w:r>
        <w:rPr>
          <w:rFonts w:ascii="Times New Roman" w:hAnsi="Times New Roman" w:cs="Times New Roman"/>
          <w:b w:val="0"/>
          <w:i w:val="0"/>
          <w:sz w:val="22"/>
        </w:rPr>
        <w:t>- Implement validation logic (mandatory/forbidden services)</w:t>
      </w:r>
    </w:p>
    <w:p>
      <w:pPr>
        <w:spacing w:after="80" w:line="293" w:lineRule="auto"/>
        <w:ind w:left="283"/>
        <w:jc w:val="left"/>
      </w:pPr>
      <w:r>
        <w:rPr>
          <w:rFonts w:ascii="Times New Roman" w:hAnsi="Times New Roman" w:cs="Times New Roman"/>
          <w:b w:val="0"/>
          <w:i w:val="0"/>
          <w:sz w:val="22"/>
        </w:rPr>
        <w:t>- Implement jurisdiction compatibility</w:t>
      </w:r>
    </w:p>
    <w:p>
      <w:pPr>
        <w:spacing w:after="80" w:line="293" w:lineRule="auto"/>
        <w:ind w:left="283"/>
        <w:jc w:val="left"/>
      </w:pPr>
      <w:r>
        <w:rPr>
          <w:rFonts w:ascii="Times New Roman" w:hAnsi="Times New Roman" w:cs="Times New Roman"/>
          <w:b w:val="0"/>
          <w:i w:val="0"/>
          <w:sz w:val="22"/>
        </w:rPr>
        <w:t>- Implement transport mode compatibility</w:t>
      </w:r>
    </w:p>
    <w:p>
      <w:pPr>
        <w:spacing w:after="80" w:line="293" w:lineRule="auto"/>
        <w:ind w:left="283"/>
        <w:jc w:val="left"/>
      </w:pPr>
      <w:r>
        <w:rPr>
          <w:rFonts w:ascii="Times New Roman" w:hAnsi="Times New Roman" w:cs="Times New Roman"/>
          <w:b w:val="0"/>
          <w:i w:val="0"/>
          <w:sz w:val="22"/>
        </w:rPr>
        <w:t>- Add hot-reload capability</w:t>
      </w:r>
    </w:p>
    <w:p>
      <w:pPr>
        <w:spacing w:after="80" w:line="293" w:lineRule="auto"/>
        <w:ind w:left="283"/>
        <w:jc w:val="left"/>
      </w:pPr>
      <w:r>
        <w:rPr>
          <w:rFonts w:ascii="Times New Roman" w:hAnsi="Times New Roman" w:cs="Times New Roman"/>
          <w:b w:val="0"/>
          <w:i w:val="0"/>
          <w:sz w:val="22"/>
        </w:rPr>
        <w:t>- Sign module with multisig</w:t>
      </w:r>
    </w:p>
    <w:p>
      <w:pPr>
        <w:keepNext/>
        <w:spacing w:before="140" w:after="60"/>
        <w:outlineLvl w:val="3"/>
      </w:pPr>
      <w:r>
        <w:rPr>
          <w:rFonts w:ascii="Arial" w:hAnsi="Arial" w:cs="Arial"/>
          <w:b/>
          <w:i/>
          <w:color w:val="333333"/>
          <w:sz w:val="22"/>
        </w:rPr>
        <w:t>6.4.12.4 Governor Integration</w:t>
      </w:r>
    </w:p>
    <w:p>
      <w:pPr>
        <w:spacing w:after="80" w:line="293" w:lineRule="auto"/>
        <w:ind w:left="283"/>
        <w:jc w:val="left"/>
      </w:pPr>
      <w:r>
        <w:rPr>
          <w:rFonts w:ascii="Times New Roman" w:hAnsi="Times New Roman" w:cs="Times New Roman"/>
          <w:b w:val="0"/>
          <w:i w:val="0"/>
          <w:sz w:val="22"/>
        </w:rPr>
        <w:t>- Add jurisdiction validation gate</w:t>
      </w:r>
    </w:p>
    <w:p>
      <w:pPr>
        <w:spacing w:after="80" w:line="293" w:lineRule="auto"/>
        <w:ind w:left="283"/>
        <w:jc w:val="left"/>
      </w:pPr>
      <w:r>
        <w:rPr>
          <w:rFonts w:ascii="Times New Roman" w:hAnsi="Times New Roman" w:cs="Times New Roman"/>
          <w:b w:val="0"/>
          <w:i w:val="0"/>
          <w:sz w:val="22"/>
        </w:rPr>
        <w:t>- Add incoterm validation gate</w:t>
      </w:r>
    </w:p>
    <w:p>
      <w:pPr>
        <w:spacing w:after="80" w:line="293" w:lineRule="auto"/>
        <w:ind w:left="283"/>
        <w:jc w:val="left"/>
      </w:pPr>
      <w:r>
        <w:rPr>
          <w:rFonts w:ascii="Times New Roman" w:hAnsi="Times New Roman" w:cs="Times New Roman"/>
          <w:b w:val="0"/>
          <w:i w:val="0"/>
          <w:sz w:val="22"/>
        </w:rPr>
        <w:t>- Add G2U18: mandatory service check</w:t>
      </w:r>
    </w:p>
    <w:p>
      <w:pPr>
        <w:spacing w:after="80" w:line="293" w:lineRule="auto"/>
        <w:ind w:left="283"/>
        <w:jc w:val="left"/>
      </w:pPr>
      <w:r>
        <w:rPr>
          <w:rFonts w:ascii="Times New Roman" w:hAnsi="Times New Roman" w:cs="Times New Roman"/>
          <w:b w:val="0"/>
          <w:i w:val="0"/>
          <w:sz w:val="22"/>
        </w:rPr>
        <w:t>- Implement Decision Panel integration for CONDITIONAL/DENY</w:t>
      </w:r>
    </w:p>
    <w:p>
      <w:pPr>
        <w:keepNext/>
        <w:spacing w:before="140" w:after="60"/>
        <w:outlineLvl w:val="3"/>
      </w:pPr>
      <w:r>
        <w:rPr>
          <w:rFonts w:ascii="Arial" w:hAnsi="Arial" w:cs="Arial"/>
          <w:b/>
          <w:i/>
          <w:color w:val="333333"/>
          <w:sz w:val="22"/>
        </w:rPr>
        <w:t>6.4.12.5 Testing</w:t>
      </w:r>
    </w:p>
    <w:p>
      <w:pPr>
        <w:spacing w:after="80" w:line="293" w:lineRule="auto"/>
        <w:ind w:left="283"/>
        <w:jc w:val="left"/>
      </w:pPr>
      <w:r>
        <w:rPr>
          <w:rFonts w:ascii="Times New Roman" w:hAnsi="Times New Roman" w:cs="Times New Roman"/>
          <w:b w:val="0"/>
          <w:i w:val="0"/>
          <w:sz w:val="22"/>
        </w:rPr>
        <w:t>- Unit tests: incoterm rules validation</w:t>
      </w:r>
    </w:p>
    <w:p>
      <w:pPr>
        <w:spacing w:after="80" w:line="293" w:lineRule="auto"/>
        <w:ind w:left="283"/>
        <w:jc w:val="left"/>
      </w:pPr>
      <w:r>
        <w:rPr>
          <w:rFonts w:ascii="Times New Roman" w:hAnsi="Times New Roman" w:cs="Times New Roman"/>
          <w:b w:val="0"/>
          <w:i w:val="0"/>
          <w:sz w:val="22"/>
        </w:rPr>
        <w:t>- Unit tests: mandatory service detection</w:t>
      </w:r>
    </w:p>
    <w:p>
      <w:pPr>
        <w:spacing w:after="80" w:line="293" w:lineRule="auto"/>
        <w:ind w:left="283"/>
        <w:jc w:val="left"/>
      </w:pPr>
      <w:r>
        <w:rPr>
          <w:rFonts w:ascii="Times New Roman" w:hAnsi="Times New Roman" w:cs="Times New Roman"/>
          <w:b w:val="0"/>
          <w:i w:val="0"/>
          <w:sz w:val="22"/>
        </w:rPr>
        <w:t>- Integration tests: incoterm selection → auto-configuration</w:t>
      </w:r>
    </w:p>
    <w:p>
      <w:pPr>
        <w:spacing w:after="80" w:line="293" w:lineRule="auto"/>
        <w:ind w:left="283"/>
        <w:jc w:val="left"/>
      </w:pPr>
      <w:r>
        <w:rPr>
          <w:rFonts w:ascii="Times New Roman" w:hAnsi="Times New Roman" w:cs="Times New Roman"/>
          <w:b w:val="0"/>
          <w:i w:val="0"/>
          <w:sz w:val="22"/>
        </w:rPr>
        <w:t>- Integration tests: incoterm validation (valid/invalid combinations)</w:t>
      </w:r>
    </w:p>
    <w:p>
      <w:pPr>
        <w:spacing w:after="80" w:line="293" w:lineRule="auto"/>
        <w:ind w:left="283"/>
        <w:jc w:val="left"/>
      </w:pPr>
      <w:r>
        <w:rPr>
          <w:rFonts w:ascii="Times New Roman" w:hAnsi="Times New Roman" w:cs="Times New Roman"/>
          <w:b w:val="0"/>
          <w:i w:val="0"/>
          <w:sz w:val="22"/>
        </w:rPr>
        <w:t>- Integration tests: plain-language summary generation</w:t>
      </w:r>
    </w:p>
    <w:p>
      <w:pPr>
        <w:spacing w:after="80" w:line="293" w:lineRule="auto"/>
        <w:ind w:left="283"/>
        <w:jc w:val="left"/>
      </w:pPr>
      <w:r>
        <w:rPr>
          <w:rFonts w:ascii="Times New Roman" w:hAnsi="Times New Roman" w:cs="Times New Roman"/>
          <w:b w:val="0"/>
          <w:i w:val="0"/>
          <w:sz w:val="22"/>
        </w:rPr>
        <w:t>- End-to-end tests: incoterm selection → seller quote → submission</w:t>
      </w:r>
    </w:p>
    <w:p>
      <w:pPr>
        <w:spacing w:after="80" w:line="293" w:lineRule="auto"/>
        <w:ind w:left="283"/>
        <w:jc w:val="left"/>
      </w:pPr>
      <w:r>
        <w:rPr>
          <w:rFonts w:ascii="Times New Roman" w:hAnsi="Times New Roman" w:cs="Times New Roman"/>
          <w:b w:val="0"/>
          <w:i w:val="0"/>
          <w:sz w:val="22"/>
        </w:rPr>
        <w:t>- Performance tests: incoterm validation latency (&lt;100ms)</w:t>
      </w:r>
    </w:p>
    <w:p>
      <w:pPr>
        <w:keepNext/>
        <w:spacing w:before="180" w:after="80"/>
        <w:outlineLvl w:val="2"/>
      </w:pPr>
      <w:r>
        <w:rPr>
          <w:rFonts w:ascii="Arial" w:hAnsi="Arial" w:cs="Arial"/>
          <w:b/>
          <w:i w:val="0"/>
          <w:color w:val="333333"/>
          <w:sz w:val="23"/>
        </w:rPr>
        <w:t>6.4.13 AI Authority Summary (Incoterm)</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Incoterm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Plain-language responsibility summaries in the user's language (from `incoterm_templates`)</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`incoterms_engine.wasm`: mandatory/forbidden service validation, jurisdiction compatibility, transport mode compatibility, G2U18 mandatory service check</w:t>
            </w:r>
          </w:p>
        </w:tc>
      </w:tr>
      <w:tr>
        <w:tc>
          <w:tcPr>
            <w:tcW w:type="dxa" w:w="3213"/>
          </w:tcPr>
          <w:p>
            <w:pPr>
              <w:spacing w:after="20" w:before="20" w:line="240" w:lineRule="auto"/>
            </w:pPr>
            <w:r/>
            <w:r>
              <w:rPr>
                <w:rFonts w:ascii="Arial" w:hAnsi="Arial" w:cs="Arial"/>
                <w:b w:val="0"/>
                <w:i w:val="0"/>
                <w:sz w:val="17"/>
              </w:rPr>
              <w:t>A2 (RIA)</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Maintains `incoterm_rules` (restrictions, mode compatibility) from regulatory sources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6.4.14 Complete Form Integration Example</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buyer selects CFR for Oranges (Egypt → Germany).</w:t>
      </w:r>
    </w:p>
    <w:p>
      <w:pPr>
        <w:spacing w:after="0" w:before="0" w:line="240" w:lineRule="auto"/>
        <w:ind w:left="57"/>
        <w:jc w:val="left"/>
        <w:shd w:val="clear" w:fill="F2F2F2"/>
      </w:pPr>
      <w:r>
        <w:rPr>
          <w:rFonts w:ascii="Consolas" w:hAnsi="Consolas" w:cs="Consolas"/>
          <w:b w:val="0"/>
          <w:i w:val="0"/>
          <w:sz w:val="15"/>
        </w:rPr>
        <w:t>2. INCOTERM SELECTION — [CFR ▼] (Cost and Freight)</w:t>
      </w:r>
    </w:p>
    <w:p>
      <w:pPr>
        <w:spacing w:after="0" w:before="0" w:line="240" w:lineRule="auto"/>
        <w:ind w:left="57"/>
        <w:jc w:val="left"/>
        <w:shd w:val="clear" w:fill="F2F2F2"/>
      </w:pPr>
      <w:r>
        <w:rPr>
          <w:rFonts w:ascii="Consolas" w:hAnsi="Consolas" w:cs="Consolas"/>
          <w:b w:val="0"/>
          <w:i w:val="0"/>
          <w:sz w:val="15"/>
        </w:rPr>
        <w:t xml:space="preserve">   Seller Responsibilities (Mekong Fresh Co.):</w:t>
      </w:r>
    </w:p>
    <w:p>
      <w:pPr>
        <w:spacing w:after="0" w:before="0" w:line="240" w:lineRule="auto"/>
        <w:ind w:left="57"/>
        <w:jc w:val="left"/>
        <w:shd w:val="clear" w:fill="F2F2F2"/>
      </w:pPr>
      <w:r>
        <w:rPr>
          <w:rFonts w:ascii="Consolas" w:hAnsi="Consolas" w:cs="Consolas"/>
          <w:b w:val="0"/>
          <w:i w:val="0"/>
          <w:sz w:val="15"/>
        </w:rPr>
        <w:t xml:space="preserve">   • Export customs clearance</w:t>
      </w:r>
    </w:p>
    <w:p>
      <w:pPr>
        <w:spacing w:after="0" w:before="0" w:line="240" w:lineRule="auto"/>
        <w:ind w:left="57"/>
        <w:jc w:val="left"/>
        <w:shd w:val="clear" w:fill="F2F2F2"/>
      </w:pPr>
      <w:r>
        <w:rPr>
          <w:rFonts w:ascii="Consolas" w:hAnsi="Consolas" w:cs="Consolas"/>
          <w:b w:val="0"/>
          <w:i w:val="0"/>
          <w:sz w:val="15"/>
        </w:rPr>
        <w:t xml:space="preserve">   • Trucking (farm → port) — Mandatory</w:t>
      </w:r>
    </w:p>
    <w:p>
      <w:pPr>
        <w:spacing w:after="0" w:before="0" w:line="240" w:lineRule="auto"/>
        <w:ind w:left="57"/>
        <w:jc w:val="left"/>
        <w:shd w:val="clear" w:fill="F2F2F2"/>
      </w:pPr>
      <w:r>
        <w:rPr>
          <w:rFonts w:ascii="Consolas" w:hAnsi="Consolas" w:cs="Consolas"/>
          <w:b w:val="0"/>
          <w:i w:val="0"/>
          <w:sz w:val="15"/>
        </w:rPr>
        <w:t xml:space="preserve">   • Ocean Freight (Alexandria → Hamburg) — Mandatory</w:t>
      </w:r>
    </w:p>
    <w:p>
      <w:pPr>
        <w:spacing w:after="0" w:before="0" w:line="240" w:lineRule="auto"/>
        <w:ind w:left="57"/>
        <w:jc w:val="left"/>
        <w:shd w:val="clear" w:fill="F2F2F2"/>
      </w:pPr>
      <w:r>
        <w:rPr>
          <w:rFonts w:ascii="Consolas" w:hAnsi="Consolas" w:cs="Consolas"/>
          <w:b w:val="0"/>
          <w:i w:val="0"/>
          <w:sz w:val="15"/>
        </w:rPr>
        <w:t xml:space="preserve">   • THC (origin port) — Mandatory</w:t>
      </w:r>
    </w:p>
    <w:p>
      <w:pPr>
        <w:spacing w:after="0" w:before="0" w:line="240" w:lineRule="auto"/>
        <w:ind w:left="57"/>
        <w:jc w:val="left"/>
        <w:shd w:val="clear" w:fill="F2F2F2"/>
      </w:pPr>
      <w:r>
        <w:rPr>
          <w:rFonts w:ascii="Consolas" w:hAnsi="Consolas" w:cs="Consolas"/>
          <w:b w:val="0"/>
          <w:i w:val="0"/>
          <w:sz w:val="15"/>
        </w:rPr>
        <w:t xml:space="preserve">   • Insurance — Optional</w:t>
      </w:r>
    </w:p>
    <w:p>
      <w:pPr>
        <w:spacing w:after="0" w:before="0" w:line="240" w:lineRule="auto"/>
        <w:ind w:left="57"/>
        <w:jc w:val="left"/>
        <w:shd w:val="clear" w:fill="F2F2F2"/>
      </w:pPr>
      <w:r>
        <w:rPr>
          <w:rFonts w:ascii="Consolas" w:hAnsi="Consolas" w:cs="Consolas"/>
          <w:b w:val="0"/>
          <w:i w:val="0"/>
          <w:sz w:val="15"/>
        </w:rPr>
        <w:t xml:space="preserve">   Buyer Responsibilities (Nile Foods):</w:t>
      </w:r>
    </w:p>
    <w:p>
      <w:pPr>
        <w:spacing w:after="0" w:before="0" w:line="240" w:lineRule="auto"/>
        <w:ind w:left="57"/>
        <w:jc w:val="left"/>
        <w:shd w:val="clear" w:fill="F2F2F2"/>
      </w:pPr>
      <w:r>
        <w:rPr>
          <w:rFonts w:ascii="Consolas" w:hAnsi="Consolas" w:cs="Consolas"/>
          <w:b w:val="0"/>
          <w:i w:val="0"/>
          <w:sz w:val="15"/>
        </w:rPr>
        <w:t xml:space="preserve">   • Import customs clearance — will be added later</w:t>
      </w:r>
    </w:p>
    <w:p>
      <w:pPr>
        <w:spacing w:after="0" w:before="0" w:line="240" w:lineRule="auto"/>
        <w:ind w:left="57"/>
        <w:jc w:val="left"/>
        <w:shd w:val="clear" w:fill="F2F2F2"/>
      </w:pPr>
      <w:r>
        <w:rPr>
          <w:rFonts w:ascii="Consolas" w:hAnsi="Consolas" w:cs="Consolas"/>
          <w:b w:val="0"/>
          <w:i w:val="0"/>
          <w:sz w:val="15"/>
        </w:rPr>
        <w:t xml:space="preserve">   • Destination charges — will be added later</w:t>
      </w:r>
    </w:p>
    <w:p>
      <w:pPr>
        <w:spacing w:after="0" w:before="0" w:line="240" w:lineRule="auto"/>
        <w:ind w:left="57"/>
        <w:jc w:val="left"/>
        <w:shd w:val="clear" w:fill="F2F2F2"/>
      </w:pPr>
      <w:r>
        <w:rPr>
          <w:rFonts w:ascii="Consolas" w:hAnsi="Consolas" w:cs="Consolas"/>
          <w:b w:val="0"/>
          <w:i w:val="0"/>
          <w:sz w:val="15"/>
        </w:rPr>
        <w:t xml:space="preserve">   • Insurance — optional (can be arranged by buyer)</w:t>
      </w:r>
    </w:p>
    <w:p>
      <w:pPr>
        <w:spacing w:after="0" w:before="0" w:line="240" w:lineRule="auto"/>
        <w:ind w:left="57"/>
        <w:jc w:val="left"/>
        <w:shd w:val="clear" w:fill="F2F2F2"/>
      </w:pPr>
      <w:r>
        <w:rPr>
          <w:rFonts w:ascii="Consolas" w:hAnsi="Consolas" w:cs="Consolas"/>
          <w:b w:val="0"/>
          <w:i w:val="0"/>
          <w:sz w:val="15"/>
        </w:rPr>
        <w:t>SGTX Fee: engine-determined on (EXW + Mandatory Logistics)</w:t>
      </w:r>
    </w:p>
    <w:p>
      <w:pPr>
        <w:spacing w:after="0" w:before="0" w:line="240" w:lineRule="auto"/>
        <w:ind w:left="57"/>
        <w:jc w:val="left"/>
        <w:shd w:val="clear" w:fill="F2F2F2"/>
      </w:pPr>
      <w:r>
        <w:rPr>
          <w:rFonts w:ascii="Consolas" w:hAnsi="Consolas" w:cs="Consolas"/>
          <w:b w:val="0"/>
          <w:i w:val="0"/>
          <w:sz w:val="15"/>
        </w:rPr>
        <w:t>Estimated Canonical Fee Basis: $105,100</w:t>
      </w:r>
    </w:p>
    <w:p>
      <w:pPr>
        <w:spacing w:after="0" w:before="0" w:line="240" w:lineRule="auto"/>
        <w:ind w:left="57"/>
        <w:jc w:val="left"/>
        <w:shd w:val="clear" w:fill="F2F2F2"/>
      </w:pPr>
      <w:r>
        <w:rPr>
          <w:rFonts w:ascii="Consolas" w:hAnsi="Consolas" w:cs="Consolas"/>
          <w:b w:val="0"/>
          <w:i w:val="0"/>
          <w:sz w:val="15"/>
        </w:rPr>
        <w:t>Estimated SGTX Fee (indicative, 0.144%): $151.34</w:t>
      </w:r>
    </w:p>
    <w:p>
      <w:pPr>
        <w:spacing w:after="0" w:before="0" w:line="240" w:lineRule="auto"/>
        <w:ind w:left="57"/>
        <w:jc w:val="left"/>
        <w:shd w:val="clear" w:fill="F2F2F2"/>
      </w:pPr>
      <w:r>
        <w:rPr>
          <w:rFonts w:ascii="Consolas" w:hAnsi="Consolas" w:cs="Consolas"/>
          <w:b w:val="0"/>
          <w:i w:val="0"/>
          <w:sz w:val="15"/>
        </w:rPr>
        <w:t xml:space="preserve">   [View Full Incoterms 2020 Reference]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6.4.15 Incoterm Responsibility Framework (Structured, Not Workflow-Per-Term)</w:t>
      </w:r>
    </w:p>
    <w:p>
      <w:pPr>
        <w:spacing w:after="80" w:line="293" w:lineRule="auto"/>
        <w:jc w:val="left"/>
      </w:pPr>
      <w:r>
        <w:rPr>
          <w:rFonts w:ascii="Times New Roman" w:hAnsi="Times New Roman" w:cs="Times New Roman"/>
          <w:b w:val="0"/>
          <w:i w:val="0"/>
          <w:sz w:val="22"/>
        </w:rPr>
        <w:t>Incoterms are a structured responsibility and risk framework, not a workflow engine. The platform implements Incoterm logic as a single responsibility/risk framework that parameterizes the readiness, evidence, financing, and insurance dimensions of trade execution. The platform never implements one separate workflow per Incoterm term: no set of eleven terms produces eleven independent workflow implementations. Each Incoterm maps to:</w:t>
      </w:r>
    </w:p>
    <w:p>
      <w:pPr>
        <w:spacing w:after="0" w:before="0" w:line="240" w:lineRule="auto"/>
        <w:ind w:left="57"/>
        <w:jc w:val="left"/>
        <w:shd w:val="clear" w:fill="F2F2F2"/>
      </w:pPr>
      <w:r>
        <w:rPr>
          <w:rFonts w:ascii="Consolas" w:hAnsi="Consolas" w:cs="Consolas"/>
          <w:b w:val="0"/>
          <w:i w:val="0"/>
          <w:sz w:val="15"/>
        </w:rPr>
        <w:t>Incoterm</w:t>
      </w:r>
    </w:p>
    <w:p>
      <w:pPr>
        <w:spacing w:after="0" w:before="0" w:line="240" w:lineRule="auto"/>
        <w:ind w:left="57"/>
        <w:jc w:val="left"/>
        <w:shd w:val="clear" w:fill="F2F2F2"/>
      </w:pPr>
      <w:r>
        <w:rPr>
          <w:rFonts w:ascii="Consolas" w:hAnsi="Consolas" w:cs="Consolas"/>
          <w:b w:val="0"/>
          <w:i w:val="0"/>
          <w:sz w:val="15"/>
        </w:rPr>
        <w:t xml:space="preserve">  -&gt; responsibility map      (who is responsible for each execution obligation)</w:t>
      </w:r>
    </w:p>
    <w:p>
      <w:pPr>
        <w:spacing w:after="0" w:before="0" w:line="240" w:lineRule="auto"/>
        <w:ind w:left="57"/>
        <w:jc w:val="left"/>
        <w:shd w:val="clear" w:fill="F2F2F2"/>
      </w:pPr>
      <w:r>
        <w:rPr>
          <w:rFonts w:ascii="Consolas" w:hAnsi="Consolas" w:cs="Consolas"/>
          <w:b w:val="0"/>
          <w:i w:val="0"/>
          <w:sz w:val="15"/>
        </w:rPr>
        <w:t xml:space="preserve">  -&gt; risk transfer point     (where risk passes between buyer and seller)</w:t>
      </w:r>
    </w:p>
    <w:p>
      <w:pPr>
        <w:spacing w:after="0" w:before="0" w:line="240" w:lineRule="auto"/>
        <w:ind w:left="57"/>
        <w:jc w:val="left"/>
        <w:shd w:val="clear" w:fill="F2F2F2"/>
      </w:pPr>
      <w:r>
        <w:rPr>
          <w:rFonts w:ascii="Consolas" w:hAnsi="Consolas" w:cs="Consolas"/>
          <w:b w:val="0"/>
          <w:i w:val="0"/>
          <w:sz w:val="15"/>
        </w:rPr>
        <w:t xml:space="preserve">  -&gt; readiness rules         (dependency-graph node requirements, Section 19.67.1)</w:t>
      </w:r>
    </w:p>
    <w:p>
      <w:pPr>
        <w:spacing w:after="0" w:before="0" w:line="240" w:lineRule="auto"/>
        <w:ind w:left="57"/>
        <w:jc w:val="left"/>
        <w:shd w:val="clear" w:fill="F2F2F2"/>
      </w:pPr>
      <w:r>
        <w:rPr>
          <w:rFonts w:ascii="Consolas" w:hAnsi="Consolas" w:cs="Consolas"/>
          <w:b w:val="0"/>
          <w:i w:val="0"/>
          <w:sz w:val="15"/>
        </w:rPr>
        <w:t xml:space="preserve">  -&gt; evidence rules          (required evidence set per obligation)</w:t>
      </w:r>
    </w:p>
    <w:p>
      <w:pPr>
        <w:spacing w:after="0" w:before="0" w:line="240" w:lineRule="auto"/>
        <w:ind w:left="57"/>
        <w:jc w:val="left"/>
        <w:shd w:val="clear" w:fill="F2F2F2"/>
      </w:pPr>
      <w:r>
        <w:rPr>
          <w:rFonts w:ascii="Consolas" w:hAnsi="Consolas" w:cs="Consolas"/>
          <w:b w:val="0"/>
          <w:i w:val="0"/>
          <w:sz w:val="15"/>
        </w:rPr>
        <w:t xml:space="preserve">  -&gt; financing implications  (candidate financing structures, Section 10.7.1)</w:t>
      </w:r>
    </w:p>
    <w:p>
      <w:pPr>
        <w:spacing w:after="0" w:before="0" w:line="240" w:lineRule="auto"/>
        <w:ind w:left="57"/>
        <w:jc w:val="left"/>
        <w:shd w:val="clear" w:fill="F2F2F2"/>
      </w:pPr>
      <w:r>
        <w:rPr>
          <w:rFonts w:ascii="Consolas" w:hAnsi="Consolas" w:cs="Consolas"/>
          <w:b w:val="0"/>
          <w:i w:val="0"/>
          <w:sz w:val="15"/>
        </w:rPr>
        <w:t xml:space="preserve">  -&gt; insurance implications  (insurance obligation profile, Section 6.10)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structured model scales to any term set and keeps corridor-specific behaviour in configuration rather than code. Incoterms drive responsibility and readiness configuration only; they never constitute an artificial transaction lifecycle of their own, and they never select financing roles. In particular, an Incoterm must never automatically determine the borrower, the financier, credit eligibility, approval, disbursement authority, or any financing decision: the borrower is a commercial and legal role derived from the actual financing arrangement (Section 10.43.1). Physical execution responsibility and financing responsibility are separate dimensions; the Execution Readiness Reference (Section 10.7.1) computes candidate responsibility mappings without deciding financing roles.</w:t>
      </w:r>
    </w:p>
    <w:p>
      <w:pPr>
        <w:spacing w:after="80" w:line="293" w:lineRule="auto"/>
        <w:jc w:val="left"/>
      </w:pPr>
      <w:r>
        <w:rPr>
          <w:rFonts w:ascii="Times New Roman" w:hAnsi="Times New Roman" w:cs="Times New Roman"/>
          <w:b w:val="0"/>
          <w:i w:val="0"/>
          <w:sz w:val="22"/>
        </w:rPr>
        <w:t>Term-specific validation profiles are configuration, not code branches, and are enforced through the Incoterm Validation Engine (Section 6.4.6) in addition to its mandatory/forbidden service and compatibility rules. The CIF and CIP profiles validate the insurance obligation in full: policy existence, named insured, covered risks, coverage amount, shipment/cargo linkage, effective dates, and jurisdictional applicability; the existence of an insurance certificate alone is never sufficient to mark the obligation satisfied. The DDP profile validates import-side responsibility: importer-of-record capability, customs representation, tax registration, authority to import, duties and tax responsibility, and local regulatory requirements; selecting DDP never marks the shipment ready by itself. Every profile is expressed as required evidence sets and dependency-graph conditions evaluated by the Governor, so that new terms and amended profiles are configuration changes under version control, with policy_version recorded on each evaluation.</w:t>
      </w:r>
    </w:p>
    <w:p>
      <w:pPr>
        <w:keepNext/>
        <w:spacing w:before="240" w:after="100"/>
        <w:outlineLvl w:val="1"/>
      </w:pPr>
      <w:r>
        <w:rPr>
          <w:rFonts w:ascii="Arial" w:hAnsi="Arial" w:cs="Arial"/>
          <w:b/>
          <w:i w:val="0"/>
          <w:color w:val="2E528F"/>
          <w:sz w:val="26"/>
        </w:rPr>
        <w:t>6.5 Product Form Agent (A2)</w:t>
      </w:r>
    </w:p>
    <w:p>
      <w:pPr>
        <w:keepNext/>
        <w:spacing w:before="180" w:after="80"/>
        <w:outlineLvl w:val="2"/>
      </w:pPr>
      <w:r>
        <w:rPr>
          <w:rFonts w:ascii="Arial" w:hAnsi="Arial" w:cs="Arial"/>
          <w:b/>
          <w:i w:val="0"/>
          <w:color w:val="333333"/>
          <w:sz w:val="23"/>
        </w:rPr>
        <w:t>6.5.1 Purpose &amp; Design Philosophy</w:t>
      </w:r>
    </w:p>
    <w:p>
      <w:pPr>
        <w:spacing w:after="80" w:line="293" w:lineRule="auto"/>
        <w:jc w:val="left"/>
      </w:pPr>
      <w:r>
        <w:rPr>
          <w:rFonts w:ascii="Times New Roman" w:hAnsi="Times New Roman" w:cs="Times New Roman"/>
          <w:b w:val="0"/>
          <w:i w:val="0"/>
          <w:sz w:val="22"/>
        </w:rPr>
        <w:t>The Product Form Agent is the intelligence engine that transforms a simple product selection into a complete, regulation-aware, product-specific form. It is the bridge between the RIA's regulatory knowledge and the buyer's data entry experience. When a buyer selects a product (by typing a product name or HS code), the Product Form Agent:</w:t>
      </w:r>
    </w:p>
    <w:p>
      <w:pPr>
        <w:spacing w:after="80" w:line="293" w:lineRule="auto"/>
        <w:ind w:left="283"/>
        <w:jc w:val="left"/>
      </w:pPr>
      <w:r>
        <w:rPr>
          <w:rFonts w:ascii="Times New Roman" w:hAnsi="Times New Roman" w:cs="Times New Roman"/>
          <w:b w:val="0"/>
          <w:i w:val="0"/>
          <w:sz w:val="22"/>
        </w:rPr>
        <w:t>- Queries the RIA vector database for all relevant regulations, requirements, and defaults.</w:t>
      </w:r>
    </w:p>
    <w:p>
      <w:pPr>
        <w:spacing w:after="80" w:line="293" w:lineRule="auto"/>
        <w:ind w:left="283"/>
        <w:jc w:val="left"/>
      </w:pPr>
      <w:r>
        <w:rPr>
          <w:rFonts w:ascii="Times New Roman" w:hAnsi="Times New Roman" w:cs="Times New Roman"/>
          <w:b w:val="0"/>
          <w:i w:val="0"/>
          <w:sz w:val="22"/>
        </w:rPr>
        <w:t>- Generates a dynamic JSON schema that defines exactly which fields, documents, treatments, and acceptance</w:t>
      </w:r>
    </w:p>
    <w:p>
      <w:pPr>
        <w:spacing w:after="80" w:line="293" w:lineRule="auto"/>
        <w:jc w:val="left"/>
      </w:pPr>
      <w:r>
        <w:rPr>
          <w:rFonts w:ascii="Times New Roman" w:hAnsi="Times New Roman" w:cs="Times New Roman"/>
          <w:b w:val="0"/>
          <w:i w:val="0"/>
          <w:sz w:val="22"/>
        </w:rPr>
        <w:t>criteria are required.</w:t>
      </w:r>
    </w:p>
    <w:p>
      <w:pPr>
        <w:spacing w:after="80" w:line="293" w:lineRule="auto"/>
        <w:ind w:left="283"/>
        <w:jc w:val="left"/>
      </w:pPr>
      <w:r>
        <w:rPr>
          <w:rFonts w:ascii="Times New Roman" w:hAnsi="Times New Roman" w:cs="Times New Roman"/>
          <w:b w:val="0"/>
          <w:i w:val="0"/>
          <w:sz w:val="22"/>
        </w:rPr>
        <w:t>- Pre-populates defaults (packing, pallet types, weights) based on historical and regulatory data.</w:t>
      </w:r>
    </w:p>
    <w:p>
      <w:pPr>
        <w:spacing w:after="80" w:line="293" w:lineRule="auto"/>
        <w:ind w:left="283"/>
        <w:jc w:val="left"/>
      </w:pPr>
      <w:r>
        <w:rPr>
          <w:rFonts w:ascii="Times New Roman" w:hAnsi="Times New Roman" w:cs="Times New Roman"/>
          <w:b w:val="0"/>
          <w:i w:val="0"/>
          <w:sz w:val="22"/>
        </w:rPr>
        <w:t>- Adds special procedure fields (cold treatment, fumigation, pre-cooling) when required.</w:t>
      </w:r>
    </w:p>
    <w:p>
      <w:pPr>
        <w:spacing w:after="80" w:line="293" w:lineRule="auto"/>
        <w:ind w:left="283"/>
        <w:jc w:val="left"/>
      </w:pPr>
      <w:r>
        <w:rPr>
          <w:rFonts w:ascii="Times New Roman" w:hAnsi="Times New Roman" w:cs="Times New Roman"/>
          <w:b w:val="0"/>
          <w:i w:val="0"/>
          <w:sz w:val="22"/>
        </w:rPr>
        <w:t>- Generates the Acceptance Criteria Matrix — the specifications that determine acceptance or rejection.</w:t>
      </w:r>
    </w:p>
    <w:p>
      <w:pPr>
        <w:spacing w:after="80" w:line="293" w:lineRule="auto"/>
        <w:ind w:left="283"/>
        <w:jc w:val="left"/>
      </w:pPr>
      <w:r>
        <w:rPr>
          <w:rFonts w:ascii="Times New Roman" w:hAnsi="Times New Roman" w:cs="Times New Roman"/>
          <w:b w:val="0"/>
          <w:i w:val="0"/>
          <w:sz w:val="22"/>
        </w:rPr>
        <w:t>- Caches the schema for 7 days to ensure performance.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One schema per product-context combination — the schema is generated uniquely for each HS code + origin +</w:t>
      </w:r>
    </w:p>
    <w:p>
      <w:pPr>
        <w:spacing w:after="80" w:line="293" w:lineRule="auto"/>
        <w:jc w:val="left"/>
      </w:pPr>
      <w:r>
        <w:rPr>
          <w:rFonts w:ascii="Times New Roman" w:hAnsi="Times New Roman" w:cs="Times New Roman"/>
          <w:b w:val="0"/>
          <w:i w:val="0"/>
          <w:sz w:val="22"/>
        </w:rPr>
        <w:t>destination + port combination.</w:t>
      </w:r>
    </w:p>
    <w:p>
      <w:pPr>
        <w:spacing w:after="80" w:line="293" w:lineRule="auto"/>
        <w:ind w:left="283"/>
        <w:jc w:val="left"/>
      </w:pPr>
      <w:r>
        <w:rPr>
          <w:rFonts w:ascii="Times New Roman" w:hAnsi="Times New Roman" w:cs="Times New Roman"/>
          <w:b w:val="0"/>
          <w:i w:val="0"/>
          <w:sz w:val="22"/>
        </w:rPr>
        <w:t>- AI-generated, human-validated — the schema is generated by AI (A2, HF local + Groq) but can be overridden</w:t>
      </w:r>
    </w:p>
    <w:p>
      <w:pPr>
        <w:spacing w:after="80" w:line="293" w:lineRule="auto"/>
        <w:jc w:val="left"/>
      </w:pPr>
      <w:r>
        <w:rPr>
          <w:rFonts w:ascii="Times New Roman" w:hAnsi="Times New Roman" w:cs="Times New Roman"/>
          <w:b w:val="0"/>
          <w:i w:val="0"/>
          <w:sz w:val="22"/>
        </w:rPr>
        <w:t>by the Platform Governance Authority if needed.</w:t>
      </w:r>
    </w:p>
    <w:p>
      <w:pPr>
        <w:spacing w:after="80" w:line="293" w:lineRule="auto"/>
        <w:ind w:left="283"/>
        <w:jc w:val="left"/>
      </w:pPr>
      <w:r>
        <w:rPr>
          <w:rFonts w:ascii="Times New Roman" w:hAnsi="Times New Roman" w:cs="Times New Roman"/>
          <w:b w:val="0"/>
          <w:i w:val="0"/>
          <w:sz w:val="22"/>
        </w:rPr>
        <w:t>- Regulation-aware — every field, document, and requirement is traceable to a specific regulation.</w:t>
      </w:r>
    </w:p>
    <w:p>
      <w:pPr>
        <w:spacing w:after="80" w:line="293" w:lineRule="auto"/>
        <w:ind w:left="283"/>
        <w:jc w:val="left"/>
      </w:pPr>
      <w:r>
        <w:rPr>
          <w:rFonts w:ascii="Times New Roman" w:hAnsi="Times New Roman" w:cs="Times New Roman"/>
          <w:b w:val="0"/>
          <w:i w:val="0"/>
          <w:sz w:val="22"/>
        </w:rPr>
        <w:t>- Performance-optimised — schemas are cached for 7 days; fallback to static templates if AI is unavailable.</w:t>
      </w:r>
    </w:p>
    <w:p>
      <w:pPr>
        <w:spacing w:after="80" w:line="293" w:lineRule="auto"/>
        <w:ind w:left="283"/>
        <w:jc w:val="left"/>
      </w:pPr>
      <w:r>
        <w:rPr>
          <w:rFonts w:ascii="Times New Roman" w:hAnsi="Times New Roman" w:cs="Times New Roman"/>
          <w:b w:val="0"/>
          <w:i w:val="0"/>
          <w:sz w:val="22"/>
        </w:rPr>
        <w:t>- Non-marketplace — never suggests products or alternatives; only generates the form for the buyer's</w:t>
      </w:r>
    </w:p>
    <w:p>
      <w:pPr>
        <w:spacing w:after="80" w:line="293" w:lineRule="auto"/>
        <w:jc w:val="left"/>
      </w:pPr>
      <w:r>
        <w:rPr>
          <w:rFonts w:ascii="Times New Roman" w:hAnsi="Times New Roman" w:cs="Times New Roman"/>
          <w:b w:val="0"/>
          <w:i w:val="0"/>
          <w:sz w:val="22"/>
        </w:rPr>
        <w:t>selected product.</w:t>
      </w:r>
    </w:p>
    <w:p>
      <w:pPr>
        <w:spacing w:after="80" w:line="293" w:lineRule="auto"/>
        <w:jc w:val="left"/>
      </w:pPr>
      <w:r>
        <w:rPr>
          <w:rFonts w:ascii="Times New Roman" w:hAnsi="Times New Roman" w:cs="Times New Roman"/>
          <w:b w:val="0"/>
          <w:i w:val="0"/>
          <w:sz w:val="22"/>
        </w:rPr>
        <w:t>AI authority in this section: A2 (HF local + Groq) generates and validates schemas; A2 (pgvector) provides similarity search; A4 (WasmEdge) validates schemas against constitutional rules; A1 (Groq) generates tooltips and default value recommendations.</w:t>
      </w:r>
    </w:p>
    <w:p>
      <w:pPr>
        <w:keepNext/>
        <w:spacing w:before="180" w:after="80"/>
        <w:outlineLvl w:val="2"/>
      </w:pPr>
      <w:r>
        <w:rPr>
          <w:rFonts w:ascii="Arial" w:hAnsi="Arial" w:cs="Arial"/>
          <w:b/>
          <w:i w:val="0"/>
          <w:color w:val="333333"/>
          <w:sz w:val="23"/>
        </w:rPr>
        <w:t>6.5.2 Agent Architecture</w:t>
      </w:r>
    </w:p>
    <w:p>
      <w:pPr>
        <w:spacing w:after="0" w:before="0" w:line="240" w:lineRule="auto"/>
        <w:ind w:left="57"/>
        <w:jc w:val="left"/>
        <w:shd w:val="clear" w:fill="F2F2F2"/>
      </w:pPr>
      <w:r>
        <w:rPr>
          <w:rFonts w:ascii="Consolas" w:hAnsi="Consolas" w:cs="Consolas"/>
          <w:b w:val="0"/>
          <w:i w:val="0"/>
          <w:sz w:val="15"/>
        </w:rPr>
        <w:t>PRODUCT FORM AGENT ARCHITECTURE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INPUT LAYER</w:t>
      </w:r>
    </w:p>
    <w:p>
      <w:pPr>
        <w:spacing w:after="0" w:before="0" w:line="240" w:lineRule="auto"/>
        <w:ind w:left="57"/>
        <w:jc w:val="left"/>
        <w:shd w:val="clear" w:fill="F2F2F2"/>
      </w:pPr>
      <w:r>
        <w:rPr>
          <w:rFonts w:ascii="Consolas" w:hAnsi="Consolas" w:cs="Consolas"/>
          <w:b w:val="0"/>
          <w:i w:val="0"/>
          <w:sz w:val="15"/>
        </w:rPr>
        <w:t xml:space="preserve">  HS Code (6 or 10 digits) | Product Name (free-text or dropdown)</w:t>
      </w:r>
    </w:p>
    <w:p>
      <w:pPr>
        <w:spacing w:after="0" w:before="0" w:line="240" w:lineRule="auto"/>
        <w:ind w:left="57"/>
        <w:jc w:val="left"/>
        <w:shd w:val="clear" w:fill="F2F2F2"/>
      </w:pPr>
      <w:r>
        <w:rPr>
          <w:rFonts w:ascii="Consolas" w:hAnsi="Consolas" w:cs="Consolas"/>
          <w:b w:val="0"/>
          <w:i w:val="0"/>
          <w:sz w:val="15"/>
        </w:rPr>
        <w:t xml:space="preserve">  Origin Country           | Destination Country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RIA QUERY LAYER (A2)</w:t>
      </w:r>
    </w:p>
    <w:p>
      <w:pPr>
        <w:spacing w:after="0" w:before="0" w:line="240" w:lineRule="auto"/>
        <w:ind w:left="57"/>
        <w:jc w:val="left"/>
        <w:shd w:val="clear" w:fill="F2F2F2"/>
      </w:pPr>
      <w:r>
        <w:rPr>
          <w:rFonts w:ascii="Consolas" w:hAnsi="Consolas" w:cs="Consolas"/>
          <w:b w:val="0"/>
          <w:i w:val="0"/>
          <w:sz w:val="15"/>
        </w:rPr>
        <w:t xml:space="preserve">  1. Query treatment_requirements</w:t>
      </w:r>
    </w:p>
    <w:p>
      <w:pPr>
        <w:spacing w:after="0" w:before="0" w:line="240" w:lineRule="auto"/>
        <w:ind w:left="57"/>
        <w:jc w:val="left"/>
        <w:shd w:val="clear" w:fill="F2F2F2"/>
      </w:pPr>
      <w:r>
        <w:rPr>
          <w:rFonts w:ascii="Consolas" w:hAnsi="Consolas" w:cs="Consolas"/>
          <w:b w:val="0"/>
          <w:i w:val="0"/>
          <w:sz w:val="15"/>
        </w:rPr>
        <w:t xml:space="preserve">  2. Query country_mrl</w:t>
      </w:r>
    </w:p>
    <w:p>
      <w:pPr>
        <w:spacing w:after="0" w:before="0" w:line="240" w:lineRule="auto"/>
        <w:ind w:left="57"/>
        <w:jc w:val="left"/>
        <w:shd w:val="clear" w:fill="F2F2F2"/>
      </w:pPr>
      <w:r>
        <w:rPr>
          <w:rFonts w:ascii="Consolas" w:hAnsi="Consolas" w:cs="Consolas"/>
          <w:b w:val="0"/>
          <w:i w:val="0"/>
          <w:sz w:val="15"/>
        </w:rPr>
        <w:t xml:space="preserve">  3. Query commodity_packing_defaults</w:t>
      </w:r>
    </w:p>
    <w:p>
      <w:pPr>
        <w:spacing w:after="0" w:before="0" w:line="240" w:lineRule="auto"/>
        <w:ind w:left="57"/>
        <w:jc w:val="left"/>
        <w:shd w:val="clear" w:fill="F2F2F2"/>
      </w:pPr>
      <w:r>
        <w:rPr>
          <w:rFonts w:ascii="Consolas" w:hAnsi="Consolas" w:cs="Consolas"/>
          <w:b w:val="0"/>
          <w:i w:val="0"/>
          <w:sz w:val="15"/>
        </w:rPr>
        <w:t xml:space="preserve">  4. Query acceptance_criteria_templates</w:t>
      </w:r>
    </w:p>
    <w:p>
      <w:pPr>
        <w:spacing w:after="0" w:before="0" w:line="240" w:lineRule="auto"/>
        <w:ind w:left="57"/>
        <w:jc w:val="left"/>
        <w:shd w:val="clear" w:fill="F2F2F2"/>
      </w:pPr>
      <w:r>
        <w:rPr>
          <w:rFonts w:ascii="Consolas" w:hAnsi="Consolas" w:cs="Consolas"/>
          <w:b w:val="0"/>
          <w:i w:val="0"/>
          <w:sz w:val="15"/>
        </w:rPr>
        <w:t xml:space="preserve">  5. Query documentation_triggers</w:t>
      </w:r>
    </w:p>
    <w:p>
      <w:pPr>
        <w:spacing w:after="0" w:before="0" w:line="240" w:lineRule="auto"/>
        <w:ind w:left="57"/>
        <w:jc w:val="left"/>
        <w:shd w:val="clear" w:fill="F2F2F2"/>
      </w:pPr>
      <w:r>
        <w:rPr>
          <w:rFonts w:ascii="Consolas" w:hAnsi="Consolas" w:cs="Consolas"/>
          <w:b w:val="0"/>
          <w:i w:val="0"/>
          <w:sz w:val="15"/>
        </w:rPr>
        <w:t xml:space="preserve">  6. Query port_special_rules</w:t>
      </w:r>
    </w:p>
    <w:p>
      <w:pPr>
        <w:spacing w:after="0" w:before="0" w:line="240" w:lineRule="auto"/>
        <w:ind w:left="57"/>
        <w:jc w:val="left"/>
        <w:shd w:val="clear" w:fill="F2F2F2"/>
      </w:pPr>
      <w:r>
        <w:rPr>
          <w:rFonts w:ascii="Consolas" w:hAnsi="Consolas" w:cs="Consolas"/>
          <w:b w:val="0"/>
          <w:i w:val="0"/>
          <w:sz w:val="15"/>
        </w:rPr>
        <w:t xml:space="preserve">  7. Query jurisdictions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SCHEMA GENERATION LAYER (A2, Groq)</w:t>
      </w:r>
    </w:p>
    <w:p>
      <w:pPr>
        <w:spacing w:after="0" w:before="0" w:line="240" w:lineRule="auto"/>
        <w:ind w:left="57"/>
        <w:jc w:val="left"/>
        <w:shd w:val="clear" w:fill="F2F2F2"/>
      </w:pPr>
      <w:r>
        <w:rPr>
          <w:rFonts w:ascii="Consolas" w:hAnsi="Consolas" w:cs="Consolas"/>
          <w:b w:val="0"/>
          <w:i w:val="0"/>
          <w:sz w:val="15"/>
        </w:rPr>
        <w:t xml:space="preserve">  1. Build context from RIA data</w:t>
      </w:r>
    </w:p>
    <w:p>
      <w:pPr>
        <w:spacing w:after="0" w:before="0" w:line="240" w:lineRule="auto"/>
        <w:ind w:left="57"/>
        <w:jc w:val="left"/>
        <w:shd w:val="clear" w:fill="F2F2F2"/>
      </w:pPr>
      <w:r>
        <w:rPr>
          <w:rFonts w:ascii="Consolas" w:hAnsi="Consolas" w:cs="Consolas"/>
          <w:b w:val="0"/>
          <w:i w:val="0"/>
          <w:sz w:val="15"/>
        </w:rPr>
        <w:t xml:space="preserve">  2. Generate schema using Groq (fallback Ollama)</w:t>
      </w:r>
    </w:p>
    <w:p>
      <w:pPr>
        <w:spacing w:after="0" w:before="0" w:line="240" w:lineRule="auto"/>
        <w:ind w:left="57"/>
        <w:jc w:val="left"/>
        <w:shd w:val="clear" w:fill="F2F2F2"/>
      </w:pPr>
      <w:r>
        <w:rPr>
          <w:rFonts w:ascii="Consolas" w:hAnsi="Consolas" w:cs="Consolas"/>
          <w:b w:val="0"/>
          <w:i w:val="0"/>
          <w:sz w:val="15"/>
        </w:rPr>
        <w:t xml:space="preserve">  3. Validate schema against constitutional rules (A4)</w:t>
      </w:r>
    </w:p>
    <w:p>
      <w:pPr>
        <w:spacing w:after="0" w:before="0" w:line="240" w:lineRule="auto"/>
        <w:ind w:left="57"/>
        <w:jc w:val="left"/>
        <w:shd w:val="clear" w:fill="F2F2F2"/>
      </w:pPr>
      <w:r>
        <w:rPr>
          <w:rFonts w:ascii="Consolas" w:hAnsi="Consolas" w:cs="Consolas"/>
          <w:b w:val="0"/>
          <w:i w:val="0"/>
          <w:sz w:val="15"/>
        </w:rPr>
        <w:t xml:space="preserve">  4. Cache schema (7-day TTL)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OUTPUT LAYER</w:t>
      </w:r>
    </w:p>
    <w:p>
      <w:pPr>
        <w:spacing w:after="0" w:before="0" w:line="240" w:lineRule="auto"/>
        <w:ind w:left="57"/>
        <w:jc w:val="left"/>
        <w:shd w:val="clear" w:fill="F2F2F2"/>
      </w:pPr>
      <w:r>
        <w:rPr>
          <w:rFonts w:ascii="Consolas" w:hAnsi="Consolas" w:cs="Consolas"/>
          <w:b w:val="0"/>
          <w:i w:val="0"/>
          <w:sz w:val="15"/>
        </w:rPr>
        <w:t xml:space="preserve">  1. Dynamic fields (variety, grade, brix, etc.)</w:t>
      </w:r>
    </w:p>
    <w:p>
      <w:pPr>
        <w:spacing w:after="0" w:before="0" w:line="240" w:lineRule="auto"/>
        <w:ind w:left="57"/>
        <w:jc w:val="left"/>
        <w:shd w:val="clear" w:fill="F2F2F2"/>
      </w:pPr>
      <w:r>
        <w:rPr>
          <w:rFonts w:ascii="Consolas" w:hAnsi="Consolas" w:cs="Consolas"/>
          <w:b w:val="0"/>
          <w:i w:val="0"/>
          <w:sz w:val="15"/>
        </w:rPr>
        <w:t xml:space="preserve">  2. Packing defaults (pallet type, cartons per pallet, etc.)</w:t>
      </w:r>
    </w:p>
    <w:p>
      <w:pPr>
        <w:spacing w:after="0" w:before="0" w:line="240" w:lineRule="auto"/>
        <w:ind w:left="57"/>
        <w:jc w:val="left"/>
        <w:shd w:val="clear" w:fill="F2F2F2"/>
      </w:pPr>
      <w:r>
        <w:rPr>
          <w:rFonts w:ascii="Consolas" w:hAnsi="Consolas" w:cs="Consolas"/>
          <w:b w:val="0"/>
          <w:i w:val="0"/>
          <w:sz w:val="15"/>
        </w:rPr>
        <w:t xml:space="preserve">  3. Required documents (with triggers)</w:t>
      </w:r>
    </w:p>
    <w:p>
      <w:pPr>
        <w:spacing w:after="0" w:before="0" w:line="240" w:lineRule="auto"/>
        <w:ind w:left="57"/>
        <w:jc w:val="left"/>
        <w:shd w:val="clear" w:fill="F2F2F2"/>
      </w:pPr>
      <w:r>
        <w:rPr>
          <w:rFonts w:ascii="Consolas" w:hAnsi="Consolas" w:cs="Consolas"/>
          <w:b w:val="0"/>
          <w:i w:val="0"/>
          <w:sz w:val="15"/>
        </w:rPr>
        <w:t xml:space="preserve">  4. Special procedures (with treatment details)</w:t>
      </w:r>
    </w:p>
    <w:p>
      <w:pPr>
        <w:spacing w:after="0" w:before="0" w:line="240" w:lineRule="auto"/>
        <w:ind w:left="57"/>
        <w:jc w:val="left"/>
        <w:shd w:val="clear" w:fill="F2F2F2"/>
      </w:pPr>
      <w:r>
        <w:rPr>
          <w:rFonts w:ascii="Consolas" w:hAnsi="Consolas" w:cs="Consolas"/>
          <w:b w:val="0"/>
          <w:i w:val="0"/>
          <w:sz w:val="15"/>
        </w:rPr>
        <w:t xml:space="preserve">  5. Lab tests required (with MRLs)</w:t>
      </w:r>
    </w:p>
    <w:p>
      <w:pPr>
        <w:spacing w:after="0" w:before="0" w:line="240" w:lineRule="auto"/>
        <w:ind w:left="57"/>
        <w:jc w:val="left"/>
        <w:shd w:val="clear" w:fill="F2F2F2"/>
      </w:pPr>
      <w:r>
        <w:rPr>
          <w:rFonts w:ascii="Consolas" w:hAnsi="Consolas" w:cs="Consolas"/>
          <w:b w:val="0"/>
          <w:i w:val="0"/>
          <w:sz w:val="15"/>
        </w:rPr>
        <w:t xml:space="preserve">  6. Acceptance Criteria Matrix</w:t>
      </w:r>
    </w:p>
    <w:p>
      <w:pPr>
        <w:spacing w:after="0" w:before="0" w:line="240" w:lineRule="auto"/>
        <w:ind w:left="57"/>
        <w:jc w:val="left"/>
        <w:shd w:val="clear" w:fill="F2F2F2"/>
      </w:pPr>
      <w:r>
        <w:rPr>
          <w:rFonts w:ascii="Consolas" w:hAnsi="Consolas" w:cs="Consolas"/>
          <w:b w:val="0"/>
          <w:i w:val="0"/>
          <w:sz w:val="15"/>
        </w:rPr>
        <w:t xml:space="preserve">  7. Quantity &amp; Tolerance (defaults)</w:t>
      </w:r>
    </w:p>
    <w:p>
      <w:pPr>
        <w:spacing w:after="0" w:before="0" w:line="240" w:lineRule="auto"/>
        <w:ind w:left="57"/>
        <w:jc w:val="left"/>
        <w:shd w:val="clear" w:fill="F2F2F2"/>
      </w:pPr>
      <w:r>
        <w:rPr>
          <w:rFonts w:ascii="Consolas" w:hAnsi="Consolas" w:cs="Consolas"/>
          <w:b w:val="0"/>
          <w:i w:val="0"/>
          <w:sz w:val="15"/>
        </w:rPr>
        <w:t xml:space="preserve">  8. Packaging Requirements (options)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6.5.3 Complete JSON Schema Output</w:t>
      </w:r>
    </w:p>
    <w:p>
      <w:pPr>
        <w:keepNext/>
        <w:spacing w:before="140" w:after="60"/>
        <w:outlineLvl w:val="3"/>
      </w:pPr>
      <w:r>
        <w:rPr>
          <w:rFonts w:ascii="Arial" w:hAnsi="Arial" w:cs="Arial"/>
          <w:b/>
          <w:i/>
          <w:color w:val="333333"/>
          <w:sz w:val="22"/>
        </w:rPr>
        <w:t>6.5.3.1 Example — Fresh Oranges (Egypt → Japan) — Full Enhanced Schema</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"product_name": "Fresh Oranges",</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"commodity_type": "Fresh Fruits",</w:t>
      </w:r>
    </w:p>
    <w:p>
      <w:pPr>
        <w:spacing w:after="0" w:before="0" w:line="240" w:lineRule="auto"/>
        <w:ind w:left="57"/>
        <w:jc w:val="left"/>
        <w:shd w:val="clear" w:fill="F2F2F2"/>
      </w:pPr>
      <w:r>
        <w:rPr>
          <w:rFonts w:ascii="Consolas" w:hAnsi="Consolas" w:cs="Consolas"/>
          <w:b w:val="0"/>
          <w:i w:val="0"/>
          <w:sz w:val="15"/>
        </w:rPr>
        <w:t xml:space="preserve">  "schema_version": "1.0",</w:t>
      </w:r>
    </w:p>
    <w:p>
      <w:pPr>
        <w:spacing w:after="0" w:before="0" w:line="240" w:lineRule="auto"/>
        <w:ind w:left="57"/>
        <w:jc w:val="left"/>
        <w:shd w:val="clear" w:fill="F2F2F2"/>
      </w:pPr>
      <w:r>
        <w:rPr>
          <w:rFonts w:ascii="Consolas" w:hAnsi="Consolas" w:cs="Consolas"/>
          <w:b w:val="0"/>
          <w:i w:val="0"/>
          <w:sz w:val="15"/>
        </w:rPr>
        <w:t xml:space="preserve">  "generated_at": "2026-06-20T10:30:00Z",</w:t>
      </w:r>
    </w:p>
    <w:p>
      <w:pPr>
        <w:spacing w:after="0" w:before="0" w:line="240" w:lineRule="auto"/>
        <w:ind w:left="57"/>
        <w:jc w:val="left"/>
        <w:shd w:val="clear" w:fill="F2F2F2"/>
      </w:pPr>
      <w:r>
        <w:rPr>
          <w:rFonts w:ascii="Consolas" w:hAnsi="Consolas" w:cs="Consolas"/>
          <w:b w:val="0"/>
          <w:i w:val="0"/>
          <w:sz w:val="15"/>
        </w:rPr>
        <w:t xml:space="preserve">  "context": {</w:t>
      </w:r>
    </w:p>
    <w:p>
      <w:pPr>
        <w:spacing w:after="0" w:before="0" w:line="240" w:lineRule="auto"/>
        <w:ind w:left="57"/>
        <w:jc w:val="left"/>
        <w:shd w:val="clear" w:fill="F2F2F2"/>
      </w:pPr>
      <w:r>
        <w:rPr>
          <w:rFonts w:ascii="Consolas" w:hAnsi="Consolas" w:cs="Consolas"/>
          <w:b w:val="0"/>
          <w:i w:val="0"/>
          <w:sz w:val="15"/>
        </w:rPr>
        <w:t xml:space="preserve">    "origin_country": "EG",</w:t>
      </w:r>
    </w:p>
    <w:p>
      <w:pPr>
        <w:spacing w:after="0" w:before="0" w:line="240" w:lineRule="auto"/>
        <w:ind w:left="57"/>
        <w:jc w:val="left"/>
        <w:shd w:val="clear" w:fill="F2F2F2"/>
      </w:pPr>
      <w:r>
        <w:rPr>
          <w:rFonts w:ascii="Consolas" w:hAnsi="Consolas" w:cs="Consolas"/>
          <w:b w:val="0"/>
          <w:i w:val="0"/>
          <w:sz w:val="15"/>
        </w:rPr>
        <w:t xml:space="preserve">    "destination_country": "JP",</w:t>
      </w:r>
    </w:p>
    <w:p>
      <w:pPr>
        <w:spacing w:after="0" w:before="0" w:line="240" w:lineRule="auto"/>
        <w:ind w:left="57"/>
        <w:jc w:val="left"/>
        <w:shd w:val="clear" w:fill="F2F2F2"/>
      </w:pPr>
      <w:r>
        <w:rPr>
          <w:rFonts w:ascii="Consolas" w:hAnsi="Consolas" w:cs="Consolas"/>
          <w:b w:val="0"/>
          <w:i w:val="0"/>
          <w:sz w:val="15"/>
        </w:rPr>
        <w:t xml:space="preserve">    "port": "TYO",</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"dynamic_fields":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"name": "variety",</w:t>
      </w:r>
    </w:p>
    <w:p>
      <w:pPr>
        <w:spacing w:after="0" w:before="0" w:line="240" w:lineRule="auto"/>
        <w:ind w:left="57"/>
        <w:jc w:val="left"/>
        <w:shd w:val="clear" w:fill="F2F2F2"/>
      </w:pPr>
      <w:r>
        <w:rPr>
          <w:rFonts w:ascii="Consolas" w:hAnsi="Consolas" w:cs="Consolas"/>
          <w:b w:val="0"/>
          <w:i w:val="0"/>
          <w:sz w:val="15"/>
        </w:rPr>
        <w:t xml:space="preserve">      "label": "Variety",</w:t>
      </w:r>
    </w:p>
    <w:p>
      <w:pPr>
        <w:spacing w:after="0" w:before="0" w:line="240" w:lineRule="auto"/>
        <w:ind w:left="57"/>
        <w:jc w:val="left"/>
        <w:shd w:val="clear" w:fill="F2F2F2"/>
      </w:pPr>
      <w:r>
        <w:rPr>
          <w:rFonts w:ascii="Consolas" w:hAnsi="Consolas" w:cs="Consolas"/>
          <w:b w:val="0"/>
          <w:i w:val="0"/>
          <w:sz w:val="15"/>
        </w:rPr>
        <w:t xml:space="preserve">      "type": "dropdown",</w:t>
      </w:r>
    </w:p>
    <w:p>
      <w:pPr>
        <w:spacing w:after="0" w:before="0" w:line="240" w:lineRule="auto"/>
        <w:ind w:left="57"/>
        <w:jc w:val="left"/>
        <w:shd w:val="clear" w:fill="F2F2F2"/>
      </w:pPr>
      <w:r>
        <w:rPr>
          <w:rFonts w:ascii="Consolas" w:hAnsi="Consolas" w:cs="Consolas"/>
          <w:b w:val="0"/>
          <w:i w:val="0"/>
          <w:sz w:val="15"/>
        </w:rPr>
        <w:t xml:space="preserve">      "options": ["Valencia", "Navel", "Blood Orange", "Cara Cara", "Other"],</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"default": "Valencia",</w:t>
      </w:r>
    </w:p>
    <w:p>
      <w:pPr>
        <w:spacing w:after="0" w:before="0" w:line="240" w:lineRule="auto"/>
        <w:ind w:left="57"/>
        <w:jc w:val="left"/>
        <w:shd w:val="clear" w:fill="F2F2F2"/>
      </w:pPr>
      <w:r>
        <w:rPr>
          <w:rFonts w:ascii="Consolas" w:hAnsi="Consolas" w:cs="Consolas"/>
          <w:b w:val="0"/>
          <w:i w:val="0"/>
          <w:sz w:val="15"/>
        </w:rPr>
        <w:t xml:space="preserve">      "tooltip": "Select the variety of oranges. Different varieties have different MRL requirements.",</w:t>
      </w:r>
    </w:p>
    <w:p>
      <w:pPr>
        <w:spacing w:after="0" w:before="0" w:line="240" w:lineRule="auto"/>
        <w:ind w:left="57"/>
        <w:jc w:val="left"/>
        <w:shd w:val="clear" w:fill="F2F2F2"/>
      </w:pPr>
      <w:r>
        <w:rPr>
          <w:rFonts w:ascii="Consolas" w:hAnsi="Consolas" w:cs="Consolas"/>
          <w:b w:val="0"/>
          <w:i w:val="0"/>
          <w:sz w:val="15"/>
        </w:rPr>
        <w:t xml:space="preserve">      "ai_recommendation": "Valencia is the most common export variety from Egypt."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"name": "grade",</w:t>
      </w:r>
    </w:p>
    <w:p>
      <w:pPr>
        <w:spacing w:after="0" w:before="0" w:line="240" w:lineRule="auto"/>
        <w:ind w:left="57"/>
        <w:jc w:val="left"/>
        <w:shd w:val="clear" w:fill="F2F2F2"/>
      </w:pPr>
      <w:r>
        <w:rPr>
          <w:rFonts w:ascii="Consolas" w:hAnsi="Consolas" w:cs="Consolas"/>
          <w:b w:val="0"/>
          <w:i w:val="0"/>
          <w:sz w:val="15"/>
        </w:rPr>
        <w:t xml:space="preserve">      "label": "Grade",</w:t>
      </w:r>
    </w:p>
    <w:p>
      <w:pPr>
        <w:spacing w:after="0" w:before="0" w:line="240" w:lineRule="auto"/>
        <w:ind w:left="57"/>
        <w:jc w:val="left"/>
        <w:shd w:val="clear" w:fill="F2F2F2"/>
      </w:pPr>
      <w:r>
        <w:rPr>
          <w:rFonts w:ascii="Consolas" w:hAnsi="Consolas" w:cs="Consolas"/>
          <w:b w:val="0"/>
          <w:i w:val="0"/>
          <w:sz w:val="15"/>
        </w:rPr>
        <w:t xml:space="preserve">      "type": "dropdown",</w:t>
      </w:r>
    </w:p>
    <w:p>
      <w:pPr>
        <w:spacing w:after="0" w:before="0" w:line="240" w:lineRule="auto"/>
        <w:ind w:left="57"/>
        <w:jc w:val="left"/>
        <w:shd w:val="clear" w:fill="F2F2F2"/>
      </w:pPr>
      <w:r>
        <w:rPr>
          <w:rFonts w:ascii="Consolas" w:hAnsi="Consolas" w:cs="Consolas"/>
          <w:b w:val="0"/>
          <w:i w:val="0"/>
          <w:sz w:val="15"/>
        </w:rPr>
        <w:t xml:space="preserve">      "options": ["Premium", "Grade A", "Grade B", "Commercial"],</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"default": "Grade A",</w:t>
      </w:r>
    </w:p>
    <w:p>
      <w:pPr>
        <w:spacing w:after="0" w:before="0" w:line="240" w:lineRule="auto"/>
        <w:ind w:left="57"/>
        <w:jc w:val="left"/>
        <w:shd w:val="clear" w:fill="F2F2F2"/>
      </w:pPr>
      <w:r>
        <w:rPr>
          <w:rFonts w:ascii="Consolas" w:hAnsi="Consolas" w:cs="Consolas"/>
          <w:b w:val="0"/>
          <w:i w:val="0"/>
          <w:sz w:val="15"/>
        </w:rPr>
        <w:t xml:space="preserve">      "tooltip": "Grade determines quality standards and pricing.",</w:t>
      </w:r>
    </w:p>
    <w:p>
      <w:pPr>
        <w:spacing w:after="0" w:before="0" w:line="240" w:lineRule="auto"/>
        <w:ind w:left="57"/>
        <w:jc w:val="left"/>
        <w:shd w:val="clear" w:fill="F2F2F2"/>
      </w:pPr>
      <w:r>
        <w:rPr>
          <w:rFonts w:ascii="Consolas" w:hAnsi="Consolas" w:cs="Consolas"/>
          <w:b w:val="0"/>
          <w:i w:val="0"/>
          <w:sz w:val="15"/>
        </w:rPr>
        <w:t xml:space="preserve">      "ai_recommendation": "Grade A is recommended for export to Japan."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"name": "brix",</w:t>
      </w:r>
    </w:p>
    <w:p>
      <w:pPr>
        <w:spacing w:after="0" w:before="0" w:line="240" w:lineRule="auto"/>
        <w:ind w:left="57"/>
        <w:jc w:val="left"/>
        <w:shd w:val="clear" w:fill="F2F2F2"/>
      </w:pPr>
      <w:r>
        <w:rPr>
          <w:rFonts w:ascii="Consolas" w:hAnsi="Consolas" w:cs="Consolas"/>
          <w:b w:val="0"/>
          <w:i w:val="0"/>
          <w:sz w:val="15"/>
        </w:rPr>
        <w:t xml:space="preserve">      "label": "Brix (Sugar Content)",</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"min": 10,</w:t>
      </w:r>
    </w:p>
    <w:p>
      <w:pPr>
        <w:spacing w:after="0" w:before="0" w:line="240" w:lineRule="auto"/>
        <w:ind w:left="57"/>
        <w:jc w:val="left"/>
        <w:shd w:val="clear" w:fill="F2F2F2"/>
      </w:pPr>
      <w:r>
        <w:rPr>
          <w:rFonts w:ascii="Consolas" w:hAnsi="Consolas" w:cs="Consolas"/>
          <w:b w:val="0"/>
          <w:i w:val="0"/>
          <w:sz w:val="15"/>
        </w:rPr>
        <w:t xml:space="preserve">      "max": 16,</w:t>
      </w:r>
    </w:p>
    <w:p>
      <w:pPr>
        <w:spacing w:after="0" w:before="0" w:line="240" w:lineRule="auto"/>
        <w:ind w:left="57"/>
        <w:jc w:val="left"/>
        <w:shd w:val="clear" w:fill="F2F2F2"/>
      </w:pPr>
      <w:r>
        <w:rPr>
          <w:rFonts w:ascii="Consolas" w:hAnsi="Consolas" w:cs="Consolas"/>
          <w:b w:val="0"/>
          <w:i w:val="0"/>
          <w:sz w:val="15"/>
        </w:rPr>
        <w:t xml:space="preserve">      "step": 0.1,</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"default": 12.5,</w:t>
      </w:r>
    </w:p>
    <w:p>
      <w:pPr>
        <w:spacing w:after="0" w:before="0" w:line="240" w:lineRule="auto"/>
        <w:ind w:left="57"/>
        <w:jc w:val="left"/>
        <w:shd w:val="clear" w:fill="F2F2F2"/>
      </w:pPr>
      <w:r>
        <w:rPr>
          <w:rFonts w:ascii="Consolas" w:hAnsi="Consolas" w:cs="Consolas"/>
          <w:b w:val="0"/>
          <w:i w:val="0"/>
          <w:sz w:val="15"/>
        </w:rPr>
        <w:t xml:space="preserve">      "unit": "°Bx",</w:t>
      </w:r>
    </w:p>
    <w:p>
      <w:pPr>
        <w:spacing w:after="0" w:before="0" w:line="240" w:lineRule="auto"/>
        <w:ind w:left="57"/>
        <w:jc w:val="left"/>
        <w:shd w:val="clear" w:fill="F2F2F2"/>
      </w:pPr>
      <w:r>
        <w:rPr>
          <w:rFonts w:ascii="Consolas" w:hAnsi="Consolas" w:cs="Consolas"/>
          <w:b w:val="0"/>
          <w:i w:val="0"/>
          <w:sz w:val="15"/>
        </w:rPr>
        <w:t xml:space="preserve">      "tooltip": "Minimum Brix for export to Japan is 10°Bx. Higher Brix indicates sweeter fruit.",</w:t>
      </w:r>
    </w:p>
    <w:p>
      <w:pPr>
        <w:spacing w:after="0" w:before="0" w:line="240" w:lineRule="auto"/>
        <w:ind w:left="57"/>
        <w:jc w:val="left"/>
        <w:shd w:val="clear" w:fill="F2F2F2"/>
      </w:pPr>
      <w:r>
        <w:rPr>
          <w:rFonts w:ascii="Consolas" w:hAnsi="Consolas" w:cs="Consolas"/>
          <w:b w:val="0"/>
          <w:i w:val="0"/>
          <w:sz w:val="15"/>
        </w:rPr>
        <w:t xml:space="preserve">      "ai_recommendation": "12.5°Bx is the optimal balance for Japanese market preference."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"name": "size_range_min_mm",</w:t>
      </w:r>
    </w:p>
    <w:p>
      <w:pPr>
        <w:spacing w:after="0" w:before="0" w:line="240" w:lineRule="auto"/>
        <w:ind w:left="57"/>
        <w:jc w:val="left"/>
        <w:shd w:val="clear" w:fill="F2F2F2"/>
      </w:pPr>
      <w:r>
        <w:rPr>
          <w:rFonts w:ascii="Consolas" w:hAnsi="Consolas" w:cs="Consolas"/>
          <w:b w:val="0"/>
          <w:i w:val="0"/>
          <w:sz w:val="15"/>
        </w:rPr>
        <w:t xml:space="preserve">      "label": "Minimum Size (mm)",</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"min": 55,</w:t>
      </w:r>
    </w:p>
    <w:p>
      <w:pPr>
        <w:spacing w:after="0" w:before="0" w:line="240" w:lineRule="auto"/>
        <w:ind w:left="57"/>
        <w:jc w:val="left"/>
        <w:shd w:val="clear" w:fill="F2F2F2"/>
      </w:pPr>
      <w:r>
        <w:rPr>
          <w:rFonts w:ascii="Consolas" w:hAnsi="Consolas" w:cs="Consolas"/>
          <w:b w:val="0"/>
          <w:i w:val="0"/>
          <w:sz w:val="15"/>
        </w:rPr>
        <w:t xml:space="preserve">      "max": 90,</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"default": 72,</w:t>
      </w:r>
    </w:p>
    <w:p>
      <w:pPr>
        <w:spacing w:after="0" w:before="0" w:line="240" w:lineRule="auto"/>
        <w:ind w:left="57"/>
        <w:jc w:val="left"/>
        <w:shd w:val="clear" w:fill="F2F2F2"/>
      </w:pPr>
      <w:r>
        <w:rPr>
          <w:rFonts w:ascii="Consolas" w:hAnsi="Consolas" w:cs="Consolas"/>
          <w:b w:val="0"/>
          <w:i w:val="0"/>
          <w:sz w:val="15"/>
        </w:rPr>
        <w:t xml:space="preserve">      "unit": "mm",</w:t>
      </w:r>
    </w:p>
    <w:p>
      <w:pPr>
        <w:spacing w:after="0" w:before="0" w:line="240" w:lineRule="auto"/>
        <w:ind w:left="57"/>
        <w:jc w:val="left"/>
        <w:shd w:val="clear" w:fill="F2F2F2"/>
      </w:pPr>
      <w:r>
        <w:rPr>
          <w:rFonts w:ascii="Consolas" w:hAnsi="Consolas" w:cs="Consolas"/>
          <w:b w:val="0"/>
          <w:i w:val="0"/>
          <w:sz w:val="15"/>
        </w:rPr>
        <w:t xml:space="preserve">      "tooltip": "Diameter of the fruit in millimetres."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"name": "size_range_max_mm",</w:t>
      </w:r>
    </w:p>
    <w:p>
      <w:pPr>
        <w:spacing w:after="0" w:before="0" w:line="240" w:lineRule="auto"/>
        <w:ind w:left="57"/>
        <w:jc w:val="left"/>
        <w:shd w:val="clear" w:fill="F2F2F2"/>
      </w:pPr>
      <w:r>
        <w:rPr>
          <w:rFonts w:ascii="Consolas" w:hAnsi="Consolas" w:cs="Consolas"/>
          <w:b w:val="0"/>
          <w:i w:val="0"/>
          <w:sz w:val="15"/>
        </w:rPr>
        <w:t xml:space="preserve">      "label": "Maximum Size (mm)",</w:t>
      </w:r>
    </w:p>
    <w:p>
      <w:pPr>
        <w:spacing w:after="0" w:before="0" w:line="240" w:lineRule="auto"/>
        <w:ind w:left="57"/>
        <w:jc w:val="left"/>
        <w:shd w:val="clear" w:fill="F2F2F2"/>
      </w:pPr>
      <w:r>
        <w:rPr>
          <w:rFonts w:ascii="Consolas" w:hAnsi="Consolas" w:cs="Consolas"/>
          <w:b w:val="0"/>
          <w:i w:val="0"/>
          <w:sz w:val="15"/>
        </w:rPr>
        <w:t xml:space="preserve">      "type": "number",</w:t>
      </w:r>
    </w:p>
    <w:p>
      <w:pPr>
        <w:spacing w:after="0" w:before="0" w:line="240" w:lineRule="auto"/>
        <w:ind w:left="57"/>
        <w:jc w:val="left"/>
        <w:shd w:val="clear" w:fill="F2F2F2"/>
      </w:pPr>
      <w:r>
        <w:rPr>
          <w:rFonts w:ascii="Consolas" w:hAnsi="Consolas" w:cs="Consolas"/>
          <w:b w:val="0"/>
          <w:i w:val="0"/>
          <w:sz w:val="15"/>
        </w:rPr>
        <w:t xml:space="preserve">      "min": 55,</w:t>
      </w:r>
    </w:p>
    <w:p>
      <w:pPr>
        <w:spacing w:after="0" w:before="0" w:line="240" w:lineRule="auto"/>
        <w:ind w:left="57"/>
        <w:jc w:val="left"/>
        <w:shd w:val="clear" w:fill="F2F2F2"/>
      </w:pPr>
      <w:r>
        <w:rPr>
          <w:rFonts w:ascii="Consolas" w:hAnsi="Consolas" w:cs="Consolas"/>
          <w:b w:val="0"/>
          <w:i w:val="0"/>
          <w:sz w:val="15"/>
        </w:rPr>
        <w:t xml:space="preserve">      "max": 90,</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"default": 80,</w:t>
      </w:r>
    </w:p>
    <w:p>
      <w:pPr>
        <w:spacing w:after="0" w:before="0" w:line="240" w:lineRule="auto"/>
        <w:ind w:left="57"/>
        <w:jc w:val="left"/>
        <w:shd w:val="clear" w:fill="F2F2F2"/>
      </w:pPr>
      <w:r>
        <w:rPr>
          <w:rFonts w:ascii="Consolas" w:hAnsi="Consolas" w:cs="Consolas"/>
          <w:b w:val="0"/>
          <w:i w:val="0"/>
          <w:sz w:val="15"/>
        </w:rPr>
        <w:t xml:space="preserve">      "unit": "mm",</w:t>
      </w:r>
    </w:p>
    <w:p>
      <w:pPr>
        <w:spacing w:after="0" w:before="0" w:line="240" w:lineRule="auto"/>
        <w:ind w:left="57"/>
        <w:jc w:val="left"/>
        <w:shd w:val="clear" w:fill="F2F2F2"/>
      </w:pPr>
      <w:r>
        <w:rPr>
          <w:rFonts w:ascii="Consolas" w:hAnsi="Consolas" w:cs="Consolas"/>
          <w:b w:val="0"/>
          <w:i w:val="0"/>
          <w:sz w:val="15"/>
        </w:rPr>
        <w:t xml:space="preserve">      "tooltip": "Diameter of the fruit in millimetres."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"name": "colour_grade",</w:t>
      </w:r>
    </w:p>
    <w:p>
      <w:pPr>
        <w:spacing w:after="0" w:before="0" w:line="240" w:lineRule="auto"/>
        <w:ind w:left="57"/>
        <w:jc w:val="left"/>
        <w:shd w:val="clear" w:fill="F2F2F2"/>
      </w:pPr>
      <w:r>
        <w:rPr>
          <w:rFonts w:ascii="Consolas" w:hAnsi="Consolas" w:cs="Consolas"/>
          <w:b w:val="0"/>
          <w:i w:val="0"/>
          <w:sz w:val="15"/>
        </w:rPr>
        <w:t xml:space="preserve">      "label": "Colour Grade",</w:t>
      </w:r>
    </w:p>
    <w:p>
      <w:pPr>
        <w:spacing w:after="0" w:before="0" w:line="240" w:lineRule="auto"/>
        <w:ind w:left="57"/>
        <w:jc w:val="left"/>
        <w:shd w:val="clear" w:fill="F2F2F2"/>
      </w:pPr>
      <w:r>
        <w:rPr>
          <w:rFonts w:ascii="Consolas" w:hAnsi="Consolas" w:cs="Consolas"/>
          <w:b w:val="0"/>
          <w:i w:val="0"/>
          <w:sz w:val="15"/>
        </w:rPr>
        <w:t xml:space="preserve">      "type": "dropdown",</w:t>
      </w:r>
    </w:p>
    <w:p>
      <w:pPr>
        <w:spacing w:after="0" w:before="0" w:line="240" w:lineRule="auto"/>
        <w:ind w:left="57"/>
        <w:jc w:val="left"/>
        <w:shd w:val="clear" w:fill="F2F2F2"/>
      </w:pPr>
      <w:r>
        <w:rPr>
          <w:rFonts w:ascii="Consolas" w:hAnsi="Consolas" w:cs="Consolas"/>
          <w:b w:val="0"/>
          <w:i w:val="0"/>
          <w:sz w:val="15"/>
        </w:rPr>
        <w:t xml:space="preserve">      "options": ["Bright Orange", "Light Orange", "Greenish"],</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"default": "Bright Orange",</w:t>
      </w:r>
    </w:p>
    <w:p>
      <w:pPr>
        <w:spacing w:after="0" w:before="0" w:line="240" w:lineRule="auto"/>
        <w:ind w:left="57"/>
        <w:jc w:val="left"/>
        <w:shd w:val="clear" w:fill="F2F2F2"/>
      </w:pPr>
      <w:r>
        <w:rPr>
          <w:rFonts w:ascii="Consolas" w:hAnsi="Consolas" w:cs="Consolas"/>
          <w:b w:val="0"/>
          <w:i w:val="0"/>
          <w:sz w:val="15"/>
        </w:rPr>
        <w:t xml:space="preserve">      "tooltip": "Colour indicates ripeness and quality for the Japanese market."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"packing_defaults": {</w:t>
      </w:r>
    </w:p>
    <w:p>
      <w:pPr>
        <w:spacing w:after="0" w:before="0" w:line="240" w:lineRule="auto"/>
        <w:ind w:left="57"/>
        <w:jc w:val="left"/>
        <w:shd w:val="clear" w:fill="F2F2F2"/>
      </w:pPr>
      <w:r>
        <w:rPr>
          <w:rFonts w:ascii="Consolas" w:hAnsi="Consolas" w:cs="Consolas"/>
          <w:b w:val="0"/>
          <w:i w:val="0"/>
          <w:sz w:val="15"/>
        </w:rPr>
        <w:t xml:space="preserve">    "pallet_type": "EUR",</w:t>
      </w:r>
    </w:p>
    <w:p>
      <w:pPr>
        <w:spacing w:after="0" w:before="0" w:line="240" w:lineRule="auto"/>
        <w:ind w:left="57"/>
        <w:jc w:val="left"/>
        <w:shd w:val="clear" w:fill="F2F2F2"/>
      </w:pPr>
      <w:r>
        <w:rPr>
          <w:rFonts w:ascii="Consolas" w:hAnsi="Consolas" w:cs="Consolas"/>
          <w:b w:val="0"/>
          <w:i w:val="0"/>
          <w:sz w:val="15"/>
        </w:rPr>
        <w:t xml:space="preserve">    "pallet_dimensions_mm": { "width": 800, "length": 1200, "height": 144 },</w:t>
      </w:r>
    </w:p>
    <w:p>
      <w:pPr>
        <w:spacing w:after="0" w:before="0" w:line="240" w:lineRule="auto"/>
        <w:ind w:left="57"/>
        <w:jc w:val="left"/>
        <w:shd w:val="clear" w:fill="F2F2F2"/>
      </w:pPr>
      <w:r>
        <w:rPr>
          <w:rFonts w:ascii="Consolas" w:hAnsi="Consolas" w:cs="Consolas"/>
          <w:b w:val="0"/>
          <w:i w:val="0"/>
          <w:sz w:val="15"/>
        </w:rPr>
        <w:t xml:space="preserve">    "cartons_per_pallet": 40,</w:t>
      </w:r>
    </w:p>
    <w:p>
      <w:pPr>
        <w:spacing w:after="0" w:before="0" w:line="240" w:lineRule="auto"/>
        <w:ind w:left="57"/>
        <w:jc w:val="left"/>
        <w:shd w:val="clear" w:fill="F2F2F2"/>
      </w:pPr>
      <w:r>
        <w:rPr>
          <w:rFonts w:ascii="Consolas" w:hAnsi="Consolas" w:cs="Consolas"/>
          <w:b w:val="0"/>
          <w:i w:val="0"/>
          <w:sz w:val="15"/>
        </w:rPr>
        <w:t xml:space="preserve">    "net_weight_per_carton_kg": 10,</w:t>
      </w:r>
    </w:p>
    <w:p>
      <w:pPr>
        <w:spacing w:after="0" w:before="0" w:line="240" w:lineRule="auto"/>
        <w:ind w:left="57"/>
        <w:jc w:val="left"/>
        <w:shd w:val="clear" w:fill="F2F2F2"/>
      </w:pPr>
      <w:r>
        <w:rPr>
          <w:rFonts w:ascii="Consolas" w:hAnsi="Consolas" w:cs="Consolas"/>
          <w:b w:val="0"/>
          <w:i w:val="0"/>
          <w:sz w:val="15"/>
        </w:rPr>
        <w:t xml:space="preserve">    "gross_weight_per_carton_kg": 10.5,</w:t>
      </w:r>
    </w:p>
    <w:p>
      <w:pPr>
        <w:spacing w:after="0" w:before="0" w:line="240" w:lineRule="auto"/>
        <w:ind w:left="57"/>
        <w:jc w:val="left"/>
        <w:shd w:val="clear" w:fill="F2F2F2"/>
      </w:pPr>
      <w:r>
        <w:rPr>
          <w:rFonts w:ascii="Consolas" w:hAnsi="Consolas" w:cs="Consolas"/>
          <w:b w:val="0"/>
          <w:i w:val="0"/>
          <w:sz w:val="15"/>
        </w:rPr>
        <w:t xml:space="preserve">    "stacking_layers": 5,</w:t>
      </w:r>
    </w:p>
    <w:p>
      <w:pPr>
        <w:spacing w:after="0" w:before="0" w:line="240" w:lineRule="auto"/>
        <w:ind w:left="57"/>
        <w:jc w:val="left"/>
        <w:shd w:val="clear" w:fill="F2F2F2"/>
      </w:pPr>
      <w:r>
        <w:rPr>
          <w:rFonts w:ascii="Consolas" w:hAnsi="Consolas" w:cs="Consolas"/>
          <w:b w:val="0"/>
          <w:i w:val="0"/>
          <w:sz w:val="15"/>
        </w:rPr>
        <w:t xml:space="preserve">    "max_pallets_per_container_40ft": 22,</w:t>
      </w:r>
    </w:p>
    <w:p>
      <w:pPr>
        <w:spacing w:after="0" w:before="0" w:line="240" w:lineRule="auto"/>
        <w:ind w:left="57"/>
        <w:jc w:val="left"/>
        <w:shd w:val="clear" w:fill="F2F2F2"/>
      </w:pPr>
      <w:r>
        <w:rPr>
          <w:rFonts w:ascii="Consolas" w:hAnsi="Consolas" w:cs="Consolas"/>
          <w:b w:val="0"/>
          <w:i w:val="0"/>
          <w:sz w:val="15"/>
        </w:rPr>
        <w:t xml:space="preserve">    "max_pallets_per_container_40hc": 24,</w:t>
      </w:r>
    </w:p>
    <w:p>
      <w:pPr>
        <w:spacing w:after="0" w:before="0" w:line="240" w:lineRule="auto"/>
        <w:ind w:left="57"/>
        <w:jc w:val="left"/>
        <w:shd w:val="clear" w:fill="F2F2F2"/>
      </w:pPr>
      <w:r>
        <w:rPr>
          <w:rFonts w:ascii="Consolas" w:hAnsi="Consolas" w:cs="Consolas"/>
          <w:b w:val="0"/>
          <w:i w:val="0"/>
          <w:sz w:val="15"/>
        </w:rPr>
        <w:t xml:space="preserve">    "pallet_tare_kg": 25,</w:t>
      </w:r>
    </w:p>
    <w:p>
      <w:pPr>
        <w:spacing w:after="0" w:before="0" w:line="240" w:lineRule="auto"/>
        <w:ind w:left="57"/>
        <w:jc w:val="left"/>
        <w:shd w:val="clear" w:fill="F2F2F2"/>
      </w:pPr>
      <w:r>
        <w:rPr>
          <w:rFonts w:ascii="Consolas" w:hAnsi="Consolas" w:cs="Consolas"/>
          <w:b w:val="0"/>
          <w:i w:val="0"/>
          <w:sz w:val="15"/>
        </w:rPr>
        <w:t xml:space="preserve">    "default_packaging_type": "Cartons 10kg",</w:t>
      </w:r>
    </w:p>
    <w:p>
      <w:pPr>
        <w:spacing w:after="0" w:before="0" w:line="240" w:lineRule="auto"/>
        <w:ind w:left="57"/>
        <w:jc w:val="left"/>
        <w:shd w:val="clear" w:fill="F2F2F2"/>
      </w:pPr>
      <w:r>
        <w:rPr>
          <w:rFonts w:ascii="Consolas" w:hAnsi="Consolas" w:cs="Consolas"/>
          <w:b w:val="0"/>
          <w:i w:val="0"/>
          <w:sz w:val="15"/>
        </w:rPr>
        <w:t xml:space="preserve">    "packaging_options": [</w:t>
      </w:r>
    </w:p>
    <w:p>
      <w:pPr>
        <w:spacing w:after="0" w:before="0" w:line="240" w:lineRule="auto"/>
        <w:ind w:left="57"/>
        <w:jc w:val="left"/>
        <w:shd w:val="clear" w:fill="F2F2F2"/>
      </w:pPr>
      <w:r>
        <w:rPr>
          <w:rFonts w:ascii="Consolas" w:hAnsi="Consolas" w:cs="Consolas"/>
          <w:b w:val="0"/>
          <w:i w:val="0"/>
          <w:sz w:val="15"/>
        </w:rPr>
        <w:t xml:space="preserve">      "Cartons 10kg", "Cartons 12kg", "Mesh Bags 5kg", "Plastic Crates", "Bulk Boxes"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"ai_recommendation": "EUR pallet with 40 cartons (10kg each) is the most efficient configuration for this product and route."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"acceptance_criteria_matrix": [</w:t>
      </w:r>
    </w:p>
    <w:p>
      <w:pPr>
        <w:spacing w:after="0" w:before="0" w:line="240" w:lineRule="auto"/>
        <w:ind w:left="57"/>
        <w:jc w:val="left"/>
        <w:shd w:val="clear" w:fill="F2F2F2"/>
      </w:pPr>
      <w:r>
        <w:rPr>
          <w:rFonts w:ascii="Consolas" w:hAnsi="Consolas" w:cs="Consolas"/>
          <w:b w:val="0"/>
          <w:i w:val="0"/>
          <w:sz w:val="15"/>
        </w:rPr>
        <w:t xml:space="preserve">    { "parameter": "Moisture", "limit": "Max 14%", "unit": "%", "mandatory": true, "source_regulation": "EU RASFF #2024-456", "ai_confidence": 0.92 },</w:t>
      </w:r>
    </w:p>
    <w:p>
      <w:pPr>
        <w:spacing w:after="0" w:before="0" w:line="240" w:lineRule="auto"/>
        <w:ind w:left="57"/>
        <w:jc w:val="left"/>
        <w:shd w:val="clear" w:fill="F2F2F2"/>
      </w:pPr>
      <w:r>
        <w:rPr>
          <w:rFonts w:ascii="Consolas" w:hAnsi="Consolas" w:cs="Consolas"/>
          <w:b w:val="0"/>
          <w:i w:val="0"/>
          <w:sz w:val="15"/>
        </w:rPr>
        <w:t xml:space="preserve">    { "parameter": "Protein", "limit": "Min 12%", "unit": "%", "mandatory": true, "source_regulation": "Codex Alimentarius", "ai_confidence": 0.88 },</w:t>
      </w:r>
    </w:p>
    <w:p>
      <w:pPr>
        <w:spacing w:after="0" w:before="0" w:line="240" w:lineRule="auto"/>
        <w:ind w:left="57"/>
        <w:jc w:val="left"/>
        <w:shd w:val="clear" w:fill="F2F2F2"/>
      </w:pPr>
      <w:r>
        <w:rPr>
          <w:rFonts w:ascii="Consolas" w:hAnsi="Consolas" w:cs="Consolas"/>
          <w:b w:val="0"/>
          <w:i w:val="0"/>
          <w:sz w:val="15"/>
        </w:rPr>
        <w:t xml:space="preserve">    { "parameter": "Purity", "limit": "Min 99%", "unit": "%", "mandatory": true, "source_regulation": "WTO SPS #2024-789", "ai_confidence": 0.91 },</w:t>
      </w:r>
    </w:p>
    <w:p>
      <w:pPr>
        <w:spacing w:after="0" w:before="0" w:line="240" w:lineRule="auto"/>
        <w:ind w:left="57"/>
        <w:jc w:val="left"/>
        <w:shd w:val="clear" w:fill="F2F2F2"/>
      </w:pPr>
      <w:r>
        <w:rPr>
          <w:rFonts w:ascii="Consolas" w:hAnsi="Consolas" w:cs="Consolas"/>
          <w:b w:val="0"/>
          <w:i w:val="0"/>
          <w:sz w:val="15"/>
        </w:rPr>
        <w:t xml:space="preserve">    { "parameter": "Crude Fat", "limit": "Max 8%", "unit": "%", "mandatory": true, "source_regulation": "EU RASFF #2024-456", "ai_confidence": 0.90 },</w:t>
      </w:r>
    </w:p>
    <w:p>
      <w:pPr>
        <w:spacing w:after="0" w:before="0" w:line="240" w:lineRule="auto"/>
        <w:ind w:left="57"/>
        <w:jc w:val="left"/>
        <w:shd w:val="clear" w:fill="F2F2F2"/>
      </w:pPr>
      <w:r>
        <w:rPr>
          <w:rFonts w:ascii="Consolas" w:hAnsi="Consolas" w:cs="Consolas"/>
          <w:b w:val="0"/>
          <w:i w:val="0"/>
          <w:sz w:val="15"/>
        </w:rPr>
        <w:t xml:space="preserve">    { "parameter": "Ash", "limit": "Max 2%", "unit": "%", "mandatory": true, "source_regulation": "Codex Alimentarius", "ai_confidence": 0.87 },</w:t>
      </w:r>
    </w:p>
    <w:p>
      <w:pPr>
        <w:spacing w:after="0" w:before="0" w:line="240" w:lineRule="auto"/>
        <w:ind w:left="57"/>
        <w:jc w:val="left"/>
        <w:shd w:val="clear" w:fill="F2F2F2"/>
      </w:pPr>
      <w:r>
        <w:rPr>
          <w:rFonts w:ascii="Consolas" w:hAnsi="Consolas" w:cs="Consolas"/>
          <w:b w:val="0"/>
          <w:i w:val="0"/>
          <w:sz w:val="15"/>
        </w:rPr>
        <w:t xml:space="preserve">    { "parameter": "Foreign Matter", "limit": "Max 0.5%", "unit": "%", "mandatory": true, "source_regulation": "EU RASFF #2024-456", "ai_confidence": 0.93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"quantity_defaults": {</w:t>
      </w:r>
    </w:p>
    <w:p>
      <w:pPr>
        <w:spacing w:after="0" w:before="0" w:line="240" w:lineRule="auto"/>
        <w:ind w:left="57"/>
        <w:jc w:val="left"/>
        <w:shd w:val="clear" w:fill="F2F2F2"/>
      </w:pPr>
      <w:r>
        <w:rPr>
          <w:rFonts w:ascii="Consolas" w:hAnsi="Consolas" w:cs="Consolas"/>
          <w:b w:val="0"/>
          <w:i w:val="0"/>
          <w:sz w:val="15"/>
        </w:rPr>
        <w:t xml:space="preserve">    "default_quantity": 100,</w:t>
      </w:r>
    </w:p>
    <w:p>
      <w:pPr>
        <w:spacing w:after="0" w:before="0" w:line="240" w:lineRule="auto"/>
        <w:ind w:left="57"/>
        <w:jc w:val="left"/>
        <w:shd w:val="clear" w:fill="F2F2F2"/>
      </w:pPr>
      <w:r>
        <w:rPr>
          <w:rFonts w:ascii="Consolas" w:hAnsi="Consolas" w:cs="Consolas"/>
          <w:b w:val="0"/>
          <w:i w:val="0"/>
          <w:sz w:val="15"/>
        </w:rPr>
        <w:t xml:space="preserve">    "default_unit": "MT",</w:t>
      </w:r>
    </w:p>
    <w:p>
      <w:pPr>
        <w:spacing w:after="0" w:before="0" w:line="240" w:lineRule="auto"/>
        <w:ind w:left="57"/>
        <w:jc w:val="left"/>
        <w:shd w:val="clear" w:fill="F2F2F2"/>
      </w:pPr>
      <w:r>
        <w:rPr>
          <w:rFonts w:ascii="Consolas" w:hAnsi="Consolas" w:cs="Consolas"/>
          <w:b w:val="0"/>
          <w:i w:val="0"/>
          <w:sz w:val="15"/>
        </w:rPr>
        <w:t xml:space="preserve">    "default_tolerance": 5,</w:t>
      </w:r>
    </w:p>
    <w:p>
      <w:pPr>
        <w:spacing w:after="0" w:before="0" w:line="240" w:lineRule="auto"/>
        <w:ind w:left="57"/>
        <w:jc w:val="left"/>
        <w:shd w:val="clear" w:fill="F2F2F2"/>
      </w:pPr>
      <w:r>
        <w:rPr>
          <w:rFonts w:ascii="Consolas" w:hAnsi="Consolas" w:cs="Consolas"/>
          <w:b w:val="0"/>
          <w:i w:val="0"/>
          <w:sz w:val="15"/>
        </w:rPr>
        <w:t xml:space="preserve">    "tolerance_options": [2, 3, 5, 7, 10, "Custom"],</w:t>
      </w:r>
    </w:p>
    <w:p>
      <w:pPr>
        <w:spacing w:after="0" w:before="0" w:line="240" w:lineRule="auto"/>
        <w:ind w:left="57"/>
        <w:jc w:val="left"/>
        <w:shd w:val="clear" w:fill="F2F2F2"/>
      </w:pPr>
      <w:r>
        <w:rPr>
          <w:rFonts w:ascii="Consolas" w:hAnsi="Consolas" w:cs="Consolas"/>
          <w:b w:val="0"/>
          <w:i w:val="0"/>
          <w:sz w:val="15"/>
        </w:rPr>
        <w:t xml:space="preserve">    "unit_options": ["MT", "KG", "LB", "Pieces", "Cartons"],</w:t>
      </w:r>
    </w:p>
    <w:p>
      <w:pPr>
        <w:spacing w:after="0" w:before="0" w:line="240" w:lineRule="auto"/>
        <w:ind w:left="57"/>
        <w:jc w:val="left"/>
        <w:shd w:val="clear" w:fill="F2F2F2"/>
      </w:pPr>
      <w:r>
        <w:rPr>
          <w:rFonts w:ascii="Consolas" w:hAnsi="Consolas" w:cs="Consolas"/>
          <w:b w:val="0"/>
          <w:i w:val="0"/>
          <w:sz w:val="15"/>
        </w:rPr>
        <w:t xml:space="preserve">    "ai_recommendation": "100 MT is the standard container load for this product."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"required_documents": [</w:t>
      </w:r>
    </w:p>
    <w:p>
      <w:pPr>
        <w:spacing w:after="0" w:before="0" w:line="240" w:lineRule="auto"/>
        <w:ind w:left="57"/>
        <w:jc w:val="left"/>
        <w:shd w:val="clear" w:fill="F2F2F2"/>
      </w:pPr>
      <w:r>
        <w:rPr>
          <w:rFonts w:ascii="Consolas" w:hAnsi="Consolas" w:cs="Consolas"/>
          <w:b w:val="0"/>
          <w:i w:val="0"/>
          <w:sz w:val="15"/>
        </w:rPr>
        <w:t xml:space="preserve">    { "type": "COMMERCIAL_INVOICE", "label": "Commercial Invoice", "mandatory": true, "auto_generate": true, "trigger": "SHIPMENT", "source_regulation": "WTO", "tooltip": "Required for customs clearance and payment." },</w:t>
      </w:r>
    </w:p>
    <w:p>
      <w:pPr>
        <w:spacing w:after="0" w:before="0" w:line="240" w:lineRule="auto"/>
        <w:ind w:left="57"/>
        <w:jc w:val="left"/>
        <w:shd w:val="clear" w:fill="F2F2F2"/>
      </w:pPr>
      <w:r>
        <w:rPr>
          <w:rFonts w:ascii="Consolas" w:hAnsi="Consolas" w:cs="Consolas"/>
          <w:b w:val="0"/>
          <w:i w:val="0"/>
          <w:sz w:val="15"/>
        </w:rPr>
        <w:t xml:space="preserve">    { "type": "PACKING_LIST", "label": "Packing List", "mandatory": true, "auto_generate": true, "trigger": "SHIPMENT", "source_regulation": "WTO", "tooltip": "Required for customs clearance and logistics." },</w:t>
      </w:r>
    </w:p>
    <w:p>
      <w:pPr>
        <w:spacing w:after="0" w:before="0" w:line="240" w:lineRule="auto"/>
        <w:ind w:left="57"/>
        <w:jc w:val="left"/>
        <w:shd w:val="clear" w:fill="F2F2F2"/>
      </w:pPr>
      <w:r>
        <w:rPr>
          <w:rFonts w:ascii="Consolas" w:hAnsi="Consolas" w:cs="Consolas"/>
          <w:b w:val="0"/>
          <w:i w:val="0"/>
          <w:sz w:val="15"/>
        </w:rPr>
        <w:t xml:space="preserve">    { "type": "PHYTOSANITARY_CERTIFICATE", "label": "Phytosanitary Certificate", "mandatory": true, "trigger": "SHIPMENT", "source_regulation": "IPPC", "tooltip": "Required for all fresh fruit exports to Japan." },</w:t>
      </w:r>
    </w:p>
    <w:p>
      <w:pPr>
        <w:spacing w:after="0" w:before="0" w:line="240" w:lineRule="auto"/>
        <w:ind w:left="57"/>
        <w:jc w:val="left"/>
        <w:shd w:val="clear" w:fill="F2F2F2"/>
      </w:pPr>
      <w:r>
        <w:rPr>
          <w:rFonts w:ascii="Consolas" w:hAnsi="Consolas" w:cs="Consolas"/>
          <w:b w:val="0"/>
          <w:i w:val="0"/>
          <w:sz w:val="15"/>
        </w:rPr>
        <w:t xml:space="preserve">    { "type": "COLD_TREATMENT_CERTIFICATE", "label": "Cold Treatment Certificate", "mandatory": true, "trigger": "SHIPMENT", "source_regulation": "IPPC", "tooltip": "Required for Japan. Certificate must be from an approved facility." },</w:t>
      </w:r>
    </w:p>
    <w:p>
      <w:pPr>
        <w:spacing w:after="0" w:before="0" w:line="240" w:lineRule="auto"/>
        <w:ind w:left="57"/>
        <w:jc w:val="left"/>
        <w:shd w:val="clear" w:fill="F2F2F2"/>
      </w:pPr>
      <w:r>
        <w:rPr>
          <w:rFonts w:ascii="Consolas" w:hAnsi="Consolas" w:cs="Consolas"/>
          <w:b w:val="0"/>
          <w:i w:val="0"/>
          <w:sz w:val="15"/>
        </w:rPr>
        <w:t xml:space="preserve">    { "type": "HEALTH_CERTIFICATE", "label": "Health Certificate", "mandatory": true, "trigger": "SHIPMENT", "source_regulation": "NFSA", "tooltip": "Required for food products to Japan." },</w:t>
      </w:r>
    </w:p>
    <w:p>
      <w:pPr>
        <w:spacing w:after="0" w:before="0" w:line="240" w:lineRule="auto"/>
        <w:ind w:left="57"/>
        <w:jc w:val="left"/>
        <w:shd w:val="clear" w:fill="F2F2F2"/>
      </w:pPr>
      <w:r>
        <w:rPr>
          <w:rFonts w:ascii="Consolas" w:hAnsi="Consolas" w:cs="Consolas"/>
          <w:b w:val="0"/>
          <w:i w:val="0"/>
          <w:sz w:val="15"/>
        </w:rPr>
        <w:t xml:space="preserve">    { "type": "CERTIFICATE_OF_ORIGIN", "label": "Certificate of Origin", "mandatory": true, "trigger": "SETTLEMENT", "source_regulation": "WTO", "tooltip": "Required for tariff preference and LC." },</w:t>
      </w:r>
    </w:p>
    <w:p>
      <w:pPr>
        <w:spacing w:after="0" w:before="0" w:line="240" w:lineRule="auto"/>
        <w:ind w:left="57"/>
        <w:jc w:val="left"/>
        <w:shd w:val="clear" w:fill="F2F2F2"/>
      </w:pPr>
      <w:r>
        <w:rPr>
          <w:rFonts w:ascii="Consolas" w:hAnsi="Consolas" w:cs="Consolas"/>
          <w:b w:val="0"/>
          <w:i w:val="0"/>
          <w:sz w:val="15"/>
        </w:rPr>
        <w:t xml:space="preserve">    { "type": "COLD_CHAIN_LOG", "label": "Cold Chain Temperature Log", "mandatory": true, "trigger": "SHIPMENT", "source_regulation": "FAO", "tooltip": "Required to verify temperature compliance during transit." },</w:t>
      </w:r>
    </w:p>
    <w:p>
      <w:pPr>
        <w:spacing w:after="0" w:before="0" w:line="240" w:lineRule="auto"/>
        <w:ind w:left="57"/>
        <w:jc w:val="left"/>
        <w:shd w:val="clear" w:fill="F2F2F2"/>
      </w:pPr>
      <w:r>
        <w:rPr>
          <w:rFonts w:ascii="Consolas" w:hAnsi="Consolas" w:cs="Consolas"/>
          <w:b w:val="0"/>
          <w:i w:val="0"/>
          <w:sz w:val="15"/>
        </w:rPr>
        <w:t xml:space="preserve">    { "type": "BILL_OF_LADING", "label": "Bill of Lading", "mandatory": true, "auto_generate": false, "trigger": "SETTLEMENT", "source_regulation": "WTO", "tooltip": "Required for settlement and LC." },</w:t>
      </w:r>
    </w:p>
    <w:p>
      <w:pPr>
        <w:spacing w:after="0" w:before="0" w:line="240" w:lineRule="auto"/>
        <w:ind w:left="57"/>
        <w:jc w:val="left"/>
        <w:shd w:val="clear" w:fill="F2F2F2"/>
      </w:pPr>
      <w:r>
        <w:rPr>
          <w:rFonts w:ascii="Consolas" w:hAnsi="Consolas" w:cs="Consolas"/>
          <w:b w:val="0"/>
          <w:i w:val="0"/>
          <w:sz w:val="15"/>
        </w:rPr>
        <w:t xml:space="preserve">    { "type": "INSURANCE_CERTIFICATE", "label": "Insurance Certificate", "mandatory": false, "trigger": "SETTLEMENT", "source_regulation": "Optional", "tooltip": "Required if buyer purchases insurance."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"lab_tests_required": [</w:t>
      </w:r>
    </w:p>
    <w:p>
      <w:pPr>
        <w:spacing w:after="0" w:before="0" w:line="240" w:lineRule="auto"/>
        <w:ind w:left="57"/>
        <w:jc w:val="left"/>
        <w:shd w:val="clear" w:fill="F2F2F2"/>
      </w:pPr>
      <w:r>
        <w:rPr>
          <w:rFonts w:ascii="Consolas" w:hAnsi="Consolas" w:cs="Consolas"/>
          <w:b w:val="0"/>
          <w:i w:val="0"/>
          <w:sz w:val="15"/>
        </w:rPr>
        <w:t xml:space="preserve">    { "analyte": "Cypermethrin", "label": "Cypermethrin", "mrl_mg_per_kg": 0.02, "unit": "mg/kg", "mandatory": true, "source_regulation": "EU RASFF #2026-456", "method": "GC-MS/MS" },</w:t>
      </w:r>
    </w:p>
    <w:p>
      <w:pPr>
        <w:spacing w:after="0" w:before="0" w:line="240" w:lineRule="auto"/>
        <w:ind w:left="57"/>
        <w:jc w:val="left"/>
        <w:shd w:val="clear" w:fill="F2F2F2"/>
      </w:pPr>
      <w:r>
        <w:rPr>
          <w:rFonts w:ascii="Consolas" w:hAnsi="Consolas" w:cs="Consolas"/>
          <w:b w:val="0"/>
          <w:i w:val="0"/>
          <w:sz w:val="15"/>
        </w:rPr>
        <w:t xml:space="preserve">    { "analyte": "Chlorpyrifos", "label": "Chlorpyrifos", "mrl_mg_per_kg": 0.01, "unit": "mg/kg", "mandatory": true, "source_regulation": "EU RASFF #2025-123", "method": "GC-MS/MS" },</w:t>
      </w:r>
    </w:p>
    <w:p>
      <w:pPr>
        <w:spacing w:after="0" w:before="0" w:line="240" w:lineRule="auto"/>
        <w:ind w:left="57"/>
        <w:jc w:val="left"/>
        <w:shd w:val="clear" w:fill="F2F2F2"/>
      </w:pPr>
      <w:r>
        <w:rPr>
          <w:rFonts w:ascii="Consolas" w:hAnsi="Consolas" w:cs="Consolas"/>
          <w:b w:val="0"/>
          <w:i w:val="0"/>
          <w:sz w:val="15"/>
        </w:rPr>
        <w:t xml:space="preserve">    { "analyte": "Thiabendazole", "label": "Thiabendazole", "mrl_mg_per_kg": 0.05, "unit": "mg/kg", "mandatory": true, "source_regulation": "Codex Alimentarius", "method": "HPLC" },</w:t>
      </w:r>
    </w:p>
    <w:p>
      <w:pPr>
        <w:spacing w:after="0" w:before="0" w:line="240" w:lineRule="auto"/>
        <w:ind w:left="57"/>
        <w:jc w:val="left"/>
        <w:shd w:val="clear" w:fill="F2F2F2"/>
      </w:pPr>
      <w:r>
        <w:rPr>
          <w:rFonts w:ascii="Consolas" w:hAnsi="Consolas" w:cs="Consolas"/>
          <w:b w:val="0"/>
          <w:i w:val="0"/>
          <w:sz w:val="15"/>
        </w:rPr>
        <w:t xml:space="preserve">    { "analyte": "Imazalil", "label": "Imazalil", "mrl_mg_per_kg": 0.03, "unit": "mg/kg", "mandatory": true, "source_regulation": "EU RASFF #2024-789", "method": "HPLC"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"special_conditions": [</w:t>
      </w:r>
    </w:p>
    <w:p>
      <w:pPr>
        <w:spacing w:after="0" w:before="0" w:line="240" w:lineRule="auto"/>
        <w:ind w:left="57"/>
        <w:jc w:val="left"/>
        <w:shd w:val="clear" w:fill="F2F2F2"/>
      </w:pPr>
      <w:r>
        <w:rPr>
          <w:rFonts w:ascii="Consolas" w:hAnsi="Consolas" w:cs="Consolas"/>
          <w:b w:val="0"/>
          <w:i w:val="0"/>
          <w:sz w:val="15"/>
        </w:rPr>
        <w:t xml:space="preserve">    { "condition": "Cold treatment required: -0.5°C for 14 days.", "required": true, "source_regulation": "IPPC", "details": "Must be completed before loading. Certificate from approved facility required." },</w:t>
      </w:r>
    </w:p>
    <w:p>
      <w:pPr>
        <w:spacing w:after="0" w:before="0" w:line="240" w:lineRule="auto"/>
        <w:ind w:left="57"/>
        <w:jc w:val="left"/>
        <w:shd w:val="clear" w:fill="F2F2F2"/>
      </w:pPr>
      <w:r>
        <w:rPr>
          <w:rFonts w:ascii="Consolas" w:hAnsi="Consolas" w:cs="Consolas"/>
          <w:b w:val="0"/>
          <w:i w:val="0"/>
          <w:sz w:val="15"/>
        </w:rPr>
        <w:t xml:space="preserve">    { "condition": "Pre-cooling certificate required before loading.", "required": true, "source_regulation": "FAO", "details": "Fruit must be pre-cooled to 2°C within 12 hours of picking." },</w:t>
      </w:r>
    </w:p>
    <w:p>
      <w:pPr>
        <w:spacing w:after="0" w:before="0" w:line="240" w:lineRule="auto"/>
        <w:ind w:left="57"/>
        <w:jc w:val="left"/>
        <w:shd w:val="clear" w:fill="F2F2F2"/>
      </w:pPr>
      <w:r>
        <w:rPr>
          <w:rFonts w:ascii="Consolas" w:hAnsi="Consolas" w:cs="Consolas"/>
          <w:b w:val="0"/>
          <w:i w:val="0"/>
          <w:sz w:val="15"/>
        </w:rPr>
        <w:t xml:space="preserve">    { "condition": "Wood packaging must be ISPM 15 compliant.", "required": true, "source_regulation": "IPPC", "details": "All wood packaging must be heat-treated or fumigated." },</w:t>
      </w:r>
    </w:p>
    <w:p>
      <w:pPr>
        <w:spacing w:after="0" w:before="0" w:line="240" w:lineRule="auto"/>
        <w:ind w:left="57"/>
        <w:jc w:val="left"/>
        <w:shd w:val="clear" w:fill="F2F2F2"/>
      </w:pPr>
      <w:r>
        <w:rPr>
          <w:rFonts w:ascii="Consolas" w:hAnsi="Consolas" w:cs="Consolas"/>
          <w:b w:val="0"/>
          <w:i w:val="0"/>
          <w:sz w:val="15"/>
        </w:rPr>
        <w:t xml:space="preserve">    { "condition": "Traceability: Each carton must have a traceability barcode.", "required": true, "source_regulation": "EU RASFF", "details": "GS1-128 barcode with lot number and SSCC."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"treatment_details": {</w:t>
      </w:r>
    </w:p>
    <w:p>
      <w:pPr>
        <w:spacing w:after="0" w:before="0" w:line="240" w:lineRule="auto"/>
        <w:ind w:left="57"/>
        <w:jc w:val="left"/>
        <w:shd w:val="clear" w:fill="F2F2F2"/>
      </w:pPr>
      <w:r>
        <w:rPr>
          <w:rFonts w:ascii="Consolas" w:hAnsi="Consolas" w:cs="Consolas"/>
          <w:b w:val="0"/>
          <w:i w:val="0"/>
          <w:sz w:val="15"/>
        </w:rPr>
        <w:t xml:space="preserve">    "type": "cold_treatment",</w:t>
      </w:r>
    </w:p>
    <w:p>
      <w:pPr>
        <w:spacing w:after="0" w:before="0" w:line="240" w:lineRule="auto"/>
        <w:ind w:left="57"/>
        <w:jc w:val="left"/>
        <w:shd w:val="clear" w:fill="F2F2F2"/>
      </w:pPr>
      <w:r>
        <w:rPr>
          <w:rFonts w:ascii="Consolas" w:hAnsi="Consolas" w:cs="Consolas"/>
          <w:b w:val="0"/>
          <w:i w:val="0"/>
          <w:sz w:val="15"/>
        </w:rPr>
        <w:t xml:space="preserve">    "temperature_c": -0.5,</w:t>
      </w:r>
    </w:p>
    <w:p>
      <w:pPr>
        <w:spacing w:after="0" w:before="0" w:line="240" w:lineRule="auto"/>
        <w:ind w:left="57"/>
        <w:jc w:val="left"/>
        <w:shd w:val="clear" w:fill="F2F2F2"/>
      </w:pPr>
      <w:r>
        <w:rPr>
          <w:rFonts w:ascii="Consolas" w:hAnsi="Consolas" w:cs="Consolas"/>
          <w:b w:val="0"/>
          <w:i w:val="0"/>
          <w:sz w:val="15"/>
        </w:rPr>
        <w:t xml:space="preserve">    "duration_days": 14,</w:t>
      </w:r>
    </w:p>
    <w:p>
      <w:pPr>
        <w:spacing w:after="0" w:before="0" w:line="240" w:lineRule="auto"/>
        <w:ind w:left="57"/>
        <w:jc w:val="left"/>
        <w:shd w:val="clear" w:fill="F2F2F2"/>
      </w:pPr>
      <w:r>
        <w:rPr>
          <w:rFonts w:ascii="Consolas" w:hAnsi="Consolas" w:cs="Consolas"/>
          <w:b w:val="0"/>
          <w:i w:val="0"/>
          <w:sz w:val="15"/>
        </w:rPr>
        <w:t xml:space="preserve">    "certificate_required": true,</w:t>
      </w:r>
    </w:p>
    <w:p>
      <w:pPr>
        <w:spacing w:after="0" w:before="0" w:line="240" w:lineRule="auto"/>
        <w:ind w:left="57"/>
        <w:jc w:val="left"/>
        <w:shd w:val="clear" w:fill="F2F2F2"/>
      </w:pPr>
      <w:r>
        <w:rPr>
          <w:rFonts w:ascii="Consolas" w:hAnsi="Consolas" w:cs="Consolas"/>
          <w:b w:val="0"/>
          <w:i w:val="0"/>
          <w:sz w:val="15"/>
        </w:rPr>
        <w:t xml:space="preserve">    "accepted_facilities": [</w:t>
      </w:r>
    </w:p>
    <w:p>
      <w:pPr>
        <w:spacing w:after="0" w:before="0" w:line="240" w:lineRule="auto"/>
        <w:ind w:left="57"/>
        <w:jc w:val="left"/>
        <w:shd w:val="clear" w:fill="F2F2F2"/>
      </w:pPr>
      <w:r>
        <w:rPr>
          <w:rFonts w:ascii="Consolas" w:hAnsi="Consolas" w:cs="Consolas"/>
          <w:b w:val="0"/>
          <w:i w:val="0"/>
          <w:sz w:val="15"/>
        </w:rPr>
        <w:t xml:space="preserve">      "Egyptian Cold Treatment Center", "Alexandria Cold Storage", "Damietta Cold Chain Facility"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"source_regulation": "IPPC"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"inspection_requirements": {</w:t>
      </w:r>
    </w:p>
    <w:p>
      <w:pPr>
        <w:spacing w:after="0" w:before="0" w:line="240" w:lineRule="auto"/>
        <w:ind w:left="57"/>
        <w:jc w:val="left"/>
        <w:shd w:val="clear" w:fill="F2F2F2"/>
      </w:pPr>
      <w:r>
        <w:rPr>
          <w:rFonts w:ascii="Consolas" w:hAnsi="Consolas" w:cs="Consolas"/>
          <w:b w:val="0"/>
          <w:i w:val="0"/>
          <w:sz w:val="15"/>
        </w:rPr>
        <w:t xml:space="preserve">    "recommended_type": "Third Party Inspection",</w:t>
      </w:r>
    </w:p>
    <w:p>
      <w:pPr>
        <w:spacing w:after="0" w:before="0" w:line="240" w:lineRule="auto"/>
        <w:ind w:left="57"/>
        <w:jc w:val="left"/>
        <w:shd w:val="clear" w:fill="F2F2F2"/>
      </w:pPr>
      <w:r>
        <w:rPr>
          <w:rFonts w:ascii="Consolas" w:hAnsi="Consolas" w:cs="Consolas"/>
          <w:b w:val="0"/>
          <w:i w:val="0"/>
          <w:sz w:val="15"/>
        </w:rPr>
        <w:t xml:space="preserve">    "sampling_plan": "AQL General Level II",</w:t>
      </w:r>
    </w:p>
    <w:p>
      <w:pPr>
        <w:spacing w:after="0" w:before="0" w:line="240" w:lineRule="auto"/>
        <w:ind w:left="57"/>
        <w:jc w:val="left"/>
        <w:shd w:val="clear" w:fill="F2F2F2"/>
      </w:pPr>
      <w:r>
        <w:rPr>
          <w:rFonts w:ascii="Consolas" w:hAnsi="Consolas" w:cs="Consolas"/>
          <w:b w:val="0"/>
          <w:i w:val="0"/>
          <w:sz w:val="15"/>
        </w:rPr>
        <w:t xml:space="preserve">    "sample_size": "5 pallets random",</w:t>
      </w:r>
    </w:p>
    <w:p>
      <w:pPr>
        <w:spacing w:after="0" w:before="0" w:line="240" w:lineRule="auto"/>
        <w:ind w:left="57"/>
        <w:jc w:val="left"/>
        <w:shd w:val="clear" w:fill="F2F2F2"/>
      </w:pPr>
      <w:r>
        <w:rPr>
          <w:rFonts w:ascii="Consolas" w:hAnsi="Consolas" w:cs="Consolas"/>
          <w:b w:val="0"/>
          <w:i w:val="0"/>
          <w:sz w:val="15"/>
        </w:rPr>
        <w:t xml:space="preserve">    "regulatory_reference": "ISO 17020",</w:t>
      </w:r>
    </w:p>
    <w:p>
      <w:pPr>
        <w:spacing w:after="0" w:before="0" w:line="240" w:lineRule="auto"/>
        <w:ind w:left="57"/>
        <w:jc w:val="left"/>
        <w:shd w:val="clear" w:fill="F2F2F2"/>
      </w:pPr>
      <w:r>
        <w:rPr>
          <w:rFonts w:ascii="Consolas" w:hAnsi="Consolas" w:cs="Consolas"/>
          <w:b w:val="0"/>
          <w:i w:val="0"/>
          <w:sz w:val="15"/>
        </w:rPr>
        <w:t xml:space="preserve">    "tooltip": "Japan requires third-party inspection for all fresh fruit imports."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"criticality_defaults": {</w:t>
      </w:r>
    </w:p>
    <w:p>
      <w:pPr>
        <w:spacing w:after="0" w:before="0" w:line="240" w:lineRule="auto"/>
        <w:ind w:left="57"/>
        <w:jc w:val="left"/>
        <w:shd w:val="clear" w:fill="F2F2F2"/>
      </w:pPr>
      <w:r>
        <w:rPr>
          <w:rFonts w:ascii="Consolas" w:hAnsi="Consolas" w:cs="Consolas"/>
          <w:b w:val="0"/>
          <w:i w:val="0"/>
          <w:sz w:val="15"/>
        </w:rPr>
        <w:t xml:space="preserve">    "suggested_criticality": "Standard",</w:t>
      </w:r>
    </w:p>
    <w:p>
      <w:pPr>
        <w:spacing w:after="0" w:before="0" w:line="240" w:lineRule="auto"/>
        <w:ind w:left="57"/>
        <w:jc w:val="left"/>
        <w:shd w:val="clear" w:fill="F2F2F2"/>
      </w:pPr>
      <w:r>
        <w:rPr>
          <w:rFonts w:ascii="Consolas" w:hAnsi="Consolas" w:cs="Consolas"/>
          <w:b w:val="0"/>
          <w:i w:val="0"/>
          <w:sz w:val="15"/>
        </w:rPr>
        <w:t xml:space="preserve">    "reasons": [ "Fresh fruit is time-sensitive", "Cold treatment adds 14 days", "Japanese market has strict requirements"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"estimated_values": {</w:t>
      </w:r>
    </w:p>
    <w:p>
      <w:pPr>
        <w:spacing w:after="0" w:before="0" w:line="240" w:lineRule="auto"/>
        <w:ind w:left="57"/>
        <w:jc w:val="left"/>
        <w:shd w:val="clear" w:fill="F2F2F2"/>
      </w:pPr>
      <w:r>
        <w:rPr>
          <w:rFonts w:ascii="Consolas" w:hAnsi="Consolas" w:cs="Consolas"/>
          <w:b w:val="0"/>
          <w:i w:val="0"/>
          <w:sz w:val="15"/>
        </w:rPr>
        <w:t xml:space="preserve">    "estimated_total_quantity_kg": 8800,</w:t>
      </w:r>
    </w:p>
    <w:p>
      <w:pPr>
        <w:spacing w:after="0" w:before="0" w:line="240" w:lineRule="auto"/>
        <w:ind w:left="57"/>
        <w:jc w:val="left"/>
        <w:shd w:val="clear" w:fill="F2F2F2"/>
      </w:pPr>
      <w:r>
        <w:rPr>
          <w:rFonts w:ascii="Consolas" w:hAnsi="Consolas" w:cs="Consolas"/>
          <w:b w:val="0"/>
          <w:i w:val="0"/>
          <w:sz w:val="15"/>
        </w:rPr>
        <w:t xml:space="preserve">    "estimated_gross_weight_kg": 9790,</w:t>
      </w:r>
    </w:p>
    <w:p>
      <w:pPr>
        <w:spacing w:after="0" w:before="0" w:line="240" w:lineRule="auto"/>
        <w:ind w:left="57"/>
        <w:jc w:val="left"/>
        <w:shd w:val="clear" w:fill="F2F2F2"/>
      </w:pPr>
      <w:r>
        <w:rPr>
          <w:rFonts w:ascii="Consolas" w:hAnsi="Consolas" w:cs="Consolas"/>
          <w:b w:val="0"/>
          <w:i w:val="0"/>
          <w:sz w:val="15"/>
        </w:rPr>
        <w:t xml:space="preserve">    "estimated_pallet_count": 22,</w:t>
      </w:r>
    </w:p>
    <w:p>
      <w:pPr>
        <w:spacing w:after="0" w:before="0" w:line="240" w:lineRule="auto"/>
        <w:ind w:left="57"/>
        <w:jc w:val="left"/>
        <w:shd w:val="clear" w:fill="F2F2F2"/>
      </w:pPr>
      <w:r>
        <w:rPr>
          <w:rFonts w:ascii="Consolas" w:hAnsi="Consolas" w:cs="Consolas"/>
          <w:b w:val="0"/>
          <w:i w:val="0"/>
          <w:sz w:val="15"/>
        </w:rPr>
        <w:t xml:space="preserve">    "estimated_container_count": 1,</w:t>
      </w:r>
    </w:p>
    <w:p>
      <w:pPr>
        <w:spacing w:after="0" w:before="0" w:line="240" w:lineRule="auto"/>
        <w:ind w:left="57"/>
        <w:jc w:val="left"/>
        <w:shd w:val="clear" w:fill="F2F2F2"/>
      </w:pPr>
      <w:r>
        <w:rPr>
          <w:rFonts w:ascii="Consolas" w:hAnsi="Consolas" w:cs="Consolas"/>
          <w:b w:val="0"/>
          <w:i w:val="0"/>
          <w:sz w:val="15"/>
        </w:rPr>
        <w:t xml:space="preserve">    "estimated_container_type": "40ft Reefer"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"ai_confidence": 0.94,</w:t>
      </w:r>
    </w:p>
    <w:p>
      <w:pPr>
        <w:spacing w:after="0" w:before="0" w:line="240" w:lineRule="auto"/>
        <w:ind w:left="57"/>
        <w:jc w:val="left"/>
        <w:shd w:val="clear" w:fill="F2F2F2"/>
      </w:pPr>
      <w:r>
        <w:rPr>
          <w:rFonts w:ascii="Consolas" w:hAnsi="Consolas" w:cs="Consolas"/>
          <w:b w:val="0"/>
          <w:i w:val="0"/>
          <w:sz w:val="15"/>
        </w:rPr>
        <w:t xml:space="preserve">  "fallback_used": false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6.5.4 Dynamic Field Generation Logic</w:t>
      </w:r>
    </w:p>
    <w:p>
      <w:pPr>
        <w:keepNext/>
        <w:spacing w:before="140" w:after="60"/>
        <w:outlineLvl w:val="3"/>
      </w:pPr>
      <w:r>
        <w:rPr>
          <w:rFonts w:ascii="Arial" w:hAnsi="Arial" w:cs="Arial"/>
          <w:b/>
          <w:i/>
          <w:color w:val="333333"/>
          <w:sz w:val="22"/>
        </w:rPr>
        <w:t>6.5.4.1 Field Types Supported</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 Type</w:t>
            </w:r>
          </w:p>
        </w:tc>
        <w:tc>
          <w:tcPr>
            <w:tcW w:type="dxa" w:w="3213"/>
            <w:shd w:val="clear" w:fill="D9E2F3"/>
          </w:tcPr>
          <w:p>
            <w:pPr>
              <w:spacing w:after="20" w:before="20" w:line="240" w:lineRule="auto"/>
            </w:pPr>
            <w:r/>
            <w:r>
              <w:rPr>
                <w:rFonts w:ascii="Arial" w:hAnsi="Arial" w:cs="Arial"/>
                <w:b/>
                <w:i w:val="0"/>
                <w:sz w:val="18"/>
              </w:rPr>
              <w:t>Behaviour</w:t>
            </w:r>
          </w:p>
        </w:tc>
        <w:tc>
          <w:tcPr>
            <w:tcW w:type="dxa" w:w="3213"/>
            <w:shd w:val="clear" w:fill="D9E2F3"/>
          </w:tcPr>
          <w:p>
            <w:pPr>
              <w:spacing w:after="20" w:before="20" w:line="240" w:lineRule="auto"/>
            </w:pPr>
            <w:r/>
            <w:r>
              <w:rPr>
                <w:rFonts w:ascii="Arial" w:hAnsi="Arial" w:cs="Arial"/>
                <w:b/>
                <w:i w:val="0"/>
                <w:sz w:val="18"/>
              </w:rPr>
              <w:t>Example</w:t>
            </w:r>
          </w:p>
        </w:tc>
      </w:tr>
      <w:tr>
        <w:tc>
          <w:tcPr>
            <w:tcW w:type="dxa" w:w="3213"/>
          </w:tcPr>
          <w:p>
            <w:pPr>
              <w:spacing w:after="20" w:before="20" w:line="240" w:lineRule="auto"/>
            </w:pPr>
            <w:r/>
            <w:r>
              <w:rPr>
                <w:rFonts w:ascii="Arial" w:hAnsi="Arial" w:cs="Arial"/>
                <w:b w:val="0"/>
                <w:i w:val="0"/>
                <w:sz w:val="17"/>
              </w:rPr>
              <w:t>dropdown</w:t>
            </w:r>
          </w:p>
        </w:tc>
        <w:tc>
          <w:tcPr>
            <w:tcW w:type="dxa" w:w="3213"/>
          </w:tcPr>
          <w:p>
            <w:pPr>
              <w:spacing w:after="20" w:before="20" w:line="240" w:lineRule="auto"/>
            </w:pPr>
            <w:r/>
            <w:r>
              <w:rPr>
                <w:rFonts w:ascii="Arial" w:hAnsi="Arial" w:cs="Arial"/>
                <w:b w:val="0"/>
                <w:i w:val="0"/>
                <w:sz w:val="17"/>
              </w:rPr>
              <w:t>Options list, mandatory flag, default, AI recommendation</w:t>
            </w:r>
          </w:p>
        </w:tc>
        <w:tc>
          <w:tcPr>
            <w:tcW w:type="dxa" w:w="3213"/>
          </w:tcPr>
          <w:p>
            <w:pPr>
              <w:spacing w:after="20" w:before="20" w:line="240" w:lineRule="auto"/>
            </w:pPr>
            <w:r/>
            <w:r>
              <w:rPr>
                <w:rFonts w:ascii="Arial" w:hAnsi="Arial" w:cs="Arial"/>
                <w:b w:val="0"/>
                <w:i w:val="0"/>
                <w:sz w:val="17"/>
              </w:rPr>
              <w:t>Variety, Grade, Colour Grade</w:t>
            </w:r>
          </w:p>
        </w:tc>
      </w:tr>
      <w:tr>
        <w:tc>
          <w:tcPr>
            <w:tcW w:type="dxa" w:w="3213"/>
          </w:tcPr>
          <w:p>
            <w:pPr>
              <w:spacing w:after="20" w:before="20" w:line="240" w:lineRule="auto"/>
            </w:pPr>
            <w:r/>
            <w:r>
              <w:rPr>
                <w:rFonts w:ascii="Arial" w:hAnsi="Arial" w:cs="Arial"/>
                <w:b w:val="0"/>
                <w:i w:val="0"/>
                <w:sz w:val="17"/>
              </w:rPr>
              <w:t>number</w:t>
            </w:r>
          </w:p>
        </w:tc>
        <w:tc>
          <w:tcPr>
            <w:tcW w:type="dxa" w:w="3213"/>
          </w:tcPr>
          <w:p>
            <w:pPr>
              <w:spacing w:after="20" w:before="20" w:line="240" w:lineRule="auto"/>
            </w:pPr>
            <w:r/>
            <w:r>
              <w:rPr>
                <w:rFonts w:ascii="Arial" w:hAnsi="Arial" w:cs="Arial"/>
                <w:b w:val="0"/>
                <w:i w:val="0"/>
                <w:sz w:val="17"/>
              </w:rPr>
              <w:t>Min, max, step, unit, default</w:t>
            </w:r>
          </w:p>
        </w:tc>
        <w:tc>
          <w:tcPr>
            <w:tcW w:type="dxa" w:w="3213"/>
          </w:tcPr>
          <w:p>
            <w:pPr>
              <w:spacing w:after="20" w:before="20" w:line="240" w:lineRule="auto"/>
            </w:pPr>
            <w:r/>
            <w:r>
              <w:rPr>
                <w:rFonts w:ascii="Arial" w:hAnsi="Arial" w:cs="Arial"/>
                <w:b w:val="0"/>
                <w:i w:val="0"/>
                <w:sz w:val="17"/>
              </w:rPr>
              <w:t>Brix (10–16, step 0.1, °Bx), Size range</w:t>
            </w:r>
          </w:p>
        </w:tc>
      </w:tr>
      <w:tr>
        <w:tc>
          <w:tcPr>
            <w:tcW w:type="dxa" w:w="3213"/>
          </w:tcPr>
          <w:p>
            <w:pPr>
              <w:spacing w:after="20" w:before="20" w:line="240" w:lineRule="auto"/>
            </w:pPr>
            <w:r/>
            <w:r>
              <w:rPr>
                <w:rFonts w:ascii="Arial" w:hAnsi="Arial" w:cs="Arial"/>
                <w:b w:val="0"/>
                <w:i w:val="0"/>
                <w:sz w:val="17"/>
              </w:rPr>
              <w:t>toggle</w:t>
            </w:r>
          </w:p>
        </w:tc>
        <w:tc>
          <w:tcPr>
            <w:tcW w:type="dxa" w:w="3213"/>
          </w:tcPr>
          <w:p>
            <w:pPr>
              <w:spacing w:after="20" w:before="20" w:line="240" w:lineRule="auto"/>
            </w:pPr>
            <w:r/>
            <w:r>
              <w:rPr>
                <w:rFonts w:ascii="Arial" w:hAnsi="Arial" w:cs="Arial"/>
                <w:b w:val="0"/>
                <w:i w:val="0"/>
                <w:sz w:val="17"/>
              </w:rPr>
              <w:t>Boolean with default</w:t>
            </w:r>
          </w:p>
        </w:tc>
        <w:tc>
          <w:tcPr>
            <w:tcW w:type="dxa" w:w="3213"/>
          </w:tcPr>
          <w:p>
            <w:pPr>
              <w:spacing w:after="20" w:before="20" w:line="240" w:lineRule="auto"/>
            </w:pPr>
            <w:r/>
            <w:r>
              <w:rPr>
                <w:rFonts w:ascii="Arial" w:hAnsi="Arial" w:cs="Arial"/>
                <w:b w:val="0"/>
                <w:i w:val="0"/>
                <w:sz w:val="17"/>
              </w:rPr>
              <w:t>Sugar Added, Organic Certified</w:t>
            </w:r>
          </w:p>
        </w:tc>
      </w:tr>
      <w:tr>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Free text with placeholder</w:t>
            </w:r>
          </w:p>
        </w:tc>
        <w:tc>
          <w:tcPr>
            <w:tcW w:type="dxa" w:w="3213"/>
          </w:tcPr>
          <w:p>
            <w:pPr>
              <w:spacing w:after="20" w:before="20" w:line="240" w:lineRule="auto"/>
            </w:pPr>
            <w:r/>
            <w:r>
              <w:rPr>
                <w:rFonts w:ascii="Arial" w:hAnsi="Arial" w:cs="Arial"/>
                <w:b w:val="0"/>
                <w:i w:val="0"/>
                <w:sz w:val="17"/>
              </w:rPr>
              <w:t>Colour (e.g., White, Ecru, Navy)</w:t>
            </w:r>
          </w:p>
        </w:tc>
      </w:tr>
      <w:tr>
        <w:tc>
          <w:tcPr>
            <w:tcW w:type="dxa" w:w="3213"/>
          </w:tcPr>
          <w:p>
            <w:pPr>
              <w:spacing w:after="20" w:before="20" w:line="240" w:lineRule="auto"/>
            </w:pPr>
            <w:r/>
            <w:r>
              <w:rPr>
                <w:rFonts w:ascii="Arial" w:hAnsi="Arial" w:cs="Arial"/>
                <w:b w:val="0"/>
                <w:i w:val="0"/>
                <w:sz w:val="17"/>
              </w:rPr>
              <w:t>readonly</w:t>
            </w:r>
          </w:p>
        </w:tc>
        <w:tc>
          <w:tcPr>
            <w:tcW w:type="dxa" w:w="3213"/>
          </w:tcPr>
          <w:p>
            <w:pPr>
              <w:spacing w:after="20" w:before="20" w:line="240" w:lineRule="auto"/>
            </w:pPr>
            <w:r/>
            <w:r>
              <w:rPr>
                <w:rFonts w:ascii="Arial" w:hAnsi="Arial" w:cs="Arial"/>
                <w:b w:val="0"/>
                <w:i w:val="0"/>
                <w:sz w:val="17"/>
              </w:rPr>
              <w:t>System-set value with tooltip</w:t>
            </w:r>
          </w:p>
        </w:tc>
        <w:tc>
          <w:tcPr>
            <w:tcW w:type="dxa" w:w="3213"/>
          </w:tcPr>
          <w:p>
            <w:pPr>
              <w:spacing w:after="20" w:before="20" w:line="240" w:lineRule="auto"/>
            </w:pPr>
            <w:r/>
            <w:r>
              <w:rPr>
                <w:rFonts w:ascii="Arial" w:hAnsi="Arial" w:cs="Arial"/>
                <w:b w:val="0"/>
                <w:i w:val="0"/>
                <w:sz w:val="17"/>
              </w:rPr>
              <w:t>Temperature Requirement (-18°C for frozen)</w:t>
            </w:r>
          </w:p>
        </w:tc>
      </w:tr>
      <w:tr>
        <w:tc>
          <w:tcPr>
            <w:tcW w:type="dxa" w:w="3213"/>
          </w:tcPr>
          <w:p>
            <w:pPr>
              <w:spacing w:after="20" w:before="20" w:line="240" w:lineRule="auto"/>
            </w:pPr>
            <w:r/>
            <w:r>
              <w:rPr>
                <w:rFonts w:ascii="Arial" w:hAnsi="Arial" w:cs="Arial"/>
                <w:b w:val="0"/>
                <w:i w:val="0"/>
                <w:sz w:val="17"/>
              </w:rPr>
              <w:t>date</w:t>
            </w:r>
          </w:p>
        </w:tc>
        <w:tc>
          <w:tcPr>
            <w:tcW w:type="dxa" w:w="3213"/>
          </w:tcPr>
          <w:p>
            <w:pPr>
              <w:spacing w:after="20" w:before="20" w:line="240" w:lineRule="auto"/>
            </w:pPr>
            <w:r/>
            <w:r>
              <w:rPr>
                <w:rFonts w:ascii="Arial" w:hAnsi="Arial" w:cs="Arial"/>
                <w:b w:val="0"/>
                <w:i w:val="0"/>
                <w:sz w:val="17"/>
              </w:rPr>
              <w:t>Date picker</w:t>
            </w:r>
          </w:p>
        </w:tc>
        <w:tc>
          <w:tcPr>
            <w:tcW w:type="dxa" w:w="3213"/>
          </w:tcPr>
          <w:p>
            <w:pPr>
              <w:spacing w:after="20" w:before="20" w:line="240" w:lineRule="auto"/>
            </w:pPr>
            <w:r/>
            <w:r>
              <w:rPr>
                <w:rFonts w:ascii="Arial" w:hAnsi="Arial" w:cs="Arial"/>
                <w:b w:val="0"/>
                <w:i w:val="0"/>
                <w:sz w:val="17"/>
              </w:rPr>
              <w:t>Cold treatment start/completion dates</w:t>
            </w:r>
          </w:p>
        </w:tc>
      </w:tr>
      <w:tr>
        <w:tc>
          <w:tcPr>
            <w:tcW w:type="dxa" w:w="3213"/>
          </w:tcPr>
          <w:p>
            <w:pPr>
              <w:spacing w:after="20" w:before="20" w:line="240" w:lineRule="auto"/>
            </w:pPr>
            <w:r/>
            <w:r>
              <w:rPr>
                <w:rFonts w:ascii="Arial" w:hAnsi="Arial" w:cs="Arial"/>
                <w:b w:val="0"/>
                <w:i w:val="0"/>
                <w:sz w:val="17"/>
              </w:rPr>
              <w:t>condition</w:t>
            </w:r>
          </w:p>
        </w:tc>
        <w:tc>
          <w:tcPr>
            <w:tcW w:type="dxa" w:w="3213"/>
          </w:tcPr>
          <w:p>
            <w:pPr>
              <w:spacing w:after="20" w:before="20" w:line="240" w:lineRule="auto"/>
            </w:pPr>
            <w:r/>
            <w:r>
              <w:rPr>
                <w:rFonts w:ascii="Arial" w:hAnsi="Arial" w:cs="Arial"/>
                <w:b w:val="0"/>
                <w:i w:val="0"/>
                <w:sz w:val="17"/>
              </w:rPr>
              <w:t>Field shown only when another field matches a condition</w:t>
            </w:r>
          </w:p>
        </w:tc>
        <w:tc>
          <w:tcPr>
            <w:tcW w:type="dxa" w:w="3213"/>
          </w:tcPr>
          <w:p>
            <w:pPr>
              <w:spacing w:after="20" w:before="20" w:line="240" w:lineRule="auto"/>
            </w:pPr>
            <w:r/>
            <w:r>
              <w:rPr>
                <w:rFonts w:ascii="Arial" w:hAnsi="Arial" w:cs="Arial"/>
                <w:b w:val="0"/>
                <w:i w:val="0"/>
                <w:sz w:val="17"/>
              </w:rPr>
              <w:t>Sugar Percentage shown when `sugar_added == true`</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6.5.4.2 Example — Frozen Strawberries (Egypt → Germany)</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"product_name": "Frozen Strawberries",</w:t>
      </w:r>
    </w:p>
    <w:p>
      <w:pPr>
        <w:spacing w:after="0" w:before="0" w:line="240" w:lineRule="auto"/>
        <w:ind w:left="57"/>
        <w:jc w:val="left"/>
        <w:shd w:val="clear" w:fill="F2F2F2"/>
      </w:pPr>
      <w:r>
        <w:rPr>
          <w:rFonts w:ascii="Consolas" w:hAnsi="Consolas" w:cs="Consolas"/>
          <w:b w:val="0"/>
          <w:i w:val="0"/>
          <w:sz w:val="15"/>
        </w:rPr>
        <w:t xml:space="preserve">  "hs_code": "0811.10",</w:t>
      </w:r>
    </w:p>
    <w:p>
      <w:pPr>
        <w:spacing w:after="0" w:before="0" w:line="240" w:lineRule="auto"/>
        <w:ind w:left="57"/>
        <w:jc w:val="left"/>
        <w:shd w:val="clear" w:fill="F2F2F2"/>
      </w:pPr>
      <w:r>
        <w:rPr>
          <w:rFonts w:ascii="Consolas" w:hAnsi="Consolas" w:cs="Consolas"/>
          <w:b w:val="0"/>
          <w:i w:val="0"/>
          <w:sz w:val="15"/>
        </w:rPr>
        <w:t xml:space="preserve">  "dynamic_fields": [</w:t>
      </w:r>
    </w:p>
    <w:p>
      <w:pPr>
        <w:spacing w:after="0" w:before="0" w:line="240" w:lineRule="auto"/>
        <w:ind w:left="57"/>
        <w:jc w:val="left"/>
        <w:shd w:val="clear" w:fill="F2F2F2"/>
      </w:pPr>
      <w:r>
        <w:rPr>
          <w:rFonts w:ascii="Consolas" w:hAnsi="Consolas" w:cs="Consolas"/>
          <w:b w:val="0"/>
          <w:i w:val="0"/>
          <w:sz w:val="15"/>
        </w:rPr>
        <w:t xml:space="preserve">    { "name": "variety", "label": "Variety", "type": "dropdown", "options": ["Festival", "Camarosa", "Albion", "Sweet Charlie", "Other"], "mandatory": true, "default": "Camarosa" },</w:t>
      </w:r>
    </w:p>
    <w:p>
      <w:pPr>
        <w:spacing w:after="0" w:before="0" w:line="240" w:lineRule="auto"/>
        <w:ind w:left="57"/>
        <w:jc w:val="left"/>
        <w:shd w:val="clear" w:fill="F2F2F2"/>
      </w:pPr>
      <w:r>
        <w:rPr>
          <w:rFonts w:ascii="Consolas" w:hAnsi="Consolas" w:cs="Consolas"/>
          <w:b w:val="0"/>
          <w:i w:val="0"/>
          <w:sz w:val="15"/>
        </w:rPr>
        <w:t xml:space="preserve">    { "name": "grade", "label": "Grade", "type": "dropdown", "options": ["Grade A (whole)", "Grade B (sliced)", "Grade C (puree)"], "mandatory": true, "default": "Grade A (whole)" },</w:t>
      </w:r>
    </w:p>
    <w:p>
      <w:pPr>
        <w:spacing w:after="0" w:before="0" w:line="240" w:lineRule="auto"/>
        <w:ind w:left="57"/>
        <w:jc w:val="left"/>
        <w:shd w:val="clear" w:fill="F2F2F2"/>
      </w:pPr>
      <w:r>
        <w:rPr>
          <w:rFonts w:ascii="Consolas" w:hAnsi="Consolas" w:cs="Consolas"/>
          <w:b w:val="0"/>
          <w:i w:val="0"/>
          <w:sz w:val="15"/>
        </w:rPr>
        <w:t xml:space="preserve">    { "name": "sugar_added", "label": "Sugar Added?", "type": "toggle", "mandatory": true, "default": false },</w:t>
      </w:r>
    </w:p>
    <w:p>
      <w:pPr>
        <w:spacing w:after="0" w:before="0" w:line="240" w:lineRule="auto"/>
        <w:ind w:left="57"/>
        <w:jc w:val="left"/>
        <w:shd w:val="clear" w:fill="F2F2F2"/>
      </w:pPr>
      <w:r>
        <w:rPr>
          <w:rFonts w:ascii="Consolas" w:hAnsi="Consolas" w:cs="Consolas"/>
          <w:b w:val="0"/>
          <w:i w:val="0"/>
          <w:sz w:val="15"/>
        </w:rPr>
        <w:t xml:space="preserve">    { "name": "sugar_percentage", "label": "Sugar Percentage", "type": "number", "min": 0, "max": 30, "condition": "sugar_added == true", "default": 10, "unit": "%" },</w:t>
      </w:r>
    </w:p>
    <w:p>
      <w:pPr>
        <w:spacing w:after="0" w:before="0" w:line="240" w:lineRule="auto"/>
        <w:ind w:left="57"/>
        <w:jc w:val="left"/>
        <w:shd w:val="clear" w:fill="F2F2F2"/>
      </w:pPr>
      <w:r>
        <w:rPr>
          <w:rFonts w:ascii="Consolas" w:hAnsi="Consolas" w:cs="Consolas"/>
          <w:b w:val="0"/>
          <w:i w:val="0"/>
          <w:sz w:val="15"/>
        </w:rPr>
        <w:t xml:space="preserve">    { "name": "temperature_requirement", "label": "Temperature Requirement", "type": "readonly", "value": "-18°C", "tooltip": "Frozen strawberries must be maintained at -18°C throughout the cold chain." },</w:t>
      </w:r>
    </w:p>
    <w:p>
      <w:pPr>
        <w:spacing w:after="0" w:before="0" w:line="240" w:lineRule="auto"/>
        <w:ind w:left="57"/>
        <w:jc w:val="left"/>
        <w:shd w:val="clear" w:fill="F2F2F2"/>
      </w:pPr>
      <w:r>
        <w:rPr>
          <w:rFonts w:ascii="Consolas" w:hAnsi="Consolas" w:cs="Consolas"/>
          <w:b w:val="0"/>
          <w:i w:val="0"/>
          <w:sz w:val="15"/>
        </w:rPr>
        <w:t xml:space="preserve">    { "name": "packaging_type", "label": "Packaging Type", "type": "dropdown", "options": ["Polypags 1kg", "Polypags 5kg", "Cartons 10kg", "Bulk Boxes"], "mandatory": true, "default": "Cartons 10kg"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6.5.4.3 Example — Textiles (Cotton Fabric, Egypt → UAE)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"product_name": "Cotton Fabric",</w:t>
      </w:r>
    </w:p>
    <w:p>
      <w:pPr>
        <w:spacing w:after="0" w:before="0" w:line="240" w:lineRule="auto"/>
        <w:ind w:left="57"/>
        <w:jc w:val="left"/>
        <w:shd w:val="clear" w:fill="F2F2F2"/>
      </w:pPr>
      <w:r>
        <w:rPr>
          <w:rFonts w:ascii="Consolas" w:hAnsi="Consolas" w:cs="Consolas"/>
          <w:b w:val="0"/>
          <w:i w:val="0"/>
          <w:sz w:val="15"/>
        </w:rPr>
        <w:t xml:space="preserve">  "hs_code": "5208.11",</w:t>
      </w:r>
    </w:p>
    <w:p>
      <w:pPr>
        <w:spacing w:after="0" w:before="0" w:line="240" w:lineRule="auto"/>
        <w:ind w:left="57"/>
        <w:jc w:val="left"/>
        <w:shd w:val="clear" w:fill="F2F2F2"/>
      </w:pPr>
      <w:r>
        <w:rPr>
          <w:rFonts w:ascii="Consolas" w:hAnsi="Consolas" w:cs="Consolas"/>
          <w:b w:val="0"/>
          <w:i w:val="0"/>
          <w:sz w:val="15"/>
        </w:rPr>
        <w:t xml:space="preserve">  "dynamic_fields": [</w:t>
      </w:r>
    </w:p>
    <w:p>
      <w:pPr>
        <w:spacing w:after="0" w:before="0" w:line="240" w:lineRule="auto"/>
        <w:ind w:left="57"/>
        <w:jc w:val="left"/>
        <w:shd w:val="clear" w:fill="F2F2F2"/>
      </w:pPr>
      <w:r>
        <w:rPr>
          <w:rFonts w:ascii="Consolas" w:hAnsi="Consolas" w:cs="Consolas"/>
          <w:b w:val="0"/>
          <w:i w:val="0"/>
          <w:sz w:val="15"/>
        </w:rPr>
        <w:t xml:space="preserve">    { "name": "weave_type", "label": "Weave Type", "type": "dropdown", "options": ["Plain", "Twill", "Satin", "Jersey", "Dobby"], "mandatory": true, "default": "Plain" },</w:t>
      </w:r>
    </w:p>
    <w:p>
      <w:pPr>
        <w:spacing w:after="0" w:before="0" w:line="240" w:lineRule="auto"/>
        <w:ind w:left="57"/>
        <w:jc w:val="left"/>
        <w:shd w:val="clear" w:fill="F2F2F2"/>
      </w:pPr>
      <w:r>
        <w:rPr>
          <w:rFonts w:ascii="Consolas" w:hAnsi="Consolas" w:cs="Consolas"/>
          <w:b w:val="0"/>
          <w:i w:val="0"/>
          <w:sz w:val="15"/>
        </w:rPr>
        <w:t xml:space="preserve">    { "name": "thread_count", "label": "Thread Count", "type": "number", "min": 100, "max": 1000, "mandatory": true, "default": 200, "unit": "threads/inch" },</w:t>
      </w:r>
    </w:p>
    <w:p>
      <w:pPr>
        <w:spacing w:after="0" w:before="0" w:line="240" w:lineRule="auto"/>
        <w:ind w:left="57"/>
        <w:jc w:val="left"/>
        <w:shd w:val="clear" w:fill="F2F2F2"/>
      </w:pPr>
      <w:r>
        <w:rPr>
          <w:rFonts w:ascii="Consolas" w:hAnsi="Consolas" w:cs="Consolas"/>
          <w:b w:val="0"/>
          <w:i w:val="0"/>
          <w:sz w:val="15"/>
        </w:rPr>
        <w:t xml:space="preserve">    { "name": "width_cm", "label": "Width", "type": "number", "min": 50, "max": 400, "mandatory": true, "default": 150, "unit": "cm" },</w:t>
      </w:r>
    </w:p>
    <w:p>
      <w:pPr>
        <w:spacing w:after="0" w:before="0" w:line="240" w:lineRule="auto"/>
        <w:ind w:left="57"/>
        <w:jc w:val="left"/>
        <w:shd w:val="clear" w:fill="F2F2F2"/>
      </w:pPr>
      <w:r>
        <w:rPr>
          <w:rFonts w:ascii="Consolas" w:hAnsi="Consolas" w:cs="Consolas"/>
          <w:b w:val="0"/>
          <w:i w:val="0"/>
          <w:sz w:val="15"/>
        </w:rPr>
        <w:t xml:space="preserve">    { "name": "weight_gsm", "label": "Weight", "type": "number", "min": 50, "max": 500, "mandatory": true, "default": 180, "unit": "gsm" },</w:t>
      </w:r>
    </w:p>
    <w:p>
      <w:pPr>
        <w:spacing w:after="0" w:before="0" w:line="240" w:lineRule="auto"/>
        <w:ind w:left="57"/>
        <w:jc w:val="left"/>
        <w:shd w:val="clear" w:fill="F2F2F2"/>
      </w:pPr>
      <w:r>
        <w:rPr>
          <w:rFonts w:ascii="Consolas" w:hAnsi="Consolas" w:cs="Consolas"/>
          <w:b w:val="0"/>
          <w:i w:val="0"/>
          <w:sz w:val="15"/>
        </w:rPr>
        <w:t xml:space="preserve">    { "name": "colour", "label": "Colour", "type": "text", "mandatory": true, "placeholder": "e.g., White, Ecru, Navy" },</w:t>
      </w:r>
    </w:p>
    <w:p>
      <w:pPr>
        <w:spacing w:after="0" w:before="0" w:line="240" w:lineRule="auto"/>
        <w:ind w:left="57"/>
        <w:jc w:val="left"/>
        <w:shd w:val="clear" w:fill="F2F2F2"/>
      </w:pPr>
      <w:r>
        <w:rPr>
          <w:rFonts w:ascii="Consolas" w:hAnsi="Consolas" w:cs="Consolas"/>
          <w:b w:val="0"/>
          <w:i w:val="0"/>
          <w:sz w:val="15"/>
        </w:rPr>
        <w:t xml:space="preserve">    { "name": "roll_length_m", "label": "Roll Length", "type": "number", "min": 10, "max": 500, "mandatory": true, "default": 100, "unit": "m" },</w:t>
      </w:r>
    </w:p>
    <w:p>
      <w:pPr>
        <w:spacing w:after="0" w:before="0" w:line="240" w:lineRule="auto"/>
        <w:ind w:left="57"/>
        <w:jc w:val="left"/>
        <w:shd w:val="clear" w:fill="F2F2F2"/>
      </w:pPr>
      <w:r>
        <w:rPr>
          <w:rFonts w:ascii="Consolas" w:hAnsi="Consolas" w:cs="Consolas"/>
          <w:b w:val="0"/>
          <w:i w:val="0"/>
          <w:sz w:val="15"/>
        </w:rPr>
        <w:t xml:space="preserve">    { "name": "number_of_rolls", "label": "Number of Rolls", "type": "number", "min": 1, "max": 1000, "mandatory": true },</w:t>
      </w:r>
    </w:p>
    <w:p>
      <w:pPr>
        <w:spacing w:after="0" w:before="0" w:line="240" w:lineRule="auto"/>
        <w:ind w:left="57"/>
        <w:jc w:val="left"/>
        <w:shd w:val="clear" w:fill="F2F2F2"/>
      </w:pPr>
      <w:r>
        <w:rPr>
          <w:rFonts w:ascii="Consolas" w:hAnsi="Consolas" w:cs="Consolas"/>
          <w:b w:val="0"/>
          <w:i w:val="0"/>
          <w:sz w:val="15"/>
        </w:rPr>
        <w:t xml:space="preserve">    { "name": "organic_certified", "label": "Organic Certified?", "type": "toggle", "mandatory": false, "default": false, "tooltip": "If Yes, GOTS certificate will be required."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"required_documents": [</w:t>
      </w:r>
    </w:p>
    <w:p>
      <w:pPr>
        <w:spacing w:after="0" w:before="0" w:line="240" w:lineRule="auto"/>
        <w:ind w:left="57"/>
        <w:jc w:val="left"/>
        <w:shd w:val="clear" w:fill="F2F2F2"/>
      </w:pPr>
      <w:r>
        <w:rPr>
          <w:rFonts w:ascii="Consolas" w:hAnsi="Consolas" w:cs="Consolas"/>
          <w:b w:val="0"/>
          <w:i w:val="0"/>
          <w:sz w:val="15"/>
        </w:rPr>
        <w:t xml:space="preserve">    { "type": "COMMERCIAL_INVOICE", "mandatory": true, "auto_generate": true, "trigger": "SHIPMENT" },</w:t>
      </w:r>
    </w:p>
    <w:p>
      <w:pPr>
        <w:spacing w:after="0" w:before="0" w:line="240" w:lineRule="auto"/>
        <w:ind w:left="57"/>
        <w:jc w:val="left"/>
        <w:shd w:val="clear" w:fill="F2F2F2"/>
      </w:pPr>
      <w:r>
        <w:rPr>
          <w:rFonts w:ascii="Consolas" w:hAnsi="Consolas" w:cs="Consolas"/>
          <w:b w:val="0"/>
          <w:i w:val="0"/>
          <w:sz w:val="15"/>
        </w:rPr>
        <w:t xml:space="preserve">    { "type": "PACKING_LIST", "mandatory": true, "auto_generate": true, "trigger": "SHIPMENT" },</w:t>
      </w:r>
    </w:p>
    <w:p>
      <w:pPr>
        <w:spacing w:after="0" w:before="0" w:line="240" w:lineRule="auto"/>
        <w:ind w:left="57"/>
        <w:jc w:val="left"/>
        <w:shd w:val="clear" w:fill="F2F2F2"/>
      </w:pPr>
      <w:r>
        <w:rPr>
          <w:rFonts w:ascii="Consolas" w:hAnsi="Consolas" w:cs="Consolas"/>
          <w:b w:val="0"/>
          <w:i w:val="0"/>
          <w:sz w:val="15"/>
        </w:rPr>
        <w:t xml:space="preserve">    { "type": "CERTIFICATE_OF_ORIGIN", "mandatory": true, "trigger": "SETTLEMENT" },</w:t>
      </w:r>
    </w:p>
    <w:p>
      <w:pPr>
        <w:spacing w:after="0" w:before="0" w:line="240" w:lineRule="auto"/>
        <w:ind w:left="57"/>
        <w:jc w:val="left"/>
        <w:shd w:val="clear" w:fill="F2F2F2"/>
      </w:pPr>
      <w:r>
        <w:rPr>
          <w:rFonts w:ascii="Consolas" w:hAnsi="Consolas" w:cs="Consolas"/>
          <w:b w:val="0"/>
          <w:i w:val="0"/>
          <w:sz w:val="15"/>
        </w:rPr>
        <w:t xml:space="preserve">    { "type": "GOTS_CERTIFICATE", "mandatory": false, "condition": "organic_certified == true", "trigger": "SHIPMENT" },</w:t>
      </w:r>
    </w:p>
    <w:p>
      <w:pPr>
        <w:spacing w:after="0" w:before="0" w:line="240" w:lineRule="auto"/>
        <w:ind w:left="57"/>
        <w:jc w:val="left"/>
        <w:shd w:val="clear" w:fill="F2F2F2"/>
      </w:pPr>
      <w:r>
        <w:rPr>
          <w:rFonts w:ascii="Consolas" w:hAnsi="Consolas" w:cs="Consolas"/>
          <w:b w:val="0"/>
          <w:i w:val="0"/>
          <w:sz w:val="15"/>
        </w:rPr>
        <w:t xml:space="preserve">    { "type": "LAB_REPORT_FORMALDEHYDE", "mandatory": true, "trigger": "SHIPMENT"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"lab_tests_required": [</w:t>
      </w:r>
    </w:p>
    <w:p>
      <w:pPr>
        <w:spacing w:after="0" w:before="0" w:line="240" w:lineRule="auto"/>
        <w:ind w:left="57"/>
        <w:jc w:val="left"/>
        <w:shd w:val="clear" w:fill="F2F2F2"/>
      </w:pPr>
      <w:r>
        <w:rPr>
          <w:rFonts w:ascii="Consolas" w:hAnsi="Consolas" w:cs="Consolas"/>
          <w:b w:val="0"/>
          <w:i w:val="0"/>
          <w:sz w:val="15"/>
        </w:rPr>
        <w:t xml:space="preserve">    { "analyte": "Formaldehyde", "mrl_mg_per_kg": 75, "unit": "mg/kg", "mandatory": true },</w:t>
      </w:r>
    </w:p>
    <w:p>
      <w:pPr>
        <w:spacing w:after="0" w:before="0" w:line="240" w:lineRule="auto"/>
        <w:ind w:left="57"/>
        <w:jc w:val="left"/>
        <w:shd w:val="clear" w:fill="F2F2F2"/>
      </w:pPr>
      <w:r>
        <w:rPr>
          <w:rFonts w:ascii="Consolas" w:hAnsi="Consolas" w:cs="Consolas"/>
          <w:b w:val="0"/>
          <w:i w:val="0"/>
          <w:sz w:val="15"/>
        </w:rPr>
        <w:t xml:space="preserve">    { "analyte": "Azo dyes", "limit": "Negative", "unit": "N/A", "mandatory": true },</w:t>
      </w:r>
    </w:p>
    <w:p>
      <w:pPr>
        <w:spacing w:after="0" w:before="0" w:line="240" w:lineRule="auto"/>
        <w:ind w:left="57"/>
        <w:jc w:val="left"/>
        <w:shd w:val="clear" w:fill="F2F2F2"/>
      </w:pPr>
      <w:r>
        <w:rPr>
          <w:rFonts w:ascii="Consolas" w:hAnsi="Consolas" w:cs="Consolas"/>
          <w:b w:val="0"/>
          <w:i w:val="0"/>
          <w:sz w:val="15"/>
        </w:rPr>
        <w:t xml:space="preserve">    { "analyte": "pH", "range": "4.0-7.5", "unit": "pH", "mandatory": true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6.5.5 Schema Caching &amp; Expiry</w:t>
      </w:r>
    </w:p>
    <w:p>
      <w:pPr>
        <w:spacing w:after="80" w:line="293" w:lineRule="auto"/>
        <w:jc w:val="left"/>
      </w:pPr>
      <w:r>
        <w:rPr>
          <w:rFonts w:ascii="Times New Roman" w:hAnsi="Times New Roman" w:cs="Times New Roman"/>
          <w:b w:val="0"/>
          <w:i w:val="0"/>
          <w:sz w:val="22"/>
        </w:rPr>
        <w:t>Cache storage:</w:t>
      </w:r>
    </w:p>
    <w:p>
      <w:pPr>
        <w:spacing w:after="0" w:before="0" w:line="240" w:lineRule="auto"/>
        <w:ind w:left="57"/>
        <w:jc w:val="left"/>
        <w:shd w:val="clear" w:fill="F2F2F2"/>
      </w:pPr>
      <w:r>
        <w:rPr>
          <w:rFonts w:ascii="Consolas" w:hAnsi="Consolas" w:cs="Consolas"/>
          <w:b w:val="0"/>
          <w:i w:val="0"/>
          <w:sz w:val="15"/>
        </w:rPr>
        <w:t>-- Cache table (commodity_dynamic_schemas_cache, full definition)</w:t>
      </w:r>
    </w:p>
    <w:p>
      <w:pPr>
        <w:spacing w:after="0" w:before="0" w:line="240" w:lineRule="auto"/>
        <w:ind w:left="57"/>
        <w:jc w:val="left"/>
        <w:shd w:val="clear" w:fill="F2F2F2"/>
      </w:pPr>
      <w:r>
        <w:rPr>
          <w:rFonts w:ascii="Consolas" w:hAnsi="Consolas" w:cs="Consolas"/>
          <w:b w:val="0"/>
          <w:i w:val="0"/>
          <w:sz w:val="15"/>
        </w:rPr>
        <w:t>-- commodity_dynamic_schemas_cache: canonical definition in Section 17.18; not redefined here.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Fallback logic:</w:t>
      </w:r>
    </w:p>
    <w:p>
      <w:pPr>
        <w:spacing w:after="80" w:line="293" w:lineRule="auto"/>
        <w:ind w:left="283"/>
        <w:jc w:val="left"/>
      </w:pPr>
      <w:r>
        <w:rPr>
          <w:rFonts w:ascii="Times New Roman" w:hAnsi="Times New Roman" w:cs="Times New Roman"/>
          <w:b w:val="0"/>
          <w:i w:val="0"/>
          <w:sz w:val="22"/>
        </w:rPr>
        <w:t>- If the cache exists and is not expired → use the cached schema.</w:t>
      </w:r>
    </w:p>
    <w:p>
      <w:pPr>
        <w:spacing w:after="80" w:line="293" w:lineRule="auto"/>
        <w:ind w:left="283"/>
        <w:jc w:val="left"/>
      </w:pPr>
      <w:r>
        <w:rPr>
          <w:rFonts w:ascii="Times New Roman" w:hAnsi="Times New Roman" w:cs="Times New Roman"/>
          <w:b w:val="0"/>
          <w:i w:val="0"/>
          <w:sz w:val="22"/>
        </w:rPr>
        <w:t>- If the cache is expired → regenerate the schema.</w:t>
      </w:r>
    </w:p>
    <w:p>
      <w:pPr>
        <w:spacing w:after="80" w:line="293" w:lineRule="auto"/>
        <w:ind w:left="283"/>
        <w:jc w:val="left"/>
      </w:pPr>
      <w:r>
        <w:rPr>
          <w:rFonts w:ascii="Times New Roman" w:hAnsi="Times New Roman" w:cs="Times New Roman"/>
          <w:b w:val="0"/>
          <w:i w:val="0"/>
          <w:sz w:val="22"/>
        </w:rPr>
        <w:t>- If the Product Form Agent fails (Groq and Ollama both unavailable):</w:t>
      </w:r>
    </w:p>
    <w:p>
      <w:pPr>
        <w:spacing w:after="80" w:line="293" w:lineRule="auto"/>
        <w:ind w:left="283"/>
        <w:jc w:val="left"/>
      </w:pPr>
      <w:r>
        <w:rPr>
          <w:rFonts w:ascii="Times New Roman" w:hAnsi="Times New Roman" w:cs="Times New Roman"/>
          <w:b w:val="0"/>
          <w:i w:val="0"/>
          <w:sz w:val="22"/>
        </w:rPr>
        <w:t>- Use the cached schema (if available, even if expired).</w:t>
      </w:r>
    </w:p>
    <w:p>
      <w:pPr>
        <w:spacing w:after="80" w:line="293" w:lineRule="auto"/>
        <w:ind w:left="283"/>
        <w:jc w:val="left"/>
      </w:pPr>
      <w:r>
        <w:rPr>
          <w:rFonts w:ascii="Times New Roman" w:hAnsi="Times New Roman" w:cs="Times New Roman"/>
          <w:b w:val="0"/>
          <w:i w:val="0"/>
          <w:sz w:val="22"/>
        </w:rPr>
        <w:t>- If no cache exists, use a static template with: basic fields (commodity type, product name, quantity);</w:t>
      </w:r>
    </w:p>
    <w:p>
      <w:pPr>
        <w:spacing w:after="80" w:line="293" w:lineRule="auto"/>
        <w:jc w:val="left"/>
      </w:pPr>
      <w:r>
        <w:rPr>
          <w:rFonts w:ascii="Times New Roman" w:hAnsi="Times New Roman" w:cs="Times New Roman"/>
          <w:b w:val="0"/>
          <w:i w:val="0"/>
          <w:sz w:val="22"/>
        </w:rPr>
        <w:t>generic packing defaults (EUR pallet, 40 cartons per pallet, 10 kg net weight); and the warning message "Dynamic product specifications unavailable. Please enter details manually."</w:t>
      </w:r>
    </w:p>
    <w:p>
      <w:pPr>
        <w:keepNext/>
        <w:spacing w:before="180" w:after="80"/>
        <w:outlineLvl w:val="2"/>
      </w:pPr>
      <w:r>
        <w:rPr>
          <w:rFonts w:ascii="Arial" w:hAnsi="Arial" w:cs="Arial"/>
          <w:b/>
          <w:i w:val="0"/>
          <w:color w:val="333333"/>
          <w:sz w:val="23"/>
        </w:rPr>
        <w:t>6.5.6 Acceptance Criteria Matrix Generation</w:t>
      </w:r>
    </w:p>
    <w:p>
      <w:pPr>
        <w:spacing w:after="80" w:line="293" w:lineRule="auto"/>
        <w:jc w:val="left"/>
      </w:pPr>
      <w:r>
        <w:rPr>
          <w:rFonts w:ascii="Times New Roman" w:hAnsi="Times New Roman" w:cs="Times New Roman"/>
          <w:b w:val="0"/>
          <w:i w:val="0"/>
          <w:sz w:val="22"/>
        </w:rPr>
        <w:t>The Acceptance Criteria Matrix is one of the most critical outputs of the Product Form Agent. It defines the specifications that determine whether the goods are accepted or rejected.</w:t>
      </w:r>
    </w:p>
    <w:p>
      <w:pPr>
        <w:keepNext/>
        <w:spacing w:before="140" w:after="60"/>
        <w:outlineLvl w:val="3"/>
      </w:pPr>
      <w:r>
        <w:rPr>
          <w:rFonts w:ascii="Arial" w:hAnsi="Arial" w:cs="Arial"/>
          <w:b/>
          <w:i/>
          <w:color w:val="333333"/>
          <w:sz w:val="22"/>
        </w:rPr>
        <w:t>6.5.6.1 Generation Logic</w:t>
      </w:r>
    </w:p>
    <w:p>
      <w:pPr>
        <w:spacing w:after="0" w:before="0" w:line="240" w:lineRule="auto"/>
        <w:ind w:left="57"/>
        <w:jc w:val="left"/>
        <w:shd w:val="clear" w:fill="F2F2F2"/>
      </w:pPr>
      <w:r>
        <w:rPr>
          <w:rFonts w:ascii="Consolas" w:hAnsi="Consolas" w:cs="Consolas"/>
          <w:b w:val="0"/>
          <w:i w:val="0"/>
          <w:sz w:val="15"/>
        </w:rPr>
        <w:t>// Pseudo-code: Acceptance Criteria Matrix Generation</w:t>
      </w:r>
    </w:p>
    <w:p>
      <w:pPr>
        <w:spacing w:after="0" w:before="0" w:line="240" w:lineRule="auto"/>
        <w:ind w:left="57"/>
        <w:jc w:val="left"/>
        <w:shd w:val="clear" w:fill="F2F2F2"/>
      </w:pPr>
      <w:r>
        <w:rPr>
          <w:rFonts w:ascii="Consolas" w:hAnsi="Consolas" w:cs="Consolas"/>
          <w:b w:val="0"/>
          <w:i w:val="0"/>
          <w:sz w:val="15"/>
        </w:rPr>
        <w:t>async fn generate_acceptance_criteria(</w:t>
      </w:r>
    </w:p>
    <w:p>
      <w:pPr>
        <w:spacing w:after="0" w:before="0" w:line="240" w:lineRule="auto"/>
        <w:ind w:left="57"/>
        <w:jc w:val="left"/>
        <w:shd w:val="clear" w:fill="F2F2F2"/>
      </w:pPr>
      <w:r>
        <w:rPr>
          <w:rFonts w:ascii="Consolas" w:hAnsi="Consolas" w:cs="Consolas"/>
          <w:b w:val="0"/>
          <w:i w:val="0"/>
          <w:sz w:val="15"/>
        </w:rPr>
        <w:t xml:space="preserve">    hs_code: &amp;str,</w:t>
      </w:r>
    </w:p>
    <w:p>
      <w:pPr>
        <w:spacing w:after="0" w:before="0" w:line="240" w:lineRule="auto"/>
        <w:ind w:left="57"/>
        <w:jc w:val="left"/>
        <w:shd w:val="clear" w:fill="F2F2F2"/>
      </w:pPr>
      <w:r>
        <w:rPr>
          <w:rFonts w:ascii="Consolas" w:hAnsi="Consolas" w:cs="Consolas"/>
          <w:b w:val="0"/>
          <w:i w:val="0"/>
          <w:sz w:val="15"/>
        </w:rPr>
        <w:t xml:space="preserve">    destination_country: &amp;str</w:t>
      </w:r>
    </w:p>
    <w:p>
      <w:pPr>
        <w:spacing w:after="0" w:before="0" w:line="240" w:lineRule="auto"/>
        <w:ind w:left="57"/>
        <w:jc w:val="left"/>
        <w:shd w:val="clear" w:fill="F2F2F2"/>
      </w:pPr>
      <w:r>
        <w:rPr>
          <w:rFonts w:ascii="Consolas" w:hAnsi="Consolas" w:cs="Consolas"/>
          <w:b w:val="0"/>
          <w:i w:val="0"/>
          <w:sz w:val="15"/>
        </w:rPr>
        <w:t>) -&gt; Result&lt;Vec&lt;AcceptanceCriterion&gt;&gt; {</w:t>
      </w:r>
    </w:p>
    <w:p>
      <w:pPr>
        <w:spacing w:after="0" w:before="0" w:line="240" w:lineRule="auto"/>
        <w:ind w:left="57"/>
        <w:jc w:val="left"/>
        <w:shd w:val="clear" w:fill="F2F2F2"/>
      </w:pPr>
      <w:r>
        <w:rPr>
          <w:rFonts w:ascii="Consolas" w:hAnsi="Consolas" w:cs="Consolas"/>
          <w:b w:val="0"/>
          <w:i w:val="0"/>
          <w:sz w:val="15"/>
        </w:rPr>
        <w:t xml:space="preserve">    // 1. Query acceptance_criteria_templates</w:t>
      </w:r>
    </w:p>
    <w:p>
      <w:pPr>
        <w:spacing w:after="0" w:before="0" w:line="240" w:lineRule="auto"/>
        <w:ind w:left="57"/>
        <w:jc w:val="left"/>
        <w:shd w:val="clear" w:fill="F2F2F2"/>
      </w:pPr>
      <w:r>
        <w:rPr>
          <w:rFonts w:ascii="Consolas" w:hAnsi="Consolas" w:cs="Consolas"/>
          <w:b w:val="0"/>
          <w:i w:val="0"/>
          <w:sz w:val="15"/>
        </w:rPr>
        <w:t xml:space="preserve">    let templates = get_templates(hs_code).await?;</w:t>
      </w:r>
    </w:p>
    <w:p>
      <w:pPr>
        <w:spacing w:after="0" w:before="0" w:line="240" w:lineRule="auto"/>
        <w:ind w:left="57"/>
        <w:jc w:val="left"/>
        <w:shd w:val="clear" w:fill="F2F2F2"/>
      </w:pPr>
      <w:r>
        <w:rPr>
          <w:rFonts w:ascii="Consolas" w:hAnsi="Consolas" w:cs="Consolas"/>
          <w:b w:val="0"/>
          <w:i w:val="0"/>
          <w:sz w:val="15"/>
        </w:rPr>
        <w:t xml:space="preserve">    // 2. Query country-specific MRLs</w:t>
      </w:r>
    </w:p>
    <w:p>
      <w:pPr>
        <w:spacing w:after="0" w:before="0" w:line="240" w:lineRule="auto"/>
        <w:ind w:left="57"/>
        <w:jc w:val="left"/>
        <w:shd w:val="clear" w:fill="F2F2F2"/>
      </w:pPr>
      <w:r>
        <w:rPr>
          <w:rFonts w:ascii="Consolas" w:hAnsi="Consolas" w:cs="Consolas"/>
          <w:b w:val="0"/>
          <w:i w:val="0"/>
          <w:sz w:val="15"/>
        </w:rPr>
        <w:t xml:space="preserve">    let mrls = get_country_mrls(hs_code, destination_country).await?;</w:t>
      </w:r>
    </w:p>
    <w:p>
      <w:pPr>
        <w:spacing w:after="0" w:before="0" w:line="240" w:lineRule="auto"/>
        <w:ind w:left="57"/>
        <w:jc w:val="left"/>
        <w:shd w:val="clear" w:fill="F2F2F2"/>
      </w:pPr>
      <w:r>
        <w:rPr>
          <w:rFonts w:ascii="Consolas" w:hAnsi="Consolas" w:cs="Consolas"/>
          <w:b w:val="0"/>
          <w:i w:val="0"/>
          <w:sz w:val="15"/>
        </w:rPr>
        <w:t xml:space="preserve">    // 3. Query regulatory standards (Codex, EU, FDA)</w:t>
      </w:r>
    </w:p>
    <w:p>
      <w:pPr>
        <w:spacing w:after="0" w:before="0" w:line="240" w:lineRule="auto"/>
        <w:ind w:left="57"/>
        <w:jc w:val="left"/>
        <w:shd w:val="clear" w:fill="F2F2F2"/>
      </w:pPr>
      <w:r>
        <w:rPr>
          <w:rFonts w:ascii="Consolas" w:hAnsi="Consolas" w:cs="Consolas"/>
          <w:b w:val="0"/>
          <w:i w:val="0"/>
          <w:sz w:val="15"/>
        </w:rPr>
        <w:t xml:space="preserve">    let standards = get_regulatory_standards(hs_code, destination_country).await?;</w:t>
      </w:r>
    </w:p>
    <w:p>
      <w:pPr>
        <w:spacing w:after="0" w:before="0" w:line="240" w:lineRule="auto"/>
        <w:ind w:left="57"/>
        <w:jc w:val="left"/>
        <w:shd w:val="clear" w:fill="F2F2F2"/>
      </w:pPr>
      <w:r>
        <w:rPr>
          <w:rFonts w:ascii="Consolas" w:hAnsi="Consolas" w:cs="Consolas"/>
          <w:b w:val="0"/>
          <w:i w:val="0"/>
          <w:sz w:val="15"/>
        </w:rPr>
        <w:t xml:space="preserve">    // 4. Merge and deduplicate</w:t>
      </w:r>
    </w:p>
    <w:p>
      <w:pPr>
        <w:spacing w:after="0" w:before="0" w:line="240" w:lineRule="auto"/>
        <w:ind w:left="57"/>
        <w:jc w:val="left"/>
        <w:shd w:val="clear" w:fill="F2F2F2"/>
      </w:pPr>
      <w:r>
        <w:rPr>
          <w:rFonts w:ascii="Consolas" w:hAnsi="Consolas" w:cs="Consolas"/>
          <w:b w:val="0"/>
          <w:i w:val="0"/>
          <w:sz w:val="15"/>
        </w:rPr>
        <w:t xml:space="preserve">    let mut criteria = Vec::new();</w:t>
      </w:r>
    </w:p>
    <w:p>
      <w:pPr>
        <w:spacing w:after="0" w:before="0" w:line="240" w:lineRule="auto"/>
        <w:ind w:left="57"/>
        <w:jc w:val="left"/>
        <w:shd w:val="clear" w:fill="F2F2F2"/>
      </w:pPr>
      <w:r>
        <w:rPr>
          <w:rFonts w:ascii="Consolas" w:hAnsi="Consolas" w:cs="Consolas"/>
          <w:b w:val="0"/>
          <w:i w:val="0"/>
          <w:sz w:val="15"/>
        </w:rPr>
        <w:t xml:space="preserve">    for template in templates {</w:t>
      </w:r>
    </w:p>
    <w:p>
      <w:pPr>
        <w:spacing w:after="0" w:before="0" w:line="240" w:lineRule="auto"/>
        <w:ind w:left="57"/>
        <w:jc w:val="left"/>
        <w:shd w:val="clear" w:fill="F2F2F2"/>
      </w:pPr>
      <w:r>
        <w:rPr>
          <w:rFonts w:ascii="Consolas" w:hAnsi="Consolas" w:cs="Consolas"/>
          <w:b w:val="0"/>
          <w:i w:val="0"/>
          <w:sz w:val="15"/>
        </w:rPr>
        <w:t xml:space="preserve">        // Check if country has specific limit</w:t>
      </w:r>
    </w:p>
    <w:p>
      <w:pPr>
        <w:spacing w:after="0" w:before="0" w:line="240" w:lineRule="auto"/>
        <w:ind w:left="57"/>
        <w:jc w:val="left"/>
        <w:shd w:val="clear" w:fill="F2F2F2"/>
      </w:pPr>
      <w:r>
        <w:rPr>
          <w:rFonts w:ascii="Consolas" w:hAnsi="Consolas" w:cs="Consolas"/>
          <w:b w:val="0"/>
          <w:i w:val="0"/>
          <w:sz w:val="15"/>
        </w:rPr>
        <w:t xml:space="preserve">        if let Some(mrl) = mrls.iter().find(|m| m.analyte == template.parameter) {</w:t>
      </w:r>
    </w:p>
    <w:p>
      <w:pPr>
        <w:spacing w:after="0" w:before="0" w:line="240" w:lineRule="auto"/>
        <w:ind w:left="57"/>
        <w:jc w:val="left"/>
        <w:shd w:val="clear" w:fill="F2F2F2"/>
      </w:pPr>
      <w:r>
        <w:rPr>
          <w:rFonts w:ascii="Consolas" w:hAnsi="Consolas" w:cs="Consolas"/>
          <w:b w:val="0"/>
          <w:i w:val="0"/>
          <w:sz w:val="15"/>
        </w:rPr>
        <w:t xml:space="preserve">            criteria.push(AcceptanceCriterion {</w:t>
      </w:r>
    </w:p>
    <w:p>
      <w:pPr>
        <w:spacing w:after="0" w:before="0" w:line="240" w:lineRule="auto"/>
        <w:ind w:left="57"/>
        <w:jc w:val="left"/>
        <w:shd w:val="clear" w:fill="F2F2F2"/>
      </w:pPr>
      <w:r>
        <w:rPr>
          <w:rFonts w:ascii="Consolas" w:hAnsi="Consolas" w:cs="Consolas"/>
          <w:b w:val="0"/>
          <w:i w:val="0"/>
          <w:sz w:val="15"/>
        </w:rPr>
        <w:t xml:space="preserve">                parameter: template.parameter,</w:t>
      </w:r>
    </w:p>
    <w:p>
      <w:pPr>
        <w:spacing w:after="0" w:before="0" w:line="240" w:lineRule="auto"/>
        <w:ind w:left="57"/>
        <w:jc w:val="left"/>
        <w:shd w:val="clear" w:fill="F2F2F2"/>
      </w:pPr>
      <w:r>
        <w:rPr>
          <w:rFonts w:ascii="Consolas" w:hAnsi="Consolas" w:cs="Consolas"/>
          <w:b w:val="0"/>
          <w:i w:val="0"/>
          <w:sz w:val="15"/>
        </w:rPr>
        <w:t xml:space="preserve">                limit: format!("{} {}", mrl.limit_operator, mrl.mrl_mg_per_kg),</w:t>
      </w:r>
    </w:p>
    <w:p>
      <w:pPr>
        <w:spacing w:after="0" w:before="0" w:line="240" w:lineRule="auto"/>
        <w:ind w:left="57"/>
        <w:jc w:val="left"/>
        <w:shd w:val="clear" w:fill="F2F2F2"/>
      </w:pPr>
      <w:r>
        <w:rPr>
          <w:rFonts w:ascii="Consolas" w:hAnsi="Consolas" w:cs="Consolas"/>
          <w:b w:val="0"/>
          <w:i w:val="0"/>
          <w:sz w:val="15"/>
        </w:rPr>
        <w:t xml:space="preserve">                unit: mrl.unit,</w:t>
      </w:r>
    </w:p>
    <w:p>
      <w:pPr>
        <w:spacing w:after="0" w:before="0" w:line="240" w:lineRule="auto"/>
        <w:ind w:left="57"/>
        <w:jc w:val="left"/>
        <w:shd w:val="clear" w:fill="F2F2F2"/>
      </w:pPr>
      <w:r>
        <w:rPr>
          <w:rFonts w:ascii="Consolas" w:hAnsi="Consolas" w:cs="Consolas"/>
          <w:b w:val="0"/>
          <w:i w:val="0"/>
          <w:sz w:val="15"/>
        </w:rPr>
        <w:t xml:space="preserve">                mandatory: template.is_mandatory,</w:t>
      </w:r>
    </w:p>
    <w:p>
      <w:pPr>
        <w:spacing w:after="0" w:before="0" w:line="240" w:lineRule="auto"/>
        <w:ind w:left="57"/>
        <w:jc w:val="left"/>
        <w:shd w:val="clear" w:fill="F2F2F2"/>
      </w:pPr>
      <w:r>
        <w:rPr>
          <w:rFonts w:ascii="Consolas" w:hAnsi="Consolas" w:cs="Consolas"/>
          <w:b w:val="0"/>
          <w:i w:val="0"/>
          <w:sz w:val="15"/>
        </w:rPr>
        <w:t xml:space="preserve">                source: mrl.source_regulation,</w:t>
      </w:r>
    </w:p>
    <w:p>
      <w:pPr>
        <w:spacing w:after="0" w:before="0" w:line="240" w:lineRule="auto"/>
        <w:ind w:left="57"/>
        <w:jc w:val="left"/>
        <w:shd w:val="clear" w:fill="F2F2F2"/>
      </w:pPr>
      <w:r>
        <w:rPr>
          <w:rFonts w:ascii="Consolas" w:hAnsi="Consolas" w:cs="Consolas"/>
          <w:b w:val="0"/>
          <w:i w:val="0"/>
          <w:sz w:val="15"/>
        </w:rPr>
        <w:t xml:space="preserve">                confidence: 0.95,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criteria.push(AcceptanceCriterion {</w:t>
      </w:r>
    </w:p>
    <w:p>
      <w:pPr>
        <w:spacing w:after="0" w:before="0" w:line="240" w:lineRule="auto"/>
        <w:ind w:left="57"/>
        <w:jc w:val="left"/>
        <w:shd w:val="clear" w:fill="F2F2F2"/>
      </w:pPr>
      <w:r>
        <w:rPr>
          <w:rFonts w:ascii="Consolas" w:hAnsi="Consolas" w:cs="Consolas"/>
          <w:b w:val="0"/>
          <w:i w:val="0"/>
          <w:sz w:val="15"/>
        </w:rPr>
        <w:t xml:space="preserve">                parameter: template.parameter,</w:t>
      </w:r>
    </w:p>
    <w:p>
      <w:pPr>
        <w:spacing w:after="0" w:before="0" w:line="240" w:lineRule="auto"/>
        <w:ind w:left="57"/>
        <w:jc w:val="left"/>
        <w:shd w:val="clear" w:fill="F2F2F2"/>
      </w:pPr>
      <w:r>
        <w:rPr>
          <w:rFonts w:ascii="Consolas" w:hAnsi="Consolas" w:cs="Consolas"/>
          <w:b w:val="0"/>
          <w:i w:val="0"/>
          <w:sz w:val="15"/>
        </w:rPr>
        <w:t xml:space="preserve">                limit: template.default_limit,</w:t>
      </w:r>
    </w:p>
    <w:p>
      <w:pPr>
        <w:spacing w:after="0" w:before="0" w:line="240" w:lineRule="auto"/>
        <w:ind w:left="57"/>
        <w:jc w:val="left"/>
        <w:shd w:val="clear" w:fill="F2F2F2"/>
      </w:pPr>
      <w:r>
        <w:rPr>
          <w:rFonts w:ascii="Consolas" w:hAnsi="Consolas" w:cs="Consolas"/>
          <w:b w:val="0"/>
          <w:i w:val="0"/>
          <w:sz w:val="15"/>
        </w:rPr>
        <w:t xml:space="preserve">                unit: template.default_unit,</w:t>
      </w:r>
    </w:p>
    <w:p>
      <w:pPr>
        <w:spacing w:after="0" w:before="0" w:line="240" w:lineRule="auto"/>
        <w:ind w:left="57"/>
        <w:jc w:val="left"/>
        <w:shd w:val="clear" w:fill="F2F2F2"/>
      </w:pPr>
      <w:r>
        <w:rPr>
          <w:rFonts w:ascii="Consolas" w:hAnsi="Consolas" w:cs="Consolas"/>
          <w:b w:val="0"/>
          <w:i w:val="0"/>
          <w:sz w:val="15"/>
        </w:rPr>
        <w:t xml:space="preserve">                mandatory: template.is_mandatory,</w:t>
      </w:r>
    </w:p>
    <w:p>
      <w:pPr>
        <w:spacing w:after="0" w:before="0" w:line="240" w:lineRule="auto"/>
        <w:ind w:left="57"/>
        <w:jc w:val="left"/>
        <w:shd w:val="clear" w:fill="F2F2F2"/>
      </w:pPr>
      <w:r>
        <w:rPr>
          <w:rFonts w:ascii="Consolas" w:hAnsi="Consolas" w:cs="Consolas"/>
          <w:b w:val="0"/>
          <w:i w:val="0"/>
          <w:sz w:val="15"/>
        </w:rPr>
        <w:t xml:space="preserve">                source: template.source_regulation,</w:t>
      </w:r>
    </w:p>
    <w:p>
      <w:pPr>
        <w:spacing w:after="0" w:before="0" w:line="240" w:lineRule="auto"/>
        <w:ind w:left="57"/>
        <w:jc w:val="left"/>
        <w:shd w:val="clear" w:fill="F2F2F2"/>
      </w:pPr>
      <w:r>
        <w:rPr>
          <w:rFonts w:ascii="Consolas" w:hAnsi="Consolas" w:cs="Consolas"/>
          <w:b w:val="0"/>
          <w:i w:val="0"/>
          <w:sz w:val="15"/>
        </w:rPr>
        <w:t xml:space="preserve">                confidence: 0.85,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Add AI-generated recommendations (A1, Groq)</w:t>
      </w:r>
    </w:p>
    <w:p>
      <w:pPr>
        <w:spacing w:after="0" w:before="0" w:line="240" w:lineRule="auto"/>
        <w:ind w:left="57"/>
        <w:jc w:val="left"/>
        <w:shd w:val="clear" w:fill="F2F2F2"/>
      </w:pPr>
      <w:r>
        <w:rPr>
          <w:rFonts w:ascii="Consolas" w:hAnsi="Consolas" w:cs="Consolas"/>
          <w:b w:val="0"/>
          <w:i w:val="0"/>
          <w:sz w:val="15"/>
        </w:rPr>
        <w:t xml:space="preserve">    let recommendations = groq_recommendations(&amp;criteria).await?;</w:t>
      </w:r>
    </w:p>
    <w:p>
      <w:pPr>
        <w:spacing w:after="0" w:before="0" w:line="240" w:lineRule="auto"/>
        <w:ind w:left="57"/>
        <w:jc w:val="left"/>
        <w:shd w:val="clear" w:fill="F2F2F2"/>
      </w:pPr>
      <w:r>
        <w:rPr>
          <w:rFonts w:ascii="Consolas" w:hAnsi="Consolas" w:cs="Consolas"/>
          <w:b w:val="0"/>
          <w:i w:val="0"/>
          <w:sz w:val="15"/>
        </w:rPr>
        <w:t xml:space="preserve">    Ok(criteria)</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6.5.6.2 UI Rendering</w:t>
      </w:r>
    </w:p>
    <w:p>
      <w:pPr>
        <w:spacing w:after="0" w:before="0" w:line="240" w:lineRule="auto"/>
        <w:ind w:left="57"/>
        <w:jc w:val="left"/>
        <w:shd w:val="clear" w:fill="F2F2F2"/>
      </w:pPr>
      <w:r>
        <w:rPr>
          <w:rFonts w:ascii="Consolas" w:hAnsi="Consolas" w:cs="Consolas"/>
          <w:b w:val="0"/>
          <w:i w:val="0"/>
          <w:sz w:val="15"/>
        </w:rPr>
        <w:t>ACCEPTANCE CRITERIA MATRIX (dynamically generated)</w:t>
      </w:r>
    </w:p>
    <w:p>
      <w:pPr>
        <w:spacing w:after="0" w:before="0" w:line="240" w:lineRule="auto"/>
        <w:ind w:left="57"/>
        <w:jc w:val="left"/>
        <w:shd w:val="clear" w:fill="F2F2F2"/>
      </w:pPr>
      <w:r>
        <w:rPr>
          <w:rFonts w:ascii="Consolas" w:hAnsi="Consolas" w:cs="Consolas"/>
          <w:b w:val="0"/>
          <w:i w:val="0"/>
          <w:sz w:val="15"/>
        </w:rPr>
        <w:t xml:space="preserve">  These specifications determine whether the goods will be accepted or</w:t>
      </w:r>
    </w:p>
    <w:p>
      <w:pPr>
        <w:spacing w:after="0" w:before="0" w:line="240" w:lineRule="auto"/>
        <w:ind w:left="57"/>
        <w:jc w:val="left"/>
        <w:shd w:val="clear" w:fill="F2F2F2"/>
      </w:pPr>
      <w:r>
        <w:rPr>
          <w:rFonts w:ascii="Consolas" w:hAnsi="Consolas" w:cs="Consolas"/>
          <w:b w:val="0"/>
          <w:i w:val="0"/>
          <w:sz w:val="15"/>
        </w:rPr>
        <w:t xml:space="preserve">  rejected. All values must be within the specified limits.</w:t>
      </w:r>
    </w:p>
    <w:p>
      <w:pPr>
        <w:spacing w:after="0" w:before="0" w:line="240" w:lineRule="auto"/>
        <w:ind w:left="57"/>
        <w:jc w:val="left"/>
        <w:shd w:val="clear" w:fill="F2F2F2"/>
      </w:pPr>
      <w:r>
        <w:rPr>
          <w:rFonts w:ascii="Consolas" w:hAnsi="Consolas" w:cs="Consolas"/>
          <w:b w:val="0"/>
          <w:i w:val="0"/>
          <w:sz w:val="15"/>
        </w:rPr>
        <w:t xml:space="preserve">  Parameter        Value / Limit   Unit    Status      Source</w:t>
      </w:r>
    </w:p>
    <w:p>
      <w:pPr>
        <w:spacing w:after="0" w:before="0" w:line="240" w:lineRule="auto"/>
        <w:ind w:left="57"/>
        <w:jc w:val="left"/>
        <w:shd w:val="clear" w:fill="F2F2F2"/>
      </w:pPr>
      <w:r>
        <w:rPr>
          <w:rFonts w:ascii="Consolas" w:hAnsi="Consolas" w:cs="Consolas"/>
          <w:b w:val="0"/>
          <w:i w:val="0"/>
          <w:sz w:val="15"/>
        </w:rPr>
        <w:t xml:space="preserve">  Moisture         Max 14%         %       Within      EU</w:t>
      </w:r>
    </w:p>
    <w:p>
      <w:pPr>
        <w:spacing w:after="0" w:before="0" w:line="240" w:lineRule="auto"/>
        <w:ind w:left="57"/>
        <w:jc w:val="left"/>
        <w:shd w:val="clear" w:fill="F2F2F2"/>
      </w:pPr>
      <w:r>
        <w:rPr>
          <w:rFonts w:ascii="Consolas" w:hAnsi="Consolas" w:cs="Consolas"/>
          <w:b w:val="0"/>
          <w:i w:val="0"/>
          <w:sz w:val="15"/>
        </w:rPr>
        <w:t xml:space="preserve">  Protein          Min 12%         %       Within      Codex</w:t>
      </w:r>
    </w:p>
    <w:p>
      <w:pPr>
        <w:spacing w:after="0" w:before="0" w:line="240" w:lineRule="auto"/>
        <w:ind w:left="57"/>
        <w:jc w:val="left"/>
        <w:shd w:val="clear" w:fill="F2F2F2"/>
      </w:pPr>
      <w:r>
        <w:rPr>
          <w:rFonts w:ascii="Consolas" w:hAnsi="Consolas" w:cs="Consolas"/>
          <w:b w:val="0"/>
          <w:i w:val="0"/>
          <w:sz w:val="15"/>
        </w:rPr>
        <w:t xml:space="preserve">  Purity           Min 99%         %       Within      WTO</w:t>
      </w:r>
    </w:p>
    <w:p>
      <w:pPr>
        <w:spacing w:after="0" w:before="0" w:line="240" w:lineRule="auto"/>
        <w:ind w:left="57"/>
        <w:jc w:val="left"/>
        <w:shd w:val="clear" w:fill="F2F2F2"/>
      </w:pPr>
      <w:r>
        <w:rPr>
          <w:rFonts w:ascii="Consolas" w:hAnsi="Consolas" w:cs="Consolas"/>
          <w:b w:val="0"/>
          <w:i w:val="0"/>
          <w:sz w:val="15"/>
        </w:rPr>
        <w:t xml:space="preserve">  Crude Fat        Max 8%          %       Within      EU</w:t>
      </w:r>
    </w:p>
    <w:p>
      <w:pPr>
        <w:spacing w:after="0" w:before="0" w:line="240" w:lineRule="auto"/>
        <w:ind w:left="57"/>
        <w:jc w:val="left"/>
        <w:shd w:val="clear" w:fill="F2F2F2"/>
      </w:pPr>
      <w:r>
        <w:rPr>
          <w:rFonts w:ascii="Consolas" w:hAnsi="Consolas" w:cs="Consolas"/>
          <w:b w:val="0"/>
          <w:i w:val="0"/>
          <w:sz w:val="15"/>
        </w:rPr>
        <w:t xml:space="preserve">  Ash              Max 2%          %       Within      Codex</w:t>
      </w:r>
    </w:p>
    <w:p>
      <w:pPr>
        <w:spacing w:after="0" w:before="0" w:line="240" w:lineRule="auto"/>
        <w:ind w:left="57"/>
        <w:jc w:val="left"/>
        <w:shd w:val="clear" w:fill="F2F2F2"/>
      </w:pPr>
      <w:r>
        <w:rPr>
          <w:rFonts w:ascii="Consolas" w:hAnsi="Consolas" w:cs="Consolas"/>
          <w:b w:val="0"/>
          <w:i w:val="0"/>
          <w:sz w:val="15"/>
        </w:rPr>
        <w:t xml:space="preserve">  Foreign Matter   Max 0.5%        %       Pending     EU</w:t>
      </w:r>
    </w:p>
    <w:p>
      <w:pPr>
        <w:spacing w:after="0" w:before="0" w:line="240" w:lineRule="auto"/>
        <w:ind w:left="57"/>
        <w:jc w:val="left"/>
        <w:shd w:val="clear" w:fill="F2F2F2"/>
      </w:pPr>
      <w:r>
        <w:rPr>
          <w:rFonts w:ascii="Consolas" w:hAnsi="Consolas" w:cs="Consolas"/>
          <w:b w:val="0"/>
          <w:i w:val="0"/>
          <w:sz w:val="15"/>
        </w:rPr>
        <w:t xml:space="preserve">  [Add Custom Parameter] [Accept All] [Request Deviation Approval]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Status values: Within (green), Pending (amber), Exceeded (red). Clicking a row opens a detail view with the source regulation and AI confidence.</w:t>
      </w:r>
    </w:p>
    <w:p>
      <w:pPr>
        <w:keepNext/>
        <w:spacing w:before="180" w:after="80"/>
        <w:outlineLvl w:val="2"/>
      </w:pPr>
      <w:r>
        <w:rPr>
          <w:rFonts w:ascii="Arial" w:hAnsi="Arial" w:cs="Arial"/>
          <w:b/>
          <w:i w:val="0"/>
          <w:color w:val="333333"/>
          <w:sz w:val="23"/>
        </w:rPr>
        <w:t>6.5.7 Two-Way Smart Product/HS Code Resolution</w:t>
      </w:r>
    </w:p>
    <w:p>
      <w:pPr>
        <w:spacing w:after="80" w:line="293" w:lineRule="auto"/>
        <w:jc w:val="left"/>
      </w:pPr>
      <w:r>
        <w:rPr>
          <w:rFonts w:ascii="Times New Roman" w:hAnsi="Times New Roman" w:cs="Times New Roman"/>
          <w:b w:val="0"/>
          <w:i w:val="0"/>
          <w:sz w:val="22"/>
        </w:rPr>
        <w:t>The Product Form Agent supports two-way resolution:</w:t>
      </w:r>
    </w:p>
    <w:p>
      <w:pPr>
        <w:spacing w:after="80" w:line="293" w:lineRule="auto"/>
        <w:ind w:left="283"/>
        <w:jc w:val="left"/>
      </w:pPr>
      <w:r>
        <w:rPr>
          <w:rFonts w:ascii="Times New Roman" w:hAnsi="Times New Roman" w:cs="Times New Roman"/>
          <w:b w:val="0"/>
          <w:i w:val="0"/>
          <w:sz w:val="22"/>
        </w:rPr>
        <w:t>- Flow 1: Product Name → HS Code. The buyer types a product name (e.g., "Valencia Oranges"). The system</w:t>
      </w:r>
    </w:p>
    <w:p>
      <w:pPr>
        <w:spacing w:after="80" w:line="293" w:lineRule="auto"/>
        <w:jc w:val="left"/>
      </w:pPr>
      <w:r>
        <w:rPr>
          <w:rFonts w:ascii="Times New Roman" w:hAnsi="Times New Roman" w:cs="Times New Roman"/>
          <w:b w:val="0"/>
          <w:i w:val="0"/>
          <w:sz w:val="22"/>
        </w:rPr>
        <w:t>queries product vectors (pgvector) for the closest match, displays suggestions with confidence scores, the buyer selects the correct product, and the system auto-fills the HS code.</w:t>
      </w:r>
    </w:p>
    <w:p>
      <w:pPr>
        <w:spacing w:after="80" w:line="293" w:lineRule="auto"/>
        <w:ind w:left="283"/>
        <w:jc w:val="left"/>
      </w:pPr>
      <w:r>
        <w:rPr>
          <w:rFonts w:ascii="Times New Roman" w:hAnsi="Times New Roman" w:cs="Times New Roman"/>
          <w:b w:val="0"/>
          <w:i w:val="0"/>
          <w:sz w:val="22"/>
        </w:rPr>
        <w:t>- Flow 2: HS Code → Product Name. The buyer types an HS code (e.g., "0805.10"). The system queries the HS</w:t>
      </w:r>
    </w:p>
    <w:p>
      <w:pPr>
        <w:spacing w:after="80" w:line="293" w:lineRule="auto"/>
        <w:jc w:val="left"/>
      </w:pPr>
      <w:r>
        <w:rPr>
          <w:rFonts w:ascii="Times New Roman" w:hAnsi="Times New Roman" w:cs="Times New Roman"/>
          <w:b w:val="0"/>
          <w:i w:val="0"/>
          <w:sz w:val="22"/>
        </w:rPr>
        <w:t>database for the product name, auto-fills the product name, and triggers the Product Form Agent with the HS code.</w:t>
      </w:r>
    </w:p>
    <w:p>
      <w:pPr>
        <w:spacing w:after="80" w:line="293" w:lineRule="auto"/>
        <w:ind w:left="283"/>
        <w:jc w:val="left"/>
      </w:pPr>
      <w:r>
        <w:rPr>
          <w:rFonts w:ascii="Times New Roman" w:hAnsi="Times New Roman" w:cs="Times New Roman"/>
          <w:b w:val="0"/>
          <w:i w:val="0"/>
          <w:sz w:val="22"/>
        </w:rPr>
        <w:t>- Flow 3: Free-Text → Product Name + HS Code. The buyer types free text (e.g., "I need fresh oranges for</w:t>
      </w:r>
    </w:p>
    <w:p>
      <w:pPr>
        <w:spacing w:after="80" w:line="293" w:lineRule="auto"/>
        <w:jc w:val="left"/>
      </w:pPr>
      <w:r>
        <w:rPr>
          <w:rFonts w:ascii="Times New Roman" w:hAnsi="Times New Roman" w:cs="Times New Roman"/>
          <w:b w:val="0"/>
          <w:i w:val="0"/>
          <w:sz w:val="22"/>
        </w:rPr>
        <w:t>export"). The system uses AI (A2, HF local) to extract the product and HS code, displays suggestions with confidence scores, the buyer selects the correct product, and the system triggers the Product Form Agent.</w:t>
      </w:r>
    </w:p>
    <w:p>
      <w:pPr>
        <w:spacing w:after="80" w:line="293" w:lineRule="auto"/>
        <w:jc w:val="left"/>
      </w:pPr>
      <w:r>
        <w:rPr>
          <w:rFonts w:ascii="Times New Roman" w:hAnsi="Times New Roman" w:cs="Times New Roman"/>
          <w:b w:val="0"/>
          <w:i w:val="0"/>
          <w:sz w:val="22"/>
        </w:rPr>
        <w:t>Resolution algorithm:</w:t>
      </w:r>
    </w:p>
    <w:p>
      <w:pPr>
        <w:spacing w:after="0" w:before="0" w:line="240" w:lineRule="auto"/>
        <w:ind w:left="57"/>
        <w:jc w:val="left"/>
        <w:shd w:val="clear" w:fill="F2F2F2"/>
      </w:pPr>
      <w:r>
        <w:rPr>
          <w:rFonts w:ascii="Consolas" w:hAnsi="Consolas" w:cs="Consolas"/>
          <w:b w:val="0"/>
          <w:i w:val="0"/>
          <w:sz w:val="15"/>
        </w:rPr>
        <w:t>// Pseudo-code: Product resolution</w:t>
      </w:r>
    </w:p>
    <w:p>
      <w:pPr>
        <w:spacing w:after="0" w:before="0" w:line="240" w:lineRule="auto"/>
        <w:ind w:left="57"/>
        <w:jc w:val="left"/>
        <w:shd w:val="clear" w:fill="F2F2F2"/>
      </w:pPr>
      <w:r>
        <w:rPr>
          <w:rFonts w:ascii="Consolas" w:hAnsi="Consolas" w:cs="Consolas"/>
          <w:b w:val="0"/>
          <w:i w:val="0"/>
          <w:sz w:val="15"/>
        </w:rPr>
        <w:t>async fn resolve_product(query: &amp;str) -&gt; Result&lt;Vec&lt;ProductSuggestion&gt;&gt; {</w:t>
      </w:r>
    </w:p>
    <w:p>
      <w:pPr>
        <w:spacing w:after="0" w:before="0" w:line="240" w:lineRule="auto"/>
        <w:ind w:left="57"/>
        <w:jc w:val="left"/>
        <w:shd w:val="clear" w:fill="F2F2F2"/>
      </w:pPr>
      <w:r>
        <w:rPr>
          <w:rFonts w:ascii="Consolas" w:hAnsi="Consolas" w:cs="Consolas"/>
          <w:b w:val="0"/>
          <w:i w:val="0"/>
          <w:sz w:val="15"/>
        </w:rPr>
        <w:t xml:space="preserve">    // 1. Check if query is HS code format (6 or 10 digits)</w:t>
      </w:r>
    </w:p>
    <w:p>
      <w:pPr>
        <w:spacing w:after="0" w:before="0" w:line="240" w:lineRule="auto"/>
        <w:ind w:left="57"/>
        <w:jc w:val="left"/>
        <w:shd w:val="clear" w:fill="F2F2F2"/>
      </w:pPr>
      <w:r>
        <w:rPr>
          <w:rFonts w:ascii="Consolas" w:hAnsi="Consolas" w:cs="Consolas"/>
          <w:b w:val="0"/>
          <w:i w:val="0"/>
          <w:sz w:val="15"/>
        </w:rPr>
        <w:t xml:space="preserve">    if is_hs_code(query) {</w:t>
      </w:r>
    </w:p>
    <w:p>
      <w:pPr>
        <w:spacing w:after="0" w:before="0" w:line="240" w:lineRule="auto"/>
        <w:ind w:left="57"/>
        <w:jc w:val="left"/>
        <w:shd w:val="clear" w:fill="F2F2F2"/>
      </w:pPr>
      <w:r>
        <w:rPr>
          <w:rFonts w:ascii="Consolas" w:hAnsi="Consolas" w:cs="Consolas"/>
          <w:b w:val="0"/>
          <w:i w:val="0"/>
          <w:sz w:val="15"/>
        </w:rPr>
        <w:t xml:space="preserve">        let product = get_product_by_hs(query).await?;</w:t>
      </w:r>
    </w:p>
    <w:p>
      <w:pPr>
        <w:spacing w:after="0" w:before="0" w:line="240" w:lineRule="auto"/>
        <w:ind w:left="57"/>
        <w:jc w:val="left"/>
        <w:shd w:val="clear" w:fill="F2F2F2"/>
      </w:pPr>
      <w:r>
        <w:rPr>
          <w:rFonts w:ascii="Consolas" w:hAnsi="Consolas" w:cs="Consolas"/>
          <w:b w:val="0"/>
          <w:i w:val="0"/>
          <w:sz w:val="15"/>
        </w:rPr>
        <w:t xml:space="preserve">        return Ok(vec![ProductSuggestion {</w:t>
      </w:r>
    </w:p>
    <w:p>
      <w:pPr>
        <w:spacing w:after="0" w:before="0" w:line="240" w:lineRule="auto"/>
        <w:ind w:left="57"/>
        <w:jc w:val="left"/>
        <w:shd w:val="clear" w:fill="F2F2F2"/>
      </w:pPr>
      <w:r>
        <w:rPr>
          <w:rFonts w:ascii="Consolas" w:hAnsi="Consolas" w:cs="Consolas"/>
          <w:b w:val="0"/>
          <w:i w:val="0"/>
          <w:sz w:val="15"/>
        </w:rPr>
        <w:t xml:space="preserve">            product_name: product.name,</w:t>
      </w:r>
    </w:p>
    <w:p>
      <w:pPr>
        <w:spacing w:after="0" w:before="0" w:line="240" w:lineRule="auto"/>
        <w:ind w:left="57"/>
        <w:jc w:val="left"/>
        <w:shd w:val="clear" w:fill="F2F2F2"/>
      </w:pPr>
      <w:r>
        <w:rPr>
          <w:rFonts w:ascii="Consolas" w:hAnsi="Consolas" w:cs="Consolas"/>
          <w:b w:val="0"/>
          <w:i w:val="0"/>
          <w:sz w:val="15"/>
        </w:rPr>
        <w:t xml:space="preserve">            hs_code: product.hs_code,</w:t>
      </w:r>
    </w:p>
    <w:p>
      <w:pPr>
        <w:spacing w:after="0" w:before="0" w:line="240" w:lineRule="auto"/>
        <w:ind w:left="57"/>
        <w:jc w:val="left"/>
        <w:shd w:val="clear" w:fill="F2F2F2"/>
      </w:pPr>
      <w:r>
        <w:rPr>
          <w:rFonts w:ascii="Consolas" w:hAnsi="Consolas" w:cs="Consolas"/>
          <w:b w:val="0"/>
          <w:i w:val="0"/>
          <w:sz w:val="15"/>
        </w:rPr>
        <w:t xml:space="preserve">            confidence: 1.0,</w:t>
      </w:r>
    </w:p>
    <w:p>
      <w:pPr>
        <w:spacing w:after="0" w:before="0" w:line="240" w:lineRule="auto"/>
        <w:ind w:left="57"/>
        <w:jc w:val="left"/>
        <w:shd w:val="clear" w:fill="F2F2F2"/>
      </w:pPr>
      <w:r>
        <w:rPr>
          <w:rFonts w:ascii="Consolas" w:hAnsi="Consolas" w:cs="Consolas"/>
          <w:b w:val="0"/>
          <w:i w:val="0"/>
          <w:sz w:val="15"/>
        </w:rPr>
        <w:t xml:space="preserve">            source: "HS_DATABASE",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Check if query matches saved products (buyer's history)</w:t>
      </w:r>
    </w:p>
    <w:p>
      <w:pPr>
        <w:spacing w:after="0" w:before="0" w:line="240" w:lineRule="auto"/>
        <w:ind w:left="57"/>
        <w:jc w:val="left"/>
        <w:shd w:val="clear" w:fill="F2F2F2"/>
      </w:pPr>
      <w:r>
        <w:rPr>
          <w:rFonts w:ascii="Consolas" w:hAnsi="Consolas" w:cs="Consolas"/>
          <w:b w:val="0"/>
          <w:i w:val="0"/>
          <w:sz w:val="15"/>
        </w:rPr>
        <w:t xml:space="preserve">    let saved = get_saved_products_by_name(query).await?;</w:t>
      </w:r>
    </w:p>
    <w:p>
      <w:pPr>
        <w:spacing w:after="0" w:before="0" w:line="240" w:lineRule="auto"/>
        <w:ind w:left="57"/>
        <w:jc w:val="left"/>
        <w:shd w:val="clear" w:fill="F2F2F2"/>
      </w:pPr>
      <w:r>
        <w:rPr>
          <w:rFonts w:ascii="Consolas" w:hAnsi="Consolas" w:cs="Consolas"/>
          <w:b w:val="0"/>
          <w:i w:val="0"/>
          <w:sz w:val="15"/>
        </w:rPr>
        <w:t xml:space="preserve">    if !saved.is_empty() {</w:t>
      </w:r>
    </w:p>
    <w:p>
      <w:pPr>
        <w:spacing w:after="0" w:before="0" w:line="240" w:lineRule="auto"/>
        <w:ind w:left="57"/>
        <w:jc w:val="left"/>
        <w:shd w:val="clear" w:fill="F2F2F2"/>
      </w:pPr>
      <w:r>
        <w:rPr>
          <w:rFonts w:ascii="Consolas" w:hAnsi="Consolas" w:cs="Consolas"/>
          <w:b w:val="0"/>
          <w:i w:val="0"/>
          <w:sz w:val="15"/>
        </w:rPr>
        <w:t xml:space="preserve">        return Ok(saved);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Vector similarity search</w:t>
      </w:r>
    </w:p>
    <w:p>
      <w:pPr>
        <w:spacing w:after="0" w:before="0" w:line="240" w:lineRule="auto"/>
        <w:ind w:left="57"/>
        <w:jc w:val="left"/>
        <w:shd w:val="clear" w:fill="F2F2F2"/>
      </w:pPr>
      <w:r>
        <w:rPr>
          <w:rFonts w:ascii="Consolas" w:hAnsi="Consolas" w:cs="Consolas"/>
          <w:b w:val="0"/>
          <w:i w:val="0"/>
          <w:sz w:val="15"/>
        </w:rPr>
        <w:t xml:space="preserve">    let vectors = get_product_vectors(query).await?;</w:t>
      </w:r>
    </w:p>
    <w:p>
      <w:pPr>
        <w:spacing w:after="0" w:before="0" w:line="240" w:lineRule="auto"/>
        <w:ind w:left="57"/>
        <w:jc w:val="left"/>
        <w:shd w:val="clear" w:fill="F2F2F2"/>
      </w:pPr>
      <w:r>
        <w:rPr>
          <w:rFonts w:ascii="Consolas" w:hAnsi="Consolas" w:cs="Consolas"/>
          <w:b w:val="0"/>
          <w:i w:val="0"/>
          <w:sz w:val="15"/>
        </w:rPr>
        <w:t xml:space="preserve">    // 4. AI classification (A2, HF local)</w:t>
      </w:r>
    </w:p>
    <w:p>
      <w:pPr>
        <w:spacing w:after="0" w:before="0" w:line="240" w:lineRule="auto"/>
        <w:ind w:left="57"/>
        <w:jc w:val="left"/>
        <w:shd w:val="clear" w:fill="F2F2F2"/>
      </w:pPr>
      <w:r>
        <w:rPr>
          <w:rFonts w:ascii="Consolas" w:hAnsi="Consolas" w:cs="Consolas"/>
          <w:b w:val="0"/>
          <w:i w:val="0"/>
          <w:sz w:val="15"/>
        </w:rPr>
        <w:t xml:space="preserve">    let classified = classify_product(query).await?;</w:t>
      </w:r>
    </w:p>
    <w:p>
      <w:pPr>
        <w:spacing w:after="0" w:before="0" w:line="240" w:lineRule="auto"/>
        <w:ind w:left="57"/>
        <w:jc w:val="left"/>
        <w:shd w:val="clear" w:fill="F2F2F2"/>
      </w:pPr>
      <w:r>
        <w:rPr>
          <w:rFonts w:ascii="Consolas" w:hAnsi="Consolas" w:cs="Consolas"/>
          <w:b w:val="0"/>
          <w:i w:val="0"/>
          <w:sz w:val="15"/>
        </w:rPr>
        <w:t xml:space="preserve">    // 5. Merge and sort by confidence</w:t>
      </w:r>
    </w:p>
    <w:p>
      <w:pPr>
        <w:spacing w:after="0" w:before="0" w:line="240" w:lineRule="auto"/>
        <w:ind w:left="57"/>
        <w:jc w:val="left"/>
        <w:shd w:val="clear" w:fill="F2F2F2"/>
      </w:pPr>
      <w:r>
        <w:rPr>
          <w:rFonts w:ascii="Consolas" w:hAnsi="Consolas" w:cs="Consolas"/>
          <w:b w:val="0"/>
          <w:i w:val="0"/>
          <w:sz w:val="15"/>
        </w:rPr>
        <w:t xml:space="preserve">    let mut results = Vec::new();</w:t>
      </w:r>
    </w:p>
    <w:p>
      <w:pPr>
        <w:spacing w:after="0" w:before="0" w:line="240" w:lineRule="auto"/>
        <w:ind w:left="57"/>
        <w:jc w:val="left"/>
        <w:shd w:val="clear" w:fill="F2F2F2"/>
      </w:pPr>
      <w:r>
        <w:rPr>
          <w:rFonts w:ascii="Consolas" w:hAnsi="Consolas" w:cs="Consolas"/>
          <w:b w:val="0"/>
          <w:i w:val="0"/>
          <w:sz w:val="15"/>
        </w:rPr>
        <w:t xml:space="preserve">    results.extend(vectors);</w:t>
      </w:r>
    </w:p>
    <w:p>
      <w:pPr>
        <w:spacing w:after="0" w:before="0" w:line="240" w:lineRule="auto"/>
        <w:ind w:left="57"/>
        <w:jc w:val="left"/>
        <w:shd w:val="clear" w:fill="F2F2F2"/>
      </w:pPr>
      <w:r>
        <w:rPr>
          <w:rFonts w:ascii="Consolas" w:hAnsi="Consolas" w:cs="Consolas"/>
          <w:b w:val="0"/>
          <w:i w:val="0"/>
          <w:sz w:val="15"/>
        </w:rPr>
        <w:t xml:space="preserve">    results.extend(classified);</w:t>
      </w:r>
    </w:p>
    <w:p>
      <w:pPr>
        <w:spacing w:after="0" w:before="0" w:line="240" w:lineRule="auto"/>
        <w:ind w:left="57"/>
        <w:jc w:val="left"/>
        <w:shd w:val="clear" w:fill="F2F2F2"/>
      </w:pPr>
      <w:r>
        <w:rPr>
          <w:rFonts w:ascii="Consolas" w:hAnsi="Consolas" w:cs="Consolas"/>
          <w:b w:val="0"/>
          <w:i w:val="0"/>
          <w:sz w:val="15"/>
        </w:rPr>
        <w:t xml:space="preserve">    results.sort_by(|a, b| b.confidence.partial_cmp(&amp;a.confidence).unwrap());</w:t>
      </w:r>
    </w:p>
    <w:p>
      <w:pPr>
        <w:spacing w:after="0" w:before="0" w:line="240" w:lineRule="auto"/>
        <w:ind w:left="57"/>
        <w:jc w:val="left"/>
        <w:shd w:val="clear" w:fill="F2F2F2"/>
      </w:pPr>
      <w:r>
        <w:rPr>
          <w:rFonts w:ascii="Consolas" w:hAnsi="Consolas" w:cs="Consolas"/>
          <w:b w:val="0"/>
          <w:i w:val="0"/>
          <w:sz w:val="15"/>
        </w:rPr>
        <w:t xml:space="preserve">    Ok(results)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6.5.8 Database Schema Additions (Product Form Agent)</w:t>
      </w:r>
    </w:p>
    <w:p>
      <w:pPr>
        <w:spacing w:after="0" w:before="0" w:line="240" w:lineRule="auto"/>
        <w:ind w:left="57"/>
        <w:jc w:val="left"/>
        <w:shd w:val="clear" w:fill="F2F2F2"/>
      </w:pPr>
      <w:r>
        <w:rPr>
          <w:rFonts w:ascii="Consolas" w:hAnsi="Consolas" w:cs="Consolas"/>
          <w:b w:val="0"/>
          <w:i w:val="0"/>
          <w:sz w:val="15"/>
        </w:rPr>
        <w:t>-- Product vectors (for similarity search)</w:t>
      </w:r>
    </w:p>
    <w:p>
      <w:pPr>
        <w:spacing w:after="0" w:before="0" w:line="240" w:lineRule="auto"/>
        <w:ind w:left="57"/>
        <w:jc w:val="left"/>
        <w:shd w:val="clear" w:fill="F2F2F2"/>
      </w:pPr>
      <w:r>
        <w:rPr>
          <w:rFonts w:ascii="Consolas" w:hAnsi="Consolas" w:cs="Consolas"/>
          <w:b w:val="0"/>
          <w:i w:val="0"/>
          <w:sz w:val="15"/>
        </w:rPr>
        <w:t>CREATE TABLE product_vectors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hs_code CHAR(6) NOT NULL,</w:t>
      </w:r>
    </w:p>
    <w:p>
      <w:pPr>
        <w:spacing w:after="0" w:before="0" w:line="240" w:lineRule="auto"/>
        <w:ind w:left="57"/>
        <w:jc w:val="left"/>
        <w:shd w:val="clear" w:fill="F2F2F2"/>
      </w:pPr>
      <w:r>
        <w:rPr>
          <w:rFonts w:ascii="Consolas" w:hAnsi="Consolas" w:cs="Consolas"/>
          <w:b w:val="0"/>
          <w:i w:val="0"/>
          <w:sz w:val="15"/>
        </w:rPr>
        <w:t xml:space="preserve">    product_name TEXT NOT NULL,</w:t>
      </w:r>
    </w:p>
    <w:p>
      <w:pPr>
        <w:spacing w:after="0" w:before="0" w:line="240" w:lineRule="auto"/>
        <w:ind w:left="57"/>
        <w:jc w:val="left"/>
        <w:shd w:val="clear" w:fill="F2F2F2"/>
      </w:pPr>
      <w:r>
        <w:rPr>
          <w:rFonts w:ascii="Consolas" w:hAnsi="Consolas" w:cs="Consolas"/>
          <w:b w:val="0"/>
          <w:i w:val="0"/>
          <w:sz w:val="15"/>
        </w:rPr>
        <w:t xml:space="preserve">    synonyms TEXT[],</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embedding vector(384),</w:t>
      </w:r>
    </w:p>
    <w:p>
      <w:pPr>
        <w:spacing w:after="0" w:before="0" w:line="240" w:lineRule="auto"/>
        <w:ind w:left="57"/>
        <w:jc w:val="left"/>
        <w:shd w:val="clear" w:fill="F2F2F2"/>
      </w:pPr>
      <w:r>
        <w:rPr>
          <w:rFonts w:ascii="Consolas" w:hAnsi="Consolas" w:cs="Consolas"/>
          <w:b w:val="0"/>
          <w:i w:val="0"/>
          <w:sz w:val="15"/>
        </w:rPr>
        <w:t xml:space="preserve">    metadata JSONB,</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Acceptance criteria templates</w:t>
      </w:r>
    </w:p>
    <w:p>
      <w:pPr>
        <w:spacing w:after="0" w:before="0" w:line="240" w:lineRule="auto"/>
        <w:ind w:left="57"/>
        <w:jc w:val="left"/>
        <w:shd w:val="clear" w:fill="F2F2F2"/>
      </w:pPr>
      <w:r>
        <w:rPr>
          <w:rFonts w:ascii="Consolas" w:hAnsi="Consolas" w:cs="Consolas"/>
          <w:b w:val="0"/>
          <w:i w:val="0"/>
          <w:sz w:val="15"/>
        </w:rPr>
        <w:t>-- acceptance_criteria_templates: canonical definition in Section 6.3;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Product form agent cache (commodity_dynamic_schemas_cache, full definition</w:t>
      </w:r>
    </w:p>
    <w:p>
      <w:pPr>
        <w:spacing w:after="0" w:before="0" w:line="240" w:lineRule="auto"/>
        <w:ind w:left="57"/>
        <w:jc w:val="left"/>
        <w:shd w:val="clear" w:fill="F2F2F2"/>
      </w:pPr>
      <w:r>
        <w:rPr>
          <w:rFonts w:ascii="Consolas" w:hAnsi="Consolas" w:cs="Consolas"/>
          <w:b w:val="0"/>
          <w:i w:val="0"/>
          <w:sz w:val="15"/>
        </w:rPr>
        <w:t>-- including ai_confidence and fallback_used — see 6.5.5)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idx_product_vectors_hs ON product_vectors(hs_code);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idx_product_vectors_name ON product_vectors(product_name);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idx_product_vectors_embedding ON product_vectors</w:t>
      </w:r>
    </w:p>
    <w:p>
      <w:pPr>
        <w:spacing w:after="0" w:before="0" w:line="240" w:lineRule="auto"/>
        <w:ind w:left="57"/>
        <w:jc w:val="left"/>
        <w:shd w:val="clear" w:fill="F2F2F2"/>
      </w:pPr>
      <w:r>
        <w:rPr>
          <w:rFonts w:ascii="Consolas" w:hAnsi="Consolas" w:cs="Consolas"/>
          <w:b w:val="0"/>
          <w:i w:val="0"/>
          <w:sz w:val="15"/>
        </w:rPr>
        <w:t xml:space="preserve">    USING ivfflat (embedding vector_cosine_ops) WITH (lists = 100);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idx_acceptance_criteria_templates_hs ON acceptance_criteria_templates(hs_code);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idx_commodity_dynamic_schemas_cache_hs</w:t>
      </w:r>
    </w:p>
    <w:p>
      <w:pPr>
        <w:spacing w:after="0" w:before="0" w:line="240" w:lineRule="auto"/>
        <w:ind w:left="57"/>
        <w:jc w:val="left"/>
        <w:shd w:val="clear" w:fill="F2F2F2"/>
      </w:pPr>
      <w:r>
        <w:rPr>
          <w:rFonts w:ascii="Consolas" w:hAnsi="Consolas" w:cs="Consolas"/>
          <w:b w:val="0"/>
          <w:i w:val="0"/>
          <w:sz w:val="15"/>
        </w:rPr>
        <w:t xml:space="preserve">    ON commodity_dynamic_schemas_cache(hs_code, origin_country, destination_country);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idx_commodity_dynamic_schemas_cache_expiry</w:t>
      </w:r>
    </w:p>
    <w:p>
      <w:pPr>
        <w:spacing w:after="0" w:before="0" w:line="240" w:lineRule="auto"/>
        <w:ind w:left="57"/>
        <w:jc w:val="left"/>
        <w:shd w:val="clear" w:fill="F2F2F2"/>
      </w:pPr>
      <w:r>
        <w:rPr>
          <w:rFonts w:ascii="Consolas" w:hAnsi="Consolas" w:cs="Consolas"/>
          <w:b w:val="0"/>
          <w:i w:val="0"/>
          <w:sz w:val="15"/>
        </w:rPr>
        <w:t xml:space="preserve">    ON commodity_dynamic_schemas_cache(expires_at);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6.5.9 Implementation Checklist (Product Form Agent)</w:t>
      </w:r>
    </w:p>
    <w:p>
      <w:pPr>
        <w:keepNext/>
        <w:spacing w:before="140" w:after="60"/>
        <w:outlineLvl w:val="3"/>
      </w:pPr>
      <w:r>
        <w:rPr>
          <w:rFonts w:ascii="Arial" w:hAnsi="Arial" w:cs="Arial"/>
          <w:b/>
          <w:i/>
          <w:color w:val="333333"/>
          <w:sz w:val="22"/>
        </w:rPr>
        <w:t>6.5.9.1 Core Agent</w:t>
      </w:r>
    </w:p>
    <w:p>
      <w:pPr>
        <w:spacing w:after="80" w:line="293" w:lineRule="auto"/>
        <w:ind w:left="283"/>
        <w:jc w:val="left"/>
      </w:pPr>
      <w:r>
        <w:rPr>
          <w:rFonts w:ascii="Times New Roman" w:hAnsi="Times New Roman" w:cs="Times New Roman"/>
          <w:b w:val="0"/>
          <w:i w:val="0"/>
          <w:sz w:val="22"/>
        </w:rPr>
        <w:t>- Implement Product Form Agent service (Rust)</w:t>
      </w:r>
    </w:p>
    <w:p>
      <w:pPr>
        <w:spacing w:after="80" w:line="293" w:lineRule="auto"/>
        <w:ind w:left="283"/>
        <w:jc w:val="left"/>
      </w:pPr>
      <w:r>
        <w:rPr>
          <w:rFonts w:ascii="Times New Roman" w:hAnsi="Times New Roman" w:cs="Times New Roman"/>
          <w:b w:val="0"/>
          <w:i w:val="0"/>
          <w:sz w:val="22"/>
        </w:rPr>
        <w:t>- Implement RIA vector database query</w:t>
      </w:r>
    </w:p>
    <w:p>
      <w:pPr>
        <w:spacing w:after="80" w:line="293" w:lineRule="auto"/>
        <w:ind w:left="283"/>
        <w:jc w:val="left"/>
      </w:pPr>
      <w:r>
        <w:rPr>
          <w:rFonts w:ascii="Times New Roman" w:hAnsi="Times New Roman" w:cs="Times New Roman"/>
          <w:b w:val="0"/>
          <w:i w:val="0"/>
          <w:sz w:val="22"/>
        </w:rPr>
        <w:t>- Implement Groq schema generation (with Ollama fallback)</w:t>
      </w:r>
    </w:p>
    <w:p>
      <w:pPr>
        <w:spacing w:after="80" w:line="293" w:lineRule="auto"/>
        <w:ind w:left="283"/>
        <w:jc w:val="left"/>
      </w:pPr>
      <w:r>
        <w:rPr>
          <w:rFonts w:ascii="Times New Roman" w:hAnsi="Times New Roman" w:cs="Times New Roman"/>
          <w:b w:val="0"/>
          <w:i w:val="0"/>
          <w:sz w:val="22"/>
        </w:rPr>
        <w:t>- Implement schema validation (A4, WasmEdge)</w:t>
      </w:r>
    </w:p>
    <w:p>
      <w:pPr>
        <w:spacing w:after="80" w:line="293" w:lineRule="auto"/>
        <w:ind w:left="283"/>
        <w:jc w:val="left"/>
      </w:pPr>
      <w:r>
        <w:rPr>
          <w:rFonts w:ascii="Times New Roman" w:hAnsi="Times New Roman" w:cs="Times New Roman"/>
          <w:b w:val="0"/>
          <w:i w:val="0"/>
          <w:sz w:val="22"/>
        </w:rPr>
        <w:t>- Implement schema caching (7-day TTL)</w:t>
      </w:r>
    </w:p>
    <w:p>
      <w:pPr>
        <w:spacing w:after="80" w:line="293" w:lineRule="auto"/>
        <w:ind w:left="283"/>
        <w:jc w:val="left"/>
      </w:pPr>
      <w:r>
        <w:rPr>
          <w:rFonts w:ascii="Times New Roman" w:hAnsi="Times New Roman" w:cs="Times New Roman"/>
          <w:b w:val="0"/>
          <w:i w:val="0"/>
          <w:sz w:val="22"/>
        </w:rPr>
        <w:t>- Implement fallback to static template</w:t>
      </w:r>
    </w:p>
    <w:p>
      <w:pPr>
        <w:spacing w:after="80" w:line="293" w:lineRule="auto"/>
        <w:ind w:left="283"/>
        <w:jc w:val="left"/>
      </w:pPr>
      <w:r>
        <w:rPr>
          <w:rFonts w:ascii="Times New Roman" w:hAnsi="Times New Roman" w:cs="Times New Roman"/>
          <w:b w:val="0"/>
          <w:i w:val="0"/>
          <w:sz w:val="22"/>
        </w:rPr>
        <w:t>- Implement schema versioning</w:t>
      </w:r>
    </w:p>
    <w:p>
      <w:pPr>
        <w:keepNext/>
        <w:spacing w:before="140" w:after="60"/>
        <w:outlineLvl w:val="3"/>
      </w:pPr>
      <w:r>
        <w:rPr>
          <w:rFonts w:ascii="Arial" w:hAnsi="Arial" w:cs="Arial"/>
          <w:b/>
          <w:i/>
          <w:color w:val="333333"/>
          <w:sz w:val="22"/>
        </w:rPr>
        <w:t>6.5.9.2 Dynamic Fields</w:t>
      </w:r>
    </w:p>
    <w:p>
      <w:pPr>
        <w:spacing w:after="80" w:line="293" w:lineRule="auto"/>
        <w:ind w:left="283"/>
        <w:jc w:val="left"/>
      </w:pPr>
      <w:r>
        <w:rPr>
          <w:rFonts w:ascii="Times New Roman" w:hAnsi="Times New Roman" w:cs="Times New Roman"/>
          <w:b w:val="0"/>
          <w:i w:val="0"/>
          <w:sz w:val="22"/>
        </w:rPr>
        <w:t>- Implement all field types (dropdown, number, toggle, text, readonly, date, condition)</w:t>
      </w:r>
    </w:p>
    <w:p>
      <w:pPr>
        <w:spacing w:after="80" w:line="293" w:lineRule="auto"/>
        <w:ind w:left="283"/>
        <w:jc w:val="left"/>
      </w:pPr>
      <w:r>
        <w:rPr>
          <w:rFonts w:ascii="Times New Roman" w:hAnsi="Times New Roman" w:cs="Times New Roman"/>
          <w:b w:val="0"/>
          <w:i w:val="0"/>
          <w:sz w:val="22"/>
        </w:rPr>
        <w:t>- Implement field validation (min, max, step, mandatory)</w:t>
      </w:r>
    </w:p>
    <w:p>
      <w:pPr>
        <w:spacing w:after="80" w:line="293" w:lineRule="auto"/>
        <w:ind w:left="283"/>
        <w:jc w:val="left"/>
      </w:pPr>
      <w:r>
        <w:rPr>
          <w:rFonts w:ascii="Times New Roman" w:hAnsi="Times New Roman" w:cs="Times New Roman"/>
          <w:b w:val="0"/>
          <w:i w:val="0"/>
          <w:sz w:val="22"/>
        </w:rPr>
        <w:t>- Implement conditional field logic</w:t>
      </w:r>
    </w:p>
    <w:p>
      <w:pPr>
        <w:spacing w:after="80" w:line="293" w:lineRule="auto"/>
        <w:ind w:left="283"/>
        <w:jc w:val="left"/>
      </w:pPr>
      <w:r>
        <w:rPr>
          <w:rFonts w:ascii="Times New Roman" w:hAnsi="Times New Roman" w:cs="Times New Roman"/>
          <w:b w:val="0"/>
          <w:i w:val="0"/>
          <w:sz w:val="22"/>
        </w:rPr>
        <w:t>- Implement tooltip generation (A1, Groq)</w:t>
      </w:r>
    </w:p>
    <w:p>
      <w:pPr>
        <w:spacing w:after="80" w:line="293" w:lineRule="auto"/>
        <w:ind w:left="283"/>
        <w:jc w:val="left"/>
      </w:pPr>
      <w:r>
        <w:rPr>
          <w:rFonts w:ascii="Times New Roman" w:hAnsi="Times New Roman" w:cs="Times New Roman"/>
          <w:b w:val="0"/>
          <w:i w:val="0"/>
          <w:sz w:val="22"/>
        </w:rPr>
        <w:t>- Implement default value recommendation (A1, Groq)</w:t>
      </w:r>
    </w:p>
    <w:p>
      <w:pPr>
        <w:keepNext/>
        <w:spacing w:before="140" w:after="60"/>
        <w:outlineLvl w:val="3"/>
      </w:pPr>
      <w:r>
        <w:rPr>
          <w:rFonts w:ascii="Arial" w:hAnsi="Arial" w:cs="Arial"/>
          <w:b/>
          <w:i/>
          <w:color w:val="333333"/>
          <w:sz w:val="22"/>
        </w:rPr>
        <w:t>6.5.9.3 Packing Defaults</w:t>
      </w:r>
    </w:p>
    <w:p>
      <w:pPr>
        <w:spacing w:after="80" w:line="293" w:lineRule="auto"/>
        <w:ind w:left="283"/>
        <w:jc w:val="left"/>
      </w:pPr>
      <w:r>
        <w:rPr>
          <w:rFonts w:ascii="Times New Roman" w:hAnsi="Times New Roman" w:cs="Times New Roman"/>
          <w:b w:val="0"/>
          <w:i w:val="0"/>
          <w:sz w:val="22"/>
        </w:rPr>
        <w:t>- Implement packing defaults from RIA</w:t>
      </w:r>
    </w:p>
    <w:p>
      <w:pPr>
        <w:spacing w:after="80" w:line="293" w:lineRule="auto"/>
        <w:ind w:left="283"/>
        <w:jc w:val="left"/>
      </w:pPr>
      <w:r>
        <w:rPr>
          <w:rFonts w:ascii="Times New Roman" w:hAnsi="Times New Roman" w:cs="Times New Roman"/>
          <w:b w:val="0"/>
          <w:i w:val="0"/>
          <w:sz w:val="22"/>
        </w:rPr>
        <w:t>- Implement palletisation recommendations</w:t>
      </w:r>
    </w:p>
    <w:p>
      <w:pPr>
        <w:spacing w:after="80" w:line="293" w:lineRule="auto"/>
        <w:ind w:left="283"/>
        <w:jc w:val="left"/>
      </w:pPr>
      <w:r>
        <w:rPr>
          <w:rFonts w:ascii="Times New Roman" w:hAnsi="Times New Roman" w:cs="Times New Roman"/>
          <w:b w:val="0"/>
          <w:i w:val="0"/>
          <w:sz w:val="22"/>
        </w:rPr>
        <w:t>- Implement container capacity calculations</w:t>
      </w:r>
    </w:p>
    <w:p>
      <w:pPr>
        <w:spacing w:after="80" w:line="293" w:lineRule="auto"/>
        <w:ind w:left="283"/>
        <w:jc w:val="left"/>
      </w:pPr>
      <w:r>
        <w:rPr>
          <w:rFonts w:ascii="Times New Roman" w:hAnsi="Times New Roman" w:cs="Times New Roman"/>
          <w:b w:val="0"/>
          <w:i w:val="0"/>
          <w:sz w:val="22"/>
        </w:rPr>
        <w:t>- Implement weight calculations</w:t>
      </w:r>
    </w:p>
    <w:p>
      <w:pPr>
        <w:keepNext/>
        <w:spacing w:before="140" w:after="60"/>
        <w:outlineLvl w:val="3"/>
      </w:pPr>
      <w:r>
        <w:rPr>
          <w:rFonts w:ascii="Arial" w:hAnsi="Arial" w:cs="Arial"/>
          <w:b/>
          <w:i/>
          <w:color w:val="333333"/>
          <w:sz w:val="22"/>
        </w:rPr>
        <w:t>6.5.9.4 Acceptance Criteria Matrix</w:t>
      </w:r>
    </w:p>
    <w:p>
      <w:pPr>
        <w:spacing w:after="80" w:line="293" w:lineRule="auto"/>
        <w:ind w:left="283"/>
        <w:jc w:val="left"/>
      </w:pPr>
      <w:r>
        <w:rPr>
          <w:rFonts w:ascii="Times New Roman" w:hAnsi="Times New Roman" w:cs="Times New Roman"/>
          <w:b w:val="0"/>
          <w:i w:val="0"/>
          <w:sz w:val="22"/>
        </w:rPr>
        <w:t>- Implement acceptance criteria generation</w:t>
      </w:r>
    </w:p>
    <w:p>
      <w:pPr>
        <w:spacing w:after="80" w:line="293" w:lineRule="auto"/>
        <w:ind w:left="283"/>
        <w:jc w:val="left"/>
      </w:pPr>
      <w:r>
        <w:rPr>
          <w:rFonts w:ascii="Times New Roman" w:hAnsi="Times New Roman" w:cs="Times New Roman"/>
          <w:b w:val="0"/>
          <w:i w:val="0"/>
          <w:sz w:val="22"/>
        </w:rPr>
        <w:t>- Implement MRL validation</w:t>
      </w:r>
    </w:p>
    <w:p>
      <w:pPr>
        <w:spacing w:after="80" w:line="293" w:lineRule="auto"/>
        <w:ind w:left="283"/>
        <w:jc w:val="left"/>
      </w:pPr>
      <w:r>
        <w:rPr>
          <w:rFonts w:ascii="Times New Roman" w:hAnsi="Times New Roman" w:cs="Times New Roman"/>
          <w:b w:val="0"/>
          <w:i w:val="0"/>
          <w:sz w:val="22"/>
        </w:rPr>
        <w:t>- Implement regulatory standard lookup</w:t>
      </w:r>
    </w:p>
    <w:p>
      <w:pPr>
        <w:spacing w:after="80" w:line="293" w:lineRule="auto"/>
        <w:ind w:left="283"/>
        <w:jc w:val="left"/>
      </w:pPr>
      <w:r>
        <w:rPr>
          <w:rFonts w:ascii="Times New Roman" w:hAnsi="Times New Roman" w:cs="Times New Roman"/>
          <w:b w:val="0"/>
          <w:i w:val="0"/>
          <w:sz w:val="22"/>
        </w:rPr>
        <w:t>- Implement confidence scoring</w:t>
      </w:r>
    </w:p>
    <w:p>
      <w:pPr>
        <w:keepNext/>
        <w:spacing w:before="140" w:after="60"/>
        <w:outlineLvl w:val="3"/>
      </w:pPr>
      <w:r>
        <w:rPr>
          <w:rFonts w:ascii="Arial" w:hAnsi="Arial" w:cs="Arial"/>
          <w:b/>
          <w:i/>
          <w:color w:val="333333"/>
          <w:sz w:val="22"/>
        </w:rPr>
        <w:t>6.5.9.5 Product Resolution</w:t>
      </w:r>
    </w:p>
    <w:p>
      <w:pPr>
        <w:spacing w:after="80" w:line="293" w:lineRule="auto"/>
        <w:ind w:left="283"/>
        <w:jc w:val="left"/>
      </w:pPr>
      <w:r>
        <w:rPr>
          <w:rFonts w:ascii="Times New Roman" w:hAnsi="Times New Roman" w:cs="Times New Roman"/>
          <w:b w:val="0"/>
          <w:i w:val="0"/>
          <w:sz w:val="22"/>
        </w:rPr>
        <w:t>- Implement HS code validation</w:t>
      </w:r>
    </w:p>
    <w:p>
      <w:pPr>
        <w:spacing w:after="80" w:line="293" w:lineRule="auto"/>
        <w:ind w:left="283"/>
        <w:jc w:val="left"/>
      </w:pPr>
      <w:r>
        <w:rPr>
          <w:rFonts w:ascii="Times New Roman" w:hAnsi="Times New Roman" w:cs="Times New Roman"/>
          <w:b w:val="0"/>
          <w:i w:val="0"/>
          <w:sz w:val="22"/>
        </w:rPr>
        <w:t>- Implement product name → HS code resolution</w:t>
      </w:r>
    </w:p>
    <w:p>
      <w:pPr>
        <w:spacing w:after="80" w:line="293" w:lineRule="auto"/>
        <w:ind w:left="283"/>
        <w:jc w:val="left"/>
      </w:pPr>
      <w:r>
        <w:rPr>
          <w:rFonts w:ascii="Times New Roman" w:hAnsi="Times New Roman" w:cs="Times New Roman"/>
          <w:b w:val="0"/>
          <w:i w:val="0"/>
          <w:sz w:val="22"/>
        </w:rPr>
        <w:t>- Implement HS code → product name resolution</w:t>
      </w:r>
    </w:p>
    <w:p>
      <w:pPr>
        <w:spacing w:after="80" w:line="293" w:lineRule="auto"/>
        <w:ind w:left="283"/>
        <w:jc w:val="left"/>
      </w:pPr>
      <w:r>
        <w:rPr>
          <w:rFonts w:ascii="Times New Roman" w:hAnsi="Times New Roman" w:cs="Times New Roman"/>
          <w:b w:val="0"/>
          <w:i w:val="0"/>
          <w:sz w:val="22"/>
        </w:rPr>
        <w:t>- Implement free-text classification (A2, HF local)</w:t>
      </w:r>
    </w:p>
    <w:p>
      <w:pPr>
        <w:spacing w:after="80" w:line="293" w:lineRule="auto"/>
        <w:ind w:left="283"/>
        <w:jc w:val="left"/>
      </w:pPr>
      <w:r>
        <w:rPr>
          <w:rFonts w:ascii="Times New Roman" w:hAnsi="Times New Roman" w:cs="Times New Roman"/>
          <w:b w:val="0"/>
          <w:i w:val="0"/>
          <w:sz w:val="22"/>
        </w:rPr>
        <w:t>- Implement vector similarity search (pgvector)</w:t>
      </w:r>
    </w:p>
    <w:p>
      <w:pPr>
        <w:spacing w:after="80" w:line="293" w:lineRule="auto"/>
        <w:ind w:left="283"/>
        <w:jc w:val="left"/>
      </w:pPr>
      <w:r>
        <w:rPr>
          <w:rFonts w:ascii="Times New Roman" w:hAnsi="Times New Roman" w:cs="Times New Roman"/>
          <w:b w:val="0"/>
          <w:i w:val="0"/>
          <w:sz w:val="22"/>
        </w:rPr>
        <w:t>- Implement saved products lookup</w:t>
      </w:r>
    </w:p>
    <w:p>
      <w:pPr>
        <w:keepNext/>
        <w:spacing w:before="140" w:after="60"/>
        <w:outlineLvl w:val="3"/>
      </w:pPr>
      <w:r>
        <w:rPr>
          <w:rFonts w:ascii="Arial" w:hAnsi="Arial" w:cs="Arial"/>
          <w:b/>
          <w:i/>
          <w:color w:val="333333"/>
          <w:sz w:val="22"/>
        </w:rPr>
        <w:t>6.5.9.6 Testing</w:t>
      </w:r>
    </w:p>
    <w:p>
      <w:pPr>
        <w:spacing w:after="80" w:line="293" w:lineRule="auto"/>
        <w:ind w:left="283"/>
        <w:jc w:val="left"/>
      </w:pPr>
      <w:r>
        <w:rPr>
          <w:rFonts w:ascii="Times New Roman" w:hAnsi="Times New Roman" w:cs="Times New Roman"/>
          <w:b w:val="0"/>
          <w:i w:val="0"/>
          <w:sz w:val="22"/>
        </w:rPr>
        <w:t>- Unit tests: schema generation for all product types</w:t>
      </w:r>
    </w:p>
    <w:p>
      <w:pPr>
        <w:spacing w:after="80" w:line="293" w:lineRule="auto"/>
        <w:ind w:left="283"/>
        <w:jc w:val="left"/>
      </w:pPr>
      <w:r>
        <w:rPr>
          <w:rFonts w:ascii="Times New Roman" w:hAnsi="Times New Roman" w:cs="Times New Roman"/>
          <w:b w:val="0"/>
          <w:i w:val="0"/>
          <w:sz w:val="22"/>
        </w:rPr>
        <w:t>- Unit tests: field validation</w:t>
      </w:r>
    </w:p>
    <w:p>
      <w:pPr>
        <w:spacing w:after="80" w:line="293" w:lineRule="auto"/>
        <w:ind w:left="283"/>
        <w:jc w:val="left"/>
      </w:pPr>
      <w:r>
        <w:rPr>
          <w:rFonts w:ascii="Times New Roman" w:hAnsi="Times New Roman" w:cs="Times New Roman"/>
          <w:b w:val="0"/>
          <w:i w:val="0"/>
          <w:sz w:val="22"/>
        </w:rPr>
        <w:t>- Unit tests: conditional field logic</w:t>
      </w:r>
    </w:p>
    <w:p>
      <w:pPr>
        <w:spacing w:after="80" w:line="293" w:lineRule="auto"/>
        <w:ind w:left="283"/>
        <w:jc w:val="left"/>
      </w:pPr>
      <w:r>
        <w:rPr>
          <w:rFonts w:ascii="Times New Roman" w:hAnsi="Times New Roman" w:cs="Times New Roman"/>
          <w:b w:val="0"/>
          <w:i w:val="0"/>
          <w:sz w:val="22"/>
        </w:rPr>
        <w:t>- Unit tests: acceptance criteria generation</w:t>
      </w:r>
    </w:p>
    <w:p>
      <w:pPr>
        <w:spacing w:after="80" w:line="293" w:lineRule="auto"/>
        <w:ind w:left="283"/>
        <w:jc w:val="left"/>
      </w:pPr>
      <w:r>
        <w:rPr>
          <w:rFonts w:ascii="Times New Roman" w:hAnsi="Times New Roman" w:cs="Times New Roman"/>
          <w:b w:val="0"/>
          <w:i w:val="0"/>
          <w:sz w:val="22"/>
        </w:rPr>
        <w:t>- Integration tests: Product Form Agent → RIA → schema</w:t>
      </w:r>
    </w:p>
    <w:p>
      <w:pPr>
        <w:spacing w:after="80" w:line="293" w:lineRule="auto"/>
        <w:ind w:left="283"/>
        <w:jc w:val="left"/>
      </w:pPr>
      <w:r>
        <w:rPr>
          <w:rFonts w:ascii="Times New Roman" w:hAnsi="Times New Roman" w:cs="Times New Roman"/>
          <w:b w:val="0"/>
          <w:i w:val="0"/>
          <w:sz w:val="22"/>
        </w:rPr>
        <w:t>- Integration tests: product resolution (all flows)</w:t>
      </w:r>
    </w:p>
    <w:p>
      <w:pPr>
        <w:spacing w:after="80" w:line="293" w:lineRule="auto"/>
        <w:ind w:left="283"/>
        <w:jc w:val="left"/>
      </w:pPr>
      <w:r>
        <w:rPr>
          <w:rFonts w:ascii="Times New Roman" w:hAnsi="Times New Roman" w:cs="Times New Roman"/>
          <w:b w:val="0"/>
          <w:i w:val="0"/>
          <w:sz w:val="22"/>
        </w:rPr>
        <w:t>- Performance tests: schema generation latency (&lt;1s cached, &lt;3s uncached)</w:t>
      </w:r>
    </w:p>
    <w:p>
      <w:pPr>
        <w:keepNext/>
        <w:spacing w:before="180" w:after="80"/>
        <w:outlineLvl w:val="2"/>
      </w:pPr>
      <w:r>
        <w:rPr>
          <w:rFonts w:ascii="Arial" w:hAnsi="Arial" w:cs="Arial"/>
          <w:b/>
          <w:i w:val="0"/>
          <w:color w:val="333333"/>
          <w:sz w:val="23"/>
        </w:rPr>
        <w:t>6.5.10 AI Authority Summary (Product Form Agent)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Product Form Agent Application</w:t>
            </w:r>
          </w:p>
        </w:tc>
      </w:tr>
      <w:tr>
        <w:tc>
          <w:tcPr>
            <w:tcW w:type="dxa" w:w="3213"/>
          </w:tcPr>
          <w:p>
            <w:pPr>
              <w:spacing w:after="20" w:before="20" w:line="240" w:lineRule="auto"/>
            </w:pPr>
            <w:r/>
            <w:r>
              <w:rPr>
                <w:rFonts w:ascii="Arial" w:hAnsi="Arial" w:cs="Arial"/>
                <w:b w:val="0"/>
                <w:i w:val="0"/>
                <w:sz w:val="17"/>
              </w:rPr>
              <w:t>A2 (HF local + Groq)</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Dynamic JSON schema generation, static-template fallback, product classification</w:t>
            </w:r>
          </w:p>
        </w:tc>
      </w:tr>
      <w:tr>
        <w:tc>
          <w:tcPr>
            <w:tcW w:type="dxa" w:w="3213"/>
          </w:tcPr>
          <w:p>
            <w:pPr>
              <w:spacing w:after="20" w:before="20" w:line="240" w:lineRule="auto"/>
            </w:pPr>
            <w:r/>
            <w:r>
              <w:rPr>
                <w:rFonts w:ascii="Arial" w:hAnsi="Arial" w:cs="Arial"/>
                <w:b w:val="0"/>
                <w:i w:val="0"/>
                <w:sz w:val="17"/>
              </w:rPr>
              <w:t>A2 (pgvector)</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Product and regulation similarity search</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Schema validation against constitutional rules</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Tooltips, default value recommendations, acceptance criteria recommendations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6.6 Structured Container &amp; Commodity Entry</w:t>
      </w:r>
    </w:p>
    <w:p>
      <w:pPr>
        <w:keepNext/>
        <w:spacing w:before="180" w:after="80"/>
        <w:outlineLvl w:val="2"/>
      </w:pPr>
      <w:r>
        <w:rPr>
          <w:rFonts w:ascii="Arial" w:hAnsi="Arial" w:cs="Arial"/>
          <w:b/>
          <w:i w:val="0"/>
          <w:color w:val="333333"/>
          <w:sz w:val="23"/>
        </w:rPr>
        <w:t>6.6.1 Purpose &amp; Design Philosophy</w:t>
      </w:r>
    </w:p>
    <w:p>
      <w:pPr>
        <w:spacing w:after="80" w:line="293" w:lineRule="auto"/>
        <w:jc w:val="left"/>
      </w:pPr>
      <w:r>
        <w:rPr>
          <w:rFonts w:ascii="Times New Roman" w:hAnsi="Times New Roman" w:cs="Times New Roman"/>
          <w:b w:val="0"/>
          <w:i w:val="0"/>
          <w:sz w:val="22"/>
        </w:rPr>
        <w:t>The Structured Container &amp; Commodity Entry is the heart of the New Trade Request form. It is where the buyer translates their commercial intent into a machine-readable, structured data model that drives all subsequent phases of the trade lifecycle. This section defines how containers and commodities are configured, validated, and stored.</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Zero re-entry — all data entered here is stored once and reused across all phases (packing, customs,</w:t>
      </w:r>
    </w:p>
    <w:p>
      <w:pPr>
        <w:spacing w:after="80" w:line="293" w:lineRule="auto"/>
        <w:jc w:val="left"/>
      </w:pPr>
      <w:r>
        <w:rPr>
          <w:rFonts w:ascii="Times New Roman" w:hAnsi="Times New Roman" w:cs="Times New Roman"/>
          <w:b w:val="0"/>
          <w:i w:val="0"/>
          <w:sz w:val="22"/>
        </w:rPr>
        <w:t>invoicing, financing).</w:t>
      </w:r>
    </w:p>
    <w:p>
      <w:pPr>
        <w:spacing w:after="80" w:line="293" w:lineRule="auto"/>
        <w:ind w:left="283"/>
        <w:jc w:val="left"/>
      </w:pPr>
      <w:r>
        <w:rPr>
          <w:rFonts w:ascii="Times New Roman" w:hAnsi="Times New Roman" w:cs="Times New Roman"/>
          <w:b w:val="0"/>
          <w:i w:val="0"/>
          <w:sz w:val="22"/>
        </w:rPr>
        <w:t>- Multi-container, multi-commodity — supports 1–50 containers and unlimited commodities per container.</w:t>
      </w:r>
    </w:p>
    <w:p>
      <w:pPr>
        <w:spacing w:after="80" w:line="293" w:lineRule="auto"/>
        <w:ind w:left="283"/>
        <w:jc w:val="left"/>
      </w:pPr>
      <w:r>
        <w:rPr>
          <w:rFonts w:ascii="Times New Roman" w:hAnsi="Times New Roman" w:cs="Times New Roman"/>
          <w:b w:val="0"/>
          <w:i w:val="0"/>
          <w:sz w:val="22"/>
        </w:rPr>
        <w:t>- AI-assisted, never automated — AI provides defaults, suggestions, and validation, but the buyer remains in</w:t>
      </w:r>
    </w:p>
    <w:p>
      <w:pPr>
        <w:spacing w:after="80" w:line="293" w:lineRule="auto"/>
        <w:jc w:val="left"/>
      </w:pPr>
      <w:r>
        <w:rPr>
          <w:rFonts w:ascii="Times New Roman" w:hAnsi="Times New Roman" w:cs="Times New Roman"/>
          <w:b w:val="0"/>
          <w:i w:val="0"/>
          <w:sz w:val="22"/>
        </w:rPr>
        <w:t>full control.</w:t>
      </w:r>
    </w:p>
    <w:p>
      <w:pPr>
        <w:spacing w:after="80" w:line="293" w:lineRule="auto"/>
        <w:ind w:left="283"/>
        <w:jc w:val="left"/>
      </w:pPr>
      <w:r>
        <w:rPr>
          <w:rFonts w:ascii="Times New Roman" w:hAnsi="Times New Roman" w:cs="Times New Roman"/>
          <w:b w:val="0"/>
          <w:i w:val="0"/>
          <w:sz w:val="22"/>
        </w:rPr>
        <w:t>- Real-time calculation — weights, volumes, and container capacity are calculated in real time.</w:t>
      </w:r>
    </w:p>
    <w:p>
      <w:pPr>
        <w:spacing w:after="80" w:line="293" w:lineRule="auto"/>
        <w:ind w:left="283"/>
        <w:jc w:val="left"/>
      </w:pPr>
      <w:r>
        <w:rPr>
          <w:rFonts w:ascii="Times New Roman" w:hAnsi="Times New Roman" w:cs="Times New Roman"/>
          <w:b w:val="0"/>
          <w:i w:val="0"/>
          <w:sz w:val="22"/>
        </w:rPr>
        <w:t>- Bulk operations — clone, bulk edit, and drag-and-drop reordering for efficiency.</w:t>
      </w:r>
    </w:p>
    <w:p>
      <w:pPr>
        <w:spacing w:after="80" w:line="293" w:lineRule="auto"/>
        <w:ind w:left="283"/>
        <w:jc w:val="left"/>
      </w:pPr>
      <w:r>
        <w:rPr>
          <w:rFonts w:ascii="Times New Roman" w:hAnsi="Times New Roman" w:cs="Times New Roman"/>
          <w:b w:val="0"/>
          <w:i w:val="0"/>
          <w:sz w:val="22"/>
        </w:rPr>
        <w:t>- Validation at every step — Governor validation ensures data consistency and compliance.</w:t>
      </w:r>
    </w:p>
    <w:p>
      <w:pPr>
        <w:spacing w:after="80" w:line="293" w:lineRule="auto"/>
        <w:jc w:val="left"/>
      </w:pPr>
      <w:r>
        <w:rPr>
          <w:rFonts w:ascii="Times New Roman" w:hAnsi="Times New Roman" w:cs="Times New Roman"/>
          <w:b w:val="0"/>
          <w:i w:val="0"/>
          <w:sz w:val="22"/>
        </w:rPr>
        <w:t>AI authority in this section: A1 (Groq) autocomplete and default suggestions; A2 (HF local + Groq) Product Form Agent dynamic schema generation and Express Mode parsing; A4 (OPA + WasmEdge) container validation, weight limit enforcement, port validation, and capacity validation.</w:t>
      </w:r>
    </w:p>
    <w:p>
      <w:pPr>
        <w:keepNext/>
        <w:spacing w:before="180" w:after="80"/>
        <w:outlineLvl w:val="2"/>
      </w:pPr>
      <w:r>
        <w:rPr>
          <w:rFonts w:ascii="Arial" w:hAnsi="Arial" w:cs="Arial"/>
          <w:b/>
          <w:i w:val="0"/>
          <w:color w:val="333333"/>
          <w:sz w:val="23"/>
        </w:rPr>
        <w:t>6.6.2 Container Configuration</w:t>
      </w:r>
    </w:p>
    <w:p>
      <w:pPr>
        <w:keepNext/>
        <w:spacing w:before="140" w:after="60"/>
        <w:outlineLvl w:val="3"/>
      </w:pPr>
      <w:r>
        <w:rPr>
          <w:rFonts w:ascii="Arial" w:hAnsi="Arial" w:cs="Arial"/>
          <w:b/>
          <w:i/>
          <w:color w:val="333333"/>
          <w:sz w:val="22"/>
        </w:rPr>
        <w:t>6.6.2.1 Overview</w:t>
      </w:r>
    </w:p>
    <w:p>
      <w:pPr>
        <w:spacing w:after="80" w:line="293" w:lineRule="auto"/>
        <w:jc w:val="left"/>
      </w:pPr>
      <w:r>
        <w:rPr>
          <w:rFonts w:ascii="Times New Roman" w:hAnsi="Times New Roman" w:cs="Times New Roman"/>
          <w:b w:val="0"/>
          <w:i w:val="0"/>
          <w:sz w:val="22"/>
        </w:rPr>
        <w:t>The buyer defines the physical units for the shipment. Each container is a separate tab with its own configuration. Default: 1 container (maximum 50 containers).</w:t>
      </w:r>
    </w:p>
    <w:p>
      <w:pPr>
        <w:spacing w:after="0" w:before="0" w:line="240" w:lineRule="auto"/>
        <w:ind w:left="57"/>
        <w:jc w:val="left"/>
        <w:shd w:val="clear" w:fill="F2F2F2"/>
      </w:pPr>
      <w:r>
        <w:rPr>
          <w:rFonts w:ascii="Consolas" w:hAnsi="Consolas" w:cs="Consolas"/>
          <w:b w:val="0"/>
          <w:i w:val="0"/>
          <w:sz w:val="15"/>
        </w:rPr>
        <w:t>Number of Containers: [3]  [+ Add Container] [Clone Container]</w:t>
      </w:r>
    </w:p>
    <w:p>
      <w:pPr>
        <w:spacing w:after="0" w:before="0" w:line="240" w:lineRule="auto"/>
        <w:ind w:left="57"/>
        <w:jc w:val="left"/>
        <w:shd w:val="clear" w:fill="F2F2F2"/>
      </w:pPr>
      <w:r>
        <w:rPr>
          <w:rFonts w:ascii="Consolas" w:hAnsi="Consolas" w:cs="Consolas"/>
          <w:b w:val="0"/>
          <w:i w:val="0"/>
          <w:sz w:val="15"/>
        </w:rPr>
        <w:t>[Bulk Edit] [Drag to reorder]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1</w:t>
      </w:r>
    </w:p>
    <w:p>
      <w:pPr>
        <w:spacing w:after="0" w:before="0" w:line="240" w:lineRule="auto"/>
        <w:ind w:left="57"/>
        <w:jc w:val="left"/>
        <w:shd w:val="clear" w:fill="F2F2F2"/>
      </w:pPr>
      <w:r>
        <w:rPr>
          <w:rFonts w:ascii="Consolas" w:hAnsi="Consolas" w:cs="Consolas"/>
          <w:b w:val="0"/>
          <w:i w:val="0"/>
          <w:sz w:val="15"/>
        </w:rPr>
        <w:t xml:space="preserve">  Country of Origin: [Vietnam ▼]   Destination Country: [Egypt ▼]</w:t>
      </w:r>
    </w:p>
    <w:p>
      <w:pPr>
        <w:spacing w:after="0" w:before="0" w:line="240" w:lineRule="auto"/>
        <w:ind w:left="57"/>
        <w:jc w:val="left"/>
        <w:shd w:val="clear" w:fill="F2F2F2"/>
      </w:pPr>
      <w:r>
        <w:rPr>
          <w:rFonts w:ascii="Consolas" w:hAnsi="Consolas" w:cs="Consolas"/>
          <w:b w:val="0"/>
          <w:i w:val="0"/>
          <w:sz w:val="15"/>
        </w:rPr>
        <w:t xml:space="preserve">  Port of Discharge: [Alexandria ▼] (filtered by Egypt)</w:t>
      </w:r>
    </w:p>
    <w:p>
      <w:pPr>
        <w:spacing w:after="0" w:before="0" w:line="240" w:lineRule="auto"/>
        <w:ind w:left="57"/>
        <w:jc w:val="left"/>
        <w:shd w:val="clear" w:fill="F2F2F2"/>
      </w:pPr>
      <w:r>
        <w:rPr>
          <w:rFonts w:ascii="Consolas" w:hAnsi="Consolas" w:cs="Consolas"/>
          <w:b w:val="0"/>
          <w:i w:val="0"/>
          <w:sz w:val="15"/>
        </w:rPr>
        <w:t xml:space="preserve">  Palletized: [Yes] [No]   Pallet Size: [EUR 800×1200 mm ▼]</w:t>
      </w:r>
    </w:p>
    <w:p>
      <w:pPr>
        <w:spacing w:after="0" w:before="0" w:line="240" w:lineRule="auto"/>
        <w:ind w:left="57"/>
        <w:jc w:val="left"/>
        <w:shd w:val="clear" w:fill="F2F2F2"/>
      </w:pPr>
      <w:r>
        <w:rPr>
          <w:rFonts w:ascii="Consolas" w:hAnsi="Consolas" w:cs="Consolas"/>
          <w:b w:val="0"/>
          <w:i w:val="0"/>
          <w:sz w:val="15"/>
        </w:rPr>
        <w:t xml:space="preserve">  Destination Override: [Alexandria Free Zone]</w:t>
      </w:r>
    </w:p>
    <w:p>
      <w:pPr>
        <w:spacing w:after="0" w:before="0" w:line="240" w:lineRule="auto"/>
        <w:ind w:left="57"/>
        <w:jc w:val="left"/>
        <w:shd w:val="clear" w:fill="F2F2F2"/>
      </w:pPr>
      <w:r>
        <w:rPr>
          <w:rFonts w:ascii="Consolas" w:hAnsi="Consolas" w:cs="Consolas"/>
          <w:b w:val="0"/>
          <w:i w:val="0"/>
          <w:sz w:val="15"/>
        </w:rPr>
        <w:t xml:space="preserve">  [Clone] [Remove]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2</w:t>
      </w:r>
    </w:p>
    <w:p>
      <w:pPr>
        <w:spacing w:after="0" w:before="0" w:line="240" w:lineRule="auto"/>
        <w:ind w:left="57"/>
        <w:jc w:val="left"/>
        <w:shd w:val="clear" w:fill="F2F2F2"/>
      </w:pPr>
      <w:r>
        <w:rPr>
          <w:rFonts w:ascii="Consolas" w:hAnsi="Consolas" w:cs="Consolas"/>
          <w:b w:val="0"/>
          <w:i w:val="0"/>
          <w:sz w:val="15"/>
        </w:rPr>
        <w:t xml:space="preserve">  Country of Origin: [Vietnam ▼]   Destination Country: [Egypt ▼]</w:t>
      </w:r>
    </w:p>
    <w:p>
      <w:pPr>
        <w:spacing w:after="0" w:before="0" w:line="240" w:lineRule="auto"/>
        <w:ind w:left="57"/>
        <w:jc w:val="left"/>
        <w:shd w:val="clear" w:fill="F2F2F2"/>
      </w:pPr>
      <w:r>
        <w:rPr>
          <w:rFonts w:ascii="Consolas" w:hAnsi="Consolas" w:cs="Consolas"/>
          <w:b w:val="0"/>
          <w:i w:val="0"/>
          <w:sz w:val="15"/>
        </w:rPr>
        <w:t xml:space="preserve">  Port of Discharge: [Port Said ▼]</w:t>
      </w:r>
    </w:p>
    <w:p>
      <w:pPr>
        <w:spacing w:after="0" w:before="0" w:line="240" w:lineRule="auto"/>
        <w:ind w:left="57"/>
        <w:jc w:val="left"/>
        <w:shd w:val="clear" w:fill="F2F2F2"/>
      </w:pPr>
      <w:r>
        <w:rPr>
          <w:rFonts w:ascii="Consolas" w:hAnsi="Consolas" w:cs="Consolas"/>
          <w:b w:val="0"/>
          <w:i w:val="0"/>
          <w:sz w:val="15"/>
        </w:rPr>
        <w:t xml:space="preserve">  Palletized: [Yes] [No]   Pallet Size: [EUR 800×1200 mm ▼]</w:t>
      </w:r>
    </w:p>
    <w:p>
      <w:pPr>
        <w:spacing w:after="0" w:before="0" w:line="240" w:lineRule="auto"/>
        <w:ind w:left="57"/>
        <w:jc w:val="left"/>
        <w:shd w:val="clear" w:fill="F2F2F2"/>
      </w:pPr>
      <w:r>
        <w:rPr>
          <w:rFonts w:ascii="Consolas" w:hAnsi="Consolas" w:cs="Consolas"/>
          <w:b w:val="0"/>
          <w:i w:val="0"/>
          <w:sz w:val="15"/>
        </w:rPr>
        <w:t xml:space="preserve">  Destination Override: [Port Said Free Zone]</w:t>
      </w:r>
    </w:p>
    <w:p>
      <w:pPr>
        <w:spacing w:after="0" w:before="0" w:line="240" w:lineRule="auto"/>
        <w:ind w:left="57"/>
        <w:jc w:val="left"/>
        <w:shd w:val="clear" w:fill="F2F2F2"/>
      </w:pPr>
      <w:r>
        <w:rPr>
          <w:rFonts w:ascii="Consolas" w:hAnsi="Consolas" w:cs="Consolas"/>
          <w:b w:val="0"/>
          <w:i w:val="0"/>
          <w:sz w:val="15"/>
        </w:rPr>
        <w:t xml:space="preserve">  [Clone] [Remove]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3</w:t>
      </w:r>
    </w:p>
    <w:p>
      <w:pPr>
        <w:spacing w:after="0" w:before="0" w:line="240" w:lineRule="auto"/>
        <w:ind w:left="57"/>
        <w:jc w:val="left"/>
        <w:shd w:val="clear" w:fill="F2F2F2"/>
      </w:pPr>
      <w:r>
        <w:rPr>
          <w:rFonts w:ascii="Consolas" w:hAnsi="Consolas" w:cs="Consolas"/>
          <w:b w:val="0"/>
          <w:i w:val="0"/>
          <w:sz w:val="15"/>
        </w:rPr>
        <w:t xml:space="preserve">  Country of Origin: [Vietnam ▼]   Destination Country: [Egypt ▼]</w:t>
      </w:r>
    </w:p>
    <w:p>
      <w:pPr>
        <w:spacing w:after="0" w:before="0" w:line="240" w:lineRule="auto"/>
        <w:ind w:left="57"/>
        <w:jc w:val="left"/>
        <w:shd w:val="clear" w:fill="F2F2F2"/>
      </w:pPr>
      <w:r>
        <w:rPr>
          <w:rFonts w:ascii="Consolas" w:hAnsi="Consolas" w:cs="Consolas"/>
          <w:b w:val="0"/>
          <w:i w:val="0"/>
          <w:sz w:val="15"/>
        </w:rPr>
        <w:t xml:space="preserve">  Port of Discharge: [Damietta ▼]</w:t>
      </w:r>
    </w:p>
    <w:p>
      <w:pPr>
        <w:spacing w:after="0" w:before="0" w:line="240" w:lineRule="auto"/>
        <w:ind w:left="57"/>
        <w:jc w:val="left"/>
        <w:shd w:val="clear" w:fill="F2F2F2"/>
      </w:pPr>
      <w:r>
        <w:rPr>
          <w:rFonts w:ascii="Consolas" w:hAnsi="Consolas" w:cs="Consolas"/>
          <w:b w:val="0"/>
          <w:i w:val="0"/>
          <w:sz w:val="15"/>
        </w:rPr>
        <w:t xml:space="preserve">  Palletized: [Yes] [No]   Pallet Size: [EUR 800×1200 mm ▼]</w:t>
      </w:r>
    </w:p>
    <w:p>
      <w:pPr>
        <w:spacing w:after="0" w:before="0" w:line="240" w:lineRule="auto"/>
        <w:ind w:left="57"/>
        <w:jc w:val="left"/>
        <w:shd w:val="clear" w:fill="F2F2F2"/>
      </w:pPr>
      <w:r>
        <w:rPr>
          <w:rFonts w:ascii="Consolas" w:hAnsi="Consolas" w:cs="Consolas"/>
          <w:b w:val="0"/>
          <w:i w:val="0"/>
          <w:sz w:val="15"/>
        </w:rPr>
        <w:t xml:space="preserve">  Destination Override: [Damietta Port]</w:t>
      </w:r>
    </w:p>
    <w:p>
      <w:pPr>
        <w:spacing w:after="0" w:before="0" w:line="240" w:lineRule="auto"/>
        <w:ind w:left="57"/>
        <w:jc w:val="left"/>
        <w:shd w:val="clear" w:fill="F2F2F2"/>
      </w:pPr>
      <w:r>
        <w:rPr>
          <w:rFonts w:ascii="Consolas" w:hAnsi="Consolas" w:cs="Consolas"/>
          <w:b w:val="0"/>
          <w:i w:val="0"/>
          <w:sz w:val="15"/>
        </w:rPr>
        <w:t xml:space="preserve">  [Clone] [Remove]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6.6.2.2 Per-Container Fields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Validation</w:t>
            </w:r>
          </w:p>
        </w:tc>
        <w:tc>
          <w:tcPr>
            <w:tcW w:type="dxa" w:w="2409"/>
            <w:shd w:val="clear" w:fill="D9E2F3"/>
          </w:tcPr>
          <w:p>
            <w:pPr>
              <w:spacing w:after="20" w:before="20" w:line="240" w:lineRule="auto"/>
            </w:pPr>
            <w:r/>
            <w:r>
              <w:rPr>
                <w:rFonts w:ascii="Arial" w:hAnsi="Arial" w:cs="Arial"/>
                <w:b/>
                <w:i w:val="0"/>
                <w:sz w:val="18"/>
              </w:rPr>
              <w:t>Notes</w:t>
            </w:r>
          </w:p>
        </w:tc>
      </w:tr>
      <w:tr>
        <w:tc>
          <w:tcPr>
            <w:tcW w:type="dxa" w:w="2409"/>
          </w:tcPr>
          <w:p>
            <w:pPr>
              <w:spacing w:after="20" w:before="20" w:line="240" w:lineRule="auto"/>
            </w:pPr>
            <w:r/>
            <w:r>
              <w:rPr>
                <w:rFonts w:ascii="Arial" w:hAnsi="Arial" w:cs="Arial"/>
                <w:b w:val="0"/>
                <w:i w:val="0"/>
                <w:sz w:val="17"/>
              </w:rPr>
              <w:t>Container Number</w:t>
            </w:r>
          </w:p>
        </w:tc>
        <w:tc>
          <w:tcPr>
            <w:tcW w:type="dxa" w:w="2409"/>
          </w:tcPr>
          <w:p>
            <w:pPr>
              <w:spacing w:after="20" w:before="20" w:line="240" w:lineRule="auto"/>
            </w:pPr>
            <w:r/>
            <w:r>
              <w:rPr>
                <w:rFonts w:ascii="Arial" w:hAnsi="Arial" w:cs="Arial"/>
                <w:b w:val="0"/>
                <w:i w:val="0"/>
                <w:sz w:val="17"/>
              </w:rPr>
              <w:t>Integer (system)</w:t>
            </w:r>
          </w:p>
        </w:tc>
        <w:tc>
          <w:tcPr>
            <w:tcW w:type="dxa" w:w="2409"/>
          </w:tcPr>
          <w:p>
            <w:pPr>
              <w:spacing w:after="20" w:before="20" w:line="240" w:lineRule="auto"/>
            </w:pPr>
            <w:r/>
            <w:r>
              <w:rPr>
                <w:rFonts w:ascii="Arial" w:hAnsi="Arial" w:cs="Arial"/>
                <w:b w:val="0"/>
                <w:i w:val="0"/>
                <w:sz w:val="17"/>
              </w:rPr>
              <w:t>Unique per trade request</w:t>
            </w:r>
          </w:p>
        </w:tc>
        <w:tc>
          <w:tcPr>
            <w:tcW w:type="dxa" w:w="2409"/>
          </w:tcPr>
          <w:p>
            <w:pPr>
              <w:spacing w:after="20" w:before="20" w:line="240" w:lineRule="auto"/>
            </w:pPr>
            <w:r/>
            <w:r>
              <w:rPr>
                <w:rFonts w:ascii="Arial" w:hAnsi="Arial" w:cs="Arial"/>
                <w:b w:val="0"/>
                <w:i w:val="0"/>
                <w:sz w:val="17"/>
              </w:rPr>
              <w:t>`trade_request_containers.container_number`</w:t>
            </w:r>
          </w:p>
        </w:tc>
      </w:tr>
      <w:tr>
        <w:tc>
          <w:tcPr>
            <w:tcW w:type="dxa" w:w="2409"/>
          </w:tcPr>
          <w:p>
            <w:pPr>
              <w:spacing w:after="20" w:before="20" w:line="240" w:lineRule="auto"/>
            </w:pPr>
            <w:r/>
            <w:r>
              <w:rPr>
                <w:rFonts w:ascii="Arial" w:hAnsi="Arial" w:cs="Arial"/>
                <w:b w:val="0"/>
                <w:i w:val="0"/>
                <w:sz w:val="17"/>
              </w:rPr>
              <w:t>Country of Origin</w:t>
            </w:r>
          </w:p>
        </w:tc>
        <w:tc>
          <w:tcPr>
            <w:tcW w:type="dxa" w:w="2409"/>
          </w:tcPr>
          <w:p>
            <w:pPr>
              <w:spacing w:after="20" w:before="20" w:line="240" w:lineRule="auto"/>
            </w:pPr>
            <w:r/>
            <w:r>
              <w:rPr>
                <w:rFonts w:ascii="Arial" w:hAnsi="Arial" w:cs="Arial"/>
                <w:b w:val="0"/>
                <w:i w:val="0"/>
                <w:sz w:val="17"/>
              </w:rPr>
              <w:t>Dropdown (jurisdictions)</w:t>
            </w:r>
          </w:p>
        </w:tc>
        <w:tc>
          <w:tcPr>
            <w:tcW w:type="dxa" w:w="2409"/>
          </w:tcPr>
          <w:p>
            <w:pPr>
              <w:spacing w:after="20" w:before="20" w:line="240" w:lineRule="auto"/>
            </w:pPr>
            <w:r/>
            <w:r>
              <w:rPr>
                <w:rFonts w:ascii="Arial" w:hAnsi="Arial" w:cs="Arial"/>
                <w:b w:val="0"/>
                <w:i w:val="0"/>
                <w:sz w:val="17"/>
              </w:rPr>
              <w:t>Country must not be sanctioned</w:t>
            </w:r>
          </w:p>
        </w:tc>
        <w:tc>
          <w:tcPr>
            <w:tcW w:type="dxa" w:w="2409"/>
          </w:tcPr>
          <w:p>
            <w:pPr>
              <w:spacing w:after="20" w:before="20" w:line="240" w:lineRule="auto"/>
            </w:pPr>
            <w:r/>
            <w:r>
              <w:rPr>
                <w:rFonts w:ascii="Arial" w:hAnsi="Arial" w:cs="Arial"/>
                <w:b w:val="0"/>
                <w:i w:val="0"/>
                <w:sz w:val="17"/>
              </w:rPr>
              <w:t>Flag icon displayed</w:t>
            </w:r>
          </w:p>
        </w:tc>
      </w:tr>
      <w:tr>
        <w:tc>
          <w:tcPr>
            <w:tcW w:type="dxa" w:w="2409"/>
          </w:tcPr>
          <w:p>
            <w:pPr>
              <w:spacing w:after="20" w:before="20" w:line="240" w:lineRule="auto"/>
            </w:pPr>
            <w:r/>
            <w:r>
              <w:rPr>
                <w:rFonts w:ascii="Arial" w:hAnsi="Arial" w:cs="Arial"/>
                <w:b w:val="0"/>
                <w:i w:val="0"/>
                <w:sz w:val="17"/>
              </w:rPr>
              <w:t>Destination Country</w:t>
            </w:r>
          </w:p>
        </w:tc>
        <w:tc>
          <w:tcPr>
            <w:tcW w:type="dxa" w:w="2409"/>
          </w:tcPr>
          <w:p>
            <w:pPr>
              <w:spacing w:after="20" w:before="20" w:line="240" w:lineRule="auto"/>
            </w:pPr>
            <w:r/>
            <w:r>
              <w:rPr>
                <w:rFonts w:ascii="Arial" w:hAnsi="Arial" w:cs="Arial"/>
                <w:b w:val="0"/>
                <w:i w:val="0"/>
                <w:sz w:val="17"/>
              </w:rPr>
              <w:t>Dropdown (jurisdictions)</w:t>
            </w:r>
          </w:p>
        </w:tc>
        <w:tc>
          <w:tcPr>
            <w:tcW w:type="dxa" w:w="2409"/>
          </w:tcPr>
          <w:p>
            <w:pPr>
              <w:spacing w:after="20" w:before="20" w:line="240" w:lineRule="auto"/>
            </w:pPr>
            <w:r/>
            <w:r>
              <w:rPr>
                <w:rFonts w:ascii="Arial" w:hAnsi="Arial" w:cs="Arial"/>
                <w:b w:val="0"/>
                <w:i w:val="0"/>
                <w:sz w:val="17"/>
              </w:rPr>
              <w:t>Country must not be sanctioned</w:t>
            </w:r>
          </w:p>
        </w:tc>
        <w:tc>
          <w:tcPr>
            <w:tcW w:type="dxa" w:w="2409"/>
          </w:tcPr>
          <w:p>
            <w:pPr>
              <w:spacing w:after="20" w:before="20" w:line="240" w:lineRule="auto"/>
            </w:pPr>
            <w:r/>
            <w:r>
              <w:rPr>
                <w:rFonts w:ascii="Arial" w:hAnsi="Arial" w:cs="Arial"/>
                <w:b w:val="0"/>
                <w:i w:val="0"/>
                <w:sz w:val="17"/>
              </w:rPr>
              <w:t>Filtered port list follows</w:t>
            </w:r>
          </w:p>
        </w:tc>
      </w:tr>
      <w:tr>
        <w:tc>
          <w:tcPr>
            <w:tcW w:type="dxa" w:w="2409"/>
          </w:tcPr>
          <w:p>
            <w:pPr>
              <w:spacing w:after="20" w:before="20" w:line="240" w:lineRule="auto"/>
            </w:pPr>
            <w:r/>
            <w:r>
              <w:rPr>
                <w:rFonts w:ascii="Arial" w:hAnsi="Arial" w:cs="Arial"/>
                <w:b w:val="0"/>
                <w:i w:val="0"/>
                <w:sz w:val="17"/>
              </w:rPr>
              <w:t>Port of Discharge</w:t>
            </w:r>
          </w:p>
        </w:tc>
        <w:tc>
          <w:tcPr>
            <w:tcW w:type="dxa" w:w="2409"/>
          </w:tcPr>
          <w:p>
            <w:pPr>
              <w:spacing w:after="20" w:before="20" w:line="240" w:lineRule="auto"/>
            </w:pPr>
            <w:r/>
            <w:r>
              <w:rPr>
                <w:rFonts w:ascii="Arial" w:hAnsi="Arial" w:cs="Arial"/>
                <w:b w:val="0"/>
                <w:i w:val="0"/>
                <w:sz w:val="17"/>
              </w:rPr>
              <w:t>Dependent dropdown (ports)</w:t>
            </w:r>
          </w:p>
        </w:tc>
        <w:tc>
          <w:tcPr>
            <w:tcW w:type="dxa" w:w="2409"/>
          </w:tcPr>
          <w:p>
            <w:pPr>
              <w:spacing w:after="20" w:before="20" w:line="240" w:lineRule="auto"/>
            </w:pPr>
            <w:r/>
            <w:r>
              <w:rPr>
                <w:rFonts w:ascii="Arial" w:hAnsi="Arial" w:cs="Arial"/>
                <w:b w:val="0"/>
                <w:i w:val="0"/>
                <w:sz w:val="17"/>
              </w:rPr>
              <w:t>Port must exist and be active</w:t>
            </w:r>
          </w:p>
        </w:tc>
        <w:tc>
          <w:tcPr>
            <w:tcW w:type="dxa" w:w="2409"/>
          </w:tcPr>
          <w:p>
            <w:pPr>
              <w:spacing w:after="20" w:before="20" w:line="240" w:lineRule="auto"/>
            </w:pPr>
            <w:r/>
            <w:r>
              <w:rPr>
                <w:rFonts w:ascii="Arial" w:hAnsi="Arial" w:cs="Arial"/>
                <w:b w:val="0"/>
                <w:i w:val="0"/>
                <w:sz w:val="17"/>
              </w:rPr>
              <w:t>Filtered by destination country</w:t>
            </w:r>
          </w:p>
        </w:tc>
      </w:tr>
      <w:tr>
        <w:tc>
          <w:tcPr>
            <w:tcW w:type="dxa" w:w="2409"/>
          </w:tcPr>
          <w:p>
            <w:pPr>
              <w:spacing w:after="20" w:before="20" w:line="240" w:lineRule="auto"/>
            </w:pPr>
            <w:r/>
            <w:r>
              <w:rPr>
                <w:rFonts w:ascii="Arial" w:hAnsi="Arial" w:cs="Arial"/>
                <w:b w:val="0"/>
                <w:i w:val="0"/>
                <w:sz w:val="17"/>
              </w:rPr>
              <w:t>Palletized</w:t>
            </w:r>
          </w:p>
        </w:tc>
        <w:tc>
          <w:tcPr>
            <w:tcW w:type="dxa" w:w="2409"/>
          </w:tcPr>
          <w:p>
            <w:pPr>
              <w:spacing w:after="20" w:before="20" w:line="240" w:lineRule="auto"/>
            </w:pPr>
            <w:r/>
            <w:r>
              <w:rPr>
                <w:rFonts w:ascii="Arial" w:hAnsi="Arial" w:cs="Arial"/>
                <w:b w:val="0"/>
                <w:i w:val="0"/>
                <w:sz w:val="17"/>
              </w:rPr>
              <w:t>Toggle</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Pallet Type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Valid pallet type</w:t>
            </w:r>
          </w:p>
        </w:tc>
        <w:tc>
          <w:tcPr>
            <w:tcW w:type="dxa" w:w="2409"/>
          </w:tcPr>
          <w:p>
            <w:pPr>
              <w:spacing w:after="20" w:before="20" w:line="240" w:lineRule="auto"/>
            </w:pPr>
            <w:r/>
            <w:r>
              <w:rPr>
                <w:rFonts w:ascii="Arial" w:hAnsi="Arial" w:cs="Arial"/>
                <w:b w:val="0"/>
                <w:i w:val="0"/>
                <w:sz w:val="17"/>
              </w:rPr>
              <w:t>EUR, ISO, custom dimensions</w:t>
            </w:r>
          </w:p>
        </w:tc>
      </w:tr>
      <w:tr>
        <w:tc>
          <w:tcPr>
            <w:tcW w:type="dxa" w:w="2409"/>
          </w:tcPr>
          <w:p>
            <w:pPr>
              <w:spacing w:after="20" w:before="20" w:line="240" w:lineRule="auto"/>
            </w:pPr>
            <w:r/>
            <w:r>
              <w:rPr>
                <w:rFonts w:ascii="Arial" w:hAnsi="Arial" w:cs="Arial"/>
                <w:b w:val="0"/>
                <w:i w:val="0"/>
                <w:sz w:val="17"/>
              </w:rPr>
              <w:t>Destination Override</w:t>
            </w:r>
          </w:p>
        </w:tc>
        <w:tc>
          <w:tcPr>
            <w:tcW w:type="dxa" w:w="2409"/>
          </w:tcPr>
          <w:p>
            <w:pPr>
              <w:spacing w:after="20" w:before="20" w:line="240" w:lineRule="auto"/>
            </w:pPr>
            <w:r/>
            <w:r>
              <w:rPr>
                <w:rFonts w:ascii="Arial" w:hAnsi="Arial" w:cs="Arial"/>
                <w:b w:val="0"/>
                <w:i w:val="0"/>
                <w:sz w:val="17"/>
              </w:rPr>
              <w:t>Text (optional)</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Free zone / bonded area designation</w:t>
            </w:r>
          </w:p>
        </w:tc>
      </w:tr>
      <w:tr>
        <w:tc>
          <w:tcPr>
            <w:tcW w:type="dxa" w:w="2409"/>
          </w:tcPr>
          <w:p>
            <w:pPr>
              <w:spacing w:after="20" w:before="20" w:line="240" w:lineRule="auto"/>
            </w:pPr>
            <w:r/>
            <w:r>
              <w:rPr>
                <w:rFonts w:ascii="Arial" w:hAnsi="Arial" w:cs="Arial"/>
                <w:b w:val="0"/>
                <w:i w:val="0"/>
                <w:sz w:val="17"/>
              </w:rPr>
              <w:t>Notes</w:t>
            </w:r>
          </w:p>
        </w:tc>
        <w:tc>
          <w:tcPr>
            <w:tcW w:type="dxa" w:w="2409"/>
          </w:tcPr>
          <w:p>
            <w:pPr>
              <w:spacing w:after="20" w:before="20" w:line="240" w:lineRule="auto"/>
            </w:pPr>
            <w:r/>
            <w:r>
              <w:rPr>
                <w:rFonts w:ascii="Arial" w:hAnsi="Arial" w:cs="Arial"/>
                <w:b w:val="0"/>
                <w:i w:val="0"/>
                <w:sz w:val="17"/>
              </w:rPr>
              <w:t>Text (optional)</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Total Net Weight / Gross Weight / Pallet Count</w:t>
            </w:r>
          </w:p>
        </w:tc>
        <w:tc>
          <w:tcPr>
            <w:tcW w:type="dxa" w:w="2409"/>
          </w:tcPr>
          <w:p>
            <w:pPr>
              <w:spacing w:after="20" w:before="20" w:line="240" w:lineRule="auto"/>
            </w:pPr>
            <w:r/>
            <w:r>
              <w:rPr>
                <w:rFonts w:ascii="Arial" w:hAnsi="Arial" w:cs="Arial"/>
                <w:b w:val="0"/>
                <w:i w:val="0"/>
                <w:sz w:val="17"/>
              </w:rPr>
              <w:t>Computed (real-time)</w:t>
            </w:r>
          </w:p>
        </w:tc>
        <w:tc>
          <w:tcPr>
            <w:tcW w:type="dxa" w:w="2409"/>
          </w:tcPr>
          <w:p>
            <w:pPr>
              <w:spacing w:after="20" w:before="20" w:line="240" w:lineRule="auto"/>
            </w:pPr>
            <w:r/>
            <w:r>
              <w:rPr>
                <w:rFonts w:ascii="Arial" w:hAnsi="Arial" w:cs="Arial"/>
                <w:b w:val="0"/>
                <w:i w:val="0"/>
                <w:sz w:val="17"/>
              </w:rPr>
              <w:t>Capacity validation (A4)</w:t>
            </w:r>
          </w:p>
        </w:tc>
        <w:tc>
          <w:tcPr>
            <w:tcW w:type="dxa" w:w="2409"/>
          </w:tcPr>
          <w:p>
            <w:pPr>
              <w:spacing w:after="20" w:before="20" w:line="240" w:lineRule="auto"/>
            </w:pPr>
            <w:r/>
            <w:r>
              <w:rPr>
                <w:rFonts w:ascii="Arial" w:hAnsi="Arial" w:cs="Arial"/>
                <w:b w:val="0"/>
                <w:i w:val="0"/>
                <w:sz w:val="17"/>
              </w:rPr>
              <w:t>Weight summary card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6.6.2.3 UI Enhancements</w:t>
      </w:r>
    </w:p>
    <w:p>
      <w:pPr>
        <w:spacing w:after="80" w:line="293" w:lineRule="auto"/>
        <w:ind w:left="283"/>
        <w:jc w:val="left"/>
      </w:pPr>
      <w:r>
        <w:rPr>
          <w:rFonts w:ascii="Times New Roman" w:hAnsi="Times New Roman" w:cs="Times New Roman"/>
          <w:b w:val="0"/>
          <w:i w:val="0"/>
          <w:sz w:val="22"/>
        </w:rPr>
        <w:t>- Flag icons next to country dropdowns for visual recognition (lightweight sprite set, no external</w:t>
      </w:r>
    </w:p>
    <w:p>
      <w:pPr>
        <w:spacing w:after="80" w:line="293" w:lineRule="auto"/>
        <w:jc w:val="left"/>
      </w:pPr>
      <w:r>
        <w:rPr>
          <w:rFonts w:ascii="Times New Roman" w:hAnsi="Times New Roman" w:cs="Times New Roman"/>
          <w:b w:val="0"/>
          <w:i w:val="0"/>
          <w:sz w:val="22"/>
        </w:rPr>
        <w:t>dependencies).</w:t>
      </w:r>
    </w:p>
    <w:p>
      <w:pPr>
        <w:spacing w:after="80" w:line="293" w:lineRule="auto"/>
        <w:ind w:left="283"/>
        <w:jc w:val="left"/>
      </w:pPr>
      <w:r>
        <w:rPr>
          <w:rFonts w:ascii="Times New Roman" w:hAnsi="Times New Roman" w:cs="Times New Roman"/>
          <w:b w:val="0"/>
          <w:i w:val="0"/>
          <w:sz w:val="22"/>
        </w:rPr>
        <w:t>- Inline validation: the port must exist and be active; the country must not be sanctioned; the pallet size</w:t>
      </w:r>
    </w:p>
    <w:p>
      <w:pPr>
        <w:spacing w:after="80" w:line="293" w:lineRule="auto"/>
        <w:jc w:val="left"/>
      </w:pPr>
      <w:r>
        <w:rPr>
          <w:rFonts w:ascii="Times New Roman" w:hAnsi="Times New Roman" w:cs="Times New Roman"/>
          <w:b w:val="0"/>
          <w:i w:val="0"/>
          <w:sz w:val="22"/>
        </w:rPr>
        <w:t>must be valid.</w:t>
      </w:r>
    </w:p>
    <w:p>
      <w:pPr>
        <w:spacing w:after="80" w:line="293" w:lineRule="auto"/>
        <w:ind w:left="283"/>
        <w:jc w:val="left"/>
      </w:pPr>
      <w:r>
        <w:rPr>
          <w:rFonts w:ascii="Times New Roman" w:hAnsi="Times New Roman" w:cs="Times New Roman"/>
          <w:b w:val="0"/>
          <w:i w:val="0"/>
          <w:sz w:val="22"/>
        </w:rPr>
        <w:t>- Drag-and-drop reordering: reorder containers by dragging tabs; container numbering updates automatically.</w:t>
      </w:r>
    </w:p>
    <w:p>
      <w:pPr>
        <w:spacing w:after="80" w:line="293" w:lineRule="auto"/>
        <w:ind w:left="283"/>
        <w:jc w:val="left"/>
      </w:pPr>
      <w:r>
        <w:rPr>
          <w:rFonts w:ascii="Times New Roman" w:hAnsi="Times New Roman" w:cs="Times New Roman"/>
          <w:b w:val="0"/>
          <w:i w:val="0"/>
          <w:sz w:val="22"/>
        </w:rPr>
        <w:t>- Progress indicator: shows how many containers are fully configured (for example, "Container 1: 100%</w:t>
      </w:r>
    </w:p>
    <w:p>
      <w:pPr>
        <w:spacing w:after="80" w:line="293" w:lineRule="auto"/>
        <w:jc w:val="left"/>
      </w:pPr>
      <w:r>
        <w:rPr>
          <w:rFonts w:ascii="Times New Roman" w:hAnsi="Times New Roman" w:cs="Times New Roman"/>
          <w:b w:val="0"/>
          <w:i w:val="0"/>
          <w:sz w:val="22"/>
        </w:rPr>
        <w:t>complete, Container 2: 80% complete").</w:t>
      </w:r>
    </w:p>
    <w:p>
      <w:pPr>
        <w:spacing w:after="80" w:line="293" w:lineRule="auto"/>
        <w:ind w:left="283"/>
        <w:jc w:val="left"/>
      </w:pPr>
      <w:r>
        <w:rPr>
          <w:rFonts w:ascii="Times New Roman" w:hAnsi="Times New Roman" w:cs="Times New Roman"/>
          <w:b w:val="0"/>
          <w:i w:val="0"/>
          <w:sz w:val="22"/>
        </w:rPr>
        <w:t>- Clone container: one click to copy all data to a new container; appends a number to the container name.</w:t>
      </w:r>
    </w:p>
    <w:p>
      <w:pPr>
        <w:spacing w:after="80" w:line="293" w:lineRule="auto"/>
        <w:ind w:left="283"/>
        <w:jc w:val="left"/>
      </w:pPr>
      <w:r>
        <w:rPr>
          <w:rFonts w:ascii="Times New Roman" w:hAnsi="Times New Roman" w:cs="Times New Roman"/>
          <w:b w:val="0"/>
          <w:i w:val="0"/>
          <w:sz w:val="22"/>
        </w:rPr>
        <w:t>- Bulk edit: apply a commodity to all containers; copy settings to a range of containers; update</w:t>
      </w:r>
    </w:p>
    <w:p>
      <w:pPr>
        <w:spacing w:after="80" w:line="293" w:lineRule="auto"/>
        <w:jc w:val="left"/>
      </w:pPr>
      <w:r>
        <w:rPr>
          <w:rFonts w:ascii="Times New Roman" w:hAnsi="Times New Roman" w:cs="Times New Roman"/>
          <w:b w:val="0"/>
          <w:i w:val="0"/>
          <w:sz w:val="22"/>
        </w:rPr>
        <w:t>origin/destination/port for multiple containers.</w:t>
      </w:r>
    </w:p>
    <w:p>
      <w:pPr>
        <w:spacing w:after="80" w:line="293" w:lineRule="auto"/>
        <w:ind w:left="283"/>
        <w:jc w:val="left"/>
      </w:pPr>
      <w:r>
        <w:rPr>
          <w:rFonts w:ascii="Times New Roman" w:hAnsi="Times New Roman" w:cs="Times New Roman"/>
          <w:b w:val="0"/>
          <w:i w:val="0"/>
          <w:sz w:val="22"/>
        </w:rPr>
        <w:t>- Remove container: only shown if the number of containers &gt; 1; confirmation dialog before removal.</w:t>
      </w:r>
    </w:p>
    <w:p>
      <w:pPr>
        <w:keepNext/>
        <w:spacing w:before="180" w:after="80"/>
        <w:outlineLvl w:val="2"/>
      </w:pPr>
      <w:r>
        <w:rPr>
          <w:rFonts w:ascii="Arial" w:hAnsi="Arial" w:cs="Arial"/>
          <w:b/>
          <w:i w:val="0"/>
          <w:color w:val="333333"/>
          <w:sz w:val="23"/>
        </w:rPr>
        <w:t>6.6.3 Commodity Configuration</w:t>
      </w:r>
    </w:p>
    <w:p>
      <w:pPr>
        <w:keepNext/>
        <w:spacing w:before="140" w:after="60"/>
        <w:outlineLvl w:val="3"/>
      </w:pPr>
      <w:r>
        <w:rPr>
          <w:rFonts w:ascii="Arial" w:hAnsi="Arial" w:cs="Arial"/>
          <w:b/>
          <w:i/>
          <w:color w:val="333333"/>
          <w:sz w:val="22"/>
        </w:rPr>
        <w:t>6.6.3.1 Overview</w:t>
      </w:r>
    </w:p>
    <w:p>
      <w:pPr>
        <w:spacing w:after="80" w:line="293" w:lineRule="auto"/>
        <w:jc w:val="left"/>
      </w:pPr>
      <w:r>
        <w:rPr>
          <w:rFonts w:ascii="Times New Roman" w:hAnsi="Times New Roman" w:cs="Times New Roman"/>
          <w:b w:val="0"/>
          <w:i w:val="0"/>
          <w:sz w:val="22"/>
        </w:rPr>
        <w:t>Within each container, the buyer defines one or more commodities. Each commodity has its own set of fields, dynamically generated by the Product Form Agent. Default: 1 commodity per container (unlimited commodities per container).</w:t>
      </w:r>
    </w:p>
    <w:p>
      <w:pPr>
        <w:keepNext/>
        <w:spacing w:before="140" w:after="60"/>
        <w:outlineLvl w:val="3"/>
      </w:pPr>
      <w:r>
        <w:rPr>
          <w:rFonts w:ascii="Arial" w:hAnsi="Arial" w:cs="Arial"/>
          <w:b/>
          <w:i/>
          <w:color w:val="333333"/>
          <w:sz w:val="22"/>
        </w:rPr>
        <w:t>6.6.3.2 Core Commodity Fields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Source</w:t>
            </w:r>
          </w:p>
        </w:tc>
        <w:tc>
          <w:tcPr>
            <w:tcW w:type="dxa" w:w="2409"/>
            <w:shd w:val="clear" w:fill="D9E2F3"/>
          </w:tcPr>
          <w:p>
            <w:pPr>
              <w:spacing w:after="20" w:before="20" w:line="240" w:lineRule="auto"/>
            </w:pPr>
            <w:r/>
            <w:r>
              <w:rPr>
                <w:rFonts w:ascii="Arial" w:hAnsi="Arial" w:cs="Arial"/>
                <w:b/>
                <w:i w:val="0"/>
                <w:sz w:val="18"/>
              </w:rPr>
              <w:t>Validation</w:t>
            </w:r>
          </w:p>
        </w:tc>
      </w:tr>
      <w:tr>
        <w:tc>
          <w:tcPr>
            <w:tcW w:type="dxa" w:w="2409"/>
          </w:tcPr>
          <w:p>
            <w:pPr>
              <w:spacing w:after="20" w:before="20" w:line="240" w:lineRule="auto"/>
            </w:pPr>
            <w:r/>
            <w:r>
              <w:rPr>
                <w:rFonts w:ascii="Arial" w:hAnsi="Arial" w:cs="Arial"/>
                <w:b w:val="0"/>
                <w:i w:val="0"/>
                <w:sz w:val="17"/>
              </w:rPr>
              <w:t>Commodity Type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Predefined list (e.g., Fresh Fruits)</w:t>
            </w:r>
          </w:p>
        </w:tc>
        <w:tc>
          <w:tcPr>
            <w:tcW w:type="dxa" w:w="2409"/>
          </w:tcPr>
          <w:p>
            <w:pPr>
              <w:spacing w:after="20" w:before="20" w:line="240" w:lineRule="auto"/>
            </w:pPr>
            <w:r/>
            <w:r>
              <w:rPr>
                <w:rFonts w:ascii="Arial" w:hAnsi="Arial" w:cs="Arial"/>
                <w:b w:val="0"/>
                <w:i w:val="0"/>
                <w:sz w:val="17"/>
              </w:rPr>
              <w:t>Required</w:t>
            </w:r>
          </w:p>
        </w:tc>
      </w:tr>
      <w:tr>
        <w:tc>
          <w:tcPr>
            <w:tcW w:type="dxa" w:w="2409"/>
          </w:tcPr>
          <w:p>
            <w:pPr>
              <w:spacing w:after="20" w:before="20" w:line="240" w:lineRule="auto"/>
            </w:pPr>
            <w:r/>
            <w:r>
              <w:rPr>
                <w:rFonts w:ascii="Arial" w:hAnsi="Arial" w:cs="Arial"/>
                <w:b w:val="0"/>
                <w:i w:val="0"/>
                <w:sz w:val="17"/>
              </w:rPr>
              <w:t>Product Name / HS Code</w:t>
            </w:r>
          </w:p>
        </w:tc>
        <w:tc>
          <w:tcPr>
            <w:tcW w:type="dxa" w:w="2409"/>
          </w:tcPr>
          <w:p>
            <w:pPr>
              <w:spacing w:after="20" w:before="20" w:line="240" w:lineRule="auto"/>
            </w:pPr>
            <w:r/>
            <w:r>
              <w:rPr>
                <w:rFonts w:ascii="Arial" w:hAnsi="Arial" w:cs="Arial"/>
                <w:b w:val="0"/>
                <w:i w:val="0"/>
                <w:sz w:val="17"/>
              </w:rPr>
              <w:t>Smart input (two-way resolution)</w:t>
            </w:r>
          </w:p>
        </w:tc>
        <w:tc>
          <w:tcPr>
            <w:tcW w:type="dxa" w:w="2409"/>
          </w:tcPr>
          <w:p>
            <w:pPr>
              <w:spacing w:after="20" w:before="20" w:line="240" w:lineRule="auto"/>
            </w:pPr>
            <w:r/>
            <w:r>
              <w:rPr>
                <w:rFonts w:ascii="Arial" w:hAnsi="Arial" w:cs="Arial"/>
                <w:b w:val="0"/>
                <w:i w:val="0"/>
                <w:sz w:val="17"/>
              </w:rPr>
              <w:t>Product vectors + HS database</w:t>
            </w:r>
          </w:p>
        </w:tc>
        <w:tc>
          <w:tcPr>
            <w:tcW w:type="dxa" w:w="2409"/>
          </w:tcPr>
          <w:p>
            <w:pPr>
              <w:spacing w:after="20" w:before="20" w:line="240" w:lineRule="auto"/>
            </w:pPr>
            <w:r/>
            <w:r>
              <w:rPr>
                <w:rFonts w:ascii="Arial" w:hAnsi="Arial" w:cs="Arial"/>
                <w:b w:val="0"/>
                <w:i w:val="0"/>
                <w:sz w:val="17"/>
              </w:rPr>
              <w:t>HS code required (6 digits)</w:t>
            </w:r>
          </w:p>
        </w:tc>
      </w:tr>
      <w:tr>
        <w:tc>
          <w:tcPr>
            <w:tcW w:type="dxa" w:w="2409"/>
          </w:tcPr>
          <w:p>
            <w:pPr>
              <w:spacing w:after="20" w:before="20" w:line="240" w:lineRule="auto"/>
            </w:pPr>
            <w:r/>
            <w:r>
              <w:rPr>
                <w:rFonts w:ascii="Arial" w:hAnsi="Arial" w:cs="Arial"/>
                <w:b w:val="0"/>
                <w:i w:val="0"/>
                <w:sz w:val="17"/>
              </w:rPr>
              <w:t>Requested Quantity + Unit</w:t>
            </w:r>
          </w:p>
        </w:tc>
        <w:tc>
          <w:tcPr>
            <w:tcW w:type="dxa" w:w="2409"/>
          </w:tcPr>
          <w:p>
            <w:pPr>
              <w:spacing w:after="20" w:before="20" w:line="240" w:lineRule="auto"/>
            </w:pPr>
            <w:r/>
            <w:r>
              <w:rPr>
                <w:rFonts w:ascii="Arial" w:hAnsi="Arial" w:cs="Arial"/>
                <w:b w:val="0"/>
                <w:i w:val="0"/>
                <w:sz w:val="17"/>
              </w:rPr>
              <w:t>Number + dropdown</w:t>
            </w:r>
          </w:p>
        </w:tc>
        <w:tc>
          <w:tcPr>
            <w:tcW w:type="dxa" w:w="2409"/>
          </w:tcPr>
          <w:p>
            <w:pPr>
              <w:spacing w:after="20" w:before="20" w:line="240" w:lineRule="auto"/>
            </w:pPr>
            <w:r/>
            <w:r>
              <w:rPr>
                <w:rFonts w:ascii="Arial" w:hAnsi="Arial" w:cs="Arial"/>
                <w:b w:val="0"/>
                <w:i w:val="0"/>
                <w:sz w:val="17"/>
              </w:rPr>
              <w:t>User entry (A1 default)</w:t>
            </w:r>
          </w:p>
        </w:tc>
        <w:tc>
          <w:tcPr>
            <w:tcW w:type="dxa" w:w="2409"/>
          </w:tcPr>
          <w:p>
            <w:pPr>
              <w:spacing w:after="20" w:before="20" w:line="240" w:lineRule="auto"/>
            </w:pPr>
            <w:r/>
            <w:r>
              <w:rPr>
                <w:rFonts w:ascii="Arial" w:hAnsi="Arial" w:cs="Arial"/>
                <w:b w:val="0"/>
                <w:i w:val="0"/>
                <w:sz w:val="17"/>
              </w:rPr>
              <w:t>Quantity &gt; 0; per-commodity storage</w:t>
            </w:r>
          </w:p>
        </w:tc>
      </w:tr>
      <w:tr>
        <w:tc>
          <w:tcPr>
            <w:tcW w:type="dxa" w:w="2409"/>
          </w:tcPr>
          <w:p>
            <w:pPr>
              <w:spacing w:after="20" w:before="20" w:line="240" w:lineRule="auto"/>
            </w:pPr>
            <w:r/>
            <w:r>
              <w:rPr>
                <w:rFonts w:ascii="Arial" w:hAnsi="Arial" w:cs="Arial"/>
                <w:b w:val="0"/>
                <w:i w:val="0"/>
                <w:sz w:val="17"/>
              </w:rPr>
              <w:t>Quantity Tolerance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±2%, ±3%, ±5%, ±7%, ±10%, Custom</w:t>
            </w:r>
          </w:p>
        </w:tc>
        <w:tc>
          <w:tcPr>
            <w:tcW w:type="dxa" w:w="2409"/>
          </w:tcPr>
          <w:p>
            <w:pPr>
              <w:spacing w:after="20" w:before="20" w:line="240" w:lineRule="auto"/>
            </w:pPr>
            <w:r/>
            <w:r>
              <w:rPr>
                <w:rFonts w:ascii="Arial" w:hAnsi="Arial" w:cs="Arial"/>
                <w:b w:val="0"/>
                <w:i w:val="0"/>
                <w:sz w:val="17"/>
              </w:rPr>
              <w:t>Default ±5%</w:t>
            </w:r>
          </w:p>
        </w:tc>
      </w:tr>
      <w:tr>
        <w:tc>
          <w:tcPr>
            <w:tcW w:type="dxa" w:w="2409"/>
          </w:tcPr>
          <w:p>
            <w:pPr>
              <w:spacing w:after="20" w:before="20" w:line="240" w:lineRule="auto"/>
            </w:pPr>
            <w:r/>
            <w:r>
              <w:rPr>
                <w:rFonts w:ascii="Arial" w:hAnsi="Arial" w:cs="Arial"/>
                <w:b w:val="0"/>
                <w:i w:val="0"/>
                <w:sz w:val="17"/>
              </w:rPr>
              <w:t>Partial Shipment Allowed</w:t>
            </w:r>
          </w:p>
        </w:tc>
        <w:tc>
          <w:tcPr>
            <w:tcW w:type="dxa" w:w="2409"/>
          </w:tcPr>
          <w:p>
            <w:pPr>
              <w:spacing w:after="20" w:before="20" w:line="240" w:lineRule="auto"/>
            </w:pPr>
            <w:r/>
            <w:r>
              <w:rPr>
                <w:rFonts w:ascii="Arial" w:hAnsi="Arial" w:cs="Arial"/>
                <w:b w:val="0"/>
                <w:i w:val="0"/>
                <w:sz w:val="17"/>
              </w:rPr>
              <w:t>Toggle</w:t>
            </w:r>
          </w:p>
        </w:tc>
        <w:tc>
          <w:tcPr>
            <w:tcW w:type="dxa" w:w="2409"/>
          </w:tcPr>
          <w:p>
            <w:pPr>
              <w:spacing w:after="20" w:before="20" w:line="240" w:lineRule="auto"/>
            </w:pPr>
            <w:r/>
            <w:r>
              <w:rPr>
                <w:rFonts w:ascii="Arial" w:hAnsi="Arial" w:cs="Arial"/>
                <w:b w:val="0"/>
                <w:i w:val="0"/>
                <w:sz w:val="17"/>
              </w:rPr>
              <w:t>User choice</w:t>
            </w:r>
          </w:p>
        </w:tc>
        <w:tc>
          <w:tcPr>
            <w:tcW w:type="dxa" w:w="2409"/>
          </w:tcPr>
          <w:p>
            <w:pPr>
              <w:spacing w:after="20" w:before="20" w:line="240" w:lineRule="auto"/>
            </w:pPr>
            <w:r/>
            <w:r>
              <w:rPr>
                <w:rFonts w:ascii="Arial" w:hAnsi="Arial" w:cs="Arial"/>
                <w:b w:val="0"/>
                <w:i w:val="0"/>
                <w:sz w:val="17"/>
              </w:rPr>
              <w:t>Default true</w:t>
            </w:r>
          </w:p>
        </w:tc>
      </w:tr>
      <w:tr>
        <w:tc>
          <w:tcPr>
            <w:tcW w:type="dxa" w:w="2409"/>
          </w:tcPr>
          <w:p>
            <w:pPr>
              <w:spacing w:after="20" w:before="20" w:line="240" w:lineRule="auto"/>
            </w:pPr>
            <w:r/>
            <w:r>
              <w:rPr>
                <w:rFonts w:ascii="Arial" w:hAnsi="Arial" w:cs="Arial"/>
                <w:b w:val="0"/>
                <w:i w:val="0"/>
                <w:sz w:val="17"/>
              </w:rPr>
              <w:t>Transshipment Allowed</w:t>
            </w:r>
          </w:p>
        </w:tc>
        <w:tc>
          <w:tcPr>
            <w:tcW w:type="dxa" w:w="2409"/>
          </w:tcPr>
          <w:p>
            <w:pPr>
              <w:spacing w:after="20" w:before="20" w:line="240" w:lineRule="auto"/>
            </w:pPr>
            <w:r/>
            <w:r>
              <w:rPr>
                <w:rFonts w:ascii="Arial" w:hAnsi="Arial" w:cs="Arial"/>
                <w:b w:val="0"/>
                <w:i w:val="0"/>
                <w:sz w:val="17"/>
              </w:rPr>
              <w:t>Toggle</w:t>
            </w:r>
          </w:p>
        </w:tc>
        <w:tc>
          <w:tcPr>
            <w:tcW w:type="dxa" w:w="2409"/>
          </w:tcPr>
          <w:p>
            <w:pPr>
              <w:spacing w:after="20" w:before="20" w:line="240" w:lineRule="auto"/>
            </w:pPr>
            <w:r/>
            <w:r>
              <w:rPr>
                <w:rFonts w:ascii="Arial" w:hAnsi="Arial" w:cs="Arial"/>
                <w:b w:val="0"/>
                <w:i w:val="0"/>
                <w:sz w:val="17"/>
              </w:rPr>
              <w:t>User choice</w:t>
            </w:r>
          </w:p>
        </w:tc>
        <w:tc>
          <w:tcPr>
            <w:tcW w:type="dxa" w:w="2409"/>
          </w:tcPr>
          <w:p>
            <w:pPr>
              <w:spacing w:after="20" w:before="20" w:line="240" w:lineRule="auto"/>
            </w:pPr>
            <w:r/>
            <w:r>
              <w:rPr>
                <w:rFonts w:ascii="Arial" w:hAnsi="Arial" w:cs="Arial"/>
                <w:b w:val="0"/>
                <w:i w:val="0"/>
                <w:sz w:val="17"/>
              </w:rPr>
              <w:t>Default true</w:t>
            </w:r>
          </w:p>
        </w:tc>
      </w:tr>
      <w:tr>
        <w:tc>
          <w:tcPr>
            <w:tcW w:type="dxa" w:w="2409"/>
          </w:tcPr>
          <w:p>
            <w:pPr>
              <w:spacing w:after="20" w:before="20" w:line="240" w:lineRule="auto"/>
            </w:pPr>
            <w:r/>
            <w:r>
              <w:rPr>
                <w:rFonts w:ascii="Arial" w:hAnsi="Arial" w:cs="Arial"/>
                <w:b w:val="0"/>
                <w:i w:val="0"/>
                <w:sz w:val="17"/>
              </w:rPr>
              <w:t>Product Criticality</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Standard / Priority / Critical</w:t>
            </w:r>
          </w:p>
        </w:tc>
        <w:tc>
          <w:tcPr>
            <w:tcW w:type="dxa" w:w="2409"/>
          </w:tcPr>
          <w:p>
            <w:pPr>
              <w:spacing w:after="20" w:before="20" w:line="240" w:lineRule="auto"/>
            </w:pPr>
            <w:r/>
            <w:r>
              <w:rPr>
                <w:rFonts w:ascii="Arial" w:hAnsi="Arial" w:cs="Arial"/>
                <w:b w:val="0"/>
                <w:i w:val="0"/>
                <w:sz w:val="17"/>
              </w:rPr>
              <w:t>Trade criticality in Section 6.13</w:t>
            </w:r>
          </w:p>
        </w:tc>
      </w:tr>
      <w:tr>
        <w:tc>
          <w:tcPr>
            <w:tcW w:type="dxa" w:w="2409"/>
          </w:tcPr>
          <w:p>
            <w:pPr>
              <w:spacing w:after="20" w:before="20" w:line="240" w:lineRule="auto"/>
            </w:pPr>
            <w:r/>
            <w:r>
              <w:rPr>
                <w:rFonts w:ascii="Arial" w:hAnsi="Arial" w:cs="Arial"/>
                <w:b w:val="0"/>
                <w:i w:val="0"/>
                <w:sz w:val="17"/>
              </w:rPr>
              <w:t>Packaging Type</w:t>
            </w:r>
          </w:p>
        </w:tc>
        <w:tc>
          <w:tcPr>
            <w:tcW w:type="dxa" w:w="2409"/>
          </w:tcPr>
          <w:p>
            <w:pPr>
              <w:spacing w:after="20" w:before="20" w:line="240" w:lineRule="auto"/>
            </w:pPr>
            <w:r/>
            <w:r>
              <w:rPr>
                <w:rFonts w:ascii="Arial" w:hAnsi="Arial" w:cs="Arial"/>
                <w:b w:val="0"/>
                <w:i w:val="0"/>
                <w:sz w:val="17"/>
              </w:rPr>
              <w:t>Dropdown</w:t>
            </w:r>
          </w:p>
        </w:tc>
        <w:tc>
          <w:tcPr>
            <w:tcW w:type="dxa" w:w="2409"/>
          </w:tcPr>
          <w:p>
            <w:pPr>
              <w:spacing w:after="20" w:before="20" w:line="240" w:lineRule="auto"/>
            </w:pPr>
            <w:r/>
            <w:r>
              <w:rPr>
                <w:rFonts w:ascii="Arial" w:hAnsi="Arial" w:cs="Arial"/>
                <w:b w:val="0"/>
                <w:i w:val="0"/>
                <w:sz w:val="17"/>
              </w:rPr>
              <w:t>PFA packing defaults</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Pallet Count / Pallet Type / Cartons per Pallet</w:t>
            </w:r>
          </w:p>
        </w:tc>
        <w:tc>
          <w:tcPr>
            <w:tcW w:type="dxa" w:w="2409"/>
          </w:tcPr>
          <w:p>
            <w:pPr>
              <w:spacing w:after="20" w:before="20" w:line="240" w:lineRule="auto"/>
            </w:pPr>
            <w:r/>
            <w:r>
              <w:rPr>
                <w:rFonts w:ascii="Arial" w:hAnsi="Arial" w:cs="Arial"/>
                <w:b w:val="0"/>
                <w:i w:val="0"/>
                <w:sz w:val="17"/>
              </w:rPr>
              <w:t>Integer / dropdown</w:t>
            </w:r>
          </w:p>
        </w:tc>
        <w:tc>
          <w:tcPr>
            <w:tcW w:type="dxa" w:w="2409"/>
          </w:tcPr>
          <w:p>
            <w:pPr>
              <w:spacing w:after="20" w:before="20" w:line="240" w:lineRule="auto"/>
            </w:pPr>
            <w:r/>
            <w:r>
              <w:rPr>
                <w:rFonts w:ascii="Arial" w:hAnsi="Arial" w:cs="Arial"/>
                <w:b w:val="0"/>
                <w:i w:val="0"/>
                <w:sz w:val="17"/>
              </w:rPr>
              <w:t>PFA defaults</w:t>
            </w:r>
          </w:p>
        </w:tc>
        <w:tc>
          <w:tcPr>
            <w:tcW w:type="dxa" w:w="2409"/>
          </w:tcPr>
          <w:p>
            <w:pPr>
              <w:spacing w:after="20" w:before="20" w:line="240" w:lineRule="auto"/>
            </w:pPr>
            <w:r/>
            <w:r>
              <w:rPr>
                <w:rFonts w:ascii="Arial" w:hAnsi="Arial" w:cs="Arial"/>
                <w:b w:val="0"/>
                <w:i w:val="0"/>
                <w:sz w:val="17"/>
              </w:rPr>
              <w:t>Pallet fit validation</w:t>
            </w:r>
          </w:p>
        </w:tc>
      </w:tr>
      <w:tr>
        <w:tc>
          <w:tcPr>
            <w:tcW w:type="dxa" w:w="2409"/>
          </w:tcPr>
          <w:p>
            <w:pPr>
              <w:spacing w:after="20" w:before="20" w:line="240" w:lineRule="auto"/>
            </w:pPr>
            <w:r/>
            <w:r>
              <w:rPr>
                <w:rFonts w:ascii="Arial" w:hAnsi="Arial" w:cs="Arial"/>
                <w:b w:val="0"/>
                <w:i w:val="0"/>
                <w:sz w:val="17"/>
              </w:rPr>
              <w:t>Net / Gross Weight per Carton</w:t>
            </w:r>
          </w:p>
        </w:tc>
        <w:tc>
          <w:tcPr>
            <w:tcW w:type="dxa" w:w="2409"/>
          </w:tcPr>
          <w:p>
            <w:pPr>
              <w:spacing w:after="20" w:before="20" w:line="240" w:lineRule="auto"/>
            </w:pPr>
            <w:r/>
            <w:r>
              <w:rPr>
                <w:rFonts w:ascii="Arial" w:hAnsi="Arial" w:cs="Arial"/>
                <w:b w:val="0"/>
                <w:i w:val="0"/>
                <w:sz w:val="17"/>
              </w:rPr>
              <w:t>Number</w:t>
            </w:r>
          </w:p>
        </w:tc>
        <w:tc>
          <w:tcPr>
            <w:tcW w:type="dxa" w:w="2409"/>
          </w:tcPr>
          <w:p>
            <w:pPr>
              <w:spacing w:after="20" w:before="20" w:line="240" w:lineRule="auto"/>
            </w:pPr>
            <w:r/>
            <w:r>
              <w:rPr>
                <w:rFonts w:ascii="Arial" w:hAnsi="Arial" w:cs="Arial"/>
                <w:b w:val="0"/>
                <w:i w:val="0"/>
                <w:sz w:val="17"/>
              </w:rPr>
              <w:t>PFA defaults</w:t>
            </w:r>
          </w:p>
        </w:tc>
        <w:tc>
          <w:tcPr>
            <w:tcW w:type="dxa" w:w="2409"/>
          </w:tcPr>
          <w:p>
            <w:pPr>
              <w:spacing w:after="20" w:before="20" w:line="240" w:lineRule="auto"/>
            </w:pPr>
            <w:r/>
            <w:r>
              <w:rPr>
                <w:rFonts w:ascii="Arial" w:hAnsi="Arial" w:cs="Arial"/>
                <w:b w:val="0"/>
                <w:i w:val="0"/>
                <w:sz w:val="17"/>
              </w:rPr>
              <w:t>Real-time weight calculation</w:t>
            </w:r>
          </w:p>
        </w:tc>
      </w:tr>
      <w:tr>
        <w:tc>
          <w:tcPr>
            <w:tcW w:type="dxa" w:w="2409"/>
          </w:tcPr>
          <w:p>
            <w:pPr>
              <w:spacing w:after="20" w:before="20" w:line="240" w:lineRule="auto"/>
            </w:pPr>
            <w:r/>
            <w:r>
              <w:rPr>
                <w:rFonts w:ascii="Arial" w:hAnsi="Arial" w:cs="Arial"/>
                <w:b w:val="0"/>
                <w:i w:val="0"/>
                <w:sz w:val="17"/>
              </w:rPr>
              <w:t>Acceptance Criteria Matrix</w:t>
            </w:r>
          </w:p>
        </w:tc>
        <w:tc>
          <w:tcPr>
            <w:tcW w:type="dxa" w:w="2409"/>
          </w:tcPr>
          <w:p>
            <w:pPr>
              <w:spacing w:after="20" w:before="20" w:line="240" w:lineRule="auto"/>
            </w:pPr>
            <w:r/>
            <w:r>
              <w:rPr>
                <w:rFonts w:ascii="Arial" w:hAnsi="Arial" w:cs="Arial"/>
                <w:b w:val="0"/>
                <w:i w:val="0"/>
                <w:sz w:val="17"/>
              </w:rPr>
              <w:t>Dynamic table</w:t>
            </w:r>
          </w:p>
        </w:tc>
        <w:tc>
          <w:tcPr>
            <w:tcW w:type="dxa" w:w="2409"/>
          </w:tcPr>
          <w:p>
            <w:pPr>
              <w:spacing w:after="20" w:before="20" w:line="240" w:lineRule="auto"/>
            </w:pPr>
            <w:r/>
            <w:r>
              <w:rPr>
                <w:rFonts w:ascii="Arial" w:hAnsi="Arial" w:cs="Arial"/>
                <w:b w:val="0"/>
                <w:i w:val="0"/>
                <w:sz w:val="17"/>
              </w:rPr>
              <w:t>PFA (RIA data)</w:t>
            </w:r>
          </w:p>
        </w:tc>
        <w:tc>
          <w:tcPr>
            <w:tcW w:type="dxa" w:w="2409"/>
          </w:tcPr>
          <w:p>
            <w:pPr>
              <w:spacing w:after="20" w:before="20" w:line="240" w:lineRule="auto"/>
            </w:pPr>
            <w:r/>
            <w:r>
              <w:rPr>
                <w:rFonts w:ascii="Arial" w:hAnsi="Arial" w:cs="Arial"/>
                <w:b w:val="0"/>
                <w:i w:val="0"/>
                <w:sz w:val="17"/>
              </w:rPr>
              <w:t>Section 6.5.6</w:t>
            </w:r>
          </w:p>
        </w:tc>
      </w:tr>
      <w:tr>
        <w:tc>
          <w:tcPr>
            <w:tcW w:type="dxa" w:w="2409"/>
          </w:tcPr>
          <w:p>
            <w:pPr>
              <w:spacing w:after="20" w:before="20" w:line="240" w:lineRule="auto"/>
            </w:pPr>
            <w:r/>
            <w:r>
              <w:rPr>
                <w:rFonts w:ascii="Arial" w:hAnsi="Arial" w:cs="Arial"/>
                <w:b w:val="0"/>
                <w:i w:val="0"/>
                <w:sz w:val="17"/>
              </w:rPr>
              <w:t>Special Conditions / Treatment Details</w:t>
            </w:r>
          </w:p>
        </w:tc>
        <w:tc>
          <w:tcPr>
            <w:tcW w:type="dxa" w:w="2409"/>
          </w:tcPr>
          <w:p>
            <w:pPr>
              <w:spacing w:after="20" w:before="20" w:line="240" w:lineRule="auto"/>
            </w:pPr>
            <w:r/>
            <w:r>
              <w:rPr>
                <w:rFonts w:ascii="Arial" w:hAnsi="Arial" w:cs="Arial"/>
                <w:b w:val="0"/>
                <w:i w:val="0"/>
                <w:sz w:val="17"/>
              </w:rPr>
              <w:t>Dynamic</w:t>
            </w:r>
          </w:p>
        </w:tc>
        <w:tc>
          <w:tcPr>
            <w:tcW w:type="dxa" w:w="2409"/>
          </w:tcPr>
          <w:p>
            <w:pPr>
              <w:spacing w:after="20" w:before="20" w:line="240" w:lineRule="auto"/>
            </w:pPr>
            <w:r/>
            <w:r>
              <w:rPr>
                <w:rFonts w:ascii="Arial" w:hAnsi="Arial" w:cs="Arial"/>
                <w:b w:val="0"/>
                <w:i w:val="0"/>
                <w:sz w:val="17"/>
              </w:rPr>
              <w:t>PFA (RIA data)</w:t>
            </w:r>
          </w:p>
        </w:tc>
        <w:tc>
          <w:tcPr>
            <w:tcW w:type="dxa" w:w="2409"/>
          </w:tcPr>
          <w:p>
            <w:pPr>
              <w:spacing w:after="20" w:before="20" w:line="240" w:lineRule="auto"/>
            </w:pPr>
            <w:r/>
            <w:r>
              <w:rPr>
                <w:rFonts w:ascii="Arial" w:hAnsi="Arial" w:cs="Arial"/>
                <w:b w:val="0"/>
                <w:i w:val="0"/>
                <w:sz w:val="17"/>
              </w:rPr>
              <w:t>Section 6.5.3</w:t>
            </w:r>
          </w:p>
        </w:tc>
      </w:tr>
      <w:tr>
        <w:tc>
          <w:tcPr>
            <w:tcW w:type="dxa" w:w="2409"/>
          </w:tcPr>
          <w:p>
            <w:pPr>
              <w:spacing w:after="20" w:before="20" w:line="240" w:lineRule="auto"/>
            </w:pPr>
            <w:r/>
            <w:r>
              <w:rPr>
                <w:rFonts w:ascii="Arial" w:hAnsi="Arial" w:cs="Arial"/>
                <w:b w:val="0"/>
                <w:i w:val="0"/>
                <w:sz w:val="17"/>
              </w:rPr>
              <w:t>Lab Tests Required</w:t>
            </w:r>
          </w:p>
        </w:tc>
        <w:tc>
          <w:tcPr>
            <w:tcW w:type="dxa" w:w="2409"/>
          </w:tcPr>
          <w:p>
            <w:pPr>
              <w:spacing w:after="20" w:before="20" w:line="240" w:lineRule="auto"/>
            </w:pPr>
            <w:r/>
            <w:r>
              <w:rPr>
                <w:rFonts w:ascii="Arial" w:hAnsi="Arial" w:cs="Arial"/>
                <w:b w:val="0"/>
                <w:i w:val="0"/>
                <w:sz w:val="17"/>
              </w:rPr>
              <w:t>Dynamic list</w:t>
            </w:r>
          </w:p>
        </w:tc>
        <w:tc>
          <w:tcPr>
            <w:tcW w:type="dxa" w:w="2409"/>
          </w:tcPr>
          <w:p>
            <w:pPr>
              <w:spacing w:after="20" w:before="20" w:line="240" w:lineRule="auto"/>
            </w:pPr>
            <w:r/>
            <w:r>
              <w:rPr>
                <w:rFonts w:ascii="Arial" w:hAnsi="Arial" w:cs="Arial"/>
                <w:b w:val="0"/>
                <w:i w:val="0"/>
                <w:sz w:val="17"/>
              </w:rPr>
              <w:t>PFA (RIA data)</w:t>
            </w:r>
          </w:p>
        </w:tc>
        <w:tc>
          <w:tcPr>
            <w:tcW w:type="dxa" w:w="2409"/>
          </w:tcPr>
          <w:p>
            <w:pPr>
              <w:spacing w:after="20" w:before="20" w:line="240" w:lineRule="auto"/>
            </w:pPr>
            <w:r/>
            <w:r>
              <w:rPr>
                <w:rFonts w:ascii="Arial" w:hAnsi="Arial" w:cs="Arial"/>
                <w:b w:val="0"/>
                <w:i w:val="0"/>
                <w:sz w:val="17"/>
              </w:rPr>
              <w:t>Mandatory tests locked (G1U4)</w:t>
            </w:r>
          </w:p>
        </w:tc>
      </w:tr>
      <w:tr>
        <w:tc>
          <w:tcPr>
            <w:tcW w:type="dxa" w:w="2409"/>
          </w:tcPr>
          <w:p>
            <w:pPr>
              <w:spacing w:after="20" w:before="20" w:line="240" w:lineRule="auto"/>
            </w:pPr>
            <w:r/>
            <w:r>
              <w:rPr>
                <w:rFonts w:ascii="Arial" w:hAnsi="Arial" w:cs="Arial"/>
                <w:b w:val="0"/>
                <w:i w:val="0"/>
                <w:sz w:val="17"/>
              </w:rPr>
              <w:t>Inspection Requirements</w:t>
            </w:r>
          </w:p>
        </w:tc>
        <w:tc>
          <w:tcPr>
            <w:tcW w:type="dxa" w:w="2409"/>
          </w:tcPr>
          <w:p>
            <w:pPr>
              <w:spacing w:after="20" w:before="20" w:line="240" w:lineRule="auto"/>
            </w:pPr>
            <w:r/>
            <w:r>
              <w:rPr>
                <w:rFonts w:ascii="Arial" w:hAnsi="Arial" w:cs="Arial"/>
                <w:b w:val="0"/>
                <w:i w:val="0"/>
                <w:sz w:val="17"/>
              </w:rPr>
              <w:t>Text + sampling plan</w:t>
            </w:r>
          </w:p>
        </w:tc>
        <w:tc>
          <w:tcPr>
            <w:tcW w:type="dxa" w:w="2409"/>
          </w:tcPr>
          <w:p>
            <w:pPr>
              <w:spacing w:after="20" w:before="20" w:line="240" w:lineRule="auto"/>
            </w:pPr>
            <w:r/>
            <w:r>
              <w:rPr>
                <w:rFonts w:ascii="Arial" w:hAnsi="Arial" w:cs="Arial"/>
                <w:b w:val="0"/>
                <w:i w:val="0"/>
                <w:sz w:val="17"/>
              </w:rPr>
              <w:t>PFA recommendation</w:t>
            </w:r>
          </w:p>
        </w:tc>
        <w:tc>
          <w:tcPr>
            <w:tcW w:type="dxa" w:w="2409"/>
          </w:tcPr>
          <w:p>
            <w:pPr>
              <w:spacing w:after="20" w:before="20" w:line="240" w:lineRule="auto"/>
            </w:pPr>
            <w:r/>
            <w:r>
              <w:rPr>
                <w:rFonts w:ascii="Arial" w:hAnsi="Arial" w:cs="Arial"/>
                <w:b w:val="0"/>
                <w:i w:val="0"/>
                <w:sz w:val="17"/>
              </w:rPr>
              <w:t>AQL plan default General Level II</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6.6.3.3 Dynamic Commodity Fields (Product Form Agent)</w:t>
      </w:r>
    </w:p>
    <w:p>
      <w:pPr>
        <w:spacing w:after="80" w:line="293" w:lineRule="auto"/>
        <w:jc w:val="left"/>
      </w:pPr>
      <w:r>
        <w:rPr>
          <w:rFonts w:ascii="Times New Roman" w:hAnsi="Times New Roman" w:cs="Times New Roman"/>
          <w:b w:val="0"/>
          <w:i w:val="0"/>
          <w:sz w:val="22"/>
        </w:rPr>
        <w:t>When a product is selected, the Product Form Agent dynamically adds:</w:t>
      </w:r>
    </w:p>
    <w:p>
      <w:pPr>
        <w:spacing w:after="80" w:line="293" w:lineRule="auto"/>
        <w:ind w:left="283"/>
        <w:jc w:val="left"/>
      </w:pPr>
      <w:r>
        <w:rPr>
          <w:rFonts w:ascii="Times New Roman" w:hAnsi="Times New Roman" w:cs="Times New Roman"/>
          <w:b w:val="0"/>
          <w:i w:val="0"/>
          <w:sz w:val="22"/>
        </w:rPr>
        <w:t>- Product-specific fields — variety, grade, brix, size range, etc. (per product), defined by the Product</w:t>
      </w:r>
    </w:p>
    <w:p>
      <w:pPr>
        <w:spacing w:after="80" w:line="293" w:lineRule="auto"/>
        <w:jc w:val="left"/>
      </w:pPr>
      <w:r>
        <w:rPr>
          <w:rFonts w:ascii="Times New Roman" w:hAnsi="Times New Roman" w:cs="Times New Roman"/>
          <w:b w:val="0"/>
          <w:i w:val="0"/>
          <w:sz w:val="22"/>
        </w:rPr>
        <w:t>Form Agent schema (Section 6.5).</w:t>
      </w:r>
    </w:p>
    <w:p>
      <w:pPr>
        <w:spacing w:after="80" w:line="293" w:lineRule="auto"/>
        <w:ind w:left="283"/>
        <w:jc w:val="left"/>
      </w:pPr>
      <w:r>
        <w:rPr>
          <w:rFonts w:ascii="Times New Roman" w:hAnsi="Times New Roman" w:cs="Times New Roman"/>
          <w:b w:val="0"/>
          <w:i w:val="0"/>
          <w:sz w:val="22"/>
        </w:rPr>
        <w:t>- Acceptance Criteria Matrix — dynamic table of specifications (moisture, protein, purity, etc.); limits and</w:t>
      </w:r>
    </w:p>
    <w:p>
      <w:pPr>
        <w:spacing w:after="80" w:line="293" w:lineRule="auto"/>
        <w:jc w:val="left"/>
      </w:pPr>
      <w:r>
        <w:rPr>
          <w:rFonts w:ascii="Times New Roman" w:hAnsi="Times New Roman" w:cs="Times New Roman"/>
          <w:b w:val="0"/>
          <w:i w:val="0"/>
          <w:sz w:val="22"/>
        </w:rPr>
        <w:t>units are pre-filled based on RIA data; the buyer can add custom parameters.</w:t>
      </w:r>
    </w:p>
    <w:p>
      <w:pPr>
        <w:spacing w:after="80" w:line="293" w:lineRule="auto"/>
        <w:ind w:left="283"/>
        <w:jc w:val="left"/>
      </w:pPr>
      <w:r>
        <w:rPr>
          <w:rFonts w:ascii="Times New Roman" w:hAnsi="Times New Roman" w:cs="Times New Roman"/>
          <w:b w:val="0"/>
          <w:i w:val="0"/>
          <w:sz w:val="22"/>
        </w:rPr>
        <w:t>- Special procedures — cold treatment, fumigation, pre-cooling, etc., with date fields, facility selection,</w:t>
      </w:r>
    </w:p>
    <w:p>
      <w:pPr>
        <w:spacing w:after="80" w:line="293" w:lineRule="auto"/>
        <w:jc w:val="left"/>
      </w:pPr>
      <w:r>
        <w:rPr>
          <w:rFonts w:ascii="Times New Roman" w:hAnsi="Times New Roman" w:cs="Times New Roman"/>
          <w:b w:val="0"/>
          <w:i w:val="0"/>
          <w:sz w:val="22"/>
        </w:rPr>
        <w:t>and certificate requirements.</w:t>
      </w:r>
    </w:p>
    <w:p>
      <w:pPr>
        <w:spacing w:after="80" w:line="293" w:lineRule="auto"/>
        <w:ind w:left="283"/>
        <w:jc w:val="left"/>
      </w:pPr>
      <w:r>
        <w:rPr>
          <w:rFonts w:ascii="Times New Roman" w:hAnsi="Times New Roman" w:cs="Times New Roman"/>
          <w:b w:val="0"/>
          <w:i w:val="0"/>
          <w:sz w:val="22"/>
        </w:rPr>
        <w:t>- Required documents — dynamic checklist per product and jurisdiction; triggers: Shipment, Settlement,</w:t>
      </w:r>
    </w:p>
    <w:p>
      <w:pPr>
        <w:spacing w:after="80" w:line="293" w:lineRule="auto"/>
        <w:jc w:val="left"/>
      </w:pPr>
      <w:r>
        <w:rPr>
          <w:rFonts w:ascii="Times New Roman" w:hAnsi="Times New Roman" w:cs="Times New Roman"/>
          <w:b w:val="0"/>
          <w:i w:val="0"/>
          <w:sz w:val="22"/>
        </w:rPr>
        <w:t>Customs, Financing.</w:t>
      </w:r>
    </w:p>
    <w:p>
      <w:pPr>
        <w:spacing w:after="80" w:line="293" w:lineRule="auto"/>
        <w:ind w:left="283"/>
        <w:jc w:val="left"/>
      </w:pPr>
      <w:r>
        <w:rPr>
          <w:rFonts w:ascii="Times New Roman" w:hAnsi="Times New Roman" w:cs="Times New Roman"/>
          <w:b w:val="0"/>
          <w:i w:val="0"/>
          <w:sz w:val="22"/>
        </w:rPr>
        <w:t>- Lab tests required — analytes with MRLs; pass/fail status; source regulation.</w:t>
      </w:r>
    </w:p>
    <w:p>
      <w:pPr>
        <w:keepNext/>
        <w:spacing w:before="180" w:after="80"/>
        <w:outlineLvl w:val="2"/>
      </w:pPr>
      <w:r>
        <w:rPr>
          <w:rFonts w:ascii="Arial" w:hAnsi="Arial" w:cs="Arial"/>
          <w:b/>
          <w:i w:val="0"/>
          <w:color w:val="333333"/>
          <w:sz w:val="23"/>
        </w:rPr>
        <w:t>6.6.4 Complete Container &amp; Commodity UI Example</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Container 1 with 2 commodities (Oranges &amp; Lemons):</w:t>
      </w:r>
    </w:p>
    <w:p>
      <w:pPr>
        <w:spacing w:after="0" w:before="0" w:line="240" w:lineRule="auto"/>
        <w:ind w:left="57"/>
        <w:jc w:val="left"/>
        <w:shd w:val="clear" w:fill="F2F2F2"/>
      </w:pPr>
      <w:r>
        <w:rPr>
          <w:rFonts w:ascii="Consolas" w:hAnsi="Consolas" w:cs="Consolas"/>
          <w:b w:val="0"/>
          <w:i w:val="0"/>
          <w:sz w:val="15"/>
        </w:rPr>
        <w:t>Container 1 (2 commodities)  [Progress: 100%] [Clone] [Remove]</w:t>
      </w:r>
    </w:p>
    <w:p>
      <w:pPr>
        <w:spacing w:after="0" w:before="0" w:line="240" w:lineRule="auto"/>
        <w:ind w:left="57"/>
        <w:jc w:val="left"/>
        <w:shd w:val="clear" w:fill="F2F2F2"/>
      </w:pPr>
      <w:r>
        <w:rPr>
          <w:rFonts w:ascii="Consolas" w:hAnsi="Consolas" w:cs="Consolas"/>
          <w:b w:val="0"/>
          <w:i w:val="0"/>
          <w:sz w:val="15"/>
        </w:rPr>
        <w:t xml:space="preserve">  Country of Origin: [Vietnam ▼]  Destination Country: [Egypt ▼]</w:t>
      </w:r>
    </w:p>
    <w:p>
      <w:pPr>
        <w:spacing w:after="0" w:before="0" w:line="240" w:lineRule="auto"/>
        <w:ind w:left="57"/>
        <w:jc w:val="left"/>
        <w:shd w:val="clear" w:fill="F2F2F2"/>
      </w:pPr>
      <w:r>
        <w:rPr>
          <w:rFonts w:ascii="Consolas" w:hAnsi="Consolas" w:cs="Consolas"/>
          <w:b w:val="0"/>
          <w:i w:val="0"/>
          <w:sz w:val="15"/>
        </w:rPr>
        <w:t xml:space="preserve">  Port of Discharge: [Alexandria ▼]  Palletized: [Yes]  Pallet Size: [EUR ▼]</w:t>
      </w:r>
    </w:p>
    <w:p>
      <w:pPr>
        <w:spacing w:after="0" w:before="0" w:line="240" w:lineRule="auto"/>
        <w:ind w:left="57"/>
        <w:jc w:val="left"/>
        <w:shd w:val="clear" w:fill="F2F2F2"/>
      </w:pPr>
      <w:r>
        <w:rPr>
          <w:rFonts w:ascii="Consolas" w:hAnsi="Consolas" w:cs="Consolas"/>
          <w:b w:val="0"/>
          <w:i w:val="0"/>
          <w:sz w:val="15"/>
        </w:rPr>
        <w:t xml:space="preserve">  Destination Override: [Alexandria Free Zone]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Commodity 1: Oranges</w:t>
      </w:r>
    </w:p>
    <w:p>
      <w:pPr>
        <w:spacing w:after="0" w:before="0" w:line="240" w:lineRule="auto"/>
        <w:ind w:left="57"/>
        <w:jc w:val="left"/>
        <w:shd w:val="clear" w:fill="F2F2F2"/>
      </w:pPr>
      <w:r>
        <w:rPr>
          <w:rFonts w:ascii="Consolas" w:hAnsi="Consolas" w:cs="Consolas"/>
          <w:b w:val="0"/>
          <w:i w:val="0"/>
          <w:sz w:val="15"/>
        </w:rPr>
        <w:t xml:space="preserve">    Product: [0805.10 → Valencia Oranges] ▼ (autocomplete)</w:t>
      </w:r>
    </w:p>
    <w:p>
      <w:pPr>
        <w:spacing w:after="0" w:before="0" w:line="240" w:lineRule="auto"/>
        <w:ind w:left="57"/>
        <w:jc w:val="left"/>
        <w:shd w:val="clear" w:fill="F2F2F2"/>
      </w:pPr>
      <w:r>
        <w:rPr>
          <w:rFonts w:ascii="Consolas" w:hAnsi="Consolas" w:cs="Consolas"/>
          <w:b w:val="0"/>
          <w:i w:val="0"/>
          <w:sz w:val="15"/>
        </w:rPr>
        <w:t xml:space="preserve">    Commodity Type: [Fresh Fruits ▼]</w:t>
      </w:r>
    </w:p>
    <w:p>
      <w:pPr>
        <w:spacing w:after="0" w:before="0" w:line="240" w:lineRule="auto"/>
        <w:ind w:left="57"/>
        <w:jc w:val="left"/>
        <w:shd w:val="clear" w:fill="F2F2F2"/>
      </w:pPr>
      <w:r>
        <w:rPr>
          <w:rFonts w:ascii="Consolas" w:hAnsi="Consolas" w:cs="Consolas"/>
          <w:b w:val="0"/>
          <w:i w:val="0"/>
          <w:sz w:val="15"/>
        </w:rPr>
        <w:t xml:space="preserve">    QUANTITY &amp; TOLERANCE</w:t>
      </w:r>
    </w:p>
    <w:p>
      <w:pPr>
        <w:spacing w:after="0" w:before="0" w:line="240" w:lineRule="auto"/>
        <w:ind w:left="57"/>
        <w:jc w:val="left"/>
        <w:shd w:val="clear" w:fill="F2F2F2"/>
      </w:pPr>
      <w:r>
        <w:rPr>
          <w:rFonts w:ascii="Consolas" w:hAnsi="Consolas" w:cs="Consolas"/>
          <w:b w:val="0"/>
          <w:i w:val="0"/>
          <w:sz w:val="15"/>
        </w:rPr>
        <w:t xml:space="preserve">    Requested Quantity: [100] [MT ▼]  Tolerance: [±5% ▼]</w:t>
      </w:r>
    </w:p>
    <w:p>
      <w:pPr>
        <w:spacing w:after="0" w:before="0" w:line="240" w:lineRule="auto"/>
        <w:ind w:left="57"/>
        <w:jc w:val="left"/>
        <w:shd w:val="clear" w:fill="F2F2F2"/>
      </w:pPr>
      <w:r>
        <w:rPr>
          <w:rFonts w:ascii="Consolas" w:hAnsi="Consolas" w:cs="Consolas"/>
          <w:b w:val="0"/>
          <w:i w:val="0"/>
          <w:sz w:val="15"/>
        </w:rPr>
        <w:t xml:space="preserve">    Partial Shipment: [Yes]  Transshipment: [No]  Criticality: [Standard ▼]</w:t>
      </w:r>
    </w:p>
    <w:p>
      <w:pPr>
        <w:spacing w:after="0" w:before="0" w:line="240" w:lineRule="auto"/>
        <w:ind w:left="57"/>
        <w:jc w:val="left"/>
        <w:shd w:val="clear" w:fill="F2F2F2"/>
      </w:pPr>
      <w:r>
        <w:rPr>
          <w:rFonts w:ascii="Consolas" w:hAnsi="Consolas" w:cs="Consolas"/>
          <w:b w:val="0"/>
          <w:i w:val="0"/>
          <w:sz w:val="15"/>
        </w:rPr>
        <w:t xml:space="preserve">    ACCEPTANCE CRITERIA MATRIX (dynamically generated)</w:t>
      </w:r>
    </w:p>
    <w:p>
      <w:pPr>
        <w:spacing w:after="0" w:before="0" w:line="240" w:lineRule="auto"/>
        <w:ind w:left="57"/>
        <w:jc w:val="left"/>
        <w:shd w:val="clear" w:fill="F2F2F2"/>
      </w:pPr>
      <w:r>
        <w:rPr>
          <w:rFonts w:ascii="Consolas" w:hAnsi="Consolas" w:cs="Consolas"/>
          <w:b w:val="0"/>
          <w:i w:val="0"/>
          <w:sz w:val="15"/>
        </w:rPr>
        <w:t xml:space="preserve">    Parameter       Value/Limit  Unit  Status  Source</w:t>
      </w:r>
    </w:p>
    <w:p>
      <w:pPr>
        <w:spacing w:after="0" w:before="0" w:line="240" w:lineRule="auto"/>
        <w:ind w:left="57"/>
        <w:jc w:val="left"/>
        <w:shd w:val="clear" w:fill="F2F2F2"/>
      </w:pPr>
      <w:r>
        <w:rPr>
          <w:rFonts w:ascii="Consolas" w:hAnsi="Consolas" w:cs="Consolas"/>
          <w:b w:val="0"/>
          <w:i w:val="0"/>
          <w:sz w:val="15"/>
        </w:rPr>
        <w:t xml:space="preserve">    Moisture        Max 14%      %     Within  EU</w:t>
      </w:r>
    </w:p>
    <w:p>
      <w:pPr>
        <w:spacing w:after="0" w:before="0" w:line="240" w:lineRule="auto"/>
        <w:ind w:left="57"/>
        <w:jc w:val="left"/>
        <w:shd w:val="clear" w:fill="F2F2F2"/>
      </w:pPr>
      <w:r>
        <w:rPr>
          <w:rFonts w:ascii="Consolas" w:hAnsi="Consolas" w:cs="Consolas"/>
          <w:b w:val="0"/>
          <w:i w:val="0"/>
          <w:sz w:val="15"/>
        </w:rPr>
        <w:t xml:space="preserve">    Protein         Min 12%      %     Within  Codex</w:t>
      </w:r>
    </w:p>
    <w:p>
      <w:pPr>
        <w:spacing w:after="0" w:before="0" w:line="240" w:lineRule="auto"/>
        <w:ind w:left="57"/>
        <w:jc w:val="left"/>
        <w:shd w:val="clear" w:fill="F2F2F2"/>
      </w:pPr>
      <w:r>
        <w:rPr>
          <w:rFonts w:ascii="Consolas" w:hAnsi="Consolas" w:cs="Consolas"/>
          <w:b w:val="0"/>
          <w:i w:val="0"/>
          <w:sz w:val="15"/>
        </w:rPr>
        <w:t xml:space="preserve">    Purity          Min 99%      %     Within  WTO</w:t>
      </w:r>
    </w:p>
    <w:p>
      <w:pPr>
        <w:spacing w:after="0" w:before="0" w:line="240" w:lineRule="auto"/>
        <w:ind w:left="57"/>
        <w:jc w:val="left"/>
        <w:shd w:val="clear" w:fill="F2F2F2"/>
      </w:pPr>
      <w:r>
        <w:rPr>
          <w:rFonts w:ascii="Consolas" w:hAnsi="Consolas" w:cs="Consolas"/>
          <w:b w:val="0"/>
          <w:i w:val="0"/>
          <w:sz w:val="15"/>
        </w:rPr>
        <w:t xml:space="preserve">    [Add Custom Parameter]</w:t>
      </w:r>
    </w:p>
    <w:p>
      <w:pPr>
        <w:spacing w:after="0" w:before="0" w:line="240" w:lineRule="auto"/>
        <w:ind w:left="57"/>
        <w:jc w:val="left"/>
        <w:shd w:val="clear" w:fill="F2F2F2"/>
      </w:pPr>
      <w:r>
        <w:rPr>
          <w:rFonts w:ascii="Consolas" w:hAnsi="Consolas" w:cs="Consolas"/>
          <w:b w:val="0"/>
          <w:i w:val="0"/>
          <w:sz w:val="15"/>
        </w:rPr>
        <w:t xml:space="preserve">    PACKING &amp; WEIGHT</w:t>
      </w:r>
    </w:p>
    <w:p>
      <w:pPr>
        <w:spacing w:after="0" w:before="0" w:line="240" w:lineRule="auto"/>
        <w:ind w:left="57"/>
        <w:jc w:val="left"/>
        <w:shd w:val="clear" w:fill="F2F2F2"/>
      </w:pPr>
      <w:r>
        <w:rPr>
          <w:rFonts w:ascii="Consolas" w:hAnsi="Consolas" w:cs="Consolas"/>
          <w:b w:val="0"/>
          <w:i w:val="0"/>
          <w:sz w:val="15"/>
        </w:rPr>
        <w:t xml:space="preserve">    Packaging: [Palletized ▼]  Number of Pallets: [22]</w:t>
      </w:r>
    </w:p>
    <w:p>
      <w:pPr>
        <w:spacing w:after="0" w:before="0" w:line="240" w:lineRule="auto"/>
        <w:ind w:left="57"/>
        <w:jc w:val="left"/>
        <w:shd w:val="clear" w:fill="F2F2F2"/>
      </w:pPr>
      <w:r>
        <w:rPr>
          <w:rFonts w:ascii="Consolas" w:hAnsi="Consolas" w:cs="Consolas"/>
          <w:b w:val="0"/>
          <w:i w:val="0"/>
          <w:sz w:val="15"/>
        </w:rPr>
        <w:t xml:space="preserve">    Pallet Type: [EUR 800×1200 mm ▼]  Cartons per Pallet: [40]</w:t>
      </w:r>
    </w:p>
    <w:p>
      <w:pPr>
        <w:spacing w:after="0" w:before="0" w:line="240" w:lineRule="auto"/>
        <w:ind w:left="57"/>
        <w:jc w:val="left"/>
        <w:shd w:val="clear" w:fill="F2F2F2"/>
      </w:pPr>
      <w:r>
        <w:rPr>
          <w:rFonts w:ascii="Consolas" w:hAnsi="Consolas" w:cs="Consolas"/>
          <w:b w:val="0"/>
          <w:i w:val="0"/>
          <w:sz w:val="15"/>
        </w:rPr>
        <w:t xml:space="preserve">    Net Weight per Carton: [10] kg  Gross Weight per Carton: [10.5] kg</w:t>
      </w:r>
    </w:p>
    <w:p>
      <w:pPr>
        <w:spacing w:after="0" w:before="0" w:line="240" w:lineRule="auto"/>
        <w:ind w:left="57"/>
        <w:jc w:val="left"/>
        <w:shd w:val="clear" w:fill="F2F2F2"/>
      </w:pPr>
      <w:r>
        <w:rPr>
          <w:rFonts w:ascii="Consolas" w:hAnsi="Consolas" w:cs="Consolas"/>
          <w:b w:val="0"/>
          <w:i w:val="0"/>
          <w:sz w:val="15"/>
        </w:rPr>
        <w:t xml:space="preserve">    Total Net Weight: 8,800 kg  Total Gross Weight: 9,240 kg</w:t>
      </w:r>
    </w:p>
    <w:p>
      <w:pPr>
        <w:spacing w:after="0" w:before="0" w:line="240" w:lineRule="auto"/>
        <w:ind w:left="57"/>
        <w:jc w:val="left"/>
        <w:shd w:val="clear" w:fill="F2F2F2"/>
      </w:pPr>
      <w:r>
        <w:rPr>
          <w:rFonts w:ascii="Consolas" w:hAnsi="Consolas" w:cs="Consolas"/>
          <w:b w:val="0"/>
          <w:i w:val="0"/>
          <w:sz w:val="15"/>
        </w:rPr>
        <w:t xml:space="preserve">    Within container limit (≤ 28,000 kg)</w:t>
      </w:r>
    </w:p>
    <w:p>
      <w:pPr>
        <w:spacing w:after="0" w:before="0" w:line="240" w:lineRule="auto"/>
        <w:ind w:left="57"/>
        <w:jc w:val="left"/>
        <w:shd w:val="clear" w:fill="F2F2F2"/>
      </w:pPr>
      <w:r>
        <w:rPr>
          <w:rFonts w:ascii="Consolas" w:hAnsi="Consolas" w:cs="Consolas"/>
          <w:b w:val="0"/>
          <w:i w:val="0"/>
          <w:sz w:val="15"/>
        </w:rPr>
        <w:t xml:space="preserve">    SPECIAL PROCEDURES</w:t>
      </w:r>
    </w:p>
    <w:p>
      <w:pPr>
        <w:spacing w:after="0" w:before="0" w:line="240" w:lineRule="auto"/>
        <w:ind w:left="57"/>
        <w:jc w:val="left"/>
        <w:shd w:val="clear" w:fill="F2F2F2"/>
      </w:pPr>
      <w:r>
        <w:rPr>
          <w:rFonts w:ascii="Consolas" w:hAnsi="Consolas" w:cs="Consolas"/>
          <w:b w:val="0"/>
          <w:i w:val="0"/>
          <w:sz w:val="15"/>
        </w:rPr>
        <w:t xml:space="preserve">    Cold Treatment Required: -0.5°C for 14 days</w:t>
      </w:r>
    </w:p>
    <w:p>
      <w:pPr>
        <w:spacing w:after="0" w:before="0" w:line="240" w:lineRule="auto"/>
        <w:ind w:left="57"/>
        <w:jc w:val="left"/>
        <w:shd w:val="clear" w:fill="F2F2F2"/>
      </w:pPr>
      <w:r>
        <w:rPr>
          <w:rFonts w:ascii="Consolas" w:hAnsi="Consolas" w:cs="Consolas"/>
          <w:b w:val="0"/>
          <w:i w:val="0"/>
          <w:sz w:val="15"/>
        </w:rPr>
        <w:t xml:space="preserve">    Start Date: [2026-07-01]  Completion Date: [2026-07-15]</w:t>
      </w:r>
    </w:p>
    <w:p>
      <w:pPr>
        <w:spacing w:after="0" w:before="0" w:line="240" w:lineRule="auto"/>
        <w:ind w:left="57"/>
        <w:jc w:val="left"/>
        <w:shd w:val="clear" w:fill="F2F2F2"/>
      </w:pPr>
      <w:r>
        <w:rPr>
          <w:rFonts w:ascii="Consolas" w:hAnsi="Consolas" w:cs="Consolas"/>
          <w:b w:val="0"/>
          <w:i w:val="0"/>
          <w:sz w:val="15"/>
        </w:rPr>
        <w:t xml:space="preserve">    Facility: [Egyptian Cold Treatment Center ▼]</w:t>
      </w:r>
    </w:p>
    <w:p>
      <w:pPr>
        <w:spacing w:after="0" w:before="0" w:line="240" w:lineRule="auto"/>
        <w:ind w:left="57"/>
        <w:jc w:val="left"/>
        <w:shd w:val="clear" w:fill="F2F2F2"/>
      </w:pPr>
      <w:r>
        <w:rPr>
          <w:rFonts w:ascii="Consolas" w:hAnsi="Consolas" w:cs="Consolas"/>
          <w:b w:val="0"/>
          <w:i w:val="0"/>
          <w:sz w:val="15"/>
        </w:rPr>
        <w:t xml:space="preserve">    ☑ I will upload the cold treatment certificate after completion</w:t>
      </w:r>
    </w:p>
    <w:p>
      <w:pPr>
        <w:spacing w:after="0" w:before="0" w:line="240" w:lineRule="auto"/>
        <w:ind w:left="57"/>
        <w:jc w:val="left"/>
        <w:shd w:val="clear" w:fill="F2F2F2"/>
      </w:pPr>
      <w:r>
        <w:rPr>
          <w:rFonts w:ascii="Consolas" w:hAnsi="Consolas" w:cs="Consolas"/>
          <w:b w:val="0"/>
          <w:i w:val="0"/>
          <w:sz w:val="15"/>
        </w:rPr>
        <w:t xml:space="preserve">    INSPECTION REQUIREMENTS</w:t>
      </w:r>
    </w:p>
    <w:p>
      <w:pPr>
        <w:spacing w:after="0" w:before="0" w:line="240" w:lineRule="auto"/>
        <w:ind w:left="57"/>
        <w:jc w:val="left"/>
        <w:shd w:val="clear" w:fill="F2F2F2"/>
      </w:pPr>
      <w:r>
        <w:rPr>
          <w:rFonts w:ascii="Consolas" w:hAnsi="Consolas" w:cs="Consolas"/>
          <w:b w:val="0"/>
          <w:i w:val="0"/>
          <w:sz w:val="15"/>
        </w:rPr>
        <w:t xml:space="preserve">    Inspection Type: [Third Party Inspection ▼]</w:t>
      </w:r>
    </w:p>
    <w:p>
      <w:pPr>
        <w:spacing w:after="0" w:before="0" w:line="240" w:lineRule="auto"/>
        <w:ind w:left="57"/>
        <w:jc w:val="left"/>
        <w:shd w:val="clear" w:fill="F2F2F2"/>
      </w:pPr>
      <w:r>
        <w:rPr>
          <w:rFonts w:ascii="Consolas" w:hAnsi="Consolas" w:cs="Consolas"/>
          <w:b w:val="0"/>
          <w:i w:val="0"/>
          <w:sz w:val="15"/>
        </w:rPr>
        <w:t xml:space="preserve">    AQL Sampling Plan: General Level II (5 pallets random)</w:t>
      </w:r>
    </w:p>
    <w:p>
      <w:pPr>
        <w:spacing w:after="0" w:before="0" w:line="240" w:lineRule="auto"/>
        <w:ind w:left="57"/>
        <w:jc w:val="left"/>
        <w:shd w:val="clear" w:fill="F2F2F2"/>
      </w:pPr>
      <w:r>
        <w:rPr>
          <w:rFonts w:ascii="Consolas" w:hAnsi="Consolas" w:cs="Consolas"/>
          <w:b w:val="0"/>
          <w:i w:val="0"/>
          <w:sz w:val="15"/>
        </w:rPr>
        <w:t xml:space="preserve">    [Remove Commodity]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Commodity 2: Lemons</w:t>
      </w:r>
    </w:p>
    <w:p>
      <w:pPr>
        <w:spacing w:after="0" w:before="0" w:line="240" w:lineRule="auto"/>
        <w:ind w:left="57"/>
        <w:jc w:val="left"/>
        <w:shd w:val="clear" w:fill="F2F2F2"/>
      </w:pPr>
      <w:r>
        <w:rPr>
          <w:rFonts w:ascii="Consolas" w:hAnsi="Consolas" w:cs="Consolas"/>
          <w:b w:val="0"/>
          <w:i w:val="0"/>
          <w:sz w:val="15"/>
        </w:rPr>
        <w:t xml:space="preserve">    Product: [0805.50 → Eureka Lemons] ▼ (autocomplete)</w:t>
      </w:r>
    </w:p>
    <w:p>
      <w:pPr>
        <w:spacing w:after="0" w:before="0" w:line="240" w:lineRule="auto"/>
        <w:ind w:left="57"/>
        <w:jc w:val="left"/>
        <w:shd w:val="clear" w:fill="F2F2F2"/>
      </w:pPr>
      <w:r>
        <w:rPr>
          <w:rFonts w:ascii="Consolas" w:hAnsi="Consolas" w:cs="Consolas"/>
          <w:b w:val="0"/>
          <w:i w:val="0"/>
          <w:sz w:val="15"/>
        </w:rPr>
        <w:t xml:space="preserve">    Commodity Type: [Fresh Fruits ▼]</w:t>
      </w:r>
    </w:p>
    <w:p>
      <w:pPr>
        <w:spacing w:after="0" w:before="0" w:line="240" w:lineRule="auto"/>
        <w:ind w:left="57"/>
        <w:jc w:val="left"/>
        <w:shd w:val="clear" w:fill="F2F2F2"/>
      </w:pPr>
      <w:r>
        <w:rPr>
          <w:rFonts w:ascii="Consolas" w:hAnsi="Consolas" w:cs="Consolas"/>
          <w:b w:val="0"/>
          <w:i w:val="0"/>
          <w:sz w:val="15"/>
        </w:rPr>
        <w:t xml:space="preserve">    Requested Quantity: [50] [MT ▼]  Tolerance: [±5% ▼]</w:t>
      </w:r>
    </w:p>
    <w:p>
      <w:pPr>
        <w:spacing w:after="0" w:before="0" w:line="240" w:lineRule="auto"/>
        <w:ind w:left="57"/>
        <w:jc w:val="left"/>
        <w:shd w:val="clear" w:fill="F2F2F2"/>
      </w:pPr>
      <w:r>
        <w:rPr>
          <w:rFonts w:ascii="Consolas" w:hAnsi="Consolas" w:cs="Consolas"/>
          <w:b w:val="0"/>
          <w:i w:val="0"/>
          <w:sz w:val="15"/>
        </w:rPr>
        <w:t xml:space="preserve">    Partial Shipment: [Yes]  Transshipment: [No]</w:t>
      </w:r>
    </w:p>
    <w:p>
      <w:pPr>
        <w:spacing w:after="0" w:before="0" w:line="240" w:lineRule="auto"/>
        <w:ind w:left="57"/>
        <w:jc w:val="left"/>
        <w:shd w:val="clear" w:fill="F2F2F2"/>
      </w:pPr>
      <w:r>
        <w:rPr>
          <w:rFonts w:ascii="Consolas" w:hAnsi="Consolas" w:cs="Consolas"/>
          <w:b w:val="0"/>
          <w:i w:val="0"/>
          <w:sz w:val="15"/>
        </w:rPr>
        <w:t xml:space="preserve">    ACCEPTANCE CRITERIA MATRIX</w:t>
      </w:r>
    </w:p>
    <w:p>
      <w:pPr>
        <w:spacing w:after="0" w:before="0" w:line="240" w:lineRule="auto"/>
        <w:ind w:left="57"/>
        <w:jc w:val="left"/>
        <w:shd w:val="clear" w:fill="F2F2F2"/>
      </w:pPr>
      <w:r>
        <w:rPr>
          <w:rFonts w:ascii="Consolas" w:hAnsi="Consolas" w:cs="Consolas"/>
          <w:b w:val="0"/>
          <w:i w:val="0"/>
          <w:sz w:val="15"/>
        </w:rPr>
        <w:t xml:space="preserve">    Moisture  Max 15%  %  Within  EU</w:t>
      </w:r>
    </w:p>
    <w:p>
      <w:pPr>
        <w:spacing w:after="0" w:before="0" w:line="240" w:lineRule="auto"/>
        <w:ind w:left="57"/>
        <w:jc w:val="left"/>
        <w:shd w:val="clear" w:fill="F2F2F2"/>
      </w:pPr>
      <w:r>
        <w:rPr>
          <w:rFonts w:ascii="Consolas" w:hAnsi="Consolas" w:cs="Consolas"/>
          <w:b w:val="0"/>
          <w:i w:val="0"/>
          <w:sz w:val="15"/>
        </w:rPr>
        <w:t xml:space="preserve">    Acidity   Min 5%   %  Within  Codex</w:t>
      </w:r>
    </w:p>
    <w:p>
      <w:pPr>
        <w:spacing w:after="0" w:before="0" w:line="240" w:lineRule="auto"/>
        <w:ind w:left="57"/>
        <w:jc w:val="left"/>
        <w:shd w:val="clear" w:fill="F2F2F2"/>
      </w:pPr>
      <w:r>
        <w:rPr>
          <w:rFonts w:ascii="Consolas" w:hAnsi="Consolas" w:cs="Consolas"/>
          <w:b w:val="0"/>
          <w:i w:val="0"/>
          <w:sz w:val="15"/>
        </w:rPr>
        <w:t xml:space="preserve">    Purity    Min 98%  %  Within  WTO</w:t>
      </w:r>
    </w:p>
    <w:p>
      <w:pPr>
        <w:spacing w:after="0" w:before="0" w:line="240" w:lineRule="auto"/>
        <w:ind w:left="57"/>
        <w:jc w:val="left"/>
        <w:shd w:val="clear" w:fill="F2F2F2"/>
      </w:pPr>
      <w:r>
        <w:rPr>
          <w:rFonts w:ascii="Consolas" w:hAnsi="Consolas" w:cs="Consolas"/>
          <w:b w:val="0"/>
          <w:i w:val="0"/>
          <w:sz w:val="15"/>
        </w:rPr>
        <w:t xml:space="preserve">    PACKING &amp; WEIGHT</w:t>
      </w:r>
    </w:p>
    <w:p>
      <w:pPr>
        <w:spacing w:after="0" w:before="0" w:line="240" w:lineRule="auto"/>
        <w:ind w:left="57"/>
        <w:jc w:val="left"/>
        <w:shd w:val="clear" w:fill="F2F2F2"/>
      </w:pPr>
      <w:r>
        <w:rPr>
          <w:rFonts w:ascii="Consolas" w:hAnsi="Consolas" w:cs="Consolas"/>
          <w:b w:val="0"/>
          <w:i w:val="0"/>
          <w:sz w:val="15"/>
        </w:rPr>
        <w:t xml:space="preserve">    Packaging: [Palletized ▼]  Number of Pallets: [14]</w:t>
      </w:r>
    </w:p>
    <w:p>
      <w:pPr>
        <w:spacing w:after="0" w:before="0" w:line="240" w:lineRule="auto"/>
        <w:ind w:left="57"/>
        <w:jc w:val="left"/>
        <w:shd w:val="clear" w:fill="F2F2F2"/>
      </w:pPr>
      <w:r>
        <w:rPr>
          <w:rFonts w:ascii="Consolas" w:hAnsi="Consolas" w:cs="Consolas"/>
          <w:b w:val="0"/>
          <w:i w:val="0"/>
          <w:sz w:val="15"/>
        </w:rPr>
        <w:t xml:space="preserve">    Pallet Type: [EUR 800×1200 mm ▼]  Cartons per Pallet: [48]</w:t>
      </w:r>
    </w:p>
    <w:p>
      <w:pPr>
        <w:spacing w:after="0" w:before="0" w:line="240" w:lineRule="auto"/>
        <w:ind w:left="57"/>
        <w:jc w:val="left"/>
        <w:shd w:val="clear" w:fill="F2F2F2"/>
      </w:pPr>
      <w:r>
        <w:rPr>
          <w:rFonts w:ascii="Consolas" w:hAnsi="Consolas" w:cs="Consolas"/>
          <w:b w:val="0"/>
          <w:i w:val="0"/>
          <w:sz w:val="15"/>
        </w:rPr>
        <w:t xml:space="preserve">    Net Weight per Carton: [8] kg  Gross Weight per Carton: [8.4] kg</w:t>
      </w:r>
    </w:p>
    <w:p>
      <w:pPr>
        <w:spacing w:after="0" w:before="0" w:line="240" w:lineRule="auto"/>
        <w:ind w:left="57"/>
        <w:jc w:val="left"/>
        <w:shd w:val="clear" w:fill="F2F2F2"/>
      </w:pPr>
      <w:r>
        <w:rPr>
          <w:rFonts w:ascii="Consolas" w:hAnsi="Consolas" w:cs="Consolas"/>
          <w:b w:val="0"/>
          <w:i w:val="0"/>
          <w:sz w:val="15"/>
        </w:rPr>
        <w:t xml:space="preserve">    Total Net Weight: 5,376 kg  Total Gross Weight: 5,644.8 kg</w:t>
      </w:r>
    </w:p>
    <w:p>
      <w:pPr>
        <w:spacing w:after="0" w:before="0" w:line="240" w:lineRule="auto"/>
        <w:ind w:left="57"/>
        <w:jc w:val="left"/>
        <w:shd w:val="clear" w:fill="F2F2F2"/>
      </w:pPr>
      <w:r>
        <w:rPr>
          <w:rFonts w:ascii="Consolas" w:hAnsi="Consolas" w:cs="Consolas"/>
          <w:b w:val="0"/>
          <w:i w:val="0"/>
          <w:sz w:val="15"/>
        </w:rPr>
        <w:t xml:space="preserve">    Within container limit (≤ 28,000 kg)</w:t>
      </w:r>
    </w:p>
    <w:p>
      <w:pPr>
        <w:spacing w:after="0" w:before="0" w:line="240" w:lineRule="auto"/>
        <w:ind w:left="57"/>
        <w:jc w:val="left"/>
        <w:shd w:val="clear" w:fill="F2F2F2"/>
      </w:pPr>
      <w:r>
        <w:rPr>
          <w:rFonts w:ascii="Consolas" w:hAnsi="Consolas" w:cs="Consolas"/>
          <w:b w:val="0"/>
          <w:i w:val="0"/>
          <w:sz w:val="15"/>
        </w:rPr>
        <w:t xml:space="preserve">    [Remove Commodity]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[Add Another Commodity]</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6.6.5 Acceptance Criteria Matrix Rendering</w:t>
      </w:r>
    </w:p>
    <w:p>
      <w:pPr>
        <w:spacing w:after="80" w:line="293" w:lineRule="auto"/>
        <w:jc w:val="left"/>
      </w:pPr>
      <w:r>
        <w:rPr>
          <w:rFonts w:ascii="Times New Roman" w:hAnsi="Times New Roman" w:cs="Times New Roman"/>
          <w:b w:val="0"/>
          <w:i w:val="0"/>
          <w:sz w:val="22"/>
        </w:rPr>
        <w:t>The Acceptance Criteria Matrix is dynamically rendered based on the Product Form Agent schema. Component: table with columns Parameter, Value/Limit, Unit, Status, Source. Status: Within (green), Pending (amber), Exceeded (red). Clicking a row opens a detail view with the source regulation and confidence. Interaction: the buyer can add a custom parameter (free text) and can request deviation approval for parameters that exceed limits; deviation requests are routed to the Compliance Officer.</w:t>
      </w:r>
    </w:p>
    <w:p>
      <w:pPr>
        <w:spacing w:after="0" w:before="0" w:line="240" w:lineRule="auto"/>
        <w:ind w:left="57"/>
        <w:jc w:val="left"/>
        <w:shd w:val="clear" w:fill="F2F2F2"/>
      </w:pPr>
      <w:r>
        <w:rPr>
          <w:rFonts w:ascii="Consolas" w:hAnsi="Consolas" w:cs="Consolas"/>
          <w:b w:val="0"/>
          <w:i w:val="0"/>
          <w:sz w:val="15"/>
        </w:rPr>
        <w:t>ACCEPTANCE CRITERIA MATRIX — Oranges (HS 0805.10)</w:t>
      </w:r>
    </w:p>
    <w:p>
      <w:pPr>
        <w:spacing w:after="0" w:before="0" w:line="240" w:lineRule="auto"/>
        <w:ind w:left="57"/>
        <w:jc w:val="left"/>
        <w:shd w:val="clear" w:fill="F2F2F2"/>
      </w:pPr>
      <w:r>
        <w:rPr>
          <w:rFonts w:ascii="Consolas" w:hAnsi="Consolas" w:cs="Consolas"/>
          <w:b w:val="0"/>
          <w:i w:val="0"/>
          <w:sz w:val="15"/>
        </w:rPr>
        <w:t xml:space="preserve">  These specifications determine whether the goods will be accepted or</w:t>
      </w:r>
    </w:p>
    <w:p>
      <w:pPr>
        <w:spacing w:after="0" w:before="0" w:line="240" w:lineRule="auto"/>
        <w:ind w:left="57"/>
        <w:jc w:val="left"/>
        <w:shd w:val="clear" w:fill="F2F2F2"/>
      </w:pPr>
      <w:r>
        <w:rPr>
          <w:rFonts w:ascii="Consolas" w:hAnsi="Consolas" w:cs="Consolas"/>
          <w:b w:val="0"/>
          <w:i w:val="0"/>
          <w:sz w:val="15"/>
        </w:rPr>
        <w:t xml:space="preserve">  rejected. All values must be within the specified limits.</w:t>
      </w:r>
    </w:p>
    <w:p>
      <w:pPr>
        <w:spacing w:after="0" w:before="0" w:line="240" w:lineRule="auto"/>
        <w:ind w:left="57"/>
        <w:jc w:val="left"/>
        <w:shd w:val="clear" w:fill="F2F2F2"/>
      </w:pPr>
      <w:r>
        <w:rPr>
          <w:rFonts w:ascii="Consolas" w:hAnsi="Consolas" w:cs="Consolas"/>
          <w:b w:val="0"/>
          <w:i w:val="0"/>
          <w:sz w:val="15"/>
        </w:rPr>
        <w:t xml:space="preserve">  Parameter        Value / Limit   Unit   Status    Source</w:t>
      </w:r>
    </w:p>
    <w:p>
      <w:pPr>
        <w:spacing w:after="0" w:before="0" w:line="240" w:lineRule="auto"/>
        <w:ind w:left="57"/>
        <w:jc w:val="left"/>
        <w:shd w:val="clear" w:fill="F2F2F2"/>
      </w:pPr>
      <w:r>
        <w:rPr>
          <w:rFonts w:ascii="Consolas" w:hAnsi="Consolas" w:cs="Consolas"/>
          <w:b w:val="0"/>
          <w:i w:val="0"/>
          <w:sz w:val="15"/>
        </w:rPr>
        <w:t xml:space="preserve">  Moisture         Max 14%         %      Within    EU RASFF #2026</w:t>
      </w:r>
    </w:p>
    <w:p>
      <w:pPr>
        <w:spacing w:after="0" w:before="0" w:line="240" w:lineRule="auto"/>
        <w:ind w:left="57"/>
        <w:jc w:val="left"/>
        <w:shd w:val="clear" w:fill="F2F2F2"/>
      </w:pPr>
      <w:r>
        <w:rPr>
          <w:rFonts w:ascii="Consolas" w:hAnsi="Consolas" w:cs="Consolas"/>
          <w:b w:val="0"/>
          <w:i w:val="0"/>
          <w:sz w:val="15"/>
        </w:rPr>
        <w:t xml:space="preserve">  Protein          Min 12%         %      Within    Codex Alimentar</w:t>
      </w:r>
    </w:p>
    <w:p>
      <w:pPr>
        <w:spacing w:after="0" w:before="0" w:line="240" w:lineRule="auto"/>
        <w:ind w:left="57"/>
        <w:jc w:val="left"/>
        <w:shd w:val="clear" w:fill="F2F2F2"/>
      </w:pPr>
      <w:r>
        <w:rPr>
          <w:rFonts w:ascii="Consolas" w:hAnsi="Consolas" w:cs="Consolas"/>
          <w:b w:val="0"/>
          <w:i w:val="0"/>
          <w:sz w:val="15"/>
        </w:rPr>
        <w:t xml:space="preserve">  Purity           Min 99%         %      Within    WTO SPS #2025</w:t>
      </w:r>
    </w:p>
    <w:p>
      <w:pPr>
        <w:spacing w:after="0" w:before="0" w:line="240" w:lineRule="auto"/>
        <w:ind w:left="57"/>
        <w:jc w:val="left"/>
        <w:shd w:val="clear" w:fill="F2F2F2"/>
      </w:pPr>
      <w:r>
        <w:rPr>
          <w:rFonts w:ascii="Consolas" w:hAnsi="Consolas" w:cs="Consolas"/>
          <w:b w:val="0"/>
          <w:i w:val="0"/>
          <w:sz w:val="15"/>
        </w:rPr>
        <w:t xml:space="preserve">  Crude Fat        Max 8%          %      Within    EU RASFF #2026</w:t>
      </w:r>
    </w:p>
    <w:p>
      <w:pPr>
        <w:spacing w:after="0" w:before="0" w:line="240" w:lineRule="auto"/>
        <w:ind w:left="57"/>
        <w:jc w:val="left"/>
        <w:shd w:val="clear" w:fill="F2F2F2"/>
      </w:pPr>
      <w:r>
        <w:rPr>
          <w:rFonts w:ascii="Consolas" w:hAnsi="Consolas" w:cs="Consolas"/>
          <w:b w:val="0"/>
          <w:i w:val="0"/>
          <w:sz w:val="15"/>
        </w:rPr>
        <w:t xml:space="preserve">  Ash              Max 2%          %      Pending   Codex Alimentar</w:t>
      </w:r>
    </w:p>
    <w:p>
      <w:pPr>
        <w:spacing w:after="0" w:before="0" w:line="240" w:lineRule="auto"/>
        <w:ind w:left="57"/>
        <w:jc w:val="left"/>
        <w:shd w:val="clear" w:fill="F2F2F2"/>
      </w:pPr>
      <w:r>
        <w:rPr>
          <w:rFonts w:ascii="Consolas" w:hAnsi="Consolas" w:cs="Consolas"/>
          <w:b w:val="0"/>
          <w:i w:val="0"/>
          <w:sz w:val="15"/>
        </w:rPr>
        <w:t xml:space="preserve">  Foreign Matter   Max 0.5%        %      Exceeded  EU RASFF #2026</w:t>
      </w:r>
    </w:p>
    <w:p>
      <w:pPr>
        <w:spacing w:after="0" w:before="0" w:line="240" w:lineRule="auto"/>
        <w:ind w:left="57"/>
        <w:jc w:val="left"/>
        <w:shd w:val="clear" w:fill="F2F2F2"/>
      </w:pPr>
      <w:r>
        <w:rPr>
          <w:rFonts w:ascii="Consolas" w:hAnsi="Consolas" w:cs="Consolas"/>
          <w:b w:val="0"/>
          <w:i w:val="0"/>
          <w:sz w:val="15"/>
        </w:rPr>
        <w:t xml:space="preserve">  [Add Custom Parameter] [Request Deviation Approval for Foreign Matter]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 Recommendation: Foreign Matter exceeds the EU limit. Consider improving</w:t>
      </w:r>
    </w:p>
    <w:p>
      <w:pPr>
        <w:spacing w:after="0" w:before="0" w:line="240" w:lineRule="auto"/>
        <w:ind w:left="57"/>
        <w:jc w:val="left"/>
        <w:shd w:val="clear" w:fill="F2F2F2"/>
      </w:pPr>
      <w:r>
        <w:rPr>
          <w:rFonts w:ascii="Consolas" w:hAnsi="Consolas" w:cs="Consolas"/>
          <w:b w:val="0"/>
          <w:i w:val="0"/>
          <w:sz w:val="15"/>
        </w:rPr>
        <w:t xml:space="preserve">  the cleaning process or request deviation approval with justification.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6.6.6 Weight Calculation Engine</w:t>
      </w:r>
    </w:p>
    <w:p>
      <w:pPr>
        <w:keepNext/>
        <w:spacing w:before="140" w:after="60"/>
        <w:outlineLvl w:val="3"/>
      </w:pPr>
      <w:r>
        <w:rPr>
          <w:rFonts w:ascii="Arial" w:hAnsi="Arial" w:cs="Arial"/>
          <w:b/>
          <w:i/>
          <w:color w:val="333333"/>
          <w:sz w:val="22"/>
        </w:rPr>
        <w:t>6.6.6.1 Core Calculations</w:t>
      </w:r>
    </w:p>
    <w:p>
      <w:pPr>
        <w:spacing w:after="80" w:line="293" w:lineRule="auto"/>
        <w:jc w:val="left"/>
      </w:pPr>
      <w:r>
        <w:rPr>
          <w:rFonts w:ascii="Times New Roman" w:hAnsi="Times New Roman" w:cs="Times New Roman"/>
          <w:b w:val="0"/>
          <w:i w:val="0"/>
          <w:sz w:val="22"/>
        </w:rPr>
        <w:t>The system calculates weights in real time based on the commodity configuration:</w:t>
      </w:r>
    </w:p>
    <w:p>
      <w:pPr>
        <w:spacing w:after="0" w:before="0" w:line="240" w:lineRule="auto"/>
        <w:ind w:left="57"/>
        <w:jc w:val="left"/>
        <w:shd w:val="clear" w:fill="F2F2F2"/>
      </w:pPr>
      <w:r>
        <w:rPr>
          <w:rFonts w:ascii="Consolas" w:hAnsi="Consolas" w:cs="Consolas"/>
          <w:b w:val="0"/>
          <w:i w:val="0"/>
          <w:sz w:val="15"/>
        </w:rPr>
        <w:t>Total Cartons        = Σ (Pallets × Cartons per Pallet)</w:t>
      </w:r>
    </w:p>
    <w:p>
      <w:pPr>
        <w:spacing w:after="0" w:before="0" w:line="240" w:lineRule="auto"/>
        <w:ind w:left="57"/>
        <w:jc w:val="left"/>
        <w:shd w:val="clear" w:fill="F2F2F2"/>
      </w:pPr>
      <w:r>
        <w:rPr>
          <w:rFonts w:ascii="Consolas" w:hAnsi="Consolas" w:cs="Consolas"/>
          <w:b w:val="0"/>
          <w:i w:val="0"/>
          <w:sz w:val="15"/>
        </w:rPr>
        <w:t>Total Net Weight     = Σ (Total Cartons × Net Weight per Carton)</w:t>
      </w:r>
    </w:p>
    <w:p>
      <w:pPr>
        <w:spacing w:after="0" w:before="0" w:line="240" w:lineRule="auto"/>
        <w:ind w:left="57"/>
        <w:jc w:val="left"/>
        <w:shd w:val="clear" w:fill="F2F2F2"/>
      </w:pPr>
      <w:r>
        <w:rPr>
          <w:rFonts w:ascii="Consolas" w:hAnsi="Consolas" w:cs="Consolas"/>
          <w:b w:val="0"/>
          <w:i w:val="0"/>
          <w:sz w:val="15"/>
        </w:rPr>
        <w:t>Gross (Cartons Only) = Σ (Total Cartons × (Net Weight per Carton + Tare per Carton))</w:t>
      </w:r>
    </w:p>
    <w:p>
      <w:pPr>
        <w:spacing w:after="0" w:before="0" w:line="240" w:lineRule="auto"/>
        <w:ind w:left="57"/>
        <w:jc w:val="left"/>
        <w:shd w:val="clear" w:fill="F2F2F2"/>
      </w:pPr>
      <w:r>
        <w:rPr>
          <w:rFonts w:ascii="Consolas" w:hAnsi="Consolas" w:cs="Consolas"/>
          <w:b w:val="0"/>
          <w:i w:val="0"/>
          <w:sz w:val="15"/>
        </w:rPr>
        <w:t>Total Gross Weight   = Gross (Cartons Only) + Σ (Pallets × Pallet Tare)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 two commodities (pallet tare 25 kg for EUR):</w:t>
      </w:r>
    </w:p>
    <w:p>
      <w:pPr>
        <w:spacing w:after="0" w:before="0" w:line="240" w:lineRule="auto"/>
        <w:ind w:left="57"/>
        <w:jc w:val="left"/>
        <w:shd w:val="clear" w:fill="F2F2F2"/>
      </w:pPr>
      <w:r>
        <w:rPr>
          <w:rFonts w:ascii="Consolas" w:hAnsi="Consolas" w:cs="Consolas"/>
          <w:b w:val="0"/>
          <w:i w:val="0"/>
          <w:sz w:val="15"/>
        </w:rPr>
        <w:t>Commodity A (Oranges): 22 pallets, 40 cartons/pallet, net 10 kg/carton, tare 0.5 kg</w:t>
      </w:r>
    </w:p>
    <w:p>
      <w:pPr>
        <w:spacing w:after="0" w:before="0" w:line="240" w:lineRule="auto"/>
        <w:ind w:left="57"/>
        <w:jc w:val="left"/>
        <w:shd w:val="clear" w:fill="F2F2F2"/>
      </w:pPr>
      <w:r>
        <w:rPr>
          <w:rFonts w:ascii="Consolas" w:hAnsi="Consolas" w:cs="Consolas"/>
          <w:b w:val="0"/>
          <w:i w:val="0"/>
          <w:sz w:val="15"/>
        </w:rPr>
        <w:t xml:space="preserve">  total cartons = 22 × 40 = 880</w:t>
      </w:r>
    </w:p>
    <w:p>
      <w:pPr>
        <w:spacing w:after="0" w:before="0" w:line="240" w:lineRule="auto"/>
        <w:ind w:left="57"/>
        <w:jc w:val="left"/>
        <w:shd w:val="clear" w:fill="F2F2F2"/>
      </w:pPr>
      <w:r>
        <w:rPr>
          <w:rFonts w:ascii="Consolas" w:hAnsi="Consolas" w:cs="Consolas"/>
          <w:b w:val="0"/>
          <w:i w:val="0"/>
          <w:sz w:val="15"/>
        </w:rPr>
        <w:t xml:space="preserve">  net           = 880 × 10   = 8,800 kg</w:t>
      </w:r>
    </w:p>
    <w:p>
      <w:pPr>
        <w:spacing w:after="0" w:before="0" w:line="240" w:lineRule="auto"/>
        <w:ind w:left="57"/>
        <w:jc w:val="left"/>
        <w:shd w:val="clear" w:fill="F2F2F2"/>
      </w:pPr>
      <w:r>
        <w:rPr>
          <w:rFonts w:ascii="Consolas" w:hAnsi="Consolas" w:cs="Consolas"/>
          <w:b w:val="0"/>
          <w:i w:val="0"/>
          <w:sz w:val="15"/>
        </w:rPr>
        <w:t xml:space="preserve">  gross (cartons) = 880 × 10.5 = 9,240 kg</w:t>
      </w:r>
    </w:p>
    <w:p>
      <w:pPr>
        <w:spacing w:after="0" w:before="0" w:line="240" w:lineRule="auto"/>
        <w:ind w:left="57"/>
        <w:jc w:val="left"/>
        <w:shd w:val="clear" w:fill="F2F2F2"/>
      </w:pPr>
      <w:r>
        <w:rPr>
          <w:rFonts w:ascii="Consolas" w:hAnsi="Consolas" w:cs="Consolas"/>
          <w:b w:val="0"/>
          <w:i w:val="0"/>
          <w:sz w:val="15"/>
        </w:rPr>
        <w:t>Commodity B (Lemons): 14 pallets, 48 cartons/pallet, net 8 kg/carton, tare 0.4 kg</w:t>
      </w:r>
    </w:p>
    <w:p>
      <w:pPr>
        <w:spacing w:after="0" w:before="0" w:line="240" w:lineRule="auto"/>
        <w:ind w:left="57"/>
        <w:jc w:val="left"/>
        <w:shd w:val="clear" w:fill="F2F2F2"/>
      </w:pPr>
      <w:r>
        <w:rPr>
          <w:rFonts w:ascii="Consolas" w:hAnsi="Consolas" w:cs="Consolas"/>
          <w:b w:val="0"/>
          <w:i w:val="0"/>
          <w:sz w:val="15"/>
        </w:rPr>
        <w:t xml:space="preserve">  total cartons = 14 × 48 = 672</w:t>
      </w:r>
    </w:p>
    <w:p>
      <w:pPr>
        <w:spacing w:after="0" w:before="0" w:line="240" w:lineRule="auto"/>
        <w:ind w:left="57"/>
        <w:jc w:val="left"/>
        <w:shd w:val="clear" w:fill="F2F2F2"/>
      </w:pPr>
      <w:r>
        <w:rPr>
          <w:rFonts w:ascii="Consolas" w:hAnsi="Consolas" w:cs="Consolas"/>
          <w:b w:val="0"/>
          <w:i w:val="0"/>
          <w:sz w:val="15"/>
        </w:rPr>
        <w:t xml:space="preserve">  net           = 672 × 8   = 5,376 kg</w:t>
      </w:r>
    </w:p>
    <w:p>
      <w:pPr>
        <w:spacing w:after="0" w:before="0" w:line="240" w:lineRule="auto"/>
        <w:ind w:left="57"/>
        <w:jc w:val="left"/>
        <w:shd w:val="clear" w:fill="F2F2F2"/>
      </w:pPr>
      <w:r>
        <w:rPr>
          <w:rFonts w:ascii="Consolas" w:hAnsi="Consolas" w:cs="Consolas"/>
          <w:b w:val="0"/>
          <w:i w:val="0"/>
          <w:sz w:val="15"/>
        </w:rPr>
        <w:t xml:space="preserve">  gross (cartons) = 672 × 8.4 = 5,644.8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totals:</w:t>
      </w:r>
    </w:p>
    <w:p>
      <w:pPr>
        <w:spacing w:after="0" w:before="0" w:line="240" w:lineRule="auto"/>
        <w:ind w:left="57"/>
        <w:jc w:val="left"/>
        <w:shd w:val="clear" w:fill="F2F2F2"/>
      </w:pPr>
      <w:r>
        <w:rPr>
          <w:rFonts w:ascii="Consolas" w:hAnsi="Consolas" w:cs="Consolas"/>
          <w:b w:val="0"/>
          <w:i w:val="0"/>
          <w:sz w:val="15"/>
        </w:rPr>
        <w:t xml:space="preserve">  total pallets        = 22 + 14 = 36</w:t>
      </w:r>
    </w:p>
    <w:p>
      <w:pPr>
        <w:spacing w:after="0" w:before="0" w:line="240" w:lineRule="auto"/>
        <w:ind w:left="57"/>
        <w:jc w:val="left"/>
        <w:shd w:val="clear" w:fill="F2F2F2"/>
      </w:pPr>
      <w:r>
        <w:rPr>
          <w:rFonts w:ascii="Consolas" w:hAnsi="Consolas" w:cs="Consolas"/>
          <w:b w:val="0"/>
          <w:i w:val="0"/>
          <w:sz w:val="15"/>
        </w:rPr>
        <w:t xml:space="preserve">  total net            = 8,800 + 5,376 = 14,176 kg</w:t>
      </w:r>
    </w:p>
    <w:p>
      <w:pPr>
        <w:spacing w:after="0" w:before="0" w:line="240" w:lineRule="auto"/>
        <w:ind w:left="57"/>
        <w:jc w:val="left"/>
        <w:shd w:val="clear" w:fill="F2F2F2"/>
      </w:pPr>
      <w:r>
        <w:rPr>
          <w:rFonts w:ascii="Consolas" w:hAnsi="Consolas" w:cs="Consolas"/>
          <w:b w:val="0"/>
          <w:i w:val="0"/>
          <w:sz w:val="15"/>
        </w:rPr>
        <w:t xml:space="preserve">  gross (cartons)      = 9,240 + 5,644.8 = 14,884.8 kg</w:t>
      </w:r>
    </w:p>
    <w:p>
      <w:pPr>
        <w:spacing w:after="0" w:before="0" w:line="240" w:lineRule="auto"/>
        <w:ind w:left="57"/>
        <w:jc w:val="left"/>
        <w:shd w:val="clear" w:fill="F2F2F2"/>
      </w:pPr>
      <w:r>
        <w:rPr>
          <w:rFonts w:ascii="Consolas" w:hAnsi="Consolas" w:cs="Consolas"/>
          <w:b w:val="0"/>
          <w:i w:val="0"/>
          <w:sz w:val="15"/>
        </w:rPr>
        <w:t xml:space="preserve">  pallet tare total    = 36 × 25 = 900 kg</w:t>
      </w:r>
    </w:p>
    <w:p>
      <w:pPr>
        <w:spacing w:after="0" w:before="0" w:line="240" w:lineRule="auto"/>
        <w:ind w:left="57"/>
        <w:jc w:val="left"/>
        <w:shd w:val="clear" w:fill="F2F2F2"/>
      </w:pPr>
      <w:r>
        <w:rPr>
          <w:rFonts w:ascii="Consolas" w:hAnsi="Consolas" w:cs="Consolas"/>
          <w:b w:val="0"/>
          <w:i w:val="0"/>
          <w:sz w:val="15"/>
        </w:rPr>
        <w:t xml:space="preserve">  total gross          = 14,884.8 + 900 = 15,784.8 kg</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6.6.6.2 Real-Time Display</w:t>
      </w:r>
    </w:p>
    <w:p>
      <w:pPr>
        <w:spacing w:after="80" w:line="293" w:lineRule="auto"/>
        <w:jc w:val="left"/>
      </w:pPr>
      <w:r>
        <w:rPr>
          <w:rFonts w:ascii="Times New Roman" w:hAnsi="Times New Roman" w:cs="Times New Roman"/>
          <w:b w:val="0"/>
          <w:i w:val="0"/>
          <w:sz w:val="22"/>
        </w:rPr>
        <w:t>The system displays these totals in real time as the buyer adjusts packing parameters. A dedicated weight summary card shows the per-commodity carton counts, net and gross weights, and the container total against the container limit (for example, "TOTAL GROSS WEIGHT (including pallets): 15,784.8 kg — Within container limit (≤ 28,000 kg for 40ft container)").</w:t>
      </w:r>
    </w:p>
    <w:p>
      <w:pPr>
        <w:keepNext/>
        <w:spacing w:before="140" w:after="60"/>
        <w:outlineLvl w:val="3"/>
      </w:pPr>
      <w:r>
        <w:rPr>
          <w:rFonts w:ascii="Arial" w:hAnsi="Arial" w:cs="Arial"/>
          <w:b/>
          <w:i/>
          <w:color w:val="333333"/>
          <w:sz w:val="22"/>
        </w:rPr>
        <w:t>6.6.6.3 Container Capacity Validation</w:t>
      </w:r>
    </w:p>
    <w:p>
      <w:pPr>
        <w:spacing w:after="80" w:line="293" w:lineRule="auto"/>
        <w:jc w:val="left"/>
      </w:pPr>
      <w:r>
        <w:rPr>
          <w:rFonts w:ascii="Times New Roman" w:hAnsi="Times New Roman" w:cs="Times New Roman"/>
          <w:b w:val="0"/>
          <w:i w:val="0"/>
          <w:sz w:val="22"/>
        </w:rPr>
        <w:t>Validation rules (A4, WasmEdge): total gross weight ≤ container maximum payload; total volume ≤ container maximum volume (if packing plan locked). If exceeded, the Governor returns CONDITIONAL with the Decision Panel.</w:t>
      </w:r>
    </w:p>
    <w:p>
      <w:pPr>
        <w:spacing w:after="80" w:line="293" w:lineRule="auto"/>
        <w:jc w:val="left"/>
      </w:pPr>
      <w:r>
        <w:rPr>
          <w:rFonts w:ascii="Times New Roman" w:hAnsi="Times New Roman" w:cs="Times New Roman"/>
          <w:b w:val="0"/>
          <w:i w:val="0"/>
          <w:sz w:val="22"/>
        </w:rPr>
        <w:t>Example CONDITIONAL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"Container 1 exceeds the maximum payload limit. Total gross weight is 32,000 kg, but the maximum for a 40ft container is 28,000 kg.",</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"weight_exceeded",</w:t>
      </w:r>
    </w:p>
    <w:p>
      <w:pPr>
        <w:spacing w:after="0" w:before="0" w:line="240" w:lineRule="auto"/>
        <w:ind w:left="57"/>
        <w:jc w:val="left"/>
        <w:shd w:val="clear" w:fill="F2F2F2"/>
      </w:pPr>
      <w:r>
        <w:rPr>
          <w:rFonts w:ascii="Consolas" w:hAnsi="Consolas" w:cs="Consolas"/>
          <w:b w:val="0"/>
          <w:i w:val="0"/>
          <w:sz w:val="15"/>
        </w:rPr>
        <w:t xml:space="preserve">        "label": "Reduce weight or select a different container type",</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6.6.7 Two-Way Smart Product/HS Code Resolution</w:t>
      </w:r>
    </w:p>
    <w:p>
      <w:pPr>
        <w:keepNext/>
        <w:spacing w:before="140" w:after="60"/>
        <w:outlineLvl w:val="3"/>
      </w:pPr>
      <w:r>
        <w:rPr>
          <w:rFonts w:ascii="Arial" w:hAnsi="Arial" w:cs="Arial"/>
          <w:b/>
          <w:i/>
          <w:color w:val="333333"/>
          <w:sz w:val="22"/>
        </w:rPr>
        <w:t>6.6.7.1 Resolution Flows</w:t>
      </w:r>
    </w:p>
    <w:p>
      <w:pPr>
        <w:spacing w:after="80" w:line="293" w:lineRule="auto"/>
        <w:ind w:left="283"/>
        <w:jc w:val="left"/>
      </w:pPr>
      <w:r>
        <w:rPr>
          <w:rFonts w:ascii="Times New Roman" w:hAnsi="Times New Roman" w:cs="Times New Roman"/>
          <w:b w:val="0"/>
          <w:i w:val="0"/>
          <w:sz w:val="22"/>
        </w:rPr>
        <w:t>- Flow 1: Product Name → HS Code. The buyer types a product name (e.g., "Valencia Oranges"); the system</w:t>
      </w:r>
    </w:p>
    <w:p>
      <w:pPr>
        <w:spacing w:after="80" w:line="293" w:lineRule="auto"/>
        <w:jc w:val="left"/>
      </w:pPr>
      <w:r>
        <w:rPr>
          <w:rFonts w:ascii="Times New Roman" w:hAnsi="Times New Roman" w:cs="Times New Roman"/>
          <w:b w:val="0"/>
          <w:i w:val="0"/>
          <w:sz w:val="22"/>
        </w:rPr>
        <w:t>queries product vectors (pgvector) for the closest match; displays suggestions with confidence scores; the buyer selects the correct product; the system auto-fills the HS code.</w:t>
      </w:r>
    </w:p>
    <w:p>
      <w:pPr>
        <w:spacing w:after="80" w:line="293" w:lineRule="auto"/>
        <w:ind w:left="283"/>
        <w:jc w:val="left"/>
      </w:pPr>
      <w:r>
        <w:rPr>
          <w:rFonts w:ascii="Times New Roman" w:hAnsi="Times New Roman" w:cs="Times New Roman"/>
          <w:b w:val="0"/>
          <w:i w:val="0"/>
          <w:sz w:val="22"/>
        </w:rPr>
        <w:t>- Flow 2: HS Code → Product Name. The buyer types an HS code (e.g., "0805.10"); the system queries the HS</w:t>
      </w:r>
    </w:p>
    <w:p>
      <w:pPr>
        <w:spacing w:after="80" w:line="293" w:lineRule="auto"/>
        <w:jc w:val="left"/>
      </w:pPr>
      <w:r>
        <w:rPr>
          <w:rFonts w:ascii="Times New Roman" w:hAnsi="Times New Roman" w:cs="Times New Roman"/>
          <w:b w:val="0"/>
          <w:i w:val="0"/>
          <w:sz w:val="22"/>
        </w:rPr>
        <w:t>database for the product name; auto-fills the product name; triggers the Product Form Agent.</w:t>
      </w:r>
    </w:p>
    <w:p>
      <w:pPr>
        <w:spacing w:after="80" w:line="293" w:lineRule="auto"/>
        <w:ind w:left="283"/>
        <w:jc w:val="left"/>
      </w:pPr>
      <w:r>
        <w:rPr>
          <w:rFonts w:ascii="Times New Roman" w:hAnsi="Times New Roman" w:cs="Times New Roman"/>
          <w:b w:val="0"/>
          <w:i w:val="0"/>
          <w:sz w:val="22"/>
        </w:rPr>
        <w:t>- Flow 3: Free-Text → Product Name + HS Code. The buyer types free text; AI (A2, HF local) extracts the</w:t>
      </w:r>
    </w:p>
    <w:p>
      <w:pPr>
        <w:spacing w:after="80" w:line="293" w:lineRule="auto"/>
        <w:jc w:val="left"/>
      </w:pPr>
      <w:r>
        <w:rPr>
          <w:rFonts w:ascii="Times New Roman" w:hAnsi="Times New Roman" w:cs="Times New Roman"/>
          <w:b w:val="0"/>
          <w:i w:val="0"/>
          <w:sz w:val="22"/>
        </w:rPr>
        <w:t>product and HS code; suggestions with confidence scores are displayed; the buyer selects; the Product Form Agent triggers.</w:t>
      </w:r>
    </w:p>
    <w:p>
      <w:pPr>
        <w:spacing w:after="80" w:line="293" w:lineRule="auto"/>
        <w:ind w:left="283"/>
        <w:jc w:val="left"/>
      </w:pPr>
      <w:r>
        <w:rPr>
          <w:rFonts w:ascii="Times New Roman" w:hAnsi="Times New Roman" w:cs="Times New Roman"/>
          <w:b w:val="0"/>
          <w:i w:val="0"/>
          <w:sz w:val="22"/>
        </w:rPr>
        <w:t>- Flow 4: Buyer History → Product Name + HS Code. The buyer types a partial product name; the system shows</w:t>
      </w:r>
    </w:p>
    <w:p>
      <w:pPr>
        <w:spacing w:after="80" w:line="293" w:lineRule="auto"/>
        <w:jc w:val="left"/>
      </w:pPr>
      <w:r>
        <w:rPr>
          <w:rFonts w:ascii="Times New Roman" w:hAnsi="Times New Roman" w:cs="Times New Roman"/>
          <w:b w:val="0"/>
          <w:i w:val="0"/>
          <w:sz w:val="22"/>
        </w:rPr>
        <w:t>previously used products from the buyer's history; the buyer selects; the Product Form Agent triggers.</w:t>
      </w:r>
    </w:p>
    <w:p>
      <w:pPr>
        <w:keepNext/>
        <w:spacing w:before="140" w:after="60"/>
        <w:outlineLvl w:val="3"/>
      </w:pPr>
      <w:r>
        <w:rPr>
          <w:rFonts w:ascii="Arial" w:hAnsi="Arial" w:cs="Arial"/>
          <w:b/>
          <w:i/>
          <w:color w:val="333333"/>
          <w:sz w:val="22"/>
        </w:rPr>
        <w:t>6.6.7.2 UI Example</w:t>
      </w:r>
    </w:p>
    <w:p>
      <w:pPr>
        <w:spacing w:after="0" w:before="0" w:line="240" w:lineRule="auto"/>
        <w:ind w:left="57"/>
        <w:jc w:val="left"/>
        <w:shd w:val="clear" w:fill="F2F2F2"/>
      </w:pPr>
      <w:r>
        <w:rPr>
          <w:rFonts w:ascii="Consolas" w:hAnsi="Consolas" w:cs="Consolas"/>
          <w:b w:val="0"/>
          <w:i w:val="0"/>
          <w:sz w:val="15"/>
        </w:rPr>
        <w:t>Product Search — [Valencia oranges]</w:t>
      </w:r>
    </w:p>
    <w:p>
      <w:pPr>
        <w:spacing w:after="0" w:before="0" w:line="240" w:lineRule="auto"/>
        <w:ind w:left="57"/>
        <w:jc w:val="left"/>
        <w:shd w:val="clear" w:fill="F2F2F2"/>
      </w:pPr>
      <w:r>
        <w:rPr>
          <w:rFonts w:ascii="Consolas" w:hAnsi="Consolas" w:cs="Consolas"/>
          <w:b w:val="0"/>
          <w:i w:val="0"/>
          <w:sz w:val="15"/>
        </w:rPr>
        <w:t xml:space="preserve">  Suggestions:</w:t>
      </w:r>
    </w:p>
    <w:p>
      <w:pPr>
        <w:spacing w:after="0" w:before="0" w:line="240" w:lineRule="auto"/>
        <w:ind w:left="57"/>
        <w:jc w:val="left"/>
        <w:shd w:val="clear" w:fill="F2F2F2"/>
      </w:pPr>
      <w:r>
        <w:rPr>
          <w:rFonts w:ascii="Consolas" w:hAnsi="Consolas" w:cs="Consolas"/>
          <w:b w:val="0"/>
          <w:i w:val="0"/>
          <w:sz w:val="15"/>
        </w:rPr>
        <w:t xml:space="preserve">  • Valencia Oranges (HS 0805.10) — Fresh Fruits — Confidence: 98%</w:t>
      </w:r>
    </w:p>
    <w:p>
      <w:pPr>
        <w:spacing w:after="0" w:before="0" w:line="240" w:lineRule="auto"/>
        <w:ind w:left="57"/>
        <w:jc w:val="left"/>
        <w:shd w:val="clear" w:fill="F2F2F2"/>
      </w:pPr>
      <w:r>
        <w:rPr>
          <w:rFonts w:ascii="Consolas" w:hAnsi="Consolas" w:cs="Consolas"/>
          <w:b w:val="0"/>
          <w:i w:val="0"/>
          <w:sz w:val="15"/>
        </w:rPr>
        <w:t xml:space="preserve">    Recent trade: 15 May 2026 (12 trades)</w:t>
      </w:r>
    </w:p>
    <w:p>
      <w:pPr>
        <w:spacing w:after="0" w:before="0" w:line="240" w:lineRule="auto"/>
        <w:ind w:left="57"/>
        <w:jc w:val="left"/>
        <w:shd w:val="clear" w:fill="F2F2F2"/>
      </w:pPr>
      <w:r>
        <w:rPr>
          <w:rFonts w:ascii="Consolas" w:hAnsi="Consolas" w:cs="Consolas"/>
          <w:b w:val="0"/>
          <w:i w:val="0"/>
          <w:sz w:val="15"/>
        </w:rPr>
        <w:t xml:space="preserve">  • Navel Oranges (HS 0805.10) — Fresh Fruits — Confidence: 92%</w:t>
      </w:r>
    </w:p>
    <w:p>
      <w:pPr>
        <w:spacing w:after="0" w:before="0" w:line="240" w:lineRule="auto"/>
        <w:ind w:left="57"/>
        <w:jc w:val="left"/>
        <w:shd w:val="clear" w:fill="F2F2F2"/>
      </w:pPr>
      <w:r>
        <w:rPr>
          <w:rFonts w:ascii="Consolas" w:hAnsi="Consolas" w:cs="Consolas"/>
          <w:b w:val="0"/>
          <w:i w:val="0"/>
          <w:sz w:val="15"/>
        </w:rPr>
        <w:t xml:space="preserve">    Recent trade: 10 Jan 2026 (3 trades)</w:t>
      </w:r>
    </w:p>
    <w:p>
      <w:pPr>
        <w:spacing w:after="0" w:before="0" w:line="240" w:lineRule="auto"/>
        <w:ind w:left="57"/>
        <w:jc w:val="left"/>
        <w:shd w:val="clear" w:fill="F2F2F2"/>
      </w:pPr>
      <w:r>
        <w:rPr>
          <w:rFonts w:ascii="Consolas" w:hAnsi="Consolas" w:cs="Consolas"/>
          <w:b w:val="0"/>
          <w:i w:val="0"/>
          <w:sz w:val="15"/>
        </w:rPr>
        <w:t xml:space="preserve">  • Blood Oranges (HS 0805.10) — Fresh Fruits — Confidence: 85%</w:t>
      </w:r>
    </w:p>
    <w:p>
      <w:pPr>
        <w:spacing w:after="0" w:before="0" w:line="240" w:lineRule="auto"/>
        <w:ind w:left="57"/>
        <w:jc w:val="left"/>
        <w:shd w:val="clear" w:fill="F2F2F2"/>
      </w:pPr>
      <w:r>
        <w:rPr>
          <w:rFonts w:ascii="Consolas" w:hAnsi="Consolas" w:cs="Consolas"/>
          <w:b w:val="0"/>
          <w:i w:val="0"/>
          <w:sz w:val="15"/>
        </w:rPr>
        <w:t xml:space="preserve">    No trade history</w:t>
      </w:r>
    </w:p>
    <w:p>
      <w:pPr>
        <w:spacing w:after="0" w:before="0" w:line="240" w:lineRule="auto"/>
        <w:ind w:left="57"/>
        <w:jc w:val="left"/>
        <w:shd w:val="clear" w:fill="F2F2F2"/>
      </w:pPr>
      <w:r>
        <w:rPr>
          <w:rFonts w:ascii="Consolas" w:hAnsi="Consolas" w:cs="Consolas"/>
          <w:b w:val="0"/>
          <w:i w:val="0"/>
          <w:sz w:val="15"/>
        </w:rPr>
        <w:t xml:space="preserve">  [Enter HS code manually] [Use AI Express]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6.6.7.3 Resolution Algorithm</w:t>
      </w:r>
    </w:p>
    <w:p>
      <w:pPr>
        <w:spacing w:after="0" w:before="0" w:line="240" w:lineRule="auto"/>
        <w:ind w:left="57"/>
        <w:jc w:val="left"/>
        <w:shd w:val="clear" w:fill="F2F2F2"/>
      </w:pPr>
      <w:r>
        <w:rPr>
          <w:rFonts w:ascii="Consolas" w:hAnsi="Consolas" w:cs="Consolas"/>
          <w:b w:val="0"/>
          <w:i w:val="0"/>
          <w:sz w:val="15"/>
        </w:rPr>
        <w:t>// Pseudo-code: Product resolution with buyer history</w:t>
      </w:r>
    </w:p>
    <w:p>
      <w:pPr>
        <w:spacing w:after="0" w:before="0" w:line="240" w:lineRule="auto"/>
        <w:ind w:left="57"/>
        <w:jc w:val="left"/>
        <w:shd w:val="clear" w:fill="F2F2F2"/>
      </w:pPr>
      <w:r>
        <w:rPr>
          <w:rFonts w:ascii="Consolas" w:hAnsi="Consolas" w:cs="Consolas"/>
          <w:b w:val="0"/>
          <w:i w:val="0"/>
          <w:sz w:val="15"/>
        </w:rPr>
        <w:t>async fn resolve_product(query: &amp;str, buyer_gtid: &amp;str) -&gt; Result&lt;Vec&lt;ProductSuggestion&gt;&gt; {</w:t>
      </w:r>
    </w:p>
    <w:p>
      <w:pPr>
        <w:spacing w:after="0" w:before="0" w:line="240" w:lineRule="auto"/>
        <w:ind w:left="57"/>
        <w:jc w:val="left"/>
        <w:shd w:val="clear" w:fill="F2F2F2"/>
      </w:pPr>
      <w:r>
        <w:rPr>
          <w:rFonts w:ascii="Consolas" w:hAnsi="Consolas" w:cs="Consolas"/>
          <w:b w:val="0"/>
          <w:i w:val="0"/>
          <w:sz w:val="15"/>
        </w:rPr>
        <w:t xml:space="preserve">    // 1. Check if query is HS code format (6 or 10 digits)</w:t>
      </w:r>
    </w:p>
    <w:p>
      <w:pPr>
        <w:spacing w:after="0" w:before="0" w:line="240" w:lineRule="auto"/>
        <w:ind w:left="57"/>
        <w:jc w:val="left"/>
        <w:shd w:val="clear" w:fill="F2F2F2"/>
      </w:pPr>
      <w:r>
        <w:rPr>
          <w:rFonts w:ascii="Consolas" w:hAnsi="Consolas" w:cs="Consolas"/>
          <w:b w:val="0"/>
          <w:i w:val="0"/>
          <w:sz w:val="15"/>
        </w:rPr>
        <w:t xml:space="preserve">    if is_hs_code(query) {</w:t>
      </w:r>
    </w:p>
    <w:p>
      <w:pPr>
        <w:spacing w:after="0" w:before="0" w:line="240" w:lineRule="auto"/>
        <w:ind w:left="57"/>
        <w:jc w:val="left"/>
        <w:shd w:val="clear" w:fill="F2F2F2"/>
      </w:pPr>
      <w:r>
        <w:rPr>
          <w:rFonts w:ascii="Consolas" w:hAnsi="Consolas" w:cs="Consolas"/>
          <w:b w:val="0"/>
          <w:i w:val="0"/>
          <w:sz w:val="15"/>
        </w:rPr>
        <w:t xml:space="preserve">        let product = get_product_by_hs(query).await?;</w:t>
      </w:r>
    </w:p>
    <w:p>
      <w:pPr>
        <w:spacing w:after="0" w:before="0" w:line="240" w:lineRule="auto"/>
        <w:ind w:left="57"/>
        <w:jc w:val="left"/>
        <w:shd w:val="clear" w:fill="F2F2F2"/>
      </w:pPr>
      <w:r>
        <w:rPr>
          <w:rFonts w:ascii="Consolas" w:hAnsi="Consolas" w:cs="Consolas"/>
          <w:b w:val="0"/>
          <w:i w:val="0"/>
          <w:sz w:val="15"/>
        </w:rPr>
        <w:t xml:space="preserve">        return Ok(vec![ProductSuggestion {</w:t>
      </w:r>
    </w:p>
    <w:p>
      <w:pPr>
        <w:spacing w:after="0" w:before="0" w:line="240" w:lineRule="auto"/>
        <w:ind w:left="57"/>
        <w:jc w:val="left"/>
        <w:shd w:val="clear" w:fill="F2F2F2"/>
      </w:pPr>
      <w:r>
        <w:rPr>
          <w:rFonts w:ascii="Consolas" w:hAnsi="Consolas" w:cs="Consolas"/>
          <w:b w:val="0"/>
          <w:i w:val="0"/>
          <w:sz w:val="15"/>
        </w:rPr>
        <w:t xml:space="preserve">            product_name: product.name,</w:t>
      </w:r>
    </w:p>
    <w:p>
      <w:pPr>
        <w:spacing w:after="0" w:before="0" w:line="240" w:lineRule="auto"/>
        <w:ind w:left="57"/>
        <w:jc w:val="left"/>
        <w:shd w:val="clear" w:fill="F2F2F2"/>
      </w:pPr>
      <w:r>
        <w:rPr>
          <w:rFonts w:ascii="Consolas" w:hAnsi="Consolas" w:cs="Consolas"/>
          <w:b w:val="0"/>
          <w:i w:val="0"/>
          <w:sz w:val="15"/>
        </w:rPr>
        <w:t xml:space="preserve">            hs_code: product.hs_code,</w:t>
      </w:r>
    </w:p>
    <w:p>
      <w:pPr>
        <w:spacing w:after="0" w:before="0" w:line="240" w:lineRule="auto"/>
        <w:ind w:left="57"/>
        <w:jc w:val="left"/>
        <w:shd w:val="clear" w:fill="F2F2F2"/>
      </w:pPr>
      <w:r>
        <w:rPr>
          <w:rFonts w:ascii="Consolas" w:hAnsi="Consolas" w:cs="Consolas"/>
          <w:b w:val="0"/>
          <w:i w:val="0"/>
          <w:sz w:val="15"/>
        </w:rPr>
        <w:t xml:space="preserve">            confidence: 1.0,</w:t>
      </w:r>
    </w:p>
    <w:p>
      <w:pPr>
        <w:spacing w:after="0" w:before="0" w:line="240" w:lineRule="auto"/>
        <w:ind w:left="57"/>
        <w:jc w:val="left"/>
        <w:shd w:val="clear" w:fill="F2F2F2"/>
      </w:pPr>
      <w:r>
        <w:rPr>
          <w:rFonts w:ascii="Consolas" w:hAnsi="Consolas" w:cs="Consolas"/>
          <w:b w:val="0"/>
          <w:i w:val="0"/>
          <w:sz w:val="15"/>
        </w:rPr>
        <w:t xml:space="preserve">            source: "HS_DATABASE",</w:t>
      </w:r>
    </w:p>
    <w:p>
      <w:pPr>
        <w:spacing w:after="0" w:before="0" w:line="240" w:lineRule="auto"/>
        <w:ind w:left="57"/>
        <w:jc w:val="left"/>
        <w:shd w:val="clear" w:fill="F2F2F2"/>
      </w:pPr>
      <w:r>
        <w:rPr>
          <w:rFonts w:ascii="Consolas" w:hAnsi="Consolas" w:cs="Consolas"/>
          <w:b w:val="0"/>
          <w:i w:val="0"/>
          <w:sz w:val="15"/>
        </w:rPr>
        <w:t xml:space="preserve">            recent_trade: None,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Check buyer's saved products (history)</w:t>
      </w:r>
    </w:p>
    <w:p>
      <w:pPr>
        <w:spacing w:after="0" w:before="0" w:line="240" w:lineRule="auto"/>
        <w:ind w:left="57"/>
        <w:jc w:val="left"/>
        <w:shd w:val="clear" w:fill="F2F2F2"/>
      </w:pPr>
      <w:r>
        <w:rPr>
          <w:rFonts w:ascii="Consolas" w:hAnsi="Consolas" w:cs="Consolas"/>
          <w:b w:val="0"/>
          <w:i w:val="0"/>
          <w:sz w:val="15"/>
        </w:rPr>
        <w:t xml:space="preserve">    let saved = get_saved_products_by_name(query, buyer_gtid).await?;</w:t>
      </w:r>
    </w:p>
    <w:p>
      <w:pPr>
        <w:spacing w:after="0" w:before="0" w:line="240" w:lineRule="auto"/>
        <w:ind w:left="57"/>
        <w:jc w:val="left"/>
        <w:shd w:val="clear" w:fill="F2F2F2"/>
      </w:pPr>
      <w:r>
        <w:rPr>
          <w:rFonts w:ascii="Consolas" w:hAnsi="Consolas" w:cs="Consolas"/>
          <w:b w:val="0"/>
          <w:i w:val="0"/>
          <w:sz w:val="15"/>
        </w:rPr>
        <w:t xml:space="preserve">    if !saved.is_empty() {</w:t>
      </w:r>
    </w:p>
    <w:p>
      <w:pPr>
        <w:spacing w:after="0" w:before="0" w:line="240" w:lineRule="auto"/>
        <w:ind w:left="57"/>
        <w:jc w:val="left"/>
        <w:shd w:val="clear" w:fill="F2F2F2"/>
      </w:pPr>
      <w:r>
        <w:rPr>
          <w:rFonts w:ascii="Consolas" w:hAnsi="Consolas" w:cs="Consolas"/>
          <w:b w:val="0"/>
          <w:i w:val="0"/>
          <w:sz w:val="15"/>
        </w:rPr>
        <w:t xml:space="preserve">        return Ok(saved);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Vector similarity search (pgvector)</w:t>
      </w:r>
    </w:p>
    <w:p>
      <w:pPr>
        <w:spacing w:after="0" w:before="0" w:line="240" w:lineRule="auto"/>
        <w:ind w:left="57"/>
        <w:jc w:val="left"/>
        <w:shd w:val="clear" w:fill="F2F2F2"/>
      </w:pPr>
      <w:r>
        <w:rPr>
          <w:rFonts w:ascii="Consolas" w:hAnsi="Consolas" w:cs="Consolas"/>
          <w:b w:val="0"/>
          <w:i w:val="0"/>
          <w:sz w:val="15"/>
        </w:rPr>
        <w:t xml:space="preserve">    let vectors = get_product_vectors(query).await?;</w:t>
      </w:r>
    </w:p>
    <w:p>
      <w:pPr>
        <w:spacing w:after="0" w:before="0" w:line="240" w:lineRule="auto"/>
        <w:ind w:left="57"/>
        <w:jc w:val="left"/>
        <w:shd w:val="clear" w:fill="F2F2F2"/>
      </w:pPr>
      <w:r>
        <w:rPr>
          <w:rFonts w:ascii="Consolas" w:hAnsi="Consolas" w:cs="Consolas"/>
          <w:b w:val="0"/>
          <w:i w:val="0"/>
          <w:sz w:val="15"/>
        </w:rPr>
        <w:t xml:space="preserve">    // 4. AI classification (A2, HF local)</w:t>
      </w:r>
    </w:p>
    <w:p>
      <w:pPr>
        <w:spacing w:after="0" w:before="0" w:line="240" w:lineRule="auto"/>
        <w:ind w:left="57"/>
        <w:jc w:val="left"/>
        <w:shd w:val="clear" w:fill="F2F2F2"/>
      </w:pPr>
      <w:r>
        <w:rPr>
          <w:rFonts w:ascii="Consolas" w:hAnsi="Consolas" w:cs="Consolas"/>
          <w:b w:val="0"/>
          <w:i w:val="0"/>
          <w:sz w:val="15"/>
        </w:rPr>
        <w:t xml:space="preserve">    let classified = classify_product(query).await?;</w:t>
      </w:r>
    </w:p>
    <w:p>
      <w:pPr>
        <w:spacing w:after="0" w:before="0" w:line="240" w:lineRule="auto"/>
        <w:ind w:left="57"/>
        <w:jc w:val="left"/>
        <w:shd w:val="clear" w:fill="F2F2F2"/>
      </w:pPr>
      <w:r>
        <w:rPr>
          <w:rFonts w:ascii="Consolas" w:hAnsi="Consolas" w:cs="Consolas"/>
          <w:b w:val="0"/>
          <w:i w:val="0"/>
          <w:sz w:val="15"/>
        </w:rPr>
        <w:t xml:space="preserve">    // 5. Merge and sort by confidence</w:t>
      </w:r>
    </w:p>
    <w:p>
      <w:pPr>
        <w:spacing w:after="0" w:before="0" w:line="240" w:lineRule="auto"/>
        <w:ind w:left="57"/>
        <w:jc w:val="left"/>
        <w:shd w:val="clear" w:fill="F2F2F2"/>
      </w:pPr>
      <w:r>
        <w:rPr>
          <w:rFonts w:ascii="Consolas" w:hAnsi="Consolas" w:cs="Consolas"/>
          <w:b w:val="0"/>
          <w:i w:val="0"/>
          <w:sz w:val="15"/>
        </w:rPr>
        <w:t xml:space="preserve">    let mut results = Vec::new();</w:t>
      </w:r>
    </w:p>
    <w:p>
      <w:pPr>
        <w:spacing w:after="0" w:before="0" w:line="240" w:lineRule="auto"/>
        <w:ind w:left="57"/>
        <w:jc w:val="left"/>
        <w:shd w:val="clear" w:fill="F2F2F2"/>
      </w:pPr>
      <w:r>
        <w:rPr>
          <w:rFonts w:ascii="Consolas" w:hAnsi="Consolas" w:cs="Consolas"/>
          <w:b w:val="0"/>
          <w:i w:val="0"/>
          <w:sz w:val="15"/>
        </w:rPr>
        <w:t xml:space="preserve">    results.extend(vectors);</w:t>
      </w:r>
    </w:p>
    <w:p>
      <w:pPr>
        <w:spacing w:after="0" w:before="0" w:line="240" w:lineRule="auto"/>
        <w:ind w:left="57"/>
        <w:jc w:val="left"/>
        <w:shd w:val="clear" w:fill="F2F2F2"/>
      </w:pPr>
      <w:r>
        <w:rPr>
          <w:rFonts w:ascii="Consolas" w:hAnsi="Consolas" w:cs="Consolas"/>
          <w:b w:val="0"/>
          <w:i w:val="0"/>
          <w:sz w:val="15"/>
        </w:rPr>
        <w:t xml:space="preserve">    results.extend(classified);</w:t>
      </w:r>
    </w:p>
    <w:p>
      <w:pPr>
        <w:spacing w:after="0" w:before="0" w:line="240" w:lineRule="auto"/>
        <w:ind w:left="57"/>
        <w:jc w:val="left"/>
        <w:shd w:val="clear" w:fill="F2F2F2"/>
      </w:pPr>
      <w:r>
        <w:rPr>
          <w:rFonts w:ascii="Consolas" w:hAnsi="Consolas" w:cs="Consolas"/>
          <w:b w:val="0"/>
          <w:i w:val="0"/>
          <w:sz w:val="15"/>
        </w:rPr>
        <w:t xml:space="preserve">    results.sort_by(|a, b| b.confidence.partial_cmp(&amp;a.confidence).unwrap());</w:t>
      </w:r>
    </w:p>
    <w:p>
      <w:pPr>
        <w:spacing w:after="0" w:before="0" w:line="240" w:lineRule="auto"/>
        <w:ind w:left="57"/>
        <w:jc w:val="left"/>
        <w:shd w:val="clear" w:fill="F2F2F2"/>
      </w:pPr>
      <w:r>
        <w:rPr>
          <w:rFonts w:ascii="Consolas" w:hAnsi="Consolas" w:cs="Consolas"/>
          <w:b w:val="0"/>
          <w:i w:val="0"/>
          <w:sz w:val="15"/>
        </w:rPr>
        <w:t xml:space="preserve">    // 6. Add recent trade information</w:t>
      </w:r>
    </w:p>
    <w:p>
      <w:pPr>
        <w:spacing w:after="0" w:before="0" w:line="240" w:lineRule="auto"/>
        <w:ind w:left="57"/>
        <w:jc w:val="left"/>
        <w:shd w:val="clear" w:fill="F2F2F2"/>
      </w:pPr>
      <w:r>
        <w:rPr>
          <w:rFonts w:ascii="Consolas" w:hAnsi="Consolas" w:cs="Consolas"/>
          <w:b w:val="0"/>
          <w:i w:val="0"/>
          <w:sz w:val="15"/>
        </w:rPr>
        <w:t xml:space="preserve">    for result in &amp;mut results {</w:t>
      </w:r>
    </w:p>
    <w:p>
      <w:pPr>
        <w:spacing w:after="0" w:before="0" w:line="240" w:lineRule="auto"/>
        <w:ind w:left="57"/>
        <w:jc w:val="left"/>
        <w:shd w:val="clear" w:fill="F2F2F2"/>
      </w:pPr>
      <w:r>
        <w:rPr>
          <w:rFonts w:ascii="Consolas" w:hAnsi="Consolas" w:cs="Consolas"/>
          <w:b w:val="0"/>
          <w:i w:val="0"/>
          <w:sz w:val="15"/>
        </w:rPr>
        <w:t xml:space="preserve">        result.recent_trade = get_recent_trade(buyer_gtid, &amp;result.hs_code).await?;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Ok(results)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Non-marketplace safeguard: the dropdown is filtered by commodity type and the buyer's saved products, not by "most popular." AI only assists based on public data and the buyer's own history. The system never suggests "other buyers bought X" or "popular products."</w:t>
      </w:r>
    </w:p>
    <w:p>
      <w:pPr>
        <w:keepNext/>
        <w:spacing w:before="180" w:after="80"/>
        <w:outlineLvl w:val="2"/>
      </w:pPr>
      <w:r>
        <w:rPr>
          <w:rFonts w:ascii="Arial" w:hAnsi="Arial" w:cs="Arial"/>
          <w:b/>
          <w:i w:val="0"/>
          <w:color w:val="333333"/>
          <w:sz w:val="23"/>
        </w:rPr>
        <w:t>6.6.8 Express Mode (Free-Text AI Parsing)</w:t>
      </w:r>
    </w:p>
    <w:p>
      <w:pPr>
        <w:keepNext/>
        <w:spacing w:before="140" w:after="60"/>
        <w:outlineLvl w:val="3"/>
      </w:pPr>
      <w:r>
        <w:rPr>
          <w:rFonts w:ascii="Arial" w:hAnsi="Arial" w:cs="Arial"/>
          <w:b/>
          <w:i/>
          <w:color w:val="333333"/>
          <w:sz w:val="22"/>
        </w:rPr>
        <w:t>6.6.8.1 Overview</w:t>
      </w:r>
    </w:p>
    <w:p>
      <w:pPr>
        <w:spacing w:after="80" w:line="293" w:lineRule="auto"/>
        <w:jc w:val="left"/>
      </w:pPr>
      <w:r>
        <w:rPr>
          <w:rFonts w:ascii="Times New Roman" w:hAnsi="Times New Roman" w:cs="Times New Roman"/>
          <w:b w:val="0"/>
          <w:i w:val="0"/>
          <w:sz w:val="22"/>
        </w:rPr>
        <w:t>For users who prefer natural language over structured forms, Express Mode allows the buyer to describe their trade in plain English. AI parses the text and extracts structured data. Toggle: "Use AI Express" at the top of the New Trade Request form. When enabled, the structured form is hidden and replaced with a single large text area.</w:t>
      </w:r>
    </w:p>
    <w:p>
      <w:pPr>
        <w:spacing w:after="0" w:before="0" w:line="240" w:lineRule="auto"/>
        <w:ind w:left="57"/>
        <w:jc w:val="left"/>
        <w:shd w:val="clear" w:fill="F2F2F2"/>
      </w:pPr>
      <w:r>
        <w:rPr>
          <w:rFonts w:ascii="Consolas" w:hAnsi="Consolas" w:cs="Consolas"/>
          <w:b w:val="0"/>
          <w:i w:val="0"/>
          <w:sz w:val="15"/>
        </w:rPr>
        <w:t>AI EXPRESS MODE</w:t>
      </w:r>
    </w:p>
    <w:p>
      <w:pPr>
        <w:spacing w:after="0" w:before="0" w:line="240" w:lineRule="auto"/>
        <w:ind w:left="57"/>
        <w:jc w:val="left"/>
        <w:shd w:val="clear" w:fill="F2F2F2"/>
      </w:pPr>
      <w:r>
        <w:rPr>
          <w:rFonts w:ascii="Consolas" w:hAnsi="Consolas" w:cs="Consolas"/>
          <w:b w:val="0"/>
          <w:i w:val="0"/>
          <w:sz w:val="15"/>
        </w:rPr>
        <w:t xml:space="preserve">  Describe your trade in plain English. The AI will extract all structured data.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I need 100 MT of Valencia oranges from Vietnam to Egypt, CFR          │</w:t>
      </w:r>
    </w:p>
    <w:p>
      <w:pPr>
        <w:spacing w:after="0" w:before="0" w:line="240" w:lineRule="auto"/>
        <w:ind w:left="57"/>
        <w:jc w:val="left"/>
        <w:shd w:val="clear" w:fill="F2F2F2"/>
      </w:pPr>
      <w:r>
        <w:rPr>
          <w:rFonts w:ascii="Consolas" w:hAnsi="Consolas" w:cs="Consolas"/>
          <w:b w:val="0"/>
          <w:i w:val="0"/>
          <w:sz w:val="15"/>
        </w:rPr>
        <w:t xml:space="preserve">  │ Alexandria. Packed in 10 kg cartons, 40 cartons per pallet,           │</w:t>
      </w:r>
    </w:p>
    <w:p>
      <w:pPr>
        <w:spacing w:after="0" w:before="0" w:line="240" w:lineRule="auto"/>
        <w:ind w:left="57"/>
        <w:jc w:val="left"/>
        <w:shd w:val="clear" w:fill="F2F2F2"/>
      </w:pPr>
      <w:r>
        <w:rPr>
          <w:rFonts w:ascii="Consolas" w:hAnsi="Consolas" w:cs="Consolas"/>
          <w:b w:val="0"/>
          <w:i w:val="0"/>
          <w:sz w:val="15"/>
        </w:rPr>
        <w:t xml:space="preserve">  │ 22 pallets. Also 50 MT of Eureka lemons, 48 cartons per pallet,       │</w:t>
      </w:r>
    </w:p>
    <w:p>
      <w:pPr>
        <w:spacing w:after="0" w:before="0" w:line="240" w:lineRule="auto"/>
        <w:ind w:left="57"/>
        <w:jc w:val="left"/>
        <w:shd w:val="clear" w:fill="F2F2F2"/>
      </w:pPr>
      <w:r>
        <w:rPr>
          <w:rFonts w:ascii="Consolas" w:hAnsi="Consolas" w:cs="Consolas"/>
          <w:b w:val="0"/>
          <w:i w:val="0"/>
          <w:sz w:val="15"/>
        </w:rPr>
        <w:t xml:space="preserve">  │ 14 pallets. Two containers, second container to Port Said.            │</w:t>
      </w:r>
    </w:p>
    <w:p>
      <w:pPr>
        <w:spacing w:after="0" w:before="0" w:line="240" w:lineRule="auto"/>
        <w:ind w:left="57"/>
        <w:jc w:val="left"/>
        <w:shd w:val="clear" w:fill="F2F2F2"/>
      </w:pPr>
      <w:r>
        <w:rPr>
          <w:rFonts w:ascii="Consolas" w:hAnsi="Consolas" w:cs="Consolas"/>
          <w:b w:val="0"/>
          <w:i w:val="0"/>
          <w:sz w:val="15"/>
        </w:rPr>
        <w:t xml:space="preserve">  │ Cold treatment required. Third-party inspection required.             │</w:t>
      </w:r>
    </w:p>
    <w:p>
      <w:pPr>
        <w:spacing w:after="0" w:before="0" w:line="240" w:lineRule="auto"/>
        <w:ind w:left="57"/>
        <w:jc w:val="left"/>
        <w:shd w:val="clear" w:fill="F2F2F2"/>
      </w:pPr>
      <w:r>
        <w:rPr>
          <w:rFonts w:ascii="Consolas" w:hAnsi="Consolas" w:cs="Consolas"/>
          <w:b w:val="0"/>
          <w:i w:val="0"/>
          <w:sz w:val="15"/>
        </w:rPr>
        <w:t xml:space="preserve">  │ Tolerance ±5%. Partial shipment allowed.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[Voice Input] [Parse]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Extracted Data (Confidence: 92%)</w:t>
      </w:r>
    </w:p>
    <w:p>
      <w:pPr>
        <w:spacing w:after="0" w:before="0" w:line="240" w:lineRule="auto"/>
        <w:ind w:left="57"/>
        <w:jc w:val="left"/>
        <w:shd w:val="clear" w:fill="F2F2F2"/>
      </w:pPr>
      <w:r>
        <w:rPr>
          <w:rFonts w:ascii="Consolas" w:hAnsi="Consolas" w:cs="Consolas"/>
          <w:b w:val="0"/>
          <w:i w:val="0"/>
          <w:sz w:val="15"/>
        </w:rPr>
        <w:t xml:space="preserve">  Container 1: Vietnam → Egypt (Alexandria)</w:t>
      </w:r>
    </w:p>
    <w:p>
      <w:pPr>
        <w:spacing w:after="0" w:before="0" w:line="240" w:lineRule="auto"/>
        <w:ind w:left="57"/>
        <w:jc w:val="left"/>
        <w:shd w:val="clear" w:fill="F2F2F2"/>
      </w:pPr>
      <w:r>
        <w:rPr>
          <w:rFonts w:ascii="Consolas" w:hAnsi="Consolas" w:cs="Consolas"/>
          <w:b w:val="0"/>
          <w:i w:val="0"/>
          <w:sz w:val="15"/>
        </w:rPr>
        <w:t xml:space="preserve">    Commodity 1: Valencia Oranges (HS 0805.10) — 100 MT</w:t>
      </w:r>
    </w:p>
    <w:p>
      <w:pPr>
        <w:spacing w:after="0" w:before="0" w:line="240" w:lineRule="auto"/>
        <w:ind w:left="57"/>
        <w:jc w:val="left"/>
        <w:shd w:val="clear" w:fill="F2F2F2"/>
      </w:pPr>
      <w:r>
        <w:rPr>
          <w:rFonts w:ascii="Consolas" w:hAnsi="Consolas" w:cs="Consolas"/>
          <w:b w:val="0"/>
          <w:i w:val="0"/>
          <w:sz w:val="15"/>
        </w:rPr>
        <w:t xml:space="preserve">    Tolerance: ±5%   Partial Shipment: Yes</w:t>
      </w:r>
    </w:p>
    <w:p>
      <w:pPr>
        <w:spacing w:after="0" w:before="0" w:line="240" w:lineRule="auto"/>
        <w:ind w:left="57"/>
        <w:jc w:val="left"/>
        <w:shd w:val="clear" w:fill="F2F2F2"/>
      </w:pPr>
      <w:r>
        <w:rPr>
          <w:rFonts w:ascii="Consolas" w:hAnsi="Consolas" w:cs="Consolas"/>
          <w:b w:val="0"/>
          <w:i w:val="0"/>
          <w:sz w:val="15"/>
        </w:rPr>
        <w:t xml:space="preserve">    Packaging: 22 pallets, 40 cartons/pallet, 10 kg/carton</w:t>
      </w:r>
    </w:p>
    <w:p>
      <w:pPr>
        <w:spacing w:after="0" w:before="0" w:line="240" w:lineRule="auto"/>
        <w:ind w:left="57"/>
        <w:jc w:val="left"/>
        <w:shd w:val="clear" w:fill="F2F2F2"/>
      </w:pPr>
      <w:r>
        <w:rPr>
          <w:rFonts w:ascii="Consolas" w:hAnsi="Consolas" w:cs="Consolas"/>
          <w:b w:val="0"/>
          <w:i w:val="0"/>
          <w:sz w:val="15"/>
        </w:rPr>
        <w:t xml:space="preserve">  Container 2: Vietnam → Egypt (Port Said)</w:t>
      </w:r>
    </w:p>
    <w:p>
      <w:pPr>
        <w:spacing w:after="0" w:before="0" w:line="240" w:lineRule="auto"/>
        <w:ind w:left="57"/>
        <w:jc w:val="left"/>
        <w:shd w:val="clear" w:fill="F2F2F2"/>
      </w:pPr>
      <w:r>
        <w:rPr>
          <w:rFonts w:ascii="Consolas" w:hAnsi="Consolas" w:cs="Consolas"/>
          <w:b w:val="0"/>
          <w:i w:val="0"/>
          <w:sz w:val="15"/>
        </w:rPr>
        <w:t xml:space="preserve">    Commodity 1: Eureka Lemons (HS 0805.50) — 50 MT</w:t>
      </w:r>
    </w:p>
    <w:p>
      <w:pPr>
        <w:spacing w:after="0" w:before="0" w:line="240" w:lineRule="auto"/>
        <w:ind w:left="57"/>
        <w:jc w:val="left"/>
        <w:shd w:val="clear" w:fill="F2F2F2"/>
      </w:pPr>
      <w:r>
        <w:rPr>
          <w:rFonts w:ascii="Consolas" w:hAnsi="Consolas" w:cs="Consolas"/>
          <w:b w:val="0"/>
          <w:i w:val="0"/>
          <w:sz w:val="15"/>
        </w:rPr>
        <w:t xml:space="preserve">    Tolerance: ±5%   Partial Shipment: Yes</w:t>
      </w:r>
    </w:p>
    <w:p>
      <w:pPr>
        <w:spacing w:after="0" w:before="0" w:line="240" w:lineRule="auto"/>
        <w:ind w:left="57"/>
        <w:jc w:val="left"/>
        <w:shd w:val="clear" w:fill="F2F2F2"/>
      </w:pPr>
      <w:r>
        <w:rPr>
          <w:rFonts w:ascii="Consolas" w:hAnsi="Consolas" w:cs="Consolas"/>
          <w:b w:val="0"/>
          <w:i w:val="0"/>
          <w:sz w:val="15"/>
        </w:rPr>
        <w:t xml:space="preserve">    Packaging: 14 pallets, 48 cartons/pallet, 8 kg/carton</w:t>
      </w:r>
    </w:p>
    <w:p>
      <w:pPr>
        <w:spacing w:after="0" w:before="0" w:line="240" w:lineRule="auto"/>
        <w:ind w:left="57"/>
        <w:jc w:val="left"/>
        <w:shd w:val="clear" w:fill="F2F2F2"/>
      </w:pPr>
      <w:r>
        <w:rPr>
          <w:rFonts w:ascii="Consolas" w:hAnsi="Consolas" w:cs="Consolas"/>
          <w:b w:val="0"/>
          <w:i w:val="0"/>
          <w:sz w:val="15"/>
        </w:rPr>
        <w:t xml:space="preserve">  Special Conditions: Cold treatment required, Third-party inspection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Fields with low confidence (&lt;80%) highlighted in amber:</w:t>
      </w:r>
    </w:p>
    <w:p>
      <w:pPr>
        <w:spacing w:after="0" w:before="0" w:line="240" w:lineRule="auto"/>
        <w:ind w:left="57"/>
        <w:jc w:val="left"/>
        <w:shd w:val="clear" w:fill="F2F2F2"/>
      </w:pPr>
      <w:r>
        <w:rPr>
          <w:rFonts w:ascii="Consolas" w:hAnsi="Consolas" w:cs="Consolas"/>
          <w:b w:val="0"/>
          <w:i w:val="0"/>
          <w:sz w:val="15"/>
        </w:rPr>
        <w:t xml:space="preserve">  • Incoterm: "CFR" (confidence: 95%)</w:t>
      </w:r>
    </w:p>
    <w:p>
      <w:pPr>
        <w:spacing w:after="0" w:before="0" w:line="240" w:lineRule="auto"/>
        <w:ind w:left="57"/>
        <w:jc w:val="left"/>
        <w:shd w:val="clear" w:fill="F2F2F2"/>
      </w:pPr>
      <w:r>
        <w:rPr>
          <w:rFonts w:ascii="Consolas" w:hAnsi="Consolas" w:cs="Consolas"/>
          <w:b w:val="0"/>
          <w:i w:val="0"/>
          <w:sz w:val="15"/>
        </w:rPr>
        <w:t xml:space="preserve">  • Tolerance: "±5%" (confidence: 92%)</w:t>
      </w:r>
    </w:p>
    <w:p>
      <w:pPr>
        <w:spacing w:after="0" w:before="0" w:line="240" w:lineRule="auto"/>
        <w:ind w:left="57"/>
        <w:jc w:val="left"/>
        <w:shd w:val="clear" w:fill="F2F2F2"/>
      </w:pPr>
      <w:r>
        <w:rPr>
          <w:rFonts w:ascii="Consolas" w:hAnsi="Consolas" w:cs="Consolas"/>
          <w:b w:val="0"/>
          <w:i w:val="0"/>
          <w:sz w:val="15"/>
        </w:rPr>
        <w:t xml:space="preserve">  • Cold treatment temperature: "-0.5°C" (confidence: 78%)</w:t>
      </w:r>
    </w:p>
    <w:p>
      <w:pPr>
        <w:spacing w:after="0" w:before="0" w:line="240" w:lineRule="auto"/>
        <w:ind w:left="57"/>
        <w:jc w:val="left"/>
        <w:shd w:val="clear" w:fill="F2F2F2"/>
      </w:pPr>
      <w:r>
        <w:rPr>
          <w:rFonts w:ascii="Consolas" w:hAnsi="Consolas" w:cs="Consolas"/>
          <w:b w:val="0"/>
          <w:i w:val="0"/>
          <w:sz w:val="15"/>
        </w:rPr>
        <w:t xml:space="preserve">  [Confirm &amp; Populate Form] [Edit Manually] [Re-parse]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6.6.8.2 Processing Pipeline</w:t>
      </w:r>
    </w:p>
    <w:p>
      <w:pPr>
        <w:spacing w:after="80" w:line="293" w:lineRule="auto"/>
        <w:jc w:val="left"/>
      </w:pPr>
      <w:r>
        <w:rPr>
          <w:rFonts w:ascii="Times New Roman" w:hAnsi="Times New Roman" w:cs="Times New Roman"/>
          <w:b w:val="0"/>
          <w:i w:val="0"/>
          <w:sz w:val="22"/>
        </w:rPr>
        <w:t>The user types or speaks the trade description; the system sends the raw text to the Intent Parser agent (A2, HF local → Ollama); the agent extracts containers, commodities, HS codes, quantities, packaging, pallet counts, incoterm, and special conditions; the extracted data is displayed in a preview panel; fields with confidence &lt;80% are highlighted in amber; the buyer can edit any field directly in the preview; the buyer clicks "Confirm &amp; Populate Form" and the system populates the full structured form; the buyer proceeds to standard validation and submission.</w:t>
      </w:r>
    </w:p>
    <w:p>
      <w:pPr>
        <w:keepNext/>
        <w:spacing w:before="140" w:after="60"/>
        <w:outlineLvl w:val="3"/>
      </w:pPr>
      <w:r>
        <w:rPr>
          <w:rFonts w:ascii="Arial" w:hAnsi="Arial" w:cs="Arial"/>
          <w:b/>
          <w:i/>
          <w:color w:val="333333"/>
          <w:sz w:val="22"/>
        </w:rPr>
        <w:t>6.6.8.3 Fallback &amp; Error Handling</w:t>
      </w:r>
    </w:p>
    <w:p>
      <w:pPr>
        <w:spacing w:after="80" w:line="293" w:lineRule="auto"/>
        <w:jc w:val="left"/>
      </w:pPr>
      <w:r>
        <w:rPr>
          <w:rFonts w:ascii="Times New Roman" w:hAnsi="Times New Roman" w:cs="Times New Roman"/>
          <w:b w:val="0"/>
          <w:i w:val="0"/>
          <w:sz w:val="22"/>
        </w:rPr>
        <w:t>If AI cannot parse the text (confidence &lt;50% for critical fields), the system displays: "We could not fully understand your request. Please try rephrasing or switch back to the structured form." A "Switch to Structured Form" button is always visible. Voice input uses Vosk (offline) with Web Speech API fallback. Governance (G1U2, G1U3): Express Mode is advisory only — the Governor never accepts a trade request based solely on Express Mode parsing; the buyer must review and confirm the extracted data before submission.</w:t>
      </w:r>
    </w:p>
    <w:p>
      <w:pPr>
        <w:keepNext/>
        <w:spacing w:before="180" w:after="80"/>
        <w:outlineLvl w:val="2"/>
      </w:pPr>
      <w:r>
        <w:rPr>
          <w:rFonts w:ascii="Arial" w:hAnsi="Arial" w:cs="Arial"/>
          <w:b/>
          <w:i w:val="0"/>
          <w:color w:val="333333"/>
          <w:sz w:val="23"/>
        </w:rPr>
        <w:t>6.6.9 Multi-Container Bulk Operations</w:t>
      </w:r>
    </w:p>
    <w:p>
      <w:pPr>
        <w:keepNext/>
        <w:spacing w:before="140" w:after="60"/>
        <w:outlineLvl w:val="3"/>
      </w:pPr>
      <w:r>
        <w:rPr>
          <w:rFonts w:ascii="Arial" w:hAnsi="Arial" w:cs="Arial"/>
          <w:b/>
          <w:i/>
          <w:color w:val="333333"/>
          <w:sz w:val="22"/>
        </w:rPr>
        <w:t>6.6.9.1 Clone Container</w:t>
      </w:r>
    </w:p>
    <w:p>
      <w:pPr>
        <w:spacing w:after="80" w:line="293" w:lineRule="auto"/>
        <w:jc w:val="left"/>
      </w:pPr>
      <w:r>
        <w:rPr>
          <w:rFonts w:ascii="Times New Roman" w:hAnsi="Times New Roman" w:cs="Times New Roman"/>
          <w:b w:val="0"/>
          <w:i w:val="0"/>
          <w:sz w:val="22"/>
        </w:rPr>
        <w:t>One click to copy all data from one container to a new container. Behaviour: click "Clone Container" on the source container; the system creates a new container with all data copied; appends a number to the container name; the buyer can modify the new container as needed.</w:t>
      </w:r>
    </w:p>
    <w:p>
      <w:pPr>
        <w:spacing w:after="0" w:before="0" w:line="240" w:lineRule="auto"/>
        <w:ind w:left="57"/>
        <w:jc w:val="left"/>
        <w:shd w:val="clear" w:fill="F2F2F2"/>
      </w:pPr>
      <w:r>
        <w:rPr>
          <w:rFonts w:ascii="Consolas" w:hAnsi="Consolas" w:cs="Consolas"/>
          <w:b w:val="0"/>
          <w:i w:val="0"/>
          <w:sz w:val="15"/>
        </w:rPr>
        <w:t>Number of Containers: [2]  [+ Add Container] [Clone Container]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1</w:t>
      </w:r>
    </w:p>
    <w:p>
      <w:pPr>
        <w:spacing w:after="0" w:before="0" w:line="240" w:lineRule="auto"/>
        <w:ind w:left="57"/>
        <w:jc w:val="left"/>
        <w:shd w:val="clear" w:fill="F2F2F2"/>
      </w:pPr>
      <w:r>
        <w:rPr>
          <w:rFonts w:ascii="Consolas" w:hAnsi="Consolas" w:cs="Consolas"/>
          <w:b w:val="0"/>
          <w:i w:val="0"/>
          <w:sz w:val="15"/>
        </w:rPr>
        <w:t xml:space="preserve">  Origin: Vietnam → Egypt (Alexandria)   Palletized: Yes</w:t>
      </w:r>
    </w:p>
    <w:p>
      <w:pPr>
        <w:spacing w:after="0" w:before="0" w:line="240" w:lineRule="auto"/>
        <w:ind w:left="57"/>
        <w:jc w:val="left"/>
        <w:shd w:val="clear" w:fill="F2F2F2"/>
      </w:pPr>
      <w:r>
        <w:rPr>
          <w:rFonts w:ascii="Consolas" w:hAnsi="Consolas" w:cs="Consolas"/>
          <w:b w:val="0"/>
          <w:i w:val="0"/>
          <w:sz w:val="15"/>
        </w:rPr>
        <w:t xml:space="preserve">  Commodities: Oranges (100 MT), Lemons (50 MT)</w:t>
      </w:r>
    </w:p>
    <w:p>
      <w:pPr>
        <w:spacing w:after="0" w:before="0" w:line="240" w:lineRule="auto"/>
        <w:ind w:left="57"/>
        <w:jc w:val="left"/>
        <w:shd w:val="clear" w:fill="F2F2F2"/>
      </w:pPr>
      <w:r>
        <w:rPr>
          <w:rFonts w:ascii="Consolas" w:hAnsi="Consolas" w:cs="Consolas"/>
          <w:b w:val="0"/>
          <w:i w:val="0"/>
          <w:sz w:val="15"/>
        </w:rPr>
        <w:t xml:space="preserve">  [Clone] [Remove]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2</w:t>
      </w:r>
    </w:p>
    <w:p>
      <w:pPr>
        <w:spacing w:after="0" w:before="0" w:line="240" w:lineRule="auto"/>
        <w:ind w:left="57"/>
        <w:jc w:val="left"/>
        <w:shd w:val="clear" w:fill="F2F2F2"/>
      </w:pPr>
      <w:r>
        <w:rPr>
          <w:rFonts w:ascii="Consolas" w:hAnsi="Consolas" w:cs="Consolas"/>
          <w:b w:val="0"/>
          <w:i w:val="0"/>
          <w:sz w:val="15"/>
        </w:rPr>
        <w:t xml:space="preserve">  Origin: Vietnam → Egypt (Alexandria)   Palletized: Yes</w:t>
      </w:r>
    </w:p>
    <w:p>
      <w:pPr>
        <w:spacing w:after="0" w:before="0" w:line="240" w:lineRule="auto"/>
        <w:ind w:left="57"/>
        <w:jc w:val="left"/>
        <w:shd w:val="clear" w:fill="F2F2F2"/>
      </w:pPr>
      <w:r>
        <w:rPr>
          <w:rFonts w:ascii="Consolas" w:hAnsi="Consolas" w:cs="Consolas"/>
          <w:b w:val="0"/>
          <w:i w:val="0"/>
          <w:sz w:val="15"/>
        </w:rPr>
        <w:t xml:space="preserve">  Commodities: Oranges (100 MT), Lemons (50 MT)   ← Cloned data</w:t>
      </w:r>
    </w:p>
    <w:p>
      <w:pPr>
        <w:spacing w:after="0" w:before="0" w:line="240" w:lineRule="auto"/>
        <w:ind w:left="57"/>
        <w:jc w:val="left"/>
        <w:shd w:val="clear" w:fill="F2F2F2"/>
      </w:pPr>
      <w:r>
        <w:rPr>
          <w:rFonts w:ascii="Consolas" w:hAnsi="Consolas" w:cs="Consolas"/>
          <w:b w:val="0"/>
          <w:i w:val="0"/>
          <w:sz w:val="15"/>
        </w:rPr>
        <w:t xml:space="preserve">  [Clone] [Remove]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6.6.9.2 Bulk Edit</w:t>
      </w:r>
    </w:p>
    <w:p>
      <w:pPr>
        <w:spacing w:after="80" w:line="293" w:lineRule="auto"/>
        <w:jc w:val="left"/>
      </w:pPr>
      <w:r>
        <w:rPr>
          <w:rFonts w:ascii="Times New Roman" w:hAnsi="Times New Roman" w:cs="Times New Roman"/>
          <w:b w:val="0"/>
          <w:i w:val="0"/>
          <w:sz w:val="22"/>
        </w:rPr>
        <w:t>Apply a commodity to all containers or copy settings to a range:</w:t>
      </w:r>
    </w:p>
    <w:p>
      <w:pPr>
        <w:spacing w:after="0" w:before="0" w:line="240" w:lineRule="auto"/>
        <w:ind w:left="57"/>
        <w:jc w:val="left"/>
        <w:shd w:val="clear" w:fill="F2F2F2"/>
      </w:pPr>
      <w:r>
        <w:rPr>
          <w:rFonts w:ascii="Consolas" w:hAnsi="Consolas" w:cs="Consolas"/>
          <w:b w:val="0"/>
          <w:i w:val="0"/>
          <w:sz w:val="15"/>
        </w:rPr>
        <w:t>BULK EDIT</w:t>
      </w:r>
    </w:p>
    <w:p>
      <w:pPr>
        <w:spacing w:after="0" w:before="0" w:line="240" w:lineRule="auto"/>
        <w:ind w:left="57"/>
        <w:jc w:val="left"/>
        <w:shd w:val="clear" w:fill="F2F2F2"/>
      </w:pPr>
      <w:r>
        <w:rPr>
          <w:rFonts w:ascii="Consolas" w:hAnsi="Consolas" w:cs="Consolas"/>
          <w:b w:val="0"/>
          <w:i w:val="0"/>
          <w:sz w:val="15"/>
        </w:rPr>
        <w:t xml:space="preserve">  Apply to: [All Containers ▼]</w:t>
      </w:r>
    </w:p>
    <w:p>
      <w:pPr>
        <w:spacing w:after="0" w:before="0" w:line="240" w:lineRule="auto"/>
        <w:ind w:left="57"/>
        <w:jc w:val="left"/>
        <w:shd w:val="clear" w:fill="F2F2F2"/>
      </w:pPr>
      <w:r>
        <w:rPr>
          <w:rFonts w:ascii="Consolas" w:hAnsi="Consolas" w:cs="Consolas"/>
          <w:b w:val="0"/>
          <w:i w:val="0"/>
          <w:sz w:val="15"/>
        </w:rPr>
        <w:t xml:space="preserve">  Settings to apply:</w:t>
      </w:r>
    </w:p>
    <w:p>
      <w:pPr>
        <w:spacing w:after="0" w:before="0" w:line="240" w:lineRule="auto"/>
        <w:ind w:left="57"/>
        <w:jc w:val="left"/>
        <w:shd w:val="clear" w:fill="F2F2F2"/>
      </w:pPr>
      <w:r>
        <w:rPr>
          <w:rFonts w:ascii="Consolas" w:hAnsi="Consolas" w:cs="Consolas"/>
          <w:b w:val="0"/>
          <w:i w:val="0"/>
          <w:sz w:val="15"/>
        </w:rPr>
        <w:t xml:space="preserve">    Commodity Type: [Fresh Fruits ▼]</w:t>
      </w:r>
    </w:p>
    <w:p>
      <w:pPr>
        <w:spacing w:after="0" w:before="0" w:line="240" w:lineRule="auto"/>
        <w:ind w:left="57"/>
        <w:jc w:val="left"/>
        <w:shd w:val="clear" w:fill="F2F2F2"/>
      </w:pPr>
      <w:r>
        <w:rPr>
          <w:rFonts w:ascii="Consolas" w:hAnsi="Consolas" w:cs="Consolas"/>
          <w:b w:val="0"/>
          <w:i w:val="0"/>
          <w:sz w:val="15"/>
        </w:rPr>
        <w:t xml:space="preserve">    Product: [Valencia Oranges ▼]</w:t>
      </w:r>
    </w:p>
    <w:p>
      <w:pPr>
        <w:spacing w:after="0" w:before="0" w:line="240" w:lineRule="auto"/>
        <w:ind w:left="57"/>
        <w:jc w:val="left"/>
        <w:shd w:val="clear" w:fill="F2F2F2"/>
      </w:pPr>
      <w:r>
        <w:rPr>
          <w:rFonts w:ascii="Consolas" w:hAnsi="Consolas" w:cs="Consolas"/>
          <w:b w:val="0"/>
          <w:i w:val="0"/>
          <w:sz w:val="15"/>
        </w:rPr>
        <w:t xml:space="preserve">    Packaging: [Palletized ▼]</w:t>
      </w:r>
    </w:p>
    <w:p>
      <w:pPr>
        <w:spacing w:after="0" w:before="0" w:line="240" w:lineRule="auto"/>
        <w:ind w:left="57"/>
        <w:jc w:val="left"/>
        <w:shd w:val="clear" w:fill="F2F2F2"/>
      </w:pPr>
      <w:r>
        <w:rPr>
          <w:rFonts w:ascii="Consolas" w:hAnsi="Consolas" w:cs="Consolas"/>
          <w:b w:val="0"/>
          <w:i w:val="0"/>
          <w:sz w:val="15"/>
        </w:rPr>
        <w:t xml:space="preserve">    Tolerance: [±5% ▼]</w:t>
      </w:r>
    </w:p>
    <w:p>
      <w:pPr>
        <w:spacing w:after="0" w:before="0" w:line="240" w:lineRule="auto"/>
        <w:ind w:left="57"/>
        <w:jc w:val="left"/>
        <w:shd w:val="clear" w:fill="F2F2F2"/>
      </w:pPr>
      <w:r>
        <w:rPr>
          <w:rFonts w:ascii="Consolas" w:hAnsi="Consolas" w:cs="Consolas"/>
          <w:b w:val="0"/>
          <w:i w:val="0"/>
          <w:sz w:val="15"/>
        </w:rPr>
        <w:t xml:space="preserve">    Country of Origin: [Vietnam ▼]</w:t>
      </w:r>
    </w:p>
    <w:p>
      <w:pPr>
        <w:spacing w:after="0" w:before="0" w:line="240" w:lineRule="auto"/>
        <w:ind w:left="57"/>
        <w:jc w:val="left"/>
        <w:shd w:val="clear" w:fill="F2F2F2"/>
      </w:pPr>
      <w:r>
        <w:rPr>
          <w:rFonts w:ascii="Consolas" w:hAnsi="Consolas" w:cs="Consolas"/>
          <w:b w:val="0"/>
          <w:i w:val="0"/>
          <w:sz w:val="15"/>
        </w:rPr>
        <w:t xml:space="preserve">    Destination Country: [Egypt ▼]</w:t>
      </w:r>
    </w:p>
    <w:p>
      <w:pPr>
        <w:spacing w:after="0" w:before="0" w:line="240" w:lineRule="auto"/>
        <w:ind w:left="57"/>
        <w:jc w:val="left"/>
        <w:shd w:val="clear" w:fill="F2F2F2"/>
      </w:pPr>
      <w:r>
        <w:rPr>
          <w:rFonts w:ascii="Consolas" w:hAnsi="Consolas" w:cs="Consolas"/>
          <w:b w:val="0"/>
          <w:i w:val="0"/>
          <w:sz w:val="15"/>
        </w:rPr>
        <w:t xml:space="preserve">    Port of Discharge: [Alexandria ▼]</w:t>
      </w:r>
    </w:p>
    <w:p>
      <w:pPr>
        <w:spacing w:after="0" w:before="0" w:line="240" w:lineRule="auto"/>
        <w:ind w:left="57"/>
        <w:jc w:val="left"/>
        <w:shd w:val="clear" w:fill="F2F2F2"/>
      </w:pPr>
      <w:r>
        <w:rPr>
          <w:rFonts w:ascii="Consolas" w:hAnsi="Consolas" w:cs="Consolas"/>
          <w:b w:val="0"/>
          <w:i w:val="0"/>
          <w:sz w:val="15"/>
        </w:rPr>
        <w:t xml:space="preserve">  [Apply to All] [Cancel]</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6.6.10 Database Schema Additions (Container &amp; Commodity)</w:t>
      </w:r>
    </w:p>
    <w:p>
      <w:pPr>
        <w:spacing w:after="0" w:before="0" w:line="240" w:lineRule="auto"/>
        <w:ind w:left="57"/>
        <w:jc w:val="left"/>
        <w:shd w:val="clear" w:fill="F2F2F2"/>
      </w:pPr>
      <w:r>
        <w:rPr>
          <w:rFonts w:ascii="Consolas" w:hAnsi="Consolas" w:cs="Consolas"/>
          <w:b w:val="0"/>
          <w:i w:val="0"/>
          <w:sz w:val="15"/>
        </w:rPr>
        <w:t>-- Trade Request Commodities (per-commodity quantity; canonical definition)</w:t>
      </w:r>
    </w:p>
    <w:p>
      <w:pPr>
        <w:spacing w:after="0" w:before="0" w:line="240" w:lineRule="auto"/>
        <w:ind w:left="57"/>
        <w:jc w:val="left"/>
        <w:shd w:val="clear" w:fill="F2F2F2"/>
      </w:pPr>
      <w:r>
        <w:rPr>
          <w:rFonts w:ascii="Consolas" w:hAnsi="Consolas" w:cs="Consolas"/>
          <w:b w:val="0"/>
          <w:i w:val="0"/>
          <w:sz w:val="15"/>
        </w:rPr>
        <w:t>-- trade_request_commodities: canonical definition in Section 6.1;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Container configuration</w:t>
      </w:r>
    </w:p>
    <w:p>
      <w:pPr>
        <w:spacing w:after="0" w:before="0" w:line="240" w:lineRule="auto"/>
        <w:ind w:left="57"/>
        <w:jc w:val="left"/>
        <w:shd w:val="clear" w:fill="F2F2F2"/>
      </w:pPr>
      <w:r>
        <w:rPr>
          <w:rFonts w:ascii="Consolas" w:hAnsi="Consolas" w:cs="Consolas"/>
          <w:b w:val="0"/>
          <w:i w:val="0"/>
          <w:sz w:val="15"/>
        </w:rPr>
        <w:t>CREATE TABLE trade_request_containers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container_number INTEGER NOT NULL,</w:t>
      </w:r>
    </w:p>
    <w:p>
      <w:pPr>
        <w:spacing w:after="0" w:before="0" w:line="240" w:lineRule="auto"/>
        <w:ind w:left="57"/>
        <w:jc w:val="left"/>
        <w:shd w:val="clear" w:fill="F2F2F2"/>
      </w:pPr>
      <w:r>
        <w:rPr>
          <w:rFonts w:ascii="Consolas" w:hAnsi="Consolas" w:cs="Consolas"/>
          <w:b w:val="0"/>
          <w:i w:val="0"/>
          <w:sz w:val="15"/>
        </w:rPr>
        <w:t xml:space="preserve">    origin_country CHAR(2) NOT NULL,</w:t>
      </w:r>
    </w:p>
    <w:p>
      <w:pPr>
        <w:spacing w:after="0" w:before="0" w:line="240" w:lineRule="auto"/>
        <w:ind w:left="57"/>
        <w:jc w:val="left"/>
        <w:shd w:val="clear" w:fill="F2F2F2"/>
      </w:pPr>
      <w:r>
        <w:rPr>
          <w:rFonts w:ascii="Consolas" w:hAnsi="Consolas" w:cs="Consolas"/>
          <w:b w:val="0"/>
          <w:i w:val="0"/>
          <w:sz w:val="15"/>
        </w:rPr>
        <w:t xml:space="preserve">    destination_country CHAR(2) NOT NULL,</w:t>
      </w:r>
    </w:p>
    <w:p>
      <w:pPr>
        <w:spacing w:after="0" w:before="0" w:line="240" w:lineRule="auto"/>
        <w:ind w:left="57"/>
        <w:jc w:val="left"/>
        <w:shd w:val="clear" w:fill="F2F2F2"/>
      </w:pPr>
      <w:r>
        <w:rPr>
          <w:rFonts w:ascii="Consolas" w:hAnsi="Consolas" w:cs="Consolas"/>
          <w:b w:val="0"/>
          <w:i w:val="0"/>
          <w:sz w:val="15"/>
        </w:rPr>
        <w:t xml:space="preserve">    port_of_discharge TEXT NOT NULL,</w:t>
      </w:r>
    </w:p>
    <w:p>
      <w:pPr>
        <w:spacing w:after="0" w:before="0" w:line="240" w:lineRule="auto"/>
        <w:ind w:left="57"/>
        <w:jc w:val="left"/>
        <w:shd w:val="clear" w:fill="F2F2F2"/>
      </w:pPr>
      <w:r>
        <w:rPr>
          <w:rFonts w:ascii="Consolas" w:hAnsi="Consolas" w:cs="Consolas"/>
          <w:b w:val="0"/>
          <w:i w:val="0"/>
          <w:sz w:val="15"/>
        </w:rPr>
        <w:t xml:space="preserve">    palletized BOOLEAN DEFAULT true,</w:t>
      </w:r>
    </w:p>
    <w:p>
      <w:pPr>
        <w:spacing w:after="0" w:before="0" w:line="240" w:lineRule="auto"/>
        <w:ind w:left="57"/>
        <w:jc w:val="left"/>
        <w:shd w:val="clear" w:fill="F2F2F2"/>
      </w:pPr>
      <w:r>
        <w:rPr>
          <w:rFonts w:ascii="Consolas" w:hAnsi="Consolas" w:cs="Consolas"/>
          <w:b w:val="0"/>
          <w:i w:val="0"/>
          <w:sz w:val="15"/>
        </w:rPr>
        <w:t xml:space="preserve">    pallet_type TEXT DEFAULT 'EUR',</w:t>
      </w:r>
    </w:p>
    <w:p>
      <w:pPr>
        <w:spacing w:after="0" w:before="0" w:line="240" w:lineRule="auto"/>
        <w:ind w:left="57"/>
        <w:jc w:val="left"/>
        <w:shd w:val="clear" w:fill="F2F2F2"/>
      </w:pPr>
      <w:r>
        <w:rPr>
          <w:rFonts w:ascii="Consolas" w:hAnsi="Consolas" w:cs="Consolas"/>
          <w:b w:val="0"/>
          <w:i w:val="0"/>
          <w:sz w:val="15"/>
        </w:rPr>
        <w:t xml:space="preserve">    destination_override TEXT,</w:t>
      </w:r>
    </w:p>
    <w:p>
      <w:pPr>
        <w:spacing w:after="0" w:before="0" w:line="240" w:lineRule="auto"/>
        <w:ind w:left="57"/>
        <w:jc w:val="left"/>
        <w:shd w:val="clear" w:fill="F2F2F2"/>
      </w:pPr>
      <w:r>
        <w:rPr>
          <w:rFonts w:ascii="Consolas" w:hAnsi="Consolas" w:cs="Consolas"/>
          <w:b w:val="0"/>
          <w:i w:val="0"/>
          <w:sz w:val="15"/>
        </w:rPr>
        <w:t xml:space="preserve">    notes TEXT,</w:t>
      </w:r>
    </w:p>
    <w:p>
      <w:pPr>
        <w:spacing w:after="0" w:before="0" w:line="240" w:lineRule="auto"/>
        <w:ind w:left="57"/>
        <w:jc w:val="left"/>
        <w:shd w:val="clear" w:fill="F2F2F2"/>
      </w:pPr>
      <w:r>
        <w:rPr>
          <w:rFonts w:ascii="Consolas" w:hAnsi="Consolas" w:cs="Consolas"/>
          <w:b w:val="0"/>
          <w:i w:val="0"/>
          <w:sz w:val="15"/>
        </w:rPr>
        <w:t xml:space="preserve">    total_net_weight_kg DECIMAL(10,2),</w:t>
      </w:r>
    </w:p>
    <w:p>
      <w:pPr>
        <w:spacing w:after="0" w:before="0" w:line="240" w:lineRule="auto"/>
        <w:ind w:left="57"/>
        <w:jc w:val="left"/>
        <w:shd w:val="clear" w:fill="F2F2F2"/>
      </w:pPr>
      <w:r>
        <w:rPr>
          <w:rFonts w:ascii="Consolas" w:hAnsi="Consolas" w:cs="Consolas"/>
          <w:b w:val="0"/>
          <w:i w:val="0"/>
          <w:sz w:val="15"/>
        </w:rPr>
        <w:t xml:space="preserve">    total_gross_weight_kg DECIMAL(10,2),</w:t>
      </w:r>
    </w:p>
    <w:p>
      <w:pPr>
        <w:spacing w:after="0" w:before="0" w:line="240" w:lineRule="auto"/>
        <w:ind w:left="57"/>
        <w:jc w:val="left"/>
        <w:shd w:val="clear" w:fill="F2F2F2"/>
      </w:pPr>
      <w:r>
        <w:rPr>
          <w:rFonts w:ascii="Consolas" w:hAnsi="Consolas" w:cs="Consolas"/>
          <w:b w:val="0"/>
          <w:i w:val="0"/>
          <w:sz w:val="15"/>
        </w:rPr>
        <w:t xml:space="preserve">    total_pallet_count INTEGER,</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UNIQUE(trade_request_id, container_number)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Express Mode parsing logs</w:t>
      </w:r>
    </w:p>
    <w:p>
      <w:pPr>
        <w:spacing w:after="0" w:before="0" w:line="240" w:lineRule="auto"/>
        <w:ind w:left="57"/>
        <w:jc w:val="left"/>
        <w:shd w:val="clear" w:fill="F2F2F2"/>
      </w:pPr>
      <w:r>
        <w:rPr>
          <w:rFonts w:ascii="Consolas" w:hAnsi="Consolas" w:cs="Consolas"/>
          <w:b w:val="0"/>
          <w:i w:val="0"/>
          <w:sz w:val="15"/>
        </w:rPr>
        <w:t>CREATE TABLE express_mode_logs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raw_text TEXT NOT NULL,</w:t>
      </w:r>
    </w:p>
    <w:p>
      <w:pPr>
        <w:spacing w:after="0" w:before="0" w:line="240" w:lineRule="auto"/>
        <w:ind w:left="57"/>
        <w:jc w:val="left"/>
        <w:shd w:val="clear" w:fill="F2F2F2"/>
      </w:pPr>
      <w:r>
        <w:rPr>
          <w:rFonts w:ascii="Consolas" w:hAnsi="Consolas" w:cs="Consolas"/>
          <w:b w:val="0"/>
          <w:i w:val="0"/>
          <w:sz w:val="15"/>
        </w:rPr>
        <w:t xml:space="preserve">    parsed_json JSONB,</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missing_fields TEXT[],</w:t>
      </w:r>
    </w:p>
    <w:p>
      <w:pPr>
        <w:spacing w:after="0" w:before="0" w:line="240" w:lineRule="auto"/>
        <w:ind w:left="57"/>
        <w:jc w:val="left"/>
        <w:shd w:val="clear" w:fill="F2F2F2"/>
      </w:pPr>
      <w:r>
        <w:rPr>
          <w:rFonts w:ascii="Consolas" w:hAnsi="Consolas" w:cs="Consolas"/>
          <w:b w:val="0"/>
          <w:i w:val="0"/>
          <w:sz w:val="15"/>
        </w:rPr>
        <w:t xml:space="preserve">    low_confidence_fields TEXT[],</w:t>
      </w:r>
    </w:p>
    <w:p>
      <w:pPr>
        <w:spacing w:after="0" w:before="0" w:line="240" w:lineRule="auto"/>
        <w:ind w:left="57"/>
        <w:jc w:val="left"/>
        <w:shd w:val="clear" w:fill="F2F2F2"/>
      </w:pPr>
      <w:r>
        <w:rPr>
          <w:rFonts w:ascii="Consolas" w:hAnsi="Consolas" w:cs="Consolas"/>
          <w:b w:val="0"/>
          <w:i w:val="0"/>
          <w:sz w:val="15"/>
        </w:rPr>
        <w:t xml:space="preserve">    user_confirmed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idx_trade_request_commodities_request ON trade_request_commodities(trade_request_id);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idx_trade_request_commodities_container ON trade_request_commodities(container_id);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idx_trade_request_commodities_hs ON trade_request_commodities(hs_code);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idx_trade_request_containers_request ON trade_request_containers(trade_request_id);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idx_trade_request_containers_port ON trade_request_containers(port_of_discharge);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idx_express_mode_logs_request ON express_mode_logs(trade_request_id);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idx_express_mode_logs_created ON express_mode_logs(created_at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6.6.11 Implementation Checklist (Container &amp; Commodity)</w:t>
      </w:r>
    </w:p>
    <w:p>
      <w:pPr>
        <w:keepNext/>
        <w:spacing w:before="140" w:after="60"/>
        <w:outlineLvl w:val="3"/>
      </w:pPr>
      <w:r>
        <w:rPr>
          <w:rFonts w:ascii="Arial" w:hAnsi="Arial" w:cs="Arial"/>
          <w:b/>
          <w:i/>
          <w:color w:val="333333"/>
          <w:sz w:val="22"/>
        </w:rPr>
        <w:t>6.6.11.1 Backend Services</w:t>
      </w:r>
    </w:p>
    <w:p>
      <w:pPr>
        <w:spacing w:after="80" w:line="293" w:lineRule="auto"/>
        <w:ind w:left="283"/>
        <w:jc w:val="left"/>
      </w:pPr>
      <w:r>
        <w:rPr>
          <w:rFonts w:ascii="Times New Roman" w:hAnsi="Times New Roman" w:cs="Times New Roman"/>
          <w:b w:val="0"/>
          <w:i w:val="0"/>
          <w:sz w:val="22"/>
        </w:rPr>
        <w:t>- Implement container configuration endpoint (`POST /v1/trade/container/configure`)</w:t>
      </w:r>
    </w:p>
    <w:p>
      <w:pPr>
        <w:spacing w:after="80" w:line="293" w:lineRule="auto"/>
        <w:ind w:left="283"/>
        <w:jc w:val="left"/>
      </w:pPr>
      <w:r>
        <w:rPr>
          <w:rFonts w:ascii="Times New Roman" w:hAnsi="Times New Roman" w:cs="Times New Roman"/>
          <w:b w:val="0"/>
          <w:i w:val="0"/>
          <w:sz w:val="22"/>
        </w:rPr>
        <w:t>- Implement commodity configuration endpoint (`POST /v1/trade/commodity/add`)</w:t>
      </w:r>
    </w:p>
    <w:p>
      <w:pPr>
        <w:spacing w:after="80" w:line="293" w:lineRule="auto"/>
        <w:ind w:left="283"/>
        <w:jc w:val="left"/>
      </w:pPr>
      <w:r>
        <w:rPr>
          <w:rFonts w:ascii="Times New Roman" w:hAnsi="Times New Roman" w:cs="Times New Roman"/>
          <w:b w:val="0"/>
          <w:i w:val="0"/>
          <w:sz w:val="22"/>
        </w:rPr>
        <w:t>- Implement weight calculation service (Rust)</w:t>
      </w:r>
    </w:p>
    <w:p>
      <w:pPr>
        <w:spacing w:after="80" w:line="293" w:lineRule="auto"/>
        <w:ind w:left="283"/>
        <w:jc w:val="left"/>
      </w:pPr>
      <w:r>
        <w:rPr>
          <w:rFonts w:ascii="Times New Roman" w:hAnsi="Times New Roman" w:cs="Times New Roman"/>
          <w:b w:val="0"/>
          <w:i w:val="0"/>
          <w:sz w:val="22"/>
        </w:rPr>
        <w:t>- Implement container capacity validation (A4, WasmEdge)</w:t>
      </w:r>
    </w:p>
    <w:p>
      <w:pPr>
        <w:spacing w:after="80" w:line="293" w:lineRule="auto"/>
        <w:ind w:left="283"/>
        <w:jc w:val="left"/>
      </w:pPr>
      <w:r>
        <w:rPr>
          <w:rFonts w:ascii="Times New Roman" w:hAnsi="Times New Roman" w:cs="Times New Roman"/>
          <w:b w:val="0"/>
          <w:i w:val="0"/>
          <w:sz w:val="22"/>
        </w:rPr>
        <w:t>- Implement Express Mode parsing (A2, HF local → Ollama)</w:t>
      </w:r>
    </w:p>
    <w:p>
      <w:pPr>
        <w:spacing w:after="80" w:line="293" w:lineRule="auto"/>
        <w:ind w:left="283"/>
        <w:jc w:val="left"/>
      </w:pPr>
      <w:r>
        <w:rPr>
          <w:rFonts w:ascii="Times New Roman" w:hAnsi="Times New Roman" w:cs="Times New Roman"/>
          <w:b w:val="0"/>
          <w:i w:val="0"/>
          <w:sz w:val="22"/>
        </w:rPr>
        <w:t>- Implement product resolution service (pgvector + AI)</w:t>
      </w:r>
    </w:p>
    <w:p>
      <w:pPr>
        <w:spacing w:after="80" w:line="293" w:lineRule="auto"/>
        <w:ind w:left="283"/>
        <w:jc w:val="left"/>
      </w:pPr>
      <w:r>
        <w:rPr>
          <w:rFonts w:ascii="Times New Roman" w:hAnsi="Times New Roman" w:cs="Times New Roman"/>
          <w:b w:val="0"/>
          <w:i w:val="0"/>
          <w:sz w:val="22"/>
        </w:rPr>
        <w:t>- Implement bulk edit endpoint (`POST /v1/trade/bulk-edit`)</w:t>
      </w:r>
    </w:p>
    <w:p>
      <w:pPr>
        <w:keepNext/>
        <w:spacing w:before="140" w:after="60"/>
        <w:outlineLvl w:val="3"/>
      </w:pPr>
      <w:r>
        <w:rPr>
          <w:rFonts w:ascii="Arial" w:hAnsi="Arial" w:cs="Arial"/>
          <w:b/>
          <w:i/>
          <w:color w:val="333333"/>
          <w:sz w:val="22"/>
        </w:rPr>
        <w:t>6.6.11.2 Frontend Components</w:t>
      </w:r>
    </w:p>
    <w:p>
      <w:pPr>
        <w:spacing w:after="80" w:line="293" w:lineRule="auto"/>
        <w:ind w:left="283"/>
        <w:jc w:val="left"/>
      </w:pPr>
      <w:r>
        <w:rPr>
          <w:rFonts w:ascii="Times New Roman" w:hAnsi="Times New Roman" w:cs="Times New Roman"/>
          <w:b w:val="0"/>
          <w:i w:val="0"/>
          <w:sz w:val="22"/>
        </w:rPr>
        <w:t>- Build Container Tab component with drag-and-drop reordering</w:t>
      </w:r>
    </w:p>
    <w:p>
      <w:pPr>
        <w:spacing w:after="80" w:line="293" w:lineRule="auto"/>
        <w:ind w:left="283"/>
        <w:jc w:val="left"/>
      </w:pPr>
      <w:r>
        <w:rPr>
          <w:rFonts w:ascii="Times New Roman" w:hAnsi="Times New Roman" w:cs="Times New Roman"/>
          <w:b w:val="0"/>
          <w:i w:val="0"/>
          <w:sz w:val="22"/>
        </w:rPr>
        <w:t>- Build Commodity Entry component with dynamic fields</w:t>
      </w:r>
    </w:p>
    <w:p>
      <w:pPr>
        <w:spacing w:after="80" w:line="293" w:lineRule="auto"/>
        <w:ind w:left="283"/>
        <w:jc w:val="left"/>
      </w:pPr>
      <w:r>
        <w:rPr>
          <w:rFonts w:ascii="Times New Roman" w:hAnsi="Times New Roman" w:cs="Times New Roman"/>
          <w:b w:val="0"/>
          <w:i w:val="0"/>
          <w:sz w:val="22"/>
        </w:rPr>
        <w:t>- Build Acceptance Criteria Matrix component</w:t>
      </w:r>
    </w:p>
    <w:p>
      <w:pPr>
        <w:spacing w:after="80" w:line="293" w:lineRule="auto"/>
        <w:ind w:left="283"/>
        <w:jc w:val="left"/>
      </w:pPr>
      <w:r>
        <w:rPr>
          <w:rFonts w:ascii="Times New Roman" w:hAnsi="Times New Roman" w:cs="Times New Roman"/>
          <w:b w:val="0"/>
          <w:i w:val="0"/>
          <w:sz w:val="22"/>
        </w:rPr>
        <w:t>- Build Weight Summary component (real-time)</w:t>
      </w:r>
    </w:p>
    <w:p>
      <w:pPr>
        <w:spacing w:after="80" w:line="293" w:lineRule="auto"/>
        <w:ind w:left="283"/>
        <w:jc w:val="left"/>
      </w:pPr>
      <w:r>
        <w:rPr>
          <w:rFonts w:ascii="Times New Roman" w:hAnsi="Times New Roman" w:cs="Times New Roman"/>
          <w:b w:val="0"/>
          <w:i w:val="0"/>
          <w:sz w:val="22"/>
        </w:rPr>
        <w:t>- Build Product Search component (two-way resolution)</w:t>
      </w:r>
    </w:p>
    <w:p>
      <w:pPr>
        <w:spacing w:after="80" w:line="293" w:lineRule="auto"/>
        <w:ind w:left="283"/>
        <w:jc w:val="left"/>
      </w:pPr>
      <w:r>
        <w:rPr>
          <w:rFonts w:ascii="Times New Roman" w:hAnsi="Times New Roman" w:cs="Times New Roman"/>
          <w:b w:val="0"/>
          <w:i w:val="0"/>
          <w:sz w:val="22"/>
        </w:rPr>
        <w:t>- Build Express Mode component (free-text + voice)</w:t>
      </w:r>
    </w:p>
    <w:p>
      <w:pPr>
        <w:spacing w:after="80" w:line="293" w:lineRule="auto"/>
        <w:ind w:left="283"/>
        <w:jc w:val="left"/>
      </w:pPr>
      <w:r>
        <w:rPr>
          <w:rFonts w:ascii="Times New Roman" w:hAnsi="Times New Roman" w:cs="Times New Roman"/>
          <w:b w:val="0"/>
          <w:i w:val="0"/>
          <w:sz w:val="22"/>
        </w:rPr>
        <w:t>- Build Bulk Edit modal</w:t>
      </w:r>
    </w:p>
    <w:p>
      <w:pPr>
        <w:spacing w:after="80" w:line="293" w:lineRule="auto"/>
        <w:ind w:left="283"/>
        <w:jc w:val="left"/>
      </w:pPr>
      <w:r>
        <w:rPr>
          <w:rFonts w:ascii="Times New Roman" w:hAnsi="Times New Roman" w:cs="Times New Roman"/>
          <w:b w:val="0"/>
          <w:i w:val="0"/>
          <w:sz w:val="22"/>
        </w:rPr>
        <w:t>- Build Clone Container functionality</w:t>
      </w:r>
    </w:p>
    <w:p>
      <w:pPr>
        <w:spacing w:after="80" w:line="293" w:lineRule="auto"/>
        <w:ind w:left="283"/>
        <w:jc w:val="left"/>
      </w:pPr>
      <w:r>
        <w:rPr>
          <w:rFonts w:ascii="Times New Roman" w:hAnsi="Times New Roman" w:cs="Times New Roman"/>
          <w:b w:val="0"/>
          <w:i w:val="0"/>
          <w:sz w:val="22"/>
        </w:rPr>
        <w:t>- Build Progress Indicator</w:t>
      </w:r>
    </w:p>
    <w:p>
      <w:pPr>
        <w:spacing w:after="80" w:line="293" w:lineRule="auto"/>
        <w:ind w:left="283"/>
        <w:jc w:val="left"/>
      </w:pPr>
      <w:r>
        <w:rPr>
          <w:rFonts w:ascii="Times New Roman" w:hAnsi="Times New Roman" w:cs="Times New Roman"/>
          <w:b w:val="0"/>
          <w:i w:val="0"/>
          <w:sz w:val="22"/>
        </w:rPr>
        <w:t>- Build Inline Validation (port, country, weight)</w:t>
      </w:r>
    </w:p>
    <w:p>
      <w:pPr>
        <w:keepNext/>
        <w:spacing w:before="140" w:after="60"/>
        <w:outlineLvl w:val="3"/>
      </w:pPr>
      <w:r>
        <w:rPr>
          <w:rFonts w:ascii="Arial" w:hAnsi="Arial" w:cs="Arial"/>
          <w:b/>
          <w:i/>
          <w:color w:val="333333"/>
          <w:sz w:val="22"/>
        </w:rPr>
        <w:t>6.6.11.3 Validation &amp; Governance</w:t>
      </w:r>
    </w:p>
    <w:p>
      <w:pPr>
        <w:spacing w:after="80" w:line="293" w:lineRule="auto"/>
        <w:ind w:left="283"/>
        <w:jc w:val="left"/>
      </w:pPr>
      <w:r>
        <w:rPr>
          <w:rFonts w:ascii="Times New Roman" w:hAnsi="Times New Roman" w:cs="Times New Roman"/>
          <w:b w:val="0"/>
          <w:i w:val="0"/>
          <w:sz w:val="22"/>
        </w:rPr>
        <w:t>- Add G1U7: per-container data consistency</w:t>
      </w:r>
    </w:p>
    <w:p>
      <w:pPr>
        <w:spacing w:after="80" w:line="293" w:lineRule="auto"/>
        <w:ind w:left="283"/>
        <w:jc w:val="left"/>
      </w:pPr>
      <w:r>
        <w:rPr>
          <w:rFonts w:ascii="Times New Roman" w:hAnsi="Times New Roman" w:cs="Times New Roman"/>
          <w:b w:val="0"/>
          <w:i w:val="0"/>
          <w:sz w:val="22"/>
        </w:rPr>
        <w:t>- Add G1U9: container type recommendation logged</w:t>
      </w:r>
    </w:p>
    <w:p>
      <w:pPr>
        <w:spacing w:after="80" w:line="293" w:lineRule="auto"/>
        <w:ind w:left="283"/>
        <w:jc w:val="left"/>
      </w:pPr>
      <w:r>
        <w:rPr>
          <w:rFonts w:ascii="Times New Roman" w:hAnsi="Times New Roman" w:cs="Times New Roman"/>
          <w:b w:val="0"/>
          <w:i w:val="0"/>
          <w:sz w:val="22"/>
        </w:rPr>
        <w:t>- Add G1U10: multi-shipment schedule validation (see Section 6.14)</w:t>
      </w:r>
    </w:p>
    <w:p>
      <w:pPr>
        <w:spacing w:after="80" w:line="293" w:lineRule="auto"/>
        <w:ind w:left="283"/>
        <w:jc w:val="left"/>
      </w:pPr>
      <w:r>
        <w:rPr>
          <w:rFonts w:ascii="Times New Roman" w:hAnsi="Times New Roman" w:cs="Times New Roman"/>
          <w:b w:val="0"/>
          <w:i w:val="0"/>
          <w:sz w:val="22"/>
        </w:rPr>
        <w:t>- Add weight limit validation (A4, WasmEdge)</w:t>
      </w:r>
    </w:p>
    <w:p>
      <w:pPr>
        <w:spacing w:after="80" w:line="293" w:lineRule="auto"/>
        <w:ind w:left="283"/>
        <w:jc w:val="left"/>
      </w:pPr>
      <w:r>
        <w:rPr>
          <w:rFonts w:ascii="Times New Roman" w:hAnsi="Times New Roman" w:cs="Times New Roman"/>
          <w:b w:val="0"/>
          <w:i w:val="0"/>
          <w:sz w:val="22"/>
        </w:rPr>
        <w:t>- Add port validation (A4, WasmEdge)</w:t>
      </w:r>
    </w:p>
    <w:p>
      <w:pPr>
        <w:spacing w:after="80" w:line="293" w:lineRule="auto"/>
        <w:ind w:left="283"/>
        <w:jc w:val="left"/>
      </w:pPr>
      <w:r>
        <w:rPr>
          <w:rFonts w:ascii="Times New Roman" w:hAnsi="Times New Roman" w:cs="Times New Roman"/>
          <w:b w:val="0"/>
          <w:i w:val="0"/>
          <w:sz w:val="22"/>
        </w:rPr>
        <w:t>- Add pallet count validation (A4, WasmEdge)</w:t>
      </w:r>
    </w:p>
    <w:p>
      <w:pPr>
        <w:spacing w:after="80" w:line="293" w:lineRule="auto"/>
        <w:ind w:left="283"/>
        <w:jc w:val="left"/>
      </w:pPr>
      <w:r>
        <w:rPr>
          <w:rFonts w:ascii="Times New Roman" w:hAnsi="Times New Roman" w:cs="Times New Roman"/>
          <w:b w:val="0"/>
          <w:i w:val="0"/>
          <w:sz w:val="22"/>
        </w:rPr>
        <w:t>- Add container capacity validation (A4, WasmEdge)</w:t>
      </w:r>
    </w:p>
    <w:p>
      <w:pPr>
        <w:keepNext/>
        <w:spacing w:before="140" w:after="60"/>
        <w:outlineLvl w:val="3"/>
      </w:pPr>
      <w:r>
        <w:rPr>
          <w:rFonts w:ascii="Arial" w:hAnsi="Arial" w:cs="Arial"/>
          <w:b/>
          <w:i/>
          <w:color w:val="333333"/>
          <w:sz w:val="22"/>
        </w:rPr>
        <w:t>6.6.11.4 Testing</w:t>
      </w:r>
    </w:p>
    <w:p>
      <w:pPr>
        <w:spacing w:after="80" w:line="293" w:lineRule="auto"/>
        <w:ind w:left="283"/>
        <w:jc w:val="left"/>
      </w:pPr>
      <w:r>
        <w:rPr>
          <w:rFonts w:ascii="Times New Roman" w:hAnsi="Times New Roman" w:cs="Times New Roman"/>
          <w:b w:val="0"/>
          <w:i w:val="0"/>
          <w:sz w:val="22"/>
        </w:rPr>
        <w:t>- Unit tests: weight calculation engine</w:t>
      </w:r>
    </w:p>
    <w:p>
      <w:pPr>
        <w:spacing w:after="80" w:line="293" w:lineRule="auto"/>
        <w:ind w:left="283"/>
        <w:jc w:val="left"/>
      </w:pPr>
      <w:r>
        <w:rPr>
          <w:rFonts w:ascii="Times New Roman" w:hAnsi="Times New Roman" w:cs="Times New Roman"/>
          <w:b w:val="0"/>
          <w:i w:val="0"/>
          <w:sz w:val="22"/>
        </w:rPr>
        <w:t>- Unit tests: product resolution (all flows)</w:t>
      </w:r>
    </w:p>
    <w:p>
      <w:pPr>
        <w:spacing w:after="80" w:line="293" w:lineRule="auto"/>
        <w:ind w:left="283"/>
        <w:jc w:val="left"/>
      </w:pPr>
      <w:r>
        <w:rPr>
          <w:rFonts w:ascii="Times New Roman" w:hAnsi="Times New Roman" w:cs="Times New Roman"/>
          <w:b w:val="0"/>
          <w:i w:val="0"/>
          <w:sz w:val="22"/>
        </w:rPr>
        <w:t>- Integration tests: container configuration → commodity entry → weight calculation</w:t>
      </w:r>
    </w:p>
    <w:p>
      <w:pPr>
        <w:spacing w:after="80" w:line="293" w:lineRule="auto"/>
        <w:ind w:left="283"/>
        <w:jc w:val="left"/>
      </w:pPr>
      <w:r>
        <w:rPr>
          <w:rFonts w:ascii="Times New Roman" w:hAnsi="Times New Roman" w:cs="Times New Roman"/>
          <w:b w:val="0"/>
          <w:i w:val="0"/>
          <w:sz w:val="22"/>
        </w:rPr>
        <w:t>- Integration tests: Express Mode parsing → form population</w:t>
      </w:r>
    </w:p>
    <w:p>
      <w:pPr>
        <w:spacing w:after="80" w:line="293" w:lineRule="auto"/>
        <w:ind w:left="283"/>
        <w:jc w:val="left"/>
      </w:pPr>
      <w:r>
        <w:rPr>
          <w:rFonts w:ascii="Times New Roman" w:hAnsi="Times New Roman" w:cs="Times New Roman"/>
          <w:b w:val="0"/>
          <w:i w:val="0"/>
          <w:sz w:val="22"/>
        </w:rPr>
        <w:t>- Integration tests: bulk edit and clone container</w:t>
      </w:r>
    </w:p>
    <w:p>
      <w:pPr>
        <w:spacing w:after="80" w:line="293" w:lineRule="auto"/>
        <w:ind w:left="283"/>
        <w:jc w:val="left"/>
      </w:pPr>
      <w:r>
        <w:rPr>
          <w:rFonts w:ascii="Times New Roman" w:hAnsi="Times New Roman" w:cs="Times New Roman"/>
          <w:b w:val="0"/>
          <w:i w:val="0"/>
          <w:sz w:val="22"/>
        </w:rPr>
        <w:t>- End-to-end tests: full container &amp; commodity configuration</w:t>
      </w:r>
    </w:p>
    <w:p>
      <w:pPr>
        <w:spacing w:after="80" w:line="293" w:lineRule="auto"/>
        <w:ind w:left="283"/>
        <w:jc w:val="left"/>
      </w:pPr>
      <w:r>
        <w:rPr>
          <w:rFonts w:ascii="Times New Roman" w:hAnsi="Times New Roman" w:cs="Times New Roman"/>
          <w:b w:val="0"/>
          <w:i w:val="0"/>
          <w:sz w:val="22"/>
        </w:rPr>
        <w:t>- Performance tests: container tab rendering with 50 containers</w:t>
      </w:r>
    </w:p>
    <w:p>
      <w:pPr>
        <w:keepNext/>
        <w:spacing w:before="180" w:after="80"/>
        <w:outlineLvl w:val="2"/>
      </w:pPr>
      <w:r>
        <w:rPr>
          <w:rFonts w:ascii="Arial" w:hAnsi="Arial" w:cs="Arial"/>
          <w:b/>
          <w:i w:val="0"/>
          <w:color w:val="333333"/>
          <w:sz w:val="23"/>
        </w:rPr>
        <w:t>6.6.12 AI Authority Summary (Container &amp; Commodity)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Container &amp; Commodity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Country/port autocomplete, default values, weight summary explanations</w:t>
            </w:r>
          </w:p>
        </w:tc>
      </w:tr>
      <w:tr>
        <w:tc>
          <w:tcPr>
            <w:tcW w:type="dxa" w:w="3213"/>
          </w:tcPr>
          <w:p>
            <w:pPr>
              <w:spacing w:after="20" w:before="20" w:line="240" w:lineRule="auto"/>
            </w:pPr>
            <w:r/>
            <w:r>
              <w:rPr>
                <w:rFonts w:ascii="Arial" w:hAnsi="Arial" w:cs="Arial"/>
                <w:b w:val="0"/>
                <w:i w:val="0"/>
                <w:sz w:val="17"/>
              </w:rPr>
              <w:t>A2 (HF local + Groq)</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Product Form Agent dynamic fields, Express Mode intent parsing</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G1U7 per-container consistency, weight/pallet/capacity/port validation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6.7 Documentation Requirements</w:t>
      </w:r>
    </w:p>
    <w:p>
      <w:pPr>
        <w:keepNext/>
        <w:spacing w:before="180" w:after="80"/>
        <w:outlineLvl w:val="2"/>
      </w:pPr>
      <w:r>
        <w:rPr>
          <w:rFonts w:ascii="Arial" w:hAnsi="Arial" w:cs="Arial"/>
          <w:b/>
          <w:i w:val="0"/>
          <w:color w:val="333333"/>
          <w:sz w:val="23"/>
        </w:rPr>
        <w:t>6.7.1 Purpose &amp; Design Philosophy</w:t>
      </w:r>
    </w:p>
    <w:p>
      <w:pPr>
        <w:spacing w:after="80" w:line="293" w:lineRule="auto"/>
        <w:jc w:val="left"/>
      </w:pPr>
      <w:r>
        <w:rPr>
          <w:rFonts w:ascii="Times New Roman" w:hAnsi="Times New Roman" w:cs="Times New Roman"/>
          <w:b w:val="0"/>
          <w:i w:val="0"/>
          <w:sz w:val="22"/>
        </w:rPr>
        <w:t>The Documentation Requirements section is the single source of truth for all trade-related documents. Document requirements are consolidated into one unified, trigger-driven document management system: every document is defined once with its triggers, aligned with real trade execution (shipment, settlement, customs, financing).</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One source of truth — every document is defined once with its triggers, not duplicated across sections.</w:t>
      </w:r>
    </w:p>
    <w:p>
      <w:pPr>
        <w:spacing w:after="80" w:line="293" w:lineRule="auto"/>
        <w:ind w:left="283"/>
        <w:jc w:val="left"/>
      </w:pPr>
      <w:r>
        <w:rPr>
          <w:rFonts w:ascii="Times New Roman" w:hAnsi="Times New Roman" w:cs="Times New Roman"/>
          <w:b w:val="0"/>
          <w:i w:val="0"/>
          <w:sz w:val="22"/>
        </w:rPr>
        <w:t>- Trigger-driven — documents are associated with specific events (Shipment, Settlement, Customs, Financing)</w:t>
      </w:r>
    </w:p>
    <w:p>
      <w:pPr>
        <w:spacing w:after="80" w:line="293" w:lineRule="auto"/>
        <w:jc w:val="left"/>
      </w:pPr>
      <w:r>
        <w:rPr>
          <w:rFonts w:ascii="Times New Roman" w:hAnsi="Times New Roman" w:cs="Times New Roman"/>
          <w:b w:val="0"/>
          <w:i w:val="0"/>
          <w:sz w:val="22"/>
        </w:rPr>
        <w:t>to align with real trade execution.</w:t>
      </w:r>
    </w:p>
    <w:p>
      <w:pPr>
        <w:spacing w:after="80" w:line="293" w:lineRule="auto"/>
        <w:ind w:left="283"/>
        <w:jc w:val="left"/>
      </w:pPr>
      <w:r>
        <w:rPr>
          <w:rFonts w:ascii="Times New Roman" w:hAnsi="Times New Roman" w:cs="Times New Roman"/>
          <w:b w:val="0"/>
          <w:i w:val="0"/>
          <w:sz w:val="22"/>
        </w:rPr>
        <w:t>- Format-aware — buyers specify whether originals are required, whether electronic copies are accepted, and</w:t>
      </w:r>
    </w:p>
    <w:p>
      <w:pPr>
        <w:spacing w:after="80" w:line="293" w:lineRule="auto"/>
        <w:jc w:val="left"/>
      </w:pPr>
      <w:r>
        <w:rPr>
          <w:rFonts w:ascii="Times New Roman" w:hAnsi="Times New Roman" w:cs="Times New Roman"/>
          <w:b w:val="0"/>
          <w:i w:val="0"/>
          <w:sz w:val="22"/>
        </w:rPr>
        <w:t>the language of documents.</w:t>
      </w:r>
    </w:p>
    <w:p>
      <w:pPr>
        <w:spacing w:after="80" w:line="293" w:lineRule="auto"/>
        <w:ind w:left="283"/>
        <w:jc w:val="left"/>
      </w:pPr>
      <w:r>
        <w:rPr>
          <w:rFonts w:ascii="Times New Roman" w:hAnsi="Times New Roman" w:cs="Times New Roman"/>
          <w:b w:val="0"/>
          <w:i w:val="0"/>
          <w:sz w:val="22"/>
        </w:rPr>
        <w:t>- Dynamic generation — RIA pre-selects mandatory documents based on commodity, origin, destination, and</w:t>
      </w:r>
    </w:p>
    <w:p>
      <w:pPr>
        <w:spacing w:after="80" w:line="293" w:lineRule="auto"/>
        <w:jc w:val="left"/>
      </w:pPr>
      <w:r>
        <w:rPr>
          <w:rFonts w:ascii="Times New Roman" w:hAnsi="Times New Roman" w:cs="Times New Roman"/>
          <w:b w:val="0"/>
          <w:i w:val="0"/>
          <w:sz w:val="22"/>
        </w:rPr>
        <w:t>incoterm.</w:t>
      </w:r>
    </w:p>
    <w:p>
      <w:pPr>
        <w:spacing w:after="80" w:line="293" w:lineRule="auto"/>
        <w:ind w:left="283"/>
        <w:jc w:val="left"/>
      </w:pPr>
      <w:r>
        <w:rPr>
          <w:rFonts w:ascii="Times New Roman" w:hAnsi="Times New Roman" w:cs="Times New Roman"/>
          <w:b w:val="0"/>
          <w:i w:val="0"/>
          <w:sz w:val="22"/>
        </w:rPr>
        <w:t>- Compliance-first — document requirements are enforced at key stages of the trade lifecycle.</w:t>
      </w:r>
    </w:p>
    <w:p>
      <w:pPr>
        <w:spacing w:after="80" w:line="293" w:lineRule="auto"/>
        <w:jc w:val="left"/>
      </w:pPr>
      <w:r>
        <w:rPr>
          <w:rFonts w:ascii="Times New Roman" w:hAnsi="Times New Roman" w:cs="Times New Roman"/>
          <w:b w:val="0"/>
          <w:i w:val="0"/>
          <w:sz w:val="22"/>
        </w:rPr>
        <w:t>AI authority in this section: A2 (RIA) pre-selects mandatory documents; A2 (HF Donut) performs document verification (OCR + NLP) and fraud detection; A1 (Groq) generates plain-language explanations of document requirements.</w:t>
      </w:r>
    </w:p>
    <w:p>
      <w:pPr>
        <w:keepNext/>
        <w:spacing w:before="180" w:after="80"/>
        <w:outlineLvl w:val="2"/>
      </w:pPr>
      <w:r>
        <w:rPr>
          <w:rFonts w:ascii="Arial" w:hAnsi="Arial" w:cs="Arial"/>
          <w:b/>
          <w:i w:val="0"/>
          <w:color w:val="333333"/>
          <w:sz w:val="23"/>
        </w:rPr>
        <w:t>6.7.2 Document Triggers — One Source of Truth</w:t>
      </w:r>
    </w:p>
    <w:p>
      <w:pPr>
        <w:spacing w:after="80" w:line="293" w:lineRule="auto"/>
        <w:jc w:val="left"/>
      </w:pPr>
      <w:r>
        <w:rPr>
          <w:rFonts w:ascii="Times New Roman" w:hAnsi="Times New Roman" w:cs="Times New Roman"/>
          <w:b w:val="0"/>
          <w:i w:val="0"/>
          <w:sz w:val="22"/>
        </w:rPr>
        <w:t>All documents are associated with one or more triggers. A trigger is the lifecycle event at which the document must be present and verified.</w:t>
      </w:r>
    </w:p>
    <w:p>
      <w:pPr>
        <w:keepNext/>
        <w:spacing w:before="140" w:after="60"/>
        <w:outlineLvl w:val="3"/>
      </w:pPr>
      <w:r>
        <w:rPr>
          <w:rFonts w:ascii="Arial" w:hAnsi="Arial" w:cs="Arial"/>
          <w:b/>
          <w:i/>
          <w:color w:val="333333"/>
          <w:sz w:val="22"/>
        </w:rPr>
        <w:t>6.7.2.1 Trigger Types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Trigger</w:t>
            </w:r>
          </w:p>
        </w:tc>
        <w:tc>
          <w:tcPr>
            <w:tcW w:type="dxa" w:w="2409"/>
            <w:shd w:val="clear" w:fill="D9E2F3"/>
          </w:tcPr>
          <w:p>
            <w:pPr>
              <w:spacing w:after="20" w:before="20" w:line="240" w:lineRule="auto"/>
            </w:pPr>
            <w:r/>
            <w:r>
              <w:rPr>
                <w:rFonts w:ascii="Arial" w:hAnsi="Arial" w:cs="Arial"/>
                <w:b/>
                <w:i w:val="0"/>
                <w:sz w:val="18"/>
              </w:rPr>
              <w:t>Display Name</w:t>
            </w:r>
          </w:p>
        </w:tc>
        <w:tc>
          <w:tcPr>
            <w:tcW w:type="dxa" w:w="2409"/>
            <w:shd w:val="clear" w:fill="D9E2F3"/>
          </w:tcPr>
          <w:p>
            <w:pPr>
              <w:spacing w:after="20" w:before="20" w:line="240" w:lineRule="auto"/>
            </w:pPr>
            <w:r/>
            <w:r>
              <w:rPr>
                <w:rFonts w:ascii="Arial" w:hAnsi="Arial" w:cs="Arial"/>
                <w:b/>
                <w:i w:val="0"/>
                <w:sz w:val="18"/>
              </w:rPr>
              <w:t>Priority</w:t>
            </w:r>
          </w:p>
        </w:tc>
        <w:tc>
          <w:tcPr>
            <w:tcW w:type="dxa" w:w="2409"/>
            <w:shd w:val="clear" w:fill="D9E2F3"/>
          </w:tcPr>
          <w:p>
            <w:pPr>
              <w:spacing w:after="20" w:before="20" w:line="240" w:lineRule="auto"/>
            </w:pPr>
            <w:r/>
            <w:r>
              <w:rPr>
                <w:rFonts w:ascii="Arial" w:hAnsi="Arial" w:cs="Arial"/>
                <w:b/>
                <w:i w:val="0"/>
                <w:sz w:val="18"/>
              </w:rPr>
              <w:t>Meaning</w:t>
            </w:r>
          </w:p>
        </w:tc>
      </w:tr>
      <w:tr>
        <w:tc>
          <w:tcPr>
            <w:tcW w:type="dxa" w:w="2409"/>
          </w:tcPr>
          <w:p>
            <w:pPr>
              <w:spacing w:after="20" w:before="20" w:line="240" w:lineRule="auto"/>
            </w:pPr>
            <w:r/>
            <w:r>
              <w:rPr>
                <w:rFonts w:ascii="Arial" w:hAnsi="Arial" w:cs="Arial"/>
                <w:b w:val="0"/>
                <w:i w:val="0"/>
                <w:sz w:val="17"/>
              </w:rPr>
              <w:t>SHIPMENT</w:t>
            </w:r>
          </w:p>
        </w:tc>
        <w:tc>
          <w:tcPr>
            <w:tcW w:type="dxa" w:w="2409"/>
          </w:tcPr>
          <w:p>
            <w:pPr>
              <w:spacing w:after="20" w:before="20" w:line="240" w:lineRule="auto"/>
            </w:pPr>
            <w:r/>
            <w:r>
              <w:rPr>
                <w:rFonts w:ascii="Arial" w:hAnsi="Arial" w:cs="Arial"/>
                <w:b w:val="0"/>
                <w:i w:val="0"/>
                <w:sz w:val="17"/>
              </w:rPr>
              <w:t>Before or during shipment</w:t>
            </w:r>
          </w:p>
        </w:tc>
        <w:tc>
          <w:tcPr>
            <w:tcW w:type="dxa" w:w="2409"/>
          </w:tcPr>
          <w:p>
            <w:pPr>
              <w:spacing w:after="20" w:before="20" w:line="240" w:lineRule="auto"/>
            </w:pPr>
            <w:r/>
            <w:r>
              <w:rPr>
                <w:rFonts w:ascii="Arial" w:hAnsi="Arial" w:cs="Arial"/>
                <w:b w:val="0"/>
                <w:i w:val="0"/>
                <w:sz w:val="17"/>
              </w:rPr>
              <w:t>4 (highest)</w:t>
            </w:r>
          </w:p>
        </w:tc>
        <w:tc>
          <w:tcPr>
            <w:tcW w:type="dxa" w:w="2409"/>
          </w:tcPr>
          <w:p>
            <w:pPr>
              <w:spacing w:after="20" w:before="20" w:line="240" w:lineRule="auto"/>
            </w:pPr>
            <w:r/>
            <w:r>
              <w:rPr>
                <w:rFonts w:ascii="Arial" w:hAnsi="Arial" w:cs="Arial"/>
                <w:b w:val="0"/>
                <w:i w:val="0"/>
                <w:sz w:val="17"/>
              </w:rPr>
              <w:t>Must be ready before loading</w:t>
            </w:r>
          </w:p>
        </w:tc>
      </w:tr>
      <w:tr>
        <w:tc>
          <w:tcPr>
            <w:tcW w:type="dxa" w:w="2409"/>
          </w:tcPr>
          <w:p>
            <w:pPr>
              <w:spacing w:after="20" w:before="20" w:line="240" w:lineRule="auto"/>
            </w:pPr>
            <w:r/>
            <w:r>
              <w:rPr>
                <w:rFonts w:ascii="Arial" w:hAnsi="Arial" w:cs="Arial"/>
                <w:b w:val="0"/>
                <w:i w:val="0"/>
                <w:sz w:val="17"/>
              </w:rPr>
              <w:t>CUSTOMS</w:t>
            </w:r>
          </w:p>
        </w:tc>
        <w:tc>
          <w:tcPr>
            <w:tcW w:type="dxa" w:w="2409"/>
          </w:tcPr>
          <w:p>
            <w:pPr>
              <w:spacing w:after="20" w:before="20" w:line="240" w:lineRule="auto"/>
            </w:pPr>
            <w:r/>
            <w:r>
              <w:rPr>
                <w:rFonts w:ascii="Arial" w:hAnsi="Arial" w:cs="Arial"/>
                <w:b w:val="0"/>
                <w:i w:val="0"/>
                <w:sz w:val="17"/>
              </w:rPr>
              <w:t>For customs clearance</w:t>
            </w:r>
          </w:p>
        </w:tc>
        <w:tc>
          <w:tcPr>
            <w:tcW w:type="dxa" w:w="2409"/>
          </w:tcPr>
          <w:p>
            <w:pPr>
              <w:spacing w:after="20" w:before="20" w:line="240" w:lineRule="auto"/>
            </w:pPr>
            <w:r/>
            <w:r>
              <w:rPr>
                <w:rFonts w:ascii="Arial" w:hAnsi="Arial" w:cs="Arial"/>
                <w:b w:val="0"/>
                <w:i w:val="0"/>
                <w:sz w:val="17"/>
              </w:rPr>
              <w:t>3</w:t>
            </w:r>
          </w:p>
        </w:tc>
        <w:tc>
          <w:tcPr>
            <w:tcW w:type="dxa" w:w="2409"/>
          </w:tcPr>
          <w:p>
            <w:pPr>
              <w:spacing w:after="20" w:before="20" w:line="240" w:lineRule="auto"/>
            </w:pPr>
            <w:r/>
            <w:r>
              <w:rPr>
                <w:rFonts w:ascii="Arial" w:hAnsi="Arial" w:cs="Arial"/>
                <w:b w:val="0"/>
                <w:i w:val="0"/>
                <w:sz w:val="17"/>
              </w:rPr>
              <w:t>Must be ready at arrival</w:t>
            </w:r>
          </w:p>
        </w:tc>
      </w:tr>
      <w:tr>
        <w:tc>
          <w:tcPr>
            <w:tcW w:type="dxa" w:w="2409"/>
          </w:tcPr>
          <w:p>
            <w:pPr>
              <w:spacing w:after="20" w:before="20" w:line="240" w:lineRule="auto"/>
            </w:pPr>
            <w:r/>
            <w:r>
              <w:rPr>
                <w:rFonts w:ascii="Arial" w:hAnsi="Arial" w:cs="Arial"/>
                <w:b w:val="0"/>
                <w:i w:val="0"/>
                <w:sz w:val="17"/>
              </w:rPr>
              <w:t>SETTLEMENT</w:t>
            </w:r>
          </w:p>
        </w:tc>
        <w:tc>
          <w:tcPr>
            <w:tcW w:type="dxa" w:w="2409"/>
          </w:tcPr>
          <w:p>
            <w:pPr>
              <w:spacing w:after="20" w:before="20" w:line="240" w:lineRule="auto"/>
            </w:pPr>
            <w:r/>
            <w:r>
              <w:rPr>
                <w:rFonts w:ascii="Arial" w:hAnsi="Arial" w:cs="Arial"/>
                <w:b w:val="0"/>
                <w:i w:val="0"/>
                <w:sz w:val="17"/>
              </w:rPr>
              <w:t>Before payment</w:t>
            </w:r>
          </w:p>
        </w:tc>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Must be ready before payment</w:t>
            </w:r>
          </w:p>
        </w:tc>
      </w:tr>
      <w:tr>
        <w:tc>
          <w:tcPr>
            <w:tcW w:type="dxa" w:w="2409"/>
          </w:tcPr>
          <w:p>
            <w:pPr>
              <w:spacing w:after="20" w:before="20" w:line="240" w:lineRule="auto"/>
            </w:pPr>
            <w:r/>
            <w:r>
              <w:rPr>
                <w:rFonts w:ascii="Arial" w:hAnsi="Arial" w:cs="Arial"/>
                <w:b w:val="0"/>
                <w:i w:val="0"/>
                <w:sz w:val="17"/>
              </w:rPr>
              <w:t>FINANCING</w:t>
            </w:r>
          </w:p>
        </w:tc>
        <w:tc>
          <w:tcPr>
            <w:tcW w:type="dxa" w:w="2409"/>
          </w:tcPr>
          <w:p>
            <w:pPr>
              <w:spacing w:after="20" w:before="20" w:line="240" w:lineRule="auto"/>
            </w:pPr>
            <w:r/>
            <w:r>
              <w:rPr>
                <w:rFonts w:ascii="Arial" w:hAnsi="Arial" w:cs="Arial"/>
                <w:b w:val="0"/>
                <w:i w:val="0"/>
                <w:sz w:val="17"/>
              </w:rPr>
              <w:t>For financing</w:t>
            </w:r>
          </w:p>
        </w:tc>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Must be ready before disbursement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6.7.2.2 Document Triggers Matrix</w:t>
      </w:r>
    </w:p>
    <w:p>
      <w:pPr>
        <w:spacing w:after="80" w:line="293" w:lineRule="auto"/>
        <w:jc w:val="left"/>
      </w:pPr>
      <w:r>
        <w:rPr>
          <w:rFonts w:ascii="Times New Roman" w:hAnsi="Times New Roman" w:cs="Times New Roman"/>
          <w:b w:val="0"/>
          <w:i w:val="0"/>
          <w:sz w:val="22"/>
        </w:rPr>
        <w:t>Example matrix (fresh oranges, Egypt → Germany):</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Document Type</w:t>
            </w:r>
          </w:p>
        </w:tc>
        <w:tc>
          <w:tcPr>
            <w:tcW w:type="dxa" w:w="2409"/>
            <w:shd w:val="clear" w:fill="D9E2F3"/>
          </w:tcPr>
          <w:p>
            <w:pPr>
              <w:spacing w:after="20" w:before="20" w:line="240" w:lineRule="auto"/>
            </w:pPr>
            <w:r/>
            <w:r>
              <w:rPr>
                <w:rFonts w:ascii="Arial" w:hAnsi="Arial" w:cs="Arial"/>
                <w:b/>
                <w:i w:val="0"/>
                <w:sz w:val="18"/>
              </w:rPr>
              <w:t>Mandatory</w:t>
            </w:r>
          </w:p>
        </w:tc>
        <w:tc>
          <w:tcPr>
            <w:tcW w:type="dxa" w:w="2409"/>
            <w:shd w:val="clear" w:fill="D9E2F3"/>
          </w:tcPr>
          <w:p>
            <w:pPr>
              <w:spacing w:after="20" w:before="20" w:line="240" w:lineRule="auto"/>
            </w:pPr>
            <w:r/>
            <w:r>
              <w:rPr>
                <w:rFonts w:ascii="Arial" w:hAnsi="Arial" w:cs="Arial"/>
                <w:b/>
                <w:i w:val="0"/>
                <w:sz w:val="18"/>
              </w:rPr>
              <w:t>Triggers</w:t>
            </w:r>
          </w:p>
        </w:tc>
        <w:tc>
          <w:tcPr>
            <w:tcW w:type="dxa" w:w="2409"/>
            <w:shd w:val="clear" w:fill="D9E2F3"/>
          </w:tcPr>
          <w:p>
            <w:pPr>
              <w:spacing w:after="20" w:before="20" w:line="240" w:lineRule="auto"/>
            </w:pPr>
            <w:r/>
            <w:r>
              <w:rPr>
                <w:rFonts w:ascii="Arial" w:hAnsi="Arial" w:cs="Arial"/>
                <w:b/>
                <w:i w:val="0"/>
                <w:sz w:val="18"/>
              </w:rPr>
              <w:t>Source Regulation</w:t>
            </w:r>
          </w:p>
        </w:tc>
      </w:tr>
      <w:tr>
        <w:tc>
          <w:tcPr>
            <w:tcW w:type="dxa" w:w="2409"/>
          </w:tcPr>
          <w:p>
            <w:pPr>
              <w:spacing w:after="20" w:before="20" w:line="240" w:lineRule="auto"/>
            </w:pPr>
            <w:r/>
            <w:r>
              <w:rPr>
                <w:rFonts w:ascii="Arial" w:hAnsi="Arial" w:cs="Arial"/>
                <w:b w:val="0"/>
                <w:i w:val="0"/>
                <w:sz w:val="17"/>
              </w:rPr>
              <w:t>Commercial Invoice</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SHIPMENT, SETTLEMENT, CUSTOMS, FINANCING</w:t>
            </w:r>
          </w:p>
        </w:tc>
        <w:tc>
          <w:tcPr>
            <w:tcW w:type="dxa" w:w="2409"/>
          </w:tcPr>
          <w:p>
            <w:pPr>
              <w:spacing w:after="20" w:before="20" w:line="240" w:lineRule="auto"/>
            </w:pPr>
            <w:r/>
            <w:r>
              <w:rPr>
                <w:rFonts w:ascii="Arial" w:hAnsi="Arial" w:cs="Arial"/>
                <w:b w:val="0"/>
                <w:i w:val="0"/>
                <w:sz w:val="17"/>
              </w:rPr>
              <w:t>WTO</w:t>
            </w:r>
          </w:p>
        </w:tc>
      </w:tr>
      <w:tr>
        <w:tc>
          <w:tcPr>
            <w:tcW w:type="dxa" w:w="2409"/>
          </w:tcPr>
          <w:p>
            <w:pPr>
              <w:spacing w:after="20" w:before="20" w:line="240" w:lineRule="auto"/>
            </w:pPr>
            <w:r/>
            <w:r>
              <w:rPr>
                <w:rFonts w:ascii="Arial" w:hAnsi="Arial" w:cs="Arial"/>
                <w:b w:val="0"/>
                <w:i w:val="0"/>
                <w:sz w:val="17"/>
              </w:rPr>
              <w:t>Packing List</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SHIPMENT, SETTLEMENT, CUSTOMS</w:t>
            </w:r>
          </w:p>
        </w:tc>
        <w:tc>
          <w:tcPr>
            <w:tcW w:type="dxa" w:w="2409"/>
          </w:tcPr>
          <w:p>
            <w:pPr>
              <w:spacing w:after="20" w:before="20" w:line="240" w:lineRule="auto"/>
            </w:pPr>
            <w:r/>
            <w:r>
              <w:rPr>
                <w:rFonts w:ascii="Arial" w:hAnsi="Arial" w:cs="Arial"/>
                <w:b w:val="0"/>
                <w:i w:val="0"/>
                <w:sz w:val="17"/>
              </w:rPr>
              <w:t>WTO</w:t>
            </w:r>
          </w:p>
        </w:tc>
      </w:tr>
      <w:tr>
        <w:tc>
          <w:tcPr>
            <w:tcW w:type="dxa" w:w="2409"/>
          </w:tcPr>
          <w:p>
            <w:pPr>
              <w:spacing w:after="20" w:before="20" w:line="240" w:lineRule="auto"/>
            </w:pPr>
            <w:r/>
            <w:r>
              <w:rPr>
                <w:rFonts w:ascii="Arial" w:hAnsi="Arial" w:cs="Arial"/>
                <w:b w:val="0"/>
                <w:i w:val="0"/>
                <w:sz w:val="17"/>
              </w:rPr>
              <w:t>Bill of Lading</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SHIPMENT, SETTLEMENT, CUSTOMS, FINANCING</w:t>
            </w:r>
          </w:p>
        </w:tc>
        <w:tc>
          <w:tcPr>
            <w:tcW w:type="dxa" w:w="2409"/>
          </w:tcPr>
          <w:p>
            <w:pPr>
              <w:spacing w:after="20" w:before="20" w:line="240" w:lineRule="auto"/>
            </w:pPr>
            <w:r/>
            <w:r>
              <w:rPr>
                <w:rFonts w:ascii="Arial" w:hAnsi="Arial" w:cs="Arial"/>
                <w:b w:val="0"/>
                <w:i w:val="0"/>
                <w:sz w:val="17"/>
              </w:rPr>
              <w:t>WTO</w:t>
            </w:r>
          </w:p>
        </w:tc>
      </w:tr>
      <w:tr>
        <w:tc>
          <w:tcPr>
            <w:tcW w:type="dxa" w:w="2409"/>
          </w:tcPr>
          <w:p>
            <w:pPr>
              <w:spacing w:after="20" w:before="20" w:line="240" w:lineRule="auto"/>
            </w:pPr>
            <w:r/>
            <w:r>
              <w:rPr>
                <w:rFonts w:ascii="Arial" w:hAnsi="Arial" w:cs="Arial"/>
                <w:b w:val="0"/>
                <w:i w:val="0"/>
                <w:sz w:val="17"/>
              </w:rPr>
              <w:t>Certificate of Origin</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SETTLEMENT, CUSTOMS</w:t>
            </w:r>
          </w:p>
        </w:tc>
        <w:tc>
          <w:tcPr>
            <w:tcW w:type="dxa" w:w="2409"/>
          </w:tcPr>
          <w:p>
            <w:pPr>
              <w:spacing w:after="20" w:before="20" w:line="240" w:lineRule="auto"/>
            </w:pPr>
            <w:r/>
            <w:r>
              <w:rPr>
                <w:rFonts w:ascii="Arial" w:hAnsi="Arial" w:cs="Arial"/>
                <w:b w:val="0"/>
                <w:i w:val="0"/>
                <w:sz w:val="17"/>
              </w:rPr>
              <w:t>WTO</w:t>
            </w:r>
          </w:p>
        </w:tc>
      </w:tr>
      <w:tr>
        <w:tc>
          <w:tcPr>
            <w:tcW w:type="dxa" w:w="2409"/>
          </w:tcPr>
          <w:p>
            <w:pPr>
              <w:spacing w:after="20" w:before="20" w:line="240" w:lineRule="auto"/>
            </w:pPr>
            <w:r/>
            <w:r>
              <w:rPr>
                <w:rFonts w:ascii="Arial" w:hAnsi="Arial" w:cs="Arial"/>
                <w:b w:val="0"/>
                <w:i w:val="0"/>
                <w:sz w:val="17"/>
              </w:rPr>
              <w:t>Phytosanitary Certificate</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SHIPMENT, CUSTOMS</w:t>
            </w:r>
          </w:p>
        </w:tc>
        <w:tc>
          <w:tcPr>
            <w:tcW w:type="dxa" w:w="2409"/>
          </w:tcPr>
          <w:p>
            <w:pPr>
              <w:spacing w:after="20" w:before="20" w:line="240" w:lineRule="auto"/>
            </w:pPr>
            <w:r/>
            <w:r>
              <w:rPr>
                <w:rFonts w:ascii="Arial" w:hAnsi="Arial" w:cs="Arial"/>
                <w:b w:val="0"/>
                <w:i w:val="0"/>
                <w:sz w:val="17"/>
              </w:rPr>
              <w:t>IPPC</w:t>
            </w:r>
          </w:p>
        </w:tc>
      </w:tr>
      <w:tr>
        <w:tc>
          <w:tcPr>
            <w:tcW w:type="dxa" w:w="2409"/>
          </w:tcPr>
          <w:p>
            <w:pPr>
              <w:spacing w:after="20" w:before="20" w:line="240" w:lineRule="auto"/>
            </w:pPr>
            <w:r/>
            <w:r>
              <w:rPr>
                <w:rFonts w:ascii="Arial" w:hAnsi="Arial" w:cs="Arial"/>
                <w:b w:val="0"/>
                <w:i w:val="0"/>
                <w:sz w:val="17"/>
              </w:rPr>
              <w:t>Health Certificate</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SHIPMENT, CUSTOMS</w:t>
            </w:r>
          </w:p>
        </w:tc>
        <w:tc>
          <w:tcPr>
            <w:tcW w:type="dxa" w:w="2409"/>
          </w:tcPr>
          <w:p>
            <w:pPr>
              <w:spacing w:after="20" w:before="20" w:line="240" w:lineRule="auto"/>
            </w:pPr>
            <w:r/>
            <w:r>
              <w:rPr>
                <w:rFonts w:ascii="Arial" w:hAnsi="Arial" w:cs="Arial"/>
                <w:b w:val="0"/>
                <w:i w:val="0"/>
                <w:sz w:val="17"/>
              </w:rPr>
              <w:t>NFSA</w:t>
            </w:r>
          </w:p>
        </w:tc>
      </w:tr>
      <w:tr>
        <w:tc>
          <w:tcPr>
            <w:tcW w:type="dxa" w:w="2409"/>
          </w:tcPr>
          <w:p>
            <w:pPr>
              <w:spacing w:after="20" w:before="20" w:line="240" w:lineRule="auto"/>
            </w:pPr>
            <w:r/>
            <w:r>
              <w:rPr>
                <w:rFonts w:ascii="Arial" w:hAnsi="Arial" w:cs="Arial"/>
                <w:b w:val="0"/>
                <w:i w:val="0"/>
                <w:sz w:val="17"/>
              </w:rPr>
              <w:t>Cold Treatment Certificate</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SHIPMENT, CUSTOMS</w:t>
            </w:r>
          </w:p>
        </w:tc>
        <w:tc>
          <w:tcPr>
            <w:tcW w:type="dxa" w:w="2409"/>
          </w:tcPr>
          <w:p>
            <w:pPr>
              <w:spacing w:after="20" w:before="20" w:line="240" w:lineRule="auto"/>
            </w:pPr>
            <w:r/>
            <w:r>
              <w:rPr>
                <w:rFonts w:ascii="Arial" w:hAnsi="Arial" w:cs="Arial"/>
                <w:b w:val="0"/>
                <w:i w:val="0"/>
                <w:sz w:val="17"/>
              </w:rPr>
              <w:t>IPPC</w:t>
            </w:r>
          </w:p>
        </w:tc>
      </w:tr>
      <w:tr>
        <w:tc>
          <w:tcPr>
            <w:tcW w:type="dxa" w:w="2409"/>
          </w:tcPr>
          <w:p>
            <w:pPr>
              <w:spacing w:after="20" w:before="20" w:line="240" w:lineRule="auto"/>
            </w:pPr>
            <w:r/>
            <w:r>
              <w:rPr>
                <w:rFonts w:ascii="Arial" w:hAnsi="Arial" w:cs="Arial"/>
                <w:b w:val="0"/>
                <w:i w:val="0"/>
                <w:sz w:val="17"/>
              </w:rPr>
              <w:t>Insurance Certificate</w:t>
            </w:r>
          </w:p>
        </w:tc>
        <w:tc>
          <w:tcPr>
            <w:tcW w:type="dxa" w:w="2409"/>
          </w:tcPr>
          <w:p>
            <w:pPr>
              <w:spacing w:after="20" w:before="20" w:line="240" w:lineRule="auto"/>
            </w:pPr>
            <w:r/>
            <w:r>
              <w:rPr>
                <w:rFonts w:ascii="Arial" w:hAnsi="Arial" w:cs="Arial"/>
                <w:b w:val="0"/>
                <w:i w:val="0"/>
                <w:sz w:val="17"/>
              </w:rPr>
              <w:t>Optional</w:t>
            </w:r>
          </w:p>
        </w:tc>
        <w:tc>
          <w:tcPr>
            <w:tcW w:type="dxa" w:w="2409"/>
          </w:tcPr>
          <w:p>
            <w:pPr>
              <w:spacing w:after="20" w:before="20" w:line="240" w:lineRule="auto"/>
            </w:pPr>
            <w:r/>
            <w:r>
              <w:rPr>
                <w:rFonts w:ascii="Arial" w:hAnsi="Arial" w:cs="Arial"/>
                <w:b w:val="0"/>
                <w:i w:val="0"/>
                <w:sz w:val="17"/>
              </w:rPr>
              <w:t>SETTLEMENT, FINANCING</w:t>
            </w:r>
          </w:p>
        </w:tc>
        <w:tc>
          <w:tcPr>
            <w:tcW w:type="dxa" w:w="2409"/>
          </w:tcPr>
          <w:p>
            <w:pPr>
              <w:spacing w:after="20" w:before="20" w:line="240" w:lineRule="auto"/>
            </w:pPr>
            <w:r/>
            <w:r>
              <w:rPr>
                <w:rFonts w:ascii="Arial" w:hAnsi="Arial" w:cs="Arial"/>
                <w:b w:val="0"/>
                <w:i w:val="0"/>
                <w:sz w:val="17"/>
              </w:rPr>
              <w:t>Optional</w:t>
            </w:r>
          </w:p>
        </w:tc>
      </w:tr>
      <w:tr>
        <w:tc>
          <w:tcPr>
            <w:tcW w:type="dxa" w:w="2409"/>
          </w:tcPr>
          <w:p>
            <w:pPr>
              <w:spacing w:after="20" w:before="20" w:line="240" w:lineRule="auto"/>
            </w:pPr>
            <w:r/>
            <w:r>
              <w:rPr>
                <w:rFonts w:ascii="Arial" w:hAnsi="Arial" w:cs="Arial"/>
                <w:b w:val="0"/>
                <w:i w:val="0"/>
                <w:sz w:val="17"/>
              </w:rPr>
              <w:t>Cold Chain Log</w:t>
            </w:r>
          </w:p>
        </w:tc>
        <w:tc>
          <w:tcPr>
            <w:tcW w:type="dxa" w:w="2409"/>
          </w:tcPr>
          <w:p>
            <w:pPr>
              <w:spacing w:after="20" w:before="20" w:line="240" w:lineRule="auto"/>
            </w:pPr>
            <w:r/>
            <w:r>
              <w:rPr>
                <w:rFonts w:ascii="Arial" w:hAnsi="Arial" w:cs="Arial"/>
                <w:b w:val="0"/>
                <w:i w:val="0"/>
                <w:sz w:val="17"/>
              </w:rPr>
              <w:t>Optional</w:t>
            </w:r>
          </w:p>
        </w:tc>
        <w:tc>
          <w:tcPr>
            <w:tcW w:type="dxa" w:w="2409"/>
          </w:tcPr>
          <w:p>
            <w:pPr>
              <w:spacing w:after="20" w:before="20" w:line="240" w:lineRule="auto"/>
            </w:pPr>
            <w:r/>
            <w:r>
              <w:rPr>
                <w:rFonts w:ascii="Arial" w:hAnsi="Arial" w:cs="Arial"/>
                <w:b w:val="0"/>
                <w:i w:val="0"/>
                <w:sz w:val="17"/>
              </w:rPr>
              <w:t>SHIPMENT</w:t>
            </w:r>
          </w:p>
        </w:tc>
        <w:tc>
          <w:tcPr>
            <w:tcW w:type="dxa" w:w="2409"/>
          </w:tcPr>
          <w:p>
            <w:pPr>
              <w:spacing w:after="20" w:before="20" w:line="240" w:lineRule="auto"/>
            </w:pPr>
            <w:r/>
            <w:r>
              <w:rPr>
                <w:rFonts w:ascii="Arial" w:hAnsi="Arial" w:cs="Arial"/>
                <w:b w:val="0"/>
                <w:i w:val="0"/>
                <w:sz w:val="17"/>
              </w:rPr>
              <w:t>FAO</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6.7.3 UI — Documentation Requirements Section</w:t>
      </w:r>
    </w:p>
    <w:p>
      <w:pPr>
        <w:keepNext/>
        <w:spacing w:before="140" w:after="60"/>
        <w:outlineLvl w:val="3"/>
      </w:pPr>
      <w:r>
        <w:rPr>
          <w:rFonts w:ascii="Arial" w:hAnsi="Arial" w:cs="Arial"/>
          <w:b/>
          <w:i/>
          <w:color w:val="333333"/>
          <w:sz w:val="22"/>
        </w:rPr>
        <w:t>6.7.3.1 Complete UI Example</w:t>
      </w:r>
    </w:p>
    <w:p>
      <w:pPr>
        <w:spacing w:after="0" w:before="0" w:line="240" w:lineRule="auto"/>
        <w:ind w:left="57"/>
        <w:jc w:val="left"/>
        <w:shd w:val="clear" w:fill="F2F2F2"/>
      </w:pPr>
      <w:r>
        <w:rPr>
          <w:rFonts w:ascii="Consolas" w:hAnsi="Consolas" w:cs="Consolas"/>
          <w:b w:val="0"/>
          <w:i w:val="0"/>
          <w:sz w:val="15"/>
        </w:rPr>
        <w:t>5. DOCUMENTATION REQUIREMENTS</w:t>
      </w:r>
    </w:p>
    <w:p>
      <w:pPr>
        <w:spacing w:after="0" w:before="0" w:line="240" w:lineRule="auto"/>
        <w:ind w:left="57"/>
        <w:jc w:val="left"/>
        <w:shd w:val="clear" w:fill="F2F2F2"/>
      </w:pPr>
      <w:r>
        <w:rPr>
          <w:rFonts w:ascii="Consolas" w:hAnsi="Consolas" w:cs="Consolas"/>
          <w:b w:val="0"/>
          <w:i w:val="0"/>
          <w:sz w:val="15"/>
        </w:rPr>
        <w:t xml:space="preserve">  RIA Pre-selection: 12 documents required for this trade.</w:t>
      </w:r>
    </w:p>
    <w:p>
      <w:pPr>
        <w:spacing w:after="0" w:before="0" w:line="240" w:lineRule="auto"/>
        <w:ind w:left="57"/>
        <w:jc w:val="left"/>
        <w:shd w:val="clear" w:fill="F2F2F2"/>
      </w:pPr>
      <w:r>
        <w:rPr>
          <w:rFonts w:ascii="Consolas" w:hAnsi="Consolas" w:cs="Consolas"/>
          <w:b w:val="0"/>
          <w:i w:val="0"/>
          <w:sz w:val="15"/>
        </w:rPr>
        <w:t xml:space="preserve">  Mandatory: 8 | Optional: 4 | Already specified by RIA.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 Type              Trigger(s)                Mandatory   Format   Status</w:t>
      </w:r>
    </w:p>
    <w:p>
      <w:pPr>
        <w:spacing w:after="0" w:before="0" w:line="240" w:lineRule="auto"/>
        <w:ind w:left="57"/>
        <w:jc w:val="left"/>
        <w:shd w:val="clear" w:fill="F2F2F2"/>
      </w:pPr>
      <w:r>
        <w:rPr>
          <w:rFonts w:ascii="Consolas" w:hAnsi="Consolas" w:cs="Consolas"/>
          <w:b w:val="0"/>
          <w:i w:val="0"/>
          <w:sz w:val="15"/>
        </w:rPr>
        <w:t xml:space="preserve">  Commercial Invoice         SHIPMENT, SETTLEMENT,     Required    Electr.  Verified</w:t>
      </w:r>
    </w:p>
    <w:p>
      <w:pPr>
        <w:spacing w:after="0" w:before="0" w:line="240" w:lineRule="auto"/>
        <w:ind w:left="57"/>
        <w:jc w:val="left"/>
        <w:shd w:val="clear" w:fill="F2F2F2"/>
      </w:pPr>
      <w:r>
        <w:rPr>
          <w:rFonts w:ascii="Consolas" w:hAnsi="Consolas" w:cs="Consolas"/>
          <w:b w:val="0"/>
          <w:i w:val="0"/>
          <w:sz w:val="15"/>
        </w:rPr>
        <w:t xml:space="preserve">                             CUSTOMS, FINANCING</w:t>
      </w:r>
    </w:p>
    <w:p>
      <w:pPr>
        <w:spacing w:after="0" w:before="0" w:line="240" w:lineRule="auto"/>
        <w:ind w:left="57"/>
        <w:jc w:val="left"/>
        <w:shd w:val="clear" w:fill="F2F2F2"/>
      </w:pPr>
      <w:r>
        <w:rPr>
          <w:rFonts w:ascii="Consolas" w:hAnsi="Consolas" w:cs="Consolas"/>
          <w:b w:val="0"/>
          <w:i w:val="0"/>
          <w:sz w:val="15"/>
        </w:rPr>
        <w:t xml:space="preserve">  Packing List               SHIPMENT, SETTLEMENT,     Required    Electr.  Verified</w:t>
      </w:r>
    </w:p>
    <w:p>
      <w:pPr>
        <w:spacing w:after="0" w:before="0" w:line="240" w:lineRule="auto"/>
        <w:ind w:left="57"/>
        <w:jc w:val="left"/>
        <w:shd w:val="clear" w:fill="F2F2F2"/>
      </w:pPr>
      <w:r>
        <w:rPr>
          <w:rFonts w:ascii="Consolas" w:hAnsi="Consolas" w:cs="Consolas"/>
          <w:b w:val="0"/>
          <w:i w:val="0"/>
          <w:sz w:val="15"/>
        </w:rPr>
        <w:t xml:space="preserve">                             CUSTOMS</w:t>
      </w:r>
    </w:p>
    <w:p>
      <w:pPr>
        <w:spacing w:after="0" w:before="0" w:line="240" w:lineRule="auto"/>
        <w:ind w:left="57"/>
        <w:jc w:val="left"/>
        <w:shd w:val="clear" w:fill="F2F2F2"/>
      </w:pPr>
      <w:r>
        <w:rPr>
          <w:rFonts w:ascii="Consolas" w:hAnsi="Consolas" w:cs="Consolas"/>
          <w:b w:val="0"/>
          <w:i w:val="0"/>
          <w:sz w:val="15"/>
        </w:rPr>
        <w:t xml:space="preserve">  Bill of Lading             SHIPMENT, SETTLEMENT,     Required    Orig.    Pending</w:t>
      </w:r>
    </w:p>
    <w:p>
      <w:pPr>
        <w:spacing w:after="0" w:before="0" w:line="240" w:lineRule="auto"/>
        <w:ind w:left="57"/>
        <w:jc w:val="left"/>
        <w:shd w:val="clear" w:fill="F2F2F2"/>
      </w:pPr>
      <w:r>
        <w:rPr>
          <w:rFonts w:ascii="Consolas" w:hAnsi="Consolas" w:cs="Consolas"/>
          <w:b w:val="0"/>
          <w:i w:val="0"/>
          <w:sz w:val="15"/>
        </w:rPr>
        <w:t xml:space="preserve">                             CUSTOMS, FINANCING</w:t>
      </w:r>
    </w:p>
    <w:p>
      <w:pPr>
        <w:spacing w:after="0" w:before="0" w:line="240" w:lineRule="auto"/>
        <w:ind w:left="57"/>
        <w:jc w:val="left"/>
        <w:shd w:val="clear" w:fill="F2F2F2"/>
      </w:pPr>
      <w:r>
        <w:rPr>
          <w:rFonts w:ascii="Consolas" w:hAnsi="Consolas" w:cs="Consolas"/>
          <w:b w:val="0"/>
          <w:i w:val="0"/>
          <w:sz w:val="15"/>
        </w:rPr>
        <w:t xml:space="preserve">  Certificate of Origin      SETTLEMENT, CUSTOMS       Required    Orig.    Pending</w:t>
      </w:r>
    </w:p>
    <w:p>
      <w:pPr>
        <w:spacing w:after="0" w:before="0" w:line="240" w:lineRule="auto"/>
        <w:ind w:left="57"/>
        <w:jc w:val="left"/>
        <w:shd w:val="clear" w:fill="F2F2F2"/>
      </w:pPr>
      <w:r>
        <w:rPr>
          <w:rFonts w:ascii="Consolas" w:hAnsi="Consolas" w:cs="Consolas"/>
          <w:b w:val="0"/>
          <w:i w:val="0"/>
          <w:sz w:val="15"/>
        </w:rPr>
        <w:t xml:space="preserve">                             (COO)</w:t>
      </w:r>
    </w:p>
    <w:p>
      <w:pPr>
        <w:spacing w:after="0" w:before="0" w:line="240" w:lineRule="auto"/>
        <w:ind w:left="57"/>
        <w:jc w:val="left"/>
        <w:shd w:val="clear" w:fill="F2F2F2"/>
      </w:pPr>
      <w:r>
        <w:rPr>
          <w:rFonts w:ascii="Consolas" w:hAnsi="Consolas" w:cs="Consolas"/>
          <w:b w:val="0"/>
          <w:i w:val="0"/>
          <w:sz w:val="15"/>
        </w:rPr>
        <w:t xml:space="preserve">  Phytosanitary Certificate  SHIPMENT, CUSTOMS         Required    Orig.    Pending</w:t>
      </w:r>
    </w:p>
    <w:p>
      <w:pPr>
        <w:spacing w:after="0" w:before="0" w:line="240" w:lineRule="auto"/>
        <w:ind w:left="57"/>
        <w:jc w:val="left"/>
        <w:shd w:val="clear" w:fill="F2F2F2"/>
      </w:pPr>
      <w:r>
        <w:rPr>
          <w:rFonts w:ascii="Consolas" w:hAnsi="Consolas" w:cs="Consolas"/>
          <w:b w:val="0"/>
          <w:i w:val="0"/>
          <w:sz w:val="15"/>
        </w:rPr>
        <w:t xml:space="preserve">  Health Certificate         SHIPMENT, CUSTOMS         Required    Electr.  Pending</w:t>
      </w:r>
    </w:p>
    <w:p>
      <w:pPr>
        <w:spacing w:after="0" w:before="0" w:line="240" w:lineRule="auto"/>
        <w:ind w:left="57"/>
        <w:jc w:val="left"/>
        <w:shd w:val="clear" w:fill="F2F2F2"/>
      </w:pPr>
      <w:r>
        <w:rPr>
          <w:rFonts w:ascii="Consolas" w:hAnsi="Consolas" w:cs="Consolas"/>
          <w:b w:val="0"/>
          <w:i w:val="0"/>
          <w:sz w:val="15"/>
        </w:rPr>
        <w:t xml:space="preserve">  Cold Treatment Certificate SHIPMENT, CUSTOMS         Required    Orig.    Pending</w:t>
      </w:r>
    </w:p>
    <w:p>
      <w:pPr>
        <w:spacing w:after="0" w:before="0" w:line="240" w:lineRule="auto"/>
        <w:ind w:left="57"/>
        <w:jc w:val="left"/>
        <w:shd w:val="clear" w:fill="F2F2F2"/>
      </w:pPr>
      <w:r>
        <w:rPr>
          <w:rFonts w:ascii="Consolas" w:hAnsi="Consolas" w:cs="Consolas"/>
          <w:b w:val="0"/>
          <w:i w:val="0"/>
          <w:sz w:val="15"/>
        </w:rPr>
        <w:t xml:space="preserve">  Insurance Certificate      SETTLEMENT, FINANCING     Optional    Electr.  N/A</w:t>
      </w:r>
    </w:p>
    <w:p>
      <w:pPr>
        <w:spacing w:after="0" w:before="0" w:line="240" w:lineRule="auto"/>
        <w:ind w:left="57"/>
        <w:jc w:val="left"/>
        <w:shd w:val="clear" w:fill="F2F2F2"/>
      </w:pPr>
      <w:r>
        <w:rPr>
          <w:rFonts w:ascii="Consolas" w:hAnsi="Consolas" w:cs="Consolas"/>
          <w:b w:val="0"/>
          <w:i w:val="0"/>
          <w:sz w:val="15"/>
        </w:rPr>
        <w:t xml:space="preserve">  Cold Chain Log             SHIPMENT                  Optional    Electr.  N/A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 FORMAT &amp; LANGUAGE</w:t>
      </w:r>
    </w:p>
    <w:p>
      <w:pPr>
        <w:spacing w:after="0" w:before="0" w:line="240" w:lineRule="auto"/>
        <w:ind w:left="57"/>
        <w:jc w:val="left"/>
        <w:shd w:val="clear" w:fill="F2F2F2"/>
      </w:pPr>
      <w:r>
        <w:rPr>
          <w:rFonts w:ascii="Consolas" w:hAnsi="Consolas" w:cs="Consolas"/>
          <w:b w:val="0"/>
          <w:i w:val="0"/>
          <w:sz w:val="15"/>
        </w:rPr>
        <w:t xml:space="preserve">  Originals Required? [Yes] [No]</w:t>
      </w:r>
    </w:p>
    <w:p>
      <w:pPr>
        <w:spacing w:after="0" w:before="0" w:line="240" w:lineRule="auto"/>
        <w:ind w:left="57"/>
        <w:jc w:val="left"/>
        <w:shd w:val="clear" w:fill="F2F2F2"/>
      </w:pPr>
      <w:r>
        <w:rPr>
          <w:rFonts w:ascii="Consolas" w:hAnsi="Consolas" w:cs="Consolas"/>
          <w:b w:val="0"/>
          <w:i w:val="0"/>
          <w:sz w:val="15"/>
        </w:rPr>
        <w:t xml:space="preserve">  Electronic Accepted? [Yes] [No]</w:t>
      </w:r>
    </w:p>
    <w:p>
      <w:pPr>
        <w:spacing w:after="0" w:before="0" w:line="240" w:lineRule="auto"/>
        <w:ind w:left="57"/>
        <w:jc w:val="left"/>
        <w:shd w:val="clear" w:fill="F2F2F2"/>
      </w:pPr>
      <w:r>
        <w:rPr>
          <w:rFonts w:ascii="Consolas" w:hAnsi="Consolas" w:cs="Consolas"/>
          <w:b w:val="0"/>
          <w:i w:val="0"/>
          <w:sz w:val="15"/>
        </w:rPr>
        <w:t xml:space="preserve">  Language Requirement: [English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DOCUMENTATION TIMING</w:t>
      </w:r>
    </w:p>
    <w:p>
      <w:pPr>
        <w:spacing w:after="0" w:before="0" w:line="240" w:lineRule="auto"/>
        <w:ind w:left="57"/>
        <w:jc w:val="left"/>
        <w:shd w:val="clear" w:fill="F2F2F2"/>
      </w:pPr>
      <w:r>
        <w:rPr>
          <w:rFonts w:ascii="Consolas" w:hAnsi="Consolas" w:cs="Consolas"/>
          <w:b w:val="0"/>
          <w:i w:val="0"/>
          <w:sz w:val="15"/>
        </w:rPr>
        <w:t xml:space="preserve">  Before Shipment: Export License, Inspection Certificate, COO</w:t>
      </w:r>
    </w:p>
    <w:p>
      <w:pPr>
        <w:spacing w:after="0" w:before="0" w:line="240" w:lineRule="auto"/>
        <w:ind w:left="57"/>
        <w:jc w:val="left"/>
        <w:shd w:val="clear" w:fill="F2F2F2"/>
      </w:pPr>
      <w:r>
        <w:rPr>
          <w:rFonts w:ascii="Consolas" w:hAnsi="Consolas" w:cs="Consolas"/>
          <w:b w:val="0"/>
          <w:i w:val="0"/>
          <w:sz w:val="15"/>
        </w:rPr>
        <w:t xml:space="preserve">  Before Payment:  Bill of Lading, Commercial Invoice, Insurance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[Add Custom Document] [Reset to RIA Defaults] [Export Checklist]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6.7.4 Document Format &amp; Language Requirements</w:t>
      </w:r>
    </w:p>
    <w:p>
      <w:pPr>
        <w:keepNext/>
        <w:spacing w:before="140" w:after="60"/>
        <w:outlineLvl w:val="3"/>
      </w:pPr>
      <w:r>
        <w:rPr>
          <w:rFonts w:ascii="Arial" w:hAnsi="Arial" w:cs="Arial"/>
          <w:b/>
          <w:i/>
          <w:color w:val="333333"/>
          <w:sz w:val="22"/>
        </w:rPr>
        <w:t>6.7.4.1 Fields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Type</w:t>
            </w:r>
          </w:p>
        </w:tc>
        <w:tc>
          <w:tcPr>
            <w:tcW w:type="dxa" w:w="2409"/>
            <w:shd w:val="clear" w:fill="D9E2F3"/>
          </w:tcPr>
          <w:p>
            <w:pPr>
              <w:spacing w:after="20" w:before="20" w:line="240" w:lineRule="auto"/>
            </w:pPr>
            <w:r/>
            <w:r>
              <w:rPr>
                <w:rFonts w:ascii="Arial" w:hAnsi="Arial" w:cs="Arial"/>
                <w:b/>
                <w:i w:val="0"/>
                <w:sz w:val="18"/>
              </w:rPr>
              <w:t>Options</w:t>
            </w:r>
          </w:p>
        </w:tc>
        <w:tc>
          <w:tcPr>
            <w:tcW w:type="dxa" w:w="2409"/>
            <w:shd w:val="clear" w:fill="D9E2F3"/>
          </w:tcPr>
          <w:p>
            <w:pPr>
              <w:spacing w:after="20" w:before="20" w:line="240" w:lineRule="auto"/>
            </w:pPr>
            <w:r/>
            <w:r>
              <w:rPr>
                <w:rFonts w:ascii="Arial" w:hAnsi="Arial" w:cs="Arial"/>
                <w:b/>
                <w:i w:val="0"/>
                <w:sz w:val="18"/>
              </w:rPr>
              <w:t>Notes</w:t>
            </w:r>
          </w:p>
        </w:tc>
      </w:tr>
      <w:tr>
        <w:tc>
          <w:tcPr>
            <w:tcW w:type="dxa" w:w="2409"/>
          </w:tcPr>
          <w:p>
            <w:pPr>
              <w:spacing w:after="20" w:before="20" w:line="240" w:lineRule="auto"/>
            </w:pPr>
            <w:r/>
            <w:r>
              <w:rPr>
                <w:rFonts w:ascii="Arial" w:hAnsi="Arial" w:cs="Arial"/>
                <w:b w:val="0"/>
                <w:i w:val="0"/>
                <w:sz w:val="17"/>
              </w:rPr>
              <w:t>Originals Required</w:t>
            </w:r>
          </w:p>
        </w:tc>
        <w:tc>
          <w:tcPr>
            <w:tcW w:type="dxa" w:w="2409"/>
          </w:tcPr>
          <w:p>
            <w:pPr>
              <w:spacing w:after="20" w:before="20" w:line="240" w:lineRule="auto"/>
            </w:pPr>
            <w:r/>
            <w:r>
              <w:rPr>
                <w:rFonts w:ascii="Arial" w:hAnsi="Arial" w:cs="Arial"/>
                <w:b w:val="0"/>
                <w:i w:val="0"/>
                <w:sz w:val="17"/>
              </w:rPr>
              <w:t>Yes/No</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Drives physical handling recommendations</w:t>
            </w:r>
          </w:p>
        </w:tc>
      </w:tr>
      <w:tr>
        <w:tc>
          <w:tcPr>
            <w:tcW w:type="dxa" w:w="2409"/>
          </w:tcPr>
          <w:p>
            <w:pPr>
              <w:spacing w:after="20" w:before="20" w:line="240" w:lineRule="auto"/>
            </w:pPr>
            <w:r/>
            <w:r>
              <w:rPr>
                <w:rFonts w:ascii="Arial" w:hAnsi="Arial" w:cs="Arial"/>
                <w:b w:val="0"/>
                <w:i w:val="0"/>
                <w:sz w:val="17"/>
              </w:rPr>
              <w:t>Electronic Accepted</w:t>
            </w:r>
          </w:p>
        </w:tc>
        <w:tc>
          <w:tcPr>
            <w:tcW w:type="dxa" w:w="2409"/>
          </w:tcPr>
          <w:p>
            <w:pPr>
              <w:spacing w:after="20" w:before="20" w:line="240" w:lineRule="auto"/>
            </w:pPr>
            <w:r/>
            <w:r>
              <w:rPr>
                <w:rFonts w:ascii="Arial" w:hAnsi="Arial" w:cs="Arial"/>
                <w:b w:val="0"/>
                <w:i w:val="0"/>
                <w:sz w:val="17"/>
              </w:rPr>
              <w:t>Yes/No</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Language Requirement</w:t>
            </w:r>
          </w:p>
        </w:tc>
        <w:tc>
          <w:tcPr>
            <w:tcW w:type="dxa" w:w="2409"/>
          </w:tcPr>
          <w:p>
            <w:pPr>
              <w:spacing w:after="20" w:before="20" w:line="240" w:lineRule="auto"/>
            </w:pPr>
            <w:r/>
            <w:r>
              <w:rPr>
                <w:rFonts w:ascii="Arial" w:hAnsi="Arial" w:cs="Arial"/>
                <w:b w:val="0"/>
                <w:i w:val="0"/>
                <w:sz w:val="17"/>
              </w:rPr>
              <w:t>Dropdown + Other</w:t>
            </w:r>
          </w:p>
        </w:tc>
        <w:tc>
          <w:tcPr>
            <w:tcW w:type="dxa" w:w="2409"/>
          </w:tcPr>
          <w:p>
            <w:pPr>
              <w:spacing w:after="20" w:before="20" w:line="240" w:lineRule="auto"/>
            </w:pPr>
            <w:r/>
            <w:r>
              <w:rPr>
                <w:rFonts w:ascii="Arial" w:hAnsi="Arial" w:cs="Arial"/>
                <w:b w:val="0"/>
                <w:i w:val="0"/>
                <w:sz w:val="17"/>
              </w:rPr>
              <w:t>English, Arabic, French, …, Other (free text)</w:t>
            </w:r>
          </w:p>
        </w:tc>
        <w:tc>
          <w:tcPr>
            <w:tcW w:type="dxa" w:w="2409"/>
          </w:tcPr>
          <w:p>
            <w:pPr>
              <w:spacing w:after="20" w:before="20" w:line="240" w:lineRule="auto"/>
            </w:pPr>
            <w:r/>
            <w:r>
              <w:rPr>
                <w:rFonts w:ascii="Arial" w:hAnsi="Arial" w:cs="Arial"/>
                <w:b w:val="0"/>
                <w:i w:val="0"/>
                <w:sz w:val="17"/>
              </w:rPr>
              <w:t>Translation service recommendation when Other</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6.7.4.2 Dynamic Behaviour</w:t>
      </w:r>
    </w:p>
    <w:p>
      <w:pPr>
        <w:spacing w:after="80" w:line="293" w:lineRule="auto"/>
        <w:ind w:left="283"/>
        <w:jc w:val="left"/>
      </w:pPr>
      <w:r>
        <w:rPr>
          <w:rFonts w:ascii="Times New Roman" w:hAnsi="Times New Roman" w:cs="Times New Roman"/>
          <w:b w:val="0"/>
          <w:i w:val="0"/>
          <w:sz w:val="22"/>
        </w:rPr>
        <w:t>- If Originals Required = Yes: the system displays the warning "Physical handling service will be</w:t>
      </w:r>
    </w:p>
    <w:p>
      <w:pPr>
        <w:spacing w:after="80" w:line="293" w:lineRule="auto"/>
        <w:jc w:val="left"/>
      </w:pPr>
      <w:r>
        <w:rPr>
          <w:rFonts w:ascii="Times New Roman" w:hAnsi="Times New Roman" w:cs="Times New Roman"/>
          <w:b w:val="0"/>
          <w:i w:val="0"/>
          <w:sz w:val="22"/>
        </w:rPr>
        <w:t>recommended," adds a recommendation to select a customs broker for physical document handling, and adds an optional "Courier Tracking" field.</w:t>
      </w:r>
    </w:p>
    <w:p>
      <w:pPr>
        <w:spacing w:after="80" w:line="293" w:lineRule="auto"/>
        <w:ind w:left="283"/>
        <w:jc w:val="left"/>
      </w:pPr>
      <w:r>
        <w:rPr>
          <w:rFonts w:ascii="Times New Roman" w:hAnsi="Times New Roman" w:cs="Times New Roman"/>
          <w:b w:val="0"/>
          <w:i w:val="0"/>
          <w:sz w:val="22"/>
        </w:rPr>
        <w:t>- If Originals Required = No: the system hides physical handling recommendations and displays "Electronic</w:t>
      </w:r>
    </w:p>
    <w:p>
      <w:pPr>
        <w:spacing w:after="80" w:line="293" w:lineRule="auto"/>
        <w:jc w:val="left"/>
      </w:pPr>
      <w:r>
        <w:rPr>
          <w:rFonts w:ascii="Times New Roman" w:hAnsi="Times New Roman" w:cs="Times New Roman"/>
          <w:b w:val="0"/>
          <w:i w:val="0"/>
          <w:sz w:val="22"/>
        </w:rPr>
        <w:t>documents are sufficient."</w:t>
      </w:r>
    </w:p>
    <w:p>
      <w:pPr>
        <w:spacing w:after="80" w:line="293" w:lineRule="auto"/>
        <w:ind w:left="283"/>
        <w:jc w:val="left"/>
      </w:pPr>
      <w:r>
        <w:rPr>
          <w:rFonts w:ascii="Times New Roman" w:hAnsi="Times New Roman" w:cs="Times New Roman"/>
          <w:b w:val="0"/>
          <w:i w:val="0"/>
          <w:sz w:val="22"/>
        </w:rPr>
        <w:t>- If Electronic Accepted = No: the system displays the warning "Only physical originals will be accepted"</w:t>
      </w:r>
    </w:p>
    <w:p>
      <w:pPr>
        <w:spacing w:after="80" w:line="293" w:lineRule="auto"/>
        <w:jc w:val="left"/>
      </w:pPr>
      <w:r>
        <w:rPr>
          <w:rFonts w:ascii="Times New Roman" w:hAnsi="Times New Roman" w:cs="Times New Roman"/>
          <w:b w:val="0"/>
          <w:i w:val="0"/>
          <w:sz w:val="22"/>
        </w:rPr>
        <w:t>and disables electronic submission for documents marked as requiring originals.</w:t>
      </w:r>
    </w:p>
    <w:p>
      <w:pPr>
        <w:spacing w:after="80" w:line="293" w:lineRule="auto"/>
        <w:ind w:left="283"/>
        <w:jc w:val="left"/>
      </w:pPr>
      <w:r>
        <w:rPr>
          <w:rFonts w:ascii="Times New Roman" w:hAnsi="Times New Roman" w:cs="Times New Roman"/>
          <w:b w:val="0"/>
          <w:i w:val="0"/>
          <w:sz w:val="22"/>
        </w:rPr>
        <w:t>- If Language Requirement = Other: the system displays a free-text field "Specify language:" and adds an</w:t>
      </w:r>
    </w:p>
    <w:p>
      <w:pPr>
        <w:spacing w:after="80" w:line="293" w:lineRule="auto"/>
        <w:jc w:val="left"/>
      </w:pPr>
      <w:r>
        <w:rPr>
          <w:rFonts w:ascii="Times New Roman" w:hAnsi="Times New Roman" w:cs="Times New Roman"/>
          <w:b w:val="0"/>
          <w:i w:val="0"/>
          <w:sz w:val="22"/>
        </w:rPr>
        <w:t>optional translation service recommendation.</w:t>
      </w:r>
    </w:p>
    <w:p>
      <w:pPr>
        <w:keepNext/>
        <w:spacing w:before="180" w:after="80"/>
        <w:outlineLvl w:val="2"/>
      </w:pPr>
      <w:r>
        <w:rPr>
          <w:rFonts w:ascii="Arial" w:hAnsi="Arial" w:cs="Arial"/>
          <w:b/>
          <w:i w:val="0"/>
          <w:color w:val="333333"/>
          <w:sz w:val="23"/>
        </w:rPr>
        <w:t>6.7.5 Document Status Tracking</w:t>
      </w:r>
    </w:p>
    <w:p>
      <w:pPr>
        <w:spacing w:after="80" w:line="293" w:lineRule="auto"/>
        <w:jc w:val="left"/>
      </w:pPr>
      <w:r>
        <w:rPr>
          <w:rFonts w:ascii="Times New Roman" w:hAnsi="Times New Roman" w:cs="Times New Roman"/>
          <w:b w:val="0"/>
          <w:i w:val="0"/>
          <w:sz w:val="22"/>
        </w:rPr>
        <w:t>Each document in the checklist has a status that updates as the trade progresses: `PENDING`, `UPLOADED`, `VERIFIED`, `REJECTED`, `FLAGGED`, `EXPIRED`. Status transitions are recorded in `document_verification_logs`; document expiry monitoring raises Smart Inbox alerts.</w:t>
      </w:r>
    </w:p>
    <w:p>
      <w:pPr>
        <w:keepNext/>
        <w:spacing w:before="180" w:after="80"/>
        <w:outlineLvl w:val="2"/>
      </w:pPr>
      <w:r>
        <w:rPr>
          <w:rFonts w:ascii="Arial" w:hAnsi="Arial" w:cs="Arial"/>
          <w:b/>
          <w:i w:val="0"/>
          <w:color w:val="333333"/>
          <w:sz w:val="23"/>
        </w:rPr>
        <w:t>6.7.6 Document Verification (A2, HF Donut)</w:t>
      </w:r>
    </w:p>
    <w:p>
      <w:pPr>
        <w:keepNext/>
        <w:spacing w:before="140" w:after="60"/>
        <w:outlineLvl w:val="3"/>
      </w:pPr>
      <w:r>
        <w:rPr>
          <w:rFonts w:ascii="Arial" w:hAnsi="Arial" w:cs="Arial"/>
          <w:b/>
          <w:i/>
          <w:color w:val="333333"/>
          <w:sz w:val="22"/>
        </w:rPr>
        <w:t>6.7.6.1 Verification Process</w:t>
      </w:r>
    </w:p>
    <w:p>
      <w:pPr>
        <w:spacing w:after="80" w:line="293" w:lineRule="auto"/>
        <w:jc w:val="left"/>
      </w:pPr>
      <w:r>
        <w:rPr>
          <w:rFonts w:ascii="Times New Roman" w:hAnsi="Times New Roman" w:cs="Times New Roman"/>
          <w:b w:val="0"/>
          <w:i w:val="0"/>
          <w:sz w:val="22"/>
        </w:rPr>
        <w:t>When a document is uploaded, the system automatically verifies it using AI (A2, HF Donut) by executing the six-step verification process specified in Section 5.4.6 — upload by the responsible party; key-field extraction (OCR + NLP); comparison of extracted fields against trade data (HS code, quantity, weight, value, parties); metadata checks (issue date, expiry date, issuing authority); digital-signature verification (if present); and a verification status with confidence score.</w:t>
      </w:r>
    </w:p>
    <w:p>
      <w:pPr>
        <w:spacing w:after="80" w:line="293" w:lineRule="auto"/>
        <w:jc w:val="left"/>
      </w:pPr>
      <w:r>
        <w:rPr>
          <w:rFonts w:ascii="Times New Roman" w:hAnsi="Times New Roman" w:cs="Times New Roman"/>
          <w:b w:val="0"/>
          <w:i w:val="0"/>
          <w:sz w:val="22"/>
        </w:rPr>
        <w:t>Verification result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"document_id": "DOC-2026-001",</w:t>
      </w:r>
    </w:p>
    <w:p>
      <w:pPr>
        <w:spacing w:after="0" w:before="0" w:line="240" w:lineRule="auto"/>
        <w:ind w:left="57"/>
        <w:jc w:val="left"/>
        <w:shd w:val="clear" w:fill="F2F2F2"/>
      </w:pPr>
      <w:r>
        <w:rPr>
          <w:rFonts w:ascii="Consolas" w:hAnsi="Consolas" w:cs="Consolas"/>
          <w:b w:val="0"/>
          <w:i w:val="0"/>
          <w:sz w:val="15"/>
        </w:rPr>
        <w:t xml:space="preserve">  "document_type": "PHYTOSANITARY_CERTIFICATE",</w:t>
      </w:r>
    </w:p>
    <w:p>
      <w:pPr>
        <w:spacing w:after="0" w:before="0" w:line="240" w:lineRule="auto"/>
        <w:ind w:left="57"/>
        <w:jc w:val="left"/>
        <w:shd w:val="clear" w:fill="F2F2F2"/>
      </w:pPr>
      <w:r>
        <w:rPr>
          <w:rFonts w:ascii="Consolas" w:hAnsi="Consolas" w:cs="Consolas"/>
          <w:b w:val="0"/>
          <w:i w:val="0"/>
          <w:sz w:val="15"/>
        </w:rPr>
        <w:t xml:space="preserve">  "verification_status": "VERIFIED",</w:t>
      </w:r>
    </w:p>
    <w:p>
      <w:pPr>
        <w:spacing w:after="0" w:before="0" w:line="240" w:lineRule="auto"/>
        <w:ind w:left="57"/>
        <w:jc w:val="left"/>
        <w:shd w:val="clear" w:fill="F2F2F2"/>
      </w:pPr>
      <w:r>
        <w:rPr>
          <w:rFonts w:ascii="Consolas" w:hAnsi="Consolas" w:cs="Consolas"/>
          <w:b w:val="0"/>
          <w:i w:val="0"/>
          <w:sz w:val="15"/>
        </w:rPr>
        <w:t xml:space="preserve">  "confidence_score": 0.94,</w:t>
      </w:r>
    </w:p>
    <w:p>
      <w:pPr>
        <w:spacing w:after="0" w:before="0" w:line="240" w:lineRule="auto"/>
        <w:ind w:left="57"/>
        <w:jc w:val="left"/>
        <w:shd w:val="clear" w:fill="F2F2F2"/>
      </w:pPr>
      <w:r>
        <w:rPr>
          <w:rFonts w:ascii="Consolas" w:hAnsi="Consolas" w:cs="Consolas"/>
          <w:b w:val="0"/>
          <w:i w:val="0"/>
          <w:sz w:val="15"/>
        </w:rPr>
        <w:t xml:space="preserve">  "extracted_fields": {</w:t>
      </w:r>
    </w:p>
    <w:p>
      <w:pPr>
        <w:spacing w:after="0" w:before="0" w:line="240" w:lineRule="auto"/>
        <w:ind w:left="57"/>
        <w:jc w:val="left"/>
        <w:shd w:val="clear" w:fill="F2F2F2"/>
      </w:pPr>
      <w:r>
        <w:rPr>
          <w:rFonts w:ascii="Consolas" w:hAnsi="Consolas" w:cs="Consolas"/>
          <w:b w:val="0"/>
          <w:i w:val="0"/>
          <w:sz w:val="15"/>
        </w:rPr>
        <w:t xml:space="preserve">    "certificate_number": "PHYTO-2026-001",</w:t>
      </w:r>
    </w:p>
    <w:p>
      <w:pPr>
        <w:spacing w:after="0" w:before="0" w:line="240" w:lineRule="auto"/>
        <w:ind w:left="57"/>
        <w:jc w:val="left"/>
        <w:shd w:val="clear" w:fill="F2F2F2"/>
      </w:pPr>
      <w:r>
        <w:rPr>
          <w:rFonts w:ascii="Consolas" w:hAnsi="Consolas" w:cs="Consolas"/>
          <w:b w:val="0"/>
          <w:i w:val="0"/>
          <w:sz w:val="15"/>
        </w:rPr>
        <w:t xml:space="preserve">    "issue_date": "2026-06-15",</w:t>
      </w:r>
    </w:p>
    <w:p>
      <w:pPr>
        <w:spacing w:after="0" w:before="0" w:line="240" w:lineRule="auto"/>
        <w:ind w:left="57"/>
        <w:jc w:val="left"/>
        <w:shd w:val="clear" w:fill="F2F2F2"/>
      </w:pPr>
      <w:r>
        <w:rPr>
          <w:rFonts w:ascii="Consolas" w:hAnsi="Consolas" w:cs="Consolas"/>
          <w:b w:val="0"/>
          <w:i w:val="0"/>
          <w:sz w:val="15"/>
        </w:rPr>
        <w:t xml:space="preserve">    "expiry_date": "2026-12-15",</w:t>
      </w:r>
    </w:p>
    <w:p>
      <w:pPr>
        <w:spacing w:after="0" w:before="0" w:line="240" w:lineRule="auto"/>
        <w:ind w:left="57"/>
        <w:jc w:val="left"/>
        <w:shd w:val="clear" w:fill="F2F2F2"/>
      </w:pPr>
      <w:r>
        <w:rPr>
          <w:rFonts w:ascii="Consolas" w:hAnsi="Consolas" w:cs="Consolas"/>
          <w:b w:val="0"/>
          <w:i w:val="0"/>
          <w:sz w:val="15"/>
        </w:rPr>
        <w:t xml:space="preserve">    "issuing_authority": "Egyptian Plant Quarantine",</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"quantity": "100 MT",</w:t>
      </w:r>
    </w:p>
    <w:p>
      <w:pPr>
        <w:spacing w:after="0" w:before="0" w:line="240" w:lineRule="auto"/>
        <w:ind w:left="57"/>
        <w:jc w:val="left"/>
        <w:shd w:val="clear" w:fill="F2F2F2"/>
      </w:pPr>
      <w:r>
        <w:rPr>
          <w:rFonts w:ascii="Consolas" w:hAnsi="Consolas" w:cs="Consolas"/>
          <w:b w:val="0"/>
          <w:i w:val="0"/>
          <w:sz w:val="15"/>
        </w:rPr>
        <w:t xml:space="preserve">    "treatment": "Cold Treatment -0.5°C for 14 days"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"discrepancies": [</w:t>
      </w:r>
    </w:p>
    <w:p>
      <w:pPr>
        <w:spacing w:after="0" w:before="0" w:line="240" w:lineRule="auto"/>
        <w:ind w:left="57"/>
        <w:jc w:val="left"/>
        <w:shd w:val="clear" w:fill="F2F2F2"/>
      </w:pPr>
      <w:r>
        <w:rPr>
          <w:rFonts w:ascii="Consolas" w:hAnsi="Consolas" w:cs="Consolas"/>
          <w:b w:val="0"/>
          <w:i w:val="0"/>
          <w:sz w:val="15"/>
        </w:rPr>
        <w:t xml:space="preserve">    { "field": "quantity", "expected": "100 MT", "actual": "100 MT", "match": true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"fraud_indicators": [],</w:t>
      </w:r>
    </w:p>
    <w:p>
      <w:pPr>
        <w:spacing w:after="0" w:before="0" w:line="240" w:lineRule="auto"/>
        <w:ind w:left="57"/>
        <w:jc w:val="left"/>
        <w:shd w:val="clear" w:fill="F2F2F2"/>
      </w:pPr>
      <w:r>
        <w:rPr>
          <w:rFonts w:ascii="Consolas" w:hAnsi="Consolas" w:cs="Consolas"/>
          <w:b w:val="0"/>
          <w:i w:val="0"/>
          <w:sz w:val="15"/>
        </w:rPr>
        <w:t xml:space="preserve">  "verification_timestamp": "2026-06-20T10:30:00Z"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6.7.6.2 Fraud Detection (A2)</w:t>
      </w:r>
    </w:p>
    <w:p>
      <w:pPr>
        <w:spacing w:after="80" w:line="293" w:lineRule="auto"/>
        <w:jc w:val="left"/>
      </w:pPr>
      <w:r>
        <w:rPr>
          <w:rFonts w:ascii="Times New Roman" w:hAnsi="Times New Roman" w:cs="Times New Roman"/>
          <w:b w:val="0"/>
          <w:i w:val="0"/>
          <w:sz w:val="22"/>
        </w:rPr>
        <w:t>The system checks for potential document fraud:</w:t>
      </w:r>
    </w:p>
    <w:p>
      <w:pPr>
        <w:spacing w:after="80" w:line="293" w:lineRule="auto"/>
        <w:ind w:left="283"/>
        <w:jc w:val="left"/>
      </w:pPr>
      <w:r>
        <w:rPr>
          <w:rFonts w:ascii="Times New Roman" w:hAnsi="Times New Roman" w:cs="Times New Roman"/>
          <w:b w:val="0"/>
          <w:i w:val="0"/>
          <w:sz w:val="22"/>
        </w:rPr>
        <w:t>- Metadata analysis: check document metadata for tampering.</w:t>
      </w:r>
    </w:p>
    <w:p>
      <w:pPr>
        <w:spacing w:after="80" w:line="293" w:lineRule="auto"/>
        <w:ind w:left="283"/>
        <w:jc w:val="left"/>
      </w:pPr>
      <w:r>
        <w:rPr>
          <w:rFonts w:ascii="Times New Roman" w:hAnsi="Times New Roman" w:cs="Times New Roman"/>
          <w:b w:val="0"/>
          <w:i w:val="0"/>
          <w:sz w:val="22"/>
        </w:rPr>
        <w:t>- Consistency check: compare with other documents (e.g., invoice vs. packing list).</w:t>
      </w:r>
    </w:p>
    <w:p>
      <w:pPr>
        <w:spacing w:after="80" w:line="293" w:lineRule="auto"/>
        <w:ind w:left="283"/>
        <w:jc w:val="left"/>
      </w:pPr>
      <w:r>
        <w:rPr>
          <w:rFonts w:ascii="Times New Roman" w:hAnsi="Times New Roman" w:cs="Times New Roman"/>
          <w:b w:val="0"/>
          <w:i w:val="0"/>
          <w:sz w:val="22"/>
        </w:rPr>
        <w:t>- Issuing authority verification: check with the registry (where available).</w:t>
      </w:r>
    </w:p>
    <w:p>
      <w:pPr>
        <w:spacing w:after="80" w:line="293" w:lineRule="auto"/>
        <w:ind w:left="283"/>
        <w:jc w:val="left"/>
      </w:pPr>
      <w:r>
        <w:rPr>
          <w:rFonts w:ascii="Times New Roman" w:hAnsi="Times New Roman" w:cs="Times New Roman"/>
          <w:b w:val="0"/>
          <w:i w:val="0"/>
          <w:sz w:val="22"/>
        </w:rPr>
        <w:t>- Digital signature validation: verify signatures (if present).</w:t>
      </w:r>
    </w:p>
    <w:p>
      <w:pPr>
        <w:spacing w:after="80" w:line="293" w:lineRule="auto"/>
        <w:ind w:left="283"/>
        <w:jc w:val="left"/>
      </w:pPr>
      <w:r>
        <w:rPr>
          <w:rFonts w:ascii="Times New Roman" w:hAnsi="Times New Roman" w:cs="Times New Roman"/>
          <w:b w:val="0"/>
          <w:i w:val="0"/>
          <w:sz w:val="22"/>
        </w:rPr>
        <w:t>- Image analysis: detect signs of manipulation.</w:t>
      </w:r>
    </w:p>
    <w:p>
      <w:pPr>
        <w:spacing w:after="80" w:line="293" w:lineRule="auto"/>
        <w:jc w:val="left"/>
      </w:pPr>
      <w:r>
        <w:rPr>
          <w:rFonts w:ascii="Times New Roman" w:hAnsi="Times New Roman" w:cs="Times New Roman"/>
          <w:b w:val="0"/>
          <w:i w:val="0"/>
          <w:sz w:val="22"/>
        </w:rPr>
        <w:t>Fraud alert example:</w:t>
      </w:r>
    </w:p>
    <w:p>
      <w:pPr>
        <w:spacing w:after="0" w:before="0" w:line="240" w:lineRule="auto"/>
        <w:ind w:left="57"/>
        <w:jc w:val="left"/>
        <w:shd w:val="clear" w:fill="F2F2F2"/>
      </w:pPr>
      <w:r>
        <w:rPr>
          <w:rFonts w:ascii="Consolas" w:hAnsi="Consolas" w:cs="Consolas"/>
          <w:b w:val="0"/>
          <w:i w:val="0"/>
          <w:sz w:val="15"/>
        </w:rPr>
        <w:t>FRAUD ALERT — Document: Phytosanitary Certificate</w:t>
      </w:r>
    </w:p>
    <w:p>
      <w:pPr>
        <w:spacing w:after="0" w:before="0" w:line="240" w:lineRule="auto"/>
        <w:ind w:left="57"/>
        <w:jc w:val="left"/>
        <w:shd w:val="clear" w:fill="F2F2F2"/>
      </w:pPr>
      <w:r>
        <w:rPr>
          <w:rFonts w:ascii="Consolas" w:hAnsi="Consolas" w:cs="Consolas"/>
          <w:b w:val="0"/>
          <w:i w:val="0"/>
          <w:sz w:val="15"/>
        </w:rPr>
        <w:t xml:space="preserve">  Confidence: 78% | Risk Level: High</w:t>
      </w:r>
    </w:p>
    <w:p>
      <w:pPr>
        <w:spacing w:after="0" w:before="0" w:line="240" w:lineRule="auto"/>
        <w:ind w:left="57"/>
        <w:jc w:val="left"/>
        <w:shd w:val="clear" w:fill="F2F2F2"/>
      </w:pPr>
      <w:r>
        <w:rPr>
          <w:rFonts w:ascii="Consolas" w:hAnsi="Consolas" w:cs="Consolas"/>
          <w:b w:val="0"/>
          <w:i w:val="0"/>
          <w:sz w:val="15"/>
        </w:rPr>
        <w:t xml:space="preserve">  Indicators:</w:t>
      </w:r>
    </w:p>
    <w:p>
      <w:pPr>
        <w:spacing w:after="0" w:before="0" w:line="240" w:lineRule="auto"/>
        <w:ind w:left="57"/>
        <w:jc w:val="left"/>
        <w:shd w:val="clear" w:fill="F2F2F2"/>
      </w:pPr>
      <w:r>
        <w:rPr>
          <w:rFonts w:ascii="Consolas" w:hAnsi="Consolas" w:cs="Consolas"/>
          <w:b w:val="0"/>
          <w:i w:val="0"/>
          <w:sz w:val="15"/>
        </w:rPr>
        <w:t xml:space="preserve">  • Digital signature could not be verified (invalid certificate chain)</w:t>
      </w:r>
    </w:p>
    <w:p>
      <w:pPr>
        <w:spacing w:after="0" w:before="0" w:line="240" w:lineRule="auto"/>
        <w:ind w:left="57"/>
        <w:jc w:val="left"/>
        <w:shd w:val="clear" w:fill="F2F2F2"/>
      </w:pPr>
      <w:r>
        <w:rPr>
          <w:rFonts w:ascii="Consolas" w:hAnsi="Consolas" w:cs="Consolas"/>
          <w:b w:val="0"/>
          <w:i w:val="0"/>
          <w:sz w:val="15"/>
        </w:rPr>
        <w:t xml:space="preserve">  • Metadata shows document edited 3 times in the last 24 hours</w:t>
      </w:r>
    </w:p>
    <w:p>
      <w:pPr>
        <w:spacing w:after="0" w:before="0" w:line="240" w:lineRule="auto"/>
        <w:ind w:left="57"/>
        <w:jc w:val="left"/>
        <w:shd w:val="clear" w:fill="F2F2F2"/>
      </w:pPr>
      <w:r>
        <w:rPr>
          <w:rFonts w:ascii="Consolas" w:hAnsi="Consolas" w:cs="Consolas"/>
          <w:b w:val="0"/>
          <w:i w:val="0"/>
          <w:sz w:val="15"/>
        </w:rPr>
        <w:t xml:space="preserve">  • Issuing authority (Egyptian Plant Quarantine) has no record of this certificate</w:t>
      </w:r>
    </w:p>
    <w:p>
      <w:pPr>
        <w:spacing w:after="0" w:before="0" w:line="240" w:lineRule="auto"/>
        <w:ind w:left="57"/>
        <w:jc w:val="left"/>
        <w:shd w:val="clear" w:fill="F2F2F2"/>
      </w:pPr>
      <w:r>
        <w:rPr>
          <w:rFonts w:ascii="Consolas" w:hAnsi="Consolas" w:cs="Consolas"/>
          <w:b w:val="0"/>
          <w:i w:val="0"/>
          <w:sz w:val="15"/>
        </w:rPr>
        <w:t xml:space="preserve">  Action Required:</w:t>
      </w:r>
    </w:p>
    <w:p>
      <w:pPr>
        <w:spacing w:after="0" w:before="0" w:line="240" w:lineRule="auto"/>
        <w:ind w:left="57"/>
        <w:jc w:val="left"/>
        <w:shd w:val="clear" w:fill="F2F2F2"/>
      </w:pPr>
      <w:r>
        <w:rPr>
          <w:rFonts w:ascii="Consolas" w:hAnsi="Consolas" w:cs="Consolas"/>
          <w:b w:val="0"/>
          <w:i w:val="0"/>
          <w:sz w:val="15"/>
        </w:rPr>
        <w:t xml:space="preserve">  [Review Document] [Contact Issuing Authority] [Flag for Compliance]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6.7.7 Document Integration with Trade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Document Requirements Flow</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Seller sees the document checklist; responsible-party assignments drive quote contents</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Document requirements become contractual obligations</w:t>
            </w:r>
          </w:p>
        </w:tc>
      </w:tr>
      <w:tr>
        <w:tc>
          <w:tcPr>
            <w:tcW w:type="dxa" w:w="4819"/>
          </w:tcPr>
          <w:p>
            <w:pPr>
              <w:spacing w:after="20" w:before="20" w:line="240" w:lineRule="auto"/>
            </w:pPr>
            <w:r/>
            <w:r>
              <w:rPr>
                <w:rFonts w:ascii="Arial" w:hAnsi="Arial" w:cs="Arial"/>
                <w:b w:val="0"/>
                <w:i w:val="0"/>
                <w:sz w:val="17"/>
              </w:rPr>
              <w:t>Phase 4 — Financing (Section 10)</w:t>
            </w:r>
          </w:p>
        </w:tc>
        <w:tc>
          <w:tcPr>
            <w:tcW w:type="dxa" w:w="4819"/>
          </w:tcPr>
          <w:p>
            <w:pPr>
              <w:spacing w:after="20" w:before="20" w:line="240" w:lineRule="auto"/>
            </w:pPr>
            <w:r/>
            <w:r>
              <w:rPr>
                <w:rFonts w:ascii="Arial" w:hAnsi="Arial" w:cs="Arial"/>
                <w:b w:val="0"/>
                <w:i w:val="0"/>
                <w:sz w:val="17"/>
              </w:rPr>
              <w:t>FINANCING-trigger documents are required before disbursement</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SHIPMENT-trigger documents verified before loading; CUSTOMS-trigger documents at arrival</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SETTLEMENT-trigger documents verified before payment</w:t>
            </w:r>
          </w:p>
        </w:tc>
      </w:tr>
      <w:tr>
        <w:tc>
          <w:tcPr>
            <w:tcW w:type="dxa" w:w="4819"/>
          </w:tcPr>
          <w:p>
            <w:pPr>
              <w:spacing w:after="20" w:before="20" w:line="240" w:lineRule="auto"/>
            </w:pPr>
            <w:r/>
            <w:r>
              <w:rPr>
                <w:rFonts w:ascii="Arial" w:hAnsi="Arial" w:cs="Arial"/>
                <w:b w:val="0"/>
                <w:i w:val="0"/>
                <w:sz w:val="17"/>
              </w:rPr>
              <w:t>Phase 7/8 — Distressed &amp; Disputes (Section 14)</w:t>
            </w:r>
          </w:p>
        </w:tc>
        <w:tc>
          <w:tcPr>
            <w:tcW w:type="dxa" w:w="4819"/>
          </w:tcPr>
          <w:p>
            <w:pPr>
              <w:spacing w:after="20" w:before="20" w:line="240" w:lineRule="auto"/>
            </w:pPr>
            <w:r/>
            <w:r>
              <w:rPr>
                <w:rFonts w:ascii="Arial" w:hAnsi="Arial" w:cs="Arial"/>
                <w:b w:val="0"/>
                <w:i w:val="0"/>
                <w:sz w:val="17"/>
              </w:rPr>
              <w:t>Complete document set is part of the evidence package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6.7.8 Complete Document Trigger Example</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fresh oranges (Egypt → Germany). RIA pre-selection logic:</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"mandatory_documents": [</w:t>
      </w:r>
    </w:p>
    <w:p>
      <w:pPr>
        <w:spacing w:after="0" w:before="0" w:line="240" w:lineRule="auto"/>
        <w:ind w:left="57"/>
        <w:jc w:val="left"/>
        <w:shd w:val="clear" w:fill="F2F2F2"/>
      </w:pPr>
      <w:r>
        <w:rPr>
          <w:rFonts w:ascii="Consolas" w:hAnsi="Consolas" w:cs="Consolas"/>
          <w:b w:val="0"/>
          <w:i w:val="0"/>
          <w:sz w:val="15"/>
        </w:rPr>
        <w:t xml:space="preserve">    { "type": "COMMERCIAL_INVOICE", "trigger": ["SHIPMENT", "SETTLEMENT", "CUSTOMS", "FINANCING"] },</w:t>
      </w:r>
    </w:p>
    <w:p>
      <w:pPr>
        <w:spacing w:after="0" w:before="0" w:line="240" w:lineRule="auto"/>
        <w:ind w:left="57"/>
        <w:jc w:val="left"/>
        <w:shd w:val="clear" w:fill="F2F2F2"/>
      </w:pPr>
      <w:r>
        <w:rPr>
          <w:rFonts w:ascii="Consolas" w:hAnsi="Consolas" w:cs="Consolas"/>
          <w:b w:val="0"/>
          <w:i w:val="0"/>
          <w:sz w:val="15"/>
        </w:rPr>
        <w:t xml:space="preserve">    { "type": "PACKING_LIST", "trigger": ["SHIPMENT", "SETTLEMENT", "CUSTOMS"] },</w:t>
      </w:r>
    </w:p>
    <w:p>
      <w:pPr>
        <w:spacing w:after="0" w:before="0" w:line="240" w:lineRule="auto"/>
        <w:ind w:left="57"/>
        <w:jc w:val="left"/>
        <w:shd w:val="clear" w:fill="F2F2F2"/>
      </w:pPr>
      <w:r>
        <w:rPr>
          <w:rFonts w:ascii="Consolas" w:hAnsi="Consolas" w:cs="Consolas"/>
          <w:b w:val="0"/>
          <w:i w:val="0"/>
          <w:sz w:val="15"/>
        </w:rPr>
        <w:t xml:space="preserve">    { "type": "BILL_OF_LADING", "trigger": ["SHIPMENT", "SETTLEMENT", "CUSTOMS", "FINANCING"] },</w:t>
      </w:r>
    </w:p>
    <w:p>
      <w:pPr>
        <w:spacing w:after="0" w:before="0" w:line="240" w:lineRule="auto"/>
        <w:ind w:left="57"/>
        <w:jc w:val="left"/>
        <w:shd w:val="clear" w:fill="F2F2F2"/>
      </w:pPr>
      <w:r>
        <w:rPr>
          <w:rFonts w:ascii="Consolas" w:hAnsi="Consolas" w:cs="Consolas"/>
          <w:b w:val="0"/>
          <w:i w:val="0"/>
          <w:sz w:val="15"/>
        </w:rPr>
        <w:t xml:space="preserve">    { "type": "CERTIFICATE_OF_ORIGIN", "trigger": ["SETTLEMENT", "CUSTOMS"] },</w:t>
      </w:r>
    </w:p>
    <w:p>
      <w:pPr>
        <w:spacing w:after="0" w:before="0" w:line="240" w:lineRule="auto"/>
        <w:ind w:left="57"/>
        <w:jc w:val="left"/>
        <w:shd w:val="clear" w:fill="F2F2F2"/>
      </w:pPr>
      <w:r>
        <w:rPr>
          <w:rFonts w:ascii="Consolas" w:hAnsi="Consolas" w:cs="Consolas"/>
          <w:b w:val="0"/>
          <w:i w:val="0"/>
          <w:sz w:val="15"/>
        </w:rPr>
        <w:t xml:space="preserve">    { "type": "PHYTOSANITARY_CERTIFICATE", "trigger": ["SHIPMENT", "CUSTOMS"] },</w:t>
      </w:r>
    </w:p>
    <w:p>
      <w:pPr>
        <w:spacing w:after="0" w:before="0" w:line="240" w:lineRule="auto"/>
        <w:ind w:left="57"/>
        <w:jc w:val="left"/>
        <w:shd w:val="clear" w:fill="F2F2F2"/>
      </w:pPr>
      <w:r>
        <w:rPr>
          <w:rFonts w:ascii="Consolas" w:hAnsi="Consolas" w:cs="Consolas"/>
          <w:b w:val="0"/>
          <w:i w:val="0"/>
          <w:sz w:val="15"/>
        </w:rPr>
        <w:t xml:space="preserve">    { "type": "HEALTH_CERTIFICATE", "trigger": ["SHIPMENT", "CUSTOMS"] },</w:t>
      </w:r>
    </w:p>
    <w:p>
      <w:pPr>
        <w:spacing w:after="0" w:before="0" w:line="240" w:lineRule="auto"/>
        <w:ind w:left="57"/>
        <w:jc w:val="left"/>
        <w:shd w:val="clear" w:fill="F2F2F2"/>
      </w:pPr>
      <w:r>
        <w:rPr>
          <w:rFonts w:ascii="Consolas" w:hAnsi="Consolas" w:cs="Consolas"/>
          <w:b w:val="0"/>
          <w:i w:val="0"/>
          <w:sz w:val="15"/>
        </w:rPr>
        <w:t xml:space="preserve">    { "type": "COLD_TREATMENT_CERTIFICATE", "trigger": ["SHIPMENT", "CUSTOMS"]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"optional_documents": [</w:t>
      </w:r>
    </w:p>
    <w:p>
      <w:pPr>
        <w:spacing w:after="0" w:before="0" w:line="240" w:lineRule="auto"/>
        <w:ind w:left="57"/>
        <w:jc w:val="left"/>
        <w:shd w:val="clear" w:fill="F2F2F2"/>
      </w:pPr>
      <w:r>
        <w:rPr>
          <w:rFonts w:ascii="Consolas" w:hAnsi="Consolas" w:cs="Consolas"/>
          <w:b w:val="0"/>
          <w:i w:val="0"/>
          <w:sz w:val="15"/>
        </w:rPr>
        <w:t xml:space="preserve">    { "type": "INSURANCE_CERTIFICATE", "trigger": ["SETTLEMENT", "FINANCING"] },</w:t>
      </w:r>
    </w:p>
    <w:p>
      <w:pPr>
        <w:spacing w:after="0" w:before="0" w:line="240" w:lineRule="auto"/>
        <w:ind w:left="57"/>
        <w:jc w:val="left"/>
        <w:shd w:val="clear" w:fill="F2F2F2"/>
      </w:pPr>
      <w:r>
        <w:rPr>
          <w:rFonts w:ascii="Consolas" w:hAnsi="Consolas" w:cs="Consolas"/>
          <w:b w:val="0"/>
          <w:i w:val="0"/>
          <w:sz w:val="15"/>
        </w:rPr>
        <w:t xml:space="preserve">    { "type": "COLD_CHAIN_LOG", "trigger": ["SHIPMENT"]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"recommended_format": {</w:t>
      </w:r>
    </w:p>
    <w:p>
      <w:pPr>
        <w:spacing w:after="0" w:before="0" w:line="240" w:lineRule="auto"/>
        <w:ind w:left="57"/>
        <w:jc w:val="left"/>
        <w:shd w:val="clear" w:fill="F2F2F2"/>
      </w:pPr>
      <w:r>
        <w:rPr>
          <w:rFonts w:ascii="Consolas" w:hAnsi="Consolas" w:cs="Consolas"/>
          <w:b w:val="0"/>
          <w:i w:val="0"/>
          <w:sz w:val="15"/>
        </w:rPr>
        <w:t xml:space="preserve">    "originals_required": true,</w:t>
      </w:r>
    </w:p>
    <w:p>
      <w:pPr>
        <w:spacing w:after="0" w:before="0" w:line="240" w:lineRule="auto"/>
        <w:ind w:left="57"/>
        <w:jc w:val="left"/>
        <w:shd w:val="clear" w:fill="F2F2F2"/>
      </w:pPr>
      <w:r>
        <w:rPr>
          <w:rFonts w:ascii="Consolas" w:hAnsi="Consolas" w:cs="Consolas"/>
          <w:b w:val="0"/>
          <w:i w:val="0"/>
          <w:sz w:val="15"/>
        </w:rPr>
        <w:t xml:space="preserve">    "electronic_accepted": true,</w:t>
      </w:r>
    </w:p>
    <w:p>
      <w:pPr>
        <w:spacing w:after="0" w:before="0" w:line="240" w:lineRule="auto"/>
        <w:ind w:left="57"/>
        <w:jc w:val="left"/>
        <w:shd w:val="clear" w:fill="F2F2F2"/>
      </w:pPr>
      <w:r>
        <w:rPr>
          <w:rFonts w:ascii="Consolas" w:hAnsi="Consolas" w:cs="Consolas"/>
          <w:b w:val="0"/>
          <w:i w:val="0"/>
          <w:sz w:val="15"/>
        </w:rPr>
        <w:t xml:space="preserve">    "language": "English"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"source_regulations": {</w:t>
      </w:r>
    </w:p>
    <w:p>
      <w:pPr>
        <w:spacing w:after="0" w:before="0" w:line="240" w:lineRule="auto"/>
        <w:ind w:left="57"/>
        <w:jc w:val="left"/>
        <w:shd w:val="clear" w:fill="F2F2F2"/>
      </w:pPr>
      <w:r>
        <w:rPr>
          <w:rFonts w:ascii="Consolas" w:hAnsi="Consolas" w:cs="Consolas"/>
          <w:b w:val="0"/>
          <w:i w:val="0"/>
          <w:sz w:val="15"/>
        </w:rPr>
        <w:t xml:space="preserve">    "PHYTOSANITARY_CERTIFICATE": "IPPC",</w:t>
      </w:r>
    </w:p>
    <w:p>
      <w:pPr>
        <w:spacing w:after="0" w:before="0" w:line="240" w:lineRule="auto"/>
        <w:ind w:left="57"/>
        <w:jc w:val="left"/>
        <w:shd w:val="clear" w:fill="F2F2F2"/>
      </w:pPr>
      <w:r>
        <w:rPr>
          <w:rFonts w:ascii="Consolas" w:hAnsi="Consolas" w:cs="Consolas"/>
          <w:b w:val="0"/>
          <w:i w:val="0"/>
          <w:sz w:val="15"/>
        </w:rPr>
        <w:t xml:space="preserve">    "HEALTH_CERTIFICATE": "NFSA",</w:t>
      </w:r>
    </w:p>
    <w:p>
      <w:pPr>
        <w:spacing w:after="0" w:before="0" w:line="240" w:lineRule="auto"/>
        <w:ind w:left="57"/>
        <w:jc w:val="left"/>
        <w:shd w:val="clear" w:fill="F2F2F2"/>
      </w:pPr>
      <w:r>
        <w:rPr>
          <w:rFonts w:ascii="Consolas" w:hAnsi="Consolas" w:cs="Consolas"/>
          <w:b w:val="0"/>
          <w:i w:val="0"/>
          <w:sz w:val="15"/>
        </w:rPr>
        <w:t xml:space="preserve">    "COLD_TREATMENT_CERTIFICATE": "IPPC"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6.7.9 Database Schema Additions (Documentation)</w:t>
      </w:r>
    </w:p>
    <w:p>
      <w:pPr>
        <w:spacing w:after="0" w:before="0" w:line="240" w:lineRule="auto"/>
        <w:ind w:left="57"/>
        <w:jc w:val="left"/>
        <w:shd w:val="clear" w:fill="F2F2F2"/>
      </w:pPr>
      <w:r>
        <w:rPr>
          <w:rFonts w:ascii="Consolas" w:hAnsi="Consolas" w:cs="Consolas"/>
          <w:b w:val="0"/>
          <w:i w:val="0"/>
          <w:sz w:val="15"/>
        </w:rPr>
        <w:t>-- Document requirements (single source of truth)</w:t>
      </w:r>
    </w:p>
    <w:p>
      <w:pPr>
        <w:spacing w:after="0" w:before="0" w:line="240" w:lineRule="auto"/>
        <w:ind w:left="57"/>
        <w:jc w:val="left"/>
        <w:shd w:val="clear" w:fill="F2F2F2"/>
      </w:pPr>
      <w:r>
        <w:rPr>
          <w:rFonts w:ascii="Consolas" w:hAnsi="Consolas" w:cs="Consolas"/>
          <w:b w:val="0"/>
          <w:i w:val="0"/>
          <w:sz w:val="15"/>
        </w:rPr>
        <w:t>CREATE TABLE document_requirements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triggers TEXT[] NOT NULL, -- ['SHIPMENT', 'SETTLEMENT', 'CUSTOMS', 'FINANCING']</w:t>
      </w:r>
    </w:p>
    <w:p>
      <w:pPr>
        <w:spacing w:after="0" w:before="0" w:line="240" w:lineRule="auto"/>
        <w:ind w:left="57"/>
        <w:jc w:val="left"/>
        <w:shd w:val="clear" w:fill="F2F2F2"/>
      </w:pPr>
      <w:r>
        <w:rPr>
          <w:rFonts w:ascii="Consolas" w:hAnsi="Consolas" w:cs="Consolas"/>
          <w:b w:val="0"/>
          <w:i w:val="0"/>
          <w:sz w:val="15"/>
        </w:rPr>
        <w:t xml:space="preserve">    is_mandatory BOOLEAN NOT NULL DEFAULT false,</w:t>
      </w:r>
    </w:p>
    <w:p>
      <w:pPr>
        <w:spacing w:after="0" w:before="0" w:line="240" w:lineRule="auto"/>
        <w:ind w:left="57"/>
        <w:jc w:val="left"/>
        <w:shd w:val="clear" w:fill="F2F2F2"/>
      </w:pPr>
      <w:r>
        <w:rPr>
          <w:rFonts w:ascii="Consolas" w:hAnsi="Consolas" w:cs="Consolas"/>
          <w:b w:val="0"/>
          <w:i w:val="0"/>
          <w:sz w:val="15"/>
        </w:rPr>
        <w:t xml:space="preserve">    is_pre_selected BOOLEAN DEFAULT false,</w:t>
      </w:r>
    </w:p>
    <w:p>
      <w:pPr>
        <w:spacing w:after="0" w:before="0" w:line="240" w:lineRule="auto"/>
        <w:ind w:left="57"/>
        <w:jc w:val="left"/>
        <w:shd w:val="clear" w:fill="F2F2F2"/>
      </w:pPr>
      <w:r>
        <w:rPr>
          <w:rFonts w:ascii="Consolas" w:hAnsi="Consolas" w:cs="Consolas"/>
          <w:b w:val="0"/>
          <w:i w:val="0"/>
          <w:sz w:val="15"/>
        </w:rPr>
        <w:t xml:space="preserve">    format_requirements JSONB, -- { originals_required, electronic_accepted, language }</w:t>
      </w:r>
    </w:p>
    <w:p>
      <w:pPr>
        <w:spacing w:after="0" w:before="0" w:line="240" w:lineRule="auto"/>
        <w:ind w:left="57"/>
        <w:jc w:val="left"/>
        <w:shd w:val="clear" w:fill="F2F2F2"/>
      </w:pPr>
      <w:r>
        <w:rPr>
          <w:rFonts w:ascii="Consolas" w:hAnsi="Consolas" w:cs="Consolas"/>
          <w:b w:val="0"/>
          <w:i w:val="0"/>
          <w:sz w:val="15"/>
        </w:rPr>
        <w:t xml:space="preserve">    responsible_party TEXT, -- 'SELLER', 'BUYER', 'BROKER', 'SHIPPING_LINE', 'CUSTOMS'</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status TEXT DEFAULT 'PENDING', -- 'PENDING', 'UPLOADED', 'VERIFIED', 'REJECTED', 'FLAGGED', 'EXPIRED'</w:t>
      </w:r>
    </w:p>
    <w:p>
      <w:pPr>
        <w:spacing w:after="0" w:before="0" w:line="240" w:lineRule="auto"/>
        <w:ind w:left="57"/>
        <w:jc w:val="left"/>
        <w:shd w:val="clear" w:fill="F2F2F2"/>
      </w:pPr>
      <w:r>
        <w:rPr>
          <w:rFonts w:ascii="Consolas" w:hAnsi="Consolas" w:cs="Consolas"/>
          <w:b w:val="0"/>
          <w:i w:val="0"/>
          <w:sz w:val="15"/>
        </w:rPr>
        <w:t xml:space="preserve">    uploaded_document_id UUID REFERENCES documents(id) ON DELETE SET NULL,</w:t>
      </w:r>
    </w:p>
    <w:p>
      <w:pPr>
        <w:spacing w:after="0" w:before="0" w:line="240" w:lineRule="auto"/>
        <w:ind w:left="57"/>
        <w:jc w:val="left"/>
        <w:shd w:val="clear" w:fill="F2F2F2"/>
      </w:pPr>
      <w:r>
        <w:rPr>
          <w:rFonts w:ascii="Consolas" w:hAnsi="Consolas" w:cs="Consolas"/>
          <w:b w:val="0"/>
          <w:i w:val="0"/>
          <w:sz w:val="15"/>
        </w:rPr>
        <w:t xml:space="preserve">    verification_result JSONB,</w:t>
      </w:r>
    </w:p>
    <w:p>
      <w:pPr>
        <w:spacing w:after="0" w:before="0" w:line="240" w:lineRule="auto"/>
        <w:ind w:left="57"/>
        <w:jc w:val="left"/>
        <w:shd w:val="clear" w:fill="F2F2F2"/>
      </w:pPr>
      <w:r>
        <w:rPr>
          <w:rFonts w:ascii="Consolas" w:hAnsi="Consolas" w:cs="Consolas"/>
          <w:b w:val="0"/>
          <w:i w:val="0"/>
          <w:sz w:val="15"/>
        </w:rPr>
        <w:t xml:space="preserve">    fraud_indicators JSONB,</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UNIQUE(trade_request_id, document_type)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Document triggers reference table</w:t>
      </w:r>
    </w:p>
    <w:p>
      <w:pPr>
        <w:spacing w:after="0" w:before="0" w:line="240" w:lineRule="auto"/>
        <w:ind w:left="57"/>
        <w:jc w:val="left"/>
        <w:shd w:val="clear" w:fill="F2F2F2"/>
      </w:pPr>
      <w:r>
        <w:rPr>
          <w:rFonts w:ascii="Consolas" w:hAnsi="Consolas" w:cs="Consolas"/>
          <w:b w:val="0"/>
          <w:i w:val="0"/>
          <w:sz w:val="15"/>
        </w:rPr>
        <w:t>CREATE TABLE document_triggers_ref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trigger_type TEXT NOT NULL, -- 'SHIPMENT', 'SETTLEMENT', 'CUSTOMS', 'FINANCING'</w:t>
      </w:r>
    </w:p>
    <w:p>
      <w:pPr>
        <w:spacing w:after="0" w:before="0" w:line="240" w:lineRule="auto"/>
        <w:ind w:left="57"/>
        <w:jc w:val="left"/>
        <w:shd w:val="clear" w:fill="F2F2F2"/>
      </w:pPr>
      <w:r>
        <w:rPr>
          <w:rFonts w:ascii="Consolas" w:hAnsi="Consolas" w:cs="Consolas"/>
          <w:b w:val="0"/>
          <w:i w:val="0"/>
          <w:sz w:val="15"/>
        </w:rPr>
        <w:t xml:space="preserve">    is_default BOOLEAN DEFAULT false,</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UNIQUE(document_type, trigger_type)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Document format requirements per jurisdiction</w:t>
      </w:r>
    </w:p>
    <w:p>
      <w:pPr>
        <w:spacing w:after="0" w:before="0" w:line="240" w:lineRule="auto"/>
        <w:ind w:left="57"/>
        <w:jc w:val="left"/>
        <w:shd w:val="clear" w:fill="F2F2F2"/>
      </w:pPr>
      <w:r>
        <w:rPr>
          <w:rFonts w:ascii="Consolas" w:hAnsi="Consolas" w:cs="Consolas"/>
          <w:b w:val="0"/>
          <w:i w:val="0"/>
          <w:sz w:val="15"/>
        </w:rPr>
        <w:t>CREATE TABLE document_format_requirements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originals_required BOOLEAN DEFAULT false,</w:t>
      </w:r>
    </w:p>
    <w:p>
      <w:pPr>
        <w:spacing w:after="0" w:before="0" w:line="240" w:lineRule="auto"/>
        <w:ind w:left="57"/>
        <w:jc w:val="left"/>
        <w:shd w:val="clear" w:fill="F2F2F2"/>
      </w:pPr>
      <w:r>
        <w:rPr>
          <w:rFonts w:ascii="Consolas" w:hAnsi="Consolas" w:cs="Consolas"/>
          <w:b w:val="0"/>
          <w:i w:val="0"/>
          <w:sz w:val="15"/>
        </w:rPr>
        <w:t xml:space="preserve">    electronic_accepted BOOLEAN DEFAULT true,</w:t>
      </w:r>
    </w:p>
    <w:p>
      <w:pPr>
        <w:spacing w:after="0" w:before="0" w:line="240" w:lineRule="auto"/>
        <w:ind w:left="57"/>
        <w:jc w:val="left"/>
        <w:shd w:val="clear" w:fill="F2F2F2"/>
      </w:pPr>
      <w:r>
        <w:rPr>
          <w:rFonts w:ascii="Consolas" w:hAnsi="Consolas" w:cs="Consolas"/>
          <w:b w:val="0"/>
          <w:i w:val="0"/>
          <w:sz w:val="15"/>
        </w:rPr>
        <w:t xml:space="preserve">    required_languages TEXT[],</w:t>
      </w:r>
    </w:p>
    <w:p>
      <w:pPr>
        <w:spacing w:after="0" w:before="0" w:line="240" w:lineRule="auto"/>
        <w:ind w:left="57"/>
        <w:jc w:val="left"/>
        <w:shd w:val="clear" w:fill="F2F2F2"/>
      </w:pPr>
      <w:r>
        <w:rPr>
          <w:rFonts w:ascii="Consolas" w:hAnsi="Consolas" w:cs="Consolas"/>
          <w:b w:val="0"/>
          <w:i w:val="0"/>
          <w:sz w:val="15"/>
        </w:rPr>
        <w:t xml:space="preserve">    physical_handling_recommended BOOLEAN DEFAULT false,</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UNIQUE(country_code, document_type)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Document verification logs</w:t>
      </w:r>
    </w:p>
    <w:p>
      <w:pPr>
        <w:spacing w:after="0" w:before="0" w:line="240" w:lineRule="auto"/>
        <w:ind w:left="57"/>
        <w:jc w:val="left"/>
        <w:shd w:val="clear" w:fill="F2F2F2"/>
      </w:pPr>
      <w:r>
        <w:rPr>
          <w:rFonts w:ascii="Consolas" w:hAnsi="Consolas" w:cs="Consolas"/>
          <w:b w:val="0"/>
          <w:i w:val="0"/>
          <w:sz w:val="15"/>
        </w:rPr>
        <w:t>CREATE TABLE document_verification_logs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document_id UUID NOT NULL REFERENCES documents(id) ON DELETE CASCADE,</w:t>
      </w:r>
    </w:p>
    <w:p>
      <w:pPr>
        <w:spacing w:after="0" w:before="0" w:line="240" w:lineRule="auto"/>
        <w:ind w:left="57"/>
        <w:jc w:val="left"/>
        <w:shd w:val="clear" w:fill="F2F2F2"/>
      </w:pPr>
      <w:r>
        <w:rPr>
          <w:rFonts w:ascii="Consolas" w:hAnsi="Consolas" w:cs="Consolas"/>
          <w:b w:val="0"/>
          <w:i w:val="0"/>
          <w:sz w:val="15"/>
        </w:rPr>
        <w:t xml:space="preserve">    verification_type TEXT NOT NULL, -- 'AUTOMATIC', 'MANUAL'</w:t>
      </w:r>
    </w:p>
    <w:p>
      <w:pPr>
        <w:spacing w:after="0" w:before="0" w:line="240" w:lineRule="auto"/>
        <w:ind w:left="57"/>
        <w:jc w:val="left"/>
        <w:shd w:val="clear" w:fill="F2F2F2"/>
      </w:pPr>
      <w:r>
        <w:rPr>
          <w:rFonts w:ascii="Consolas" w:hAnsi="Consolas" w:cs="Consolas"/>
          <w:b w:val="0"/>
          <w:i w:val="0"/>
          <w:sz w:val="15"/>
        </w:rPr>
        <w:t xml:space="preserve">    verification_status TEXT NOT NULL, -- 'PENDING', 'VERIFIED', 'REJECTED', 'FLAGGED'</w:t>
      </w:r>
    </w:p>
    <w:p>
      <w:pPr>
        <w:spacing w:after="0" w:before="0" w:line="240" w:lineRule="auto"/>
        <w:ind w:left="57"/>
        <w:jc w:val="left"/>
        <w:shd w:val="clear" w:fill="F2F2F2"/>
      </w:pPr>
      <w:r>
        <w:rPr>
          <w:rFonts w:ascii="Consolas" w:hAnsi="Consolas" w:cs="Consolas"/>
          <w:b w:val="0"/>
          <w:i w:val="0"/>
          <w:sz w:val="15"/>
        </w:rPr>
        <w:t xml:space="preserve">    confidence_score DECIMAL(5,2),</w:t>
      </w:r>
    </w:p>
    <w:p>
      <w:pPr>
        <w:spacing w:after="0" w:before="0" w:line="240" w:lineRule="auto"/>
        <w:ind w:left="57"/>
        <w:jc w:val="left"/>
        <w:shd w:val="clear" w:fill="F2F2F2"/>
      </w:pPr>
      <w:r>
        <w:rPr>
          <w:rFonts w:ascii="Consolas" w:hAnsi="Consolas" w:cs="Consolas"/>
          <w:b w:val="0"/>
          <w:i w:val="0"/>
          <w:sz w:val="15"/>
        </w:rPr>
        <w:t xml:space="preserve">    extracted_fields JSONB,</w:t>
      </w:r>
    </w:p>
    <w:p>
      <w:pPr>
        <w:spacing w:after="0" w:before="0" w:line="240" w:lineRule="auto"/>
        <w:ind w:left="57"/>
        <w:jc w:val="left"/>
        <w:shd w:val="clear" w:fill="F2F2F2"/>
      </w:pPr>
      <w:r>
        <w:rPr>
          <w:rFonts w:ascii="Consolas" w:hAnsi="Consolas" w:cs="Consolas"/>
          <w:b w:val="0"/>
          <w:i w:val="0"/>
          <w:sz w:val="15"/>
        </w:rPr>
        <w:t xml:space="preserve">    discrepancies JSONB,</w:t>
      </w:r>
    </w:p>
    <w:p>
      <w:pPr>
        <w:spacing w:after="0" w:before="0" w:line="240" w:lineRule="auto"/>
        <w:ind w:left="57"/>
        <w:jc w:val="left"/>
        <w:shd w:val="clear" w:fill="F2F2F2"/>
      </w:pPr>
      <w:r>
        <w:rPr>
          <w:rFonts w:ascii="Consolas" w:hAnsi="Consolas" w:cs="Consolas"/>
          <w:b w:val="0"/>
          <w:i w:val="0"/>
          <w:sz w:val="15"/>
        </w:rPr>
        <w:t xml:space="preserve">    fraud_indicators JSONB,</w:t>
      </w:r>
    </w:p>
    <w:p>
      <w:pPr>
        <w:spacing w:after="0" w:before="0" w:line="240" w:lineRule="auto"/>
        <w:ind w:left="57"/>
        <w:jc w:val="left"/>
        <w:shd w:val="clear" w:fill="F2F2F2"/>
      </w:pPr>
      <w:r>
        <w:rPr>
          <w:rFonts w:ascii="Consolas" w:hAnsi="Consolas" w:cs="Consolas"/>
          <w:b w:val="0"/>
          <w:i w:val="0"/>
          <w:sz w:val="15"/>
        </w:rPr>
        <w:t xml:space="preserve">    verified_by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verified_at TIMESTAMPTZ DEFAULT NOW(),</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idx_document_requirements_trade ON document_requirements(trade_request_id);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idx_document_requirements_type ON document_requirements(document_type);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idx_document_requirements_status ON document_requirements(status);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idx_document_requirements_triggers ON document_requirements USING GIN(triggers);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idx_document_triggers_ref_type ON document_triggers_ref(document_type);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idx_document_format_requirements_country ON document_format_requirements(country_code);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idx_document_verification_logs_document ON document_verification_logs(document_id);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idx_document_verification_logs_status ON document_verification_logs(verification_status);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6.7.10 Document Triggers — Technical Reference</w:t>
      </w:r>
    </w:p>
    <w:p>
      <w:pPr>
        <w:keepNext/>
        <w:spacing w:before="140" w:after="60"/>
        <w:outlineLvl w:val="3"/>
      </w:pPr>
      <w:r>
        <w:rPr>
          <w:rFonts w:ascii="Arial" w:hAnsi="Arial" w:cs="Arial"/>
          <w:b/>
          <w:i/>
          <w:color w:val="333333"/>
          <w:sz w:val="22"/>
        </w:rPr>
        <w:t>6.7.10.1 Trigger Enumeration</w:t>
      </w:r>
    </w:p>
    <w:p>
      <w:pPr>
        <w:spacing w:after="0" w:before="0" w:line="240" w:lineRule="auto"/>
        <w:ind w:left="57"/>
        <w:jc w:val="left"/>
        <w:shd w:val="clear" w:fill="F2F2F2"/>
      </w:pPr>
      <w:r>
        <w:rPr>
          <w:rFonts w:ascii="Consolas" w:hAnsi="Consolas" w:cs="Consolas"/>
          <w:b w:val="0"/>
          <w:i w:val="0"/>
          <w:sz w:val="15"/>
        </w:rPr>
        <w:t>#[derive(Debug, Clone, PartialEq, Serialize, Deserialize)]</w:t>
      </w:r>
    </w:p>
    <w:p>
      <w:pPr>
        <w:spacing w:after="0" w:before="0" w:line="240" w:lineRule="auto"/>
        <w:ind w:left="57"/>
        <w:jc w:val="left"/>
        <w:shd w:val="clear" w:fill="F2F2F2"/>
      </w:pPr>
      <w:r>
        <w:rPr>
          <w:rFonts w:ascii="Consolas" w:hAnsi="Consolas" w:cs="Consolas"/>
          <w:b w:val="0"/>
          <w:i w:val="0"/>
          <w:sz w:val="15"/>
        </w:rPr>
        <w:t>pub enum DocumentTrigger {</w:t>
      </w:r>
    </w:p>
    <w:p>
      <w:pPr>
        <w:spacing w:after="0" w:before="0" w:line="240" w:lineRule="auto"/>
        <w:ind w:left="57"/>
        <w:jc w:val="left"/>
        <w:shd w:val="clear" w:fill="F2F2F2"/>
      </w:pPr>
      <w:r>
        <w:rPr>
          <w:rFonts w:ascii="Consolas" w:hAnsi="Consolas" w:cs="Consolas"/>
          <w:b w:val="0"/>
          <w:i w:val="0"/>
          <w:sz w:val="15"/>
        </w:rPr>
        <w:t xml:space="preserve">    #[serde(rename = "SHIPMENT")]</w:t>
      </w:r>
    </w:p>
    <w:p>
      <w:pPr>
        <w:spacing w:after="0" w:before="0" w:line="240" w:lineRule="auto"/>
        <w:ind w:left="57"/>
        <w:jc w:val="left"/>
        <w:shd w:val="clear" w:fill="F2F2F2"/>
      </w:pPr>
      <w:r>
        <w:rPr>
          <w:rFonts w:ascii="Consolas" w:hAnsi="Consolas" w:cs="Consolas"/>
          <w:b w:val="0"/>
          <w:i w:val="0"/>
          <w:sz w:val="15"/>
        </w:rPr>
        <w:t xml:space="preserve">    Shipment,</w:t>
      </w:r>
    </w:p>
    <w:p>
      <w:pPr>
        <w:spacing w:after="0" w:before="0" w:line="240" w:lineRule="auto"/>
        <w:ind w:left="57"/>
        <w:jc w:val="left"/>
        <w:shd w:val="clear" w:fill="F2F2F2"/>
      </w:pPr>
      <w:r>
        <w:rPr>
          <w:rFonts w:ascii="Consolas" w:hAnsi="Consolas" w:cs="Consolas"/>
          <w:b w:val="0"/>
          <w:i w:val="0"/>
          <w:sz w:val="15"/>
        </w:rPr>
        <w:t xml:space="preserve">    #[serde(rename = "SETTLEMENT")]</w:t>
      </w:r>
    </w:p>
    <w:p>
      <w:pPr>
        <w:spacing w:after="0" w:before="0" w:line="240" w:lineRule="auto"/>
        <w:ind w:left="57"/>
        <w:jc w:val="left"/>
        <w:shd w:val="clear" w:fill="F2F2F2"/>
      </w:pPr>
      <w:r>
        <w:rPr>
          <w:rFonts w:ascii="Consolas" w:hAnsi="Consolas" w:cs="Consolas"/>
          <w:b w:val="0"/>
          <w:i w:val="0"/>
          <w:sz w:val="15"/>
        </w:rPr>
        <w:t xml:space="preserve">    Settlement,</w:t>
      </w:r>
    </w:p>
    <w:p>
      <w:pPr>
        <w:spacing w:after="0" w:before="0" w:line="240" w:lineRule="auto"/>
        <w:ind w:left="57"/>
        <w:jc w:val="left"/>
        <w:shd w:val="clear" w:fill="F2F2F2"/>
      </w:pPr>
      <w:r>
        <w:rPr>
          <w:rFonts w:ascii="Consolas" w:hAnsi="Consolas" w:cs="Consolas"/>
          <w:b w:val="0"/>
          <w:i w:val="0"/>
          <w:sz w:val="15"/>
        </w:rPr>
        <w:t xml:space="preserve">    #[serde(rename = "CUSTOMS")]</w:t>
      </w:r>
    </w:p>
    <w:p>
      <w:pPr>
        <w:spacing w:after="0" w:before="0" w:line="240" w:lineRule="auto"/>
        <w:ind w:left="57"/>
        <w:jc w:val="left"/>
        <w:shd w:val="clear" w:fill="F2F2F2"/>
      </w:pPr>
      <w:r>
        <w:rPr>
          <w:rFonts w:ascii="Consolas" w:hAnsi="Consolas" w:cs="Consolas"/>
          <w:b w:val="0"/>
          <w:i w:val="0"/>
          <w:sz w:val="15"/>
        </w:rPr>
        <w:t xml:space="preserve">    Customs,</w:t>
      </w:r>
    </w:p>
    <w:p>
      <w:pPr>
        <w:spacing w:after="0" w:before="0" w:line="240" w:lineRule="auto"/>
        <w:ind w:left="57"/>
        <w:jc w:val="left"/>
        <w:shd w:val="clear" w:fill="F2F2F2"/>
      </w:pPr>
      <w:r>
        <w:rPr>
          <w:rFonts w:ascii="Consolas" w:hAnsi="Consolas" w:cs="Consolas"/>
          <w:b w:val="0"/>
          <w:i w:val="0"/>
          <w:sz w:val="15"/>
        </w:rPr>
        <w:t xml:space="preserve">    #[serde(rename = "FINANCING")]</w:t>
      </w:r>
    </w:p>
    <w:p>
      <w:pPr>
        <w:spacing w:after="0" w:before="0" w:line="240" w:lineRule="auto"/>
        <w:ind w:left="57"/>
        <w:jc w:val="left"/>
        <w:shd w:val="clear" w:fill="F2F2F2"/>
      </w:pPr>
      <w:r>
        <w:rPr>
          <w:rFonts w:ascii="Consolas" w:hAnsi="Consolas" w:cs="Consolas"/>
          <w:b w:val="0"/>
          <w:i w:val="0"/>
          <w:sz w:val="15"/>
        </w:rPr>
        <w:t xml:space="preserve">    Financing,</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impl DocumentTrigger {</w:t>
      </w:r>
    </w:p>
    <w:p>
      <w:pPr>
        <w:spacing w:after="0" w:before="0" w:line="240" w:lineRule="auto"/>
        <w:ind w:left="57"/>
        <w:jc w:val="left"/>
        <w:shd w:val="clear" w:fill="F2F2F2"/>
      </w:pPr>
      <w:r>
        <w:rPr>
          <w:rFonts w:ascii="Consolas" w:hAnsi="Consolas" w:cs="Consolas"/>
          <w:b w:val="0"/>
          <w:i w:val="0"/>
          <w:sz w:val="15"/>
        </w:rPr>
        <w:t xml:space="preserve">    pub fn display_name(&amp;self) -&gt; &amp;'static str {</w:t>
      </w:r>
    </w:p>
    <w:p>
      <w:pPr>
        <w:spacing w:after="0" w:before="0" w:line="240" w:lineRule="auto"/>
        <w:ind w:left="57"/>
        <w:jc w:val="left"/>
        <w:shd w:val="clear" w:fill="F2F2F2"/>
      </w:pPr>
      <w:r>
        <w:rPr>
          <w:rFonts w:ascii="Consolas" w:hAnsi="Consolas" w:cs="Consolas"/>
          <w:b w:val="0"/>
          <w:i w:val="0"/>
          <w:sz w:val="15"/>
        </w:rPr>
        <w:t xml:space="preserve">        match self {</w:t>
      </w:r>
    </w:p>
    <w:p>
      <w:pPr>
        <w:spacing w:after="0" w:before="0" w:line="240" w:lineRule="auto"/>
        <w:ind w:left="57"/>
        <w:jc w:val="left"/>
        <w:shd w:val="clear" w:fill="F2F2F2"/>
      </w:pPr>
      <w:r>
        <w:rPr>
          <w:rFonts w:ascii="Consolas" w:hAnsi="Consolas" w:cs="Consolas"/>
          <w:b w:val="0"/>
          <w:i w:val="0"/>
          <w:sz w:val="15"/>
        </w:rPr>
        <w:t xml:space="preserve">            DocumentTrigger::Shipment =&gt; "Before or during shipment",</w:t>
      </w:r>
    </w:p>
    <w:p>
      <w:pPr>
        <w:spacing w:after="0" w:before="0" w:line="240" w:lineRule="auto"/>
        <w:ind w:left="57"/>
        <w:jc w:val="left"/>
        <w:shd w:val="clear" w:fill="F2F2F2"/>
      </w:pPr>
      <w:r>
        <w:rPr>
          <w:rFonts w:ascii="Consolas" w:hAnsi="Consolas" w:cs="Consolas"/>
          <w:b w:val="0"/>
          <w:i w:val="0"/>
          <w:sz w:val="15"/>
        </w:rPr>
        <w:t xml:space="preserve">            DocumentTrigger::Settlement =&gt; "Before payment",</w:t>
      </w:r>
    </w:p>
    <w:p>
      <w:pPr>
        <w:spacing w:after="0" w:before="0" w:line="240" w:lineRule="auto"/>
        <w:ind w:left="57"/>
        <w:jc w:val="left"/>
        <w:shd w:val="clear" w:fill="F2F2F2"/>
      </w:pPr>
      <w:r>
        <w:rPr>
          <w:rFonts w:ascii="Consolas" w:hAnsi="Consolas" w:cs="Consolas"/>
          <w:b w:val="0"/>
          <w:i w:val="0"/>
          <w:sz w:val="15"/>
        </w:rPr>
        <w:t xml:space="preserve">            DocumentTrigger::Customs =&gt; "For customs clearance",</w:t>
      </w:r>
    </w:p>
    <w:p>
      <w:pPr>
        <w:spacing w:after="0" w:before="0" w:line="240" w:lineRule="auto"/>
        <w:ind w:left="57"/>
        <w:jc w:val="left"/>
        <w:shd w:val="clear" w:fill="F2F2F2"/>
      </w:pPr>
      <w:r>
        <w:rPr>
          <w:rFonts w:ascii="Consolas" w:hAnsi="Consolas" w:cs="Consolas"/>
          <w:b w:val="0"/>
          <w:i w:val="0"/>
          <w:sz w:val="15"/>
        </w:rPr>
        <w:t xml:space="preserve">            DocumentTrigger::Financing =&gt; "For financing",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pub fn priority(&amp;self) -&gt; u8 {</w:t>
      </w:r>
    </w:p>
    <w:p>
      <w:pPr>
        <w:spacing w:after="0" w:before="0" w:line="240" w:lineRule="auto"/>
        <w:ind w:left="57"/>
        <w:jc w:val="left"/>
        <w:shd w:val="clear" w:fill="F2F2F2"/>
      </w:pPr>
      <w:r>
        <w:rPr>
          <w:rFonts w:ascii="Consolas" w:hAnsi="Consolas" w:cs="Consolas"/>
          <w:b w:val="0"/>
          <w:i w:val="0"/>
          <w:sz w:val="15"/>
        </w:rPr>
        <w:t xml:space="preserve">        match self {</w:t>
      </w:r>
    </w:p>
    <w:p>
      <w:pPr>
        <w:spacing w:after="0" w:before="0" w:line="240" w:lineRule="auto"/>
        <w:ind w:left="57"/>
        <w:jc w:val="left"/>
        <w:shd w:val="clear" w:fill="F2F2F2"/>
      </w:pPr>
      <w:r>
        <w:rPr>
          <w:rFonts w:ascii="Consolas" w:hAnsi="Consolas" w:cs="Consolas"/>
          <w:b w:val="0"/>
          <w:i w:val="0"/>
          <w:sz w:val="15"/>
        </w:rPr>
        <w:t xml:space="preserve">            DocumentTrigger::Shipment =&gt; 4, // Highest — must be ready before loading</w:t>
      </w:r>
    </w:p>
    <w:p>
      <w:pPr>
        <w:spacing w:after="0" w:before="0" w:line="240" w:lineRule="auto"/>
        <w:ind w:left="57"/>
        <w:jc w:val="left"/>
        <w:shd w:val="clear" w:fill="F2F2F2"/>
      </w:pPr>
      <w:r>
        <w:rPr>
          <w:rFonts w:ascii="Consolas" w:hAnsi="Consolas" w:cs="Consolas"/>
          <w:b w:val="0"/>
          <w:i w:val="0"/>
          <w:sz w:val="15"/>
        </w:rPr>
        <w:t xml:space="preserve">            DocumentTrigger::Customs =&gt; 3, // Must be ready at arrival</w:t>
      </w:r>
    </w:p>
    <w:p>
      <w:pPr>
        <w:spacing w:after="0" w:before="0" w:line="240" w:lineRule="auto"/>
        <w:ind w:left="57"/>
        <w:jc w:val="left"/>
        <w:shd w:val="clear" w:fill="F2F2F2"/>
      </w:pPr>
      <w:r>
        <w:rPr>
          <w:rFonts w:ascii="Consolas" w:hAnsi="Consolas" w:cs="Consolas"/>
          <w:b w:val="0"/>
          <w:i w:val="0"/>
          <w:sz w:val="15"/>
        </w:rPr>
        <w:t xml:space="preserve">            DocumentTrigger::Settlement =&gt; 2, // Must be ready before payment</w:t>
      </w:r>
    </w:p>
    <w:p>
      <w:pPr>
        <w:spacing w:after="0" w:before="0" w:line="240" w:lineRule="auto"/>
        <w:ind w:left="57"/>
        <w:jc w:val="left"/>
        <w:shd w:val="clear" w:fill="F2F2F2"/>
      </w:pPr>
      <w:r>
        <w:rPr>
          <w:rFonts w:ascii="Consolas" w:hAnsi="Consolas" w:cs="Consolas"/>
          <w:b w:val="0"/>
          <w:i w:val="0"/>
          <w:sz w:val="15"/>
        </w:rPr>
        <w:t xml:space="preserve">            DocumentTrigger::Financing =&gt; 1, // Must be ready before disbursement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6.7.10.2 Trigger Logic</w:t>
      </w:r>
    </w:p>
    <w:p>
      <w:pPr>
        <w:spacing w:after="0" w:before="0" w:line="240" w:lineRule="auto"/>
        <w:ind w:left="57"/>
        <w:jc w:val="left"/>
        <w:shd w:val="clear" w:fill="F2F2F2"/>
      </w:pPr>
      <w:r>
        <w:rPr>
          <w:rFonts w:ascii="Consolas" w:hAnsi="Consolas" w:cs="Consolas"/>
          <w:b w:val="0"/>
          <w:i w:val="0"/>
          <w:sz w:val="15"/>
        </w:rPr>
        <w:t>// Pseudo-code: Document trigger validation</w:t>
      </w:r>
    </w:p>
    <w:p>
      <w:pPr>
        <w:spacing w:after="0" w:before="0" w:line="240" w:lineRule="auto"/>
        <w:ind w:left="57"/>
        <w:jc w:val="left"/>
        <w:shd w:val="clear" w:fill="F2F2F2"/>
      </w:pPr>
      <w:r>
        <w:rPr>
          <w:rFonts w:ascii="Consolas" w:hAnsi="Consolas" w:cs="Consolas"/>
          <w:b w:val="0"/>
          <w:i w:val="0"/>
          <w:sz w:val="15"/>
        </w:rPr>
        <w:t>fn validate_document_trigger(document_type: &amp;str, trigger: DocumentTrigger) -&gt; Result&lt;()&gt; {</w:t>
      </w:r>
    </w:p>
    <w:p>
      <w:pPr>
        <w:spacing w:after="0" w:before="0" w:line="240" w:lineRule="auto"/>
        <w:ind w:left="57"/>
        <w:jc w:val="left"/>
        <w:shd w:val="clear" w:fill="F2F2F2"/>
      </w:pPr>
      <w:r>
        <w:rPr>
          <w:rFonts w:ascii="Consolas" w:hAnsi="Consolas" w:cs="Consolas"/>
          <w:b w:val="0"/>
          <w:i w:val="0"/>
          <w:sz w:val="15"/>
        </w:rPr>
        <w:t xml:space="preserve">    // 1. Check if document is required for this trigger</w:t>
      </w:r>
    </w:p>
    <w:p>
      <w:pPr>
        <w:spacing w:after="0" w:before="0" w:line="240" w:lineRule="auto"/>
        <w:ind w:left="57"/>
        <w:jc w:val="left"/>
        <w:shd w:val="clear" w:fill="F2F2F2"/>
      </w:pPr>
      <w:r>
        <w:rPr>
          <w:rFonts w:ascii="Consolas" w:hAnsi="Consolas" w:cs="Consolas"/>
          <w:b w:val="0"/>
          <w:i w:val="0"/>
          <w:sz w:val="15"/>
        </w:rPr>
        <w:t xml:space="preserve">    let requirements = get_document_requirements(document_type, trigger)?;</w:t>
      </w:r>
    </w:p>
    <w:p>
      <w:pPr>
        <w:spacing w:after="0" w:before="0" w:line="240" w:lineRule="auto"/>
        <w:ind w:left="57"/>
        <w:jc w:val="left"/>
        <w:shd w:val="clear" w:fill="F2F2F2"/>
      </w:pPr>
      <w:r>
        <w:rPr>
          <w:rFonts w:ascii="Consolas" w:hAnsi="Consolas" w:cs="Consolas"/>
          <w:b w:val="0"/>
          <w:i w:val="0"/>
          <w:sz w:val="15"/>
        </w:rPr>
        <w:t xml:space="preserve">    // 2. Check if document has been uploaded</w:t>
      </w:r>
    </w:p>
    <w:p>
      <w:pPr>
        <w:spacing w:after="0" w:before="0" w:line="240" w:lineRule="auto"/>
        <w:ind w:left="57"/>
        <w:jc w:val="left"/>
        <w:shd w:val="clear" w:fill="F2F2F2"/>
      </w:pPr>
      <w:r>
        <w:rPr>
          <w:rFonts w:ascii="Consolas" w:hAnsi="Consolas" w:cs="Consolas"/>
          <w:b w:val="0"/>
          <w:i w:val="0"/>
          <w:sz w:val="15"/>
        </w:rPr>
        <w:t xml:space="preserve">    let document = get_document_by_type_and_trade(trade_id, document_type)?;</w:t>
      </w:r>
    </w:p>
    <w:p>
      <w:pPr>
        <w:spacing w:after="0" w:before="0" w:line="240" w:lineRule="auto"/>
        <w:ind w:left="57"/>
        <w:jc w:val="left"/>
        <w:shd w:val="clear" w:fill="F2F2F2"/>
      </w:pPr>
      <w:r>
        <w:rPr>
          <w:rFonts w:ascii="Consolas" w:hAnsi="Consolas" w:cs="Consolas"/>
          <w:b w:val="0"/>
          <w:i w:val="0"/>
          <w:sz w:val="15"/>
        </w:rPr>
        <w:t xml:space="preserve">    // 3. Check if document is verified</w:t>
      </w:r>
    </w:p>
    <w:p>
      <w:pPr>
        <w:spacing w:after="0" w:before="0" w:line="240" w:lineRule="auto"/>
        <w:ind w:left="57"/>
        <w:jc w:val="left"/>
        <w:shd w:val="clear" w:fill="F2F2F2"/>
      </w:pPr>
      <w:r>
        <w:rPr>
          <w:rFonts w:ascii="Consolas" w:hAnsi="Consolas" w:cs="Consolas"/>
          <w:b w:val="0"/>
          <w:i w:val="0"/>
          <w:sz w:val="15"/>
        </w:rPr>
        <w:t xml:space="preserve">    if !document.is_verified() {</w:t>
      </w:r>
    </w:p>
    <w:p>
      <w:pPr>
        <w:spacing w:after="0" w:before="0" w:line="240" w:lineRule="auto"/>
        <w:ind w:left="57"/>
        <w:jc w:val="left"/>
        <w:shd w:val="clear" w:fill="F2F2F2"/>
      </w:pPr>
      <w:r>
        <w:rPr>
          <w:rFonts w:ascii="Consolas" w:hAnsi="Consolas" w:cs="Consolas"/>
          <w:b w:val="0"/>
          <w:i w:val="0"/>
          <w:sz w:val="15"/>
        </w:rPr>
        <w:t xml:space="preserve">        return Err(Error::DocumentNotVerified(document_type));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Check if document expires before trigger date</w:t>
      </w:r>
    </w:p>
    <w:p>
      <w:pPr>
        <w:spacing w:after="0" w:before="0" w:line="240" w:lineRule="auto"/>
        <w:ind w:left="57"/>
        <w:jc w:val="left"/>
        <w:shd w:val="clear" w:fill="F2F2F2"/>
      </w:pPr>
      <w:r>
        <w:rPr>
          <w:rFonts w:ascii="Consolas" w:hAnsi="Consolas" w:cs="Consolas"/>
          <w:b w:val="0"/>
          <w:i w:val="0"/>
          <w:sz w:val="15"/>
        </w:rPr>
        <w:t xml:space="preserve">    if document.expires_at &lt; trigger_date {</w:t>
      </w:r>
    </w:p>
    <w:p>
      <w:pPr>
        <w:spacing w:after="0" w:before="0" w:line="240" w:lineRule="auto"/>
        <w:ind w:left="57"/>
        <w:jc w:val="left"/>
        <w:shd w:val="clear" w:fill="F2F2F2"/>
      </w:pPr>
      <w:r>
        <w:rPr>
          <w:rFonts w:ascii="Consolas" w:hAnsi="Consolas" w:cs="Consolas"/>
          <w:b w:val="0"/>
          <w:i w:val="0"/>
          <w:sz w:val="15"/>
        </w:rPr>
        <w:t xml:space="preserve">        return Err(Error::DocumentExpired(document_type));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6.7.11 Governor Gates (Documentation)</w:t>
      </w:r>
    </w:p>
    <w:p>
      <w:pPr>
        <w:spacing w:after="80" w:line="293" w:lineRule="auto"/>
        <w:jc w:val="left"/>
      </w:pPr>
      <w:r>
        <w:rPr>
          <w:rFonts w:ascii="Times New Roman" w:hAnsi="Times New Roman" w:cs="Times New Roman"/>
          <w:b w:val="0"/>
          <w:i w:val="0"/>
          <w:sz w:val="22"/>
        </w:rPr>
        <w:t>Example CONDITIONAL response (missing document):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Phytosanitary Certificate is mandatory for this trade but has not been added to the document checklist.",</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"missing_document",</w:t>
      </w:r>
    </w:p>
    <w:p>
      <w:pPr>
        <w:spacing w:after="0" w:before="0" w:line="240" w:lineRule="auto"/>
        <w:ind w:left="57"/>
        <w:jc w:val="left"/>
        <w:shd w:val="clear" w:fill="F2F2F2"/>
      </w:pPr>
      <w:r>
        <w:rPr>
          <w:rFonts w:ascii="Consolas" w:hAnsi="Consolas" w:cs="Consolas"/>
          <w:b w:val="0"/>
          <w:i w:val="0"/>
          <w:sz w:val="15"/>
        </w:rPr>
        <w:t xml:space="preserve">        "label": "Add Phytosanitary Certificate to document requirements",</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6.7.12 Implementation Checklist (Documentation)</w:t>
      </w:r>
    </w:p>
    <w:p>
      <w:pPr>
        <w:keepNext/>
        <w:spacing w:before="140" w:after="60"/>
        <w:outlineLvl w:val="3"/>
      </w:pPr>
      <w:r>
        <w:rPr>
          <w:rFonts w:ascii="Arial" w:hAnsi="Arial" w:cs="Arial"/>
          <w:b/>
          <w:i/>
          <w:color w:val="333333"/>
          <w:sz w:val="22"/>
        </w:rPr>
        <w:t>6.7.12.1 Backend Services</w:t>
      </w:r>
    </w:p>
    <w:p>
      <w:pPr>
        <w:spacing w:after="80" w:line="293" w:lineRule="auto"/>
        <w:ind w:left="283"/>
        <w:jc w:val="left"/>
      </w:pPr>
      <w:r>
        <w:rPr>
          <w:rFonts w:ascii="Times New Roman" w:hAnsi="Times New Roman" w:cs="Times New Roman"/>
          <w:b w:val="0"/>
          <w:i w:val="0"/>
          <w:sz w:val="22"/>
        </w:rPr>
        <w:t>- Implement document requirements service (Rust)</w:t>
      </w:r>
    </w:p>
    <w:p>
      <w:pPr>
        <w:spacing w:after="80" w:line="293" w:lineRule="auto"/>
        <w:ind w:left="283"/>
        <w:jc w:val="left"/>
      </w:pPr>
      <w:r>
        <w:rPr>
          <w:rFonts w:ascii="Times New Roman" w:hAnsi="Times New Roman" w:cs="Times New Roman"/>
          <w:b w:val="0"/>
          <w:i w:val="0"/>
          <w:sz w:val="22"/>
        </w:rPr>
        <w:t>- Implement RIA pre-selection logic</w:t>
      </w:r>
    </w:p>
    <w:p>
      <w:pPr>
        <w:spacing w:after="80" w:line="293" w:lineRule="auto"/>
        <w:ind w:left="283"/>
        <w:jc w:val="left"/>
      </w:pPr>
      <w:r>
        <w:rPr>
          <w:rFonts w:ascii="Times New Roman" w:hAnsi="Times New Roman" w:cs="Times New Roman"/>
          <w:b w:val="0"/>
          <w:i w:val="0"/>
          <w:sz w:val="22"/>
        </w:rPr>
        <w:t>- Implement document verification service (A2, HF Donut)</w:t>
      </w:r>
    </w:p>
    <w:p>
      <w:pPr>
        <w:spacing w:after="80" w:line="293" w:lineRule="auto"/>
        <w:ind w:left="283"/>
        <w:jc w:val="left"/>
      </w:pPr>
      <w:r>
        <w:rPr>
          <w:rFonts w:ascii="Times New Roman" w:hAnsi="Times New Roman" w:cs="Times New Roman"/>
          <w:b w:val="0"/>
          <w:i w:val="0"/>
          <w:sz w:val="22"/>
        </w:rPr>
        <w:t>- Implement fraud detection service (A2)</w:t>
      </w:r>
    </w:p>
    <w:p>
      <w:pPr>
        <w:spacing w:after="80" w:line="293" w:lineRule="auto"/>
        <w:ind w:left="283"/>
        <w:jc w:val="left"/>
      </w:pPr>
      <w:r>
        <w:rPr>
          <w:rFonts w:ascii="Times New Roman" w:hAnsi="Times New Roman" w:cs="Times New Roman"/>
          <w:b w:val="0"/>
          <w:i w:val="0"/>
          <w:sz w:val="22"/>
        </w:rPr>
        <w:t>- Implement document format validation</w:t>
      </w:r>
    </w:p>
    <w:p>
      <w:pPr>
        <w:spacing w:after="80" w:line="293" w:lineRule="auto"/>
        <w:ind w:left="283"/>
        <w:jc w:val="left"/>
      </w:pPr>
      <w:r>
        <w:rPr>
          <w:rFonts w:ascii="Times New Roman" w:hAnsi="Times New Roman" w:cs="Times New Roman"/>
          <w:b w:val="0"/>
          <w:i w:val="0"/>
          <w:sz w:val="22"/>
        </w:rPr>
        <w:t>- Implement document trigger validation</w:t>
      </w:r>
    </w:p>
    <w:p>
      <w:pPr>
        <w:spacing w:after="80" w:line="293" w:lineRule="auto"/>
        <w:ind w:left="283"/>
        <w:jc w:val="left"/>
      </w:pPr>
      <w:r>
        <w:rPr>
          <w:rFonts w:ascii="Times New Roman" w:hAnsi="Times New Roman" w:cs="Times New Roman"/>
          <w:b w:val="0"/>
          <w:i w:val="0"/>
          <w:sz w:val="22"/>
        </w:rPr>
        <w:t>- Implement document expiry monitoring</w:t>
      </w:r>
    </w:p>
    <w:p>
      <w:pPr>
        <w:keepNext/>
        <w:spacing w:before="140" w:after="60"/>
        <w:outlineLvl w:val="3"/>
      </w:pPr>
      <w:r>
        <w:rPr>
          <w:rFonts w:ascii="Arial" w:hAnsi="Arial" w:cs="Arial"/>
          <w:b/>
          <w:i/>
          <w:color w:val="333333"/>
          <w:sz w:val="22"/>
        </w:rPr>
        <w:t>6.7.12.2 Frontend Components</w:t>
      </w:r>
    </w:p>
    <w:p>
      <w:pPr>
        <w:spacing w:after="80" w:line="293" w:lineRule="auto"/>
        <w:ind w:left="283"/>
        <w:jc w:val="left"/>
      </w:pPr>
      <w:r>
        <w:rPr>
          <w:rFonts w:ascii="Times New Roman" w:hAnsi="Times New Roman" w:cs="Times New Roman"/>
          <w:b w:val="0"/>
          <w:i w:val="0"/>
          <w:sz w:val="22"/>
        </w:rPr>
        <w:t>- Build Document Requirements checklist component</w:t>
      </w:r>
    </w:p>
    <w:p>
      <w:pPr>
        <w:spacing w:after="80" w:line="293" w:lineRule="auto"/>
        <w:ind w:left="283"/>
        <w:jc w:val="left"/>
      </w:pPr>
      <w:r>
        <w:rPr>
          <w:rFonts w:ascii="Times New Roman" w:hAnsi="Times New Roman" w:cs="Times New Roman"/>
          <w:b w:val="0"/>
          <w:i w:val="0"/>
          <w:sz w:val="22"/>
        </w:rPr>
        <w:t>- Build Document Format &amp; Language component</w:t>
      </w:r>
    </w:p>
    <w:p>
      <w:pPr>
        <w:spacing w:after="80" w:line="293" w:lineRule="auto"/>
        <w:ind w:left="283"/>
        <w:jc w:val="left"/>
      </w:pPr>
      <w:r>
        <w:rPr>
          <w:rFonts w:ascii="Times New Roman" w:hAnsi="Times New Roman" w:cs="Times New Roman"/>
          <w:b w:val="0"/>
          <w:i w:val="0"/>
          <w:sz w:val="22"/>
        </w:rPr>
        <w:t>- Build Document Status tracking component</w:t>
      </w:r>
    </w:p>
    <w:p>
      <w:pPr>
        <w:spacing w:after="80" w:line="293" w:lineRule="auto"/>
        <w:ind w:left="283"/>
        <w:jc w:val="left"/>
      </w:pPr>
      <w:r>
        <w:rPr>
          <w:rFonts w:ascii="Times New Roman" w:hAnsi="Times New Roman" w:cs="Times New Roman"/>
          <w:b w:val="0"/>
          <w:i w:val="0"/>
          <w:sz w:val="22"/>
        </w:rPr>
        <w:t>- Build Document Upload component with verification progress</w:t>
      </w:r>
    </w:p>
    <w:p>
      <w:pPr>
        <w:spacing w:after="80" w:line="293" w:lineRule="auto"/>
        <w:ind w:left="283"/>
        <w:jc w:val="left"/>
      </w:pPr>
      <w:r>
        <w:rPr>
          <w:rFonts w:ascii="Times New Roman" w:hAnsi="Times New Roman" w:cs="Times New Roman"/>
          <w:b w:val="0"/>
          <w:i w:val="0"/>
          <w:sz w:val="22"/>
        </w:rPr>
        <w:t>- Build Document Verification Results display</w:t>
      </w:r>
    </w:p>
    <w:p>
      <w:pPr>
        <w:spacing w:after="80" w:line="293" w:lineRule="auto"/>
        <w:ind w:left="283"/>
        <w:jc w:val="left"/>
      </w:pPr>
      <w:r>
        <w:rPr>
          <w:rFonts w:ascii="Times New Roman" w:hAnsi="Times New Roman" w:cs="Times New Roman"/>
          <w:b w:val="0"/>
          <w:i w:val="0"/>
          <w:sz w:val="22"/>
        </w:rPr>
        <w:t>- Build Fraud Alert display</w:t>
      </w:r>
    </w:p>
    <w:p>
      <w:pPr>
        <w:spacing w:after="80" w:line="293" w:lineRule="auto"/>
        <w:ind w:left="283"/>
        <w:jc w:val="left"/>
      </w:pPr>
      <w:r>
        <w:rPr>
          <w:rFonts w:ascii="Times New Roman" w:hAnsi="Times New Roman" w:cs="Times New Roman"/>
          <w:b w:val="0"/>
          <w:i w:val="0"/>
          <w:sz w:val="22"/>
        </w:rPr>
        <w:t>- Build Document Expiry warning component</w:t>
      </w:r>
    </w:p>
    <w:p>
      <w:pPr>
        <w:keepNext/>
        <w:spacing w:before="140" w:after="60"/>
        <w:outlineLvl w:val="3"/>
      </w:pPr>
      <w:r>
        <w:rPr>
          <w:rFonts w:ascii="Arial" w:hAnsi="Arial" w:cs="Arial"/>
          <w:b/>
          <w:i/>
          <w:color w:val="333333"/>
          <w:sz w:val="22"/>
        </w:rPr>
        <w:t>6.7.12.3 RIA Integration</w:t>
      </w:r>
    </w:p>
    <w:p>
      <w:pPr>
        <w:spacing w:after="80" w:line="293" w:lineRule="auto"/>
        <w:ind w:left="283"/>
        <w:jc w:val="left"/>
      </w:pPr>
      <w:r>
        <w:rPr>
          <w:rFonts w:ascii="Times New Roman" w:hAnsi="Times New Roman" w:cs="Times New Roman"/>
          <w:b w:val="0"/>
          <w:i w:val="0"/>
          <w:sz w:val="22"/>
        </w:rPr>
        <w:t>- Implement document pre-selection from RIA</w:t>
      </w:r>
    </w:p>
    <w:p>
      <w:pPr>
        <w:spacing w:after="80" w:line="293" w:lineRule="auto"/>
        <w:ind w:left="283"/>
        <w:jc w:val="left"/>
      </w:pPr>
      <w:r>
        <w:rPr>
          <w:rFonts w:ascii="Times New Roman" w:hAnsi="Times New Roman" w:cs="Times New Roman"/>
          <w:b w:val="0"/>
          <w:i w:val="0"/>
          <w:sz w:val="22"/>
        </w:rPr>
        <w:t>- Implement document triggers lookup</w:t>
      </w:r>
    </w:p>
    <w:p>
      <w:pPr>
        <w:spacing w:after="80" w:line="293" w:lineRule="auto"/>
        <w:ind w:left="283"/>
        <w:jc w:val="left"/>
      </w:pPr>
      <w:r>
        <w:rPr>
          <w:rFonts w:ascii="Times New Roman" w:hAnsi="Times New Roman" w:cs="Times New Roman"/>
          <w:b w:val="0"/>
          <w:i w:val="0"/>
          <w:sz w:val="22"/>
        </w:rPr>
        <w:t>- Implement document format requirements per jurisdiction</w:t>
      </w:r>
    </w:p>
    <w:p>
      <w:pPr>
        <w:spacing w:after="80" w:line="293" w:lineRule="auto"/>
        <w:ind w:left="283"/>
        <w:jc w:val="left"/>
      </w:pPr>
      <w:r>
        <w:rPr>
          <w:rFonts w:ascii="Times New Roman" w:hAnsi="Times New Roman" w:cs="Times New Roman"/>
          <w:b w:val="0"/>
          <w:i w:val="0"/>
          <w:sz w:val="22"/>
        </w:rPr>
        <w:t>- Implement source regulation tracking</w:t>
      </w:r>
    </w:p>
    <w:p>
      <w:pPr>
        <w:keepNext/>
        <w:spacing w:before="140" w:after="60"/>
        <w:outlineLvl w:val="3"/>
      </w:pPr>
      <w:r>
        <w:rPr>
          <w:rFonts w:ascii="Arial" w:hAnsi="Arial" w:cs="Arial"/>
          <w:b/>
          <w:i/>
          <w:color w:val="333333"/>
          <w:sz w:val="22"/>
        </w:rPr>
        <w:t>6.7.12.4 Document Service Integration</w:t>
      </w:r>
    </w:p>
    <w:p>
      <w:pPr>
        <w:spacing w:after="80" w:line="293" w:lineRule="auto"/>
        <w:ind w:left="283"/>
        <w:jc w:val="left"/>
      </w:pPr>
      <w:r>
        <w:rPr>
          <w:rFonts w:ascii="Times New Roman" w:hAnsi="Times New Roman" w:cs="Times New Roman"/>
          <w:b w:val="0"/>
          <w:i w:val="0"/>
          <w:sz w:val="22"/>
        </w:rPr>
        <w:t>- Integrate with Document Service for uploads</w:t>
      </w:r>
    </w:p>
    <w:p>
      <w:pPr>
        <w:spacing w:after="80" w:line="293" w:lineRule="auto"/>
        <w:ind w:left="283"/>
        <w:jc w:val="left"/>
      </w:pPr>
      <w:r>
        <w:rPr>
          <w:rFonts w:ascii="Times New Roman" w:hAnsi="Times New Roman" w:cs="Times New Roman"/>
          <w:b w:val="0"/>
          <w:i w:val="0"/>
          <w:sz w:val="22"/>
        </w:rPr>
        <w:t>- Integrate with Verification Service for AI verification</w:t>
      </w:r>
    </w:p>
    <w:p>
      <w:pPr>
        <w:spacing w:after="80" w:line="293" w:lineRule="auto"/>
        <w:ind w:left="283"/>
        <w:jc w:val="left"/>
      </w:pPr>
      <w:r>
        <w:rPr>
          <w:rFonts w:ascii="Times New Roman" w:hAnsi="Times New Roman" w:cs="Times New Roman"/>
          <w:b w:val="0"/>
          <w:i w:val="0"/>
          <w:sz w:val="22"/>
        </w:rPr>
        <w:t>- Integrate with Fraud Detection Service</w:t>
      </w:r>
    </w:p>
    <w:p>
      <w:pPr>
        <w:spacing w:after="80" w:line="293" w:lineRule="auto"/>
        <w:ind w:left="283"/>
        <w:jc w:val="left"/>
      </w:pPr>
      <w:r>
        <w:rPr>
          <w:rFonts w:ascii="Times New Roman" w:hAnsi="Times New Roman" w:cs="Times New Roman"/>
          <w:b w:val="0"/>
          <w:i w:val="0"/>
          <w:sz w:val="22"/>
        </w:rPr>
        <w:t>- Integrate with Notification Service for document expiry alerts</w:t>
      </w:r>
    </w:p>
    <w:p>
      <w:pPr>
        <w:keepNext/>
        <w:spacing w:before="140" w:after="60"/>
        <w:outlineLvl w:val="3"/>
      </w:pPr>
      <w:r>
        <w:rPr>
          <w:rFonts w:ascii="Arial" w:hAnsi="Arial" w:cs="Arial"/>
          <w:b/>
          <w:i/>
          <w:color w:val="333333"/>
          <w:sz w:val="22"/>
        </w:rPr>
        <w:t>6.7.12.5 Testing</w:t>
      </w:r>
    </w:p>
    <w:p>
      <w:pPr>
        <w:spacing w:after="80" w:line="293" w:lineRule="auto"/>
        <w:ind w:left="283"/>
        <w:jc w:val="left"/>
      </w:pPr>
      <w:r>
        <w:rPr>
          <w:rFonts w:ascii="Times New Roman" w:hAnsi="Times New Roman" w:cs="Times New Roman"/>
          <w:b w:val="0"/>
          <w:i w:val="0"/>
          <w:sz w:val="22"/>
        </w:rPr>
        <w:t>- Unit tests: document requirement management</w:t>
      </w:r>
    </w:p>
    <w:p>
      <w:pPr>
        <w:spacing w:after="80" w:line="293" w:lineRule="auto"/>
        <w:ind w:left="283"/>
        <w:jc w:val="left"/>
      </w:pPr>
      <w:r>
        <w:rPr>
          <w:rFonts w:ascii="Times New Roman" w:hAnsi="Times New Roman" w:cs="Times New Roman"/>
          <w:b w:val="0"/>
          <w:i w:val="0"/>
          <w:sz w:val="22"/>
        </w:rPr>
        <w:t>- Unit tests: document trigger validation</w:t>
      </w:r>
    </w:p>
    <w:p>
      <w:pPr>
        <w:spacing w:after="80" w:line="293" w:lineRule="auto"/>
        <w:ind w:left="283"/>
        <w:jc w:val="left"/>
      </w:pPr>
      <w:r>
        <w:rPr>
          <w:rFonts w:ascii="Times New Roman" w:hAnsi="Times New Roman" w:cs="Times New Roman"/>
          <w:b w:val="0"/>
          <w:i w:val="0"/>
          <w:sz w:val="22"/>
        </w:rPr>
        <w:t>- Unit tests: document format validation</w:t>
      </w:r>
    </w:p>
    <w:p>
      <w:pPr>
        <w:spacing w:after="80" w:line="293" w:lineRule="auto"/>
        <w:ind w:left="283"/>
        <w:jc w:val="left"/>
      </w:pPr>
      <w:r>
        <w:rPr>
          <w:rFonts w:ascii="Times New Roman" w:hAnsi="Times New Roman" w:cs="Times New Roman"/>
          <w:b w:val="0"/>
          <w:i w:val="0"/>
          <w:sz w:val="22"/>
        </w:rPr>
        <w:t>- Integration tests: document pre-selection → upload → verification</w:t>
      </w:r>
    </w:p>
    <w:p>
      <w:pPr>
        <w:spacing w:after="80" w:line="293" w:lineRule="auto"/>
        <w:ind w:left="283"/>
        <w:jc w:val="left"/>
      </w:pPr>
      <w:r>
        <w:rPr>
          <w:rFonts w:ascii="Times New Roman" w:hAnsi="Times New Roman" w:cs="Times New Roman"/>
          <w:b w:val="0"/>
          <w:i w:val="0"/>
          <w:sz w:val="22"/>
        </w:rPr>
        <w:t>- Integration tests: fraud detection alerts</w:t>
      </w:r>
    </w:p>
    <w:p>
      <w:pPr>
        <w:spacing w:after="80" w:line="293" w:lineRule="auto"/>
        <w:ind w:left="283"/>
        <w:jc w:val="left"/>
      </w:pPr>
      <w:r>
        <w:rPr>
          <w:rFonts w:ascii="Times New Roman" w:hAnsi="Times New Roman" w:cs="Times New Roman"/>
          <w:b w:val="0"/>
          <w:i w:val="0"/>
          <w:sz w:val="22"/>
        </w:rPr>
        <w:t>- End-to-end tests: full document lifecycle</w:t>
      </w:r>
    </w:p>
    <w:p>
      <w:pPr>
        <w:keepNext/>
        <w:spacing w:before="180" w:after="80"/>
        <w:outlineLvl w:val="2"/>
      </w:pPr>
      <w:r>
        <w:rPr>
          <w:rFonts w:ascii="Arial" w:hAnsi="Arial" w:cs="Arial"/>
          <w:b/>
          <w:i w:val="0"/>
          <w:color w:val="333333"/>
          <w:sz w:val="23"/>
        </w:rPr>
        <w:t>6.7.13 AI Authority Summary (Documentation)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Documentation Application</w:t>
            </w:r>
          </w:p>
        </w:tc>
      </w:tr>
      <w:tr>
        <w:tc>
          <w:tcPr>
            <w:tcW w:type="dxa" w:w="3213"/>
          </w:tcPr>
          <w:p>
            <w:pPr>
              <w:spacing w:after="20" w:before="20" w:line="240" w:lineRule="auto"/>
            </w:pPr>
            <w:r/>
            <w:r>
              <w:rPr>
                <w:rFonts w:ascii="Arial" w:hAnsi="Arial" w:cs="Arial"/>
                <w:b w:val="0"/>
                <w:i w:val="0"/>
                <w:sz w:val="17"/>
              </w:rPr>
              <w:t>A2 (RIA)</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Mandatory document pre-selection by commodity, origin, destination, incoterm</w:t>
            </w:r>
          </w:p>
        </w:tc>
      </w:tr>
      <w:tr>
        <w:tc>
          <w:tcPr>
            <w:tcW w:type="dxa" w:w="3213"/>
          </w:tcPr>
          <w:p>
            <w:pPr>
              <w:spacing w:after="20" w:before="20" w:line="240" w:lineRule="auto"/>
            </w:pPr>
            <w:r/>
            <w:r>
              <w:rPr>
                <w:rFonts w:ascii="Arial" w:hAnsi="Arial" w:cs="Arial"/>
                <w:b w:val="0"/>
                <w:i w:val="0"/>
                <w:sz w:val="17"/>
              </w:rPr>
              <w:t>A2 (HF Donut)</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Document verification (OCR + NLP field extraction, metadata checks) and fraud detection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Plain-language explanations of document requirements</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Mandatory document presence at submission and at each trigger</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6.8 Special Trade Instructions</w:t>
      </w:r>
    </w:p>
    <w:p>
      <w:pPr>
        <w:keepNext/>
        <w:spacing w:before="180" w:after="80"/>
        <w:outlineLvl w:val="2"/>
      </w:pPr>
      <w:r>
        <w:rPr>
          <w:rFonts w:ascii="Arial" w:hAnsi="Arial" w:cs="Arial"/>
          <w:b/>
          <w:i w:val="0"/>
          <w:color w:val="333333"/>
          <w:sz w:val="23"/>
        </w:rPr>
        <w:t>6.8.1 Purpose &amp; Design Philosophy</w:t>
      </w:r>
    </w:p>
    <w:p>
      <w:pPr>
        <w:spacing w:after="80" w:line="293" w:lineRule="auto"/>
        <w:jc w:val="left"/>
      </w:pPr>
      <w:r>
        <w:rPr>
          <w:rFonts w:ascii="Times New Roman" w:hAnsi="Times New Roman" w:cs="Times New Roman"/>
          <w:b w:val="0"/>
          <w:i w:val="0"/>
          <w:sz w:val="22"/>
        </w:rPr>
        <w:t>The Special Trade Instructions section is a dedicated, structured free-text field that captures the nuanced, non-standard, and often critical requirements that define real-world trade transactions. Structured fields are perfect for machine-readable data; special instructions capture the human element — the specific conditions, certifications, handling requirements, and operational details that make each trade unique.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Free-text with intelligence — while it is a free-text field, AI (A1, Groq) assists by suggesting common</w:t>
      </w:r>
    </w:p>
    <w:p>
      <w:pPr>
        <w:spacing w:after="80" w:line="293" w:lineRule="auto"/>
        <w:jc w:val="left"/>
      </w:pPr>
      <w:r>
        <w:rPr>
          <w:rFonts w:ascii="Times New Roman" w:hAnsi="Times New Roman" w:cs="Times New Roman"/>
          <w:b w:val="0"/>
          <w:i w:val="0"/>
          <w:sz w:val="22"/>
        </w:rPr>
        <w:t>instructions and flagging potential issues.</w:t>
      </w:r>
    </w:p>
    <w:p>
      <w:pPr>
        <w:spacing w:after="80" w:line="293" w:lineRule="auto"/>
        <w:ind w:left="283"/>
        <w:jc w:val="left"/>
      </w:pPr>
      <w:r>
        <w:rPr>
          <w:rFonts w:ascii="Times New Roman" w:hAnsi="Times New Roman" w:cs="Times New Roman"/>
          <w:b w:val="0"/>
          <w:i w:val="0"/>
          <w:sz w:val="22"/>
        </w:rPr>
        <w:t>- Structured extraction — even in free-text, AI (A2, HF local) extracts key requirements and maps them to</w:t>
      </w:r>
    </w:p>
    <w:p>
      <w:pPr>
        <w:spacing w:after="80" w:line="293" w:lineRule="auto"/>
        <w:jc w:val="left"/>
      </w:pPr>
      <w:r>
        <w:rPr>
          <w:rFonts w:ascii="Times New Roman" w:hAnsi="Times New Roman" w:cs="Times New Roman"/>
          <w:b w:val="0"/>
          <w:i w:val="0"/>
          <w:sz w:val="22"/>
        </w:rPr>
        <w:t>structured fields where possible.</w:t>
      </w:r>
    </w:p>
    <w:p>
      <w:pPr>
        <w:spacing w:after="80" w:line="293" w:lineRule="auto"/>
        <w:ind w:left="283"/>
        <w:jc w:val="left"/>
      </w:pPr>
      <w:r>
        <w:rPr>
          <w:rFonts w:ascii="Times New Roman" w:hAnsi="Times New Roman" w:cs="Times New Roman"/>
          <w:b w:val="0"/>
          <w:i w:val="0"/>
          <w:sz w:val="22"/>
        </w:rPr>
        <w:t>- Operational criticality — special instructions are often the most critical operational details; they must</w:t>
      </w:r>
    </w:p>
    <w:p>
      <w:pPr>
        <w:spacing w:after="80" w:line="293" w:lineRule="auto"/>
        <w:jc w:val="left"/>
      </w:pPr>
      <w:r>
        <w:rPr>
          <w:rFonts w:ascii="Times New Roman" w:hAnsi="Times New Roman" w:cs="Times New Roman"/>
          <w:b w:val="0"/>
          <w:i w:val="0"/>
          <w:sz w:val="22"/>
        </w:rPr>
        <w:t>be visible to all parties and flow through to logistics, customs, and settlement.</w:t>
      </w:r>
    </w:p>
    <w:p>
      <w:pPr>
        <w:spacing w:after="80" w:line="293" w:lineRule="auto"/>
        <w:ind w:left="283"/>
        <w:jc w:val="left"/>
      </w:pPr>
      <w:r>
        <w:rPr>
          <w:rFonts w:ascii="Times New Roman" w:hAnsi="Times New Roman" w:cs="Times New Roman"/>
          <w:b w:val="0"/>
          <w:i w:val="0"/>
          <w:sz w:val="22"/>
        </w:rPr>
        <w:t>- Non-marketplace — never suggests alternative counterparties or service providers; only assists with the</w:t>
      </w:r>
    </w:p>
    <w:p>
      <w:pPr>
        <w:spacing w:after="80" w:line="293" w:lineRule="auto"/>
        <w:jc w:val="left"/>
      </w:pPr>
      <w:r>
        <w:rPr>
          <w:rFonts w:ascii="Times New Roman" w:hAnsi="Times New Roman" w:cs="Times New Roman"/>
          <w:b w:val="0"/>
          <w:i w:val="0"/>
          <w:sz w:val="22"/>
        </w:rPr>
        <w:t>buyer's stated requirements.</w:t>
      </w:r>
    </w:p>
    <w:p>
      <w:pPr>
        <w:spacing w:after="80" w:line="293" w:lineRule="auto"/>
        <w:jc w:val="left"/>
      </w:pPr>
      <w:r>
        <w:rPr>
          <w:rFonts w:ascii="Times New Roman" w:hAnsi="Times New Roman" w:cs="Times New Roman"/>
          <w:b w:val="0"/>
          <w:i w:val="0"/>
          <w:sz w:val="22"/>
        </w:rPr>
        <w:t>Common special instructions (real-world examples): Arabic labels mandatory on all cartons; no wooden pallets (ISPM 15 compliant only); Halal certification required; temperature logger required in each container; original Bill of Lading to be sent by courier to the buyer's office; inspection must be witnessed by the buyer's representative; arbitration DIFC-LCIA (Dubai International Financial Centre – London Court of International Arbitration), Dubai.</w:t>
      </w:r>
    </w:p>
    <w:p>
      <w:pPr>
        <w:spacing w:after="80" w:line="293" w:lineRule="auto"/>
        <w:jc w:val="left"/>
      </w:pPr>
      <w:r>
        <w:rPr>
          <w:rFonts w:ascii="Times New Roman" w:hAnsi="Times New Roman" w:cs="Times New Roman"/>
          <w:b w:val="0"/>
          <w:i w:val="0"/>
          <w:sz w:val="22"/>
        </w:rPr>
        <w:t>AI authority in this section: A1 (Groq) suggestion generation; A2 (HF local) structured extraction and categorisation; A4 (WasmEdge) conflict detection.</w:t>
      </w:r>
    </w:p>
    <w:p>
      <w:pPr>
        <w:keepNext/>
        <w:spacing w:before="180" w:after="80"/>
        <w:outlineLvl w:val="2"/>
      </w:pPr>
      <w:r>
        <w:rPr>
          <w:rFonts w:ascii="Arial" w:hAnsi="Arial" w:cs="Arial"/>
          <w:b/>
          <w:i w:val="0"/>
          <w:color w:val="333333"/>
          <w:sz w:val="23"/>
        </w:rPr>
        <w:t>6.8.2 UI — Special Trade Instructions Section</w:t>
      </w:r>
    </w:p>
    <w:p>
      <w:pPr>
        <w:keepNext/>
        <w:spacing w:before="140" w:after="60"/>
        <w:outlineLvl w:val="3"/>
      </w:pPr>
      <w:r>
        <w:rPr>
          <w:rFonts w:ascii="Arial" w:hAnsi="Arial" w:cs="Arial"/>
          <w:b/>
          <w:i/>
          <w:color w:val="333333"/>
          <w:sz w:val="22"/>
        </w:rPr>
        <w:t>6.8.2.1 Complete UI Example</w:t>
      </w:r>
    </w:p>
    <w:p>
      <w:pPr>
        <w:spacing w:after="0" w:before="0" w:line="240" w:lineRule="auto"/>
        <w:ind w:left="57"/>
        <w:jc w:val="left"/>
        <w:shd w:val="clear" w:fill="F2F2F2"/>
      </w:pPr>
      <w:r>
        <w:rPr>
          <w:rFonts w:ascii="Consolas" w:hAnsi="Consolas" w:cs="Consolas"/>
          <w:b w:val="0"/>
          <w:i w:val="0"/>
          <w:sz w:val="15"/>
        </w:rPr>
        <w:t>6. SPECIAL TRADE INSTRUCTIONS</w:t>
      </w:r>
    </w:p>
    <w:p>
      <w:pPr>
        <w:spacing w:after="0" w:before="0" w:line="240" w:lineRule="auto"/>
        <w:ind w:left="57"/>
        <w:jc w:val="left"/>
        <w:shd w:val="clear" w:fill="F2F2F2"/>
      </w:pPr>
      <w:r>
        <w:rPr>
          <w:rFonts w:ascii="Consolas" w:hAnsi="Consolas" w:cs="Consolas"/>
          <w:b w:val="0"/>
          <w:i w:val="0"/>
          <w:sz w:val="15"/>
        </w:rPr>
        <w:t xml:space="preserve">  Add any specific requirements, conditions, or operational notes for this</w:t>
      </w:r>
    </w:p>
    <w:p>
      <w:pPr>
        <w:spacing w:after="0" w:before="0" w:line="240" w:lineRule="auto"/>
        <w:ind w:left="57"/>
        <w:jc w:val="left"/>
        <w:shd w:val="clear" w:fill="F2F2F2"/>
      </w:pPr>
      <w:r>
        <w:rPr>
          <w:rFonts w:ascii="Consolas" w:hAnsi="Consolas" w:cs="Consolas"/>
          <w:b w:val="0"/>
          <w:i w:val="0"/>
          <w:sz w:val="15"/>
        </w:rPr>
        <w:t xml:space="preserve">  trade. These instructions will be visible to the seller, logistics</w:t>
      </w:r>
    </w:p>
    <w:p>
      <w:pPr>
        <w:spacing w:after="0" w:before="0" w:line="240" w:lineRule="auto"/>
        <w:ind w:left="57"/>
        <w:jc w:val="left"/>
        <w:shd w:val="clear" w:fill="F2F2F2"/>
      </w:pPr>
      <w:r>
        <w:rPr>
          <w:rFonts w:ascii="Consolas" w:hAnsi="Consolas" w:cs="Consolas"/>
          <w:b w:val="0"/>
          <w:i w:val="0"/>
          <w:sz w:val="15"/>
        </w:rPr>
        <w:t xml:space="preserve">  providers, customs, and other relevant parties.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 Suggestions (based on product and destination):</w:t>
      </w:r>
    </w:p>
    <w:p>
      <w:pPr>
        <w:spacing w:after="0" w:before="0" w:line="240" w:lineRule="auto"/>
        <w:ind w:left="57"/>
        <w:jc w:val="left"/>
        <w:shd w:val="clear" w:fill="F2F2F2"/>
      </w:pPr>
      <w:r>
        <w:rPr>
          <w:rFonts w:ascii="Consolas" w:hAnsi="Consolas" w:cs="Consolas"/>
          <w:b w:val="0"/>
          <w:i w:val="0"/>
          <w:sz w:val="15"/>
        </w:rPr>
        <w:t xml:space="preserve">  • Halal certification required for food products to UAE</w:t>
      </w:r>
    </w:p>
    <w:p>
      <w:pPr>
        <w:spacing w:after="0" w:before="0" w:line="240" w:lineRule="auto"/>
        <w:ind w:left="57"/>
        <w:jc w:val="left"/>
        <w:shd w:val="clear" w:fill="F2F2F2"/>
      </w:pPr>
      <w:r>
        <w:rPr>
          <w:rFonts w:ascii="Consolas" w:hAnsi="Consolas" w:cs="Consolas"/>
          <w:b w:val="0"/>
          <w:i w:val="0"/>
          <w:sz w:val="15"/>
        </w:rPr>
        <w:t xml:space="preserve">  • Temperature logger required for perishable goods</w:t>
      </w:r>
    </w:p>
    <w:p>
      <w:pPr>
        <w:spacing w:after="0" w:before="0" w:line="240" w:lineRule="auto"/>
        <w:ind w:left="57"/>
        <w:jc w:val="left"/>
        <w:shd w:val="clear" w:fill="F2F2F2"/>
      </w:pPr>
      <w:r>
        <w:rPr>
          <w:rFonts w:ascii="Consolas" w:hAnsi="Consolas" w:cs="Consolas"/>
          <w:b w:val="0"/>
          <w:i w:val="0"/>
          <w:sz w:val="15"/>
        </w:rPr>
        <w:t xml:space="preserve">  • Original documents required for customs clearance</w:t>
      </w:r>
    </w:p>
    <w:p>
      <w:pPr>
        <w:spacing w:after="0" w:before="0" w:line="240" w:lineRule="auto"/>
        <w:ind w:left="57"/>
        <w:jc w:val="left"/>
        <w:shd w:val="clear" w:fill="F2F2F2"/>
      </w:pPr>
      <w:r>
        <w:rPr>
          <w:rFonts w:ascii="Consolas" w:hAnsi="Consolas" w:cs="Consolas"/>
          <w:b w:val="0"/>
          <w:i w:val="0"/>
          <w:sz w:val="15"/>
        </w:rPr>
        <w:t xml:space="preserve">  • Arabic labels mandatory for consumer products</w:t>
      </w:r>
    </w:p>
    <w:p>
      <w:pPr>
        <w:spacing w:after="0" w:before="0" w:line="240" w:lineRule="auto"/>
        <w:ind w:left="57"/>
        <w:jc w:val="left"/>
        <w:shd w:val="clear" w:fill="F2F2F2"/>
      </w:pPr>
      <w:r>
        <w:rPr>
          <w:rFonts w:ascii="Consolas" w:hAnsi="Consolas" w:cs="Consolas"/>
          <w:b w:val="0"/>
          <w:i w:val="0"/>
          <w:sz w:val="15"/>
        </w:rPr>
        <w:t xml:space="preserve">  [Apply Suggestion] [Dismiss]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Arabic labels mandatory on all cartons.                            │</w:t>
      </w:r>
    </w:p>
    <w:p>
      <w:pPr>
        <w:spacing w:after="0" w:before="0" w:line="240" w:lineRule="auto"/>
        <w:ind w:left="57"/>
        <w:jc w:val="left"/>
        <w:shd w:val="clear" w:fill="F2F2F2"/>
      </w:pPr>
      <w:r>
        <w:rPr>
          <w:rFonts w:ascii="Consolas" w:hAnsi="Consolas" w:cs="Consolas"/>
          <w:b w:val="0"/>
          <w:i w:val="0"/>
          <w:sz w:val="15"/>
        </w:rPr>
        <w:t xml:space="preserve">  │ No wooden pallets (ISPM 15 compliant only).                        │</w:t>
      </w:r>
    </w:p>
    <w:p>
      <w:pPr>
        <w:spacing w:after="0" w:before="0" w:line="240" w:lineRule="auto"/>
        <w:ind w:left="57"/>
        <w:jc w:val="left"/>
        <w:shd w:val="clear" w:fill="F2F2F2"/>
      </w:pPr>
      <w:r>
        <w:rPr>
          <w:rFonts w:ascii="Consolas" w:hAnsi="Consolas" w:cs="Consolas"/>
          <w:b w:val="0"/>
          <w:i w:val="0"/>
          <w:sz w:val="15"/>
        </w:rPr>
        <w:t xml:space="preserve">  │ Halal certification required.                                      │</w:t>
      </w:r>
    </w:p>
    <w:p>
      <w:pPr>
        <w:spacing w:after="0" w:before="0" w:line="240" w:lineRule="auto"/>
        <w:ind w:left="57"/>
        <w:jc w:val="left"/>
        <w:shd w:val="clear" w:fill="F2F2F2"/>
      </w:pPr>
      <w:r>
        <w:rPr>
          <w:rFonts w:ascii="Consolas" w:hAnsi="Consolas" w:cs="Consolas"/>
          <w:b w:val="0"/>
          <w:i w:val="0"/>
          <w:sz w:val="15"/>
        </w:rPr>
        <w:t xml:space="preserve">  │ Temperature logger required in each container.                     │</w:t>
      </w:r>
    </w:p>
    <w:p>
      <w:pPr>
        <w:spacing w:after="0" w:before="0" w:line="240" w:lineRule="auto"/>
        <w:ind w:left="57"/>
        <w:jc w:val="left"/>
        <w:shd w:val="clear" w:fill="F2F2F2"/>
      </w:pPr>
      <w:r>
        <w:rPr>
          <w:rFonts w:ascii="Consolas" w:hAnsi="Consolas" w:cs="Consolas"/>
          <w:b w:val="0"/>
          <w:i w:val="0"/>
          <w:sz w:val="15"/>
        </w:rPr>
        <w:t xml:space="preserve">  │ Original Bill of Lading to be sent by DHL to our office.           │</w:t>
      </w:r>
    </w:p>
    <w:p>
      <w:pPr>
        <w:spacing w:after="0" w:before="0" w:line="240" w:lineRule="auto"/>
        <w:ind w:left="57"/>
        <w:jc w:val="left"/>
        <w:shd w:val="clear" w:fill="F2F2F2"/>
      </w:pPr>
      <w:r>
        <w:rPr>
          <w:rFonts w:ascii="Consolas" w:hAnsi="Consolas" w:cs="Consolas"/>
          <w:b w:val="0"/>
          <w:i w:val="0"/>
          <w:sz w:val="15"/>
        </w:rPr>
        <w:t xml:space="preserve">  │ Inspection must be witnessed by buyer's representative.            │</w:t>
      </w:r>
    </w:p>
    <w:p>
      <w:pPr>
        <w:spacing w:after="0" w:before="0" w:line="240" w:lineRule="auto"/>
        <w:ind w:left="57"/>
        <w:jc w:val="left"/>
        <w:shd w:val="clear" w:fill="F2F2F2"/>
      </w:pPr>
      <w:r>
        <w:rPr>
          <w:rFonts w:ascii="Consolas" w:hAnsi="Consolas" w:cs="Consolas"/>
          <w:b w:val="0"/>
          <w:i w:val="0"/>
          <w:sz w:val="15"/>
        </w:rPr>
        <w:t xml:space="preserve">  │ Arbitration: DIFC-LCIA, Dubai.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 Analysis (A2):</w:t>
      </w:r>
    </w:p>
    <w:p>
      <w:pPr>
        <w:spacing w:after="0" w:before="0" w:line="240" w:lineRule="auto"/>
        <w:ind w:left="57"/>
        <w:jc w:val="left"/>
        <w:shd w:val="clear" w:fill="F2F2F2"/>
      </w:pPr>
      <w:r>
        <w:rPr>
          <w:rFonts w:ascii="Consolas" w:hAnsi="Consolas" w:cs="Consolas"/>
          <w:b w:val="0"/>
          <w:i w:val="0"/>
          <w:sz w:val="15"/>
        </w:rPr>
        <w:t xml:space="preserve">  • Labeling:     Arabic labels ✓</w:t>
      </w:r>
    </w:p>
    <w:p>
      <w:pPr>
        <w:spacing w:after="0" w:before="0" w:line="240" w:lineRule="auto"/>
        <w:ind w:left="57"/>
        <w:jc w:val="left"/>
        <w:shd w:val="clear" w:fill="F2F2F2"/>
      </w:pPr>
      <w:r>
        <w:rPr>
          <w:rFonts w:ascii="Consolas" w:hAnsi="Consolas" w:cs="Consolas"/>
          <w:b w:val="0"/>
          <w:i w:val="0"/>
          <w:sz w:val="15"/>
        </w:rPr>
        <w:t xml:space="preserve">  • Packaging:    No wooden pallets (ISPM 15) ✓</w:t>
      </w:r>
    </w:p>
    <w:p>
      <w:pPr>
        <w:spacing w:after="0" w:before="0" w:line="240" w:lineRule="auto"/>
        <w:ind w:left="57"/>
        <w:jc w:val="left"/>
        <w:shd w:val="clear" w:fill="F2F2F2"/>
      </w:pPr>
      <w:r>
        <w:rPr>
          <w:rFonts w:ascii="Consolas" w:hAnsi="Consolas" w:cs="Consolas"/>
          <w:b w:val="0"/>
          <w:i w:val="0"/>
          <w:sz w:val="15"/>
        </w:rPr>
        <w:t xml:space="preserve">  • Certifications: Halal ✓</w:t>
      </w:r>
    </w:p>
    <w:p>
      <w:pPr>
        <w:spacing w:after="0" w:before="0" w:line="240" w:lineRule="auto"/>
        <w:ind w:left="57"/>
        <w:jc w:val="left"/>
        <w:shd w:val="clear" w:fill="F2F2F2"/>
      </w:pPr>
      <w:r>
        <w:rPr>
          <w:rFonts w:ascii="Consolas" w:hAnsi="Consolas" w:cs="Consolas"/>
          <w:b w:val="0"/>
          <w:i w:val="0"/>
          <w:sz w:val="15"/>
        </w:rPr>
        <w:t xml:space="preserve">  • Logistics:    Temperature logger ✓</w:t>
      </w:r>
    </w:p>
    <w:p>
      <w:pPr>
        <w:spacing w:after="0" w:before="0" w:line="240" w:lineRule="auto"/>
        <w:ind w:left="57"/>
        <w:jc w:val="left"/>
        <w:shd w:val="clear" w:fill="F2F2F2"/>
      </w:pPr>
      <w:r>
        <w:rPr>
          <w:rFonts w:ascii="Consolas" w:hAnsi="Consolas" w:cs="Consolas"/>
          <w:b w:val="0"/>
          <w:i w:val="0"/>
          <w:sz w:val="15"/>
        </w:rPr>
        <w:t xml:space="preserve">  • Documentation: Original B/L by DHL ✓</w:t>
      </w:r>
    </w:p>
    <w:p>
      <w:pPr>
        <w:spacing w:after="0" w:before="0" w:line="240" w:lineRule="auto"/>
        <w:ind w:left="57"/>
        <w:jc w:val="left"/>
        <w:shd w:val="clear" w:fill="F2F2F2"/>
      </w:pPr>
      <w:r>
        <w:rPr>
          <w:rFonts w:ascii="Consolas" w:hAnsi="Consolas" w:cs="Consolas"/>
          <w:b w:val="0"/>
          <w:i w:val="0"/>
          <w:sz w:val="15"/>
        </w:rPr>
        <w:t xml:space="preserve">  • Inspection:   Buyer witness ✓</w:t>
      </w:r>
    </w:p>
    <w:p>
      <w:pPr>
        <w:spacing w:after="0" w:before="0" w:line="240" w:lineRule="auto"/>
        <w:ind w:left="57"/>
        <w:jc w:val="left"/>
        <w:shd w:val="clear" w:fill="F2F2F2"/>
      </w:pPr>
      <w:r>
        <w:rPr>
          <w:rFonts w:ascii="Consolas" w:hAnsi="Consolas" w:cs="Consolas"/>
          <w:b w:val="0"/>
          <w:i w:val="0"/>
          <w:sz w:val="15"/>
        </w:rPr>
        <w:t xml:space="preserve">  • Dispute:      DIFC-LCIA, Dubai ✓</w:t>
      </w:r>
    </w:p>
    <w:p>
      <w:pPr>
        <w:spacing w:after="0" w:before="0" w:line="240" w:lineRule="auto"/>
        <w:ind w:left="57"/>
        <w:jc w:val="left"/>
        <w:shd w:val="clear" w:fill="F2F2F2"/>
      </w:pPr>
      <w:r>
        <w:rPr>
          <w:rFonts w:ascii="Consolas" w:hAnsi="Consolas" w:cs="Consolas"/>
          <w:b w:val="0"/>
          <w:i w:val="0"/>
          <w:sz w:val="15"/>
        </w:rPr>
        <w:t xml:space="preserve">  Missing information:</w:t>
      </w:r>
    </w:p>
    <w:p>
      <w:pPr>
        <w:spacing w:after="0" w:before="0" w:line="240" w:lineRule="auto"/>
        <w:ind w:left="57"/>
        <w:jc w:val="left"/>
        <w:shd w:val="clear" w:fill="F2F2F2"/>
      </w:pPr>
      <w:r>
        <w:rPr>
          <w:rFonts w:ascii="Consolas" w:hAnsi="Consolas" w:cs="Consolas"/>
          <w:b w:val="0"/>
          <w:i w:val="0"/>
          <w:sz w:val="15"/>
        </w:rPr>
        <w:t xml:space="preserve">  • Insurance requirements not specified</w:t>
      </w:r>
    </w:p>
    <w:p>
      <w:pPr>
        <w:spacing w:after="0" w:before="0" w:line="240" w:lineRule="auto"/>
        <w:ind w:left="57"/>
        <w:jc w:val="left"/>
        <w:shd w:val="clear" w:fill="F2F2F2"/>
      </w:pPr>
      <w:r>
        <w:rPr>
          <w:rFonts w:ascii="Consolas" w:hAnsi="Consolas" w:cs="Consolas"/>
          <w:b w:val="0"/>
          <w:i w:val="0"/>
          <w:sz w:val="15"/>
        </w:rPr>
        <w:t xml:space="preserve">  • Language requirement not specified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INSTRUCTION CATEGORIES (AI-generated, A2)</w:t>
      </w:r>
    </w:p>
    <w:p>
      <w:pPr>
        <w:spacing w:after="0" w:before="0" w:line="240" w:lineRule="auto"/>
        <w:ind w:left="57"/>
        <w:jc w:val="left"/>
        <w:shd w:val="clear" w:fill="F2F2F2"/>
      </w:pPr>
      <w:r>
        <w:rPr>
          <w:rFonts w:ascii="Consolas" w:hAnsi="Consolas" w:cs="Consolas"/>
          <w:b w:val="0"/>
          <w:i w:val="0"/>
          <w:sz w:val="15"/>
        </w:rPr>
        <w:t xml:space="preserve">    Labeling &amp; Marking    Arabic labels mandatory</w:t>
      </w:r>
    </w:p>
    <w:p>
      <w:pPr>
        <w:spacing w:after="0" w:before="0" w:line="240" w:lineRule="auto"/>
        <w:ind w:left="57"/>
        <w:jc w:val="left"/>
        <w:shd w:val="clear" w:fill="F2F2F2"/>
      </w:pPr>
      <w:r>
        <w:rPr>
          <w:rFonts w:ascii="Consolas" w:hAnsi="Consolas" w:cs="Consolas"/>
          <w:b w:val="0"/>
          <w:i w:val="0"/>
          <w:sz w:val="15"/>
        </w:rPr>
        <w:t xml:space="preserve">    Packaging &amp; Handling  No wooden pallets (ISPM 15 compliant only)</w:t>
      </w:r>
    </w:p>
    <w:p>
      <w:pPr>
        <w:spacing w:after="0" w:before="0" w:line="240" w:lineRule="auto"/>
        <w:ind w:left="57"/>
        <w:jc w:val="left"/>
        <w:shd w:val="clear" w:fill="F2F2F2"/>
      </w:pPr>
      <w:r>
        <w:rPr>
          <w:rFonts w:ascii="Consolas" w:hAnsi="Consolas" w:cs="Consolas"/>
          <w:b w:val="0"/>
          <w:i w:val="0"/>
          <w:sz w:val="15"/>
        </w:rPr>
        <w:t xml:space="preserve">    Certifications        Halal certification required</w:t>
      </w:r>
    </w:p>
    <w:p>
      <w:pPr>
        <w:spacing w:after="0" w:before="0" w:line="240" w:lineRule="auto"/>
        <w:ind w:left="57"/>
        <w:jc w:val="left"/>
        <w:shd w:val="clear" w:fill="F2F2F2"/>
      </w:pPr>
      <w:r>
        <w:rPr>
          <w:rFonts w:ascii="Consolas" w:hAnsi="Consolas" w:cs="Consolas"/>
          <w:b w:val="0"/>
          <w:i w:val="0"/>
          <w:sz w:val="15"/>
        </w:rPr>
        <w:t xml:space="preserve">    Logistics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Documentation         Original Bill of Lading to be sent by DHL</w:t>
      </w:r>
    </w:p>
    <w:p>
      <w:pPr>
        <w:spacing w:after="0" w:before="0" w:line="240" w:lineRule="auto"/>
        <w:ind w:left="57"/>
        <w:jc w:val="left"/>
        <w:shd w:val="clear" w:fill="F2F2F2"/>
      </w:pPr>
      <w:r>
        <w:rPr>
          <w:rFonts w:ascii="Consolas" w:hAnsi="Consolas" w:cs="Consolas"/>
          <w:b w:val="0"/>
          <w:i w:val="0"/>
          <w:sz w:val="15"/>
        </w:rPr>
        <w:t xml:space="preserve">    Inspection            Inspection must be witnessed by buyer's rep</w:t>
      </w:r>
    </w:p>
    <w:p>
      <w:pPr>
        <w:spacing w:after="0" w:before="0" w:line="240" w:lineRule="auto"/>
        <w:ind w:left="57"/>
        <w:jc w:val="left"/>
        <w:shd w:val="clear" w:fill="F2F2F2"/>
      </w:pPr>
      <w:r>
        <w:rPr>
          <w:rFonts w:ascii="Consolas" w:hAnsi="Consolas" w:cs="Consolas"/>
          <w:b w:val="0"/>
          <w:i w:val="0"/>
          <w:sz w:val="15"/>
        </w:rPr>
        <w:t xml:space="preserve">    Dispute &amp; Compliance  Arbitration: DIFC-LCIA, Dubai</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[Add Instruction] [Clear All] [Save as Template]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SAVED TEMPLATES (Buyer-specific)</w:t>
      </w:r>
    </w:p>
    <w:p>
      <w:pPr>
        <w:spacing w:after="0" w:before="0" w:line="240" w:lineRule="auto"/>
        <w:ind w:left="57"/>
        <w:jc w:val="left"/>
        <w:shd w:val="clear" w:fill="F2F2F2"/>
      </w:pPr>
      <w:r>
        <w:rPr>
          <w:rFonts w:ascii="Consolas" w:hAnsi="Consolas" w:cs="Consolas"/>
          <w:b w:val="0"/>
          <w:i w:val="0"/>
          <w:sz w:val="15"/>
        </w:rPr>
        <w:t xml:space="preserve">  • Egypt Import Template (12 instructions)</w:t>
      </w:r>
    </w:p>
    <w:p>
      <w:pPr>
        <w:spacing w:after="0" w:before="0" w:line="240" w:lineRule="auto"/>
        <w:ind w:left="57"/>
        <w:jc w:val="left"/>
        <w:shd w:val="clear" w:fill="F2F2F2"/>
      </w:pPr>
      <w:r>
        <w:rPr>
          <w:rFonts w:ascii="Consolas" w:hAnsi="Consolas" w:cs="Consolas"/>
          <w:b w:val="0"/>
          <w:i w:val="0"/>
          <w:sz w:val="15"/>
        </w:rPr>
        <w:t xml:space="preserve">  • UAE Import Template (8 instructions)</w:t>
      </w:r>
    </w:p>
    <w:p>
      <w:pPr>
        <w:spacing w:after="0" w:before="0" w:line="240" w:lineRule="auto"/>
        <w:ind w:left="57"/>
        <w:jc w:val="left"/>
        <w:shd w:val="clear" w:fill="F2F2F2"/>
      </w:pPr>
      <w:r>
        <w:rPr>
          <w:rFonts w:ascii="Consolas" w:hAnsi="Consolas" w:cs="Consolas"/>
          <w:b w:val="0"/>
          <w:i w:val="0"/>
          <w:sz w:val="15"/>
        </w:rPr>
        <w:t xml:space="preserve">  • Germany Import Template (10 instructions)</w:t>
      </w:r>
    </w:p>
    <w:p>
      <w:pPr>
        <w:spacing w:after="0" w:before="0" w:line="240" w:lineRule="auto"/>
        <w:ind w:left="57"/>
        <w:jc w:val="left"/>
        <w:shd w:val="clear" w:fill="F2F2F2"/>
      </w:pPr>
      <w:r>
        <w:rPr>
          <w:rFonts w:ascii="Consolas" w:hAnsi="Consolas" w:cs="Consolas"/>
          <w:b w:val="0"/>
          <w:i w:val="0"/>
          <w:sz w:val="15"/>
        </w:rPr>
        <w:t xml:space="preserve">  [Load Template] [Manage Templates]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6.8.3 AI-Assisted Suggestion System (A1, Groq)</w:t>
      </w:r>
    </w:p>
    <w:p>
      <w:pPr>
        <w:keepNext/>
        <w:spacing w:before="140" w:after="60"/>
        <w:outlineLvl w:val="3"/>
      </w:pPr>
      <w:r>
        <w:rPr>
          <w:rFonts w:ascii="Arial" w:hAnsi="Arial" w:cs="Arial"/>
          <w:b/>
          <w:i/>
          <w:color w:val="333333"/>
          <w:sz w:val="22"/>
        </w:rPr>
        <w:t>6.8.3.1 Suggestion Generation</w:t>
      </w:r>
    </w:p>
    <w:p>
      <w:pPr>
        <w:spacing w:after="80" w:line="293" w:lineRule="auto"/>
        <w:jc w:val="left"/>
      </w:pPr>
      <w:r>
        <w:rPr>
          <w:rFonts w:ascii="Times New Roman" w:hAnsi="Times New Roman" w:cs="Times New Roman"/>
          <w:b w:val="0"/>
          <w:i w:val="0"/>
          <w:sz w:val="22"/>
        </w:rPr>
        <w:t>The system generates AI suggestions based on: product type (HS code, commodity category); origin country (export regulations, cultural requirements); destination country (import regulations, cultural requirements); incoterm (responsibilities, logistics requirements); transport mode (specific handling requirements); and previous trades (the buyer's historical instructions).</w:t>
      </w:r>
    </w:p>
    <w:p>
      <w:pPr>
        <w:spacing w:after="80" w:line="293" w:lineRule="auto"/>
        <w:jc w:val="left"/>
      </w:pPr>
      <w:r>
        <w:rPr>
          <w:rFonts w:ascii="Times New Roman" w:hAnsi="Times New Roman" w:cs="Times New Roman"/>
          <w:b w:val="0"/>
          <w:i w:val="0"/>
          <w:sz w:val="22"/>
        </w:rPr>
        <w:t>Prompt template:</w:t>
      </w:r>
    </w:p>
    <w:p>
      <w:pPr>
        <w:spacing w:after="0" w:before="0" w:line="240" w:lineRule="auto"/>
        <w:ind w:left="57"/>
        <w:jc w:val="left"/>
        <w:shd w:val="clear" w:fill="F2F2F2"/>
      </w:pPr>
      <w:r>
        <w:rPr>
          <w:rFonts w:ascii="Consolas" w:hAnsi="Consolas" w:cs="Consolas"/>
          <w:b w:val="0"/>
          <w:i w:val="0"/>
          <w:sz w:val="15"/>
        </w:rPr>
        <w:t>Based on the following trade parameters, suggest common special instructions:</w:t>
      </w:r>
    </w:p>
    <w:p>
      <w:pPr>
        <w:spacing w:after="0" w:before="0" w:line="240" w:lineRule="auto"/>
        <w:ind w:left="57"/>
        <w:jc w:val="left"/>
        <w:shd w:val="clear" w:fill="F2F2F2"/>
      </w:pPr>
      <w:r>
        <w:rPr>
          <w:rFonts w:ascii="Consolas" w:hAnsi="Consolas" w:cs="Consolas"/>
          <w:b w:val="0"/>
          <w:i w:val="0"/>
          <w:sz w:val="15"/>
        </w:rPr>
        <w:t>Product: {product_name} (HS {hs_code})</w:t>
      </w:r>
    </w:p>
    <w:p>
      <w:pPr>
        <w:spacing w:after="0" w:before="0" w:line="240" w:lineRule="auto"/>
        <w:ind w:left="57"/>
        <w:jc w:val="left"/>
        <w:shd w:val="clear" w:fill="F2F2F2"/>
      </w:pPr>
      <w:r>
        <w:rPr>
          <w:rFonts w:ascii="Consolas" w:hAnsi="Consolas" w:cs="Consolas"/>
          <w:b w:val="0"/>
          <w:i w:val="0"/>
          <w:sz w:val="15"/>
        </w:rPr>
        <w:t>Origin: {origin_country}</w:t>
      </w:r>
    </w:p>
    <w:p>
      <w:pPr>
        <w:spacing w:after="0" w:before="0" w:line="240" w:lineRule="auto"/>
        <w:ind w:left="57"/>
        <w:jc w:val="left"/>
        <w:shd w:val="clear" w:fill="F2F2F2"/>
      </w:pPr>
      <w:r>
        <w:rPr>
          <w:rFonts w:ascii="Consolas" w:hAnsi="Consolas" w:cs="Consolas"/>
          <w:b w:val="0"/>
          <w:i w:val="0"/>
          <w:sz w:val="15"/>
        </w:rPr>
        <w:t>Destination: {destination_country}</w:t>
      </w:r>
    </w:p>
    <w:p>
      <w:pPr>
        <w:spacing w:after="0" w:before="0" w:line="240" w:lineRule="auto"/>
        <w:ind w:left="57"/>
        <w:jc w:val="left"/>
        <w:shd w:val="clear" w:fill="F2F2F2"/>
      </w:pPr>
      <w:r>
        <w:rPr>
          <w:rFonts w:ascii="Consolas" w:hAnsi="Consolas" w:cs="Consolas"/>
          <w:b w:val="0"/>
          <w:i w:val="0"/>
          <w:sz w:val="15"/>
        </w:rPr>
        <w:t>Incoterm: {incoterm}</w:t>
      </w:r>
    </w:p>
    <w:p>
      <w:pPr>
        <w:spacing w:after="0" w:before="0" w:line="240" w:lineRule="auto"/>
        <w:ind w:left="57"/>
        <w:jc w:val="left"/>
        <w:shd w:val="clear" w:fill="F2F2F2"/>
      </w:pPr>
      <w:r>
        <w:rPr>
          <w:rFonts w:ascii="Consolas" w:hAnsi="Consolas" w:cs="Consolas"/>
          <w:b w:val="0"/>
          <w:i w:val="0"/>
          <w:sz w:val="15"/>
        </w:rPr>
        <w:t>Transport: {transport_mode}</w:t>
      </w:r>
    </w:p>
    <w:p>
      <w:pPr>
        <w:spacing w:after="0" w:before="0" w:line="240" w:lineRule="auto"/>
        <w:ind w:left="57"/>
        <w:jc w:val="left"/>
        <w:shd w:val="clear" w:fill="F2F2F2"/>
      </w:pPr>
      <w:r>
        <w:rPr>
          <w:rFonts w:ascii="Consolas" w:hAnsi="Consolas" w:cs="Consolas"/>
          <w:b w:val="0"/>
          <w:i w:val="0"/>
          <w:sz w:val="15"/>
        </w:rPr>
        <w:t>Generate 5-10 specific, actionable instructions that are commonly used for this</w:t>
      </w:r>
    </w:p>
    <w:p>
      <w:pPr>
        <w:spacing w:after="0" w:before="0" w:line="240" w:lineRule="auto"/>
        <w:ind w:left="57"/>
        <w:jc w:val="left"/>
        <w:shd w:val="clear" w:fill="F2F2F2"/>
      </w:pPr>
      <w:r>
        <w:rPr>
          <w:rFonts w:ascii="Consolas" w:hAnsi="Consolas" w:cs="Consolas"/>
          <w:b w:val="0"/>
          <w:i w:val="0"/>
          <w:sz w:val="15"/>
        </w:rPr>
        <w:t>trade combination. Categorize them by type (Labeling, Packaging, Certifications,</w:t>
      </w:r>
    </w:p>
    <w:p>
      <w:pPr>
        <w:spacing w:after="0" w:before="0" w:line="240" w:lineRule="auto"/>
        <w:ind w:left="57"/>
        <w:jc w:val="left"/>
        <w:shd w:val="clear" w:fill="F2F2F2"/>
      </w:pPr>
      <w:r>
        <w:rPr>
          <w:rFonts w:ascii="Consolas" w:hAnsi="Consolas" w:cs="Consolas"/>
          <w:b w:val="0"/>
          <w:i w:val="0"/>
          <w:sz w:val="15"/>
        </w:rPr>
        <w:t>Logistics, Documentation, Inspection, Dispute). Return as a structured JSON object</w:t>
      </w:r>
    </w:p>
    <w:p>
      <w:pPr>
        <w:spacing w:after="0" w:before="0" w:line="240" w:lineRule="auto"/>
        <w:ind w:left="57"/>
        <w:jc w:val="left"/>
        <w:shd w:val="clear" w:fill="F2F2F2"/>
      </w:pPr>
      <w:r>
        <w:rPr>
          <w:rFonts w:ascii="Consolas" w:hAnsi="Consolas" w:cs="Consolas"/>
          <w:b w:val="0"/>
          <w:i w:val="0"/>
          <w:sz w:val="15"/>
        </w:rPr>
        <w:t>with categories and suggestions.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6.8.3.2 Suggestion Categories</w:t>
      </w:r>
    </w:p>
    <w:p>
      <w:pPr>
        <w:spacing w:after="80" w:line="293" w:lineRule="auto"/>
        <w:jc w:val="left"/>
      </w:pPr>
      <w:r>
        <w:rPr>
          <w:rFonts w:ascii="Times New Roman" w:hAnsi="Times New Roman" w:cs="Times New Roman"/>
          <w:b w:val="0"/>
          <w:i w:val="0"/>
          <w:sz w:val="22"/>
        </w:rPr>
        <w:t>Labeling &amp; Marking · Packaging &amp; Handling · Certifications · Logistics · Documentation · Inspection · Dispute &amp; Compliance.</w:t>
      </w:r>
    </w:p>
    <w:p>
      <w:pPr>
        <w:keepNext/>
        <w:spacing w:before="140" w:after="60"/>
        <w:outlineLvl w:val="3"/>
      </w:pPr>
      <w:r>
        <w:rPr>
          <w:rFonts w:ascii="Arial" w:hAnsi="Arial" w:cs="Arial"/>
          <w:b/>
          <w:i/>
          <w:color w:val="333333"/>
          <w:sz w:val="22"/>
        </w:rPr>
        <w:t>6.8.3.3 Example Suggestions</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fresh oranges (Egypt → Japan):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"suggestions": {</w:t>
      </w:r>
    </w:p>
    <w:p>
      <w:pPr>
        <w:spacing w:after="0" w:before="0" w:line="240" w:lineRule="auto"/>
        <w:ind w:left="57"/>
        <w:jc w:val="left"/>
        <w:shd w:val="clear" w:fill="F2F2F2"/>
      </w:pPr>
      <w:r>
        <w:rPr>
          <w:rFonts w:ascii="Consolas" w:hAnsi="Consolas" w:cs="Consolas"/>
          <w:b w:val="0"/>
          <w:i w:val="0"/>
          <w:sz w:val="15"/>
        </w:rPr>
        <w:t xml:space="preserve">    "labeling": [</w:t>
      </w:r>
    </w:p>
    <w:p>
      <w:pPr>
        <w:spacing w:after="0" w:before="0" w:line="240" w:lineRule="auto"/>
        <w:ind w:left="57"/>
        <w:jc w:val="left"/>
        <w:shd w:val="clear" w:fill="F2F2F2"/>
      </w:pPr>
      <w:r>
        <w:rPr>
          <w:rFonts w:ascii="Consolas" w:hAnsi="Consolas" w:cs="Consolas"/>
          <w:b w:val="0"/>
          <w:i w:val="0"/>
          <w:sz w:val="15"/>
        </w:rPr>
        <w:t xml:space="preserve">      "Japanese-language labels mandatory on all cartons.",</w:t>
      </w:r>
    </w:p>
    <w:p>
      <w:pPr>
        <w:spacing w:after="0" w:before="0" w:line="240" w:lineRule="auto"/>
        <w:ind w:left="57"/>
        <w:jc w:val="left"/>
        <w:shd w:val="clear" w:fill="F2F2F2"/>
      </w:pPr>
      <w:r>
        <w:rPr>
          <w:rFonts w:ascii="Consolas" w:hAnsi="Consolas" w:cs="Consolas"/>
          <w:b w:val="0"/>
          <w:i w:val="0"/>
          <w:sz w:val="15"/>
        </w:rPr>
        <w:t xml:space="preserve">      "Country of origin: 'Product of Egypt' clearly marked.",</w:t>
      </w:r>
    </w:p>
    <w:p>
      <w:pPr>
        <w:spacing w:after="0" w:before="0" w:line="240" w:lineRule="auto"/>
        <w:ind w:left="57"/>
        <w:jc w:val="left"/>
        <w:shd w:val="clear" w:fill="F2F2F2"/>
      </w:pPr>
      <w:r>
        <w:rPr>
          <w:rFonts w:ascii="Consolas" w:hAnsi="Consolas" w:cs="Consolas"/>
          <w:b w:val="0"/>
          <w:i w:val="0"/>
          <w:sz w:val="15"/>
        </w:rPr>
        <w:t xml:space="preserve">      "Barcode (GS1-128) required on each carton."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"packaging": [</w:t>
      </w:r>
    </w:p>
    <w:p>
      <w:pPr>
        <w:spacing w:after="0" w:before="0" w:line="240" w:lineRule="auto"/>
        <w:ind w:left="57"/>
        <w:jc w:val="left"/>
        <w:shd w:val="clear" w:fill="F2F2F2"/>
      </w:pPr>
      <w:r>
        <w:rPr>
          <w:rFonts w:ascii="Consolas" w:hAnsi="Consolas" w:cs="Consolas"/>
          <w:b w:val="0"/>
          <w:i w:val="0"/>
          <w:sz w:val="15"/>
        </w:rPr>
        <w:t xml:space="preserve">      "No wooden pallets (ISPM 15 compliant only).",</w:t>
      </w:r>
    </w:p>
    <w:p>
      <w:pPr>
        <w:spacing w:after="0" w:before="0" w:line="240" w:lineRule="auto"/>
        <w:ind w:left="57"/>
        <w:jc w:val="left"/>
        <w:shd w:val="clear" w:fill="F2F2F2"/>
      </w:pPr>
      <w:r>
        <w:rPr>
          <w:rFonts w:ascii="Consolas" w:hAnsi="Consolas" w:cs="Consolas"/>
          <w:b w:val="0"/>
          <w:i w:val="0"/>
          <w:sz w:val="15"/>
        </w:rPr>
        <w:t xml:space="preserve">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"Humidity indicator cards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"certifications": [</w:t>
      </w:r>
    </w:p>
    <w:p>
      <w:pPr>
        <w:spacing w:after="0" w:before="0" w:line="240" w:lineRule="auto"/>
        <w:ind w:left="57"/>
        <w:jc w:val="left"/>
        <w:shd w:val="clear" w:fill="F2F2F2"/>
      </w:pPr>
      <w:r>
        <w:rPr>
          <w:rFonts w:ascii="Consolas" w:hAnsi="Consolas" w:cs="Consolas"/>
          <w:b w:val="0"/>
          <w:i w:val="0"/>
          <w:sz w:val="15"/>
        </w:rPr>
        <w:t xml:space="preserve">      "Phytosanitary certificate required.",</w:t>
      </w:r>
    </w:p>
    <w:p>
      <w:pPr>
        <w:spacing w:after="0" w:before="0" w:line="240" w:lineRule="auto"/>
        <w:ind w:left="57"/>
        <w:jc w:val="left"/>
        <w:shd w:val="clear" w:fill="F2F2F2"/>
      </w:pPr>
      <w:r>
        <w:rPr>
          <w:rFonts w:ascii="Consolas" w:hAnsi="Consolas" w:cs="Consolas"/>
          <w:b w:val="0"/>
          <w:i w:val="0"/>
          <w:sz w:val="15"/>
        </w:rPr>
        <w:t xml:space="preserve">      "Cold treatment certificate required.",</w:t>
      </w:r>
    </w:p>
    <w:p>
      <w:pPr>
        <w:spacing w:after="0" w:before="0" w:line="240" w:lineRule="auto"/>
        <w:ind w:left="57"/>
        <w:jc w:val="left"/>
        <w:shd w:val="clear" w:fill="F2F2F2"/>
      </w:pPr>
      <w:r>
        <w:rPr>
          <w:rFonts w:ascii="Consolas" w:hAnsi="Consolas" w:cs="Consolas"/>
          <w:b w:val="0"/>
          <w:i w:val="0"/>
          <w:sz w:val="15"/>
        </w:rPr>
        <w:t xml:space="preserve">      "Certificate of Origin (Arab-Egyptian)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"documentation": [</w:t>
      </w:r>
    </w:p>
    <w:p>
      <w:pPr>
        <w:spacing w:after="0" w:before="0" w:line="240" w:lineRule="auto"/>
        <w:ind w:left="57"/>
        <w:jc w:val="left"/>
        <w:shd w:val="clear" w:fill="F2F2F2"/>
      </w:pPr>
      <w:r>
        <w:rPr>
          <w:rFonts w:ascii="Consolas" w:hAnsi="Consolas" w:cs="Consolas"/>
          <w:b w:val="0"/>
          <w:i w:val="0"/>
          <w:sz w:val="15"/>
        </w:rPr>
        <w:t xml:space="preserve">      "Original Bill of Lading to be sent by courier.",</w:t>
      </w:r>
    </w:p>
    <w:p>
      <w:pPr>
        <w:spacing w:after="0" w:before="0" w:line="240" w:lineRule="auto"/>
        <w:ind w:left="57"/>
        <w:jc w:val="left"/>
        <w:shd w:val="clear" w:fill="F2F2F2"/>
      </w:pPr>
      <w:r>
        <w:rPr>
          <w:rFonts w:ascii="Consolas" w:hAnsi="Consolas" w:cs="Consolas"/>
          <w:b w:val="0"/>
          <w:i w:val="0"/>
          <w:sz w:val="15"/>
        </w:rPr>
        <w:t xml:space="preserve">      "Certified translation in Japanese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"inspection": [</w:t>
      </w:r>
    </w:p>
    <w:p>
      <w:pPr>
        <w:spacing w:after="0" w:before="0" w:line="240" w:lineRule="auto"/>
        <w:ind w:left="57"/>
        <w:jc w:val="left"/>
        <w:shd w:val="clear" w:fill="F2F2F2"/>
      </w:pPr>
      <w:r>
        <w:rPr>
          <w:rFonts w:ascii="Consolas" w:hAnsi="Consolas" w:cs="Consolas"/>
          <w:b w:val="0"/>
          <w:i w:val="0"/>
          <w:sz w:val="15"/>
        </w:rPr>
        <w:t xml:space="preserve">      "Third-party inspection (SGS) required.",</w:t>
      </w:r>
    </w:p>
    <w:p>
      <w:pPr>
        <w:spacing w:after="0" w:before="0" w:line="240" w:lineRule="auto"/>
        <w:ind w:left="57"/>
        <w:jc w:val="left"/>
        <w:shd w:val="clear" w:fill="F2F2F2"/>
      </w:pPr>
      <w:r>
        <w:rPr>
          <w:rFonts w:ascii="Consolas" w:hAnsi="Consolas" w:cs="Consolas"/>
          <w:b w:val="0"/>
          <w:i w:val="0"/>
          <w:sz w:val="15"/>
        </w:rPr>
        <w:t xml:space="preserve">      "Inspection must be witnessed by buyer's representative."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6.8.4 Structured Extraction (A2, HF Local)</w:t>
      </w:r>
    </w:p>
    <w:p>
      <w:pPr>
        <w:keepNext/>
        <w:spacing w:before="140" w:after="60"/>
        <w:outlineLvl w:val="3"/>
      </w:pPr>
      <w:r>
        <w:rPr>
          <w:rFonts w:ascii="Arial" w:hAnsi="Arial" w:cs="Arial"/>
          <w:b/>
          <w:i/>
          <w:color w:val="333333"/>
          <w:sz w:val="22"/>
        </w:rPr>
        <w:t>6.8.4.1 Extraction Process</w:t>
      </w:r>
    </w:p>
    <w:p>
      <w:pPr>
        <w:spacing w:after="80" w:line="293" w:lineRule="auto"/>
        <w:jc w:val="left"/>
      </w:pPr>
      <w:r>
        <w:rPr>
          <w:rFonts w:ascii="Times New Roman" w:hAnsi="Times New Roman" w:cs="Times New Roman"/>
          <w:b w:val="0"/>
          <w:i w:val="0"/>
          <w:sz w:val="22"/>
        </w:rPr>
        <w:t>When the buyer enters special instructions, the system automatically extracts structured data: the text is parsed using HF NLP (A2); key entities are extracted — requirements (e.g., "Halal certification"), conditions (e.g., "must be witnessed"), parties (e.g., "buyer's representative"), deadlines (e.g., "within 48 hours"), quantities (e.g., "each container"); instructions are categorised (Labeling, Packaging, Certifications, Logistics, Documentation, Inspection, Dispute); missing information is flagged (e.g., language requirement not specified); and confidence scores are assigned to each extraction.</w:t>
      </w:r>
    </w:p>
    <w:p>
      <w:pPr>
        <w:keepNext/>
        <w:spacing w:before="140" w:after="60"/>
        <w:outlineLvl w:val="3"/>
      </w:pPr>
      <w:r>
        <w:rPr>
          <w:rFonts w:ascii="Arial" w:hAnsi="Arial" w:cs="Arial"/>
          <w:b/>
          <w:i/>
          <w:color w:val="333333"/>
          <w:sz w:val="22"/>
        </w:rPr>
        <w:t>6.8.4.2 Extraction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"raw_text": "Arabic labels mandatory on all cartons. No wooden pallets (ISPM 15 compliant only). Halal certification required.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"structured_instructions":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"category": "Labeling",</w:t>
      </w:r>
    </w:p>
    <w:p>
      <w:pPr>
        <w:spacing w:after="0" w:before="0" w:line="240" w:lineRule="auto"/>
        <w:ind w:left="57"/>
        <w:jc w:val="left"/>
        <w:shd w:val="clear" w:fill="F2F2F2"/>
      </w:pPr>
      <w:r>
        <w:rPr>
          <w:rFonts w:ascii="Consolas" w:hAnsi="Consolas" w:cs="Consolas"/>
          <w:b w:val="0"/>
          <w:i w:val="0"/>
          <w:sz w:val="15"/>
        </w:rPr>
        <w:t xml:space="preserve">      "instruction": "Arabic labels mandatory on all cartons.",</w:t>
      </w:r>
    </w:p>
    <w:p>
      <w:pPr>
        <w:spacing w:after="0" w:before="0" w:line="240" w:lineRule="auto"/>
        <w:ind w:left="57"/>
        <w:jc w:val="left"/>
        <w:shd w:val="clear" w:fill="F2F2F2"/>
      </w:pPr>
      <w:r>
        <w:rPr>
          <w:rFonts w:ascii="Consolas" w:hAnsi="Consolas" w:cs="Consolas"/>
          <w:b w:val="0"/>
          <w:i w:val="0"/>
          <w:sz w:val="15"/>
        </w:rPr>
        <w:t xml:space="preserve">      "confidence": 0.95,</w:t>
      </w:r>
    </w:p>
    <w:p>
      <w:pPr>
        <w:spacing w:after="0" w:before="0" w:line="240" w:lineRule="auto"/>
        <w:ind w:left="57"/>
        <w:jc w:val="left"/>
        <w:shd w:val="clear" w:fill="F2F2F2"/>
      </w:pPr>
      <w:r>
        <w:rPr>
          <w:rFonts w:ascii="Consolas" w:hAnsi="Consolas" w:cs="Consolas"/>
          <w:b w:val="0"/>
          <w:i w:val="0"/>
          <w:sz w:val="15"/>
        </w:rPr>
        <w:t xml:space="preserve">      "entities": { "label_language": "Arabic", "label_location": "all cartons"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"category": "Packaging",</w:t>
      </w:r>
    </w:p>
    <w:p>
      <w:pPr>
        <w:spacing w:after="0" w:before="0" w:line="240" w:lineRule="auto"/>
        <w:ind w:left="57"/>
        <w:jc w:val="left"/>
        <w:shd w:val="clear" w:fill="F2F2F2"/>
      </w:pPr>
      <w:r>
        <w:rPr>
          <w:rFonts w:ascii="Consolas" w:hAnsi="Consolas" w:cs="Consolas"/>
          <w:b w:val="0"/>
          <w:i w:val="0"/>
          <w:sz w:val="15"/>
        </w:rPr>
        <w:t xml:space="preserve">      "instruction": "No wooden pallets (ISPM 15 compliant only).",</w:t>
      </w:r>
    </w:p>
    <w:p>
      <w:pPr>
        <w:spacing w:after="0" w:before="0" w:line="240" w:lineRule="auto"/>
        <w:ind w:left="57"/>
        <w:jc w:val="left"/>
        <w:shd w:val="clear" w:fill="F2F2F2"/>
      </w:pPr>
      <w:r>
        <w:rPr>
          <w:rFonts w:ascii="Consolas" w:hAnsi="Consolas" w:cs="Consolas"/>
          <w:b w:val="0"/>
          <w:i w:val="0"/>
          <w:sz w:val="15"/>
        </w:rPr>
        <w:t xml:space="preserve">      "confidence": 0.92,</w:t>
      </w:r>
    </w:p>
    <w:p>
      <w:pPr>
        <w:spacing w:after="0" w:before="0" w:line="240" w:lineRule="auto"/>
        <w:ind w:left="57"/>
        <w:jc w:val="left"/>
        <w:shd w:val="clear" w:fill="F2F2F2"/>
      </w:pPr>
      <w:r>
        <w:rPr>
          <w:rFonts w:ascii="Consolas" w:hAnsi="Consolas" w:cs="Consolas"/>
          <w:b w:val="0"/>
          <w:i w:val="0"/>
          <w:sz w:val="15"/>
        </w:rPr>
        <w:t xml:space="preserve">      "entities": { "packaging_material": "No wooden pallets", "standard": "ISPM 15"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"category": "Certifications",</w:t>
      </w:r>
    </w:p>
    <w:p>
      <w:pPr>
        <w:spacing w:after="0" w:before="0" w:line="240" w:lineRule="auto"/>
        <w:ind w:left="57"/>
        <w:jc w:val="left"/>
        <w:shd w:val="clear" w:fill="F2F2F2"/>
      </w:pPr>
      <w:r>
        <w:rPr>
          <w:rFonts w:ascii="Consolas" w:hAnsi="Consolas" w:cs="Consolas"/>
          <w:b w:val="0"/>
          <w:i w:val="0"/>
          <w:sz w:val="15"/>
        </w:rPr>
        <w:t xml:space="preserve">      "instruction": "Halal certification required.",</w:t>
      </w:r>
    </w:p>
    <w:p>
      <w:pPr>
        <w:spacing w:after="0" w:before="0" w:line="240" w:lineRule="auto"/>
        <w:ind w:left="57"/>
        <w:jc w:val="left"/>
        <w:shd w:val="clear" w:fill="F2F2F2"/>
      </w:pPr>
      <w:r>
        <w:rPr>
          <w:rFonts w:ascii="Consolas" w:hAnsi="Consolas" w:cs="Consolas"/>
          <w:b w:val="0"/>
          <w:i w:val="0"/>
          <w:sz w:val="15"/>
        </w:rPr>
        <w:t xml:space="preserve">      "confidence": 0.98,</w:t>
      </w:r>
    </w:p>
    <w:p>
      <w:pPr>
        <w:spacing w:after="0" w:before="0" w:line="240" w:lineRule="auto"/>
        <w:ind w:left="57"/>
        <w:jc w:val="left"/>
        <w:shd w:val="clear" w:fill="F2F2F2"/>
      </w:pPr>
      <w:r>
        <w:rPr>
          <w:rFonts w:ascii="Consolas" w:hAnsi="Consolas" w:cs="Consolas"/>
          <w:b w:val="0"/>
          <w:i w:val="0"/>
          <w:sz w:val="15"/>
        </w:rPr>
        <w:t xml:space="preserve">      "entities": { "certification_type": "Halal", "requirement": "required"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"category": "Logistics",</w:t>
      </w:r>
    </w:p>
    <w:p>
      <w:pPr>
        <w:spacing w:after="0" w:before="0" w:line="240" w:lineRule="auto"/>
        <w:ind w:left="57"/>
        <w:jc w:val="left"/>
        <w:shd w:val="clear" w:fill="F2F2F2"/>
      </w:pPr>
      <w:r>
        <w:rPr>
          <w:rFonts w:ascii="Consolas" w:hAnsi="Consolas" w:cs="Consolas"/>
          <w:b w:val="0"/>
          <w:i w:val="0"/>
          <w:sz w:val="15"/>
        </w:rPr>
        <w:t xml:space="preserve">      "instruction":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"confidence": 0.88,</w:t>
      </w:r>
    </w:p>
    <w:p>
      <w:pPr>
        <w:spacing w:after="0" w:before="0" w:line="240" w:lineRule="auto"/>
        <w:ind w:left="57"/>
        <w:jc w:val="left"/>
        <w:shd w:val="clear" w:fill="F2F2F2"/>
      </w:pPr>
      <w:r>
        <w:rPr>
          <w:rFonts w:ascii="Consolas" w:hAnsi="Consolas" w:cs="Consolas"/>
          <w:b w:val="0"/>
          <w:i w:val="0"/>
          <w:sz w:val="15"/>
        </w:rPr>
        <w:t xml:space="preserve">      "entities": { "equipment": "Temperature logger", "location": "each container"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"missing_information": [</w:t>
      </w:r>
    </w:p>
    <w:p>
      <w:pPr>
        <w:spacing w:after="0" w:before="0" w:line="240" w:lineRule="auto"/>
        <w:ind w:left="57"/>
        <w:jc w:val="left"/>
        <w:shd w:val="clear" w:fill="F2F2F2"/>
      </w:pPr>
      <w:r>
        <w:rPr>
          <w:rFonts w:ascii="Consolas" w:hAnsi="Consolas" w:cs="Consolas"/>
          <w:b w:val="0"/>
          <w:i w:val="0"/>
          <w:sz w:val="15"/>
        </w:rPr>
        <w:t xml:space="preserve">    { "field": "Insurance requirements", "reason": "Not specified in instructions" },</w:t>
      </w:r>
    </w:p>
    <w:p>
      <w:pPr>
        <w:spacing w:after="0" w:before="0" w:line="240" w:lineRule="auto"/>
        <w:ind w:left="57"/>
        <w:jc w:val="left"/>
        <w:shd w:val="clear" w:fill="F2F2F2"/>
      </w:pPr>
      <w:r>
        <w:rPr>
          <w:rFonts w:ascii="Consolas" w:hAnsi="Consolas" w:cs="Consolas"/>
          <w:b w:val="0"/>
          <w:i w:val="0"/>
          <w:sz w:val="15"/>
        </w:rPr>
        <w:t xml:space="preserve">    { "field": "Language requirement", "reason": "Not specified in instructions"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"compliance_issues": [],</w:t>
      </w:r>
    </w:p>
    <w:p>
      <w:pPr>
        <w:spacing w:after="0" w:before="0" w:line="240" w:lineRule="auto"/>
        <w:ind w:left="57"/>
        <w:jc w:val="left"/>
        <w:shd w:val="clear" w:fill="F2F2F2"/>
      </w:pPr>
      <w:r>
        <w:rPr>
          <w:rFonts w:ascii="Consolas" w:hAnsi="Consolas" w:cs="Consolas"/>
          <w:b w:val="0"/>
          <w:i w:val="0"/>
          <w:sz w:val="15"/>
        </w:rPr>
        <w:t xml:space="preserve">  "sentiment": "neutral"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6.8.5 Categorization &amp; Aggregation</w:t>
      </w:r>
    </w:p>
    <w:p>
      <w:pPr>
        <w:keepNext/>
        <w:spacing w:before="140" w:after="60"/>
        <w:outlineLvl w:val="3"/>
      </w:pPr>
      <w:r>
        <w:rPr>
          <w:rFonts w:ascii="Arial" w:hAnsi="Arial" w:cs="Arial"/>
          <w:b/>
          <w:i/>
          <w:color w:val="333333"/>
          <w:sz w:val="22"/>
        </w:rPr>
        <w:t>6.8.5.1 Instruction Categories</w:t>
      </w:r>
    </w:p>
    <w:p>
      <w:pPr>
        <w:spacing w:after="80" w:line="293" w:lineRule="auto"/>
        <w:jc w:val="left"/>
      </w:pPr>
      <w:r>
        <w:rPr>
          <w:rFonts w:ascii="Times New Roman" w:hAnsi="Times New Roman" w:cs="Times New Roman"/>
          <w:b w:val="0"/>
          <w:i w:val="0"/>
          <w:sz w:val="22"/>
        </w:rPr>
        <w:t>Instructions are automatically categorised to improve visibility and downstream integration: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Category</w:t>
            </w:r>
          </w:p>
        </w:tc>
        <w:tc>
          <w:tcPr>
            <w:tcW w:type="dxa" w:w="4819"/>
            <w:shd w:val="clear" w:fill="D9E2F3"/>
          </w:tcPr>
          <w:p>
            <w:pPr>
              <w:spacing w:after="20" w:before="20" w:line="240" w:lineRule="auto"/>
            </w:pPr>
            <w:r/>
            <w:r>
              <w:rPr>
                <w:rFonts w:ascii="Arial" w:hAnsi="Arial" w:cs="Arial"/>
                <w:b/>
                <w:i w:val="0"/>
                <w:sz w:val="18"/>
              </w:rPr>
              <w:t>Example</w:t>
            </w:r>
          </w:p>
        </w:tc>
      </w:tr>
      <w:tr>
        <w:tc>
          <w:tcPr>
            <w:tcW w:type="dxa" w:w="4819"/>
          </w:tcPr>
          <w:p>
            <w:pPr>
              <w:spacing w:after="20" w:before="20" w:line="240" w:lineRule="auto"/>
            </w:pPr>
            <w:r/>
            <w:r>
              <w:rPr>
                <w:rFonts w:ascii="Arial" w:hAnsi="Arial" w:cs="Arial"/>
                <w:b w:val="0"/>
                <w:i w:val="0"/>
                <w:sz w:val="17"/>
              </w:rPr>
              <w:t>Labeling &amp; Marking</w:t>
            </w:r>
          </w:p>
        </w:tc>
        <w:tc>
          <w:tcPr>
            <w:tcW w:type="dxa" w:w="4819"/>
          </w:tcPr>
          <w:p>
            <w:pPr>
              <w:spacing w:after="20" w:before="20" w:line="240" w:lineRule="auto"/>
            </w:pPr>
            <w:r/>
            <w:r>
              <w:rPr>
                <w:rFonts w:ascii="Arial" w:hAnsi="Arial" w:cs="Arial"/>
                <w:b w:val="0"/>
                <w:i w:val="0"/>
                <w:sz w:val="17"/>
              </w:rPr>
              <w:t>Arabic labels mandatory</w:t>
            </w:r>
          </w:p>
        </w:tc>
      </w:tr>
      <w:tr>
        <w:tc>
          <w:tcPr>
            <w:tcW w:type="dxa" w:w="4819"/>
          </w:tcPr>
          <w:p>
            <w:pPr>
              <w:spacing w:after="20" w:before="20" w:line="240" w:lineRule="auto"/>
            </w:pPr>
            <w:r/>
            <w:r>
              <w:rPr>
                <w:rFonts w:ascii="Arial" w:hAnsi="Arial" w:cs="Arial"/>
                <w:b w:val="0"/>
                <w:i w:val="0"/>
                <w:sz w:val="17"/>
              </w:rPr>
              <w:t>Packaging &amp; Handling</w:t>
            </w:r>
          </w:p>
        </w:tc>
        <w:tc>
          <w:tcPr>
            <w:tcW w:type="dxa" w:w="4819"/>
          </w:tcPr>
          <w:p>
            <w:pPr>
              <w:spacing w:after="20" w:before="20" w:line="240" w:lineRule="auto"/>
            </w:pPr>
            <w:r/>
            <w:r>
              <w:rPr>
                <w:rFonts w:ascii="Arial" w:hAnsi="Arial" w:cs="Arial"/>
                <w:b w:val="0"/>
                <w:i w:val="0"/>
                <w:sz w:val="17"/>
              </w:rPr>
              <w:t>No wooden pallets (ISPM 15 compliant only)</w:t>
            </w:r>
          </w:p>
        </w:tc>
      </w:tr>
      <w:tr>
        <w:tc>
          <w:tcPr>
            <w:tcW w:type="dxa" w:w="4819"/>
          </w:tcPr>
          <w:p>
            <w:pPr>
              <w:spacing w:after="20" w:before="20" w:line="240" w:lineRule="auto"/>
            </w:pPr>
            <w:r/>
            <w:r>
              <w:rPr>
                <w:rFonts w:ascii="Arial" w:hAnsi="Arial" w:cs="Arial"/>
                <w:b w:val="0"/>
                <w:i w:val="0"/>
                <w:sz w:val="17"/>
              </w:rPr>
              <w:t>Certifications</w:t>
            </w:r>
          </w:p>
        </w:tc>
        <w:tc>
          <w:tcPr>
            <w:tcW w:type="dxa" w:w="4819"/>
          </w:tcPr>
          <w:p>
            <w:pPr>
              <w:spacing w:after="20" w:before="20" w:line="240" w:lineRule="auto"/>
            </w:pPr>
            <w:r/>
            <w:r>
              <w:rPr>
                <w:rFonts w:ascii="Arial" w:hAnsi="Arial" w:cs="Arial"/>
                <w:b w:val="0"/>
                <w:i w:val="0"/>
                <w:sz w:val="17"/>
              </w:rPr>
              <w:t>Halal certification required</w:t>
            </w:r>
          </w:p>
        </w:tc>
      </w:tr>
      <w:tr>
        <w:tc>
          <w:tcPr>
            <w:tcW w:type="dxa" w:w="4819"/>
          </w:tcPr>
          <w:p>
            <w:pPr>
              <w:spacing w:after="20" w:before="20" w:line="240" w:lineRule="auto"/>
            </w:pPr>
            <w:r/>
            <w:r>
              <w:rPr>
                <w:rFonts w:ascii="Arial" w:hAnsi="Arial" w:cs="Arial"/>
                <w:b w:val="0"/>
                <w:i w:val="0"/>
                <w:sz w:val="17"/>
              </w:rPr>
              <w:t>Logistics</w:t>
            </w:r>
          </w:p>
        </w:tc>
        <w:tc>
          <w:tcPr>
            <w:tcW w:type="dxa" w:w="4819"/>
          </w:tcPr>
          <w:p>
            <w:pPr>
              <w:spacing w:after="20" w:before="20" w:line="240" w:lineRule="auto"/>
            </w:pPr>
            <w:r/>
            <w:r>
              <w:rPr>
                <w:rFonts w:ascii="Arial" w:hAnsi="Arial" w:cs="Arial"/>
                <w:b w:val="0"/>
                <w:i w:val="0"/>
                <w:sz w:val="17"/>
              </w:rPr>
              <w:t>Temperature logger required in each container</w:t>
            </w:r>
          </w:p>
        </w:tc>
      </w:tr>
      <w:tr>
        <w:tc>
          <w:tcPr>
            <w:tcW w:type="dxa" w:w="4819"/>
          </w:tcPr>
          <w:p>
            <w:pPr>
              <w:spacing w:after="20" w:before="20" w:line="240" w:lineRule="auto"/>
            </w:pPr>
            <w:r/>
            <w:r>
              <w:rPr>
                <w:rFonts w:ascii="Arial" w:hAnsi="Arial" w:cs="Arial"/>
                <w:b w:val="0"/>
                <w:i w:val="0"/>
                <w:sz w:val="17"/>
              </w:rPr>
              <w:t>Documentation</w:t>
            </w:r>
          </w:p>
        </w:tc>
        <w:tc>
          <w:tcPr>
            <w:tcW w:type="dxa" w:w="4819"/>
          </w:tcPr>
          <w:p>
            <w:pPr>
              <w:spacing w:after="20" w:before="20" w:line="240" w:lineRule="auto"/>
            </w:pPr>
            <w:r/>
            <w:r>
              <w:rPr>
                <w:rFonts w:ascii="Arial" w:hAnsi="Arial" w:cs="Arial"/>
                <w:b w:val="0"/>
                <w:i w:val="0"/>
                <w:sz w:val="17"/>
              </w:rPr>
              <w:t>Original Bill of Lading to be sent by DHL</w:t>
            </w:r>
          </w:p>
        </w:tc>
      </w:tr>
      <w:tr>
        <w:tc>
          <w:tcPr>
            <w:tcW w:type="dxa" w:w="4819"/>
          </w:tcPr>
          <w:p>
            <w:pPr>
              <w:spacing w:after="20" w:before="20" w:line="240" w:lineRule="auto"/>
            </w:pPr>
            <w:r/>
            <w:r>
              <w:rPr>
                <w:rFonts w:ascii="Arial" w:hAnsi="Arial" w:cs="Arial"/>
                <w:b w:val="0"/>
                <w:i w:val="0"/>
                <w:sz w:val="17"/>
              </w:rPr>
              <w:t>Inspection</w:t>
            </w:r>
          </w:p>
        </w:tc>
        <w:tc>
          <w:tcPr>
            <w:tcW w:type="dxa" w:w="4819"/>
          </w:tcPr>
          <w:p>
            <w:pPr>
              <w:spacing w:after="20" w:before="20" w:line="240" w:lineRule="auto"/>
            </w:pPr>
            <w:r/>
            <w:r>
              <w:rPr>
                <w:rFonts w:ascii="Arial" w:hAnsi="Arial" w:cs="Arial"/>
                <w:b w:val="0"/>
                <w:i w:val="0"/>
                <w:sz w:val="17"/>
              </w:rPr>
              <w:t>Inspection must be witnessed by buyer's rep</w:t>
            </w:r>
          </w:p>
        </w:tc>
      </w:tr>
      <w:tr>
        <w:tc>
          <w:tcPr>
            <w:tcW w:type="dxa" w:w="4819"/>
          </w:tcPr>
          <w:p>
            <w:pPr>
              <w:spacing w:after="20" w:before="20" w:line="240" w:lineRule="auto"/>
            </w:pPr>
            <w:r/>
            <w:r>
              <w:rPr>
                <w:rFonts w:ascii="Arial" w:hAnsi="Arial" w:cs="Arial"/>
                <w:b w:val="0"/>
                <w:i w:val="0"/>
                <w:sz w:val="17"/>
              </w:rPr>
              <w:t>Dispute &amp; Compliance</w:t>
            </w:r>
          </w:p>
        </w:tc>
        <w:tc>
          <w:tcPr>
            <w:tcW w:type="dxa" w:w="4819"/>
          </w:tcPr>
          <w:p>
            <w:pPr>
              <w:spacing w:after="20" w:before="20" w:line="240" w:lineRule="auto"/>
            </w:pPr>
            <w:r/>
            <w:r>
              <w:rPr>
                <w:rFonts w:ascii="Arial" w:hAnsi="Arial" w:cs="Arial"/>
                <w:b w:val="0"/>
                <w:i w:val="0"/>
                <w:sz w:val="17"/>
              </w:rPr>
              <w:t>Arbitration: DIFC-LCIA, Dubai</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6.8.5.2 Aggregation Across Commodities</w:t>
      </w:r>
    </w:p>
    <w:p>
      <w:pPr>
        <w:spacing w:after="80" w:line="293" w:lineRule="auto"/>
        <w:jc w:val="left"/>
      </w:pPr>
      <w:r>
        <w:rPr>
          <w:rFonts w:ascii="Times New Roman" w:hAnsi="Times New Roman" w:cs="Times New Roman"/>
          <w:b w:val="0"/>
          <w:i w:val="0"/>
          <w:sz w:val="22"/>
        </w:rPr>
        <w:t>If multiple commodities exist in the trade, instructions are aggregated at the trade level with commodity-specific overrides:</w:t>
      </w:r>
    </w:p>
    <w:p>
      <w:pPr>
        <w:spacing w:after="0" w:before="0" w:line="240" w:lineRule="auto"/>
        <w:ind w:left="57"/>
        <w:jc w:val="left"/>
        <w:shd w:val="clear" w:fill="F2F2F2"/>
      </w:pPr>
      <w:r>
        <w:rPr>
          <w:rFonts w:ascii="Consolas" w:hAnsi="Consolas" w:cs="Consolas"/>
          <w:b w:val="0"/>
          <w:i w:val="0"/>
          <w:sz w:val="15"/>
        </w:rPr>
        <w:t>TRADE-LEVEL INSTRUCTIONS (applies to all commodities)</w:t>
      </w:r>
    </w:p>
    <w:p>
      <w:pPr>
        <w:spacing w:after="0" w:before="0" w:line="240" w:lineRule="auto"/>
        <w:ind w:left="57"/>
        <w:jc w:val="left"/>
        <w:shd w:val="clear" w:fill="F2F2F2"/>
      </w:pPr>
      <w:r>
        <w:rPr>
          <w:rFonts w:ascii="Consolas" w:hAnsi="Consolas" w:cs="Consolas"/>
          <w:b w:val="0"/>
          <w:i w:val="0"/>
          <w:sz w:val="15"/>
        </w:rPr>
        <w:t xml:space="preserve">  • Halal certification required.</w:t>
      </w:r>
    </w:p>
    <w:p>
      <w:pPr>
        <w:spacing w:after="0" w:before="0" w:line="240" w:lineRule="auto"/>
        <w:ind w:left="57"/>
        <w:jc w:val="left"/>
        <w:shd w:val="clear" w:fill="F2F2F2"/>
      </w:pPr>
      <w:r>
        <w:rPr>
          <w:rFonts w:ascii="Consolas" w:hAnsi="Consolas" w:cs="Consolas"/>
          <w:b w:val="0"/>
          <w:i w:val="0"/>
          <w:sz w:val="15"/>
        </w:rPr>
        <w:t xml:space="preserve">  •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 No wooden pallets (ISPM 15 compliant only).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COMMODITY-SPECIFIC INSTRUCTIONS</w:t>
      </w:r>
    </w:p>
    <w:p>
      <w:pPr>
        <w:spacing w:after="0" w:before="0" w:line="240" w:lineRule="auto"/>
        <w:ind w:left="57"/>
        <w:jc w:val="left"/>
        <w:shd w:val="clear" w:fill="F2F2F2"/>
      </w:pPr>
      <w:r>
        <w:rPr>
          <w:rFonts w:ascii="Consolas" w:hAnsi="Consolas" w:cs="Consolas"/>
          <w:b w:val="0"/>
          <w:i w:val="0"/>
          <w:sz w:val="15"/>
        </w:rPr>
        <w:t xml:space="preserve">  • Oranges (HS 0805.10) — Cold treatment certificate required.</w:t>
      </w:r>
    </w:p>
    <w:p>
      <w:pPr>
        <w:spacing w:after="0" w:before="0" w:line="240" w:lineRule="auto"/>
        <w:ind w:left="57"/>
        <w:jc w:val="left"/>
        <w:shd w:val="clear" w:fill="F2F2F2"/>
      </w:pPr>
      <w:r>
        <w:rPr>
          <w:rFonts w:ascii="Consolas" w:hAnsi="Consolas" w:cs="Consolas"/>
          <w:b w:val="0"/>
          <w:i w:val="0"/>
          <w:sz w:val="15"/>
        </w:rPr>
        <w:t xml:space="preserve">  • Lemons  (HS 0805.50) — Fumigation certificate required.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6.8.6 Saved Templates (Buyer-Specific)</w:t>
      </w:r>
    </w:p>
    <w:p>
      <w:pPr>
        <w:keepNext/>
        <w:spacing w:before="140" w:after="60"/>
        <w:outlineLvl w:val="3"/>
      </w:pPr>
      <w:r>
        <w:rPr>
          <w:rFonts w:ascii="Arial" w:hAnsi="Arial" w:cs="Arial"/>
          <w:b/>
          <w:i/>
          <w:color w:val="333333"/>
          <w:sz w:val="22"/>
        </w:rPr>
        <w:t>6.8.6.1 Template Management</w:t>
      </w:r>
    </w:p>
    <w:p>
      <w:pPr>
        <w:spacing w:after="80" w:line="293" w:lineRule="auto"/>
        <w:jc w:val="left"/>
      </w:pPr>
      <w:r>
        <w:rPr>
          <w:rFonts w:ascii="Times New Roman" w:hAnsi="Times New Roman" w:cs="Times New Roman"/>
          <w:b w:val="0"/>
          <w:i w:val="0"/>
          <w:sz w:val="22"/>
        </w:rPr>
        <w:t>Buyers can save commonly used instruction sets as templates to accelerate future trade creation. Template structure: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"template_id": "TPL-EG-001",</w:t>
      </w:r>
    </w:p>
    <w:p>
      <w:pPr>
        <w:spacing w:after="0" w:before="0" w:line="240" w:lineRule="auto"/>
        <w:ind w:left="57"/>
        <w:jc w:val="left"/>
        <w:shd w:val="clear" w:fill="F2F2F2"/>
      </w:pPr>
      <w:r>
        <w:rPr>
          <w:rFonts w:ascii="Consolas" w:hAnsi="Consolas" w:cs="Consolas"/>
          <w:b w:val="0"/>
          <w:i w:val="0"/>
          <w:sz w:val="15"/>
        </w:rPr>
        <w:t xml:space="preserve">  "template_name": "Egypt Import Template",</w:t>
      </w:r>
    </w:p>
    <w:p>
      <w:pPr>
        <w:spacing w:after="0" w:before="0" w:line="240" w:lineRule="auto"/>
        <w:ind w:left="57"/>
        <w:jc w:val="left"/>
        <w:shd w:val="clear" w:fill="F2F2F2"/>
      </w:pPr>
      <w:r>
        <w:rPr>
          <w:rFonts w:ascii="Consolas" w:hAnsi="Consolas" w:cs="Consolas"/>
          <w:b w:val="0"/>
          <w:i w:val="0"/>
          <w:sz w:val="15"/>
        </w:rPr>
        <w:t xml:space="preserve">  "description": "Standard instructions for importing into Egypt",</w:t>
      </w:r>
    </w:p>
    <w:p>
      <w:pPr>
        <w:spacing w:after="0" w:before="0" w:line="240" w:lineRule="auto"/>
        <w:ind w:left="57"/>
        <w:jc w:val="left"/>
        <w:shd w:val="clear" w:fill="F2F2F2"/>
      </w:pPr>
      <w:r>
        <w:rPr>
          <w:rFonts w:ascii="Consolas" w:hAnsi="Consolas" w:cs="Consolas"/>
          <w:b w:val="0"/>
          <w:i w:val="0"/>
          <w:sz w:val="15"/>
        </w:rPr>
        <w:t xml:space="preserve">  "instructions": [</w:t>
      </w:r>
    </w:p>
    <w:p>
      <w:pPr>
        <w:spacing w:after="0" w:before="0" w:line="240" w:lineRule="auto"/>
        <w:ind w:left="57"/>
        <w:jc w:val="left"/>
        <w:shd w:val="clear" w:fill="F2F2F2"/>
      </w:pPr>
      <w:r>
        <w:rPr>
          <w:rFonts w:ascii="Consolas" w:hAnsi="Consolas" w:cs="Consolas"/>
          <w:b w:val="0"/>
          <w:i w:val="0"/>
          <w:sz w:val="15"/>
        </w:rPr>
        <w:t xml:space="preserve">    "Arabic labels mandatory on all cartons.",</w:t>
      </w:r>
    </w:p>
    <w:p>
      <w:pPr>
        <w:spacing w:after="0" w:before="0" w:line="240" w:lineRule="auto"/>
        <w:ind w:left="57"/>
        <w:jc w:val="left"/>
        <w:shd w:val="clear" w:fill="F2F2F2"/>
      </w:pPr>
      <w:r>
        <w:rPr>
          <w:rFonts w:ascii="Consolas" w:hAnsi="Consolas" w:cs="Consolas"/>
          <w:b w:val="0"/>
          <w:i w:val="0"/>
          <w:sz w:val="15"/>
        </w:rPr>
        <w:t xml:space="preserve">    "No wooden pallets (ISPM 15 compliant only).",</w:t>
      </w:r>
    </w:p>
    <w:p>
      <w:pPr>
        <w:spacing w:after="0" w:before="0" w:line="240" w:lineRule="auto"/>
        <w:ind w:left="57"/>
        <w:jc w:val="left"/>
        <w:shd w:val="clear" w:fill="F2F2F2"/>
      </w:pPr>
      <w:r>
        <w:rPr>
          <w:rFonts w:ascii="Consolas" w:hAnsi="Consolas" w:cs="Consolas"/>
          <w:b w:val="0"/>
          <w:i w:val="0"/>
          <w:sz w:val="15"/>
        </w:rPr>
        <w:t xml:space="preserve">    "Halal certification required.",</w:t>
      </w:r>
    </w:p>
    <w:p>
      <w:pPr>
        <w:spacing w:after="0" w:before="0" w:line="240" w:lineRule="auto"/>
        <w:ind w:left="57"/>
        <w:jc w:val="left"/>
        <w:shd w:val="clear" w:fill="F2F2F2"/>
      </w:pPr>
      <w:r>
        <w:rPr>
          <w:rFonts w:ascii="Consolas" w:hAnsi="Consolas" w:cs="Consolas"/>
          <w:b w:val="0"/>
          <w:i w:val="0"/>
          <w:sz w:val="15"/>
        </w:rPr>
        <w:t xml:space="preserve">    "Original Bill of Lading to be sent by DHL.",</w:t>
      </w:r>
    </w:p>
    <w:p>
      <w:pPr>
        <w:spacing w:after="0" w:before="0" w:line="240" w:lineRule="auto"/>
        <w:ind w:left="57"/>
        <w:jc w:val="left"/>
        <w:shd w:val="clear" w:fill="F2F2F2"/>
      </w:pPr>
      <w:r>
        <w:rPr>
          <w:rFonts w:ascii="Consolas" w:hAnsi="Consolas" w:cs="Consolas"/>
          <w:b w:val="0"/>
          <w:i w:val="0"/>
          <w:sz w:val="15"/>
        </w:rPr>
        <w:t xml:space="preserve">    "Third-party inspection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"default_for": {</w:t>
      </w:r>
    </w:p>
    <w:p>
      <w:pPr>
        <w:spacing w:after="0" w:before="0" w:line="240" w:lineRule="auto"/>
        <w:ind w:left="57"/>
        <w:jc w:val="left"/>
        <w:shd w:val="clear" w:fill="F2F2F2"/>
      </w:pPr>
      <w:r>
        <w:rPr>
          <w:rFonts w:ascii="Consolas" w:hAnsi="Consolas" w:cs="Consolas"/>
          <w:b w:val="0"/>
          <w:i w:val="0"/>
          <w:sz w:val="15"/>
        </w:rPr>
        <w:t xml:space="preserve">    "destination_country": "EG",</w:t>
      </w:r>
    </w:p>
    <w:p>
      <w:pPr>
        <w:spacing w:after="0" w:before="0" w:line="240" w:lineRule="auto"/>
        <w:ind w:left="57"/>
        <w:jc w:val="left"/>
        <w:shd w:val="clear" w:fill="F2F2F2"/>
      </w:pPr>
      <w:r>
        <w:rPr>
          <w:rFonts w:ascii="Consolas" w:hAnsi="Consolas" w:cs="Consolas"/>
          <w:b w:val="0"/>
          <w:i w:val="0"/>
          <w:sz w:val="15"/>
        </w:rPr>
        <w:t xml:space="preserve">    "commodity_categories": ["Fresh Fruits", "Fresh Vegetables"]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"created_at": "2026-01-15T10:00:00Z",</w:t>
      </w:r>
    </w:p>
    <w:p>
      <w:pPr>
        <w:spacing w:after="0" w:before="0" w:line="240" w:lineRule="auto"/>
        <w:ind w:left="57"/>
        <w:jc w:val="left"/>
        <w:shd w:val="clear" w:fill="F2F2F2"/>
      </w:pPr>
      <w:r>
        <w:rPr>
          <w:rFonts w:ascii="Consolas" w:hAnsi="Consolas" w:cs="Consolas"/>
          <w:b w:val="0"/>
          <w:i w:val="0"/>
          <w:sz w:val="15"/>
        </w:rPr>
        <w:t xml:space="preserve">  "updated_at": "2026-06-01T14:30:00Z",</w:t>
      </w:r>
    </w:p>
    <w:p>
      <w:pPr>
        <w:spacing w:after="0" w:before="0" w:line="240" w:lineRule="auto"/>
        <w:ind w:left="57"/>
        <w:jc w:val="left"/>
        <w:shd w:val="clear" w:fill="F2F2F2"/>
      </w:pPr>
      <w:r>
        <w:rPr>
          <w:rFonts w:ascii="Consolas" w:hAnsi="Consolas" w:cs="Consolas"/>
          <w:b w:val="0"/>
          <w:i w:val="0"/>
          <w:sz w:val="15"/>
        </w:rPr>
        <w:t xml:space="preserve">  "usage_count": 47</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SAVED TEMPLATES (Buyer-specific)</w:t>
      </w:r>
    </w:p>
    <w:p>
      <w:pPr>
        <w:spacing w:after="0" w:before="0" w:line="240" w:lineRule="auto"/>
        <w:ind w:left="57"/>
        <w:jc w:val="left"/>
        <w:shd w:val="clear" w:fill="F2F2F2"/>
      </w:pPr>
      <w:r>
        <w:rPr>
          <w:rFonts w:ascii="Consolas" w:hAnsi="Consolas" w:cs="Consolas"/>
          <w:b w:val="0"/>
          <w:i w:val="0"/>
          <w:sz w:val="15"/>
        </w:rPr>
        <w:t xml:space="preserve">  • Egypt Import Template (12 instructions) — used 47 times</w:t>
      </w:r>
    </w:p>
    <w:p>
      <w:pPr>
        <w:spacing w:after="0" w:before="0" w:line="240" w:lineRule="auto"/>
        <w:ind w:left="57"/>
        <w:jc w:val="left"/>
        <w:shd w:val="clear" w:fill="F2F2F2"/>
      </w:pPr>
      <w:r>
        <w:rPr>
          <w:rFonts w:ascii="Consolas" w:hAnsi="Consolas" w:cs="Consolas"/>
          <w:b w:val="0"/>
          <w:i w:val="0"/>
          <w:sz w:val="15"/>
        </w:rPr>
        <w:t xml:space="preserve">    Standard instructions for importing into Egypt: Arabic labels, Halal,</w:t>
      </w:r>
    </w:p>
    <w:p>
      <w:pPr>
        <w:spacing w:after="0" w:before="0" w:line="240" w:lineRule="auto"/>
        <w:ind w:left="57"/>
        <w:jc w:val="left"/>
        <w:shd w:val="clear" w:fill="F2F2F2"/>
      </w:pPr>
      <w:r>
        <w:rPr>
          <w:rFonts w:ascii="Consolas" w:hAnsi="Consolas" w:cs="Consolas"/>
          <w:b w:val="0"/>
          <w:i w:val="0"/>
          <w:sz w:val="15"/>
        </w:rPr>
        <w:t xml:space="preserve">    DHL for B/L, third-party inspection.</w:t>
      </w:r>
    </w:p>
    <w:p>
      <w:pPr>
        <w:spacing w:after="0" w:before="0" w:line="240" w:lineRule="auto"/>
        <w:ind w:left="57"/>
        <w:jc w:val="left"/>
        <w:shd w:val="clear" w:fill="F2F2F2"/>
      </w:pPr>
      <w:r>
        <w:rPr>
          <w:rFonts w:ascii="Consolas" w:hAnsi="Consolas" w:cs="Consolas"/>
          <w:b w:val="0"/>
          <w:i w:val="0"/>
          <w:sz w:val="15"/>
        </w:rPr>
        <w:t xml:space="preserve">    [Load] [Edit] [Delete] [Set as Default]</w:t>
      </w:r>
    </w:p>
    <w:p>
      <w:pPr>
        <w:spacing w:after="0" w:before="0" w:line="240" w:lineRule="auto"/>
        <w:ind w:left="57"/>
        <w:jc w:val="left"/>
        <w:shd w:val="clear" w:fill="F2F2F2"/>
      </w:pPr>
      <w:r>
        <w:rPr>
          <w:rFonts w:ascii="Consolas" w:hAnsi="Consolas" w:cs="Consolas"/>
          <w:b w:val="0"/>
          <w:i w:val="0"/>
          <w:sz w:val="15"/>
        </w:rPr>
        <w:t xml:space="preserve">  • UAE Import Template (8 instructions) — used 23 times</w:t>
      </w:r>
    </w:p>
    <w:p>
      <w:pPr>
        <w:spacing w:after="0" w:before="0" w:line="240" w:lineRule="auto"/>
        <w:ind w:left="57"/>
        <w:jc w:val="left"/>
        <w:shd w:val="clear" w:fill="F2F2F2"/>
      </w:pPr>
      <w:r>
        <w:rPr>
          <w:rFonts w:ascii="Consolas" w:hAnsi="Consolas" w:cs="Consolas"/>
          <w:b w:val="0"/>
          <w:i w:val="0"/>
          <w:sz w:val="15"/>
        </w:rPr>
        <w:t xml:space="preserve">    Standard instructions for importing into UAE: English/Arabic labels,</w:t>
      </w:r>
    </w:p>
    <w:p>
      <w:pPr>
        <w:spacing w:after="0" w:before="0" w:line="240" w:lineRule="auto"/>
        <w:ind w:left="57"/>
        <w:jc w:val="left"/>
        <w:shd w:val="clear" w:fill="F2F2F2"/>
      </w:pPr>
      <w:r>
        <w:rPr>
          <w:rFonts w:ascii="Consolas" w:hAnsi="Consolas" w:cs="Consolas"/>
          <w:b w:val="0"/>
          <w:i w:val="0"/>
          <w:sz w:val="15"/>
        </w:rPr>
        <w:t xml:space="preserve">    SGS inspection, DIFC-LCIA arbitration.</w:t>
      </w:r>
    </w:p>
    <w:p>
      <w:pPr>
        <w:spacing w:after="0" w:before="0" w:line="240" w:lineRule="auto"/>
        <w:ind w:left="57"/>
        <w:jc w:val="left"/>
        <w:shd w:val="clear" w:fill="F2F2F2"/>
      </w:pPr>
      <w:r>
        <w:rPr>
          <w:rFonts w:ascii="Consolas" w:hAnsi="Consolas" w:cs="Consolas"/>
          <w:b w:val="0"/>
          <w:i w:val="0"/>
          <w:sz w:val="15"/>
        </w:rPr>
        <w:t xml:space="preserve">    [Load] [Edit] [Delete] [Set as Default]</w:t>
      </w:r>
    </w:p>
    <w:p>
      <w:pPr>
        <w:spacing w:after="0" w:before="0" w:line="240" w:lineRule="auto"/>
        <w:ind w:left="57"/>
        <w:jc w:val="left"/>
        <w:shd w:val="clear" w:fill="F2F2F2"/>
      </w:pPr>
      <w:r>
        <w:rPr>
          <w:rFonts w:ascii="Consolas" w:hAnsi="Consolas" w:cs="Consolas"/>
          <w:b w:val="0"/>
          <w:i w:val="0"/>
          <w:sz w:val="15"/>
        </w:rPr>
        <w:t xml:space="preserve">  • Germany Import Template (10 instructions) — used 15 times</w:t>
      </w:r>
    </w:p>
    <w:p>
      <w:pPr>
        <w:spacing w:after="0" w:before="0" w:line="240" w:lineRule="auto"/>
        <w:ind w:left="57"/>
        <w:jc w:val="left"/>
        <w:shd w:val="clear" w:fill="F2F2F2"/>
      </w:pPr>
      <w:r>
        <w:rPr>
          <w:rFonts w:ascii="Consolas" w:hAnsi="Consolas" w:cs="Consolas"/>
          <w:b w:val="0"/>
          <w:i w:val="0"/>
          <w:sz w:val="15"/>
        </w:rPr>
        <w:t xml:space="preserve">    Standard instructions for importing into Germany: European labelling,</w:t>
      </w:r>
    </w:p>
    <w:p>
      <w:pPr>
        <w:spacing w:after="0" w:before="0" w:line="240" w:lineRule="auto"/>
        <w:ind w:left="57"/>
        <w:jc w:val="left"/>
        <w:shd w:val="clear" w:fill="F2F2F2"/>
      </w:pPr>
      <w:r>
        <w:rPr>
          <w:rFonts w:ascii="Consolas" w:hAnsi="Consolas" w:cs="Consolas"/>
          <w:b w:val="0"/>
          <w:i w:val="0"/>
          <w:sz w:val="15"/>
        </w:rPr>
        <w:t xml:space="preserve">    REACH compliance, EU organic certification.</w:t>
      </w:r>
    </w:p>
    <w:p>
      <w:pPr>
        <w:spacing w:after="0" w:before="0" w:line="240" w:lineRule="auto"/>
        <w:ind w:left="57"/>
        <w:jc w:val="left"/>
        <w:shd w:val="clear" w:fill="F2F2F2"/>
      </w:pPr>
      <w:r>
        <w:rPr>
          <w:rFonts w:ascii="Consolas" w:hAnsi="Consolas" w:cs="Consolas"/>
          <w:b w:val="0"/>
          <w:i w:val="0"/>
          <w:sz w:val="15"/>
        </w:rPr>
        <w:t xml:space="preserve">    [Load] [Edit] [Delete] [Set as Default]</w:t>
      </w:r>
    </w:p>
    <w:p>
      <w:pPr>
        <w:spacing w:after="0" w:before="0" w:line="240" w:lineRule="auto"/>
        <w:ind w:left="57"/>
        <w:jc w:val="left"/>
        <w:shd w:val="clear" w:fill="F2F2F2"/>
      </w:pPr>
      <w:r>
        <w:rPr>
          <w:rFonts w:ascii="Consolas" w:hAnsi="Consolas" w:cs="Consolas"/>
          <w:b w:val="0"/>
          <w:i w:val="0"/>
          <w:sz w:val="15"/>
        </w:rPr>
        <w:t xml:space="preserve">  [Create New Template] [Import Template] [Export Template]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6.8.7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Special Instructions Flow</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Instructions are displayed on the seller dashboard; seller must comply</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Instructions are included in the contract</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Instructions propagate to logistics and customs services</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Documentation instructions are enforced at settlement</w:t>
            </w:r>
          </w:p>
        </w:tc>
      </w:tr>
      <w:tr>
        <w:tc>
          <w:tcPr>
            <w:tcW w:type="dxa" w:w="4819"/>
          </w:tcPr>
          <w:p>
            <w:pPr>
              <w:spacing w:after="20" w:before="20" w:line="240" w:lineRule="auto"/>
            </w:pPr>
            <w:r/>
            <w:r>
              <w:rPr>
                <w:rFonts w:ascii="Arial" w:hAnsi="Arial" w:cs="Arial"/>
                <w:b w:val="0"/>
                <w:i w:val="0"/>
                <w:sz w:val="17"/>
              </w:rPr>
              <w:t>Phase 8 — Disputes (Section 14)</w:t>
            </w:r>
          </w:p>
        </w:tc>
        <w:tc>
          <w:tcPr>
            <w:tcW w:type="dxa" w:w="4819"/>
          </w:tcPr>
          <w:p>
            <w:pPr>
              <w:spacing w:after="20" w:before="20" w:line="240" w:lineRule="auto"/>
            </w:pPr>
            <w:r/>
            <w:r>
              <w:rPr>
                <w:rFonts w:ascii="Arial" w:hAnsi="Arial" w:cs="Arial"/>
                <w:b w:val="0"/>
                <w:i w:val="0"/>
                <w:sz w:val="17"/>
              </w:rPr>
              <w:t>Instruction compliance is part of the evidence package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6.8.8 Validation &amp; Governor Gates</w:t>
      </w:r>
    </w:p>
    <w:p>
      <w:pPr>
        <w:spacing w:after="80" w:line="293" w:lineRule="auto"/>
        <w:jc w:val="left"/>
      </w:pPr>
      <w:r>
        <w:rPr>
          <w:rFonts w:ascii="Times New Roman" w:hAnsi="Times New Roman" w:cs="Times New Roman"/>
          <w:b w:val="0"/>
          <w:i w:val="0"/>
          <w:sz w:val="22"/>
        </w:rPr>
        <w:t>Example CONDITIONAL response (conflict):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special instructions conflict with the selected incoterm. You have specified 'Buyer arranges insurance' in special instructions, but the incoterm CIF requires the seller to arrange insurance.",</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"instruction_conflict",</w:t>
      </w:r>
    </w:p>
    <w:p>
      <w:pPr>
        <w:spacing w:after="0" w:before="0" w:line="240" w:lineRule="auto"/>
        <w:ind w:left="57"/>
        <w:jc w:val="left"/>
        <w:shd w:val="clear" w:fill="F2F2F2"/>
      </w:pPr>
      <w:r>
        <w:rPr>
          <w:rFonts w:ascii="Consolas" w:hAnsi="Consolas" w:cs="Consolas"/>
          <w:b w:val="0"/>
          <w:i w:val="0"/>
          <w:sz w:val="15"/>
        </w:rPr>
        <w:t xml:space="preserve">        "label": "Review and correct insurance instructions",</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6.8.9 Database Schema Additions (Special Instructions)</w:t>
      </w:r>
    </w:p>
    <w:p>
      <w:pPr>
        <w:spacing w:after="0" w:before="0" w:line="240" w:lineRule="auto"/>
        <w:ind w:left="57"/>
        <w:jc w:val="left"/>
        <w:shd w:val="clear" w:fill="F2F2F2"/>
      </w:pPr>
      <w:r>
        <w:rPr>
          <w:rFonts w:ascii="Consolas" w:hAnsi="Consolas" w:cs="Consolas"/>
          <w:b w:val="0"/>
          <w:i w:val="0"/>
          <w:sz w:val="15"/>
        </w:rPr>
        <w:t>-- Special instructions (free-text + structured)</w:t>
      </w:r>
    </w:p>
    <w:p>
      <w:pPr>
        <w:spacing w:after="0" w:before="0" w:line="240" w:lineRule="auto"/>
        <w:ind w:left="57"/>
        <w:jc w:val="left"/>
        <w:shd w:val="clear" w:fill="F2F2F2"/>
      </w:pPr>
      <w:r>
        <w:rPr>
          <w:rFonts w:ascii="Consolas" w:hAnsi="Consolas" w:cs="Consolas"/>
          <w:b w:val="0"/>
          <w:i w:val="0"/>
          <w:sz w:val="15"/>
        </w:rPr>
        <w:t>CREATE TABLE special_instructions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raw_text TEXT, -- The original free-text input</w:t>
      </w:r>
    </w:p>
    <w:p>
      <w:pPr>
        <w:spacing w:after="0" w:before="0" w:line="240" w:lineRule="auto"/>
        <w:ind w:left="57"/>
        <w:jc w:val="left"/>
        <w:shd w:val="clear" w:fill="F2F2F2"/>
      </w:pPr>
      <w:r>
        <w:rPr>
          <w:rFonts w:ascii="Consolas" w:hAnsi="Consolas" w:cs="Consolas"/>
          <w:b w:val="0"/>
          <w:i w:val="0"/>
          <w:sz w:val="15"/>
        </w:rPr>
        <w:t xml:space="preserve">    structured_instructions JSONB, -- AI-extracted structured data</w:t>
      </w:r>
    </w:p>
    <w:p>
      <w:pPr>
        <w:spacing w:after="0" w:before="0" w:line="240" w:lineRule="auto"/>
        <w:ind w:left="57"/>
        <w:jc w:val="left"/>
        <w:shd w:val="clear" w:fill="F2F2F2"/>
      </w:pPr>
      <w:r>
        <w:rPr>
          <w:rFonts w:ascii="Consolas" w:hAnsi="Consolas" w:cs="Consolas"/>
          <w:b w:val="0"/>
          <w:i w:val="0"/>
          <w:sz w:val="15"/>
        </w:rPr>
        <w:t xml:space="preserve">    categories JSONB, -- Categorized instructions per category</w:t>
      </w:r>
    </w:p>
    <w:p>
      <w:pPr>
        <w:spacing w:after="0" w:before="0" w:line="240" w:lineRule="auto"/>
        <w:ind w:left="57"/>
        <w:jc w:val="left"/>
        <w:shd w:val="clear" w:fill="F2F2F2"/>
      </w:pPr>
      <w:r>
        <w:rPr>
          <w:rFonts w:ascii="Consolas" w:hAnsi="Consolas" w:cs="Consolas"/>
          <w:b w:val="0"/>
          <w:i w:val="0"/>
          <w:sz w:val="15"/>
        </w:rPr>
        <w:t xml:space="preserve">    missing_information JSONB, -- What's missing</w:t>
      </w:r>
    </w:p>
    <w:p>
      <w:pPr>
        <w:spacing w:after="0" w:before="0" w:line="240" w:lineRule="auto"/>
        <w:ind w:left="57"/>
        <w:jc w:val="left"/>
        <w:shd w:val="clear" w:fill="F2F2F2"/>
      </w:pPr>
      <w:r>
        <w:rPr>
          <w:rFonts w:ascii="Consolas" w:hAnsi="Consolas" w:cs="Consolas"/>
          <w:b w:val="0"/>
          <w:i w:val="0"/>
          <w:sz w:val="15"/>
        </w:rPr>
        <w:t xml:space="preserve">    compliance_issues JSONB, -- Potential compliance flags</w:t>
      </w:r>
    </w:p>
    <w:p>
      <w:pPr>
        <w:spacing w:after="0" w:before="0" w:line="240" w:lineRule="auto"/>
        <w:ind w:left="57"/>
        <w:jc w:val="left"/>
        <w:shd w:val="clear" w:fill="F2F2F2"/>
      </w:pPr>
      <w:r>
        <w:rPr>
          <w:rFonts w:ascii="Consolas" w:hAnsi="Consolas" w:cs="Consolas"/>
          <w:b w:val="0"/>
          <w:i w:val="0"/>
          <w:sz w:val="15"/>
        </w:rPr>
        <w:t xml:space="preserve">    confidence_score DECIMAL(5,2), -- AI confidence</w:t>
      </w:r>
    </w:p>
    <w:p>
      <w:pPr>
        <w:spacing w:after="0" w:before="0" w:line="240" w:lineRule="auto"/>
        <w:ind w:left="57"/>
        <w:jc w:val="left"/>
        <w:shd w:val="clear" w:fill="F2F2F2"/>
      </w:pPr>
      <w:r>
        <w:rPr>
          <w:rFonts w:ascii="Consolas" w:hAnsi="Consolas" w:cs="Consolas"/>
          <w:b w:val="0"/>
          <w:i w:val="0"/>
          <w:sz w:val="15"/>
        </w:rPr>
        <w:t xml:space="preserve">    validated BOOLEAN DEFAULT false,</w:t>
      </w:r>
    </w:p>
    <w:p>
      <w:pPr>
        <w:spacing w:after="0" w:before="0" w:line="240" w:lineRule="auto"/>
        <w:ind w:left="57"/>
        <w:jc w:val="left"/>
        <w:shd w:val="clear" w:fill="F2F2F2"/>
      </w:pPr>
      <w:r>
        <w:rPr>
          <w:rFonts w:ascii="Consolas" w:hAnsi="Consolas" w:cs="Consolas"/>
          <w:b w:val="0"/>
          <w:i w:val="0"/>
          <w:sz w:val="15"/>
        </w:rPr>
        <w:t xml:space="preserve">    validated_by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validated_at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Saved instruction templates (buyer-specific)</w:t>
      </w:r>
    </w:p>
    <w:p>
      <w:pPr>
        <w:spacing w:after="0" w:before="0" w:line="240" w:lineRule="auto"/>
        <w:ind w:left="57"/>
        <w:jc w:val="left"/>
        <w:shd w:val="clear" w:fill="F2F2F2"/>
      </w:pPr>
      <w:r>
        <w:rPr>
          <w:rFonts w:ascii="Consolas" w:hAnsi="Consolas" w:cs="Consolas"/>
          <w:b w:val="0"/>
          <w:i w:val="0"/>
          <w:sz w:val="15"/>
        </w:rPr>
        <w:t>CREATE TABLE instruction_templates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buyer_tenant_id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 xml:space="preserve">    template_name TEXT NOT NULL,</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instructions TEXT[],</w:t>
      </w:r>
    </w:p>
    <w:p>
      <w:pPr>
        <w:spacing w:after="0" w:before="0" w:line="240" w:lineRule="auto"/>
        <w:ind w:left="57"/>
        <w:jc w:val="left"/>
        <w:shd w:val="clear" w:fill="F2F2F2"/>
      </w:pPr>
      <w:r>
        <w:rPr>
          <w:rFonts w:ascii="Consolas" w:hAnsi="Consolas" w:cs="Consolas"/>
          <w:b w:val="0"/>
          <w:i w:val="0"/>
          <w:sz w:val="15"/>
        </w:rPr>
        <w:t xml:space="preserve">    default_for JSONB, -- { destination_country, commodity_categories, incoterms }</w:t>
      </w:r>
    </w:p>
    <w:p>
      <w:pPr>
        <w:spacing w:after="0" w:before="0" w:line="240" w:lineRule="auto"/>
        <w:ind w:left="57"/>
        <w:jc w:val="left"/>
        <w:shd w:val="clear" w:fill="F2F2F2"/>
      </w:pPr>
      <w:r>
        <w:rPr>
          <w:rFonts w:ascii="Consolas" w:hAnsi="Consolas" w:cs="Consolas"/>
          <w:b w:val="0"/>
          <w:i w:val="0"/>
          <w:sz w:val="15"/>
        </w:rPr>
        <w:t xml:space="preserve">    usage_count INTEGER DEFAULT 0,</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UNIQUE(buyer_tenant_id, template_name)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Instruction template usage logs</w:t>
      </w:r>
    </w:p>
    <w:p>
      <w:pPr>
        <w:spacing w:after="0" w:before="0" w:line="240" w:lineRule="auto"/>
        <w:ind w:left="57"/>
        <w:jc w:val="left"/>
        <w:shd w:val="clear" w:fill="F2F2F2"/>
      </w:pPr>
      <w:r>
        <w:rPr>
          <w:rFonts w:ascii="Consolas" w:hAnsi="Consolas" w:cs="Consolas"/>
          <w:b w:val="0"/>
          <w:i w:val="0"/>
          <w:sz w:val="15"/>
        </w:rPr>
        <w:t>CREATE TABLE instruction_template_usage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template_id UUID NOT NULL REFERENCES instruction_templates(id) ON DELETE CASCADE,</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used_at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Instruction propagation logs (to downstream services)</w:t>
      </w:r>
    </w:p>
    <w:p>
      <w:pPr>
        <w:spacing w:after="0" w:before="0" w:line="240" w:lineRule="auto"/>
        <w:ind w:left="57"/>
        <w:jc w:val="left"/>
        <w:shd w:val="clear" w:fill="F2F2F2"/>
      </w:pPr>
      <w:r>
        <w:rPr>
          <w:rFonts w:ascii="Consolas" w:hAnsi="Consolas" w:cs="Consolas"/>
          <w:b w:val="0"/>
          <w:i w:val="0"/>
          <w:sz w:val="15"/>
        </w:rPr>
        <w:t>CREATE TABLE instruction_propagation_logs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instruction_id UUID NOT NULL REFERENCES special_instructions(id) ON DELETE CASCADE,</w:t>
      </w:r>
    </w:p>
    <w:p>
      <w:pPr>
        <w:spacing w:after="0" w:before="0" w:line="240" w:lineRule="auto"/>
        <w:ind w:left="57"/>
        <w:jc w:val="left"/>
        <w:shd w:val="clear" w:fill="F2F2F2"/>
      </w:pPr>
      <w:r>
        <w:rPr>
          <w:rFonts w:ascii="Consolas" w:hAnsi="Consolas" w:cs="Consolas"/>
          <w:b w:val="0"/>
          <w:i w:val="0"/>
          <w:sz w:val="15"/>
        </w:rPr>
        <w:t xml:space="preserve">    target_service TEXT NOT NULL, -- 'SELLER', 'LOGISTICS', 'CUSTOMS', 'FINANCING'</w:t>
      </w:r>
    </w:p>
    <w:p>
      <w:pPr>
        <w:spacing w:after="0" w:before="0" w:line="240" w:lineRule="auto"/>
        <w:ind w:left="57"/>
        <w:jc w:val="left"/>
        <w:shd w:val="clear" w:fill="F2F2F2"/>
      </w:pPr>
      <w:r>
        <w:rPr>
          <w:rFonts w:ascii="Consolas" w:hAnsi="Consolas" w:cs="Consolas"/>
          <w:b w:val="0"/>
          <w:i w:val="0"/>
          <w:sz w:val="15"/>
        </w:rPr>
        <w:t xml:space="preserve">    propagated_at TIMESTAMPTZ DEFAULT NOW(),</w:t>
      </w:r>
    </w:p>
    <w:p>
      <w:pPr>
        <w:spacing w:after="0" w:before="0" w:line="240" w:lineRule="auto"/>
        <w:ind w:left="57"/>
        <w:jc w:val="left"/>
        <w:shd w:val="clear" w:fill="F2F2F2"/>
      </w:pPr>
      <w:r>
        <w:rPr>
          <w:rFonts w:ascii="Consolas" w:hAnsi="Consolas" w:cs="Consolas"/>
          <w:b w:val="0"/>
          <w:i w:val="0"/>
          <w:sz w:val="15"/>
        </w:rPr>
        <w:t xml:space="preserve">    status TEXT DEFAULT 'SUCCESS', -- 'SUCCESS', 'FAILED', 'PENDING'</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idx_special_instructions_trade ON special_instructions(trade_request_id);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idx_special_instructions_categories ON special_instructions USING GIN(categories);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idx_instruction_templates_buyer ON instruction_templates(buyer_tenant_id);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idx_instruction_templates_name ON instruction_templates(template_name);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idx_instruction_template_usage_template ON instruction_template_usage(template_id);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idx_instruction_propagation_logs_instruction ON instruction_propagation_logs(instruction_id);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6.8.10 Implementation Checklist (Special Instructions)</w:t>
      </w:r>
    </w:p>
    <w:p>
      <w:pPr>
        <w:keepNext/>
        <w:spacing w:before="140" w:after="60"/>
        <w:outlineLvl w:val="3"/>
      </w:pPr>
      <w:r>
        <w:rPr>
          <w:rFonts w:ascii="Arial" w:hAnsi="Arial" w:cs="Arial"/>
          <w:b/>
          <w:i/>
          <w:color w:val="333333"/>
          <w:sz w:val="22"/>
        </w:rPr>
        <w:t>6.8.10.1 Backend Services</w:t>
      </w:r>
    </w:p>
    <w:p>
      <w:pPr>
        <w:spacing w:after="80" w:line="293" w:lineRule="auto"/>
        <w:ind w:left="283"/>
        <w:jc w:val="left"/>
      </w:pPr>
      <w:r>
        <w:rPr>
          <w:rFonts w:ascii="Times New Roman" w:hAnsi="Times New Roman" w:cs="Times New Roman"/>
          <w:b w:val="0"/>
          <w:i w:val="0"/>
          <w:sz w:val="22"/>
        </w:rPr>
        <w:t>- Implement special instructions service (Rust)</w:t>
      </w:r>
    </w:p>
    <w:p>
      <w:pPr>
        <w:spacing w:after="80" w:line="293" w:lineRule="auto"/>
        <w:ind w:left="283"/>
        <w:jc w:val="left"/>
      </w:pPr>
      <w:r>
        <w:rPr>
          <w:rFonts w:ascii="Times New Roman" w:hAnsi="Times New Roman" w:cs="Times New Roman"/>
          <w:b w:val="0"/>
          <w:i w:val="0"/>
          <w:sz w:val="22"/>
        </w:rPr>
        <w:t>- Implement AI suggestion system (A1, Groq)</w:t>
      </w:r>
    </w:p>
    <w:p>
      <w:pPr>
        <w:spacing w:after="80" w:line="293" w:lineRule="auto"/>
        <w:ind w:left="283"/>
        <w:jc w:val="left"/>
      </w:pPr>
      <w:r>
        <w:rPr>
          <w:rFonts w:ascii="Times New Roman" w:hAnsi="Times New Roman" w:cs="Times New Roman"/>
          <w:b w:val="0"/>
          <w:i w:val="0"/>
          <w:sz w:val="22"/>
        </w:rPr>
        <w:t>- Implement structured extraction (A2, HF local)</w:t>
      </w:r>
    </w:p>
    <w:p>
      <w:pPr>
        <w:spacing w:after="80" w:line="293" w:lineRule="auto"/>
        <w:ind w:left="283"/>
        <w:jc w:val="left"/>
      </w:pPr>
      <w:r>
        <w:rPr>
          <w:rFonts w:ascii="Times New Roman" w:hAnsi="Times New Roman" w:cs="Times New Roman"/>
          <w:b w:val="0"/>
          <w:i w:val="0"/>
          <w:sz w:val="22"/>
        </w:rPr>
        <w:t>- Implement instruction categorisation (A2)</w:t>
      </w:r>
    </w:p>
    <w:p>
      <w:pPr>
        <w:spacing w:after="80" w:line="293" w:lineRule="auto"/>
        <w:ind w:left="283"/>
        <w:jc w:val="left"/>
      </w:pPr>
      <w:r>
        <w:rPr>
          <w:rFonts w:ascii="Times New Roman" w:hAnsi="Times New Roman" w:cs="Times New Roman"/>
          <w:b w:val="0"/>
          <w:i w:val="0"/>
          <w:sz w:val="22"/>
        </w:rPr>
        <w:t>- Implement template management CRUD</w:t>
      </w:r>
    </w:p>
    <w:p>
      <w:pPr>
        <w:spacing w:after="80" w:line="293" w:lineRule="auto"/>
        <w:ind w:left="283"/>
        <w:jc w:val="left"/>
      </w:pPr>
      <w:r>
        <w:rPr>
          <w:rFonts w:ascii="Times New Roman" w:hAnsi="Times New Roman" w:cs="Times New Roman"/>
          <w:b w:val="0"/>
          <w:i w:val="0"/>
          <w:sz w:val="22"/>
        </w:rPr>
        <w:t>- Implement instruction propagation to downstream services</w:t>
      </w:r>
    </w:p>
    <w:p>
      <w:pPr>
        <w:spacing w:after="80" w:line="293" w:lineRule="auto"/>
        <w:ind w:left="283"/>
        <w:jc w:val="left"/>
      </w:pPr>
      <w:r>
        <w:rPr>
          <w:rFonts w:ascii="Times New Roman" w:hAnsi="Times New Roman" w:cs="Times New Roman"/>
          <w:b w:val="0"/>
          <w:i w:val="0"/>
          <w:sz w:val="22"/>
        </w:rPr>
        <w:t>- Implement conflict detection (A4, WasmEdge)</w:t>
      </w:r>
    </w:p>
    <w:p>
      <w:pPr>
        <w:keepNext/>
        <w:spacing w:before="140" w:after="60"/>
        <w:outlineLvl w:val="3"/>
      </w:pPr>
      <w:r>
        <w:rPr>
          <w:rFonts w:ascii="Arial" w:hAnsi="Arial" w:cs="Arial"/>
          <w:b/>
          <w:i/>
          <w:color w:val="333333"/>
          <w:sz w:val="22"/>
        </w:rPr>
        <w:t>6.8.10.2 Frontend Components</w:t>
      </w:r>
    </w:p>
    <w:p>
      <w:pPr>
        <w:spacing w:after="80" w:line="293" w:lineRule="auto"/>
        <w:ind w:left="283"/>
        <w:jc w:val="left"/>
      </w:pPr>
      <w:r>
        <w:rPr>
          <w:rFonts w:ascii="Times New Roman" w:hAnsi="Times New Roman" w:cs="Times New Roman"/>
          <w:b w:val="0"/>
          <w:i w:val="0"/>
          <w:sz w:val="22"/>
        </w:rPr>
        <w:t>- Build Special Instructions text area component</w:t>
      </w:r>
    </w:p>
    <w:p>
      <w:pPr>
        <w:spacing w:after="80" w:line="293" w:lineRule="auto"/>
        <w:ind w:left="283"/>
        <w:jc w:val="left"/>
      </w:pPr>
      <w:r>
        <w:rPr>
          <w:rFonts w:ascii="Times New Roman" w:hAnsi="Times New Roman" w:cs="Times New Roman"/>
          <w:b w:val="0"/>
          <w:i w:val="0"/>
          <w:sz w:val="22"/>
        </w:rPr>
        <w:t>- Build AI Suggestions panel</w:t>
      </w:r>
    </w:p>
    <w:p>
      <w:pPr>
        <w:spacing w:after="80" w:line="293" w:lineRule="auto"/>
        <w:ind w:left="283"/>
        <w:jc w:val="left"/>
      </w:pPr>
      <w:r>
        <w:rPr>
          <w:rFonts w:ascii="Times New Roman" w:hAnsi="Times New Roman" w:cs="Times New Roman"/>
          <w:b w:val="0"/>
          <w:i w:val="0"/>
          <w:sz w:val="22"/>
        </w:rPr>
        <w:t>- Build Categorised display component</w:t>
      </w:r>
    </w:p>
    <w:p>
      <w:pPr>
        <w:spacing w:after="80" w:line="293" w:lineRule="auto"/>
        <w:ind w:left="283"/>
        <w:jc w:val="left"/>
      </w:pPr>
      <w:r>
        <w:rPr>
          <w:rFonts w:ascii="Times New Roman" w:hAnsi="Times New Roman" w:cs="Times New Roman"/>
          <w:b w:val="0"/>
          <w:i w:val="0"/>
          <w:sz w:val="22"/>
        </w:rPr>
        <w:t>- Build Template Management modal</w:t>
      </w:r>
    </w:p>
    <w:p>
      <w:pPr>
        <w:spacing w:after="80" w:line="293" w:lineRule="auto"/>
        <w:ind w:left="283"/>
        <w:jc w:val="left"/>
      </w:pPr>
      <w:r>
        <w:rPr>
          <w:rFonts w:ascii="Times New Roman" w:hAnsi="Times New Roman" w:cs="Times New Roman"/>
          <w:b w:val="0"/>
          <w:i w:val="0"/>
          <w:sz w:val="22"/>
        </w:rPr>
        <w:t>- Build Missing Information warning component</w:t>
      </w:r>
    </w:p>
    <w:p>
      <w:pPr>
        <w:spacing w:after="80" w:line="293" w:lineRule="auto"/>
        <w:ind w:left="283"/>
        <w:jc w:val="left"/>
      </w:pPr>
      <w:r>
        <w:rPr>
          <w:rFonts w:ascii="Times New Roman" w:hAnsi="Times New Roman" w:cs="Times New Roman"/>
          <w:b w:val="0"/>
          <w:i w:val="0"/>
          <w:sz w:val="22"/>
        </w:rPr>
        <w:t>- Build AI Analysis display</w:t>
      </w:r>
    </w:p>
    <w:p>
      <w:pPr>
        <w:keepNext/>
        <w:spacing w:before="140" w:after="60"/>
        <w:outlineLvl w:val="3"/>
      </w:pPr>
      <w:r>
        <w:rPr>
          <w:rFonts w:ascii="Arial" w:hAnsi="Arial" w:cs="Arial"/>
          <w:b/>
          <w:i/>
          <w:color w:val="333333"/>
          <w:sz w:val="22"/>
        </w:rPr>
        <w:t>6.8.10.3 AI Integration</w:t>
      </w:r>
    </w:p>
    <w:p>
      <w:pPr>
        <w:spacing w:after="80" w:line="293" w:lineRule="auto"/>
        <w:ind w:left="283"/>
        <w:jc w:val="left"/>
      </w:pPr>
      <w:r>
        <w:rPr>
          <w:rFonts w:ascii="Times New Roman" w:hAnsi="Times New Roman" w:cs="Times New Roman"/>
          <w:b w:val="0"/>
          <w:i w:val="0"/>
          <w:sz w:val="22"/>
        </w:rPr>
        <w:t>- Implement Groq suggestion generation prompt</w:t>
      </w:r>
    </w:p>
    <w:p>
      <w:pPr>
        <w:spacing w:after="80" w:line="293" w:lineRule="auto"/>
        <w:ind w:left="283"/>
        <w:jc w:val="left"/>
      </w:pPr>
      <w:r>
        <w:rPr>
          <w:rFonts w:ascii="Times New Roman" w:hAnsi="Times New Roman" w:cs="Times New Roman"/>
          <w:b w:val="0"/>
          <w:i w:val="0"/>
          <w:sz w:val="22"/>
        </w:rPr>
        <w:t>- Implement HF NLP extraction pipeline</w:t>
      </w:r>
    </w:p>
    <w:p>
      <w:pPr>
        <w:spacing w:after="80" w:line="293" w:lineRule="auto"/>
        <w:ind w:left="283"/>
        <w:jc w:val="left"/>
      </w:pPr>
      <w:r>
        <w:rPr>
          <w:rFonts w:ascii="Times New Roman" w:hAnsi="Times New Roman" w:cs="Times New Roman"/>
          <w:b w:val="0"/>
          <w:i w:val="0"/>
          <w:sz w:val="22"/>
        </w:rPr>
        <w:t>- Implement confidence scoring</w:t>
      </w:r>
    </w:p>
    <w:p>
      <w:pPr>
        <w:spacing w:after="80" w:line="293" w:lineRule="auto"/>
        <w:ind w:left="283"/>
        <w:jc w:val="left"/>
      </w:pPr>
      <w:r>
        <w:rPr>
          <w:rFonts w:ascii="Times New Roman" w:hAnsi="Times New Roman" w:cs="Times New Roman"/>
          <w:b w:val="0"/>
          <w:i w:val="0"/>
          <w:sz w:val="22"/>
        </w:rPr>
        <w:t>- Implement categorisation logic</w:t>
      </w:r>
    </w:p>
    <w:p>
      <w:pPr>
        <w:spacing w:after="80" w:line="293" w:lineRule="auto"/>
        <w:ind w:left="283"/>
        <w:jc w:val="left"/>
      </w:pPr>
      <w:r>
        <w:rPr>
          <w:rFonts w:ascii="Times New Roman" w:hAnsi="Times New Roman" w:cs="Times New Roman"/>
          <w:b w:val="0"/>
          <w:i w:val="0"/>
          <w:sz w:val="22"/>
        </w:rPr>
        <w:t>- Implement missing information detection</w:t>
      </w:r>
    </w:p>
    <w:p>
      <w:pPr>
        <w:keepNext/>
        <w:spacing w:before="140" w:after="60"/>
        <w:outlineLvl w:val="3"/>
      </w:pPr>
      <w:r>
        <w:rPr>
          <w:rFonts w:ascii="Arial" w:hAnsi="Arial" w:cs="Arial"/>
          <w:b/>
          <w:i/>
          <w:color w:val="333333"/>
          <w:sz w:val="22"/>
        </w:rPr>
        <w:t>6.8.10.4 Integration</w:t>
      </w:r>
    </w:p>
    <w:p>
      <w:pPr>
        <w:spacing w:after="80" w:line="293" w:lineRule="auto"/>
        <w:ind w:left="283"/>
        <w:jc w:val="left"/>
      </w:pPr>
      <w:r>
        <w:rPr>
          <w:rFonts w:ascii="Times New Roman" w:hAnsi="Times New Roman" w:cs="Times New Roman"/>
          <w:b w:val="0"/>
          <w:i w:val="0"/>
          <w:sz w:val="22"/>
        </w:rPr>
        <w:t>- Integrate with Seller Dashboard to display instructions</w:t>
      </w:r>
    </w:p>
    <w:p>
      <w:pPr>
        <w:spacing w:after="80" w:line="293" w:lineRule="auto"/>
        <w:ind w:left="283"/>
        <w:jc w:val="left"/>
      </w:pPr>
      <w:r>
        <w:rPr>
          <w:rFonts w:ascii="Times New Roman" w:hAnsi="Times New Roman" w:cs="Times New Roman"/>
          <w:b w:val="0"/>
          <w:i w:val="0"/>
          <w:sz w:val="22"/>
        </w:rPr>
        <w:t>- Integrate with Contract Service to include instructions</w:t>
      </w:r>
    </w:p>
    <w:p>
      <w:pPr>
        <w:spacing w:after="80" w:line="293" w:lineRule="auto"/>
        <w:ind w:left="283"/>
        <w:jc w:val="left"/>
      </w:pPr>
      <w:r>
        <w:rPr>
          <w:rFonts w:ascii="Times New Roman" w:hAnsi="Times New Roman" w:cs="Times New Roman"/>
          <w:b w:val="0"/>
          <w:i w:val="0"/>
          <w:sz w:val="22"/>
        </w:rPr>
        <w:t>- Integrate with Logistics Service to propagate instructions</w:t>
      </w:r>
    </w:p>
    <w:p>
      <w:pPr>
        <w:spacing w:after="80" w:line="293" w:lineRule="auto"/>
        <w:ind w:left="283"/>
        <w:jc w:val="left"/>
      </w:pPr>
      <w:r>
        <w:rPr>
          <w:rFonts w:ascii="Times New Roman" w:hAnsi="Times New Roman" w:cs="Times New Roman"/>
          <w:b w:val="0"/>
          <w:i w:val="0"/>
          <w:sz w:val="22"/>
        </w:rPr>
        <w:t>- Integrate with Document Service for documentation instructions</w:t>
      </w:r>
    </w:p>
    <w:p>
      <w:pPr>
        <w:spacing w:after="80" w:line="293" w:lineRule="auto"/>
        <w:ind w:left="283"/>
        <w:jc w:val="left"/>
      </w:pPr>
      <w:r>
        <w:rPr>
          <w:rFonts w:ascii="Times New Roman" w:hAnsi="Times New Roman" w:cs="Times New Roman"/>
          <w:b w:val="0"/>
          <w:i w:val="0"/>
          <w:sz w:val="22"/>
        </w:rPr>
        <w:t>- Integrate with Dispute Service for instruction compliance</w:t>
      </w:r>
    </w:p>
    <w:p>
      <w:pPr>
        <w:keepNext/>
        <w:spacing w:before="140" w:after="60"/>
        <w:outlineLvl w:val="3"/>
      </w:pPr>
      <w:r>
        <w:rPr>
          <w:rFonts w:ascii="Arial" w:hAnsi="Arial" w:cs="Arial"/>
          <w:b/>
          <w:i/>
          <w:color w:val="333333"/>
          <w:sz w:val="22"/>
        </w:rPr>
        <w:t>6.8.10.5 Testing</w:t>
      </w:r>
    </w:p>
    <w:p>
      <w:pPr>
        <w:spacing w:after="80" w:line="293" w:lineRule="auto"/>
        <w:ind w:left="283"/>
        <w:jc w:val="left"/>
      </w:pPr>
      <w:r>
        <w:rPr>
          <w:rFonts w:ascii="Times New Roman" w:hAnsi="Times New Roman" w:cs="Times New Roman"/>
          <w:b w:val="0"/>
          <w:i w:val="0"/>
          <w:sz w:val="22"/>
        </w:rPr>
        <w:t>- Unit tests: instruction suggestion generation</w:t>
      </w:r>
    </w:p>
    <w:p>
      <w:pPr>
        <w:spacing w:after="80" w:line="293" w:lineRule="auto"/>
        <w:ind w:left="283"/>
        <w:jc w:val="left"/>
      </w:pPr>
      <w:r>
        <w:rPr>
          <w:rFonts w:ascii="Times New Roman" w:hAnsi="Times New Roman" w:cs="Times New Roman"/>
          <w:b w:val="0"/>
          <w:i w:val="0"/>
          <w:sz w:val="22"/>
        </w:rPr>
        <w:t>- Unit tests: structured extraction</w:t>
      </w:r>
    </w:p>
    <w:p>
      <w:pPr>
        <w:spacing w:after="80" w:line="293" w:lineRule="auto"/>
        <w:ind w:left="283"/>
        <w:jc w:val="left"/>
      </w:pPr>
      <w:r>
        <w:rPr>
          <w:rFonts w:ascii="Times New Roman" w:hAnsi="Times New Roman" w:cs="Times New Roman"/>
          <w:b w:val="0"/>
          <w:i w:val="0"/>
          <w:sz w:val="22"/>
        </w:rPr>
        <w:t>- Unit tests: categorisation</w:t>
      </w:r>
    </w:p>
    <w:p>
      <w:pPr>
        <w:spacing w:after="80" w:line="293" w:lineRule="auto"/>
        <w:ind w:left="283"/>
        <w:jc w:val="left"/>
      </w:pPr>
      <w:r>
        <w:rPr>
          <w:rFonts w:ascii="Times New Roman" w:hAnsi="Times New Roman" w:cs="Times New Roman"/>
          <w:b w:val="0"/>
          <w:i w:val="0"/>
          <w:sz w:val="22"/>
        </w:rPr>
        <w:t>- Integration tests: suggestion → extraction → categorisation</w:t>
      </w:r>
    </w:p>
    <w:p>
      <w:pPr>
        <w:spacing w:after="80" w:line="293" w:lineRule="auto"/>
        <w:ind w:left="283"/>
        <w:jc w:val="left"/>
      </w:pPr>
      <w:r>
        <w:rPr>
          <w:rFonts w:ascii="Times New Roman" w:hAnsi="Times New Roman" w:cs="Times New Roman"/>
          <w:b w:val="0"/>
          <w:i w:val="0"/>
          <w:sz w:val="22"/>
        </w:rPr>
        <w:t>- Integration tests: template CRUD</w:t>
      </w:r>
    </w:p>
    <w:p>
      <w:pPr>
        <w:spacing w:after="80" w:line="293" w:lineRule="auto"/>
        <w:ind w:left="283"/>
        <w:jc w:val="left"/>
      </w:pPr>
      <w:r>
        <w:rPr>
          <w:rFonts w:ascii="Times New Roman" w:hAnsi="Times New Roman" w:cs="Times New Roman"/>
          <w:b w:val="0"/>
          <w:i w:val="0"/>
          <w:sz w:val="22"/>
        </w:rPr>
        <w:t>- Integration tests: instruction propagation</w:t>
      </w:r>
    </w:p>
    <w:p>
      <w:pPr>
        <w:spacing w:after="80" w:line="293" w:lineRule="auto"/>
        <w:ind w:left="283"/>
        <w:jc w:val="left"/>
      </w:pPr>
      <w:r>
        <w:rPr>
          <w:rFonts w:ascii="Times New Roman" w:hAnsi="Times New Roman" w:cs="Times New Roman"/>
          <w:b w:val="0"/>
          <w:i w:val="0"/>
          <w:sz w:val="22"/>
        </w:rPr>
        <w:t>- End-to-end tests: full special instructions lifecycle</w:t>
      </w:r>
    </w:p>
    <w:p>
      <w:pPr>
        <w:keepNext/>
        <w:spacing w:before="180" w:after="80"/>
        <w:outlineLvl w:val="2"/>
      </w:pPr>
      <w:r>
        <w:rPr>
          <w:rFonts w:ascii="Arial" w:hAnsi="Arial" w:cs="Arial"/>
          <w:b/>
          <w:i w:val="0"/>
          <w:color w:val="333333"/>
          <w:sz w:val="23"/>
        </w:rPr>
        <w:t>6.8.11 AI Authority Summary (Special Instructions)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Special Instructions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Suggestion generation (5–10 categorised instructions per trade context)</w:t>
            </w:r>
          </w:p>
        </w:tc>
      </w:tr>
      <w:tr>
        <w:tc>
          <w:tcPr>
            <w:tcW w:type="dxa" w:w="3213"/>
          </w:tcPr>
          <w:p>
            <w:pPr>
              <w:spacing w:after="20" w:before="20" w:line="240" w:lineRule="auto"/>
            </w:pPr>
            <w:r/>
            <w:r>
              <w:rPr>
                <w:rFonts w:ascii="Arial" w:hAnsi="Arial" w:cs="Arial"/>
                <w:b w:val="0"/>
                <w:i w:val="0"/>
                <w:sz w:val="17"/>
              </w:rPr>
              <w:t>A2 (HF local)</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Structured extraction, categorisation, missing-information detection, confidence scoring</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Conflict detection between instructions and incoterm/insurance selections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6.9 Transport &amp; Logistics Requirements</w:t>
      </w:r>
    </w:p>
    <w:p>
      <w:pPr>
        <w:keepNext/>
        <w:spacing w:before="180" w:after="80"/>
        <w:outlineLvl w:val="2"/>
      </w:pPr>
      <w:r>
        <w:rPr>
          <w:rFonts w:ascii="Arial" w:hAnsi="Arial" w:cs="Arial"/>
          <w:b/>
          <w:i w:val="0"/>
          <w:color w:val="333333"/>
          <w:sz w:val="23"/>
        </w:rPr>
        <w:t>6.9.1 Purpose &amp; Design Philosophy</w:t>
      </w:r>
    </w:p>
    <w:p>
      <w:pPr>
        <w:spacing w:after="80" w:line="293" w:lineRule="auto"/>
        <w:jc w:val="left"/>
      </w:pPr>
      <w:r>
        <w:rPr>
          <w:rFonts w:ascii="Times New Roman" w:hAnsi="Times New Roman" w:cs="Times New Roman"/>
          <w:b w:val="0"/>
          <w:i w:val="0"/>
          <w:sz w:val="22"/>
        </w:rPr>
        <w:t>The Transport &amp; Logistics section defines how the goods physically move from origin to destination. It provides a dynamic, context-aware transport configuration that adapts to the buyer's selected transport mode, commodity, and route.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Dynamic equipment loading — transport mode selection dynamically loads appropriate equipment types</w:t>
      </w:r>
    </w:p>
    <w:p>
      <w:pPr>
        <w:spacing w:after="80" w:line="293" w:lineRule="auto"/>
        <w:jc w:val="left"/>
      </w:pPr>
      <w:r>
        <w:rPr>
          <w:rFonts w:ascii="Times New Roman" w:hAnsi="Times New Roman" w:cs="Times New Roman"/>
          <w:b w:val="0"/>
          <w:i w:val="0"/>
          <w:sz w:val="22"/>
        </w:rPr>
        <w:t>(containers for ocean, ULDs (Unit Load Devices) for air, trailers for truck, wagons for rail).</w:t>
      </w:r>
    </w:p>
    <w:p>
      <w:pPr>
        <w:spacing w:after="80" w:line="293" w:lineRule="auto"/>
        <w:ind w:left="283"/>
        <w:jc w:val="left"/>
      </w:pPr>
      <w:r>
        <w:rPr>
          <w:rFonts w:ascii="Times New Roman" w:hAnsi="Times New Roman" w:cs="Times New Roman"/>
          <w:b w:val="0"/>
          <w:i w:val="0"/>
          <w:sz w:val="22"/>
        </w:rPr>
        <w:t>- Route-aware — the system validates that the selected mode and equipment are available for the</w:t>
      </w:r>
    </w:p>
    <w:p>
      <w:pPr>
        <w:spacing w:after="80" w:line="293" w:lineRule="auto"/>
        <w:jc w:val="left"/>
      </w:pPr>
      <w:r>
        <w:rPr>
          <w:rFonts w:ascii="Times New Roman" w:hAnsi="Times New Roman" w:cs="Times New Roman"/>
          <w:b w:val="0"/>
          <w:i w:val="0"/>
          <w:sz w:val="22"/>
        </w:rPr>
        <w:t>origin-destination route.</w:t>
      </w:r>
    </w:p>
    <w:p>
      <w:pPr>
        <w:spacing w:after="80" w:line="293" w:lineRule="auto"/>
        <w:ind w:left="283"/>
        <w:jc w:val="left"/>
      </w:pPr>
      <w:r>
        <w:rPr>
          <w:rFonts w:ascii="Times New Roman" w:hAnsi="Times New Roman" w:cs="Times New Roman"/>
          <w:b w:val="0"/>
          <w:i w:val="0"/>
          <w:sz w:val="22"/>
        </w:rPr>
        <w:t>- Commodity-aware — perishable goods require specific equipment (reefer, temperature-controlled).</w:t>
      </w:r>
    </w:p>
    <w:p>
      <w:pPr>
        <w:spacing w:after="80" w:line="293" w:lineRule="auto"/>
        <w:ind w:left="283"/>
        <w:jc w:val="left"/>
      </w:pPr>
      <w:r>
        <w:rPr>
          <w:rFonts w:ascii="Times New Roman" w:hAnsi="Times New Roman" w:cs="Times New Roman"/>
          <w:b w:val="0"/>
          <w:i w:val="0"/>
          <w:sz w:val="22"/>
        </w:rPr>
        <w:t>- Regulatory-aware — RIA provides port-specific rules, restrictions, and requirements.</w:t>
      </w:r>
    </w:p>
    <w:p>
      <w:pPr>
        <w:spacing w:after="80" w:line="293" w:lineRule="auto"/>
        <w:ind w:left="283"/>
        <w:jc w:val="left"/>
      </w:pPr>
      <w:r>
        <w:rPr>
          <w:rFonts w:ascii="Times New Roman" w:hAnsi="Times New Roman" w:cs="Times New Roman"/>
          <w:b w:val="0"/>
          <w:i w:val="0"/>
          <w:sz w:val="22"/>
        </w:rPr>
        <w:t>- Delivery window — a realistic operational window (Earliest/Preferred/Latest) replaces a simplistic single</w:t>
      </w:r>
    </w:p>
    <w:p>
      <w:pPr>
        <w:spacing w:after="80" w:line="293" w:lineRule="auto"/>
        <w:jc w:val="left"/>
      </w:pPr>
      <w:r>
        <w:rPr>
          <w:rFonts w:ascii="Times New Roman" w:hAnsi="Times New Roman" w:cs="Times New Roman"/>
          <w:b w:val="0"/>
          <w:i w:val="0"/>
          <w:sz w:val="22"/>
        </w:rPr>
        <w:t>date.</w:t>
      </w:r>
    </w:p>
    <w:p>
      <w:pPr>
        <w:spacing w:after="80" w:line="293" w:lineRule="auto"/>
        <w:ind w:left="283"/>
        <w:jc w:val="left"/>
      </w:pPr>
      <w:r>
        <w:rPr>
          <w:rFonts w:ascii="Times New Roman" w:hAnsi="Times New Roman" w:cs="Times New Roman"/>
          <w:b w:val="0"/>
          <w:i w:val="0"/>
          <w:sz w:val="22"/>
        </w:rPr>
        <w:t>- One-click optimisation — the AI Container Advisor suggests optimal configurations.</w:t>
      </w:r>
    </w:p>
    <w:p>
      <w:pPr>
        <w:spacing w:after="80" w:line="293" w:lineRule="auto"/>
        <w:jc w:val="left"/>
      </w:pPr>
      <w:r>
        <w:rPr>
          <w:rFonts w:ascii="Times New Roman" w:hAnsi="Times New Roman" w:cs="Times New Roman"/>
          <w:b w:val="0"/>
          <w:i w:val="0"/>
          <w:sz w:val="22"/>
        </w:rPr>
        <w:t>AI authority in this section: A1 (Groq) route suggestions, equipment recommendations, delivery window optimisation, and port recommendations; A2 (HF local + RIA) route validation and port congestion detection; A4 (OPA + WasmEdge) transport mode validation and equipment compatibility.</w:t>
      </w:r>
    </w:p>
    <w:p>
      <w:pPr>
        <w:keepNext/>
        <w:spacing w:before="180" w:after="80"/>
        <w:outlineLvl w:val="2"/>
      </w:pPr>
      <w:r>
        <w:rPr>
          <w:rFonts w:ascii="Arial" w:hAnsi="Arial" w:cs="Arial"/>
          <w:b/>
          <w:i w:val="0"/>
          <w:color w:val="333333"/>
          <w:sz w:val="23"/>
        </w:rPr>
        <w:t>6.9.2 Transport Mode Selection</w:t>
      </w:r>
    </w:p>
    <w:p>
      <w:pPr>
        <w:keepNext/>
        <w:spacing w:before="140" w:after="60"/>
        <w:outlineLvl w:val="3"/>
      </w:pPr>
      <w:r>
        <w:rPr>
          <w:rFonts w:ascii="Arial" w:hAnsi="Arial" w:cs="Arial"/>
          <w:b/>
          <w:i/>
          <w:color w:val="333333"/>
          <w:sz w:val="22"/>
        </w:rPr>
        <w:t>6.9.2.1 Overview</w:t>
      </w:r>
    </w:p>
    <w:p>
      <w:pPr>
        <w:spacing w:after="80" w:line="293" w:lineRule="auto"/>
        <w:jc w:val="left"/>
      </w:pPr>
      <w:r>
        <w:rPr>
          <w:rFonts w:ascii="Times New Roman" w:hAnsi="Times New Roman" w:cs="Times New Roman"/>
          <w:b w:val="0"/>
          <w:i w:val="0"/>
          <w:sz w:val="22"/>
        </w:rPr>
        <w:t>The buyer selects the primary transport mode. This selection dynamically determines: available equipment types (containers, ULDs, trailers, wagons); available routes; transit time estimates; regulatory requirements (specific to mode); and incoterm compatibility.</w:t>
      </w:r>
    </w:p>
    <w:p>
      <w:pPr>
        <w:spacing w:after="0" w:before="0" w:line="240" w:lineRule="auto"/>
        <w:ind w:left="57"/>
        <w:jc w:val="left"/>
        <w:shd w:val="clear" w:fill="F2F2F2"/>
      </w:pPr>
      <w:r>
        <w:rPr>
          <w:rFonts w:ascii="Consolas" w:hAnsi="Consolas" w:cs="Consolas"/>
          <w:b w:val="0"/>
          <w:i w:val="0"/>
          <w:sz w:val="15"/>
        </w:rPr>
        <w:t>7. TRANSPORT &amp; LOGISTICS</w:t>
      </w:r>
    </w:p>
    <w:p>
      <w:pPr>
        <w:spacing w:after="0" w:before="0" w:line="240" w:lineRule="auto"/>
        <w:ind w:left="57"/>
        <w:jc w:val="left"/>
        <w:shd w:val="clear" w:fill="F2F2F2"/>
      </w:pPr>
      <w:r>
        <w:rPr>
          <w:rFonts w:ascii="Consolas" w:hAnsi="Consolas" w:cs="Consolas"/>
          <w:b w:val="0"/>
          <w:i w:val="0"/>
          <w:sz w:val="15"/>
        </w:rPr>
        <w:t xml:space="preserve">  TRANSPORT MODE</w:t>
      </w:r>
    </w:p>
    <w:p>
      <w:pPr>
        <w:spacing w:after="0" w:before="0" w:line="240" w:lineRule="auto"/>
        <w:ind w:left="57"/>
        <w:jc w:val="left"/>
        <w:shd w:val="clear" w:fill="F2F2F2"/>
      </w:pPr>
      <w:r>
        <w:rPr>
          <w:rFonts w:ascii="Consolas" w:hAnsi="Consolas" w:cs="Consolas"/>
          <w:b w:val="0"/>
          <w:i w:val="0"/>
          <w:sz w:val="15"/>
        </w:rPr>
        <w:t xml:space="preserve">  Select the primary mode of transport for this shipment:</w:t>
      </w:r>
    </w:p>
    <w:p>
      <w:pPr>
        <w:spacing w:after="0" w:before="0" w:line="240" w:lineRule="auto"/>
        <w:ind w:left="57"/>
        <w:jc w:val="left"/>
        <w:shd w:val="clear" w:fill="F2F2F2"/>
      </w:pPr>
      <w:r>
        <w:rPr>
          <w:rFonts w:ascii="Consolas" w:hAnsi="Consolas" w:cs="Consolas"/>
          <w:b w:val="0"/>
          <w:i w:val="0"/>
          <w:sz w:val="15"/>
        </w:rPr>
        <w:t xml:space="preserve">  [Ocean] [Air] [Rail] [Truck] [Multimodal]</w:t>
      </w:r>
    </w:p>
    <w:p>
      <w:pPr>
        <w:spacing w:after="0" w:before="0" w:line="240" w:lineRule="auto"/>
        <w:ind w:left="57"/>
        <w:jc w:val="left"/>
        <w:shd w:val="clear" w:fill="F2F2F2"/>
      </w:pPr>
      <w:r>
        <w:rPr>
          <w:rFonts w:ascii="Consolas" w:hAnsi="Consolas" w:cs="Consolas"/>
          <w:b w:val="0"/>
          <w:i w:val="0"/>
          <w:sz w:val="15"/>
        </w:rPr>
        <w:t xml:space="preserve">  Ocean freight is recommended for this route (Alexandria → Hamburg).</w:t>
      </w:r>
    </w:p>
    <w:p>
      <w:pPr>
        <w:spacing w:after="0" w:before="0" w:line="240" w:lineRule="auto"/>
        <w:ind w:left="57"/>
        <w:jc w:val="left"/>
        <w:shd w:val="clear" w:fill="F2F2F2"/>
      </w:pPr>
      <w:r>
        <w:rPr>
          <w:rFonts w:ascii="Consolas" w:hAnsi="Consolas" w:cs="Consolas"/>
          <w:b w:val="0"/>
          <w:i w:val="0"/>
          <w:sz w:val="15"/>
        </w:rPr>
        <w:t xml:space="preserve">  Estimated transit time: 14 days</w:t>
      </w:r>
    </w:p>
    <w:p>
      <w:pPr>
        <w:spacing w:after="0" w:before="0" w:line="240" w:lineRule="auto"/>
        <w:ind w:left="57"/>
        <w:jc w:val="left"/>
        <w:shd w:val="clear" w:fill="F2F2F2"/>
      </w:pPr>
      <w:r>
        <w:rPr>
          <w:rFonts w:ascii="Consolas" w:hAnsi="Consolas" w:cs="Consolas"/>
          <w:b w:val="0"/>
          <w:i w:val="0"/>
          <w:sz w:val="15"/>
        </w:rPr>
        <w:t xml:space="preserve">  Vessels available: 3 per week</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6.9.2.2 Transport Mode Options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Mode</w:t>
            </w:r>
          </w:p>
        </w:tc>
        <w:tc>
          <w:tcPr>
            <w:tcW w:type="dxa" w:w="3213"/>
            <w:shd w:val="clear" w:fill="D9E2F3"/>
          </w:tcPr>
          <w:p>
            <w:pPr>
              <w:spacing w:after="20" w:before="20" w:line="240" w:lineRule="auto"/>
            </w:pPr>
            <w:r/>
            <w:r>
              <w:rPr>
                <w:rFonts w:ascii="Arial" w:hAnsi="Arial" w:cs="Arial"/>
                <w:b/>
                <w:i w:val="0"/>
                <w:sz w:val="18"/>
              </w:rPr>
              <w:t>Equipment Types</w:t>
            </w:r>
          </w:p>
        </w:tc>
        <w:tc>
          <w:tcPr>
            <w:tcW w:type="dxa" w:w="3213"/>
            <w:shd w:val="clear" w:fill="D9E2F3"/>
          </w:tcPr>
          <w:p>
            <w:pPr>
              <w:spacing w:after="20" w:before="20" w:line="240" w:lineRule="auto"/>
            </w:pPr>
            <w:r/>
            <w:r>
              <w:rPr>
                <w:rFonts w:ascii="Arial" w:hAnsi="Arial" w:cs="Arial"/>
                <w:b/>
                <w:i w:val="0"/>
                <w:sz w:val="18"/>
              </w:rPr>
              <w:t>Notes</w:t>
            </w:r>
          </w:p>
        </w:tc>
      </w:tr>
      <w:tr>
        <w:tc>
          <w:tcPr>
            <w:tcW w:type="dxa" w:w="3213"/>
          </w:tcPr>
          <w:p>
            <w:pPr>
              <w:spacing w:after="20" w:before="20" w:line="240" w:lineRule="auto"/>
            </w:pPr>
            <w:r/>
            <w:r>
              <w:rPr>
                <w:rFonts w:ascii="Arial" w:hAnsi="Arial" w:cs="Arial"/>
                <w:b w:val="0"/>
                <w:i w:val="0"/>
                <w:sz w:val="17"/>
              </w:rPr>
              <w:t>Ocean</w:t>
            </w:r>
          </w:p>
        </w:tc>
        <w:tc>
          <w:tcPr>
            <w:tcW w:type="dxa" w:w="3213"/>
          </w:tcPr>
          <w:p>
            <w:pPr>
              <w:spacing w:after="20" w:before="20" w:line="240" w:lineRule="auto"/>
            </w:pPr>
            <w:r/>
            <w:r>
              <w:rPr>
                <w:rFonts w:ascii="Arial" w:hAnsi="Arial" w:cs="Arial"/>
                <w:b w:val="0"/>
                <w:i w:val="0"/>
                <w:sz w:val="17"/>
              </w:rPr>
              <w:t>20ft Standard, 40ft Standard, 40ft High-Cube, 20ft Reefer, 40ft Reefer, 40ft HC Reefer, Open Top, Flat Rack, Tank</w:t>
            </w:r>
          </w:p>
        </w:tc>
        <w:tc>
          <w:tcPr>
            <w:tcW w:type="dxa" w:w="3213"/>
          </w:tcPr>
          <w:p>
            <w:pPr>
              <w:spacing w:after="20" w:before="20" w:line="240" w:lineRule="auto"/>
            </w:pPr>
            <w:r/>
            <w:r>
              <w:rPr>
                <w:rFonts w:ascii="Arial" w:hAnsi="Arial" w:cs="Arial"/>
                <w:b w:val="0"/>
                <w:i w:val="0"/>
                <w:sz w:val="17"/>
              </w:rPr>
              <w:t>Sea corridors; reefer for perishables</w:t>
            </w:r>
          </w:p>
        </w:tc>
      </w:tr>
      <w:tr>
        <w:tc>
          <w:tcPr>
            <w:tcW w:type="dxa" w:w="3213"/>
          </w:tcPr>
          <w:p>
            <w:pPr>
              <w:spacing w:after="20" w:before="20" w:line="240" w:lineRule="auto"/>
            </w:pPr>
            <w:r/>
            <w:r>
              <w:rPr>
                <w:rFonts w:ascii="Arial" w:hAnsi="Arial" w:cs="Arial"/>
                <w:b w:val="0"/>
                <w:i w:val="0"/>
                <w:sz w:val="17"/>
              </w:rPr>
              <w:t>Air</w:t>
            </w:r>
          </w:p>
        </w:tc>
        <w:tc>
          <w:tcPr>
            <w:tcW w:type="dxa" w:w="3213"/>
          </w:tcPr>
          <w:p>
            <w:pPr>
              <w:spacing w:after="20" w:before="20" w:line="240" w:lineRule="auto"/>
            </w:pPr>
            <w:r/>
            <w:r>
              <w:rPr>
                <w:rFonts w:ascii="Arial" w:hAnsi="Arial" w:cs="Arial"/>
                <w:b w:val="0"/>
                <w:i w:val="0"/>
                <w:sz w:val="17"/>
              </w:rPr>
              <w:t>Pallet (96×125), Pallet High, LD3 Container, LD6 Container, LD9 Container, RKN Reefer</w:t>
            </w:r>
          </w:p>
        </w:tc>
        <w:tc>
          <w:tcPr>
            <w:tcW w:type="dxa" w:w="3213"/>
          </w:tcPr>
          <w:p>
            <w:pPr>
              <w:spacing w:after="20" w:before="20" w:line="240" w:lineRule="auto"/>
            </w:pPr>
            <w:r/>
            <w:r>
              <w:rPr>
                <w:rFonts w:ascii="Arial" w:hAnsi="Arial" w:cs="Arial"/>
                <w:b w:val="0"/>
                <w:i w:val="0"/>
                <w:sz w:val="17"/>
              </w:rPr>
              <w:t>Fastest; weight-limited</w:t>
            </w:r>
          </w:p>
        </w:tc>
      </w:tr>
      <w:tr>
        <w:tc>
          <w:tcPr>
            <w:tcW w:type="dxa" w:w="3213"/>
          </w:tcPr>
          <w:p>
            <w:pPr>
              <w:spacing w:after="20" w:before="20" w:line="240" w:lineRule="auto"/>
            </w:pPr>
            <w:r/>
            <w:r>
              <w:rPr>
                <w:rFonts w:ascii="Arial" w:hAnsi="Arial" w:cs="Arial"/>
                <w:b w:val="0"/>
                <w:i w:val="0"/>
                <w:sz w:val="17"/>
              </w:rPr>
              <w:t>Rail</w:t>
            </w:r>
          </w:p>
        </w:tc>
        <w:tc>
          <w:tcPr>
            <w:tcW w:type="dxa" w:w="3213"/>
          </w:tcPr>
          <w:p>
            <w:pPr>
              <w:spacing w:after="20" w:before="20" w:line="240" w:lineRule="auto"/>
            </w:pPr>
            <w:r/>
            <w:r>
              <w:rPr>
                <w:rFonts w:ascii="Arial" w:hAnsi="Arial" w:cs="Arial"/>
                <w:b w:val="0"/>
                <w:i w:val="0"/>
                <w:sz w:val="17"/>
              </w:rPr>
              <w:t>Box Wagon, Flat Wagon, Tank Wagon, Reefer Wagon</w:t>
            </w:r>
          </w:p>
        </w:tc>
        <w:tc>
          <w:tcPr>
            <w:tcW w:type="dxa" w:w="3213"/>
          </w:tcPr>
          <w:p>
            <w:pPr>
              <w:spacing w:after="20" w:before="20" w:line="240" w:lineRule="auto"/>
            </w:pPr>
            <w:r/>
            <w:r>
              <w:rPr>
                <w:rFonts w:ascii="Arial" w:hAnsi="Arial" w:cs="Arial"/>
                <w:b w:val="0"/>
                <w:i w:val="0"/>
                <w:sz w:val="17"/>
              </w:rPr>
              <w:t>Land corridors</w:t>
            </w:r>
          </w:p>
        </w:tc>
      </w:tr>
      <w:tr>
        <w:tc>
          <w:tcPr>
            <w:tcW w:type="dxa" w:w="3213"/>
          </w:tcPr>
          <w:p>
            <w:pPr>
              <w:spacing w:after="20" w:before="20" w:line="240" w:lineRule="auto"/>
            </w:pPr>
            <w:r/>
            <w:r>
              <w:rPr>
                <w:rFonts w:ascii="Arial" w:hAnsi="Arial" w:cs="Arial"/>
                <w:b w:val="0"/>
                <w:i w:val="0"/>
                <w:sz w:val="17"/>
              </w:rPr>
              <w:t>Truck</w:t>
            </w:r>
          </w:p>
        </w:tc>
        <w:tc>
          <w:tcPr>
            <w:tcW w:type="dxa" w:w="3213"/>
          </w:tcPr>
          <w:p>
            <w:pPr>
              <w:spacing w:after="20" w:before="20" w:line="240" w:lineRule="auto"/>
            </w:pPr>
            <w:r/>
            <w:r>
              <w:rPr>
                <w:rFonts w:ascii="Arial" w:hAnsi="Arial" w:cs="Arial"/>
                <w:b w:val="0"/>
                <w:i w:val="0"/>
                <w:sz w:val="17"/>
              </w:rPr>
              <w:t>Dry Van, Reefer, Flatbed, Curtain Side, Tank</w:t>
            </w:r>
          </w:p>
        </w:tc>
        <w:tc>
          <w:tcPr>
            <w:tcW w:type="dxa" w:w="3213"/>
          </w:tcPr>
          <w:p>
            <w:pPr>
              <w:spacing w:after="20" w:before="20" w:line="240" w:lineRule="auto"/>
            </w:pPr>
            <w:r/>
            <w:r>
              <w:rPr>
                <w:rFonts w:ascii="Arial" w:hAnsi="Arial" w:cs="Arial"/>
                <w:b w:val="0"/>
                <w:i w:val="0"/>
                <w:sz w:val="17"/>
              </w:rPr>
              <w:t>Regional</w:t>
            </w:r>
          </w:p>
        </w:tc>
      </w:tr>
      <w:tr>
        <w:tc>
          <w:tcPr>
            <w:tcW w:type="dxa" w:w="3213"/>
          </w:tcPr>
          <w:p>
            <w:pPr>
              <w:spacing w:after="20" w:before="20" w:line="240" w:lineRule="auto"/>
            </w:pPr>
            <w:r/>
            <w:r>
              <w:rPr>
                <w:rFonts w:ascii="Arial" w:hAnsi="Arial" w:cs="Arial"/>
                <w:b w:val="0"/>
                <w:i w:val="0"/>
                <w:sz w:val="17"/>
              </w:rPr>
              <w:t>RoRo</w:t>
            </w:r>
          </w:p>
        </w:tc>
        <w:tc>
          <w:tcPr>
            <w:tcW w:type="dxa" w:w="3213"/>
          </w:tcPr>
          <w:p>
            <w:pPr>
              <w:spacing w:after="20" w:before="20" w:line="240" w:lineRule="auto"/>
            </w:pPr>
            <w:r/>
            <w:r>
              <w:rPr>
                <w:rFonts w:ascii="Arial" w:hAnsi="Arial" w:cs="Arial"/>
                <w:b w:val="0"/>
                <w:i w:val="0"/>
                <w:sz w:val="17"/>
              </w:rPr>
              <w:t>RoRo Units (VIN-level tracking)</w:t>
            </w:r>
          </w:p>
        </w:tc>
        <w:tc>
          <w:tcPr>
            <w:tcW w:type="dxa" w:w="3213"/>
          </w:tcPr>
          <w:p>
            <w:pPr>
              <w:spacing w:after="20" w:before="20" w:line="240" w:lineRule="auto"/>
            </w:pPr>
            <w:r/>
            <w:r>
              <w:rPr>
                <w:rFonts w:ascii="Arial" w:hAnsi="Arial" w:cs="Arial"/>
                <w:b w:val="0"/>
                <w:i w:val="0"/>
                <w:sz w:val="17"/>
              </w:rPr>
              <w:t>Vehicles and rolling equipment</w:t>
            </w:r>
          </w:p>
        </w:tc>
      </w:tr>
      <w:tr>
        <w:tc>
          <w:tcPr>
            <w:tcW w:type="dxa" w:w="3213"/>
          </w:tcPr>
          <w:p>
            <w:pPr>
              <w:spacing w:after="20" w:before="20" w:line="240" w:lineRule="auto"/>
            </w:pPr>
            <w:r/>
            <w:r>
              <w:rPr>
                <w:rFonts w:ascii="Arial" w:hAnsi="Arial" w:cs="Arial"/>
                <w:b w:val="0"/>
                <w:i w:val="0"/>
                <w:sz w:val="17"/>
              </w:rPr>
              <w:t>Multimodal</w:t>
            </w:r>
          </w:p>
        </w:tc>
        <w:tc>
          <w:tcPr>
            <w:tcW w:type="dxa" w:w="3213"/>
          </w:tcPr>
          <w:p>
            <w:pPr>
              <w:spacing w:after="20" w:before="20" w:line="240" w:lineRule="auto"/>
            </w:pPr>
            <w:r/>
            <w:r>
              <w:rPr>
                <w:rFonts w:ascii="Arial" w:hAnsi="Arial" w:cs="Arial"/>
                <w:b w:val="0"/>
                <w:i w:val="0"/>
                <w:sz w:val="17"/>
              </w:rPr>
              <w:t>Combination of the above</w:t>
            </w:r>
          </w:p>
        </w:tc>
        <w:tc>
          <w:tcPr>
            <w:tcW w:type="dxa" w:w="3213"/>
          </w:tcPr>
          <w:p>
            <w:pPr>
              <w:spacing w:after="20" w:before="20" w:line="240" w:lineRule="auto"/>
            </w:pPr>
            <w:r/>
            <w:r>
              <w:rPr>
                <w:rFonts w:ascii="Arial" w:hAnsi="Arial" w:cs="Arial"/>
                <w:b w:val="0"/>
                <w:i w:val="0"/>
                <w:sz w:val="17"/>
              </w:rPr>
              <w:t>Mixed corridors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6.9.2.3 Mode Selection Logic</w:t>
      </w:r>
    </w:p>
    <w:p>
      <w:pPr>
        <w:spacing w:after="0" w:before="0" w:line="240" w:lineRule="auto"/>
        <w:ind w:left="57"/>
        <w:jc w:val="left"/>
        <w:shd w:val="clear" w:fill="F2F2F2"/>
      </w:pPr>
      <w:r>
        <w:rPr>
          <w:rFonts w:ascii="Consolas" w:hAnsi="Consolas" w:cs="Consolas"/>
          <w:b w:val="0"/>
          <w:i w:val="0"/>
          <w:sz w:val="15"/>
        </w:rPr>
        <w:t>// Pseudo-code: Transport mode selection logic</w:t>
      </w:r>
    </w:p>
    <w:p>
      <w:pPr>
        <w:spacing w:after="0" w:before="0" w:line="240" w:lineRule="auto"/>
        <w:ind w:left="57"/>
        <w:jc w:val="left"/>
        <w:shd w:val="clear" w:fill="F2F2F2"/>
      </w:pPr>
      <w:r>
        <w:rPr>
          <w:rFonts w:ascii="Consolas" w:hAnsi="Consolas" w:cs="Consolas"/>
          <w:b w:val="0"/>
          <w:i w:val="0"/>
          <w:sz w:val="15"/>
        </w:rPr>
        <w:t>fn select_transport_mode(</w:t>
      </w:r>
    </w:p>
    <w:p>
      <w:pPr>
        <w:spacing w:after="0" w:before="0" w:line="240" w:lineRule="auto"/>
        <w:ind w:left="57"/>
        <w:jc w:val="left"/>
        <w:shd w:val="clear" w:fill="F2F2F2"/>
      </w:pPr>
      <w:r>
        <w:rPr>
          <w:rFonts w:ascii="Consolas" w:hAnsi="Consolas" w:cs="Consolas"/>
          <w:b w:val="0"/>
          <w:i w:val="0"/>
          <w:sz w:val="15"/>
        </w:rPr>
        <w:t xml:space="preserve">    origin: &amp;str,</w:t>
      </w:r>
    </w:p>
    <w:p>
      <w:pPr>
        <w:spacing w:after="0" w:before="0" w:line="240" w:lineRule="auto"/>
        <w:ind w:left="57"/>
        <w:jc w:val="left"/>
        <w:shd w:val="clear" w:fill="F2F2F2"/>
      </w:pPr>
      <w:r>
        <w:rPr>
          <w:rFonts w:ascii="Consolas" w:hAnsi="Consolas" w:cs="Consolas"/>
          <w:b w:val="0"/>
          <w:i w:val="0"/>
          <w:sz w:val="15"/>
        </w:rPr>
        <w:t xml:space="preserve">    destination: &amp;str,</w:t>
      </w:r>
    </w:p>
    <w:p>
      <w:pPr>
        <w:spacing w:after="0" w:before="0" w:line="240" w:lineRule="auto"/>
        <w:ind w:left="57"/>
        <w:jc w:val="left"/>
        <w:shd w:val="clear" w:fill="F2F2F2"/>
      </w:pPr>
      <w:r>
        <w:rPr>
          <w:rFonts w:ascii="Consolas" w:hAnsi="Consolas" w:cs="Consolas"/>
          <w:b w:val="0"/>
          <w:i w:val="0"/>
          <w:sz w:val="15"/>
        </w:rPr>
        <w:t xml:space="preserve">    commodity: &amp;str,</w:t>
      </w:r>
    </w:p>
    <w:p>
      <w:pPr>
        <w:spacing w:after="0" w:before="0" w:line="240" w:lineRule="auto"/>
        <w:ind w:left="57"/>
        <w:jc w:val="left"/>
        <w:shd w:val="clear" w:fill="F2F2F2"/>
      </w:pPr>
      <w:r>
        <w:rPr>
          <w:rFonts w:ascii="Consolas" w:hAnsi="Consolas" w:cs="Consolas"/>
          <w:b w:val="0"/>
          <w:i w:val="0"/>
          <w:sz w:val="15"/>
        </w:rPr>
        <w:t xml:space="preserve">    weight_kg: f64,</w:t>
      </w:r>
    </w:p>
    <w:p>
      <w:pPr>
        <w:spacing w:after="0" w:before="0" w:line="240" w:lineRule="auto"/>
        <w:ind w:left="57"/>
        <w:jc w:val="left"/>
        <w:shd w:val="clear" w:fill="F2F2F2"/>
      </w:pPr>
      <w:r>
        <w:rPr>
          <w:rFonts w:ascii="Consolas" w:hAnsi="Consolas" w:cs="Consolas"/>
          <w:b w:val="0"/>
          <w:i w:val="0"/>
          <w:sz w:val="15"/>
        </w:rPr>
        <w:t xml:space="preserve">    urgency: Urgency</w:t>
      </w:r>
    </w:p>
    <w:p>
      <w:pPr>
        <w:spacing w:after="0" w:before="0" w:line="240" w:lineRule="auto"/>
        <w:ind w:left="57"/>
        <w:jc w:val="left"/>
        <w:shd w:val="clear" w:fill="F2F2F2"/>
      </w:pPr>
      <w:r>
        <w:rPr>
          <w:rFonts w:ascii="Consolas" w:hAnsi="Consolas" w:cs="Consolas"/>
          <w:b w:val="0"/>
          <w:i w:val="0"/>
          <w:sz w:val="15"/>
        </w:rPr>
        <w:t>) -&gt; Result&lt;TransportMode&gt; {</w:t>
      </w:r>
    </w:p>
    <w:p>
      <w:pPr>
        <w:spacing w:after="0" w:before="0" w:line="240" w:lineRule="auto"/>
        <w:ind w:left="57"/>
        <w:jc w:val="left"/>
        <w:shd w:val="clear" w:fill="F2F2F2"/>
      </w:pPr>
      <w:r>
        <w:rPr>
          <w:rFonts w:ascii="Consolas" w:hAnsi="Consolas" w:cs="Consolas"/>
          <w:b w:val="0"/>
          <w:i w:val="0"/>
          <w:sz w:val="15"/>
        </w:rPr>
        <w:t xml:space="preserve">    // 1. Check if route is served by ocean</w:t>
      </w:r>
    </w:p>
    <w:p>
      <w:pPr>
        <w:spacing w:after="0" w:before="0" w:line="240" w:lineRule="auto"/>
        <w:ind w:left="57"/>
        <w:jc w:val="left"/>
        <w:shd w:val="clear" w:fill="F2F2F2"/>
      </w:pPr>
      <w:r>
        <w:rPr>
          <w:rFonts w:ascii="Consolas" w:hAnsi="Consolas" w:cs="Consolas"/>
          <w:b w:val="0"/>
          <w:i w:val="0"/>
          <w:sz w:val="15"/>
        </w:rPr>
        <w:t xml:space="preserve">    if is_ocean_route(origin, destination) {</w:t>
      </w:r>
    </w:p>
    <w:p>
      <w:pPr>
        <w:spacing w:after="0" w:before="0" w:line="240" w:lineRule="auto"/>
        <w:ind w:left="57"/>
        <w:jc w:val="left"/>
        <w:shd w:val="clear" w:fill="F2F2F2"/>
      </w:pPr>
      <w:r>
        <w:rPr>
          <w:rFonts w:ascii="Consolas" w:hAnsi="Consolas" w:cs="Consolas"/>
          <w:b w:val="0"/>
          <w:i w:val="0"/>
          <w:sz w:val="15"/>
        </w:rPr>
        <w:t xml:space="preserve">        // 2. Check if commodity requires air (perishable, urgent)</w:t>
      </w:r>
    </w:p>
    <w:p>
      <w:pPr>
        <w:spacing w:after="0" w:before="0" w:line="240" w:lineRule="auto"/>
        <w:ind w:left="57"/>
        <w:jc w:val="left"/>
        <w:shd w:val="clear" w:fill="F2F2F2"/>
      </w:pPr>
      <w:r>
        <w:rPr>
          <w:rFonts w:ascii="Consolas" w:hAnsi="Consolas" w:cs="Consolas"/>
          <w:b w:val="0"/>
          <w:i w:val="0"/>
          <w:sz w:val="15"/>
        </w:rPr>
        <w:t xml:space="preserve">        if is_perishable(commodity) &amp;&amp; urgency == Urgency::Urgent {</w:t>
      </w:r>
    </w:p>
    <w:p>
      <w:pPr>
        <w:spacing w:after="0" w:before="0" w:line="240" w:lineRule="auto"/>
        <w:ind w:left="57"/>
        <w:jc w:val="left"/>
        <w:shd w:val="clear" w:fill="F2F2F2"/>
      </w:pPr>
      <w:r>
        <w:rPr>
          <w:rFonts w:ascii="Consolas" w:hAnsi="Consolas" w:cs="Consolas"/>
          <w:b w:val="0"/>
          <w:i w:val="0"/>
          <w:sz w:val="15"/>
        </w:rPr>
        <w:t xml:space="preserve">            return Ok(TransportMode::Air);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if weight justifies ocean (bulk)</w:t>
      </w:r>
    </w:p>
    <w:p>
      <w:pPr>
        <w:spacing w:after="0" w:before="0" w:line="240" w:lineRule="auto"/>
        <w:ind w:left="57"/>
        <w:jc w:val="left"/>
        <w:shd w:val="clear" w:fill="F2F2F2"/>
      </w:pPr>
      <w:r>
        <w:rPr>
          <w:rFonts w:ascii="Consolas" w:hAnsi="Consolas" w:cs="Consolas"/>
          <w:b w:val="0"/>
          <w:i w:val="0"/>
          <w:sz w:val="15"/>
        </w:rPr>
        <w:t xml:space="preserve">        if weight_kg &gt; 1000.0 {</w:t>
      </w:r>
    </w:p>
    <w:p>
      <w:pPr>
        <w:spacing w:after="0" w:before="0" w:line="240" w:lineRule="auto"/>
        <w:ind w:left="57"/>
        <w:jc w:val="left"/>
        <w:shd w:val="clear" w:fill="F2F2F2"/>
      </w:pPr>
      <w:r>
        <w:rPr>
          <w:rFonts w:ascii="Consolas" w:hAnsi="Consolas" w:cs="Consolas"/>
          <w:b w:val="0"/>
          <w:i w:val="0"/>
          <w:sz w:val="15"/>
        </w:rPr>
        <w:t xml:space="preserve">            return Ok(TransportMode::Ocean);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Default to ocean for international</w:t>
      </w:r>
    </w:p>
    <w:p>
      <w:pPr>
        <w:spacing w:after="0" w:before="0" w:line="240" w:lineRule="auto"/>
        <w:ind w:left="57"/>
        <w:jc w:val="left"/>
        <w:shd w:val="clear" w:fill="F2F2F2"/>
      </w:pPr>
      <w:r>
        <w:rPr>
          <w:rFonts w:ascii="Consolas" w:hAnsi="Consolas" w:cs="Consolas"/>
          <w:b w:val="0"/>
          <w:i w:val="0"/>
          <w:sz w:val="15"/>
        </w:rPr>
        <w:t xml:space="preserve">        return Ok(TransportMode::Ocean);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Check if route is served by rail</w:t>
      </w:r>
    </w:p>
    <w:p>
      <w:pPr>
        <w:spacing w:after="0" w:before="0" w:line="240" w:lineRule="auto"/>
        <w:ind w:left="57"/>
        <w:jc w:val="left"/>
        <w:shd w:val="clear" w:fill="F2F2F2"/>
      </w:pPr>
      <w:r>
        <w:rPr>
          <w:rFonts w:ascii="Consolas" w:hAnsi="Consolas" w:cs="Consolas"/>
          <w:b w:val="0"/>
          <w:i w:val="0"/>
          <w:sz w:val="15"/>
        </w:rPr>
        <w:t xml:space="preserve">    if is_rail_route(origin, destination) {</w:t>
      </w:r>
    </w:p>
    <w:p>
      <w:pPr>
        <w:spacing w:after="0" w:before="0" w:line="240" w:lineRule="auto"/>
        <w:ind w:left="57"/>
        <w:jc w:val="left"/>
        <w:shd w:val="clear" w:fill="F2F2F2"/>
      </w:pPr>
      <w:r>
        <w:rPr>
          <w:rFonts w:ascii="Consolas" w:hAnsi="Consolas" w:cs="Consolas"/>
          <w:b w:val="0"/>
          <w:i w:val="0"/>
          <w:sz w:val="15"/>
        </w:rPr>
        <w:t xml:space="preserve">        return Ok(TransportMode::Rail);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6. Default to truck for regional</w:t>
      </w:r>
    </w:p>
    <w:p>
      <w:pPr>
        <w:spacing w:after="0" w:before="0" w:line="240" w:lineRule="auto"/>
        <w:ind w:left="57"/>
        <w:jc w:val="left"/>
        <w:shd w:val="clear" w:fill="F2F2F2"/>
      </w:pPr>
      <w:r>
        <w:rPr>
          <w:rFonts w:ascii="Consolas" w:hAnsi="Consolas" w:cs="Consolas"/>
          <w:b w:val="0"/>
          <w:i w:val="0"/>
          <w:sz w:val="15"/>
        </w:rPr>
        <w:t xml:space="preserve">    if is_regional(origin, destination) {</w:t>
      </w:r>
    </w:p>
    <w:p>
      <w:pPr>
        <w:spacing w:after="0" w:before="0" w:line="240" w:lineRule="auto"/>
        <w:ind w:left="57"/>
        <w:jc w:val="left"/>
        <w:shd w:val="clear" w:fill="F2F2F2"/>
      </w:pPr>
      <w:r>
        <w:rPr>
          <w:rFonts w:ascii="Consolas" w:hAnsi="Consolas" w:cs="Consolas"/>
          <w:b w:val="0"/>
          <w:i w:val="0"/>
          <w:sz w:val="15"/>
        </w:rPr>
        <w:t xml:space="preserve">        return Ok(TransportMode::Truck);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7. Fallback to multimodal</w:t>
      </w:r>
    </w:p>
    <w:p>
      <w:pPr>
        <w:spacing w:after="0" w:before="0" w:line="240" w:lineRule="auto"/>
        <w:ind w:left="57"/>
        <w:jc w:val="left"/>
        <w:shd w:val="clear" w:fill="F2F2F2"/>
      </w:pPr>
      <w:r>
        <w:rPr>
          <w:rFonts w:ascii="Consolas" w:hAnsi="Consolas" w:cs="Consolas"/>
          <w:b w:val="0"/>
          <w:i w:val="0"/>
          <w:sz w:val="15"/>
        </w:rPr>
        <w:t xml:space="preserve">    Ok(TransportMode::Multimodal)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6.9.3 Dynamic Equipment Loading</w:t>
      </w:r>
    </w:p>
    <w:p>
      <w:pPr>
        <w:keepNext/>
        <w:spacing w:before="140" w:after="60"/>
        <w:outlineLvl w:val="3"/>
      </w:pPr>
      <w:r>
        <w:rPr>
          <w:rFonts w:ascii="Arial" w:hAnsi="Arial" w:cs="Arial"/>
          <w:b/>
          <w:i/>
          <w:color w:val="333333"/>
          <w:sz w:val="22"/>
        </w:rPr>
        <w:t>6.9.3.1 Ocean — Container Types</w:t>
      </w:r>
    </w:p>
    <w:p>
      <w:pPr>
        <w:spacing w:after="80" w:line="293" w:lineRule="auto"/>
        <w:jc w:val="left"/>
      </w:pPr>
      <w:r>
        <w:rPr>
          <w:rFonts w:ascii="Times New Roman" w:hAnsi="Times New Roman" w:cs="Times New Roman"/>
          <w:b w:val="0"/>
          <w:i w:val="0"/>
          <w:sz w:val="22"/>
        </w:rPr>
        <w:t>When Ocean is selected, the system displays container types: 40ft Reefer, 20ft Standard, 40ft Standard, 40ft High-Cube, Open Top, Flat Rack, Tank Container.</w:t>
      </w:r>
    </w:p>
    <w:p>
      <w:pPr>
        <w:spacing w:after="0" w:before="0" w:line="240" w:lineRule="auto"/>
        <w:ind w:left="57"/>
        <w:jc w:val="left"/>
        <w:shd w:val="clear" w:fill="F2F2F2"/>
      </w:pPr>
      <w:r>
        <w:rPr>
          <w:rFonts w:ascii="Consolas" w:hAnsi="Consolas" w:cs="Consolas"/>
          <w:b w:val="0"/>
          <w:i w:val="0"/>
          <w:sz w:val="15"/>
        </w:rPr>
        <w:t>CONTAINER TYPE (Ocean)</w:t>
      </w:r>
    </w:p>
    <w:p>
      <w:pPr>
        <w:spacing w:after="0" w:before="0" w:line="240" w:lineRule="auto"/>
        <w:ind w:left="57"/>
        <w:jc w:val="left"/>
        <w:shd w:val="clear" w:fill="F2F2F2"/>
      </w:pPr>
      <w:r>
        <w:rPr>
          <w:rFonts w:ascii="Consolas" w:hAnsi="Consolas" w:cs="Consolas"/>
          <w:b w:val="0"/>
          <w:i w:val="0"/>
          <w:sz w:val="15"/>
        </w:rPr>
        <w:t xml:space="preserve">  Select the container type(s) for this shipment:</w:t>
      </w:r>
    </w:p>
    <w:p>
      <w:pPr>
        <w:spacing w:after="0" w:before="0" w:line="240" w:lineRule="auto"/>
        <w:ind w:left="57"/>
        <w:jc w:val="left"/>
        <w:shd w:val="clear" w:fill="F2F2F2"/>
      </w:pPr>
      <w:r>
        <w:rPr>
          <w:rFonts w:ascii="Consolas" w:hAnsi="Consolas" w:cs="Consolas"/>
          <w:b w:val="0"/>
          <w:i w:val="0"/>
          <w:sz w:val="15"/>
        </w:rPr>
        <w:t xml:space="preserve">  [40ft Reefer] [20ft Standard] [40ft Standard]</w:t>
      </w:r>
    </w:p>
    <w:p>
      <w:pPr>
        <w:spacing w:after="0" w:before="0" w:line="240" w:lineRule="auto"/>
        <w:ind w:left="57"/>
        <w:jc w:val="left"/>
        <w:shd w:val="clear" w:fill="F2F2F2"/>
      </w:pPr>
      <w:r>
        <w:rPr>
          <w:rFonts w:ascii="Consolas" w:hAnsi="Consolas" w:cs="Consolas"/>
          <w:b w:val="0"/>
          <w:i w:val="0"/>
          <w:sz w:val="15"/>
        </w:rPr>
        <w:t xml:space="preserve">  [40ft High-Cube] [Open Top] [Flat Rack] [Tank Container]</w:t>
      </w:r>
    </w:p>
    <w:p>
      <w:pPr>
        <w:spacing w:after="0" w:before="0" w:line="240" w:lineRule="auto"/>
        <w:ind w:left="57"/>
        <w:jc w:val="left"/>
        <w:shd w:val="clear" w:fill="F2F2F2"/>
      </w:pPr>
      <w:r>
        <w:rPr>
          <w:rFonts w:ascii="Consolas" w:hAnsi="Consolas" w:cs="Consolas"/>
          <w:b w:val="0"/>
          <w:i w:val="0"/>
          <w:sz w:val="15"/>
        </w:rPr>
        <w:t xml:space="preserve">  Number of Containers: [2]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 Recommendation: 40ft Reefer recommended for perishable goods.</w:t>
      </w:r>
    </w:p>
    <w:p>
      <w:pPr>
        <w:spacing w:after="0" w:before="0" w:line="240" w:lineRule="auto"/>
        <w:ind w:left="57"/>
        <w:jc w:val="left"/>
        <w:shd w:val="clear" w:fill="F2F2F2"/>
      </w:pPr>
      <w:r>
        <w:rPr>
          <w:rFonts w:ascii="Consolas" w:hAnsi="Consolas" w:cs="Consolas"/>
          <w:b w:val="0"/>
          <w:i w:val="0"/>
          <w:sz w:val="15"/>
        </w:rPr>
        <w:t xml:space="preserve">  Estimated total capacity: 2 × 40ft Reefer = 135.4 cbm</w:t>
      </w:r>
    </w:p>
    <w:p>
      <w:pPr>
        <w:spacing w:after="0" w:before="0" w:line="240" w:lineRule="auto"/>
        <w:ind w:left="57"/>
        <w:jc w:val="left"/>
        <w:shd w:val="clear" w:fill="F2F2F2"/>
      </w:pPr>
      <w:r>
        <w:rPr>
          <w:rFonts w:ascii="Consolas" w:hAnsi="Consolas" w:cs="Consolas"/>
          <w:b w:val="0"/>
          <w:i w:val="0"/>
          <w:sz w:val="15"/>
        </w:rPr>
        <w:t xml:space="preserve">  Estimated payload: 2 × 28,000 kg = 56,000 kg</w:t>
      </w:r>
    </w:p>
    <w:p>
      <w:pPr>
        <w:spacing w:after="0" w:before="0" w:line="240" w:lineRule="auto"/>
        <w:ind w:left="57"/>
        <w:jc w:val="left"/>
        <w:shd w:val="clear" w:fill="F2F2F2"/>
      </w:pPr>
      <w:r>
        <w:rPr>
          <w:rFonts w:ascii="Consolas" w:hAnsi="Consolas" w:cs="Consolas"/>
          <w:b w:val="0"/>
          <w:i w:val="0"/>
          <w:sz w:val="15"/>
        </w:rPr>
        <w:t xml:space="preserve">  Container capacity sufficient for 20,000 kg</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6.9.3.2 Air — ULD Types</w:t>
      </w:r>
    </w:p>
    <w:p>
      <w:pPr>
        <w:spacing w:after="80" w:line="293" w:lineRule="auto"/>
        <w:jc w:val="left"/>
      </w:pPr>
      <w:r>
        <w:rPr>
          <w:rFonts w:ascii="Times New Roman" w:hAnsi="Times New Roman" w:cs="Times New Roman"/>
          <w:b w:val="0"/>
          <w:i w:val="0"/>
          <w:sz w:val="22"/>
        </w:rPr>
        <w:t>When Air is selected, the system displays ULD (Unit Load Device) types: Pallet (96×125), Pallet High, LD3 Container, LD6 Container, LD9 Container, RKN Reefer.</w:t>
      </w:r>
    </w:p>
    <w:p>
      <w:pPr>
        <w:spacing w:after="0" w:before="0" w:line="240" w:lineRule="auto"/>
        <w:ind w:left="57"/>
        <w:jc w:val="left"/>
        <w:shd w:val="clear" w:fill="F2F2F2"/>
      </w:pPr>
      <w:r>
        <w:rPr>
          <w:rFonts w:ascii="Consolas" w:hAnsi="Consolas" w:cs="Consolas"/>
          <w:b w:val="0"/>
          <w:i w:val="0"/>
          <w:sz w:val="15"/>
        </w:rPr>
        <w:t>ULD TYPE (Air)</w:t>
      </w:r>
    </w:p>
    <w:p>
      <w:pPr>
        <w:spacing w:after="0" w:before="0" w:line="240" w:lineRule="auto"/>
        <w:ind w:left="57"/>
        <w:jc w:val="left"/>
        <w:shd w:val="clear" w:fill="F2F2F2"/>
      </w:pPr>
      <w:r>
        <w:rPr>
          <w:rFonts w:ascii="Consolas" w:hAnsi="Consolas" w:cs="Consolas"/>
          <w:b w:val="0"/>
          <w:i w:val="0"/>
          <w:sz w:val="15"/>
        </w:rPr>
        <w:t xml:space="preserve">  Select the ULD type(s) for this shipment:</w:t>
      </w:r>
    </w:p>
    <w:p>
      <w:pPr>
        <w:spacing w:after="0" w:before="0" w:line="240" w:lineRule="auto"/>
        <w:ind w:left="57"/>
        <w:jc w:val="left"/>
        <w:shd w:val="clear" w:fill="F2F2F2"/>
      </w:pPr>
      <w:r>
        <w:rPr>
          <w:rFonts w:ascii="Consolas" w:hAnsi="Consolas" w:cs="Consolas"/>
          <w:b w:val="0"/>
          <w:i w:val="0"/>
          <w:sz w:val="15"/>
        </w:rPr>
        <w:t xml:space="preserve">  [Pallet (96×125)] [Pallet High] [LD3 Container] [LD6 Container]</w:t>
      </w:r>
    </w:p>
    <w:p>
      <w:pPr>
        <w:spacing w:after="0" w:before="0" w:line="240" w:lineRule="auto"/>
        <w:ind w:left="57"/>
        <w:jc w:val="left"/>
        <w:shd w:val="clear" w:fill="F2F2F2"/>
      </w:pPr>
      <w:r>
        <w:rPr>
          <w:rFonts w:ascii="Consolas" w:hAnsi="Consolas" w:cs="Consolas"/>
          <w:b w:val="0"/>
          <w:i w:val="0"/>
          <w:sz w:val="15"/>
        </w:rPr>
        <w:t xml:space="preserve">  [LD9 Container] [RKN Reefer]</w:t>
      </w:r>
    </w:p>
    <w:p>
      <w:pPr>
        <w:spacing w:after="0" w:before="0" w:line="240" w:lineRule="auto"/>
        <w:ind w:left="57"/>
        <w:jc w:val="left"/>
        <w:shd w:val="clear" w:fill="F2F2F2"/>
      </w:pPr>
      <w:r>
        <w:rPr>
          <w:rFonts w:ascii="Consolas" w:hAnsi="Consolas" w:cs="Consolas"/>
          <w:b w:val="0"/>
          <w:i w:val="0"/>
          <w:sz w:val="15"/>
        </w:rPr>
        <w:t xml:space="preserve">  Number of ULDs: [4]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AI Recommendation: 4 × Pallet (96×125) recommended for this cargo.</w:t>
      </w:r>
    </w:p>
    <w:p>
      <w:pPr>
        <w:spacing w:after="0" w:before="0" w:line="240" w:lineRule="auto"/>
        <w:ind w:left="57"/>
        <w:jc w:val="left"/>
        <w:shd w:val="clear" w:fill="F2F2F2"/>
      </w:pPr>
      <w:r>
        <w:rPr>
          <w:rFonts w:ascii="Consolas" w:hAnsi="Consolas" w:cs="Consolas"/>
          <w:b w:val="0"/>
          <w:i w:val="0"/>
          <w:sz w:val="15"/>
        </w:rPr>
        <w:t xml:space="preserve">  Estimated total capacity: 4 × 9.0 cbm = 36.0 cbm</w:t>
      </w:r>
    </w:p>
    <w:p>
      <w:pPr>
        <w:spacing w:after="0" w:before="0" w:line="240" w:lineRule="auto"/>
        <w:ind w:left="57"/>
        <w:jc w:val="left"/>
        <w:shd w:val="clear" w:fill="F2F2F2"/>
      </w:pPr>
      <w:r>
        <w:rPr>
          <w:rFonts w:ascii="Consolas" w:hAnsi="Consolas" w:cs="Consolas"/>
          <w:b w:val="0"/>
          <w:i w:val="0"/>
          <w:sz w:val="15"/>
        </w:rPr>
        <w:t xml:space="preserve">  Estimated payload: 4 × 3,500 kg = 14,000 kg</w:t>
      </w:r>
    </w:p>
    <w:p>
      <w:pPr>
        <w:spacing w:after="0" w:before="0" w:line="240" w:lineRule="auto"/>
        <w:ind w:left="57"/>
        <w:jc w:val="left"/>
        <w:shd w:val="clear" w:fill="F2F2F2"/>
      </w:pPr>
      <w:r>
        <w:rPr>
          <w:rFonts w:ascii="Consolas" w:hAnsi="Consolas" w:cs="Consolas"/>
          <w:b w:val="0"/>
          <w:i w:val="0"/>
          <w:sz w:val="15"/>
        </w:rPr>
        <w:t xml:space="preserve">  ULD capacity sufficient for 10,000 kg</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6.9.3.3 Truck — Trailer Types</w:t>
      </w:r>
    </w:p>
    <w:p>
      <w:pPr>
        <w:spacing w:after="80" w:line="293" w:lineRule="auto"/>
        <w:jc w:val="left"/>
      </w:pPr>
      <w:r>
        <w:rPr>
          <w:rFonts w:ascii="Times New Roman" w:hAnsi="Times New Roman" w:cs="Times New Roman"/>
          <w:b w:val="0"/>
          <w:i w:val="0"/>
          <w:sz w:val="22"/>
        </w:rPr>
        <w:t>When Truck is selected, the system displays trailer types: Dry Van, Reefer, Flatbed, Curtain Side, Tank.</w:t>
      </w:r>
    </w:p>
    <w:p>
      <w:pPr>
        <w:keepNext/>
        <w:spacing w:before="140" w:after="60"/>
        <w:outlineLvl w:val="3"/>
      </w:pPr>
      <w:r>
        <w:rPr>
          <w:rFonts w:ascii="Arial" w:hAnsi="Arial" w:cs="Arial"/>
          <w:b/>
          <w:i/>
          <w:color w:val="333333"/>
          <w:sz w:val="22"/>
        </w:rPr>
        <w:t>6.9.3.4 Rail — Wagon Types</w:t>
      </w:r>
    </w:p>
    <w:p>
      <w:pPr>
        <w:spacing w:after="80" w:line="293" w:lineRule="auto"/>
        <w:jc w:val="left"/>
      </w:pPr>
      <w:r>
        <w:rPr>
          <w:rFonts w:ascii="Times New Roman" w:hAnsi="Times New Roman" w:cs="Times New Roman"/>
          <w:b w:val="0"/>
          <w:i w:val="0"/>
          <w:sz w:val="22"/>
        </w:rPr>
        <w:t>When Rail is selected, the system displays wagon types: Box Wagon, Flat Wagon, Tank Wagon, Reefer Wagon.</w:t>
      </w:r>
    </w:p>
    <w:p>
      <w:pPr>
        <w:keepNext/>
        <w:spacing w:before="180" w:after="80"/>
        <w:outlineLvl w:val="2"/>
      </w:pPr>
      <w:r>
        <w:rPr>
          <w:rFonts w:ascii="Arial" w:hAnsi="Arial" w:cs="Arial"/>
          <w:b/>
          <w:i w:val="0"/>
          <w:color w:val="333333"/>
          <w:sz w:val="23"/>
        </w:rPr>
        <w:t>6.9.4 Route Information &amp; Validation</w:t>
      </w:r>
    </w:p>
    <w:p>
      <w:pPr>
        <w:keepNext/>
        <w:spacing w:before="140" w:after="60"/>
        <w:outlineLvl w:val="3"/>
      </w:pPr>
      <w:r>
        <w:rPr>
          <w:rFonts w:ascii="Arial" w:hAnsi="Arial" w:cs="Arial"/>
          <w:b/>
          <w:i/>
          <w:color w:val="333333"/>
          <w:sz w:val="22"/>
        </w:rPr>
        <w:t>6.9.4.1 Route Display</w:t>
      </w:r>
    </w:p>
    <w:p>
      <w:pPr>
        <w:spacing w:after="80" w:line="293" w:lineRule="auto"/>
        <w:jc w:val="left"/>
      </w:pPr>
      <w:r>
        <w:rPr>
          <w:rFonts w:ascii="Times New Roman" w:hAnsi="Times New Roman" w:cs="Times New Roman"/>
          <w:b w:val="0"/>
          <w:i w:val="0"/>
          <w:sz w:val="22"/>
        </w:rPr>
        <w:t>Based on the selected origin, destination, and transport mode, the system displays route information:</w:t>
      </w:r>
    </w:p>
    <w:p>
      <w:pPr>
        <w:spacing w:after="0" w:before="0" w:line="240" w:lineRule="auto"/>
        <w:ind w:left="57"/>
        <w:jc w:val="left"/>
        <w:shd w:val="clear" w:fill="F2F2F2"/>
      </w:pPr>
      <w:r>
        <w:rPr>
          <w:rFonts w:ascii="Consolas" w:hAnsi="Consolas" w:cs="Consolas"/>
          <w:b w:val="0"/>
          <w:i w:val="0"/>
          <w:sz w:val="15"/>
        </w:rPr>
        <w:t>ROUTE INFORMATION</w:t>
      </w:r>
    </w:p>
    <w:p>
      <w:pPr>
        <w:spacing w:after="0" w:before="0" w:line="240" w:lineRule="auto"/>
        <w:ind w:left="57"/>
        <w:jc w:val="left"/>
        <w:shd w:val="clear" w:fill="F2F2F2"/>
      </w:pPr>
      <w:r>
        <w:rPr>
          <w:rFonts w:ascii="Consolas" w:hAnsi="Consolas" w:cs="Consolas"/>
          <w:b w:val="0"/>
          <w:i w:val="0"/>
          <w:sz w:val="15"/>
        </w:rPr>
        <w:t xml:space="preserve">  Origin: Alexandria (EG)   Destination: Hamburg (DE)   Transport Mode: Ocean</w:t>
      </w:r>
    </w:p>
    <w:p>
      <w:pPr>
        <w:spacing w:after="0" w:before="0" w:line="240" w:lineRule="auto"/>
        <w:ind w:left="57"/>
        <w:jc w:val="left"/>
        <w:shd w:val="clear" w:fill="F2F2F2"/>
      </w:pPr>
      <w:r>
        <w:rPr>
          <w:rFonts w:ascii="Consolas" w:hAnsi="Consolas" w:cs="Consolas"/>
          <w:b w:val="0"/>
          <w:i w:val="0"/>
          <w:sz w:val="15"/>
        </w:rPr>
        <w:t xml:space="preserve">  Direct Route: Alexandria → Hamburg</w:t>
      </w:r>
    </w:p>
    <w:p>
      <w:pPr>
        <w:spacing w:after="0" w:before="0" w:line="240" w:lineRule="auto"/>
        <w:ind w:left="57"/>
        <w:jc w:val="left"/>
        <w:shd w:val="clear" w:fill="F2F2F2"/>
      </w:pPr>
      <w:r>
        <w:rPr>
          <w:rFonts w:ascii="Consolas" w:hAnsi="Consolas" w:cs="Consolas"/>
          <w:b w:val="0"/>
          <w:i w:val="0"/>
          <w:sz w:val="15"/>
        </w:rPr>
        <w:t xml:space="preserve">  Distance: 4,200 nautical miles</w:t>
      </w:r>
    </w:p>
    <w:p>
      <w:pPr>
        <w:spacing w:after="0" w:before="0" w:line="240" w:lineRule="auto"/>
        <w:ind w:left="57"/>
        <w:jc w:val="left"/>
        <w:shd w:val="clear" w:fill="F2F2F2"/>
      </w:pPr>
      <w:r>
        <w:rPr>
          <w:rFonts w:ascii="Consolas" w:hAnsi="Consolas" w:cs="Consolas"/>
          <w:b w:val="0"/>
          <w:i w:val="0"/>
          <w:sz w:val="15"/>
        </w:rPr>
        <w:t xml:space="preserve">  Estimated Transit Time: 14 days</w:t>
      </w:r>
    </w:p>
    <w:p>
      <w:pPr>
        <w:spacing w:after="0" w:before="0" w:line="240" w:lineRule="auto"/>
        <w:ind w:left="57"/>
        <w:jc w:val="left"/>
        <w:shd w:val="clear" w:fill="F2F2F2"/>
      </w:pPr>
      <w:r>
        <w:rPr>
          <w:rFonts w:ascii="Consolas" w:hAnsi="Consolas" w:cs="Consolas"/>
          <w:b w:val="0"/>
          <w:i w:val="0"/>
          <w:sz w:val="15"/>
        </w:rPr>
        <w:t xml:space="preserve">  Vessels: 3 per week (MSC, Maersk, Hapag-Lloyd)</w:t>
      </w:r>
    </w:p>
    <w:p>
      <w:pPr>
        <w:spacing w:after="0" w:before="0" w:line="240" w:lineRule="auto"/>
        <w:ind w:left="57"/>
        <w:jc w:val="left"/>
        <w:shd w:val="clear" w:fill="F2F2F2"/>
      </w:pPr>
      <w:r>
        <w:rPr>
          <w:rFonts w:ascii="Consolas" w:hAnsi="Consolas" w:cs="Consolas"/>
          <w:b w:val="0"/>
          <w:i w:val="0"/>
          <w:sz w:val="15"/>
        </w:rPr>
        <w:t xml:space="preserve">  AI Recommendation: MSC offers the best transit time (12 days) with competitive rates.</w:t>
      </w:r>
    </w:p>
    <w:p>
      <w:pPr>
        <w:spacing w:after="0" w:before="0" w:line="240" w:lineRule="auto"/>
        <w:ind w:left="57"/>
        <w:jc w:val="left"/>
        <w:shd w:val="clear" w:fill="F2F2F2"/>
      </w:pPr>
      <w:r>
        <w:rPr>
          <w:rFonts w:ascii="Consolas" w:hAnsi="Consolas" w:cs="Consolas"/>
          <w:b w:val="0"/>
          <w:i w:val="0"/>
          <w:sz w:val="15"/>
        </w:rPr>
        <w:t xml:space="preserve">  [View Alternative Routes] [Request Carrier Quote]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6.9.4.2 Route Validation (A4, WasmEdge)</w:t>
      </w:r>
    </w:p>
    <w:p>
      <w:pPr>
        <w:spacing w:after="80" w:line="293" w:lineRule="auto"/>
        <w:jc w:val="left"/>
      </w:pPr>
      <w:r>
        <w:rPr>
          <w:rFonts w:ascii="Times New Roman" w:hAnsi="Times New Roman" w:cs="Times New Roman"/>
          <w:b w:val="0"/>
          <w:i w:val="0"/>
          <w:sz w:val="22"/>
        </w:rPr>
        <w:t>The system validates that: origin and destination ports exist; origin and destination are not sanctioned; transport mode is available for the route; equipment type is available for the route; and transit time is within an acceptable range.</w:t>
      </w:r>
    </w:p>
    <w:p>
      <w:pPr>
        <w:spacing w:after="0" w:before="0" w:line="240" w:lineRule="auto"/>
        <w:ind w:left="57"/>
        <w:jc w:val="left"/>
        <w:shd w:val="clear" w:fill="F2F2F2"/>
      </w:pPr>
      <w:r>
        <w:rPr>
          <w:rFonts w:ascii="Consolas" w:hAnsi="Consolas" w:cs="Consolas"/>
          <w:b w:val="0"/>
          <w:i w:val="0"/>
          <w:sz w:val="15"/>
        </w:rPr>
        <w:t>// Pseudo-code: Route validation</w:t>
      </w:r>
    </w:p>
    <w:p>
      <w:pPr>
        <w:spacing w:after="0" w:before="0" w:line="240" w:lineRule="auto"/>
        <w:ind w:left="57"/>
        <w:jc w:val="left"/>
        <w:shd w:val="clear" w:fill="F2F2F2"/>
      </w:pPr>
      <w:r>
        <w:rPr>
          <w:rFonts w:ascii="Consolas" w:hAnsi="Consolas" w:cs="Consolas"/>
          <w:b w:val="0"/>
          <w:i w:val="0"/>
          <w:sz w:val="15"/>
        </w:rPr>
        <w:t>fn validate_route(</w:t>
      </w:r>
    </w:p>
    <w:p>
      <w:pPr>
        <w:spacing w:after="0" w:before="0" w:line="240" w:lineRule="auto"/>
        <w:ind w:left="57"/>
        <w:jc w:val="left"/>
        <w:shd w:val="clear" w:fill="F2F2F2"/>
      </w:pPr>
      <w:r>
        <w:rPr>
          <w:rFonts w:ascii="Consolas" w:hAnsi="Consolas" w:cs="Consolas"/>
          <w:b w:val="0"/>
          <w:i w:val="0"/>
          <w:sz w:val="15"/>
        </w:rPr>
        <w:t xml:space="preserve">    origin: &amp;str,</w:t>
      </w:r>
    </w:p>
    <w:p>
      <w:pPr>
        <w:spacing w:after="0" w:before="0" w:line="240" w:lineRule="auto"/>
        <w:ind w:left="57"/>
        <w:jc w:val="left"/>
        <w:shd w:val="clear" w:fill="F2F2F2"/>
      </w:pPr>
      <w:r>
        <w:rPr>
          <w:rFonts w:ascii="Consolas" w:hAnsi="Consolas" w:cs="Consolas"/>
          <w:b w:val="0"/>
          <w:i w:val="0"/>
          <w:sz w:val="15"/>
        </w:rPr>
        <w:t xml:space="preserve">    destination: &amp;str,</w:t>
      </w:r>
    </w:p>
    <w:p>
      <w:pPr>
        <w:spacing w:after="0" w:before="0" w:line="240" w:lineRule="auto"/>
        <w:ind w:left="57"/>
        <w:jc w:val="left"/>
        <w:shd w:val="clear" w:fill="F2F2F2"/>
      </w:pPr>
      <w:r>
        <w:rPr>
          <w:rFonts w:ascii="Consolas" w:hAnsi="Consolas" w:cs="Consolas"/>
          <w:b w:val="0"/>
          <w:i w:val="0"/>
          <w:sz w:val="15"/>
        </w:rPr>
        <w:t xml:space="preserve">    mode: TransportMode,</w:t>
      </w:r>
    </w:p>
    <w:p>
      <w:pPr>
        <w:spacing w:after="0" w:before="0" w:line="240" w:lineRule="auto"/>
        <w:ind w:left="57"/>
        <w:jc w:val="left"/>
        <w:shd w:val="clear" w:fill="F2F2F2"/>
      </w:pPr>
      <w:r>
        <w:rPr>
          <w:rFonts w:ascii="Consolas" w:hAnsi="Consolas" w:cs="Consolas"/>
          <w:b w:val="0"/>
          <w:i w:val="0"/>
          <w:sz w:val="15"/>
        </w:rPr>
        <w:t xml:space="preserve">    equipment: &amp;str</w:t>
      </w:r>
    </w:p>
    <w:p>
      <w:pPr>
        <w:spacing w:after="0" w:before="0" w:line="240" w:lineRule="auto"/>
        <w:ind w:left="57"/>
        <w:jc w:val="left"/>
        <w:shd w:val="clear" w:fill="F2F2F2"/>
      </w:pPr>
      <w:r>
        <w:rPr>
          <w:rFonts w:ascii="Consolas" w:hAnsi="Consolas" w:cs="Consolas"/>
          <w:b w:val="0"/>
          <w:i w:val="0"/>
          <w:sz w:val="15"/>
        </w:rPr>
        <w:t>) -&gt; Result&lt;RouteValidation&gt; {</w:t>
      </w:r>
    </w:p>
    <w:p>
      <w:pPr>
        <w:spacing w:after="0" w:before="0" w:line="240" w:lineRule="auto"/>
        <w:ind w:left="57"/>
        <w:jc w:val="left"/>
        <w:shd w:val="clear" w:fill="F2F2F2"/>
      </w:pPr>
      <w:r>
        <w:rPr>
          <w:rFonts w:ascii="Consolas" w:hAnsi="Consolas" w:cs="Consolas"/>
          <w:b w:val="0"/>
          <w:i w:val="0"/>
          <w:sz w:val="15"/>
        </w:rPr>
        <w:t xml:space="preserve">    // 1. Check ports exist</w:t>
      </w:r>
    </w:p>
    <w:p>
      <w:pPr>
        <w:spacing w:after="0" w:before="0" w:line="240" w:lineRule="auto"/>
        <w:ind w:left="57"/>
        <w:jc w:val="left"/>
        <w:shd w:val="clear" w:fill="F2F2F2"/>
      </w:pPr>
      <w:r>
        <w:rPr>
          <w:rFonts w:ascii="Consolas" w:hAnsi="Consolas" w:cs="Consolas"/>
          <w:b w:val="0"/>
          <w:i w:val="0"/>
          <w:sz w:val="15"/>
        </w:rPr>
        <w:t xml:space="preserve">    if !port_exists(origin) { return Err(Error::PortNotFound(origin)); }</w:t>
      </w:r>
    </w:p>
    <w:p>
      <w:pPr>
        <w:spacing w:after="0" w:before="0" w:line="240" w:lineRule="auto"/>
        <w:ind w:left="57"/>
        <w:jc w:val="left"/>
        <w:shd w:val="clear" w:fill="F2F2F2"/>
      </w:pPr>
      <w:r>
        <w:rPr>
          <w:rFonts w:ascii="Consolas" w:hAnsi="Consolas" w:cs="Consolas"/>
          <w:b w:val="0"/>
          <w:i w:val="0"/>
          <w:sz w:val="15"/>
        </w:rPr>
        <w:t xml:space="preserve">    if !port_exists(destination) { return Err(Error::PortNotFound(destination)); }</w:t>
      </w:r>
    </w:p>
    <w:p>
      <w:pPr>
        <w:spacing w:after="0" w:before="0" w:line="240" w:lineRule="auto"/>
        <w:ind w:left="57"/>
        <w:jc w:val="left"/>
        <w:shd w:val="clear" w:fill="F2F2F2"/>
      </w:pPr>
      <w:r>
        <w:rPr>
          <w:rFonts w:ascii="Consolas" w:hAnsi="Consolas" w:cs="Consolas"/>
          <w:b w:val="0"/>
          <w:i w:val="0"/>
          <w:sz w:val="15"/>
        </w:rPr>
        <w:t xml:space="preserve">    // 2. Check ports are active</w:t>
      </w:r>
    </w:p>
    <w:p>
      <w:pPr>
        <w:spacing w:after="0" w:before="0" w:line="240" w:lineRule="auto"/>
        <w:ind w:left="57"/>
        <w:jc w:val="left"/>
        <w:shd w:val="clear" w:fill="F2F2F2"/>
      </w:pPr>
      <w:r>
        <w:rPr>
          <w:rFonts w:ascii="Consolas" w:hAnsi="Consolas" w:cs="Consolas"/>
          <w:b w:val="0"/>
          <w:i w:val="0"/>
          <w:sz w:val="15"/>
        </w:rPr>
        <w:t xml:space="preserve">    if !is_port_active(origin) { return Err(Error::PortInactive(origin)); }</w:t>
      </w:r>
    </w:p>
    <w:p>
      <w:pPr>
        <w:spacing w:after="0" w:before="0" w:line="240" w:lineRule="auto"/>
        <w:ind w:left="57"/>
        <w:jc w:val="left"/>
        <w:shd w:val="clear" w:fill="F2F2F2"/>
      </w:pPr>
      <w:r>
        <w:rPr>
          <w:rFonts w:ascii="Consolas" w:hAnsi="Consolas" w:cs="Consolas"/>
          <w:b w:val="0"/>
          <w:i w:val="0"/>
          <w:sz w:val="15"/>
        </w:rPr>
        <w:t xml:space="preserve">    if !is_port_active(destination) { return Err(Error::PortInactive(destination)); }</w:t>
      </w:r>
    </w:p>
    <w:p>
      <w:pPr>
        <w:spacing w:after="0" w:before="0" w:line="240" w:lineRule="auto"/>
        <w:ind w:left="57"/>
        <w:jc w:val="left"/>
        <w:shd w:val="clear" w:fill="F2F2F2"/>
      </w:pPr>
      <w:r>
        <w:rPr>
          <w:rFonts w:ascii="Consolas" w:hAnsi="Consolas" w:cs="Consolas"/>
          <w:b w:val="0"/>
          <w:i w:val="0"/>
          <w:sz w:val="15"/>
        </w:rPr>
        <w:t xml:space="preserve">    // 3. Check sanctions clearance</w:t>
      </w:r>
    </w:p>
    <w:p>
      <w:pPr>
        <w:spacing w:after="0" w:before="0" w:line="240" w:lineRule="auto"/>
        <w:ind w:left="57"/>
        <w:jc w:val="left"/>
        <w:shd w:val="clear" w:fill="F2F2F2"/>
      </w:pPr>
      <w:r>
        <w:rPr>
          <w:rFonts w:ascii="Consolas" w:hAnsi="Consolas" w:cs="Consolas"/>
          <w:b w:val="0"/>
          <w:i w:val="0"/>
          <w:sz w:val="15"/>
        </w:rPr>
        <w:t xml:space="preserve">    if is_sanctioned(origin) || is_sanctioned(destination) {</w:t>
      </w:r>
    </w:p>
    <w:p>
      <w:pPr>
        <w:spacing w:after="0" w:before="0" w:line="240" w:lineRule="auto"/>
        <w:ind w:left="57"/>
        <w:jc w:val="left"/>
        <w:shd w:val="clear" w:fill="F2F2F2"/>
      </w:pPr>
      <w:r>
        <w:rPr>
          <w:rFonts w:ascii="Consolas" w:hAnsi="Consolas" w:cs="Consolas"/>
          <w:b w:val="0"/>
          <w:i w:val="0"/>
          <w:sz w:val="15"/>
        </w:rPr>
        <w:t xml:space="preserve">        return Err(Error::SanctionedPort);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Check mode availability</w:t>
      </w:r>
    </w:p>
    <w:p>
      <w:pPr>
        <w:spacing w:after="0" w:before="0" w:line="240" w:lineRule="auto"/>
        <w:ind w:left="57"/>
        <w:jc w:val="left"/>
        <w:shd w:val="clear" w:fill="F2F2F2"/>
      </w:pPr>
      <w:r>
        <w:rPr>
          <w:rFonts w:ascii="Consolas" w:hAnsi="Consolas" w:cs="Consolas"/>
          <w:b w:val="0"/>
          <w:i w:val="0"/>
          <w:sz w:val="15"/>
        </w:rPr>
        <w:t xml:space="preserve">    if !is_mode_available(origin, destination, mode) {</w:t>
      </w:r>
    </w:p>
    <w:p>
      <w:pPr>
        <w:spacing w:after="0" w:before="0" w:line="240" w:lineRule="auto"/>
        <w:ind w:left="57"/>
        <w:jc w:val="left"/>
        <w:shd w:val="clear" w:fill="F2F2F2"/>
      </w:pPr>
      <w:r>
        <w:rPr>
          <w:rFonts w:ascii="Consolas" w:hAnsi="Consolas" w:cs="Consolas"/>
          <w:b w:val="0"/>
          <w:i w:val="0"/>
          <w:sz w:val="15"/>
        </w:rPr>
        <w:t xml:space="preserve">        return Err(Error::ModeUnavailable(mode));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Check equipment availability</w:t>
      </w:r>
    </w:p>
    <w:p>
      <w:pPr>
        <w:spacing w:after="0" w:before="0" w:line="240" w:lineRule="auto"/>
        <w:ind w:left="57"/>
        <w:jc w:val="left"/>
        <w:shd w:val="clear" w:fill="F2F2F2"/>
      </w:pPr>
      <w:r>
        <w:rPr>
          <w:rFonts w:ascii="Consolas" w:hAnsi="Consolas" w:cs="Consolas"/>
          <w:b w:val="0"/>
          <w:i w:val="0"/>
          <w:sz w:val="15"/>
        </w:rPr>
        <w:t xml:space="preserve">    if !is_equipment_available(origin, destination, equipment) {</w:t>
      </w:r>
    </w:p>
    <w:p>
      <w:pPr>
        <w:spacing w:after="0" w:before="0" w:line="240" w:lineRule="auto"/>
        <w:ind w:left="57"/>
        <w:jc w:val="left"/>
        <w:shd w:val="clear" w:fill="F2F2F2"/>
      </w:pPr>
      <w:r>
        <w:rPr>
          <w:rFonts w:ascii="Consolas" w:hAnsi="Consolas" w:cs="Consolas"/>
          <w:b w:val="0"/>
          <w:i w:val="0"/>
          <w:sz w:val="15"/>
        </w:rPr>
        <w:t xml:space="preserve">        return Err(Error::EquipmentUnavailable(equipment));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6. Get transit time</w:t>
      </w:r>
    </w:p>
    <w:p>
      <w:pPr>
        <w:spacing w:after="0" w:before="0" w:line="240" w:lineRule="auto"/>
        <w:ind w:left="57"/>
        <w:jc w:val="left"/>
        <w:shd w:val="clear" w:fill="F2F2F2"/>
      </w:pPr>
      <w:r>
        <w:rPr>
          <w:rFonts w:ascii="Consolas" w:hAnsi="Consolas" w:cs="Consolas"/>
          <w:b w:val="0"/>
          <w:i w:val="0"/>
          <w:sz w:val="15"/>
        </w:rPr>
        <w:t xml:space="preserve">    let transit_time = get_transit_time(origin, destination, mode);</w:t>
      </w:r>
    </w:p>
    <w:p>
      <w:pPr>
        <w:spacing w:after="0" w:before="0" w:line="240" w:lineRule="auto"/>
        <w:ind w:left="57"/>
        <w:jc w:val="left"/>
        <w:shd w:val="clear" w:fill="F2F2F2"/>
      </w:pPr>
      <w:r>
        <w:rPr>
          <w:rFonts w:ascii="Consolas" w:hAnsi="Consolas" w:cs="Consolas"/>
          <w:b w:val="0"/>
          <w:i w:val="0"/>
          <w:sz w:val="15"/>
        </w:rPr>
        <w:t xml:space="preserve">    if transit_time.is_none() { return Err(Error::TransitTimeUnknown); }</w:t>
      </w:r>
    </w:p>
    <w:p>
      <w:pPr>
        <w:spacing w:after="0" w:before="0" w:line="240" w:lineRule="auto"/>
        <w:ind w:left="57"/>
        <w:jc w:val="left"/>
        <w:shd w:val="clear" w:fill="F2F2F2"/>
      </w:pPr>
      <w:r>
        <w:rPr>
          <w:rFonts w:ascii="Consolas" w:hAnsi="Consolas" w:cs="Consolas"/>
          <w:b w:val="0"/>
          <w:i w:val="0"/>
          <w:sz w:val="15"/>
        </w:rPr>
        <w:t xml:space="preserve">    // 7. Get vessel/vehicle availability</w:t>
      </w:r>
    </w:p>
    <w:p>
      <w:pPr>
        <w:spacing w:after="0" w:before="0" w:line="240" w:lineRule="auto"/>
        <w:ind w:left="57"/>
        <w:jc w:val="left"/>
        <w:shd w:val="clear" w:fill="F2F2F2"/>
      </w:pPr>
      <w:r>
        <w:rPr>
          <w:rFonts w:ascii="Consolas" w:hAnsi="Consolas" w:cs="Consolas"/>
          <w:b w:val="0"/>
          <w:i w:val="0"/>
          <w:sz w:val="15"/>
        </w:rPr>
        <w:t xml:space="preserve">    let availability = get_availability(origin, destination, mode);</w:t>
      </w:r>
    </w:p>
    <w:p>
      <w:pPr>
        <w:spacing w:after="0" w:before="0" w:line="240" w:lineRule="auto"/>
        <w:ind w:left="57"/>
        <w:jc w:val="left"/>
        <w:shd w:val="clear" w:fill="F2F2F2"/>
      </w:pPr>
      <w:r>
        <w:rPr>
          <w:rFonts w:ascii="Consolas" w:hAnsi="Consolas" w:cs="Consolas"/>
          <w:b w:val="0"/>
          <w:i w:val="0"/>
          <w:sz w:val="15"/>
        </w:rPr>
        <w:t xml:space="preserve">    Ok(RouteValidation { origin, destination, mode, equipment, transit_time, availability, is_valid: true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6.9.5 Port Congestion Detection (A2, RIA)</w:t>
      </w:r>
    </w:p>
    <w:p>
      <w:pPr>
        <w:keepNext/>
        <w:spacing w:before="140" w:after="60"/>
        <w:outlineLvl w:val="3"/>
      </w:pPr>
      <w:r>
        <w:rPr>
          <w:rFonts w:ascii="Arial" w:hAnsi="Arial" w:cs="Arial"/>
          <w:b/>
          <w:i/>
          <w:color w:val="333333"/>
          <w:sz w:val="22"/>
        </w:rPr>
        <w:t>6.9.5.1 Congestion Monitoring</w:t>
      </w:r>
    </w:p>
    <w:p>
      <w:pPr>
        <w:spacing w:after="80" w:line="293" w:lineRule="auto"/>
        <w:jc w:val="left"/>
      </w:pPr>
      <w:r>
        <w:rPr>
          <w:rFonts w:ascii="Times New Roman" w:hAnsi="Times New Roman" w:cs="Times New Roman"/>
          <w:b w:val="0"/>
          <w:i w:val="0"/>
          <w:sz w:val="22"/>
        </w:rPr>
        <w:t>The RIA monitors port congestion via AIS data (vessel positions, waiting times), port authority websites (scraped), and historical congestion patterns.</w:t>
      </w:r>
    </w:p>
    <w:p>
      <w:pPr>
        <w:spacing w:after="0" w:before="0" w:line="240" w:lineRule="auto"/>
        <w:ind w:left="57"/>
        <w:jc w:val="left"/>
        <w:shd w:val="clear" w:fill="F2F2F2"/>
      </w:pPr>
      <w:r>
        <w:rPr>
          <w:rFonts w:ascii="Consolas" w:hAnsi="Consolas" w:cs="Consolas"/>
          <w:b w:val="0"/>
          <w:i w:val="0"/>
          <w:sz w:val="15"/>
        </w:rPr>
        <w:t>PORT CONGESTION ALERT</w:t>
      </w:r>
    </w:p>
    <w:p>
      <w:pPr>
        <w:spacing w:after="0" w:before="0" w:line="240" w:lineRule="auto"/>
        <w:ind w:left="57"/>
        <w:jc w:val="left"/>
        <w:shd w:val="clear" w:fill="F2F2F2"/>
      </w:pPr>
      <w:r>
        <w:rPr>
          <w:rFonts w:ascii="Consolas" w:hAnsi="Consolas" w:cs="Consolas"/>
          <w:b w:val="0"/>
          <w:i w:val="0"/>
          <w:sz w:val="15"/>
        </w:rPr>
        <w:t xml:space="preserve">  Alexandria Port is currently experiencing congestion.</w:t>
      </w:r>
    </w:p>
    <w:p>
      <w:pPr>
        <w:spacing w:after="0" w:before="0" w:line="240" w:lineRule="auto"/>
        <w:ind w:left="57"/>
        <w:jc w:val="left"/>
        <w:shd w:val="clear" w:fill="F2F2F2"/>
      </w:pPr>
      <w:r>
        <w:rPr>
          <w:rFonts w:ascii="Consolas" w:hAnsi="Consolas" w:cs="Consolas"/>
          <w:b w:val="0"/>
          <w:i w:val="0"/>
          <w:sz w:val="15"/>
        </w:rPr>
        <w:t xml:space="preserve">  Waiting Time: 3-5 days (normal: 1-2 days)</w:t>
      </w:r>
    </w:p>
    <w:p>
      <w:pPr>
        <w:spacing w:after="0" w:before="0" w:line="240" w:lineRule="auto"/>
        <w:ind w:left="57"/>
        <w:jc w:val="left"/>
        <w:shd w:val="clear" w:fill="F2F2F2"/>
      </w:pPr>
      <w:r>
        <w:rPr>
          <w:rFonts w:ascii="Consolas" w:hAnsi="Consolas" w:cs="Consolas"/>
          <w:b w:val="0"/>
          <w:i w:val="0"/>
          <w:sz w:val="15"/>
        </w:rPr>
        <w:t xml:space="preserve">  Vessels at Anchor: 12</w:t>
      </w:r>
    </w:p>
    <w:p>
      <w:pPr>
        <w:spacing w:after="0" w:before="0" w:line="240" w:lineRule="auto"/>
        <w:ind w:left="57"/>
        <w:jc w:val="left"/>
        <w:shd w:val="clear" w:fill="F2F2F2"/>
      </w:pPr>
      <w:r>
        <w:rPr>
          <w:rFonts w:ascii="Consolas" w:hAnsi="Consolas" w:cs="Consolas"/>
          <w:b w:val="0"/>
          <w:i w:val="0"/>
          <w:sz w:val="15"/>
        </w:rPr>
        <w:t xml:space="preserve">  Estimated Delay: +3 days</w:t>
      </w:r>
    </w:p>
    <w:p>
      <w:pPr>
        <w:spacing w:after="0" w:before="0" w:line="240" w:lineRule="auto"/>
        <w:ind w:left="57"/>
        <w:jc w:val="left"/>
        <w:shd w:val="clear" w:fill="F2F2F2"/>
      </w:pPr>
      <w:r>
        <w:rPr>
          <w:rFonts w:ascii="Consolas" w:hAnsi="Consolas" w:cs="Consolas"/>
          <w:b w:val="0"/>
          <w:i w:val="0"/>
          <w:sz w:val="15"/>
        </w:rPr>
        <w:t xml:space="preserve">  Recommended: Consider alternative port (Damietta or Port Said) or adjust</w:t>
      </w:r>
    </w:p>
    <w:p>
      <w:pPr>
        <w:spacing w:after="0" w:before="0" w:line="240" w:lineRule="auto"/>
        <w:ind w:left="57"/>
        <w:jc w:val="left"/>
        <w:shd w:val="clear" w:fill="F2F2F2"/>
      </w:pPr>
      <w:r>
        <w:rPr>
          <w:rFonts w:ascii="Consolas" w:hAnsi="Consolas" w:cs="Consolas"/>
          <w:b w:val="0"/>
          <w:i w:val="0"/>
          <w:sz w:val="15"/>
        </w:rPr>
        <w:t xml:space="preserve">  delivery window.</w:t>
      </w:r>
    </w:p>
    <w:p>
      <w:pPr>
        <w:spacing w:after="0" w:before="0" w:line="240" w:lineRule="auto"/>
        <w:ind w:left="57"/>
        <w:jc w:val="left"/>
        <w:shd w:val="clear" w:fill="F2F2F2"/>
      </w:pPr>
      <w:r>
        <w:rPr>
          <w:rFonts w:ascii="Consolas" w:hAnsi="Consolas" w:cs="Consolas"/>
          <w:b w:val="0"/>
          <w:i w:val="0"/>
          <w:sz w:val="15"/>
        </w:rPr>
        <w:t xml:space="preserve">  [View Alternative Ports] [Adjust Delivery Window] [Dismiss]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6.9.5.2 Port Recommendation (A1, Groq)</w:t>
      </w:r>
    </w:p>
    <w:p>
      <w:pPr>
        <w:spacing w:after="80" w:line="293" w:lineRule="auto"/>
        <w:jc w:val="left"/>
      </w:pPr>
      <w:r>
        <w:rPr>
          <w:rFonts w:ascii="Times New Roman" w:hAnsi="Times New Roman" w:cs="Times New Roman"/>
          <w:b w:val="0"/>
          <w:i w:val="0"/>
          <w:sz w:val="22"/>
        </w:rPr>
        <w:t>If the selected port is congested, the system recommends alternatives:</w:t>
      </w:r>
    </w:p>
    <w:p>
      <w:pPr>
        <w:spacing w:after="0" w:before="0" w:line="240" w:lineRule="auto"/>
        <w:ind w:left="57"/>
        <w:jc w:val="left"/>
        <w:shd w:val="clear" w:fill="F2F2F2"/>
      </w:pPr>
      <w:r>
        <w:rPr>
          <w:rFonts w:ascii="Consolas" w:hAnsi="Consolas" w:cs="Consolas"/>
          <w:b w:val="0"/>
          <w:i w:val="0"/>
          <w:sz w:val="15"/>
        </w:rPr>
        <w:t>AI PORT RECOMMENDATION</w:t>
      </w:r>
    </w:p>
    <w:p>
      <w:pPr>
        <w:spacing w:after="0" w:before="0" w:line="240" w:lineRule="auto"/>
        <w:ind w:left="57"/>
        <w:jc w:val="left"/>
        <w:shd w:val="clear" w:fill="F2F2F2"/>
      </w:pPr>
      <w:r>
        <w:rPr>
          <w:rFonts w:ascii="Consolas" w:hAnsi="Consolas" w:cs="Consolas"/>
          <w:b w:val="0"/>
          <w:i w:val="0"/>
          <w:sz w:val="15"/>
        </w:rPr>
        <w:t xml:space="preserve">  Alexandria Port is congested (3-5 day delay).</w:t>
      </w:r>
    </w:p>
    <w:p>
      <w:pPr>
        <w:spacing w:after="0" w:before="0" w:line="240" w:lineRule="auto"/>
        <w:ind w:left="57"/>
        <w:jc w:val="left"/>
        <w:shd w:val="clear" w:fill="F2F2F2"/>
      </w:pPr>
      <w:r>
        <w:rPr>
          <w:rFonts w:ascii="Consolas" w:hAnsi="Consolas" w:cs="Consolas"/>
          <w:b w:val="0"/>
          <w:i w:val="0"/>
          <w:sz w:val="15"/>
        </w:rPr>
        <w:t xml:space="preserve">  Alternative Ports:</w:t>
      </w:r>
    </w:p>
    <w:p>
      <w:pPr>
        <w:spacing w:after="0" w:before="0" w:line="240" w:lineRule="auto"/>
        <w:ind w:left="57"/>
        <w:jc w:val="left"/>
        <w:shd w:val="clear" w:fill="F2F2F2"/>
      </w:pPr>
      <w:r>
        <w:rPr>
          <w:rFonts w:ascii="Consolas" w:hAnsi="Consolas" w:cs="Consolas"/>
          <w:b w:val="0"/>
          <w:i w:val="0"/>
          <w:sz w:val="15"/>
        </w:rPr>
        <w:t xml:space="preserve">    Damietta    +2 days transit   Available   Saves: 1 day delay</w:t>
      </w:r>
    </w:p>
    <w:p>
      <w:pPr>
        <w:spacing w:after="0" w:before="0" w:line="240" w:lineRule="auto"/>
        <w:ind w:left="57"/>
        <w:jc w:val="left"/>
        <w:shd w:val="clear" w:fill="F2F2F2"/>
      </w:pPr>
      <w:r>
        <w:rPr>
          <w:rFonts w:ascii="Consolas" w:hAnsi="Consolas" w:cs="Consolas"/>
          <w:b w:val="0"/>
          <w:i w:val="0"/>
          <w:sz w:val="15"/>
        </w:rPr>
        <w:t xml:space="preserve">    Port Said   +1 day transit    Available   Saves: 2 days delay</w:t>
      </w:r>
    </w:p>
    <w:p>
      <w:pPr>
        <w:spacing w:after="0" w:before="0" w:line="240" w:lineRule="auto"/>
        <w:ind w:left="57"/>
        <w:jc w:val="left"/>
        <w:shd w:val="clear" w:fill="F2F2F2"/>
      </w:pPr>
      <w:r>
        <w:rPr>
          <w:rFonts w:ascii="Consolas" w:hAnsi="Consolas" w:cs="Consolas"/>
          <w:b w:val="0"/>
          <w:i w:val="0"/>
          <w:sz w:val="15"/>
        </w:rPr>
        <w:t xml:space="preserve">  [Select Damietta] [Select Port Said] [Keep Alexandria]</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6.9.6 Delivery Window</w:t>
      </w:r>
    </w:p>
    <w:p>
      <w:pPr>
        <w:keepNext/>
        <w:spacing w:before="140" w:after="60"/>
        <w:outlineLvl w:val="3"/>
      </w:pPr>
      <w:r>
        <w:rPr>
          <w:rFonts w:ascii="Arial" w:hAnsi="Arial" w:cs="Arial"/>
          <w:b/>
          <w:i/>
          <w:color w:val="333333"/>
          <w:sz w:val="22"/>
        </w:rPr>
        <w:t>6.9.6.1 Overview</w:t>
      </w:r>
    </w:p>
    <w:p>
      <w:pPr>
        <w:spacing w:after="80" w:line="293" w:lineRule="auto"/>
        <w:jc w:val="left"/>
      </w:pPr>
      <w:r>
        <w:rPr>
          <w:rFonts w:ascii="Times New Roman" w:hAnsi="Times New Roman" w:cs="Times New Roman"/>
          <w:b w:val="0"/>
          <w:i w:val="0"/>
          <w:sz w:val="22"/>
        </w:rPr>
        <w:t>The delivery window replaces a simplistic single delivery date with a realistic operational window. Fields: Earliest Acceptable Date, Preferred Date, Latest Acceptable Date.</w:t>
      </w:r>
    </w:p>
    <w:p>
      <w:pPr>
        <w:keepNext/>
        <w:spacing w:before="140" w:after="60"/>
        <w:outlineLvl w:val="3"/>
      </w:pPr>
      <w:r>
        <w:rPr>
          <w:rFonts w:ascii="Arial" w:hAnsi="Arial" w:cs="Arial"/>
          <w:b/>
          <w:i/>
          <w:color w:val="333333"/>
          <w:sz w:val="22"/>
        </w:rPr>
        <w:t>6.9.6.2 Validation Rules</w:t>
      </w:r>
    </w:p>
    <w:p>
      <w:pPr>
        <w:spacing w:after="80" w:line="293" w:lineRule="auto"/>
        <w:ind w:left="283"/>
        <w:jc w:val="left"/>
      </w:pPr>
      <w:r>
        <w:rPr>
          <w:rFonts w:ascii="Times New Roman" w:hAnsi="Times New Roman" w:cs="Times New Roman"/>
          <w:b w:val="0"/>
          <w:i w:val="0"/>
          <w:sz w:val="22"/>
        </w:rPr>
        <w:t>- All dates must be in the future.</w:t>
      </w:r>
    </w:p>
    <w:p>
      <w:pPr>
        <w:spacing w:after="80" w:line="293" w:lineRule="auto"/>
        <w:ind w:left="283"/>
        <w:jc w:val="left"/>
      </w:pPr>
      <w:r>
        <w:rPr>
          <w:rFonts w:ascii="Times New Roman" w:hAnsi="Times New Roman" w:cs="Times New Roman"/>
          <w:b w:val="0"/>
          <w:i w:val="0"/>
          <w:sz w:val="22"/>
        </w:rPr>
        <w:t>- Earliest ≤ Preferred ≤ Latest.</w:t>
      </w:r>
    </w:p>
    <w:p>
      <w:pPr>
        <w:spacing w:after="80" w:line="293" w:lineRule="auto"/>
        <w:ind w:left="283"/>
        <w:jc w:val="left"/>
      </w:pPr>
      <w:r>
        <w:rPr>
          <w:rFonts w:ascii="Times New Roman" w:hAnsi="Times New Roman" w:cs="Times New Roman"/>
          <w:b w:val="0"/>
          <w:i w:val="0"/>
          <w:sz w:val="22"/>
        </w:rPr>
        <w:t>- Latest − Earliest ≤ maximum allowed window (configurable, default 30 days).</w:t>
      </w:r>
    </w:p>
    <w:p>
      <w:pPr>
        <w:spacing w:after="80" w:line="293" w:lineRule="auto"/>
        <w:ind w:left="283"/>
        <w:jc w:val="left"/>
      </w:pPr>
      <w:r>
        <w:rPr>
          <w:rFonts w:ascii="Times New Roman" w:hAnsi="Times New Roman" w:cs="Times New Roman"/>
          <w:b w:val="0"/>
          <w:i w:val="0"/>
          <w:sz w:val="22"/>
        </w:rPr>
        <w:t>- Dates must be within the carrier's schedule availability.</w:t>
      </w:r>
    </w:p>
    <w:p>
      <w:pPr>
        <w:spacing w:after="0" w:before="0" w:line="240" w:lineRule="auto"/>
        <w:ind w:left="57"/>
        <w:jc w:val="left"/>
        <w:shd w:val="clear" w:fill="F2F2F2"/>
      </w:pPr>
      <w:r>
        <w:rPr>
          <w:rFonts w:ascii="Consolas" w:hAnsi="Consolas" w:cs="Consolas"/>
          <w:b w:val="0"/>
          <w:i w:val="0"/>
          <w:sz w:val="15"/>
        </w:rPr>
        <w:t>// Pseudo-code: Delivery window validation</w:t>
      </w:r>
    </w:p>
    <w:p>
      <w:pPr>
        <w:spacing w:after="0" w:before="0" w:line="240" w:lineRule="auto"/>
        <w:ind w:left="57"/>
        <w:jc w:val="left"/>
        <w:shd w:val="clear" w:fill="F2F2F2"/>
      </w:pPr>
      <w:r>
        <w:rPr>
          <w:rFonts w:ascii="Consolas" w:hAnsi="Consolas" w:cs="Consolas"/>
          <w:b w:val="0"/>
          <w:i w:val="0"/>
          <w:sz w:val="15"/>
        </w:rPr>
        <w:t>fn validate_delivery_window(</w:t>
      </w:r>
    </w:p>
    <w:p>
      <w:pPr>
        <w:spacing w:after="0" w:before="0" w:line="240" w:lineRule="auto"/>
        <w:ind w:left="57"/>
        <w:jc w:val="left"/>
        <w:shd w:val="clear" w:fill="F2F2F2"/>
      </w:pPr>
      <w:r>
        <w:rPr>
          <w:rFonts w:ascii="Consolas" w:hAnsi="Consolas" w:cs="Consolas"/>
          <w:b w:val="0"/>
          <w:i w:val="0"/>
          <w:sz w:val="15"/>
        </w:rPr>
        <w:t xml:space="preserve">    earliest: NaiveDate,</w:t>
      </w:r>
    </w:p>
    <w:p>
      <w:pPr>
        <w:spacing w:after="0" w:before="0" w:line="240" w:lineRule="auto"/>
        <w:ind w:left="57"/>
        <w:jc w:val="left"/>
        <w:shd w:val="clear" w:fill="F2F2F2"/>
      </w:pPr>
      <w:r>
        <w:rPr>
          <w:rFonts w:ascii="Consolas" w:hAnsi="Consolas" w:cs="Consolas"/>
          <w:b w:val="0"/>
          <w:i w:val="0"/>
          <w:sz w:val="15"/>
        </w:rPr>
        <w:t xml:space="preserve">    preferred: NaiveDate,</w:t>
      </w:r>
    </w:p>
    <w:p>
      <w:pPr>
        <w:spacing w:after="0" w:before="0" w:line="240" w:lineRule="auto"/>
        <w:ind w:left="57"/>
        <w:jc w:val="left"/>
        <w:shd w:val="clear" w:fill="F2F2F2"/>
      </w:pPr>
      <w:r>
        <w:rPr>
          <w:rFonts w:ascii="Consolas" w:hAnsi="Consolas" w:cs="Consolas"/>
          <w:b w:val="0"/>
          <w:i w:val="0"/>
          <w:sz w:val="15"/>
        </w:rPr>
        <w:t xml:space="preserve">    latest: NaiveDate,</w:t>
      </w:r>
    </w:p>
    <w:p>
      <w:pPr>
        <w:spacing w:after="0" w:before="0" w:line="240" w:lineRule="auto"/>
        <w:ind w:left="57"/>
        <w:jc w:val="left"/>
        <w:shd w:val="clear" w:fill="F2F2F2"/>
      </w:pPr>
      <w:r>
        <w:rPr>
          <w:rFonts w:ascii="Consolas" w:hAnsi="Consolas" w:cs="Consolas"/>
          <w:b w:val="0"/>
          <w:i w:val="0"/>
          <w:sz w:val="15"/>
        </w:rPr>
        <w:t xml:space="preserve">    max_window: i64</w:t>
      </w:r>
    </w:p>
    <w:p>
      <w:pPr>
        <w:spacing w:after="0" w:before="0" w:line="240" w:lineRule="auto"/>
        <w:ind w:left="57"/>
        <w:jc w:val="left"/>
        <w:shd w:val="clear" w:fill="F2F2F2"/>
      </w:pPr>
      <w:r>
        <w:rPr>
          <w:rFonts w:ascii="Consolas" w:hAnsi="Consolas" w:cs="Consolas"/>
          <w:b w:val="0"/>
          <w:i w:val="0"/>
          <w:sz w:val="15"/>
        </w:rPr>
        <w:t>) -&gt; Result&lt;()&gt; {</w:t>
      </w:r>
    </w:p>
    <w:p>
      <w:pPr>
        <w:spacing w:after="0" w:before="0" w:line="240" w:lineRule="auto"/>
        <w:ind w:left="57"/>
        <w:jc w:val="left"/>
        <w:shd w:val="clear" w:fill="F2F2F2"/>
      </w:pPr>
      <w:r>
        <w:rPr>
          <w:rFonts w:ascii="Consolas" w:hAnsi="Consolas" w:cs="Consolas"/>
          <w:b w:val="0"/>
          <w:i w:val="0"/>
          <w:sz w:val="15"/>
        </w:rPr>
        <w:t xml:space="preserve">    // 1. Check all dates are in the future</w:t>
      </w:r>
    </w:p>
    <w:p>
      <w:pPr>
        <w:spacing w:after="0" w:before="0" w:line="240" w:lineRule="auto"/>
        <w:ind w:left="57"/>
        <w:jc w:val="left"/>
        <w:shd w:val="clear" w:fill="F2F2F2"/>
      </w:pPr>
      <w:r>
        <w:rPr>
          <w:rFonts w:ascii="Consolas" w:hAnsi="Consolas" w:cs="Consolas"/>
          <w:b w:val="0"/>
          <w:i w:val="0"/>
          <w:sz w:val="15"/>
        </w:rPr>
        <w:t xml:space="preserve">    let today = Utc::now().date_naive();</w:t>
      </w:r>
    </w:p>
    <w:p>
      <w:pPr>
        <w:spacing w:after="0" w:before="0" w:line="240" w:lineRule="auto"/>
        <w:ind w:left="57"/>
        <w:jc w:val="left"/>
        <w:shd w:val="clear" w:fill="F2F2F2"/>
      </w:pPr>
      <w:r>
        <w:rPr>
          <w:rFonts w:ascii="Consolas" w:hAnsi="Consolas" w:cs="Consolas"/>
          <w:b w:val="0"/>
          <w:i w:val="0"/>
          <w:sz w:val="15"/>
        </w:rPr>
        <w:t xml:space="preserve">    if earliest &lt;= today { return Err(Error::DateInPast("Earliest date must be in the future")); }</w:t>
      </w:r>
    </w:p>
    <w:p>
      <w:pPr>
        <w:spacing w:after="0" w:before="0" w:line="240" w:lineRule="auto"/>
        <w:ind w:left="57"/>
        <w:jc w:val="left"/>
        <w:shd w:val="clear" w:fill="F2F2F2"/>
      </w:pPr>
      <w:r>
        <w:rPr>
          <w:rFonts w:ascii="Consolas" w:hAnsi="Consolas" w:cs="Consolas"/>
          <w:b w:val="0"/>
          <w:i w:val="0"/>
          <w:sz w:val="15"/>
        </w:rPr>
        <w:t xml:space="preserve">    if preferred &lt;= today { return Err(Error::DateInPast("Preferred date must be in the future")); }</w:t>
      </w:r>
    </w:p>
    <w:p>
      <w:pPr>
        <w:spacing w:after="0" w:before="0" w:line="240" w:lineRule="auto"/>
        <w:ind w:left="57"/>
        <w:jc w:val="left"/>
        <w:shd w:val="clear" w:fill="F2F2F2"/>
      </w:pPr>
      <w:r>
        <w:rPr>
          <w:rFonts w:ascii="Consolas" w:hAnsi="Consolas" w:cs="Consolas"/>
          <w:b w:val="0"/>
          <w:i w:val="0"/>
          <w:sz w:val="15"/>
        </w:rPr>
        <w:t xml:space="preserve">    if latest &lt;= today { return Err(Error::DateInPast("Latest date must be in the future")); }</w:t>
      </w:r>
    </w:p>
    <w:p>
      <w:pPr>
        <w:spacing w:after="0" w:before="0" w:line="240" w:lineRule="auto"/>
        <w:ind w:left="57"/>
        <w:jc w:val="left"/>
        <w:shd w:val="clear" w:fill="F2F2F2"/>
      </w:pPr>
      <w:r>
        <w:rPr>
          <w:rFonts w:ascii="Consolas" w:hAnsi="Consolas" w:cs="Consolas"/>
          <w:b w:val="0"/>
          <w:i w:val="0"/>
          <w:sz w:val="15"/>
        </w:rPr>
        <w:t xml:space="preserve">    // 2. Check chronological order</w:t>
      </w:r>
    </w:p>
    <w:p>
      <w:pPr>
        <w:spacing w:after="0" w:before="0" w:line="240" w:lineRule="auto"/>
        <w:ind w:left="57"/>
        <w:jc w:val="left"/>
        <w:shd w:val="clear" w:fill="F2F2F2"/>
      </w:pPr>
      <w:r>
        <w:rPr>
          <w:rFonts w:ascii="Consolas" w:hAnsi="Consolas" w:cs="Consolas"/>
          <w:b w:val="0"/>
          <w:i w:val="0"/>
          <w:sz w:val="15"/>
        </w:rPr>
        <w:t xml:space="preserve">    if earliest &gt; preferred {</w:t>
      </w:r>
    </w:p>
    <w:p>
      <w:pPr>
        <w:spacing w:after="0" w:before="0" w:line="240" w:lineRule="auto"/>
        <w:ind w:left="57"/>
        <w:jc w:val="left"/>
        <w:shd w:val="clear" w:fill="F2F2F2"/>
      </w:pPr>
      <w:r>
        <w:rPr>
          <w:rFonts w:ascii="Consolas" w:hAnsi="Consolas" w:cs="Consolas"/>
          <w:b w:val="0"/>
          <w:i w:val="0"/>
          <w:sz w:val="15"/>
        </w:rPr>
        <w:t xml:space="preserve">        return Err(Error::InvalidOrder("Earliest must be before or equal to Preferred"));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if preferred &gt; latest {</w:t>
      </w:r>
    </w:p>
    <w:p>
      <w:pPr>
        <w:spacing w:after="0" w:before="0" w:line="240" w:lineRule="auto"/>
        <w:ind w:left="57"/>
        <w:jc w:val="left"/>
        <w:shd w:val="clear" w:fill="F2F2F2"/>
      </w:pPr>
      <w:r>
        <w:rPr>
          <w:rFonts w:ascii="Consolas" w:hAnsi="Consolas" w:cs="Consolas"/>
          <w:b w:val="0"/>
          <w:i w:val="0"/>
          <w:sz w:val="15"/>
        </w:rPr>
        <w:t xml:space="preserve">        return Err(Error::InvalidOrder("Preferred must be before or equal to Latest"));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window size</w:t>
      </w:r>
    </w:p>
    <w:p>
      <w:pPr>
        <w:spacing w:after="0" w:before="0" w:line="240" w:lineRule="auto"/>
        <w:ind w:left="57"/>
        <w:jc w:val="left"/>
        <w:shd w:val="clear" w:fill="F2F2F2"/>
      </w:pPr>
      <w:r>
        <w:rPr>
          <w:rFonts w:ascii="Consolas" w:hAnsi="Consolas" w:cs="Consolas"/>
          <w:b w:val="0"/>
          <w:i w:val="0"/>
          <w:sz w:val="15"/>
        </w:rPr>
        <w:t xml:space="preserve">    let window_days = (latest - earliest).num_days();</w:t>
      </w:r>
    </w:p>
    <w:p>
      <w:pPr>
        <w:spacing w:after="0" w:before="0" w:line="240" w:lineRule="auto"/>
        <w:ind w:left="57"/>
        <w:jc w:val="left"/>
        <w:shd w:val="clear" w:fill="F2F2F2"/>
      </w:pPr>
      <w:r>
        <w:rPr>
          <w:rFonts w:ascii="Consolas" w:hAnsi="Consolas" w:cs="Consolas"/>
          <w:b w:val="0"/>
          <w:i w:val="0"/>
          <w:sz w:val="15"/>
        </w:rPr>
        <w:t xml:space="preserve">    if window_days &gt; max_window {</w:t>
      </w:r>
    </w:p>
    <w:p>
      <w:pPr>
        <w:spacing w:after="0" w:before="0" w:line="240" w:lineRule="auto"/>
        <w:ind w:left="57"/>
        <w:jc w:val="left"/>
        <w:shd w:val="clear" w:fill="F2F2F2"/>
      </w:pPr>
      <w:r>
        <w:rPr>
          <w:rFonts w:ascii="Consolas" w:hAnsi="Consolas" w:cs="Consolas"/>
          <w:b w:val="0"/>
          <w:i w:val="0"/>
          <w:sz w:val="15"/>
        </w:rPr>
        <w:t xml:space="preserve">        return Err(Error::WindowTooLarge(format!("Window cannot exceed {} days", max_window)));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6.9.6.3 UI Example</w:t>
      </w:r>
    </w:p>
    <w:p>
      <w:pPr>
        <w:spacing w:after="0" w:before="0" w:line="240" w:lineRule="auto"/>
        <w:ind w:left="57"/>
        <w:jc w:val="left"/>
        <w:shd w:val="clear" w:fill="F2F2F2"/>
      </w:pPr>
      <w:r>
        <w:rPr>
          <w:rFonts w:ascii="Consolas" w:hAnsi="Consolas" w:cs="Consolas"/>
          <w:b w:val="0"/>
          <w:i w:val="0"/>
          <w:sz w:val="15"/>
        </w:rPr>
        <w:t>DELIVERY WINDOW</w:t>
      </w:r>
    </w:p>
    <w:p>
      <w:pPr>
        <w:spacing w:after="0" w:before="0" w:line="240" w:lineRule="auto"/>
        <w:ind w:left="57"/>
        <w:jc w:val="left"/>
        <w:shd w:val="clear" w:fill="F2F2F2"/>
      </w:pPr>
      <w:r>
        <w:rPr>
          <w:rFonts w:ascii="Consolas" w:hAnsi="Consolas" w:cs="Consolas"/>
          <w:b w:val="0"/>
          <w:i w:val="0"/>
          <w:sz w:val="15"/>
        </w:rPr>
        <w:t xml:space="preserve">  Specify the acceptable delivery window for this shipment:</w:t>
      </w:r>
    </w:p>
    <w:p>
      <w:pPr>
        <w:spacing w:after="0" w:before="0" w:line="240" w:lineRule="auto"/>
        <w:ind w:left="57"/>
        <w:jc w:val="left"/>
        <w:shd w:val="clear" w:fill="F2F2F2"/>
      </w:pPr>
      <w:r>
        <w:rPr>
          <w:rFonts w:ascii="Consolas" w:hAnsi="Consolas" w:cs="Consolas"/>
          <w:b w:val="0"/>
          <w:i w:val="0"/>
          <w:sz w:val="15"/>
        </w:rPr>
        <w:t xml:space="preserve">  Earliest Acceptable Date: [2026-07-10] (10 Jul 2026)</w:t>
      </w:r>
    </w:p>
    <w:p>
      <w:pPr>
        <w:spacing w:after="0" w:before="0" w:line="240" w:lineRule="auto"/>
        <w:ind w:left="57"/>
        <w:jc w:val="left"/>
        <w:shd w:val="clear" w:fill="F2F2F2"/>
      </w:pPr>
      <w:r>
        <w:rPr>
          <w:rFonts w:ascii="Consolas" w:hAnsi="Consolas" w:cs="Consolas"/>
          <w:b w:val="0"/>
          <w:i w:val="0"/>
          <w:sz w:val="15"/>
        </w:rPr>
        <w:t xml:space="preserve">  Preferred Date:           [2026-07-15] (15 Jul 2026)</w:t>
      </w:r>
    </w:p>
    <w:p>
      <w:pPr>
        <w:spacing w:after="0" w:before="0" w:line="240" w:lineRule="auto"/>
        <w:ind w:left="57"/>
        <w:jc w:val="left"/>
        <w:shd w:val="clear" w:fill="F2F2F2"/>
      </w:pPr>
      <w:r>
        <w:rPr>
          <w:rFonts w:ascii="Consolas" w:hAnsi="Consolas" w:cs="Consolas"/>
          <w:b w:val="0"/>
          <w:i w:val="0"/>
          <w:sz w:val="15"/>
        </w:rPr>
        <w:t xml:space="preserve">  Latest Acceptable Date:   [2026-07-20] (20 Jul 2026)</w:t>
      </w:r>
    </w:p>
    <w:p>
      <w:pPr>
        <w:spacing w:after="0" w:before="0" w:line="240" w:lineRule="auto"/>
        <w:ind w:left="57"/>
        <w:jc w:val="left"/>
        <w:shd w:val="clear" w:fill="F2F2F2"/>
      </w:pPr>
      <w:r>
        <w:rPr>
          <w:rFonts w:ascii="Consolas" w:hAnsi="Consolas" w:cs="Consolas"/>
          <w:b w:val="0"/>
          <w:i w:val="0"/>
          <w:sz w:val="15"/>
        </w:rPr>
        <w:t xml:space="preserve">  Window: 10 days (10 Jul → 20 Jul) — Within maximum window (30 days)</w:t>
      </w:r>
    </w:p>
    <w:p>
      <w:pPr>
        <w:spacing w:after="0" w:before="0" w:line="240" w:lineRule="auto"/>
        <w:ind w:left="57"/>
        <w:jc w:val="left"/>
        <w:shd w:val="clear" w:fill="F2F2F2"/>
      </w:pPr>
      <w:r>
        <w:rPr>
          <w:rFonts w:ascii="Consolas" w:hAnsi="Consolas" w:cs="Consolas"/>
          <w:b w:val="0"/>
          <w:i w:val="0"/>
          <w:sz w:val="15"/>
        </w:rPr>
        <w:t xml:space="preserve">  Estimated transit time: 14 days</w:t>
      </w:r>
    </w:p>
    <w:p>
      <w:pPr>
        <w:spacing w:after="0" w:before="0" w:line="240" w:lineRule="auto"/>
        <w:ind w:left="57"/>
        <w:jc w:val="left"/>
        <w:shd w:val="clear" w:fill="F2F2F2"/>
      </w:pPr>
      <w:r>
        <w:rPr>
          <w:rFonts w:ascii="Consolas" w:hAnsi="Consolas" w:cs="Consolas"/>
          <w:b w:val="0"/>
          <w:i w:val="0"/>
          <w:sz w:val="15"/>
        </w:rPr>
        <w:t xml:space="preserve">  Latest acceptable date is consistent with carrier schedule.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6.9.7 Port Details &amp; Requirements</w:t>
      </w:r>
    </w:p>
    <w:p>
      <w:pPr>
        <w:keepNext/>
        <w:spacing w:before="140" w:after="60"/>
        <w:outlineLvl w:val="3"/>
      </w:pPr>
      <w:r>
        <w:rPr>
          <w:rFonts w:ascii="Arial" w:hAnsi="Arial" w:cs="Arial"/>
          <w:b/>
          <w:i/>
          <w:color w:val="333333"/>
          <w:sz w:val="22"/>
        </w:rPr>
        <w:t>6.9.7.1 Port Information</w:t>
      </w:r>
    </w:p>
    <w:p>
      <w:pPr>
        <w:spacing w:after="80" w:line="293" w:lineRule="auto"/>
        <w:jc w:val="left"/>
      </w:pPr>
      <w:r>
        <w:rPr>
          <w:rFonts w:ascii="Times New Roman" w:hAnsi="Times New Roman" w:cs="Times New Roman"/>
          <w:b w:val="0"/>
          <w:i w:val="0"/>
          <w:sz w:val="22"/>
        </w:rPr>
        <w:t>When a port is selected, the system displays relevant information:</w:t>
      </w:r>
    </w:p>
    <w:p>
      <w:pPr>
        <w:spacing w:after="0" w:before="0" w:line="240" w:lineRule="auto"/>
        <w:ind w:left="57"/>
        <w:jc w:val="left"/>
        <w:shd w:val="clear" w:fill="F2F2F2"/>
      </w:pPr>
      <w:r>
        <w:rPr>
          <w:rFonts w:ascii="Consolas" w:hAnsi="Consolas" w:cs="Consolas"/>
          <w:b w:val="0"/>
          <w:i w:val="0"/>
          <w:sz w:val="15"/>
        </w:rPr>
        <w:t>PORT INFORMATION — Alexandria (EG)</w:t>
      </w:r>
    </w:p>
    <w:p>
      <w:pPr>
        <w:spacing w:after="0" w:before="0" w:line="240" w:lineRule="auto"/>
        <w:ind w:left="57"/>
        <w:jc w:val="left"/>
        <w:shd w:val="clear" w:fill="F2F2F2"/>
      </w:pPr>
      <w:r>
        <w:rPr>
          <w:rFonts w:ascii="Consolas" w:hAnsi="Consolas" w:cs="Consolas"/>
          <w:b w:val="0"/>
          <w:i w:val="0"/>
          <w:sz w:val="15"/>
        </w:rPr>
        <w:t xml:space="preserve">  UN/LOCODE: EGALY     Country: Egypt (EG)</w:t>
      </w:r>
    </w:p>
    <w:p>
      <w:pPr>
        <w:spacing w:after="0" w:before="0" w:line="240" w:lineRule="auto"/>
        <w:ind w:left="57"/>
        <w:jc w:val="left"/>
        <w:shd w:val="clear" w:fill="F2F2F2"/>
      </w:pPr>
      <w:r>
        <w:rPr>
          <w:rFonts w:ascii="Consolas" w:hAnsi="Consolas" w:cs="Consolas"/>
          <w:b w:val="0"/>
          <w:i w:val="0"/>
          <w:sz w:val="15"/>
        </w:rPr>
        <w:t xml:space="preserve">  Latitude: 31.2000°N  Longitude: 29.9500°E</w:t>
      </w:r>
    </w:p>
    <w:p>
      <w:pPr>
        <w:spacing w:after="0" w:before="0" w:line="240" w:lineRule="auto"/>
        <w:ind w:left="57"/>
        <w:jc w:val="left"/>
        <w:shd w:val="clear" w:fill="F2F2F2"/>
      </w:pPr>
      <w:r>
        <w:rPr>
          <w:rFonts w:ascii="Consolas" w:hAnsi="Consolas" w:cs="Consolas"/>
          <w:b w:val="0"/>
          <w:i w:val="0"/>
          <w:sz w:val="15"/>
        </w:rPr>
        <w:t xml:space="preserve">  STATISTICS</w:t>
      </w:r>
    </w:p>
    <w:p>
      <w:pPr>
        <w:spacing w:after="0" w:before="0" w:line="240" w:lineRule="auto"/>
        <w:ind w:left="57"/>
        <w:jc w:val="left"/>
        <w:shd w:val="clear" w:fill="F2F2F2"/>
      </w:pPr>
      <w:r>
        <w:rPr>
          <w:rFonts w:ascii="Consolas" w:hAnsi="Consolas" w:cs="Consolas"/>
          <w:b w:val="0"/>
          <w:i w:val="0"/>
          <w:sz w:val="15"/>
        </w:rPr>
        <w:t xml:space="preserve">  • Annual TEU: 1.5 million</w:t>
      </w:r>
    </w:p>
    <w:p>
      <w:pPr>
        <w:spacing w:after="0" w:before="0" w:line="240" w:lineRule="auto"/>
        <w:ind w:left="57"/>
        <w:jc w:val="left"/>
        <w:shd w:val="clear" w:fill="F2F2F2"/>
      </w:pPr>
      <w:r>
        <w:rPr>
          <w:rFonts w:ascii="Consolas" w:hAnsi="Consolas" w:cs="Consolas"/>
          <w:b w:val="0"/>
          <w:i w:val="0"/>
          <w:sz w:val="15"/>
        </w:rPr>
        <w:t xml:space="preserve">  • Vessel calls: 1,200 per year</w:t>
      </w:r>
    </w:p>
    <w:p>
      <w:pPr>
        <w:spacing w:after="0" w:before="0" w:line="240" w:lineRule="auto"/>
        <w:ind w:left="57"/>
        <w:jc w:val="left"/>
        <w:shd w:val="clear" w:fill="F2F2F2"/>
      </w:pPr>
      <w:r>
        <w:rPr>
          <w:rFonts w:ascii="Consolas" w:hAnsi="Consolas" w:cs="Consolas"/>
          <w:b w:val="0"/>
          <w:i w:val="0"/>
          <w:sz w:val="15"/>
        </w:rPr>
        <w:t xml:space="preserve">  • Current congestion: Moderate (3-5 day waiting)</w:t>
      </w:r>
    </w:p>
    <w:p>
      <w:pPr>
        <w:spacing w:after="0" w:before="0" w:line="240" w:lineRule="auto"/>
        <w:ind w:left="57"/>
        <w:jc w:val="left"/>
        <w:shd w:val="clear" w:fill="F2F2F2"/>
      </w:pPr>
      <w:r>
        <w:rPr>
          <w:rFonts w:ascii="Consolas" w:hAnsi="Consolas" w:cs="Consolas"/>
          <w:b w:val="0"/>
          <w:i w:val="0"/>
          <w:sz w:val="15"/>
        </w:rPr>
        <w:t xml:space="preserve">  REQUIREMENTS</w:t>
      </w:r>
    </w:p>
    <w:p>
      <w:pPr>
        <w:spacing w:after="0" w:before="0" w:line="240" w:lineRule="auto"/>
        <w:ind w:left="57"/>
        <w:jc w:val="left"/>
        <w:shd w:val="clear" w:fill="F2F2F2"/>
      </w:pPr>
      <w:r>
        <w:rPr>
          <w:rFonts w:ascii="Consolas" w:hAnsi="Consolas" w:cs="Consolas"/>
          <w:b w:val="0"/>
          <w:i w:val="0"/>
          <w:sz w:val="15"/>
        </w:rPr>
        <w:t xml:space="preserve">  • Pre-cooling certificate required for reefer</w:t>
      </w:r>
    </w:p>
    <w:p>
      <w:pPr>
        <w:spacing w:after="0" w:before="0" w:line="240" w:lineRule="auto"/>
        <w:ind w:left="57"/>
        <w:jc w:val="left"/>
        <w:shd w:val="clear" w:fill="F2F2F2"/>
      </w:pPr>
      <w:r>
        <w:rPr>
          <w:rFonts w:ascii="Consolas" w:hAnsi="Consolas" w:cs="Consolas"/>
          <w:b w:val="0"/>
          <w:i w:val="0"/>
          <w:sz w:val="15"/>
        </w:rPr>
        <w:t xml:space="preserve">  • ISPM 15 compliance required for wood packaging</w:t>
      </w:r>
    </w:p>
    <w:p>
      <w:pPr>
        <w:spacing w:after="0" w:before="0" w:line="240" w:lineRule="auto"/>
        <w:ind w:left="57"/>
        <w:jc w:val="left"/>
        <w:shd w:val="clear" w:fill="F2F2F2"/>
      </w:pPr>
      <w:r>
        <w:rPr>
          <w:rFonts w:ascii="Consolas" w:hAnsi="Consolas" w:cs="Consolas"/>
          <w:b w:val="0"/>
          <w:i w:val="0"/>
          <w:sz w:val="15"/>
        </w:rPr>
        <w:t xml:space="preserve">  • GATE IN: 24/7 operation, 48-hour pre-advice</w:t>
      </w:r>
    </w:p>
    <w:p>
      <w:pPr>
        <w:spacing w:after="0" w:before="0" w:line="240" w:lineRule="auto"/>
        <w:ind w:left="57"/>
        <w:jc w:val="left"/>
        <w:shd w:val="clear" w:fill="F2F2F2"/>
      </w:pPr>
      <w:r>
        <w:rPr>
          <w:rFonts w:ascii="Consolas" w:hAnsi="Consolas" w:cs="Consolas"/>
          <w:b w:val="0"/>
          <w:i w:val="0"/>
          <w:sz w:val="15"/>
        </w:rPr>
        <w:t xml:space="preserve">  [View Port Map] [Check Port Schedule] [View Demurrage Rates]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6.9.7.2 Port Requirements (RIA-Driven)</w:t>
      </w:r>
    </w:p>
    <w:p>
      <w:pPr>
        <w:spacing w:after="80" w:line="293" w:lineRule="auto"/>
        <w:jc w:val="left"/>
      </w:pPr>
      <w:r>
        <w:rPr>
          <w:rFonts w:ascii="Times New Roman" w:hAnsi="Times New Roman" w:cs="Times New Roman"/>
          <w:b w:val="0"/>
          <w:i w:val="0"/>
          <w:sz w:val="22"/>
        </w:rPr>
        <w:t>Port requirements are maintained by the RIA in `port_information.requirements` (JSONB) and `port_special_rules` (for example: pre-cooling certificate required for reefer, ISPM 15 compliance for wood packaging, gate-in operating hours and pre-advice). Requirements are surfaced at request time and enforced during execution (Section 12).</w:t>
      </w:r>
    </w:p>
    <w:p>
      <w:pPr>
        <w:keepNext/>
        <w:spacing w:before="180" w:after="80"/>
        <w:outlineLvl w:val="2"/>
      </w:pPr>
      <w:r>
        <w:rPr>
          <w:rFonts w:ascii="Arial" w:hAnsi="Arial" w:cs="Arial"/>
          <w:b/>
          <w:i w:val="0"/>
          <w:color w:val="333333"/>
          <w:sz w:val="23"/>
        </w:rPr>
        <w:t>6.9.8 AI Container Advisor (A1, Advisory)</w:t>
      </w:r>
    </w:p>
    <w:p>
      <w:pPr>
        <w:keepNext/>
        <w:spacing w:before="140" w:after="60"/>
        <w:outlineLvl w:val="3"/>
      </w:pPr>
      <w:r>
        <w:rPr>
          <w:rFonts w:ascii="Arial" w:hAnsi="Arial" w:cs="Arial"/>
          <w:b/>
          <w:i/>
          <w:color w:val="333333"/>
          <w:sz w:val="22"/>
        </w:rPr>
        <w:t>6.9.8.1 Overview</w:t>
      </w:r>
    </w:p>
    <w:p>
      <w:pPr>
        <w:spacing w:after="80" w:line="293" w:lineRule="auto"/>
        <w:jc w:val="left"/>
      </w:pPr>
      <w:r>
        <w:rPr>
          <w:rFonts w:ascii="Times New Roman" w:hAnsi="Times New Roman" w:cs="Times New Roman"/>
          <w:b w:val="0"/>
          <w:i w:val="0"/>
          <w:sz w:val="22"/>
        </w:rPr>
        <w:t>The AI Container Advisor suggests optimal container configuration based on: commodity volume and weight; pallet dimensions; product type (perishable, hazardous, etc.); route and transport mode; and historical loading density (anonymised, differential privacy). Full specification in Section 6.15.</w:t>
      </w:r>
    </w:p>
    <w:p>
      <w:pPr>
        <w:keepNext/>
        <w:spacing w:before="140" w:after="60"/>
        <w:outlineLvl w:val="3"/>
      </w:pPr>
      <w:r>
        <w:rPr>
          <w:rFonts w:ascii="Arial" w:hAnsi="Arial" w:cs="Arial"/>
          <w:b/>
          <w:i/>
          <w:color w:val="333333"/>
          <w:sz w:val="22"/>
        </w:rPr>
        <w:t>6.9.8.2 UI Example</w:t>
      </w:r>
    </w:p>
    <w:p>
      <w:pPr>
        <w:spacing w:after="0" w:before="0" w:line="240" w:lineRule="auto"/>
        <w:ind w:left="57"/>
        <w:jc w:val="left"/>
        <w:shd w:val="clear" w:fill="F2F2F2"/>
      </w:pPr>
      <w:r>
        <w:rPr>
          <w:rFonts w:ascii="Consolas" w:hAnsi="Consolas" w:cs="Consolas"/>
          <w:b w:val="0"/>
          <w:i w:val="0"/>
          <w:sz w:val="15"/>
        </w:rPr>
        <w:t>AI CONTAINER ADVISOR (Advisory)</w:t>
      </w:r>
    </w:p>
    <w:p>
      <w:pPr>
        <w:spacing w:after="0" w:before="0" w:line="240" w:lineRule="auto"/>
        <w:ind w:left="57"/>
        <w:jc w:val="left"/>
        <w:shd w:val="clear" w:fill="F2F2F2"/>
      </w:pPr>
      <w:r>
        <w:rPr>
          <w:rFonts w:ascii="Consolas" w:hAnsi="Consolas" w:cs="Consolas"/>
          <w:b w:val="0"/>
          <w:i w:val="0"/>
          <w:sz w:val="15"/>
        </w:rPr>
        <w:t xml:space="preserve">  Based on your input, we suggest the following container configuration:</w:t>
      </w:r>
    </w:p>
    <w:p>
      <w:pPr>
        <w:spacing w:after="0" w:before="0" w:line="240" w:lineRule="auto"/>
        <w:ind w:left="57"/>
        <w:jc w:val="left"/>
        <w:shd w:val="clear" w:fill="F2F2F2"/>
      </w:pPr>
      <w:r>
        <w:rPr>
          <w:rFonts w:ascii="Consolas" w:hAnsi="Consolas" w:cs="Consolas"/>
          <w:b w:val="0"/>
          <w:i w:val="0"/>
          <w:sz w:val="15"/>
        </w:rPr>
        <w:t xml:space="preserve">  Commodity: Oranges (22 pallets, 8,800 kg)</w:t>
      </w:r>
    </w:p>
    <w:p>
      <w:pPr>
        <w:spacing w:after="0" w:before="0" w:line="240" w:lineRule="auto"/>
        <w:ind w:left="57"/>
        <w:jc w:val="left"/>
        <w:shd w:val="clear" w:fill="F2F2F2"/>
      </w:pPr>
      <w:r>
        <w:rPr>
          <w:rFonts w:ascii="Consolas" w:hAnsi="Consolas" w:cs="Consolas"/>
          <w:b w:val="0"/>
          <w:i w:val="0"/>
          <w:sz w:val="15"/>
        </w:rPr>
        <w:t xml:space="preserve">  Pallet Type: EUR (800×1200 mm)</w:t>
      </w:r>
    </w:p>
    <w:p>
      <w:pPr>
        <w:spacing w:after="0" w:before="0" w:line="240" w:lineRule="auto"/>
        <w:ind w:left="57"/>
        <w:jc w:val="left"/>
        <w:shd w:val="clear" w:fill="F2F2F2"/>
      </w:pPr>
      <w:r>
        <w:rPr>
          <w:rFonts w:ascii="Consolas" w:hAnsi="Consolas" w:cs="Consolas"/>
          <w:b w:val="0"/>
          <w:i w:val="0"/>
          <w:sz w:val="15"/>
        </w:rPr>
        <w:t xml:space="preserve">  Recommendation: 1 × 40ft High-Cube Reefer</w:t>
      </w:r>
    </w:p>
    <w:p>
      <w:pPr>
        <w:spacing w:after="0" w:before="0" w:line="240" w:lineRule="auto"/>
        <w:ind w:left="57"/>
        <w:jc w:val="left"/>
        <w:shd w:val="clear" w:fill="F2F2F2"/>
      </w:pPr>
      <w:r>
        <w:rPr>
          <w:rFonts w:ascii="Consolas" w:hAnsi="Consolas" w:cs="Consolas"/>
          <w:b w:val="0"/>
          <w:i w:val="0"/>
          <w:sz w:val="15"/>
        </w:rPr>
        <w:t xml:space="preserve">  Reason:</w:t>
      </w:r>
    </w:p>
    <w:p>
      <w:pPr>
        <w:spacing w:after="0" w:before="0" w:line="240" w:lineRule="auto"/>
        <w:ind w:left="57"/>
        <w:jc w:val="left"/>
        <w:shd w:val="clear" w:fill="F2F2F2"/>
      </w:pPr>
      <w:r>
        <w:rPr>
          <w:rFonts w:ascii="Consolas" w:hAnsi="Consolas" w:cs="Consolas"/>
          <w:b w:val="0"/>
          <w:i w:val="0"/>
          <w:sz w:val="15"/>
        </w:rPr>
        <w:t xml:space="preserve">  • 22 EUR pallets fit perfectly in 1 × 40ft Reefer</w:t>
      </w:r>
    </w:p>
    <w:p>
      <w:pPr>
        <w:spacing w:after="0" w:before="0" w:line="240" w:lineRule="auto"/>
        <w:ind w:left="57"/>
        <w:jc w:val="left"/>
        <w:shd w:val="clear" w:fill="F2F2F2"/>
      </w:pPr>
      <w:r>
        <w:rPr>
          <w:rFonts w:ascii="Consolas" w:hAnsi="Consolas" w:cs="Consolas"/>
          <w:b w:val="0"/>
          <w:i w:val="0"/>
          <w:sz w:val="15"/>
        </w:rPr>
        <w:t xml:space="preserve">  • Perishable goods require reefer</w:t>
      </w:r>
    </w:p>
    <w:p>
      <w:pPr>
        <w:spacing w:after="0" w:before="0" w:line="240" w:lineRule="auto"/>
        <w:ind w:left="57"/>
        <w:jc w:val="left"/>
        <w:shd w:val="clear" w:fill="F2F2F2"/>
      </w:pPr>
      <w:r>
        <w:rPr>
          <w:rFonts w:ascii="Consolas" w:hAnsi="Consolas" w:cs="Consolas"/>
          <w:b w:val="0"/>
          <w:i w:val="0"/>
          <w:sz w:val="15"/>
        </w:rPr>
        <w:t xml:space="preserve">  • High-cube provides extra volume for air circulation</w:t>
      </w:r>
    </w:p>
    <w:p>
      <w:pPr>
        <w:spacing w:after="0" w:before="0" w:line="240" w:lineRule="auto"/>
        <w:ind w:left="57"/>
        <w:jc w:val="left"/>
        <w:shd w:val="clear" w:fill="F2F2F2"/>
      </w:pPr>
      <w:r>
        <w:rPr>
          <w:rFonts w:ascii="Consolas" w:hAnsi="Consolas" w:cs="Consolas"/>
          <w:b w:val="0"/>
          <w:i w:val="0"/>
          <w:sz w:val="15"/>
        </w:rPr>
        <w:t xml:space="preserve">  • Historical loading density for this route: 92%</w:t>
      </w:r>
    </w:p>
    <w:p>
      <w:pPr>
        <w:spacing w:after="0" w:before="0" w:line="240" w:lineRule="auto"/>
        <w:ind w:left="57"/>
        <w:jc w:val="left"/>
        <w:shd w:val="clear" w:fill="F2F2F2"/>
      </w:pPr>
      <w:r>
        <w:rPr>
          <w:rFonts w:ascii="Consolas" w:hAnsi="Consolas" w:cs="Consolas"/>
          <w:b w:val="0"/>
          <w:i w:val="0"/>
          <w:sz w:val="15"/>
        </w:rPr>
        <w:t xml:space="preserve">  Comparison:</w:t>
      </w:r>
    </w:p>
    <w:p>
      <w:pPr>
        <w:spacing w:after="0" w:before="0" w:line="240" w:lineRule="auto"/>
        <w:ind w:left="57"/>
        <w:jc w:val="left"/>
        <w:shd w:val="clear" w:fill="F2F2F2"/>
      </w:pPr>
      <w:r>
        <w:rPr>
          <w:rFonts w:ascii="Consolas" w:hAnsi="Consolas" w:cs="Consolas"/>
          <w:b w:val="0"/>
          <w:i w:val="0"/>
          <w:sz w:val="15"/>
        </w:rPr>
        <w:t xml:space="preserve">    Option               Cost     Transit   Capacity   Recommendation</w:t>
      </w:r>
    </w:p>
    <w:p>
      <w:pPr>
        <w:spacing w:after="0" w:before="0" w:line="240" w:lineRule="auto"/>
        <w:ind w:left="57"/>
        <w:jc w:val="left"/>
        <w:shd w:val="clear" w:fill="F2F2F2"/>
      </w:pPr>
      <w:r>
        <w:rPr>
          <w:rFonts w:ascii="Consolas" w:hAnsi="Consolas" w:cs="Consolas"/>
          <w:b w:val="0"/>
          <w:i w:val="0"/>
          <w:sz w:val="15"/>
        </w:rPr>
        <w:t xml:space="preserve">    1 × 40ft HC Reefer   $4,200   14 days   92%        Recommended</w:t>
      </w:r>
    </w:p>
    <w:p>
      <w:pPr>
        <w:spacing w:after="0" w:before="0" w:line="240" w:lineRule="auto"/>
        <w:ind w:left="57"/>
        <w:jc w:val="left"/>
        <w:shd w:val="clear" w:fill="F2F2F2"/>
      </w:pPr>
      <w:r>
        <w:rPr>
          <w:rFonts w:ascii="Consolas" w:hAnsi="Consolas" w:cs="Consolas"/>
          <w:b w:val="0"/>
          <w:i w:val="0"/>
          <w:sz w:val="15"/>
        </w:rPr>
        <w:t xml:space="preserve">    2 × 20ft Reefer      $4,800   14 days   78%        Higher cost</w:t>
      </w:r>
    </w:p>
    <w:p>
      <w:pPr>
        <w:spacing w:after="0" w:before="0" w:line="240" w:lineRule="auto"/>
        <w:ind w:left="57"/>
        <w:jc w:val="left"/>
        <w:shd w:val="clear" w:fill="F2F2F2"/>
      </w:pPr>
      <w:r>
        <w:rPr>
          <w:rFonts w:ascii="Consolas" w:hAnsi="Consolas" w:cs="Consolas"/>
          <w:b w:val="0"/>
          <w:i w:val="0"/>
          <w:sz w:val="15"/>
        </w:rPr>
        <w:t xml:space="preserve">    1 × 40ft Reefer      $4,200   14 days   85%        Lower capacity</w:t>
      </w:r>
    </w:p>
    <w:p>
      <w:pPr>
        <w:spacing w:after="0" w:before="0" w:line="240" w:lineRule="auto"/>
        <w:ind w:left="57"/>
        <w:jc w:val="left"/>
        <w:shd w:val="clear" w:fill="F2F2F2"/>
      </w:pPr>
      <w:r>
        <w:rPr>
          <w:rFonts w:ascii="Consolas" w:hAnsi="Consolas" w:cs="Consolas"/>
          <w:b w:val="0"/>
          <w:i w:val="0"/>
          <w:sz w:val="15"/>
        </w:rPr>
        <w:t xml:space="preserve">  [Adjust to 1 × 40ft HC Reefer] [Adjust to 2 × 20ft Reefer] [Keep Current]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Non-marketplace safeguard: the Container Advisor uses anonymised aggregate</w:t>
      </w:r>
    </w:p>
    <w:p>
      <w:pPr>
        <w:spacing w:after="0" w:before="0" w:line="240" w:lineRule="auto"/>
        <w:ind w:left="57"/>
        <w:jc w:val="left"/>
        <w:shd w:val="clear" w:fill="F2F2F2"/>
      </w:pPr>
      <w:r>
        <w:rPr>
          <w:rFonts w:ascii="Consolas" w:hAnsi="Consolas" w:cs="Consolas"/>
          <w:b w:val="0"/>
          <w:i w:val="0"/>
          <w:sz w:val="15"/>
        </w:rPr>
        <w:t xml:space="preserve">  data with differential privacy (ε=0.1). It never says "other buyers used 3</w:t>
      </w:r>
    </w:p>
    <w:p>
      <w:pPr>
        <w:spacing w:after="0" w:before="0" w:line="240" w:lineRule="auto"/>
        <w:ind w:left="57"/>
        <w:jc w:val="left"/>
        <w:shd w:val="clear" w:fill="F2F2F2"/>
      </w:pPr>
      <w:r>
        <w:rPr>
          <w:rFonts w:ascii="Consolas" w:hAnsi="Consolas" w:cs="Consolas"/>
          <w:b w:val="0"/>
          <w:i w:val="0"/>
          <w:sz w:val="15"/>
        </w:rPr>
        <w:t xml:space="preserve">  containers" or suggests specific providers.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6.9.9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Transport &amp; Logistics Flows</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Transport mode and equipment drive the seller's mandatory logistics quote</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Transport configuration is contractual</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Bookings, gate-in, and tracking follow the configured route and equipment</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Delivery-window completion affects settlement timing</w:t>
            </w:r>
          </w:p>
        </w:tc>
      </w:tr>
      <w:tr>
        <w:tc>
          <w:tcPr>
            <w:tcW w:type="dxa" w:w="4819"/>
          </w:tcPr>
          <w:p>
            <w:pPr>
              <w:spacing w:after="20" w:before="20" w:line="240" w:lineRule="auto"/>
            </w:pPr>
            <w:r/>
            <w:r>
              <w:rPr>
                <w:rFonts w:ascii="Arial" w:hAnsi="Arial" w:cs="Arial"/>
                <w:b w:val="0"/>
                <w:i w:val="0"/>
                <w:sz w:val="17"/>
              </w:rPr>
              <w:t>Port engines (Section 20)</w:t>
            </w:r>
          </w:p>
        </w:tc>
        <w:tc>
          <w:tcPr>
            <w:tcW w:type="dxa" w:w="4819"/>
          </w:tcPr>
          <w:p>
            <w:pPr>
              <w:spacing w:after="20" w:before="20" w:line="240" w:lineRule="auto"/>
            </w:pPr>
            <w:r/>
            <w:r>
              <w:rPr>
                <w:rFonts w:ascii="Arial" w:hAnsi="Arial" w:cs="Arial"/>
                <w:b w:val="0"/>
                <w:i w:val="0"/>
                <w:sz w:val="17"/>
              </w:rPr>
              <w:t>Port information, congestion, and route availability are maintained by the transport engines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6.9.10 Governor Gates (Transport &amp; Logistics)</w:t>
      </w:r>
    </w:p>
    <w:p>
      <w:pPr>
        <w:spacing w:after="80" w:line="293" w:lineRule="auto"/>
        <w:jc w:val="left"/>
      </w:pPr>
      <w:r>
        <w:rPr>
          <w:rFonts w:ascii="Times New Roman" w:hAnsi="Times New Roman" w:cs="Times New Roman"/>
          <w:b w:val="0"/>
          <w:i w:val="0"/>
          <w:sz w:val="22"/>
        </w:rPr>
        <w:t>Example CONDITIONAL response (invalid delivery window):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delivery window is invalid. The earliest date must be before or equal to the preferred date, which must be before or equal to the latest date.",</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"invalid_delivery_window",</w:t>
      </w:r>
    </w:p>
    <w:p>
      <w:pPr>
        <w:spacing w:after="0" w:before="0" w:line="240" w:lineRule="auto"/>
        <w:ind w:left="57"/>
        <w:jc w:val="left"/>
        <w:shd w:val="clear" w:fill="F2F2F2"/>
      </w:pPr>
      <w:r>
        <w:rPr>
          <w:rFonts w:ascii="Consolas" w:hAnsi="Consolas" w:cs="Consolas"/>
          <w:b w:val="0"/>
          <w:i w:val="0"/>
          <w:sz w:val="15"/>
        </w:rPr>
        <w:t xml:space="preserve">        "label": "Correct the delivery window dates",</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6.9.11 Database Schema Additions (Transport &amp; Logistics)</w:t>
      </w:r>
    </w:p>
    <w:p>
      <w:pPr>
        <w:spacing w:after="0" w:before="0" w:line="240" w:lineRule="auto"/>
        <w:ind w:left="57"/>
        <w:jc w:val="left"/>
        <w:shd w:val="clear" w:fill="F2F2F2"/>
      </w:pPr>
      <w:r>
        <w:rPr>
          <w:rFonts w:ascii="Consolas" w:hAnsi="Consolas" w:cs="Consolas"/>
          <w:b w:val="0"/>
          <w:i w:val="0"/>
          <w:sz w:val="15"/>
        </w:rPr>
        <w:t>-- Transport &amp; Logistics configuration</w:t>
      </w:r>
    </w:p>
    <w:p>
      <w:pPr>
        <w:spacing w:after="0" w:before="0" w:line="240" w:lineRule="auto"/>
        <w:ind w:left="57"/>
        <w:jc w:val="left"/>
        <w:shd w:val="clear" w:fill="F2F2F2"/>
      </w:pPr>
      <w:r>
        <w:rPr>
          <w:rFonts w:ascii="Consolas" w:hAnsi="Consolas" w:cs="Consolas"/>
          <w:b w:val="0"/>
          <w:i w:val="0"/>
          <w:sz w:val="15"/>
        </w:rPr>
        <w:t>CREATE TABLE transport_configuration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transport_mode TEXT NOT NULL, -- 'OCEAN', 'AIR', 'RAIL', 'TRUCK', 'MULTIMODAL'</w:t>
      </w:r>
    </w:p>
    <w:p>
      <w:pPr>
        <w:spacing w:after="0" w:before="0" w:line="240" w:lineRule="auto"/>
        <w:ind w:left="57"/>
        <w:jc w:val="left"/>
        <w:shd w:val="clear" w:fill="F2F2F2"/>
      </w:pPr>
      <w:r>
        <w:rPr>
          <w:rFonts w:ascii="Consolas" w:hAnsi="Consolas" w:cs="Consolas"/>
          <w:b w:val="0"/>
          <w:i w:val="0"/>
          <w:sz w:val="15"/>
        </w:rPr>
        <w:t xml:space="preserve">    equipment_type TEXT NOT NULL, -- Dynamic based on mode</w:t>
      </w:r>
    </w:p>
    <w:p>
      <w:pPr>
        <w:spacing w:after="0" w:before="0" w:line="240" w:lineRule="auto"/>
        <w:ind w:left="57"/>
        <w:jc w:val="left"/>
        <w:shd w:val="clear" w:fill="F2F2F2"/>
      </w:pPr>
      <w:r>
        <w:rPr>
          <w:rFonts w:ascii="Consolas" w:hAnsi="Consolas" w:cs="Consolas"/>
          <w:b w:val="0"/>
          <w:i w:val="0"/>
          <w:sz w:val="15"/>
        </w:rPr>
        <w:t xml:space="preserve">    equipment_count INTEGER NOT NULL,</w:t>
      </w:r>
    </w:p>
    <w:p>
      <w:pPr>
        <w:spacing w:after="0" w:before="0" w:line="240" w:lineRule="auto"/>
        <w:ind w:left="57"/>
        <w:jc w:val="left"/>
        <w:shd w:val="clear" w:fill="F2F2F2"/>
      </w:pPr>
      <w:r>
        <w:rPr>
          <w:rFonts w:ascii="Consolas" w:hAnsi="Consolas" w:cs="Consolas"/>
          <w:b w:val="0"/>
          <w:i w:val="0"/>
          <w:sz w:val="15"/>
        </w:rPr>
        <w:t xml:space="preserve">    origin_port TEXT,</w:t>
      </w:r>
    </w:p>
    <w:p>
      <w:pPr>
        <w:spacing w:after="0" w:before="0" w:line="240" w:lineRule="auto"/>
        <w:ind w:left="57"/>
        <w:jc w:val="left"/>
        <w:shd w:val="clear" w:fill="F2F2F2"/>
      </w:pPr>
      <w:r>
        <w:rPr>
          <w:rFonts w:ascii="Consolas" w:hAnsi="Consolas" w:cs="Consolas"/>
          <w:b w:val="0"/>
          <w:i w:val="0"/>
          <w:sz w:val="15"/>
        </w:rPr>
        <w:t xml:space="preserve">    destination_port TEXT,</w:t>
      </w:r>
    </w:p>
    <w:p>
      <w:pPr>
        <w:spacing w:after="0" w:before="0" w:line="240" w:lineRule="auto"/>
        <w:ind w:left="57"/>
        <w:jc w:val="left"/>
        <w:shd w:val="clear" w:fill="F2F2F2"/>
      </w:pPr>
      <w:r>
        <w:rPr>
          <w:rFonts w:ascii="Consolas" w:hAnsi="Consolas" w:cs="Consolas"/>
          <w:b w:val="0"/>
          <w:i w:val="0"/>
          <w:sz w:val="15"/>
        </w:rPr>
        <w:t xml:space="preserve">    alternative_ports TEXT[],</w:t>
      </w:r>
    </w:p>
    <w:p>
      <w:pPr>
        <w:spacing w:after="0" w:before="0" w:line="240" w:lineRule="auto"/>
        <w:ind w:left="57"/>
        <w:jc w:val="left"/>
        <w:shd w:val="clear" w:fill="F2F2F2"/>
      </w:pPr>
      <w:r>
        <w:rPr>
          <w:rFonts w:ascii="Consolas" w:hAnsi="Consolas" w:cs="Consolas"/>
          <w:b w:val="0"/>
          <w:i w:val="0"/>
          <w:sz w:val="15"/>
        </w:rPr>
        <w:t xml:space="preserve">    earliest_delivery_date DATE NOT NULL,</w:t>
      </w:r>
    </w:p>
    <w:p>
      <w:pPr>
        <w:spacing w:after="0" w:before="0" w:line="240" w:lineRule="auto"/>
        <w:ind w:left="57"/>
        <w:jc w:val="left"/>
        <w:shd w:val="clear" w:fill="F2F2F2"/>
      </w:pPr>
      <w:r>
        <w:rPr>
          <w:rFonts w:ascii="Consolas" w:hAnsi="Consolas" w:cs="Consolas"/>
          <w:b w:val="0"/>
          <w:i w:val="0"/>
          <w:sz w:val="15"/>
        </w:rPr>
        <w:t xml:space="preserve">    preferred_delivery_date DATE NOT NULL,</w:t>
      </w:r>
    </w:p>
    <w:p>
      <w:pPr>
        <w:spacing w:after="0" w:before="0" w:line="240" w:lineRule="auto"/>
        <w:ind w:left="57"/>
        <w:jc w:val="left"/>
        <w:shd w:val="clear" w:fill="F2F2F2"/>
      </w:pPr>
      <w:r>
        <w:rPr>
          <w:rFonts w:ascii="Consolas" w:hAnsi="Consolas" w:cs="Consolas"/>
          <w:b w:val="0"/>
          <w:i w:val="0"/>
          <w:sz w:val="15"/>
        </w:rPr>
        <w:t xml:space="preserve">    latest_delivery_date DATE NOT NULL,</w:t>
      </w:r>
    </w:p>
    <w:p>
      <w:pPr>
        <w:spacing w:after="0" w:before="0" w:line="240" w:lineRule="auto"/>
        <w:ind w:left="57"/>
        <w:jc w:val="left"/>
        <w:shd w:val="clear" w:fill="F2F2F2"/>
      </w:pPr>
      <w:r>
        <w:rPr>
          <w:rFonts w:ascii="Consolas" w:hAnsi="Consolas" w:cs="Consolas"/>
          <w:b w:val="0"/>
          <w:i w:val="0"/>
          <w:sz w:val="15"/>
        </w:rPr>
        <w:t xml:space="preserve">    transit_time_days INTEGER,</w:t>
      </w:r>
    </w:p>
    <w:p>
      <w:pPr>
        <w:spacing w:after="0" w:before="0" w:line="240" w:lineRule="auto"/>
        <w:ind w:left="57"/>
        <w:jc w:val="left"/>
        <w:shd w:val="clear" w:fill="F2F2F2"/>
      </w:pPr>
      <w:r>
        <w:rPr>
          <w:rFonts w:ascii="Consolas" w:hAnsi="Consolas" w:cs="Consolas"/>
          <w:b w:val="0"/>
          <w:i w:val="0"/>
          <w:sz w:val="15"/>
        </w:rPr>
        <w:t xml:space="preserve">    route_details JSONB,</w:t>
      </w:r>
    </w:p>
    <w:p>
      <w:pPr>
        <w:spacing w:after="0" w:before="0" w:line="240" w:lineRule="auto"/>
        <w:ind w:left="57"/>
        <w:jc w:val="left"/>
        <w:shd w:val="clear" w:fill="F2F2F2"/>
      </w:pPr>
      <w:r>
        <w:rPr>
          <w:rFonts w:ascii="Consolas" w:hAnsi="Consolas" w:cs="Consolas"/>
          <w:b w:val="0"/>
          <w:i w:val="0"/>
          <w:sz w:val="15"/>
        </w:rPr>
        <w:t xml:space="preserve">    port_requirements JSONB,</w:t>
      </w:r>
    </w:p>
    <w:p>
      <w:pPr>
        <w:spacing w:after="0" w:before="0" w:line="240" w:lineRule="auto"/>
        <w:ind w:left="57"/>
        <w:jc w:val="left"/>
        <w:shd w:val="clear" w:fill="F2F2F2"/>
      </w:pPr>
      <w:r>
        <w:rPr>
          <w:rFonts w:ascii="Consolas" w:hAnsi="Consolas" w:cs="Consolas"/>
          <w:b w:val="0"/>
          <w:i w:val="0"/>
          <w:sz w:val="15"/>
        </w:rPr>
        <w:t xml:space="preserve">    congestion_alert JSONB,</w:t>
      </w:r>
    </w:p>
    <w:p>
      <w:pPr>
        <w:spacing w:after="0" w:before="0" w:line="240" w:lineRule="auto"/>
        <w:ind w:left="57"/>
        <w:jc w:val="left"/>
        <w:shd w:val="clear" w:fill="F2F2F2"/>
      </w:pPr>
      <w:r>
        <w:rPr>
          <w:rFonts w:ascii="Consolas" w:hAnsi="Consolas" w:cs="Consolas"/>
          <w:b w:val="0"/>
          <w:i w:val="0"/>
          <w:sz w:val="15"/>
        </w:rPr>
        <w:t xml:space="preserve">    container_advisor_recommendation JSONB,</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Port information (reference table, updated by RIA)</w:t>
      </w:r>
    </w:p>
    <w:p>
      <w:pPr>
        <w:spacing w:after="0" w:before="0" w:line="240" w:lineRule="auto"/>
        <w:ind w:left="57"/>
        <w:jc w:val="left"/>
        <w:shd w:val="clear" w:fill="F2F2F2"/>
      </w:pPr>
      <w:r>
        <w:rPr>
          <w:rFonts w:ascii="Consolas" w:hAnsi="Consolas" w:cs="Consolas"/>
          <w:b w:val="0"/>
          <w:i w:val="0"/>
          <w:sz w:val="15"/>
        </w:rPr>
        <w:t>CREATE TABLE port_information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unlocode TEXT UNIQUE NOT NULL,</w:t>
      </w:r>
    </w:p>
    <w:p>
      <w:pPr>
        <w:spacing w:after="0" w:before="0" w:line="240" w:lineRule="auto"/>
        <w:ind w:left="57"/>
        <w:jc w:val="left"/>
        <w:shd w:val="clear" w:fill="F2F2F2"/>
      </w:pPr>
      <w:r>
        <w:rPr>
          <w:rFonts w:ascii="Consolas" w:hAnsi="Consolas" w:cs="Consolas"/>
          <w:b w:val="0"/>
          <w:i w:val="0"/>
          <w:sz w:val="15"/>
        </w:rPr>
        <w:t xml:space="preserve">    name TEXT NOT NULL,</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latitude DECIMAL(10,8),</w:t>
      </w:r>
    </w:p>
    <w:p>
      <w:pPr>
        <w:spacing w:after="0" w:before="0" w:line="240" w:lineRule="auto"/>
        <w:ind w:left="57"/>
        <w:jc w:val="left"/>
        <w:shd w:val="clear" w:fill="F2F2F2"/>
      </w:pPr>
      <w:r>
        <w:rPr>
          <w:rFonts w:ascii="Consolas" w:hAnsi="Consolas" w:cs="Consolas"/>
          <w:b w:val="0"/>
          <w:i w:val="0"/>
          <w:sz w:val="15"/>
        </w:rPr>
        <w:t xml:space="preserve">    longitude DECIMAL(11,8),</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is_sanctioned BOOLEAN DEFAULT false,</w:t>
      </w:r>
    </w:p>
    <w:p>
      <w:pPr>
        <w:spacing w:after="0" w:before="0" w:line="240" w:lineRule="auto"/>
        <w:ind w:left="57"/>
        <w:jc w:val="left"/>
        <w:shd w:val="clear" w:fill="F2F2F2"/>
      </w:pPr>
      <w:r>
        <w:rPr>
          <w:rFonts w:ascii="Consolas" w:hAnsi="Consolas" w:cs="Consolas"/>
          <w:b w:val="0"/>
          <w:i w:val="0"/>
          <w:sz w:val="15"/>
        </w:rPr>
        <w:t xml:space="preserve">    timezone TEXT,</w:t>
      </w:r>
    </w:p>
    <w:p>
      <w:pPr>
        <w:spacing w:after="0" w:before="0" w:line="240" w:lineRule="auto"/>
        <w:ind w:left="57"/>
        <w:jc w:val="left"/>
        <w:shd w:val="clear" w:fill="F2F2F2"/>
      </w:pPr>
      <w:r>
        <w:rPr>
          <w:rFonts w:ascii="Consolas" w:hAnsi="Consolas" w:cs="Consolas"/>
          <w:b w:val="0"/>
          <w:i w:val="0"/>
          <w:sz w:val="15"/>
        </w:rPr>
        <w:t xml:space="preserve">    operating_hours TEXT,</w:t>
      </w:r>
    </w:p>
    <w:p>
      <w:pPr>
        <w:spacing w:after="0" w:before="0" w:line="240" w:lineRule="auto"/>
        <w:ind w:left="57"/>
        <w:jc w:val="left"/>
        <w:shd w:val="clear" w:fill="F2F2F2"/>
      </w:pPr>
      <w:r>
        <w:rPr>
          <w:rFonts w:ascii="Consolas" w:hAnsi="Consolas" w:cs="Consolas"/>
          <w:b w:val="0"/>
          <w:i w:val="0"/>
          <w:sz w:val="15"/>
        </w:rPr>
        <w:t xml:space="preserve">    max_draft_m DECIMAL(5,2),</w:t>
      </w:r>
    </w:p>
    <w:p>
      <w:pPr>
        <w:spacing w:after="0" w:before="0" w:line="240" w:lineRule="auto"/>
        <w:ind w:left="57"/>
        <w:jc w:val="left"/>
        <w:shd w:val="clear" w:fill="F2F2F2"/>
      </w:pPr>
      <w:r>
        <w:rPr>
          <w:rFonts w:ascii="Consolas" w:hAnsi="Consolas" w:cs="Consolas"/>
          <w:b w:val="0"/>
          <w:i w:val="0"/>
          <w:sz w:val="15"/>
        </w:rPr>
        <w:t xml:space="preserve">    annual_teu INTEGER,</w:t>
      </w:r>
    </w:p>
    <w:p>
      <w:pPr>
        <w:spacing w:after="0" w:before="0" w:line="240" w:lineRule="auto"/>
        <w:ind w:left="57"/>
        <w:jc w:val="left"/>
        <w:shd w:val="clear" w:fill="F2F2F2"/>
      </w:pPr>
      <w:r>
        <w:rPr>
          <w:rFonts w:ascii="Consolas" w:hAnsi="Consolas" w:cs="Consolas"/>
          <w:b w:val="0"/>
          <w:i w:val="0"/>
          <w:sz w:val="15"/>
        </w:rPr>
        <w:t xml:space="preserve">    vessel_calls_per_year INTEGER,</w:t>
      </w:r>
    </w:p>
    <w:p>
      <w:pPr>
        <w:spacing w:after="0" w:before="0" w:line="240" w:lineRule="auto"/>
        <w:ind w:left="57"/>
        <w:jc w:val="left"/>
        <w:shd w:val="clear" w:fill="F2F2F2"/>
      </w:pPr>
      <w:r>
        <w:rPr>
          <w:rFonts w:ascii="Consolas" w:hAnsi="Consolas" w:cs="Consolas"/>
          <w:b w:val="0"/>
          <w:i w:val="0"/>
          <w:sz w:val="15"/>
        </w:rPr>
        <w:t xml:space="preserve">    congestion_status TEXT DEFAULT 'NORMAL', -- 'NORMAL', 'MODERATE', 'SEVERE'</w:t>
      </w:r>
    </w:p>
    <w:p>
      <w:pPr>
        <w:spacing w:after="0" w:before="0" w:line="240" w:lineRule="auto"/>
        <w:ind w:left="57"/>
        <w:jc w:val="left"/>
        <w:shd w:val="clear" w:fill="F2F2F2"/>
      </w:pPr>
      <w:r>
        <w:rPr>
          <w:rFonts w:ascii="Consolas" w:hAnsi="Consolas" w:cs="Consolas"/>
          <w:b w:val="0"/>
          <w:i w:val="0"/>
          <w:sz w:val="15"/>
        </w:rPr>
        <w:t xml:space="preserve">    congestion_waiting_days INTEGER DEFAULT 0,</w:t>
      </w:r>
    </w:p>
    <w:p>
      <w:pPr>
        <w:spacing w:after="0" w:before="0" w:line="240" w:lineRule="auto"/>
        <w:ind w:left="57"/>
        <w:jc w:val="left"/>
        <w:shd w:val="clear" w:fill="F2F2F2"/>
      </w:pPr>
      <w:r>
        <w:rPr>
          <w:rFonts w:ascii="Consolas" w:hAnsi="Consolas" w:cs="Consolas"/>
          <w:b w:val="0"/>
          <w:i w:val="0"/>
          <w:sz w:val="15"/>
        </w:rPr>
        <w:t xml:space="preserve">    requirements JSONB,</w:t>
      </w:r>
    </w:p>
    <w:p>
      <w:pPr>
        <w:spacing w:after="0" w:before="0" w:line="240" w:lineRule="auto"/>
        <w:ind w:left="57"/>
        <w:jc w:val="left"/>
        <w:shd w:val="clear" w:fill="F2F2F2"/>
      </w:pPr>
      <w:r>
        <w:rPr>
          <w:rFonts w:ascii="Consolas" w:hAnsi="Consolas" w:cs="Consolas"/>
          <w:b w:val="0"/>
          <w:i w:val="0"/>
          <w:sz w:val="15"/>
        </w:rPr>
        <w:t xml:space="preserve">    facilities JSONB,</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Equipment types (reference table)</w:t>
      </w:r>
    </w:p>
    <w:p>
      <w:pPr>
        <w:spacing w:after="0" w:before="0" w:line="240" w:lineRule="auto"/>
        <w:ind w:left="57"/>
        <w:jc w:val="left"/>
        <w:shd w:val="clear" w:fill="F2F2F2"/>
      </w:pPr>
      <w:r>
        <w:rPr>
          <w:rFonts w:ascii="Consolas" w:hAnsi="Consolas" w:cs="Consolas"/>
          <w:b w:val="0"/>
          <w:i w:val="0"/>
          <w:sz w:val="15"/>
        </w:rPr>
        <w:t>CREATE TABLE equipment_types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mode TEXT NOT NULL, -- 'OCEAN', 'AIR', 'RAIL', 'TRUCK'</w:t>
      </w:r>
    </w:p>
    <w:p>
      <w:pPr>
        <w:spacing w:after="0" w:before="0" w:line="240" w:lineRule="auto"/>
        <w:ind w:left="57"/>
        <w:jc w:val="left"/>
        <w:shd w:val="clear" w:fill="F2F2F2"/>
      </w:pPr>
      <w:r>
        <w:rPr>
          <w:rFonts w:ascii="Consolas" w:hAnsi="Consolas" w:cs="Consolas"/>
          <w:b w:val="0"/>
          <w:i w:val="0"/>
          <w:sz w:val="15"/>
        </w:rPr>
        <w:t xml:space="preserve">    type_code TEXT NOT NULL,</w:t>
      </w:r>
    </w:p>
    <w:p>
      <w:pPr>
        <w:spacing w:after="0" w:before="0" w:line="240" w:lineRule="auto"/>
        <w:ind w:left="57"/>
        <w:jc w:val="left"/>
        <w:shd w:val="clear" w:fill="F2F2F2"/>
      </w:pPr>
      <w:r>
        <w:rPr>
          <w:rFonts w:ascii="Consolas" w:hAnsi="Consolas" w:cs="Consolas"/>
          <w:b w:val="0"/>
          <w:i w:val="0"/>
          <w:sz w:val="15"/>
        </w:rPr>
        <w:t xml:space="preserve">    type_name TEXT NOT NULL,</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max_payload_kg DECIMAL(10,2),</w:t>
      </w:r>
    </w:p>
    <w:p>
      <w:pPr>
        <w:spacing w:after="0" w:before="0" w:line="240" w:lineRule="auto"/>
        <w:ind w:left="57"/>
        <w:jc w:val="left"/>
        <w:shd w:val="clear" w:fill="F2F2F2"/>
      </w:pPr>
      <w:r>
        <w:rPr>
          <w:rFonts w:ascii="Consolas" w:hAnsi="Consolas" w:cs="Consolas"/>
          <w:b w:val="0"/>
          <w:i w:val="0"/>
          <w:sz w:val="15"/>
        </w:rPr>
        <w:t xml:space="preserve">    max_volume_cbm DECIMAL(10,2),</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requires_reefer BOOLEAN DEFAULT false,</w:t>
      </w:r>
    </w:p>
    <w:p>
      <w:pPr>
        <w:spacing w:after="0" w:before="0" w:line="240" w:lineRule="auto"/>
        <w:ind w:left="57"/>
        <w:jc w:val="left"/>
        <w:shd w:val="clear" w:fill="F2F2F2"/>
      </w:pPr>
      <w:r>
        <w:rPr>
          <w:rFonts w:ascii="Consolas" w:hAnsi="Consolas" w:cs="Consolas"/>
          <w:b w:val="0"/>
          <w:i w:val="0"/>
          <w:sz w:val="15"/>
        </w:rPr>
        <w:t xml:space="preserve">    requires_hazardous_handling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UNIQUE(mode, type_code)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Route availability (reference table)</w:t>
      </w:r>
    </w:p>
    <w:p>
      <w:pPr>
        <w:spacing w:after="0" w:before="0" w:line="240" w:lineRule="auto"/>
        <w:ind w:left="57"/>
        <w:jc w:val="left"/>
        <w:shd w:val="clear" w:fill="F2F2F2"/>
      </w:pPr>
      <w:r>
        <w:rPr>
          <w:rFonts w:ascii="Consolas" w:hAnsi="Consolas" w:cs="Consolas"/>
          <w:b w:val="0"/>
          <w:i w:val="0"/>
          <w:sz w:val="15"/>
        </w:rPr>
        <w:t>CREATE TABLE route_availability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origin_unlocode TEXT NOT NULL REFERENCES port_information(unlocode),</w:t>
      </w:r>
    </w:p>
    <w:p>
      <w:pPr>
        <w:spacing w:after="0" w:before="0" w:line="240" w:lineRule="auto"/>
        <w:ind w:left="57"/>
        <w:jc w:val="left"/>
        <w:shd w:val="clear" w:fill="F2F2F2"/>
      </w:pPr>
      <w:r>
        <w:rPr>
          <w:rFonts w:ascii="Consolas" w:hAnsi="Consolas" w:cs="Consolas"/>
          <w:b w:val="0"/>
          <w:i w:val="0"/>
          <w:sz w:val="15"/>
        </w:rPr>
        <w:t xml:space="preserve">    destination_unlocode TEXT NOT NULL REFERENCES port_information(unlocode),</w:t>
      </w:r>
    </w:p>
    <w:p>
      <w:pPr>
        <w:spacing w:after="0" w:before="0" w:line="240" w:lineRule="auto"/>
        <w:ind w:left="57"/>
        <w:jc w:val="left"/>
        <w:shd w:val="clear" w:fill="F2F2F2"/>
      </w:pPr>
      <w:r>
        <w:rPr>
          <w:rFonts w:ascii="Consolas" w:hAnsi="Consolas" w:cs="Consolas"/>
          <w:b w:val="0"/>
          <w:i w:val="0"/>
          <w:sz w:val="15"/>
        </w:rPr>
        <w:t xml:space="preserve">    mode TEXT NOT NULL, -- 'OCEAN', 'AIR', 'RAIL', 'TRUCK'</w:t>
      </w:r>
    </w:p>
    <w:p>
      <w:pPr>
        <w:spacing w:after="0" w:before="0" w:line="240" w:lineRule="auto"/>
        <w:ind w:left="57"/>
        <w:jc w:val="left"/>
        <w:shd w:val="clear" w:fill="F2F2F2"/>
      </w:pPr>
      <w:r>
        <w:rPr>
          <w:rFonts w:ascii="Consolas" w:hAnsi="Consolas" w:cs="Consolas"/>
          <w:b w:val="0"/>
          <w:i w:val="0"/>
          <w:sz w:val="15"/>
        </w:rPr>
        <w:t xml:space="preserve">    is_available BOOLEAN DEFAULT true,</w:t>
      </w:r>
    </w:p>
    <w:p>
      <w:pPr>
        <w:spacing w:after="0" w:before="0" w:line="240" w:lineRule="auto"/>
        <w:ind w:left="57"/>
        <w:jc w:val="left"/>
        <w:shd w:val="clear" w:fill="F2F2F2"/>
      </w:pPr>
      <w:r>
        <w:rPr>
          <w:rFonts w:ascii="Consolas" w:hAnsi="Consolas" w:cs="Consolas"/>
          <w:b w:val="0"/>
          <w:i w:val="0"/>
          <w:sz w:val="15"/>
        </w:rPr>
        <w:t xml:space="preserve">    transit_time_days INTEGER,</w:t>
      </w:r>
    </w:p>
    <w:p>
      <w:pPr>
        <w:spacing w:after="0" w:before="0" w:line="240" w:lineRule="auto"/>
        <w:ind w:left="57"/>
        <w:jc w:val="left"/>
        <w:shd w:val="clear" w:fill="F2F2F2"/>
      </w:pPr>
      <w:r>
        <w:rPr>
          <w:rFonts w:ascii="Consolas" w:hAnsi="Consolas" w:cs="Consolas"/>
          <w:b w:val="0"/>
          <w:i w:val="0"/>
          <w:sz w:val="15"/>
        </w:rPr>
        <w:t xml:space="preserve">    frequency_per_week INTEGER,</w:t>
      </w:r>
    </w:p>
    <w:p>
      <w:pPr>
        <w:spacing w:after="0" w:before="0" w:line="240" w:lineRule="auto"/>
        <w:ind w:left="57"/>
        <w:jc w:val="left"/>
        <w:shd w:val="clear" w:fill="F2F2F2"/>
      </w:pPr>
      <w:r>
        <w:rPr>
          <w:rFonts w:ascii="Consolas" w:hAnsi="Consolas" w:cs="Consolas"/>
          <w:b w:val="0"/>
          <w:i w:val="0"/>
          <w:sz w:val="15"/>
        </w:rPr>
        <w:t xml:space="preserve">    carriers TEXT[],</w:t>
      </w:r>
    </w:p>
    <w:p>
      <w:pPr>
        <w:spacing w:after="0" w:before="0" w:line="240" w:lineRule="auto"/>
        <w:ind w:left="57"/>
        <w:jc w:val="left"/>
        <w:shd w:val="clear" w:fill="F2F2F2"/>
      </w:pPr>
      <w:r>
        <w:rPr>
          <w:rFonts w:ascii="Consolas" w:hAnsi="Consolas" w:cs="Consolas"/>
          <w:b w:val="0"/>
          <w:i w:val="0"/>
          <w:sz w:val="15"/>
        </w:rPr>
        <w:t xml:space="preserve">    equipment_types TEXT[],</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UNIQUE(origin_unlocode, destination_unlocode, mode)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AI Container Advisor logs</w:t>
      </w:r>
    </w:p>
    <w:p>
      <w:pPr>
        <w:spacing w:after="0" w:before="0" w:line="240" w:lineRule="auto"/>
        <w:ind w:left="57"/>
        <w:jc w:val="left"/>
        <w:shd w:val="clear" w:fill="F2F2F2"/>
      </w:pPr>
      <w:r>
        <w:rPr>
          <w:rFonts w:ascii="Consolas" w:hAnsi="Consolas" w:cs="Consolas"/>
          <w:b w:val="0"/>
          <w:i w:val="0"/>
          <w:sz w:val="15"/>
        </w:rPr>
        <w:t>CREATE TABLE container_advisor_logs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input_data JSONB,</w:t>
      </w:r>
    </w:p>
    <w:p>
      <w:pPr>
        <w:spacing w:after="0" w:before="0" w:line="240" w:lineRule="auto"/>
        <w:ind w:left="57"/>
        <w:jc w:val="left"/>
        <w:shd w:val="clear" w:fill="F2F2F2"/>
      </w:pPr>
      <w:r>
        <w:rPr>
          <w:rFonts w:ascii="Consolas" w:hAnsi="Consolas" w:cs="Consolas"/>
          <w:b w:val="0"/>
          <w:i w:val="0"/>
          <w:sz w:val="15"/>
        </w:rPr>
        <w:t xml:space="preserve">    recommendation JSONB,</w:t>
      </w:r>
    </w:p>
    <w:p>
      <w:pPr>
        <w:spacing w:after="0" w:before="0" w:line="240" w:lineRule="auto"/>
        <w:ind w:left="57"/>
        <w:jc w:val="left"/>
        <w:shd w:val="clear" w:fill="F2F2F2"/>
      </w:pPr>
      <w:r>
        <w:rPr>
          <w:rFonts w:ascii="Consolas" w:hAnsi="Consolas" w:cs="Consolas"/>
          <w:b w:val="0"/>
          <w:i w:val="0"/>
          <w:sz w:val="15"/>
        </w:rPr>
        <w:t xml:space="preserve">    alternatives JSONB,</w:t>
      </w:r>
    </w:p>
    <w:p>
      <w:pPr>
        <w:spacing w:after="0" w:before="0" w:line="240" w:lineRule="auto"/>
        <w:ind w:left="57"/>
        <w:jc w:val="left"/>
        <w:shd w:val="clear" w:fill="F2F2F2"/>
      </w:pPr>
      <w:r>
        <w:rPr>
          <w:rFonts w:ascii="Consolas" w:hAnsi="Consolas" w:cs="Consolas"/>
          <w:b w:val="0"/>
          <w:i w:val="0"/>
          <w:sz w:val="15"/>
        </w:rPr>
        <w:t xml:space="preserve">    selected_option TEXT,</w:t>
      </w:r>
    </w:p>
    <w:p>
      <w:pPr>
        <w:spacing w:after="0" w:before="0" w:line="240" w:lineRule="auto"/>
        <w:ind w:left="57"/>
        <w:jc w:val="left"/>
        <w:shd w:val="clear" w:fill="F2F2F2"/>
      </w:pPr>
      <w:r>
        <w:rPr>
          <w:rFonts w:ascii="Consolas" w:hAnsi="Consolas" w:cs="Consolas"/>
          <w:b w:val="0"/>
          <w:i w:val="0"/>
          <w:sz w:val="15"/>
        </w:rPr>
        <w:t xml:space="preserve">    user_accepted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Port congestion history (TimescaleDB hypertable)</w:t>
      </w:r>
    </w:p>
    <w:p>
      <w:pPr>
        <w:spacing w:after="0" w:before="0" w:line="240" w:lineRule="auto"/>
        <w:ind w:left="57"/>
        <w:jc w:val="left"/>
        <w:shd w:val="clear" w:fill="F2F2F2"/>
      </w:pPr>
      <w:r>
        <w:rPr>
          <w:rFonts w:ascii="Consolas" w:hAnsi="Consolas" w:cs="Consolas"/>
          <w:b w:val="0"/>
          <w:i w:val="0"/>
          <w:sz w:val="15"/>
        </w:rPr>
        <w:t>CREATE TABLE port_congestion_history (</w:t>
      </w:r>
    </w:p>
    <w:p>
      <w:pPr>
        <w:spacing w:after="0" w:before="0" w:line="240" w:lineRule="auto"/>
        <w:ind w:left="57"/>
        <w:jc w:val="left"/>
        <w:shd w:val="clear" w:fill="F2F2F2"/>
      </w:pPr>
      <w:r>
        <w:rPr>
          <w:rFonts w:ascii="Consolas" w:hAnsi="Consolas" w:cs="Consolas"/>
          <w:b w:val="0"/>
          <w:i w:val="0"/>
          <w:sz w:val="15"/>
        </w:rPr>
        <w:t xml:space="preserve">    id BIGSERIAL,</w:t>
      </w:r>
    </w:p>
    <w:p>
      <w:pPr>
        <w:spacing w:after="0" w:before="0" w:line="240" w:lineRule="auto"/>
        <w:ind w:left="57"/>
        <w:jc w:val="left"/>
        <w:shd w:val="clear" w:fill="F2F2F2"/>
      </w:pPr>
      <w:r>
        <w:rPr>
          <w:rFonts w:ascii="Consolas" w:hAnsi="Consolas" w:cs="Consolas"/>
          <w:b w:val="0"/>
          <w:i w:val="0"/>
          <w:sz w:val="15"/>
        </w:rPr>
        <w:t xml:space="preserve">    unlocode TEXT NOT NULL REFERENCES port_information(unlocode),</w:t>
      </w:r>
    </w:p>
    <w:p>
      <w:pPr>
        <w:spacing w:after="0" w:before="0" w:line="240" w:lineRule="auto"/>
        <w:ind w:left="57"/>
        <w:jc w:val="left"/>
        <w:shd w:val="clear" w:fill="F2F2F2"/>
      </w:pPr>
      <w:r>
        <w:rPr>
          <w:rFonts w:ascii="Consolas" w:hAnsi="Consolas" w:cs="Consolas"/>
          <w:b w:val="0"/>
          <w:i w:val="0"/>
          <w:sz w:val="15"/>
        </w:rPr>
        <w:t xml:space="preserve">    congestion_status TEXT NOT NULL,</w:t>
      </w:r>
    </w:p>
    <w:p>
      <w:pPr>
        <w:spacing w:after="0" w:before="0" w:line="240" w:lineRule="auto"/>
        <w:ind w:left="57"/>
        <w:jc w:val="left"/>
        <w:shd w:val="clear" w:fill="F2F2F2"/>
      </w:pPr>
      <w:r>
        <w:rPr>
          <w:rFonts w:ascii="Consolas" w:hAnsi="Consolas" w:cs="Consolas"/>
          <w:b w:val="0"/>
          <w:i w:val="0"/>
          <w:sz w:val="15"/>
        </w:rPr>
        <w:t xml:space="preserve">    waiting_days INTEGER,</w:t>
      </w:r>
    </w:p>
    <w:p>
      <w:pPr>
        <w:spacing w:after="0" w:before="0" w:line="240" w:lineRule="auto"/>
        <w:ind w:left="57"/>
        <w:jc w:val="left"/>
        <w:shd w:val="clear" w:fill="F2F2F2"/>
      </w:pPr>
      <w:r>
        <w:rPr>
          <w:rFonts w:ascii="Consolas" w:hAnsi="Consolas" w:cs="Consolas"/>
          <w:b w:val="0"/>
          <w:i w:val="0"/>
          <w:sz w:val="15"/>
        </w:rPr>
        <w:t xml:space="preserve">    vessels_at_anchor INTEGER,</w:t>
      </w:r>
    </w:p>
    <w:p>
      <w:pPr>
        <w:spacing w:after="0" w:before="0" w:line="240" w:lineRule="auto"/>
        <w:ind w:left="57"/>
        <w:jc w:val="left"/>
        <w:shd w:val="clear" w:fill="F2F2F2"/>
      </w:pPr>
      <w:r>
        <w:rPr>
          <w:rFonts w:ascii="Consolas" w:hAnsi="Consolas" w:cs="Consolas"/>
          <w:b w:val="0"/>
          <w:i w:val="0"/>
          <w:sz w:val="15"/>
        </w:rPr>
        <w:t xml:space="preserve">    recorded_at TIMESTAMPTZ NOT NULL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SELECT create_hypertable('port_congestion_history', 'recorded_at');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idx_transport_configuration_trade ON transport_configuration(trade_request_id);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idx_transport_configuration_mode ON transport_configuration(transport_mode);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idx_port_information_unlocode ON port_information(unlocode);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idx_port_information_country ON port_information(country_code);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idx_port_information_congestion ON port_information(congestion_status);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idx_equipment_types_mode ON equipment_types(mode);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idx_route_availability_origin ON route_availability(origin_unlocode);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idx_route_availability_destination ON route_availability(destination_unlocode);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idx_container_advisor_logs_trade ON container_advisor_logs(trade_request_id);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idx_port_congestion_history_unlocode ON port_congestion_history(unlocode);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idx_port_congestion_history_recorded ON port_congestion_history(recorded_at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6.9.12 Implementation Checklist (Transport &amp; Logistics)</w:t>
      </w:r>
    </w:p>
    <w:p>
      <w:pPr>
        <w:keepNext/>
        <w:spacing w:before="140" w:after="60"/>
        <w:outlineLvl w:val="3"/>
      </w:pPr>
      <w:r>
        <w:rPr>
          <w:rFonts w:ascii="Arial" w:hAnsi="Arial" w:cs="Arial"/>
          <w:b/>
          <w:i/>
          <w:color w:val="333333"/>
          <w:sz w:val="22"/>
        </w:rPr>
        <w:t>6.9.12.1 Backend Services</w:t>
      </w:r>
    </w:p>
    <w:p>
      <w:pPr>
        <w:spacing w:after="80" w:line="293" w:lineRule="auto"/>
        <w:ind w:left="283"/>
        <w:jc w:val="left"/>
      </w:pPr>
      <w:r>
        <w:rPr>
          <w:rFonts w:ascii="Times New Roman" w:hAnsi="Times New Roman" w:cs="Times New Roman"/>
          <w:b w:val="0"/>
          <w:i w:val="0"/>
          <w:sz w:val="22"/>
        </w:rPr>
        <w:t>- Implement transport configuration service (Rust)</w:t>
      </w:r>
    </w:p>
    <w:p>
      <w:pPr>
        <w:spacing w:after="80" w:line="293" w:lineRule="auto"/>
        <w:ind w:left="283"/>
        <w:jc w:val="left"/>
      </w:pPr>
      <w:r>
        <w:rPr>
          <w:rFonts w:ascii="Times New Roman" w:hAnsi="Times New Roman" w:cs="Times New Roman"/>
          <w:b w:val="0"/>
          <w:i w:val="0"/>
          <w:sz w:val="22"/>
        </w:rPr>
        <w:t>- Implement dynamic equipment loading based on mode</w:t>
      </w:r>
    </w:p>
    <w:p>
      <w:pPr>
        <w:spacing w:after="80" w:line="293" w:lineRule="auto"/>
        <w:ind w:left="283"/>
        <w:jc w:val="left"/>
      </w:pPr>
      <w:r>
        <w:rPr>
          <w:rFonts w:ascii="Times New Roman" w:hAnsi="Times New Roman" w:cs="Times New Roman"/>
          <w:b w:val="0"/>
          <w:i w:val="0"/>
          <w:sz w:val="22"/>
        </w:rPr>
        <w:t>- Implement route validation (A4, WasmEdge)</w:t>
      </w:r>
    </w:p>
    <w:p>
      <w:pPr>
        <w:spacing w:after="80" w:line="293" w:lineRule="auto"/>
        <w:ind w:left="283"/>
        <w:jc w:val="left"/>
      </w:pPr>
      <w:r>
        <w:rPr>
          <w:rFonts w:ascii="Times New Roman" w:hAnsi="Times New Roman" w:cs="Times New Roman"/>
          <w:b w:val="0"/>
          <w:i w:val="0"/>
          <w:sz w:val="22"/>
        </w:rPr>
        <w:t>- Implement port validation (A4, WasmEdge)</w:t>
      </w:r>
    </w:p>
    <w:p>
      <w:pPr>
        <w:spacing w:after="80" w:line="293" w:lineRule="auto"/>
        <w:ind w:left="283"/>
        <w:jc w:val="left"/>
      </w:pPr>
      <w:r>
        <w:rPr>
          <w:rFonts w:ascii="Times New Roman" w:hAnsi="Times New Roman" w:cs="Times New Roman"/>
          <w:b w:val="0"/>
          <w:i w:val="0"/>
          <w:sz w:val="22"/>
        </w:rPr>
        <w:t>- Implement delivery window validation (A4, WasmEdge)</w:t>
      </w:r>
    </w:p>
    <w:p>
      <w:pPr>
        <w:spacing w:after="80" w:line="293" w:lineRule="auto"/>
        <w:ind w:left="283"/>
        <w:jc w:val="left"/>
      </w:pPr>
      <w:r>
        <w:rPr>
          <w:rFonts w:ascii="Times New Roman" w:hAnsi="Times New Roman" w:cs="Times New Roman"/>
          <w:b w:val="0"/>
          <w:i w:val="0"/>
          <w:sz w:val="22"/>
        </w:rPr>
        <w:t>- Implement port congestion detection (A2, RIA)</w:t>
      </w:r>
    </w:p>
    <w:p>
      <w:pPr>
        <w:spacing w:after="80" w:line="293" w:lineRule="auto"/>
        <w:ind w:left="283"/>
        <w:jc w:val="left"/>
      </w:pPr>
      <w:r>
        <w:rPr>
          <w:rFonts w:ascii="Times New Roman" w:hAnsi="Times New Roman" w:cs="Times New Roman"/>
          <w:b w:val="0"/>
          <w:i w:val="0"/>
          <w:sz w:val="22"/>
        </w:rPr>
        <w:t>- Implement AI Container Advisor (A1, Groq)</w:t>
      </w:r>
    </w:p>
    <w:p>
      <w:pPr>
        <w:keepNext/>
        <w:spacing w:before="140" w:after="60"/>
        <w:outlineLvl w:val="3"/>
      </w:pPr>
      <w:r>
        <w:rPr>
          <w:rFonts w:ascii="Arial" w:hAnsi="Arial" w:cs="Arial"/>
          <w:b/>
          <w:i/>
          <w:color w:val="333333"/>
          <w:sz w:val="22"/>
        </w:rPr>
        <w:t>6.9.12.2 Frontend Components</w:t>
      </w:r>
    </w:p>
    <w:p>
      <w:pPr>
        <w:spacing w:after="80" w:line="293" w:lineRule="auto"/>
        <w:ind w:left="283"/>
        <w:jc w:val="left"/>
      </w:pPr>
      <w:r>
        <w:rPr>
          <w:rFonts w:ascii="Times New Roman" w:hAnsi="Times New Roman" w:cs="Times New Roman"/>
          <w:b w:val="0"/>
          <w:i w:val="0"/>
          <w:sz w:val="22"/>
        </w:rPr>
        <w:t>- Build Transport Mode selector (with icons)</w:t>
      </w:r>
    </w:p>
    <w:p>
      <w:pPr>
        <w:spacing w:after="80" w:line="293" w:lineRule="auto"/>
        <w:ind w:left="283"/>
        <w:jc w:val="left"/>
      </w:pPr>
      <w:r>
        <w:rPr>
          <w:rFonts w:ascii="Times New Roman" w:hAnsi="Times New Roman" w:cs="Times New Roman"/>
          <w:b w:val="0"/>
          <w:i w:val="0"/>
          <w:sz w:val="22"/>
        </w:rPr>
        <w:t>- Build Dynamic Equipment Type selector (mode-aware)</w:t>
      </w:r>
    </w:p>
    <w:p>
      <w:pPr>
        <w:spacing w:after="80" w:line="293" w:lineRule="auto"/>
        <w:ind w:left="283"/>
        <w:jc w:val="left"/>
      </w:pPr>
      <w:r>
        <w:rPr>
          <w:rFonts w:ascii="Times New Roman" w:hAnsi="Times New Roman" w:cs="Times New Roman"/>
          <w:b w:val="0"/>
          <w:i w:val="0"/>
          <w:sz w:val="22"/>
        </w:rPr>
        <w:t>- Build Route Information display</w:t>
      </w:r>
    </w:p>
    <w:p>
      <w:pPr>
        <w:spacing w:after="80" w:line="293" w:lineRule="auto"/>
        <w:ind w:left="283"/>
        <w:jc w:val="left"/>
      </w:pPr>
      <w:r>
        <w:rPr>
          <w:rFonts w:ascii="Times New Roman" w:hAnsi="Times New Roman" w:cs="Times New Roman"/>
          <w:b w:val="0"/>
          <w:i w:val="0"/>
          <w:sz w:val="22"/>
        </w:rPr>
        <w:t>- Build Port Congestion Alert component</w:t>
      </w:r>
    </w:p>
    <w:p>
      <w:pPr>
        <w:spacing w:after="80" w:line="293" w:lineRule="auto"/>
        <w:ind w:left="283"/>
        <w:jc w:val="left"/>
      </w:pPr>
      <w:r>
        <w:rPr>
          <w:rFonts w:ascii="Times New Roman" w:hAnsi="Times New Roman" w:cs="Times New Roman"/>
          <w:b w:val="0"/>
          <w:i w:val="0"/>
          <w:sz w:val="22"/>
        </w:rPr>
        <w:t>- Build Delivery Window date pickers</w:t>
      </w:r>
    </w:p>
    <w:p>
      <w:pPr>
        <w:spacing w:after="80" w:line="293" w:lineRule="auto"/>
        <w:ind w:left="283"/>
        <w:jc w:val="left"/>
      </w:pPr>
      <w:r>
        <w:rPr>
          <w:rFonts w:ascii="Times New Roman" w:hAnsi="Times New Roman" w:cs="Times New Roman"/>
          <w:b w:val="0"/>
          <w:i w:val="0"/>
          <w:sz w:val="22"/>
        </w:rPr>
        <w:t>- Build AI Container Advisor panel</w:t>
      </w:r>
    </w:p>
    <w:p>
      <w:pPr>
        <w:spacing w:after="80" w:line="293" w:lineRule="auto"/>
        <w:ind w:left="283"/>
        <w:jc w:val="left"/>
      </w:pPr>
      <w:r>
        <w:rPr>
          <w:rFonts w:ascii="Times New Roman" w:hAnsi="Times New Roman" w:cs="Times New Roman"/>
          <w:b w:val="0"/>
          <w:i w:val="0"/>
          <w:sz w:val="22"/>
        </w:rPr>
        <w:t>- Build Port Details component</w:t>
      </w:r>
    </w:p>
    <w:p>
      <w:pPr>
        <w:keepNext/>
        <w:spacing w:before="140" w:after="60"/>
        <w:outlineLvl w:val="3"/>
      </w:pPr>
      <w:r>
        <w:rPr>
          <w:rFonts w:ascii="Arial" w:hAnsi="Arial" w:cs="Arial"/>
          <w:b/>
          <w:i/>
          <w:color w:val="333333"/>
          <w:sz w:val="22"/>
        </w:rPr>
        <w:t>6.9.12.3 RIA Integration</w:t>
      </w:r>
    </w:p>
    <w:p>
      <w:pPr>
        <w:spacing w:after="80" w:line="293" w:lineRule="auto"/>
        <w:ind w:left="283"/>
        <w:jc w:val="left"/>
      </w:pPr>
      <w:r>
        <w:rPr>
          <w:rFonts w:ascii="Times New Roman" w:hAnsi="Times New Roman" w:cs="Times New Roman"/>
          <w:b w:val="0"/>
          <w:i w:val="0"/>
          <w:sz w:val="22"/>
        </w:rPr>
        <w:t>- Implement port information scraping</w:t>
      </w:r>
    </w:p>
    <w:p>
      <w:pPr>
        <w:spacing w:after="80" w:line="293" w:lineRule="auto"/>
        <w:ind w:left="283"/>
        <w:jc w:val="left"/>
      </w:pPr>
      <w:r>
        <w:rPr>
          <w:rFonts w:ascii="Times New Roman" w:hAnsi="Times New Roman" w:cs="Times New Roman"/>
          <w:b w:val="0"/>
          <w:i w:val="0"/>
          <w:sz w:val="22"/>
        </w:rPr>
        <w:t>- Implement port congestion monitoring</w:t>
      </w:r>
    </w:p>
    <w:p>
      <w:pPr>
        <w:spacing w:after="80" w:line="293" w:lineRule="auto"/>
        <w:ind w:left="283"/>
        <w:jc w:val="left"/>
      </w:pPr>
      <w:r>
        <w:rPr>
          <w:rFonts w:ascii="Times New Roman" w:hAnsi="Times New Roman" w:cs="Times New Roman"/>
          <w:b w:val="0"/>
          <w:i w:val="0"/>
          <w:sz w:val="22"/>
        </w:rPr>
        <w:t>- Implement route availability updates</w:t>
      </w:r>
    </w:p>
    <w:p>
      <w:pPr>
        <w:spacing w:after="80" w:line="293" w:lineRule="auto"/>
        <w:ind w:left="283"/>
        <w:jc w:val="left"/>
      </w:pPr>
      <w:r>
        <w:rPr>
          <w:rFonts w:ascii="Times New Roman" w:hAnsi="Times New Roman" w:cs="Times New Roman"/>
          <w:b w:val="0"/>
          <w:i w:val="0"/>
          <w:sz w:val="22"/>
        </w:rPr>
        <w:t>- Implement equipment type updates</w:t>
      </w:r>
    </w:p>
    <w:p>
      <w:pPr>
        <w:spacing w:after="80" w:line="293" w:lineRule="auto"/>
        <w:ind w:left="283"/>
        <w:jc w:val="left"/>
      </w:pPr>
      <w:r>
        <w:rPr>
          <w:rFonts w:ascii="Times New Roman" w:hAnsi="Times New Roman" w:cs="Times New Roman"/>
          <w:b w:val="0"/>
          <w:i w:val="0"/>
          <w:sz w:val="22"/>
        </w:rPr>
        <w:t>- Implement port requirements lookup</w:t>
      </w:r>
    </w:p>
    <w:p>
      <w:pPr>
        <w:keepNext/>
        <w:spacing w:before="140" w:after="60"/>
        <w:outlineLvl w:val="3"/>
      </w:pPr>
      <w:r>
        <w:rPr>
          <w:rFonts w:ascii="Arial" w:hAnsi="Arial" w:cs="Arial"/>
          <w:b/>
          <w:i/>
          <w:color w:val="333333"/>
          <w:sz w:val="22"/>
        </w:rPr>
        <w:t>6.9.12.4 Governor Integration</w:t>
      </w:r>
    </w:p>
    <w:p>
      <w:pPr>
        <w:spacing w:after="80" w:line="293" w:lineRule="auto"/>
        <w:ind w:left="283"/>
        <w:jc w:val="left"/>
      </w:pPr>
      <w:r>
        <w:rPr>
          <w:rFonts w:ascii="Times New Roman" w:hAnsi="Times New Roman" w:cs="Times New Roman"/>
          <w:b w:val="0"/>
          <w:i w:val="0"/>
          <w:sz w:val="22"/>
        </w:rPr>
        <w:t>- Add G1U3: port existence validation</w:t>
      </w:r>
    </w:p>
    <w:p>
      <w:pPr>
        <w:spacing w:after="80" w:line="293" w:lineRule="auto"/>
        <w:ind w:left="283"/>
        <w:jc w:val="left"/>
      </w:pPr>
      <w:r>
        <w:rPr>
          <w:rFonts w:ascii="Times New Roman" w:hAnsi="Times New Roman" w:cs="Times New Roman"/>
          <w:b w:val="0"/>
          <w:i w:val="0"/>
          <w:sz w:val="22"/>
        </w:rPr>
        <w:t>- Add port sanctions validation (G1 set)</w:t>
      </w:r>
    </w:p>
    <w:p>
      <w:pPr>
        <w:spacing w:after="80" w:line="293" w:lineRule="auto"/>
        <w:ind w:left="283"/>
        <w:jc w:val="left"/>
      </w:pPr>
      <w:r>
        <w:rPr>
          <w:rFonts w:ascii="Times New Roman" w:hAnsi="Times New Roman" w:cs="Times New Roman"/>
          <w:b w:val="0"/>
          <w:i w:val="0"/>
          <w:sz w:val="22"/>
        </w:rPr>
        <w:t>- Add G1U13: transport mode validation</w:t>
      </w:r>
    </w:p>
    <w:p>
      <w:pPr>
        <w:spacing w:after="80" w:line="293" w:lineRule="auto"/>
        <w:ind w:left="283"/>
        <w:jc w:val="left"/>
      </w:pPr>
      <w:r>
        <w:rPr>
          <w:rFonts w:ascii="Times New Roman" w:hAnsi="Times New Roman" w:cs="Times New Roman"/>
          <w:b w:val="0"/>
          <w:i w:val="0"/>
          <w:sz w:val="22"/>
        </w:rPr>
        <w:t>- Add G1U14: equipment compatibility validation</w:t>
      </w:r>
    </w:p>
    <w:p>
      <w:pPr>
        <w:spacing w:after="80" w:line="293" w:lineRule="auto"/>
        <w:ind w:left="283"/>
        <w:jc w:val="left"/>
      </w:pPr>
      <w:r>
        <w:rPr>
          <w:rFonts w:ascii="Times New Roman" w:hAnsi="Times New Roman" w:cs="Times New Roman"/>
          <w:b w:val="0"/>
          <w:i w:val="0"/>
          <w:sz w:val="22"/>
        </w:rPr>
        <w:t>- Add G1U15: equipment availability validation</w:t>
      </w:r>
    </w:p>
    <w:p>
      <w:pPr>
        <w:spacing w:after="80" w:line="293" w:lineRule="auto"/>
        <w:ind w:left="283"/>
        <w:jc w:val="left"/>
      </w:pPr>
      <w:r>
        <w:rPr>
          <w:rFonts w:ascii="Times New Roman" w:hAnsi="Times New Roman" w:cs="Times New Roman"/>
          <w:b w:val="0"/>
          <w:i w:val="0"/>
          <w:sz w:val="22"/>
        </w:rPr>
        <w:t>- Add G1U19: delivery window validation</w:t>
      </w:r>
    </w:p>
    <w:p>
      <w:pPr>
        <w:spacing w:after="80" w:line="293" w:lineRule="auto"/>
        <w:ind w:left="283"/>
        <w:jc w:val="left"/>
      </w:pPr>
      <w:r>
        <w:rPr>
          <w:rFonts w:ascii="Times New Roman" w:hAnsi="Times New Roman" w:cs="Times New Roman"/>
          <w:b w:val="0"/>
          <w:i w:val="0"/>
          <w:sz w:val="22"/>
        </w:rPr>
        <w:t>- Add G2U17: loading origin validation</w:t>
      </w:r>
    </w:p>
    <w:p>
      <w:pPr>
        <w:spacing w:after="80" w:line="293" w:lineRule="auto"/>
        <w:ind w:left="283"/>
        <w:jc w:val="left"/>
      </w:pPr>
      <w:r>
        <w:rPr>
          <w:rFonts w:ascii="Times New Roman" w:hAnsi="Times New Roman" w:cs="Times New Roman"/>
          <w:b w:val="0"/>
          <w:i w:val="0"/>
          <w:sz w:val="22"/>
        </w:rPr>
        <w:t>- Add G2U19: alternative port validation</w:t>
      </w:r>
    </w:p>
    <w:p>
      <w:pPr>
        <w:keepNext/>
        <w:spacing w:before="140" w:after="60"/>
        <w:outlineLvl w:val="3"/>
      </w:pPr>
      <w:r>
        <w:rPr>
          <w:rFonts w:ascii="Arial" w:hAnsi="Arial" w:cs="Arial"/>
          <w:b/>
          <w:i/>
          <w:color w:val="333333"/>
          <w:sz w:val="22"/>
        </w:rPr>
        <w:t>6.9.12.5 Testing</w:t>
      </w:r>
    </w:p>
    <w:p>
      <w:pPr>
        <w:spacing w:after="80" w:line="293" w:lineRule="auto"/>
        <w:ind w:left="283"/>
        <w:jc w:val="left"/>
      </w:pPr>
      <w:r>
        <w:rPr>
          <w:rFonts w:ascii="Times New Roman" w:hAnsi="Times New Roman" w:cs="Times New Roman"/>
          <w:b w:val="0"/>
          <w:i w:val="0"/>
          <w:sz w:val="22"/>
        </w:rPr>
        <w:t>- Unit tests: transport mode validation</w:t>
      </w:r>
    </w:p>
    <w:p>
      <w:pPr>
        <w:spacing w:after="80" w:line="293" w:lineRule="auto"/>
        <w:ind w:left="283"/>
        <w:jc w:val="left"/>
      </w:pPr>
      <w:r>
        <w:rPr>
          <w:rFonts w:ascii="Times New Roman" w:hAnsi="Times New Roman" w:cs="Times New Roman"/>
          <w:b w:val="0"/>
          <w:i w:val="0"/>
          <w:sz w:val="22"/>
        </w:rPr>
        <w:t>- Unit tests: equipment loading logic</w:t>
      </w:r>
    </w:p>
    <w:p>
      <w:pPr>
        <w:spacing w:after="80" w:line="293" w:lineRule="auto"/>
        <w:ind w:left="283"/>
        <w:jc w:val="left"/>
      </w:pPr>
      <w:r>
        <w:rPr>
          <w:rFonts w:ascii="Times New Roman" w:hAnsi="Times New Roman" w:cs="Times New Roman"/>
          <w:b w:val="0"/>
          <w:i w:val="0"/>
          <w:sz w:val="22"/>
        </w:rPr>
        <w:t>- Unit tests: delivery window validation</w:t>
      </w:r>
    </w:p>
    <w:p>
      <w:pPr>
        <w:spacing w:after="80" w:line="293" w:lineRule="auto"/>
        <w:ind w:left="283"/>
        <w:jc w:val="left"/>
      </w:pPr>
      <w:r>
        <w:rPr>
          <w:rFonts w:ascii="Times New Roman" w:hAnsi="Times New Roman" w:cs="Times New Roman"/>
          <w:b w:val="0"/>
          <w:i w:val="0"/>
          <w:sz w:val="22"/>
        </w:rPr>
        <w:t>- Integration tests: mode selection → equipment loading → validation</w:t>
      </w:r>
    </w:p>
    <w:p>
      <w:pPr>
        <w:spacing w:after="80" w:line="293" w:lineRule="auto"/>
        <w:ind w:left="283"/>
        <w:jc w:val="left"/>
      </w:pPr>
      <w:r>
        <w:rPr>
          <w:rFonts w:ascii="Times New Roman" w:hAnsi="Times New Roman" w:cs="Times New Roman"/>
          <w:b w:val="0"/>
          <w:i w:val="0"/>
          <w:sz w:val="22"/>
        </w:rPr>
        <w:t>- Integration tests: AI Container Advisor recommendations</w:t>
      </w:r>
    </w:p>
    <w:p>
      <w:pPr>
        <w:spacing w:after="80" w:line="293" w:lineRule="auto"/>
        <w:ind w:left="283"/>
        <w:jc w:val="left"/>
      </w:pPr>
      <w:r>
        <w:rPr>
          <w:rFonts w:ascii="Times New Roman" w:hAnsi="Times New Roman" w:cs="Times New Roman"/>
          <w:b w:val="0"/>
          <w:i w:val="0"/>
          <w:sz w:val="22"/>
        </w:rPr>
        <w:t>- Integration tests: port congestion alerts</w:t>
      </w:r>
    </w:p>
    <w:p>
      <w:pPr>
        <w:spacing w:after="80" w:line="293" w:lineRule="auto"/>
        <w:ind w:left="283"/>
        <w:jc w:val="left"/>
      </w:pPr>
      <w:r>
        <w:rPr>
          <w:rFonts w:ascii="Times New Roman" w:hAnsi="Times New Roman" w:cs="Times New Roman"/>
          <w:b w:val="0"/>
          <w:i w:val="0"/>
          <w:sz w:val="22"/>
        </w:rPr>
        <w:t>- End-to-end tests: full transport configuration workflow</w:t>
      </w:r>
    </w:p>
    <w:p>
      <w:pPr>
        <w:keepNext/>
        <w:spacing w:before="180" w:after="80"/>
        <w:outlineLvl w:val="2"/>
      </w:pPr>
      <w:r>
        <w:rPr>
          <w:rFonts w:ascii="Arial" w:hAnsi="Arial" w:cs="Arial"/>
          <w:b/>
          <w:i w:val="0"/>
          <w:color w:val="333333"/>
          <w:sz w:val="23"/>
        </w:rPr>
        <w:t>6.9.13 AI Authority Summary (Transport &amp; Logistics)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Transport &amp; Logistics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Route suggestions, equipment recommendations, delivery window optimisation, port recommendations</w:t>
            </w:r>
          </w:p>
        </w:tc>
      </w:tr>
      <w:tr>
        <w:tc>
          <w:tcPr>
            <w:tcW w:type="dxa" w:w="3213"/>
          </w:tcPr>
          <w:p>
            <w:pPr>
              <w:spacing w:after="20" w:before="20" w:line="240" w:lineRule="auto"/>
            </w:pPr>
            <w:r/>
            <w:r>
              <w:rPr>
                <w:rFonts w:ascii="Arial" w:hAnsi="Arial" w:cs="Arial"/>
                <w:b w:val="0"/>
                <w:i w:val="0"/>
                <w:sz w:val="17"/>
              </w:rPr>
              <w:t>A2 (HF local + RIA)</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Route validation, port congestion detection, port requirement data</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G1U3/G1U13/G1U14/G1U15/G1U19 and G2U17/G2U19 route, port, mode, equipment, and window validation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6.10 Insurance Requirements</w:t>
      </w:r>
    </w:p>
    <w:p>
      <w:pPr>
        <w:keepNext/>
        <w:spacing w:before="180" w:after="80"/>
        <w:outlineLvl w:val="2"/>
      </w:pPr>
      <w:r>
        <w:rPr>
          <w:rFonts w:ascii="Arial" w:hAnsi="Arial" w:cs="Arial"/>
          <w:b/>
          <w:i w:val="0"/>
          <w:color w:val="333333"/>
          <w:sz w:val="23"/>
        </w:rPr>
        <w:t>6.10.1 Purpose &amp; Design Philosophy</w:t>
      </w:r>
    </w:p>
    <w:p>
      <w:pPr>
        <w:spacing w:after="80" w:line="293" w:lineRule="auto"/>
        <w:jc w:val="left"/>
      </w:pPr>
      <w:r>
        <w:rPr>
          <w:rFonts w:ascii="Times New Roman" w:hAnsi="Times New Roman" w:cs="Times New Roman"/>
          <w:b w:val="0"/>
          <w:i w:val="0"/>
          <w:sz w:val="22"/>
        </w:rPr>
        <w:t>The Insurance Requirements section defines the insurance arrangements for the trade shipment. Insurance is a critical component of international trade — it protects against loss, damage, and liability during transit. The section provides a structured, decision-ready framework for specifying insurance requirements at the trade request stage.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Simplified at request stage — only essential fields are captured during trade creation; detailed policy</w:t>
      </w:r>
    </w:p>
    <w:p>
      <w:pPr>
        <w:spacing w:after="80" w:line="293" w:lineRule="auto"/>
        <w:jc w:val="left"/>
      </w:pPr>
      <w:r>
        <w:rPr>
          <w:rFonts w:ascii="Times New Roman" w:hAnsi="Times New Roman" w:cs="Times New Roman"/>
          <w:b w:val="0"/>
          <w:i w:val="0"/>
          <w:sz w:val="22"/>
        </w:rPr>
        <w:t>configuration happens later.</w:t>
      </w:r>
    </w:p>
    <w:p>
      <w:pPr>
        <w:spacing w:after="80" w:line="293" w:lineRule="auto"/>
        <w:ind w:left="283"/>
        <w:jc w:val="left"/>
      </w:pPr>
      <w:r>
        <w:rPr>
          <w:rFonts w:ascii="Times New Roman" w:hAnsi="Times New Roman" w:cs="Times New Roman"/>
          <w:b w:val="0"/>
          <w:i w:val="0"/>
          <w:sz w:val="22"/>
        </w:rPr>
        <w:t>- Incoterm-aware — insurance requirements are automatically aligned with the selected incoterm (CIF/CIP</w:t>
      </w:r>
    </w:p>
    <w:p>
      <w:pPr>
        <w:spacing w:after="80" w:line="293" w:lineRule="auto"/>
        <w:jc w:val="left"/>
      </w:pPr>
      <w:r>
        <w:rPr>
          <w:rFonts w:ascii="Times New Roman" w:hAnsi="Times New Roman" w:cs="Times New Roman"/>
          <w:b w:val="0"/>
          <w:i w:val="0"/>
          <w:sz w:val="22"/>
        </w:rPr>
        <w:t>mandate insurance).</w:t>
      </w:r>
    </w:p>
    <w:p>
      <w:pPr>
        <w:spacing w:after="80" w:line="293" w:lineRule="auto"/>
        <w:ind w:left="283"/>
        <w:jc w:val="left"/>
      </w:pPr>
      <w:r>
        <w:rPr>
          <w:rFonts w:ascii="Times New Roman" w:hAnsi="Times New Roman" w:cs="Times New Roman"/>
          <w:b w:val="0"/>
          <w:i w:val="0"/>
          <w:sz w:val="22"/>
        </w:rPr>
        <w:t>- Party-responsibility clear — specifies who arranges insurance (buyer, seller, or per incoterm).</w:t>
      </w:r>
    </w:p>
    <w:p>
      <w:pPr>
        <w:spacing w:after="80" w:line="293" w:lineRule="auto"/>
        <w:ind w:left="283"/>
        <w:jc w:val="left"/>
      </w:pPr>
      <w:r>
        <w:rPr>
          <w:rFonts w:ascii="Times New Roman" w:hAnsi="Times New Roman" w:cs="Times New Roman"/>
          <w:b w:val="0"/>
          <w:i w:val="0"/>
          <w:sz w:val="22"/>
        </w:rPr>
        <w:t>- Regulatory-aware — RIA provides destination-specific insurance requirements (e.g., mandatory cargo</w:t>
      </w:r>
    </w:p>
    <w:p>
      <w:pPr>
        <w:spacing w:after="80" w:line="293" w:lineRule="auto"/>
        <w:jc w:val="left"/>
      </w:pPr>
      <w:r>
        <w:rPr>
          <w:rFonts w:ascii="Times New Roman" w:hAnsi="Times New Roman" w:cs="Times New Roman"/>
          <w:b w:val="0"/>
          <w:i w:val="0"/>
          <w:sz w:val="22"/>
        </w:rPr>
        <w:t>insurance for certain countries).</w:t>
      </w:r>
    </w:p>
    <w:p>
      <w:pPr>
        <w:spacing w:after="80" w:line="293" w:lineRule="auto"/>
        <w:ind w:left="283"/>
        <w:jc w:val="left"/>
      </w:pPr>
      <w:r>
        <w:rPr>
          <w:rFonts w:ascii="Times New Roman" w:hAnsi="Times New Roman" w:cs="Times New Roman"/>
          <w:b w:val="0"/>
          <w:i w:val="0"/>
          <w:sz w:val="22"/>
        </w:rPr>
        <w:t>- Flexible — supports optional, required, or not required insurance.</w:t>
      </w:r>
    </w:p>
    <w:p>
      <w:pPr>
        <w:spacing w:after="80" w:line="293" w:lineRule="auto"/>
        <w:ind w:left="283"/>
        <w:jc w:val="left"/>
      </w:pPr>
      <w:r>
        <w:rPr>
          <w:rFonts w:ascii="Times New Roman" w:hAnsi="Times New Roman" w:cs="Times New Roman"/>
          <w:b w:val="0"/>
          <w:i w:val="0"/>
          <w:sz w:val="22"/>
        </w:rPr>
        <w:t>- Non-marketplace — never recommends specific insurers or insurance products.</w:t>
      </w:r>
    </w:p>
    <w:p>
      <w:pPr>
        <w:spacing w:after="80" w:line="293" w:lineRule="auto"/>
        <w:jc w:val="left"/>
      </w:pPr>
      <w:r>
        <w:rPr>
          <w:rFonts w:ascii="Times New Roman" w:hAnsi="Times New Roman" w:cs="Times New Roman"/>
          <w:b w:val="0"/>
          <w:i w:val="0"/>
          <w:sz w:val="22"/>
        </w:rPr>
        <w:t>AI authority in this section: A1 (Groq) recommendations based on commodity and route; A2 (HF Donut) certificate verification and fraud detection; A4 (WasmEdge) incoterm compatibility (CIF/CIP require insurance).</w:t>
      </w:r>
    </w:p>
    <w:p>
      <w:pPr>
        <w:keepNext/>
        <w:spacing w:before="180" w:after="80"/>
        <w:outlineLvl w:val="2"/>
      </w:pPr>
      <w:r>
        <w:rPr>
          <w:rFonts w:ascii="Arial" w:hAnsi="Arial" w:cs="Arial"/>
          <w:b/>
          <w:i w:val="0"/>
          <w:color w:val="333333"/>
          <w:sz w:val="23"/>
        </w:rPr>
        <w:t>6.10.2 Insurance Fields — Simplified Request Stage</w:t>
      </w:r>
    </w:p>
    <w:p>
      <w:pPr>
        <w:keepNext/>
        <w:spacing w:before="140" w:after="60"/>
        <w:outlineLvl w:val="3"/>
      </w:pPr>
      <w:r>
        <w:rPr>
          <w:rFonts w:ascii="Arial" w:hAnsi="Arial" w:cs="Arial"/>
          <w:b/>
          <w:i/>
          <w:color w:val="333333"/>
          <w:sz w:val="22"/>
        </w:rPr>
        <w:t>6.10.2.1 Core Fields</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Field</w:t>
            </w:r>
          </w:p>
        </w:tc>
        <w:tc>
          <w:tcPr>
            <w:tcW w:type="dxa" w:w="1928"/>
            <w:shd w:val="clear" w:fill="D9E2F3"/>
          </w:tcPr>
          <w:p>
            <w:pPr>
              <w:spacing w:after="20" w:before="20" w:line="240" w:lineRule="auto"/>
            </w:pPr>
            <w:r/>
            <w:r>
              <w:rPr>
                <w:rFonts w:ascii="Arial" w:hAnsi="Arial" w:cs="Arial"/>
                <w:b/>
                <w:i w:val="0"/>
                <w:sz w:val="18"/>
              </w:rPr>
              <w:t>Type</w:t>
            </w:r>
          </w:p>
        </w:tc>
        <w:tc>
          <w:tcPr>
            <w:tcW w:type="dxa" w:w="1928"/>
            <w:shd w:val="clear" w:fill="D9E2F3"/>
          </w:tcPr>
          <w:p>
            <w:pPr>
              <w:spacing w:after="20" w:before="20" w:line="240" w:lineRule="auto"/>
            </w:pPr>
            <w:r/>
            <w:r>
              <w:rPr>
                <w:rFonts w:ascii="Arial" w:hAnsi="Arial" w:cs="Arial"/>
                <w:b/>
                <w:i w:val="0"/>
                <w:sz w:val="18"/>
              </w:rPr>
              <w:t>Options</w:t>
            </w:r>
          </w:p>
        </w:tc>
        <w:tc>
          <w:tcPr>
            <w:tcW w:type="dxa" w:w="1928"/>
            <w:shd w:val="clear" w:fill="D9E2F3"/>
          </w:tcPr>
          <w:p>
            <w:pPr>
              <w:spacing w:after="20" w:before="20" w:line="240" w:lineRule="auto"/>
            </w:pPr>
            <w:r/>
            <w:r>
              <w:rPr>
                <w:rFonts w:ascii="Arial" w:hAnsi="Arial" w:cs="Arial"/>
                <w:b/>
                <w:i w:val="0"/>
                <w:sz w:val="18"/>
              </w:rPr>
              <w:t>Default</w:t>
            </w:r>
          </w:p>
        </w:tc>
        <w:tc>
          <w:tcPr>
            <w:tcW w:type="dxa" w:w="1928"/>
            <w:shd w:val="clear" w:fill="D9E2F3"/>
          </w:tcPr>
          <w:p>
            <w:pPr>
              <w:spacing w:after="20" w:before="20" w:line="240" w:lineRule="auto"/>
            </w:pPr>
            <w:r/>
            <w:r>
              <w:rPr>
                <w:rFonts w:ascii="Arial" w:hAnsi="Arial" w:cs="Arial"/>
                <w:b/>
                <w:i w:val="0"/>
                <w:sz w:val="18"/>
              </w:rPr>
              <w:t>Notes</w:t>
            </w:r>
          </w:p>
        </w:tc>
      </w:tr>
      <w:tr>
        <w:tc>
          <w:tcPr>
            <w:tcW w:type="dxa" w:w="1928"/>
          </w:tcPr>
          <w:p>
            <w:pPr>
              <w:spacing w:after="20" w:before="20" w:line="240" w:lineRule="auto"/>
            </w:pPr>
            <w:r/>
            <w:r>
              <w:rPr>
                <w:rFonts w:ascii="Arial" w:hAnsi="Arial" w:cs="Arial"/>
                <w:b w:val="0"/>
                <w:i w:val="0"/>
                <w:sz w:val="17"/>
              </w:rPr>
              <w:t>Insurance Requirement</w:t>
            </w:r>
          </w:p>
        </w:tc>
        <w:tc>
          <w:tcPr>
            <w:tcW w:type="dxa" w:w="1928"/>
          </w:tcPr>
          <w:p>
            <w:pPr>
              <w:spacing w:after="20" w:before="20" w:line="240" w:lineRule="auto"/>
            </w:pPr>
            <w:r/>
            <w:r>
              <w:rPr>
                <w:rFonts w:ascii="Arial" w:hAnsi="Arial" w:cs="Arial"/>
                <w:b w:val="0"/>
                <w:i w:val="0"/>
                <w:sz w:val="17"/>
              </w:rPr>
              <w:t>Radio</w:t>
            </w:r>
          </w:p>
        </w:tc>
        <w:tc>
          <w:tcPr>
            <w:tcW w:type="dxa" w:w="1928"/>
          </w:tcPr>
          <w:p>
            <w:pPr>
              <w:spacing w:after="20" w:before="20" w:line="240" w:lineRule="auto"/>
            </w:pPr>
            <w:r/>
            <w:r>
              <w:rPr>
                <w:rFonts w:ascii="Arial" w:hAnsi="Arial" w:cs="Arial"/>
                <w:b w:val="0"/>
                <w:i w:val="0"/>
                <w:sz w:val="17"/>
              </w:rPr>
              <w:t>Required, Optional, Not Required</w:t>
            </w:r>
          </w:p>
        </w:tc>
        <w:tc>
          <w:tcPr>
            <w:tcW w:type="dxa" w:w="1928"/>
          </w:tcPr>
          <w:p>
            <w:pPr>
              <w:spacing w:after="20" w:before="20" w:line="240" w:lineRule="auto"/>
            </w:pPr>
            <w:r/>
            <w:r>
              <w:rPr>
                <w:rFonts w:ascii="Arial" w:hAnsi="Arial" w:cs="Arial"/>
                <w:b w:val="0"/>
                <w:i w:val="0"/>
                <w:sz w:val="17"/>
              </w:rPr>
              <w:t>Optional</w:t>
            </w:r>
          </w:p>
        </w:tc>
        <w:tc>
          <w:tcPr>
            <w:tcW w:type="dxa" w:w="1928"/>
          </w:tcPr>
          <w:p>
            <w:pPr>
              <w:spacing w:after="20" w:before="20" w:line="240" w:lineRule="auto"/>
            </w:pPr>
            <w:r/>
            <w:r>
              <w:rPr>
                <w:rFonts w:ascii="Arial" w:hAnsi="Arial" w:cs="Arial"/>
                <w:b w:val="0"/>
                <w:i w:val="0"/>
                <w:sz w:val="17"/>
              </w:rPr>
              <w:t>Auto-set to Required under CIF/CIP</w:t>
            </w:r>
          </w:p>
        </w:tc>
      </w:tr>
      <w:tr>
        <w:tc>
          <w:tcPr>
            <w:tcW w:type="dxa" w:w="1928"/>
          </w:tcPr>
          <w:p>
            <w:pPr>
              <w:spacing w:after="20" w:before="20" w:line="240" w:lineRule="auto"/>
            </w:pPr>
            <w:r/>
            <w:r>
              <w:rPr>
                <w:rFonts w:ascii="Arial" w:hAnsi="Arial" w:cs="Arial"/>
                <w:b w:val="0"/>
                <w:i w:val="0"/>
                <w:sz w:val="17"/>
              </w:rPr>
              <w:t>Responsible Party</w:t>
            </w:r>
          </w:p>
        </w:tc>
        <w:tc>
          <w:tcPr>
            <w:tcW w:type="dxa" w:w="1928"/>
          </w:tcPr>
          <w:p>
            <w:pPr>
              <w:spacing w:after="20" w:before="20" w:line="240" w:lineRule="auto"/>
            </w:pPr>
            <w:r/>
            <w:r>
              <w:rPr>
                <w:rFonts w:ascii="Arial" w:hAnsi="Arial" w:cs="Arial"/>
                <w:b w:val="0"/>
                <w:i w:val="0"/>
                <w:sz w:val="17"/>
              </w:rPr>
              <w:t>Radio</w:t>
            </w:r>
          </w:p>
        </w:tc>
        <w:tc>
          <w:tcPr>
            <w:tcW w:type="dxa" w:w="1928"/>
          </w:tcPr>
          <w:p>
            <w:pPr>
              <w:spacing w:after="20" w:before="20" w:line="240" w:lineRule="auto"/>
            </w:pPr>
            <w:r/>
            <w:r>
              <w:rPr>
                <w:rFonts w:ascii="Arial" w:hAnsi="Arial" w:cs="Arial"/>
                <w:b w:val="0"/>
                <w:i w:val="0"/>
                <w:sz w:val="17"/>
              </w:rPr>
              <w:t>Buyer, Seller, According To Incoterm</w:t>
            </w:r>
          </w:p>
        </w:tc>
        <w:tc>
          <w:tcPr>
            <w:tcW w:type="dxa" w:w="1928"/>
          </w:tcPr>
          <w:p>
            <w:pPr>
              <w:spacing w:after="20" w:before="20" w:line="240" w:lineRule="auto"/>
            </w:pPr>
            <w:r/>
            <w:r>
              <w:rPr>
                <w:rFonts w:ascii="Arial" w:hAnsi="Arial" w:cs="Arial"/>
                <w:b w:val="0"/>
                <w:i w:val="0"/>
                <w:sz w:val="17"/>
              </w:rPr>
              <w:t>According To Incoterm</w:t>
            </w:r>
          </w:p>
        </w:tc>
        <w:tc>
          <w:tcPr>
            <w:tcW w:type="dxa" w:w="1928"/>
          </w:tcPr>
          <w:p>
            <w:pPr>
              <w:spacing w:after="20" w:before="20" w:line="240" w:lineRule="auto"/>
            </w:pPr>
            <w:r/>
            <w:r>
              <w:rPr>
                <w:rFonts w:ascii="Arial" w:hAnsi="Arial" w:cs="Arial"/>
                <w:b w:val="0"/>
                <w:i w:val="0"/>
                <w:sz w:val="17"/>
              </w:rPr>
              <w:t>Auto-set per incoterm</w:t>
            </w:r>
          </w:p>
        </w:tc>
      </w:tr>
      <w:tr>
        <w:tc>
          <w:tcPr>
            <w:tcW w:type="dxa" w:w="1928"/>
          </w:tcPr>
          <w:p>
            <w:pPr>
              <w:spacing w:after="20" w:before="20" w:line="240" w:lineRule="auto"/>
            </w:pPr>
            <w:r/>
            <w:r>
              <w:rPr>
                <w:rFonts w:ascii="Arial" w:hAnsi="Arial" w:cs="Arial"/>
                <w:b w:val="0"/>
                <w:i w:val="0"/>
                <w:sz w:val="17"/>
              </w:rPr>
              <w:t>Insurance Type</w:t>
            </w:r>
          </w:p>
        </w:tc>
        <w:tc>
          <w:tcPr>
            <w:tcW w:type="dxa" w:w="1928"/>
          </w:tcPr>
          <w:p>
            <w:pPr>
              <w:spacing w:after="20" w:before="20" w:line="240" w:lineRule="auto"/>
            </w:pPr>
            <w:r/>
            <w:r>
              <w:rPr>
                <w:rFonts w:ascii="Arial" w:hAnsi="Arial" w:cs="Arial"/>
                <w:b w:val="0"/>
                <w:i w:val="0"/>
                <w:sz w:val="17"/>
              </w:rPr>
              <w:t>Dropdown</w:t>
            </w:r>
          </w:p>
        </w:tc>
        <w:tc>
          <w:tcPr>
            <w:tcW w:type="dxa" w:w="1928"/>
          </w:tcPr>
          <w:p>
            <w:pPr>
              <w:spacing w:after="20" w:before="20" w:line="240" w:lineRule="auto"/>
            </w:pPr>
            <w:r/>
            <w:r>
              <w:rPr>
                <w:rFonts w:ascii="Arial" w:hAnsi="Arial" w:cs="Arial"/>
                <w:b w:val="0"/>
                <w:i w:val="0"/>
                <w:sz w:val="17"/>
              </w:rPr>
              <w:t>All Risks, FPA, WA, ICC(A), ICC(B), ICC(C), Reefer, Livestock, War, Strikes</w:t>
            </w:r>
          </w:p>
        </w:tc>
        <w:tc>
          <w:tcPr>
            <w:tcW w:type="dxa" w:w="1928"/>
          </w:tcPr>
          <w:p>
            <w:pPr>
              <w:spacing w:after="20" w:before="20" w:line="240" w:lineRule="auto"/>
            </w:pPr>
            <w:r/>
            <w:r>
              <w:rPr>
                <w:rFonts w:ascii="Arial" w:hAnsi="Arial" w:cs="Arial"/>
                <w:b w:val="0"/>
                <w:i w:val="0"/>
                <w:sz w:val="17"/>
              </w:rPr>
              <w:t>All Risks</w:t>
            </w:r>
          </w:p>
        </w:tc>
        <w:tc>
          <w:tcPr>
            <w:tcW w:type="dxa" w:w="1928"/>
          </w:tcPr>
          <w:p>
            <w:pPr>
              <w:spacing w:after="20" w:before="20" w:line="240" w:lineRule="auto"/>
            </w:pPr>
            <w:r/>
            <w:r>
              <w:rPr>
                <w:rFonts w:ascii="Arial" w:hAnsi="Arial" w:cs="Arial"/>
                <w:b w:val="0"/>
                <w:i w:val="0"/>
                <w:sz w:val="17"/>
              </w:rPr>
              <w:t>Shown if Required</w:t>
            </w:r>
          </w:p>
        </w:tc>
      </w:tr>
      <w:tr>
        <w:tc>
          <w:tcPr>
            <w:tcW w:type="dxa" w:w="1928"/>
          </w:tcPr>
          <w:p>
            <w:pPr>
              <w:spacing w:after="20" w:before="20" w:line="240" w:lineRule="auto"/>
            </w:pPr>
            <w:r/>
            <w:r>
              <w:rPr>
                <w:rFonts w:ascii="Arial" w:hAnsi="Arial" w:cs="Arial"/>
                <w:b w:val="0"/>
                <w:i w:val="0"/>
                <w:sz w:val="17"/>
              </w:rPr>
              <w:t>Coverage Amount</w:t>
            </w:r>
          </w:p>
        </w:tc>
        <w:tc>
          <w:tcPr>
            <w:tcW w:type="dxa" w:w="1928"/>
          </w:tcPr>
          <w:p>
            <w:pPr>
              <w:spacing w:after="20" w:before="20" w:line="240" w:lineRule="auto"/>
            </w:pPr>
            <w:r/>
            <w:r>
              <w:rPr>
                <w:rFonts w:ascii="Arial" w:hAnsi="Arial" w:cs="Arial"/>
                <w:b w:val="0"/>
                <w:i w:val="0"/>
                <w:sz w:val="17"/>
              </w:rPr>
              <w:t>Number + %</w:t>
            </w:r>
          </w:p>
        </w:tc>
        <w:tc>
          <w:tcPr>
            <w:tcW w:type="dxa" w:w="1928"/>
          </w:tcPr>
          <w:p>
            <w:pPr>
              <w:spacing w:after="20" w:before="20" w:line="240" w:lineRule="auto"/>
            </w:pPr>
            <w:r/>
            <w:r>
              <w:rPr>
                <w:rFonts w:ascii="Arial" w:hAnsi="Arial" w:cs="Arial"/>
                <w:b w:val="0"/>
                <w:i w:val="0"/>
                <w:sz w:val="17"/>
              </w:rPr>
              <w:t>100%, 110%, 120%, Custom</w:t>
            </w:r>
          </w:p>
        </w:tc>
        <w:tc>
          <w:tcPr>
            <w:tcW w:type="dxa" w:w="1928"/>
          </w:tcPr>
          <w:p>
            <w:pPr>
              <w:spacing w:after="20" w:before="20" w:line="240" w:lineRule="auto"/>
            </w:pPr>
            <w:r/>
            <w:r>
              <w:rPr>
                <w:rFonts w:ascii="Arial" w:hAnsi="Arial" w:cs="Arial"/>
                <w:b w:val="0"/>
                <w:i w:val="0"/>
                <w:sz w:val="17"/>
              </w:rPr>
              <w:t>110%</w:t>
            </w:r>
          </w:p>
        </w:tc>
        <w:tc>
          <w:tcPr>
            <w:tcW w:type="dxa" w:w="1928"/>
          </w:tcPr>
          <w:p>
            <w:pPr>
              <w:spacing w:after="20" w:before="20" w:line="240" w:lineRule="auto"/>
            </w:pPr>
            <w:r/>
            <w:r>
              <w:rPr>
                <w:rFonts w:ascii="Arial" w:hAnsi="Arial" w:cs="Arial"/>
                <w:b w:val="0"/>
                <w:i w:val="0"/>
                <w:sz w:val="17"/>
              </w:rPr>
              <w:t>Of invoice value</w:t>
            </w:r>
          </w:p>
        </w:tc>
      </w:tr>
      <w:tr>
        <w:tc>
          <w:tcPr>
            <w:tcW w:type="dxa" w:w="1928"/>
          </w:tcPr>
          <w:p>
            <w:pPr>
              <w:spacing w:after="20" w:before="20" w:line="240" w:lineRule="auto"/>
            </w:pPr>
            <w:r/>
            <w:r>
              <w:rPr>
                <w:rFonts w:ascii="Arial" w:hAnsi="Arial" w:cs="Arial"/>
                <w:b w:val="0"/>
                <w:i w:val="0"/>
                <w:sz w:val="17"/>
              </w:rPr>
              <w:t>Coverage Currency</w:t>
            </w:r>
          </w:p>
        </w:tc>
        <w:tc>
          <w:tcPr>
            <w:tcW w:type="dxa" w:w="1928"/>
          </w:tcPr>
          <w:p>
            <w:pPr>
              <w:spacing w:after="20" w:before="20" w:line="240" w:lineRule="auto"/>
            </w:pPr>
            <w:r/>
            <w:r>
              <w:rPr>
                <w:rFonts w:ascii="Arial" w:hAnsi="Arial" w:cs="Arial"/>
                <w:b w:val="0"/>
                <w:i w:val="0"/>
                <w:sz w:val="17"/>
              </w:rPr>
              <w:t>Dropdown</w:t>
            </w:r>
          </w:p>
        </w:tc>
        <w:tc>
          <w:tcPr>
            <w:tcW w:type="dxa" w:w="1928"/>
          </w:tcPr>
          <w:p>
            <w:pPr>
              <w:spacing w:after="20" w:before="20" w:line="240" w:lineRule="auto"/>
            </w:pPr>
            <w:r/>
            <w:r>
              <w:rPr>
                <w:rFonts w:ascii="Arial" w:hAnsi="Arial" w:cs="Arial"/>
                <w:b w:val="0"/>
                <w:i w:val="0"/>
                <w:sz w:val="17"/>
              </w:rPr>
              <w:t>USD, EUR, GBP, Other</w:t>
            </w:r>
          </w:p>
        </w:tc>
        <w:tc>
          <w:tcPr>
            <w:tcW w:type="dxa" w:w="1928"/>
          </w:tcPr>
          <w:p>
            <w:pPr>
              <w:spacing w:after="20" w:before="20" w:line="240" w:lineRule="auto"/>
            </w:pPr>
            <w:r/>
            <w:r>
              <w:rPr>
                <w:rFonts w:ascii="Arial" w:hAnsi="Arial" w:cs="Arial"/>
                <w:b w:val="0"/>
                <w:i w:val="0"/>
                <w:sz w:val="17"/>
              </w:rPr>
              <w:t>USD</w:t>
            </w:r>
          </w:p>
        </w:tc>
        <w:tc>
          <w:tcPr>
            <w:tcW w:type="dxa" w:w="1928"/>
          </w:tcPr>
          <w:p>
            <w:pPr>
              <w:spacing w:after="20" w:before="20" w:line="240" w:lineRule="auto"/>
            </w:pPr>
            <w:r/>
            <w:r>
              <w:rPr>
                <w:rFonts w:ascii="Arial" w:hAnsi="Arial" w:cs="Arial"/>
                <w:b w:val="0"/>
                <w:i w:val="0"/>
                <w:sz w:val="17"/>
              </w:rPr>
              <w:t>—</w:t>
            </w:r>
          </w:p>
        </w:tc>
      </w:tr>
      <w:tr>
        <w:tc>
          <w:tcPr>
            <w:tcW w:type="dxa" w:w="1928"/>
          </w:tcPr>
          <w:p>
            <w:pPr>
              <w:spacing w:after="20" w:before="20" w:line="240" w:lineRule="auto"/>
            </w:pPr>
            <w:r/>
            <w:r>
              <w:rPr>
                <w:rFonts w:ascii="Arial" w:hAnsi="Arial" w:cs="Arial"/>
                <w:b w:val="0"/>
                <w:i w:val="0"/>
                <w:sz w:val="17"/>
              </w:rPr>
              <w:t>Policy Number / Insurer / Policy Dates / Certificate</w:t>
            </w:r>
          </w:p>
        </w:tc>
        <w:tc>
          <w:tcPr>
            <w:tcW w:type="dxa" w:w="1928"/>
          </w:tcPr>
          <w:p>
            <w:pPr>
              <w:spacing w:after="20" w:before="20" w:line="240" w:lineRule="auto"/>
            </w:pPr>
            <w:r/>
            <w:r>
              <w:rPr>
                <w:rFonts w:ascii="Arial" w:hAnsi="Arial" w:cs="Arial"/>
                <w:b w:val="0"/>
                <w:i w:val="0"/>
                <w:sz w:val="17"/>
              </w:rPr>
              <w:t>Optional</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Can be added later</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6.10.2.2 UI Example</w:t>
      </w:r>
    </w:p>
    <w:p>
      <w:pPr>
        <w:spacing w:after="0" w:before="0" w:line="240" w:lineRule="auto"/>
        <w:ind w:left="57"/>
        <w:jc w:val="left"/>
        <w:shd w:val="clear" w:fill="F2F2F2"/>
      </w:pPr>
      <w:r>
        <w:rPr>
          <w:rFonts w:ascii="Consolas" w:hAnsi="Consolas" w:cs="Consolas"/>
          <w:b w:val="0"/>
          <w:i w:val="0"/>
          <w:sz w:val="15"/>
        </w:rPr>
        <w:t>8. INSURANCE REQUIREMENTS</w:t>
      </w:r>
    </w:p>
    <w:p>
      <w:pPr>
        <w:spacing w:after="0" w:before="0" w:line="240" w:lineRule="auto"/>
        <w:ind w:left="57"/>
        <w:jc w:val="left"/>
        <w:shd w:val="clear" w:fill="F2F2F2"/>
      </w:pPr>
      <w:r>
        <w:rPr>
          <w:rFonts w:ascii="Consolas" w:hAnsi="Consolas" w:cs="Consolas"/>
          <w:b w:val="0"/>
          <w:i w:val="0"/>
          <w:sz w:val="15"/>
        </w:rPr>
        <w:t xml:space="preserve">  Specify the insurance requirements for this shipment.</w:t>
      </w:r>
    </w:p>
    <w:p>
      <w:pPr>
        <w:spacing w:after="0" w:before="0" w:line="240" w:lineRule="auto"/>
        <w:ind w:left="57"/>
        <w:jc w:val="left"/>
        <w:shd w:val="clear" w:fill="F2F2F2"/>
      </w:pPr>
      <w:r>
        <w:rPr>
          <w:rFonts w:ascii="Consolas" w:hAnsi="Consolas" w:cs="Consolas"/>
          <w:b w:val="0"/>
          <w:i w:val="0"/>
          <w:sz w:val="15"/>
        </w:rPr>
        <w:t xml:space="preserve">  INSURANCE REQUIREMENT</w:t>
      </w:r>
    </w:p>
    <w:p>
      <w:pPr>
        <w:spacing w:after="0" w:before="0" w:line="240" w:lineRule="auto"/>
        <w:ind w:left="57"/>
        <w:jc w:val="left"/>
        <w:shd w:val="clear" w:fill="F2F2F2"/>
      </w:pPr>
      <w:r>
        <w:rPr>
          <w:rFonts w:ascii="Consolas" w:hAnsi="Consolas" w:cs="Consolas"/>
          <w:b w:val="0"/>
          <w:i w:val="0"/>
          <w:sz w:val="15"/>
        </w:rPr>
        <w:t xml:space="preserve">  [Required] [Optional] [Not Required]</w:t>
      </w:r>
    </w:p>
    <w:p>
      <w:pPr>
        <w:spacing w:after="0" w:before="0" w:line="240" w:lineRule="auto"/>
        <w:ind w:left="57"/>
        <w:jc w:val="left"/>
        <w:shd w:val="clear" w:fill="F2F2F2"/>
      </w:pPr>
      <w:r>
        <w:rPr>
          <w:rFonts w:ascii="Consolas" w:hAnsi="Consolas" w:cs="Consolas"/>
          <w:b w:val="0"/>
          <w:i w:val="0"/>
          <w:sz w:val="15"/>
        </w:rPr>
        <w:t xml:space="preserve">  Incoterm CIF requires mandatory insurance. Since you selected CIF,</w:t>
      </w:r>
    </w:p>
    <w:p>
      <w:pPr>
        <w:spacing w:after="0" w:before="0" w:line="240" w:lineRule="auto"/>
        <w:ind w:left="57"/>
        <w:jc w:val="left"/>
        <w:shd w:val="clear" w:fill="F2F2F2"/>
      </w:pPr>
      <w:r>
        <w:rPr>
          <w:rFonts w:ascii="Consolas" w:hAnsi="Consolas" w:cs="Consolas"/>
          <w:b w:val="0"/>
          <w:i w:val="0"/>
          <w:sz w:val="15"/>
        </w:rPr>
        <w:t xml:space="preserve">  insurance is automatically set to Required.</w:t>
      </w:r>
    </w:p>
    <w:p>
      <w:pPr>
        <w:spacing w:after="0" w:before="0" w:line="240" w:lineRule="auto"/>
        <w:ind w:left="57"/>
        <w:jc w:val="left"/>
        <w:shd w:val="clear" w:fill="F2F2F2"/>
      </w:pPr>
      <w:r>
        <w:rPr>
          <w:rFonts w:ascii="Consolas" w:hAnsi="Consolas" w:cs="Consolas"/>
          <w:b w:val="0"/>
          <w:i w:val="0"/>
          <w:sz w:val="15"/>
        </w:rPr>
        <w:t xml:space="preserve">  RESPONSIBLE PARTY</w:t>
      </w:r>
    </w:p>
    <w:p>
      <w:pPr>
        <w:spacing w:after="0" w:before="0" w:line="240" w:lineRule="auto"/>
        <w:ind w:left="57"/>
        <w:jc w:val="left"/>
        <w:shd w:val="clear" w:fill="F2F2F2"/>
      </w:pPr>
      <w:r>
        <w:rPr>
          <w:rFonts w:ascii="Consolas" w:hAnsi="Consolas" w:cs="Consolas"/>
          <w:b w:val="0"/>
          <w:i w:val="0"/>
          <w:sz w:val="15"/>
        </w:rPr>
        <w:t xml:space="preserve">  [Buyer] [Seller] [According To Incoterm]</w:t>
      </w:r>
    </w:p>
    <w:p>
      <w:pPr>
        <w:spacing w:after="0" w:before="0" w:line="240" w:lineRule="auto"/>
        <w:ind w:left="57"/>
        <w:jc w:val="left"/>
        <w:shd w:val="clear" w:fill="F2F2F2"/>
      </w:pPr>
      <w:r>
        <w:rPr>
          <w:rFonts w:ascii="Consolas" w:hAnsi="Consolas" w:cs="Consolas"/>
          <w:b w:val="0"/>
          <w:i w:val="0"/>
          <w:sz w:val="15"/>
        </w:rPr>
        <w:t xml:space="preserve">  According to the CIF incoterm, the seller is responsible for arranging</w:t>
      </w:r>
    </w:p>
    <w:p>
      <w:pPr>
        <w:spacing w:after="0" w:before="0" w:line="240" w:lineRule="auto"/>
        <w:ind w:left="57"/>
        <w:jc w:val="left"/>
        <w:shd w:val="clear" w:fill="F2F2F2"/>
      </w:pPr>
      <w:r>
        <w:rPr>
          <w:rFonts w:ascii="Consolas" w:hAnsi="Consolas" w:cs="Consolas"/>
          <w:b w:val="0"/>
          <w:i w:val="0"/>
          <w:sz w:val="15"/>
        </w:rPr>
        <w:t xml:space="preserve">  insurance.</w:t>
      </w:r>
    </w:p>
    <w:p>
      <w:pPr>
        <w:spacing w:after="0" w:before="0" w:line="240" w:lineRule="auto"/>
        <w:ind w:left="57"/>
        <w:jc w:val="left"/>
        <w:shd w:val="clear" w:fill="F2F2F2"/>
      </w:pPr>
      <w:r>
        <w:rPr>
          <w:rFonts w:ascii="Consolas" w:hAnsi="Consolas" w:cs="Consolas"/>
          <w:b w:val="0"/>
          <w:i w:val="0"/>
          <w:sz w:val="15"/>
        </w:rPr>
        <w:t xml:space="preserve">  INSURANCE TYPE (if Required)</w:t>
      </w:r>
    </w:p>
    <w:p>
      <w:pPr>
        <w:spacing w:after="0" w:before="0" w:line="240" w:lineRule="auto"/>
        <w:ind w:left="57"/>
        <w:jc w:val="left"/>
        <w:shd w:val="clear" w:fill="F2F2F2"/>
      </w:pPr>
      <w:r>
        <w:rPr>
          <w:rFonts w:ascii="Consolas" w:hAnsi="Consolas" w:cs="Consolas"/>
          <w:b w:val="0"/>
          <w:i w:val="0"/>
          <w:sz w:val="15"/>
        </w:rPr>
        <w:t xml:space="preserve">  [All Risks ▼] (covers all risks of loss or damage)</w:t>
      </w:r>
    </w:p>
    <w:p>
      <w:pPr>
        <w:spacing w:after="0" w:before="0" w:line="240" w:lineRule="auto"/>
        <w:ind w:left="57"/>
        <w:jc w:val="left"/>
        <w:shd w:val="clear" w:fill="F2F2F2"/>
      </w:pPr>
      <w:r>
        <w:rPr>
          <w:rFonts w:ascii="Consolas" w:hAnsi="Consolas" w:cs="Consolas"/>
          <w:b w:val="0"/>
          <w:i w:val="0"/>
          <w:sz w:val="15"/>
        </w:rPr>
        <w:t xml:space="preserve">  COVERAGE AMOUNT</w:t>
      </w:r>
    </w:p>
    <w:p>
      <w:pPr>
        <w:spacing w:after="0" w:before="0" w:line="240" w:lineRule="auto"/>
        <w:ind w:left="57"/>
        <w:jc w:val="left"/>
        <w:shd w:val="clear" w:fill="F2F2F2"/>
      </w:pPr>
      <w:r>
        <w:rPr>
          <w:rFonts w:ascii="Consolas" w:hAnsi="Consolas" w:cs="Consolas"/>
          <w:b w:val="0"/>
          <w:i w:val="0"/>
          <w:sz w:val="15"/>
        </w:rPr>
        <w:t xml:space="preserve">  [110]% of invoice value</w:t>
      </w:r>
    </w:p>
    <w:p>
      <w:pPr>
        <w:spacing w:after="0" w:before="0" w:line="240" w:lineRule="auto"/>
        <w:ind w:left="57"/>
        <w:jc w:val="left"/>
        <w:shd w:val="clear" w:fill="F2F2F2"/>
      </w:pPr>
      <w:r>
        <w:rPr>
          <w:rFonts w:ascii="Consolas" w:hAnsi="Consolas" w:cs="Consolas"/>
          <w:b w:val="0"/>
          <w:i w:val="0"/>
          <w:sz w:val="15"/>
        </w:rPr>
        <w:t xml:space="preserve">  Standard coverage is 110% of invoice value (100% goods + 10% profit).</w:t>
      </w:r>
    </w:p>
    <w:p>
      <w:pPr>
        <w:spacing w:after="0" w:before="0" w:line="240" w:lineRule="auto"/>
        <w:ind w:left="57"/>
        <w:jc w:val="left"/>
        <w:shd w:val="clear" w:fill="F2F2F2"/>
      </w:pPr>
      <w:r>
        <w:rPr>
          <w:rFonts w:ascii="Consolas" w:hAnsi="Consolas" w:cs="Consolas"/>
          <w:b w:val="0"/>
          <w:i w:val="0"/>
          <w:sz w:val="15"/>
        </w:rPr>
        <w:t xml:space="preserve">  COVERAGE CURRENCY</w:t>
      </w:r>
    </w:p>
    <w:p>
      <w:pPr>
        <w:spacing w:after="0" w:before="0" w:line="240" w:lineRule="auto"/>
        <w:ind w:left="57"/>
        <w:jc w:val="left"/>
        <w:shd w:val="clear" w:fill="F2F2F2"/>
      </w:pPr>
      <w:r>
        <w:rPr>
          <w:rFonts w:ascii="Consolas" w:hAnsi="Consolas" w:cs="Consolas"/>
          <w:b w:val="0"/>
          <w:i w:val="0"/>
          <w:sz w:val="15"/>
        </w:rPr>
        <w:t xml:space="preserve">  [USD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DESTINATION-SPECIFIC REQUIREMENTS (RIA-detected)</w:t>
      </w:r>
    </w:p>
    <w:p>
      <w:pPr>
        <w:spacing w:after="0" w:before="0" w:line="240" w:lineRule="auto"/>
        <w:ind w:left="57"/>
        <w:jc w:val="left"/>
        <w:shd w:val="clear" w:fill="F2F2F2"/>
      </w:pPr>
      <w:r>
        <w:rPr>
          <w:rFonts w:ascii="Consolas" w:hAnsi="Consolas" w:cs="Consolas"/>
          <w:b w:val="0"/>
          <w:i w:val="0"/>
          <w:sz w:val="15"/>
        </w:rPr>
        <w:t xml:space="preserve">  Destination: Germany</w:t>
      </w:r>
    </w:p>
    <w:p>
      <w:pPr>
        <w:spacing w:after="0" w:before="0" w:line="240" w:lineRule="auto"/>
        <w:ind w:left="57"/>
        <w:jc w:val="left"/>
        <w:shd w:val="clear" w:fill="F2F2F2"/>
      </w:pPr>
      <w:r>
        <w:rPr>
          <w:rFonts w:ascii="Consolas" w:hAnsi="Consolas" w:cs="Consolas"/>
          <w:b w:val="0"/>
          <w:i w:val="0"/>
          <w:sz w:val="15"/>
        </w:rPr>
        <w:t xml:space="preserve">  • Cargo insurance is recommended for all imports.</w:t>
      </w:r>
    </w:p>
    <w:p>
      <w:pPr>
        <w:spacing w:after="0" w:before="0" w:line="240" w:lineRule="auto"/>
        <w:ind w:left="57"/>
        <w:jc w:val="left"/>
        <w:shd w:val="clear" w:fill="F2F2F2"/>
      </w:pPr>
      <w:r>
        <w:rPr>
          <w:rFonts w:ascii="Consolas" w:hAnsi="Consolas" w:cs="Consolas"/>
          <w:b w:val="0"/>
          <w:i w:val="0"/>
          <w:sz w:val="15"/>
        </w:rPr>
        <w:t xml:space="preserve">  • Minimum coverage: 100% of invoice value.</w:t>
      </w:r>
    </w:p>
    <w:p>
      <w:pPr>
        <w:spacing w:after="0" w:before="0" w:line="240" w:lineRule="auto"/>
        <w:ind w:left="57"/>
        <w:jc w:val="left"/>
        <w:shd w:val="clear" w:fill="F2F2F2"/>
      </w:pPr>
      <w:r>
        <w:rPr>
          <w:rFonts w:ascii="Consolas" w:hAnsi="Consolas" w:cs="Consolas"/>
          <w:b w:val="0"/>
          <w:i w:val="0"/>
          <w:sz w:val="15"/>
        </w:rPr>
        <w:t xml:space="preserve">  • Institute Cargo Clauses (A) recommended for food products.</w:t>
      </w:r>
    </w:p>
    <w:p>
      <w:pPr>
        <w:spacing w:after="0" w:before="0" w:line="240" w:lineRule="auto"/>
        <w:ind w:left="57"/>
        <w:jc w:val="left"/>
        <w:shd w:val="clear" w:fill="F2F2F2"/>
      </w:pPr>
      <w:r>
        <w:rPr>
          <w:rFonts w:ascii="Consolas" w:hAnsi="Consolas" w:cs="Consolas"/>
          <w:b w:val="0"/>
          <w:i w:val="0"/>
          <w:sz w:val="15"/>
        </w:rPr>
        <w:t xml:space="preserve">  [Apply Recommendations] [Dismiss]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POLICY DETAILS (Optional — for later)</w:t>
      </w:r>
    </w:p>
    <w:p>
      <w:pPr>
        <w:spacing w:after="0" w:before="0" w:line="240" w:lineRule="auto"/>
        <w:ind w:left="57"/>
        <w:jc w:val="left"/>
        <w:shd w:val="clear" w:fill="F2F2F2"/>
      </w:pPr>
      <w:r>
        <w:rPr>
          <w:rFonts w:ascii="Consolas" w:hAnsi="Consolas" w:cs="Consolas"/>
          <w:b w:val="0"/>
          <w:i w:val="0"/>
          <w:sz w:val="15"/>
        </w:rPr>
        <w:t xml:space="preserve">  Policy Number: [___________________________]</w:t>
      </w:r>
    </w:p>
    <w:p>
      <w:pPr>
        <w:spacing w:after="0" w:before="0" w:line="240" w:lineRule="auto"/>
        <w:ind w:left="57"/>
        <w:jc w:val="left"/>
        <w:shd w:val="clear" w:fill="F2F2F2"/>
      </w:pPr>
      <w:r>
        <w:rPr>
          <w:rFonts w:ascii="Consolas" w:hAnsi="Consolas" w:cs="Consolas"/>
          <w:b w:val="0"/>
          <w:i w:val="0"/>
          <w:sz w:val="15"/>
        </w:rPr>
        <w:t xml:space="preserve">  Insurer: [___________________________]</w:t>
      </w:r>
    </w:p>
    <w:p>
      <w:pPr>
        <w:spacing w:after="0" w:before="0" w:line="240" w:lineRule="auto"/>
        <w:ind w:left="57"/>
        <w:jc w:val="left"/>
        <w:shd w:val="clear" w:fill="F2F2F2"/>
      </w:pPr>
      <w:r>
        <w:rPr>
          <w:rFonts w:ascii="Consolas" w:hAnsi="Consolas" w:cs="Consolas"/>
          <w:b w:val="0"/>
          <w:i w:val="0"/>
          <w:sz w:val="15"/>
        </w:rPr>
        <w:t xml:space="preserve">  Policy Effective Date: [___________]</w:t>
      </w:r>
    </w:p>
    <w:p>
      <w:pPr>
        <w:spacing w:after="0" w:before="0" w:line="240" w:lineRule="auto"/>
        <w:ind w:left="57"/>
        <w:jc w:val="left"/>
        <w:shd w:val="clear" w:fill="F2F2F2"/>
      </w:pPr>
      <w:r>
        <w:rPr>
          <w:rFonts w:ascii="Consolas" w:hAnsi="Consolas" w:cs="Consolas"/>
          <w:b w:val="0"/>
          <w:i w:val="0"/>
          <w:sz w:val="15"/>
        </w:rPr>
        <w:t xml:space="preserve">  Policy Expiry Date: [___________]</w:t>
      </w:r>
    </w:p>
    <w:p>
      <w:pPr>
        <w:spacing w:after="0" w:before="0" w:line="240" w:lineRule="auto"/>
        <w:ind w:left="57"/>
        <w:jc w:val="left"/>
        <w:shd w:val="clear" w:fill="F2F2F2"/>
      </w:pPr>
      <w:r>
        <w:rPr>
          <w:rFonts w:ascii="Consolas" w:hAnsi="Consolas" w:cs="Consolas"/>
          <w:b w:val="0"/>
          <w:i w:val="0"/>
          <w:sz w:val="15"/>
        </w:rPr>
        <w:t xml:space="preserve">  Upload Insurance Certificate: [Choose File]</w:t>
      </w:r>
    </w:p>
    <w:p>
      <w:pPr>
        <w:spacing w:after="0" w:before="0" w:line="240" w:lineRule="auto"/>
        <w:ind w:left="57"/>
        <w:jc w:val="left"/>
        <w:shd w:val="clear" w:fill="F2F2F2"/>
      </w:pPr>
      <w:r>
        <w:rPr>
          <w:rFonts w:ascii="Consolas" w:hAnsi="Consolas" w:cs="Consolas"/>
          <w:b w:val="0"/>
          <w:i w:val="0"/>
          <w:sz w:val="15"/>
        </w:rPr>
        <w:t xml:space="preserve">  These details can be added later. Only the requirements above are required</w:t>
      </w:r>
    </w:p>
    <w:p>
      <w:pPr>
        <w:spacing w:after="0" w:before="0" w:line="240" w:lineRule="auto"/>
        <w:ind w:left="57"/>
        <w:jc w:val="left"/>
        <w:shd w:val="clear" w:fill="F2F2F2"/>
      </w:pPr>
      <w:r>
        <w:rPr>
          <w:rFonts w:ascii="Consolas" w:hAnsi="Consolas" w:cs="Consolas"/>
          <w:b w:val="0"/>
          <w:i w:val="0"/>
          <w:sz w:val="15"/>
        </w:rPr>
        <w:t xml:space="preserve">  for trade request submission.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6.10.3 Incoterm-Driven Insurance Rules</w:t>
      </w:r>
    </w:p>
    <w:p>
      <w:pPr>
        <w:keepNext/>
        <w:spacing w:before="140" w:after="60"/>
        <w:outlineLvl w:val="3"/>
      </w:pPr>
      <w:r>
        <w:rPr>
          <w:rFonts w:ascii="Arial" w:hAnsi="Arial" w:cs="Arial"/>
          <w:b/>
          <w:i/>
          <w:color w:val="333333"/>
          <w:sz w:val="22"/>
        </w:rPr>
        <w:t>6.10.3.1 Mandatory Insurance by Incoterm</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Incoterm</w:t>
            </w:r>
          </w:p>
        </w:tc>
        <w:tc>
          <w:tcPr>
            <w:tcW w:type="dxa" w:w="3213"/>
            <w:shd w:val="clear" w:fill="D9E2F3"/>
          </w:tcPr>
          <w:p>
            <w:pPr>
              <w:spacing w:after="20" w:before="20" w:line="240" w:lineRule="auto"/>
            </w:pPr>
            <w:r/>
            <w:r>
              <w:rPr>
                <w:rFonts w:ascii="Arial" w:hAnsi="Arial" w:cs="Arial"/>
                <w:b/>
                <w:i w:val="0"/>
                <w:sz w:val="18"/>
              </w:rPr>
              <w:t>Insurance Requirement</w:t>
            </w:r>
          </w:p>
        </w:tc>
        <w:tc>
          <w:tcPr>
            <w:tcW w:type="dxa" w:w="3213"/>
            <w:shd w:val="clear" w:fill="D9E2F3"/>
          </w:tcPr>
          <w:p>
            <w:pPr>
              <w:spacing w:after="20" w:before="20" w:line="240" w:lineRule="auto"/>
            </w:pPr>
            <w:r/>
            <w:r>
              <w:rPr>
                <w:rFonts w:ascii="Arial" w:hAnsi="Arial" w:cs="Arial"/>
                <w:b/>
                <w:i w:val="0"/>
                <w:sz w:val="18"/>
              </w:rPr>
              <w:t>Responsible Party</w:t>
            </w:r>
          </w:p>
        </w:tc>
      </w:tr>
      <w:tr>
        <w:tc>
          <w:tcPr>
            <w:tcW w:type="dxa" w:w="3213"/>
          </w:tcPr>
          <w:p>
            <w:pPr>
              <w:spacing w:after="20" w:before="20" w:line="240" w:lineRule="auto"/>
            </w:pPr>
            <w:r/>
            <w:r>
              <w:rPr>
                <w:rFonts w:ascii="Arial" w:hAnsi="Arial" w:cs="Arial"/>
                <w:b w:val="0"/>
                <w:i w:val="0"/>
                <w:sz w:val="17"/>
              </w:rPr>
              <w:t>CIF</w:t>
            </w:r>
          </w:p>
        </w:tc>
        <w:tc>
          <w:tcPr>
            <w:tcW w:type="dxa" w:w="3213"/>
          </w:tcPr>
          <w:p>
            <w:pPr>
              <w:spacing w:after="20" w:before="20" w:line="240" w:lineRule="auto"/>
            </w:pPr>
            <w:r/>
            <w:r>
              <w:rPr>
                <w:rFonts w:ascii="Arial" w:hAnsi="Arial" w:cs="Arial"/>
                <w:b w:val="0"/>
                <w:i w:val="0"/>
                <w:sz w:val="17"/>
              </w:rPr>
              <w:t>Required</w:t>
            </w:r>
          </w:p>
        </w:tc>
        <w:tc>
          <w:tcPr>
            <w:tcW w:type="dxa" w:w="3213"/>
          </w:tcPr>
          <w:p>
            <w:pPr>
              <w:spacing w:after="20" w:before="20" w:line="240" w:lineRule="auto"/>
            </w:pPr>
            <w:r/>
            <w:r>
              <w:rPr>
                <w:rFonts w:ascii="Arial" w:hAnsi="Arial" w:cs="Arial"/>
                <w:b w:val="0"/>
                <w:i w:val="0"/>
                <w:sz w:val="17"/>
              </w:rPr>
              <w:t>Seller</w:t>
            </w:r>
          </w:p>
        </w:tc>
      </w:tr>
      <w:tr>
        <w:tc>
          <w:tcPr>
            <w:tcW w:type="dxa" w:w="3213"/>
          </w:tcPr>
          <w:p>
            <w:pPr>
              <w:spacing w:after="20" w:before="20" w:line="240" w:lineRule="auto"/>
            </w:pPr>
            <w:r/>
            <w:r>
              <w:rPr>
                <w:rFonts w:ascii="Arial" w:hAnsi="Arial" w:cs="Arial"/>
                <w:b w:val="0"/>
                <w:i w:val="0"/>
                <w:sz w:val="17"/>
              </w:rPr>
              <w:t>CIP</w:t>
            </w:r>
          </w:p>
        </w:tc>
        <w:tc>
          <w:tcPr>
            <w:tcW w:type="dxa" w:w="3213"/>
          </w:tcPr>
          <w:p>
            <w:pPr>
              <w:spacing w:after="20" w:before="20" w:line="240" w:lineRule="auto"/>
            </w:pPr>
            <w:r/>
            <w:r>
              <w:rPr>
                <w:rFonts w:ascii="Arial" w:hAnsi="Arial" w:cs="Arial"/>
                <w:b w:val="0"/>
                <w:i w:val="0"/>
                <w:sz w:val="17"/>
              </w:rPr>
              <w:t>Required</w:t>
            </w:r>
          </w:p>
        </w:tc>
        <w:tc>
          <w:tcPr>
            <w:tcW w:type="dxa" w:w="3213"/>
          </w:tcPr>
          <w:p>
            <w:pPr>
              <w:spacing w:after="20" w:before="20" w:line="240" w:lineRule="auto"/>
            </w:pPr>
            <w:r/>
            <w:r>
              <w:rPr>
                <w:rFonts w:ascii="Arial" w:hAnsi="Arial" w:cs="Arial"/>
                <w:b w:val="0"/>
                <w:i w:val="0"/>
                <w:sz w:val="17"/>
              </w:rPr>
              <w:t>Seller</w:t>
            </w:r>
          </w:p>
        </w:tc>
      </w:tr>
      <w:tr>
        <w:tc>
          <w:tcPr>
            <w:tcW w:type="dxa" w:w="3213"/>
          </w:tcPr>
          <w:p>
            <w:pPr>
              <w:spacing w:after="20" w:before="20" w:line="240" w:lineRule="auto"/>
            </w:pPr>
            <w:r/>
            <w:r>
              <w:rPr>
                <w:rFonts w:ascii="Arial" w:hAnsi="Arial" w:cs="Arial"/>
                <w:b w:val="0"/>
                <w:i w:val="0"/>
                <w:sz w:val="17"/>
              </w:rPr>
              <w:t>All others</w:t>
            </w:r>
          </w:p>
        </w:tc>
        <w:tc>
          <w:tcPr>
            <w:tcW w:type="dxa" w:w="3213"/>
          </w:tcPr>
          <w:p>
            <w:pPr>
              <w:spacing w:after="20" w:before="20" w:line="240" w:lineRule="auto"/>
            </w:pPr>
            <w:r/>
            <w:r>
              <w:rPr>
                <w:rFonts w:ascii="Arial" w:hAnsi="Arial" w:cs="Arial"/>
                <w:b w:val="0"/>
                <w:i w:val="0"/>
                <w:sz w:val="17"/>
              </w:rPr>
              <w:t>Optional (recommended)</w:t>
            </w:r>
          </w:p>
        </w:tc>
        <w:tc>
          <w:tcPr>
            <w:tcW w:type="dxa" w:w="3213"/>
          </w:tcPr>
          <w:p>
            <w:pPr>
              <w:spacing w:after="20" w:before="20" w:line="240" w:lineRule="auto"/>
            </w:pPr>
            <w:r/>
            <w:r>
              <w:rPr>
                <w:rFonts w:ascii="Arial" w:hAnsi="Arial" w:cs="Arial"/>
                <w:b w:val="0"/>
                <w:i w:val="0"/>
                <w:sz w:val="17"/>
              </w:rPr>
              <w:t>According To Incoterm</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6.10.3.2 Auto-Configuration Logic</w:t>
      </w:r>
    </w:p>
    <w:p>
      <w:pPr>
        <w:spacing w:after="80" w:line="293" w:lineRule="auto"/>
        <w:jc w:val="left"/>
      </w:pPr>
      <w:r>
        <w:rPr>
          <w:rFonts w:ascii="Times New Roman" w:hAnsi="Times New Roman" w:cs="Times New Roman"/>
          <w:b w:val="0"/>
          <w:i w:val="0"/>
          <w:sz w:val="22"/>
        </w:rPr>
        <w:t>When the buyer selects an incoterm, the system auto-configures insurance:</w:t>
      </w:r>
    </w:p>
    <w:p>
      <w:pPr>
        <w:spacing w:after="0" w:before="0" w:line="240" w:lineRule="auto"/>
        <w:ind w:left="57"/>
        <w:jc w:val="left"/>
        <w:shd w:val="clear" w:fill="F2F2F2"/>
      </w:pPr>
      <w:r>
        <w:rPr>
          <w:rFonts w:ascii="Consolas" w:hAnsi="Consolas" w:cs="Consolas"/>
          <w:b w:val="0"/>
          <w:i w:val="0"/>
          <w:sz w:val="15"/>
        </w:rPr>
        <w:t>// Pseudo-code: Incoterm-driven insurance auto-configuration</w:t>
      </w:r>
    </w:p>
    <w:p>
      <w:pPr>
        <w:spacing w:after="0" w:before="0" w:line="240" w:lineRule="auto"/>
        <w:ind w:left="57"/>
        <w:jc w:val="left"/>
        <w:shd w:val="clear" w:fill="F2F2F2"/>
      </w:pPr>
      <w:r>
        <w:rPr>
          <w:rFonts w:ascii="Consolas" w:hAnsi="Consolas" w:cs="Consolas"/>
          <w:b w:val="0"/>
          <w:i w:val="0"/>
          <w:sz w:val="15"/>
        </w:rPr>
        <w:t>fn auto_configure_insurance(incoterm: Incoterm) -&gt; InsuranceConfig {</w:t>
      </w:r>
    </w:p>
    <w:p>
      <w:pPr>
        <w:spacing w:after="0" w:before="0" w:line="240" w:lineRule="auto"/>
        <w:ind w:left="57"/>
        <w:jc w:val="left"/>
        <w:shd w:val="clear" w:fill="F2F2F2"/>
      </w:pPr>
      <w:r>
        <w:rPr>
          <w:rFonts w:ascii="Consolas" w:hAnsi="Consolas" w:cs="Consolas"/>
          <w:b w:val="0"/>
          <w:i w:val="0"/>
          <w:sz w:val="15"/>
        </w:rPr>
        <w:t xml:space="preserve">    match incoterm {</w:t>
      </w:r>
    </w:p>
    <w:p>
      <w:pPr>
        <w:spacing w:after="0" w:before="0" w:line="240" w:lineRule="auto"/>
        <w:ind w:left="57"/>
        <w:jc w:val="left"/>
        <w:shd w:val="clear" w:fill="F2F2F2"/>
      </w:pPr>
      <w:r>
        <w:rPr>
          <w:rFonts w:ascii="Consolas" w:hAnsi="Consolas" w:cs="Consolas"/>
          <w:b w:val="0"/>
          <w:i w:val="0"/>
          <w:sz w:val="15"/>
        </w:rPr>
        <w:t xml:space="preserve">        Incoterm::CIF | Incoterm::CIP =&gt; InsuranceConfig {</w:t>
      </w:r>
    </w:p>
    <w:p>
      <w:pPr>
        <w:spacing w:after="0" w:before="0" w:line="240" w:lineRule="auto"/>
        <w:ind w:left="57"/>
        <w:jc w:val="left"/>
        <w:shd w:val="clear" w:fill="F2F2F2"/>
      </w:pPr>
      <w:r>
        <w:rPr>
          <w:rFonts w:ascii="Consolas" w:hAnsi="Consolas" w:cs="Consolas"/>
          <w:b w:val="0"/>
          <w:i w:val="0"/>
          <w:sz w:val="15"/>
        </w:rPr>
        <w:t xml:space="preserve">            requirement: InsuranceRequirement::Required,</w:t>
      </w:r>
    </w:p>
    <w:p>
      <w:pPr>
        <w:spacing w:after="0" w:before="0" w:line="240" w:lineRule="auto"/>
        <w:ind w:left="57"/>
        <w:jc w:val="left"/>
        <w:shd w:val="clear" w:fill="F2F2F2"/>
      </w:pPr>
      <w:r>
        <w:rPr>
          <w:rFonts w:ascii="Consolas" w:hAnsi="Consolas" w:cs="Consolas"/>
          <w:b w:val="0"/>
          <w:i w:val="0"/>
          <w:sz w:val="15"/>
        </w:rPr>
        <w:t xml:space="preserve">            responsible_party: ResponsibleParty::Seller,</w:t>
      </w:r>
    </w:p>
    <w:p>
      <w:pPr>
        <w:spacing w:after="0" w:before="0" w:line="240" w:lineRule="auto"/>
        <w:ind w:left="57"/>
        <w:jc w:val="left"/>
        <w:shd w:val="clear" w:fill="F2F2F2"/>
      </w:pPr>
      <w:r>
        <w:rPr>
          <w:rFonts w:ascii="Consolas" w:hAnsi="Consolas" w:cs="Consolas"/>
          <w:b w:val="0"/>
          <w:i w:val="0"/>
          <w:sz w:val="15"/>
        </w:rPr>
        <w:t xml:space="preserve">            coverage_percent: 110,</w:t>
      </w:r>
    </w:p>
    <w:p>
      <w:pPr>
        <w:spacing w:after="0" w:before="0" w:line="240" w:lineRule="auto"/>
        <w:ind w:left="57"/>
        <w:jc w:val="left"/>
        <w:shd w:val="clear" w:fill="F2F2F2"/>
      </w:pPr>
      <w:r>
        <w:rPr>
          <w:rFonts w:ascii="Consolas" w:hAnsi="Consolas" w:cs="Consolas"/>
          <w:b w:val="0"/>
          <w:i w:val="0"/>
          <w:sz w:val="15"/>
        </w:rPr>
        <w:t xml:space="preserve">            coverage_currency: "USD".to_string(),</w:t>
      </w:r>
    </w:p>
    <w:p>
      <w:pPr>
        <w:spacing w:after="0" w:before="0" w:line="240" w:lineRule="auto"/>
        <w:ind w:left="57"/>
        <w:jc w:val="left"/>
        <w:shd w:val="clear" w:fill="F2F2F2"/>
      </w:pPr>
      <w:r>
        <w:rPr>
          <w:rFonts w:ascii="Consolas" w:hAnsi="Consolas" w:cs="Consolas"/>
          <w:b w:val="0"/>
          <w:i w:val="0"/>
          <w:sz w:val="15"/>
        </w:rPr>
        <w:t xml:space="preserve">            mandatory_reason: format!("{} incoterm requires seller to arrange insurance", incoterm),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_ =&gt; InsuranceConfig {</w:t>
      </w:r>
    </w:p>
    <w:p>
      <w:pPr>
        <w:spacing w:after="0" w:before="0" w:line="240" w:lineRule="auto"/>
        <w:ind w:left="57"/>
        <w:jc w:val="left"/>
        <w:shd w:val="clear" w:fill="F2F2F2"/>
      </w:pPr>
      <w:r>
        <w:rPr>
          <w:rFonts w:ascii="Consolas" w:hAnsi="Consolas" w:cs="Consolas"/>
          <w:b w:val="0"/>
          <w:i w:val="0"/>
          <w:sz w:val="15"/>
        </w:rPr>
        <w:t xml:space="preserve">            requirement: InsuranceRequirement::Optional,</w:t>
      </w:r>
    </w:p>
    <w:p>
      <w:pPr>
        <w:spacing w:after="0" w:before="0" w:line="240" w:lineRule="auto"/>
        <w:ind w:left="57"/>
        <w:jc w:val="left"/>
        <w:shd w:val="clear" w:fill="F2F2F2"/>
      </w:pPr>
      <w:r>
        <w:rPr>
          <w:rFonts w:ascii="Consolas" w:hAnsi="Consolas" w:cs="Consolas"/>
          <w:b w:val="0"/>
          <w:i w:val="0"/>
          <w:sz w:val="15"/>
        </w:rPr>
        <w:t xml:space="preserve">            responsible_party: ResponsibleParty::AccordingToIncoterm,</w:t>
      </w:r>
    </w:p>
    <w:p>
      <w:pPr>
        <w:spacing w:after="0" w:before="0" w:line="240" w:lineRule="auto"/>
        <w:ind w:left="57"/>
        <w:jc w:val="left"/>
        <w:shd w:val="clear" w:fill="F2F2F2"/>
      </w:pPr>
      <w:r>
        <w:rPr>
          <w:rFonts w:ascii="Consolas" w:hAnsi="Consolas" w:cs="Consolas"/>
          <w:b w:val="0"/>
          <w:i w:val="0"/>
          <w:sz w:val="15"/>
        </w:rPr>
        <w:t xml:space="preserve">            coverage_percent: 110,</w:t>
      </w:r>
    </w:p>
    <w:p>
      <w:pPr>
        <w:spacing w:after="0" w:before="0" w:line="240" w:lineRule="auto"/>
        <w:ind w:left="57"/>
        <w:jc w:val="left"/>
        <w:shd w:val="clear" w:fill="F2F2F2"/>
      </w:pPr>
      <w:r>
        <w:rPr>
          <w:rFonts w:ascii="Consolas" w:hAnsi="Consolas" w:cs="Consolas"/>
          <w:b w:val="0"/>
          <w:i w:val="0"/>
          <w:sz w:val="15"/>
        </w:rPr>
        <w:t xml:space="preserve">            coverage_currency: "USD".to_string(),</w:t>
      </w:r>
    </w:p>
    <w:p>
      <w:pPr>
        <w:spacing w:after="0" w:before="0" w:line="240" w:lineRule="auto"/>
        <w:ind w:left="57"/>
        <w:jc w:val="left"/>
        <w:shd w:val="clear" w:fill="F2F2F2"/>
      </w:pPr>
      <w:r>
        <w:rPr>
          <w:rFonts w:ascii="Consolas" w:hAnsi="Consolas" w:cs="Consolas"/>
          <w:b w:val="0"/>
          <w:i w:val="0"/>
          <w:sz w:val="15"/>
        </w:rPr>
        <w:t xml:space="preserve">            mandatory_reason: None,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6.10.3.3 Insurance Type Recommendations</w:t>
      </w:r>
    </w:p>
    <w:p>
      <w:pPr>
        <w:spacing w:after="80" w:line="293" w:lineRule="auto"/>
        <w:jc w:val="left"/>
      </w:pPr>
      <w:r>
        <w:rPr>
          <w:rFonts w:ascii="Times New Roman" w:hAnsi="Times New Roman" w:cs="Times New Roman"/>
          <w:b w:val="0"/>
          <w:i w:val="0"/>
          <w:sz w:val="22"/>
        </w:rPr>
        <w:t>The system recommends insurance types based on commodity and route (A1): All Risks (ICC(A)) for food products and general cargo; reefer coverage for perishable/temperature-controlled cargo; livestock coverage for live animals; war and strikes clauses where the corridor risk profile warrants them.</w:t>
      </w:r>
    </w:p>
    <w:p>
      <w:pPr>
        <w:keepNext/>
        <w:spacing w:before="180" w:after="80"/>
        <w:outlineLvl w:val="2"/>
      </w:pPr>
      <w:r>
        <w:rPr>
          <w:rFonts w:ascii="Arial" w:hAnsi="Arial" w:cs="Arial"/>
          <w:b/>
          <w:i w:val="0"/>
          <w:color w:val="333333"/>
          <w:sz w:val="23"/>
        </w:rPr>
        <w:t>6.10.4 RIA-Driven Insurance Requirements</w:t>
      </w:r>
    </w:p>
    <w:p>
      <w:pPr>
        <w:keepNext/>
        <w:spacing w:before="140" w:after="60"/>
        <w:outlineLvl w:val="3"/>
      </w:pPr>
      <w:r>
        <w:rPr>
          <w:rFonts w:ascii="Arial" w:hAnsi="Arial" w:cs="Arial"/>
          <w:b/>
          <w:i/>
          <w:color w:val="333333"/>
          <w:sz w:val="22"/>
        </w:rPr>
        <w:t>6.10.4.1 Destination-Specific Requirements</w:t>
      </w:r>
    </w:p>
    <w:p>
      <w:pPr>
        <w:spacing w:after="80" w:line="293" w:lineRule="auto"/>
        <w:jc w:val="left"/>
      </w:pPr>
      <w:r>
        <w:rPr>
          <w:rFonts w:ascii="Times New Roman" w:hAnsi="Times New Roman" w:cs="Times New Roman"/>
          <w:b w:val="0"/>
          <w:i w:val="0"/>
          <w:sz w:val="22"/>
        </w:rPr>
        <w:t>The RIA maintains destination-specific insurance requirements in `country_insurance_requirements` (requirement level REQUIRED/RECOMMENDED/OPTIONAL, minimum coverage percent, recommended type, source regulation). Example: Germany — cargo insurance recommended for all imports; minimum coverage 100% of invoice value; Institute Cargo Clauses (A) recommended for food products.</w:t>
      </w:r>
    </w:p>
    <w:p>
      <w:pPr>
        <w:keepNext/>
        <w:spacing w:before="140" w:after="60"/>
        <w:outlineLvl w:val="3"/>
      </w:pPr>
      <w:r>
        <w:rPr>
          <w:rFonts w:ascii="Arial" w:hAnsi="Arial" w:cs="Arial"/>
          <w:b/>
          <w:i/>
          <w:color w:val="333333"/>
          <w:sz w:val="22"/>
        </w:rPr>
        <w:t>6.10.4.2 Commodity-Specific Requirements</w:t>
      </w:r>
    </w:p>
    <w:p>
      <w:pPr>
        <w:spacing w:after="80" w:line="293" w:lineRule="auto"/>
        <w:jc w:val="left"/>
      </w:pPr>
      <w:r>
        <w:rPr>
          <w:rFonts w:ascii="Times New Roman" w:hAnsi="Times New Roman" w:cs="Times New Roman"/>
          <w:b w:val="0"/>
          <w:i w:val="0"/>
          <w:sz w:val="22"/>
        </w:rPr>
        <w:t>The RIA also maintains commodity-category- and HS-code-specific insurance requirements (perishable cargo coverage, cold-chain coverage, and similar), stored with the same structure and surfaced as destination-specific recommendations.</w:t>
      </w:r>
    </w:p>
    <w:p>
      <w:pPr>
        <w:keepNext/>
        <w:spacing w:before="180" w:after="80"/>
        <w:outlineLvl w:val="2"/>
      </w:pPr>
      <w:r>
        <w:rPr>
          <w:rFonts w:ascii="Arial" w:hAnsi="Arial" w:cs="Arial"/>
          <w:b/>
          <w:i w:val="0"/>
          <w:color w:val="333333"/>
          <w:sz w:val="23"/>
        </w:rPr>
        <w:t>6.10.5 Insurance Certificate Verification (A2)</w:t>
      </w:r>
    </w:p>
    <w:p>
      <w:pPr>
        <w:keepNext/>
        <w:spacing w:before="140" w:after="60"/>
        <w:outlineLvl w:val="3"/>
      </w:pPr>
      <w:r>
        <w:rPr>
          <w:rFonts w:ascii="Arial" w:hAnsi="Arial" w:cs="Arial"/>
          <w:b/>
          <w:i/>
          <w:color w:val="333333"/>
          <w:sz w:val="22"/>
        </w:rPr>
        <w:t>6.10.5.1 Verification Process</w:t>
      </w:r>
    </w:p>
    <w:p>
      <w:pPr>
        <w:spacing w:after="80" w:line="293" w:lineRule="auto"/>
        <w:jc w:val="left"/>
      </w:pPr>
      <w:r>
        <w:rPr>
          <w:rFonts w:ascii="Times New Roman" w:hAnsi="Times New Roman" w:cs="Times New Roman"/>
          <w:b w:val="0"/>
          <w:i w:val="0"/>
          <w:sz w:val="22"/>
        </w:rPr>
        <w:t>When the buyer (or seller) uploads an insurance certificate, the system verifies it using AI (A2, HF Donut). Verification steps: the document is uploaded; key fields are extracted using HF Donut; the system validates the policy number, insurer name, insured party (matches buyer/seller), vessel/voyage (matches shipment), coverage amount (≥ required), coverage type (matches selected type), and effective and expiry dates; the system cross-references with the insurer database (if available); and returns a verification status.</w:t>
      </w:r>
    </w:p>
    <w:p>
      <w:pPr>
        <w:spacing w:after="80" w:line="293" w:lineRule="auto"/>
        <w:jc w:val="left"/>
      </w:pPr>
      <w:r>
        <w:rPr>
          <w:rFonts w:ascii="Times New Roman" w:hAnsi="Times New Roman" w:cs="Times New Roman"/>
          <w:b w:val="0"/>
          <w:i w:val="0"/>
          <w:sz w:val="22"/>
        </w:rPr>
        <w:t>Verification result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"document_id": "INS-2026-001",</w:t>
      </w:r>
    </w:p>
    <w:p>
      <w:pPr>
        <w:spacing w:after="0" w:before="0" w:line="240" w:lineRule="auto"/>
        <w:ind w:left="57"/>
        <w:jc w:val="left"/>
        <w:shd w:val="clear" w:fill="F2F2F2"/>
      </w:pPr>
      <w:r>
        <w:rPr>
          <w:rFonts w:ascii="Consolas" w:hAnsi="Consolas" w:cs="Consolas"/>
          <w:b w:val="0"/>
          <w:i w:val="0"/>
          <w:sz w:val="15"/>
        </w:rPr>
        <w:t xml:space="preserve">  "document_type": "INSURANCE_CERTIFICATE",</w:t>
      </w:r>
    </w:p>
    <w:p>
      <w:pPr>
        <w:spacing w:after="0" w:before="0" w:line="240" w:lineRule="auto"/>
        <w:ind w:left="57"/>
        <w:jc w:val="left"/>
        <w:shd w:val="clear" w:fill="F2F2F2"/>
      </w:pPr>
      <w:r>
        <w:rPr>
          <w:rFonts w:ascii="Consolas" w:hAnsi="Consolas" w:cs="Consolas"/>
          <w:b w:val="0"/>
          <w:i w:val="0"/>
          <w:sz w:val="15"/>
        </w:rPr>
        <w:t xml:space="preserve">  "verification_status": "VERIFIED",</w:t>
      </w:r>
    </w:p>
    <w:p>
      <w:pPr>
        <w:spacing w:after="0" w:before="0" w:line="240" w:lineRule="auto"/>
        <w:ind w:left="57"/>
        <w:jc w:val="left"/>
        <w:shd w:val="clear" w:fill="F2F2F2"/>
      </w:pPr>
      <w:r>
        <w:rPr>
          <w:rFonts w:ascii="Consolas" w:hAnsi="Consolas" w:cs="Consolas"/>
          <w:b w:val="0"/>
          <w:i w:val="0"/>
          <w:sz w:val="15"/>
        </w:rPr>
        <w:t xml:space="preserve">  "confidence_score": 0.92,</w:t>
      </w:r>
    </w:p>
    <w:p>
      <w:pPr>
        <w:spacing w:after="0" w:before="0" w:line="240" w:lineRule="auto"/>
        <w:ind w:left="57"/>
        <w:jc w:val="left"/>
        <w:shd w:val="clear" w:fill="F2F2F2"/>
      </w:pPr>
      <w:r>
        <w:rPr>
          <w:rFonts w:ascii="Consolas" w:hAnsi="Consolas" w:cs="Consolas"/>
          <w:b w:val="0"/>
          <w:i w:val="0"/>
          <w:sz w:val="15"/>
        </w:rPr>
        <w:t xml:space="preserve">  "extracted_fields": {</w:t>
      </w:r>
    </w:p>
    <w:p>
      <w:pPr>
        <w:spacing w:after="0" w:before="0" w:line="240" w:lineRule="auto"/>
        <w:ind w:left="57"/>
        <w:jc w:val="left"/>
        <w:shd w:val="clear" w:fill="F2F2F2"/>
      </w:pPr>
      <w:r>
        <w:rPr>
          <w:rFonts w:ascii="Consolas" w:hAnsi="Consolas" w:cs="Consolas"/>
          <w:b w:val="0"/>
          <w:i w:val="0"/>
          <w:sz w:val="15"/>
        </w:rPr>
        <w:t xml:space="preserve">    "policy_number": "POL-2026-001",</w:t>
      </w:r>
    </w:p>
    <w:p>
      <w:pPr>
        <w:spacing w:after="0" w:before="0" w:line="240" w:lineRule="auto"/>
        <w:ind w:left="57"/>
        <w:jc w:val="left"/>
        <w:shd w:val="clear" w:fill="F2F2F2"/>
      </w:pPr>
      <w:r>
        <w:rPr>
          <w:rFonts w:ascii="Consolas" w:hAnsi="Consolas" w:cs="Consolas"/>
          <w:b w:val="0"/>
          <w:i w:val="0"/>
          <w:sz w:val="15"/>
        </w:rPr>
        <w:t xml:space="preserve">    "insurer": "Allianz Egypt",</w:t>
      </w:r>
    </w:p>
    <w:p>
      <w:pPr>
        <w:spacing w:after="0" w:before="0" w:line="240" w:lineRule="auto"/>
        <w:ind w:left="57"/>
        <w:jc w:val="left"/>
        <w:shd w:val="clear" w:fill="F2F2F2"/>
      </w:pPr>
      <w:r>
        <w:rPr>
          <w:rFonts w:ascii="Consolas" w:hAnsi="Consolas" w:cs="Consolas"/>
          <w:b w:val="0"/>
          <w:i w:val="0"/>
          <w:sz w:val="15"/>
        </w:rPr>
        <w:t xml:space="preserve">    "insured_party": "Mekong Fresh Co.",</w:t>
      </w:r>
    </w:p>
    <w:p>
      <w:pPr>
        <w:spacing w:after="0" w:before="0" w:line="240" w:lineRule="auto"/>
        <w:ind w:left="57"/>
        <w:jc w:val="left"/>
        <w:shd w:val="clear" w:fill="F2F2F2"/>
      </w:pPr>
      <w:r>
        <w:rPr>
          <w:rFonts w:ascii="Consolas" w:hAnsi="Consolas" w:cs="Consolas"/>
          <w:b w:val="0"/>
          <w:i w:val="0"/>
          <w:sz w:val="15"/>
        </w:rPr>
        <w:t xml:space="preserve">    "vessel": "MSC FIONA",</w:t>
      </w:r>
    </w:p>
    <w:p>
      <w:pPr>
        <w:spacing w:after="0" w:before="0" w:line="240" w:lineRule="auto"/>
        <w:ind w:left="57"/>
        <w:jc w:val="left"/>
        <w:shd w:val="clear" w:fill="F2F2F2"/>
      </w:pPr>
      <w:r>
        <w:rPr>
          <w:rFonts w:ascii="Consolas" w:hAnsi="Consolas" w:cs="Consolas"/>
          <w:b w:val="0"/>
          <w:i w:val="0"/>
          <w:sz w:val="15"/>
        </w:rPr>
        <w:t xml:space="preserve">    "coverage_amount_usd": 105000,</w:t>
      </w:r>
    </w:p>
    <w:p>
      <w:pPr>
        <w:spacing w:after="0" w:before="0" w:line="240" w:lineRule="auto"/>
        <w:ind w:left="57"/>
        <w:jc w:val="left"/>
        <w:shd w:val="clear" w:fill="F2F2F2"/>
      </w:pPr>
      <w:r>
        <w:rPr>
          <w:rFonts w:ascii="Consolas" w:hAnsi="Consolas" w:cs="Consolas"/>
          <w:b w:val="0"/>
          <w:i w:val="0"/>
          <w:sz w:val="15"/>
        </w:rPr>
        <w:t xml:space="preserve">    "coverage_type": "All Risks",</w:t>
      </w:r>
    </w:p>
    <w:p>
      <w:pPr>
        <w:spacing w:after="0" w:before="0" w:line="240" w:lineRule="auto"/>
        <w:ind w:left="57"/>
        <w:jc w:val="left"/>
        <w:shd w:val="clear" w:fill="F2F2F2"/>
      </w:pPr>
      <w:r>
        <w:rPr>
          <w:rFonts w:ascii="Consolas" w:hAnsi="Consolas" w:cs="Consolas"/>
          <w:b w:val="0"/>
          <w:i w:val="0"/>
          <w:sz w:val="15"/>
        </w:rPr>
        <w:t xml:space="preserve">    "effective_date": "2026-06-15",</w:t>
      </w:r>
    </w:p>
    <w:p>
      <w:pPr>
        <w:spacing w:after="0" w:before="0" w:line="240" w:lineRule="auto"/>
        <w:ind w:left="57"/>
        <w:jc w:val="left"/>
        <w:shd w:val="clear" w:fill="F2F2F2"/>
      </w:pPr>
      <w:r>
        <w:rPr>
          <w:rFonts w:ascii="Consolas" w:hAnsi="Consolas" w:cs="Consolas"/>
          <w:b w:val="0"/>
          <w:i w:val="0"/>
          <w:sz w:val="15"/>
        </w:rPr>
        <w:t xml:space="preserve">    "expiry_date": "2026-12-15"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"validation_results": {</w:t>
      </w:r>
    </w:p>
    <w:p>
      <w:pPr>
        <w:spacing w:after="0" w:before="0" w:line="240" w:lineRule="auto"/>
        <w:ind w:left="57"/>
        <w:jc w:val="left"/>
        <w:shd w:val="clear" w:fill="F2F2F2"/>
      </w:pPr>
      <w:r>
        <w:rPr>
          <w:rFonts w:ascii="Consolas" w:hAnsi="Consolas" w:cs="Consolas"/>
          <w:b w:val="0"/>
          <w:i w:val="0"/>
          <w:sz w:val="15"/>
        </w:rPr>
        <w:t xml:space="preserve">    "policy_number": "VALID",</w:t>
      </w:r>
    </w:p>
    <w:p>
      <w:pPr>
        <w:spacing w:after="0" w:before="0" w:line="240" w:lineRule="auto"/>
        <w:ind w:left="57"/>
        <w:jc w:val="left"/>
        <w:shd w:val="clear" w:fill="F2F2F2"/>
      </w:pPr>
      <w:r>
        <w:rPr>
          <w:rFonts w:ascii="Consolas" w:hAnsi="Consolas" w:cs="Consolas"/>
          <w:b w:val="0"/>
          <w:i w:val="0"/>
          <w:sz w:val="15"/>
        </w:rPr>
        <w:t xml:space="preserve">    "insurer": "VERIFIED",</w:t>
      </w:r>
    </w:p>
    <w:p>
      <w:pPr>
        <w:spacing w:after="0" w:before="0" w:line="240" w:lineRule="auto"/>
        <w:ind w:left="57"/>
        <w:jc w:val="left"/>
        <w:shd w:val="clear" w:fill="F2F2F2"/>
      </w:pPr>
      <w:r>
        <w:rPr>
          <w:rFonts w:ascii="Consolas" w:hAnsi="Consolas" w:cs="Consolas"/>
          <w:b w:val="0"/>
          <w:i w:val="0"/>
          <w:sz w:val="15"/>
        </w:rPr>
        <w:t xml:space="preserve">    "insured_party": "MATCH",</w:t>
      </w:r>
    </w:p>
    <w:p>
      <w:pPr>
        <w:spacing w:after="0" w:before="0" w:line="240" w:lineRule="auto"/>
        <w:ind w:left="57"/>
        <w:jc w:val="left"/>
        <w:shd w:val="clear" w:fill="F2F2F2"/>
      </w:pPr>
      <w:r>
        <w:rPr>
          <w:rFonts w:ascii="Consolas" w:hAnsi="Consolas" w:cs="Consolas"/>
          <w:b w:val="0"/>
          <w:i w:val="0"/>
          <w:sz w:val="15"/>
        </w:rPr>
        <w:t xml:space="preserve">    "vessel": "MATCH",</w:t>
      </w:r>
    </w:p>
    <w:p>
      <w:pPr>
        <w:spacing w:after="0" w:before="0" w:line="240" w:lineRule="auto"/>
        <w:ind w:left="57"/>
        <w:jc w:val="left"/>
        <w:shd w:val="clear" w:fill="F2F2F2"/>
      </w:pPr>
      <w:r>
        <w:rPr>
          <w:rFonts w:ascii="Consolas" w:hAnsi="Consolas" w:cs="Consolas"/>
          <w:b w:val="0"/>
          <w:i w:val="0"/>
          <w:sz w:val="15"/>
        </w:rPr>
        <w:t xml:space="preserve">    "coverage_amount": "SUFFICIENT (105,000 ≥ 100,000)",</w:t>
      </w:r>
    </w:p>
    <w:p>
      <w:pPr>
        <w:spacing w:after="0" w:before="0" w:line="240" w:lineRule="auto"/>
        <w:ind w:left="57"/>
        <w:jc w:val="left"/>
        <w:shd w:val="clear" w:fill="F2F2F2"/>
      </w:pPr>
      <w:r>
        <w:rPr>
          <w:rFonts w:ascii="Consolas" w:hAnsi="Consolas" w:cs="Consolas"/>
          <w:b w:val="0"/>
          <w:i w:val="0"/>
          <w:sz w:val="15"/>
        </w:rPr>
        <w:t xml:space="preserve">    "coverage_type": "MATCH",</w:t>
      </w:r>
    </w:p>
    <w:p>
      <w:pPr>
        <w:spacing w:after="0" w:before="0" w:line="240" w:lineRule="auto"/>
        <w:ind w:left="57"/>
        <w:jc w:val="left"/>
        <w:shd w:val="clear" w:fill="F2F2F2"/>
      </w:pPr>
      <w:r>
        <w:rPr>
          <w:rFonts w:ascii="Consolas" w:hAnsi="Consolas" w:cs="Consolas"/>
          <w:b w:val="0"/>
          <w:i w:val="0"/>
          <w:sz w:val="15"/>
        </w:rPr>
        <w:t xml:space="preserve">    "dates": "VALID"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"fraud_indicators": [],</w:t>
      </w:r>
    </w:p>
    <w:p>
      <w:pPr>
        <w:spacing w:after="0" w:before="0" w:line="240" w:lineRule="auto"/>
        <w:ind w:left="57"/>
        <w:jc w:val="left"/>
        <w:shd w:val="clear" w:fill="F2F2F2"/>
      </w:pPr>
      <w:r>
        <w:rPr>
          <w:rFonts w:ascii="Consolas" w:hAnsi="Consolas" w:cs="Consolas"/>
          <w:b w:val="0"/>
          <w:i w:val="0"/>
          <w:sz w:val="15"/>
        </w:rPr>
        <w:t xml:space="preserve">  "verification_timestamp": "2026-06-20T10:30:00Z"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6.10.5.2 Fraud Detection</w:t>
      </w:r>
    </w:p>
    <w:p>
      <w:pPr>
        <w:spacing w:after="80" w:line="293" w:lineRule="auto"/>
        <w:jc w:val="left"/>
      </w:pPr>
      <w:r>
        <w:rPr>
          <w:rFonts w:ascii="Times New Roman" w:hAnsi="Times New Roman" w:cs="Times New Roman"/>
          <w:b w:val="0"/>
          <w:i w:val="0"/>
          <w:sz w:val="22"/>
        </w:rPr>
        <w:t>The system flags potential fraud: invalid policy number (not recognised by insurer); expired policy; mismatched insured party (does not match buyer/seller); mismatched vessel (does not match shipment); insufficient coverage (below the minimum required); fabricated document (signs of tampering or forgery).</w:t>
      </w:r>
    </w:p>
    <w:p>
      <w:pPr>
        <w:keepNext/>
        <w:spacing w:before="180" w:after="80"/>
        <w:outlineLvl w:val="2"/>
      </w:pPr>
      <w:r>
        <w:rPr>
          <w:rFonts w:ascii="Arial" w:hAnsi="Arial" w:cs="Arial"/>
          <w:b/>
          <w:i w:val="0"/>
          <w:color w:val="333333"/>
          <w:sz w:val="23"/>
        </w:rPr>
        <w:t>6.10.6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Insurance Requirements Flow</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Seller sees insurance requirements; if responsible, adds insurance cost to quote</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Insurance requirements are incorporated into the contract</w:t>
            </w:r>
          </w:p>
        </w:tc>
      </w:tr>
      <w:tr>
        <w:tc>
          <w:tcPr>
            <w:tcW w:type="dxa" w:w="4819"/>
          </w:tcPr>
          <w:p>
            <w:pPr>
              <w:spacing w:after="20" w:before="20" w:line="240" w:lineRule="auto"/>
            </w:pPr>
            <w:r/>
            <w:r>
              <w:rPr>
                <w:rFonts w:ascii="Arial" w:hAnsi="Arial" w:cs="Arial"/>
                <w:b w:val="0"/>
                <w:i w:val="0"/>
                <w:sz w:val="17"/>
              </w:rPr>
              <w:t>Phase 4 — Financing (Section 10)</w:t>
            </w:r>
          </w:p>
        </w:tc>
        <w:tc>
          <w:tcPr>
            <w:tcW w:type="dxa" w:w="4819"/>
          </w:tcPr>
          <w:p>
            <w:pPr>
              <w:spacing w:after="20" w:before="20" w:line="240" w:lineRule="auto"/>
            </w:pPr>
            <w:r/>
            <w:r>
              <w:rPr>
                <w:rFonts w:ascii="Arial" w:hAnsi="Arial" w:cs="Arial"/>
                <w:b w:val="0"/>
                <w:i w:val="0"/>
                <w:sz w:val="17"/>
              </w:rPr>
              <w:t>Financiers check insurance coverage; may require assignment of insurance</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Insurance certificate is verified; coverage is confirmed before loading</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Insurance coverage is confirmed before payment</w:t>
            </w:r>
          </w:p>
        </w:tc>
      </w:tr>
      <w:tr>
        <w:tc>
          <w:tcPr>
            <w:tcW w:type="dxa" w:w="4819"/>
          </w:tcPr>
          <w:p>
            <w:pPr>
              <w:spacing w:after="20" w:before="20" w:line="240" w:lineRule="auto"/>
            </w:pPr>
            <w:r/>
            <w:r>
              <w:rPr>
                <w:rFonts w:ascii="Arial" w:hAnsi="Arial" w:cs="Arial"/>
                <w:b w:val="0"/>
                <w:i w:val="0"/>
                <w:sz w:val="17"/>
              </w:rPr>
              <w:t>Phase 7 — Distressed Cargo (Section 14)</w:t>
            </w:r>
          </w:p>
        </w:tc>
        <w:tc>
          <w:tcPr>
            <w:tcW w:type="dxa" w:w="4819"/>
          </w:tcPr>
          <w:p>
            <w:pPr>
              <w:spacing w:after="20" w:before="20" w:line="240" w:lineRule="auto"/>
            </w:pPr>
            <w:r/>
            <w:r>
              <w:rPr>
                <w:rFonts w:ascii="Arial" w:hAnsi="Arial" w:cs="Arial"/>
                <w:b w:val="0"/>
                <w:i w:val="0"/>
                <w:sz w:val="17"/>
              </w:rPr>
              <w:t>Insurance claim workflow is triggered if cargo is distressed</w:t>
            </w:r>
          </w:p>
        </w:tc>
      </w:tr>
      <w:tr>
        <w:tc>
          <w:tcPr>
            <w:tcW w:type="dxa" w:w="4819"/>
          </w:tcPr>
          <w:p>
            <w:pPr>
              <w:spacing w:after="20" w:before="20" w:line="240" w:lineRule="auto"/>
            </w:pPr>
            <w:r/>
            <w:r>
              <w:rPr>
                <w:rFonts w:ascii="Arial" w:hAnsi="Arial" w:cs="Arial"/>
                <w:b w:val="0"/>
                <w:i w:val="0"/>
                <w:sz w:val="17"/>
              </w:rPr>
              <w:t>Phase 8 — Dispute (Section 14)</w:t>
            </w:r>
          </w:p>
        </w:tc>
        <w:tc>
          <w:tcPr>
            <w:tcW w:type="dxa" w:w="4819"/>
          </w:tcPr>
          <w:p>
            <w:pPr>
              <w:spacing w:after="20" w:before="20" w:line="240" w:lineRule="auto"/>
            </w:pPr>
            <w:r/>
            <w:r>
              <w:rPr>
                <w:rFonts w:ascii="Arial" w:hAnsi="Arial" w:cs="Arial"/>
                <w:b w:val="0"/>
                <w:i w:val="0"/>
                <w:sz w:val="17"/>
              </w:rPr>
              <w:t>Insurance coverage is part of the evidence package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6.10.7 Governor Gates (Insurance)</w:t>
      </w:r>
    </w:p>
    <w:p>
      <w:pPr>
        <w:spacing w:after="80" w:line="293" w:lineRule="auto"/>
        <w:jc w:val="left"/>
      </w:pPr>
      <w:r>
        <w:rPr>
          <w:rFonts w:ascii="Times New Roman" w:hAnsi="Times New Roman" w:cs="Times New Roman"/>
          <w:b w:val="0"/>
          <w:i w:val="0"/>
          <w:sz w:val="22"/>
        </w:rPr>
        <w:t>Example CONDITIONAL response (missing insurance):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insurance is required for CIF incoterm. Please specify the insurance requirements.",</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"insurance_required",</w:t>
      </w:r>
    </w:p>
    <w:p>
      <w:pPr>
        <w:spacing w:after="0" w:before="0" w:line="240" w:lineRule="auto"/>
        <w:ind w:left="57"/>
        <w:jc w:val="left"/>
        <w:shd w:val="clear" w:fill="F2F2F2"/>
      </w:pPr>
      <w:r>
        <w:rPr>
          <w:rFonts w:ascii="Consolas" w:hAnsi="Consolas" w:cs="Consolas"/>
          <w:b w:val="0"/>
          <w:i w:val="0"/>
          <w:sz w:val="15"/>
        </w:rPr>
        <w:t xml:space="preserve">        "label": "Specify insurance requirements",</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6.10.8 Insurance Types Reference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Code</w:t>
            </w:r>
          </w:p>
        </w:tc>
        <w:tc>
          <w:tcPr>
            <w:tcW w:type="dxa" w:w="2409"/>
            <w:shd w:val="clear" w:fill="D9E2F3"/>
          </w:tcPr>
          <w:p>
            <w:pPr>
              <w:spacing w:after="20" w:before="20" w:line="240" w:lineRule="auto"/>
            </w:pPr>
            <w:r/>
            <w:r>
              <w:rPr>
                <w:rFonts w:ascii="Arial" w:hAnsi="Arial" w:cs="Arial"/>
                <w:b/>
                <w:i w:val="0"/>
                <w:sz w:val="18"/>
              </w:rPr>
              <w:t>Insurance Type</w:t>
            </w:r>
          </w:p>
        </w:tc>
        <w:tc>
          <w:tcPr>
            <w:tcW w:type="dxa" w:w="2409"/>
            <w:shd w:val="clear" w:fill="D9E2F3"/>
          </w:tcPr>
          <w:p>
            <w:pPr>
              <w:spacing w:after="20" w:before="20" w:line="240" w:lineRule="auto"/>
            </w:pPr>
            <w:r/>
            <w:r>
              <w:rPr>
                <w:rFonts w:ascii="Arial" w:hAnsi="Arial" w:cs="Arial"/>
                <w:b/>
                <w:i w:val="0"/>
                <w:sz w:val="18"/>
              </w:rPr>
              <w:t>Coverage Level</w:t>
            </w:r>
          </w:p>
        </w:tc>
        <w:tc>
          <w:tcPr>
            <w:tcW w:type="dxa" w:w="2409"/>
            <w:shd w:val="clear" w:fill="D9E2F3"/>
          </w:tcPr>
          <w:p>
            <w:pPr>
              <w:spacing w:after="20" w:before="20" w:line="240" w:lineRule="auto"/>
            </w:pPr>
            <w:r/>
            <w:r>
              <w:rPr>
                <w:rFonts w:ascii="Arial" w:hAnsi="Arial" w:cs="Arial"/>
                <w:b/>
                <w:i w:val="0"/>
                <w:sz w:val="18"/>
              </w:rPr>
              <w:t>Typical Use</w:t>
            </w:r>
          </w:p>
        </w:tc>
      </w:tr>
      <w:tr>
        <w:tc>
          <w:tcPr>
            <w:tcW w:type="dxa" w:w="2409"/>
          </w:tcPr>
          <w:p>
            <w:pPr>
              <w:spacing w:after="20" w:before="20" w:line="240" w:lineRule="auto"/>
            </w:pPr>
            <w:r/>
            <w:r>
              <w:rPr>
                <w:rFonts w:ascii="Arial" w:hAnsi="Arial" w:cs="Arial"/>
                <w:b w:val="0"/>
                <w:i w:val="0"/>
                <w:sz w:val="17"/>
              </w:rPr>
              <w:t>ALL_RISKS</w:t>
            </w:r>
          </w:p>
        </w:tc>
        <w:tc>
          <w:tcPr>
            <w:tcW w:type="dxa" w:w="2409"/>
          </w:tcPr>
          <w:p>
            <w:pPr>
              <w:spacing w:after="20" w:before="20" w:line="240" w:lineRule="auto"/>
            </w:pPr>
            <w:r/>
            <w:r>
              <w:rPr>
                <w:rFonts w:ascii="Arial" w:hAnsi="Arial" w:cs="Arial"/>
                <w:b w:val="0"/>
                <w:i w:val="0"/>
                <w:sz w:val="17"/>
              </w:rPr>
              <w:t>All Risks</w:t>
            </w:r>
          </w:p>
        </w:tc>
        <w:tc>
          <w:tcPr>
            <w:tcW w:type="dxa" w:w="2409"/>
          </w:tcPr>
          <w:p>
            <w:pPr>
              <w:spacing w:after="20" w:before="20" w:line="240" w:lineRule="auto"/>
            </w:pPr>
            <w:r/>
            <w:r>
              <w:rPr>
                <w:rFonts w:ascii="Arial" w:hAnsi="Arial" w:cs="Arial"/>
                <w:b w:val="0"/>
                <w:i w:val="0"/>
                <w:sz w:val="17"/>
              </w:rPr>
              <w:t>Broad</w:t>
            </w:r>
          </w:p>
        </w:tc>
        <w:tc>
          <w:tcPr>
            <w:tcW w:type="dxa" w:w="2409"/>
          </w:tcPr>
          <w:p>
            <w:pPr>
              <w:spacing w:after="20" w:before="20" w:line="240" w:lineRule="auto"/>
            </w:pPr>
            <w:r/>
            <w:r>
              <w:rPr>
                <w:rFonts w:ascii="Arial" w:hAnsi="Arial" w:cs="Arial"/>
                <w:b w:val="0"/>
                <w:i w:val="0"/>
                <w:sz w:val="17"/>
              </w:rPr>
              <w:t>General cargo, food products</w:t>
            </w:r>
          </w:p>
        </w:tc>
      </w:tr>
      <w:tr>
        <w:tc>
          <w:tcPr>
            <w:tcW w:type="dxa" w:w="2409"/>
          </w:tcPr>
          <w:p>
            <w:pPr>
              <w:spacing w:after="20" w:before="20" w:line="240" w:lineRule="auto"/>
            </w:pPr>
            <w:r/>
            <w:r>
              <w:rPr>
                <w:rFonts w:ascii="Arial" w:hAnsi="Arial" w:cs="Arial"/>
                <w:b w:val="0"/>
                <w:i w:val="0"/>
                <w:sz w:val="17"/>
              </w:rPr>
              <w:t>ICC_A</w:t>
            </w:r>
          </w:p>
        </w:tc>
        <w:tc>
          <w:tcPr>
            <w:tcW w:type="dxa" w:w="2409"/>
          </w:tcPr>
          <w:p>
            <w:pPr>
              <w:spacing w:after="20" w:before="20" w:line="240" w:lineRule="auto"/>
            </w:pPr>
            <w:r/>
            <w:r>
              <w:rPr>
                <w:rFonts w:ascii="Arial" w:hAnsi="Arial" w:cs="Arial"/>
                <w:b w:val="0"/>
                <w:i w:val="0"/>
                <w:sz w:val="17"/>
              </w:rPr>
              <w:t>Institute Cargo Clauses (A)</w:t>
            </w:r>
          </w:p>
        </w:tc>
        <w:tc>
          <w:tcPr>
            <w:tcW w:type="dxa" w:w="2409"/>
          </w:tcPr>
          <w:p>
            <w:pPr>
              <w:spacing w:after="20" w:before="20" w:line="240" w:lineRule="auto"/>
            </w:pPr>
            <w:r/>
            <w:r>
              <w:rPr>
                <w:rFonts w:ascii="Arial" w:hAnsi="Arial" w:cs="Arial"/>
                <w:b w:val="0"/>
                <w:i w:val="0"/>
                <w:sz w:val="17"/>
              </w:rPr>
              <w:t>Broad</w:t>
            </w:r>
          </w:p>
        </w:tc>
        <w:tc>
          <w:tcPr>
            <w:tcW w:type="dxa" w:w="2409"/>
          </w:tcPr>
          <w:p>
            <w:pPr>
              <w:spacing w:after="20" w:before="20" w:line="240" w:lineRule="auto"/>
            </w:pPr>
            <w:r/>
            <w:r>
              <w:rPr>
                <w:rFonts w:ascii="Arial" w:hAnsi="Arial" w:cs="Arial"/>
                <w:b w:val="0"/>
                <w:i w:val="0"/>
                <w:sz w:val="17"/>
              </w:rPr>
              <w:t>All-risk cover per ICC (A)</w:t>
            </w:r>
          </w:p>
        </w:tc>
      </w:tr>
      <w:tr>
        <w:tc>
          <w:tcPr>
            <w:tcW w:type="dxa" w:w="2409"/>
          </w:tcPr>
          <w:p>
            <w:pPr>
              <w:spacing w:after="20" w:before="20" w:line="240" w:lineRule="auto"/>
            </w:pPr>
            <w:r/>
            <w:r>
              <w:rPr>
                <w:rFonts w:ascii="Arial" w:hAnsi="Arial" w:cs="Arial"/>
                <w:b w:val="0"/>
                <w:i w:val="0"/>
                <w:sz w:val="17"/>
              </w:rPr>
              <w:t>ICC_B</w:t>
            </w:r>
          </w:p>
        </w:tc>
        <w:tc>
          <w:tcPr>
            <w:tcW w:type="dxa" w:w="2409"/>
          </w:tcPr>
          <w:p>
            <w:pPr>
              <w:spacing w:after="20" w:before="20" w:line="240" w:lineRule="auto"/>
            </w:pPr>
            <w:r/>
            <w:r>
              <w:rPr>
                <w:rFonts w:ascii="Arial" w:hAnsi="Arial" w:cs="Arial"/>
                <w:b w:val="0"/>
                <w:i w:val="0"/>
                <w:sz w:val="17"/>
              </w:rPr>
              <w:t>Institute Cargo Clauses (B)</w:t>
            </w:r>
          </w:p>
        </w:tc>
        <w:tc>
          <w:tcPr>
            <w:tcW w:type="dxa" w:w="2409"/>
          </w:tcPr>
          <w:p>
            <w:pPr>
              <w:spacing w:after="20" w:before="20" w:line="240" w:lineRule="auto"/>
            </w:pPr>
            <w:r/>
            <w:r>
              <w:rPr>
                <w:rFonts w:ascii="Arial" w:hAnsi="Arial" w:cs="Arial"/>
                <w:b w:val="0"/>
                <w:i w:val="0"/>
                <w:sz w:val="17"/>
              </w:rPr>
              <w:t>Medium</w:t>
            </w:r>
          </w:p>
        </w:tc>
        <w:tc>
          <w:tcPr>
            <w:tcW w:type="dxa" w:w="2409"/>
          </w:tcPr>
          <w:p>
            <w:pPr>
              <w:spacing w:after="20" w:before="20" w:line="240" w:lineRule="auto"/>
            </w:pPr>
            <w:r/>
            <w:r>
              <w:rPr>
                <w:rFonts w:ascii="Arial" w:hAnsi="Arial" w:cs="Arial"/>
                <w:b w:val="0"/>
                <w:i w:val="0"/>
                <w:sz w:val="17"/>
              </w:rPr>
              <w:t>Named perils per ICC (B)</w:t>
            </w:r>
          </w:p>
        </w:tc>
      </w:tr>
      <w:tr>
        <w:tc>
          <w:tcPr>
            <w:tcW w:type="dxa" w:w="2409"/>
          </w:tcPr>
          <w:p>
            <w:pPr>
              <w:spacing w:after="20" w:before="20" w:line="240" w:lineRule="auto"/>
            </w:pPr>
            <w:r/>
            <w:r>
              <w:rPr>
                <w:rFonts w:ascii="Arial" w:hAnsi="Arial" w:cs="Arial"/>
                <w:b w:val="0"/>
                <w:i w:val="0"/>
                <w:sz w:val="17"/>
              </w:rPr>
              <w:t>ICC_C</w:t>
            </w:r>
          </w:p>
        </w:tc>
        <w:tc>
          <w:tcPr>
            <w:tcW w:type="dxa" w:w="2409"/>
          </w:tcPr>
          <w:p>
            <w:pPr>
              <w:spacing w:after="20" w:before="20" w:line="240" w:lineRule="auto"/>
            </w:pPr>
            <w:r/>
            <w:r>
              <w:rPr>
                <w:rFonts w:ascii="Arial" w:hAnsi="Arial" w:cs="Arial"/>
                <w:b w:val="0"/>
                <w:i w:val="0"/>
                <w:sz w:val="17"/>
              </w:rPr>
              <w:t>Institute Cargo Clauses (C)</w:t>
            </w:r>
          </w:p>
        </w:tc>
        <w:tc>
          <w:tcPr>
            <w:tcW w:type="dxa" w:w="2409"/>
          </w:tcPr>
          <w:p>
            <w:pPr>
              <w:spacing w:after="20" w:before="20" w:line="240" w:lineRule="auto"/>
            </w:pPr>
            <w:r/>
            <w:r>
              <w:rPr>
                <w:rFonts w:ascii="Arial" w:hAnsi="Arial" w:cs="Arial"/>
                <w:b w:val="0"/>
                <w:i w:val="0"/>
                <w:sz w:val="17"/>
              </w:rPr>
              <w:t>Limited</w:t>
            </w:r>
          </w:p>
        </w:tc>
        <w:tc>
          <w:tcPr>
            <w:tcW w:type="dxa" w:w="2409"/>
          </w:tcPr>
          <w:p>
            <w:pPr>
              <w:spacing w:after="20" w:before="20" w:line="240" w:lineRule="auto"/>
            </w:pPr>
            <w:r/>
            <w:r>
              <w:rPr>
                <w:rFonts w:ascii="Arial" w:hAnsi="Arial" w:cs="Arial"/>
                <w:b w:val="0"/>
                <w:i w:val="0"/>
                <w:sz w:val="17"/>
              </w:rPr>
              <w:t>Basic perils per ICC (C)</w:t>
            </w:r>
          </w:p>
        </w:tc>
      </w:tr>
      <w:tr>
        <w:tc>
          <w:tcPr>
            <w:tcW w:type="dxa" w:w="2409"/>
          </w:tcPr>
          <w:p>
            <w:pPr>
              <w:spacing w:after="20" w:before="20" w:line="240" w:lineRule="auto"/>
            </w:pPr>
            <w:r/>
            <w:r>
              <w:rPr>
                <w:rFonts w:ascii="Arial" w:hAnsi="Arial" w:cs="Arial"/>
                <w:b w:val="0"/>
                <w:i w:val="0"/>
                <w:sz w:val="17"/>
              </w:rPr>
              <w:t>FPA</w:t>
            </w:r>
          </w:p>
        </w:tc>
        <w:tc>
          <w:tcPr>
            <w:tcW w:type="dxa" w:w="2409"/>
          </w:tcPr>
          <w:p>
            <w:pPr>
              <w:spacing w:after="20" w:before="20" w:line="240" w:lineRule="auto"/>
            </w:pPr>
            <w:r/>
            <w:r>
              <w:rPr>
                <w:rFonts w:ascii="Arial" w:hAnsi="Arial" w:cs="Arial"/>
                <w:b w:val="0"/>
                <w:i w:val="0"/>
                <w:sz w:val="17"/>
              </w:rPr>
              <w:t>Free of Particular Average</w:t>
            </w:r>
          </w:p>
        </w:tc>
        <w:tc>
          <w:tcPr>
            <w:tcW w:type="dxa" w:w="2409"/>
          </w:tcPr>
          <w:p>
            <w:pPr>
              <w:spacing w:after="20" w:before="20" w:line="240" w:lineRule="auto"/>
            </w:pPr>
            <w:r/>
            <w:r>
              <w:rPr>
                <w:rFonts w:ascii="Arial" w:hAnsi="Arial" w:cs="Arial"/>
                <w:b w:val="0"/>
                <w:i w:val="0"/>
                <w:sz w:val="17"/>
              </w:rPr>
              <w:t>Limited</w:t>
            </w:r>
          </w:p>
        </w:tc>
        <w:tc>
          <w:tcPr>
            <w:tcW w:type="dxa" w:w="2409"/>
          </w:tcPr>
          <w:p>
            <w:pPr>
              <w:spacing w:after="20" w:before="20" w:line="240" w:lineRule="auto"/>
            </w:pPr>
            <w:r/>
            <w:r>
              <w:rPr>
                <w:rFonts w:ascii="Arial" w:hAnsi="Arial" w:cs="Arial"/>
                <w:b w:val="0"/>
                <w:i w:val="0"/>
                <w:sz w:val="17"/>
              </w:rPr>
              <w:t>Total loss only</w:t>
            </w:r>
          </w:p>
        </w:tc>
      </w:tr>
      <w:tr>
        <w:tc>
          <w:tcPr>
            <w:tcW w:type="dxa" w:w="2409"/>
          </w:tcPr>
          <w:p>
            <w:pPr>
              <w:spacing w:after="20" w:before="20" w:line="240" w:lineRule="auto"/>
            </w:pPr>
            <w:r/>
            <w:r>
              <w:rPr>
                <w:rFonts w:ascii="Arial" w:hAnsi="Arial" w:cs="Arial"/>
                <w:b w:val="0"/>
                <w:i w:val="0"/>
                <w:sz w:val="17"/>
              </w:rPr>
              <w:t>WA</w:t>
            </w:r>
          </w:p>
        </w:tc>
        <w:tc>
          <w:tcPr>
            <w:tcW w:type="dxa" w:w="2409"/>
          </w:tcPr>
          <w:p>
            <w:pPr>
              <w:spacing w:after="20" w:before="20" w:line="240" w:lineRule="auto"/>
            </w:pPr>
            <w:r/>
            <w:r>
              <w:rPr>
                <w:rFonts w:ascii="Arial" w:hAnsi="Arial" w:cs="Arial"/>
                <w:b w:val="0"/>
                <w:i w:val="0"/>
                <w:sz w:val="17"/>
              </w:rPr>
              <w:t>With Average</w:t>
            </w:r>
          </w:p>
        </w:tc>
        <w:tc>
          <w:tcPr>
            <w:tcW w:type="dxa" w:w="2409"/>
          </w:tcPr>
          <w:p>
            <w:pPr>
              <w:spacing w:after="20" w:before="20" w:line="240" w:lineRule="auto"/>
            </w:pPr>
            <w:r/>
            <w:r>
              <w:rPr>
                <w:rFonts w:ascii="Arial" w:hAnsi="Arial" w:cs="Arial"/>
                <w:b w:val="0"/>
                <w:i w:val="0"/>
                <w:sz w:val="17"/>
              </w:rPr>
              <w:t>Medium</w:t>
            </w:r>
          </w:p>
        </w:tc>
        <w:tc>
          <w:tcPr>
            <w:tcW w:type="dxa" w:w="2409"/>
          </w:tcPr>
          <w:p>
            <w:pPr>
              <w:spacing w:after="20" w:before="20" w:line="240" w:lineRule="auto"/>
            </w:pPr>
            <w:r/>
            <w:r>
              <w:rPr>
                <w:rFonts w:ascii="Arial" w:hAnsi="Arial" w:cs="Arial"/>
                <w:b w:val="0"/>
                <w:i w:val="0"/>
                <w:sz w:val="17"/>
              </w:rPr>
              <w:t>Partial average included</w:t>
            </w:r>
          </w:p>
        </w:tc>
      </w:tr>
      <w:tr>
        <w:tc>
          <w:tcPr>
            <w:tcW w:type="dxa" w:w="2409"/>
          </w:tcPr>
          <w:p>
            <w:pPr>
              <w:spacing w:after="20" w:before="20" w:line="240" w:lineRule="auto"/>
            </w:pPr>
            <w:r/>
            <w:r>
              <w:rPr>
                <w:rFonts w:ascii="Arial" w:hAnsi="Arial" w:cs="Arial"/>
                <w:b w:val="0"/>
                <w:i w:val="0"/>
                <w:sz w:val="17"/>
              </w:rPr>
              <w:t>REEFER</w:t>
            </w:r>
          </w:p>
        </w:tc>
        <w:tc>
          <w:tcPr>
            <w:tcW w:type="dxa" w:w="2409"/>
          </w:tcPr>
          <w:p>
            <w:pPr>
              <w:spacing w:after="20" w:before="20" w:line="240" w:lineRule="auto"/>
            </w:pPr>
            <w:r/>
            <w:r>
              <w:rPr>
                <w:rFonts w:ascii="Arial" w:hAnsi="Arial" w:cs="Arial"/>
                <w:b w:val="0"/>
                <w:i w:val="0"/>
                <w:sz w:val="17"/>
              </w:rPr>
              <w:t>Reefer Coverage</w:t>
            </w:r>
          </w:p>
        </w:tc>
        <w:tc>
          <w:tcPr>
            <w:tcW w:type="dxa" w:w="2409"/>
          </w:tcPr>
          <w:p>
            <w:pPr>
              <w:spacing w:after="20" w:before="20" w:line="240" w:lineRule="auto"/>
            </w:pPr>
            <w:r/>
            <w:r>
              <w:rPr>
                <w:rFonts w:ascii="Arial" w:hAnsi="Arial" w:cs="Arial"/>
                <w:b w:val="0"/>
                <w:i w:val="0"/>
                <w:sz w:val="17"/>
              </w:rPr>
              <w:t>Specialised</w:t>
            </w:r>
          </w:p>
        </w:tc>
        <w:tc>
          <w:tcPr>
            <w:tcW w:type="dxa" w:w="2409"/>
          </w:tcPr>
          <w:p>
            <w:pPr>
              <w:spacing w:after="20" w:before="20" w:line="240" w:lineRule="auto"/>
            </w:pPr>
            <w:r/>
            <w:r>
              <w:rPr>
                <w:rFonts w:ascii="Arial" w:hAnsi="Arial" w:cs="Arial"/>
                <w:b w:val="0"/>
                <w:i w:val="0"/>
                <w:sz w:val="17"/>
              </w:rPr>
              <w:t>Temperature-controlled cargo</w:t>
            </w:r>
          </w:p>
        </w:tc>
      </w:tr>
      <w:tr>
        <w:tc>
          <w:tcPr>
            <w:tcW w:type="dxa" w:w="2409"/>
          </w:tcPr>
          <w:p>
            <w:pPr>
              <w:spacing w:after="20" w:before="20" w:line="240" w:lineRule="auto"/>
            </w:pPr>
            <w:r/>
            <w:r>
              <w:rPr>
                <w:rFonts w:ascii="Arial" w:hAnsi="Arial" w:cs="Arial"/>
                <w:b w:val="0"/>
                <w:i w:val="0"/>
                <w:sz w:val="17"/>
              </w:rPr>
              <w:t>LIVESTOCK</w:t>
            </w:r>
          </w:p>
        </w:tc>
        <w:tc>
          <w:tcPr>
            <w:tcW w:type="dxa" w:w="2409"/>
          </w:tcPr>
          <w:p>
            <w:pPr>
              <w:spacing w:after="20" w:before="20" w:line="240" w:lineRule="auto"/>
            </w:pPr>
            <w:r/>
            <w:r>
              <w:rPr>
                <w:rFonts w:ascii="Arial" w:hAnsi="Arial" w:cs="Arial"/>
                <w:b w:val="0"/>
                <w:i w:val="0"/>
                <w:sz w:val="17"/>
              </w:rPr>
              <w:t>Livestock Coverage</w:t>
            </w:r>
          </w:p>
        </w:tc>
        <w:tc>
          <w:tcPr>
            <w:tcW w:type="dxa" w:w="2409"/>
          </w:tcPr>
          <w:p>
            <w:pPr>
              <w:spacing w:after="20" w:before="20" w:line="240" w:lineRule="auto"/>
            </w:pPr>
            <w:r/>
            <w:r>
              <w:rPr>
                <w:rFonts w:ascii="Arial" w:hAnsi="Arial" w:cs="Arial"/>
                <w:b w:val="0"/>
                <w:i w:val="0"/>
                <w:sz w:val="17"/>
              </w:rPr>
              <w:t>Specialised</w:t>
            </w:r>
          </w:p>
        </w:tc>
        <w:tc>
          <w:tcPr>
            <w:tcW w:type="dxa" w:w="2409"/>
          </w:tcPr>
          <w:p>
            <w:pPr>
              <w:spacing w:after="20" w:before="20" w:line="240" w:lineRule="auto"/>
            </w:pPr>
            <w:r/>
            <w:r>
              <w:rPr>
                <w:rFonts w:ascii="Arial" w:hAnsi="Arial" w:cs="Arial"/>
                <w:b w:val="0"/>
                <w:i w:val="0"/>
                <w:sz w:val="17"/>
              </w:rPr>
              <w:t>Live animals</w:t>
            </w:r>
          </w:p>
        </w:tc>
      </w:tr>
      <w:tr>
        <w:tc>
          <w:tcPr>
            <w:tcW w:type="dxa" w:w="2409"/>
          </w:tcPr>
          <w:p>
            <w:pPr>
              <w:spacing w:after="20" w:before="20" w:line="240" w:lineRule="auto"/>
            </w:pPr>
            <w:r/>
            <w:r>
              <w:rPr>
                <w:rFonts w:ascii="Arial" w:hAnsi="Arial" w:cs="Arial"/>
                <w:b w:val="0"/>
                <w:i w:val="0"/>
                <w:sz w:val="17"/>
              </w:rPr>
              <w:t>WAR</w:t>
            </w:r>
          </w:p>
        </w:tc>
        <w:tc>
          <w:tcPr>
            <w:tcW w:type="dxa" w:w="2409"/>
          </w:tcPr>
          <w:p>
            <w:pPr>
              <w:spacing w:after="20" w:before="20" w:line="240" w:lineRule="auto"/>
            </w:pPr>
            <w:r/>
            <w:r>
              <w:rPr>
                <w:rFonts w:ascii="Arial" w:hAnsi="Arial" w:cs="Arial"/>
                <w:b w:val="0"/>
                <w:i w:val="0"/>
                <w:sz w:val="17"/>
              </w:rPr>
              <w:t>War Clauses</w:t>
            </w:r>
          </w:p>
        </w:tc>
        <w:tc>
          <w:tcPr>
            <w:tcW w:type="dxa" w:w="2409"/>
          </w:tcPr>
          <w:p>
            <w:pPr>
              <w:spacing w:after="20" w:before="20" w:line="240" w:lineRule="auto"/>
            </w:pPr>
            <w:r/>
            <w:r>
              <w:rPr>
                <w:rFonts w:ascii="Arial" w:hAnsi="Arial" w:cs="Arial"/>
                <w:b w:val="0"/>
                <w:i w:val="0"/>
                <w:sz w:val="17"/>
              </w:rPr>
              <w:t>Specialised</w:t>
            </w:r>
          </w:p>
        </w:tc>
        <w:tc>
          <w:tcPr>
            <w:tcW w:type="dxa" w:w="2409"/>
          </w:tcPr>
          <w:p>
            <w:pPr>
              <w:spacing w:after="20" w:before="20" w:line="240" w:lineRule="auto"/>
            </w:pPr>
            <w:r/>
            <w:r>
              <w:rPr>
                <w:rFonts w:ascii="Arial" w:hAnsi="Arial" w:cs="Arial"/>
                <w:b w:val="0"/>
                <w:i w:val="0"/>
                <w:sz w:val="17"/>
              </w:rPr>
              <w:t>War and conflict risks</w:t>
            </w:r>
          </w:p>
        </w:tc>
      </w:tr>
      <w:tr>
        <w:tc>
          <w:tcPr>
            <w:tcW w:type="dxa" w:w="2409"/>
          </w:tcPr>
          <w:p>
            <w:pPr>
              <w:spacing w:after="20" w:before="20" w:line="240" w:lineRule="auto"/>
            </w:pPr>
            <w:r/>
            <w:r>
              <w:rPr>
                <w:rFonts w:ascii="Arial" w:hAnsi="Arial" w:cs="Arial"/>
                <w:b w:val="0"/>
                <w:i w:val="0"/>
                <w:sz w:val="17"/>
              </w:rPr>
              <w:t>STRIKES</w:t>
            </w:r>
          </w:p>
        </w:tc>
        <w:tc>
          <w:tcPr>
            <w:tcW w:type="dxa" w:w="2409"/>
          </w:tcPr>
          <w:p>
            <w:pPr>
              <w:spacing w:after="20" w:before="20" w:line="240" w:lineRule="auto"/>
            </w:pPr>
            <w:r/>
            <w:r>
              <w:rPr>
                <w:rFonts w:ascii="Arial" w:hAnsi="Arial" w:cs="Arial"/>
                <w:b w:val="0"/>
                <w:i w:val="0"/>
                <w:sz w:val="17"/>
              </w:rPr>
              <w:t>Strikes Clauses</w:t>
            </w:r>
          </w:p>
        </w:tc>
        <w:tc>
          <w:tcPr>
            <w:tcW w:type="dxa" w:w="2409"/>
          </w:tcPr>
          <w:p>
            <w:pPr>
              <w:spacing w:after="20" w:before="20" w:line="240" w:lineRule="auto"/>
            </w:pPr>
            <w:r/>
            <w:r>
              <w:rPr>
                <w:rFonts w:ascii="Arial" w:hAnsi="Arial" w:cs="Arial"/>
                <w:b w:val="0"/>
                <w:i w:val="0"/>
                <w:sz w:val="17"/>
              </w:rPr>
              <w:t>Specialised</w:t>
            </w:r>
          </w:p>
        </w:tc>
        <w:tc>
          <w:tcPr>
            <w:tcW w:type="dxa" w:w="2409"/>
          </w:tcPr>
          <w:p>
            <w:pPr>
              <w:spacing w:after="20" w:before="20" w:line="240" w:lineRule="auto"/>
            </w:pPr>
            <w:r/>
            <w:r>
              <w:rPr>
                <w:rFonts w:ascii="Arial" w:hAnsi="Arial" w:cs="Arial"/>
                <w:b w:val="0"/>
                <w:i w:val="0"/>
                <w:sz w:val="17"/>
              </w:rPr>
              <w:t>Strike, riot, civil commotion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bilingual reference table `insurance_types_ref` holds the codes, English and Arabic names, descriptions, coverage levels (BROAD, MEDIUM, LIMITED, SPECIALISED), and typical use.</w:t>
      </w:r>
    </w:p>
    <w:p>
      <w:pPr>
        <w:keepNext/>
        <w:spacing w:before="180" w:after="80"/>
        <w:outlineLvl w:val="2"/>
      </w:pPr>
      <w:r>
        <w:rPr>
          <w:rFonts w:ascii="Arial" w:hAnsi="Arial" w:cs="Arial"/>
          <w:b/>
          <w:i w:val="0"/>
          <w:color w:val="333333"/>
          <w:sz w:val="23"/>
        </w:rPr>
        <w:t>6.10.9 Database Schema Additions (Insurance)</w:t>
      </w:r>
    </w:p>
    <w:p>
      <w:pPr>
        <w:spacing w:after="0" w:before="0" w:line="240" w:lineRule="auto"/>
        <w:ind w:left="57"/>
        <w:jc w:val="left"/>
        <w:shd w:val="clear" w:fill="F2F2F2"/>
      </w:pPr>
      <w:r>
        <w:rPr>
          <w:rFonts w:ascii="Consolas" w:hAnsi="Consolas" w:cs="Consolas"/>
          <w:b w:val="0"/>
          <w:i w:val="0"/>
          <w:sz w:val="15"/>
        </w:rPr>
        <w:t>-- Insurance requirements</w:t>
      </w:r>
    </w:p>
    <w:p>
      <w:pPr>
        <w:spacing w:after="0" w:before="0" w:line="240" w:lineRule="auto"/>
        <w:ind w:left="57"/>
        <w:jc w:val="left"/>
        <w:shd w:val="clear" w:fill="F2F2F2"/>
      </w:pPr>
      <w:r>
        <w:rPr>
          <w:rFonts w:ascii="Consolas" w:hAnsi="Consolas" w:cs="Consolas"/>
          <w:b w:val="0"/>
          <w:i w:val="0"/>
          <w:sz w:val="15"/>
        </w:rPr>
        <w:t>CREATE TABLE insurance_requirements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requirement TEXT NOT NULL, -- 'REQUIRED', 'OPTIONAL', 'NOT_REQUIRED'</w:t>
      </w:r>
    </w:p>
    <w:p>
      <w:pPr>
        <w:spacing w:after="0" w:before="0" w:line="240" w:lineRule="auto"/>
        <w:ind w:left="57"/>
        <w:jc w:val="left"/>
        <w:shd w:val="clear" w:fill="F2F2F2"/>
      </w:pPr>
      <w:r>
        <w:rPr>
          <w:rFonts w:ascii="Consolas" w:hAnsi="Consolas" w:cs="Consolas"/>
          <w:b w:val="0"/>
          <w:i w:val="0"/>
          <w:sz w:val="15"/>
        </w:rPr>
        <w:t xml:space="preserve">    responsible_party TEXT NOT NULL, -- 'BUYER', 'SELLER', 'ACCORDING_TO_INCOTERM'</w:t>
      </w:r>
    </w:p>
    <w:p>
      <w:pPr>
        <w:spacing w:after="0" w:before="0" w:line="240" w:lineRule="auto"/>
        <w:ind w:left="57"/>
        <w:jc w:val="left"/>
        <w:shd w:val="clear" w:fill="F2F2F2"/>
      </w:pPr>
      <w:r>
        <w:rPr>
          <w:rFonts w:ascii="Consolas" w:hAnsi="Consolas" w:cs="Consolas"/>
          <w:b w:val="0"/>
          <w:i w:val="0"/>
          <w:sz w:val="15"/>
        </w:rPr>
        <w:t xml:space="preserve">    insurance_type TEXT, -- 'ALL_RISKS', 'FPA', 'WA', 'ICC_A', 'ICC_B', 'ICC_C', 'REEFER', 'LIVESTOCK', 'WAR', 'STRIKES'</w:t>
      </w:r>
    </w:p>
    <w:p>
      <w:pPr>
        <w:spacing w:after="0" w:before="0" w:line="240" w:lineRule="auto"/>
        <w:ind w:left="57"/>
        <w:jc w:val="left"/>
        <w:shd w:val="clear" w:fill="F2F2F2"/>
      </w:pPr>
      <w:r>
        <w:rPr>
          <w:rFonts w:ascii="Consolas" w:hAnsi="Consolas" w:cs="Consolas"/>
          <w:b w:val="0"/>
          <w:i w:val="0"/>
          <w:sz w:val="15"/>
        </w:rPr>
        <w:t xml:space="preserve">    coverage_percent INTEGER DEFAULT 110,</w:t>
      </w:r>
    </w:p>
    <w:p>
      <w:pPr>
        <w:spacing w:after="0" w:before="0" w:line="240" w:lineRule="auto"/>
        <w:ind w:left="57"/>
        <w:jc w:val="left"/>
        <w:shd w:val="clear" w:fill="F2F2F2"/>
      </w:pPr>
      <w:r>
        <w:rPr>
          <w:rFonts w:ascii="Consolas" w:hAnsi="Consolas" w:cs="Consolas"/>
          <w:b w:val="0"/>
          <w:i w:val="0"/>
          <w:sz w:val="15"/>
        </w:rPr>
        <w:t xml:space="preserve">    coverage_currency TEXT DEFAULT 'USD',</w:t>
      </w:r>
    </w:p>
    <w:p>
      <w:pPr>
        <w:spacing w:after="0" w:before="0" w:line="240" w:lineRule="auto"/>
        <w:ind w:left="57"/>
        <w:jc w:val="left"/>
        <w:shd w:val="clear" w:fill="F2F2F2"/>
      </w:pPr>
      <w:r>
        <w:rPr>
          <w:rFonts w:ascii="Consolas" w:hAnsi="Consolas" w:cs="Consolas"/>
          <w:b w:val="0"/>
          <w:i w:val="0"/>
          <w:sz w:val="15"/>
        </w:rPr>
        <w:t xml:space="preserve">    policy_number TEXT,</w:t>
      </w:r>
    </w:p>
    <w:p>
      <w:pPr>
        <w:spacing w:after="0" w:before="0" w:line="240" w:lineRule="auto"/>
        <w:ind w:left="57"/>
        <w:jc w:val="left"/>
        <w:shd w:val="clear" w:fill="F2F2F2"/>
      </w:pPr>
      <w:r>
        <w:rPr>
          <w:rFonts w:ascii="Consolas" w:hAnsi="Consolas" w:cs="Consolas"/>
          <w:b w:val="0"/>
          <w:i w:val="0"/>
          <w:sz w:val="15"/>
        </w:rPr>
        <w:t xml:space="preserve">    insurer_name TEXT,</w:t>
      </w:r>
    </w:p>
    <w:p>
      <w:pPr>
        <w:spacing w:after="0" w:before="0" w:line="240" w:lineRule="auto"/>
        <w:ind w:left="57"/>
        <w:jc w:val="left"/>
        <w:shd w:val="clear" w:fill="F2F2F2"/>
      </w:pPr>
      <w:r>
        <w:rPr>
          <w:rFonts w:ascii="Consolas" w:hAnsi="Consolas" w:cs="Consolas"/>
          <w:b w:val="0"/>
          <w:i w:val="0"/>
          <w:sz w:val="15"/>
        </w:rPr>
        <w:t xml:space="preserve">    policy_effective_date DATE,</w:t>
      </w:r>
    </w:p>
    <w:p>
      <w:pPr>
        <w:spacing w:after="0" w:before="0" w:line="240" w:lineRule="auto"/>
        <w:ind w:left="57"/>
        <w:jc w:val="left"/>
        <w:shd w:val="clear" w:fill="F2F2F2"/>
      </w:pPr>
      <w:r>
        <w:rPr>
          <w:rFonts w:ascii="Consolas" w:hAnsi="Consolas" w:cs="Consolas"/>
          <w:b w:val="0"/>
          <w:i w:val="0"/>
          <w:sz w:val="15"/>
        </w:rPr>
        <w:t xml:space="preserve">    policy_expiry_date DATE,</w:t>
      </w:r>
    </w:p>
    <w:p>
      <w:pPr>
        <w:spacing w:after="0" w:before="0" w:line="240" w:lineRule="auto"/>
        <w:ind w:left="57"/>
        <w:jc w:val="left"/>
        <w:shd w:val="clear" w:fill="F2F2F2"/>
      </w:pPr>
      <w:r>
        <w:rPr>
          <w:rFonts w:ascii="Consolas" w:hAnsi="Consolas" w:cs="Consolas"/>
          <w:b w:val="0"/>
          <w:i w:val="0"/>
          <w:sz w:val="15"/>
        </w:rPr>
        <w:t xml:space="preserve">    certificate_uploaded BOOLEAN DEFAULT false,</w:t>
      </w:r>
    </w:p>
    <w:p>
      <w:pPr>
        <w:spacing w:after="0" w:before="0" w:line="240" w:lineRule="auto"/>
        <w:ind w:left="57"/>
        <w:jc w:val="left"/>
        <w:shd w:val="clear" w:fill="F2F2F2"/>
      </w:pPr>
      <w:r>
        <w:rPr>
          <w:rFonts w:ascii="Consolas" w:hAnsi="Consolas" w:cs="Consolas"/>
          <w:b w:val="0"/>
          <w:i w:val="0"/>
          <w:sz w:val="15"/>
        </w:rPr>
        <w:t xml:space="preserve">    certificate_document_id UUID REFERENCES documents(id) ON DELETE SET NULL,</w:t>
      </w:r>
    </w:p>
    <w:p>
      <w:pPr>
        <w:spacing w:after="0" w:before="0" w:line="240" w:lineRule="auto"/>
        <w:ind w:left="57"/>
        <w:jc w:val="left"/>
        <w:shd w:val="clear" w:fill="F2F2F2"/>
      </w:pPr>
      <w:r>
        <w:rPr>
          <w:rFonts w:ascii="Consolas" w:hAnsi="Consolas" w:cs="Consolas"/>
          <w:b w:val="0"/>
          <w:i w:val="0"/>
          <w:sz w:val="15"/>
        </w:rPr>
        <w:t xml:space="preserve">    verification_status TEXT DEFAULT 'PENDING', -- 'PENDING', 'VERIFIED', 'REJECTED', 'FLAGGED'</w:t>
      </w:r>
    </w:p>
    <w:p>
      <w:pPr>
        <w:spacing w:after="0" w:before="0" w:line="240" w:lineRule="auto"/>
        <w:ind w:left="57"/>
        <w:jc w:val="left"/>
        <w:shd w:val="clear" w:fill="F2F2F2"/>
      </w:pPr>
      <w:r>
        <w:rPr>
          <w:rFonts w:ascii="Consolas" w:hAnsi="Consolas" w:cs="Consolas"/>
          <w:b w:val="0"/>
          <w:i w:val="0"/>
          <w:sz w:val="15"/>
        </w:rPr>
        <w:t xml:space="preserve">    verification_result JSONB,</w:t>
      </w:r>
    </w:p>
    <w:p>
      <w:pPr>
        <w:spacing w:after="0" w:before="0" w:line="240" w:lineRule="auto"/>
        <w:ind w:left="57"/>
        <w:jc w:val="left"/>
        <w:shd w:val="clear" w:fill="F2F2F2"/>
      </w:pPr>
      <w:r>
        <w:rPr>
          <w:rFonts w:ascii="Consolas" w:hAnsi="Consolas" w:cs="Consolas"/>
          <w:b w:val="0"/>
          <w:i w:val="0"/>
          <w:sz w:val="15"/>
        </w:rPr>
        <w:t xml:space="preserve">    auto_configured BOOLEAN DEFAULT false,</w:t>
      </w:r>
    </w:p>
    <w:p>
      <w:pPr>
        <w:spacing w:after="0" w:before="0" w:line="240" w:lineRule="auto"/>
        <w:ind w:left="57"/>
        <w:jc w:val="left"/>
        <w:shd w:val="clear" w:fill="F2F2F2"/>
      </w:pPr>
      <w:r>
        <w:rPr>
          <w:rFonts w:ascii="Consolas" w:hAnsi="Consolas" w:cs="Consolas"/>
          <w:b w:val="0"/>
          <w:i w:val="0"/>
          <w:sz w:val="15"/>
        </w:rPr>
        <w:t xml:space="preserve">    auto_config_reason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Insurance type reference table</w:t>
      </w:r>
    </w:p>
    <w:p>
      <w:pPr>
        <w:spacing w:after="0" w:before="0" w:line="240" w:lineRule="auto"/>
        <w:ind w:left="57"/>
        <w:jc w:val="left"/>
        <w:shd w:val="clear" w:fill="F2F2F2"/>
      </w:pPr>
      <w:r>
        <w:rPr>
          <w:rFonts w:ascii="Consolas" w:hAnsi="Consolas" w:cs="Consolas"/>
          <w:b w:val="0"/>
          <w:i w:val="0"/>
          <w:sz w:val="15"/>
        </w:rPr>
        <w:t>CREATE TABLE insurance_types_ref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type_code TEXT UNIQUE NOT NULL,</w:t>
      </w:r>
    </w:p>
    <w:p>
      <w:pPr>
        <w:spacing w:after="0" w:before="0" w:line="240" w:lineRule="auto"/>
        <w:ind w:left="57"/>
        <w:jc w:val="left"/>
        <w:shd w:val="clear" w:fill="F2F2F2"/>
      </w:pPr>
      <w:r>
        <w:rPr>
          <w:rFonts w:ascii="Consolas" w:hAnsi="Consolas" w:cs="Consolas"/>
          <w:b w:val="0"/>
          <w:i w:val="0"/>
          <w:sz w:val="15"/>
        </w:rPr>
        <w:t xml:space="preserve">    type_name TEXT NOT NULL,</w:t>
      </w:r>
    </w:p>
    <w:p>
      <w:pPr>
        <w:spacing w:after="0" w:before="0" w:line="240" w:lineRule="auto"/>
        <w:ind w:left="57"/>
        <w:jc w:val="left"/>
        <w:shd w:val="clear" w:fill="F2F2F2"/>
      </w:pPr>
      <w:r>
        <w:rPr>
          <w:rFonts w:ascii="Consolas" w:hAnsi="Consolas" w:cs="Consolas"/>
          <w:b w:val="0"/>
          <w:i w:val="0"/>
          <w:sz w:val="15"/>
        </w:rPr>
        <w:t xml:space="preserve">    type_name_ar TEXT,</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description_ar TEXT,</w:t>
      </w:r>
    </w:p>
    <w:p>
      <w:pPr>
        <w:spacing w:after="0" w:before="0" w:line="240" w:lineRule="auto"/>
        <w:ind w:left="57"/>
        <w:jc w:val="left"/>
        <w:shd w:val="clear" w:fill="F2F2F2"/>
      </w:pPr>
      <w:r>
        <w:rPr>
          <w:rFonts w:ascii="Consolas" w:hAnsi="Consolas" w:cs="Consolas"/>
          <w:b w:val="0"/>
          <w:i w:val="0"/>
          <w:sz w:val="15"/>
        </w:rPr>
        <w:t xml:space="preserve">    coverage_level TEXT, -- 'BROAD', 'MEDIUM', 'LIMITED', 'SPECIALISED'</w:t>
      </w:r>
    </w:p>
    <w:p>
      <w:pPr>
        <w:spacing w:after="0" w:before="0" w:line="240" w:lineRule="auto"/>
        <w:ind w:left="57"/>
        <w:jc w:val="left"/>
        <w:shd w:val="clear" w:fill="F2F2F2"/>
      </w:pPr>
      <w:r>
        <w:rPr>
          <w:rFonts w:ascii="Consolas" w:hAnsi="Consolas" w:cs="Consolas"/>
          <w:b w:val="0"/>
          <w:i w:val="0"/>
          <w:sz w:val="15"/>
        </w:rPr>
        <w:t xml:space="preserve">    typical_use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Country-specific insurance requirements (RIA-maintained)</w:t>
      </w:r>
    </w:p>
    <w:p>
      <w:pPr>
        <w:spacing w:after="0" w:before="0" w:line="240" w:lineRule="auto"/>
        <w:ind w:left="57"/>
        <w:jc w:val="left"/>
        <w:shd w:val="clear" w:fill="F2F2F2"/>
      </w:pPr>
      <w:r>
        <w:rPr>
          <w:rFonts w:ascii="Consolas" w:hAnsi="Consolas" w:cs="Consolas"/>
          <w:b w:val="0"/>
          <w:i w:val="0"/>
          <w:sz w:val="15"/>
        </w:rPr>
        <w:t>CREATE TABLE country_insurance_requirements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commodity_category TEXT,</w:t>
      </w:r>
    </w:p>
    <w:p>
      <w:pPr>
        <w:spacing w:after="0" w:before="0" w:line="240" w:lineRule="auto"/>
        <w:ind w:left="57"/>
        <w:jc w:val="left"/>
        <w:shd w:val="clear" w:fill="F2F2F2"/>
      </w:pPr>
      <w:r>
        <w:rPr>
          <w:rFonts w:ascii="Consolas" w:hAnsi="Consolas" w:cs="Consolas"/>
          <w:b w:val="0"/>
          <w:i w:val="0"/>
          <w:sz w:val="15"/>
        </w:rPr>
        <w:t xml:space="preserve">    hs_code CHAR(6),</w:t>
      </w:r>
    </w:p>
    <w:p>
      <w:pPr>
        <w:spacing w:after="0" w:before="0" w:line="240" w:lineRule="auto"/>
        <w:ind w:left="57"/>
        <w:jc w:val="left"/>
        <w:shd w:val="clear" w:fill="F2F2F2"/>
      </w:pPr>
      <w:r>
        <w:rPr>
          <w:rFonts w:ascii="Consolas" w:hAnsi="Consolas" w:cs="Consolas"/>
          <w:b w:val="0"/>
          <w:i w:val="0"/>
          <w:sz w:val="15"/>
        </w:rPr>
        <w:t xml:space="preserve">    requirement TEXT NOT NULL, -- 'REQUIRED', 'RECOMMENDED', 'OPTIONAL'</w:t>
      </w:r>
    </w:p>
    <w:p>
      <w:pPr>
        <w:spacing w:after="0" w:before="0" w:line="240" w:lineRule="auto"/>
        <w:ind w:left="57"/>
        <w:jc w:val="left"/>
        <w:shd w:val="clear" w:fill="F2F2F2"/>
      </w:pPr>
      <w:r>
        <w:rPr>
          <w:rFonts w:ascii="Consolas" w:hAnsi="Consolas" w:cs="Consolas"/>
          <w:b w:val="0"/>
          <w:i w:val="0"/>
          <w:sz w:val="15"/>
        </w:rPr>
        <w:t xml:space="preserve">    min_coverage_percent INTEGER DEFAULT 100,</w:t>
      </w:r>
    </w:p>
    <w:p>
      <w:pPr>
        <w:spacing w:after="0" w:before="0" w:line="240" w:lineRule="auto"/>
        <w:ind w:left="57"/>
        <w:jc w:val="left"/>
        <w:shd w:val="clear" w:fill="F2F2F2"/>
      </w:pPr>
      <w:r>
        <w:rPr>
          <w:rFonts w:ascii="Consolas" w:hAnsi="Consolas" w:cs="Consolas"/>
          <w:b w:val="0"/>
          <w:i w:val="0"/>
          <w:sz w:val="15"/>
        </w:rPr>
        <w:t xml:space="preserve">    recommended_type TEXT,</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UNIQUE(country_code, commodity_category, hs_code)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Insurance certificate verification logs</w:t>
      </w:r>
    </w:p>
    <w:p>
      <w:pPr>
        <w:spacing w:after="0" w:before="0" w:line="240" w:lineRule="auto"/>
        <w:ind w:left="57"/>
        <w:jc w:val="left"/>
        <w:shd w:val="clear" w:fill="F2F2F2"/>
      </w:pPr>
      <w:r>
        <w:rPr>
          <w:rFonts w:ascii="Consolas" w:hAnsi="Consolas" w:cs="Consolas"/>
          <w:b w:val="0"/>
          <w:i w:val="0"/>
          <w:sz w:val="15"/>
        </w:rPr>
        <w:t>CREATE TABLE insurance_verification_logs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insurance_requirement_id UUID NOT NULL REFERENCES insurance_requirements(id) ON DELETE CASCADE,</w:t>
      </w:r>
    </w:p>
    <w:p>
      <w:pPr>
        <w:spacing w:after="0" w:before="0" w:line="240" w:lineRule="auto"/>
        <w:ind w:left="57"/>
        <w:jc w:val="left"/>
        <w:shd w:val="clear" w:fill="F2F2F2"/>
      </w:pPr>
      <w:r>
        <w:rPr>
          <w:rFonts w:ascii="Consolas" w:hAnsi="Consolas" w:cs="Consolas"/>
          <w:b w:val="0"/>
          <w:i w:val="0"/>
          <w:sz w:val="15"/>
        </w:rPr>
        <w:t xml:space="preserve">    verification_type TEXT NOT NULL, -- 'AUTOMATIC', 'MANUAL'</w:t>
      </w:r>
    </w:p>
    <w:p>
      <w:pPr>
        <w:spacing w:after="0" w:before="0" w:line="240" w:lineRule="auto"/>
        <w:ind w:left="57"/>
        <w:jc w:val="left"/>
        <w:shd w:val="clear" w:fill="F2F2F2"/>
      </w:pPr>
      <w:r>
        <w:rPr>
          <w:rFonts w:ascii="Consolas" w:hAnsi="Consolas" w:cs="Consolas"/>
          <w:b w:val="0"/>
          <w:i w:val="0"/>
          <w:sz w:val="15"/>
        </w:rPr>
        <w:t xml:space="preserve">    verification_status TEXT NOT NULL, -- 'PENDING', 'VERIFIED', 'REJECTED', 'FLAGGED'</w:t>
      </w:r>
    </w:p>
    <w:p>
      <w:pPr>
        <w:spacing w:after="0" w:before="0" w:line="240" w:lineRule="auto"/>
        <w:ind w:left="57"/>
        <w:jc w:val="left"/>
        <w:shd w:val="clear" w:fill="F2F2F2"/>
      </w:pPr>
      <w:r>
        <w:rPr>
          <w:rFonts w:ascii="Consolas" w:hAnsi="Consolas" w:cs="Consolas"/>
          <w:b w:val="0"/>
          <w:i w:val="0"/>
          <w:sz w:val="15"/>
        </w:rPr>
        <w:t xml:space="preserve">    confidence_score DECIMAL(5,2),</w:t>
      </w:r>
    </w:p>
    <w:p>
      <w:pPr>
        <w:spacing w:after="0" w:before="0" w:line="240" w:lineRule="auto"/>
        <w:ind w:left="57"/>
        <w:jc w:val="left"/>
        <w:shd w:val="clear" w:fill="F2F2F2"/>
      </w:pPr>
      <w:r>
        <w:rPr>
          <w:rFonts w:ascii="Consolas" w:hAnsi="Consolas" w:cs="Consolas"/>
          <w:b w:val="0"/>
          <w:i w:val="0"/>
          <w:sz w:val="15"/>
        </w:rPr>
        <w:t xml:space="preserve">    extracted_fields JSONB,</w:t>
      </w:r>
    </w:p>
    <w:p>
      <w:pPr>
        <w:spacing w:after="0" w:before="0" w:line="240" w:lineRule="auto"/>
        <w:ind w:left="57"/>
        <w:jc w:val="left"/>
        <w:shd w:val="clear" w:fill="F2F2F2"/>
      </w:pPr>
      <w:r>
        <w:rPr>
          <w:rFonts w:ascii="Consolas" w:hAnsi="Consolas" w:cs="Consolas"/>
          <w:b w:val="0"/>
          <w:i w:val="0"/>
          <w:sz w:val="15"/>
        </w:rPr>
        <w:t xml:space="preserve">    validation_results JSONB,</w:t>
      </w:r>
    </w:p>
    <w:p>
      <w:pPr>
        <w:spacing w:after="0" w:before="0" w:line="240" w:lineRule="auto"/>
        <w:ind w:left="57"/>
        <w:jc w:val="left"/>
        <w:shd w:val="clear" w:fill="F2F2F2"/>
      </w:pPr>
      <w:r>
        <w:rPr>
          <w:rFonts w:ascii="Consolas" w:hAnsi="Consolas" w:cs="Consolas"/>
          <w:b w:val="0"/>
          <w:i w:val="0"/>
          <w:sz w:val="15"/>
        </w:rPr>
        <w:t xml:space="preserve">    fraud_indicators JSONB,</w:t>
      </w:r>
    </w:p>
    <w:p>
      <w:pPr>
        <w:spacing w:after="0" w:before="0" w:line="240" w:lineRule="auto"/>
        <w:ind w:left="57"/>
        <w:jc w:val="left"/>
        <w:shd w:val="clear" w:fill="F2F2F2"/>
      </w:pPr>
      <w:r>
        <w:rPr>
          <w:rFonts w:ascii="Consolas" w:hAnsi="Consolas" w:cs="Consolas"/>
          <w:b w:val="0"/>
          <w:i w:val="0"/>
          <w:sz w:val="15"/>
        </w:rPr>
        <w:t xml:space="preserve">    verified_by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verified_at TIMESTAMPTZ DEFAULT NOW(),</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idx_insurance_requirements_trade ON insurance_requirements(trade_request_id);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idx_insurance_requirements_status ON insurance_requirements(verification_status);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idx_insurance_requirements_responsible ON insurance_requirements(responsible_party);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idx_country_insurance_requirements_country ON country_insurance_requirements(country_code);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idx_country_insurance_requirements_hs ON country_insurance_requirements(hs_code);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idx_insurance_verification_logs_requirement ON insurance_verification_logs(insurance_requirement_id);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idx_insurance_verification_logs_status ON insurance_verification_logs(verification_status);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6.10.10 Implementation Checklist (Insurance)</w:t>
      </w:r>
    </w:p>
    <w:p>
      <w:pPr>
        <w:keepNext/>
        <w:spacing w:before="140" w:after="60"/>
        <w:outlineLvl w:val="3"/>
      </w:pPr>
      <w:r>
        <w:rPr>
          <w:rFonts w:ascii="Arial" w:hAnsi="Arial" w:cs="Arial"/>
          <w:b/>
          <w:i/>
          <w:color w:val="333333"/>
          <w:sz w:val="22"/>
        </w:rPr>
        <w:t>6.10.10.1 Backend Services</w:t>
      </w:r>
    </w:p>
    <w:p>
      <w:pPr>
        <w:spacing w:after="80" w:line="293" w:lineRule="auto"/>
        <w:ind w:left="283"/>
        <w:jc w:val="left"/>
      </w:pPr>
      <w:r>
        <w:rPr>
          <w:rFonts w:ascii="Times New Roman" w:hAnsi="Times New Roman" w:cs="Times New Roman"/>
          <w:b w:val="0"/>
          <w:i w:val="0"/>
          <w:sz w:val="22"/>
        </w:rPr>
        <w:t>- Implement insurance requirements service (Rust)</w:t>
      </w:r>
    </w:p>
    <w:p>
      <w:pPr>
        <w:spacing w:after="80" w:line="293" w:lineRule="auto"/>
        <w:ind w:left="283"/>
        <w:jc w:val="left"/>
      </w:pPr>
      <w:r>
        <w:rPr>
          <w:rFonts w:ascii="Times New Roman" w:hAnsi="Times New Roman" w:cs="Times New Roman"/>
          <w:b w:val="0"/>
          <w:i w:val="0"/>
          <w:sz w:val="22"/>
        </w:rPr>
        <w:t>- Implement incoterm-driven auto-configuration</w:t>
      </w:r>
    </w:p>
    <w:p>
      <w:pPr>
        <w:spacing w:after="80" w:line="293" w:lineRule="auto"/>
        <w:ind w:left="283"/>
        <w:jc w:val="left"/>
      </w:pPr>
      <w:r>
        <w:rPr>
          <w:rFonts w:ascii="Times New Roman" w:hAnsi="Times New Roman" w:cs="Times New Roman"/>
          <w:b w:val="0"/>
          <w:i w:val="0"/>
          <w:sz w:val="22"/>
        </w:rPr>
        <w:t>- Implement RIA-driven insurance requirements lookup</w:t>
      </w:r>
    </w:p>
    <w:p>
      <w:pPr>
        <w:spacing w:after="80" w:line="293" w:lineRule="auto"/>
        <w:ind w:left="283"/>
        <w:jc w:val="left"/>
      </w:pPr>
      <w:r>
        <w:rPr>
          <w:rFonts w:ascii="Times New Roman" w:hAnsi="Times New Roman" w:cs="Times New Roman"/>
          <w:b w:val="0"/>
          <w:i w:val="0"/>
          <w:sz w:val="22"/>
        </w:rPr>
        <w:t>- Implement insurance type reference service</w:t>
      </w:r>
    </w:p>
    <w:p>
      <w:pPr>
        <w:spacing w:after="80" w:line="293" w:lineRule="auto"/>
        <w:ind w:left="283"/>
        <w:jc w:val="left"/>
      </w:pPr>
      <w:r>
        <w:rPr>
          <w:rFonts w:ascii="Times New Roman" w:hAnsi="Times New Roman" w:cs="Times New Roman"/>
          <w:b w:val="0"/>
          <w:i w:val="0"/>
          <w:sz w:val="22"/>
        </w:rPr>
        <w:t>- Implement insurance certificate verification (A2, HF Donut)</w:t>
      </w:r>
    </w:p>
    <w:p>
      <w:pPr>
        <w:spacing w:after="80" w:line="293" w:lineRule="auto"/>
        <w:ind w:left="283"/>
        <w:jc w:val="left"/>
      </w:pPr>
      <w:r>
        <w:rPr>
          <w:rFonts w:ascii="Times New Roman" w:hAnsi="Times New Roman" w:cs="Times New Roman"/>
          <w:b w:val="0"/>
          <w:i w:val="0"/>
          <w:sz w:val="22"/>
        </w:rPr>
        <w:t>- Implement insurance fraud detection (A2)</w:t>
      </w:r>
    </w:p>
    <w:p>
      <w:pPr>
        <w:keepNext/>
        <w:spacing w:before="140" w:after="60"/>
        <w:outlineLvl w:val="3"/>
      </w:pPr>
      <w:r>
        <w:rPr>
          <w:rFonts w:ascii="Arial" w:hAnsi="Arial" w:cs="Arial"/>
          <w:b/>
          <w:i/>
          <w:color w:val="333333"/>
          <w:sz w:val="22"/>
        </w:rPr>
        <w:t>6.10.10.2 Frontend Components</w:t>
      </w:r>
    </w:p>
    <w:p>
      <w:pPr>
        <w:spacing w:after="80" w:line="293" w:lineRule="auto"/>
        <w:ind w:left="283"/>
        <w:jc w:val="left"/>
      </w:pPr>
      <w:r>
        <w:rPr>
          <w:rFonts w:ascii="Times New Roman" w:hAnsi="Times New Roman" w:cs="Times New Roman"/>
          <w:b w:val="0"/>
          <w:i w:val="0"/>
          <w:sz w:val="22"/>
        </w:rPr>
        <w:t>- Build Insurance Requirement selector (Required/Optional/Not Required)</w:t>
      </w:r>
    </w:p>
    <w:p>
      <w:pPr>
        <w:spacing w:after="80" w:line="293" w:lineRule="auto"/>
        <w:ind w:left="283"/>
        <w:jc w:val="left"/>
      </w:pPr>
      <w:r>
        <w:rPr>
          <w:rFonts w:ascii="Times New Roman" w:hAnsi="Times New Roman" w:cs="Times New Roman"/>
          <w:b w:val="0"/>
          <w:i w:val="0"/>
          <w:sz w:val="22"/>
        </w:rPr>
        <w:t>- Build Responsible Party selector</w:t>
      </w:r>
    </w:p>
    <w:p>
      <w:pPr>
        <w:spacing w:after="80" w:line="293" w:lineRule="auto"/>
        <w:ind w:left="283"/>
        <w:jc w:val="left"/>
      </w:pPr>
      <w:r>
        <w:rPr>
          <w:rFonts w:ascii="Times New Roman" w:hAnsi="Times New Roman" w:cs="Times New Roman"/>
          <w:b w:val="0"/>
          <w:i w:val="0"/>
          <w:sz w:val="22"/>
        </w:rPr>
        <w:t>- Build Insurance Type dropdown</w:t>
      </w:r>
    </w:p>
    <w:p>
      <w:pPr>
        <w:spacing w:after="80" w:line="293" w:lineRule="auto"/>
        <w:ind w:left="283"/>
        <w:jc w:val="left"/>
      </w:pPr>
      <w:r>
        <w:rPr>
          <w:rFonts w:ascii="Times New Roman" w:hAnsi="Times New Roman" w:cs="Times New Roman"/>
          <w:b w:val="0"/>
          <w:i w:val="0"/>
          <w:sz w:val="22"/>
        </w:rPr>
        <w:t>- Build Coverage Amount input</w:t>
      </w:r>
    </w:p>
    <w:p>
      <w:pPr>
        <w:spacing w:after="80" w:line="293" w:lineRule="auto"/>
        <w:ind w:left="283"/>
        <w:jc w:val="left"/>
      </w:pPr>
      <w:r>
        <w:rPr>
          <w:rFonts w:ascii="Times New Roman" w:hAnsi="Times New Roman" w:cs="Times New Roman"/>
          <w:b w:val="0"/>
          <w:i w:val="0"/>
          <w:sz w:val="22"/>
        </w:rPr>
        <w:t>- Build Coverage Currency dropdown</w:t>
      </w:r>
    </w:p>
    <w:p>
      <w:pPr>
        <w:spacing w:after="80" w:line="293" w:lineRule="auto"/>
        <w:ind w:left="283"/>
        <w:jc w:val="left"/>
      </w:pPr>
      <w:r>
        <w:rPr>
          <w:rFonts w:ascii="Times New Roman" w:hAnsi="Times New Roman" w:cs="Times New Roman"/>
          <w:b w:val="0"/>
          <w:i w:val="0"/>
          <w:sz w:val="22"/>
        </w:rPr>
        <w:t>- Build Policy Details section (optional fields)</w:t>
      </w:r>
    </w:p>
    <w:p>
      <w:pPr>
        <w:spacing w:after="80" w:line="293" w:lineRule="auto"/>
        <w:ind w:left="283"/>
        <w:jc w:val="left"/>
      </w:pPr>
      <w:r>
        <w:rPr>
          <w:rFonts w:ascii="Times New Roman" w:hAnsi="Times New Roman" w:cs="Times New Roman"/>
          <w:b w:val="0"/>
          <w:i w:val="0"/>
          <w:sz w:val="22"/>
        </w:rPr>
        <w:t>- Build Insurance Certificate upload component</w:t>
      </w:r>
    </w:p>
    <w:p>
      <w:pPr>
        <w:spacing w:after="80" w:line="293" w:lineRule="auto"/>
        <w:ind w:left="283"/>
        <w:jc w:val="left"/>
      </w:pPr>
      <w:r>
        <w:rPr>
          <w:rFonts w:ascii="Times New Roman" w:hAnsi="Times New Roman" w:cs="Times New Roman"/>
          <w:b w:val="0"/>
          <w:i w:val="0"/>
          <w:sz w:val="22"/>
        </w:rPr>
        <w:t>- Build Verification Status display</w:t>
      </w:r>
    </w:p>
    <w:p>
      <w:pPr>
        <w:spacing w:after="80" w:line="293" w:lineRule="auto"/>
        <w:ind w:left="283"/>
        <w:jc w:val="left"/>
      </w:pPr>
      <w:r>
        <w:rPr>
          <w:rFonts w:ascii="Times New Roman" w:hAnsi="Times New Roman" w:cs="Times New Roman"/>
          <w:b w:val="0"/>
          <w:i w:val="0"/>
          <w:sz w:val="22"/>
        </w:rPr>
        <w:t>- Build Fraud Alert display</w:t>
      </w:r>
    </w:p>
    <w:p>
      <w:pPr>
        <w:keepNext/>
        <w:spacing w:before="140" w:after="60"/>
        <w:outlineLvl w:val="3"/>
      </w:pPr>
      <w:r>
        <w:rPr>
          <w:rFonts w:ascii="Arial" w:hAnsi="Arial" w:cs="Arial"/>
          <w:b/>
          <w:i/>
          <w:color w:val="333333"/>
          <w:sz w:val="22"/>
        </w:rPr>
        <w:t>6.10.10.3 RIA Integration</w:t>
      </w:r>
    </w:p>
    <w:p>
      <w:pPr>
        <w:spacing w:after="80" w:line="293" w:lineRule="auto"/>
        <w:ind w:left="283"/>
        <w:jc w:val="left"/>
      </w:pPr>
      <w:r>
        <w:rPr>
          <w:rFonts w:ascii="Times New Roman" w:hAnsi="Times New Roman" w:cs="Times New Roman"/>
          <w:b w:val="0"/>
          <w:i w:val="0"/>
          <w:sz w:val="22"/>
        </w:rPr>
        <w:t>- Implement country-specific insurance requirements</w:t>
      </w:r>
    </w:p>
    <w:p>
      <w:pPr>
        <w:spacing w:after="80" w:line="293" w:lineRule="auto"/>
        <w:ind w:left="283"/>
        <w:jc w:val="left"/>
      </w:pPr>
      <w:r>
        <w:rPr>
          <w:rFonts w:ascii="Times New Roman" w:hAnsi="Times New Roman" w:cs="Times New Roman"/>
          <w:b w:val="0"/>
          <w:i w:val="0"/>
          <w:sz w:val="22"/>
        </w:rPr>
        <w:t>- Implement commodity-specific insurance requirements</w:t>
      </w:r>
    </w:p>
    <w:p>
      <w:pPr>
        <w:spacing w:after="80" w:line="293" w:lineRule="auto"/>
        <w:ind w:left="283"/>
        <w:jc w:val="left"/>
      </w:pPr>
      <w:r>
        <w:rPr>
          <w:rFonts w:ascii="Times New Roman" w:hAnsi="Times New Roman" w:cs="Times New Roman"/>
          <w:b w:val="0"/>
          <w:i w:val="0"/>
          <w:sz w:val="22"/>
        </w:rPr>
        <w:t>- Implement auto-configuration based on RIA data</w:t>
      </w:r>
    </w:p>
    <w:p>
      <w:pPr>
        <w:spacing w:after="80" w:line="293" w:lineRule="auto"/>
        <w:ind w:left="283"/>
        <w:jc w:val="left"/>
      </w:pPr>
      <w:r>
        <w:rPr>
          <w:rFonts w:ascii="Times New Roman" w:hAnsi="Times New Roman" w:cs="Times New Roman"/>
          <w:b w:val="0"/>
          <w:i w:val="0"/>
          <w:sz w:val="22"/>
        </w:rPr>
        <w:t>- Implement Smart Inbox alerts for missing insurance</w:t>
      </w:r>
    </w:p>
    <w:p>
      <w:pPr>
        <w:keepNext/>
        <w:spacing w:before="140" w:after="60"/>
        <w:outlineLvl w:val="3"/>
      </w:pPr>
      <w:r>
        <w:rPr>
          <w:rFonts w:ascii="Arial" w:hAnsi="Arial" w:cs="Arial"/>
          <w:b/>
          <w:i/>
          <w:color w:val="333333"/>
          <w:sz w:val="22"/>
        </w:rPr>
        <w:t>6.10.10.4 Governor Integration</w:t>
      </w:r>
    </w:p>
    <w:p>
      <w:pPr>
        <w:spacing w:after="80" w:line="293" w:lineRule="auto"/>
        <w:ind w:left="283"/>
        <w:jc w:val="left"/>
      </w:pPr>
      <w:r>
        <w:rPr>
          <w:rFonts w:ascii="Times New Roman" w:hAnsi="Times New Roman" w:cs="Times New Roman"/>
          <w:b w:val="0"/>
          <w:i w:val="0"/>
          <w:sz w:val="22"/>
        </w:rPr>
        <w:t>- Add G1U20: insurance requirement selected</w:t>
      </w:r>
    </w:p>
    <w:p>
      <w:pPr>
        <w:spacing w:after="80" w:line="293" w:lineRule="auto"/>
        <w:ind w:left="283"/>
        <w:jc w:val="left"/>
      </w:pPr>
      <w:r>
        <w:rPr>
          <w:rFonts w:ascii="Times New Roman" w:hAnsi="Times New Roman" w:cs="Times New Roman"/>
          <w:b w:val="0"/>
          <w:i w:val="0"/>
          <w:sz w:val="22"/>
        </w:rPr>
        <w:t>- Add G1U20a: if Required, insurance type selected</w:t>
      </w:r>
    </w:p>
    <w:p>
      <w:pPr>
        <w:spacing w:after="80" w:line="293" w:lineRule="auto"/>
        <w:ind w:left="283"/>
        <w:jc w:val="left"/>
      </w:pPr>
      <w:r>
        <w:rPr>
          <w:rFonts w:ascii="Times New Roman" w:hAnsi="Times New Roman" w:cs="Times New Roman"/>
          <w:b w:val="0"/>
          <w:i w:val="0"/>
          <w:sz w:val="22"/>
        </w:rPr>
        <w:t>- Add G1U20b: if Required, coverage amount ≥100%</w:t>
      </w:r>
    </w:p>
    <w:p>
      <w:pPr>
        <w:spacing w:after="80" w:line="293" w:lineRule="auto"/>
        <w:ind w:left="283"/>
        <w:jc w:val="left"/>
      </w:pPr>
      <w:r>
        <w:rPr>
          <w:rFonts w:ascii="Times New Roman" w:hAnsi="Times New Roman" w:cs="Times New Roman"/>
          <w:b w:val="0"/>
          <w:i w:val="0"/>
          <w:sz w:val="22"/>
        </w:rPr>
        <w:t>- Add G1U20c: incoterm compatibility (CIF/CIP require insurance)</w:t>
      </w:r>
    </w:p>
    <w:p>
      <w:pPr>
        <w:spacing w:after="80" w:line="293" w:lineRule="auto"/>
        <w:ind w:left="283"/>
        <w:jc w:val="left"/>
      </w:pPr>
      <w:r>
        <w:rPr>
          <w:rFonts w:ascii="Times New Roman" w:hAnsi="Times New Roman" w:cs="Times New Roman"/>
          <w:b w:val="0"/>
          <w:i w:val="0"/>
          <w:sz w:val="22"/>
        </w:rPr>
        <w:t>- Add G5U7: insurance certificate verified before loading</w:t>
      </w:r>
    </w:p>
    <w:p>
      <w:pPr>
        <w:keepNext/>
        <w:spacing w:before="140" w:after="60"/>
        <w:outlineLvl w:val="3"/>
      </w:pPr>
      <w:r>
        <w:rPr>
          <w:rFonts w:ascii="Arial" w:hAnsi="Arial" w:cs="Arial"/>
          <w:b/>
          <w:i/>
          <w:color w:val="333333"/>
          <w:sz w:val="22"/>
        </w:rPr>
        <w:t>6.10.10.5 Testing</w:t>
      </w:r>
    </w:p>
    <w:p>
      <w:pPr>
        <w:spacing w:after="80" w:line="293" w:lineRule="auto"/>
        <w:ind w:left="283"/>
        <w:jc w:val="left"/>
      </w:pPr>
      <w:r>
        <w:rPr>
          <w:rFonts w:ascii="Times New Roman" w:hAnsi="Times New Roman" w:cs="Times New Roman"/>
          <w:b w:val="0"/>
          <w:i w:val="0"/>
          <w:sz w:val="22"/>
        </w:rPr>
        <w:t>- Unit tests: incoterm-driven auto-configuration</w:t>
      </w:r>
    </w:p>
    <w:p>
      <w:pPr>
        <w:spacing w:after="80" w:line="293" w:lineRule="auto"/>
        <w:ind w:left="283"/>
        <w:jc w:val="left"/>
      </w:pPr>
      <w:r>
        <w:rPr>
          <w:rFonts w:ascii="Times New Roman" w:hAnsi="Times New Roman" w:cs="Times New Roman"/>
          <w:b w:val="0"/>
          <w:i w:val="0"/>
          <w:sz w:val="22"/>
        </w:rPr>
        <w:t>- Unit tests: RIA-driven insurance requirements lookup</w:t>
      </w:r>
    </w:p>
    <w:p>
      <w:pPr>
        <w:spacing w:after="80" w:line="293" w:lineRule="auto"/>
        <w:ind w:left="283"/>
        <w:jc w:val="left"/>
      </w:pPr>
      <w:r>
        <w:rPr>
          <w:rFonts w:ascii="Times New Roman" w:hAnsi="Times New Roman" w:cs="Times New Roman"/>
          <w:b w:val="0"/>
          <w:i w:val="0"/>
          <w:sz w:val="22"/>
        </w:rPr>
        <w:t>- Unit tests: insurance certificate verification</w:t>
      </w:r>
    </w:p>
    <w:p>
      <w:pPr>
        <w:spacing w:after="80" w:line="293" w:lineRule="auto"/>
        <w:ind w:left="283"/>
        <w:jc w:val="left"/>
      </w:pPr>
      <w:r>
        <w:rPr>
          <w:rFonts w:ascii="Times New Roman" w:hAnsi="Times New Roman" w:cs="Times New Roman"/>
          <w:b w:val="0"/>
          <w:i w:val="0"/>
          <w:sz w:val="22"/>
        </w:rPr>
        <w:t>- Integration tests: incoterm selection → insurance auto-configuration</w:t>
      </w:r>
    </w:p>
    <w:p>
      <w:pPr>
        <w:spacing w:after="80" w:line="293" w:lineRule="auto"/>
        <w:ind w:left="283"/>
        <w:jc w:val="left"/>
      </w:pPr>
      <w:r>
        <w:rPr>
          <w:rFonts w:ascii="Times New Roman" w:hAnsi="Times New Roman" w:cs="Times New Roman"/>
          <w:b w:val="0"/>
          <w:i w:val="0"/>
          <w:sz w:val="22"/>
        </w:rPr>
        <w:t>- Integration tests: insurance certificate upload → verification</w:t>
      </w:r>
    </w:p>
    <w:p>
      <w:pPr>
        <w:spacing w:after="80" w:line="293" w:lineRule="auto"/>
        <w:ind w:left="283"/>
        <w:jc w:val="left"/>
      </w:pPr>
      <w:r>
        <w:rPr>
          <w:rFonts w:ascii="Times New Roman" w:hAnsi="Times New Roman" w:cs="Times New Roman"/>
          <w:b w:val="0"/>
          <w:i w:val="0"/>
          <w:sz w:val="22"/>
        </w:rPr>
        <w:t>- Integration tests: fraud detection</w:t>
      </w:r>
    </w:p>
    <w:p>
      <w:pPr>
        <w:spacing w:after="80" w:line="293" w:lineRule="auto"/>
        <w:ind w:left="283"/>
        <w:jc w:val="left"/>
      </w:pPr>
      <w:r>
        <w:rPr>
          <w:rFonts w:ascii="Times New Roman" w:hAnsi="Times New Roman" w:cs="Times New Roman"/>
          <w:b w:val="0"/>
          <w:i w:val="0"/>
          <w:sz w:val="22"/>
        </w:rPr>
        <w:t>- End-to-end tests: full insurance workflow</w:t>
      </w:r>
    </w:p>
    <w:p>
      <w:pPr>
        <w:keepNext/>
        <w:spacing w:before="180" w:after="80"/>
        <w:outlineLvl w:val="2"/>
      </w:pPr>
      <w:r>
        <w:rPr>
          <w:rFonts w:ascii="Arial" w:hAnsi="Arial" w:cs="Arial"/>
          <w:b/>
          <w:i w:val="0"/>
          <w:color w:val="333333"/>
          <w:sz w:val="23"/>
        </w:rPr>
        <w:t>6.10.11 AI Authority Summary (Insurance)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Insurance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Insurance type and coverage recommendations based on commodity and route</w:t>
            </w:r>
          </w:p>
        </w:tc>
      </w:tr>
      <w:tr>
        <w:tc>
          <w:tcPr>
            <w:tcW w:type="dxa" w:w="3213"/>
          </w:tcPr>
          <w:p>
            <w:pPr>
              <w:spacing w:after="20" w:before="20" w:line="240" w:lineRule="auto"/>
            </w:pPr>
            <w:r/>
            <w:r>
              <w:rPr>
                <w:rFonts w:ascii="Arial" w:hAnsi="Arial" w:cs="Arial"/>
                <w:b w:val="0"/>
                <w:i w:val="0"/>
                <w:sz w:val="17"/>
              </w:rPr>
              <w:t>A2 (HF Donut)</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Certificate verification (field extraction, cross-reference) and fraud detection</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G1U20 family: requirement, type, coverage, and incoterm compatibility; G5U7 pre-loading verification</w:t>
            </w:r>
          </w:p>
        </w:tc>
      </w:tr>
      <w:tr>
        <w:tc>
          <w:tcPr>
            <w:tcW w:type="dxa" w:w="3213"/>
          </w:tcPr>
          <w:p>
            <w:pPr>
              <w:spacing w:after="20" w:before="20" w:line="240" w:lineRule="auto"/>
            </w:pPr>
            <w:r/>
            <w:r>
              <w:rPr>
                <w:rFonts w:ascii="Arial" w:hAnsi="Arial" w:cs="Arial"/>
                <w:b w:val="0"/>
                <w:i w:val="0"/>
                <w:sz w:val="17"/>
              </w:rPr>
              <w:t>A2 (RIA)</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Destination- and commodity-specific insurance requirements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6.11 Commercial Settlement Requirements</w:t>
      </w:r>
    </w:p>
    <w:p>
      <w:pPr>
        <w:keepNext/>
        <w:spacing w:before="180" w:after="80"/>
        <w:outlineLvl w:val="2"/>
      </w:pPr>
      <w:r>
        <w:rPr>
          <w:rFonts w:ascii="Arial" w:hAnsi="Arial" w:cs="Arial"/>
          <w:b/>
          <w:i w:val="0"/>
          <w:color w:val="333333"/>
          <w:sz w:val="23"/>
        </w:rPr>
        <w:t>6.11.1 Purpose &amp; Design Philosophy</w:t>
      </w:r>
    </w:p>
    <w:p>
      <w:pPr>
        <w:spacing w:after="80" w:line="293" w:lineRule="auto"/>
        <w:jc w:val="left"/>
      </w:pPr>
      <w:r>
        <w:rPr>
          <w:rFonts w:ascii="Times New Roman" w:hAnsi="Times New Roman" w:cs="Times New Roman"/>
          <w:b w:val="0"/>
          <w:i w:val="0"/>
          <w:sz w:val="22"/>
        </w:rPr>
        <w:t>The Commercial Settlement Requirements section is the commercial foundation of the trade request. It defines how the trade will be settled financially — the payment structure, timing, credit terms, currency, financing declaration, and settlement flexibility. The section provides a comprehensive, decision-ready framework that reflects real-world trade practices and enables downstream financing, negotiation, and contract execution.</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Reflects actual trade structures — settlement options mirror real-world trade instruments (LC (Letter of</w:t>
      </w:r>
    </w:p>
    <w:p>
      <w:pPr>
        <w:spacing w:after="80" w:line="293" w:lineRule="auto"/>
        <w:jc w:val="left"/>
      </w:pPr>
      <w:r>
        <w:rPr>
          <w:rFonts w:ascii="Times New Roman" w:hAnsi="Times New Roman" w:cs="Times New Roman"/>
          <w:b w:val="0"/>
          <w:i w:val="0"/>
          <w:sz w:val="22"/>
        </w:rPr>
        <w:t>Credit), Documentary Collection, Bank Transfer, Open Account).</w:t>
      </w:r>
    </w:p>
    <w:p>
      <w:pPr>
        <w:spacing w:after="80" w:line="293" w:lineRule="auto"/>
        <w:ind w:left="283"/>
        <w:jc w:val="left"/>
      </w:pPr>
      <w:r>
        <w:rPr>
          <w:rFonts w:ascii="Times New Roman" w:hAnsi="Times New Roman" w:cs="Times New Roman"/>
          <w:b w:val="0"/>
          <w:i w:val="0"/>
          <w:sz w:val="22"/>
        </w:rPr>
        <w:t>- Separation of instrument and timing — payment timing (advance, against documents, deferred) is often more</w:t>
      </w:r>
    </w:p>
    <w:p>
      <w:pPr>
        <w:spacing w:after="80" w:line="293" w:lineRule="auto"/>
        <w:jc w:val="left"/>
      </w:pPr>
      <w:r>
        <w:rPr>
          <w:rFonts w:ascii="Times New Roman" w:hAnsi="Times New Roman" w:cs="Times New Roman"/>
          <w:b w:val="0"/>
          <w:i w:val="0"/>
          <w:sz w:val="22"/>
        </w:rPr>
        <w:t>important than the instrument itself.</w:t>
      </w:r>
    </w:p>
    <w:p>
      <w:pPr>
        <w:spacing w:after="80" w:line="293" w:lineRule="auto"/>
        <w:ind w:left="283"/>
        <w:jc w:val="left"/>
      </w:pPr>
      <w:r>
        <w:rPr>
          <w:rFonts w:ascii="Times New Roman" w:hAnsi="Times New Roman" w:cs="Times New Roman"/>
          <w:b w:val="0"/>
          <w:i w:val="0"/>
          <w:sz w:val="22"/>
        </w:rPr>
        <w:t>- Commercial priority — buyers can indicate their primary objective (Lowest Cost, Fastest Settlement,</w:t>
      </w:r>
    </w:p>
    <w:p>
      <w:pPr>
        <w:spacing w:after="80" w:line="293" w:lineRule="auto"/>
        <w:jc w:val="left"/>
      </w:pPr>
      <w:r>
        <w:rPr>
          <w:rFonts w:ascii="Times New Roman" w:hAnsi="Times New Roman" w:cs="Times New Roman"/>
          <w:b w:val="0"/>
          <w:i w:val="0"/>
          <w:sz w:val="22"/>
        </w:rPr>
        <w:t>Financing Friendly, Balanced) to guide negotiation AI.</w:t>
      </w:r>
    </w:p>
    <w:p>
      <w:pPr>
        <w:spacing w:after="80" w:line="293" w:lineRule="auto"/>
        <w:ind w:left="283"/>
        <w:jc w:val="left"/>
      </w:pPr>
      <w:r>
        <w:rPr>
          <w:rFonts w:ascii="Times New Roman" w:hAnsi="Times New Roman" w:cs="Times New Roman"/>
          <w:b w:val="0"/>
          <w:i w:val="0"/>
          <w:sz w:val="22"/>
        </w:rPr>
        <w:t>- Data-sovereign financing declaration — the buyer declares only the buyer's own financing need through the</w:t>
      </w:r>
    </w:p>
    <w:p>
      <w:pPr>
        <w:spacing w:after="80" w:line="293" w:lineRule="auto"/>
        <w:jc w:val="left"/>
      </w:pPr>
      <w:r>
        <w:rPr>
          <w:rFonts w:ascii="Times New Roman" w:hAnsi="Times New Roman" w:cs="Times New Roman"/>
          <w:b w:val="0"/>
          <w:i w:val="0"/>
          <w:sz w:val="22"/>
        </w:rPr>
        <w:t>Buyer Financing Toggle; the seller's financing need is declared exclusively in Phase 2 (Section 8). No shared, counterparty, or either-party financing flags exist in the request model (see Section 7.6).</w:t>
      </w:r>
    </w:p>
    <w:p>
      <w:pPr>
        <w:spacing w:after="80" w:line="293" w:lineRule="auto"/>
        <w:ind w:left="283"/>
        <w:jc w:val="left"/>
      </w:pPr>
      <w:r>
        <w:rPr>
          <w:rFonts w:ascii="Times New Roman" w:hAnsi="Times New Roman" w:cs="Times New Roman"/>
          <w:b w:val="0"/>
          <w:i w:val="0"/>
          <w:sz w:val="22"/>
        </w:rPr>
        <w:t>- Flexibility — settlement flexibility (Fixed/Flexible/Open To Alternatives) dramatically improves</w:t>
      </w:r>
    </w:p>
    <w:p>
      <w:pPr>
        <w:spacing w:after="80" w:line="293" w:lineRule="auto"/>
        <w:jc w:val="left"/>
      </w:pPr>
      <w:r>
        <w:rPr>
          <w:rFonts w:ascii="Times New Roman" w:hAnsi="Times New Roman" w:cs="Times New Roman"/>
          <w:b w:val="0"/>
          <w:i w:val="0"/>
          <w:sz w:val="22"/>
        </w:rPr>
        <w:t>transaction success rates.</w:t>
      </w:r>
    </w:p>
    <w:p>
      <w:pPr>
        <w:spacing w:after="80" w:line="293" w:lineRule="auto"/>
        <w:ind w:left="283"/>
        <w:jc w:val="left"/>
      </w:pPr>
      <w:r>
        <w:rPr>
          <w:rFonts w:ascii="Times New Roman" w:hAnsi="Times New Roman" w:cs="Times New Roman"/>
          <w:b w:val="0"/>
          <w:i w:val="0"/>
          <w:sz w:val="22"/>
        </w:rPr>
        <w:t>- Documentary completeness — specifies which documents are required for settlement (banks require this).</w:t>
      </w:r>
    </w:p>
    <w:p>
      <w:pPr>
        <w:spacing w:after="80" w:line="293" w:lineRule="auto"/>
        <w:ind w:left="283"/>
        <w:jc w:val="left"/>
      </w:pPr>
      <w:r>
        <w:rPr>
          <w:rFonts w:ascii="Times New Roman" w:hAnsi="Times New Roman" w:cs="Times New Roman"/>
          <w:b w:val="0"/>
          <w:i w:val="0"/>
          <w:sz w:val="22"/>
        </w:rPr>
        <w:t>- Non-marketplace — never recommends specific banks, financiers, or settlement providers.</w:t>
      </w:r>
    </w:p>
    <w:p>
      <w:pPr>
        <w:spacing w:after="80" w:line="293" w:lineRule="auto"/>
        <w:jc w:val="left"/>
      </w:pPr>
      <w:r>
        <w:rPr>
          <w:rFonts w:ascii="Times New Roman" w:hAnsi="Times New Roman" w:cs="Times New Roman"/>
          <w:b w:val="0"/>
          <w:i w:val="0"/>
          <w:sz w:val="22"/>
        </w:rPr>
        <w:t>AI authority in this section: A1 (Groq) settlement readiness recommendations; A4 (WasmEdge) settlement validation and incoterm compatibility.</w:t>
      </w:r>
    </w:p>
    <w:p>
      <w:pPr>
        <w:keepNext/>
        <w:spacing w:before="180" w:after="80"/>
        <w:outlineLvl w:val="2"/>
      </w:pPr>
      <w:r>
        <w:rPr>
          <w:rFonts w:ascii="Arial" w:hAnsi="Arial" w:cs="Arial"/>
          <w:b/>
          <w:i w:val="0"/>
          <w:color w:val="333333"/>
          <w:sz w:val="23"/>
        </w:rPr>
        <w:t>6.11.2 Commercial Priority</w:t>
      </w:r>
    </w:p>
    <w:p>
      <w:pPr>
        <w:spacing w:after="80" w:line="293" w:lineRule="auto"/>
        <w:jc w:val="left"/>
      </w:pPr>
      <w:r>
        <w:rPr>
          <w:rFonts w:ascii="Times New Roman" w:hAnsi="Times New Roman" w:cs="Times New Roman"/>
          <w:b w:val="0"/>
          <w:i w:val="0"/>
          <w:sz w:val="22"/>
        </w:rPr>
        <w:t>Description: the buyer's primary commercial objective for the settlement. This guides the negotiation AI and helps structure optimal terms. Fields: radio buttons. Options: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Option</w:t>
            </w:r>
          </w:p>
        </w:tc>
        <w:tc>
          <w:tcPr>
            <w:tcW w:type="dxa" w:w="4819"/>
            <w:shd w:val="clear" w:fill="D9E2F3"/>
          </w:tcPr>
          <w:p>
            <w:pPr>
              <w:spacing w:after="20" w:before="20" w:line="240" w:lineRule="auto"/>
            </w:pPr>
            <w:r/>
            <w:r>
              <w:rPr>
                <w:rFonts w:ascii="Arial" w:hAnsi="Arial" w:cs="Arial"/>
                <w:b/>
                <w:i w:val="0"/>
                <w:sz w:val="18"/>
              </w:rPr>
              <w:t>Objective</w:t>
            </w:r>
          </w:p>
        </w:tc>
      </w:tr>
      <w:tr>
        <w:tc>
          <w:tcPr>
            <w:tcW w:type="dxa" w:w="4819"/>
          </w:tcPr>
          <w:p>
            <w:pPr>
              <w:spacing w:after="20" w:before="20" w:line="240" w:lineRule="auto"/>
            </w:pPr>
            <w:r/>
            <w:r>
              <w:rPr>
                <w:rFonts w:ascii="Arial" w:hAnsi="Arial" w:cs="Arial"/>
                <w:b w:val="0"/>
                <w:i w:val="0"/>
                <w:sz w:val="17"/>
              </w:rPr>
              <w:t>Lowest Cost</w:t>
            </w:r>
          </w:p>
        </w:tc>
        <w:tc>
          <w:tcPr>
            <w:tcW w:type="dxa" w:w="4819"/>
          </w:tcPr>
          <w:p>
            <w:pPr>
              <w:spacing w:after="20" w:before="20" w:line="240" w:lineRule="auto"/>
            </w:pPr>
            <w:r/>
            <w:r>
              <w:rPr>
                <w:rFonts w:ascii="Arial" w:hAnsi="Arial" w:cs="Arial"/>
                <w:b w:val="0"/>
                <w:i w:val="0"/>
                <w:sz w:val="17"/>
              </w:rPr>
              <w:t>Minimise transaction costs (fees, FX spreads)</w:t>
            </w:r>
          </w:p>
        </w:tc>
      </w:tr>
      <w:tr>
        <w:tc>
          <w:tcPr>
            <w:tcW w:type="dxa" w:w="4819"/>
          </w:tcPr>
          <w:p>
            <w:pPr>
              <w:spacing w:after="20" w:before="20" w:line="240" w:lineRule="auto"/>
            </w:pPr>
            <w:r/>
            <w:r>
              <w:rPr>
                <w:rFonts w:ascii="Arial" w:hAnsi="Arial" w:cs="Arial"/>
                <w:b w:val="0"/>
                <w:i w:val="0"/>
                <w:sz w:val="17"/>
              </w:rPr>
              <w:t>Fastest Settlement</w:t>
            </w:r>
          </w:p>
        </w:tc>
        <w:tc>
          <w:tcPr>
            <w:tcW w:type="dxa" w:w="4819"/>
          </w:tcPr>
          <w:p>
            <w:pPr>
              <w:spacing w:after="20" w:before="20" w:line="240" w:lineRule="auto"/>
            </w:pPr>
            <w:r/>
            <w:r>
              <w:rPr>
                <w:rFonts w:ascii="Arial" w:hAnsi="Arial" w:cs="Arial"/>
                <w:b w:val="0"/>
                <w:i w:val="0"/>
                <w:sz w:val="17"/>
              </w:rPr>
              <w:t>Maximise speed of payment (accelerate cash flow)</w:t>
            </w:r>
          </w:p>
        </w:tc>
      </w:tr>
      <w:tr>
        <w:tc>
          <w:tcPr>
            <w:tcW w:type="dxa" w:w="4819"/>
          </w:tcPr>
          <w:p>
            <w:pPr>
              <w:spacing w:after="20" w:before="20" w:line="240" w:lineRule="auto"/>
            </w:pPr>
            <w:r/>
            <w:r>
              <w:rPr>
                <w:rFonts w:ascii="Arial" w:hAnsi="Arial" w:cs="Arial"/>
                <w:b w:val="0"/>
                <w:i w:val="0"/>
                <w:sz w:val="17"/>
              </w:rPr>
              <w:t>Financing Friendly</w:t>
            </w:r>
          </w:p>
        </w:tc>
        <w:tc>
          <w:tcPr>
            <w:tcW w:type="dxa" w:w="4819"/>
          </w:tcPr>
          <w:p>
            <w:pPr>
              <w:spacing w:after="20" w:before="20" w:line="240" w:lineRule="auto"/>
            </w:pPr>
            <w:r/>
            <w:r>
              <w:rPr>
                <w:rFonts w:ascii="Arial" w:hAnsi="Arial" w:cs="Arial"/>
                <w:b w:val="0"/>
                <w:i w:val="0"/>
                <w:sz w:val="17"/>
              </w:rPr>
              <w:t>Structure that is most attractive to financiers</w:t>
            </w:r>
          </w:p>
        </w:tc>
      </w:tr>
      <w:tr>
        <w:tc>
          <w:tcPr>
            <w:tcW w:type="dxa" w:w="4819"/>
          </w:tcPr>
          <w:p>
            <w:pPr>
              <w:spacing w:after="20" w:before="20" w:line="240" w:lineRule="auto"/>
            </w:pPr>
            <w:r/>
            <w:r>
              <w:rPr>
                <w:rFonts w:ascii="Arial" w:hAnsi="Arial" w:cs="Arial"/>
                <w:b w:val="0"/>
                <w:i w:val="0"/>
                <w:sz w:val="17"/>
              </w:rPr>
              <w:t>Balanced</w:t>
            </w:r>
          </w:p>
        </w:tc>
        <w:tc>
          <w:tcPr>
            <w:tcW w:type="dxa" w:w="4819"/>
          </w:tcPr>
          <w:p>
            <w:pPr>
              <w:spacing w:after="20" w:before="20" w:line="240" w:lineRule="auto"/>
            </w:pPr>
            <w:r/>
            <w:r>
              <w:rPr>
                <w:rFonts w:ascii="Arial" w:hAnsi="Arial" w:cs="Arial"/>
                <w:b w:val="0"/>
                <w:i w:val="0"/>
                <w:sz w:val="17"/>
              </w:rPr>
              <w:t>Balanced approach across cost, speed, and financing</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Why it matters: without collecting banking data, the system can prioritise settlement options that align with the buyer's commercial goals and guide the negotiation AI.</w:t>
      </w:r>
    </w:p>
    <w:p>
      <w:pPr>
        <w:spacing w:after="0" w:before="0" w:line="240" w:lineRule="auto"/>
        <w:ind w:left="57"/>
        <w:jc w:val="left"/>
        <w:shd w:val="clear" w:fill="F2F2F2"/>
      </w:pPr>
      <w:r>
        <w:rPr>
          <w:rFonts w:ascii="Consolas" w:hAnsi="Consolas" w:cs="Consolas"/>
          <w:b w:val="0"/>
          <w:i w:val="0"/>
          <w:sz w:val="15"/>
        </w:rPr>
        <w:t>COMMERCIAL PRIORITY</w:t>
      </w:r>
    </w:p>
    <w:p>
      <w:pPr>
        <w:spacing w:after="0" w:before="0" w:line="240" w:lineRule="auto"/>
        <w:ind w:left="57"/>
        <w:jc w:val="left"/>
        <w:shd w:val="clear" w:fill="F2F2F2"/>
      </w:pPr>
      <w:r>
        <w:rPr>
          <w:rFonts w:ascii="Consolas" w:hAnsi="Consolas" w:cs="Consolas"/>
          <w:b w:val="0"/>
          <w:i w:val="0"/>
          <w:sz w:val="15"/>
        </w:rPr>
        <w:t xml:space="preserve">  What is your primary commercial objective for this settlement?</w:t>
      </w:r>
    </w:p>
    <w:p>
      <w:pPr>
        <w:spacing w:after="0" w:before="0" w:line="240" w:lineRule="auto"/>
        <w:ind w:left="57"/>
        <w:jc w:val="left"/>
        <w:shd w:val="clear" w:fill="F2F2F2"/>
      </w:pPr>
      <w:r>
        <w:rPr>
          <w:rFonts w:ascii="Consolas" w:hAnsi="Consolas" w:cs="Consolas"/>
          <w:b w:val="0"/>
          <w:i w:val="0"/>
          <w:sz w:val="15"/>
        </w:rPr>
        <w:t xml:space="preserve">  [Lowest Cost] [Fastest Settlement] [Financing Friendly] [Balanced]</w:t>
      </w:r>
    </w:p>
    <w:p>
      <w:pPr>
        <w:spacing w:after="0" w:before="0" w:line="240" w:lineRule="auto"/>
        <w:ind w:left="57"/>
        <w:jc w:val="left"/>
        <w:shd w:val="clear" w:fill="F2F2F2"/>
      </w:pPr>
      <w:r>
        <w:rPr>
          <w:rFonts w:ascii="Consolas" w:hAnsi="Consolas" w:cs="Consolas"/>
          <w:b w:val="0"/>
          <w:i w:val="0"/>
          <w:sz w:val="15"/>
        </w:rPr>
        <w:t xml:space="preserve">  This helps us recommend optimal settlement structures.</w:t>
      </w:r>
    </w:p>
    <w:p>
      <w:pPr>
        <w:spacing w:after="0" w:before="0" w:line="240" w:lineRule="auto"/>
        <w:ind w:left="57"/>
        <w:jc w:val="left"/>
        <w:shd w:val="clear" w:fill="F2F2F2"/>
      </w:pPr>
      <w:r>
        <w:rPr>
          <w:rFonts w:ascii="Consolas" w:hAnsi="Consolas" w:cs="Consolas"/>
          <w:b w:val="0"/>
          <w:i w:val="0"/>
          <w:sz w:val="15"/>
        </w:rPr>
        <w:t xml:space="preserve">  • Lowest Cost: LC may be expensive; consider Bank Transfer.</w:t>
      </w:r>
    </w:p>
    <w:p>
      <w:pPr>
        <w:spacing w:after="0" w:before="0" w:line="240" w:lineRule="auto"/>
        <w:ind w:left="57"/>
        <w:jc w:val="left"/>
        <w:shd w:val="clear" w:fill="F2F2F2"/>
      </w:pPr>
      <w:r>
        <w:rPr>
          <w:rFonts w:ascii="Consolas" w:hAnsi="Consolas" w:cs="Consolas"/>
          <w:b w:val="0"/>
          <w:i w:val="0"/>
          <w:sz w:val="15"/>
        </w:rPr>
        <w:t xml:space="preserve">  • Fastest Settlement: Bank Transfer or Open Account.</w:t>
      </w:r>
    </w:p>
    <w:p>
      <w:pPr>
        <w:spacing w:after="0" w:before="0" w:line="240" w:lineRule="auto"/>
        <w:ind w:left="57"/>
        <w:jc w:val="left"/>
        <w:shd w:val="clear" w:fill="F2F2F2"/>
      </w:pPr>
      <w:r>
        <w:rPr>
          <w:rFonts w:ascii="Consolas" w:hAnsi="Consolas" w:cs="Consolas"/>
          <w:b w:val="0"/>
          <w:i w:val="0"/>
          <w:sz w:val="15"/>
        </w:rPr>
        <w:t xml:space="preserve">  • Financing Friendly: LC or Documentary Collection.</w:t>
      </w:r>
    </w:p>
    <w:p>
      <w:pPr>
        <w:spacing w:after="0" w:before="0" w:line="240" w:lineRule="auto"/>
        <w:ind w:left="57"/>
        <w:jc w:val="left"/>
        <w:shd w:val="clear" w:fill="F2F2F2"/>
      </w:pPr>
      <w:r>
        <w:rPr>
          <w:rFonts w:ascii="Consolas" w:hAnsi="Consolas" w:cs="Consolas"/>
          <w:b w:val="0"/>
          <w:i w:val="0"/>
          <w:sz w:val="15"/>
        </w:rPr>
        <w:t xml:space="preserve">  • Balanced: Documentary Collection or LC.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6.11.3 Preferred Settlement Structure</w:t>
      </w:r>
    </w:p>
    <w:p>
      <w:pPr>
        <w:spacing w:after="80" w:line="293" w:lineRule="auto"/>
        <w:jc w:val="left"/>
      </w:pPr>
      <w:r>
        <w:rPr>
          <w:rFonts w:ascii="Times New Roman" w:hAnsi="Times New Roman" w:cs="Times New Roman"/>
          <w:b w:val="0"/>
          <w:i w:val="0"/>
          <w:sz w:val="22"/>
        </w:rPr>
        <w:t>Description: defines the preferred settlement instrument. This reflects actual trade structures, not banking products. Fields: radio buttons. Options: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Option</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Documentary Credit (LC)</w:t>
            </w:r>
          </w:p>
        </w:tc>
        <w:tc>
          <w:tcPr>
            <w:tcW w:type="dxa" w:w="4819"/>
          </w:tcPr>
          <w:p>
            <w:pPr>
              <w:spacing w:after="20" w:before="20" w:line="240" w:lineRule="auto"/>
            </w:pPr>
            <w:r/>
            <w:r>
              <w:rPr>
                <w:rFonts w:ascii="Arial" w:hAnsi="Arial" w:cs="Arial"/>
                <w:b w:val="0"/>
                <w:i w:val="0"/>
                <w:sz w:val="17"/>
              </w:rPr>
              <w:t>Letter of Credit (irrevocable, confirmed)</w:t>
            </w:r>
          </w:p>
        </w:tc>
      </w:tr>
      <w:tr>
        <w:tc>
          <w:tcPr>
            <w:tcW w:type="dxa" w:w="4819"/>
          </w:tcPr>
          <w:p>
            <w:pPr>
              <w:spacing w:after="20" w:before="20" w:line="240" w:lineRule="auto"/>
            </w:pPr>
            <w:r/>
            <w:r>
              <w:rPr>
                <w:rFonts w:ascii="Arial" w:hAnsi="Arial" w:cs="Arial"/>
                <w:b w:val="0"/>
                <w:i w:val="0"/>
                <w:sz w:val="17"/>
              </w:rPr>
              <w:t>Documentary Collection</w:t>
            </w:r>
          </w:p>
        </w:tc>
        <w:tc>
          <w:tcPr>
            <w:tcW w:type="dxa" w:w="4819"/>
          </w:tcPr>
          <w:p>
            <w:pPr>
              <w:spacing w:after="20" w:before="20" w:line="240" w:lineRule="auto"/>
            </w:pPr>
            <w:r/>
            <w:r>
              <w:rPr>
                <w:rFonts w:ascii="Arial" w:hAnsi="Arial" w:cs="Arial"/>
                <w:b w:val="0"/>
                <w:i w:val="0"/>
                <w:sz w:val="17"/>
              </w:rPr>
              <w:t>Bank collects payment against documents</w:t>
            </w:r>
          </w:p>
        </w:tc>
      </w:tr>
      <w:tr>
        <w:tc>
          <w:tcPr>
            <w:tcW w:type="dxa" w:w="4819"/>
          </w:tcPr>
          <w:p>
            <w:pPr>
              <w:spacing w:after="20" w:before="20" w:line="240" w:lineRule="auto"/>
            </w:pPr>
            <w:r/>
            <w:r>
              <w:rPr>
                <w:rFonts w:ascii="Arial" w:hAnsi="Arial" w:cs="Arial"/>
                <w:b w:val="0"/>
                <w:i w:val="0"/>
                <w:sz w:val="17"/>
              </w:rPr>
              <w:t>Bank Transfer</w:t>
            </w:r>
          </w:p>
        </w:tc>
        <w:tc>
          <w:tcPr>
            <w:tcW w:type="dxa" w:w="4819"/>
          </w:tcPr>
          <w:p>
            <w:pPr>
              <w:spacing w:after="20" w:before="20" w:line="240" w:lineRule="auto"/>
            </w:pPr>
            <w:r/>
            <w:r>
              <w:rPr>
                <w:rFonts w:ascii="Arial" w:hAnsi="Arial" w:cs="Arial"/>
                <w:b w:val="0"/>
                <w:i w:val="0"/>
                <w:sz w:val="17"/>
              </w:rPr>
              <w:t>Direct wire transfer (SWIFT, SEPA, etc.)</w:t>
            </w:r>
          </w:p>
        </w:tc>
      </w:tr>
      <w:tr>
        <w:tc>
          <w:tcPr>
            <w:tcW w:type="dxa" w:w="4819"/>
          </w:tcPr>
          <w:p>
            <w:pPr>
              <w:spacing w:after="20" w:before="20" w:line="240" w:lineRule="auto"/>
            </w:pPr>
            <w:r/>
            <w:r>
              <w:rPr>
                <w:rFonts w:ascii="Arial" w:hAnsi="Arial" w:cs="Arial"/>
                <w:b w:val="0"/>
                <w:i w:val="0"/>
                <w:sz w:val="17"/>
              </w:rPr>
              <w:t>Open Account</w:t>
            </w:r>
          </w:p>
        </w:tc>
        <w:tc>
          <w:tcPr>
            <w:tcW w:type="dxa" w:w="4819"/>
          </w:tcPr>
          <w:p>
            <w:pPr>
              <w:spacing w:after="20" w:before="20" w:line="240" w:lineRule="auto"/>
            </w:pPr>
            <w:r/>
            <w:r>
              <w:rPr>
                <w:rFonts w:ascii="Arial" w:hAnsi="Arial" w:cs="Arial"/>
                <w:b w:val="0"/>
                <w:i w:val="0"/>
                <w:sz w:val="17"/>
              </w:rPr>
              <w:t>Payment after delivery (trust-based)</w:t>
            </w:r>
          </w:p>
        </w:tc>
      </w:tr>
      <w:tr>
        <w:tc>
          <w:tcPr>
            <w:tcW w:type="dxa" w:w="4819"/>
          </w:tcPr>
          <w:p>
            <w:pPr>
              <w:spacing w:after="20" w:before="20" w:line="240" w:lineRule="auto"/>
            </w:pPr>
            <w:r/>
            <w:r>
              <w:rPr>
                <w:rFonts w:ascii="Arial" w:hAnsi="Arial" w:cs="Arial"/>
                <w:b w:val="0"/>
                <w:i w:val="0"/>
                <w:sz w:val="17"/>
              </w:rPr>
              <w:t>To Be Negotiated</w:t>
            </w:r>
          </w:p>
        </w:tc>
        <w:tc>
          <w:tcPr>
            <w:tcW w:type="dxa" w:w="4819"/>
          </w:tcPr>
          <w:p>
            <w:pPr>
              <w:spacing w:after="20" w:before="20" w:line="240" w:lineRule="auto"/>
            </w:pPr>
            <w:r/>
            <w:r>
              <w:rPr>
                <w:rFonts w:ascii="Arial" w:hAnsi="Arial" w:cs="Arial"/>
                <w:b w:val="0"/>
                <w:i w:val="0"/>
                <w:sz w:val="17"/>
              </w:rPr>
              <w:t>Open to discussion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Why it matters: determines the settlement workflow, bank settlement rails, and financing eligibility.</w:t>
      </w:r>
    </w:p>
    <w:p>
      <w:pPr>
        <w:spacing w:after="0" w:before="0" w:line="240" w:lineRule="auto"/>
        <w:ind w:left="57"/>
        <w:jc w:val="left"/>
        <w:shd w:val="clear" w:fill="F2F2F2"/>
      </w:pPr>
      <w:r>
        <w:rPr>
          <w:rFonts w:ascii="Consolas" w:hAnsi="Consolas" w:cs="Consolas"/>
          <w:b w:val="0"/>
          <w:i w:val="0"/>
          <w:sz w:val="15"/>
        </w:rPr>
        <w:t>PREFERRED SETTLEMENT STRUCTURE</w:t>
      </w:r>
    </w:p>
    <w:p>
      <w:pPr>
        <w:spacing w:after="0" w:before="0" w:line="240" w:lineRule="auto"/>
        <w:ind w:left="57"/>
        <w:jc w:val="left"/>
        <w:shd w:val="clear" w:fill="F2F2F2"/>
      </w:pPr>
      <w:r>
        <w:rPr>
          <w:rFonts w:ascii="Consolas" w:hAnsi="Consolas" w:cs="Consolas"/>
          <w:b w:val="0"/>
          <w:i w:val="0"/>
          <w:sz w:val="15"/>
        </w:rPr>
        <w:t xml:space="preserve">  Select the preferred settlement instrument for this trade:</w:t>
      </w:r>
    </w:p>
    <w:p>
      <w:pPr>
        <w:spacing w:after="0" w:before="0" w:line="240" w:lineRule="auto"/>
        <w:ind w:left="57"/>
        <w:jc w:val="left"/>
        <w:shd w:val="clear" w:fill="F2F2F2"/>
      </w:pPr>
      <w:r>
        <w:rPr>
          <w:rFonts w:ascii="Consolas" w:hAnsi="Consolas" w:cs="Consolas"/>
          <w:b w:val="0"/>
          <w:i w:val="0"/>
          <w:sz w:val="15"/>
        </w:rPr>
        <w:t xml:space="preserve">  [Documentary Credit (LC)] [Documentary Collection] [Bank Transfer]</w:t>
      </w:r>
    </w:p>
    <w:p>
      <w:pPr>
        <w:spacing w:after="0" w:before="0" w:line="240" w:lineRule="auto"/>
        <w:ind w:left="57"/>
        <w:jc w:val="left"/>
        <w:shd w:val="clear" w:fill="F2F2F2"/>
      </w:pPr>
      <w:r>
        <w:rPr>
          <w:rFonts w:ascii="Consolas" w:hAnsi="Consolas" w:cs="Consolas"/>
          <w:b w:val="0"/>
          <w:i w:val="0"/>
          <w:sz w:val="15"/>
        </w:rPr>
        <w:t xml:space="preserve">  [Open Account] [To Be Negotiated]</w:t>
      </w:r>
    </w:p>
    <w:p>
      <w:pPr>
        <w:spacing w:after="0" w:before="0" w:line="240" w:lineRule="auto"/>
        <w:ind w:left="57"/>
        <w:jc w:val="left"/>
        <w:shd w:val="clear" w:fill="F2F2F2"/>
      </w:pPr>
      <w:r>
        <w:rPr>
          <w:rFonts w:ascii="Consolas" w:hAnsi="Consolas" w:cs="Consolas"/>
          <w:b w:val="0"/>
          <w:i w:val="0"/>
          <w:sz w:val="15"/>
        </w:rPr>
        <w:t xml:space="preserve">  LC is recommended for high-value or new relationships.</w:t>
      </w:r>
    </w:p>
    <w:p>
      <w:pPr>
        <w:spacing w:after="0" w:before="0" w:line="240" w:lineRule="auto"/>
        <w:ind w:left="57"/>
        <w:jc w:val="left"/>
        <w:shd w:val="clear" w:fill="F2F2F2"/>
      </w:pPr>
      <w:r>
        <w:rPr>
          <w:rFonts w:ascii="Consolas" w:hAnsi="Consolas" w:cs="Consolas"/>
          <w:b w:val="0"/>
          <w:i w:val="0"/>
          <w:sz w:val="15"/>
        </w:rPr>
        <w:t xml:space="preserve">  Documentary Collection is suitable for established relationships.</w:t>
      </w:r>
    </w:p>
    <w:p>
      <w:pPr>
        <w:spacing w:after="0" w:before="0" w:line="240" w:lineRule="auto"/>
        <w:ind w:left="57"/>
        <w:jc w:val="left"/>
        <w:shd w:val="clear" w:fill="F2F2F2"/>
      </w:pPr>
      <w:r>
        <w:rPr>
          <w:rFonts w:ascii="Consolas" w:hAnsi="Consolas" w:cs="Consolas"/>
          <w:b w:val="0"/>
          <w:i w:val="0"/>
          <w:sz w:val="15"/>
        </w:rPr>
        <w:t xml:space="preserve">  Bank Transfer is fastest but offers no protection.</w:t>
      </w:r>
    </w:p>
    <w:p>
      <w:pPr>
        <w:spacing w:after="0" w:before="0" w:line="240" w:lineRule="auto"/>
        <w:ind w:left="57"/>
        <w:jc w:val="left"/>
        <w:shd w:val="clear" w:fill="F2F2F2"/>
      </w:pPr>
      <w:r>
        <w:rPr>
          <w:rFonts w:ascii="Consolas" w:hAnsi="Consolas" w:cs="Consolas"/>
          <w:b w:val="0"/>
          <w:i w:val="0"/>
          <w:sz w:val="15"/>
        </w:rPr>
        <w:t xml:space="preserve">  If LC is selected:</w:t>
      </w:r>
    </w:p>
    <w:p>
      <w:pPr>
        <w:spacing w:after="0" w:before="0" w:line="240" w:lineRule="auto"/>
        <w:ind w:left="57"/>
        <w:jc w:val="left"/>
        <w:shd w:val="clear" w:fill="F2F2F2"/>
      </w:pPr>
      <w:r>
        <w:rPr>
          <w:rFonts w:ascii="Consolas" w:hAnsi="Consolas" w:cs="Consolas"/>
          <w:b w:val="0"/>
          <w:i w:val="0"/>
          <w:sz w:val="15"/>
        </w:rPr>
        <w:t xml:space="preserve">    LC is irrevocable</w:t>
      </w:r>
    </w:p>
    <w:p>
      <w:pPr>
        <w:spacing w:after="0" w:before="0" w:line="240" w:lineRule="auto"/>
        <w:ind w:left="57"/>
        <w:jc w:val="left"/>
        <w:shd w:val="clear" w:fill="F2F2F2"/>
      </w:pPr>
      <w:r>
        <w:rPr>
          <w:rFonts w:ascii="Consolas" w:hAnsi="Consolas" w:cs="Consolas"/>
          <w:b w:val="0"/>
          <w:i w:val="0"/>
          <w:sz w:val="15"/>
        </w:rPr>
        <w:t xml:space="preserve">    LC confirmed by a recognized bank</w:t>
      </w:r>
    </w:p>
    <w:p>
      <w:pPr>
        <w:spacing w:after="0" w:before="0" w:line="240" w:lineRule="auto"/>
        <w:ind w:left="57"/>
        <w:jc w:val="left"/>
        <w:shd w:val="clear" w:fill="F2F2F2"/>
      </w:pPr>
      <w:r>
        <w:rPr>
          <w:rFonts w:ascii="Consolas" w:hAnsi="Consolas" w:cs="Consolas"/>
          <w:b w:val="0"/>
          <w:i w:val="0"/>
          <w:sz w:val="15"/>
        </w:rPr>
        <w:t xml:space="preserve">    LC at sight</w:t>
      </w:r>
    </w:p>
    <w:p>
      <w:pPr>
        <w:spacing w:after="0" w:before="0" w:line="240" w:lineRule="auto"/>
        <w:ind w:left="57"/>
        <w:jc w:val="left"/>
        <w:shd w:val="clear" w:fill="F2F2F2"/>
      </w:pPr>
      <w:r>
        <w:rPr>
          <w:rFonts w:ascii="Consolas" w:hAnsi="Consolas" w:cs="Consolas"/>
          <w:b w:val="0"/>
          <w:i w:val="0"/>
          <w:sz w:val="15"/>
        </w:rPr>
        <w:t xml:space="preserve">    LC expiry date: [2026-08-15]</w:t>
      </w:r>
    </w:p>
    <w:p>
      <w:pPr>
        <w:spacing w:after="0" w:before="0" w:line="240" w:lineRule="auto"/>
        <w:ind w:left="57"/>
        <w:jc w:val="left"/>
        <w:shd w:val="clear" w:fill="F2F2F2"/>
      </w:pPr>
      <w:r>
        <w:rPr>
          <w:rFonts w:ascii="Consolas" w:hAnsi="Consolas" w:cs="Consolas"/>
          <w:b w:val="0"/>
          <w:i w:val="0"/>
          <w:sz w:val="15"/>
        </w:rPr>
        <w:t xml:space="preserve">    LC number: [LC-2026-001]</w:t>
      </w:r>
    </w:p>
    <w:p>
      <w:pPr>
        <w:spacing w:after="0" w:before="0" w:line="240" w:lineRule="auto"/>
        <w:ind w:left="57"/>
        <w:jc w:val="left"/>
        <w:shd w:val="clear" w:fill="F2F2F2"/>
      </w:pPr>
      <w:r>
        <w:rPr>
          <w:rFonts w:ascii="Consolas" w:hAnsi="Consolas" w:cs="Consolas"/>
          <w:b w:val="0"/>
          <w:i w:val="0"/>
          <w:sz w:val="15"/>
        </w:rPr>
        <w:t xml:space="preserve">    [View LC Terms &amp; Conditions]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6.11.4 Preferred Payment Timing</w:t>
      </w:r>
    </w:p>
    <w:p>
      <w:pPr>
        <w:spacing w:after="80" w:line="293" w:lineRule="auto"/>
        <w:jc w:val="left"/>
      </w:pPr>
      <w:r>
        <w:rPr>
          <w:rFonts w:ascii="Times New Roman" w:hAnsi="Times New Roman" w:cs="Times New Roman"/>
          <w:b w:val="0"/>
          <w:i w:val="0"/>
          <w:sz w:val="22"/>
        </w:rPr>
        <w:t>Description: defines the preferred timing of payment. This is often more important than the actual payment instrument. Fields: radio buttons. Options: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Option</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Advance Payment</w:t>
            </w:r>
          </w:p>
        </w:tc>
        <w:tc>
          <w:tcPr>
            <w:tcW w:type="dxa" w:w="4819"/>
          </w:tcPr>
          <w:p>
            <w:pPr>
              <w:spacing w:after="20" w:before="20" w:line="240" w:lineRule="auto"/>
            </w:pPr>
            <w:r/>
            <w:r>
              <w:rPr>
                <w:rFonts w:ascii="Arial" w:hAnsi="Arial" w:cs="Arial"/>
                <w:b w:val="0"/>
                <w:i w:val="0"/>
                <w:sz w:val="17"/>
              </w:rPr>
              <w:t>100% before shipment</w:t>
            </w:r>
          </w:p>
        </w:tc>
      </w:tr>
      <w:tr>
        <w:tc>
          <w:tcPr>
            <w:tcW w:type="dxa" w:w="4819"/>
          </w:tcPr>
          <w:p>
            <w:pPr>
              <w:spacing w:after="20" w:before="20" w:line="240" w:lineRule="auto"/>
            </w:pPr>
            <w:r/>
            <w:r>
              <w:rPr>
                <w:rFonts w:ascii="Arial" w:hAnsi="Arial" w:cs="Arial"/>
                <w:b w:val="0"/>
                <w:i w:val="0"/>
                <w:sz w:val="17"/>
              </w:rPr>
              <w:t>Partial Advance</w:t>
            </w:r>
          </w:p>
        </w:tc>
        <w:tc>
          <w:tcPr>
            <w:tcW w:type="dxa" w:w="4819"/>
          </w:tcPr>
          <w:p>
            <w:pPr>
              <w:spacing w:after="20" w:before="20" w:line="240" w:lineRule="auto"/>
            </w:pPr>
            <w:r/>
            <w:r>
              <w:rPr>
                <w:rFonts w:ascii="Arial" w:hAnsi="Arial" w:cs="Arial"/>
                <w:b w:val="0"/>
                <w:i w:val="0"/>
                <w:sz w:val="17"/>
              </w:rPr>
              <w:t>Percentage advance, balance later</w:t>
            </w:r>
          </w:p>
        </w:tc>
      </w:tr>
      <w:tr>
        <w:tc>
          <w:tcPr>
            <w:tcW w:type="dxa" w:w="4819"/>
          </w:tcPr>
          <w:p>
            <w:pPr>
              <w:spacing w:after="20" w:before="20" w:line="240" w:lineRule="auto"/>
            </w:pPr>
            <w:r/>
            <w:r>
              <w:rPr>
                <w:rFonts w:ascii="Arial" w:hAnsi="Arial" w:cs="Arial"/>
                <w:b w:val="0"/>
                <w:i w:val="0"/>
                <w:sz w:val="17"/>
              </w:rPr>
              <w:t>Against Documents</w:t>
            </w:r>
          </w:p>
        </w:tc>
        <w:tc>
          <w:tcPr>
            <w:tcW w:type="dxa" w:w="4819"/>
          </w:tcPr>
          <w:p>
            <w:pPr>
              <w:spacing w:after="20" w:before="20" w:line="240" w:lineRule="auto"/>
            </w:pPr>
            <w:r/>
            <w:r>
              <w:rPr>
                <w:rFonts w:ascii="Arial" w:hAnsi="Arial" w:cs="Arial"/>
                <w:b w:val="0"/>
                <w:i w:val="0"/>
                <w:sz w:val="17"/>
              </w:rPr>
              <w:t>Payment on presentation of documents</w:t>
            </w:r>
          </w:p>
        </w:tc>
      </w:tr>
      <w:tr>
        <w:tc>
          <w:tcPr>
            <w:tcW w:type="dxa" w:w="4819"/>
          </w:tcPr>
          <w:p>
            <w:pPr>
              <w:spacing w:after="20" w:before="20" w:line="240" w:lineRule="auto"/>
            </w:pPr>
            <w:r/>
            <w:r>
              <w:rPr>
                <w:rFonts w:ascii="Arial" w:hAnsi="Arial" w:cs="Arial"/>
                <w:b w:val="0"/>
                <w:i w:val="0"/>
                <w:sz w:val="17"/>
              </w:rPr>
              <w:t>Against Shipment</w:t>
            </w:r>
          </w:p>
        </w:tc>
        <w:tc>
          <w:tcPr>
            <w:tcW w:type="dxa" w:w="4819"/>
          </w:tcPr>
          <w:p>
            <w:pPr>
              <w:spacing w:after="20" w:before="20" w:line="240" w:lineRule="auto"/>
            </w:pPr>
            <w:r/>
            <w:r>
              <w:rPr>
                <w:rFonts w:ascii="Arial" w:hAnsi="Arial" w:cs="Arial"/>
                <w:b w:val="0"/>
                <w:i w:val="0"/>
                <w:sz w:val="17"/>
              </w:rPr>
              <w:t>Payment when goods are shipped</w:t>
            </w:r>
          </w:p>
        </w:tc>
      </w:tr>
      <w:tr>
        <w:tc>
          <w:tcPr>
            <w:tcW w:type="dxa" w:w="4819"/>
          </w:tcPr>
          <w:p>
            <w:pPr>
              <w:spacing w:after="20" w:before="20" w:line="240" w:lineRule="auto"/>
            </w:pPr>
            <w:r/>
            <w:r>
              <w:rPr>
                <w:rFonts w:ascii="Arial" w:hAnsi="Arial" w:cs="Arial"/>
                <w:b w:val="0"/>
                <w:i w:val="0"/>
                <w:sz w:val="17"/>
              </w:rPr>
              <w:t>Against Delivery</w:t>
            </w:r>
          </w:p>
        </w:tc>
        <w:tc>
          <w:tcPr>
            <w:tcW w:type="dxa" w:w="4819"/>
          </w:tcPr>
          <w:p>
            <w:pPr>
              <w:spacing w:after="20" w:before="20" w:line="240" w:lineRule="auto"/>
            </w:pPr>
            <w:r/>
            <w:r>
              <w:rPr>
                <w:rFonts w:ascii="Arial" w:hAnsi="Arial" w:cs="Arial"/>
                <w:b w:val="0"/>
                <w:i w:val="0"/>
                <w:sz w:val="17"/>
              </w:rPr>
              <w:t>Payment when goods are delivered</w:t>
            </w:r>
          </w:p>
        </w:tc>
      </w:tr>
      <w:tr>
        <w:tc>
          <w:tcPr>
            <w:tcW w:type="dxa" w:w="4819"/>
          </w:tcPr>
          <w:p>
            <w:pPr>
              <w:spacing w:after="20" w:before="20" w:line="240" w:lineRule="auto"/>
            </w:pPr>
            <w:r/>
            <w:r>
              <w:rPr>
                <w:rFonts w:ascii="Arial" w:hAnsi="Arial" w:cs="Arial"/>
                <w:b w:val="0"/>
                <w:i w:val="0"/>
                <w:sz w:val="17"/>
              </w:rPr>
              <w:t>Deferred Payment</w:t>
            </w:r>
          </w:p>
        </w:tc>
        <w:tc>
          <w:tcPr>
            <w:tcW w:type="dxa" w:w="4819"/>
          </w:tcPr>
          <w:p>
            <w:pPr>
              <w:spacing w:after="20" w:before="20" w:line="240" w:lineRule="auto"/>
            </w:pPr>
            <w:r/>
            <w:r>
              <w:rPr>
                <w:rFonts w:ascii="Arial" w:hAnsi="Arial" w:cs="Arial"/>
                <w:b w:val="0"/>
                <w:i w:val="0"/>
                <w:sz w:val="17"/>
              </w:rPr>
              <w:t>Payment after a credit period</w:t>
            </w:r>
          </w:p>
        </w:tc>
      </w:tr>
      <w:tr>
        <w:tc>
          <w:tcPr>
            <w:tcW w:type="dxa" w:w="4819"/>
          </w:tcPr>
          <w:p>
            <w:pPr>
              <w:spacing w:after="20" w:before="20" w:line="240" w:lineRule="auto"/>
            </w:pPr>
            <w:r/>
            <w:r>
              <w:rPr>
                <w:rFonts w:ascii="Arial" w:hAnsi="Arial" w:cs="Arial"/>
                <w:b w:val="0"/>
                <w:i w:val="0"/>
                <w:sz w:val="17"/>
              </w:rPr>
              <w:t>To Be Negotiated</w:t>
            </w:r>
          </w:p>
        </w:tc>
        <w:tc>
          <w:tcPr>
            <w:tcW w:type="dxa" w:w="4819"/>
          </w:tcPr>
          <w:p>
            <w:pPr>
              <w:spacing w:after="20" w:before="20" w:line="240" w:lineRule="auto"/>
            </w:pPr>
            <w:r/>
            <w:r>
              <w:rPr>
                <w:rFonts w:ascii="Arial" w:hAnsi="Arial" w:cs="Arial"/>
                <w:b w:val="0"/>
                <w:i w:val="0"/>
                <w:sz w:val="17"/>
              </w:rPr>
              <w:t>Open to discussion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Why it matters: critical for cash flow planning and contract terms.</w:t>
      </w:r>
    </w:p>
    <w:p>
      <w:pPr>
        <w:spacing w:after="0" w:before="0" w:line="240" w:lineRule="auto"/>
        <w:ind w:left="57"/>
        <w:jc w:val="left"/>
        <w:shd w:val="clear" w:fill="F2F2F2"/>
      </w:pPr>
      <w:r>
        <w:rPr>
          <w:rFonts w:ascii="Consolas" w:hAnsi="Consolas" w:cs="Consolas"/>
          <w:b w:val="0"/>
          <w:i w:val="0"/>
          <w:sz w:val="15"/>
        </w:rPr>
        <w:t>PREFERRED PAYMENT TIMING</w:t>
      </w:r>
    </w:p>
    <w:p>
      <w:pPr>
        <w:spacing w:after="0" w:before="0" w:line="240" w:lineRule="auto"/>
        <w:ind w:left="57"/>
        <w:jc w:val="left"/>
        <w:shd w:val="clear" w:fill="F2F2F2"/>
      </w:pPr>
      <w:r>
        <w:rPr>
          <w:rFonts w:ascii="Consolas" w:hAnsi="Consolas" w:cs="Consolas"/>
          <w:b w:val="0"/>
          <w:i w:val="0"/>
          <w:sz w:val="15"/>
        </w:rPr>
        <w:t xml:space="preserve">  When do you prefer to make payment?</w:t>
      </w:r>
    </w:p>
    <w:p>
      <w:pPr>
        <w:spacing w:after="0" w:before="0" w:line="240" w:lineRule="auto"/>
        <w:ind w:left="57"/>
        <w:jc w:val="left"/>
        <w:shd w:val="clear" w:fill="F2F2F2"/>
      </w:pPr>
      <w:r>
        <w:rPr>
          <w:rFonts w:ascii="Consolas" w:hAnsi="Consolas" w:cs="Consolas"/>
          <w:b w:val="0"/>
          <w:i w:val="0"/>
          <w:sz w:val="15"/>
        </w:rPr>
        <w:t xml:space="preserve">  [Advance Payment] [Partial Advance] [Against Documents]</w:t>
      </w:r>
    </w:p>
    <w:p>
      <w:pPr>
        <w:spacing w:after="0" w:before="0" w:line="240" w:lineRule="auto"/>
        <w:ind w:left="57"/>
        <w:jc w:val="left"/>
        <w:shd w:val="clear" w:fill="F2F2F2"/>
      </w:pPr>
      <w:r>
        <w:rPr>
          <w:rFonts w:ascii="Consolas" w:hAnsi="Consolas" w:cs="Consolas"/>
          <w:b w:val="0"/>
          <w:i w:val="0"/>
          <w:sz w:val="15"/>
        </w:rPr>
        <w:t xml:space="preserve">  [Against Shipment] [Against Delivery] [Deferred Payment]</w:t>
      </w:r>
    </w:p>
    <w:p>
      <w:pPr>
        <w:spacing w:after="0" w:before="0" w:line="240" w:lineRule="auto"/>
        <w:ind w:left="57"/>
        <w:jc w:val="left"/>
        <w:shd w:val="clear" w:fill="F2F2F2"/>
      </w:pPr>
      <w:r>
        <w:rPr>
          <w:rFonts w:ascii="Consolas" w:hAnsi="Consolas" w:cs="Consolas"/>
          <w:b w:val="0"/>
          <w:i w:val="0"/>
          <w:sz w:val="15"/>
        </w:rPr>
        <w:t xml:space="preserve">  [To Be Negotiated]</w:t>
      </w:r>
    </w:p>
    <w:p>
      <w:pPr>
        <w:spacing w:after="0" w:before="0" w:line="240" w:lineRule="auto"/>
        <w:ind w:left="57"/>
        <w:jc w:val="left"/>
        <w:shd w:val="clear" w:fill="F2F2F2"/>
      </w:pPr>
      <w:r>
        <w:rPr>
          <w:rFonts w:ascii="Consolas" w:hAnsi="Consolas" w:cs="Consolas"/>
          <w:b w:val="0"/>
          <w:i w:val="0"/>
          <w:sz w:val="15"/>
        </w:rPr>
        <w:t xml:space="preserve">  Against Documents is the most common timing for international trade.</w:t>
      </w:r>
    </w:p>
    <w:p>
      <w:pPr>
        <w:spacing w:after="0" w:before="0" w:line="240" w:lineRule="auto"/>
        <w:ind w:left="57"/>
        <w:jc w:val="left"/>
        <w:shd w:val="clear" w:fill="F2F2F2"/>
      </w:pPr>
      <w:r>
        <w:rPr>
          <w:rFonts w:ascii="Consolas" w:hAnsi="Consolas" w:cs="Consolas"/>
          <w:b w:val="0"/>
          <w:i w:val="0"/>
          <w:sz w:val="15"/>
        </w:rPr>
        <w:t xml:space="preserve">  Payment is made when documents are presented (typically 5-10 days after</w:t>
      </w:r>
    </w:p>
    <w:p>
      <w:pPr>
        <w:spacing w:after="0" w:before="0" w:line="240" w:lineRule="auto"/>
        <w:ind w:left="57"/>
        <w:jc w:val="left"/>
        <w:shd w:val="clear" w:fill="F2F2F2"/>
      </w:pPr>
      <w:r>
        <w:rPr>
          <w:rFonts w:ascii="Consolas" w:hAnsi="Consolas" w:cs="Consolas"/>
          <w:b w:val="0"/>
          <w:i w:val="0"/>
          <w:sz w:val="15"/>
        </w:rPr>
        <w:t xml:space="preserve">  shipment).</w:t>
      </w:r>
    </w:p>
    <w:p>
      <w:pPr>
        <w:spacing w:after="0" w:before="0" w:line="240" w:lineRule="auto"/>
        <w:ind w:left="57"/>
        <w:jc w:val="left"/>
        <w:shd w:val="clear" w:fill="F2F2F2"/>
      </w:pPr>
      <w:r>
        <w:rPr>
          <w:rFonts w:ascii="Consolas" w:hAnsi="Consolas" w:cs="Consolas"/>
          <w:b w:val="0"/>
          <w:i w:val="0"/>
          <w:sz w:val="15"/>
        </w:rPr>
        <w:t xml:space="preserve">  If Partial Advance is selected:</w:t>
      </w:r>
    </w:p>
    <w:p>
      <w:pPr>
        <w:spacing w:after="0" w:before="0" w:line="240" w:lineRule="auto"/>
        <w:ind w:left="57"/>
        <w:jc w:val="left"/>
        <w:shd w:val="clear" w:fill="F2F2F2"/>
      </w:pPr>
      <w:r>
        <w:rPr>
          <w:rFonts w:ascii="Consolas" w:hAnsi="Consolas" w:cs="Consolas"/>
          <w:b w:val="0"/>
          <w:i w:val="0"/>
          <w:sz w:val="15"/>
        </w:rPr>
        <w:t xml:space="preserve">    Advance Percentage: [30]%</w:t>
      </w:r>
    </w:p>
    <w:p>
      <w:pPr>
        <w:spacing w:after="0" w:before="0" w:line="240" w:lineRule="auto"/>
        <w:ind w:left="57"/>
        <w:jc w:val="left"/>
        <w:shd w:val="clear" w:fill="F2F2F2"/>
      </w:pPr>
      <w:r>
        <w:rPr>
          <w:rFonts w:ascii="Consolas" w:hAnsi="Consolas" w:cs="Consolas"/>
          <w:b w:val="0"/>
          <w:i w:val="0"/>
          <w:sz w:val="15"/>
        </w:rPr>
        <w:t xml:space="preserve">    Balance Percentage: [70]%</w:t>
      </w:r>
    </w:p>
    <w:p>
      <w:pPr>
        <w:spacing w:after="0" w:before="0" w:line="240" w:lineRule="auto"/>
        <w:ind w:left="57"/>
        <w:jc w:val="left"/>
        <w:shd w:val="clear" w:fill="F2F2F2"/>
      </w:pPr>
      <w:r>
        <w:rPr>
          <w:rFonts w:ascii="Consolas" w:hAnsi="Consolas" w:cs="Consolas"/>
          <w:b w:val="0"/>
          <w:i w:val="0"/>
          <w:sz w:val="15"/>
        </w:rPr>
        <w:t xml:space="preserve">    Balance Timing: [Against Documents ▼]</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6.11.5 Preferred Credit Period</w:t>
      </w:r>
    </w:p>
    <w:p>
      <w:pPr>
        <w:spacing w:after="80" w:line="293" w:lineRule="auto"/>
        <w:jc w:val="left"/>
      </w:pPr>
      <w:r>
        <w:rPr>
          <w:rFonts w:ascii="Times New Roman" w:hAnsi="Times New Roman" w:cs="Times New Roman"/>
          <w:b w:val="0"/>
          <w:i w:val="0"/>
          <w:sz w:val="22"/>
        </w:rPr>
        <w:t>Description: defines the credit period after delivery or document presentation. Fields: dropdown. Options: 0 Days, 15 Days, 30 Days, 45 Days, 60 Days, 90 Days, Custom (free text).</w:t>
      </w:r>
    </w:p>
    <w:p>
      <w:pPr>
        <w:spacing w:after="80" w:line="293" w:lineRule="auto"/>
        <w:jc w:val="left"/>
      </w:pPr>
      <w:r>
        <w:rPr>
          <w:rFonts w:ascii="Times New Roman" w:hAnsi="Times New Roman" w:cs="Times New Roman"/>
          <w:b w:val="0"/>
          <w:i w:val="0"/>
          <w:sz w:val="22"/>
        </w:rPr>
        <w:t>Why it matters: useful for trade finance and cash flow planning.</w:t>
      </w:r>
    </w:p>
    <w:p>
      <w:pPr>
        <w:spacing w:after="0" w:before="0" w:line="240" w:lineRule="auto"/>
        <w:ind w:left="57"/>
        <w:jc w:val="left"/>
        <w:shd w:val="clear" w:fill="F2F2F2"/>
      </w:pPr>
      <w:r>
        <w:rPr>
          <w:rFonts w:ascii="Consolas" w:hAnsi="Consolas" w:cs="Consolas"/>
          <w:b w:val="0"/>
          <w:i w:val="0"/>
          <w:sz w:val="15"/>
        </w:rPr>
        <w:t>PREFERRED CREDIT PERIOD</w:t>
      </w:r>
    </w:p>
    <w:p>
      <w:pPr>
        <w:spacing w:after="0" w:before="0" w:line="240" w:lineRule="auto"/>
        <w:ind w:left="57"/>
        <w:jc w:val="left"/>
        <w:shd w:val="clear" w:fill="F2F2F2"/>
      </w:pPr>
      <w:r>
        <w:rPr>
          <w:rFonts w:ascii="Consolas" w:hAnsi="Consolas" w:cs="Consolas"/>
          <w:b w:val="0"/>
          <w:i w:val="0"/>
          <w:sz w:val="15"/>
        </w:rPr>
        <w:t xml:space="preserve">  What credit period do you prefer?</w:t>
      </w:r>
    </w:p>
    <w:p>
      <w:pPr>
        <w:spacing w:after="0" w:before="0" w:line="240" w:lineRule="auto"/>
        <w:ind w:left="57"/>
        <w:jc w:val="left"/>
        <w:shd w:val="clear" w:fill="F2F2F2"/>
      </w:pPr>
      <w:r>
        <w:rPr>
          <w:rFonts w:ascii="Consolas" w:hAnsi="Consolas" w:cs="Consolas"/>
          <w:b w:val="0"/>
          <w:i w:val="0"/>
          <w:sz w:val="15"/>
        </w:rPr>
        <w:t xml:space="preserve">  [30 Days ▼]</w:t>
      </w:r>
    </w:p>
    <w:p>
      <w:pPr>
        <w:spacing w:after="0" w:before="0" w:line="240" w:lineRule="auto"/>
        <w:ind w:left="57"/>
        <w:jc w:val="left"/>
        <w:shd w:val="clear" w:fill="F2F2F2"/>
      </w:pPr>
      <w:r>
        <w:rPr>
          <w:rFonts w:ascii="Consolas" w:hAnsi="Consolas" w:cs="Consolas"/>
          <w:b w:val="0"/>
          <w:i w:val="0"/>
          <w:sz w:val="15"/>
        </w:rPr>
        <w:t xml:space="preserve">  30 days is standard for many industries. Longer periods may require</w:t>
      </w:r>
    </w:p>
    <w:p>
      <w:pPr>
        <w:spacing w:after="0" w:before="0" w:line="240" w:lineRule="auto"/>
        <w:ind w:left="57"/>
        <w:jc w:val="left"/>
        <w:shd w:val="clear" w:fill="F2F2F2"/>
      </w:pPr>
      <w:r>
        <w:rPr>
          <w:rFonts w:ascii="Consolas" w:hAnsi="Consolas" w:cs="Consolas"/>
          <w:b w:val="0"/>
          <w:i w:val="0"/>
          <w:sz w:val="15"/>
        </w:rPr>
        <w:t xml:space="preserve">  financing or higher pricing.</w:t>
      </w:r>
    </w:p>
    <w:p>
      <w:pPr>
        <w:spacing w:after="0" w:before="0" w:line="240" w:lineRule="auto"/>
        <w:ind w:left="57"/>
        <w:jc w:val="left"/>
        <w:shd w:val="clear" w:fill="F2F2F2"/>
      </w:pPr>
      <w:r>
        <w:rPr>
          <w:rFonts w:ascii="Consolas" w:hAnsi="Consolas" w:cs="Consolas"/>
          <w:b w:val="0"/>
          <w:i w:val="0"/>
          <w:sz w:val="15"/>
        </w:rPr>
        <w:t xml:space="preserve">  If Custom is selected: [45 Days]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6.11.6 Currency</w:t>
      </w:r>
    </w:p>
    <w:p>
      <w:pPr>
        <w:spacing w:after="80" w:line="293" w:lineRule="auto"/>
        <w:jc w:val="left"/>
      </w:pPr>
      <w:r>
        <w:rPr>
          <w:rFonts w:ascii="Times New Roman" w:hAnsi="Times New Roman" w:cs="Times New Roman"/>
          <w:b w:val="0"/>
          <w:i w:val="0"/>
          <w:sz w:val="22"/>
        </w:rPr>
        <w:t>Description: the currency in which the trade will be settled. Fields: dropdown. Options: USD, EUR, GBP, AED, SAR, EGP, Other (free text). Why it matters: critical for pricing, FX risk, and settlement.</w:t>
      </w:r>
    </w:p>
    <w:p>
      <w:pPr>
        <w:spacing w:after="0" w:before="0" w:line="240" w:lineRule="auto"/>
        <w:ind w:left="57"/>
        <w:jc w:val="left"/>
        <w:shd w:val="clear" w:fill="F2F2F2"/>
      </w:pPr>
      <w:r>
        <w:rPr>
          <w:rFonts w:ascii="Consolas" w:hAnsi="Consolas" w:cs="Consolas"/>
          <w:b w:val="0"/>
          <w:i w:val="0"/>
          <w:sz w:val="15"/>
        </w:rPr>
        <w:t>CURRENCY</w:t>
      </w:r>
    </w:p>
    <w:p>
      <w:pPr>
        <w:spacing w:after="0" w:before="0" w:line="240" w:lineRule="auto"/>
        <w:ind w:left="57"/>
        <w:jc w:val="left"/>
        <w:shd w:val="clear" w:fill="F2F2F2"/>
      </w:pPr>
      <w:r>
        <w:rPr>
          <w:rFonts w:ascii="Consolas" w:hAnsi="Consolas" w:cs="Consolas"/>
          <w:b w:val="0"/>
          <w:i w:val="0"/>
          <w:sz w:val="15"/>
        </w:rPr>
        <w:t xml:space="preserve">  Select the currency for settlement:</w:t>
      </w:r>
    </w:p>
    <w:p>
      <w:pPr>
        <w:spacing w:after="0" w:before="0" w:line="240" w:lineRule="auto"/>
        <w:ind w:left="57"/>
        <w:jc w:val="left"/>
        <w:shd w:val="clear" w:fill="F2F2F2"/>
      </w:pPr>
      <w:r>
        <w:rPr>
          <w:rFonts w:ascii="Consolas" w:hAnsi="Consolas" w:cs="Consolas"/>
          <w:b w:val="0"/>
          <w:i w:val="0"/>
          <w:sz w:val="15"/>
        </w:rPr>
        <w:t xml:space="preserve">  [USD ▼]</w:t>
      </w:r>
    </w:p>
    <w:p>
      <w:pPr>
        <w:spacing w:after="0" w:before="0" w:line="240" w:lineRule="auto"/>
        <w:ind w:left="57"/>
        <w:jc w:val="left"/>
        <w:shd w:val="clear" w:fill="F2F2F2"/>
      </w:pPr>
      <w:r>
        <w:rPr>
          <w:rFonts w:ascii="Consolas" w:hAnsi="Consolas" w:cs="Consolas"/>
          <w:b w:val="0"/>
          <w:i w:val="0"/>
          <w:sz w:val="15"/>
        </w:rPr>
        <w:t xml:space="preserve">  USD is the most common currency for international trade.</w:t>
      </w:r>
    </w:p>
    <w:p>
      <w:pPr>
        <w:spacing w:after="0" w:before="0" w:line="240" w:lineRule="auto"/>
        <w:ind w:left="57"/>
        <w:jc w:val="left"/>
        <w:shd w:val="clear" w:fill="F2F2F2"/>
      </w:pPr>
      <w:r>
        <w:rPr>
          <w:rFonts w:ascii="Consolas" w:hAnsi="Consolas" w:cs="Consolas"/>
          <w:b w:val="0"/>
          <w:i w:val="0"/>
          <w:sz w:val="15"/>
        </w:rPr>
        <w:t xml:space="preserve">  If Other is selected: [JPY]</w:t>
      </w:r>
    </w:p>
    <w:p>
      <w:pPr>
        <w:spacing w:after="0" w:before="0" w:line="240" w:lineRule="auto"/>
        <w:ind w:left="57"/>
        <w:jc w:val="left"/>
        <w:shd w:val="clear" w:fill="F2F2F2"/>
      </w:pPr>
      <w:r>
        <w:rPr>
          <w:rFonts w:ascii="Consolas" w:hAnsi="Consolas" w:cs="Consolas"/>
          <w:b w:val="0"/>
          <w:i w:val="0"/>
          <w:sz w:val="15"/>
        </w:rPr>
        <w:t xml:space="preserve">  Exchange Rate (if other than base): 1 USD = [3.85] [EGP ▼]</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6.11.7 Financing Declaration (Buyer Financing Toggle)</w:t>
      </w:r>
    </w:p>
    <w:p>
      <w:pPr>
        <w:spacing w:after="80" w:line="293" w:lineRule="auto"/>
        <w:jc w:val="left"/>
      </w:pPr>
      <w:r>
        <w:rPr>
          <w:rFonts w:ascii="Times New Roman" w:hAnsi="Times New Roman" w:cs="Times New Roman"/>
          <w:b w:val="0"/>
          <w:i w:val="0"/>
          <w:sz w:val="22"/>
        </w:rPr>
        <w:t>Description: the data-sovereign declaration of the buyer's own financing need. Fields: a single toggle — "Buyer requires invoice factoring / trade financing upon settlement" (ON/OFF, default OFF).</w:t>
      </w:r>
    </w:p>
    <w:p>
      <w:pPr>
        <w:spacing w:after="80" w:line="293" w:lineRule="auto"/>
        <w:jc w:val="left"/>
      </w:pPr>
      <w:r>
        <w:rPr>
          <w:rFonts w:ascii="Times New Roman" w:hAnsi="Times New Roman" w:cs="Times New Roman"/>
          <w:b w:val="0"/>
          <w:i w:val="0"/>
          <w:sz w:val="22"/>
        </w:rPr>
        <w:t>The toggle is stored in `trade_requests.buyer_financing_required` and is visible only to the buyer. There are no shared, counterparty, or either-party financing flags in the request model. The seller's financing need is declared exclusively in Phase 2 (Section 8) through `seller_financing_required` on the seller quote. Declaring the financing need does not create a financing request; it initiates the CFR pre-clearance workflow when appropriate (see Section 7).</w:t>
      </w:r>
    </w:p>
    <w:p>
      <w:pPr>
        <w:spacing w:after="80" w:line="293" w:lineRule="auto"/>
        <w:jc w:val="left"/>
      </w:pPr>
      <w:r>
        <w:rPr>
          <w:rFonts w:ascii="Times New Roman" w:hAnsi="Times New Roman" w:cs="Times New Roman"/>
          <w:b w:val="0"/>
          <w:i w:val="0"/>
          <w:sz w:val="22"/>
        </w:rPr>
        <w:t>Why it matters: it prepares the CFR pre-clearance process (Section 7) without exposing either party's intent to the counterparty, and informs the ecosystem that financing will be sought at settlement.</w:t>
      </w:r>
    </w:p>
    <w:p>
      <w:pPr>
        <w:spacing w:after="0" w:before="0" w:line="240" w:lineRule="auto"/>
        <w:ind w:left="57"/>
        <w:jc w:val="left"/>
        <w:shd w:val="clear" w:fill="F2F2F2"/>
      </w:pPr>
      <w:r>
        <w:rPr>
          <w:rFonts w:ascii="Consolas" w:hAnsi="Consolas" w:cs="Consolas"/>
          <w:b w:val="0"/>
          <w:i w:val="0"/>
          <w:sz w:val="15"/>
        </w:rPr>
        <w:t>BUYER FINANCING TOGGLE</w:t>
      </w:r>
    </w:p>
    <w:p>
      <w:pPr>
        <w:spacing w:after="0" w:before="0" w:line="240" w:lineRule="auto"/>
        <w:ind w:left="57"/>
        <w:jc w:val="left"/>
        <w:shd w:val="clear" w:fill="F2F2F2"/>
      </w:pPr>
      <w:r>
        <w:rPr>
          <w:rFonts w:ascii="Consolas" w:hAnsi="Consolas" w:cs="Consolas"/>
          <w:b w:val="0"/>
          <w:i w:val="0"/>
          <w:sz w:val="15"/>
        </w:rPr>
        <w:t xml:space="preserve">  ☐ I will require invoice factoring / trade financing upon settlement</w:t>
      </w:r>
    </w:p>
    <w:p>
      <w:pPr>
        <w:spacing w:after="0" w:before="0" w:line="240" w:lineRule="auto"/>
        <w:ind w:left="57"/>
        <w:jc w:val="left"/>
        <w:shd w:val="clear" w:fill="F2F2F2"/>
      </w:pPr>
      <w:r>
        <w:rPr>
          <w:rFonts w:ascii="Consolas" w:hAnsi="Consolas" w:cs="Consolas"/>
          <w:b w:val="0"/>
          <w:i w:val="0"/>
          <w:sz w:val="15"/>
        </w:rPr>
        <w:t xml:space="preserve">  This declares only your own financing need. It is not visible to the seller.</w:t>
      </w:r>
    </w:p>
    <w:p>
      <w:pPr>
        <w:spacing w:after="0" w:before="0" w:line="240" w:lineRule="auto"/>
        <w:ind w:left="57"/>
        <w:jc w:val="left"/>
        <w:shd w:val="clear" w:fill="F2F2F2"/>
      </w:pPr>
      <w:r>
        <w:rPr>
          <w:rFonts w:ascii="Consolas" w:hAnsi="Consolas" w:cs="Consolas"/>
          <w:b w:val="0"/>
          <w:i w:val="0"/>
          <w:sz w:val="15"/>
        </w:rPr>
        <w:t xml:space="preserve">  Formal financing is handled through Conditional Financing Reference (CFR)</w:t>
      </w:r>
    </w:p>
    <w:p>
      <w:pPr>
        <w:spacing w:after="0" w:before="0" w:line="240" w:lineRule="auto"/>
        <w:ind w:left="57"/>
        <w:jc w:val="left"/>
        <w:shd w:val="clear" w:fill="F2F2F2"/>
      </w:pPr>
      <w:r>
        <w:rPr>
          <w:rFonts w:ascii="Consolas" w:hAnsi="Consolas" w:cs="Consolas"/>
          <w:b w:val="0"/>
          <w:i w:val="0"/>
          <w:sz w:val="15"/>
        </w:rPr>
        <w:t xml:space="preserve">  pre-clearance before contract lock (see Section 7).</w:t>
      </w:r>
    </w:p>
    <w:p>
      <w:pPr>
        <w:spacing w:after="0" w:before="0" w:line="240" w:lineRule="auto"/>
        <w:ind w:left="57"/>
        <w:jc w:val="left"/>
        <w:shd w:val="clear" w:fill="F2F2F2"/>
      </w:pPr>
      <w:r>
        <w:rPr>
          <w:rFonts w:ascii="Consolas" w:hAnsi="Consolas" w:cs="Consolas"/>
          <w:b w:val="0"/>
          <w:i w:val="0"/>
          <w:sz w:val="15"/>
        </w:rPr>
        <w:t xml:space="preserve">  AI Recommendation: invoice factoring at settlement is common for</w:t>
      </w:r>
    </w:p>
    <w:p>
      <w:pPr>
        <w:spacing w:after="0" w:before="0" w:line="240" w:lineRule="auto"/>
        <w:ind w:left="57"/>
        <w:jc w:val="left"/>
        <w:shd w:val="clear" w:fill="F2F2F2"/>
      </w:pPr>
      <w:r>
        <w:rPr>
          <w:rFonts w:ascii="Consolas" w:hAnsi="Consolas" w:cs="Consolas"/>
          <w:b w:val="0"/>
          <w:i w:val="0"/>
          <w:sz w:val="15"/>
        </w:rPr>
        <w:t xml:space="preserve">  agricultural imports; pre-shipment financing may be available.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6.11.8 Bank Instrument Preference</w:t>
      </w:r>
    </w:p>
    <w:p>
      <w:pPr>
        <w:spacing w:after="80" w:line="293" w:lineRule="auto"/>
        <w:jc w:val="left"/>
      </w:pPr>
      <w:r>
        <w:rPr>
          <w:rFonts w:ascii="Times New Roman" w:hAnsi="Times New Roman" w:cs="Times New Roman"/>
          <w:b w:val="0"/>
          <w:i w:val="0"/>
          <w:sz w:val="22"/>
        </w:rPr>
        <w:t>Description: optional; only shown if LC or documentary collection is selected as the settlement structure. Fields: dropdown. Options: LC (Letter of Credit), SBLC (Standby Letter of Credit), DLC (Documentary Letter of Credit), BG (Bank Guarantee), None, To Be Negotiated. Why it matters: critical for LC-based transactions.</w:t>
      </w:r>
    </w:p>
    <w:p>
      <w:pPr>
        <w:spacing w:after="0" w:before="0" w:line="240" w:lineRule="auto"/>
        <w:ind w:left="57"/>
        <w:jc w:val="left"/>
        <w:shd w:val="clear" w:fill="F2F2F2"/>
      </w:pPr>
      <w:r>
        <w:rPr>
          <w:rFonts w:ascii="Consolas" w:hAnsi="Consolas" w:cs="Consolas"/>
          <w:b w:val="0"/>
          <w:i w:val="0"/>
          <w:sz w:val="15"/>
        </w:rPr>
        <w:t>BANK INSTRUMENT PREFERENCE</w:t>
      </w:r>
    </w:p>
    <w:p>
      <w:pPr>
        <w:spacing w:after="0" w:before="0" w:line="240" w:lineRule="auto"/>
        <w:ind w:left="57"/>
        <w:jc w:val="left"/>
        <w:shd w:val="clear" w:fill="F2F2F2"/>
      </w:pPr>
      <w:r>
        <w:rPr>
          <w:rFonts w:ascii="Consolas" w:hAnsi="Consolas" w:cs="Consolas"/>
          <w:b w:val="0"/>
          <w:i w:val="0"/>
          <w:sz w:val="15"/>
        </w:rPr>
        <w:t xml:space="preserve">  Specify the bank instrument preference:</w:t>
      </w:r>
    </w:p>
    <w:p>
      <w:pPr>
        <w:spacing w:after="0" w:before="0" w:line="240" w:lineRule="auto"/>
        <w:ind w:left="57"/>
        <w:jc w:val="left"/>
        <w:shd w:val="clear" w:fill="F2F2F2"/>
      </w:pPr>
      <w:r>
        <w:rPr>
          <w:rFonts w:ascii="Consolas" w:hAnsi="Consolas" w:cs="Consolas"/>
          <w:b w:val="0"/>
          <w:i w:val="0"/>
          <w:sz w:val="15"/>
        </w:rPr>
        <w:t xml:space="preserve">  [LC (Letter of Credit) ▼]</w:t>
      </w:r>
    </w:p>
    <w:p>
      <w:pPr>
        <w:spacing w:after="0" w:before="0" w:line="240" w:lineRule="auto"/>
        <w:ind w:left="57"/>
        <w:jc w:val="left"/>
        <w:shd w:val="clear" w:fill="F2F2F2"/>
      </w:pPr>
      <w:r>
        <w:rPr>
          <w:rFonts w:ascii="Consolas" w:hAnsi="Consolas" w:cs="Consolas"/>
          <w:b w:val="0"/>
          <w:i w:val="0"/>
          <w:sz w:val="15"/>
        </w:rPr>
        <w:t xml:space="preserve">  LC is irrevocable</w:t>
      </w:r>
    </w:p>
    <w:p>
      <w:pPr>
        <w:spacing w:after="0" w:before="0" w:line="240" w:lineRule="auto"/>
        <w:ind w:left="57"/>
        <w:jc w:val="left"/>
        <w:shd w:val="clear" w:fill="F2F2F2"/>
      </w:pPr>
      <w:r>
        <w:rPr>
          <w:rFonts w:ascii="Consolas" w:hAnsi="Consolas" w:cs="Consolas"/>
          <w:b w:val="0"/>
          <w:i w:val="0"/>
          <w:sz w:val="15"/>
        </w:rPr>
        <w:t xml:space="preserve">  LC confirmed by a recognized bank</w:t>
      </w:r>
    </w:p>
    <w:p>
      <w:pPr>
        <w:spacing w:after="0" w:before="0" w:line="240" w:lineRule="auto"/>
        <w:ind w:left="57"/>
        <w:jc w:val="left"/>
        <w:shd w:val="clear" w:fill="F2F2F2"/>
      </w:pPr>
      <w:r>
        <w:rPr>
          <w:rFonts w:ascii="Consolas" w:hAnsi="Consolas" w:cs="Consolas"/>
          <w:b w:val="0"/>
          <w:i w:val="0"/>
          <w:sz w:val="15"/>
        </w:rPr>
        <w:t xml:space="preserve">  LC at sight</w:t>
      </w:r>
    </w:p>
    <w:p>
      <w:pPr>
        <w:spacing w:after="0" w:before="0" w:line="240" w:lineRule="auto"/>
        <w:ind w:left="57"/>
        <w:jc w:val="left"/>
        <w:shd w:val="clear" w:fill="F2F2F2"/>
      </w:pPr>
      <w:r>
        <w:rPr>
          <w:rFonts w:ascii="Consolas" w:hAnsi="Consolas" w:cs="Consolas"/>
          <w:b w:val="0"/>
          <w:i w:val="0"/>
          <w:sz w:val="15"/>
        </w:rPr>
        <w:t xml:space="preserve">  LC expiry date: [2026-08-15]</w:t>
      </w:r>
    </w:p>
    <w:p>
      <w:pPr>
        <w:spacing w:after="0" w:before="0" w:line="240" w:lineRule="auto"/>
        <w:ind w:left="57"/>
        <w:jc w:val="left"/>
        <w:shd w:val="clear" w:fill="F2F2F2"/>
      </w:pPr>
      <w:r>
        <w:rPr>
          <w:rFonts w:ascii="Consolas" w:hAnsi="Consolas" w:cs="Consolas"/>
          <w:b w:val="0"/>
          <w:i w:val="0"/>
          <w:sz w:val="15"/>
        </w:rPr>
        <w:t xml:space="preserve">  LC number: [LC-2026-001]</w:t>
      </w:r>
    </w:p>
    <w:p>
      <w:pPr>
        <w:spacing w:after="0" w:before="0" w:line="240" w:lineRule="auto"/>
        <w:ind w:left="57"/>
        <w:jc w:val="left"/>
        <w:shd w:val="clear" w:fill="F2F2F2"/>
      </w:pPr>
      <w:r>
        <w:rPr>
          <w:rFonts w:ascii="Consolas" w:hAnsi="Consolas" w:cs="Consolas"/>
          <w:b w:val="0"/>
          <w:i w:val="0"/>
          <w:sz w:val="15"/>
        </w:rPr>
        <w:t xml:space="preserve">  Issuing Bank: [BNP Paribas ▼]</w:t>
      </w:r>
    </w:p>
    <w:p>
      <w:pPr>
        <w:spacing w:after="0" w:before="0" w:line="240" w:lineRule="auto"/>
        <w:ind w:left="57"/>
        <w:jc w:val="left"/>
        <w:shd w:val="clear" w:fill="F2F2F2"/>
      </w:pPr>
      <w:r>
        <w:rPr>
          <w:rFonts w:ascii="Consolas" w:hAnsi="Consolas" w:cs="Consolas"/>
          <w:b w:val="0"/>
          <w:i w:val="0"/>
          <w:sz w:val="15"/>
        </w:rPr>
        <w:t xml:space="preserve">  Advising Bank: [Banque Misr ▼]</w:t>
      </w:r>
    </w:p>
    <w:p>
      <w:pPr>
        <w:spacing w:after="0" w:before="0" w:line="240" w:lineRule="auto"/>
        <w:ind w:left="57"/>
        <w:jc w:val="left"/>
        <w:shd w:val="clear" w:fill="F2F2F2"/>
      </w:pPr>
      <w:r>
        <w:rPr>
          <w:rFonts w:ascii="Consolas" w:hAnsi="Consolas" w:cs="Consolas"/>
          <w:b w:val="0"/>
          <w:i w:val="0"/>
          <w:sz w:val="15"/>
        </w:rPr>
        <w:t xml:space="preserve">  [View LC Terms &amp; Conditions]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6.11.9 Settlement Flexibility</w:t>
      </w:r>
    </w:p>
    <w:p>
      <w:pPr>
        <w:spacing w:after="80" w:line="293" w:lineRule="auto"/>
        <w:jc w:val="left"/>
      </w:pPr>
      <w:r>
        <w:rPr>
          <w:rFonts w:ascii="Times New Roman" w:hAnsi="Times New Roman" w:cs="Times New Roman"/>
          <w:b w:val="0"/>
          <w:i w:val="0"/>
          <w:sz w:val="22"/>
        </w:rPr>
        <w:t>Description: indicates the buyer's flexibility regarding settlement terms. This is very useful for negotiation. Fields: radio buttons. Options: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Option</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Fixed</w:t>
            </w:r>
          </w:p>
        </w:tc>
        <w:tc>
          <w:tcPr>
            <w:tcW w:type="dxa" w:w="4819"/>
          </w:tcPr>
          <w:p>
            <w:pPr>
              <w:spacing w:after="20" w:before="20" w:line="240" w:lineRule="auto"/>
            </w:pPr>
            <w:r/>
            <w:r>
              <w:rPr>
                <w:rFonts w:ascii="Arial" w:hAnsi="Arial" w:cs="Arial"/>
                <w:b w:val="0"/>
                <w:i w:val="0"/>
                <w:sz w:val="17"/>
              </w:rPr>
              <w:t>Non-negotiable</w:t>
            </w:r>
          </w:p>
        </w:tc>
      </w:tr>
      <w:tr>
        <w:tc>
          <w:tcPr>
            <w:tcW w:type="dxa" w:w="4819"/>
          </w:tcPr>
          <w:p>
            <w:pPr>
              <w:spacing w:after="20" w:before="20" w:line="240" w:lineRule="auto"/>
            </w:pPr>
            <w:r/>
            <w:r>
              <w:rPr>
                <w:rFonts w:ascii="Arial" w:hAnsi="Arial" w:cs="Arial"/>
                <w:b w:val="0"/>
                <w:i w:val="0"/>
                <w:sz w:val="17"/>
              </w:rPr>
              <w:t>Flexible</w:t>
            </w:r>
          </w:p>
        </w:tc>
        <w:tc>
          <w:tcPr>
            <w:tcW w:type="dxa" w:w="4819"/>
          </w:tcPr>
          <w:p>
            <w:pPr>
              <w:spacing w:after="20" w:before="20" w:line="240" w:lineRule="auto"/>
            </w:pPr>
            <w:r/>
            <w:r>
              <w:rPr>
                <w:rFonts w:ascii="Arial" w:hAnsi="Arial" w:cs="Arial"/>
                <w:b w:val="0"/>
                <w:i w:val="0"/>
                <w:sz w:val="17"/>
              </w:rPr>
              <w:t>Open to reasonable alternatives</w:t>
            </w:r>
          </w:p>
        </w:tc>
      </w:tr>
      <w:tr>
        <w:tc>
          <w:tcPr>
            <w:tcW w:type="dxa" w:w="4819"/>
          </w:tcPr>
          <w:p>
            <w:pPr>
              <w:spacing w:after="20" w:before="20" w:line="240" w:lineRule="auto"/>
            </w:pPr>
            <w:r/>
            <w:r>
              <w:rPr>
                <w:rFonts w:ascii="Arial" w:hAnsi="Arial" w:cs="Arial"/>
                <w:b w:val="0"/>
                <w:i w:val="0"/>
                <w:sz w:val="17"/>
              </w:rPr>
              <w:t>Open To Alternatives</w:t>
            </w:r>
          </w:p>
        </w:tc>
        <w:tc>
          <w:tcPr>
            <w:tcW w:type="dxa" w:w="4819"/>
          </w:tcPr>
          <w:p>
            <w:pPr>
              <w:spacing w:after="20" w:before="20" w:line="240" w:lineRule="auto"/>
            </w:pPr>
            <w:r/>
            <w:r>
              <w:rPr>
                <w:rFonts w:ascii="Arial" w:hAnsi="Arial" w:cs="Arial"/>
                <w:b w:val="0"/>
                <w:i w:val="0"/>
                <w:sz w:val="17"/>
              </w:rPr>
              <w:t>Willing to consider any alternative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Why it matters: dramatically improves transaction success rates by allowing sellers to propose alternatives.</w:t>
      </w:r>
    </w:p>
    <w:p>
      <w:pPr>
        <w:spacing w:after="0" w:before="0" w:line="240" w:lineRule="auto"/>
        <w:ind w:left="57"/>
        <w:jc w:val="left"/>
        <w:shd w:val="clear" w:fill="F2F2F2"/>
      </w:pPr>
      <w:r>
        <w:rPr>
          <w:rFonts w:ascii="Consolas" w:hAnsi="Consolas" w:cs="Consolas"/>
          <w:b w:val="0"/>
          <w:i w:val="0"/>
          <w:sz w:val="15"/>
        </w:rPr>
        <w:t>SETTLEMENT FLEXIBILITY</w:t>
      </w:r>
    </w:p>
    <w:p>
      <w:pPr>
        <w:spacing w:after="0" w:before="0" w:line="240" w:lineRule="auto"/>
        <w:ind w:left="57"/>
        <w:jc w:val="left"/>
        <w:shd w:val="clear" w:fill="F2F2F2"/>
      </w:pPr>
      <w:r>
        <w:rPr>
          <w:rFonts w:ascii="Consolas" w:hAnsi="Consolas" w:cs="Consolas"/>
          <w:b w:val="0"/>
          <w:i w:val="0"/>
          <w:sz w:val="15"/>
        </w:rPr>
        <w:t xml:space="preserve">  How flexible are you on settlement terms?</w:t>
      </w:r>
    </w:p>
    <w:p>
      <w:pPr>
        <w:spacing w:after="0" w:before="0" w:line="240" w:lineRule="auto"/>
        <w:ind w:left="57"/>
        <w:jc w:val="left"/>
        <w:shd w:val="clear" w:fill="F2F2F2"/>
      </w:pPr>
      <w:r>
        <w:rPr>
          <w:rFonts w:ascii="Consolas" w:hAnsi="Consolas" w:cs="Consolas"/>
          <w:b w:val="0"/>
          <w:i w:val="0"/>
          <w:sz w:val="15"/>
        </w:rPr>
        <w:t xml:space="preserve">  [Fixed] [Flexible] [Open To Alternatives]</w:t>
      </w:r>
    </w:p>
    <w:p>
      <w:pPr>
        <w:spacing w:after="0" w:before="0" w:line="240" w:lineRule="auto"/>
        <w:ind w:left="57"/>
        <w:jc w:val="left"/>
        <w:shd w:val="clear" w:fill="F2F2F2"/>
      </w:pPr>
      <w:r>
        <w:rPr>
          <w:rFonts w:ascii="Consolas" w:hAnsi="Consolas" w:cs="Consolas"/>
          <w:b w:val="0"/>
          <w:i w:val="0"/>
          <w:sz w:val="15"/>
        </w:rPr>
        <w:t xml:space="preserve">  Example: buyer prefers LC but would accept Documentary Collection if terms</w:t>
      </w:r>
    </w:p>
    <w:p>
      <w:pPr>
        <w:spacing w:after="0" w:before="0" w:line="240" w:lineRule="auto"/>
        <w:ind w:left="57"/>
        <w:jc w:val="left"/>
        <w:shd w:val="clear" w:fill="F2F2F2"/>
      </w:pPr>
      <w:r>
        <w:rPr>
          <w:rFonts w:ascii="Consolas" w:hAnsi="Consolas" w:cs="Consolas"/>
          <w:b w:val="0"/>
          <w:i w:val="0"/>
          <w:sz w:val="15"/>
        </w:rPr>
        <w:t xml:space="preserve">  are improved.</w:t>
      </w:r>
    </w:p>
    <w:p>
      <w:pPr>
        <w:spacing w:after="0" w:before="0" w:line="240" w:lineRule="auto"/>
        <w:ind w:left="57"/>
        <w:jc w:val="left"/>
        <w:shd w:val="clear" w:fill="F2F2F2"/>
      </w:pPr>
      <w:r>
        <w:rPr>
          <w:rFonts w:ascii="Consolas" w:hAnsi="Consolas" w:cs="Consolas"/>
          <w:b w:val="0"/>
          <w:i w:val="0"/>
          <w:sz w:val="15"/>
        </w:rPr>
        <w:t xml:space="preserve">  If Flexible or Open To Alternatives is selected:</w:t>
      </w:r>
    </w:p>
    <w:p>
      <w:pPr>
        <w:spacing w:after="0" w:before="0" w:line="240" w:lineRule="auto"/>
        <w:ind w:left="57"/>
        <w:jc w:val="left"/>
        <w:shd w:val="clear" w:fill="F2F2F2"/>
      </w:pPr>
      <w:r>
        <w:rPr>
          <w:rFonts w:ascii="Consolas" w:hAnsi="Consolas" w:cs="Consolas"/>
          <w:b w:val="0"/>
          <w:i w:val="0"/>
          <w:sz w:val="15"/>
        </w:rPr>
        <w:t xml:space="preserve">    Acceptable Alternatives:</w:t>
      </w:r>
    </w:p>
    <w:p>
      <w:pPr>
        <w:spacing w:after="0" w:before="0" w:line="240" w:lineRule="auto"/>
        <w:ind w:left="57"/>
        <w:jc w:val="left"/>
        <w:shd w:val="clear" w:fill="F2F2F2"/>
      </w:pPr>
      <w:r>
        <w:rPr>
          <w:rFonts w:ascii="Consolas" w:hAnsi="Consolas" w:cs="Consolas"/>
          <w:b w:val="0"/>
          <w:i w:val="0"/>
          <w:sz w:val="15"/>
        </w:rPr>
        <w:t xml:space="preserve">      ☐ Documentary Collection   ☐ Bank Transfer   ☐ Open Account</w:t>
      </w:r>
    </w:p>
    <w:p>
      <w:pPr>
        <w:spacing w:after="0" w:before="0" w:line="240" w:lineRule="auto"/>
        <w:ind w:left="57"/>
        <w:jc w:val="left"/>
        <w:shd w:val="clear" w:fill="F2F2F2"/>
      </w:pPr>
      <w:r>
        <w:rPr>
          <w:rFonts w:ascii="Consolas" w:hAnsi="Consolas" w:cs="Consolas"/>
          <w:b w:val="0"/>
          <w:i w:val="0"/>
          <w:sz w:val="15"/>
        </w:rPr>
        <w:t xml:space="preserve">    Conditions for accepting alternatives:</w:t>
      </w:r>
    </w:p>
    <w:p>
      <w:pPr>
        <w:spacing w:after="0" w:before="0" w:line="240" w:lineRule="auto"/>
        <w:ind w:left="57"/>
        <w:jc w:val="left"/>
        <w:shd w:val="clear" w:fill="F2F2F2"/>
      </w:pPr>
      <w:r>
        <w:rPr>
          <w:rFonts w:ascii="Consolas" w:hAnsi="Consolas" w:cs="Consolas"/>
          <w:b w:val="0"/>
          <w:i w:val="0"/>
          <w:sz w:val="15"/>
        </w:rPr>
        <w:t xml:space="preserve">      [Lower price or extended credit period]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6.11.10 Documentary Requirements (Settlement-Specific)</w:t>
      </w:r>
    </w:p>
    <w:p>
      <w:pPr>
        <w:spacing w:after="80" w:line="293" w:lineRule="auto"/>
        <w:jc w:val="left"/>
      </w:pPr>
      <w:r>
        <w:rPr>
          <w:rFonts w:ascii="Times New Roman" w:hAnsi="Times New Roman" w:cs="Times New Roman"/>
          <w:b w:val="0"/>
          <w:i w:val="0"/>
          <w:sz w:val="22"/>
        </w:rPr>
        <w:t>Description: documents required specifically for settlement (as opposed to shipment). Banks require specific documents for settlement, especially for LCs. Fields: checkbox matrix. Options: Commercial Invoice, Packing List, Bill of Lading, Certificate of Origin, Inspection Certificate, Insurance Certificate, Other (free text).</w:t>
      </w:r>
    </w:p>
    <w:p>
      <w:pPr>
        <w:spacing w:after="0" w:before="0" w:line="240" w:lineRule="auto"/>
        <w:ind w:left="57"/>
        <w:jc w:val="left"/>
        <w:shd w:val="clear" w:fill="F2F2F2"/>
      </w:pPr>
      <w:r>
        <w:rPr>
          <w:rFonts w:ascii="Consolas" w:hAnsi="Consolas" w:cs="Consolas"/>
          <w:b w:val="0"/>
          <w:i w:val="0"/>
          <w:sz w:val="15"/>
        </w:rPr>
        <w:t>DOCUMENTARY REQUIREMENTS (Settlement)</w:t>
      </w:r>
    </w:p>
    <w:p>
      <w:pPr>
        <w:spacing w:after="0" w:before="0" w:line="240" w:lineRule="auto"/>
        <w:ind w:left="57"/>
        <w:jc w:val="left"/>
        <w:shd w:val="clear" w:fill="F2F2F2"/>
      </w:pPr>
      <w:r>
        <w:rPr>
          <w:rFonts w:ascii="Consolas" w:hAnsi="Consolas" w:cs="Consolas"/>
          <w:b w:val="0"/>
          <w:i w:val="0"/>
          <w:sz w:val="15"/>
        </w:rPr>
        <w:t xml:space="preserve">  Select documents required for settlement:</w:t>
      </w:r>
    </w:p>
    <w:p>
      <w:pPr>
        <w:spacing w:after="0" w:before="0" w:line="240" w:lineRule="auto"/>
        <w:ind w:left="57"/>
        <w:jc w:val="left"/>
        <w:shd w:val="clear" w:fill="F2F2F2"/>
      </w:pPr>
      <w:r>
        <w:rPr>
          <w:rFonts w:ascii="Consolas" w:hAnsi="Consolas" w:cs="Consolas"/>
          <w:b w:val="0"/>
          <w:i w:val="0"/>
          <w:sz w:val="15"/>
        </w:rPr>
        <w:t xml:space="preserve">  ☑ Commercial Invoice  ☑ Packing List  ☑ Bill of Lading</w:t>
      </w:r>
    </w:p>
    <w:p>
      <w:pPr>
        <w:spacing w:after="0" w:before="0" w:line="240" w:lineRule="auto"/>
        <w:ind w:left="57"/>
        <w:jc w:val="left"/>
        <w:shd w:val="clear" w:fill="F2F2F2"/>
      </w:pPr>
      <w:r>
        <w:rPr>
          <w:rFonts w:ascii="Consolas" w:hAnsi="Consolas" w:cs="Consolas"/>
          <w:b w:val="0"/>
          <w:i w:val="0"/>
          <w:sz w:val="15"/>
        </w:rPr>
        <w:t xml:space="preserve">  ☑ Certificate of Origin  ☑ Inspection Certificate  ☑ Insurance Certificate</w:t>
      </w:r>
    </w:p>
    <w:p>
      <w:pPr>
        <w:spacing w:after="0" w:before="0" w:line="240" w:lineRule="auto"/>
        <w:ind w:left="57"/>
        <w:jc w:val="left"/>
        <w:shd w:val="clear" w:fill="F2F2F2"/>
      </w:pPr>
      <w:r>
        <w:rPr>
          <w:rFonts w:ascii="Consolas" w:hAnsi="Consolas" w:cs="Consolas"/>
          <w:b w:val="0"/>
          <w:i w:val="0"/>
          <w:sz w:val="15"/>
        </w:rPr>
        <w:t xml:space="preserve">  ☐ Other: [_____________________________]</w:t>
      </w:r>
    </w:p>
    <w:p>
      <w:pPr>
        <w:spacing w:after="0" w:before="0" w:line="240" w:lineRule="auto"/>
        <w:ind w:left="57"/>
        <w:jc w:val="left"/>
        <w:shd w:val="clear" w:fill="F2F2F2"/>
      </w:pPr>
      <w:r>
        <w:rPr>
          <w:rFonts w:ascii="Consolas" w:hAnsi="Consolas" w:cs="Consolas"/>
          <w:b w:val="0"/>
          <w:i w:val="0"/>
          <w:sz w:val="15"/>
        </w:rPr>
        <w:t xml:space="preserve">  These documents must be presented to the bank for settlement.</w:t>
      </w:r>
    </w:p>
    <w:p>
      <w:pPr>
        <w:spacing w:after="0" w:before="0" w:line="240" w:lineRule="auto"/>
        <w:ind w:left="57"/>
        <w:jc w:val="left"/>
        <w:shd w:val="clear" w:fill="F2F2F2"/>
      </w:pPr>
      <w:r>
        <w:rPr>
          <w:rFonts w:ascii="Consolas" w:hAnsi="Consolas" w:cs="Consolas"/>
          <w:b w:val="0"/>
          <w:i w:val="0"/>
          <w:sz w:val="15"/>
        </w:rPr>
        <w:t xml:space="preserve">  Missing documents will delay payment.</w:t>
      </w:r>
    </w:p>
    <w:p>
      <w:pPr>
        <w:spacing w:after="0" w:before="0" w:line="240" w:lineRule="auto"/>
        <w:ind w:left="57"/>
        <w:jc w:val="left"/>
        <w:shd w:val="clear" w:fill="F2F2F2"/>
      </w:pPr>
      <w:r>
        <w:rPr>
          <w:rFonts w:ascii="Consolas" w:hAnsi="Consolas" w:cs="Consolas"/>
          <w:b w:val="0"/>
          <w:i w:val="0"/>
          <w:sz w:val="15"/>
        </w:rPr>
        <w:t xml:space="preserve">  Original Documents Required? [Yes] [No]</w:t>
      </w:r>
    </w:p>
    <w:p>
      <w:pPr>
        <w:spacing w:after="0" w:before="0" w:line="240" w:lineRule="auto"/>
        <w:ind w:left="57"/>
        <w:jc w:val="left"/>
        <w:shd w:val="clear" w:fill="F2F2F2"/>
      </w:pPr>
      <w:r>
        <w:rPr>
          <w:rFonts w:ascii="Consolas" w:hAnsi="Consolas" w:cs="Consolas"/>
          <w:b w:val="0"/>
          <w:i w:val="0"/>
          <w:sz w:val="15"/>
        </w:rPr>
        <w:t xml:space="preserve">  Document Language: [English ▼]</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6.11.11 Auto-Configuration Logic</w:t>
      </w:r>
    </w:p>
    <w:p>
      <w:pPr>
        <w:keepNext/>
        <w:spacing w:before="140" w:after="60"/>
        <w:outlineLvl w:val="3"/>
      </w:pPr>
      <w:r>
        <w:rPr>
          <w:rFonts w:ascii="Arial" w:hAnsi="Arial" w:cs="Arial"/>
          <w:b/>
          <w:i/>
          <w:color w:val="333333"/>
          <w:sz w:val="22"/>
        </w:rPr>
        <w:t>6.11.11.1 Incoterm-Driven Defaults</w:t>
      </w:r>
    </w:p>
    <w:p>
      <w:pPr>
        <w:spacing w:after="80" w:line="293" w:lineRule="auto"/>
        <w:jc w:val="left"/>
      </w:pPr>
      <w:r>
        <w:rPr>
          <w:rFonts w:ascii="Times New Roman" w:hAnsi="Times New Roman" w:cs="Times New Roman"/>
          <w:b w:val="0"/>
          <w:i w:val="0"/>
          <w:sz w:val="22"/>
        </w:rPr>
        <w:t>When the buyer selects an incoterm, the system auto-configures settlement defaults: CIF/CIP → Documentary Credit, Against Documents, 30-day credit period, recommended instrument LC; FOB/CFR/CPT → Documentary Collection, Against Documents, 0-day credit period, no recommended instrument; other incoterms → Bank Transfer, Against Documents, 0-day credit period, no recommended instrument.</w:t>
      </w:r>
    </w:p>
    <w:p>
      <w:pPr>
        <w:keepNext/>
        <w:spacing w:before="140" w:after="60"/>
        <w:outlineLvl w:val="3"/>
      </w:pPr>
      <w:r>
        <w:rPr>
          <w:rFonts w:ascii="Arial" w:hAnsi="Arial" w:cs="Arial"/>
          <w:b/>
          <w:i/>
          <w:color w:val="333333"/>
          <w:sz w:val="22"/>
        </w:rPr>
        <w:t>6.11.11.2 Commercial Priority-Driven Recommendations</w:t>
      </w:r>
    </w:p>
    <w:p>
      <w:pPr>
        <w:spacing w:after="80" w:line="293" w:lineRule="auto"/>
        <w:jc w:val="left"/>
      </w:pPr>
      <w:r>
        <w:rPr>
          <w:rFonts w:ascii="Times New Roman" w:hAnsi="Times New Roman" w:cs="Times New Roman"/>
          <w:b w:val="0"/>
          <w:i w:val="0"/>
          <w:sz w:val="22"/>
        </w:rPr>
        <w:t>When the buyer selects a commercial priority, the system recommends settlement structures: Lowest Cost → Bank Transfer, no instrument; Fastest Settlement → advance timing; Financing Friendly → Documentary Credit with LC and credit period ≥30 days; Balanced → keep the base configuration.</w:t>
      </w:r>
    </w:p>
    <w:p>
      <w:pPr>
        <w:keepNext/>
        <w:spacing w:before="140" w:after="60"/>
        <w:outlineLvl w:val="3"/>
      </w:pPr>
      <w:r>
        <w:rPr>
          <w:rFonts w:ascii="Arial" w:hAnsi="Arial" w:cs="Arial"/>
          <w:b/>
          <w:i/>
          <w:color w:val="333333"/>
          <w:sz w:val="22"/>
        </w:rPr>
        <w:t>6.11.11.3 Auto-Configuration Logic</w:t>
      </w:r>
    </w:p>
    <w:p>
      <w:pPr>
        <w:spacing w:after="0" w:before="0" w:line="240" w:lineRule="auto"/>
        <w:ind w:left="57"/>
        <w:jc w:val="left"/>
        <w:shd w:val="clear" w:fill="F2F2F2"/>
      </w:pPr>
      <w:r>
        <w:rPr>
          <w:rFonts w:ascii="Consolas" w:hAnsi="Consolas" w:cs="Consolas"/>
          <w:b w:val="0"/>
          <w:i w:val="0"/>
          <w:sz w:val="15"/>
        </w:rPr>
        <w:t>// Pseudo-code: Settlement auto-configuration</w:t>
      </w:r>
    </w:p>
    <w:p>
      <w:pPr>
        <w:spacing w:after="0" w:before="0" w:line="240" w:lineRule="auto"/>
        <w:ind w:left="57"/>
        <w:jc w:val="left"/>
        <w:shd w:val="clear" w:fill="F2F2F2"/>
      </w:pPr>
      <w:r>
        <w:rPr>
          <w:rFonts w:ascii="Consolas" w:hAnsi="Consolas" w:cs="Consolas"/>
          <w:b w:val="0"/>
          <w:i w:val="0"/>
          <w:sz w:val="15"/>
        </w:rPr>
        <w:t>fn auto_configure_settlement(</w:t>
      </w:r>
    </w:p>
    <w:p>
      <w:pPr>
        <w:spacing w:after="0" w:before="0" w:line="240" w:lineRule="auto"/>
        <w:ind w:left="57"/>
        <w:jc w:val="left"/>
        <w:shd w:val="clear" w:fill="F2F2F2"/>
      </w:pPr>
      <w:r>
        <w:rPr>
          <w:rFonts w:ascii="Consolas" w:hAnsi="Consolas" w:cs="Consolas"/>
          <w:b w:val="0"/>
          <w:i w:val="0"/>
          <w:sz w:val="15"/>
        </w:rPr>
        <w:t xml:space="preserve">    incoterm: Incoterm,</w:t>
      </w:r>
    </w:p>
    <w:p>
      <w:pPr>
        <w:spacing w:after="0" w:before="0" w:line="240" w:lineRule="auto"/>
        <w:ind w:left="57"/>
        <w:jc w:val="left"/>
        <w:shd w:val="clear" w:fill="F2F2F2"/>
      </w:pPr>
      <w:r>
        <w:rPr>
          <w:rFonts w:ascii="Consolas" w:hAnsi="Consolas" w:cs="Consolas"/>
          <w:b w:val="0"/>
          <w:i w:val="0"/>
          <w:sz w:val="15"/>
        </w:rPr>
        <w:t xml:space="preserve">    commercial_priority: CommercialPriority</w:t>
      </w:r>
    </w:p>
    <w:p>
      <w:pPr>
        <w:spacing w:after="0" w:before="0" w:line="240" w:lineRule="auto"/>
        <w:ind w:left="57"/>
        <w:jc w:val="left"/>
        <w:shd w:val="clear" w:fill="F2F2F2"/>
      </w:pPr>
      <w:r>
        <w:rPr>
          <w:rFonts w:ascii="Consolas" w:hAnsi="Consolas" w:cs="Consolas"/>
          <w:b w:val="0"/>
          <w:i w:val="0"/>
          <w:sz w:val="15"/>
        </w:rPr>
        <w:t>) -&gt; SettlementConfig {</w:t>
      </w:r>
    </w:p>
    <w:p>
      <w:pPr>
        <w:spacing w:after="0" w:before="0" w:line="240" w:lineRule="auto"/>
        <w:ind w:left="57"/>
        <w:jc w:val="left"/>
        <w:shd w:val="clear" w:fill="F2F2F2"/>
      </w:pPr>
      <w:r>
        <w:rPr>
          <w:rFonts w:ascii="Consolas" w:hAnsi="Consolas" w:cs="Consolas"/>
          <w:b w:val="0"/>
          <w:i w:val="0"/>
          <w:sz w:val="15"/>
        </w:rPr>
        <w:t xml:space="preserve">    // 1. Base configuration from incoterm</w:t>
      </w:r>
    </w:p>
    <w:p>
      <w:pPr>
        <w:spacing w:after="0" w:before="0" w:line="240" w:lineRule="auto"/>
        <w:ind w:left="57"/>
        <w:jc w:val="left"/>
        <w:shd w:val="clear" w:fill="F2F2F2"/>
      </w:pPr>
      <w:r>
        <w:rPr>
          <w:rFonts w:ascii="Consolas" w:hAnsi="Consolas" w:cs="Consolas"/>
          <w:b w:val="0"/>
          <w:i w:val="0"/>
          <w:sz w:val="15"/>
        </w:rPr>
        <w:t xml:space="preserve">    let mut base = match incoterm {</w:t>
      </w:r>
    </w:p>
    <w:p>
      <w:pPr>
        <w:spacing w:after="0" w:before="0" w:line="240" w:lineRule="auto"/>
        <w:ind w:left="57"/>
        <w:jc w:val="left"/>
        <w:shd w:val="clear" w:fill="F2F2F2"/>
      </w:pPr>
      <w:r>
        <w:rPr>
          <w:rFonts w:ascii="Consolas" w:hAnsi="Consolas" w:cs="Consolas"/>
          <w:b w:val="0"/>
          <w:i w:val="0"/>
          <w:sz w:val="15"/>
        </w:rPr>
        <w:t xml:space="preserve">        Incoterm::CIF | Incoterm::CIP =&gt; SettlementConfig {</w:t>
      </w:r>
    </w:p>
    <w:p>
      <w:pPr>
        <w:spacing w:after="0" w:before="0" w:line="240" w:lineRule="auto"/>
        <w:ind w:left="57"/>
        <w:jc w:val="left"/>
        <w:shd w:val="clear" w:fill="F2F2F2"/>
      </w:pPr>
      <w:r>
        <w:rPr>
          <w:rFonts w:ascii="Consolas" w:hAnsi="Consolas" w:cs="Consolas"/>
          <w:b w:val="0"/>
          <w:i w:val="0"/>
          <w:sz w:val="15"/>
        </w:rPr>
        <w:t xml:space="preserve">            structure: SettlementStructure::DocumentaryCredit,</w:t>
      </w:r>
    </w:p>
    <w:p>
      <w:pPr>
        <w:spacing w:after="0" w:before="0" w:line="240" w:lineRule="auto"/>
        <w:ind w:left="57"/>
        <w:jc w:val="left"/>
        <w:shd w:val="clear" w:fill="F2F2F2"/>
      </w:pPr>
      <w:r>
        <w:rPr>
          <w:rFonts w:ascii="Consolas" w:hAnsi="Consolas" w:cs="Consolas"/>
          <w:b w:val="0"/>
          <w:i w:val="0"/>
          <w:sz w:val="15"/>
        </w:rPr>
        <w:t xml:space="preserve">            timing: PaymentTiming::AgainstDocuments,</w:t>
      </w:r>
    </w:p>
    <w:p>
      <w:pPr>
        <w:spacing w:after="0" w:before="0" w:line="240" w:lineRule="auto"/>
        <w:ind w:left="57"/>
        <w:jc w:val="left"/>
        <w:shd w:val="clear" w:fill="F2F2F2"/>
      </w:pPr>
      <w:r>
        <w:rPr>
          <w:rFonts w:ascii="Consolas" w:hAnsi="Consolas" w:cs="Consolas"/>
          <w:b w:val="0"/>
          <w:i w:val="0"/>
          <w:sz w:val="15"/>
        </w:rPr>
        <w:t xml:space="preserve">            credit_period: 30,</w:t>
      </w:r>
    </w:p>
    <w:p>
      <w:pPr>
        <w:spacing w:after="0" w:before="0" w:line="240" w:lineRule="auto"/>
        <w:ind w:left="57"/>
        <w:jc w:val="left"/>
        <w:shd w:val="clear" w:fill="F2F2F2"/>
      </w:pPr>
      <w:r>
        <w:rPr>
          <w:rFonts w:ascii="Consolas" w:hAnsi="Consolas" w:cs="Consolas"/>
          <w:b w:val="0"/>
          <w:i w:val="0"/>
          <w:sz w:val="15"/>
        </w:rPr>
        <w:t xml:space="preserve">            recommended_instrument: "LC".to_string(),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Incoterm::FOB | Incoterm::CFR | Incoterm::CPT =&gt; SettlementConfig {</w:t>
      </w:r>
    </w:p>
    <w:p>
      <w:pPr>
        <w:spacing w:after="0" w:before="0" w:line="240" w:lineRule="auto"/>
        <w:ind w:left="57"/>
        <w:jc w:val="left"/>
        <w:shd w:val="clear" w:fill="F2F2F2"/>
      </w:pPr>
      <w:r>
        <w:rPr>
          <w:rFonts w:ascii="Consolas" w:hAnsi="Consolas" w:cs="Consolas"/>
          <w:b w:val="0"/>
          <w:i w:val="0"/>
          <w:sz w:val="15"/>
        </w:rPr>
        <w:t xml:space="preserve">            structure: SettlementStructure::DocumentaryCollection,</w:t>
      </w:r>
    </w:p>
    <w:p>
      <w:pPr>
        <w:spacing w:after="0" w:before="0" w:line="240" w:lineRule="auto"/>
        <w:ind w:left="57"/>
        <w:jc w:val="left"/>
        <w:shd w:val="clear" w:fill="F2F2F2"/>
      </w:pPr>
      <w:r>
        <w:rPr>
          <w:rFonts w:ascii="Consolas" w:hAnsi="Consolas" w:cs="Consolas"/>
          <w:b w:val="0"/>
          <w:i w:val="0"/>
          <w:sz w:val="15"/>
        </w:rPr>
        <w:t xml:space="preserve">            timing: PaymentTiming::AgainstDocuments,</w:t>
      </w:r>
    </w:p>
    <w:p>
      <w:pPr>
        <w:spacing w:after="0" w:before="0" w:line="240" w:lineRule="auto"/>
        <w:ind w:left="57"/>
        <w:jc w:val="left"/>
        <w:shd w:val="clear" w:fill="F2F2F2"/>
      </w:pPr>
      <w:r>
        <w:rPr>
          <w:rFonts w:ascii="Consolas" w:hAnsi="Consolas" w:cs="Consolas"/>
          <w:b w:val="0"/>
          <w:i w:val="0"/>
          <w:sz w:val="15"/>
        </w:rPr>
        <w:t xml:space="preserve">            credit_period: 0,</w:t>
      </w:r>
    </w:p>
    <w:p>
      <w:pPr>
        <w:spacing w:after="0" w:before="0" w:line="240" w:lineRule="auto"/>
        <w:ind w:left="57"/>
        <w:jc w:val="left"/>
        <w:shd w:val="clear" w:fill="F2F2F2"/>
      </w:pPr>
      <w:r>
        <w:rPr>
          <w:rFonts w:ascii="Consolas" w:hAnsi="Consolas" w:cs="Consolas"/>
          <w:b w:val="0"/>
          <w:i w:val="0"/>
          <w:sz w:val="15"/>
        </w:rPr>
        <w:t xml:space="preserve">            recommended_instrument: "None".to_string(),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_ =&gt; SettlementConfig {</w:t>
      </w:r>
    </w:p>
    <w:p>
      <w:pPr>
        <w:spacing w:after="0" w:before="0" w:line="240" w:lineRule="auto"/>
        <w:ind w:left="57"/>
        <w:jc w:val="left"/>
        <w:shd w:val="clear" w:fill="F2F2F2"/>
      </w:pPr>
      <w:r>
        <w:rPr>
          <w:rFonts w:ascii="Consolas" w:hAnsi="Consolas" w:cs="Consolas"/>
          <w:b w:val="0"/>
          <w:i w:val="0"/>
          <w:sz w:val="15"/>
        </w:rPr>
        <w:t xml:space="preserve">            structure: SettlementStructure::BankTransfer,</w:t>
      </w:r>
    </w:p>
    <w:p>
      <w:pPr>
        <w:spacing w:after="0" w:before="0" w:line="240" w:lineRule="auto"/>
        <w:ind w:left="57"/>
        <w:jc w:val="left"/>
        <w:shd w:val="clear" w:fill="F2F2F2"/>
      </w:pPr>
      <w:r>
        <w:rPr>
          <w:rFonts w:ascii="Consolas" w:hAnsi="Consolas" w:cs="Consolas"/>
          <w:b w:val="0"/>
          <w:i w:val="0"/>
          <w:sz w:val="15"/>
        </w:rPr>
        <w:t xml:space="preserve">            timing: PaymentTiming::AgainstDocuments,</w:t>
      </w:r>
    </w:p>
    <w:p>
      <w:pPr>
        <w:spacing w:after="0" w:before="0" w:line="240" w:lineRule="auto"/>
        <w:ind w:left="57"/>
        <w:jc w:val="left"/>
        <w:shd w:val="clear" w:fill="F2F2F2"/>
      </w:pPr>
      <w:r>
        <w:rPr>
          <w:rFonts w:ascii="Consolas" w:hAnsi="Consolas" w:cs="Consolas"/>
          <w:b w:val="0"/>
          <w:i w:val="0"/>
          <w:sz w:val="15"/>
        </w:rPr>
        <w:t xml:space="preserve">            credit_period: 0,</w:t>
      </w:r>
    </w:p>
    <w:p>
      <w:pPr>
        <w:spacing w:after="0" w:before="0" w:line="240" w:lineRule="auto"/>
        <w:ind w:left="57"/>
        <w:jc w:val="left"/>
        <w:shd w:val="clear" w:fill="F2F2F2"/>
      </w:pPr>
      <w:r>
        <w:rPr>
          <w:rFonts w:ascii="Consolas" w:hAnsi="Consolas" w:cs="Consolas"/>
          <w:b w:val="0"/>
          <w:i w:val="0"/>
          <w:sz w:val="15"/>
        </w:rPr>
        <w:t xml:space="preserve">            recommended_instrument: "None".to_string(),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Adjust based on commercial priority</w:t>
      </w:r>
    </w:p>
    <w:p>
      <w:pPr>
        <w:spacing w:after="0" w:before="0" w:line="240" w:lineRule="auto"/>
        <w:ind w:left="57"/>
        <w:jc w:val="left"/>
        <w:shd w:val="clear" w:fill="F2F2F2"/>
      </w:pPr>
      <w:r>
        <w:rPr>
          <w:rFonts w:ascii="Consolas" w:hAnsi="Consolas" w:cs="Consolas"/>
          <w:b w:val="0"/>
          <w:i w:val="0"/>
          <w:sz w:val="15"/>
        </w:rPr>
        <w:t xml:space="preserve">    match commercial_priority {</w:t>
      </w:r>
    </w:p>
    <w:p>
      <w:pPr>
        <w:spacing w:after="0" w:before="0" w:line="240" w:lineRule="auto"/>
        <w:ind w:left="57"/>
        <w:jc w:val="left"/>
        <w:shd w:val="clear" w:fill="F2F2F2"/>
      </w:pPr>
      <w:r>
        <w:rPr>
          <w:rFonts w:ascii="Consolas" w:hAnsi="Consolas" w:cs="Consolas"/>
          <w:b w:val="0"/>
          <w:i w:val="0"/>
          <w:sz w:val="15"/>
        </w:rPr>
        <w:t xml:space="preserve">        CommercialPriority::LowestCost =&gt; {</w:t>
      </w:r>
    </w:p>
    <w:p>
      <w:pPr>
        <w:spacing w:after="0" w:before="0" w:line="240" w:lineRule="auto"/>
        <w:ind w:left="57"/>
        <w:jc w:val="left"/>
        <w:shd w:val="clear" w:fill="F2F2F2"/>
      </w:pPr>
      <w:r>
        <w:rPr>
          <w:rFonts w:ascii="Consolas" w:hAnsi="Consolas" w:cs="Consolas"/>
          <w:b w:val="0"/>
          <w:i w:val="0"/>
          <w:sz w:val="15"/>
        </w:rPr>
        <w:t xml:space="preserve">            base.structure = SettlementStructure::BankTransfer;</w:t>
      </w:r>
    </w:p>
    <w:p>
      <w:pPr>
        <w:spacing w:after="0" w:before="0" w:line="240" w:lineRule="auto"/>
        <w:ind w:left="57"/>
        <w:jc w:val="left"/>
        <w:shd w:val="clear" w:fill="F2F2F2"/>
      </w:pPr>
      <w:r>
        <w:rPr>
          <w:rFonts w:ascii="Consolas" w:hAnsi="Consolas" w:cs="Consolas"/>
          <w:b w:val="0"/>
          <w:i w:val="0"/>
          <w:sz w:val="15"/>
        </w:rPr>
        <w:t xml:space="preserve">            base.recommended_instrument = "None".to_string();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CommercialPriority::FastestSettlement =&gt; {</w:t>
      </w:r>
    </w:p>
    <w:p>
      <w:pPr>
        <w:spacing w:after="0" w:before="0" w:line="240" w:lineRule="auto"/>
        <w:ind w:left="57"/>
        <w:jc w:val="left"/>
        <w:shd w:val="clear" w:fill="F2F2F2"/>
      </w:pPr>
      <w:r>
        <w:rPr>
          <w:rFonts w:ascii="Consolas" w:hAnsi="Consolas" w:cs="Consolas"/>
          <w:b w:val="0"/>
          <w:i w:val="0"/>
          <w:sz w:val="15"/>
        </w:rPr>
        <w:t xml:space="preserve">            base.timing = PaymentTiming::Advance;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CommercialPriority::FinancingFriendly =&gt; {</w:t>
      </w:r>
    </w:p>
    <w:p>
      <w:pPr>
        <w:spacing w:after="0" w:before="0" w:line="240" w:lineRule="auto"/>
        <w:ind w:left="57"/>
        <w:jc w:val="left"/>
        <w:shd w:val="clear" w:fill="F2F2F2"/>
      </w:pPr>
      <w:r>
        <w:rPr>
          <w:rFonts w:ascii="Consolas" w:hAnsi="Consolas" w:cs="Consolas"/>
          <w:b w:val="0"/>
          <w:i w:val="0"/>
          <w:sz w:val="15"/>
        </w:rPr>
        <w:t xml:space="preserve">            base.structure = SettlementStructure::DocumentaryCredit;</w:t>
      </w:r>
    </w:p>
    <w:p>
      <w:pPr>
        <w:spacing w:after="0" w:before="0" w:line="240" w:lineRule="auto"/>
        <w:ind w:left="57"/>
        <w:jc w:val="left"/>
        <w:shd w:val="clear" w:fill="F2F2F2"/>
      </w:pPr>
      <w:r>
        <w:rPr>
          <w:rFonts w:ascii="Consolas" w:hAnsi="Consolas" w:cs="Consolas"/>
          <w:b w:val="0"/>
          <w:i w:val="0"/>
          <w:sz w:val="15"/>
        </w:rPr>
        <w:t xml:space="preserve">            base.recommended_instrument = "LC".to_string();</w:t>
      </w:r>
    </w:p>
    <w:p>
      <w:pPr>
        <w:spacing w:after="0" w:before="0" w:line="240" w:lineRule="auto"/>
        <w:ind w:left="57"/>
        <w:jc w:val="left"/>
        <w:shd w:val="clear" w:fill="F2F2F2"/>
      </w:pPr>
      <w:r>
        <w:rPr>
          <w:rFonts w:ascii="Consolas" w:hAnsi="Consolas" w:cs="Consolas"/>
          <w:b w:val="0"/>
          <w:i w:val="0"/>
          <w:sz w:val="15"/>
        </w:rPr>
        <w:t xml:space="preserve">            base.credit_period = max(base.credit_period, 30);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CommercialPriority::Balanced =&gt; { /* Keep base configuration */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base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6.11.12 AI Settlement Readiness (A1, Groq)</w:t>
      </w:r>
    </w:p>
    <w:p>
      <w:pPr>
        <w:spacing w:after="80" w:line="293" w:lineRule="auto"/>
        <w:jc w:val="left"/>
      </w:pPr>
      <w:r>
        <w:rPr>
          <w:rFonts w:ascii="Times New Roman" w:hAnsi="Times New Roman" w:cs="Times New Roman"/>
          <w:b w:val="0"/>
          <w:i w:val="0"/>
          <w:sz w:val="22"/>
        </w:rPr>
        <w:t>Description: AI-generated assessment of settlement readiness, based on commercial priority, selected structure, and documentary completeness.</w:t>
      </w:r>
    </w:p>
    <w:p>
      <w:pPr>
        <w:spacing w:after="0" w:before="0" w:line="240" w:lineRule="auto"/>
        <w:ind w:left="57"/>
        <w:jc w:val="left"/>
        <w:shd w:val="clear" w:fill="F2F2F2"/>
      </w:pPr>
      <w:r>
        <w:rPr>
          <w:rFonts w:ascii="Consolas" w:hAnsi="Consolas" w:cs="Consolas"/>
          <w:b w:val="0"/>
          <w:i w:val="0"/>
          <w:sz w:val="15"/>
        </w:rPr>
        <w:t>AI SETTLEMENT READINESS (generated automatically)</w:t>
      </w:r>
    </w:p>
    <w:p>
      <w:pPr>
        <w:spacing w:after="0" w:before="0" w:line="240" w:lineRule="auto"/>
        <w:ind w:left="57"/>
        <w:jc w:val="left"/>
        <w:shd w:val="clear" w:fill="F2F2F2"/>
      </w:pPr>
      <w:r>
        <w:rPr>
          <w:rFonts w:ascii="Consolas" w:hAnsi="Consolas" w:cs="Consolas"/>
          <w:b w:val="0"/>
          <w:i w:val="0"/>
          <w:sz w:val="15"/>
        </w:rPr>
        <w:t xml:space="preserve">  Settlement Readiness: 87/100</w:t>
      </w:r>
    </w:p>
    <w:p>
      <w:pPr>
        <w:spacing w:after="0" w:before="0" w:line="240" w:lineRule="auto"/>
        <w:ind w:left="57"/>
        <w:jc w:val="left"/>
        <w:shd w:val="clear" w:fill="F2F2F2"/>
      </w:pPr>
      <w:r>
        <w:rPr>
          <w:rFonts w:ascii="Consolas" w:hAnsi="Consolas" w:cs="Consolas"/>
          <w:b w:val="0"/>
          <w:i w:val="0"/>
          <w:sz w:val="15"/>
        </w:rPr>
        <w:t xml:space="preserve">  Preferred Structure: Documentary Collection</w:t>
      </w:r>
    </w:p>
    <w:p>
      <w:pPr>
        <w:spacing w:after="0" w:before="0" w:line="240" w:lineRule="auto"/>
        <w:ind w:left="57"/>
        <w:jc w:val="left"/>
        <w:shd w:val="clear" w:fill="F2F2F2"/>
      </w:pPr>
      <w:r>
        <w:rPr>
          <w:rFonts w:ascii="Consolas" w:hAnsi="Consolas" w:cs="Consolas"/>
          <w:b w:val="0"/>
          <w:i w:val="0"/>
          <w:sz w:val="15"/>
        </w:rPr>
        <w:t xml:space="preserve">  Commercial Priority: Balanced</w:t>
      </w:r>
    </w:p>
    <w:p>
      <w:pPr>
        <w:spacing w:after="0" w:before="0" w:line="240" w:lineRule="auto"/>
        <w:ind w:left="57"/>
        <w:jc w:val="left"/>
        <w:shd w:val="clear" w:fill="F2F2F2"/>
      </w:pPr>
      <w:r>
        <w:rPr>
          <w:rFonts w:ascii="Consolas" w:hAnsi="Consolas" w:cs="Consolas"/>
          <w:b w:val="0"/>
          <w:i w:val="0"/>
          <w:sz w:val="15"/>
        </w:rPr>
        <w:t xml:space="preserve">  Financing Likelihood: Low (buyer financing not requested)</w:t>
      </w:r>
    </w:p>
    <w:p>
      <w:pPr>
        <w:spacing w:after="0" w:before="0" w:line="240" w:lineRule="auto"/>
        <w:ind w:left="57"/>
        <w:jc w:val="left"/>
        <w:shd w:val="clear" w:fill="F2F2F2"/>
      </w:pPr>
      <w:r>
        <w:rPr>
          <w:rFonts w:ascii="Consolas" w:hAnsi="Consolas" w:cs="Consolas"/>
          <w:b w:val="0"/>
          <w:i w:val="0"/>
          <w:sz w:val="15"/>
        </w:rPr>
        <w:t xml:space="preserve">  Documentation Completeness: 92% (11 of 12 required documents specified)</w:t>
      </w:r>
    </w:p>
    <w:p>
      <w:pPr>
        <w:spacing w:after="0" w:before="0" w:line="240" w:lineRule="auto"/>
        <w:ind w:left="57"/>
        <w:jc w:val="left"/>
        <w:shd w:val="clear" w:fill="F2F2F2"/>
      </w:pPr>
      <w:r>
        <w:rPr>
          <w:rFonts w:ascii="Consolas" w:hAnsi="Consolas" w:cs="Consolas"/>
          <w:b w:val="0"/>
          <w:i w:val="0"/>
          <w:sz w:val="15"/>
        </w:rPr>
        <w:t xml:space="preserve">  Potential Issue: Inspection Certificate missing from settlement documents</w:t>
      </w:r>
    </w:p>
    <w:p>
      <w:pPr>
        <w:spacing w:after="0" w:before="0" w:line="240" w:lineRule="auto"/>
        <w:ind w:left="57"/>
        <w:jc w:val="left"/>
        <w:shd w:val="clear" w:fill="F2F2F2"/>
      </w:pPr>
      <w:r>
        <w:rPr>
          <w:rFonts w:ascii="Consolas" w:hAnsi="Consolas" w:cs="Consolas"/>
          <w:b w:val="0"/>
          <w:i w:val="0"/>
          <w:sz w:val="15"/>
        </w:rPr>
        <w:t xml:space="preserve">  AI Recommendation: "Based on your commercial priority (Balanced) and</w:t>
      </w:r>
    </w:p>
    <w:p>
      <w:pPr>
        <w:spacing w:after="0" w:before="0" w:line="240" w:lineRule="auto"/>
        <w:ind w:left="57"/>
        <w:jc w:val="left"/>
        <w:shd w:val="clear" w:fill="F2F2F2"/>
      </w:pPr>
      <w:r>
        <w:rPr>
          <w:rFonts w:ascii="Consolas" w:hAnsi="Consolas" w:cs="Consolas"/>
          <w:b w:val="0"/>
          <w:i w:val="0"/>
          <w:sz w:val="15"/>
        </w:rPr>
        <w:t xml:space="preserve">  selected structure (Documentary Collection), your settlement is</w:t>
      </w:r>
    </w:p>
    <w:p>
      <w:pPr>
        <w:spacing w:after="0" w:before="0" w:line="240" w:lineRule="auto"/>
        <w:ind w:left="57"/>
        <w:jc w:val="left"/>
        <w:shd w:val="clear" w:fill="F2F2F2"/>
      </w:pPr>
      <w:r>
        <w:rPr>
          <w:rFonts w:ascii="Consolas" w:hAnsi="Consolas" w:cs="Consolas"/>
          <w:b w:val="0"/>
          <w:i w:val="0"/>
          <w:sz w:val="15"/>
        </w:rPr>
        <w:t xml:space="preserve">  well-configured. However, Inspection Certificate is missing from</w:t>
      </w:r>
    </w:p>
    <w:p>
      <w:pPr>
        <w:spacing w:after="0" w:before="0" w:line="240" w:lineRule="auto"/>
        <w:ind w:left="57"/>
        <w:jc w:val="left"/>
        <w:shd w:val="clear" w:fill="F2F2F2"/>
      </w:pPr>
      <w:r>
        <w:rPr>
          <w:rFonts w:ascii="Consolas" w:hAnsi="Consolas" w:cs="Consolas"/>
          <w:b w:val="0"/>
          <w:i w:val="0"/>
          <w:sz w:val="15"/>
        </w:rPr>
        <w:t xml:space="preserve">  settlement documents. Banks typically require this for documentary</w:t>
      </w:r>
    </w:p>
    <w:p>
      <w:pPr>
        <w:spacing w:after="0" w:before="0" w:line="240" w:lineRule="auto"/>
        <w:ind w:left="57"/>
        <w:jc w:val="left"/>
        <w:shd w:val="clear" w:fill="F2F2F2"/>
      </w:pPr>
      <w:r>
        <w:rPr>
          <w:rFonts w:ascii="Consolas" w:hAnsi="Consolas" w:cs="Consolas"/>
          <w:b w:val="0"/>
          <w:i w:val="0"/>
          <w:sz w:val="15"/>
        </w:rPr>
        <w:t xml:space="preserve">  collections. Add it to avoid delays."</w:t>
      </w:r>
    </w:p>
    <w:p>
      <w:pPr>
        <w:spacing w:after="0" w:before="0" w:line="240" w:lineRule="auto"/>
        <w:ind w:left="57"/>
        <w:jc w:val="left"/>
        <w:shd w:val="clear" w:fill="F2F2F2"/>
      </w:pPr>
      <w:r>
        <w:rPr>
          <w:rFonts w:ascii="Consolas" w:hAnsi="Consolas" w:cs="Consolas"/>
          <w:b w:val="0"/>
          <w:i w:val="0"/>
          <w:sz w:val="15"/>
        </w:rPr>
        <w:t xml:space="preserve">  [Add Missing Document] [Dismiss]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6.11.13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Settlement Requirements Flow</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Seller sees settlement requirements; adjusts pricing and terms accordingly</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Settlement terms are incorporated into the contract</w:t>
            </w:r>
          </w:p>
        </w:tc>
      </w:tr>
      <w:tr>
        <w:tc>
          <w:tcPr>
            <w:tcW w:type="dxa" w:w="4819"/>
          </w:tcPr>
          <w:p>
            <w:pPr>
              <w:spacing w:after="20" w:before="20" w:line="240" w:lineRule="auto"/>
            </w:pPr>
            <w:r/>
            <w:r>
              <w:rPr>
                <w:rFonts w:ascii="Arial" w:hAnsi="Arial" w:cs="Arial"/>
                <w:b w:val="0"/>
                <w:i w:val="0"/>
                <w:sz w:val="17"/>
              </w:rPr>
              <w:t>Phase 4 — Financing (Section 7, Section 10)</w:t>
            </w:r>
          </w:p>
        </w:tc>
        <w:tc>
          <w:tcPr>
            <w:tcW w:type="dxa" w:w="4819"/>
          </w:tcPr>
          <w:p>
            <w:pPr>
              <w:spacing w:after="20" w:before="20" w:line="240" w:lineRule="auto"/>
            </w:pPr>
            <w:r/>
            <w:r>
              <w:rPr>
                <w:rFonts w:ascii="Arial" w:hAnsi="Arial" w:cs="Arial"/>
                <w:b w:val="0"/>
                <w:i w:val="0"/>
                <w:sz w:val="17"/>
              </w:rPr>
              <w:t>Financiers assess settlement structure for risk; the buyer's financing flag initiates CFR pre-clearance</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Settlement documents are prepared and verified</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Settlement instruction is generated based on selected structure and timing</w:t>
            </w:r>
          </w:p>
        </w:tc>
      </w:tr>
      <w:tr>
        <w:tc>
          <w:tcPr>
            <w:tcW w:type="dxa" w:w="4819"/>
          </w:tcPr>
          <w:p>
            <w:pPr>
              <w:spacing w:after="20" w:before="20" w:line="240" w:lineRule="auto"/>
            </w:pPr>
            <w:r/>
            <w:r>
              <w:rPr>
                <w:rFonts w:ascii="Arial" w:hAnsi="Arial" w:cs="Arial"/>
                <w:b w:val="0"/>
                <w:i w:val="0"/>
                <w:sz w:val="17"/>
              </w:rPr>
              <w:t>Phase 7 — Distressed Cargo (Section 14)</w:t>
            </w:r>
          </w:p>
        </w:tc>
        <w:tc>
          <w:tcPr>
            <w:tcW w:type="dxa" w:w="4819"/>
          </w:tcPr>
          <w:p>
            <w:pPr>
              <w:spacing w:after="20" w:before="20" w:line="240" w:lineRule="auto"/>
            </w:pPr>
            <w:r/>
            <w:r>
              <w:rPr>
                <w:rFonts w:ascii="Arial" w:hAnsi="Arial" w:cs="Arial"/>
                <w:b w:val="0"/>
                <w:i w:val="0"/>
                <w:sz w:val="17"/>
              </w:rPr>
              <w:t>Settlement flexibility affects distress handling options</w:t>
            </w:r>
          </w:p>
        </w:tc>
      </w:tr>
      <w:tr>
        <w:tc>
          <w:tcPr>
            <w:tcW w:type="dxa" w:w="4819"/>
          </w:tcPr>
          <w:p>
            <w:pPr>
              <w:spacing w:after="20" w:before="20" w:line="240" w:lineRule="auto"/>
            </w:pPr>
            <w:r/>
            <w:r>
              <w:rPr>
                <w:rFonts w:ascii="Arial" w:hAnsi="Arial" w:cs="Arial"/>
                <w:b w:val="0"/>
                <w:i w:val="0"/>
                <w:sz w:val="17"/>
              </w:rPr>
              <w:t>Phase 8 — Dispute (Section 14)</w:t>
            </w:r>
          </w:p>
        </w:tc>
        <w:tc>
          <w:tcPr>
            <w:tcW w:type="dxa" w:w="4819"/>
          </w:tcPr>
          <w:p>
            <w:pPr>
              <w:spacing w:after="20" w:before="20" w:line="240" w:lineRule="auto"/>
            </w:pPr>
            <w:r/>
            <w:r>
              <w:rPr>
                <w:rFonts w:ascii="Arial" w:hAnsi="Arial" w:cs="Arial"/>
                <w:b w:val="0"/>
                <w:i w:val="0"/>
                <w:sz w:val="17"/>
              </w:rPr>
              <w:t>Settlement terms are part of the evidence package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6.11.14 Governor Gates (Settlement)</w:t>
      </w:r>
    </w:p>
    <w:p>
      <w:pPr>
        <w:spacing w:after="80" w:line="293" w:lineRule="auto"/>
        <w:jc w:val="left"/>
      </w:pPr>
      <w:r>
        <w:rPr>
          <w:rFonts w:ascii="Times New Roman" w:hAnsi="Times New Roman" w:cs="Times New Roman"/>
          <w:b w:val="0"/>
          <w:i w:val="0"/>
          <w:sz w:val="22"/>
        </w:rPr>
        <w:t>Example CONDITIONAL response (missing settlement flexibility):</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Settlement Flexibility has not been selected. Please indicate whether the settlement terms are Fixed, Flexible, or Open To Alternatives.",</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"settlement_flexibility",</w:t>
      </w:r>
    </w:p>
    <w:p>
      <w:pPr>
        <w:spacing w:after="0" w:before="0" w:line="240" w:lineRule="auto"/>
        <w:ind w:left="57"/>
        <w:jc w:val="left"/>
        <w:shd w:val="clear" w:fill="F2F2F2"/>
      </w:pPr>
      <w:r>
        <w:rPr>
          <w:rFonts w:ascii="Consolas" w:hAnsi="Consolas" w:cs="Consolas"/>
          <w:b w:val="0"/>
          <w:i w:val="0"/>
          <w:sz w:val="15"/>
        </w:rPr>
        <w:t xml:space="preserve">        "label": "Select Settlement Flexibility",</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CONDITIONAL response (missing settlement documents):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Inspection Certificate is missing from the settlement documents. Banks typically require this for documentary collections.",</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"settlement_documents",</w:t>
      </w:r>
    </w:p>
    <w:p>
      <w:pPr>
        <w:spacing w:after="0" w:before="0" w:line="240" w:lineRule="auto"/>
        <w:ind w:left="57"/>
        <w:jc w:val="left"/>
        <w:shd w:val="clear" w:fill="F2F2F2"/>
      </w:pPr>
      <w:r>
        <w:rPr>
          <w:rFonts w:ascii="Consolas" w:hAnsi="Consolas" w:cs="Consolas"/>
          <w:b w:val="0"/>
          <w:i w:val="0"/>
          <w:sz w:val="15"/>
        </w:rPr>
        <w:t xml:space="preserve">        "label": "Add Inspection Certificate to settlement documents",</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6.11.15 Database Schema Additions (Settlement)</w:t>
      </w:r>
    </w:p>
    <w:p>
      <w:pPr>
        <w:spacing w:after="0" w:before="0" w:line="240" w:lineRule="auto"/>
        <w:ind w:left="57"/>
        <w:jc w:val="left"/>
        <w:shd w:val="clear" w:fill="F2F2F2"/>
      </w:pPr>
      <w:r>
        <w:rPr>
          <w:rFonts w:ascii="Consolas" w:hAnsi="Consolas" w:cs="Consolas"/>
          <w:b w:val="0"/>
          <w:i w:val="0"/>
          <w:sz w:val="15"/>
        </w:rPr>
        <w:t>-- Commercial settlement configuration</w:t>
      </w:r>
    </w:p>
    <w:p>
      <w:pPr>
        <w:spacing w:after="0" w:before="0" w:line="240" w:lineRule="auto"/>
        <w:ind w:left="57"/>
        <w:jc w:val="left"/>
        <w:shd w:val="clear" w:fill="F2F2F2"/>
      </w:pPr>
      <w:r>
        <w:rPr>
          <w:rFonts w:ascii="Consolas" w:hAnsi="Consolas" w:cs="Consolas"/>
          <w:b w:val="0"/>
          <w:i w:val="0"/>
          <w:sz w:val="15"/>
        </w:rPr>
        <w:t>CREATE TABLE commercial_settlement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commercial_priority TEXT NOT NULL, -- 'LOWEST_COST', 'FASTEST_SETTLEMENT', 'FINANCING_FRIENDLY', 'BALANCED'</w:t>
      </w:r>
    </w:p>
    <w:p>
      <w:pPr>
        <w:spacing w:after="0" w:before="0" w:line="240" w:lineRule="auto"/>
        <w:ind w:left="57"/>
        <w:jc w:val="left"/>
        <w:shd w:val="clear" w:fill="F2F2F2"/>
      </w:pPr>
      <w:r>
        <w:rPr>
          <w:rFonts w:ascii="Consolas" w:hAnsi="Consolas" w:cs="Consolas"/>
          <w:b w:val="0"/>
          <w:i w:val="0"/>
          <w:sz w:val="15"/>
        </w:rPr>
        <w:t xml:space="preserve">    settlement_structure TEXT NOT NULL, -- 'DOCUMENTARY_CREDIT', 'DOCUMENTARY_COLLECTION',</w:t>
      </w:r>
    </w:p>
    <w:p>
      <w:pPr>
        <w:spacing w:after="0" w:before="0" w:line="240" w:lineRule="auto"/>
        <w:ind w:left="57"/>
        <w:jc w:val="left"/>
        <w:shd w:val="clear" w:fill="F2F2F2"/>
      </w:pPr>
      <w:r>
        <w:rPr>
          <w:rFonts w:ascii="Consolas" w:hAnsi="Consolas" w:cs="Consolas"/>
          <w:b w:val="0"/>
          <w:i w:val="0"/>
          <w:sz w:val="15"/>
        </w:rPr>
        <w:t xml:space="preserve">                                        -- 'BANK_TRANSFER', 'OPEN_ACCOUNT', 'TO_BE_NEGOTIATED'</w:t>
      </w:r>
    </w:p>
    <w:p>
      <w:pPr>
        <w:spacing w:after="0" w:before="0" w:line="240" w:lineRule="auto"/>
        <w:ind w:left="57"/>
        <w:jc w:val="left"/>
        <w:shd w:val="clear" w:fill="F2F2F2"/>
      </w:pPr>
      <w:r>
        <w:rPr>
          <w:rFonts w:ascii="Consolas" w:hAnsi="Consolas" w:cs="Consolas"/>
          <w:b w:val="0"/>
          <w:i w:val="0"/>
          <w:sz w:val="15"/>
        </w:rPr>
        <w:t xml:space="preserve">    payment_timing TEXT NOT NULL, -- 'ADVANCE', 'PARTIAL_ADVANCE', 'AGAINST_DOCUMENTS',</w:t>
      </w:r>
    </w:p>
    <w:p>
      <w:pPr>
        <w:spacing w:after="0" w:before="0" w:line="240" w:lineRule="auto"/>
        <w:ind w:left="57"/>
        <w:jc w:val="left"/>
        <w:shd w:val="clear" w:fill="F2F2F2"/>
      </w:pPr>
      <w:r>
        <w:rPr>
          <w:rFonts w:ascii="Consolas" w:hAnsi="Consolas" w:cs="Consolas"/>
          <w:b w:val="0"/>
          <w:i w:val="0"/>
          <w:sz w:val="15"/>
        </w:rPr>
        <w:t xml:space="preserve">                                  -- 'AGAINST_SHIPMENT', 'AGAINST_DELIVERY', 'DEFERRED', 'TO_BE_NEGOTIATED'</w:t>
      </w:r>
    </w:p>
    <w:p>
      <w:pPr>
        <w:spacing w:after="0" w:before="0" w:line="240" w:lineRule="auto"/>
        <w:ind w:left="57"/>
        <w:jc w:val="left"/>
        <w:shd w:val="clear" w:fill="F2F2F2"/>
      </w:pPr>
      <w:r>
        <w:rPr>
          <w:rFonts w:ascii="Consolas" w:hAnsi="Consolas" w:cs="Consolas"/>
          <w:b w:val="0"/>
          <w:i w:val="0"/>
          <w:sz w:val="15"/>
        </w:rPr>
        <w:t xml:space="preserve">    credit_period TEXT NOT NULL, -- '0_DAYS', '15_DAYS', '30_DAYS', '45_DAYS', '60_DAYS', '90_DAYS', 'CUSTOM'</w:t>
      </w:r>
    </w:p>
    <w:p>
      <w:pPr>
        <w:spacing w:after="0" w:before="0" w:line="240" w:lineRule="auto"/>
        <w:ind w:left="57"/>
        <w:jc w:val="left"/>
        <w:shd w:val="clear" w:fill="F2F2F2"/>
      </w:pPr>
      <w:r>
        <w:rPr>
          <w:rFonts w:ascii="Consolas" w:hAnsi="Consolas" w:cs="Consolas"/>
          <w:b w:val="0"/>
          <w:i w:val="0"/>
          <w:sz w:val="15"/>
        </w:rPr>
        <w:t xml:space="preserve">    credit_period_custom_days INTEGER,</w:t>
      </w:r>
    </w:p>
    <w:p>
      <w:pPr>
        <w:spacing w:after="0" w:before="0" w:line="240" w:lineRule="auto"/>
        <w:ind w:left="57"/>
        <w:jc w:val="left"/>
        <w:shd w:val="clear" w:fill="F2F2F2"/>
      </w:pPr>
      <w:r>
        <w:rPr>
          <w:rFonts w:ascii="Consolas" w:hAnsi="Consolas" w:cs="Consolas"/>
          <w:b w:val="0"/>
          <w:i w:val="0"/>
          <w:sz w:val="15"/>
        </w:rPr>
        <w:t xml:space="preserve">    currency TEXT NOT NULL DEFAULT 'USD',</w:t>
      </w:r>
    </w:p>
    <w:p>
      <w:pPr>
        <w:spacing w:after="0" w:before="0" w:line="240" w:lineRule="auto"/>
        <w:ind w:left="57"/>
        <w:jc w:val="left"/>
        <w:shd w:val="clear" w:fill="F2F2F2"/>
      </w:pPr>
      <w:r>
        <w:rPr>
          <w:rFonts w:ascii="Consolas" w:hAnsi="Consolas" w:cs="Consolas"/>
          <w:b w:val="0"/>
          <w:i w:val="0"/>
          <w:sz w:val="15"/>
        </w:rPr>
        <w:t xml:space="preserve">    currency_other TEXT,</w:t>
      </w:r>
    </w:p>
    <w:p>
      <w:pPr>
        <w:spacing w:after="0" w:before="0" w:line="240" w:lineRule="auto"/>
        <w:ind w:left="57"/>
        <w:jc w:val="left"/>
        <w:shd w:val="clear" w:fill="F2F2F2"/>
      </w:pPr>
      <w:r>
        <w:rPr>
          <w:rFonts w:ascii="Consolas" w:hAnsi="Consolas" w:cs="Consolas"/>
          <w:b w:val="0"/>
          <w:i w:val="0"/>
          <w:sz w:val="15"/>
        </w:rPr>
        <w:t xml:space="preserve">    bank_instrument TEXT, -- 'LC', 'SBLC', 'DLC', 'BG', 'NONE', 'TO_BE_NEGOTIATED'</w:t>
      </w:r>
    </w:p>
    <w:p>
      <w:pPr>
        <w:spacing w:after="0" w:before="0" w:line="240" w:lineRule="auto"/>
        <w:ind w:left="57"/>
        <w:jc w:val="left"/>
        <w:shd w:val="clear" w:fill="F2F2F2"/>
      </w:pPr>
      <w:r>
        <w:rPr>
          <w:rFonts w:ascii="Consolas" w:hAnsi="Consolas" w:cs="Consolas"/>
          <w:b w:val="0"/>
          <w:i w:val="0"/>
          <w:sz w:val="15"/>
        </w:rPr>
        <w:t xml:space="preserve">    settlement_flexibility TEXT NOT NULL, -- 'FIXED', 'FLEXIBLE', 'OPEN_TO_ALTERNATIVES'</w:t>
      </w:r>
    </w:p>
    <w:p>
      <w:pPr>
        <w:spacing w:after="0" w:before="0" w:line="240" w:lineRule="auto"/>
        <w:ind w:left="57"/>
        <w:jc w:val="left"/>
        <w:shd w:val="clear" w:fill="F2F2F2"/>
      </w:pPr>
      <w:r>
        <w:rPr>
          <w:rFonts w:ascii="Consolas" w:hAnsi="Consolas" w:cs="Consolas"/>
          <w:b w:val="0"/>
          <w:i w:val="0"/>
          <w:sz w:val="15"/>
        </w:rPr>
        <w:t xml:space="preserve">    settlement_documents TEXT[], -- Array of document types</w:t>
      </w:r>
    </w:p>
    <w:p>
      <w:pPr>
        <w:spacing w:after="0" w:before="0" w:line="240" w:lineRule="auto"/>
        <w:ind w:left="57"/>
        <w:jc w:val="left"/>
        <w:shd w:val="clear" w:fill="F2F2F2"/>
      </w:pPr>
      <w:r>
        <w:rPr>
          <w:rFonts w:ascii="Consolas" w:hAnsi="Consolas" w:cs="Consolas"/>
          <w:b w:val="0"/>
          <w:i w:val="0"/>
          <w:sz w:val="15"/>
        </w:rPr>
        <w:t xml:space="preserve">    partial_advance_percentage INTEGER,</w:t>
      </w:r>
    </w:p>
    <w:p>
      <w:pPr>
        <w:spacing w:after="0" w:before="0" w:line="240" w:lineRule="auto"/>
        <w:ind w:left="57"/>
        <w:jc w:val="left"/>
        <w:shd w:val="clear" w:fill="F2F2F2"/>
      </w:pPr>
      <w:r>
        <w:rPr>
          <w:rFonts w:ascii="Consolas" w:hAnsi="Consolas" w:cs="Consolas"/>
          <w:b w:val="0"/>
          <w:i w:val="0"/>
          <w:sz w:val="15"/>
        </w:rPr>
        <w:t xml:space="preserve">    balance_timing TEXT, -- 'AGAINST_DOCUMENTS', 'AGAINST_SHIPMENT', 'AGAINST_DELIVERY'</w:t>
      </w:r>
    </w:p>
    <w:p>
      <w:pPr>
        <w:spacing w:after="0" w:before="0" w:line="240" w:lineRule="auto"/>
        <w:ind w:left="57"/>
        <w:jc w:val="left"/>
        <w:shd w:val="clear" w:fill="F2F2F2"/>
      </w:pPr>
      <w:r>
        <w:rPr>
          <w:rFonts w:ascii="Consolas" w:hAnsi="Consolas" w:cs="Consolas"/>
          <w:b w:val="0"/>
          <w:i w:val="0"/>
          <w:sz w:val="15"/>
        </w:rPr>
        <w:t xml:space="preserve">    acceptable_alternatives TEXT[],</w:t>
      </w:r>
    </w:p>
    <w:p>
      <w:pPr>
        <w:spacing w:after="0" w:before="0" w:line="240" w:lineRule="auto"/>
        <w:ind w:left="57"/>
        <w:jc w:val="left"/>
        <w:shd w:val="clear" w:fill="F2F2F2"/>
      </w:pPr>
      <w:r>
        <w:rPr>
          <w:rFonts w:ascii="Consolas" w:hAnsi="Consolas" w:cs="Consolas"/>
          <w:b w:val="0"/>
          <w:i w:val="0"/>
          <w:sz w:val="15"/>
        </w:rPr>
        <w:t xml:space="preserve">    conditions_for_alternatives TEXT,</w:t>
      </w:r>
    </w:p>
    <w:p>
      <w:pPr>
        <w:spacing w:after="0" w:before="0" w:line="240" w:lineRule="auto"/>
        <w:ind w:left="57"/>
        <w:jc w:val="left"/>
        <w:shd w:val="clear" w:fill="F2F2F2"/>
      </w:pPr>
      <w:r>
        <w:rPr>
          <w:rFonts w:ascii="Consolas" w:hAnsi="Consolas" w:cs="Consolas"/>
          <w:b w:val="0"/>
          <w:i w:val="0"/>
          <w:sz w:val="15"/>
        </w:rPr>
        <w:t xml:space="preserve">    auto_configured BOOLEAN DEFAULT false,</w:t>
      </w:r>
    </w:p>
    <w:p>
      <w:pPr>
        <w:spacing w:after="0" w:before="0" w:line="240" w:lineRule="auto"/>
        <w:ind w:left="57"/>
        <w:jc w:val="left"/>
        <w:shd w:val="clear" w:fill="F2F2F2"/>
      </w:pPr>
      <w:r>
        <w:rPr>
          <w:rFonts w:ascii="Consolas" w:hAnsi="Consolas" w:cs="Consolas"/>
          <w:b w:val="0"/>
          <w:i w:val="0"/>
          <w:sz w:val="15"/>
        </w:rPr>
        <w:t xml:space="preserve">    auto_config_reason TEXT,</w:t>
      </w:r>
    </w:p>
    <w:p>
      <w:pPr>
        <w:spacing w:after="0" w:before="0" w:line="240" w:lineRule="auto"/>
        <w:ind w:left="57"/>
        <w:jc w:val="left"/>
        <w:shd w:val="clear" w:fill="F2F2F2"/>
      </w:pPr>
      <w:r>
        <w:rPr>
          <w:rFonts w:ascii="Consolas" w:hAnsi="Consolas" w:cs="Consolas"/>
          <w:b w:val="0"/>
          <w:i w:val="0"/>
          <w:sz w:val="15"/>
        </w:rPr>
        <w:t xml:space="preserve">    ai_readiness_score INTEGER, -- 0-100</w:t>
      </w:r>
    </w:p>
    <w:p>
      <w:pPr>
        <w:spacing w:after="0" w:before="0" w:line="240" w:lineRule="auto"/>
        <w:ind w:left="57"/>
        <w:jc w:val="left"/>
        <w:shd w:val="clear" w:fill="F2F2F2"/>
      </w:pPr>
      <w:r>
        <w:rPr>
          <w:rFonts w:ascii="Consolas" w:hAnsi="Consolas" w:cs="Consolas"/>
          <w:b w:val="0"/>
          <w:i w:val="0"/>
          <w:sz w:val="15"/>
        </w:rPr>
        <w:t xml:space="preserve">    ai_readiness_recommendation TEXT, -- Groq-generated</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Financing declarations are data-sovereign single-party flags:</w:t>
      </w:r>
    </w:p>
    <w:p>
      <w:pPr>
        <w:spacing w:after="0" w:before="0" w:line="240" w:lineRule="auto"/>
        <w:ind w:left="57"/>
        <w:jc w:val="left"/>
        <w:shd w:val="clear" w:fill="F2F2F2"/>
      </w:pPr>
      <w:r>
        <w:rPr>
          <w:rFonts w:ascii="Consolas" w:hAnsi="Consolas" w:cs="Consolas"/>
          <w:b w:val="0"/>
          <w:i w:val="0"/>
          <w:sz w:val="15"/>
        </w:rPr>
        <w:t>-- trade_requests.buyer_financing_required (buyer, Phase 1)</w:t>
      </w:r>
    </w:p>
    <w:p>
      <w:pPr>
        <w:spacing w:after="0" w:before="0" w:line="240" w:lineRule="auto"/>
        <w:ind w:left="57"/>
        <w:jc w:val="left"/>
        <w:shd w:val="clear" w:fill="F2F2F2"/>
      </w:pPr>
      <w:r>
        <w:rPr>
          <w:rFonts w:ascii="Consolas" w:hAnsi="Consolas" w:cs="Consolas"/>
          <w:b w:val="0"/>
          <w:i w:val="0"/>
          <w:sz w:val="15"/>
        </w:rPr>
        <w:t>-- seller_quotes.seller_financing_required (seller, Phase 2)</w:t>
      </w:r>
    </w:p>
    <w:p>
      <w:pPr>
        <w:spacing w:after="0" w:before="0" w:line="240" w:lineRule="auto"/>
        <w:ind w:left="57"/>
        <w:jc w:val="left"/>
        <w:shd w:val="clear" w:fill="F2F2F2"/>
      </w:pPr>
      <w:r>
        <w:rPr>
          <w:rFonts w:ascii="Consolas" w:hAnsi="Consolas" w:cs="Consolas"/>
          <w:b w:val="0"/>
          <w:i w:val="0"/>
          <w:sz w:val="15"/>
        </w:rPr>
        <w:t>-- See Section 7.6 for the financing toggle model.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Settlement structure reference table</w:t>
      </w:r>
    </w:p>
    <w:p>
      <w:pPr>
        <w:spacing w:after="0" w:before="0" w:line="240" w:lineRule="auto"/>
        <w:ind w:left="57"/>
        <w:jc w:val="left"/>
        <w:shd w:val="clear" w:fill="F2F2F2"/>
      </w:pPr>
      <w:r>
        <w:rPr>
          <w:rFonts w:ascii="Consolas" w:hAnsi="Consolas" w:cs="Consolas"/>
          <w:b w:val="0"/>
          <w:i w:val="0"/>
          <w:sz w:val="15"/>
        </w:rPr>
        <w:t>CREATE TABLE settlement_structures_ref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structure_code TEXT UNIQUE NOT NULL,</w:t>
      </w:r>
    </w:p>
    <w:p>
      <w:pPr>
        <w:spacing w:after="0" w:before="0" w:line="240" w:lineRule="auto"/>
        <w:ind w:left="57"/>
        <w:jc w:val="left"/>
        <w:shd w:val="clear" w:fill="F2F2F2"/>
      </w:pPr>
      <w:r>
        <w:rPr>
          <w:rFonts w:ascii="Consolas" w:hAnsi="Consolas" w:cs="Consolas"/>
          <w:b w:val="0"/>
          <w:i w:val="0"/>
          <w:sz w:val="15"/>
        </w:rPr>
        <w:t xml:space="preserve">    structure_name TEXT NOT NULL,</w:t>
      </w:r>
    </w:p>
    <w:p>
      <w:pPr>
        <w:spacing w:after="0" w:before="0" w:line="240" w:lineRule="auto"/>
        <w:ind w:left="57"/>
        <w:jc w:val="left"/>
        <w:shd w:val="clear" w:fill="F2F2F2"/>
      </w:pPr>
      <w:r>
        <w:rPr>
          <w:rFonts w:ascii="Consolas" w:hAnsi="Consolas" w:cs="Consolas"/>
          <w:b w:val="0"/>
          <w:i w:val="0"/>
          <w:sz w:val="15"/>
        </w:rPr>
        <w:t xml:space="preserve">    structure_name_ar TEXT,</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description_ar TEXT,</w:t>
      </w:r>
    </w:p>
    <w:p>
      <w:pPr>
        <w:spacing w:after="0" w:before="0" w:line="240" w:lineRule="auto"/>
        <w:ind w:left="57"/>
        <w:jc w:val="left"/>
        <w:shd w:val="clear" w:fill="F2F2F2"/>
      </w:pPr>
      <w:r>
        <w:rPr>
          <w:rFonts w:ascii="Consolas" w:hAnsi="Consolas" w:cs="Consolas"/>
          <w:b w:val="0"/>
          <w:i w:val="0"/>
          <w:sz w:val="15"/>
        </w:rPr>
        <w:t xml:space="preserve">    recommended_for TEXT, -- 'LOWEST_COST', 'FASTEST_SETTLEMENT', 'FINANCING_FRIENDLY', 'BALANCED'</w:t>
      </w:r>
    </w:p>
    <w:p>
      <w:pPr>
        <w:spacing w:after="0" w:before="0" w:line="240" w:lineRule="auto"/>
        <w:ind w:left="57"/>
        <w:jc w:val="left"/>
        <w:shd w:val="clear" w:fill="F2F2F2"/>
      </w:pPr>
      <w:r>
        <w:rPr>
          <w:rFonts w:ascii="Consolas" w:hAnsi="Consolas" w:cs="Consolas"/>
          <w:b w:val="0"/>
          <w:i w:val="0"/>
          <w:sz w:val="15"/>
        </w:rPr>
        <w:t xml:space="preserve">    typical_use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Payment timing reference table</w:t>
      </w:r>
    </w:p>
    <w:p>
      <w:pPr>
        <w:spacing w:after="0" w:before="0" w:line="240" w:lineRule="auto"/>
        <w:ind w:left="57"/>
        <w:jc w:val="left"/>
        <w:shd w:val="clear" w:fill="F2F2F2"/>
      </w:pPr>
      <w:r>
        <w:rPr>
          <w:rFonts w:ascii="Consolas" w:hAnsi="Consolas" w:cs="Consolas"/>
          <w:b w:val="0"/>
          <w:i w:val="0"/>
          <w:sz w:val="15"/>
        </w:rPr>
        <w:t>CREATE TABLE payment_timing_ref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timing_code TEXT UNIQUE NOT NULL,</w:t>
      </w:r>
    </w:p>
    <w:p>
      <w:pPr>
        <w:spacing w:after="0" w:before="0" w:line="240" w:lineRule="auto"/>
        <w:ind w:left="57"/>
        <w:jc w:val="left"/>
        <w:shd w:val="clear" w:fill="F2F2F2"/>
      </w:pPr>
      <w:r>
        <w:rPr>
          <w:rFonts w:ascii="Consolas" w:hAnsi="Consolas" w:cs="Consolas"/>
          <w:b w:val="0"/>
          <w:i w:val="0"/>
          <w:sz w:val="15"/>
        </w:rPr>
        <w:t xml:space="preserve">    timing_name TEXT NOT NULL,</w:t>
      </w:r>
    </w:p>
    <w:p>
      <w:pPr>
        <w:spacing w:after="0" w:before="0" w:line="240" w:lineRule="auto"/>
        <w:ind w:left="57"/>
        <w:jc w:val="left"/>
        <w:shd w:val="clear" w:fill="F2F2F2"/>
      </w:pPr>
      <w:r>
        <w:rPr>
          <w:rFonts w:ascii="Consolas" w:hAnsi="Consolas" w:cs="Consolas"/>
          <w:b w:val="0"/>
          <w:i w:val="0"/>
          <w:sz w:val="15"/>
        </w:rPr>
        <w:t xml:space="preserve">    timing_name_ar TEXT,</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description_ar TEXT,</w:t>
      </w:r>
    </w:p>
    <w:p>
      <w:pPr>
        <w:spacing w:after="0" w:before="0" w:line="240" w:lineRule="auto"/>
        <w:ind w:left="57"/>
        <w:jc w:val="left"/>
        <w:shd w:val="clear" w:fill="F2F2F2"/>
      </w:pPr>
      <w:r>
        <w:rPr>
          <w:rFonts w:ascii="Consolas" w:hAnsi="Consolas" w:cs="Consolas"/>
          <w:b w:val="0"/>
          <w:i w:val="0"/>
          <w:sz w:val="15"/>
        </w:rPr>
        <w:t xml:space="preserve">    typical_use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Bank instrument reference table</w:t>
      </w:r>
    </w:p>
    <w:p>
      <w:pPr>
        <w:spacing w:after="0" w:before="0" w:line="240" w:lineRule="auto"/>
        <w:ind w:left="57"/>
        <w:jc w:val="left"/>
        <w:shd w:val="clear" w:fill="F2F2F2"/>
      </w:pPr>
      <w:r>
        <w:rPr>
          <w:rFonts w:ascii="Consolas" w:hAnsi="Consolas" w:cs="Consolas"/>
          <w:b w:val="0"/>
          <w:i w:val="0"/>
          <w:sz w:val="15"/>
        </w:rPr>
        <w:t>CREATE TABLE bank_instruments_ref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instrument_code TEXT UNIQUE NOT NULL,</w:t>
      </w:r>
    </w:p>
    <w:p>
      <w:pPr>
        <w:spacing w:after="0" w:before="0" w:line="240" w:lineRule="auto"/>
        <w:ind w:left="57"/>
        <w:jc w:val="left"/>
        <w:shd w:val="clear" w:fill="F2F2F2"/>
      </w:pPr>
      <w:r>
        <w:rPr>
          <w:rFonts w:ascii="Consolas" w:hAnsi="Consolas" w:cs="Consolas"/>
          <w:b w:val="0"/>
          <w:i w:val="0"/>
          <w:sz w:val="15"/>
        </w:rPr>
        <w:t xml:space="preserve">    instrument_name TEXT NOT NULL,</w:t>
      </w:r>
    </w:p>
    <w:p>
      <w:pPr>
        <w:spacing w:after="0" w:before="0" w:line="240" w:lineRule="auto"/>
        <w:ind w:left="57"/>
        <w:jc w:val="left"/>
        <w:shd w:val="clear" w:fill="F2F2F2"/>
      </w:pPr>
      <w:r>
        <w:rPr>
          <w:rFonts w:ascii="Consolas" w:hAnsi="Consolas" w:cs="Consolas"/>
          <w:b w:val="0"/>
          <w:i w:val="0"/>
          <w:sz w:val="15"/>
        </w:rPr>
        <w:t xml:space="preserve">    instrument_name_ar TEXT,</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description_ar TEXT,</w:t>
      </w:r>
    </w:p>
    <w:p>
      <w:pPr>
        <w:spacing w:after="0" w:before="0" w:line="240" w:lineRule="auto"/>
        <w:ind w:left="57"/>
        <w:jc w:val="left"/>
        <w:shd w:val="clear" w:fill="F2F2F2"/>
      </w:pPr>
      <w:r>
        <w:rPr>
          <w:rFonts w:ascii="Consolas" w:hAnsi="Consolas" w:cs="Consolas"/>
          <w:b w:val="0"/>
          <w:i w:val="0"/>
          <w:sz w:val="15"/>
        </w:rPr>
        <w:t xml:space="preserve">    typical_use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Commercial priority reference table</w:t>
      </w:r>
    </w:p>
    <w:p>
      <w:pPr>
        <w:spacing w:after="0" w:before="0" w:line="240" w:lineRule="auto"/>
        <w:ind w:left="57"/>
        <w:jc w:val="left"/>
        <w:shd w:val="clear" w:fill="F2F2F2"/>
      </w:pPr>
      <w:r>
        <w:rPr>
          <w:rFonts w:ascii="Consolas" w:hAnsi="Consolas" w:cs="Consolas"/>
          <w:b w:val="0"/>
          <w:i w:val="0"/>
          <w:sz w:val="15"/>
        </w:rPr>
        <w:t>CREATE TABLE commercial_priority_ref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priority_code TEXT UNIQUE NOT NULL,</w:t>
      </w:r>
    </w:p>
    <w:p>
      <w:pPr>
        <w:spacing w:after="0" w:before="0" w:line="240" w:lineRule="auto"/>
        <w:ind w:left="57"/>
        <w:jc w:val="left"/>
        <w:shd w:val="clear" w:fill="F2F2F2"/>
      </w:pPr>
      <w:r>
        <w:rPr>
          <w:rFonts w:ascii="Consolas" w:hAnsi="Consolas" w:cs="Consolas"/>
          <w:b w:val="0"/>
          <w:i w:val="0"/>
          <w:sz w:val="15"/>
        </w:rPr>
        <w:t xml:space="preserve">    priority_name TEXT NOT NULL,</w:t>
      </w:r>
    </w:p>
    <w:p>
      <w:pPr>
        <w:spacing w:after="0" w:before="0" w:line="240" w:lineRule="auto"/>
        <w:ind w:left="57"/>
        <w:jc w:val="left"/>
        <w:shd w:val="clear" w:fill="F2F2F2"/>
      </w:pPr>
      <w:r>
        <w:rPr>
          <w:rFonts w:ascii="Consolas" w:hAnsi="Consolas" w:cs="Consolas"/>
          <w:b w:val="0"/>
          <w:i w:val="0"/>
          <w:sz w:val="15"/>
        </w:rPr>
        <w:t xml:space="preserve">    priority_name_ar TEXT,</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description_ar TEXT,</w:t>
      </w:r>
    </w:p>
    <w:p>
      <w:pPr>
        <w:spacing w:after="0" w:before="0" w:line="240" w:lineRule="auto"/>
        <w:ind w:left="57"/>
        <w:jc w:val="left"/>
        <w:shd w:val="clear" w:fill="F2F2F2"/>
      </w:pPr>
      <w:r>
        <w:rPr>
          <w:rFonts w:ascii="Consolas" w:hAnsi="Consolas" w:cs="Consolas"/>
          <w:b w:val="0"/>
          <w:i w:val="0"/>
          <w:sz w:val="15"/>
        </w:rPr>
        <w:t xml:space="preserve">    typical_use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Settlement AI readiness logs</w:t>
      </w:r>
    </w:p>
    <w:p>
      <w:pPr>
        <w:spacing w:after="0" w:before="0" w:line="240" w:lineRule="auto"/>
        <w:ind w:left="57"/>
        <w:jc w:val="left"/>
        <w:shd w:val="clear" w:fill="F2F2F2"/>
      </w:pPr>
      <w:r>
        <w:rPr>
          <w:rFonts w:ascii="Consolas" w:hAnsi="Consolas" w:cs="Consolas"/>
          <w:b w:val="0"/>
          <w:i w:val="0"/>
          <w:sz w:val="15"/>
        </w:rPr>
        <w:t>CREATE TABLE settlement_readiness_logs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settlement_id UUID NOT NULL REFERENCES commercial_settlement(id) ON DELETE CASCADE,</w:t>
      </w:r>
    </w:p>
    <w:p>
      <w:pPr>
        <w:spacing w:after="0" w:before="0" w:line="240" w:lineRule="auto"/>
        <w:ind w:left="57"/>
        <w:jc w:val="left"/>
        <w:shd w:val="clear" w:fill="F2F2F2"/>
      </w:pPr>
      <w:r>
        <w:rPr>
          <w:rFonts w:ascii="Consolas" w:hAnsi="Consolas" w:cs="Consolas"/>
          <w:b w:val="0"/>
          <w:i w:val="0"/>
          <w:sz w:val="15"/>
        </w:rPr>
        <w:t xml:space="preserve">    readiness_score INTEGER NOT NULL,</w:t>
      </w:r>
    </w:p>
    <w:p>
      <w:pPr>
        <w:spacing w:after="0" w:before="0" w:line="240" w:lineRule="auto"/>
        <w:ind w:left="57"/>
        <w:jc w:val="left"/>
        <w:shd w:val="clear" w:fill="F2F2F2"/>
      </w:pPr>
      <w:r>
        <w:rPr>
          <w:rFonts w:ascii="Consolas" w:hAnsi="Consolas" w:cs="Consolas"/>
          <w:b w:val="0"/>
          <w:i w:val="0"/>
          <w:sz w:val="15"/>
        </w:rPr>
        <w:t xml:space="preserve">    completeness_percentage INTEGER,</w:t>
      </w:r>
    </w:p>
    <w:p>
      <w:pPr>
        <w:spacing w:after="0" w:before="0" w:line="240" w:lineRule="auto"/>
        <w:ind w:left="57"/>
        <w:jc w:val="left"/>
        <w:shd w:val="clear" w:fill="F2F2F2"/>
      </w:pPr>
      <w:r>
        <w:rPr>
          <w:rFonts w:ascii="Consolas" w:hAnsi="Consolas" w:cs="Consolas"/>
          <w:b w:val="0"/>
          <w:i w:val="0"/>
          <w:sz w:val="15"/>
        </w:rPr>
        <w:t xml:space="preserve">    missing_documents TEXT[],</w:t>
      </w:r>
    </w:p>
    <w:p>
      <w:pPr>
        <w:spacing w:after="0" w:before="0" w:line="240" w:lineRule="auto"/>
        <w:ind w:left="57"/>
        <w:jc w:val="left"/>
        <w:shd w:val="clear" w:fill="F2F2F2"/>
      </w:pPr>
      <w:r>
        <w:rPr>
          <w:rFonts w:ascii="Consolas" w:hAnsi="Consolas" w:cs="Consolas"/>
          <w:b w:val="0"/>
          <w:i w:val="0"/>
          <w:sz w:val="15"/>
        </w:rPr>
        <w:t xml:space="preserve">    potential_issues JSONB,</w:t>
      </w:r>
    </w:p>
    <w:p>
      <w:pPr>
        <w:spacing w:after="0" w:before="0" w:line="240" w:lineRule="auto"/>
        <w:ind w:left="57"/>
        <w:jc w:val="left"/>
        <w:shd w:val="clear" w:fill="F2F2F2"/>
      </w:pPr>
      <w:r>
        <w:rPr>
          <w:rFonts w:ascii="Consolas" w:hAnsi="Consolas" w:cs="Consolas"/>
          <w:b w:val="0"/>
          <w:i w:val="0"/>
          <w:sz w:val="15"/>
        </w:rPr>
        <w:t xml:space="preserve">    ai_recommendation TEXT,</w:t>
      </w:r>
    </w:p>
    <w:p>
      <w:pPr>
        <w:spacing w:after="0" w:before="0" w:line="240" w:lineRule="auto"/>
        <w:ind w:left="57"/>
        <w:jc w:val="left"/>
        <w:shd w:val="clear" w:fill="F2F2F2"/>
      </w:pPr>
      <w:r>
        <w:rPr>
          <w:rFonts w:ascii="Consolas" w:hAnsi="Consolas" w:cs="Consolas"/>
          <w:b w:val="0"/>
          <w:i w:val="0"/>
          <w:sz w:val="15"/>
        </w:rPr>
        <w:t xml:space="preserve">    groq_model_version TEXT,</w:t>
      </w:r>
    </w:p>
    <w:p>
      <w:pPr>
        <w:spacing w:after="0" w:before="0" w:line="240" w:lineRule="auto"/>
        <w:ind w:left="57"/>
        <w:jc w:val="left"/>
        <w:shd w:val="clear" w:fill="F2F2F2"/>
      </w:pPr>
      <w:r>
        <w:rPr>
          <w:rFonts w:ascii="Consolas" w:hAnsi="Consolas" w:cs="Consolas"/>
          <w:b w:val="0"/>
          <w:i w:val="0"/>
          <w:sz w:val="15"/>
        </w:rPr>
        <w:t xml:space="preserve">    calculated_at TIMESTAMPTZ DEFAULT NOW(),</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idx_commercial_settlement_trade ON commercial_settlement(trade_request_id);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idx_commercial_settlement_priority ON commercial_settlement(commercial_priority);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idx_commercial_settlement_structure ON commercial_settlement(settlement_structure);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idx_commercial_settlement_currency ON commercial_settlement(currency);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idx_settlement_readiness_logs_settlement ON settlement_readiness_logs(settlement_id);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idx_settlement_readiness_logs_score ON settlement_readiness_logs(readiness_score);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6.11.16 Implementation Checklist (Settlement)</w:t>
      </w:r>
    </w:p>
    <w:p>
      <w:pPr>
        <w:keepNext/>
        <w:spacing w:before="140" w:after="60"/>
        <w:outlineLvl w:val="3"/>
      </w:pPr>
      <w:r>
        <w:rPr>
          <w:rFonts w:ascii="Arial" w:hAnsi="Arial" w:cs="Arial"/>
          <w:b/>
          <w:i/>
          <w:color w:val="333333"/>
          <w:sz w:val="22"/>
        </w:rPr>
        <w:t>6.11.16.1 Backend Services</w:t>
      </w:r>
    </w:p>
    <w:p>
      <w:pPr>
        <w:spacing w:after="80" w:line="293" w:lineRule="auto"/>
        <w:ind w:left="283"/>
        <w:jc w:val="left"/>
      </w:pPr>
      <w:r>
        <w:rPr>
          <w:rFonts w:ascii="Times New Roman" w:hAnsi="Times New Roman" w:cs="Times New Roman"/>
          <w:b w:val="0"/>
          <w:i w:val="0"/>
          <w:sz w:val="22"/>
        </w:rPr>
        <w:t>- Implement commercial settlement service (Rust)</w:t>
      </w:r>
    </w:p>
    <w:p>
      <w:pPr>
        <w:spacing w:after="80" w:line="293" w:lineRule="auto"/>
        <w:ind w:left="283"/>
        <w:jc w:val="left"/>
      </w:pPr>
      <w:r>
        <w:rPr>
          <w:rFonts w:ascii="Times New Roman" w:hAnsi="Times New Roman" w:cs="Times New Roman"/>
          <w:b w:val="0"/>
          <w:i w:val="0"/>
          <w:sz w:val="22"/>
        </w:rPr>
        <w:t>- Implement commercial priority logic</w:t>
      </w:r>
    </w:p>
    <w:p>
      <w:pPr>
        <w:spacing w:after="80" w:line="293" w:lineRule="auto"/>
        <w:ind w:left="283"/>
        <w:jc w:val="left"/>
      </w:pPr>
      <w:r>
        <w:rPr>
          <w:rFonts w:ascii="Times New Roman" w:hAnsi="Times New Roman" w:cs="Times New Roman"/>
          <w:b w:val="0"/>
          <w:i w:val="0"/>
          <w:sz w:val="22"/>
        </w:rPr>
        <w:t>- Implement incoterm-driven auto-configuration</w:t>
      </w:r>
    </w:p>
    <w:p>
      <w:pPr>
        <w:spacing w:after="80" w:line="293" w:lineRule="auto"/>
        <w:ind w:left="283"/>
        <w:jc w:val="left"/>
      </w:pPr>
      <w:r>
        <w:rPr>
          <w:rFonts w:ascii="Times New Roman" w:hAnsi="Times New Roman" w:cs="Times New Roman"/>
          <w:b w:val="0"/>
          <w:i w:val="0"/>
          <w:sz w:val="22"/>
        </w:rPr>
        <w:t>- Implement commercial priority-driven recommendations</w:t>
      </w:r>
    </w:p>
    <w:p>
      <w:pPr>
        <w:spacing w:after="80" w:line="293" w:lineRule="auto"/>
        <w:ind w:left="283"/>
        <w:jc w:val="left"/>
      </w:pPr>
      <w:r>
        <w:rPr>
          <w:rFonts w:ascii="Times New Roman" w:hAnsi="Times New Roman" w:cs="Times New Roman"/>
          <w:b w:val="0"/>
          <w:i w:val="0"/>
          <w:sz w:val="22"/>
        </w:rPr>
        <w:t>- Implement settlement validation (A4, WasmEdge)</w:t>
      </w:r>
    </w:p>
    <w:p>
      <w:pPr>
        <w:spacing w:after="80" w:line="293" w:lineRule="auto"/>
        <w:ind w:left="283"/>
        <w:jc w:val="left"/>
      </w:pPr>
      <w:r>
        <w:rPr>
          <w:rFonts w:ascii="Times New Roman" w:hAnsi="Times New Roman" w:cs="Times New Roman"/>
          <w:b w:val="0"/>
          <w:i w:val="0"/>
          <w:sz w:val="22"/>
        </w:rPr>
        <w:t>- Implement settlement AI readiness (A1, Groq)</w:t>
      </w:r>
    </w:p>
    <w:p>
      <w:pPr>
        <w:keepNext/>
        <w:spacing w:before="140" w:after="60"/>
        <w:outlineLvl w:val="3"/>
      </w:pPr>
      <w:r>
        <w:rPr>
          <w:rFonts w:ascii="Arial" w:hAnsi="Arial" w:cs="Arial"/>
          <w:b/>
          <w:i/>
          <w:color w:val="333333"/>
          <w:sz w:val="22"/>
        </w:rPr>
        <w:t>6.11.16.2 Frontend Components</w:t>
      </w:r>
    </w:p>
    <w:p>
      <w:pPr>
        <w:spacing w:after="80" w:line="293" w:lineRule="auto"/>
        <w:ind w:left="283"/>
        <w:jc w:val="left"/>
      </w:pPr>
      <w:r>
        <w:rPr>
          <w:rFonts w:ascii="Times New Roman" w:hAnsi="Times New Roman" w:cs="Times New Roman"/>
          <w:b w:val="0"/>
          <w:i w:val="0"/>
          <w:sz w:val="22"/>
        </w:rPr>
        <w:t>- Build Commercial Priority selector</w:t>
      </w:r>
    </w:p>
    <w:p>
      <w:pPr>
        <w:spacing w:after="80" w:line="293" w:lineRule="auto"/>
        <w:ind w:left="283"/>
        <w:jc w:val="left"/>
      </w:pPr>
      <w:r>
        <w:rPr>
          <w:rFonts w:ascii="Times New Roman" w:hAnsi="Times New Roman" w:cs="Times New Roman"/>
          <w:b w:val="0"/>
          <w:i w:val="0"/>
          <w:sz w:val="22"/>
        </w:rPr>
        <w:t>- Build Settlement Structure selector</w:t>
      </w:r>
    </w:p>
    <w:p>
      <w:pPr>
        <w:spacing w:after="80" w:line="293" w:lineRule="auto"/>
        <w:ind w:left="283"/>
        <w:jc w:val="left"/>
      </w:pPr>
      <w:r>
        <w:rPr>
          <w:rFonts w:ascii="Times New Roman" w:hAnsi="Times New Roman" w:cs="Times New Roman"/>
          <w:b w:val="0"/>
          <w:i w:val="0"/>
          <w:sz w:val="22"/>
        </w:rPr>
        <w:t>- Build Payment Timing selector</w:t>
      </w:r>
    </w:p>
    <w:p>
      <w:pPr>
        <w:spacing w:after="80" w:line="293" w:lineRule="auto"/>
        <w:ind w:left="283"/>
        <w:jc w:val="left"/>
      </w:pPr>
      <w:r>
        <w:rPr>
          <w:rFonts w:ascii="Times New Roman" w:hAnsi="Times New Roman" w:cs="Times New Roman"/>
          <w:b w:val="0"/>
          <w:i w:val="0"/>
          <w:sz w:val="22"/>
        </w:rPr>
        <w:t>- Build Credit Period selector</w:t>
      </w:r>
    </w:p>
    <w:p>
      <w:pPr>
        <w:spacing w:after="80" w:line="293" w:lineRule="auto"/>
        <w:ind w:left="283"/>
        <w:jc w:val="left"/>
      </w:pPr>
      <w:r>
        <w:rPr>
          <w:rFonts w:ascii="Times New Roman" w:hAnsi="Times New Roman" w:cs="Times New Roman"/>
          <w:b w:val="0"/>
          <w:i w:val="0"/>
          <w:sz w:val="22"/>
        </w:rPr>
        <w:t>- Build Currency selector</w:t>
      </w:r>
    </w:p>
    <w:p>
      <w:pPr>
        <w:spacing w:after="80" w:line="293" w:lineRule="auto"/>
        <w:ind w:left="283"/>
        <w:jc w:val="left"/>
      </w:pPr>
      <w:r>
        <w:rPr>
          <w:rFonts w:ascii="Times New Roman" w:hAnsi="Times New Roman" w:cs="Times New Roman"/>
          <w:b w:val="0"/>
          <w:i w:val="0"/>
          <w:sz w:val="22"/>
        </w:rPr>
        <w:t>- Build Buyer Financing Toggle</w:t>
      </w:r>
    </w:p>
    <w:p>
      <w:pPr>
        <w:spacing w:after="80" w:line="293" w:lineRule="auto"/>
        <w:ind w:left="283"/>
        <w:jc w:val="left"/>
      </w:pPr>
      <w:r>
        <w:rPr>
          <w:rFonts w:ascii="Times New Roman" w:hAnsi="Times New Roman" w:cs="Times New Roman"/>
          <w:b w:val="0"/>
          <w:i w:val="0"/>
          <w:sz w:val="22"/>
        </w:rPr>
        <w:t>- Build Bank Instrument selector (conditional)</w:t>
      </w:r>
    </w:p>
    <w:p>
      <w:pPr>
        <w:spacing w:after="80" w:line="293" w:lineRule="auto"/>
        <w:ind w:left="283"/>
        <w:jc w:val="left"/>
      </w:pPr>
      <w:r>
        <w:rPr>
          <w:rFonts w:ascii="Times New Roman" w:hAnsi="Times New Roman" w:cs="Times New Roman"/>
          <w:b w:val="0"/>
          <w:i w:val="0"/>
          <w:sz w:val="22"/>
        </w:rPr>
        <w:t>- Build Settlement Flexibility selector</w:t>
      </w:r>
    </w:p>
    <w:p>
      <w:pPr>
        <w:spacing w:after="80" w:line="293" w:lineRule="auto"/>
        <w:ind w:left="283"/>
        <w:jc w:val="left"/>
      </w:pPr>
      <w:r>
        <w:rPr>
          <w:rFonts w:ascii="Times New Roman" w:hAnsi="Times New Roman" w:cs="Times New Roman"/>
          <w:b w:val="0"/>
          <w:i w:val="0"/>
          <w:sz w:val="22"/>
        </w:rPr>
        <w:t>- Build Documentary Requirements (Settlement) checkbox matrix</w:t>
      </w:r>
    </w:p>
    <w:p>
      <w:pPr>
        <w:spacing w:after="80" w:line="293" w:lineRule="auto"/>
        <w:ind w:left="283"/>
        <w:jc w:val="left"/>
      </w:pPr>
      <w:r>
        <w:rPr>
          <w:rFonts w:ascii="Times New Roman" w:hAnsi="Times New Roman" w:cs="Times New Roman"/>
          <w:b w:val="0"/>
          <w:i w:val="0"/>
          <w:sz w:val="22"/>
        </w:rPr>
        <w:t>- Build AI Settlement Readiness display</w:t>
      </w:r>
    </w:p>
    <w:p>
      <w:pPr>
        <w:spacing w:after="80" w:line="293" w:lineRule="auto"/>
        <w:ind w:left="283"/>
        <w:jc w:val="left"/>
      </w:pPr>
      <w:r>
        <w:rPr>
          <w:rFonts w:ascii="Times New Roman" w:hAnsi="Times New Roman" w:cs="Times New Roman"/>
          <w:b w:val="0"/>
          <w:i w:val="0"/>
          <w:sz w:val="22"/>
        </w:rPr>
        <w:t>- Build auto-configuration display</w:t>
      </w:r>
    </w:p>
    <w:p>
      <w:pPr>
        <w:keepNext/>
        <w:spacing w:before="140" w:after="60"/>
        <w:outlineLvl w:val="3"/>
      </w:pPr>
      <w:r>
        <w:rPr>
          <w:rFonts w:ascii="Arial" w:hAnsi="Arial" w:cs="Arial"/>
          <w:b/>
          <w:i/>
          <w:color w:val="333333"/>
          <w:sz w:val="22"/>
        </w:rPr>
        <w:t>6.11.16.3 Integration</w:t>
      </w:r>
    </w:p>
    <w:p>
      <w:pPr>
        <w:spacing w:after="80" w:line="293" w:lineRule="auto"/>
        <w:ind w:left="283"/>
        <w:jc w:val="left"/>
      </w:pPr>
      <w:r>
        <w:rPr>
          <w:rFonts w:ascii="Times New Roman" w:hAnsi="Times New Roman" w:cs="Times New Roman"/>
          <w:b w:val="0"/>
          <w:i w:val="0"/>
          <w:sz w:val="22"/>
        </w:rPr>
        <w:t>- Integrate with incoterm selection for auto-configuration</w:t>
      </w:r>
    </w:p>
    <w:p>
      <w:pPr>
        <w:spacing w:after="80" w:line="293" w:lineRule="auto"/>
        <w:ind w:left="283"/>
        <w:jc w:val="left"/>
      </w:pPr>
      <w:r>
        <w:rPr>
          <w:rFonts w:ascii="Times New Roman" w:hAnsi="Times New Roman" w:cs="Times New Roman"/>
          <w:b w:val="0"/>
          <w:i w:val="0"/>
          <w:sz w:val="22"/>
        </w:rPr>
        <w:t>- Integrate with the CFR pre-clearance flow for the buyer financing flag (Section 7)</w:t>
      </w:r>
    </w:p>
    <w:p>
      <w:pPr>
        <w:spacing w:after="80" w:line="293" w:lineRule="auto"/>
        <w:ind w:left="283"/>
        <w:jc w:val="left"/>
      </w:pPr>
      <w:r>
        <w:rPr>
          <w:rFonts w:ascii="Times New Roman" w:hAnsi="Times New Roman" w:cs="Times New Roman"/>
          <w:b w:val="0"/>
          <w:i w:val="0"/>
          <w:sz w:val="22"/>
        </w:rPr>
        <w:t>- Integrate with contract service for settlement terms</w:t>
      </w:r>
    </w:p>
    <w:p>
      <w:pPr>
        <w:spacing w:after="80" w:line="293" w:lineRule="auto"/>
        <w:ind w:left="283"/>
        <w:jc w:val="left"/>
      </w:pPr>
      <w:r>
        <w:rPr>
          <w:rFonts w:ascii="Times New Roman" w:hAnsi="Times New Roman" w:cs="Times New Roman"/>
          <w:b w:val="0"/>
          <w:i w:val="0"/>
          <w:sz w:val="22"/>
        </w:rPr>
        <w:t>- Integrate with payment orchestrator for settlement instruction generation</w:t>
      </w:r>
    </w:p>
    <w:p>
      <w:pPr>
        <w:spacing w:after="80" w:line="293" w:lineRule="auto"/>
        <w:ind w:left="283"/>
        <w:jc w:val="left"/>
      </w:pPr>
      <w:r>
        <w:rPr>
          <w:rFonts w:ascii="Times New Roman" w:hAnsi="Times New Roman" w:cs="Times New Roman"/>
          <w:b w:val="0"/>
          <w:i w:val="0"/>
          <w:sz w:val="22"/>
        </w:rPr>
        <w:t>- Integrate with document service for settlement documents</w:t>
      </w:r>
    </w:p>
    <w:p>
      <w:pPr>
        <w:keepNext/>
        <w:spacing w:before="140" w:after="60"/>
        <w:outlineLvl w:val="3"/>
      </w:pPr>
      <w:r>
        <w:rPr>
          <w:rFonts w:ascii="Arial" w:hAnsi="Arial" w:cs="Arial"/>
          <w:b/>
          <w:i/>
          <w:color w:val="333333"/>
          <w:sz w:val="22"/>
        </w:rPr>
        <w:t>6.11.16.4 Governor Integration</w:t>
      </w:r>
    </w:p>
    <w:p>
      <w:pPr>
        <w:spacing w:after="80" w:line="293" w:lineRule="auto"/>
        <w:ind w:left="283"/>
        <w:jc w:val="left"/>
      </w:pPr>
      <w:r>
        <w:rPr>
          <w:rFonts w:ascii="Times New Roman" w:hAnsi="Times New Roman" w:cs="Times New Roman"/>
          <w:b w:val="0"/>
          <w:i w:val="0"/>
          <w:sz w:val="22"/>
        </w:rPr>
        <w:t>- Add settlement structure validation (G1 set)</w:t>
      </w:r>
    </w:p>
    <w:p>
      <w:pPr>
        <w:spacing w:after="80" w:line="293" w:lineRule="auto"/>
        <w:ind w:left="283"/>
        <w:jc w:val="left"/>
      </w:pPr>
      <w:r>
        <w:rPr>
          <w:rFonts w:ascii="Times New Roman" w:hAnsi="Times New Roman" w:cs="Times New Roman"/>
          <w:b w:val="0"/>
          <w:i w:val="0"/>
          <w:sz w:val="22"/>
        </w:rPr>
        <w:t>- Add payment timing validation (G1 set; multi-shipment schedule validation uses G1U10)</w:t>
      </w:r>
    </w:p>
    <w:p>
      <w:pPr>
        <w:spacing w:after="80" w:line="293" w:lineRule="auto"/>
        <w:ind w:left="283"/>
        <w:jc w:val="left"/>
      </w:pPr>
      <w:r>
        <w:rPr>
          <w:rFonts w:ascii="Times New Roman" w:hAnsi="Times New Roman" w:cs="Times New Roman"/>
          <w:b w:val="0"/>
          <w:i w:val="0"/>
          <w:sz w:val="22"/>
        </w:rPr>
        <w:t>- Add G1U11: credit period validation</w:t>
      </w:r>
    </w:p>
    <w:p>
      <w:pPr>
        <w:spacing w:after="80" w:line="293" w:lineRule="auto"/>
        <w:ind w:left="283"/>
        <w:jc w:val="left"/>
      </w:pPr>
      <w:r>
        <w:rPr>
          <w:rFonts w:ascii="Times New Roman" w:hAnsi="Times New Roman" w:cs="Times New Roman"/>
          <w:b w:val="0"/>
          <w:i w:val="0"/>
          <w:sz w:val="22"/>
        </w:rPr>
        <w:t>- Add G1U12: currency validation</w:t>
      </w:r>
    </w:p>
    <w:p>
      <w:pPr>
        <w:spacing w:after="80" w:line="293" w:lineRule="auto"/>
        <w:ind w:left="283"/>
        <w:jc w:val="left"/>
      </w:pPr>
      <w:r>
        <w:rPr>
          <w:rFonts w:ascii="Times New Roman" w:hAnsi="Times New Roman" w:cs="Times New Roman"/>
          <w:b w:val="0"/>
          <w:i w:val="0"/>
          <w:sz w:val="22"/>
        </w:rPr>
        <w:t>- Add financing interest declaration validation (G1 set, data-sovereign toggle)</w:t>
      </w:r>
    </w:p>
    <w:p>
      <w:pPr>
        <w:spacing w:after="80" w:line="293" w:lineRule="auto"/>
        <w:ind w:left="283"/>
        <w:jc w:val="left"/>
      </w:pPr>
      <w:r>
        <w:rPr>
          <w:rFonts w:ascii="Times New Roman" w:hAnsi="Times New Roman" w:cs="Times New Roman"/>
          <w:b w:val="0"/>
          <w:i w:val="0"/>
          <w:sz w:val="22"/>
        </w:rPr>
        <w:t>- Add bank instrument validation (G1 set)</w:t>
      </w:r>
    </w:p>
    <w:p>
      <w:pPr>
        <w:spacing w:after="80" w:line="293" w:lineRule="auto"/>
        <w:ind w:left="283"/>
        <w:jc w:val="left"/>
      </w:pPr>
      <w:r>
        <w:rPr>
          <w:rFonts w:ascii="Times New Roman" w:hAnsi="Times New Roman" w:cs="Times New Roman"/>
          <w:b w:val="0"/>
          <w:i w:val="0"/>
          <w:sz w:val="22"/>
        </w:rPr>
        <w:t>- Add settlement flexibility validation (G1 set)</w:t>
      </w:r>
    </w:p>
    <w:p>
      <w:pPr>
        <w:spacing w:after="80" w:line="293" w:lineRule="auto"/>
        <w:ind w:left="283"/>
        <w:jc w:val="left"/>
      </w:pPr>
      <w:r>
        <w:rPr>
          <w:rFonts w:ascii="Times New Roman" w:hAnsi="Times New Roman" w:cs="Times New Roman"/>
          <w:b w:val="0"/>
          <w:i w:val="0"/>
          <w:sz w:val="22"/>
        </w:rPr>
        <w:t>- Add G1U16: settlement documents validation</w:t>
      </w:r>
    </w:p>
    <w:p>
      <w:pPr>
        <w:spacing w:after="80" w:line="293" w:lineRule="auto"/>
        <w:ind w:left="283"/>
        <w:jc w:val="left"/>
      </w:pPr>
      <w:r>
        <w:rPr>
          <w:rFonts w:ascii="Times New Roman" w:hAnsi="Times New Roman" w:cs="Times New Roman"/>
          <w:b w:val="0"/>
          <w:i w:val="0"/>
          <w:sz w:val="22"/>
        </w:rPr>
        <w:t>- Add G1U17: commercial priority validation</w:t>
      </w:r>
    </w:p>
    <w:p>
      <w:pPr>
        <w:keepNext/>
        <w:spacing w:before="140" w:after="60"/>
        <w:outlineLvl w:val="3"/>
      </w:pPr>
      <w:r>
        <w:rPr>
          <w:rFonts w:ascii="Arial" w:hAnsi="Arial" w:cs="Arial"/>
          <w:b/>
          <w:i/>
          <w:color w:val="333333"/>
          <w:sz w:val="22"/>
        </w:rPr>
        <w:t>6.11.16.5 Testing</w:t>
      </w:r>
    </w:p>
    <w:p>
      <w:pPr>
        <w:spacing w:after="80" w:line="293" w:lineRule="auto"/>
        <w:ind w:left="283"/>
        <w:jc w:val="left"/>
      </w:pPr>
      <w:r>
        <w:rPr>
          <w:rFonts w:ascii="Times New Roman" w:hAnsi="Times New Roman" w:cs="Times New Roman"/>
          <w:b w:val="0"/>
          <w:i w:val="0"/>
          <w:sz w:val="22"/>
        </w:rPr>
        <w:t>- Unit tests: incoterm-driven auto-configuration</w:t>
      </w:r>
    </w:p>
    <w:p>
      <w:pPr>
        <w:spacing w:after="80" w:line="293" w:lineRule="auto"/>
        <w:ind w:left="283"/>
        <w:jc w:val="left"/>
      </w:pPr>
      <w:r>
        <w:rPr>
          <w:rFonts w:ascii="Times New Roman" w:hAnsi="Times New Roman" w:cs="Times New Roman"/>
          <w:b w:val="0"/>
          <w:i w:val="0"/>
          <w:sz w:val="22"/>
        </w:rPr>
        <w:t>- Unit tests: commercial priority-driven recommendations</w:t>
      </w:r>
    </w:p>
    <w:p>
      <w:pPr>
        <w:spacing w:after="80" w:line="293" w:lineRule="auto"/>
        <w:ind w:left="283"/>
        <w:jc w:val="left"/>
      </w:pPr>
      <w:r>
        <w:rPr>
          <w:rFonts w:ascii="Times New Roman" w:hAnsi="Times New Roman" w:cs="Times New Roman"/>
          <w:b w:val="0"/>
          <w:i w:val="0"/>
          <w:sz w:val="22"/>
        </w:rPr>
        <w:t>- Unit tests: settlement validation</w:t>
      </w:r>
    </w:p>
    <w:p>
      <w:pPr>
        <w:spacing w:after="80" w:line="293" w:lineRule="auto"/>
        <w:ind w:left="283"/>
        <w:jc w:val="left"/>
      </w:pPr>
      <w:r>
        <w:rPr>
          <w:rFonts w:ascii="Times New Roman" w:hAnsi="Times New Roman" w:cs="Times New Roman"/>
          <w:b w:val="0"/>
          <w:i w:val="0"/>
          <w:sz w:val="22"/>
        </w:rPr>
        <w:t>- Integration tests: incoterm selection → settlement auto-configuration</w:t>
      </w:r>
    </w:p>
    <w:p>
      <w:pPr>
        <w:spacing w:after="80" w:line="293" w:lineRule="auto"/>
        <w:ind w:left="283"/>
        <w:jc w:val="left"/>
      </w:pPr>
      <w:r>
        <w:rPr>
          <w:rFonts w:ascii="Times New Roman" w:hAnsi="Times New Roman" w:cs="Times New Roman"/>
          <w:b w:val="0"/>
          <w:i w:val="0"/>
          <w:sz w:val="22"/>
        </w:rPr>
        <w:t>- Integration tests: commercial priority → settlement recommendations</w:t>
      </w:r>
    </w:p>
    <w:p>
      <w:pPr>
        <w:spacing w:after="80" w:line="293" w:lineRule="auto"/>
        <w:ind w:left="283"/>
        <w:jc w:val="left"/>
      </w:pPr>
      <w:r>
        <w:rPr>
          <w:rFonts w:ascii="Times New Roman" w:hAnsi="Times New Roman" w:cs="Times New Roman"/>
          <w:b w:val="0"/>
          <w:i w:val="0"/>
          <w:sz w:val="22"/>
        </w:rPr>
        <w:t>- Integration tests: settlement readiness AI</w:t>
      </w:r>
    </w:p>
    <w:p>
      <w:pPr>
        <w:spacing w:after="80" w:line="293" w:lineRule="auto"/>
        <w:ind w:left="283"/>
        <w:jc w:val="left"/>
      </w:pPr>
      <w:r>
        <w:rPr>
          <w:rFonts w:ascii="Times New Roman" w:hAnsi="Times New Roman" w:cs="Times New Roman"/>
          <w:b w:val="0"/>
          <w:i w:val="0"/>
          <w:sz w:val="22"/>
        </w:rPr>
        <w:t>- End-to-end tests: full settlement workflow</w:t>
      </w:r>
    </w:p>
    <w:p>
      <w:pPr>
        <w:keepNext/>
        <w:spacing w:before="180" w:after="80"/>
        <w:outlineLvl w:val="2"/>
      </w:pPr>
      <w:r>
        <w:rPr>
          <w:rFonts w:ascii="Arial" w:hAnsi="Arial" w:cs="Arial"/>
          <w:b/>
          <w:i w:val="0"/>
          <w:color w:val="333333"/>
          <w:sz w:val="23"/>
        </w:rPr>
        <w:t>6.11.17 AI Authority Summary (Settlement)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Settlement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Settlement readiness assessment, recommendations, missing-document warnings</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Settlement structure/timing/credit/currency/instrument/flexibility/document validation; financing declaration single-party enforcement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6.11.18 Payment Intent Configuration (Direct Bank Settlement)</w:t>
      </w:r>
    </w:p>
    <w:p>
      <w:pPr>
        <w:spacing w:after="80" w:line="293" w:lineRule="auto"/>
        <w:jc w:val="left"/>
      </w:pPr>
      <w:r>
        <w:rPr>
          <w:rFonts w:ascii="Times New Roman" w:hAnsi="Times New Roman" w:cs="Times New Roman"/>
          <w:b w:val="0"/>
          <w:i w:val="0"/>
          <w:sz w:val="22"/>
        </w:rPr>
        <w:t>Within the trade request, the buyer captures the payment intent that will drive the entire settlement lifecycle. The payment intent fixes the settlement method, the two segregated funding accounts, and the milestone condition attached to each category of payment:</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Buyer</w:t>
      </w:r>
    </w:p>
    <w:p>
      <w:pPr>
        <w:spacing w:after="80" w:line="293" w:lineRule="auto"/>
        <w:jc w:val="left"/>
      </w:pPr>
      <w:r>
        <w:rPr>
          <w:rFonts w:ascii="Times New Roman" w:hAnsi="Times New Roman" w:cs="Times New Roman"/>
          <w:b/>
          <w:i w:val="0"/>
          <w:sz w:val="22"/>
        </w:rPr>
        <w:t>UI Example:</w:t>
      </w:r>
    </w:p>
    <w:p>
      <w:pPr>
        <w:spacing w:after="0" w:before="0" w:line="240" w:lineRule="auto"/>
        <w:ind w:left="57"/>
        <w:jc w:val="left"/>
        <w:shd w:val="clear" w:fill="F2F2F2"/>
      </w:pPr>
      <w:r>
        <w:rPr>
          <w:rFonts w:ascii="Consolas" w:hAnsi="Consolas" w:cs="Consolas"/>
          <w:b w:val="0"/>
          <w:i w:val="0"/>
          <w:sz w:val="15"/>
        </w:rPr>
        <w:t>NEW TRADE REQUEST — Payment Configuration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Settlement Method: [Direct Bank Transfer]                  │</w:t>
      </w:r>
    </w:p>
    <w:p>
      <w:pPr>
        <w:spacing w:after="0" w:before="0" w:line="240" w:lineRule="auto"/>
        <w:ind w:left="57"/>
        <w:jc w:val="left"/>
        <w:shd w:val="clear" w:fill="F2F2F2"/>
      </w:pPr>
      <w:r>
        <w:rPr>
          <w:rFonts w:ascii="Consolas" w:hAnsi="Consolas" w:cs="Consolas"/>
          <w:b w:val="0"/>
          <w:i w:val="0"/>
          <w:sz w:val="15"/>
        </w:rPr>
        <w:t>│ EGP Account: EG3800100000000000123456 (CIB Egypt) ✓       │</w:t>
      </w:r>
    </w:p>
    <w:p>
      <w:pPr>
        <w:spacing w:after="0" w:before="0" w:line="240" w:lineRule="auto"/>
        <w:ind w:left="57"/>
        <w:jc w:val="left"/>
        <w:shd w:val="clear" w:fill="F2F2F2"/>
      </w:pPr>
      <w:r>
        <w:rPr>
          <w:rFonts w:ascii="Consolas" w:hAnsi="Consolas" w:cs="Consolas"/>
          <w:b w:val="0"/>
          <w:i w:val="0"/>
          <w:sz w:val="15"/>
        </w:rPr>
        <w:t>│ USD Account: EG3800100000000000789012 (CIB Egypt) ✓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Payment Terms:                                             │</w:t>
      </w:r>
    </w:p>
    <w:p>
      <w:pPr>
        <w:spacing w:after="0" w:before="0" w:line="240" w:lineRule="auto"/>
        <w:ind w:left="57"/>
        <w:jc w:val="left"/>
        <w:shd w:val="clear" w:fill="F2F2F2"/>
      </w:pPr>
      <w:r>
        <w:rPr>
          <w:rFonts w:ascii="Consolas" w:hAnsi="Consolas" w:cs="Consolas"/>
          <w:b w:val="0"/>
          <w:i w:val="0"/>
          <w:sz w:val="15"/>
        </w:rPr>
        <w:t>│ • Customs/Duties: EGP (on CUSTOMS_IMPORT)                 │</w:t>
      </w:r>
    </w:p>
    <w:p>
      <w:pPr>
        <w:spacing w:after="0" w:before="0" w:line="240" w:lineRule="auto"/>
        <w:ind w:left="57"/>
        <w:jc w:val="left"/>
        <w:shd w:val="clear" w:fill="F2F2F2"/>
      </w:pPr>
      <w:r>
        <w:rPr>
          <w:rFonts w:ascii="Consolas" w:hAnsi="Consolas" w:cs="Consolas"/>
          <w:b w:val="0"/>
          <w:i w:val="0"/>
          <w:sz w:val="15"/>
        </w:rPr>
        <w:t>│ • Lab/QC Fees: EGP (on CUSTOMS_SUBMITTED)                 │</w:t>
      </w:r>
    </w:p>
    <w:p>
      <w:pPr>
        <w:spacing w:after="0" w:before="0" w:line="240" w:lineRule="auto"/>
        <w:ind w:left="57"/>
        <w:jc w:val="left"/>
        <w:shd w:val="clear" w:fill="F2F2F2"/>
      </w:pPr>
      <w:r>
        <w:rPr>
          <w:rFonts w:ascii="Consolas" w:hAnsi="Consolas" w:cs="Consolas"/>
          <w:b w:val="0"/>
          <w:i w:val="0"/>
          <w:sz w:val="15"/>
        </w:rPr>
        <w:t>│ • Ocean Freight: USD (on DEPARTED)                        │</w:t>
      </w:r>
    </w:p>
    <w:p>
      <w:pPr>
        <w:spacing w:after="0" w:before="0" w:line="240" w:lineRule="auto"/>
        <w:ind w:left="57"/>
        <w:jc w:val="left"/>
        <w:shd w:val="clear" w:fill="F2F2F2"/>
      </w:pPr>
      <w:r>
        <w:rPr>
          <w:rFonts w:ascii="Consolas" w:hAnsi="Consolas" w:cs="Consolas"/>
          <w:b w:val="0"/>
          <w:i w:val="0"/>
          <w:sz w:val="15"/>
        </w:rPr>
        <w:t>│ • Seller Balance: USD (on DELIVERED)                       │</w:t>
      </w:r>
    </w:p>
    <w:p>
      <w:pPr>
        <w:spacing w:after="0" w:before="0" w:line="240" w:lineRule="auto"/>
        <w:ind w:left="57"/>
        <w:jc w:val="left"/>
        <w:shd w:val="clear" w:fill="F2F2F2"/>
      </w:pPr>
      <w:r>
        <w:rPr>
          <w:rFonts w:ascii="Consolas" w:hAnsi="Consolas" w:cs="Consolas"/>
          <w:b w:val="0"/>
          <w:i w:val="0"/>
          <w:sz w:val="15"/>
        </w:rPr>
        <w:t>│ • SGTX Fee: USD (on LOCKED)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Data Persistence:</w:t>
      </w:r>
    </w:p>
    <w:p>
      <w:pPr>
        <w:spacing w:after="0" w:before="0" w:line="240" w:lineRule="auto"/>
        <w:ind w:left="57"/>
        <w:jc w:val="left"/>
        <w:shd w:val="clear" w:fill="F2F2F2"/>
      </w:pPr>
      <w:r>
        <w:rPr>
          <w:rFonts w:ascii="Consolas" w:hAnsi="Consolas" w:cs="Consolas"/>
          <w:b w:val="0"/>
          <w:i w:val="0"/>
          <w:sz w:val="16"/>
        </w:rPr>
        <w:t>-- trade_requests.parsed_specs.payment_intent</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"settlement_method": "DIRECT_BANK_TRANSFER",</w:t>
      </w:r>
    </w:p>
    <w:p>
      <w:pPr>
        <w:spacing w:after="0" w:before="0" w:line="240" w:lineRule="auto"/>
        <w:ind w:left="57"/>
        <w:jc w:val="left"/>
        <w:shd w:val="clear" w:fill="F2F2F2"/>
      </w:pPr>
      <w:r>
        <w:rPr>
          <w:rFonts w:ascii="Consolas" w:hAnsi="Consolas" w:cs="Consolas"/>
          <w:b w:val="0"/>
          <w:i w:val="0"/>
          <w:sz w:val="16"/>
        </w:rPr>
        <w:t xml:space="preserve">  "egp_account_iban": "EG3800100000000000123456",</w:t>
      </w:r>
    </w:p>
    <w:p>
      <w:pPr>
        <w:spacing w:after="0" w:before="0" w:line="240" w:lineRule="auto"/>
        <w:ind w:left="57"/>
        <w:jc w:val="left"/>
        <w:shd w:val="clear" w:fill="F2F2F2"/>
      </w:pPr>
      <w:r>
        <w:rPr>
          <w:rFonts w:ascii="Consolas" w:hAnsi="Consolas" w:cs="Consolas"/>
          <w:b w:val="0"/>
          <w:i w:val="0"/>
          <w:sz w:val="16"/>
        </w:rPr>
        <w:t xml:space="preserve">  "usd_account_iban": "EG3800100000000000789012",</w:t>
      </w:r>
    </w:p>
    <w:p>
      <w:pPr>
        <w:spacing w:after="0" w:before="0" w:line="240" w:lineRule="auto"/>
        <w:ind w:left="57"/>
        <w:jc w:val="left"/>
        <w:shd w:val="clear" w:fill="F2F2F2"/>
      </w:pPr>
      <w:r>
        <w:rPr>
          <w:rFonts w:ascii="Consolas" w:hAnsi="Consolas" w:cs="Consolas"/>
          <w:b w:val="0"/>
          <w:i w:val="0"/>
          <w:sz w:val="16"/>
        </w:rPr>
        <w:t xml:space="preserve">  "payment_terms": {</w:t>
      </w:r>
    </w:p>
    <w:p>
      <w:pPr>
        <w:spacing w:after="0" w:before="0" w:line="240" w:lineRule="auto"/>
        <w:ind w:left="57"/>
        <w:jc w:val="left"/>
        <w:shd w:val="clear" w:fill="F2F2F2"/>
      </w:pPr>
      <w:r>
        <w:rPr>
          <w:rFonts w:ascii="Consolas" w:hAnsi="Consolas" w:cs="Consolas"/>
          <w:b w:val="0"/>
          <w:i w:val="0"/>
          <w:sz w:val="16"/>
        </w:rPr>
        <w:t xml:space="preserve">    "customs_condition": "CUSTOMS_IMPORT",</w:t>
      </w:r>
    </w:p>
    <w:p>
      <w:pPr>
        <w:spacing w:after="0" w:before="0" w:line="240" w:lineRule="auto"/>
        <w:ind w:left="57"/>
        <w:jc w:val="left"/>
        <w:shd w:val="clear" w:fill="F2F2F2"/>
      </w:pPr>
      <w:r>
        <w:rPr>
          <w:rFonts w:ascii="Consolas" w:hAnsi="Consolas" w:cs="Consolas"/>
          <w:b w:val="0"/>
          <w:i w:val="0"/>
          <w:sz w:val="16"/>
        </w:rPr>
        <w:t xml:space="preserve">    "phytosanitary_condition": "CUSTOMS_SUBMITTED",</w:t>
      </w:r>
    </w:p>
    <w:p>
      <w:pPr>
        <w:spacing w:after="0" w:before="0" w:line="240" w:lineRule="auto"/>
        <w:ind w:left="57"/>
        <w:jc w:val="left"/>
        <w:shd w:val="clear" w:fill="F2F2F2"/>
      </w:pPr>
      <w:r>
        <w:rPr>
          <w:rFonts w:ascii="Consolas" w:hAnsi="Consolas" w:cs="Consolas"/>
          <w:b w:val="0"/>
          <w:i w:val="0"/>
          <w:sz w:val="16"/>
        </w:rPr>
        <w:t xml:space="preserve">    "lab_condition": "CUSTOMS_SUBMITTED",</w:t>
      </w:r>
    </w:p>
    <w:p>
      <w:pPr>
        <w:spacing w:after="0" w:before="0" w:line="240" w:lineRule="auto"/>
        <w:ind w:left="57"/>
        <w:jc w:val="left"/>
        <w:shd w:val="clear" w:fill="F2F2F2"/>
      </w:pPr>
      <w:r>
        <w:rPr>
          <w:rFonts w:ascii="Consolas" w:hAnsi="Consolas" w:cs="Consolas"/>
          <w:b w:val="0"/>
          <w:i w:val="0"/>
          <w:sz w:val="16"/>
        </w:rPr>
        <w:t xml:space="preserve">    "freight_condition": "DEPARTED",</w:t>
      </w:r>
    </w:p>
    <w:p>
      <w:pPr>
        <w:spacing w:after="0" w:before="0" w:line="240" w:lineRule="auto"/>
        <w:ind w:left="57"/>
        <w:jc w:val="left"/>
        <w:shd w:val="clear" w:fill="F2F2F2"/>
      </w:pPr>
      <w:r>
        <w:rPr>
          <w:rFonts w:ascii="Consolas" w:hAnsi="Consolas" w:cs="Consolas"/>
          <w:b w:val="0"/>
          <w:i w:val="0"/>
          <w:sz w:val="16"/>
        </w:rPr>
        <w:t xml:space="preserve">    "seller_condition": "DELIVERED",</w:t>
      </w:r>
    </w:p>
    <w:p>
      <w:pPr>
        <w:spacing w:after="0" w:before="0" w:line="240" w:lineRule="auto"/>
        <w:ind w:left="57"/>
        <w:jc w:val="left"/>
        <w:shd w:val="clear" w:fill="F2F2F2"/>
      </w:pPr>
      <w:r>
        <w:rPr>
          <w:rFonts w:ascii="Consolas" w:hAnsi="Consolas" w:cs="Consolas"/>
          <w:b w:val="0"/>
          <w:i w:val="0"/>
          <w:sz w:val="16"/>
        </w:rPr>
        <w:t xml:space="preserve">    "sgtx_fee_condition": "LOCKED"</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6.11.19 RIA-Driven Fee Estimation</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System (RIA + Dynamic Fee Engine)</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val="0"/>
          <w:i w:val="0"/>
          <w:sz w:val="22"/>
        </w:rPr>
        <w:t>1. RIA (A2) determines mandatory fees based on:</w:t>
      </w:r>
    </w:p>
    <w:p>
      <w:pPr>
        <w:spacing w:after="80" w:line="293" w:lineRule="auto"/>
        <w:ind w:left="567"/>
        <w:jc w:val="left"/>
      </w:pPr>
      <w:r>
        <w:rPr>
          <w:rFonts w:ascii="Times New Roman" w:hAnsi="Times New Roman" w:cs="Times New Roman"/>
          <w:b w:val="0"/>
          <w:i w:val="0"/>
          <w:sz w:val="22"/>
        </w:rPr>
        <w:t>* HS code, origin, destination</w:t>
      </w:r>
    </w:p>
    <w:p>
      <w:pPr>
        <w:spacing w:after="80" w:line="293" w:lineRule="auto"/>
        <w:ind w:left="567"/>
        <w:jc w:val="left"/>
      </w:pPr>
      <w:r>
        <w:rPr>
          <w:rFonts w:ascii="Times New Roman" w:hAnsi="Times New Roman" w:cs="Times New Roman"/>
          <w:b w:val="0"/>
          <w:i w:val="0"/>
          <w:sz w:val="22"/>
        </w:rPr>
        <w:t>* Government requirements (Nafeza, CAPQ, GOEIC)</w:t>
      </w:r>
    </w:p>
    <w:p>
      <w:pPr>
        <w:spacing w:after="80" w:line="293" w:lineRule="auto"/>
        <w:ind w:left="567"/>
        <w:jc w:val="left"/>
      </w:pPr>
      <w:r>
        <w:rPr>
          <w:rFonts w:ascii="Times New Roman" w:hAnsi="Times New Roman" w:cs="Times New Roman"/>
          <w:b w:val="0"/>
          <w:i w:val="0"/>
          <w:sz w:val="22"/>
        </w:rPr>
        <w:t>* Service provider quotes (from saved contacts)</w:t>
      </w:r>
    </w:p>
    <w:p>
      <w:pPr>
        <w:spacing w:after="80" w:line="293" w:lineRule="auto"/>
        <w:jc w:val="left"/>
      </w:pPr>
      <w:r>
        <w:rPr>
          <w:rFonts w:ascii="Times New Roman" w:hAnsi="Times New Roman" w:cs="Times New Roman"/>
          <w:b w:val="0"/>
          <w:i w:val="0"/>
          <w:sz w:val="22"/>
        </w:rPr>
        <w:t>2. Dynamic Fee Engine calculates all fees</w:t>
      </w:r>
    </w:p>
    <w:p>
      <w:pPr>
        <w:spacing w:after="80" w:line="293" w:lineRule="auto"/>
        <w:jc w:val="left"/>
      </w:pPr>
      <w:r>
        <w:rPr>
          <w:rFonts w:ascii="Times New Roman" w:hAnsi="Times New Roman" w:cs="Times New Roman"/>
          <w:b w:val="0"/>
          <w:i w:val="0"/>
          <w:sz w:val="22"/>
        </w:rPr>
        <w:t>3. System generates fee estimate attached to trade request</w:t>
      </w:r>
    </w:p>
    <w:p>
      <w:pPr>
        <w:spacing w:after="80" w:line="293" w:lineRule="auto"/>
        <w:jc w:val="left"/>
      </w:pPr>
      <w:r>
        <w:rPr>
          <w:rFonts w:ascii="Times New Roman" w:hAnsi="Times New Roman" w:cs="Times New Roman"/>
          <w:b w:val="0"/>
          <w:i w:val="0"/>
          <w:sz w:val="22"/>
        </w:rPr>
        <w:t>Fee Estimate Example (attached to the trade request; every leg carries payee GTID, currency, amount, and milestone condition):</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"fee_estimate": {</w:t>
      </w:r>
    </w:p>
    <w:p>
      <w:pPr>
        <w:spacing w:after="0" w:before="0" w:line="240" w:lineRule="auto"/>
        <w:ind w:left="57"/>
        <w:jc w:val="left"/>
        <w:shd w:val="clear" w:fill="F2F2F2"/>
      </w:pPr>
      <w:r>
        <w:rPr>
          <w:rFonts w:ascii="Consolas" w:hAnsi="Consolas" w:cs="Consolas"/>
          <w:b w:val="0"/>
          <w:i w:val="0"/>
          <w:sz w:val="16"/>
        </w:rPr>
        <w:t xml:space="preserve">    "total_egp": 115000.00,</w:t>
      </w:r>
    </w:p>
    <w:p>
      <w:pPr>
        <w:spacing w:after="0" w:before="0" w:line="240" w:lineRule="auto"/>
        <w:ind w:left="57"/>
        <w:jc w:val="left"/>
        <w:shd w:val="clear" w:fill="F2F2F2"/>
      </w:pPr>
      <w:r>
        <w:rPr>
          <w:rFonts w:ascii="Consolas" w:hAnsi="Consolas" w:cs="Consolas"/>
          <w:b w:val="0"/>
          <w:i w:val="0"/>
          <w:sz w:val="16"/>
        </w:rPr>
        <w:t xml:space="preserve">    "total_usd": 18500.00,</w:t>
      </w:r>
    </w:p>
    <w:p>
      <w:pPr>
        <w:spacing w:after="0" w:before="0" w:line="240" w:lineRule="auto"/>
        <w:ind w:left="57"/>
        <w:jc w:val="left"/>
        <w:shd w:val="clear" w:fill="F2F2F2"/>
      </w:pPr>
      <w:r>
        <w:rPr>
          <w:rFonts w:ascii="Consolas" w:hAnsi="Consolas" w:cs="Consolas"/>
          <w:b w:val="0"/>
          <w:i w:val="0"/>
          <w:sz w:val="16"/>
        </w:rPr>
        <w:t xml:space="preserve">    "legs":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"LEG_CUSTOMS_EGP",</w:t>
      </w:r>
    </w:p>
    <w:p>
      <w:pPr>
        <w:spacing w:after="0" w:before="0" w:line="240" w:lineRule="auto"/>
        <w:ind w:left="57"/>
        <w:jc w:val="left"/>
        <w:shd w:val="clear" w:fill="F2F2F2"/>
      </w:pPr>
      <w:r>
        <w:rPr>
          <w:rFonts w:ascii="Consolas" w:hAnsi="Consolas" w:cs="Consolas"/>
          <w:b w:val="0"/>
          <w:i w:val="0"/>
          <w:sz w:val="16"/>
        </w:rPr>
        <w:t xml:space="preserve">        "payee": "Nafeza / Egypt Customs",</w:t>
      </w:r>
    </w:p>
    <w:p>
      <w:pPr>
        <w:spacing w:after="0" w:before="0" w:line="240" w:lineRule="auto"/>
        <w:ind w:left="57"/>
        <w:jc w:val="left"/>
        <w:shd w:val="clear" w:fill="F2F2F2"/>
      </w:pPr>
      <w:r>
        <w:rPr>
          <w:rFonts w:ascii="Consolas" w:hAnsi="Consolas" w:cs="Consolas"/>
          <w:b w:val="0"/>
          <w:i w:val="0"/>
          <w:sz w:val="16"/>
        </w:rPr>
        <w:t xml:space="preserve">        "payee_gtid": "SGTX-EG-CUSTOMS-001",</w:t>
      </w:r>
    </w:p>
    <w:p>
      <w:pPr>
        <w:spacing w:after="0" w:before="0" w:line="240" w:lineRule="auto"/>
        <w:ind w:left="57"/>
        <w:jc w:val="left"/>
        <w:shd w:val="clear" w:fill="F2F2F2"/>
      </w:pPr>
      <w:r>
        <w:rPr>
          <w:rFonts w:ascii="Consolas" w:hAnsi="Consolas" w:cs="Consolas"/>
          <w:b w:val="0"/>
          <w:i w:val="0"/>
          <w:sz w:val="16"/>
        </w:rPr>
        <w:t xml:space="preserve">        "amount": 100000.00,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"CUSTOMS_IMPORT",</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"LEG_PHYTO_EGP",</w:t>
      </w:r>
    </w:p>
    <w:p>
      <w:pPr>
        <w:spacing w:after="0" w:before="0" w:line="240" w:lineRule="auto"/>
        <w:ind w:left="57"/>
        <w:jc w:val="left"/>
        <w:shd w:val="clear" w:fill="F2F2F2"/>
      </w:pPr>
      <w:r>
        <w:rPr>
          <w:rFonts w:ascii="Consolas" w:hAnsi="Consolas" w:cs="Consolas"/>
          <w:b w:val="0"/>
          <w:i w:val="0"/>
          <w:sz w:val="16"/>
        </w:rPr>
        <w:t xml:space="preserve">        "payee": "CAPQ",</w:t>
      </w:r>
    </w:p>
    <w:p>
      <w:pPr>
        <w:spacing w:after="0" w:before="0" w:line="240" w:lineRule="auto"/>
        <w:ind w:left="57"/>
        <w:jc w:val="left"/>
        <w:shd w:val="clear" w:fill="F2F2F2"/>
      </w:pPr>
      <w:r>
        <w:rPr>
          <w:rFonts w:ascii="Consolas" w:hAnsi="Consolas" w:cs="Consolas"/>
          <w:b w:val="0"/>
          <w:i w:val="0"/>
          <w:sz w:val="16"/>
        </w:rPr>
        <w:t xml:space="preserve">        "payee_gtid": "SGTX-EG-CAPQ-001",</w:t>
      </w:r>
    </w:p>
    <w:p>
      <w:pPr>
        <w:spacing w:after="0" w:before="0" w:line="240" w:lineRule="auto"/>
        <w:ind w:left="57"/>
        <w:jc w:val="left"/>
        <w:shd w:val="clear" w:fill="F2F2F2"/>
      </w:pPr>
      <w:r>
        <w:rPr>
          <w:rFonts w:ascii="Consolas" w:hAnsi="Consolas" w:cs="Consolas"/>
          <w:b w:val="0"/>
          <w:i w:val="0"/>
          <w:sz w:val="16"/>
        </w:rPr>
        <w:t xml:space="preserve">        "amount": 5000.00,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"LEG_LAB_EGP",</w:t>
      </w:r>
    </w:p>
    <w:p>
      <w:pPr>
        <w:spacing w:after="0" w:before="0" w:line="240" w:lineRule="auto"/>
        <w:ind w:left="57"/>
        <w:jc w:val="left"/>
        <w:shd w:val="clear" w:fill="F2F2F2"/>
      </w:pPr>
      <w:r>
        <w:rPr>
          <w:rFonts w:ascii="Consolas" w:hAnsi="Consolas" w:cs="Consolas"/>
          <w:b w:val="0"/>
          <w:i w:val="0"/>
          <w:sz w:val="16"/>
        </w:rPr>
        <w:t xml:space="preserve">        "payee": "GOEIC",</w:t>
      </w:r>
    </w:p>
    <w:p>
      <w:pPr>
        <w:spacing w:after="0" w:before="0" w:line="240" w:lineRule="auto"/>
        <w:ind w:left="57"/>
        <w:jc w:val="left"/>
        <w:shd w:val="clear" w:fill="F2F2F2"/>
      </w:pPr>
      <w:r>
        <w:rPr>
          <w:rFonts w:ascii="Consolas" w:hAnsi="Consolas" w:cs="Consolas"/>
          <w:b w:val="0"/>
          <w:i w:val="0"/>
          <w:sz w:val="16"/>
        </w:rPr>
        <w:t xml:space="preserve">        "payee_gtid": "SGTX-EG-GOEIC-001",</w:t>
      </w:r>
    </w:p>
    <w:p>
      <w:pPr>
        <w:spacing w:after="0" w:before="0" w:line="240" w:lineRule="auto"/>
        <w:ind w:left="57"/>
        <w:jc w:val="left"/>
        <w:shd w:val="clear" w:fill="F2F2F2"/>
      </w:pPr>
      <w:r>
        <w:rPr>
          <w:rFonts w:ascii="Consolas" w:hAnsi="Consolas" w:cs="Consolas"/>
          <w:b w:val="0"/>
          <w:i w:val="0"/>
          <w:sz w:val="16"/>
        </w:rPr>
        <w:t xml:space="preserve">        "amount": 3000.00,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"LEG_FREIGHT_USD",</w:t>
      </w:r>
    </w:p>
    <w:p>
      <w:pPr>
        <w:spacing w:after="0" w:before="0" w:line="240" w:lineRule="auto"/>
        <w:ind w:left="57"/>
        <w:jc w:val="left"/>
        <w:shd w:val="clear" w:fill="F2F2F2"/>
      </w:pPr>
      <w:r>
        <w:rPr>
          <w:rFonts w:ascii="Consolas" w:hAnsi="Consolas" w:cs="Consolas"/>
          <w:b w:val="0"/>
          <w:i w:val="0"/>
          <w:sz w:val="16"/>
        </w:rPr>
        <w:t xml:space="preserve">        "payee": "MSC Egypt",</w:t>
      </w:r>
    </w:p>
    <w:p>
      <w:pPr>
        <w:spacing w:after="0" w:before="0" w:line="240" w:lineRule="auto"/>
        <w:ind w:left="57"/>
        <w:jc w:val="left"/>
        <w:shd w:val="clear" w:fill="F2F2F2"/>
      </w:pPr>
      <w:r>
        <w:rPr>
          <w:rFonts w:ascii="Consolas" w:hAnsi="Consolas" w:cs="Consolas"/>
          <w:b w:val="0"/>
          <w:i w:val="0"/>
          <w:sz w:val="16"/>
        </w:rPr>
        <w:t xml:space="preserve">        "payee_gtid": "SGTX-EG-SHIP-001",</w:t>
      </w:r>
    </w:p>
    <w:p>
      <w:pPr>
        <w:spacing w:after="0" w:before="0" w:line="240" w:lineRule="auto"/>
        <w:ind w:left="57"/>
        <w:jc w:val="left"/>
        <w:shd w:val="clear" w:fill="F2F2F2"/>
      </w:pPr>
      <w:r>
        <w:rPr>
          <w:rFonts w:ascii="Consolas" w:hAnsi="Consolas" w:cs="Consolas"/>
          <w:b w:val="0"/>
          <w:i w:val="0"/>
          <w:sz w:val="16"/>
        </w:rPr>
        <w:t xml:space="preserve">        "amount": 8400.00,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"condition": "DEPARTED",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"LEG_SELLER_USD",</w:t>
      </w:r>
    </w:p>
    <w:p>
      <w:pPr>
        <w:spacing w:after="0" w:before="0" w:line="240" w:lineRule="auto"/>
        <w:ind w:left="57"/>
        <w:jc w:val="left"/>
        <w:shd w:val="clear" w:fill="F2F2F2"/>
      </w:pPr>
      <w:r>
        <w:rPr>
          <w:rFonts w:ascii="Consolas" w:hAnsi="Consolas" w:cs="Consolas"/>
          <w:b w:val="0"/>
          <w:i w:val="0"/>
          <w:sz w:val="16"/>
        </w:rPr>
        <w:t xml:space="preserve">        "payee": "Mekong Fresh",</w:t>
      </w:r>
    </w:p>
    <w:p>
      <w:pPr>
        <w:spacing w:after="0" w:before="0" w:line="240" w:lineRule="auto"/>
        <w:ind w:left="57"/>
        <w:jc w:val="left"/>
        <w:shd w:val="clear" w:fill="F2F2F2"/>
      </w:pPr>
      <w:r>
        <w:rPr>
          <w:rFonts w:ascii="Consolas" w:hAnsi="Consolas" w:cs="Consolas"/>
          <w:b w:val="0"/>
          <w:i w:val="0"/>
          <w:sz w:val="16"/>
        </w:rPr>
        <w:t xml:space="preserve">        "payee_gtid": "SGTX-VN-TRD-002139",</w:t>
      </w:r>
    </w:p>
    <w:p>
      <w:pPr>
        <w:spacing w:after="0" w:before="0" w:line="240" w:lineRule="auto"/>
        <w:ind w:left="57"/>
        <w:jc w:val="left"/>
        <w:shd w:val="clear" w:fill="F2F2F2"/>
      </w:pPr>
      <w:r>
        <w:rPr>
          <w:rFonts w:ascii="Consolas" w:hAnsi="Consolas" w:cs="Consolas"/>
          <w:b w:val="0"/>
          <w:i w:val="0"/>
          <w:sz w:val="16"/>
        </w:rPr>
        <w:t xml:space="preserve">        "amount": 10000.00,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"condition": "DELIVERED",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"LEG_SGTX_USD",</w:t>
      </w:r>
    </w:p>
    <w:p>
      <w:pPr>
        <w:spacing w:after="0" w:before="0" w:line="240" w:lineRule="auto"/>
        <w:ind w:left="57"/>
        <w:jc w:val="left"/>
        <w:shd w:val="clear" w:fill="F2F2F2"/>
      </w:pPr>
      <w:r>
        <w:rPr>
          <w:rFonts w:ascii="Consolas" w:hAnsi="Consolas" w:cs="Consolas"/>
          <w:b w:val="0"/>
          <w:i w:val="0"/>
          <w:sz w:val="16"/>
        </w:rPr>
        <w:t xml:space="preserve">        "payee": "SGTX Platform",</w:t>
      </w:r>
    </w:p>
    <w:p>
      <w:pPr>
        <w:spacing w:after="0" w:before="0" w:line="240" w:lineRule="auto"/>
        <w:ind w:left="57"/>
        <w:jc w:val="left"/>
        <w:shd w:val="clear" w:fill="F2F2F2"/>
      </w:pPr>
      <w:r>
        <w:rPr>
          <w:rFonts w:ascii="Consolas" w:hAnsi="Consolas" w:cs="Consolas"/>
          <w:b w:val="0"/>
          <w:i w:val="0"/>
          <w:sz w:val="16"/>
        </w:rPr>
        <w:t xml:space="preserve">        "payee_gtid": "SGTX-PLATFORM",</w:t>
      </w:r>
    </w:p>
    <w:p>
      <w:pPr>
        <w:spacing w:after="0" w:before="0" w:line="240" w:lineRule="auto"/>
        <w:ind w:left="57"/>
        <w:jc w:val="left"/>
        <w:shd w:val="clear" w:fill="F2F2F2"/>
      </w:pPr>
      <w:r>
        <w:rPr>
          <w:rFonts w:ascii="Consolas" w:hAnsi="Consolas" w:cs="Consolas"/>
          <w:b w:val="0"/>
          <w:i w:val="0"/>
          <w:sz w:val="16"/>
        </w:rPr>
        <w:t xml:space="preserve">        "amount": 100.00,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"condition": "LOCKED",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6.12 Trade Request Readiness</w:t>
      </w:r>
    </w:p>
    <w:p>
      <w:pPr>
        <w:keepNext/>
        <w:spacing w:before="180" w:after="80"/>
        <w:outlineLvl w:val="2"/>
      </w:pPr>
      <w:r>
        <w:rPr>
          <w:rFonts w:ascii="Arial" w:hAnsi="Arial" w:cs="Arial"/>
          <w:b/>
          <w:i w:val="0"/>
          <w:color w:val="333333"/>
          <w:sz w:val="23"/>
        </w:rPr>
        <w:t>6.12.1 Purpose &amp; Design Philosophy</w:t>
      </w:r>
    </w:p>
    <w:p>
      <w:pPr>
        <w:spacing w:after="80" w:line="293" w:lineRule="auto"/>
        <w:jc w:val="left"/>
      </w:pPr>
      <w:r>
        <w:rPr>
          <w:rFonts w:ascii="Times New Roman" w:hAnsi="Times New Roman" w:cs="Times New Roman"/>
          <w:b w:val="0"/>
          <w:i w:val="0"/>
          <w:sz w:val="22"/>
        </w:rPr>
        <w:t>The Trade Request Readiness section provides a non-blocking, advisory assessment of the completeness and quality of the trade request before submission. Unlike a blocking validation (which prevents submission), readiness is a guidance tool that helps buyers identify missing information, potential issues, and opportunities for improvement before the request reaches the seller.</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Non-blocking advisory — the score does not prevent submission; it guides improvement.</w:t>
      </w:r>
    </w:p>
    <w:p>
      <w:pPr>
        <w:spacing w:after="80" w:line="293" w:lineRule="auto"/>
        <w:ind w:left="283"/>
        <w:jc w:val="left"/>
      </w:pPr>
      <w:r>
        <w:rPr>
          <w:rFonts w:ascii="Times New Roman" w:hAnsi="Times New Roman" w:cs="Times New Roman"/>
          <w:b w:val="0"/>
          <w:i w:val="0"/>
          <w:sz w:val="22"/>
        </w:rPr>
        <w:t>- Completeness-focused — evaluates which sections are complete, partially complete, or missing.</w:t>
      </w:r>
    </w:p>
    <w:p>
      <w:pPr>
        <w:spacing w:after="80" w:line="293" w:lineRule="auto"/>
        <w:ind w:left="283"/>
        <w:jc w:val="left"/>
      </w:pPr>
      <w:r>
        <w:rPr>
          <w:rFonts w:ascii="Times New Roman" w:hAnsi="Times New Roman" w:cs="Times New Roman"/>
          <w:b w:val="0"/>
          <w:i w:val="0"/>
          <w:sz w:val="22"/>
        </w:rPr>
        <w:t>- Quality-aware — assesses not just presence but quality (e.g., unrealistic delivery window, vague</w:t>
      </w:r>
    </w:p>
    <w:p>
      <w:pPr>
        <w:spacing w:after="80" w:line="293" w:lineRule="auto"/>
        <w:jc w:val="left"/>
      </w:pPr>
      <w:r>
        <w:rPr>
          <w:rFonts w:ascii="Times New Roman" w:hAnsi="Times New Roman" w:cs="Times New Roman"/>
          <w:b w:val="0"/>
          <w:i w:val="0"/>
          <w:sz w:val="22"/>
        </w:rPr>
        <w:t>instructions).</w:t>
      </w:r>
    </w:p>
    <w:p>
      <w:pPr>
        <w:spacing w:after="80" w:line="293" w:lineRule="auto"/>
        <w:ind w:left="283"/>
        <w:jc w:val="left"/>
      </w:pPr>
      <w:r>
        <w:rPr>
          <w:rFonts w:ascii="Times New Roman" w:hAnsi="Times New Roman" w:cs="Times New Roman"/>
          <w:b w:val="0"/>
          <w:i w:val="0"/>
          <w:sz w:val="22"/>
        </w:rPr>
        <w:t>- AI-enhanced — uses AI (A2, XGBoost) to calculate the score and identify missing items.</w:t>
      </w:r>
    </w:p>
    <w:p>
      <w:pPr>
        <w:spacing w:after="80" w:line="293" w:lineRule="auto"/>
        <w:ind w:left="283"/>
        <w:jc w:val="left"/>
      </w:pPr>
      <w:r>
        <w:rPr>
          <w:rFonts w:ascii="Times New Roman" w:hAnsi="Times New Roman" w:cs="Times New Roman"/>
          <w:b w:val="0"/>
          <w:i w:val="0"/>
          <w:sz w:val="22"/>
        </w:rPr>
        <w:t>- Actionable — each missing or incomplete item has a direct action link.</w:t>
      </w:r>
    </w:p>
    <w:p>
      <w:pPr>
        <w:spacing w:after="80" w:line="293" w:lineRule="auto"/>
        <w:ind w:left="283"/>
        <w:jc w:val="left"/>
      </w:pPr>
      <w:r>
        <w:rPr>
          <w:rFonts w:ascii="Times New Roman" w:hAnsi="Times New Roman" w:cs="Times New Roman"/>
          <w:b w:val="0"/>
          <w:i w:val="0"/>
          <w:sz w:val="22"/>
        </w:rPr>
        <w:t>- Continuous improvement — the score updates in real time as the buyer completes sections.</w:t>
      </w:r>
    </w:p>
    <w:p>
      <w:pPr>
        <w:spacing w:after="80" w:line="293" w:lineRule="auto"/>
        <w:ind w:left="283"/>
        <w:jc w:val="left"/>
      </w:pPr>
      <w:r>
        <w:rPr>
          <w:rFonts w:ascii="Times New Roman" w:hAnsi="Times New Roman" w:cs="Times New Roman"/>
          <w:b w:val="0"/>
          <w:i w:val="0"/>
          <w:sz w:val="22"/>
        </w:rPr>
        <w:t>- Non-marketplace — never suggests alternative counterparties or service providers.</w:t>
      </w:r>
    </w:p>
    <w:p>
      <w:pPr>
        <w:spacing w:after="80" w:line="293" w:lineRule="auto"/>
        <w:jc w:val="left"/>
      </w:pPr>
      <w:r>
        <w:rPr>
          <w:rFonts w:ascii="Times New Roman" w:hAnsi="Times New Roman" w:cs="Times New Roman"/>
          <w:b w:val="0"/>
          <w:i w:val="0"/>
          <w:sz w:val="22"/>
        </w:rPr>
        <w:t>AI authority in this section: A2 (XGBoost) quality assessment and confidence; A1 (Groq) recommendations and plain-language explanations.</w:t>
      </w:r>
    </w:p>
    <w:p>
      <w:pPr>
        <w:keepNext/>
        <w:spacing w:before="180" w:after="80"/>
        <w:outlineLvl w:val="2"/>
      </w:pPr>
      <w:r>
        <w:rPr>
          <w:rFonts w:ascii="Arial" w:hAnsi="Arial" w:cs="Arial"/>
          <w:b/>
          <w:i w:val="0"/>
          <w:color w:val="333333"/>
          <w:sz w:val="23"/>
        </w:rPr>
        <w:t>6.12.2 Readiness Scoring Logic (A2, XGBoost)</w:t>
      </w:r>
    </w:p>
    <w:p>
      <w:pPr>
        <w:keepNext/>
        <w:spacing w:before="140" w:after="60"/>
        <w:outlineLvl w:val="3"/>
      </w:pPr>
      <w:r>
        <w:rPr>
          <w:rFonts w:ascii="Arial" w:hAnsi="Arial" w:cs="Arial"/>
          <w:b/>
          <w:i/>
          <w:color w:val="333333"/>
          <w:sz w:val="22"/>
        </w:rPr>
        <w:t>6.12.2.1 Scoring Components</w:t>
      </w:r>
    </w:p>
    <w:p>
      <w:pPr>
        <w:spacing w:after="80" w:line="293" w:lineRule="auto"/>
        <w:jc w:val="left"/>
      </w:pPr>
      <w:r>
        <w:rPr>
          <w:rFonts w:ascii="Times New Roman" w:hAnsi="Times New Roman" w:cs="Times New Roman"/>
          <w:b w:val="0"/>
          <w:i w:val="0"/>
          <w:sz w:val="22"/>
        </w:rPr>
        <w:t>The Trade Request Readiness score is calculated as a weighted composite of all sections: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Weight</w:t>
            </w:r>
          </w:p>
        </w:tc>
      </w:tr>
      <w:tr>
        <w:tc>
          <w:tcPr>
            <w:tcW w:type="dxa" w:w="4819"/>
          </w:tcPr>
          <w:p>
            <w:pPr>
              <w:spacing w:after="20" w:before="20" w:line="240" w:lineRule="auto"/>
            </w:pPr>
            <w:r/>
            <w:r>
              <w:rPr>
                <w:rFonts w:ascii="Arial" w:hAnsi="Arial" w:cs="Arial"/>
                <w:b w:val="0"/>
                <w:i w:val="0"/>
                <w:sz w:val="17"/>
              </w:rPr>
              <w:t>Seller Selection</w:t>
            </w:r>
          </w:p>
        </w:tc>
        <w:tc>
          <w:tcPr>
            <w:tcW w:type="dxa" w:w="4819"/>
          </w:tcPr>
          <w:p>
            <w:pPr>
              <w:spacing w:after="20" w:before="20" w:line="240" w:lineRule="auto"/>
            </w:pPr>
            <w:r/>
            <w:r>
              <w:rPr>
                <w:rFonts w:ascii="Arial" w:hAnsi="Arial" w:cs="Arial"/>
                <w:b w:val="0"/>
                <w:i w:val="0"/>
                <w:sz w:val="17"/>
              </w:rPr>
              <w:t>5%</w:t>
            </w:r>
          </w:p>
        </w:tc>
      </w:tr>
      <w:tr>
        <w:tc>
          <w:tcPr>
            <w:tcW w:type="dxa" w:w="4819"/>
          </w:tcPr>
          <w:p>
            <w:pPr>
              <w:spacing w:after="20" w:before="20" w:line="240" w:lineRule="auto"/>
            </w:pPr>
            <w:r/>
            <w:r>
              <w:rPr>
                <w:rFonts w:ascii="Arial" w:hAnsi="Arial" w:cs="Arial"/>
                <w:b w:val="0"/>
                <w:i w:val="0"/>
                <w:sz w:val="17"/>
              </w:rPr>
              <w:t>Incoterm Selection</w:t>
            </w:r>
          </w:p>
        </w:tc>
        <w:tc>
          <w:tcPr>
            <w:tcW w:type="dxa" w:w="4819"/>
          </w:tcPr>
          <w:p>
            <w:pPr>
              <w:spacing w:after="20" w:before="20" w:line="240" w:lineRule="auto"/>
            </w:pPr>
            <w:r/>
            <w:r>
              <w:rPr>
                <w:rFonts w:ascii="Arial" w:hAnsi="Arial" w:cs="Arial"/>
                <w:b w:val="0"/>
                <w:i w:val="0"/>
                <w:sz w:val="17"/>
              </w:rPr>
              <w:t>5%</w:t>
            </w:r>
          </w:p>
        </w:tc>
      </w:tr>
      <w:tr>
        <w:tc>
          <w:tcPr>
            <w:tcW w:type="dxa" w:w="4819"/>
          </w:tcPr>
          <w:p>
            <w:pPr>
              <w:spacing w:after="20" w:before="20" w:line="240" w:lineRule="auto"/>
            </w:pPr>
            <w:r/>
            <w:r>
              <w:rPr>
                <w:rFonts w:ascii="Arial" w:hAnsi="Arial" w:cs="Arial"/>
                <w:b w:val="0"/>
                <w:i w:val="0"/>
                <w:sz w:val="17"/>
              </w:rPr>
              <w:t>Containers</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Commodities</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Quantity &amp; Tolerance</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Packaging</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Acceptance Criteria</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Documentation</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Transport &amp; Logistics</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Insurance</w:t>
            </w:r>
          </w:p>
        </w:tc>
        <w:tc>
          <w:tcPr>
            <w:tcW w:type="dxa" w:w="4819"/>
          </w:tcPr>
          <w:p>
            <w:pPr>
              <w:spacing w:after="20" w:before="20" w:line="240" w:lineRule="auto"/>
            </w:pPr>
            <w:r/>
            <w:r>
              <w:rPr>
                <w:rFonts w:ascii="Arial" w:hAnsi="Arial" w:cs="Arial"/>
                <w:b w:val="0"/>
                <w:i w:val="0"/>
                <w:sz w:val="17"/>
              </w:rPr>
              <w:t>5%</w:t>
            </w:r>
          </w:p>
        </w:tc>
      </w:tr>
      <w:tr>
        <w:tc>
          <w:tcPr>
            <w:tcW w:type="dxa" w:w="4819"/>
          </w:tcPr>
          <w:p>
            <w:pPr>
              <w:spacing w:after="20" w:before="20" w:line="240" w:lineRule="auto"/>
            </w:pPr>
            <w:r/>
            <w:r>
              <w:rPr>
                <w:rFonts w:ascii="Arial" w:hAnsi="Arial" w:cs="Arial"/>
                <w:b w:val="0"/>
                <w:i w:val="0"/>
                <w:sz w:val="17"/>
              </w:rPr>
              <w:t>Commercial Settlement</w:t>
            </w:r>
          </w:p>
        </w:tc>
        <w:tc>
          <w:tcPr>
            <w:tcW w:type="dxa" w:w="4819"/>
          </w:tcPr>
          <w:p>
            <w:pPr>
              <w:spacing w:after="20" w:before="20" w:line="240" w:lineRule="auto"/>
            </w:pPr>
            <w:r/>
            <w:r>
              <w:rPr>
                <w:rFonts w:ascii="Arial" w:hAnsi="Arial" w:cs="Arial"/>
                <w:b w:val="0"/>
                <w:i w:val="0"/>
                <w:sz w:val="17"/>
              </w:rPr>
              <w:t>10%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quality multiplier (0.85–1.0) derived from the AI quality assessment is applied to the weighted composite. The advisory readiness threshold is 70.</w:t>
      </w:r>
    </w:p>
    <w:p>
      <w:pPr>
        <w:keepNext/>
        <w:spacing w:before="140" w:after="60"/>
        <w:outlineLvl w:val="3"/>
      </w:pPr>
      <w:r>
        <w:rPr>
          <w:rFonts w:ascii="Arial" w:hAnsi="Arial" w:cs="Arial"/>
          <w:b/>
          <w:i/>
          <w:color w:val="333333"/>
          <w:sz w:val="22"/>
        </w:rPr>
        <w:t>6.12.2.2 Score Calculation</w:t>
      </w:r>
    </w:p>
    <w:p>
      <w:pPr>
        <w:spacing w:after="0" w:before="0" w:line="240" w:lineRule="auto"/>
        <w:ind w:left="57"/>
        <w:jc w:val="left"/>
        <w:shd w:val="clear" w:fill="F2F2F2"/>
      </w:pPr>
      <w:r>
        <w:rPr>
          <w:rFonts w:ascii="Consolas" w:hAnsi="Consolas" w:cs="Consolas"/>
          <w:b w:val="0"/>
          <w:i w:val="0"/>
          <w:sz w:val="15"/>
        </w:rPr>
        <w:t>// Pseudo-code: Trade Request Readiness Score calculation</w:t>
      </w:r>
    </w:p>
    <w:p>
      <w:pPr>
        <w:spacing w:after="0" w:before="0" w:line="240" w:lineRule="auto"/>
        <w:ind w:left="57"/>
        <w:jc w:val="left"/>
        <w:shd w:val="clear" w:fill="F2F2F2"/>
      </w:pPr>
      <w:r>
        <w:rPr>
          <w:rFonts w:ascii="Consolas" w:hAnsi="Consolas" w:cs="Consolas"/>
          <w:b w:val="0"/>
          <w:i w:val="0"/>
          <w:sz w:val="15"/>
        </w:rPr>
        <w:t>fn calculate_readiness_score(trade_request: &amp;TradeRequest) -&gt; ReadinessResult {</w:t>
      </w:r>
    </w:p>
    <w:p>
      <w:pPr>
        <w:spacing w:after="0" w:before="0" w:line="240" w:lineRule="auto"/>
        <w:ind w:left="57"/>
        <w:jc w:val="left"/>
        <w:shd w:val="clear" w:fill="F2F2F2"/>
      </w:pPr>
      <w:r>
        <w:rPr>
          <w:rFonts w:ascii="Consolas" w:hAnsi="Consolas" w:cs="Consolas"/>
          <w:b w:val="0"/>
          <w:i w:val="0"/>
          <w:sz w:val="15"/>
        </w:rPr>
        <w:t xml:space="preserve">    let mut scores = HashMap::new();</w:t>
      </w:r>
    </w:p>
    <w:p>
      <w:pPr>
        <w:spacing w:after="0" w:before="0" w:line="240" w:lineRule="auto"/>
        <w:ind w:left="57"/>
        <w:jc w:val="left"/>
        <w:shd w:val="clear" w:fill="F2F2F2"/>
      </w:pPr>
      <w:r>
        <w:rPr>
          <w:rFonts w:ascii="Consolas" w:hAnsi="Consolas" w:cs="Consolas"/>
          <w:b w:val="0"/>
          <w:i w:val="0"/>
          <w:sz w:val="15"/>
        </w:rPr>
        <w:t xml:space="preserve">    let mut missing_items = Vec::new();</w:t>
      </w:r>
    </w:p>
    <w:p>
      <w:pPr>
        <w:spacing w:after="0" w:before="0" w:line="240" w:lineRule="auto"/>
        <w:ind w:left="57"/>
        <w:jc w:val="left"/>
        <w:shd w:val="clear" w:fill="F2F2F2"/>
      </w:pPr>
      <w:r>
        <w:rPr>
          <w:rFonts w:ascii="Consolas" w:hAnsi="Consolas" w:cs="Consolas"/>
          <w:b w:val="0"/>
          <w:i w:val="0"/>
          <w:sz w:val="15"/>
        </w:rPr>
        <w:t xml:space="preserve">    let mut incomplete_items = Vec::new();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1. Seller Selection (5%)</w:t>
      </w:r>
    </w:p>
    <w:p>
      <w:pPr>
        <w:spacing w:after="0" w:before="0" w:line="240" w:lineRule="auto"/>
        <w:ind w:left="57"/>
        <w:jc w:val="left"/>
        <w:shd w:val="clear" w:fill="F2F2F2"/>
      </w:pPr>
      <w:r>
        <w:rPr>
          <w:rFonts w:ascii="Consolas" w:hAnsi="Consolas" w:cs="Consolas"/>
          <w:b w:val="0"/>
          <w:i w:val="0"/>
          <w:sz w:val="15"/>
        </w:rPr>
        <w:t xml:space="preserve">    if trade_request.seller_gtid.is_some() {</w:t>
      </w:r>
    </w:p>
    <w:p>
      <w:pPr>
        <w:spacing w:after="0" w:before="0" w:line="240" w:lineRule="auto"/>
        <w:ind w:left="57"/>
        <w:jc w:val="left"/>
        <w:shd w:val="clear" w:fill="F2F2F2"/>
      </w:pPr>
      <w:r>
        <w:rPr>
          <w:rFonts w:ascii="Consolas" w:hAnsi="Consolas" w:cs="Consolas"/>
          <w:b w:val="0"/>
          <w:i w:val="0"/>
          <w:sz w:val="15"/>
        </w:rPr>
        <w:t xml:space="preserve">        scores.insert("seller", 100);</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scores.insert("seller", 0);</w:t>
      </w:r>
    </w:p>
    <w:p>
      <w:pPr>
        <w:spacing w:after="0" w:before="0" w:line="240" w:lineRule="auto"/>
        <w:ind w:left="57"/>
        <w:jc w:val="left"/>
        <w:shd w:val="clear" w:fill="F2F2F2"/>
      </w:pPr>
      <w:r>
        <w:rPr>
          <w:rFonts w:ascii="Consolas" w:hAnsi="Consolas" w:cs="Consolas"/>
          <w:b w:val="0"/>
          <w:i w:val="0"/>
          <w:sz w:val="15"/>
        </w:rPr>
        <w:t xml:space="preserve">        missing_items.push("Seller not selected");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Incoterm Selection (5%)</w:t>
      </w:r>
    </w:p>
    <w:p>
      <w:pPr>
        <w:spacing w:after="0" w:before="0" w:line="240" w:lineRule="auto"/>
        <w:ind w:left="57"/>
        <w:jc w:val="left"/>
        <w:shd w:val="clear" w:fill="F2F2F2"/>
      </w:pPr>
      <w:r>
        <w:rPr>
          <w:rFonts w:ascii="Consolas" w:hAnsi="Consolas" w:cs="Consolas"/>
          <w:b w:val="0"/>
          <w:i w:val="0"/>
          <w:sz w:val="15"/>
        </w:rPr>
        <w:t xml:space="preserve">    if trade_request.incoterm.is_some() {</w:t>
      </w:r>
    </w:p>
    <w:p>
      <w:pPr>
        <w:spacing w:after="0" w:before="0" w:line="240" w:lineRule="auto"/>
        <w:ind w:left="57"/>
        <w:jc w:val="left"/>
        <w:shd w:val="clear" w:fill="F2F2F2"/>
      </w:pPr>
      <w:r>
        <w:rPr>
          <w:rFonts w:ascii="Consolas" w:hAnsi="Consolas" w:cs="Consolas"/>
          <w:b w:val="0"/>
          <w:i w:val="0"/>
          <w:sz w:val="15"/>
        </w:rPr>
        <w:t xml:space="preserve">        scores.insert("incoterm", 100);</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scores.insert("incoterm", 0);</w:t>
      </w:r>
    </w:p>
    <w:p>
      <w:pPr>
        <w:spacing w:after="0" w:before="0" w:line="240" w:lineRule="auto"/>
        <w:ind w:left="57"/>
        <w:jc w:val="left"/>
        <w:shd w:val="clear" w:fill="F2F2F2"/>
      </w:pPr>
      <w:r>
        <w:rPr>
          <w:rFonts w:ascii="Consolas" w:hAnsi="Consolas" w:cs="Consolas"/>
          <w:b w:val="0"/>
          <w:i w:val="0"/>
          <w:sz w:val="15"/>
        </w:rPr>
        <w:t xml:space="preserve">        missing_items.push("Incoterm not selected");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Containers (10%)</w:t>
      </w:r>
    </w:p>
    <w:p>
      <w:pPr>
        <w:spacing w:after="0" w:before="0" w:line="240" w:lineRule="auto"/>
        <w:ind w:left="57"/>
        <w:jc w:val="left"/>
        <w:shd w:val="clear" w:fill="F2F2F2"/>
      </w:pPr>
      <w:r>
        <w:rPr>
          <w:rFonts w:ascii="Consolas" w:hAnsi="Consolas" w:cs="Consolas"/>
          <w:b w:val="0"/>
          <w:i w:val="0"/>
          <w:sz w:val="15"/>
        </w:rPr>
        <w:t xml:space="preserve">    if trade_request.containers.is_empty() {</w:t>
      </w:r>
    </w:p>
    <w:p>
      <w:pPr>
        <w:spacing w:after="0" w:before="0" w:line="240" w:lineRule="auto"/>
        <w:ind w:left="57"/>
        <w:jc w:val="left"/>
        <w:shd w:val="clear" w:fill="F2F2F2"/>
      </w:pPr>
      <w:r>
        <w:rPr>
          <w:rFonts w:ascii="Consolas" w:hAnsi="Consolas" w:cs="Consolas"/>
          <w:b w:val="0"/>
          <w:i w:val="0"/>
          <w:sz w:val="15"/>
        </w:rPr>
        <w:t xml:space="preserve">        scores.insert("containers", 0);</w:t>
      </w:r>
    </w:p>
    <w:p>
      <w:pPr>
        <w:spacing w:after="0" w:before="0" w:line="240" w:lineRule="auto"/>
        <w:ind w:left="57"/>
        <w:jc w:val="left"/>
        <w:shd w:val="clear" w:fill="F2F2F2"/>
      </w:pPr>
      <w:r>
        <w:rPr>
          <w:rFonts w:ascii="Consolas" w:hAnsi="Consolas" w:cs="Consolas"/>
          <w:b w:val="0"/>
          <w:i w:val="0"/>
          <w:sz w:val="15"/>
        </w:rPr>
        <w:t xml:space="preserve">        missing_items.push("No containers configured");</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let complete_containers = trade_request.containers.iter()</w:t>
      </w:r>
    </w:p>
    <w:p>
      <w:pPr>
        <w:spacing w:after="0" w:before="0" w:line="240" w:lineRule="auto"/>
        <w:ind w:left="57"/>
        <w:jc w:val="left"/>
        <w:shd w:val="clear" w:fill="F2F2F2"/>
      </w:pPr>
      <w:r>
        <w:rPr>
          <w:rFonts w:ascii="Consolas" w:hAnsi="Consolas" w:cs="Consolas"/>
          <w:b w:val="0"/>
          <w:i w:val="0"/>
          <w:sz w:val="15"/>
        </w:rPr>
        <w:t xml:space="preserve">            .filter(|c| c.is_complete())</w:t>
      </w:r>
    </w:p>
    <w:p>
      <w:pPr>
        <w:spacing w:after="0" w:before="0" w:line="240" w:lineRule="auto"/>
        <w:ind w:left="57"/>
        <w:jc w:val="left"/>
        <w:shd w:val="clear" w:fill="F2F2F2"/>
      </w:pPr>
      <w:r>
        <w:rPr>
          <w:rFonts w:ascii="Consolas" w:hAnsi="Consolas" w:cs="Consolas"/>
          <w:b w:val="0"/>
          <w:i w:val="0"/>
          <w:sz w:val="15"/>
        </w:rPr>
        <w:t xml:space="preserve">            .count();</w:t>
      </w:r>
    </w:p>
    <w:p>
      <w:pPr>
        <w:spacing w:after="0" w:before="0" w:line="240" w:lineRule="auto"/>
        <w:ind w:left="57"/>
        <w:jc w:val="left"/>
        <w:shd w:val="clear" w:fill="F2F2F2"/>
      </w:pPr>
      <w:r>
        <w:rPr>
          <w:rFonts w:ascii="Consolas" w:hAnsi="Consolas" w:cs="Consolas"/>
          <w:b w:val="0"/>
          <w:i w:val="0"/>
          <w:sz w:val="15"/>
        </w:rPr>
        <w:t xml:space="preserve">        let container_score = (complete_containers as f64 / trade_request.containers.len() as f64) * 100.0;</w:t>
      </w:r>
    </w:p>
    <w:p>
      <w:pPr>
        <w:spacing w:after="0" w:before="0" w:line="240" w:lineRule="auto"/>
        <w:ind w:left="57"/>
        <w:jc w:val="left"/>
        <w:shd w:val="clear" w:fill="F2F2F2"/>
      </w:pPr>
      <w:r>
        <w:rPr>
          <w:rFonts w:ascii="Consolas" w:hAnsi="Consolas" w:cs="Consolas"/>
          <w:b w:val="0"/>
          <w:i w:val="0"/>
          <w:sz w:val="15"/>
        </w:rPr>
        <w:t xml:space="preserve">        scores.insert("containers", container_score);</w:t>
      </w:r>
    </w:p>
    <w:p>
      <w:pPr>
        <w:spacing w:after="0" w:before="0" w:line="240" w:lineRule="auto"/>
        <w:ind w:left="57"/>
        <w:jc w:val="left"/>
        <w:shd w:val="clear" w:fill="F2F2F2"/>
      </w:pPr>
      <w:r>
        <w:rPr>
          <w:rFonts w:ascii="Consolas" w:hAnsi="Consolas" w:cs="Consolas"/>
          <w:b w:val="0"/>
          <w:i w:val="0"/>
          <w:sz w:val="15"/>
        </w:rPr>
        <w:t xml:space="preserve">        if container_score &lt; 100.0 {</w:t>
      </w:r>
    </w:p>
    <w:p>
      <w:pPr>
        <w:spacing w:after="0" w:before="0" w:line="240" w:lineRule="auto"/>
        <w:ind w:left="57"/>
        <w:jc w:val="left"/>
        <w:shd w:val="clear" w:fill="F2F2F2"/>
      </w:pPr>
      <w:r>
        <w:rPr>
          <w:rFonts w:ascii="Consolas" w:hAnsi="Consolas" w:cs="Consolas"/>
          <w:b w:val="0"/>
          <w:i w:val="0"/>
          <w:sz w:val="15"/>
        </w:rPr>
        <w:t xml:space="preserve">            incomplete_items.push("Some containers are incomplete");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Commodities (15%) — similar logic for each component</w:t>
      </w:r>
    </w:p>
    <w:p>
      <w:pPr>
        <w:spacing w:after="0" w:before="0" w:line="240" w:lineRule="auto"/>
        <w:ind w:left="57"/>
        <w:jc w:val="left"/>
        <w:shd w:val="clear" w:fill="F2F2F2"/>
      </w:pPr>
      <w:r>
        <w:rPr>
          <w:rFonts w:ascii="Consolas" w:hAnsi="Consolas" w:cs="Consolas"/>
          <w:b w:val="0"/>
          <w:i w:val="0"/>
          <w:sz w:val="15"/>
        </w:rPr>
        <w:t xml:space="preserve">    // 5. AI quality assessment (XGBoost)</w:t>
      </w:r>
    </w:p>
    <w:p>
      <w:pPr>
        <w:spacing w:after="0" w:before="0" w:line="240" w:lineRule="auto"/>
        <w:ind w:left="57"/>
        <w:jc w:val="left"/>
        <w:shd w:val="clear" w:fill="F2F2F2"/>
      </w:pPr>
      <w:r>
        <w:rPr>
          <w:rFonts w:ascii="Consolas" w:hAnsi="Consolas" w:cs="Consolas"/>
          <w:b w:val="0"/>
          <w:i w:val="0"/>
          <w:sz w:val="15"/>
        </w:rPr>
        <w:t xml:space="preserve">    let quality_score = ai_readiness_engine.assess_quality(trade_request);</w:t>
      </w:r>
    </w:p>
    <w:p>
      <w:pPr>
        <w:spacing w:after="0" w:before="0" w:line="240" w:lineRule="auto"/>
        <w:ind w:left="57"/>
        <w:jc w:val="left"/>
        <w:shd w:val="clear" w:fill="F2F2F2"/>
      </w:pPr>
      <w:r>
        <w:rPr>
          <w:rFonts w:ascii="Consolas" w:hAnsi="Consolas" w:cs="Consolas"/>
          <w:b w:val="0"/>
          <w:i w:val="0"/>
          <w:sz w:val="15"/>
        </w:rPr>
        <w:t xml:space="preserve">    let ai_confidence = ai_readiness_engine.confidence();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6. Calculate weighted score</w:t>
      </w:r>
    </w:p>
    <w:p>
      <w:pPr>
        <w:spacing w:after="0" w:before="0" w:line="240" w:lineRule="auto"/>
        <w:ind w:left="57"/>
        <w:jc w:val="left"/>
        <w:shd w:val="clear" w:fill="F2F2F2"/>
      </w:pPr>
      <w:r>
        <w:rPr>
          <w:rFonts w:ascii="Consolas" w:hAnsi="Consolas" w:cs="Consolas"/>
          <w:b w:val="0"/>
          <w:i w:val="0"/>
          <w:sz w:val="15"/>
        </w:rPr>
        <w:t xml:space="preserve">    let weighted_score = scores.get("seller").unwrap_or(&amp;0) * 0.05</w:t>
      </w:r>
    </w:p>
    <w:p>
      <w:pPr>
        <w:spacing w:after="0" w:before="0" w:line="240" w:lineRule="auto"/>
        <w:ind w:left="57"/>
        <w:jc w:val="left"/>
        <w:shd w:val="clear" w:fill="F2F2F2"/>
      </w:pPr>
      <w:r>
        <w:rPr>
          <w:rFonts w:ascii="Consolas" w:hAnsi="Consolas" w:cs="Consolas"/>
          <w:b w:val="0"/>
          <w:i w:val="0"/>
          <w:sz w:val="15"/>
        </w:rPr>
        <w:t xml:space="preserve">        + scores.get("incoterm").unwrap_or(&amp;0) * 0.05</w:t>
      </w:r>
    </w:p>
    <w:p>
      <w:pPr>
        <w:spacing w:after="0" w:before="0" w:line="240" w:lineRule="auto"/>
        <w:ind w:left="57"/>
        <w:jc w:val="left"/>
        <w:shd w:val="clear" w:fill="F2F2F2"/>
      </w:pPr>
      <w:r>
        <w:rPr>
          <w:rFonts w:ascii="Consolas" w:hAnsi="Consolas" w:cs="Consolas"/>
          <w:b w:val="0"/>
          <w:i w:val="0"/>
          <w:sz w:val="15"/>
        </w:rPr>
        <w:t xml:space="preserve">        + scores.get("containers").unwrap_or(&amp;0) * 0.10</w:t>
      </w:r>
    </w:p>
    <w:p>
      <w:pPr>
        <w:spacing w:after="0" w:before="0" w:line="240" w:lineRule="auto"/>
        <w:ind w:left="57"/>
        <w:jc w:val="left"/>
        <w:shd w:val="clear" w:fill="F2F2F2"/>
      </w:pPr>
      <w:r>
        <w:rPr>
          <w:rFonts w:ascii="Consolas" w:hAnsi="Consolas" w:cs="Consolas"/>
          <w:b w:val="0"/>
          <w:i w:val="0"/>
          <w:sz w:val="15"/>
        </w:rPr>
        <w:t xml:space="preserve">        + scores.get("commodities").unwrap_or(&amp;0) * 0.15</w:t>
      </w:r>
    </w:p>
    <w:p>
      <w:pPr>
        <w:spacing w:after="0" w:before="0" w:line="240" w:lineRule="auto"/>
        <w:ind w:left="57"/>
        <w:jc w:val="left"/>
        <w:shd w:val="clear" w:fill="F2F2F2"/>
      </w:pPr>
      <w:r>
        <w:rPr>
          <w:rFonts w:ascii="Consolas" w:hAnsi="Consolas" w:cs="Consolas"/>
          <w:b w:val="0"/>
          <w:i w:val="0"/>
          <w:sz w:val="15"/>
        </w:rPr>
        <w:t xml:space="preserve">        + scores.get("quantity").unwrap_or(&amp;0) * 0.10</w:t>
      </w:r>
    </w:p>
    <w:p>
      <w:pPr>
        <w:spacing w:after="0" w:before="0" w:line="240" w:lineRule="auto"/>
        <w:ind w:left="57"/>
        <w:jc w:val="left"/>
        <w:shd w:val="clear" w:fill="F2F2F2"/>
      </w:pPr>
      <w:r>
        <w:rPr>
          <w:rFonts w:ascii="Consolas" w:hAnsi="Consolas" w:cs="Consolas"/>
          <w:b w:val="0"/>
          <w:i w:val="0"/>
          <w:sz w:val="15"/>
        </w:rPr>
        <w:t xml:space="preserve">        + scores.get("packaging").unwrap_or(&amp;0) * 0.10</w:t>
      </w:r>
    </w:p>
    <w:p>
      <w:pPr>
        <w:spacing w:after="0" w:before="0" w:line="240" w:lineRule="auto"/>
        <w:ind w:left="57"/>
        <w:jc w:val="left"/>
        <w:shd w:val="clear" w:fill="F2F2F2"/>
      </w:pPr>
      <w:r>
        <w:rPr>
          <w:rFonts w:ascii="Consolas" w:hAnsi="Consolas" w:cs="Consolas"/>
          <w:b w:val="0"/>
          <w:i w:val="0"/>
          <w:sz w:val="15"/>
        </w:rPr>
        <w:t xml:space="preserve">        + scores.get("acceptance").unwrap_or(&amp;0) * 0.10</w:t>
      </w:r>
    </w:p>
    <w:p>
      <w:pPr>
        <w:spacing w:after="0" w:before="0" w:line="240" w:lineRule="auto"/>
        <w:ind w:left="57"/>
        <w:jc w:val="left"/>
        <w:shd w:val="clear" w:fill="F2F2F2"/>
      </w:pPr>
      <w:r>
        <w:rPr>
          <w:rFonts w:ascii="Consolas" w:hAnsi="Consolas" w:cs="Consolas"/>
          <w:b w:val="0"/>
          <w:i w:val="0"/>
          <w:sz w:val="15"/>
        </w:rPr>
        <w:t xml:space="preserve">        + scores.get("documentation").unwrap_or(&amp;0) * 0.10</w:t>
      </w:r>
    </w:p>
    <w:p>
      <w:pPr>
        <w:spacing w:after="0" w:before="0" w:line="240" w:lineRule="auto"/>
        <w:ind w:left="57"/>
        <w:jc w:val="left"/>
        <w:shd w:val="clear" w:fill="F2F2F2"/>
      </w:pPr>
      <w:r>
        <w:rPr>
          <w:rFonts w:ascii="Consolas" w:hAnsi="Consolas" w:cs="Consolas"/>
          <w:b w:val="0"/>
          <w:i w:val="0"/>
          <w:sz w:val="15"/>
        </w:rPr>
        <w:t xml:space="preserve">        + scores.get("transport").unwrap_or(&amp;0) * 0.10</w:t>
      </w:r>
    </w:p>
    <w:p>
      <w:pPr>
        <w:spacing w:after="0" w:before="0" w:line="240" w:lineRule="auto"/>
        <w:ind w:left="57"/>
        <w:jc w:val="left"/>
        <w:shd w:val="clear" w:fill="F2F2F2"/>
      </w:pPr>
      <w:r>
        <w:rPr>
          <w:rFonts w:ascii="Consolas" w:hAnsi="Consolas" w:cs="Consolas"/>
          <w:b w:val="0"/>
          <w:i w:val="0"/>
          <w:sz w:val="15"/>
        </w:rPr>
        <w:t xml:space="preserve">        + scores.get("insurance").unwrap_or(&amp;0) * 0.05</w:t>
      </w:r>
    </w:p>
    <w:p>
      <w:pPr>
        <w:spacing w:after="0" w:before="0" w:line="240" w:lineRule="auto"/>
        <w:ind w:left="57"/>
        <w:jc w:val="left"/>
        <w:shd w:val="clear" w:fill="F2F2F2"/>
      </w:pPr>
      <w:r>
        <w:rPr>
          <w:rFonts w:ascii="Consolas" w:hAnsi="Consolas" w:cs="Consolas"/>
          <w:b w:val="0"/>
          <w:i w:val="0"/>
          <w:sz w:val="15"/>
        </w:rPr>
        <w:t xml:space="preserve">        + scores.get("settlement").unwrap_or(&amp;0) * 0.10;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7. Quality adjustment (multiplier 0.85-1.0)</w:t>
      </w:r>
    </w:p>
    <w:p>
      <w:pPr>
        <w:spacing w:after="0" w:before="0" w:line="240" w:lineRule="auto"/>
        <w:ind w:left="57"/>
        <w:jc w:val="left"/>
        <w:shd w:val="clear" w:fill="F2F2F2"/>
      </w:pPr>
      <w:r>
        <w:rPr>
          <w:rFonts w:ascii="Consolas" w:hAnsi="Consolas" w:cs="Consolas"/>
          <w:b w:val="0"/>
          <w:i w:val="0"/>
          <w:sz w:val="15"/>
        </w:rPr>
        <w:t xml:space="preserve">    let quality_multiplier = 0.85 + (quality_score * 0.15);</w:t>
      </w:r>
    </w:p>
    <w:p>
      <w:pPr>
        <w:spacing w:after="0" w:before="0" w:line="240" w:lineRule="auto"/>
        <w:ind w:left="57"/>
        <w:jc w:val="left"/>
        <w:shd w:val="clear" w:fill="F2F2F2"/>
      </w:pPr>
      <w:r>
        <w:rPr>
          <w:rFonts w:ascii="Consolas" w:hAnsi="Consolas" w:cs="Consolas"/>
          <w:b w:val="0"/>
          <w:i w:val="0"/>
          <w:sz w:val="15"/>
        </w:rPr>
        <w:t xml:space="preserve">    let final_score = weighted_score * quality_multiplier;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ReadinessResult {</w:t>
      </w:r>
    </w:p>
    <w:p>
      <w:pPr>
        <w:spacing w:after="0" w:before="0" w:line="240" w:lineRule="auto"/>
        <w:ind w:left="57"/>
        <w:jc w:val="left"/>
        <w:shd w:val="clear" w:fill="F2F2F2"/>
      </w:pPr>
      <w:r>
        <w:rPr>
          <w:rFonts w:ascii="Consolas" w:hAnsi="Consolas" w:cs="Consolas"/>
          <w:b w:val="0"/>
          <w:i w:val="0"/>
          <w:sz w:val="15"/>
        </w:rPr>
        <w:t xml:space="preserve">        score: final_score as u8,</w:t>
      </w:r>
    </w:p>
    <w:p>
      <w:pPr>
        <w:spacing w:after="0" w:before="0" w:line="240" w:lineRule="auto"/>
        <w:ind w:left="57"/>
        <w:jc w:val="left"/>
        <w:shd w:val="clear" w:fill="F2F2F2"/>
      </w:pPr>
      <w:r>
        <w:rPr>
          <w:rFonts w:ascii="Consolas" w:hAnsi="Consolas" w:cs="Consolas"/>
          <w:b w:val="0"/>
          <w:i w:val="0"/>
          <w:sz w:val="15"/>
        </w:rPr>
        <w:t xml:space="preserve">        components: scores,</w:t>
      </w:r>
    </w:p>
    <w:p>
      <w:pPr>
        <w:spacing w:after="0" w:before="0" w:line="240" w:lineRule="auto"/>
        <w:ind w:left="57"/>
        <w:jc w:val="left"/>
        <w:shd w:val="clear" w:fill="F2F2F2"/>
      </w:pPr>
      <w:r>
        <w:rPr>
          <w:rFonts w:ascii="Consolas" w:hAnsi="Consolas" w:cs="Consolas"/>
          <w:b w:val="0"/>
          <w:i w:val="0"/>
          <w:sz w:val="15"/>
        </w:rPr>
        <w:t xml:space="preserve">        missing_items,</w:t>
      </w:r>
    </w:p>
    <w:p>
      <w:pPr>
        <w:spacing w:after="0" w:before="0" w:line="240" w:lineRule="auto"/>
        <w:ind w:left="57"/>
        <w:jc w:val="left"/>
        <w:shd w:val="clear" w:fill="F2F2F2"/>
      </w:pPr>
      <w:r>
        <w:rPr>
          <w:rFonts w:ascii="Consolas" w:hAnsi="Consolas" w:cs="Consolas"/>
          <w:b w:val="0"/>
          <w:i w:val="0"/>
          <w:sz w:val="15"/>
        </w:rPr>
        <w:t xml:space="preserve">        incomplete_items,</w:t>
      </w:r>
    </w:p>
    <w:p>
      <w:pPr>
        <w:spacing w:after="0" w:before="0" w:line="240" w:lineRule="auto"/>
        <w:ind w:left="57"/>
        <w:jc w:val="left"/>
        <w:shd w:val="clear" w:fill="F2F2F2"/>
      </w:pPr>
      <w:r>
        <w:rPr>
          <w:rFonts w:ascii="Consolas" w:hAnsi="Consolas" w:cs="Consolas"/>
          <w:b w:val="0"/>
          <w:i w:val="0"/>
          <w:sz w:val="15"/>
        </w:rPr>
        <w:t xml:space="preserve">        quality_score,</w:t>
      </w:r>
    </w:p>
    <w:p>
      <w:pPr>
        <w:spacing w:after="0" w:before="0" w:line="240" w:lineRule="auto"/>
        <w:ind w:left="57"/>
        <w:jc w:val="left"/>
        <w:shd w:val="clear" w:fill="F2F2F2"/>
      </w:pPr>
      <w:r>
        <w:rPr>
          <w:rFonts w:ascii="Consolas" w:hAnsi="Consolas" w:cs="Consolas"/>
          <w:b w:val="0"/>
          <w:i w:val="0"/>
          <w:sz w:val="15"/>
        </w:rPr>
        <w:t xml:space="preserve">        ai_confidence,</w:t>
      </w:r>
    </w:p>
    <w:p>
      <w:pPr>
        <w:spacing w:after="0" w:before="0" w:line="240" w:lineRule="auto"/>
        <w:ind w:left="57"/>
        <w:jc w:val="left"/>
        <w:shd w:val="clear" w:fill="F2F2F2"/>
      </w:pPr>
      <w:r>
        <w:rPr>
          <w:rFonts w:ascii="Consolas" w:hAnsi="Consolas" w:cs="Consolas"/>
          <w:b w:val="0"/>
          <w:i w:val="0"/>
          <w:sz w:val="15"/>
        </w:rPr>
        <w:t xml:space="preserve">        is_ready_for_submission: final_score &gt;= 70.0, // Advisory threshold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6.12.2.3 Quality Assessment (A2, XGBoost)</w:t>
      </w:r>
    </w:p>
    <w:p>
      <w:pPr>
        <w:spacing w:after="80" w:line="293" w:lineRule="auto"/>
        <w:jc w:val="left"/>
      </w:pPr>
      <w:r>
        <w:rPr>
          <w:rFonts w:ascii="Times New Roman" w:hAnsi="Times New Roman" w:cs="Times New Roman"/>
          <w:b w:val="0"/>
          <w:i w:val="0"/>
          <w:sz w:val="22"/>
        </w:rPr>
        <w:t>The AI quality assessment evaluates timeline realism, specification clarity, tolerance reasonableness, documentation completeness, settlement alignment, and insurance appropriateness (dimension scores 0–1 with status labels and plain-language details).</w:t>
      </w:r>
    </w:p>
    <w:p>
      <w:pPr>
        <w:keepNext/>
        <w:spacing w:before="180" w:after="80"/>
        <w:outlineLvl w:val="2"/>
      </w:pPr>
      <w:r>
        <w:rPr>
          <w:rFonts w:ascii="Arial" w:hAnsi="Arial" w:cs="Arial"/>
          <w:b/>
          <w:i w:val="0"/>
          <w:color w:val="333333"/>
          <w:sz w:val="23"/>
        </w:rPr>
        <w:t>6.12.3 UI — Trade Request Readiness Section</w:t>
      </w:r>
    </w:p>
    <w:p>
      <w:pPr>
        <w:keepNext/>
        <w:spacing w:before="140" w:after="60"/>
        <w:outlineLvl w:val="3"/>
      </w:pPr>
      <w:r>
        <w:rPr>
          <w:rFonts w:ascii="Arial" w:hAnsi="Arial" w:cs="Arial"/>
          <w:b/>
          <w:i/>
          <w:color w:val="333333"/>
          <w:sz w:val="22"/>
        </w:rPr>
        <w:t>6.12.3.1 Complete UI Example — High Readiness</w:t>
      </w:r>
    </w:p>
    <w:p>
      <w:pPr>
        <w:spacing w:after="0" w:before="0" w:line="240" w:lineRule="auto"/>
        <w:ind w:left="57"/>
        <w:jc w:val="left"/>
        <w:shd w:val="clear" w:fill="F2F2F2"/>
      </w:pPr>
      <w:r>
        <w:rPr>
          <w:rFonts w:ascii="Consolas" w:hAnsi="Consolas" w:cs="Consolas"/>
          <w:b w:val="0"/>
          <w:i w:val="0"/>
          <w:sz w:val="15"/>
        </w:rPr>
        <w:t>10. TRADE REQUEST READINESS</w:t>
      </w:r>
    </w:p>
    <w:p>
      <w:pPr>
        <w:spacing w:after="0" w:before="0" w:line="240" w:lineRule="auto"/>
        <w:ind w:left="57"/>
        <w:jc w:val="left"/>
        <w:shd w:val="clear" w:fill="F2F2F2"/>
      </w:pPr>
      <w:r>
        <w:rPr>
          <w:rFonts w:ascii="Consolas" w:hAnsi="Consolas" w:cs="Consolas"/>
          <w:b w:val="0"/>
          <w:i w:val="0"/>
          <w:sz w:val="15"/>
        </w:rPr>
        <w:t xml:space="preserve">  TRADE REQUEST READINESS: 96/100</w:t>
      </w:r>
    </w:p>
    <w:p>
      <w:pPr>
        <w:spacing w:after="0" w:before="0" w:line="240" w:lineRule="auto"/>
        <w:ind w:left="57"/>
        <w:jc w:val="left"/>
        <w:shd w:val="clear" w:fill="F2F2F2"/>
      </w:pPr>
      <w:r>
        <w:rPr>
          <w:rFonts w:ascii="Consolas" w:hAnsi="Consolas" w:cs="Consolas"/>
          <w:b w:val="0"/>
          <w:i w:val="0"/>
          <w:sz w:val="15"/>
        </w:rPr>
        <w:t xml:space="preserve">  [██████████████████████████████░] 96% ready</w:t>
      </w:r>
    </w:p>
    <w:p>
      <w:pPr>
        <w:spacing w:after="0" w:before="0" w:line="240" w:lineRule="auto"/>
        <w:ind w:left="57"/>
        <w:jc w:val="left"/>
        <w:shd w:val="clear" w:fill="F2F2F2"/>
      </w:pPr>
      <w:r>
        <w:rPr>
          <w:rFonts w:ascii="Consolas" w:hAnsi="Consolas" w:cs="Consolas"/>
          <w:b w:val="0"/>
          <w:i w:val="0"/>
          <w:sz w:val="15"/>
        </w:rPr>
        <w:t xml:space="preserve">  This trade request is well-prepared and ready for submission.</w:t>
      </w:r>
    </w:p>
    <w:p>
      <w:pPr>
        <w:spacing w:after="0" w:before="0" w:line="240" w:lineRule="auto"/>
        <w:ind w:left="57"/>
        <w:jc w:val="left"/>
        <w:shd w:val="clear" w:fill="F2F2F2"/>
      </w:pPr>
      <w:r>
        <w:rPr>
          <w:rFonts w:ascii="Consolas" w:hAnsi="Consolas" w:cs="Consolas"/>
          <w:b w:val="0"/>
          <w:i w:val="0"/>
          <w:sz w:val="15"/>
        </w:rPr>
        <w:t xml:space="preserve">  • All sections are complete.</w:t>
      </w:r>
    </w:p>
    <w:p>
      <w:pPr>
        <w:spacing w:after="0" w:before="0" w:line="240" w:lineRule="auto"/>
        <w:ind w:left="57"/>
        <w:jc w:val="left"/>
        <w:shd w:val="clear" w:fill="F2F2F2"/>
      </w:pPr>
      <w:r>
        <w:rPr>
          <w:rFonts w:ascii="Consolas" w:hAnsi="Consolas" w:cs="Consolas"/>
          <w:b w:val="0"/>
          <w:i w:val="0"/>
          <w:sz w:val="15"/>
        </w:rPr>
        <w:t xml:space="preserve">  • Documentation is comprehensive.</w:t>
      </w:r>
    </w:p>
    <w:p>
      <w:pPr>
        <w:spacing w:after="0" w:before="0" w:line="240" w:lineRule="auto"/>
        <w:ind w:left="57"/>
        <w:jc w:val="left"/>
        <w:shd w:val="clear" w:fill="F2F2F2"/>
      </w:pPr>
      <w:r>
        <w:rPr>
          <w:rFonts w:ascii="Consolas" w:hAnsi="Consolas" w:cs="Consolas"/>
          <w:b w:val="0"/>
          <w:i w:val="0"/>
          <w:sz w:val="15"/>
        </w:rPr>
        <w:t xml:space="preserve">  • Settlement structure is appropriate for the incoterm.</w:t>
      </w:r>
    </w:p>
    <w:p>
      <w:pPr>
        <w:spacing w:after="0" w:before="0" w:line="240" w:lineRule="auto"/>
        <w:ind w:left="57"/>
        <w:jc w:val="left"/>
        <w:shd w:val="clear" w:fill="F2F2F2"/>
      </w:pPr>
      <w:r>
        <w:rPr>
          <w:rFonts w:ascii="Consolas" w:hAnsi="Consolas" w:cs="Consolas"/>
          <w:b w:val="0"/>
          <w:i w:val="0"/>
          <w:sz w:val="15"/>
        </w:rPr>
        <w:t xml:space="preserve">  AI Recommendation: You can submit this request with confidence.</w:t>
      </w:r>
    </w:p>
    <w:p>
      <w:pPr>
        <w:spacing w:after="0" w:before="0" w:line="240" w:lineRule="auto"/>
        <w:ind w:left="57"/>
        <w:jc w:val="left"/>
        <w:shd w:val="clear" w:fill="F2F2F2"/>
      </w:pPr>
      <w:r>
        <w:rPr>
          <w:rFonts w:ascii="Consolas" w:hAnsi="Consolas" w:cs="Consolas"/>
          <w:b w:val="0"/>
          <w:i w:val="0"/>
          <w:sz w:val="15"/>
        </w:rPr>
        <w:t xml:space="preserve">  Expected seller response probability: 87%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READINESS BREAKDOWN</w:t>
      </w:r>
    </w:p>
    <w:p>
      <w:pPr>
        <w:spacing w:after="0" w:before="0" w:line="240" w:lineRule="auto"/>
        <w:ind w:left="57"/>
        <w:jc w:val="left"/>
        <w:shd w:val="clear" w:fill="F2F2F2"/>
      </w:pPr>
      <w:r>
        <w:rPr>
          <w:rFonts w:ascii="Consolas" w:hAnsi="Consolas" w:cs="Consolas"/>
          <w:b w:val="0"/>
          <w:i w:val="0"/>
          <w:sz w:val="15"/>
        </w:rPr>
        <w:t xml:space="preserve">  Component              Score   Status</w:t>
      </w:r>
    </w:p>
    <w:p>
      <w:pPr>
        <w:spacing w:after="0" w:before="0" w:line="240" w:lineRule="auto"/>
        <w:ind w:left="57"/>
        <w:jc w:val="left"/>
        <w:shd w:val="clear" w:fill="F2F2F2"/>
      </w:pPr>
      <w:r>
        <w:rPr>
          <w:rFonts w:ascii="Consolas" w:hAnsi="Consolas" w:cs="Consolas"/>
          <w:b w:val="0"/>
          <w:i w:val="0"/>
          <w:sz w:val="15"/>
        </w:rPr>
        <w:t xml:space="preserve">  Seller Selection       100%    Complete</w:t>
      </w:r>
    </w:p>
    <w:p>
      <w:pPr>
        <w:spacing w:after="0" w:before="0" w:line="240" w:lineRule="auto"/>
        <w:ind w:left="57"/>
        <w:jc w:val="left"/>
        <w:shd w:val="clear" w:fill="F2F2F2"/>
      </w:pPr>
      <w:r>
        <w:rPr>
          <w:rFonts w:ascii="Consolas" w:hAnsi="Consolas" w:cs="Consolas"/>
          <w:b w:val="0"/>
          <w:i w:val="0"/>
          <w:sz w:val="15"/>
        </w:rPr>
        <w:t xml:space="preserve">  Incoterm Selection     100%    Complete</w:t>
      </w:r>
    </w:p>
    <w:p>
      <w:pPr>
        <w:spacing w:after="0" w:before="0" w:line="240" w:lineRule="auto"/>
        <w:ind w:left="57"/>
        <w:jc w:val="left"/>
        <w:shd w:val="clear" w:fill="F2F2F2"/>
      </w:pPr>
      <w:r>
        <w:rPr>
          <w:rFonts w:ascii="Consolas" w:hAnsi="Consolas" w:cs="Consolas"/>
          <w:b w:val="0"/>
          <w:i w:val="0"/>
          <w:sz w:val="15"/>
        </w:rPr>
        <w:t xml:space="preserve">  Containers             100%    Complete (2 of 2)</w:t>
      </w:r>
    </w:p>
    <w:p>
      <w:pPr>
        <w:spacing w:after="0" w:before="0" w:line="240" w:lineRule="auto"/>
        <w:ind w:left="57"/>
        <w:jc w:val="left"/>
        <w:shd w:val="clear" w:fill="F2F2F2"/>
      </w:pPr>
      <w:r>
        <w:rPr>
          <w:rFonts w:ascii="Consolas" w:hAnsi="Consolas" w:cs="Consolas"/>
          <w:b w:val="0"/>
          <w:i w:val="0"/>
          <w:sz w:val="15"/>
        </w:rPr>
        <w:t xml:space="preserve">  Commodities            100%    Complete (2 of 2)</w:t>
      </w:r>
    </w:p>
    <w:p>
      <w:pPr>
        <w:spacing w:after="0" w:before="0" w:line="240" w:lineRule="auto"/>
        <w:ind w:left="57"/>
        <w:jc w:val="left"/>
        <w:shd w:val="clear" w:fill="F2F2F2"/>
      </w:pPr>
      <w:r>
        <w:rPr>
          <w:rFonts w:ascii="Consolas" w:hAnsi="Consolas" w:cs="Consolas"/>
          <w:b w:val="0"/>
          <w:i w:val="0"/>
          <w:sz w:val="15"/>
        </w:rPr>
        <w:t xml:space="preserve">  Quantity &amp; Tolerance   100%    Complete</w:t>
      </w:r>
    </w:p>
    <w:p>
      <w:pPr>
        <w:spacing w:after="0" w:before="0" w:line="240" w:lineRule="auto"/>
        <w:ind w:left="57"/>
        <w:jc w:val="left"/>
        <w:shd w:val="clear" w:fill="F2F2F2"/>
      </w:pPr>
      <w:r>
        <w:rPr>
          <w:rFonts w:ascii="Consolas" w:hAnsi="Consolas" w:cs="Consolas"/>
          <w:b w:val="0"/>
          <w:i w:val="0"/>
          <w:sz w:val="15"/>
        </w:rPr>
        <w:t xml:space="preserve">  Packaging &amp; Weight     100%    Complete</w:t>
      </w:r>
    </w:p>
    <w:p>
      <w:pPr>
        <w:spacing w:after="0" w:before="0" w:line="240" w:lineRule="auto"/>
        <w:ind w:left="57"/>
        <w:jc w:val="left"/>
        <w:shd w:val="clear" w:fill="F2F2F2"/>
      </w:pPr>
      <w:r>
        <w:rPr>
          <w:rFonts w:ascii="Consolas" w:hAnsi="Consolas" w:cs="Consolas"/>
          <w:b w:val="0"/>
          <w:i w:val="0"/>
          <w:sz w:val="15"/>
        </w:rPr>
        <w:t xml:space="preserve">  Acceptance Criteria    92%     1 parameter missing</w:t>
      </w:r>
    </w:p>
    <w:p>
      <w:pPr>
        <w:spacing w:after="0" w:before="0" w:line="240" w:lineRule="auto"/>
        <w:ind w:left="57"/>
        <w:jc w:val="left"/>
        <w:shd w:val="clear" w:fill="F2F2F2"/>
      </w:pPr>
      <w:r>
        <w:rPr>
          <w:rFonts w:ascii="Consolas" w:hAnsi="Consolas" w:cs="Consolas"/>
          <w:b w:val="0"/>
          <w:i w:val="0"/>
          <w:sz w:val="15"/>
        </w:rPr>
        <w:t xml:space="preserve">  Documentation          95%     1 optional document missing</w:t>
      </w:r>
    </w:p>
    <w:p>
      <w:pPr>
        <w:spacing w:after="0" w:before="0" w:line="240" w:lineRule="auto"/>
        <w:ind w:left="57"/>
        <w:jc w:val="left"/>
        <w:shd w:val="clear" w:fill="F2F2F2"/>
      </w:pPr>
      <w:r>
        <w:rPr>
          <w:rFonts w:ascii="Consolas" w:hAnsi="Consolas" w:cs="Consolas"/>
          <w:b w:val="0"/>
          <w:i w:val="0"/>
          <w:sz w:val="15"/>
        </w:rPr>
        <w:t xml:space="preserve">  Transport &amp; Logistics  100%    Complete</w:t>
      </w:r>
    </w:p>
    <w:p>
      <w:pPr>
        <w:spacing w:after="0" w:before="0" w:line="240" w:lineRule="auto"/>
        <w:ind w:left="57"/>
        <w:jc w:val="left"/>
        <w:shd w:val="clear" w:fill="F2F2F2"/>
      </w:pPr>
      <w:r>
        <w:rPr>
          <w:rFonts w:ascii="Consolas" w:hAnsi="Consolas" w:cs="Consolas"/>
          <w:b w:val="0"/>
          <w:i w:val="0"/>
          <w:sz w:val="15"/>
        </w:rPr>
        <w:t xml:space="preserve">  Insurance              100%    Complete</w:t>
      </w:r>
    </w:p>
    <w:p>
      <w:pPr>
        <w:spacing w:after="0" w:before="0" w:line="240" w:lineRule="auto"/>
        <w:ind w:left="57"/>
        <w:jc w:val="left"/>
        <w:shd w:val="clear" w:fill="F2F2F2"/>
      </w:pPr>
      <w:r>
        <w:rPr>
          <w:rFonts w:ascii="Consolas" w:hAnsi="Consolas" w:cs="Consolas"/>
          <w:b w:val="0"/>
          <w:i w:val="0"/>
          <w:sz w:val="15"/>
        </w:rPr>
        <w:t xml:space="preserve">  Commercial Settlement  100%    Complete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IMPROVEMENT SUGGESTIONS</w:t>
      </w:r>
    </w:p>
    <w:p>
      <w:pPr>
        <w:spacing w:after="0" w:before="0" w:line="240" w:lineRule="auto"/>
        <w:ind w:left="57"/>
        <w:jc w:val="left"/>
        <w:shd w:val="clear" w:fill="F2F2F2"/>
      </w:pPr>
      <w:r>
        <w:rPr>
          <w:rFonts w:ascii="Consolas" w:hAnsi="Consolas" w:cs="Consolas"/>
          <w:b w:val="0"/>
          <w:i w:val="0"/>
          <w:sz w:val="15"/>
        </w:rPr>
        <w:t xml:space="preserve">  To reach 100% readiness:</w:t>
      </w:r>
    </w:p>
    <w:p>
      <w:pPr>
        <w:spacing w:after="0" w:before="0" w:line="240" w:lineRule="auto"/>
        <w:ind w:left="57"/>
        <w:jc w:val="left"/>
        <w:shd w:val="clear" w:fill="F2F2F2"/>
      </w:pPr>
      <w:r>
        <w:rPr>
          <w:rFonts w:ascii="Consolas" w:hAnsi="Consolas" w:cs="Consolas"/>
          <w:b w:val="0"/>
          <w:i w:val="0"/>
          <w:sz w:val="15"/>
        </w:rPr>
        <w:t xml:space="preserve">  1 acceptance criteria parameter missing</w:t>
      </w:r>
    </w:p>
    <w:p>
      <w:pPr>
        <w:spacing w:after="0" w:before="0" w:line="240" w:lineRule="auto"/>
        <w:ind w:left="57"/>
        <w:jc w:val="left"/>
        <w:shd w:val="clear" w:fill="F2F2F2"/>
      </w:pPr>
      <w:r>
        <w:rPr>
          <w:rFonts w:ascii="Consolas" w:hAnsi="Consolas" w:cs="Consolas"/>
          <w:b w:val="0"/>
          <w:i w:val="0"/>
          <w:sz w:val="15"/>
        </w:rPr>
        <w:t xml:space="preserve">  • Foreign Matter limit not specified                            [Add Parameter]</w:t>
      </w:r>
    </w:p>
    <w:p>
      <w:pPr>
        <w:spacing w:after="0" w:before="0" w:line="240" w:lineRule="auto"/>
        <w:ind w:left="57"/>
        <w:jc w:val="left"/>
        <w:shd w:val="clear" w:fill="F2F2F2"/>
      </w:pPr>
      <w:r>
        <w:rPr>
          <w:rFonts w:ascii="Consolas" w:hAnsi="Consolas" w:cs="Consolas"/>
          <w:b w:val="0"/>
          <w:i w:val="0"/>
          <w:sz w:val="15"/>
        </w:rPr>
        <w:t xml:space="preserve">  1 optional document not specified</w:t>
      </w:r>
    </w:p>
    <w:p>
      <w:pPr>
        <w:spacing w:after="0" w:before="0" w:line="240" w:lineRule="auto"/>
        <w:ind w:left="57"/>
        <w:jc w:val="left"/>
        <w:shd w:val="clear" w:fill="F2F2F2"/>
      </w:pPr>
      <w:r>
        <w:rPr>
          <w:rFonts w:ascii="Consolas" w:hAnsi="Consolas" w:cs="Consolas"/>
          <w:b w:val="0"/>
          <w:i w:val="0"/>
          <w:sz w:val="15"/>
        </w:rPr>
        <w:t xml:space="preserve">  • Insurance Certificate is optional but recommended             [Add Document]</w:t>
      </w:r>
    </w:p>
    <w:p>
      <w:pPr>
        <w:spacing w:after="0" w:before="0" w:line="240" w:lineRule="auto"/>
        <w:ind w:left="57"/>
        <w:jc w:val="left"/>
        <w:shd w:val="clear" w:fill="F2F2F2"/>
      </w:pPr>
      <w:r>
        <w:rPr>
          <w:rFonts w:ascii="Consolas" w:hAnsi="Consolas" w:cs="Consolas"/>
          <w:b w:val="0"/>
          <w:i w:val="0"/>
          <w:sz w:val="15"/>
        </w:rPr>
        <w:t xml:space="preserve">  [Submit Anyway] [Complete Missing Items] [Save Draft]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6.12.3.2 Complete UI Example — Low Readiness</w:t>
      </w:r>
    </w:p>
    <w:p>
      <w:pPr>
        <w:spacing w:after="0" w:before="0" w:line="240" w:lineRule="auto"/>
        <w:ind w:left="57"/>
        <w:jc w:val="left"/>
        <w:shd w:val="clear" w:fill="F2F2F2"/>
      </w:pPr>
      <w:r>
        <w:rPr>
          <w:rFonts w:ascii="Consolas" w:hAnsi="Consolas" w:cs="Consolas"/>
          <w:b w:val="0"/>
          <w:i w:val="0"/>
          <w:sz w:val="15"/>
        </w:rPr>
        <w:t>10. TRADE REQUEST READINESS</w:t>
      </w:r>
    </w:p>
    <w:p>
      <w:pPr>
        <w:spacing w:after="0" w:before="0" w:line="240" w:lineRule="auto"/>
        <w:ind w:left="57"/>
        <w:jc w:val="left"/>
        <w:shd w:val="clear" w:fill="F2F2F2"/>
      </w:pPr>
      <w:r>
        <w:rPr>
          <w:rFonts w:ascii="Consolas" w:hAnsi="Consolas" w:cs="Consolas"/>
          <w:b w:val="0"/>
          <w:i w:val="0"/>
          <w:sz w:val="15"/>
        </w:rPr>
        <w:t xml:space="preserve">  TRADE REQUEST READINESS: 62/100</w:t>
      </w:r>
    </w:p>
    <w:p>
      <w:pPr>
        <w:spacing w:after="0" w:before="0" w:line="240" w:lineRule="auto"/>
        <w:ind w:left="57"/>
        <w:jc w:val="left"/>
        <w:shd w:val="clear" w:fill="F2F2F2"/>
      </w:pPr>
      <w:r>
        <w:rPr>
          <w:rFonts w:ascii="Consolas" w:hAnsi="Consolas" w:cs="Consolas"/>
          <w:b w:val="0"/>
          <w:i w:val="0"/>
          <w:sz w:val="15"/>
        </w:rPr>
        <w:t xml:space="preserve">  [██████████████████░░░░░░░░░░░░░░░] 62% ready</w:t>
      </w:r>
    </w:p>
    <w:p>
      <w:pPr>
        <w:spacing w:after="0" w:before="0" w:line="240" w:lineRule="auto"/>
        <w:ind w:left="57"/>
        <w:jc w:val="left"/>
        <w:shd w:val="clear" w:fill="F2F2F2"/>
      </w:pPr>
      <w:r>
        <w:rPr>
          <w:rFonts w:ascii="Consolas" w:hAnsi="Consolas" w:cs="Consolas"/>
          <w:b w:val="0"/>
          <w:i w:val="0"/>
          <w:sz w:val="15"/>
        </w:rPr>
        <w:t xml:space="preserve">  This trade request needs attention before submission.</w:t>
      </w:r>
    </w:p>
    <w:p>
      <w:pPr>
        <w:spacing w:after="0" w:before="0" w:line="240" w:lineRule="auto"/>
        <w:ind w:left="57"/>
        <w:jc w:val="left"/>
        <w:shd w:val="clear" w:fill="F2F2F2"/>
      </w:pPr>
      <w:r>
        <w:rPr>
          <w:rFonts w:ascii="Consolas" w:hAnsi="Consolas" w:cs="Consolas"/>
          <w:b w:val="0"/>
          <w:i w:val="0"/>
          <w:sz w:val="15"/>
        </w:rPr>
        <w:t xml:space="preserve">  • Missing sections: 2</w:t>
      </w:r>
    </w:p>
    <w:p>
      <w:pPr>
        <w:spacing w:after="0" w:before="0" w:line="240" w:lineRule="auto"/>
        <w:ind w:left="57"/>
        <w:jc w:val="left"/>
        <w:shd w:val="clear" w:fill="F2F2F2"/>
      </w:pPr>
      <w:r>
        <w:rPr>
          <w:rFonts w:ascii="Consolas" w:hAnsi="Consolas" w:cs="Consolas"/>
          <w:b w:val="0"/>
          <w:i w:val="0"/>
          <w:sz w:val="15"/>
        </w:rPr>
        <w:t xml:space="preserve">  • Incomplete sections: 3</w:t>
      </w:r>
    </w:p>
    <w:p>
      <w:pPr>
        <w:spacing w:after="0" w:before="0" w:line="240" w:lineRule="auto"/>
        <w:ind w:left="57"/>
        <w:jc w:val="left"/>
        <w:shd w:val="clear" w:fill="F2F2F2"/>
      </w:pPr>
      <w:r>
        <w:rPr>
          <w:rFonts w:ascii="Consolas" w:hAnsi="Consolas" w:cs="Consolas"/>
          <w:b w:val="0"/>
          <w:i w:val="0"/>
          <w:sz w:val="15"/>
        </w:rPr>
        <w:t xml:space="preserve">  • Quality issues: 2</w:t>
      </w:r>
    </w:p>
    <w:p>
      <w:pPr>
        <w:spacing w:after="0" w:before="0" w:line="240" w:lineRule="auto"/>
        <w:ind w:left="57"/>
        <w:jc w:val="left"/>
        <w:shd w:val="clear" w:fill="F2F2F2"/>
      </w:pPr>
      <w:r>
        <w:rPr>
          <w:rFonts w:ascii="Consolas" w:hAnsi="Consolas" w:cs="Consolas"/>
          <w:b w:val="0"/>
          <w:i w:val="0"/>
          <w:sz w:val="15"/>
        </w:rPr>
        <w:t xml:space="preserve">  AI Recommendation: Complete the missing and incomplete sections to</w:t>
      </w:r>
    </w:p>
    <w:p>
      <w:pPr>
        <w:spacing w:after="0" w:before="0" w:line="240" w:lineRule="auto"/>
        <w:ind w:left="57"/>
        <w:jc w:val="left"/>
        <w:shd w:val="clear" w:fill="F2F2F2"/>
      </w:pPr>
      <w:r>
        <w:rPr>
          <w:rFonts w:ascii="Consolas" w:hAnsi="Consolas" w:cs="Consolas"/>
          <w:b w:val="0"/>
          <w:i w:val="0"/>
          <w:sz w:val="15"/>
        </w:rPr>
        <w:t xml:space="preserve">  improve seller response probability.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READINESS BREAKDOWN</w:t>
      </w:r>
    </w:p>
    <w:p>
      <w:pPr>
        <w:spacing w:after="0" w:before="0" w:line="240" w:lineRule="auto"/>
        <w:ind w:left="57"/>
        <w:jc w:val="left"/>
        <w:shd w:val="clear" w:fill="F2F2F2"/>
      </w:pPr>
      <w:r>
        <w:rPr>
          <w:rFonts w:ascii="Consolas" w:hAnsi="Consolas" w:cs="Consolas"/>
          <w:b w:val="0"/>
          <w:i w:val="0"/>
          <w:sz w:val="15"/>
        </w:rPr>
        <w:t xml:space="preserve">  Component              Score   Status</w:t>
      </w:r>
    </w:p>
    <w:p>
      <w:pPr>
        <w:spacing w:after="0" w:before="0" w:line="240" w:lineRule="auto"/>
        <w:ind w:left="57"/>
        <w:jc w:val="left"/>
        <w:shd w:val="clear" w:fill="F2F2F2"/>
      </w:pPr>
      <w:r>
        <w:rPr>
          <w:rFonts w:ascii="Consolas" w:hAnsi="Consolas" w:cs="Consolas"/>
          <w:b w:val="0"/>
          <w:i w:val="0"/>
          <w:sz w:val="15"/>
        </w:rPr>
        <w:t xml:space="preserve">  Seller Selection       100%    Complete</w:t>
      </w:r>
    </w:p>
    <w:p>
      <w:pPr>
        <w:spacing w:after="0" w:before="0" w:line="240" w:lineRule="auto"/>
        <w:ind w:left="57"/>
        <w:jc w:val="left"/>
        <w:shd w:val="clear" w:fill="F2F2F2"/>
      </w:pPr>
      <w:r>
        <w:rPr>
          <w:rFonts w:ascii="Consolas" w:hAnsi="Consolas" w:cs="Consolas"/>
          <w:b w:val="0"/>
          <w:i w:val="0"/>
          <w:sz w:val="15"/>
        </w:rPr>
        <w:t xml:space="preserve">  Incoterm Selection     100%    Complete</w:t>
      </w:r>
    </w:p>
    <w:p>
      <w:pPr>
        <w:spacing w:after="0" w:before="0" w:line="240" w:lineRule="auto"/>
        <w:ind w:left="57"/>
        <w:jc w:val="left"/>
        <w:shd w:val="clear" w:fill="F2F2F2"/>
      </w:pPr>
      <w:r>
        <w:rPr>
          <w:rFonts w:ascii="Consolas" w:hAnsi="Consolas" w:cs="Consolas"/>
          <w:b w:val="0"/>
          <w:i w:val="0"/>
          <w:sz w:val="15"/>
        </w:rPr>
        <w:t xml:space="preserve">  Containers             50%     Only 1 of 2 containers complete</w:t>
      </w:r>
    </w:p>
    <w:p>
      <w:pPr>
        <w:spacing w:after="0" w:before="0" w:line="240" w:lineRule="auto"/>
        <w:ind w:left="57"/>
        <w:jc w:val="left"/>
        <w:shd w:val="clear" w:fill="F2F2F2"/>
      </w:pPr>
      <w:r>
        <w:rPr>
          <w:rFonts w:ascii="Consolas" w:hAnsi="Consolas" w:cs="Consolas"/>
          <w:b w:val="0"/>
          <w:i w:val="0"/>
          <w:sz w:val="15"/>
        </w:rPr>
        <w:t xml:space="preserve">  Commodities            40%     2 of 5 commodities incomplete</w:t>
      </w:r>
    </w:p>
    <w:p>
      <w:pPr>
        <w:spacing w:after="0" w:before="0" w:line="240" w:lineRule="auto"/>
        <w:ind w:left="57"/>
        <w:jc w:val="left"/>
        <w:shd w:val="clear" w:fill="F2F2F2"/>
      </w:pPr>
      <w:r>
        <w:rPr>
          <w:rFonts w:ascii="Consolas" w:hAnsi="Consolas" w:cs="Consolas"/>
          <w:b w:val="0"/>
          <w:i w:val="0"/>
          <w:sz w:val="15"/>
        </w:rPr>
        <w:t xml:space="preserve">  Quantity &amp; Tolerance   60%     Tolerance not specified</w:t>
      </w:r>
    </w:p>
    <w:p>
      <w:pPr>
        <w:spacing w:after="0" w:before="0" w:line="240" w:lineRule="auto"/>
        <w:ind w:left="57"/>
        <w:jc w:val="left"/>
        <w:shd w:val="clear" w:fill="F2F2F2"/>
      </w:pPr>
      <w:r>
        <w:rPr>
          <w:rFonts w:ascii="Consolas" w:hAnsi="Consolas" w:cs="Consolas"/>
          <w:b w:val="0"/>
          <w:i w:val="0"/>
          <w:sz w:val="15"/>
        </w:rPr>
        <w:t xml:space="preserve">  Packaging &amp; Weight     30%     Missing for 3 commodities</w:t>
      </w:r>
    </w:p>
    <w:p>
      <w:pPr>
        <w:spacing w:after="0" w:before="0" w:line="240" w:lineRule="auto"/>
        <w:ind w:left="57"/>
        <w:jc w:val="left"/>
        <w:shd w:val="clear" w:fill="F2F2F2"/>
      </w:pPr>
      <w:r>
        <w:rPr>
          <w:rFonts w:ascii="Consolas" w:hAnsi="Consolas" w:cs="Consolas"/>
          <w:b w:val="0"/>
          <w:i w:val="0"/>
          <w:sz w:val="15"/>
        </w:rPr>
        <w:t xml:space="preserve">  Acceptance Criteria    0%      Not specified</w:t>
      </w:r>
    </w:p>
    <w:p>
      <w:pPr>
        <w:spacing w:after="0" w:before="0" w:line="240" w:lineRule="auto"/>
        <w:ind w:left="57"/>
        <w:jc w:val="left"/>
        <w:shd w:val="clear" w:fill="F2F2F2"/>
      </w:pPr>
      <w:r>
        <w:rPr>
          <w:rFonts w:ascii="Consolas" w:hAnsi="Consolas" w:cs="Consolas"/>
          <w:b w:val="0"/>
          <w:i w:val="0"/>
          <w:sz w:val="15"/>
        </w:rPr>
        <w:t xml:space="preserve">  Documentation          20%     Missing mandatory documents</w:t>
      </w:r>
    </w:p>
    <w:p>
      <w:pPr>
        <w:spacing w:after="0" w:before="0" w:line="240" w:lineRule="auto"/>
        <w:ind w:left="57"/>
        <w:jc w:val="left"/>
        <w:shd w:val="clear" w:fill="F2F2F2"/>
      </w:pPr>
      <w:r>
        <w:rPr>
          <w:rFonts w:ascii="Consolas" w:hAnsi="Consolas" w:cs="Consolas"/>
          <w:b w:val="0"/>
          <w:i w:val="0"/>
          <w:sz w:val="15"/>
        </w:rPr>
        <w:t xml:space="preserve">  Transport &amp; Logistics  60%     Delivery window incomplete</w:t>
      </w:r>
    </w:p>
    <w:p>
      <w:pPr>
        <w:spacing w:after="0" w:before="0" w:line="240" w:lineRule="auto"/>
        <w:ind w:left="57"/>
        <w:jc w:val="left"/>
        <w:shd w:val="clear" w:fill="F2F2F2"/>
      </w:pPr>
      <w:r>
        <w:rPr>
          <w:rFonts w:ascii="Consolas" w:hAnsi="Consolas" w:cs="Consolas"/>
          <w:b w:val="0"/>
          <w:i w:val="0"/>
          <w:sz w:val="15"/>
        </w:rPr>
        <w:t xml:space="preserve">  Insurance              0%      Not specified</w:t>
      </w:r>
    </w:p>
    <w:p>
      <w:pPr>
        <w:spacing w:after="0" w:before="0" w:line="240" w:lineRule="auto"/>
        <w:ind w:left="57"/>
        <w:jc w:val="left"/>
        <w:shd w:val="clear" w:fill="F2F2F2"/>
      </w:pPr>
      <w:r>
        <w:rPr>
          <w:rFonts w:ascii="Consolas" w:hAnsi="Consolas" w:cs="Consolas"/>
          <w:b w:val="0"/>
          <w:i w:val="0"/>
          <w:sz w:val="15"/>
        </w:rPr>
        <w:t xml:space="preserve">  Commercial Settlement  40%     Incomplete settlement terms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CRITICAL MISSING ITEMS</w:t>
      </w:r>
    </w:p>
    <w:p>
      <w:pPr>
        <w:spacing w:after="0" w:before="0" w:line="240" w:lineRule="auto"/>
        <w:ind w:left="57"/>
        <w:jc w:val="left"/>
        <w:shd w:val="clear" w:fill="F2F2F2"/>
      </w:pPr>
      <w:r>
        <w:rPr>
          <w:rFonts w:ascii="Consolas" w:hAnsi="Consolas" w:cs="Consolas"/>
          <w:b w:val="0"/>
          <w:i w:val="0"/>
          <w:sz w:val="15"/>
        </w:rPr>
        <w:t xml:space="preserve">  Missing: Insurance requirements (required for CIF incoterm)      [Add Insurance]</w:t>
      </w:r>
    </w:p>
    <w:p>
      <w:pPr>
        <w:spacing w:after="0" w:before="0" w:line="240" w:lineRule="auto"/>
        <w:ind w:left="57"/>
        <w:jc w:val="left"/>
        <w:shd w:val="clear" w:fill="F2F2F2"/>
      </w:pPr>
      <w:r>
        <w:rPr>
          <w:rFonts w:ascii="Consolas" w:hAnsi="Consolas" w:cs="Consolas"/>
          <w:b w:val="0"/>
          <w:i w:val="0"/>
          <w:sz w:val="15"/>
        </w:rPr>
        <w:t xml:space="preserve">  Missing: Acceptance Criteria Matrix for Oranges        [Add Acceptance Criteria]</w:t>
      </w:r>
    </w:p>
    <w:p>
      <w:pPr>
        <w:spacing w:after="0" w:before="0" w:line="240" w:lineRule="auto"/>
        <w:ind w:left="57"/>
        <w:jc w:val="left"/>
        <w:shd w:val="clear" w:fill="F2F2F2"/>
      </w:pPr>
      <w:r>
        <w:rPr>
          <w:rFonts w:ascii="Consolas" w:hAnsi="Consolas" w:cs="Consolas"/>
          <w:b w:val="0"/>
          <w:i w:val="0"/>
          <w:sz w:val="15"/>
        </w:rPr>
        <w:t xml:space="preserve">  Missing: Phytosanitary Certificate (mandatory for Egypt export)  [Add Document]</w:t>
      </w:r>
    </w:p>
    <w:p>
      <w:pPr>
        <w:spacing w:after="0" w:before="0" w:line="240" w:lineRule="auto"/>
        <w:ind w:left="57"/>
        <w:jc w:val="left"/>
        <w:shd w:val="clear" w:fill="F2F2F2"/>
      </w:pPr>
      <w:r>
        <w:rPr>
          <w:rFonts w:ascii="Consolas" w:hAnsi="Consolas" w:cs="Consolas"/>
          <w:b w:val="0"/>
          <w:i w:val="0"/>
          <w:sz w:val="15"/>
        </w:rPr>
        <w:t xml:space="preserve">  Quality Issue: Delivery window is unrealistic (10 days for ocean freight)</w:t>
      </w:r>
    </w:p>
    <w:p>
      <w:pPr>
        <w:spacing w:after="0" w:before="0" w:line="240" w:lineRule="auto"/>
        <w:ind w:left="57"/>
        <w:jc w:val="left"/>
        <w:shd w:val="clear" w:fill="F2F2F2"/>
      </w:pPr>
      <w:r>
        <w:rPr>
          <w:rFonts w:ascii="Consolas" w:hAnsi="Consolas" w:cs="Consolas"/>
          <w:b w:val="0"/>
          <w:i w:val="0"/>
          <w:sz w:val="15"/>
        </w:rPr>
        <w:t xml:space="preserve">                                                              [Adjust Delivery Window]</w:t>
      </w:r>
    </w:p>
    <w:p>
      <w:pPr>
        <w:spacing w:after="0" w:before="0" w:line="240" w:lineRule="auto"/>
        <w:ind w:left="57"/>
        <w:jc w:val="left"/>
        <w:shd w:val="clear" w:fill="F2F2F2"/>
      </w:pPr>
      <w:r>
        <w:rPr>
          <w:rFonts w:ascii="Consolas" w:hAnsi="Consolas" w:cs="Consolas"/>
          <w:b w:val="0"/>
          <w:i w:val="0"/>
          <w:sz w:val="15"/>
        </w:rPr>
        <w:t xml:space="preserve">  [Submit Anyway] [Complete Missing Items] [Save Draft]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6.12.4 Missing &amp; Incomplete Items Detection</w:t>
      </w:r>
    </w:p>
    <w:p>
      <w:pPr>
        <w:keepNext/>
        <w:spacing w:before="140" w:after="60"/>
        <w:outlineLvl w:val="3"/>
      </w:pPr>
      <w:r>
        <w:rPr>
          <w:rFonts w:ascii="Arial" w:hAnsi="Arial" w:cs="Arial"/>
          <w:b/>
          <w:i/>
          <w:color w:val="333333"/>
          <w:sz w:val="22"/>
        </w:rPr>
        <w:t>6.12.4.1 Item Types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Severity</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CRITICAL</w:t>
            </w:r>
          </w:p>
        </w:tc>
        <w:tc>
          <w:tcPr>
            <w:tcW w:type="dxa" w:w="4819"/>
          </w:tcPr>
          <w:p>
            <w:pPr>
              <w:spacing w:after="20" w:before="20" w:line="240" w:lineRule="auto"/>
            </w:pPr>
            <w:r/>
            <w:r>
              <w:rPr>
                <w:rFonts w:ascii="Arial" w:hAnsi="Arial" w:cs="Arial"/>
                <w:b w:val="0"/>
                <w:i w:val="0"/>
                <w:sz w:val="17"/>
              </w:rPr>
              <w:t>Blocks a high-quality submission; required field or mandatory requirement missing</w:t>
            </w:r>
          </w:p>
        </w:tc>
      </w:tr>
      <w:tr>
        <w:tc>
          <w:tcPr>
            <w:tcW w:type="dxa" w:w="4819"/>
          </w:tcPr>
          <w:p>
            <w:pPr>
              <w:spacing w:after="20" w:before="20" w:line="240" w:lineRule="auto"/>
            </w:pPr>
            <w:r/>
            <w:r>
              <w:rPr>
                <w:rFonts w:ascii="Arial" w:hAnsi="Arial" w:cs="Arial"/>
                <w:b w:val="0"/>
                <w:i w:val="0"/>
                <w:sz w:val="17"/>
              </w:rPr>
              <w:t>WARNING</w:t>
            </w:r>
          </w:p>
        </w:tc>
        <w:tc>
          <w:tcPr>
            <w:tcW w:type="dxa" w:w="4819"/>
          </w:tcPr>
          <w:p>
            <w:pPr>
              <w:spacing w:after="20" w:before="20" w:line="240" w:lineRule="auto"/>
            </w:pPr>
            <w:r/>
            <w:r>
              <w:rPr>
                <w:rFonts w:ascii="Arial" w:hAnsi="Arial" w:cs="Arial"/>
                <w:b w:val="0"/>
                <w:i w:val="0"/>
                <w:sz w:val="17"/>
              </w:rPr>
              <w:t>Incomplete section; recommended field missing</w:t>
            </w:r>
          </w:p>
        </w:tc>
      </w:tr>
      <w:tr>
        <w:tc>
          <w:tcPr>
            <w:tcW w:type="dxa" w:w="4819"/>
          </w:tcPr>
          <w:p>
            <w:pPr>
              <w:spacing w:after="20" w:before="20" w:line="240" w:lineRule="auto"/>
            </w:pPr>
            <w:r/>
            <w:r>
              <w:rPr>
                <w:rFonts w:ascii="Arial" w:hAnsi="Arial" w:cs="Arial"/>
                <w:b w:val="0"/>
                <w:i w:val="0"/>
                <w:sz w:val="17"/>
              </w:rPr>
              <w:t>RECOMMENDED</w:t>
            </w:r>
          </w:p>
        </w:tc>
        <w:tc>
          <w:tcPr>
            <w:tcW w:type="dxa" w:w="4819"/>
          </w:tcPr>
          <w:p>
            <w:pPr>
              <w:spacing w:after="20" w:before="20" w:line="240" w:lineRule="auto"/>
            </w:pPr>
            <w:r/>
            <w:r>
              <w:rPr>
                <w:rFonts w:ascii="Arial" w:hAnsi="Arial" w:cs="Arial"/>
                <w:b w:val="0"/>
                <w:i w:val="0"/>
                <w:sz w:val="17"/>
              </w:rPr>
              <w:t>Optional improvement identified</w:t>
            </w:r>
          </w:p>
        </w:tc>
      </w:tr>
      <w:tr>
        <w:tc>
          <w:tcPr>
            <w:tcW w:type="dxa" w:w="4819"/>
          </w:tcPr>
          <w:p>
            <w:pPr>
              <w:spacing w:after="20" w:before="20" w:line="240" w:lineRule="auto"/>
            </w:pPr>
            <w:r/>
            <w:r>
              <w:rPr>
                <w:rFonts w:ascii="Arial" w:hAnsi="Arial" w:cs="Arial"/>
                <w:b w:val="0"/>
                <w:i w:val="0"/>
                <w:sz w:val="17"/>
              </w:rPr>
              <w:t>QUALITY</w:t>
            </w:r>
          </w:p>
        </w:tc>
        <w:tc>
          <w:tcPr>
            <w:tcW w:type="dxa" w:w="4819"/>
          </w:tcPr>
          <w:p>
            <w:pPr>
              <w:spacing w:after="20" w:before="20" w:line="240" w:lineRule="auto"/>
            </w:pPr>
            <w:r/>
            <w:r>
              <w:rPr>
                <w:rFonts w:ascii="Arial" w:hAnsi="Arial" w:cs="Arial"/>
                <w:b w:val="0"/>
                <w:i w:val="0"/>
                <w:sz w:val="17"/>
              </w:rPr>
              <w:t>AI-detected quality issue (e.g., unrealistic timeline)</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6.12.4.2 Detection Logic</w:t>
      </w:r>
    </w:p>
    <w:p>
      <w:pPr>
        <w:spacing w:after="0" w:before="0" w:line="240" w:lineRule="auto"/>
        <w:ind w:left="57"/>
        <w:jc w:val="left"/>
        <w:shd w:val="clear" w:fill="F2F2F2"/>
      </w:pPr>
      <w:r>
        <w:rPr>
          <w:rFonts w:ascii="Consolas" w:hAnsi="Consolas" w:cs="Consolas"/>
          <w:b w:val="0"/>
          <w:i w:val="0"/>
          <w:sz w:val="15"/>
        </w:rPr>
        <w:t>// Pseudo-code: Missing item detection</w:t>
      </w:r>
    </w:p>
    <w:p>
      <w:pPr>
        <w:spacing w:after="0" w:before="0" w:line="240" w:lineRule="auto"/>
        <w:ind w:left="57"/>
        <w:jc w:val="left"/>
        <w:shd w:val="clear" w:fill="F2F2F2"/>
      </w:pPr>
      <w:r>
        <w:rPr>
          <w:rFonts w:ascii="Consolas" w:hAnsi="Consolas" w:cs="Consolas"/>
          <w:b w:val="0"/>
          <w:i w:val="0"/>
          <w:sz w:val="15"/>
        </w:rPr>
        <w:t>fn detect_missing_items(trade_request: &amp;TradeRequest) -&gt; Vec&lt;MissingItem&gt; {</w:t>
      </w:r>
    </w:p>
    <w:p>
      <w:pPr>
        <w:spacing w:after="0" w:before="0" w:line="240" w:lineRule="auto"/>
        <w:ind w:left="57"/>
        <w:jc w:val="left"/>
        <w:shd w:val="clear" w:fill="F2F2F2"/>
      </w:pPr>
      <w:r>
        <w:rPr>
          <w:rFonts w:ascii="Consolas" w:hAnsi="Consolas" w:cs="Consolas"/>
          <w:b w:val="0"/>
          <w:i w:val="0"/>
          <w:sz w:val="15"/>
        </w:rPr>
        <w:t xml:space="preserve">    let mut items = Vec::new();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1. Seller Selection</w:t>
      </w:r>
    </w:p>
    <w:p>
      <w:pPr>
        <w:spacing w:after="0" w:before="0" w:line="240" w:lineRule="auto"/>
        <w:ind w:left="57"/>
        <w:jc w:val="left"/>
        <w:shd w:val="clear" w:fill="F2F2F2"/>
      </w:pPr>
      <w:r>
        <w:rPr>
          <w:rFonts w:ascii="Consolas" w:hAnsi="Consolas" w:cs="Consolas"/>
          <w:b w:val="0"/>
          <w:i w:val="0"/>
          <w:sz w:val="15"/>
        </w:rPr>
        <w:t xml:space="preserve">    if trade_request.seller_gtid.is_none()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MissingSeverity::Critical,</w:t>
      </w:r>
    </w:p>
    <w:p>
      <w:pPr>
        <w:spacing w:after="0" w:before="0" w:line="240" w:lineRule="auto"/>
        <w:ind w:left="57"/>
        <w:jc w:val="left"/>
        <w:shd w:val="clear" w:fill="F2F2F2"/>
      </w:pPr>
      <w:r>
        <w:rPr>
          <w:rFonts w:ascii="Consolas" w:hAnsi="Consolas" w:cs="Consolas"/>
          <w:b w:val="0"/>
          <w:i w:val="0"/>
          <w:sz w:val="15"/>
        </w:rPr>
        <w:t xml:space="preserve">            section: "Seller Selection",</w:t>
      </w:r>
    </w:p>
    <w:p>
      <w:pPr>
        <w:spacing w:after="0" w:before="0" w:line="240" w:lineRule="auto"/>
        <w:ind w:left="57"/>
        <w:jc w:val="left"/>
        <w:shd w:val="clear" w:fill="F2F2F2"/>
      </w:pPr>
      <w:r>
        <w:rPr>
          <w:rFonts w:ascii="Consolas" w:hAnsi="Consolas" w:cs="Consolas"/>
          <w:b w:val="0"/>
          <w:i w:val="0"/>
          <w:sz w:val="15"/>
        </w:rPr>
        <w:t xml:space="preserve">            field: "Seller GTID",</w:t>
      </w:r>
    </w:p>
    <w:p>
      <w:pPr>
        <w:spacing w:after="0" w:before="0" w:line="240" w:lineRule="auto"/>
        <w:ind w:left="57"/>
        <w:jc w:val="left"/>
        <w:shd w:val="clear" w:fill="F2F2F2"/>
      </w:pPr>
      <w:r>
        <w:rPr>
          <w:rFonts w:ascii="Consolas" w:hAnsi="Consolas" w:cs="Consolas"/>
          <w:b w:val="0"/>
          <w:i w:val="0"/>
          <w:sz w:val="15"/>
        </w:rPr>
        <w:t xml:space="preserve">            message: "Seller not selected",</w:t>
      </w:r>
    </w:p>
    <w:p>
      <w:pPr>
        <w:spacing w:after="0" w:before="0" w:line="240" w:lineRule="auto"/>
        <w:ind w:left="57"/>
        <w:jc w:val="left"/>
        <w:shd w:val="clear" w:fill="F2F2F2"/>
      </w:pPr>
      <w:r>
        <w:rPr>
          <w:rFonts w:ascii="Consolas" w:hAnsi="Consolas" w:cs="Consolas"/>
          <w:b w:val="0"/>
          <w:i w:val="0"/>
          <w:sz w:val="15"/>
        </w:rPr>
        <w:t xml:space="preserve">            action_url: "/v1/trade/request/draft?section=seller",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Incoterm</w:t>
      </w:r>
    </w:p>
    <w:p>
      <w:pPr>
        <w:spacing w:after="0" w:before="0" w:line="240" w:lineRule="auto"/>
        <w:ind w:left="57"/>
        <w:jc w:val="left"/>
        <w:shd w:val="clear" w:fill="F2F2F2"/>
      </w:pPr>
      <w:r>
        <w:rPr>
          <w:rFonts w:ascii="Consolas" w:hAnsi="Consolas" w:cs="Consolas"/>
          <w:b w:val="0"/>
          <w:i w:val="0"/>
          <w:sz w:val="15"/>
        </w:rPr>
        <w:t xml:space="preserve">    if trade_request.incoterm.is_none()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MissingSeverity::Critical,</w:t>
      </w:r>
    </w:p>
    <w:p>
      <w:pPr>
        <w:spacing w:after="0" w:before="0" w:line="240" w:lineRule="auto"/>
        <w:ind w:left="57"/>
        <w:jc w:val="left"/>
        <w:shd w:val="clear" w:fill="F2F2F2"/>
      </w:pPr>
      <w:r>
        <w:rPr>
          <w:rFonts w:ascii="Consolas" w:hAnsi="Consolas" w:cs="Consolas"/>
          <w:b w:val="0"/>
          <w:i w:val="0"/>
          <w:sz w:val="15"/>
        </w:rPr>
        <w:t xml:space="preserve">            section: "Incoterm",</w:t>
      </w:r>
    </w:p>
    <w:p>
      <w:pPr>
        <w:spacing w:after="0" w:before="0" w:line="240" w:lineRule="auto"/>
        <w:ind w:left="57"/>
        <w:jc w:val="left"/>
        <w:shd w:val="clear" w:fill="F2F2F2"/>
      </w:pPr>
      <w:r>
        <w:rPr>
          <w:rFonts w:ascii="Consolas" w:hAnsi="Consolas" w:cs="Consolas"/>
          <w:b w:val="0"/>
          <w:i w:val="0"/>
          <w:sz w:val="15"/>
        </w:rPr>
        <w:t xml:space="preserve">            field: "Incoterm",</w:t>
      </w:r>
    </w:p>
    <w:p>
      <w:pPr>
        <w:spacing w:after="0" w:before="0" w:line="240" w:lineRule="auto"/>
        <w:ind w:left="57"/>
        <w:jc w:val="left"/>
        <w:shd w:val="clear" w:fill="F2F2F2"/>
      </w:pPr>
      <w:r>
        <w:rPr>
          <w:rFonts w:ascii="Consolas" w:hAnsi="Consolas" w:cs="Consolas"/>
          <w:b w:val="0"/>
          <w:i w:val="0"/>
          <w:sz w:val="15"/>
        </w:rPr>
        <w:t xml:space="preserve">            message: "Incoterm not selected",</w:t>
      </w:r>
    </w:p>
    <w:p>
      <w:pPr>
        <w:spacing w:after="0" w:before="0" w:line="240" w:lineRule="auto"/>
        <w:ind w:left="57"/>
        <w:jc w:val="left"/>
        <w:shd w:val="clear" w:fill="F2F2F2"/>
      </w:pPr>
      <w:r>
        <w:rPr>
          <w:rFonts w:ascii="Consolas" w:hAnsi="Consolas" w:cs="Consolas"/>
          <w:b w:val="0"/>
          <w:i w:val="0"/>
          <w:sz w:val="15"/>
        </w:rPr>
        <w:t xml:space="preserve">            action_url: "/v1/trade/request/draft?section=incoterm",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Containers</w:t>
      </w:r>
    </w:p>
    <w:p>
      <w:pPr>
        <w:spacing w:after="0" w:before="0" w:line="240" w:lineRule="auto"/>
        <w:ind w:left="57"/>
        <w:jc w:val="left"/>
        <w:shd w:val="clear" w:fill="F2F2F2"/>
      </w:pPr>
      <w:r>
        <w:rPr>
          <w:rFonts w:ascii="Consolas" w:hAnsi="Consolas" w:cs="Consolas"/>
          <w:b w:val="0"/>
          <w:i w:val="0"/>
          <w:sz w:val="15"/>
        </w:rPr>
        <w:t xml:space="preserve">    if trade_request.containers.is_empty()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MissingSeverity::Critical,</w:t>
      </w:r>
    </w:p>
    <w:p>
      <w:pPr>
        <w:spacing w:after="0" w:before="0" w:line="240" w:lineRule="auto"/>
        <w:ind w:left="57"/>
        <w:jc w:val="left"/>
        <w:shd w:val="clear" w:fill="F2F2F2"/>
      </w:pPr>
      <w:r>
        <w:rPr>
          <w:rFonts w:ascii="Consolas" w:hAnsi="Consolas" w:cs="Consolas"/>
          <w:b w:val="0"/>
          <w:i w:val="0"/>
          <w:sz w:val="15"/>
        </w:rPr>
        <w:t xml:space="preserve">            section: "Containers",</w:t>
      </w:r>
    </w:p>
    <w:p>
      <w:pPr>
        <w:spacing w:after="0" w:before="0" w:line="240" w:lineRule="auto"/>
        <w:ind w:left="57"/>
        <w:jc w:val="left"/>
        <w:shd w:val="clear" w:fill="F2F2F2"/>
      </w:pPr>
      <w:r>
        <w:rPr>
          <w:rFonts w:ascii="Consolas" w:hAnsi="Consolas" w:cs="Consolas"/>
          <w:b w:val="0"/>
          <w:i w:val="0"/>
          <w:sz w:val="15"/>
        </w:rPr>
        <w:t xml:space="preserve">            field: "Containers",</w:t>
      </w:r>
    </w:p>
    <w:p>
      <w:pPr>
        <w:spacing w:after="0" w:before="0" w:line="240" w:lineRule="auto"/>
        <w:ind w:left="57"/>
        <w:jc w:val="left"/>
        <w:shd w:val="clear" w:fill="F2F2F2"/>
      </w:pPr>
      <w:r>
        <w:rPr>
          <w:rFonts w:ascii="Consolas" w:hAnsi="Consolas" w:cs="Consolas"/>
          <w:b w:val="0"/>
          <w:i w:val="0"/>
          <w:sz w:val="15"/>
        </w:rPr>
        <w:t xml:space="preserve">            message: "No containers configured",</w:t>
      </w:r>
    </w:p>
    <w:p>
      <w:pPr>
        <w:spacing w:after="0" w:before="0" w:line="240" w:lineRule="auto"/>
        <w:ind w:left="57"/>
        <w:jc w:val="left"/>
        <w:shd w:val="clear" w:fill="F2F2F2"/>
      </w:pPr>
      <w:r>
        <w:rPr>
          <w:rFonts w:ascii="Consolas" w:hAnsi="Consolas" w:cs="Consolas"/>
          <w:b w:val="0"/>
          <w:i w:val="0"/>
          <w:sz w:val="15"/>
        </w:rPr>
        <w:t xml:space="preserve">            action_url: "/v1/trade/request/draft?section=containers",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for (idx, container) in trade_request.containers.iter().enumerate() {</w:t>
      </w:r>
    </w:p>
    <w:p>
      <w:pPr>
        <w:spacing w:after="0" w:before="0" w:line="240" w:lineRule="auto"/>
        <w:ind w:left="57"/>
        <w:jc w:val="left"/>
        <w:shd w:val="clear" w:fill="F2F2F2"/>
      </w:pPr>
      <w:r>
        <w:rPr>
          <w:rFonts w:ascii="Consolas" w:hAnsi="Consolas" w:cs="Consolas"/>
          <w:b w:val="0"/>
          <w:i w:val="0"/>
          <w:sz w:val="15"/>
        </w:rPr>
        <w:t xml:space="preserve">            if container.port_of_discharge.is_empty()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MissingSeverity::Warning,</w:t>
      </w:r>
    </w:p>
    <w:p>
      <w:pPr>
        <w:spacing w:after="0" w:before="0" w:line="240" w:lineRule="auto"/>
        <w:ind w:left="57"/>
        <w:jc w:val="left"/>
        <w:shd w:val="clear" w:fill="F2F2F2"/>
      </w:pPr>
      <w:r>
        <w:rPr>
          <w:rFonts w:ascii="Consolas" w:hAnsi="Consolas" w:cs="Consolas"/>
          <w:b w:val="0"/>
          <w:i w:val="0"/>
          <w:sz w:val="15"/>
        </w:rPr>
        <w:t xml:space="preserve">                    section: "Containers",</w:t>
      </w:r>
    </w:p>
    <w:p>
      <w:pPr>
        <w:spacing w:after="0" w:before="0" w:line="240" w:lineRule="auto"/>
        <w:ind w:left="57"/>
        <w:jc w:val="left"/>
        <w:shd w:val="clear" w:fill="F2F2F2"/>
      </w:pPr>
      <w:r>
        <w:rPr>
          <w:rFonts w:ascii="Consolas" w:hAnsi="Consolas" w:cs="Consolas"/>
          <w:b w:val="0"/>
          <w:i w:val="0"/>
          <w:sz w:val="15"/>
        </w:rPr>
        <w:t xml:space="preserve">                    field: format!("Container {}", idx + 1),</w:t>
      </w:r>
    </w:p>
    <w:p>
      <w:pPr>
        <w:spacing w:after="0" w:before="0" w:line="240" w:lineRule="auto"/>
        <w:ind w:left="57"/>
        <w:jc w:val="left"/>
        <w:shd w:val="clear" w:fill="F2F2F2"/>
      </w:pPr>
      <w:r>
        <w:rPr>
          <w:rFonts w:ascii="Consolas" w:hAnsi="Consolas" w:cs="Consolas"/>
          <w:b w:val="0"/>
          <w:i w:val="0"/>
          <w:sz w:val="15"/>
        </w:rPr>
        <w:t xml:space="preserve">                    message: "Port of discharge not specified",</w:t>
      </w:r>
    </w:p>
    <w:p>
      <w:pPr>
        <w:spacing w:after="0" w:before="0" w:line="240" w:lineRule="auto"/>
        <w:ind w:left="57"/>
        <w:jc w:val="left"/>
        <w:shd w:val="clear" w:fill="F2F2F2"/>
      </w:pPr>
      <w:r>
        <w:rPr>
          <w:rFonts w:ascii="Consolas" w:hAnsi="Consolas" w:cs="Consolas"/>
          <w:b w:val="0"/>
          <w:i w:val="0"/>
          <w:sz w:val="15"/>
        </w:rPr>
        <w:t xml:space="preserve">                    action_url: format!("/v1/trade/request/draft?section=container&amp;id={}", idx),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Commodities &amp; Quantity</w:t>
      </w:r>
    </w:p>
    <w:p>
      <w:pPr>
        <w:spacing w:after="0" w:before="0" w:line="240" w:lineRule="auto"/>
        <w:ind w:left="57"/>
        <w:jc w:val="left"/>
        <w:shd w:val="clear" w:fill="F2F2F2"/>
      </w:pPr>
      <w:r>
        <w:rPr>
          <w:rFonts w:ascii="Consolas" w:hAnsi="Consolas" w:cs="Consolas"/>
          <w:b w:val="0"/>
          <w:i w:val="0"/>
          <w:sz w:val="15"/>
        </w:rPr>
        <w:t xml:space="preserve">    for (idx, commodity) in trade_request.commodities.iter().enumerate() {</w:t>
      </w:r>
    </w:p>
    <w:p>
      <w:pPr>
        <w:spacing w:after="0" w:before="0" w:line="240" w:lineRule="auto"/>
        <w:ind w:left="57"/>
        <w:jc w:val="left"/>
        <w:shd w:val="clear" w:fill="F2F2F2"/>
      </w:pPr>
      <w:r>
        <w:rPr>
          <w:rFonts w:ascii="Consolas" w:hAnsi="Consolas" w:cs="Consolas"/>
          <w:b w:val="0"/>
          <w:i w:val="0"/>
          <w:sz w:val="15"/>
        </w:rPr>
        <w:t xml:space="preserve">        if commodity.hs_code.is_empty()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MissingSeverity::Critical,</w:t>
      </w:r>
    </w:p>
    <w:p>
      <w:pPr>
        <w:spacing w:after="0" w:before="0" w:line="240" w:lineRule="auto"/>
        <w:ind w:left="57"/>
        <w:jc w:val="left"/>
        <w:shd w:val="clear" w:fill="F2F2F2"/>
      </w:pPr>
      <w:r>
        <w:rPr>
          <w:rFonts w:ascii="Consolas" w:hAnsi="Consolas" w:cs="Consolas"/>
          <w:b w:val="0"/>
          <w:i w:val="0"/>
          <w:sz w:val="15"/>
        </w:rPr>
        <w:t xml:space="preserve">                section: "Commodities",</w:t>
      </w:r>
    </w:p>
    <w:p>
      <w:pPr>
        <w:spacing w:after="0" w:before="0" w:line="240" w:lineRule="auto"/>
        <w:ind w:left="57"/>
        <w:jc w:val="left"/>
        <w:shd w:val="clear" w:fill="F2F2F2"/>
      </w:pPr>
      <w:r>
        <w:rPr>
          <w:rFonts w:ascii="Consolas" w:hAnsi="Consolas" w:cs="Consolas"/>
          <w:b w:val="0"/>
          <w:i w:val="0"/>
          <w:sz w:val="15"/>
        </w:rPr>
        <w:t xml:space="preserve">                field: format!("Commodity {}", idx + 1),</w:t>
      </w:r>
    </w:p>
    <w:p>
      <w:pPr>
        <w:spacing w:after="0" w:before="0" w:line="240" w:lineRule="auto"/>
        <w:ind w:left="57"/>
        <w:jc w:val="left"/>
        <w:shd w:val="clear" w:fill="F2F2F2"/>
      </w:pPr>
      <w:r>
        <w:rPr>
          <w:rFonts w:ascii="Consolas" w:hAnsi="Consolas" w:cs="Consolas"/>
          <w:b w:val="0"/>
          <w:i w:val="0"/>
          <w:sz w:val="15"/>
        </w:rPr>
        <w:t xml:space="preserve">                message: "HS code missing",</w:t>
      </w:r>
    </w:p>
    <w:p>
      <w:pPr>
        <w:spacing w:after="0" w:before="0" w:line="240" w:lineRule="auto"/>
        <w:ind w:left="57"/>
        <w:jc w:val="left"/>
        <w:shd w:val="clear" w:fill="F2F2F2"/>
      </w:pPr>
      <w:r>
        <w:rPr>
          <w:rFonts w:ascii="Consolas" w:hAnsi="Consolas" w:cs="Consolas"/>
          <w:b w:val="0"/>
          <w:i w:val="0"/>
          <w:sz w:val="15"/>
        </w:rPr>
        <w:t xml:space="preserve">                action_url: format!("/v1/trade/request/draft?section=commodity&amp;id={}", idx),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if commodity.requested_quantity &lt;= 0.0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MissingSeverity::Critical,</w:t>
      </w:r>
    </w:p>
    <w:p>
      <w:pPr>
        <w:spacing w:after="0" w:before="0" w:line="240" w:lineRule="auto"/>
        <w:ind w:left="57"/>
        <w:jc w:val="left"/>
        <w:shd w:val="clear" w:fill="F2F2F2"/>
      </w:pPr>
      <w:r>
        <w:rPr>
          <w:rFonts w:ascii="Consolas" w:hAnsi="Consolas" w:cs="Consolas"/>
          <w:b w:val="0"/>
          <w:i w:val="0"/>
          <w:sz w:val="15"/>
        </w:rPr>
        <w:t xml:space="preserve">                section: "Commodities",</w:t>
      </w:r>
    </w:p>
    <w:p>
      <w:pPr>
        <w:spacing w:after="0" w:before="0" w:line="240" w:lineRule="auto"/>
        <w:ind w:left="57"/>
        <w:jc w:val="left"/>
        <w:shd w:val="clear" w:fill="F2F2F2"/>
      </w:pPr>
      <w:r>
        <w:rPr>
          <w:rFonts w:ascii="Consolas" w:hAnsi="Consolas" w:cs="Consolas"/>
          <w:b w:val="0"/>
          <w:i w:val="0"/>
          <w:sz w:val="15"/>
        </w:rPr>
        <w:t xml:space="preserve">                field: format!("Commodity {}", idx + 1),</w:t>
      </w:r>
    </w:p>
    <w:p>
      <w:pPr>
        <w:spacing w:after="0" w:before="0" w:line="240" w:lineRule="auto"/>
        <w:ind w:left="57"/>
        <w:jc w:val="left"/>
        <w:shd w:val="clear" w:fill="F2F2F2"/>
      </w:pPr>
      <w:r>
        <w:rPr>
          <w:rFonts w:ascii="Consolas" w:hAnsi="Consolas" w:cs="Consolas"/>
          <w:b w:val="0"/>
          <w:i w:val="0"/>
          <w:sz w:val="15"/>
        </w:rPr>
        <w:t xml:space="preserve">                message: "Quantity not specified",</w:t>
      </w:r>
    </w:p>
    <w:p>
      <w:pPr>
        <w:spacing w:after="0" w:before="0" w:line="240" w:lineRule="auto"/>
        <w:ind w:left="57"/>
        <w:jc w:val="left"/>
        <w:shd w:val="clear" w:fill="F2F2F2"/>
      </w:pPr>
      <w:r>
        <w:rPr>
          <w:rFonts w:ascii="Consolas" w:hAnsi="Consolas" w:cs="Consolas"/>
          <w:b w:val="0"/>
          <w:i w:val="0"/>
          <w:sz w:val="15"/>
        </w:rPr>
        <w:t xml:space="preserve">                action_url: format!("/v1/trade/request/draft?section=quantity&amp;id={}", idx),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if commodity.quantity_tolerance.is_none()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MissingSeverity::Recommended,</w:t>
      </w:r>
    </w:p>
    <w:p>
      <w:pPr>
        <w:spacing w:after="0" w:before="0" w:line="240" w:lineRule="auto"/>
        <w:ind w:left="57"/>
        <w:jc w:val="left"/>
        <w:shd w:val="clear" w:fill="F2F2F2"/>
      </w:pPr>
      <w:r>
        <w:rPr>
          <w:rFonts w:ascii="Consolas" w:hAnsi="Consolas" w:cs="Consolas"/>
          <w:b w:val="0"/>
          <w:i w:val="0"/>
          <w:sz w:val="15"/>
        </w:rPr>
        <w:t xml:space="preserve">                section: "Commodities",</w:t>
      </w:r>
    </w:p>
    <w:p>
      <w:pPr>
        <w:spacing w:after="0" w:before="0" w:line="240" w:lineRule="auto"/>
        <w:ind w:left="57"/>
        <w:jc w:val="left"/>
        <w:shd w:val="clear" w:fill="F2F2F2"/>
      </w:pPr>
      <w:r>
        <w:rPr>
          <w:rFonts w:ascii="Consolas" w:hAnsi="Consolas" w:cs="Consolas"/>
          <w:b w:val="0"/>
          <w:i w:val="0"/>
          <w:sz w:val="15"/>
        </w:rPr>
        <w:t xml:space="preserve">                field: format!("Commodity {}", idx + 1),</w:t>
      </w:r>
    </w:p>
    <w:p>
      <w:pPr>
        <w:spacing w:after="0" w:before="0" w:line="240" w:lineRule="auto"/>
        <w:ind w:left="57"/>
        <w:jc w:val="left"/>
        <w:shd w:val="clear" w:fill="F2F2F2"/>
      </w:pPr>
      <w:r>
        <w:rPr>
          <w:rFonts w:ascii="Consolas" w:hAnsi="Consolas" w:cs="Consolas"/>
          <w:b w:val="0"/>
          <w:i w:val="0"/>
          <w:sz w:val="15"/>
        </w:rPr>
        <w:t xml:space="preserve">                message: "Tolerance not specified (recommended)",</w:t>
      </w:r>
    </w:p>
    <w:p>
      <w:pPr>
        <w:spacing w:after="0" w:before="0" w:line="240" w:lineRule="auto"/>
        <w:ind w:left="57"/>
        <w:jc w:val="left"/>
        <w:shd w:val="clear" w:fill="F2F2F2"/>
      </w:pPr>
      <w:r>
        <w:rPr>
          <w:rFonts w:ascii="Consolas" w:hAnsi="Consolas" w:cs="Consolas"/>
          <w:b w:val="0"/>
          <w:i w:val="0"/>
          <w:sz w:val="15"/>
        </w:rPr>
        <w:t xml:space="preserve">                action_url: format!("/v1/trade/request/draft?section=tolerance&amp;id={}", idx),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Acceptance Criteria — similar logic</w:t>
      </w:r>
    </w:p>
    <w:p>
      <w:pPr>
        <w:spacing w:after="0" w:before="0" w:line="240" w:lineRule="auto"/>
        <w:ind w:left="57"/>
        <w:jc w:val="left"/>
        <w:shd w:val="clear" w:fill="F2F2F2"/>
      </w:pPr>
      <w:r>
        <w:rPr>
          <w:rFonts w:ascii="Consolas" w:hAnsi="Consolas" w:cs="Consolas"/>
          <w:b w:val="0"/>
          <w:i w:val="0"/>
          <w:sz w:val="15"/>
        </w:rPr>
        <w:t xml:space="preserve">    // 6. Documentation — similar logic</w:t>
      </w:r>
    </w:p>
    <w:p>
      <w:pPr>
        <w:spacing w:after="0" w:before="0" w:line="240" w:lineRule="auto"/>
        <w:ind w:left="57"/>
        <w:jc w:val="left"/>
        <w:shd w:val="clear" w:fill="F2F2F2"/>
      </w:pPr>
      <w:r>
        <w:rPr>
          <w:rFonts w:ascii="Consolas" w:hAnsi="Consolas" w:cs="Consolas"/>
          <w:b w:val="0"/>
          <w:i w:val="0"/>
          <w:sz w:val="15"/>
        </w:rPr>
        <w:t xml:space="preserve">    // 7. Transport &amp; Logistics</w:t>
      </w:r>
    </w:p>
    <w:p>
      <w:pPr>
        <w:spacing w:after="0" w:before="0" w:line="240" w:lineRule="auto"/>
        <w:ind w:left="57"/>
        <w:jc w:val="left"/>
        <w:shd w:val="clear" w:fill="F2F2F2"/>
      </w:pPr>
      <w:r>
        <w:rPr>
          <w:rFonts w:ascii="Consolas" w:hAnsi="Consolas" w:cs="Consolas"/>
          <w:b w:val="0"/>
          <w:i w:val="0"/>
          <w:sz w:val="15"/>
        </w:rPr>
        <w:t xml:space="preserve">    if trade_request.transport_mode.is_empty()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MissingSeverity::Critical,</w:t>
      </w:r>
    </w:p>
    <w:p>
      <w:pPr>
        <w:spacing w:after="0" w:before="0" w:line="240" w:lineRule="auto"/>
        <w:ind w:left="57"/>
        <w:jc w:val="left"/>
        <w:shd w:val="clear" w:fill="F2F2F2"/>
      </w:pPr>
      <w:r>
        <w:rPr>
          <w:rFonts w:ascii="Consolas" w:hAnsi="Consolas" w:cs="Consolas"/>
          <w:b w:val="0"/>
          <w:i w:val="0"/>
          <w:sz w:val="15"/>
        </w:rPr>
        <w:t xml:space="preserve">            section: "Transport &amp; Logistics",</w:t>
      </w:r>
    </w:p>
    <w:p>
      <w:pPr>
        <w:spacing w:after="0" w:before="0" w:line="240" w:lineRule="auto"/>
        <w:ind w:left="57"/>
        <w:jc w:val="left"/>
        <w:shd w:val="clear" w:fill="F2F2F2"/>
      </w:pPr>
      <w:r>
        <w:rPr>
          <w:rFonts w:ascii="Consolas" w:hAnsi="Consolas" w:cs="Consolas"/>
          <w:b w:val="0"/>
          <w:i w:val="0"/>
          <w:sz w:val="15"/>
        </w:rPr>
        <w:t xml:space="preserve">            field: "Transport Mode",</w:t>
      </w:r>
    </w:p>
    <w:p>
      <w:pPr>
        <w:spacing w:after="0" w:before="0" w:line="240" w:lineRule="auto"/>
        <w:ind w:left="57"/>
        <w:jc w:val="left"/>
        <w:shd w:val="clear" w:fill="F2F2F2"/>
      </w:pPr>
      <w:r>
        <w:rPr>
          <w:rFonts w:ascii="Consolas" w:hAnsi="Consolas" w:cs="Consolas"/>
          <w:b w:val="0"/>
          <w:i w:val="0"/>
          <w:sz w:val="15"/>
        </w:rPr>
        <w:t xml:space="preserve">            message: "Transport mode not selected",</w:t>
      </w:r>
    </w:p>
    <w:p>
      <w:pPr>
        <w:spacing w:after="0" w:before="0" w:line="240" w:lineRule="auto"/>
        <w:ind w:left="57"/>
        <w:jc w:val="left"/>
        <w:shd w:val="clear" w:fill="F2F2F2"/>
      </w:pPr>
      <w:r>
        <w:rPr>
          <w:rFonts w:ascii="Consolas" w:hAnsi="Consolas" w:cs="Consolas"/>
          <w:b w:val="0"/>
          <w:i w:val="0"/>
          <w:sz w:val="15"/>
        </w:rPr>
        <w:t xml:space="preserve">            action_url: "/v1/trade/request/draft?section=transport",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8. Insurance</w:t>
      </w:r>
    </w:p>
    <w:p>
      <w:pPr>
        <w:spacing w:after="0" w:before="0" w:line="240" w:lineRule="auto"/>
        <w:ind w:left="57"/>
        <w:jc w:val="left"/>
        <w:shd w:val="clear" w:fill="F2F2F2"/>
      </w:pPr>
      <w:r>
        <w:rPr>
          <w:rFonts w:ascii="Consolas" w:hAnsi="Consolas" w:cs="Consolas"/>
          <w:b w:val="0"/>
          <w:i w:val="0"/>
          <w:sz w:val="15"/>
        </w:rPr>
        <w:t xml:space="preserve">    if trade_request.insurance_requirement.is_none()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MissingSeverity::Critical,</w:t>
      </w:r>
    </w:p>
    <w:p>
      <w:pPr>
        <w:spacing w:after="0" w:before="0" w:line="240" w:lineRule="auto"/>
        <w:ind w:left="57"/>
        <w:jc w:val="left"/>
        <w:shd w:val="clear" w:fill="F2F2F2"/>
      </w:pPr>
      <w:r>
        <w:rPr>
          <w:rFonts w:ascii="Consolas" w:hAnsi="Consolas" w:cs="Consolas"/>
          <w:b w:val="0"/>
          <w:i w:val="0"/>
          <w:sz w:val="15"/>
        </w:rPr>
        <w:t xml:space="preserve">            section: "Insurance",</w:t>
      </w:r>
    </w:p>
    <w:p>
      <w:pPr>
        <w:spacing w:after="0" w:before="0" w:line="240" w:lineRule="auto"/>
        <w:ind w:left="57"/>
        <w:jc w:val="left"/>
        <w:shd w:val="clear" w:fill="F2F2F2"/>
      </w:pPr>
      <w:r>
        <w:rPr>
          <w:rFonts w:ascii="Consolas" w:hAnsi="Consolas" w:cs="Consolas"/>
          <w:b w:val="0"/>
          <w:i w:val="0"/>
          <w:sz w:val="15"/>
        </w:rPr>
        <w:t xml:space="preserve">            field: "Insurance Requirement",</w:t>
      </w:r>
    </w:p>
    <w:p>
      <w:pPr>
        <w:spacing w:after="0" w:before="0" w:line="240" w:lineRule="auto"/>
        <w:ind w:left="57"/>
        <w:jc w:val="left"/>
        <w:shd w:val="clear" w:fill="F2F2F2"/>
      </w:pPr>
      <w:r>
        <w:rPr>
          <w:rFonts w:ascii="Consolas" w:hAnsi="Consolas" w:cs="Consolas"/>
          <w:b w:val="0"/>
          <w:i w:val="0"/>
          <w:sz w:val="15"/>
        </w:rPr>
        <w:t xml:space="preserve">            message: "Insurance requirement not specified",</w:t>
      </w:r>
    </w:p>
    <w:p>
      <w:pPr>
        <w:spacing w:after="0" w:before="0" w:line="240" w:lineRule="auto"/>
        <w:ind w:left="57"/>
        <w:jc w:val="left"/>
        <w:shd w:val="clear" w:fill="F2F2F2"/>
      </w:pPr>
      <w:r>
        <w:rPr>
          <w:rFonts w:ascii="Consolas" w:hAnsi="Consolas" w:cs="Consolas"/>
          <w:b w:val="0"/>
          <w:i w:val="0"/>
          <w:sz w:val="15"/>
        </w:rPr>
        <w:t xml:space="preserve">            action_url: "/v1/trade/request/draft?section=insurance",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9. Commercial Settlement</w:t>
      </w:r>
    </w:p>
    <w:p>
      <w:pPr>
        <w:spacing w:after="0" w:before="0" w:line="240" w:lineRule="auto"/>
        <w:ind w:left="57"/>
        <w:jc w:val="left"/>
        <w:shd w:val="clear" w:fill="F2F2F2"/>
      </w:pPr>
      <w:r>
        <w:rPr>
          <w:rFonts w:ascii="Consolas" w:hAnsi="Consolas" w:cs="Consolas"/>
          <w:b w:val="0"/>
          <w:i w:val="0"/>
          <w:sz w:val="15"/>
        </w:rPr>
        <w:t xml:space="preserve">    if trade_request.settlement_structure.is_none()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MissingSeverity::Warning,</w:t>
      </w:r>
    </w:p>
    <w:p>
      <w:pPr>
        <w:spacing w:after="0" w:before="0" w:line="240" w:lineRule="auto"/>
        <w:ind w:left="57"/>
        <w:jc w:val="left"/>
        <w:shd w:val="clear" w:fill="F2F2F2"/>
      </w:pPr>
      <w:r>
        <w:rPr>
          <w:rFonts w:ascii="Consolas" w:hAnsi="Consolas" w:cs="Consolas"/>
          <w:b w:val="0"/>
          <w:i w:val="0"/>
          <w:sz w:val="15"/>
        </w:rPr>
        <w:t xml:space="preserve">            section: "Commercial Settlement",</w:t>
      </w:r>
    </w:p>
    <w:p>
      <w:pPr>
        <w:spacing w:after="0" w:before="0" w:line="240" w:lineRule="auto"/>
        <w:ind w:left="57"/>
        <w:jc w:val="left"/>
        <w:shd w:val="clear" w:fill="F2F2F2"/>
      </w:pPr>
      <w:r>
        <w:rPr>
          <w:rFonts w:ascii="Consolas" w:hAnsi="Consolas" w:cs="Consolas"/>
          <w:b w:val="0"/>
          <w:i w:val="0"/>
          <w:sz w:val="15"/>
        </w:rPr>
        <w:t xml:space="preserve">            field: "Settlement Structure",</w:t>
      </w:r>
    </w:p>
    <w:p>
      <w:pPr>
        <w:spacing w:after="0" w:before="0" w:line="240" w:lineRule="auto"/>
        <w:ind w:left="57"/>
        <w:jc w:val="left"/>
        <w:shd w:val="clear" w:fill="F2F2F2"/>
      </w:pPr>
      <w:r>
        <w:rPr>
          <w:rFonts w:ascii="Consolas" w:hAnsi="Consolas" w:cs="Consolas"/>
          <w:b w:val="0"/>
          <w:i w:val="0"/>
          <w:sz w:val="15"/>
        </w:rPr>
        <w:t xml:space="preserve">            message: "Settlement structure not specified (recommended)",</w:t>
      </w:r>
    </w:p>
    <w:p>
      <w:pPr>
        <w:spacing w:after="0" w:before="0" w:line="240" w:lineRule="auto"/>
        <w:ind w:left="57"/>
        <w:jc w:val="left"/>
        <w:shd w:val="clear" w:fill="F2F2F2"/>
      </w:pPr>
      <w:r>
        <w:rPr>
          <w:rFonts w:ascii="Consolas" w:hAnsi="Consolas" w:cs="Consolas"/>
          <w:b w:val="0"/>
          <w:i w:val="0"/>
          <w:sz w:val="15"/>
        </w:rPr>
        <w:t xml:space="preserve">            action_url: "/v1/trade/request/draft?section=settlement",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10. Quality assessment (A2, XGBoost)</w:t>
      </w:r>
    </w:p>
    <w:p>
      <w:pPr>
        <w:spacing w:after="0" w:before="0" w:line="240" w:lineRule="auto"/>
        <w:ind w:left="57"/>
        <w:jc w:val="left"/>
        <w:shd w:val="clear" w:fill="F2F2F2"/>
      </w:pPr>
      <w:r>
        <w:rPr>
          <w:rFonts w:ascii="Consolas" w:hAnsi="Consolas" w:cs="Consolas"/>
          <w:b w:val="0"/>
          <w:i w:val="0"/>
          <w:sz w:val="15"/>
        </w:rPr>
        <w:t xml:space="preserve">    let quality_issues = ai_readiness_engine.assess_quality(trade_request);</w:t>
      </w:r>
    </w:p>
    <w:p>
      <w:pPr>
        <w:spacing w:after="0" w:before="0" w:line="240" w:lineRule="auto"/>
        <w:ind w:left="57"/>
        <w:jc w:val="left"/>
        <w:shd w:val="clear" w:fill="F2F2F2"/>
      </w:pPr>
      <w:r>
        <w:rPr>
          <w:rFonts w:ascii="Consolas" w:hAnsi="Consolas" w:cs="Consolas"/>
          <w:b w:val="0"/>
          <w:i w:val="0"/>
          <w:sz w:val="15"/>
        </w:rPr>
        <w:t xml:space="preserve">    for issue in quality_issues {</w:t>
      </w:r>
    </w:p>
    <w:p>
      <w:pPr>
        <w:spacing w:after="0" w:before="0" w:line="240" w:lineRule="auto"/>
        <w:ind w:left="57"/>
        <w:jc w:val="left"/>
        <w:shd w:val="clear" w:fill="F2F2F2"/>
      </w:pPr>
      <w:r>
        <w:rPr>
          <w:rFonts w:ascii="Consolas" w:hAnsi="Consolas" w:cs="Consolas"/>
          <w:b w:val="0"/>
          <w:i w:val="0"/>
          <w:sz w:val="15"/>
        </w:rPr>
        <w:t xml:space="preserve">        items.push(MissingItem {</w:t>
      </w:r>
    </w:p>
    <w:p>
      <w:pPr>
        <w:spacing w:after="0" w:before="0" w:line="240" w:lineRule="auto"/>
        <w:ind w:left="57"/>
        <w:jc w:val="left"/>
        <w:shd w:val="clear" w:fill="F2F2F2"/>
      </w:pPr>
      <w:r>
        <w:rPr>
          <w:rFonts w:ascii="Consolas" w:hAnsi="Consolas" w:cs="Consolas"/>
          <w:b w:val="0"/>
          <w:i w:val="0"/>
          <w:sz w:val="15"/>
        </w:rPr>
        <w:t xml:space="preserve">            severity: MissingSeverity::Quality,</w:t>
      </w:r>
    </w:p>
    <w:p>
      <w:pPr>
        <w:spacing w:after="0" w:before="0" w:line="240" w:lineRule="auto"/>
        <w:ind w:left="57"/>
        <w:jc w:val="left"/>
        <w:shd w:val="clear" w:fill="F2F2F2"/>
      </w:pPr>
      <w:r>
        <w:rPr>
          <w:rFonts w:ascii="Consolas" w:hAnsi="Consolas" w:cs="Consolas"/>
          <w:b w:val="0"/>
          <w:i w:val="0"/>
          <w:sz w:val="15"/>
        </w:rPr>
        <w:t xml:space="preserve">            section: issue.section,</w:t>
      </w:r>
    </w:p>
    <w:p>
      <w:pPr>
        <w:spacing w:after="0" w:before="0" w:line="240" w:lineRule="auto"/>
        <w:ind w:left="57"/>
        <w:jc w:val="left"/>
        <w:shd w:val="clear" w:fill="F2F2F2"/>
      </w:pPr>
      <w:r>
        <w:rPr>
          <w:rFonts w:ascii="Consolas" w:hAnsi="Consolas" w:cs="Consolas"/>
          <w:b w:val="0"/>
          <w:i w:val="0"/>
          <w:sz w:val="15"/>
        </w:rPr>
        <w:t xml:space="preserve">            field: issue.field,</w:t>
      </w:r>
    </w:p>
    <w:p>
      <w:pPr>
        <w:spacing w:after="0" w:before="0" w:line="240" w:lineRule="auto"/>
        <w:ind w:left="57"/>
        <w:jc w:val="left"/>
        <w:shd w:val="clear" w:fill="F2F2F2"/>
      </w:pPr>
      <w:r>
        <w:rPr>
          <w:rFonts w:ascii="Consolas" w:hAnsi="Consolas" w:cs="Consolas"/>
          <w:b w:val="0"/>
          <w:i w:val="0"/>
          <w:sz w:val="15"/>
        </w:rPr>
        <w:t xml:space="preserve">            message: issue.message,</w:t>
      </w:r>
    </w:p>
    <w:p>
      <w:pPr>
        <w:spacing w:after="0" w:before="0" w:line="240" w:lineRule="auto"/>
        <w:ind w:left="57"/>
        <w:jc w:val="left"/>
        <w:shd w:val="clear" w:fill="F2F2F2"/>
      </w:pPr>
      <w:r>
        <w:rPr>
          <w:rFonts w:ascii="Consolas" w:hAnsi="Consolas" w:cs="Consolas"/>
          <w:b w:val="0"/>
          <w:i w:val="0"/>
          <w:sz w:val="15"/>
        </w:rPr>
        <w:t xml:space="preserve">            action_url: issue.action_url,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items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6.12.5 AI Quality Assessment (A2, XGBoost)</w:t>
      </w:r>
    </w:p>
    <w:p>
      <w:pPr>
        <w:keepNext/>
        <w:spacing w:before="140" w:after="60"/>
        <w:outlineLvl w:val="3"/>
      </w:pPr>
      <w:r>
        <w:rPr>
          <w:rFonts w:ascii="Arial" w:hAnsi="Arial" w:cs="Arial"/>
          <w:b/>
          <w:i/>
          <w:color w:val="333333"/>
          <w:sz w:val="22"/>
        </w:rPr>
        <w:t>6.12.5.1 Quality Dimensions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Dimension</w:t>
            </w:r>
          </w:p>
        </w:tc>
        <w:tc>
          <w:tcPr>
            <w:tcW w:type="dxa" w:w="4819"/>
            <w:shd w:val="clear" w:fill="D9E2F3"/>
          </w:tcPr>
          <w:p>
            <w:pPr>
              <w:spacing w:after="20" w:before="20" w:line="240" w:lineRule="auto"/>
            </w:pPr>
            <w:r/>
            <w:r>
              <w:rPr>
                <w:rFonts w:ascii="Arial" w:hAnsi="Arial" w:cs="Arial"/>
                <w:b/>
                <w:i w:val="0"/>
                <w:sz w:val="18"/>
              </w:rPr>
              <w:t>Assesses</w:t>
            </w:r>
          </w:p>
        </w:tc>
      </w:tr>
      <w:tr>
        <w:tc>
          <w:tcPr>
            <w:tcW w:type="dxa" w:w="4819"/>
          </w:tcPr>
          <w:p>
            <w:pPr>
              <w:spacing w:after="20" w:before="20" w:line="240" w:lineRule="auto"/>
            </w:pPr>
            <w:r/>
            <w:r>
              <w:rPr>
                <w:rFonts w:ascii="Arial" w:hAnsi="Arial" w:cs="Arial"/>
                <w:b w:val="0"/>
                <w:i w:val="0"/>
                <w:sz w:val="17"/>
              </w:rPr>
              <w:t>timeline_realism</w:t>
            </w:r>
          </w:p>
        </w:tc>
        <w:tc>
          <w:tcPr>
            <w:tcW w:type="dxa" w:w="4819"/>
          </w:tcPr>
          <w:p>
            <w:pPr>
              <w:spacing w:after="20" w:before="20" w:line="240" w:lineRule="auto"/>
            </w:pPr>
            <w:r/>
            <w:r>
              <w:rPr>
                <w:rFonts w:ascii="Arial" w:hAnsi="Arial" w:cs="Arial"/>
                <w:b w:val="0"/>
                <w:i w:val="0"/>
                <w:sz w:val="17"/>
              </w:rPr>
              <w:t>Whether the delivery window is realistic for the mode and route</w:t>
            </w:r>
          </w:p>
        </w:tc>
      </w:tr>
      <w:tr>
        <w:tc>
          <w:tcPr>
            <w:tcW w:type="dxa" w:w="4819"/>
          </w:tcPr>
          <w:p>
            <w:pPr>
              <w:spacing w:after="20" w:before="20" w:line="240" w:lineRule="auto"/>
            </w:pPr>
            <w:r/>
            <w:r>
              <w:rPr>
                <w:rFonts w:ascii="Arial" w:hAnsi="Arial" w:cs="Arial"/>
                <w:b w:val="0"/>
                <w:i w:val="0"/>
                <w:sz w:val="17"/>
              </w:rPr>
              <w:t>specification_clarity</w:t>
            </w:r>
          </w:p>
        </w:tc>
        <w:tc>
          <w:tcPr>
            <w:tcW w:type="dxa" w:w="4819"/>
          </w:tcPr>
          <w:p>
            <w:pPr>
              <w:spacing w:after="20" w:before="20" w:line="240" w:lineRule="auto"/>
            </w:pPr>
            <w:r/>
            <w:r>
              <w:rPr>
                <w:rFonts w:ascii="Arial" w:hAnsi="Arial" w:cs="Arial"/>
                <w:b w:val="0"/>
                <w:i w:val="0"/>
                <w:sz w:val="17"/>
              </w:rPr>
              <w:t>Whether product specifications are clear and complete</w:t>
            </w:r>
          </w:p>
        </w:tc>
      </w:tr>
      <w:tr>
        <w:tc>
          <w:tcPr>
            <w:tcW w:type="dxa" w:w="4819"/>
          </w:tcPr>
          <w:p>
            <w:pPr>
              <w:spacing w:after="20" w:before="20" w:line="240" w:lineRule="auto"/>
            </w:pPr>
            <w:r/>
            <w:r>
              <w:rPr>
                <w:rFonts w:ascii="Arial" w:hAnsi="Arial" w:cs="Arial"/>
                <w:b w:val="0"/>
                <w:i w:val="0"/>
                <w:sz w:val="17"/>
              </w:rPr>
              <w:t>tolerance_reasonableness</w:t>
            </w:r>
          </w:p>
        </w:tc>
        <w:tc>
          <w:tcPr>
            <w:tcW w:type="dxa" w:w="4819"/>
          </w:tcPr>
          <w:p>
            <w:pPr>
              <w:spacing w:after="20" w:before="20" w:line="240" w:lineRule="auto"/>
            </w:pPr>
            <w:r/>
            <w:r>
              <w:rPr>
                <w:rFonts w:ascii="Arial" w:hAnsi="Arial" w:cs="Arial"/>
                <w:b w:val="0"/>
                <w:i w:val="0"/>
                <w:sz w:val="17"/>
              </w:rPr>
              <w:t>Whether the tolerance is reasonable for the commodity</w:t>
            </w:r>
          </w:p>
        </w:tc>
      </w:tr>
      <w:tr>
        <w:tc>
          <w:tcPr>
            <w:tcW w:type="dxa" w:w="4819"/>
          </w:tcPr>
          <w:p>
            <w:pPr>
              <w:spacing w:after="20" w:before="20" w:line="240" w:lineRule="auto"/>
            </w:pPr>
            <w:r/>
            <w:r>
              <w:rPr>
                <w:rFonts w:ascii="Arial" w:hAnsi="Arial" w:cs="Arial"/>
                <w:b w:val="0"/>
                <w:i w:val="0"/>
                <w:sz w:val="17"/>
              </w:rPr>
              <w:t>documentation_completeness</w:t>
            </w:r>
          </w:p>
        </w:tc>
        <w:tc>
          <w:tcPr>
            <w:tcW w:type="dxa" w:w="4819"/>
          </w:tcPr>
          <w:p>
            <w:pPr>
              <w:spacing w:after="20" w:before="20" w:line="240" w:lineRule="auto"/>
            </w:pPr>
            <w:r/>
            <w:r>
              <w:rPr>
                <w:rFonts w:ascii="Arial" w:hAnsi="Arial" w:cs="Arial"/>
                <w:b w:val="0"/>
                <w:i w:val="0"/>
                <w:sz w:val="17"/>
              </w:rPr>
              <w:t>Whether required documents are specified</w:t>
            </w:r>
          </w:p>
        </w:tc>
      </w:tr>
      <w:tr>
        <w:tc>
          <w:tcPr>
            <w:tcW w:type="dxa" w:w="4819"/>
          </w:tcPr>
          <w:p>
            <w:pPr>
              <w:spacing w:after="20" w:before="20" w:line="240" w:lineRule="auto"/>
            </w:pPr>
            <w:r/>
            <w:r>
              <w:rPr>
                <w:rFonts w:ascii="Arial" w:hAnsi="Arial" w:cs="Arial"/>
                <w:b w:val="0"/>
                <w:i w:val="0"/>
                <w:sz w:val="17"/>
              </w:rPr>
              <w:t>settlement_alignment</w:t>
            </w:r>
          </w:p>
        </w:tc>
        <w:tc>
          <w:tcPr>
            <w:tcW w:type="dxa" w:w="4819"/>
          </w:tcPr>
          <w:p>
            <w:pPr>
              <w:spacing w:after="20" w:before="20" w:line="240" w:lineRule="auto"/>
            </w:pPr>
            <w:r/>
            <w:r>
              <w:rPr>
                <w:rFonts w:ascii="Arial" w:hAnsi="Arial" w:cs="Arial"/>
                <w:b w:val="0"/>
                <w:i w:val="0"/>
                <w:sz w:val="17"/>
              </w:rPr>
              <w:t>Whether the settlement structure fits the incoterm</w:t>
            </w:r>
          </w:p>
        </w:tc>
      </w:tr>
      <w:tr>
        <w:tc>
          <w:tcPr>
            <w:tcW w:type="dxa" w:w="4819"/>
          </w:tcPr>
          <w:p>
            <w:pPr>
              <w:spacing w:after="20" w:before="20" w:line="240" w:lineRule="auto"/>
            </w:pPr>
            <w:r/>
            <w:r>
              <w:rPr>
                <w:rFonts w:ascii="Arial" w:hAnsi="Arial" w:cs="Arial"/>
                <w:b w:val="0"/>
                <w:i w:val="0"/>
                <w:sz w:val="17"/>
              </w:rPr>
              <w:t>insurance_appropriateness</w:t>
            </w:r>
          </w:p>
        </w:tc>
        <w:tc>
          <w:tcPr>
            <w:tcW w:type="dxa" w:w="4819"/>
          </w:tcPr>
          <w:p>
            <w:pPr>
              <w:spacing w:after="20" w:before="20" w:line="240" w:lineRule="auto"/>
            </w:pPr>
            <w:r/>
            <w:r>
              <w:rPr>
                <w:rFonts w:ascii="Arial" w:hAnsi="Arial" w:cs="Arial"/>
                <w:b w:val="0"/>
                <w:i w:val="0"/>
                <w:sz w:val="17"/>
              </w:rPr>
              <w:t>Whether insurance is specified when appropriate</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6.12.5.2 Quality Assessment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"quality_score": 0.85,</w:t>
      </w:r>
    </w:p>
    <w:p>
      <w:pPr>
        <w:spacing w:after="0" w:before="0" w:line="240" w:lineRule="auto"/>
        <w:ind w:left="57"/>
        <w:jc w:val="left"/>
        <w:shd w:val="clear" w:fill="F2F2F2"/>
      </w:pPr>
      <w:r>
        <w:rPr>
          <w:rFonts w:ascii="Consolas" w:hAnsi="Consolas" w:cs="Consolas"/>
          <w:b w:val="0"/>
          <w:i w:val="0"/>
          <w:sz w:val="15"/>
        </w:rPr>
        <w:t xml:space="preserve">  "confidence": 0.92,</w:t>
      </w:r>
    </w:p>
    <w:p>
      <w:pPr>
        <w:spacing w:after="0" w:before="0" w:line="240" w:lineRule="auto"/>
        <w:ind w:left="57"/>
        <w:jc w:val="left"/>
        <w:shd w:val="clear" w:fill="F2F2F2"/>
      </w:pPr>
      <w:r>
        <w:rPr>
          <w:rFonts w:ascii="Consolas" w:hAnsi="Consolas" w:cs="Consolas"/>
          <w:b w:val="0"/>
          <w:i w:val="0"/>
          <w:sz w:val="15"/>
        </w:rPr>
        <w:t xml:space="preserve">  "dimensions": {</w:t>
      </w:r>
    </w:p>
    <w:p>
      <w:pPr>
        <w:spacing w:after="0" w:before="0" w:line="240" w:lineRule="auto"/>
        <w:ind w:left="57"/>
        <w:jc w:val="left"/>
        <w:shd w:val="clear" w:fill="F2F2F2"/>
      </w:pPr>
      <w:r>
        <w:rPr>
          <w:rFonts w:ascii="Consolas" w:hAnsi="Consolas" w:cs="Consolas"/>
          <w:b w:val="0"/>
          <w:i w:val="0"/>
          <w:sz w:val="15"/>
        </w:rPr>
        <w:t xml:space="preserve">    "timeline_realism": {</w:t>
      </w:r>
    </w:p>
    <w:p>
      <w:pPr>
        <w:spacing w:after="0" w:before="0" w:line="240" w:lineRule="auto"/>
        <w:ind w:left="57"/>
        <w:jc w:val="left"/>
        <w:shd w:val="clear" w:fill="F2F2F2"/>
      </w:pPr>
      <w:r>
        <w:rPr>
          <w:rFonts w:ascii="Consolas" w:hAnsi="Consolas" w:cs="Consolas"/>
          <w:b w:val="0"/>
          <w:i w:val="0"/>
          <w:sz w:val="15"/>
        </w:rPr>
        <w:t xml:space="preserve">      "score": 0.90,</w:t>
      </w:r>
    </w:p>
    <w:p>
      <w:pPr>
        <w:spacing w:after="0" w:before="0" w:line="240" w:lineRule="auto"/>
        <w:ind w:left="57"/>
        <w:jc w:val="left"/>
        <w:shd w:val="clear" w:fill="F2F2F2"/>
      </w:pPr>
      <w:r>
        <w:rPr>
          <w:rFonts w:ascii="Consolas" w:hAnsi="Consolas" w:cs="Consolas"/>
          <w:b w:val="0"/>
          <w:i w:val="0"/>
          <w:sz w:val="15"/>
        </w:rPr>
        <w:t xml:space="preserve">      "status": "REALISTIC",</w:t>
      </w:r>
    </w:p>
    <w:p>
      <w:pPr>
        <w:spacing w:after="0" w:before="0" w:line="240" w:lineRule="auto"/>
        <w:ind w:left="57"/>
        <w:jc w:val="left"/>
        <w:shd w:val="clear" w:fill="F2F2F2"/>
      </w:pPr>
      <w:r>
        <w:rPr>
          <w:rFonts w:ascii="Consolas" w:hAnsi="Consolas" w:cs="Consolas"/>
          <w:b w:val="0"/>
          <w:i w:val="0"/>
          <w:sz w:val="15"/>
        </w:rPr>
        <w:t xml:space="preserve">      "details": "Delivery window of 14-20 days is realistic for ocean freight (Alexandria → Hamburg)"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"specification_clarity": {</w:t>
      </w:r>
    </w:p>
    <w:p>
      <w:pPr>
        <w:spacing w:after="0" w:before="0" w:line="240" w:lineRule="auto"/>
        <w:ind w:left="57"/>
        <w:jc w:val="left"/>
        <w:shd w:val="clear" w:fill="F2F2F2"/>
      </w:pPr>
      <w:r>
        <w:rPr>
          <w:rFonts w:ascii="Consolas" w:hAnsi="Consolas" w:cs="Consolas"/>
          <w:b w:val="0"/>
          <w:i w:val="0"/>
          <w:sz w:val="15"/>
        </w:rPr>
        <w:t xml:space="preserve">      "score": 0.95,</w:t>
      </w:r>
    </w:p>
    <w:p>
      <w:pPr>
        <w:spacing w:after="0" w:before="0" w:line="240" w:lineRule="auto"/>
        <w:ind w:left="57"/>
        <w:jc w:val="left"/>
        <w:shd w:val="clear" w:fill="F2F2F2"/>
      </w:pPr>
      <w:r>
        <w:rPr>
          <w:rFonts w:ascii="Consolas" w:hAnsi="Consolas" w:cs="Consolas"/>
          <w:b w:val="0"/>
          <w:i w:val="0"/>
          <w:sz w:val="15"/>
        </w:rPr>
        <w:t xml:space="preserve">      "status": "CLEAR",</w:t>
      </w:r>
    </w:p>
    <w:p>
      <w:pPr>
        <w:spacing w:after="0" w:before="0" w:line="240" w:lineRule="auto"/>
        <w:ind w:left="57"/>
        <w:jc w:val="left"/>
        <w:shd w:val="clear" w:fill="F2F2F2"/>
      </w:pPr>
      <w:r>
        <w:rPr>
          <w:rFonts w:ascii="Consolas" w:hAnsi="Consolas" w:cs="Consolas"/>
          <w:b w:val="0"/>
          <w:i w:val="0"/>
          <w:sz w:val="15"/>
        </w:rPr>
        <w:t xml:space="preserve">      "details": "Product specifications are clear and complete"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"tolerance_reasonableness": {</w:t>
      </w:r>
    </w:p>
    <w:p>
      <w:pPr>
        <w:spacing w:after="0" w:before="0" w:line="240" w:lineRule="auto"/>
        <w:ind w:left="57"/>
        <w:jc w:val="left"/>
        <w:shd w:val="clear" w:fill="F2F2F2"/>
      </w:pPr>
      <w:r>
        <w:rPr>
          <w:rFonts w:ascii="Consolas" w:hAnsi="Consolas" w:cs="Consolas"/>
          <w:b w:val="0"/>
          <w:i w:val="0"/>
          <w:sz w:val="15"/>
        </w:rPr>
        <w:t xml:space="preserve">      "score": 0.80,</w:t>
      </w:r>
    </w:p>
    <w:p>
      <w:pPr>
        <w:spacing w:after="0" w:before="0" w:line="240" w:lineRule="auto"/>
        <w:ind w:left="57"/>
        <w:jc w:val="left"/>
        <w:shd w:val="clear" w:fill="F2F2F2"/>
      </w:pPr>
      <w:r>
        <w:rPr>
          <w:rFonts w:ascii="Consolas" w:hAnsi="Consolas" w:cs="Consolas"/>
          <w:b w:val="0"/>
          <w:i w:val="0"/>
          <w:sz w:val="15"/>
        </w:rPr>
        <w:t xml:space="preserve">      "status": "REASONABLE",</w:t>
      </w:r>
    </w:p>
    <w:p>
      <w:pPr>
        <w:spacing w:after="0" w:before="0" w:line="240" w:lineRule="auto"/>
        <w:ind w:left="57"/>
        <w:jc w:val="left"/>
        <w:shd w:val="clear" w:fill="F2F2F2"/>
      </w:pPr>
      <w:r>
        <w:rPr>
          <w:rFonts w:ascii="Consolas" w:hAnsi="Consolas" w:cs="Consolas"/>
          <w:b w:val="0"/>
          <w:i w:val="0"/>
          <w:sz w:val="15"/>
        </w:rPr>
        <w:t xml:space="preserve">      "details": "Tolerance of ±5% is reasonable for fresh fruit"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"documentation_completeness": {</w:t>
      </w:r>
    </w:p>
    <w:p>
      <w:pPr>
        <w:spacing w:after="0" w:before="0" w:line="240" w:lineRule="auto"/>
        <w:ind w:left="57"/>
        <w:jc w:val="left"/>
        <w:shd w:val="clear" w:fill="F2F2F2"/>
      </w:pPr>
      <w:r>
        <w:rPr>
          <w:rFonts w:ascii="Consolas" w:hAnsi="Consolas" w:cs="Consolas"/>
          <w:b w:val="0"/>
          <w:i w:val="0"/>
          <w:sz w:val="15"/>
        </w:rPr>
        <w:t xml:space="preserve">      "score": 0.70,</w:t>
      </w:r>
    </w:p>
    <w:p>
      <w:pPr>
        <w:spacing w:after="0" w:before="0" w:line="240" w:lineRule="auto"/>
        <w:ind w:left="57"/>
        <w:jc w:val="left"/>
        <w:shd w:val="clear" w:fill="F2F2F2"/>
      </w:pPr>
      <w:r>
        <w:rPr>
          <w:rFonts w:ascii="Consolas" w:hAnsi="Consolas" w:cs="Consolas"/>
          <w:b w:val="0"/>
          <w:i w:val="0"/>
          <w:sz w:val="15"/>
        </w:rPr>
        <w:t xml:space="preserve">      "status": "INCOMPLETE",</w:t>
      </w:r>
    </w:p>
    <w:p>
      <w:pPr>
        <w:spacing w:after="0" w:before="0" w:line="240" w:lineRule="auto"/>
        <w:ind w:left="57"/>
        <w:jc w:val="left"/>
        <w:shd w:val="clear" w:fill="F2F2F2"/>
      </w:pPr>
      <w:r>
        <w:rPr>
          <w:rFonts w:ascii="Consolas" w:hAnsi="Consolas" w:cs="Consolas"/>
          <w:b w:val="0"/>
          <w:i w:val="0"/>
          <w:sz w:val="15"/>
        </w:rPr>
        <w:t xml:space="preserve">      "details": "Phytosanitary certificate missing from document requirements"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"settlement_alignment": {</w:t>
      </w:r>
    </w:p>
    <w:p>
      <w:pPr>
        <w:spacing w:after="0" w:before="0" w:line="240" w:lineRule="auto"/>
        <w:ind w:left="57"/>
        <w:jc w:val="left"/>
        <w:shd w:val="clear" w:fill="F2F2F2"/>
      </w:pPr>
      <w:r>
        <w:rPr>
          <w:rFonts w:ascii="Consolas" w:hAnsi="Consolas" w:cs="Consolas"/>
          <w:b w:val="0"/>
          <w:i w:val="0"/>
          <w:sz w:val="15"/>
        </w:rPr>
        <w:t xml:space="preserve">      "score": 0.95,</w:t>
      </w:r>
    </w:p>
    <w:p>
      <w:pPr>
        <w:spacing w:after="0" w:before="0" w:line="240" w:lineRule="auto"/>
        <w:ind w:left="57"/>
        <w:jc w:val="left"/>
        <w:shd w:val="clear" w:fill="F2F2F2"/>
      </w:pPr>
      <w:r>
        <w:rPr>
          <w:rFonts w:ascii="Consolas" w:hAnsi="Consolas" w:cs="Consolas"/>
          <w:b w:val="0"/>
          <w:i w:val="0"/>
          <w:sz w:val="15"/>
        </w:rPr>
        <w:t xml:space="preserve">      "status": "ALIGNED",</w:t>
      </w:r>
    </w:p>
    <w:p>
      <w:pPr>
        <w:spacing w:after="0" w:before="0" w:line="240" w:lineRule="auto"/>
        <w:ind w:left="57"/>
        <w:jc w:val="left"/>
        <w:shd w:val="clear" w:fill="F2F2F2"/>
      </w:pPr>
      <w:r>
        <w:rPr>
          <w:rFonts w:ascii="Consolas" w:hAnsi="Consolas" w:cs="Consolas"/>
          <w:b w:val="0"/>
          <w:i w:val="0"/>
          <w:sz w:val="15"/>
        </w:rPr>
        <w:t xml:space="preserve">      "details": "Documentary Collection is appropriate for CFR incoterm"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"insurance_appropriateness": {</w:t>
      </w:r>
    </w:p>
    <w:p>
      <w:pPr>
        <w:spacing w:after="0" w:before="0" w:line="240" w:lineRule="auto"/>
        <w:ind w:left="57"/>
        <w:jc w:val="left"/>
        <w:shd w:val="clear" w:fill="F2F2F2"/>
      </w:pPr>
      <w:r>
        <w:rPr>
          <w:rFonts w:ascii="Consolas" w:hAnsi="Consolas" w:cs="Consolas"/>
          <w:b w:val="0"/>
          <w:i w:val="0"/>
          <w:sz w:val="15"/>
        </w:rPr>
        <w:t xml:space="preserve">      "score": 0.60,</w:t>
      </w:r>
    </w:p>
    <w:p>
      <w:pPr>
        <w:spacing w:after="0" w:before="0" w:line="240" w:lineRule="auto"/>
        <w:ind w:left="57"/>
        <w:jc w:val="left"/>
        <w:shd w:val="clear" w:fill="F2F2F2"/>
      </w:pPr>
      <w:r>
        <w:rPr>
          <w:rFonts w:ascii="Consolas" w:hAnsi="Consolas" w:cs="Consolas"/>
          <w:b w:val="0"/>
          <w:i w:val="0"/>
          <w:sz w:val="15"/>
        </w:rPr>
        <w:t xml:space="preserve">      "status": "INAPPROPRIATE",</w:t>
      </w:r>
    </w:p>
    <w:p>
      <w:pPr>
        <w:spacing w:after="0" w:before="0" w:line="240" w:lineRule="auto"/>
        <w:ind w:left="57"/>
        <w:jc w:val="left"/>
        <w:shd w:val="clear" w:fill="F2F2F2"/>
      </w:pPr>
      <w:r>
        <w:rPr>
          <w:rFonts w:ascii="Consolas" w:hAnsi="Consolas" w:cs="Consolas"/>
          <w:b w:val="0"/>
          <w:i w:val="0"/>
          <w:sz w:val="15"/>
        </w:rPr>
        <w:t xml:space="preserve">      "details": "Insurance is recommended for CIF incoterm but not specified"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"issues":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"severity": "WARNING",</w:t>
      </w:r>
    </w:p>
    <w:p>
      <w:pPr>
        <w:spacing w:after="0" w:before="0" w:line="240" w:lineRule="auto"/>
        <w:ind w:left="57"/>
        <w:jc w:val="left"/>
        <w:shd w:val="clear" w:fill="F2F2F2"/>
      </w:pPr>
      <w:r>
        <w:rPr>
          <w:rFonts w:ascii="Consolas" w:hAnsi="Consolas" w:cs="Consolas"/>
          <w:b w:val="0"/>
          <w:i w:val="0"/>
          <w:sz w:val="15"/>
        </w:rPr>
        <w:t xml:space="preserve">      "section": "Documentation",</w:t>
      </w:r>
    </w:p>
    <w:p>
      <w:pPr>
        <w:spacing w:after="0" w:before="0" w:line="240" w:lineRule="auto"/>
        <w:ind w:left="57"/>
        <w:jc w:val="left"/>
        <w:shd w:val="clear" w:fill="F2F2F2"/>
      </w:pPr>
      <w:r>
        <w:rPr>
          <w:rFonts w:ascii="Consolas" w:hAnsi="Consolas" w:cs="Consolas"/>
          <w:b w:val="0"/>
          <w:i w:val="0"/>
          <w:sz w:val="15"/>
        </w:rPr>
        <w:t xml:space="preserve">      "field": "Required Documents",</w:t>
      </w:r>
    </w:p>
    <w:p>
      <w:pPr>
        <w:spacing w:after="0" w:before="0" w:line="240" w:lineRule="auto"/>
        <w:ind w:left="57"/>
        <w:jc w:val="left"/>
        <w:shd w:val="clear" w:fill="F2F2F2"/>
      </w:pPr>
      <w:r>
        <w:rPr>
          <w:rFonts w:ascii="Consolas" w:hAnsi="Consolas" w:cs="Consolas"/>
          <w:b w:val="0"/>
          <w:i w:val="0"/>
          <w:sz w:val="15"/>
        </w:rPr>
        <w:t xml:space="preserve">      "message": "Phytosanitary certificate missing from document requirements",</w:t>
      </w:r>
    </w:p>
    <w:p>
      <w:pPr>
        <w:spacing w:after="0" w:before="0" w:line="240" w:lineRule="auto"/>
        <w:ind w:left="57"/>
        <w:jc w:val="left"/>
        <w:shd w:val="clear" w:fill="F2F2F2"/>
      </w:pPr>
      <w:r>
        <w:rPr>
          <w:rFonts w:ascii="Consolas" w:hAnsi="Consolas" w:cs="Consolas"/>
          <w:b w:val="0"/>
          <w:i w:val="0"/>
          <w:sz w:val="15"/>
        </w:rPr>
        <w:t xml:space="preserve">      "action_url": "/v1/trade/request/draft?section=documentation"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"severity": "WARNING",</w:t>
      </w:r>
    </w:p>
    <w:p>
      <w:pPr>
        <w:spacing w:after="0" w:before="0" w:line="240" w:lineRule="auto"/>
        <w:ind w:left="57"/>
        <w:jc w:val="left"/>
        <w:shd w:val="clear" w:fill="F2F2F2"/>
      </w:pPr>
      <w:r>
        <w:rPr>
          <w:rFonts w:ascii="Consolas" w:hAnsi="Consolas" w:cs="Consolas"/>
          <w:b w:val="0"/>
          <w:i w:val="0"/>
          <w:sz w:val="15"/>
        </w:rPr>
        <w:t xml:space="preserve">      "section": "Insurance",</w:t>
      </w:r>
    </w:p>
    <w:p>
      <w:pPr>
        <w:spacing w:after="0" w:before="0" w:line="240" w:lineRule="auto"/>
        <w:ind w:left="57"/>
        <w:jc w:val="left"/>
        <w:shd w:val="clear" w:fill="F2F2F2"/>
      </w:pPr>
      <w:r>
        <w:rPr>
          <w:rFonts w:ascii="Consolas" w:hAnsi="Consolas" w:cs="Consolas"/>
          <w:b w:val="0"/>
          <w:i w:val="0"/>
          <w:sz w:val="15"/>
        </w:rPr>
        <w:t xml:space="preserve">      "field": "Insurance Requirement",</w:t>
      </w:r>
    </w:p>
    <w:p>
      <w:pPr>
        <w:spacing w:after="0" w:before="0" w:line="240" w:lineRule="auto"/>
        <w:ind w:left="57"/>
        <w:jc w:val="left"/>
        <w:shd w:val="clear" w:fill="F2F2F2"/>
      </w:pPr>
      <w:r>
        <w:rPr>
          <w:rFonts w:ascii="Consolas" w:hAnsi="Consolas" w:cs="Consolas"/>
          <w:b w:val="0"/>
          <w:i w:val="0"/>
          <w:sz w:val="15"/>
        </w:rPr>
        <w:t xml:space="preserve">      "message": "Insurance is recommended for CIF incoterm but not specified",</w:t>
      </w:r>
    </w:p>
    <w:p>
      <w:pPr>
        <w:spacing w:after="0" w:before="0" w:line="240" w:lineRule="auto"/>
        <w:ind w:left="57"/>
        <w:jc w:val="left"/>
        <w:shd w:val="clear" w:fill="F2F2F2"/>
      </w:pPr>
      <w:r>
        <w:rPr>
          <w:rFonts w:ascii="Consolas" w:hAnsi="Consolas" w:cs="Consolas"/>
          <w:b w:val="0"/>
          <w:i w:val="0"/>
          <w:sz w:val="15"/>
        </w:rPr>
        <w:t xml:space="preserve">      "action_url": "/v1/trade/request/draft?section=insurance"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6.12.6 Integration with Other Phases</w:t>
      </w:r>
    </w:p>
    <w:p>
      <w:pPr>
        <w:spacing w:after="80" w:line="293" w:lineRule="auto"/>
        <w:jc w:val="left"/>
      </w:pPr>
      <w:r>
        <w:rPr>
          <w:rFonts w:ascii="Times New Roman" w:hAnsi="Times New Roman" w:cs="Times New Roman"/>
          <w:b w:val="0"/>
          <w:i w:val="0"/>
          <w:sz w:val="22"/>
        </w:rPr>
        <w:t>The readiness score is private to the buyer (never shown to the seller); it updates in real time as form sections are completed; low readiness triggers Smart Inbox alerts for the buyer; and the Supplier Attractiveness Score uses readiness as an input when predicting seller response probability.</w:t>
      </w:r>
    </w:p>
    <w:p>
      <w:pPr>
        <w:keepNext/>
        <w:spacing w:before="180" w:after="80"/>
        <w:outlineLvl w:val="2"/>
      </w:pPr>
      <w:r>
        <w:rPr>
          <w:rFonts w:ascii="Arial" w:hAnsi="Arial" w:cs="Arial"/>
          <w:b/>
          <w:i w:val="0"/>
          <w:color w:val="333333"/>
          <w:sz w:val="23"/>
        </w:rPr>
        <w:t>6.12.7 Governor Gates (Readiness)</w:t>
      </w:r>
    </w:p>
    <w:p>
      <w:pPr>
        <w:spacing w:after="80" w:line="293" w:lineRule="auto"/>
        <w:jc w:val="left"/>
      </w:pPr>
      <w:r>
        <w:rPr>
          <w:rFonts w:ascii="Times New Roman" w:hAnsi="Times New Roman" w:cs="Times New Roman"/>
          <w:b w:val="0"/>
          <w:i w:val="0"/>
          <w:sz w:val="22"/>
        </w:rPr>
        <w:t>Readiness is advisory only. It does not block submission. The Governor displays a recommendation but allows the buyer to proceed.</w:t>
      </w:r>
    </w:p>
    <w:p>
      <w:pPr>
        <w:keepNext/>
        <w:spacing w:before="180" w:after="80"/>
        <w:outlineLvl w:val="2"/>
      </w:pPr>
      <w:r>
        <w:rPr>
          <w:rFonts w:ascii="Arial" w:hAnsi="Arial" w:cs="Arial"/>
          <w:b/>
          <w:i w:val="0"/>
          <w:color w:val="333333"/>
          <w:sz w:val="23"/>
        </w:rPr>
        <w:t>6.12.8 Database Schema Additions (Readiness)</w:t>
      </w:r>
    </w:p>
    <w:p>
      <w:pPr>
        <w:spacing w:after="0" w:before="0" w:line="240" w:lineRule="auto"/>
        <w:ind w:left="57"/>
        <w:jc w:val="left"/>
        <w:shd w:val="clear" w:fill="F2F2F2"/>
      </w:pPr>
      <w:r>
        <w:rPr>
          <w:rFonts w:ascii="Consolas" w:hAnsi="Consolas" w:cs="Consolas"/>
          <w:b w:val="0"/>
          <w:i w:val="0"/>
          <w:sz w:val="15"/>
        </w:rPr>
        <w:t>-- Trade Request Readiness scores (stored for historical analysis)</w:t>
      </w:r>
    </w:p>
    <w:p>
      <w:pPr>
        <w:spacing w:after="0" w:before="0" w:line="240" w:lineRule="auto"/>
        <w:ind w:left="57"/>
        <w:jc w:val="left"/>
        <w:shd w:val="clear" w:fill="F2F2F2"/>
      </w:pPr>
      <w:r>
        <w:rPr>
          <w:rFonts w:ascii="Consolas" w:hAnsi="Consolas" w:cs="Consolas"/>
          <w:b w:val="0"/>
          <w:i w:val="0"/>
          <w:sz w:val="15"/>
        </w:rPr>
        <w:t>CREATE TABLE trade_readiness_scores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readiness_score INTEGER NOT NULL, -- 0-100</w:t>
      </w:r>
    </w:p>
    <w:p>
      <w:pPr>
        <w:spacing w:after="0" w:before="0" w:line="240" w:lineRule="auto"/>
        <w:ind w:left="57"/>
        <w:jc w:val="left"/>
        <w:shd w:val="clear" w:fill="F2F2F2"/>
      </w:pPr>
      <w:r>
        <w:rPr>
          <w:rFonts w:ascii="Consolas" w:hAnsi="Consolas" w:cs="Consolas"/>
          <w:b w:val="0"/>
          <w:i w:val="0"/>
          <w:sz w:val="15"/>
        </w:rPr>
        <w:t xml:space="preserve">    quality_score DECIMAL(5,2), -- 0-1</w:t>
      </w:r>
    </w:p>
    <w:p>
      <w:pPr>
        <w:spacing w:after="0" w:before="0" w:line="240" w:lineRule="auto"/>
        <w:ind w:left="57"/>
        <w:jc w:val="left"/>
        <w:shd w:val="clear" w:fill="F2F2F2"/>
      </w:pPr>
      <w:r>
        <w:rPr>
          <w:rFonts w:ascii="Consolas" w:hAnsi="Consolas" w:cs="Consolas"/>
          <w:b w:val="0"/>
          <w:i w:val="0"/>
          <w:sz w:val="15"/>
        </w:rPr>
        <w:t xml:space="preserve">    ai_confidence DECIMAL(5,2), -- 0-1</w:t>
      </w:r>
    </w:p>
    <w:p>
      <w:pPr>
        <w:spacing w:after="0" w:before="0" w:line="240" w:lineRule="auto"/>
        <w:ind w:left="57"/>
        <w:jc w:val="left"/>
        <w:shd w:val="clear" w:fill="F2F2F2"/>
      </w:pPr>
      <w:r>
        <w:rPr>
          <w:rFonts w:ascii="Consolas" w:hAnsi="Consolas" w:cs="Consolas"/>
          <w:b w:val="0"/>
          <w:i w:val="0"/>
          <w:sz w:val="15"/>
        </w:rPr>
        <w:t xml:space="preserve">    components JSONB, -- Component scores</w:t>
      </w:r>
    </w:p>
    <w:p>
      <w:pPr>
        <w:spacing w:after="0" w:before="0" w:line="240" w:lineRule="auto"/>
        <w:ind w:left="57"/>
        <w:jc w:val="left"/>
        <w:shd w:val="clear" w:fill="F2F2F2"/>
      </w:pPr>
      <w:r>
        <w:rPr>
          <w:rFonts w:ascii="Consolas" w:hAnsi="Consolas" w:cs="Consolas"/>
          <w:b w:val="0"/>
          <w:i w:val="0"/>
          <w:sz w:val="15"/>
        </w:rPr>
        <w:t xml:space="preserve">    missing_items JSONB, -- Missing items list</w:t>
      </w:r>
    </w:p>
    <w:p>
      <w:pPr>
        <w:spacing w:after="0" w:before="0" w:line="240" w:lineRule="auto"/>
        <w:ind w:left="57"/>
        <w:jc w:val="left"/>
        <w:shd w:val="clear" w:fill="F2F2F2"/>
      </w:pPr>
      <w:r>
        <w:rPr>
          <w:rFonts w:ascii="Consolas" w:hAnsi="Consolas" w:cs="Consolas"/>
          <w:b w:val="0"/>
          <w:i w:val="0"/>
          <w:sz w:val="15"/>
        </w:rPr>
        <w:t xml:space="preserve">    incomplete_items JSONB, -- Incomplete items list</w:t>
      </w:r>
    </w:p>
    <w:p>
      <w:pPr>
        <w:spacing w:after="0" w:before="0" w:line="240" w:lineRule="auto"/>
        <w:ind w:left="57"/>
        <w:jc w:val="left"/>
        <w:shd w:val="clear" w:fill="F2F2F2"/>
      </w:pPr>
      <w:r>
        <w:rPr>
          <w:rFonts w:ascii="Consolas" w:hAnsi="Consolas" w:cs="Consolas"/>
          <w:b w:val="0"/>
          <w:i w:val="0"/>
          <w:sz w:val="15"/>
        </w:rPr>
        <w:t xml:space="preserve">    quality_issues JSONB, -- Quality issues list</w:t>
      </w:r>
    </w:p>
    <w:p>
      <w:pPr>
        <w:spacing w:after="0" w:before="0" w:line="240" w:lineRule="auto"/>
        <w:ind w:left="57"/>
        <w:jc w:val="left"/>
        <w:shd w:val="clear" w:fill="F2F2F2"/>
      </w:pPr>
      <w:r>
        <w:rPr>
          <w:rFonts w:ascii="Consolas" w:hAnsi="Consolas" w:cs="Consolas"/>
          <w:b w:val="0"/>
          <w:i w:val="0"/>
          <w:sz w:val="15"/>
        </w:rPr>
        <w:t xml:space="preserve">    groq_recommendation TEXT, -- A1-generated recommendation</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Missing items reference table</w:t>
      </w:r>
    </w:p>
    <w:p>
      <w:pPr>
        <w:spacing w:after="0" w:before="0" w:line="240" w:lineRule="auto"/>
        <w:ind w:left="57"/>
        <w:jc w:val="left"/>
        <w:shd w:val="clear" w:fill="F2F2F2"/>
      </w:pPr>
      <w:r>
        <w:rPr>
          <w:rFonts w:ascii="Consolas" w:hAnsi="Consolas" w:cs="Consolas"/>
          <w:b w:val="0"/>
          <w:i w:val="0"/>
          <w:sz w:val="15"/>
        </w:rPr>
        <w:t>CREATE TABLE readiness_missing_items_ref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item_key TEXT UNIQUE NOT NULL,</w:t>
      </w:r>
    </w:p>
    <w:p>
      <w:pPr>
        <w:spacing w:after="0" w:before="0" w:line="240" w:lineRule="auto"/>
        <w:ind w:left="57"/>
        <w:jc w:val="left"/>
        <w:shd w:val="clear" w:fill="F2F2F2"/>
      </w:pPr>
      <w:r>
        <w:rPr>
          <w:rFonts w:ascii="Consolas" w:hAnsi="Consolas" w:cs="Consolas"/>
          <w:b w:val="0"/>
          <w:i w:val="0"/>
          <w:sz w:val="15"/>
        </w:rPr>
        <w:t xml:space="preserve">    item_name TEXT NOT NULL,</w:t>
      </w:r>
    </w:p>
    <w:p>
      <w:pPr>
        <w:spacing w:after="0" w:before="0" w:line="240" w:lineRule="auto"/>
        <w:ind w:left="57"/>
        <w:jc w:val="left"/>
        <w:shd w:val="clear" w:fill="F2F2F2"/>
      </w:pPr>
      <w:r>
        <w:rPr>
          <w:rFonts w:ascii="Consolas" w:hAnsi="Consolas" w:cs="Consolas"/>
          <w:b w:val="0"/>
          <w:i w:val="0"/>
          <w:sz w:val="15"/>
        </w:rPr>
        <w:t xml:space="preserve">    section TEXT NOT NULL,</w:t>
      </w:r>
    </w:p>
    <w:p>
      <w:pPr>
        <w:spacing w:after="0" w:before="0" w:line="240" w:lineRule="auto"/>
        <w:ind w:left="57"/>
        <w:jc w:val="left"/>
        <w:shd w:val="clear" w:fill="F2F2F2"/>
      </w:pPr>
      <w:r>
        <w:rPr>
          <w:rFonts w:ascii="Consolas" w:hAnsi="Consolas" w:cs="Consolas"/>
          <w:b w:val="0"/>
          <w:i w:val="0"/>
          <w:sz w:val="15"/>
        </w:rPr>
        <w:t xml:space="preserve">    severity TEXT NOT NULL, -- 'CRITICAL', 'WARNING', 'RECOMMENDED', 'QUALITY'</w:t>
      </w:r>
    </w:p>
    <w:p>
      <w:pPr>
        <w:spacing w:after="0" w:before="0" w:line="240" w:lineRule="auto"/>
        <w:ind w:left="57"/>
        <w:jc w:val="left"/>
        <w:shd w:val="clear" w:fill="F2F2F2"/>
      </w:pPr>
      <w:r>
        <w:rPr>
          <w:rFonts w:ascii="Consolas" w:hAnsi="Consolas" w:cs="Consolas"/>
          <w:b w:val="0"/>
          <w:i w:val="0"/>
          <w:sz w:val="15"/>
        </w:rPr>
        <w:t xml:space="preserve">    default_message TEXT,</w:t>
      </w:r>
    </w:p>
    <w:p>
      <w:pPr>
        <w:spacing w:after="0" w:before="0" w:line="240" w:lineRule="auto"/>
        <w:ind w:left="57"/>
        <w:jc w:val="left"/>
        <w:shd w:val="clear" w:fill="F2F2F2"/>
      </w:pPr>
      <w:r>
        <w:rPr>
          <w:rFonts w:ascii="Consolas" w:hAnsi="Consolas" w:cs="Consolas"/>
          <w:b w:val="0"/>
          <w:i w:val="0"/>
          <w:sz w:val="15"/>
        </w:rPr>
        <w:t xml:space="preserve">    default_action_url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Readiness quality rules (configurable by Admin)</w:t>
      </w:r>
    </w:p>
    <w:p>
      <w:pPr>
        <w:spacing w:after="0" w:before="0" w:line="240" w:lineRule="auto"/>
        <w:ind w:left="57"/>
        <w:jc w:val="left"/>
        <w:shd w:val="clear" w:fill="F2F2F2"/>
      </w:pPr>
      <w:r>
        <w:rPr>
          <w:rFonts w:ascii="Consolas" w:hAnsi="Consolas" w:cs="Consolas"/>
          <w:b w:val="0"/>
          <w:i w:val="0"/>
          <w:sz w:val="15"/>
        </w:rPr>
        <w:t>CREATE TABLE readiness_quality_rules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rule_type TEXT NOT NULL, -- 'TIMELINE', 'SPECIFICATION', 'TOLERANCE', 'DOCUMENTATION',</w:t>
      </w:r>
    </w:p>
    <w:p>
      <w:pPr>
        <w:spacing w:after="0" w:before="0" w:line="240" w:lineRule="auto"/>
        <w:ind w:left="57"/>
        <w:jc w:val="left"/>
        <w:shd w:val="clear" w:fill="F2F2F2"/>
      </w:pPr>
      <w:r>
        <w:rPr>
          <w:rFonts w:ascii="Consolas" w:hAnsi="Consolas" w:cs="Consolas"/>
          <w:b w:val="0"/>
          <w:i w:val="0"/>
          <w:sz w:val="15"/>
        </w:rPr>
        <w:t xml:space="preserve">                             -- 'SETTLEMENT', 'INSURANCE'</w:t>
      </w:r>
    </w:p>
    <w:p>
      <w:pPr>
        <w:spacing w:after="0" w:before="0" w:line="240" w:lineRule="auto"/>
        <w:ind w:left="57"/>
        <w:jc w:val="left"/>
        <w:shd w:val="clear" w:fill="F2F2F2"/>
      </w:pPr>
      <w:r>
        <w:rPr>
          <w:rFonts w:ascii="Consolas" w:hAnsi="Consolas" w:cs="Consolas"/>
          <w:b w:val="0"/>
          <w:i w:val="0"/>
          <w:sz w:val="15"/>
        </w:rPr>
        <w:t xml:space="preserve">    condition JSONB, -- JSON condition (e.g., {"incoterm": "CIF"})</w:t>
      </w:r>
    </w:p>
    <w:p>
      <w:pPr>
        <w:spacing w:after="0" w:before="0" w:line="240" w:lineRule="auto"/>
        <w:ind w:left="57"/>
        <w:jc w:val="left"/>
        <w:shd w:val="clear" w:fill="F2F2F2"/>
      </w:pPr>
      <w:r>
        <w:rPr>
          <w:rFonts w:ascii="Consolas" w:hAnsi="Consolas" w:cs="Consolas"/>
          <w:b w:val="0"/>
          <w:i w:val="0"/>
          <w:sz w:val="15"/>
        </w:rPr>
        <w:t xml:space="preserve">    message_template TEXT,</w:t>
      </w:r>
    </w:p>
    <w:p>
      <w:pPr>
        <w:spacing w:after="0" w:before="0" w:line="240" w:lineRule="auto"/>
        <w:ind w:left="57"/>
        <w:jc w:val="left"/>
        <w:shd w:val="clear" w:fill="F2F2F2"/>
      </w:pPr>
      <w:r>
        <w:rPr>
          <w:rFonts w:ascii="Consolas" w:hAnsi="Consolas" w:cs="Consolas"/>
          <w:b w:val="0"/>
          <w:i w:val="0"/>
          <w:sz w:val="15"/>
        </w:rPr>
        <w:t xml:space="preserve">    severity TEXT NOT NULL, -- 'WARNING', 'SUGGESTION'</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idx_trade_readiness_scores_request ON trade_readiness_scores(trade_request_id);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idx_trade_readiness_scores_score ON trade_readiness_scores(readiness_score);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idx_trade_readiness_scores_created ON trade_readiness_scores(created_at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6.12.9 Implementation Checklist (Readiness)</w:t>
      </w:r>
    </w:p>
    <w:p>
      <w:pPr>
        <w:keepNext/>
        <w:spacing w:before="140" w:after="60"/>
        <w:outlineLvl w:val="3"/>
      </w:pPr>
      <w:r>
        <w:rPr>
          <w:rFonts w:ascii="Arial" w:hAnsi="Arial" w:cs="Arial"/>
          <w:b/>
          <w:i/>
          <w:color w:val="333333"/>
          <w:sz w:val="22"/>
        </w:rPr>
        <w:t>6.12.9.1 Backend Services</w:t>
      </w:r>
    </w:p>
    <w:p>
      <w:pPr>
        <w:spacing w:after="80" w:line="293" w:lineRule="auto"/>
        <w:ind w:left="283"/>
        <w:jc w:val="left"/>
      </w:pPr>
      <w:r>
        <w:rPr>
          <w:rFonts w:ascii="Times New Roman" w:hAnsi="Times New Roman" w:cs="Times New Roman"/>
          <w:b w:val="0"/>
          <w:i w:val="0"/>
          <w:sz w:val="22"/>
        </w:rPr>
        <w:t>- Implement Trade Request Readiness service (Rust)</w:t>
      </w:r>
    </w:p>
    <w:p>
      <w:pPr>
        <w:spacing w:after="80" w:line="293" w:lineRule="auto"/>
        <w:ind w:left="283"/>
        <w:jc w:val="left"/>
      </w:pPr>
      <w:r>
        <w:rPr>
          <w:rFonts w:ascii="Times New Roman" w:hAnsi="Times New Roman" w:cs="Times New Roman"/>
          <w:b w:val="0"/>
          <w:i w:val="0"/>
          <w:sz w:val="22"/>
        </w:rPr>
        <w:t>- Implement readiness score calculation (A2, XGBoost)</w:t>
      </w:r>
    </w:p>
    <w:p>
      <w:pPr>
        <w:spacing w:after="80" w:line="293" w:lineRule="auto"/>
        <w:ind w:left="283"/>
        <w:jc w:val="left"/>
      </w:pPr>
      <w:r>
        <w:rPr>
          <w:rFonts w:ascii="Times New Roman" w:hAnsi="Times New Roman" w:cs="Times New Roman"/>
          <w:b w:val="0"/>
          <w:i w:val="0"/>
          <w:sz w:val="22"/>
        </w:rPr>
        <w:t>- Implement missing item detection logic</w:t>
      </w:r>
    </w:p>
    <w:p>
      <w:pPr>
        <w:spacing w:after="80" w:line="293" w:lineRule="auto"/>
        <w:ind w:left="283"/>
        <w:jc w:val="left"/>
      </w:pPr>
      <w:r>
        <w:rPr>
          <w:rFonts w:ascii="Times New Roman" w:hAnsi="Times New Roman" w:cs="Times New Roman"/>
          <w:b w:val="0"/>
          <w:i w:val="0"/>
          <w:sz w:val="22"/>
        </w:rPr>
        <w:t>- Implement quality assessment (A2, XGBoost)</w:t>
      </w:r>
    </w:p>
    <w:p>
      <w:pPr>
        <w:spacing w:after="80" w:line="293" w:lineRule="auto"/>
        <w:ind w:left="283"/>
        <w:jc w:val="left"/>
      </w:pPr>
      <w:r>
        <w:rPr>
          <w:rFonts w:ascii="Times New Roman" w:hAnsi="Times New Roman" w:cs="Times New Roman"/>
          <w:b w:val="0"/>
          <w:i w:val="0"/>
          <w:sz w:val="22"/>
        </w:rPr>
        <w:t>- Implement AI recommendation generation (A1, Groq)</w:t>
      </w:r>
    </w:p>
    <w:p>
      <w:pPr>
        <w:keepNext/>
        <w:spacing w:before="140" w:after="60"/>
        <w:outlineLvl w:val="3"/>
      </w:pPr>
      <w:r>
        <w:rPr>
          <w:rFonts w:ascii="Arial" w:hAnsi="Arial" w:cs="Arial"/>
          <w:b/>
          <w:i/>
          <w:color w:val="333333"/>
          <w:sz w:val="22"/>
        </w:rPr>
        <w:t>6.12.9.2 Frontend Components</w:t>
      </w:r>
    </w:p>
    <w:p>
      <w:pPr>
        <w:spacing w:after="80" w:line="293" w:lineRule="auto"/>
        <w:ind w:left="283"/>
        <w:jc w:val="left"/>
      </w:pPr>
      <w:r>
        <w:rPr>
          <w:rFonts w:ascii="Times New Roman" w:hAnsi="Times New Roman" w:cs="Times New Roman"/>
          <w:b w:val="0"/>
          <w:i w:val="0"/>
          <w:sz w:val="22"/>
        </w:rPr>
        <w:t>- Build Trade Request Readiness score component</w:t>
      </w:r>
    </w:p>
    <w:p>
      <w:pPr>
        <w:spacing w:after="80" w:line="293" w:lineRule="auto"/>
        <w:ind w:left="283"/>
        <w:jc w:val="left"/>
      </w:pPr>
      <w:r>
        <w:rPr>
          <w:rFonts w:ascii="Times New Roman" w:hAnsi="Times New Roman" w:cs="Times New Roman"/>
          <w:b w:val="0"/>
          <w:i w:val="0"/>
          <w:sz w:val="22"/>
        </w:rPr>
        <w:t>- Build Readiness Breakdown table</w:t>
      </w:r>
    </w:p>
    <w:p>
      <w:pPr>
        <w:spacing w:after="80" w:line="293" w:lineRule="auto"/>
        <w:ind w:left="283"/>
        <w:jc w:val="left"/>
      </w:pPr>
      <w:r>
        <w:rPr>
          <w:rFonts w:ascii="Times New Roman" w:hAnsi="Times New Roman" w:cs="Times New Roman"/>
          <w:b w:val="0"/>
          <w:i w:val="0"/>
          <w:sz w:val="22"/>
        </w:rPr>
        <w:t>- Build Missing Items list</w:t>
      </w:r>
    </w:p>
    <w:p>
      <w:pPr>
        <w:spacing w:after="80" w:line="293" w:lineRule="auto"/>
        <w:ind w:left="283"/>
        <w:jc w:val="left"/>
      </w:pPr>
      <w:r>
        <w:rPr>
          <w:rFonts w:ascii="Times New Roman" w:hAnsi="Times New Roman" w:cs="Times New Roman"/>
          <w:b w:val="0"/>
          <w:i w:val="0"/>
          <w:sz w:val="22"/>
        </w:rPr>
        <w:t>- Build Improvement Suggestions</w:t>
      </w:r>
    </w:p>
    <w:p>
      <w:pPr>
        <w:spacing w:after="80" w:line="293" w:lineRule="auto"/>
        <w:ind w:left="283"/>
        <w:jc w:val="left"/>
      </w:pPr>
      <w:r>
        <w:rPr>
          <w:rFonts w:ascii="Times New Roman" w:hAnsi="Times New Roman" w:cs="Times New Roman"/>
          <w:b w:val="0"/>
          <w:i w:val="0"/>
          <w:sz w:val="22"/>
        </w:rPr>
        <w:t>- Build Quality Issues list</w:t>
      </w:r>
    </w:p>
    <w:p>
      <w:pPr>
        <w:spacing w:after="80" w:line="293" w:lineRule="auto"/>
        <w:ind w:left="283"/>
        <w:jc w:val="left"/>
      </w:pPr>
      <w:r>
        <w:rPr>
          <w:rFonts w:ascii="Times New Roman" w:hAnsi="Times New Roman" w:cs="Times New Roman"/>
          <w:b w:val="0"/>
          <w:i w:val="0"/>
          <w:sz w:val="22"/>
        </w:rPr>
        <w:t>- Build Action links (one-click to fix)</w:t>
      </w:r>
    </w:p>
    <w:p>
      <w:pPr>
        <w:spacing w:after="80" w:line="293" w:lineRule="auto"/>
        <w:ind w:left="283"/>
        <w:jc w:val="left"/>
      </w:pPr>
      <w:r>
        <w:rPr>
          <w:rFonts w:ascii="Times New Roman" w:hAnsi="Times New Roman" w:cs="Times New Roman"/>
          <w:b w:val="0"/>
          <w:i w:val="0"/>
          <w:sz w:val="22"/>
        </w:rPr>
        <w:t>- Build Readiness status indicators</w:t>
      </w:r>
    </w:p>
    <w:p>
      <w:pPr>
        <w:keepNext/>
        <w:spacing w:before="140" w:after="60"/>
        <w:outlineLvl w:val="3"/>
      </w:pPr>
      <w:r>
        <w:rPr>
          <w:rFonts w:ascii="Arial" w:hAnsi="Arial" w:cs="Arial"/>
          <w:b/>
          <w:i/>
          <w:color w:val="333333"/>
          <w:sz w:val="22"/>
        </w:rPr>
        <w:t>6.12.9.3 Quality Rules</w:t>
      </w:r>
    </w:p>
    <w:p>
      <w:pPr>
        <w:spacing w:after="80" w:line="293" w:lineRule="auto"/>
        <w:ind w:left="283"/>
        <w:jc w:val="left"/>
      </w:pPr>
      <w:r>
        <w:rPr>
          <w:rFonts w:ascii="Times New Roman" w:hAnsi="Times New Roman" w:cs="Times New Roman"/>
          <w:b w:val="0"/>
          <w:i w:val="0"/>
          <w:sz w:val="22"/>
        </w:rPr>
        <w:t>- Define quality rules for each dimension</w:t>
      </w:r>
    </w:p>
    <w:p>
      <w:pPr>
        <w:spacing w:after="80" w:line="293" w:lineRule="auto"/>
        <w:ind w:left="283"/>
        <w:jc w:val="left"/>
      </w:pPr>
      <w:r>
        <w:rPr>
          <w:rFonts w:ascii="Times New Roman" w:hAnsi="Times New Roman" w:cs="Times New Roman"/>
          <w:b w:val="0"/>
          <w:i w:val="0"/>
          <w:sz w:val="22"/>
        </w:rPr>
        <w:t>- Implement rule evaluation logic</w:t>
      </w:r>
    </w:p>
    <w:p>
      <w:pPr>
        <w:spacing w:after="80" w:line="293" w:lineRule="auto"/>
        <w:ind w:left="283"/>
        <w:jc w:val="left"/>
      </w:pPr>
      <w:r>
        <w:rPr>
          <w:rFonts w:ascii="Times New Roman" w:hAnsi="Times New Roman" w:cs="Times New Roman"/>
          <w:b w:val="0"/>
          <w:i w:val="0"/>
          <w:sz w:val="22"/>
        </w:rPr>
        <w:t>- Implement severity classification</w:t>
      </w:r>
    </w:p>
    <w:p>
      <w:pPr>
        <w:spacing w:after="80" w:line="293" w:lineRule="auto"/>
        <w:ind w:left="283"/>
        <w:jc w:val="left"/>
      </w:pPr>
      <w:r>
        <w:rPr>
          <w:rFonts w:ascii="Times New Roman" w:hAnsi="Times New Roman" w:cs="Times New Roman"/>
          <w:b w:val="0"/>
          <w:i w:val="0"/>
          <w:sz w:val="22"/>
        </w:rPr>
        <w:t>- Implement Admin configuration UI for rules</w:t>
      </w:r>
    </w:p>
    <w:p>
      <w:pPr>
        <w:keepNext/>
        <w:spacing w:before="140" w:after="60"/>
        <w:outlineLvl w:val="3"/>
      </w:pPr>
      <w:r>
        <w:rPr>
          <w:rFonts w:ascii="Arial" w:hAnsi="Arial" w:cs="Arial"/>
          <w:b/>
          <w:i/>
          <w:color w:val="333333"/>
          <w:sz w:val="22"/>
        </w:rPr>
        <w:t>6.12.9.4 Integration</w:t>
      </w:r>
    </w:p>
    <w:p>
      <w:pPr>
        <w:spacing w:after="80" w:line="293" w:lineRule="auto"/>
        <w:ind w:left="283"/>
        <w:jc w:val="left"/>
      </w:pPr>
      <w:r>
        <w:rPr>
          <w:rFonts w:ascii="Times New Roman" w:hAnsi="Times New Roman" w:cs="Times New Roman"/>
          <w:b w:val="0"/>
          <w:i w:val="0"/>
          <w:sz w:val="22"/>
        </w:rPr>
        <w:t>- Integrate with all form sections for real-time score updates</w:t>
      </w:r>
    </w:p>
    <w:p>
      <w:pPr>
        <w:spacing w:after="80" w:line="293" w:lineRule="auto"/>
        <w:ind w:left="283"/>
        <w:jc w:val="left"/>
      </w:pPr>
      <w:r>
        <w:rPr>
          <w:rFonts w:ascii="Times New Roman" w:hAnsi="Times New Roman" w:cs="Times New Roman"/>
          <w:b w:val="0"/>
          <w:i w:val="0"/>
          <w:sz w:val="22"/>
        </w:rPr>
        <w:t>- Integrate with AI recommendation engine</w:t>
      </w:r>
    </w:p>
    <w:p>
      <w:pPr>
        <w:spacing w:after="80" w:line="293" w:lineRule="auto"/>
        <w:ind w:left="283"/>
        <w:jc w:val="left"/>
      </w:pPr>
      <w:r>
        <w:rPr>
          <w:rFonts w:ascii="Times New Roman" w:hAnsi="Times New Roman" w:cs="Times New Roman"/>
          <w:b w:val="0"/>
          <w:i w:val="0"/>
          <w:sz w:val="22"/>
        </w:rPr>
        <w:t>- Integrate with Smart Inbox for low-readiness alerts</w:t>
      </w:r>
    </w:p>
    <w:p>
      <w:pPr>
        <w:keepNext/>
        <w:spacing w:before="140" w:after="60"/>
        <w:outlineLvl w:val="3"/>
      </w:pPr>
      <w:r>
        <w:rPr>
          <w:rFonts w:ascii="Arial" w:hAnsi="Arial" w:cs="Arial"/>
          <w:b/>
          <w:i/>
          <w:color w:val="333333"/>
          <w:sz w:val="22"/>
        </w:rPr>
        <w:t>6.12.9.5 Testing</w:t>
      </w:r>
    </w:p>
    <w:p>
      <w:pPr>
        <w:spacing w:after="80" w:line="293" w:lineRule="auto"/>
        <w:ind w:left="283"/>
        <w:jc w:val="left"/>
      </w:pPr>
      <w:r>
        <w:rPr>
          <w:rFonts w:ascii="Times New Roman" w:hAnsi="Times New Roman" w:cs="Times New Roman"/>
          <w:b w:val="0"/>
          <w:i w:val="0"/>
          <w:sz w:val="22"/>
        </w:rPr>
        <w:t>- Unit tests: readiness score calculation</w:t>
      </w:r>
    </w:p>
    <w:p>
      <w:pPr>
        <w:spacing w:after="80" w:line="293" w:lineRule="auto"/>
        <w:ind w:left="283"/>
        <w:jc w:val="left"/>
      </w:pPr>
      <w:r>
        <w:rPr>
          <w:rFonts w:ascii="Times New Roman" w:hAnsi="Times New Roman" w:cs="Times New Roman"/>
          <w:b w:val="0"/>
          <w:i w:val="0"/>
          <w:sz w:val="22"/>
        </w:rPr>
        <w:t>- Unit tests: missing item detection</w:t>
      </w:r>
    </w:p>
    <w:p>
      <w:pPr>
        <w:spacing w:after="80" w:line="293" w:lineRule="auto"/>
        <w:ind w:left="283"/>
        <w:jc w:val="left"/>
      </w:pPr>
      <w:r>
        <w:rPr>
          <w:rFonts w:ascii="Times New Roman" w:hAnsi="Times New Roman" w:cs="Times New Roman"/>
          <w:b w:val="0"/>
          <w:i w:val="0"/>
          <w:sz w:val="22"/>
        </w:rPr>
        <w:t>- Unit tests: quality assessment</w:t>
      </w:r>
    </w:p>
    <w:p>
      <w:pPr>
        <w:spacing w:after="80" w:line="293" w:lineRule="auto"/>
        <w:ind w:left="283"/>
        <w:jc w:val="left"/>
      </w:pPr>
      <w:r>
        <w:rPr>
          <w:rFonts w:ascii="Times New Roman" w:hAnsi="Times New Roman" w:cs="Times New Roman"/>
          <w:b w:val="0"/>
          <w:i w:val="0"/>
          <w:sz w:val="22"/>
        </w:rPr>
        <w:t>- Integration tests: real-time score updates</w:t>
      </w:r>
    </w:p>
    <w:p>
      <w:pPr>
        <w:spacing w:after="80" w:line="293" w:lineRule="auto"/>
        <w:ind w:left="283"/>
        <w:jc w:val="left"/>
      </w:pPr>
      <w:r>
        <w:rPr>
          <w:rFonts w:ascii="Times New Roman" w:hAnsi="Times New Roman" w:cs="Times New Roman"/>
          <w:b w:val="0"/>
          <w:i w:val="0"/>
          <w:sz w:val="22"/>
        </w:rPr>
        <w:t>- Integration tests: AI recommendation generation</w:t>
      </w:r>
    </w:p>
    <w:p>
      <w:pPr>
        <w:spacing w:after="80" w:line="293" w:lineRule="auto"/>
        <w:ind w:left="283"/>
        <w:jc w:val="left"/>
      </w:pPr>
      <w:r>
        <w:rPr>
          <w:rFonts w:ascii="Times New Roman" w:hAnsi="Times New Roman" w:cs="Times New Roman"/>
          <w:b w:val="0"/>
          <w:i w:val="0"/>
          <w:sz w:val="22"/>
        </w:rPr>
        <w:t>- End-to-end tests: full readiness workflow</w:t>
      </w:r>
    </w:p>
    <w:p>
      <w:pPr>
        <w:keepNext/>
        <w:spacing w:before="180" w:after="80"/>
        <w:outlineLvl w:val="2"/>
      </w:pPr>
      <w:r>
        <w:rPr>
          <w:rFonts w:ascii="Arial" w:hAnsi="Arial" w:cs="Arial"/>
          <w:b/>
          <w:i w:val="0"/>
          <w:color w:val="333333"/>
          <w:sz w:val="23"/>
        </w:rPr>
        <w:t>6.12.10 AI Authority Summary (Readiness)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Readiness Application</w:t>
            </w:r>
          </w:p>
        </w:tc>
      </w:tr>
      <w:tr>
        <w:tc>
          <w:tcPr>
            <w:tcW w:type="dxa" w:w="3213"/>
          </w:tcPr>
          <w:p>
            <w:pPr>
              <w:spacing w:after="20" w:before="20" w:line="240" w:lineRule="auto"/>
            </w:pPr>
            <w:r/>
            <w:r>
              <w:rPr>
                <w:rFonts w:ascii="Arial" w:hAnsi="Arial" w:cs="Arial"/>
                <w:b w:val="0"/>
                <w:i w:val="0"/>
                <w:sz w:val="17"/>
              </w:rPr>
              <w:t>A2 (XGBoost)</w:t>
            </w:r>
          </w:p>
        </w:tc>
        <w:tc>
          <w:tcPr>
            <w:tcW w:type="dxa" w:w="3213"/>
          </w:tcPr>
          <w:p>
            <w:pPr>
              <w:spacing w:after="20" w:before="20" w:line="240" w:lineRule="auto"/>
            </w:pPr>
            <w:r/>
            <w:r>
              <w:rPr>
                <w:rFonts w:ascii="Arial" w:hAnsi="Arial" w:cs="Arial"/>
                <w:b w:val="0"/>
                <w:i w:val="0"/>
                <w:sz w:val="17"/>
              </w:rPr>
              <w:t>Advisory (non-blocking)</w:t>
            </w:r>
          </w:p>
        </w:tc>
        <w:tc>
          <w:tcPr>
            <w:tcW w:type="dxa" w:w="3213"/>
          </w:tcPr>
          <w:p>
            <w:pPr>
              <w:spacing w:after="20" w:before="20" w:line="240" w:lineRule="auto"/>
            </w:pPr>
            <w:r/>
            <w:r>
              <w:rPr>
                <w:rFonts w:ascii="Arial" w:hAnsi="Arial" w:cs="Arial"/>
                <w:b w:val="0"/>
                <w:i w:val="0"/>
                <w:sz w:val="17"/>
              </w:rPr>
              <w:t>Weighted composite score, quality dimensions, confidence</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Recommendations and plain-language guidance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6.13 Trade Criticality</w:t>
      </w:r>
    </w:p>
    <w:p>
      <w:pPr>
        <w:keepNext/>
        <w:spacing w:before="180" w:after="80"/>
        <w:outlineLvl w:val="2"/>
      </w:pPr>
      <w:r>
        <w:rPr>
          <w:rFonts w:ascii="Arial" w:hAnsi="Arial" w:cs="Arial"/>
          <w:b/>
          <w:i w:val="0"/>
          <w:color w:val="333333"/>
          <w:sz w:val="23"/>
        </w:rPr>
        <w:t>6.13.1 Purpose &amp; Design Philosophy</w:t>
      </w:r>
    </w:p>
    <w:p>
      <w:pPr>
        <w:spacing w:after="80" w:line="293" w:lineRule="auto"/>
        <w:jc w:val="left"/>
      </w:pPr>
      <w:r>
        <w:rPr>
          <w:rFonts w:ascii="Times New Roman" w:hAnsi="Times New Roman" w:cs="Times New Roman"/>
          <w:b w:val="0"/>
          <w:i w:val="0"/>
          <w:sz w:val="22"/>
        </w:rPr>
        <w:t>The Trade Criticality classification indicates the operational importance of the entire trade. Trade Criticality applies at the trade request level (not per commodity) and drives workflow routing, approval urgency, alerting, and escalation handling across the entire trade lifecycle.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Trade-level classification — applies to the entire trade, not individual commodities.</w:t>
      </w:r>
    </w:p>
    <w:p>
      <w:pPr>
        <w:spacing w:after="80" w:line="293" w:lineRule="auto"/>
        <w:ind w:left="283"/>
        <w:jc w:val="left"/>
      </w:pPr>
      <w:r>
        <w:rPr>
          <w:rFonts w:ascii="Times New Roman" w:hAnsi="Times New Roman" w:cs="Times New Roman"/>
          <w:b w:val="0"/>
          <w:i w:val="0"/>
          <w:sz w:val="22"/>
        </w:rPr>
        <w:t>- Workflow routing — critical trades follow expedited workflows with higher priority.</w:t>
      </w:r>
    </w:p>
    <w:p>
      <w:pPr>
        <w:spacing w:after="80" w:line="293" w:lineRule="auto"/>
        <w:ind w:left="283"/>
        <w:jc w:val="left"/>
      </w:pPr>
      <w:r>
        <w:rPr>
          <w:rFonts w:ascii="Times New Roman" w:hAnsi="Times New Roman" w:cs="Times New Roman"/>
          <w:b w:val="0"/>
          <w:i w:val="0"/>
          <w:sz w:val="22"/>
        </w:rPr>
        <w:t>- Approval urgency — higher criticality triggers faster approval routing and shorter SLAs.</w:t>
      </w:r>
    </w:p>
    <w:p>
      <w:pPr>
        <w:spacing w:after="80" w:line="293" w:lineRule="auto"/>
        <w:ind w:left="283"/>
        <w:jc w:val="left"/>
      </w:pPr>
      <w:r>
        <w:rPr>
          <w:rFonts w:ascii="Times New Roman" w:hAnsi="Times New Roman" w:cs="Times New Roman"/>
          <w:b w:val="0"/>
          <w:i w:val="0"/>
          <w:sz w:val="22"/>
        </w:rPr>
        <w:t>- Alerting &amp; escalation — critical trades generate higher-priority Smart Inbox alerts and faster escalation.</w:t>
      </w:r>
    </w:p>
    <w:p>
      <w:pPr>
        <w:spacing w:after="80" w:line="293" w:lineRule="auto"/>
        <w:ind w:left="283"/>
        <w:jc w:val="left"/>
      </w:pPr>
      <w:r>
        <w:rPr>
          <w:rFonts w:ascii="Times New Roman" w:hAnsi="Times New Roman" w:cs="Times New Roman"/>
          <w:b w:val="0"/>
          <w:i w:val="0"/>
          <w:sz w:val="22"/>
        </w:rPr>
        <w:t>- AI-assisted suggestion — AI (A1, Groq) suggests criticality based on commodity, value, destination, and</w:t>
      </w:r>
    </w:p>
    <w:p>
      <w:pPr>
        <w:spacing w:after="80" w:line="293" w:lineRule="auto"/>
        <w:jc w:val="left"/>
      </w:pPr>
      <w:r>
        <w:rPr>
          <w:rFonts w:ascii="Times New Roman" w:hAnsi="Times New Roman" w:cs="Times New Roman"/>
          <w:b w:val="0"/>
          <w:i w:val="0"/>
          <w:sz w:val="22"/>
        </w:rPr>
        <w:t>urgency.</w:t>
      </w:r>
    </w:p>
    <w:p>
      <w:pPr>
        <w:spacing w:after="80" w:line="293" w:lineRule="auto"/>
        <w:ind w:left="283"/>
        <w:jc w:val="left"/>
      </w:pPr>
      <w:r>
        <w:rPr>
          <w:rFonts w:ascii="Times New Roman" w:hAnsi="Times New Roman" w:cs="Times New Roman"/>
          <w:b w:val="0"/>
          <w:i w:val="0"/>
          <w:sz w:val="22"/>
        </w:rPr>
        <w:t>- Non-marketplace — never suggests alternative counterparties or service providers.</w:t>
      </w:r>
    </w:p>
    <w:p>
      <w:pPr>
        <w:spacing w:after="80" w:line="293" w:lineRule="auto"/>
        <w:jc w:val="left"/>
      </w:pPr>
      <w:r>
        <w:rPr>
          <w:rFonts w:ascii="Times New Roman" w:hAnsi="Times New Roman" w:cs="Times New Roman"/>
          <w:b w:val="0"/>
          <w:i w:val="0"/>
          <w:sz w:val="22"/>
        </w:rPr>
        <w:t>AI authority in this section: A1 (Groq) criticality suggestion; A4 (WasmEdge) criticality validation and auto-adjustment logic.</w:t>
      </w:r>
    </w:p>
    <w:p>
      <w:pPr>
        <w:keepNext/>
        <w:spacing w:before="180" w:after="80"/>
        <w:outlineLvl w:val="2"/>
      </w:pPr>
      <w:r>
        <w:rPr>
          <w:rFonts w:ascii="Arial" w:hAnsi="Arial" w:cs="Arial"/>
          <w:b/>
          <w:i w:val="0"/>
          <w:color w:val="333333"/>
          <w:sz w:val="23"/>
        </w:rPr>
        <w:t>6.13.2 Trade Criticality Levels</w:t>
      </w:r>
    </w:p>
    <w:p>
      <w:pPr>
        <w:keepNext/>
        <w:spacing w:before="140" w:after="60"/>
        <w:outlineLvl w:val="3"/>
      </w:pPr>
      <w:r>
        <w:rPr>
          <w:rFonts w:ascii="Arial" w:hAnsi="Arial" w:cs="Arial"/>
          <w:b/>
          <w:i/>
          <w:color w:val="333333"/>
          <w:sz w:val="22"/>
        </w:rPr>
        <w:t>6.13.2.1 Classification Levels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Level</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Routine</w:t>
            </w:r>
          </w:p>
        </w:tc>
        <w:tc>
          <w:tcPr>
            <w:tcW w:type="dxa" w:w="4819"/>
          </w:tcPr>
          <w:p>
            <w:pPr>
              <w:spacing w:after="20" w:before="20" w:line="240" w:lineRule="auto"/>
            </w:pPr>
            <w:r/>
            <w:r>
              <w:rPr>
                <w:rFonts w:ascii="Arial" w:hAnsi="Arial" w:cs="Arial"/>
                <w:b w:val="0"/>
                <w:i w:val="0"/>
                <w:sz w:val="17"/>
              </w:rPr>
              <w:t>Standard trade</w:t>
            </w:r>
          </w:p>
        </w:tc>
      </w:tr>
      <w:tr>
        <w:tc>
          <w:tcPr>
            <w:tcW w:type="dxa" w:w="4819"/>
          </w:tcPr>
          <w:p>
            <w:pPr>
              <w:spacing w:after="20" w:before="20" w:line="240" w:lineRule="auto"/>
            </w:pPr>
            <w:r/>
            <w:r>
              <w:rPr>
                <w:rFonts w:ascii="Arial" w:hAnsi="Arial" w:cs="Arial"/>
                <w:b w:val="0"/>
                <w:i w:val="0"/>
                <w:sz w:val="17"/>
              </w:rPr>
              <w:t>Priority</w:t>
            </w:r>
          </w:p>
        </w:tc>
        <w:tc>
          <w:tcPr>
            <w:tcW w:type="dxa" w:w="4819"/>
          </w:tcPr>
          <w:p>
            <w:pPr>
              <w:spacing w:after="20" w:before="20" w:line="240" w:lineRule="auto"/>
            </w:pPr>
            <w:r/>
            <w:r>
              <w:rPr>
                <w:rFonts w:ascii="Arial" w:hAnsi="Arial" w:cs="Arial"/>
                <w:b w:val="0"/>
                <w:i w:val="0"/>
                <w:sz w:val="17"/>
              </w:rPr>
              <w:t>Important trade</w:t>
            </w:r>
          </w:p>
        </w:tc>
      </w:tr>
      <w:tr>
        <w:tc>
          <w:tcPr>
            <w:tcW w:type="dxa" w:w="4819"/>
          </w:tcPr>
          <w:p>
            <w:pPr>
              <w:spacing w:after="20" w:before="20" w:line="240" w:lineRule="auto"/>
            </w:pPr>
            <w:r/>
            <w:r>
              <w:rPr>
                <w:rFonts w:ascii="Arial" w:hAnsi="Arial" w:cs="Arial"/>
                <w:b w:val="0"/>
                <w:i w:val="0"/>
                <w:sz w:val="17"/>
              </w:rPr>
              <w:t>Critical</w:t>
            </w:r>
          </w:p>
        </w:tc>
        <w:tc>
          <w:tcPr>
            <w:tcW w:type="dxa" w:w="4819"/>
          </w:tcPr>
          <w:p>
            <w:pPr>
              <w:spacing w:after="20" w:before="20" w:line="240" w:lineRule="auto"/>
            </w:pPr>
            <w:r/>
            <w:r>
              <w:rPr>
                <w:rFonts w:ascii="Arial" w:hAnsi="Arial" w:cs="Arial"/>
                <w:b w:val="0"/>
                <w:i w:val="0"/>
                <w:sz w:val="17"/>
              </w:rPr>
              <w:t>Urgent trade</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6.13.2.2 Operational Implications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Level</w:t>
            </w:r>
          </w:p>
        </w:tc>
        <w:tc>
          <w:tcPr>
            <w:tcW w:type="dxa" w:w="4819"/>
            <w:shd w:val="clear" w:fill="D9E2F3"/>
          </w:tcPr>
          <w:p>
            <w:pPr>
              <w:spacing w:after="20" w:before="20" w:line="240" w:lineRule="auto"/>
            </w:pPr>
            <w:r/>
            <w:r>
              <w:rPr>
                <w:rFonts w:ascii="Arial" w:hAnsi="Arial" w:cs="Arial"/>
                <w:b/>
                <w:i w:val="0"/>
                <w:sz w:val="18"/>
              </w:rPr>
              <w:t>Operational Implications</w:t>
            </w:r>
          </w:p>
        </w:tc>
      </w:tr>
      <w:tr>
        <w:tc>
          <w:tcPr>
            <w:tcW w:type="dxa" w:w="4819"/>
          </w:tcPr>
          <w:p>
            <w:pPr>
              <w:spacing w:after="20" w:before="20" w:line="240" w:lineRule="auto"/>
            </w:pPr>
            <w:r/>
            <w:r>
              <w:rPr>
                <w:rFonts w:ascii="Arial" w:hAnsi="Arial" w:cs="Arial"/>
                <w:b w:val="0"/>
                <w:i w:val="0"/>
                <w:sz w:val="17"/>
              </w:rPr>
              <w:t>Routine</w:t>
            </w:r>
          </w:p>
        </w:tc>
        <w:tc>
          <w:tcPr>
            <w:tcW w:type="dxa" w:w="4819"/>
          </w:tcPr>
          <w:p>
            <w:pPr>
              <w:spacing w:after="20" w:before="20" w:line="240" w:lineRule="auto"/>
            </w:pPr>
            <w:r/>
            <w:r>
              <w:rPr>
                <w:rFonts w:ascii="Arial" w:hAnsi="Arial" w:cs="Arial"/>
                <w:b w:val="0"/>
                <w:i w:val="0"/>
                <w:sz w:val="17"/>
              </w:rPr>
              <w:t>Normal workflow, standard SLA</w:t>
            </w:r>
          </w:p>
        </w:tc>
      </w:tr>
      <w:tr>
        <w:tc>
          <w:tcPr>
            <w:tcW w:type="dxa" w:w="4819"/>
          </w:tcPr>
          <w:p>
            <w:pPr>
              <w:spacing w:after="20" w:before="20" w:line="240" w:lineRule="auto"/>
            </w:pPr>
            <w:r/>
            <w:r>
              <w:rPr>
                <w:rFonts w:ascii="Arial" w:hAnsi="Arial" w:cs="Arial"/>
                <w:b w:val="0"/>
                <w:i w:val="0"/>
                <w:sz w:val="17"/>
              </w:rPr>
              <w:t>Priority</w:t>
            </w:r>
          </w:p>
        </w:tc>
        <w:tc>
          <w:tcPr>
            <w:tcW w:type="dxa" w:w="4819"/>
          </w:tcPr>
          <w:p>
            <w:pPr>
              <w:spacing w:after="20" w:before="20" w:line="240" w:lineRule="auto"/>
            </w:pPr>
            <w:r/>
            <w:r>
              <w:rPr>
                <w:rFonts w:ascii="Arial" w:hAnsi="Arial" w:cs="Arial"/>
                <w:b w:val="0"/>
                <w:i w:val="0"/>
                <w:sz w:val="17"/>
              </w:rPr>
              <w:t>Expedited workflow, shorter SLA (24-hour approval SLA; every 6 hours monitoring; expedited financing review; priority logistics booking)</w:t>
            </w:r>
          </w:p>
        </w:tc>
      </w:tr>
      <w:tr>
        <w:tc>
          <w:tcPr>
            <w:tcW w:type="dxa" w:w="4819"/>
          </w:tcPr>
          <w:p>
            <w:pPr>
              <w:spacing w:after="20" w:before="20" w:line="240" w:lineRule="auto"/>
            </w:pPr>
            <w:r/>
            <w:r>
              <w:rPr>
                <w:rFonts w:ascii="Arial" w:hAnsi="Arial" w:cs="Arial"/>
                <w:b w:val="0"/>
                <w:i w:val="0"/>
                <w:sz w:val="17"/>
              </w:rPr>
              <w:t>Critical</w:t>
            </w:r>
          </w:p>
        </w:tc>
        <w:tc>
          <w:tcPr>
            <w:tcW w:type="dxa" w:w="4819"/>
          </w:tcPr>
          <w:p>
            <w:pPr>
              <w:spacing w:after="20" w:before="20" w:line="240" w:lineRule="auto"/>
            </w:pPr>
            <w:r/>
            <w:r>
              <w:rPr>
                <w:rFonts w:ascii="Arial" w:hAnsi="Arial" w:cs="Arial"/>
                <w:b w:val="0"/>
                <w:i w:val="0"/>
                <w:sz w:val="17"/>
              </w:rPr>
              <w:t>Immediate workflow, shortest SLA</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6.13.3 AI-Assisted Criticality Suggestion (A1, Groq)</w:t>
      </w:r>
    </w:p>
    <w:p>
      <w:pPr>
        <w:keepNext/>
        <w:spacing w:before="140" w:after="60"/>
        <w:outlineLvl w:val="3"/>
      </w:pPr>
      <w:r>
        <w:rPr>
          <w:rFonts w:ascii="Arial" w:hAnsi="Arial" w:cs="Arial"/>
          <w:b/>
          <w:i/>
          <w:color w:val="333333"/>
          <w:sz w:val="22"/>
        </w:rPr>
        <w:t>6.13.3.1 Suggestion Generation</w:t>
      </w:r>
    </w:p>
    <w:p>
      <w:pPr>
        <w:spacing w:after="80" w:line="293" w:lineRule="auto"/>
        <w:jc w:val="left"/>
      </w:pPr>
      <w:r>
        <w:rPr>
          <w:rFonts w:ascii="Times New Roman" w:hAnsi="Times New Roman" w:cs="Times New Roman"/>
          <w:b w:val="0"/>
          <w:i w:val="0"/>
          <w:sz w:val="22"/>
        </w:rPr>
        <w:t>The system generates an AI-suggested criticality based on commodity, trade value, delivery window, origin, destination, incoterm, and inspection requirements.</w:t>
      </w:r>
    </w:p>
    <w:p>
      <w:pPr>
        <w:spacing w:after="80" w:line="293" w:lineRule="auto"/>
        <w:jc w:val="left"/>
      </w:pPr>
      <w:r>
        <w:rPr>
          <w:rFonts w:ascii="Times New Roman" w:hAnsi="Times New Roman" w:cs="Times New Roman"/>
          <w:b w:val="0"/>
          <w:i w:val="0"/>
          <w:sz w:val="22"/>
        </w:rPr>
        <w:t>Prompt template:</w:t>
      </w:r>
    </w:p>
    <w:p>
      <w:pPr>
        <w:spacing w:after="0" w:before="0" w:line="240" w:lineRule="auto"/>
        <w:ind w:left="57"/>
        <w:jc w:val="left"/>
        <w:shd w:val="clear" w:fill="F2F2F2"/>
      </w:pPr>
      <w:r>
        <w:rPr>
          <w:rFonts w:ascii="Consolas" w:hAnsi="Consolas" w:cs="Consolas"/>
          <w:b w:val="0"/>
          <w:i w:val="0"/>
          <w:sz w:val="15"/>
        </w:rPr>
        <w:t>Based on the following trade parameters, suggest a Trade Criticality classification:</w:t>
      </w:r>
    </w:p>
    <w:p>
      <w:pPr>
        <w:spacing w:after="0" w:before="0" w:line="240" w:lineRule="auto"/>
        <w:ind w:left="57"/>
        <w:jc w:val="left"/>
        <w:shd w:val="clear" w:fill="F2F2F2"/>
      </w:pPr>
      <w:r>
        <w:rPr>
          <w:rFonts w:ascii="Consolas" w:hAnsi="Consolas" w:cs="Consolas"/>
          <w:b w:val="0"/>
          <w:i w:val="0"/>
          <w:sz w:val="15"/>
        </w:rPr>
        <w:t>Commodity: {product_name} (HS {hs_code})</w:t>
      </w:r>
    </w:p>
    <w:p>
      <w:pPr>
        <w:spacing w:after="0" w:before="0" w:line="240" w:lineRule="auto"/>
        <w:ind w:left="57"/>
        <w:jc w:val="left"/>
        <w:shd w:val="clear" w:fill="F2F2F2"/>
      </w:pPr>
      <w:r>
        <w:rPr>
          <w:rFonts w:ascii="Consolas" w:hAnsi="Consolas" w:cs="Consolas"/>
          <w:b w:val="0"/>
          <w:i w:val="0"/>
          <w:sz w:val="15"/>
        </w:rPr>
        <w:t>Trade Value: ${value}</w:t>
      </w:r>
    </w:p>
    <w:p>
      <w:pPr>
        <w:spacing w:after="0" w:before="0" w:line="240" w:lineRule="auto"/>
        <w:ind w:left="57"/>
        <w:jc w:val="left"/>
        <w:shd w:val="clear" w:fill="F2F2F2"/>
      </w:pPr>
      <w:r>
        <w:rPr>
          <w:rFonts w:ascii="Consolas" w:hAnsi="Consolas" w:cs="Consolas"/>
          <w:b w:val="0"/>
          <w:i w:val="0"/>
          <w:sz w:val="15"/>
        </w:rPr>
        <w:t>Delivery Window: {days} days</w:t>
      </w:r>
    </w:p>
    <w:p>
      <w:pPr>
        <w:spacing w:after="0" w:before="0" w:line="240" w:lineRule="auto"/>
        <w:ind w:left="57"/>
        <w:jc w:val="left"/>
        <w:shd w:val="clear" w:fill="F2F2F2"/>
      </w:pPr>
      <w:r>
        <w:rPr>
          <w:rFonts w:ascii="Consolas" w:hAnsi="Consolas" w:cs="Consolas"/>
          <w:b w:val="0"/>
          <w:i w:val="0"/>
          <w:sz w:val="15"/>
        </w:rPr>
        <w:t>Origin: {origin_country}</w:t>
      </w:r>
    </w:p>
    <w:p>
      <w:pPr>
        <w:spacing w:after="0" w:before="0" w:line="240" w:lineRule="auto"/>
        <w:ind w:left="57"/>
        <w:jc w:val="left"/>
        <w:shd w:val="clear" w:fill="F2F2F2"/>
      </w:pPr>
      <w:r>
        <w:rPr>
          <w:rFonts w:ascii="Consolas" w:hAnsi="Consolas" w:cs="Consolas"/>
          <w:b w:val="0"/>
          <w:i w:val="0"/>
          <w:sz w:val="15"/>
        </w:rPr>
        <w:t>Destination: {destination_country}</w:t>
      </w:r>
    </w:p>
    <w:p>
      <w:pPr>
        <w:spacing w:after="0" w:before="0" w:line="240" w:lineRule="auto"/>
        <w:ind w:left="57"/>
        <w:jc w:val="left"/>
        <w:shd w:val="clear" w:fill="F2F2F2"/>
      </w:pPr>
      <w:r>
        <w:rPr>
          <w:rFonts w:ascii="Consolas" w:hAnsi="Consolas" w:cs="Consolas"/>
          <w:b w:val="0"/>
          <w:i w:val="0"/>
          <w:sz w:val="15"/>
        </w:rPr>
        <w:t>Incoterm: {incoterm}</w:t>
      </w:r>
    </w:p>
    <w:p>
      <w:pPr>
        <w:spacing w:after="0" w:before="0" w:line="240" w:lineRule="auto"/>
        <w:ind w:left="57"/>
        <w:jc w:val="left"/>
        <w:shd w:val="clear" w:fill="F2F2F2"/>
      </w:pPr>
      <w:r>
        <w:rPr>
          <w:rFonts w:ascii="Consolas" w:hAnsi="Consolas" w:cs="Consolas"/>
          <w:b w:val="0"/>
          <w:i w:val="0"/>
          <w:sz w:val="15"/>
        </w:rPr>
        <w:t>Inspection: {inspection_type}</w:t>
      </w:r>
    </w:p>
    <w:p>
      <w:pPr>
        <w:spacing w:after="0" w:before="0" w:line="240" w:lineRule="auto"/>
        <w:ind w:left="57"/>
        <w:jc w:val="left"/>
        <w:shd w:val="clear" w:fill="F2F2F2"/>
      </w:pPr>
      <w:r>
        <w:rPr>
          <w:rFonts w:ascii="Consolas" w:hAnsi="Consolas" w:cs="Consolas"/>
          <w:b w:val="0"/>
          <w:i w:val="0"/>
          <w:sz w:val="15"/>
        </w:rPr>
        <w:t>Available classifications: ROUTINE, PRIORITY, CRITICAL</w:t>
      </w:r>
    </w:p>
    <w:p>
      <w:pPr>
        <w:spacing w:after="0" w:before="0" w:line="240" w:lineRule="auto"/>
        <w:ind w:left="57"/>
        <w:jc w:val="left"/>
        <w:shd w:val="clear" w:fill="F2F2F2"/>
      </w:pPr>
      <w:r>
        <w:rPr>
          <w:rFonts w:ascii="Consolas" w:hAnsi="Consolas" w:cs="Consolas"/>
          <w:b w:val="0"/>
          <w:i w:val="0"/>
          <w:sz w:val="15"/>
        </w:rPr>
        <w:t>Provide a recommendation with:</w:t>
      </w:r>
    </w:p>
    <w:p>
      <w:pPr>
        <w:spacing w:after="0" w:before="0" w:line="240" w:lineRule="auto"/>
        <w:ind w:left="57"/>
        <w:jc w:val="left"/>
        <w:shd w:val="clear" w:fill="F2F2F2"/>
      </w:pPr>
      <w:r>
        <w:rPr>
          <w:rFonts w:ascii="Consolas" w:hAnsi="Consolas" w:cs="Consolas"/>
          <w:b w:val="0"/>
          <w:i w:val="0"/>
          <w:sz w:val="15"/>
        </w:rPr>
        <w:t>1. The recommended classification</w:t>
      </w:r>
    </w:p>
    <w:p>
      <w:pPr>
        <w:spacing w:after="0" w:before="0" w:line="240" w:lineRule="auto"/>
        <w:ind w:left="57"/>
        <w:jc w:val="left"/>
        <w:shd w:val="clear" w:fill="F2F2F2"/>
      </w:pPr>
      <w:r>
        <w:rPr>
          <w:rFonts w:ascii="Consolas" w:hAnsi="Consolas" w:cs="Consolas"/>
          <w:b w:val="0"/>
          <w:i w:val="0"/>
          <w:sz w:val="15"/>
        </w:rPr>
        <w:t>2. A confidence score (0-100%)</w:t>
      </w:r>
    </w:p>
    <w:p>
      <w:pPr>
        <w:spacing w:after="0" w:before="0" w:line="240" w:lineRule="auto"/>
        <w:ind w:left="57"/>
        <w:jc w:val="left"/>
        <w:shd w:val="clear" w:fill="F2F2F2"/>
      </w:pPr>
      <w:r>
        <w:rPr>
          <w:rFonts w:ascii="Consolas" w:hAnsi="Consolas" w:cs="Consolas"/>
          <w:b w:val="0"/>
          <w:i w:val="0"/>
          <w:sz w:val="15"/>
        </w:rPr>
        <w:t>3. A plain-language explanation of why</w:t>
      </w:r>
    </w:p>
    <w:p>
      <w:pPr>
        <w:spacing w:after="0" w:before="0" w:line="240" w:lineRule="auto"/>
        <w:ind w:left="57"/>
        <w:jc w:val="left"/>
        <w:shd w:val="clear" w:fill="F2F2F2"/>
      </w:pPr>
      <w:r>
        <w:rPr>
          <w:rFonts w:ascii="Consolas" w:hAnsi="Consolas" w:cs="Consolas"/>
          <w:b w:val="0"/>
          <w:i w:val="0"/>
          <w:sz w:val="15"/>
        </w:rPr>
        <w:t>4. A list of factors that influenced the recommendation</w:t>
      </w:r>
    </w:p>
    <w:p>
      <w:pPr>
        <w:spacing w:after="0" w:before="0" w:line="240" w:lineRule="auto"/>
        <w:ind w:left="57"/>
        <w:jc w:val="left"/>
        <w:shd w:val="clear" w:fill="F2F2F2"/>
      </w:pPr>
      <w:r>
        <w:rPr>
          <w:rFonts w:ascii="Consolas" w:hAnsi="Consolas" w:cs="Consolas"/>
          <w:b w:val="0"/>
          <w:i w:val="0"/>
          <w:sz w:val="15"/>
        </w:rPr>
        <w:t>Return as structured JSON.</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6.13.3.2 Suggestion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"suggested_criticality": "PRIORITY",</w:t>
      </w:r>
    </w:p>
    <w:p>
      <w:pPr>
        <w:spacing w:after="0" w:before="0" w:line="240" w:lineRule="auto"/>
        <w:ind w:left="57"/>
        <w:jc w:val="left"/>
        <w:shd w:val="clear" w:fill="F2F2F2"/>
      </w:pPr>
      <w:r>
        <w:rPr>
          <w:rFonts w:ascii="Consolas" w:hAnsi="Consolas" w:cs="Consolas"/>
          <w:b w:val="0"/>
          <w:i w:val="0"/>
          <w:sz w:val="15"/>
        </w:rPr>
        <w:t xml:space="preserve">  "confidence": 87,</w:t>
      </w:r>
    </w:p>
    <w:p>
      <w:pPr>
        <w:spacing w:after="0" w:before="0" w:line="240" w:lineRule="auto"/>
        <w:ind w:left="57"/>
        <w:jc w:val="left"/>
        <w:shd w:val="clear" w:fill="F2F2F2"/>
      </w:pPr>
      <w:r>
        <w:rPr>
          <w:rFonts w:ascii="Consolas" w:hAnsi="Consolas" w:cs="Consolas"/>
          <w:b w:val="0"/>
          <w:i w:val="0"/>
          <w:sz w:val="15"/>
        </w:rPr>
        <w:t xml:space="preserve">  "explanation": "This trade is classified as Priority because fresh fruit is time-sensitive, the trade value is $150,000, and the delivery window is 15 days. The destination (Germany) is low-risk, but the incoterm (CFR) and third-party inspection requirement suggest expedited handling.",</w:t>
      </w:r>
    </w:p>
    <w:p>
      <w:pPr>
        <w:spacing w:after="0" w:before="0" w:line="240" w:lineRule="auto"/>
        <w:ind w:left="57"/>
        <w:jc w:val="left"/>
        <w:shd w:val="clear" w:fill="F2F2F2"/>
      </w:pPr>
      <w:r>
        <w:rPr>
          <w:rFonts w:ascii="Consolas" w:hAnsi="Consolas" w:cs="Consolas"/>
          <w:b w:val="0"/>
          <w:i w:val="0"/>
          <w:sz w:val="15"/>
        </w:rPr>
        <w:t xml:space="preserve">  "factors": {</w:t>
      </w:r>
    </w:p>
    <w:p>
      <w:pPr>
        <w:spacing w:after="0" w:before="0" w:line="240" w:lineRule="auto"/>
        <w:ind w:left="57"/>
        <w:jc w:val="left"/>
        <w:shd w:val="clear" w:fill="F2F2F2"/>
      </w:pPr>
      <w:r>
        <w:rPr>
          <w:rFonts w:ascii="Consolas" w:hAnsi="Consolas" w:cs="Consolas"/>
          <w:b w:val="0"/>
          <w:i w:val="0"/>
          <w:sz w:val="15"/>
        </w:rPr>
        <w:t xml:space="preserve">    "commodity_time_sensitive": "Fresh fruit (time-sensitive) → Priority",</w:t>
      </w:r>
    </w:p>
    <w:p>
      <w:pPr>
        <w:spacing w:after="0" w:before="0" w:line="240" w:lineRule="auto"/>
        <w:ind w:left="57"/>
        <w:jc w:val="left"/>
        <w:shd w:val="clear" w:fill="F2F2F2"/>
      </w:pPr>
      <w:r>
        <w:rPr>
          <w:rFonts w:ascii="Consolas" w:hAnsi="Consolas" w:cs="Consolas"/>
          <w:b w:val="0"/>
          <w:i w:val="0"/>
          <w:sz w:val="15"/>
        </w:rPr>
        <w:t xml:space="preserve">    "trade_value": "$150,000 (medium-high) → Priority",</w:t>
      </w:r>
    </w:p>
    <w:p>
      <w:pPr>
        <w:spacing w:after="0" w:before="0" w:line="240" w:lineRule="auto"/>
        <w:ind w:left="57"/>
        <w:jc w:val="left"/>
        <w:shd w:val="clear" w:fill="F2F2F2"/>
      </w:pPr>
      <w:r>
        <w:rPr>
          <w:rFonts w:ascii="Consolas" w:hAnsi="Consolas" w:cs="Consolas"/>
          <w:b w:val="0"/>
          <w:i w:val="0"/>
          <w:sz w:val="15"/>
        </w:rPr>
        <w:t xml:space="preserve">    "delivery_window": "15 days (moderate) → Priority",</w:t>
      </w:r>
    </w:p>
    <w:p>
      <w:pPr>
        <w:spacing w:after="0" w:before="0" w:line="240" w:lineRule="auto"/>
        <w:ind w:left="57"/>
        <w:jc w:val="left"/>
        <w:shd w:val="clear" w:fill="F2F2F2"/>
      </w:pPr>
      <w:r>
        <w:rPr>
          <w:rFonts w:ascii="Consolas" w:hAnsi="Consolas" w:cs="Consolas"/>
          <w:b w:val="0"/>
          <w:i w:val="0"/>
          <w:sz w:val="15"/>
        </w:rPr>
        <w:t xml:space="preserve">    "destination_risk": "Low-risk → no impact",</w:t>
      </w:r>
    </w:p>
    <w:p>
      <w:pPr>
        <w:spacing w:after="0" w:before="0" w:line="240" w:lineRule="auto"/>
        <w:ind w:left="57"/>
        <w:jc w:val="left"/>
        <w:shd w:val="clear" w:fill="F2F2F2"/>
      </w:pPr>
      <w:r>
        <w:rPr>
          <w:rFonts w:ascii="Consolas" w:hAnsi="Consolas" w:cs="Consolas"/>
          <w:b w:val="0"/>
          <w:i w:val="0"/>
          <w:sz w:val="15"/>
        </w:rPr>
        <w:t xml:space="preserve">    "incoterm": "CFR (standard) → no impact",</w:t>
      </w:r>
    </w:p>
    <w:p>
      <w:pPr>
        <w:spacing w:after="0" w:before="0" w:line="240" w:lineRule="auto"/>
        <w:ind w:left="57"/>
        <w:jc w:val="left"/>
        <w:shd w:val="clear" w:fill="F2F2F2"/>
      </w:pPr>
      <w:r>
        <w:rPr>
          <w:rFonts w:ascii="Consolas" w:hAnsi="Consolas" w:cs="Consolas"/>
          <w:b w:val="0"/>
          <w:i w:val="0"/>
          <w:sz w:val="15"/>
        </w:rPr>
        <w:t xml:space="preserve">    "inspection": "Third-party inspection (moderate) → Priority",</w:t>
      </w:r>
    </w:p>
    <w:p>
      <w:pPr>
        <w:spacing w:after="0" w:before="0" w:line="240" w:lineRule="auto"/>
        <w:ind w:left="57"/>
        <w:jc w:val="left"/>
        <w:shd w:val="clear" w:fill="F2F2F2"/>
      </w:pPr>
      <w:r>
        <w:rPr>
          <w:rFonts w:ascii="Consolas" w:hAnsi="Consolas" w:cs="Consolas"/>
          <w:b w:val="0"/>
          <w:i w:val="0"/>
          <w:sz w:val="15"/>
        </w:rPr>
        <w:t xml:space="preserve">    "urgency_indicators": "None detected"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"recommended_sla": "24 hours",</w:t>
      </w:r>
    </w:p>
    <w:p>
      <w:pPr>
        <w:spacing w:after="0" w:before="0" w:line="240" w:lineRule="auto"/>
        <w:ind w:left="57"/>
        <w:jc w:val="left"/>
        <w:shd w:val="clear" w:fill="F2F2F2"/>
      </w:pPr>
      <w:r>
        <w:rPr>
          <w:rFonts w:ascii="Consolas" w:hAnsi="Consolas" w:cs="Consolas"/>
          <w:b w:val="0"/>
          <w:i w:val="0"/>
          <w:sz w:val="15"/>
        </w:rPr>
        <w:t xml:space="preserve">  "recommended_approval": "Manager + Finance"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6.13.3.3 UI Example</w:t>
      </w:r>
    </w:p>
    <w:p>
      <w:pPr>
        <w:spacing w:after="0" w:before="0" w:line="240" w:lineRule="auto"/>
        <w:ind w:left="57"/>
        <w:jc w:val="left"/>
        <w:shd w:val="clear" w:fill="F2F2F2"/>
      </w:pPr>
      <w:r>
        <w:rPr>
          <w:rFonts w:ascii="Consolas" w:hAnsi="Consolas" w:cs="Consolas"/>
          <w:b w:val="0"/>
          <w:i w:val="0"/>
          <w:sz w:val="15"/>
        </w:rPr>
        <w:t>11. TRADE CRITICALITY</w:t>
      </w:r>
    </w:p>
    <w:p>
      <w:pPr>
        <w:spacing w:after="0" w:before="0" w:line="240" w:lineRule="auto"/>
        <w:ind w:left="57"/>
        <w:jc w:val="left"/>
        <w:shd w:val="clear" w:fill="F2F2F2"/>
      </w:pPr>
      <w:r>
        <w:rPr>
          <w:rFonts w:ascii="Consolas" w:hAnsi="Consolas" w:cs="Consolas"/>
          <w:b w:val="0"/>
          <w:i w:val="0"/>
          <w:sz w:val="15"/>
        </w:rPr>
        <w:t xml:space="preserve">  AI SUGGESTED CRITICALITY: PRIORITY (87% confidence)</w:t>
      </w:r>
    </w:p>
    <w:p>
      <w:pPr>
        <w:spacing w:after="0" w:before="0" w:line="240" w:lineRule="auto"/>
        <w:ind w:left="57"/>
        <w:jc w:val="left"/>
        <w:shd w:val="clear" w:fill="F2F2F2"/>
      </w:pPr>
      <w:r>
        <w:rPr>
          <w:rFonts w:ascii="Consolas" w:hAnsi="Consolas" w:cs="Consolas"/>
          <w:b w:val="0"/>
          <w:i w:val="0"/>
          <w:sz w:val="15"/>
        </w:rPr>
        <w:t xml:space="preserve">  This trade is classified as Priority because:</w:t>
      </w:r>
    </w:p>
    <w:p>
      <w:pPr>
        <w:spacing w:after="0" w:before="0" w:line="240" w:lineRule="auto"/>
        <w:ind w:left="57"/>
        <w:jc w:val="left"/>
        <w:shd w:val="clear" w:fill="F2F2F2"/>
      </w:pPr>
      <w:r>
        <w:rPr>
          <w:rFonts w:ascii="Consolas" w:hAnsi="Consolas" w:cs="Consolas"/>
          <w:b w:val="0"/>
          <w:i w:val="0"/>
          <w:sz w:val="15"/>
        </w:rPr>
        <w:t xml:space="preserve">  • Time-sensitive commodity (fresh fruit)</w:t>
      </w:r>
    </w:p>
    <w:p>
      <w:pPr>
        <w:spacing w:after="0" w:before="0" w:line="240" w:lineRule="auto"/>
        <w:ind w:left="57"/>
        <w:jc w:val="left"/>
        <w:shd w:val="clear" w:fill="F2F2F2"/>
      </w:pPr>
      <w:r>
        <w:rPr>
          <w:rFonts w:ascii="Consolas" w:hAnsi="Consolas" w:cs="Consolas"/>
          <w:b w:val="0"/>
          <w:i w:val="0"/>
          <w:sz w:val="15"/>
        </w:rPr>
        <w:t xml:space="preserve">  • Medium-high value ($150,000)</w:t>
      </w:r>
    </w:p>
    <w:p>
      <w:pPr>
        <w:spacing w:after="0" w:before="0" w:line="240" w:lineRule="auto"/>
        <w:ind w:left="57"/>
        <w:jc w:val="left"/>
        <w:shd w:val="clear" w:fill="F2F2F2"/>
      </w:pPr>
      <w:r>
        <w:rPr>
          <w:rFonts w:ascii="Consolas" w:hAnsi="Consolas" w:cs="Consolas"/>
          <w:b w:val="0"/>
          <w:i w:val="0"/>
          <w:sz w:val="15"/>
        </w:rPr>
        <w:t xml:space="preserve">  • Moderate delivery window (15 days)</w:t>
      </w:r>
    </w:p>
    <w:p>
      <w:pPr>
        <w:spacing w:after="0" w:before="0" w:line="240" w:lineRule="auto"/>
        <w:ind w:left="57"/>
        <w:jc w:val="left"/>
        <w:shd w:val="clear" w:fill="F2F2F2"/>
      </w:pPr>
      <w:r>
        <w:rPr>
          <w:rFonts w:ascii="Consolas" w:hAnsi="Consolas" w:cs="Consolas"/>
          <w:b w:val="0"/>
          <w:i w:val="0"/>
          <w:sz w:val="15"/>
        </w:rPr>
        <w:t xml:space="preserve">  • Third-party inspection required</w:t>
      </w:r>
    </w:p>
    <w:p>
      <w:pPr>
        <w:spacing w:after="0" w:before="0" w:line="240" w:lineRule="auto"/>
        <w:ind w:left="57"/>
        <w:jc w:val="left"/>
        <w:shd w:val="clear" w:fill="F2F2F2"/>
      </w:pPr>
      <w:r>
        <w:rPr>
          <w:rFonts w:ascii="Consolas" w:hAnsi="Consolas" w:cs="Consolas"/>
          <w:b w:val="0"/>
          <w:i w:val="0"/>
          <w:sz w:val="15"/>
        </w:rPr>
        <w:t xml:space="preserve">  Recommended SLA: 24 hours</w:t>
      </w:r>
    </w:p>
    <w:p>
      <w:pPr>
        <w:spacing w:after="0" w:before="0" w:line="240" w:lineRule="auto"/>
        <w:ind w:left="57"/>
        <w:jc w:val="left"/>
        <w:shd w:val="clear" w:fill="F2F2F2"/>
      </w:pPr>
      <w:r>
        <w:rPr>
          <w:rFonts w:ascii="Consolas" w:hAnsi="Consolas" w:cs="Consolas"/>
          <w:b w:val="0"/>
          <w:i w:val="0"/>
          <w:sz w:val="15"/>
        </w:rPr>
        <w:t xml:space="preserve">  Recommended Approval: Manager + Finance</w:t>
      </w:r>
    </w:p>
    <w:p>
      <w:pPr>
        <w:spacing w:after="0" w:before="0" w:line="240" w:lineRule="auto"/>
        <w:ind w:left="57"/>
        <w:jc w:val="left"/>
        <w:shd w:val="clear" w:fill="F2F2F2"/>
      </w:pPr>
      <w:r>
        <w:rPr>
          <w:rFonts w:ascii="Consolas" w:hAnsi="Consolas" w:cs="Consolas"/>
          <w:b w:val="0"/>
          <w:i w:val="0"/>
          <w:sz w:val="15"/>
        </w:rPr>
        <w:t xml:space="preserve">  [Apply Recommendation] [Adjust] [Dismiss]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SELECT TRADE CRITICALITY</w:t>
      </w:r>
    </w:p>
    <w:p>
      <w:pPr>
        <w:spacing w:after="0" w:before="0" w:line="240" w:lineRule="auto"/>
        <w:ind w:left="57"/>
        <w:jc w:val="left"/>
        <w:shd w:val="clear" w:fill="F2F2F2"/>
      </w:pPr>
      <w:r>
        <w:rPr>
          <w:rFonts w:ascii="Consolas" w:hAnsi="Consolas" w:cs="Consolas"/>
          <w:b w:val="0"/>
          <w:i w:val="0"/>
          <w:sz w:val="15"/>
        </w:rPr>
        <w:t xml:space="preserve">  [Routine] [Priority] [Critical]</w:t>
      </w:r>
    </w:p>
    <w:p>
      <w:pPr>
        <w:spacing w:after="0" w:before="0" w:line="240" w:lineRule="auto"/>
        <w:ind w:left="57"/>
        <w:jc w:val="left"/>
        <w:shd w:val="clear" w:fill="F2F2F2"/>
      </w:pPr>
      <w:r>
        <w:rPr>
          <w:rFonts w:ascii="Consolas" w:hAnsi="Consolas" w:cs="Consolas"/>
          <w:b w:val="0"/>
          <w:i w:val="0"/>
          <w:sz w:val="15"/>
        </w:rPr>
        <w:t xml:space="preserve">  Priority trades receive expedited handling:</w:t>
      </w:r>
    </w:p>
    <w:p>
      <w:pPr>
        <w:spacing w:after="0" w:before="0" w:line="240" w:lineRule="auto"/>
        <w:ind w:left="57"/>
        <w:jc w:val="left"/>
        <w:shd w:val="clear" w:fill="F2F2F2"/>
      </w:pPr>
      <w:r>
        <w:rPr>
          <w:rFonts w:ascii="Consolas" w:hAnsi="Consolas" w:cs="Consolas"/>
          <w:b w:val="0"/>
          <w:i w:val="0"/>
          <w:sz w:val="15"/>
        </w:rPr>
        <w:t xml:space="preserve">  • 24-hour approval SLA</w:t>
      </w:r>
    </w:p>
    <w:p>
      <w:pPr>
        <w:spacing w:after="0" w:before="0" w:line="240" w:lineRule="auto"/>
        <w:ind w:left="57"/>
        <w:jc w:val="left"/>
        <w:shd w:val="clear" w:fill="F2F2F2"/>
      </w:pPr>
      <w:r>
        <w:rPr>
          <w:rFonts w:ascii="Consolas" w:hAnsi="Consolas" w:cs="Consolas"/>
          <w:b w:val="0"/>
          <w:i w:val="0"/>
          <w:sz w:val="15"/>
        </w:rPr>
        <w:t xml:space="preserve">  • Every 6 hours monitoring</w:t>
      </w:r>
    </w:p>
    <w:p>
      <w:pPr>
        <w:spacing w:after="0" w:before="0" w:line="240" w:lineRule="auto"/>
        <w:ind w:left="57"/>
        <w:jc w:val="left"/>
        <w:shd w:val="clear" w:fill="F2F2F2"/>
      </w:pPr>
      <w:r>
        <w:rPr>
          <w:rFonts w:ascii="Consolas" w:hAnsi="Consolas" w:cs="Consolas"/>
          <w:b w:val="0"/>
          <w:i w:val="0"/>
          <w:sz w:val="15"/>
        </w:rPr>
        <w:t xml:space="preserve">  • Expedited financing review</w:t>
      </w:r>
    </w:p>
    <w:p>
      <w:pPr>
        <w:spacing w:after="0" w:before="0" w:line="240" w:lineRule="auto"/>
        <w:ind w:left="57"/>
        <w:jc w:val="left"/>
        <w:shd w:val="clear" w:fill="F2F2F2"/>
      </w:pPr>
      <w:r>
        <w:rPr>
          <w:rFonts w:ascii="Consolas" w:hAnsi="Consolas" w:cs="Consolas"/>
          <w:b w:val="0"/>
          <w:i w:val="0"/>
          <w:sz w:val="15"/>
        </w:rPr>
        <w:t xml:space="preserve">  • Priority logistics booking</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6.13.4 Criticality-Driven Workflow Routing</w:t>
      </w:r>
    </w:p>
    <w:p>
      <w:pPr>
        <w:keepNext/>
        <w:spacing w:before="140" w:after="60"/>
        <w:outlineLvl w:val="3"/>
      </w:pPr>
      <w:r>
        <w:rPr>
          <w:rFonts w:ascii="Arial" w:hAnsi="Arial" w:cs="Arial"/>
          <w:b/>
          <w:i/>
          <w:color w:val="333333"/>
          <w:sz w:val="22"/>
        </w:rPr>
        <w:t>6.13.4.1 Approval Routing</w:t>
      </w:r>
    </w:p>
    <w:p>
      <w:pPr>
        <w:spacing w:after="80" w:line="293" w:lineRule="auto"/>
        <w:jc w:val="left"/>
      </w:pPr>
      <w:r>
        <w:rPr>
          <w:rFonts w:ascii="Times New Roman" w:hAnsi="Times New Roman" w:cs="Times New Roman"/>
          <w:b w:val="0"/>
          <w:i w:val="0"/>
          <w:sz w:val="22"/>
        </w:rPr>
        <w:t>Criticality maps to the required approval level and SLA: Routine → standard approval routing and standard SLA; Priority → expedited routing (Manager + Finance recommended) with a 24-hour approval SLA; Critical → immediate routing up to Director/Executive Committee with the shortest SLA. The Executive Approval Layer (Section 6.2.17) uses the criticality as an input to the required approval level.</w:t>
      </w:r>
    </w:p>
    <w:p>
      <w:pPr>
        <w:keepNext/>
        <w:spacing w:before="140" w:after="60"/>
        <w:outlineLvl w:val="3"/>
      </w:pPr>
      <w:r>
        <w:rPr>
          <w:rFonts w:ascii="Arial" w:hAnsi="Arial" w:cs="Arial"/>
          <w:b/>
          <w:i/>
          <w:color w:val="333333"/>
          <w:sz w:val="22"/>
        </w:rPr>
        <w:t>6.13.4.2 Smart Inbox Alerting</w:t>
      </w:r>
    </w:p>
    <w:p>
      <w:pPr>
        <w:spacing w:after="80" w:line="293" w:lineRule="auto"/>
        <w:jc w:val="left"/>
      </w:pPr>
      <w:r>
        <w:rPr>
          <w:rFonts w:ascii="Times New Roman" w:hAnsi="Times New Roman" w:cs="Times New Roman"/>
          <w:b w:val="0"/>
          <w:i w:val="0"/>
          <w:sz w:val="22"/>
        </w:rPr>
        <w:t>Higher criticality maps to higher Smart Inbox priority bands: Routine items score in the low/medium band; Priority items score high (80–100) with every-6-hours monitoring; Critical items are escalated immediately.</w:t>
      </w:r>
    </w:p>
    <w:p>
      <w:pPr>
        <w:keepNext/>
        <w:spacing w:before="140" w:after="60"/>
        <w:outlineLvl w:val="3"/>
      </w:pPr>
      <w:r>
        <w:rPr>
          <w:rFonts w:ascii="Arial" w:hAnsi="Arial" w:cs="Arial"/>
          <w:b/>
          <w:i/>
          <w:color w:val="333333"/>
          <w:sz w:val="22"/>
        </w:rPr>
        <w:t>6.13.4.3 Escalation Handling</w:t>
      </w:r>
    </w:p>
    <w:p>
      <w:pPr>
        <w:spacing w:after="80" w:line="293" w:lineRule="auto"/>
        <w:jc w:val="left"/>
      </w:pPr>
      <w:r>
        <w:rPr>
          <w:rFonts w:ascii="Times New Roman" w:hAnsi="Times New Roman" w:cs="Times New Roman"/>
          <w:b w:val="0"/>
          <w:i w:val="0"/>
          <w:sz w:val="22"/>
        </w:rPr>
        <w:t>Critical trades escalate faster: unresolved approval or response items escalate to higher approver levels and shorter escalation intervals as criticality increases (distressed and dispute escalation follow Section 14).</w:t>
      </w:r>
    </w:p>
    <w:p>
      <w:pPr>
        <w:keepNext/>
        <w:spacing w:before="140" w:after="60"/>
        <w:outlineLvl w:val="3"/>
      </w:pPr>
      <w:r>
        <w:rPr>
          <w:rFonts w:ascii="Arial" w:hAnsi="Arial" w:cs="Arial"/>
          <w:b/>
          <w:i/>
          <w:color w:val="333333"/>
          <w:sz w:val="22"/>
        </w:rPr>
        <w:t>6.13.4.4 Logistics Priority</w:t>
      </w:r>
    </w:p>
    <w:p>
      <w:pPr>
        <w:spacing w:after="80" w:line="293" w:lineRule="auto"/>
        <w:jc w:val="left"/>
      </w:pPr>
      <w:r>
        <w:rPr>
          <w:rFonts w:ascii="Times New Roman" w:hAnsi="Times New Roman" w:cs="Times New Roman"/>
          <w:b w:val="0"/>
          <w:i w:val="0"/>
          <w:sz w:val="22"/>
        </w:rPr>
        <w:t>Logistics providers use the criticality to prioritise bookings: priority logistics booking for Priority trades; immediate booking priority for Critical trades (Section 12).</w:t>
      </w:r>
    </w:p>
    <w:p>
      <w:pPr>
        <w:keepNext/>
        <w:spacing w:before="180" w:after="80"/>
        <w:outlineLvl w:val="2"/>
      </w:pPr>
      <w:r>
        <w:rPr>
          <w:rFonts w:ascii="Arial" w:hAnsi="Arial" w:cs="Arial"/>
          <w:b/>
          <w:i w:val="0"/>
          <w:color w:val="333333"/>
          <w:sz w:val="23"/>
        </w:rPr>
        <w:t>6.13.5 Criticality Validation (A4, WasmEdge)</w:t>
      </w:r>
    </w:p>
    <w:p>
      <w:pPr>
        <w:keepNext/>
        <w:spacing w:before="140" w:after="60"/>
        <w:outlineLvl w:val="3"/>
      </w:pPr>
      <w:r>
        <w:rPr>
          <w:rFonts w:ascii="Arial" w:hAnsi="Arial" w:cs="Arial"/>
          <w:b/>
          <w:i/>
          <w:color w:val="333333"/>
          <w:sz w:val="22"/>
        </w:rPr>
        <w:t>6.13.5.1 Validation Rules</w:t>
      </w:r>
    </w:p>
    <w:p>
      <w:pPr>
        <w:spacing w:after="0" w:before="0" w:line="240" w:lineRule="auto"/>
        <w:ind w:left="57"/>
        <w:jc w:val="left"/>
        <w:shd w:val="clear" w:fill="F2F2F2"/>
      </w:pPr>
      <w:r>
        <w:rPr>
          <w:rFonts w:ascii="Consolas" w:hAnsi="Consolas" w:cs="Consolas"/>
          <w:b w:val="0"/>
          <w:i w:val="0"/>
          <w:sz w:val="15"/>
        </w:rPr>
        <w:t>// Pseudo-code: Criticality validation</w:t>
      </w:r>
    </w:p>
    <w:p>
      <w:pPr>
        <w:spacing w:after="0" w:before="0" w:line="240" w:lineRule="auto"/>
        <w:ind w:left="57"/>
        <w:jc w:val="left"/>
        <w:shd w:val="clear" w:fill="F2F2F2"/>
      </w:pPr>
      <w:r>
        <w:rPr>
          <w:rFonts w:ascii="Consolas" w:hAnsi="Consolas" w:cs="Consolas"/>
          <w:b w:val="0"/>
          <w:i w:val="0"/>
          <w:sz w:val="15"/>
        </w:rPr>
        <w:t>fn validate_criticality(</w:t>
      </w:r>
    </w:p>
    <w:p>
      <w:pPr>
        <w:spacing w:after="0" w:before="0" w:line="240" w:lineRule="auto"/>
        <w:ind w:left="57"/>
        <w:jc w:val="left"/>
        <w:shd w:val="clear" w:fill="F2F2F2"/>
      </w:pPr>
      <w:r>
        <w:rPr>
          <w:rFonts w:ascii="Consolas" w:hAnsi="Consolas" w:cs="Consolas"/>
          <w:b w:val="0"/>
          <w:i w:val="0"/>
          <w:sz w:val="15"/>
        </w:rPr>
        <w:t xml:space="preserve">    trade_request: &amp;TradeRequest,</w:t>
      </w:r>
    </w:p>
    <w:p>
      <w:pPr>
        <w:spacing w:after="0" w:before="0" w:line="240" w:lineRule="auto"/>
        <w:ind w:left="57"/>
        <w:jc w:val="left"/>
        <w:shd w:val="clear" w:fill="F2F2F2"/>
      </w:pPr>
      <w:r>
        <w:rPr>
          <w:rFonts w:ascii="Consolas" w:hAnsi="Consolas" w:cs="Consolas"/>
          <w:b w:val="0"/>
          <w:i w:val="0"/>
          <w:sz w:val="15"/>
        </w:rPr>
        <w:t xml:space="preserve">    selected_criticality: Criticality</w:t>
      </w:r>
    </w:p>
    <w:p>
      <w:pPr>
        <w:spacing w:after="0" w:before="0" w:line="240" w:lineRule="auto"/>
        <w:ind w:left="57"/>
        <w:jc w:val="left"/>
        <w:shd w:val="clear" w:fill="F2F2F2"/>
      </w:pPr>
      <w:r>
        <w:rPr>
          <w:rFonts w:ascii="Consolas" w:hAnsi="Consolas" w:cs="Consolas"/>
          <w:b w:val="0"/>
          <w:i w:val="0"/>
          <w:sz w:val="15"/>
        </w:rPr>
        <w:t>) -&gt; Result&lt;()&gt; {</w:t>
      </w:r>
    </w:p>
    <w:p>
      <w:pPr>
        <w:spacing w:after="0" w:before="0" w:line="240" w:lineRule="auto"/>
        <w:ind w:left="57"/>
        <w:jc w:val="left"/>
        <w:shd w:val="clear" w:fill="F2F2F2"/>
      </w:pPr>
      <w:r>
        <w:rPr>
          <w:rFonts w:ascii="Consolas" w:hAnsi="Consolas" w:cs="Consolas"/>
          <w:b w:val="0"/>
          <w:i w:val="0"/>
          <w:sz w:val="15"/>
        </w:rPr>
        <w:t xml:space="preserve">    // 1. Check if criticality is appropriate for incoterm</w:t>
      </w:r>
    </w:p>
    <w:p>
      <w:pPr>
        <w:spacing w:after="0" w:before="0" w:line="240" w:lineRule="auto"/>
        <w:ind w:left="57"/>
        <w:jc w:val="left"/>
        <w:shd w:val="clear" w:fill="F2F2F2"/>
      </w:pPr>
      <w:r>
        <w:rPr>
          <w:rFonts w:ascii="Consolas" w:hAnsi="Consolas" w:cs="Consolas"/>
          <w:b w:val="0"/>
          <w:i w:val="0"/>
          <w:sz w:val="15"/>
        </w:rPr>
        <w:t xml:space="preserve">    if selected_criticality == Criticality::Critical</w:t>
      </w:r>
    </w:p>
    <w:p>
      <w:pPr>
        <w:spacing w:after="0" w:before="0" w:line="240" w:lineRule="auto"/>
        <w:ind w:left="57"/>
        <w:jc w:val="left"/>
        <w:shd w:val="clear" w:fill="F2F2F2"/>
      </w:pPr>
      <w:r>
        <w:rPr>
          <w:rFonts w:ascii="Consolas" w:hAnsi="Consolas" w:cs="Consolas"/>
          <w:b w:val="0"/>
          <w:i w:val="0"/>
          <w:sz w:val="15"/>
        </w:rPr>
        <w:t xml:space="preserve">        &amp;&amp; matches!(trade_request.incoterm, Incoterm::EXW | Incoterm::FOB)</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return Err(Error::IncotermCriticalityMismatch(</w:t>
      </w:r>
    </w:p>
    <w:p>
      <w:pPr>
        <w:spacing w:after="0" w:before="0" w:line="240" w:lineRule="auto"/>
        <w:ind w:left="57"/>
        <w:jc w:val="left"/>
        <w:shd w:val="clear" w:fill="F2F2F2"/>
      </w:pPr>
      <w:r>
        <w:rPr>
          <w:rFonts w:ascii="Consolas" w:hAnsi="Consolas" w:cs="Consolas"/>
          <w:b w:val="0"/>
          <w:i w:val="0"/>
          <w:sz w:val="15"/>
        </w:rPr>
        <w:t xml:space="preserve">            "Critical criticality is not recommended for EXW/FOB incoterms".to_string()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Check if criticality is appropriate for transport mode</w:t>
      </w:r>
    </w:p>
    <w:p>
      <w:pPr>
        <w:spacing w:after="0" w:before="0" w:line="240" w:lineRule="auto"/>
        <w:ind w:left="57"/>
        <w:jc w:val="left"/>
        <w:shd w:val="clear" w:fill="F2F2F2"/>
      </w:pPr>
      <w:r>
        <w:rPr>
          <w:rFonts w:ascii="Consolas" w:hAnsi="Consolas" w:cs="Consolas"/>
          <w:b w:val="0"/>
          <w:i w:val="0"/>
          <w:sz w:val="15"/>
        </w:rPr>
        <w:t xml:space="preserve">    if selected_criticality == Criticality::Critical</w:t>
      </w:r>
    </w:p>
    <w:p>
      <w:pPr>
        <w:spacing w:after="0" w:before="0" w:line="240" w:lineRule="auto"/>
        <w:ind w:left="57"/>
        <w:jc w:val="left"/>
        <w:shd w:val="clear" w:fill="F2F2F2"/>
      </w:pPr>
      <w:r>
        <w:rPr>
          <w:rFonts w:ascii="Consolas" w:hAnsi="Consolas" w:cs="Consolas"/>
          <w:b w:val="0"/>
          <w:i w:val="0"/>
          <w:sz w:val="15"/>
        </w:rPr>
        <w:t xml:space="preserve">        &amp;&amp; trade_request.transport_mode == TransportMode::Rail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return Err(Error::TransportCriticalityMismatch(</w:t>
      </w:r>
    </w:p>
    <w:p>
      <w:pPr>
        <w:spacing w:after="0" w:before="0" w:line="240" w:lineRule="auto"/>
        <w:ind w:left="57"/>
        <w:jc w:val="left"/>
        <w:shd w:val="clear" w:fill="F2F2F2"/>
      </w:pPr>
      <w:r>
        <w:rPr>
          <w:rFonts w:ascii="Consolas" w:hAnsi="Consolas" w:cs="Consolas"/>
          <w:b w:val="0"/>
          <w:i w:val="0"/>
          <w:sz w:val="15"/>
        </w:rPr>
        <w:t xml:space="preserve">            "Critical criticality may not be suitable for rail transport".to_string()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if criticality is appropriate for commodity</w:t>
      </w:r>
    </w:p>
    <w:p>
      <w:pPr>
        <w:spacing w:after="0" w:before="0" w:line="240" w:lineRule="auto"/>
        <w:ind w:left="57"/>
        <w:jc w:val="left"/>
        <w:shd w:val="clear" w:fill="F2F2F2"/>
      </w:pPr>
      <w:r>
        <w:rPr>
          <w:rFonts w:ascii="Consolas" w:hAnsi="Consolas" w:cs="Consolas"/>
          <w:b w:val="0"/>
          <w:i w:val="0"/>
          <w:sz w:val="15"/>
        </w:rPr>
        <w:t xml:space="preserve">    if selected_criticality == Criticality::Routine &amp;&amp; is_perishable(trade_request) {</w:t>
      </w:r>
    </w:p>
    <w:p>
      <w:pPr>
        <w:spacing w:after="0" w:before="0" w:line="240" w:lineRule="auto"/>
        <w:ind w:left="57"/>
        <w:jc w:val="left"/>
        <w:shd w:val="clear" w:fill="F2F2F2"/>
      </w:pPr>
      <w:r>
        <w:rPr>
          <w:rFonts w:ascii="Consolas" w:hAnsi="Consolas" w:cs="Consolas"/>
          <w:b w:val="0"/>
          <w:i w:val="0"/>
          <w:sz w:val="15"/>
        </w:rPr>
        <w:t xml:space="preserve">        return Err(Error::CommodityCriticalityMismatch(</w:t>
      </w:r>
    </w:p>
    <w:p>
      <w:pPr>
        <w:spacing w:after="0" w:before="0" w:line="240" w:lineRule="auto"/>
        <w:ind w:left="57"/>
        <w:jc w:val="left"/>
        <w:shd w:val="clear" w:fill="F2F2F2"/>
      </w:pPr>
      <w:r>
        <w:rPr>
          <w:rFonts w:ascii="Consolas" w:hAnsi="Consolas" w:cs="Consolas"/>
          <w:b w:val="0"/>
          <w:i w:val="0"/>
          <w:sz w:val="15"/>
        </w:rPr>
        <w:t xml:space="preserve">            "Perishable commodities typically require Priority or Critical criticality".to_string()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Check if criticality is appropriate for destination</w:t>
      </w:r>
    </w:p>
    <w:p>
      <w:pPr>
        <w:spacing w:after="0" w:before="0" w:line="240" w:lineRule="auto"/>
        <w:ind w:left="57"/>
        <w:jc w:val="left"/>
        <w:shd w:val="clear" w:fill="F2F2F2"/>
      </w:pPr>
      <w:r>
        <w:rPr>
          <w:rFonts w:ascii="Consolas" w:hAnsi="Consolas" w:cs="Consolas"/>
          <w:b w:val="0"/>
          <w:i w:val="0"/>
          <w:sz w:val="15"/>
        </w:rPr>
        <w:t xml:space="preserve">    if selected_criticality == Criticality::Routine &amp;&amp; trade_request.destination_country == "NG" {</w:t>
      </w:r>
    </w:p>
    <w:p>
      <w:pPr>
        <w:spacing w:after="0" w:before="0" w:line="240" w:lineRule="auto"/>
        <w:ind w:left="57"/>
        <w:jc w:val="left"/>
        <w:shd w:val="clear" w:fill="F2F2F2"/>
      </w:pPr>
      <w:r>
        <w:rPr>
          <w:rFonts w:ascii="Consolas" w:hAnsi="Consolas" w:cs="Consolas"/>
          <w:b w:val="0"/>
          <w:i w:val="0"/>
          <w:sz w:val="15"/>
        </w:rPr>
        <w:t xml:space="preserve">        // Nigeria</w:t>
      </w:r>
    </w:p>
    <w:p>
      <w:pPr>
        <w:spacing w:after="0" w:before="0" w:line="240" w:lineRule="auto"/>
        <w:ind w:left="57"/>
        <w:jc w:val="left"/>
        <w:shd w:val="clear" w:fill="F2F2F2"/>
      </w:pPr>
      <w:r>
        <w:rPr>
          <w:rFonts w:ascii="Consolas" w:hAnsi="Consolas" w:cs="Consolas"/>
          <w:b w:val="0"/>
          <w:i w:val="0"/>
          <w:sz w:val="15"/>
        </w:rPr>
        <w:t xml:space="preserve">        return Err(Error::DestinationCriticalityMismatch(</w:t>
      </w:r>
    </w:p>
    <w:p>
      <w:pPr>
        <w:spacing w:after="0" w:before="0" w:line="240" w:lineRule="auto"/>
        <w:ind w:left="57"/>
        <w:jc w:val="left"/>
        <w:shd w:val="clear" w:fill="F2F2F2"/>
      </w:pPr>
      <w:r>
        <w:rPr>
          <w:rFonts w:ascii="Consolas" w:hAnsi="Consolas" w:cs="Consolas"/>
          <w:b w:val="0"/>
          <w:i w:val="0"/>
          <w:sz w:val="15"/>
        </w:rPr>
        <w:t xml:space="preserve">            "Nigeria typically requires Priority or Critical criticality".to_string()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Check if criticality is appropriate for value</w:t>
      </w:r>
    </w:p>
    <w:p>
      <w:pPr>
        <w:spacing w:after="0" w:before="0" w:line="240" w:lineRule="auto"/>
        <w:ind w:left="57"/>
        <w:jc w:val="left"/>
        <w:shd w:val="clear" w:fill="F2F2F2"/>
      </w:pPr>
      <w:r>
        <w:rPr>
          <w:rFonts w:ascii="Consolas" w:hAnsi="Consolas" w:cs="Consolas"/>
          <w:b w:val="0"/>
          <w:i w:val="0"/>
          <w:sz w:val="15"/>
        </w:rPr>
        <w:t xml:space="preserve">    if selected_criticality == Criticality::Routine &amp;&amp; trade_request.total_value &gt; 500000.0 {</w:t>
      </w:r>
    </w:p>
    <w:p>
      <w:pPr>
        <w:spacing w:after="0" w:before="0" w:line="240" w:lineRule="auto"/>
        <w:ind w:left="57"/>
        <w:jc w:val="left"/>
        <w:shd w:val="clear" w:fill="F2F2F2"/>
      </w:pPr>
      <w:r>
        <w:rPr>
          <w:rFonts w:ascii="Consolas" w:hAnsi="Consolas" w:cs="Consolas"/>
          <w:b w:val="0"/>
          <w:i w:val="0"/>
          <w:sz w:val="15"/>
        </w:rPr>
        <w:t xml:space="preserve">        return Err(Error::ValueCriticalityMismatch(</w:t>
      </w:r>
    </w:p>
    <w:p>
      <w:pPr>
        <w:spacing w:after="0" w:before="0" w:line="240" w:lineRule="auto"/>
        <w:ind w:left="57"/>
        <w:jc w:val="left"/>
        <w:shd w:val="clear" w:fill="F2F2F2"/>
      </w:pPr>
      <w:r>
        <w:rPr>
          <w:rFonts w:ascii="Consolas" w:hAnsi="Consolas" w:cs="Consolas"/>
          <w:b w:val="0"/>
          <w:i w:val="0"/>
          <w:sz w:val="15"/>
        </w:rPr>
        <w:t xml:space="preserve">            "Trades over $500,000 typically require Priority or Critical criticality".to_string()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6.13.5.2 Auto-Adjustment Logic</w:t>
      </w:r>
    </w:p>
    <w:p>
      <w:pPr>
        <w:spacing w:after="80" w:line="293" w:lineRule="auto"/>
        <w:jc w:val="left"/>
      </w:pPr>
      <w:r>
        <w:rPr>
          <w:rFonts w:ascii="Times New Roman" w:hAnsi="Times New Roman" w:cs="Times New Roman"/>
          <w:b w:val="0"/>
          <w:i w:val="0"/>
          <w:sz w:val="22"/>
        </w:rPr>
        <w:t>If the selected criticality is inconsistent with trade parameters, the system suggests an adjustment:</w:t>
      </w:r>
    </w:p>
    <w:p>
      <w:pPr>
        <w:spacing w:after="0" w:before="0" w:line="240" w:lineRule="auto"/>
        <w:ind w:left="57"/>
        <w:jc w:val="left"/>
        <w:shd w:val="clear" w:fill="F2F2F2"/>
      </w:pPr>
      <w:r>
        <w:rPr>
          <w:rFonts w:ascii="Consolas" w:hAnsi="Consolas" w:cs="Consolas"/>
          <w:b w:val="0"/>
          <w:i w:val="0"/>
          <w:sz w:val="15"/>
        </w:rPr>
        <w:t>CRITICALITY ADJUSTMENT SUGGESTED</w:t>
      </w:r>
    </w:p>
    <w:p>
      <w:pPr>
        <w:spacing w:after="0" w:before="0" w:line="240" w:lineRule="auto"/>
        <w:ind w:left="57"/>
        <w:jc w:val="left"/>
        <w:shd w:val="clear" w:fill="F2F2F2"/>
      </w:pPr>
      <w:r>
        <w:rPr>
          <w:rFonts w:ascii="Consolas" w:hAnsi="Consolas" w:cs="Consolas"/>
          <w:b w:val="0"/>
          <w:i w:val="0"/>
          <w:sz w:val="15"/>
        </w:rPr>
        <w:t xml:space="preserve">  You have selected Routine criticality, but the following factors suggest:</w:t>
      </w:r>
    </w:p>
    <w:p>
      <w:pPr>
        <w:spacing w:after="0" w:before="0" w:line="240" w:lineRule="auto"/>
        <w:ind w:left="57"/>
        <w:jc w:val="left"/>
        <w:shd w:val="clear" w:fill="F2F2F2"/>
      </w:pPr>
      <w:r>
        <w:rPr>
          <w:rFonts w:ascii="Consolas" w:hAnsi="Consolas" w:cs="Consolas"/>
          <w:b w:val="0"/>
          <w:i w:val="0"/>
          <w:sz w:val="15"/>
        </w:rPr>
        <w:t xml:space="preserve">  • Perishable commodity (fresh fruit) — Priority recommended</w:t>
      </w:r>
    </w:p>
    <w:p>
      <w:pPr>
        <w:spacing w:after="0" w:before="0" w:line="240" w:lineRule="auto"/>
        <w:ind w:left="57"/>
        <w:jc w:val="left"/>
        <w:shd w:val="clear" w:fill="F2F2F2"/>
      </w:pPr>
      <w:r>
        <w:rPr>
          <w:rFonts w:ascii="Consolas" w:hAnsi="Consolas" w:cs="Consolas"/>
          <w:b w:val="0"/>
          <w:i w:val="0"/>
          <w:sz w:val="15"/>
        </w:rPr>
        <w:t xml:space="preserve">  • High trade value ($450,000) — Priority recommended</w:t>
      </w:r>
    </w:p>
    <w:p>
      <w:pPr>
        <w:spacing w:after="0" w:before="0" w:line="240" w:lineRule="auto"/>
        <w:ind w:left="57"/>
        <w:jc w:val="left"/>
        <w:shd w:val="clear" w:fill="F2F2F2"/>
      </w:pPr>
      <w:r>
        <w:rPr>
          <w:rFonts w:ascii="Consolas" w:hAnsi="Consolas" w:cs="Consolas"/>
          <w:b w:val="0"/>
          <w:i w:val="0"/>
          <w:sz w:val="15"/>
        </w:rPr>
        <w:t xml:space="preserve">  • Tight delivery window (7 days) — Critical recommended</w:t>
      </w:r>
    </w:p>
    <w:p>
      <w:pPr>
        <w:spacing w:after="0" w:before="0" w:line="240" w:lineRule="auto"/>
        <w:ind w:left="57"/>
        <w:jc w:val="left"/>
        <w:shd w:val="clear" w:fill="F2F2F2"/>
      </w:pPr>
      <w:r>
        <w:rPr>
          <w:rFonts w:ascii="Consolas" w:hAnsi="Consolas" w:cs="Consolas"/>
          <w:b w:val="0"/>
          <w:i w:val="0"/>
          <w:sz w:val="15"/>
        </w:rPr>
        <w:t xml:space="preserve">  Recommended Criticality: PRIORITY</w:t>
      </w:r>
    </w:p>
    <w:p>
      <w:pPr>
        <w:spacing w:after="0" w:before="0" w:line="240" w:lineRule="auto"/>
        <w:ind w:left="57"/>
        <w:jc w:val="left"/>
        <w:shd w:val="clear" w:fill="F2F2F2"/>
      </w:pPr>
      <w:r>
        <w:rPr>
          <w:rFonts w:ascii="Consolas" w:hAnsi="Consolas" w:cs="Consolas"/>
          <w:b w:val="0"/>
          <w:i w:val="0"/>
          <w:sz w:val="15"/>
        </w:rPr>
        <w:t xml:space="preserve">  [Apply Recommended Criticality] [Keep Routine] [Adjust Manually]</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6.13.6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Criticality Flows</w:t>
            </w:r>
          </w:p>
        </w:tc>
      </w:tr>
      <w:tr>
        <w:tc>
          <w:tcPr>
            <w:tcW w:type="dxa" w:w="4819"/>
          </w:tcPr>
          <w:p>
            <w:pPr>
              <w:spacing w:after="20" w:before="20" w:line="240" w:lineRule="auto"/>
            </w:pPr>
            <w:r/>
            <w:r>
              <w:rPr>
                <w:rFonts w:ascii="Arial" w:hAnsi="Arial" w:cs="Arial"/>
                <w:b w:val="0"/>
                <w:i w:val="0"/>
                <w:sz w:val="17"/>
              </w:rPr>
              <w:t>Phase 1 — Trade Initiation</w:t>
            </w:r>
          </w:p>
        </w:tc>
        <w:tc>
          <w:tcPr>
            <w:tcW w:type="dxa" w:w="4819"/>
          </w:tcPr>
          <w:p>
            <w:pPr>
              <w:spacing w:after="20" w:before="20" w:line="240" w:lineRule="auto"/>
            </w:pPr>
            <w:r/>
            <w:r>
              <w:rPr>
                <w:rFonts w:ascii="Arial" w:hAnsi="Arial" w:cs="Arial"/>
                <w:b w:val="0"/>
                <w:i w:val="0"/>
                <w:sz w:val="17"/>
              </w:rPr>
              <w:t>Criticality set during trade request creation; drives workflow routing</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Seller sees criticality; may adjust pricing and logistics accordingly</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Criticality is not in the contract; it is operational</w:t>
            </w:r>
          </w:p>
        </w:tc>
      </w:tr>
      <w:tr>
        <w:tc>
          <w:tcPr>
            <w:tcW w:type="dxa" w:w="4819"/>
          </w:tcPr>
          <w:p>
            <w:pPr>
              <w:spacing w:after="20" w:before="20" w:line="240" w:lineRule="auto"/>
            </w:pPr>
            <w:r/>
            <w:r>
              <w:rPr>
                <w:rFonts w:ascii="Arial" w:hAnsi="Arial" w:cs="Arial"/>
                <w:b w:val="0"/>
                <w:i w:val="0"/>
                <w:sz w:val="17"/>
              </w:rPr>
              <w:t>Phase 4 — Financing (Section 10)</w:t>
            </w:r>
          </w:p>
        </w:tc>
        <w:tc>
          <w:tcPr>
            <w:tcW w:type="dxa" w:w="4819"/>
          </w:tcPr>
          <w:p>
            <w:pPr>
              <w:spacing w:after="20" w:before="20" w:line="240" w:lineRule="auto"/>
            </w:pPr>
            <w:r/>
            <w:r>
              <w:rPr>
                <w:rFonts w:ascii="Arial" w:hAnsi="Arial" w:cs="Arial"/>
                <w:b w:val="0"/>
                <w:i w:val="0"/>
                <w:sz w:val="17"/>
              </w:rPr>
              <w:t>Financiers use criticality to assess urgency and priority</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Logistics providers use criticality to prioritise bookings</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Criticality affects settlement priority</w:t>
            </w:r>
          </w:p>
        </w:tc>
      </w:tr>
      <w:tr>
        <w:tc>
          <w:tcPr>
            <w:tcW w:type="dxa" w:w="4819"/>
          </w:tcPr>
          <w:p>
            <w:pPr>
              <w:spacing w:after="20" w:before="20" w:line="240" w:lineRule="auto"/>
            </w:pPr>
            <w:r/>
            <w:r>
              <w:rPr>
                <w:rFonts w:ascii="Arial" w:hAnsi="Arial" w:cs="Arial"/>
                <w:b w:val="0"/>
                <w:i w:val="0"/>
                <w:sz w:val="17"/>
              </w:rPr>
              <w:t>Phase 7 — Distressed Cargo (Section 14)</w:t>
            </w:r>
          </w:p>
        </w:tc>
        <w:tc>
          <w:tcPr>
            <w:tcW w:type="dxa" w:w="4819"/>
          </w:tcPr>
          <w:p>
            <w:pPr>
              <w:spacing w:after="20" w:before="20" w:line="240" w:lineRule="auto"/>
            </w:pPr>
            <w:r/>
            <w:r>
              <w:rPr>
                <w:rFonts w:ascii="Arial" w:hAnsi="Arial" w:cs="Arial"/>
                <w:b w:val="0"/>
                <w:i w:val="0"/>
                <w:sz w:val="17"/>
              </w:rPr>
              <w:t>Critical trades get faster distressed handling</w:t>
            </w:r>
          </w:p>
        </w:tc>
      </w:tr>
      <w:tr>
        <w:tc>
          <w:tcPr>
            <w:tcW w:type="dxa" w:w="4819"/>
          </w:tcPr>
          <w:p>
            <w:pPr>
              <w:spacing w:after="20" w:before="20" w:line="240" w:lineRule="auto"/>
            </w:pPr>
            <w:r/>
            <w:r>
              <w:rPr>
                <w:rFonts w:ascii="Arial" w:hAnsi="Arial" w:cs="Arial"/>
                <w:b w:val="0"/>
                <w:i w:val="0"/>
                <w:sz w:val="17"/>
              </w:rPr>
              <w:t>Phase 8 — Dispute (Section 14)</w:t>
            </w:r>
          </w:p>
        </w:tc>
        <w:tc>
          <w:tcPr>
            <w:tcW w:type="dxa" w:w="4819"/>
          </w:tcPr>
          <w:p>
            <w:pPr>
              <w:spacing w:after="20" w:before="20" w:line="240" w:lineRule="auto"/>
            </w:pPr>
            <w:r/>
            <w:r>
              <w:rPr>
                <w:rFonts w:ascii="Arial" w:hAnsi="Arial" w:cs="Arial"/>
                <w:b w:val="0"/>
                <w:i w:val="0"/>
                <w:sz w:val="17"/>
              </w:rPr>
              <w:t>Critical disputes escalate faster</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6.13.7 Governor Gates (Criticality)</w:t>
      </w:r>
    </w:p>
    <w:p>
      <w:pPr>
        <w:spacing w:after="80" w:line="293" w:lineRule="auto"/>
        <w:jc w:val="left"/>
      </w:pPr>
      <w:r>
        <w:rPr>
          <w:rFonts w:ascii="Times New Roman" w:hAnsi="Times New Roman" w:cs="Times New Roman"/>
          <w:b w:val="0"/>
          <w:i w:val="0"/>
          <w:sz w:val="22"/>
        </w:rPr>
        <w:t>Example CONDITIONAL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Routine criticality is not recommended for this perishable commodity. Please review and adjust.",</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"criticality_mismatch",</w:t>
      </w:r>
    </w:p>
    <w:p>
      <w:pPr>
        <w:spacing w:after="0" w:before="0" w:line="240" w:lineRule="auto"/>
        <w:ind w:left="57"/>
        <w:jc w:val="left"/>
        <w:shd w:val="clear" w:fill="F2F2F2"/>
      </w:pPr>
      <w:r>
        <w:rPr>
          <w:rFonts w:ascii="Consolas" w:hAnsi="Consolas" w:cs="Consolas"/>
          <w:b w:val="0"/>
          <w:i w:val="0"/>
          <w:sz w:val="15"/>
        </w:rPr>
        <w:t xml:space="preserve">        "label": "Adjust criticality to Priority or Critical",</w:t>
      </w:r>
    </w:p>
    <w:p>
      <w:pPr>
        <w:spacing w:after="0" w:before="0" w:line="240" w:lineRule="auto"/>
        <w:ind w:left="57"/>
        <w:jc w:val="left"/>
        <w:shd w:val="clear" w:fill="F2F2F2"/>
      </w:pPr>
      <w:r>
        <w:rPr>
          <w:rFonts w:ascii="Consolas" w:hAnsi="Consolas" w:cs="Consolas"/>
          <w:b w:val="0"/>
          <w:i w:val="0"/>
          <w:sz w:val="15"/>
        </w:rPr>
        <w:t xml:space="preserve">        "action_url": "/v1/trade/request/draft?section=criticality"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6.13.8 Database Schema Additions (Criticality)</w:t>
      </w:r>
    </w:p>
    <w:p>
      <w:pPr>
        <w:spacing w:after="0" w:before="0" w:line="240" w:lineRule="auto"/>
        <w:ind w:left="57"/>
        <w:jc w:val="left"/>
        <w:shd w:val="clear" w:fill="F2F2F2"/>
      </w:pPr>
      <w:r>
        <w:rPr>
          <w:rFonts w:ascii="Consolas" w:hAnsi="Consolas" w:cs="Consolas"/>
          <w:b w:val="0"/>
          <w:i w:val="0"/>
          <w:sz w:val="15"/>
        </w:rPr>
        <w:t>-- Trade Criticality</w:t>
      </w:r>
    </w:p>
    <w:p>
      <w:pPr>
        <w:spacing w:after="0" w:before="0" w:line="240" w:lineRule="auto"/>
        <w:ind w:left="57"/>
        <w:jc w:val="left"/>
        <w:shd w:val="clear" w:fill="F2F2F2"/>
      </w:pPr>
      <w:r>
        <w:rPr>
          <w:rFonts w:ascii="Consolas" w:hAnsi="Consolas" w:cs="Consolas"/>
          <w:b w:val="0"/>
          <w:i w:val="0"/>
          <w:sz w:val="15"/>
        </w:rPr>
        <w:t>ALTER TABLE trade_requests ADD COLUMN trade_criticality TEXT DEFAULT 'ROUTINE';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criticality_suggested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criticality_confidence DECIMAL(5,2);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criticality_auto_adjusted BOOLEAN DEFAULT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criticality_adjustment_reason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Criticality rules (configurable by Admin)</w:t>
      </w:r>
    </w:p>
    <w:p>
      <w:pPr>
        <w:spacing w:after="0" w:before="0" w:line="240" w:lineRule="auto"/>
        <w:ind w:left="57"/>
        <w:jc w:val="left"/>
        <w:shd w:val="clear" w:fill="F2F2F2"/>
      </w:pPr>
      <w:r>
        <w:rPr>
          <w:rFonts w:ascii="Consolas" w:hAnsi="Consolas" w:cs="Consolas"/>
          <w:b w:val="0"/>
          <w:i w:val="0"/>
          <w:sz w:val="15"/>
        </w:rPr>
        <w:t>CREATE TABLE criticality_rules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rule_type TEXT NOT NULL, -- 'INCOTERM', 'COMMODITY', 'DESTINATION', 'VALUE', 'TIME_SENSITIVE'</w:t>
      </w:r>
    </w:p>
    <w:p>
      <w:pPr>
        <w:spacing w:after="0" w:before="0" w:line="240" w:lineRule="auto"/>
        <w:ind w:left="57"/>
        <w:jc w:val="left"/>
        <w:shd w:val="clear" w:fill="F2F2F2"/>
      </w:pPr>
      <w:r>
        <w:rPr>
          <w:rFonts w:ascii="Consolas" w:hAnsi="Consolas" w:cs="Consolas"/>
          <w:b w:val="0"/>
          <w:i w:val="0"/>
          <w:sz w:val="15"/>
        </w:rPr>
        <w:t xml:space="preserve">    condition JSONB NOT NULL,</w:t>
      </w:r>
    </w:p>
    <w:p>
      <w:pPr>
        <w:spacing w:after="0" w:before="0" w:line="240" w:lineRule="auto"/>
        <w:ind w:left="57"/>
        <w:jc w:val="left"/>
        <w:shd w:val="clear" w:fill="F2F2F2"/>
      </w:pPr>
      <w:r>
        <w:rPr>
          <w:rFonts w:ascii="Consolas" w:hAnsi="Consolas" w:cs="Consolas"/>
          <w:b w:val="0"/>
          <w:i w:val="0"/>
          <w:sz w:val="15"/>
        </w:rPr>
        <w:t xml:space="preserve">    recommended_criticality TEXT NOT NULL, -- 'ROUTINE', 'PRIORITY', 'CRITICAL'</w:t>
      </w:r>
    </w:p>
    <w:p>
      <w:pPr>
        <w:spacing w:after="0" w:before="0" w:line="240" w:lineRule="auto"/>
        <w:ind w:left="57"/>
        <w:jc w:val="left"/>
        <w:shd w:val="clear" w:fill="F2F2F2"/>
      </w:pPr>
      <w:r>
        <w:rPr>
          <w:rFonts w:ascii="Consolas" w:hAnsi="Consolas" w:cs="Consolas"/>
          <w:b w:val="0"/>
          <w:i w:val="0"/>
          <w:sz w:val="15"/>
        </w:rPr>
        <w:t xml:space="preserve">    reason_template TEXT NOT NULL,</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Criticality overrides (Admin-configurable)</w:t>
      </w:r>
    </w:p>
    <w:p>
      <w:pPr>
        <w:spacing w:after="0" w:before="0" w:line="240" w:lineRule="auto"/>
        <w:ind w:left="57"/>
        <w:jc w:val="left"/>
        <w:shd w:val="clear" w:fill="F2F2F2"/>
      </w:pPr>
      <w:r>
        <w:rPr>
          <w:rFonts w:ascii="Consolas" w:hAnsi="Consolas" w:cs="Consolas"/>
          <w:b w:val="0"/>
          <w:i w:val="0"/>
          <w:sz w:val="15"/>
        </w:rPr>
        <w:t>CREATE TABLE criticality_overrides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original_criticality TEXT NOT NULL,</w:t>
      </w:r>
    </w:p>
    <w:p>
      <w:pPr>
        <w:spacing w:after="0" w:before="0" w:line="240" w:lineRule="auto"/>
        <w:ind w:left="57"/>
        <w:jc w:val="left"/>
        <w:shd w:val="clear" w:fill="F2F2F2"/>
      </w:pPr>
      <w:r>
        <w:rPr>
          <w:rFonts w:ascii="Consolas" w:hAnsi="Consolas" w:cs="Consolas"/>
          <w:b w:val="0"/>
          <w:i w:val="0"/>
          <w:sz w:val="15"/>
        </w:rPr>
        <w:t xml:space="preserve">    new_criticality TEXT NOT NULL,</w:t>
      </w:r>
    </w:p>
    <w:p>
      <w:pPr>
        <w:spacing w:after="0" w:before="0" w:line="240" w:lineRule="auto"/>
        <w:ind w:left="57"/>
        <w:jc w:val="left"/>
        <w:shd w:val="clear" w:fill="F2F2F2"/>
      </w:pPr>
      <w:r>
        <w:rPr>
          <w:rFonts w:ascii="Consolas" w:hAnsi="Consolas" w:cs="Consolas"/>
          <w:b w:val="0"/>
          <w:i w:val="0"/>
          <w:sz w:val="15"/>
        </w:rPr>
        <w:t xml:space="preserve">    override_reason TEXT,</w:t>
      </w:r>
    </w:p>
    <w:p>
      <w:pPr>
        <w:spacing w:after="0" w:before="0" w:line="240" w:lineRule="auto"/>
        <w:ind w:left="57"/>
        <w:jc w:val="left"/>
        <w:shd w:val="clear" w:fill="F2F2F2"/>
      </w:pPr>
      <w:r>
        <w:rPr>
          <w:rFonts w:ascii="Consolas" w:hAnsi="Consolas" w:cs="Consolas"/>
          <w:b w:val="0"/>
          <w:i w:val="0"/>
          <w:sz w:val="15"/>
        </w:rPr>
        <w:t xml:space="preserve">    override_by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override_at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Criticality metrics (for analytics)</w:t>
      </w:r>
    </w:p>
    <w:p>
      <w:pPr>
        <w:spacing w:after="0" w:before="0" w:line="240" w:lineRule="auto"/>
        <w:ind w:left="57"/>
        <w:jc w:val="left"/>
        <w:shd w:val="clear" w:fill="F2F2F2"/>
      </w:pPr>
      <w:r>
        <w:rPr>
          <w:rFonts w:ascii="Consolas" w:hAnsi="Consolas" w:cs="Consolas"/>
          <w:b w:val="0"/>
          <w:i w:val="0"/>
          <w:sz w:val="15"/>
        </w:rPr>
        <w:t>CREATE TABLE criticality_metrics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criticality TEXT NOT NULL,</w:t>
      </w:r>
    </w:p>
    <w:p>
      <w:pPr>
        <w:spacing w:after="0" w:before="0" w:line="240" w:lineRule="auto"/>
        <w:ind w:left="57"/>
        <w:jc w:val="left"/>
        <w:shd w:val="clear" w:fill="F2F2F2"/>
      </w:pPr>
      <w:r>
        <w:rPr>
          <w:rFonts w:ascii="Consolas" w:hAnsi="Consolas" w:cs="Consolas"/>
          <w:b w:val="0"/>
          <w:i w:val="0"/>
          <w:sz w:val="15"/>
        </w:rPr>
        <w:t xml:space="preserve">    trade_count INTEGER DEFAULT 0,</w:t>
      </w:r>
    </w:p>
    <w:p>
      <w:pPr>
        <w:spacing w:after="0" w:before="0" w:line="240" w:lineRule="auto"/>
        <w:ind w:left="57"/>
        <w:jc w:val="left"/>
        <w:shd w:val="clear" w:fill="F2F2F2"/>
      </w:pPr>
      <w:r>
        <w:rPr>
          <w:rFonts w:ascii="Consolas" w:hAnsi="Consolas" w:cs="Consolas"/>
          <w:b w:val="0"/>
          <w:i w:val="0"/>
          <w:sz w:val="15"/>
        </w:rPr>
        <w:t xml:space="preserve">    avg_value DECIMAL(20,4),</w:t>
      </w:r>
    </w:p>
    <w:p>
      <w:pPr>
        <w:spacing w:after="0" w:before="0" w:line="240" w:lineRule="auto"/>
        <w:ind w:left="57"/>
        <w:jc w:val="left"/>
        <w:shd w:val="clear" w:fill="F2F2F2"/>
      </w:pPr>
      <w:r>
        <w:rPr>
          <w:rFonts w:ascii="Consolas" w:hAnsi="Consolas" w:cs="Consolas"/>
          <w:b w:val="0"/>
          <w:i w:val="0"/>
          <w:sz w:val="15"/>
        </w:rPr>
        <w:t xml:space="preserve">    avg_delivery_days INTEGER,</w:t>
      </w:r>
    </w:p>
    <w:p>
      <w:pPr>
        <w:spacing w:after="0" w:before="0" w:line="240" w:lineRule="auto"/>
        <w:ind w:left="57"/>
        <w:jc w:val="left"/>
        <w:shd w:val="clear" w:fill="F2F2F2"/>
      </w:pPr>
      <w:r>
        <w:rPr>
          <w:rFonts w:ascii="Consolas" w:hAnsi="Consolas" w:cs="Consolas"/>
          <w:b w:val="0"/>
          <w:i w:val="0"/>
          <w:sz w:val="15"/>
        </w:rPr>
        <w:t xml:space="preserve">    avg_response_time_hours DECIMAL(10,2),</w:t>
      </w:r>
    </w:p>
    <w:p>
      <w:pPr>
        <w:spacing w:after="0" w:before="0" w:line="240" w:lineRule="auto"/>
        <w:ind w:left="57"/>
        <w:jc w:val="left"/>
        <w:shd w:val="clear" w:fill="F2F2F2"/>
      </w:pPr>
      <w:r>
        <w:rPr>
          <w:rFonts w:ascii="Consolas" w:hAnsi="Consolas" w:cs="Consolas"/>
          <w:b w:val="0"/>
          <w:i w:val="0"/>
          <w:sz w:val="15"/>
        </w:rPr>
        <w:t xml:space="preserve">    completion_rate DECIMAL(5,2),</w:t>
      </w:r>
    </w:p>
    <w:p>
      <w:pPr>
        <w:spacing w:after="0" w:before="0" w:line="240" w:lineRule="auto"/>
        <w:ind w:left="57"/>
        <w:jc w:val="left"/>
        <w:shd w:val="clear" w:fill="F2F2F2"/>
      </w:pPr>
      <w:r>
        <w:rPr>
          <w:rFonts w:ascii="Consolas" w:hAnsi="Consolas" w:cs="Consolas"/>
          <w:b w:val="0"/>
          <w:i w:val="0"/>
          <w:sz w:val="15"/>
        </w:rPr>
        <w:t xml:space="preserve">    measured_period DATE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idx_trade_requests_criticality ON trade_requests(trade_criticality);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idx_trade_requests_criticality_created ON trade_requests(trade_criticality, created_at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idx_criticality_rules_type ON criticality_rules(rule_type);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idx_criticality_overrides_trade ON criticality_overrides(trade_request_id);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idx_criticality_metrics_period ON criticality_metrics(measured_period);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6.13.9 Implementation Checklist (Criticality)</w:t>
      </w:r>
    </w:p>
    <w:p>
      <w:pPr>
        <w:keepNext/>
        <w:spacing w:before="140" w:after="60"/>
        <w:outlineLvl w:val="3"/>
      </w:pPr>
      <w:r>
        <w:rPr>
          <w:rFonts w:ascii="Arial" w:hAnsi="Arial" w:cs="Arial"/>
          <w:b/>
          <w:i/>
          <w:color w:val="333333"/>
          <w:sz w:val="22"/>
        </w:rPr>
        <w:t>6.13.9.1 Backend Services</w:t>
      </w:r>
    </w:p>
    <w:p>
      <w:pPr>
        <w:spacing w:after="80" w:line="293" w:lineRule="auto"/>
        <w:ind w:left="283"/>
        <w:jc w:val="left"/>
      </w:pPr>
      <w:r>
        <w:rPr>
          <w:rFonts w:ascii="Times New Roman" w:hAnsi="Times New Roman" w:cs="Times New Roman"/>
          <w:b w:val="0"/>
          <w:i w:val="0"/>
          <w:sz w:val="22"/>
        </w:rPr>
        <w:t>- Implement Trade Criticality service (Rust)</w:t>
      </w:r>
    </w:p>
    <w:p>
      <w:pPr>
        <w:spacing w:after="80" w:line="293" w:lineRule="auto"/>
        <w:ind w:left="283"/>
        <w:jc w:val="left"/>
      </w:pPr>
      <w:r>
        <w:rPr>
          <w:rFonts w:ascii="Times New Roman" w:hAnsi="Times New Roman" w:cs="Times New Roman"/>
          <w:b w:val="0"/>
          <w:i w:val="0"/>
          <w:sz w:val="22"/>
        </w:rPr>
        <w:t>- Implement AI suggestion generation (A1, Groq)</w:t>
      </w:r>
    </w:p>
    <w:p>
      <w:pPr>
        <w:spacing w:after="80" w:line="293" w:lineRule="auto"/>
        <w:ind w:left="283"/>
        <w:jc w:val="left"/>
      </w:pPr>
      <w:r>
        <w:rPr>
          <w:rFonts w:ascii="Times New Roman" w:hAnsi="Times New Roman" w:cs="Times New Roman"/>
          <w:b w:val="0"/>
          <w:i w:val="0"/>
          <w:sz w:val="22"/>
        </w:rPr>
        <w:t>- Implement criticality validation (A4, WasmEdge)</w:t>
      </w:r>
    </w:p>
    <w:p>
      <w:pPr>
        <w:spacing w:after="80" w:line="293" w:lineRule="auto"/>
        <w:ind w:left="283"/>
        <w:jc w:val="left"/>
      </w:pPr>
      <w:r>
        <w:rPr>
          <w:rFonts w:ascii="Times New Roman" w:hAnsi="Times New Roman" w:cs="Times New Roman"/>
          <w:b w:val="0"/>
          <w:i w:val="0"/>
          <w:sz w:val="22"/>
        </w:rPr>
        <w:t>- Implement auto-adjustment logic</w:t>
      </w:r>
    </w:p>
    <w:p>
      <w:pPr>
        <w:spacing w:after="80" w:line="293" w:lineRule="auto"/>
        <w:ind w:left="283"/>
        <w:jc w:val="left"/>
      </w:pPr>
      <w:r>
        <w:rPr>
          <w:rFonts w:ascii="Times New Roman" w:hAnsi="Times New Roman" w:cs="Times New Roman"/>
          <w:b w:val="0"/>
          <w:i w:val="0"/>
          <w:sz w:val="22"/>
        </w:rPr>
        <w:t>- Implement criticality rules engine</w:t>
      </w:r>
    </w:p>
    <w:p>
      <w:pPr>
        <w:spacing w:after="80" w:line="293" w:lineRule="auto"/>
        <w:ind w:left="283"/>
        <w:jc w:val="left"/>
      </w:pPr>
      <w:r>
        <w:rPr>
          <w:rFonts w:ascii="Times New Roman" w:hAnsi="Times New Roman" w:cs="Times New Roman"/>
          <w:b w:val="0"/>
          <w:i w:val="0"/>
          <w:sz w:val="22"/>
        </w:rPr>
        <w:t>- Implement criticality override management</w:t>
      </w:r>
    </w:p>
    <w:p>
      <w:pPr>
        <w:keepNext/>
        <w:spacing w:before="140" w:after="60"/>
        <w:outlineLvl w:val="3"/>
      </w:pPr>
      <w:r>
        <w:rPr>
          <w:rFonts w:ascii="Arial" w:hAnsi="Arial" w:cs="Arial"/>
          <w:b/>
          <w:i/>
          <w:color w:val="333333"/>
          <w:sz w:val="22"/>
        </w:rPr>
        <w:t>6.13.9.2 Frontend Components</w:t>
      </w:r>
    </w:p>
    <w:p>
      <w:pPr>
        <w:spacing w:after="80" w:line="293" w:lineRule="auto"/>
        <w:ind w:left="283"/>
        <w:jc w:val="left"/>
      </w:pPr>
      <w:r>
        <w:rPr>
          <w:rFonts w:ascii="Times New Roman" w:hAnsi="Times New Roman" w:cs="Times New Roman"/>
          <w:b w:val="0"/>
          <w:i w:val="0"/>
          <w:sz w:val="22"/>
        </w:rPr>
        <w:t>- Build Trade Criticality selector (Routine/Priority/Critical)</w:t>
      </w:r>
    </w:p>
    <w:p>
      <w:pPr>
        <w:spacing w:after="80" w:line="293" w:lineRule="auto"/>
        <w:ind w:left="283"/>
        <w:jc w:val="left"/>
      </w:pPr>
      <w:r>
        <w:rPr>
          <w:rFonts w:ascii="Times New Roman" w:hAnsi="Times New Roman" w:cs="Times New Roman"/>
          <w:b w:val="0"/>
          <w:i w:val="0"/>
          <w:sz w:val="22"/>
        </w:rPr>
        <w:t>- Build AI Suggestion display</w:t>
      </w:r>
    </w:p>
    <w:p>
      <w:pPr>
        <w:spacing w:after="80" w:line="293" w:lineRule="auto"/>
        <w:ind w:left="283"/>
        <w:jc w:val="left"/>
      </w:pPr>
      <w:r>
        <w:rPr>
          <w:rFonts w:ascii="Times New Roman" w:hAnsi="Times New Roman" w:cs="Times New Roman"/>
          <w:b w:val="0"/>
          <w:i w:val="0"/>
          <w:sz w:val="22"/>
        </w:rPr>
        <w:t>- Build Criticality implications display</w:t>
      </w:r>
    </w:p>
    <w:p>
      <w:pPr>
        <w:spacing w:after="80" w:line="293" w:lineRule="auto"/>
        <w:ind w:left="283"/>
        <w:jc w:val="left"/>
      </w:pPr>
      <w:r>
        <w:rPr>
          <w:rFonts w:ascii="Times New Roman" w:hAnsi="Times New Roman" w:cs="Times New Roman"/>
          <w:b w:val="0"/>
          <w:i w:val="0"/>
          <w:sz w:val="22"/>
        </w:rPr>
        <w:t>- Build Criticality adjustment suggestion</w:t>
      </w:r>
    </w:p>
    <w:p>
      <w:pPr>
        <w:spacing w:after="80" w:line="293" w:lineRule="auto"/>
        <w:ind w:left="283"/>
        <w:jc w:val="left"/>
      </w:pPr>
      <w:r>
        <w:rPr>
          <w:rFonts w:ascii="Times New Roman" w:hAnsi="Times New Roman" w:cs="Times New Roman"/>
          <w:b w:val="0"/>
          <w:i w:val="0"/>
          <w:sz w:val="22"/>
        </w:rPr>
        <w:t>- Build Approval routing display based on criticality</w:t>
      </w:r>
    </w:p>
    <w:p>
      <w:pPr>
        <w:keepNext/>
        <w:spacing w:before="140" w:after="60"/>
        <w:outlineLvl w:val="3"/>
      </w:pPr>
      <w:r>
        <w:rPr>
          <w:rFonts w:ascii="Arial" w:hAnsi="Arial" w:cs="Arial"/>
          <w:b/>
          <w:i/>
          <w:color w:val="333333"/>
          <w:sz w:val="22"/>
        </w:rPr>
        <w:t>6.13.9.3 Criticality Rules</w:t>
      </w:r>
    </w:p>
    <w:p>
      <w:pPr>
        <w:spacing w:after="80" w:line="293" w:lineRule="auto"/>
        <w:ind w:left="283"/>
        <w:jc w:val="left"/>
      </w:pPr>
      <w:r>
        <w:rPr>
          <w:rFonts w:ascii="Times New Roman" w:hAnsi="Times New Roman" w:cs="Times New Roman"/>
          <w:b w:val="0"/>
          <w:i w:val="0"/>
          <w:sz w:val="22"/>
        </w:rPr>
        <w:t>- Define incoterm criticality rules</w:t>
      </w:r>
    </w:p>
    <w:p>
      <w:pPr>
        <w:spacing w:after="80" w:line="293" w:lineRule="auto"/>
        <w:ind w:left="283"/>
        <w:jc w:val="left"/>
      </w:pPr>
      <w:r>
        <w:rPr>
          <w:rFonts w:ascii="Times New Roman" w:hAnsi="Times New Roman" w:cs="Times New Roman"/>
          <w:b w:val="0"/>
          <w:i w:val="0"/>
          <w:sz w:val="22"/>
        </w:rPr>
        <w:t>- Define commodity criticality rules</w:t>
      </w:r>
    </w:p>
    <w:p>
      <w:pPr>
        <w:spacing w:after="80" w:line="293" w:lineRule="auto"/>
        <w:ind w:left="283"/>
        <w:jc w:val="left"/>
      </w:pPr>
      <w:r>
        <w:rPr>
          <w:rFonts w:ascii="Times New Roman" w:hAnsi="Times New Roman" w:cs="Times New Roman"/>
          <w:b w:val="0"/>
          <w:i w:val="0"/>
          <w:sz w:val="22"/>
        </w:rPr>
        <w:t>- Define destination criticality rules</w:t>
      </w:r>
    </w:p>
    <w:p>
      <w:pPr>
        <w:spacing w:after="80" w:line="293" w:lineRule="auto"/>
        <w:ind w:left="283"/>
        <w:jc w:val="left"/>
      </w:pPr>
      <w:r>
        <w:rPr>
          <w:rFonts w:ascii="Times New Roman" w:hAnsi="Times New Roman" w:cs="Times New Roman"/>
          <w:b w:val="0"/>
          <w:i w:val="0"/>
          <w:sz w:val="22"/>
        </w:rPr>
        <w:t>- Define value criticality rules</w:t>
      </w:r>
    </w:p>
    <w:p>
      <w:pPr>
        <w:spacing w:after="80" w:line="293" w:lineRule="auto"/>
        <w:ind w:left="283"/>
        <w:jc w:val="left"/>
      </w:pPr>
      <w:r>
        <w:rPr>
          <w:rFonts w:ascii="Times New Roman" w:hAnsi="Times New Roman" w:cs="Times New Roman"/>
          <w:b w:val="0"/>
          <w:i w:val="0"/>
          <w:sz w:val="22"/>
        </w:rPr>
        <w:t>- Define time-sensitive criticality rules</w:t>
      </w:r>
    </w:p>
    <w:p>
      <w:pPr>
        <w:spacing w:after="80" w:line="293" w:lineRule="auto"/>
        <w:ind w:left="283"/>
        <w:jc w:val="left"/>
      </w:pPr>
      <w:r>
        <w:rPr>
          <w:rFonts w:ascii="Times New Roman" w:hAnsi="Times New Roman" w:cs="Times New Roman"/>
          <w:b w:val="0"/>
          <w:i w:val="0"/>
          <w:sz w:val="22"/>
        </w:rPr>
        <w:t>- Implement Admin configuration UI for rules</w:t>
      </w:r>
    </w:p>
    <w:p>
      <w:pPr>
        <w:keepNext/>
        <w:spacing w:before="140" w:after="60"/>
        <w:outlineLvl w:val="3"/>
      </w:pPr>
      <w:r>
        <w:rPr>
          <w:rFonts w:ascii="Arial" w:hAnsi="Arial" w:cs="Arial"/>
          <w:b/>
          <w:i/>
          <w:color w:val="333333"/>
          <w:sz w:val="22"/>
        </w:rPr>
        <w:t>6.13.9.4 Integration</w:t>
      </w:r>
    </w:p>
    <w:p>
      <w:pPr>
        <w:spacing w:after="80" w:line="293" w:lineRule="auto"/>
        <w:ind w:left="283"/>
        <w:jc w:val="left"/>
      </w:pPr>
      <w:r>
        <w:rPr>
          <w:rFonts w:ascii="Times New Roman" w:hAnsi="Times New Roman" w:cs="Times New Roman"/>
          <w:b w:val="0"/>
          <w:i w:val="0"/>
          <w:sz w:val="22"/>
        </w:rPr>
        <w:t>- Integrate with Smart Inbox for priority-based alerts</w:t>
      </w:r>
    </w:p>
    <w:p>
      <w:pPr>
        <w:spacing w:after="80" w:line="293" w:lineRule="auto"/>
        <w:ind w:left="283"/>
        <w:jc w:val="left"/>
      </w:pPr>
      <w:r>
        <w:rPr>
          <w:rFonts w:ascii="Times New Roman" w:hAnsi="Times New Roman" w:cs="Times New Roman"/>
          <w:b w:val="0"/>
          <w:i w:val="0"/>
          <w:sz w:val="22"/>
        </w:rPr>
        <w:t>- Integrate with Approval Engine for SLA-based routing</w:t>
      </w:r>
    </w:p>
    <w:p>
      <w:pPr>
        <w:spacing w:after="80" w:line="293" w:lineRule="auto"/>
        <w:ind w:left="283"/>
        <w:jc w:val="left"/>
      </w:pPr>
      <w:r>
        <w:rPr>
          <w:rFonts w:ascii="Times New Roman" w:hAnsi="Times New Roman" w:cs="Times New Roman"/>
          <w:b w:val="0"/>
          <w:i w:val="0"/>
          <w:sz w:val="22"/>
        </w:rPr>
        <w:t>- Integrate with Logistics Service for booking priority</w:t>
      </w:r>
    </w:p>
    <w:p>
      <w:pPr>
        <w:spacing w:after="80" w:line="293" w:lineRule="auto"/>
        <w:ind w:left="283"/>
        <w:jc w:val="left"/>
      </w:pPr>
      <w:r>
        <w:rPr>
          <w:rFonts w:ascii="Times New Roman" w:hAnsi="Times New Roman" w:cs="Times New Roman"/>
          <w:b w:val="0"/>
          <w:i w:val="0"/>
          <w:sz w:val="22"/>
        </w:rPr>
        <w:t>- Integrate with Monitoring Service for frequency-based monitoring</w:t>
      </w:r>
    </w:p>
    <w:p>
      <w:pPr>
        <w:keepNext/>
        <w:spacing w:before="140" w:after="60"/>
        <w:outlineLvl w:val="3"/>
      </w:pPr>
      <w:r>
        <w:rPr>
          <w:rFonts w:ascii="Arial" w:hAnsi="Arial" w:cs="Arial"/>
          <w:b/>
          <w:i/>
          <w:color w:val="333333"/>
          <w:sz w:val="22"/>
        </w:rPr>
        <w:t>6.13.9.5 Testing</w:t>
      </w:r>
    </w:p>
    <w:p>
      <w:pPr>
        <w:spacing w:after="80" w:line="293" w:lineRule="auto"/>
        <w:ind w:left="283"/>
        <w:jc w:val="left"/>
      </w:pPr>
      <w:r>
        <w:rPr>
          <w:rFonts w:ascii="Times New Roman" w:hAnsi="Times New Roman" w:cs="Times New Roman"/>
          <w:b w:val="0"/>
          <w:i w:val="0"/>
          <w:sz w:val="22"/>
        </w:rPr>
        <w:t>- Unit tests: criticality validation</w:t>
      </w:r>
    </w:p>
    <w:p>
      <w:pPr>
        <w:spacing w:after="80" w:line="293" w:lineRule="auto"/>
        <w:ind w:left="283"/>
        <w:jc w:val="left"/>
      </w:pPr>
      <w:r>
        <w:rPr>
          <w:rFonts w:ascii="Times New Roman" w:hAnsi="Times New Roman" w:cs="Times New Roman"/>
          <w:b w:val="0"/>
          <w:i w:val="0"/>
          <w:sz w:val="22"/>
        </w:rPr>
        <w:t>- Unit tests: AI suggestion generation</w:t>
      </w:r>
    </w:p>
    <w:p>
      <w:pPr>
        <w:spacing w:after="80" w:line="293" w:lineRule="auto"/>
        <w:ind w:left="283"/>
        <w:jc w:val="left"/>
      </w:pPr>
      <w:r>
        <w:rPr>
          <w:rFonts w:ascii="Times New Roman" w:hAnsi="Times New Roman" w:cs="Times New Roman"/>
          <w:b w:val="0"/>
          <w:i w:val="0"/>
          <w:sz w:val="22"/>
        </w:rPr>
        <w:t>- Unit tests: auto-adjustment logic</w:t>
      </w:r>
    </w:p>
    <w:p>
      <w:pPr>
        <w:spacing w:after="80" w:line="293" w:lineRule="auto"/>
        <w:ind w:left="283"/>
        <w:jc w:val="left"/>
      </w:pPr>
      <w:r>
        <w:rPr>
          <w:rFonts w:ascii="Times New Roman" w:hAnsi="Times New Roman" w:cs="Times New Roman"/>
          <w:b w:val="0"/>
          <w:i w:val="0"/>
          <w:sz w:val="22"/>
        </w:rPr>
        <w:t>- Integration tests: criticality → approval routing</w:t>
      </w:r>
    </w:p>
    <w:p>
      <w:pPr>
        <w:spacing w:after="80" w:line="293" w:lineRule="auto"/>
        <w:ind w:left="283"/>
        <w:jc w:val="left"/>
      </w:pPr>
      <w:r>
        <w:rPr>
          <w:rFonts w:ascii="Times New Roman" w:hAnsi="Times New Roman" w:cs="Times New Roman"/>
          <w:b w:val="0"/>
          <w:i w:val="0"/>
          <w:sz w:val="22"/>
        </w:rPr>
        <w:t>- Integration tests: criticality → Smart Inbox alerts</w:t>
      </w:r>
    </w:p>
    <w:p>
      <w:pPr>
        <w:spacing w:after="80" w:line="293" w:lineRule="auto"/>
        <w:ind w:left="283"/>
        <w:jc w:val="left"/>
      </w:pPr>
      <w:r>
        <w:rPr>
          <w:rFonts w:ascii="Times New Roman" w:hAnsi="Times New Roman" w:cs="Times New Roman"/>
          <w:b w:val="0"/>
          <w:i w:val="0"/>
          <w:sz w:val="22"/>
        </w:rPr>
        <w:t>- End-to-end tests: full criticality workflow</w:t>
      </w:r>
    </w:p>
    <w:p>
      <w:pPr>
        <w:keepNext/>
        <w:spacing w:before="180" w:after="80"/>
        <w:outlineLvl w:val="2"/>
      </w:pPr>
      <w:r>
        <w:rPr>
          <w:rFonts w:ascii="Arial" w:hAnsi="Arial" w:cs="Arial"/>
          <w:b/>
          <w:i w:val="0"/>
          <w:color w:val="333333"/>
          <w:sz w:val="23"/>
        </w:rPr>
        <w:t>6.13.10 AI Authority Summary (Criticality)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Criticality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Criticality suggestion with confidence, explanation, factors, recommended SLA and approval</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Criticality validation rules (incoterm, transport mode, commodity, destination, value) and auto-adjustment</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6.14 Multi-Shipment Requests</w:t>
      </w:r>
    </w:p>
    <w:p>
      <w:pPr>
        <w:keepNext/>
        <w:spacing w:before="180" w:after="80"/>
        <w:outlineLvl w:val="2"/>
      </w:pPr>
      <w:r>
        <w:rPr>
          <w:rFonts w:ascii="Arial" w:hAnsi="Arial" w:cs="Arial"/>
          <w:b/>
          <w:i w:val="0"/>
          <w:color w:val="333333"/>
          <w:sz w:val="23"/>
        </w:rPr>
        <w:t>6.14.1 Purpose &amp; Design Philosophy</w:t>
      </w:r>
    </w:p>
    <w:p>
      <w:pPr>
        <w:spacing w:after="80" w:line="293" w:lineRule="auto"/>
        <w:jc w:val="left"/>
      </w:pPr>
      <w:r>
        <w:rPr>
          <w:rFonts w:ascii="Times New Roman" w:hAnsi="Times New Roman" w:cs="Times New Roman"/>
          <w:b w:val="0"/>
          <w:i w:val="0"/>
          <w:sz w:val="22"/>
        </w:rPr>
        <w:t>The Multi-Shipment Request feature enables buyers to structure a single master contract covering multiple future deliveries. This is a critical capability for industries with recurring shipments (e.g., agricultural commodities, manufacturing supplies, retail distribution). Unlike a single-shipment contract where all goods move at once, a multi-shipment contract allows for flexible scheduling, per-shipment fee collection, and independent execution of each shipment.</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Master contract with multiple shipments — one contract covers all shipments, but each shipment locks</w:t>
      </w:r>
    </w:p>
    <w:p>
      <w:pPr>
        <w:spacing w:after="80" w:line="293" w:lineRule="auto"/>
        <w:jc w:val="left"/>
      </w:pPr>
      <w:r>
        <w:rPr>
          <w:rFonts w:ascii="Times New Roman" w:hAnsi="Times New Roman" w:cs="Times New Roman"/>
          <w:b w:val="0"/>
          <w:i w:val="0"/>
          <w:sz w:val="22"/>
        </w:rPr>
        <w:t>independently.</w:t>
      </w:r>
    </w:p>
    <w:p>
      <w:pPr>
        <w:spacing w:after="80" w:line="293" w:lineRule="auto"/>
        <w:ind w:left="283"/>
        <w:jc w:val="left"/>
      </w:pPr>
      <w:r>
        <w:rPr>
          <w:rFonts w:ascii="Times New Roman" w:hAnsi="Times New Roman" w:cs="Times New Roman"/>
          <w:b w:val="0"/>
          <w:i w:val="0"/>
          <w:sz w:val="22"/>
        </w:rPr>
        <w:t>- Per-shipment fee collection — the SGTX fee (engine-determined per shipment, Section 9.27) is collected per shipment, not upfront for the entire master contract.</w:t>
      </w:r>
    </w:p>
    <w:p>
      <w:pPr>
        <w:spacing w:after="80" w:line="293" w:lineRule="auto"/>
        <w:jc w:val="left"/>
      </w:pPr>
      <w:r>
        <w:rPr>
          <w:rFonts w:ascii="Times New Roman" w:hAnsi="Times New Roman" w:cs="Times New Roman"/>
          <w:b w:val="0"/>
          <w:i w:val="0"/>
          <w:sz w:val="22"/>
        </w:rPr>
        <w:t>master contract.</w:t>
      </w:r>
    </w:p>
    <w:p>
      <w:pPr>
        <w:spacing w:after="80" w:line="293" w:lineRule="auto"/>
        <w:ind w:left="283"/>
        <w:jc w:val="left"/>
      </w:pPr>
      <w:r>
        <w:rPr>
          <w:rFonts w:ascii="Times New Roman" w:hAnsi="Times New Roman" w:cs="Times New Roman"/>
          <w:b w:val="0"/>
          <w:i w:val="0"/>
          <w:sz w:val="22"/>
        </w:rPr>
        <w:t>- Per-shipment USTN — each shipment gets its own USTN, enabling independent tracking, documentation, and</w:t>
      </w:r>
    </w:p>
    <w:p>
      <w:pPr>
        <w:spacing w:after="80" w:line="293" w:lineRule="auto"/>
        <w:jc w:val="left"/>
      </w:pPr>
      <w:r>
        <w:rPr>
          <w:rFonts w:ascii="Times New Roman" w:hAnsi="Times New Roman" w:cs="Times New Roman"/>
          <w:b w:val="0"/>
          <w:i w:val="0"/>
          <w:sz w:val="22"/>
        </w:rPr>
        <w:t>settlement.</w:t>
      </w:r>
    </w:p>
    <w:p>
      <w:pPr>
        <w:spacing w:after="80" w:line="293" w:lineRule="auto"/>
        <w:ind w:left="283"/>
        <w:jc w:val="left"/>
      </w:pPr>
      <w:r>
        <w:rPr>
          <w:rFonts w:ascii="Times New Roman" w:hAnsi="Times New Roman" w:cs="Times New Roman"/>
          <w:b w:val="0"/>
          <w:i w:val="0"/>
          <w:sz w:val="22"/>
        </w:rPr>
        <w:t>- Flexible scheduling — buyers can define different delivery dates, ports, and quantities for each shipment.</w:t>
      </w:r>
    </w:p>
    <w:p>
      <w:pPr>
        <w:spacing w:after="80" w:line="293" w:lineRule="auto"/>
        <w:ind w:left="283"/>
        <w:jc w:val="left"/>
      </w:pPr>
      <w:r>
        <w:rPr>
          <w:rFonts w:ascii="Times New Roman" w:hAnsi="Times New Roman" w:cs="Times New Roman"/>
          <w:b w:val="0"/>
          <w:i w:val="0"/>
          <w:sz w:val="22"/>
        </w:rPr>
        <w:t>- Post-lock modification — scheduled shipments can be modified after master contract lock (subject to mutual</w:t>
      </w:r>
    </w:p>
    <w:p>
      <w:pPr>
        <w:spacing w:after="80" w:line="293" w:lineRule="auto"/>
        <w:jc w:val="left"/>
      </w:pPr>
      <w:r>
        <w:rPr>
          <w:rFonts w:ascii="Times New Roman" w:hAnsi="Times New Roman" w:cs="Times New Roman"/>
          <w:b w:val="0"/>
          <w:i w:val="0"/>
          <w:sz w:val="22"/>
        </w:rPr>
        <w:t>agreement).</w:t>
      </w:r>
    </w:p>
    <w:p>
      <w:pPr>
        <w:spacing w:after="80" w:line="293" w:lineRule="auto"/>
        <w:ind w:left="283"/>
        <w:jc w:val="left"/>
      </w:pPr>
      <w:r>
        <w:rPr>
          <w:rFonts w:ascii="Times New Roman" w:hAnsi="Times New Roman" w:cs="Times New Roman"/>
          <w:b w:val="0"/>
          <w:i w:val="0"/>
          <w:sz w:val="22"/>
        </w:rPr>
        <w:t>- Independent execution — a delay in one shipment does not block others.</w:t>
      </w:r>
    </w:p>
    <w:p>
      <w:pPr>
        <w:spacing w:after="80" w:line="293" w:lineRule="auto"/>
        <w:ind w:left="283"/>
        <w:jc w:val="left"/>
      </w:pPr>
      <w:r>
        <w:rPr>
          <w:rFonts w:ascii="Times New Roman" w:hAnsi="Times New Roman" w:cs="Times New Roman"/>
          <w:b w:val="0"/>
          <w:i w:val="0"/>
          <w:sz w:val="22"/>
        </w:rPr>
        <w:t>- Non-marketplace — never suggests optimal schedules or alternative shipment configurations; the buyer is</w:t>
      </w:r>
    </w:p>
    <w:p>
      <w:pPr>
        <w:spacing w:after="80" w:line="293" w:lineRule="auto"/>
        <w:jc w:val="left"/>
      </w:pPr>
      <w:r>
        <w:rPr>
          <w:rFonts w:ascii="Times New Roman" w:hAnsi="Times New Roman" w:cs="Times New Roman"/>
          <w:b w:val="0"/>
          <w:i w:val="0"/>
          <w:sz w:val="22"/>
        </w:rPr>
        <w:t>fully in control.</w:t>
      </w:r>
    </w:p>
    <w:p>
      <w:pPr>
        <w:spacing w:after="80" w:line="293" w:lineRule="auto"/>
        <w:jc w:val="left"/>
      </w:pPr>
      <w:r>
        <w:rPr>
          <w:rFonts w:ascii="Times New Roman" w:hAnsi="Times New Roman" w:cs="Times New Roman"/>
          <w:b w:val="0"/>
          <w:i w:val="0"/>
          <w:sz w:val="22"/>
        </w:rPr>
        <w:t>AI authority in this section: A1 (Groq) schedule suggestions; A2 schedule optimisation; A4 (WasmEdge) schedule validation.</w:t>
      </w:r>
    </w:p>
    <w:p>
      <w:pPr>
        <w:keepNext/>
        <w:spacing w:before="180" w:after="80"/>
        <w:outlineLvl w:val="2"/>
      </w:pPr>
      <w:r>
        <w:rPr>
          <w:rFonts w:ascii="Arial" w:hAnsi="Arial" w:cs="Arial"/>
          <w:b/>
          <w:i w:val="0"/>
          <w:color w:val="333333"/>
          <w:sz w:val="23"/>
        </w:rPr>
        <w:t>6.14.2 Multi-Shipment Toggle</w:t>
      </w:r>
    </w:p>
    <w:p>
      <w:pPr>
        <w:keepNext/>
        <w:spacing w:before="140" w:after="60"/>
        <w:outlineLvl w:val="3"/>
      </w:pPr>
      <w:r>
        <w:rPr>
          <w:rFonts w:ascii="Arial" w:hAnsi="Arial" w:cs="Arial"/>
          <w:b/>
          <w:i/>
          <w:color w:val="333333"/>
          <w:sz w:val="22"/>
        </w:rPr>
        <w:t>6.14.2.1 UI Toggle</w:t>
      </w:r>
    </w:p>
    <w:p>
      <w:pPr>
        <w:spacing w:after="80" w:line="293" w:lineRule="auto"/>
        <w:jc w:val="left"/>
      </w:pPr>
      <w:r>
        <w:rPr>
          <w:rFonts w:ascii="Times New Roman" w:hAnsi="Times New Roman" w:cs="Times New Roman"/>
          <w:b w:val="0"/>
          <w:i w:val="0"/>
          <w:sz w:val="22"/>
        </w:rPr>
        <w:t>The multi-shipment option is presented as a toggle below the container configuration section.</w:t>
      </w:r>
    </w:p>
    <w:p>
      <w:pPr>
        <w:spacing w:after="0" w:before="0" w:line="240" w:lineRule="auto"/>
        <w:ind w:left="57"/>
        <w:jc w:val="left"/>
        <w:shd w:val="clear" w:fill="F2F2F2"/>
      </w:pPr>
      <w:r>
        <w:rPr>
          <w:rFonts w:ascii="Consolas" w:hAnsi="Consolas" w:cs="Consolas"/>
          <w:b w:val="0"/>
          <w:i w:val="0"/>
          <w:sz w:val="15"/>
        </w:rPr>
        <w:t>MULTI-SHIPMENT CONTRACT</w:t>
      </w:r>
    </w:p>
    <w:p>
      <w:pPr>
        <w:spacing w:after="0" w:before="0" w:line="240" w:lineRule="auto"/>
        <w:ind w:left="57"/>
        <w:jc w:val="left"/>
        <w:shd w:val="clear" w:fill="F2F2F2"/>
      </w:pPr>
      <w:r>
        <w:rPr>
          <w:rFonts w:ascii="Consolas" w:hAnsi="Consolas" w:cs="Consolas"/>
          <w:b w:val="0"/>
          <w:i w:val="0"/>
          <w:sz w:val="15"/>
        </w:rPr>
        <w:t xml:space="preserve">  Request multi-shipment contract: [OFF] [ON]</w:t>
      </w:r>
    </w:p>
    <w:p>
      <w:pPr>
        <w:spacing w:after="0" w:before="0" w:line="240" w:lineRule="auto"/>
        <w:ind w:left="57"/>
        <w:jc w:val="left"/>
        <w:shd w:val="clear" w:fill="F2F2F2"/>
      </w:pPr>
      <w:r>
        <w:rPr>
          <w:rFonts w:ascii="Consolas" w:hAnsi="Consolas" w:cs="Consolas"/>
          <w:b w:val="0"/>
          <w:i w:val="0"/>
          <w:sz w:val="15"/>
        </w:rPr>
        <w:t xml:space="preserve">  A multi-shipment contract covers multiple future deliveries. Each shipment</w:t>
      </w:r>
    </w:p>
    <w:p>
      <w:pPr>
        <w:spacing w:after="0" w:before="0" w:line="240" w:lineRule="auto"/>
        <w:ind w:left="57"/>
        <w:jc w:val="left"/>
        <w:shd w:val="clear" w:fill="F2F2F2"/>
      </w:pPr>
      <w:r>
        <w:rPr>
          <w:rFonts w:ascii="Consolas" w:hAnsi="Consolas" w:cs="Consolas"/>
          <w:b w:val="0"/>
          <w:i w:val="0"/>
          <w:sz w:val="15"/>
        </w:rPr>
        <w:t xml:space="preserve">  locks independently with its own fee payment and USTN.</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6.14.2.2 When Toggle is OFF</w:t>
      </w:r>
    </w:p>
    <w:p>
      <w:pPr>
        <w:spacing w:after="80" w:line="293" w:lineRule="auto"/>
        <w:jc w:val="left"/>
      </w:pPr>
      <w:r>
        <w:rPr>
          <w:rFonts w:ascii="Times New Roman" w:hAnsi="Times New Roman" w:cs="Times New Roman"/>
          <w:b w:val="0"/>
          <w:i w:val="0"/>
          <w:sz w:val="22"/>
        </w:rPr>
        <w:t>Single-shipment contract: one USTN generated at contract lock; one SGTX fee payment upfront; simplified workflow.</w:t>
      </w:r>
    </w:p>
    <w:p>
      <w:pPr>
        <w:keepNext/>
        <w:spacing w:before="140" w:after="60"/>
        <w:outlineLvl w:val="3"/>
      </w:pPr>
      <w:r>
        <w:rPr>
          <w:rFonts w:ascii="Arial" w:hAnsi="Arial" w:cs="Arial"/>
          <w:b/>
          <w:i/>
          <w:color w:val="333333"/>
          <w:sz w:val="22"/>
        </w:rPr>
        <w:t>6.14.2.3 When Toggle is ON</w:t>
      </w:r>
    </w:p>
    <w:p>
      <w:pPr>
        <w:spacing w:after="80" w:line="293" w:lineRule="auto"/>
        <w:jc w:val="left"/>
      </w:pPr>
      <w:r>
        <w:rPr>
          <w:rFonts w:ascii="Times New Roman" w:hAnsi="Times New Roman" w:cs="Times New Roman"/>
          <w:b w:val="0"/>
          <w:i w:val="0"/>
          <w:sz w:val="22"/>
        </w:rPr>
        <w:t>Multi-shipment master contract: the schedule builder appears; each shipment locks independently; per-shipment fee collection; each shipment gets its own USTN.</w:t>
      </w:r>
    </w:p>
    <w:p>
      <w:pPr>
        <w:keepNext/>
        <w:spacing w:before="180" w:after="80"/>
        <w:outlineLvl w:val="2"/>
      </w:pPr>
      <w:r>
        <w:rPr>
          <w:rFonts w:ascii="Arial" w:hAnsi="Arial" w:cs="Arial"/>
          <w:b/>
          <w:i w:val="0"/>
          <w:color w:val="333333"/>
          <w:sz w:val="23"/>
        </w:rPr>
        <w:t>6.14.3 Schedule Builder</w:t>
      </w:r>
    </w:p>
    <w:p>
      <w:pPr>
        <w:keepNext/>
        <w:spacing w:before="140" w:after="60"/>
        <w:outlineLvl w:val="3"/>
      </w:pPr>
      <w:r>
        <w:rPr>
          <w:rFonts w:ascii="Arial" w:hAnsi="Arial" w:cs="Arial"/>
          <w:b/>
          <w:i/>
          <w:color w:val="333333"/>
          <w:sz w:val="22"/>
        </w:rPr>
        <w:t>6.14.3.1 Complete UI Example</w:t>
      </w:r>
    </w:p>
    <w:p>
      <w:pPr>
        <w:spacing w:after="0" w:before="0" w:line="240" w:lineRule="auto"/>
        <w:ind w:left="57"/>
        <w:jc w:val="left"/>
        <w:shd w:val="clear" w:fill="F2F2F2"/>
      </w:pPr>
      <w:r>
        <w:rPr>
          <w:rFonts w:ascii="Consolas" w:hAnsi="Consolas" w:cs="Consolas"/>
          <w:b w:val="0"/>
          <w:i w:val="0"/>
          <w:sz w:val="15"/>
        </w:rPr>
        <w:t>MULTI-SHIPMENT SCHEDULE</w:t>
      </w:r>
    </w:p>
    <w:p>
      <w:pPr>
        <w:spacing w:after="0" w:before="0" w:line="240" w:lineRule="auto"/>
        <w:ind w:left="57"/>
        <w:jc w:val="left"/>
        <w:shd w:val="clear" w:fill="F2F2F2"/>
      </w:pPr>
      <w:r>
        <w:rPr>
          <w:rFonts w:ascii="Consolas" w:hAnsi="Consolas" w:cs="Consolas"/>
          <w:b w:val="0"/>
          <w:i w:val="0"/>
          <w:sz w:val="15"/>
        </w:rPr>
        <w:t xml:space="preserve">  Define the delivery schedule for this multi-shipment contract.</w:t>
      </w:r>
    </w:p>
    <w:p>
      <w:pPr>
        <w:spacing w:after="0" w:before="0" w:line="240" w:lineRule="auto"/>
        <w:ind w:left="57"/>
        <w:jc w:val="left"/>
        <w:shd w:val="clear" w:fill="F2F2F2"/>
      </w:pPr>
      <w:r>
        <w:rPr>
          <w:rFonts w:ascii="Consolas" w:hAnsi="Consolas" w:cs="Consolas"/>
          <w:b w:val="0"/>
          <w:i w:val="0"/>
          <w:sz w:val="15"/>
        </w:rPr>
        <w:t xml:space="preserve">  Shipment 1:</w:t>
      </w:r>
    </w:p>
    <w:p>
      <w:pPr>
        <w:spacing w:after="0" w:before="0" w:line="240" w:lineRule="auto"/>
        <w:ind w:left="57"/>
        <w:jc w:val="left"/>
        <w:shd w:val="clear" w:fill="F2F2F2"/>
      </w:pPr>
      <w:r>
        <w:rPr>
          <w:rFonts w:ascii="Consolas" w:hAnsi="Consolas" w:cs="Consolas"/>
          <w:b w:val="0"/>
          <w:i w:val="0"/>
          <w:sz w:val="15"/>
        </w:rPr>
        <w:t xml:space="preserve">    Delivery Date: [2026-07-15] (15 Jul 2026)</w:t>
      </w:r>
    </w:p>
    <w:p>
      <w:pPr>
        <w:spacing w:after="0" w:before="0" w:line="240" w:lineRule="auto"/>
        <w:ind w:left="57"/>
        <w:jc w:val="left"/>
        <w:shd w:val="clear" w:fill="F2F2F2"/>
      </w:pPr>
      <w:r>
        <w:rPr>
          <w:rFonts w:ascii="Consolas" w:hAnsi="Consolas" w:cs="Consolas"/>
          <w:b w:val="0"/>
          <w:i w:val="0"/>
          <w:sz w:val="15"/>
        </w:rPr>
        <w:t xml:space="preserve">    Port of Discharge: [Alexandria ▼]</w:t>
      </w:r>
    </w:p>
    <w:p>
      <w:pPr>
        <w:spacing w:after="0" w:before="0" w:line="240" w:lineRule="auto"/>
        <w:ind w:left="57"/>
        <w:jc w:val="left"/>
        <w:shd w:val="clear" w:fill="F2F2F2"/>
      </w:pPr>
      <w:r>
        <w:rPr>
          <w:rFonts w:ascii="Consolas" w:hAnsi="Consolas" w:cs="Consolas"/>
          <w:b w:val="0"/>
          <w:i w:val="0"/>
          <w:sz w:val="15"/>
        </w:rPr>
        <w:t xml:space="preserve">    Number of Containers: [1]</w:t>
      </w:r>
    </w:p>
    <w:p>
      <w:pPr>
        <w:spacing w:after="0" w:before="0" w:line="240" w:lineRule="auto"/>
        <w:ind w:left="57"/>
        <w:jc w:val="left"/>
        <w:shd w:val="clear" w:fill="F2F2F2"/>
      </w:pPr>
      <w:r>
        <w:rPr>
          <w:rFonts w:ascii="Consolas" w:hAnsi="Consolas" w:cs="Consolas"/>
          <w:b w:val="0"/>
          <w:i w:val="0"/>
          <w:sz w:val="15"/>
        </w:rPr>
        <w:t xml:space="preserve">    Commodities: [Inherit from main]</w:t>
      </w:r>
    </w:p>
    <w:p>
      <w:pPr>
        <w:spacing w:after="0" w:before="0" w:line="240" w:lineRule="auto"/>
        <w:ind w:left="57"/>
        <w:jc w:val="left"/>
        <w:shd w:val="clear" w:fill="F2F2F2"/>
      </w:pPr>
      <w:r>
        <w:rPr>
          <w:rFonts w:ascii="Consolas" w:hAnsi="Consolas" w:cs="Consolas"/>
          <w:b w:val="0"/>
          <w:i w:val="0"/>
          <w:sz w:val="15"/>
        </w:rPr>
        <w:t xml:space="preserve">    [Edit Commodities] [Remove Shipment]</w:t>
      </w:r>
    </w:p>
    <w:p>
      <w:pPr>
        <w:spacing w:after="0" w:before="0" w:line="240" w:lineRule="auto"/>
        <w:ind w:left="57"/>
        <w:jc w:val="left"/>
        <w:shd w:val="clear" w:fill="F2F2F2"/>
      </w:pPr>
      <w:r>
        <w:rPr>
          <w:rFonts w:ascii="Consolas" w:hAnsi="Consolas" w:cs="Consolas"/>
          <w:b w:val="0"/>
          <w:i w:val="0"/>
          <w:sz w:val="15"/>
        </w:rPr>
        <w:t xml:space="preserve">  Shipment 2:</w:t>
      </w:r>
    </w:p>
    <w:p>
      <w:pPr>
        <w:spacing w:after="0" w:before="0" w:line="240" w:lineRule="auto"/>
        <w:ind w:left="57"/>
        <w:jc w:val="left"/>
        <w:shd w:val="clear" w:fill="F2F2F2"/>
      </w:pPr>
      <w:r>
        <w:rPr>
          <w:rFonts w:ascii="Consolas" w:hAnsi="Consolas" w:cs="Consolas"/>
          <w:b w:val="0"/>
          <w:i w:val="0"/>
          <w:sz w:val="15"/>
        </w:rPr>
        <w:t xml:space="preserve">    Delivery Date: [2026-08-15] (15 Aug 2026)</w:t>
      </w:r>
    </w:p>
    <w:p>
      <w:pPr>
        <w:spacing w:after="0" w:before="0" w:line="240" w:lineRule="auto"/>
        <w:ind w:left="57"/>
        <w:jc w:val="left"/>
        <w:shd w:val="clear" w:fill="F2F2F2"/>
      </w:pPr>
      <w:r>
        <w:rPr>
          <w:rFonts w:ascii="Consolas" w:hAnsi="Consolas" w:cs="Consolas"/>
          <w:b w:val="0"/>
          <w:i w:val="0"/>
          <w:sz w:val="15"/>
        </w:rPr>
        <w:t xml:space="preserve">    Port of Discharge: [Port Said ▼]</w:t>
      </w:r>
    </w:p>
    <w:p>
      <w:pPr>
        <w:spacing w:after="0" w:before="0" w:line="240" w:lineRule="auto"/>
        <w:ind w:left="57"/>
        <w:jc w:val="left"/>
        <w:shd w:val="clear" w:fill="F2F2F2"/>
      </w:pPr>
      <w:r>
        <w:rPr>
          <w:rFonts w:ascii="Consolas" w:hAnsi="Consolas" w:cs="Consolas"/>
          <w:b w:val="0"/>
          <w:i w:val="0"/>
          <w:sz w:val="15"/>
        </w:rPr>
        <w:t xml:space="preserve">    Number of Containers: [2]</w:t>
      </w:r>
    </w:p>
    <w:p>
      <w:pPr>
        <w:spacing w:after="0" w:before="0" w:line="240" w:lineRule="auto"/>
        <w:ind w:left="57"/>
        <w:jc w:val="left"/>
        <w:shd w:val="clear" w:fill="F2F2F2"/>
      </w:pPr>
      <w:r>
        <w:rPr>
          <w:rFonts w:ascii="Consolas" w:hAnsi="Consolas" w:cs="Consolas"/>
          <w:b w:val="0"/>
          <w:i w:val="0"/>
          <w:sz w:val="15"/>
        </w:rPr>
        <w:t xml:space="preserve">    Commodities: [Inherit from main]</w:t>
      </w:r>
    </w:p>
    <w:p>
      <w:pPr>
        <w:spacing w:after="0" w:before="0" w:line="240" w:lineRule="auto"/>
        <w:ind w:left="57"/>
        <w:jc w:val="left"/>
        <w:shd w:val="clear" w:fill="F2F2F2"/>
      </w:pPr>
      <w:r>
        <w:rPr>
          <w:rFonts w:ascii="Consolas" w:hAnsi="Consolas" w:cs="Consolas"/>
          <w:b w:val="0"/>
          <w:i w:val="0"/>
          <w:sz w:val="15"/>
        </w:rPr>
        <w:t xml:space="preserve">    [Edit Commodities] [Remove Shipment]</w:t>
      </w:r>
    </w:p>
    <w:p>
      <w:pPr>
        <w:spacing w:after="0" w:before="0" w:line="240" w:lineRule="auto"/>
        <w:ind w:left="57"/>
        <w:jc w:val="left"/>
        <w:shd w:val="clear" w:fill="F2F2F2"/>
      </w:pPr>
      <w:r>
        <w:rPr>
          <w:rFonts w:ascii="Consolas" w:hAnsi="Consolas" w:cs="Consolas"/>
          <w:b w:val="0"/>
          <w:i w:val="0"/>
          <w:sz w:val="15"/>
        </w:rPr>
        <w:t xml:space="preserve">  Shipment 3:</w:t>
      </w:r>
    </w:p>
    <w:p>
      <w:pPr>
        <w:spacing w:after="0" w:before="0" w:line="240" w:lineRule="auto"/>
        <w:ind w:left="57"/>
        <w:jc w:val="left"/>
        <w:shd w:val="clear" w:fill="F2F2F2"/>
      </w:pPr>
      <w:r>
        <w:rPr>
          <w:rFonts w:ascii="Consolas" w:hAnsi="Consolas" w:cs="Consolas"/>
          <w:b w:val="0"/>
          <w:i w:val="0"/>
          <w:sz w:val="15"/>
        </w:rPr>
        <w:t xml:space="preserve">    Delivery Date: [2026-09-15] (15 Sep 2026)</w:t>
      </w:r>
    </w:p>
    <w:p>
      <w:pPr>
        <w:spacing w:after="0" w:before="0" w:line="240" w:lineRule="auto"/>
        <w:ind w:left="57"/>
        <w:jc w:val="left"/>
        <w:shd w:val="clear" w:fill="F2F2F2"/>
      </w:pPr>
      <w:r>
        <w:rPr>
          <w:rFonts w:ascii="Consolas" w:hAnsi="Consolas" w:cs="Consolas"/>
          <w:b w:val="0"/>
          <w:i w:val="0"/>
          <w:sz w:val="15"/>
        </w:rPr>
        <w:t xml:space="preserve">    Port of Discharge: [Damietta ▼]</w:t>
      </w:r>
    </w:p>
    <w:p>
      <w:pPr>
        <w:spacing w:after="0" w:before="0" w:line="240" w:lineRule="auto"/>
        <w:ind w:left="57"/>
        <w:jc w:val="left"/>
        <w:shd w:val="clear" w:fill="F2F2F2"/>
      </w:pPr>
      <w:r>
        <w:rPr>
          <w:rFonts w:ascii="Consolas" w:hAnsi="Consolas" w:cs="Consolas"/>
          <w:b w:val="0"/>
          <w:i w:val="0"/>
          <w:sz w:val="15"/>
        </w:rPr>
        <w:t xml:space="preserve">    Number of Containers: [1]</w:t>
      </w:r>
    </w:p>
    <w:p>
      <w:pPr>
        <w:spacing w:after="0" w:before="0" w:line="240" w:lineRule="auto"/>
        <w:ind w:left="57"/>
        <w:jc w:val="left"/>
        <w:shd w:val="clear" w:fill="F2F2F2"/>
      </w:pPr>
      <w:r>
        <w:rPr>
          <w:rFonts w:ascii="Consolas" w:hAnsi="Consolas" w:cs="Consolas"/>
          <w:b w:val="0"/>
          <w:i w:val="0"/>
          <w:sz w:val="15"/>
        </w:rPr>
        <w:t xml:space="preserve">    Commodities: [Inherit from main]</w:t>
      </w:r>
    </w:p>
    <w:p>
      <w:pPr>
        <w:spacing w:after="0" w:before="0" w:line="240" w:lineRule="auto"/>
        <w:ind w:left="57"/>
        <w:jc w:val="left"/>
        <w:shd w:val="clear" w:fill="F2F2F2"/>
      </w:pPr>
      <w:r>
        <w:rPr>
          <w:rFonts w:ascii="Consolas" w:hAnsi="Consolas" w:cs="Consolas"/>
          <w:b w:val="0"/>
          <w:i w:val="0"/>
          <w:sz w:val="15"/>
        </w:rPr>
        <w:t xml:space="preserve">    [Edit Commodities] [Remove Shipment]</w:t>
      </w:r>
    </w:p>
    <w:p>
      <w:pPr>
        <w:spacing w:after="0" w:before="0" w:line="240" w:lineRule="auto"/>
        <w:ind w:left="57"/>
        <w:jc w:val="left"/>
        <w:shd w:val="clear" w:fill="F2F2F2"/>
      </w:pPr>
      <w:r>
        <w:rPr>
          <w:rFonts w:ascii="Consolas" w:hAnsi="Consolas" w:cs="Consolas"/>
          <w:b w:val="0"/>
          <w:i w:val="0"/>
          <w:sz w:val="15"/>
        </w:rPr>
        <w:t xml:space="preserve">  [Add Shipment] [Import Schedule Template] [Clear All]</w:t>
      </w:r>
    </w:p>
    <w:p>
      <w:pPr>
        <w:spacing w:after="0" w:before="0" w:line="240" w:lineRule="auto"/>
        <w:ind w:left="57"/>
        <w:jc w:val="left"/>
        <w:shd w:val="clear" w:fill="F2F2F2"/>
      </w:pPr>
      <w:r>
        <w:rPr>
          <w:rFonts w:ascii="Consolas" w:hAnsi="Consolas" w:cs="Consolas"/>
          <w:b w:val="0"/>
          <w:i w:val="0"/>
          <w:sz w:val="15"/>
        </w:rPr>
        <w:t xml:space="preserve">  AI Recommendation: For fresh produce, consider 30-day intervals between</w:t>
      </w:r>
    </w:p>
    <w:p>
      <w:pPr>
        <w:spacing w:after="0" w:before="0" w:line="240" w:lineRule="auto"/>
        <w:ind w:left="57"/>
        <w:jc w:val="left"/>
        <w:shd w:val="clear" w:fill="F2F2F2"/>
      </w:pPr>
      <w:r>
        <w:rPr>
          <w:rFonts w:ascii="Consolas" w:hAnsi="Consolas" w:cs="Consolas"/>
          <w:b w:val="0"/>
          <w:i w:val="0"/>
          <w:sz w:val="15"/>
        </w:rPr>
        <w:t xml:space="preserve">  shipments to align with harvest cycles.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6.14.3.2 Per-Shipment Fields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Type</w:t>
            </w:r>
          </w:p>
        </w:tc>
        <w:tc>
          <w:tcPr>
            <w:tcW w:type="dxa" w:w="3213"/>
            <w:shd w:val="clear" w:fill="D9E2F3"/>
          </w:tcPr>
          <w:p>
            <w:pPr>
              <w:spacing w:after="20" w:before="20" w:line="240" w:lineRule="auto"/>
            </w:pPr>
            <w:r/>
            <w:r>
              <w:rPr>
                <w:rFonts w:ascii="Arial" w:hAnsi="Arial" w:cs="Arial"/>
                <w:b/>
                <w:i w:val="0"/>
                <w:sz w:val="18"/>
              </w:rPr>
              <w:t>Notes</w:t>
            </w:r>
          </w:p>
        </w:tc>
      </w:tr>
      <w:tr>
        <w:tc>
          <w:tcPr>
            <w:tcW w:type="dxa" w:w="3213"/>
          </w:tcPr>
          <w:p>
            <w:pPr>
              <w:spacing w:after="20" w:before="20" w:line="240" w:lineRule="auto"/>
            </w:pPr>
            <w:r/>
            <w:r>
              <w:rPr>
                <w:rFonts w:ascii="Arial" w:hAnsi="Arial" w:cs="Arial"/>
                <w:b w:val="0"/>
                <w:i w:val="0"/>
                <w:sz w:val="17"/>
              </w:rPr>
              <w:t>Delivery Date</w:t>
            </w:r>
          </w:p>
        </w:tc>
        <w:tc>
          <w:tcPr>
            <w:tcW w:type="dxa" w:w="3213"/>
          </w:tcPr>
          <w:p>
            <w:pPr>
              <w:spacing w:after="20" w:before="20" w:line="240" w:lineRule="auto"/>
            </w:pPr>
            <w:r/>
            <w:r>
              <w:rPr>
                <w:rFonts w:ascii="Arial" w:hAnsi="Arial" w:cs="Arial"/>
                <w:b w:val="0"/>
                <w:i w:val="0"/>
                <w:sz w:val="17"/>
              </w:rPr>
              <w:t>Date</w:t>
            </w:r>
          </w:p>
        </w:tc>
        <w:tc>
          <w:tcPr>
            <w:tcW w:type="dxa" w:w="3213"/>
          </w:tcPr>
          <w:p>
            <w:pPr>
              <w:spacing w:after="20" w:before="20" w:line="240" w:lineRule="auto"/>
            </w:pPr>
            <w:r/>
            <w:r>
              <w:rPr>
                <w:rFonts w:ascii="Arial" w:hAnsi="Arial" w:cs="Arial"/>
                <w:b w:val="0"/>
                <w:i w:val="0"/>
                <w:sz w:val="17"/>
              </w:rPr>
              <w:t>Must be in the future; validated per shipment</w:t>
            </w:r>
          </w:p>
        </w:tc>
      </w:tr>
      <w:tr>
        <w:tc>
          <w:tcPr>
            <w:tcW w:type="dxa" w:w="3213"/>
          </w:tcPr>
          <w:p>
            <w:pPr>
              <w:spacing w:after="20" w:before="20" w:line="240" w:lineRule="auto"/>
            </w:pPr>
            <w:r/>
            <w:r>
              <w:rPr>
                <w:rFonts w:ascii="Arial" w:hAnsi="Arial" w:cs="Arial"/>
                <w:b w:val="0"/>
                <w:i w:val="0"/>
                <w:sz w:val="17"/>
              </w:rPr>
              <w:t>Port of Discharge</w:t>
            </w:r>
          </w:p>
        </w:tc>
        <w:tc>
          <w:tcPr>
            <w:tcW w:type="dxa" w:w="3213"/>
          </w:tcPr>
          <w:p>
            <w:pPr>
              <w:spacing w:after="20" w:before="20" w:line="240" w:lineRule="auto"/>
            </w:pPr>
            <w:r/>
            <w:r>
              <w:rPr>
                <w:rFonts w:ascii="Arial" w:hAnsi="Arial" w:cs="Arial"/>
                <w:b w:val="0"/>
                <w:i w:val="0"/>
                <w:sz w:val="17"/>
              </w:rPr>
              <w:t>Dependent dropdown</w:t>
            </w:r>
          </w:p>
        </w:tc>
        <w:tc>
          <w:tcPr>
            <w:tcW w:type="dxa" w:w="3213"/>
          </w:tcPr>
          <w:p>
            <w:pPr>
              <w:spacing w:after="20" w:before="20" w:line="240" w:lineRule="auto"/>
            </w:pPr>
            <w:r/>
            <w:r>
              <w:rPr>
                <w:rFonts w:ascii="Arial" w:hAnsi="Arial" w:cs="Arial"/>
                <w:b w:val="0"/>
                <w:i w:val="0"/>
                <w:sz w:val="17"/>
              </w:rPr>
              <w:t>Valid, active port</w:t>
            </w:r>
          </w:p>
        </w:tc>
      </w:tr>
      <w:tr>
        <w:tc>
          <w:tcPr>
            <w:tcW w:type="dxa" w:w="3213"/>
          </w:tcPr>
          <w:p>
            <w:pPr>
              <w:spacing w:after="20" w:before="20" w:line="240" w:lineRule="auto"/>
            </w:pPr>
            <w:r/>
            <w:r>
              <w:rPr>
                <w:rFonts w:ascii="Arial" w:hAnsi="Arial" w:cs="Arial"/>
                <w:b w:val="0"/>
                <w:i w:val="0"/>
                <w:sz w:val="17"/>
              </w:rPr>
              <w:t>Number of Containers</w:t>
            </w:r>
          </w:p>
        </w:tc>
        <w:tc>
          <w:tcPr>
            <w:tcW w:type="dxa" w:w="3213"/>
          </w:tcPr>
          <w:p>
            <w:pPr>
              <w:spacing w:after="20" w:before="20" w:line="240" w:lineRule="auto"/>
            </w:pPr>
            <w:r/>
            <w:r>
              <w:rPr>
                <w:rFonts w:ascii="Arial" w:hAnsi="Arial" w:cs="Arial"/>
                <w:b w:val="0"/>
                <w:i w:val="0"/>
                <w:sz w:val="17"/>
              </w:rPr>
              <w:t>Integer</w:t>
            </w:r>
          </w:p>
        </w:tc>
        <w:tc>
          <w:tcPr>
            <w:tcW w:type="dxa" w:w="3213"/>
          </w:tcPr>
          <w:p>
            <w:pPr>
              <w:spacing w:after="20" w:before="20" w:line="240" w:lineRule="auto"/>
            </w:pPr>
            <w:r/>
            <w:r>
              <w:rPr>
                <w:rFonts w:ascii="Arial" w:hAnsi="Arial" w:cs="Arial"/>
                <w:b w:val="0"/>
                <w:i w:val="0"/>
                <w:sz w:val="17"/>
              </w:rPr>
              <w:t>≥ 1</w:t>
            </w:r>
          </w:p>
        </w:tc>
      </w:tr>
      <w:tr>
        <w:tc>
          <w:tcPr>
            <w:tcW w:type="dxa" w:w="3213"/>
          </w:tcPr>
          <w:p>
            <w:pPr>
              <w:spacing w:after="20" w:before="20" w:line="240" w:lineRule="auto"/>
            </w:pPr>
            <w:r/>
            <w:r>
              <w:rPr>
                <w:rFonts w:ascii="Arial" w:hAnsi="Arial" w:cs="Arial"/>
                <w:b w:val="0"/>
                <w:i w:val="0"/>
                <w:sz w:val="17"/>
              </w:rPr>
              <w:t>Commodities</w:t>
            </w:r>
          </w:p>
        </w:tc>
        <w:tc>
          <w:tcPr>
            <w:tcW w:type="dxa" w:w="3213"/>
          </w:tcPr>
          <w:p>
            <w:pPr>
              <w:spacing w:after="20" w:before="20" w:line="240" w:lineRule="auto"/>
            </w:pPr>
            <w:r/>
            <w:r>
              <w:rPr>
                <w:rFonts w:ascii="Arial" w:hAnsi="Arial" w:cs="Arial"/>
                <w:b w:val="0"/>
                <w:i w:val="0"/>
                <w:sz w:val="17"/>
              </w:rPr>
              <w:t>Inherit from main / Override</w:t>
            </w:r>
          </w:p>
        </w:tc>
        <w:tc>
          <w:tcPr>
            <w:tcW w:type="dxa" w:w="3213"/>
          </w:tcPr>
          <w:p>
            <w:pPr>
              <w:spacing w:after="20" w:before="20" w:line="240" w:lineRule="auto"/>
            </w:pPr>
            <w:r/>
            <w:r>
              <w:rPr>
                <w:rFonts w:ascii="Arial" w:hAnsi="Arial" w:cs="Arial"/>
                <w:b w:val="0"/>
                <w:i w:val="0"/>
                <w:sz w:val="17"/>
              </w:rPr>
              <w:t>Per-shipment override supported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6.14.3.3 Commodity Override</w:t>
      </w:r>
    </w:p>
    <w:p>
      <w:pPr>
        <w:spacing w:after="80" w:line="293" w:lineRule="auto"/>
        <w:jc w:val="left"/>
      </w:pPr>
      <w:r>
        <w:rPr>
          <w:rFonts w:ascii="Times New Roman" w:hAnsi="Times New Roman" w:cs="Times New Roman"/>
          <w:b w:val="0"/>
          <w:i w:val="0"/>
          <w:sz w:val="22"/>
        </w:rPr>
        <w:t>When the buyer clicks "Edit Commodities" for a shipment, a mini-form appears:</w:t>
      </w:r>
    </w:p>
    <w:p>
      <w:pPr>
        <w:spacing w:after="0" w:before="0" w:line="240" w:lineRule="auto"/>
        <w:ind w:left="57"/>
        <w:jc w:val="left"/>
        <w:shd w:val="clear" w:fill="F2F2F2"/>
      </w:pPr>
      <w:r>
        <w:rPr>
          <w:rFonts w:ascii="Consolas" w:hAnsi="Consolas" w:cs="Consolas"/>
          <w:b w:val="0"/>
          <w:i w:val="0"/>
          <w:sz w:val="15"/>
        </w:rPr>
        <w:t>EDIT COMMODITIES — Shipment 2</w:t>
      </w:r>
    </w:p>
    <w:p>
      <w:pPr>
        <w:spacing w:after="0" w:before="0" w:line="240" w:lineRule="auto"/>
        <w:ind w:left="57"/>
        <w:jc w:val="left"/>
        <w:shd w:val="clear" w:fill="F2F2F2"/>
      </w:pPr>
      <w:r>
        <w:rPr>
          <w:rFonts w:ascii="Consolas" w:hAnsi="Consolas" w:cs="Consolas"/>
          <w:b w:val="0"/>
          <w:i w:val="0"/>
          <w:sz w:val="15"/>
        </w:rPr>
        <w:t xml:space="preserve">  Commodity 1: Oranges</w:t>
      </w:r>
    </w:p>
    <w:p>
      <w:pPr>
        <w:spacing w:after="0" w:before="0" w:line="240" w:lineRule="auto"/>
        <w:ind w:left="57"/>
        <w:jc w:val="left"/>
        <w:shd w:val="clear" w:fill="F2F2F2"/>
      </w:pPr>
      <w:r>
        <w:rPr>
          <w:rFonts w:ascii="Consolas" w:hAnsi="Consolas" w:cs="Consolas"/>
          <w:b w:val="0"/>
          <w:i w:val="0"/>
          <w:sz w:val="15"/>
        </w:rPr>
        <w:t xml:space="preserve">    Quantity: [100] [MT ▼]   Tolerance: [±5% ▼]</w:t>
      </w:r>
    </w:p>
    <w:p>
      <w:pPr>
        <w:spacing w:after="0" w:before="0" w:line="240" w:lineRule="auto"/>
        <w:ind w:left="57"/>
        <w:jc w:val="left"/>
        <w:shd w:val="clear" w:fill="F2F2F2"/>
      </w:pPr>
      <w:r>
        <w:rPr>
          <w:rFonts w:ascii="Consolas" w:hAnsi="Consolas" w:cs="Consolas"/>
          <w:b w:val="0"/>
          <w:i w:val="0"/>
          <w:sz w:val="15"/>
        </w:rPr>
        <w:t xml:space="preserve">    Packaging: [Palletized ▼]   Pallets: [22]</w:t>
      </w:r>
    </w:p>
    <w:p>
      <w:pPr>
        <w:spacing w:after="0" w:before="0" w:line="240" w:lineRule="auto"/>
        <w:ind w:left="57"/>
        <w:jc w:val="left"/>
        <w:shd w:val="clear" w:fill="F2F2F2"/>
      </w:pPr>
      <w:r>
        <w:rPr>
          <w:rFonts w:ascii="Consolas" w:hAnsi="Consolas" w:cs="Consolas"/>
          <w:b w:val="0"/>
          <w:i w:val="0"/>
          <w:sz w:val="15"/>
        </w:rPr>
        <w:t xml:space="preserve">  Commodity 2: Lemons</w:t>
      </w:r>
    </w:p>
    <w:p>
      <w:pPr>
        <w:spacing w:after="0" w:before="0" w:line="240" w:lineRule="auto"/>
        <w:ind w:left="57"/>
        <w:jc w:val="left"/>
        <w:shd w:val="clear" w:fill="F2F2F2"/>
      </w:pPr>
      <w:r>
        <w:rPr>
          <w:rFonts w:ascii="Consolas" w:hAnsi="Consolas" w:cs="Consolas"/>
          <w:b w:val="0"/>
          <w:i w:val="0"/>
          <w:sz w:val="15"/>
        </w:rPr>
        <w:t xml:space="preserve">    Quantity: [50] [MT ▼]   Tolerance: [±5% ▼]</w:t>
      </w:r>
    </w:p>
    <w:p>
      <w:pPr>
        <w:spacing w:after="0" w:before="0" w:line="240" w:lineRule="auto"/>
        <w:ind w:left="57"/>
        <w:jc w:val="left"/>
        <w:shd w:val="clear" w:fill="F2F2F2"/>
      </w:pPr>
      <w:r>
        <w:rPr>
          <w:rFonts w:ascii="Consolas" w:hAnsi="Consolas" w:cs="Consolas"/>
          <w:b w:val="0"/>
          <w:i w:val="0"/>
          <w:sz w:val="15"/>
        </w:rPr>
        <w:t xml:space="preserve">    Packaging: [Palletized ▼]   Pallets: [14]</w:t>
      </w:r>
    </w:p>
    <w:p>
      <w:pPr>
        <w:spacing w:after="0" w:before="0" w:line="240" w:lineRule="auto"/>
        <w:ind w:left="57"/>
        <w:jc w:val="left"/>
        <w:shd w:val="clear" w:fill="F2F2F2"/>
      </w:pPr>
      <w:r>
        <w:rPr>
          <w:rFonts w:ascii="Consolas" w:hAnsi="Consolas" w:cs="Consolas"/>
          <w:b w:val="0"/>
          <w:i w:val="0"/>
          <w:sz w:val="15"/>
        </w:rPr>
        <w:t xml:space="preserve">  Changes here only affect Shipment 2. Other shipments retain main settings.</w:t>
      </w:r>
    </w:p>
    <w:p>
      <w:pPr>
        <w:spacing w:after="0" w:before="0" w:line="240" w:lineRule="auto"/>
        <w:ind w:left="57"/>
        <w:jc w:val="left"/>
        <w:shd w:val="clear" w:fill="F2F2F2"/>
      </w:pPr>
      <w:r>
        <w:rPr>
          <w:rFonts w:ascii="Consolas" w:hAnsi="Consolas" w:cs="Consolas"/>
          <w:b w:val="0"/>
          <w:i w:val="0"/>
          <w:sz w:val="15"/>
        </w:rPr>
        <w:t xml:space="preserve">  [Save Changes] [Reset to Main] [Cancel]</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6.14.4 AI-Assisted Schedule Suggestions (A1, Groq)</w:t>
      </w:r>
    </w:p>
    <w:p>
      <w:pPr>
        <w:keepNext/>
        <w:spacing w:before="140" w:after="60"/>
        <w:outlineLvl w:val="3"/>
      </w:pPr>
      <w:r>
        <w:rPr>
          <w:rFonts w:ascii="Arial" w:hAnsi="Arial" w:cs="Arial"/>
          <w:b/>
          <w:i/>
          <w:color w:val="333333"/>
          <w:sz w:val="22"/>
        </w:rPr>
        <w:t>6.14.4.1 Suggestion Generation</w:t>
      </w:r>
    </w:p>
    <w:p>
      <w:pPr>
        <w:spacing w:after="80" w:line="293" w:lineRule="auto"/>
        <w:jc w:val="left"/>
      </w:pPr>
      <w:r>
        <w:rPr>
          <w:rFonts w:ascii="Times New Roman" w:hAnsi="Times New Roman" w:cs="Times New Roman"/>
          <w:b w:val="0"/>
          <w:i w:val="0"/>
          <w:sz w:val="22"/>
        </w:rPr>
        <w:t>The system generates AI suggestions based on commodity type and seasonality (harvest cycles), carrier availability, warehouse capacity, payment cycles, and historical demand patterns.</w:t>
      </w:r>
    </w:p>
    <w:p>
      <w:pPr>
        <w:keepNext/>
        <w:spacing w:before="140" w:after="60"/>
        <w:outlineLvl w:val="3"/>
      </w:pPr>
      <w:r>
        <w:rPr>
          <w:rFonts w:ascii="Arial" w:hAnsi="Arial" w:cs="Arial"/>
          <w:b/>
          <w:i/>
          <w:color w:val="333333"/>
          <w:sz w:val="22"/>
        </w:rPr>
        <w:t>6.14.4.2 Suggestion Example</w:t>
      </w:r>
    </w:p>
    <w:p>
      <w:pPr>
        <w:spacing w:after="0" w:before="0" w:line="240" w:lineRule="auto"/>
        <w:ind w:left="57"/>
        <w:jc w:val="left"/>
        <w:shd w:val="clear" w:fill="F2F2F2"/>
      </w:pPr>
      <w:r>
        <w:rPr>
          <w:rFonts w:ascii="Consolas" w:hAnsi="Consolas" w:cs="Consolas"/>
          <w:b w:val="0"/>
          <w:i w:val="0"/>
          <w:sz w:val="15"/>
        </w:rPr>
        <w:t>AI SCHEDULE SUGGESTIONS</w:t>
      </w:r>
    </w:p>
    <w:p>
      <w:pPr>
        <w:spacing w:after="0" w:before="0" w:line="240" w:lineRule="auto"/>
        <w:ind w:left="57"/>
        <w:jc w:val="left"/>
        <w:shd w:val="clear" w:fill="F2F2F2"/>
      </w:pPr>
      <w:r>
        <w:rPr>
          <w:rFonts w:ascii="Consolas" w:hAnsi="Consolas" w:cs="Consolas"/>
          <w:b w:val="0"/>
          <w:i w:val="0"/>
          <w:sz w:val="15"/>
        </w:rPr>
        <w:t xml:space="preserve">  Based on your trade parameters, we suggest the following schedule:</w:t>
      </w:r>
    </w:p>
    <w:p>
      <w:pPr>
        <w:spacing w:after="0" w:before="0" w:line="240" w:lineRule="auto"/>
        <w:ind w:left="57"/>
        <w:jc w:val="left"/>
        <w:shd w:val="clear" w:fill="F2F2F2"/>
      </w:pPr>
      <w:r>
        <w:rPr>
          <w:rFonts w:ascii="Consolas" w:hAnsi="Consolas" w:cs="Consolas"/>
          <w:b w:val="0"/>
          <w:i w:val="0"/>
          <w:sz w:val="15"/>
        </w:rPr>
        <w:t xml:space="preserve">  Shipment   Delivery Date    Port        Containers   Confidence   Reason</w:t>
      </w:r>
    </w:p>
    <w:p>
      <w:pPr>
        <w:spacing w:after="0" w:before="0" w:line="240" w:lineRule="auto"/>
        <w:ind w:left="57"/>
        <w:jc w:val="left"/>
        <w:shd w:val="clear" w:fill="F2F2F2"/>
      </w:pPr>
      <w:r>
        <w:rPr>
          <w:rFonts w:ascii="Consolas" w:hAnsi="Consolas" w:cs="Consolas"/>
          <w:b w:val="0"/>
          <w:i w:val="0"/>
          <w:sz w:val="15"/>
        </w:rPr>
        <w:t xml:space="preserve">  1          15 Jul 2026      Alexandria  1            92%          Post-harvest</w:t>
      </w:r>
    </w:p>
    <w:p>
      <w:pPr>
        <w:spacing w:after="0" w:before="0" w:line="240" w:lineRule="auto"/>
        <w:ind w:left="57"/>
        <w:jc w:val="left"/>
        <w:shd w:val="clear" w:fill="F2F2F2"/>
      </w:pPr>
      <w:r>
        <w:rPr>
          <w:rFonts w:ascii="Consolas" w:hAnsi="Consolas" w:cs="Consolas"/>
          <w:b w:val="0"/>
          <w:i w:val="0"/>
          <w:sz w:val="15"/>
        </w:rPr>
        <w:t xml:space="preserve">  2          15 Aug 2026      Port Said   2            88%          Peak demand</w:t>
      </w:r>
    </w:p>
    <w:p>
      <w:pPr>
        <w:spacing w:after="0" w:before="0" w:line="240" w:lineRule="auto"/>
        <w:ind w:left="57"/>
        <w:jc w:val="left"/>
        <w:shd w:val="clear" w:fill="F2F2F2"/>
      </w:pPr>
      <w:r>
        <w:rPr>
          <w:rFonts w:ascii="Consolas" w:hAnsi="Consolas" w:cs="Consolas"/>
          <w:b w:val="0"/>
          <w:i w:val="0"/>
          <w:sz w:val="15"/>
        </w:rPr>
        <w:t xml:space="preserve">  3          15 Sep 2026      Damietta    1            85%          End of cycle</w:t>
      </w:r>
    </w:p>
    <w:p>
      <w:pPr>
        <w:spacing w:after="0" w:before="0" w:line="240" w:lineRule="auto"/>
        <w:ind w:left="57"/>
        <w:jc w:val="left"/>
        <w:shd w:val="clear" w:fill="F2F2F2"/>
      </w:pPr>
      <w:r>
        <w:rPr>
          <w:rFonts w:ascii="Consolas" w:hAnsi="Consolas" w:cs="Consolas"/>
          <w:b w:val="0"/>
          <w:i w:val="0"/>
          <w:sz w:val="15"/>
        </w:rPr>
        <w:t xml:space="preserve">  [Apply All] [Modify] [Dismiss]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6.14.4.3 Schedule Optimisation (A2)</w:t>
      </w:r>
    </w:p>
    <w:p>
      <w:pPr>
        <w:spacing w:after="80" w:line="293" w:lineRule="auto"/>
        <w:jc w:val="left"/>
      </w:pPr>
      <w:r>
        <w:rPr>
          <w:rFonts w:ascii="Times New Roman" w:hAnsi="Times New Roman" w:cs="Times New Roman"/>
          <w:b w:val="0"/>
          <w:i w:val="0"/>
          <w:sz w:val="22"/>
        </w:rPr>
        <w:t>The system can also optimise the schedule based on: carrier availability (aligns with sailing schedules); warehouse capacity (spreads shipments to avoid storage bottlenecks); payment cycles (aligns with the buyer's cash flow); and seasonal patterns (aligns with historical demand patterns).</w:t>
      </w:r>
    </w:p>
    <w:p>
      <w:pPr>
        <w:keepNext/>
        <w:spacing w:before="180" w:after="80"/>
        <w:outlineLvl w:val="2"/>
      </w:pPr>
      <w:r>
        <w:rPr>
          <w:rFonts w:ascii="Arial" w:hAnsi="Arial" w:cs="Arial"/>
          <w:b/>
          <w:i w:val="0"/>
          <w:color w:val="333333"/>
          <w:sz w:val="23"/>
        </w:rPr>
        <w:t>6.14.5 Data Model — Multi-Shipment Structure</w:t>
      </w:r>
    </w:p>
    <w:p>
      <w:pPr>
        <w:keepNext/>
        <w:spacing w:before="140" w:after="60"/>
        <w:outlineLvl w:val="3"/>
      </w:pPr>
      <w:r>
        <w:rPr>
          <w:rFonts w:ascii="Arial" w:hAnsi="Arial" w:cs="Arial"/>
          <w:b/>
          <w:i/>
          <w:color w:val="333333"/>
          <w:sz w:val="22"/>
        </w:rPr>
        <w:t>6.14.5.1 Master Contract vs. Shipments</w:t>
      </w:r>
    </w:p>
    <w:p>
      <w:pPr>
        <w:spacing w:after="0" w:before="0" w:line="240" w:lineRule="auto"/>
        <w:ind w:left="57"/>
        <w:jc w:val="left"/>
        <w:shd w:val="clear" w:fill="F2F2F2"/>
      </w:pPr>
      <w:r>
        <w:rPr>
          <w:rFonts w:ascii="Consolas" w:hAnsi="Consolas" w:cs="Consolas"/>
          <w:b w:val="0"/>
          <w:i w:val="0"/>
          <w:sz w:val="15"/>
        </w:rPr>
        <w:t>MASTER CONTRACT (MC-20260415-001)</w:t>
      </w:r>
    </w:p>
    <w:p>
      <w:pPr>
        <w:spacing w:after="0" w:before="0" w:line="240" w:lineRule="auto"/>
        <w:ind w:left="57"/>
        <w:jc w:val="left"/>
        <w:shd w:val="clear" w:fill="F2F2F2"/>
      </w:pPr>
      <w:r>
        <w:rPr>
          <w:rFonts w:ascii="Consolas" w:hAnsi="Consolas" w:cs="Consolas"/>
          <w:b w:val="0"/>
          <w:i w:val="0"/>
          <w:sz w:val="15"/>
        </w:rPr>
        <w:t xml:space="preserve">  Contract ID: MC-20260415-001</w:t>
      </w:r>
    </w:p>
    <w:p>
      <w:pPr>
        <w:spacing w:after="0" w:before="0" w:line="240" w:lineRule="auto"/>
        <w:ind w:left="57"/>
        <w:jc w:val="left"/>
        <w:shd w:val="clear" w:fill="F2F2F2"/>
      </w:pPr>
      <w:r>
        <w:rPr>
          <w:rFonts w:ascii="Consolas" w:hAnsi="Consolas" w:cs="Consolas"/>
          <w:b w:val="0"/>
          <w:i w:val="0"/>
          <w:sz w:val="15"/>
        </w:rPr>
        <w:t xml:space="preserve">  Status: ACTIVE_MASTER</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Total Value: $450,000</w:t>
      </w:r>
    </w:p>
    <w:p>
      <w:pPr>
        <w:spacing w:after="0" w:before="0" w:line="240" w:lineRule="auto"/>
        <w:ind w:left="57"/>
        <w:jc w:val="left"/>
        <w:shd w:val="clear" w:fill="F2F2F2"/>
      </w:pPr>
      <w:r>
        <w:rPr>
          <w:rFonts w:ascii="Consolas" w:hAnsi="Consolas" w:cs="Consolas"/>
          <w:b w:val="0"/>
          <w:i w:val="0"/>
          <w:sz w:val="15"/>
        </w:rPr>
        <w:t>SGTX Fee: engine-determined per shipment (Section 9.27)</w:t>
      </w:r>
    </w:p>
    <w:p>
      <w:pPr>
        <w:spacing w:after="0" w:before="0" w:line="240" w:lineRule="auto"/>
        <w:ind w:left="57"/>
        <w:jc w:val="left"/>
        <w:shd w:val="clear" w:fill="F2F2F2"/>
      </w:pPr>
      <w:r>
        <w:rPr>
          <w:rFonts w:ascii="Consolas" w:hAnsi="Consolas" w:cs="Consolas"/>
          <w:b w:val="0"/>
          <w:i w:val="0"/>
          <w:sz w:val="15"/>
        </w:rPr>
        <w:t xml:space="preserve">  Created: 2026-04-15</w:t>
      </w:r>
    </w:p>
    <w:p>
      <w:pPr>
        <w:spacing w:after="0" w:before="0" w:line="240" w:lineRule="auto"/>
        <w:ind w:left="57"/>
        <w:jc w:val="left"/>
        <w:shd w:val="clear" w:fill="F2F2F2"/>
      </w:pPr>
      <w:r>
        <w:rPr>
          <w:rFonts w:ascii="Consolas" w:hAnsi="Consolas" w:cs="Consolas"/>
          <w:b w:val="0"/>
          <w:i w:val="0"/>
          <w:sz w:val="15"/>
        </w:rPr>
        <w:t xml:space="preserve">  ├─ SHIPMENT 1                          SHIPMENT 2</w:t>
      </w:r>
    </w:p>
    <w:p>
      <w:pPr>
        <w:spacing w:after="0" w:before="0" w:line="240" w:lineRule="auto"/>
        <w:ind w:left="57"/>
        <w:jc w:val="left"/>
        <w:shd w:val="clear" w:fill="F2F2F2"/>
      </w:pPr>
      <w:r>
        <w:rPr>
          <w:rFonts w:ascii="Consolas" w:hAnsi="Consolas" w:cs="Consolas"/>
          <w:b w:val="0"/>
          <w:i w:val="0"/>
          <w:sz w:val="15"/>
        </w:rPr>
        <w:t xml:space="preserve">  │  Status: LOCKED (in transit)            Status: SCHEDULED</w:t>
      </w:r>
    </w:p>
    <w:p>
      <w:pPr>
        <w:spacing w:after="0" w:before="0" w:line="240" w:lineRule="auto"/>
        <w:ind w:left="57"/>
        <w:jc w:val="left"/>
        <w:shd w:val="clear" w:fill="F2F2F2"/>
      </w:pPr>
      <w:r>
        <w:rPr>
          <w:rFonts w:ascii="Consolas" w:hAnsi="Consolas" w:cs="Consolas"/>
          <w:b w:val="0"/>
          <w:i w:val="0"/>
          <w:sz w:val="15"/>
        </w:rPr>
        <w:t xml:space="preserve">  │  USTN: SGTX-1397F3A-...-V1             USTN: (not yet generated)</w:t>
      </w:r>
    </w:p>
    <w:p>
      <w:pPr>
        <w:spacing w:after="0" w:before="0" w:line="240" w:lineRule="auto"/>
        <w:ind w:left="57"/>
        <w:jc w:val="left"/>
        <w:shd w:val="clear" w:fill="F2F2F2"/>
      </w:pPr>
      <w:r>
        <w:rPr>
          <w:rFonts w:ascii="Consolas" w:hAnsi="Consolas" w:cs="Consolas"/>
          <w:b w:val="0"/>
          <w:i w:val="0"/>
          <w:sz w:val="15"/>
        </w:rPr>
        <w:t xml:space="preserve">  │  Delivery Date: 15 Jul 2026             Delivery Date: 15 Aug 2026</w:t>
      </w:r>
    </w:p>
    <w:p>
      <w:pPr>
        <w:spacing w:after="0" w:before="0" w:line="240" w:lineRule="auto"/>
        <w:ind w:left="57"/>
        <w:jc w:val="left"/>
        <w:shd w:val="clear" w:fill="F2F2F2"/>
      </w:pPr>
      <w:r>
        <w:rPr>
          <w:rFonts w:ascii="Consolas" w:hAnsi="Consolas" w:cs="Consolas"/>
          <w:b w:val="0"/>
          <w:i w:val="0"/>
          <w:sz w:val="15"/>
        </w:rPr>
        <w:t xml:space="preserve">  │  Port: Alexandria                       Port: Port Said</w:t>
      </w:r>
    </w:p>
    <w:p>
      <w:pPr>
        <w:spacing w:after="0" w:before="0" w:line="240" w:lineRule="auto"/>
        <w:ind w:left="57"/>
        <w:jc w:val="left"/>
        <w:shd w:val="clear" w:fill="F2F2F2"/>
      </w:pPr>
      <w:r>
        <w:rPr>
          <w:rFonts w:ascii="Consolas" w:hAnsi="Consolas" w:cs="Consolas"/>
          <w:b w:val="0"/>
          <w:i w:val="0"/>
          <w:sz w:val="15"/>
        </w:rPr>
        <w:t xml:space="preserve">  │  Containers: 1                          Containers: 2</w:t>
      </w:r>
    </w:p>
    <w:p>
      <w:pPr>
        <w:spacing w:after="0" w:before="0" w:line="240" w:lineRule="auto"/>
        <w:ind w:left="57"/>
        <w:jc w:val="left"/>
        <w:shd w:val="clear" w:fill="F2F2F2"/>
      </w:pPr>
      <w:r>
        <w:rPr>
          <w:rFonts w:ascii="Consolas" w:hAnsi="Consolas" w:cs="Consolas"/>
          <w:b w:val="0"/>
          <w:i w:val="0"/>
          <w:sz w:val="15"/>
        </w:rPr>
        <w:t xml:space="preserve">  │  Value: $150,000                        Value: $150,000</w:t>
      </w:r>
    </w:p>
    <w:p>
      <w:pPr>
        <w:spacing w:after="0" w:before="0" w:line="240" w:lineRule="auto"/>
        <w:ind w:left="57"/>
        <w:jc w:val="left"/>
        <w:shd w:val="clear" w:fill="F2F2F2"/>
      </w:pPr>
      <w:r>
        <w:rPr>
          <w:rFonts w:ascii="Consolas" w:hAnsi="Consolas" w:cs="Consolas"/>
          <w:b w:val="0"/>
          <w:i w:val="0"/>
          <w:sz w:val="15"/>
        </w:rPr>
        <w:t xml:space="preserve">  │  SGTX Fee: $216.00 (paid)                SGTX Fee: $216.00 (pending)</w:t>
      </w:r>
    </w:p>
    <w:p>
      <w:pPr>
        <w:spacing w:after="0" w:before="0" w:line="240" w:lineRule="auto"/>
        <w:ind w:left="57"/>
        <w:jc w:val="left"/>
        <w:shd w:val="clear" w:fill="F2F2F2"/>
      </w:pPr>
      <w:r>
        <w:rPr>
          <w:rFonts w:ascii="Consolas" w:hAnsi="Consolas" w:cs="Consolas"/>
          <w:b w:val="0"/>
          <w:i w:val="0"/>
          <w:sz w:val="15"/>
        </w:rPr>
        <w:t xml:space="preserve">  │  FeeLock: ACTIVE                        FeeLock: PENDING</w:t>
      </w:r>
    </w:p>
    <w:p>
      <w:pPr>
        <w:spacing w:after="0" w:before="0" w:line="240" w:lineRule="auto"/>
        <w:ind w:left="57"/>
        <w:jc w:val="left"/>
        <w:shd w:val="clear" w:fill="F2F2F2"/>
      </w:pPr>
      <w:r>
        <w:rPr>
          <w:rFonts w:ascii="Consolas" w:hAnsi="Consolas" w:cs="Consolas"/>
          <w:b w:val="0"/>
          <w:i w:val="0"/>
          <w:sz w:val="15"/>
        </w:rPr>
        <w:t xml:space="preserve">  └─ SHIPMENT 3</w:t>
      </w:r>
    </w:p>
    <w:p>
      <w:pPr>
        <w:spacing w:after="0" w:before="0" w:line="240" w:lineRule="auto"/>
        <w:ind w:left="57"/>
        <w:jc w:val="left"/>
        <w:shd w:val="clear" w:fill="F2F2F2"/>
      </w:pPr>
      <w:r>
        <w:rPr>
          <w:rFonts w:ascii="Consolas" w:hAnsi="Consolas" w:cs="Consolas"/>
          <w:b w:val="0"/>
          <w:i w:val="0"/>
          <w:sz w:val="15"/>
        </w:rPr>
        <w:t xml:space="preserve">     Status: SCHEDULED</w:t>
      </w:r>
    </w:p>
    <w:p>
      <w:pPr>
        <w:spacing w:after="0" w:before="0" w:line="240" w:lineRule="auto"/>
        <w:ind w:left="57"/>
        <w:jc w:val="left"/>
        <w:shd w:val="clear" w:fill="F2F2F2"/>
      </w:pPr>
      <w:r>
        <w:rPr>
          <w:rFonts w:ascii="Consolas" w:hAnsi="Consolas" w:cs="Consolas"/>
          <w:b w:val="0"/>
          <w:i w:val="0"/>
          <w:sz w:val="15"/>
        </w:rPr>
        <w:t xml:space="preserve">     USTN: (not yet generated)</w:t>
      </w:r>
    </w:p>
    <w:p>
      <w:pPr>
        <w:spacing w:after="0" w:before="0" w:line="240" w:lineRule="auto"/>
        <w:ind w:left="57"/>
        <w:jc w:val="left"/>
        <w:shd w:val="clear" w:fill="F2F2F2"/>
      </w:pPr>
      <w:r>
        <w:rPr>
          <w:rFonts w:ascii="Consolas" w:hAnsi="Consolas" w:cs="Consolas"/>
          <w:b w:val="0"/>
          <w:i w:val="0"/>
          <w:sz w:val="15"/>
        </w:rPr>
        <w:t xml:space="preserve">     Delivery Date: 15 Sep 2026</w:t>
      </w:r>
    </w:p>
    <w:p>
      <w:pPr>
        <w:spacing w:after="0" w:before="0" w:line="240" w:lineRule="auto"/>
        <w:ind w:left="57"/>
        <w:jc w:val="left"/>
        <w:shd w:val="clear" w:fill="F2F2F2"/>
      </w:pPr>
      <w:r>
        <w:rPr>
          <w:rFonts w:ascii="Consolas" w:hAnsi="Consolas" w:cs="Consolas"/>
          <w:b w:val="0"/>
          <w:i w:val="0"/>
          <w:sz w:val="15"/>
        </w:rPr>
        <w:t xml:space="preserve">     Port: Damietta</w:t>
      </w:r>
    </w:p>
    <w:p>
      <w:pPr>
        <w:spacing w:after="0" w:before="0" w:line="240" w:lineRule="auto"/>
        <w:ind w:left="57"/>
        <w:jc w:val="left"/>
        <w:shd w:val="clear" w:fill="F2F2F2"/>
      </w:pPr>
      <w:r>
        <w:rPr>
          <w:rFonts w:ascii="Consolas" w:hAnsi="Consolas" w:cs="Consolas"/>
          <w:b w:val="0"/>
          <w:i w:val="0"/>
          <w:sz w:val="15"/>
        </w:rPr>
        <w:t xml:space="preserve">     Containers: 1</w:t>
      </w:r>
    </w:p>
    <w:p>
      <w:pPr>
        <w:spacing w:after="0" w:before="0" w:line="240" w:lineRule="auto"/>
        <w:ind w:left="57"/>
        <w:jc w:val="left"/>
        <w:shd w:val="clear" w:fill="F2F2F2"/>
      </w:pPr>
      <w:r>
        <w:rPr>
          <w:rFonts w:ascii="Consolas" w:hAnsi="Consolas" w:cs="Consolas"/>
          <w:b w:val="0"/>
          <w:i w:val="0"/>
          <w:sz w:val="15"/>
        </w:rPr>
        <w:t xml:space="preserve">     Value: $150,000</w:t>
      </w:r>
    </w:p>
    <w:p>
      <w:pPr>
        <w:spacing w:after="0" w:before="0" w:line="240" w:lineRule="auto"/>
        <w:ind w:left="57"/>
        <w:jc w:val="left"/>
        <w:shd w:val="clear" w:fill="F2F2F2"/>
      </w:pPr>
      <w:r>
        <w:rPr>
          <w:rFonts w:ascii="Consolas" w:hAnsi="Consolas" w:cs="Consolas"/>
          <w:b w:val="0"/>
          <w:i w:val="0"/>
          <w:sz w:val="15"/>
        </w:rPr>
        <w:t xml:space="preserve">     SGTX Fee: $216.00 (pending)</w:t>
      </w:r>
    </w:p>
    <w:p>
      <w:pPr>
        <w:spacing w:after="0" w:before="0" w:line="240" w:lineRule="auto"/>
        <w:ind w:left="57"/>
        <w:jc w:val="left"/>
        <w:shd w:val="clear" w:fill="F2F2F2"/>
      </w:pPr>
      <w:r>
        <w:rPr>
          <w:rFonts w:ascii="Consolas" w:hAnsi="Consolas" w:cs="Consolas"/>
          <w:b w:val="0"/>
          <w:i w:val="0"/>
          <w:sz w:val="15"/>
        </w:rPr>
        <w:t xml:space="preserve">     FeeLock: PENDING</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6.14.5.2 Per-Shipment Fee Collection</w:t>
      </w:r>
    </w:p>
    <w:p>
      <w:pPr>
        <w:spacing w:after="80" w:line="293" w:lineRule="auto"/>
        <w:jc w:val="left"/>
      </w:pPr>
      <w:r>
        <w:rPr>
          <w:rFonts w:ascii="Times New Roman" w:hAnsi="Times New Roman" w:cs="Times New Roman"/>
          <w:b w:val="0"/>
          <w:i w:val="0"/>
          <w:sz w:val="22"/>
        </w:rPr>
        <w:t>Each shipment in a multi-shipment contract has its own SGTX fee, collected through the per-shipment fee workflow specified in Section 5.6.3 — Ready for Shipment → Confirm Shipment → fee payment request → one-click payment → USTN generation → FeeLock ACTIVE (worked example: $150,000 × 0.144% = $216.00 per shipment at the indicative engine rate; MCI-based program benefits per Section 9.27.20).</w:t>
      </w:r>
    </w:p>
    <w:p>
      <w:pPr>
        <w:keepNext/>
        <w:spacing w:before="180" w:after="80"/>
        <w:outlineLvl w:val="2"/>
      </w:pPr>
      <w:r>
        <w:rPr>
          <w:rFonts w:ascii="Arial" w:hAnsi="Arial" w:cs="Arial"/>
          <w:b/>
          <w:i w:val="0"/>
          <w:color w:val="333333"/>
          <w:sz w:val="23"/>
        </w:rPr>
        <w:t>6.14.6 Schedule Modification After Lock</w:t>
      </w:r>
    </w:p>
    <w:p>
      <w:pPr>
        <w:keepNext/>
        <w:spacing w:before="140" w:after="60"/>
        <w:outlineLvl w:val="3"/>
      </w:pPr>
      <w:r>
        <w:rPr>
          <w:rFonts w:ascii="Arial" w:hAnsi="Arial" w:cs="Arial"/>
          <w:b/>
          <w:i/>
          <w:color w:val="333333"/>
          <w:sz w:val="22"/>
        </w:rPr>
        <w:t>6.14.6.1 Overview</w:t>
      </w:r>
    </w:p>
    <w:p>
      <w:pPr>
        <w:spacing w:after="80" w:line="293" w:lineRule="auto"/>
        <w:jc w:val="left"/>
      </w:pPr>
      <w:r>
        <w:rPr>
          <w:rFonts w:ascii="Times New Roman" w:hAnsi="Times New Roman" w:cs="Times New Roman"/>
          <w:b w:val="0"/>
          <w:i w:val="0"/>
          <w:sz w:val="22"/>
        </w:rPr>
        <w:t>After the master contract is locked, either party can request modifications to future (unlocked) shipments; already-locked shipments are immutable. The allowed modification fields — delivery date, port of discharge, number of containers, and commodities (quantity, packaging) — and the modification workflow are specified in Section 5.6.4.</w:t>
      </w:r>
    </w:p>
    <w:p>
      <w:pPr>
        <w:spacing w:after="80" w:line="293" w:lineRule="auto"/>
        <w:jc w:val="left"/>
      </w:pPr>
      <w:r>
        <w:rPr>
          <w:rFonts w:ascii="Times New Roman" w:hAnsi="Times New Roman" w:cs="Times New Roman"/>
          <w:b w:val="0"/>
          <w:i w:val="0"/>
          <w:sz w:val="22"/>
        </w:rPr>
        <w:t>Not allowed: cancellation of an already-locked shipment (must be handled via distressed cargo, Section 14); modification of already-locked shipment details.</w:t>
      </w:r>
    </w:p>
    <w:p>
      <w:pPr>
        <w:keepNext/>
        <w:spacing w:before="140" w:after="60"/>
        <w:outlineLvl w:val="3"/>
      </w:pPr>
      <w:r>
        <w:rPr>
          <w:rFonts w:ascii="Arial" w:hAnsi="Arial" w:cs="Arial"/>
          <w:b/>
          <w:i/>
          <w:color w:val="333333"/>
          <w:sz w:val="22"/>
        </w:rPr>
        <w:t>6.14.6.2 Modification Workflow</w:t>
      </w:r>
    </w:p>
    <w:p>
      <w:pPr>
        <w:spacing w:after="0" w:before="0" w:line="240" w:lineRule="auto"/>
        <w:ind w:left="57"/>
        <w:jc w:val="left"/>
        <w:shd w:val="clear" w:fill="F2F2F2"/>
      </w:pPr>
      <w:r>
        <w:rPr>
          <w:rFonts w:ascii="Consolas" w:hAnsi="Consolas" w:cs="Consolas"/>
          <w:b w:val="0"/>
          <w:i w:val="0"/>
          <w:sz w:val="15"/>
        </w:rPr>
        <w:t>MODIFICATION REQUEST — Shipment 2</w:t>
      </w:r>
    </w:p>
    <w:p>
      <w:pPr>
        <w:spacing w:after="0" w:before="0" w:line="240" w:lineRule="auto"/>
        <w:ind w:left="57"/>
        <w:jc w:val="left"/>
        <w:shd w:val="clear" w:fill="F2F2F2"/>
      </w:pPr>
      <w:r>
        <w:rPr>
          <w:rFonts w:ascii="Consolas" w:hAnsi="Consolas" w:cs="Consolas"/>
          <w:b w:val="0"/>
          <w:i w:val="0"/>
          <w:sz w:val="15"/>
        </w:rPr>
        <w:t xml:space="preserve">  Requested By: Buyer (Nile Foods)</w:t>
      </w:r>
    </w:p>
    <w:p>
      <w:pPr>
        <w:spacing w:after="0" w:before="0" w:line="240" w:lineRule="auto"/>
        <w:ind w:left="57"/>
        <w:jc w:val="left"/>
        <w:shd w:val="clear" w:fill="F2F2F2"/>
      </w:pPr>
      <w:r>
        <w:rPr>
          <w:rFonts w:ascii="Consolas" w:hAnsi="Consolas" w:cs="Consolas"/>
          <w:b w:val="0"/>
          <w:i w:val="0"/>
          <w:sz w:val="15"/>
        </w:rPr>
        <w:t xml:space="preserve">  Shipment: 2</w:t>
      </w:r>
    </w:p>
    <w:p>
      <w:pPr>
        <w:spacing w:after="0" w:before="0" w:line="240" w:lineRule="auto"/>
        <w:ind w:left="57"/>
        <w:jc w:val="left"/>
        <w:shd w:val="clear" w:fill="F2F2F2"/>
      </w:pPr>
      <w:r>
        <w:rPr>
          <w:rFonts w:ascii="Consolas" w:hAnsi="Consolas" w:cs="Consolas"/>
          <w:b w:val="0"/>
          <w:i w:val="0"/>
          <w:sz w:val="15"/>
        </w:rPr>
        <w:t xml:space="preserve">  Proposed Changes:</w:t>
      </w:r>
    </w:p>
    <w:p>
      <w:pPr>
        <w:spacing w:after="0" w:before="0" w:line="240" w:lineRule="auto"/>
        <w:ind w:left="57"/>
        <w:jc w:val="left"/>
        <w:shd w:val="clear" w:fill="F2F2F2"/>
      </w:pPr>
      <w:r>
        <w:rPr>
          <w:rFonts w:ascii="Consolas" w:hAnsi="Consolas" w:cs="Consolas"/>
          <w:b w:val="0"/>
          <w:i w:val="0"/>
          <w:sz w:val="15"/>
        </w:rPr>
        <w:t xml:space="preserve">    Field                  Current        Proposed</w:t>
      </w:r>
    </w:p>
    <w:p>
      <w:pPr>
        <w:spacing w:after="0" w:before="0" w:line="240" w:lineRule="auto"/>
        <w:ind w:left="57"/>
        <w:jc w:val="left"/>
        <w:shd w:val="clear" w:fill="F2F2F2"/>
      </w:pPr>
      <w:r>
        <w:rPr>
          <w:rFonts w:ascii="Consolas" w:hAnsi="Consolas" w:cs="Consolas"/>
          <w:b w:val="0"/>
          <w:i w:val="0"/>
          <w:sz w:val="15"/>
        </w:rPr>
        <w:t xml:space="preserve">    Delivery Date          15 Aug 2026    30 Aug 2026</w:t>
      </w:r>
    </w:p>
    <w:p>
      <w:pPr>
        <w:spacing w:after="0" w:before="0" w:line="240" w:lineRule="auto"/>
        <w:ind w:left="57"/>
        <w:jc w:val="left"/>
        <w:shd w:val="clear" w:fill="F2F2F2"/>
      </w:pPr>
      <w:r>
        <w:rPr>
          <w:rFonts w:ascii="Consolas" w:hAnsi="Consolas" w:cs="Consolas"/>
          <w:b w:val="0"/>
          <w:i w:val="0"/>
          <w:sz w:val="15"/>
        </w:rPr>
        <w:t xml:space="preserve">    Port of Discharge      Port Said      Alexandria</w:t>
      </w:r>
    </w:p>
    <w:p>
      <w:pPr>
        <w:spacing w:after="0" w:before="0" w:line="240" w:lineRule="auto"/>
        <w:ind w:left="57"/>
        <w:jc w:val="left"/>
        <w:shd w:val="clear" w:fill="F2F2F2"/>
      </w:pPr>
      <w:r>
        <w:rPr>
          <w:rFonts w:ascii="Consolas" w:hAnsi="Consolas" w:cs="Consolas"/>
          <w:b w:val="0"/>
          <w:i w:val="0"/>
          <w:sz w:val="15"/>
        </w:rPr>
        <w:t xml:space="preserve">    Number of Containers   2              3</w:t>
      </w:r>
    </w:p>
    <w:p>
      <w:pPr>
        <w:spacing w:after="0" w:before="0" w:line="240" w:lineRule="auto"/>
        <w:ind w:left="57"/>
        <w:jc w:val="left"/>
        <w:shd w:val="clear" w:fill="F2F2F2"/>
      </w:pPr>
      <w:r>
        <w:rPr>
          <w:rFonts w:ascii="Consolas" w:hAnsi="Consolas" w:cs="Consolas"/>
          <w:b w:val="0"/>
          <w:i w:val="0"/>
          <w:sz w:val="15"/>
        </w:rPr>
        <w:t xml:space="preserve">  Reason: "Warehouse capacity issue. Need additional storage time and</w:t>
      </w:r>
    </w:p>
    <w:p>
      <w:pPr>
        <w:spacing w:after="0" w:before="0" w:line="240" w:lineRule="auto"/>
        <w:ind w:left="57"/>
        <w:jc w:val="left"/>
        <w:shd w:val="clear" w:fill="F2F2F2"/>
      </w:pPr>
      <w:r>
        <w:rPr>
          <w:rFonts w:ascii="Consolas" w:hAnsi="Consolas" w:cs="Consolas"/>
          <w:b w:val="0"/>
          <w:i w:val="0"/>
          <w:sz w:val="15"/>
        </w:rPr>
        <w:t xml:space="preserve">  increased container count for peak season."</w:t>
      </w:r>
    </w:p>
    <w:p>
      <w:pPr>
        <w:spacing w:after="0" w:before="0" w:line="240" w:lineRule="auto"/>
        <w:ind w:left="57"/>
        <w:jc w:val="left"/>
        <w:shd w:val="clear" w:fill="F2F2F2"/>
      </w:pPr>
      <w:r>
        <w:rPr>
          <w:rFonts w:ascii="Consolas" w:hAnsi="Consolas" w:cs="Consolas"/>
          <w:b w:val="0"/>
          <w:i w:val="0"/>
          <w:sz w:val="15"/>
        </w:rPr>
        <w:t xml:space="preserve">  [Submit Modification Request] [Cancel]</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6.14.6.3 Counterparty Review</w:t>
      </w:r>
    </w:p>
    <w:p>
      <w:pPr>
        <w:spacing w:after="80" w:line="293" w:lineRule="auto"/>
        <w:jc w:val="left"/>
      </w:pPr>
      <w:r>
        <w:rPr>
          <w:rFonts w:ascii="Times New Roman" w:hAnsi="Times New Roman" w:cs="Times New Roman"/>
          <w:b w:val="0"/>
          <w:i w:val="0"/>
          <w:sz w:val="22"/>
        </w:rPr>
        <w:t>The counterparty sees a diff view:</w:t>
      </w:r>
    </w:p>
    <w:p>
      <w:pPr>
        <w:spacing w:after="0" w:before="0" w:line="240" w:lineRule="auto"/>
        <w:ind w:left="57"/>
        <w:jc w:val="left"/>
        <w:shd w:val="clear" w:fill="F2F2F2"/>
      </w:pPr>
      <w:r>
        <w:rPr>
          <w:rFonts w:ascii="Consolas" w:hAnsi="Consolas" w:cs="Consolas"/>
          <w:b w:val="0"/>
          <w:i w:val="0"/>
          <w:sz w:val="15"/>
        </w:rPr>
        <w:t>SCHEDULE MODIFICATION REVIEW</w:t>
      </w:r>
    </w:p>
    <w:p>
      <w:pPr>
        <w:spacing w:after="0" w:before="0" w:line="240" w:lineRule="auto"/>
        <w:ind w:left="57"/>
        <w:jc w:val="left"/>
        <w:shd w:val="clear" w:fill="F2F2F2"/>
      </w:pPr>
      <w:r>
        <w:rPr>
          <w:rFonts w:ascii="Consolas" w:hAnsi="Consolas" w:cs="Consolas"/>
          <w:b w:val="0"/>
          <w:i w:val="0"/>
          <w:sz w:val="15"/>
        </w:rPr>
        <w:t xml:space="preserve">  Requested By: Buyer (Nile Foods)</w:t>
      </w:r>
    </w:p>
    <w:p>
      <w:pPr>
        <w:spacing w:after="0" w:before="0" w:line="240" w:lineRule="auto"/>
        <w:ind w:left="57"/>
        <w:jc w:val="left"/>
        <w:shd w:val="clear" w:fill="F2F2F2"/>
      </w:pPr>
      <w:r>
        <w:rPr>
          <w:rFonts w:ascii="Consolas" w:hAnsi="Consolas" w:cs="Consolas"/>
          <w:b w:val="0"/>
          <w:i w:val="0"/>
          <w:sz w:val="15"/>
        </w:rPr>
        <w:t xml:space="preserve">  Shipment: 2</w:t>
      </w:r>
    </w:p>
    <w:p>
      <w:pPr>
        <w:spacing w:after="0" w:before="0" w:line="240" w:lineRule="auto"/>
        <w:ind w:left="57"/>
        <w:jc w:val="left"/>
        <w:shd w:val="clear" w:fill="F2F2F2"/>
      </w:pPr>
      <w:r>
        <w:rPr>
          <w:rFonts w:ascii="Consolas" w:hAnsi="Consolas" w:cs="Consolas"/>
          <w:b w:val="0"/>
          <w:i w:val="0"/>
          <w:sz w:val="15"/>
        </w:rPr>
        <w:t xml:space="preserve">  Diff View:</w:t>
      </w:r>
    </w:p>
    <w:p>
      <w:pPr>
        <w:spacing w:after="0" w:before="0" w:line="240" w:lineRule="auto"/>
        <w:ind w:left="57"/>
        <w:jc w:val="left"/>
        <w:shd w:val="clear" w:fill="F2F2F2"/>
      </w:pPr>
      <w:r>
        <w:rPr>
          <w:rFonts w:ascii="Consolas" w:hAnsi="Consolas" w:cs="Consolas"/>
          <w:b w:val="0"/>
          <w:i w:val="0"/>
          <w:sz w:val="15"/>
        </w:rPr>
        <w:t xml:space="preserve">    Field                  Current        Proposed</w:t>
      </w:r>
    </w:p>
    <w:p>
      <w:pPr>
        <w:spacing w:after="0" w:before="0" w:line="240" w:lineRule="auto"/>
        <w:ind w:left="57"/>
        <w:jc w:val="left"/>
        <w:shd w:val="clear" w:fill="F2F2F2"/>
      </w:pPr>
      <w:r>
        <w:rPr>
          <w:rFonts w:ascii="Consolas" w:hAnsi="Consolas" w:cs="Consolas"/>
          <w:b w:val="0"/>
          <w:i w:val="0"/>
          <w:sz w:val="15"/>
        </w:rPr>
        <w:t xml:space="preserve">    Delivery Date          15 Aug 2026    30 Aug 2026  ▲ +15 days</w:t>
      </w:r>
    </w:p>
    <w:p>
      <w:pPr>
        <w:spacing w:after="0" w:before="0" w:line="240" w:lineRule="auto"/>
        <w:ind w:left="57"/>
        <w:jc w:val="left"/>
        <w:shd w:val="clear" w:fill="F2F2F2"/>
      </w:pPr>
      <w:r>
        <w:rPr>
          <w:rFonts w:ascii="Consolas" w:hAnsi="Consolas" w:cs="Consolas"/>
          <w:b w:val="0"/>
          <w:i w:val="0"/>
          <w:sz w:val="15"/>
        </w:rPr>
        <w:t xml:space="preserve">    Port of Discharge      Port Said      Alexandria   ■ Different</w:t>
      </w:r>
    </w:p>
    <w:p>
      <w:pPr>
        <w:spacing w:after="0" w:before="0" w:line="240" w:lineRule="auto"/>
        <w:ind w:left="57"/>
        <w:jc w:val="left"/>
        <w:shd w:val="clear" w:fill="F2F2F2"/>
      </w:pPr>
      <w:r>
        <w:rPr>
          <w:rFonts w:ascii="Consolas" w:hAnsi="Consolas" w:cs="Consolas"/>
          <w:b w:val="0"/>
          <w:i w:val="0"/>
          <w:sz w:val="15"/>
        </w:rPr>
        <w:t xml:space="preserve">    Number of Containers   2              3            ▲ +1</w:t>
      </w:r>
    </w:p>
    <w:p>
      <w:pPr>
        <w:spacing w:after="0" w:before="0" w:line="240" w:lineRule="auto"/>
        <w:ind w:left="57"/>
        <w:jc w:val="left"/>
        <w:shd w:val="clear" w:fill="F2F2F2"/>
      </w:pPr>
      <w:r>
        <w:rPr>
          <w:rFonts w:ascii="Consolas" w:hAnsi="Consolas" w:cs="Consolas"/>
          <w:b w:val="0"/>
          <w:i w:val="0"/>
          <w:sz w:val="15"/>
        </w:rPr>
        <w:t xml:space="preserve">  Reason: "Warehouse capacity issue. Need additional storage time and</w:t>
      </w:r>
    </w:p>
    <w:p>
      <w:pPr>
        <w:spacing w:after="0" w:before="0" w:line="240" w:lineRule="auto"/>
        <w:ind w:left="57"/>
        <w:jc w:val="left"/>
        <w:shd w:val="clear" w:fill="F2F2F2"/>
      </w:pPr>
      <w:r>
        <w:rPr>
          <w:rFonts w:ascii="Consolas" w:hAnsi="Consolas" w:cs="Consolas"/>
          <w:b w:val="0"/>
          <w:i w:val="0"/>
          <w:sz w:val="15"/>
        </w:rPr>
        <w:t xml:space="preserve">  increased container count for peak season."</w:t>
      </w:r>
    </w:p>
    <w:p>
      <w:pPr>
        <w:spacing w:after="0" w:before="0" w:line="240" w:lineRule="auto"/>
        <w:ind w:left="57"/>
        <w:jc w:val="left"/>
        <w:shd w:val="clear" w:fill="F2F2F2"/>
      </w:pPr>
      <w:r>
        <w:rPr>
          <w:rFonts w:ascii="Consolas" w:hAnsi="Consolas" w:cs="Consolas"/>
          <w:b w:val="0"/>
          <w:i w:val="0"/>
          <w:sz w:val="15"/>
        </w:rPr>
        <w:t xml:space="preserve">  [Accept All] [Reject] [Counter-Propose]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6.14.7 Multi-Shipment Dashboard</w:t>
      </w:r>
    </w:p>
    <w:p>
      <w:pPr>
        <w:keepNext/>
        <w:spacing w:before="140" w:after="60"/>
        <w:outlineLvl w:val="3"/>
      </w:pPr>
      <w:r>
        <w:rPr>
          <w:rFonts w:ascii="Arial" w:hAnsi="Arial" w:cs="Arial"/>
          <w:b/>
          <w:i/>
          <w:color w:val="333333"/>
          <w:sz w:val="22"/>
        </w:rPr>
        <w:t>6.14.7.1 Master Contract View</w:t>
      </w:r>
    </w:p>
    <w:p>
      <w:pPr>
        <w:spacing w:after="80" w:line="293" w:lineRule="auto"/>
        <w:jc w:val="left"/>
      </w:pPr>
      <w:r>
        <w:rPr>
          <w:rFonts w:ascii="Times New Roman" w:hAnsi="Times New Roman" w:cs="Times New Roman"/>
          <w:b w:val="0"/>
          <w:i w:val="0"/>
          <w:sz w:val="22"/>
        </w:rPr>
        <w:t>In the Trade Command Center (Section 16), the multi-shipment schedule card shows:</w:t>
      </w:r>
    </w:p>
    <w:p>
      <w:pPr>
        <w:spacing w:after="0" w:before="0" w:line="240" w:lineRule="auto"/>
        <w:ind w:left="57"/>
        <w:jc w:val="left"/>
        <w:shd w:val="clear" w:fill="F2F2F2"/>
      </w:pPr>
      <w:r>
        <w:rPr>
          <w:rFonts w:ascii="Consolas" w:hAnsi="Consolas" w:cs="Consolas"/>
          <w:b w:val="0"/>
          <w:i w:val="0"/>
          <w:sz w:val="15"/>
        </w:rPr>
        <w:t>MULTI-SHIPMENT SCHEDULE — MC-20260415-001</w:t>
      </w:r>
    </w:p>
    <w:p>
      <w:pPr>
        <w:spacing w:after="0" w:before="0" w:line="240" w:lineRule="auto"/>
        <w:ind w:left="57"/>
        <w:jc w:val="left"/>
        <w:shd w:val="clear" w:fill="F2F2F2"/>
      </w:pPr>
      <w:r>
        <w:rPr>
          <w:rFonts w:ascii="Consolas" w:hAnsi="Consolas" w:cs="Consolas"/>
          <w:b w:val="0"/>
          <w:i w:val="0"/>
          <w:sz w:val="15"/>
        </w:rPr>
        <w:t xml:space="preserve">  Master Contract: ACTIVE_MASTER</w:t>
      </w:r>
    </w:p>
    <w:p>
      <w:pPr>
        <w:spacing w:after="0" w:before="0" w:line="240" w:lineRule="auto"/>
        <w:ind w:left="57"/>
        <w:jc w:val="left"/>
        <w:shd w:val="clear" w:fill="F2F2F2"/>
      </w:pPr>
      <w:r>
        <w:rPr>
          <w:rFonts w:ascii="Consolas" w:hAnsi="Consolas" w:cs="Consolas"/>
          <w:b w:val="0"/>
          <w:i w:val="0"/>
          <w:sz w:val="15"/>
        </w:rPr>
        <w:t xml:space="preserve">  Total Shipments: 3   Completed: 1   In Progress: 1   Scheduled: 1</w:t>
      </w:r>
    </w:p>
    <w:p>
      <w:pPr>
        <w:spacing w:after="0" w:before="0" w:line="240" w:lineRule="auto"/>
        <w:ind w:left="57"/>
        <w:jc w:val="left"/>
        <w:shd w:val="clear" w:fill="F2F2F2"/>
      </w:pPr>
      <w:r>
        <w:rPr>
          <w:rFonts w:ascii="Consolas" w:hAnsi="Consolas" w:cs="Consolas"/>
          <w:b w:val="0"/>
          <w:i w:val="0"/>
          <w:sz w:val="15"/>
        </w:rPr>
        <w:t xml:space="preserve">  Shipment   Delivery Date   Port        Containers   Status        USTN</w:t>
      </w:r>
    </w:p>
    <w:p>
      <w:pPr>
        <w:spacing w:after="0" w:before="0" w:line="240" w:lineRule="auto"/>
        <w:ind w:left="57"/>
        <w:jc w:val="left"/>
        <w:shd w:val="clear" w:fill="F2F2F2"/>
      </w:pPr>
      <w:r>
        <w:rPr>
          <w:rFonts w:ascii="Consolas" w:hAnsi="Consolas" w:cs="Consolas"/>
          <w:b w:val="0"/>
          <w:i w:val="0"/>
          <w:sz w:val="15"/>
        </w:rPr>
        <w:t xml:space="preserve">  1          15 Jul 2026     Alexandria  1            COMPLETED     SGTX-...</w:t>
      </w:r>
    </w:p>
    <w:p>
      <w:pPr>
        <w:spacing w:after="0" w:before="0" w:line="240" w:lineRule="auto"/>
        <w:ind w:left="57"/>
        <w:jc w:val="left"/>
        <w:shd w:val="clear" w:fill="F2F2F2"/>
      </w:pPr>
      <w:r>
        <w:rPr>
          <w:rFonts w:ascii="Consolas" w:hAnsi="Consolas" w:cs="Consolas"/>
          <w:b w:val="0"/>
          <w:i w:val="0"/>
          <w:sz w:val="15"/>
        </w:rPr>
        <w:t xml:space="preserve">  2          30 Aug 2026     Alexandria  3            IN PROGRESS   SGTX-...</w:t>
      </w:r>
    </w:p>
    <w:p>
      <w:pPr>
        <w:spacing w:after="0" w:before="0" w:line="240" w:lineRule="auto"/>
        <w:ind w:left="57"/>
        <w:jc w:val="left"/>
        <w:shd w:val="clear" w:fill="F2F2F2"/>
      </w:pPr>
      <w:r>
        <w:rPr>
          <w:rFonts w:ascii="Consolas" w:hAnsi="Consolas" w:cs="Consolas"/>
          <w:b w:val="0"/>
          <w:i w:val="0"/>
          <w:sz w:val="15"/>
        </w:rPr>
        <w:t xml:space="preserve">  3          15 Sep 2026     Damietta    1            SCHEDULED     ---</w:t>
      </w:r>
    </w:p>
    <w:p>
      <w:pPr>
        <w:spacing w:after="0" w:before="0" w:line="240" w:lineRule="auto"/>
        <w:ind w:left="57"/>
        <w:jc w:val="left"/>
        <w:shd w:val="clear" w:fill="F2F2F2"/>
      </w:pPr>
      <w:r>
        <w:rPr>
          <w:rFonts w:ascii="Consolas" w:hAnsi="Consolas" w:cs="Consolas"/>
          <w:b w:val="0"/>
          <w:i w:val="0"/>
          <w:sz w:val="15"/>
        </w:rPr>
        <w:t xml:space="preserve">  Progress: [██████████████████████████░░░░░░░░░] 67% (2 of 3 shipments locked/completed)</w:t>
      </w:r>
    </w:p>
    <w:p>
      <w:pPr>
        <w:spacing w:after="0" w:before="0" w:line="240" w:lineRule="auto"/>
        <w:ind w:left="57"/>
        <w:jc w:val="left"/>
        <w:shd w:val="clear" w:fill="F2F2F2"/>
      </w:pPr>
      <w:r>
        <w:rPr>
          <w:rFonts w:ascii="Consolas" w:hAnsi="Consolas" w:cs="Consolas"/>
          <w:b w:val="0"/>
          <w:i w:val="0"/>
          <w:sz w:val="15"/>
        </w:rPr>
        <w:t xml:space="preserve">  Modification History:</w:t>
      </w:r>
    </w:p>
    <w:p>
      <w:pPr>
        <w:spacing w:after="0" w:before="0" w:line="240" w:lineRule="auto"/>
        <w:ind w:left="57"/>
        <w:jc w:val="left"/>
        <w:shd w:val="clear" w:fill="F2F2F2"/>
      </w:pPr>
      <w:r>
        <w:rPr>
          <w:rFonts w:ascii="Consolas" w:hAnsi="Consolas" w:cs="Consolas"/>
          <w:b w:val="0"/>
          <w:i w:val="0"/>
          <w:sz w:val="15"/>
        </w:rPr>
        <w:t xml:space="preserve">  • 2026-06-15 — Shipment 2 modified: 15 Aug → 30 Aug, Port Said → Alexandria,</w:t>
      </w:r>
    </w:p>
    <w:p>
      <w:pPr>
        <w:spacing w:after="0" w:before="0" w:line="240" w:lineRule="auto"/>
        <w:ind w:left="57"/>
        <w:jc w:val="left"/>
        <w:shd w:val="clear" w:fill="F2F2F2"/>
      </w:pPr>
      <w:r>
        <w:rPr>
          <w:rFonts w:ascii="Consolas" w:hAnsi="Consolas" w:cs="Consolas"/>
          <w:b w:val="0"/>
          <w:i w:val="0"/>
          <w:sz w:val="15"/>
        </w:rPr>
        <w:t xml:space="preserve">    containers 2 → 3 (schedule addendum signed by both parties)</w:t>
      </w:r>
    </w:p>
    <w:p>
      <w:pPr>
        <w:spacing w:after="0" w:before="0" w:line="240" w:lineRule="auto"/>
        <w:ind w:left="57"/>
        <w:jc w:val="left"/>
        <w:shd w:val="clear" w:fill="F2F2F2"/>
      </w:pPr>
      <w:r>
        <w:rPr>
          <w:rFonts w:ascii="Consolas" w:hAnsi="Consolas" w:cs="Consolas"/>
          <w:b w:val="0"/>
          <w:i w:val="0"/>
          <w:sz w:val="15"/>
        </w:rPr>
        <w:t xml:space="preserve">  [Request Modification] [View Addendum] [Export Schedule]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6.14.7.2 Per-Shipment Status</w:t>
      </w:r>
    </w:p>
    <w:p>
      <w:pPr>
        <w:spacing w:after="80" w:line="293" w:lineRule="auto"/>
        <w:jc w:val="left"/>
      </w:pPr>
      <w:r>
        <w:rPr>
          <w:rFonts w:ascii="Times New Roman" w:hAnsi="Times New Roman" w:cs="Times New Roman"/>
          <w:b w:val="0"/>
          <w:i w:val="0"/>
          <w:sz w:val="22"/>
        </w:rPr>
        <w:t>Each shipment has its own lifecycle independent of others: `SCHEDULED` → `READY` → `CONFIRMED` → `LOCKED` → `IN_EXECUTION` → `COMPLETED`, with `CANCELLED` as the terminal cancellation state. USTN, FeeLock, and settlement are per shipment (Sections 5, 9, 13).</w:t>
      </w:r>
    </w:p>
    <w:p>
      <w:pPr>
        <w:keepNext/>
        <w:spacing w:before="180" w:after="80"/>
        <w:outlineLvl w:val="2"/>
      </w:pPr>
      <w:r>
        <w:rPr>
          <w:rFonts w:ascii="Arial" w:hAnsi="Arial" w:cs="Arial"/>
          <w:b/>
          <w:i w:val="0"/>
          <w:color w:val="333333"/>
          <w:sz w:val="23"/>
        </w:rPr>
        <w:t>6.14.8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Multi-Shipment Flows</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Master contract with per-shipment schedule addenda</w:t>
            </w:r>
          </w:p>
        </w:tc>
      </w:tr>
      <w:tr>
        <w:tc>
          <w:tcPr>
            <w:tcW w:type="dxa" w:w="4819"/>
          </w:tcPr>
          <w:p>
            <w:pPr>
              <w:spacing w:after="20" w:before="20" w:line="240" w:lineRule="auto"/>
            </w:pPr>
            <w:r/>
            <w:r>
              <w:rPr>
                <w:rFonts w:ascii="Arial" w:hAnsi="Arial" w:cs="Arial"/>
                <w:b w:val="0"/>
                <w:i w:val="0"/>
                <w:sz w:val="17"/>
              </w:rPr>
              <w:t>Phase 4 — Financing (Section 10)</w:t>
            </w:r>
          </w:p>
        </w:tc>
        <w:tc>
          <w:tcPr>
            <w:tcW w:type="dxa" w:w="4819"/>
          </w:tcPr>
          <w:p>
            <w:pPr>
              <w:spacing w:after="20" w:before="20" w:line="240" w:lineRule="auto"/>
            </w:pPr>
            <w:r/>
            <w:r>
              <w:rPr>
                <w:rFonts w:ascii="Arial" w:hAnsi="Arial" w:cs="Arial"/>
                <w:b w:val="0"/>
                <w:i w:val="0"/>
                <w:sz w:val="17"/>
              </w:rPr>
              <w:t>Financing can be structured per shipment</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Independent per-shipment execution and tracking</w:t>
            </w:r>
          </w:p>
        </w:tc>
      </w:tr>
      <w:tr>
        <w:tc>
          <w:tcPr>
            <w:tcW w:type="dxa" w:w="4819"/>
          </w:tcPr>
          <w:p>
            <w:pPr>
              <w:spacing w:after="20" w:before="20" w:line="240" w:lineRule="auto"/>
            </w:pPr>
            <w:r/>
            <w:r>
              <w:rPr>
                <w:rFonts w:ascii="Arial" w:hAnsi="Arial" w:cs="Arial"/>
                <w:b w:val="0"/>
                <w:i w:val="0"/>
                <w:sz w:val="17"/>
              </w:rPr>
              <w:t>Phase 6 — Settlement (Section 13)</w:t>
            </w:r>
          </w:p>
        </w:tc>
        <w:tc>
          <w:tcPr>
            <w:tcW w:type="dxa" w:w="4819"/>
          </w:tcPr>
          <w:p>
            <w:pPr>
              <w:spacing w:after="20" w:before="20" w:line="240" w:lineRule="auto"/>
            </w:pPr>
            <w:r/>
            <w:r>
              <w:rPr>
                <w:rFonts w:ascii="Arial" w:hAnsi="Arial" w:cs="Arial"/>
                <w:b w:val="0"/>
                <w:i w:val="0"/>
                <w:sz w:val="17"/>
              </w:rPr>
              <w:t>Per-shipment settlement and USTN closure</w:t>
            </w:r>
          </w:p>
        </w:tc>
      </w:tr>
      <w:tr>
        <w:tc>
          <w:tcPr>
            <w:tcW w:type="dxa" w:w="4819"/>
          </w:tcPr>
          <w:p>
            <w:pPr>
              <w:spacing w:after="20" w:before="20" w:line="240" w:lineRule="auto"/>
            </w:pPr>
            <w:r/>
            <w:r>
              <w:rPr>
                <w:rFonts w:ascii="Arial" w:hAnsi="Arial" w:cs="Arial"/>
                <w:b w:val="0"/>
                <w:i w:val="0"/>
                <w:sz w:val="17"/>
              </w:rPr>
              <w:t>Phase 7 — Distressed Cargo (Section 14)</w:t>
            </w:r>
          </w:p>
        </w:tc>
        <w:tc>
          <w:tcPr>
            <w:tcW w:type="dxa" w:w="4819"/>
          </w:tcPr>
          <w:p>
            <w:pPr>
              <w:spacing w:after="20" w:before="20" w:line="240" w:lineRule="auto"/>
            </w:pPr>
            <w:r/>
            <w:r>
              <w:rPr>
                <w:rFonts w:ascii="Arial" w:hAnsi="Arial" w:cs="Arial"/>
                <w:b w:val="0"/>
                <w:i w:val="0"/>
                <w:sz w:val="17"/>
              </w:rPr>
              <w:t>Per-shipment distressed handling without blocking others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6.14.9 Governor Gates (Multi-Shipment)</w:t>
      </w:r>
    </w:p>
    <w:p>
      <w:pPr>
        <w:spacing w:after="80" w:line="293" w:lineRule="auto"/>
        <w:jc w:val="left"/>
      </w:pPr>
      <w:r>
        <w:rPr>
          <w:rFonts w:ascii="Times New Roman" w:hAnsi="Times New Roman" w:cs="Times New Roman"/>
          <w:b w:val="0"/>
          <w:i w:val="0"/>
          <w:sz w:val="22"/>
        </w:rPr>
        <w:t>Example CONDITIONAL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Shipment 2 has an invalid delivery date (must be in the future).",</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"shipment_date_invalid",</w:t>
      </w:r>
    </w:p>
    <w:p>
      <w:pPr>
        <w:spacing w:after="0" w:before="0" w:line="240" w:lineRule="auto"/>
        <w:ind w:left="57"/>
        <w:jc w:val="left"/>
        <w:shd w:val="clear" w:fill="F2F2F2"/>
      </w:pPr>
      <w:r>
        <w:rPr>
          <w:rFonts w:ascii="Consolas" w:hAnsi="Consolas" w:cs="Consolas"/>
          <w:b w:val="0"/>
          <w:i w:val="0"/>
          <w:sz w:val="15"/>
        </w:rPr>
        <w:t xml:space="preserve">        "label": "Correct Shipment 2 delivery date",</w:t>
      </w:r>
    </w:p>
    <w:p>
      <w:pPr>
        <w:spacing w:after="0" w:before="0" w:line="240" w:lineRule="auto"/>
        <w:ind w:left="57"/>
        <w:jc w:val="left"/>
        <w:shd w:val="clear" w:fill="F2F2F2"/>
      </w:pPr>
      <w:r>
        <w:rPr>
          <w:rFonts w:ascii="Consolas" w:hAnsi="Consolas" w:cs="Consolas"/>
          <w:b w:val="0"/>
          <w:i w:val="0"/>
          <w:sz w:val="15"/>
        </w:rPr>
        <w:t xml:space="preserve">        "action_url": "/v1/trade/request/draft?section=multi-shipment"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6.14.10 Database Schema Additions (Multi-Shipment)</w:t>
      </w:r>
    </w:p>
    <w:p>
      <w:pPr>
        <w:spacing w:after="0" w:before="0" w:line="240" w:lineRule="auto"/>
        <w:ind w:left="57"/>
        <w:jc w:val="left"/>
        <w:shd w:val="clear" w:fill="F2F2F2"/>
      </w:pPr>
      <w:r>
        <w:rPr>
          <w:rFonts w:ascii="Consolas" w:hAnsi="Consolas" w:cs="Consolas"/>
          <w:b w:val="0"/>
          <w:i w:val="0"/>
          <w:sz w:val="15"/>
        </w:rPr>
        <w:t>-- Contract shipments (multi-shipment)</w:t>
      </w:r>
    </w:p>
    <w:p>
      <w:pPr>
        <w:spacing w:after="0" w:before="0" w:line="240" w:lineRule="auto"/>
        <w:ind w:left="57"/>
        <w:jc w:val="left"/>
        <w:shd w:val="clear" w:fill="F2F2F2"/>
      </w:pPr>
      <w:r>
        <w:rPr>
          <w:rFonts w:ascii="Consolas" w:hAnsi="Consolas" w:cs="Consolas"/>
          <w:b w:val="0"/>
          <w:i w:val="0"/>
          <w:sz w:val="15"/>
        </w:rPr>
        <w:t>-- contract_shipments: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Schedule modification requests</w:t>
      </w:r>
    </w:p>
    <w:p>
      <w:pPr>
        <w:spacing w:after="0" w:before="0" w:line="240" w:lineRule="auto"/>
        <w:ind w:left="57"/>
        <w:jc w:val="left"/>
        <w:shd w:val="clear" w:fill="F2F2F2"/>
      </w:pPr>
      <w:r>
        <w:rPr>
          <w:rFonts w:ascii="Consolas" w:hAnsi="Consolas" w:cs="Consolas"/>
          <w:b w:val="0"/>
          <w:i w:val="0"/>
          <w:sz w:val="15"/>
        </w:rPr>
        <w:t>CREATE TABLE schedule_modification_requests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contract_id UUID NOT NULL REFERENCES contracts(id) ON DELETE CASCADE,</w:t>
      </w:r>
    </w:p>
    <w:p>
      <w:pPr>
        <w:spacing w:after="0" w:before="0" w:line="240" w:lineRule="auto"/>
        <w:ind w:left="57"/>
        <w:jc w:val="left"/>
        <w:shd w:val="clear" w:fill="F2F2F2"/>
      </w:pPr>
      <w:r>
        <w:rPr>
          <w:rFonts w:ascii="Consolas" w:hAnsi="Consolas" w:cs="Consolas"/>
          <w:b w:val="0"/>
          <w:i w:val="0"/>
          <w:sz w:val="15"/>
        </w:rPr>
        <w:t xml:space="preserve">    shipment_id UUID NOT NULL REFERENCES contract_shipments(id) ON DELETE CASCADE,</w:t>
      </w:r>
    </w:p>
    <w:p>
      <w:pPr>
        <w:spacing w:after="0" w:before="0" w:line="240" w:lineRule="auto"/>
        <w:ind w:left="57"/>
        <w:jc w:val="left"/>
        <w:shd w:val="clear" w:fill="F2F2F2"/>
      </w:pPr>
      <w:r>
        <w:rPr>
          <w:rFonts w:ascii="Consolas" w:hAnsi="Consolas" w:cs="Consolas"/>
          <w:b w:val="0"/>
          <w:i w:val="0"/>
          <w:sz w:val="15"/>
        </w:rPr>
        <w:t xml:space="preserve">    requested_by_gtid TEXT NOT NULL,</w:t>
      </w:r>
    </w:p>
    <w:p>
      <w:pPr>
        <w:spacing w:after="0" w:before="0" w:line="240" w:lineRule="auto"/>
        <w:ind w:left="57"/>
        <w:jc w:val="left"/>
        <w:shd w:val="clear" w:fill="F2F2F2"/>
      </w:pPr>
      <w:r>
        <w:rPr>
          <w:rFonts w:ascii="Consolas" w:hAnsi="Consolas" w:cs="Consolas"/>
          <w:b w:val="0"/>
          <w:i w:val="0"/>
          <w:sz w:val="15"/>
        </w:rPr>
        <w:t xml:space="preserve">    requested_at TIMESTAMPTZ DEFAULT NOW(),</w:t>
      </w:r>
    </w:p>
    <w:p>
      <w:pPr>
        <w:spacing w:after="0" w:before="0" w:line="240" w:lineRule="auto"/>
        <w:ind w:left="57"/>
        <w:jc w:val="left"/>
        <w:shd w:val="clear" w:fill="F2F2F2"/>
      </w:pPr>
      <w:r>
        <w:rPr>
          <w:rFonts w:ascii="Consolas" w:hAnsi="Consolas" w:cs="Consolas"/>
          <w:b w:val="0"/>
          <w:i w:val="0"/>
          <w:sz w:val="15"/>
        </w:rPr>
        <w:t xml:space="preserve">    proposed_changes JSONB NOT NULL,</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status TEXT DEFAULT 'PENDING', -- PENDING, ACCEPTED, REJECTED, COUNTERED</w:t>
      </w:r>
    </w:p>
    <w:p>
      <w:pPr>
        <w:spacing w:after="0" w:before="0" w:line="240" w:lineRule="auto"/>
        <w:ind w:left="57"/>
        <w:jc w:val="left"/>
        <w:shd w:val="clear" w:fill="F2F2F2"/>
      </w:pPr>
      <w:r>
        <w:rPr>
          <w:rFonts w:ascii="Consolas" w:hAnsi="Consolas" w:cs="Consolas"/>
          <w:b w:val="0"/>
          <w:i w:val="0"/>
          <w:sz w:val="15"/>
        </w:rPr>
        <w:t xml:space="preserve">    responded_by_gtid TEXT,</w:t>
      </w:r>
    </w:p>
    <w:p>
      <w:pPr>
        <w:spacing w:after="0" w:before="0" w:line="240" w:lineRule="auto"/>
        <w:ind w:left="57"/>
        <w:jc w:val="left"/>
        <w:shd w:val="clear" w:fill="F2F2F2"/>
      </w:pPr>
      <w:r>
        <w:rPr>
          <w:rFonts w:ascii="Consolas" w:hAnsi="Consolas" w:cs="Consolas"/>
          <w:b w:val="0"/>
          <w:i w:val="0"/>
          <w:sz w:val="15"/>
        </w:rPr>
        <w:t xml:space="preserve">    responded_at TIMESTAMPTZ,</w:t>
      </w:r>
    </w:p>
    <w:p>
      <w:pPr>
        <w:spacing w:after="0" w:before="0" w:line="240" w:lineRule="auto"/>
        <w:ind w:left="57"/>
        <w:jc w:val="left"/>
        <w:shd w:val="clear" w:fill="F2F2F2"/>
      </w:pPr>
      <w:r>
        <w:rPr>
          <w:rFonts w:ascii="Consolas" w:hAnsi="Consolas" w:cs="Consolas"/>
          <w:b w:val="0"/>
          <w:i w:val="0"/>
          <w:sz w:val="15"/>
        </w:rPr>
        <w:t xml:space="preserve">    addendum_contract_id UUID REFERENCES contracts(id) ON DELETE SET NULL,</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Schedule addenda (immutable record of modifications)</w:t>
      </w:r>
    </w:p>
    <w:p>
      <w:pPr>
        <w:spacing w:after="0" w:before="0" w:line="240" w:lineRule="auto"/>
        <w:ind w:left="57"/>
        <w:jc w:val="left"/>
        <w:shd w:val="clear" w:fill="F2F2F2"/>
      </w:pPr>
      <w:r>
        <w:rPr>
          <w:rFonts w:ascii="Consolas" w:hAnsi="Consolas" w:cs="Consolas"/>
          <w:b w:val="0"/>
          <w:i w:val="0"/>
          <w:sz w:val="15"/>
        </w:rPr>
        <w:t>CREATE TABLE schedule_addenda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contract_id UUID NOT NULL REFERENCES contracts(id) ON DELETE CASCADE,</w:t>
      </w:r>
    </w:p>
    <w:p>
      <w:pPr>
        <w:spacing w:after="0" w:before="0" w:line="240" w:lineRule="auto"/>
        <w:ind w:left="57"/>
        <w:jc w:val="left"/>
        <w:shd w:val="clear" w:fill="F2F2F2"/>
      </w:pPr>
      <w:r>
        <w:rPr>
          <w:rFonts w:ascii="Consolas" w:hAnsi="Consolas" w:cs="Consolas"/>
          <w:b w:val="0"/>
          <w:i w:val="0"/>
          <w:sz w:val="15"/>
        </w:rPr>
        <w:t xml:space="preserve">    modification_request_id UUID REFERENCES schedule_modification_requests(id) ON DELETE SET NULL,</w:t>
      </w:r>
    </w:p>
    <w:p>
      <w:pPr>
        <w:spacing w:after="0" w:before="0" w:line="240" w:lineRule="auto"/>
        <w:ind w:left="57"/>
        <w:jc w:val="left"/>
        <w:shd w:val="clear" w:fill="F2F2F2"/>
      </w:pPr>
      <w:r>
        <w:rPr>
          <w:rFonts w:ascii="Consolas" w:hAnsi="Consolas" w:cs="Consolas"/>
          <w:b w:val="0"/>
          <w:i w:val="0"/>
          <w:sz w:val="15"/>
        </w:rPr>
        <w:t xml:space="preserve">    original_schedule JSONB NOT NULL,</w:t>
      </w:r>
    </w:p>
    <w:p>
      <w:pPr>
        <w:spacing w:after="0" w:before="0" w:line="240" w:lineRule="auto"/>
        <w:ind w:left="57"/>
        <w:jc w:val="left"/>
        <w:shd w:val="clear" w:fill="F2F2F2"/>
      </w:pPr>
      <w:r>
        <w:rPr>
          <w:rFonts w:ascii="Consolas" w:hAnsi="Consolas" w:cs="Consolas"/>
          <w:b w:val="0"/>
          <w:i w:val="0"/>
          <w:sz w:val="15"/>
        </w:rPr>
        <w:t xml:space="preserve">    modified_schedule JSONB NOT NULL,</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buyer_signature TEXT NOT NULL,</w:t>
      </w:r>
    </w:p>
    <w:p>
      <w:pPr>
        <w:spacing w:after="0" w:before="0" w:line="240" w:lineRule="auto"/>
        <w:ind w:left="57"/>
        <w:jc w:val="left"/>
        <w:shd w:val="clear" w:fill="F2F2F2"/>
      </w:pPr>
      <w:r>
        <w:rPr>
          <w:rFonts w:ascii="Consolas" w:hAnsi="Consolas" w:cs="Consolas"/>
          <w:b w:val="0"/>
          <w:i w:val="0"/>
          <w:sz w:val="15"/>
        </w:rPr>
        <w:t xml:space="preserve">    seller_signature TEXT NOT NULL,</w:t>
      </w:r>
    </w:p>
    <w:p>
      <w:pPr>
        <w:spacing w:after="0" w:before="0" w:line="240" w:lineRule="auto"/>
        <w:ind w:left="57"/>
        <w:jc w:val="left"/>
        <w:shd w:val="clear" w:fill="F2F2F2"/>
      </w:pPr>
      <w:r>
        <w:rPr>
          <w:rFonts w:ascii="Consolas" w:hAnsi="Consolas" w:cs="Consolas"/>
          <w:b w:val="0"/>
          <w:i w:val="0"/>
          <w:sz w:val="15"/>
        </w:rPr>
        <w:t xml:space="preserve">    sgtx_signature TEXT NOT NULL,</w:t>
      </w:r>
    </w:p>
    <w:p>
      <w:pPr>
        <w:spacing w:after="0" w:before="0" w:line="240" w:lineRule="auto"/>
        <w:ind w:left="57"/>
        <w:jc w:val="left"/>
        <w:shd w:val="clear" w:fill="F2F2F2"/>
      </w:pPr>
      <w:r>
        <w:rPr>
          <w:rFonts w:ascii="Consolas" w:hAnsi="Consolas" w:cs="Consolas"/>
          <w:b w:val="0"/>
          <w:i w:val="0"/>
          <w:sz w:val="15"/>
        </w:rPr>
        <w:t xml:space="preserve">    loom_hash TEXT NOT NULL,</w:t>
      </w:r>
    </w:p>
    <w:p>
      <w:pPr>
        <w:spacing w:after="0" w:before="0" w:line="240" w:lineRule="auto"/>
        <w:ind w:left="57"/>
        <w:jc w:val="left"/>
        <w:shd w:val="clear" w:fill="F2F2F2"/>
      </w:pPr>
      <w:r>
        <w:rPr>
          <w:rFonts w:ascii="Consolas" w:hAnsi="Consolas" w:cs="Consolas"/>
          <w:b w:val="0"/>
          <w:i w:val="0"/>
          <w:sz w:val="15"/>
        </w:rPr>
        <w:t xml:space="preserve">    signed_at TIMESTAMPTZ DEFAULT NOW(),</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Multi-shipment AI suggestions</w:t>
      </w:r>
    </w:p>
    <w:p>
      <w:pPr>
        <w:spacing w:after="0" w:before="0" w:line="240" w:lineRule="auto"/>
        <w:ind w:left="57"/>
        <w:jc w:val="left"/>
        <w:shd w:val="clear" w:fill="F2F2F2"/>
      </w:pPr>
      <w:r>
        <w:rPr>
          <w:rFonts w:ascii="Consolas" w:hAnsi="Consolas" w:cs="Consolas"/>
          <w:b w:val="0"/>
          <w:i w:val="0"/>
          <w:sz w:val="15"/>
        </w:rPr>
        <w:t>CREATE TABLE multi_shipment_suggestions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suggested_schedule JSONB NOT NULL,</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factors JSONB,</w:t>
      </w:r>
    </w:p>
    <w:p>
      <w:pPr>
        <w:spacing w:after="0" w:before="0" w:line="240" w:lineRule="auto"/>
        <w:ind w:left="57"/>
        <w:jc w:val="left"/>
        <w:shd w:val="clear" w:fill="F2F2F2"/>
      </w:pPr>
      <w:r>
        <w:rPr>
          <w:rFonts w:ascii="Consolas" w:hAnsi="Consolas" w:cs="Consolas"/>
          <w:b w:val="0"/>
          <w:i w:val="0"/>
          <w:sz w:val="15"/>
        </w:rPr>
        <w:t xml:space="preserve">    applied BOOLEAN DEFAULT false,</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idx_contract_shipments_contract ON contract_shipments(contract_id);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idx_contract_shipments_ustn ON contract_shipments(ustn);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idx_contract_shipments_status ON contract_shipments(status);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idx_contract_shipments_date ON contract_shipments(scheduled_delivery_date);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idx_schedule_modification_requests_contract ON schedule_modification_requests(contract_id);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idx_schedule_modification_requests_shipment ON schedule_modification_requests(shipment_id);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idx_schedule_modification_requests_status ON schedule_modification_requests(status);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idx_schedule_addenda_contract ON schedule_addenda(contract_id);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idx_multi_shipment_suggestions_trade ON multi_shipment_suggestions(trade_request_id);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6.14.11 Implementation Checklist (Multi-Shipment)</w:t>
      </w:r>
    </w:p>
    <w:p>
      <w:pPr>
        <w:keepNext/>
        <w:spacing w:before="140" w:after="60"/>
        <w:outlineLvl w:val="3"/>
      </w:pPr>
      <w:r>
        <w:rPr>
          <w:rFonts w:ascii="Arial" w:hAnsi="Arial" w:cs="Arial"/>
          <w:b/>
          <w:i/>
          <w:color w:val="333333"/>
          <w:sz w:val="22"/>
        </w:rPr>
        <w:t>6.14.11.1 Backend Services</w:t>
      </w:r>
    </w:p>
    <w:p>
      <w:pPr>
        <w:spacing w:after="80" w:line="293" w:lineRule="auto"/>
        <w:ind w:left="283"/>
        <w:jc w:val="left"/>
      </w:pPr>
      <w:r>
        <w:rPr>
          <w:rFonts w:ascii="Times New Roman" w:hAnsi="Times New Roman" w:cs="Times New Roman"/>
          <w:b w:val="0"/>
          <w:i w:val="0"/>
          <w:sz w:val="22"/>
        </w:rPr>
        <w:t>- Implement multi-shipment schedule service (Rust)</w:t>
      </w:r>
    </w:p>
    <w:p>
      <w:pPr>
        <w:spacing w:after="80" w:line="293" w:lineRule="auto"/>
        <w:ind w:left="283"/>
        <w:jc w:val="left"/>
      </w:pPr>
      <w:r>
        <w:rPr>
          <w:rFonts w:ascii="Times New Roman" w:hAnsi="Times New Roman" w:cs="Times New Roman"/>
          <w:b w:val="0"/>
          <w:i w:val="0"/>
          <w:sz w:val="22"/>
        </w:rPr>
        <w:t>- Implement per-shipment fee calculation</w:t>
      </w:r>
    </w:p>
    <w:p>
      <w:pPr>
        <w:spacing w:after="80" w:line="293" w:lineRule="auto"/>
        <w:ind w:left="283"/>
        <w:jc w:val="left"/>
      </w:pPr>
      <w:r>
        <w:rPr>
          <w:rFonts w:ascii="Times New Roman" w:hAnsi="Times New Roman" w:cs="Times New Roman"/>
          <w:b w:val="0"/>
          <w:i w:val="0"/>
          <w:sz w:val="22"/>
        </w:rPr>
        <w:t>- Implement per-shipment USTN generation</w:t>
      </w:r>
    </w:p>
    <w:p>
      <w:pPr>
        <w:spacing w:after="80" w:line="293" w:lineRule="auto"/>
        <w:ind w:left="283"/>
        <w:jc w:val="left"/>
      </w:pPr>
      <w:r>
        <w:rPr>
          <w:rFonts w:ascii="Times New Roman" w:hAnsi="Times New Roman" w:cs="Times New Roman"/>
          <w:b w:val="0"/>
          <w:i w:val="0"/>
          <w:sz w:val="22"/>
        </w:rPr>
        <w:t>- Implement schedule modification request handling</w:t>
      </w:r>
    </w:p>
    <w:p>
      <w:pPr>
        <w:spacing w:after="80" w:line="293" w:lineRule="auto"/>
        <w:ind w:left="283"/>
        <w:jc w:val="left"/>
      </w:pPr>
      <w:r>
        <w:rPr>
          <w:rFonts w:ascii="Times New Roman" w:hAnsi="Times New Roman" w:cs="Times New Roman"/>
          <w:b w:val="0"/>
          <w:i w:val="0"/>
          <w:sz w:val="22"/>
        </w:rPr>
        <w:t>- Implement schedule addendum generation</w:t>
      </w:r>
    </w:p>
    <w:p>
      <w:pPr>
        <w:spacing w:after="80" w:line="293" w:lineRule="auto"/>
        <w:ind w:left="283"/>
        <w:jc w:val="left"/>
      </w:pPr>
      <w:r>
        <w:rPr>
          <w:rFonts w:ascii="Times New Roman" w:hAnsi="Times New Roman" w:cs="Times New Roman"/>
          <w:b w:val="0"/>
          <w:i w:val="0"/>
          <w:sz w:val="22"/>
        </w:rPr>
        <w:t>- Implement AI schedule suggestion (A1, Groq)</w:t>
      </w:r>
    </w:p>
    <w:p>
      <w:pPr>
        <w:spacing w:after="80" w:line="293" w:lineRule="auto"/>
        <w:ind w:left="283"/>
        <w:jc w:val="left"/>
      </w:pPr>
      <w:r>
        <w:rPr>
          <w:rFonts w:ascii="Times New Roman" w:hAnsi="Times New Roman" w:cs="Times New Roman"/>
          <w:b w:val="0"/>
          <w:i w:val="0"/>
          <w:sz w:val="22"/>
        </w:rPr>
        <w:t>- Implement schedule optimisation (A2)</w:t>
      </w:r>
    </w:p>
    <w:p>
      <w:pPr>
        <w:keepNext/>
        <w:spacing w:before="140" w:after="60"/>
        <w:outlineLvl w:val="3"/>
      </w:pPr>
      <w:r>
        <w:rPr>
          <w:rFonts w:ascii="Arial" w:hAnsi="Arial" w:cs="Arial"/>
          <w:b/>
          <w:i/>
          <w:color w:val="333333"/>
          <w:sz w:val="22"/>
        </w:rPr>
        <w:t>6.14.11.2 Frontend Components</w:t>
      </w:r>
    </w:p>
    <w:p>
      <w:pPr>
        <w:spacing w:after="80" w:line="293" w:lineRule="auto"/>
        <w:ind w:left="283"/>
        <w:jc w:val="left"/>
      </w:pPr>
      <w:r>
        <w:rPr>
          <w:rFonts w:ascii="Times New Roman" w:hAnsi="Times New Roman" w:cs="Times New Roman"/>
          <w:b w:val="0"/>
          <w:i w:val="0"/>
          <w:sz w:val="22"/>
        </w:rPr>
        <w:t>- Build Multi-Shipment Toggle</w:t>
      </w:r>
    </w:p>
    <w:p>
      <w:pPr>
        <w:spacing w:after="80" w:line="293" w:lineRule="auto"/>
        <w:ind w:left="283"/>
        <w:jc w:val="left"/>
      </w:pPr>
      <w:r>
        <w:rPr>
          <w:rFonts w:ascii="Times New Roman" w:hAnsi="Times New Roman" w:cs="Times New Roman"/>
          <w:b w:val="0"/>
          <w:i w:val="0"/>
          <w:sz w:val="22"/>
        </w:rPr>
        <w:t>- Build Schedule Builder (add/remove/edit shipments)</w:t>
      </w:r>
    </w:p>
    <w:p>
      <w:pPr>
        <w:spacing w:after="80" w:line="293" w:lineRule="auto"/>
        <w:ind w:left="283"/>
        <w:jc w:val="left"/>
      </w:pPr>
      <w:r>
        <w:rPr>
          <w:rFonts w:ascii="Times New Roman" w:hAnsi="Times New Roman" w:cs="Times New Roman"/>
          <w:b w:val="0"/>
          <w:i w:val="0"/>
          <w:sz w:val="22"/>
        </w:rPr>
        <w:t>- Build Per-Shipment Commodity Override mini-form</w:t>
      </w:r>
    </w:p>
    <w:p>
      <w:pPr>
        <w:spacing w:after="80" w:line="293" w:lineRule="auto"/>
        <w:ind w:left="283"/>
        <w:jc w:val="left"/>
      </w:pPr>
      <w:r>
        <w:rPr>
          <w:rFonts w:ascii="Times New Roman" w:hAnsi="Times New Roman" w:cs="Times New Roman"/>
          <w:b w:val="0"/>
          <w:i w:val="0"/>
          <w:sz w:val="22"/>
        </w:rPr>
        <w:t>- Build Schedule Modification Request form</w:t>
      </w:r>
    </w:p>
    <w:p>
      <w:pPr>
        <w:spacing w:after="80" w:line="293" w:lineRule="auto"/>
        <w:ind w:left="283"/>
        <w:jc w:val="left"/>
      </w:pPr>
      <w:r>
        <w:rPr>
          <w:rFonts w:ascii="Times New Roman" w:hAnsi="Times New Roman" w:cs="Times New Roman"/>
          <w:b w:val="0"/>
          <w:i w:val="0"/>
          <w:sz w:val="22"/>
        </w:rPr>
        <w:t>- Build Schedule Modification Review (diff view)</w:t>
      </w:r>
    </w:p>
    <w:p>
      <w:pPr>
        <w:spacing w:after="80" w:line="293" w:lineRule="auto"/>
        <w:ind w:left="283"/>
        <w:jc w:val="left"/>
      </w:pPr>
      <w:r>
        <w:rPr>
          <w:rFonts w:ascii="Times New Roman" w:hAnsi="Times New Roman" w:cs="Times New Roman"/>
          <w:b w:val="0"/>
          <w:i w:val="0"/>
          <w:sz w:val="22"/>
        </w:rPr>
        <w:t>- Build Multi-Shipment Dashboard (master contract view)</w:t>
      </w:r>
    </w:p>
    <w:p>
      <w:pPr>
        <w:spacing w:after="80" w:line="293" w:lineRule="auto"/>
        <w:ind w:left="283"/>
        <w:jc w:val="left"/>
      </w:pPr>
      <w:r>
        <w:rPr>
          <w:rFonts w:ascii="Times New Roman" w:hAnsi="Times New Roman" w:cs="Times New Roman"/>
          <w:b w:val="0"/>
          <w:i w:val="0"/>
          <w:sz w:val="22"/>
        </w:rPr>
        <w:t>- Build Schedule Progress Indicator</w:t>
      </w:r>
    </w:p>
    <w:p>
      <w:pPr>
        <w:keepNext/>
        <w:spacing w:before="140" w:after="60"/>
        <w:outlineLvl w:val="3"/>
      </w:pPr>
      <w:r>
        <w:rPr>
          <w:rFonts w:ascii="Arial" w:hAnsi="Arial" w:cs="Arial"/>
          <w:b/>
          <w:i/>
          <w:color w:val="333333"/>
          <w:sz w:val="22"/>
        </w:rPr>
        <w:t>6.14.11.3 Governor Integration</w:t>
      </w:r>
    </w:p>
    <w:p>
      <w:pPr>
        <w:spacing w:after="80" w:line="293" w:lineRule="auto"/>
        <w:ind w:left="283"/>
        <w:jc w:val="left"/>
      </w:pPr>
      <w:r>
        <w:rPr>
          <w:rFonts w:ascii="Times New Roman" w:hAnsi="Times New Roman" w:cs="Times New Roman"/>
          <w:b w:val="0"/>
          <w:i w:val="0"/>
          <w:sz w:val="22"/>
        </w:rPr>
        <w:t>- Add G1U10: multi-shipment schedule validation</w:t>
      </w:r>
    </w:p>
    <w:p>
      <w:pPr>
        <w:spacing w:after="80" w:line="293" w:lineRule="auto"/>
        <w:ind w:left="283"/>
        <w:jc w:val="left"/>
      </w:pPr>
      <w:r>
        <w:rPr>
          <w:rFonts w:ascii="Times New Roman" w:hAnsi="Times New Roman" w:cs="Times New Roman"/>
          <w:b w:val="0"/>
          <w:i w:val="0"/>
          <w:sz w:val="22"/>
        </w:rPr>
        <w:t>- Add G3U8: per-shipment fee validation</w:t>
      </w:r>
    </w:p>
    <w:p>
      <w:pPr>
        <w:spacing w:after="80" w:line="293" w:lineRule="auto"/>
        <w:ind w:left="283"/>
        <w:jc w:val="left"/>
      </w:pPr>
      <w:r>
        <w:rPr>
          <w:rFonts w:ascii="Times New Roman" w:hAnsi="Times New Roman" w:cs="Times New Roman"/>
          <w:b w:val="0"/>
          <w:i w:val="0"/>
          <w:sz w:val="22"/>
        </w:rPr>
        <w:t>- Add G3U9: per-shipment USTN generation</w:t>
      </w:r>
    </w:p>
    <w:p>
      <w:pPr>
        <w:spacing w:after="80" w:line="293" w:lineRule="auto"/>
        <w:ind w:left="283"/>
        <w:jc w:val="left"/>
      </w:pPr>
      <w:r>
        <w:rPr>
          <w:rFonts w:ascii="Times New Roman" w:hAnsi="Times New Roman" w:cs="Times New Roman"/>
          <w:b w:val="0"/>
          <w:i w:val="0"/>
          <w:sz w:val="22"/>
        </w:rPr>
        <w:t>- Add G3U10: schedule modification validation</w:t>
      </w:r>
    </w:p>
    <w:p>
      <w:pPr>
        <w:spacing w:after="80" w:line="293" w:lineRule="auto"/>
        <w:ind w:left="283"/>
        <w:jc w:val="left"/>
      </w:pPr>
      <w:r>
        <w:rPr>
          <w:rFonts w:ascii="Times New Roman" w:hAnsi="Times New Roman" w:cs="Times New Roman"/>
          <w:b w:val="0"/>
          <w:i w:val="0"/>
          <w:sz w:val="22"/>
        </w:rPr>
        <w:t>- Add G3U11: schedule addendum validation</w:t>
      </w:r>
    </w:p>
    <w:p>
      <w:pPr>
        <w:spacing w:after="80" w:line="293" w:lineRule="auto"/>
        <w:ind w:left="283"/>
        <w:jc w:val="left"/>
      </w:pPr>
      <w:r>
        <w:rPr>
          <w:rFonts w:ascii="Times New Roman" w:hAnsi="Times New Roman" w:cs="Times New Roman"/>
          <w:b w:val="0"/>
          <w:i w:val="0"/>
          <w:sz w:val="22"/>
        </w:rPr>
        <w:t>- Add G5UA9: independent milestone validation</w:t>
      </w:r>
    </w:p>
    <w:p>
      <w:pPr>
        <w:keepNext/>
        <w:spacing w:before="140" w:after="60"/>
        <w:outlineLvl w:val="3"/>
      </w:pPr>
      <w:r>
        <w:rPr>
          <w:rFonts w:ascii="Arial" w:hAnsi="Arial" w:cs="Arial"/>
          <w:b/>
          <w:i/>
          <w:color w:val="333333"/>
          <w:sz w:val="22"/>
        </w:rPr>
        <w:t>6.14.11.4 Testing</w:t>
      </w:r>
    </w:p>
    <w:p>
      <w:pPr>
        <w:spacing w:after="80" w:line="293" w:lineRule="auto"/>
        <w:ind w:left="283"/>
        <w:jc w:val="left"/>
      </w:pPr>
      <w:r>
        <w:rPr>
          <w:rFonts w:ascii="Times New Roman" w:hAnsi="Times New Roman" w:cs="Times New Roman"/>
          <w:b w:val="0"/>
          <w:i w:val="0"/>
          <w:sz w:val="22"/>
        </w:rPr>
        <w:t>- Unit tests: schedule validation</w:t>
      </w:r>
    </w:p>
    <w:p>
      <w:pPr>
        <w:spacing w:after="80" w:line="293" w:lineRule="auto"/>
        <w:ind w:left="283"/>
        <w:jc w:val="left"/>
      </w:pPr>
      <w:r>
        <w:rPr>
          <w:rFonts w:ascii="Times New Roman" w:hAnsi="Times New Roman" w:cs="Times New Roman"/>
          <w:b w:val="0"/>
          <w:i w:val="0"/>
          <w:sz w:val="22"/>
        </w:rPr>
        <w:t>- Unit tests: per-shipment fee calculation</w:t>
      </w:r>
    </w:p>
    <w:p>
      <w:pPr>
        <w:spacing w:after="80" w:line="293" w:lineRule="auto"/>
        <w:ind w:left="283"/>
        <w:jc w:val="left"/>
      </w:pPr>
      <w:r>
        <w:rPr>
          <w:rFonts w:ascii="Times New Roman" w:hAnsi="Times New Roman" w:cs="Times New Roman"/>
          <w:b w:val="0"/>
          <w:i w:val="0"/>
          <w:sz w:val="22"/>
        </w:rPr>
        <w:t>- Unit tests: per-shipment USTN generation</w:t>
      </w:r>
    </w:p>
    <w:p>
      <w:pPr>
        <w:spacing w:after="80" w:line="293" w:lineRule="auto"/>
        <w:ind w:left="283"/>
        <w:jc w:val="left"/>
      </w:pPr>
      <w:r>
        <w:rPr>
          <w:rFonts w:ascii="Times New Roman" w:hAnsi="Times New Roman" w:cs="Times New Roman"/>
          <w:b w:val="0"/>
          <w:i w:val="0"/>
          <w:sz w:val="22"/>
        </w:rPr>
        <w:t>- Integration tests: multi-shipment creation → per-shipment fee → USTN generation</w:t>
      </w:r>
    </w:p>
    <w:p>
      <w:pPr>
        <w:spacing w:after="80" w:line="293" w:lineRule="auto"/>
        <w:ind w:left="283"/>
        <w:jc w:val="left"/>
      </w:pPr>
      <w:r>
        <w:rPr>
          <w:rFonts w:ascii="Times New Roman" w:hAnsi="Times New Roman" w:cs="Times New Roman"/>
          <w:b w:val="0"/>
          <w:i w:val="0"/>
          <w:sz w:val="22"/>
        </w:rPr>
        <w:t>- Integration tests: schedule modification workflow</w:t>
      </w:r>
    </w:p>
    <w:p>
      <w:pPr>
        <w:spacing w:after="80" w:line="293" w:lineRule="auto"/>
        <w:ind w:left="283"/>
        <w:jc w:val="left"/>
      </w:pPr>
      <w:r>
        <w:rPr>
          <w:rFonts w:ascii="Times New Roman" w:hAnsi="Times New Roman" w:cs="Times New Roman"/>
          <w:b w:val="0"/>
          <w:i w:val="0"/>
          <w:sz w:val="22"/>
        </w:rPr>
        <w:t>- Integration tests: independent execution</w:t>
      </w:r>
    </w:p>
    <w:p>
      <w:pPr>
        <w:spacing w:after="80" w:line="293" w:lineRule="auto"/>
        <w:ind w:left="283"/>
        <w:jc w:val="left"/>
      </w:pPr>
      <w:r>
        <w:rPr>
          <w:rFonts w:ascii="Times New Roman" w:hAnsi="Times New Roman" w:cs="Times New Roman"/>
          <w:b w:val="0"/>
          <w:i w:val="0"/>
          <w:sz w:val="22"/>
        </w:rPr>
        <w:t>- End-to-end tests: full multi-shipment lifecycle</w:t>
      </w:r>
    </w:p>
    <w:p>
      <w:pPr>
        <w:keepNext/>
        <w:spacing w:before="180" w:after="80"/>
        <w:outlineLvl w:val="2"/>
      </w:pPr>
      <w:r>
        <w:rPr>
          <w:rFonts w:ascii="Arial" w:hAnsi="Arial" w:cs="Arial"/>
          <w:b/>
          <w:i w:val="0"/>
          <w:color w:val="333333"/>
          <w:sz w:val="23"/>
        </w:rPr>
        <w:t>6.14.12 AI Authority Summary (Multi-Shipment)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Multi-Shipment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Schedule suggestions with per-shipment confidence and reasoning</w:t>
            </w:r>
          </w:p>
        </w:tc>
      </w:tr>
      <w:tr>
        <w:tc>
          <w:tcPr>
            <w:tcW w:type="dxa" w:w="3213"/>
          </w:tcPr>
          <w:p>
            <w:pPr>
              <w:spacing w:after="20" w:before="20" w:line="240" w:lineRule="auto"/>
            </w:pPr>
            <w:r/>
            <w:r>
              <w:rPr>
                <w:rFonts w:ascii="Arial" w:hAnsi="Arial" w:cs="Arial"/>
                <w:b w:val="0"/>
                <w:i w:val="0"/>
                <w:sz w:val="17"/>
              </w:rPr>
              <w:t>A2</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Schedule optimisation (carrier, warehouse, payment, seasonality)</w:t>
            </w:r>
          </w:p>
        </w:tc>
      </w:tr>
      <w:tr>
        <w:tc>
          <w:tcPr>
            <w:tcW w:type="dxa" w:w="3213"/>
          </w:tcPr>
          <w:p>
            <w:pPr>
              <w:spacing w:after="20" w:before="20" w:line="240" w:lineRule="auto"/>
            </w:pPr>
            <w:r/>
            <w:r>
              <w:rPr>
                <w:rFonts w:ascii="Arial" w:hAnsi="Arial" w:cs="Arial"/>
                <w:b w:val="0"/>
                <w:i w:val="0"/>
                <w:sz w:val="17"/>
              </w:rPr>
              <w:t>A4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G1U10 schedule validation; G3U8–G3U11 fee/USTN/modification/addendum gates; G5UA9 independent milestones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6.15 AI Container Advisor (A1)</w:t>
      </w:r>
    </w:p>
    <w:p>
      <w:pPr>
        <w:keepNext/>
        <w:spacing w:before="180" w:after="80"/>
        <w:outlineLvl w:val="2"/>
      </w:pPr>
      <w:r>
        <w:rPr>
          <w:rFonts w:ascii="Arial" w:hAnsi="Arial" w:cs="Arial"/>
          <w:b/>
          <w:i w:val="0"/>
          <w:color w:val="333333"/>
          <w:sz w:val="23"/>
        </w:rPr>
        <w:t>6.15.1 Purpose &amp; Design Philosophy</w:t>
      </w:r>
    </w:p>
    <w:p>
      <w:pPr>
        <w:spacing w:after="80" w:line="293" w:lineRule="auto"/>
        <w:jc w:val="left"/>
      </w:pPr>
      <w:r>
        <w:rPr>
          <w:rFonts w:ascii="Times New Roman" w:hAnsi="Times New Roman" w:cs="Times New Roman"/>
          <w:b w:val="0"/>
          <w:i w:val="0"/>
          <w:sz w:val="22"/>
        </w:rPr>
        <w:t>The AI Container Advisor is an advisory-only feature that suggests optimal container configuration based on the buyer's commodity volume, pallet dimensions, product type, route, and transport mode. It uses anonymised aggregate data with differential privacy to provide recommendations without exposing individual trade data.</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Advisory only — the buyer can accept, modify, or ignore the recommendation.</w:t>
      </w:r>
    </w:p>
    <w:p>
      <w:pPr>
        <w:spacing w:after="80" w:line="293" w:lineRule="auto"/>
        <w:ind w:left="283"/>
        <w:jc w:val="left"/>
      </w:pPr>
      <w:r>
        <w:rPr>
          <w:rFonts w:ascii="Times New Roman" w:hAnsi="Times New Roman" w:cs="Times New Roman"/>
          <w:b w:val="0"/>
          <w:i w:val="0"/>
          <w:sz w:val="22"/>
        </w:rPr>
        <w:t>- Privacy-preserving — uses anonymised aggregate data with differential privacy (ε=0.1).</w:t>
      </w:r>
    </w:p>
    <w:p>
      <w:pPr>
        <w:spacing w:after="80" w:line="293" w:lineRule="auto"/>
        <w:ind w:left="283"/>
        <w:jc w:val="left"/>
      </w:pPr>
      <w:r>
        <w:rPr>
          <w:rFonts w:ascii="Times New Roman" w:hAnsi="Times New Roman" w:cs="Times New Roman"/>
          <w:b w:val="0"/>
          <w:i w:val="0"/>
          <w:sz w:val="22"/>
        </w:rPr>
        <w:t>- Context-aware — considers commodity type, pallet dimensions, route, transport mode, and historical loading</w:t>
      </w:r>
    </w:p>
    <w:p>
      <w:pPr>
        <w:spacing w:after="80" w:line="293" w:lineRule="auto"/>
        <w:jc w:val="left"/>
      </w:pPr>
      <w:r>
        <w:rPr>
          <w:rFonts w:ascii="Times New Roman" w:hAnsi="Times New Roman" w:cs="Times New Roman"/>
          <w:b w:val="0"/>
          <w:i w:val="0"/>
          <w:sz w:val="22"/>
        </w:rPr>
        <w:t>density.</w:t>
      </w:r>
    </w:p>
    <w:p>
      <w:pPr>
        <w:spacing w:after="80" w:line="293" w:lineRule="auto"/>
        <w:ind w:left="283"/>
        <w:jc w:val="left"/>
      </w:pPr>
      <w:r>
        <w:rPr>
          <w:rFonts w:ascii="Times New Roman" w:hAnsi="Times New Roman" w:cs="Times New Roman"/>
          <w:b w:val="0"/>
          <w:i w:val="0"/>
          <w:sz w:val="22"/>
        </w:rPr>
        <w:t>- One-click adjustment — the buyer can apply the recommendation with a single click.</w:t>
      </w:r>
    </w:p>
    <w:p>
      <w:pPr>
        <w:spacing w:after="80" w:line="293" w:lineRule="auto"/>
        <w:ind w:left="283"/>
        <w:jc w:val="left"/>
      </w:pPr>
      <w:r>
        <w:rPr>
          <w:rFonts w:ascii="Times New Roman" w:hAnsi="Times New Roman" w:cs="Times New Roman"/>
          <w:b w:val="0"/>
          <w:i w:val="0"/>
          <w:sz w:val="22"/>
        </w:rPr>
        <w:t>- Transparent reasoning — explains why the recommendation was made.</w:t>
      </w:r>
    </w:p>
    <w:p>
      <w:pPr>
        <w:spacing w:after="80" w:line="293" w:lineRule="auto"/>
        <w:ind w:left="283"/>
        <w:jc w:val="left"/>
      </w:pPr>
      <w:r>
        <w:rPr>
          <w:rFonts w:ascii="Times New Roman" w:hAnsi="Times New Roman" w:cs="Times New Roman"/>
          <w:b w:val="0"/>
          <w:i w:val="0"/>
          <w:sz w:val="22"/>
        </w:rPr>
        <w:t>- Non-marketplace — never says "other buyers used 3 containers" or suggests specific providers.</w:t>
      </w:r>
    </w:p>
    <w:p>
      <w:pPr>
        <w:spacing w:after="80" w:line="293" w:lineRule="auto"/>
        <w:jc w:val="left"/>
      </w:pPr>
      <w:r>
        <w:rPr>
          <w:rFonts w:ascii="Times New Roman" w:hAnsi="Times New Roman" w:cs="Times New Roman"/>
          <w:b w:val="0"/>
          <w:i w:val="0"/>
          <w:sz w:val="22"/>
        </w:rPr>
        <w:t>AI authority in this section: A1 (Groq) recommendation generation with explanations; A2 anonymised historical density.</w:t>
      </w:r>
    </w:p>
    <w:p>
      <w:pPr>
        <w:keepNext/>
        <w:spacing w:before="180" w:after="80"/>
        <w:outlineLvl w:val="2"/>
      </w:pPr>
      <w:r>
        <w:rPr>
          <w:rFonts w:ascii="Arial" w:hAnsi="Arial" w:cs="Arial"/>
          <w:b/>
          <w:i w:val="0"/>
          <w:color w:val="333333"/>
          <w:sz w:val="23"/>
        </w:rPr>
        <w:t>6.15.2 Advisor Trigger &amp; Logic</w:t>
      </w:r>
    </w:p>
    <w:p>
      <w:pPr>
        <w:keepNext/>
        <w:spacing w:before="140" w:after="60"/>
        <w:outlineLvl w:val="3"/>
      </w:pPr>
      <w:r>
        <w:rPr>
          <w:rFonts w:ascii="Arial" w:hAnsi="Arial" w:cs="Arial"/>
          <w:b/>
          <w:i/>
          <w:color w:val="333333"/>
          <w:sz w:val="22"/>
        </w:rPr>
        <w:t>6.15.2.1 Trigger</w:t>
      </w:r>
    </w:p>
    <w:p>
      <w:pPr>
        <w:spacing w:after="80" w:line="293" w:lineRule="auto"/>
        <w:jc w:val="left"/>
      </w:pPr>
      <w:r>
        <w:rPr>
          <w:rFonts w:ascii="Times New Roman" w:hAnsi="Times New Roman" w:cs="Times New Roman"/>
          <w:b w:val="0"/>
          <w:i w:val="0"/>
          <w:sz w:val="22"/>
        </w:rPr>
        <w:t>The AI Container Advisor is triggered automatically after the buyer enters commodity volumes (pallet count, carton dimensions, net weight). Trigger conditions: at least one commodity has been entered; pallet count and dimensions are specified; commodity type is selected; transport mode is selected.</w:t>
      </w:r>
    </w:p>
    <w:p>
      <w:pPr>
        <w:keepNext/>
        <w:spacing w:before="140" w:after="60"/>
        <w:outlineLvl w:val="3"/>
      </w:pPr>
      <w:r>
        <w:rPr>
          <w:rFonts w:ascii="Arial" w:hAnsi="Arial" w:cs="Arial"/>
          <w:b/>
          <w:i/>
          <w:color w:val="333333"/>
          <w:sz w:val="22"/>
        </w:rPr>
        <w:t>6.15.2.2 Input Data</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Input</w:t>
            </w:r>
          </w:p>
        </w:tc>
        <w:tc>
          <w:tcPr>
            <w:tcW w:type="dxa" w:w="4819"/>
            <w:shd w:val="clear" w:fill="D9E2F3"/>
          </w:tcPr>
          <w:p>
            <w:pPr>
              <w:spacing w:after="20" w:before="20" w:line="240" w:lineRule="auto"/>
            </w:pPr>
            <w:r/>
            <w:r>
              <w:rPr>
                <w:rFonts w:ascii="Arial" w:hAnsi="Arial" w:cs="Arial"/>
                <w:b/>
                <w:i w:val="0"/>
                <w:sz w:val="18"/>
              </w:rPr>
              <w:t>Source</w:t>
            </w:r>
          </w:p>
        </w:tc>
      </w:tr>
      <w:tr>
        <w:tc>
          <w:tcPr>
            <w:tcW w:type="dxa" w:w="4819"/>
          </w:tcPr>
          <w:p>
            <w:pPr>
              <w:spacing w:after="20" w:before="20" w:line="240" w:lineRule="auto"/>
            </w:pPr>
            <w:r/>
            <w:r>
              <w:rPr>
                <w:rFonts w:ascii="Arial" w:hAnsi="Arial" w:cs="Arial"/>
                <w:b w:val="0"/>
                <w:i w:val="0"/>
                <w:sz w:val="17"/>
              </w:rPr>
              <w:t>Transport mode</w:t>
            </w:r>
          </w:p>
        </w:tc>
        <w:tc>
          <w:tcPr>
            <w:tcW w:type="dxa" w:w="4819"/>
          </w:tcPr>
          <w:p>
            <w:pPr>
              <w:spacing w:after="20" w:before="20" w:line="240" w:lineRule="auto"/>
            </w:pPr>
            <w:r/>
            <w:r>
              <w:rPr>
                <w:rFonts w:ascii="Arial" w:hAnsi="Arial" w:cs="Arial"/>
                <w:b w:val="0"/>
                <w:i w:val="0"/>
                <w:sz w:val="17"/>
              </w:rPr>
              <w:t>Step 3 (Section 6.2.6)</w:t>
            </w:r>
          </w:p>
        </w:tc>
      </w:tr>
      <w:tr>
        <w:tc>
          <w:tcPr>
            <w:tcW w:type="dxa" w:w="4819"/>
          </w:tcPr>
          <w:p>
            <w:pPr>
              <w:spacing w:after="20" w:before="20" w:line="240" w:lineRule="auto"/>
            </w:pPr>
            <w:r/>
            <w:r>
              <w:rPr>
                <w:rFonts w:ascii="Arial" w:hAnsi="Arial" w:cs="Arial"/>
                <w:b w:val="0"/>
                <w:i w:val="0"/>
                <w:sz w:val="17"/>
              </w:rPr>
              <w:t>Pallet count and dimensions</w:t>
            </w:r>
          </w:p>
        </w:tc>
        <w:tc>
          <w:tcPr>
            <w:tcW w:type="dxa" w:w="4819"/>
          </w:tcPr>
          <w:p>
            <w:pPr>
              <w:spacing w:after="20" w:before="20" w:line="240" w:lineRule="auto"/>
            </w:pPr>
            <w:r/>
            <w:r>
              <w:rPr>
                <w:rFonts w:ascii="Arial" w:hAnsi="Arial" w:cs="Arial"/>
                <w:b w:val="0"/>
                <w:i w:val="0"/>
                <w:sz w:val="17"/>
              </w:rPr>
              <w:t>Commodity packing configuration (Section 6.6)</w:t>
            </w:r>
          </w:p>
        </w:tc>
      </w:tr>
      <w:tr>
        <w:tc>
          <w:tcPr>
            <w:tcW w:type="dxa" w:w="4819"/>
          </w:tcPr>
          <w:p>
            <w:pPr>
              <w:spacing w:after="20" w:before="20" w:line="240" w:lineRule="auto"/>
            </w:pPr>
            <w:r/>
            <w:r>
              <w:rPr>
                <w:rFonts w:ascii="Arial" w:hAnsi="Arial" w:cs="Arial"/>
                <w:b w:val="0"/>
                <w:i w:val="0"/>
                <w:sz w:val="17"/>
              </w:rPr>
              <w:t>Commodity type</w:t>
            </w:r>
          </w:p>
        </w:tc>
        <w:tc>
          <w:tcPr>
            <w:tcW w:type="dxa" w:w="4819"/>
          </w:tcPr>
          <w:p>
            <w:pPr>
              <w:spacing w:after="20" w:before="20" w:line="240" w:lineRule="auto"/>
            </w:pPr>
            <w:r/>
            <w:r>
              <w:rPr>
                <w:rFonts w:ascii="Arial" w:hAnsi="Arial" w:cs="Arial"/>
                <w:b w:val="0"/>
                <w:i w:val="0"/>
                <w:sz w:val="17"/>
              </w:rPr>
              <w:t>Commodity entry</w:t>
            </w:r>
          </w:p>
        </w:tc>
      </w:tr>
      <w:tr>
        <w:tc>
          <w:tcPr>
            <w:tcW w:type="dxa" w:w="4819"/>
          </w:tcPr>
          <w:p>
            <w:pPr>
              <w:spacing w:after="20" w:before="20" w:line="240" w:lineRule="auto"/>
            </w:pPr>
            <w:r/>
            <w:r>
              <w:rPr>
                <w:rFonts w:ascii="Arial" w:hAnsi="Arial" w:cs="Arial"/>
                <w:b w:val="0"/>
                <w:i w:val="0"/>
                <w:sz w:val="17"/>
              </w:rPr>
              <w:t>Total weight</w:t>
            </w:r>
          </w:p>
        </w:tc>
        <w:tc>
          <w:tcPr>
            <w:tcW w:type="dxa" w:w="4819"/>
          </w:tcPr>
          <w:p>
            <w:pPr>
              <w:spacing w:after="20" w:before="20" w:line="240" w:lineRule="auto"/>
            </w:pPr>
            <w:r/>
            <w:r>
              <w:rPr>
                <w:rFonts w:ascii="Arial" w:hAnsi="Arial" w:cs="Arial"/>
                <w:b w:val="0"/>
                <w:i w:val="0"/>
                <w:sz w:val="17"/>
              </w:rPr>
              <w:t>Weight calculation engine (Section 6.6.6)</w:t>
            </w:r>
          </w:p>
        </w:tc>
      </w:tr>
      <w:tr>
        <w:tc>
          <w:tcPr>
            <w:tcW w:type="dxa" w:w="4819"/>
          </w:tcPr>
          <w:p>
            <w:pPr>
              <w:spacing w:after="20" w:before="20" w:line="240" w:lineRule="auto"/>
            </w:pPr>
            <w:r/>
            <w:r>
              <w:rPr>
                <w:rFonts w:ascii="Arial" w:hAnsi="Arial" w:cs="Arial"/>
                <w:b w:val="0"/>
                <w:i w:val="0"/>
                <w:sz w:val="17"/>
              </w:rPr>
              <w:t>Historical loading density</w:t>
            </w:r>
          </w:p>
        </w:tc>
        <w:tc>
          <w:tcPr>
            <w:tcW w:type="dxa" w:w="4819"/>
          </w:tcPr>
          <w:p>
            <w:pPr>
              <w:spacing w:after="20" w:before="20" w:line="240" w:lineRule="auto"/>
            </w:pPr>
            <w:r/>
            <w:r>
              <w:rPr>
                <w:rFonts w:ascii="Arial" w:hAnsi="Arial" w:cs="Arial"/>
                <w:b w:val="0"/>
                <w:i w:val="0"/>
                <w:sz w:val="17"/>
              </w:rPr>
              <w:t>Trade Memory Layer (anonymised, differential privacy)</w:t>
            </w:r>
          </w:p>
        </w:tc>
      </w:tr>
      <w:tr>
        <w:tc>
          <w:tcPr>
            <w:tcW w:type="dxa" w:w="4819"/>
          </w:tcPr>
          <w:p>
            <w:pPr>
              <w:spacing w:after="20" w:before="20" w:line="240" w:lineRule="auto"/>
            </w:pPr>
            <w:r/>
            <w:r>
              <w:rPr>
                <w:rFonts w:ascii="Arial" w:hAnsi="Arial" w:cs="Arial"/>
                <w:b w:val="0"/>
                <w:i w:val="0"/>
                <w:sz w:val="17"/>
              </w:rPr>
              <w:t>Route</w:t>
            </w:r>
          </w:p>
        </w:tc>
        <w:tc>
          <w:tcPr>
            <w:tcW w:type="dxa" w:w="4819"/>
          </w:tcPr>
          <w:p>
            <w:pPr>
              <w:spacing w:after="20" w:before="20" w:line="240" w:lineRule="auto"/>
            </w:pPr>
            <w:r/>
            <w:r>
              <w:rPr>
                <w:rFonts w:ascii="Arial" w:hAnsi="Arial" w:cs="Arial"/>
                <w:b w:val="0"/>
                <w:i w:val="0"/>
                <w:sz w:val="17"/>
              </w:rPr>
              <w:t>Transport configuration</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6.15.2.3 Calculation Logic</w:t>
      </w:r>
    </w:p>
    <w:p>
      <w:pPr>
        <w:spacing w:after="0" w:before="0" w:line="240" w:lineRule="auto"/>
        <w:ind w:left="57"/>
        <w:jc w:val="left"/>
        <w:shd w:val="clear" w:fill="F2F2F2"/>
      </w:pPr>
      <w:r>
        <w:rPr>
          <w:rFonts w:ascii="Consolas" w:hAnsi="Consolas" w:cs="Consolas"/>
          <w:b w:val="0"/>
          <w:i w:val="0"/>
          <w:sz w:val="15"/>
        </w:rPr>
        <w:t>// Pseudo-code: Container Advisor calculation</w:t>
      </w:r>
    </w:p>
    <w:p>
      <w:pPr>
        <w:spacing w:after="0" w:before="0" w:line="240" w:lineRule="auto"/>
        <w:ind w:left="57"/>
        <w:jc w:val="left"/>
        <w:shd w:val="clear" w:fill="F2F2F2"/>
      </w:pPr>
      <w:r>
        <w:rPr>
          <w:rFonts w:ascii="Consolas" w:hAnsi="Consolas" w:cs="Consolas"/>
          <w:b w:val="0"/>
          <w:i w:val="0"/>
          <w:sz w:val="15"/>
        </w:rPr>
        <w:t>fn calculate_container_recommendation(</w:t>
      </w:r>
    </w:p>
    <w:p>
      <w:pPr>
        <w:spacing w:after="0" w:before="0" w:line="240" w:lineRule="auto"/>
        <w:ind w:left="57"/>
        <w:jc w:val="left"/>
        <w:shd w:val="clear" w:fill="F2F2F2"/>
      </w:pPr>
      <w:r>
        <w:rPr>
          <w:rFonts w:ascii="Consolas" w:hAnsi="Consolas" w:cs="Consolas"/>
          <w:b w:val="0"/>
          <w:i w:val="0"/>
          <w:sz w:val="15"/>
        </w:rPr>
        <w:t xml:space="preserve">    pallets: &amp;[Pallet],</w:t>
      </w:r>
    </w:p>
    <w:p>
      <w:pPr>
        <w:spacing w:after="0" w:before="0" w:line="240" w:lineRule="auto"/>
        <w:ind w:left="57"/>
        <w:jc w:val="left"/>
        <w:shd w:val="clear" w:fill="F2F2F2"/>
      </w:pPr>
      <w:r>
        <w:rPr>
          <w:rFonts w:ascii="Consolas" w:hAnsi="Consolas" w:cs="Consolas"/>
          <w:b w:val="0"/>
          <w:i w:val="0"/>
          <w:sz w:val="15"/>
        </w:rPr>
        <w:t xml:space="preserve">    commodity_type: &amp;str,</w:t>
      </w:r>
    </w:p>
    <w:p>
      <w:pPr>
        <w:spacing w:after="0" w:before="0" w:line="240" w:lineRule="auto"/>
        <w:ind w:left="57"/>
        <w:jc w:val="left"/>
        <w:shd w:val="clear" w:fill="F2F2F2"/>
      </w:pPr>
      <w:r>
        <w:rPr>
          <w:rFonts w:ascii="Consolas" w:hAnsi="Consolas" w:cs="Consolas"/>
          <w:b w:val="0"/>
          <w:i w:val="0"/>
          <w:sz w:val="15"/>
        </w:rPr>
        <w:t xml:space="preserve">    total_weight_kg: f64,</w:t>
      </w:r>
    </w:p>
    <w:p>
      <w:pPr>
        <w:spacing w:after="0" w:before="0" w:line="240" w:lineRule="auto"/>
        <w:ind w:left="57"/>
        <w:jc w:val="left"/>
        <w:shd w:val="clear" w:fill="F2F2F2"/>
      </w:pPr>
      <w:r>
        <w:rPr>
          <w:rFonts w:ascii="Consolas" w:hAnsi="Consolas" w:cs="Consolas"/>
          <w:b w:val="0"/>
          <w:i w:val="0"/>
          <w:sz w:val="15"/>
        </w:rPr>
        <w:t xml:space="preserve">    transport_mode: TransportMode,</w:t>
      </w:r>
    </w:p>
    <w:p>
      <w:pPr>
        <w:spacing w:after="0" w:before="0" w:line="240" w:lineRule="auto"/>
        <w:ind w:left="57"/>
        <w:jc w:val="left"/>
        <w:shd w:val="clear" w:fill="F2F2F2"/>
      </w:pPr>
      <w:r>
        <w:rPr>
          <w:rFonts w:ascii="Consolas" w:hAnsi="Consolas" w:cs="Consolas"/>
          <w:b w:val="0"/>
          <w:i w:val="0"/>
          <w:sz w:val="15"/>
        </w:rPr>
        <w:t xml:space="preserve">    route: &amp;Route</w:t>
      </w:r>
    </w:p>
    <w:p>
      <w:pPr>
        <w:spacing w:after="0" w:before="0" w:line="240" w:lineRule="auto"/>
        <w:ind w:left="57"/>
        <w:jc w:val="left"/>
        <w:shd w:val="clear" w:fill="F2F2F2"/>
      </w:pPr>
      <w:r>
        <w:rPr>
          <w:rFonts w:ascii="Consolas" w:hAnsi="Consolas" w:cs="Consolas"/>
          <w:b w:val="0"/>
          <w:i w:val="0"/>
          <w:sz w:val="15"/>
        </w:rPr>
        <w:t>) -&gt; ContainerRecommendation {</w:t>
      </w:r>
    </w:p>
    <w:p>
      <w:pPr>
        <w:spacing w:after="0" w:before="0" w:line="240" w:lineRule="auto"/>
        <w:ind w:left="57"/>
        <w:jc w:val="left"/>
        <w:shd w:val="clear" w:fill="F2F2F2"/>
      </w:pPr>
      <w:r>
        <w:rPr>
          <w:rFonts w:ascii="Consolas" w:hAnsi="Consolas" w:cs="Consolas"/>
          <w:b w:val="0"/>
          <w:i w:val="0"/>
          <w:sz w:val="15"/>
        </w:rPr>
        <w:t xml:space="preserve">    // 1. Calculate total volume</w:t>
      </w:r>
    </w:p>
    <w:p>
      <w:pPr>
        <w:spacing w:after="0" w:before="0" w:line="240" w:lineRule="auto"/>
        <w:ind w:left="57"/>
        <w:jc w:val="left"/>
        <w:shd w:val="clear" w:fill="F2F2F2"/>
      </w:pPr>
      <w:r>
        <w:rPr>
          <w:rFonts w:ascii="Consolas" w:hAnsi="Consolas" w:cs="Consolas"/>
          <w:b w:val="0"/>
          <w:i w:val="0"/>
          <w:sz w:val="15"/>
        </w:rPr>
        <w:t xml:space="preserve">    let total_volume_cbm = pallets.iter().map(|p| p.volume_cbm()).sum();</w:t>
      </w:r>
    </w:p>
    <w:p>
      <w:pPr>
        <w:spacing w:after="0" w:before="0" w:line="240" w:lineRule="auto"/>
        <w:ind w:left="57"/>
        <w:jc w:val="left"/>
        <w:shd w:val="clear" w:fill="F2F2F2"/>
      </w:pPr>
      <w:r>
        <w:rPr>
          <w:rFonts w:ascii="Consolas" w:hAnsi="Consolas" w:cs="Consolas"/>
          <w:b w:val="0"/>
          <w:i w:val="0"/>
          <w:sz w:val="15"/>
        </w:rPr>
        <w:t xml:space="preserve">    // 2. Determine container requirements</w:t>
      </w:r>
    </w:p>
    <w:p>
      <w:pPr>
        <w:spacing w:after="0" w:before="0" w:line="240" w:lineRule="auto"/>
        <w:ind w:left="57"/>
        <w:jc w:val="left"/>
        <w:shd w:val="clear" w:fill="F2F2F2"/>
      </w:pPr>
      <w:r>
        <w:rPr>
          <w:rFonts w:ascii="Consolas" w:hAnsi="Consolas" w:cs="Consolas"/>
          <w:b w:val="0"/>
          <w:i w:val="0"/>
          <w:sz w:val="15"/>
        </w:rPr>
        <w:t xml:space="preserve">    let requires_reefer = is_perishable(commodity_type);</w:t>
      </w:r>
    </w:p>
    <w:p>
      <w:pPr>
        <w:spacing w:after="0" w:before="0" w:line="240" w:lineRule="auto"/>
        <w:ind w:left="57"/>
        <w:jc w:val="left"/>
        <w:shd w:val="clear" w:fill="F2F2F2"/>
      </w:pPr>
      <w:r>
        <w:rPr>
          <w:rFonts w:ascii="Consolas" w:hAnsi="Consolas" w:cs="Consolas"/>
          <w:b w:val="0"/>
          <w:i w:val="0"/>
          <w:sz w:val="15"/>
        </w:rPr>
        <w:t xml:space="preserve">    let requires_ventilation = requires_ventilation(commodity_type);</w:t>
      </w:r>
    </w:p>
    <w:p>
      <w:pPr>
        <w:spacing w:after="0" w:before="0" w:line="240" w:lineRule="auto"/>
        <w:ind w:left="57"/>
        <w:jc w:val="left"/>
        <w:shd w:val="clear" w:fill="F2F2F2"/>
      </w:pPr>
      <w:r>
        <w:rPr>
          <w:rFonts w:ascii="Consolas" w:hAnsi="Consolas" w:cs="Consolas"/>
          <w:b w:val="0"/>
          <w:i w:val="0"/>
          <w:sz w:val="15"/>
        </w:rPr>
        <w:t xml:space="preserve">    let is_hazardous = is_hazardous(commodity_type);</w:t>
      </w:r>
    </w:p>
    <w:p>
      <w:pPr>
        <w:spacing w:after="0" w:before="0" w:line="240" w:lineRule="auto"/>
        <w:ind w:left="57"/>
        <w:jc w:val="left"/>
        <w:shd w:val="clear" w:fill="F2F2F2"/>
      </w:pPr>
      <w:r>
        <w:rPr>
          <w:rFonts w:ascii="Consolas" w:hAnsi="Consolas" w:cs="Consolas"/>
          <w:b w:val="0"/>
          <w:i w:val="0"/>
          <w:sz w:val="15"/>
        </w:rPr>
        <w:t xml:space="preserve">    // 3. Get available container types for route</w:t>
      </w:r>
    </w:p>
    <w:p>
      <w:pPr>
        <w:spacing w:after="0" w:before="0" w:line="240" w:lineRule="auto"/>
        <w:ind w:left="57"/>
        <w:jc w:val="left"/>
        <w:shd w:val="clear" w:fill="F2F2F2"/>
      </w:pPr>
      <w:r>
        <w:rPr>
          <w:rFonts w:ascii="Consolas" w:hAnsi="Consolas" w:cs="Consolas"/>
          <w:b w:val="0"/>
          <w:i w:val="0"/>
          <w:sz w:val="15"/>
        </w:rPr>
        <w:t xml:space="preserve">    let available = get_available_containers(transport_mode, route);</w:t>
      </w:r>
    </w:p>
    <w:p>
      <w:pPr>
        <w:spacing w:after="0" w:before="0" w:line="240" w:lineRule="auto"/>
        <w:ind w:left="57"/>
        <w:jc w:val="left"/>
        <w:shd w:val="clear" w:fill="F2F2F2"/>
      </w:pPr>
      <w:r>
        <w:rPr>
          <w:rFonts w:ascii="Consolas" w:hAnsi="Consolas" w:cs="Consolas"/>
          <w:b w:val="0"/>
          <w:i w:val="0"/>
          <w:sz w:val="15"/>
        </w:rPr>
        <w:t xml:space="preserve">    // 4. Calculate fit for each container type</w:t>
      </w:r>
    </w:p>
    <w:p>
      <w:pPr>
        <w:spacing w:after="0" w:before="0" w:line="240" w:lineRule="auto"/>
        <w:ind w:left="57"/>
        <w:jc w:val="left"/>
        <w:shd w:val="clear" w:fill="F2F2F2"/>
      </w:pPr>
      <w:r>
        <w:rPr>
          <w:rFonts w:ascii="Consolas" w:hAnsi="Consolas" w:cs="Consolas"/>
          <w:b w:val="0"/>
          <w:i w:val="0"/>
          <w:sz w:val="15"/>
        </w:rPr>
        <w:t xml:space="preserve">    let mut options = Vec::new();</w:t>
      </w:r>
    </w:p>
    <w:p>
      <w:pPr>
        <w:spacing w:after="0" w:before="0" w:line="240" w:lineRule="auto"/>
        <w:ind w:left="57"/>
        <w:jc w:val="left"/>
        <w:shd w:val="clear" w:fill="F2F2F2"/>
      </w:pPr>
      <w:r>
        <w:rPr>
          <w:rFonts w:ascii="Consolas" w:hAnsi="Consolas" w:cs="Consolas"/>
          <w:b w:val="0"/>
          <w:i w:val="0"/>
          <w:sz w:val="15"/>
        </w:rPr>
        <w:t xml:space="preserve">    for container in available {</w:t>
      </w:r>
    </w:p>
    <w:p>
      <w:pPr>
        <w:spacing w:after="0" w:before="0" w:line="240" w:lineRule="auto"/>
        <w:ind w:left="57"/>
        <w:jc w:val="left"/>
        <w:shd w:val="clear" w:fill="F2F2F2"/>
      </w:pPr>
      <w:r>
        <w:rPr>
          <w:rFonts w:ascii="Consolas" w:hAnsi="Consolas" w:cs="Consolas"/>
          <w:b w:val="0"/>
          <w:i w:val="0"/>
          <w:sz w:val="15"/>
        </w:rPr>
        <w:t xml:space="preserve">        let pallet_fit = calculate_pallet_fit(pallets, &amp;container);</w:t>
      </w:r>
    </w:p>
    <w:p>
      <w:pPr>
        <w:spacing w:after="0" w:before="0" w:line="240" w:lineRule="auto"/>
        <w:ind w:left="57"/>
        <w:jc w:val="left"/>
        <w:shd w:val="clear" w:fill="F2F2F2"/>
      </w:pPr>
      <w:r>
        <w:rPr>
          <w:rFonts w:ascii="Consolas" w:hAnsi="Consolas" w:cs="Consolas"/>
          <w:b w:val="0"/>
          <w:i w:val="0"/>
          <w:sz w:val="15"/>
        </w:rPr>
        <w:t xml:space="preserve">        let weight_fit = total_weight_kg &lt;= container.max_payload_kg;</w:t>
      </w:r>
    </w:p>
    <w:p>
      <w:pPr>
        <w:spacing w:after="0" w:before="0" w:line="240" w:lineRule="auto"/>
        <w:ind w:left="57"/>
        <w:jc w:val="left"/>
        <w:shd w:val="clear" w:fill="F2F2F2"/>
      </w:pPr>
      <w:r>
        <w:rPr>
          <w:rFonts w:ascii="Consolas" w:hAnsi="Consolas" w:cs="Consolas"/>
          <w:b w:val="0"/>
          <w:i w:val="0"/>
          <w:sz w:val="15"/>
        </w:rPr>
        <w:t xml:space="preserve">        let volume_fit = total_volume_cbm &lt;= container.max_volume_cbm;</w:t>
      </w:r>
    </w:p>
    <w:p>
      <w:pPr>
        <w:spacing w:after="0" w:before="0" w:line="240" w:lineRule="auto"/>
        <w:ind w:left="57"/>
        <w:jc w:val="left"/>
        <w:shd w:val="clear" w:fill="F2F2F2"/>
      </w:pPr>
      <w:r>
        <w:rPr>
          <w:rFonts w:ascii="Consolas" w:hAnsi="Consolas" w:cs="Consolas"/>
          <w:b w:val="0"/>
          <w:i w:val="0"/>
          <w:sz w:val="15"/>
        </w:rPr>
        <w:t xml:space="preserve">        let special_fit = check_special_requirements(</w:t>
      </w:r>
    </w:p>
    <w:p>
      <w:pPr>
        <w:spacing w:after="0" w:before="0" w:line="240" w:lineRule="auto"/>
        <w:ind w:left="57"/>
        <w:jc w:val="left"/>
        <w:shd w:val="clear" w:fill="F2F2F2"/>
      </w:pPr>
      <w:r>
        <w:rPr>
          <w:rFonts w:ascii="Consolas" w:hAnsi="Consolas" w:cs="Consolas"/>
          <w:b w:val="0"/>
          <w:i w:val="0"/>
          <w:sz w:val="15"/>
        </w:rPr>
        <w:t xml:space="preserve">            container, requires_reefer, requires_ventilation, is_hazardous);</w:t>
      </w:r>
    </w:p>
    <w:p>
      <w:pPr>
        <w:spacing w:after="0" w:before="0" w:line="240" w:lineRule="auto"/>
        <w:ind w:left="57"/>
        <w:jc w:val="left"/>
        <w:shd w:val="clear" w:fill="F2F2F2"/>
      </w:pPr>
      <w:r>
        <w:rPr>
          <w:rFonts w:ascii="Consolas" w:hAnsi="Consolas" w:cs="Consolas"/>
          <w:b w:val="0"/>
          <w:i w:val="0"/>
          <w:sz w:val="15"/>
        </w:rPr>
        <w:t xml:space="preserve">        if pallet_fit.is_ok() &amp;&amp; weight_fit &amp;&amp; volume_fit &amp;&amp; special_fit {</w:t>
      </w:r>
    </w:p>
    <w:p>
      <w:pPr>
        <w:spacing w:after="0" w:before="0" w:line="240" w:lineRule="auto"/>
        <w:ind w:left="57"/>
        <w:jc w:val="left"/>
        <w:shd w:val="clear" w:fill="F2F2F2"/>
      </w:pPr>
      <w:r>
        <w:rPr>
          <w:rFonts w:ascii="Consolas" w:hAnsi="Consolas" w:cs="Consolas"/>
          <w:b w:val="0"/>
          <w:i w:val="0"/>
          <w:sz w:val="15"/>
        </w:rPr>
        <w:t xml:space="preserve">            options.push(ContainerOption {</w:t>
      </w:r>
    </w:p>
    <w:p>
      <w:pPr>
        <w:spacing w:after="0" w:before="0" w:line="240" w:lineRule="auto"/>
        <w:ind w:left="57"/>
        <w:jc w:val="left"/>
        <w:shd w:val="clear" w:fill="F2F2F2"/>
      </w:pPr>
      <w:r>
        <w:rPr>
          <w:rFonts w:ascii="Consolas" w:hAnsi="Consolas" w:cs="Consolas"/>
          <w:b w:val="0"/>
          <w:i w:val="0"/>
          <w:sz w:val="15"/>
        </w:rPr>
        <w:t xml:space="preserve">                container_type: container,</w:t>
      </w:r>
    </w:p>
    <w:p>
      <w:pPr>
        <w:spacing w:after="0" w:before="0" w:line="240" w:lineRule="auto"/>
        <w:ind w:left="57"/>
        <w:jc w:val="left"/>
        <w:shd w:val="clear" w:fill="F2F2F2"/>
      </w:pPr>
      <w:r>
        <w:rPr>
          <w:rFonts w:ascii="Consolas" w:hAnsi="Consolas" w:cs="Consolas"/>
          <w:b w:val="0"/>
          <w:i w:val="0"/>
          <w:sz w:val="15"/>
        </w:rPr>
        <w:t xml:space="preserve">                pallet_arrangement: pallet_fit.unwrap(),</w:t>
      </w:r>
    </w:p>
    <w:p>
      <w:pPr>
        <w:spacing w:after="0" w:before="0" w:line="240" w:lineRule="auto"/>
        <w:ind w:left="57"/>
        <w:jc w:val="left"/>
        <w:shd w:val="clear" w:fill="F2F2F2"/>
      </w:pPr>
      <w:r>
        <w:rPr>
          <w:rFonts w:ascii="Consolas" w:hAnsi="Consolas" w:cs="Consolas"/>
          <w:b w:val="0"/>
          <w:i w:val="0"/>
          <w:sz w:val="15"/>
        </w:rPr>
        <w:t xml:space="preserve">                capacity_utilisation: (total_volume_cbm / container.max_volume_cbm) * 100.0,</w:t>
      </w:r>
    </w:p>
    <w:p>
      <w:pPr>
        <w:spacing w:after="0" w:before="0" w:line="240" w:lineRule="auto"/>
        <w:ind w:left="57"/>
        <w:jc w:val="left"/>
        <w:shd w:val="clear" w:fill="F2F2F2"/>
      </w:pPr>
      <w:r>
        <w:rPr>
          <w:rFonts w:ascii="Consolas" w:hAnsi="Consolas" w:cs="Consolas"/>
          <w:b w:val="0"/>
          <w:i w:val="0"/>
          <w:sz w:val="15"/>
        </w:rPr>
        <w:t xml:space="preserve">                weight_utilisation: (total_weight_kg / container.max_payload_kg) * 100.0,</w:t>
      </w:r>
    </w:p>
    <w:p>
      <w:pPr>
        <w:spacing w:after="0" w:before="0" w:line="240" w:lineRule="auto"/>
        <w:ind w:left="57"/>
        <w:jc w:val="left"/>
        <w:shd w:val="clear" w:fill="F2F2F2"/>
      </w:pPr>
      <w:r>
        <w:rPr>
          <w:rFonts w:ascii="Consolas" w:hAnsi="Consolas" w:cs="Consolas"/>
          <w:b w:val="0"/>
          <w:i w:val="0"/>
          <w:sz w:val="15"/>
        </w:rPr>
        <w:t xml:space="preserve">                estimated_cost: estimate_cost(&amp;container, route),</w:t>
      </w:r>
    </w:p>
    <w:p>
      <w:pPr>
        <w:spacing w:after="0" w:before="0" w:line="240" w:lineRule="auto"/>
        <w:ind w:left="57"/>
        <w:jc w:val="left"/>
        <w:shd w:val="clear" w:fill="F2F2F2"/>
      </w:pPr>
      <w:r>
        <w:rPr>
          <w:rFonts w:ascii="Consolas" w:hAnsi="Consolas" w:cs="Consolas"/>
          <w:b w:val="0"/>
          <w:i w:val="0"/>
          <w:sz w:val="15"/>
        </w:rPr>
        <w:t xml:space="preserve">                fit_score: calculate_fit_score(&amp;container, total_volume_cbm, total_weight_kg),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Get historical loading density (anonymised, differential privacy)</w:t>
      </w:r>
    </w:p>
    <w:p>
      <w:pPr>
        <w:spacing w:after="0" w:before="0" w:line="240" w:lineRule="auto"/>
        <w:ind w:left="57"/>
        <w:jc w:val="left"/>
        <w:shd w:val="clear" w:fill="F2F2F2"/>
      </w:pPr>
      <w:r>
        <w:rPr>
          <w:rFonts w:ascii="Consolas" w:hAnsi="Consolas" w:cs="Consolas"/>
          <w:b w:val="0"/>
          <w:i w:val="0"/>
          <w:sz w:val="15"/>
        </w:rPr>
        <w:t xml:space="preserve">    let historical_density = get_historical_density(route, commodity_type);</w:t>
      </w:r>
    </w:p>
    <w:p>
      <w:pPr>
        <w:spacing w:after="0" w:before="0" w:line="240" w:lineRule="auto"/>
        <w:ind w:left="57"/>
        <w:jc w:val="left"/>
        <w:shd w:val="clear" w:fill="F2F2F2"/>
      </w:pPr>
      <w:r>
        <w:rPr>
          <w:rFonts w:ascii="Consolas" w:hAnsi="Consolas" w:cs="Consolas"/>
          <w:b w:val="0"/>
          <w:i w:val="0"/>
          <w:sz w:val="15"/>
        </w:rPr>
        <w:t xml:space="preserve">    // 6. Generate recommendation (A1, Groq)</w:t>
      </w:r>
    </w:p>
    <w:p>
      <w:pPr>
        <w:spacing w:after="0" w:before="0" w:line="240" w:lineRule="auto"/>
        <w:ind w:left="57"/>
        <w:jc w:val="left"/>
        <w:shd w:val="clear" w:fill="F2F2F2"/>
      </w:pPr>
      <w:r>
        <w:rPr>
          <w:rFonts w:ascii="Consolas" w:hAnsi="Consolas" w:cs="Consolas"/>
          <w:b w:val="0"/>
          <w:i w:val="0"/>
          <w:sz w:val="15"/>
        </w:rPr>
        <w:t xml:space="preserve">    let recommendation = generate_recommendation(options, historical_density);</w:t>
      </w:r>
    </w:p>
    <w:p>
      <w:pPr>
        <w:spacing w:after="0" w:before="0" w:line="240" w:lineRule="auto"/>
        <w:ind w:left="57"/>
        <w:jc w:val="left"/>
        <w:shd w:val="clear" w:fill="F2F2F2"/>
      </w:pPr>
      <w:r>
        <w:rPr>
          <w:rFonts w:ascii="Consolas" w:hAnsi="Consolas" w:cs="Consolas"/>
          <w:b w:val="0"/>
          <w:i w:val="0"/>
          <w:sz w:val="15"/>
        </w:rPr>
        <w:t xml:space="preserve">    recommendation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6.15.3 Container Options &amp; Recommendations</w:t>
      </w:r>
    </w:p>
    <w:p>
      <w:pPr>
        <w:keepNext/>
        <w:spacing w:before="140" w:after="60"/>
        <w:outlineLvl w:val="3"/>
      </w:pPr>
      <w:r>
        <w:rPr>
          <w:rFonts w:ascii="Arial" w:hAnsi="Arial" w:cs="Arial"/>
          <w:b/>
          <w:i/>
          <w:color w:val="333333"/>
          <w:sz w:val="22"/>
        </w:rPr>
        <w:t>6.15.3.1 Container Types Considered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Container Type</w:t>
            </w:r>
          </w:p>
        </w:tc>
        <w:tc>
          <w:tcPr>
            <w:tcW w:type="dxa" w:w="2409"/>
            <w:shd w:val="clear" w:fill="D9E2F3"/>
          </w:tcPr>
          <w:p>
            <w:pPr>
              <w:spacing w:after="20" w:before="20" w:line="240" w:lineRule="auto"/>
            </w:pPr>
            <w:r/>
            <w:r>
              <w:rPr>
                <w:rFonts w:ascii="Arial" w:hAnsi="Arial" w:cs="Arial"/>
                <w:b/>
                <w:i w:val="0"/>
                <w:sz w:val="18"/>
              </w:rPr>
              <w:t>Width (mm)</w:t>
            </w:r>
          </w:p>
        </w:tc>
        <w:tc>
          <w:tcPr>
            <w:tcW w:type="dxa" w:w="2409"/>
            <w:shd w:val="clear" w:fill="D9E2F3"/>
          </w:tcPr>
          <w:p>
            <w:pPr>
              <w:spacing w:after="20" w:before="20" w:line="240" w:lineRule="auto"/>
            </w:pPr>
            <w:r/>
            <w:r>
              <w:rPr>
                <w:rFonts w:ascii="Arial" w:hAnsi="Arial" w:cs="Arial"/>
                <w:b/>
                <w:i w:val="0"/>
                <w:sz w:val="18"/>
              </w:rPr>
              <w:t>Length (mm)</w:t>
            </w:r>
          </w:p>
        </w:tc>
        <w:tc>
          <w:tcPr>
            <w:tcW w:type="dxa" w:w="2409"/>
            <w:shd w:val="clear" w:fill="D9E2F3"/>
          </w:tcPr>
          <w:p>
            <w:pPr>
              <w:spacing w:after="20" w:before="20" w:line="240" w:lineRule="auto"/>
            </w:pPr>
            <w:r/>
            <w:r>
              <w:rPr>
                <w:rFonts w:ascii="Arial" w:hAnsi="Arial" w:cs="Arial"/>
                <w:b/>
                <w:i w:val="0"/>
                <w:sz w:val="18"/>
              </w:rPr>
              <w:t>Height (mm)</w:t>
            </w:r>
          </w:p>
        </w:tc>
      </w:tr>
      <w:tr>
        <w:tc>
          <w:tcPr>
            <w:tcW w:type="dxa" w:w="2409"/>
          </w:tcPr>
          <w:p>
            <w:pPr>
              <w:spacing w:after="20" w:before="20" w:line="240" w:lineRule="auto"/>
            </w:pPr>
            <w:r/>
            <w:r>
              <w:rPr>
                <w:rFonts w:ascii="Arial" w:hAnsi="Arial" w:cs="Arial"/>
                <w:b w:val="0"/>
                <w:i w:val="0"/>
                <w:sz w:val="17"/>
              </w:rPr>
              <w:t>20ft Standard</w:t>
            </w:r>
          </w:p>
        </w:tc>
        <w:tc>
          <w:tcPr>
            <w:tcW w:type="dxa" w:w="2409"/>
          </w:tcPr>
          <w:p>
            <w:pPr>
              <w:spacing w:after="20" w:before="20" w:line="240" w:lineRule="auto"/>
            </w:pPr>
            <w:r/>
            <w:r>
              <w:rPr>
                <w:rFonts w:ascii="Arial" w:hAnsi="Arial" w:cs="Arial"/>
                <w:b w:val="0"/>
                <w:i w:val="0"/>
                <w:sz w:val="17"/>
              </w:rPr>
              <w:t>2350</w:t>
            </w:r>
          </w:p>
        </w:tc>
        <w:tc>
          <w:tcPr>
            <w:tcW w:type="dxa" w:w="2409"/>
          </w:tcPr>
          <w:p>
            <w:pPr>
              <w:spacing w:after="20" w:before="20" w:line="240" w:lineRule="auto"/>
            </w:pPr>
            <w:r/>
            <w:r>
              <w:rPr>
                <w:rFonts w:ascii="Arial" w:hAnsi="Arial" w:cs="Arial"/>
                <w:b w:val="0"/>
                <w:i w:val="0"/>
                <w:sz w:val="17"/>
              </w:rPr>
              <w:t>5890</w:t>
            </w:r>
          </w:p>
        </w:tc>
        <w:tc>
          <w:tcPr>
            <w:tcW w:type="dxa" w:w="2409"/>
          </w:tcPr>
          <w:p>
            <w:pPr>
              <w:spacing w:after="20" w:before="20" w:line="240" w:lineRule="auto"/>
            </w:pPr>
            <w:r/>
            <w:r>
              <w:rPr>
                <w:rFonts w:ascii="Arial" w:hAnsi="Arial" w:cs="Arial"/>
                <w:b w:val="0"/>
                <w:i w:val="0"/>
                <w:sz w:val="17"/>
              </w:rPr>
              <w:t>2390</w:t>
            </w:r>
          </w:p>
        </w:tc>
      </w:tr>
      <w:tr>
        <w:tc>
          <w:tcPr>
            <w:tcW w:type="dxa" w:w="2409"/>
          </w:tcPr>
          <w:p>
            <w:pPr>
              <w:spacing w:after="20" w:before="20" w:line="240" w:lineRule="auto"/>
            </w:pPr>
            <w:r/>
            <w:r>
              <w:rPr>
                <w:rFonts w:ascii="Arial" w:hAnsi="Arial" w:cs="Arial"/>
                <w:b w:val="0"/>
                <w:i w:val="0"/>
                <w:sz w:val="17"/>
              </w:rPr>
              <w:t>40ft Standard</w:t>
            </w:r>
          </w:p>
        </w:tc>
        <w:tc>
          <w:tcPr>
            <w:tcW w:type="dxa" w:w="2409"/>
          </w:tcPr>
          <w:p>
            <w:pPr>
              <w:spacing w:after="20" w:before="20" w:line="240" w:lineRule="auto"/>
            </w:pPr>
            <w:r/>
            <w:r>
              <w:rPr>
                <w:rFonts w:ascii="Arial" w:hAnsi="Arial" w:cs="Arial"/>
                <w:b w:val="0"/>
                <w:i w:val="0"/>
                <w:sz w:val="17"/>
              </w:rPr>
              <w:t>2350</w:t>
            </w:r>
          </w:p>
        </w:tc>
        <w:tc>
          <w:tcPr>
            <w:tcW w:type="dxa" w:w="2409"/>
          </w:tcPr>
          <w:p>
            <w:pPr>
              <w:spacing w:after="20" w:before="20" w:line="240" w:lineRule="auto"/>
            </w:pPr>
            <w:r/>
            <w:r>
              <w:rPr>
                <w:rFonts w:ascii="Arial" w:hAnsi="Arial" w:cs="Arial"/>
                <w:b w:val="0"/>
                <w:i w:val="0"/>
                <w:sz w:val="17"/>
              </w:rPr>
              <w:t>12030</w:t>
            </w:r>
          </w:p>
        </w:tc>
        <w:tc>
          <w:tcPr>
            <w:tcW w:type="dxa" w:w="2409"/>
          </w:tcPr>
          <w:p>
            <w:pPr>
              <w:spacing w:after="20" w:before="20" w:line="240" w:lineRule="auto"/>
            </w:pPr>
            <w:r/>
            <w:r>
              <w:rPr>
                <w:rFonts w:ascii="Arial" w:hAnsi="Arial" w:cs="Arial"/>
                <w:b w:val="0"/>
                <w:i w:val="0"/>
                <w:sz w:val="17"/>
              </w:rPr>
              <w:t>2390</w:t>
            </w:r>
          </w:p>
        </w:tc>
      </w:tr>
      <w:tr>
        <w:tc>
          <w:tcPr>
            <w:tcW w:type="dxa" w:w="2409"/>
          </w:tcPr>
          <w:p>
            <w:pPr>
              <w:spacing w:after="20" w:before="20" w:line="240" w:lineRule="auto"/>
            </w:pPr>
            <w:r/>
            <w:r>
              <w:rPr>
                <w:rFonts w:ascii="Arial" w:hAnsi="Arial" w:cs="Arial"/>
                <w:b w:val="0"/>
                <w:i w:val="0"/>
                <w:sz w:val="17"/>
              </w:rPr>
              <w:t>40ft High-Cube</w:t>
            </w:r>
          </w:p>
        </w:tc>
        <w:tc>
          <w:tcPr>
            <w:tcW w:type="dxa" w:w="2409"/>
          </w:tcPr>
          <w:p>
            <w:pPr>
              <w:spacing w:after="20" w:before="20" w:line="240" w:lineRule="auto"/>
            </w:pPr>
            <w:r/>
            <w:r>
              <w:rPr>
                <w:rFonts w:ascii="Arial" w:hAnsi="Arial" w:cs="Arial"/>
                <w:b w:val="0"/>
                <w:i w:val="0"/>
                <w:sz w:val="17"/>
              </w:rPr>
              <w:t>2350</w:t>
            </w:r>
          </w:p>
        </w:tc>
        <w:tc>
          <w:tcPr>
            <w:tcW w:type="dxa" w:w="2409"/>
          </w:tcPr>
          <w:p>
            <w:pPr>
              <w:spacing w:after="20" w:before="20" w:line="240" w:lineRule="auto"/>
            </w:pPr>
            <w:r/>
            <w:r>
              <w:rPr>
                <w:rFonts w:ascii="Arial" w:hAnsi="Arial" w:cs="Arial"/>
                <w:b w:val="0"/>
                <w:i w:val="0"/>
                <w:sz w:val="17"/>
              </w:rPr>
              <w:t>12030</w:t>
            </w:r>
          </w:p>
        </w:tc>
        <w:tc>
          <w:tcPr>
            <w:tcW w:type="dxa" w:w="2409"/>
          </w:tcPr>
          <w:p>
            <w:pPr>
              <w:spacing w:after="20" w:before="20" w:line="240" w:lineRule="auto"/>
            </w:pPr>
            <w:r/>
            <w:r>
              <w:rPr>
                <w:rFonts w:ascii="Arial" w:hAnsi="Arial" w:cs="Arial"/>
                <w:b w:val="0"/>
                <w:i w:val="0"/>
                <w:sz w:val="17"/>
              </w:rPr>
              <w:t>2690</w:t>
            </w:r>
          </w:p>
        </w:tc>
      </w:tr>
      <w:tr>
        <w:tc>
          <w:tcPr>
            <w:tcW w:type="dxa" w:w="2409"/>
          </w:tcPr>
          <w:p>
            <w:pPr>
              <w:spacing w:after="20" w:before="20" w:line="240" w:lineRule="auto"/>
            </w:pPr>
            <w:r/>
            <w:r>
              <w:rPr>
                <w:rFonts w:ascii="Arial" w:hAnsi="Arial" w:cs="Arial"/>
                <w:b w:val="0"/>
                <w:i w:val="0"/>
                <w:sz w:val="17"/>
              </w:rPr>
              <w:t>20ft Reefer</w:t>
            </w:r>
          </w:p>
        </w:tc>
        <w:tc>
          <w:tcPr>
            <w:tcW w:type="dxa" w:w="2409"/>
          </w:tcPr>
          <w:p>
            <w:pPr>
              <w:spacing w:after="20" w:before="20" w:line="240" w:lineRule="auto"/>
            </w:pPr>
            <w:r/>
            <w:r>
              <w:rPr>
                <w:rFonts w:ascii="Arial" w:hAnsi="Arial" w:cs="Arial"/>
                <w:b w:val="0"/>
                <w:i w:val="0"/>
                <w:sz w:val="17"/>
              </w:rPr>
              <w:t>2290</w:t>
            </w:r>
          </w:p>
        </w:tc>
        <w:tc>
          <w:tcPr>
            <w:tcW w:type="dxa" w:w="2409"/>
          </w:tcPr>
          <w:p>
            <w:pPr>
              <w:spacing w:after="20" w:before="20" w:line="240" w:lineRule="auto"/>
            </w:pPr>
            <w:r/>
            <w:r>
              <w:rPr>
                <w:rFonts w:ascii="Arial" w:hAnsi="Arial" w:cs="Arial"/>
                <w:b w:val="0"/>
                <w:i w:val="0"/>
                <w:sz w:val="17"/>
              </w:rPr>
              <w:t>5440</w:t>
            </w:r>
          </w:p>
        </w:tc>
        <w:tc>
          <w:tcPr>
            <w:tcW w:type="dxa" w:w="2409"/>
          </w:tcPr>
          <w:p>
            <w:pPr>
              <w:spacing w:after="20" w:before="20" w:line="240" w:lineRule="auto"/>
            </w:pPr>
            <w:r/>
            <w:r>
              <w:rPr>
                <w:rFonts w:ascii="Arial" w:hAnsi="Arial" w:cs="Arial"/>
                <w:b w:val="0"/>
                <w:i w:val="0"/>
                <w:sz w:val="17"/>
              </w:rPr>
              <w:t>2180</w:t>
            </w:r>
          </w:p>
        </w:tc>
      </w:tr>
      <w:tr>
        <w:tc>
          <w:tcPr>
            <w:tcW w:type="dxa" w:w="2409"/>
          </w:tcPr>
          <w:p>
            <w:pPr>
              <w:spacing w:after="20" w:before="20" w:line="240" w:lineRule="auto"/>
            </w:pPr>
            <w:r/>
            <w:r>
              <w:rPr>
                <w:rFonts w:ascii="Arial" w:hAnsi="Arial" w:cs="Arial"/>
                <w:b w:val="0"/>
                <w:i w:val="0"/>
                <w:sz w:val="17"/>
              </w:rPr>
              <w:t>40ft Reefer</w:t>
            </w:r>
          </w:p>
        </w:tc>
        <w:tc>
          <w:tcPr>
            <w:tcW w:type="dxa" w:w="2409"/>
          </w:tcPr>
          <w:p>
            <w:pPr>
              <w:spacing w:after="20" w:before="20" w:line="240" w:lineRule="auto"/>
            </w:pPr>
            <w:r/>
            <w:r>
              <w:rPr>
                <w:rFonts w:ascii="Arial" w:hAnsi="Arial" w:cs="Arial"/>
                <w:b w:val="0"/>
                <w:i w:val="0"/>
                <w:sz w:val="17"/>
              </w:rPr>
              <w:t>2290</w:t>
            </w:r>
          </w:p>
        </w:tc>
        <w:tc>
          <w:tcPr>
            <w:tcW w:type="dxa" w:w="2409"/>
          </w:tcPr>
          <w:p>
            <w:pPr>
              <w:spacing w:after="20" w:before="20" w:line="240" w:lineRule="auto"/>
            </w:pPr>
            <w:r/>
            <w:r>
              <w:rPr>
                <w:rFonts w:ascii="Arial" w:hAnsi="Arial" w:cs="Arial"/>
                <w:b w:val="0"/>
                <w:i w:val="0"/>
                <w:sz w:val="17"/>
              </w:rPr>
              <w:t>11590</w:t>
            </w:r>
          </w:p>
        </w:tc>
        <w:tc>
          <w:tcPr>
            <w:tcW w:type="dxa" w:w="2409"/>
          </w:tcPr>
          <w:p>
            <w:pPr>
              <w:spacing w:after="20" w:before="20" w:line="240" w:lineRule="auto"/>
            </w:pPr>
            <w:r/>
            <w:r>
              <w:rPr>
                <w:rFonts w:ascii="Arial" w:hAnsi="Arial" w:cs="Arial"/>
                <w:b w:val="0"/>
                <w:i w:val="0"/>
                <w:sz w:val="17"/>
              </w:rPr>
              <w:t>2500</w:t>
            </w:r>
          </w:p>
        </w:tc>
      </w:tr>
      <w:tr>
        <w:tc>
          <w:tcPr>
            <w:tcW w:type="dxa" w:w="2409"/>
          </w:tcPr>
          <w:p>
            <w:pPr>
              <w:spacing w:after="20" w:before="20" w:line="240" w:lineRule="auto"/>
            </w:pPr>
            <w:r/>
            <w:r>
              <w:rPr>
                <w:rFonts w:ascii="Arial" w:hAnsi="Arial" w:cs="Arial"/>
                <w:b w:val="0"/>
                <w:i w:val="0"/>
                <w:sz w:val="17"/>
              </w:rPr>
              <w:t>40ft HC Reefer</w:t>
            </w:r>
          </w:p>
        </w:tc>
        <w:tc>
          <w:tcPr>
            <w:tcW w:type="dxa" w:w="2409"/>
          </w:tcPr>
          <w:p>
            <w:pPr>
              <w:spacing w:after="20" w:before="20" w:line="240" w:lineRule="auto"/>
            </w:pPr>
            <w:r/>
            <w:r>
              <w:rPr>
                <w:rFonts w:ascii="Arial" w:hAnsi="Arial" w:cs="Arial"/>
                <w:b w:val="0"/>
                <w:i w:val="0"/>
                <w:sz w:val="17"/>
              </w:rPr>
              <w:t>2290</w:t>
            </w:r>
          </w:p>
        </w:tc>
        <w:tc>
          <w:tcPr>
            <w:tcW w:type="dxa" w:w="2409"/>
          </w:tcPr>
          <w:p>
            <w:pPr>
              <w:spacing w:after="20" w:before="20" w:line="240" w:lineRule="auto"/>
            </w:pPr>
            <w:r/>
            <w:r>
              <w:rPr>
                <w:rFonts w:ascii="Arial" w:hAnsi="Arial" w:cs="Arial"/>
                <w:b w:val="0"/>
                <w:i w:val="0"/>
                <w:sz w:val="17"/>
              </w:rPr>
              <w:t>11590</w:t>
            </w:r>
          </w:p>
        </w:tc>
        <w:tc>
          <w:tcPr>
            <w:tcW w:type="dxa" w:w="2409"/>
          </w:tcPr>
          <w:p>
            <w:pPr>
              <w:spacing w:after="20" w:before="20" w:line="240" w:lineRule="auto"/>
            </w:pPr>
            <w:r/>
            <w:r>
              <w:rPr>
                <w:rFonts w:ascii="Arial" w:hAnsi="Arial" w:cs="Arial"/>
                <w:b w:val="0"/>
                <w:i w:val="0"/>
                <w:sz w:val="17"/>
              </w:rPr>
              <w:t>2690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6.15.3.2 Recommendation Output</w:t>
      </w:r>
    </w:p>
    <w:p>
      <w:pPr>
        <w:spacing w:after="80" w:line="293" w:lineRule="auto"/>
        <w:jc w:val="left"/>
      </w:pPr>
      <w:r>
        <w:rPr>
          <w:rFonts w:ascii="Times New Roman" w:hAnsi="Times New Roman" w:cs="Times New Roman"/>
          <w:b w:val="0"/>
          <w:i w:val="0"/>
          <w:sz w:val="22"/>
        </w:rPr>
        <w:t>The advisor returns a ranked list of options with the recommended option highlighted: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"recommendation": {</w:t>
      </w:r>
    </w:p>
    <w:p>
      <w:pPr>
        <w:spacing w:after="0" w:before="0" w:line="240" w:lineRule="auto"/>
        <w:ind w:left="57"/>
        <w:jc w:val="left"/>
        <w:shd w:val="clear" w:fill="F2F2F2"/>
      </w:pPr>
      <w:r>
        <w:rPr>
          <w:rFonts w:ascii="Consolas" w:hAnsi="Consolas" w:cs="Consolas"/>
          <w:b w:val="0"/>
          <w:i w:val="0"/>
          <w:sz w:val="15"/>
        </w:rPr>
        <w:t xml:space="preserve">    "container_type": "40ft Reefer",</w:t>
      </w:r>
    </w:p>
    <w:p>
      <w:pPr>
        <w:spacing w:after="0" w:before="0" w:line="240" w:lineRule="auto"/>
        <w:ind w:left="57"/>
        <w:jc w:val="left"/>
        <w:shd w:val="clear" w:fill="F2F2F2"/>
      </w:pPr>
      <w:r>
        <w:rPr>
          <w:rFonts w:ascii="Consolas" w:hAnsi="Consolas" w:cs="Consolas"/>
          <w:b w:val="0"/>
          <w:i w:val="0"/>
          <w:sz w:val="15"/>
        </w:rPr>
        <w:t xml:space="preserve">    "container_count": 1,</w:t>
      </w:r>
    </w:p>
    <w:p>
      <w:pPr>
        <w:spacing w:after="0" w:before="0" w:line="240" w:lineRule="auto"/>
        <w:ind w:left="57"/>
        <w:jc w:val="left"/>
        <w:shd w:val="clear" w:fill="F2F2F2"/>
      </w:pPr>
      <w:r>
        <w:rPr>
          <w:rFonts w:ascii="Consolas" w:hAnsi="Consolas" w:cs="Consolas"/>
          <w:b w:val="0"/>
          <w:i w:val="0"/>
          <w:sz w:val="15"/>
        </w:rPr>
        <w:t xml:space="preserve">    "pallet_arrangement": {</w:t>
      </w:r>
    </w:p>
    <w:p>
      <w:pPr>
        <w:spacing w:after="0" w:before="0" w:line="240" w:lineRule="auto"/>
        <w:ind w:left="57"/>
        <w:jc w:val="left"/>
        <w:shd w:val="clear" w:fill="F2F2F2"/>
      </w:pPr>
      <w:r>
        <w:rPr>
          <w:rFonts w:ascii="Consolas" w:hAnsi="Consolas" w:cs="Consolas"/>
          <w:b w:val="0"/>
          <w:i w:val="0"/>
          <w:sz w:val="15"/>
        </w:rPr>
        <w:t xml:space="preserve">      "pallets_per_row": 2,</w:t>
      </w:r>
    </w:p>
    <w:p>
      <w:pPr>
        <w:spacing w:after="0" w:before="0" w:line="240" w:lineRule="auto"/>
        <w:ind w:left="57"/>
        <w:jc w:val="left"/>
        <w:shd w:val="clear" w:fill="F2F2F2"/>
      </w:pPr>
      <w:r>
        <w:rPr>
          <w:rFonts w:ascii="Consolas" w:hAnsi="Consolas" w:cs="Consolas"/>
          <w:b w:val="0"/>
          <w:i w:val="0"/>
          <w:sz w:val="15"/>
        </w:rPr>
        <w:t xml:space="preserve">      "rows": 11,</w:t>
      </w:r>
    </w:p>
    <w:p>
      <w:pPr>
        <w:spacing w:after="0" w:before="0" w:line="240" w:lineRule="auto"/>
        <w:ind w:left="57"/>
        <w:jc w:val="left"/>
        <w:shd w:val="clear" w:fill="F2F2F2"/>
      </w:pPr>
      <w:r>
        <w:rPr>
          <w:rFonts w:ascii="Consolas" w:hAnsi="Consolas" w:cs="Consolas"/>
          <w:b w:val="0"/>
          <w:i w:val="0"/>
          <w:sz w:val="15"/>
        </w:rPr>
        <w:t xml:space="preserve">      "total_pallets": 22,</w:t>
      </w:r>
    </w:p>
    <w:p>
      <w:pPr>
        <w:spacing w:after="0" w:before="0" w:line="240" w:lineRule="auto"/>
        <w:ind w:left="57"/>
        <w:jc w:val="left"/>
        <w:shd w:val="clear" w:fill="F2F2F2"/>
      </w:pPr>
      <w:r>
        <w:rPr>
          <w:rFonts w:ascii="Consolas" w:hAnsi="Consolas" w:cs="Consolas"/>
          <w:b w:val="0"/>
          <w:i w:val="0"/>
          <w:sz w:val="15"/>
        </w:rPr>
        <w:t xml:space="preserve">      "utilisation_percentage": 95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"capacity_utilisation": 92,</w:t>
      </w:r>
    </w:p>
    <w:p>
      <w:pPr>
        <w:spacing w:after="0" w:before="0" w:line="240" w:lineRule="auto"/>
        <w:ind w:left="57"/>
        <w:jc w:val="left"/>
        <w:shd w:val="clear" w:fill="F2F2F2"/>
      </w:pPr>
      <w:r>
        <w:rPr>
          <w:rFonts w:ascii="Consolas" w:hAnsi="Consolas" w:cs="Consolas"/>
          <w:b w:val="0"/>
          <w:i w:val="0"/>
          <w:sz w:val="15"/>
        </w:rPr>
        <w:t xml:space="preserve">    "weight_utilisation": 78,</w:t>
      </w:r>
    </w:p>
    <w:p>
      <w:pPr>
        <w:spacing w:after="0" w:before="0" w:line="240" w:lineRule="auto"/>
        <w:ind w:left="57"/>
        <w:jc w:val="left"/>
        <w:shd w:val="clear" w:fill="F2F2F2"/>
      </w:pPr>
      <w:r>
        <w:rPr>
          <w:rFonts w:ascii="Consolas" w:hAnsi="Consolas" w:cs="Consolas"/>
          <w:b w:val="0"/>
          <w:i w:val="0"/>
          <w:sz w:val="15"/>
        </w:rPr>
        <w:t xml:space="preserve">    "estimated_cost": 4200,</w:t>
      </w:r>
    </w:p>
    <w:p>
      <w:pPr>
        <w:spacing w:after="0" w:before="0" w:line="240" w:lineRule="auto"/>
        <w:ind w:left="57"/>
        <w:jc w:val="left"/>
        <w:shd w:val="clear" w:fill="F2F2F2"/>
      </w:pPr>
      <w:r>
        <w:rPr>
          <w:rFonts w:ascii="Consolas" w:hAnsi="Consolas" w:cs="Consolas"/>
          <w:b w:val="0"/>
          <w:i w:val="0"/>
          <w:sz w:val="15"/>
        </w:rPr>
        <w:t xml:space="preserve">    "estimated_transit_days": 14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"alternatives":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"container_type": "40ft HC Reefer",</w:t>
      </w:r>
    </w:p>
    <w:p>
      <w:pPr>
        <w:spacing w:after="0" w:before="0" w:line="240" w:lineRule="auto"/>
        <w:ind w:left="57"/>
        <w:jc w:val="left"/>
        <w:shd w:val="clear" w:fill="F2F2F2"/>
      </w:pPr>
      <w:r>
        <w:rPr>
          <w:rFonts w:ascii="Consolas" w:hAnsi="Consolas" w:cs="Consolas"/>
          <w:b w:val="0"/>
          <w:i w:val="0"/>
          <w:sz w:val="15"/>
        </w:rPr>
        <w:t xml:space="preserve">      "container_count": 1,</w:t>
      </w:r>
    </w:p>
    <w:p>
      <w:pPr>
        <w:spacing w:after="0" w:before="0" w:line="240" w:lineRule="auto"/>
        <w:ind w:left="57"/>
        <w:jc w:val="left"/>
        <w:shd w:val="clear" w:fill="F2F2F2"/>
      </w:pPr>
      <w:r>
        <w:rPr>
          <w:rFonts w:ascii="Consolas" w:hAnsi="Consolas" w:cs="Consolas"/>
          <w:b w:val="0"/>
          <w:i w:val="0"/>
          <w:sz w:val="15"/>
        </w:rPr>
        <w:t xml:space="preserve">      "capacity_utilisation": 85,</w:t>
      </w:r>
    </w:p>
    <w:p>
      <w:pPr>
        <w:spacing w:after="0" w:before="0" w:line="240" w:lineRule="auto"/>
        <w:ind w:left="57"/>
        <w:jc w:val="left"/>
        <w:shd w:val="clear" w:fill="F2F2F2"/>
      </w:pPr>
      <w:r>
        <w:rPr>
          <w:rFonts w:ascii="Consolas" w:hAnsi="Consolas" w:cs="Consolas"/>
          <w:b w:val="0"/>
          <w:i w:val="0"/>
          <w:sz w:val="15"/>
        </w:rPr>
        <w:t xml:space="preserve">      "weight_utilisation": 78,</w:t>
      </w:r>
    </w:p>
    <w:p>
      <w:pPr>
        <w:spacing w:after="0" w:before="0" w:line="240" w:lineRule="auto"/>
        <w:ind w:left="57"/>
        <w:jc w:val="left"/>
        <w:shd w:val="clear" w:fill="F2F2F2"/>
      </w:pPr>
      <w:r>
        <w:rPr>
          <w:rFonts w:ascii="Consolas" w:hAnsi="Consolas" w:cs="Consolas"/>
          <w:b w:val="0"/>
          <w:i w:val="0"/>
          <w:sz w:val="15"/>
        </w:rPr>
        <w:t xml:space="preserve">      "estimated_cost": 4400,</w:t>
      </w:r>
    </w:p>
    <w:p>
      <w:pPr>
        <w:spacing w:after="0" w:before="0" w:line="240" w:lineRule="auto"/>
        <w:ind w:left="57"/>
        <w:jc w:val="left"/>
        <w:shd w:val="clear" w:fill="F2F2F2"/>
      </w:pPr>
      <w:r>
        <w:rPr>
          <w:rFonts w:ascii="Consolas" w:hAnsi="Consolas" w:cs="Consolas"/>
          <w:b w:val="0"/>
          <w:i w:val="0"/>
          <w:sz w:val="15"/>
        </w:rPr>
        <w:t xml:space="preserve">      "estimated_transit_days": 14,</w:t>
      </w:r>
    </w:p>
    <w:p>
      <w:pPr>
        <w:spacing w:after="0" w:before="0" w:line="240" w:lineRule="auto"/>
        <w:ind w:left="57"/>
        <w:jc w:val="left"/>
        <w:shd w:val="clear" w:fill="F2F2F2"/>
      </w:pPr>
      <w:r>
        <w:rPr>
          <w:rFonts w:ascii="Consolas" w:hAnsi="Consolas" w:cs="Consolas"/>
          <w:b w:val="0"/>
          <w:i w:val="0"/>
          <w:sz w:val="15"/>
        </w:rPr>
        <w:t xml:space="preserve">      "pros": "Higher volume capacity for future flexibility",</w:t>
      </w:r>
    </w:p>
    <w:p>
      <w:pPr>
        <w:spacing w:after="0" w:before="0" w:line="240" w:lineRule="auto"/>
        <w:ind w:left="57"/>
        <w:jc w:val="left"/>
        <w:shd w:val="clear" w:fill="F2F2F2"/>
      </w:pPr>
      <w:r>
        <w:rPr>
          <w:rFonts w:ascii="Consolas" w:hAnsi="Consolas" w:cs="Consolas"/>
          <w:b w:val="0"/>
          <w:i w:val="0"/>
          <w:sz w:val="15"/>
        </w:rPr>
        <w:t xml:space="preserve">      "cons": "Higher cost"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"container_type": "2 × 20ft Reefer",</w:t>
      </w:r>
    </w:p>
    <w:p>
      <w:pPr>
        <w:spacing w:after="0" w:before="0" w:line="240" w:lineRule="auto"/>
        <w:ind w:left="57"/>
        <w:jc w:val="left"/>
        <w:shd w:val="clear" w:fill="F2F2F2"/>
      </w:pPr>
      <w:r>
        <w:rPr>
          <w:rFonts w:ascii="Consolas" w:hAnsi="Consolas" w:cs="Consolas"/>
          <w:b w:val="0"/>
          <w:i w:val="0"/>
          <w:sz w:val="15"/>
        </w:rPr>
        <w:t xml:space="preserve">      "container_count": 2,</w:t>
      </w:r>
    </w:p>
    <w:p>
      <w:pPr>
        <w:spacing w:after="0" w:before="0" w:line="240" w:lineRule="auto"/>
        <w:ind w:left="57"/>
        <w:jc w:val="left"/>
        <w:shd w:val="clear" w:fill="F2F2F2"/>
      </w:pPr>
      <w:r>
        <w:rPr>
          <w:rFonts w:ascii="Consolas" w:hAnsi="Consolas" w:cs="Consolas"/>
          <w:b w:val="0"/>
          <w:i w:val="0"/>
          <w:sz w:val="15"/>
        </w:rPr>
        <w:t xml:space="preserve">      "capacity_utilisation": 72,</w:t>
      </w:r>
    </w:p>
    <w:p>
      <w:pPr>
        <w:spacing w:after="0" w:before="0" w:line="240" w:lineRule="auto"/>
        <w:ind w:left="57"/>
        <w:jc w:val="left"/>
        <w:shd w:val="clear" w:fill="F2F2F2"/>
      </w:pPr>
      <w:r>
        <w:rPr>
          <w:rFonts w:ascii="Consolas" w:hAnsi="Consolas" w:cs="Consolas"/>
          <w:b w:val="0"/>
          <w:i w:val="0"/>
          <w:sz w:val="15"/>
        </w:rPr>
        <w:t xml:space="preserve">      "weight_utilisation": 78,</w:t>
      </w:r>
    </w:p>
    <w:p>
      <w:pPr>
        <w:spacing w:after="0" w:before="0" w:line="240" w:lineRule="auto"/>
        <w:ind w:left="57"/>
        <w:jc w:val="left"/>
        <w:shd w:val="clear" w:fill="F2F2F2"/>
      </w:pPr>
      <w:r>
        <w:rPr>
          <w:rFonts w:ascii="Consolas" w:hAnsi="Consolas" w:cs="Consolas"/>
          <w:b w:val="0"/>
          <w:i w:val="0"/>
          <w:sz w:val="15"/>
        </w:rPr>
        <w:t xml:space="preserve">      "estimated_cost": 4800,</w:t>
      </w:r>
    </w:p>
    <w:p>
      <w:pPr>
        <w:spacing w:after="0" w:before="0" w:line="240" w:lineRule="auto"/>
        <w:ind w:left="57"/>
        <w:jc w:val="left"/>
        <w:shd w:val="clear" w:fill="F2F2F2"/>
      </w:pPr>
      <w:r>
        <w:rPr>
          <w:rFonts w:ascii="Consolas" w:hAnsi="Consolas" w:cs="Consolas"/>
          <w:b w:val="0"/>
          <w:i w:val="0"/>
          <w:sz w:val="15"/>
        </w:rPr>
        <w:t xml:space="preserve">      "estimated_transit_days": 14,</w:t>
      </w:r>
    </w:p>
    <w:p>
      <w:pPr>
        <w:spacing w:after="0" w:before="0" w:line="240" w:lineRule="auto"/>
        <w:ind w:left="57"/>
        <w:jc w:val="left"/>
        <w:shd w:val="clear" w:fill="F2F2F2"/>
      </w:pPr>
      <w:r>
        <w:rPr>
          <w:rFonts w:ascii="Consolas" w:hAnsi="Consolas" w:cs="Consolas"/>
          <w:b w:val="0"/>
          <w:i w:val="0"/>
          <w:sz w:val="15"/>
        </w:rPr>
        <w:t xml:space="preserve">      "pros": "Flexible delivery options",</w:t>
      </w:r>
    </w:p>
    <w:p>
      <w:pPr>
        <w:spacing w:after="0" w:before="0" w:line="240" w:lineRule="auto"/>
        <w:ind w:left="57"/>
        <w:jc w:val="left"/>
        <w:shd w:val="clear" w:fill="F2F2F2"/>
      </w:pPr>
      <w:r>
        <w:rPr>
          <w:rFonts w:ascii="Consolas" w:hAnsi="Consolas" w:cs="Consolas"/>
          <w:b w:val="0"/>
          <w:i w:val="0"/>
          <w:sz w:val="15"/>
        </w:rPr>
        <w:t xml:space="preserve">      "cons": "Higher cost, less efficient"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"historical_density": {</w:t>
      </w:r>
    </w:p>
    <w:p>
      <w:pPr>
        <w:spacing w:after="0" w:before="0" w:line="240" w:lineRule="auto"/>
        <w:ind w:left="57"/>
        <w:jc w:val="left"/>
        <w:shd w:val="clear" w:fill="F2F2F2"/>
      </w:pPr>
      <w:r>
        <w:rPr>
          <w:rFonts w:ascii="Consolas" w:hAnsi="Consolas" w:cs="Consolas"/>
          <w:b w:val="0"/>
          <w:i w:val="0"/>
          <w:sz w:val="15"/>
        </w:rPr>
        <w:t xml:space="preserve">    "route_average": 88,</w:t>
      </w:r>
    </w:p>
    <w:p>
      <w:pPr>
        <w:spacing w:after="0" w:before="0" w:line="240" w:lineRule="auto"/>
        <w:ind w:left="57"/>
        <w:jc w:val="left"/>
        <w:shd w:val="clear" w:fill="F2F2F2"/>
      </w:pPr>
      <w:r>
        <w:rPr>
          <w:rFonts w:ascii="Consolas" w:hAnsi="Consolas" w:cs="Consolas"/>
          <w:b w:val="0"/>
          <w:i w:val="0"/>
          <w:sz w:val="15"/>
        </w:rPr>
        <w:t xml:space="preserve">    "commodity_average": 92,</w:t>
      </w:r>
    </w:p>
    <w:p>
      <w:pPr>
        <w:spacing w:after="0" w:before="0" w:line="240" w:lineRule="auto"/>
        <w:ind w:left="57"/>
        <w:jc w:val="left"/>
        <w:shd w:val="clear" w:fill="F2F2F2"/>
      </w:pPr>
      <w:r>
        <w:rPr>
          <w:rFonts w:ascii="Consolas" w:hAnsi="Consolas" w:cs="Consolas"/>
          <w:b w:val="0"/>
          <w:i w:val="0"/>
          <w:sz w:val="15"/>
        </w:rPr>
        <w:t xml:space="preserve">    "confidence": 85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"explanation": "Recommended based on commodity volume (22 EUR pallets), perishability, and route cost efficiency. Historical loading density for this route is 88%."</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6.15.3.3 UI Example — Complete</w:t>
      </w:r>
    </w:p>
    <w:p>
      <w:pPr>
        <w:spacing w:after="0" w:before="0" w:line="240" w:lineRule="auto"/>
        <w:ind w:left="57"/>
        <w:jc w:val="left"/>
        <w:shd w:val="clear" w:fill="F2F2F2"/>
      </w:pPr>
      <w:r>
        <w:rPr>
          <w:rFonts w:ascii="Consolas" w:hAnsi="Consolas" w:cs="Consolas"/>
          <w:b w:val="0"/>
          <w:i w:val="0"/>
          <w:sz w:val="15"/>
        </w:rPr>
        <w:t>AI CONTAINER ADVISOR (Advisory)</w:t>
      </w:r>
    </w:p>
    <w:p>
      <w:pPr>
        <w:spacing w:after="0" w:before="0" w:line="240" w:lineRule="auto"/>
        <w:ind w:left="57"/>
        <w:jc w:val="left"/>
        <w:shd w:val="clear" w:fill="F2F2F2"/>
      </w:pPr>
      <w:r>
        <w:rPr>
          <w:rFonts w:ascii="Consolas" w:hAnsi="Consolas" w:cs="Consolas"/>
          <w:b w:val="0"/>
          <w:i w:val="0"/>
          <w:sz w:val="15"/>
        </w:rPr>
        <w:t xml:space="preserve">  RECOMMENDED CONFIGURATION</w:t>
      </w:r>
    </w:p>
    <w:p>
      <w:pPr>
        <w:spacing w:after="0" w:before="0" w:line="240" w:lineRule="auto"/>
        <w:ind w:left="57"/>
        <w:jc w:val="left"/>
        <w:shd w:val="clear" w:fill="F2F2F2"/>
      </w:pPr>
      <w:r>
        <w:rPr>
          <w:rFonts w:ascii="Consolas" w:hAnsi="Consolas" w:cs="Consolas"/>
          <w:b w:val="0"/>
          <w:i w:val="0"/>
          <w:sz w:val="15"/>
        </w:rPr>
        <w:t xml:space="preserve">  1 × 40ft Reefer</w:t>
      </w:r>
    </w:p>
    <w:p>
      <w:pPr>
        <w:spacing w:after="0" w:before="0" w:line="240" w:lineRule="auto"/>
        <w:ind w:left="57"/>
        <w:jc w:val="left"/>
        <w:shd w:val="clear" w:fill="F2F2F2"/>
      </w:pPr>
      <w:r>
        <w:rPr>
          <w:rFonts w:ascii="Consolas" w:hAnsi="Consolas" w:cs="Consolas"/>
          <w:b w:val="0"/>
          <w:i w:val="0"/>
          <w:sz w:val="15"/>
        </w:rPr>
        <w:t xml:space="preserve">  Pallet Arrangement (top view):</w:t>
      </w:r>
    </w:p>
    <w:p>
      <w:pPr>
        <w:spacing w:after="0" w:before="0" w:line="240" w:lineRule="auto"/>
        <w:ind w:left="57"/>
        <w:jc w:val="left"/>
        <w:shd w:val="clear" w:fill="F2F2F2"/>
      </w:pPr>
      <w:r>
        <w:rPr>
          <w:rFonts w:ascii="Consolas" w:hAnsi="Consolas" w:cs="Consolas"/>
          <w:b w:val="0"/>
          <w:i w:val="0"/>
          <w:sz w:val="15"/>
        </w:rPr>
        <w:t xml:space="preserve">  Row 1:  [■][■]     Row 2:  [■][■]     Row 3:  [■][■]</w:t>
      </w:r>
    </w:p>
    <w:p>
      <w:pPr>
        <w:spacing w:after="0" w:before="0" w:line="240" w:lineRule="auto"/>
        <w:ind w:left="57"/>
        <w:jc w:val="left"/>
        <w:shd w:val="clear" w:fill="F2F2F2"/>
      </w:pPr>
      <w:r>
        <w:rPr>
          <w:rFonts w:ascii="Consolas" w:hAnsi="Consolas" w:cs="Consolas"/>
          <w:b w:val="0"/>
          <w:i w:val="0"/>
          <w:sz w:val="15"/>
        </w:rPr>
        <w:t xml:space="preserve">  Row 4:  [■][■]     Row 5:  [■][■]     Row 6:  [■][■]</w:t>
      </w:r>
    </w:p>
    <w:p>
      <w:pPr>
        <w:spacing w:after="0" w:before="0" w:line="240" w:lineRule="auto"/>
        <w:ind w:left="57"/>
        <w:jc w:val="left"/>
        <w:shd w:val="clear" w:fill="F2F2F2"/>
      </w:pPr>
      <w:r>
        <w:rPr>
          <w:rFonts w:ascii="Consolas" w:hAnsi="Consolas" w:cs="Consolas"/>
          <w:b w:val="0"/>
          <w:i w:val="0"/>
          <w:sz w:val="15"/>
        </w:rPr>
        <w:t xml:space="preserve">  Row 7:  [■][■]     Row 8:  [■][■]     Row 9:  [■][■]</w:t>
      </w:r>
    </w:p>
    <w:p>
      <w:pPr>
        <w:spacing w:after="0" w:before="0" w:line="240" w:lineRule="auto"/>
        <w:ind w:left="57"/>
        <w:jc w:val="left"/>
        <w:shd w:val="clear" w:fill="F2F2F2"/>
      </w:pPr>
      <w:r>
        <w:rPr>
          <w:rFonts w:ascii="Consolas" w:hAnsi="Consolas" w:cs="Consolas"/>
          <w:b w:val="0"/>
          <w:i w:val="0"/>
          <w:sz w:val="15"/>
        </w:rPr>
        <w:t xml:space="preserve">  Row 10: [■][■]     Row 11: [■][■]</w:t>
      </w:r>
    </w:p>
    <w:p>
      <w:pPr>
        <w:spacing w:after="0" w:before="0" w:line="240" w:lineRule="auto"/>
        <w:ind w:left="57"/>
        <w:jc w:val="left"/>
        <w:shd w:val="clear" w:fill="F2F2F2"/>
      </w:pPr>
      <w:r>
        <w:rPr>
          <w:rFonts w:ascii="Consolas" w:hAnsi="Consolas" w:cs="Consolas"/>
          <w:b w:val="0"/>
          <w:i w:val="0"/>
          <w:sz w:val="15"/>
        </w:rPr>
        <w:t xml:space="preserve">  (2 pallets per row × 11 rows)</w:t>
      </w:r>
    </w:p>
    <w:p>
      <w:pPr>
        <w:spacing w:after="0" w:before="0" w:line="240" w:lineRule="auto"/>
        <w:ind w:left="57"/>
        <w:jc w:val="left"/>
        <w:shd w:val="clear" w:fill="F2F2F2"/>
      </w:pPr>
      <w:r>
        <w:rPr>
          <w:rFonts w:ascii="Consolas" w:hAnsi="Consolas" w:cs="Consolas"/>
          <w:b w:val="0"/>
          <w:i w:val="0"/>
          <w:sz w:val="15"/>
        </w:rPr>
        <w:t xml:space="preserve">  Total Pallets: 22   Utilisation: 92%   Weight: 78%</w:t>
      </w:r>
    </w:p>
    <w:p>
      <w:pPr>
        <w:spacing w:after="0" w:before="0" w:line="240" w:lineRule="auto"/>
        <w:ind w:left="57"/>
        <w:jc w:val="left"/>
        <w:shd w:val="clear" w:fill="F2F2F2"/>
      </w:pPr>
      <w:r>
        <w:rPr>
          <w:rFonts w:ascii="Consolas" w:hAnsi="Consolas" w:cs="Consolas"/>
          <w:b w:val="0"/>
          <w:i w:val="0"/>
          <w:sz w:val="15"/>
        </w:rPr>
        <w:t xml:space="preserve">  AI Explanation: "Based on 22 EUR pallets (800×1200 mm), 40ft Reefer is</w:t>
      </w:r>
    </w:p>
    <w:p>
      <w:pPr>
        <w:spacing w:after="0" w:before="0" w:line="240" w:lineRule="auto"/>
        <w:ind w:left="57"/>
        <w:jc w:val="left"/>
        <w:shd w:val="clear" w:fill="F2F2F2"/>
      </w:pPr>
      <w:r>
        <w:rPr>
          <w:rFonts w:ascii="Consolas" w:hAnsi="Consolas" w:cs="Consolas"/>
          <w:b w:val="0"/>
          <w:i w:val="0"/>
          <w:sz w:val="15"/>
        </w:rPr>
        <w:t xml:space="preserve">  the most cost-effective option. Historical loading density for this</w:t>
      </w:r>
    </w:p>
    <w:p>
      <w:pPr>
        <w:spacing w:after="0" w:before="0" w:line="240" w:lineRule="auto"/>
        <w:ind w:left="57"/>
        <w:jc w:val="left"/>
        <w:shd w:val="clear" w:fill="F2F2F2"/>
      </w:pPr>
      <w:r>
        <w:rPr>
          <w:rFonts w:ascii="Consolas" w:hAnsi="Consolas" w:cs="Consolas"/>
          <w:b w:val="0"/>
          <w:i w:val="0"/>
          <w:sz w:val="15"/>
        </w:rPr>
        <w:t xml:space="preserve">  route is 88%. Perishable goods require reefer. 14-day transit fits</w:t>
      </w:r>
    </w:p>
    <w:p>
      <w:pPr>
        <w:spacing w:after="0" w:before="0" w:line="240" w:lineRule="auto"/>
        <w:ind w:left="57"/>
        <w:jc w:val="left"/>
        <w:shd w:val="clear" w:fill="F2F2F2"/>
      </w:pPr>
      <w:r>
        <w:rPr>
          <w:rFonts w:ascii="Consolas" w:hAnsi="Consolas" w:cs="Consolas"/>
          <w:b w:val="0"/>
          <w:i w:val="0"/>
          <w:sz w:val="15"/>
        </w:rPr>
        <w:t xml:space="preserve">  your delivery window."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ALTERNATIVE CONFIGURATIONS</w:t>
      </w:r>
    </w:p>
    <w:p>
      <w:pPr>
        <w:spacing w:after="0" w:before="0" w:line="240" w:lineRule="auto"/>
        <w:ind w:left="57"/>
        <w:jc w:val="left"/>
        <w:shd w:val="clear" w:fill="F2F2F2"/>
      </w:pPr>
      <w:r>
        <w:rPr>
          <w:rFonts w:ascii="Consolas" w:hAnsi="Consolas" w:cs="Consolas"/>
          <w:b w:val="0"/>
          <w:i w:val="0"/>
          <w:sz w:val="15"/>
        </w:rPr>
        <w:t xml:space="preserve">  Option                Cost     Transit   Utilisation   Recommendation</w:t>
      </w:r>
    </w:p>
    <w:p>
      <w:pPr>
        <w:spacing w:after="0" w:before="0" w:line="240" w:lineRule="auto"/>
        <w:ind w:left="57"/>
        <w:jc w:val="left"/>
        <w:shd w:val="clear" w:fill="F2F2F2"/>
      </w:pPr>
      <w:r>
        <w:rPr>
          <w:rFonts w:ascii="Consolas" w:hAnsi="Consolas" w:cs="Consolas"/>
          <w:b w:val="0"/>
          <w:i w:val="0"/>
          <w:sz w:val="15"/>
        </w:rPr>
        <w:t xml:space="preserve">  1 × 40ft Reefer       $4,200   14 days   92%           Recommended</w:t>
      </w:r>
    </w:p>
    <w:p>
      <w:pPr>
        <w:spacing w:after="0" w:before="0" w:line="240" w:lineRule="auto"/>
        <w:ind w:left="57"/>
        <w:jc w:val="left"/>
        <w:shd w:val="clear" w:fill="F2F2F2"/>
      </w:pPr>
      <w:r>
        <w:rPr>
          <w:rFonts w:ascii="Consolas" w:hAnsi="Consolas" w:cs="Consolas"/>
          <w:b w:val="0"/>
          <w:i w:val="0"/>
          <w:sz w:val="15"/>
        </w:rPr>
        <w:t xml:space="preserve">  1 × 40ft HC Reefer    $4,400   14 days   85%           Higher cost</w:t>
      </w:r>
    </w:p>
    <w:p>
      <w:pPr>
        <w:spacing w:after="0" w:before="0" w:line="240" w:lineRule="auto"/>
        <w:ind w:left="57"/>
        <w:jc w:val="left"/>
        <w:shd w:val="clear" w:fill="F2F2F2"/>
      </w:pPr>
      <w:r>
        <w:rPr>
          <w:rFonts w:ascii="Consolas" w:hAnsi="Consolas" w:cs="Consolas"/>
          <w:b w:val="0"/>
          <w:i w:val="0"/>
          <w:sz w:val="15"/>
        </w:rPr>
        <w:t xml:space="preserve">  2 × 20ft Reefer       $4,800   14 days   72%           Less efficient</w:t>
      </w:r>
    </w:p>
    <w:p>
      <w:pPr>
        <w:spacing w:after="0" w:before="0" w:line="240" w:lineRule="auto"/>
        <w:ind w:left="57"/>
        <w:jc w:val="left"/>
        <w:shd w:val="clear" w:fill="F2F2F2"/>
      </w:pPr>
      <w:r>
        <w:rPr>
          <w:rFonts w:ascii="Consolas" w:hAnsi="Consolas" w:cs="Consolas"/>
          <w:b w:val="0"/>
          <w:i w:val="0"/>
          <w:sz w:val="15"/>
        </w:rPr>
        <w:t xml:space="preserve">  1 × 40ft Standard     $3,800   14 days   92%           No reefer</w:t>
      </w:r>
    </w:p>
    <w:p>
      <w:pPr>
        <w:spacing w:after="0" w:before="0" w:line="240" w:lineRule="auto"/>
        <w:ind w:left="57"/>
        <w:jc w:val="left"/>
        <w:shd w:val="clear" w:fill="F2F2F2"/>
      </w:pPr>
      <w:r>
        <w:rPr>
          <w:rFonts w:ascii="Consolas" w:hAnsi="Consolas" w:cs="Consolas"/>
          <w:b w:val="0"/>
          <w:i w:val="0"/>
          <w:sz w:val="15"/>
        </w:rPr>
        <w:t xml:space="preserve">  [Apply Recommended Configuration] [Adjust to 1 × 40ft HC Reefer]</w:t>
      </w:r>
    </w:p>
    <w:p>
      <w:pPr>
        <w:spacing w:after="0" w:before="0" w:line="240" w:lineRule="auto"/>
        <w:ind w:left="57"/>
        <w:jc w:val="left"/>
        <w:shd w:val="clear" w:fill="F2F2F2"/>
      </w:pPr>
      <w:r>
        <w:rPr>
          <w:rFonts w:ascii="Consolas" w:hAnsi="Consolas" w:cs="Consolas"/>
          <w:b w:val="0"/>
          <w:i w:val="0"/>
          <w:sz w:val="15"/>
        </w:rPr>
        <w:t xml:space="preserve">  [Keep Current Configuration] [Dismiss]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6.15.4 Historical Loading Density (Anonymised, Differential Privacy)</w:t>
      </w:r>
    </w:p>
    <w:p>
      <w:pPr>
        <w:keepNext/>
        <w:spacing w:before="140" w:after="60"/>
        <w:outlineLvl w:val="3"/>
      </w:pPr>
      <w:r>
        <w:rPr>
          <w:rFonts w:ascii="Arial" w:hAnsi="Arial" w:cs="Arial"/>
          <w:b/>
          <w:i/>
          <w:color w:val="333333"/>
          <w:sz w:val="22"/>
        </w:rPr>
        <w:t>6.15.4.1 Data Sources</w:t>
      </w:r>
    </w:p>
    <w:p>
      <w:pPr>
        <w:spacing w:after="80" w:line="293" w:lineRule="auto"/>
        <w:jc w:val="left"/>
      </w:pPr>
      <w:r>
        <w:rPr>
          <w:rFonts w:ascii="Times New Roman" w:hAnsi="Times New Roman" w:cs="Times New Roman"/>
          <w:b w:val="0"/>
          <w:i w:val="0"/>
          <w:sz w:val="22"/>
        </w:rPr>
        <w:t>The historical loading density data is sourced from opt-in anonymised data from the Trade Memory Layer (Section 22) with differential privacy applied.</w:t>
      </w:r>
    </w:p>
    <w:p>
      <w:pPr>
        <w:keepNext/>
        <w:spacing w:before="140" w:after="60"/>
        <w:outlineLvl w:val="3"/>
      </w:pPr>
      <w:r>
        <w:rPr>
          <w:rFonts w:ascii="Arial" w:hAnsi="Arial" w:cs="Arial"/>
          <w:b/>
          <w:i/>
          <w:color w:val="333333"/>
          <w:sz w:val="22"/>
        </w:rPr>
        <w:t>6.15.4.2 Density Calculation</w:t>
      </w:r>
    </w:p>
    <w:p>
      <w:pPr>
        <w:spacing w:after="0" w:before="0" w:line="240" w:lineRule="auto"/>
        <w:ind w:left="57"/>
        <w:jc w:val="left"/>
        <w:shd w:val="clear" w:fill="F2F2F2"/>
      </w:pPr>
      <w:r>
        <w:rPr>
          <w:rFonts w:ascii="Consolas" w:hAnsi="Consolas" w:cs="Consolas"/>
          <w:b w:val="0"/>
          <w:i w:val="0"/>
          <w:sz w:val="15"/>
        </w:rPr>
        <w:t>// Pseudo-code: Historical loading density with differential privacy</w:t>
      </w:r>
    </w:p>
    <w:p>
      <w:pPr>
        <w:spacing w:after="0" w:before="0" w:line="240" w:lineRule="auto"/>
        <w:ind w:left="57"/>
        <w:jc w:val="left"/>
        <w:shd w:val="clear" w:fill="F2F2F2"/>
      </w:pPr>
      <w:r>
        <w:rPr>
          <w:rFonts w:ascii="Consolas" w:hAnsi="Consolas" w:cs="Consolas"/>
          <w:b w:val="0"/>
          <w:i w:val="0"/>
          <w:sz w:val="15"/>
        </w:rPr>
        <w:t>fn get_historical_density(</w:t>
      </w:r>
    </w:p>
    <w:p>
      <w:pPr>
        <w:spacing w:after="0" w:before="0" w:line="240" w:lineRule="auto"/>
        <w:ind w:left="57"/>
        <w:jc w:val="left"/>
        <w:shd w:val="clear" w:fill="F2F2F2"/>
      </w:pPr>
      <w:r>
        <w:rPr>
          <w:rFonts w:ascii="Consolas" w:hAnsi="Consolas" w:cs="Consolas"/>
          <w:b w:val="0"/>
          <w:i w:val="0"/>
          <w:sz w:val="15"/>
        </w:rPr>
        <w:t xml:space="preserve">    route: &amp;Route,</w:t>
      </w:r>
    </w:p>
    <w:p>
      <w:pPr>
        <w:spacing w:after="0" w:before="0" w:line="240" w:lineRule="auto"/>
        <w:ind w:left="57"/>
        <w:jc w:val="left"/>
        <w:shd w:val="clear" w:fill="F2F2F2"/>
      </w:pPr>
      <w:r>
        <w:rPr>
          <w:rFonts w:ascii="Consolas" w:hAnsi="Consolas" w:cs="Consolas"/>
          <w:b w:val="0"/>
          <w:i w:val="0"/>
          <w:sz w:val="15"/>
        </w:rPr>
        <w:t xml:space="preserve">    commodity_type: &amp;str</w:t>
      </w:r>
    </w:p>
    <w:p>
      <w:pPr>
        <w:spacing w:after="0" w:before="0" w:line="240" w:lineRule="auto"/>
        <w:ind w:left="57"/>
        <w:jc w:val="left"/>
        <w:shd w:val="clear" w:fill="F2F2F2"/>
      </w:pPr>
      <w:r>
        <w:rPr>
          <w:rFonts w:ascii="Consolas" w:hAnsi="Consolas" w:cs="Consolas"/>
          <w:b w:val="0"/>
          <w:i w:val="0"/>
          <w:sz w:val="15"/>
        </w:rPr>
        <w:t>) -&gt; HistoricalDensity {</w:t>
      </w:r>
    </w:p>
    <w:p>
      <w:pPr>
        <w:spacing w:after="0" w:before="0" w:line="240" w:lineRule="auto"/>
        <w:ind w:left="57"/>
        <w:jc w:val="left"/>
        <w:shd w:val="clear" w:fill="F2F2F2"/>
      </w:pPr>
      <w:r>
        <w:rPr>
          <w:rFonts w:ascii="Consolas" w:hAnsi="Consolas" w:cs="Consolas"/>
          <w:b w:val="0"/>
          <w:i w:val="0"/>
          <w:sz w:val="15"/>
        </w:rPr>
        <w:t xml:space="preserve">    // 1. Query Trade Memory Layer (anonymised)</w:t>
      </w:r>
    </w:p>
    <w:p>
      <w:pPr>
        <w:spacing w:after="0" w:before="0" w:line="240" w:lineRule="auto"/>
        <w:ind w:left="57"/>
        <w:jc w:val="left"/>
        <w:shd w:val="clear" w:fill="F2F2F2"/>
      </w:pPr>
      <w:r>
        <w:rPr>
          <w:rFonts w:ascii="Consolas" w:hAnsi="Consolas" w:cs="Consolas"/>
          <w:b w:val="0"/>
          <w:i w:val="0"/>
          <w:sz w:val="15"/>
        </w:rPr>
        <w:t xml:space="preserve">    let memory_events = query_trade_memory(route, commodity_type);</w:t>
      </w:r>
    </w:p>
    <w:p>
      <w:pPr>
        <w:spacing w:after="0" w:before="0" w:line="240" w:lineRule="auto"/>
        <w:ind w:left="57"/>
        <w:jc w:val="left"/>
        <w:shd w:val="clear" w:fill="F2F2F2"/>
      </w:pPr>
      <w:r>
        <w:rPr>
          <w:rFonts w:ascii="Consolas" w:hAnsi="Consolas" w:cs="Consolas"/>
          <w:b w:val="0"/>
          <w:i w:val="0"/>
          <w:sz w:val="15"/>
        </w:rPr>
        <w:t xml:space="preserve">    // 2. Calculate average density</w:t>
      </w:r>
    </w:p>
    <w:p>
      <w:pPr>
        <w:spacing w:after="0" w:before="0" w:line="240" w:lineRule="auto"/>
        <w:ind w:left="57"/>
        <w:jc w:val="left"/>
        <w:shd w:val="clear" w:fill="F2F2F2"/>
      </w:pPr>
      <w:r>
        <w:rPr>
          <w:rFonts w:ascii="Consolas" w:hAnsi="Consolas" w:cs="Consolas"/>
          <w:b w:val="0"/>
          <w:i w:val="0"/>
          <w:sz w:val="15"/>
        </w:rPr>
        <w:t xml:space="preserve">    let raw_density = memory_events.iter().map(|e| e.loading_density).average();</w:t>
      </w:r>
    </w:p>
    <w:p>
      <w:pPr>
        <w:spacing w:after="0" w:before="0" w:line="240" w:lineRule="auto"/>
        <w:ind w:left="57"/>
        <w:jc w:val="left"/>
        <w:shd w:val="clear" w:fill="F2F2F2"/>
      </w:pPr>
      <w:r>
        <w:rPr>
          <w:rFonts w:ascii="Consolas" w:hAnsi="Consolas" w:cs="Consolas"/>
          <w:b w:val="0"/>
          <w:i w:val="0"/>
          <w:sz w:val="15"/>
        </w:rPr>
        <w:t xml:space="preserve">    // 3. Apply differential privacy (ε=0.1)</w:t>
      </w:r>
    </w:p>
    <w:p>
      <w:pPr>
        <w:spacing w:after="0" w:before="0" w:line="240" w:lineRule="auto"/>
        <w:ind w:left="57"/>
        <w:jc w:val="left"/>
        <w:shd w:val="clear" w:fill="F2F2F2"/>
      </w:pPr>
      <w:r>
        <w:rPr>
          <w:rFonts w:ascii="Consolas" w:hAnsi="Consolas" w:cs="Consolas"/>
          <w:b w:val="0"/>
          <w:i w:val="0"/>
          <w:sz w:val="15"/>
        </w:rPr>
        <w:t xml:space="preserve">    let noise = laplace_noise(0.1);</w:t>
      </w:r>
    </w:p>
    <w:p>
      <w:pPr>
        <w:spacing w:after="0" w:before="0" w:line="240" w:lineRule="auto"/>
        <w:ind w:left="57"/>
        <w:jc w:val="left"/>
        <w:shd w:val="clear" w:fill="F2F2F2"/>
      </w:pPr>
      <w:r>
        <w:rPr>
          <w:rFonts w:ascii="Consolas" w:hAnsi="Consolas" w:cs="Consolas"/>
          <w:b w:val="0"/>
          <w:i w:val="0"/>
          <w:sz w:val="15"/>
        </w:rPr>
        <w:t xml:space="preserve">    let private_density = raw_density + noise;</w:t>
      </w:r>
    </w:p>
    <w:p>
      <w:pPr>
        <w:spacing w:after="0" w:before="0" w:line="240" w:lineRule="auto"/>
        <w:ind w:left="57"/>
        <w:jc w:val="left"/>
        <w:shd w:val="clear" w:fill="F2F2F2"/>
      </w:pPr>
      <w:r>
        <w:rPr>
          <w:rFonts w:ascii="Consolas" w:hAnsi="Consolas" w:cs="Consolas"/>
          <w:b w:val="0"/>
          <w:i w:val="0"/>
          <w:sz w:val="15"/>
        </w:rPr>
        <w:t xml:space="preserve">    // 4. Calculate confidence based on sample size</w:t>
      </w:r>
    </w:p>
    <w:p>
      <w:pPr>
        <w:spacing w:after="0" w:before="0" w:line="240" w:lineRule="auto"/>
        <w:ind w:left="57"/>
        <w:jc w:val="left"/>
        <w:shd w:val="clear" w:fill="F2F2F2"/>
      </w:pPr>
      <w:r>
        <w:rPr>
          <w:rFonts w:ascii="Consolas" w:hAnsi="Consolas" w:cs="Consolas"/>
          <w:b w:val="0"/>
          <w:i w:val="0"/>
          <w:sz w:val="15"/>
        </w:rPr>
        <w:t xml:space="preserve">    let confidence = min(100.0, memory_events.len() as f64 * 5.0);</w:t>
      </w:r>
    </w:p>
    <w:p>
      <w:pPr>
        <w:spacing w:after="0" w:before="0" w:line="240" w:lineRule="auto"/>
        <w:ind w:left="57"/>
        <w:jc w:val="left"/>
        <w:shd w:val="clear" w:fill="F2F2F2"/>
      </w:pPr>
      <w:r>
        <w:rPr>
          <w:rFonts w:ascii="Consolas" w:hAnsi="Consolas" w:cs="Consolas"/>
          <w:b w:val="0"/>
          <w:i w:val="0"/>
          <w:sz w:val="15"/>
        </w:rPr>
        <w:t xml:space="preserve">    HistoricalDensity {</w:t>
      </w:r>
    </w:p>
    <w:p>
      <w:pPr>
        <w:spacing w:after="0" w:before="0" w:line="240" w:lineRule="auto"/>
        <w:ind w:left="57"/>
        <w:jc w:val="left"/>
        <w:shd w:val="clear" w:fill="F2F2F2"/>
      </w:pPr>
      <w:r>
        <w:rPr>
          <w:rFonts w:ascii="Consolas" w:hAnsi="Consolas" w:cs="Consolas"/>
          <w:b w:val="0"/>
          <w:i w:val="0"/>
          <w:sz w:val="15"/>
        </w:rPr>
        <w:t xml:space="preserve">        average: private_density,</w:t>
      </w:r>
    </w:p>
    <w:p>
      <w:pPr>
        <w:spacing w:after="0" w:before="0" w:line="240" w:lineRule="auto"/>
        <w:ind w:left="57"/>
        <w:jc w:val="left"/>
        <w:shd w:val="clear" w:fill="F2F2F2"/>
      </w:pPr>
      <w:r>
        <w:rPr>
          <w:rFonts w:ascii="Consolas" w:hAnsi="Consolas" w:cs="Consolas"/>
          <w:b w:val="0"/>
          <w:i w:val="0"/>
          <w:sz w:val="15"/>
        </w:rPr>
        <w:t xml:space="preserve">        confidence: confidence,</w:t>
      </w:r>
    </w:p>
    <w:p>
      <w:pPr>
        <w:spacing w:after="0" w:before="0" w:line="240" w:lineRule="auto"/>
        <w:ind w:left="57"/>
        <w:jc w:val="left"/>
        <w:shd w:val="clear" w:fill="F2F2F2"/>
      </w:pPr>
      <w:r>
        <w:rPr>
          <w:rFonts w:ascii="Consolas" w:hAnsi="Consolas" w:cs="Consolas"/>
          <w:b w:val="0"/>
          <w:i w:val="0"/>
          <w:sz w:val="15"/>
        </w:rPr>
        <w:t xml:space="preserve">        sample_size: memory_events.len(),</w:t>
      </w:r>
    </w:p>
    <w:p>
      <w:pPr>
        <w:spacing w:after="0" w:before="0" w:line="240" w:lineRule="auto"/>
        <w:ind w:left="57"/>
        <w:jc w:val="left"/>
        <w:shd w:val="clear" w:fill="F2F2F2"/>
      </w:pPr>
      <w:r>
        <w:rPr>
          <w:rFonts w:ascii="Consolas" w:hAnsi="Consolas" w:cs="Consolas"/>
          <w:b w:val="0"/>
          <w:i w:val="0"/>
          <w:sz w:val="15"/>
        </w:rPr>
        <w:t xml:space="preserve">        privacy_method: "Differential Privacy ε=0.1",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6.15.4.3 Privacy Guarantee</w:t>
      </w:r>
    </w:p>
    <w:p>
      <w:pPr>
        <w:spacing w:after="80" w:line="293" w:lineRule="auto"/>
        <w:ind w:left="283"/>
        <w:jc w:val="left"/>
      </w:pPr>
      <w:r>
        <w:rPr>
          <w:rFonts w:ascii="Times New Roman" w:hAnsi="Times New Roman" w:cs="Times New Roman"/>
          <w:b w:val="0"/>
          <w:i w:val="0"/>
          <w:sz w:val="22"/>
        </w:rPr>
        <w:t>- ε=0.1 — strong privacy guarantee.</w:t>
      </w:r>
    </w:p>
    <w:p>
      <w:pPr>
        <w:spacing w:after="80" w:line="293" w:lineRule="auto"/>
        <w:ind w:left="283"/>
        <w:jc w:val="left"/>
      </w:pPr>
      <w:r>
        <w:rPr>
          <w:rFonts w:ascii="Times New Roman" w:hAnsi="Times New Roman" w:cs="Times New Roman"/>
          <w:b w:val="0"/>
          <w:i w:val="0"/>
          <w:sz w:val="22"/>
        </w:rPr>
        <w:t>- No individual trade data — only aggregated, anonymised data.</w:t>
      </w:r>
    </w:p>
    <w:p>
      <w:pPr>
        <w:spacing w:after="80" w:line="293" w:lineRule="auto"/>
        <w:ind w:left="283"/>
        <w:jc w:val="left"/>
      </w:pPr>
      <w:r>
        <w:rPr>
          <w:rFonts w:ascii="Times New Roman" w:hAnsi="Times New Roman" w:cs="Times New Roman"/>
          <w:b w:val="0"/>
          <w:i w:val="0"/>
          <w:sz w:val="22"/>
        </w:rPr>
        <w:t>- Opt-out — tenants can opt out of contributing data.</w:t>
      </w:r>
    </w:p>
    <w:p>
      <w:pPr>
        <w:spacing w:after="80" w:line="293" w:lineRule="auto"/>
        <w:ind w:left="283"/>
        <w:jc w:val="left"/>
      </w:pPr>
      <w:r>
        <w:rPr>
          <w:rFonts w:ascii="Times New Roman" w:hAnsi="Times New Roman" w:cs="Times New Roman"/>
          <w:b w:val="0"/>
          <w:i w:val="0"/>
          <w:sz w:val="22"/>
        </w:rPr>
        <w:t>- No re-identification — anonymous IDs are rotated periodically.</w:t>
      </w:r>
    </w:p>
    <w:p>
      <w:pPr>
        <w:keepNext/>
        <w:spacing w:before="180" w:after="80"/>
        <w:outlineLvl w:val="2"/>
      </w:pPr>
      <w:r>
        <w:rPr>
          <w:rFonts w:ascii="Arial" w:hAnsi="Arial" w:cs="Arial"/>
          <w:b/>
          <w:i w:val="0"/>
          <w:color w:val="333333"/>
          <w:sz w:val="23"/>
        </w:rPr>
        <w:t>6.15.5 Pallet Fit Calculation</w:t>
      </w:r>
    </w:p>
    <w:p>
      <w:pPr>
        <w:keepNext/>
        <w:spacing w:before="140" w:after="60"/>
        <w:outlineLvl w:val="3"/>
      </w:pPr>
      <w:r>
        <w:rPr>
          <w:rFonts w:ascii="Arial" w:hAnsi="Arial" w:cs="Arial"/>
          <w:b/>
          <w:i/>
          <w:color w:val="333333"/>
          <w:sz w:val="22"/>
        </w:rPr>
        <w:t>6.15.5.1 Pallet Types &amp; Dimensions</w:t>
      </w:r>
    </w:p>
    <w:p>
      <w:pPr>
        <w:spacing w:after="80" w:line="293" w:lineRule="auto"/>
        <w:jc w:val="left"/>
      </w:pPr>
      <w:r>
        <w:rPr>
          <w:rFonts w:ascii="Times New Roman" w:hAnsi="Times New Roman" w:cs="Times New Roman"/>
          <w:b w:val="0"/>
          <w:i w:val="0"/>
          <w:sz w:val="22"/>
        </w:rPr>
        <w:t>Supported pallet types: EUR (800×1200 mm, tare 25 kg), ISO, and custom dimensions entered by the buyer.</w:t>
      </w:r>
    </w:p>
    <w:p>
      <w:pPr>
        <w:keepNext/>
        <w:spacing w:before="140" w:after="60"/>
        <w:outlineLvl w:val="3"/>
      </w:pPr>
      <w:r>
        <w:rPr>
          <w:rFonts w:ascii="Arial" w:hAnsi="Arial" w:cs="Arial"/>
          <w:b/>
          <w:i/>
          <w:color w:val="333333"/>
          <w:sz w:val="22"/>
        </w:rPr>
        <w:t>6.15.5.2 Container Internal Dimensions</w:t>
      </w:r>
    </w:p>
    <w:p>
      <w:pPr>
        <w:spacing w:after="80" w:line="293" w:lineRule="auto"/>
        <w:jc w:val="left"/>
      </w:pPr>
      <w:r>
        <w:rPr>
          <w:rFonts w:ascii="Times New Roman" w:hAnsi="Times New Roman" w:cs="Times New Roman"/>
          <w:b w:val="0"/>
          <w:i w:val="0"/>
          <w:sz w:val="22"/>
        </w:rPr>
        <w:t>See Section 6.15.3.1.</w:t>
      </w:r>
    </w:p>
    <w:p>
      <w:pPr>
        <w:keepNext/>
        <w:spacing w:before="140" w:after="60"/>
        <w:outlineLvl w:val="3"/>
      </w:pPr>
      <w:r>
        <w:rPr>
          <w:rFonts w:ascii="Arial" w:hAnsi="Arial" w:cs="Arial"/>
          <w:b/>
          <w:i/>
          <w:color w:val="333333"/>
          <w:sz w:val="22"/>
        </w:rPr>
        <w:t>6.15.5.3 Fit Calculation Logic</w:t>
      </w:r>
    </w:p>
    <w:p>
      <w:pPr>
        <w:spacing w:after="0" w:before="0" w:line="240" w:lineRule="auto"/>
        <w:ind w:left="57"/>
        <w:jc w:val="left"/>
        <w:shd w:val="clear" w:fill="F2F2F2"/>
      </w:pPr>
      <w:r>
        <w:rPr>
          <w:rFonts w:ascii="Consolas" w:hAnsi="Consolas" w:cs="Consolas"/>
          <w:b w:val="0"/>
          <w:i w:val="0"/>
          <w:sz w:val="15"/>
        </w:rPr>
        <w:t>// Pseudo-code: Pallet fit calculation</w:t>
      </w:r>
    </w:p>
    <w:p>
      <w:pPr>
        <w:spacing w:after="0" w:before="0" w:line="240" w:lineRule="auto"/>
        <w:ind w:left="57"/>
        <w:jc w:val="left"/>
        <w:shd w:val="clear" w:fill="F2F2F2"/>
      </w:pPr>
      <w:r>
        <w:rPr>
          <w:rFonts w:ascii="Consolas" w:hAnsi="Consolas" w:cs="Consolas"/>
          <w:b w:val="0"/>
          <w:i w:val="0"/>
          <w:sz w:val="15"/>
        </w:rPr>
        <w:t>fn calculate_pallet_fit(</w:t>
      </w:r>
    </w:p>
    <w:p>
      <w:pPr>
        <w:spacing w:after="0" w:before="0" w:line="240" w:lineRule="auto"/>
        <w:ind w:left="57"/>
        <w:jc w:val="left"/>
        <w:shd w:val="clear" w:fill="F2F2F2"/>
      </w:pPr>
      <w:r>
        <w:rPr>
          <w:rFonts w:ascii="Consolas" w:hAnsi="Consolas" w:cs="Consolas"/>
          <w:b w:val="0"/>
          <w:i w:val="0"/>
          <w:sz w:val="15"/>
        </w:rPr>
        <w:t xml:space="preserve">    pallets: &amp;[Pallet],</w:t>
      </w:r>
    </w:p>
    <w:p>
      <w:pPr>
        <w:spacing w:after="0" w:before="0" w:line="240" w:lineRule="auto"/>
        <w:ind w:left="57"/>
        <w:jc w:val="left"/>
        <w:shd w:val="clear" w:fill="F2F2F2"/>
      </w:pPr>
      <w:r>
        <w:rPr>
          <w:rFonts w:ascii="Consolas" w:hAnsi="Consolas" w:cs="Consolas"/>
          <w:b w:val="0"/>
          <w:i w:val="0"/>
          <w:sz w:val="15"/>
        </w:rPr>
        <w:t xml:space="preserve">    container: &amp;Container</w:t>
      </w:r>
    </w:p>
    <w:p>
      <w:pPr>
        <w:spacing w:after="0" w:before="0" w:line="240" w:lineRule="auto"/>
        <w:ind w:left="57"/>
        <w:jc w:val="left"/>
        <w:shd w:val="clear" w:fill="F2F2F2"/>
      </w:pPr>
      <w:r>
        <w:rPr>
          <w:rFonts w:ascii="Consolas" w:hAnsi="Consolas" w:cs="Consolas"/>
          <w:b w:val="0"/>
          <w:i w:val="0"/>
          <w:sz w:val="15"/>
        </w:rPr>
        <w:t>) -&gt; Result&lt;PalletArrangement&gt; {</w:t>
      </w:r>
    </w:p>
    <w:p>
      <w:pPr>
        <w:spacing w:after="0" w:before="0" w:line="240" w:lineRule="auto"/>
        <w:ind w:left="57"/>
        <w:jc w:val="left"/>
        <w:shd w:val="clear" w:fill="F2F2F2"/>
      </w:pPr>
      <w:r>
        <w:rPr>
          <w:rFonts w:ascii="Consolas" w:hAnsi="Consolas" w:cs="Consolas"/>
          <w:b w:val="0"/>
          <w:i w:val="0"/>
          <w:sz w:val="15"/>
        </w:rPr>
        <w:t xml:space="preserve">    // 1. Calculate how many pallets fit per row (width)</w:t>
      </w:r>
    </w:p>
    <w:p>
      <w:pPr>
        <w:spacing w:after="0" w:before="0" w:line="240" w:lineRule="auto"/>
        <w:ind w:left="57"/>
        <w:jc w:val="left"/>
        <w:shd w:val="clear" w:fill="F2F2F2"/>
      </w:pPr>
      <w:r>
        <w:rPr>
          <w:rFonts w:ascii="Consolas" w:hAnsi="Consolas" w:cs="Consolas"/>
          <w:b w:val="0"/>
          <w:i w:val="0"/>
          <w:sz w:val="15"/>
        </w:rPr>
        <w:t xml:space="preserve">    let pallets_per_row = container.internal_width / pallet.width;</w:t>
      </w:r>
    </w:p>
    <w:p>
      <w:pPr>
        <w:spacing w:after="0" w:before="0" w:line="240" w:lineRule="auto"/>
        <w:ind w:left="57"/>
        <w:jc w:val="left"/>
        <w:shd w:val="clear" w:fill="F2F2F2"/>
      </w:pPr>
      <w:r>
        <w:rPr>
          <w:rFonts w:ascii="Consolas" w:hAnsi="Consolas" w:cs="Consolas"/>
          <w:b w:val="0"/>
          <w:i w:val="0"/>
          <w:sz w:val="15"/>
        </w:rPr>
        <w:t xml:space="preserve">    // 2. Calculate how many rows fit (length)</w:t>
      </w:r>
    </w:p>
    <w:p>
      <w:pPr>
        <w:spacing w:after="0" w:before="0" w:line="240" w:lineRule="auto"/>
        <w:ind w:left="57"/>
        <w:jc w:val="left"/>
        <w:shd w:val="clear" w:fill="F2F2F2"/>
      </w:pPr>
      <w:r>
        <w:rPr>
          <w:rFonts w:ascii="Consolas" w:hAnsi="Consolas" w:cs="Consolas"/>
          <w:b w:val="0"/>
          <w:i w:val="0"/>
          <w:sz w:val="15"/>
        </w:rPr>
        <w:t xml:space="preserve">    let rows = container.internal_length / pallet.length;</w:t>
      </w:r>
    </w:p>
    <w:p>
      <w:pPr>
        <w:spacing w:after="0" w:before="0" w:line="240" w:lineRule="auto"/>
        <w:ind w:left="57"/>
        <w:jc w:val="left"/>
        <w:shd w:val="clear" w:fill="F2F2F2"/>
      </w:pPr>
      <w:r>
        <w:rPr>
          <w:rFonts w:ascii="Consolas" w:hAnsi="Consolas" w:cs="Consolas"/>
          <w:b w:val="0"/>
          <w:i w:val="0"/>
          <w:sz w:val="15"/>
        </w:rPr>
        <w:t xml:space="preserve">    // 3. Calculate total pallets that fit</w:t>
      </w:r>
    </w:p>
    <w:p>
      <w:pPr>
        <w:spacing w:after="0" w:before="0" w:line="240" w:lineRule="auto"/>
        <w:ind w:left="57"/>
        <w:jc w:val="left"/>
        <w:shd w:val="clear" w:fill="F2F2F2"/>
      </w:pPr>
      <w:r>
        <w:rPr>
          <w:rFonts w:ascii="Consolas" w:hAnsi="Consolas" w:cs="Consolas"/>
          <w:b w:val="0"/>
          <w:i w:val="0"/>
          <w:sz w:val="15"/>
        </w:rPr>
        <w:t xml:space="preserve">    let total_fit = pallets_per_row * rows;</w:t>
      </w:r>
    </w:p>
    <w:p>
      <w:pPr>
        <w:spacing w:after="0" w:before="0" w:line="240" w:lineRule="auto"/>
        <w:ind w:left="57"/>
        <w:jc w:val="left"/>
        <w:shd w:val="clear" w:fill="F2F2F2"/>
      </w:pPr>
      <w:r>
        <w:rPr>
          <w:rFonts w:ascii="Consolas" w:hAnsi="Consolas" w:cs="Consolas"/>
          <w:b w:val="0"/>
          <w:i w:val="0"/>
          <w:sz w:val="15"/>
        </w:rPr>
        <w:t xml:space="preserve">    // 4. Check if all pallets fit</w:t>
      </w:r>
    </w:p>
    <w:p>
      <w:pPr>
        <w:spacing w:after="0" w:before="0" w:line="240" w:lineRule="auto"/>
        <w:ind w:left="57"/>
        <w:jc w:val="left"/>
        <w:shd w:val="clear" w:fill="F2F2F2"/>
      </w:pPr>
      <w:r>
        <w:rPr>
          <w:rFonts w:ascii="Consolas" w:hAnsi="Consolas" w:cs="Consolas"/>
          <w:b w:val="0"/>
          <w:i w:val="0"/>
          <w:sz w:val="15"/>
        </w:rPr>
        <w:t xml:space="preserve">    if pallets.len() &gt; total_fit { return Err(Error::NotEnoughSpace); }</w:t>
      </w:r>
    </w:p>
    <w:p>
      <w:pPr>
        <w:spacing w:after="0" w:before="0" w:line="240" w:lineRule="auto"/>
        <w:ind w:left="57"/>
        <w:jc w:val="left"/>
        <w:shd w:val="clear" w:fill="F2F2F2"/>
      </w:pPr>
      <w:r>
        <w:rPr>
          <w:rFonts w:ascii="Consolas" w:hAnsi="Consolas" w:cs="Consolas"/>
          <w:b w:val="0"/>
          <w:i w:val="0"/>
          <w:sz w:val="15"/>
        </w:rPr>
        <w:t xml:space="preserve">    // 5. Calculate utilisation</w:t>
      </w:r>
    </w:p>
    <w:p>
      <w:pPr>
        <w:spacing w:after="0" w:before="0" w:line="240" w:lineRule="auto"/>
        <w:ind w:left="57"/>
        <w:jc w:val="left"/>
        <w:shd w:val="clear" w:fill="F2F2F2"/>
      </w:pPr>
      <w:r>
        <w:rPr>
          <w:rFonts w:ascii="Consolas" w:hAnsi="Consolas" w:cs="Consolas"/>
          <w:b w:val="0"/>
          <w:i w:val="0"/>
          <w:sz w:val="15"/>
        </w:rPr>
        <w:t xml:space="preserve">    let utilisation = (pallets.len() as f64 / total_fit as f64) * 100.0;</w:t>
      </w:r>
    </w:p>
    <w:p>
      <w:pPr>
        <w:spacing w:after="0" w:before="0" w:line="240" w:lineRule="auto"/>
        <w:ind w:left="57"/>
        <w:jc w:val="left"/>
        <w:shd w:val="clear" w:fill="F2F2F2"/>
      </w:pPr>
      <w:r>
        <w:rPr>
          <w:rFonts w:ascii="Consolas" w:hAnsi="Consolas" w:cs="Consolas"/>
          <w:b w:val="0"/>
          <w:i w:val="0"/>
          <w:sz w:val="15"/>
        </w:rPr>
        <w:t xml:space="preserve">    // 6. Calculate optimal arrangement</w:t>
      </w:r>
    </w:p>
    <w:p>
      <w:pPr>
        <w:spacing w:after="0" w:before="0" w:line="240" w:lineRule="auto"/>
        <w:ind w:left="57"/>
        <w:jc w:val="left"/>
        <w:shd w:val="clear" w:fill="F2F2F2"/>
      </w:pPr>
      <w:r>
        <w:rPr>
          <w:rFonts w:ascii="Consolas" w:hAnsi="Consolas" w:cs="Consolas"/>
          <w:b w:val="0"/>
          <w:i w:val="0"/>
          <w:sz w:val="15"/>
        </w:rPr>
        <w:t xml:space="preserve">    let arrangement = optimize_arrangement(pallets, container);</w:t>
      </w:r>
    </w:p>
    <w:p>
      <w:pPr>
        <w:spacing w:after="0" w:before="0" w:line="240" w:lineRule="auto"/>
        <w:ind w:left="57"/>
        <w:jc w:val="left"/>
        <w:shd w:val="clear" w:fill="F2F2F2"/>
      </w:pPr>
      <w:r>
        <w:rPr>
          <w:rFonts w:ascii="Consolas" w:hAnsi="Consolas" w:cs="Consolas"/>
          <w:b w:val="0"/>
          <w:i w:val="0"/>
          <w:sz w:val="15"/>
        </w:rPr>
        <w:t xml:space="preserve">    Ok(PalletArrangement {</w:t>
      </w:r>
    </w:p>
    <w:p>
      <w:pPr>
        <w:spacing w:after="0" w:before="0" w:line="240" w:lineRule="auto"/>
        <w:ind w:left="57"/>
        <w:jc w:val="left"/>
        <w:shd w:val="clear" w:fill="F2F2F2"/>
      </w:pPr>
      <w:r>
        <w:rPr>
          <w:rFonts w:ascii="Consolas" w:hAnsi="Consolas" w:cs="Consolas"/>
          <w:b w:val="0"/>
          <w:i w:val="0"/>
          <w:sz w:val="15"/>
        </w:rPr>
        <w:t xml:space="preserve">        pallets_per_row,</w:t>
      </w:r>
    </w:p>
    <w:p>
      <w:pPr>
        <w:spacing w:after="0" w:before="0" w:line="240" w:lineRule="auto"/>
        <w:ind w:left="57"/>
        <w:jc w:val="left"/>
        <w:shd w:val="clear" w:fill="F2F2F2"/>
      </w:pPr>
      <w:r>
        <w:rPr>
          <w:rFonts w:ascii="Consolas" w:hAnsi="Consolas" w:cs="Consolas"/>
          <w:b w:val="0"/>
          <w:i w:val="0"/>
          <w:sz w:val="15"/>
        </w:rPr>
        <w:t xml:space="preserve">        rows,</w:t>
      </w:r>
    </w:p>
    <w:p>
      <w:pPr>
        <w:spacing w:after="0" w:before="0" w:line="240" w:lineRule="auto"/>
        <w:ind w:left="57"/>
        <w:jc w:val="left"/>
        <w:shd w:val="clear" w:fill="F2F2F2"/>
      </w:pPr>
      <w:r>
        <w:rPr>
          <w:rFonts w:ascii="Consolas" w:hAnsi="Consolas" w:cs="Consolas"/>
          <w:b w:val="0"/>
          <w:i w:val="0"/>
          <w:sz w:val="15"/>
        </w:rPr>
        <w:t xml:space="preserve">        total_fit,</w:t>
      </w:r>
    </w:p>
    <w:p>
      <w:pPr>
        <w:spacing w:after="0" w:before="0" w:line="240" w:lineRule="auto"/>
        <w:ind w:left="57"/>
        <w:jc w:val="left"/>
        <w:shd w:val="clear" w:fill="F2F2F2"/>
      </w:pPr>
      <w:r>
        <w:rPr>
          <w:rFonts w:ascii="Consolas" w:hAnsi="Consolas" w:cs="Consolas"/>
          <w:b w:val="0"/>
          <w:i w:val="0"/>
          <w:sz w:val="15"/>
        </w:rPr>
        <w:t xml:space="preserve">        used_pallets: pallets.len(),</w:t>
      </w:r>
    </w:p>
    <w:p>
      <w:pPr>
        <w:spacing w:after="0" w:before="0" w:line="240" w:lineRule="auto"/>
        <w:ind w:left="57"/>
        <w:jc w:val="left"/>
        <w:shd w:val="clear" w:fill="F2F2F2"/>
      </w:pPr>
      <w:r>
        <w:rPr>
          <w:rFonts w:ascii="Consolas" w:hAnsi="Consolas" w:cs="Consolas"/>
          <w:b w:val="0"/>
          <w:i w:val="0"/>
          <w:sz w:val="15"/>
        </w:rPr>
        <w:t xml:space="preserve">        utilisation,</w:t>
      </w:r>
    </w:p>
    <w:p>
      <w:pPr>
        <w:spacing w:after="0" w:before="0" w:line="240" w:lineRule="auto"/>
        <w:ind w:left="57"/>
        <w:jc w:val="left"/>
        <w:shd w:val="clear" w:fill="F2F2F2"/>
      </w:pPr>
      <w:r>
        <w:rPr>
          <w:rFonts w:ascii="Consolas" w:hAnsi="Consolas" w:cs="Consolas"/>
          <w:b w:val="0"/>
          <w:i w:val="0"/>
          <w:sz w:val="15"/>
        </w:rPr>
        <w:t xml:space="preserve">        arrangement,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6.15.6 One-Click Integration</w:t>
      </w:r>
    </w:p>
    <w:p>
      <w:pPr>
        <w:spacing w:after="80" w:line="293" w:lineRule="auto"/>
        <w:jc w:val="left"/>
      </w:pPr>
      <w:r>
        <w:rPr>
          <w:rFonts w:ascii="Times New Roman" w:hAnsi="Times New Roman" w:cs="Times New Roman"/>
          <w:b w:val="0"/>
          <w:i w:val="0"/>
          <w:sz w:val="22"/>
        </w:rPr>
        <w:t>The buyer applies the recommendation with one click ("Apply Recommended Configuration"); the form updates the equipment type and count; the advisor logs the selection (recommendation, alternative, or current) in `container_advisor_logs`.</w:t>
      </w:r>
    </w:p>
    <w:p>
      <w:pPr>
        <w:keepNext/>
        <w:spacing w:before="180" w:after="80"/>
        <w:outlineLvl w:val="2"/>
      </w:pPr>
      <w:r>
        <w:rPr>
          <w:rFonts w:ascii="Arial" w:hAnsi="Arial" w:cs="Arial"/>
          <w:b/>
          <w:i w:val="0"/>
          <w:color w:val="333333"/>
          <w:sz w:val="23"/>
        </w:rPr>
        <w:t>6.15.7 Integration with Other Phases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How the Container Advisor Flows</w:t>
            </w:r>
          </w:p>
        </w:tc>
      </w:tr>
      <w:tr>
        <w:tc>
          <w:tcPr>
            <w:tcW w:type="dxa" w:w="4819"/>
          </w:tcPr>
          <w:p>
            <w:pPr>
              <w:spacing w:after="20" w:before="20" w:line="240" w:lineRule="auto"/>
            </w:pPr>
            <w:r/>
            <w:r>
              <w:rPr>
                <w:rFonts w:ascii="Arial" w:hAnsi="Arial" w:cs="Arial"/>
                <w:b w:val="0"/>
                <w:i w:val="0"/>
                <w:sz w:val="17"/>
              </w:rPr>
              <w:t>Phase 1 — Trade Initiation</w:t>
            </w:r>
          </w:p>
        </w:tc>
        <w:tc>
          <w:tcPr>
            <w:tcW w:type="dxa" w:w="4819"/>
          </w:tcPr>
          <w:p>
            <w:pPr>
              <w:spacing w:after="20" w:before="20" w:line="240" w:lineRule="auto"/>
            </w:pPr>
            <w:r/>
            <w:r>
              <w:rPr>
                <w:rFonts w:ascii="Arial" w:hAnsi="Arial" w:cs="Arial"/>
                <w:b w:val="0"/>
                <w:i w:val="0"/>
                <w:sz w:val="17"/>
              </w:rPr>
              <w:t>Advisor runs during commodity entry; suggests optimal containers</w:t>
            </w:r>
          </w:p>
        </w:tc>
      </w:tr>
      <w:tr>
        <w:tc>
          <w:tcPr>
            <w:tcW w:type="dxa" w:w="4819"/>
          </w:tcPr>
          <w:p>
            <w:pPr>
              <w:spacing w:after="20" w:before="20" w:line="240" w:lineRule="auto"/>
            </w:pPr>
            <w:r/>
            <w:r>
              <w:rPr>
                <w:rFonts w:ascii="Arial" w:hAnsi="Arial" w:cs="Arial"/>
                <w:b w:val="0"/>
                <w:i w:val="0"/>
                <w:sz w:val="17"/>
              </w:rPr>
              <w:t>Phase 2 — Seller Quote (Section 8)</w:t>
            </w:r>
          </w:p>
        </w:tc>
        <w:tc>
          <w:tcPr>
            <w:tcW w:type="dxa" w:w="4819"/>
          </w:tcPr>
          <w:p>
            <w:pPr>
              <w:spacing w:after="20" w:before="20" w:line="240" w:lineRule="auto"/>
            </w:pPr>
            <w:r/>
            <w:r>
              <w:rPr>
                <w:rFonts w:ascii="Arial" w:hAnsi="Arial" w:cs="Arial"/>
                <w:b w:val="0"/>
                <w:i w:val="0"/>
                <w:sz w:val="17"/>
              </w:rPr>
              <w:t>Seller sees the buyer's container selection; may adjust logistics</w:t>
            </w:r>
          </w:p>
        </w:tc>
      </w:tr>
      <w:tr>
        <w:tc>
          <w:tcPr>
            <w:tcW w:type="dxa" w:w="4819"/>
          </w:tcPr>
          <w:p>
            <w:pPr>
              <w:spacing w:after="20" w:before="20" w:line="240" w:lineRule="auto"/>
            </w:pPr>
            <w:r/>
            <w:r>
              <w:rPr>
                <w:rFonts w:ascii="Arial" w:hAnsi="Arial" w:cs="Arial"/>
                <w:b w:val="0"/>
                <w:i w:val="0"/>
                <w:sz w:val="17"/>
              </w:rPr>
              <w:t>Phase 3 — Contract (Section 9)</w:t>
            </w:r>
          </w:p>
        </w:tc>
        <w:tc>
          <w:tcPr>
            <w:tcW w:type="dxa" w:w="4819"/>
          </w:tcPr>
          <w:p>
            <w:pPr>
              <w:spacing w:after="20" w:before="20" w:line="240" w:lineRule="auto"/>
            </w:pPr>
            <w:r/>
            <w:r>
              <w:rPr>
                <w:rFonts w:ascii="Arial" w:hAnsi="Arial" w:cs="Arial"/>
                <w:b w:val="0"/>
                <w:i w:val="0"/>
                <w:sz w:val="17"/>
              </w:rPr>
              <w:t>Container selection is included in the contract</w:t>
            </w:r>
          </w:p>
        </w:tc>
      </w:tr>
      <w:tr>
        <w:tc>
          <w:tcPr>
            <w:tcW w:type="dxa" w:w="4819"/>
          </w:tcPr>
          <w:p>
            <w:pPr>
              <w:spacing w:after="20" w:before="20" w:line="240" w:lineRule="auto"/>
            </w:pPr>
            <w:r/>
            <w:r>
              <w:rPr>
                <w:rFonts w:ascii="Arial" w:hAnsi="Arial" w:cs="Arial"/>
                <w:b w:val="0"/>
                <w:i w:val="0"/>
                <w:sz w:val="17"/>
              </w:rPr>
              <w:t>Phase 5 — Execution (Section 12)</w:t>
            </w:r>
          </w:p>
        </w:tc>
        <w:tc>
          <w:tcPr>
            <w:tcW w:type="dxa" w:w="4819"/>
          </w:tcPr>
          <w:p>
            <w:pPr>
              <w:spacing w:after="20" w:before="20" w:line="240" w:lineRule="auto"/>
            </w:pPr>
            <w:r/>
            <w:r>
              <w:rPr>
                <w:rFonts w:ascii="Arial" w:hAnsi="Arial" w:cs="Arial"/>
                <w:b w:val="0"/>
                <w:i w:val="0"/>
                <w:sz w:val="17"/>
              </w:rPr>
              <w:t>Logistics providers use the container selection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6.15.8 Governor Gates (Container Advisor)</w:t>
      </w:r>
    </w:p>
    <w:p>
      <w:pPr>
        <w:spacing w:after="80" w:line="293" w:lineRule="auto"/>
        <w:jc w:val="left"/>
      </w:pPr>
      <w:r>
        <w:rPr>
          <w:rFonts w:ascii="Times New Roman" w:hAnsi="Times New Roman" w:cs="Times New Roman"/>
          <w:b w:val="0"/>
          <w:i w:val="0"/>
          <w:sz w:val="22"/>
        </w:rPr>
        <w:t>The advisor is advisory only; no Governor gate blocks submission based on the advisor recommendation. Advisor runs and user selections are logged in `container_advisor_logs` for audit. Capacity and weight validation remain mandatory (Section 6.6.6.3).</w:t>
      </w:r>
    </w:p>
    <w:p>
      <w:pPr>
        <w:keepNext/>
        <w:spacing w:before="180" w:after="80"/>
        <w:outlineLvl w:val="2"/>
      </w:pPr>
      <w:r>
        <w:rPr>
          <w:rFonts w:ascii="Arial" w:hAnsi="Arial" w:cs="Arial"/>
          <w:b/>
          <w:i w:val="0"/>
          <w:color w:val="333333"/>
          <w:sz w:val="23"/>
        </w:rPr>
        <w:t>6.15.9 Database Schema Additions (Container Advisor)</w:t>
      </w:r>
    </w:p>
    <w:p>
      <w:pPr>
        <w:spacing w:after="0" w:before="0" w:line="240" w:lineRule="auto"/>
        <w:ind w:left="57"/>
        <w:jc w:val="left"/>
        <w:shd w:val="clear" w:fill="F2F2F2"/>
      </w:pPr>
      <w:r>
        <w:rPr>
          <w:rFonts w:ascii="Consolas" w:hAnsi="Consolas" w:cs="Consolas"/>
          <w:b w:val="0"/>
          <w:i w:val="0"/>
          <w:sz w:val="15"/>
        </w:rPr>
        <w:t>-- Container advisor logs</w:t>
      </w:r>
    </w:p>
    <w:p>
      <w:pPr>
        <w:spacing w:after="0" w:before="0" w:line="240" w:lineRule="auto"/>
        <w:ind w:left="57"/>
        <w:jc w:val="left"/>
        <w:shd w:val="clear" w:fill="F2F2F2"/>
      </w:pPr>
      <w:r>
        <w:rPr>
          <w:rFonts w:ascii="Consolas" w:hAnsi="Consolas" w:cs="Consolas"/>
          <w:b w:val="0"/>
          <w:i w:val="0"/>
          <w:sz w:val="15"/>
        </w:rPr>
        <w:t>-- container_advisor_logs: canonical definition in Section 6.9;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Historical loading density (anonymised, differential privacy)</w:t>
      </w:r>
    </w:p>
    <w:p>
      <w:pPr>
        <w:spacing w:after="0" w:before="0" w:line="240" w:lineRule="auto"/>
        <w:ind w:left="57"/>
        <w:jc w:val="left"/>
        <w:shd w:val="clear" w:fill="F2F2F2"/>
      </w:pPr>
      <w:r>
        <w:rPr>
          <w:rFonts w:ascii="Consolas" w:hAnsi="Consolas" w:cs="Consolas"/>
          <w:b w:val="0"/>
          <w:i w:val="0"/>
          <w:sz w:val="15"/>
        </w:rPr>
        <w:t>CREATE TABLE historical_loading_density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route_id TEXT NOT NULL,</w:t>
      </w:r>
    </w:p>
    <w:p>
      <w:pPr>
        <w:spacing w:after="0" w:before="0" w:line="240" w:lineRule="auto"/>
        <w:ind w:left="57"/>
        <w:jc w:val="left"/>
        <w:shd w:val="clear" w:fill="F2F2F2"/>
      </w:pPr>
      <w:r>
        <w:rPr>
          <w:rFonts w:ascii="Consolas" w:hAnsi="Consolas" w:cs="Consolas"/>
          <w:b w:val="0"/>
          <w:i w:val="0"/>
          <w:sz w:val="15"/>
        </w:rPr>
        <w:t xml:space="preserve">    commodity_type TEXT NOT NULL,</w:t>
      </w:r>
    </w:p>
    <w:p>
      <w:pPr>
        <w:spacing w:after="0" w:before="0" w:line="240" w:lineRule="auto"/>
        <w:ind w:left="57"/>
        <w:jc w:val="left"/>
        <w:shd w:val="clear" w:fill="F2F2F2"/>
      </w:pPr>
      <w:r>
        <w:rPr>
          <w:rFonts w:ascii="Consolas" w:hAnsi="Consolas" w:cs="Consolas"/>
          <w:b w:val="0"/>
          <w:i w:val="0"/>
          <w:sz w:val="15"/>
        </w:rPr>
        <w:t xml:space="preserve">    container_type TEXT NOT NULL,</w:t>
      </w:r>
    </w:p>
    <w:p>
      <w:pPr>
        <w:spacing w:after="0" w:before="0" w:line="240" w:lineRule="auto"/>
        <w:ind w:left="57"/>
        <w:jc w:val="left"/>
        <w:shd w:val="clear" w:fill="F2F2F2"/>
      </w:pPr>
      <w:r>
        <w:rPr>
          <w:rFonts w:ascii="Consolas" w:hAnsi="Consolas" w:cs="Consolas"/>
          <w:b w:val="0"/>
          <w:i w:val="0"/>
          <w:sz w:val="15"/>
        </w:rPr>
        <w:t xml:space="preserve">    average_density DECIMAL(5,2),</w:t>
      </w:r>
    </w:p>
    <w:p>
      <w:pPr>
        <w:spacing w:after="0" w:before="0" w:line="240" w:lineRule="auto"/>
        <w:ind w:left="57"/>
        <w:jc w:val="left"/>
        <w:shd w:val="clear" w:fill="F2F2F2"/>
      </w:pPr>
      <w:r>
        <w:rPr>
          <w:rFonts w:ascii="Consolas" w:hAnsi="Consolas" w:cs="Consolas"/>
          <w:b w:val="0"/>
          <w:i w:val="0"/>
          <w:sz w:val="15"/>
        </w:rPr>
        <w:t xml:space="preserve">    sample_count INTEGER,</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privacy_epsilon DECIMAL(5,2) DEFAULT 0.1,</w:t>
      </w:r>
    </w:p>
    <w:p>
      <w:pPr>
        <w:spacing w:after="0" w:before="0" w:line="240" w:lineRule="auto"/>
        <w:ind w:left="57"/>
        <w:jc w:val="left"/>
        <w:shd w:val="clear" w:fill="F2F2F2"/>
      </w:pPr>
      <w:r>
        <w:rPr>
          <w:rFonts w:ascii="Consolas" w:hAnsi="Consolas" w:cs="Consolas"/>
          <w:b w:val="0"/>
          <w:i w:val="0"/>
          <w:sz w:val="15"/>
        </w:rPr>
        <w:t xml:space="preserve">    measured_period DATE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Container type reference table</w:t>
      </w:r>
    </w:p>
    <w:p>
      <w:pPr>
        <w:spacing w:after="0" w:before="0" w:line="240" w:lineRule="auto"/>
        <w:ind w:left="57"/>
        <w:jc w:val="left"/>
        <w:shd w:val="clear" w:fill="F2F2F2"/>
      </w:pPr>
      <w:r>
        <w:rPr>
          <w:rFonts w:ascii="Consolas" w:hAnsi="Consolas" w:cs="Consolas"/>
          <w:b w:val="0"/>
          <w:i w:val="0"/>
          <w:sz w:val="15"/>
        </w:rPr>
        <w:t>CREATE TABLE container_types_ref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type_code TEXT UNIQUE NOT NULL,</w:t>
      </w:r>
    </w:p>
    <w:p>
      <w:pPr>
        <w:spacing w:after="0" w:before="0" w:line="240" w:lineRule="auto"/>
        <w:ind w:left="57"/>
        <w:jc w:val="left"/>
        <w:shd w:val="clear" w:fill="F2F2F2"/>
      </w:pPr>
      <w:r>
        <w:rPr>
          <w:rFonts w:ascii="Consolas" w:hAnsi="Consolas" w:cs="Consolas"/>
          <w:b w:val="0"/>
          <w:i w:val="0"/>
          <w:sz w:val="15"/>
        </w:rPr>
        <w:t xml:space="preserve">    type_name TEXT NOT NULL,</w:t>
      </w:r>
    </w:p>
    <w:p>
      <w:pPr>
        <w:spacing w:after="0" w:before="0" w:line="240" w:lineRule="auto"/>
        <w:ind w:left="57"/>
        <w:jc w:val="left"/>
        <w:shd w:val="clear" w:fill="F2F2F2"/>
      </w:pPr>
      <w:r>
        <w:rPr>
          <w:rFonts w:ascii="Consolas" w:hAnsi="Consolas" w:cs="Consolas"/>
          <w:b w:val="0"/>
          <w:i w:val="0"/>
          <w:sz w:val="15"/>
        </w:rPr>
        <w:t xml:space="preserve">    internal_width_mm INTEGER NOT NULL,</w:t>
      </w:r>
    </w:p>
    <w:p>
      <w:pPr>
        <w:spacing w:after="0" w:before="0" w:line="240" w:lineRule="auto"/>
        <w:ind w:left="57"/>
        <w:jc w:val="left"/>
        <w:shd w:val="clear" w:fill="F2F2F2"/>
      </w:pPr>
      <w:r>
        <w:rPr>
          <w:rFonts w:ascii="Consolas" w:hAnsi="Consolas" w:cs="Consolas"/>
          <w:b w:val="0"/>
          <w:i w:val="0"/>
          <w:sz w:val="15"/>
        </w:rPr>
        <w:t xml:space="preserve">    internal_length_mm INTEGER NOT NULL,</w:t>
      </w:r>
    </w:p>
    <w:p>
      <w:pPr>
        <w:spacing w:after="0" w:before="0" w:line="240" w:lineRule="auto"/>
        <w:ind w:left="57"/>
        <w:jc w:val="left"/>
        <w:shd w:val="clear" w:fill="F2F2F2"/>
      </w:pPr>
      <w:r>
        <w:rPr>
          <w:rFonts w:ascii="Consolas" w:hAnsi="Consolas" w:cs="Consolas"/>
          <w:b w:val="0"/>
          <w:i w:val="0"/>
          <w:sz w:val="15"/>
        </w:rPr>
        <w:t xml:space="preserve">    internal_height_mm INTEGER NOT NULL,</w:t>
      </w:r>
    </w:p>
    <w:p>
      <w:pPr>
        <w:spacing w:after="0" w:before="0" w:line="240" w:lineRule="auto"/>
        <w:ind w:left="57"/>
        <w:jc w:val="left"/>
        <w:shd w:val="clear" w:fill="F2F2F2"/>
      </w:pPr>
      <w:r>
        <w:rPr>
          <w:rFonts w:ascii="Consolas" w:hAnsi="Consolas" w:cs="Consolas"/>
          <w:b w:val="0"/>
          <w:i w:val="0"/>
          <w:sz w:val="15"/>
        </w:rPr>
        <w:t xml:space="preserve">    max_volume_cbm DECIMAL(10,2) NOT NULL,</w:t>
      </w:r>
    </w:p>
    <w:p>
      <w:pPr>
        <w:spacing w:after="0" w:before="0" w:line="240" w:lineRule="auto"/>
        <w:ind w:left="57"/>
        <w:jc w:val="left"/>
        <w:shd w:val="clear" w:fill="F2F2F2"/>
      </w:pPr>
      <w:r>
        <w:rPr>
          <w:rFonts w:ascii="Consolas" w:hAnsi="Consolas" w:cs="Consolas"/>
          <w:b w:val="0"/>
          <w:i w:val="0"/>
          <w:sz w:val="15"/>
        </w:rPr>
        <w:t xml:space="preserve">    max_payload_kg DECIMAL(10,2) NOT NULL,</w:t>
      </w:r>
    </w:p>
    <w:p>
      <w:pPr>
        <w:spacing w:after="0" w:before="0" w:line="240" w:lineRule="auto"/>
        <w:ind w:left="57"/>
        <w:jc w:val="left"/>
        <w:shd w:val="clear" w:fill="F2F2F2"/>
      </w:pPr>
      <w:r>
        <w:rPr>
          <w:rFonts w:ascii="Consolas" w:hAnsi="Consolas" w:cs="Consolas"/>
          <w:b w:val="0"/>
          <w:i w:val="0"/>
          <w:sz w:val="15"/>
        </w:rPr>
        <w:t xml:space="preserve">    has_reefer BOOLEAN DEFAULT false,</w:t>
      </w:r>
    </w:p>
    <w:p>
      <w:pPr>
        <w:spacing w:after="0" w:before="0" w:line="240" w:lineRule="auto"/>
        <w:ind w:left="57"/>
        <w:jc w:val="left"/>
        <w:shd w:val="clear" w:fill="F2F2F2"/>
      </w:pPr>
      <w:r>
        <w:rPr>
          <w:rFonts w:ascii="Consolas" w:hAnsi="Consolas" w:cs="Consolas"/>
          <w:b w:val="0"/>
          <w:i w:val="0"/>
          <w:sz w:val="15"/>
        </w:rPr>
        <w:t xml:space="preserve">    has_ventilation BOOLEAN DEFAULT false,</w:t>
      </w:r>
    </w:p>
    <w:p>
      <w:pPr>
        <w:spacing w:after="0" w:before="0" w:line="240" w:lineRule="auto"/>
        <w:ind w:left="57"/>
        <w:jc w:val="left"/>
        <w:shd w:val="clear" w:fill="F2F2F2"/>
      </w:pPr>
      <w:r>
        <w:rPr>
          <w:rFonts w:ascii="Consolas" w:hAnsi="Consolas" w:cs="Consolas"/>
          <w:b w:val="0"/>
          <w:i w:val="0"/>
          <w:sz w:val="15"/>
        </w:rPr>
        <w:t xml:space="preserve">    is_hazardous_compatible BOOLEAN DEFAULT false,</w:t>
      </w:r>
    </w:p>
    <w:p>
      <w:pPr>
        <w:spacing w:after="0" w:before="0" w:line="240" w:lineRule="auto"/>
        <w:ind w:left="57"/>
        <w:jc w:val="left"/>
        <w:shd w:val="clear" w:fill="F2F2F2"/>
      </w:pPr>
      <w:r>
        <w:rPr>
          <w:rFonts w:ascii="Consolas" w:hAnsi="Consolas" w:cs="Consolas"/>
          <w:b w:val="0"/>
          <w:i w:val="0"/>
          <w:sz w:val="15"/>
        </w:rPr>
        <w:t xml:space="preserve">    typical_use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idx_container_advisor_logs_trade ON container_advisor_logs(trade_request_id);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idx_container_advisor_logs_created ON container_advisor_logs(created_at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idx_historical_loading_density_route ON historical_loading_density(route_id, commodity_type);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idx_historical_loading_density_period ON historical_loading_density(measured_period);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6.15.10 Implementation Checklist (Container Advisor)</w:t>
      </w:r>
    </w:p>
    <w:p>
      <w:pPr>
        <w:keepNext/>
        <w:spacing w:before="140" w:after="60"/>
        <w:outlineLvl w:val="3"/>
      </w:pPr>
      <w:r>
        <w:rPr>
          <w:rFonts w:ascii="Arial" w:hAnsi="Arial" w:cs="Arial"/>
          <w:b/>
          <w:i/>
          <w:color w:val="333333"/>
          <w:sz w:val="22"/>
        </w:rPr>
        <w:t>6.15.10.1 Backend Services</w:t>
      </w:r>
    </w:p>
    <w:p>
      <w:pPr>
        <w:spacing w:after="80" w:line="293" w:lineRule="auto"/>
        <w:ind w:left="283"/>
        <w:jc w:val="left"/>
      </w:pPr>
      <w:r>
        <w:rPr>
          <w:rFonts w:ascii="Times New Roman" w:hAnsi="Times New Roman" w:cs="Times New Roman"/>
          <w:b w:val="0"/>
          <w:i w:val="0"/>
          <w:sz w:val="22"/>
        </w:rPr>
        <w:t>- Implement Container Advisor service (Rust)</w:t>
      </w:r>
    </w:p>
    <w:p>
      <w:pPr>
        <w:spacing w:after="80" w:line="293" w:lineRule="auto"/>
        <w:ind w:left="283"/>
        <w:jc w:val="left"/>
      </w:pPr>
      <w:r>
        <w:rPr>
          <w:rFonts w:ascii="Times New Roman" w:hAnsi="Times New Roman" w:cs="Times New Roman"/>
          <w:b w:val="0"/>
          <w:i w:val="0"/>
          <w:sz w:val="22"/>
        </w:rPr>
        <w:t>- Implement pallet fit calculation</w:t>
      </w:r>
    </w:p>
    <w:p>
      <w:pPr>
        <w:spacing w:after="80" w:line="293" w:lineRule="auto"/>
        <w:ind w:left="283"/>
        <w:jc w:val="left"/>
      </w:pPr>
      <w:r>
        <w:rPr>
          <w:rFonts w:ascii="Times New Roman" w:hAnsi="Times New Roman" w:cs="Times New Roman"/>
          <w:b w:val="0"/>
          <w:i w:val="0"/>
          <w:sz w:val="22"/>
        </w:rPr>
        <w:t>- Implement container capacity optimisation</w:t>
      </w:r>
    </w:p>
    <w:p>
      <w:pPr>
        <w:spacing w:after="80" w:line="293" w:lineRule="auto"/>
        <w:ind w:left="283"/>
        <w:jc w:val="left"/>
      </w:pPr>
      <w:r>
        <w:rPr>
          <w:rFonts w:ascii="Times New Roman" w:hAnsi="Times New Roman" w:cs="Times New Roman"/>
          <w:b w:val="0"/>
          <w:i w:val="0"/>
          <w:sz w:val="22"/>
        </w:rPr>
        <w:t>- Implement historical loading density query (anonymised, differential privacy)</w:t>
      </w:r>
    </w:p>
    <w:p>
      <w:pPr>
        <w:spacing w:after="80" w:line="293" w:lineRule="auto"/>
        <w:ind w:left="283"/>
        <w:jc w:val="left"/>
      </w:pPr>
      <w:r>
        <w:rPr>
          <w:rFonts w:ascii="Times New Roman" w:hAnsi="Times New Roman" w:cs="Times New Roman"/>
          <w:b w:val="0"/>
          <w:i w:val="0"/>
          <w:sz w:val="22"/>
        </w:rPr>
        <w:t>- Implement recommendation generation (A1, Groq)</w:t>
      </w:r>
    </w:p>
    <w:p>
      <w:pPr>
        <w:spacing w:after="80" w:line="293" w:lineRule="auto"/>
        <w:ind w:left="283"/>
        <w:jc w:val="left"/>
      </w:pPr>
      <w:r>
        <w:rPr>
          <w:rFonts w:ascii="Times New Roman" w:hAnsi="Times New Roman" w:cs="Times New Roman"/>
          <w:b w:val="0"/>
          <w:i w:val="0"/>
          <w:sz w:val="22"/>
        </w:rPr>
        <w:t>- Implement container type validation</w:t>
      </w:r>
    </w:p>
    <w:p>
      <w:pPr>
        <w:keepNext/>
        <w:spacing w:before="140" w:after="60"/>
        <w:outlineLvl w:val="3"/>
      </w:pPr>
      <w:r>
        <w:rPr>
          <w:rFonts w:ascii="Arial" w:hAnsi="Arial" w:cs="Arial"/>
          <w:b/>
          <w:i/>
          <w:color w:val="333333"/>
          <w:sz w:val="22"/>
        </w:rPr>
        <w:t>6.15.10.2 Frontend Components</w:t>
      </w:r>
    </w:p>
    <w:p>
      <w:pPr>
        <w:spacing w:after="80" w:line="293" w:lineRule="auto"/>
        <w:ind w:left="283"/>
        <w:jc w:val="left"/>
      </w:pPr>
      <w:r>
        <w:rPr>
          <w:rFonts w:ascii="Times New Roman" w:hAnsi="Times New Roman" w:cs="Times New Roman"/>
          <w:b w:val="0"/>
          <w:i w:val="0"/>
          <w:sz w:val="22"/>
        </w:rPr>
        <w:t>- Build Container Advisor banner</w:t>
      </w:r>
    </w:p>
    <w:p>
      <w:pPr>
        <w:spacing w:after="80" w:line="293" w:lineRule="auto"/>
        <w:ind w:left="283"/>
        <w:jc w:val="left"/>
      </w:pPr>
      <w:r>
        <w:rPr>
          <w:rFonts w:ascii="Times New Roman" w:hAnsi="Times New Roman" w:cs="Times New Roman"/>
          <w:b w:val="0"/>
          <w:i w:val="0"/>
          <w:sz w:val="22"/>
        </w:rPr>
        <w:t>- Build Pallet Arrangement visualisation</w:t>
      </w:r>
    </w:p>
    <w:p>
      <w:pPr>
        <w:spacing w:after="80" w:line="293" w:lineRule="auto"/>
        <w:ind w:left="283"/>
        <w:jc w:val="left"/>
      </w:pPr>
      <w:r>
        <w:rPr>
          <w:rFonts w:ascii="Times New Roman" w:hAnsi="Times New Roman" w:cs="Times New Roman"/>
          <w:b w:val="0"/>
          <w:i w:val="0"/>
          <w:sz w:val="22"/>
        </w:rPr>
        <w:t>- Build Alternative Configurations comparison table</w:t>
      </w:r>
    </w:p>
    <w:p>
      <w:pPr>
        <w:spacing w:after="80" w:line="293" w:lineRule="auto"/>
        <w:ind w:left="283"/>
        <w:jc w:val="left"/>
      </w:pPr>
      <w:r>
        <w:rPr>
          <w:rFonts w:ascii="Times New Roman" w:hAnsi="Times New Roman" w:cs="Times New Roman"/>
          <w:b w:val="0"/>
          <w:i w:val="0"/>
          <w:sz w:val="22"/>
        </w:rPr>
        <w:t>- Build One-click Apply functionality</w:t>
      </w:r>
    </w:p>
    <w:p>
      <w:pPr>
        <w:spacing w:after="80" w:line="293" w:lineRule="auto"/>
        <w:ind w:left="283"/>
        <w:jc w:val="left"/>
      </w:pPr>
      <w:r>
        <w:rPr>
          <w:rFonts w:ascii="Times New Roman" w:hAnsi="Times New Roman" w:cs="Times New Roman"/>
          <w:b w:val="0"/>
          <w:i w:val="0"/>
          <w:sz w:val="22"/>
        </w:rPr>
        <w:t>- Build Explainability display</w:t>
      </w:r>
    </w:p>
    <w:p>
      <w:pPr>
        <w:keepNext/>
        <w:spacing w:before="140" w:after="60"/>
        <w:outlineLvl w:val="3"/>
      </w:pPr>
      <w:r>
        <w:rPr>
          <w:rFonts w:ascii="Arial" w:hAnsi="Arial" w:cs="Arial"/>
          <w:b/>
          <w:i/>
          <w:color w:val="333333"/>
          <w:sz w:val="22"/>
        </w:rPr>
        <w:t>6.15.10.3 Integration</w:t>
      </w:r>
    </w:p>
    <w:p>
      <w:pPr>
        <w:spacing w:after="80" w:line="293" w:lineRule="auto"/>
        <w:ind w:left="283"/>
        <w:jc w:val="left"/>
      </w:pPr>
      <w:r>
        <w:rPr>
          <w:rFonts w:ascii="Times New Roman" w:hAnsi="Times New Roman" w:cs="Times New Roman"/>
          <w:b w:val="0"/>
          <w:i w:val="0"/>
          <w:sz w:val="22"/>
        </w:rPr>
        <w:t>- Trigger advisor after commodity entry</w:t>
      </w:r>
    </w:p>
    <w:p>
      <w:pPr>
        <w:spacing w:after="80" w:line="293" w:lineRule="auto"/>
        <w:ind w:left="283"/>
        <w:jc w:val="left"/>
      </w:pPr>
      <w:r>
        <w:rPr>
          <w:rFonts w:ascii="Times New Roman" w:hAnsi="Times New Roman" w:cs="Times New Roman"/>
          <w:b w:val="0"/>
          <w:i w:val="0"/>
          <w:sz w:val="22"/>
        </w:rPr>
        <w:t>- Integrate recommendation application with form</w:t>
      </w:r>
    </w:p>
    <w:p>
      <w:pPr>
        <w:spacing w:after="80" w:line="293" w:lineRule="auto"/>
        <w:ind w:left="283"/>
        <w:jc w:val="left"/>
      </w:pPr>
      <w:r>
        <w:rPr>
          <w:rFonts w:ascii="Times New Roman" w:hAnsi="Times New Roman" w:cs="Times New Roman"/>
          <w:b w:val="0"/>
          <w:i w:val="0"/>
          <w:sz w:val="22"/>
        </w:rPr>
        <w:t>- Integrate historical density with the Trade Memory Layer (Section 22)</w:t>
      </w:r>
    </w:p>
    <w:p>
      <w:pPr>
        <w:spacing w:after="80" w:line="293" w:lineRule="auto"/>
        <w:ind w:left="283"/>
        <w:jc w:val="left"/>
      </w:pPr>
      <w:r>
        <w:rPr>
          <w:rFonts w:ascii="Times New Roman" w:hAnsi="Times New Roman" w:cs="Times New Roman"/>
          <w:b w:val="0"/>
          <w:i w:val="0"/>
          <w:sz w:val="22"/>
        </w:rPr>
        <w:t>- Integrate container types with RIA</w:t>
      </w:r>
    </w:p>
    <w:p>
      <w:pPr>
        <w:keepNext/>
        <w:spacing w:before="140" w:after="60"/>
        <w:outlineLvl w:val="3"/>
      </w:pPr>
      <w:r>
        <w:rPr>
          <w:rFonts w:ascii="Arial" w:hAnsi="Arial" w:cs="Arial"/>
          <w:b/>
          <w:i/>
          <w:color w:val="333333"/>
          <w:sz w:val="22"/>
        </w:rPr>
        <w:t>6.15.10.4 Testing</w:t>
      </w:r>
    </w:p>
    <w:p>
      <w:pPr>
        <w:spacing w:after="80" w:line="293" w:lineRule="auto"/>
        <w:ind w:left="283"/>
        <w:jc w:val="left"/>
      </w:pPr>
      <w:r>
        <w:rPr>
          <w:rFonts w:ascii="Times New Roman" w:hAnsi="Times New Roman" w:cs="Times New Roman"/>
          <w:b w:val="0"/>
          <w:i w:val="0"/>
          <w:sz w:val="22"/>
        </w:rPr>
        <w:t>- Unit tests: pallet fit calculation</w:t>
      </w:r>
    </w:p>
    <w:p>
      <w:pPr>
        <w:spacing w:after="80" w:line="293" w:lineRule="auto"/>
        <w:ind w:left="283"/>
        <w:jc w:val="left"/>
      </w:pPr>
      <w:r>
        <w:rPr>
          <w:rFonts w:ascii="Times New Roman" w:hAnsi="Times New Roman" w:cs="Times New Roman"/>
          <w:b w:val="0"/>
          <w:i w:val="0"/>
          <w:sz w:val="22"/>
        </w:rPr>
        <w:t>- Unit tests: container capacity optimisation</w:t>
      </w:r>
    </w:p>
    <w:p>
      <w:pPr>
        <w:spacing w:after="80" w:line="293" w:lineRule="auto"/>
        <w:ind w:left="283"/>
        <w:jc w:val="left"/>
      </w:pPr>
      <w:r>
        <w:rPr>
          <w:rFonts w:ascii="Times New Roman" w:hAnsi="Times New Roman" w:cs="Times New Roman"/>
          <w:b w:val="0"/>
          <w:i w:val="0"/>
          <w:sz w:val="22"/>
        </w:rPr>
        <w:t>- Unit tests: recommendation generation</w:t>
      </w:r>
    </w:p>
    <w:p>
      <w:pPr>
        <w:spacing w:after="80" w:line="293" w:lineRule="auto"/>
        <w:ind w:left="283"/>
        <w:jc w:val="left"/>
      </w:pPr>
      <w:r>
        <w:rPr>
          <w:rFonts w:ascii="Times New Roman" w:hAnsi="Times New Roman" w:cs="Times New Roman"/>
          <w:b w:val="0"/>
          <w:i w:val="0"/>
          <w:sz w:val="22"/>
        </w:rPr>
        <w:t>- Integration tests: advisor trigger → recommendation → application</w:t>
      </w:r>
    </w:p>
    <w:p>
      <w:pPr>
        <w:spacing w:after="80" w:line="293" w:lineRule="auto"/>
        <w:ind w:left="283"/>
        <w:jc w:val="left"/>
      </w:pPr>
      <w:r>
        <w:rPr>
          <w:rFonts w:ascii="Times New Roman" w:hAnsi="Times New Roman" w:cs="Times New Roman"/>
          <w:b w:val="0"/>
          <w:i w:val="0"/>
          <w:sz w:val="22"/>
        </w:rPr>
        <w:t>- Integration tests: historical density query (anonymised)</w:t>
      </w:r>
    </w:p>
    <w:p>
      <w:pPr>
        <w:spacing w:after="80" w:line="293" w:lineRule="auto"/>
        <w:ind w:left="283"/>
        <w:jc w:val="left"/>
      </w:pPr>
      <w:r>
        <w:rPr>
          <w:rFonts w:ascii="Times New Roman" w:hAnsi="Times New Roman" w:cs="Times New Roman"/>
          <w:b w:val="0"/>
          <w:i w:val="0"/>
          <w:sz w:val="22"/>
        </w:rPr>
        <w:t>- End-to-end tests: full advisor workflow</w:t>
      </w:r>
    </w:p>
    <w:p>
      <w:pPr>
        <w:keepNext/>
        <w:spacing w:before="180" w:after="80"/>
        <w:outlineLvl w:val="2"/>
      </w:pPr>
      <w:r>
        <w:rPr>
          <w:rFonts w:ascii="Arial" w:hAnsi="Arial" w:cs="Arial"/>
          <w:b/>
          <w:i w:val="0"/>
          <w:color w:val="333333"/>
          <w:sz w:val="23"/>
        </w:rPr>
        <w:t>6.15.11 AI Authority Summary (Container Advisor)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Container Advisor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Ranked recommendations with transparent reasoning and cost comparison</w:t>
            </w:r>
          </w:p>
        </w:tc>
      </w:tr>
      <w:tr>
        <w:tc>
          <w:tcPr>
            <w:tcW w:type="dxa" w:w="3213"/>
          </w:tcPr>
          <w:p>
            <w:pPr>
              <w:spacing w:after="20" w:before="20" w:line="240" w:lineRule="auto"/>
            </w:pPr>
            <w:r/>
            <w:r>
              <w:rPr>
                <w:rFonts w:ascii="Arial" w:hAnsi="Arial" w:cs="Arial"/>
                <w:b w:val="0"/>
                <w:i w:val="0"/>
                <w:sz w:val="17"/>
              </w:rPr>
              <w:t>A2 (Trade Memory Layer)</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Anonymised historical loading density (differential privacy ε=0.1)</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6.16 Draft Auto-Save &amp; Recovery</w:t>
      </w:r>
    </w:p>
    <w:p>
      <w:pPr>
        <w:keepNext/>
        <w:spacing w:before="180" w:after="80"/>
        <w:outlineLvl w:val="2"/>
      </w:pPr>
      <w:r>
        <w:rPr>
          <w:rFonts w:ascii="Arial" w:hAnsi="Arial" w:cs="Arial"/>
          <w:b/>
          <w:i w:val="0"/>
          <w:color w:val="333333"/>
          <w:sz w:val="23"/>
        </w:rPr>
        <w:t>6.16.1 Purpose &amp; Design Philosophy</w:t>
      </w:r>
    </w:p>
    <w:p>
      <w:pPr>
        <w:spacing w:after="80" w:line="293" w:lineRule="auto"/>
        <w:jc w:val="left"/>
      </w:pPr>
      <w:r>
        <w:rPr>
          <w:rFonts w:ascii="Times New Roman" w:hAnsi="Times New Roman" w:cs="Times New Roman"/>
          <w:b w:val="0"/>
          <w:i w:val="0"/>
          <w:sz w:val="22"/>
        </w:rPr>
        <w:t>The Draft Auto-Save &amp; Recovery system ensures that no work is ever lost during the trade request creation process. Trade requests can be complex, with multiple containers, commodities, specifications, and documents. A user might spend 30–60 minutes filling out a detailed request. The draft system provides a safety net that automatically preserves this work and enables seamless recovery.</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Zero data loss — every keystroke is preserved; no work is ever lost.</w:t>
      </w:r>
    </w:p>
    <w:p>
      <w:pPr>
        <w:spacing w:after="80" w:line="293" w:lineRule="auto"/>
        <w:ind w:left="283"/>
        <w:jc w:val="left"/>
      </w:pPr>
      <w:r>
        <w:rPr>
          <w:rFonts w:ascii="Times New Roman" w:hAnsi="Times New Roman" w:cs="Times New Roman"/>
          <w:b w:val="0"/>
          <w:i w:val="0"/>
          <w:sz w:val="22"/>
        </w:rPr>
        <w:t>- Automatic, non-intrusive — auto-saves in the background without interrupting the user.</w:t>
      </w:r>
    </w:p>
    <w:p>
      <w:pPr>
        <w:spacing w:after="80" w:line="293" w:lineRule="auto"/>
        <w:ind w:left="283"/>
        <w:jc w:val="left"/>
      </w:pPr>
      <w:r>
        <w:rPr>
          <w:rFonts w:ascii="Times New Roman" w:hAnsi="Times New Roman" w:cs="Times New Roman"/>
          <w:b w:val="0"/>
          <w:i w:val="0"/>
          <w:sz w:val="22"/>
        </w:rPr>
        <w:t>- Seamless recovery — users can resume drafts from the Smart Inbox with one click.</w:t>
      </w:r>
    </w:p>
    <w:p>
      <w:pPr>
        <w:spacing w:after="80" w:line="293" w:lineRule="auto"/>
        <w:ind w:left="283"/>
        <w:jc w:val="left"/>
      </w:pPr>
      <w:r>
        <w:rPr>
          <w:rFonts w:ascii="Times New Roman" w:hAnsi="Times New Roman" w:cs="Times New Roman"/>
          <w:b w:val="0"/>
          <w:i w:val="0"/>
          <w:sz w:val="22"/>
        </w:rPr>
        <w:t>- Intelligent expiry — drafts expire after 14 days, with reminders at 11 and 13 days.</w:t>
      </w:r>
    </w:p>
    <w:p>
      <w:pPr>
        <w:spacing w:after="80" w:line="293" w:lineRule="auto"/>
        <w:ind w:left="283"/>
        <w:jc w:val="left"/>
      </w:pPr>
      <w:r>
        <w:rPr>
          <w:rFonts w:ascii="Times New Roman" w:hAnsi="Times New Roman" w:cs="Times New Roman"/>
          <w:b w:val="0"/>
          <w:i w:val="0"/>
          <w:sz w:val="22"/>
        </w:rPr>
        <w:t>- Admin recovery — expired drafts can be restored by tenant admins.</w:t>
      </w:r>
    </w:p>
    <w:p>
      <w:pPr>
        <w:spacing w:after="80" w:line="293" w:lineRule="auto"/>
        <w:ind w:left="283"/>
        <w:jc w:val="left"/>
      </w:pPr>
      <w:r>
        <w:rPr>
          <w:rFonts w:ascii="Times New Roman" w:hAnsi="Times New Roman" w:cs="Times New Roman"/>
          <w:b w:val="0"/>
          <w:i w:val="0"/>
          <w:sz w:val="22"/>
        </w:rPr>
        <w:t>- Multi-session support — users can have multiple drafts in progress across different sessions.</w:t>
      </w:r>
    </w:p>
    <w:p>
      <w:pPr>
        <w:keepNext/>
        <w:spacing w:before="180" w:after="80"/>
        <w:outlineLvl w:val="2"/>
      </w:pPr>
      <w:r>
        <w:rPr>
          <w:rFonts w:ascii="Arial" w:hAnsi="Arial" w:cs="Arial"/>
          <w:b/>
          <w:i w:val="0"/>
          <w:color w:val="333333"/>
          <w:sz w:val="23"/>
        </w:rPr>
        <w:t>6.16.2 Auto-Save Mechanism</w:t>
      </w:r>
    </w:p>
    <w:p>
      <w:pPr>
        <w:keepNext/>
        <w:spacing w:before="140" w:after="60"/>
        <w:outlineLvl w:val="3"/>
      </w:pPr>
      <w:r>
        <w:rPr>
          <w:rFonts w:ascii="Arial" w:hAnsi="Arial" w:cs="Arial"/>
          <w:b/>
          <w:i/>
          <w:color w:val="333333"/>
          <w:sz w:val="22"/>
        </w:rPr>
        <w:t>6.16.2.1 Architecture Overview</w:t>
      </w:r>
    </w:p>
    <w:p>
      <w:pPr>
        <w:spacing w:after="0" w:before="0" w:line="240" w:lineRule="auto"/>
        <w:ind w:left="57"/>
        <w:jc w:val="left"/>
        <w:shd w:val="clear" w:fill="F2F2F2"/>
      </w:pPr>
      <w:r>
        <w:rPr>
          <w:rFonts w:ascii="Consolas" w:hAnsi="Consolas" w:cs="Consolas"/>
          <w:b w:val="0"/>
          <w:i w:val="0"/>
          <w:sz w:val="15"/>
        </w:rPr>
        <w:t>DRAFT AUTO-SAVE ARCHITECTURE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FRONTEND (React)</w:t>
      </w:r>
    </w:p>
    <w:p>
      <w:pPr>
        <w:spacing w:after="0" w:before="0" w:line="240" w:lineRule="auto"/>
        <w:ind w:left="57"/>
        <w:jc w:val="left"/>
        <w:shd w:val="clear" w:fill="F2F2F2"/>
      </w:pPr>
      <w:r>
        <w:rPr>
          <w:rFonts w:ascii="Consolas" w:hAnsi="Consolas" w:cs="Consolas"/>
          <w:b w:val="0"/>
          <w:i w:val="0"/>
          <w:sz w:val="15"/>
        </w:rPr>
        <w:t xml:space="preserve">  1. User enters data in form</w:t>
      </w:r>
    </w:p>
    <w:p>
      <w:pPr>
        <w:spacing w:after="0" w:before="0" w:line="240" w:lineRule="auto"/>
        <w:ind w:left="57"/>
        <w:jc w:val="left"/>
        <w:shd w:val="clear" w:fill="F2F2F2"/>
      </w:pPr>
      <w:r>
        <w:rPr>
          <w:rFonts w:ascii="Consolas" w:hAnsi="Consolas" w:cs="Consolas"/>
          <w:b w:val="0"/>
          <w:i w:val="0"/>
          <w:sz w:val="15"/>
        </w:rPr>
        <w:t xml:space="preserve">  2. Debounce timer (30 seconds) triggers save</w:t>
      </w:r>
    </w:p>
    <w:p>
      <w:pPr>
        <w:spacing w:after="0" w:before="0" w:line="240" w:lineRule="auto"/>
        <w:ind w:left="57"/>
        <w:jc w:val="left"/>
        <w:shd w:val="clear" w:fill="F2F2F2"/>
      </w:pPr>
      <w:r>
        <w:rPr>
          <w:rFonts w:ascii="Consolas" w:hAnsi="Consolas" w:cs="Consolas"/>
          <w:b w:val="0"/>
          <w:i w:val="0"/>
          <w:sz w:val="15"/>
        </w:rPr>
        <w:t xml:space="preserve">  3. Draft saved to backend via API</w:t>
      </w:r>
    </w:p>
    <w:p>
      <w:pPr>
        <w:spacing w:after="0" w:before="0" w:line="240" w:lineRule="auto"/>
        <w:ind w:left="57"/>
        <w:jc w:val="left"/>
        <w:shd w:val="clear" w:fill="F2F2F2"/>
      </w:pPr>
      <w:r>
        <w:rPr>
          <w:rFonts w:ascii="Consolas" w:hAnsi="Consolas" w:cs="Consolas"/>
          <w:b w:val="0"/>
          <w:i w:val="0"/>
          <w:sz w:val="15"/>
        </w:rPr>
        <w:t xml:space="preserve">  4. Local storage backup (for offline resilience)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BACKEND (Rust)</w:t>
      </w:r>
    </w:p>
    <w:p>
      <w:pPr>
        <w:spacing w:after="0" w:before="0" w:line="240" w:lineRule="auto"/>
        <w:ind w:left="57"/>
        <w:jc w:val="left"/>
        <w:shd w:val="clear" w:fill="F2F2F2"/>
      </w:pPr>
      <w:r>
        <w:rPr>
          <w:rFonts w:ascii="Consolas" w:hAnsi="Consolas" w:cs="Consolas"/>
          <w:b w:val="0"/>
          <w:i w:val="0"/>
          <w:sz w:val="15"/>
        </w:rPr>
        <w:t xml:space="preserve">  1. Receive draft payload</w:t>
      </w:r>
    </w:p>
    <w:p>
      <w:pPr>
        <w:spacing w:after="0" w:before="0" w:line="240" w:lineRule="auto"/>
        <w:ind w:left="57"/>
        <w:jc w:val="left"/>
        <w:shd w:val="clear" w:fill="F2F2F2"/>
      </w:pPr>
      <w:r>
        <w:rPr>
          <w:rFonts w:ascii="Consolas" w:hAnsi="Consolas" w:cs="Consolas"/>
          <w:b w:val="0"/>
          <w:i w:val="0"/>
          <w:sz w:val="15"/>
        </w:rPr>
        <w:t xml:space="preserve">  2. Validate ownership (buyer_tenant_id)</w:t>
      </w:r>
    </w:p>
    <w:p>
      <w:pPr>
        <w:spacing w:after="0" w:before="0" w:line="240" w:lineRule="auto"/>
        <w:ind w:left="57"/>
        <w:jc w:val="left"/>
        <w:shd w:val="clear" w:fill="F2F2F2"/>
      </w:pPr>
      <w:r>
        <w:rPr>
          <w:rFonts w:ascii="Consolas" w:hAnsi="Consolas" w:cs="Consolas"/>
          <w:b w:val="0"/>
          <w:i w:val="0"/>
          <w:sz w:val="15"/>
        </w:rPr>
        <w:t xml:space="preserve">  3. Store in trade_requests table (status = 'DRAFT')</w:t>
      </w:r>
    </w:p>
    <w:p>
      <w:pPr>
        <w:spacing w:after="0" w:before="0" w:line="240" w:lineRule="auto"/>
        <w:ind w:left="57"/>
        <w:jc w:val="left"/>
        <w:shd w:val="clear" w:fill="F2F2F2"/>
      </w:pPr>
      <w:r>
        <w:rPr>
          <w:rFonts w:ascii="Consolas" w:hAnsi="Consolas" w:cs="Consolas"/>
          <w:b w:val="0"/>
          <w:i w:val="0"/>
          <w:sz w:val="15"/>
        </w:rPr>
        <w:t xml:space="preserve">  4. Update draft_history with snapshot</w:t>
      </w:r>
    </w:p>
    <w:p>
      <w:pPr>
        <w:spacing w:after="0" w:before="0" w:line="240" w:lineRule="auto"/>
        <w:ind w:left="57"/>
        <w:jc w:val="left"/>
        <w:shd w:val="clear" w:fill="F2F2F2"/>
      </w:pPr>
      <w:r>
        <w:rPr>
          <w:rFonts w:ascii="Consolas" w:hAnsi="Consolas" w:cs="Consolas"/>
          <w:b w:val="0"/>
          <w:i w:val="0"/>
          <w:sz w:val="15"/>
        </w:rPr>
        <w:t xml:space="preserve">  5. Schedule expiry (14 days)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DATABASE (PostgreSQL)</w:t>
      </w:r>
    </w:p>
    <w:p>
      <w:pPr>
        <w:spacing w:after="0" w:before="0" w:line="240" w:lineRule="auto"/>
        <w:ind w:left="57"/>
        <w:jc w:val="left"/>
        <w:shd w:val="clear" w:fill="F2F2F2"/>
      </w:pPr>
      <w:r>
        <w:rPr>
          <w:rFonts w:ascii="Consolas" w:hAnsi="Consolas" w:cs="Consolas"/>
          <w:b w:val="0"/>
          <w:i w:val="0"/>
          <w:sz w:val="15"/>
        </w:rPr>
        <w:t xml:space="preserve">  • trade_requests (status = 'DRAFT')</w:t>
      </w:r>
    </w:p>
    <w:p>
      <w:pPr>
        <w:spacing w:after="0" w:before="0" w:line="240" w:lineRule="auto"/>
        <w:ind w:left="57"/>
        <w:jc w:val="left"/>
        <w:shd w:val="clear" w:fill="F2F2F2"/>
      </w:pPr>
      <w:r>
        <w:rPr>
          <w:rFonts w:ascii="Consolas" w:hAnsi="Consolas" w:cs="Consolas"/>
          <w:b w:val="0"/>
          <w:i w:val="0"/>
          <w:sz w:val="15"/>
        </w:rPr>
        <w:t xml:space="preserve">  • draft_history (versioned snapshots)</w:t>
      </w:r>
    </w:p>
    <w:p>
      <w:pPr>
        <w:spacing w:after="0" w:before="0" w:line="240" w:lineRule="auto"/>
        <w:ind w:left="57"/>
        <w:jc w:val="left"/>
        <w:shd w:val="clear" w:fill="F2F2F2"/>
      </w:pPr>
      <w:r>
        <w:rPr>
          <w:rFonts w:ascii="Consolas" w:hAnsi="Consolas" w:cs="Consolas"/>
          <w:b w:val="0"/>
          <w:i w:val="0"/>
          <w:sz w:val="15"/>
        </w:rPr>
        <w:t xml:space="preserve">  • draft_reminders (scheduled notifications)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SMART INBOX (Recovery)</w:t>
      </w:r>
    </w:p>
    <w:p>
      <w:pPr>
        <w:spacing w:after="0" w:before="0" w:line="240" w:lineRule="auto"/>
        <w:ind w:left="57"/>
        <w:jc w:val="left"/>
        <w:shd w:val="clear" w:fill="F2F2F2"/>
      </w:pPr>
      <w:r>
        <w:rPr>
          <w:rFonts w:ascii="Consolas" w:hAnsi="Consolas" w:cs="Consolas"/>
          <w:b w:val="0"/>
          <w:i w:val="0"/>
          <w:sz w:val="15"/>
        </w:rPr>
        <w:t xml:space="preserve">  1. Draft recovery item appears in inbox</w:t>
      </w:r>
    </w:p>
    <w:p>
      <w:pPr>
        <w:spacing w:after="0" w:before="0" w:line="240" w:lineRule="auto"/>
        <w:ind w:left="57"/>
        <w:jc w:val="left"/>
        <w:shd w:val="clear" w:fill="F2F2F2"/>
      </w:pPr>
      <w:r>
        <w:rPr>
          <w:rFonts w:ascii="Consolas" w:hAnsi="Consolas" w:cs="Consolas"/>
          <w:b w:val="0"/>
          <w:i w:val="0"/>
          <w:sz w:val="15"/>
        </w:rPr>
        <w:t xml:space="preserve">  2. One-click "Resume" loads draft</w:t>
      </w:r>
    </w:p>
    <w:p>
      <w:pPr>
        <w:spacing w:after="0" w:before="0" w:line="240" w:lineRule="auto"/>
        <w:ind w:left="57"/>
        <w:jc w:val="left"/>
        <w:shd w:val="clear" w:fill="F2F2F2"/>
      </w:pPr>
      <w:r>
        <w:rPr>
          <w:rFonts w:ascii="Consolas" w:hAnsi="Consolas" w:cs="Consolas"/>
          <w:b w:val="0"/>
          <w:i w:val="0"/>
          <w:sz w:val="15"/>
        </w:rPr>
        <w:t xml:space="preserve">  3. Reminders at 11 and 13 days</w:t>
      </w:r>
    </w:p>
    <w:p>
      <w:pPr>
        <w:spacing w:after="0" w:before="0" w:line="240" w:lineRule="auto"/>
        <w:ind w:left="57"/>
        <w:jc w:val="left"/>
        <w:shd w:val="clear" w:fill="F2F2F2"/>
      </w:pPr>
      <w:r>
        <w:rPr>
          <w:rFonts w:ascii="Consolas" w:hAnsi="Consolas" w:cs="Consolas"/>
          <w:b w:val="0"/>
          <w:i w:val="0"/>
          <w:sz w:val="15"/>
        </w:rPr>
        <w:t xml:space="preserve">  4. Expired draft notification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6.16.2.2 Auto-Save Trigger</w:t>
      </w:r>
    </w:p>
    <w:p>
      <w:pPr>
        <w:spacing w:after="80" w:line="293" w:lineRule="auto"/>
        <w:jc w:val="left"/>
      </w:pPr>
      <w:r>
        <w:rPr>
          <w:rFonts w:ascii="Times New Roman" w:hAnsi="Times New Roman" w:cs="Times New Roman"/>
          <w:b w:val="0"/>
          <w:i w:val="0"/>
          <w:sz w:val="22"/>
        </w:rPr>
        <w:t>Trigger conditions: form state changes (any field modified); debounce timer (30 seconds) expires; user navigates away from the page (beforeunload event); user clicks "Save Draft" (manual save).</w:t>
      </w:r>
    </w:p>
    <w:p>
      <w:pPr>
        <w:spacing w:after="80" w:line="293" w:lineRule="auto"/>
        <w:jc w:val="left"/>
      </w:pPr>
      <w:r>
        <w:rPr>
          <w:rFonts w:ascii="Times New Roman" w:hAnsi="Times New Roman" w:cs="Times New Roman"/>
          <w:b w:val="0"/>
          <w:i w:val="0"/>
          <w:sz w:val="22"/>
        </w:rPr>
        <w:t>Debounce implementation:</w:t>
      </w:r>
    </w:p>
    <w:p>
      <w:pPr>
        <w:spacing w:after="0" w:before="0" w:line="240" w:lineRule="auto"/>
        <w:ind w:left="57"/>
        <w:jc w:val="left"/>
        <w:shd w:val="clear" w:fill="F2F2F2"/>
      </w:pPr>
      <w:r>
        <w:rPr>
          <w:rFonts w:ascii="Consolas" w:hAnsi="Consolas" w:cs="Consolas"/>
          <w:b w:val="0"/>
          <w:i w:val="0"/>
          <w:sz w:val="15"/>
        </w:rPr>
        <w:t>// Pseudo-code: Debounce auto-save (React/TypeScript)</w:t>
      </w:r>
    </w:p>
    <w:p>
      <w:pPr>
        <w:spacing w:after="0" w:before="0" w:line="240" w:lineRule="auto"/>
        <w:ind w:left="57"/>
        <w:jc w:val="left"/>
        <w:shd w:val="clear" w:fill="F2F2F2"/>
      </w:pPr>
      <w:r>
        <w:rPr>
          <w:rFonts w:ascii="Consolas" w:hAnsi="Consolas" w:cs="Consolas"/>
          <w:b w:val="0"/>
          <w:i w:val="0"/>
          <w:sz w:val="15"/>
        </w:rPr>
        <w:t>import { useDebounce } from 'use-debounce';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function TradeRequestForm() {</w:t>
      </w:r>
    </w:p>
    <w:p>
      <w:pPr>
        <w:spacing w:after="0" w:before="0" w:line="240" w:lineRule="auto"/>
        <w:ind w:left="57"/>
        <w:jc w:val="left"/>
        <w:shd w:val="clear" w:fill="F2F2F2"/>
      </w:pPr>
      <w:r>
        <w:rPr>
          <w:rFonts w:ascii="Consolas" w:hAnsi="Consolas" w:cs="Consolas"/>
          <w:b w:val="0"/>
          <w:i w:val="0"/>
          <w:sz w:val="15"/>
        </w:rPr>
        <w:t xml:space="preserve">  const [formData, setFormData] = useState(initialData);</w:t>
      </w:r>
    </w:p>
    <w:p>
      <w:pPr>
        <w:spacing w:after="0" w:before="0" w:line="240" w:lineRule="auto"/>
        <w:ind w:left="57"/>
        <w:jc w:val="left"/>
        <w:shd w:val="clear" w:fill="F2F2F2"/>
      </w:pPr>
      <w:r>
        <w:rPr>
          <w:rFonts w:ascii="Consolas" w:hAnsi="Consolas" w:cs="Consolas"/>
          <w:b w:val="0"/>
          <w:i w:val="0"/>
          <w:sz w:val="15"/>
        </w:rPr>
        <w:t xml:space="preserve">  const [debouncedData] = useDebounce(formData, 30000); // 30 seconds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useEffect(() =&gt; {</w:t>
      </w:r>
    </w:p>
    <w:p>
      <w:pPr>
        <w:spacing w:after="0" w:before="0" w:line="240" w:lineRule="auto"/>
        <w:ind w:left="57"/>
        <w:jc w:val="left"/>
        <w:shd w:val="clear" w:fill="F2F2F2"/>
      </w:pPr>
      <w:r>
        <w:rPr>
          <w:rFonts w:ascii="Consolas" w:hAnsi="Consolas" w:cs="Consolas"/>
          <w:b w:val="0"/>
          <w:i w:val="0"/>
          <w:sz w:val="15"/>
        </w:rPr>
        <w:t xml:space="preserve">    if (debouncedData &amp;&amp; !isSubmitting) {</w:t>
      </w:r>
    </w:p>
    <w:p>
      <w:pPr>
        <w:spacing w:after="0" w:before="0" w:line="240" w:lineRule="auto"/>
        <w:ind w:left="57"/>
        <w:jc w:val="left"/>
        <w:shd w:val="clear" w:fill="F2F2F2"/>
      </w:pPr>
      <w:r>
        <w:rPr>
          <w:rFonts w:ascii="Consolas" w:hAnsi="Consolas" w:cs="Consolas"/>
          <w:b w:val="0"/>
          <w:i w:val="0"/>
          <w:sz w:val="15"/>
        </w:rPr>
        <w:t xml:space="preserve">      saveDraft(debouncedData);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[debouncedData]);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Beforeunload save</w:t>
      </w:r>
    </w:p>
    <w:p>
      <w:pPr>
        <w:spacing w:after="0" w:before="0" w:line="240" w:lineRule="auto"/>
        <w:ind w:left="57"/>
        <w:jc w:val="left"/>
        <w:shd w:val="clear" w:fill="F2F2F2"/>
      </w:pPr>
      <w:r>
        <w:rPr>
          <w:rFonts w:ascii="Consolas" w:hAnsi="Consolas" w:cs="Consolas"/>
          <w:b w:val="0"/>
          <w:i w:val="0"/>
          <w:sz w:val="15"/>
        </w:rPr>
        <w:t xml:space="preserve">  useEffect(() =&gt; {</w:t>
      </w:r>
    </w:p>
    <w:p>
      <w:pPr>
        <w:spacing w:after="0" w:before="0" w:line="240" w:lineRule="auto"/>
        <w:ind w:left="57"/>
        <w:jc w:val="left"/>
        <w:shd w:val="clear" w:fill="F2F2F2"/>
      </w:pPr>
      <w:r>
        <w:rPr>
          <w:rFonts w:ascii="Consolas" w:hAnsi="Consolas" w:cs="Consolas"/>
          <w:b w:val="0"/>
          <w:i w:val="0"/>
          <w:sz w:val="15"/>
        </w:rPr>
        <w:t xml:space="preserve">    const handleBeforeUnload = () =&gt; {</w:t>
      </w:r>
    </w:p>
    <w:p>
      <w:pPr>
        <w:spacing w:after="0" w:before="0" w:line="240" w:lineRule="auto"/>
        <w:ind w:left="57"/>
        <w:jc w:val="left"/>
        <w:shd w:val="clear" w:fill="F2F2F2"/>
      </w:pPr>
      <w:r>
        <w:rPr>
          <w:rFonts w:ascii="Consolas" w:hAnsi="Consolas" w:cs="Consolas"/>
          <w:b w:val="0"/>
          <w:i w:val="0"/>
          <w:sz w:val="15"/>
        </w:rPr>
        <w:t xml:space="preserve">      if (formData &amp;&amp; !isSubmitting) {</w:t>
      </w:r>
    </w:p>
    <w:p>
      <w:pPr>
        <w:spacing w:after="0" w:before="0" w:line="240" w:lineRule="auto"/>
        <w:ind w:left="57"/>
        <w:jc w:val="left"/>
        <w:shd w:val="clear" w:fill="F2F2F2"/>
      </w:pPr>
      <w:r>
        <w:rPr>
          <w:rFonts w:ascii="Consolas" w:hAnsi="Consolas" w:cs="Consolas"/>
          <w:b w:val="0"/>
          <w:i w:val="0"/>
          <w:sz w:val="15"/>
        </w:rPr>
        <w:t xml:space="preserve">        navigator.sendBeacon('/api/v1/trade/draft', JSON.stringify(formData));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window.addEventListener('beforeunload', handleBeforeUnload);</w:t>
      </w:r>
    </w:p>
    <w:p>
      <w:pPr>
        <w:spacing w:after="0" w:before="0" w:line="240" w:lineRule="auto"/>
        <w:ind w:left="57"/>
        <w:jc w:val="left"/>
        <w:shd w:val="clear" w:fill="F2F2F2"/>
      </w:pPr>
      <w:r>
        <w:rPr>
          <w:rFonts w:ascii="Consolas" w:hAnsi="Consolas" w:cs="Consolas"/>
          <w:b w:val="0"/>
          <w:i w:val="0"/>
          <w:sz w:val="15"/>
        </w:rPr>
        <w:t xml:space="preserve">    return () =&gt; window.removeEventListener('beforeunload', handleBeforeUnload);</w:t>
      </w:r>
    </w:p>
    <w:p>
      <w:pPr>
        <w:spacing w:after="0" w:before="0" w:line="240" w:lineRule="auto"/>
        <w:ind w:left="57"/>
        <w:jc w:val="left"/>
        <w:shd w:val="clear" w:fill="F2F2F2"/>
      </w:pPr>
      <w:r>
        <w:rPr>
          <w:rFonts w:ascii="Consolas" w:hAnsi="Consolas" w:cs="Consolas"/>
          <w:b w:val="0"/>
          <w:i w:val="0"/>
          <w:sz w:val="15"/>
        </w:rPr>
        <w:t xml:space="preserve">  }, [formData]);</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6.16.2.3 Draft Storage Structure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"draft_id": "DRAFT-2026-001",</w:t>
      </w:r>
    </w:p>
    <w:p>
      <w:pPr>
        <w:spacing w:after="0" w:before="0" w:line="240" w:lineRule="auto"/>
        <w:ind w:left="57"/>
        <w:jc w:val="left"/>
        <w:shd w:val="clear" w:fill="F2F2F2"/>
      </w:pPr>
      <w:r>
        <w:rPr>
          <w:rFonts w:ascii="Consolas" w:hAnsi="Consolas" w:cs="Consolas"/>
          <w:b w:val="0"/>
          <w:i w:val="0"/>
          <w:sz w:val="15"/>
        </w:rPr>
        <w:t xml:space="preserve">  "trade_request_id": null,</w:t>
      </w:r>
    </w:p>
    <w:p>
      <w:pPr>
        <w:spacing w:after="0" w:before="0" w:line="240" w:lineRule="auto"/>
        <w:ind w:left="57"/>
        <w:jc w:val="left"/>
        <w:shd w:val="clear" w:fill="F2F2F2"/>
      </w:pPr>
      <w:r>
        <w:rPr>
          <w:rFonts w:ascii="Consolas" w:hAnsi="Consolas" w:cs="Consolas"/>
          <w:b w:val="0"/>
          <w:i w:val="0"/>
          <w:sz w:val="15"/>
        </w:rPr>
        <w:t xml:space="preserve">  "buyer_tenant_id": "SGTX-EG-TRD-001234",</w:t>
      </w:r>
    </w:p>
    <w:p>
      <w:pPr>
        <w:spacing w:after="0" w:before="0" w:line="240" w:lineRule="auto"/>
        <w:ind w:left="57"/>
        <w:jc w:val="left"/>
        <w:shd w:val="clear" w:fill="F2F2F2"/>
      </w:pPr>
      <w:r>
        <w:rPr>
          <w:rFonts w:ascii="Consolas" w:hAnsi="Consolas" w:cs="Consolas"/>
          <w:b w:val="0"/>
          <w:i w:val="0"/>
          <w:sz w:val="15"/>
        </w:rPr>
        <w:t xml:space="preserve">  "created_by_employee_id": "emp-001",</w:t>
      </w:r>
    </w:p>
    <w:p>
      <w:pPr>
        <w:spacing w:after="0" w:before="0" w:line="240" w:lineRule="auto"/>
        <w:ind w:left="57"/>
        <w:jc w:val="left"/>
        <w:shd w:val="clear" w:fill="F2F2F2"/>
      </w:pPr>
      <w:r>
        <w:rPr>
          <w:rFonts w:ascii="Consolas" w:hAnsi="Consolas" w:cs="Consolas"/>
          <w:b w:val="0"/>
          <w:i w:val="0"/>
          <w:sz w:val="15"/>
        </w:rPr>
        <w:t xml:space="preserve">  "created_at": "2026-06-20T10:30:00Z",</w:t>
      </w:r>
    </w:p>
    <w:p>
      <w:pPr>
        <w:spacing w:after="0" w:before="0" w:line="240" w:lineRule="auto"/>
        <w:ind w:left="57"/>
        <w:jc w:val="left"/>
        <w:shd w:val="clear" w:fill="F2F2F2"/>
      </w:pPr>
      <w:r>
        <w:rPr>
          <w:rFonts w:ascii="Consolas" w:hAnsi="Consolas" w:cs="Consolas"/>
          <w:b w:val="0"/>
          <w:i w:val="0"/>
          <w:sz w:val="15"/>
        </w:rPr>
        <w:t xml:space="preserve">  "updated_at": "2026-06-20T11:00:00Z",</w:t>
      </w:r>
    </w:p>
    <w:p>
      <w:pPr>
        <w:spacing w:after="0" w:before="0" w:line="240" w:lineRule="auto"/>
        <w:ind w:left="57"/>
        <w:jc w:val="left"/>
        <w:shd w:val="clear" w:fill="F2F2F2"/>
      </w:pPr>
      <w:r>
        <w:rPr>
          <w:rFonts w:ascii="Consolas" w:hAnsi="Consolas" w:cs="Consolas"/>
          <w:b w:val="0"/>
          <w:i w:val="0"/>
          <w:sz w:val="15"/>
        </w:rPr>
        <w:t xml:space="preserve">  "expires_at": "2026-07-04T10:30:00Z",</w:t>
      </w:r>
    </w:p>
    <w:p>
      <w:pPr>
        <w:spacing w:after="0" w:before="0" w:line="240" w:lineRule="auto"/>
        <w:ind w:left="57"/>
        <w:jc w:val="left"/>
        <w:shd w:val="clear" w:fill="F2F2F2"/>
      </w:pPr>
      <w:r>
        <w:rPr>
          <w:rFonts w:ascii="Consolas" w:hAnsi="Consolas" w:cs="Consolas"/>
          <w:b w:val="0"/>
          <w:i w:val="0"/>
          <w:sz w:val="15"/>
        </w:rPr>
        <w:t xml:space="preserve">  "last_activity_at": "2026-06-20T11:00:00Z",</w:t>
      </w:r>
    </w:p>
    <w:p>
      <w:pPr>
        <w:spacing w:after="0" w:before="0" w:line="240" w:lineRule="auto"/>
        <w:ind w:left="57"/>
        <w:jc w:val="left"/>
        <w:shd w:val="clear" w:fill="F2F2F2"/>
      </w:pPr>
      <w:r>
        <w:rPr>
          <w:rFonts w:ascii="Consolas" w:hAnsi="Consolas" w:cs="Consolas"/>
          <w:b w:val="0"/>
          <w:i w:val="0"/>
          <w:sz w:val="15"/>
        </w:rPr>
        <w:t xml:space="preserve">  "version": 3,</w:t>
      </w:r>
    </w:p>
    <w:p>
      <w:pPr>
        <w:spacing w:after="0" w:before="0" w:line="240" w:lineRule="auto"/>
        <w:ind w:left="57"/>
        <w:jc w:val="left"/>
        <w:shd w:val="clear" w:fill="F2F2F2"/>
      </w:pPr>
      <w:r>
        <w:rPr>
          <w:rFonts w:ascii="Consolas" w:hAnsi="Consolas" w:cs="Consolas"/>
          <w:b w:val="0"/>
          <w:i w:val="0"/>
          <w:sz w:val="15"/>
        </w:rPr>
        <w:t xml:space="preserve">  "draft_data": {</w:t>
      </w:r>
    </w:p>
    <w:p>
      <w:pPr>
        <w:spacing w:after="0" w:before="0" w:line="240" w:lineRule="auto"/>
        <w:ind w:left="57"/>
        <w:jc w:val="left"/>
        <w:shd w:val="clear" w:fill="F2F2F2"/>
      </w:pPr>
      <w:r>
        <w:rPr>
          <w:rFonts w:ascii="Consolas" w:hAnsi="Consolas" w:cs="Consolas"/>
          <w:b w:val="0"/>
          <w:i w:val="0"/>
          <w:sz w:val="15"/>
        </w:rPr>
        <w:t xml:space="preserve">    "seller_gtid": "SGTX-VN-TRD-002139-7F3A",</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"containers":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"container_number": 1,</w:t>
      </w:r>
    </w:p>
    <w:p>
      <w:pPr>
        <w:spacing w:after="0" w:before="0" w:line="240" w:lineRule="auto"/>
        <w:ind w:left="57"/>
        <w:jc w:val="left"/>
        <w:shd w:val="clear" w:fill="F2F2F2"/>
      </w:pPr>
      <w:r>
        <w:rPr>
          <w:rFonts w:ascii="Consolas" w:hAnsi="Consolas" w:cs="Consolas"/>
          <w:b w:val="0"/>
          <w:i w:val="0"/>
          <w:sz w:val="15"/>
        </w:rPr>
        <w:t xml:space="preserve">        "origin_country": "VN",</w:t>
      </w:r>
    </w:p>
    <w:p>
      <w:pPr>
        <w:spacing w:after="0" w:before="0" w:line="240" w:lineRule="auto"/>
        <w:ind w:left="57"/>
        <w:jc w:val="left"/>
        <w:shd w:val="clear" w:fill="F2F2F2"/>
      </w:pPr>
      <w:r>
        <w:rPr>
          <w:rFonts w:ascii="Consolas" w:hAnsi="Consolas" w:cs="Consolas"/>
          <w:b w:val="0"/>
          <w:i w:val="0"/>
          <w:sz w:val="15"/>
        </w:rPr>
        <w:t xml:space="preserve">        "destination_country": "EG",</w:t>
      </w:r>
    </w:p>
    <w:p>
      <w:pPr>
        <w:spacing w:after="0" w:before="0" w:line="240" w:lineRule="auto"/>
        <w:ind w:left="57"/>
        <w:jc w:val="left"/>
        <w:shd w:val="clear" w:fill="F2F2F2"/>
      </w:pPr>
      <w:r>
        <w:rPr>
          <w:rFonts w:ascii="Consolas" w:hAnsi="Consolas" w:cs="Consolas"/>
          <w:b w:val="0"/>
          <w:i w:val="0"/>
          <w:sz w:val="15"/>
        </w:rPr>
        <w:t xml:space="preserve">        "port_of_discharge": "ALEX",</w:t>
      </w:r>
    </w:p>
    <w:p>
      <w:pPr>
        <w:spacing w:after="0" w:before="0" w:line="240" w:lineRule="auto"/>
        <w:ind w:left="57"/>
        <w:jc w:val="left"/>
        <w:shd w:val="clear" w:fill="F2F2F2"/>
      </w:pPr>
      <w:r>
        <w:rPr>
          <w:rFonts w:ascii="Consolas" w:hAnsi="Consolas" w:cs="Consolas"/>
          <w:b w:val="0"/>
          <w:i w:val="0"/>
          <w:sz w:val="15"/>
        </w:rPr>
        <w:t xml:space="preserve">        "palletized": true,</w:t>
      </w:r>
    </w:p>
    <w:p>
      <w:pPr>
        <w:spacing w:after="0" w:before="0" w:line="240" w:lineRule="auto"/>
        <w:ind w:left="57"/>
        <w:jc w:val="left"/>
        <w:shd w:val="clear" w:fill="F2F2F2"/>
      </w:pPr>
      <w:r>
        <w:rPr>
          <w:rFonts w:ascii="Consolas" w:hAnsi="Consolas" w:cs="Consolas"/>
          <w:b w:val="0"/>
          <w:i w:val="0"/>
          <w:sz w:val="15"/>
        </w:rPr>
        <w:t xml:space="preserve">        "pallet_type": "EUR",</w:t>
      </w:r>
    </w:p>
    <w:p>
      <w:pPr>
        <w:spacing w:after="0" w:before="0" w:line="240" w:lineRule="auto"/>
        <w:ind w:left="57"/>
        <w:jc w:val="left"/>
        <w:shd w:val="clear" w:fill="F2F2F2"/>
      </w:pPr>
      <w:r>
        <w:rPr>
          <w:rFonts w:ascii="Consolas" w:hAnsi="Consolas" w:cs="Consolas"/>
          <w:b w:val="0"/>
          <w:i w:val="0"/>
          <w:sz w:val="15"/>
        </w:rPr>
        <w:t xml:space="preserve">        "commodities":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"commodity_type": "Fresh Fruits",</w:t>
      </w:r>
    </w:p>
    <w:p>
      <w:pPr>
        <w:spacing w:after="0" w:before="0" w:line="240" w:lineRule="auto"/>
        <w:ind w:left="57"/>
        <w:jc w:val="left"/>
        <w:shd w:val="clear" w:fill="F2F2F2"/>
      </w:pPr>
      <w:r>
        <w:rPr>
          <w:rFonts w:ascii="Consolas" w:hAnsi="Consolas" w:cs="Consolas"/>
          <w:b w:val="0"/>
          <w:i w:val="0"/>
          <w:sz w:val="15"/>
        </w:rPr>
        <w:t xml:space="preserve">            "product_name": "Valencia Oranges",</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"requested_quantity": 100,</w:t>
      </w:r>
    </w:p>
    <w:p>
      <w:pPr>
        <w:spacing w:after="0" w:before="0" w:line="240" w:lineRule="auto"/>
        <w:ind w:left="57"/>
        <w:jc w:val="left"/>
        <w:shd w:val="clear" w:fill="F2F2F2"/>
      </w:pPr>
      <w:r>
        <w:rPr>
          <w:rFonts w:ascii="Consolas" w:hAnsi="Consolas" w:cs="Consolas"/>
          <w:b w:val="0"/>
          <w:i w:val="0"/>
          <w:sz w:val="15"/>
        </w:rPr>
        <w:t xml:space="preserve">            "quantity_unit": "MT",</w:t>
      </w:r>
    </w:p>
    <w:p>
      <w:pPr>
        <w:spacing w:after="0" w:before="0" w:line="240" w:lineRule="auto"/>
        <w:ind w:left="57"/>
        <w:jc w:val="left"/>
        <w:shd w:val="clear" w:fill="F2F2F2"/>
      </w:pPr>
      <w:r>
        <w:rPr>
          <w:rFonts w:ascii="Consolas" w:hAnsi="Consolas" w:cs="Consolas"/>
          <w:b w:val="0"/>
          <w:i w:val="0"/>
          <w:sz w:val="15"/>
        </w:rPr>
        <w:t xml:space="preserve">            "tolerance": 5,</w:t>
      </w:r>
    </w:p>
    <w:p>
      <w:pPr>
        <w:spacing w:after="0" w:before="0" w:line="240" w:lineRule="auto"/>
        <w:ind w:left="57"/>
        <w:jc w:val="left"/>
        <w:shd w:val="clear" w:fill="F2F2F2"/>
      </w:pPr>
      <w:r>
        <w:rPr>
          <w:rFonts w:ascii="Consolas" w:hAnsi="Consolas" w:cs="Consolas"/>
          <w:b w:val="0"/>
          <w:i w:val="0"/>
          <w:sz w:val="15"/>
        </w:rPr>
        <w:t xml:space="preserve">            "partial_shipment_allowed": true,</w:t>
      </w:r>
    </w:p>
    <w:p>
      <w:pPr>
        <w:spacing w:after="0" w:before="0" w:line="240" w:lineRule="auto"/>
        <w:ind w:left="57"/>
        <w:jc w:val="left"/>
        <w:shd w:val="clear" w:fill="F2F2F2"/>
      </w:pPr>
      <w:r>
        <w:rPr>
          <w:rFonts w:ascii="Consolas" w:hAnsi="Consolas" w:cs="Consolas"/>
          <w:b w:val="0"/>
          <w:i w:val="0"/>
          <w:sz w:val="15"/>
        </w:rPr>
        <w:t xml:space="preserve">            "transshipment_allowed": false,</w:t>
      </w:r>
    </w:p>
    <w:p>
      <w:pPr>
        <w:spacing w:after="0" w:before="0" w:line="240" w:lineRule="auto"/>
        <w:ind w:left="57"/>
        <w:jc w:val="left"/>
        <w:shd w:val="clear" w:fill="F2F2F2"/>
      </w:pPr>
      <w:r>
        <w:rPr>
          <w:rFonts w:ascii="Consolas" w:hAnsi="Consolas" w:cs="Consolas"/>
          <w:b w:val="0"/>
          <w:i w:val="0"/>
          <w:sz w:val="15"/>
        </w:rPr>
        <w:t xml:space="preserve">            "packaging_type": "Palletized",</w:t>
      </w:r>
    </w:p>
    <w:p>
      <w:pPr>
        <w:spacing w:after="0" w:before="0" w:line="240" w:lineRule="auto"/>
        <w:ind w:left="57"/>
        <w:jc w:val="left"/>
        <w:shd w:val="clear" w:fill="F2F2F2"/>
      </w:pPr>
      <w:r>
        <w:rPr>
          <w:rFonts w:ascii="Consolas" w:hAnsi="Consolas" w:cs="Consolas"/>
          <w:b w:val="0"/>
          <w:i w:val="0"/>
          <w:sz w:val="15"/>
        </w:rPr>
        <w:t xml:space="preserve">            "pallet_count": 22,</w:t>
      </w:r>
    </w:p>
    <w:p>
      <w:pPr>
        <w:spacing w:after="0" w:before="0" w:line="240" w:lineRule="auto"/>
        <w:ind w:left="57"/>
        <w:jc w:val="left"/>
        <w:shd w:val="clear" w:fill="F2F2F2"/>
      </w:pPr>
      <w:r>
        <w:rPr>
          <w:rFonts w:ascii="Consolas" w:hAnsi="Consolas" w:cs="Consolas"/>
          <w:b w:val="0"/>
          <w:i w:val="0"/>
          <w:sz w:val="15"/>
        </w:rPr>
        <w:t xml:space="preserve">            "net_weight_per_carton_kg": 10,</w:t>
      </w:r>
    </w:p>
    <w:p>
      <w:pPr>
        <w:spacing w:after="0" w:before="0" w:line="240" w:lineRule="auto"/>
        <w:ind w:left="57"/>
        <w:jc w:val="left"/>
        <w:shd w:val="clear" w:fill="F2F2F2"/>
      </w:pPr>
      <w:r>
        <w:rPr>
          <w:rFonts w:ascii="Consolas" w:hAnsi="Consolas" w:cs="Consolas"/>
          <w:b w:val="0"/>
          <w:i w:val="0"/>
          <w:sz w:val="15"/>
        </w:rPr>
        <w:t xml:space="preserve">            "acceptance_criteria": {</w:t>
      </w:r>
    </w:p>
    <w:p>
      <w:pPr>
        <w:spacing w:after="0" w:before="0" w:line="240" w:lineRule="auto"/>
        <w:ind w:left="57"/>
        <w:jc w:val="left"/>
        <w:shd w:val="clear" w:fill="F2F2F2"/>
      </w:pPr>
      <w:r>
        <w:rPr>
          <w:rFonts w:ascii="Consolas" w:hAnsi="Consolas" w:cs="Consolas"/>
          <w:b w:val="0"/>
          <w:i w:val="0"/>
          <w:sz w:val="15"/>
        </w:rPr>
        <w:t xml:space="preserve">              "moisture": { "limit": "Max 14%", "unit": "%" },</w:t>
      </w:r>
    </w:p>
    <w:p>
      <w:pPr>
        <w:spacing w:after="0" w:before="0" w:line="240" w:lineRule="auto"/>
        <w:ind w:left="57"/>
        <w:jc w:val="left"/>
        <w:shd w:val="clear" w:fill="F2F2F2"/>
      </w:pPr>
      <w:r>
        <w:rPr>
          <w:rFonts w:ascii="Consolas" w:hAnsi="Consolas" w:cs="Consolas"/>
          <w:b w:val="0"/>
          <w:i w:val="0"/>
          <w:sz w:val="15"/>
        </w:rPr>
        <w:t xml:space="preserve">              "protein": { "limit": "Min 12%", "unit": "%" },</w:t>
      </w:r>
    </w:p>
    <w:p>
      <w:pPr>
        <w:spacing w:after="0" w:before="0" w:line="240" w:lineRule="auto"/>
        <w:ind w:left="57"/>
        <w:jc w:val="left"/>
        <w:shd w:val="clear" w:fill="F2F2F2"/>
      </w:pPr>
      <w:r>
        <w:rPr>
          <w:rFonts w:ascii="Consolas" w:hAnsi="Consolas" w:cs="Consolas"/>
          <w:b w:val="0"/>
          <w:i w:val="0"/>
          <w:sz w:val="15"/>
        </w:rPr>
        <w:t xml:space="preserve">              "purity": { "limit": "Min 99%", "unit": "%"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"transport_mode": "OCEAN",</w:t>
      </w:r>
    </w:p>
    <w:p>
      <w:pPr>
        <w:spacing w:after="0" w:before="0" w:line="240" w:lineRule="auto"/>
        <w:ind w:left="57"/>
        <w:jc w:val="left"/>
        <w:shd w:val="clear" w:fill="F2F2F2"/>
      </w:pPr>
      <w:r>
        <w:rPr>
          <w:rFonts w:ascii="Consolas" w:hAnsi="Consolas" w:cs="Consolas"/>
          <w:b w:val="0"/>
          <w:i w:val="0"/>
          <w:sz w:val="15"/>
        </w:rPr>
        <w:t xml:space="preserve">    "container_preferences": ["40FT_REEFER"],</w:t>
      </w:r>
    </w:p>
    <w:p>
      <w:pPr>
        <w:spacing w:after="0" w:before="0" w:line="240" w:lineRule="auto"/>
        <w:ind w:left="57"/>
        <w:jc w:val="left"/>
        <w:shd w:val="clear" w:fill="F2F2F2"/>
      </w:pPr>
      <w:r>
        <w:rPr>
          <w:rFonts w:ascii="Consolas" w:hAnsi="Consolas" w:cs="Consolas"/>
          <w:b w:val="0"/>
          <w:i w:val="0"/>
          <w:sz w:val="15"/>
        </w:rPr>
        <w:t xml:space="preserve">    "earliest_delivery_date": "2026-07-10",</w:t>
      </w:r>
    </w:p>
    <w:p>
      <w:pPr>
        <w:spacing w:after="0" w:before="0" w:line="240" w:lineRule="auto"/>
        <w:ind w:left="57"/>
        <w:jc w:val="left"/>
        <w:shd w:val="clear" w:fill="F2F2F2"/>
      </w:pPr>
      <w:r>
        <w:rPr>
          <w:rFonts w:ascii="Consolas" w:hAnsi="Consolas" w:cs="Consolas"/>
          <w:b w:val="0"/>
          <w:i w:val="0"/>
          <w:sz w:val="15"/>
        </w:rPr>
        <w:t xml:space="preserve">    "preferred_delivery_date": "2026-07-15",</w:t>
      </w:r>
    </w:p>
    <w:p>
      <w:pPr>
        <w:spacing w:after="0" w:before="0" w:line="240" w:lineRule="auto"/>
        <w:ind w:left="57"/>
        <w:jc w:val="left"/>
        <w:shd w:val="clear" w:fill="F2F2F2"/>
      </w:pPr>
      <w:r>
        <w:rPr>
          <w:rFonts w:ascii="Consolas" w:hAnsi="Consolas" w:cs="Consolas"/>
          <w:b w:val="0"/>
          <w:i w:val="0"/>
          <w:sz w:val="15"/>
        </w:rPr>
        <w:t xml:space="preserve">    "latest_delivery_date": "2026-07-20",</w:t>
      </w:r>
    </w:p>
    <w:p>
      <w:pPr>
        <w:spacing w:after="0" w:before="0" w:line="240" w:lineRule="auto"/>
        <w:ind w:left="57"/>
        <w:jc w:val="left"/>
        <w:shd w:val="clear" w:fill="F2F2F2"/>
      </w:pPr>
      <w:r>
        <w:rPr>
          <w:rFonts w:ascii="Consolas" w:hAnsi="Consolas" w:cs="Consolas"/>
          <w:b w:val="0"/>
          <w:i w:val="0"/>
          <w:sz w:val="15"/>
        </w:rPr>
        <w:t xml:space="preserve">    "insurance_requirement": "REQUIRED",</w:t>
      </w:r>
    </w:p>
    <w:p>
      <w:pPr>
        <w:spacing w:after="0" w:before="0" w:line="240" w:lineRule="auto"/>
        <w:ind w:left="57"/>
        <w:jc w:val="left"/>
        <w:shd w:val="clear" w:fill="F2F2F2"/>
      </w:pPr>
      <w:r>
        <w:rPr>
          <w:rFonts w:ascii="Consolas" w:hAnsi="Consolas" w:cs="Consolas"/>
          <w:b w:val="0"/>
          <w:i w:val="0"/>
          <w:sz w:val="15"/>
        </w:rPr>
        <w:t xml:space="preserve">    "responsible_party": "ACCORDING_TO_INCOTERM",</w:t>
      </w:r>
    </w:p>
    <w:p>
      <w:pPr>
        <w:spacing w:after="0" w:before="0" w:line="240" w:lineRule="auto"/>
        <w:ind w:left="57"/>
        <w:jc w:val="left"/>
        <w:shd w:val="clear" w:fill="F2F2F2"/>
      </w:pPr>
      <w:r>
        <w:rPr>
          <w:rFonts w:ascii="Consolas" w:hAnsi="Consolas" w:cs="Consolas"/>
          <w:b w:val="0"/>
          <w:i w:val="0"/>
          <w:sz w:val="15"/>
        </w:rPr>
        <w:t xml:space="preserve">    "settlement_structure": "DOCUMENTARY_COLLECTION",</w:t>
      </w:r>
    </w:p>
    <w:p>
      <w:pPr>
        <w:spacing w:after="0" w:before="0" w:line="240" w:lineRule="auto"/>
        <w:ind w:left="57"/>
        <w:jc w:val="left"/>
        <w:shd w:val="clear" w:fill="F2F2F2"/>
      </w:pPr>
      <w:r>
        <w:rPr>
          <w:rFonts w:ascii="Consolas" w:hAnsi="Consolas" w:cs="Consolas"/>
          <w:b w:val="0"/>
          <w:i w:val="0"/>
          <w:sz w:val="15"/>
        </w:rPr>
        <w:t xml:space="preserve">    "payment_timing": "AGAINST_DOCUMENTS",</w:t>
      </w:r>
    </w:p>
    <w:p>
      <w:pPr>
        <w:spacing w:after="0" w:before="0" w:line="240" w:lineRule="auto"/>
        <w:ind w:left="57"/>
        <w:jc w:val="left"/>
        <w:shd w:val="clear" w:fill="F2F2F2"/>
      </w:pPr>
      <w:r>
        <w:rPr>
          <w:rFonts w:ascii="Consolas" w:hAnsi="Consolas" w:cs="Consolas"/>
          <w:b w:val="0"/>
          <w:i w:val="0"/>
          <w:sz w:val="15"/>
        </w:rPr>
        <w:t xml:space="preserve">    "credit_period": "30_DAYS",</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"settlement_flexibility": "FLEXIBLE",</w:t>
      </w:r>
    </w:p>
    <w:p>
      <w:pPr>
        <w:spacing w:after="0" w:before="0" w:line="240" w:lineRule="auto"/>
        <w:ind w:left="57"/>
        <w:jc w:val="left"/>
        <w:shd w:val="clear" w:fill="F2F2F2"/>
      </w:pPr>
      <w:r>
        <w:rPr>
          <w:rFonts w:ascii="Consolas" w:hAnsi="Consolas" w:cs="Consolas"/>
          <w:b w:val="0"/>
          <w:i w:val="0"/>
          <w:sz w:val="15"/>
        </w:rPr>
        <w:t xml:space="preserve">    "required_documents": [</w:t>
      </w:r>
    </w:p>
    <w:p>
      <w:pPr>
        <w:spacing w:after="0" w:before="0" w:line="240" w:lineRule="auto"/>
        <w:ind w:left="57"/>
        <w:jc w:val="left"/>
        <w:shd w:val="clear" w:fill="F2F2F2"/>
      </w:pPr>
      <w:r>
        <w:rPr>
          <w:rFonts w:ascii="Consolas" w:hAnsi="Consolas" w:cs="Consolas"/>
          <w:b w:val="0"/>
          <w:i w:val="0"/>
          <w:sz w:val="15"/>
        </w:rPr>
        <w:t xml:space="preserve">      "COMMERCIAL_INVOICE", "PACKING_LIST", "BILL_OF_LADING", "CERTIFICATE_OF_ORIGIN"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"special_instructions": "Arabic labels mandatory. Halal certification required.",</w:t>
      </w:r>
    </w:p>
    <w:p>
      <w:pPr>
        <w:spacing w:after="0" w:before="0" w:line="240" w:lineRule="auto"/>
        <w:ind w:left="57"/>
        <w:jc w:val="left"/>
        <w:shd w:val="clear" w:fill="F2F2F2"/>
      </w:pPr>
      <w:r>
        <w:rPr>
          <w:rFonts w:ascii="Consolas" w:hAnsi="Consolas" w:cs="Consolas"/>
          <w:b w:val="0"/>
          <w:i w:val="0"/>
          <w:sz w:val="15"/>
        </w:rPr>
        <w:t xml:space="preserve">    "trade_criticality": "PRIORITY",</w:t>
      </w:r>
    </w:p>
    <w:p>
      <w:pPr>
        <w:spacing w:after="0" w:before="0" w:line="240" w:lineRule="auto"/>
        <w:ind w:left="57"/>
        <w:jc w:val="left"/>
        <w:shd w:val="clear" w:fill="F2F2F2"/>
      </w:pPr>
      <w:r>
        <w:rPr>
          <w:rFonts w:ascii="Consolas" w:hAnsi="Consolas" w:cs="Consolas"/>
          <w:b w:val="0"/>
          <w:i w:val="0"/>
          <w:sz w:val="15"/>
        </w:rPr>
        <w:t xml:space="preserve">    "multi_shipment_schedule": [</w:t>
      </w:r>
    </w:p>
    <w:p>
      <w:pPr>
        <w:spacing w:after="0" w:before="0" w:line="240" w:lineRule="auto"/>
        <w:ind w:left="57"/>
        <w:jc w:val="left"/>
        <w:shd w:val="clear" w:fill="F2F2F2"/>
      </w:pPr>
      <w:r>
        <w:rPr>
          <w:rFonts w:ascii="Consolas" w:hAnsi="Consolas" w:cs="Consolas"/>
          <w:b w:val="0"/>
          <w:i w:val="0"/>
          <w:sz w:val="15"/>
        </w:rPr>
        <w:t xml:space="preserve">      { "shipment_number": 1, "delivery_date": "2026-07-15", "port": "ALEX", "containers": 1 },</w:t>
      </w:r>
    </w:p>
    <w:p>
      <w:pPr>
        <w:spacing w:after="0" w:before="0" w:line="240" w:lineRule="auto"/>
        <w:ind w:left="57"/>
        <w:jc w:val="left"/>
        <w:shd w:val="clear" w:fill="F2F2F2"/>
      </w:pPr>
      <w:r>
        <w:rPr>
          <w:rFonts w:ascii="Consolas" w:hAnsi="Consolas" w:cs="Consolas"/>
          <w:b w:val="0"/>
          <w:i w:val="0"/>
          <w:sz w:val="15"/>
        </w:rPr>
        <w:t xml:space="preserve">      { "shipment_number": 2, "delivery_date": "2026-08-15", "port": "PSD", "containers": 1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6.16.3 Draft Recovery Workflow</w:t>
      </w:r>
    </w:p>
    <w:p>
      <w:pPr>
        <w:keepNext/>
        <w:spacing w:before="140" w:after="60"/>
        <w:outlineLvl w:val="3"/>
      </w:pPr>
      <w:r>
        <w:rPr>
          <w:rFonts w:ascii="Arial" w:hAnsi="Arial" w:cs="Arial"/>
          <w:b/>
          <w:i/>
          <w:color w:val="333333"/>
          <w:sz w:val="22"/>
        </w:rPr>
        <w:t>6.16.3.1 Smart Inbox Integration</w:t>
      </w:r>
    </w:p>
    <w:p>
      <w:pPr>
        <w:spacing w:after="80" w:line="293" w:lineRule="auto"/>
        <w:jc w:val="left"/>
      </w:pPr>
      <w:r>
        <w:rPr>
          <w:rFonts w:ascii="Times New Roman" w:hAnsi="Times New Roman" w:cs="Times New Roman"/>
          <w:b w:val="0"/>
          <w:i w:val="0"/>
          <w:sz w:val="22"/>
        </w:rPr>
        <w:t>When a draft exists, the Smart Inbox displays a low-priority recovery item (priority 30).</w:t>
      </w:r>
    </w:p>
    <w:p>
      <w:pPr>
        <w:spacing w:after="0" w:before="0" w:line="240" w:lineRule="auto"/>
        <w:ind w:left="57"/>
        <w:jc w:val="left"/>
        <w:shd w:val="clear" w:fill="F2F2F2"/>
      </w:pPr>
      <w:r>
        <w:rPr>
          <w:rFonts w:ascii="Consolas" w:hAnsi="Consolas" w:cs="Consolas"/>
          <w:b w:val="0"/>
          <w:i w:val="0"/>
          <w:sz w:val="15"/>
        </w:rPr>
        <w:t>SMART INBOX — LOW PRIORITY (2)</w:t>
      </w:r>
    </w:p>
    <w:p>
      <w:pPr>
        <w:spacing w:after="0" w:before="0" w:line="240" w:lineRule="auto"/>
        <w:ind w:left="57"/>
        <w:jc w:val="left"/>
        <w:shd w:val="clear" w:fill="F2F2F2"/>
      </w:pPr>
      <w:r>
        <w:rPr>
          <w:rFonts w:ascii="Consolas" w:hAnsi="Consolas" w:cs="Consolas"/>
          <w:b w:val="0"/>
          <w:i w:val="0"/>
          <w:sz w:val="15"/>
        </w:rPr>
        <w:t xml:space="preserve">  • Continue draft trade request from 2026-06-20</w:t>
      </w:r>
    </w:p>
    <w:p>
      <w:pPr>
        <w:spacing w:after="0" w:before="0" w:line="240" w:lineRule="auto"/>
        <w:ind w:left="57"/>
        <w:jc w:val="left"/>
        <w:shd w:val="clear" w:fill="F2F2F2"/>
      </w:pPr>
      <w:r>
        <w:rPr>
          <w:rFonts w:ascii="Consolas" w:hAnsi="Consolas" w:cs="Consolas"/>
          <w:b w:val="0"/>
          <w:i w:val="0"/>
          <w:sz w:val="15"/>
        </w:rPr>
        <w:t xml:space="preserve">    Seller: Mekong Fresh Co. | Commodity: Oranges (HS 0805.10)</w:t>
      </w:r>
    </w:p>
    <w:p>
      <w:pPr>
        <w:spacing w:after="0" w:before="0" w:line="240" w:lineRule="auto"/>
        <w:ind w:left="57"/>
        <w:jc w:val="left"/>
        <w:shd w:val="clear" w:fill="F2F2F2"/>
      </w:pPr>
      <w:r>
        <w:rPr>
          <w:rFonts w:ascii="Consolas" w:hAnsi="Consolas" w:cs="Consolas"/>
          <w:b w:val="0"/>
          <w:i w:val="0"/>
          <w:sz w:val="15"/>
        </w:rPr>
        <w:t xml:space="preserve">    Last edited: 2026-06-20 11:00:00 | Progress: 65% complete</w:t>
      </w:r>
    </w:p>
    <w:p>
      <w:pPr>
        <w:spacing w:after="0" w:before="0" w:line="240" w:lineRule="auto"/>
        <w:ind w:left="57"/>
        <w:jc w:val="left"/>
        <w:shd w:val="clear" w:fill="F2F2F2"/>
      </w:pPr>
      <w:r>
        <w:rPr>
          <w:rFonts w:ascii="Consolas" w:hAnsi="Consolas" w:cs="Consolas"/>
          <w:b w:val="0"/>
          <w:i w:val="0"/>
          <w:sz w:val="15"/>
        </w:rPr>
        <w:t xml:space="preserve">    [Resume] [Delete] [Share with Team]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Continue draft trade request from 2026-06-18</w:t>
      </w:r>
    </w:p>
    <w:p>
      <w:pPr>
        <w:spacing w:after="0" w:before="0" w:line="240" w:lineRule="auto"/>
        <w:ind w:left="57"/>
        <w:jc w:val="left"/>
        <w:shd w:val="clear" w:fill="F2F2F2"/>
      </w:pPr>
      <w:r>
        <w:rPr>
          <w:rFonts w:ascii="Consolas" w:hAnsi="Consolas" w:cs="Consolas"/>
          <w:b w:val="0"/>
          <w:i w:val="0"/>
          <w:sz w:val="15"/>
        </w:rPr>
        <w:t xml:space="preserve">    Seller: Global Exports Co. | Commodity: Textiles (HS 5208.11)</w:t>
      </w:r>
    </w:p>
    <w:p>
      <w:pPr>
        <w:spacing w:after="0" w:before="0" w:line="240" w:lineRule="auto"/>
        <w:ind w:left="57"/>
        <w:jc w:val="left"/>
        <w:shd w:val="clear" w:fill="F2F2F2"/>
      </w:pPr>
      <w:r>
        <w:rPr>
          <w:rFonts w:ascii="Consolas" w:hAnsi="Consolas" w:cs="Consolas"/>
          <w:b w:val="0"/>
          <w:i w:val="0"/>
          <w:sz w:val="15"/>
        </w:rPr>
        <w:t xml:space="preserve">    Last edited: 2026-06-18 16:30:00 | Expires in 2 days</w:t>
      </w:r>
    </w:p>
    <w:p>
      <w:pPr>
        <w:spacing w:after="0" w:before="0" w:line="240" w:lineRule="auto"/>
        <w:ind w:left="57"/>
        <w:jc w:val="left"/>
        <w:shd w:val="clear" w:fill="F2F2F2"/>
      </w:pPr>
      <w:r>
        <w:rPr>
          <w:rFonts w:ascii="Consolas" w:hAnsi="Consolas" w:cs="Consolas"/>
          <w:b w:val="0"/>
          <w:i w:val="0"/>
          <w:sz w:val="15"/>
        </w:rPr>
        <w:t xml:space="preserve">    [Resume] [Delete]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6.16.3.2 Recovery Flow</w:t>
      </w:r>
    </w:p>
    <w:p>
      <w:pPr>
        <w:spacing w:after="0" w:before="0" w:line="240" w:lineRule="auto"/>
        <w:ind w:left="57"/>
        <w:jc w:val="left"/>
        <w:shd w:val="clear" w:fill="F2F2F2"/>
      </w:pPr>
      <w:r>
        <w:rPr>
          <w:rFonts w:ascii="Consolas" w:hAnsi="Consolas" w:cs="Consolas"/>
          <w:b w:val="0"/>
          <w:i w:val="0"/>
          <w:sz w:val="15"/>
        </w:rPr>
        <w:t>DRAFT RECOVERY FLOW</w:t>
      </w:r>
    </w:p>
    <w:p>
      <w:pPr>
        <w:spacing w:after="0" w:before="0" w:line="240" w:lineRule="auto"/>
        <w:ind w:left="57"/>
        <w:jc w:val="left"/>
        <w:shd w:val="clear" w:fill="F2F2F2"/>
      </w:pPr>
      <w:r>
        <w:rPr>
          <w:rFonts w:ascii="Consolas" w:hAnsi="Consolas" w:cs="Consolas"/>
          <w:b w:val="0"/>
          <w:i w:val="0"/>
          <w:sz w:val="15"/>
        </w:rPr>
        <w:t xml:space="preserve">  1. User opens Smart Inbox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2. User clicks "Resume" on draft item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3. System loads draft data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4. System populates form with saved data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5. System updates last_activity_at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6. System extends expiry (14 days from last activity)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7. User continues editing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8. Auto-save continues (30-second intervals)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6.16.3.3 Multiple Drafts</w:t>
      </w:r>
    </w:p>
    <w:p>
      <w:pPr>
        <w:spacing w:after="80" w:line="293" w:lineRule="auto"/>
        <w:jc w:val="left"/>
      </w:pPr>
      <w:r>
        <w:rPr>
          <w:rFonts w:ascii="Times New Roman" w:hAnsi="Times New Roman" w:cs="Times New Roman"/>
          <w:b w:val="0"/>
          <w:i w:val="0"/>
          <w:sz w:val="22"/>
        </w:rPr>
        <w:t>Users can have multiple drafts in progress simultaneously; each is listed separately in the Smart Inbox with its own seller, commodity, progress, and expiry information.</w:t>
      </w:r>
    </w:p>
    <w:p>
      <w:pPr>
        <w:keepNext/>
        <w:spacing w:before="180" w:after="80"/>
        <w:outlineLvl w:val="2"/>
      </w:pPr>
      <w:r>
        <w:rPr>
          <w:rFonts w:ascii="Arial" w:hAnsi="Arial" w:cs="Arial"/>
          <w:b/>
          <w:i w:val="0"/>
          <w:color w:val="333333"/>
          <w:sz w:val="23"/>
        </w:rPr>
        <w:t>6.16.4 Draft Expiry &amp; Reminders</w:t>
      </w:r>
    </w:p>
    <w:p>
      <w:pPr>
        <w:keepNext/>
        <w:spacing w:before="140" w:after="60"/>
        <w:outlineLvl w:val="3"/>
      </w:pPr>
      <w:r>
        <w:rPr>
          <w:rFonts w:ascii="Arial" w:hAnsi="Arial" w:cs="Arial"/>
          <w:b/>
          <w:i/>
          <w:color w:val="333333"/>
          <w:sz w:val="22"/>
        </w:rPr>
        <w:t>6.16.4.1 Expiry Policy</w:t>
      </w:r>
    </w:p>
    <w:p>
      <w:pPr>
        <w:spacing w:after="80" w:line="293" w:lineRule="auto"/>
        <w:jc w:val="left"/>
      </w:pPr>
      <w:r>
        <w:rPr>
          <w:rFonts w:ascii="Times New Roman" w:hAnsi="Times New Roman" w:cs="Times New Roman"/>
          <w:b w:val="0"/>
          <w:i w:val="0"/>
          <w:sz w:val="22"/>
        </w:rPr>
        <w:t>Drafts expire after 14 days of inactivity. Reminders are sent at day 11 and day 13. Expired drafts are archived (status `EXPIRED`, `archived_at` set) and are hard-deleted 90 days after expiry.</w:t>
      </w:r>
    </w:p>
    <w:p>
      <w:pPr>
        <w:keepNext/>
        <w:spacing w:before="140" w:after="60"/>
        <w:outlineLvl w:val="3"/>
      </w:pPr>
      <w:r>
        <w:rPr>
          <w:rFonts w:ascii="Arial" w:hAnsi="Arial" w:cs="Arial"/>
          <w:b/>
          <w:i/>
          <w:color w:val="333333"/>
          <w:sz w:val="22"/>
        </w:rPr>
        <w:t>6.16.4.2 Expiry Cron Job</w:t>
      </w:r>
    </w:p>
    <w:p>
      <w:pPr>
        <w:spacing w:after="0" w:before="0" w:line="240" w:lineRule="auto"/>
        <w:ind w:left="57"/>
        <w:jc w:val="left"/>
        <w:shd w:val="clear" w:fill="F2F2F2"/>
      </w:pPr>
      <w:r>
        <w:rPr>
          <w:rFonts w:ascii="Consolas" w:hAnsi="Consolas" w:cs="Consolas"/>
          <w:b w:val="0"/>
          <w:i w:val="0"/>
          <w:sz w:val="15"/>
        </w:rPr>
        <w:t>// Pseudo-code: Draft expiry cron job (runs daily at 02:00 UTC)</w:t>
      </w:r>
    </w:p>
    <w:p>
      <w:pPr>
        <w:spacing w:after="0" w:before="0" w:line="240" w:lineRule="auto"/>
        <w:ind w:left="57"/>
        <w:jc w:val="left"/>
        <w:shd w:val="clear" w:fill="F2F2F2"/>
      </w:pPr>
      <w:r>
        <w:rPr>
          <w:rFonts w:ascii="Consolas" w:hAnsi="Consolas" w:cs="Consolas"/>
          <w:b w:val="0"/>
          <w:i w:val="0"/>
          <w:sz w:val="15"/>
        </w:rPr>
        <w:t>async fn process_draft_expiry() -&gt; Result&lt;()&gt; {</w:t>
      </w:r>
    </w:p>
    <w:p>
      <w:pPr>
        <w:spacing w:after="0" w:before="0" w:line="240" w:lineRule="auto"/>
        <w:ind w:left="57"/>
        <w:jc w:val="left"/>
        <w:shd w:val="clear" w:fill="F2F2F2"/>
      </w:pPr>
      <w:r>
        <w:rPr>
          <w:rFonts w:ascii="Consolas" w:hAnsi="Consolas" w:cs="Consolas"/>
          <w:b w:val="0"/>
          <w:i w:val="0"/>
          <w:sz w:val="15"/>
        </w:rPr>
        <w:t xml:space="preserve">    let now = Utc::now();</w:t>
      </w:r>
    </w:p>
    <w:p>
      <w:pPr>
        <w:spacing w:after="0" w:before="0" w:line="240" w:lineRule="auto"/>
        <w:ind w:left="57"/>
        <w:jc w:val="left"/>
        <w:shd w:val="clear" w:fill="F2F2F2"/>
      </w:pPr>
      <w:r>
        <w:rPr>
          <w:rFonts w:ascii="Consolas" w:hAnsi="Consolas" w:cs="Consolas"/>
          <w:b w:val="0"/>
          <w:i w:val="0"/>
          <w:sz w:val="15"/>
        </w:rPr>
        <w:t xml:space="preserve">    // 1. Find drafts expiring today</w:t>
      </w:r>
    </w:p>
    <w:p>
      <w:pPr>
        <w:spacing w:after="0" w:before="0" w:line="240" w:lineRule="auto"/>
        <w:ind w:left="57"/>
        <w:jc w:val="left"/>
        <w:shd w:val="clear" w:fill="F2F2F2"/>
      </w:pPr>
      <w:r>
        <w:rPr>
          <w:rFonts w:ascii="Consolas" w:hAnsi="Consolas" w:cs="Consolas"/>
          <w:b w:val="0"/>
          <w:i w:val="0"/>
          <w:sz w:val="15"/>
        </w:rPr>
        <w:t xml:space="preserve">    let expiring_today = get_drafts_expiring_on(now.date_naive()).await?;</w:t>
      </w:r>
    </w:p>
    <w:p>
      <w:pPr>
        <w:spacing w:after="0" w:before="0" w:line="240" w:lineRule="auto"/>
        <w:ind w:left="57"/>
        <w:jc w:val="left"/>
        <w:shd w:val="clear" w:fill="F2F2F2"/>
      </w:pPr>
      <w:r>
        <w:rPr>
          <w:rFonts w:ascii="Consolas" w:hAnsi="Consolas" w:cs="Consolas"/>
          <w:b w:val="0"/>
          <w:i w:val="0"/>
          <w:sz w:val="15"/>
        </w:rPr>
        <w:t xml:space="preserve">    // 2. Send reminders (11 days and 13 days)</w:t>
      </w:r>
    </w:p>
    <w:p>
      <w:pPr>
        <w:spacing w:after="0" w:before="0" w:line="240" w:lineRule="auto"/>
        <w:ind w:left="57"/>
        <w:jc w:val="left"/>
        <w:shd w:val="clear" w:fill="F2F2F2"/>
      </w:pPr>
      <w:r>
        <w:rPr>
          <w:rFonts w:ascii="Consolas" w:hAnsi="Consolas" w:cs="Consolas"/>
          <w:b w:val="0"/>
          <w:i w:val="0"/>
          <w:sz w:val="15"/>
        </w:rPr>
        <w:t xml:space="preserve">    let reminder_11_days = get_drafts_with_reminder_at(now + Duration::days(11)).await?;</w:t>
      </w:r>
    </w:p>
    <w:p>
      <w:pPr>
        <w:spacing w:after="0" w:before="0" w:line="240" w:lineRule="auto"/>
        <w:ind w:left="57"/>
        <w:jc w:val="left"/>
        <w:shd w:val="clear" w:fill="F2F2F2"/>
      </w:pPr>
      <w:r>
        <w:rPr>
          <w:rFonts w:ascii="Consolas" w:hAnsi="Consolas" w:cs="Consolas"/>
          <w:b w:val="0"/>
          <w:i w:val="0"/>
          <w:sz w:val="15"/>
        </w:rPr>
        <w:t xml:space="preserve">    let reminder_13_days = get_drafts_with_reminder_at(now + Duration::days(13)).await?;</w:t>
      </w:r>
    </w:p>
    <w:p>
      <w:pPr>
        <w:spacing w:after="0" w:before="0" w:line="240" w:lineRule="auto"/>
        <w:ind w:left="57"/>
        <w:jc w:val="left"/>
        <w:shd w:val="clear" w:fill="F2F2F2"/>
      </w:pPr>
      <w:r>
        <w:rPr>
          <w:rFonts w:ascii="Consolas" w:hAnsi="Consolas" w:cs="Consolas"/>
          <w:b w:val="0"/>
          <w:i w:val="0"/>
          <w:sz w:val="15"/>
        </w:rPr>
        <w:t xml:space="preserve">    for draft in reminder_11_days {</w:t>
      </w:r>
    </w:p>
    <w:p>
      <w:pPr>
        <w:spacing w:after="0" w:before="0" w:line="240" w:lineRule="auto"/>
        <w:ind w:left="57"/>
        <w:jc w:val="left"/>
        <w:shd w:val="clear" w:fill="F2F2F2"/>
      </w:pPr>
      <w:r>
        <w:rPr>
          <w:rFonts w:ascii="Consolas" w:hAnsi="Consolas" w:cs="Consolas"/>
          <w:b w:val="0"/>
          <w:i w:val="0"/>
          <w:sz w:val="15"/>
        </w:rPr>
        <w:t xml:space="preserve">        send_smart_inbox_reminder(draft, "Expires in 3 days").await?;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for draft in reminder_13_days {</w:t>
      </w:r>
    </w:p>
    <w:p>
      <w:pPr>
        <w:spacing w:after="0" w:before="0" w:line="240" w:lineRule="auto"/>
        <w:ind w:left="57"/>
        <w:jc w:val="left"/>
        <w:shd w:val="clear" w:fill="F2F2F2"/>
      </w:pPr>
      <w:r>
        <w:rPr>
          <w:rFonts w:ascii="Consolas" w:hAnsi="Consolas" w:cs="Consolas"/>
          <w:b w:val="0"/>
          <w:i w:val="0"/>
          <w:sz w:val="15"/>
        </w:rPr>
        <w:t xml:space="preserve">        send_smart_inbox_reminder(draft, "Expires in 1 day").await?;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Expire drafts</w:t>
      </w:r>
    </w:p>
    <w:p>
      <w:pPr>
        <w:spacing w:after="0" w:before="0" w:line="240" w:lineRule="auto"/>
        <w:ind w:left="57"/>
        <w:jc w:val="left"/>
        <w:shd w:val="clear" w:fill="F2F2F2"/>
      </w:pPr>
      <w:r>
        <w:rPr>
          <w:rFonts w:ascii="Consolas" w:hAnsi="Consolas" w:cs="Consolas"/>
          <w:b w:val="0"/>
          <w:i w:val="0"/>
          <w:sz w:val="15"/>
        </w:rPr>
        <w:t xml:space="preserve">    let expired = get_expired_drafts().await?;</w:t>
      </w:r>
    </w:p>
    <w:p>
      <w:pPr>
        <w:spacing w:after="0" w:before="0" w:line="240" w:lineRule="auto"/>
        <w:ind w:left="57"/>
        <w:jc w:val="left"/>
        <w:shd w:val="clear" w:fill="F2F2F2"/>
      </w:pPr>
      <w:r>
        <w:rPr>
          <w:rFonts w:ascii="Consolas" w:hAnsi="Consolas" w:cs="Consolas"/>
          <w:b w:val="0"/>
          <w:i w:val="0"/>
          <w:sz w:val="15"/>
        </w:rPr>
        <w:t xml:space="preserve">    for draft in expired {</w:t>
      </w:r>
    </w:p>
    <w:p>
      <w:pPr>
        <w:spacing w:after="0" w:before="0" w:line="240" w:lineRule="auto"/>
        <w:ind w:left="57"/>
        <w:jc w:val="left"/>
        <w:shd w:val="clear" w:fill="F2F2F2"/>
      </w:pPr>
      <w:r>
        <w:rPr>
          <w:rFonts w:ascii="Consolas" w:hAnsi="Consolas" w:cs="Consolas"/>
          <w:b w:val="0"/>
          <w:i w:val="0"/>
          <w:sz w:val="15"/>
        </w:rPr>
        <w:t xml:space="preserve">        draft.status = "EXPIRED";</w:t>
      </w:r>
    </w:p>
    <w:p>
      <w:pPr>
        <w:spacing w:after="0" w:before="0" w:line="240" w:lineRule="auto"/>
        <w:ind w:left="57"/>
        <w:jc w:val="left"/>
        <w:shd w:val="clear" w:fill="F2F2F2"/>
      </w:pPr>
      <w:r>
        <w:rPr>
          <w:rFonts w:ascii="Consolas" w:hAnsi="Consolas" w:cs="Consolas"/>
          <w:b w:val="0"/>
          <w:i w:val="0"/>
          <w:sz w:val="15"/>
        </w:rPr>
        <w:t xml:space="preserve">        draft.archived_at = now;</w:t>
      </w:r>
    </w:p>
    <w:p>
      <w:pPr>
        <w:spacing w:after="0" w:before="0" w:line="240" w:lineRule="auto"/>
        <w:ind w:left="57"/>
        <w:jc w:val="left"/>
        <w:shd w:val="clear" w:fill="F2F2F2"/>
      </w:pPr>
      <w:r>
        <w:rPr>
          <w:rFonts w:ascii="Consolas" w:hAnsi="Consolas" w:cs="Consolas"/>
          <w:b w:val="0"/>
          <w:i w:val="0"/>
          <w:sz w:val="15"/>
        </w:rPr>
        <w:t xml:space="preserve">        draft.save().await?;</w:t>
      </w:r>
    </w:p>
    <w:p>
      <w:pPr>
        <w:spacing w:after="0" w:before="0" w:line="240" w:lineRule="auto"/>
        <w:ind w:left="57"/>
        <w:jc w:val="left"/>
        <w:shd w:val="clear" w:fill="F2F2F2"/>
      </w:pPr>
      <w:r>
        <w:rPr>
          <w:rFonts w:ascii="Consolas" w:hAnsi="Consolas" w:cs="Consolas"/>
          <w:b w:val="0"/>
          <w:i w:val="0"/>
          <w:sz w:val="15"/>
        </w:rPr>
        <w:t xml:space="preserve">        send_smart_inbox_notification(draft, "Draft expired").await?;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Hard delete (90 days after expiry)</w:t>
      </w:r>
    </w:p>
    <w:p>
      <w:pPr>
        <w:spacing w:after="0" w:before="0" w:line="240" w:lineRule="auto"/>
        <w:ind w:left="57"/>
        <w:jc w:val="left"/>
        <w:shd w:val="clear" w:fill="F2F2F2"/>
      </w:pPr>
      <w:r>
        <w:rPr>
          <w:rFonts w:ascii="Consolas" w:hAnsi="Consolas" w:cs="Consolas"/>
          <w:b w:val="0"/>
          <w:i w:val="0"/>
          <w:sz w:val="15"/>
        </w:rPr>
        <w:t xml:space="preserve">    let hard_delete_cutoff = now - Duration::days(90);</w:t>
      </w:r>
    </w:p>
    <w:p>
      <w:pPr>
        <w:spacing w:after="0" w:before="0" w:line="240" w:lineRule="auto"/>
        <w:ind w:left="57"/>
        <w:jc w:val="left"/>
        <w:shd w:val="clear" w:fill="F2F2F2"/>
      </w:pPr>
      <w:r>
        <w:rPr>
          <w:rFonts w:ascii="Consolas" w:hAnsi="Consolas" w:cs="Consolas"/>
          <w:b w:val="0"/>
          <w:i w:val="0"/>
          <w:sz w:val="15"/>
        </w:rPr>
        <w:t xml:space="preserve">    let to_delete = get_drafts_expired_before(hard_delete_cutoff).await?;</w:t>
      </w:r>
    </w:p>
    <w:p>
      <w:pPr>
        <w:spacing w:after="0" w:before="0" w:line="240" w:lineRule="auto"/>
        <w:ind w:left="57"/>
        <w:jc w:val="left"/>
        <w:shd w:val="clear" w:fill="F2F2F2"/>
      </w:pPr>
      <w:r>
        <w:rPr>
          <w:rFonts w:ascii="Consolas" w:hAnsi="Consolas" w:cs="Consolas"/>
          <w:b w:val="0"/>
          <w:i w:val="0"/>
          <w:sz w:val="15"/>
        </w:rPr>
        <w:t xml:space="preserve">    for draft in to_delete {</w:t>
      </w:r>
    </w:p>
    <w:p>
      <w:pPr>
        <w:spacing w:after="0" w:before="0" w:line="240" w:lineRule="auto"/>
        <w:ind w:left="57"/>
        <w:jc w:val="left"/>
        <w:shd w:val="clear" w:fill="F2F2F2"/>
      </w:pPr>
      <w:r>
        <w:rPr>
          <w:rFonts w:ascii="Consolas" w:hAnsi="Consolas" w:cs="Consolas"/>
          <w:b w:val="0"/>
          <w:i w:val="0"/>
          <w:sz w:val="15"/>
        </w:rPr>
        <w:t xml:space="preserve">        draft.delete().await?;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6.16.4.3 Reminder Notifications</w:t>
      </w:r>
    </w:p>
    <w:p>
      <w:pPr>
        <w:spacing w:after="80" w:line="293" w:lineRule="auto"/>
        <w:jc w:val="left"/>
      </w:pPr>
      <w:r>
        <w:rPr>
          <w:rFonts w:ascii="Times New Roman" w:hAnsi="Times New Roman" w:cs="Times New Roman"/>
          <w:b w:val="0"/>
          <w:i w:val="0"/>
          <w:sz w:val="22"/>
        </w:rPr>
        <w:t>11-day reminder:</w:t>
      </w:r>
    </w:p>
    <w:p>
      <w:pPr>
        <w:spacing w:after="0" w:before="0" w:line="240" w:lineRule="auto"/>
        <w:ind w:left="57"/>
        <w:jc w:val="left"/>
        <w:shd w:val="clear" w:fill="F2F2F2"/>
      </w:pPr>
      <w:r>
        <w:rPr>
          <w:rFonts w:ascii="Consolas" w:hAnsi="Consolas" w:cs="Consolas"/>
          <w:b w:val="0"/>
          <w:i w:val="0"/>
          <w:sz w:val="15"/>
        </w:rPr>
        <w:t>DRAFT REMINDER</w:t>
      </w:r>
    </w:p>
    <w:p>
      <w:pPr>
        <w:spacing w:after="0" w:before="0" w:line="240" w:lineRule="auto"/>
        <w:ind w:left="57"/>
        <w:jc w:val="left"/>
        <w:shd w:val="clear" w:fill="F2F2F2"/>
      </w:pPr>
      <w:r>
        <w:rPr>
          <w:rFonts w:ascii="Consolas" w:hAnsi="Consolas" w:cs="Consolas"/>
          <w:b w:val="0"/>
          <w:i w:val="0"/>
          <w:sz w:val="15"/>
        </w:rPr>
        <w:t xml:space="preserve">  Your trade request draft for Mekong Fresh Co. expires in 3 days.</w:t>
      </w:r>
    </w:p>
    <w:p>
      <w:pPr>
        <w:spacing w:after="0" w:before="0" w:line="240" w:lineRule="auto"/>
        <w:ind w:left="57"/>
        <w:jc w:val="left"/>
        <w:shd w:val="clear" w:fill="F2F2F2"/>
      </w:pPr>
      <w:r>
        <w:rPr>
          <w:rFonts w:ascii="Consolas" w:hAnsi="Consolas" w:cs="Consolas"/>
          <w:b w:val="0"/>
          <w:i w:val="0"/>
          <w:sz w:val="15"/>
        </w:rPr>
        <w:t xml:space="preserve">  Draft: Trade Request #DRAFT-2026-001</w:t>
      </w:r>
    </w:p>
    <w:p>
      <w:pPr>
        <w:spacing w:after="0" w:before="0" w:line="240" w:lineRule="auto"/>
        <w:ind w:left="57"/>
        <w:jc w:val="left"/>
        <w:shd w:val="clear" w:fill="F2F2F2"/>
      </w:pPr>
      <w:r>
        <w:rPr>
          <w:rFonts w:ascii="Consolas" w:hAnsi="Consolas" w:cs="Consolas"/>
          <w:b w:val="0"/>
          <w:i w:val="0"/>
          <w:sz w:val="15"/>
        </w:rPr>
        <w:t xml:space="preserve">  Created: 2026-06-10   Expires: 2026-07-04</w:t>
      </w:r>
    </w:p>
    <w:p>
      <w:pPr>
        <w:spacing w:after="0" w:before="0" w:line="240" w:lineRule="auto"/>
        <w:ind w:left="57"/>
        <w:jc w:val="left"/>
        <w:shd w:val="clear" w:fill="F2F2F2"/>
      </w:pPr>
      <w:r>
        <w:rPr>
          <w:rFonts w:ascii="Consolas" w:hAnsi="Consolas" w:cs="Consolas"/>
          <w:b w:val="0"/>
          <w:i w:val="0"/>
          <w:sz w:val="15"/>
        </w:rPr>
        <w:t xml:space="preserve">  If you don't complete this draft, it will be automatically archived.</w:t>
      </w:r>
    </w:p>
    <w:p>
      <w:pPr>
        <w:spacing w:after="0" w:before="0" w:line="240" w:lineRule="auto"/>
        <w:ind w:left="57"/>
        <w:jc w:val="left"/>
        <w:shd w:val="clear" w:fill="F2F2F2"/>
      </w:pPr>
      <w:r>
        <w:rPr>
          <w:rFonts w:ascii="Consolas" w:hAnsi="Consolas" w:cs="Consolas"/>
          <w:b w:val="0"/>
          <w:i w:val="0"/>
          <w:sz w:val="15"/>
        </w:rPr>
        <w:t xml:space="preserve">  [Resume Draft] [Extend for 7 Days] [Delete Draft]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13-day reminder:</w:t>
      </w:r>
    </w:p>
    <w:p>
      <w:pPr>
        <w:spacing w:after="0" w:before="0" w:line="240" w:lineRule="auto"/>
        <w:ind w:left="57"/>
        <w:jc w:val="left"/>
        <w:shd w:val="clear" w:fill="F2F2F2"/>
      </w:pPr>
      <w:r>
        <w:rPr>
          <w:rFonts w:ascii="Consolas" w:hAnsi="Consolas" w:cs="Consolas"/>
          <w:b w:val="0"/>
          <w:i w:val="0"/>
          <w:sz w:val="15"/>
        </w:rPr>
        <w:t>URGENT: DRAFT EXPIRES TOMORROW</w:t>
      </w:r>
    </w:p>
    <w:p>
      <w:pPr>
        <w:spacing w:after="0" w:before="0" w:line="240" w:lineRule="auto"/>
        <w:ind w:left="57"/>
        <w:jc w:val="left"/>
        <w:shd w:val="clear" w:fill="F2F2F2"/>
      </w:pPr>
      <w:r>
        <w:rPr>
          <w:rFonts w:ascii="Consolas" w:hAnsi="Consolas" w:cs="Consolas"/>
          <w:b w:val="0"/>
          <w:i w:val="0"/>
          <w:sz w:val="15"/>
        </w:rPr>
        <w:t xml:space="preserve">  Your trade request draft for Mekong Fresh Co. expires in 24 hours.</w:t>
      </w:r>
    </w:p>
    <w:p>
      <w:pPr>
        <w:spacing w:after="0" w:before="0" w:line="240" w:lineRule="auto"/>
        <w:ind w:left="57"/>
        <w:jc w:val="left"/>
        <w:shd w:val="clear" w:fill="F2F2F2"/>
      </w:pPr>
      <w:r>
        <w:rPr>
          <w:rFonts w:ascii="Consolas" w:hAnsi="Consolas" w:cs="Consolas"/>
          <w:b w:val="0"/>
          <w:i w:val="0"/>
          <w:sz w:val="15"/>
        </w:rPr>
        <w:t xml:space="preserve">  Draft: Trade Request #DRAFT-2026-001</w:t>
      </w:r>
    </w:p>
    <w:p>
      <w:pPr>
        <w:spacing w:after="0" w:before="0" w:line="240" w:lineRule="auto"/>
        <w:ind w:left="57"/>
        <w:jc w:val="left"/>
        <w:shd w:val="clear" w:fill="F2F2F2"/>
      </w:pPr>
      <w:r>
        <w:rPr>
          <w:rFonts w:ascii="Consolas" w:hAnsi="Consolas" w:cs="Consolas"/>
          <w:b w:val="0"/>
          <w:i w:val="0"/>
          <w:sz w:val="15"/>
        </w:rPr>
        <w:t xml:space="preserve">  Created: 2026-06-10   Expires: 2026-07-04</w:t>
      </w:r>
    </w:p>
    <w:p>
      <w:pPr>
        <w:spacing w:after="0" w:before="0" w:line="240" w:lineRule="auto"/>
        <w:ind w:left="57"/>
        <w:jc w:val="left"/>
        <w:shd w:val="clear" w:fill="F2F2F2"/>
      </w:pPr>
      <w:r>
        <w:rPr>
          <w:rFonts w:ascii="Consolas" w:hAnsi="Consolas" w:cs="Consolas"/>
          <w:b w:val="0"/>
          <w:i w:val="0"/>
          <w:sz w:val="15"/>
        </w:rPr>
        <w:t xml:space="preserve">  Complete your draft now to avoid losing your work.</w:t>
      </w:r>
    </w:p>
    <w:p>
      <w:pPr>
        <w:spacing w:after="0" w:before="0" w:line="240" w:lineRule="auto"/>
        <w:ind w:left="57"/>
        <w:jc w:val="left"/>
        <w:shd w:val="clear" w:fill="F2F2F2"/>
      </w:pPr>
      <w:r>
        <w:rPr>
          <w:rFonts w:ascii="Consolas" w:hAnsi="Consolas" w:cs="Consolas"/>
          <w:b w:val="0"/>
          <w:i w:val="0"/>
          <w:sz w:val="15"/>
        </w:rPr>
        <w:t xml:space="preserve">  [Resume Draft] [Extend for 7 Days] [Delete Draft]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6.16.5 Draft Restoration (Admin)</w:t>
      </w:r>
    </w:p>
    <w:p>
      <w:pPr>
        <w:keepNext/>
        <w:spacing w:before="140" w:after="60"/>
        <w:outlineLvl w:val="3"/>
      </w:pPr>
      <w:r>
        <w:rPr>
          <w:rFonts w:ascii="Arial" w:hAnsi="Arial" w:cs="Arial"/>
          <w:b/>
          <w:i/>
          <w:color w:val="333333"/>
          <w:sz w:val="22"/>
        </w:rPr>
        <w:t>6.16.5.1 Admin Interface</w:t>
      </w:r>
    </w:p>
    <w:p>
      <w:pPr>
        <w:spacing w:after="80" w:line="293" w:lineRule="auto"/>
        <w:jc w:val="left"/>
      </w:pPr>
      <w:r>
        <w:rPr>
          <w:rFonts w:ascii="Times New Roman" w:hAnsi="Times New Roman" w:cs="Times New Roman"/>
          <w:b w:val="0"/>
          <w:i w:val="0"/>
          <w:sz w:val="22"/>
        </w:rPr>
        <w:t>Expired drafts can be restored by tenant admins via Company Admin → Drafts.</w:t>
      </w:r>
    </w:p>
    <w:p>
      <w:pPr>
        <w:spacing w:after="0" w:before="0" w:line="240" w:lineRule="auto"/>
        <w:ind w:left="57"/>
        <w:jc w:val="left"/>
        <w:shd w:val="clear" w:fill="F2F2F2"/>
      </w:pPr>
      <w:r>
        <w:rPr>
          <w:rFonts w:ascii="Consolas" w:hAnsi="Consolas" w:cs="Consolas"/>
          <w:b w:val="0"/>
          <w:i w:val="0"/>
          <w:sz w:val="15"/>
        </w:rPr>
        <w:t>COMPANY ADMIN — DRAFTS</w:t>
      </w:r>
    </w:p>
    <w:p>
      <w:pPr>
        <w:spacing w:after="0" w:before="0" w:line="240" w:lineRule="auto"/>
        <w:ind w:left="57"/>
        <w:jc w:val="left"/>
        <w:shd w:val="clear" w:fill="F2F2F2"/>
      </w:pPr>
      <w:r>
        <w:rPr>
          <w:rFonts w:ascii="Consolas" w:hAnsi="Consolas" w:cs="Consolas"/>
          <w:b w:val="0"/>
          <w:i w:val="0"/>
          <w:sz w:val="15"/>
        </w:rPr>
        <w:t xml:space="preserve">  Active Drafts (3)</w:t>
      </w:r>
    </w:p>
    <w:p>
      <w:pPr>
        <w:spacing w:after="0" w:before="0" w:line="240" w:lineRule="auto"/>
        <w:ind w:left="57"/>
        <w:jc w:val="left"/>
        <w:shd w:val="clear" w:fill="F2F2F2"/>
      </w:pPr>
      <w:r>
        <w:rPr>
          <w:rFonts w:ascii="Consolas" w:hAnsi="Consolas" w:cs="Consolas"/>
          <w:b w:val="0"/>
          <w:i w:val="0"/>
          <w:sz w:val="15"/>
        </w:rPr>
        <w:t xml:space="preserve">  Draft ID    Created    Seller          Status   Actions</w:t>
      </w:r>
    </w:p>
    <w:p>
      <w:pPr>
        <w:spacing w:after="0" w:before="0" w:line="240" w:lineRule="auto"/>
        <w:ind w:left="57"/>
        <w:jc w:val="left"/>
        <w:shd w:val="clear" w:fill="F2F2F2"/>
      </w:pPr>
      <w:r>
        <w:rPr>
          <w:rFonts w:ascii="Consolas" w:hAnsi="Consolas" w:cs="Consolas"/>
          <w:b w:val="0"/>
          <w:i w:val="0"/>
          <w:sz w:val="15"/>
        </w:rPr>
        <w:t xml:space="preserve">  DRAFT-001   2026-06-20 Mekong Fresh    ACTIVE   [Resume]</w:t>
      </w:r>
    </w:p>
    <w:p>
      <w:pPr>
        <w:spacing w:after="0" w:before="0" w:line="240" w:lineRule="auto"/>
        <w:ind w:left="57"/>
        <w:jc w:val="left"/>
        <w:shd w:val="clear" w:fill="F2F2F2"/>
      </w:pPr>
      <w:r>
        <w:rPr>
          <w:rFonts w:ascii="Consolas" w:hAnsi="Consolas" w:cs="Consolas"/>
          <w:b w:val="0"/>
          <w:i w:val="0"/>
          <w:sz w:val="15"/>
        </w:rPr>
        <w:t xml:space="preserve">  DRAFT-002   2026-06-18 Global Exports  ACTIVE   [Resume]</w:t>
      </w:r>
    </w:p>
    <w:p>
      <w:pPr>
        <w:spacing w:after="0" w:before="0" w:line="240" w:lineRule="auto"/>
        <w:ind w:left="57"/>
        <w:jc w:val="left"/>
        <w:shd w:val="clear" w:fill="F2F2F2"/>
      </w:pPr>
      <w:r>
        <w:rPr>
          <w:rFonts w:ascii="Consolas" w:hAnsi="Consolas" w:cs="Consolas"/>
          <w:b w:val="0"/>
          <w:i w:val="0"/>
          <w:sz w:val="15"/>
        </w:rPr>
        <w:t xml:space="preserve">  DRAFT-003   2026-06-15 Vietnam Rice    ACTIVE   [Resume]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Archived Drafts (5)</w:t>
      </w:r>
    </w:p>
    <w:p>
      <w:pPr>
        <w:spacing w:after="0" w:before="0" w:line="240" w:lineRule="auto"/>
        <w:ind w:left="57"/>
        <w:jc w:val="left"/>
        <w:shd w:val="clear" w:fill="F2F2F2"/>
      </w:pPr>
      <w:r>
        <w:rPr>
          <w:rFonts w:ascii="Consolas" w:hAnsi="Consolas" w:cs="Consolas"/>
          <w:b w:val="0"/>
          <w:i w:val="0"/>
          <w:sz w:val="15"/>
        </w:rPr>
        <w:t xml:space="preserve">  Draft ID    Created    Seller          Expired    Actions</w:t>
      </w:r>
    </w:p>
    <w:p>
      <w:pPr>
        <w:spacing w:after="0" w:before="0" w:line="240" w:lineRule="auto"/>
        <w:ind w:left="57"/>
        <w:jc w:val="left"/>
        <w:shd w:val="clear" w:fill="F2F2F2"/>
      </w:pPr>
      <w:r>
        <w:rPr>
          <w:rFonts w:ascii="Consolas" w:hAnsi="Consolas" w:cs="Consolas"/>
          <w:b w:val="0"/>
          <w:i w:val="0"/>
          <w:sz w:val="15"/>
        </w:rPr>
        <w:t xml:space="preserve">  DRAFT-004   2026-06-01 Mekong Fresh    2026-06-15 [Restore] [Delete]</w:t>
      </w:r>
    </w:p>
    <w:p>
      <w:pPr>
        <w:spacing w:after="0" w:before="0" w:line="240" w:lineRule="auto"/>
        <w:ind w:left="57"/>
        <w:jc w:val="left"/>
        <w:shd w:val="clear" w:fill="F2F2F2"/>
      </w:pPr>
      <w:r>
        <w:rPr>
          <w:rFonts w:ascii="Consolas" w:hAnsi="Consolas" w:cs="Consolas"/>
          <w:b w:val="0"/>
          <w:i w:val="0"/>
          <w:sz w:val="15"/>
        </w:rPr>
        <w:t xml:space="preserve">  DRAFT-005   2026-05-28 Global Exports  2026-06-11 [Restore] [Delete]</w:t>
      </w:r>
    </w:p>
    <w:p>
      <w:pPr>
        <w:spacing w:after="0" w:before="0" w:line="240" w:lineRule="auto"/>
        <w:ind w:left="57"/>
        <w:jc w:val="left"/>
        <w:shd w:val="clear" w:fill="F2F2F2"/>
      </w:pPr>
      <w:r>
        <w:rPr>
          <w:rFonts w:ascii="Consolas" w:hAnsi="Consolas" w:cs="Consolas"/>
          <w:b w:val="0"/>
          <w:i w:val="0"/>
          <w:sz w:val="15"/>
        </w:rPr>
        <w:t xml:space="preserve">  DRAFT-006   2026-05-15 Vietnam Rice    2026-05-29 [Restore] [Delete]</w:t>
      </w:r>
    </w:p>
    <w:p>
      <w:pPr>
        <w:spacing w:after="0" w:before="0" w:line="240" w:lineRule="auto"/>
        <w:ind w:left="57"/>
        <w:jc w:val="left"/>
        <w:shd w:val="clear" w:fill="F2F2F2"/>
      </w:pPr>
      <w:r>
        <w:rPr>
          <w:rFonts w:ascii="Consolas" w:hAnsi="Consolas" w:cs="Consolas"/>
          <w:b w:val="0"/>
          <w:i w:val="0"/>
          <w:sz w:val="15"/>
        </w:rPr>
        <w:t xml:space="preserve">  [Export Drafts] [Archive All] [Delete All Expired]</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6.16.5.2 Restoration Workflow</w:t>
      </w:r>
    </w:p>
    <w:p>
      <w:pPr>
        <w:spacing w:after="80" w:line="293" w:lineRule="auto"/>
        <w:jc w:val="left"/>
      </w:pPr>
      <w:r>
        <w:rPr>
          <w:rFonts w:ascii="Times New Roman" w:hAnsi="Times New Roman" w:cs="Times New Roman"/>
          <w:b w:val="0"/>
          <w:i w:val="0"/>
          <w:sz w:val="22"/>
        </w:rPr>
        <w:t>The admin clicks "Restore" on an expired draft; the system validates that the draft is not permanently deleted; prompts for a reason (optional); restores the draft with a new expiry date (14 days from restoration); sends a Smart Inbox notification to the original creator; and the draft appears in the active drafts list.</w:t>
      </w:r>
    </w:p>
    <w:p>
      <w:pPr>
        <w:keepNext/>
        <w:spacing w:before="180" w:after="80"/>
        <w:outlineLvl w:val="2"/>
      </w:pPr>
      <w:r>
        <w:rPr>
          <w:rFonts w:ascii="Arial" w:hAnsi="Arial" w:cs="Arial"/>
          <w:b/>
          <w:i w:val="0"/>
          <w:color w:val="333333"/>
          <w:sz w:val="23"/>
        </w:rPr>
        <w:t>6.16.6 Integration with Other Features</w:t>
      </w:r>
    </w:p>
    <w:p>
      <w:pPr>
        <w:spacing w:after="80" w:line="293" w:lineRule="auto"/>
        <w:jc w:val="left"/>
      </w:pPr>
      <w:r>
        <w:rPr>
          <w:rFonts w:ascii="Times New Roman" w:hAnsi="Times New Roman" w:cs="Times New Roman"/>
          <w:b w:val="0"/>
          <w:i w:val="0"/>
          <w:sz w:val="22"/>
        </w:rPr>
        <w:t>Draft save integrates with all form sections; recovery integrates with the Smart Inbox (Section 16); expiry integrates with the notification system; restoration integrates with Company Admin; templates integrate with `draft_templates` for re-usable request structures.</w:t>
      </w:r>
    </w:p>
    <w:p>
      <w:pPr>
        <w:keepNext/>
        <w:spacing w:before="180" w:after="80"/>
        <w:outlineLvl w:val="2"/>
      </w:pPr>
      <w:r>
        <w:rPr>
          <w:rFonts w:ascii="Arial" w:hAnsi="Arial" w:cs="Arial"/>
          <w:b/>
          <w:i w:val="0"/>
          <w:color w:val="333333"/>
          <w:sz w:val="23"/>
        </w:rPr>
        <w:t>6.16.7 Governor Gates (Draft)</w:t>
      </w:r>
    </w:p>
    <w:p>
      <w:pPr>
        <w:spacing w:after="80" w:line="293" w:lineRule="auto"/>
        <w:jc w:val="left"/>
      </w:pPr>
      <w:r>
        <w:rPr>
          <w:rFonts w:ascii="Times New Roman" w:hAnsi="Times New Roman" w:cs="Times New Roman"/>
          <w:b w:val="0"/>
          <w:i w:val="0"/>
          <w:sz w:val="22"/>
        </w:rPr>
        <w:t>Governor gates for drafts: submission is blocked if the draft is expired (pre-submission checklist "Draft: Not expired"); the Governor validates draft ownership (buyer_tenant_id) on every save and load; and draft restoration requires admin authority.</w:t>
      </w:r>
    </w:p>
    <w:p>
      <w:pPr>
        <w:keepNext/>
        <w:spacing w:before="180" w:after="80"/>
        <w:outlineLvl w:val="2"/>
      </w:pPr>
      <w:r>
        <w:rPr>
          <w:rFonts w:ascii="Arial" w:hAnsi="Arial" w:cs="Arial"/>
          <w:b/>
          <w:i w:val="0"/>
          <w:color w:val="333333"/>
          <w:sz w:val="23"/>
        </w:rPr>
        <w:t>6.16.8 Database Schema Additions (Draft)</w:t>
      </w:r>
    </w:p>
    <w:p>
      <w:pPr>
        <w:spacing w:after="0" w:before="0" w:line="240" w:lineRule="auto"/>
        <w:ind w:left="57"/>
        <w:jc w:val="left"/>
        <w:shd w:val="clear" w:fill="F2F2F2"/>
      </w:pPr>
      <w:r>
        <w:rPr>
          <w:rFonts w:ascii="Consolas" w:hAnsi="Consolas" w:cs="Consolas"/>
          <w:b w:val="0"/>
          <w:i w:val="0"/>
          <w:sz w:val="15"/>
        </w:rPr>
        <w:t>-- Trade requests (extended for drafts)</w:t>
      </w:r>
    </w:p>
    <w:p>
      <w:pPr>
        <w:spacing w:after="0" w:before="0" w:line="240" w:lineRule="auto"/>
        <w:ind w:left="57"/>
        <w:jc w:val="left"/>
        <w:shd w:val="clear" w:fill="F2F2F2"/>
      </w:pPr>
      <w:r>
        <w:rPr>
          <w:rFonts w:ascii="Consolas" w:hAnsi="Consolas" w:cs="Consolas"/>
          <w:b w:val="0"/>
          <w:i w:val="0"/>
          <w:sz w:val="15"/>
        </w:rPr>
        <w:t>ALTER TABLE trade_requests ADD COLUMN is_draft BOOLEAN DEFAULT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draft_expires_at TIMESTAMPTZ;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draft_reminded_at TIMESTAMPTZ;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draft_restored_from_id UUID;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trade_requests ADD COLUMN archived_at TIMESTAMPTZ;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Draft history (versioned snapshots)</w:t>
      </w:r>
    </w:p>
    <w:p>
      <w:pPr>
        <w:spacing w:after="0" w:before="0" w:line="240" w:lineRule="auto"/>
        <w:ind w:left="57"/>
        <w:jc w:val="left"/>
        <w:shd w:val="clear" w:fill="F2F2F2"/>
      </w:pPr>
      <w:r>
        <w:rPr>
          <w:rFonts w:ascii="Consolas" w:hAnsi="Consolas" w:cs="Consolas"/>
          <w:b w:val="0"/>
          <w:i w:val="0"/>
          <w:sz w:val="15"/>
        </w:rPr>
        <w:t>-- draft_history: canonical definition in Section 17.6;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Draft reminders (scheduled notifications)</w:t>
      </w:r>
    </w:p>
    <w:p>
      <w:pPr>
        <w:spacing w:after="0" w:before="0" w:line="240" w:lineRule="auto"/>
        <w:ind w:left="57"/>
        <w:jc w:val="left"/>
        <w:shd w:val="clear" w:fill="F2F2F2"/>
      </w:pPr>
      <w:r>
        <w:rPr>
          <w:rFonts w:ascii="Consolas" w:hAnsi="Consolas" w:cs="Consolas"/>
          <w:b w:val="0"/>
          <w:i w:val="0"/>
          <w:sz w:val="15"/>
        </w:rPr>
        <w:t>CREATE TABLE draft_reminders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reminder_type TEXT NOT NULL, -- 'EXPIRY_3_DAYS', 'EXPIRY_1_DAY', 'EXPIRY_TODAY'</w:t>
      </w:r>
    </w:p>
    <w:p>
      <w:pPr>
        <w:spacing w:after="0" w:before="0" w:line="240" w:lineRule="auto"/>
        <w:ind w:left="57"/>
        <w:jc w:val="left"/>
        <w:shd w:val="clear" w:fill="F2F2F2"/>
      </w:pPr>
      <w:r>
        <w:rPr>
          <w:rFonts w:ascii="Consolas" w:hAnsi="Consolas" w:cs="Consolas"/>
          <w:b w:val="0"/>
          <w:i w:val="0"/>
          <w:sz w:val="15"/>
        </w:rPr>
        <w:t xml:space="preserve">    sent_at TIMESTAMPTZ DEFAULT NOW(),</w:t>
      </w:r>
    </w:p>
    <w:p>
      <w:pPr>
        <w:spacing w:after="0" w:before="0" w:line="240" w:lineRule="auto"/>
        <w:ind w:left="57"/>
        <w:jc w:val="left"/>
        <w:shd w:val="clear" w:fill="F2F2F2"/>
      </w:pPr>
      <w:r>
        <w:rPr>
          <w:rFonts w:ascii="Consolas" w:hAnsi="Consolas" w:cs="Consolas"/>
          <w:b w:val="0"/>
          <w:i w:val="0"/>
          <w:sz w:val="15"/>
        </w:rPr>
        <w:t xml:space="preserve">    sent_to_employee_id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sent_by TEXT, -- 'EMAIL', 'IN_APP', 'PUSH'</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Draft restore logs</w:t>
      </w:r>
    </w:p>
    <w:p>
      <w:pPr>
        <w:spacing w:after="0" w:before="0" w:line="240" w:lineRule="auto"/>
        <w:ind w:left="57"/>
        <w:jc w:val="left"/>
        <w:shd w:val="clear" w:fill="F2F2F2"/>
      </w:pPr>
      <w:r>
        <w:rPr>
          <w:rFonts w:ascii="Consolas" w:hAnsi="Consolas" w:cs="Consolas"/>
          <w:b w:val="0"/>
          <w:i w:val="0"/>
          <w:sz w:val="15"/>
        </w:rPr>
        <w:t>CREATE TABLE draft_restore_logs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original_draft_id UUID REFERENCES trade_requests(id) ON DELETE SET NULL,</w:t>
      </w:r>
    </w:p>
    <w:p>
      <w:pPr>
        <w:spacing w:after="0" w:before="0" w:line="240" w:lineRule="auto"/>
        <w:ind w:left="57"/>
        <w:jc w:val="left"/>
        <w:shd w:val="clear" w:fill="F2F2F2"/>
      </w:pPr>
      <w:r>
        <w:rPr>
          <w:rFonts w:ascii="Consolas" w:hAnsi="Consolas" w:cs="Consolas"/>
          <w:b w:val="0"/>
          <w:i w:val="0"/>
          <w:sz w:val="15"/>
        </w:rPr>
        <w:t xml:space="preserve">    restored_draft_id UUID REFERENCES trade_requests(id) ON DELETE SET NULL,</w:t>
      </w:r>
    </w:p>
    <w:p>
      <w:pPr>
        <w:spacing w:after="0" w:before="0" w:line="240" w:lineRule="auto"/>
        <w:ind w:left="57"/>
        <w:jc w:val="left"/>
        <w:shd w:val="clear" w:fill="F2F2F2"/>
      </w:pPr>
      <w:r>
        <w:rPr>
          <w:rFonts w:ascii="Consolas" w:hAnsi="Consolas" w:cs="Consolas"/>
          <w:b w:val="0"/>
          <w:i w:val="0"/>
          <w:sz w:val="15"/>
        </w:rPr>
        <w:t xml:space="preserve">    restored_by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restore_reason TEXT,</w:t>
      </w:r>
    </w:p>
    <w:p>
      <w:pPr>
        <w:spacing w:after="0" w:before="0" w:line="240" w:lineRule="auto"/>
        <w:ind w:left="57"/>
        <w:jc w:val="left"/>
        <w:shd w:val="clear" w:fill="F2F2F2"/>
      </w:pPr>
      <w:r>
        <w:rPr>
          <w:rFonts w:ascii="Consolas" w:hAnsi="Consolas" w:cs="Consolas"/>
          <w:b w:val="0"/>
          <w:i w:val="0"/>
          <w:sz w:val="15"/>
        </w:rPr>
        <w:t xml:space="preserve">    restored_at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Draft templates (user-saved templates)</w:t>
      </w:r>
    </w:p>
    <w:p>
      <w:pPr>
        <w:spacing w:after="0" w:before="0" w:line="240" w:lineRule="auto"/>
        <w:ind w:left="57"/>
        <w:jc w:val="left"/>
        <w:shd w:val="clear" w:fill="F2F2F2"/>
      </w:pPr>
      <w:r>
        <w:rPr>
          <w:rFonts w:ascii="Consolas" w:hAnsi="Consolas" w:cs="Consolas"/>
          <w:b w:val="0"/>
          <w:i w:val="0"/>
          <w:sz w:val="15"/>
        </w:rPr>
        <w:t>CREATE TABLE draft_templates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 xml:space="preserve">    template_name TEXT NOT NULL,</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template_data JSONB NOT NULL,</w:t>
      </w:r>
    </w:p>
    <w:p>
      <w:pPr>
        <w:spacing w:after="0" w:before="0" w:line="240" w:lineRule="auto"/>
        <w:ind w:left="57"/>
        <w:jc w:val="left"/>
        <w:shd w:val="clear" w:fill="F2F2F2"/>
      </w:pPr>
      <w:r>
        <w:rPr>
          <w:rFonts w:ascii="Consolas" w:hAnsi="Consolas" w:cs="Consolas"/>
          <w:b w:val="0"/>
          <w:i w:val="0"/>
          <w:sz w:val="15"/>
        </w:rPr>
        <w:t xml:space="preserve">    usage_count INTEGER DEFAULT 0,</w:t>
      </w:r>
    </w:p>
    <w:p>
      <w:pPr>
        <w:spacing w:after="0" w:before="0" w:line="240" w:lineRule="auto"/>
        <w:ind w:left="57"/>
        <w:jc w:val="left"/>
        <w:shd w:val="clear" w:fill="F2F2F2"/>
      </w:pPr>
      <w:r>
        <w:rPr>
          <w:rFonts w:ascii="Consolas" w:hAnsi="Consolas" w:cs="Consolas"/>
          <w:b w:val="0"/>
          <w:i w:val="0"/>
          <w:sz w:val="15"/>
        </w:rPr>
        <w:t xml:space="preserve">    is_default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UNIQUE(tenant_id, template_name)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Template usage logs</w:t>
      </w:r>
    </w:p>
    <w:p>
      <w:pPr>
        <w:spacing w:after="0" w:before="0" w:line="240" w:lineRule="auto"/>
        <w:ind w:left="57"/>
        <w:jc w:val="left"/>
        <w:shd w:val="clear" w:fill="F2F2F2"/>
      </w:pPr>
      <w:r>
        <w:rPr>
          <w:rFonts w:ascii="Consolas" w:hAnsi="Consolas" w:cs="Consolas"/>
          <w:b w:val="0"/>
          <w:i w:val="0"/>
          <w:sz w:val="15"/>
        </w:rPr>
        <w:t>CREATE TABLE template_usage_logs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template_id UUID NOT NULL REFERENCES draft_templates(id) ON DELETE CASCADE,</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used_at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idx_trade_requests_draft_status ON trade_requests(is_draft) WHERE is_draft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idx_trade_requests_draft_expires ON trade_requests(draft_expires_at) WHERE is_draft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idx_trade_requests_archived_at ON trade_requests(archived_at) WHERE archived_at IS NOT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idx_draft_history_request ON draft_history(trade_request_id);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idx_draft_history_edited ON draft_history(edited_at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idx_draft_reminders_request ON draft_reminders(trade_request_id);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idx_draft_restore_logs_original ON draft_restore_logs(original_draft_id);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idx_draft_templates_tenant ON draft_templates(tenant_id);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idx_template_usage_logs_template ON template_usage_logs(template_id);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6.16.9 Implementation Checklist (Draft)</w:t>
      </w:r>
    </w:p>
    <w:p>
      <w:pPr>
        <w:keepNext/>
        <w:spacing w:before="140" w:after="60"/>
        <w:outlineLvl w:val="3"/>
      </w:pPr>
      <w:r>
        <w:rPr>
          <w:rFonts w:ascii="Arial" w:hAnsi="Arial" w:cs="Arial"/>
          <w:b/>
          <w:i/>
          <w:color w:val="333333"/>
          <w:sz w:val="22"/>
        </w:rPr>
        <w:t>6.16.9.1 Backend Services</w:t>
      </w:r>
    </w:p>
    <w:p>
      <w:pPr>
        <w:spacing w:after="80" w:line="293" w:lineRule="auto"/>
        <w:ind w:left="283"/>
        <w:jc w:val="left"/>
      </w:pPr>
      <w:r>
        <w:rPr>
          <w:rFonts w:ascii="Times New Roman" w:hAnsi="Times New Roman" w:cs="Times New Roman"/>
          <w:b w:val="0"/>
          <w:i w:val="0"/>
          <w:sz w:val="22"/>
        </w:rPr>
        <w:t>- Implement draft save endpoint (`POST /v1/trade/draft`)</w:t>
      </w:r>
    </w:p>
    <w:p>
      <w:pPr>
        <w:spacing w:after="80" w:line="293" w:lineRule="auto"/>
        <w:ind w:left="283"/>
        <w:jc w:val="left"/>
      </w:pPr>
      <w:r>
        <w:rPr>
          <w:rFonts w:ascii="Times New Roman" w:hAnsi="Times New Roman" w:cs="Times New Roman"/>
          <w:b w:val="0"/>
          <w:i w:val="0"/>
          <w:sz w:val="22"/>
        </w:rPr>
        <w:t>- Implement draft load endpoint (`GET /v1/trade/draft/{id}`)</w:t>
      </w:r>
    </w:p>
    <w:p>
      <w:pPr>
        <w:spacing w:after="80" w:line="293" w:lineRule="auto"/>
        <w:ind w:left="283"/>
        <w:jc w:val="left"/>
      </w:pPr>
      <w:r>
        <w:rPr>
          <w:rFonts w:ascii="Times New Roman" w:hAnsi="Times New Roman" w:cs="Times New Roman"/>
          <w:b w:val="0"/>
          <w:i w:val="0"/>
          <w:sz w:val="22"/>
        </w:rPr>
        <w:t>- Implement draft delete endpoint (`DELETE /v1/trade/draft/{id}`)</w:t>
      </w:r>
    </w:p>
    <w:p>
      <w:pPr>
        <w:spacing w:after="80" w:line="293" w:lineRule="auto"/>
        <w:ind w:left="283"/>
        <w:jc w:val="left"/>
      </w:pPr>
      <w:r>
        <w:rPr>
          <w:rFonts w:ascii="Times New Roman" w:hAnsi="Times New Roman" w:cs="Times New Roman"/>
          <w:b w:val="0"/>
          <w:i w:val="0"/>
          <w:sz w:val="22"/>
        </w:rPr>
        <w:t>- Implement draft list endpoint (`GET /v1/trade/drafts`)</w:t>
      </w:r>
    </w:p>
    <w:p>
      <w:pPr>
        <w:spacing w:after="80" w:line="293" w:lineRule="auto"/>
        <w:ind w:left="283"/>
        <w:jc w:val="left"/>
      </w:pPr>
      <w:r>
        <w:rPr>
          <w:rFonts w:ascii="Times New Roman" w:hAnsi="Times New Roman" w:cs="Times New Roman"/>
          <w:b w:val="0"/>
          <w:i w:val="0"/>
          <w:sz w:val="22"/>
        </w:rPr>
        <w:t>- Implement draft expiry cron job (Rust)</w:t>
      </w:r>
    </w:p>
    <w:p>
      <w:pPr>
        <w:spacing w:after="80" w:line="293" w:lineRule="auto"/>
        <w:ind w:left="283"/>
        <w:jc w:val="left"/>
      </w:pPr>
      <w:r>
        <w:rPr>
          <w:rFonts w:ascii="Times New Roman" w:hAnsi="Times New Roman" w:cs="Times New Roman"/>
          <w:b w:val="0"/>
          <w:i w:val="0"/>
          <w:sz w:val="22"/>
        </w:rPr>
        <w:t>- Implement draft reminder service</w:t>
      </w:r>
    </w:p>
    <w:p>
      <w:pPr>
        <w:spacing w:after="80" w:line="293" w:lineRule="auto"/>
        <w:ind w:left="283"/>
        <w:jc w:val="left"/>
      </w:pPr>
      <w:r>
        <w:rPr>
          <w:rFonts w:ascii="Times New Roman" w:hAnsi="Times New Roman" w:cs="Times New Roman"/>
          <w:b w:val="0"/>
          <w:i w:val="0"/>
          <w:sz w:val="22"/>
        </w:rPr>
        <w:t>- Implement draft restoration service</w:t>
      </w:r>
    </w:p>
    <w:p>
      <w:pPr>
        <w:spacing w:after="80" w:line="293" w:lineRule="auto"/>
        <w:ind w:left="283"/>
        <w:jc w:val="left"/>
      </w:pPr>
      <w:r>
        <w:rPr>
          <w:rFonts w:ascii="Times New Roman" w:hAnsi="Times New Roman" w:cs="Times New Roman"/>
          <w:b w:val="0"/>
          <w:i w:val="0"/>
          <w:sz w:val="22"/>
        </w:rPr>
        <w:t>- Implement draft template CRUD</w:t>
      </w:r>
    </w:p>
    <w:p>
      <w:pPr>
        <w:keepNext/>
        <w:spacing w:before="140" w:after="60"/>
        <w:outlineLvl w:val="3"/>
      </w:pPr>
      <w:r>
        <w:rPr>
          <w:rFonts w:ascii="Arial" w:hAnsi="Arial" w:cs="Arial"/>
          <w:b/>
          <w:i/>
          <w:color w:val="333333"/>
          <w:sz w:val="22"/>
        </w:rPr>
        <w:t>6.16.9.2 Frontend Components</w:t>
      </w:r>
    </w:p>
    <w:p>
      <w:pPr>
        <w:spacing w:after="80" w:line="293" w:lineRule="auto"/>
        <w:ind w:left="283"/>
        <w:jc w:val="left"/>
      </w:pPr>
      <w:r>
        <w:rPr>
          <w:rFonts w:ascii="Times New Roman" w:hAnsi="Times New Roman" w:cs="Times New Roman"/>
          <w:b w:val="0"/>
          <w:i w:val="0"/>
          <w:sz w:val="22"/>
        </w:rPr>
        <w:t>- Implement debounce auto-save (30 seconds)</w:t>
      </w:r>
    </w:p>
    <w:p>
      <w:pPr>
        <w:spacing w:after="80" w:line="293" w:lineRule="auto"/>
        <w:ind w:left="283"/>
        <w:jc w:val="left"/>
      </w:pPr>
      <w:r>
        <w:rPr>
          <w:rFonts w:ascii="Times New Roman" w:hAnsi="Times New Roman" w:cs="Times New Roman"/>
          <w:b w:val="0"/>
          <w:i w:val="0"/>
          <w:sz w:val="22"/>
        </w:rPr>
        <w:t>- Implement beforeunload save (navigator.sendBeacon)</w:t>
      </w:r>
    </w:p>
    <w:p>
      <w:pPr>
        <w:spacing w:after="80" w:line="293" w:lineRule="auto"/>
        <w:ind w:left="283"/>
        <w:jc w:val="left"/>
      </w:pPr>
      <w:r>
        <w:rPr>
          <w:rFonts w:ascii="Times New Roman" w:hAnsi="Times New Roman" w:cs="Times New Roman"/>
          <w:b w:val="0"/>
          <w:i w:val="0"/>
          <w:sz w:val="22"/>
        </w:rPr>
        <w:t>- Implement draft recovery in Smart Inbox</w:t>
      </w:r>
    </w:p>
    <w:p>
      <w:pPr>
        <w:spacing w:after="80" w:line="293" w:lineRule="auto"/>
        <w:ind w:left="283"/>
        <w:jc w:val="left"/>
      </w:pPr>
      <w:r>
        <w:rPr>
          <w:rFonts w:ascii="Times New Roman" w:hAnsi="Times New Roman" w:cs="Times New Roman"/>
          <w:b w:val="0"/>
          <w:i w:val="0"/>
          <w:sz w:val="22"/>
        </w:rPr>
        <w:t>- Implement draft restoration in Company Admin</w:t>
      </w:r>
    </w:p>
    <w:p>
      <w:pPr>
        <w:spacing w:after="80" w:line="293" w:lineRule="auto"/>
        <w:ind w:left="283"/>
        <w:jc w:val="left"/>
      </w:pPr>
      <w:r>
        <w:rPr>
          <w:rFonts w:ascii="Times New Roman" w:hAnsi="Times New Roman" w:cs="Times New Roman"/>
          <w:b w:val="0"/>
          <w:i w:val="0"/>
          <w:sz w:val="22"/>
        </w:rPr>
        <w:t>- Implement draft template management</w:t>
      </w:r>
    </w:p>
    <w:p>
      <w:pPr>
        <w:spacing w:after="80" w:line="293" w:lineRule="auto"/>
        <w:ind w:left="283"/>
        <w:jc w:val="left"/>
      </w:pPr>
      <w:r>
        <w:rPr>
          <w:rFonts w:ascii="Times New Roman" w:hAnsi="Times New Roman" w:cs="Times New Roman"/>
          <w:b w:val="0"/>
          <w:i w:val="0"/>
          <w:sz w:val="22"/>
        </w:rPr>
        <w:t>- Implement draft status indicators (saved, saving, error)</w:t>
      </w:r>
    </w:p>
    <w:p>
      <w:pPr>
        <w:keepNext/>
        <w:spacing w:before="140" w:after="60"/>
        <w:outlineLvl w:val="3"/>
      </w:pPr>
      <w:r>
        <w:rPr>
          <w:rFonts w:ascii="Arial" w:hAnsi="Arial" w:cs="Arial"/>
          <w:b/>
          <w:i/>
          <w:color w:val="333333"/>
          <w:sz w:val="22"/>
        </w:rPr>
        <w:t>6.16.9.3 Integration</w:t>
      </w:r>
    </w:p>
    <w:p>
      <w:pPr>
        <w:spacing w:after="80" w:line="293" w:lineRule="auto"/>
        <w:ind w:left="283"/>
        <w:jc w:val="left"/>
      </w:pPr>
      <w:r>
        <w:rPr>
          <w:rFonts w:ascii="Times New Roman" w:hAnsi="Times New Roman" w:cs="Times New Roman"/>
          <w:b w:val="0"/>
          <w:i w:val="0"/>
          <w:sz w:val="22"/>
        </w:rPr>
        <w:t>- Integrate draft save with all form sections</w:t>
      </w:r>
    </w:p>
    <w:p>
      <w:pPr>
        <w:spacing w:after="80" w:line="293" w:lineRule="auto"/>
        <w:ind w:left="283"/>
        <w:jc w:val="left"/>
      </w:pPr>
      <w:r>
        <w:rPr>
          <w:rFonts w:ascii="Times New Roman" w:hAnsi="Times New Roman" w:cs="Times New Roman"/>
          <w:b w:val="0"/>
          <w:i w:val="0"/>
          <w:sz w:val="22"/>
        </w:rPr>
        <w:t>- Integrate draft recovery with Smart Inbox</w:t>
      </w:r>
    </w:p>
    <w:p>
      <w:pPr>
        <w:spacing w:after="80" w:line="293" w:lineRule="auto"/>
        <w:ind w:left="283"/>
        <w:jc w:val="left"/>
      </w:pPr>
      <w:r>
        <w:rPr>
          <w:rFonts w:ascii="Times New Roman" w:hAnsi="Times New Roman" w:cs="Times New Roman"/>
          <w:b w:val="0"/>
          <w:i w:val="0"/>
          <w:sz w:val="22"/>
        </w:rPr>
        <w:t>- Integrate draft expiry with notification system</w:t>
      </w:r>
    </w:p>
    <w:p>
      <w:pPr>
        <w:spacing w:after="80" w:line="293" w:lineRule="auto"/>
        <w:ind w:left="283"/>
        <w:jc w:val="left"/>
      </w:pPr>
      <w:r>
        <w:rPr>
          <w:rFonts w:ascii="Times New Roman" w:hAnsi="Times New Roman" w:cs="Times New Roman"/>
          <w:b w:val="0"/>
          <w:i w:val="0"/>
          <w:sz w:val="22"/>
        </w:rPr>
        <w:t>- Integrate draft restoration with Company Admin</w:t>
      </w:r>
    </w:p>
    <w:p>
      <w:pPr>
        <w:keepNext/>
        <w:spacing w:before="140" w:after="60"/>
        <w:outlineLvl w:val="3"/>
      </w:pPr>
      <w:r>
        <w:rPr>
          <w:rFonts w:ascii="Arial" w:hAnsi="Arial" w:cs="Arial"/>
          <w:b/>
          <w:i/>
          <w:color w:val="333333"/>
          <w:sz w:val="22"/>
        </w:rPr>
        <w:t>6.16.9.4 Testing</w:t>
      </w:r>
    </w:p>
    <w:p>
      <w:pPr>
        <w:spacing w:after="80" w:line="293" w:lineRule="auto"/>
        <w:ind w:left="283"/>
        <w:jc w:val="left"/>
      </w:pPr>
      <w:r>
        <w:rPr>
          <w:rFonts w:ascii="Times New Roman" w:hAnsi="Times New Roman" w:cs="Times New Roman"/>
          <w:b w:val="0"/>
          <w:i w:val="0"/>
          <w:sz w:val="22"/>
        </w:rPr>
        <w:t>- Unit tests: draft save and load</w:t>
      </w:r>
    </w:p>
    <w:p>
      <w:pPr>
        <w:spacing w:after="80" w:line="293" w:lineRule="auto"/>
        <w:ind w:left="283"/>
        <w:jc w:val="left"/>
      </w:pPr>
      <w:r>
        <w:rPr>
          <w:rFonts w:ascii="Times New Roman" w:hAnsi="Times New Roman" w:cs="Times New Roman"/>
          <w:b w:val="0"/>
          <w:i w:val="0"/>
          <w:sz w:val="22"/>
        </w:rPr>
        <w:t>- Unit tests: draft expiry logic</w:t>
      </w:r>
    </w:p>
    <w:p>
      <w:pPr>
        <w:spacing w:after="80" w:line="293" w:lineRule="auto"/>
        <w:ind w:left="283"/>
        <w:jc w:val="left"/>
      </w:pPr>
      <w:r>
        <w:rPr>
          <w:rFonts w:ascii="Times New Roman" w:hAnsi="Times New Roman" w:cs="Times New Roman"/>
          <w:b w:val="0"/>
          <w:i w:val="0"/>
          <w:sz w:val="22"/>
        </w:rPr>
        <w:t>- Unit tests: draft reminders</w:t>
      </w:r>
    </w:p>
    <w:p>
      <w:pPr>
        <w:spacing w:after="80" w:line="293" w:lineRule="auto"/>
        <w:ind w:left="283"/>
        <w:jc w:val="left"/>
      </w:pPr>
      <w:r>
        <w:rPr>
          <w:rFonts w:ascii="Times New Roman" w:hAnsi="Times New Roman" w:cs="Times New Roman"/>
          <w:b w:val="0"/>
          <w:i w:val="0"/>
          <w:sz w:val="22"/>
        </w:rPr>
        <w:t>- Integration tests: auto-save → recovery → continue</w:t>
      </w:r>
    </w:p>
    <w:p>
      <w:pPr>
        <w:spacing w:after="80" w:line="293" w:lineRule="auto"/>
        <w:ind w:left="283"/>
        <w:jc w:val="left"/>
      </w:pPr>
      <w:r>
        <w:rPr>
          <w:rFonts w:ascii="Times New Roman" w:hAnsi="Times New Roman" w:cs="Times New Roman"/>
          <w:b w:val="0"/>
          <w:i w:val="0"/>
          <w:sz w:val="22"/>
        </w:rPr>
        <w:t>- Integration tests: draft expiry → reminder → archive</w:t>
      </w:r>
    </w:p>
    <w:p>
      <w:pPr>
        <w:spacing w:after="80" w:line="293" w:lineRule="auto"/>
        <w:ind w:left="283"/>
        <w:jc w:val="left"/>
      </w:pPr>
      <w:r>
        <w:rPr>
          <w:rFonts w:ascii="Times New Roman" w:hAnsi="Times New Roman" w:cs="Times New Roman"/>
          <w:b w:val="0"/>
          <w:i w:val="0"/>
          <w:sz w:val="22"/>
        </w:rPr>
        <w:t>- Integration tests: draft restoration by admin</w:t>
      </w:r>
    </w:p>
    <w:p>
      <w:pPr>
        <w:spacing w:after="80" w:line="293" w:lineRule="auto"/>
        <w:ind w:left="283"/>
        <w:jc w:val="left"/>
      </w:pPr>
      <w:r>
        <w:rPr>
          <w:rFonts w:ascii="Times New Roman" w:hAnsi="Times New Roman" w:cs="Times New Roman"/>
          <w:b w:val="0"/>
          <w:i w:val="0"/>
          <w:sz w:val="22"/>
        </w:rPr>
        <w:t>- End-to-end tests: full draft lifecycle</w:t>
      </w:r>
    </w:p>
    <w:p>
      <w:pPr>
        <w:keepNext/>
        <w:spacing w:before="180" w:after="80"/>
        <w:outlineLvl w:val="2"/>
      </w:pPr>
      <w:r>
        <w:rPr>
          <w:rFonts w:ascii="Arial" w:hAnsi="Arial" w:cs="Arial"/>
          <w:b/>
          <w:i w:val="0"/>
          <w:color w:val="333333"/>
          <w:sz w:val="23"/>
        </w:rPr>
        <w:t>6.16.10 AI Authority Summary (Draft)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Agent</w:t>
            </w:r>
          </w:p>
        </w:tc>
        <w:tc>
          <w:tcPr>
            <w:tcW w:type="dxa" w:w="3213"/>
            <w:shd w:val="clear" w:fill="D9E2F3"/>
          </w:tcPr>
          <w:p>
            <w:pPr>
              <w:spacing w:after="20" w:before="20" w:line="240" w:lineRule="auto"/>
            </w:pPr>
            <w:r/>
            <w:r>
              <w:rPr>
                <w:rFonts w:ascii="Arial" w:hAnsi="Arial" w:cs="Arial"/>
                <w:b/>
                <w:i w:val="0"/>
                <w:sz w:val="18"/>
              </w:rPr>
              <w:t>Authority</w:t>
            </w:r>
          </w:p>
        </w:tc>
        <w:tc>
          <w:tcPr>
            <w:tcW w:type="dxa" w:w="3213"/>
            <w:shd w:val="clear" w:fill="D9E2F3"/>
          </w:tcPr>
          <w:p>
            <w:pPr>
              <w:spacing w:after="20" w:before="20" w:line="240" w:lineRule="auto"/>
            </w:pPr>
            <w:r/>
            <w:r>
              <w:rPr>
                <w:rFonts w:ascii="Arial" w:hAnsi="Arial" w:cs="Arial"/>
                <w:b/>
                <w:i w:val="0"/>
                <w:sz w:val="18"/>
              </w:rPr>
              <w:t>Draft Application</w:t>
            </w:r>
          </w:p>
        </w:tc>
      </w:tr>
      <w:tr>
        <w:tc>
          <w:tcPr>
            <w:tcW w:type="dxa" w:w="3213"/>
          </w:tcPr>
          <w:p>
            <w:pPr>
              <w:spacing w:after="20" w:before="20" w:line="240" w:lineRule="auto"/>
            </w:pPr>
            <w:r/>
            <w:r>
              <w:rPr>
                <w:rFonts w:ascii="Arial" w:hAnsi="Arial" w:cs="Arial"/>
                <w:b w:val="0"/>
                <w:i w:val="0"/>
                <w:sz w:val="17"/>
              </w:rPr>
              <w:t>A1 (Groq)</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AI-generated change summaries in `draft_history.change_summary`</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Gate enforcement</w:t>
            </w:r>
          </w:p>
        </w:tc>
        <w:tc>
          <w:tcPr>
            <w:tcW w:type="dxa" w:w="3213"/>
          </w:tcPr>
          <w:p>
            <w:pPr>
              <w:spacing w:after="20" w:before="20" w:line="240" w:lineRule="auto"/>
            </w:pPr>
            <w:r/>
            <w:r>
              <w:rPr>
                <w:rFonts w:ascii="Arial" w:hAnsi="Arial" w:cs="Arial"/>
                <w:b w:val="0"/>
                <w:i w:val="0"/>
                <w:sz w:val="17"/>
              </w:rPr>
              <w:t>Draft ownership validation on save/load; expiry check at submission</w:t>
            </w:r>
          </w:p>
        </w:tc>
      </w:tr>
    </w:tbl>
    <w:p>
      <w:pPr>
        <w:spacing w:after="120"/>
      </w:pPr>
      <w:r>
        <w:rPr>
          <w:rFonts w:ascii="Times New Roman" w:hAnsi="Times New Roman" w:cs="Times New Roman"/>
          <w:b w:val="0"/>
          <w:i w:val="0"/>
          <w:sz w:val="4"/>
        </w:rPr>
        <w:t xml:space="preserve"> </w:t>
      </w:r>
    </w:p>
    <w:p>
      <w:pPr>
        <w:keepNext/>
        <w:spacing w:before="360" w:after="160"/>
        <w:outlineLvl w:val="0"/>
      </w:pPr>
      <w:r>
        <w:rPr>
          <w:rFonts w:ascii="Arial" w:hAnsi="Arial" w:cs="Arial"/>
          <w:b/>
          <w:i w:val="0"/>
          <w:color w:val="1F3864"/>
          <w:sz w:val="32"/>
        </w:rPr>
        <w:t>7. Financing Pre-Clearance (Conditional Financing Reference — CFR)</w:t>
      </w:r>
    </w:p>
    <w:p>
      <w:pPr>
        <w:keepNext/>
        <w:spacing w:before="240" w:after="100"/>
        <w:outlineLvl w:val="1"/>
      </w:pPr>
      <w:r>
        <w:rPr>
          <w:rFonts w:ascii="Arial" w:hAnsi="Arial" w:cs="Arial"/>
          <w:b/>
          <w:i w:val="0"/>
          <w:color w:val="2E528F"/>
          <w:sz w:val="26"/>
        </w:rPr>
        <w:t>7.1 Purpose &amp; Design Philosophy</w:t>
      </w:r>
    </w:p>
    <w:p>
      <w:pPr>
        <w:spacing w:after="80" w:line="293" w:lineRule="auto"/>
        <w:jc w:val="left"/>
      </w:pPr>
      <w:r>
        <w:rPr>
          <w:rFonts w:ascii="Times New Roman" w:hAnsi="Times New Roman" w:cs="Times New Roman"/>
          <w:b w:val="0"/>
          <w:i w:val="0"/>
          <w:sz w:val="22"/>
        </w:rPr>
        <w:t>Unvalidated financing intent produces "signed but unfundable" contracts, wasted cycles, and damaged counterparty relationships. The CFR mechanism eliminates this class of failure through two-phase financing:</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Phase</w:t>
            </w:r>
          </w:p>
        </w:tc>
        <w:tc>
          <w:tcPr>
            <w:tcW w:type="dxa" w:w="2409"/>
            <w:shd w:val="clear" w:fill="D9E2F3"/>
          </w:tcPr>
          <w:p>
            <w:pPr>
              <w:spacing w:after="20" w:before="20" w:line="240" w:lineRule="auto"/>
            </w:pPr>
            <w:r/>
            <w:r>
              <w:rPr>
                <w:rFonts w:ascii="Arial" w:hAnsi="Arial" w:cs="Arial"/>
                <w:b/>
                <w:i w:val="0"/>
                <w:sz w:val="18"/>
              </w:rPr>
              <w:t>Timing</w:t>
            </w:r>
          </w:p>
        </w:tc>
        <w:tc>
          <w:tcPr>
            <w:tcW w:type="dxa" w:w="2409"/>
            <w:shd w:val="clear" w:fill="D9E2F3"/>
          </w:tcPr>
          <w:p>
            <w:pPr>
              <w:spacing w:after="20" w:before="20" w:line="240" w:lineRule="auto"/>
            </w:pPr>
            <w:r/>
            <w:r>
              <w:rPr>
                <w:rFonts w:ascii="Arial" w:hAnsi="Arial" w:cs="Arial"/>
                <w:b/>
                <w:i w:val="0"/>
                <w:sz w:val="18"/>
              </w:rPr>
              <w:t>Output</w:t>
            </w:r>
          </w:p>
        </w:tc>
        <w:tc>
          <w:tcPr>
            <w:tcW w:type="dxa" w:w="2409"/>
            <w:shd w:val="clear" w:fill="D9E2F3"/>
          </w:tcPr>
          <w:p>
            <w:pPr>
              <w:spacing w:after="20" w:before="20" w:line="240" w:lineRule="auto"/>
            </w:pPr>
            <w:r/>
            <w:r>
              <w:rPr>
                <w:rFonts w:ascii="Arial" w:hAnsi="Arial" w:cs="Arial"/>
                <w:b/>
                <w:i w:val="0"/>
                <w:sz w:val="18"/>
              </w:rPr>
              <w:t>Nature</w:t>
            </w:r>
          </w:p>
        </w:tc>
      </w:tr>
      <w:tr>
        <w:tc>
          <w:tcPr>
            <w:tcW w:type="dxa" w:w="2409"/>
          </w:tcPr>
          <w:p>
            <w:pPr>
              <w:spacing w:after="20" w:before="20" w:line="240" w:lineRule="auto"/>
            </w:pPr>
            <w:r/>
            <w:r>
              <w:rPr>
                <w:rFonts w:ascii="Arial" w:hAnsi="Arial" w:cs="Arial"/>
                <w:b w:val="0"/>
                <w:i w:val="0"/>
                <w:sz w:val="17"/>
              </w:rPr>
              <w:t>Phase A — Pre-Clearance</w:t>
            </w:r>
          </w:p>
        </w:tc>
        <w:tc>
          <w:tcPr>
            <w:tcW w:type="dxa" w:w="2409"/>
          </w:tcPr>
          <w:p>
            <w:pPr>
              <w:spacing w:after="20" w:before="20" w:line="240" w:lineRule="auto"/>
            </w:pPr>
            <w:r/>
            <w:r>
              <w:rPr>
                <w:rFonts w:ascii="Arial" w:hAnsi="Arial" w:cs="Arial"/>
                <w:b w:val="0"/>
                <w:i w:val="0"/>
                <w:sz w:val="17"/>
              </w:rPr>
              <w:t>Before contract lock</w:t>
            </w:r>
          </w:p>
        </w:tc>
        <w:tc>
          <w:tcPr>
            <w:tcW w:type="dxa" w:w="2409"/>
          </w:tcPr>
          <w:p>
            <w:pPr>
              <w:spacing w:after="20" w:before="20" w:line="240" w:lineRule="auto"/>
            </w:pPr>
            <w:r/>
            <w:r>
              <w:rPr>
                <w:rFonts w:ascii="Arial" w:hAnsi="Arial" w:cs="Arial"/>
                <w:b w:val="0"/>
                <w:i w:val="0"/>
                <w:sz w:val="17"/>
              </w:rPr>
              <w:t>Conditional Financing Reference (CFR)</w:t>
            </w:r>
          </w:p>
        </w:tc>
        <w:tc>
          <w:tcPr>
            <w:tcW w:type="dxa" w:w="2409"/>
          </w:tcPr>
          <w:p>
            <w:pPr>
              <w:spacing w:after="20" w:before="20" w:line="240" w:lineRule="auto"/>
            </w:pPr>
            <w:r/>
            <w:r>
              <w:rPr>
                <w:rFonts w:ascii="Arial" w:hAnsi="Arial" w:cs="Arial"/>
                <w:b w:val="0"/>
                <w:i w:val="0"/>
                <w:sz w:val="17"/>
              </w:rPr>
              <w:t>Non-binding, indicative</w:t>
            </w:r>
          </w:p>
        </w:tc>
      </w:tr>
      <w:tr>
        <w:tc>
          <w:tcPr>
            <w:tcW w:type="dxa" w:w="2409"/>
          </w:tcPr>
          <w:p>
            <w:pPr>
              <w:spacing w:after="20" w:before="20" w:line="240" w:lineRule="auto"/>
            </w:pPr>
            <w:r/>
            <w:r>
              <w:rPr>
                <w:rFonts w:ascii="Arial" w:hAnsi="Arial" w:cs="Arial"/>
                <w:b w:val="0"/>
                <w:i w:val="0"/>
                <w:sz w:val="17"/>
              </w:rPr>
              <w:t>Phase B — Formal Execution</w:t>
            </w:r>
          </w:p>
        </w:tc>
        <w:tc>
          <w:tcPr>
            <w:tcW w:type="dxa" w:w="2409"/>
          </w:tcPr>
          <w:p>
            <w:pPr>
              <w:spacing w:after="20" w:before="20" w:line="240" w:lineRule="auto"/>
            </w:pPr>
            <w:r/>
            <w:r>
              <w:rPr>
                <w:rFonts w:ascii="Arial" w:hAnsi="Arial" w:cs="Arial"/>
                <w:b w:val="0"/>
                <w:i w:val="0"/>
                <w:sz w:val="17"/>
              </w:rPr>
              <w:t>After contract lock</w:t>
            </w:r>
          </w:p>
        </w:tc>
        <w:tc>
          <w:tcPr>
            <w:tcW w:type="dxa" w:w="2409"/>
          </w:tcPr>
          <w:p>
            <w:pPr>
              <w:spacing w:after="20" w:before="20" w:line="240" w:lineRule="auto"/>
            </w:pPr>
            <w:r/>
            <w:r>
              <w:rPr>
                <w:rFonts w:ascii="Arial" w:hAnsi="Arial" w:cs="Arial"/>
                <w:b w:val="0"/>
                <w:i w:val="0"/>
                <w:sz w:val="17"/>
              </w:rPr>
              <w:t>Formal financing agreement</w:t>
            </w:r>
          </w:p>
        </w:tc>
        <w:tc>
          <w:tcPr>
            <w:tcW w:type="dxa" w:w="2409"/>
          </w:tcPr>
          <w:p>
            <w:pPr>
              <w:spacing w:after="20" w:before="20" w:line="240" w:lineRule="auto"/>
            </w:pPr>
            <w:r/>
            <w:r>
              <w:rPr>
                <w:rFonts w:ascii="Arial" w:hAnsi="Arial" w:cs="Arial"/>
                <w:b w:val="0"/>
                <w:i w:val="0"/>
                <w:sz w:val="17"/>
              </w:rPr>
              <w:t>Binding, executed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principle: financing declarations are data-sovereign. The buyer declares only the buyer's financing needs (Phase 1, Section 6); the seller declares only the seller's financing needs (Phase 2, Section 8). Neither party's financing intent is visible to the counterparty unless explicitly shared through the CFR process. The CFR bridges intent and execution: it converts a private financing declaration into a financier-validated, indicative reference that the Governor can verify before an irreversible contract lock, without ever exposing either party's intent to the counterparty.</w:t>
      </w:r>
    </w:p>
    <w:p>
      <w:pPr>
        <w:spacing w:after="80" w:line="293" w:lineRule="auto"/>
        <w:jc w:val="left"/>
      </w:pPr>
      <w:r>
        <w:rPr>
          <w:rFonts w:ascii="Times New Roman" w:hAnsi="Times New Roman" w:cs="Times New Roman"/>
          <w:b w:val="0"/>
          <w:i w:val="0"/>
          <w:sz w:val="22"/>
        </w:rPr>
        <w:t>A CFR (Conditional Financing Reference) is a non-binding, indicative statement issued by a financier (a BANK or a PFI (Private Financier)) that the financier is willing to consider financing a described trade up to a maximum amount, at an indicative APR (Annual Percentage Rate), subject to conditions precedent and an expiry date. It is not a financing agreement, not a commitment to disburse, and not a credit decision; it is a feasibility signal strong enough to de-risk contract lock.</w:t>
      </w:r>
    </w:p>
    <w:p>
      <w:pPr>
        <w:keepNext/>
        <w:spacing w:before="240" w:after="100"/>
        <w:outlineLvl w:val="1"/>
      </w:pPr>
      <w:r>
        <w:rPr>
          <w:rFonts w:ascii="Arial" w:hAnsi="Arial" w:cs="Arial"/>
          <w:b/>
          <w:i w:val="0"/>
          <w:color w:val="2E528F"/>
          <w:sz w:val="26"/>
        </w:rPr>
        <w:t>7.2 Critical Semantic Distinctions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Concept</w:t>
            </w:r>
          </w:p>
        </w:tc>
        <w:tc>
          <w:tcPr>
            <w:tcW w:type="dxa" w:w="2409"/>
            <w:shd w:val="clear" w:fill="D9E2F3"/>
          </w:tcPr>
          <w:p>
            <w:pPr>
              <w:spacing w:after="20" w:before="20" w:line="240" w:lineRule="auto"/>
            </w:pPr>
            <w:r/>
            <w:r>
              <w:rPr>
                <w:rFonts w:ascii="Arial" w:hAnsi="Arial" w:cs="Arial"/>
                <w:b/>
                <w:i w:val="0"/>
                <w:sz w:val="18"/>
              </w:rPr>
              <w:t>Definition</w:t>
            </w:r>
          </w:p>
        </w:tc>
        <w:tc>
          <w:tcPr>
            <w:tcW w:type="dxa" w:w="2409"/>
            <w:shd w:val="clear" w:fill="D9E2F3"/>
          </w:tcPr>
          <w:p>
            <w:pPr>
              <w:spacing w:after="20" w:before="20" w:line="240" w:lineRule="auto"/>
            </w:pPr>
            <w:r/>
            <w:r>
              <w:rPr>
                <w:rFonts w:ascii="Arial" w:hAnsi="Arial" w:cs="Arial"/>
                <w:b/>
                <w:i w:val="0"/>
                <w:sz w:val="18"/>
              </w:rPr>
              <w:t>Visibility</w:t>
            </w:r>
          </w:p>
        </w:tc>
        <w:tc>
          <w:tcPr>
            <w:tcW w:type="dxa" w:w="2409"/>
            <w:shd w:val="clear" w:fill="D9E2F3"/>
          </w:tcPr>
          <w:p>
            <w:pPr>
              <w:spacing w:after="20" w:before="20" w:line="240" w:lineRule="auto"/>
            </w:pPr>
            <w:r/>
            <w:r>
              <w:rPr>
                <w:rFonts w:ascii="Arial" w:hAnsi="Arial" w:cs="Arial"/>
                <w:b/>
                <w:i w:val="0"/>
                <w:sz w:val="18"/>
              </w:rPr>
              <w:t>Phase</w:t>
            </w:r>
          </w:p>
        </w:tc>
      </w:tr>
      <w:tr>
        <w:tc>
          <w:tcPr>
            <w:tcW w:type="dxa" w:w="2409"/>
          </w:tcPr>
          <w:p>
            <w:pPr>
              <w:spacing w:after="20" w:before="20" w:line="240" w:lineRule="auto"/>
            </w:pPr>
            <w:r/>
            <w:r>
              <w:rPr>
                <w:rFonts w:ascii="Arial" w:hAnsi="Arial" w:cs="Arial"/>
                <w:b w:val="0"/>
                <w:i w:val="0"/>
                <w:sz w:val="17"/>
              </w:rPr>
              <w:t>Financing declaration</w:t>
            </w:r>
          </w:p>
        </w:tc>
        <w:tc>
          <w:tcPr>
            <w:tcW w:type="dxa" w:w="2409"/>
          </w:tcPr>
          <w:p>
            <w:pPr>
              <w:spacing w:after="20" w:before="20" w:line="240" w:lineRule="auto"/>
            </w:pPr>
            <w:r/>
            <w:r>
              <w:rPr>
                <w:rFonts w:ascii="Arial" w:hAnsi="Arial" w:cs="Arial"/>
                <w:b w:val="0"/>
                <w:i w:val="0"/>
                <w:sz w:val="17"/>
              </w:rPr>
              <w:t>Single-party boolean flag (`buyer_financing_required` / `seller_financing_required`)</w:t>
            </w:r>
          </w:p>
        </w:tc>
        <w:tc>
          <w:tcPr>
            <w:tcW w:type="dxa" w:w="2409"/>
          </w:tcPr>
          <w:p>
            <w:pPr>
              <w:spacing w:after="20" w:before="20" w:line="240" w:lineRule="auto"/>
            </w:pPr>
            <w:r/>
            <w:r>
              <w:rPr>
                <w:rFonts w:ascii="Arial" w:hAnsi="Arial" w:cs="Arial"/>
                <w:b w:val="0"/>
                <w:i w:val="0"/>
                <w:sz w:val="17"/>
              </w:rPr>
              <w:t>Declaring party only</w:t>
            </w:r>
          </w:p>
        </w:tc>
        <w:tc>
          <w:tcPr>
            <w:tcW w:type="dxa" w:w="2409"/>
          </w:tcPr>
          <w:p>
            <w:pPr>
              <w:spacing w:after="20" w:before="20" w:line="240" w:lineRule="auto"/>
            </w:pPr>
            <w:r/>
            <w:r>
              <w:rPr>
                <w:rFonts w:ascii="Arial" w:hAnsi="Arial" w:cs="Arial"/>
                <w:b w:val="0"/>
                <w:i w:val="0"/>
                <w:sz w:val="17"/>
              </w:rPr>
              <w:t>Phase 1 / Phase 2</w:t>
            </w:r>
          </w:p>
        </w:tc>
      </w:tr>
      <w:tr>
        <w:tc>
          <w:tcPr>
            <w:tcW w:type="dxa" w:w="2409"/>
          </w:tcPr>
          <w:p>
            <w:pPr>
              <w:spacing w:after="20" w:before="20" w:line="240" w:lineRule="auto"/>
            </w:pPr>
            <w:r/>
            <w:r>
              <w:rPr>
                <w:rFonts w:ascii="Arial" w:hAnsi="Arial" w:cs="Arial"/>
                <w:b w:val="0"/>
                <w:i w:val="0"/>
                <w:sz w:val="17"/>
              </w:rPr>
              <w:t>Trade Digest</w:t>
            </w:r>
          </w:p>
        </w:tc>
        <w:tc>
          <w:tcPr>
            <w:tcW w:type="dxa" w:w="2409"/>
          </w:tcPr>
          <w:p>
            <w:pPr>
              <w:spacing w:after="20" w:before="20" w:line="240" w:lineRule="auto"/>
            </w:pPr>
            <w:r/>
            <w:r>
              <w:rPr>
                <w:rFonts w:ascii="Arial" w:hAnsi="Arial" w:cs="Arial"/>
                <w:b w:val="0"/>
                <w:i w:val="0"/>
                <w:sz w:val="17"/>
              </w:rPr>
              <w:t>Privacy-preserving description of the trade (masked parties)</w:t>
            </w:r>
          </w:p>
        </w:tc>
        <w:tc>
          <w:tcPr>
            <w:tcW w:type="dxa" w:w="2409"/>
          </w:tcPr>
          <w:p>
            <w:pPr>
              <w:spacing w:after="20" w:before="20" w:line="240" w:lineRule="auto"/>
            </w:pPr>
            <w:r/>
            <w:r>
              <w:rPr>
                <w:rFonts w:ascii="Arial" w:hAnsi="Arial" w:cs="Arial"/>
                <w:b w:val="0"/>
                <w:i w:val="0"/>
                <w:sz w:val="17"/>
              </w:rPr>
              <w:t>Selected financier only</w:t>
            </w:r>
          </w:p>
        </w:tc>
        <w:tc>
          <w:tcPr>
            <w:tcW w:type="dxa" w:w="2409"/>
          </w:tcPr>
          <w:p>
            <w:pPr>
              <w:spacing w:after="20" w:before="20" w:line="240" w:lineRule="auto"/>
            </w:pPr>
            <w:r/>
            <w:r>
              <w:rPr>
                <w:rFonts w:ascii="Arial" w:hAnsi="Arial" w:cs="Arial"/>
                <w:b w:val="0"/>
                <w:i w:val="0"/>
                <w:sz w:val="17"/>
              </w:rPr>
              <w:t>Phase A</w:t>
            </w:r>
          </w:p>
        </w:tc>
      </w:tr>
      <w:tr>
        <w:tc>
          <w:tcPr>
            <w:tcW w:type="dxa" w:w="2409"/>
          </w:tcPr>
          <w:p>
            <w:pPr>
              <w:spacing w:after="20" w:before="20" w:line="240" w:lineRule="auto"/>
            </w:pPr>
            <w:r/>
            <w:r>
              <w:rPr>
                <w:rFonts w:ascii="Arial" w:hAnsi="Arial" w:cs="Arial"/>
                <w:b w:val="0"/>
                <w:i w:val="0"/>
                <w:sz w:val="17"/>
              </w:rPr>
              <w:t>CFR (pre-clearance)</w:t>
            </w:r>
          </w:p>
        </w:tc>
        <w:tc>
          <w:tcPr>
            <w:tcW w:type="dxa" w:w="2409"/>
          </w:tcPr>
          <w:p>
            <w:pPr>
              <w:spacing w:after="20" w:before="20" w:line="240" w:lineRule="auto"/>
            </w:pPr>
            <w:r/>
            <w:r>
              <w:rPr>
                <w:rFonts w:ascii="Arial" w:hAnsi="Arial" w:cs="Arial"/>
                <w:b w:val="0"/>
                <w:i w:val="0"/>
                <w:sz w:val="17"/>
              </w:rPr>
              <w:t>Non-binding, indicative financing reference with amount, APR, conditions, validity</w:t>
            </w:r>
          </w:p>
        </w:tc>
        <w:tc>
          <w:tcPr>
            <w:tcW w:type="dxa" w:w="2409"/>
          </w:tcPr>
          <w:p>
            <w:pPr>
              <w:spacing w:after="20" w:before="20" w:line="240" w:lineRule="auto"/>
            </w:pPr>
            <w:r/>
            <w:r>
              <w:rPr>
                <w:rFonts w:ascii="Arial" w:hAnsi="Arial" w:cs="Arial"/>
                <w:b w:val="0"/>
                <w:i w:val="0"/>
                <w:sz w:val="17"/>
              </w:rPr>
              <w:t>Borrower and issuing financier</w:t>
            </w:r>
          </w:p>
        </w:tc>
        <w:tc>
          <w:tcPr>
            <w:tcW w:type="dxa" w:w="2409"/>
          </w:tcPr>
          <w:p>
            <w:pPr>
              <w:spacing w:after="20" w:before="20" w:line="240" w:lineRule="auto"/>
            </w:pPr>
            <w:r/>
            <w:r>
              <w:rPr>
                <w:rFonts w:ascii="Arial" w:hAnsi="Arial" w:cs="Arial"/>
                <w:b w:val="0"/>
                <w:i w:val="0"/>
                <w:sz w:val="17"/>
              </w:rPr>
              <w:t>Phase A</w:t>
            </w:r>
          </w:p>
        </w:tc>
      </w:tr>
      <w:tr>
        <w:tc>
          <w:tcPr>
            <w:tcW w:type="dxa" w:w="2409"/>
          </w:tcPr>
          <w:p>
            <w:pPr>
              <w:spacing w:after="20" w:before="20" w:line="240" w:lineRule="auto"/>
            </w:pPr>
            <w:r/>
            <w:r>
              <w:rPr>
                <w:rFonts w:ascii="Arial" w:hAnsi="Arial" w:cs="Arial"/>
                <w:b w:val="0"/>
                <w:i w:val="0"/>
                <w:sz w:val="17"/>
              </w:rPr>
              <w:t>Formal financing request</w:t>
            </w:r>
          </w:p>
        </w:tc>
        <w:tc>
          <w:tcPr>
            <w:tcW w:type="dxa" w:w="2409"/>
          </w:tcPr>
          <w:p>
            <w:pPr>
              <w:spacing w:after="20" w:before="20" w:line="240" w:lineRule="auto"/>
            </w:pPr>
            <w:r/>
            <w:r>
              <w:rPr>
                <w:rFonts w:ascii="Arial" w:hAnsi="Arial" w:cs="Arial"/>
                <w:b w:val="0"/>
                <w:i w:val="0"/>
                <w:sz w:val="17"/>
              </w:rPr>
              <w:t>Binding request created from contract data + CFR at lock (`financing_requests`)</w:t>
            </w:r>
          </w:p>
        </w:tc>
        <w:tc>
          <w:tcPr>
            <w:tcW w:type="dxa" w:w="2409"/>
          </w:tcPr>
          <w:p>
            <w:pPr>
              <w:spacing w:after="20" w:before="20" w:line="240" w:lineRule="auto"/>
            </w:pPr>
            <w:r/>
            <w:r>
              <w:rPr>
                <w:rFonts w:ascii="Arial" w:hAnsi="Arial" w:cs="Arial"/>
                <w:b w:val="0"/>
                <w:i w:val="0"/>
                <w:sz w:val="17"/>
              </w:rPr>
              <w:t>Borrower and financier (full visibility)</w:t>
            </w:r>
          </w:p>
        </w:tc>
        <w:tc>
          <w:tcPr>
            <w:tcW w:type="dxa" w:w="2409"/>
          </w:tcPr>
          <w:p>
            <w:pPr>
              <w:spacing w:after="20" w:before="20" w:line="240" w:lineRule="auto"/>
            </w:pPr>
            <w:r/>
            <w:r>
              <w:rPr>
                <w:rFonts w:ascii="Arial" w:hAnsi="Arial" w:cs="Arial"/>
                <w:b w:val="0"/>
                <w:i w:val="0"/>
                <w:sz w:val="17"/>
              </w:rPr>
              <w:t>Phase B</w:t>
            </w:r>
          </w:p>
        </w:tc>
      </w:tr>
      <w:tr>
        <w:tc>
          <w:tcPr>
            <w:tcW w:type="dxa" w:w="2409"/>
          </w:tcPr>
          <w:p>
            <w:pPr>
              <w:spacing w:after="20" w:before="20" w:line="240" w:lineRule="auto"/>
            </w:pPr>
            <w:r/>
            <w:r>
              <w:rPr>
                <w:rFonts w:ascii="Arial" w:hAnsi="Arial" w:cs="Arial"/>
                <w:b w:val="0"/>
                <w:i w:val="0"/>
                <w:sz w:val="17"/>
              </w:rPr>
              <w:t>Financing agreement / disbursement</w:t>
            </w:r>
          </w:p>
        </w:tc>
        <w:tc>
          <w:tcPr>
            <w:tcW w:type="dxa" w:w="2409"/>
          </w:tcPr>
          <w:p>
            <w:pPr>
              <w:spacing w:after="20" w:before="20" w:line="240" w:lineRule="auto"/>
            </w:pPr>
            <w:r/>
            <w:r>
              <w:rPr>
                <w:rFonts w:ascii="Arial" w:hAnsi="Arial" w:cs="Arial"/>
                <w:b w:val="0"/>
                <w:i w:val="0"/>
                <w:sz w:val="17"/>
              </w:rPr>
              <w:t>Executed agreement; funds flow bank-to-bank under signed mandates</w:t>
            </w:r>
          </w:p>
        </w:tc>
        <w:tc>
          <w:tcPr>
            <w:tcW w:type="dxa" w:w="2409"/>
          </w:tcPr>
          <w:p>
            <w:pPr>
              <w:spacing w:after="20" w:before="20" w:line="240" w:lineRule="auto"/>
            </w:pPr>
            <w:r/>
            <w:r>
              <w:rPr>
                <w:rFonts w:ascii="Arial" w:hAnsi="Arial" w:cs="Arial"/>
                <w:b w:val="0"/>
                <w:i w:val="0"/>
                <w:sz w:val="17"/>
              </w:rPr>
              <w:t>Borrower, financier, SGTX (fee split)</w:t>
            </w:r>
          </w:p>
        </w:tc>
        <w:tc>
          <w:tcPr>
            <w:tcW w:type="dxa" w:w="2409"/>
          </w:tcPr>
          <w:p>
            <w:pPr>
              <w:spacing w:after="20" w:before="20" w:line="240" w:lineRule="auto"/>
            </w:pPr>
            <w:r/>
            <w:r>
              <w:rPr>
                <w:rFonts w:ascii="Arial" w:hAnsi="Arial" w:cs="Arial"/>
                <w:b w:val="0"/>
                <w:i w:val="0"/>
                <w:sz w:val="17"/>
              </w:rPr>
              <w:t>Phase B</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Additional distinctions enforced by the model:</w:t>
      </w:r>
    </w:p>
    <w:p>
      <w:pPr>
        <w:spacing w:after="80" w:line="293" w:lineRule="auto"/>
        <w:ind w:left="283"/>
        <w:jc w:val="left"/>
      </w:pPr>
      <w:r>
        <w:rPr>
          <w:rFonts w:ascii="Times New Roman" w:hAnsi="Times New Roman" w:cs="Times New Roman"/>
          <w:b w:val="0"/>
          <w:i w:val="0"/>
          <w:sz w:val="22"/>
        </w:rPr>
        <w:t>- Indicative vs. binding — the CFR's `conditional_apr` is subject to final due diligence; only the Phase B</w:t>
      </w:r>
    </w:p>
    <w:p>
      <w:pPr>
        <w:spacing w:after="80" w:line="293" w:lineRule="auto"/>
        <w:jc w:val="left"/>
      </w:pPr>
      <w:r>
        <w:rPr>
          <w:rFonts w:ascii="Times New Roman" w:hAnsi="Times New Roman" w:cs="Times New Roman"/>
          <w:b w:val="0"/>
          <w:i w:val="0"/>
          <w:sz w:val="22"/>
        </w:rPr>
        <w:t>agreement is binding.</w:t>
      </w:r>
    </w:p>
    <w:p>
      <w:pPr>
        <w:spacing w:after="80" w:line="293" w:lineRule="auto"/>
        <w:ind w:left="283"/>
        <w:jc w:val="left"/>
      </w:pPr>
      <w:r>
        <w:rPr>
          <w:rFonts w:ascii="Times New Roman" w:hAnsi="Times New Roman" w:cs="Times New Roman"/>
          <w:b w:val="0"/>
          <w:i w:val="0"/>
          <w:sz w:val="22"/>
        </w:rPr>
        <w:t>- Data-sovereignty vs. counterparty visibility — no shared, counterparty, or either-party financing flags</w:t>
      </w:r>
    </w:p>
    <w:p>
      <w:pPr>
        <w:spacing w:after="80" w:line="293" w:lineRule="auto"/>
        <w:jc w:val="left"/>
      </w:pPr>
      <w:r>
        <w:rPr>
          <w:rFonts w:ascii="Times New Roman" w:hAnsi="Times New Roman" w:cs="Times New Roman"/>
          <w:b w:val="0"/>
          <w:i w:val="0"/>
          <w:sz w:val="22"/>
        </w:rPr>
        <w:t>exist anywhere in the request model; visibility begins only inside the CFR process.</w:t>
      </w:r>
    </w:p>
    <w:p>
      <w:pPr>
        <w:spacing w:after="80" w:line="293" w:lineRule="auto"/>
        <w:ind w:left="283"/>
        <w:jc w:val="left"/>
      </w:pPr>
      <w:r>
        <w:rPr>
          <w:rFonts w:ascii="Times New Roman" w:hAnsi="Times New Roman" w:cs="Times New Roman"/>
          <w:b w:val="0"/>
          <w:i w:val="0"/>
          <w:sz w:val="22"/>
        </w:rPr>
        <w:t>- Pre-clearance validation vs. credit decision — the Governor verifies that a valid CFR exists at lock</w:t>
      </w:r>
    </w:p>
    <w:p>
      <w:pPr>
        <w:spacing w:after="80" w:line="293" w:lineRule="auto"/>
        <w:jc w:val="left"/>
      </w:pPr>
      <w:r>
        <w:rPr>
          <w:rFonts w:ascii="Times New Roman" w:hAnsi="Times New Roman" w:cs="Times New Roman"/>
          <w:b w:val="0"/>
          <w:i w:val="0"/>
          <w:sz w:val="22"/>
        </w:rPr>
        <w:t>(G3U12/G3U13); it does not evaluate credit quality. Credit evaluation is the financier's decision in Phase B.</w:t>
      </w:r>
    </w:p>
    <w:p>
      <w:pPr>
        <w:spacing w:after="80" w:line="293" w:lineRule="auto"/>
        <w:ind w:left="283"/>
        <w:jc w:val="left"/>
      </w:pPr>
      <w:r>
        <w:rPr>
          <w:rFonts w:ascii="Times New Roman" w:hAnsi="Times New Roman" w:cs="Times New Roman"/>
          <w:b w:val="0"/>
          <w:i w:val="0"/>
          <w:sz w:val="22"/>
        </w:rPr>
        <w:t>- BANK vs. PFI financiers — both financier classes can issue CFRs; both are validated for active status and</w:t>
      </w:r>
    </w:p>
    <w:p>
      <w:pPr>
        <w:spacing w:after="80" w:line="293" w:lineRule="auto"/>
        <w:jc w:val="left"/>
      </w:pPr>
      <w:r>
        <w:rPr>
          <w:rFonts w:ascii="Times New Roman" w:hAnsi="Times New Roman" w:cs="Times New Roman"/>
          <w:b w:val="0"/>
          <w:i w:val="0"/>
          <w:sz w:val="22"/>
        </w:rPr>
        <w:t>jurisdiction/corridor coverage.</w:t>
      </w:r>
    </w:p>
    <w:p>
      <w:pPr>
        <w:keepNext/>
        <w:spacing w:before="240" w:after="100"/>
        <w:outlineLvl w:val="1"/>
      </w:pPr>
      <w:r>
        <w:rPr>
          <w:rFonts w:ascii="Arial" w:hAnsi="Arial" w:cs="Arial"/>
          <w:b/>
          <w:i w:val="0"/>
          <w:color w:val="2E528F"/>
          <w:sz w:val="26"/>
        </w:rPr>
        <w:t>7.3 Phase A — Pre-Clearance (Before Contract Lock)</w:t>
      </w:r>
    </w:p>
    <w:p>
      <w:pPr>
        <w:keepNext/>
        <w:spacing w:before="180" w:after="80"/>
        <w:outlineLvl w:val="2"/>
      </w:pPr>
      <w:r>
        <w:rPr>
          <w:rFonts w:ascii="Arial" w:hAnsi="Arial" w:cs="Arial"/>
          <w:b/>
          <w:i w:val="0"/>
          <w:color w:val="333333"/>
          <w:sz w:val="23"/>
        </w:rPr>
        <w:t>7.3.1 Step A1 — Borrower Declares Financing Requirement</w:t>
      </w:r>
    </w:p>
    <w:p>
      <w:pPr>
        <w:spacing w:after="80" w:line="293" w:lineRule="auto"/>
        <w:jc w:val="left"/>
      </w:pPr>
      <w:r>
        <w:rPr>
          <w:rFonts w:ascii="Times New Roman" w:hAnsi="Times New Roman" w:cs="Times New Roman"/>
          <w:b w:val="0"/>
          <w:i w:val="0"/>
          <w:sz w:val="22"/>
        </w:rPr>
        <w:t>The borrower declares the financing requirement through a single-party toggle:</w:t>
      </w:r>
    </w:p>
    <w:p>
      <w:pPr>
        <w:spacing w:after="80" w:line="293" w:lineRule="auto"/>
        <w:ind w:left="283"/>
        <w:jc w:val="left"/>
      </w:pPr>
      <w:r>
        <w:rPr>
          <w:rFonts w:ascii="Times New Roman" w:hAnsi="Times New Roman" w:cs="Times New Roman"/>
          <w:b w:val="0"/>
          <w:i w:val="0"/>
          <w:sz w:val="22"/>
        </w:rPr>
        <w:t>- Buyer: `buyer_financing_required = true` (Phase 1, Step 2, Section 6.2.5). The toggle reads "I will</w:t>
      </w:r>
    </w:p>
    <w:p>
      <w:pPr>
        <w:spacing w:after="80" w:line="293" w:lineRule="auto"/>
        <w:jc w:val="left"/>
      </w:pPr>
      <w:r>
        <w:rPr>
          <w:rFonts w:ascii="Times New Roman" w:hAnsi="Times New Roman" w:cs="Times New Roman"/>
          <w:b w:val="0"/>
          <w:i w:val="0"/>
          <w:sz w:val="22"/>
        </w:rPr>
        <w:t>require financing for this trade."</w:t>
      </w:r>
    </w:p>
    <w:p>
      <w:pPr>
        <w:spacing w:after="80" w:line="293" w:lineRule="auto"/>
        <w:ind w:left="283"/>
        <w:jc w:val="left"/>
      </w:pPr>
      <w:r>
        <w:rPr>
          <w:rFonts w:ascii="Times New Roman" w:hAnsi="Times New Roman" w:cs="Times New Roman"/>
          <w:b w:val="0"/>
          <w:i w:val="0"/>
          <w:sz w:val="22"/>
        </w:rPr>
        <w:t>- Seller: `seller_financing_required = true` (Phase 2, quote submission, Section 8).</w:t>
      </w:r>
    </w:p>
    <w:p>
      <w:pPr>
        <w:spacing w:after="80" w:line="293" w:lineRule="auto"/>
        <w:jc w:val="left"/>
      </w:pPr>
      <w:r>
        <w:rPr>
          <w:rFonts w:ascii="Times New Roman" w:hAnsi="Times New Roman" w:cs="Times New Roman"/>
          <w:b w:val="0"/>
          <w:i w:val="0"/>
          <w:sz w:val="22"/>
        </w:rPr>
        <w:t>UI: a simple toggle. No counterparty visibility. The declaration is stored on the declaring party's record (`trade_requests.buyer_financing_required` or the seller quote record) and is never rendered to the counterparty.</w:t>
      </w:r>
    </w:p>
    <w:p>
      <w:pPr>
        <w:keepNext/>
        <w:spacing w:before="180" w:after="80"/>
        <w:outlineLvl w:val="2"/>
      </w:pPr>
      <w:r>
        <w:rPr>
          <w:rFonts w:ascii="Arial" w:hAnsi="Arial" w:cs="Arial"/>
          <w:b/>
          <w:i w:val="0"/>
          <w:color w:val="333333"/>
          <w:sz w:val="23"/>
        </w:rPr>
        <w:t>7.3.2 Step A2 — Borrower Selects Financier</w:t>
      </w:r>
    </w:p>
    <w:p>
      <w:pPr>
        <w:spacing w:after="80" w:line="293" w:lineRule="auto"/>
        <w:jc w:val="left"/>
      </w:pPr>
      <w:r>
        <w:rPr>
          <w:rFonts w:ascii="Times New Roman" w:hAnsi="Times New Roman" w:cs="Times New Roman"/>
          <w:b w:val="0"/>
          <w:i w:val="0"/>
          <w:sz w:val="22"/>
        </w:rPr>
        <w:t>The borrower selects a financier (BANK or PFI) from saved contacts. The system filters financiers by: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Filter</w:t>
            </w:r>
          </w:p>
        </w:tc>
        <w:tc>
          <w:tcPr>
            <w:tcW w:type="dxa" w:w="4819"/>
            <w:shd w:val="clear" w:fill="D9E2F3"/>
          </w:tcPr>
          <w:p>
            <w:pPr>
              <w:spacing w:after="20" w:before="20" w:line="240" w:lineRule="auto"/>
            </w:pPr>
            <w:r/>
            <w:r>
              <w:rPr>
                <w:rFonts w:ascii="Arial" w:hAnsi="Arial" w:cs="Arial"/>
                <w:b/>
                <w:i w:val="0"/>
                <w:sz w:val="18"/>
              </w:rPr>
              <w:t>Rule</w:t>
            </w:r>
          </w:p>
        </w:tc>
      </w:tr>
      <w:tr>
        <w:tc>
          <w:tcPr>
            <w:tcW w:type="dxa" w:w="4819"/>
          </w:tcPr>
          <w:p>
            <w:pPr>
              <w:spacing w:after="20" w:before="20" w:line="240" w:lineRule="auto"/>
            </w:pPr>
            <w:r/>
            <w:r>
              <w:rPr>
                <w:rFonts w:ascii="Arial" w:hAnsi="Arial" w:cs="Arial"/>
                <w:b w:val="0"/>
                <w:i w:val="0"/>
                <w:sz w:val="17"/>
              </w:rPr>
              <w:t>Jurisdiction coverage</w:t>
            </w:r>
          </w:p>
        </w:tc>
        <w:tc>
          <w:tcPr>
            <w:tcW w:type="dxa" w:w="4819"/>
          </w:tcPr>
          <w:p>
            <w:pPr>
              <w:spacing w:after="20" w:before="20" w:line="240" w:lineRule="auto"/>
            </w:pPr>
            <w:r/>
            <w:r>
              <w:rPr>
                <w:rFonts w:ascii="Arial" w:hAnsi="Arial" w:cs="Arial"/>
                <w:b w:val="0"/>
                <w:i w:val="0"/>
                <w:sz w:val="17"/>
              </w:rPr>
              <w:t>Financier's active coverage includes the relevant jurisdiction</w:t>
            </w:r>
          </w:p>
        </w:tc>
      </w:tr>
      <w:tr>
        <w:tc>
          <w:tcPr>
            <w:tcW w:type="dxa" w:w="4819"/>
          </w:tcPr>
          <w:p>
            <w:pPr>
              <w:spacing w:after="20" w:before="20" w:line="240" w:lineRule="auto"/>
            </w:pPr>
            <w:r/>
            <w:r>
              <w:rPr>
                <w:rFonts w:ascii="Arial" w:hAnsi="Arial" w:cs="Arial"/>
                <w:b w:val="0"/>
                <w:i w:val="0"/>
                <w:sz w:val="17"/>
              </w:rPr>
              <w:t>Corridor coverage</w:t>
            </w:r>
          </w:p>
        </w:tc>
        <w:tc>
          <w:tcPr>
            <w:tcW w:type="dxa" w:w="4819"/>
          </w:tcPr>
          <w:p>
            <w:pPr>
              <w:spacing w:after="20" w:before="20" w:line="240" w:lineRule="auto"/>
            </w:pPr>
            <w:r/>
            <w:r>
              <w:rPr>
                <w:rFonts w:ascii="Arial" w:hAnsi="Arial" w:cs="Arial"/>
                <w:b w:val="0"/>
                <w:i w:val="0"/>
                <w:sz w:val="17"/>
              </w:rPr>
              <w:t>Financier covers the origin–destination corridor</w:t>
            </w:r>
          </w:p>
        </w:tc>
      </w:tr>
      <w:tr>
        <w:tc>
          <w:tcPr>
            <w:tcW w:type="dxa" w:w="4819"/>
          </w:tcPr>
          <w:p>
            <w:pPr>
              <w:spacing w:after="20" w:before="20" w:line="240" w:lineRule="auto"/>
            </w:pPr>
            <w:r/>
            <w:r>
              <w:rPr>
                <w:rFonts w:ascii="Arial" w:hAnsi="Arial" w:cs="Arial"/>
                <w:b w:val="0"/>
                <w:i w:val="0"/>
                <w:sz w:val="17"/>
              </w:rPr>
              <w:t>Active status</w:t>
            </w:r>
          </w:p>
        </w:tc>
        <w:tc>
          <w:tcPr>
            <w:tcW w:type="dxa" w:w="4819"/>
          </w:tcPr>
          <w:p>
            <w:pPr>
              <w:spacing w:after="20" w:before="20" w:line="240" w:lineRule="auto"/>
            </w:pPr>
            <w:r/>
            <w:r>
              <w:rPr>
                <w:rFonts w:ascii="Arial" w:hAnsi="Arial" w:cs="Arial"/>
                <w:b w:val="0"/>
                <w:i w:val="0"/>
                <w:sz w:val="17"/>
              </w:rPr>
              <w:t>Financier tenant is active and in good standing</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selected financier GTID is stored on the pre-clearance request.</w:t>
      </w:r>
    </w:p>
    <w:p>
      <w:pPr>
        <w:keepNext/>
        <w:spacing w:before="180" w:after="80"/>
        <w:outlineLvl w:val="2"/>
      </w:pPr>
      <w:r>
        <w:rPr>
          <w:rFonts w:ascii="Arial" w:hAnsi="Arial" w:cs="Arial"/>
          <w:b/>
          <w:i w:val="0"/>
          <w:color w:val="333333"/>
          <w:sz w:val="23"/>
        </w:rPr>
        <w:t>7.3.3 Step A3 — System Compiles the Trade Digest (Privacy-Preserving)</w:t>
      </w:r>
    </w:p>
    <w:p>
      <w:pPr>
        <w:spacing w:after="80" w:line="293" w:lineRule="auto"/>
        <w:jc w:val="left"/>
      </w:pPr>
      <w:r>
        <w:rPr>
          <w:rFonts w:ascii="Times New Roman" w:hAnsi="Times New Roman" w:cs="Times New Roman"/>
          <w:b w:val="0"/>
          <w:i w:val="0"/>
          <w:sz w:val="22"/>
        </w:rPr>
        <w:t>The system compiles a privacy-preserving Trade Digest from the trade request. Contents: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Digest Field</w:t>
            </w:r>
          </w:p>
        </w:tc>
        <w:tc>
          <w:tcPr>
            <w:tcW w:type="dxa" w:w="4819"/>
            <w:shd w:val="clear" w:fill="D9E2F3"/>
          </w:tcPr>
          <w:p>
            <w:pPr>
              <w:spacing w:after="20" w:before="20" w:line="240" w:lineRule="auto"/>
            </w:pPr>
            <w:r/>
            <w:r>
              <w:rPr>
                <w:rFonts w:ascii="Arial" w:hAnsi="Arial" w:cs="Arial"/>
                <w:b/>
                <w:i w:val="0"/>
                <w:sz w:val="18"/>
              </w:rPr>
              <w:t>Content</w:t>
            </w:r>
          </w:p>
        </w:tc>
      </w:tr>
      <w:tr>
        <w:tc>
          <w:tcPr>
            <w:tcW w:type="dxa" w:w="4819"/>
          </w:tcPr>
          <w:p>
            <w:pPr>
              <w:spacing w:after="20" w:before="20" w:line="240" w:lineRule="auto"/>
            </w:pPr>
            <w:r/>
            <w:r>
              <w:rPr>
                <w:rFonts w:ascii="Arial" w:hAnsi="Arial" w:cs="Arial"/>
                <w:b w:val="0"/>
                <w:i w:val="0"/>
                <w:sz w:val="17"/>
              </w:rPr>
              <w:t>Commodity &amp; HS code</w:t>
            </w:r>
          </w:p>
        </w:tc>
        <w:tc>
          <w:tcPr>
            <w:tcW w:type="dxa" w:w="4819"/>
          </w:tcPr>
          <w:p>
            <w:pPr>
              <w:spacing w:after="20" w:before="20" w:line="240" w:lineRule="auto"/>
            </w:pPr>
            <w:r/>
            <w:r>
              <w:rPr>
                <w:rFonts w:ascii="Arial" w:hAnsi="Arial" w:cs="Arial"/>
                <w:b w:val="0"/>
                <w:i w:val="0"/>
                <w:sz w:val="17"/>
              </w:rPr>
              <w:t>Commodity description and HS code</w:t>
            </w:r>
          </w:p>
        </w:tc>
      </w:tr>
      <w:tr>
        <w:tc>
          <w:tcPr>
            <w:tcW w:type="dxa" w:w="4819"/>
          </w:tcPr>
          <w:p>
            <w:pPr>
              <w:spacing w:after="20" w:before="20" w:line="240" w:lineRule="auto"/>
            </w:pPr>
            <w:r/>
            <w:r>
              <w:rPr>
                <w:rFonts w:ascii="Arial" w:hAnsi="Arial" w:cs="Arial"/>
                <w:b w:val="0"/>
                <w:i w:val="0"/>
                <w:sz w:val="17"/>
              </w:rPr>
              <w:t>Quantity</w:t>
            </w:r>
          </w:p>
        </w:tc>
        <w:tc>
          <w:tcPr>
            <w:tcW w:type="dxa" w:w="4819"/>
          </w:tcPr>
          <w:p>
            <w:pPr>
              <w:spacing w:after="20" w:before="20" w:line="240" w:lineRule="auto"/>
            </w:pPr>
            <w:r/>
            <w:r>
              <w:rPr>
                <w:rFonts w:ascii="Arial" w:hAnsi="Arial" w:cs="Arial"/>
                <w:b w:val="0"/>
                <w:i w:val="0"/>
                <w:sz w:val="17"/>
              </w:rPr>
              <w:t>Requested quantity and unit</w:t>
            </w:r>
          </w:p>
        </w:tc>
      </w:tr>
      <w:tr>
        <w:tc>
          <w:tcPr>
            <w:tcW w:type="dxa" w:w="4819"/>
          </w:tcPr>
          <w:p>
            <w:pPr>
              <w:spacing w:after="20" w:before="20" w:line="240" w:lineRule="auto"/>
            </w:pPr>
            <w:r/>
            <w:r>
              <w:rPr>
                <w:rFonts w:ascii="Arial" w:hAnsi="Arial" w:cs="Arial"/>
                <w:b w:val="0"/>
                <w:i w:val="0"/>
                <w:sz w:val="17"/>
              </w:rPr>
              <w:t>Weight</w:t>
            </w:r>
          </w:p>
        </w:tc>
        <w:tc>
          <w:tcPr>
            <w:tcW w:type="dxa" w:w="4819"/>
          </w:tcPr>
          <w:p>
            <w:pPr>
              <w:spacing w:after="20" w:before="20" w:line="240" w:lineRule="auto"/>
            </w:pPr>
            <w:r/>
            <w:r>
              <w:rPr>
                <w:rFonts w:ascii="Arial" w:hAnsi="Arial" w:cs="Arial"/>
                <w:b w:val="0"/>
                <w:i w:val="0"/>
                <w:sz w:val="17"/>
              </w:rPr>
              <w:t>Total net/gross weight</w:t>
            </w:r>
          </w:p>
        </w:tc>
      </w:tr>
      <w:tr>
        <w:tc>
          <w:tcPr>
            <w:tcW w:type="dxa" w:w="4819"/>
          </w:tcPr>
          <w:p>
            <w:pPr>
              <w:spacing w:after="20" w:before="20" w:line="240" w:lineRule="auto"/>
            </w:pPr>
            <w:r/>
            <w:r>
              <w:rPr>
                <w:rFonts w:ascii="Arial" w:hAnsi="Arial" w:cs="Arial"/>
                <w:b w:val="0"/>
                <w:i w:val="0"/>
                <w:sz w:val="17"/>
              </w:rPr>
              <w:t>Incoterm</w:t>
            </w:r>
          </w:p>
        </w:tc>
        <w:tc>
          <w:tcPr>
            <w:tcW w:type="dxa" w:w="4819"/>
          </w:tcPr>
          <w:p>
            <w:pPr>
              <w:spacing w:after="20" w:before="20" w:line="240" w:lineRule="auto"/>
            </w:pPr>
            <w:r/>
            <w:r>
              <w:rPr>
                <w:rFonts w:ascii="Arial" w:hAnsi="Arial" w:cs="Arial"/>
                <w:b w:val="0"/>
                <w:i w:val="0"/>
                <w:sz w:val="17"/>
              </w:rPr>
              <w:t>Selected Incoterms 2020 term</w:t>
            </w:r>
          </w:p>
        </w:tc>
      </w:tr>
      <w:tr>
        <w:tc>
          <w:tcPr>
            <w:tcW w:type="dxa" w:w="4819"/>
          </w:tcPr>
          <w:p>
            <w:pPr>
              <w:spacing w:after="20" w:before="20" w:line="240" w:lineRule="auto"/>
            </w:pPr>
            <w:r/>
            <w:r>
              <w:rPr>
                <w:rFonts w:ascii="Arial" w:hAnsi="Arial" w:cs="Arial"/>
                <w:b w:val="0"/>
                <w:i w:val="0"/>
                <w:sz w:val="17"/>
              </w:rPr>
              <w:t>Origin &amp; destination</w:t>
            </w:r>
          </w:p>
        </w:tc>
        <w:tc>
          <w:tcPr>
            <w:tcW w:type="dxa" w:w="4819"/>
          </w:tcPr>
          <w:p>
            <w:pPr>
              <w:spacing w:after="20" w:before="20" w:line="240" w:lineRule="auto"/>
            </w:pPr>
            <w:r/>
            <w:r>
              <w:rPr>
                <w:rFonts w:ascii="Arial" w:hAnsi="Arial" w:cs="Arial"/>
                <w:b w:val="0"/>
                <w:i w:val="0"/>
                <w:sz w:val="17"/>
              </w:rPr>
              <w:t>Origin and destination countries (and ports where relevant)</w:t>
            </w:r>
          </w:p>
        </w:tc>
      </w:tr>
      <w:tr>
        <w:tc>
          <w:tcPr>
            <w:tcW w:type="dxa" w:w="4819"/>
          </w:tcPr>
          <w:p>
            <w:pPr>
              <w:spacing w:after="20" w:before="20" w:line="240" w:lineRule="auto"/>
            </w:pPr>
            <w:r/>
            <w:r>
              <w:rPr>
                <w:rFonts w:ascii="Arial" w:hAnsi="Arial" w:cs="Arial"/>
                <w:b w:val="0"/>
                <w:i w:val="0"/>
                <w:sz w:val="17"/>
              </w:rPr>
              <w:t>Transport mode</w:t>
            </w:r>
          </w:p>
        </w:tc>
        <w:tc>
          <w:tcPr>
            <w:tcW w:type="dxa" w:w="4819"/>
          </w:tcPr>
          <w:p>
            <w:pPr>
              <w:spacing w:after="20" w:before="20" w:line="240" w:lineRule="auto"/>
            </w:pPr>
            <w:r/>
            <w:r>
              <w:rPr>
                <w:rFonts w:ascii="Arial" w:hAnsi="Arial" w:cs="Arial"/>
                <w:b w:val="0"/>
                <w:i w:val="0"/>
                <w:sz w:val="17"/>
              </w:rPr>
              <w:t>Selected mode</w:t>
            </w:r>
          </w:p>
        </w:tc>
      </w:tr>
      <w:tr>
        <w:tc>
          <w:tcPr>
            <w:tcW w:type="dxa" w:w="4819"/>
          </w:tcPr>
          <w:p>
            <w:pPr>
              <w:spacing w:after="20" w:before="20" w:line="240" w:lineRule="auto"/>
            </w:pPr>
            <w:r/>
            <w:r>
              <w:rPr>
                <w:rFonts w:ascii="Arial" w:hAnsi="Arial" w:cs="Arial"/>
                <w:b w:val="0"/>
                <w:i w:val="0"/>
                <w:sz w:val="17"/>
              </w:rPr>
              <w:t>Estimated trade value</w:t>
            </w:r>
          </w:p>
        </w:tc>
        <w:tc>
          <w:tcPr>
            <w:tcW w:type="dxa" w:w="4819"/>
          </w:tcPr>
          <w:p>
            <w:pPr>
              <w:spacing w:after="20" w:before="20" w:line="240" w:lineRule="auto"/>
            </w:pPr>
            <w:r/>
            <w:r>
              <w:rPr>
                <w:rFonts w:ascii="Arial" w:hAnsi="Arial" w:cs="Arial"/>
                <w:b w:val="0"/>
                <w:i w:val="0"/>
                <w:sz w:val="17"/>
              </w:rPr>
              <w:t>Estimated total trade value</w:t>
            </w:r>
          </w:p>
        </w:tc>
      </w:tr>
      <w:tr>
        <w:tc>
          <w:tcPr>
            <w:tcW w:type="dxa" w:w="4819"/>
          </w:tcPr>
          <w:p>
            <w:pPr>
              <w:spacing w:after="20" w:before="20" w:line="240" w:lineRule="auto"/>
            </w:pPr>
            <w:r/>
            <w:r>
              <w:rPr>
                <w:rFonts w:ascii="Arial" w:hAnsi="Arial" w:cs="Arial"/>
                <w:b w:val="0"/>
                <w:i w:val="0"/>
                <w:sz w:val="17"/>
              </w:rPr>
              <w:t>Parties</w:t>
            </w:r>
          </w:p>
        </w:tc>
        <w:tc>
          <w:tcPr>
            <w:tcW w:type="dxa" w:w="4819"/>
          </w:tcPr>
          <w:p>
            <w:pPr>
              <w:spacing w:after="20" w:before="20" w:line="240" w:lineRule="auto"/>
            </w:pPr>
            <w:r/>
            <w:r>
              <w:rPr>
                <w:rFonts w:ascii="Arial" w:hAnsi="Arial" w:cs="Arial"/>
                <w:b w:val="0"/>
                <w:i w:val="0"/>
                <w:sz w:val="17"/>
              </w:rPr>
              <w:t>Buyer and seller legal names — masked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Privacy controls: parties are masked as "Party A" and "Party B"; full legal names are revealed only upon financier acceptance (when the financier engages with the request and accepts the review). The digest is stored in `financing_pre_clearance_requests.trade_digest` (JSONB).</w:t>
      </w:r>
    </w:p>
    <w:p>
      <w:pPr>
        <w:keepNext/>
        <w:spacing w:before="180" w:after="80"/>
        <w:outlineLvl w:val="2"/>
      </w:pPr>
      <w:r>
        <w:rPr>
          <w:rFonts w:ascii="Arial" w:hAnsi="Arial" w:cs="Arial"/>
          <w:b/>
          <w:i w:val="0"/>
          <w:color w:val="333333"/>
          <w:sz w:val="23"/>
        </w:rPr>
        <w:t>7.3.4 Step A4 — Financier Reviews the Digest</w:t>
      </w:r>
    </w:p>
    <w:p>
      <w:pPr>
        <w:spacing w:after="80" w:line="293" w:lineRule="auto"/>
        <w:ind w:left="283"/>
        <w:jc w:val="left"/>
      </w:pPr>
      <w:r>
        <w:rPr>
          <w:rFonts w:ascii="Times New Roman" w:hAnsi="Times New Roman" w:cs="Times New Roman"/>
          <w:b w:val="0"/>
          <w:i w:val="0"/>
          <w:sz w:val="22"/>
        </w:rPr>
        <w:t>- Location: Financier Portal (BANK or PFI mode).</w:t>
      </w:r>
    </w:p>
    <w:p>
      <w:pPr>
        <w:spacing w:after="80" w:line="293" w:lineRule="auto"/>
        <w:ind w:left="283"/>
        <w:jc w:val="left"/>
      </w:pPr>
      <w:r>
        <w:rPr>
          <w:rFonts w:ascii="Times New Roman" w:hAnsi="Times New Roman" w:cs="Times New Roman"/>
          <w:b w:val="0"/>
          <w:i w:val="0"/>
          <w:sz w:val="22"/>
        </w:rPr>
        <w:t>- Notification: Smart Inbox item "New financing pre-clearance request from [Borrower]" (masked identity</w:t>
      </w:r>
    </w:p>
    <w:p>
      <w:pPr>
        <w:spacing w:after="80" w:line="293" w:lineRule="auto"/>
        <w:jc w:val="left"/>
      </w:pPr>
      <w:r>
        <w:rPr>
          <w:rFonts w:ascii="Times New Roman" w:hAnsi="Times New Roman" w:cs="Times New Roman"/>
          <w:b w:val="0"/>
          <w:i w:val="0"/>
          <w:sz w:val="22"/>
        </w:rPr>
        <w:t>until acceptance).</w:t>
      </w:r>
    </w:p>
    <w:p>
      <w:pPr>
        <w:spacing w:after="80" w:line="293" w:lineRule="auto"/>
        <w:ind w:left="283"/>
        <w:jc w:val="left"/>
      </w:pPr>
      <w:r>
        <w:rPr>
          <w:rFonts w:ascii="Times New Roman" w:hAnsi="Times New Roman" w:cs="Times New Roman"/>
          <w:b w:val="0"/>
          <w:i w:val="0"/>
          <w:sz w:val="22"/>
        </w:rPr>
        <w:t>- Review contents: trade digest (unmasked after acceptance), borrower credit intelligence where available,</w:t>
      </w:r>
    </w:p>
    <w:p>
      <w:pPr>
        <w:spacing w:after="80" w:line="293" w:lineRule="auto"/>
        <w:jc w:val="left"/>
      </w:pPr>
      <w:r>
        <w:rPr>
          <w:rFonts w:ascii="Times New Roman" w:hAnsi="Times New Roman" w:cs="Times New Roman"/>
          <w:b w:val="0"/>
          <w:i w:val="0"/>
          <w:sz w:val="22"/>
        </w:rPr>
        <w:t>and historical financing performance where available.</w:t>
      </w:r>
    </w:p>
    <w:p>
      <w:pPr>
        <w:spacing w:after="80" w:line="293" w:lineRule="auto"/>
        <w:jc w:val="left"/>
      </w:pPr>
      <w:r>
        <w:rPr>
          <w:rFonts w:ascii="Times New Roman" w:hAnsi="Times New Roman" w:cs="Times New Roman"/>
          <w:b w:val="0"/>
          <w:i w:val="0"/>
          <w:sz w:val="22"/>
        </w:rPr>
        <w:t>AI credit intelligence available to the financier upon acceptance: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Intelligence</w:t>
            </w:r>
          </w:p>
        </w:tc>
        <w:tc>
          <w:tcPr>
            <w:tcW w:type="dxa" w:w="4819"/>
            <w:shd w:val="clear" w:fill="D9E2F3"/>
          </w:tcPr>
          <w:p>
            <w:pPr>
              <w:spacing w:after="20" w:before="20" w:line="240" w:lineRule="auto"/>
            </w:pPr>
            <w:r/>
            <w:r>
              <w:rPr>
                <w:rFonts w:ascii="Arial" w:hAnsi="Arial" w:cs="Arial"/>
                <w:b/>
                <w:i w:val="0"/>
                <w:sz w:val="18"/>
              </w:rPr>
              <w:t>Content</w:t>
            </w:r>
          </w:p>
        </w:tc>
      </w:tr>
      <w:tr>
        <w:tc>
          <w:tcPr>
            <w:tcW w:type="dxa" w:w="4819"/>
          </w:tcPr>
          <w:p>
            <w:pPr>
              <w:spacing w:after="20" w:before="20" w:line="240" w:lineRule="auto"/>
            </w:pPr>
            <w:r/>
            <w:r>
              <w:rPr>
                <w:rFonts w:ascii="Arial" w:hAnsi="Arial" w:cs="Arial"/>
                <w:b w:val="0"/>
                <w:i w:val="0"/>
                <w:sz w:val="17"/>
              </w:rPr>
              <w:t>Trust score</w:t>
            </w:r>
          </w:p>
        </w:tc>
        <w:tc>
          <w:tcPr>
            <w:tcW w:type="dxa" w:w="4819"/>
          </w:tcPr>
          <w:p>
            <w:pPr>
              <w:spacing w:after="20" w:before="20" w:line="240" w:lineRule="auto"/>
            </w:pPr>
            <w:r/>
            <w:r>
              <w:rPr>
                <w:rFonts w:ascii="Arial" w:hAnsi="Arial" w:cs="Arial"/>
                <w:b w:val="0"/>
                <w:i w:val="0"/>
                <w:sz w:val="17"/>
              </w:rPr>
              <w:t>The borrower tenant's platform trust score (where permitted by data-sovereignty settings)</w:t>
            </w:r>
          </w:p>
        </w:tc>
      </w:tr>
      <w:tr>
        <w:tc>
          <w:tcPr>
            <w:tcW w:type="dxa" w:w="4819"/>
          </w:tcPr>
          <w:p>
            <w:pPr>
              <w:spacing w:after="20" w:before="20" w:line="240" w:lineRule="auto"/>
            </w:pPr>
            <w:r/>
            <w:r>
              <w:rPr>
                <w:rFonts w:ascii="Arial" w:hAnsi="Arial" w:cs="Arial"/>
                <w:b w:val="0"/>
                <w:i w:val="0"/>
                <w:sz w:val="17"/>
              </w:rPr>
              <w:t>Trade history</w:t>
            </w:r>
          </w:p>
        </w:tc>
        <w:tc>
          <w:tcPr>
            <w:tcW w:type="dxa" w:w="4819"/>
          </w:tcPr>
          <w:p>
            <w:pPr>
              <w:spacing w:after="20" w:before="20" w:line="240" w:lineRule="auto"/>
            </w:pPr>
            <w:r/>
            <w:r>
              <w:rPr>
                <w:rFonts w:ascii="Arial" w:hAnsi="Arial" w:cs="Arial"/>
                <w:b w:val="0"/>
                <w:i w:val="0"/>
                <w:sz w:val="17"/>
              </w:rPr>
              <w:t>Volume, count, and completion rate of prior trades on the platform</w:t>
            </w:r>
          </w:p>
        </w:tc>
      </w:tr>
      <w:tr>
        <w:tc>
          <w:tcPr>
            <w:tcW w:type="dxa" w:w="4819"/>
          </w:tcPr>
          <w:p>
            <w:pPr>
              <w:spacing w:after="20" w:before="20" w:line="240" w:lineRule="auto"/>
            </w:pPr>
            <w:r/>
            <w:r>
              <w:rPr>
                <w:rFonts w:ascii="Arial" w:hAnsi="Arial" w:cs="Arial"/>
                <w:b w:val="0"/>
                <w:i w:val="0"/>
                <w:sz w:val="17"/>
              </w:rPr>
              <w:t>Historical financing performance</w:t>
            </w:r>
          </w:p>
        </w:tc>
        <w:tc>
          <w:tcPr>
            <w:tcW w:type="dxa" w:w="4819"/>
          </w:tcPr>
          <w:p>
            <w:pPr>
              <w:spacing w:after="20" w:before="20" w:line="240" w:lineRule="auto"/>
            </w:pPr>
            <w:r/>
            <w:r>
              <w:rPr>
                <w:rFonts w:ascii="Arial" w:hAnsi="Arial" w:cs="Arial"/>
                <w:b w:val="0"/>
                <w:i w:val="0"/>
                <w:sz w:val="17"/>
              </w:rPr>
              <w:t>Prior financing requests, repayment record, late-payment occurrences, and defaults where consented and available</w:t>
            </w:r>
          </w:p>
        </w:tc>
      </w:tr>
      <w:tr>
        <w:tc>
          <w:tcPr>
            <w:tcW w:type="dxa" w:w="4819"/>
          </w:tcPr>
          <w:p>
            <w:pPr>
              <w:spacing w:after="20" w:before="20" w:line="240" w:lineRule="auto"/>
            </w:pPr>
            <w:r/>
            <w:r>
              <w:rPr>
                <w:rFonts w:ascii="Arial" w:hAnsi="Arial" w:cs="Arial"/>
                <w:b w:val="0"/>
                <w:i w:val="0"/>
                <w:sz w:val="17"/>
              </w:rPr>
              <w:t>Corridor intelligence</w:t>
            </w:r>
          </w:p>
        </w:tc>
        <w:tc>
          <w:tcPr>
            <w:tcW w:type="dxa" w:w="4819"/>
          </w:tcPr>
          <w:p>
            <w:pPr>
              <w:spacing w:after="20" w:before="20" w:line="240" w:lineRule="auto"/>
            </w:pPr>
            <w:r/>
            <w:r>
              <w:rPr>
                <w:rFonts w:ascii="Arial" w:hAnsi="Arial" w:cs="Arial"/>
                <w:b w:val="0"/>
                <w:i w:val="0"/>
                <w:sz w:val="17"/>
              </w:rPr>
              <w:t>Anonymised, aggregate corridor statistics (differential privacy) — never individual counterparty data</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financier decides whether to accept the review (unmasking the parties) and whether to issue a CFR, request more information, or reject.</w:t>
      </w:r>
    </w:p>
    <w:p>
      <w:pPr>
        <w:keepNext/>
        <w:spacing w:before="180" w:after="80"/>
        <w:outlineLvl w:val="2"/>
      </w:pPr>
      <w:r>
        <w:rPr>
          <w:rFonts w:ascii="Arial" w:hAnsi="Arial" w:cs="Arial"/>
          <w:b/>
          <w:i w:val="0"/>
          <w:color w:val="333333"/>
          <w:sz w:val="23"/>
        </w:rPr>
        <w:t>7.3.5 Step A5 — Financier Issues the Conditional Financing Reference</w:t>
      </w:r>
    </w:p>
    <w:p>
      <w:pPr>
        <w:spacing w:after="80" w:line="293" w:lineRule="auto"/>
        <w:jc w:val="left"/>
      </w:pPr>
      <w:r>
        <w:rPr>
          <w:rFonts w:ascii="Times New Roman" w:hAnsi="Times New Roman" w:cs="Times New Roman"/>
          <w:b w:val="0"/>
          <w:i w:val="0"/>
          <w:sz w:val="22"/>
        </w:rPr>
        <w:t>The financier issues the CFR by approving the pre-clearance request and populating the reference fields: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Field</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`cfr_reference`</w:t>
            </w:r>
          </w:p>
        </w:tc>
        <w:tc>
          <w:tcPr>
            <w:tcW w:type="dxa" w:w="4819"/>
          </w:tcPr>
          <w:p>
            <w:pPr>
              <w:spacing w:after="20" w:before="20" w:line="240" w:lineRule="auto"/>
            </w:pPr>
            <w:r/>
            <w:r>
              <w:rPr>
                <w:rFonts w:ascii="Arial" w:hAnsi="Arial" w:cs="Arial"/>
                <w:b w:val="0"/>
                <w:i w:val="0"/>
                <w:sz w:val="17"/>
              </w:rPr>
              <w:t>Unique reference number</w:t>
            </w:r>
          </w:p>
        </w:tc>
      </w:tr>
      <w:tr>
        <w:tc>
          <w:tcPr>
            <w:tcW w:type="dxa" w:w="4819"/>
          </w:tcPr>
          <w:p>
            <w:pPr>
              <w:spacing w:after="20" w:before="20" w:line="240" w:lineRule="auto"/>
            </w:pPr>
            <w:r/>
            <w:r>
              <w:rPr>
                <w:rFonts w:ascii="Arial" w:hAnsi="Arial" w:cs="Arial"/>
                <w:b w:val="0"/>
                <w:i w:val="0"/>
                <w:sz w:val="17"/>
              </w:rPr>
              <w:t>`conditional_amount_max`</w:t>
            </w:r>
          </w:p>
        </w:tc>
        <w:tc>
          <w:tcPr>
            <w:tcW w:type="dxa" w:w="4819"/>
          </w:tcPr>
          <w:p>
            <w:pPr>
              <w:spacing w:after="20" w:before="20" w:line="240" w:lineRule="auto"/>
            </w:pPr>
            <w:r/>
            <w:r>
              <w:rPr>
                <w:rFonts w:ascii="Arial" w:hAnsi="Arial" w:cs="Arial"/>
                <w:b w:val="0"/>
                <w:i w:val="0"/>
                <w:sz w:val="17"/>
              </w:rPr>
              <w:t>Maximum amount the financier is willing to consider</w:t>
            </w:r>
          </w:p>
        </w:tc>
      </w:tr>
      <w:tr>
        <w:tc>
          <w:tcPr>
            <w:tcW w:type="dxa" w:w="4819"/>
          </w:tcPr>
          <w:p>
            <w:pPr>
              <w:spacing w:after="20" w:before="20" w:line="240" w:lineRule="auto"/>
            </w:pPr>
            <w:r/>
            <w:r>
              <w:rPr>
                <w:rFonts w:ascii="Arial" w:hAnsi="Arial" w:cs="Arial"/>
                <w:b w:val="0"/>
                <w:i w:val="0"/>
                <w:sz w:val="17"/>
              </w:rPr>
              <w:t>`conditional_apr`</w:t>
            </w:r>
          </w:p>
        </w:tc>
        <w:tc>
          <w:tcPr>
            <w:tcW w:type="dxa" w:w="4819"/>
          </w:tcPr>
          <w:p>
            <w:pPr>
              <w:spacing w:after="20" w:before="20" w:line="240" w:lineRule="auto"/>
            </w:pPr>
            <w:r/>
            <w:r>
              <w:rPr>
                <w:rFonts w:ascii="Arial" w:hAnsi="Arial" w:cs="Arial"/>
                <w:b w:val="0"/>
                <w:i w:val="0"/>
                <w:sz w:val="17"/>
              </w:rPr>
              <w:t>Indicative APR (subject to final due diligence)</w:t>
            </w:r>
          </w:p>
        </w:tc>
      </w:tr>
      <w:tr>
        <w:tc>
          <w:tcPr>
            <w:tcW w:type="dxa" w:w="4819"/>
          </w:tcPr>
          <w:p>
            <w:pPr>
              <w:spacing w:after="20" w:before="20" w:line="240" w:lineRule="auto"/>
            </w:pPr>
            <w:r/>
            <w:r>
              <w:rPr>
                <w:rFonts w:ascii="Arial" w:hAnsi="Arial" w:cs="Arial"/>
                <w:b w:val="0"/>
                <w:i w:val="0"/>
                <w:sz w:val="17"/>
              </w:rPr>
              <w:t>`conditions`</w:t>
            </w:r>
          </w:p>
        </w:tc>
        <w:tc>
          <w:tcPr>
            <w:tcW w:type="dxa" w:w="4819"/>
          </w:tcPr>
          <w:p>
            <w:pPr>
              <w:spacing w:after="20" w:before="20" w:line="240" w:lineRule="auto"/>
            </w:pPr>
            <w:r/>
            <w:r>
              <w:rPr>
                <w:rFonts w:ascii="Arial" w:hAnsi="Arial" w:cs="Arial"/>
                <w:b w:val="0"/>
                <w:i w:val="0"/>
                <w:sz w:val="17"/>
              </w:rPr>
              <w:t>Conditions precedent (for example, "subject to final contract review")</w:t>
            </w:r>
          </w:p>
        </w:tc>
      </w:tr>
      <w:tr>
        <w:tc>
          <w:tcPr>
            <w:tcW w:type="dxa" w:w="4819"/>
          </w:tcPr>
          <w:p>
            <w:pPr>
              <w:spacing w:after="20" w:before="20" w:line="240" w:lineRule="auto"/>
            </w:pPr>
            <w:r/>
            <w:r>
              <w:rPr>
                <w:rFonts w:ascii="Arial" w:hAnsi="Arial" w:cs="Arial"/>
                <w:b w:val="0"/>
                <w:i w:val="0"/>
                <w:sz w:val="17"/>
              </w:rPr>
              <w:t>`validity_until`</w:t>
            </w:r>
          </w:p>
        </w:tc>
        <w:tc>
          <w:tcPr>
            <w:tcW w:type="dxa" w:w="4819"/>
          </w:tcPr>
          <w:p>
            <w:pPr>
              <w:spacing w:after="20" w:before="20" w:line="240" w:lineRule="auto"/>
            </w:pPr>
            <w:r/>
            <w:r>
              <w:rPr>
                <w:rFonts w:ascii="Arial" w:hAnsi="Arial" w:cs="Arial"/>
                <w:b w:val="0"/>
                <w:i w:val="0"/>
                <w:sz w:val="17"/>
              </w:rPr>
              <w:t>Expiry date (default 30 days)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Storage:</w:t>
      </w:r>
      <w:r>
        <w:rPr>
          <w:rFonts w:ascii="Times New Roman" w:hAnsi="Times New Roman" w:cs="Times New Roman"/>
          <w:b w:val="0"/>
          <w:i w:val="0"/>
          <w:sz w:val="22"/>
        </w:rPr>
        <w:t xml:space="preserve"> `financing_pre_clearance_requests`; status transitions to `APPROVED` with the `cfr_reference` populated — this state is the issued CFR. The full status lifecycle: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Status</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`REQUESTED`</w:t>
            </w:r>
          </w:p>
        </w:tc>
        <w:tc>
          <w:tcPr>
            <w:tcW w:type="dxa" w:w="4819"/>
          </w:tcPr>
          <w:p>
            <w:pPr>
              <w:spacing w:after="20" w:before="20" w:line="240" w:lineRule="auto"/>
            </w:pPr>
            <w:r/>
            <w:r>
              <w:rPr>
                <w:rFonts w:ascii="Arial" w:hAnsi="Arial" w:cs="Arial"/>
                <w:b w:val="0"/>
                <w:i w:val="0"/>
                <w:sz w:val="17"/>
              </w:rPr>
              <w:t>Pre-clearance request created by the borrower</w:t>
            </w:r>
          </w:p>
        </w:tc>
      </w:tr>
      <w:tr>
        <w:tc>
          <w:tcPr>
            <w:tcW w:type="dxa" w:w="4819"/>
          </w:tcPr>
          <w:p>
            <w:pPr>
              <w:spacing w:after="20" w:before="20" w:line="240" w:lineRule="auto"/>
            </w:pPr>
            <w:r/>
            <w:r>
              <w:rPr>
                <w:rFonts w:ascii="Arial" w:hAnsi="Arial" w:cs="Arial"/>
                <w:b w:val="0"/>
                <w:i w:val="0"/>
                <w:sz w:val="17"/>
              </w:rPr>
              <w:t>`UNDER_REVIEW`</w:t>
            </w:r>
          </w:p>
        </w:tc>
        <w:tc>
          <w:tcPr>
            <w:tcW w:type="dxa" w:w="4819"/>
          </w:tcPr>
          <w:p>
            <w:pPr>
              <w:spacing w:after="20" w:before="20" w:line="240" w:lineRule="auto"/>
            </w:pPr>
            <w:r/>
            <w:r>
              <w:rPr>
                <w:rFonts w:ascii="Arial" w:hAnsi="Arial" w:cs="Arial"/>
                <w:b w:val="0"/>
                <w:i w:val="0"/>
                <w:sz w:val="17"/>
              </w:rPr>
              <w:t>Financier accepted the review (parties unmasked)</w:t>
            </w:r>
          </w:p>
        </w:tc>
      </w:tr>
      <w:tr>
        <w:tc>
          <w:tcPr>
            <w:tcW w:type="dxa" w:w="4819"/>
          </w:tcPr>
          <w:p>
            <w:pPr>
              <w:spacing w:after="20" w:before="20" w:line="240" w:lineRule="auto"/>
            </w:pPr>
            <w:r/>
            <w:r>
              <w:rPr>
                <w:rFonts w:ascii="Arial" w:hAnsi="Arial" w:cs="Arial"/>
                <w:b w:val="0"/>
                <w:i w:val="0"/>
                <w:sz w:val="17"/>
              </w:rPr>
              <w:t>`APPROVED`</w:t>
            </w:r>
          </w:p>
        </w:tc>
        <w:tc>
          <w:tcPr>
            <w:tcW w:type="dxa" w:w="4819"/>
          </w:tcPr>
          <w:p>
            <w:pPr>
              <w:spacing w:after="20" w:before="20" w:line="240" w:lineRule="auto"/>
            </w:pPr>
            <w:r/>
            <w:r>
              <w:rPr>
                <w:rFonts w:ascii="Arial" w:hAnsi="Arial" w:cs="Arial"/>
                <w:b w:val="0"/>
                <w:i w:val="0"/>
                <w:sz w:val="17"/>
              </w:rPr>
              <w:t>CFR issued (reference, amount, APR, conditions, validity populated)</w:t>
            </w:r>
          </w:p>
        </w:tc>
      </w:tr>
      <w:tr>
        <w:tc>
          <w:tcPr>
            <w:tcW w:type="dxa" w:w="4819"/>
          </w:tcPr>
          <w:p>
            <w:pPr>
              <w:spacing w:after="20" w:before="20" w:line="240" w:lineRule="auto"/>
            </w:pPr>
            <w:r/>
            <w:r>
              <w:rPr>
                <w:rFonts w:ascii="Arial" w:hAnsi="Arial" w:cs="Arial"/>
                <w:b w:val="0"/>
                <w:i w:val="0"/>
                <w:sz w:val="17"/>
              </w:rPr>
              <w:t>`REJECTED`</w:t>
            </w:r>
          </w:p>
        </w:tc>
        <w:tc>
          <w:tcPr>
            <w:tcW w:type="dxa" w:w="4819"/>
          </w:tcPr>
          <w:p>
            <w:pPr>
              <w:spacing w:after="20" w:before="20" w:line="240" w:lineRule="auto"/>
            </w:pPr>
            <w:r/>
            <w:r>
              <w:rPr>
                <w:rFonts w:ascii="Arial" w:hAnsi="Arial" w:cs="Arial"/>
                <w:b w:val="0"/>
                <w:i w:val="0"/>
                <w:sz w:val="17"/>
              </w:rPr>
              <w:t>Financier declined to issue a CFR</w:t>
            </w:r>
          </w:p>
        </w:tc>
      </w:tr>
      <w:tr>
        <w:tc>
          <w:tcPr>
            <w:tcW w:type="dxa" w:w="4819"/>
          </w:tcPr>
          <w:p>
            <w:pPr>
              <w:spacing w:after="20" w:before="20" w:line="240" w:lineRule="auto"/>
            </w:pPr>
            <w:r/>
            <w:r>
              <w:rPr>
                <w:rFonts w:ascii="Arial" w:hAnsi="Arial" w:cs="Arial"/>
                <w:b w:val="0"/>
                <w:i w:val="0"/>
                <w:sz w:val="17"/>
              </w:rPr>
              <w:t>`EXPIRED`</w:t>
            </w:r>
          </w:p>
        </w:tc>
        <w:tc>
          <w:tcPr>
            <w:tcW w:type="dxa" w:w="4819"/>
          </w:tcPr>
          <w:p>
            <w:pPr>
              <w:spacing w:after="20" w:before="20" w:line="240" w:lineRule="auto"/>
            </w:pPr>
            <w:r/>
            <w:r>
              <w:rPr>
                <w:rFonts w:ascii="Arial" w:hAnsi="Arial" w:cs="Arial"/>
                <w:b w:val="0"/>
                <w:i w:val="0"/>
                <w:sz w:val="17"/>
              </w:rPr>
              <w:t>Validity window passed without Phase B progression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7.3.6 Step A6 — CFR Validated Before Contract Lock</w:t>
      </w:r>
    </w:p>
    <w:p>
      <w:pPr>
        <w:spacing w:after="80" w:line="293" w:lineRule="auto"/>
        <w:jc w:val="left"/>
      </w:pPr>
      <w:r>
        <w:rPr>
          <w:rFonts w:ascii="Times New Roman" w:hAnsi="Times New Roman" w:cs="Times New Roman"/>
          <w:b w:val="0"/>
          <w:i w:val="0"/>
          <w:sz w:val="22"/>
        </w:rPr>
        <w:t>Governance gates:</w:t>
      </w:r>
    </w:p>
    <w:p>
      <w:pPr>
        <w:spacing w:after="80" w:line="293" w:lineRule="auto"/>
        <w:ind w:left="283"/>
        <w:jc w:val="left"/>
      </w:pPr>
      <w:r>
        <w:rPr>
          <w:rFonts w:ascii="Times New Roman" w:hAnsi="Times New Roman" w:cs="Times New Roman"/>
          <w:b w:val="0"/>
          <w:i w:val="0"/>
          <w:sz w:val="22"/>
        </w:rPr>
        <w:t>- G3U12 — if `financing_required = true` for either party, a valid (non-expired) CFR must exist before</w:t>
      </w:r>
    </w:p>
    <w:p>
      <w:pPr>
        <w:spacing w:after="80" w:line="293" w:lineRule="auto"/>
        <w:jc w:val="left"/>
      </w:pPr>
      <w:r>
        <w:rPr>
          <w:rFonts w:ascii="Times New Roman" w:hAnsi="Times New Roman" w:cs="Times New Roman"/>
          <w:b w:val="0"/>
          <w:i w:val="0"/>
          <w:sz w:val="22"/>
        </w:rPr>
        <w:t>contract lock.</w:t>
      </w:r>
    </w:p>
    <w:p>
      <w:pPr>
        <w:spacing w:after="80" w:line="293" w:lineRule="auto"/>
        <w:ind w:left="283"/>
        <w:jc w:val="left"/>
      </w:pPr>
      <w:r>
        <w:rPr>
          <w:rFonts w:ascii="Times New Roman" w:hAnsi="Times New Roman" w:cs="Times New Roman"/>
          <w:b w:val="0"/>
          <w:i w:val="0"/>
          <w:sz w:val="22"/>
        </w:rPr>
        <w:t>- G3U13 — the CFR must be issued by a valid, active financier (BANK or PFI) with matching</w:t>
      </w:r>
    </w:p>
    <w:p>
      <w:pPr>
        <w:spacing w:after="80" w:line="293" w:lineRule="auto"/>
        <w:jc w:val="left"/>
      </w:pPr>
      <w:r>
        <w:rPr>
          <w:rFonts w:ascii="Times New Roman" w:hAnsi="Times New Roman" w:cs="Times New Roman"/>
          <w:b w:val="0"/>
          <w:i w:val="0"/>
          <w:sz w:val="22"/>
        </w:rPr>
        <w:t>jurisdiction/corridor coverage.</w:t>
      </w:r>
    </w:p>
    <w:p>
      <w:pPr>
        <w:spacing w:after="80" w:line="293" w:lineRule="auto"/>
        <w:jc w:val="left"/>
      </w:pPr>
      <w:r>
        <w:rPr>
          <w:rFonts w:ascii="Times New Roman" w:hAnsi="Times New Roman" w:cs="Times New Roman"/>
          <w:b w:val="0"/>
          <w:i w:val="0"/>
          <w:sz w:val="22"/>
        </w:rPr>
        <w:t>Failure action: CONDITIONAL — "This trade requires financing pre-clearance. Please obtain a Conditional Financing Reference (CFR) from your financier before locking the contract." The Decision Panel links directly to the CFR request flow.</w:t>
      </w:r>
    </w:p>
    <w:p>
      <w:pPr>
        <w:keepNext/>
        <w:spacing w:before="240" w:after="100"/>
        <w:outlineLvl w:val="1"/>
      </w:pPr>
      <w:r>
        <w:rPr>
          <w:rFonts w:ascii="Arial" w:hAnsi="Arial" w:cs="Arial"/>
          <w:b/>
          <w:i w:val="0"/>
          <w:color w:val="2E528F"/>
          <w:sz w:val="26"/>
        </w:rPr>
        <w:t>7.4 Phase B — Formal Execution (After Contract Lock)</w:t>
      </w:r>
    </w:p>
    <w:p>
      <w:pPr>
        <w:spacing w:after="80" w:line="293" w:lineRule="auto"/>
        <w:jc w:val="left"/>
      </w:pPr>
      <w:r>
        <w:rPr>
          <w:rFonts w:ascii="Times New Roman" w:hAnsi="Times New Roman" w:cs="Times New Roman"/>
          <w:b w:val="0"/>
          <w:i w:val="0"/>
          <w:sz w:val="22"/>
        </w:rPr>
        <w:t>Phase B is specified in full in Section 10 (Formal Trade Finance Execution); it is summarised here to complete the two-phase model.</w:t>
      </w:r>
    </w:p>
    <w:p>
      <w:pPr>
        <w:keepNext/>
        <w:spacing w:before="180" w:after="80"/>
        <w:outlineLvl w:val="2"/>
      </w:pPr>
      <w:r>
        <w:rPr>
          <w:rFonts w:ascii="Arial" w:hAnsi="Arial" w:cs="Arial"/>
          <w:b/>
          <w:i w:val="0"/>
          <w:color w:val="333333"/>
          <w:sz w:val="23"/>
        </w:rPr>
        <w:t>7.4.1 Step B1 — Automatic Formal Request Creation</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contract lock event. The system creates the `financing_requests` record, populated from trade data plus the CFR — no re-keying. The record retains `pre_clearance_id` and `cfr_reference` linkage to the original pre-clearance.</w:t>
      </w:r>
    </w:p>
    <w:p>
      <w:pPr>
        <w:keepNext/>
        <w:spacing w:before="180" w:after="80"/>
        <w:outlineLvl w:val="2"/>
      </w:pPr>
      <w:r>
        <w:rPr>
          <w:rFonts w:ascii="Arial" w:hAnsi="Arial" w:cs="Arial"/>
          <w:b/>
          <w:i w:val="0"/>
          <w:color w:val="333333"/>
          <w:sz w:val="23"/>
        </w:rPr>
        <w:t>7.4.2 Step B2 — Financier Receives the Formal Request</w:t>
      </w:r>
    </w:p>
    <w:p>
      <w:pPr>
        <w:spacing w:after="80" w:line="293" w:lineRule="auto"/>
        <w:jc w:val="left"/>
      </w:pPr>
      <w:r>
        <w:rPr>
          <w:rFonts w:ascii="Times New Roman" w:hAnsi="Times New Roman" w:cs="Times New Roman"/>
          <w:b w:val="0"/>
          <w:i w:val="0"/>
          <w:sz w:val="22"/>
        </w:rPr>
        <w:t>Notification: Smart Inbox (priority 95) "Formal request – Locked trade – Please finalise." Contents: the full contract, all commercial terms, and full visibility (unmasked).</w:t>
      </w:r>
    </w:p>
    <w:p>
      <w:pPr>
        <w:keepNext/>
        <w:spacing w:before="180" w:after="80"/>
        <w:outlineLvl w:val="2"/>
      </w:pPr>
      <w:r>
        <w:rPr>
          <w:rFonts w:ascii="Arial" w:hAnsi="Arial" w:cs="Arial"/>
          <w:b/>
          <w:i w:val="0"/>
          <w:color w:val="333333"/>
          <w:sz w:val="23"/>
        </w:rPr>
        <w:t>7.4.3 Step B3 — Disbursement</w:t>
      </w:r>
    </w:p>
    <w:p>
      <w:pPr>
        <w:spacing w:after="80" w:line="293" w:lineRule="auto"/>
        <w:jc w:val="left"/>
      </w:pPr>
      <w:r>
        <w:rPr>
          <w:rFonts w:ascii="Times New Roman" w:hAnsi="Times New Roman" w:cs="Times New Roman"/>
          <w:b w:val="0"/>
          <w:i w:val="0"/>
          <w:sz w:val="22"/>
        </w:rPr>
        <w:t>The financier executes disbursement through the Direct Bank Settlement Architecture (Section 10.28.2): the Bank Settlement Gateway dispatches an ISO 20022 pain.001 referencing the USTN and the FINANCING leg; principal minus the 0.25% financing fee is credited to the borrower; 0.25% fee is settled to SGTX as a dedicated leg. State: FeeLock ACTIVE; financing status `DISBURSED` — set only on authoritative bank confirmation (pain.002/camt.054), never on instruction submission.</w:t>
      </w:r>
    </w:p>
    <w:p>
      <w:pPr>
        <w:keepNext/>
        <w:spacing w:before="180" w:after="80"/>
        <w:outlineLvl w:val="2"/>
      </w:pPr>
      <w:r>
        <w:rPr>
          <w:rFonts w:ascii="Arial" w:hAnsi="Arial" w:cs="Arial"/>
          <w:b/>
          <w:i w:val="0"/>
          <w:color w:val="333333"/>
          <w:sz w:val="23"/>
        </w:rPr>
        <w:t>7.4.4 Step B4 — Repayment Monitoring</w:t>
      </w:r>
    </w:p>
    <w:p>
      <w:pPr>
        <w:spacing w:after="80" w:line="293" w:lineRule="auto"/>
        <w:jc w:val="left"/>
      </w:pPr>
      <w:r>
        <w:rPr>
          <w:rFonts w:ascii="Times New Roman" w:hAnsi="Times New Roman" w:cs="Times New Roman"/>
          <w:b w:val="0"/>
          <w:i w:val="0"/>
          <w:sz w:val="22"/>
        </w:rPr>
        <w:t>Scheduled repayment tracking, late-payment detection, and default escalation per Section 10. Financing is marked `REPAID` only when fully settled and reconciled.</w:t>
      </w:r>
    </w:p>
    <w:p>
      <w:pPr>
        <w:keepNext/>
        <w:spacing w:before="240" w:after="100"/>
        <w:outlineLvl w:val="1"/>
      </w:pPr>
      <w:r>
        <w:rPr>
          <w:rFonts w:ascii="Arial" w:hAnsi="Arial" w:cs="Arial"/>
          <w:b/>
          <w:i w:val="0"/>
          <w:color w:val="2E528F"/>
          <w:sz w:val="26"/>
        </w:rPr>
        <w:t>7.5 CFR Data Model</w:t>
      </w:r>
    </w:p>
    <w:p>
      <w:pPr>
        <w:spacing w:after="0" w:before="0" w:line="240" w:lineRule="auto"/>
        <w:ind w:left="57"/>
        <w:jc w:val="left"/>
        <w:shd w:val="clear" w:fill="F2F2F2"/>
      </w:pPr>
      <w:r>
        <w:rPr>
          <w:rFonts w:ascii="Consolas" w:hAnsi="Consolas" w:cs="Consolas"/>
          <w:b w:val="0"/>
          <w:i w:val="0"/>
          <w:sz w:val="15"/>
        </w:rPr>
        <w:t>-- financing_pre_clearance_requests: canonical definition in Section 17.8;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financing_requests ADD COLUMN pre_clearance_id UUID</w:t>
      </w:r>
    </w:p>
    <w:p>
      <w:pPr>
        <w:spacing w:after="0" w:before="0" w:line="240" w:lineRule="auto"/>
        <w:ind w:left="57"/>
        <w:jc w:val="left"/>
        <w:shd w:val="clear" w:fill="F2F2F2"/>
      </w:pPr>
      <w:r>
        <w:rPr>
          <w:rFonts w:ascii="Consolas" w:hAnsi="Consolas" w:cs="Consolas"/>
          <w:b w:val="0"/>
          <w:i w:val="0"/>
          <w:sz w:val="15"/>
        </w:rPr>
        <w:t xml:space="preserve">    REFERENCES financing_pre_clearance_requests(id);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financing_requests ADD COLUMN cfr_reference TEXT;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Model notes:</w:t>
      </w:r>
    </w:p>
    <w:p>
      <w:pPr>
        <w:spacing w:after="80" w:line="293" w:lineRule="auto"/>
        <w:ind w:left="283"/>
        <w:jc w:val="left"/>
      </w:pPr>
      <w:r>
        <w:rPr>
          <w:rFonts w:ascii="Times New Roman" w:hAnsi="Times New Roman" w:cs="Times New Roman"/>
          <w:b w:val="0"/>
          <w:i w:val="0"/>
          <w:sz w:val="22"/>
        </w:rPr>
        <w:t>- `trade_request_id` / `seller_quote_id` link the pre-clearance to the initiating request (buyer-side or</w:t>
      </w:r>
    </w:p>
    <w:p>
      <w:pPr>
        <w:spacing w:after="80" w:line="293" w:lineRule="auto"/>
        <w:jc w:val="left"/>
      </w:pPr>
      <w:r>
        <w:rPr>
          <w:rFonts w:ascii="Times New Roman" w:hAnsi="Times New Roman" w:cs="Times New Roman"/>
          <w:b w:val="0"/>
          <w:i w:val="0"/>
          <w:sz w:val="22"/>
        </w:rPr>
        <w:t>seller-side respectively); `ON DELETE SET NULL` preserves the financier's record if the source request is deleted.</w:t>
      </w:r>
    </w:p>
    <w:p>
      <w:pPr>
        <w:spacing w:after="80" w:line="293" w:lineRule="auto"/>
        <w:ind w:left="283"/>
        <w:jc w:val="left"/>
      </w:pPr>
      <w:r>
        <w:rPr>
          <w:rFonts w:ascii="Times New Roman" w:hAnsi="Times New Roman" w:cs="Times New Roman"/>
          <w:b w:val="0"/>
          <w:i w:val="0"/>
          <w:sz w:val="22"/>
        </w:rPr>
        <w:t>- `trade_digest` holds the masked digest snapshot at request time; the digest is immutable once submitted.</w:t>
      </w:r>
    </w:p>
    <w:p>
      <w:pPr>
        <w:spacing w:after="80" w:line="293" w:lineRule="auto"/>
        <w:ind w:left="283"/>
        <w:jc w:val="left"/>
      </w:pPr>
      <w:r>
        <w:rPr>
          <w:rFonts w:ascii="Times New Roman" w:hAnsi="Times New Roman" w:cs="Times New Roman"/>
          <w:b w:val="0"/>
          <w:i w:val="0"/>
          <w:sz w:val="22"/>
        </w:rPr>
        <w:t>- `cfr_reference` is unique across the platform and is the canonical handle cited at contract lock.</w:t>
      </w:r>
    </w:p>
    <w:p>
      <w:pPr>
        <w:spacing w:after="80" w:line="293" w:lineRule="auto"/>
        <w:ind w:left="283"/>
        <w:jc w:val="left"/>
      </w:pPr>
      <w:r>
        <w:rPr>
          <w:rFonts w:ascii="Times New Roman" w:hAnsi="Times New Roman" w:cs="Times New Roman"/>
          <w:b w:val="0"/>
          <w:i w:val="0"/>
          <w:sz w:val="22"/>
        </w:rPr>
        <w:t>- The `financing_requests` linkage columns (`pre_clearance_id`, `cfr_reference`) make Phase B creation</w:t>
      </w:r>
    </w:p>
    <w:p>
      <w:pPr>
        <w:spacing w:after="80" w:line="293" w:lineRule="auto"/>
        <w:jc w:val="left"/>
      </w:pPr>
      <w:r>
        <w:rPr>
          <w:rFonts w:ascii="Times New Roman" w:hAnsi="Times New Roman" w:cs="Times New Roman"/>
          <w:b w:val="0"/>
          <w:i w:val="0"/>
          <w:sz w:val="22"/>
        </w:rPr>
        <w:t>deterministic: the formal request inherits the pre-clearance without re-keying.</w:t>
      </w:r>
    </w:p>
    <w:p>
      <w:pPr>
        <w:spacing w:after="80" w:line="293" w:lineRule="auto"/>
        <w:ind w:left="283"/>
        <w:jc w:val="left"/>
      </w:pPr>
      <w:r>
        <w:rPr>
          <w:rFonts w:ascii="Times New Roman" w:hAnsi="Times New Roman" w:cs="Times New Roman"/>
          <w:b w:val="0"/>
          <w:i w:val="0"/>
          <w:sz w:val="22"/>
        </w:rPr>
        <w:t>- Reference data types and the complete `financing_requests` schema are consolidated in Section 17.</w:t>
      </w:r>
    </w:p>
    <w:p>
      <w:pPr>
        <w:keepNext/>
        <w:spacing w:before="240" w:after="100"/>
        <w:outlineLvl w:val="1"/>
      </w:pPr>
      <w:r>
        <w:rPr>
          <w:rFonts w:ascii="Arial" w:hAnsi="Arial" w:cs="Arial"/>
          <w:b/>
          <w:i w:val="0"/>
          <w:color w:val="2E528F"/>
          <w:sz w:val="26"/>
        </w:rPr>
        <w:t>7.6 Buyer/Seller Financing Toggles &amp; Data-Sovereign Flags</w:t>
      </w:r>
    </w:p>
    <w:p>
      <w:pPr>
        <w:spacing w:after="80" w:line="293" w:lineRule="auto"/>
        <w:jc w:val="left"/>
      </w:pPr>
      <w:r>
        <w:rPr>
          <w:rFonts w:ascii="Times New Roman" w:hAnsi="Times New Roman" w:cs="Times New Roman"/>
          <w:b w:val="0"/>
          <w:i w:val="0"/>
          <w:sz w:val="22"/>
        </w:rPr>
        <w:t>Financing declarations are strictly single-party:</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Flag</w:t>
            </w:r>
          </w:p>
        </w:tc>
        <w:tc>
          <w:tcPr>
            <w:tcW w:type="dxa" w:w="1928"/>
            <w:shd w:val="clear" w:fill="D9E2F3"/>
          </w:tcPr>
          <w:p>
            <w:pPr>
              <w:spacing w:after="20" w:before="20" w:line="240" w:lineRule="auto"/>
            </w:pPr>
            <w:r/>
            <w:r>
              <w:rPr>
                <w:rFonts w:ascii="Arial" w:hAnsi="Arial" w:cs="Arial"/>
                <w:b/>
                <w:i w:val="0"/>
                <w:sz w:val="18"/>
              </w:rPr>
              <w:t>Declaring Party</w:t>
            </w:r>
          </w:p>
        </w:tc>
        <w:tc>
          <w:tcPr>
            <w:tcW w:type="dxa" w:w="1928"/>
            <w:shd w:val="clear" w:fill="D9E2F3"/>
          </w:tcPr>
          <w:p>
            <w:pPr>
              <w:spacing w:after="20" w:before="20" w:line="240" w:lineRule="auto"/>
            </w:pPr>
            <w:r/>
            <w:r>
              <w:rPr>
                <w:rFonts w:ascii="Arial" w:hAnsi="Arial" w:cs="Arial"/>
                <w:b/>
                <w:i w:val="0"/>
                <w:sz w:val="18"/>
              </w:rPr>
              <w:t>Storage</w:t>
            </w:r>
          </w:p>
        </w:tc>
        <w:tc>
          <w:tcPr>
            <w:tcW w:type="dxa" w:w="1928"/>
            <w:shd w:val="clear" w:fill="D9E2F3"/>
          </w:tcPr>
          <w:p>
            <w:pPr>
              <w:spacing w:after="20" w:before="20" w:line="240" w:lineRule="auto"/>
            </w:pPr>
            <w:r/>
            <w:r>
              <w:rPr>
                <w:rFonts w:ascii="Arial" w:hAnsi="Arial" w:cs="Arial"/>
                <w:b/>
                <w:i w:val="0"/>
                <w:sz w:val="18"/>
              </w:rPr>
              <w:t>Declared In</w:t>
            </w:r>
          </w:p>
        </w:tc>
        <w:tc>
          <w:tcPr>
            <w:tcW w:type="dxa" w:w="1928"/>
            <w:shd w:val="clear" w:fill="D9E2F3"/>
          </w:tcPr>
          <w:p>
            <w:pPr>
              <w:spacing w:after="20" w:before="20" w:line="240" w:lineRule="auto"/>
            </w:pPr>
            <w:r/>
            <w:r>
              <w:rPr>
                <w:rFonts w:ascii="Arial" w:hAnsi="Arial" w:cs="Arial"/>
                <w:b/>
                <w:i w:val="0"/>
                <w:sz w:val="18"/>
              </w:rPr>
              <w:t>Visible To</w:t>
            </w:r>
          </w:p>
        </w:tc>
      </w:tr>
      <w:tr>
        <w:tc>
          <w:tcPr>
            <w:tcW w:type="dxa" w:w="1928"/>
          </w:tcPr>
          <w:p>
            <w:pPr>
              <w:spacing w:after="20" w:before="20" w:line="240" w:lineRule="auto"/>
            </w:pPr>
            <w:r/>
            <w:r>
              <w:rPr>
                <w:rFonts w:ascii="Arial" w:hAnsi="Arial" w:cs="Arial"/>
                <w:b w:val="0"/>
                <w:i w:val="0"/>
                <w:sz w:val="17"/>
              </w:rPr>
              <w:t>`buyer_financing_required`</w:t>
            </w:r>
          </w:p>
        </w:tc>
        <w:tc>
          <w:tcPr>
            <w:tcW w:type="dxa" w:w="1928"/>
          </w:tcPr>
          <w:p>
            <w:pPr>
              <w:spacing w:after="20" w:before="20" w:line="240" w:lineRule="auto"/>
            </w:pPr>
            <w:r/>
            <w:r>
              <w:rPr>
                <w:rFonts w:ascii="Arial" w:hAnsi="Arial" w:cs="Arial"/>
                <w:b w:val="0"/>
                <w:i w:val="0"/>
                <w:sz w:val="17"/>
              </w:rPr>
              <w:t>Buyer</w:t>
            </w:r>
          </w:p>
        </w:tc>
        <w:tc>
          <w:tcPr>
            <w:tcW w:type="dxa" w:w="1928"/>
          </w:tcPr>
          <w:p>
            <w:pPr>
              <w:spacing w:after="20" w:before="20" w:line="240" w:lineRule="auto"/>
            </w:pPr>
            <w:r/>
            <w:r>
              <w:rPr>
                <w:rFonts w:ascii="Arial" w:hAnsi="Arial" w:cs="Arial"/>
                <w:b w:val="0"/>
                <w:i w:val="0"/>
                <w:sz w:val="17"/>
              </w:rPr>
              <w:t>`trade_requests.buyer_financing_required`</w:t>
            </w:r>
          </w:p>
        </w:tc>
        <w:tc>
          <w:tcPr>
            <w:tcW w:type="dxa" w:w="1928"/>
          </w:tcPr>
          <w:p>
            <w:pPr>
              <w:spacing w:after="20" w:before="20" w:line="240" w:lineRule="auto"/>
            </w:pPr>
            <w:r/>
            <w:r>
              <w:rPr>
                <w:rFonts w:ascii="Arial" w:hAnsi="Arial" w:cs="Arial"/>
                <w:b w:val="0"/>
                <w:i w:val="0"/>
                <w:sz w:val="17"/>
              </w:rPr>
              <w:t>Phase 1, Step 2 (Section 6.2.5)</w:t>
            </w:r>
          </w:p>
        </w:tc>
        <w:tc>
          <w:tcPr>
            <w:tcW w:type="dxa" w:w="1928"/>
          </w:tcPr>
          <w:p>
            <w:pPr>
              <w:spacing w:after="20" w:before="20" w:line="240" w:lineRule="auto"/>
            </w:pPr>
            <w:r/>
            <w:r>
              <w:rPr>
                <w:rFonts w:ascii="Arial" w:hAnsi="Arial" w:cs="Arial"/>
                <w:b w:val="0"/>
                <w:i w:val="0"/>
                <w:sz w:val="17"/>
              </w:rPr>
              <w:t>Buyer only</w:t>
            </w:r>
          </w:p>
        </w:tc>
      </w:tr>
      <w:tr>
        <w:tc>
          <w:tcPr>
            <w:tcW w:type="dxa" w:w="1928"/>
          </w:tcPr>
          <w:p>
            <w:pPr>
              <w:spacing w:after="20" w:before="20" w:line="240" w:lineRule="auto"/>
            </w:pPr>
            <w:r/>
            <w:r>
              <w:rPr>
                <w:rFonts w:ascii="Arial" w:hAnsi="Arial" w:cs="Arial"/>
                <w:b w:val="0"/>
                <w:i w:val="0"/>
                <w:sz w:val="17"/>
              </w:rPr>
              <w:t>`seller_financing_required`</w:t>
            </w:r>
          </w:p>
        </w:tc>
        <w:tc>
          <w:tcPr>
            <w:tcW w:type="dxa" w:w="1928"/>
          </w:tcPr>
          <w:p>
            <w:pPr>
              <w:spacing w:after="20" w:before="20" w:line="240" w:lineRule="auto"/>
            </w:pPr>
            <w:r/>
            <w:r>
              <w:rPr>
                <w:rFonts w:ascii="Arial" w:hAnsi="Arial" w:cs="Arial"/>
                <w:b w:val="0"/>
                <w:i w:val="0"/>
                <w:sz w:val="17"/>
              </w:rPr>
              <w:t>Seller</w:t>
            </w:r>
          </w:p>
        </w:tc>
        <w:tc>
          <w:tcPr>
            <w:tcW w:type="dxa" w:w="1928"/>
          </w:tcPr>
          <w:p>
            <w:pPr>
              <w:spacing w:after="20" w:before="20" w:line="240" w:lineRule="auto"/>
            </w:pPr>
            <w:r/>
            <w:r>
              <w:rPr>
                <w:rFonts w:ascii="Arial" w:hAnsi="Arial" w:cs="Arial"/>
                <w:b w:val="0"/>
                <w:i w:val="0"/>
                <w:sz w:val="17"/>
              </w:rPr>
              <w:t>Seller quote record (`seller_quotes`)</w:t>
            </w:r>
          </w:p>
        </w:tc>
        <w:tc>
          <w:tcPr>
            <w:tcW w:type="dxa" w:w="1928"/>
          </w:tcPr>
          <w:p>
            <w:pPr>
              <w:spacing w:after="20" w:before="20" w:line="240" w:lineRule="auto"/>
            </w:pPr>
            <w:r/>
            <w:r>
              <w:rPr>
                <w:rFonts w:ascii="Arial" w:hAnsi="Arial" w:cs="Arial"/>
                <w:b w:val="0"/>
                <w:i w:val="0"/>
                <w:sz w:val="17"/>
              </w:rPr>
              <w:t>Phase 2, quote submission (Section 8)</w:t>
            </w:r>
          </w:p>
        </w:tc>
        <w:tc>
          <w:tcPr>
            <w:tcW w:type="dxa" w:w="1928"/>
          </w:tcPr>
          <w:p>
            <w:pPr>
              <w:spacing w:after="20" w:before="20" w:line="240" w:lineRule="auto"/>
            </w:pPr>
            <w:r/>
            <w:r>
              <w:rPr>
                <w:rFonts w:ascii="Arial" w:hAnsi="Arial" w:cs="Arial"/>
                <w:b w:val="0"/>
                <w:i w:val="0"/>
                <w:sz w:val="17"/>
              </w:rPr>
              <w:t>Seller only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Rules:</w:t>
      </w:r>
    </w:p>
    <w:p>
      <w:pPr>
        <w:spacing w:after="80" w:line="293" w:lineRule="auto"/>
        <w:ind w:left="283"/>
        <w:jc w:val="left"/>
      </w:pPr>
      <w:r>
        <w:rPr>
          <w:rFonts w:ascii="Times New Roman" w:hAnsi="Times New Roman" w:cs="Times New Roman"/>
          <w:b w:val="0"/>
          <w:i w:val="0"/>
          <w:sz w:val="22"/>
        </w:rPr>
        <w:t>- No shared, counterparty, or "either-party" financing flags exist anywhere in the request model.</w:t>
      </w:r>
    </w:p>
    <w:p>
      <w:pPr>
        <w:spacing w:after="80" w:line="293" w:lineRule="auto"/>
        <w:ind w:left="283"/>
        <w:jc w:val="left"/>
      </w:pPr>
      <w:r>
        <w:rPr>
          <w:rFonts w:ascii="Times New Roman" w:hAnsi="Times New Roman" w:cs="Times New Roman"/>
          <w:b w:val="0"/>
          <w:i w:val="0"/>
          <w:sz w:val="22"/>
        </w:rPr>
        <w:t>- The toggles are simple booleans with plain-language labels ("I will require financing for this trade"); they</w:t>
      </w:r>
    </w:p>
    <w:p>
      <w:pPr>
        <w:spacing w:after="80" w:line="293" w:lineRule="auto"/>
        <w:jc w:val="left"/>
      </w:pPr>
      <w:r>
        <w:rPr>
          <w:rFonts w:ascii="Times New Roman" w:hAnsi="Times New Roman" w:cs="Times New Roman"/>
          <w:b w:val="0"/>
          <w:i w:val="0"/>
          <w:sz w:val="22"/>
        </w:rPr>
        <w:t>carry no amounts, rates, or financier identity.</w:t>
      </w:r>
    </w:p>
    <w:p>
      <w:pPr>
        <w:spacing w:after="80" w:line="293" w:lineRule="auto"/>
        <w:ind w:left="283"/>
        <w:jc w:val="left"/>
      </w:pPr>
      <w:r>
        <w:rPr>
          <w:rFonts w:ascii="Times New Roman" w:hAnsi="Times New Roman" w:cs="Times New Roman"/>
          <w:b w:val="0"/>
          <w:i w:val="0"/>
          <w:sz w:val="22"/>
        </w:rPr>
        <w:t>- Declaring the flag does not create a financing request and does not notify the counterparty; it enables the</w:t>
      </w:r>
    </w:p>
    <w:p>
      <w:pPr>
        <w:spacing w:after="80" w:line="293" w:lineRule="auto"/>
        <w:jc w:val="left"/>
      </w:pPr>
      <w:r>
        <w:rPr>
          <w:rFonts w:ascii="Times New Roman" w:hAnsi="Times New Roman" w:cs="Times New Roman"/>
          <w:b w:val="0"/>
          <w:i w:val="0"/>
          <w:sz w:val="22"/>
        </w:rPr>
        <w:t>CFR pre-clearance flow for the declaring party.</w:t>
      </w:r>
    </w:p>
    <w:p>
      <w:pPr>
        <w:spacing w:after="80" w:line="293" w:lineRule="auto"/>
        <w:ind w:left="283"/>
        <w:jc w:val="left"/>
      </w:pPr>
      <w:r>
        <w:rPr>
          <w:rFonts w:ascii="Times New Roman" w:hAnsi="Times New Roman" w:cs="Times New Roman"/>
          <w:b w:val="0"/>
          <w:i w:val="0"/>
          <w:sz w:val="22"/>
        </w:rPr>
        <w:t>- Counterparty visibility of financing intent occurs only through explicit CFR sharing (Phase A) or contract</w:t>
      </w:r>
    </w:p>
    <w:p>
      <w:pPr>
        <w:spacing w:after="80" w:line="293" w:lineRule="auto"/>
        <w:jc w:val="left"/>
      </w:pPr>
      <w:r>
        <w:rPr>
          <w:rFonts w:ascii="Times New Roman" w:hAnsi="Times New Roman" w:cs="Times New Roman"/>
          <w:b w:val="0"/>
          <w:i w:val="0"/>
          <w:sz w:val="22"/>
        </w:rPr>
        <w:t>execution (Phase B).</w:t>
      </w:r>
    </w:p>
    <w:p>
      <w:pPr>
        <w:spacing w:after="80" w:line="293" w:lineRule="auto"/>
        <w:ind w:left="283"/>
        <w:jc w:val="left"/>
      </w:pPr>
      <w:r>
        <w:rPr>
          <w:rFonts w:ascii="Times New Roman" w:hAnsi="Times New Roman" w:cs="Times New Roman"/>
          <w:b w:val="0"/>
          <w:i w:val="0"/>
          <w:sz w:val="22"/>
        </w:rPr>
        <w:t>- The Governor enforces single-party declaration semantics: settlement forms cannot carry counterparty</w:t>
      </w:r>
    </w:p>
    <w:p>
      <w:pPr>
        <w:spacing w:after="80" w:line="293" w:lineRule="auto"/>
        <w:jc w:val="left"/>
      </w:pPr>
      <w:r>
        <w:rPr>
          <w:rFonts w:ascii="Times New Roman" w:hAnsi="Times New Roman" w:cs="Times New Roman"/>
          <w:b w:val="0"/>
          <w:i w:val="0"/>
          <w:sz w:val="22"/>
        </w:rPr>
        <w:t>financing fields, and any attempt to store shared financing state is rejected (Section 6.11.7).</w:t>
      </w:r>
    </w:p>
    <w:p>
      <w:pPr>
        <w:keepNext/>
        <w:spacing w:before="240" w:after="100"/>
        <w:outlineLvl w:val="1"/>
      </w:pPr>
      <w:r>
        <w:rPr>
          <w:rFonts w:ascii="Arial" w:hAnsi="Arial" w:cs="Arial"/>
          <w:b/>
          <w:i w:val="0"/>
          <w:color w:val="2E528F"/>
          <w:sz w:val="26"/>
        </w:rPr>
        <w:t>7.7 API &amp; Governor Gates for CFR</w:t>
      </w:r>
    </w:p>
    <w:p>
      <w:pPr>
        <w:spacing w:after="80" w:line="293" w:lineRule="auto"/>
        <w:jc w:val="left"/>
      </w:pPr>
      <w:r>
        <w:rPr>
          <w:rFonts w:ascii="Times New Roman" w:hAnsi="Times New Roman" w:cs="Times New Roman"/>
          <w:b w:val="0"/>
          <w:i w:val="0"/>
          <w:sz w:val="22"/>
        </w:rPr>
        <w:t>The CFR API group (full endpoint index in Section 18) exposes the pre-clearance lifecycle to borrowers and financiers: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Operation</w:t>
            </w:r>
          </w:p>
        </w:tc>
        <w:tc>
          <w:tcPr>
            <w:tcW w:type="dxa" w:w="2409"/>
            <w:shd w:val="clear" w:fill="D9E2F3"/>
          </w:tcPr>
          <w:p>
            <w:pPr>
              <w:spacing w:after="20" w:before="20" w:line="240" w:lineRule="auto"/>
            </w:pPr>
            <w:r/>
            <w:r>
              <w:rPr>
                <w:rFonts w:ascii="Arial" w:hAnsi="Arial" w:cs="Arial"/>
                <w:b/>
                <w:i w:val="0"/>
                <w:sz w:val="18"/>
              </w:rPr>
              <w:t>Method &amp; Path</w:t>
            </w:r>
          </w:p>
        </w:tc>
        <w:tc>
          <w:tcPr>
            <w:tcW w:type="dxa" w:w="2409"/>
            <w:shd w:val="clear" w:fill="D9E2F3"/>
          </w:tcPr>
          <w:p>
            <w:pPr>
              <w:spacing w:after="20" w:before="20" w:line="240" w:lineRule="auto"/>
            </w:pPr>
            <w:r/>
            <w:r>
              <w:rPr>
                <w:rFonts w:ascii="Arial" w:hAnsi="Arial" w:cs="Arial"/>
                <w:b/>
                <w:i w:val="0"/>
                <w:sz w:val="18"/>
              </w:rPr>
              <w:t>Actor</w:t>
            </w:r>
          </w:p>
        </w:tc>
        <w:tc>
          <w:tcPr>
            <w:tcW w:type="dxa" w:w="2409"/>
            <w:shd w:val="clear" w:fill="D9E2F3"/>
          </w:tcPr>
          <w:p>
            <w:pPr>
              <w:spacing w:after="20" w:before="20" w:line="240" w:lineRule="auto"/>
            </w:pPr>
            <w:r/>
            <w:r>
              <w:rPr>
                <w:rFonts w:ascii="Arial" w:hAnsi="Arial" w:cs="Arial"/>
                <w:b/>
                <w:i w:val="0"/>
                <w:sz w:val="18"/>
              </w:rPr>
              <w:t>Purpose</w:t>
            </w:r>
          </w:p>
        </w:tc>
      </w:tr>
      <w:tr>
        <w:tc>
          <w:tcPr>
            <w:tcW w:type="dxa" w:w="2409"/>
          </w:tcPr>
          <w:p>
            <w:pPr>
              <w:spacing w:after="20" w:before="20" w:line="240" w:lineRule="auto"/>
            </w:pPr>
            <w:r/>
            <w:r>
              <w:rPr>
                <w:rFonts w:ascii="Arial" w:hAnsi="Arial" w:cs="Arial"/>
                <w:b w:val="0"/>
                <w:i w:val="0"/>
                <w:sz w:val="17"/>
              </w:rPr>
              <w:t>Create pre-clearance request</w:t>
            </w:r>
          </w:p>
        </w:tc>
        <w:tc>
          <w:tcPr>
            <w:tcW w:type="dxa" w:w="2409"/>
          </w:tcPr>
          <w:p>
            <w:pPr>
              <w:spacing w:after="20" w:before="20" w:line="240" w:lineRule="auto"/>
            </w:pPr>
            <w:r/>
            <w:r>
              <w:rPr>
                <w:rFonts w:ascii="Arial" w:hAnsi="Arial" w:cs="Arial"/>
                <w:b w:val="0"/>
                <w:i w:val="0"/>
                <w:sz w:val="17"/>
              </w:rPr>
              <w:t>`POST /v1/financing/pre-clearance`</w:t>
            </w:r>
          </w:p>
        </w:tc>
        <w:tc>
          <w:tcPr>
            <w:tcW w:type="dxa" w:w="2409"/>
          </w:tcPr>
          <w:p>
            <w:pPr>
              <w:spacing w:after="20" w:before="20" w:line="240" w:lineRule="auto"/>
            </w:pPr>
            <w:r/>
            <w:r>
              <w:rPr>
                <w:rFonts w:ascii="Arial" w:hAnsi="Arial" w:cs="Arial"/>
                <w:b w:val="0"/>
                <w:i w:val="0"/>
                <w:sz w:val="17"/>
              </w:rPr>
              <w:t>Borrower</w:t>
            </w:r>
          </w:p>
        </w:tc>
        <w:tc>
          <w:tcPr>
            <w:tcW w:type="dxa" w:w="2409"/>
          </w:tcPr>
          <w:p>
            <w:pPr>
              <w:spacing w:after="20" w:before="20" w:line="240" w:lineRule="auto"/>
            </w:pPr>
            <w:r/>
            <w:r>
              <w:rPr>
                <w:rFonts w:ascii="Arial" w:hAnsi="Arial" w:cs="Arial"/>
                <w:b w:val="0"/>
                <w:i w:val="0"/>
                <w:sz w:val="17"/>
              </w:rPr>
              <w:t>Submit trade digest to a selected financier</w:t>
            </w:r>
          </w:p>
        </w:tc>
      </w:tr>
      <w:tr>
        <w:tc>
          <w:tcPr>
            <w:tcW w:type="dxa" w:w="2409"/>
          </w:tcPr>
          <w:p>
            <w:pPr>
              <w:spacing w:after="20" w:before="20" w:line="240" w:lineRule="auto"/>
            </w:pPr>
            <w:r/>
            <w:r>
              <w:rPr>
                <w:rFonts w:ascii="Arial" w:hAnsi="Arial" w:cs="Arial"/>
                <w:b w:val="0"/>
                <w:i w:val="0"/>
                <w:sz w:val="17"/>
              </w:rPr>
              <w:t>List pre-clearance requests</w:t>
            </w:r>
          </w:p>
        </w:tc>
        <w:tc>
          <w:tcPr>
            <w:tcW w:type="dxa" w:w="2409"/>
          </w:tcPr>
          <w:p>
            <w:pPr>
              <w:spacing w:after="20" w:before="20" w:line="240" w:lineRule="auto"/>
            </w:pPr>
            <w:r/>
            <w:r>
              <w:rPr>
                <w:rFonts w:ascii="Arial" w:hAnsi="Arial" w:cs="Arial"/>
                <w:b w:val="0"/>
                <w:i w:val="0"/>
                <w:sz w:val="17"/>
              </w:rPr>
              <w:t>`GET /v1/financing/pre-clearance`</w:t>
            </w:r>
          </w:p>
        </w:tc>
        <w:tc>
          <w:tcPr>
            <w:tcW w:type="dxa" w:w="2409"/>
          </w:tcPr>
          <w:p>
            <w:pPr>
              <w:spacing w:after="20" w:before="20" w:line="240" w:lineRule="auto"/>
            </w:pPr>
            <w:r/>
            <w:r>
              <w:rPr>
                <w:rFonts w:ascii="Arial" w:hAnsi="Arial" w:cs="Arial"/>
                <w:b w:val="0"/>
                <w:i w:val="0"/>
                <w:sz w:val="17"/>
              </w:rPr>
              <w:t>Borrower / Financier</w:t>
            </w:r>
          </w:p>
        </w:tc>
        <w:tc>
          <w:tcPr>
            <w:tcW w:type="dxa" w:w="2409"/>
          </w:tcPr>
          <w:p>
            <w:pPr>
              <w:spacing w:after="20" w:before="20" w:line="240" w:lineRule="auto"/>
            </w:pPr>
            <w:r/>
            <w:r>
              <w:rPr>
                <w:rFonts w:ascii="Arial" w:hAnsi="Arial" w:cs="Arial"/>
                <w:b w:val="0"/>
                <w:i w:val="0"/>
                <w:sz w:val="17"/>
              </w:rPr>
              <w:t>Role-filtered list (own requests / incoming reviews)</w:t>
            </w:r>
          </w:p>
        </w:tc>
      </w:tr>
      <w:tr>
        <w:tc>
          <w:tcPr>
            <w:tcW w:type="dxa" w:w="2409"/>
          </w:tcPr>
          <w:p>
            <w:pPr>
              <w:spacing w:after="20" w:before="20" w:line="240" w:lineRule="auto"/>
            </w:pPr>
            <w:r/>
            <w:r>
              <w:rPr>
                <w:rFonts w:ascii="Arial" w:hAnsi="Arial" w:cs="Arial"/>
                <w:b w:val="0"/>
                <w:i w:val="0"/>
                <w:sz w:val="17"/>
              </w:rPr>
              <w:t>Get pre-clearance request</w:t>
            </w:r>
          </w:p>
        </w:tc>
        <w:tc>
          <w:tcPr>
            <w:tcW w:type="dxa" w:w="2409"/>
          </w:tcPr>
          <w:p>
            <w:pPr>
              <w:spacing w:after="20" w:before="20" w:line="240" w:lineRule="auto"/>
            </w:pPr>
            <w:r/>
            <w:r>
              <w:rPr>
                <w:rFonts w:ascii="Arial" w:hAnsi="Arial" w:cs="Arial"/>
                <w:b w:val="0"/>
                <w:i w:val="0"/>
                <w:sz w:val="17"/>
              </w:rPr>
              <w:t>`GET /v1/financing/pre-clearance/{id}`</w:t>
            </w:r>
          </w:p>
        </w:tc>
        <w:tc>
          <w:tcPr>
            <w:tcW w:type="dxa" w:w="2409"/>
          </w:tcPr>
          <w:p>
            <w:pPr>
              <w:spacing w:after="20" w:before="20" w:line="240" w:lineRule="auto"/>
            </w:pPr>
            <w:r/>
            <w:r>
              <w:rPr>
                <w:rFonts w:ascii="Arial" w:hAnsi="Arial" w:cs="Arial"/>
                <w:b w:val="0"/>
                <w:i w:val="0"/>
                <w:sz w:val="17"/>
              </w:rPr>
              <w:t>Borrower / Financier</w:t>
            </w:r>
          </w:p>
        </w:tc>
        <w:tc>
          <w:tcPr>
            <w:tcW w:type="dxa" w:w="2409"/>
          </w:tcPr>
          <w:p>
            <w:pPr>
              <w:spacing w:after="20" w:before="20" w:line="240" w:lineRule="auto"/>
            </w:pPr>
            <w:r/>
            <w:r>
              <w:rPr>
                <w:rFonts w:ascii="Arial" w:hAnsi="Arial" w:cs="Arial"/>
                <w:b w:val="0"/>
                <w:i w:val="0"/>
                <w:sz w:val="17"/>
              </w:rPr>
              <w:t>Retrieve digest, status, and CFR fields</w:t>
            </w:r>
          </w:p>
        </w:tc>
      </w:tr>
      <w:tr>
        <w:tc>
          <w:tcPr>
            <w:tcW w:type="dxa" w:w="2409"/>
          </w:tcPr>
          <w:p>
            <w:pPr>
              <w:spacing w:after="20" w:before="20" w:line="240" w:lineRule="auto"/>
            </w:pPr>
            <w:r/>
            <w:r>
              <w:rPr>
                <w:rFonts w:ascii="Arial" w:hAnsi="Arial" w:cs="Arial"/>
                <w:b w:val="0"/>
                <w:i w:val="0"/>
                <w:sz w:val="17"/>
              </w:rPr>
              <w:t>Accept review</w:t>
            </w:r>
          </w:p>
        </w:tc>
        <w:tc>
          <w:tcPr>
            <w:tcW w:type="dxa" w:w="2409"/>
          </w:tcPr>
          <w:p>
            <w:pPr>
              <w:spacing w:after="20" w:before="20" w:line="240" w:lineRule="auto"/>
            </w:pPr>
            <w:r/>
            <w:r>
              <w:rPr>
                <w:rFonts w:ascii="Arial" w:hAnsi="Arial" w:cs="Arial"/>
                <w:b w:val="0"/>
                <w:i w:val="0"/>
                <w:sz w:val="17"/>
              </w:rPr>
              <w:t>`POST /v1/financing/pre-clearance/{id}/accept`</w:t>
            </w:r>
          </w:p>
        </w:tc>
        <w:tc>
          <w:tcPr>
            <w:tcW w:type="dxa" w:w="2409"/>
          </w:tcPr>
          <w:p>
            <w:pPr>
              <w:spacing w:after="20" w:before="20" w:line="240" w:lineRule="auto"/>
            </w:pPr>
            <w:r/>
            <w:r>
              <w:rPr>
                <w:rFonts w:ascii="Arial" w:hAnsi="Arial" w:cs="Arial"/>
                <w:b w:val="0"/>
                <w:i w:val="0"/>
                <w:sz w:val="17"/>
              </w:rPr>
              <w:t>Financier</w:t>
            </w:r>
          </w:p>
        </w:tc>
        <w:tc>
          <w:tcPr>
            <w:tcW w:type="dxa" w:w="2409"/>
          </w:tcPr>
          <w:p>
            <w:pPr>
              <w:spacing w:after="20" w:before="20" w:line="240" w:lineRule="auto"/>
            </w:pPr>
            <w:r/>
            <w:r>
              <w:rPr>
                <w:rFonts w:ascii="Arial" w:hAnsi="Arial" w:cs="Arial"/>
                <w:b w:val="0"/>
                <w:i w:val="0"/>
                <w:sz w:val="17"/>
              </w:rPr>
              <w:t>Unmask parties, move to UNDER_REVIEW</w:t>
            </w:r>
          </w:p>
        </w:tc>
      </w:tr>
      <w:tr>
        <w:tc>
          <w:tcPr>
            <w:tcW w:type="dxa" w:w="2409"/>
          </w:tcPr>
          <w:p>
            <w:pPr>
              <w:spacing w:after="20" w:before="20" w:line="240" w:lineRule="auto"/>
            </w:pPr>
            <w:r/>
            <w:r>
              <w:rPr>
                <w:rFonts w:ascii="Arial" w:hAnsi="Arial" w:cs="Arial"/>
                <w:b w:val="0"/>
                <w:i w:val="0"/>
                <w:sz w:val="17"/>
              </w:rPr>
              <w:t>Respond (issue or reject)</w:t>
            </w:r>
          </w:p>
        </w:tc>
        <w:tc>
          <w:tcPr>
            <w:tcW w:type="dxa" w:w="2409"/>
          </w:tcPr>
          <w:p>
            <w:pPr>
              <w:spacing w:after="20" w:before="20" w:line="240" w:lineRule="auto"/>
            </w:pPr>
            <w:r/>
            <w:r>
              <w:rPr>
                <w:rFonts w:ascii="Arial" w:hAnsi="Arial" w:cs="Arial"/>
                <w:b w:val="0"/>
                <w:i w:val="0"/>
                <w:sz w:val="17"/>
              </w:rPr>
              <w:t>`POST /v1/financing/pre-clearance/{id}/respond`</w:t>
            </w:r>
          </w:p>
        </w:tc>
        <w:tc>
          <w:tcPr>
            <w:tcW w:type="dxa" w:w="2409"/>
          </w:tcPr>
          <w:p>
            <w:pPr>
              <w:spacing w:after="20" w:before="20" w:line="240" w:lineRule="auto"/>
            </w:pPr>
            <w:r/>
            <w:r>
              <w:rPr>
                <w:rFonts w:ascii="Arial" w:hAnsi="Arial" w:cs="Arial"/>
                <w:b w:val="0"/>
                <w:i w:val="0"/>
                <w:sz w:val="17"/>
              </w:rPr>
              <w:t>Financier</w:t>
            </w:r>
          </w:p>
        </w:tc>
        <w:tc>
          <w:tcPr>
            <w:tcW w:type="dxa" w:w="2409"/>
          </w:tcPr>
          <w:p>
            <w:pPr>
              <w:spacing w:after="20" w:before="20" w:line="240" w:lineRule="auto"/>
            </w:pPr>
            <w:r/>
            <w:r>
              <w:rPr>
                <w:rFonts w:ascii="Arial" w:hAnsi="Arial" w:cs="Arial"/>
                <w:b w:val="0"/>
                <w:i w:val="0"/>
                <w:sz w:val="17"/>
              </w:rPr>
              <w:t>Issue CFR (APPROVED + reference fields) or reject</w:t>
            </w:r>
          </w:p>
        </w:tc>
      </w:tr>
      <w:tr>
        <w:tc>
          <w:tcPr>
            <w:tcW w:type="dxa" w:w="2409"/>
          </w:tcPr>
          <w:p>
            <w:pPr>
              <w:spacing w:after="20" w:before="20" w:line="240" w:lineRule="auto"/>
            </w:pPr>
            <w:r/>
            <w:r>
              <w:rPr>
                <w:rFonts w:ascii="Arial" w:hAnsi="Arial" w:cs="Arial"/>
                <w:b w:val="0"/>
                <w:i w:val="0"/>
                <w:sz w:val="17"/>
              </w:rPr>
              <w:t>Validate before lock</w:t>
            </w:r>
          </w:p>
        </w:tc>
        <w:tc>
          <w:tcPr>
            <w:tcW w:type="dxa" w:w="2409"/>
          </w:tcPr>
          <w:p>
            <w:pPr>
              <w:spacing w:after="20" w:before="20" w:line="240" w:lineRule="auto"/>
            </w:pPr>
            <w:r/>
            <w:r>
              <w:rPr>
                <w:rFonts w:ascii="Arial" w:hAnsi="Arial" w:cs="Arial"/>
                <w:b w:val="0"/>
                <w:i w:val="0"/>
                <w:sz w:val="17"/>
              </w:rPr>
              <w:t>`GET /v1/financing/pre-clearance/validate?trade_request_id={id}`</w:t>
            </w:r>
          </w:p>
        </w:tc>
        <w:tc>
          <w:tcPr>
            <w:tcW w:type="dxa" w:w="2409"/>
          </w:tcPr>
          <w:p>
            <w:pPr>
              <w:spacing w:after="20" w:before="20" w:line="240" w:lineRule="auto"/>
            </w:pPr>
            <w:r/>
            <w:r>
              <w:rPr>
                <w:rFonts w:ascii="Arial" w:hAnsi="Arial" w:cs="Arial"/>
                <w:b w:val="0"/>
                <w:i w:val="0"/>
                <w:sz w:val="17"/>
              </w:rPr>
              <w:t>Platform / Governor</w:t>
            </w:r>
          </w:p>
        </w:tc>
        <w:tc>
          <w:tcPr>
            <w:tcW w:type="dxa" w:w="2409"/>
          </w:tcPr>
          <w:p>
            <w:pPr>
              <w:spacing w:after="20" w:before="20" w:line="240" w:lineRule="auto"/>
            </w:pPr>
            <w:r/>
            <w:r>
              <w:rPr>
                <w:rFonts w:ascii="Arial" w:hAnsi="Arial" w:cs="Arial"/>
                <w:b w:val="0"/>
                <w:i w:val="0"/>
                <w:sz w:val="17"/>
              </w:rPr>
              <w:t>Verify a valid, non-expired CFR exists for a financing-flagged trade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API conventions: all endpoints are tenant-scoped (ZITADEL JWT claims `tenant_gtid`, `employee_id`), idempotent via `Idempotency-Key` (UUID v4, 24-hour replay window), rate-limited at 100 requests per minute per tenant, and log every state transition to Loom.</w:t>
      </w:r>
    </w:p>
    <w:p>
      <w:pPr>
        <w:spacing w:after="80" w:line="293" w:lineRule="auto"/>
        <w:jc w:val="left"/>
      </w:pPr>
      <w:r>
        <w:rPr>
          <w:rFonts w:ascii="Times New Roman" w:hAnsi="Times New Roman" w:cs="Times New Roman"/>
          <w:b w:val="0"/>
          <w:i w:val="0"/>
          <w:sz w:val="22"/>
        </w:rPr>
        <w:t>Governor gates and enforcement: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Gate</w:t>
            </w:r>
          </w:p>
        </w:tc>
        <w:tc>
          <w:tcPr>
            <w:tcW w:type="dxa" w:w="3213"/>
            <w:shd w:val="clear" w:fill="D9E2F3"/>
          </w:tcPr>
          <w:p>
            <w:pPr>
              <w:spacing w:after="20" w:before="20" w:line="240" w:lineRule="auto"/>
            </w:pPr>
            <w:r/>
            <w:r>
              <w:rPr>
                <w:rFonts w:ascii="Arial" w:hAnsi="Arial" w:cs="Arial"/>
                <w:b/>
                <w:i w:val="0"/>
                <w:sz w:val="18"/>
              </w:rPr>
              <w:t>Rule</w:t>
            </w:r>
          </w:p>
        </w:tc>
        <w:tc>
          <w:tcPr>
            <w:tcW w:type="dxa" w:w="3213"/>
            <w:shd w:val="clear" w:fill="D9E2F3"/>
          </w:tcPr>
          <w:p>
            <w:pPr>
              <w:spacing w:after="20" w:before="20" w:line="240" w:lineRule="auto"/>
            </w:pPr>
            <w:r/>
            <w:r>
              <w:rPr>
                <w:rFonts w:ascii="Arial" w:hAnsi="Arial" w:cs="Arial"/>
                <w:b/>
                <w:i w:val="0"/>
                <w:sz w:val="18"/>
              </w:rPr>
              <w:t>Failure Action</w:t>
            </w:r>
          </w:p>
        </w:tc>
      </w:tr>
      <w:tr>
        <w:tc>
          <w:tcPr>
            <w:tcW w:type="dxa" w:w="3213"/>
          </w:tcPr>
          <w:p>
            <w:pPr>
              <w:spacing w:after="20" w:before="20" w:line="240" w:lineRule="auto"/>
            </w:pPr>
            <w:r/>
            <w:r>
              <w:rPr>
                <w:rFonts w:ascii="Arial" w:hAnsi="Arial" w:cs="Arial"/>
                <w:b w:val="0"/>
                <w:i w:val="0"/>
                <w:sz w:val="17"/>
              </w:rPr>
              <w:t>G3U12</w:t>
            </w:r>
          </w:p>
        </w:tc>
        <w:tc>
          <w:tcPr>
            <w:tcW w:type="dxa" w:w="3213"/>
          </w:tcPr>
          <w:p>
            <w:pPr>
              <w:spacing w:after="20" w:before="20" w:line="240" w:lineRule="auto"/>
            </w:pPr>
            <w:r/>
            <w:r>
              <w:rPr>
                <w:rFonts w:ascii="Arial" w:hAnsi="Arial" w:cs="Arial"/>
                <w:b w:val="0"/>
                <w:i w:val="0"/>
                <w:sz w:val="17"/>
              </w:rPr>
              <w:t>If `financing_required = true` for either party, a valid (non-expired, `APPROVED`) CFR must exist before contract lock</w:t>
            </w:r>
          </w:p>
        </w:tc>
        <w:tc>
          <w:tcPr>
            <w:tcW w:type="dxa" w:w="3213"/>
          </w:tcPr>
          <w:p>
            <w:pPr>
              <w:spacing w:after="20" w:before="20" w:line="240" w:lineRule="auto"/>
            </w:pPr>
            <w:r/>
            <w:r>
              <w:rPr>
                <w:rFonts w:ascii="Arial" w:hAnsi="Arial" w:cs="Arial"/>
                <w:b w:val="0"/>
                <w:i w:val="0"/>
                <w:sz w:val="17"/>
              </w:rPr>
              <w:t>CONDITIONAL with remediation link to the CFR request flow</w:t>
            </w:r>
          </w:p>
        </w:tc>
      </w:tr>
      <w:tr>
        <w:tc>
          <w:tcPr>
            <w:tcW w:type="dxa" w:w="3213"/>
          </w:tcPr>
          <w:p>
            <w:pPr>
              <w:spacing w:after="20" w:before="20" w:line="240" w:lineRule="auto"/>
            </w:pPr>
            <w:r/>
            <w:r>
              <w:rPr>
                <w:rFonts w:ascii="Arial" w:hAnsi="Arial" w:cs="Arial"/>
                <w:b w:val="0"/>
                <w:i w:val="0"/>
                <w:sz w:val="17"/>
              </w:rPr>
              <w:t>G3U13</w:t>
            </w:r>
          </w:p>
        </w:tc>
        <w:tc>
          <w:tcPr>
            <w:tcW w:type="dxa" w:w="3213"/>
          </w:tcPr>
          <w:p>
            <w:pPr>
              <w:spacing w:after="20" w:before="20" w:line="240" w:lineRule="auto"/>
            </w:pPr>
            <w:r/>
            <w:r>
              <w:rPr>
                <w:rFonts w:ascii="Arial" w:hAnsi="Arial" w:cs="Arial"/>
                <w:b w:val="0"/>
                <w:i w:val="0"/>
                <w:sz w:val="17"/>
              </w:rPr>
              <w:t>The CFR must be issued by a valid, active financier (BANK or PFI) with matching jurisdiction/corridor coverage</w:t>
            </w:r>
          </w:p>
        </w:tc>
        <w:tc>
          <w:tcPr>
            <w:tcW w:type="dxa" w:w="3213"/>
          </w:tcPr>
          <w:p>
            <w:pPr>
              <w:spacing w:after="20" w:before="20" w:line="240" w:lineRule="auto"/>
            </w:pPr>
            <w:r/>
            <w:r>
              <w:rPr>
                <w:rFonts w:ascii="Arial" w:hAnsi="Arial" w:cs="Arial"/>
                <w:b w:val="0"/>
                <w:i w:val="0"/>
                <w:sz w:val="17"/>
              </w:rPr>
              <w:t>CONDITIONAL: "This trade requires financing pre-clearance. Please obtain a Conditional Financing Reference (CFR) from your financier before locking the contract."</w:t>
            </w:r>
          </w:p>
        </w:tc>
      </w:tr>
      <w:tr>
        <w:tc>
          <w:tcPr>
            <w:tcW w:type="dxa" w:w="3213"/>
          </w:tcPr>
          <w:p>
            <w:pPr>
              <w:spacing w:after="20" w:before="20" w:line="240" w:lineRule="auto"/>
            </w:pPr>
            <w:r/>
            <w:r>
              <w:rPr>
                <w:rFonts w:ascii="Arial" w:hAnsi="Arial" w:cs="Arial"/>
                <w:b w:val="0"/>
                <w:i w:val="0"/>
                <w:sz w:val="17"/>
              </w:rPr>
              <w:t>Expiry enforcement</w:t>
            </w:r>
          </w:p>
        </w:tc>
        <w:tc>
          <w:tcPr>
            <w:tcW w:type="dxa" w:w="3213"/>
          </w:tcPr>
          <w:p>
            <w:pPr>
              <w:spacing w:after="20" w:before="20" w:line="240" w:lineRule="auto"/>
            </w:pPr>
            <w:r/>
            <w:r>
              <w:rPr>
                <w:rFonts w:ascii="Arial" w:hAnsi="Arial" w:cs="Arial"/>
                <w:b w:val="0"/>
                <w:i w:val="0"/>
                <w:sz w:val="17"/>
              </w:rPr>
              <w:t>`validity_until` is checked at lock time; an expired CFR does not satisfy G3U12</w:t>
            </w:r>
          </w:p>
        </w:tc>
        <w:tc>
          <w:tcPr>
            <w:tcW w:type="dxa" w:w="3213"/>
          </w:tcPr>
          <w:p>
            <w:pPr>
              <w:spacing w:after="20" w:before="20" w:line="240" w:lineRule="auto"/>
            </w:pPr>
            <w:r/>
            <w:r>
              <w:rPr>
                <w:rFonts w:ascii="Arial" w:hAnsi="Arial" w:cs="Arial"/>
                <w:b w:val="0"/>
                <w:i w:val="0"/>
                <w:sz w:val="17"/>
              </w:rPr>
              <w:t>CONDITIONAL: obtain a fresh CFR</w:t>
            </w:r>
          </w:p>
        </w:tc>
      </w:tr>
      <w:tr>
        <w:tc>
          <w:tcPr>
            <w:tcW w:type="dxa" w:w="3213"/>
          </w:tcPr>
          <w:p>
            <w:pPr>
              <w:spacing w:after="20" w:before="20" w:line="240" w:lineRule="auto"/>
            </w:pPr>
            <w:r/>
            <w:r>
              <w:rPr>
                <w:rFonts w:ascii="Arial" w:hAnsi="Arial" w:cs="Arial"/>
                <w:b w:val="0"/>
                <w:i w:val="0"/>
                <w:sz w:val="17"/>
              </w:rPr>
              <w:t>Data-sovereignty enforcement</w:t>
            </w:r>
          </w:p>
        </w:tc>
        <w:tc>
          <w:tcPr>
            <w:tcW w:type="dxa" w:w="3213"/>
          </w:tcPr>
          <w:p>
            <w:pPr>
              <w:spacing w:after="20" w:before="20" w:line="240" w:lineRule="auto"/>
            </w:pPr>
            <w:r/>
            <w:r>
              <w:rPr>
                <w:rFonts w:ascii="Arial" w:hAnsi="Arial" w:cs="Arial"/>
                <w:b w:val="0"/>
                <w:i w:val="0"/>
                <w:sz w:val="17"/>
              </w:rPr>
              <w:t>Digest reads by non-party tenants are denied at the API layer; counterparty tenants cannot query the other party's pre-clearance records</w:t>
            </w:r>
          </w:p>
        </w:tc>
        <w:tc>
          <w:tcPr>
            <w:tcW w:type="dxa" w:w="3213"/>
          </w:tcPr>
          <w:p>
            <w:pPr>
              <w:spacing w:after="20" w:before="20" w:line="240" w:lineRule="auto"/>
            </w:pPr>
            <w:r/>
            <w:r>
              <w:rPr>
                <w:rFonts w:ascii="Arial" w:hAnsi="Arial" w:cs="Arial"/>
                <w:b w:val="0"/>
                <w:i w:val="0"/>
                <w:sz w:val="17"/>
              </w:rPr>
              <w:t>DENY at authorisation layer</w:t>
            </w:r>
          </w:p>
        </w:tc>
      </w:tr>
      <w:tr>
        <w:tc>
          <w:tcPr>
            <w:tcW w:type="dxa" w:w="3213"/>
          </w:tcPr>
          <w:p>
            <w:pPr>
              <w:spacing w:after="20" w:before="20" w:line="240" w:lineRule="auto"/>
            </w:pPr>
            <w:r/>
            <w:r>
              <w:rPr>
                <w:rFonts w:ascii="Arial" w:hAnsi="Arial" w:cs="Arial"/>
                <w:b w:val="0"/>
                <w:i w:val="0"/>
                <w:sz w:val="17"/>
              </w:rPr>
              <w:t>Disbursement state integrity</w:t>
            </w:r>
          </w:p>
        </w:tc>
        <w:tc>
          <w:tcPr>
            <w:tcW w:type="dxa" w:w="3213"/>
          </w:tcPr>
          <w:p>
            <w:pPr>
              <w:spacing w:after="20" w:before="20" w:line="240" w:lineRule="auto"/>
            </w:pPr>
            <w:r/>
            <w:r>
              <w:rPr>
                <w:rFonts w:ascii="Arial" w:hAnsi="Arial" w:cs="Arial"/>
                <w:b w:val="0"/>
                <w:i w:val="0"/>
                <w:sz w:val="17"/>
              </w:rPr>
              <w:t>Financing status `DISBURSED` is set only on authoritative bank confirmation (pain.002/camt.054) (Section 10)</w:t>
            </w:r>
          </w:p>
        </w:tc>
        <w:tc>
          <w:tcPr>
            <w:tcW w:type="dxa" w:w="3213"/>
          </w:tcPr>
          <w:p>
            <w:pPr>
              <w:spacing w:after="20" w:before="20" w:line="240" w:lineRule="auto"/>
            </w:pPr>
            <w:r/>
            <w:r>
              <w:rPr>
                <w:rFonts w:ascii="Arial" w:hAnsi="Arial" w:cs="Arial"/>
                <w:b w:val="0"/>
                <w:i w:val="0"/>
                <w:sz w:val="17"/>
              </w:rPr>
              <w:t>Instruction submissions never flip the state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complete Governor gate matrix (all gates, all phases) is specified in Section 15; the financing execution workflow (Phase B detail, fee split, repayment monitoring, default escalation) is specified in Section 10.</w:t>
      </w:r>
    </w:p>
    <w:p>
      <w:pPr>
        <w:keepNext/>
        <w:spacing w:before="180" w:after="80"/>
        <w:outlineLvl w:val="2"/>
      </w:pPr>
      <w:r>
        <w:rPr>
          <w:rFonts w:ascii="Arial" w:hAnsi="Arial" w:cs="Arial"/>
          <w:b/>
          <w:i w:val="0"/>
          <w:color w:val="333333"/>
          <w:sz w:val="23"/>
        </w:rPr>
        <w:t>7.7.1 CFR Boundary Semantics &amp; State Model</w:t>
      </w:r>
    </w:p>
    <w:p>
      <w:pPr>
        <w:spacing w:after="80" w:line="293" w:lineRule="auto"/>
        <w:jc w:val="left"/>
      </w:pPr>
      <w:r>
        <w:rPr>
          <w:rFonts w:ascii="Times New Roman" w:hAnsi="Times New Roman" w:cs="Times New Roman"/>
          <w:b w:val="0"/>
          <w:i w:val="0"/>
          <w:sz w:val="22"/>
        </w:rPr>
        <w:t>The Conditional Financing Reference is by construction conditional, non-binding, policy-dependent, and time-limited. A CFR records that a financier has reviewed a privacy-preserving trade digest (Section 7.3.3) and issued a conditional pre-clearance; it is not financing execution, not a financing agreement, and not a commitment that survives unchanged into the post-lock phase. Approval before contract lock is never represented as final financing execution.</w:t>
      </w:r>
    </w:p>
    <w:p>
      <w:pPr>
        <w:spacing w:after="80" w:line="293" w:lineRule="auto"/>
        <w:jc w:val="left"/>
      </w:pPr>
      <w:r>
        <w:rPr>
          <w:rFonts w:ascii="Times New Roman" w:hAnsi="Times New Roman" w:cs="Times New Roman"/>
          <w:b w:val="0"/>
          <w:i w:val="0"/>
          <w:sz w:val="22"/>
        </w:rPr>
        <w:t>Every CFR record carries: trade_request_id, the seller quote reference, the borrower candidate, the financing context, the trade digest it was evaluated against, the requested amount, status, the CFR reference, the conditions attached to the pre-clearance, and the validity window. The CFR state model is:</w:t>
      </w:r>
    </w:p>
    <w:p>
      <w:pPr>
        <w:spacing w:after="0" w:before="0" w:line="240" w:lineRule="auto"/>
        <w:ind w:left="57"/>
        <w:jc w:val="left"/>
        <w:shd w:val="clear" w:fill="F2F2F2"/>
      </w:pPr>
      <w:r>
        <w:rPr>
          <w:rFonts w:ascii="Consolas" w:hAnsi="Consolas" w:cs="Consolas"/>
          <w:b w:val="0"/>
          <w:i w:val="0"/>
          <w:sz w:val="15"/>
        </w:rPr>
        <w:t>REQUESTED -&gt; UNDER_REVIEW -&gt; APPROVED | REJECTED</w:t>
      </w:r>
    </w:p>
    <w:p>
      <w:pPr>
        <w:spacing w:after="0" w:before="0" w:line="240" w:lineRule="auto"/>
        <w:ind w:left="57"/>
        <w:jc w:val="left"/>
        <w:shd w:val="clear" w:fill="F2F2F2"/>
      </w:pPr>
      <w:r>
        <w:rPr>
          <w:rFonts w:ascii="Consolas" w:hAnsi="Consolas" w:cs="Consolas"/>
          <w:b w:val="0"/>
          <w:i w:val="0"/>
          <w:sz w:val="15"/>
        </w:rPr>
        <w:t xml:space="preserve">                         -&gt; EXPIRED     (validity window elapsed)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After the authoritative contract lock, financing execution follows the canonical financing chain, with the CFR as the pre-clearance context:</w:t>
      </w:r>
    </w:p>
    <w:p>
      <w:pPr>
        <w:spacing w:after="0" w:before="0" w:line="240" w:lineRule="auto"/>
        <w:ind w:left="57"/>
        <w:jc w:val="left"/>
        <w:shd w:val="clear" w:fill="F2F2F2"/>
      </w:pPr>
      <w:r>
        <w:rPr>
          <w:rFonts w:ascii="Consolas" w:hAnsi="Consolas" w:cs="Consolas"/>
          <w:b w:val="0"/>
          <w:i w:val="0"/>
          <w:sz w:val="15"/>
        </w:rPr>
        <w:t>CFR (pre-clearance context)</w:t>
      </w:r>
    </w:p>
    <w:p>
      <w:pPr>
        <w:spacing w:after="0" w:before="0" w:line="240" w:lineRule="auto"/>
        <w:ind w:left="57"/>
        <w:jc w:val="left"/>
        <w:shd w:val="clear" w:fill="F2F2F2"/>
      </w:pPr>
      <w:r>
        <w:rPr>
          <w:rFonts w:ascii="Consolas" w:hAnsi="Consolas" w:cs="Consolas"/>
          <w:b w:val="0"/>
          <w:i w:val="0"/>
          <w:sz w:val="15"/>
        </w:rPr>
        <w:t xml:space="preserve">  -&gt; formal financing request</w:t>
      </w:r>
    </w:p>
    <w:p>
      <w:pPr>
        <w:spacing w:after="0" w:before="0" w:line="240" w:lineRule="auto"/>
        <w:ind w:left="57"/>
        <w:jc w:val="left"/>
        <w:shd w:val="clear" w:fill="F2F2F2"/>
      </w:pPr>
      <w:r>
        <w:rPr>
          <w:rFonts w:ascii="Consolas" w:hAnsi="Consolas" w:cs="Consolas"/>
          <w:b w:val="0"/>
          <w:i w:val="0"/>
          <w:sz w:val="15"/>
        </w:rPr>
        <w:t xml:space="preserve">  -&gt; financing offer(s)</w:t>
      </w:r>
    </w:p>
    <w:p>
      <w:pPr>
        <w:spacing w:after="0" w:before="0" w:line="240" w:lineRule="auto"/>
        <w:ind w:left="57"/>
        <w:jc w:val="left"/>
        <w:shd w:val="clear" w:fill="F2F2F2"/>
      </w:pPr>
      <w:r>
        <w:rPr>
          <w:rFonts w:ascii="Consolas" w:hAnsi="Consolas" w:cs="Consolas"/>
          <w:b w:val="0"/>
          <w:i w:val="0"/>
          <w:sz w:val="15"/>
        </w:rPr>
        <w:t xml:space="preserve">  -&gt; allocation(s)   (Section 10.23.1)</w:t>
      </w:r>
    </w:p>
    <w:p>
      <w:pPr>
        <w:spacing w:after="0" w:before="0" w:line="240" w:lineRule="auto"/>
        <w:ind w:left="57"/>
        <w:jc w:val="left"/>
        <w:shd w:val="clear" w:fill="F2F2F2"/>
      </w:pPr>
      <w:r>
        <w:rPr>
          <w:rFonts w:ascii="Consolas" w:hAnsi="Consolas" w:cs="Consolas"/>
          <w:b w:val="0"/>
          <w:i w:val="0"/>
          <w:sz w:val="15"/>
        </w:rPr>
        <w:t xml:space="preserve">  -&gt; financing agreement(s)</w:t>
      </w:r>
    </w:p>
    <w:p>
      <w:pPr>
        <w:spacing w:after="0" w:before="0" w:line="240" w:lineRule="auto"/>
        <w:ind w:left="57"/>
        <w:jc w:val="left"/>
        <w:shd w:val="clear" w:fill="F2F2F2"/>
      </w:pPr>
      <w:r>
        <w:rPr>
          <w:rFonts w:ascii="Consolas" w:hAnsi="Consolas" w:cs="Consolas"/>
          <w:b w:val="0"/>
          <w:i w:val="0"/>
          <w:sz w:val="15"/>
        </w:rPr>
        <w:t xml:space="preserve">  -&gt; disbursement(s)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CFR gate at lock (Section 9.42) verifies that the financing eligibility conditions are satisfied or the gate is explicitly waived by policy; it never treats the CFR as an executed financing agreement. The data-sovereign financing declaration rules of Section 7.6 apply to the entire CFR lifecycle: the buyer declaration and the seller declaration remain on the declaring parties' records, and no cross-contamination of financing intent occurs at any CFR phase boundary.</w:t>
      </w:r>
    </w:p>
    <w:p>
      <w:pPr>
        <w:keepNext/>
        <w:spacing w:before="360" w:after="160"/>
        <w:outlineLvl w:val="0"/>
      </w:pPr>
      <w:r>
        <w:rPr>
          <w:rFonts w:ascii="Arial" w:hAnsi="Arial" w:cs="Arial"/>
          <w:b/>
          <w:i w:val="0"/>
          <w:color w:val="1F3864"/>
          <w:sz w:val="32"/>
        </w:rPr>
        <w:t>8. Seller Workflow — Phase 2 (Quote, Packing &amp; Logistics)</w:t>
      </w:r>
    </w:p>
    <w:p>
      <w:pPr>
        <w:keepNext/>
        <w:spacing w:before="240" w:after="100"/>
        <w:outlineLvl w:val="1"/>
      </w:pPr>
      <w:r>
        <w:rPr>
          <w:rFonts w:ascii="Arial" w:hAnsi="Arial" w:cs="Arial"/>
          <w:b/>
          <w:i w:val="0"/>
          <w:color w:val="2E528F"/>
          <w:sz w:val="26"/>
        </w:rPr>
        <w:t>8.1 Purpose &amp; Design Philosophy</w:t>
      </w:r>
    </w:p>
    <w:p>
      <w:pPr>
        <w:spacing w:after="80" w:line="293" w:lineRule="auto"/>
        <w:jc w:val="left"/>
      </w:pPr>
      <w:r>
        <w:rPr>
          <w:rFonts w:ascii="Times New Roman" w:hAnsi="Times New Roman" w:cs="Times New Roman"/>
          <w:b w:val="0"/>
          <w:i w:val="0"/>
          <w:sz w:val="22"/>
        </w:rPr>
        <w:t>The Seller Workflow transforms a buyer's request into a commercially viable, physically feasible, and compliant quote. It is the bridge between buyer intent and contractual commitment. After receiving the buyer's structured trade request (Section 6), the seller must transform that commercial intent into a physically feasible, commercially viable, and legally compliant quote.</w:t>
      </w:r>
    </w:p>
    <w:p>
      <w:pPr>
        <w:spacing w:after="80" w:line="293" w:lineRule="auto"/>
        <w:jc w:val="left"/>
      </w:pPr>
      <w:r>
        <w:rPr>
          <w:rFonts w:ascii="Times New Roman" w:hAnsi="Times New Roman" w:cs="Times New Roman"/>
          <w:b w:val="0"/>
          <w:i w:val="0"/>
          <w:sz w:val="22"/>
        </w:rPr>
        <w:t>Core principles: One Adaptive Experience (no separate Basic/Expert modes); Feasibility Before Pricing (determine whether the request can be fulfilled before detailed pricing); Zero Re-Entry (all buyer request data flows in; no manual re-creation); Data-Sovereign Financing (the seller declares only the seller's financing needs); Evidence-Based Commitment (every commitment requires explicit acknowledgment); AI-Assisted Optimisation (AI suggests pricing, packing, and logistics optimisation); Three Flexible Logistics Modes (Manual — Mode A; RFQ to Logistics Service Providers — Mode B; Direct to Shipping Lines — Mode C); Transport-Mode-Aware Equipment (equipment selection drives logistics costs and packing); Incoterm-Driven Service Enforcement (mandatory logistics services are enforced based on the selected Incoterm); Non-Uniform Layer Stacking (real-world packing with mixed layer configurations is supported); One-Click Core (every irreversible action is a single click); Non-Marketplace (the platform never suggests alternative buyers or service providers).</w:t>
      </w:r>
    </w:p>
    <w:p>
      <w:pPr>
        <w:spacing w:after="80" w:line="293" w:lineRule="auto"/>
        <w:jc w:val="left"/>
      </w:pPr>
      <w:r>
        <w:rPr>
          <w:rFonts w:ascii="Times New Roman" w:hAnsi="Times New Roman" w:cs="Times New Roman"/>
          <w:b w:val="0"/>
          <w:i w:val="0"/>
          <w:sz w:val="22"/>
        </w:rPr>
        <w:t>Phase 2 encompasses: Loading Origin (where the goods will be loaded); EXW Price Lock (pricing the goods with AI market intelligence); Packing &amp; Containerisation (designing the physical packing plan with non-uniform layer stacking); Logistics Orchestration (determining logistics costs through three flexible modes); Alternative Delivery Ports (providing options to the buyer); Multi-Shipment Response (accepting, modifying, or rejecting multi-shipment schedules); Quote Submission (assembling the final price and submitting to the buyer).</w:t>
      </w:r>
    </w:p>
    <w:p>
      <w:pPr>
        <w:spacing w:after="80" w:line="293" w:lineRule="auto"/>
        <w:jc w:val="left"/>
      </w:pPr>
      <w:r>
        <w:rPr>
          <w:rFonts w:ascii="Times New Roman" w:hAnsi="Times New Roman" w:cs="Times New Roman"/>
          <w:b w:val="0"/>
          <w:i w:val="0"/>
          <w:sz w:val="22"/>
        </w:rPr>
        <w:t>The goal is a complete, competitive, and compliant quote that includes: EXW price (with AI market intelligence); a packing plan (with non-uniform layers, SSCC barcodes, and acceptance criteria references); logistics costs (selected from the three flexible modes); alternative delivery options; the SGTX platform fee (engine-determined, calculated on the Canonical Fee Basis per Section 9.27); the full multi-shipment schedule (if applicable); and all generated documents (packing list, invoice, customs declaration).</w:t>
      </w:r>
    </w:p>
    <w:p>
      <w:pPr>
        <w:spacing w:after="80" w:line="293" w:lineRule="auto"/>
        <w:jc w:val="left"/>
      </w:pPr>
      <w:r>
        <w:rPr>
          <w:rFonts w:ascii="Times New Roman" w:hAnsi="Times New Roman" w:cs="Times New Roman"/>
          <w:b w:val="0"/>
          <w:i w:val="0"/>
          <w:sz w:val="22"/>
        </w:rPr>
        <w:t>Phase 2 timeline: days 5–8 (seller prepares and submits quote). One-click guarantee: from opening the request to submitting the quote, approximately 12–15 clicks (excluding data entry). Voice commands are available for packing and logistics selections.</w:t>
      </w:r>
    </w:p>
    <w:p>
      <w:pPr>
        <w:keepNext/>
        <w:spacing w:before="240" w:after="100"/>
        <w:outlineLvl w:val="1"/>
      </w:pPr>
      <w:r>
        <w:rPr>
          <w:rFonts w:ascii="Arial" w:hAnsi="Arial" w:cs="Arial"/>
          <w:b/>
          <w:i w:val="0"/>
          <w:color w:val="2E528F"/>
          <w:sz w:val="26"/>
        </w:rPr>
        <w:t>8.2 Complete Workflow Steps</w:t>
      </w:r>
    </w:p>
    <w:p>
      <w:pPr>
        <w:spacing w:after="80" w:line="293" w:lineRule="auto"/>
        <w:jc w:val="left"/>
      </w:pPr>
      <w:r>
        <w:rPr>
          <w:rFonts w:ascii="Times New Roman" w:hAnsi="Times New Roman" w:cs="Times New Roman"/>
          <w:b w:val="0"/>
          <w:i w:val="0"/>
          <w:sz w:val="22"/>
        </w:rPr>
        <w:t>The end-to-end seller workflow from request receipt to quote submission:</w:t>
      </w:r>
    </w:p>
    <w:p>
      <w:pPr>
        <w:spacing w:after="0" w:before="0" w:line="240" w:lineRule="auto"/>
        <w:ind w:left="57"/>
        <w:jc w:val="left"/>
        <w:shd w:val="clear" w:fill="F2F2F2"/>
      </w:pPr>
      <w:r>
        <w:rPr>
          <w:rFonts w:ascii="Consolas" w:hAnsi="Consolas" w:cs="Consolas"/>
          <w:b w:val="0"/>
          <w:i w:val="0"/>
          <w:sz w:val="15"/>
        </w:rPr>
        <w:t>1. RECEIVE &amp; REVIEW BUYER REQUEST</w:t>
      </w:r>
    </w:p>
    <w:p>
      <w:pPr>
        <w:spacing w:after="0" w:before="0" w:line="240" w:lineRule="auto"/>
        <w:ind w:left="57"/>
        <w:jc w:val="left"/>
        <w:shd w:val="clear" w:fill="F2F2F2"/>
      </w:pPr>
      <w:r>
        <w:rPr>
          <w:rFonts w:ascii="Consolas" w:hAnsi="Consolas" w:cs="Consolas"/>
          <w:b w:val="0"/>
          <w:i w:val="0"/>
          <w:sz w:val="15"/>
        </w:rPr>
        <w:t xml:space="preserve">   → Smart Inbox: "New trade request from [Buyer]"</w:t>
      </w:r>
    </w:p>
    <w:p>
      <w:pPr>
        <w:spacing w:after="0" w:before="0" w:line="240" w:lineRule="auto"/>
        <w:ind w:left="57"/>
        <w:jc w:val="left"/>
        <w:shd w:val="clear" w:fill="F2F2F2"/>
      </w:pPr>
      <w:r>
        <w:rPr>
          <w:rFonts w:ascii="Consolas" w:hAnsi="Consolas" w:cs="Consolas"/>
          <w:b w:val="0"/>
          <w:i w:val="0"/>
          <w:sz w:val="15"/>
        </w:rPr>
        <w:t xml:space="preserve">   → Review buyer's parsed specifications (containers, commodities, Incoterm,</w:t>
      </w:r>
    </w:p>
    <w:p>
      <w:pPr>
        <w:spacing w:after="0" w:before="0" w:line="240" w:lineRule="auto"/>
        <w:ind w:left="57"/>
        <w:jc w:val="left"/>
        <w:shd w:val="clear" w:fill="F2F2F2"/>
      </w:pPr>
      <w:r>
        <w:rPr>
          <w:rFonts w:ascii="Consolas" w:hAnsi="Consolas" w:cs="Consolas"/>
          <w:b w:val="0"/>
          <w:i w:val="0"/>
          <w:sz w:val="15"/>
        </w:rPr>
        <w:t xml:space="preserve">     acceptance criteria, special instructions, settlement preferences)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2. LOADING ORIGIN</w:t>
      </w:r>
    </w:p>
    <w:p>
      <w:pPr>
        <w:spacing w:after="0" w:before="0" w:line="240" w:lineRule="auto"/>
        <w:ind w:left="57"/>
        <w:jc w:val="left"/>
        <w:shd w:val="clear" w:fill="F2F2F2"/>
      </w:pPr>
      <w:r>
        <w:rPr>
          <w:rFonts w:ascii="Consolas" w:hAnsi="Consolas" w:cs="Consolas"/>
          <w:b w:val="0"/>
          <w:i w:val="0"/>
          <w:sz w:val="15"/>
        </w:rPr>
        <w:t xml:space="preserve">   → Select country of loading, port of loading</w:t>
      </w:r>
    </w:p>
    <w:p>
      <w:pPr>
        <w:spacing w:after="0" w:before="0" w:line="240" w:lineRule="auto"/>
        <w:ind w:left="57"/>
        <w:jc w:val="left"/>
        <w:shd w:val="clear" w:fill="F2F2F2"/>
      </w:pPr>
      <w:r>
        <w:rPr>
          <w:rFonts w:ascii="Consolas" w:hAnsi="Consolas" w:cs="Consolas"/>
          <w:b w:val="0"/>
          <w:i w:val="0"/>
          <w:sz w:val="15"/>
        </w:rPr>
        <w:t xml:space="preserve">   → Optional: alternative loading point (geocoded)</w:t>
      </w:r>
    </w:p>
    <w:p>
      <w:pPr>
        <w:spacing w:after="0" w:before="0" w:line="240" w:lineRule="auto"/>
        <w:ind w:left="57"/>
        <w:jc w:val="left"/>
        <w:shd w:val="clear" w:fill="F2F2F2"/>
      </w:pPr>
      <w:r>
        <w:rPr>
          <w:rFonts w:ascii="Consolas" w:hAnsi="Consolas" w:cs="Consolas"/>
          <w:b w:val="0"/>
          <w:i w:val="0"/>
          <w:sz w:val="15"/>
        </w:rPr>
        <w:t xml:space="preserve">   → Distance to port auto-calculated (OSRM)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3. EXW PRICE LOCK</w:t>
      </w:r>
    </w:p>
    <w:p>
      <w:pPr>
        <w:spacing w:after="0" w:before="0" w:line="240" w:lineRule="auto"/>
        <w:ind w:left="57"/>
        <w:jc w:val="left"/>
        <w:shd w:val="clear" w:fill="F2F2F2"/>
      </w:pPr>
      <w:r>
        <w:rPr>
          <w:rFonts w:ascii="Consolas" w:hAnsi="Consolas" w:cs="Consolas"/>
          <w:b w:val="0"/>
          <w:i w:val="0"/>
          <w:sz w:val="15"/>
        </w:rPr>
        <w:t xml:space="preserve">   → Live market chart (FAO, USDA, World Bank)</w:t>
      </w:r>
    </w:p>
    <w:p>
      <w:pPr>
        <w:spacing w:after="0" w:before="0" w:line="240" w:lineRule="auto"/>
        <w:ind w:left="57"/>
        <w:jc w:val="left"/>
        <w:shd w:val="clear" w:fill="F2F2F2"/>
      </w:pPr>
      <w:r>
        <w:rPr>
          <w:rFonts w:ascii="Consolas" w:hAnsi="Consolas" w:cs="Consolas"/>
          <w:b w:val="0"/>
          <w:i w:val="0"/>
          <w:sz w:val="15"/>
        </w:rPr>
        <w:t xml:space="preserve">   → AI fair price badge (A1, Groq) — "Use fair price"</w:t>
      </w:r>
    </w:p>
    <w:p>
      <w:pPr>
        <w:spacing w:after="0" w:before="0" w:line="240" w:lineRule="auto"/>
        <w:ind w:left="57"/>
        <w:jc w:val="left"/>
        <w:shd w:val="clear" w:fill="F2F2F2"/>
      </w:pPr>
      <w:r>
        <w:rPr>
          <w:rFonts w:ascii="Consolas" w:hAnsi="Consolas" w:cs="Consolas"/>
          <w:b w:val="0"/>
          <w:i w:val="0"/>
          <w:sz w:val="15"/>
        </w:rPr>
        <w:t xml:space="preserve">   → Dynamic unit conversion (per ton / per kilo / per unit)</w:t>
      </w:r>
    </w:p>
    <w:p>
      <w:pPr>
        <w:spacing w:after="0" w:before="0" w:line="240" w:lineRule="auto"/>
        <w:ind w:left="57"/>
        <w:jc w:val="left"/>
        <w:shd w:val="clear" w:fill="F2F2F2"/>
      </w:pPr>
      <w:r>
        <w:rPr>
          <w:rFonts w:ascii="Consolas" w:hAnsi="Consolas" w:cs="Consolas"/>
          <w:b w:val="0"/>
          <w:i w:val="0"/>
          <w:sz w:val="15"/>
        </w:rPr>
        <w:t xml:space="preserve">   → Total EXW value calculation (real-time)</w:t>
      </w:r>
    </w:p>
    <w:p>
      <w:pPr>
        <w:spacing w:after="0" w:before="0" w:line="240" w:lineRule="auto"/>
        <w:ind w:left="57"/>
        <w:jc w:val="left"/>
        <w:shd w:val="clear" w:fill="F2F2F2"/>
      </w:pPr>
      <w:r>
        <w:rPr>
          <w:rFonts w:ascii="Consolas" w:hAnsi="Consolas" w:cs="Consolas"/>
          <w:b w:val="0"/>
          <w:i w:val="0"/>
          <w:sz w:val="15"/>
        </w:rPr>
        <w:t xml:space="preserve">   → Price deviation justification (if &gt;30% above AI band)</w:t>
      </w:r>
    </w:p>
    <w:p>
      <w:pPr>
        <w:spacing w:after="0" w:before="0" w:line="240" w:lineRule="auto"/>
        <w:ind w:left="57"/>
        <w:jc w:val="left"/>
        <w:shd w:val="clear" w:fill="F2F2F2"/>
      </w:pPr>
      <w:r>
        <w:rPr>
          <w:rFonts w:ascii="Consolas" w:hAnsi="Consolas" w:cs="Consolas"/>
          <w:b w:val="0"/>
          <w:i w:val="0"/>
          <w:sz w:val="15"/>
        </w:rPr>
        <w:t xml:space="preserve">   → Post-lock price watch (A2, background monitoring)</w:t>
      </w:r>
    </w:p>
    <w:p>
      <w:pPr>
        <w:spacing w:after="0" w:before="0" w:line="240" w:lineRule="auto"/>
        <w:ind w:left="57"/>
        <w:jc w:val="left"/>
        <w:shd w:val="clear" w:fill="F2F2F2"/>
      </w:pPr>
      <w:r>
        <w:rPr>
          <w:rFonts w:ascii="Consolas" w:hAnsi="Consolas" w:cs="Consolas"/>
          <w:b w:val="0"/>
          <w:i w:val="0"/>
          <w:sz w:val="15"/>
        </w:rPr>
        <w:t xml:space="preserve">   → Five high-end add-ons (volume-tiered pricing, dynamic currency,</w:t>
      </w:r>
    </w:p>
    <w:p>
      <w:pPr>
        <w:spacing w:after="0" w:before="0" w:line="240" w:lineRule="auto"/>
        <w:ind w:left="57"/>
        <w:jc w:val="left"/>
        <w:shd w:val="clear" w:fill="F2F2F2"/>
      </w:pPr>
      <w:r>
        <w:rPr>
          <w:rFonts w:ascii="Consolas" w:hAnsi="Consolas" w:cs="Consolas"/>
          <w:b w:val="0"/>
          <w:i w:val="0"/>
          <w:sz w:val="15"/>
        </w:rPr>
        <w:t xml:space="preserve">     historical price comparison, lock &amp; hold, admin-controlled floor/ceiling)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4. PACKING &amp; CONTAINERISATION</w:t>
      </w:r>
    </w:p>
    <w:p>
      <w:pPr>
        <w:spacing w:after="0" w:before="0" w:line="240" w:lineRule="auto"/>
        <w:ind w:left="57"/>
        <w:jc w:val="left"/>
        <w:shd w:val="clear" w:fill="F2F2F2"/>
      </w:pPr>
      <w:r>
        <w:rPr>
          <w:rFonts w:ascii="Consolas" w:hAnsi="Consolas" w:cs="Consolas"/>
          <w:b w:val="0"/>
          <w:i w:val="0"/>
          <w:sz w:val="15"/>
        </w:rPr>
        <w:t xml:space="preserve">   → Weight calculation engine (real-time)</w:t>
      </w:r>
    </w:p>
    <w:p>
      <w:pPr>
        <w:spacing w:after="0" w:before="0" w:line="240" w:lineRule="auto"/>
        <w:ind w:left="57"/>
        <w:jc w:val="left"/>
        <w:shd w:val="clear" w:fill="F2F2F2"/>
      </w:pPr>
      <w:r>
        <w:rPr>
          <w:rFonts w:ascii="Consolas" w:hAnsi="Consolas" w:cs="Consolas"/>
          <w:b w:val="0"/>
          <w:i w:val="0"/>
          <w:sz w:val="15"/>
        </w:rPr>
        <w:t xml:space="preserve">   → Palletisation optimiser (ORTools CP-SAT)</w:t>
      </w:r>
    </w:p>
    <w:p>
      <w:pPr>
        <w:spacing w:after="0" w:before="0" w:line="240" w:lineRule="auto"/>
        <w:ind w:left="57"/>
        <w:jc w:val="left"/>
        <w:shd w:val="clear" w:fill="F2F2F2"/>
      </w:pPr>
      <w:r>
        <w:rPr>
          <w:rFonts w:ascii="Consolas" w:hAnsi="Consolas" w:cs="Consolas"/>
          <w:b w:val="0"/>
          <w:i w:val="0"/>
          <w:sz w:val="15"/>
        </w:rPr>
        <w:t xml:space="preserve">   → Non-uniform layer stacking (mixed layer configurations)</w:t>
      </w:r>
    </w:p>
    <w:p>
      <w:pPr>
        <w:spacing w:after="0" w:before="0" w:line="240" w:lineRule="auto"/>
        <w:ind w:left="57"/>
        <w:jc w:val="left"/>
        <w:shd w:val="clear" w:fill="F2F2F2"/>
      </w:pPr>
      <w:r>
        <w:rPr>
          <w:rFonts w:ascii="Consolas" w:hAnsi="Consolas" w:cs="Consolas"/>
          <w:b w:val="0"/>
          <w:i w:val="0"/>
          <w:sz w:val="15"/>
        </w:rPr>
        <w:t xml:space="preserve">   → 3D container viewer (Three.js)</w:t>
      </w:r>
    </w:p>
    <w:p>
      <w:pPr>
        <w:spacing w:after="0" w:before="0" w:line="240" w:lineRule="auto"/>
        <w:ind w:left="57"/>
        <w:jc w:val="left"/>
        <w:shd w:val="clear" w:fill="F2F2F2"/>
      </w:pPr>
      <w:r>
        <w:rPr>
          <w:rFonts w:ascii="Consolas" w:hAnsi="Consolas" w:cs="Consolas"/>
          <w:b w:val="0"/>
          <w:i w:val="0"/>
          <w:sz w:val="15"/>
        </w:rPr>
        <w:t xml:space="preserve">   → Collaborative editing (Yjs + WebRTC)</w:t>
      </w:r>
    </w:p>
    <w:p>
      <w:pPr>
        <w:spacing w:after="0" w:before="0" w:line="240" w:lineRule="auto"/>
        <w:ind w:left="57"/>
        <w:jc w:val="left"/>
        <w:shd w:val="clear" w:fill="F2F2F2"/>
      </w:pPr>
      <w:r>
        <w:rPr>
          <w:rFonts w:ascii="Consolas" w:hAnsi="Consolas" w:cs="Consolas"/>
          <w:b w:val="0"/>
          <w:i w:val="0"/>
          <w:sz w:val="15"/>
        </w:rPr>
        <w:t xml:space="preserve">   → Ecological packaging advisor (A1, Groq)</w:t>
      </w:r>
    </w:p>
    <w:p>
      <w:pPr>
        <w:spacing w:after="0" w:before="0" w:line="240" w:lineRule="auto"/>
        <w:ind w:left="57"/>
        <w:jc w:val="left"/>
        <w:shd w:val="clear" w:fill="F2F2F2"/>
      </w:pPr>
      <w:r>
        <w:rPr>
          <w:rFonts w:ascii="Consolas" w:hAnsi="Consolas" w:cs="Consolas"/>
          <w:b w:val="0"/>
          <w:i w:val="0"/>
          <w:sz w:val="15"/>
        </w:rPr>
        <w:t xml:space="preserve">   → Carbon footprint calculation (ISO 14067)</w:t>
      </w:r>
    </w:p>
    <w:p>
      <w:pPr>
        <w:spacing w:after="0" w:before="0" w:line="240" w:lineRule="auto"/>
        <w:ind w:left="57"/>
        <w:jc w:val="left"/>
        <w:shd w:val="clear" w:fill="F2F2F2"/>
      </w:pPr>
      <w:r>
        <w:rPr>
          <w:rFonts w:ascii="Consolas" w:hAnsi="Consolas" w:cs="Consolas"/>
          <w:b w:val="0"/>
          <w:i w:val="0"/>
          <w:sz w:val="15"/>
        </w:rPr>
        <w:t xml:space="preserve">   → Lock packing plan (Governor validation)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5. LOGISTICS ORCHESTRATION (THREE MODES)</w:t>
      </w:r>
    </w:p>
    <w:p>
      <w:pPr>
        <w:spacing w:after="0" w:before="0" w:line="240" w:lineRule="auto"/>
        <w:ind w:left="57"/>
        <w:jc w:val="left"/>
        <w:shd w:val="clear" w:fill="F2F2F2"/>
      </w:pPr>
      <w:r>
        <w:rPr>
          <w:rFonts w:ascii="Consolas" w:hAnsi="Consolas" w:cs="Consolas"/>
          <w:b w:val="0"/>
          <w:i w:val="0"/>
          <w:sz w:val="15"/>
        </w:rPr>
        <w:t xml:space="preserve">   MODE A — MANUAL ENTRY: seller enters fixed costs per service (trucking,</w:t>
      </w:r>
    </w:p>
    <w:p>
      <w:pPr>
        <w:spacing w:after="0" w:before="0" w:line="240" w:lineRule="auto"/>
        <w:ind w:left="57"/>
        <w:jc w:val="left"/>
        <w:shd w:val="clear" w:fill="F2F2F2"/>
      </w:pPr>
      <w:r>
        <w:rPr>
          <w:rFonts w:ascii="Consolas" w:hAnsi="Consolas" w:cs="Consolas"/>
          <w:b w:val="0"/>
          <w:i w:val="0"/>
          <w:sz w:val="15"/>
        </w:rPr>
        <w:t xml:space="preserve">     customs, THC, freight); Incoterm-based filtering (mandatory services)</w:t>
      </w:r>
    </w:p>
    <w:p>
      <w:pPr>
        <w:spacing w:after="0" w:before="0" w:line="240" w:lineRule="auto"/>
        <w:ind w:left="57"/>
        <w:jc w:val="left"/>
        <w:shd w:val="clear" w:fill="F2F2F2"/>
      </w:pPr>
      <w:r>
        <w:rPr>
          <w:rFonts w:ascii="Consolas" w:hAnsi="Consolas" w:cs="Consolas"/>
          <w:b w:val="0"/>
          <w:i w:val="0"/>
          <w:sz w:val="15"/>
        </w:rPr>
        <w:t xml:space="preserve">   MODE B — RFQ TO LOGISTICS PROVIDERS: select service categories; directed</w:t>
      </w:r>
    </w:p>
    <w:p>
      <w:pPr>
        <w:spacing w:after="0" w:before="0" w:line="240" w:lineRule="auto"/>
        <w:ind w:left="57"/>
        <w:jc w:val="left"/>
        <w:shd w:val="clear" w:fill="F2F2F2"/>
      </w:pPr>
      <w:r>
        <w:rPr>
          <w:rFonts w:ascii="Consolas" w:hAnsi="Consolas" w:cs="Consolas"/>
          <w:b w:val="0"/>
          <w:i w:val="0"/>
          <w:sz w:val="15"/>
        </w:rPr>
        <w:t xml:space="preserve">     (specific LSPs) or anonymous broadcast; clarification requests</w:t>
      </w:r>
    </w:p>
    <w:p>
      <w:pPr>
        <w:spacing w:after="0" w:before="0" w:line="240" w:lineRule="auto"/>
        <w:ind w:left="57"/>
        <w:jc w:val="left"/>
        <w:shd w:val="clear" w:fill="F2F2F2"/>
      </w:pPr>
      <w:r>
        <w:rPr>
          <w:rFonts w:ascii="Consolas" w:hAnsi="Consolas" w:cs="Consolas"/>
          <w:b w:val="0"/>
          <w:i w:val="0"/>
          <w:sz w:val="15"/>
        </w:rPr>
        <w:t xml:space="preserve">     (structured Q&amp;A); quote submission and comparison panel</w:t>
      </w:r>
    </w:p>
    <w:p>
      <w:pPr>
        <w:spacing w:after="0" w:before="0" w:line="240" w:lineRule="auto"/>
        <w:ind w:left="57"/>
        <w:jc w:val="left"/>
        <w:shd w:val="clear" w:fill="F2F2F2"/>
      </w:pPr>
      <w:r>
        <w:rPr>
          <w:rFonts w:ascii="Consolas" w:hAnsi="Consolas" w:cs="Consolas"/>
          <w:b w:val="0"/>
          <w:i w:val="0"/>
          <w:sz w:val="15"/>
        </w:rPr>
        <w:t xml:space="preserve">   MODE C — DIRECT TO SHIPPING LINES: select target shipping lines; specify</w:t>
      </w:r>
    </w:p>
    <w:p>
      <w:pPr>
        <w:spacing w:after="0" w:before="0" w:line="240" w:lineRule="auto"/>
        <w:ind w:left="57"/>
        <w:jc w:val="left"/>
        <w:shd w:val="clear" w:fill="F2F2F2"/>
      </w:pPr>
      <w:r>
        <w:rPr>
          <w:rFonts w:ascii="Consolas" w:hAnsi="Consolas" w:cs="Consolas"/>
          <w:b w:val="0"/>
          <w:i w:val="0"/>
          <w:sz w:val="15"/>
        </w:rPr>
        <w:t xml:space="preserve">     base service (ocean/air freight); add optional ancillary services</w:t>
      </w:r>
    </w:p>
    <w:p>
      <w:pPr>
        <w:spacing w:after="0" w:before="0" w:line="240" w:lineRule="auto"/>
        <w:ind w:left="57"/>
        <w:jc w:val="left"/>
        <w:shd w:val="clear" w:fill="F2F2F2"/>
      </w:pPr>
      <w:r>
        <w:rPr>
          <w:rFonts w:ascii="Consolas" w:hAnsi="Consolas" w:cs="Consolas"/>
          <w:b w:val="0"/>
          <w:i w:val="0"/>
          <w:sz w:val="15"/>
        </w:rPr>
        <w:t xml:space="preserve">     (trucking, customs broker, insurance); quote submission and comparison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6. ALTERNATIVE DELIVERY PORTS</w:t>
      </w:r>
    </w:p>
    <w:p>
      <w:pPr>
        <w:spacing w:after="0" w:before="0" w:line="240" w:lineRule="auto"/>
        <w:ind w:left="57"/>
        <w:jc w:val="left"/>
        <w:shd w:val="clear" w:fill="F2F2F2"/>
      </w:pPr>
      <w:r>
        <w:rPr>
          <w:rFonts w:ascii="Consolas" w:hAnsi="Consolas" w:cs="Consolas"/>
          <w:b w:val="0"/>
          <w:i w:val="0"/>
          <w:sz w:val="15"/>
        </w:rPr>
        <w:t xml:space="preserve">   → Add alternative ports within destination country</w:t>
      </w:r>
    </w:p>
    <w:p>
      <w:pPr>
        <w:spacing w:after="0" w:before="0" w:line="240" w:lineRule="auto"/>
        <w:ind w:left="57"/>
        <w:jc w:val="left"/>
        <w:shd w:val="clear" w:fill="F2F2F2"/>
      </w:pPr>
      <w:r>
        <w:rPr>
          <w:rFonts w:ascii="Consolas" w:hAnsi="Consolas" w:cs="Consolas"/>
          <w:b w:val="0"/>
          <w:i w:val="0"/>
          <w:sz w:val="15"/>
        </w:rPr>
        <w:t xml:space="preserve">   → AI suggests ports (A1, Groq) based on cost, transit, congestion</w:t>
      </w:r>
    </w:p>
    <w:p>
      <w:pPr>
        <w:spacing w:after="0" w:before="0" w:line="240" w:lineRule="auto"/>
        <w:ind w:left="57"/>
        <w:jc w:val="left"/>
        <w:shd w:val="clear" w:fill="F2F2F2"/>
      </w:pPr>
      <w:r>
        <w:rPr>
          <w:rFonts w:ascii="Consolas" w:hAnsi="Consolas" w:cs="Consolas"/>
          <w:b w:val="0"/>
          <w:i w:val="0"/>
          <w:sz w:val="15"/>
        </w:rPr>
        <w:t xml:space="preserve">   → Comparison table shown to buyer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7. MULTI-SHIPMENT RESPONSE (if applicable)</w:t>
      </w:r>
    </w:p>
    <w:p>
      <w:pPr>
        <w:spacing w:after="0" w:before="0" w:line="240" w:lineRule="auto"/>
        <w:ind w:left="57"/>
        <w:jc w:val="left"/>
        <w:shd w:val="clear" w:fill="F2F2F2"/>
      </w:pPr>
      <w:r>
        <w:rPr>
          <w:rFonts w:ascii="Consolas" w:hAnsi="Consolas" w:cs="Consolas"/>
          <w:b w:val="0"/>
          <w:i w:val="0"/>
          <w:sz w:val="15"/>
        </w:rPr>
        <w:t xml:space="preserve">   → Accept as proposed</w:t>
      </w:r>
    </w:p>
    <w:p>
      <w:pPr>
        <w:spacing w:after="0" w:before="0" w:line="240" w:lineRule="auto"/>
        <w:ind w:left="57"/>
        <w:jc w:val="left"/>
        <w:shd w:val="clear" w:fill="F2F2F2"/>
      </w:pPr>
      <w:r>
        <w:rPr>
          <w:rFonts w:ascii="Consolas" w:hAnsi="Consolas" w:cs="Consolas"/>
          <w:b w:val="0"/>
          <w:i w:val="0"/>
          <w:sz w:val="15"/>
        </w:rPr>
        <w:t xml:space="preserve">   → Propose modifications (edit delivery date, port, containers, commodities)</w:t>
      </w:r>
    </w:p>
    <w:p>
      <w:pPr>
        <w:spacing w:after="0" w:before="0" w:line="240" w:lineRule="auto"/>
        <w:ind w:left="57"/>
        <w:jc w:val="left"/>
        <w:shd w:val="clear" w:fill="F2F2F2"/>
      </w:pPr>
      <w:r>
        <w:rPr>
          <w:rFonts w:ascii="Consolas" w:hAnsi="Consolas" w:cs="Consolas"/>
          <w:b w:val="0"/>
          <w:i w:val="0"/>
          <w:sz w:val="15"/>
        </w:rPr>
        <w:t xml:space="preserve">   → Reject multi-shipment → propose single shipment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8. SGTX FEE CALCULATION</w:t>
      </w:r>
    </w:p>
    <w:p>
      <w:pPr>
        <w:spacing w:after="0" w:before="0" w:line="240" w:lineRule="auto"/>
        <w:ind w:left="57"/>
        <w:jc w:val="left"/>
        <w:shd w:val="clear" w:fill="F2F2F2"/>
      </w:pPr>
      <w:r>
        <w:rPr>
          <w:rFonts w:ascii="Consolas" w:hAnsi="Consolas" w:cs="Consolas"/>
          <w:b w:val="0"/>
          <w:i w:val="0"/>
          <w:sz w:val="15"/>
        </w:rPr>
        <w:t>→ Canonical Fee Basis = EXW total + eligible logistics costs</w:t>
      </w:r>
    </w:p>
    <w:p>
      <w:pPr>
        <w:spacing w:after="0" w:before="0" w:line="240" w:lineRule="auto"/>
        <w:ind w:left="57"/>
        <w:jc w:val="left"/>
        <w:shd w:val="clear" w:fill="F2F2F2"/>
      </w:pPr>
      <w:r>
        <w:rPr>
          <w:rFonts w:ascii="Consolas" w:hAnsi="Consolas" w:cs="Consolas"/>
          <w:b w:val="0"/>
          <w:i w:val="0"/>
          <w:sz w:val="15"/>
        </w:rPr>
        <w:t>→ SGTX fee = engine effective rate × CFB (Section 9.27)</w:t>
      </w:r>
    </w:p>
    <w:p>
      <w:pPr>
        <w:spacing w:after="0" w:before="0" w:line="240" w:lineRule="auto"/>
        <w:ind w:left="57"/>
        <w:jc w:val="left"/>
        <w:shd w:val="clear" w:fill="F2F2F2"/>
      </w:pPr>
      <w:r>
        <w:rPr>
          <w:rFonts w:ascii="Consolas" w:hAnsi="Consolas" w:cs="Consolas"/>
          <w:b w:val="0"/>
          <w:i w:val="0"/>
          <w:sz w:val="15"/>
        </w:rPr>
        <w:t xml:space="preserve">   → Final quoted price to buyer = total trade value + SGTX fee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9. SUBMIT QUOTE (One Click)</w:t>
      </w:r>
    </w:p>
    <w:p>
      <w:pPr>
        <w:spacing w:after="0" w:before="0" w:line="240" w:lineRule="auto"/>
        <w:ind w:left="57"/>
        <w:jc w:val="left"/>
        <w:shd w:val="clear" w:fill="F2F2F2"/>
      </w:pPr>
      <w:r>
        <w:rPr>
          <w:rFonts w:ascii="Consolas" w:hAnsi="Consolas" w:cs="Consolas"/>
          <w:b w:val="0"/>
          <w:i w:val="0"/>
          <w:sz w:val="15"/>
        </w:rPr>
        <w:t xml:space="preserve">   → Governor validation (all conditions met)</w:t>
      </w:r>
    </w:p>
    <w:p>
      <w:pPr>
        <w:spacing w:after="0" w:before="0" w:line="240" w:lineRule="auto"/>
        <w:ind w:left="57"/>
        <w:jc w:val="left"/>
        <w:shd w:val="clear" w:fill="F2F2F2"/>
      </w:pPr>
      <w:r>
        <w:rPr>
          <w:rFonts w:ascii="Consolas" w:hAnsi="Consolas" w:cs="Consolas"/>
          <w:b w:val="0"/>
          <w:i w:val="0"/>
          <w:sz w:val="15"/>
        </w:rPr>
        <w:t xml:space="preserve">   → If ALLOW: quote submitted, buyer notified</w:t>
      </w:r>
    </w:p>
    <w:p>
      <w:pPr>
        <w:spacing w:after="0" w:before="0" w:line="240" w:lineRule="auto"/>
        <w:ind w:left="57"/>
        <w:jc w:val="left"/>
        <w:shd w:val="clear" w:fill="F2F2F2"/>
      </w:pPr>
      <w:r>
        <w:rPr>
          <w:rFonts w:ascii="Consolas" w:hAnsi="Consolas" w:cs="Consolas"/>
          <w:b w:val="0"/>
          <w:i w:val="0"/>
          <w:sz w:val="15"/>
        </w:rPr>
        <w:t xml:space="preserve">   → If CONDITIONAL/DENY: Decision Panel with remediation links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8.2.1 Step 1 — Receive Buyer Request</w:t>
      </w:r>
    </w:p>
    <w:p>
      <w:pPr>
        <w:spacing w:after="80" w:line="293" w:lineRule="auto"/>
        <w:jc w:val="left"/>
      </w:pPr>
      <w:r>
        <w:rPr>
          <w:rFonts w:ascii="Times New Roman" w:hAnsi="Times New Roman" w:cs="Times New Roman"/>
          <w:b w:val="0"/>
          <w:i w:val="0"/>
          <w:sz w:val="22"/>
        </w:rPr>
        <w:t>Entry points: Smart Inbox, Seller Dashboard, Trade Command Center, notification, approved email/deep link. The buyer's structured request is displayed without re-entry: buyer legal name, GTID, and trust score; commodity product name and HS code; quantity, unit, tolerance; destination country and port; delivery window; Incoterm; transport preference (mode, equipment); quality requirements (acceptance criteria); major documents; settlement preference.</w:t>
      </w:r>
    </w:p>
    <w:p>
      <w:pPr>
        <w:spacing w:after="80" w:line="293" w:lineRule="auto"/>
        <w:jc w:val="left"/>
      </w:pPr>
      <w:r>
        <w:rPr>
          <w:rFonts w:ascii="Times New Roman" w:hAnsi="Times New Roman" w:cs="Times New Roman"/>
          <w:b w:val="0"/>
          <w:i w:val="0"/>
          <w:sz w:val="22"/>
        </w:rPr>
        <w:t>The seller receives the request through a Smart Inbox card that presents the essential commercial facts at a glance — commodity and HS code, quantity with tolerance, Incoterm, destination, special instructions (for example, Arabic labels, Halal certification), and trade criticality — with one-click actions: View Request, Decline, Ask Clarification.</w:t>
      </w:r>
    </w:p>
    <w:p>
      <w:pPr>
        <w:spacing w:after="80" w:line="293" w:lineRule="auto"/>
        <w:jc w:val="left"/>
      </w:pPr>
      <w:r>
        <w:rPr>
          <w:rFonts w:ascii="Times New Roman" w:hAnsi="Times New Roman" w:cs="Times New Roman"/>
          <w:b w:val="0"/>
          <w:i w:val="0"/>
          <w:sz w:val="22"/>
        </w:rPr>
        <w:t>The full request view presents the complete parsed structure:</w:t>
      </w:r>
    </w:p>
    <w:p>
      <w:pPr>
        <w:spacing w:after="0" w:before="0" w:line="240" w:lineRule="auto"/>
        <w:ind w:left="57"/>
        <w:jc w:val="left"/>
        <w:shd w:val="clear" w:fill="F2F2F2"/>
      </w:pPr>
      <w:r>
        <w:rPr>
          <w:rFonts w:ascii="Consolas" w:hAnsi="Consolas" w:cs="Consolas"/>
          <w:b w:val="0"/>
          <w:i w:val="0"/>
          <w:sz w:val="15"/>
        </w:rPr>
        <w:t>TRADE REQUEST DETAILS</w:t>
      </w:r>
    </w:p>
    <w:p>
      <w:pPr>
        <w:spacing w:after="0" w:before="0" w:line="240" w:lineRule="auto"/>
        <w:ind w:left="57"/>
        <w:jc w:val="left"/>
        <w:shd w:val="clear" w:fill="F2F2F2"/>
      </w:pPr>
      <w:r>
        <w:rPr>
          <w:rFonts w:ascii="Consolas" w:hAnsi="Consolas" w:cs="Consolas"/>
          <w:b w:val="0"/>
          <w:i w:val="0"/>
          <w:sz w:val="15"/>
        </w:rPr>
        <w:t xml:space="preserve">  Buyer: legal name + GTID + trust score</w:t>
      </w:r>
    </w:p>
    <w:p>
      <w:pPr>
        <w:spacing w:after="0" w:before="0" w:line="240" w:lineRule="auto"/>
        <w:ind w:left="57"/>
        <w:jc w:val="left"/>
        <w:shd w:val="clear" w:fill="F2F2F2"/>
      </w:pPr>
      <w:r>
        <w:rPr>
          <w:rFonts w:ascii="Consolas" w:hAnsi="Consolas" w:cs="Consolas"/>
          <w:b w:val="0"/>
          <w:i w:val="0"/>
          <w:sz w:val="15"/>
        </w:rPr>
        <w:t xml:space="preserve">  Commodity: product name, grade</w:t>
      </w:r>
    </w:p>
    <w:p>
      <w:pPr>
        <w:spacing w:after="0" w:before="0" w:line="240" w:lineRule="auto"/>
        <w:ind w:left="57"/>
        <w:jc w:val="left"/>
        <w:shd w:val="clear" w:fill="F2F2F2"/>
      </w:pPr>
      <w:r>
        <w:rPr>
          <w:rFonts w:ascii="Consolas" w:hAnsi="Consolas" w:cs="Consolas"/>
          <w:b w:val="0"/>
          <w:i w:val="0"/>
          <w:sz w:val="15"/>
        </w:rPr>
        <w:t xml:space="preserve">  Quantity: amount + tolerance</w:t>
      </w:r>
    </w:p>
    <w:p>
      <w:pPr>
        <w:spacing w:after="0" w:before="0" w:line="240" w:lineRule="auto"/>
        <w:ind w:left="57"/>
        <w:jc w:val="left"/>
        <w:shd w:val="clear" w:fill="F2F2F2"/>
      </w:pPr>
      <w:r>
        <w:rPr>
          <w:rFonts w:ascii="Consolas" w:hAnsi="Consolas" w:cs="Consolas"/>
          <w:b w:val="0"/>
          <w:i w:val="0"/>
          <w:sz w:val="15"/>
        </w:rPr>
        <w:t xml:space="preserve">  Incoterm + destination</w:t>
      </w:r>
    </w:p>
    <w:p>
      <w:pPr>
        <w:spacing w:after="0" w:before="0" w:line="240" w:lineRule="auto"/>
        <w:ind w:left="57"/>
        <w:jc w:val="left"/>
        <w:shd w:val="clear" w:fill="F2F2F2"/>
      </w:pPr>
      <w:r>
        <w:rPr>
          <w:rFonts w:ascii="Consolas" w:hAnsi="Consolas" w:cs="Consolas"/>
          <w:b w:val="0"/>
          <w:i w:val="0"/>
          <w:sz w:val="15"/>
        </w:rPr>
        <w:t xml:space="preserve">  Trade criticality (PRIORITY / STANDARD)</w:t>
      </w:r>
    </w:p>
    <w:p>
      <w:pPr>
        <w:spacing w:after="0" w:before="0" w:line="240" w:lineRule="auto"/>
        <w:ind w:left="57"/>
        <w:jc w:val="left"/>
        <w:shd w:val="clear" w:fill="F2F2F2"/>
      </w:pPr>
      <w:r>
        <w:rPr>
          <w:rFonts w:ascii="Consolas" w:hAnsi="Consolas" w:cs="Consolas"/>
          <w:b w:val="0"/>
          <w:i w:val="0"/>
          <w:sz w:val="15"/>
        </w:rPr>
        <w:t xml:space="preserve">  Partial shipment: YES/NO | Transshipment: YES/NO</w:t>
      </w:r>
    </w:p>
    <w:p>
      <w:pPr>
        <w:spacing w:after="0" w:before="0" w:line="240" w:lineRule="auto"/>
        <w:ind w:left="57"/>
        <w:jc w:val="left"/>
        <w:shd w:val="clear" w:fill="F2F2F2"/>
      </w:pPr>
      <w:r>
        <w:rPr>
          <w:rFonts w:ascii="Consolas" w:hAnsi="Consolas" w:cs="Consolas"/>
          <w:b w:val="0"/>
          <w:i w:val="0"/>
          <w:sz w:val="15"/>
        </w:rPr>
        <w:t xml:space="preserve">  Special instructions</w:t>
      </w:r>
    </w:p>
    <w:p>
      <w:pPr>
        <w:spacing w:after="0" w:before="0" w:line="240" w:lineRule="auto"/>
        <w:ind w:left="57"/>
        <w:jc w:val="left"/>
        <w:shd w:val="clear" w:fill="F2F2F2"/>
      </w:pPr>
      <w:r>
        <w:rPr>
          <w:rFonts w:ascii="Consolas" w:hAnsi="Consolas" w:cs="Consolas"/>
          <w:b w:val="0"/>
          <w:i w:val="0"/>
          <w:sz w:val="15"/>
        </w:rPr>
        <w:t xml:space="preserve">  CONTAINERS (per container):</w:t>
      </w:r>
    </w:p>
    <w:p>
      <w:pPr>
        <w:spacing w:after="0" w:before="0" w:line="240" w:lineRule="auto"/>
        <w:ind w:left="57"/>
        <w:jc w:val="left"/>
        <w:shd w:val="clear" w:fill="F2F2F2"/>
      </w:pPr>
      <w:r>
        <w:rPr>
          <w:rFonts w:ascii="Consolas" w:hAnsi="Consolas" w:cs="Consolas"/>
          <w:b w:val="0"/>
          <w:i w:val="0"/>
          <w:sz w:val="15"/>
        </w:rPr>
        <w:t xml:space="preserve">    route (origin → destination port)</w:t>
      </w:r>
    </w:p>
    <w:p>
      <w:pPr>
        <w:spacing w:after="0" w:before="0" w:line="240" w:lineRule="auto"/>
        <w:ind w:left="57"/>
        <w:jc w:val="left"/>
        <w:shd w:val="clear" w:fill="F2F2F2"/>
      </w:pPr>
      <w:r>
        <w:rPr>
          <w:rFonts w:ascii="Consolas" w:hAnsi="Consolas" w:cs="Consolas"/>
          <w:b w:val="0"/>
          <w:i w:val="0"/>
          <w:sz w:val="15"/>
        </w:rPr>
        <w:t xml:space="preserve">    commodity (pallets, cartons/pallet, kg/carton)</w:t>
      </w:r>
    </w:p>
    <w:p>
      <w:pPr>
        <w:spacing w:after="0" w:before="0" w:line="240" w:lineRule="auto"/>
        <w:ind w:left="57"/>
        <w:jc w:val="left"/>
        <w:shd w:val="clear" w:fill="F2F2F2"/>
      </w:pPr>
      <w:r>
        <w:rPr>
          <w:rFonts w:ascii="Consolas" w:hAnsi="Consolas" w:cs="Consolas"/>
          <w:b w:val="0"/>
          <w:i w:val="0"/>
          <w:sz w:val="15"/>
        </w:rPr>
        <w:t xml:space="preserve">    acceptance criteria (moisture, protein, purity…)</w:t>
      </w:r>
    </w:p>
    <w:p>
      <w:pPr>
        <w:spacing w:after="0" w:before="0" w:line="240" w:lineRule="auto"/>
        <w:ind w:left="57"/>
        <w:jc w:val="left"/>
        <w:shd w:val="clear" w:fill="F2F2F2"/>
      </w:pPr>
      <w:r>
        <w:rPr>
          <w:rFonts w:ascii="Consolas" w:hAnsi="Consolas" w:cs="Consolas"/>
          <w:b w:val="0"/>
          <w:i w:val="0"/>
          <w:sz w:val="15"/>
        </w:rPr>
        <w:t xml:space="preserve">    treatment (e.g., cold treatment −0.5 °C, 14 days)</w:t>
      </w:r>
    </w:p>
    <w:p>
      <w:pPr>
        <w:spacing w:after="0" w:before="0" w:line="240" w:lineRule="auto"/>
        <w:ind w:left="57"/>
        <w:jc w:val="left"/>
        <w:shd w:val="clear" w:fill="F2F2F2"/>
      </w:pPr>
      <w:r>
        <w:rPr>
          <w:rFonts w:ascii="Consolas" w:hAnsi="Consolas" w:cs="Consolas"/>
          <w:b w:val="0"/>
          <w:i w:val="0"/>
          <w:sz w:val="15"/>
        </w:rPr>
        <w:t xml:space="preserve">  DOCUMENTATION REQUIREMENTS:</w:t>
      </w:r>
    </w:p>
    <w:p>
      <w:pPr>
        <w:spacing w:after="0" w:before="0" w:line="240" w:lineRule="auto"/>
        <w:ind w:left="57"/>
        <w:jc w:val="left"/>
        <w:shd w:val="clear" w:fill="F2F2F2"/>
      </w:pPr>
      <w:r>
        <w:rPr>
          <w:rFonts w:ascii="Consolas" w:hAnsi="Consolas" w:cs="Consolas"/>
          <w:b w:val="0"/>
          <w:i w:val="0"/>
          <w:sz w:val="15"/>
        </w:rPr>
        <w:t xml:space="preserve">    required documents; originals required; electronic accepted; language</w:t>
      </w:r>
    </w:p>
    <w:p>
      <w:pPr>
        <w:spacing w:after="0" w:before="0" w:line="240" w:lineRule="auto"/>
        <w:ind w:left="57"/>
        <w:jc w:val="left"/>
        <w:shd w:val="clear" w:fill="F2F2F2"/>
      </w:pPr>
      <w:r>
        <w:rPr>
          <w:rFonts w:ascii="Consolas" w:hAnsi="Consolas" w:cs="Consolas"/>
          <w:b w:val="0"/>
          <w:i w:val="0"/>
          <w:sz w:val="15"/>
        </w:rPr>
        <w:t xml:space="preserve">  INSURANCE REQUIREMENTS:</w:t>
      </w:r>
    </w:p>
    <w:p>
      <w:pPr>
        <w:spacing w:after="0" w:before="0" w:line="240" w:lineRule="auto"/>
        <w:ind w:left="57"/>
        <w:jc w:val="left"/>
        <w:shd w:val="clear" w:fill="F2F2F2"/>
      </w:pPr>
      <w:r>
        <w:rPr>
          <w:rFonts w:ascii="Consolas" w:hAnsi="Consolas" w:cs="Consolas"/>
          <w:b w:val="0"/>
          <w:i w:val="0"/>
          <w:sz w:val="15"/>
        </w:rPr>
        <w:t xml:space="preserve">    requirement; responsible party (ACCORDING_TO_INCOTERM); type; coverage %</w:t>
      </w:r>
    </w:p>
    <w:p>
      <w:pPr>
        <w:spacing w:after="0" w:before="0" w:line="240" w:lineRule="auto"/>
        <w:ind w:left="57"/>
        <w:jc w:val="left"/>
        <w:shd w:val="clear" w:fill="F2F2F2"/>
      </w:pPr>
      <w:r>
        <w:rPr>
          <w:rFonts w:ascii="Consolas" w:hAnsi="Consolas" w:cs="Consolas"/>
          <w:b w:val="0"/>
          <w:i w:val="0"/>
          <w:sz w:val="15"/>
        </w:rPr>
        <w:t xml:space="preserve">  COMMERCIAL SETTLEMENT:</w:t>
      </w:r>
    </w:p>
    <w:p>
      <w:pPr>
        <w:spacing w:after="0" w:before="0" w:line="240" w:lineRule="auto"/>
        <w:ind w:left="57"/>
        <w:jc w:val="left"/>
        <w:shd w:val="clear" w:fill="F2F2F2"/>
      </w:pPr>
      <w:r>
        <w:rPr>
          <w:rFonts w:ascii="Consolas" w:hAnsi="Consolas" w:cs="Consolas"/>
          <w:b w:val="0"/>
          <w:i w:val="0"/>
          <w:sz w:val="15"/>
        </w:rPr>
        <w:t xml:space="preserve">    priority; structure; timing; credit period; currency; flexibility</w:t>
      </w:r>
    </w:p>
    <w:p>
      <w:pPr>
        <w:spacing w:after="0" w:before="0" w:line="240" w:lineRule="auto"/>
        <w:ind w:left="57"/>
        <w:jc w:val="left"/>
        <w:shd w:val="clear" w:fill="F2F2F2"/>
      </w:pPr>
      <w:r>
        <w:rPr>
          <w:rFonts w:ascii="Consolas" w:hAnsi="Consolas" w:cs="Consolas"/>
          <w:b w:val="0"/>
          <w:i w:val="0"/>
          <w:sz w:val="15"/>
        </w:rPr>
        <w:t xml:space="preserve">  Actions: [Accept Request] [Decline] [Propose Modifications] [Ask Clarification]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8.2.2 Step 2 — Seller Request Understanding (Seller Brief)</w:t>
      </w:r>
    </w:p>
    <w:p>
      <w:pPr>
        <w:spacing w:after="80" w:line="293" w:lineRule="auto"/>
        <w:jc w:val="left"/>
      </w:pPr>
      <w:r>
        <w:rPr>
          <w:rFonts w:ascii="Times New Roman" w:hAnsi="Times New Roman" w:cs="Times New Roman"/>
          <w:b w:val="0"/>
          <w:i w:val="0"/>
          <w:sz w:val="22"/>
        </w:rPr>
        <w:t>A one-screen brief so the seller understands the complete request in seconds: customer (buyer legal name, GTID, jurisdiction); commodity (product, HS code, quantity, unit, tolerance); quality specification (acceptance criteria); destination; Incoterm with responsibility map; delivery target; transport mode and equipment preference; special requirements; required documents; settlement preference; known constraints; AI-identified potential concerns. AI assistance: A1 generates the concise summary.</w:t>
      </w:r>
    </w:p>
    <w:p>
      <w:pPr>
        <w:keepNext/>
        <w:spacing w:before="180" w:after="80"/>
        <w:outlineLvl w:val="2"/>
      </w:pPr>
      <w:r>
        <w:rPr>
          <w:rFonts w:ascii="Arial" w:hAnsi="Arial" w:cs="Arial"/>
          <w:b/>
          <w:i w:val="0"/>
          <w:color w:val="333333"/>
          <w:sz w:val="23"/>
        </w:rPr>
        <w:t>8.2.3 Step 3 — Seller Feasibility Check (Mandatory)</w:t>
      </w:r>
    </w:p>
    <w:p>
      <w:pPr>
        <w:spacing w:after="80" w:line="293" w:lineRule="auto"/>
        <w:jc w:val="left"/>
      </w:pPr>
      <w:r>
        <w:rPr>
          <w:rFonts w:ascii="Times New Roman" w:hAnsi="Times New Roman" w:cs="Times New Roman"/>
          <w:b w:val="0"/>
          <w:i w:val="0"/>
          <w:sz w:val="22"/>
        </w:rPr>
        <w:t>The feasibility check determines whether the request is operationally executable before any pricing work begins.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Dimension</w:t>
            </w:r>
          </w:p>
        </w:tc>
        <w:tc>
          <w:tcPr>
            <w:tcW w:type="dxa" w:w="4819"/>
            <w:shd w:val="clear" w:fill="D9E2F3"/>
          </w:tcPr>
          <w:p>
            <w:pPr>
              <w:spacing w:after="20" w:before="20" w:line="240" w:lineRule="auto"/>
            </w:pPr>
            <w:r/>
            <w:r>
              <w:rPr>
                <w:rFonts w:ascii="Arial" w:hAnsi="Arial" w:cs="Arial"/>
                <w:b/>
                <w:i w:val="0"/>
                <w:sz w:val="18"/>
              </w:rPr>
              <w:t>Question</w:t>
            </w:r>
          </w:p>
        </w:tc>
      </w:tr>
      <w:tr>
        <w:tc>
          <w:tcPr>
            <w:tcW w:type="dxa" w:w="4819"/>
          </w:tcPr>
          <w:p>
            <w:pPr>
              <w:spacing w:after="20" w:before="20" w:line="240" w:lineRule="auto"/>
            </w:pPr>
            <w:r/>
            <w:r>
              <w:rPr>
                <w:rFonts w:ascii="Arial" w:hAnsi="Arial" w:cs="Arial"/>
                <w:b w:val="0"/>
                <w:i w:val="0"/>
                <w:sz w:val="17"/>
              </w:rPr>
              <w:t>Product Feasibility</w:t>
            </w:r>
          </w:p>
        </w:tc>
        <w:tc>
          <w:tcPr>
            <w:tcW w:type="dxa" w:w="4819"/>
          </w:tcPr>
          <w:p>
            <w:pPr>
              <w:spacing w:after="20" w:before="20" w:line="240" w:lineRule="auto"/>
            </w:pPr>
            <w:r/>
            <w:r>
              <w:rPr>
                <w:rFonts w:ascii="Arial" w:hAnsi="Arial" w:cs="Arial"/>
                <w:b w:val="0"/>
                <w:i w:val="0"/>
                <w:sz w:val="17"/>
              </w:rPr>
              <w:t>Can the seller supply the requested commodity?</w:t>
            </w:r>
          </w:p>
        </w:tc>
      </w:tr>
      <w:tr>
        <w:tc>
          <w:tcPr>
            <w:tcW w:type="dxa" w:w="4819"/>
          </w:tcPr>
          <w:p>
            <w:pPr>
              <w:spacing w:after="20" w:before="20" w:line="240" w:lineRule="auto"/>
            </w:pPr>
            <w:r/>
            <w:r>
              <w:rPr>
                <w:rFonts w:ascii="Arial" w:hAnsi="Arial" w:cs="Arial"/>
                <w:b w:val="0"/>
                <w:i w:val="0"/>
                <w:sz w:val="17"/>
              </w:rPr>
              <w:t>Quantity Feasibility</w:t>
            </w:r>
          </w:p>
        </w:tc>
        <w:tc>
          <w:tcPr>
            <w:tcW w:type="dxa" w:w="4819"/>
          </w:tcPr>
          <w:p>
            <w:pPr>
              <w:spacing w:after="20" w:before="20" w:line="240" w:lineRule="auto"/>
            </w:pPr>
            <w:r/>
            <w:r>
              <w:rPr>
                <w:rFonts w:ascii="Arial" w:hAnsi="Arial" w:cs="Arial"/>
                <w:b w:val="0"/>
                <w:i w:val="0"/>
                <w:sz w:val="17"/>
              </w:rPr>
              <w:t>Can the seller supply the requested quantity and tolerance?</w:t>
            </w:r>
          </w:p>
        </w:tc>
      </w:tr>
      <w:tr>
        <w:tc>
          <w:tcPr>
            <w:tcW w:type="dxa" w:w="4819"/>
          </w:tcPr>
          <w:p>
            <w:pPr>
              <w:spacing w:after="20" w:before="20" w:line="240" w:lineRule="auto"/>
            </w:pPr>
            <w:r/>
            <w:r>
              <w:rPr>
                <w:rFonts w:ascii="Arial" w:hAnsi="Arial" w:cs="Arial"/>
                <w:b w:val="0"/>
                <w:i w:val="0"/>
                <w:sz w:val="17"/>
              </w:rPr>
              <w:t>Timing Feasibility</w:t>
            </w:r>
          </w:p>
        </w:tc>
        <w:tc>
          <w:tcPr>
            <w:tcW w:type="dxa" w:w="4819"/>
          </w:tcPr>
          <w:p>
            <w:pPr>
              <w:spacing w:after="20" w:before="20" w:line="240" w:lineRule="auto"/>
            </w:pPr>
            <w:r/>
            <w:r>
              <w:rPr>
                <w:rFonts w:ascii="Arial" w:hAnsi="Arial" w:cs="Arial"/>
                <w:b w:val="0"/>
                <w:i w:val="0"/>
                <w:sz w:val="17"/>
              </w:rPr>
              <w:t>Can the seller prepare and load within the required window?</w:t>
            </w:r>
          </w:p>
        </w:tc>
      </w:tr>
      <w:tr>
        <w:tc>
          <w:tcPr>
            <w:tcW w:type="dxa" w:w="4819"/>
          </w:tcPr>
          <w:p>
            <w:pPr>
              <w:spacing w:after="20" w:before="20" w:line="240" w:lineRule="auto"/>
            </w:pPr>
            <w:r/>
            <w:r>
              <w:rPr>
                <w:rFonts w:ascii="Arial" w:hAnsi="Arial" w:cs="Arial"/>
                <w:b w:val="0"/>
                <w:i w:val="0"/>
                <w:sz w:val="17"/>
              </w:rPr>
              <w:t>Quality Feasibility</w:t>
            </w:r>
          </w:p>
        </w:tc>
        <w:tc>
          <w:tcPr>
            <w:tcW w:type="dxa" w:w="4819"/>
          </w:tcPr>
          <w:p>
            <w:pPr>
              <w:spacing w:after="20" w:before="20" w:line="240" w:lineRule="auto"/>
            </w:pPr>
            <w:r/>
            <w:r>
              <w:rPr>
                <w:rFonts w:ascii="Arial" w:hAnsi="Arial" w:cs="Arial"/>
                <w:b w:val="0"/>
                <w:i w:val="0"/>
                <w:sz w:val="17"/>
              </w:rPr>
              <w:t>Can the requested acceptance criteria be achieved?</w:t>
            </w:r>
          </w:p>
        </w:tc>
      </w:tr>
      <w:tr>
        <w:tc>
          <w:tcPr>
            <w:tcW w:type="dxa" w:w="4819"/>
          </w:tcPr>
          <w:p>
            <w:pPr>
              <w:spacing w:after="20" w:before="20" w:line="240" w:lineRule="auto"/>
            </w:pPr>
            <w:r/>
            <w:r>
              <w:rPr>
                <w:rFonts w:ascii="Arial" w:hAnsi="Arial" w:cs="Arial"/>
                <w:b w:val="0"/>
                <w:i w:val="0"/>
                <w:sz w:val="17"/>
              </w:rPr>
              <w:t>Packaging Feasibility</w:t>
            </w:r>
          </w:p>
        </w:tc>
        <w:tc>
          <w:tcPr>
            <w:tcW w:type="dxa" w:w="4819"/>
          </w:tcPr>
          <w:p>
            <w:pPr>
              <w:spacing w:after="20" w:before="20" w:line="240" w:lineRule="auto"/>
            </w:pPr>
            <w:r/>
            <w:r>
              <w:rPr>
                <w:rFonts w:ascii="Arial" w:hAnsi="Arial" w:cs="Arial"/>
                <w:b w:val="0"/>
                <w:i w:val="0"/>
                <w:sz w:val="17"/>
              </w:rPr>
              <w:t>Can the goods be packed as required?</w:t>
            </w:r>
          </w:p>
        </w:tc>
      </w:tr>
      <w:tr>
        <w:tc>
          <w:tcPr>
            <w:tcW w:type="dxa" w:w="4819"/>
          </w:tcPr>
          <w:p>
            <w:pPr>
              <w:spacing w:after="20" w:before="20" w:line="240" w:lineRule="auto"/>
            </w:pPr>
            <w:r/>
            <w:r>
              <w:rPr>
                <w:rFonts w:ascii="Arial" w:hAnsi="Arial" w:cs="Arial"/>
                <w:b w:val="0"/>
                <w:i w:val="0"/>
                <w:sz w:val="17"/>
              </w:rPr>
              <w:t>Equipment Feasibility</w:t>
            </w:r>
          </w:p>
        </w:tc>
        <w:tc>
          <w:tcPr>
            <w:tcW w:type="dxa" w:w="4819"/>
          </w:tcPr>
          <w:p>
            <w:pPr>
              <w:spacing w:after="20" w:before="20" w:line="240" w:lineRule="auto"/>
            </w:pPr>
            <w:r/>
            <w:r>
              <w:rPr>
                <w:rFonts w:ascii="Arial" w:hAnsi="Arial" w:cs="Arial"/>
                <w:b w:val="0"/>
                <w:i w:val="0"/>
                <w:sz w:val="17"/>
              </w:rPr>
              <w:t>Can the required container/equipment be used?</w:t>
            </w:r>
          </w:p>
        </w:tc>
      </w:tr>
      <w:tr>
        <w:tc>
          <w:tcPr>
            <w:tcW w:type="dxa" w:w="4819"/>
          </w:tcPr>
          <w:p>
            <w:pPr>
              <w:spacing w:after="20" w:before="20" w:line="240" w:lineRule="auto"/>
            </w:pPr>
            <w:r/>
            <w:r>
              <w:rPr>
                <w:rFonts w:ascii="Arial" w:hAnsi="Arial" w:cs="Arial"/>
                <w:b w:val="0"/>
                <w:i w:val="0"/>
                <w:sz w:val="17"/>
              </w:rPr>
              <w:t>Logistics Feasibility</w:t>
            </w:r>
          </w:p>
        </w:tc>
        <w:tc>
          <w:tcPr>
            <w:tcW w:type="dxa" w:w="4819"/>
          </w:tcPr>
          <w:p>
            <w:pPr>
              <w:spacing w:after="20" w:before="20" w:line="240" w:lineRule="auto"/>
            </w:pPr>
            <w:r/>
            <w:r>
              <w:rPr>
                <w:rFonts w:ascii="Arial" w:hAnsi="Arial" w:cs="Arial"/>
                <w:b w:val="0"/>
                <w:i w:val="0"/>
                <w:sz w:val="17"/>
              </w:rPr>
              <w:t>Can the requested route and mode be executed?</w:t>
            </w:r>
          </w:p>
        </w:tc>
      </w:tr>
      <w:tr>
        <w:tc>
          <w:tcPr>
            <w:tcW w:type="dxa" w:w="4819"/>
          </w:tcPr>
          <w:p>
            <w:pPr>
              <w:spacing w:after="20" w:before="20" w:line="240" w:lineRule="auto"/>
            </w:pPr>
            <w:r/>
            <w:r>
              <w:rPr>
                <w:rFonts w:ascii="Arial" w:hAnsi="Arial" w:cs="Arial"/>
                <w:b w:val="0"/>
                <w:i w:val="0"/>
                <w:sz w:val="17"/>
              </w:rPr>
              <w:t>Documentation Feasibility</w:t>
            </w:r>
          </w:p>
        </w:tc>
        <w:tc>
          <w:tcPr>
            <w:tcW w:type="dxa" w:w="4819"/>
          </w:tcPr>
          <w:p>
            <w:pPr>
              <w:spacing w:after="20" w:before="20" w:line="240" w:lineRule="auto"/>
            </w:pPr>
            <w:r/>
            <w:r>
              <w:rPr>
                <w:rFonts w:ascii="Arial" w:hAnsi="Arial" w:cs="Arial"/>
                <w:b w:val="0"/>
                <w:i w:val="0"/>
                <w:sz w:val="17"/>
              </w:rPr>
              <w:t>Can the seller obtain the documents it is responsible for?</w:t>
            </w:r>
          </w:p>
        </w:tc>
      </w:tr>
      <w:tr>
        <w:tc>
          <w:tcPr>
            <w:tcW w:type="dxa" w:w="4819"/>
          </w:tcPr>
          <w:p>
            <w:pPr>
              <w:spacing w:after="20" w:before="20" w:line="240" w:lineRule="auto"/>
            </w:pPr>
            <w:r/>
            <w:r>
              <w:rPr>
                <w:rFonts w:ascii="Arial" w:hAnsi="Arial" w:cs="Arial"/>
                <w:b w:val="0"/>
                <w:i w:val="0"/>
                <w:sz w:val="17"/>
              </w:rPr>
              <w:t>Regulatory Feasibility</w:t>
            </w:r>
          </w:p>
        </w:tc>
        <w:tc>
          <w:tcPr>
            <w:tcW w:type="dxa" w:w="4819"/>
          </w:tcPr>
          <w:p>
            <w:pPr>
              <w:spacing w:after="20" w:before="20" w:line="240" w:lineRule="auto"/>
            </w:pPr>
            <w:r/>
            <w:r>
              <w:rPr>
                <w:rFonts w:ascii="Arial" w:hAnsi="Arial" w:cs="Arial"/>
                <w:b w:val="0"/>
                <w:i w:val="0"/>
                <w:sz w:val="17"/>
              </w:rPr>
              <w:t>Can the seller legally export under relevant jurisdictional requirements?</w:t>
            </w:r>
          </w:p>
        </w:tc>
      </w:tr>
      <w:tr>
        <w:tc>
          <w:tcPr>
            <w:tcW w:type="dxa" w:w="4819"/>
          </w:tcPr>
          <w:p>
            <w:pPr>
              <w:spacing w:after="20" w:before="20" w:line="240" w:lineRule="auto"/>
            </w:pPr>
            <w:r/>
            <w:r>
              <w:rPr>
                <w:rFonts w:ascii="Arial" w:hAnsi="Arial" w:cs="Arial"/>
                <w:b w:val="0"/>
                <w:i w:val="0"/>
                <w:sz w:val="17"/>
              </w:rPr>
              <w:t>Capacity Feasibility</w:t>
            </w:r>
          </w:p>
        </w:tc>
        <w:tc>
          <w:tcPr>
            <w:tcW w:type="dxa" w:w="4819"/>
          </w:tcPr>
          <w:p>
            <w:pPr>
              <w:spacing w:after="20" w:before="20" w:line="240" w:lineRule="auto"/>
            </w:pPr>
            <w:r/>
            <w:r>
              <w:rPr>
                <w:rFonts w:ascii="Arial" w:hAnsi="Arial" w:cs="Arial"/>
                <w:b w:val="0"/>
                <w:i w:val="0"/>
                <w:sz w:val="17"/>
              </w:rPr>
              <w:t>Is warehouse/plant/loading capacity sufficient?</w:t>
            </w:r>
          </w:p>
        </w:tc>
      </w:tr>
      <w:tr>
        <w:tc>
          <w:tcPr>
            <w:tcW w:type="dxa" w:w="4819"/>
          </w:tcPr>
          <w:p>
            <w:pPr>
              <w:spacing w:after="20" w:before="20" w:line="240" w:lineRule="auto"/>
            </w:pPr>
            <w:r/>
            <w:r>
              <w:rPr>
                <w:rFonts w:ascii="Arial" w:hAnsi="Arial" w:cs="Arial"/>
                <w:b w:val="0"/>
                <w:i w:val="0"/>
                <w:sz w:val="17"/>
              </w:rPr>
              <w:t>Financial Feasibility</w:t>
            </w:r>
          </w:p>
        </w:tc>
        <w:tc>
          <w:tcPr>
            <w:tcW w:type="dxa" w:w="4819"/>
          </w:tcPr>
          <w:p>
            <w:pPr>
              <w:spacing w:after="20" w:before="20" w:line="240" w:lineRule="auto"/>
            </w:pPr>
            <w:r/>
            <w:r>
              <w:rPr>
                <w:rFonts w:ascii="Arial" w:hAnsi="Arial" w:cs="Arial"/>
                <w:b w:val="0"/>
                <w:i w:val="0"/>
                <w:sz w:val="17"/>
              </w:rPr>
              <w:t>Does the requested commercial configuration make economic sense?</w:t>
            </w:r>
          </w:p>
        </w:tc>
      </w:tr>
      <w:tr>
        <w:tc>
          <w:tcPr>
            <w:tcW w:type="dxa" w:w="4819"/>
          </w:tcPr>
          <w:p>
            <w:pPr>
              <w:spacing w:after="20" w:before="20" w:line="240" w:lineRule="auto"/>
            </w:pPr>
            <w:r/>
            <w:r>
              <w:rPr>
                <w:rFonts w:ascii="Arial" w:hAnsi="Arial" w:cs="Arial"/>
                <w:b w:val="0"/>
                <w:i w:val="0"/>
                <w:sz w:val="17"/>
              </w:rPr>
              <w:t>Contract Feasibility</w:t>
            </w:r>
          </w:p>
        </w:tc>
        <w:tc>
          <w:tcPr>
            <w:tcW w:type="dxa" w:w="4819"/>
          </w:tcPr>
          <w:p>
            <w:pPr>
              <w:spacing w:after="20" w:before="20" w:line="240" w:lineRule="auto"/>
            </w:pPr>
            <w:r/>
            <w:r>
              <w:rPr>
                <w:rFonts w:ascii="Arial" w:hAnsi="Arial" w:cs="Arial"/>
                <w:b w:val="0"/>
                <w:i w:val="0"/>
                <w:sz w:val="17"/>
              </w:rPr>
              <w:t>Can the seller accept the requested contractual obligations?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Outputs:</w:t>
      </w:r>
      <w:r>
        <w:rPr>
          <w:rFonts w:ascii="Times New Roman" w:hAnsi="Times New Roman" w:cs="Times New Roman"/>
          <w:b w:val="0"/>
          <w:i w:val="0"/>
          <w:sz w:val="22"/>
        </w:rPr>
        <w:t xml:space="preserve"> READY TO QUOTE (all dimensions feasible); READY WITH CONDITIONS (feasible with documented conditions); CLARIFICATION REQUIRED (more information needed from the buyer); CURRENTLY NOT FEASIBLE (decline with structured reason).</w:t>
      </w:r>
    </w:p>
    <w:p>
      <w:pPr>
        <w:spacing w:after="80" w:line="293" w:lineRule="auto"/>
        <w:jc w:val="left"/>
      </w:pPr>
      <w:r>
        <w:rPr>
          <w:rFonts w:ascii="Times New Roman" w:hAnsi="Times New Roman" w:cs="Times New Roman"/>
          <w:b w:val="0"/>
          <w:i w:val="0"/>
          <w:sz w:val="22"/>
        </w:rPr>
        <w:t>Four related-but-distinct concepts must never be collapsed: request completeness (does the buyer's request contain required information); seller feasibility (can this seller actually execute it); quote readiness (does the seller have enough information to issue a quote); commitment readiness (can the seller safely commit to the stated terms).</w:t>
      </w:r>
    </w:p>
    <w:p>
      <w:pPr>
        <w:keepNext/>
        <w:spacing w:before="180" w:after="80"/>
        <w:outlineLvl w:val="2"/>
      </w:pPr>
      <w:r>
        <w:rPr>
          <w:rFonts w:ascii="Arial" w:hAnsi="Arial" w:cs="Arial"/>
          <w:b/>
          <w:i w:val="0"/>
          <w:color w:val="333333"/>
          <w:sz w:val="23"/>
        </w:rPr>
        <w:t>8.2.4 Step 4 — Seller Decision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Option</w:t>
            </w:r>
          </w:p>
        </w:tc>
        <w:tc>
          <w:tcPr>
            <w:tcW w:type="dxa" w:w="3213"/>
            <w:shd w:val="clear" w:fill="D9E2F3"/>
          </w:tcPr>
          <w:p>
            <w:pPr>
              <w:spacing w:after="20" w:before="20" w:line="240" w:lineRule="auto"/>
            </w:pPr>
            <w:r/>
            <w:r>
              <w:rPr>
                <w:rFonts w:ascii="Arial" w:hAnsi="Arial" w:cs="Arial"/>
                <w:b/>
                <w:i w:val="0"/>
                <w:sz w:val="18"/>
              </w:rPr>
              <w:t>Action</w:t>
            </w:r>
          </w:p>
        </w:tc>
        <w:tc>
          <w:tcPr>
            <w:tcW w:type="dxa" w:w="3213"/>
            <w:shd w:val="clear" w:fill="D9E2F3"/>
          </w:tcPr>
          <w:p>
            <w:pPr>
              <w:spacing w:after="20" w:before="20" w:line="240" w:lineRule="auto"/>
            </w:pPr>
            <w:r/>
            <w:r>
              <w:rPr>
                <w:rFonts w:ascii="Arial" w:hAnsi="Arial" w:cs="Arial"/>
                <w:b/>
                <w:i w:val="0"/>
                <w:sz w:val="18"/>
              </w:rPr>
              <w:t>Result</w:t>
            </w:r>
          </w:p>
        </w:tc>
      </w:tr>
      <w:tr>
        <w:tc>
          <w:tcPr>
            <w:tcW w:type="dxa" w:w="3213"/>
          </w:tcPr>
          <w:p>
            <w:pPr>
              <w:spacing w:after="20" w:before="20" w:line="240" w:lineRule="auto"/>
            </w:pPr>
            <w:r/>
            <w:r>
              <w:rPr>
                <w:rFonts w:ascii="Arial" w:hAnsi="Arial" w:cs="Arial"/>
                <w:b w:val="0"/>
                <w:i w:val="0"/>
                <w:sz w:val="17"/>
              </w:rPr>
              <w:t>Accept &amp; Quote</w:t>
            </w:r>
          </w:p>
        </w:tc>
        <w:tc>
          <w:tcPr>
            <w:tcW w:type="dxa" w:w="3213"/>
          </w:tcPr>
          <w:p>
            <w:pPr>
              <w:spacing w:after="20" w:before="20" w:line="240" w:lineRule="auto"/>
            </w:pPr>
            <w:r/>
            <w:r>
              <w:rPr>
                <w:rFonts w:ascii="Arial" w:hAnsi="Arial" w:cs="Arial"/>
                <w:b w:val="0"/>
                <w:i w:val="0"/>
                <w:sz w:val="17"/>
              </w:rPr>
              <w:t>Proceed to quote construction</w:t>
            </w:r>
          </w:p>
        </w:tc>
        <w:tc>
          <w:tcPr>
            <w:tcW w:type="dxa" w:w="3213"/>
          </w:tcPr>
          <w:p>
            <w:pPr>
              <w:spacing w:after="20" w:before="20" w:line="240" w:lineRule="auto"/>
            </w:pPr>
            <w:r/>
            <w:r>
              <w:rPr>
                <w:rFonts w:ascii="Arial" w:hAnsi="Arial" w:cs="Arial"/>
                <w:b w:val="0"/>
                <w:i w:val="0"/>
                <w:sz w:val="17"/>
              </w:rPr>
              <w:t>Enters Phase 2 full workflow</w:t>
            </w:r>
          </w:p>
        </w:tc>
      </w:tr>
      <w:tr>
        <w:tc>
          <w:tcPr>
            <w:tcW w:type="dxa" w:w="3213"/>
          </w:tcPr>
          <w:p>
            <w:pPr>
              <w:spacing w:after="20" w:before="20" w:line="240" w:lineRule="auto"/>
            </w:pPr>
            <w:r/>
            <w:r>
              <w:rPr>
                <w:rFonts w:ascii="Arial" w:hAnsi="Arial" w:cs="Arial"/>
                <w:b w:val="0"/>
                <w:i w:val="0"/>
                <w:sz w:val="17"/>
              </w:rPr>
              <w:t>Need Clarification</w:t>
            </w:r>
          </w:p>
        </w:tc>
        <w:tc>
          <w:tcPr>
            <w:tcW w:type="dxa" w:w="3213"/>
          </w:tcPr>
          <w:p>
            <w:pPr>
              <w:spacing w:after="20" w:before="20" w:line="240" w:lineRule="auto"/>
            </w:pPr>
            <w:r/>
            <w:r>
              <w:rPr>
                <w:rFonts w:ascii="Arial" w:hAnsi="Arial" w:cs="Arial"/>
                <w:b w:val="0"/>
                <w:i w:val="0"/>
                <w:sz w:val="17"/>
              </w:rPr>
              <w:t>Ask buyer structured questions</w:t>
            </w:r>
          </w:p>
        </w:tc>
        <w:tc>
          <w:tcPr>
            <w:tcW w:type="dxa" w:w="3213"/>
          </w:tcPr>
          <w:p>
            <w:pPr>
              <w:spacing w:after="20" w:before="20" w:line="240" w:lineRule="auto"/>
            </w:pPr>
            <w:r/>
            <w:r>
              <w:rPr>
                <w:rFonts w:ascii="Arial" w:hAnsi="Arial" w:cs="Arial"/>
                <w:b w:val="0"/>
                <w:i w:val="0"/>
                <w:sz w:val="17"/>
              </w:rPr>
              <w:t>Clarification Request generated</w:t>
            </w:r>
          </w:p>
        </w:tc>
      </w:tr>
      <w:tr>
        <w:tc>
          <w:tcPr>
            <w:tcW w:type="dxa" w:w="3213"/>
          </w:tcPr>
          <w:p>
            <w:pPr>
              <w:spacing w:after="20" w:before="20" w:line="240" w:lineRule="auto"/>
            </w:pPr>
            <w:r/>
            <w:r>
              <w:rPr>
                <w:rFonts w:ascii="Arial" w:hAnsi="Arial" w:cs="Arial"/>
                <w:b w:val="0"/>
                <w:i w:val="0"/>
                <w:sz w:val="17"/>
              </w:rPr>
              <w:t>Propose Changes</w:t>
            </w:r>
          </w:p>
        </w:tc>
        <w:tc>
          <w:tcPr>
            <w:tcW w:type="dxa" w:w="3213"/>
          </w:tcPr>
          <w:p>
            <w:pPr>
              <w:spacing w:after="20" w:before="20" w:line="240" w:lineRule="auto"/>
            </w:pPr>
            <w:r/>
            <w:r>
              <w:rPr>
                <w:rFonts w:ascii="Arial" w:hAnsi="Arial" w:cs="Arial"/>
                <w:b w:val="0"/>
                <w:i w:val="0"/>
                <w:sz w:val="17"/>
              </w:rPr>
              <w:t>Suggest specific modifications</w:t>
            </w:r>
          </w:p>
        </w:tc>
        <w:tc>
          <w:tcPr>
            <w:tcW w:type="dxa" w:w="3213"/>
          </w:tcPr>
          <w:p>
            <w:pPr>
              <w:spacing w:after="20" w:before="20" w:line="240" w:lineRule="auto"/>
            </w:pPr>
            <w:r/>
            <w:r>
              <w:rPr>
                <w:rFonts w:ascii="Arial" w:hAnsi="Arial" w:cs="Arial"/>
                <w:b w:val="0"/>
                <w:i w:val="0"/>
                <w:sz w:val="17"/>
              </w:rPr>
              <w:t>Proposal generated with diff</w:t>
            </w:r>
          </w:p>
        </w:tc>
      </w:tr>
      <w:tr>
        <w:tc>
          <w:tcPr>
            <w:tcW w:type="dxa" w:w="3213"/>
          </w:tcPr>
          <w:p>
            <w:pPr>
              <w:spacing w:after="20" w:before="20" w:line="240" w:lineRule="auto"/>
            </w:pPr>
            <w:r/>
            <w:r>
              <w:rPr>
                <w:rFonts w:ascii="Arial" w:hAnsi="Arial" w:cs="Arial"/>
                <w:b w:val="0"/>
                <w:i w:val="0"/>
                <w:sz w:val="17"/>
              </w:rPr>
              <w:t>Decline</w:t>
            </w:r>
          </w:p>
        </w:tc>
        <w:tc>
          <w:tcPr>
            <w:tcW w:type="dxa" w:w="3213"/>
          </w:tcPr>
          <w:p>
            <w:pPr>
              <w:spacing w:after="20" w:before="20" w:line="240" w:lineRule="auto"/>
            </w:pPr>
            <w:r/>
            <w:r>
              <w:rPr>
                <w:rFonts w:ascii="Arial" w:hAnsi="Arial" w:cs="Arial"/>
                <w:b w:val="0"/>
                <w:i w:val="0"/>
                <w:sz w:val="17"/>
              </w:rPr>
              <w:t>Decline with structured reason</w:t>
            </w:r>
          </w:p>
        </w:tc>
        <w:tc>
          <w:tcPr>
            <w:tcW w:type="dxa" w:w="3213"/>
          </w:tcPr>
          <w:p>
            <w:pPr>
              <w:spacing w:after="20" w:before="20" w:line="240" w:lineRule="auto"/>
            </w:pPr>
            <w:r/>
            <w:r>
              <w:rPr>
                <w:rFonts w:ascii="Arial" w:hAnsi="Arial" w:cs="Arial"/>
                <w:b w:val="0"/>
                <w:i w:val="0"/>
                <w:sz w:val="17"/>
              </w:rPr>
              <w:t>Request closed; reason stored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Clarification requests link to the affected field, present Original → Seller Question → Buyer Response, and remain fully auditable. Examples: "Can you accept ±7% instead of ±2%?"; "Can delivery move from 15 July to 20 July?"; "Can Port Said replace Alexandria?"; "Can payment be against documents instead of advance?"</w:t>
      </w:r>
    </w:p>
    <w:p>
      <w:pPr>
        <w:spacing w:after="80" w:line="293" w:lineRule="auto"/>
        <w:jc w:val="left"/>
      </w:pPr>
      <w:r>
        <w:rPr>
          <w:rFonts w:ascii="Times New Roman" w:hAnsi="Times New Roman" w:cs="Times New Roman"/>
          <w:b w:val="0"/>
          <w:i w:val="0"/>
          <w:sz w:val="22"/>
        </w:rPr>
        <w:t>Decline reasons: no capacity; unavailable product; delivery impossible; regulatory restriction; price not viable; logistics impossible; documentation unavailable; commercial terms unacceptable; other.</w:t>
      </w:r>
    </w:p>
    <w:p>
      <w:pPr>
        <w:keepNext/>
        <w:spacing w:before="180" w:after="80"/>
        <w:outlineLvl w:val="2"/>
      </w:pPr>
      <w:r>
        <w:rPr>
          <w:rFonts w:ascii="Arial" w:hAnsi="Arial" w:cs="Arial"/>
          <w:b/>
          <w:i w:val="0"/>
          <w:color w:val="333333"/>
          <w:sz w:val="23"/>
        </w:rPr>
        <w:t>8.2.5 Step 5 — Loading Origin &amp; Availability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Type</w:t>
            </w:r>
          </w:p>
        </w:tc>
        <w:tc>
          <w:tcPr>
            <w:tcW w:type="dxa" w:w="3213"/>
            <w:shd w:val="clear" w:fill="D9E2F3"/>
          </w:tcPr>
          <w:p>
            <w:pPr>
              <w:spacing w:after="20" w:before="20" w:line="240" w:lineRule="auto"/>
            </w:pPr>
            <w:r/>
            <w:r>
              <w:rPr>
                <w:rFonts w:ascii="Arial" w:hAnsi="Arial" w:cs="Arial"/>
                <w:b/>
                <w:i w:val="0"/>
                <w:sz w:val="18"/>
              </w:rPr>
              <w:t>Notes</w:t>
            </w:r>
          </w:p>
        </w:tc>
      </w:tr>
      <w:tr>
        <w:tc>
          <w:tcPr>
            <w:tcW w:type="dxa" w:w="3213"/>
          </w:tcPr>
          <w:p>
            <w:pPr>
              <w:spacing w:after="20" w:before="20" w:line="240" w:lineRule="auto"/>
            </w:pPr>
            <w:r/>
            <w:r>
              <w:rPr>
                <w:rFonts w:ascii="Arial" w:hAnsi="Arial" w:cs="Arial"/>
                <w:b w:val="0"/>
                <w:i w:val="0"/>
                <w:sz w:val="17"/>
              </w:rPr>
              <w:t>Country</w:t>
            </w:r>
          </w:p>
        </w:tc>
        <w:tc>
          <w:tcPr>
            <w:tcW w:type="dxa" w:w="3213"/>
          </w:tcPr>
          <w:p>
            <w:pPr>
              <w:spacing w:after="20" w:before="20" w:line="240" w:lineRule="auto"/>
            </w:pPr>
            <w:r/>
            <w:r>
              <w:rPr>
                <w:rFonts w:ascii="Arial" w:hAnsi="Arial" w:cs="Arial"/>
                <w:b w:val="0"/>
                <w:i w:val="0"/>
                <w:sz w:val="17"/>
              </w:rPr>
              <w:t>Dropdown</w:t>
            </w:r>
          </w:p>
        </w:tc>
        <w:tc>
          <w:tcPr>
            <w:tcW w:type="dxa" w:w="3213"/>
          </w:tcPr>
          <w:p>
            <w:pPr>
              <w:spacing w:after="20" w:before="20" w:line="240" w:lineRule="auto"/>
            </w:pPr>
            <w:r/>
            <w:r>
              <w:rPr>
                <w:rFonts w:ascii="Arial" w:hAnsi="Arial" w:cs="Arial"/>
                <w:b w:val="0"/>
                <w:i w:val="0"/>
                <w:sz w:val="17"/>
              </w:rPr>
              <w:t>Non-sanctioned only</w:t>
            </w:r>
          </w:p>
        </w:tc>
      </w:tr>
      <w:tr>
        <w:tc>
          <w:tcPr>
            <w:tcW w:type="dxa" w:w="3213"/>
          </w:tcPr>
          <w:p>
            <w:pPr>
              <w:spacing w:after="20" w:before="20" w:line="240" w:lineRule="auto"/>
            </w:pPr>
            <w:r/>
            <w:r>
              <w:rPr>
                <w:rFonts w:ascii="Arial" w:hAnsi="Arial" w:cs="Arial"/>
                <w:b w:val="0"/>
                <w:i w:val="0"/>
                <w:sz w:val="17"/>
              </w:rPr>
              <w:t>Region</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Optional</w:t>
            </w:r>
          </w:p>
        </w:tc>
      </w:tr>
      <w:tr>
        <w:tc>
          <w:tcPr>
            <w:tcW w:type="dxa" w:w="3213"/>
          </w:tcPr>
          <w:p>
            <w:pPr>
              <w:spacing w:after="20" w:before="20" w:line="240" w:lineRule="auto"/>
            </w:pPr>
            <w:r/>
            <w:r>
              <w:rPr>
                <w:rFonts w:ascii="Arial" w:hAnsi="Arial" w:cs="Arial"/>
                <w:b w:val="0"/>
                <w:i w:val="0"/>
                <w:sz w:val="17"/>
              </w:rPr>
              <w:t>City</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Optional</w:t>
            </w:r>
          </w:p>
        </w:tc>
      </w:tr>
      <w:tr>
        <w:tc>
          <w:tcPr>
            <w:tcW w:type="dxa" w:w="3213"/>
          </w:tcPr>
          <w:p>
            <w:pPr>
              <w:spacing w:after="20" w:before="20" w:line="240" w:lineRule="auto"/>
            </w:pPr>
            <w:r/>
            <w:r>
              <w:rPr>
                <w:rFonts w:ascii="Arial" w:hAnsi="Arial" w:cs="Arial"/>
                <w:b w:val="0"/>
                <w:i w:val="0"/>
                <w:sz w:val="17"/>
              </w:rPr>
              <w:t>Facility/Farm/Warehouse</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Optional</w:t>
            </w:r>
          </w:p>
        </w:tc>
      </w:tr>
      <w:tr>
        <w:tc>
          <w:tcPr>
            <w:tcW w:type="dxa" w:w="3213"/>
          </w:tcPr>
          <w:p>
            <w:pPr>
              <w:spacing w:after="20" w:before="20" w:line="240" w:lineRule="auto"/>
            </w:pPr>
            <w:r/>
            <w:r>
              <w:rPr>
                <w:rFonts w:ascii="Arial" w:hAnsi="Arial" w:cs="Arial"/>
                <w:b w:val="0"/>
                <w:i w:val="0"/>
                <w:sz w:val="17"/>
              </w:rPr>
              <w:t>Loading Point</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Primary location</w:t>
            </w:r>
          </w:p>
        </w:tc>
      </w:tr>
      <w:tr>
        <w:tc>
          <w:tcPr>
            <w:tcW w:type="dxa" w:w="3213"/>
          </w:tcPr>
          <w:p>
            <w:pPr>
              <w:spacing w:after="20" w:before="20" w:line="240" w:lineRule="auto"/>
            </w:pPr>
            <w:r/>
            <w:r>
              <w:rPr>
                <w:rFonts w:ascii="Arial" w:hAnsi="Arial" w:cs="Arial"/>
                <w:b w:val="0"/>
                <w:i w:val="0"/>
                <w:sz w:val="17"/>
              </w:rPr>
              <w:t>Alternative Loading Point</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Optional</w:t>
            </w:r>
          </w:p>
        </w:tc>
      </w:tr>
      <w:tr>
        <w:tc>
          <w:tcPr>
            <w:tcW w:type="dxa" w:w="3213"/>
          </w:tcPr>
          <w:p>
            <w:pPr>
              <w:spacing w:after="20" w:before="20" w:line="240" w:lineRule="auto"/>
            </w:pPr>
            <w:r/>
            <w:r>
              <w:rPr>
                <w:rFonts w:ascii="Arial" w:hAnsi="Arial" w:cs="Arial"/>
                <w:b w:val="0"/>
                <w:i w:val="0"/>
                <w:sz w:val="17"/>
              </w:rPr>
              <w:t>Distance to Port</w:t>
            </w:r>
          </w:p>
        </w:tc>
        <w:tc>
          <w:tcPr>
            <w:tcW w:type="dxa" w:w="3213"/>
          </w:tcPr>
          <w:p>
            <w:pPr>
              <w:spacing w:after="20" w:before="20" w:line="240" w:lineRule="auto"/>
            </w:pPr>
            <w:r/>
            <w:r>
              <w:rPr>
                <w:rFonts w:ascii="Arial" w:hAnsi="Arial" w:cs="Arial"/>
                <w:b w:val="0"/>
                <w:i w:val="0"/>
                <w:sz w:val="17"/>
              </w:rPr>
              <w:t>Auto-calculated</w:t>
            </w:r>
          </w:p>
        </w:tc>
        <w:tc>
          <w:tcPr>
            <w:tcW w:type="dxa" w:w="3213"/>
          </w:tcPr>
          <w:p>
            <w:pPr>
              <w:spacing w:after="20" w:before="20" w:line="240" w:lineRule="auto"/>
            </w:pPr>
            <w:r/>
            <w:r>
              <w:rPr>
                <w:rFonts w:ascii="Arial" w:hAnsi="Arial" w:cs="Arial"/>
                <w:b w:val="0"/>
                <w:i w:val="0"/>
                <w:sz w:val="17"/>
              </w:rPr>
              <w:t>OSRM routing</w:t>
            </w:r>
          </w:p>
        </w:tc>
      </w:tr>
      <w:tr>
        <w:tc>
          <w:tcPr>
            <w:tcW w:type="dxa" w:w="3213"/>
          </w:tcPr>
          <w:p>
            <w:pPr>
              <w:spacing w:after="20" w:before="20" w:line="240" w:lineRule="auto"/>
            </w:pPr>
            <w:r/>
            <w:r>
              <w:rPr>
                <w:rFonts w:ascii="Arial" w:hAnsi="Arial" w:cs="Arial"/>
                <w:b w:val="0"/>
                <w:i w:val="0"/>
                <w:sz w:val="17"/>
              </w:rPr>
              <w:t>Available Loading Dates</w:t>
            </w:r>
          </w:p>
        </w:tc>
        <w:tc>
          <w:tcPr>
            <w:tcW w:type="dxa" w:w="3213"/>
          </w:tcPr>
          <w:p>
            <w:pPr>
              <w:spacing w:after="20" w:before="20" w:line="240" w:lineRule="auto"/>
            </w:pPr>
            <w:r/>
            <w:r>
              <w:rPr>
                <w:rFonts w:ascii="Arial" w:hAnsi="Arial" w:cs="Arial"/>
                <w:b w:val="0"/>
                <w:i w:val="0"/>
                <w:sz w:val="17"/>
              </w:rPr>
              <w:t>Date range</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Operating Hours</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Loading Capacity</w:t>
            </w:r>
          </w:p>
        </w:tc>
        <w:tc>
          <w:tcPr>
            <w:tcW w:type="dxa" w:w="3213"/>
          </w:tcPr>
          <w:p>
            <w:pPr>
              <w:spacing w:after="20" w:before="20" w:line="240" w:lineRule="auto"/>
            </w:pPr>
            <w:r/>
            <w:r>
              <w:rPr>
                <w:rFonts w:ascii="Arial" w:hAnsi="Arial" w:cs="Arial"/>
                <w:b w:val="0"/>
                <w:i w:val="0"/>
                <w:sz w:val="17"/>
              </w:rPr>
              <w:t>Number</w:t>
            </w:r>
          </w:p>
        </w:tc>
        <w:tc>
          <w:tcPr>
            <w:tcW w:type="dxa" w:w="3213"/>
          </w:tcPr>
          <w:p>
            <w:pPr>
              <w:spacing w:after="20" w:before="20" w:line="240" w:lineRule="auto"/>
            </w:pPr>
            <w:r/>
            <w:r>
              <w:rPr>
                <w:rFonts w:ascii="Arial" w:hAnsi="Arial" w:cs="Arial"/>
                <w:b w:val="0"/>
                <w:i w:val="0"/>
                <w:sz w:val="17"/>
              </w:rPr>
              <w:t>Units per day</w:t>
            </w:r>
          </w:p>
        </w:tc>
      </w:tr>
      <w:tr>
        <w:tc>
          <w:tcPr>
            <w:tcW w:type="dxa" w:w="3213"/>
          </w:tcPr>
          <w:p>
            <w:pPr>
              <w:spacing w:after="20" w:before="20" w:line="240" w:lineRule="auto"/>
            </w:pPr>
            <w:r/>
            <w:r>
              <w:rPr>
                <w:rFonts w:ascii="Arial" w:hAnsi="Arial" w:cs="Arial"/>
                <w:b w:val="0"/>
                <w:i w:val="0"/>
                <w:sz w:val="17"/>
              </w:rPr>
              <w:t>Special Handling Capability</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For example, reefer, crane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System behaviour: logistics implications (distance, transit, cutoff pressure) are calculated automatically from real logistics data where available.</w:t>
      </w:r>
    </w:p>
    <w:p>
      <w:pPr>
        <w:spacing w:after="80" w:line="293" w:lineRule="auto"/>
        <w:jc w:val="left"/>
      </w:pPr>
      <w:r>
        <w:rPr>
          <w:rFonts w:ascii="Times New Roman" w:hAnsi="Times New Roman" w:cs="Times New Roman"/>
          <w:b w:val="0"/>
          <w:i w:val="0"/>
          <w:sz w:val="22"/>
        </w:rPr>
        <w:t>Governance: the Governor validates that the loading port is not sanctioned and is compatible with the Incoterm. If the Incoterm is FOB, the loading port must be in the seller's country. Port-specific capability notes are surfaced during selection (for example, "Damietta is approved for reefer containers").</w:t>
      </w:r>
    </w:p>
    <w:p>
      <w:pPr>
        <w:keepNext/>
        <w:spacing w:before="180" w:after="80"/>
        <w:outlineLvl w:val="2"/>
      </w:pPr>
      <w:r>
        <w:rPr>
          <w:rFonts w:ascii="Arial" w:hAnsi="Arial" w:cs="Arial"/>
          <w:b/>
          <w:i w:val="0"/>
          <w:color w:val="333333"/>
          <w:sz w:val="23"/>
        </w:rPr>
        <w:t>8.2.6 Step 6 — Product &amp; Availability Confirmation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Options</w:t>
            </w:r>
          </w:p>
        </w:tc>
        <w:tc>
          <w:tcPr>
            <w:tcW w:type="dxa" w:w="3213"/>
            <w:shd w:val="clear" w:fill="D9E2F3"/>
          </w:tcPr>
          <w:p>
            <w:pPr>
              <w:spacing w:after="20" w:before="20" w:line="240" w:lineRule="auto"/>
            </w:pPr>
            <w:r/>
            <w:r>
              <w:rPr>
                <w:rFonts w:ascii="Arial" w:hAnsi="Arial" w:cs="Arial"/>
                <w:b/>
                <w:i w:val="0"/>
                <w:sz w:val="18"/>
              </w:rPr>
              <w:t>Notes</w:t>
            </w:r>
          </w:p>
        </w:tc>
      </w:tr>
      <w:tr>
        <w:tc>
          <w:tcPr>
            <w:tcW w:type="dxa" w:w="3213"/>
          </w:tcPr>
          <w:p>
            <w:pPr>
              <w:spacing w:after="20" w:before="20" w:line="240" w:lineRule="auto"/>
            </w:pPr>
            <w:r/>
            <w:r>
              <w:rPr>
                <w:rFonts w:ascii="Arial" w:hAnsi="Arial" w:cs="Arial"/>
                <w:b w:val="0"/>
                <w:i w:val="0"/>
                <w:sz w:val="17"/>
              </w:rPr>
              <w:t>Commodity</w:t>
            </w:r>
          </w:p>
        </w:tc>
        <w:tc>
          <w:tcPr>
            <w:tcW w:type="dxa" w:w="3213"/>
          </w:tcPr>
          <w:p>
            <w:pPr>
              <w:spacing w:after="20" w:before="20" w:line="240" w:lineRule="auto"/>
            </w:pPr>
            <w:r/>
            <w:r>
              <w:rPr>
                <w:rFonts w:ascii="Arial" w:hAnsi="Arial" w:cs="Arial"/>
                <w:b w:val="0"/>
                <w:i w:val="0"/>
                <w:sz w:val="17"/>
              </w:rPr>
              <w:t>From buyer request</w:t>
            </w:r>
          </w:p>
        </w:tc>
        <w:tc>
          <w:tcPr>
            <w:tcW w:type="dxa" w:w="3213"/>
          </w:tcPr>
          <w:p>
            <w:pPr>
              <w:spacing w:after="20" w:before="20" w:line="240" w:lineRule="auto"/>
            </w:pPr>
            <w:r/>
            <w:r>
              <w:rPr>
                <w:rFonts w:ascii="Arial" w:hAnsi="Arial" w:cs="Arial"/>
                <w:b w:val="0"/>
                <w:i w:val="0"/>
                <w:sz w:val="17"/>
              </w:rPr>
              <w:t>Verified</w:t>
            </w:r>
          </w:p>
        </w:tc>
      </w:tr>
      <w:tr>
        <w:tc>
          <w:tcPr>
            <w:tcW w:type="dxa" w:w="3213"/>
          </w:tcPr>
          <w:p>
            <w:pPr>
              <w:spacing w:after="20" w:before="20" w:line="240" w:lineRule="auto"/>
            </w:pPr>
            <w:r/>
            <w:r>
              <w:rPr>
                <w:rFonts w:ascii="Arial" w:hAnsi="Arial" w:cs="Arial"/>
                <w:b w:val="0"/>
                <w:i w:val="0"/>
                <w:sz w:val="17"/>
              </w:rPr>
              <w:t>HS Code</w:t>
            </w:r>
          </w:p>
        </w:tc>
        <w:tc>
          <w:tcPr>
            <w:tcW w:type="dxa" w:w="3213"/>
          </w:tcPr>
          <w:p>
            <w:pPr>
              <w:spacing w:after="20" w:before="20" w:line="240" w:lineRule="auto"/>
            </w:pPr>
            <w:r/>
            <w:r>
              <w:rPr>
                <w:rFonts w:ascii="Arial" w:hAnsi="Arial" w:cs="Arial"/>
                <w:b w:val="0"/>
                <w:i w:val="0"/>
                <w:sz w:val="17"/>
              </w:rPr>
              <w:t>From buyer request</w:t>
            </w:r>
          </w:p>
        </w:tc>
        <w:tc>
          <w:tcPr>
            <w:tcW w:type="dxa" w:w="3213"/>
          </w:tcPr>
          <w:p>
            <w:pPr>
              <w:spacing w:after="20" w:before="20" w:line="240" w:lineRule="auto"/>
            </w:pPr>
            <w:r/>
            <w:r>
              <w:rPr>
                <w:rFonts w:ascii="Arial" w:hAnsi="Arial" w:cs="Arial"/>
                <w:b w:val="0"/>
                <w:i w:val="0"/>
                <w:sz w:val="17"/>
              </w:rPr>
              <w:t>Verified</w:t>
            </w:r>
          </w:p>
        </w:tc>
      </w:tr>
      <w:tr>
        <w:tc>
          <w:tcPr>
            <w:tcW w:type="dxa" w:w="3213"/>
          </w:tcPr>
          <w:p>
            <w:pPr>
              <w:spacing w:after="20" w:before="20" w:line="240" w:lineRule="auto"/>
            </w:pPr>
            <w:r/>
            <w:r>
              <w:rPr>
                <w:rFonts w:ascii="Arial" w:hAnsi="Arial" w:cs="Arial"/>
                <w:b w:val="0"/>
                <w:i w:val="0"/>
                <w:sz w:val="17"/>
              </w:rPr>
              <w:t>Product Form</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Quantity Available</w:t>
            </w:r>
          </w:p>
        </w:tc>
        <w:tc>
          <w:tcPr>
            <w:tcW w:type="dxa" w:w="3213"/>
          </w:tcPr>
          <w:p>
            <w:pPr>
              <w:spacing w:after="20" w:before="20" w:line="240" w:lineRule="auto"/>
            </w:pPr>
            <w:r/>
            <w:r>
              <w:rPr>
                <w:rFonts w:ascii="Arial" w:hAnsi="Arial" w:cs="Arial"/>
                <w:b w:val="0"/>
                <w:i w:val="0"/>
                <w:sz w:val="17"/>
              </w:rPr>
              <w:t>Number</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Production/Stock Status</w:t>
            </w:r>
          </w:p>
        </w:tc>
        <w:tc>
          <w:tcPr>
            <w:tcW w:type="dxa" w:w="3213"/>
          </w:tcPr>
          <w:p>
            <w:pPr>
              <w:spacing w:after="20" w:before="20" w:line="240" w:lineRule="auto"/>
            </w:pPr>
            <w:r/>
            <w:r>
              <w:rPr>
                <w:rFonts w:ascii="Arial" w:hAnsi="Arial" w:cs="Arial"/>
                <w:b w:val="0"/>
                <w:i w:val="0"/>
                <w:sz w:val="17"/>
              </w:rPr>
              <w:t>Available Now, Expected, Reserved, Conditional, Not Available</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Expected Availability Date</w:t>
            </w:r>
          </w:p>
        </w:tc>
        <w:tc>
          <w:tcPr>
            <w:tcW w:type="dxa" w:w="3213"/>
          </w:tcPr>
          <w:p>
            <w:pPr>
              <w:spacing w:after="20" w:before="20" w:line="240" w:lineRule="auto"/>
            </w:pPr>
            <w:r/>
            <w:r>
              <w:rPr>
                <w:rFonts w:ascii="Arial" w:hAnsi="Arial" w:cs="Arial"/>
                <w:b w:val="0"/>
                <w:i w:val="0"/>
                <w:sz w:val="17"/>
              </w:rPr>
              <w:t>Date</w:t>
            </w:r>
          </w:p>
        </w:tc>
        <w:tc>
          <w:tcPr>
            <w:tcW w:type="dxa" w:w="3213"/>
          </w:tcPr>
          <w:p>
            <w:pPr>
              <w:spacing w:after="20" w:before="20" w:line="240" w:lineRule="auto"/>
            </w:pPr>
            <w:r/>
            <w:r>
              <w:rPr>
                <w:rFonts w:ascii="Arial" w:hAnsi="Arial" w:cs="Arial"/>
                <w:b w:val="0"/>
                <w:i w:val="0"/>
                <w:sz w:val="17"/>
              </w:rPr>
              <w:t>If not available</w:t>
            </w:r>
          </w:p>
        </w:tc>
      </w:tr>
      <w:tr>
        <w:tc>
          <w:tcPr>
            <w:tcW w:type="dxa" w:w="3213"/>
          </w:tcPr>
          <w:p>
            <w:pPr>
              <w:spacing w:after="20" w:before="20" w:line="240" w:lineRule="auto"/>
            </w:pPr>
            <w:r/>
            <w:r>
              <w:rPr>
                <w:rFonts w:ascii="Arial" w:hAnsi="Arial" w:cs="Arial"/>
                <w:b w:val="0"/>
                <w:i w:val="0"/>
                <w:sz w:val="17"/>
              </w:rPr>
              <w:t>Quality Grade</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Tolerance</w:t>
            </w:r>
          </w:p>
        </w:tc>
        <w:tc>
          <w:tcPr>
            <w:tcW w:type="dxa" w:w="3213"/>
          </w:tcPr>
          <w:p>
            <w:pPr>
              <w:spacing w:after="20" w:before="20" w:line="240" w:lineRule="auto"/>
            </w:pPr>
            <w:r/>
            <w:r>
              <w:rPr>
                <w:rFonts w:ascii="Arial" w:hAnsi="Arial" w:cs="Arial"/>
                <w:b w:val="0"/>
                <w:i w:val="0"/>
                <w:sz w:val="17"/>
              </w:rPr>
              <w:t>Percentage</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Packaging Capability</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Certification Capability</w:t>
            </w:r>
          </w:p>
        </w:tc>
        <w:tc>
          <w:tcPr>
            <w:tcW w:type="dxa" w:w="3213"/>
          </w:tcPr>
          <w:p>
            <w:pPr>
              <w:spacing w:after="20" w:before="20" w:line="240" w:lineRule="auto"/>
            </w:pPr>
            <w:r/>
            <w:r>
              <w:rPr>
                <w:rFonts w:ascii="Arial" w:hAnsi="Arial" w:cs="Arial"/>
                <w:b w:val="0"/>
                <w:i w:val="0"/>
                <w:sz w:val="17"/>
              </w:rPr>
              <w:t>Text</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Shelf Life</w:t>
            </w:r>
          </w:p>
        </w:tc>
        <w:tc>
          <w:tcPr>
            <w:tcW w:type="dxa" w:w="3213"/>
          </w:tcPr>
          <w:p>
            <w:pPr>
              <w:spacing w:after="20" w:before="20" w:line="240" w:lineRule="auto"/>
            </w:pPr>
            <w:r/>
            <w:r>
              <w:rPr>
                <w:rFonts w:ascii="Arial" w:hAnsi="Arial" w:cs="Arial"/>
                <w:b w:val="0"/>
                <w:i w:val="0"/>
                <w:sz w:val="17"/>
              </w:rPr>
              <w:t>Days</w:t>
            </w:r>
          </w:p>
        </w:tc>
        <w:tc>
          <w:tcPr>
            <w:tcW w:type="dxa" w:w="3213"/>
          </w:tcPr>
          <w:p>
            <w:pPr>
              <w:spacing w:after="20" w:before="20" w:line="240" w:lineRule="auto"/>
            </w:pPr>
            <w:r/>
            <w:r>
              <w:rPr>
                <w:rFonts w:ascii="Arial" w:hAnsi="Arial" w:cs="Arial"/>
                <w:b w:val="0"/>
                <w:i w:val="0"/>
                <w:sz w:val="17"/>
              </w:rPr>
              <w:t>Where relevant</w:t>
            </w:r>
          </w:p>
        </w:tc>
      </w:tr>
      <w:tr>
        <w:tc>
          <w:tcPr>
            <w:tcW w:type="dxa" w:w="3213"/>
          </w:tcPr>
          <w:p>
            <w:pPr>
              <w:spacing w:after="20" w:before="20" w:line="240" w:lineRule="auto"/>
            </w:pPr>
            <w:r/>
            <w:r>
              <w:rPr>
                <w:rFonts w:ascii="Arial" w:hAnsi="Arial" w:cs="Arial"/>
                <w:b w:val="0"/>
                <w:i w:val="0"/>
                <w:sz w:val="17"/>
              </w:rPr>
              <w:t>Temperature Requirements</w:t>
            </w:r>
          </w:p>
        </w:tc>
        <w:tc>
          <w:tcPr>
            <w:tcW w:type="dxa" w:w="3213"/>
          </w:tcPr>
          <w:p>
            <w:pPr>
              <w:spacing w:after="20" w:before="20" w:line="240" w:lineRule="auto"/>
            </w:pPr>
            <w:r/>
            <w:r>
              <w:rPr>
                <w:rFonts w:ascii="Arial" w:hAnsi="Arial" w:cs="Arial"/>
                <w:b w:val="0"/>
                <w:i w:val="0"/>
                <w:sz w:val="17"/>
              </w:rPr>
              <w:t>Range</w:t>
            </w:r>
          </w:p>
        </w:tc>
        <w:tc>
          <w:tcPr>
            <w:tcW w:type="dxa" w:w="3213"/>
          </w:tcPr>
          <w:p>
            <w:pPr>
              <w:spacing w:after="20" w:before="20" w:line="240" w:lineRule="auto"/>
            </w:pPr>
            <w:r/>
            <w:r>
              <w:rPr>
                <w:rFonts w:ascii="Arial" w:hAnsi="Arial" w:cs="Arial"/>
                <w:b w:val="0"/>
                <w:i w:val="0"/>
                <w:sz w:val="17"/>
              </w:rPr>
              <w:t>Where relevant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AI cannot turn "likely available" into "confirmed available."</w:t>
      </w:r>
    </w:p>
    <w:p>
      <w:pPr>
        <w:keepNext/>
        <w:spacing w:before="180" w:after="80"/>
        <w:outlineLvl w:val="2"/>
      </w:pPr>
      <w:r>
        <w:rPr>
          <w:rFonts w:ascii="Arial" w:hAnsi="Arial" w:cs="Arial"/>
          <w:b/>
          <w:i w:val="0"/>
          <w:color w:val="333333"/>
          <w:sz w:val="23"/>
        </w:rPr>
        <w:t>8.2.7 Step 7 — Product &amp; Quality Matching</w:t>
      </w:r>
    </w:p>
    <w:p>
      <w:pPr>
        <w:spacing w:after="80" w:line="293" w:lineRule="auto"/>
        <w:jc w:val="left"/>
      </w:pPr>
      <w:r>
        <w:rPr>
          <w:rFonts w:ascii="Times New Roman" w:hAnsi="Times New Roman" w:cs="Times New Roman"/>
          <w:b w:val="0"/>
          <w:i w:val="0"/>
          <w:sz w:val="22"/>
        </w:rPr>
        <w:t>Buyer requirements are compared against seller capability before quotation so conflicts surface early:</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Requirement</w:t>
            </w:r>
          </w:p>
        </w:tc>
        <w:tc>
          <w:tcPr>
            <w:tcW w:type="dxa" w:w="2409"/>
            <w:shd w:val="clear" w:fill="D9E2F3"/>
          </w:tcPr>
          <w:p>
            <w:pPr>
              <w:spacing w:after="20" w:before="20" w:line="240" w:lineRule="auto"/>
            </w:pPr>
            <w:r/>
            <w:r>
              <w:rPr>
                <w:rFonts w:ascii="Arial" w:hAnsi="Arial" w:cs="Arial"/>
                <w:b/>
                <w:i w:val="0"/>
                <w:sz w:val="18"/>
              </w:rPr>
              <w:t>Buyer</w:t>
            </w:r>
          </w:p>
        </w:tc>
        <w:tc>
          <w:tcPr>
            <w:tcW w:type="dxa" w:w="2409"/>
            <w:shd w:val="clear" w:fill="D9E2F3"/>
          </w:tcPr>
          <w:p>
            <w:pPr>
              <w:spacing w:after="20" w:before="20" w:line="240" w:lineRule="auto"/>
            </w:pPr>
            <w:r/>
            <w:r>
              <w:rPr>
                <w:rFonts w:ascii="Arial" w:hAnsi="Arial" w:cs="Arial"/>
                <w:b/>
                <w:i w:val="0"/>
                <w:sz w:val="18"/>
              </w:rPr>
              <w:t>Seller</w:t>
            </w:r>
          </w:p>
        </w:tc>
        <w:tc>
          <w:tcPr>
            <w:tcW w:type="dxa" w:w="2409"/>
            <w:shd w:val="clear" w:fill="D9E2F3"/>
          </w:tcPr>
          <w:p>
            <w:pPr>
              <w:spacing w:after="20" w:before="20" w:line="240" w:lineRule="auto"/>
            </w:pPr>
            <w:r/>
            <w:r>
              <w:rPr>
                <w:rFonts w:ascii="Arial" w:hAnsi="Arial" w:cs="Arial"/>
                <w:b/>
                <w:i w:val="0"/>
                <w:sz w:val="18"/>
              </w:rPr>
              <w:t>Result</w:t>
            </w:r>
          </w:p>
        </w:tc>
      </w:tr>
      <w:tr>
        <w:tc>
          <w:tcPr>
            <w:tcW w:type="dxa" w:w="2409"/>
          </w:tcPr>
          <w:p>
            <w:pPr>
              <w:spacing w:after="20" w:before="20" w:line="240" w:lineRule="auto"/>
            </w:pPr>
            <w:r/>
            <w:r>
              <w:rPr>
                <w:rFonts w:ascii="Arial" w:hAnsi="Arial" w:cs="Arial"/>
                <w:b w:val="0"/>
                <w:i w:val="0"/>
                <w:sz w:val="17"/>
              </w:rPr>
              <w:t>Moisture</w:t>
            </w:r>
          </w:p>
        </w:tc>
        <w:tc>
          <w:tcPr>
            <w:tcW w:type="dxa" w:w="2409"/>
          </w:tcPr>
          <w:p>
            <w:pPr>
              <w:spacing w:after="20" w:before="20" w:line="240" w:lineRule="auto"/>
            </w:pPr>
            <w:r/>
            <w:r>
              <w:rPr>
                <w:rFonts w:ascii="Arial" w:hAnsi="Arial" w:cs="Arial"/>
                <w:b w:val="0"/>
                <w:i w:val="0"/>
                <w:sz w:val="17"/>
              </w:rPr>
              <w:t>≤14%</w:t>
            </w:r>
          </w:p>
        </w:tc>
        <w:tc>
          <w:tcPr>
            <w:tcW w:type="dxa" w:w="2409"/>
          </w:tcPr>
          <w:p>
            <w:pPr>
              <w:spacing w:after="20" w:before="20" w:line="240" w:lineRule="auto"/>
            </w:pPr>
            <w:r/>
            <w:r>
              <w:rPr>
                <w:rFonts w:ascii="Arial" w:hAnsi="Arial" w:cs="Arial"/>
                <w:b w:val="0"/>
                <w:i w:val="0"/>
                <w:sz w:val="17"/>
              </w:rPr>
              <w:t>≤13%</w:t>
            </w:r>
          </w:p>
        </w:tc>
        <w:tc>
          <w:tcPr>
            <w:tcW w:type="dxa" w:w="2409"/>
          </w:tcPr>
          <w:p>
            <w:pPr>
              <w:spacing w:after="20" w:before="20" w:line="240" w:lineRule="auto"/>
            </w:pPr>
            <w:r/>
            <w:r>
              <w:rPr>
                <w:rFonts w:ascii="Arial" w:hAnsi="Arial" w:cs="Arial"/>
                <w:b w:val="0"/>
                <w:i w:val="0"/>
                <w:sz w:val="17"/>
              </w:rPr>
              <w:t>Compatible</w:t>
            </w:r>
          </w:p>
        </w:tc>
      </w:tr>
      <w:tr>
        <w:tc>
          <w:tcPr>
            <w:tcW w:type="dxa" w:w="2409"/>
          </w:tcPr>
          <w:p>
            <w:pPr>
              <w:spacing w:after="20" w:before="20" w:line="240" w:lineRule="auto"/>
            </w:pPr>
            <w:r/>
            <w:r>
              <w:rPr>
                <w:rFonts w:ascii="Arial" w:hAnsi="Arial" w:cs="Arial"/>
                <w:b w:val="0"/>
                <w:i w:val="0"/>
                <w:sz w:val="17"/>
              </w:rPr>
              <w:t>Protein</w:t>
            </w:r>
          </w:p>
        </w:tc>
        <w:tc>
          <w:tcPr>
            <w:tcW w:type="dxa" w:w="2409"/>
          </w:tcPr>
          <w:p>
            <w:pPr>
              <w:spacing w:after="20" w:before="20" w:line="240" w:lineRule="auto"/>
            </w:pPr>
            <w:r/>
            <w:r>
              <w:rPr>
                <w:rFonts w:ascii="Arial" w:hAnsi="Arial" w:cs="Arial"/>
                <w:b w:val="0"/>
                <w:i w:val="0"/>
                <w:sz w:val="17"/>
              </w:rPr>
              <w:t>≥12%</w:t>
            </w:r>
          </w:p>
        </w:tc>
        <w:tc>
          <w:tcPr>
            <w:tcW w:type="dxa" w:w="2409"/>
          </w:tcPr>
          <w:p>
            <w:pPr>
              <w:spacing w:after="20" w:before="20" w:line="240" w:lineRule="auto"/>
            </w:pPr>
            <w:r/>
            <w:r>
              <w:rPr>
                <w:rFonts w:ascii="Arial" w:hAnsi="Arial" w:cs="Arial"/>
                <w:b w:val="0"/>
                <w:i w:val="0"/>
                <w:sz w:val="17"/>
              </w:rPr>
              <w:t>≥12.5%</w:t>
            </w:r>
          </w:p>
        </w:tc>
        <w:tc>
          <w:tcPr>
            <w:tcW w:type="dxa" w:w="2409"/>
          </w:tcPr>
          <w:p>
            <w:pPr>
              <w:spacing w:after="20" w:before="20" w:line="240" w:lineRule="auto"/>
            </w:pPr>
            <w:r/>
            <w:r>
              <w:rPr>
                <w:rFonts w:ascii="Arial" w:hAnsi="Arial" w:cs="Arial"/>
                <w:b w:val="0"/>
                <w:i w:val="0"/>
                <w:sz w:val="17"/>
              </w:rPr>
              <w:t>Compatible</w:t>
            </w:r>
          </w:p>
        </w:tc>
      </w:tr>
      <w:tr>
        <w:tc>
          <w:tcPr>
            <w:tcW w:type="dxa" w:w="2409"/>
          </w:tcPr>
          <w:p>
            <w:pPr>
              <w:spacing w:after="20" w:before="20" w:line="240" w:lineRule="auto"/>
            </w:pPr>
            <w:r/>
            <w:r>
              <w:rPr>
                <w:rFonts w:ascii="Arial" w:hAnsi="Arial" w:cs="Arial"/>
                <w:b w:val="0"/>
                <w:i w:val="0"/>
                <w:sz w:val="17"/>
              </w:rPr>
              <w:t>Purity</w:t>
            </w:r>
          </w:p>
        </w:tc>
        <w:tc>
          <w:tcPr>
            <w:tcW w:type="dxa" w:w="2409"/>
          </w:tcPr>
          <w:p>
            <w:pPr>
              <w:spacing w:after="20" w:before="20" w:line="240" w:lineRule="auto"/>
            </w:pPr>
            <w:r/>
            <w:r>
              <w:rPr>
                <w:rFonts w:ascii="Arial" w:hAnsi="Arial" w:cs="Arial"/>
                <w:b w:val="0"/>
                <w:i w:val="0"/>
                <w:sz w:val="17"/>
              </w:rPr>
              <w:t>≥99%</w:t>
            </w:r>
          </w:p>
        </w:tc>
        <w:tc>
          <w:tcPr>
            <w:tcW w:type="dxa" w:w="2409"/>
          </w:tcPr>
          <w:p>
            <w:pPr>
              <w:spacing w:after="20" w:before="20" w:line="240" w:lineRule="auto"/>
            </w:pPr>
            <w:r/>
            <w:r>
              <w:rPr>
                <w:rFonts w:ascii="Arial" w:hAnsi="Arial" w:cs="Arial"/>
                <w:b w:val="0"/>
                <w:i w:val="0"/>
                <w:sz w:val="17"/>
              </w:rPr>
              <w:t>≥99.5%</w:t>
            </w:r>
          </w:p>
        </w:tc>
        <w:tc>
          <w:tcPr>
            <w:tcW w:type="dxa" w:w="2409"/>
          </w:tcPr>
          <w:p>
            <w:pPr>
              <w:spacing w:after="20" w:before="20" w:line="240" w:lineRule="auto"/>
            </w:pPr>
            <w:r/>
            <w:r>
              <w:rPr>
                <w:rFonts w:ascii="Arial" w:hAnsi="Arial" w:cs="Arial"/>
                <w:b w:val="0"/>
                <w:i w:val="0"/>
                <w:sz w:val="17"/>
              </w:rPr>
              <w:t>Compatible</w:t>
            </w:r>
          </w:p>
        </w:tc>
      </w:tr>
      <w:tr>
        <w:tc>
          <w:tcPr>
            <w:tcW w:type="dxa" w:w="2409"/>
          </w:tcPr>
          <w:p>
            <w:pPr>
              <w:spacing w:after="20" w:before="20" w:line="240" w:lineRule="auto"/>
            </w:pPr>
            <w:r/>
            <w:r>
              <w:rPr>
                <w:rFonts w:ascii="Arial" w:hAnsi="Arial" w:cs="Arial"/>
                <w:b w:val="0"/>
                <w:i w:val="0"/>
                <w:sz w:val="17"/>
              </w:rPr>
              <w:t>Tolerance</w:t>
            </w:r>
          </w:p>
        </w:tc>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±5%</w:t>
            </w:r>
          </w:p>
        </w:tc>
        <w:tc>
          <w:tcPr>
            <w:tcW w:type="dxa" w:w="2409"/>
          </w:tcPr>
          <w:p>
            <w:pPr>
              <w:spacing w:after="20" w:before="20" w:line="240" w:lineRule="auto"/>
            </w:pPr>
            <w:r/>
            <w:r>
              <w:rPr>
                <w:rFonts w:ascii="Arial" w:hAnsi="Arial" w:cs="Arial"/>
                <w:b w:val="0"/>
                <w:i w:val="0"/>
                <w:sz w:val="17"/>
              </w:rPr>
              <w:t>Conflict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Seller must resolve every conflict: clarify with the buyer, propose a change, or explicitly accept the risk. AI assistance: A2 identifies conflicts; A1 explains implications.</w:t>
      </w:r>
    </w:p>
    <w:p>
      <w:pPr>
        <w:keepNext/>
        <w:spacing w:before="180" w:after="80"/>
        <w:outlineLvl w:val="2"/>
      </w:pPr>
      <w:r>
        <w:rPr>
          <w:rFonts w:ascii="Arial" w:hAnsi="Arial" w:cs="Arial"/>
          <w:b/>
          <w:i w:val="0"/>
          <w:color w:val="333333"/>
          <w:sz w:val="23"/>
        </w:rPr>
        <w:t>8.2.8 Step 8 — Packing &amp; Containerisation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Element</w:t>
            </w:r>
          </w:p>
        </w:tc>
        <w:tc>
          <w:tcPr>
            <w:tcW w:type="dxa" w:w="4819"/>
            <w:shd w:val="clear" w:fill="D9E2F3"/>
          </w:tcPr>
          <w:p>
            <w:pPr>
              <w:spacing w:after="20" w:before="20" w:line="240" w:lineRule="auto"/>
            </w:pPr>
            <w:r/>
            <w:r>
              <w:rPr>
                <w:rFonts w:ascii="Arial" w:hAnsi="Arial" w:cs="Arial"/>
                <w:b/>
                <w:i w:val="0"/>
                <w:sz w:val="18"/>
              </w:rPr>
              <w:t>Support</w:t>
            </w:r>
          </w:p>
        </w:tc>
      </w:tr>
      <w:tr>
        <w:tc>
          <w:tcPr>
            <w:tcW w:type="dxa" w:w="4819"/>
          </w:tcPr>
          <w:p>
            <w:pPr>
              <w:spacing w:after="20" w:before="20" w:line="240" w:lineRule="auto"/>
            </w:pPr>
            <w:r/>
            <w:r>
              <w:rPr>
                <w:rFonts w:ascii="Arial" w:hAnsi="Arial" w:cs="Arial"/>
                <w:b w:val="0"/>
                <w:i w:val="0"/>
                <w:sz w:val="17"/>
              </w:rPr>
              <w:t>Pallets / Cartons / Units</w:t>
            </w:r>
          </w:p>
        </w:tc>
        <w:tc>
          <w:tcPr>
            <w:tcW w:type="dxa" w:w="4819"/>
          </w:tcPr>
          <w:p>
            <w:pPr>
              <w:spacing w:after="20" w:before="20" w:line="240" w:lineRule="auto"/>
            </w:pPr>
            <w:r/>
            <w:r>
              <w:rPr>
                <w:rFonts w:ascii="Arial" w:hAnsi="Arial" w:cs="Arial"/>
                <w:b w:val="0"/>
                <w:i w:val="0"/>
                <w:sz w:val="17"/>
              </w:rPr>
              <w:t>Yes</w:t>
            </w:r>
          </w:p>
        </w:tc>
      </w:tr>
      <w:tr>
        <w:tc>
          <w:tcPr>
            <w:tcW w:type="dxa" w:w="4819"/>
          </w:tcPr>
          <w:p>
            <w:pPr>
              <w:spacing w:after="20" w:before="20" w:line="240" w:lineRule="auto"/>
            </w:pPr>
            <w:r/>
            <w:r>
              <w:rPr>
                <w:rFonts w:ascii="Arial" w:hAnsi="Arial" w:cs="Arial"/>
                <w:b w:val="0"/>
                <w:i w:val="0"/>
                <w:sz w:val="17"/>
              </w:rPr>
              <w:t>Dimensions</w:t>
            </w:r>
          </w:p>
        </w:tc>
        <w:tc>
          <w:tcPr>
            <w:tcW w:type="dxa" w:w="4819"/>
          </w:tcPr>
          <w:p>
            <w:pPr>
              <w:spacing w:after="20" w:before="20" w:line="240" w:lineRule="auto"/>
            </w:pPr>
            <w:r/>
            <w:r>
              <w:rPr>
                <w:rFonts w:ascii="Arial" w:hAnsi="Arial" w:cs="Arial"/>
                <w:b w:val="0"/>
                <w:i w:val="0"/>
                <w:sz w:val="17"/>
              </w:rPr>
              <w:t>Yes</w:t>
            </w:r>
          </w:p>
        </w:tc>
      </w:tr>
      <w:tr>
        <w:tc>
          <w:tcPr>
            <w:tcW w:type="dxa" w:w="4819"/>
          </w:tcPr>
          <w:p>
            <w:pPr>
              <w:spacing w:after="20" w:before="20" w:line="240" w:lineRule="auto"/>
            </w:pPr>
            <w:r/>
            <w:r>
              <w:rPr>
                <w:rFonts w:ascii="Arial" w:hAnsi="Arial" w:cs="Arial"/>
                <w:b w:val="0"/>
                <w:i w:val="0"/>
                <w:sz w:val="17"/>
              </w:rPr>
              <w:t>Pallet Dimensions</w:t>
            </w:r>
          </w:p>
        </w:tc>
        <w:tc>
          <w:tcPr>
            <w:tcW w:type="dxa" w:w="4819"/>
          </w:tcPr>
          <w:p>
            <w:pPr>
              <w:spacing w:after="20" w:before="20" w:line="240" w:lineRule="auto"/>
            </w:pPr>
            <w:r/>
            <w:r>
              <w:rPr>
                <w:rFonts w:ascii="Arial" w:hAnsi="Arial" w:cs="Arial"/>
                <w:b w:val="0"/>
                <w:i w:val="0"/>
                <w:sz w:val="17"/>
              </w:rPr>
              <w:t>EUR, ISO, Custom</w:t>
            </w:r>
          </w:p>
        </w:tc>
      </w:tr>
      <w:tr>
        <w:tc>
          <w:tcPr>
            <w:tcW w:type="dxa" w:w="4819"/>
          </w:tcPr>
          <w:p>
            <w:pPr>
              <w:spacing w:after="20" w:before="20" w:line="240" w:lineRule="auto"/>
            </w:pPr>
            <w:r/>
            <w:r>
              <w:rPr>
                <w:rFonts w:ascii="Arial" w:hAnsi="Arial" w:cs="Arial"/>
                <w:b w:val="0"/>
                <w:i w:val="0"/>
                <w:sz w:val="17"/>
              </w:rPr>
              <w:t>Cartons per Pallet</w:t>
            </w:r>
          </w:p>
        </w:tc>
        <w:tc>
          <w:tcPr>
            <w:tcW w:type="dxa" w:w="4819"/>
          </w:tcPr>
          <w:p>
            <w:pPr>
              <w:spacing w:after="20" w:before="20" w:line="240" w:lineRule="auto"/>
            </w:pPr>
            <w:r/>
            <w:r>
              <w:rPr>
                <w:rFonts w:ascii="Arial" w:hAnsi="Arial" w:cs="Arial"/>
                <w:b w:val="0"/>
                <w:i w:val="0"/>
                <w:sz w:val="17"/>
              </w:rPr>
              <w:t>Configurable</w:t>
            </w:r>
          </w:p>
        </w:tc>
      </w:tr>
      <w:tr>
        <w:tc>
          <w:tcPr>
            <w:tcW w:type="dxa" w:w="4819"/>
          </w:tcPr>
          <w:p>
            <w:pPr>
              <w:spacing w:after="20" w:before="20" w:line="240" w:lineRule="auto"/>
            </w:pPr>
            <w:r/>
            <w:r>
              <w:rPr>
                <w:rFonts w:ascii="Arial" w:hAnsi="Arial" w:cs="Arial"/>
                <w:b w:val="0"/>
                <w:i w:val="0"/>
                <w:sz w:val="17"/>
              </w:rPr>
              <w:t>Net / Gross Weight</w:t>
            </w:r>
          </w:p>
        </w:tc>
        <w:tc>
          <w:tcPr>
            <w:tcW w:type="dxa" w:w="4819"/>
          </w:tcPr>
          <w:p>
            <w:pPr>
              <w:spacing w:after="20" w:before="20" w:line="240" w:lineRule="auto"/>
            </w:pPr>
            <w:r/>
            <w:r>
              <w:rPr>
                <w:rFonts w:ascii="Arial" w:hAnsi="Arial" w:cs="Arial"/>
                <w:b w:val="0"/>
                <w:i w:val="0"/>
                <w:sz w:val="17"/>
              </w:rPr>
              <w:t>Auto-calculated</w:t>
            </w:r>
          </w:p>
        </w:tc>
      </w:tr>
      <w:tr>
        <w:tc>
          <w:tcPr>
            <w:tcW w:type="dxa" w:w="4819"/>
          </w:tcPr>
          <w:p>
            <w:pPr>
              <w:spacing w:after="20" w:before="20" w:line="240" w:lineRule="auto"/>
            </w:pPr>
            <w:r/>
            <w:r>
              <w:rPr>
                <w:rFonts w:ascii="Arial" w:hAnsi="Arial" w:cs="Arial"/>
                <w:b w:val="0"/>
                <w:i w:val="0"/>
                <w:sz w:val="17"/>
              </w:rPr>
              <w:t>Tare</w:t>
            </w:r>
          </w:p>
        </w:tc>
        <w:tc>
          <w:tcPr>
            <w:tcW w:type="dxa" w:w="4819"/>
          </w:tcPr>
          <w:p>
            <w:pPr>
              <w:spacing w:after="20" w:before="20" w:line="240" w:lineRule="auto"/>
            </w:pPr>
            <w:r/>
            <w:r>
              <w:rPr>
                <w:rFonts w:ascii="Arial" w:hAnsi="Arial" w:cs="Arial"/>
                <w:b w:val="0"/>
                <w:i w:val="0"/>
                <w:sz w:val="17"/>
              </w:rPr>
              <w:t>Configurable</w:t>
            </w:r>
          </w:p>
        </w:tc>
      </w:tr>
      <w:tr>
        <w:tc>
          <w:tcPr>
            <w:tcW w:type="dxa" w:w="4819"/>
          </w:tcPr>
          <w:p>
            <w:pPr>
              <w:spacing w:after="20" w:before="20" w:line="240" w:lineRule="auto"/>
            </w:pPr>
            <w:r/>
            <w:r>
              <w:rPr>
                <w:rFonts w:ascii="Arial" w:hAnsi="Arial" w:cs="Arial"/>
                <w:b w:val="0"/>
                <w:i w:val="0"/>
                <w:sz w:val="17"/>
              </w:rPr>
              <w:t>Stacking</w:t>
            </w:r>
          </w:p>
        </w:tc>
        <w:tc>
          <w:tcPr>
            <w:tcW w:type="dxa" w:w="4819"/>
          </w:tcPr>
          <w:p>
            <w:pPr>
              <w:spacing w:after="20" w:before="20" w:line="240" w:lineRule="auto"/>
            </w:pPr>
            <w:r/>
            <w:r>
              <w:rPr>
                <w:rFonts w:ascii="Arial" w:hAnsi="Arial" w:cs="Arial"/>
                <w:b w:val="0"/>
                <w:i w:val="0"/>
                <w:sz w:val="17"/>
              </w:rPr>
              <w:t>Non-uniform layers supported</w:t>
            </w:r>
          </w:p>
        </w:tc>
      </w:tr>
      <w:tr>
        <w:tc>
          <w:tcPr>
            <w:tcW w:type="dxa" w:w="4819"/>
          </w:tcPr>
          <w:p>
            <w:pPr>
              <w:spacing w:after="20" w:before="20" w:line="240" w:lineRule="auto"/>
            </w:pPr>
            <w:r/>
            <w:r>
              <w:rPr>
                <w:rFonts w:ascii="Arial" w:hAnsi="Arial" w:cs="Arial"/>
                <w:b w:val="0"/>
                <w:i w:val="0"/>
                <w:sz w:val="17"/>
              </w:rPr>
              <w:t>Mixed Commodity Loading</w:t>
            </w:r>
          </w:p>
        </w:tc>
        <w:tc>
          <w:tcPr>
            <w:tcW w:type="dxa" w:w="4819"/>
          </w:tcPr>
          <w:p>
            <w:pPr>
              <w:spacing w:after="20" w:before="20" w:line="240" w:lineRule="auto"/>
            </w:pPr>
            <w:r/>
            <w:r>
              <w:rPr>
                <w:rFonts w:ascii="Arial" w:hAnsi="Arial" w:cs="Arial"/>
                <w:b w:val="0"/>
                <w:i w:val="0"/>
                <w:sz w:val="17"/>
              </w:rPr>
              <w:t>Supported</w:t>
            </w:r>
          </w:p>
        </w:tc>
      </w:tr>
      <w:tr>
        <w:tc>
          <w:tcPr>
            <w:tcW w:type="dxa" w:w="4819"/>
          </w:tcPr>
          <w:p>
            <w:pPr>
              <w:spacing w:after="20" w:before="20" w:line="240" w:lineRule="auto"/>
            </w:pPr>
            <w:r/>
            <w:r>
              <w:rPr>
                <w:rFonts w:ascii="Arial" w:hAnsi="Arial" w:cs="Arial"/>
                <w:b w:val="0"/>
                <w:i w:val="0"/>
                <w:sz w:val="17"/>
              </w:rPr>
              <w:t>Temperature Requirements</w:t>
            </w:r>
          </w:p>
        </w:tc>
        <w:tc>
          <w:tcPr>
            <w:tcW w:type="dxa" w:w="4819"/>
          </w:tcPr>
          <w:p>
            <w:pPr>
              <w:spacing w:after="20" w:before="20" w:line="240" w:lineRule="auto"/>
            </w:pPr>
            <w:r/>
            <w:r>
              <w:rPr>
                <w:rFonts w:ascii="Arial" w:hAnsi="Arial" w:cs="Arial"/>
                <w:b w:val="0"/>
                <w:i w:val="0"/>
                <w:sz w:val="17"/>
              </w:rPr>
              <w:t>Supported</w:t>
            </w:r>
          </w:p>
        </w:tc>
      </w:tr>
      <w:tr>
        <w:tc>
          <w:tcPr>
            <w:tcW w:type="dxa" w:w="4819"/>
          </w:tcPr>
          <w:p>
            <w:pPr>
              <w:spacing w:after="20" w:before="20" w:line="240" w:lineRule="auto"/>
            </w:pPr>
            <w:r/>
            <w:r>
              <w:rPr>
                <w:rFonts w:ascii="Arial" w:hAnsi="Arial" w:cs="Arial"/>
                <w:b w:val="0"/>
                <w:i w:val="0"/>
                <w:sz w:val="17"/>
              </w:rPr>
              <w:t>Ventilation</w:t>
            </w:r>
          </w:p>
        </w:tc>
        <w:tc>
          <w:tcPr>
            <w:tcW w:type="dxa" w:w="4819"/>
          </w:tcPr>
          <w:p>
            <w:pPr>
              <w:spacing w:after="20" w:before="20" w:line="240" w:lineRule="auto"/>
            </w:pPr>
            <w:r/>
            <w:r>
              <w:rPr>
                <w:rFonts w:ascii="Arial" w:hAnsi="Arial" w:cs="Arial"/>
                <w:b w:val="0"/>
                <w:i w:val="0"/>
                <w:sz w:val="17"/>
              </w:rPr>
              <w:t>Supported</w:t>
            </w:r>
          </w:p>
        </w:tc>
      </w:tr>
      <w:tr>
        <w:tc>
          <w:tcPr>
            <w:tcW w:type="dxa" w:w="4819"/>
          </w:tcPr>
          <w:p>
            <w:pPr>
              <w:spacing w:after="20" w:before="20" w:line="240" w:lineRule="auto"/>
            </w:pPr>
            <w:r/>
            <w:r>
              <w:rPr>
                <w:rFonts w:ascii="Arial" w:hAnsi="Arial" w:cs="Arial"/>
                <w:b w:val="0"/>
                <w:i w:val="0"/>
                <w:sz w:val="17"/>
              </w:rPr>
              <w:t>Reefer Configuration</w:t>
            </w:r>
          </w:p>
        </w:tc>
        <w:tc>
          <w:tcPr>
            <w:tcW w:type="dxa" w:w="4819"/>
          </w:tcPr>
          <w:p>
            <w:pPr>
              <w:spacing w:after="20" w:before="20" w:line="240" w:lineRule="auto"/>
            </w:pPr>
            <w:r/>
            <w:r>
              <w:rPr>
                <w:rFonts w:ascii="Arial" w:hAnsi="Arial" w:cs="Arial"/>
                <w:b w:val="0"/>
                <w:i w:val="0"/>
                <w:sz w:val="17"/>
              </w:rPr>
              <w:t>Supported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packing plan references the buyer's quantity, acceptance criteria, commodity, and equipment constraints; weight, volume, and dimensions are validated before locking; SSCC barcodes are generated at lock. Packing is a controlled artifact: version, author, timestamp, artifact hash, transaction association, retained prior versions, and an amendment workflow for material changes.</w:t>
      </w:r>
    </w:p>
    <w:p>
      <w:pPr>
        <w:spacing w:after="80" w:line="293" w:lineRule="auto"/>
        <w:jc w:val="left"/>
      </w:pPr>
      <w:r>
        <w:rPr>
          <w:rFonts w:ascii="Times New Roman" w:hAnsi="Times New Roman" w:cs="Times New Roman"/>
          <w:b w:val="0"/>
          <w:i w:val="0"/>
          <w:sz w:val="22"/>
        </w:rPr>
        <w:t>Packing is designed from the buyer's structured data with: weight calculation engine (real-time); palletisation optimiser (ORTools CP-SAT); non-uniform layer stacking (mixed layer configurations); 3D container viewer (Three.js); collaborative editing (Yjs + WebRTC); ecological packaging advisor (A1, Groq); carbon footprint calculation (ISO 14067); and lock packing plan (Governor validation). The complete packing specification is defined in Sections 8.3 through 8.13.</w:t>
      </w:r>
    </w:p>
    <w:p>
      <w:pPr>
        <w:spacing w:after="80" w:line="293" w:lineRule="auto"/>
        <w:jc w:val="left"/>
      </w:pPr>
      <w:r>
        <w:rPr>
          <w:rFonts w:ascii="Times New Roman" w:hAnsi="Times New Roman" w:cs="Times New Roman"/>
          <w:b w:val="0"/>
          <w:i w:val="0"/>
          <w:sz w:val="22"/>
        </w:rPr>
        <w:t>Governance: G2U10 (palletisation feasibility), G2U11 (container type legal for commodity), G2U12 (lot mixing allowed), G2U13 (gross weight within limit).</w:t>
      </w:r>
    </w:p>
    <w:p>
      <w:pPr>
        <w:keepNext/>
        <w:spacing w:before="180" w:after="80"/>
        <w:outlineLvl w:val="2"/>
      </w:pPr>
      <w:r>
        <w:rPr>
          <w:rFonts w:ascii="Arial" w:hAnsi="Arial" w:cs="Arial"/>
          <w:b/>
          <w:i w:val="0"/>
          <w:color w:val="333333"/>
          <w:sz w:val="23"/>
        </w:rPr>
        <w:t>8.2.9 Step 9 — Logistics Planning</w:t>
      </w:r>
    </w:p>
    <w:p>
      <w:pPr>
        <w:spacing w:after="80" w:line="293" w:lineRule="auto"/>
        <w:jc w:val="left"/>
      </w:pPr>
      <w:r>
        <w:rPr>
          <w:rFonts w:ascii="Times New Roman" w:hAnsi="Times New Roman" w:cs="Times New Roman"/>
          <w:b w:val="0"/>
          <w:i w:val="0"/>
          <w:sz w:val="22"/>
        </w:rPr>
        <w:t>Three-mode architecture: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Mode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Use Case</w:t>
            </w:r>
          </w:p>
        </w:tc>
      </w:tr>
      <w:tr>
        <w:tc>
          <w:tcPr>
            <w:tcW w:type="dxa" w:w="3213"/>
          </w:tcPr>
          <w:p>
            <w:pPr>
              <w:spacing w:after="20" w:before="20" w:line="240" w:lineRule="auto"/>
            </w:pPr>
            <w:r/>
            <w:r>
              <w:rPr>
                <w:rFonts w:ascii="Arial" w:hAnsi="Arial" w:cs="Arial"/>
                <w:b w:val="0"/>
                <w:i w:val="0"/>
                <w:sz w:val="17"/>
              </w:rPr>
              <w:t>Mode A — Manual</w:t>
            </w:r>
          </w:p>
        </w:tc>
        <w:tc>
          <w:tcPr>
            <w:tcW w:type="dxa" w:w="3213"/>
          </w:tcPr>
          <w:p>
            <w:pPr>
              <w:spacing w:after="20" w:before="20" w:line="240" w:lineRule="auto"/>
            </w:pPr>
            <w:r/>
            <w:r>
              <w:rPr>
                <w:rFonts w:ascii="Arial" w:hAnsi="Arial" w:cs="Arial"/>
                <w:b w:val="0"/>
                <w:i w:val="0"/>
                <w:sz w:val="17"/>
              </w:rPr>
              <w:t>Seller enters known logistics costs</w:t>
            </w:r>
          </w:p>
        </w:tc>
        <w:tc>
          <w:tcPr>
            <w:tcW w:type="dxa" w:w="3213"/>
          </w:tcPr>
          <w:p>
            <w:pPr>
              <w:spacing w:after="20" w:before="20" w:line="240" w:lineRule="auto"/>
            </w:pPr>
            <w:r/>
            <w:r>
              <w:rPr>
                <w:rFonts w:ascii="Arial" w:hAnsi="Arial" w:cs="Arial"/>
                <w:b w:val="0"/>
                <w:i w:val="0"/>
                <w:sz w:val="17"/>
              </w:rPr>
              <w:t>Established relationships</w:t>
            </w:r>
          </w:p>
        </w:tc>
      </w:tr>
      <w:tr>
        <w:tc>
          <w:tcPr>
            <w:tcW w:type="dxa" w:w="3213"/>
          </w:tcPr>
          <w:p>
            <w:pPr>
              <w:spacing w:after="20" w:before="20" w:line="240" w:lineRule="auto"/>
            </w:pPr>
            <w:r/>
            <w:r>
              <w:rPr>
                <w:rFonts w:ascii="Arial" w:hAnsi="Arial" w:cs="Arial"/>
                <w:b w:val="0"/>
                <w:i w:val="0"/>
                <w:sz w:val="17"/>
              </w:rPr>
              <w:t>Mode B — RFQ to Providers</w:t>
            </w:r>
          </w:p>
        </w:tc>
        <w:tc>
          <w:tcPr>
            <w:tcW w:type="dxa" w:w="3213"/>
          </w:tcPr>
          <w:p>
            <w:pPr>
              <w:spacing w:after="20" w:before="20" w:line="240" w:lineRule="auto"/>
            </w:pPr>
            <w:r/>
            <w:r>
              <w:rPr>
                <w:rFonts w:ascii="Arial" w:hAnsi="Arial" w:cs="Arial"/>
                <w:b w:val="0"/>
                <w:i w:val="0"/>
                <w:sz w:val="17"/>
              </w:rPr>
              <w:t>Seller requests provider quotations</w:t>
            </w:r>
          </w:p>
        </w:tc>
        <w:tc>
          <w:tcPr>
            <w:tcW w:type="dxa" w:w="3213"/>
          </w:tcPr>
          <w:p>
            <w:pPr>
              <w:spacing w:after="20" w:before="20" w:line="240" w:lineRule="auto"/>
            </w:pPr>
            <w:r/>
            <w:r>
              <w:rPr>
                <w:rFonts w:ascii="Arial" w:hAnsi="Arial" w:cs="Arial"/>
                <w:b w:val="0"/>
                <w:i w:val="0"/>
                <w:sz w:val="17"/>
              </w:rPr>
              <w:t>Competitive bidding</w:t>
            </w:r>
          </w:p>
        </w:tc>
      </w:tr>
      <w:tr>
        <w:tc>
          <w:tcPr>
            <w:tcW w:type="dxa" w:w="3213"/>
          </w:tcPr>
          <w:p>
            <w:pPr>
              <w:spacing w:after="20" w:before="20" w:line="240" w:lineRule="auto"/>
            </w:pPr>
            <w:r/>
            <w:r>
              <w:rPr>
                <w:rFonts w:ascii="Arial" w:hAnsi="Arial" w:cs="Arial"/>
                <w:b w:val="0"/>
                <w:i w:val="0"/>
                <w:sz w:val="17"/>
              </w:rPr>
              <w:t>Mode C — Direct to Carrier</w:t>
            </w:r>
          </w:p>
        </w:tc>
        <w:tc>
          <w:tcPr>
            <w:tcW w:type="dxa" w:w="3213"/>
          </w:tcPr>
          <w:p>
            <w:pPr>
              <w:spacing w:after="20" w:before="20" w:line="240" w:lineRule="auto"/>
            </w:pPr>
            <w:r/>
            <w:r>
              <w:rPr>
                <w:rFonts w:ascii="Arial" w:hAnsi="Arial" w:cs="Arial"/>
                <w:b w:val="0"/>
                <w:i w:val="0"/>
                <w:sz w:val="17"/>
              </w:rPr>
              <w:t>Seller obtains carrier options directly</w:t>
            </w:r>
          </w:p>
        </w:tc>
        <w:tc>
          <w:tcPr>
            <w:tcW w:type="dxa" w:w="3213"/>
          </w:tcPr>
          <w:p>
            <w:pPr>
              <w:spacing w:after="20" w:before="20" w:line="240" w:lineRule="auto"/>
            </w:pPr>
            <w:r/>
            <w:r>
              <w:rPr>
                <w:rFonts w:ascii="Arial" w:hAnsi="Arial" w:cs="Arial"/>
                <w:b w:val="0"/>
                <w:i w:val="0"/>
                <w:sz w:val="17"/>
              </w:rPr>
              <w:t>Preferred carriers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Logistics Constraint Engine validates: mode, equipment, origin, loading window, port, destination, route, transit time, cutoff, capacity, congestion, temperature, reefer requirements, container power, transshipment, delivery window, and carrier constraints. Rule: a logistics option cannot be selected merely because a price exists — it must be physically and temporally feasible.</w:t>
      </w:r>
    </w:p>
    <w:p>
      <w:pPr>
        <w:spacing w:after="80" w:line="293" w:lineRule="auto"/>
        <w:jc w:val="left"/>
      </w:pPr>
      <w:r>
        <w:rPr>
          <w:rFonts w:ascii="Times New Roman" w:hAnsi="Times New Roman" w:cs="Times New Roman"/>
          <w:b w:val="0"/>
          <w:i w:val="0"/>
          <w:sz w:val="22"/>
        </w:rPr>
        <w:t>Mode selection is per service: trucking, ocean freight, air freight, and customs brokerage each independently offer the three modes, and modes can be combined per service. Incoterm-based service filtering ensures mandatory services are included: for a CFR trade, trucking, ocean freight, export customs, and terminal handling charge (THC) are mandatory services that must each have a selected quote before submission.</w:t>
      </w:r>
    </w:p>
    <w:p>
      <w:pPr>
        <w:spacing w:after="80" w:line="293" w:lineRule="auto"/>
        <w:jc w:val="left"/>
      </w:pPr>
      <w:r>
        <w:rPr>
          <w:rFonts w:ascii="Times New Roman" w:hAnsi="Times New Roman" w:cs="Times New Roman"/>
          <w:b w:val="0"/>
          <w:i w:val="0"/>
          <w:sz w:val="22"/>
        </w:rPr>
        <w:t>Provider selection is service-capability-based, never legacy tenant-type-based: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Service Needed</w:t>
            </w:r>
          </w:p>
        </w:tc>
        <w:tc>
          <w:tcPr>
            <w:tcW w:type="dxa" w:w="4819"/>
            <w:shd w:val="clear" w:fill="D9E2F3"/>
          </w:tcPr>
          <w:p>
            <w:pPr>
              <w:spacing w:after="20" w:before="20" w:line="240" w:lineRule="auto"/>
            </w:pPr>
            <w:r/>
            <w:r>
              <w:rPr>
                <w:rFonts w:ascii="Arial" w:hAnsi="Arial" w:cs="Arial"/>
                <w:b/>
                <w:i w:val="0"/>
                <w:sz w:val="18"/>
              </w:rPr>
              <w:t>Required Capability</w:t>
            </w:r>
          </w:p>
        </w:tc>
      </w:tr>
      <w:tr>
        <w:tc>
          <w:tcPr>
            <w:tcW w:type="dxa" w:w="4819"/>
          </w:tcPr>
          <w:p>
            <w:pPr>
              <w:spacing w:after="20" w:before="20" w:line="240" w:lineRule="auto"/>
            </w:pPr>
            <w:r/>
            <w:r>
              <w:rPr>
                <w:rFonts w:ascii="Arial" w:hAnsi="Arial" w:cs="Arial"/>
                <w:b w:val="0"/>
                <w:i w:val="0"/>
                <w:sz w:val="17"/>
              </w:rPr>
              <w:t>Trucking</w:t>
            </w:r>
          </w:p>
        </w:tc>
        <w:tc>
          <w:tcPr>
            <w:tcW w:type="dxa" w:w="4819"/>
          </w:tcPr>
          <w:p>
            <w:pPr>
              <w:spacing w:after="20" w:before="20" w:line="240" w:lineRule="auto"/>
            </w:pPr>
            <w:r/>
            <w:r>
              <w:rPr>
                <w:rFonts w:ascii="Arial" w:hAnsi="Arial" w:cs="Arial"/>
                <w:b w:val="0"/>
                <w:i w:val="0"/>
                <w:sz w:val="17"/>
              </w:rPr>
              <w:t>TRUCKING</w:t>
            </w:r>
          </w:p>
        </w:tc>
      </w:tr>
      <w:tr>
        <w:tc>
          <w:tcPr>
            <w:tcW w:type="dxa" w:w="4819"/>
          </w:tcPr>
          <w:p>
            <w:pPr>
              <w:spacing w:after="20" w:before="20" w:line="240" w:lineRule="auto"/>
            </w:pPr>
            <w:r/>
            <w:r>
              <w:rPr>
                <w:rFonts w:ascii="Arial" w:hAnsi="Arial" w:cs="Arial"/>
                <w:b w:val="0"/>
                <w:i w:val="0"/>
                <w:sz w:val="17"/>
              </w:rPr>
              <w:t>Ocean Freight</w:t>
            </w:r>
          </w:p>
        </w:tc>
        <w:tc>
          <w:tcPr>
            <w:tcW w:type="dxa" w:w="4819"/>
          </w:tcPr>
          <w:p>
            <w:pPr>
              <w:spacing w:after="20" w:before="20" w:line="240" w:lineRule="auto"/>
            </w:pPr>
            <w:r/>
            <w:r>
              <w:rPr>
                <w:rFonts w:ascii="Arial" w:hAnsi="Arial" w:cs="Arial"/>
                <w:b w:val="0"/>
                <w:i w:val="0"/>
                <w:sz w:val="17"/>
              </w:rPr>
              <w:t>OCEAN_FREIGHT</w:t>
            </w:r>
          </w:p>
        </w:tc>
      </w:tr>
      <w:tr>
        <w:tc>
          <w:tcPr>
            <w:tcW w:type="dxa" w:w="4819"/>
          </w:tcPr>
          <w:p>
            <w:pPr>
              <w:spacing w:after="20" w:before="20" w:line="240" w:lineRule="auto"/>
            </w:pPr>
            <w:r/>
            <w:r>
              <w:rPr>
                <w:rFonts w:ascii="Arial" w:hAnsi="Arial" w:cs="Arial"/>
                <w:b w:val="0"/>
                <w:i w:val="0"/>
                <w:sz w:val="17"/>
              </w:rPr>
              <w:t>Air Freight</w:t>
            </w:r>
          </w:p>
        </w:tc>
        <w:tc>
          <w:tcPr>
            <w:tcW w:type="dxa" w:w="4819"/>
          </w:tcPr>
          <w:p>
            <w:pPr>
              <w:spacing w:after="20" w:before="20" w:line="240" w:lineRule="auto"/>
            </w:pPr>
            <w:r/>
            <w:r>
              <w:rPr>
                <w:rFonts w:ascii="Arial" w:hAnsi="Arial" w:cs="Arial"/>
                <w:b w:val="0"/>
                <w:i w:val="0"/>
                <w:sz w:val="17"/>
              </w:rPr>
              <w:t>AIR_FREIGHT</w:t>
            </w:r>
          </w:p>
        </w:tc>
      </w:tr>
      <w:tr>
        <w:tc>
          <w:tcPr>
            <w:tcW w:type="dxa" w:w="4819"/>
          </w:tcPr>
          <w:p>
            <w:pPr>
              <w:spacing w:after="20" w:before="20" w:line="240" w:lineRule="auto"/>
            </w:pPr>
            <w:r/>
            <w:r>
              <w:rPr>
                <w:rFonts w:ascii="Arial" w:hAnsi="Arial" w:cs="Arial"/>
                <w:b w:val="0"/>
                <w:i w:val="0"/>
                <w:sz w:val="17"/>
              </w:rPr>
              <w:t>Customs Brokerage</w:t>
            </w:r>
          </w:p>
        </w:tc>
        <w:tc>
          <w:tcPr>
            <w:tcW w:type="dxa" w:w="4819"/>
          </w:tcPr>
          <w:p>
            <w:pPr>
              <w:spacing w:after="20" w:before="20" w:line="240" w:lineRule="auto"/>
            </w:pPr>
            <w:r/>
            <w:r>
              <w:rPr>
                <w:rFonts w:ascii="Arial" w:hAnsi="Arial" w:cs="Arial"/>
                <w:b w:val="0"/>
                <w:i w:val="0"/>
                <w:sz w:val="17"/>
              </w:rPr>
              <w:t>CUSTOMS_BROKERAGE</w:t>
            </w:r>
          </w:p>
        </w:tc>
      </w:tr>
      <w:tr>
        <w:tc>
          <w:tcPr>
            <w:tcW w:type="dxa" w:w="4819"/>
          </w:tcPr>
          <w:p>
            <w:pPr>
              <w:spacing w:after="20" w:before="20" w:line="240" w:lineRule="auto"/>
            </w:pPr>
            <w:r/>
            <w:r>
              <w:rPr>
                <w:rFonts w:ascii="Arial" w:hAnsi="Arial" w:cs="Arial"/>
                <w:b w:val="0"/>
                <w:i w:val="0"/>
                <w:sz w:val="17"/>
              </w:rPr>
              <w:t>Lab Testing</w:t>
            </w:r>
          </w:p>
        </w:tc>
        <w:tc>
          <w:tcPr>
            <w:tcW w:type="dxa" w:w="4819"/>
          </w:tcPr>
          <w:p>
            <w:pPr>
              <w:spacing w:after="20" w:before="20" w:line="240" w:lineRule="auto"/>
            </w:pPr>
            <w:r/>
            <w:r>
              <w:rPr>
                <w:rFonts w:ascii="Arial" w:hAnsi="Arial" w:cs="Arial"/>
                <w:b w:val="0"/>
                <w:i w:val="0"/>
                <w:sz w:val="17"/>
              </w:rPr>
              <w:t>LAB_TESTING</w:t>
            </w:r>
          </w:p>
        </w:tc>
      </w:tr>
      <w:tr>
        <w:tc>
          <w:tcPr>
            <w:tcW w:type="dxa" w:w="4819"/>
          </w:tcPr>
          <w:p>
            <w:pPr>
              <w:spacing w:after="20" w:before="20" w:line="240" w:lineRule="auto"/>
            </w:pPr>
            <w:r/>
            <w:r>
              <w:rPr>
                <w:rFonts w:ascii="Arial" w:hAnsi="Arial" w:cs="Arial"/>
                <w:b w:val="0"/>
                <w:i w:val="0"/>
                <w:sz w:val="17"/>
              </w:rPr>
              <w:t>QC Inspection</w:t>
            </w:r>
          </w:p>
        </w:tc>
        <w:tc>
          <w:tcPr>
            <w:tcW w:type="dxa" w:w="4819"/>
          </w:tcPr>
          <w:p>
            <w:pPr>
              <w:spacing w:after="20" w:before="20" w:line="240" w:lineRule="auto"/>
            </w:pPr>
            <w:r/>
            <w:r>
              <w:rPr>
                <w:rFonts w:ascii="Arial" w:hAnsi="Arial" w:cs="Arial"/>
                <w:b w:val="0"/>
                <w:i w:val="0"/>
                <w:sz w:val="17"/>
              </w:rPr>
              <w:t>QC_INSPECTION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Governance: G2U22 (selected provider must have matching service_capability) and G2U23 (a single GTID selected for multiple services must hold all required capabilities). Provider eligibility additionally considers provider port coverage and saved-contact or anonymous-broadcast scope (Section 11).</w:t>
      </w:r>
    </w:p>
    <w:p>
      <w:pPr>
        <w:keepNext/>
        <w:spacing w:before="140" w:after="60"/>
        <w:outlineLvl w:val="3"/>
      </w:pPr>
      <w:r>
        <w:rPr>
          <w:rFonts w:ascii="Arial" w:hAnsi="Arial" w:cs="Arial"/>
          <w:b/>
          <w:i/>
          <w:color w:val="333333"/>
          <w:sz w:val="22"/>
        </w:rPr>
        <w:t>8.2.9.1 Mode A — Manual Entry</w:t>
      </w:r>
    </w:p>
    <w:p>
      <w:pPr>
        <w:spacing w:after="80" w:line="293" w:lineRule="auto"/>
        <w:jc w:val="left"/>
      </w:pPr>
      <w:r>
        <w:rPr>
          <w:rFonts w:ascii="Times New Roman" w:hAnsi="Times New Roman" w:cs="Times New Roman"/>
          <w:b w:val="0"/>
          <w:i w:val="0"/>
          <w:sz w:val="22"/>
        </w:rPr>
        <w:t>The seller enters fixed costs for each logistics service. Incoterm-based filtering marks which services are mandatory. Example structure: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Service</w:t>
            </w:r>
          </w:p>
        </w:tc>
        <w:tc>
          <w:tcPr>
            <w:tcW w:type="dxa" w:w="2409"/>
            <w:shd w:val="clear" w:fill="D9E2F3"/>
          </w:tcPr>
          <w:p>
            <w:pPr>
              <w:spacing w:after="20" w:before="20" w:line="240" w:lineRule="auto"/>
            </w:pPr>
            <w:r/>
            <w:r>
              <w:rPr>
                <w:rFonts w:ascii="Arial" w:hAnsi="Arial" w:cs="Arial"/>
                <w:b/>
                <w:i w:val="0"/>
                <w:sz w:val="18"/>
              </w:rPr>
              <w:t>Cost (USD)</w:t>
            </w:r>
          </w:p>
        </w:tc>
        <w:tc>
          <w:tcPr>
            <w:tcW w:type="dxa" w:w="2409"/>
            <w:shd w:val="clear" w:fill="D9E2F3"/>
          </w:tcPr>
          <w:p>
            <w:pPr>
              <w:spacing w:after="20" w:before="20" w:line="240" w:lineRule="auto"/>
            </w:pPr>
            <w:r/>
            <w:r>
              <w:rPr>
                <w:rFonts w:ascii="Arial" w:hAnsi="Arial" w:cs="Arial"/>
                <w:b/>
                <w:i w:val="0"/>
                <w:sz w:val="18"/>
              </w:rPr>
              <w:t>Mandatory</w:t>
            </w:r>
          </w:p>
        </w:tc>
        <w:tc>
          <w:tcPr>
            <w:tcW w:type="dxa" w:w="2409"/>
            <w:shd w:val="clear" w:fill="D9E2F3"/>
          </w:tcPr>
          <w:p>
            <w:pPr>
              <w:spacing w:after="20" w:before="20" w:line="240" w:lineRule="auto"/>
            </w:pPr>
            <w:r/>
            <w:r>
              <w:rPr>
                <w:rFonts w:ascii="Arial" w:hAnsi="Arial" w:cs="Arial"/>
                <w:b/>
                <w:i w:val="0"/>
                <w:sz w:val="18"/>
              </w:rPr>
              <w:t>Status</w:t>
            </w:r>
          </w:p>
        </w:tc>
      </w:tr>
      <w:tr>
        <w:tc>
          <w:tcPr>
            <w:tcW w:type="dxa" w:w="2409"/>
          </w:tcPr>
          <w:p>
            <w:pPr>
              <w:spacing w:after="20" w:before="20" w:line="240" w:lineRule="auto"/>
            </w:pPr>
            <w:r/>
            <w:r>
              <w:rPr>
                <w:rFonts w:ascii="Arial" w:hAnsi="Arial" w:cs="Arial"/>
                <w:b w:val="0"/>
                <w:i w:val="0"/>
                <w:sz w:val="17"/>
              </w:rPr>
              <w:t>Trucking (origin to port)</w:t>
            </w:r>
          </w:p>
        </w:tc>
        <w:tc>
          <w:tcPr>
            <w:tcW w:type="dxa" w:w="2409"/>
          </w:tcPr>
          <w:p>
            <w:pPr>
              <w:spacing w:after="20" w:before="20" w:line="240" w:lineRule="auto"/>
            </w:pPr>
            <w:r/>
            <w:r>
              <w:rPr>
                <w:rFonts w:ascii="Arial" w:hAnsi="Arial" w:cs="Arial"/>
                <w:b w:val="0"/>
                <w:i w:val="0"/>
                <w:sz w:val="17"/>
              </w:rPr>
              <w:t>900</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Customs Clearance (export)</w:t>
            </w:r>
          </w:p>
        </w:tc>
        <w:tc>
          <w:tcPr>
            <w:tcW w:type="dxa" w:w="2409"/>
          </w:tcPr>
          <w:p>
            <w:pPr>
              <w:spacing w:after="20" w:before="20" w:line="240" w:lineRule="auto"/>
            </w:pPr>
            <w:r/>
            <w:r>
              <w:rPr>
                <w:rFonts w:ascii="Arial" w:hAnsi="Arial" w:cs="Arial"/>
                <w:b w:val="0"/>
                <w:i w:val="0"/>
                <w:sz w:val="17"/>
              </w:rPr>
              <w:t>600</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THC (origin port)</w:t>
            </w:r>
          </w:p>
        </w:tc>
        <w:tc>
          <w:tcPr>
            <w:tcW w:type="dxa" w:w="2409"/>
          </w:tcPr>
          <w:p>
            <w:pPr>
              <w:spacing w:after="20" w:before="20" w:line="240" w:lineRule="auto"/>
            </w:pPr>
            <w:r/>
            <w:r>
              <w:rPr>
                <w:rFonts w:ascii="Arial" w:hAnsi="Arial" w:cs="Arial"/>
                <w:b w:val="0"/>
                <w:i w:val="0"/>
                <w:sz w:val="17"/>
              </w:rPr>
              <w:t>300</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Ocean Freight</w:t>
            </w:r>
          </w:p>
        </w:tc>
        <w:tc>
          <w:tcPr>
            <w:tcW w:type="dxa" w:w="2409"/>
          </w:tcPr>
          <w:p>
            <w:pPr>
              <w:spacing w:after="20" w:before="20" w:line="240" w:lineRule="auto"/>
            </w:pPr>
            <w:r/>
            <w:r>
              <w:rPr>
                <w:rFonts w:ascii="Arial" w:hAnsi="Arial" w:cs="Arial"/>
                <w:b w:val="0"/>
                <w:i w:val="0"/>
                <w:sz w:val="17"/>
              </w:rPr>
              <w:t>4,200</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Insurance</w:t>
            </w:r>
          </w:p>
        </w:tc>
        <w:tc>
          <w:tcPr>
            <w:tcW w:type="dxa" w:w="2409"/>
          </w:tcPr>
          <w:p>
            <w:pPr>
              <w:spacing w:after="20" w:before="20" w:line="240" w:lineRule="auto"/>
            </w:pPr>
            <w:r/>
            <w:r>
              <w:rPr>
                <w:rFonts w:ascii="Arial" w:hAnsi="Arial" w:cs="Arial"/>
                <w:b w:val="0"/>
                <w:i w:val="0"/>
                <w:sz w:val="17"/>
              </w:rPr>
              <w:t>450</w:t>
            </w:r>
          </w:p>
        </w:tc>
        <w:tc>
          <w:tcPr>
            <w:tcW w:type="dxa" w:w="2409"/>
          </w:tcPr>
          <w:p>
            <w:pPr>
              <w:spacing w:after="20" w:before="20" w:line="240" w:lineRule="auto"/>
            </w:pPr>
            <w:r/>
            <w:r>
              <w:rPr>
                <w:rFonts w:ascii="Arial" w:hAnsi="Arial" w:cs="Arial"/>
                <w:b w:val="0"/>
                <w:i w:val="0"/>
                <w:sz w:val="17"/>
              </w:rPr>
              <w:t>Optional</w:t>
            </w:r>
          </w:p>
        </w:tc>
        <w:tc>
          <w:tcPr>
            <w:tcW w:type="dxa" w:w="2409"/>
          </w:tcPr>
          <w:p>
            <w:pPr>
              <w:spacing w:after="20" w:before="20" w:line="240" w:lineRule="auto"/>
            </w:pPr>
            <w:r/>
            <w:r>
              <w:rPr>
                <w:rFonts w:ascii="Arial" w:hAnsi="Arial" w:cs="Arial"/>
                <w:b w:val="0"/>
                <w:i w:val="0"/>
                <w:sz w:val="17"/>
              </w:rPr>
              <w:t>Recommended</w:t>
            </w:r>
          </w:p>
        </w:tc>
      </w:tr>
      <w:tr>
        <w:tc>
          <w:tcPr>
            <w:tcW w:type="dxa" w:w="2409"/>
          </w:tcPr>
          <w:p>
            <w:pPr>
              <w:spacing w:after="20" w:before="20" w:line="240" w:lineRule="auto"/>
            </w:pPr>
            <w:r/>
            <w:r>
              <w:rPr>
                <w:rFonts w:ascii="Arial" w:hAnsi="Arial" w:cs="Arial"/>
                <w:b w:val="0"/>
                <w:i w:val="0"/>
                <w:sz w:val="17"/>
              </w:rPr>
              <w:t>Destination Charges</w:t>
            </w:r>
          </w:p>
        </w:tc>
        <w:tc>
          <w:tcPr>
            <w:tcW w:type="dxa" w:w="2409"/>
          </w:tcPr>
          <w:p>
            <w:pPr>
              <w:spacing w:after="20" w:before="20" w:line="240" w:lineRule="auto"/>
            </w:pPr>
            <w:r/>
            <w:r>
              <w:rPr>
                <w:rFonts w:ascii="Arial" w:hAnsi="Arial" w:cs="Arial"/>
                <w:b w:val="0"/>
                <w:i w:val="0"/>
                <w:sz w:val="17"/>
              </w:rPr>
              <w:t>N/A</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Not applicable</w:t>
            </w:r>
          </w:p>
        </w:tc>
      </w:tr>
      <w:tr>
        <w:tc>
          <w:tcPr>
            <w:tcW w:type="dxa" w:w="2409"/>
          </w:tcPr>
          <w:p>
            <w:pPr>
              <w:spacing w:after="20" w:before="20" w:line="240" w:lineRule="auto"/>
            </w:pPr>
            <w:r/>
            <w:r>
              <w:rPr>
                <w:rFonts w:ascii="Arial" w:hAnsi="Arial" w:cs="Arial"/>
                <w:b w:val="0"/>
                <w:i w:val="0"/>
                <w:sz w:val="17"/>
              </w:rPr>
              <w:t>Duties</w:t>
            </w:r>
          </w:p>
        </w:tc>
        <w:tc>
          <w:tcPr>
            <w:tcW w:type="dxa" w:w="2409"/>
          </w:tcPr>
          <w:p>
            <w:pPr>
              <w:spacing w:after="20" w:before="20" w:line="240" w:lineRule="auto"/>
            </w:pPr>
            <w:r/>
            <w:r>
              <w:rPr>
                <w:rFonts w:ascii="Arial" w:hAnsi="Arial" w:cs="Arial"/>
                <w:b w:val="0"/>
                <w:i w:val="0"/>
                <w:sz w:val="17"/>
              </w:rPr>
              <w:t>N/A</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Not applicable</w:t>
            </w:r>
          </w:p>
        </w:tc>
      </w:tr>
      <w:tr>
        <w:tc>
          <w:tcPr>
            <w:tcW w:type="dxa" w:w="2409"/>
          </w:tcPr>
          <w:p>
            <w:pPr>
              <w:spacing w:after="20" w:before="20" w:line="240" w:lineRule="auto"/>
            </w:pPr>
            <w:r/>
            <w:r>
              <w:rPr>
                <w:rFonts w:ascii="Arial" w:hAnsi="Arial" w:cs="Arial"/>
                <w:b w:val="0"/>
                <w:i w:val="0"/>
                <w:sz w:val="17"/>
              </w:rPr>
              <w:t>Total Logistics Cost</w:t>
            </w:r>
          </w:p>
        </w:tc>
        <w:tc>
          <w:tcPr>
            <w:tcW w:type="dxa" w:w="2409"/>
          </w:tcPr>
          <w:p>
            <w:pPr>
              <w:spacing w:after="20" w:before="20" w:line="240" w:lineRule="auto"/>
            </w:pPr>
            <w:r/>
            <w:r>
              <w:rPr>
                <w:rFonts w:ascii="Arial" w:hAnsi="Arial" w:cs="Arial"/>
                <w:b w:val="0"/>
                <w:i w:val="0"/>
                <w:sz w:val="17"/>
              </w:rPr>
              <w:t>6,450</w:t>
            </w:r>
          </w:p>
        </w:tc>
        <w:tc>
          <w:tcPr>
            <w:tcW w:type="dxa" w:w="2409"/>
          </w:tcPr>
          <w:p>
            <w:pPr>
              <w:spacing w:after="20" w:before="20" w:line="240" w:lineRule="auto"/>
            </w:pPr>
            <w:r/>
            <w:r>
              <w:rPr>
                <w:rFonts w:ascii="Arial" w:hAnsi="Arial" w:cs="Arial"/>
                <w:b w:val="0"/>
                <w:i w:val="0"/>
                <w:sz w:val="17"/>
              </w:rPr>
            </w:r>
          </w:p>
        </w:tc>
        <w:tc>
          <w:tcPr>
            <w:tcW w:type="dxa" w:w="2409"/>
          </w:tcPr>
          <w:p>
            <w:pPr>
              <w:spacing w:after="20" w:before="20" w:line="240" w:lineRule="auto"/>
            </w:pPr>
            <w:r/>
            <w:r>
              <w:rPr>
                <w:rFonts w:ascii="Arial" w:hAnsi="Arial" w:cs="Arial"/>
                <w:b w:val="0"/>
                <w:i w:val="0"/>
                <w:sz w:val="17"/>
              </w:rPr>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8.2.9.2 Mode B — RFQ to Logistics Providers</w:t>
      </w:r>
    </w:p>
    <w:p>
      <w:pPr>
        <w:spacing w:after="80" w:line="293" w:lineRule="auto"/>
        <w:jc w:val="left"/>
      </w:pPr>
      <w:r>
        <w:rPr>
          <w:rFonts w:ascii="Times New Roman" w:hAnsi="Times New Roman" w:cs="Times New Roman"/>
          <w:b w:val="0"/>
          <w:i w:val="0"/>
          <w:sz w:val="22"/>
        </w:rPr>
        <w:t>Workflow: select service categories (trucking, warehousing, customs brokerage); choose directed (specific saved LSPs) or anonymous broadcast; send RFQ; provider asks clarification (structured Q&amp;A); providers submit quotes; seller compares quotes in panel; seller selects quote.</w:t>
      </w:r>
    </w:p>
    <w:p>
      <w:pPr>
        <w:spacing w:after="80" w:line="293" w:lineRule="auto"/>
        <w:jc w:val="left"/>
      </w:pPr>
      <w:r>
        <w:rPr>
          <w:rFonts w:ascii="Times New Roman" w:hAnsi="Times New Roman" w:cs="Times New Roman"/>
          <w:b w:val="0"/>
          <w:i w:val="0"/>
          <w:sz w:val="22"/>
        </w:rPr>
        <w:t>Clarification requests are structured Q&amp;A bound to the RFQ — for example, provider question: "Are there any access restrictions at the pickup location?" with the seller's answer: "No, standard 40ft truck access available." Directed RFQs display candidate providers with trust score and route fit (for example, Fast Trucking Co. — Trust 85, route Beheira → Damietta; Green Haul — Trust 83; Express Cargo — Trust 76).</w:t>
      </w:r>
    </w:p>
    <w:p>
      <w:pPr>
        <w:spacing w:after="80" w:line="293" w:lineRule="auto"/>
        <w:jc w:val="left"/>
      </w:pPr>
      <w:r>
        <w:rPr>
          <w:rFonts w:ascii="Times New Roman" w:hAnsi="Times New Roman" w:cs="Times New Roman"/>
          <w:b w:val="0"/>
          <w:i w:val="0"/>
          <w:sz w:val="22"/>
        </w:rPr>
        <w:t>The comparison panel presents, per provider: fee, transit time, match score, and select action. Example — trucking, Beheira → Damietta (150 km):</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Provider</w:t>
            </w:r>
          </w:p>
        </w:tc>
        <w:tc>
          <w:tcPr>
            <w:tcW w:type="dxa" w:w="2409"/>
            <w:shd w:val="clear" w:fill="D9E2F3"/>
          </w:tcPr>
          <w:p>
            <w:pPr>
              <w:spacing w:after="20" w:before="20" w:line="240" w:lineRule="auto"/>
            </w:pPr>
            <w:r/>
            <w:r>
              <w:rPr>
                <w:rFonts w:ascii="Arial" w:hAnsi="Arial" w:cs="Arial"/>
                <w:b/>
                <w:i w:val="0"/>
                <w:sz w:val="18"/>
              </w:rPr>
              <w:t>Fee</w:t>
            </w:r>
          </w:p>
        </w:tc>
        <w:tc>
          <w:tcPr>
            <w:tcW w:type="dxa" w:w="2409"/>
            <w:shd w:val="clear" w:fill="D9E2F3"/>
          </w:tcPr>
          <w:p>
            <w:pPr>
              <w:spacing w:after="20" w:before="20" w:line="240" w:lineRule="auto"/>
            </w:pPr>
            <w:r/>
            <w:r>
              <w:rPr>
                <w:rFonts w:ascii="Arial" w:hAnsi="Arial" w:cs="Arial"/>
                <w:b/>
                <w:i w:val="0"/>
                <w:sz w:val="18"/>
              </w:rPr>
              <w:t>Transit Time</w:t>
            </w:r>
          </w:p>
        </w:tc>
        <w:tc>
          <w:tcPr>
            <w:tcW w:type="dxa" w:w="2409"/>
            <w:shd w:val="clear" w:fill="D9E2F3"/>
          </w:tcPr>
          <w:p>
            <w:pPr>
              <w:spacing w:after="20" w:before="20" w:line="240" w:lineRule="auto"/>
            </w:pPr>
            <w:r/>
            <w:r>
              <w:rPr>
                <w:rFonts w:ascii="Arial" w:hAnsi="Arial" w:cs="Arial"/>
                <w:b/>
                <w:i w:val="0"/>
                <w:sz w:val="18"/>
              </w:rPr>
              <w:t>Match Score</w:t>
            </w:r>
          </w:p>
        </w:tc>
      </w:tr>
      <w:tr>
        <w:tc>
          <w:tcPr>
            <w:tcW w:type="dxa" w:w="2409"/>
          </w:tcPr>
          <w:p>
            <w:pPr>
              <w:spacing w:after="20" w:before="20" w:line="240" w:lineRule="auto"/>
            </w:pPr>
            <w:r/>
            <w:r>
              <w:rPr>
                <w:rFonts w:ascii="Arial" w:hAnsi="Arial" w:cs="Arial"/>
                <w:b w:val="0"/>
                <w:i w:val="0"/>
                <w:sz w:val="17"/>
              </w:rPr>
              <w:t>Fast Trucking Co.</w:t>
            </w:r>
          </w:p>
        </w:tc>
        <w:tc>
          <w:tcPr>
            <w:tcW w:type="dxa" w:w="2409"/>
          </w:tcPr>
          <w:p>
            <w:pPr>
              <w:spacing w:after="20" w:before="20" w:line="240" w:lineRule="auto"/>
            </w:pPr>
            <w:r/>
            <w:r>
              <w:rPr>
                <w:rFonts w:ascii="Arial" w:hAnsi="Arial" w:cs="Arial"/>
                <w:b w:val="0"/>
                <w:i w:val="0"/>
                <w:sz w:val="17"/>
              </w:rPr>
              <w:t>$127.50</w:t>
            </w:r>
          </w:p>
        </w:tc>
        <w:tc>
          <w:tcPr>
            <w:tcW w:type="dxa" w:w="2409"/>
          </w:tcPr>
          <w:p>
            <w:pPr>
              <w:spacing w:after="20" w:before="20" w:line="240" w:lineRule="auto"/>
            </w:pPr>
            <w:r/>
            <w:r>
              <w:rPr>
                <w:rFonts w:ascii="Arial" w:hAnsi="Arial" w:cs="Arial"/>
                <w:b w:val="0"/>
                <w:i w:val="0"/>
                <w:sz w:val="17"/>
              </w:rPr>
              <w:t>4h</w:t>
            </w:r>
          </w:p>
        </w:tc>
        <w:tc>
          <w:tcPr>
            <w:tcW w:type="dxa" w:w="2409"/>
          </w:tcPr>
          <w:p>
            <w:pPr>
              <w:spacing w:after="20" w:before="20" w:line="240" w:lineRule="auto"/>
            </w:pPr>
            <w:r/>
            <w:r>
              <w:rPr>
                <w:rFonts w:ascii="Arial" w:hAnsi="Arial" w:cs="Arial"/>
                <w:b w:val="0"/>
                <w:i w:val="0"/>
                <w:sz w:val="17"/>
              </w:rPr>
              <w:t>94 (high)</w:t>
            </w:r>
          </w:p>
        </w:tc>
      </w:tr>
      <w:tr>
        <w:tc>
          <w:tcPr>
            <w:tcW w:type="dxa" w:w="2409"/>
          </w:tcPr>
          <w:p>
            <w:pPr>
              <w:spacing w:after="20" w:before="20" w:line="240" w:lineRule="auto"/>
            </w:pPr>
            <w:r/>
            <w:r>
              <w:rPr>
                <w:rFonts w:ascii="Arial" w:hAnsi="Arial" w:cs="Arial"/>
                <w:b w:val="0"/>
                <w:i w:val="0"/>
                <w:sz w:val="17"/>
              </w:rPr>
              <w:t>Green Haul</w:t>
            </w:r>
          </w:p>
        </w:tc>
        <w:tc>
          <w:tcPr>
            <w:tcW w:type="dxa" w:w="2409"/>
          </w:tcPr>
          <w:p>
            <w:pPr>
              <w:spacing w:after="20" w:before="20" w:line="240" w:lineRule="auto"/>
            </w:pPr>
            <w:r/>
            <w:r>
              <w:rPr>
                <w:rFonts w:ascii="Arial" w:hAnsi="Arial" w:cs="Arial"/>
                <w:b w:val="0"/>
                <w:i w:val="0"/>
                <w:sz w:val="17"/>
              </w:rPr>
              <w:t>$135.00</w:t>
            </w:r>
          </w:p>
        </w:tc>
        <w:tc>
          <w:tcPr>
            <w:tcW w:type="dxa" w:w="2409"/>
          </w:tcPr>
          <w:p>
            <w:pPr>
              <w:spacing w:after="20" w:before="20" w:line="240" w:lineRule="auto"/>
            </w:pPr>
            <w:r/>
            <w:r>
              <w:rPr>
                <w:rFonts w:ascii="Arial" w:hAnsi="Arial" w:cs="Arial"/>
                <w:b w:val="0"/>
                <w:i w:val="0"/>
                <w:sz w:val="17"/>
              </w:rPr>
              <w:t>3.5h</w:t>
            </w:r>
          </w:p>
        </w:tc>
        <w:tc>
          <w:tcPr>
            <w:tcW w:type="dxa" w:w="2409"/>
          </w:tcPr>
          <w:p>
            <w:pPr>
              <w:spacing w:after="20" w:before="20" w:line="240" w:lineRule="auto"/>
            </w:pPr>
            <w:r/>
            <w:r>
              <w:rPr>
                <w:rFonts w:ascii="Arial" w:hAnsi="Arial" w:cs="Arial"/>
                <w:b w:val="0"/>
                <w:i w:val="0"/>
                <w:sz w:val="17"/>
              </w:rPr>
              <w:t>82 (good)</w:t>
            </w:r>
          </w:p>
        </w:tc>
      </w:tr>
      <w:tr>
        <w:tc>
          <w:tcPr>
            <w:tcW w:type="dxa" w:w="2409"/>
          </w:tcPr>
          <w:p>
            <w:pPr>
              <w:spacing w:after="20" w:before="20" w:line="240" w:lineRule="auto"/>
            </w:pPr>
            <w:r/>
            <w:r>
              <w:rPr>
                <w:rFonts w:ascii="Arial" w:hAnsi="Arial" w:cs="Arial"/>
                <w:b w:val="0"/>
                <w:i w:val="0"/>
                <w:sz w:val="17"/>
              </w:rPr>
              <w:t>Express Cargo</w:t>
            </w:r>
          </w:p>
        </w:tc>
        <w:tc>
          <w:tcPr>
            <w:tcW w:type="dxa" w:w="2409"/>
          </w:tcPr>
          <w:p>
            <w:pPr>
              <w:spacing w:after="20" w:before="20" w:line="240" w:lineRule="auto"/>
            </w:pPr>
            <w:r/>
            <w:r>
              <w:rPr>
                <w:rFonts w:ascii="Arial" w:hAnsi="Arial" w:cs="Arial"/>
                <w:b w:val="0"/>
                <w:i w:val="0"/>
                <w:sz w:val="17"/>
              </w:rPr>
              <w:t>$118.00</w:t>
            </w:r>
          </w:p>
        </w:tc>
        <w:tc>
          <w:tcPr>
            <w:tcW w:type="dxa" w:w="2409"/>
          </w:tcPr>
          <w:p>
            <w:pPr>
              <w:spacing w:after="20" w:before="20" w:line="240" w:lineRule="auto"/>
            </w:pPr>
            <w:r/>
            <w:r>
              <w:rPr>
                <w:rFonts w:ascii="Arial" w:hAnsi="Arial" w:cs="Arial"/>
                <w:b w:val="0"/>
                <w:i w:val="0"/>
                <w:sz w:val="17"/>
              </w:rPr>
              <w:t>5h</w:t>
            </w:r>
          </w:p>
        </w:tc>
        <w:tc>
          <w:tcPr>
            <w:tcW w:type="dxa" w:w="2409"/>
          </w:tcPr>
          <w:p>
            <w:pPr>
              <w:spacing w:after="20" w:before="20" w:line="240" w:lineRule="auto"/>
            </w:pPr>
            <w:r/>
            <w:r>
              <w:rPr>
                <w:rFonts w:ascii="Arial" w:hAnsi="Arial" w:cs="Arial"/>
                <w:b w:val="0"/>
                <w:i w:val="0"/>
                <w:sz w:val="17"/>
              </w:rPr>
              <w:t>76 (medium)</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Recommendation (advisory): "Fast Trucking Co. offers the best balance of price and reliability. They have a 94% on-time delivery rate on this route."</w:t>
      </w:r>
    </w:p>
    <w:p>
      <w:pPr>
        <w:keepNext/>
        <w:spacing w:before="140" w:after="60"/>
        <w:outlineLvl w:val="3"/>
      </w:pPr>
      <w:r>
        <w:rPr>
          <w:rFonts w:ascii="Arial" w:hAnsi="Arial" w:cs="Arial"/>
          <w:b/>
          <w:i/>
          <w:color w:val="333333"/>
          <w:sz w:val="22"/>
        </w:rPr>
        <w:t>8.2.9.3 Mode C — Direct to Shipping Lines</w:t>
      </w:r>
    </w:p>
    <w:p>
      <w:pPr>
        <w:spacing w:after="80" w:line="293" w:lineRule="auto"/>
        <w:jc w:val="left"/>
      </w:pPr>
      <w:r>
        <w:rPr>
          <w:rFonts w:ascii="Times New Roman" w:hAnsi="Times New Roman" w:cs="Times New Roman"/>
          <w:b w:val="0"/>
          <w:i w:val="0"/>
          <w:sz w:val="22"/>
        </w:rPr>
        <w:t>Workflow: select target shipping lines (from saved contacts or all lines servicing the route); specify base service (ocean/air freight): container type, quantity, sailing window, temperature requirements; check optional add-on services: trucking, customs broker, insurance, destination handling; send request; shipping lines submit quotes (bundled or line-item); seller selects quote.</w:t>
      </w:r>
    </w:p>
    <w:p>
      <w:pPr>
        <w:spacing w:after="80" w:line="293" w:lineRule="auto"/>
        <w:jc w:val="left"/>
      </w:pPr>
      <w:r>
        <w:rPr>
          <w:rFonts w:ascii="Times New Roman" w:hAnsi="Times New Roman" w:cs="Times New Roman"/>
          <w:b w:val="0"/>
          <w:i w:val="0"/>
          <w:sz w:val="22"/>
        </w:rPr>
        <w:t>Example — 2 × 40ft Reefer, Damietta → Hamburg:</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Line</w:t>
            </w:r>
          </w:p>
        </w:tc>
        <w:tc>
          <w:tcPr>
            <w:tcW w:type="dxa" w:w="2409"/>
            <w:shd w:val="clear" w:fill="D9E2F3"/>
          </w:tcPr>
          <w:p>
            <w:pPr>
              <w:spacing w:after="20" w:before="20" w:line="240" w:lineRule="auto"/>
            </w:pPr>
            <w:r/>
            <w:r>
              <w:rPr>
                <w:rFonts w:ascii="Arial" w:hAnsi="Arial" w:cs="Arial"/>
                <w:b/>
                <w:i w:val="0"/>
                <w:sz w:val="18"/>
              </w:rPr>
              <w:t>Base Fee</w:t>
            </w:r>
          </w:p>
        </w:tc>
        <w:tc>
          <w:tcPr>
            <w:tcW w:type="dxa" w:w="2409"/>
            <w:shd w:val="clear" w:fill="D9E2F3"/>
          </w:tcPr>
          <w:p>
            <w:pPr>
              <w:spacing w:after="20" w:before="20" w:line="240" w:lineRule="auto"/>
            </w:pPr>
            <w:r/>
            <w:r>
              <w:rPr>
                <w:rFonts w:ascii="Arial" w:hAnsi="Arial" w:cs="Arial"/>
                <w:b/>
                <w:i w:val="0"/>
                <w:sz w:val="18"/>
              </w:rPr>
              <w:t>Add-Ons</w:t>
            </w:r>
          </w:p>
        </w:tc>
        <w:tc>
          <w:tcPr>
            <w:tcW w:type="dxa" w:w="2409"/>
            <w:shd w:val="clear" w:fill="D9E2F3"/>
          </w:tcPr>
          <w:p>
            <w:pPr>
              <w:spacing w:after="20" w:before="20" w:line="240" w:lineRule="auto"/>
            </w:pPr>
            <w:r/>
            <w:r>
              <w:rPr>
                <w:rFonts w:ascii="Arial" w:hAnsi="Arial" w:cs="Arial"/>
                <w:b/>
                <w:i w:val="0"/>
                <w:sz w:val="18"/>
              </w:rPr>
              <w:t>Total Fee</w:t>
            </w:r>
          </w:p>
        </w:tc>
      </w:tr>
      <w:tr>
        <w:tc>
          <w:tcPr>
            <w:tcW w:type="dxa" w:w="2409"/>
          </w:tcPr>
          <w:p>
            <w:pPr>
              <w:spacing w:after="20" w:before="20" w:line="240" w:lineRule="auto"/>
            </w:pPr>
            <w:r/>
            <w:r>
              <w:rPr>
                <w:rFonts w:ascii="Arial" w:hAnsi="Arial" w:cs="Arial"/>
                <w:b w:val="0"/>
                <w:i w:val="0"/>
                <w:sz w:val="17"/>
              </w:rPr>
              <w:t>MSC Egypt</w:t>
            </w:r>
          </w:p>
        </w:tc>
        <w:tc>
          <w:tcPr>
            <w:tcW w:type="dxa" w:w="2409"/>
          </w:tcPr>
          <w:p>
            <w:pPr>
              <w:spacing w:after="20" w:before="20" w:line="240" w:lineRule="auto"/>
            </w:pPr>
            <w:r/>
            <w:r>
              <w:rPr>
                <w:rFonts w:ascii="Arial" w:hAnsi="Arial" w:cs="Arial"/>
                <w:b w:val="0"/>
                <w:i w:val="0"/>
                <w:sz w:val="17"/>
              </w:rPr>
              <w:t>$4,200</w:t>
            </w:r>
          </w:p>
        </w:tc>
        <w:tc>
          <w:tcPr>
            <w:tcW w:type="dxa" w:w="2409"/>
          </w:tcPr>
          <w:p>
            <w:pPr>
              <w:spacing w:after="20" w:before="20" w:line="240" w:lineRule="auto"/>
            </w:pPr>
            <w:r/>
            <w:r>
              <w:rPr>
                <w:rFonts w:ascii="Arial" w:hAnsi="Arial" w:cs="Arial"/>
                <w:b w:val="0"/>
                <w:i w:val="0"/>
                <w:sz w:val="17"/>
              </w:rPr>
              <w:t>$300</w:t>
            </w:r>
          </w:p>
        </w:tc>
        <w:tc>
          <w:tcPr>
            <w:tcW w:type="dxa" w:w="2409"/>
          </w:tcPr>
          <w:p>
            <w:pPr>
              <w:spacing w:after="20" w:before="20" w:line="240" w:lineRule="auto"/>
            </w:pPr>
            <w:r/>
            <w:r>
              <w:rPr>
                <w:rFonts w:ascii="Arial" w:hAnsi="Arial" w:cs="Arial"/>
                <w:b w:val="0"/>
                <w:i w:val="0"/>
                <w:sz w:val="17"/>
              </w:rPr>
              <w:t>$4,500</w:t>
            </w:r>
          </w:p>
        </w:tc>
      </w:tr>
      <w:tr>
        <w:tc>
          <w:tcPr>
            <w:tcW w:type="dxa" w:w="2409"/>
          </w:tcPr>
          <w:p>
            <w:pPr>
              <w:spacing w:after="20" w:before="20" w:line="240" w:lineRule="auto"/>
            </w:pPr>
            <w:r/>
            <w:r>
              <w:rPr>
                <w:rFonts w:ascii="Arial" w:hAnsi="Arial" w:cs="Arial"/>
                <w:b w:val="0"/>
                <w:i w:val="0"/>
                <w:sz w:val="17"/>
              </w:rPr>
              <w:t>Maersk Egypt</w:t>
            </w:r>
          </w:p>
        </w:tc>
        <w:tc>
          <w:tcPr>
            <w:tcW w:type="dxa" w:w="2409"/>
          </w:tcPr>
          <w:p>
            <w:pPr>
              <w:spacing w:after="20" w:before="20" w:line="240" w:lineRule="auto"/>
            </w:pPr>
            <w:r/>
            <w:r>
              <w:rPr>
                <w:rFonts w:ascii="Arial" w:hAnsi="Arial" w:cs="Arial"/>
                <w:b w:val="0"/>
                <w:i w:val="0"/>
                <w:sz w:val="17"/>
              </w:rPr>
              <w:t>$4,350</w:t>
            </w:r>
          </w:p>
        </w:tc>
        <w:tc>
          <w:tcPr>
            <w:tcW w:type="dxa" w:w="2409"/>
          </w:tcPr>
          <w:p>
            <w:pPr>
              <w:spacing w:after="20" w:before="20" w:line="240" w:lineRule="auto"/>
            </w:pPr>
            <w:r/>
            <w:r>
              <w:rPr>
                <w:rFonts w:ascii="Arial" w:hAnsi="Arial" w:cs="Arial"/>
                <w:b w:val="0"/>
                <w:i w:val="0"/>
                <w:sz w:val="17"/>
              </w:rPr>
              <w:t>$280</w:t>
            </w:r>
          </w:p>
        </w:tc>
        <w:tc>
          <w:tcPr>
            <w:tcW w:type="dxa" w:w="2409"/>
          </w:tcPr>
          <w:p>
            <w:pPr>
              <w:spacing w:after="20" w:before="20" w:line="240" w:lineRule="auto"/>
            </w:pPr>
            <w:r/>
            <w:r>
              <w:rPr>
                <w:rFonts w:ascii="Arial" w:hAnsi="Arial" w:cs="Arial"/>
                <w:b w:val="0"/>
                <w:i w:val="0"/>
                <w:sz w:val="17"/>
              </w:rPr>
              <w:t>$4,630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Recommendation (advisory): "MSC Egypt offers the best rate and has the shortest transit time (12 days vs 14 days)."</w:t>
      </w:r>
    </w:p>
    <w:p>
      <w:pPr>
        <w:keepNext/>
        <w:spacing w:before="180" w:after="80"/>
        <w:outlineLvl w:val="2"/>
      </w:pPr>
      <w:r>
        <w:rPr>
          <w:rFonts w:ascii="Arial" w:hAnsi="Arial" w:cs="Arial"/>
          <w:b/>
          <w:i w:val="0"/>
          <w:color w:val="333333"/>
          <w:sz w:val="23"/>
        </w:rPr>
        <w:t>8.2.10 Step 10 — Alternative Port / Route Scenarios</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Option</w:t>
            </w:r>
          </w:p>
        </w:tc>
        <w:tc>
          <w:tcPr>
            <w:tcW w:type="dxa" w:w="1928"/>
            <w:shd w:val="clear" w:fill="D9E2F3"/>
          </w:tcPr>
          <w:p>
            <w:pPr>
              <w:spacing w:after="20" w:before="20" w:line="240" w:lineRule="auto"/>
            </w:pPr>
            <w:r/>
            <w:r>
              <w:rPr>
                <w:rFonts w:ascii="Arial" w:hAnsi="Arial" w:cs="Arial"/>
                <w:b/>
                <w:i w:val="0"/>
                <w:sz w:val="18"/>
              </w:rPr>
              <w:t>Port</w:t>
            </w:r>
          </w:p>
        </w:tc>
        <w:tc>
          <w:tcPr>
            <w:tcW w:type="dxa" w:w="1928"/>
            <w:shd w:val="clear" w:fill="D9E2F3"/>
          </w:tcPr>
          <w:p>
            <w:pPr>
              <w:spacing w:after="20" w:before="20" w:line="240" w:lineRule="auto"/>
            </w:pPr>
            <w:r/>
            <w:r>
              <w:rPr>
                <w:rFonts w:ascii="Arial" w:hAnsi="Arial" w:cs="Arial"/>
                <w:b/>
                <w:i w:val="0"/>
                <w:sz w:val="18"/>
              </w:rPr>
              <w:t>Cost</w:t>
            </w:r>
          </w:p>
        </w:tc>
        <w:tc>
          <w:tcPr>
            <w:tcW w:type="dxa" w:w="1928"/>
            <w:shd w:val="clear" w:fill="D9E2F3"/>
          </w:tcPr>
          <w:p>
            <w:pPr>
              <w:spacing w:after="20" w:before="20" w:line="240" w:lineRule="auto"/>
            </w:pPr>
            <w:r/>
            <w:r>
              <w:rPr>
                <w:rFonts w:ascii="Arial" w:hAnsi="Arial" w:cs="Arial"/>
                <w:b/>
                <w:i w:val="0"/>
                <w:sz w:val="18"/>
              </w:rPr>
              <w:t>Transit</w:t>
            </w:r>
          </w:p>
        </w:tc>
        <w:tc>
          <w:tcPr>
            <w:tcW w:type="dxa" w:w="1928"/>
            <w:shd w:val="clear" w:fill="D9E2F3"/>
          </w:tcPr>
          <w:p>
            <w:pPr>
              <w:spacing w:after="20" w:before="20" w:line="240" w:lineRule="auto"/>
            </w:pPr>
            <w:r/>
            <w:r>
              <w:rPr>
                <w:rFonts w:ascii="Arial" w:hAnsi="Arial" w:cs="Arial"/>
                <w:b/>
                <w:i w:val="0"/>
                <w:sz w:val="18"/>
              </w:rPr>
              <w:t>Risk</w:t>
            </w:r>
          </w:p>
        </w:tc>
      </w:tr>
      <w:tr>
        <w:tc>
          <w:tcPr>
            <w:tcW w:type="dxa" w:w="1928"/>
          </w:tcPr>
          <w:p>
            <w:pPr>
              <w:spacing w:after="20" w:before="20" w:line="240" w:lineRule="auto"/>
            </w:pPr>
            <w:r/>
            <w:r>
              <w:rPr>
                <w:rFonts w:ascii="Arial" w:hAnsi="Arial" w:cs="Arial"/>
                <w:b w:val="0"/>
                <w:i w:val="0"/>
                <w:sz w:val="17"/>
              </w:rPr>
              <w:t>Option A</w:t>
            </w:r>
          </w:p>
        </w:tc>
        <w:tc>
          <w:tcPr>
            <w:tcW w:type="dxa" w:w="1928"/>
          </w:tcPr>
          <w:p>
            <w:pPr>
              <w:spacing w:after="20" w:before="20" w:line="240" w:lineRule="auto"/>
            </w:pPr>
            <w:r/>
            <w:r>
              <w:rPr>
                <w:rFonts w:ascii="Arial" w:hAnsi="Arial" w:cs="Arial"/>
                <w:b w:val="0"/>
                <w:i w:val="0"/>
                <w:sz w:val="17"/>
              </w:rPr>
              <w:t>Alexandria</w:t>
            </w:r>
          </w:p>
        </w:tc>
        <w:tc>
          <w:tcPr>
            <w:tcW w:type="dxa" w:w="1928"/>
          </w:tcPr>
          <w:p>
            <w:pPr>
              <w:spacing w:after="20" w:before="20" w:line="240" w:lineRule="auto"/>
            </w:pPr>
            <w:r/>
            <w:r>
              <w:rPr>
                <w:rFonts w:ascii="Arial" w:hAnsi="Arial" w:cs="Arial"/>
                <w:b w:val="0"/>
                <w:i w:val="0"/>
                <w:sz w:val="17"/>
              </w:rPr>
              <w:t>$X</w:t>
            </w:r>
          </w:p>
        </w:tc>
        <w:tc>
          <w:tcPr>
            <w:tcW w:type="dxa" w:w="1928"/>
          </w:tcPr>
          <w:p>
            <w:pPr>
              <w:spacing w:after="20" w:before="20" w:line="240" w:lineRule="auto"/>
            </w:pPr>
            <w:r/>
            <w:r>
              <w:rPr>
                <w:rFonts w:ascii="Arial" w:hAnsi="Arial" w:cs="Arial"/>
                <w:b w:val="0"/>
                <w:i w:val="0"/>
                <w:sz w:val="17"/>
              </w:rPr>
              <w:t>14 days</w:t>
            </w:r>
          </w:p>
        </w:tc>
        <w:tc>
          <w:tcPr>
            <w:tcW w:type="dxa" w:w="1928"/>
          </w:tcPr>
          <w:p>
            <w:pPr>
              <w:spacing w:after="20" w:before="20" w:line="240" w:lineRule="auto"/>
            </w:pPr>
            <w:r/>
            <w:r>
              <w:rPr>
                <w:rFonts w:ascii="Arial" w:hAnsi="Arial" w:cs="Arial"/>
                <w:b w:val="0"/>
                <w:i w:val="0"/>
                <w:sz w:val="17"/>
              </w:rPr>
              <w:t>Moderate</w:t>
            </w:r>
          </w:p>
        </w:tc>
      </w:tr>
      <w:tr>
        <w:tc>
          <w:tcPr>
            <w:tcW w:type="dxa" w:w="1928"/>
          </w:tcPr>
          <w:p>
            <w:pPr>
              <w:spacing w:after="20" w:before="20" w:line="240" w:lineRule="auto"/>
            </w:pPr>
            <w:r/>
            <w:r>
              <w:rPr>
                <w:rFonts w:ascii="Arial" w:hAnsi="Arial" w:cs="Arial"/>
                <w:b w:val="0"/>
                <w:i w:val="0"/>
                <w:sz w:val="17"/>
              </w:rPr>
              <w:t>Option B</w:t>
            </w:r>
          </w:p>
        </w:tc>
        <w:tc>
          <w:tcPr>
            <w:tcW w:type="dxa" w:w="1928"/>
          </w:tcPr>
          <w:p>
            <w:pPr>
              <w:spacing w:after="20" w:before="20" w:line="240" w:lineRule="auto"/>
            </w:pPr>
            <w:r/>
            <w:r>
              <w:rPr>
                <w:rFonts w:ascii="Arial" w:hAnsi="Arial" w:cs="Arial"/>
                <w:b w:val="0"/>
                <w:i w:val="0"/>
                <w:sz w:val="17"/>
              </w:rPr>
              <w:t>Damietta</w:t>
            </w:r>
          </w:p>
        </w:tc>
        <w:tc>
          <w:tcPr>
            <w:tcW w:type="dxa" w:w="1928"/>
          </w:tcPr>
          <w:p>
            <w:pPr>
              <w:spacing w:after="20" w:before="20" w:line="240" w:lineRule="auto"/>
            </w:pPr>
            <w:r/>
            <w:r>
              <w:rPr>
                <w:rFonts w:ascii="Arial" w:hAnsi="Arial" w:cs="Arial"/>
                <w:b w:val="0"/>
                <w:i w:val="0"/>
                <w:sz w:val="17"/>
              </w:rPr>
              <w:t>$X − $150</w:t>
            </w:r>
          </w:p>
        </w:tc>
        <w:tc>
          <w:tcPr>
            <w:tcW w:type="dxa" w:w="1928"/>
          </w:tcPr>
          <w:p>
            <w:pPr>
              <w:spacing w:after="20" w:before="20" w:line="240" w:lineRule="auto"/>
            </w:pPr>
            <w:r/>
            <w:r>
              <w:rPr>
                <w:rFonts w:ascii="Arial" w:hAnsi="Arial" w:cs="Arial"/>
                <w:b w:val="0"/>
                <w:i w:val="0"/>
                <w:sz w:val="17"/>
              </w:rPr>
              <w:t>13 days</w:t>
            </w:r>
          </w:p>
        </w:tc>
        <w:tc>
          <w:tcPr>
            <w:tcW w:type="dxa" w:w="1928"/>
          </w:tcPr>
          <w:p>
            <w:pPr>
              <w:spacing w:after="20" w:before="20" w:line="240" w:lineRule="auto"/>
            </w:pPr>
            <w:r/>
            <w:r>
              <w:rPr>
                <w:rFonts w:ascii="Arial" w:hAnsi="Arial" w:cs="Arial"/>
                <w:b w:val="0"/>
                <w:i w:val="0"/>
                <w:sz w:val="17"/>
              </w:rPr>
              <w:t>Low</w:t>
            </w:r>
          </w:p>
        </w:tc>
      </w:tr>
      <w:tr>
        <w:tc>
          <w:tcPr>
            <w:tcW w:type="dxa" w:w="1928"/>
          </w:tcPr>
          <w:p>
            <w:pPr>
              <w:spacing w:after="20" w:before="20" w:line="240" w:lineRule="auto"/>
            </w:pPr>
            <w:r/>
            <w:r>
              <w:rPr>
                <w:rFonts w:ascii="Arial" w:hAnsi="Arial" w:cs="Arial"/>
                <w:b w:val="0"/>
                <w:i w:val="0"/>
                <w:sz w:val="17"/>
              </w:rPr>
              <w:t>Option C</w:t>
            </w:r>
          </w:p>
        </w:tc>
        <w:tc>
          <w:tcPr>
            <w:tcW w:type="dxa" w:w="1928"/>
          </w:tcPr>
          <w:p>
            <w:pPr>
              <w:spacing w:after="20" w:before="20" w:line="240" w:lineRule="auto"/>
            </w:pPr>
            <w:r/>
            <w:r>
              <w:rPr>
                <w:rFonts w:ascii="Arial" w:hAnsi="Arial" w:cs="Arial"/>
                <w:b w:val="0"/>
                <w:i w:val="0"/>
                <w:sz w:val="17"/>
              </w:rPr>
              <w:t>Port Said</w:t>
            </w:r>
          </w:p>
        </w:tc>
        <w:tc>
          <w:tcPr>
            <w:tcW w:type="dxa" w:w="1928"/>
          </w:tcPr>
          <w:p>
            <w:pPr>
              <w:spacing w:after="20" w:before="20" w:line="240" w:lineRule="auto"/>
            </w:pPr>
            <w:r/>
            <w:r>
              <w:rPr>
                <w:rFonts w:ascii="Arial" w:hAnsi="Arial" w:cs="Arial"/>
                <w:b w:val="0"/>
                <w:i w:val="0"/>
                <w:sz w:val="17"/>
              </w:rPr>
              <w:t>$X + $90</w:t>
            </w:r>
          </w:p>
        </w:tc>
        <w:tc>
          <w:tcPr>
            <w:tcW w:type="dxa" w:w="1928"/>
          </w:tcPr>
          <w:p>
            <w:pPr>
              <w:spacing w:after="20" w:before="20" w:line="240" w:lineRule="auto"/>
            </w:pPr>
            <w:r/>
            <w:r>
              <w:rPr>
                <w:rFonts w:ascii="Arial" w:hAnsi="Arial" w:cs="Arial"/>
                <w:b w:val="0"/>
                <w:i w:val="0"/>
                <w:sz w:val="17"/>
              </w:rPr>
              <w:t>12 days</w:t>
            </w:r>
          </w:p>
        </w:tc>
        <w:tc>
          <w:tcPr>
            <w:tcW w:type="dxa" w:w="1928"/>
          </w:tcPr>
          <w:p>
            <w:pPr>
              <w:spacing w:after="20" w:before="20" w:line="240" w:lineRule="auto"/>
            </w:pPr>
            <w:r/>
            <w:r>
              <w:rPr>
                <w:rFonts w:ascii="Arial" w:hAnsi="Arial" w:cs="Arial"/>
                <w:b w:val="0"/>
                <w:i w:val="0"/>
                <w:sz w:val="17"/>
              </w:rPr>
              <w:t>Moderate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every alternative is clearly labelled PROPOSED ALTERNATIVE — never a silent change.</w:t>
      </w:r>
    </w:p>
    <w:p>
      <w:pPr>
        <w:spacing w:after="80" w:line="293" w:lineRule="auto"/>
        <w:jc w:val="left"/>
      </w:pPr>
      <w:r>
        <w:rPr>
          <w:rFonts w:ascii="Times New Roman" w:hAnsi="Times New Roman" w:cs="Times New Roman"/>
          <w:b w:val="0"/>
          <w:i w:val="0"/>
          <w:sz w:val="22"/>
        </w:rPr>
        <w:t>Alternatives are added within the same destination country, with AI suggestions based on similar trades (for example, "Damietta — average saving $150, +2 days transit"; "Port Said — average +$50, −1 day transit"). Each alternative port records: port of delivery, expected transit time, additional logistics cost (or a run-RFQ option for that port), and notes. The buyer-facing delivery options comparison consolidates primary and alternative ports with transit time, extra cost, total logistics, and total delivery price.</w:t>
      </w:r>
    </w:p>
    <w:p>
      <w:pPr>
        <w:keepNext/>
        <w:spacing w:before="180" w:after="80"/>
        <w:outlineLvl w:val="2"/>
      </w:pPr>
      <w:r>
        <w:rPr>
          <w:rFonts w:ascii="Arial" w:hAnsi="Arial" w:cs="Arial"/>
          <w:b/>
          <w:i w:val="0"/>
          <w:color w:val="333333"/>
          <w:sz w:val="23"/>
        </w:rPr>
        <w:t>8.2.11 Step 11 — Cost Engine</w:t>
      </w:r>
    </w:p>
    <w:p>
      <w:pPr>
        <w:spacing w:after="80" w:line="293" w:lineRule="auto"/>
        <w:jc w:val="left"/>
      </w:pPr>
      <w:r>
        <w:rPr>
          <w:rFonts w:ascii="Times New Roman" w:hAnsi="Times New Roman" w:cs="Times New Roman"/>
          <w:b w:val="0"/>
          <w:i w:val="0"/>
          <w:sz w:val="22"/>
        </w:rPr>
        <w:t>Transparent seller cost waterfall:</w:t>
      </w:r>
    </w:p>
    <w:p>
      <w:pPr>
        <w:spacing w:after="0" w:before="0" w:line="240" w:lineRule="auto"/>
        <w:ind w:left="57"/>
        <w:jc w:val="left"/>
        <w:shd w:val="clear" w:fill="F2F2F2"/>
      </w:pPr>
      <w:r>
        <w:rPr>
          <w:rFonts w:ascii="Consolas" w:hAnsi="Consolas" w:cs="Consolas"/>
          <w:b w:val="0"/>
          <w:i w:val="0"/>
          <w:sz w:val="15"/>
        </w:rPr>
        <w:t>Goods Cost / EXW</w:t>
      </w:r>
    </w:p>
    <w:p>
      <w:pPr>
        <w:spacing w:after="0" w:before="0" w:line="240" w:lineRule="auto"/>
        <w:ind w:left="57"/>
        <w:jc w:val="left"/>
        <w:shd w:val="clear" w:fill="F2F2F2"/>
      </w:pPr>
      <w:r>
        <w:rPr>
          <w:rFonts w:ascii="Consolas" w:hAnsi="Consolas" w:cs="Consolas"/>
          <w:b w:val="0"/>
          <w:i w:val="0"/>
          <w:sz w:val="15"/>
        </w:rPr>
        <w:t xml:space="preserve">  + Packing Cost (materials and labour)</w:t>
      </w:r>
    </w:p>
    <w:p>
      <w:pPr>
        <w:spacing w:after="0" w:before="0" w:line="240" w:lineRule="auto"/>
        <w:ind w:left="57"/>
        <w:jc w:val="left"/>
        <w:shd w:val="clear" w:fill="F2F2F2"/>
      </w:pPr>
      <w:r>
        <w:rPr>
          <w:rFonts w:ascii="Consolas" w:hAnsi="Consolas" w:cs="Consolas"/>
          <w:b w:val="0"/>
          <w:i w:val="0"/>
          <w:sz w:val="15"/>
        </w:rPr>
        <w:t xml:space="preserve">  + Origin Handling (loading, preparation)</w:t>
      </w:r>
    </w:p>
    <w:p>
      <w:pPr>
        <w:spacing w:after="0" w:before="0" w:line="240" w:lineRule="auto"/>
        <w:ind w:left="57"/>
        <w:jc w:val="left"/>
        <w:shd w:val="clear" w:fill="F2F2F2"/>
      </w:pPr>
      <w:r>
        <w:rPr>
          <w:rFonts w:ascii="Consolas" w:hAnsi="Consolas" w:cs="Consolas"/>
          <w:b w:val="0"/>
          <w:i w:val="0"/>
          <w:sz w:val="15"/>
        </w:rPr>
        <w:t xml:space="preserve">  + Inland Transport (to port/terminal)</w:t>
      </w:r>
    </w:p>
    <w:p>
      <w:pPr>
        <w:spacing w:after="0" w:before="0" w:line="240" w:lineRule="auto"/>
        <w:ind w:left="57"/>
        <w:jc w:val="left"/>
        <w:shd w:val="clear" w:fill="F2F2F2"/>
      </w:pPr>
      <w:r>
        <w:rPr>
          <w:rFonts w:ascii="Consolas" w:hAnsi="Consolas" w:cs="Consolas"/>
          <w:b w:val="0"/>
          <w:i w:val="0"/>
          <w:sz w:val="15"/>
        </w:rPr>
        <w:t xml:space="preserve">  + Export Clearance (documentation, fees)</w:t>
      </w:r>
    </w:p>
    <w:p>
      <w:pPr>
        <w:spacing w:after="0" w:before="0" w:line="240" w:lineRule="auto"/>
        <w:ind w:left="57"/>
        <w:jc w:val="left"/>
        <w:shd w:val="clear" w:fill="F2F2F2"/>
      </w:pPr>
      <w:r>
        <w:rPr>
          <w:rFonts w:ascii="Consolas" w:hAnsi="Consolas" w:cs="Consolas"/>
          <w:b w:val="0"/>
          <w:i w:val="0"/>
          <w:sz w:val="15"/>
        </w:rPr>
        <w:t xml:space="preserve">  + Freight (main carriage)</w:t>
      </w:r>
    </w:p>
    <w:p>
      <w:pPr>
        <w:spacing w:after="0" w:before="0" w:line="240" w:lineRule="auto"/>
        <w:ind w:left="57"/>
        <w:jc w:val="left"/>
        <w:shd w:val="clear" w:fill="F2F2F2"/>
      </w:pPr>
      <w:r>
        <w:rPr>
          <w:rFonts w:ascii="Consolas" w:hAnsi="Consolas" w:cs="Consolas"/>
          <w:b w:val="0"/>
          <w:i w:val="0"/>
          <w:sz w:val="15"/>
        </w:rPr>
        <w:t xml:space="preserve">  + Insurance (where seller-responsible)</w:t>
      </w:r>
    </w:p>
    <w:p>
      <w:pPr>
        <w:spacing w:after="0" w:before="0" w:line="240" w:lineRule="auto"/>
        <w:ind w:left="57"/>
        <w:jc w:val="left"/>
        <w:shd w:val="clear" w:fill="F2F2F2"/>
      </w:pPr>
      <w:r>
        <w:rPr>
          <w:rFonts w:ascii="Consolas" w:hAnsi="Consolas" w:cs="Consolas"/>
          <w:b w:val="0"/>
          <w:i w:val="0"/>
          <w:sz w:val="15"/>
        </w:rPr>
        <w:t xml:space="preserve">  + Other Seller-Responsible Logistics</w:t>
      </w:r>
    </w:p>
    <w:p>
      <w:pPr>
        <w:spacing w:after="0" w:before="0" w:line="240" w:lineRule="auto"/>
        <w:ind w:left="57"/>
        <w:jc w:val="left"/>
        <w:shd w:val="clear" w:fill="F2F2F2"/>
      </w:pPr>
      <w:r>
        <w:rPr>
          <w:rFonts w:ascii="Consolas" w:hAnsi="Consolas" w:cs="Consolas"/>
          <w:b w:val="0"/>
          <w:i w:val="0"/>
          <w:sz w:val="15"/>
        </w:rPr>
        <w:t xml:space="preserve">  = Seller Cost Basis</w:t>
      </w:r>
    </w:p>
    <w:p>
      <w:pPr>
        <w:spacing w:after="0" w:before="0" w:line="240" w:lineRule="auto"/>
        <w:ind w:left="57"/>
        <w:jc w:val="left"/>
        <w:shd w:val="clear" w:fill="F2F2F2"/>
      </w:pPr>
      <w:r>
        <w:rPr>
          <w:rFonts w:ascii="Consolas" w:hAnsi="Consolas" w:cs="Consolas"/>
          <w:b w:val="0"/>
          <w:i w:val="0"/>
          <w:sz w:val="15"/>
        </w:rPr>
        <w:t xml:space="preserve">  + Seller Margin (desired profit)</w:t>
      </w:r>
    </w:p>
    <w:p>
      <w:pPr>
        <w:spacing w:after="0" w:before="0" w:line="240" w:lineRule="auto"/>
        <w:ind w:left="57"/>
        <w:jc w:val="left"/>
        <w:shd w:val="clear" w:fill="F2F2F2"/>
      </w:pPr>
      <w:r>
        <w:rPr>
          <w:rFonts w:ascii="Consolas" w:hAnsi="Consolas" w:cs="Consolas"/>
          <w:b w:val="0"/>
          <w:i w:val="0"/>
          <w:sz w:val="15"/>
        </w:rPr>
        <w:t xml:space="preserve">  = Quoted Commercial Value</w:t>
      </w:r>
    </w:p>
    <w:p>
      <w:pPr>
        <w:spacing w:after="0" w:before="0" w:line="240" w:lineRule="auto"/>
        <w:ind w:left="57"/>
        <w:jc w:val="left"/>
        <w:shd w:val="clear" w:fill="F2F2F2"/>
      </w:pPr>
      <w:r>
        <w:rPr>
          <w:rFonts w:ascii="Consolas" w:hAnsi="Consolas" w:cs="Consolas"/>
          <w:b w:val="0"/>
          <w:i w:val="0"/>
          <w:sz w:val="15"/>
        </w:rPr>
        <w:t xml:space="preserve">  + Applicable SGTX Charges (platform fees)</w:t>
      </w:r>
    </w:p>
    <w:p>
      <w:pPr>
        <w:spacing w:after="0" w:before="0" w:line="240" w:lineRule="auto"/>
        <w:ind w:left="57"/>
        <w:jc w:val="left"/>
        <w:shd w:val="clear" w:fill="F2F2F2"/>
      </w:pPr>
      <w:r>
        <w:rPr>
          <w:rFonts w:ascii="Consolas" w:hAnsi="Consolas" w:cs="Consolas"/>
          <w:b w:val="0"/>
          <w:i w:val="0"/>
          <w:sz w:val="15"/>
        </w:rPr>
        <w:t xml:space="preserve">  = Buyer-Facing Total (as applicable under commercial structure)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do not obscure how the total is constructed.</w:t>
      </w:r>
    </w:p>
    <w:p>
      <w:pPr>
        <w:spacing w:after="80" w:line="293" w:lineRule="auto"/>
        <w:jc w:val="left"/>
      </w:pPr>
      <w:r>
        <w:rPr>
          <w:rFonts w:ascii="Times New Roman" w:hAnsi="Times New Roman" w:cs="Times New Roman"/>
          <w:b w:val="0"/>
          <w:i w:val="0"/>
          <w:sz w:val="22"/>
        </w:rPr>
        <w:t>The SGTX platform fee is calculated by the Dynamic Fee Engine (Section 9.27) on the Canonical Fee Basis: CFB = EXW total + contractually included seller-responsible logistics (as determined by the Incoterm Engine); SGTX fee = CFB × engine effective rate; final quoted price to buyer = total trade value + SGTX fee. Worked example: EXW total $150,000.00; logistics costs — trucking $127.50, ocean freight $4,200.00, customs brokerage $150.00, THC $300.00, insurance $450.00 — total logistics $5,227.50; CFB $155,227.50; engine effective rate 0.144% (low complexity, high efficiency, standard class); SGTX platform fee 0.144% × $155,227.50 = $223.53; final quoted price to buyer $155,451.03. Breakdown by alternative ports: Alexandria (primary) $155,451.03; Damietta (alternative) $155,301.03; Port Said (alternative) $155,601.03. Multi-shipment breakdown: Shipment 1 $77,725.52; Shipment 2 $77,725.51. The fee shown at quote time is a versioned FEE_ESTIMATE; the binding amount is the Fee Decision at lock (Section 9.29.1).</w:t>
      </w:r>
    </w:p>
    <w:p>
      <w:pPr>
        <w:keepNext/>
        <w:spacing w:before="180" w:after="80"/>
        <w:outlineLvl w:val="2"/>
      </w:pPr>
      <w:r>
        <w:rPr>
          <w:rFonts w:ascii="Arial" w:hAnsi="Arial" w:cs="Arial"/>
          <w:b/>
          <w:i w:val="0"/>
          <w:color w:val="333333"/>
          <w:sz w:val="23"/>
        </w:rPr>
        <w:t>8.2.12 Step 12 — EXW Price Lock</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Concept</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AI Fair-Price Suggestion</w:t>
            </w:r>
          </w:p>
        </w:tc>
        <w:tc>
          <w:tcPr>
            <w:tcW w:type="dxa" w:w="4819"/>
          </w:tcPr>
          <w:p>
            <w:pPr>
              <w:spacing w:after="20" w:before="20" w:line="240" w:lineRule="auto"/>
            </w:pPr>
            <w:r/>
            <w:r>
              <w:rPr>
                <w:rFonts w:ascii="Arial" w:hAnsi="Arial" w:cs="Arial"/>
                <w:b w:val="0"/>
                <w:i w:val="0"/>
                <w:sz w:val="17"/>
              </w:rPr>
              <w:t>Advisory market range</w:t>
            </w:r>
          </w:p>
        </w:tc>
      </w:tr>
      <w:tr>
        <w:tc>
          <w:tcPr>
            <w:tcW w:type="dxa" w:w="4819"/>
          </w:tcPr>
          <w:p>
            <w:pPr>
              <w:spacing w:after="20" w:before="20" w:line="240" w:lineRule="auto"/>
            </w:pPr>
            <w:r/>
            <w:r>
              <w:rPr>
                <w:rFonts w:ascii="Arial" w:hAnsi="Arial" w:cs="Arial"/>
                <w:b w:val="0"/>
                <w:i w:val="0"/>
                <w:sz w:val="17"/>
              </w:rPr>
              <w:t>Seller's Actual Offered Price</w:t>
            </w:r>
          </w:p>
        </w:tc>
        <w:tc>
          <w:tcPr>
            <w:tcW w:type="dxa" w:w="4819"/>
          </w:tcPr>
          <w:p>
            <w:pPr>
              <w:spacing w:after="20" w:before="20" w:line="240" w:lineRule="auto"/>
            </w:pPr>
            <w:r/>
            <w:r>
              <w:rPr>
                <w:rFonts w:ascii="Arial" w:hAnsi="Arial" w:cs="Arial"/>
                <w:b w:val="0"/>
                <w:i w:val="0"/>
                <w:sz w:val="17"/>
              </w:rPr>
              <w:t>Seller's commercial judgment</w:t>
            </w:r>
          </w:p>
        </w:tc>
      </w:tr>
      <w:tr>
        <w:tc>
          <w:tcPr>
            <w:tcW w:type="dxa" w:w="4819"/>
          </w:tcPr>
          <w:p>
            <w:pPr>
              <w:spacing w:after="20" w:before="20" w:line="240" w:lineRule="auto"/>
            </w:pPr>
            <w:r/>
            <w:r>
              <w:rPr>
                <w:rFonts w:ascii="Arial" w:hAnsi="Arial" w:cs="Arial"/>
                <w:b w:val="0"/>
                <w:i w:val="0"/>
                <w:sz w:val="17"/>
              </w:rPr>
              <w:t>Final Contractual Price</w:t>
            </w:r>
          </w:p>
        </w:tc>
        <w:tc>
          <w:tcPr>
            <w:tcW w:type="dxa" w:w="4819"/>
          </w:tcPr>
          <w:p>
            <w:pPr>
              <w:spacing w:after="20" w:before="20" w:line="240" w:lineRule="auto"/>
            </w:pPr>
            <w:r/>
            <w:r>
              <w:rPr>
                <w:rFonts w:ascii="Arial" w:hAnsi="Arial" w:cs="Arial"/>
                <w:b w:val="0"/>
                <w:i w:val="0"/>
                <w:sz w:val="17"/>
              </w:rPr>
              <w:t>Agreed after negotiation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Rules: AI never determines price automatically; the seller chooses and confirms the price; if the price deviates materially from the advisory range, the system may ask for a reason; the reason is not a mechanism to reject the seller's commercial judgment (unless a constitutional or legal rule requires blocking).</w:t>
      </w:r>
    </w:p>
    <w:p>
      <w:pPr>
        <w:spacing w:after="80" w:line="293" w:lineRule="auto"/>
        <w:jc w:val="left"/>
      </w:pPr>
      <w:r>
        <w:rPr>
          <w:rFonts w:ascii="Times New Roman" w:hAnsi="Times New Roman" w:cs="Times New Roman"/>
          <w:b w:val="0"/>
          <w:i w:val="0"/>
          <w:sz w:val="22"/>
        </w:rPr>
        <w:t>EXW price lock components: live market chart (FAO, USDA, World Bank public feeds); AI fair price badge (A1, Groq) with one-click "Use Fair Price"; dynamic unit conversion (per ton / per kilo / per unit); global weight unit toggle (metric tons / pounds); total EXW value calculation (real-time); price deviation justification (if &gt;30% above AI band); post-lock price watch (A2, background monitoring); five high-end add-ons: volume-tiered pricing, dynamic currency conversion, historical price comparison, lock &amp; hold, admin-controlled floor/ceiling.</w:t>
      </w:r>
    </w:p>
    <w:p>
      <w:pPr>
        <w:spacing w:after="80" w:line="293" w:lineRule="auto"/>
        <w:jc w:val="left"/>
      </w:pPr>
      <w:r>
        <w:rPr>
          <w:rFonts w:ascii="Times New Roman" w:hAnsi="Times New Roman" w:cs="Times New Roman"/>
          <w:b w:val="0"/>
          <w:i w:val="0"/>
          <w:sz w:val="22"/>
        </w:rPr>
        <w:t>AI assistance: A1 (Groq) — live market chart, fair price badge, unit conversion suggestions; A2 (HF local) — price deviation justification, market trend analysis; A4 (OPA + WasmEdge) — EXW validation, post-lock price watch.</w:t>
      </w:r>
    </w:p>
    <w:p>
      <w:pPr>
        <w:spacing w:after="80" w:line="293" w:lineRule="auto"/>
        <w:jc w:val="left"/>
      </w:pPr>
      <w:r>
        <w:rPr>
          <w:rFonts w:ascii="Times New Roman" w:hAnsi="Times New Roman" w:cs="Times New Roman"/>
          <w:b w:val="0"/>
          <w:i w:val="0"/>
          <w:sz w:val="22"/>
        </w:rPr>
        <w:t>Example interaction: AI fair price $1.52/kg; current market $1.50/kg (+0.02 vs 7 days ago); AI band $1.45–$1.65/kg; seller-entered EXW price $1.50/kg USD per kg, equivalent $1,500.00 per ton and $15.00 per 10 kg box; total EXW value 100 MT × $1.50/kg = $150,000. Price deviation justification is required when the entered price is more than 30% above the AI band (minimum 20 characters; for example, "Organic certification, premium quality, high demand in EU."). Post-lock price watch: the system monitors market price changes and issues a Smart Inbox alert if the market moves &gt;10%.</w:t>
      </w:r>
    </w:p>
    <w:p>
      <w:pPr>
        <w:spacing w:after="80" w:line="293" w:lineRule="auto"/>
        <w:jc w:val="left"/>
      </w:pPr>
      <w:r>
        <w:rPr>
          <w:rFonts w:ascii="Times New Roman" w:hAnsi="Times New Roman" w:cs="Times New Roman"/>
          <w:b w:val="0"/>
          <w:i w:val="0"/>
          <w:sz w:val="22"/>
        </w:rPr>
        <w:t>Volume-tiered pricing add-on: tier 1, 0–50 MT → $1.55/kg; tier 2, 50–100 MT → $1.50/kg; tier 3, 100+ MT → $1.45/kg; blended EXW value for 100 MT = (50 × $1.55) + (50 × $1.50) = $152,500.</w:t>
      </w:r>
    </w:p>
    <w:p>
      <w:pPr>
        <w:keepNext/>
        <w:spacing w:before="180" w:after="80"/>
        <w:outlineLvl w:val="2"/>
      </w:pPr>
      <w:r>
        <w:rPr>
          <w:rFonts w:ascii="Arial" w:hAnsi="Arial" w:cs="Arial"/>
          <w:b/>
          <w:i w:val="0"/>
          <w:color w:val="333333"/>
          <w:sz w:val="23"/>
        </w:rPr>
        <w:t>8.2.13 Step 13 — Margin Intelligence</w:t>
      </w:r>
    </w:p>
    <w:p>
      <w:pPr>
        <w:spacing w:after="80" w:line="293" w:lineRule="auto"/>
        <w:jc w:val="left"/>
      </w:pPr>
      <w:r>
        <w:rPr>
          <w:rFonts w:ascii="Times New Roman" w:hAnsi="Times New Roman" w:cs="Times New Roman"/>
          <w:b w:val="0"/>
          <w:i w:val="0"/>
          <w:sz w:val="22"/>
        </w:rPr>
        <w:t>Decision-support analytics: expected margin (amount and percentage); cost breakdown; logistics impact; sensitivity to freight changes, FX changes, quantity changes, delay, and alternative ports. Example AI output: "Your margin falls from 11.4% to 7.2% if freight increases 10%." Rule: AI recommendation is advisory decision support, not a binding instruction.</w:t>
      </w:r>
    </w:p>
    <w:p>
      <w:pPr>
        <w:keepNext/>
        <w:spacing w:before="180" w:after="80"/>
        <w:outlineLvl w:val="2"/>
      </w:pPr>
      <w:r>
        <w:rPr>
          <w:rFonts w:ascii="Arial" w:hAnsi="Arial" w:cs="Arial"/>
          <w:b/>
          <w:i w:val="0"/>
          <w:color w:val="333333"/>
          <w:sz w:val="23"/>
        </w:rPr>
        <w:t>8.2.14 Step 14 — Scenario Builder (Internal)</w:t>
      </w:r>
    </w:p>
    <w:p>
      <w:pPr>
        <w:spacing w:after="80" w:line="293" w:lineRule="auto"/>
        <w:jc w:val="left"/>
      </w:pPr>
      <w:r>
        <w:rPr>
          <w:rFonts w:ascii="Times New Roman" w:hAnsi="Times New Roman" w:cs="Times New Roman"/>
          <w:b w:val="0"/>
          <w:i w:val="0"/>
          <w:sz w:val="22"/>
        </w:rPr>
        <w:t>Internal quote scenarios — Lowest Cost, Fastest Delivery, Highest Margin, Balanced — remain confidential and are never visible to the buyer; only the selected scenario becomes buyer-facing.</w:t>
      </w:r>
    </w:p>
    <w:p>
      <w:pPr>
        <w:keepNext/>
        <w:spacing w:before="180" w:after="80"/>
        <w:outlineLvl w:val="2"/>
      </w:pPr>
      <w:r>
        <w:rPr>
          <w:rFonts w:ascii="Arial" w:hAnsi="Arial" w:cs="Arial"/>
          <w:b/>
          <w:i w:val="0"/>
          <w:color w:val="333333"/>
          <w:sz w:val="23"/>
        </w:rPr>
        <w:t>8.2.15 Step 15 — Seller Confidentiality</w:t>
      </w:r>
    </w:p>
    <w:p>
      <w:pPr>
        <w:spacing w:after="80" w:line="293" w:lineRule="auto"/>
        <w:jc w:val="left"/>
      </w:pPr>
      <w:r>
        <w:rPr>
          <w:rFonts w:ascii="Times New Roman" w:hAnsi="Times New Roman" w:cs="Times New Roman"/>
          <w:b w:val="0"/>
          <w:i w:val="0"/>
          <w:sz w:val="22"/>
        </w:rPr>
        <w:t>Protected data never visible to the buyer: seller internal cost; internal margin; supplier cost; private logistics bids; internal pricing rationale; internal operational notes; internal risk scoring. Rule: the seller decides what becomes externally visible; role-based visibility is enforced at the API layer (gate G2U21).</w:t>
      </w:r>
    </w:p>
    <w:p>
      <w:pPr>
        <w:keepNext/>
        <w:spacing w:before="180" w:after="80"/>
        <w:outlineLvl w:val="2"/>
      </w:pPr>
      <w:r>
        <w:rPr>
          <w:rFonts w:ascii="Arial" w:hAnsi="Arial" w:cs="Arial"/>
          <w:b/>
          <w:i w:val="0"/>
          <w:color w:val="333333"/>
          <w:sz w:val="23"/>
        </w:rPr>
        <w:t>8.2.16 Step 16 — Documentation Readiness</w:t>
      </w:r>
    </w:p>
    <w:p>
      <w:pPr>
        <w:spacing w:after="80" w:line="293" w:lineRule="auto"/>
        <w:jc w:val="left"/>
      </w:pPr>
      <w:r>
        <w:rPr>
          <w:rFonts w:ascii="Times New Roman" w:hAnsi="Times New Roman" w:cs="Times New Roman"/>
          <w:b w:val="0"/>
          <w:i w:val="0"/>
          <w:sz w:val="22"/>
        </w:rPr>
        <w:t>Per document, the seller records: name, responsible party, timing, status, and dependency. Statuses: Already Available; Can Obtain; Conditional; Unknown; Cannot Provide. Rule: do not promise a document merely because AI believes it is likely obtainable.</w:t>
      </w:r>
    </w:p>
    <w:p>
      <w:pPr>
        <w:keepNext/>
        <w:spacing w:before="180" w:after="80"/>
        <w:outlineLvl w:val="2"/>
      </w:pPr>
      <w:r>
        <w:rPr>
          <w:rFonts w:ascii="Arial" w:hAnsi="Arial" w:cs="Arial"/>
          <w:b/>
          <w:i w:val="0"/>
          <w:color w:val="333333"/>
          <w:sz w:val="23"/>
        </w:rPr>
        <w:t>8.2.17 Step 17 — Regulatory / Export Readiness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Area</w:t>
            </w:r>
          </w:p>
        </w:tc>
        <w:tc>
          <w:tcPr>
            <w:tcW w:type="dxa" w:w="4819"/>
            <w:shd w:val="clear" w:fill="D9E2F3"/>
          </w:tcPr>
          <w:p>
            <w:pPr>
              <w:spacing w:after="20" w:before="20" w:line="240" w:lineRule="auto"/>
            </w:pPr>
            <w:r/>
            <w:r>
              <w:rPr>
                <w:rFonts w:ascii="Arial" w:hAnsi="Arial" w:cs="Arial"/>
                <w:b/>
                <w:i w:val="0"/>
                <w:sz w:val="18"/>
              </w:rPr>
              <w:t>Check</w:t>
            </w:r>
          </w:p>
        </w:tc>
      </w:tr>
      <w:tr>
        <w:tc>
          <w:tcPr>
            <w:tcW w:type="dxa" w:w="4819"/>
          </w:tcPr>
          <w:p>
            <w:pPr>
              <w:spacing w:after="20" w:before="20" w:line="240" w:lineRule="auto"/>
            </w:pPr>
            <w:r/>
            <w:r>
              <w:rPr>
                <w:rFonts w:ascii="Arial" w:hAnsi="Arial" w:cs="Arial"/>
                <w:b w:val="0"/>
                <w:i w:val="0"/>
                <w:sz w:val="17"/>
              </w:rPr>
              <w:t>Export Licensing</w:t>
            </w:r>
          </w:p>
        </w:tc>
        <w:tc>
          <w:tcPr>
            <w:tcW w:type="dxa" w:w="4819"/>
          </w:tcPr>
          <w:p>
            <w:pPr>
              <w:spacing w:after="20" w:before="20" w:line="240" w:lineRule="auto"/>
            </w:pPr>
            <w:r/>
            <w:r>
              <w:rPr>
                <w:rFonts w:ascii="Arial" w:hAnsi="Arial" w:cs="Arial"/>
                <w:b w:val="0"/>
                <w:i w:val="0"/>
                <w:sz w:val="17"/>
              </w:rPr>
              <w:t>Valid licence for commodity/destination</w:t>
            </w:r>
          </w:p>
        </w:tc>
      </w:tr>
      <w:tr>
        <w:tc>
          <w:tcPr>
            <w:tcW w:type="dxa" w:w="4819"/>
          </w:tcPr>
          <w:p>
            <w:pPr>
              <w:spacing w:after="20" w:before="20" w:line="240" w:lineRule="auto"/>
            </w:pPr>
            <w:r/>
            <w:r>
              <w:rPr>
                <w:rFonts w:ascii="Arial" w:hAnsi="Arial" w:cs="Arial"/>
                <w:b w:val="0"/>
                <w:i w:val="0"/>
                <w:sz w:val="17"/>
              </w:rPr>
              <w:t>Origin Requirements</w:t>
            </w:r>
          </w:p>
        </w:tc>
        <w:tc>
          <w:tcPr>
            <w:tcW w:type="dxa" w:w="4819"/>
          </w:tcPr>
          <w:p>
            <w:pPr>
              <w:spacing w:after="20" w:before="20" w:line="240" w:lineRule="auto"/>
            </w:pPr>
            <w:r/>
            <w:r>
              <w:rPr>
                <w:rFonts w:ascii="Arial" w:hAnsi="Arial" w:cs="Arial"/>
                <w:b w:val="0"/>
                <w:i w:val="0"/>
                <w:sz w:val="17"/>
              </w:rPr>
              <w:t>COO availability</w:t>
            </w:r>
          </w:p>
        </w:tc>
      </w:tr>
      <w:tr>
        <w:tc>
          <w:tcPr>
            <w:tcW w:type="dxa" w:w="4819"/>
          </w:tcPr>
          <w:p>
            <w:pPr>
              <w:spacing w:after="20" w:before="20" w:line="240" w:lineRule="auto"/>
            </w:pPr>
            <w:r/>
            <w:r>
              <w:rPr>
                <w:rFonts w:ascii="Arial" w:hAnsi="Arial" w:cs="Arial"/>
                <w:b w:val="0"/>
                <w:i w:val="0"/>
                <w:sz w:val="17"/>
              </w:rPr>
              <w:t>Commodity Restrictions</w:t>
            </w:r>
          </w:p>
        </w:tc>
        <w:tc>
          <w:tcPr>
            <w:tcW w:type="dxa" w:w="4819"/>
          </w:tcPr>
          <w:p>
            <w:pPr>
              <w:spacing w:after="20" w:before="20" w:line="240" w:lineRule="auto"/>
            </w:pPr>
            <w:r/>
            <w:r>
              <w:rPr>
                <w:rFonts w:ascii="Arial" w:hAnsi="Arial" w:cs="Arial"/>
                <w:b w:val="0"/>
                <w:i w:val="0"/>
                <w:sz w:val="17"/>
              </w:rPr>
              <w:t>Not prohibited</w:t>
            </w:r>
          </w:p>
        </w:tc>
      </w:tr>
      <w:tr>
        <w:tc>
          <w:tcPr>
            <w:tcW w:type="dxa" w:w="4819"/>
          </w:tcPr>
          <w:p>
            <w:pPr>
              <w:spacing w:after="20" w:before="20" w:line="240" w:lineRule="auto"/>
            </w:pPr>
            <w:r/>
            <w:r>
              <w:rPr>
                <w:rFonts w:ascii="Arial" w:hAnsi="Arial" w:cs="Arial"/>
                <w:b w:val="0"/>
                <w:i w:val="0"/>
                <w:sz w:val="17"/>
              </w:rPr>
              <w:t>Inspection</w:t>
            </w:r>
          </w:p>
        </w:tc>
        <w:tc>
          <w:tcPr>
            <w:tcW w:type="dxa" w:w="4819"/>
          </w:tcPr>
          <w:p>
            <w:pPr>
              <w:spacing w:after="20" w:before="20" w:line="240" w:lineRule="auto"/>
            </w:pPr>
            <w:r/>
            <w:r>
              <w:rPr>
                <w:rFonts w:ascii="Arial" w:hAnsi="Arial" w:cs="Arial"/>
                <w:b w:val="0"/>
                <w:i w:val="0"/>
                <w:sz w:val="17"/>
              </w:rPr>
              <w:t>Required inspections scheduled</w:t>
            </w:r>
          </w:p>
        </w:tc>
      </w:tr>
      <w:tr>
        <w:tc>
          <w:tcPr>
            <w:tcW w:type="dxa" w:w="4819"/>
          </w:tcPr>
          <w:p>
            <w:pPr>
              <w:spacing w:after="20" w:before="20" w:line="240" w:lineRule="auto"/>
            </w:pPr>
            <w:r/>
            <w:r>
              <w:rPr>
                <w:rFonts w:ascii="Arial" w:hAnsi="Arial" w:cs="Arial"/>
                <w:b w:val="0"/>
                <w:i w:val="0"/>
                <w:sz w:val="17"/>
              </w:rPr>
              <w:t>Phytosanitary</w:t>
            </w:r>
          </w:p>
        </w:tc>
        <w:tc>
          <w:tcPr>
            <w:tcW w:type="dxa" w:w="4819"/>
          </w:tcPr>
          <w:p>
            <w:pPr>
              <w:spacing w:after="20" w:before="20" w:line="240" w:lineRule="auto"/>
            </w:pPr>
            <w:r/>
            <w:r>
              <w:rPr>
                <w:rFonts w:ascii="Arial" w:hAnsi="Arial" w:cs="Arial"/>
                <w:b w:val="0"/>
                <w:i w:val="0"/>
                <w:sz w:val="17"/>
              </w:rPr>
              <w:t>Certificate obtainable</w:t>
            </w:r>
          </w:p>
        </w:tc>
      </w:tr>
      <w:tr>
        <w:tc>
          <w:tcPr>
            <w:tcW w:type="dxa" w:w="4819"/>
          </w:tcPr>
          <w:p>
            <w:pPr>
              <w:spacing w:after="20" w:before="20" w:line="240" w:lineRule="auto"/>
            </w:pPr>
            <w:r/>
            <w:r>
              <w:rPr>
                <w:rFonts w:ascii="Arial" w:hAnsi="Arial" w:cs="Arial"/>
                <w:b w:val="0"/>
                <w:i w:val="0"/>
                <w:sz w:val="17"/>
              </w:rPr>
              <w:t>Health Certificates</w:t>
            </w:r>
          </w:p>
        </w:tc>
        <w:tc>
          <w:tcPr>
            <w:tcW w:type="dxa" w:w="4819"/>
          </w:tcPr>
          <w:p>
            <w:pPr>
              <w:spacing w:after="20" w:before="20" w:line="240" w:lineRule="auto"/>
            </w:pPr>
            <w:r/>
            <w:r>
              <w:rPr>
                <w:rFonts w:ascii="Arial" w:hAnsi="Arial" w:cs="Arial"/>
                <w:b w:val="0"/>
                <w:i w:val="0"/>
                <w:sz w:val="17"/>
              </w:rPr>
              <w:t>Certificate obtainable</w:t>
            </w:r>
          </w:p>
        </w:tc>
      </w:tr>
      <w:tr>
        <w:tc>
          <w:tcPr>
            <w:tcW w:type="dxa" w:w="4819"/>
          </w:tcPr>
          <w:p>
            <w:pPr>
              <w:spacing w:after="20" w:before="20" w:line="240" w:lineRule="auto"/>
            </w:pPr>
            <w:r/>
            <w:r>
              <w:rPr>
                <w:rFonts w:ascii="Arial" w:hAnsi="Arial" w:cs="Arial"/>
                <w:b w:val="0"/>
                <w:i w:val="0"/>
                <w:sz w:val="17"/>
              </w:rPr>
              <w:t>Treatment Certificates</w:t>
            </w:r>
          </w:p>
        </w:tc>
        <w:tc>
          <w:tcPr>
            <w:tcW w:type="dxa" w:w="4819"/>
          </w:tcPr>
          <w:p>
            <w:pPr>
              <w:spacing w:after="20" w:before="20" w:line="240" w:lineRule="auto"/>
            </w:pPr>
            <w:r/>
            <w:r>
              <w:rPr>
                <w:rFonts w:ascii="Arial" w:hAnsi="Arial" w:cs="Arial"/>
                <w:b w:val="0"/>
                <w:i w:val="0"/>
                <w:sz w:val="17"/>
              </w:rPr>
              <w:t>Certificate obtainable</w:t>
            </w:r>
          </w:p>
        </w:tc>
      </w:tr>
      <w:tr>
        <w:tc>
          <w:tcPr>
            <w:tcW w:type="dxa" w:w="4819"/>
          </w:tcPr>
          <w:p>
            <w:pPr>
              <w:spacing w:after="20" w:before="20" w:line="240" w:lineRule="auto"/>
            </w:pPr>
            <w:r/>
            <w:r>
              <w:rPr>
                <w:rFonts w:ascii="Arial" w:hAnsi="Arial" w:cs="Arial"/>
                <w:b w:val="0"/>
                <w:i w:val="0"/>
                <w:sz w:val="17"/>
              </w:rPr>
              <w:t>Labeling</w:t>
            </w:r>
          </w:p>
        </w:tc>
        <w:tc>
          <w:tcPr>
            <w:tcW w:type="dxa" w:w="4819"/>
          </w:tcPr>
          <w:p>
            <w:pPr>
              <w:spacing w:after="20" w:before="20" w:line="240" w:lineRule="auto"/>
            </w:pPr>
            <w:r/>
            <w:r>
              <w:rPr>
                <w:rFonts w:ascii="Arial" w:hAnsi="Arial" w:cs="Arial"/>
                <w:b w:val="0"/>
                <w:i w:val="0"/>
                <w:sz w:val="17"/>
              </w:rPr>
              <w:t>Compliant with destination rules</w:t>
            </w:r>
          </w:p>
        </w:tc>
      </w:tr>
      <w:tr>
        <w:tc>
          <w:tcPr>
            <w:tcW w:type="dxa" w:w="4819"/>
          </w:tcPr>
          <w:p>
            <w:pPr>
              <w:spacing w:after="20" w:before="20" w:line="240" w:lineRule="auto"/>
            </w:pPr>
            <w:r/>
            <w:r>
              <w:rPr>
                <w:rFonts w:ascii="Arial" w:hAnsi="Arial" w:cs="Arial"/>
                <w:b w:val="0"/>
                <w:i w:val="0"/>
                <w:sz w:val="17"/>
              </w:rPr>
              <w:t>Packing Requirements</w:t>
            </w:r>
          </w:p>
        </w:tc>
        <w:tc>
          <w:tcPr>
            <w:tcW w:type="dxa" w:w="4819"/>
          </w:tcPr>
          <w:p>
            <w:pPr>
              <w:spacing w:after="20" w:before="20" w:line="240" w:lineRule="auto"/>
            </w:pPr>
            <w:r/>
            <w:r>
              <w:rPr>
                <w:rFonts w:ascii="Arial" w:hAnsi="Arial" w:cs="Arial"/>
                <w:b w:val="0"/>
                <w:i w:val="0"/>
                <w:sz w:val="17"/>
              </w:rPr>
              <w:t>Compliant with destination rules</w:t>
            </w:r>
          </w:p>
        </w:tc>
      </w:tr>
      <w:tr>
        <w:tc>
          <w:tcPr>
            <w:tcW w:type="dxa" w:w="4819"/>
          </w:tcPr>
          <w:p>
            <w:pPr>
              <w:spacing w:after="20" w:before="20" w:line="240" w:lineRule="auto"/>
            </w:pPr>
            <w:r/>
            <w:r>
              <w:rPr>
                <w:rFonts w:ascii="Arial" w:hAnsi="Arial" w:cs="Arial"/>
                <w:b w:val="0"/>
                <w:i w:val="0"/>
                <w:sz w:val="17"/>
              </w:rPr>
              <w:t>Customs/Export Declarations</w:t>
            </w:r>
          </w:p>
        </w:tc>
        <w:tc>
          <w:tcPr>
            <w:tcW w:type="dxa" w:w="4819"/>
          </w:tcPr>
          <w:p>
            <w:pPr>
              <w:spacing w:after="20" w:before="20" w:line="240" w:lineRule="auto"/>
            </w:pPr>
            <w:r/>
            <w:r>
              <w:rPr>
                <w:rFonts w:ascii="Arial" w:hAnsi="Arial" w:cs="Arial"/>
                <w:b w:val="0"/>
                <w:i w:val="0"/>
                <w:sz w:val="17"/>
              </w:rPr>
              <w:t>Data ready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where current external rules cannot be verified, mark the requirement as "requiring verification."</w:t>
      </w:r>
    </w:p>
    <w:p>
      <w:pPr>
        <w:keepNext/>
        <w:spacing w:before="180" w:after="80"/>
        <w:outlineLvl w:val="2"/>
      </w:pPr>
      <w:r>
        <w:rPr>
          <w:rFonts w:ascii="Arial" w:hAnsi="Arial" w:cs="Arial"/>
          <w:b/>
          <w:i w:val="0"/>
          <w:color w:val="333333"/>
          <w:sz w:val="23"/>
        </w:rPr>
        <w:t>8.2.18 Step 18 — Document Generation</w:t>
      </w:r>
    </w:p>
    <w:p>
      <w:pPr>
        <w:spacing w:after="80" w:line="293" w:lineRule="auto"/>
        <w:jc w:val="left"/>
      </w:pPr>
      <w:r>
        <w:rPr>
          <w:rFonts w:ascii="Times New Roman" w:hAnsi="Times New Roman" w:cs="Times New Roman"/>
          <w:b w:val="0"/>
          <w:i w:val="0"/>
          <w:sz w:val="22"/>
        </w:rPr>
        <w:t>Supported documents: packing list (PDF/JSON); commercial invoice (UBL 2.1, ETA-compliant); customs-related data/package; shipment documentation; other supported trade documents. Rule: generated documents inherit canonical transaction data — no re-entry. Detailed generation specifications are defined in Sections 8.5, 8.8, and 8.9.</w:t>
      </w:r>
    </w:p>
    <w:p>
      <w:pPr>
        <w:keepNext/>
        <w:spacing w:before="180" w:after="80"/>
        <w:outlineLvl w:val="2"/>
      </w:pPr>
      <w:r>
        <w:rPr>
          <w:rFonts w:ascii="Arial" w:hAnsi="Arial" w:cs="Arial"/>
          <w:b/>
          <w:i w:val="0"/>
          <w:color w:val="333333"/>
          <w:sz w:val="23"/>
        </w:rPr>
        <w:t>8.2.19 Step 19 — Delivery Schedule Confirmation</w:t>
      </w:r>
    </w:p>
    <w:p>
      <w:pPr>
        <w:spacing w:after="80" w:line="293" w:lineRule="auto"/>
        <w:jc w:val="left"/>
      </w:pPr>
      <w:r>
        <w:rPr>
          <w:rFonts w:ascii="Times New Roman" w:hAnsi="Times New Roman" w:cs="Times New Roman"/>
          <w:b/>
          <w:i w:val="0"/>
          <w:sz w:val="22"/>
        </w:rPr>
        <w:t>Fields:</w:t>
      </w:r>
      <w:r>
        <w:rPr>
          <w:rFonts w:ascii="Times New Roman" w:hAnsi="Times New Roman" w:cs="Times New Roman"/>
          <w:b w:val="0"/>
          <w:i w:val="0"/>
          <w:sz w:val="22"/>
        </w:rPr>
        <w:t xml:space="preserve"> Earliest Achievable, Preferred, Latest Achievable — with an explicit distinction between estimated dates and committed dates. If the seller is making a contractual delivery commitment, the interface must clearly show "You are committing to this delivery window," and the seller must explicitly acknowledge.</w:t>
      </w:r>
    </w:p>
    <w:p>
      <w:pPr>
        <w:keepNext/>
        <w:spacing w:before="180" w:after="80"/>
        <w:outlineLvl w:val="2"/>
      </w:pPr>
      <w:r>
        <w:rPr>
          <w:rFonts w:ascii="Arial" w:hAnsi="Arial" w:cs="Arial"/>
          <w:b/>
          <w:i w:val="0"/>
          <w:color w:val="333333"/>
          <w:sz w:val="23"/>
        </w:rPr>
        <w:t>8.2.20 Step 20 — Multi-Shipment Response</w:t>
      </w:r>
    </w:p>
    <w:p>
      <w:pPr>
        <w:spacing w:after="80" w:line="293" w:lineRule="auto"/>
        <w:jc w:val="left"/>
      </w:pPr>
      <w:r>
        <w:rPr>
          <w:rFonts w:ascii="Times New Roman" w:hAnsi="Times New Roman" w:cs="Times New Roman"/>
          <w:b w:val="0"/>
          <w:i w:val="0"/>
          <w:sz w:val="22"/>
        </w:rPr>
        <w:t>Each shipment has independent: quantity, delivery date, port, equipment, packing, logistics, documentation, readiness, fee implications, and lock status. Delay or refusal for Shipment 2 does not invalidate Shipment 1; each independently locked shipment receives its own USTN. Seller actions: accept all; accept selected; modify selected; reject selected; counter selected. Every change shows a diff.</w:t>
      </w:r>
    </w:p>
    <w:p>
      <w:pPr>
        <w:spacing w:after="80" w:line="293" w:lineRule="auto"/>
        <w:jc w:val="left"/>
      </w:pPr>
      <w:r>
        <w:rPr>
          <w:rFonts w:ascii="Times New Roman" w:hAnsi="Times New Roman" w:cs="Times New Roman"/>
          <w:b w:val="0"/>
          <w:i w:val="0"/>
          <w:sz w:val="22"/>
        </w:rPr>
        <w:t>Response options for a buyer-proposed multi-shipment schedule:</w:t>
      </w:r>
    </w:p>
    <w:p>
      <w:pPr>
        <w:spacing w:after="80" w:line="293" w:lineRule="auto"/>
        <w:ind w:left="283"/>
        <w:jc w:val="left"/>
      </w:pPr>
      <w:r>
        <w:rPr>
          <w:rFonts w:ascii="Times New Roman" w:hAnsi="Times New Roman" w:cs="Times New Roman"/>
          <w:b w:val="0"/>
          <w:i w:val="0"/>
          <w:sz w:val="22"/>
        </w:rPr>
        <w:t>- Accept as proposed — one click.</w:t>
      </w:r>
    </w:p>
    <w:p>
      <w:pPr>
        <w:spacing w:after="80" w:line="293" w:lineRule="auto"/>
        <w:ind w:left="283"/>
        <w:jc w:val="left"/>
      </w:pPr>
      <w:r>
        <w:rPr>
          <w:rFonts w:ascii="Times New Roman" w:hAnsi="Times New Roman" w:cs="Times New Roman"/>
          <w:b w:val="0"/>
          <w:i w:val="0"/>
          <w:sz w:val="22"/>
        </w:rPr>
        <w:t>- Propose modifications — edit delivery date, port, container count, commodities/packaging; one click to send the counter-schedule, with a mandatory reason.</w:t>
      </w:r>
    </w:p>
    <w:p>
      <w:pPr>
        <w:spacing w:after="80" w:line="293" w:lineRule="auto"/>
        <w:ind w:left="283"/>
        <w:jc w:val="left"/>
      </w:pPr>
      <w:r>
        <w:rPr>
          <w:rFonts w:ascii="Times New Roman" w:hAnsi="Times New Roman" w:cs="Times New Roman"/>
          <w:b w:val="0"/>
          <w:i w:val="0"/>
          <w:sz w:val="22"/>
        </w:rPr>
        <w:t>- Reject multi-shipment — propose a single shipment instead.</w:t>
      </w:r>
    </w:p>
    <w:p>
      <w:pPr>
        <w:spacing w:after="80" w:line="293" w:lineRule="auto"/>
        <w:jc w:val="left"/>
      </w:pPr>
      <w:r>
        <w:rPr>
          <w:rFonts w:ascii="Times New Roman" w:hAnsi="Times New Roman" w:cs="Times New Roman"/>
          <w:b w:val="0"/>
          <w:i w:val="0"/>
          <w:sz w:val="22"/>
        </w:rPr>
        <w:t>Example — buyer proposes Shipment 1: 15 Jul 2026, Alexandria, 1 container, Oranges 100 MT; Shipment 2: 15 Aug 2026, Port Said, 1 container, Oranges 100 MT. Seller counter: Shipment 1 → 20 Jul 2026, Damietta, 2 containers, Oranges 200 MT; Shipment 2 → 25 Aug 2026, Alexandria, 1 container, Oranges 100 MT; reason: "Warehouse capacity issue. Need additional time and increased container count for peak season."</w:t>
      </w:r>
    </w:p>
    <w:p>
      <w:pPr>
        <w:keepNext/>
        <w:spacing w:before="180" w:after="80"/>
        <w:outlineLvl w:val="2"/>
      </w:pPr>
      <w:r>
        <w:rPr>
          <w:rFonts w:ascii="Arial" w:hAnsi="Arial" w:cs="Arial"/>
          <w:b/>
          <w:i w:val="0"/>
          <w:color w:val="333333"/>
          <w:sz w:val="23"/>
        </w:rPr>
        <w:t>8.2.21 Step 21 — Quote Construction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Section</w:t>
            </w:r>
          </w:p>
        </w:tc>
        <w:tc>
          <w:tcPr>
            <w:tcW w:type="dxa" w:w="4819"/>
            <w:shd w:val="clear" w:fill="D9E2F3"/>
          </w:tcPr>
          <w:p>
            <w:pPr>
              <w:spacing w:after="20" w:before="20" w:line="240" w:lineRule="auto"/>
            </w:pPr>
            <w:r/>
            <w:r>
              <w:rPr>
                <w:rFonts w:ascii="Arial" w:hAnsi="Arial" w:cs="Arial"/>
                <w:b/>
                <w:i w:val="0"/>
                <w:sz w:val="18"/>
              </w:rPr>
              <w:t>Contents</w:t>
            </w:r>
          </w:p>
        </w:tc>
      </w:tr>
      <w:tr>
        <w:tc>
          <w:tcPr>
            <w:tcW w:type="dxa" w:w="4819"/>
          </w:tcPr>
          <w:p>
            <w:pPr>
              <w:spacing w:after="20" w:before="20" w:line="240" w:lineRule="auto"/>
            </w:pPr>
            <w:r/>
            <w:r>
              <w:rPr>
                <w:rFonts w:ascii="Arial" w:hAnsi="Arial" w:cs="Arial"/>
                <w:b w:val="0"/>
                <w:i w:val="0"/>
                <w:sz w:val="17"/>
              </w:rPr>
              <w:t>Commercial</w:t>
            </w:r>
          </w:p>
        </w:tc>
        <w:tc>
          <w:tcPr>
            <w:tcW w:type="dxa" w:w="4819"/>
          </w:tcPr>
          <w:p>
            <w:pPr>
              <w:spacing w:after="20" w:before="20" w:line="240" w:lineRule="auto"/>
            </w:pPr>
            <w:r/>
            <w:r>
              <w:rPr>
                <w:rFonts w:ascii="Arial" w:hAnsi="Arial" w:cs="Arial"/>
                <w:b w:val="0"/>
                <w:i w:val="0"/>
                <w:sz w:val="17"/>
              </w:rPr>
              <w:t>Product, quantity, tolerance, price, currency</w:t>
            </w:r>
          </w:p>
        </w:tc>
      </w:tr>
      <w:tr>
        <w:tc>
          <w:tcPr>
            <w:tcW w:type="dxa" w:w="4819"/>
          </w:tcPr>
          <w:p>
            <w:pPr>
              <w:spacing w:after="20" w:before="20" w:line="240" w:lineRule="auto"/>
            </w:pPr>
            <w:r/>
            <w:r>
              <w:rPr>
                <w:rFonts w:ascii="Arial" w:hAnsi="Arial" w:cs="Arial"/>
                <w:b w:val="0"/>
                <w:i w:val="0"/>
                <w:sz w:val="17"/>
              </w:rPr>
              <w:t>Physical</w:t>
            </w:r>
          </w:p>
        </w:tc>
        <w:tc>
          <w:tcPr>
            <w:tcW w:type="dxa" w:w="4819"/>
          </w:tcPr>
          <w:p>
            <w:pPr>
              <w:spacing w:after="20" w:before="20" w:line="240" w:lineRule="auto"/>
            </w:pPr>
            <w:r/>
            <w:r>
              <w:rPr>
                <w:rFonts w:ascii="Arial" w:hAnsi="Arial" w:cs="Arial"/>
                <w:b w:val="0"/>
                <w:i w:val="0"/>
                <w:sz w:val="17"/>
              </w:rPr>
              <w:t>Packing, container, equipment</w:t>
            </w:r>
          </w:p>
        </w:tc>
      </w:tr>
      <w:tr>
        <w:tc>
          <w:tcPr>
            <w:tcW w:type="dxa" w:w="4819"/>
          </w:tcPr>
          <w:p>
            <w:pPr>
              <w:spacing w:after="20" w:before="20" w:line="240" w:lineRule="auto"/>
            </w:pPr>
            <w:r/>
            <w:r>
              <w:rPr>
                <w:rFonts w:ascii="Arial" w:hAnsi="Arial" w:cs="Arial"/>
                <w:b w:val="0"/>
                <w:i w:val="0"/>
                <w:sz w:val="17"/>
              </w:rPr>
              <w:t>Logistics</w:t>
            </w:r>
          </w:p>
        </w:tc>
        <w:tc>
          <w:tcPr>
            <w:tcW w:type="dxa" w:w="4819"/>
          </w:tcPr>
          <w:p>
            <w:pPr>
              <w:spacing w:after="20" w:before="20" w:line="240" w:lineRule="auto"/>
            </w:pPr>
            <w:r/>
            <w:r>
              <w:rPr>
                <w:rFonts w:ascii="Arial" w:hAnsi="Arial" w:cs="Arial"/>
                <w:b w:val="0"/>
                <w:i w:val="0"/>
                <w:sz w:val="17"/>
              </w:rPr>
              <w:t>Origin, loading, route, port, transport, delivery window</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Included, buyer-supplied, seller-supplied, conditional</w:t>
            </w:r>
          </w:p>
        </w:tc>
      </w:tr>
      <w:tr>
        <w:tc>
          <w:tcPr>
            <w:tcW w:type="dxa" w:w="4819"/>
          </w:tcPr>
          <w:p>
            <w:pPr>
              <w:spacing w:after="20" w:before="20" w:line="240" w:lineRule="auto"/>
            </w:pPr>
            <w:r/>
            <w:r>
              <w:rPr>
                <w:rFonts w:ascii="Arial" w:hAnsi="Arial" w:cs="Arial"/>
                <w:b w:val="0"/>
                <w:i w:val="0"/>
                <w:sz w:val="17"/>
              </w:rPr>
              <w:t>Insurance</w:t>
            </w:r>
          </w:p>
        </w:tc>
        <w:tc>
          <w:tcPr>
            <w:tcW w:type="dxa" w:w="4819"/>
          </w:tcPr>
          <w:p>
            <w:pPr>
              <w:spacing w:after="20" w:before="20" w:line="240" w:lineRule="auto"/>
            </w:pPr>
            <w:r/>
            <w:r>
              <w:rPr>
                <w:rFonts w:ascii="Arial" w:hAnsi="Arial" w:cs="Arial"/>
                <w:b w:val="0"/>
                <w:i w:val="0"/>
                <w:sz w:val="17"/>
              </w:rPr>
              <w:t>Included/not included, responsibility</w:t>
            </w:r>
          </w:p>
        </w:tc>
      </w:tr>
      <w:tr>
        <w:tc>
          <w:tcPr>
            <w:tcW w:type="dxa" w:w="4819"/>
          </w:tcPr>
          <w:p>
            <w:pPr>
              <w:spacing w:after="20" w:before="20" w:line="240" w:lineRule="auto"/>
            </w:pPr>
            <w:r/>
            <w:r>
              <w:rPr>
                <w:rFonts w:ascii="Arial" w:hAnsi="Arial" w:cs="Arial"/>
                <w:b w:val="0"/>
                <w:i w:val="0"/>
                <w:sz w:val="17"/>
              </w:rPr>
              <w:t>Settlement</w:t>
            </w:r>
          </w:p>
        </w:tc>
        <w:tc>
          <w:tcPr>
            <w:tcW w:type="dxa" w:w="4819"/>
          </w:tcPr>
          <w:p>
            <w:pPr>
              <w:spacing w:after="20" w:before="20" w:line="240" w:lineRule="auto"/>
            </w:pPr>
            <w:r/>
            <w:r>
              <w:rPr>
                <w:rFonts w:ascii="Arial" w:hAnsi="Arial" w:cs="Arial"/>
                <w:b w:val="0"/>
                <w:i w:val="0"/>
                <w:sz w:val="17"/>
              </w:rPr>
              <w:t>Proposed terms, payment timing, documents</w:t>
            </w:r>
          </w:p>
        </w:tc>
      </w:tr>
      <w:tr>
        <w:tc>
          <w:tcPr>
            <w:tcW w:type="dxa" w:w="4819"/>
          </w:tcPr>
          <w:p>
            <w:pPr>
              <w:spacing w:after="20" w:before="20" w:line="240" w:lineRule="auto"/>
            </w:pPr>
            <w:r/>
            <w:r>
              <w:rPr>
                <w:rFonts w:ascii="Arial" w:hAnsi="Arial" w:cs="Arial"/>
                <w:b w:val="0"/>
                <w:i w:val="0"/>
                <w:sz w:val="17"/>
              </w:rPr>
              <w:t>Multi-Shipment</w:t>
            </w:r>
          </w:p>
        </w:tc>
        <w:tc>
          <w:tcPr>
            <w:tcW w:type="dxa" w:w="4819"/>
          </w:tcPr>
          <w:p>
            <w:pPr>
              <w:spacing w:after="20" w:before="20" w:line="240" w:lineRule="auto"/>
            </w:pPr>
            <w:r/>
            <w:r>
              <w:rPr>
                <w:rFonts w:ascii="Arial" w:hAnsi="Arial" w:cs="Arial"/>
                <w:b w:val="0"/>
                <w:i w:val="0"/>
                <w:sz w:val="17"/>
              </w:rPr>
              <w:t>Shipment schedule</w:t>
            </w:r>
          </w:p>
        </w:tc>
      </w:tr>
      <w:tr>
        <w:tc>
          <w:tcPr>
            <w:tcW w:type="dxa" w:w="4819"/>
          </w:tcPr>
          <w:p>
            <w:pPr>
              <w:spacing w:after="20" w:before="20" w:line="240" w:lineRule="auto"/>
            </w:pPr>
            <w:r/>
            <w:r>
              <w:rPr>
                <w:rFonts w:ascii="Arial" w:hAnsi="Arial" w:cs="Arial"/>
                <w:b w:val="0"/>
                <w:i w:val="0"/>
                <w:sz w:val="17"/>
              </w:rPr>
              <w:t>Quote Validity</w:t>
            </w:r>
          </w:p>
        </w:tc>
        <w:tc>
          <w:tcPr>
            <w:tcW w:type="dxa" w:w="4819"/>
          </w:tcPr>
          <w:p>
            <w:pPr>
              <w:spacing w:after="20" w:before="20" w:line="240" w:lineRule="auto"/>
            </w:pPr>
            <w:r/>
            <w:r>
              <w:rPr>
                <w:rFonts w:ascii="Arial" w:hAnsi="Arial" w:cs="Arial"/>
                <w:b w:val="0"/>
                <w:i w:val="0"/>
                <w:sz w:val="17"/>
              </w:rPr>
              <w:t>Expiry timestamp</w:t>
            </w:r>
          </w:p>
        </w:tc>
      </w:tr>
      <w:tr>
        <w:tc>
          <w:tcPr>
            <w:tcW w:type="dxa" w:w="4819"/>
          </w:tcPr>
          <w:p>
            <w:pPr>
              <w:spacing w:after="20" w:before="20" w:line="240" w:lineRule="auto"/>
            </w:pPr>
            <w:r/>
            <w:r>
              <w:rPr>
                <w:rFonts w:ascii="Arial" w:hAnsi="Arial" w:cs="Arial"/>
                <w:b w:val="0"/>
                <w:i w:val="0"/>
                <w:sz w:val="17"/>
              </w:rPr>
              <w:t>Conditions</w:t>
            </w:r>
          </w:p>
        </w:tc>
        <w:tc>
          <w:tcPr>
            <w:tcW w:type="dxa" w:w="4819"/>
          </w:tcPr>
          <w:p>
            <w:pPr>
              <w:spacing w:after="20" w:before="20" w:line="240" w:lineRule="auto"/>
            </w:pPr>
            <w:r/>
            <w:r>
              <w:rPr>
                <w:rFonts w:ascii="Arial" w:hAnsi="Arial" w:cs="Arial"/>
                <w:b w:val="0"/>
                <w:i w:val="0"/>
                <w:sz w:val="17"/>
              </w:rPr>
              <w:t>Assumptions, exclusions, dependencies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8.2.22 Step 22 — Quote Status Model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Status</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DRAFT</w:t>
            </w:r>
          </w:p>
        </w:tc>
        <w:tc>
          <w:tcPr>
            <w:tcW w:type="dxa" w:w="4819"/>
          </w:tcPr>
          <w:p>
            <w:pPr>
              <w:spacing w:after="20" w:before="20" w:line="240" w:lineRule="auto"/>
            </w:pPr>
            <w:r/>
            <w:r>
              <w:rPr>
                <w:rFonts w:ascii="Arial" w:hAnsi="Arial" w:cs="Arial"/>
                <w:b w:val="0"/>
                <w:i w:val="0"/>
                <w:sz w:val="17"/>
              </w:rPr>
              <w:t>Seller is building</w:t>
            </w:r>
          </w:p>
        </w:tc>
      </w:tr>
      <w:tr>
        <w:tc>
          <w:tcPr>
            <w:tcW w:type="dxa" w:w="4819"/>
          </w:tcPr>
          <w:p>
            <w:pPr>
              <w:spacing w:after="20" w:before="20" w:line="240" w:lineRule="auto"/>
            </w:pPr>
            <w:r/>
            <w:r>
              <w:rPr>
                <w:rFonts w:ascii="Arial" w:hAnsi="Arial" w:cs="Arial"/>
                <w:b w:val="0"/>
                <w:i w:val="0"/>
                <w:sz w:val="17"/>
              </w:rPr>
              <w:t>READY FOR INTERNAL REVIEW</w:t>
            </w:r>
          </w:p>
        </w:tc>
        <w:tc>
          <w:tcPr>
            <w:tcW w:type="dxa" w:w="4819"/>
          </w:tcPr>
          <w:p>
            <w:pPr>
              <w:spacing w:after="20" w:before="20" w:line="240" w:lineRule="auto"/>
            </w:pPr>
            <w:r/>
            <w:r>
              <w:rPr>
                <w:rFonts w:ascii="Arial" w:hAnsi="Arial" w:cs="Arial"/>
                <w:b w:val="0"/>
                <w:i w:val="0"/>
                <w:sz w:val="17"/>
              </w:rPr>
              <w:t>Awaiting internal approval</w:t>
            </w:r>
          </w:p>
        </w:tc>
      </w:tr>
      <w:tr>
        <w:tc>
          <w:tcPr>
            <w:tcW w:type="dxa" w:w="4819"/>
          </w:tcPr>
          <w:p>
            <w:pPr>
              <w:spacing w:after="20" w:before="20" w:line="240" w:lineRule="auto"/>
            </w:pPr>
            <w:r/>
            <w:r>
              <w:rPr>
                <w:rFonts w:ascii="Arial" w:hAnsi="Arial" w:cs="Arial"/>
                <w:b w:val="0"/>
                <w:i w:val="0"/>
                <w:sz w:val="17"/>
              </w:rPr>
              <w:t>SUBMITTED</w:t>
            </w:r>
          </w:p>
        </w:tc>
        <w:tc>
          <w:tcPr>
            <w:tcW w:type="dxa" w:w="4819"/>
          </w:tcPr>
          <w:p>
            <w:pPr>
              <w:spacing w:after="20" w:before="20" w:line="240" w:lineRule="auto"/>
            </w:pPr>
            <w:r/>
            <w:r>
              <w:rPr>
                <w:rFonts w:ascii="Arial" w:hAnsi="Arial" w:cs="Arial"/>
                <w:b w:val="0"/>
                <w:i w:val="0"/>
                <w:sz w:val="17"/>
              </w:rPr>
              <w:t>Sent to buyer</w:t>
            </w:r>
          </w:p>
        </w:tc>
      </w:tr>
      <w:tr>
        <w:tc>
          <w:tcPr>
            <w:tcW w:type="dxa" w:w="4819"/>
          </w:tcPr>
          <w:p>
            <w:pPr>
              <w:spacing w:after="20" w:before="20" w:line="240" w:lineRule="auto"/>
            </w:pPr>
            <w:r/>
            <w:r>
              <w:rPr>
                <w:rFonts w:ascii="Arial" w:hAnsi="Arial" w:cs="Arial"/>
                <w:b w:val="0"/>
                <w:i w:val="0"/>
                <w:sz w:val="17"/>
              </w:rPr>
              <w:t>VIEWED</w:t>
            </w:r>
          </w:p>
        </w:tc>
        <w:tc>
          <w:tcPr>
            <w:tcW w:type="dxa" w:w="4819"/>
          </w:tcPr>
          <w:p>
            <w:pPr>
              <w:spacing w:after="20" w:before="20" w:line="240" w:lineRule="auto"/>
            </w:pPr>
            <w:r/>
            <w:r>
              <w:rPr>
                <w:rFonts w:ascii="Arial" w:hAnsi="Arial" w:cs="Arial"/>
                <w:b w:val="0"/>
                <w:i w:val="0"/>
                <w:sz w:val="17"/>
              </w:rPr>
              <w:t>Buyer has opened</w:t>
            </w:r>
          </w:p>
        </w:tc>
      </w:tr>
      <w:tr>
        <w:tc>
          <w:tcPr>
            <w:tcW w:type="dxa" w:w="4819"/>
          </w:tcPr>
          <w:p>
            <w:pPr>
              <w:spacing w:after="20" w:before="20" w:line="240" w:lineRule="auto"/>
            </w:pPr>
            <w:r/>
            <w:r>
              <w:rPr>
                <w:rFonts w:ascii="Arial" w:hAnsi="Arial" w:cs="Arial"/>
                <w:b w:val="0"/>
                <w:i w:val="0"/>
                <w:sz w:val="17"/>
              </w:rPr>
              <w:t>NEGOTIATION</w:t>
            </w:r>
          </w:p>
        </w:tc>
        <w:tc>
          <w:tcPr>
            <w:tcW w:type="dxa" w:w="4819"/>
          </w:tcPr>
          <w:p>
            <w:pPr>
              <w:spacing w:after="20" w:before="20" w:line="240" w:lineRule="auto"/>
            </w:pPr>
            <w:r/>
            <w:r>
              <w:rPr>
                <w:rFonts w:ascii="Arial" w:hAnsi="Arial" w:cs="Arial"/>
                <w:b w:val="0"/>
                <w:i w:val="0"/>
                <w:sz w:val="17"/>
              </w:rPr>
              <w:t>Active negotiation</w:t>
            </w:r>
          </w:p>
        </w:tc>
      </w:tr>
      <w:tr>
        <w:tc>
          <w:tcPr>
            <w:tcW w:type="dxa" w:w="4819"/>
          </w:tcPr>
          <w:p>
            <w:pPr>
              <w:spacing w:after="20" w:before="20" w:line="240" w:lineRule="auto"/>
            </w:pPr>
            <w:r/>
            <w:r>
              <w:rPr>
                <w:rFonts w:ascii="Arial" w:hAnsi="Arial" w:cs="Arial"/>
                <w:b w:val="0"/>
                <w:i w:val="0"/>
                <w:sz w:val="17"/>
              </w:rPr>
              <w:t>COUNTERED</w:t>
            </w:r>
          </w:p>
        </w:tc>
        <w:tc>
          <w:tcPr>
            <w:tcW w:type="dxa" w:w="4819"/>
          </w:tcPr>
          <w:p>
            <w:pPr>
              <w:spacing w:after="20" w:before="20" w:line="240" w:lineRule="auto"/>
            </w:pPr>
            <w:r/>
            <w:r>
              <w:rPr>
                <w:rFonts w:ascii="Arial" w:hAnsi="Arial" w:cs="Arial"/>
                <w:b w:val="0"/>
                <w:i w:val="0"/>
                <w:sz w:val="17"/>
              </w:rPr>
              <w:t>Counter-offer submitted</w:t>
            </w:r>
          </w:p>
        </w:tc>
      </w:tr>
      <w:tr>
        <w:tc>
          <w:tcPr>
            <w:tcW w:type="dxa" w:w="4819"/>
          </w:tcPr>
          <w:p>
            <w:pPr>
              <w:spacing w:after="20" w:before="20" w:line="240" w:lineRule="auto"/>
            </w:pPr>
            <w:r/>
            <w:r>
              <w:rPr>
                <w:rFonts w:ascii="Arial" w:hAnsi="Arial" w:cs="Arial"/>
                <w:b w:val="0"/>
                <w:i w:val="0"/>
                <w:sz w:val="17"/>
              </w:rPr>
              <w:t>ACCEPTED</w:t>
            </w:r>
          </w:p>
        </w:tc>
        <w:tc>
          <w:tcPr>
            <w:tcW w:type="dxa" w:w="4819"/>
          </w:tcPr>
          <w:p>
            <w:pPr>
              <w:spacing w:after="20" w:before="20" w:line="240" w:lineRule="auto"/>
            </w:pPr>
            <w:r/>
            <w:r>
              <w:rPr>
                <w:rFonts w:ascii="Arial" w:hAnsi="Arial" w:cs="Arial"/>
                <w:b w:val="0"/>
                <w:i w:val="0"/>
                <w:sz w:val="17"/>
              </w:rPr>
              <w:t>Buyer accepted</w:t>
            </w:r>
          </w:p>
        </w:tc>
      </w:tr>
      <w:tr>
        <w:tc>
          <w:tcPr>
            <w:tcW w:type="dxa" w:w="4819"/>
          </w:tcPr>
          <w:p>
            <w:pPr>
              <w:spacing w:after="20" w:before="20" w:line="240" w:lineRule="auto"/>
            </w:pPr>
            <w:r/>
            <w:r>
              <w:rPr>
                <w:rFonts w:ascii="Arial" w:hAnsi="Arial" w:cs="Arial"/>
                <w:b w:val="0"/>
                <w:i w:val="0"/>
                <w:sz w:val="17"/>
              </w:rPr>
              <w:t>PARTIALLY ACCEPTED</w:t>
            </w:r>
          </w:p>
        </w:tc>
        <w:tc>
          <w:tcPr>
            <w:tcW w:type="dxa" w:w="4819"/>
          </w:tcPr>
          <w:p>
            <w:pPr>
              <w:spacing w:after="20" w:before="20" w:line="240" w:lineRule="auto"/>
            </w:pPr>
            <w:r/>
            <w:r>
              <w:rPr>
                <w:rFonts w:ascii="Arial" w:hAnsi="Arial" w:cs="Arial"/>
                <w:b w:val="0"/>
                <w:i w:val="0"/>
                <w:sz w:val="17"/>
              </w:rPr>
              <w:t>Partial acceptance</w:t>
            </w:r>
          </w:p>
        </w:tc>
      </w:tr>
      <w:tr>
        <w:tc>
          <w:tcPr>
            <w:tcW w:type="dxa" w:w="4819"/>
          </w:tcPr>
          <w:p>
            <w:pPr>
              <w:spacing w:after="20" w:before="20" w:line="240" w:lineRule="auto"/>
            </w:pPr>
            <w:r/>
            <w:r>
              <w:rPr>
                <w:rFonts w:ascii="Arial" w:hAnsi="Arial" w:cs="Arial"/>
                <w:b w:val="0"/>
                <w:i w:val="0"/>
                <w:sz w:val="17"/>
              </w:rPr>
              <w:t>EXPIRED</w:t>
            </w:r>
          </w:p>
        </w:tc>
        <w:tc>
          <w:tcPr>
            <w:tcW w:type="dxa" w:w="4819"/>
          </w:tcPr>
          <w:p>
            <w:pPr>
              <w:spacing w:after="20" w:before="20" w:line="240" w:lineRule="auto"/>
            </w:pPr>
            <w:r/>
            <w:r>
              <w:rPr>
                <w:rFonts w:ascii="Arial" w:hAnsi="Arial" w:cs="Arial"/>
                <w:b w:val="0"/>
                <w:i w:val="0"/>
                <w:sz w:val="17"/>
              </w:rPr>
              <w:t>Quote expired</w:t>
            </w:r>
          </w:p>
        </w:tc>
      </w:tr>
      <w:tr>
        <w:tc>
          <w:tcPr>
            <w:tcW w:type="dxa" w:w="4819"/>
          </w:tcPr>
          <w:p>
            <w:pPr>
              <w:spacing w:after="20" w:before="20" w:line="240" w:lineRule="auto"/>
            </w:pPr>
            <w:r/>
            <w:r>
              <w:rPr>
                <w:rFonts w:ascii="Arial" w:hAnsi="Arial" w:cs="Arial"/>
                <w:b w:val="0"/>
                <w:i w:val="0"/>
                <w:sz w:val="17"/>
              </w:rPr>
              <w:t>REJECTED</w:t>
            </w:r>
          </w:p>
        </w:tc>
        <w:tc>
          <w:tcPr>
            <w:tcW w:type="dxa" w:w="4819"/>
          </w:tcPr>
          <w:p>
            <w:pPr>
              <w:spacing w:after="20" w:before="20" w:line="240" w:lineRule="auto"/>
            </w:pPr>
            <w:r/>
            <w:r>
              <w:rPr>
                <w:rFonts w:ascii="Arial" w:hAnsi="Arial" w:cs="Arial"/>
                <w:b w:val="0"/>
                <w:i w:val="0"/>
                <w:sz w:val="17"/>
              </w:rPr>
              <w:t>Buyer rejected</w:t>
            </w:r>
          </w:p>
        </w:tc>
      </w:tr>
      <w:tr>
        <w:tc>
          <w:tcPr>
            <w:tcW w:type="dxa" w:w="4819"/>
          </w:tcPr>
          <w:p>
            <w:pPr>
              <w:spacing w:after="20" w:before="20" w:line="240" w:lineRule="auto"/>
            </w:pPr>
            <w:r/>
            <w:r>
              <w:rPr>
                <w:rFonts w:ascii="Arial" w:hAnsi="Arial" w:cs="Arial"/>
                <w:b w:val="0"/>
                <w:i w:val="0"/>
                <w:sz w:val="17"/>
              </w:rPr>
              <w:t>WITHDRAWN</w:t>
            </w:r>
          </w:p>
        </w:tc>
        <w:tc>
          <w:tcPr>
            <w:tcW w:type="dxa" w:w="4819"/>
          </w:tcPr>
          <w:p>
            <w:pPr>
              <w:spacing w:after="20" w:before="20" w:line="240" w:lineRule="auto"/>
            </w:pPr>
            <w:r/>
            <w:r>
              <w:rPr>
                <w:rFonts w:ascii="Arial" w:hAnsi="Arial" w:cs="Arial"/>
                <w:b w:val="0"/>
                <w:i w:val="0"/>
                <w:sz w:val="17"/>
              </w:rPr>
              <w:t>Seller withdrew</w:t>
            </w:r>
          </w:p>
        </w:tc>
      </w:tr>
      <w:tr>
        <w:tc>
          <w:tcPr>
            <w:tcW w:type="dxa" w:w="4819"/>
          </w:tcPr>
          <w:p>
            <w:pPr>
              <w:spacing w:after="20" w:before="20" w:line="240" w:lineRule="auto"/>
            </w:pPr>
            <w:r/>
            <w:r>
              <w:rPr>
                <w:rFonts w:ascii="Arial" w:hAnsi="Arial" w:cs="Arial"/>
                <w:b w:val="0"/>
                <w:i w:val="0"/>
                <w:sz w:val="17"/>
              </w:rPr>
              <w:t>SUPERSEDED</w:t>
            </w:r>
          </w:p>
        </w:tc>
        <w:tc>
          <w:tcPr>
            <w:tcW w:type="dxa" w:w="4819"/>
          </w:tcPr>
          <w:p>
            <w:pPr>
              <w:spacing w:after="20" w:before="20" w:line="240" w:lineRule="auto"/>
            </w:pPr>
            <w:r/>
            <w:r>
              <w:rPr>
                <w:rFonts w:ascii="Arial" w:hAnsi="Arial" w:cs="Arial"/>
                <w:b w:val="0"/>
                <w:i w:val="0"/>
                <w:sz w:val="17"/>
              </w:rPr>
              <w:t>New version created</w:t>
            </w:r>
          </w:p>
        </w:tc>
      </w:tr>
      <w:tr>
        <w:tc>
          <w:tcPr>
            <w:tcW w:type="dxa" w:w="4819"/>
          </w:tcPr>
          <w:p>
            <w:pPr>
              <w:spacing w:after="20" w:before="20" w:line="240" w:lineRule="auto"/>
            </w:pPr>
            <w:r/>
            <w:r>
              <w:rPr>
                <w:rFonts w:ascii="Arial" w:hAnsi="Arial" w:cs="Arial"/>
                <w:b w:val="0"/>
                <w:i w:val="0"/>
                <w:sz w:val="17"/>
              </w:rPr>
              <w:t>CONVERTED TO AGREEMENT</w:t>
            </w:r>
          </w:p>
        </w:tc>
        <w:tc>
          <w:tcPr>
            <w:tcW w:type="dxa" w:w="4819"/>
          </w:tcPr>
          <w:p>
            <w:pPr>
              <w:spacing w:after="20" w:before="20" w:line="240" w:lineRule="auto"/>
            </w:pPr>
            <w:r/>
            <w:r>
              <w:rPr>
                <w:rFonts w:ascii="Arial" w:hAnsi="Arial" w:cs="Arial"/>
                <w:b w:val="0"/>
                <w:i w:val="0"/>
                <w:sz w:val="17"/>
              </w:rPr>
              <w:t>Became contract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8.2.23 Step 23 — Quote Versioning</w:t>
      </w:r>
    </w:p>
    <w:p>
      <w:pPr>
        <w:spacing w:after="80" w:line="293" w:lineRule="auto"/>
        <w:jc w:val="left"/>
      </w:pPr>
      <w:r>
        <w:rPr>
          <w:rFonts w:ascii="Times New Roman" w:hAnsi="Times New Roman" w:cs="Times New Roman"/>
          <w:b w:val="0"/>
          <w:i w:val="0"/>
          <w:sz w:val="22"/>
        </w:rPr>
        <w:t>Every material amendment creates a new version: Q-001 v1 (seller initial) → buyer counter → Q-001 v2 → seller amendment → Q-001 v3. Prior offers are never silently overwritten; the full negotiation lineage is retained.</w:t>
      </w:r>
    </w:p>
    <w:p>
      <w:pPr>
        <w:keepNext/>
        <w:spacing w:before="180" w:after="80"/>
        <w:outlineLvl w:val="2"/>
      </w:pPr>
      <w:r>
        <w:rPr>
          <w:rFonts w:ascii="Arial" w:hAnsi="Arial" w:cs="Arial"/>
          <w:b/>
          <w:i w:val="0"/>
          <w:color w:val="333333"/>
          <w:sz w:val="23"/>
        </w:rPr>
        <w:t>8.2.24 Step 24 — Quote Expiry</w:t>
      </w:r>
    </w:p>
    <w:p>
      <w:pPr>
        <w:spacing w:after="80" w:line="293" w:lineRule="auto"/>
        <w:jc w:val="left"/>
      </w:pPr>
      <w:r>
        <w:rPr>
          <w:rFonts w:ascii="Times New Roman" w:hAnsi="Times New Roman" w:cs="Times New Roman"/>
          <w:b w:val="0"/>
          <w:i w:val="0"/>
          <w:sz w:val="22"/>
        </w:rPr>
        <w:t>The UI countdown is advisory only; the server is authoritative for expiry. When expired: the quote becomes non-acceptable, the buyer is notified, and the seller may renew; renewal creates a new version.</w:t>
      </w:r>
    </w:p>
    <w:p>
      <w:pPr>
        <w:keepNext/>
        <w:spacing w:before="180" w:after="80"/>
        <w:outlineLvl w:val="2"/>
      </w:pPr>
      <w:r>
        <w:rPr>
          <w:rFonts w:ascii="Arial" w:hAnsi="Arial" w:cs="Arial"/>
          <w:b/>
          <w:i w:val="0"/>
          <w:color w:val="333333"/>
          <w:sz w:val="23"/>
        </w:rPr>
        <w:t>8.2.25 Step 25 — Negotiation</w:t>
      </w:r>
    </w:p>
    <w:p>
      <w:pPr>
        <w:spacing w:after="80" w:line="293" w:lineRule="auto"/>
        <w:jc w:val="left"/>
      </w:pPr>
      <w:r>
        <w:rPr>
          <w:rFonts w:ascii="Times New Roman" w:hAnsi="Times New Roman" w:cs="Times New Roman"/>
          <w:b/>
          <w:i w:val="0"/>
          <w:sz w:val="22"/>
        </w:rPr>
        <w:t>Capabilities:</w:t>
      </w:r>
      <w:r>
        <w:rPr>
          <w:rFonts w:ascii="Times New Roman" w:hAnsi="Times New Roman" w:cs="Times New Roman"/>
          <w:b w:val="0"/>
          <w:i w:val="0"/>
          <w:sz w:val="22"/>
        </w:rPr>
        <w:t xml:space="preserve"> Accept; Counter; Reject; Partial Acceptance; Amendment; Deadline Extension; Request Information; Visual Diff. Material counteroffers require a structured reason with categories: Price, Quantity, Delivery, Port, Packaging, Payment, Documents, Logistics, Other.</w:t>
      </w:r>
    </w:p>
    <w:p>
      <w:pPr>
        <w:spacing w:after="80" w:line="293" w:lineRule="auto"/>
        <w:jc w:val="left"/>
      </w:pPr>
      <w:r>
        <w:rPr>
          <w:rFonts w:ascii="Times New Roman" w:hAnsi="Times New Roman" w:cs="Times New Roman"/>
          <w:b w:val="0"/>
          <w:i w:val="0"/>
          <w:sz w:val="22"/>
        </w:rPr>
        <w:t>AI in negotiation — may: summarise, identify changes, explain impacts, suggest counter-offer options, identify inconsistencies, estimate consequences; must not: independently send a commercial commitment. Rule: AI suggests — the seller decides. The transparency panel and pause/take-over model apply (Section 7.13 of the negotiation transparency framework; see Section 9.13).</w:t>
      </w:r>
    </w:p>
    <w:p>
      <w:pPr>
        <w:keepNext/>
        <w:spacing w:before="180" w:after="80"/>
        <w:outlineLvl w:val="2"/>
      </w:pPr>
      <w:r>
        <w:rPr>
          <w:rFonts w:ascii="Arial" w:hAnsi="Arial" w:cs="Arial"/>
          <w:b/>
          <w:i w:val="0"/>
          <w:color w:val="333333"/>
          <w:sz w:val="23"/>
        </w:rPr>
        <w:t>8.2.26 Step 26 — Pre-Submission Seller Trade Brief</w:t>
      </w:r>
    </w:p>
    <w:p>
      <w:pPr>
        <w:spacing w:after="80" w:line="293" w:lineRule="auto"/>
        <w:jc w:val="left"/>
      </w:pPr>
      <w:r>
        <w:rPr>
          <w:rFonts w:ascii="Times New Roman" w:hAnsi="Times New Roman" w:cs="Times New Roman"/>
          <w:b w:val="0"/>
          <w:i w:val="0"/>
          <w:sz w:val="22"/>
        </w:rPr>
        <w:t>Final review before commitment. Contents: what I am selling (product, HS code, quantity); to whom (buyer legal name, GTID); quantity and tolerance; final quoted price and currency; expected margin; Incoterm; loading origin; logistics (mode, providers); packing plan; delivery window; seller-responsible documents; insurance if included; settlement proposal; assumptions; conditions; unresolved items; material risks; buyer-request deviations; seller responsibilities after acceptance; external dependencies.</w:t>
      </w:r>
    </w:p>
    <w:p>
      <w:pPr>
        <w:spacing w:after="80" w:line="293" w:lineRule="auto"/>
        <w:jc w:val="left"/>
      </w:pPr>
      <w:r>
        <w:rPr>
          <w:rFonts w:ascii="Times New Roman" w:hAnsi="Times New Roman" w:cs="Times New Roman"/>
          <w:b w:val="0"/>
          <w:i w:val="0"/>
          <w:sz w:val="22"/>
        </w:rPr>
        <w:t>Commitment check summary: "3 buyer requirements accepted / 1 buyer requirement modified / 2 seller conditions added / 0 blocking issues / Submit Quote" — the seller's commitment point.</w:t>
      </w:r>
    </w:p>
    <w:p>
      <w:pPr>
        <w:spacing w:after="80" w:line="293" w:lineRule="auto"/>
        <w:jc w:val="left"/>
      </w:pPr>
      <w:r>
        <w:rPr>
          <w:rFonts w:ascii="Times New Roman" w:hAnsi="Times New Roman" w:cs="Times New Roman"/>
          <w:b w:val="0"/>
          <w:i w:val="0"/>
          <w:sz w:val="22"/>
        </w:rPr>
        <w:t>Quote submission is a one-click action with Governor validation. Validation performed at submission: all mandatory fields present; packing plan locked (including non-uniform layers validated); for multi-shipment, the schedule is fully defined and each shipment validated; alternative ports valid; SGTX fee correctly calculated and added; for each mandatory service (based on Incoterm), a quote is selected (from Mode A, B, or C); all documents generated (packing list, invoice, customs declaration); acceptance criteria matrix included; commercial settlement details included.</w:t>
      </w:r>
    </w:p>
    <w:p>
      <w:pPr>
        <w:spacing w:after="80" w:line="293" w:lineRule="auto"/>
        <w:jc w:val="left"/>
      </w:pPr>
      <w:r>
        <w:rPr>
          <w:rFonts w:ascii="Times New Roman" w:hAnsi="Times New Roman" w:cs="Times New Roman"/>
          <w:b w:val="0"/>
          <w:i w:val="0"/>
          <w:sz w:val="22"/>
        </w:rPr>
        <w:t>If ALLOW: trade status → QUOTED; quote package stored; buyer receives a Smart Inbox item (priority 75) with comparison table; seller receives confirmation. If CONDITIONAL or DENY: the Governor returns a plain-language tenant_message (A1, Groq → Ollama) with a condition checklist and one-click remediation links; the seller fixes issues and clicks "Retry" — one click to resubmit.</w:t>
      </w:r>
    </w:p>
    <w:p>
      <w:pPr>
        <w:spacing w:after="80" w:line="293" w:lineRule="auto"/>
        <w:jc w:val="left"/>
      </w:pPr>
      <w:r>
        <w:rPr>
          <w:rFonts w:ascii="Times New Roman" w:hAnsi="Times New Roman" w:cs="Times New Roman"/>
          <w:b w:val="0"/>
          <w:i w:val="0"/>
          <w:sz w:val="22"/>
        </w:rPr>
        <w:t>Example CONDITIONAL response (missing mandatory service):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quote cannot be submitted because Ocean Freight is mandatory for CFR incoterm, but no ocean freight quote has been selected.",</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"mandatory_service_missing",</w:t>
      </w:r>
    </w:p>
    <w:p>
      <w:pPr>
        <w:spacing w:after="0" w:before="0" w:line="240" w:lineRule="auto"/>
        <w:ind w:left="57"/>
        <w:jc w:val="left"/>
        <w:shd w:val="clear" w:fill="F2F2F2"/>
      </w:pPr>
      <w:r>
        <w:rPr>
          <w:rFonts w:ascii="Consolas" w:hAnsi="Consolas" w:cs="Consolas"/>
          <w:b w:val="0"/>
          <w:i w:val="0"/>
          <w:sz w:val="15"/>
        </w:rPr>
        <w:t xml:space="preserve">        "label": "Select Ocean Freight quote",</w:t>
      </w:r>
    </w:p>
    <w:p>
      <w:pPr>
        <w:spacing w:after="0" w:before="0" w:line="240" w:lineRule="auto"/>
        <w:ind w:left="57"/>
        <w:jc w:val="left"/>
        <w:shd w:val="clear" w:fill="F2F2F2"/>
      </w:pPr>
      <w:r>
        <w:rPr>
          <w:rFonts w:ascii="Consolas" w:hAnsi="Consolas" w:cs="Consolas"/>
          <w:b w:val="0"/>
          <w:i w:val="0"/>
          <w:sz w:val="15"/>
        </w:rPr>
        <w:t xml:space="preserve">        "action_url": "/v1/quote/logistics/ship-direct?trade_id=..."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8.2.27 Step 27 — Cross-Portal Impact Check</w:t>
      </w:r>
    </w:p>
    <w:p>
      <w:pPr>
        <w:spacing w:after="80" w:line="293" w:lineRule="auto"/>
        <w:jc w:val="left"/>
      </w:pPr>
      <w:r>
        <w:rPr>
          <w:rFonts w:ascii="Times New Roman" w:hAnsi="Times New Roman" w:cs="Times New Roman"/>
          <w:b w:val="0"/>
          <w:i w:val="0"/>
          <w:sz w:val="22"/>
        </w:rPr>
        <w:t>Validates downstream consequences before submission across: Buyer Portal, Seller Portal, Logistics Portal, Shipping/Carrier, QC, Laboratory, Customs Broker, Government, Financier, Documents, Settlement, Smart Inbox, Trade Command Center, Audit, Reconciliation. Rule: do not allow the seller to produce a quote that creates an impossible downstream workflow.</w:t>
      </w:r>
    </w:p>
    <w:p>
      <w:pPr>
        <w:keepNext/>
        <w:spacing w:before="180" w:after="80"/>
        <w:outlineLvl w:val="2"/>
      </w:pPr>
      <w:r>
        <w:rPr>
          <w:rFonts w:ascii="Arial" w:hAnsi="Arial" w:cs="Arial"/>
          <w:b/>
          <w:i w:val="0"/>
          <w:color w:val="333333"/>
          <w:sz w:val="23"/>
        </w:rPr>
        <w:t>8.2.28 Step 28 — Incoterm Consistency</w:t>
      </w:r>
    </w:p>
    <w:p>
      <w:pPr>
        <w:spacing w:after="80" w:line="293" w:lineRule="auto"/>
        <w:jc w:val="left"/>
      </w:pPr>
      <w:r>
        <w:rPr>
          <w:rFonts w:ascii="Times New Roman" w:hAnsi="Times New Roman" w:cs="Times New Roman"/>
          <w:b w:val="0"/>
          <w:i w:val="0"/>
          <w:sz w:val="22"/>
        </w:rPr>
        <w:t>Every quote is validated against the selected Incoterm for: responsibilities, cost allocation, risk transfer, logistics obligations, documentation responsibility, insurance responsibility, and clearance responsibility. On conflict: "This proposal changes an Incoterm responsibility" — explicit amendment or negotiation is required.</w:t>
      </w:r>
    </w:p>
    <w:p>
      <w:pPr>
        <w:keepNext/>
        <w:spacing w:before="180" w:after="80"/>
        <w:outlineLvl w:val="2"/>
      </w:pPr>
      <w:r>
        <w:rPr>
          <w:rFonts w:ascii="Arial" w:hAnsi="Arial" w:cs="Arial"/>
          <w:b/>
          <w:i w:val="0"/>
          <w:color w:val="333333"/>
          <w:sz w:val="23"/>
        </w:rPr>
        <w:t>8.2.29 Step 29 — Seller Quote vs Contract Distinction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Stage</w:t>
            </w:r>
          </w:p>
        </w:tc>
        <w:tc>
          <w:tcPr>
            <w:tcW w:type="dxa" w:w="4819"/>
            <w:shd w:val="clear" w:fill="D9E2F3"/>
          </w:tcPr>
          <w:p>
            <w:pPr>
              <w:spacing w:after="20" w:before="20" w:line="240" w:lineRule="auto"/>
            </w:pPr>
            <w:r/>
            <w:r>
              <w:rPr>
                <w:rFonts w:ascii="Arial" w:hAnsi="Arial" w:cs="Arial"/>
                <w:b/>
                <w:i w:val="0"/>
                <w:sz w:val="18"/>
              </w:rPr>
              <w:t>Status</w:t>
            </w:r>
          </w:p>
        </w:tc>
      </w:tr>
      <w:tr>
        <w:tc>
          <w:tcPr>
            <w:tcW w:type="dxa" w:w="4819"/>
          </w:tcPr>
          <w:p>
            <w:pPr>
              <w:spacing w:after="20" w:before="20" w:line="240" w:lineRule="auto"/>
            </w:pPr>
            <w:r/>
            <w:r>
              <w:rPr>
                <w:rFonts w:ascii="Arial" w:hAnsi="Arial" w:cs="Arial"/>
                <w:b w:val="0"/>
                <w:i w:val="0"/>
                <w:sz w:val="17"/>
              </w:rPr>
              <w:t>Buyer Request</w:t>
            </w:r>
          </w:p>
        </w:tc>
        <w:tc>
          <w:tcPr>
            <w:tcW w:type="dxa" w:w="4819"/>
          </w:tcPr>
          <w:p>
            <w:pPr>
              <w:spacing w:after="20" w:before="20" w:line="240" w:lineRule="auto"/>
            </w:pPr>
            <w:r/>
            <w:r>
              <w:rPr>
                <w:rFonts w:ascii="Arial" w:hAnsi="Arial" w:cs="Arial"/>
                <w:b w:val="0"/>
                <w:i w:val="0"/>
                <w:sz w:val="17"/>
              </w:rPr>
              <w:t>≠ Seller Quote</w:t>
            </w:r>
          </w:p>
        </w:tc>
      </w:tr>
      <w:tr>
        <w:tc>
          <w:tcPr>
            <w:tcW w:type="dxa" w:w="4819"/>
          </w:tcPr>
          <w:p>
            <w:pPr>
              <w:spacing w:after="20" w:before="20" w:line="240" w:lineRule="auto"/>
            </w:pPr>
            <w:r/>
            <w:r>
              <w:rPr>
                <w:rFonts w:ascii="Arial" w:hAnsi="Arial" w:cs="Arial"/>
                <w:b w:val="0"/>
                <w:i w:val="0"/>
                <w:sz w:val="17"/>
              </w:rPr>
              <w:t>Seller Quote</w:t>
            </w:r>
          </w:p>
        </w:tc>
        <w:tc>
          <w:tcPr>
            <w:tcW w:type="dxa" w:w="4819"/>
          </w:tcPr>
          <w:p>
            <w:pPr>
              <w:spacing w:after="20" w:before="20" w:line="240" w:lineRule="auto"/>
            </w:pPr>
            <w:r/>
            <w:r>
              <w:rPr>
                <w:rFonts w:ascii="Arial" w:hAnsi="Arial" w:cs="Arial"/>
                <w:b w:val="0"/>
                <w:i w:val="0"/>
                <w:sz w:val="17"/>
              </w:rPr>
              <w:t>≠ Mutually Accepted Commercial Terms</w:t>
            </w:r>
          </w:p>
        </w:tc>
      </w:tr>
      <w:tr>
        <w:tc>
          <w:tcPr>
            <w:tcW w:type="dxa" w:w="4819"/>
          </w:tcPr>
          <w:p>
            <w:pPr>
              <w:spacing w:after="20" w:before="20" w:line="240" w:lineRule="auto"/>
            </w:pPr>
            <w:r/>
            <w:r>
              <w:rPr>
                <w:rFonts w:ascii="Arial" w:hAnsi="Arial" w:cs="Arial"/>
                <w:b w:val="0"/>
                <w:i w:val="0"/>
                <w:sz w:val="17"/>
              </w:rPr>
              <w:t>Mutually Accepted Commercial Terms</w:t>
            </w:r>
          </w:p>
        </w:tc>
        <w:tc>
          <w:tcPr>
            <w:tcW w:type="dxa" w:w="4819"/>
          </w:tcPr>
          <w:p>
            <w:pPr>
              <w:spacing w:after="20" w:before="20" w:line="240" w:lineRule="auto"/>
            </w:pPr>
            <w:r/>
            <w:r>
              <w:rPr>
                <w:rFonts w:ascii="Arial" w:hAnsi="Arial" w:cs="Arial"/>
                <w:b w:val="0"/>
                <w:i w:val="0"/>
                <w:sz w:val="17"/>
              </w:rPr>
              <w:t>≠ Executed Contract</w:t>
            </w:r>
          </w:p>
        </w:tc>
      </w:tr>
      <w:tr>
        <w:tc>
          <w:tcPr>
            <w:tcW w:type="dxa" w:w="4819"/>
          </w:tcPr>
          <w:p>
            <w:pPr>
              <w:spacing w:after="20" w:before="20" w:line="240" w:lineRule="auto"/>
            </w:pPr>
            <w:r/>
            <w:r>
              <w:rPr>
                <w:rFonts w:ascii="Arial" w:hAnsi="Arial" w:cs="Arial"/>
                <w:b w:val="0"/>
                <w:i w:val="0"/>
                <w:sz w:val="17"/>
              </w:rPr>
              <w:t>Executed Contract</w:t>
            </w:r>
          </w:p>
        </w:tc>
        <w:tc>
          <w:tcPr>
            <w:tcW w:type="dxa" w:w="4819"/>
          </w:tcPr>
          <w:p>
            <w:pPr>
              <w:spacing w:after="20" w:before="20" w:line="240" w:lineRule="auto"/>
            </w:pPr>
            <w:r/>
            <w:r>
              <w:rPr>
                <w:rFonts w:ascii="Arial" w:hAnsi="Arial" w:cs="Arial"/>
                <w:b w:val="0"/>
                <w:i w:val="0"/>
                <w:sz w:val="17"/>
              </w:rPr>
              <w:t>≠ Locked Shipment</w:t>
            </w:r>
          </w:p>
        </w:tc>
      </w:tr>
      <w:tr>
        <w:tc>
          <w:tcPr>
            <w:tcW w:type="dxa" w:w="4819"/>
          </w:tcPr>
          <w:p>
            <w:pPr>
              <w:spacing w:after="20" w:before="20" w:line="240" w:lineRule="auto"/>
            </w:pPr>
            <w:r/>
            <w:r>
              <w:rPr>
                <w:rFonts w:ascii="Arial" w:hAnsi="Arial" w:cs="Arial"/>
                <w:b w:val="0"/>
                <w:i w:val="0"/>
                <w:sz w:val="17"/>
              </w:rPr>
              <w:t>Locked Shipment</w:t>
            </w:r>
          </w:p>
        </w:tc>
        <w:tc>
          <w:tcPr>
            <w:tcW w:type="dxa" w:w="4819"/>
          </w:tcPr>
          <w:p>
            <w:pPr>
              <w:spacing w:after="20" w:before="20" w:line="240" w:lineRule="auto"/>
            </w:pPr>
            <w:r/>
            <w:r>
              <w:rPr>
                <w:rFonts w:ascii="Arial" w:hAnsi="Arial" w:cs="Arial"/>
                <w:b w:val="0"/>
                <w:i w:val="0"/>
                <w:sz w:val="17"/>
              </w:rPr>
              <w:t>≠ Finalized Transaction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8.2.30 Step 30 — Mutual Confirmation</w:t>
      </w:r>
    </w:p>
    <w:p>
      <w:pPr>
        <w:spacing w:after="80" w:line="293" w:lineRule="auto"/>
        <w:jc w:val="left"/>
      </w:pPr>
      <w:r>
        <w:rPr>
          <w:rFonts w:ascii="Times New Roman" w:hAnsi="Times New Roman" w:cs="Times New Roman"/>
          <w:b w:val="0"/>
          <w:i w:val="0"/>
          <w:sz w:val="22"/>
        </w:rPr>
        <w:t>Both parties explicitly confirm the final commercial package ("Confirm Agreement"). Stored evidence: actor, timestamp, exact version, commercial snapshot, hash, Governor decision, and authentication evidence.</w:t>
      </w:r>
    </w:p>
    <w:p>
      <w:pPr>
        <w:spacing w:after="80" w:line="293" w:lineRule="auto"/>
        <w:jc w:val="left"/>
      </w:pPr>
      <w:r>
        <w:rPr>
          <w:rFonts w:ascii="Times New Roman" w:hAnsi="Times New Roman" w:cs="Times New Roman"/>
          <w:b w:val="0"/>
          <w:i w:val="0"/>
          <w:sz w:val="22"/>
        </w:rPr>
        <w:t>Once mutual confirmation occurs, no party may silently change: price, quantity, Incoterm, port, delivery, payment, documents, packing, logistics, insurance, or shipment schedule. Any change must enter the explicit Amendment Workflow (proposal → review → acceptance → new version → new confirmation where necessary).</w:t>
      </w:r>
    </w:p>
    <w:p>
      <w:pPr>
        <w:keepNext/>
        <w:spacing w:before="180" w:after="80"/>
        <w:outlineLvl w:val="2"/>
      </w:pPr>
      <w:r>
        <w:rPr>
          <w:rFonts w:ascii="Arial" w:hAnsi="Arial" w:cs="Arial"/>
          <w:b/>
          <w:i w:val="0"/>
          <w:color w:val="333333"/>
          <w:sz w:val="23"/>
        </w:rPr>
        <w:t>8.2.31 Step 31 — Contract Handoff</w:t>
      </w:r>
    </w:p>
    <w:p>
      <w:pPr>
        <w:spacing w:after="80" w:line="293" w:lineRule="auto"/>
        <w:jc w:val="left"/>
      </w:pPr>
      <w:r>
        <w:rPr>
          <w:rFonts w:ascii="Times New Roman" w:hAnsi="Times New Roman" w:cs="Times New Roman"/>
          <w:b w:val="0"/>
          <w:i w:val="0"/>
          <w:sz w:val="22"/>
        </w:rPr>
        <w:t>The system automatically prepares: the contract, applicable addenda, logistics addenda, agreed packing configuration, agreed delivery schedule, agreed document requirements, and agreed settlement terms — all derived from canonical data with no re-entry. Contract formation and signing are specified in Section 9.</w:t>
      </w:r>
    </w:p>
    <w:p>
      <w:pPr>
        <w:keepNext/>
        <w:spacing w:before="180" w:after="80"/>
        <w:outlineLvl w:val="2"/>
      </w:pPr>
      <w:r>
        <w:rPr>
          <w:rFonts w:ascii="Arial" w:hAnsi="Arial" w:cs="Arial"/>
          <w:b/>
          <w:i w:val="0"/>
          <w:color w:val="333333"/>
          <w:sz w:val="23"/>
        </w:rPr>
        <w:t>8.2.32 Step 32 — Own Contract Support</w:t>
      </w:r>
    </w:p>
    <w:p>
      <w:pPr>
        <w:spacing w:after="80" w:line="293" w:lineRule="auto"/>
        <w:jc w:val="left"/>
      </w:pPr>
      <w:r>
        <w:rPr>
          <w:rFonts w:ascii="Times New Roman" w:hAnsi="Times New Roman" w:cs="Times New Roman"/>
          <w:b w:val="0"/>
          <w:i w:val="0"/>
          <w:sz w:val="22"/>
        </w:rPr>
        <w:t>A buyer or seller may upload an external contract. The system extracts structured terms, compares against negotiated terms, detects contradictions, ensures SGTX-required provisions are handled, creates required addenda, and preserves the original document. Rule: never silently modify an uploaded contract.</w:t>
      </w:r>
    </w:p>
    <w:p>
      <w:pPr>
        <w:keepNext/>
        <w:spacing w:before="180" w:after="80"/>
        <w:outlineLvl w:val="2"/>
      </w:pPr>
      <w:r>
        <w:rPr>
          <w:rFonts w:ascii="Arial" w:hAnsi="Arial" w:cs="Arial"/>
          <w:b/>
          <w:i w:val="0"/>
          <w:color w:val="333333"/>
          <w:sz w:val="23"/>
        </w:rPr>
        <w:t>8.2.33 Step 33 — Logistics Addenda</w:t>
      </w:r>
    </w:p>
    <w:p>
      <w:pPr>
        <w:spacing w:after="80" w:line="293" w:lineRule="auto"/>
        <w:jc w:val="left"/>
      </w:pPr>
      <w:r>
        <w:rPr>
          <w:rFonts w:ascii="Times New Roman" w:hAnsi="Times New Roman" w:cs="Times New Roman"/>
          <w:b w:val="0"/>
          <w:i w:val="0"/>
          <w:sz w:val="22"/>
        </w:rPr>
        <w:t>For each external provider: provider, responsibility, agreed service, price, timing, document obligations, signature tracking, and retained signed artifact. Rule: shipment lock is blocked while a mandatory logistics addendum remains unresolved.</w:t>
      </w:r>
    </w:p>
    <w:p>
      <w:pPr>
        <w:keepNext/>
        <w:spacing w:before="180" w:after="80"/>
        <w:outlineLvl w:val="2"/>
      </w:pPr>
      <w:r>
        <w:rPr>
          <w:rFonts w:ascii="Arial" w:hAnsi="Arial" w:cs="Arial"/>
          <w:b/>
          <w:i w:val="0"/>
          <w:color w:val="333333"/>
          <w:sz w:val="23"/>
        </w:rPr>
        <w:t>8.2.34 Step 34 — Fee and Lock Handoff</w:t>
      </w:r>
    </w:p>
    <w:p>
      <w:pPr>
        <w:spacing w:after="80" w:line="293" w:lineRule="auto"/>
        <w:jc w:val="left"/>
      </w:pPr>
      <w:r>
        <w:rPr>
          <w:rFonts w:ascii="Times New Roman" w:hAnsi="Times New Roman" w:cs="Times New Roman"/>
          <w:b w:val="0"/>
          <w:i w:val="0"/>
          <w:sz w:val="22"/>
        </w:rPr>
        <w:t>Single shipment: Mutual Agreement → Applicable Fee Conditions → Signatures/Lock Conditions → USTN Generation. Multi-shipment: Master Agreement → Shipment-Specific Conditions → Shipment Fee/Lock → Shipment-Specific USTN. Each shipment remains independently executable.</w:t>
      </w:r>
    </w:p>
    <w:p>
      <w:pPr>
        <w:keepNext/>
        <w:spacing w:before="180" w:after="80"/>
        <w:outlineLvl w:val="2"/>
      </w:pPr>
      <w:r>
        <w:rPr>
          <w:rFonts w:ascii="Arial" w:hAnsi="Arial" w:cs="Arial"/>
          <w:b/>
          <w:i w:val="0"/>
          <w:color w:val="333333"/>
          <w:sz w:val="23"/>
        </w:rPr>
        <w:t>8.2.35 Step 35 — Seller Post-Quote Experience</w:t>
      </w:r>
    </w:p>
    <w:p>
      <w:pPr>
        <w:spacing w:after="80" w:line="293" w:lineRule="auto"/>
        <w:jc w:val="left"/>
      </w:pPr>
      <w:r>
        <w:rPr>
          <w:rFonts w:ascii="Times New Roman" w:hAnsi="Times New Roman" w:cs="Times New Roman"/>
          <w:b w:val="0"/>
          <w:i w:val="0"/>
          <w:sz w:val="22"/>
        </w:rPr>
        <w:t>Monitoring states: Waiting for Buyer; Buyer Reviewing; Buyer Countered; Buyer Accepted; Quote Expired. The seller never needs to search manually for updates — the Smart Inbox surfaces the next required action.</w:t>
      </w:r>
    </w:p>
    <w:p>
      <w:pPr>
        <w:keepNext/>
        <w:spacing w:before="180" w:after="80"/>
        <w:outlineLvl w:val="2"/>
      </w:pPr>
      <w:r>
        <w:rPr>
          <w:rFonts w:ascii="Arial" w:hAnsi="Arial" w:cs="Arial"/>
          <w:b/>
          <w:i w:val="0"/>
          <w:color w:val="333333"/>
          <w:sz w:val="23"/>
        </w:rPr>
        <w:t>8.2.36 Step 36 — Seller Financing Declaration (Data-Sovereign)</w:t>
      </w:r>
    </w:p>
    <w:p>
      <w:pPr>
        <w:spacing w:after="80" w:line="293" w:lineRule="auto"/>
        <w:jc w:val="left"/>
      </w:pPr>
      <w:r>
        <w:rPr>
          <w:rFonts w:ascii="Times New Roman" w:hAnsi="Times New Roman" w:cs="Times New Roman"/>
          <w:b w:val="0"/>
          <w:i w:val="0"/>
          <w:sz w:val="22"/>
        </w:rPr>
        <w:t>Location: quote submission step. Field: seller_financing_required = true. Rule: the seller's financing intent is never visible to the buyer unless explicitly shared through the CFR process (Section 7).</w:t>
      </w:r>
    </w:p>
    <w:p>
      <w:pPr>
        <w:keepNext/>
        <w:spacing w:before="180" w:after="80"/>
        <w:outlineLvl w:val="2"/>
      </w:pPr>
      <w:r>
        <w:rPr>
          <w:rFonts w:ascii="Arial" w:hAnsi="Arial" w:cs="Arial"/>
          <w:b/>
          <w:i w:val="0"/>
          <w:color w:val="333333"/>
          <w:sz w:val="23"/>
        </w:rPr>
        <w:t>8.2.37 Integration with Other Sections</w:t>
      </w:r>
    </w:p>
    <w:p>
      <w:pPr>
        <w:spacing w:after="80" w:line="293" w:lineRule="auto"/>
        <w:jc w:val="left"/>
      </w:pPr>
      <w:r>
        <w:rPr>
          <w:rFonts w:ascii="Times New Roman" w:hAnsi="Times New Roman" w:cs="Times New Roman"/>
          <w:b w:val="0"/>
          <w:i w:val="0"/>
          <w:sz w:val="22"/>
        </w:rPr>
        <w:t>The seller workflow consumes the buyer's structured request (Section 6) and hands off to negotiation and contracting (Section 9). Logistics orchestration uses the unified service capability model and provider port coverage (Section 11). Packing, documents, and customs artifacts feed physical execution and multiparty tracking (Section 12), settlement (Section 13), and the data model tables defined in Section 17. The seller's financing declaration drives pre-clearance (Section 7) and formal financing execution (Section 10). Governor gates referenced throughout are defined in Section 15; the Smart Inbox and Trade Command Center are specified in Section 16.</w:t>
      </w:r>
    </w:p>
    <w:p>
      <w:pPr>
        <w:keepNext/>
        <w:spacing w:before="180" w:after="80"/>
        <w:outlineLvl w:val="2"/>
      </w:pPr>
      <w:r>
        <w:rPr>
          <w:rFonts w:ascii="Arial" w:hAnsi="Arial" w:cs="Arial"/>
          <w:b/>
          <w:i w:val="0"/>
          <w:color w:val="333333"/>
          <w:sz w:val="23"/>
        </w:rPr>
        <w:t>8.2.38 One-Click Count Summary (Seller)</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Action</w:t>
            </w:r>
          </w:p>
        </w:tc>
        <w:tc>
          <w:tcPr>
            <w:tcW w:type="dxa" w:w="4819"/>
            <w:shd w:val="clear" w:fill="D9E2F3"/>
          </w:tcPr>
          <w:p>
            <w:pPr>
              <w:spacing w:after="20" w:before="20" w:line="240" w:lineRule="auto"/>
            </w:pPr>
            <w:r/>
            <w:r>
              <w:rPr>
                <w:rFonts w:ascii="Arial" w:hAnsi="Arial" w:cs="Arial"/>
                <w:b/>
                <w:i w:val="0"/>
                <w:sz w:val="18"/>
              </w:rPr>
              <w:t>Clicks</w:t>
            </w:r>
          </w:p>
        </w:tc>
      </w:tr>
      <w:tr>
        <w:tc>
          <w:tcPr>
            <w:tcW w:type="dxa" w:w="4819"/>
          </w:tcPr>
          <w:p>
            <w:pPr>
              <w:spacing w:after="20" w:before="20" w:line="240" w:lineRule="auto"/>
            </w:pPr>
            <w:r/>
            <w:r>
              <w:rPr>
                <w:rFonts w:ascii="Arial" w:hAnsi="Arial" w:cs="Arial"/>
                <w:b w:val="0"/>
                <w:i w:val="0"/>
                <w:sz w:val="17"/>
              </w:rPr>
              <w:t>Open trade request from Smart Inbox</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Accept request</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Save loading origin</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Use fair price (EXW)</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Lock EXW price</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Run packing optimiser / save configuration</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Confirm logistics bundle</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Select logistics provider quote</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Confirm alternative ports</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Respond to multi-shipment schedule</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Review pre-submission brief</w:t>
            </w:r>
          </w:p>
        </w:tc>
        <w:tc>
          <w:tcPr>
            <w:tcW w:type="dxa" w:w="4819"/>
          </w:tcPr>
          <w:p>
            <w:pPr>
              <w:spacing w:after="20" w:before="20" w:line="240" w:lineRule="auto"/>
            </w:pPr>
            <w:r/>
            <w:r>
              <w:rPr>
                <w:rFonts w:ascii="Arial" w:hAnsi="Arial" w:cs="Arial"/>
                <w:b w:val="0"/>
                <w:i w:val="0"/>
                <w:sz w:val="17"/>
              </w:rPr>
              <w:t>1</w:t>
            </w:r>
          </w:p>
        </w:tc>
      </w:tr>
      <w:tr>
        <w:tc>
          <w:tcPr>
            <w:tcW w:type="dxa" w:w="4819"/>
          </w:tcPr>
          <w:p>
            <w:pPr>
              <w:spacing w:after="20" w:before="20" w:line="240" w:lineRule="auto"/>
            </w:pPr>
            <w:r/>
            <w:r>
              <w:rPr>
                <w:rFonts w:ascii="Arial" w:hAnsi="Arial" w:cs="Arial"/>
                <w:b w:val="0"/>
                <w:i w:val="0"/>
                <w:sz w:val="17"/>
              </w:rPr>
              <w:t>Submit quote</w:t>
            </w:r>
          </w:p>
        </w:tc>
        <w:tc>
          <w:tcPr>
            <w:tcW w:type="dxa" w:w="4819"/>
          </w:tcPr>
          <w:p>
            <w:pPr>
              <w:spacing w:after="20" w:before="20" w:line="240" w:lineRule="auto"/>
            </w:pPr>
            <w:r/>
            <w:r>
              <w:rPr>
                <w:rFonts w:ascii="Arial" w:hAnsi="Arial" w:cs="Arial"/>
                <w:b w:val="0"/>
                <w:i w:val="0"/>
                <w:sz w:val="17"/>
              </w:rPr>
              <w:t>1</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Approximately 12–15 clicks from opening the request to submitting the quote (excluding data entry). Voice commands are available for packing and logistics selections.</w:t>
      </w:r>
    </w:p>
    <w:p>
      <w:pPr>
        <w:keepNext/>
        <w:spacing w:before="180" w:after="80"/>
        <w:outlineLvl w:val="2"/>
      </w:pPr>
      <w:r>
        <w:rPr>
          <w:rFonts w:ascii="Arial" w:hAnsi="Arial" w:cs="Arial"/>
          <w:b/>
          <w:i w:val="0"/>
          <w:color w:val="333333"/>
          <w:sz w:val="23"/>
        </w:rPr>
        <w:t>8.2.39 Implementation Checklist (Phase 2)</w:t>
      </w:r>
    </w:p>
    <w:p>
      <w:pPr>
        <w:spacing w:after="80" w:line="293" w:lineRule="auto"/>
        <w:jc w:val="left"/>
      </w:pPr>
      <w:r>
        <w:rPr>
          <w:rFonts w:ascii="Times New Roman" w:hAnsi="Times New Roman" w:cs="Times New Roman"/>
          <w:b w:val="0"/>
          <w:i w:val="0"/>
          <w:sz w:val="22"/>
        </w:rPr>
        <w:t>Loading Origin:</w:t>
      </w:r>
    </w:p>
    <w:p>
      <w:pPr>
        <w:spacing w:after="80" w:line="293" w:lineRule="auto"/>
        <w:ind w:left="283"/>
        <w:jc w:val="left"/>
      </w:pPr>
      <w:r>
        <w:rPr>
          <w:rFonts w:ascii="Times New Roman" w:hAnsi="Times New Roman" w:cs="Times New Roman"/>
          <w:b w:val="0"/>
          <w:i w:val="0"/>
          <w:sz w:val="22"/>
        </w:rPr>
        <w:t>- Build Loading Origin component (country, port, alternative point)</w:t>
      </w:r>
    </w:p>
    <w:p>
      <w:pPr>
        <w:spacing w:after="80" w:line="293" w:lineRule="auto"/>
        <w:ind w:left="283"/>
        <w:jc w:val="left"/>
      </w:pPr>
      <w:r>
        <w:rPr>
          <w:rFonts w:ascii="Times New Roman" w:hAnsi="Times New Roman" w:cs="Times New Roman"/>
          <w:b w:val="0"/>
          <w:i w:val="0"/>
          <w:sz w:val="22"/>
        </w:rPr>
        <w:t>- Implement OSRM distance calculation</w:t>
      </w:r>
    </w:p>
    <w:p>
      <w:pPr>
        <w:spacing w:after="80" w:line="293" w:lineRule="auto"/>
        <w:ind w:left="283"/>
        <w:jc w:val="left"/>
      </w:pPr>
      <w:r>
        <w:rPr>
          <w:rFonts w:ascii="Times New Roman" w:hAnsi="Times New Roman" w:cs="Times New Roman"/>
          <w:b w:val="0"/>
          <w:i w:val="0"/>
          <w:sz w:val="22"/>
        </w:rPr>
        <w:t>- Add Governor validation (sanctions, Incoterm compatibility)</w:t>
      </w:r>
    </w:p>
    <w:p>
      <w:pPr>
        <w:spacing w:after="80" w:line="293" w:lineRule="auto"/>
        <w:jc w:val="left"/>
      </w:pPr>
      <w:r>
        <w:rPr>
          <w:rFonts w:ascii="Times New Roman" w:hAnsi="Times New Roman" w:cs="Times New Roman"/>
          <w:b w:val="0"/>
          <w:i w:val="0"/>
          <w:sz w:val="22"/>
        </w:rPr>
        <w:t>EXW Price Lock:</w:t>
      </w:r>
    </w:p>
    <w:p>
      <w:pPr>
        <w:spacing w:after="80" w:line="293" w:lineRule="auto"/>
        <w:ind w:left="283"/>
        <w:jc w:val="left"/>
      </w:pPr>
      <w:r>
        <w:rPr>
          <w:rFonts w:ascii="Times New Roman" w:hAnsi="Times New Roman" w:cs="Times New Roman"/>
          <w:b w:val="0"/>
          <w:i w:val="0"/>
          <w:sz w:val="22"/>
        </w:rPr>
        <w:t>- Build live market chart (FAO, USDA, World Bank)</w:t>
      </w:r>
    </w:p>
    <w:p>
      <w:pPr>
        <w:spacing w:after="80" w:line="293" w:lineRule="auto"/>
        <w:ind w:left="283"/>
        <w:jc w:val="left"/>
      </w:pPr>
      <w:r>
        <w:rPr>
          <w:rFonts w:ascii="Times New Roman" w:hAnsi="Times New Roman" w:cs="Times New Roman"/>
          <w:b w:val="0"/>
          <w:i w:val="0"/>
          <w:sz w:val="22"/>
        </w:rPr>
        <w:t>- Implement AI fair price badge (A1, Groq)</w:t>
      </w:r>
    </w:p>
    <w:p>
      <w:pPr>
        <w:spacing w:after="80" w:line="293" w:lineRule="auto"/>
        <w:ind w:left="283"/>
        <w:jc w:val="left"/>
      </w:pPr>
      <w:r>
        <w:rPr>
          <w:rFonts w:ascii="Times New Roman" w:hAnsi="Times New Roman" w:cs="Times New Roman"/>
          <w:b w:val="0"/>
          <w:i w:val="0"/>
          <w:sz w:val="22"/>
        </w:rPr>
        <w:t>- Implement dynamic unit conversion (per ton / per kilo / per unit)</w:t>
      </w:r>
    </w:p>
    <w:p>
      <w:pPr>
        <w:spacing w:after="80" w:line="293" w:lineRule="auto"/>
        <w:ind w:left="283"/>
        <w:jc w:val="left"/>
      </w:pPr>
      <w:r>
        <w:rPr>
          <w:rFonts w:ascii="Times New Roman" w:hAnsi="Times New Roman" w:cs="Times New Roman"/>
          <w:b w:val="0"/>
          <w:i w:val="0"/>
          <w:sz w:val="22"/>
        </w:rPr>
        <w:t>- Implement total EXW value calculation (real-time)</w:t>
      </w:r>
    </w:p>
    <w:p>
      <w:pPr>
        <w:spacing w:after="80" w:line="293" w:lineRule="auto"/>
        <w:ind w:left="283"/>
        <w:jc w:val="left"/>
      </w:pPr>
      <w:r>
        <w:rPr>
          <w:rFonts w:ascii="Times New Roman" w:hAnsi="Times New Roman" w:cs="Times New Roman"/>
          <w:b w:val="0"/>
          <w:i w:val="0"/>
          <w:sz w:val="22"/>
        </w:rPr>
        <w:t>- Implement price deviation justification (&gt;30% above AI band)</w:t>
      </w:r>
    </w:p>
    <w:p>
      <w:pPr>
        <w:spacing w:after="80" w:line="293" w:lineRule="auto"/>
        <w:ind w:left="283"/>
        <w:jc w:val="left"/>
      </w:pPr>
      <w:r>
        <w:rPr>
          <w:rFonts w:ascii="Times New Roman" w:hAnsi="Times New Roman" w:cs="Times New Roman"/>
          <w:b w:val="0"/>
          <w:i w:val="0"/>
          <w:sz w:val="22"/>
        </w:rPr>
        <w:t>- Implement post-lock price watch (A2, background monitoring)</w:t>
      </w:r>
    </w:p>
    <w:p>
      <w:pPr>
        <w:spacing w:after="80" w:line="293" w:lineRule="auto"/>
        <w:ind w:left="283"/>
        <w:jc w:val="left"/>
      </w:pPr>
      <w:r>
        <w:rPr>
          <w:rFonts w:ascii="Times New Roman" w:hAnsi="Times New Roman" w:cs="Times New Roman"/>
          <w:b w:val="0"/>
          <w:i w:val="0"/>
          <w:sz w:val="22"/>
        </w:rPr>
        <w:t>- Implement five high-end add-ons: volume-tiered pricing; dynamic currency conversion; historical price comparison; lock &amp; hold; admin-controlled floor/ceiling</w:t>
      </w:r>
    </w:p>
    <w:p>
      <w:pPr>
        <w:spacing w:after="80" w:line="293" w:lineRule="auto"/>
        <w:jc w:val="left"/>
      </w:pPr>
      <w:r>
        <w:rPr>
          <w:rFonts w:ascii="Times New Roman" w:hAnsi="Times New Roman" w:cs="Times New Roman"/>
          <w:b w:val="0"/>
          <w:i w:val="0"/>
          <w:sz w:val="22"/>
        </w:rPr>
        <w:t>Packing &amp; Containerisation:</w:t>
      </w:r>
    </w:p>
    <w:p>
      <w:pPr>
        <w:spacing w:after="80" w:line="293" w:lineRule="auto"/>
        <w:ind w:left="283"/>
        <w:jc w:val="left"/>
      </w:pPr>
      <w:r>
        <w:rPr>
          <w:rFonts w:ascii="Times New Roman" w:hAnsi="Times New Roman" w:cs="Times New Roman"/>
          <w:b w:val="0"/>
          <w:i w:val="0"/>
          <w:sz w:val="22"/>
        </w:rPr>
        <w:t>- Implement weight calculation engine (real-time)</w:t>
      </w:r>
    </w:p>
    <w:p>
      <w:pPr>
        <w:spacing w:after="80" w:line="293" w:lineRule="auto"/>
        <w:ind w:left="283"/>
        <w:jc w:val="left"/>
      </w:pPr>
      <w:r>
        <w:rPr>
          <w:rFonts w:ascii="Times New Roman" w:hAnsi="Times New Roman" w:cs="Times New Roman"/>
          <w:b w:val="0"/>
          <w:i w:val="0"/>
          <w:sz w:val="22"/>
        </w:rPr>
        <w:t>- Implement palletisation optimiser (ORTools CP-SAT)</w:t>
      </w:r>
    </w:p>
    <w:p>
      <w:pPr>
        <w:spacing w:after="80" w:line="293" w:lineRule="auto"/>
        <w:ind w:left="283"/>
        <w:jc w:val="left"/>
      </w:pPr>
      <w:r>
        <w:rPr>
          <w:rFonts w:ascii="Times New Roman" w:hAnsi="Times New Roman" w:cs="Times New Roman"/>
          <w:b w:val="0"/>
          <w:i w:val="0"/>
          <w:sz w:val="22"/>
        </w:rPr>
        <w:t>- Implement non-uniform layer stacking (mixed layer configurations)</w:t>
      </w:r>
    </w:p>
    <w:p>
      <w:pPr>
        <w:spacing w:after="80" w:line="293" w:lineRule="auto"/>
        <w:ind w:left="283"/>
        <w:jc w:val="left"/>
      </w:pPr>
      <w:r>
        <w:rPr>
          <w:rFonts w:ascii="Times New Roman" w:hAnsi="Times New Roman" w:cs="Times New Roman"/>
          <w:b w:val="0"/>
          <w:i w:val="0"/>
          <w:sz w:val="22"/>
        </w:rPr>
        <w:t>- Implement 3D container viewer (Three.js)</w:t>
      </w:r>
    </w:p>
    <w:p>
      <w:pPr>
        <w:spacing w:after="80" w:line="293" w:lineRule="auto"/>
        <w:ind w:left="283"/>
        <w:jc w:val="left"/>
      </w:pPr>
      <w:r>
        <w:rPr>
          <w:rFonts w:ascii="Times New Roman" w:hAnsi="Times New Roman" w:cs="Times New Roman"/>
          <w:b w:val="0"/>
          <w:i w:val="0"/>
          <w:sz w:val="22"/>
        </w:rPr>
        <w:t>- Implement collaborative editing (Yjs + WebRTC)</w:t>
      </w:r>
    </w:p>
    <w:p>
      <w:pPr>
        <w:spacing w:after="80" w:line="293" w:lineRule="auto"/>
        <w:ind w:left="283"/>
        <w:jc w:val="left"/>
      </w:pPr>
      <w:r>
        <w:rPr>
          <w:rFonts w:ascii="Times New Roman" w:hAnsi="Times New Roman" w:cs="Times New Roman"/>
          <w:b w:val="0"/>
          <w:i w:val="0"/>
          <w:sz w:val="22"/>
        </w:rPr>
        <w:t>- Implement ecological packaging advisor (A1, Groq)</w:t>
      </w:r>
    </w:p>
    <w:p>
      <w:pPr>
        <w:spacing w:after="80" w:line="293" w:lineRule="auto"/>
        <w:ind w:left="283"/>
        <w:jc w:val="left"/>
      </w:pPr>
      <w:r>
        <w:rPr>
          <w:rFonts w:ascii="Times New Roman" w:hAnsi="Times New Roman" w:cs="Times New Roman"/>
          <w:b w:val="0"/>
          <w:i w:val="0"/>
          <w:sz w:val="22"/>
        </w:rPr>
        <w:t>- Implement carbon footprint calculation (ISO 14067)</w:t>
      </w:r>
    </w:p>
    <w:p>
      <w:pPr>
        <w:spacing w:after="80" w:line="293" w:lineRule="auto"/>
        <w:ind w:left="283"/>
        <w:jc w:val="left"/>
      </w:pPr>
      <w:r>
        <w:rPr>
          <w:rFonts w:ascii="Times New Roman" w:hAnsi="Times New Roman" w:cs="Times New Roman"/>
          <w:b w:val="0"/>
          <w:i w:val="0"/>
          <w:sz w:val="22"/>
        </w:rPr>
        <w:t>- Implement lock packing plan (Governor validation)</w:t>
      </w:r>
    </w:p>
    <w:p>
      <w:pPr>
        <w:spacing w:after="80" w:line="293" w:lineRule="auto"/>
        <w:jc w:val="left"/>
      </w:pPr>
      <w:r>
        <w:rPr>
          <w:rFonts w:ascii="Times New Roman" w:hAnsi="Times New Roman" w:cs="Times New Roman"/>
          <w:b w:val="0"/>
          <w:i w:val="0"/>
          <w:sz w:val="22"/>
        </w:rPr>
        <w:t>Logistics Orchestration (Three Modes):</w:t>
      </w:r>
    </w:p>
    <w:p>
      <w:pPr>
        <w:spacing w:after="80" w:line="293" w:lineRule="auto"/>
        <w:ind w:left="283"/>
        <w:jc w:val="left"/>
      </w:pPr>
      <w:r>
        <w:rPr>
          <w:rFonts w:ascii="Times New Roman" w:hAnsi="Times New Roman" w:cs="Times New Roman"/>
          <w:b w:val="0"/>
          <w:i w:val="0"/>
          <w:sz w:val="22"/>
        </w:rPr>
        <w:t>- Implement Mode A — Manual Entry with Incoterm-based filtering</w:t>
      </w:r>
    </w:p>
    <w:p>
      <w:pPr>
        <w:spacing w:after="80" w:line="293" w:lineRule="auto"/>
        <w:ind w:left="283"/>
        <w:jc w:val="left"/>
      </w:pPr>
      <w:r>
        <w:rPr>
          <w:rFonts w:ascii="Times New Roman" w:hAnsi="Times New Roman" w:cs="Times New Roman"/>
          <w:b w:val="0"/>
          <w:i w:val="0"/>
          <w:sz w:val="22"/>
        </w:rPr>
        <w:t>- Implement Mode B — RFQ to LSPs with clarification requests</w:t>
      </w:r>
    </w:p>
    <w:p>
      <w:pPr>
        <w:spacing w:after="80" w:line="293" w:lineRule="auto"/>
        <w:ind w:left="283"/>
        <w:jc w:val="left"/>
      </w:pPr>
      <w:r>
        <w:rPr>
          <w:rFonts w:ascii="Times New Roman" w:hAnsi="Times New Roman" w:cs="Times New Roman"/>
          <w:b w:val="0"/>
          <w:i w:val="0"/>
          <w:sz w:val="22"/>
        </w:rPr>
        <w:t>- Implement Mode C — Direct to shipping lines with add-on services</w:t>
      </w:r>
    </w:p>
    <w:p>
      <w:pPr>
        <w:spacing w:after="80" w:line="293" w:lineRule="auto"/>
        <w:ind w:left="283"/>
        <w:jc w:val="left"/>
      </w:pPr>
      <w:r>
        <w:rPr>
          <w:rFonts w:ascii="Times New Roman" w:hAnsi="Times New Roman" w:cs="Times New Roman"/>
          <w:b w:val="0"/>
          <w:i w:val="0"/>
          <w:sz w:val="22"/>
        </w:rPr>
        <w:t>- Build combined mode selection and comparison panel</w:t>
      </w:r>
    </w:p>
    <w:p>
      <w:pPr>
        <w:spacing w:after="80" w:line="293" w:lineRule="auto"/>
        <w:ind w:left="283"/>
        <w:jc w:val="left"/>
      </w:pPr>
      <w:r>
        <w:rPr>
          <w:rFonts w:ascii="Times New Roman" w:hAnsi="Times New Roman" w:cs="Times New Roman"/>
          <w:b w:val="0"/>
          <w:i w:val="0"/>
          <w:sz w:val="22"/>
        </w:rPr>
        <w:t>- Build alternative delivery ports with AI suggestions</w:t>
      </w:r>
    </w:p>
    <w:p>
      <w:pPr>
        <w:spacing w:after="80" w:line="293" w:lineRule="auto"/>
        <w:jc w:val="left"/>
      </w:pPr>
      <w:r>
        <w:rPr>
          <w:rFonts w:ascii="Times New Roman" w:hAnsi="Times New Roman" w:cs="Times New Roman"/>
          <w:b w:val="0"/>
          <w:i w:val="0"/>
          <w:sz w:val="22"/>
        </w:rPr>
        <w:t>Multi-Shipment Response:</w:t>
      </w:r>
    </w:p>
    <w:p>
      <w:pPr>
        <w:spacing w:after="80" w:line="293" w:lineRule="auto"/>
        <w:ind w:left="283"/>
        <w:jc w:val="left"/>
      </w:pPr>
      <w:r>
        <w:rPr>
          <w:rFonts w:ascii="Times New Roman" w:hAnsi="Times New Roman" w:cs="Times New Roman"/>
          <w:b w:val="0"/>
          <w:i w:val="0"/>
          <w:sz w:val="22"/>
        </w:rPr>
        <w:t>- Implement accept as proposed (one click)</w:t>
      </w:r>
    </w:p>
    <w:p>
      <w:pPr>
        <w:spacing w:after="80" w:line="293" w:lineRule="auto"/>
        <w:ind w:left="283"/>
        <w:jc w:val="left"/>
      </w:pPr>
      <w:r>
        <w:rPr>
          <w:rFonts w:ascii="Times New Roman" w:hAnsi="Times New Roman" w:cs="Times New Roman"/>
          <w:b w:val="0"/>
          <w:i w:val="0"/>
          <w:sz w:val="22"/>
        </w:rPr>
        <w:t>- Implement propose modifications (edit delivery date, port, containers)</w:t>
      </w:r>
    </w:p>
    <w:p>
      <w:pPr>
        <w:spacing w:after="80" w:line="293" w:lineRule="auto"/>
        <w:ind w:left="283"/>
        <w:jc w:val="left"/>
      </w:pPr>
      <w:r>
        <w:rPr>
          <w:rFonts w:ascii="Times New Roman" w:hAnsi="Times New Roman" w:cs="Times New Roman"/>
          <w:b w:val="0"/>
          <w:i w:val="0"/>
          <w:sz w:val="22"/>
        </w:rPr>
        <w:t>- Implement reject — propose single shipment</w:t>
      </w:r>
    </w:p>
    <w:p>
      <w:pPr>
        <w:spacing w:after="80" w:line="293" w:lineRule="auto"/>
        <w:ind w:left="283"/>
        <w:jc w:val="left"/>
      </w:pPr>
      <w:r>
        <w:rPr>
          <w:rFonts w:ascii="Times New Roman" w:hAnsi="Times New Roman" w:cs="Times New Roman"/>
          <w:b w:val="0"/>
          <w:i w:val="0"/>
          <w:sz w:val="22"/>
        </w:rPr>
        <w:t>- Add Governor validation for multi-shipment modifications</w:t>
      </w:r>
    </w:p>
    <w:p>
      <w:pPr>
        <w:spacing w:after="80" w:line="293" w:lineRule="auto"/>
        <w:jc w:val="left"/>
      </w:pPr>
      <w:r>
        <w:rPr>
          <w:rFonts w:ascii="Times New Roman" w:hAnsi="Times New Roman" w:cs="Times New Roman"/>
          <w:b w:val="0"/>
          <w:i w:val="0"/>
          <w:sz w:val="22"/>
        </w:rPr>
        <w:t>Quote Submission:</w:t>
      </w:r>
    </w:p>
    <w:p>
      <w:pPr>
        <w:spacing w:after="80" w:line="293" w:lineRule="auto"/>
        <w:ind w:left="283"/>
        <w:jc w:val="left"/>
      </w:pPr>
      <w:r>
        <w:rPr>
          <w:rFonts w:ascii="Times New Roman" w:hAnsi="Times New Roman" w:cs="Times New Roman"/>
          <w:b w:val="0"/>
          <w:i w:val="0"/>
          <w:sz w:val="22"/>
        </w:rPr>
        <w:t>- Implement the SGTX Dynamic Fee Engine calculation (Section 9.27)</w:t>
      </w:r>
    </w:p>
    <w:p>
      <w:pPr>
        <w:spacing w:after="80" w:line="293" w:lineRule="auto"/>
        <w:ind w:left="283"/>
        <w:jc w:val="left"/>
      </w:pPr>
      <w:r>
        <w:rPr>
          <w:rFonts w:ascii="Times New Roman" w:hAnsi="Times New Roman" w:cs="Times New Roman"/>
          <w:b w:val="0"/>
          <w:i w:val="0"/>
          <w:sz w:val="22"/>
        </w:rPr>
        <w:t>- Build quote breakdown display (EXW, logistics, SGTX fee, final price)</w:t>
      </w:r>
    </w:p>
    <w:p>
      <w:pPr>
        <w:spacing w:after="80" w:line="293" w:lineRule="auto"/>
        <w:ind w:left="283"/>
        <w:jc w:val="left"/>
      </w:pPr>
      <w:r>
        <w:rPr>
          <w:rFonts w:ascii="Times New Roman" w:hAnsi="Times New Roman" w:cs="Times New Roman"/>
          <w:b w:val="0"/>
          <w:i w:val="0"/>
          <w:sz w:val="22"/>
        </w:rPr>
        <w:t>- Implement submit quote endpoint with Governor validation</w:t>
      </w:r>
    </w:p>
    <w:p>
      <w:pPr>
        <w:spacing w:after="80" w:line="293" w:lineRule="auto"/>
        <w:ind w:left="283"/>
        <w:jc w:val="left"/>
      </w:pPr>
      <w:r>
        <w:rPr>
          <w:rFonts w:ascii="Times New Roman" w:hAnsi="Times New Roman" w:cs="Times New Roman"/>
          <w:b w:val="0"/>
          <w:i w:val="0"/>
          <w:sz w:val="22"/>
        </w:rPr>
        <w:t>- Implement Decision Panel for CONDITIONAL/DENY</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Test full seller workflow (accept request → lock EXW → pack → logistics → submit quote)</w:t>
      </w:r>
    </w:p>
    <w:p>
      <w:pPr>
        <w:spacing w:after="80" w:line="293" w:lineRule="auto"/>
        <w:ind w:left="283"/>
        <w:jc w:val="left"/>
      </w:pPr>
      <w:r>
        <w:rPr>
          <w:rFonts w:ascii="Times New Roman" w:hAnsi="Times New Roman" w:cs="Times New Roman"/>
          <w:b w:val="0"/>
          <w:i w:val="0"/>
          <w:sz w:val="22"/>
        </w:rPr>
        <w:t>- Test all three logistics modes (A, B, C)</w:t>
      </w:r>
    </w:p>
    <w:p>
      <w:pPr>
        <w:spacing w:after="80" w:line="293" w:lineRule="auto"/>
        <w:ind w:left="283"/>
        <w:jc w:val="left"/>
      </w:pPr>
      <w:r>
        <w:rPr>
          <w:rFonts w:ascii="Times New Roman" w:hAnsi="Times New Roman" w:cs="Times New Roman"/>
          <w:b w:val="0"/>
          <w:i w:val="0"/>
          <w:sz w:val="22"/>
        </w:rPr>
        <w:t>- Test combined modes (B + C)</w:t>
      </w:r>
    </w:p>
    <w:p>
      <w:pPr>
        <w:spacing w:after="80" w:line="293" w:lineRule="auto"/>
        <w:ind w:left="283"/>
        <w:jc w:val="left"/>
      </w:pPr>
      <w:r>
        <w:rPr>
          <w:rFonts w:ascii="Times New Roman" w:hAnsi="Times New Roman" w:cs="Times New Roman"/>
          <w:b w:val="0"/>
          <w:i w:val="0"/>
          <w:sz w:val="22"/>
        </w:rPr>
        <w:t>- Test multi-shipment acceptance and modification</w:t>
      </w:r>
    </w:p>
    <w:p>
      <w:pPr>
        <w:spacing w:after="80" w:line="293" w:lineRule="auto"/>
        <w:ind w:left="283"/>
        <w:jc w:val="left"/>
      </w:pPr>
      <w:r>
        <w:rPr>
          <w:rFonts w:ascii="Times New Roman" w:hAnsi="Times New Roman" w:cs="Times New Roman"/>
          <w:b w:val="0"/>
          <w:i w:val="0"/>
          <w:sz w:val="22"/>
        </w:rPr>
        <w:t>- Test non-uniform layer stacking validation</w:t>
      </w:r>
    </w:p>
    <w:p>
      <w:pPr>
        <w:spacing w:after="80" w:line="293" w:lineRule="auto"/>
        <w:ind w:left="283"/>
        <w:jc w:val="left"/>
      </w:pPr>
      <w:r>
        <w:rPr>
          <w:rFonts w:ascii="Times New Roman" w:hAnsi="Times New Roman" w:cs="Times New Roman"/>
          <w:b w:val="0"/>
          <w:i w:val="0"/>
          <w:sz w:val="22"/>
        </w:rPr>
        <w:t>- Test EXW price deviation justification</w:t>
      </w:r>
    </w:p>
    <w:p>
      <w:pPr>
        <w:spacing w:after="80" w:line="293" w:lineRule="auto"/>
        <w:ind w:left="283"/>
        <w:jc w:val="left"/>
      </w:pPr>
      <w:r>
        <w:rPr>
          <w:rFonts w:ascii="Times New Roman" w:hAnsi="Times New Roman" w:cs="Times New Roman"/>
          <w:b w:val="0"/>
          <w:i w:val="0"/>
          <w:sz w:val="22"/>
        </w:rPr>
        <w:t>- Test post-lock price watch</w:t>
      </w:r>
    </w:p>
    <w:p>
      <w:pPr>
        <w:spacing w:after="80" w:line="293" w:lineRule="auto"/>
        <w:ind w:left="283"/>
        <w:jc w:val="left"/>
      </w:pPr>
      <w:r>
        <w:rPr>
          <w:rFonts w:ascii="Times New Roman" w:hAnsi="Times New Roman" w:cs="Times New Roman"/>
          <w:b w:val="0"/>
          <w:i w:val="0"/>
          <w:sz w:val="22"/>
        </w:rPr>
        <w:t>- Test alternative delivery ports</w:t>
      </w:r>
    </w:p>
    <w:p>
      <w:pPr>
        <w:spacing w:after="80" w:line="293" w:lineRule="auto"/>
        <w:ind w:left="283"/>
        <w:jc w:val="left"/>
      </w:pPr>
      <w:r>
        <w:rPr>
          <w:rFonts w:ascii="Times New Roman" w:hAnsi="Times New Roman" w:cs="Times New Roman"/>
          <w:b w:val="0"/>
          <w:i w:val="0"/>
          <w:sz w:val="22"/>
        </w:rPr>
        <w:t>- Test Governor validation for mandatory services</w:t>
      </w:r>
    </w:p>
    <w:p>
      <w:pPr>
        <w:keepNext/>
        <w:spacing w:before="180" w:after="80"/>
        <w:outlineLvl w:val="2"/>
      </w:pPr>
      <w:r>
        <w:rPr>
          <w:rFonts w:ascii="Arial" w:hAnsi="Arial" w:cs="Arial"/>
          <w:b/>
          <w:i w:val="0"/>
          <w:color w:val="333333"/>
          <w:sz w:val="23"/>
        </w:rPr>
        <w:t>8.2.40 AI Authority Summary (Phase 2)</w:t>
      </w:r>
    </w:p>
    <w:p>
      <w:pPr>
        <w:spacing w:after="80" w:line="293" w:lineRule="auto"/>
        <w:jc w:val="left"/>
      </w:pPr>
      <w:r>
        <w:rPr>
          <w:rFonts w:ascii="Times New Roman" w:hAnsi="Times New Roman" w:cs="Times New Roman"/>
          <w:b w:val="0"/>
          <w:i w:val="0"/>
          <w:sz w:val="22"/>
        </w:rPr>
        <w:t>AI assistance in Phase 2 is advisory (A1) or constraining (A2/A4), never committing. A1 (Groq → Ollama fallback): seller brief generation, market chart and fair price badge, port suggestions, loading guide generation, ecological packaging suggestions, recommendation narratives for logistics comparisons. A2 (HF local): price deviation justification, market trend analysis, packing compliance checks, carbon footprint calculation, identification of requirement conflicts. A4 (OPA + WasmEdge): EXW validation, post-lock price watch, weight limit validation, stacking height enforcement, packing plan lock. AI never sets prices, never confirms availability, never selects providers, and never submits a quote on the seller's behalf.</w:t>
      </w:r>
    </w:p>
    <w:p>
      <w:pPr>
        <w:keepNext/>
        <w:spacing w:before="240" w:after="100"/>
        <w:outlineLvl w:val="1"/>
      </w:pPr>
      <w:r>
        <w:rPr>
          <w:rFonts w:ascii="Arial" w:hAnsi="Arial" w:cs="Arial"/>
          <w:b/>
          <w:i w:val="0"/>
          <w:color w:val="2E528F"/>
          <w:sz w:val="26"/>
        </w:rPr>
        <w:t>8.3 Weight Calculation (Net &amp; Gross)</w:t>
      </w:r>
    </w:p>
    <w:p>
      <w:pPr>
        <w:keepNext/>
        <w:spacing w:before="180" w:after="80"/>
        <w:outlineLvl w:val="2"/>
      </w:pPr>
      <w:r>
        <w:rPr>
          <w:rFonts w:ascii="Arial" w:hAnsi="Arial" w:cs="Arial"/>
          <w:b/>
          <w:i w:val="0"/>
          <w:color w:val="333333"/>
          <w:sz w:val="23"/>
        </w:rPr>
        <w:t>8.3.1 Purpose &amp; Design Philosophy</w:t>
      </w:r>
    </w:p>
    <w:p>
      <w:pPr>
        <w:spacing w:after="80" w:line="293" w:lineRule="auto"/>
        <w:jc w:val="left"/>
      </w:pPr>
      <w:r>
        <w:rPr>
          <w:rFonts w:ascii="Times New Roman" w:hAnsi="Times New Roman" w:cs="Times New Roman"/>
          <w:b w:val="0"/>
          <w:i w:val="0"/>
          <w:sz w:val="22"/>
        </w:rPr>
        <w:t>The Net Weight &amp; Gross Weight Calculation engine is the foundational component of the packing process. It transforms the buyer's commercial specifications (commodities, quantities, packaging, tolerances) into precise, validated weight measurements that drive all downstream processes — palletisation, packing list generation, invoicing, customs declaration, and container loading. No physical trade can proceed without accurate weight data.</w:t>
      </w:r>
    </w:p>
    <w:p>
      <w:pPr>
        <w:spacing w:after="80" w:line="293" w:lineRule="auto"/>
        <w:jc w:val="left"/>
      </w:pPr>
      <w:r>
        <w:rPr>
          <w:rFonts w:ascii="Times New Roman" w:hAnsi="Times New Roman" w:cs="Times New Roman"/>
          <w:b w:val="0"/>
          <w:i w:val="0"/>
          <w:sz w:val="22"/>
        </w:rPr>
        <w:t>Key principles: Quantity &amp; Tolerance-aware — the calculation respects the buyer's requested quantity and tolerance range, not just a single value. Packaging-type aware — different packaging types (Bulk, Bagged, Palletized, Drummed, IBC, Custom) have different tare weights and handling characteristics. Transport mode-aware — weight constraints vary by transport mode (ocean containers, air ULDs, rail wagons, truck trailers). Multi-commodity support — each commodity is calculated independently and then aggregated at the container and trade level. Partial shipment &amp; transshipment aware — weight calculations support splitting across shipments and transshipment legs. Real-time validation — weight calculations are validated in real-time against container/equipment capacity limits. One source of truth — all downstream documents (packing list, invoice, customs declaration) derive their weight data from this calculation.</w:t>
      </w:r>
    </w:p>
    <w:p>
      <w:pPr>
        <w:spacing w:after="80" w:line="293" w:lineRule="auto"/>
        <w:jc w:val="left"/>
      </w:pPr>
      <w:r>
        <w:rPr>
          <w:rFonts w:ascii="Times New Roman" w:hAnsi="Times New Roman" w:cs="Times New Roman"/>
          <w:b w:val="0"/>
          <w:i w:val="0"/>
          <w:sz w:val="22"/>
        </w:rPr>
        <w:t>AI authority: A4 (OPA + WasmEdge) performs transport mode capacity validation; A2 supports packing compliance checks. AI never overrides a weight validation failure.</w:t>
      </w:r>
    </w:p>
    <w:p>
      <w:pPr>
        <w:keepNext/>
        <w:spacing w:before="180" w:after="80"/>
        <w:outlineLvl w:val="2"/>
      </w:pPr>
      <w:r>
        <w:rPr>
          <w:rFonts w:ascii="Arial" w:hAnsi="Arial" w:cs="Arial"/>
          <w:b/>
          <w:i w:val="0"/>
          <w:color w:val="333333"/>
          <w:sz w:val="23"/>
        </w:rPr>
        <w:t>8.3.2 Input Data — Complete Mapping</w:t>
      </w:r>
    </w:p>
    <w:p>
      <w:pPr>
        <w:spacing w:after="80" w:line="293" w:lineRule="auto"/>
        <w:jc w:val="left"/>
      </w:pPr>
      <w:r>
        <w:rPr>
          <w:rFonts w:ascii="Times New Roman" w:hAnsi="Times New Roman" w:cs="Times New Roman"/>
          <w:b w:val="0"/>
          <w:i w:val="0"/>
          <w:sz w:val="22"/>
        </w:rPr>
        <w:t>The weight calculation engine receives the following data from the buyer's structured trade request:</w:t>
      </w:r>
    </w:p>
    <w:p>
      <w:pPr>
        <w:keepNext/>
        <w:spacing w:before="140" w:after="60"/>
        <w:outlineLvl w:val="3"/>
      </w:pPr>
      <w:r>
        <w:rPr>
          <w:rFonts w:ascii="Arial" w:hAnsi="Arial" w:cs="Arial"/>
          <w:b/>
          <w:i/>
          <w:color w:val="333333"/>
          <w:sz w:val="22"/>
        </w:rPr>
        <w:t>8.3.2.1 Per-Commodity Inputs</w:t>
      </w:r>
    </w:p>
    <w:p>
      <w:pPr>
        <w:spacing w:after="80" w:line="293" w:lineRule="auto"/>
        <w:ind w:left="283"/>
        <w:jc w:val="left"/>
      </w:pPr>
      <w:r>
        <w:rPr>
          <w:rFonts w:ascii="Times New Roman" w:hAnsi="Times New Roman" w:cs="Times New Roman"/>
          <w:b w:val="0"/>
          <w:i w:val="0"/>
          <w:sz w:val="22"/>
        </w:rPr>
        <w:t>- product_name, hs_code</w:t>
      </w:r>
    </w:p>
    <w:p>
      <w:pPr>
        <w:spacing w:after="80" w:line="293" w:lineRule="auto"/>
        <w:ind w:left="283"/>
        <w:jc w:val="left"/>
      </w:pPr>
      <w:r>
        <w:rPr>
          <w:rFonts w:ascii="Times New Roman" w:hAnsi="Times New Roman" w:cs="Times New Roman"/>
          <w:b w:val="0"/>
          <w:i w:val="0"/>
          <w:sz w:val="22"/>
        </w:rPr>
        <w:t>- requested_quantity, quantity_unit, tolerance</w:t>
      </w:r>
    </w:p>
    <w:p>
      <w:pPr>
        <w:spacing w:after="80" w:line="293" w:lineRule="auto"/>
        <w:ind w:left="283"/>
        <w:jc w:val="left"/>
      </w:pPr>
      <w:r>
        <w:rPr>
          <w:rFonts w:ascii="Times New Roman" w:hAnsi="Times New Roman" w:cs="Times New Roman"/>
          <w:b w:val="0"/>
          <w:i w:val="0"/>
          <w:sz w:val="22"/>
        </w:rPr>
        <w:t>- packaging_type, pallet_count, cartons_per_pallet</w:t>
      </w:r>
    </w:p>
    <w:p>
      <w:pPr>
        <w:spacing w:after="80" w:line="293" w:lineRule="auto"/>
        <w:ind w:left="283"/>
        <w:jc w:val="left"/>
      </w:pPr>
      <w:r>
        <w:rPr>
          <w:rFonts w:ascii="Times New Roman" w:hAnsi="Times New Roman" w:cs="Times New Roman"/>
          <w:b w:val="0"/>
          <w:i w:val="0"/>
          <w:sz w:val="22"/>
        </w:rPr>
        <w:t>- net_weight_per_carton_kg, gross_weight_per_carton_kg (equivalently net weight plus per-carton tare)</w:t>
      </w:r>
    </w:p>
    <w:p>
      <w:pPr>
        <w:spacing w:after="80" w:line="293" w:lineRule="auto"/>
        <w:ind w:left="283"/>
        <w:jc w:val="left"/>
      </w:pPr>
      <w:r>
        <w:rPr>
          <w:rFonts w:ascii="Times New Roman" w:hAnsi="Times New Roman" w:cs="Times New Roman"/>
          <w:b w:val="0"/>
          <w:i w:val="0"/>
          <w:sz w:val="22"/>
        </w:rPr>
        <w:t>- special_conditions, treatment_details, lab_tests_required</w:t>
      </w:r>
    </w:p>
    <w:p>
      <w:pPr>
        <w:spacing w:after="80" w:line="293" w:lineRule="auto"/>
        <w:ind w:left="283"/>
        <w:jc w:val="left"/>
      </w:pPr>
      <w:r>
        <w:rPr>
          <w:rFonts w:ascii="Times New Roman" w:hAnsi="Times New Roman" w:cs="Times New Roman"/>
          <w:b w:val="0"/>
          <w:i w:val="0"/>
          <w:sz w:val="22"/>
        </w:rPr>
        <w:t>- acceptance_criteria_matrix</w:t>
      </w:r>
    </w:p>
    <w:p>
      <w:pPr>
        <w:keepNext/>
        <w:spacing w:before="140" w:after="60"/>
        <w:outlineLvl w:val="3"/>
      </w:pPr>
      <w:r>
        <w:rPr>
          <w:rFonts w:ascii="Arial" w:hAnsi="Arial" w:cs="Arial"/>
          <w:b/>
          <w:i/>
          <w:color w:val="333333"/>
          <w:sz w:val="22"/>
        </w:rPr>
        <w:t>8.3.2.2 Per-Container Inputs</w:t>
      </w:r>
    </w:p>
    <w:p>
      <w:pPr>
        <w:spacing w:after="80" w:line="293" w:lineRule="auto"/>
        <w:ind w:left="283"/>
        <w:jc w:val="left"/>
      </w:pPr>
      <w:r>
        <w:rPr>
          <w:rFonts w:ascii="Times New Roman" w:hAnsi="Times New Roman" w:cs="Times New Roman"/>
          <w:b w:val="0"/>
          <w:i w:val="0"/>
          <w:sz w:val="22"/>
        </w:rPr>
        <w:t>- containers[] with origin_country, destination_country, port_of_discharge</w:t>
      </w:r>
    </w:p>
    <w:p>
      <w:pPr>
        <w:spacing w:after="80" w:line="293" w:lineRule="auto"/>
        <w:ind w:left="283"/>
        <w:jc w:val="left"/>
      </w:pPr>
      <w:r>
        <w:rPr>
          <w:rFonts w:ascii="Times New Roman" w:hAnsi="Times New Roman" w:cs="Times New Roman"/>
          <w:b w:val="0"/>
          <w:i w:val="0"/>
          <w:sz w:val="22"/>
        </w:rPr>
        <w:t>- palletized flag, pallet_type, destination_override</w:t>
      </w:r>
    </w:p>
    <w:p>
      <w:pPr>
        <w:spacing w:after="80" w:line="293" w:lineRule="auto"/>
        <w:ind w:left="283"/>
        <w:jc w:val="left"/>
      </w:pPr>
      <w:r>
        <w:rPr>
          <w:rFonts w:ascii="Times New Roman" w:hAnsi="Times New Roman" w:cs="Times New Roman"/>
          <w:b w:val="0"/>
          <w:i w:val="0"/>
          <w:sz w:val="22"/>
        </w:rPr>
        <w:t>- transport_mode, equipment_type, equipment_count</w:t>
      </w:r>
    </w:p>
    <w:p>
      <w:pPr>
        <w:spacing w:after="80" w:line="293" w:lineRule="auto"/>
        <w:ind w:left="283"/>
        <w:jc w:val="left"/>
      </w:pPr>
      <w:r>
        <w:rPr>
          <w:rFonts w:ascii="Times New Roman" w:hAnsi="Times New Roman" w:cs="Times New Roman"/>
          <w:b w:val="0"/>
          <w:i w:val="0"/>
          <w:sz w:val="22"/>
        </w:rPr>
        <w:t>- partial_shipment_allowed, transshipment_allowed</w:t>
      </w:r>
    </w:p>
    <w:p>
      <w:pPr>
        <w:spacing w:after="80" w:line="293" w:lineRule="auto"/>
        <w:ind w:left="283"/>
        <w:jc w:val="left"/>
      </w:pPr>
      <w:r>
        <w:rPr>
          <w:rFonts w:ascii="Times New Roman" w:hAnsi="Times New Roman" w:cs="Times New Roman"/>
          <w:b w:val="0"/>
          <w:i w:val="0"/>
          <w:sz w:val="22"/>
        </w:rPr>
        <w:t>- earliest / preferred / latest delivery dates</w:t>
      </w:r>
    </w:p>
    <w:p>
      <w:pPr>
        <w:keepNext/>
        <w:spacing w:before="140" w:after="60"/>
        <w:outlineLvl w:val="3"/>
      </w:pPr>
      <w:r>
        <w:rPr>
          <w:rFonts w:ascii="Arial" w:hAnsi="Arial" w:cs="Arial"/>
          <w:b/>
          <w:i/>
          <w:color w:val="333333"/>
          <w:sz w:val="22"/>
        </w:rPr>
        <w:t>8.3.2.3 Trade-Level Inputs</w:t>
      </w:r>
    </w:p>
    <w:p>
      <w:pPr>
        <w:spacing w:after="80" w:line="293" w:lineRule="auto"/>
        <w:ind w:left="283"/>
        <w:jc w:val="left"/>
      </w:pPr>
      <w:r>
        <w:rPr>
          <w:rFonts w:ascii="Times New Roman" w:hAnsi="Times New Roman" w:cs="Times New Roman"/>
          <w:b w:val="0"/>
          <w:i w:val="0"/>
          <w:sz w:val="22"/>
        </w:rPr>
        <w:t>- insurance_requirement, insurance_type, insurance_coverage_percent</w:t>
      </w:r>
    </w:p>
    <w:p>
      <w:pPr>
        <w:spacing w:after="80" w:line="293" w:lineRule="auto"/>
        <w:ind w:left="283"/>
        <w:jc w:val="left"/>
      </w:pPr>
      <w:r>
        <w:rPr>
          <w:rFonts w:ascii="Times New Roman" w:hAnsi="Times New Roman" w:cs="Times New Roman"/>
          <w:b w:val="0"/>
          <w:i w:val="0"/>
          <w:sz w:val="22"/>
        </w:rPr>
        <w:t>- settlement_structure, payment_timing, credit_period, currency</w:t>
      </w:r>
    </w:p>
    <w:p>
      <w:pPr>
        <w:spacing w:after="80" w:line="293" w:lineRule="auto"/>
        <w:ind w:left="283"/>
        <w:jc w:val="left"/>
      </w:pPr>
      <w:r>
        <w:rPr>
          <w:rFonts w:ascii="Times New Roman" w:hAnsi="Times New Roman" w:cs="Times New Roman"/>
          <w:b w:val="0"/>
          <w:i w:val="0"/>
          <w:sz w:val="22"/>
        </w:rPr>
        <w:t>- trade_criticality</w:t>
      </w:r>
    </w:p>
    <w:p>
      <w:pPr>
        <w:spacing w:after="80" w:line="293" w:lineRule="auto"/>
        <w:ind w:left="283"/>
        <w:jc w:val="left"/>
      </w:pPr>
      <w:r>
        <w:rPr>
          <w:rFonts w:ascii="Times New Roman" w:hAnsi="Times New Roman" w:cs="Times New Roman"/>
          <w:b w:val="0"/>
          <w:i w:val="0"/>
          <w:sz w:val="22"/>
        </w:rPr>
        <w:t>- special_trade_instructions</w:t>
      </w:r>
    </w:p>
    <w:p>
      <w:pPr>
        <w:spacing w:after="80" w:line="293" w:lineRule="auto"/>
        <w:ind w:left="283"/>
        <w:jc w:val="left"/>
      </w:pPr>
      <w:r>
        <w:rPr>
          <w:rFonts w:ascii="Times New Roman" w:hAnsi="Times New Roman" w:cs="Times New Roman"/>
          <w:b w:val="0"/>
          <w:i w:val="0"/>
          <w:sz w:val="22"/>
        </w:rPr>
        <w:t>- required_documents[]</w:t>
      </w:r>
    </w:p>
    <w:p>
      <w:pPr>
        <w:keepNext/>
        <w:spacing w:before="180" w:after="80"/>
        <w:outlineLvl w:val="2"/>
      </w:pPr>
      <w:r>
        <w:rPr>
          <w:rFonts w:ascii="Arial" w:hAnsi="Arial" w:cs="Arial"/>
          <w:b/>
          <w:i w:val="0"/>
          <w:color w:val="333333"/>
          <w:sz w:val="23"/>
        </w:rPr>
        <w:t>8.3.3 Calculation Engine — Core Logic</w:t>
      </w:r>
    </w:p>
    <w:p>
      <w:pPr>
        <w:keepNext/>
        <w:spacing w:before="140" w:after="60"/>
        <w:outlineLvl w:val="3"/>
      </w:pPr>
      <w:r>
        <w:rPr>
          <w:rFonts w:ascii="Arial" w:hAnsi="Arial" w:cs="Arial"/>
          <w:b/>
          <w:i/>
          <w:color w:val="333333"/>
          <w:sz w:val="22"/>
        </w:rPr>
        <w:t>8.3.3.1 Quantity &amp; Tolerance Calculation</w:t>
      </w:r>
    </w:p>
    <w:p>
      <w:pPr>
        <w:spacing w:after="80" w:line="293" w:lineRule="auto"/>
        <w:jc w:val="left"/>
      </w:pPr>
      <w:r>
        <w:rPr>
          <w:rFonts w:ascii="Times New Roman" w:hAnsi="Times New Roman" w:cs="Times New Roman"/>
          <w:b w:val="0"/>
          <w:i w:val="0"/>
          <w:sz w:val="22"/>
        </w:rPr>
        <w:t>The requested quantity is the starting point, but the tolerance range defines the acceptable variance.</w:t>
      </w:r>
    </w:p>
    <w:p>
      <w:pPr>
        <w:spacing w:after="0" w:before="0" w:line="240" w:lineRule="auto"/>
        <w:ind w:left="57"/>
        <w:jc w:val="left"/>
        <w:shd w:val="clear" w:fill="F2F2F2"/>
      </w:pPr>
      <w:r>
        <w:rPr>
          <w:rFonts w:ascii="Consolas" w:hAnsi="Consolas" w:cs="Consolas"/>
          <w:b w:val="0"/>
          <w:i w:val="0"/>
          <w:sz w:val="15"/>
        </w:rPr>
        <w:t>Input: requested_quantity = 100 (MT), quantity_unit = "MT", tolerance = 5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min_quantity = requested_quantity × (1 − tolerance/100)</w:t>
      </w:r>
    </w:p>
    <w:p>
      <w:pPr>
        <w:spacing w:after="0" w:before="0" w:line="240" w:lineRule="auto"/>
        <w:ind w:left="57"/>
        <w:jc w:val="left"/>
        <w:shd w:val="clear" w:fill="F2F2F2"/>
      </w:pPr>
      <w:r>
        <w:rPr>
          <w:rFonts w:ascii="Consolas" w:hAnsi="Consolas" w:cs="Consolas"/>
          <w:b w:val="0"/>
          <w:i w:val="0"/>
          <w:sz w:val="15"/>
        </w:rPr>
        <w:t>max_quantity = requested_quantity × (1 + tolerance/100)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Example:</w:t>
      </w:r>
    </w:p>
    <w:p>
      <w:pPr>
        <w:spacing w:after="0" w:before="0" w:line="240" w:lineRule="auto"/>
        <w:ind w:left="57"/>
        <w:jc w:val="left"/>
        <w:shd w:val="clear" w:fill="F2F2F2"/>
      </w:pPr>
      <w:r>
        <w:rPr>
          <w:rFonts w:ascii="Consolas" w:hAnsi="Consolas" w:cs="Consolas"/>
          <w:b w:val="0"/>
          <w:i w:val="0"/>
          <w:sz w:val="15"/>
        </w:rPr>
        <w:t>min_quantity = 100 × (1 − 0.05) = 95 MT</w:t>
      </w:r>
    </w:p>
    <w:p>
      <w:pPr>
        <w:spacing w:after="0" w:before="0" w:line="240" w:lineRule="auto"/>
        <w:ind w:left="57"/>
        <w:jc w:val="left"/>
        <w:shd w:val="clear" w:fill="F2F2F2"/>
      </w:pPr>
      <w:r>
        <w:rPr>
          <w:rFonts w:ascii="Consolas" w:hAnsi="Consolas" w:cs="Consolas"/>
          <w:b w:val="0"/>
          <w:i w:val="0"/>
          <w:sz w:val="15"/>
        </w:rPr>
        <w:t>max_quantity = 100 × (1 + 0.05) = 105 MT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Display: Requested: 100 MT | Tolerance: ±5% | Acceptable Range: 95 – 105 MT</w:t>
      </w:r>
    </w:p>
    <w:p>
      <w:pPr>
        <w:spacing w:after="0" w:before="0" w:line="240" w:lineRule="auto"/>
        <w:ind w:left="57"/>
        <w:jc w:val="left"/>
        <w:shd w:val="clear" w:fill="F2F2F2"/>
      </w:pPr>
      <w:r>
        <w:rPr>
          <w:rFonts w:ascii="Consolas" w:hAnsi="Consolas" w:cs="Consolas"/>
          <w:b w:val="0"/>
          <w:i w:val="0"/>
          <w:sz w:val="15"/>
        </w:rPr>
        <w:t xml:space="preserve">         Minimum: 95 MT | Target: 100 MT | Maximum: 105 MT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8.3.3.2 Per-Commodity Weight Calculation</w:t>
      </w:r>
    </w:p>
    <w:p>
      <w:pPr>
        <w:spacing w:after="0" w:before="0" w:line="240" w:lineRule="auto"/>
        <w:ind w:left="57"/>
        <w:jc w:val="left"/>
        <w:shd w:val="clear" w:fill="F2F2F2"/>
      </w:pPr>
      <w:r>
        <w:rPr>
          <w:rFonts w:ascii="Consolas" w:hAnsi="Consolas" w:cs="Consolas"/>
          <w:b w:val="0"/>
          <w:i w:val="0"/>
          <w:sz w:val="15"/>
        </w:rPr>
        <w:t>Inputs: pallet_count = 22, cartons_per_pallet = 40,</w:t>
      </w:r>
    </w:p>
    <w:p>
      <w:pPr>
        <w:spacing w:after="0" w:before="0" w:line="240" w:lineRule="auto"/>
        <w:ind w:left="57"/>
        <w:jc w:val="left"/>
        <w:shd w:val="clear" w:fill="F2F2F2"/>
      </w:pPr>
      <w:r>
        <w:rPr>
          <w:rFonts w:ascii="Consolas" w:hAnsi="Consolas" w:cs="Consolas"/>
          <w:b w:val="0"/>
          <w:i w:val="0"/>
          <w:sz w:val="15"/>
        </w:rPr>
        <w:t xml:space="preserve">        net_weight_per_carton_kg = 10, tare_per_carton_kg = 0.5,</w:t>
      </w:r>
    </w:p>
    <w:p>
      <w:pPr>
        <w:spacing w:after="0" w:before="0" w:line="240" w:lineRule="auto"/>
        <w:ind w:left="57"/>
        <w:jc w:val="left"/>
        <w:shd w:val="clear" w:fill="F2F2F2"/>
      </w:pPr>
      <w:r>
        <w:rPr>
          <w:rFonts w:ascii="Consolas" w:hAnsi="Consolas" w:cs="Consolas"/>
          <w:b w:val="0"/>
          <w:i w:val="0"/>
          <w:sz w:val="15"/>
        </w:rPr>
        <w:t xml:space="preserve">        pallet_tare_kg = 25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total_cartons          = pallet_count × cartons_per_pallet</w:t>
      </w:r>
    </w:p>
    <w:p>
      <w:pPr>
        <w:spacing w:after="0" w:before="0" w:line="240" w:lineRule="auto"/>
        <w:ind w:left="57"/>
        <w:jc w:val="left"/>
        <w:shd w:val="clear" w:fill="F2F2F2"/>
      </w:pPr>
      <w:r>
        <w:rPr>
          <w:rFonts w:ascii="Consolas" w:hAnsi="Consolas" w:cs="Consolas"/>
          <w:b w:val="0"/>
          <w:i w:val="0"/>
          <w:sz w:val="15"/>
        </w:rPr>
        <w:t>total_net_weight_kg    = total_cartons × net_weight_per_carton_kg</w:t>
      </w:r>
    </w:p>
    <w:p>
      <w:pPr>
        <w:spacing w:after="0" w:before="0" w:line="240" w:lineRule="auto"/>
        <w:ind w:left="57"/>
        <w:jc w:val="left"/>
        <w:shd w:val="clear" w:fill="F2F2F2"/>
      </w:pPr>
      <w:r>
        <w:rPr>
          <w:rFonts w:ascii="Consolas" w:hAnsi="Consolas" w:cs="Consolas"/>
          <w:b w:val="0"/>
          <w:i w:val="0"/>
          <w:sz w:val="15"/>
        </w:rPr>
        <w:t>total_gross_cartons_kg = total_cartons × (net_weight_per_carton_kg + tare_per_carton_kg)</w:t>
      </w:r>
    </w:p>
    <w:p>
      <w:pPr>
        <w:spacing w:after="0" w:before="0" w:line="240" w:lineRule="auto"/>
        <w:ind w:left="57"/>
        <w:jc w:val="left"/>
        <w:shd w:val="clear" w:fill="F2F2F2"/>
      </w:pPr>
      <w:r>
        <w:rPr>
          <w:rFonts w:ascii="Consolas" w:hAnsi="Consolas" w:cs="Consolas"/>
          <w:b w:val="0"/>
          <w:i w:val="0"/>
          <w:sz w:val="15"/>
        </w:rPr>
        <w:t>pallet_tare_total_kg   = pallet_count × pallet_tare_kg</w:t>
      </w:r>
    </w:p>
    <w:p>
      <w:pPr>
        <w:spacing w:after="0" w:before="0" w:line="240" w:lineRule="auto"/>
        <w:ind w:left="57"/>
        <w:jc w:val="left"/>
        <w:shd w:val="clear" w:fill="F2F2F2"/>
      </w:pPr>
      <w:r>
        <w:rPr>
          <w:rFonts w:ascii="Consolas" w:hAnsi="Consolas" w:cs="Consolas"/>
          <w:b w:val="0"/>
          <w:i w:val="0"/>
          <w:sz w:val="15"/>
        </w:rPr>
        <w:t>total_gross_weight_kg  = total_gross_cartons_kg + pallet_tare_total_kg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Example:</w:t>
      </w:r>
    </w:p>
    <w:p>
      <w:pPr>
        <w:spacing w:after="0" w:before="0" w:line="240" w:lineRule="auto"/>
        <w:ind w:left="57"/>
        <w:jc w:val="left"/>
        <w:shd w:val="clear" w:fill="F2F2F2"/>
      </w:pPr>
      <w:r>
        <w:rPr>
          <w:rFonts w:ascii="Consolas" w:hAnsi="Consolas" w:cs="Consolas"/>
          <w:b w:val="0"/>
          <w:i w:val="0"/>
          <w:sz w:val="15"/>
        </w:rPr>
        <w:t>total_cartons          = 22 × 40 = 880</w:t>
      </w:r>
    </w:p>
    <w:p>
      <w:pPr>
        <w:spacing w:after="0" w:before="0" w:line="240" w:lineRule="auto"/>
        <w:ind w:left="57"/>
        <w:jc w:val="left"/>
        <w:shd w:val="clear" w:fill="F2F2F2"/>
      </w:pPr>
      <w:r>
        <w:rPr>
          <w:rFonts w:ascii="Consolas" w:hAnsi="Consolas" w:cs="Consolas"/>
          <w:b w:val="0"/>
          <w:i w:val="0"/>
          <w:sz w:val="15"/>
        </w:rPr>
        <w:t>total_net_weight_kg    = 880 × 10 = 8,800 kg</w:t>
      </w:r>
    </w:p>
    <w:p>
      <w:pPr>
        <w:spacing w:after="0" w:before="0" w:line="240" w:lineRule="auto"/>
        <w:ind w:left="57"/>
        <w:jc w:val="left"/>
        <w:shd w:val="clear" w:fill="F2F2F2"/>
      </w:pPr>
      <w:r>
        <w:rPr>
          <w:rFonts w:ascii="Consolas" w:hAnsi="Consolas" w:cs="Consolas"/>
          <w:b w:val="0"/>
          <w:i w:val="0"/>
          <w:sz w:val="15"/>
        </w:rPr>
        <w:t>total_gross_cartons_kg = 880 × 10.5 = 9,240 kg</w:t>
      </w:r>
    </w:p>
    <w:p>
      <w:pPr>
        <w:spacing w:after="0" w:before="0" w:line="240" w:lineRule="auto"/>
        <w:ind w:left="57"/>
        <w:jc w:val="left"/>
        <w:shd w:val="clear" w:fill="F2F2F2"/>
      </w:pPr>
      <w:r>
        <w:rPr>
          <w:rFonts w:ascii="Consolas" w:hAnsi="Consolas" w:cs="Consolas"/>
          <w:b w:val="0"/>
          <w:i w:val="0"/>
          <w:sz w:val="15"/>
        </w:rPr>
        <w:t>pallet_tare_total_kg   = 22 × 25 = 550 kg</w:t>
      </w:r>
    </w:p>
    <w:p>
      <w:pPr>
        <w:spacing w:after="0" w:before="0" w:line="240" w:lineRule="auto"/>
        <w:ind w:left="57"/>
        <w:jc w:val="left"/>
        <w:shd w:val="clear" w:fill="F2F2F2"/>
      </w:pPr>
      <w:r>
        <w:rPr>
          <w:rFonts w:ascii="Consolas" w:hAnsi="Consolas" w:cs="Consolas"/>
          <w:b w:val="0"/>
          <w:i w:val="0"/>
          <w:sz w:val="15"/>
        </w:rPr>
        <w:t>total_gross_weight_kg  = 9,240 + 550 = 9,790 kg</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Weight summary display per commodity: packaging type (for example, Palletized EUR); pallets; cartons per pallet; net weight per carton; tare per carton; total cartons; total net weight; total gross (cartons + tare); pallet tare; total gross weight including pallets; tolerance range status (for example, 8,800 kg = 8.8 MT within 95–105 MT).</w:t>
      </w:r>
    </w:p>
    <w:p>
      <w:pPr>
        <w:keepNext/>
        <w:spacing w:before="140" w:after="60"/>
        <w:outlineLvl w:val="3"/>
      </w:pPr>
      <w:r>
        <w:rPr>
          <w:rFonts w:ascii="Arial" w:hAnsi="Arial" w:cs="Arial"/>
          <w:b/>
          <w:i/>
          <w:color w:val="333333"/>
          <w:sz w:val="22"/>
        </w:rPr>
        <w:t>8.3.3.3 Multi-Commodity Aggregation</w:t>
      </w:r>
    </w:p>
    <w:p>
      <w:pPr>
        <w:spacing w:after="80" w:line="293" w:lineRule="auto"/>
        <w:jc w:val="left"/>
      </w:pPr>
      <w:r>
        <w:rPr>
          <w:rFonts w:ascii="Times New Roman" w:hAnsi="Times New Roman" w:cs="Times New Roman"/>
          <w:b w:val="0"/>
          <w:i w:val="0"/>
          <w:sz w:val="22"/>
        </w:rPr>
        <w:t>When a container has multiple commodities, weights are aggregated. Example — container with 2 commodities:</w:t>
      </w:r>
    </w:p>
    <w:p>
      <w:pPr>
        <w:spacing w:after="0" w:before="0" w:line="240" w:lineRule="auto"/>
        <w:ind w:left="57"/>
        <w:jc w:val="left"/>
        <w:shd w:val="clear" w:fill="F2F2F2"/>
      </w:pPr>
      <w:r>
        <w:rPr>
          <w:rFonts w:ascii="Consolas" w:hAnsi="Consolas" w:cs="Consolas"/>
          <w:b w:val="0"/>
          <w:i w:val="0"/>
          <w:sz w:val="15"/>
        </w:rPr>
        <w:t>Commodity A (Oranges): 22 pallets, 40 cartons/pallet, 10 kg/carton, tare 0.5 kg</w:t>
      </w:r>
    </w:p>
    <w:p>
      <w:pPr>
        <w:spacing w:after="0" w:before="0" w:line="240" w:lineRule="auto"/>
        <w:ind w:left="57"/>
        <w:jc w:val="left"/>
        <w:shd w:val="clear" w:fill="F2F2F2"/>
      </w:pPr>
      <w:r>
        <w:rPr>
          <w:rFonts w:ascii="Consolas" w:hAnsi="Consolas" w:cs="Consolas"/>
          <w:b w:val="0"/>
          <w:i w:val="0"/>
          <w:sz w:val="15"/>
        </w:rPr>
        <w:t>Commodity B (Lemons):  14 pallets, 48 cartons/pallet, 8 kg/carton, tare 0.4 kg</w:t>
      </w:r>
    </w:p>
    <w:p>
      <w:pPr>
        <w:spacing w:after="0" w:before="0" w:line="240" w:lineRule="auto"/>
        <w:ind w:left="57"/>
        <w:jc w:val="left"/>
        <w:shd w:val="clear" w:fill="F2F2F2"/>
      </w:pPr>
      <w:r>
        <w:rPr>
          <w:rFonts w:ascii="Consolas" w:hAnsi="Consolas" w:cs="Consolas"/>
          <w:b w:val="0"/>
          <w:i w:val="0"/>
          <w:sz w:val="15"/>
        </w:rPr>
        <w:t>Pallet tare: 25 kg (EUR)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Commodity A: total_cartons = 880;  net = 8,800 kg;  gross (cartons) = 9,240 kg</w:t>
      </w:r>
    </w:p>
    <w:p>
      <w:pPr>
        <w:spacing w:after="0" w:before="0" w:line="240" w:lineRule="auto"/>
        <w:ind w:left="57"/>
        <w:jc w:val="left"/>
        <w:shd w:val="clear" w:fill="F2F2F2"/>
      </w:pPr>
      <w:r>
        <w:rPr>
          <w:rFonts w:ascii="Consolas" w:hAnsi="Consolas" w:cs="Consolas"/>
          <w:b w:val="0"/>
          <w:i w:val="0"/>
          <w:sz w:val="15"/>
        </w:rPr>
        <w:t>Commodity B: total_cartons = 672;  net = 5,376 kg;  gross (cartons) = 5,644.8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totals:</w:t>
      </w:r>
    </w:p>
    <w:p>
      <w:pPr>
        <w:spacing w:after="0" w:before="0" w:line="240" w:lineRule="auto"/>
        <w:ind w:left="57"/>
        <w:jc w:val="left"/>
        <w:shd w:val="clear" w:fill="F2F2F2"/>
      </w:pPr>
      <w:r>
        <w:rPr>
          <w:rFonts w:ascii="Consolas" w:hAnsi="Consolas" w:cs="Consolas"/>
          <w:b w:val="0"/>
          <w:i w:val="0"/>
          <w:sz w:val="15"/>
        </w:rPr>
        <w:t>total_pallets       = 22 + 14 = 36</w:t>
      </w:r>
    </w:p>
    <w:p>
      <w:pPr>
        <w:spacing w:after="0" w:before="0" w:line="240" w:lineRule="auto"/>
        <w:ind w:left="57"/>
        <w:jc w:val="left"/>
        <w:shd w:val="clear" w:fill="F2F2F2"/>
      </w:pPr>
      <w:r>
        <w:rPr>
          <w:rFonts w:ascii="Consolas" w:hAnsi="Consolas" w:cs="Consolas"/>
          <w:b w:val="0"/>
          <w:i w:val="0"/>
          <w:sz w:val="15"/>
        </w:rPr>
        <w:t>total_net           = 8,800 + 5,376 = 14,176 kg</w:t>
      </w:r>
    </w:p>
    <w:p>
      <w:pPr>
        <w:spacing w:after="0" w:before="0" w:line="240" w:lineRule="auto"/>
        <w:ind w:left="57"/>
        <w:jc w:val="left"/>
        <w:shd w:val="clear" w:fill="F2F2F2"/>
      </w:pPr>
      <w:r>
        <w:rPr>
          <w:rFonts w:ascii="Consolas" w:hAnsi="Consolas" w:cs="Consolas"/>
          <w:b w:val="0"/>
          <w:i w:val="0"/>
          <w:sz w:val="15"/>
        </w:rPr>
        <w:t>gross (cartons)     = 9,240 + 5,644.8 = 14,884.8 kg</w:t>
      </w:r>
    </w:p>
    <w:p>
      <w:pPr>
        <w:spacing w:after="0" w:before="0" w:line="240" w:lineRule="auto"/>
        <w:ind w:left="57"/>
        <w:jc w:val="left"/>
        <w:shd w:val="clear" w:fill="F2F2F2"/>
      </w:pPr>
      <w:r>
        <w:rPr>
          <w:rFonts w:ascii="Consolas" w:hAnsi="Consolas" w:cs="Consolas"/>
          <w:b w:val="0"/>
          <w:i w:val="0"/>
          <w:sz w:val="15"/>
        </w:rPr>
        <w:t>pallet_tare_total   = 36 × 25 = 900 kg</w:t>
      </w:r>
    </w:p>
    <w:p>
      <w:pPr>
        <w:spacing w:after="0" w:before="0" w:line="240" w:lineRule="auto"/>
        <w:ind w:left="57"/>
        <w:jc w:val="left"/>
        <w:shd w:val="clear" w:fill="F2F2F2"/>
      </w:pPr>
      <w:r>
        <w:rPr>
          <w:rFonts w:ascii="Consolas" w:hAnsi="Consolas" w:cs="Consolas"/>
          <w:b w:val="0"/>
          <w:i w:val="0"/>
          <w:sz w:val="15"/>
        </w:rPr>
        <w:t>total_gross         = 14,884.8 + 900 = 15,784.8 kg</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Result display: per-commodity lines (pallets × cartons = total cartons; net and gross per commodity), total pallets (36), total cartons (1,552), total net weight (14,176 kg), total gross (cartons + tare) (14,884.8 kg), pallet tare (900 kg), total gross weight including pallets (15,784.8 kg), and container fit (within the ≤28,000 kg limit of a 40ft container; utilisation 56.4%).</w:t>
      </w:r>
    </w:p>
    <w:p>
      <w:pPr>
        <w:keepNext/>
        <w:spacing w:before="180" w:after="80"/>
        <w:outlineLvl w:val="2"/>
      </w:pPr>
      <w:r>
        <w:rPr>
          <w:rFonts w:ascii="Arial" w:hAnsi="Arial" w:cs="Arial"/>
          <w:b/>
          <w:i w:val="0"/>
          <w:color w:val="333333"/>
          <w:sz w:val="23"/>
        </w:rPr>
        <w:t>8.3.4 Packaging Type Tare Weights</w:t>
      </w:r>
    </w:p>
    <w:p>
      <w:pPr>
        <w:spacing w:after="80" w:line="293" w:lineRule="auto"/>
        <w:jc w:val="left"/>
      </w:pPr>
      <w:r>
        <w:rPr>
          <w:rFonts w:ascii="Times New Roman" w:hAnsi="Times New Roman" w:cs="Times New Roman"/>
          <w:b w:val="0"/>
          <w:i w:val="0"/>
          <w:sz w:val="22"/>
        </w:rPr>
        <w:t>Different packaging types have different tare weights and handling characteristics. Pallet type tare weights are configuration data used by the calculation engine; the EUR pallet carries a 25 kg tare in the canonical example configuration. Packaging types supported: Bulk, Bagged, Palletized, Drummed, IBC, and Custom — each with its own tare weight, pallet compatibility, and handling characteristics. Tare values are configurable per tenant and per packaging configuration; defaults are maintained in the packaging reference data (table `packaging_materials`, Section 17).</w:t>
      </w:r>
    </w:p>
    <w:p>
      <w:pPr>
        <w:keepNext/>
        <w:spacing w:before="180" w:after="80"/>
        <w:outlineLvl w:val="2"/>
      </w:pPr>
      <w:r>
        <w:rPr>
          <w:rFonts w:ascii="Arial" w:hAnsi="Arial" w:cs="Arial"/>
          <w:b/>
          <w:i w:val="0"/>
          <w:color w:val="333333"/>
          <w:sz w:val="23"/>
        </w:rPr>
        <w:t>8.3.5 Transport Mode Weight Constraints</w:t>
      </w:r>
    </w:p>
    <w:p>
      <w:pPr>
        <w:keepNext/>
        <w:spacing w:before="140" w:after="60"/>
        <w:outlineLvl w:val="3"/>
      </w:pPr>
      <w:r>
        <w:rPr>
          <w:rFonts w:ascii="Arial" w:hAnsi="Arial" w:cs="Arial"/>
          <w:b/>
          <w:i/>
          <w:color w:val="333333"/>
          <w:sz w:val="22"/>
        </w:rPr>
        <w:t>8.3.5.1 Ocean Container Limits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Equipment</w:t>
            </w:r>
          </w:p>
        </w:tc>
        <w:tc>
          <w:tcPr>
            <w:tcW w:type="dxa" w:w="4819"/>
            <w:shd w:val="clear" w:fill="D9E2F3"/>
          </w:tcPr>
          <w:p>
            <w:pPr>
              <w:spacing w:after="20" w:before="20" w:line="240" w:lineRule="auto"/>
            </w:pPr>
            <w:r/>
            <w:r>
              <w:rPr>
                <w:rFonts w:ascii="Arial" w:hAnsi="Arial" w:cs="Arial"/>
                <w:b/>
                <w:i w:val="0"/>
                <w:sz w:val="18"/>
              </w:rPr>
              <w:t>Max Payload (kg)</w:t>
            </w:r>
          </w:p>
        </w:tc>
      </w:tr>
      <w:tr>
        <w:tc>
          <w:tcPr>
            <w:tcW w:type="dxa" w:w="4819"/>
          </w:tcPr>
          <w:p>
            <w:pPr>
              <w:spacing w:after="20" w:before="20" w:line="240" w:lineRule="auto"/>
            </w:pPr>
            <w:r/>
            <w:r>
              <w:rPr>
                <w:rFonts w:ascii="Arial" w:hAnsi="Arial" w:cs="Arial"/>
                <w:b w:val="0"/>
                <w:i w:val="0"/>
                <w:sz w:val="17"/>
              </w:rPr>
              <w:t>20ft Standard</w:t>
            </w:r>
          </w:p>
        </w:tc>
        <w:tc>
          <w:tcPr>
            <w:tcW w:type="dxa" w:w="4819"/>
          </w:tcPr>
          <w:p>
            <w:pPr>
              <w:spacing w:after="20" w:before="20" w:line="240" w:lineRule="auto"/>
            </w:pPr>
            <w:r/>
            <w:r>
              <w:rPr>
                <w:rFonts w:ascii="Arial" w:hAnsi="Arial" w:cs="Arial"/>
                <w:b w:val="0"/>
                <w:i w:val="0"/>
                <w:sz w:val="17"/>
              </w:rPr>
              <w:t>28,000 (default fallback applies)</w:t>
            </w:r>
          </w:p>
        </w:tc>
      </w:tr>
      <w:tr>
        <w:tc>
          <w:tcPr>
            <w:tcW w:type="dxa" w:w="4819"/>
          </w:tcPr>
          <w:p>
            <w:pPr>
              <w:spacing w:after="20" w:before="20" w:line="240" w:lineRule="auto"/>
            </w:pPr>
            <w:r/>
            <w:r>
              <w:rPr>
                <w:rFonts w:ascii="Arial" w:hAnsi="Arial" w:cs="Arial"/>
                <w:b w:val="0"/>
                <w:i w:val="0"/>
                <w:sz w:val="17"/>
              </w:rPr>
              <w:t>40ft Standard</w:t>
            </w:r>
          </w:p>
        </w:tc>
        <w:tc>
          <w:tcPr>
            <w:tcW w:type="dxa" w:w="4819"/>
          </w:tcPr>
          <w:p>
            <w:pPr>
              <w:spacing w:after="20" w:before="20" w:line="240" w:lineRule="auto"/>
            </w:pPr>
            <w:r/>
            <w:r>
              <w:rPr>
                <w:rFonts w:ascii="Arial" w:hAnsi="Arial" w:cs="Arial"/>
                <w:b w:val="0"/>
                <w:i w:val="0"/>
                <w:sz w:val="17"/>
              </w:rPr>
              <w:t>28,000</w:t>
            </w:r>
          </w:p>
        </w:tc>
      </w:tr>
      <w:tr>
        <w:tc>
          <w:tcPr>
            <w:tcW w:type="dxa" w:w="4819"/>
          </w:tcPr>
          <w:p>
            <w:pPr>
              <w:spacing w:after="20" w:before="20" w:line="240" w:lineRule="auto"/>
            </w:pPr>
            <w:r/>
            <w:r>
              <w:rPr>
                <w:rFonts w:ascii="Arial" w:hAnsi="Arial" w:cs="Arial"/>
                <w:b w:val="0"/>
                <w:i w:val="0"/>
                <w:sz w:val="17"/>
              </w:rPr>
              <w:t>40ft Reefer</w:t>
            </w:r>
          </w:p>
        </w:tc>
        <w:tc>
          <w:tcPr>
            <w:tcW w:type="dxa" w:w="4819"/>
          </w:tcPr>
          <w:p>
            <w:pPr>
              <w:spacing w:after="20" w:before="20" w:line="240" w:lineRule="auto"/>
            </w:pPr>
            <w:r/>
            <w:r>
              <w:rPr>
                <w:rFonts w:ascii="Arial" w:hAnsi="Arial" w:cs="Arial"/>
                <w:b w:val="0"/>
                <w:i w:val="0"/>
                <w:sz w:val="17"/>
              </w:rPr>
              <w:t>28,000</w:t>
            </w:r>
          </w:p>
        </w:tc>
      </w:tr>
      <w:tr>
        <w:tc>
          <w:tcPr>
            <w:tcW w:type="dxa" w:w="4819"/>
          </w:tcPr>
          <w:p>
            <w:pPr>
              <w:spacing w:after="20" w:before="20" w:line="240" w:lineRule="auto"/>
            </w:pPr>
            <w:r/>
            <w:r>
              <w:rPr>
                <w:rFonts w:ascii="Arial" w:hAnsi="Arial" w:cs="Arial"/>
                <w:b w:val="0"/>
                <w:i w:val="0"/>
                <w:sz w:val="17"/>
              </w:rPr>
              <w:t>40ft High Cube</w:t>
            </w:r>
          </w:p>
        </w:tc>
        <w:tc>
          <w:tcPr>
            <w:tcW w:type="dxa" w:w="4819"/>
          </w:tcPr>
          <w:p>
            <w:pPr>
              <w:spacing w:after="20" w:before="20" w:line="240" w:lineRule="auto"/>
            </w:pPr>
            <w:r/>
            <w:r>
              <w:rPr>
                <w:rFonts w:ascii="Arial" w:hAnsi="Arial" w:cs="Arial"/>
                <w:b w:val="0"/>
                <w:i w:val="0"/>
                <w:sz w:val="17"/>
              </w:rPr>
              <w:t>28,000</w:t>
            </w:r>
          </w:p>
        </w:tc>
      </w:tr>
      <w:tr>
        <w:tc>
          <w:tcPr>
            <w:tcW w:type="dxa" w:w="4819"/>
          </w:tcPr>
          <w:p>
            <w:pPr>
              <w:spacing w:after="20" w:before="20" w:line="240" w:lineRule="auto"/>
            </w:pPr>
            <w:r/>
            <w:r>
              <w:rPr>
                <w:rFonts w:ascii="Arial" w:hAnsi="Arial" w:cs="Arial"/>
                <w:b w:val="0"/>
                <w:i w:val="0"/>
                <w:sz w:val="17"/>
              </w:rPr>
              <w:t>Flat Rack</w:t>
            </w:r>
          </w:p>
        </w:tc>
        <w:tc>
          <w:tcPr>
            <w:tcW w:type="dxa" w:w="4819"/>
          </w:tcPr>
          <w:p>
            <w:pPr>
              <w:spacing w:after="20" w:before="20" w:line="240" w:lineRule="auto"/>
            </w:pPr>
            <w:r/>
            <w:r>
              <w:rPr>
                <w:rFonts w:ascii="Arial" w:hAnsi="Arial" w:cs="Arial"/>
                <w:b w:val="0"/>
                <w:i w:val="0"/>
                <w:sz w:val="17"/>
              </w:rPr>
              <w:t>40,000</w:t>
            </w:r>
          </w:p>
        </w:tc>
      </w:tr>
      <w:tr>
        <w:tc>
          <w:tcPr>
            <w:tcW w:type="dxa" w:w="4819"/>
          </w:tcPr>
          <w:p>
            <w:pPr>
              <w:spacing w:after="20" w:before="20" w:line="240" w:lineRule="auto"/>
            </w:pPr>
            <w:r/>
            <w:r>
              <w:rPr>
                <w:rFonts w:ascii="Arial" w:hAnsi="Arial" w:cs="Arial"/>
                <w:b w:val="0"/>
                <w:i w:val="0"/>
                <w:sz w:val="17"/>
              </w:rPr>
              <w:t>Tank</w:t>
            </w:r>
          </w:p>
        </w:tc>
        <w:tc>
          <w:tcPr>
            <w:tcW w:type="dxa" w:w="4819"/>
          </w:tcPr>
          <w:p>
            <w:pPr>
              <w:spacing w:after="20" w:before="20" w:line="240" w:lineRule="auto"/>
            </w:pPr>
            <w:r/>
            <w:r>
              <w:rPr>
                <w:rFonts w:ascii="Arial" w:hAnsi="Arial" w:cs="Arial"/>
                <w:b w:val="0"/>
                <w:i w:val="0"/>
                <w:sz w:val="17"/>
              </w:rPr>
              <w:t>26,000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8.3.5.2 Air ULD Limits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Equipment</w:t>
            </w:r>
          </w:p>
        </w:tc>
        <w:tc>
          <w:tcPr>
            <w:tcW w:type="dxa" w:w="4819"/>
            <w:shd w:val="clear" w:fill="D9E2F3"/>
          </w:tcPr>
          <w:p>
            <w:pPr>
              <w:spacing w:after="20" w:before="20" w:line="240" w:lineRule="auto"/>
            </w:pPr>
            <w:r/>
            <w:r>
              <w:rPr>
                <w:rFonts w:ascii="Arial" w:hAnsi="Arial" w:cs="Arial"/>
                <w:b/>
                <w:i w:val="0"/>
                <w:sz w:val="18"/>
              </w:rPr>
              <w:t>Max Payload (kg)</w:t>
            </w:r>
          </w:p>
        </w:tc>
      </w:tr>
      <w:tr>
        <w:tc>
          <w:tcPr>
            <w:tcW w:type="dxa" w:w="4819"/>
          </w:tcPr>
          <w:p>
            <w:pPr>
              <w:spacing w:after="20" w:before="20" w:line="240" w:lineRule="auto"/>
            </w:pPr>
            <w:r/>
            <w:r>
              <w:rPr>
                <w:rFonts w:ascii="Arial" w:hAnsi="Arial" w:cs="Arial"/>
                <w:b w:val="0"/>
                <w:i w:val="0"/>
                <w:sz w:val="17"/>
              </w:rPr>
              <w:t>Air Pallet</w:t>
            </w:r>
          </w:p>
        </w:tc>
        <w:tc>
          <w:tcPr>
            <w:tcW w:type="dxa" w:w="4819"/>
          </w:tcPr>
          <w:p>
            <w:pPr>
              <w:spacing w:after="20" w:before="20" w:line="240" w:lineRule="auto"/>
            </w:pPr>
            <w:r/>
            <w:r>
              <w:rPr>
                <w:rFonts w:ascii="Arial" w:hAnsi="Arial" w:cs="Arial"/>
                <w:b w:val="0"/>
                <w:i w:val="0"/>
                <w:sz w:val="17"/>
              </w:rPr>
              <w:t>3,500</w:t>
            </w:r>
          </w:p>
        </w:tc>
      </w:tr>
      <w:tr>
        <w:tc>
          <w:tcPr>
            <w:tcW w:type="dxa" w:w="4819"/>
          </w:tcPr>
          <w:p>
            <w:pPr>
              <w:spacing w:after="20" w:before="20" w:line="240" w:lineRule="auto"/>
            </w:pPr>
            <w:r/>
            <w:r>
              <w:rPr>
                <w:rFonts w:ascii="Arial" w:hAnsi="Arial" w:cs="Arial"/>
                <w:b w:val="0"/>
                <w:i w:val="0"/>
                <w:sz w:val="17"/>
              </w:rPr>
              <w:t>ULD Container (e.g., LD6)</w:t>
            </w:r>
          </w:p>
        </w:tc>
        <w:tc>
          <w:tcPr>
            <w:tcW w:type="dxa" w:w="4819"/>
          </w:tcPr>
          <w:p>
            <w:pPr>
              <w:spacing w:after="20" w:before="20" w:line="240" w:lineRule="auto"/>
            </w:pPr>
            <w:r/>
            <w:r>
              <w:rPr>
                <w:rFonts w:ascii="Arial" w:hAnsi="Arial" w:cs="Arial"/>
                <w:b w:val="0"/>
                <w:i w:val="0"/>
                <w:sz w:val="17"/>
              </w:rPr>
              <w:t>1,600</w:t>
            </w:r>
          </w:p>
        </w:tc>
      </w:tr>
      <w:tr>
        <w:tc>
          <w:tcPr>
            <w:tcW w:type="dxa" w:w="4819"/>
          </w:tcPr>
          <w:p>
            <w:pPr>
              <w:spacing w:after="20" w:before="20" w:line="240" w:lineRule="auto"/>
            </w:pPr>
            <w:r/>
            <w:r>
              <w:rPr>
                <w:rFonts w:ascii="Arial" w:hAnsi="Arial" w:cs="Arial"/>
                <w:b w:val="0"/>
                <w:i w:val="0"/>
                <w:sz w:val="17"/>
              </w:rPr>
              <w:t>Air Reefer</w:t>
            </w:r>
          </w:p>
        </w:tc>
        <w:tc>
          <w:tcPr>
            <w:tcW w:type="dxa" w:w="4819"/>
          </w:tcPr>
          <w:p>
            <w:pPr>
              <w:spacing w:after="20" w:before="20" w:line="240" w:lineRule="auto"/>
            </w:pPr>
            <w:r/>
            <w:r>
              <w:rPr>
                <w:rFonts w:ascii="Arial" w:hAnsi="Arial" w:cs="Arial"/>
                <w:b w:val="0"/>
                <w:i w:val="0"/>
                <w:sz w:val="17"/>
              </w:rPr>
              <w:t>1,600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8.3.5.3 Rail Wagon Limits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Equipment</w:t>
            </w:r>
          </w:p>
        </w:tc>
        <w:tc>
          <w:tcPr>
            <w:tcW w:type="dxa" w:w="4819"/>
            <w:shd w:val="clear" w:fill="D9E2F3"/>
          </w:tcPr>
          <w:p>
            <w:pPr>
              <w:spacing w:after="20" w:before="20" w:line="240" w:lineRule="auto"/>
            </w:pPr>
            <w:r/>
            <w:r>
              <w:rPr>
                <w:rFonts w:ascii="Arial" w:hAnsi="Arial" w:cs="Arial"/>
                <w:b/>
                <w:i w:val="0"/>
                <w:sz w:val="18"/>
              </w:rPr>
              <w:t>Max Payload (kg)</w:t>
            </w:r>
          </w:p>
        </w:tc>
      </w:tr>
      <w:tr>
        <w:tc>
          <w:tcPr>
            <w:tcW w:type="dxa" w:w="4819"/>
          </w:tcPr>
          <w:p>
            <w:pPr>
              <w:spacing w:after="20" w:before="20" w:line="240" w:lineRule="auto"/>
            </w:pPr>
            <w:r/>
            <w:r>
              <w:rPr>
                <w:rFonts w:ascii="Arial" w:hAnsi="Arial" w:cs="Arial"/>
                <w:b w:val="0"/>
                <w:i w:val="0"/>
                <w:sz w:val="17"/>
              </w:rPr>
              <w:t>Box Wagon</w:t>
            </w:r>
          </w:p>
        </w:tc>
        <w:tc>
          <w:tcPr>
            <w:tcW w:type="dxa" w:w="4819"/>
          </w:tcPr>
          <w:p>
            <w:pPr>
              <w:spacing w:after="20" w:before="20" w:line="240" w:lineRule="auto"/>
            </w:pPr>
            <w:r/>
            <w:r>
              <w:rPr>
                <w:rFonts w:ascii="Arial" w:hAnsi="Arial" w:cs="Arial"/>
                <w:b w:val="0"/>
                <w:i w:val="0"/>
                <w:sz w:val="17"/>
              </w:rPr>
              <w:t>60,000</w:t>
            </w:r>
          </w:p>
        </w:tc>
      </w:tr>
      <w:tr>
        <w:tc>
          <w:tcPr>
            <w:tcW w:type="dxa" w:w="4819"/>
          </w:tcPr>
          <w:p>
            <w:pPr>
              <w:spacing w:after="20" w:before="20" w:line="240" w:lineRule="auto"/>
            </w:pPr>
            <w:r/>
            <w:r>
              <w:rPr>
                <w:rFonts w:ascii="Arial" w:hAnsi="Arial" w:cs="Arial"/>
                <w:b w:val="0"/>
                <w:i w:val="0"/>
                <w:sz w:val="17"/>
              </w:rPr>
              <w:t>Reefer Wagon</w:t>
            </w:r>
          </w:p>
        </w:tc>
        <w:tc>
          <w:tcPr>
            <w:tcW w:type="dxa" w:w="4819"/>
          </w:tcPr>
          <w:p>
            <w:pPr>
              <w:spacing w:after="20" w:before="20" w:line="240" w:lineRule="auto"/>
            </w:pPr>
            <w:r/>
            <w:r>
              <w:rPr>
                <w:rFonts w:ascii="Arial" w:hAnsi="Arial" w:cs="Arial"/>
                <w:b w:val="0"/>
                <w:i w:val="0"/>
                <w:sz w:val="17"/>
              </w:rPr>
              <w:t>60,000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8.3.5.4 Truck Trailer Limits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Equipment</w:t>
            </w:r>
          </w:p>
        </w:tc>
        <w:tc>
          <w:tcPr>
            <w:tcW w:type="dxa" w:w="4819"/>
            <w:shd w:val="clear" w:fill="D9E2F3"/>
          </w:tcPr>
          <w:p>
            <w:pPr>
              <w:spacing w:after="20" w:before="20" w:line="240" w:lineRule="auto"/>
            </w:pPr>
            <w:r/>
            <w:r>
              <w:rPr>
                <w:rFonts w:ascii="Arial" w:hAnsi="Arial" w:cs="Arial"/>
                <w:b/>
                <w:i w:val="0"/>
                <w:sz w:val="18"/>
              </w:rPr>
              <w:t>Max Payload (kg)</w:t>
            </w:r>
          </w:p>
        </w:tc>
      </w:tr>
      <w:tr>
        <w:tc>
          <w:tcPr>
            <w:tcW w:type="dxa" w:w="4819"/>
          </w:tcPr>
          <w:p>
            <w:pPr>
              <w:spacing w:after="20" w:before="20" w:line="240" w:lineRule="auto"/>
            </w:pPr>
            <w:r/>
            <w:r>
              <w:rPr>
                <w:rFonts w:ascii="Arial" w:hAnsi="Arial" w:cs="Arial"/>
                <w:b w:val="0"/>
                <w:i w:val="0"/>
                <w:sz w:val="17"/>
              </w:rPr>
              <w:t>Dry Van</w:t>
            </w:r>
          </w:p>
        </w:tc>
        <w:tc>
          <w:tcPr>
            <w:tcW w:type="dxa" w:w="4819"/>
          </w:tcPr>
          <w:p>
            <w:pPr>
              <w:spacing w:after="20" w:before="20" w:line="240" w:lineRule="auto"/>
            </w:pPr>
            <w:r/>
            <w:r>
              <w:rPr>
                <w:rFonts w:ascii="Arial" w:hAnsi="Arial" w:cs="Arial"/>
                <w:b w:val="0"/>
                <w:i w:val="0"/>
                <w:sz w:val="17"/>
              </w:rPr>
              <w:t>22,000</w:t>
            </w:r>
          </w:p>
        </w:tc>
      </w:tr>
      <w:tr>
        <w:tc>
          <w:tcPr>
            <w:tcW w:type="dxa" w:w="4819"/>
          </w:tcPr>
          <w:p>
            <w:pPr>
              <w:spacing w:after="20" w:before="20" w:line="240" w:lineRule="auto"/>
            </w:pPr>
            <w:r/>
            <w:r>
              <w:rPr>
                <w:rFonts w:ascii="Arial" w:hAnsi="Arial" w:cs="Arial"/>
                <w:b w:val="0"/>
                <w:i w:val="0"/>
                <w:sz w:val="17"/>
              </w:rPr>
              <w:t>Truck Reefer</w:t>
            </w:r>
          </w:p>
        </w:tc>
        <w:tc>
          <w:tcPr>
            <w:tcW w:type="dxa" w:w="4819"/>
          </w:tcPr>
          <w:p>
            <w:pPr>
              <w:spacing w:after="20" w:before="20" w:line="240" w:lineRule="auto"/>
            </w:pPr>
            <w:r/>
            <w:r>
              <w:rPr>
                <w:rFonts w:ascii="Arial" w:hAnsi="Arial" w:cs="Arial"/>
                <w:b w:val="0"/>
                <w:i w:val="0"/>
                <w:sz w:val="17"/>
              </w:rPr>
              <w:t>22,000</w:t>
            </w:r>
          </w:p>
        </w:tc>
      </w:tr>
      <w:tr>
        <w:tc>
          <w:tcPr>
            <w:tcW w:type="dxa" w:w="4819"/>
          </w:tcPr>
          <w:p>
            <w:pPr>
              <w:spacing w:after="20" w:before="20" w:line="240" w:lineRule="auto"/>
            </w:pPr>
            <w:r/>
            <w:r>
              <w:rPr>
                <w:rFonts w:ascii="Arial" w:hAnsi="Arial" w:cs="Arial"/>
                <w:b w:val="0"/>
                <w:i w:val="0"/>
                <w:sz w:val="17"/>
              </w:rPr>
              <w:t>Flatbed</w:t>
            </w:r>
          </w:p>
        </w:tc>
        <w:tc>
          <w:tcPr>
            <w:tcW w:type="dxa" w:w="4819"/>
          </w:tcPr>
          <w:p>
            <w:pPr>
              <w:spacing w:after="20" w:before="20" w:line="240" w:lineRule="auto"/>
            </w:pPr>
            <w:r/>
            <w:r>
              <w:rPr>
                <w:rFonts w:ascii="Arial" w:hAnsi="Arial" w:cs="Arial"/>
                <w:b w:val="0"/>
                <w:i w:val="0"/>
                <w:sz w:val="17"/>
              </w:rPr>
              <w:t>24,000</w:t>
            </w:r>
          </w:p>
        </w:tc>
      </w:tr>
      <w:tr>
        <w:tc>
          <w:tcPr>
            <w:tcW w:type="dxa" w:w="4819"/>
          </w:tcPr>
          <w:p>
            <w:pPr>
              <w:spacing w:after="20" w:before="20" w:line="240" w:lineRule="auto"/>
            </w:pPr>
            <w:r/>
            <w:r>
              <w:rPr>
                <w:rFonts w:ascii="Arial" w:hAnsi="Arial" w:cs="Arial"/>
                <w:b w:val="0"/>
                <w:i w:val="0"/>
                <w:sz w:val="17"/>
              </w:rPr>
              <w:t>Tank</w:t>
            </w:r>
          </w:p>
        </w:tc>
        <w:tc>
          <w:tcPr>
            <w:tcW w:type="dxa" w:w="4819"/>
          </w:tcPr>
          <w:p>
            <w:pPr>
              <w:spacing w:after="20" w:before="20" w:line="240" w:lineRule="auto"/>
            </w:pPr>
            <w:r/>
            <w:r>
              <w:rPr>
                <w:rFonts w:ascii="Arial" w:hAnsi="Arial" w:cs="Arial"/>
                <w:b w:val="0"/>
                <w:i w:val="0"/>
                <w:sz w:val="17"/>
              </w:rPr>
              <w:t>25,000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8.3.5.5 Capacity Validation Logic</w:t>
      </w:r>
    </w:p>
    <w:p>
      <w:pPr>
        <w:spacing w:after="0" w:before="0" w:line="240" w:lineRule="auto"/>
        <w:ind w:left="57"/>
        <w:jc w:val="left"/>
        <w:shd w:val="clear" w:fill="F2F2F2"/>
      </w:pPr>
      <w:r>
        <w:rPr>
          <w:rFonts w:ascii="Consolas" w:hAnsi="Consolas" w:cs="Consolas"/>
          <w:b w:val="0"/>
          <w:i w:val="0"/>
          <w:sz w:val="15"/>
        </w:rPr>
        <w:t>// Pseudo-code: weight capacity validation (transport mode-aware)</w:t>
      </w:r>
    </w:p>
    <w:p>
      <w:pPr>
        <w:spacing w:after="0" w:before="0" w:line="240" w:lineRule="auto"/>
        <w:ind w:left="57"/>
        <w:jc w:val="left"/>
        <w:shd w:val="clear" w:fill="F2F2F2"/>
      </w:pPr>
      <w:r>
        <w:rPr>
          <w:rFonts w:ascii="Consolas" w:hAnsi="Consolas" w:cs="Consolas"/>
          <w:b w:val="0"/>
          <w:i w:val="0"/>
          <w:sz w:val="15"/>
        </w:rPr>
        <w:t>fn validate_weight_capacity(</w:t>
      </w:r>
    </w:p>
    <w:p>
      <w:pPr>
        <w:spacing w:after="0" w:before="0" w:line="240" w:lineRule="auto"/>
        <w:ind w:left="57"/>
        <w:jc w:val="left"/>
        <w:shd w:val="clear" w:fill="F2F2F2"/>
      </w:pPr>
      <w:r>
        <w:rPr>
          <w:rFonts w:ascii="Consolas" w:hAnsi="Consolas" w:cs="Consolas"/>
          <w:b w:val="0"/>
          <w:i w:val="0"/>
          <w:sz w:val="15"/>
        </w:rPr>
        <w:t xml:space="preserve">    total_gross_weight_kg: f64,</w:t>
      </w:r>
    </w:p>
    <w:p>
      <w:pPr>
        <w:spacing w:after="0" w:before="0" w:line="240" w:lineRule="auto"/>
        <w:ind w:left="57"/>
        <w:jc w:val="left"/>
        <w:shd w:val="clear" w:fill="F2F2F2"/>
      </w:pPr>
      <w:r>
        <w:rPr>
          <w:rFonts w:ascii="Consolas" w:hAnsi="Consolas" w:cs="Consolas"/>
          <w:b w:val="0"/>
          <w:i w:val="0"/>
          <w:sz w:val="15"/>
        </w:rPr>
        <w:t xml:space="preserve">    equipment_type: EquipmentType,</w:t>
      </w:r>
    </w:p>
    <w:p>
      <w:pPr>
        <w:spacing w:after="0" w:before="0" w:line="240" w:lineRule="auto"/>
        <w:ind w:left="57"/>
        <w:jc w:val="left"/>
        <w:shd w:val="clear" w:fill="F2F2F2"/>
      </w:pPr>
      <w:r>
        <w:rPr>
          <w:rFonts w:ascii="Consolas" w:hAnsi="Consolas" w:cs="Consolas"/>
          <w:b w:val="0"/>
          <w:i w:val="0"/>
          <w:sz w:val="15"/>
        </w:rPr>
        <w:t xml:space="preserve">    transport_mode: TransportMode</w:t>
      </w:r>
    </w:p>
    <w:p>
      <w:pPr>
        <w:spacing w:after="0" w:before="0" w:line="240" w:lineRule="auto"/>
        <w:ind w:left="57"/>
        <w:jc w:val="left"/>
        <w:shd w:val="clear" w:fill="F2F2F2"/>
      </w:pPr>
      <w:r>
        <w:rPr>
          <w:rFonts w:ascii="Consolas" w:hAnsi="Consolas" w:cs="Consolas"/>
          <w:b w:val="0"/>
          <w:i w:val="0"/>
          <w:sz w:val="15"/>
        </w:rPr>
        <w:t>) -&gt; Result&lt;()&gt; {</w:t>
      </w:r>
    </w:p>
    <w:p>
      <w:pPr>
        <w:spacing w:after="0" w:before="0" w:line="240" w:lineRule="auto"/>
        <w:ind w:left="57"/>
        <w:jc w:val="left"/>
        <w:shd w:val="clear" w:fill="F2F2F2"/>
      </w:pPr>
      <w:r>
        <w:rPr>
          <w:rFonts w:ascii="Consolas" w:hAnsi="Consolas" w:cs="Consolas"/>
          <w:b w:val="0"/>
          <w:i w:val="0"/>
          <w:sz w:val="15"/>
        </w:rPr>
        <w:t xml:space="preserve">    // 1. Get max payload based on equipment type and transport mode</w:t>
      </w:r>
    </w:p>
    <w:p>
      <w:pPr>
        <w:spacing w:after="0" w:before="0" w:line="240" w:lineRule="auto"/>
        <w:ind w:left="57"/>
        <w:jc w:val="left"/>
        <w:shd w:val="clear" w:fill="F2F2F2"/>
      </w:pPr>
      <w:r>
        <w:rPr>
          <w:rFonts w:ascii="Consolas" w:hAnsi="Consolas" w:cs="Consolas"/>
          <w:b w:val="0"/>
          <w:i w:val="0"/>
          <w:sz w:val="15"/>
        </w:rPr>
        <w:t xml:space="preserve">    let max_payload = match (transport_mode, equipment_type) {</w:t>
      </w:r>
    </w:p>
    <w:p>
      <w:pPr>
        <w:spacing w:after="0" w:before="0" w:line="240" w:lineRule="auto"/>
        <w:ind w:left="57"/>
        <w:jc w:val="left"/>
        <w:shd w:val="clear" w:fill="F2F2F2"/>
      </w:pPr>
      <w:r>
        <w:rPr>
          <w:rFonts w:ascii="Consolas" w:hAnsi="Consolas" w:cs="Consolas"/>
          <w:b w:val="0"/>
          <w:i w:val="0"/>
          <w:sz w:val="15"/>
        </w:rPr>
        <w:t xml:space="preserve">        (TransportMode::Ocean, EquipmentType::Standard) =&gt; 28000,</w:t>
      </w:r>
    </w:p>
    <w:p>
      <w:pPr>
        <w:spacing w:after="0" w:before="0" w:line="240" w:lineRule="auto"/>
        <w:ind w:left="57"/>
        <w:jc w:val="left"/>
        <w:shd w:val="clear" w:fill="F2F2F2"/>
      </w:pPr>
      <w:r>
        <w:rPr>
          <w:rFonts w:ascii="Consolas" w:hAnsi="Consolas" w:cs="Consolas"/>
          <w:b w:val="0"/>
          <w:i w:val="0"/>
          <w:sz w:val="15"/>
        </w:rPr>
        <w:t xml:space="preserve">        (TransportMode::Ocean, EquipmentType::Reefer)   =&gt; 28000,</w:t>
      </w:r>
    </w:p>
    <w:p>
      <w:pPr>
        <w:spacing w:after="0" w:before="0" w:line="240" w:lineRule="auto"/>
        <w:ind w:left="57"/>
        <w:jc w:val="left"/>
        <w:shd w:val="clear" w:fill="F2F2F2"/>
      </w:pPr>
      <w:r>
        <w:rPr>
          <w:rFonts w:ascii="Consolas" w:hAnsi="Consolas" w:cs="Consolas"/>
          <w:b w:val="0"/>
          <w:i w:val="0"/>
          <w:sz w:val="15"/>
        </w:rPr>
        <w:t xml:space="preserve">        (TransportMode::Ocean, EquipmentType::HC)       =&gt; 28000,</w:t>
      </w:r>
    </w:p>
    <w:p>
      <w:pPr>
        <w:spacing w:after="0" w:before="0" w:line="240" w:lineRule="auto"/>
        <w:ind w:left="57"/>
        <w:jc w:val="left"/>
        <w:shd w:val="clear" w:fill="F2F2F2"/>
      </w:pPr>
      <w:r>
        <w:rPr>
          <w:rFonts w:ascii="Consolas" w:hAnsi="Consolas" w:cs="Consolas"/>
          <w:b w:val="0"/>
          <w:i w:val="0"/>
          <w:sz w:val="15"/>
        </w:rPr>
        <w:t xml:space="preserve">        (TransportMode::Ocean, EquipmentType::FlatRack) =&gt; 40000,</w:t>
      </w:r>
    </w:p>
    <w:p>
      <w:pPr>
        <w:spacing w:after="0" w:before="0" w:line="240" w:lineRule="auto"/>
        <w:ind w:left="57"/>
        <w:jc w:val="left"/>
        <w:shd w:val="clear" w:fill="F2F2F2"/>
      </w:pPr>
      <w:r>
        <w:rPr>
          <w:rFonts w:ascii="Consolas" w:hAnsi="Consolas" w:cs="Consolas"/>
          <w:b w:val="0"/>
          <w:i w:val="0"/>
          <w:sz w:val="15"/>
        </w:rPr>
        <w:t xml:space="preserve">        (TransportMode::Ocean, EquipmentType::Tank)     =&gt; 26000,</w:t>
      </w:r>
    </w:p>
    <w:p>
      <w:pPr>
        <w:spacing w:after="0" w:before="0" w:line="240" w:lineRule="auto"/>
        <w:ind w:left="57"/>
        <w:jc w:val="left"/>
        <w:shd w:val="clear" w:fill="F2F2F2"/>
      </w:pPr>
      <w:r>
        <w:rPr>
          <w:rFonts w:ascii="Consolas" w:hAnsi="Consolas" w:cs="Consolas"/>
          <w:b w:val="0"/>
          <w:i w:val="0"/>
          <w:sz w:val="15"/>
        </w:rPr>
        <w:t xml:space="preserve">        (TransportMode::Air,   EquipmentType::Pallet)   =&gt; 3500,</w:t>
      </w:r>
    </w:p>
    <w:p>
      <w:pPr>
        <w:spacing w:after="0" w:before="0" w:line="240" w:lineRule="auto"/>
        <w:ind w:left="57"/>
        <w:jc w:val="left"/>
        <w:shd w:val="clear" w:fill="F2F2F2"/>
      </w:pPr>
      <w:r>
        <w:rPr>
          <w:rFonts w:ascii="Consolas" w:hAnsi="Consolas" w:cs="Consolas"/>
          <w:b w:val="0"/>
          <w:i w:val="0"/>
          <w:sz w:val="15"/>
        </w:rPr>
        <w:t xml:space="preserve">        (TransportMode::Air,   EquipmentType::ULD)      =&gt; 1600,</w:t>
      </w:r>
    </w:p>
    <w:p>
      <w:pPr>
        <w:spacing w:after="0" w:before="0" w:line="240" w:lineRule="auto"/>
        <w:ind w:left="57"/>
        <w:jc w:val="left"/>
        <w:shd w:val="clear" w:fill="F2F2F2"/>
      </w:pPr>
      <w:r>
        <w:rPr>
          <w:rFonts w:ascii="Consolas" w:hAnsi="Consolas" w:cs="Consolas"/>
          <w:b w:val="0"/>
          <w:i w:val="0"/>
          <w:sz w:val="15"/>
        </w:rPr>
        <w:t xml:space="preserve">        (TransportMode::Air,   EquipmentType::Reefer)   =&gt; 1600,</w:t>
      </w:r>
    </w:p>
    <w:p>
      <w:pPr>
        <w:spacing w:after="0" w:before="0" w:line="240" w:lineRule="auto"/>
        <w:ind w:left="57"/>
        <w:jc w:val="left"/>
        <w:shd w:val="clear" w:fill="F2F2F2"/>
      </w:pPr>
      <w:r>
        <w:rPr>
          <w:rFonts w:ascii="Consolas" w:hAnsi="Consolas" w:cs="Consolas"/>
          <w:b w:val="0"/>
          <w:i w:val="0"/>
          <w:sz w:val="15"/>
        </w:rPr>
        <w:t xml:space="preserve">        (TransportMode::Rail,  EquipmentType::BoxWagon)     =&gt; 60000,</w:t>
      </w:r>
    </w:p>
    <w:p>
      <w:pPr>
        <w:spacing w:after="0" w:before="0" w:line="240" w:lineRule="auto"/>
        <w:ind w:left="57"/>
        <w:jc w:val="left"/>
        <w:shd w:val="clear" w:fill="F2F2F2"/>
      </w:pPr>
      <w:r>
        <w:rPr>
          <w:rFonts w:ascii="Consolas" w:hAnsi="Consolas" w:cs="Consolas"/>
          <w:b w:val="0"/>
          <w:i w:val="0"/>
          <w:sz w:val="15"/>
        </w:rPr>
        <w:t xml:space="preserve">        (TransportMode::Rail,  EquipmentType::ReeferWagon)  =&gt; 60000,</w:t>
      </w:r>
    </w:p>
    <w:p>
      <w:pPr>
        <w:spacing w:after="0" w:before="0" w:line="240" w:lineRule="auto"/>
        <w:ind w:left="57"/>
        <w:jc w:val="left"/>
        <w:shd w:val="clear" w:fill="F2F2F2"/>
      </w:pPr>
      <w:r>
        <w:rPr>
          <w:rFonts w:ascii="Consolas" w:hAnsi="Consolas" w:cs="Consolas"/>
          <w:b w:val="0"/>
          <w:i w:val="0"/>
          <w:sz w:val="15"/>
        </w:rPr>
        <w:t xml:space="preserve">        (TransportMode::Truck, EquipmentType::DryVan)   =&gt; 22000,</w:t>
      </w:r>
    </w:p>
    <w:p>
      <w:pPr>
        <w:spacing w:after="0" w:before="0" w:line="240" w:lineRule="auto"/>
        <w:ind w:left="57"/>
        <w:jc w:val="left"/>
        <w:shd w:val="clear" w:fill="F2F2F2"/>
      </w:pPr>
      <w:r>
        <w:rPr>
          <w:rFonts w:ascii="Consolas" w:hAnsi="Consolas" w:cs="Consolas"/>
          <w:b w:val="0"/>
          <w:i w:val="0"/>
          <w:sz w:val="15"/>
        </w:rPr>
        <w:t xml:space="preserve">        (TransportMode::Truck, EquipmentType::Reefer)   =&gt; 22000,</w:t>
      </w:r>
    </w:p>
    <w:p>
      <w:pPr>
        <w:spacing w:after="0" w:before="0" w:line="240" w:lineRule="auto"/>
        <w:ind w:left="57"/>
        <w:jc w:val="left"/>
        <w:shd w:val="clear" w:fill="F2F2F2"/>
      </w:pPr>
      <w:r>
        <w:rPr>
          <w:rFonts w:ascii="Consolas" w:hAnsi="Consolas" w:cs="Consolas"/>
          <w:b w:val="0"/>
          <w:i w:val="0"/>
          <w:sz w:val="15"/>
        </w:rPr>
        <w:t xml:space="preserve">        (TransportMode::Truck, EquipmentType::Flatbed)  =&gt; 24000,</w:t>
      </w:r>
    </w:p>
    <w:p>
      <w:pPr>
        <w:spacing w:after="0" w:before="0" w:line="240" w:lineRule="auto"/>
        <w:ind w:left="57"/>
        <w:jc w:val="left"/>
        <w:shd w:val="clear" w:fill="F2F2F2"/>
      </w:pPr>
      <w:r>
        <w:rPr>
          <w:rFonts w:ascii="Consolas" w:hAnsi="Consolas" w:cs="Consolas"/>
          <w:b w:val="0"/>
          <w:i w:val="0"/>
          <w:sz w:val="15"/>
        </w:rPr>
        <w:t xml:space="preserve">        (TransportMode::Truck, EquipmentType::Tank)     =&gt; 25000,</w:t>
      </w:r>
    </w:p>
    <w:p>
      <w:pPr>
        <w:spacing w:after="0" w:before="0" w:line="240" w:lineRule="auto"/>
        <w:ind w:left="57"/>
        <w:jc w:val="left"/>
        <w:shd w:val="clear" w:fill="F2F2F2"/>
      </w:pPr>
      <w:r>
        <w:rPr>
          <w:rFonts w:ascii="Consolas" w:hAnsi="Consolas" w:cs="Consolas"/>
          <w:b w:val="0"/>
          <w:i w:val="0"/>
          <w:sz w:val="15"/>
        </w:rPr>
        <w:t xml:space="preserve">        _ =&gt; 28000, // default fallback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Validate total gross weight against max payload</w:t>
      </w:r>
    </w:p>
    <w:p>
      <w:pPr>
        <w:spacing w:after="0" w:before="0" w:line="240" w:lineRule="auto"/>
        <w:ind w:left="57"/>
        <w:jc w:val="left"/>
        <w:shd w:val="clear" w:fill="F2F2F2"/>
      </w:pPr>
      <w:r>
        <w:rPr>
          <w:rFonts w:ascii="Consolas" w:hAnsi="Consolas" w:cs="Consolas"/>
          <w:b w:val="0"/>
          <w:i w:val="0"/>
          <w:sz w:val="15"/>
        </w:rPr>
        <w:t xml:space="preserve">    if total_gross_weight_kg &gt; max_payload as f64 {</w:t>
      </w:r>
    </w:p>
    <w:p>
      <w:pPr>
        <w:spacing w:after="0" w:before="0" w:line="240" w:lineRule="auto"/>
        <w:ind w:left="57"/>
        <w:jc w:val="left"/>
        <w:shd w:val="clear" w:fill="F2F2F2"/>
      </w:pPr>
      <w:r>
        <w:rPr>
          <w:rFonts w:ascii="Consolas" w:hAnsi="Consolas" w:cs="Consolas"/>
          <w:b w:val="0"/>
          <w:i w:val="0"/>
          <w:sz w:val="15"/>
        </w:rPr>
        <w:t xml:space="preserve">        return Err(Error::WeightExceeded {</w:t>
      </w:r>
    </w:p>
    <w:p>
      <w:pPr>
        <w:spacing w:after="0" w:before="0" w:line="240" w:lineRule="auto"/>
        <w:ind w:left="57"/>
        <w:jc w:val="left"/>
        <w:shd w:val="clear" w:fill="F2F2F2"/>
      </w:pPr>
      <w:r>
        <w:rPr>
          <w:rFonts w:ascii="Consolas" w:hAnsi="Consolas" w:cs="Consolas"/>
          <w:b w:val="0"/>
          <w:i w:val="0"/>
          <w:sz w:val="15"/>
        </w:rPr>
        <w:t xml:space="preserve">            actual: total_gross_weight_kg,</w:t>
      </w:r>
    </w:p>
    <w:p>
      <w:pPr>
        <w:spacing w:after="0" w:before="0" w:line="240" w:lineRule="auto"/>
        <w:ind w:left="57"/>
        <w:jc w:val="left"/>
        <w:shd w:val="clear" w:fill="F2F2F2"/>
      </w:pPr>
      <w:r>
        <w:rPr>
          <w:rFonts w:ascii="Consolas" w:hAnsi="Consolas" w:cs="Consolas"/>
          <w:b w:val="0"/>
          <w:i w:val="0"/>
          <w:sz w:val="15"/>
        </w:rPr>
        <w:t xml:space="preserve">            max: max_payload as f64,</w:t>
      </w:r>
    </w:p>
    <w:p>
      <w:pPr>
        <w:spacing w:after="0" w:before="0" w:line="240" w:lineRule="auto"/>
        <w:ind w:left="57"/>
        <w:jc w:val="left"/>
        <w:shd w:val="clear" w:fill="F2F2F2"/>
      </w:pPr>
      <w:r>
        <w:rPr>
          <w:rFonts w:ascii="Consolas" w:hAnsi="Consolas" w:cs="Consolas"/>
          <w:b w:val="0"/>
          <w:i w:val="0"/>
          <w:sz w:val="15"/>
        </w:rPr>
        <w:t xml:space="preserve">            equipment: format!("{:?} {:?}", transport_mode, equipment_type),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utilisation (advisory)</w:t>
      </w:r>
    </w:p>
    <w:p>
      <w:pPr>
        <w:spacing w:after="0" w:before="0" w:line="240" w:lineRule="auto"/>
        <w:ind w:left="57"/>
        <w:jc w:val="left"/>
        <w:shd w:val="clear" w:fill="F2F2F2"/>
      </w:pPr>
      <w:r>
        <w:rPr>
          <w:rFonts w:ascii="Consolas" w:hAnsi="Consolas" w:cs="Consolas"/>
          <w:b w:val="0"/>
          <w:i w:val="0"/>
          <w:sz w:val="15"/>
        </w:rPr>
        <w:t xml:space="preserve">    let utilisation = (total_gross_weight_kg / max_payload as f64) * 100.0;</w:t>
      </w:r>
    </w:p>
    <w:p>
      <w:pPr>
        <w:spacing w:after="0" w:before="0" w:line="240" w:lineRule="auto"/>
        <w:ind w:left="57"/>
        <w:jc w:val="left"/>
        <w:shd w:val="clear" w:fill="F2F2F2"/>
      </w:pPr>
      <w:r>
        <w:rPr>
          <w:rFonts w:ascii="Consolas" w:hAnsi="Consolas" w:cs="Consolas"/>
          <w:b w:val="0"/>
          <w:i w:val="0"/>
          <w:sz w:val="15"/>
        </w:rPr>
        <w:t xml:space="preserve">    if utilisation &gt; 90.0 {</w:t>
      </w:r>
    </w:p>
    <w:p>
      <w:pPr>
        <w:spacing w:after="0" w:before="0" w:line="240" w:lineRule="auto"/>
        <w:ind w:left="57"/>
        <w:jc w:val="left"/>
        <w:shd w:val="clear" w:fill="F2F2F2"/>
      </w:pPr>
      <w:r>
        <w:rPr>
          <w:rFonts w:ascii="Consolas" w:hAnsi="Consolas" w:cs="Consolas"/>
          <w:b w:val="0"/>
          <w:i w:val="0"/>
          <w:sz w:val="15"/>
        </w:rPr>
        <w:t xml:space="preserve">        log_warning("Weight utilisation &gt; 90% — consider splitting shipment");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8.3.6 Validation Rules (A4, WasmEdge)</w:t>
      </w:r>
    </w:p>
    <w:p>
      <w:pPr>
        <w:spacing w:after="80" w:line="293" w:lineRule="auto"/>
        <w:jc w:val="left"/>
      </w:pPr>
      <w:r>
        <w:rPr>
          <w:rFonts w:ascii="Times New Roman" w:hAnsi="Times New Roman" w:cs="Times New Roman"/>
          <w:b w:val="0"/>
          <w:i w:val="0"/>
          <w:sz w:val="22"/>
        </w:rPr>
        <w:t>The weight calculation engine enforces the following rules: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Rule</w:t>
            </w:r>
          </w:p>
        </w:tc>
        <w:tc>
          <w:tcPr>
            <w:tcW w:type="dxa" w:w="4819"/>
            <w:shd w:val="clear" w:fill="D9E2F3"/>
          </w:tcPr>
          <w:p>
            <w:pPr>
              <w:spacing w:after="20" w:before="20" w:line="240" w:lineRule="auto"/>
            </w:pPr>
            <w:r/>
            <w:r>
              <w:rPr>
                <w:rFonts w:ascii="Arial" w:hAnsi="Arial" w:cs="Arial"/>
                <w:b/>
                <w:i w:val="0"/>
                <w:sz w:val="18"/>
              </w:rPr>
              <w:t>Requirement</w:t>
            </w:r>
          </w:p>
        </w:tc>
      </w:tr>
      <w:tr>
        <w:tc>
          <w:tcPr>
            <w:tcW w:type="dxa" w:w="4819"/>
          </w:tcPr>
          <w:p>
            <w:pPr>
              <w:spacing w:after="20" w:before="20" w:line="240" w:lineRule="auto"/>
            </w:pPr>
            <w:r/>
            <w:r>
              <w:rPr>
                <w:rFonts w:ascii="Arial" w:hAnsi="Arial" w:cs="Arial"/>
                <w:b w:val="0"/>
                <w:i w:val="0"/>
                <w:sz w:val="17"/>
              </w:rPr>
              <w:t>W1</w:t>
            </w:r>
          </w:p>
        </w:tc>
        <w:tc>
          <w:tcPr>
            <w:tcW w:type="dxa" w:w="4819"/>
          </w:tcPr>
          <w:p>
            <w:pPr>
              <w:spacing w:after="20" w:before="20" w:line="240" w:lineRule="auto"/>
            </w:pPr>
            <w:r/>
            <w:r>
              <w:rPr>
                <w:rFonts w:ascii="Arial" w:hAnsi="Arial" w:cs="Arial"/>
                <w:b w:val="0"/>
                <w:i w:val="0"/>
                <w:sz w:val="17"/>
              </w:rPr>
              <w:t>Total gross weight ≤ equipment max payload</w:t>
            </w:r>
          </w:p>
        </w:tc>
      </w:tr>
      <w:tr>
        <w:tc>
          <w:tcPr>
            <w:tcW w:type="dxa" w:w="4819"/>
          </w:tcPr>
          <w:p>
            <w:pPr>
              <w:spacing w:after="20" w:before="20" w:line="240" w:lineRule="auto"/>
            </w:pPr>
            <w:r/>
            <w:r>
              <w:rPr>
                <w:rFonts w:ascii="Arial" w:hAnsi="Arial" w:cs="Arial"/>
                <w:b w:val="0"/>
                <w:i w:val="0"/>
                <w:sz w:val="17"/>
              </w:rPr>
              <w:t>W2</w:t>
            </w:r>
          </w:p>
        </w:tc>
        <w:tc>
          <w:tcPr>
            <w:tcW w:type="dxa" w:w="4819"/>
          </w:tcPr>
          <w:p>
            <w:pPr>
              <w:spacing w:after="20" w:before="20" w:line="240" w:lineRule="auto"/>
            </w:pPr>
            <w:r/>
            <w:r>
              <w:rPr>
                <w:rFonts w:ascii="Arial" w:hAnsi="Arial" w:cs="Arial"/>
                <w:b w:val="0"/>
                <w:i w:val="0"/>
                <w:sz w:val="17"/>
              </w:rPr>
              <w:t>Total volume ≤ equipment max volume</w:t>
            </w:r>
          </w:p>
        </w:tc>
      </w:tr>
      <w:tr>
        <w:tc>
          <w:tcPr>
            <w:tcW w:type="dxa" w:w="4819"/>
          </w:tcPr>
          <w:p>
            <w:pPr>
              <w:spacing w:after="20" w:before="20" w:line="240" w:lineRule="auto"/>
            </w:pPr>
            <w:r/>
            <w:r>
              <w:rPr>
                <w:rFonts w:ascii="Arial" w:hAnsi="Arial" w:cs="Arial"/>
                <w:b w:val="0"/>
                <w:i w:val="0"/>
                <w:sz w:val="17"/>
              </w:rPr>
              <w:t>W3</w:t>
            </w:r>
          </w:p>
        </w:tc>
        <w:tc>
          <w:tcPr>
            <w:tcW w:type="dxa" w:w="4819"/>
          </w:tcPr>
          <w:p>
            <w:pPr>
              <w:spacing w:after="20" w:before="20" w:line="240" w:lineRule="auto"/>
            </w:pPr>
            <w:r/>
            <w:r>
              <w:rPr>
                <w:rFonts w:ascii="Arial" w:hAnsi="Arial" w:cs="Arial"/>
                <w:b w:val="0"/>
                <w:i w:val="0"/>
                <w:sz w:val="17"/>
              </w:rPr>
              <w:t>Per-commodity net weight ≥ minimum tolerance</w:t>
            </w:r>
          </w:p>
        </w:tc>
      </w:tr>
      <w:tr>
        <w:tc>
          <w:tcPr>
            <w:tcW w:type="dxa" w:w="4819"/>
          </w:tcPr>
          <w:p>
            <w:pPr>
              <w:spacing w:after="20" w:before="20" w:line="240" w:lineRule="auto"/>
            </w:pPr>
            <w:r/>
            <w:r>
              <w:rPr>
                <w:rFonts w:ascii="Arial" w:hAnsi="Arial" w:cs="Arial"/>
                <w:b w:val="0"/>
                <w:i w:val="0"/>
                <w:sz w:val="17"/>
              </w:rPr>
              <w:t>W4</w:t>
            </w:r>
          </w:p>
        </w:tc>
        <w:tc>
          <w:tcPr>
            <w:tcW w:type="dxa" w:w="4819"/>
          </w:tcPr>
          <w:p>
            <w:pPr>
              <w:spacing w:after="20" w:before="20" w:line="240" w:lineRule="auto"/>
            </w:pPr>
            <w:r/>
            <w:r>
              <w:rPr>
                <w:rFonts w:ascii="Arial" w:hAnsi="Arial" w:cs="Arial"/>
                <w:b w:val="0"/>
                <w:i w:val="0"/>
                <w:sz w:val="17"/>
              </w:rPr>
              <w:t>Per-commodity net weight ≤ maximum tolerance</w:t>
            </w:r>
          </w:p>
        </w:tc>
      </w:tr>
      <w:tr>
        <w:tc>
          <w:tcPr>
            <w:tcW w:type="dxa" w:w="4819"/>
          </w:tcPr>
          <w:p>
            <w:pPr>
              <w:spacing w:after="20" w:before="20" w:line="240" w:lineRule="auto"/>
            </w:pPr>
            <w:r/>
            <w:r>
              <w:rPr>
                <w:rFonts w:ascii="Arial" w:hAnsi="Arial" w:cs="Arial"/>
                <w:b w:val="0"/>
                <w:i w:val="0"/>
                <w:sz w:val="17"/>
              </w:rPr>
              <w:t>W5</w:t>
            </w:r>
          </w:p>
        </w:tc>
        <w:tc>
          <w:tcPr>
            <w:tcW w:type="dxa" w:w="4819"/>
          </w:tcPr>
          <w:p>
            <w:pPr>
              <w:spacing w:after="20" w:before="20" w:line="240" w:lineRule="auto"/>
            </w:pPr>
            <w:r/>
            <w:r>
              <w:rPr>
                <w:rFonts w:ascii="Arial" w:hAnsi="Arial" w:cs="Arial"/>
                <w:b w:val="0"/>
                <w:i w:val="0"/>
                <w:sz w:val="17"/>
              </w:rPr>
              <w:t>Pallet stacking height ≤ commodity-specific limit</w:t>
            </w:r>
          </w:p>
        </w:tc>
      </w:tr>
      <w:tr>
        <w:tc>
          <w:tcPr>
            <w:tcW w:type="dxa" w:w="4819"/>
          </w:tcPr>
          <w:p>
            <w:pPr>
              <w:spacing w:after="20" w:before="20" w:line="240" w:lineRule="auto"/>
            </w:pPr>
            <w:r/>
            <w:r>
              <w:rPr>
                <w:rFonts w:ascii="Arial" w:hAnsi="Arial" w:cs="Arial"/>
                <w:b w:val="0"/>
                <w:i w:val="0"/>
                <w:sz w:val="17"/>
              </w:rPr>
              <w:t>W6</w:t>
            </w:r>
          </w:p>
        </w:tc>
        <w:tc>
          <w:tcPr>
            <w:tcW w:type="dxa" w:w="4819"/>
          </w:tcPr>
          <w:p>
            <w:pPr>
              <w:spacing w:after="20" w:before="20" w:line="240" w:lineRule="auto"/>
            </w:pPr>
            <w:r/>
            <w:r>
              <w:rPr>
                <w:rFonts w:ascii="Arial" w:hAnsi="Arial" w:cs="Arial"/>
                <w:b w:val="0"/>
                <w:i w:val="0"/>
                <w:sz w:val="17"/>
              </w:rPr>
              <w:t>No incompatible commodities mixed</w:t>
            </w:r>
          </w:p>
        </w:tc>
      </w:tr>
      <w:tr>
        <w:tc>
          <w:tcPr>
            <w:tcW w:type="dxa" w:w="4819"/>
          </w:tcPr>
          <w:p>
            <w:pPr>
              <w:spacing w:after="20" w:before="20" w:line="240" w:lineRule="auto"/>
            </w:pPr>
            <w:r/>
            <w:r>
              <w:rPr>
                <w:rFonts w:ascii="Arial" w:hAnsi="Arial" w:cs="Arial"/>
                <w:b w:val="0"/>
                <w:i w:val="0"/>
                <w:sz w:val="17"/>
              </w:rPr>
              <w:t>W7</w:t>
            </w:r>
          </w:p>
        </w:tc>
        <w:tc>
          <w:tcPr>
            <w:tcW w:type="dxa" w:w="4819"/>
          </w:tcPr>
          <w:p>
            <w:pPr>
              <w:spacing w:after="20" w:before="20" w:line="240" w:lineRule="auto"/>
            </w:pPr>
            <w:r/>
            <w:r>
              <w:rPr>
                <w:rFonts w:ascii="Arial" w:hAnsi="Arial" w:cs="Arial"/>
                <w:b w:val="0"/>
                <w:i w:val="0"/>
                <w:sz w:val="17"/>
              </w:rPr>
              <w:t>Packaging type compatible with commodity</w:t>
            </w:r>
          </w:p>
        </w:tc>
      </w:tr>
      <w:tr>
        <w:tc>
          <w:tcPr>
            <w:tcW w:type="dxa" w:w="4819"/>
          </w:tcPr>
          <w:p>
            <w:pPr>
              <w:spacing w:after="20" w:before="20" w:line="240" w:lineRule="auto"/>
            </w:pPr>
            <w:r/>
            <w:r>
              <w:rPr>
                <w:rFonts w:ascii="Arial" w:hAnsi="Arial" w:cs="Arial"/>
                <w:b w:val="0"/>
                <w:i w:val="0"/>
                <w:sz w:val="17"/>
              </w:rPr>
              <w:t>W8</w:t>
            </w:r>
          </w:p>
        </w:tc>
        <w:tc>
          <w:tcPr>
            <w:tcW w:type="dxa" w:w="4819"/>
          </w:tcPr>
          <w:p>
            <w:pPr>
              <w:spacing w:after="20" w:before="20" w:line="240" w:lineRule="auto"/>
            </w:pPr>
            <w:r/>
            <w:r>
              <w:rPr>
                <w:rFonts w:ascii="Arial" w:hAnsi="Arial" w:cs="Arial"/>
                <w:b w:val="0"/>
                <w:i w:val="0"/>
                <w:sz w:val="17"/>
              </w:rPr>
              <w:t>Weight calculation consistency matches declared total</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CONDITIONAL response (weight exceeded):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packing plan exceeds the maximum payload for a 40ft Reefer container. Total gross weight is 29,500 kg, but the maximum is 28,000 kg.",</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"weight_exceeded",</w:t>
      </w:r>
    </w:p>
    <w:p>
      <w:pPr>
        <w:spacing w:after="0" w:before="0" w:line="240" w:lineRule="auto"/>
        <w:ind w:left="57"/>
        <w:jc w:val="left"/>
        <w:shd w:val="clear" w:fill="F2F2F2"/>
      </w:pPr>
      <w:r>
        <w:rPr>
          <w:rFonts w:ascii="Consolas" w:hAnsi="Consolas" w:cs="Consolas"/>
          <w:b w:val="0"/>
          <w:i w:val="0"/>
          <w:sz w:val="15"/>
        </w:rPr>
        <w:t xml:space="preserve">        "label": "Reduce weight or select a different container type",</w:t>
      </w:r>
    </w:p>
    <w:p>
      <w:pPr>
        <w:spacing w:after="0" w:before="0" w:line="240" w:lineRule="auto"/>
        <w:ind w:left="57"/>
        <w:jc w:val="left"/>
        <w:shd w:val="clear" w:fill="F2F2F2"/>
      </w:pPr>
      <w:r>
        <w:rPr>
          <w:rFonts w:ascii="Consolas" w:hAnsi="Consolas" w:cs="Consolas"/>
          <w:b w:val="0"/>
          <w:i w:val="0"/>
          <w:sz w:val="15"/>
        </w:rPr>
        <w:t xml:space="preserve">        "action_url": "/v1/packing/plan?trade_id=..."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CONDITIONAL response (tolerance violation):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packing plan weight (8,800 kg) is below the minimum tolerance (95 MT = 95,000 kg) for Oranges. Please adjust the quantity or tolerance.",</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"tolerance_violation",</w:t>
      </w:r>
    </w:p>
    <w:p>
      <w:pPr>
        <w:spacing w:after="0" w:before="0" w:line="240" w:lineRule="auto"/>
        <w:ind w:left="57"/>
        <w:jc w:val="left"/>
        <w:shd w:val="clear" w:fill="F2F2F2"/>
      </w:pPr>
      <w:r>
        <w:rPr>
          <w:rFonts w:ascii="Consolas" w:hAnsi="Consolas" w:cs="Consolas"/>
          <w:b w:val="0"/>
          <w:i w:val="0"/>
          <w:sz w:val="15"/>
        </w:rPr>
        <w:t xml:space="preserve">        "label": "Adjust quantity or tolerance",</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8.3.7 Real-Time Weight Summary UI</w:t>
      </w:r>
    </w:p>
    <w:p>
      <w:pPr>
        <w:spacing w:after="80" w:line="293" w:lineRule="auto"/>
        <w:jc w:val="left"/>
      </w:pPr>
      <w:r>
        <w:rPr>
          <w:rFonts w:ascii="Times New Roman" w:hAnsi="Times New Roman" w:cs="Times New Roman"/>
          <w:b w:val="0"/>
          <w:i w:val="0"/>
          <w:sz w:val="22"/>
        </w:rPr>
        <w:t>The weight summary is displayed in real-time as the seller adjusts packing parameters:</w:t>
      </w:r>
    </w:p>
    <w:p>
      <w:pPr>
        <w:spacing w:after="0" w:before="0" w:line="240" w:lineRule="auto"/>
        <w:ind w:left="57"/>
        <w:jc w:val="left"/>
        <w:shd w:val="clear" w:fill="F2F2F2"/>
      </w:pPr>
      <w:r>
        <w:rPr>
          <w:rFonts w:ascii="Consolas" w:hAnsi="Consolas" w:cs="Consolas"/>
          <w:b w:val="0"/>
          <w:i w:val="0"/>
          <w:sz w:val="15"/>
        </w:rPr>
        <w:t>WEIGHT SUMMARY — Container 1</w:t>
      </w:r>
    </w:p>
    <w:p>
      <w:pPr>
        <w:spacing w:after="0" w:before="0" w:line="240" w:lineRule="auto"/>
        <w:ind w:left="57"/>
        <w:jc w:val="left"/>
        <w:shd w:val="clear" w:fill="F2F2F2"/>
      </w:pPr>
      <w:r>
        <w:rPr>
          <w:rFonts w:ascii="Consolas" w:hAnsi="Consolas" w:cs="Consolas"/>
          <w:b w:val="0"/>
          <w:i w:val="0"/>
          <w:sz w:val="15"/>
        </w:rPr>
        <w:t>Transport Mode: Ocean | Equipment: 40ft Reefer | Max Payload: 28,000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COMMODITIES</w:t>
      </w:r>
    </w:p>
    <w:p>
      <w:pPr>
        <w:spacing w:after="0" w:before="0" w:line="240" w:lineRule="auto"/>
        <w:ind w:left="57"/>
        <w:jc w:val="left"/>
        <w:shd w:val="clear" w:fill="F2F2F2"/>
      </w:pPr>
      <w:r>
        <w:rPr>
          <w:rFonts w:ascii="Consolas" w:hAnsi="Consolas" w:cs="Consolas"/>
          <w:b w:val="0"/>
          <w:i w:val="0"/>
          <w:sz w:val="15"/>
        </w:rPr>
        <w:t xml:space="preserve">  Oranges (HS 0805.10)</w:t>
      </w:r>
    </w:p>
    <w:p>
      <w:pPr>
        <w:spacing w:after="0" w:before="0" w:line="240" w:lineRule="auto"/>
        <w:ind w:left="57"/>
        <w:jc w:val="left"/>
        <w:shd w:val="clear" w:fill="F2F2F2"/>
      </w:pPr>
      <w:r>
        <w:rPr>
          <w:rFonts w:ascii="Consolas" w:hAnsi="Consolas" w:cs="Consolas"/>
          <w:b w:val="0"/>
          <w:i w:val="0"/>
          <w:sz w:val="15"/>
        </w:rPr>
        <w:t xml:space="preserve">    Pallets: 22 | Cartons: 880 | Net: 8,800 kg | Gross: 9,240 kg</w:t>
      </w:r>
    </w:p>
    <w:p>
      <w:pPr>
        <w:spacing w:after="0" w:before="0" w:line="240" w:lineRule="auto"/>
        <w:ind w:left="57"/>
        <w:jc w:val="left"/>
        <w:shd w:val="clear" w:fill="F2F2F2"/>
      </w:pPr>
      <w:r>
        <w:rPr>
          <w:rFonts w:ascii="Consolas" w:hAnsi="Consolas" w:cs="Consolas"/>
          <w:b w:val="0"/>
          <w:i w:val="0"/>
          <w:sz w:val="15"/>
        </w:rPr>
        <w:t xml:space="preserve">    Tolerance: ±5% (95–105 MT) | Current: 8.8 MT (within range)</w:t>
      </w:r>
    </w:p>
    <w:p>
      <w:pPr>
        <w:spacing w:after="0" w:before="0" w:line="240" w:lineRule="auto"/>
        <w:ind w:left="57"/>
        <w:jc w:val="left"/>
        <w:shd w:val="clear" w:fill="F2F2F2"/>
      </w:pPr>
      <w:r>
        <w:rPr>
          <w:rFonts w:ascii="Consolas" w:hAnsi="Consolas" w:cs="Consolas"/>
          <w:b w:val="0"/>
          <w:i w:val="0"/>
          <w:sz w:val="15"/>
        </w:rPr>
        <w:t xml:space="preserve">  Lemons (HS 0805.50)</w:t>
      </w:r>
    </w:p>
    <w:p>
      <w:pPr>
        <w:spacing w:after="0" w:before="0" w:line="240" w:lineRule="auto"/>
        <w:ind w:left="57"/>
        <w:jc w:val="left"/>
        <w:shd w:val="clear" w:fill="F2F2F2"/>
      </w:pPr>
      <w:r>
        <w:rPr>
          <w:rFonts w:ascii="Consolas" w:hAnsi="Consolas" w:cs="Consolas"/>
          <w:b w:val="0"/>
          <w:i w:val="0"/>
          <w:sz w:val="15"/>
        </w:rPr>
        <w:t xml:space="preserve">    Pallets: 14 | Cartons: 672 | Net: 5,376 kg | Gross: 5,644.8 kg</w:t>
      </w:r>
    </w:p>
    <w:p>
      <w:pPr>
        <w:spacing w:after="0" w:before="0" w:line="240" w:lineRule="auto"/>
        <w:ind w:left="57"/>
        <w:jc w:val="left"/>
        <w:shd w:val="clear" w:fill="F2F2F2"/>
      </w:pPr>
      <w:r>
        <w:rPr>
          <w:rFonts w:ascii="Consolas" w:hAnsi="Consolas" w:cs="Consolas"/>
          <w:b w:val="0"/>
          <w:i w:val="0"/>
          <w:sz w:val="15"/>
        </w:rPr>
        <w:t xml:space="preserve">    Tolerance: ±5% (47.5–52.5 MT) | Current: 5.376 MT (within range)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TOTAL</w:t>
      </w:r>
    </w:p>
    <w:p>
      <w:pPr>
        <w:spacing w:after="0" w:before="0" w:line="240" w:lineRule="auto"/>
        <w:ind w:left="57"/>
        <w:jc w:val="left"/>
        <w:shd w:val="clear" w:fill="F2F2F2"/>
      </w:pPr>
      <w:r>
        <w:rPr>
          <w:rFonts w:ascii="Consolas" w:hAnsi="Consolas" w:cs="Consolas"/>
          <w:b w:val="0"/>
          <w:i w:val="0"/>
          <w:sz w:val="15"/>
        </w:rPr>
        <w:t xml:space="preserve">  Pallets: 36 | Cartons: 1,552 | Net: 14,176 kg | Gross (incl. tare): 15,784.8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CAPACITY UTILISATION</w:t>
      </w:r>
    </w:p>
    <w:p>
      <w:pPr>
        <w:spacing w:after="0" w:before="0" w:line="240" w:lineRule="auto"/>
        <w:ind w:left="57"/>
        <w:jc w:val="left"/>
        <w:shd w:val="clear" w:fill="F2F2F2"/>
      </w:pPr>
      <w:r>
        <w:rPr>
          <w:rFonts w:ascii="Consolas" w:hAnsi="Consolas" w:cs="Consolas"/>
          <w:b w:val="0"/>
          <w:i w:val="0"/>
          <w:sz w:val="15"/>
        </w:rPr>
        <w:t xml:space="preserve">  [=============          ] 56.4%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STATUS</w:t>
      </w:r>
    </w:p>
    <w:p>
      <w:pPr>
        <w:spacing w:after="0" w:before="0" w:line="240" w:lineRule="auto"/>
        <w:ind w:left="57"/>
        <w:jc w:val="left"/>
        <w:shd w:val="clear" w:fill="F2F2F2"/>
      </w:pPr>
      <w:r>
        <w:rPr>
          <w:rFonts w:ascii="Consolas" w:hAnsi="Consolas" w:cs="Consolas"/>
          <w:b w:val="0"/>
          <w:i w:val="0"/>
          <w:sz w:val="15"/>
        </w:rPr>
        <w:t xml:space="preserve">  Weight within limits (15,784.8 kg ≤ 28,000 kg)</w:t>
      </w:r>
    </w:p>
    <w:p>
      <w:pPr>
        <w:spacing w:after="0" w:before="0" w:line="240" w:lineRule="auto"/>
        <w:ind w:left="57"/>
        <w:jc w:val="left"/>
        <w:shd w:val="clear" w:fill="F2F2F2"/>
      </w:pPr>
      <w:r>
        <w:rPr>
          <w:rFonts w:ascii="Consolas" w:hAnsi="Consolas" w:cs="Consolas"/>
          <w:b w:val="0"/>
          <w:i w:val="0"/>
          <w:sz w:val="15"/>
        </w:rPr>
        <w:t xml:space="preserve">  Quantity within tolerance for all commodities</w:t>
      </w:r>
    </w:p>
    <w:p>
      <w:pPr>
        <w:spacing w:after="0" w:before="0" w:line="240" w:lineRule="auto"/>
        <w:ind w:left="57"/>
        <w:jc w:val="left"/>
        <w:shd w:val="clear" w:fill="F2F2F2"/>
      </w:pPr>
      <w:r>
        <w:rPr>
          <w:rFonts w:ascii="Consolas" w:hAnsi="Consolas" w:cs="Consolas"/>
          <w:b w:val="0"/>
          <w:i w:val="0"/>
          <w:sz w:val="15"/>
        </w:rPr>
        <w:t xml:space="preserve">  Weight utilisation low (56.4%) — consider consolidating</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8.3.8 Integration with Other Components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How Weight Data Flows</w:t>
            </w:r>
          </w:p>
        </w:tc>
      </w:tr>
      <w:tr>
        <w:tc>
          <w:tcPr>
            <w:tcW w:type="dxa" w:w="4819"/>
          </w:tcPr>
          <w:p>
            <w:pPr>
              <w:spacing w:after="20" w:before="20" w:line="240" w:lineRule="auto"/>
            </w:pPr>
            <w:r/>
            <w:r>
              <w:rPr>
                <w:rFonts w:ascii="Arial" w:hAnsi="Arial" w:cs="Arial"/>
                <w:b w:val="0"/>
                <w:i w:val="0"/>
                <w:sz w:val="17"/>
              </w:rPr>
              <w:t>Palletisation Optimiser (Section 8.4)</w:t>
            </w:r>
          </w:p>
        </w:tc>
        <w:tc>
          <w:tcPr>
            <w:tcW w:type="dxa" w:w="4819"/>
          </w:tcPr>
          <w:p>
            <w:pPr>
              <w:spacing w:after="20" w:before="20" w:line="240" w:lineRule="auto"/>
            </w:pPr>
            <w:r/>
            <w:r>
              <w:rPr>
                <w:rFonts w:ascii="Arial" w:hAnsi="Arial" w:cs="Arial"/>
                <w:b w:val="0"/>
                <w:i w:val="0"/>
                <w:sz w:val="17"/>
              </w:rPr>
              <w:t>Weight data used to validate palletisation feasibility</w:t>
            </w:r>
          </w:p>
        </w:tc>
      </w:tr>
      <w:tr>
        <w:tc>
          <w:tcPr>
            <w:tcW w:type="dxa" w:w="4819"/>
          </w:tcPr>
          <w:p>
            <w:pPr>
              <w:spacing w:after="20" w:before="20" w:line="240" w:lineRule="auto"/>
            </w:pPr>
            <w:r/>
            <w:r>
              <w:rPr>
                <w:rFonts w:ascii="Arial" w:hAnsi="Arial" w:cs="Arial"/>
                <w:b w:val="0"/>
                <w:i w:val="0"/>
                <w:sz w:val="17"/>
              </w:rPr>
              <w:t>Packing List Generation (Section 8.5)</w:t>
            </w:r>
          </w:p>
        </w:tc>
        <w:tc>
          <w:tcPr>
            <w:tcW w:type="dxa" w:w="4819"/>
          </w:tcPr>
          <w:p>
            <w:pPr>
              <w:spacing w:after="20" w:before="20" w:line="240" w:lineRule="auto"/>
            </w:pPr>
            <w:r/>
            <w:r>
              <w:rPr>
                <w:rFonts w:ascii="Arial" w:hAnsi="Arial" w:cs="Arial"/>
                <w:b w:val="0"/>
                <w:i w:val="0"/>
                <w:sz w:val="17"/>
              </w:rPr>
              <w:t>Weight data included in packing list PDF</w:t>
            </w:r>
          </w:p>
        </w:tc>
      </w:tr>
      <w:tr>
        <w:tc>
          <w:tcPr>
            <w:tcW w:type="dxa" w:w="4819"/>
          </w:tcPr>
          <w:p>
            <w:pPr>
              <w:spacing w:after="20" w:before="20" w:line="240" w:lineRule="auto"/>
            </w:pPr>
            <w:r/>
            <w:r>
              <w:rPr>
                <w:rFonts w:ascii="Arial" w:hAnsi="Arial" w:cs="Arial"/>
                <w:b w:val="0"/>
                <w:i w:val="0"/>
                <w:sz w:val="17"/>
              </w:rPr>
              <w:t>Invoice Generation (Section 8.8)</w:t>
            </w:r>
          </w:p>
        </w:tc>
        <w:tc>
          <w:tcPr>
            <w:tcW w:type="dxa" w:w="4819"/>
          </w:tcPr>
          <w:p>
            <w:pPr>
              <w:spacing w:after="20" w:before="20" w:line="240" w:lineRule="auto"/>
            </w:pPr>
            <w:r/>
            <w:r>
              <w:rPr>
                <w:rFonts w:ascii="Arial" w:hAnsi="Arial" w:cs="Arial"/>
                <w:b w:val="0"/>
                <w:i w:val="0"/>
                <w:sz w:val="17"/>
              </w:rPr>
              <w:t>Weight data used for invoice calculation and document generation</w:t>
            </w:r>
          </w:p>
        </w:tc>
      </w:tr>
      <w:tr>
        <w:tc>
          <w:tcPr>
            <w:tcW w:type="dxa" w:w="4819"/>
          </w:tcPr>
          <w:p>
            <w:pPr>
              <w:spacing w:after="20" w:before="20" w:line="240" w:lineRule="auto"/>
            </w:pPr>
            <w:r/>
            <w:r>
              <w:rPr>
                <w:rFonts w:ascii="Arial" w:hAnsi="Arial" w:cs="Arial"/>
                <w:b w:val="0"/>
                <w:i w:val="0"/>
                <w:sz w:val="17"/>
              </w:rPr>
              <w:t>Customs Declaration (Section 8.9)</w:t>
            </w:r>
          </w:p>
        </w:tc>
        <w:tc>
          <w:tcPr>
            <w:tcW w:type="dxa" w:w="4819"/>
          </w:tcPr>
          <w:p>
            <w:pPr>
              <w:spacing w:after="20" w:before="20" w:line="240" w:lineRule="auto"/>
            </w:pPr>
            <w:r/>
            <w:r>
              <w:rPr>
                <w:rFonts w:ascii="Arial" w:hAnsi="Arial" w:cs="Arial"/>
                <w:b w:val="0"/>
                <w:i w:val="0"/>
                <w:sz w:val="17"/>
              </w:rPr>
              <w:t>Weight data used for Nafeza SAD pre-filling</w:t>
            </w:r>
          </w:p>
        </w:tc>
      </w:tr>
      <w:tr>
        <w:tc>
          <w:tcPr>
            <w:tcW w:type="dxa" w:w="4819"/>
          </w:tcPr>
          <w:p>
            <w:pPr>
              <w:spacing w:after="20" w:before="20" w:line="240" w:lineRule="auto"/>
            </w:pPr>
            <w:r/>
            <w:r>
              <w:rPr>
                <w:rFonts w:ascii="Arial" w:hAnsi="Arial" w:cs="Arial"/>
                <w:b w:val="0"/>
                <w:i w:val="0"/>
                <w:sz w:val="17"/>
              </w:rPr>
              <w:t>Carbon Footprint (Section 8.11)</w:t>
            </w:r>
          </w:p>
        </w:tc>
        <w:tc>
          <w:tcPr>
            <w:tcW w:type="dxa" w:w="4819"/>
          </w:tcPr>
          <w:p>
            <w:pPr>
              <w:spacing w:after="20" w:before="20" w:line="240" w:lineRule="auto"/>
            </w:pPr>
            <w:r/>
            <w:r>
              <w:rPr>
                <w:rFonts w:ascii="Arial" w:hAnsi="Arial" w:cs="Arial"/>
                <w:b w:val="0"/>
                <w:i w:val="0"/>
                <w:sz w:val="17"/>
              </w:rPr>
              <w:t>Weight data used for emissions calculation</w:t>
            </w:r>
          </w:p>
        </w:tc>
      </w:tr>
      <w:tr>
        <w:tc>
          <w:tcPr>
            <w:tcW w:type="dxa" w:w="4819"/>
          </w:tcPr>
          <w:p>
            <w:pPr>
              <w:spacing w:after="20" w:before="20" w:line="240" w:lineRule="auto"/>
            </w:pPr>
            <w:r/>
            <w:r>
              <w:rPr>
                <w:rFonts w:ascii="Arial" w:hAnsi="Arial" w:cs="Arial"/>
                <w:b w:val="0"/>
                <w:i w:val="0"/>
                <w:sz w:val="17"/>
              </w:rPr>
              <w:t>Lock Packing Plan (Section 8.13)</w:t>
            </w:r>
          </w:p>
        </w:tc>
        <w:tc>
          <w:tcPr>
            <w:tcW w:type="dxa" w:w="4819"/>
          </w:tcPr>
          <w:p>
            <w:pPr>
              <w:spacing w:after="20" w:before="20" w:line="240" w:lineRule="auto"/>
            </w:pPr>
            <w:r/>
            <w:r>
              <w:rPr>
                <w:rFonts w:ascii="Arial" w:hAnsi="Arial" w:cs="Arial"/>
                <w:b w:val="0"/>
                <w:i w:val="0"/>
                <w:sz w:val="17"/>
              </w:rPr>
              <w:t>Weight data validated before locking</w:t>
            </w:r>
          </w:p>
        </w:tc>
      </w:tr>
      <w:tr>
        <w:tc>
          <w:tcPr>
            <w:tcW w:type="dxa" w:w="4819"/>
          </w:tcPr>
          <w:p>
            <w:pPr>
              <w:spacing w:after="20" w:before="20" w:line="240" w:lineRule="auto"/>
            </w:pPr>
            <w:r/>
            <w:r>
              <w:rPr>
                <w:rFonts w:ascii="Arial" w:hAnsi="Arial" w:cs="Arial"/>
                <w:b w:val="0"/>
                <w:i w:val="0"/>
                <w:sz w:val="17"/>
              </w:rPr>
              <w:t>Label Print (Section 8.13)</w:t>
            </w:r>
          </w:p>
        </w:tc>
        <w:tc>
          <w:tcPr>
            <w:tcW w:type="dxa" w:w="4819"/>
          </w:tcPr>
          <w:p>
            <w:pPr>
              <w:spacing w:after="20" w:before="20" w:line="240" w:lineRule="auto"/>
            </w:pPr>
            <w:r/>
            <w:r>
              <w:rPr>
                <w:rFonts w:ascii="Arial" w:hAnsi="Arial" w:cs="Arial"/>
                <w:b w:val="0"/>
                <w:i w:val="0"/>
                <w:sz w:val="17"/>
              </w:rPr>
              <w:t>Weight data included in SSCC labels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8.3.9 Database Schema Additions</w:t>
      </w:r>
    </w:p>
    <w:p>
      <w:pPr>
        <w:spacing w:after="0" w:before="0" w:line="240" w:lineRule="auto"/>
        <w:ind w:left="57"/>
        <w:jc w:val="left"/>
        <w:shd w:val="clear" w:fill="F2F2F2"/>
      </w:pPr>
      <w:r>
        <w:rPr>
          <w:rFonts w:ascii="Consolas" w:hAnsi="Consolas" w:cs="Consolas"/>
          <w:b w:val="0"/>
          <w:i w:val="0"/>
          <w:sz w:val="15"/>
        </w:rPr>
        <w:t>-- Weight calculation results (stored for audit and reuse)</w:t>
      </w:r>
    </w:p>
    <w:p>
      <w:pPr>
        <w:spacing w:after="0" w:before="0" w:line="240" w:lineRule="auto"/>
        <w:ind w:left="57"/>
        <w:jc w:val="left"/>
        <w:shd w:val="clear" w:fill="F2F2F2"/>
      </w:pPr>
      <w:r>
        <w:rPr>
          <w:rFonts w:ascii="Consolas" w:hAnsi="Consolas" w:cs="Consolas"/>
          <w:b w:val="0"/>
          <w:i w:val="0"/>
          <w:sz w:val="15"/>
        </w:rPr>
        <w:t>CREATE TABLE weight_calculations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commodity_id UUID REFERENCES trade_request_commodities(id) ON DELETE SET NULL,</w:t>
      </w:r>
    </w:p>
    <w:p>
      <w:pPr>
        <w:spacing w:after="0" w:before="0" w:line="240" w:lineRule="auto"/>
        <w:ind w:left="57"/>
        <w:jc w:val="left"/>
        <w:shd w:val="clear" w:fill="F2F2F2"/>
      </w:pPr>
      <w:r>
        <w:rPr>
          <w:rFonts w:ascii="Consolas" w:hAnsi="Consolas" w:cs="Consolas"/>
          <w:b w:val="0"/>
          <w:i w:val="0"/>
          <w:sz w:val="15"/>
        </w:rPr>
        <w:t xml:space="preserve">    container_id UUID REFERENCES trade_request_containers(id) ON DELETE SET NULL,</w:t>
      </w:r>
    </w:p>
    <w:p>
      <w:pPr>
        <w:spacing w:after="0" w:before="0" w:line="240" w:lineRule="auto"/>
        <w:ind w:left="57"/>
        <w:jc w:val="left"/>
        <w:shd w:val="clear" w:fill="F2F2F2"/>
      </w:pPr>
      <w:r>
        <w:rPr>
          <w:rFonts w:ascii="Consolas" w:hAnsi="Consolas" w:cs="Consolas"/>
          <w:b w:val="0"/>
          <w:i w:val="0"/>
          <w:sz w:val="15"/>
        </w:rPr>
        <w:t xml:space="preserve">    -- Per-commodity</w:t>
      </w:r>
    </w:p>
    <w:p>
      <w:pPr>
        <w:spacing w:after="0" w:before="0" w:line="240" w:lineRule="auto"/>
        <w:ind w:left="57"/>
        <w:jc w:val="left"/>
        <w:shd w:val="clear" w:fill="F2F2F2"/>
      </w:pPr>
      <w:r>
        <w:rPr>
          <w:rFonts w:ascii="Consolas" w:hAnsi="Consolas" w:cs="Consolas"/>
          <w:b w:val="0"/>
          <w:i w:val="0"/>
          <w:sz w:val="15"/>
        </w:rPr>
        <w:t xml:space="preserve">    total_cartons INTEGER,</w:t>
      </w:r>
    </w:p>
    <w:p>
      <w:pPr>
        <w:spacing w:after="0" w:before="0" w:line="240" w:lineRule="auto"/>
        <w:ind w:left="57"/>
        <w:jc w:val="left"/>
        <w:shd w:val="clear" w:fill="F2F2F2"/>
      </w:pPr>
      <w:r>
        <w:rPr>
          <w:rFonts w:ascii="Consolas" w:hAnsi="Consolas" w:cs="Consolas"/>
          <w:b w:val="0"/>
          <w:i w:val="0"/>
          <w:sz w:val="15"/>
        </w:rPr>
        <w:t xml:space="preserve">    total_net_weight_kg DECIMAL(10,2),</w:t>
      </w:r>
    </w:p>
    <w:p>
      <w:pPr>
        <w:spacing w:after="0" w:before="0" w:line="240" w:lineRule="auto"/>
        <w:ind w:left="57"/>
        <w:jc w:val="left"/>
        <w:shd w:val="clear" w:fill="F2F2F2"/>
      </w:pPr>
      <w:r>
        <w:rPr>
          <w:rFonts w:ascii="Consolas" w:hAnsi="Consolas" w:cs="Consolas"/>
          <w:b w:val="0"/>
          <w:i w:val="0"/>
          <w:sz w:val="15"/>
        </w:rPr>
        <w:t xml:space="preserve">    total_gross_cartons_kg DECIMAL(10,2),</w:t>
      </w:r>
    </w:p>
    <w:p>
      <w:pPr>
        <w:spacing w:after="0" w:before="0" w:line="240" w:lineRule="auto"/>
        <w:ind w:left="57"/>
        <w:jc w:val="left"/>
        <w:shd w:val="clear" w:fill="F2F2F2"/>
      </w:pPr>
      <w:r>
        <w:rPr>
          <w:rFonts w:ascii="Consolas" w:hAnsi="Consolas" w:cs="Consolas"/>
          <w:b w:val="0"/>
          <w:i w:val="0"/>
          <w:sz w:val="15"/>
        </w:rPr>
        <w:t xml:space="preserve">    pallet_tare_total_kg DECIMAL(10,2),</w:t>
      </w:r>
    </w:p>
    <w:p>
      <w:pPr>
        <w:spacing w:after="0" w:before="0" w:line="240" w:lineRule="auto"/>
        <w:ind w:left="57"/>
        <w:jc w:val="left"/>
        <w:shd w:val="clear" w:fill="F2F2F2"/>
      </w:pPr>
      <w:r>
        <w:rPr>
          <w:rFonts w:ascii="Consolas" w:hAnsi="Consolas" w:cs="Consolas"/>
          <w:b w:val="0"/>
          <w:i w:val="0"/>
          <w:sz w:val="15"/>
        </w:rPr>
        <w:t xml:space="preserve">    total_gross_weight_kg DECIMAL(10,2),</w:t>
      </w:r>
    </w:p>
    <w:p>
      <w:pPr>
        <w:spacing w:after="0" w:before="0" w:line="240" w:lineRule="auto"/>
        <w:ind w:left="57"/>
        <w:jc w:val="left"/>
        <w:shd w:val="clear" w:fill="F2F2F2"/>
      </w:pPr>
      <w:r>
        <w:rPr>
          <w:rFonts w:ascii="Consolas" w:hAnsi="Consolas" w:cs="Consolas"/>
          <w:b w:val="0"/>
          <w:i w:val="0"/>
          <w:sz w:val="15"/>
        </w:rPr>
        <w:t xml:space="preserve">    -- Tolerance information</w:t>
      </w:r>
    </w:p>
    <w:p>
      <w:pPr>
        <w:spacing w:after="0" w:before="0" w:line="240" w:lineRule="auto"/>
        <w:ind w:left="57"/>
        <w:jc w:val="left"/>
        <w:shd w:val="clear" w:fill="F2F2F2"/>
      </w:pPr>
      <w:r>
        <w:rPr>
          <w:rFonts w:ascii="Consolas" w:hAnsi="Consolas" w:cs="Consolas"/>
          <w:b w:val="0"/>
          <w:i w:val="0"/>
          <w:sz w:val="15"/>
        </w:rPr>
        <w:t xml:space="preserve">    requested_quantity DECIMAL(20,4),</w:t>
      </w:r>
    </w:p>
    <w:p>
      <w:pPr>
        <w:spacing w:after="0" w:before="0" w:line="240" w:lineRule="auto"/>
        <w:ind w:left="57"/>
        <w:jc w:val="left"/>
        <w:shd w:val="clear" w:fill="F2F2F2"/>
      </w:pPr>
      <w:r>
        <w:rPr>
          <w:rFonts w:ascii="Consolas" w:hAnsi="Consolas" w:cs="Consolas"/>
          <w:b w:val="0"/>
          <w:i w:val="0"/>
          <w:sz w:val="15"/>
        </w:rPr>
        <w:t xml:space="preserve">    requested_quantity_unit TEXT,</w:t>
      </w:r>
    </w:p>
    <w:p>
      <w:pPr>
        <w:spacing w:after="0" w:before="0" w:line="240" w:lineRule="auto"/>
        <w:ind w:left="57"/>
        <w:jc w:val="left"/>
        <w:shd w:val="clear" w:fill="F2F2F2"/>
      </w:pPr>
      <w:r>
        <w:rPr>
          <w:rFonts w:ascii="Consolas" w:hAnsi="Consolas" w:cs="Consolas"/>
          <w:b w:val="0"/>
          <w:i w:val="0"/>
          <w:sz w:val="15"/>
        </w:rPr>
        <w:t xml:space="preserve">    quantity_tolerance DECIMAL(5,2),</w:t>
      </w:r>
    </w:p>
    <w:p>
      <w:pPr>
        <w:spacing w:after="0" w:before="0" w:line="240" w:lineRule="auto"/>
        <w:ind w:left="57"/>
        <w:jc w:val="left"/>
        <w:shd w:val="clear" w:fill="F2F2F2"/>
      </w:pPr>
      <w:r>
        <w:rPr>
          <w:rFonts w:ascii="Consolas" w:hAnsi="Consolas" w:cs="Consolas"/>
          <w:b w:val="0"/>
          <w:i w:val="0"/>
          <w:sz w:val="15"/>
        </w:rPr>
        <w:t xml:space="preserve">    min_acceptable_quantity DECIMAL(20,4),</w:t>
      </w:r>
    </w:p>
    <w:p>
      <w:pPr>
        <w:spacing w:after="0" w:before="0" w:line="240" w:lineRule="auto"/>
        <w:ind w:left="57"/>
        <w:jc w:val="left"/>
        <w:shd w:val="clear" w:fill="F2F2F2"/>
      </w:pPr>
      <w:r>
        <w:rPr>
          <w:rFonts w:ascii="Consolas" w:hAnsi="Consolas" w:cs="Consolas"/>
          <w:b w:val="0"/>
          <w:i w:val="0"/>
          <w:sz w:val="15"/>
        </w:rPr>
        <w:t xml:space="preserve">    max_acceptable_quantity DECIMAL(20,4),</w:t>
      </w:r>
    </w:p>
    <w:p>
      <w:pPr>
        <w:spacing w:after="0" w:before="0" w:line="240" w:lineRule="auto"/>
        <w:ind w:left="57"/>
        <w:jc w:val="left"/>
        <w:shd w:val="clear" w:fill="F2F2F2"/>
      </w:pPr>
      <w:r>
        <w:rPr>
          <w:rFonts w:ascii="Consolas" w:hAnsi="Consolas" w:cs="Consolas"/>
          <w:b w:val="0"/>
          <w:i w:val="0"/>
          <w:sz w:val="15"/>
        </w:rPr>
        <w:t xml:space="preserve">    is_within_tolerance BOOLEAN DEFAULT true,</w:t>
      </w:r>
    </w:p>
    <w:p>
      <w:pPr>
        <w:spacing w:after="0" w:before="0" w:line="240" w:lineRule="auto"/>
        <w:ind w:left="57"/>
        <w:jc w:val="left"/>
        <w:shd w:val="clear" w:fill="F2F2F2"/>
      </w:pPr>
      <w:r>
        <w:rPr>
          <w:rFonts w:ascii="Consolas" w:hAnsi="Consolas" w:cs="Consolas"/>
          <w:b w:val="0"/>
          <w:i w:val="0"/>
          <w:sz w:val="15"/>
        </w:rPr>
        <w:t xml:space="preserve">    -- Validation results</w:t>
      </w:r>
    </w:p>
    <w:p>
      <w:pPr>
        <w:spacing w:after="0" w:before="0" w:line="240" w:lineRule="auto"/>
        <w:ind w:left="57"/>
        <w:jc w:val="left"/>
        <w:shd w:val="clear" w:fill="F2F2F2"/>
      </w:pPr>
      <w:r>
        <w:rPr>
          <w:rFonts w:ascii="Consolas" w:hAnsi="Consolas" w:cs="Consolas"/>
          <w:b w:val="0"/>
          <w:i w:val="0"/>
          <w:sz w:val="15"/>
        </w:rPr>
        <w:t xml:space="preserve">    is_valid BOOLEAN DEFAULT false,</w:t>
      </w:r>
    </w:p>
    <w:p>
      <w:pPr>
        <w:spacing w:after="0" w:before="0" w:line="240" w:lineRule="auto"/>
        <w:ind w:left="57"/>
        <w:jc w:val="left"/>
        <w:shd w:val="clear" w:fill="F2F2F2"/>
      </w:pPr>
      <w:r>
        <w:rPr>
          <w:rFonts w:ascii="Consolas" w:hAnsi="Consolas" w:cs="Consolas"/>
          <w:b w:val="0"/>
          <w:i w:val="0"/>
          <w:sz w:val="15"/>
        </w:rPr>
        <w:t xml:space="preserve">    validation_errors JSONB,</w:t>
      </w:r>
    </w:p>
    <w:p>
      <w:pPr>
        <w:spacing w:after="0" w:before="0" w:line="240" w:lineRule="auto"/>
        <w:ind w:left="57"/>
        <w:jc w:val="left"/>
        <w:shd w:val="clear" w:fill="F2F2F2"/>
      </w:pPr>
      <w:r>
        <w:rPr>
          <w:rFonts w:ascii="Consolas" w:hAnsi="Consolas" w:cs="Consolas"/>
          <w:b w:val="0"/>
          <w:i w:val="0"/>
          <w:sz w:val="15"/>
        </w:rPr>
        <w:t xml:space="preserve">    validation_warnings JSONB,</w:t>
      </w:r>
    </w:p>
    <w:p>
      <w:pPr>
        <w:spacing w:after="0" w:before="0" w:line="240" w:lineRule="auto"/>
        <w:ind w:left="57"/>
        <w:jc w:val="left"/>
        <w:shd w:val="clear" w:fill="F2F2F2"/>
      </w:pPr>
      <w:r>
        <w:rPr>
          <w:rFonts w:ascii="Consolas" w:hAnsi="Consolas" w:cs="Consolas"/>
          <w:b w:val="0"/>
          <w:i w:val="0"/>
          <w:sz w:val="15"/>
        </w:rPr>
        <w:t xml:space="preserve">    -- Metadata</w:t>
      </w:r>
    </w:p>
    <w:p>
      <w:pPr>
        <w:spacing w:after="0" w:before="0" w:line="240" w:lineRule="auto"/>
        <w:ind w:left="57"/>
        <w:jc w:val="left"/>
        <w:shd w:val="clear" w:fill="F2F2F2"/>
      </w:pPr>
      <w:r>
        <w:rPr>
          <w:rFonts w:ascii="Consolas" w:hAnsi="Consolas" w:cs="Consolas"/>
          <w:b w:val="0"/>
          <w:i w:val="0"/>
          <w:sz w:val="15"/>
        </w:rPr>
        <w:t xml:space="preserve">    calculation_version TEXT,</w:t>
      </w:r>
    </w:p>
    <w:p>
      <w:pPr>
        <w:spacing w:after="0" w:before="0" w:line="240" w:lineRule="auto"/>
        <w:ind w:left="57"/>
        <w:jc w:val="left"/>
        <w:shd w:val="clear" w:fill="F2F2F2"/>
      </w:pPr>
      <w:r>
        <w:rPr>
          <w:rFonts w:ascii="Consolas" w:hAnsi="Consolas" w:cs="Consolas"/>
          <w:b w:val="0"/>
          <w:i w:val="0"/>
          <w:sz w:val="15"/>
        </w:rPr>
        <w:t xml:space="preserve">    calculated_at TIMESTAMPTZ DEFAULT NOW(),</w:t>
      </w:r>
    </w:p>
    <w:p>
      <w:pPr>
        <w:spacing w:after="0" w:before="0" w:line="240" w:lineRule="auto"/>
        <w:ind w:left="57"/>
        <w:jc w:val="left"/>
        <w:shd w:val="clear" w:fill="F2F2F2"/>
      </w:pPr>
      <w:r>
        <w:rPr>
          <w:rFonts w:ascii="Consolas" w:hAnsi="Consolas" w:cs="Consolas"/>
          <w:b w:val="0"/>
          <w:i w:val="0"/>
          <w:sz w:val="15"/>
        </w:rPr>
        <w:t xml:space="preserve">    calculated_by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Container weight summaries (aggregated)</w:t>
      </w:r>
    </w:p>
    <w:p>
      <w:pPr>
        <w:spacing w:after="0" w:before="0" w:line="240" w:lineRule="auto"/>
        <w:ind w:left="57"/>
        <w:jc w:val="left"/>
        <w:shd w:val="clear" w:fill="F2F2F2"/>
      </w:pPr>
      <w:r>
        <w:rPr>
          <w:rFonts w:ascii="Consolas" w:hAnsi="Consolas" w:cs="Consolas"/>
          <w:b w:val="0"/>
          <w:i w:val="0"/>
          <w:sz w:val="15"/>
        </w:rPr>
        <w:t>CREATE TABLE container_weight_summaries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container_id UUID NOT NULL REFERENCES trade_request_containers(id) ON DELETE CASCADE,</w:t>
      </w:r>
    </w:p>
    <w:p>
      <w:pPr>
        <w:spacing w:after="0" w:before="0" w:line="240" w:lineRule="auto"/>
        <w:ind w:left="57"/>
        <w:jc w:val="left"/>
        <w:shd w:val="clear" w:fill="F2F2F2"/>
      </w:pPr>
      <w:r>
        <w:rPr>
          <w:rFonts w:ascii="Consolas" w:hAnsi="Consolas" w:cs="Consolas"/>
          <w:b w:val="0"/>
          <w:i w:val="0"/>
          <w:sz w:val="15"/>
        </w:rPr>
        <w:t xml:space="preserve">    total_commodities INTEGER,</w:t>
      </w:r>
    </w:p>
    <w:p>
      <w:pPr>
        <w:spacing w:after="0" w:before="0" w:line="240" w:lineRule="auto"/>
        <w:ind w:left="57"/>
        <w:jc w:val="left"/>
        <w:shd w:val="clear" w:fill="F2F2F2"/>
      </w:pPr>
      <w:r>
        <w:rPr>
          <w:rFonts w:ascii="Consolas" w:hAnsi="Consolas" w:cs="Consolas"/>
          <w:b w:val="0"/>
          <w:i w:val="0"/>
          <w:sz w:val="15"/>
        </w:rPr>
        <w:t xml:space="preserve">    total_pallets INTEGER,</w:t>
      </w:r>
    </w:p>
    <w:p>
      <w:pPr>
        <w:spacing w:after="0" w:before="0" w:line="240" w:lineRule="auto"/>
        <w:ind w:left="57"/>
        <w:jc w:val="left"/>
        <w:shd w:val="clear" w:fill="F2F2F2"/>
      </w:pPr>
      <w:r>
        <w:rPr>
          <w:rFonts w:ascii="Consolas" w:hAnsi="Consolas" w:cs="Consolas"/>
          <w:b w:val="0"/>
          <w:i w:val="0"/>
          <w:sz w:val="15"/>
        </w:rPr>
        <w:t xml:space="preserve">    total_cartons INTEGER,</w:t>
      </w:r>
    </w:p>
    <w:p>
      <w:pPr>
        <w:spacing w:after="0" w:before="0" w:line="240" w:lineRule="auto"/>
        <w:ind w:left="57"/>
        <w:jc w:val="left"/>
        <w:shd w:val="clear" w:fill="F2F2F2"/>
      </w:pPr>
      <w:r>
        <w:rPr>
          <w:rFonts w:ascii="Consolas" w:hAnsi="Consolas" w:cs="Consolas"/>
          <w:b w:val="0"/>
          <w:i w:val="0"/>
          <w:sz w:val="15"/>
        </w:rPr>
        <w:t xml:space="preserve">    total_net_weight_kg DECIMAL(10,2),</w:t>
      </w:r>
    </w:p>
    <w:p>
      <w:pPr>
        <w:spacing w:after="0" w:before="0" w:line="240" w:lineRule="auto"/>
        <w:ind w:left="57"/>
        <w:jc w:val="left"/>
        <w:shd w:val="clear" w:fill="F2F2F2"/>
      </w:pPr>
      <w:r>
        <w:rPr>
          <w:rFonts w:ascii="Consolas" w:hAnsi="Consolas" w:cs="Consolas"/>
          <w:b w:val="0"/>
          <w:i w:val="0"/>
          <w:sz w:val="15"/>
        </w:rPr>
        <w:t xml:space="preserve">    total_gross_weight_kg DECIMAL(10,2),</w:t>
      </w:r>
    </w:p>
    <w:p>
      <w:pPr>
        <w:spacing w:after="0" w:before="0" w:line="240" w:lineRule="auto"/>
        <w:ind w:left="57"/>
        <w:jc w:val="left"/>
        <w:shd w:val="clear" w:fill="F2F2F2"/>
      </w:pPr>
      <w:r>
        <w:rPr>
          <w:rFonts w:ascii="Consolas" w:hAnsi="Consolas" w:cs="Consolas"/>
          <w:b w:val="0"/>
          <w:i w:val="0"/>
          <w:sz w:val="15"/>
        </w:rPr>
        <w:t xml:space="preserve">    pallet_tare_total_kg DECIMAL(10,2),</w:t>
      </w:r>
    </w:p>
    <w:p>
      <w:pPr>
        <w:spacing w:after="0" w:before="0" w:line="240" w:lineRule="auto"/>
        <w:ind w:left="57"/>
        <w:jc w:val="left"/>
        <w:shd w:val="clear" w:fill="F2F2F2"/>
      </w:pPr>
      <w:r>
        <w:rPr>
          <w:rFonts w:ascii="Consolas" w:hAnsi="Consolas" w:cs="Consolas"/>
          <w:b w:val="0"/>
          <w:i w:val="0"/>
          <w:sz w:val="15"/>
        </w:rPr>
        <w:t xml:space="preserve">    total_gross_including_pallets_kg DECIMAL(10,2),</w:t>
      </w:r>
    </w:p>
    <w:p>
      <w:pPr>
        <w:spacing w:after="0" w:before="0" w:line="240" w:lineRule="auto"/>
        <w:ind w:left="57"/>
        <w:jc w:val="left"/>
        <w:shd w:val="clear" w:fill="F2F2F2"/>
      </w:pPr>
      <w:r>
        <w:rPr>
          <w:rFonts w:ascii="Consolas" w:hAnsi="Consolas" w:cs="Consolas"/>
          <w:b w:val="0"/>
          <w:i w:val="0"/>
          <w:sz w:val="15"/>
        </w:rPr>
        <w:t xml:space="preserve">    max_payload_kg DECIMAL(10,2),</w:t>
      </w:r>
    </w:p>
    <w:p>
      <w:pPr>
        <w:spacing w:after="0" w:before="0" w:line="240" w:lineRule="auto"/>
        <w:ind w:left="57"/>
        <w:jc w:val="left"/>
        <w:shd w:val="clear" w:fill="F2F2F2"/>
      </w:pPr>
      <w:r>
        <w:rPr>
          <w:rFonts w:ascii="Consolas" w:hAnsi="Consolas" w:cs="Consolas"/>
          <w:b w:val="0"/>
          <w:i w:val="0"/>
          <w:sz w:val="15"/>
        </w:rPr>
        <w:t xml:space="preserve">    weight_utilisation_percent DECIMAL(5,2),</w:t>
      </w:r>
    </w:p>
    <w:p>
      <w:pPr>
        <w:spacing w:after="0" w:before="0" w:line="240" w:lineRule="auto"/>
        <w:ind w:left="57"/>
        <w:jc w:val="left"/>
        <w:shd w:val="clear" w:fill="F2F2F2"/>
      </w:pPr>
      <w:r>
        <w:rPr>
          <w:rFonts w:ascii="Consolas" w:hAnsi="Consolas" w:cs="Consolas"/>
          <w:b w:val="0"/>
          <w:i w:val="0"/>
          <w:sz w:val="15"/>
        </w:rPr>
        <w:t xml:space="preserve">    is_within_capacity BOOLEAN DEFAULT true,</w:t>
      </w:r>
    </w:p>
    <w:p>
      <w:pPr>
        <w:spacing w:after="0" w:before="0" w:line="240" w:lineRule="auto"/>
        <w:ind w:left="57"/>
        <w:jc w:val="left"/>
        <w:shd w:val="clear" w:fill="F2F2F2"/>
      </w:pPr>
      <w:r>
        <w:rPr>
          <w:rFonts w:ascii="Consolas" w:hAnsi="Consolas" w:cs="Consolas"/>
          <w:b w:val="0"/>
          <w:i w:val="0"/>
          <w:sz w:val="15"/>
        </w:rPr>
        <w:t xml:space="preserve">    validated_at TIMESTAMPTZ DEFAULT NOW(),</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idx_weight_calculations_trade_request ON weight_calculations(trade_request_id);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idx_weight_calculations_commodity ON weight_calculations(commodity_id);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idx_weight_calculations_container ON weight_calculations(container_id);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idx_container_weight_summaries_container ON container_weight_summaries(container_id);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8.3.10 Implementation Checklist</w:t>
      </w:r>
    </w:p>
    <w:p>
      <w:pPr>
        <w:spacing w:after="80" w:line="293" w:lineRule="auto"/>
        <w:jc w:val="left"/>
      </w:pPr>
      <w:r>
        <w:rPr>
          <w:rFonts w:ascii="Times New Roman" w:hAnsi="Times New Roman" w:cs="Times New Roman"/>
          <w:b w:val="0"/>
          <w:i w:val="0"/>
          <w:sz w:val="22"/>
        </w:rPr>
        <w:t>Backend services:</w:t>
      </w:r>
    </w:p>
    <w:p>
      <w:pPr>
        <w:spacing w:after="80" w:line="293" w:lineRule="auto"/>
        <w:ind w:left="283"/>
        <w:jc w:val="left"/>
      </w:pPr>
      <w:r>
        <w:rPr>
          <w:rFonts w:ascii="Times New Roman" w:hAnsi="Times New Roman" w:cs="Times New Roman"/>
          <w:b w:val="0"/>
          <w:i w:val="0"/>
          <w:sz w:val="22"/>
        </w:rPr>
        <w:t>- Implement weight calculation service (Rust)</w:t>
      </w:r>
    </w:p>
    <w:p>
      <w:pPr>
        <w:spacing w:after="80" w:line="293" w:lineRule="auto"/>
        <w:ind w:left="283"/>
        <w:jc w:val="left"/>
      </w:pPr>
      <w:r>
        <w:rPr>
          <w:rFonts w:ascii="Times New Roman" w:hAnsi="Times New Roman" w:cs="Times New Roman"/>
          <w:b w:val="0"/>
          <w:i w:val="0"/>
          <w:sz w:val="22"/>
        </w:rPr>
        <w:t>- Implement quantity &amp; tolerance calculation logic</w:t>
      </w:r>
    </w:p>
    <w:p>
      <w:pPr>
        <w:spacing w:after="80" w:line="293" w:lineRule="auto"/>
        <w:ind w:left="283"/>
        <w:jc w:val="left"/>
      </w:pPr>
      <w:r>
        <w:rPr>
          <w:rFonts w:ascii="Times New Roman" w:hAnsi="Times New Roman" w:cs="Times New Roman"/>
          <w:b w:val="0"/>
          <w:i w:val="0"/>
          <w:sz w:val="22"/>
        </w:rPr>
        <w:t>- Implement packaging type tare weight lookup</w:t>
      </w:r>
    </w:p>
    <w:p>
      <w:pPr>
        <w:spacing w:after="80" w:line="293" w:lineRule="auto"/>
        <w:ind w:left="283"/>
        <w:jc w:val="left"/>
      </w:pPr>
      <w:r>
        <w:rPr>
          <w:rFonts w:ascii="Times New Roman" w:hAnsi="Times New Roman" w:cs="Times New Roman"/>
          <w:b w:val="0"/>
          <w:i w:val="0"/>
          <w:sz w:val="22"/>
        </w:rPr>
        <w:t>- Implement transport mode capacity validation (A4, WasmEdge)</w:t>
      </w:r>
    </w:p>
    <w:p>
      <w:pPr>
        <w:spacing w:after="80" w:line="293" w:lineRule="auto"/>
        <w:ind w:left="283"/>
        <w:jc w:val="left"/>
      </w:pPr>
      <w:r>
        <w:rPr>
          <w:rFonts w:ascii="Times New Roman" w:hAnsi="Times New Roman" w:cs="Times New Roman"/>
          <w:b w:val="0"/>
          <w:i w:val="0"/>
          <w:sz w:val="22"/>
        </w:rPr>
        <w:t>- Implement per-commodity weight calculation</w:t>
      </w:r>
    </w:p>
    <w:p>
      <w:pPr>
        <w:spacing w:after="80" w:line="293" w:lineRule="auto"/>
        <w:ind w:left="283"/>
        <w:jc w:val="left"/>
      </w:pPr>
      <w:r>
        <w:rPr>
          <w:rFonts w:ascii="Times New Roman" w:hAnsi="Times New Roman" w:cs="Times New Roman"/>
          <w:b w:val="0"/>
          <w:i w:val="0"/>
          <w:sz w:val="22"/>
        </w:rPr>
        <w:t>- Implement multi-commodity aggregation</w:t>
      </w:r>
    </w:p>
    <w:p>
      <w:pPr>
        <w:spacing w:after="80" w:line="293" w:lineRule="auto"/>
        <w:ind w:left="283"/>
        <w:jc w:val="left"/>
      </w:pPr>
      <w:r>
        <w:rPr>
          <w:rFonts w:ascii="Times New Roman" w:hAnsi="Times New Roman" w:cs="Times New Roman"/>
          <w:b w:val="0"/>
          <w:i w:val="0"/>
          <w:sz w:val="22"/>
        </w:rPr>
        <w:t>- Implement real-time weight update endpoint (POST /v1/packing/weight/calculate)</w:t>
      </w:r>
    </w:p>
    <w:p>
      <w:pPr>
        <w:spacing w:after="80" w:line="293" w:lineRule="auto"/>
        <w:jc w:val="left"/>
      </w:pPr>
      <w:r>
        <w:rPr>
          <w:rFonts w:ascii="Times New Roman" w:hAnsi="Times New Roman" w:cs="Times New Roman"/>
          <w:b w:val="0"/>
          <w:i w:val="0"/>
          <w:sz w:val="22"/>
        </w:rPr>
        <w:t>Validation logic:</w:t>
      </w:r>
    </w:p>
    <w:p>
      <w:pPr>
        <w:spacing w:after="80" w:line="293" w:lineRule="auto"/>
        <w:ind w:left="283"/>
        <w:jc w:val="left"/>
      </w:pPr>
      <w:r>
        <w:rPr>
          <w:rFonts w:ascii="Times New Roman" w:hAnsi="Times New Roman" w:cs="Times New Roman"/>
          <w:b w:val="0"/>
          <w:i w:val="0"/>
          <w:sz w:val="22"/>
        </w:rPr>
        <w:t>- Add W1: total gross weight ≤ equipment max payload</w:t>
      </w:r>
    </w:p>
    <w:p>
      <w:pPr>
        <w:spacing w:after="80" w:line="293" w:lineRule="auto"/>
        <w:ind w:left="283"/>
        <w:jc w:val="left"/>
      </w:pPr>
      <w:r>
        <w:rPr>
          <w:rFonts w:ascii="Times New Roman" w:hAnsi="Times New Roman" w:cs="Times New Roman"/>
          <w:b w:val="0"/>
          <w:i w:val="0"/>
          <w:sz w:val="22"/>
        </w:rPr>
        <w:t>- Add W2: total volume ≤ equipment max volume</w:t>
      </w:r>
    </w:p>
    <w:p>
      <w:pPr>
        <w:spacing w:after="80" w:line="293" w:lineRule="auto"/>
        <w:ind w:left="283"/>
        <w:jc w:val="left"/>
      </w:pPr>
      <w:r>
        <w:rPr>
          <w:rFonts w:ascii="Times New Roman" w:hAnsi="Times New Roman" w:cs="Times New Roman"/>
          <w:b w:val="0"/>
          <w:i w:val="0"/>
          <w:sz w:val="22"/>
        </w:rPr>
        <w:t>- Add W3: per-commodity net weight ≥ min tolerance</w:t>
      </w:r>
    </w:p>
    <w:p>
      <w:pPr>
        <w:spacing w:after="80" w:line="293" w:lineRule="auto"/>
        <w:ind w:left="283"/>
        <w:jc w:val="left"/>
      </w:pPr>
      <w:r>
        <w:rPr>
          <w:rFonts w:ascii="Times New Roman" w:hAnsi="Times New Roman" w:cs="Times New Roman"/>
          <w:b w:val="0"/>
          <w:i w:val="0"/>
          <w:sz w:val="22"/>
        </w:rPr>
        <w:t>- Add W4: per-commodity net weight ≤ max tolerance</w:t>
      </w:r>
    </w:p>
    <w:p>
      <w:pPr>
        <w:spacing w:after="80" w:line="293" w:lineRule="auto"/>
        <w:ind w:left="283"/>
        <w:jc w:val="left"/>
      </w:pPr>
      <w:r>
        <w:rPr>
          <w:rFonts w:ascii="Times New Roman" w:hAnsi="Times New Roman" w:cs="Times New Roman"/>
          <w:b w:val="0"/>
          <w:i w:val="0"/>
          <w:sz w:val="22"/>
        </w:rPr>
        <w:t>- Add W5: pallet stacking height ≤ commodity-specific limit</w:t>
      </w:r>
    </w:p>
    <w:p>
      <w:pPr>
        <w:spacing w:after="80" w:line="293" w:lineRule="auto"/>
        <w:ind w:left="283"/>
        <w:jc w:val="left"/>
      </w:pPr>
      <w:r>
        <w:rPr>
          <w:rFonts w:ascii="Times New Roman" w:hAnsi="Times New Roman" w:cs="Times New Roman"/>
          <w:b w:val="0"/>
          <w:i w:val="0"/>
          <w:sz w:val="22"/>
        </w:rPr>
        <w:t>- Add W6: no incompatible commodities mixed</w:t>
      </w:r>
    </w:p>
    <w:p>
      <w:pPr>
        <w:spacing w:after="80" w:line="293" w:lineRule="auto"/>
        <w:ind w:left="283"/>
        <w:jc w:val="left"/>
      </w:pPr>
      <w:r>
        <w:rPr>
          <w:rFonts w:ascii="Times New Roman" w:hAnsi="Times New Roman" w:cs="Times New Roman"/>
          <w:b w:val="0"/>
          <w:i w:val="0"/>
          <w:sz w:val="22"/>
        </w:rPr>
        <w:t>- Add W7: packaging type compatible with commodity</w:t>
      </w:r>
    </w:p>
    <w:p>
      <w:pPr>
        <w:spacing w:after="80" w:line="293" w:lineRule="auto"/>
        <w:ind w:left="283"/>
        <w:jc w:val="left"/>
      </w:pPr>
      <w:r>
        <w:rPr>
          <w:rFonts w:ascii="Times New Roman" w:hAnsi="Times New Roman" w:cs="Times New Roman"/>
          <w:b w:val="0"/>
          <w:i w:val="0"/>
          <w:sz w:val="22"/>
        </w:rPr>
        <w:t>- Add W8: weight calculation consistency matches declared total</w:t>
      </w:r>
    </w:p>
    <w:p>
      <w:pPr>
        <w:spacing w:after="80" w:line="293" w:lineRule="auto"/>
        <w:jc w:val="left"/>
      </w:pPr>
      <w:r>
        <w:rPr>
          <w:rFonts w:ascii="Times New Roman" w:hAnsi="Times New Roman" w:cs="Times New Roman"/>
          <w:b w:val="0"/>
          <w:i w:val="0"/>
          <w:sz w:val="22"/>
        </w:rPr>
        <w:t>Frontend components:</w:t>
      </w:r>
    </w:p>
    <w:p>
      <w:pPr>
        <w:spacing w:after="80" w:line="293" w:lineRule="auto"/>
        <w:ind w:left="283"/>
        <w:jc w:val="left"/>
      </w:pPr>
      <w:r>
        <w:rPr>
          <w:rFonts w:ascii="Times New Roman" w:hAnsi="Times New Roman" w:cs="Times New Roman"/>
          <w:b w:val="0"/>
          <w:i w:val="0"/>
          <w:sz w:val="22"/>
        </w:rPr>
        <w:t>- Build Weight Summary component (real-time)</w:t>
      </w:r>
    </w:p>
    <w:p>
      <w:pPr>
        <w:spacing w:after="80" w:line="293" w:lineRule="auto"/>
        <w:ind w:left="283"/>
        <w:jc w:val="left"/>
      </w:pPr>
      <w:r>
        <w:rPr>
          <w:rFonts w:ascii="Times New Roman" w:hAnsi="Times New Roman" w:cs="Times New Roman"/>
          <w:b w:val="0"/>
          <w:i w:val="0"/>
          <w:sz w:val="22"/>
        </w:rPr>
        <w:t>- Build Capacity Utilisation gauge</w:t>
      </w:r>
    </w:p>
    <w:p>
      <w:pPr>
        <w:spacing w:after="80" w:line="293" w:lineRule="auto"/>
        <w:ind w:left="283"/>
        <w:jc w:val="left"/>
      </w:pPr>
      <w:r>
        <w:rPr>
          <w:rFonts w:ascii="Times New Roman" w:hAnsi="Times New Roman" w:cs="Times New Roman"/>
          <w:b w:val="0"/>
          <w:i w:val="0"/>
          <w:sz w:val="22"/>
        </w:rPr>
        <w:t>- Build Tolerance status indicators</w:t>
      </w:r>
    </w:p>
    <w:p>
      <w:pPr>
        <w:spacing w:after="80" w:line="293" w:lineRule="auto"/>
        <w:ind w:left="283"/>
        <w:jc w:val="left"/>
      </w:pPr>
      <w:r>
        <w:rPr>
          <w:rFonts w:ascii="Times New Roman" w:hAnsi="Times New Roman" w:cs="Times New Roman"/>
          <w:b w:val="0"/>
          <w:i w:val="0"/>
          <w:sz w:val="22"/>
        </w:rPr>
        <w:t>- Build Per-commodity weight display</w:t>
      </w:r>
    </w:p>
    <w:p>
      <w:pPr>
        <w:spacing w:after="80" w:line="293" w:lineRule="auto"/>
        <w:ind w:left="283"/>
        <w:jc w:val="left"/>
      </w:pPr>
      <w:r>
        <w:rPr>
          <w:rFonts w:ascii="Times New Roman" w:hAnsi="Times New Roman" w:cs="Times New Roman"/>
          <w:b w:val="0"/>
          <w:i w:val="0"/>
          <w:sz w:val="22"/>
        </w:rPr>
        <w:t>- Build Transport mode-specific capacity display</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per-commodity weight calculation; multi-commodity aggregation; quantity &amp; tolerance logic; transport mode capacity validation</w:t>
      </w:r>
    </w:p>
    <w:p>
      <w:pPr>
        <w:spacing w:after="80" w:line="293" w:lineRule="auto"/>
        <w:ind w:left="283"/>
        <w:jc w:val="left"/>
      </w:pPr>
      <w:r>
        <w:rPr>
          <w:rFonts w:ascii="Times New Roman" w:hAnsi="Times New Roman" w:cs="Times New Roman"/>
          <w:b w:val="0"/>
          <w:i w:val="0"/>
          <w:sz w:val="22"/>
        </w:rPr>
        <w:t>- Integration tests: weight calculation → validation → display; tolerance violation handling; weight exceedance handling</w:t>
      </w:r>
    </w:p>
    <w:p>
      <w:pPr>
        <w:spacing w:after="80" w:line="293" w:lineRule="auto"/>
        <w:ind w:left="283"/>
        <w:jc w:val="left"/>
      </w:pPr>
      <w:r>
        <w:rPr>
          <w:rFonts w:ascii="Times New Roman" w:hAnsi="Times New Roman" w:cs="Times New Roman"/>
          <w:b w:val="0"/>
          <w:i w:val="0"/>
          <w:sz w:val="22"/>
        </w:rPr>
        <w:t>- End-to-end tests: full weight calculation workflow</w:t>
      </w:r>
    </w:p>
    <w:p>
      <w:pPr>
        <w:keepNext/>
        <w:spacing w:before="180" w:after="80"/>
        <w:outlineLvl w:val="2"/>
      </w:pPr>
      <w:r>
        <w:rPr>
          <w:rFonts w:ascii="Arial" w:hAnsi="Arial" w:cs="Arial"/>
          <w:b/>
          <w:i w:val="0"/>
          <w:color w:val="333333"/>
          <w:sz w:val="23"/>
        </w:rPr>
        <w:t>8.3.11 AI Authority Summary</w:t>
      </w:r>
    </w:p>
    <w:p>
      <w:pPr>
        <w:spacing w:after="80" w:line="293" w:lineRule="auto"/>
        <w:jc w:val="left"/>
      </w:pPr>
      <w:r>
        <w:rPr>
          <w:rFonts w:ascii="Times New Roman" w:hAnsi="Times New Roman" w:cs="Times New Roman"/>
          <w:b w:val="0"/>
          <w:i w:val="0"/>
          <w:sz w:val="22"/>
        </w:rPr>
        <w:t>A4 (OPA + WasmEdge) enforces capacity validation rules W1–W8 deterministically at calculation time and before packing plan lock. A2 (HF local) supports packing compliance checks. AI components never alter computed weights, never relax tolerance rules, and never convert an advisory utilisation warning into a blocking or non-blocking decision — blocking is governed exclusively by the deterministic validation rules and the Governor.</w:t>
      </w:r>
    </w:p>
    <w:p>
      <w:pPr>
        <w:keepNext/>
        <w:spacing w:before="240" w:after="100"/>
        <w:outlineLvl w:val="1"/>
      </w:pPr>
      <w:r>
        <w:rPr>
          <w:rFonts w:ascii="Arial" w:hAnsi="Arial" w:cs="Arial"/>
          <w:b/>
          <w:i w:val="0"/>
          <w:color w:val="2E528F"/>
          <w:sz w:val="26"/>
        </w:rPr>
        <w:t>8.4 Palletisation Optimiser (ORTools)</w:t>
      </w:r>
    </w:p>
    <w:p>
      <w:pPr>
        <w:keepNext/>
        <w:spacing w:before="180" w:after="80"/>
        <w:outlineLvl w:val="2"/>
      </w:pPr>
      <w:r>
        <w:rPr>
          <w:rFonts w:ascii="Arial" w:hAnsi="Arial" w:cs="Arial"/>
          <w:b/>
          <w:i w:val="0"/>
          <w:color w:val="333333"/>
          <w:sz w:val="23"/>
        </w:rPr>
        <w:t>8.4.1 Purpose &amp; Design Philosophy</w:t>
      </w:r>
    </w:p>
    <w:p>
      <w:pPr>
        <w:spacing w:after="80" w:line="293" w:lineRule="auto"/>
        <w:jc w:val="left"/>
      </w:pPr>
      <w:r>
        <w:rPr>
          <w:rFonts w:ascii="Times New Roman" w:hAnsi="Times New Roman" w:cs="Times New Roman"/>
          <w:b w:val="0"/>
          <w:i w:val="0"/>
          <w:sz w:val="22"/>
        </w:rPr>
        <w:t>The Palletisation Optimiser is the intelligent engine that transforms raw commodity data into a physically feasible, optimised loading plan. It uses Google's ORTools CP-SAT solver to determine the optimal arrangement of cartons on pallets, pallets in containers (or ULDs, wagons, trailers), and the overall loading sequence.</w:t>
      </w:r>
    </w:p>
    <w:p>
      <w:pPr>
        <w:spacing w:after="80" w:line="293" w:lineRule="auto"/>
        <w:jc w:val="left"/>
      </w:pPr>
      <w:r>
        <w:rPr>
          <w:rFonts w:ascii="Times New Roman" w:hAnsi="Times New Roman" w:cs="Times New Roman"/>
          <w:b w:val="0"/>
          <w:i w:val="0"/>
          <w:sz w:val="22"/>
        </w:rPr>
        <w:t>This is not a simple calculation — it is a complex spatial optimisation problem that accounts for: carton dimensions and weight (different products have different carton sizes and weights); pallet type and dimensions (EUR, ISO, custom pallets with specific dimensions); stacking height limits (commodity-specific limits — for example, oranges can stack 5 layers, but electronics only 3); non-uniform layer stacking (real-world packing often requires mixed layer configurations, for example 11 layers of 10 cartons + 1 layer of 1 carton); transport mode-specific equipment (ocean containers, air ULDs, rail wagons, and truck trailers all have different dimensions and constraints); weight distribution (centre of gravity constraints for stability); and accessibility (critical pallets, for example those requiring inspection, must be accessible).</w:t>
      </w:r>
    </w:p>
    <w:p>
      <w:pPr>
        <w:spacing w:after="80" w:line="293" w:lineRule="auto"/>
        <w:jc w:val="left"/>
      </w:pPr>
      <w:r>
        <w:rPr>
          <w:rFonts w:ascii="Times New Roman" w:hAnsi="Times New Roman" w:cs="Times New Roman"/>
          <w:b w:val="0"/>
          <w:i w:val="0"/>
          <w:sz w:val="22"/>
        </w:rPr>
        <w:t>Key principles: Transport mode-aware — the solver adapts to the specific equipment type (container, ULD, wagon, trailer). Non-uniform layer stacking — supports multiple layer patterns per pallet, reflecting real-world packing practices. AI-assisted — the solver suggests optimal configurations; the human can override. Collaborative — multiple users can edit the packing plan simultaneously (Yjs + WebRTC). Visual — the 3D container viewer shows the loading plan; the capacity heatmap shows historical density. Governance-enforced — the Governor validates that all constraints are met before locking the plan.</w:t>
      </w:r>
    </w:p>
    <w:p>
      <w:pPr>
        <w:keepNext/>
        <w:spacing w:before="180" w:after="80"/>
        <w:outlineLvl w:val="2"/>
      </w:pPr>
      <w:r>
        <w:rPr>
          <w:rFonts w:ascii="Arial" w:hAnsi="Arial" w:cs="Arial"/>
          <w:b/>
          <w:i w:val="0"/>
          <w:color w:val="333333"/>
          <w:sz w:val="23"/>
        </w:rPr>
        <w:t>8.4.2 Core Solver — ORTools CP-SAT</w:t>
      </w:r>
    </w:p>
    <w:p>
      <w:pPr>
        <w:keepNext/>
        <w:spacing w:before="140" w:after="60"/>
        <w:outlineLvl w:val="3"/>
      </w:pPr>
      <w:r>
        <w:rPr>
          <w:rFonts w:ascii="Arial" w:hAnsi="Arial" w:cs="Arial"/>
          <w:b/>
          <w:i/>
          <w:color w:val="333333"/>
          <w:sz w:val="22"/>
        </w:rPr>
        <w:t>8.4.2.1 Input Parameters</w:t>
      </w:r>
    </w:p>
    <w:p>
      <w:pPr>
        <w:spacing w:after="80" w:line="293" w:lineRule="auto"/>
        <w:ind w:left="283"/>
        <w:jc w:val="left"/>
      </w:pPr>
      <w:r>
        <w:rPr>
          <w:rFonts w:ascii="Times New Roman" w:hAnsi="Times New Roman" w:cs="Times New Roman"/>
          <w:b w:val="0"/>
          <w:i w:val="0"/>
          <w:sz w:val="22"/>
        </w:rPr>
        <w:t>- cartons: carton dimensions, gross weight, commodity</w:t>
      </w:r>
    </w:p>
    <w:p>
      <w:pPr>
        <w:spacing w:after="80" w:line="293" w:lineRule="auto"/>
        <w:ind w:left="283"/>
        <w:jc w:val="left"/>
      </w:pPr>
      <w:r>
        <w:rPr>
          <w:rFonts w:ascii="Times New Roman" w:hAnsi="Times New Roman" w:cs="Times New Roman"/>
          <w:b w:val="0"/>
          <w:i w:val="0"/>
          <w:sz w:val="22"/>
        </w:rPr>
        <w:t>- pallet_type: dimensions (EUR 800×1200 mm, ISO, custom), max payload, deck height</w:t>
      </w:r>
    </w:p>
    <w:p>
      <w:pPr>
        <w:spacing w:after="80" w:line="293" w:lineRule="auto"/>
        <w:ind w:left="283"/>
        <w:jc w:val="left"/>
      </w:pPr>
      <w:r>
        <w:rPr>
          <w:rFonts w:ascii="Times New Roman" w:hAnsi="Times New Roman" w:cs="Times New Roman"/>
          <w:b w:val="0"/>
          <w:i w:val="0"/>
          <w:sz w:val="22"/>
        </w:rPr>
        <w:t>- container_type (equipment): internal dimensions, max payload</w:t>
      </w:r>
    </w:p>
    <w:p>
      <w:pPr>
        <w:spacing w:after="80" w:line="293" w:lineRule="auto"/>
        <w:ind w:left="283"/>
        <w:jc w:val="left"/>
      </w:pPr>
      <w:r>
        <w:rPr>
          <w:rFonts w:ascii="Times New Roman" w:hAnsi="Times New Roman" w:cs="Times New Roman"/>
          <w:b w:val="0"/>
          <w:i w:val="0"/>
          <w:sz w:val="22"/>
        </w:rPr>
        <w:t>- layer_patterns: per-pattern cartons per layer, layer count, layer height, orientation</w:t>
      </w:r>
    </w:p>
    <w:p>
      <w:pPr>
        <w:spacing w:after="80" w:line="293" w:lineRule="auto"/>
        <w:ind w:left="283"/>
        <w:jc w:val="left"/>
      </w:pPr>
      <w:r>
        <w:rPr>
          <w:rFonts w:ascii="Times New Roman" w:hAnsi="Times New Roman" w:cs="Times New Roman"/>
          <w:b w:val="0"/>
          <w:i w:val="0"/>
          <w:sz w:val="22"/>
        </w:rPr>
        <w:t>- max_stacking_height: commodity-specific limit</w:t>
      </w:r>
    </w:p>
    <w:p>
      <w:pPr>
        <w:keepNext/>
        <w:spacing w:before="140" w:after="60"/>
        <w:outlineLvl w:val="3"/>
      </w:pPr>
      <w:r>
        <w:rPr>
          <w:rFonts w:ascii="Arial" w:hAnsi="Arial" w:cs="Arial"/>
          <w:b/>
          <w:i/>
          <w:color w:val="333333"/>
          <w:sz w:val="22"/>
        </w:rPr>
        <w:t>8.4.2.2 Solver Output</w:t>
      </w:r>
    </w:p>
    <w:p>
      <w:pPr>
        <w:spacing w:after="80" w:line="293" w:lineRule="auto"/>
        <w:ind w:left="283"/>
        <w:jc w:val="left"/>
      </w:pPr>
      <w:r>
        <w:rPr>
          <w:rFonts w:ascii="Times New Roman" w:hAnsi="Times New Roman" w:cs="Times New Roman"/>
          <w:b w:val="0"/>
          <w:i w:val="0"/>
          <w:sz w:val="22"/>
        </w:rPr>
        <w:t>- total_pallets, total_cartons</w:t>
      </w:r>
    </w:p>
    <w:p>
      <w:pPr>
        <w:spacing w:after="80" w:line="293" w:lineRule="auto"/>
        <w:ind w:left="283"/>
        <w:jc w:val="left"/>
      </w:pPr>
      <w:r>
        <w:rPr>
          <w:rFonts w:ascii="Times New Roman" w:hAnsi="Times New Roman" w:cs="Times New Roman"/>
          <w:b w:val="0"/>
          <w:i w:val="0"/>
          <w:sz w:val="22"/>
        </w:rPr>
        <w:t>- pallet_arrangement and pallet positions (container loading plan)</w:t>
      </w:r>
    </w:p>
    <w:p>
      <w:pPr>
        <w:spacing w:after="80" w:line="293" w:lineRule="auto"/>
        <w:ind w:left="283"/>
        <w:jc w:val="left"/>
      </w:pPr>
      <w:r>
        <w:rPr>
          <w:rFonts w:ascii="Times New Roman" w:hAnsi="Times New Roman" w:cs="Times New Roman"/>
          <w:b w:val="0"/>
          <w:i w:val="0"/>
          <w:sz w:val="22"/>
        </w:rPr>
        <w:t>- pallet_height, pallet_weight</w:t>
      </w:r>
    </w:p>
    <w:p>
      <w:pPr>
        <w:spacing w:after="80" w:line="293" w:lineRule="auto"/>
        <w:ind w:left="283"/>
        <w:jc w:val="left"/>
      </w:pPr>
      <w:r>
        <w:rPr>
          <w:rFonts w:ascii="Times New Roman" w:hAnsi="Times New Roman" w:cs="Times New Roman"/>
          <w:b w:val="0"/>
          <w:i w:val="0"/>
          <w:sz w:val="22"/>
        </w:rPr>
        <w:t>- centre_of_gravity</w:t>
      </w:r>
    </w:p>
    <w:p>
      <w:pPr>
        <w:spacing w:after="80" w:line="293" w:lineRule="auto"/>
        <w:ind w:left="283"/>
        <w:jc w:val="left"/>
      </w:pPr>
      <w:r>
        <w:rPr>
          <w:rFonts w:ascii="Times New Roman" w:hAnsi="Times New Roman" w:cs="Times New Roman"/>
          <w:b w:val="0"/>
          <w:i w:val="0"/>
          <w:sz w:val="22"/>
        </w:rPr>
        <w:t>- utilisation_percent</w:t>
      </w:r>
    </w:p>
    <w:p>
      <w:pPr>
        <w:spacing w:after="80" w:line="293" w:lineRule="auto"/>
        <w:ind w:left="283"/>
        <w:jc w:val="left"/>
      </w:pPr>
      <w:r>
        <w:rPr>
          <w:rFonts w:ascii="Times New Roman" w:hAnsi="Times New Roman" w:cs="Times New Roman"/>
          <w:b w:val="0"/>
          <w:i w:val="0"/>
          <w:sz w:val="22"/>
        </w:rPr>
        <w:t>- layer_patterns (validated)</w:t>
      </w:r>
    </w:p>
    <w:p>
      <w:pPr>
        <w:spacing w:after="80" w:line="293" w:lineRule="auto"/>
        <w:ind w:left="283"/>
        <w:jc w:val="left"/>
      </w:pPr>
      <w:r>
        <w:rPr>
          <w:rFonts w:ascii="Times New Roman" w:hAnsi="Times New Roman" w:cs="Times New Roman"/>
          <w:b w:val="0"/>
          <w:i w:val="0"/>
          <w:sz w:val="22"/>
        </w:rPr>
        <w:t>- sscc_codes</w:t>
      </w:r>
    </w:p>
    <w:p>
      <w:pPr>
        <w:keepNext/>
        <w:spacing w:before="140" w:after="60"/>
        <w:outlineLvl w:val="3"/>
      </w:pPr>
      <w:r>
        <w:rPr>
          <w:rFonts w:ascii="Arial" w:hAnsi="Arial" w:cs="Arial"/>
          <w:b/>
          <w:i/>
          <w:color w:val="333333"/>
          <w:sz w:val="22"/>
        </w:rPr>
        <w:t>8.4.2.3 Solver Algorithm</w:t>
      </w:r>
    </w:p>
    <w:p>
      <w:pPr>
        <w:spacing w:after="0" w:before="0" w:line="240" w:lineRule="auto"/>
        <w:ind w:left="57"/>
        <w:jc w:val="left"/>
        <w:shd w:val="clear" w:fill="F2F2F2"/>
      </w:pPr>
      <w:r>
        <w:rPr>
          <w:rFonts w:ascii="Consolas" w:hAnsi="Consolas" w:cs="Consolas"/>
          <w:b w:val="0"/>
          <w:i w:val="0"/>
          <w:sz w:val="15"/>
        </w:rPr>
        <w:t>// Pseudo-code: ORTools CP-SAT solver integration</w:t>
      </w:r>
    </w:p>
    <w:p>
      <w:pPr>
        <w:spacing w:after="0" w:before="0" w:line="240" w:lineRule="auto"/>
        <w:ind w:left="57"/>
        <w:jc w:val="left"/>
        <w:shd w:val="clear" w:fill="F2F2F2"/>
      </w:pPr>
      <w:r>
        <w:rPr>
          <w:rFonts w:ascii="Consolas" w:hAnsi="Consolas" w:cs="Consolas"/>
          <w:b w:val="0"/>
          <w:i w:val="0"/>
          <w:sz w:val="15"/>
        </w:rPr>
        <w:t>fn solve_palletisation(</w:t>
      </w:r>
    </w:p>
    <w:p>
      <w:pPr>
        <w:spacing w:after="0" w:before="0" w:line="240" w:lineRule="auto"/>
        <w:ind w:left="57"/>
        <w:jc w:val="left"/>
        <w:shd w:val="clear" w:fill="F2F2F2"/>
      </w:pPr>
      <w:r>
        <w:rPr>
          <w:rFonts w:ascii="Consolas" w:hAnsi="Consolas" w:cs="Consolas"/>
          <w:b w:val="0"/>
          <w:i w:val="0"/>
          <w:sz w:val="15"/>
        </w:rPr>
        <w:t xml:space="preserve">    cartons: &amp;[Carton],</w:t>
      </w:r>
    </w:p>
    <w:p>
      <w:pPr>
        <w:spacing w:after="0" w:before="0" w:line="240" w:lineRule="auto"/>
        <w:ind w:left="57"/>
        <w:jc w:val="left"/>
        <w:shd w:val="clear" w:fill="F2F2F2"/>
      </w:pPr>
      <w:r>
        <w:rPr>
          <w:rFonts w:ascii="Consolas" w:hAnsi="Consolas" w:cs="Consolas"/>
          <w:b w:val="0"/>
          <w:i w:val="0"/>
          <w:sz w:val="15"/>
        </w:rPr>
        <w:t xml:space="preserve">    pallet_type: &amp;PalletType,</w:t>
      </w:r>
    </w:p>
    <w:p>
      <w:pPr>
        <w:spacing w:after="0" w:before="0" w:line="240" w:lineRule="auto"/>
        <w:ind w:left="57"/>
        <w:jc w:val="left"/>
        <w:shd w:val="clear" w:fill="F2F2F2"/>
      </w:pPr>
      <w:r>
        <w:rPr>
          <w:rFonts w:ascii="Consolas" w:hAnsi="Consolas" w:cs="Consolas"/>
          <w:b w:val="0"/>
          <w:i w:val="0"/>
          <w:sz w:val="15"/>
        </w:rPr>
        <w:t xml:space="preserve">    container_type: &amp;ContainerType,</w:t>
      </w:r>
    </w:p>
    <w:p>
      <w:pPr>
        <w:spacing w:after="0" w:before="0" w:line="240" w:lineRule="auto"/>
        <w:ind w:left="57"/>
        <w:jc w:val="left"/>
        <w:shd w:val="clear" w:fill="F2F2F2"/>
      </w:pPr>
      <w:r>
        <w:rPr>
          <w:rFonts w:ascii="Consolas" w:hAnsi="Consolas" w:cs="Consolas"/>
          <w:b w:val="0"/>
          <w:i w:val="0"/>
          <w:sz w:val="15"/>
        </w:rPr>
        <w:t xml:space="preserve">    layer_patterns: &amp;[LayerPattern],</w:t>
      </w:r>
    </w:p>
    <w:p>
      <w:pPr>
        <w:spacing w:after="0" w:before="0" w:line="240" w:lineRule="auto"/>
        <w:ind w:left="57"/>
        <w:jc w:val="left"/>
        <w:shd w:val="clear" w:fill="F2F2F2"/>
      </w:pPr>
      <w:r>
        <w:rPr>
          <w:rFonts w:ascii="Consolas" w:hAnsi="Consolas" w:cs="Consolas"/>
          <w:b w:val="0"/>
          <w:i w:val="0"/>
          <w:sz w:val="15"/>
        </w:rPr>
        <w:t xml:space="preserve">    max_stacking_height: f64,</w:t>
      </w:r>
    </w:p>
    <w:p>
      <w:pPr>
        <w:spacing w:after="0" w:before="0" w:line="240" w:lineRule="auto"/>
        <w:ind w:left="57"/>
        <w:jc w:val="left"/>
        <w:shd w:val="clear" w:fill="F2F2F2"/>
      </w:pPr>
      <w:r>
        <w:rPr>
          <w:rFonts w:ascii="Consolas" w:hAnsi="Consolas" w:cs="Consolas"/>
          <w:b w:val="0"/>
          <w:i w:val="0"/>
          <w:sz w:val="15"/>
        </w:rPr>
        <w:t>) -&gt; PalletisationResult {</w:t>
      </w:r>
    </w:p>
    <w:p>
      <w:pPr>
        <w:spacing w:after="0" w:before="0" w:line="240" w:lineRule="auto"/>
        <w:ind w:left="57"/>
        <w:jc w:val="left"/>
        <w:shd w:val="clear" w:fill="F2F2F2"/>
      </w:pPr>
      <w:r>
        <w:rPr>
          <w:rFonts w:ascii="Consolas" w:hAnsi="Consolas" w:cs="Consolas"/>
          <w:b w:val="0"/>
          <w:i w:val="0"/>
          <w:sz w:val="15"/>
        </w:rPr>
        <w:t xml:space="preserve">    // 1. Calculate cartons per layer for each pattern</w:t>
      </w:r>
    </w:p>
    <w:p>
      <w:pPr>
        <w:spacing w:after="0" w:before="0" w:line="240" w:lineRule="auto"/>
        <w:ind w:left="57"/>
        <w:jc w:val="left"/>
        <w:shd w:val="clear" w:fill="F2F2F2"/>
      </w:pPr>
      <w:r>
        <w:rPr>
          <w:rFonts w:ascii="Consolas" w:hAnsi="Consolas" w:cs="Consolas"/>
          <w:b w:val="0"/>
          <w:i w:val="0"/>
          <w:sz w:val="15"/>
        </w:rPr>
        <w:t xml:space="preserve">    let cartons_per_layer = layer_patterns.iter()</w:t>
      </w:r>
    </w:p>
    <w:p>
      <w:pPr>
        <w:spacing w:after="0" w:before="0" w:line="240" w:lineRule="auto"/>
        <w:ind w:left="57"/>
        <w:jc w:val="left"/>
        <w:shd w:val="clear" w:fill="F2F2F2"/>
      </w:pPr>
      <w:r>
        <w:rPr>
          <w:rFonts w:ascii="Consolas" w:hAnsi="Consolas" w:cs="Consolas"/>
          <w:b w:val="0"/>
          <w:i w:val="0"/>
          <w:sz w:val="15"/>
        </w:rPr>
        <w:t xml:space="preserve">        .map(|p| p.cartons_per_layer)</w:t>
      </w:r>
    </w:p>
    <w:p>
      <w:pPr>
        <w:spacing w:after="0" w:before="0" w:line="240" w:lineRule="auto"/>
        <w:ind w:left="57"/>
        <w:jc w:val="left"/>
        <w:shd w:val="clear" w:fill="F2F2F2"/>
      </w:pPr>
      <w:r>
        <w:rPr>
          <w:rFonts w:ascii="Consolas" w:hAnsi="Consolas" w:cs="Consolas"/>
          <w:b w:val="0"/>
          <w:i w:val="0"/>
          <w:sz w:val="15"/>
        </w:rPr>
        <w:t xml:space="preserve">        .collect::&lt;Vec&lt;_&gt;&gt;();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Calculate layers for each pattern</w:t>
      </w:r>
    </w:p>
    <w:p>
      <w:pPr>
        <w:spacing w:after="0" w:before="0" w:line="240" w:lineRule="auto"/>
        <w:ind w:left="57"/>
        <w:jc w:val="left"/>
        <w:shd w:val="clear" w:fill="F2F2F2"/>
      </w:pPr>
      <w:r>
        <w:rPr>
          <w:rFonts w:ascii="Consolas" w:hAnsi="Consolas" w:cs="Consolas"/>
          <w:b w:val="0"/>
          <w:i w:val="0"/>
          <w:sz w:val="15"/>
        </w:rPr>
        <w:t xml:space="preserve">    let layers_per_pattern = layer_patterns.iter()</w:t>
      </w:r>
    </w:p>
    <w:p>
      <w:pPr>
        <w:spacing w:after="0" w:before="0" w:line="240" w:lineRule="auto"/>
        <w:ind w:left="57"/>
        <w:jc w:val="left"/>
        <w:shd w:val="clear" w:fill="F2F2F2"/>
      </w:pPr>
      <w:r>
        <w:rPr>
          <w:rFonts w:ascii="Consolas" w:hAnsi="Consolas" w:cs="Consolas"/>
          <w:b w:val="0"/>
          <w:i w:val="0"/>
          <w:sz w:val="15"/>
        </w:rPr>
        <w:t xml:space="preserve">        .map(|p| p.layers_count)</w:t>
      </w:r>
    </w:p>
    <w:p>
      <w:pPr>
        <w:spacing w:after="0" w:before="0" w:line="240" w:lineRule="auto"/>
        <w:ind w:left="57"/>
        <w:jc w:val="left"/>
        <w:shd w:val="clear" w:fill="F2F2F2"/>
      </w:pPr>
      <w:r>
        <w:rPr>
          <w:rFonts w:ascii="Consolas" w:hAnsi="Consolas" w:cs="Consolas"/>
          <w:b w:val="0"/>
          <w:i w:val="0"/>
          <w:sz w:val="15"/>
        </w:rPr>
        <w:t xml:space="preserve">        .collect::&lt;Vec&lt;_&gt;&gt;();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Calculate total cartons per pallet</w:t>
      </w:r>
    </w:p>
    <w:p>
      <w:pPr>
        <w:spacing w:after="0" w:before="0" w:line="240" w:lineRule="auto"/>
        <w:ind w:left="57"/>
        <w:jc w:val="left"/>
        <w:shd w:val="clear" w:fill="F2F2F2"/>
      </w:pPr>
      <w:r>
        <w:rPr>
          <w:rFonts w:ascii="Consolas" w:hAnsi="Consolas" w:cs="Consolas"/>
          <w:b w:val="0"/>
          <w:i w:val="0"/>
          <w:sz w:val="15"/>
        </w:rPr>
        <w:t xml:space="preserve">    let total_cartons_per_pallet = layer_patterns.iter()</w:t>
      </w:r>
    </w:p>
    <w:p>
      <w:pPr>
        <w:spacing w:after="0" w:before="0" w:line="240" w:lineRule="auto"/>
        <w:ind w:left="57"/>
        <w:jc w:val="left"/>
        <w:shd w:val="clear" w:fill="F2F2F2"/>
      </w:pPr>
      <w:r>
        <w:rPr>
          <w:rFonts w:ascii="Consolas" w:hAnsi="Consolas" w:cs="Consolas"/>
          <w:b w:val="0"/>
          <w:i w:val="0"/>
          <w:sz w:val="15"/>
        </w:rPr>
        <w:t xml:space="preserve">        .map(|p| p.cartons_per_layer * p.layers_count)</w:t>
      </w:r>
    </w:p>
    <w:p>
      <w:pPr>
        <w:spacing w:after="0" w:before="0" w:line="240" w:lineRule="auto"/>
        <w:ind w:left="57"/>
        <w:jc w:val="left"/>
        <w:shd w:val="clear" w:fill="F2F2F2"/>
      </w:pPr>
      <w:r>
        <w:rPr>
          <w:rFonts w:ascii="Consolas" w:hAnsi="Consolas" w:cs="Consolas"/>
          <w:b w:val="0"/>
          <w:i w:val="0"/>
          <w:sz w:val="15"/>
        </w:rPr>
        <w:t xml:space="preserve">        .sum::&lt;i32&gt;();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Calculate pallet height (including non-uniform layers)</w:t>
      </w:r>
    </w:p>
    <w:p>
      <w:pPr>
        <w:spacing w:after="0" w:before="0" w:line="240" w:lineRule="auto"/>
        <w:ind w:left="57"/>
        <w:jc w:val="left"/>
        <w:shd w:val="clear" w:fill="F2F2F2"/>
      </w:pPr>
      <w:r>
        <w:rPr>
          <w:rFonts w:ascii="Consolas" w:hAnsi="Consolas" w:cs="Consolas"/>
          <w:b w:val="0"/>
          <w:i w:val="0"/>
          <w:sz w:val="15"/>
        </w:rPr>
        <w:t xml:space="preserve">    let pallet_height = layer_patterns.iter()</w:t>
      </w:r>
    </w:p>
    <w:p>
      <w:pPr>
        <w:spacing w:after="0" w:before="0" w:line="240" w:lineRule="auto"/>
        <w:ind w:left="57"/>
        <w:jc w:val="left"/>
        <w:shd w:val="clear" w:fill="F2F2F2"/>
      </w:pPr>
      <w:r>
        <w:rPr>
          <w:rFonts w:ascii="Consolas" w:hAnsi="Consolas" w:cs="Consolas"/>
          <w:b w:val="0"/>
          <w:i w:val="0"/>
          <w:sz w:val="15"/>
        </w:rPr>
        <w:t xml:space="preserve">        .map(|p| p.layer_height_mm * p.layers_count)</w:t>
      </w:r>
    </w:p>
    <w:p>
      <w:pPr>
        <w:spacing w:after="0" w:before="0" w:line="240" w:lineRule="auto"/>
        <w:ind w:left="57"/>
        <w:jc w:val="left"/>
        <w:shd w:val="clear" w:fill="F2F2F2"/>
      </w:pPr>
      <w:r>
        <w:rPr>
          <w:rFonts w:ascii="Consolas" w:hAnsi="Consolas" w:cs="Consolas"/>
          <w:b w:val="0"/>
          <w:i w:val="0"/>
          <w:sz w:val="15"/>
        </w:rPr>
        <w:t xml:space="preserve">        .sum::&lt;f64&gt;()</w:t>
      </w:r>
    </w:p>
    <w:p>
      <w:pPr>
        <w:spacing w:after="0" w:before="0" w:line="240" w:lineRule="auto"/>
        <w:ind w:left="57"/>
        <w:jc w:val="left"/>
        <w:shd w:val="clear" w:fill="F2F2F2"/>
      </w:pPr>
      <w:r>
        <w:rPr>
          <w:rFonts w:ascii="Consolas" w:hAnsi="Consolas" w:cs="Consolas"/>
          <w:b w:val="0"/>
          <w:i w:val="0"/>
          <w:sz w:val="15"/>
        </w:rPr>
        <w:t xml:space="preserve">        + pallet_type.deck_height_mm;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Validate against max stacking height</w:t>
      </w:r>
    </w:p>
    <w:p>
      <w:pPr>
        <w:spacing w:after="0" w:before="0" w:line="240" w:lineRule="auto"/>
        <w:ind w:left="57"/>
        <w:jc w:val="left"/>
        <w:shd w:val="clear" w:fill="F2F2F2"/>
      </w:pPr>
      <w:r>
        <w:rPr>
          <w:rFonts w:ascii="Consolas" w:hAnsi="Consolas" w:cs="Consolas"/>
          <w:b w:val="0"/>
          <w:i w:val="0"/>
          <w:sz w:val="15"/>
        </w:rPr>
        <w:t xml:space="preserve">    if pallet_height &gt; max_stacking_height {</w:t>
      </w:r>
    </w:p>
    <w:p>
      <w:pPr>
        <w:spacing w:after="0" w:before="0" w:line="240" w:lineRule="auto"/>
        <w:ind w:left="57"/>
        <w:jc w:val="left"/>
        <w:shd w:val="clear" w:fill="F2F2F2"/>
      </w:pPr>
      <w:r>
        <w:rPr>
          <w:rFonts w:ascii="Consolas" w:hAnsi="Consolas" w:cs="Consolas"/>
          <w:b w:val="0"/>
          <w:i w:val="0"/>
          <w:sz w:val="15"/>
        </w:rPr>
        <w:t xml:space="preserve">        return Err(Error::StackingHeightExceeded {</w:t>
      </w:r>
    </w:p>
    <w:p>
      <w:pPr>
        <w:spacing w:after="0" w:before="0" w:line="240" w:lineRule="auto"/>
        <w:ind w:left="57"/>
        <w:jc w:val="left"/>
        <w:shd w:val="clear" w:fill="F2F2F2"/>
      </w:pPr>
      <w:r>
        <w:rPr>
          <w:rFonts w:ascii="Consolas" w:hAnsi="Consolas" w:cs="Consolas"/>
          <w:b w:val="0"/>
          <w:i w:val="0"/>
          <w:sz w:val="15"/>
        </w:rPr>
        <w:t xml:space="preserve">            actual: pallet_height,</w:t>
      </w:r>
    </w:p>
    <w:p>
      <w:pPr>
        <w:spacing w:after="0" w:before="0" w:line="240" w:lineRule="auto"/>
        <w:ind w:left="57"/>
        <w:jc w:val="left"/>
        <w:shd w:val="clear" w:fill="F2F2F2"/>
      </w:pPr>
      <w:r>
        <w:rPr>
          <w:rFonts w:ascii="Consolas" w:hAnsi="Consolas" w:cs="Consolas"/>
          <w:b w:val="0"/>
          <w:i w:val="0"/>
          <w:sz w:val="15"/>
        </w:rPr>
        <w:t xml:space="preserve">            max: max_stacking_height,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6. Calculate pallet weight</w:t>
      </w:r>
    </w:p>
    <w:p>
      <w:pPr>
        <w:spacing w:after="0" w:before="0" w:line="240" w:lineRule="auto"/>
        <w:ind w:left="57"/>
        <w:jc w:val="left"/>
        <w:shd w:val="clear" w:fill="F2F2F2"/>
      </w:pPr>
      <w:r>
        <w:rPr>
          <w:rFonts w:ascii="Consolas" w:hAnsi="Consolas" w:cs="Consolas"/>
          <w:b w:val="0"/>
          <w:i w:val="0"/>
          <w:sz w:val="15"/>
        </w:rPr>
        <w:t xml:space="preserve">    let pallet_weight = total_cartons_per_pallet as f64 * cartons[0].gross_weight_kg;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7. Validate against pallet max payload</w:t>
      </w:r>
    </w:p>
    <w:p>
      <w:pPr>
        <w:spacing w:after="0" w:before="0" w:line="240" w:lineRule="auto"/>
        <w:ind w:left="57"/>
        <w:jc w:val="left"/>
        <w:shd w:val="clear" w:fill="F2F2F2"/>
      </w:pPr>
      <w:r>
        <w:rPr>
          <w:rFonts w:ascii="Consolas" w:hAnsi="Consolas" w:cs="Consolas"/>
          <w:b w:val="0"/>
          <w:i w:val="0"/>
          <w:sz w:val="15"/>
        </w:rPr>
        <w:t xml:space="preserve">    if pallet_weight &gt; pallet_type.max_payload_kg {</w:t>
      </w:r>
    </w:p>
    <w:p>
      <w:pPr>
        <w:spacing w:after="0" w:before="0" w:line="240" w:lineRule="auto"/>
        <w:ind w:left="57"/>
        <w:jc w:val="left"/>
        <w:shd w:val="clear" w:fill="F2F2F2"/>
      </w:pPr>
      <w:r>
        <w:rPr>
          <w:rFonts w:ascii="Consolas" w:hAnsi="Consolas" w:cs="Consolas"/>
          <w:b w:val="0"/>
          <w:i w:val="0"/>
          <w:sz w:val="15"/>
        </w:rPr>
        <w:t xml:space="preserve">        return Err(Error::PalletWeightExceeded {</w:t>
      </w:r>
    </w:p>
    <w:p>
      <w:pPr>
        <w:spacing w:after="0" w:before="0" w:line="240" w:lineRule="auto"/>
        <w:ind w:left="57"/>
        <w:jc w:val="left"/>
        <w:shd w:val="clear" w:fill="F2F2F2"/>
      </w:pPr>
      <w:r>
        <w:rPr>
          <w:rFonts w:ascii="Consolas" w:hAnsi="Consolas" w:cs="Consolas"/>
          <w:b w:val="0"/>
          <w:i w:val="0"/>
          <w:sz w:val="15"/>
        </w:rPr>
        <w:t xml:space="preserve">            actual: pallet_weight,</w:t>
      </w:r>
    </w:p>
    <w:p>
      <w:pPr>
        <w:spacing w:after="0" w:before="0" w:line="240" w:lineRule="auto"/>
        <w:ind w:left="57"/>
        <w:jc w:val="left"/>
        <w:shd w:val="clear" w:fill="F2F2F2"/>
      </w:pPr>
      <w:r>
        <w:rPr>
          <w:rFonts w:ascii="Consolas" w:hAnsi="Consolas" w:cs="Consolas"/>
          <w:b w:val="0"/>
          <w:i w:val="0"/>
          <w:sz w:val="15"/>
        </w:rPr>
        <w:t xml:space="preserve">            max: pallet_type.max_payload_kg,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8. Calculate container loading plan (pallet positions)</w:t>
      </w:r>
    </w:p>
    <w:p>
      <w:pPr>
        <w:spacing w:after="0" w:before="0" w:line="240" w:lineRule="auto"/>
        <w:ind w:left="57"/>
        <w:jc w:val="left"/>
        <w:shd w:val="clear" w:fill="F2F2F2"/>
      </w:pPr>
      <w:r>
        <w:rPr>
          <w:rFonts w:ascii="Consolas" w:hAnsi="Consolas" w:cs="Consolas"/>
          <w:b w:val="0"/>
          <w:i w:val="0"/>
          <w:sz w:val="15"/>
        </w:rPr>
        <w:t xml:space="preserve">    let container_plan = calculate_container_loading(</w:t>
      </w:r>
    </w:p>
    <w:p>
      <w:pPr>
        <w:spacing w:after="0" w:before="0" w:line="240" w:lineRule="auto"/>
        <w:ind w:left="57"/>
        <w:jc w:val="left"/>
        <w:shd w:val="clear" w:fill="F2F2F2"/>
      </w:pPr>
      <w:r>
        <w:rPr>
          <w:rFonts w:ascii="Consolas" w:hAnsi="Consolas" w:cs="Consolas"/>
          <w:b w:val="0"/>
          <w:i w:val="0"/>
          <w:sz w:val="15"/>
        </w:rPr>
        <w:t xml:space="preserve">        pallet_count,</w:t>
      </w:r>
    </w:p>
    <w:p>
      <w:pPr>
        <w:spacing w:after="0" w:before="0" w:line="240" w:lineRule="auto"/>
        <w:ind w:left="57"/>
        <w:jc w:val="left"/>
        <w:shd w:val="clear" w:fill="F2F2F2"/>
      </w:pPr>
      <w:r>
        <w:rPr>
          <w:rFonts w:ascii="Consolas" w:hAnsi="Consolas" w:cs="Consolas"/>
          <w:b w:val="0"/>
          <w:i w:val="0"/>
          <w:sz w:val="15"/>
        </w:rPr>
        <w:t xml:space="preserve">        pallet_type.dimensions,</w:t>
      </w:r>
    </w:p>
    <w:p>
      <w:pPr>
        <w:spacing w:after="0" w:before="0" w:line="240" w:lineRule="auto"/>
        <w:ind w:left="57"/>
        <w:jc w:val="left"/>
        <w:shd w:val="clear" w:fill="F2F2F2"/>
      </w:pPr>
      <w:r>
        <w:rPr>
          <w:rFonts w:ascii="Consolas" w:hAnsi="Consolas" w:cs="Consolas"/>
          <w:b w:val="0"/>
          <w:i w:val="0"/>
          <w:sz w:val="15"/>
        </w:rPr>
        <w:t xml:space="preserve">        container_type.internal_dimensions,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9. Calculate centre of gravity</w:t>
      </w:r>
    </w:p>
    <w:p>
      <w:pPr>
        <w:spacing w:after="0" w:before="0" w:line="240" w:lineRule="auto"/>
        <w:ind w:left="57"/>
        <w:jc w:val="left"/>
        <w:shd w:val="clear" w:fill="F2F2F2"/>
      </w:pPr>
      <w:r>
        <w:rPr>
          <w:rFonts w:ascii="Consolas" w:hAnsi="Consolas" w:cs="Consolas"/>
          <w:b w:val="0"/>
          <w:i w:val="0"/>
          <w:sz w:val="15"/>
        </w:rPr>
        <w:t xml:space="preserve">    let cog = calculate_centre_of_gravity(&amp;container_plan, &amp;pallet_weights);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10. Validate centre of gravity</w:t>
      </w:r>
    </w:p>
    <w:p>
      <w:pPr>
        <w:spacing w:after="0" w:before="0" w:line="240" w:lineRule="auto"/>
        <w:ind w:left="57"/>
        <w:jc w:val="left"/>
        <w:shd w:val="clear" w:fill="F2F2F2"/>
      </w:pPr>
      <w:r>
        <w:rPr>
          <w:rFonts w:ascii="Consolas" w:hAnsi="Consolas" w:cs="Consolas"/>
          <w:b w:val="0"/>
          <w:i w:val="0"/>
          <w:sz w:val="15"/>
        </w:rPr>
        <w:t xml:space="preserve">    if cog.x &gt; container_type.internal_width_mm * 0.4 {</w:t>
      </w:r>
    </w:p>
    <w:p>
      <w:pPr>
        <w:spacing w:after="0" w:before="0" w:line="240" w:lineRule="auto"/>
        <w:ind w:left="57"/>
        <w:jc w:val="left"/>
        <w:shd w:val="clear" w:fill="F2F2F2"/>
      </w:pPr>
      <w:r>
        <w:rPr>
          <w:rFonts w:ascii="Consolas" w:hAnsi="Consolas" w:cs="Consolas"/>
          <w:b w:val="0"/>
          <w:i w:val="0"/>
          <w:sz w:val="15"/>
        </w:rPr>
        <w:t xml:space="preserve">        return Err(Error::CentreOfGravityExceeded);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Ok(PalletisationResult {</w:t>
      </w:r>
    </w:p>
    <w:p>
      <w:pPr>
        <w:spacing w:after="0" w:before="0" w:line="240" w:lineRule="auto"/>
        <w:ind w:left="57"/>
        <w:jc w:val="left"/>
        <w:shd w:val="clear" w:fill="F2F2F2"/>
      </w:pPr>
      <w:r>
        <w:rPr>
          <w:rFonts w:ascii="Consolas" w:hAnsi="Consolas" w:cs="Consolas"/>
          <w:b w:val="0"/>
          <w:i w:val="0"/>
          <w:sz w:val="15"/>
        </w:rPr>
        <w:t xml:space="preserve">        total_pallets: pallet_count,</w:t>
      </w:r>
    </w:p>
    <w:p>
      <w:pPr>
        <w:spacing w:after="0" w:before="0" w:line="240" w:lineRule="auto"/>
        <w:ind w:left="57"/>
        <w:jc w:val="left"/>
        <w:shd w:val="clear" w:fill="F2F2F2"/>
      </w:pPr>
      <w:r>
        <w:rPr>
          <w:rFonts w:ascii="Consolas" w:hAnsi="Consolas" w:cs="Consolas"/>
          <w:b w:val="0"/>
          <w:i w:val="0"/>
          <w:sz w:val="15"/>
        </w:rPr>
        <w:t xml:space="preserve">        total_cartons: total_cartons_all_pallets,</w:t>
      </w:r>
    </w:p>
    <w:p>
      <w:pPr>
        <w:spacing w:after="0" w:before="0" w:line="240" w:lineRule="auto"/>
        <w:ind w:left="57"/>
        <w:jc w:val="left"/>
        <w:shd w:val="clear" w:fill="F2F2F2"/>
      </w:pPr>
      <w:r>
        <w:rPr>
          <w:rFonts w:ascii="Consolas" w:hAnsi="Consolas" w:cs="Consolas"/>
          <w:b w:val="0"/>
          <w:i w:val="0"/>
          <w:sz w:val="15"/>
        </w:rPr>
        <w:t xml:space="preserve">        pallet_height,</w:t>
      </w:r>
    </w:p>
    <w:p>
      <w:pPr>
        <w:spacing w:after="0" w:before="0" w:line="240" w:lineRule="auto"/>
        <w:ind w:left="57"/>
        <w:jc w:val="left"/>
        <w:shd w:val="clear" w:fill="F2F2F2"/>
      </w:pPr>
      <w:r>
        <w:rPr>
          <w:rFonts w:ascii="Consolas" w:hAnsi="Consolas" w:cs="Consolas"/>
          <w:b w:val="0"/>
          <w:i w:val="0"/>
          <w:sz w:val="15"/>
        </w:rPr>
        <w:t xml:space="preserve">        pallet_weight,</w:t>
      </w:r>
    </w:p>
    <w:p>
      <w:pPr>
        <w:spacing w:after="0" w:before="0" w:line="240" w:lineRule="auto"/>
        <w:ind w:left="57"/>
        <w:jc w:val="left"/>
        <w:shd w:val="clear" w:fill="F2F2F2"/>
      </w:pPr>
      <w:r>
        <w:rPr>
          <w:rFonts w:ascii="Consolas" w:hAnsi="Consolas" w:cs="Consolas"/>
          <w:b w:val="0"/>
          <w:i w:val="0"/>
          <w:sz w:val="15"/>
        </w:rPr>
        <w:t xml:space="preserve">        container_plan,</w:t>
      </w:r>
    </w:p>
    <w:p>
      <w:pPr>
        <w:spacing w:after="0" w:before="0" w:line="240" w:lineRule="auto"/>
        <w:ind w:left="57"/>
        <w:jc w:val="left"/>
        <w:shd w:val="clear" w:fill="F2F2F2"/>
      </w:pPr>
      <w:r>
        <w:rPr>
          <w:rFonts w:ascii="Consolas" w:hAnsi="Consolas" w:cs="Consolas"/>
          <w:b w:val="0"/>
          <w:i w:val="0"/>
          <w:sz w:val="15"/>
        </w:rPr>
        <w:t xml:space="preserve">        centre_of_gravity: cog,</w:t>
      </w:r>
    </w:p>
    <w:p>
      <w:pPr>
        <w:spacing w:after="0" w:before="0" w:line="240" w:lineRule="auto"/>
        <w:ind w:left="57"/>
        <w:jc w:val="left"/>
        <w:shd w:val="clear" w:fill="F2F2F2"/>
      </w:pPr>
      <w:r>
        <w:rPr>
          <w:rFonts w:ascii="Consolas" w:hAnsi="Consolas" w:cs="Consolas"/>
          <w:b w:val="0"/>
          <w:i w:val="0"/>
          <w:sz w:val="15"/>
        </w:rPr>
        <w:t xml:space="preserve">        utilisation_percent: utilisation,</w:t>
      </w:r>
    </w:p>
    <w:p>
      <w:pPr>
        <w:spacing w:after="0" w:before="0" w:line="240" w:lineRule="auto"/>
        <w:ind w:left="57"/>
        <w:jc w:val="left"/>
        <w:shd w:val="clear" w:fill="F2F2F2"/>
      </w:pPr>
      <w:r>
        <w:rPr>
          <w:rFonts w:ascii="Consolas" w:hAnsi="Consolas" w:cs="Consolas"/>
          <w:b w:val="0"/>
          <w:i w:val="0"/>
          <w:sz w:val="15"/>
        </w:rPr>
        <w:t xml:space="preserve">        layer_patterns: layer_patterns.to_vec(),</w:t>
      </w:r>
    </w:p>
    <w:p>
      <w:pPr>
        <w:spacing w:after="0" w:before="0" w:line="240" w:lineRule="auto"/>
        <w:ind w:left="57"/>
        <w:jc w:val="left"/>
        <w:shd w:val="clear" w:fill="F2F2F2"/>
      </w:pPr>
      <w:r>
        <w:rPr>
          <w:rFonts w:ascii="Consolas" w:hAnsi="Consolas" w:cs="Consolas"/>
          <w:b w:val="0"/>
          <w:i w:val="0"/>
          <w:sz w:val="15"/>
        </w:rPr>
        <w:t xml:space="preserve">        sscc_codes: generate_sscc_codes(pallet_count),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8.4.3 Non-Uniform Layer Stacking</w:t>
      </w:r>
    </w:p>
    <w:p>
      <w:pPr>
        <w:keepNext/>
        <w:spacing w:before="140" w:after="60"/>
        <w:outlineLvl w:val="3"/>
      </w:pPr>
      <w:r>
        <w:rPr>
          <w:rFonts w:ascii="Arial" w:hAnsi="Arial" w:cs="Arial"/>
          <w:b/>
          <w:i/>
          <w:color w:val="333333"/>
          <w:sz w:val="22"/>
        </w:rPr>
        <w:t>8.4.3.1 Purpose &amp; Use Case</w:t>
      </w:r>
    </w:p>
    <w:p>
      <w:pPr>
        <w:spacing w:after="80" w:line="293" w:lineRule="auto"/>
        <w:jc w:val="left"/>
      </w:pPr>
      <w:r>
        <w:rPr>
          <w:rFonts w:ascii="Times New Roman" w:hAnsi="Times New Roman" w:cs="Times New Roman"/>
          <w:b w:val="0"/>
          <w:i w:val="0"/>
          <w:sz w:val="22"/>
        </w:rPr>
        <w:t>Real-world packing often requires different layer configurations on the same pallet. Examples: 11 layers of 10 cartons each (full layers) + 1 top layer with only 1 carton (because of height constraints or to accommodate an irregular top); base layers of 8 cartons (for stability) + top layers of 6 cartons (for product protection); mixed orientations (some layers rotated 90° for better fit). The system supports non-uniform layer stacking where the seller can define multiple layer patterns per pallet (or per commodity packing rule).</w:t>
      </w:r>
    </w:p>
    <w:p>
      <w:pPr>
        <w:keepNext/>
        <w:spacing w:before="140" w:after="60"/>
        <w:outlineLvl w:val="3"/>
      </w:pPr>
      <w:r>
        <w:rPr>
          <w:rFonts w:ascii="Arial" w:hAnsi="Arial" w:cs="Arial"/>
          <w:b/>
          <w:i/>
          <w:color w:val="333333"/>
          <w:sz w:val="22"/>
        </w:rPr>
        <w:t>8.4.3.2 Layer Pattern Interface</w:t>
      </w:r>
    </w:p>
    <w:p>
      <w:pPr>
        <w:spacing w:after="80" w:line="293" w:lineRule="auto"/>
        <w:jc w:val="left"/>
      </w:pPr>
      <w:r>
        <w:rPr>
          <w:rFonts w:ascii="Times New Roman" w:hAnsi="Times New Roman" w:cs="Times New Roman"/>
          <w:b w:val="0"/>
          <w:i w:val="0"/>
          <w:sz w:val="22"/>
        </w:rPr>
        <w:t>For each pallet (or for a commodity's packing rule), the seller can define multiple layer patterns:</w:t>
      </w:r>
    </w:p>
    <w:p>
      <w:pPr>
        <w:spacing w:after="0" w:before="0" w:line="240" w:lineRule="auto"/>
        <w:ind w:left="57"/>
        <w:jc w:val="left"/>
        <w:shd w:val="clear" w:fill="F2F2F2"/>
      </w:pPr>
      <w:r>
        <w:rPr>
          <w:rFonts w:ascii="Consolas" w:hAnsi="Consolas" w:cs="Consolas"/>
          <w:b w:val="0"/>
          <w:i w:val="0"/>
          <w:sz w:val="15"/>
        </w:rPr>
        <w:t>PALLET LAYER CONFIGURATION — Valencia Oranges (HS 0805.10)</w:t>
      </w:r>
    </w:p>
    <w:p>
      <w:pPr>
        <w:spacing w:after="0" w:before="0" w:line="240" w:lineRule="auto"/>
        <w:ind w:left="57"/>
        <w:jc w:val="left"/>
        <w:shd w:val="clear" w:fill="F2F2F2"/>
      </w:pPr>
      <w:r>
        <w:rPr>
          <w:rFonts w:ascii="Consolas" w:hAnsi="Consolas" w:cs="Consolas"/>
          <w:b w:val="0"/>
          <w:i w:val="0"/>
          <w:sz w:val="15"/>
        </w:rPr>
        <w:t>Carton dimensions: 400×300×200 mm</w:t>
      </w:r>
    </w:p>
    <w:p>
      <w:pPr>
        <w:spacing w:after="0" w:before="0" w:line="240" w:lineRule="auto"/>
        <w:ind w:left="57"/>
        <w:jc w:val="left"/>
        <w:shd w:val="clear" w:fill="F2F2F2"/>
      </w:pPr>
      <w:r>
        <w:rPr>
          <w:rFonts w:ascii="Consolas" w:hAnsi="Consolas" w:cs="Consolas"/>
          <w:b w:val="0"/>
          <w:i w:val="0"/>
          <w:sz w:val="15"/>
        </w:rPr>
        <w:t>Pallet: EUR (800×1200 mm) — max stacking height 1600 mm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Layer patterns:</w:t>
      </w:r>
    </w:p>
    <w:p>
      <w:pPr>
        <w:spacing w:after="0" w:before="0" w:line="240" w:lineRule="auto"/>
        <w:ind w:left="57"/>
        <w:jc w:val="left"/>
        <w:shd w:val="clear" w:fill="F2F2F2"/>
      </w:pPr>
      <w:r>
        <w:rPr>
          <w:rFonts w:ascii="Consolas" w:hAnsi="Consolas" w:cs="Consolas"/>
          <w:b w:val="0"/>
          <w:i w:val="0"/>
          <w:sz w:val="15"/>
        </w:rPr>
        <w:t xml:space="preserve">  Layer pattern 1 — Base layers</w:t>
      </w:r>
    </w:p>
    <w:p>
      <w:pPr>
        <w:spacing w:after="0" w:before="0" w:line="240" w:lineRule="auto"/>
        <w:ind w:left="57"/>
        <w:jc w:val="left"/>
        <w:shd w:val="clear" w:fill="F2F2F2"/>
      </w:pPr>
      <w:r>
        <w:rPr>
          <w:rFonts w:ascii="Consolas" w:hAnsi="Consolas" w:cs="Consolas"/>
          <w:b w:val="0"/>
          <w:i w:val="0"/>
          <w:sz w:val="15"/>
        </w:rPr>
        <w:t xml:space="preserve">    Cartons per layer: 10 (2 wide × 5 deep)</w:t>
      </w:r>
    </w:p>
    <w:p>
      <w:pPr>
        <w:spacing w:after="0" w:before="0" w:line="240" w:lineRule="auto"/>
        <w:ind w:left="57"/>
        <w:jc w:val="left"/>
        <w:shd w:val="clear" w:fill="F2F2F2"/>
      </w:pPr>
      <w:r>
        <w:rPr>
          <w:rFonts w:ascii="Consolas" w:hAnsi="Consolas" w:cs="Consolas"/>
          <w:b w:val="0"/>
          <w:i w:val="0"/>
          <w:sz w:val="15"/>
        </w:rPr>
        <w:t xml:space="preserve">    Number of layers of this pattern: 11</w:t>
      </w:r>
    </w:p>
    <w:p>
      <w:pPr>
        <w:spacing w:after="0" w:before="0" w:line="240" w:lineRule="auto"/>
        <w:ind w:left="57"/>
        <w:jc w:val="left"/>
        <w:shd w:val="clear" w:fill="F2F2F2"/>
      </w:pPr>
      <w:r>
        <w:rPr>
          <w:rFonts w:ascii="Consolas" w:hAnsi="Consolas" w:cs="Consolas"/>
          <w:b w:val="0"/>
          <w:i w:val="0"/>
          <w:sz w:val="15"/>
        </w:rPr>
        <w:t xml:space="preserve">    Layer height (override): 200 mm (or auto from carton height)</w:t>
      </w:r>
    </w:p>
    <w:p>
      <w:pPr>
        <w:spacing w:after="0" w:before="0" w:line="240" w:lineRule="auto"/>
        <w:ind w:left="57"/>
        <w:jc w:val="left"/>
        <w:shd w:val="clear" w:fill="F2F2F2"/>
      </w:pPr>
      <w:r>
        <w:rPr>
          <w:rFonts w:ascii="Consolas" w:hAnsi="Consolas" w:cs="Consolas"/>
          <w:b w:val="0"/>
          <w:i w:val="0"/>
          <w:sz w:val="15"/>
        </w:rPr>
        <w:t xml:space="preserve">    Stacking orientation: Standard</w:t>
      </w:r>
    </w:p>
    <w:p>
      <w:pPr>
        <w:spacing w:after="0" w:before="0" w:line="240" w:lineRule="auto"/>
        <w:ind w:left="57"/>
        <w:jc w:val="left"/>
        <w:shd w:val="clear" w:fill="F2F2F2"/>
      </w:pPr>
      <w:r>
        <w:rPr>
          <w:rFonts w:ascii="Consolas" w:hAnsi="Consolas" w:cs="Consolas"/>
          <w:b w:val="0"/>
          <w:i w:val="0"/>
          <w:sz w:val="15"/>
        </w:rPr>
        <w:t xml:space="preserve">    [Remove]</w:t>
      </w:r>
    </w:p>
    <w:p>
      <w:pPr>
        <w:spacing w:after="0" w:before="0" w:line="240" w:lineRule="auto"/>
        <w:ind w:left="57"/>
        <w:jc w:val="left"/>
        <w:shd w:val="clear" w:fill="F2F2F2"/>
      </w:pPr>
      <w:r>
        <w:rPr>
          <w:rFonts w:ascii="Consolas" w:hAnsi="Consolas" w:cs="Consolas"/>
          <w:b w:val="0"/>
          <w:i w:val="0"/>
          <w:sz w:val="15"/>
        </w:rPr>
        <w:t xml:space="preserve">  Layer pattern 2 — Top layer</w:t>
      </w:r>
    </w:p>
    <w:p>
      <w:pPr>
        <w:spacing w:after="0" w:before="0" w:line="240" w:lineRule="auto"/>
        <w:ind w:left="57"/>
        <w:jc w:val="left"/>
        <w:shd w:val="clear" w:fill="F2F2F2"/>
      </w:pPr>
      <w:r>
        <w:rPr>
          <w:rFonts w:ascii="Consolas" w:hAnsi="Consolas" w:cs="Consolas"/>
          <w:b w:val="0"/>
          <w:i w:val="0"/>
          <w:sz w:val="15"/>
        </w:rPr>
        <w:t xml:space="preserve">    Cartons per layer: 1</w:t>
      </w:r>
    </w:p>
    <w:p>
      <w:pPr>
        <w:spacing w:after="0" w:before="0" w:line="240" w:lineRule="auto"/>
        <w:ind w:left="57"/>
        <w:jc w:val="left"/>
        <w:shd w:val="clear" w:fill="F2F2F2"/>
      </w:pPr>
      <w:r>
        <w:rPr>
          <w:rFonts w:ascii="Consolas" w:hAnsi="Consolas" w:cs="Consolas"/>
          <w:b w:val="0"/>
          <w:i w:val="0"/>
          <w:sz w:val="15"/>
        </w:rPr>
        <w:t xml:space="preserve">    Number of layers of this pattern: 1</w:t>
      </w:r>
    </w:p>
    <w:p>
      <w:pPr>
        <w:spacing w:after="0" w:before="0" w:line="240" w:lineRule="auto"/>
        <w:ind w:left="57"/>
        <w:jc w:val="left"/>
        <w:shd w:val="clear" w:fill="F2F2F2"/>
      </w:pPr>
      <w:r>
        <w:rPr>
          <w:rFonts w:ascii="Consolas" w:hAnsi="Consolas" w:cs="Consolas"/>
          <w:b w:val="0"/>
          <w:i w:val="0"/>
          <w:sz w:val="15"/>
        </w:rPr>
        <w:t xml:space="preserve">    Layer height (override): 200 mm</w:t>
      </w:r>
    </w:p>
    <w:p>
      <w:pPr>
        <w:spacing w:after="0" w:before="0" w:line="240" w:lineRule="auto"/>
        <w:ind w:left="57"/>
        <w:jc w:val="left"/>
        <w:shd w:val="clear" w:fill="F2F2F2"/>
      </w:pPr>
      <w:r>
        <w:rPr>
          <w:rFonts w:ascii="Consolas" w:hAnsi="Consolas" w:cs="Consolas"/>
          <w:b w:val="0"/>
          <w:i w:val="0"/>
          <w:sz w:val="15"/>
        </w:rPr>
        <w:t xml:space="preserve">    Stacking orientation: Centered (positions the single carton)</w:t>
      </w:r>
    </w:p>
    <w:p>
      <w:pPr>
        <w:spacing w:after="0" w:before="0" w:line="240" w:lineRule="auto"/>
        <w:ind w:left="57"/>
        <w:jc w:val="left"/>
        <w:shd w:val="clear" w:fill="F2F2F2"/>
      </w:pPr>
      <w:r>
        <w:rPr>
          <w:rFonts w:ascii="Consolas" w:hAnsi="Consolas" w:cs="Consolas"/>
          <w:b w:val="0"/>
          <w:i w:val="0"/>
          <w:sz w:val="15"/>
        </w:rPr>
        <w:t xml:space="preserve">    [Remove]</w:t>
      </w:r>
    </w:p>
    <w:p>
      <w:pPr>
        <w:spacing w:after="0" w:before="0" w:line="240" w:lineRule="auto"/>
        <w:ind w:left="57"/>
        <w:jc w:val="left"/>
        <w:shd w:val="clear" w:fill="F2F2F2"/>
      </w:pPr>
      <w:r>
        <w:rPr>
          <w:rFonts w:ascii="Consolas" w:hAnsi="Consolas" w:cs="Consolas"/>
          <w:b w:val="0"/>
          <w:i w:val="0"/>
          <w:sz w:val="15"/>
        </w:rPr>
        <w:t xml:space="preserve">  [+ Add another layer pattern]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Total layers: 12</w:t>
      </w:r>
    </w:p>
    <w:p>
      <w:pPr>
        <w:spacing w:after="0" w:before="0" w:line="240" w:lineRule="auto"/>
        <w:ind w:left="57"/>
        <w:jc w:val="left"/>
        <w:shd w:val="clear" w:fill="F2F2F2"/>
      </w:pPr>
      <w:r>
        <w:rPr>
          <w:rFonts w:ascii="Consolas" w:hAnsi="Consolas" w:cs="Consolas"/>
          <w:b w:val="0"/>
          <w:i w:val="0"/>
          <w:sz w:val="15"/>
        </w:rPr>
        <w:t>Total cartons per pallet: (11 × 10) + (1 × 1) = 111 cartons</w:t>
      </w:r>
    </w:p>
    <w:p>
      <w:pPr>
        <w:spacing w:after="0" w:before="0" w:line="240" w:lineRule="auto"/>
        <w:ind w:left="57"/>
        <w:jc w:val="left"/>
        <w:shd w:val="clear" w:fill="F2F2F2"/>
      </w:pPr>
      <w:r>
        <w:rPr>
          <w:rFonts w:ascii="Consolas" w:hAnsi="Consolas" w:cs="Consolas"/>
          <w:b w:val="0"/>
          <w:i w:val="0"/>
          <w:sz w:val="15"/>
        </w:rPr>
        <w:t>Estimated pallet height: 12 × 200 mm = 2400 mm → exceeds max 1600 mm!</w:t>
      </w:r>
    </w:p>
    <w:p>
      <w:pPr>
        <w:spacing w:after="0" w:before="0" w:line="240" w:lineRule="auto"/>
        <w:ind w:left="57"/>
        <w:jc w:val="left"/>
        <w:shd w:val="clear" w:fill="F2F2F2"/>
      </w:pPr>
      <w:r>
        <w:rPr>
          <w:rFonts w:ascii="Consolas" w:hAnsi="Consolas" w:cs="Consolas"/>
          <w:b w:val="0"/>
          <w:i w:val="0"/>
          <w:sz w:val="15"/>
        </w:rPr>
        <w:t>[Run Optimiser] [Save Configuration] [Reset to Defaults]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Orientation options: Standard, Cross-stacked, Rotated 90°, Centered.</w:t>
      </w:r>
    </w:p>
    <w:p>
      <w:pPr>
        <w:keepNext/>
        <w:spacing w:before="140" w:after="60"/>
        <w:outlineLvl w:val="3"/>
      </w:pPr>
      <w:r>
        <w:rPr>
          <w:rFonts w:ascii="Arial" w:hAnsi="Arial" w:cs="Arial"/>
          <w:b/>
          <w:i/>
          <w:color w:val="333333"/>
          <w:sz w:val="22"/>
        </w:rPr>
        <w:t>8.4.3.3 Calculation Logic</w:t>
      </w:r>
    </w:p>
    <w:p>
      <w:pPr>
        <w:spacing w:after="0" w:before="0" w:line="240" w:lineRule="auto"/>
        <w:ind w:left="57"/>
        <w:jc w:val="left"/>
        <w:shd w:val="clear" w:fill="F2F2F2"/>
      </w:pPr>
      <w:r>
        <w:rPr>
          <w:rFonts w:ascii="Consolas" w:hAnsi="Consolas" w:cs="Consolas"/>
          <w:b w:val="0"/>
          <w:i w:val="0"/>
          <w:sz w:val="15"/>
        </w:rPr>
        <w:t>Total Cartons per Pallet = Σ (Layers of Type × Cartons per Layer)</w:t>
      </w:r>
    </w:p>
    <w:p>
      <w:pPr>
        <w:spacing w:after="0" w:before="0" w:line="240" w:lineRule="auto"/>
        <w:ind w:left="57"/>
        <w:jc w:val="left"/>
        <w:shd w:val="clear" w:fill="F2F2F2"/>
      </w:pPr>
      <w:r>
        <w:rPr>
          <w:rFonts w:ascii="Consolas" w:hAnsi="Consolas" w:cs="Consolas"/>
          <w:b w:val="0"/>
          <w:i w:val="0"/>
          <w:sz w:val="15"/>
        </w:rPr>
        <w:t>Pallet Height            = Σ (Layers of Type × Layer Height) + Pallet Deck Height</w:t>
      </w:r>
    </w:p>
    <w:p>
      <w:pPr>
        <w:spacing w:after="0" w:before="0" w:line="240" w:lineRule="auto"/>
        <w:ind w:left="57"/>
        <w:jc w:val="left"/>
        <w:shd w:val="clear" w:fill="F2F2F2"/>
      </w:pPr>
      <w:r>
        <w:rPr>
          <w:rFonts w:ascii="Consolas" w:hAnsi="Consolas" w:cs="Consolas"/>
          <w:b w:val="0"/>
          <w:i w:val="0"/>
          <w:sz w:val="15"/>
        </w:rPr>
        <w:t>Pallet Weight            = Total Cartons × (Net Weight per Carton + Tare per Carton)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Example — Oranges:</w:t>
      </w:r>
    </w:p>
    <w:p>
      <w:pPr>
        <w:spacing w:after="0" w:before="0" w:line="240" w:lineRule="auto"/>
        <w:ind w:left="57"/>
        <w:jc w:val="left"/>
        <w:shd w:val="clear" w:fill="F2F2F2"/>
      </w:pPr>
      <w:r>
        <w:rPr>
          <w:rFonts w:ascii="Consolas" w:hAnsi="Consolas" w:cs="Consolas"/>
          <w:b w:val="0"/>
          <w:i w:val="0"/>
          <w:sz w:val="15"/>
        </w:rPr>
        <w:t>Layer Pattern 1: 11 layers × 10 cartons = 110 cartons</w:t>
      </w:r>
    </w:p>
    <w:p>
      <w:pPr>
        <w:spacing w:after="0" w:before="0" w:line="240" w:lineRule="auto"/>
        <w:ind w:left="57"/>
        <w:jc w:val="left"/>
        <w:shd w:val="clear" w:fill="F2F2F2"/>
      </w:pPr>
      <w:r>
        <w:rPr>
          <w:rFonts w:ascii="Consolas" w:hAnsi="Consolas" w:cs="Consolas"/>
          <w:b w:val="0"/>
          <w:i w:val="0"/>
          <w:sz w:val="15"/>
        </w:rPr>
        <w:t>Layer Pattern 2: 1 layer × 1 carton = 1 carton</w:t>
      </w:r>
    </w:p>
    <w:p>
      <w:pPr>
        <w:spacing w:after="0" w:before="0" w:line="240" w:lineRule="auto"/>
        <w:ind w:left="57"/>
        <w:jc w:val="left"/>
        <w:shd w:val="clear" w:fill="F2F2F2"/>
      </w:pPr>
      <w:r>
        <w:rPr>
          <w:rFonts w:ascii="Consolas" w:hAnsi="Consolas" w:cs="Consolas"/>
          <w:b w:val="0"/>
          <w:i w:val="0"/>
          <w:sz w:val="15"/>
        </w:rPr>
        <w:t>Total Cartons = 110 + 1 = 111 cartons</w:t>
      </w:r>
    </w:p>
    <w:p>
      <w:pPr>
        <w:spacing w:after="0" w:before="0" w:line="240" w:lineRule="auto"/>
        <w:ind w:left="57"/>
        <w:jc w:val="left"/>
        <w:shd w:val="clear" w:fill="F2F2F2"/>
      </w:pPr>
      <w:r>
        <w:rPr>
          <w:rFonts w:ascii="Consolas" w:hAnsi="Consolas" w:cs="Consolas"/>
          <w:b w:val="0"/>
          <w:i w:val="0"/>
          <w:sz w:val="15"/>
        </w:rPr>
        <w:t>Pallet Height = (11 × 200) + (1 × 200) + 144 = 2400 + 144 = 2544 mm</w:t>
      </w:r>
    </w:p>
    <w:p>
      <w:pPr>
        <w:spacing w:after="0" w:before="0" w:line="240" w:lineRule="auto"/>
        <w:ind w:left="57"/>
        <w:jc w:val="left"/>
        <w:shd w:val="clear" w:fill="F2F2F2"/>
      </w:pPr>
      <w:r>
        <w:rPr>
          <w:rFonts w:ascii="Consolas" w:hAnsi="Consolas" w:cs="Consolas"/>
          <w:b w:val="0"/>
          <w:i w:val="0"/>
          <w:sz w:val="15"/>
        </w:rPr>
        <w:t>Pallet Weight = 111 × (10 + 0.5) = 111 × 10.5 = 1165.5 kg</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8.4.3.4 Validation Rules</w:t>
      </w:r>
    </w:p>
    <w:p>
      <w:pPr>
        <w:spacing w:after="80" w:line="293" w:lineRule="auto"/>
        <w:jc w:val="left"/>
      </w:pPr>
      <w:r>
        <w:rPr>
          <w:rFonts w:ascii="Times New Roman" w:hAnsi="Times New Roman" w:cs="Times New Roman"/>
          <w:b w:val="0"/>
          <w:i w:val="0"/>
          <w:sz w:val="22"/>
        </w:rPr>
        <w:t>Stacking height must not exceed the commodity-specific maximum. Example CONDITIONAL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packing plan exceeds the maximum stacking height for Oranges. Current height is 2,544 mm, but the maximum is 1,600 mm.",</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"stacking_height_exceeded",</w:t>
      </w:r>
    </w:p>
    <w:p>
      <w:pPr>
        <w:spacing w:after="0" w:before="0" w:line="240" w:lineRule="auto"/>
        <w:ind w:left="57"/>
        <w:jc w:val="left"/>
        <w:shd w:val="clear" w:fill="F2F2F2"/>
      </w:pPr>
      <w:r>
        <w:rPr>
          <w:rFonts w:ascii="Consolas" w:hAnsi="Consolas" w:cs="Consolas"/>
          <w:b w:val="0"/>
          <w:i w:val="0"/>
          <w:sz w:val="15"/>
        </w:rPr>
        <w:t xml:space="preserve">        "label": "Reduce layers or adjust layer heights",</w:t>
      </w:r>
    </w:p>
    <w:p>
      <w:pPr>
        <w:spacing w:after="0" w:before="0" w:line="240" w:lineRule="auto"/>
        <w:ind w:left="57"/>
        <w:jc w:val="left"/>
        <w:shd w:val="clear" w:fill="F2F2F2"/>
      </w:pPr>
      <w:r>
        <w:rPr>
          <w:rFonts w:ascii="Consolas" w:hAnsi="Consolas" w:cs="Consolas"/>
          <w:b w:val="0"/>
          <w:i w:val="0"/>
          <w:sz w:val="15"/>
        </w:rPr>
        <w:t xml:space="preserve">        "action_url": "/v1/packing/layer-pattern?trade_id=..."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8.4.4 Transport Mode-Aware Loading</w:t>
      </w:r>
    </w:p>
    <w:p>
      <w:pPr>
        <w:keepNext/>
        <w:spacing w:before="140" w:after="60"/>
        <w:outlineLvl w:val="3"/>
      </w:pPr>
      <w:r>
        <w:rPr>
          <w:rFonts w:ascii="Arial" w:hAnsi="Arial" w:cs="Arial"/>
          <w:b/>
          <w:i/>
          <w:color w:val="333333"/>
          <w:sz w:val="22"/>
        </w:rPr>
        <w:t>8.4.4.1 Ocean — Container Loading</w:t>
      </w:r>
    </w:p>
    <w:p>
      <w:pPr>
        <w:spacing w:after="80" w:line="293" w:lineRule="auto"/>
        <w:jc w:val="left"/>
      </w:pPr>
      <w:r>
        <w:rPr>
          <w:rFonts w:ascii="Times New Roman" w:hAnsi="Times New Roman" w:cs="Times New Roman"/>
          <w:b w:val="0"/>
          <w:i w:val="0"/>
          <w:sz w:val="22"/>
        </w:rPr>
        <w:t>The ocean loading plan displays the pallet grid per container with loaded and empty positions, totals, utilisation, and weight. Example — 40ft Reefer with 22 loaded pallets, utilisation 92%, weight 15,784.8 kg, with actions 3D View, 2D Plan, Export Plan, Print Plan.</w:t>
      </w:r>
    </w:p>
    <w:p>
      <w:pPr>
        <w:keepNext/>
        <w:spacing w:before="140" w:after="60"/>
        <w:outlineLvl w:val="3"/>
      </w:pPr>
      <w:r>
        <w:rPr>
          <w:rFonts w:ascii="Arial" w:hAnsi="Arial" w:cs="Arial"/>
          <w:b/>
          <w:i/>
          <w:color w:val="333333"/>
          <w:sz w:val="22"/>
        </w:rPr>
        <w:t>8.4.4.2 Air — ULD Loading</w:t>
      </w:r>
    </w:p>
    <w:p>
      <w:pPr>
        <w:spacing w:after="80" w:line="293" w:lineRule="auto"/>
        <w:jc w:val="left"/>
      </w:pPr>
      <w:r>
        <w:rPr>
          <w:rFonts w:ascii="Times New Roman" w:hAnsi="Times New Roman" w:cs="Times New Roman"/>
          <w:b w:val="0"/>
          <w:i w:val="0"/>
          <w:sz w:val="22"/>
        </w:rPr>
        <w:t>Air freight typically uses ULDs (Unit Load Devices), not pallets. Cartons are loaded directly into ULDs. Example — LD6 container with 132 loaded cartons, utilisation 89%, weight 1,386 kg.</w:t>
      </w:r>
    </w:p>
    <w:p>
      <w:pPr>
        <w:keepNext/>
        <w:spacing w:before="140" w:after="60"/>
        <w:outlineLvl w:val="3"/>
      </w:pPr>
      <w:r>
        <w:rPr>
          <w:rFonts w:ascii="Arial" w:hAnsi="Arial" w:cs="Arial"/>
          <w:b/>
          <w:i/>
          <w:color w:val="333333"/>
          <w:sz w:val="22"/>
        </w:rPr>
        <w:t>8.4.4.3 Rail — Wagon Loading</w:t>
      </w:r>
    </w:p>
    <w:p>
      <w:pPr>
        <w:spacing w:after="80" w:line="293" w:lineRule="auto"/>
        <w:jc w:val="left"/>
      </w:pPr>
      <w:r>
        <w:rPr>
          <w:rFonts w:ascii="Times New Roman" w:hAnsi="Times New Roman" w:cs="Times New Roman"/>
          <w:b w:val="0"/>
          <w:i w:val="0"/>
          <w:sz w:val="22"/>
        </w:rPr>
        <w:t>Rail loading plans apply the same solver logic to box wagons and reefer wagons with their 60,000 kg payload limits and wagon-internal dimensions.</w:t>
      </w:r>
    </w:p>
    <w:p>
      <w:pPr>
        <w:keepNext/>
        <w:spacing w:before="140" w:after="60"/>
        <w:outlineLvl w:val="3"/>
      </w:pPr>
      <w:r>
        <w:rPr>
          <w:rFonts w:ascii="Arial" w:hAnsi="Arial" w:cs="Arial"/>
          <w:b/>
          <w:i/>
          <w:color w:val="333333"/>
          <w:sz w:val="22"/>
        </w:rPr>
        <w:t>8.4.4.4 Truck — Trailer Loading</w:t>
      </w:r>
    </w:p>
    <w:p>
      <w:pPr>
        <w:spacing w:after="80" w:line="293" w:lineRule="auto"/>
        <w:jc w:val="left"/>
      </w:pPr>
      <w:r>
        <w:rPr>
          <w:rFonts w:ascii="Times New Roman" w:hAnsi="Times New Roman" w:cs="Times New Roman"/>
          <w:b w:val="0"/>
          <w:i w:val="0"/>
          <w:sz w:val="22"/>
        </w:rPr>
        <w:t>Truck trailer loading plans apply the solver logic to dry vans, truck reefers, flatbeds, and tanks with their respective payload limits.</w:t>
      </w:r>
    </w:p>
    <w:p>
      <w:pPr>
        <w:keepNext/>
        <w:spacing w:before="180" w:after="80"/>
        <w:outlineLvl w:val="2"/>
      </w:pPr>
      <w:r>
        <w:rPr>
          <w:rFonts w:ascii="Arial" w:hAnsi="Arial" w:cs="Arial"/>
          <w:b/>
          <w:i w:val="0"/>
          <w:color w:val="333333"/>
          <w:sz w:val="23"/>
        </w:rPr>
        <w:t>8.4.5 Visualisation &amp; Collaboration Support</w:t>
      </w:r>
    </w:p>
    <w:p>
      <w:pPr>
        <w:spacing w:after="80" w:line="293" w:lineRule="auto"/>
        <w:jc w:val="left"/>
      </w:pPr>
      <w:r>
        <w:rPr>
          <w:rFonts w:ascii="Times New Roman" w:hAnsi="Times New Roman" w:cs="Times New Roman"/>
          <w:b w:val="0"/>
          <w:i w:val="0"/>
          <w:sz w:val="22"/>
        </w:rPr>
        <w:t>The solver results render in the 3D container viewer with capacity heatmap (Section 8.7) and are editable collaboratively in the packing plan editor (Section 8.6). Solver output drives the packing list (Section 8.5) and the lock/barcode workflow (Section 8.13).</w:t>
      </w:r>
    </w:p>
    <w:p>
      <w:pPr>
        <w:keepNext/>
        <w:spacing w:before="180" w:after="80"/>
        <w:outlineLvl w:val="2"/>
      </w:pPr>
      <w:r>
        <w:rPr>
          <w:rFonts w:ascii="Arial" w:hAnsi="Arial" w:cs="Arial"/>
          <w:b/>
          <w:i w:val="0"/>
          <w:color w:val="333333"/>
          <w:sz w:val="23"/>
        </w:rPr>
        <w:t>8.4.6 AI Loading Guide Generation (A1, Groq)</w:t>
      </w:r>
    </w:p>
    <w:p>
      <w:pPr>
        <w:keepNext/>
        <w:spacing w:before="140" w:after="60"/>
        <w:outlineLvl w:val="3"/>
      </w:pPr>
      <w:r>
        <w:rPr>
          <w:rFonts w:ascii="Arial" w:hAnsi="Arial" w:cs="Arial"/>
          <w:b/>
          <w:i/>
          <w:color w:val="333333"/>
          <w:sz w:val="22"/>
        </w:rPr>
        <w:t>8.4.6.1 Purpose</w:t>
      </w:r>
    </w:p>
    <w:p>
      <w:pPr>
        <w:spacing w:after="80" w:line="293" w:lineRule="auto"/>
        <w:jc w:val="left"/>
      </w:pPr>
      <w:r>
        <w:rPr>
          <w:rFonts w:ascii="Times New Roman" w:hAnsi="Times New Roman" w:cs="Times New Roman"/>
          <w:b w:val="0"/>
          <w:i w:val="0"/>
          <w:sz w:val="22"/>
        </w:rPr>
        <w:t>After the packing plan is locked (or before, as an advisory), Groq generates step-by-step loading instructions that include layer-by-layer details.</w:t>
      </w:r>
    </w:p>
    <w:p>
      <w:pPr>
        <w:keepNext/>
        <w:spacing w:before="140" w:after="60"/>
        <w:outlineLvl w:val="3"/>
      </w:pPr>
      <w:r>
        <w:rPr>
          <w:rFonts w:ascii="Arial" w:hAnsi="Arial" w:cs="Arial"/>
          <w:b/>
          <w:i/>
          <w:color w:val="333333"/>
          <w:sz w:val="22"/>
        </w:rPr>
        <w:t>8.4.6.2 Generation Prompt</w:t>
      </w:r>
    </w:p>
    <w:p>
      <w:pPr>
        <w:spacing w:after="0" w:before="0" w:line="240" w:lineRule="auto"/>
        <w:ind w:left="57"/>
        <w:jc w:val="left"/>
        <w:shd w:val="clear" w:fill="F2F2F2"/>
      </w:pPr>
      <w:r>
        <w:rPr>
          <w:rFonts w:ascii="Consolas" w:hAnsi="Consolas" w:cs="Consolas"/>
          <w:b w:val="0"/>
          <w:i w:val="0"/>
          <w:sz w:val="15"/>
        </w:rPr>
        <w:t>Generate step-by-step loading instructions for the following packing plan:</w:t>
      </w:r>
    </w:p>
    <w:p>
      <w:pPr>
        <w:spacing w:after="0" w:before="0" w:line="240" w:lineRule="auto"/>
        <w:ind w:left="57"/>
        <w:jc w:val="left"/>
        <w:shd w:val="clear" w:fill="F2F2F2"/>
      </w:pPr>
      <w:r>
        <w:rPr>
          <w:rFonts w:ascii="Consolas" w:hAnsi="Consolas" w:cs="Consolas"/>
          <w:b w:val="0"/>
          <w:i w:val="0"/>
          <w:sz w:val="15"/>
        </w:rPr>
        <w:t>Product: {product_name}</w:t>
      </w:r>
    </w:p>
    <w:p>
      <w:pPr>
        <w:spacing w:after="0" w:before="0" w:line="240" w:lineRule="auto"/>
        <w:ind w:left="57"/>
        <w:jc w:val="left"/>
        <w:shd w:val="clear" w:fill="F2F2F2"/>
      </w:pPr>
      <w:r>
        <w:rPr>
          <w:rFonts w:ascii="Consolas" w:hAnsi="Consolas" w:cs="Consolas"/>
          <w:b w:val="0"/>
          <w:i w:val="0"/>
          <w:sz w:val="15"/>
        </w:rPr>
        <w:t>HS Code: {hs_code}</w:t>
      </w:r>
    </w:p>
    <w:p>
      <w:pPr>
        <w:spacing w:after="0" w:before="0" w:line="240" w:lineRule="auto"/>
        <w:ind w:left="57"/>
        <w:jc w:val="left"/>
        <w:shd w:val="clear" w:fill="F2F2F2"/>
      </w:pPr>
      <w:r>
        <w:rPr>
          <w:rFonts w:ascii="Consolas" w:hAnsi="Consolas" w:cs="Consolas"/>
          <w:b w:val="0"/>
          <w:i w:val="0"/>
          <w:sz w:val="15"/>
        </w:rPr>
        <w:t>Container: {container_type}</w:t>
      </w:r>
    </w:p>
    <w:p>
      <w:pPr>
        <w:spacing w:after="0" w:before="0" w:line="240" w:lineRule="auto"/>
        <w:ind w:left="57"/>
        <w:jc w:val="left"/>
        <w:shd w:val="clear" w:fill="F2F2F2"/>
      </w:pPr>
      <w:r>
        <w:rPr>
          <w:rFonts w:ascii="Consolas" w:hAnsi="Consolas" w:cs="Consolas"/>
          <w:b w:val="0"/>
          <w:i w:val="0"/>
          <w:sz w:val="15"/>
        </w:rPr>
        <w:t>Pallet Type: {pallet_type}</w:t>
      </w:r>
    </w:p>
    <w:p>
      <w:pPr>
        <w:spacing w:after="0" w:before="0" w:line="240" w:lineRule="auto"/>
        <w:ind w:left="57"/>
        <w:jc w:val="left"/>
        <w:shd w:val="clear" w:fill="F2F2F2"/>
      </w:pPr>
      <w:r>
        <w:rPr>
          <w:rFonts w:ascii="Consolas" w:hAnsi="Consolas" w:cs="Consolas"/>
          <w:b w:val="0"/>
          <w:i w:val="0"/>
          <w:sz w:val="15"/>
        </w:rPr>
        <w:t>Total Pallets: {total_pallets}</w:t>
      </w:r>
    </w:p>
    <w:p>
      <w:pPr>
        <w:spacing w:after="0" w:before="0" w:line="240" w:lineRule="auto"/>
        <w:ind w:left="57"/>
        <w:jc w:val="left"/>
        <w:shd w:val="clear" w:fill="F2F2F2"/>
      </w:pPr>
      <w:r>
        <w:rPr>
          <w:rFonts w:ascii="Consolas" w:hAnsi="Consolas" w:cs="Consolas"/>
          <w:b w:val="0"/>
          <w:i w:val="0"/>
          <w:sz w:val="15"/>
        </w:rPr>
        <w:t>Layer Patterns: {layer_patterns}</w:t>
      </w:r>
    </w:p>
    <w:p>
      <w:pPr>
        <w:spacing w:after="0" w:before="0" w:line="240" w:lineRule="auto"/>
        <w:ind w:left="57"/>
        <w:jc w:val="left"/>
        <w:shd w:val="clear" w:fill="F2F2F2"/>
      </w:pPr>
      <w:r>
        <w:rPr>
          <w:rFonts w:ascii="Consolas" w:hAnsi="Consolas" w:cs="Consolas"/>
          <w:b w:val="0"/>
          <w:i w:val="0"/>
          <w:sz w:val="15"/>
        </w:rPr>
        <w:t>Special Instructions: {special_trade_instructions}</w:t>
      </w:r>
    </w:p>
    <w:p>
      <w:pPr>
        <w:spacing w:after="0" w:before="0" w:line="240" w:lineRule="auto"/>
        <w:ind w:left="57"/>
        <w:jc w:val="left"/>
        <w:shd w:val="clear" w:fill="F2F2F2"/>
      </w:pPr>
      <w:r>
        <w:rPr>
          <w:rFonts w:ascii="Consolas" w:hAnsi="Consolas" w:cs="Consolas"/>
          <w:b w:val="0"/>
          <w:i w:val="0"/>
          <w:sz w:val="15"/>
        </w:rPr>
        <w:t>Generate:</w:t>
      </w:r>
    </w:p>
    <w:p>
      <w:pPr>
        <w:spacing w:after="0" w:before="0" w:line="240" w:lineRule="auto"/>
        <w:ind w:left="57"/>
        <w:jc w:val="left"/>
        <w:shd w:val="clear" w:fill="F2F2F2"/>
      </w:pPr>
      <w:r>
        <w:rPr>
          <w:rFonts w:ascii="Consolas" w:hAnsi="Consolas" w:cs="Consolas"/>
          <w:b w:val="0"/>
          <w:i w:val="0"/>
          <w:sz w:val="15"/>
        </w:rPr>
        <w:t>1. Pre-loading checklist</w:t>
      </w:r>
    </w:p>
    <w:p>
      <w:pPr>
        <w:spacing w:after="0" w:before="0" w:line="240" w:lineRule="auto"/>
        <w:ind w:left="57"/>
        <w:jc w:val="left"/>
        <w:shd w:val="clear" w:fill="F2F2F2"/>
      </w:pPr>
      <w:r>
        <w:rPr>
          <w:rFonts w:ascii="Consolas" w:hAnsi="Consolas" w:cs="Consolas"/>
          <w:b w:val="0"/>
          <w:i w:val="0"/>
          <w:sz w:val="15"/>
        </w:rPr>
        <w:t>2. Step-by-step loading sequence</w:t>
      </w:r>
    </w:p>
    <w:p>
      <w:pPr>
        <w:spacing w:after="0" w:before="0" w:line="240" w:lineRule="auto"/>
        <w:ind w:left="57"/>
        <w:jc w:val="left"/>
        <w:shd w:val="clear" w:fill="F2F2F2"/>
      </w:pPr>
      <w:r>
        <w:rPr>
          <w:rFonts w:ascii="Consolas" w:hAnsi="Consolas" w:cs="Consolas"/>
          <w:b w:val="0"/>
          <w:i w:val="0"/>
          <w:sz w:val="15"/>
        </w:rPr>
        <w:t>3. Layer-by-layer instructions (including non-uniform stacks)</w:t>
      </w:r>
    </w:p>
    <w:p>
      <w:pPr>
        <w:spacing w:after="0" w:before="0" w:line="240" w:lineRule="auto"/>
        <w:ind w:left="57"/>
        <w:jc w:val="left"/>
        <w:shd w:val="clear" w:fill="F2F2F2"/>
      </w:pPr>
      <w:r>
        <w:rPr>
          <w:rFonts w:ascii="Consolas" w:hAnsi="Consolas" w:cs="Consolas"/>
          <w:b w:val="0"/>
          <w:i w:val="0"/>
          <w:sz w:val="15"/>
        </w:rPr>
        <w:t>4. Safety notes</w:t>
      </w:r>
    </w:p>
    <w:p>
      <w:pPr>
        <w:spacing w:after="0" w:before="0" w:line="240" w:lineRule="auto"/>
        <w:ind w:left="57"/>
        <w:jc w:val="left"/>
        <w:shd w:val="clear" w:fill="F2F2F2"/>
      </w:pPr>
      <w:r>
        <w:rPr>
          <w:rFonts w:ascii="Consolas" w:hAnsi="Consolas" w:cs="Consolas"/>
          <w:b w:val="0"/>
          <w:i w:val="0"/>
          <w:sz w:val="15"/>
        </w:rPr>
        <w:t>5. Post-loading checklist</w:t>
      </w:r>
    </w:p>
    <w:p>
      <w:pPr>
        <w:spacing w:after="0" w:before="0" w:line="240" w:lineRule="auto"/>
        <w:ind w:left="57"/>
        <w:jc w:val="left"/>
        <w:shd w:val="clear" w:fill="F2F2F2"/>
      </w:pPr>
      <w:r>
        <w:rPr>
          <w:rFonts w:ascii="Consolas" w:hAnsi="Consolas" w:cs="Consolas"/>
          <w:b w:val="0"/>
          <w:i w:val="0"/>
          <w:sz w:val="15"/>
        </w:rPr>
        <w:t>Use plain language. Be specific. Include any special handling requirements.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8.4.6.3 Example Output</w:t>
      </w:r>
    </w:p>
    <w:p>
      <w:pPr>
        <w:spacing w:after="0" w:before="0" w:line="240" w:lineRule="auto"/>
        <w:ind w:left="57"/>
        <w:jc w:val="left"/>
        <w:shd w:val="clear" w:fill="F2F2F2"/>
      </w:pPr>
      <w:r>
        <w:rPr>
          <w:rFonts w:ascii="Consolas" w:hAnsi="Consolas" w:cs="Consolas"/>
          <w:b w:val="0"/>
          <w:i w:val="0"/>
          <w:sz w:val="15"/>
        </w:rPr>
        <w:t>LOADING GUIDE — SGTX-EG-26-F3A-1</w:t>
      </w:r>
    </w:p>
    <w:p>
      <w:pPr>
        <w:spacing w:after="0" w:before="0" w:line="240" w:lineRule="auto"/>
        <w:ind w:left="57"/>
        <w:jc w:val="left"/>
        <w:shd w:val="clear" w:fill="F2F2F2"/>
      </w:pPr>
      <w:r>
        <w:rPr>
          <w:rFonts w:ascii="Consolas" w:hAnsi="Consolas" w:cs="Consolas"/>
          <w:b w:val="0"/>
          <w:i w:val="0"/>
          <w:sz w:val="15"/>
        </w:rPr>
        <w:t>Container: MEDU1234567 (40ft Reefer)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PRE-LOADING CHECKLIST</w:t>
      </w:r>
    </w:p>
    <w:p>
      <w:pPr>
        <w:spacing w:after="0" w:before="0" w:line="240" w:lineRule="auto"/>
        <w:ind w:left="57"/>
        <w:jc w:val="left"/>
        <w:shd w:val="clear" w:fill="F2F2F2"/>
      </w:pPr>
      <w:r>
        <w:rPr>
          <w:rFonts w:ascii="Consolas" w:hAnsi="Consolas" w:cs="Consolas"/>
          <w:b w:val="0"/>
          <w:i w:val="0"/>
          <w:sz w:val="15"/>
        </w:rPr>
        <w:t xml:space="preserve">  - Pre-cool container to −18 °C for at least 2 hours before loading</w:t>
      </w:r>
    </w:p>
    <w:p>
      <w:pPr>
        <w:spacing w:after="0" w:before="0" w:line="240" w:lineRule="auto"/>
        <w:ind w:left="57"/>
        <w:jc w:val="left"/>
        <w:shd w:val="clear" w:fill="F2F2F2"/>
      </w:pPr>
      <w:r>
        <w:rPr>
          <w:rFonts w:ascii="Consolas" w:hAnsi="Consolas" w:cs="Consolas"/>
          <w:b w:val="0"/>
          <w:i w:val="0"/>
          <w:sz w:val="15"/>
        </w:rPr>
        <w:t xml:space="preserve">  - Verify pallet weights match packing list (tolerance ±5%)</w:t>
      </w:r>
    </w:p>
    <w:p>
      <w:pPr>
        <w:spacing w:after="0" w:before="0" w:line="240" w:lineRule="auto"/>
        <w:ind w:left="57"/>
        <w:jc w:val="left"/>
        <w:shd w:val="clear" w:fill="F2F2F2"/>
      </w:pPr>
      <w:r>
        <w:rPr>
          <w:rFonts w:ascii="Consolas" w:hAnsi="Consolas" w:cs="Consolas"/>
          <w:b w:val="0"/>
          <w:i w:val="0"/>
          <w:sz w:val="15"/>
        </w:rPr>
        <w:t xml:space="preserve">  - Check that all pallets have valid SSCC barcodes</w:t>
      </w:r>
    </w:p>
    <w:p>
      <w:pPr>
        <w:spacing w:after="0" w:before="0" w:line="240" w:lineRule="auto"/>
        <w:ind w:left="57"/>
        <w:jc w:val="left"/>
        <w:shd w:val="clear" w:fill="F2F2F2"/>
      </w:pPr>
      <w:r>
        <w:rPr>
          <w:rFonts w:ascii="Consolas" w:hAnsi="Consolas" w:cs="Consolas"/>
          <w:b w:val="0"/>
          <w:i w:val="0"/>
          <w:sz w:val="15"/>
        </w:rPr>
        <w:t xml:space="preserve">  - Verify cold treatment certificate is available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LOADING SEQUENCE</w:t>
      </w:r>
    </w:p>
    <w:p>
      <w:pPr>
        <w:spacing w:after="0" w:before="0" w:line="240" w:lineRule="auto"/>
        <w:ind w:left="57"/>
        <w:jc w:val="left"/>
        <w:shd w:val="clear" w:fill="F2F2F2"/>
      </w:pPr>
      <w:r>
        <w:rPr>
          <w:rFonts w:ascii="Consolas" w:hAnsi="Consolas" w:cs="Consolas"/>
          <w:b w:val="0"/>
          <w:i w:val="0"/>
          <w:sz w:val="15"/>
        </w:rPr>
        <w:t xml:space="preserve">  Step 1: Load pallets OR001–OR011 (Oranges — 11 layers × 10 cartons)</w:t>
      </w:r>
    </w:p>
    <w:p>
      <w:pPr>
        <w:spacing w:after="0" w:before="0" w:line="240" w:lineRule="auto"/>
        <w:ind w:left="57"/>
        <w:jc w:val="left"/>
        <w:shd w:val="clear" w:fill="F2F2F2"/>
      </w:pPr>
      <w:r>
        <w:rPr>
          <w:rFonts w:ascii="Consolas" w:hAnsi="Consolas" w:cs="Consolas"/>
          <w:b w:val="0"/>
          <w:i w:val="0"/>
          <w:sz w:val="15"/>
        </w:rPr>
        <w:t xml:space="preserve">    Position: front of container, rows 1–11</w:t>
      </w:r>
    </w:p>
    <w:p>
      <w:pPr>
        <w:spacing w:after="0" w:before="0" w:line="240" w:lineRule="auto"/>
        <w:ind w:left="57"/>
        <w:jc w:val="left"/>
        <w:shd w:val="clear" w:fill="F2F2F2"/>
      </w:pPr>
      <w:r>
        <w:rPr>
          <w:rFonts w:ascii="Consolas" w:hAnsi="Consolas" w:cs="Consolas"/>
          <w:b w:val="0"/>
          <w:i w:val="0"/>
          <w:sz w:val="15"/>
        </w:rPr>
        <w:t xml:space="preserve">    Orientation: Standard (2 wide × 5 deep)</w:t>
      </w:r>
    </w:p>
    <w:p>
      <w:pPr>
        <w:spacing w:after="0" w:before="0" w:line="240" w:lineRule="auto"/>
        <w:ind w:left="57"/>
        <w:jc w:val="left"/>
        <w:shd w:val="clear" w:fill="F2F2F2"/>
      </w:pPr>
      <w:r>
        <w:rPr>
          <w:rFonts w:ascii="Consolas" w:hAnsi="Consolas" w:cs="Consolas"/>
          <w:b w:val="0"/>
          <w:i w:val="0"/>
          <w:sz w:val="15"/>
        </w:rPr>
        <w:t xml:space="preserve">  Step 2: Load pallets OR012–OR022 (Oranges — 11 layers × 10 + 1 layer × 1)</w:t>
      </w:r>
    </w:p>
    <w:p>
      <w:pPr>
        <w:spacing w:after="0" w:before="0" w:line="240" w:lineRule="auto"/>
        <w:ind w:left="57"/>
        <w:jc w:val="left"/>
        <w:shd w:val="clear" w:fill="F2F2F2"/>
      </w:pPr>
      <w:r>
        <w:rPr>
          <w:rFonts w:ascii="Consolas" w:hAnsi="Consolas" w:cs="Consolas"/>
          <w:b w:val="0"/>
          <w:i w:val="0"/>
          <w:sz w:val="15"/>
        </w:rPr>
        <w:t xml:space="preserve">    Position: rear of container, rows 12–22</w:t>
      </w:r>
    </w:p>
    <w:p>
      <w:pPr>
        <w:spacing w:after="0" w:before="0" w:line="240" w:lineRule="auto"/>
        <w:ind w:left="57"/>
        <w:jc w:val="left"/>
        <w:shd w:val="clear" w:fill="F2F2F2"/>
      </w:pPr>
      <w:r>
        <w:rPr>
          <w:rFonts w:ascii="Consolas" w:hAnsi="Consolas" w:cs="Consolas"/>
          <w:b w:val="0"/>
          <w:i w:val="0"/>
          <w:sz w:val="15"/>
        </w:rPr>
        <w:t xml:space="preserve">    Orientation: Standard (2 wide × 5 deep) + Centered (1 carton top)</w:t>
      </w:r>
    </w:p>
    <w:p>
      <w:pPr>
        <w:spacing w:after="0" w:before="0" w:line="240" w:lineRule="auto"/>
        <w:ind w:left="57"/>
        <w:jc w:val="left"/>
        <w:shd w:val="clear" w:fill="F2F2F2"/>
      </w:pPr>
      <w:r>
        <w:rPr>
          <w:rFonts w:ascii="Consolas" w:hAnsi="Consolas" w:cs="Consolas"/>
          <w:b w:val="0"/>
          <w:i w:val="0"/>
          <w:sz w:val="15"/>
        </w:rPr>
        <w:t xml:space="preserve">  Step 3: Ensure 2 cm air gap between pallets for air circulation</w:t>
      </w:r>
    </w:p>
    <w:p>
      <w:pPr>
        <w:spacing w:after="0" w:before="0" w:line="240" w:lineRule="auto"/>
        <w:ind w:left="57"/>
        <w:jc w:val="left"/>
        <w:shd w:val="clear" w:fill="F2F2F2"/>
      </w:pPr>
      <w:r>
        <w:rPr>
          <w:rFonts w:ascii="Consolas" w:hAnsi="Consolas" w:cs="Consolas"/>
          <w:b w:val="0"/>
          <w:i w:val="0"/>
          <w:sz w:val="15"/>
        </w:rPr>
        <w:t xml:space="preserve">  Step 4: Secure strapping — recycled PET (recommended)</w:t>
      </w:r>
    </w:p>
    <w:p>
      <w:pPr>
        <w:spacing w:after="0" w:before="0" w:line="240" w:lineRule="auto"/>
        <w:ind w:left="57"/>
        <w:jc w:val="left"/>
        <w:shd w:val="clear" w:fill="F2F2F2"/>
      </w:pPr>
      <w:r>
        <w:rPr>
          <w:rFonts w:ascii="Consolas" w:hAnsi="Consolas" w:cs="Consolas"/>
          <w:b w:val="0"/>
          <w:i w:val="0"/>
          <w:sz w:val="15"/>
        </w:rPr>
        <w:t xml:space="preserve">  Step 5: Close and seal container. Record seal 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SAFETY NOTES</w:t>
      </w:r>
    </w:p>
    <w:p>
      <w:pPr>
        <w:spacing w:after="0" w:before="0" w:line="240" w:lineRule="auto"/>
        <w:ind w:left="57"/>
        <w:jc w:val="left"/>
        <w:shd w:val="clear" w:fill="F2F2F2"/>
      </w:pPr>
      <w:r>
        <w:rPr>
          <w:rFonts w:ascii="Consolas" w:hAnsi="Consolas" w:cs="Consolas"/>
          <w:b w:val="0"/>
          <w:i w:val="0"/>
          <w:sz w:val="15"/>
        </w:rPr>
        <w:t xml:space="preserve">  - Do NOT load pallets above 5 layers. Pallet OR020 has mixed layers.</w:t>
      </w:r>
    </w:p>
    <w:p>
      <w:pPr>
        <w:spacing w:after="0" w:before="0" w:line="240" w:lineRule="auto"/>
        <w:ind w:left="57"/>
        <w:jc w:val="left"/>
        <w:shd w:val="clear" w:fill="F2F2F2"/>
      </w:pPr>
      <w:r>
        <w:rPr>
          <w:rFonts w:ascii="Consolas" w:hAnsi="Consolas" w:cs="Consolas"/>
          <w:b w:val="0"/>
          <w:i w:val="0"/>
          <w:sz w:val="15"/>
        </w:rPr>
        <w:t xml:space="preserve">  - Ensure all cartons are properly labelled with Arabic labels.</w:t>
      </w:r>
    </w:p>
    <w:p>
      <w:pPr>
        <w:spacing w:after="0" w:before="0" w:line="240" w:lineRule="auto"/>
        <w:ind w:left="57"/>
        <w:jc w:val="left"/>
        <w:shd w:val="clear" w:fill="F2F2F2"/>
      </w:pPr>
      <w:r>
        <w:rPr>
          <w:rFonts w:ascii="Consolas" w:hAnsi="Consolas" w:cs="Consolas"/>
          <w:b w:val="0"/>
          <w:i w:val="0"/>
          <w:sz w:val="15"/>
        </w:rPr>
        <w:t xml:space="preserve">  - Check temperature logger is active and recording.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POST-LOADING CHECKLIST</w:t>
      </w:r>
    </w:p>
    <w:p>
      <w:pPr>
        <w:spacing w:after="0" w:before="0" w:line="240" w:lineRule="auto"/>
        <w:ind w:left="57"/>
        <w:jc w:val="left"/>
        <w:shd w:val="clear" w:fill="F2F2F2"/>
      </w:pPr>
      <w:r>
        <w:rPr>
          <w:rFonts w:ascii="Consolas" w:hAnsi="Consolas" w:cs="Consolas"/>
          <w:b w:val="0"/>
          <w:i w:val="0"/>
          <w:sz w:val="15"/>
        </w:rPr>
        <w:t xml:space="preserve">  - Confirm all 22 pallets are loaded</w:t>
      </w:r>
    </w:p>
    <w:p>
      <w:pPr>
        <w:spacing w:after="0" w:before="0" w:line="240" w:lineRule="auto"/>
        <w:ind w:left="57"/>
        <w:jc w:val="left"/>
        <w:shd w:val="clear" w:fill="F2F2F2"/>
      </w:pPr>
      <w:r>
        <w:rPr>
          <w:rFonts w:ascii="Consolas" w:hAnsi="Consolas" w:cs="Consolas"/>
          <w:b w:val="0"/>
          <w:i w:val="0"/>
          <w:sz w:val="15"/>
        </w:rPr>
        <w:t xml:space="preserve">  - Verify container seal number is recorded</w:t>
      </w:r>
    </w:p>
    <w:p>
      <w:pPr>
        <w:spacing w:after="0" w:before="0" w:line="240" w:lineRule="auto"/>
        <w:ind w:left="57"/>
        <w:jc w:val="left"/>
        <w:shd w:val="clear" w:fill="F2F2F2"/>
      </w:pPr>
      <w:r>
        <w:rPr>
          <w:rFonts w:ascii="Consolas" w:hAnsi="Consolas" w:cs="Consolas"/>
          <w:b w:val="0"/>
          <w:i w:val="0"/>
          <w:sz w:val="15"/>
        </w:rPr>
        <w:t xml:space="preserve">  - Confirm temperature logger is activated</w:t>
      </w:r>
    </w:p>
    <w:p>
      <w:pPr>
        <w:spacing w:after="0" w:before="0" w:line="240" w:lineRule="auto"/>
        <w:ind w:left="57"/>
        <w:jc w:val="left"/>
        <w:shd w:val="clear" w:fill="F2F2F2"/>
      </w:pPr>
      <w:r>
        <w:rPr>
          <w:rFonts w:ascii="Consolas" w:hAnsi="Consolas" w:cs="Consolas"/>
          <w:b w:val="0"/>
          <w:i w:val="0"/>
          <w:sz w:val="15"/>
        </w:rPr>
        <w:t xml:space="preserve">  - Submit loaded milestone via barcode scan or voice command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8.4.7 Validation Gates (Part 5.2)</w:t>
      </w:r>
    </w:p>
    <w:p>
      <w:pPr>
        <w:spacing w:after="80" w:line="293" w:lineRule="auto"/>
        <w:jc w:val="left"/>
      </w:pPr>
      <w:r>
        <w:rPr>
          <w:rFonts w:ascii="Times New Roman" w:hAnsi="Times New Roman" w:cs="Times New Roman"/>
          <w:b w:val="0"/>
          <w:i w:val="0"/>
          <w:sz w:val="22"/>
        </w:rPr>
        <w:t>Governor gates applied to palletisation: G2U10 (palletisation feasibility), G2U11 (container type legal for commodity), G2U12 (lot mixing allowed by importing country), G2U13 (container gross weight within limit), G2U14 (packing plan lock → Loom hash), G2U15 (AI loading instructions generated — advisory).</w:t>
      </w:r>
    </w:p>
    <w:p>
      <w:pPr>
        <w:keepNext/>
        <w:spacing w:before="180" w:after="80"/>
        <w:outlineLvl w:val="2"/>
      </w:pPr>
      <w:r>
        <w:rPr>
          <w:rFonts w:ascii="Arial" w:hAnsi="Arial" w:cs="Arial"/>
          <w:b/>
          <w:i w:val="0"/>
          <w:color w:val="333333"/>
          <w:sz w:val="23"/>
        </w:rPr>
        <w:t>8.4.8 Database Schema Additions</w:t>
      </w:r>
    </w:p>
    <w:p>
      <w:pPr>
        <w:spacing w:after="0" w:before="0" w:line="240" w:lineRule="auto"/>
        <w:ind w:left="57"/>
        <w:jc w:val="left"/>
        <w:shd w:val="clear" w:fill="F2F2F2"/>
      </w:pPr>
      <w:r>
        <w:rPr>
          <w:rFonts w:ascii="Consolas" w:hAnsi="Consolas" w:cs="Consolas"/>
          <w:b w:val="0"/>
          <w:i w:val="0"/>
          <w:sz w:val="15"/>
        </w:rPr>
        <w:t>-- Packing plans (core)</w:t>
      </w:r>
    </w:p>
    <w:p>
      <w:pPr>
        <w:spacing w:after="0" w:before="0" w:line="240" w:lineRule="auto"/>
        <w:ind w:left="57"/>
        <w:jc w:val="left"/>
        <w:shd w:val="clear" w:fill="F2F2F2"/>
      </w:pPr>
      <w:r>
        <w:rPr>
          <w:rFonts w:ascii="Consolas" w:hAnsi="Consolas" w:cs="Consolas"/>
          <w:b w:val="0"/>
          <w:i w:val="0"/>
          <w:sz w:val="15"/>
        </w:rPr>
        <w:t>-- packing_plans: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Pallet details (with non-uniform layers)</w:t>
      </w:r>
    </w:p>
    <w:p>
      <w:pPr>
        <w:spacing w:after="0" w:before="0" w:line="240" w:lineRule="auto"/>
        <w:ind w:left="57"/>
        <w:jc w:val="left"/>
        <w:shd w:val="clear" w:fill="F2F2F2"/>
      </w:pPr>
      <w:r>
        <w:rPr>
          <w:rFonts w:ascii="Consolas" w:hAnsi="Consolas" w:cs="Consolas"/>
          <w:b w:val="0"/>
          <w:i w:val="0"/>
          <w:sz w:val="15"/>
        </w:rPr>
        <w:t>-- pallet_details: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Container loading plans (3D layout)</w:t>
      </w:r>
    </w:p>
    <w:p>
      <w:pPr>
        <w:spacing w:after="0" w:before="0" w:line="240" w:lineRule="auto"/>
        <w:ind w:left="57"/>
        <w:jc w:val="left"/>
        <w:shd w:val="clear" w:fill="F2F2F2"/>
      </w:pPr>
      <w:r>
        <w:rPr>
          <w:rFonts w:ascii="Consolas" w:hAnsi="Consolas" w:cs="Consolas"/>
          <w:b w:val="0"/>
          <w:i w:val="0"/>
          <w:sz w:val="15"/>
        </w:rPr>
        <w:t>CREATE TABLE container_loading_plans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container_id UUID REFERENCES trade_request_containers(id) ON DELETE SET NULL,</w:t>
      </w:r>
    </w:p>
    <w:p>
      <w:pPr>
        <w:spacing w:after="0" w:before="0" w:line="240" w:lineRule="auto"/>
        <w:ind w:left="57"/>
        <w:jc w:val="left"/>
        <w:shd w:val="clear" w:fill="F2F2F2"/>
      </w:pPr>
      <w:r>
        <w:rPr>
          <w:rFonts w:ascii="Consolas" w:hAnsi="Consolas" w:cs="Consolas"/>
          <w:b w:val="0"/>
          <w:i w:val="0"/>
          <w:sz w:val="15"/>
        </w:rPr>
        <w:t xml:space="preserve">    container_type TEXT NOT NULL,</w:t>
      </w:r>
    </w:p>
    <w:p>
      <w:pPr>
        <w:spacing w:after="0" w:before="0" w:line="240" w:lineRule="auto"/>
        <w:ind w:left="57"/>
        <w:jc w:val="left"/>
        <w:shd w:val="clear" w:fill="F2F2F2"/>
      </w:pPr>
      <w:r>
        <w:rPr>
          <w:rFonts w:ascii="Consolas" w:hAnsi="Consolas" w:cs="Consolas"/>
          <w:b w:val="0"/>
          <w:i w:val="0"/>
          <w:sz w:val="15"/>
        </w:rPr>
        <w:t xml:space="preserve">    pallet_positions JSONB, -- [{pallet_id: UUID, x: mm, y: mm, z: mm}]</w:t>
      </w:r>
    </w:p>
    <w:p>
      <w:pPr>
        <w:spacing w:after="0" w:before="0" w:line="240" w:lineRule="auto"/>
        <w:ind w:left="57"/>
        <w:jc w:val="left"/>
        <w:shd w:val="clear" w:fill="F2F2F2"/>
      </w:pPr>
      <w:r>
        <w:rPr>
          <w:rFonts w:ascii="Consolas" w:hAnsi="Consolas" w:cs="Consolas"/>
          <w:b w:val="0"/>
          <w:i w:val="0"/>
          <w:sz w:val="15"/>
        </w:rPr>
        <w:t xml:space="preserve">    total_pallets INTEGER,</w:t>
      </w:r>
    </w:p>
    <w:p>
      <w:pPr>
        <w:spacing w:after="0" w:before="0" w:line="240" w:lineRule="auto"/>
        <w:ind w:left="57"/>
        <w:jc w:val="left"/>
        <w:shd w:val="clear" w:fill="F2F2F2"/>
      </w:pPr>
      <w:r>
        <w:rPr>
          <w:rFonts w:ascii="Consolas" w:hAnsi="Consolas" w:cs="Consolas"/>
          <w:b w:val="0"/>
          <w:i w:val="0"/>
          <w:sz w:val="15"/>
        </w:rPr>
        <w:t xml:space="preserve">    total_cartons INTEGER,</w:t>
      </w:r>
    </w:p>
    <w:p>
      <w:pPr>
        <w:spacing w:after="0" w:before="0" w:line="240" w:lineRule="auto"/>
        <w:ind w:left="57"/>
        <w:jc w:val="left"/>
        <w:shd w:val="clear" w:fill="F2F2F2"/>
      </w:pPr>
      <w:r>
        <w:rPr>
          <w:rFonts w:ascii="Consolas" w:hAnsi="Consolas" w:cs="Consolas"/>
          <w:b w:val="0"/>
          <w:i w:val="0"/>
          <w:sz w:val="15"/>
        </w:rPr>
        <w:t xml:space="preserve">    total_weight_kg DECIMAL(10,2),</w:t>
      </w:r>
    </w:p>
    <w:p>
      <w:pPr>
        <w:spacing w:after="0" w:before="0" w:line="240" w:lineRule="auto"/>
        <w:ind w:left="57"/>
        <w:jc w:val="left"/>
        <w:shd w:val="clear" w:fill="F2F2F2"/>
      </w:pPr>
      <w:r>
        <w:rPr>
          <w:rFonts w:ascii="Consolas" w:hAnsi="Consolas" w:cs="Consolas"/>
          <w:b w:val="0"/>
          <w:i w:val="0"/>
          <w:sz w:val="15"/>
        </w:rPr>
        <w:t xml:space="preserve">    utilisation_percent DECIMAL(5,2),</w:t>
      </w:r>
    </w:p>
    <w:p>
      <w:pPr>
        <w:spacing w:after="0" w:before="0" w:line="240" w:lineRule="auto"/>
        <w:ind w:left="57"/>
        <w:jc w:val="left"/>
        <w:shd w:val="clear" w:fill="F2F2F2"/>
      </w:pPr>
      <w:r>
        <w:rPr>
          <w:rFonts w:ascii="Consolas" w:hAnsi="Consolas" w:cs="Consolas"/>
          <w:b w:val="0"/>
          <w:i w:val="0"/>
          <w:sz w:val="15"/>
        </w:rPr>
        <w:t xml:space="preserve">    centre_of_gravity JSONB, -- {x: mm, y: mm, z: mm}</w:t>
      </w:r>
    </w:p>
    <w:p>
      <w:pPr>
        <w:spacing w:after="0" w:before="0" w:line="240" w:lineRule="auto"/>
        <w:ind w:left="57"/>
        <w:jc w:val="left"/>
        <w:shd w:val="clear" w:fill="F2F2F2"/>
      </w:pPr>
      <w:r>
        <w:rPr>
          <w:rFonts w:ascii="Consolas" w:hAnsi="Consolas" w:cs="Consolas"/>
          <w:b w:val="0"/>
          <w:i w:val="0"/>
          <w:sz w:val="15"/>
        </w:rPr>
        <w:t xml:space="preserve">    three_d_layout_data JSONB, -- for Three.js rendering</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Collaborative editing sessions</w:t>
      </w:r>
    </w:p>
    <w:p>
      <w:pPr>
        <w:spacing w:after="0" w:before="0" w:line="240" w:lineRule="auto"/>
        <w:ind w:left="57"/>
        <w:jc w:val="left"/>
        <w:shd w:val="clear" w:fill="F2F2F2"/>
      </w:pPr>
      <w:r>
        <w:rPr>
          <w:rFonts w:ascii="Consolas" w:hAnsi="Consolas" w:cs="Consolas"/>
          <w:b w:val="0"/>
          <w:i w:val="0"/>
          <w:sz w:val="15"/>
        </w:rPr>
        <w:t>CREATE TABLE collaborative_sessions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session_token TEXT UNIQUE NOT NULL,</w:t>
      </w:r>
    </w:p>
    <w:p>
      <w:pPr>
        <w:spacing w:after="0" w:before="0" w:line="240" w:lineRule="auto"/>
        <w:ind w:left="57"/>
        <w:jc w:val="left"/>
        <w:shd w:val="clear" w:fill="F2F2F2"/>
      </w:pPr>
      <w:r>
        <w:rPr>
          <w:rFonts w:ascii="Consolas" w:hAnsi="Consolas" w:cs="Consolas"/>
          <w:b w:val="0"/>
          <w:i w:val="0"/>
          <w:sz w:val="15"/>
        </w:rPr>
        <w:t xml:space="preserve">    user_employee_id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user_name TEXT,</w:t>
      </w:r>
    </w:p>
    <w:p>
      <w:pPr>
        <w:spacing w:after="0" w:before="0" w:line="240" w:lineRule="auto"/>
        <w:ind w:left="57"/>
        <w:jc w:val="left"/>
        <w:shd w:val="clear" w:fill="F2F2F2"/>
      </w:pPr>
      <w:r>
        <w:rPr>
          <w:rFonts w:ascii="Consolas" w:hAnsi="Consolas" w:cs="Consolas"/>
          <w:b w:val="0"/>
          <w:i w:val="0"/>
          <w:sz w:val="15"/>
        </w:rPr>
        <w:t xml:space="preserve">    cursor_position JSONB,</w:t>
      </w:r>
    </w:p>
    <w:p>
      <w:pPr>
        <w:spacing w:after="0" w:before="0" w:line="240" w:lineRule="auto"/>
        <w:ind w:left="57"/>
        <w:jc w:val="left"/>
        <w:shd w:val="clear" w:fill="F2F2F2"/>
      </w:pPr>
      <w:r>
        <w:rPr>
          <w:rFonts w:ascii="Consolas" w:hAnsi="Consolas" w:cs="Consolas"/>
          <w:b w:val="0"/>
          <w:i w:val="0"/>
          <w:sz w:val="15"/>
        </w:rPr>
        <w:t xml:space="preserve">    last_activity_at TIMESTAMPTZ DEFAULT NOW(),</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Loading guide versions (history)</w:t>
      </w:r>
    </w:p>
    <w:p>
      <w:pPr>
        <w:spacing w:after="0" w:before="0" w:line="240" w:lineRule="auto"/>
        <w:ind w:left="57"/>
        <w:jc w:val="left"/>
        <w:shd w:val="clear" w:fill="F2F2F2"/>
      </w:pPr>
      <w:r>
        <w:rPr>
          <w:rFonts w:ascii="Consolas" w:hAnsi="Consolas" w:cs="Consolas"/>
          <w:b w:val="0"/>
          <w:i w:val="0"/>
          <w:sz w:val="15"/>
        </w:rPr>
        <w:t>CREATE TABLE loading_guide_versions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loading_guide TEXT NOT NULL,</w:t>
      </w:r>
    </w:p>
    <w:p>
      <w:pPr>
        <w:spacing w:after="0" w:before="0" w:line="240" w:lineRule="auto"/>
        <w:ind w:left="57"/>
        <w:jc w:val="left"/>
        <w:shd w:val="clear" w:fill="F2F2F2"/>
      </w:pPr>
      <w:r>
        <w:rPr>
          <w:rFonts w:ascii="Consolas" w:hAnsi="Consolas" w:cs="Consolas"/>
          <w:b w:val="0"/>
          <w:i w:val="0"/>
          <w:sz w:val="15"/>
        </w:rPr>
        <w:t xml:space="preserve">    version INTEGER NOT NULL,</w:t>
      </w:r>
    </w:p>
    <w:p>
      <w:pPr>
        <w:spacing w:after="0" w:before="0" w:line="240" w:lineRule="auto"/>
        <w:ind w:left="57"/>
        <w:jc w:val="left"/>
        <w:shd w:val="clear" w:fill="F2F2F2"/>
      </w:pPr>
      <w:r>
        <w:rPr>
          <w:rFonts w:ascii="Consolas" w:hAnsi="Consolas" w:cs="Consolas"/>
          <w:b w:val="0"/>
          <w:i w:val="0"/>
          <w:sz w:val="15"/>
        </w:rPr>
        <w:t xml:space="preserve">    generated_by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UNIQUE(packing_plan_id, version)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idx_packing_plans_trade_request ON packing_plans(trade_request_id);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idx_packing_plans_container ON packing_plans(container_id);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idx_packing_plans_locked_at ON packing_plans(locked_at) WHERE locked_at IS NOT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idx_pallet_details_packing_plan ON pallet_details(packing_plan_id);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idx_pallet_details_sscc ON pallet_details(sscc);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idx_pallet_details_status ON pallet_details(status);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idx_container_loading_plans_packing_plan ON container_loading_plans(packing_plan_id);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idx_collaborative_sessions_packing_plan ON collaborative_sessions(packing_plan_id);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idx_collaborative_sessions_last_activity ON collaborative_sessions(last_activity_at);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8.4.9 Implementation Checklist</w:t>
      </w:r>
    </w:p>
    <w:p>
      <w:pPr>
        <w:spacing w:after="80" w:line="293" w:lineRule="auto"/>
        <w:jc w:val="left"/>
      </w:pPr>
      <w:r>
        <w:rPr>
          <w:rFonts w:ascii="Times New Roman" w:hAnsi="Times New Roman" w:cs="Times New Roman"/>
          <w:b w:val="0"/>
          <w:i w:val="0"/>
          <w:sz w:val="22"/>
        </w:rPr>
        <w:t>Core solver:</w:t>
      </w:r>
    </w:p>
    <w:p>
      <w:pPr>
        <w:spacing w:after="80" w:line="293" w:lineRule="auto"/>
        <w:ind w:left="283"/>
        <w:jc w:val="left"/>
      </w:pPr>
      <w:r>
        <w:rPr>
          <w:rFonts w:ascii="Times New Roman" w:hAnsi="Times New Roman" w:cs="Times New Roman"/>
          <w:b w:val="0"/>
          <w:i w:val="0"/>
          <w:sz w:val="22"/>
        </w:rPr>
        <w:t>- Implement ORTools CP-SAT solver integration (Rust + Python)</w:t>
      </w:r>
    </w:p>
    <w:p>
      <w:pPr>
        <w:spacing w:after="80" w:line="293" w:lineRule="auto"/>
        <w:ind w:left="283"/>
        <w:jc w:val="left"/>
      </w:pPr>
      <w:r>
        <w:rPr>
          <w:rFonts w:ascii="Times New Roman" w:hAnsi="Times New Roman" w:cs="Times New Roman"/>
          <w:b w:val="0"/>
          <w:i w:val="0"/>
          <w:sz w:val="22"/>
        </w:rPr>
        <w:t>- Implement palletisation feasibility check</w:t>
      </w:r>
    </w:p>
    <w:p>
      <w:pPr>
        <w:spacing w:after="80" w:line="293" w:lineRule="auto"/>
        <w:ind w:left="283"/>
        <w:jc w:val="left"/>
      </w:pPr>
      <w:r>
        <w:rPr>
          <w:rFonts w:ascii="Times New Roman" w:hAnsi="Times New Roman" w:cs="Times New Roman"/>
          <w:b w:val="0"/>
          <w:i w:val="0"/>
          <w:sz w:val="22"/>
        </w:rPr>
        <w:t>- Implement non-uniform layer stacking logic</w:t>
      </w:r>
    </w:p>
    <w:p>
      <w:pPr>
        <w:spacing w:after="80" w:line="293" w:lineRule="auto"/>
        <w:ind w:left="283"/>
        <w:jc w:val="left"/>
      </w:pPr>
      <w:r>
        <w:rPr>
          <w:rFonts w:ascii="Times New Roman" w:hAnsi="Times New Roman" w:cs="Times New Roman"/>
          <w:b w:val="0"/>
          <w:i w:val="0"/>
          <w:sz w:val="22"/>
        </w:rPr>
        <w:t>- Implement transport mode-aware equipment loading</w:t>
      </w:r>
    </w:p>
    <w:p>
      <w:pPr>
        <w:spacing w:after="80" w:line="293" w:lineRule="auto"/>
        <w:ind w:left="283"/>
        <w:jc w:val="left"/>
      </w:pPr>
      <w:r>
        <w:rPr>
          <w:rFonts w:ascii="Times New Roman" w:hAnsi="Times New Roman" w:cs="Times New Roman"/>
          <w:b w:val="0"/>
          <w:i w:val="0"/>
          <w:sz w:val="22"/>
        </w:rPr>
        <w:t>- Implement centre of gravity calculation</w:t>
      </w:r>
    </w:p>
    <w:p>
      <w:pPr>
        <w:spacing w:after="80" w:line="293" w:lineRule="auto"/>
        <w:ind w:left="283"/>
        <w:jc w:val="left"/>
      </w:pPr>
      <w:r>
        <w:rPr>
          <w:rFonts w:ascii="Times New Roman" w:hAnsi="Times New Roman" w:cs="Times New Roman"/>
          <w:b w:val="0"/>
          <w:i w:val="0"/>
          <w:sz w:val="22"/>
        </w:rPr>
        <w:t>- Implement weight distribution validation</w:t>
      </w:r>
    </w:p>
    <w:p>
      <w:pPr>
        <w:spacing w:after="80" w:line="293" w:lineRule="auto"/>
        <w:jc w:val="left"/>
      </w:pPr>
      <w:r>
        <w:rPr>
          <w:rFonts w:ascii="Times New Roman" w:hAnsi="Times New Roman" w:cs="Times New Roman"/>
          <w:b w:val="0"/>
          <w:i w:val="0"/>
          <w:sz w:val="22"/>
        </w:rPr>
        <w:t>Non-uniform layer stacking:</w:t>
      </w:r>
    </w:p>
    <w:p>
      <w:pPr>
        <w:spacing w:after="80" w:line="293" w:lineRule="auto"/>
        <w:ind w:left="283"/>
        <w:jc w:val="left"/>
      </w:pPr>
      <w:r>
        <w:rPr>
          <w:rFonts w:ascii="Times New Roman" w:hAnsi="Times New Roman" w:cs="Times New Roman"/>
          <w:b w:val="0"/>
          <w:i w:val="0"/>
          <w:sz w:val="22"/>
        </w:rPr>
        <w:t>- Implement layer pattern UI (add/remove patterns)</w:t>
      </w:r>
    </w:p>
    <w:p>
      <w:pPr>
        <w:spacing w:after="80" w:line="293" w:lineRule="auto"/>
        <w:ind w:left="283"/>
        <w:jc w:val="left"/>
      </w:pPr>
      <w:r>
        <w:rPr>
          <w:rFonts w:ascii="Times New Roman" w:hAnsi="Times New Roman" w:cs="Times New Roman"/>
          <w:b w:val="0"/>
          <w:i w:val="0"/>
          <w:sz w:val="22"/>
        </w:rPr>
        <w:t>- Implement calculation logic (total cartons, pallet height, pallet weight)</w:t>
      </w:r>
    </w:p>
    <w:p>
      <w:pPr>
        <w:spacing w:after="80" w:line="293" w:lineRule="auto"/>
        <w:ind w:left="283"/>
        <w:jc w:val="left"/>
      </w:pPr>
      <w:r>
        <w:rPr>
          <w:rFonts w:ascii="Times New Roman" w:hAnsi="Times New Roman" w:cs="Times New Roman"/>
          <w:b w:val="0"/>
          <w:i w:val="0"/>
          <w:sz w:val="22"/>
        </w:rPr>
        <w:t>- Implement validation rules (height ≤ max, weight ≤ max)</w:t>
      </w:r>
    </w:p>
    <w:p>
      <w:pPr>
        <w:spacing w:after="80" w:line="293" w:lineRule="auto"/>
        <w:ind w:left="283"/>
        <w:jc w:val="left"/>
      </w:pPr>
      <w:r>
        <w:rPr>
          <w:rFonts w:ascii="Times New Roman" w:hAnsi="Times New Roman" w:cs="Times New Roman"/>
          <w:b w:val="0"/>
          <w:i w:val="0"/>
          <w:sz w:val="22"/>
        </w:rPr>
        <w:t>- Implement orientation options (Standard, Cross-stacked, Rotated 90°, Centered)</w:t>
      </w:r>
    </w:p>
    <w:p>
      <w:pPr>
        <w:spacing w:after="80" w:line="293" w:lineRule="auto"/>
        <w:jc w:val="left"/>
      </w:pPr>
      <w:r>
        <w:rPr>
          <w:rFonts w:ascii="Times New Roman" w:hAnsi="Times New Roman" w:cs="Times New Roman"/>
          <w:b w:val="0"/>
          <w:i w:val="0"/>
          <w:sz w:val="22"/>
        </w:rPr>
        <w:t>3D viewer &amp; heatmap:</w:t>
      </w:r>
    </w:p>
    <w:p>
      <w:pPr>
        <w:spacing w:after="80" w:line="293" w:lineRule="auto"/>
        <w:ind w:left="283"/>
        <w:jc w:val="left"/>
      </w:pPr>
      <w:r>
        <w:rPr>
          <w:rFonts w:ascii="Times New Roman" w:hAnsi="Times New Roman" w:cs="Times New Roman"/>
          <w:b w:val="0"/>
          <w:i w:val="0"/>
          <w:sz w:val="22"/>
        </w:rPr>
        <w:t>- Implement Three.js 3D container viewer</w:t>
      </w:r>
    </w:p>
    <w:p>
      <w:pPr>
        <w:spacing w:after="80" w:line="293" w:lineRule="auto"/>
        <w:ind w:left="283"/>
        <w:jc w:val="left"/>
      </w:pPr>
      <w:r>
        <w:rPr>
          <w:rFonts w:ascii="Times New Roman" w:hAnsi="Times New Roman" w:cs="Times New Roman"/>
          <w:b w:val="0"/>
          <w:i w:val="0"/>
          <w:sz w:val="22"/>
        </w:rPr>
        <w:t>- Implement pallet click → details display</w:t>
      </w:r>
    </w:p>
    <w:p>
      <w:pPr>
        <w:spacing w:after="80" w:line="293" w:lineRule="auto"/>
        <w:ind w:left="283"/>
        <w:jc w:val="left"/>
      </w:pPr>
      <w:r>
        <w:rPr>
          <w:rFonts w:ascii="Times New Roman" w:hAnsi="Times New Roman" w:cs="Times New Roman"/>
          <w:b w:val="0"/>
          <w:i w:val="0"/>
          <w:sz w:val="22"/>
        </w:rPr>
        <w:t>- Implement layer breakdown display for non-uniform stacks</w:t>
      </w:r>
    </w:p>
    <w:p>
      <w:pPr>
        <w:spacing w:after="80" w:line="293" w:lineRule="auto"/>
        <w:ind w:left="283"/>
        <w:jc w:val="left"/>
      </w:pPr>
      <w:r>
        <w:rPr>
          <w:rFonts w:ascii="Times New Roman" w:hAnsi="Times New Roman" w:cs="Times New Roman"/>
          <w:b w:val="0"/>
          <w:i w:val="0"/>
          <w:sz w:val="22"/>
        </w:rPr>
        <w:t>- Implement capacity heatmap (OpenDP, differential privacy)</w:t>
      </w:r>
    </w:p>
    <w:p>
      <w:pPr>
        <w:spacing w:after="80" w:line="293" w:lineRule="auto"/>
        <w:ind w:left="283"/>
        <w:jc w:val="left"/>
      </w:pPr>
      <w:r>
        <w:rPr>
          <w:rFonts w:ascii="Times New Roman" w:hAnsi="Times New Roman" w:cs="Times New Roman"/>
          <w:b w:val="0"/>
          <w:i w:val="0"/>
          <w:sz w:val="22"/>
        </w:rPr>
        <w:t>- Implement export functionality (STL, PNG, PDF)</w:t>
      </w:r>
    </w:p>
    <w:p>
      <w:pPr>
        <w:spacing w:after="80" w:line="293" w:lineRule="auto"/>
        <w:jc w:val="left"/>
      </w:pPr>
      <w:r>
        <w:rPr>
          <w:rFonts w:ascii="Times New Roman" w:hAnsi="Times New Roman" w:cs="Times New Roman"/>
          <w:b w:val="0"/>
          <w:i w:val="0"/>
          <w:sz w:val="22"/>
        </w:rPr>
        <w:t>Collaborative editing:</w:t>
      </w:r>
    </w:p>
    <w:p>
      <w:pPr>
        <w:spacing w:after="80" w:line="293" w:lineRule="auto"/>
        <w:ind w:left="283"/>
        <w:jc w:val="left"/>
      </w:pPr>
      <w:r>
        <w:rPr>
          <w:rFonts w:ascii="Times New Roman" w:hAnsi="Times New Roman" w:cs="Times New Roman"/>
          <w:b w:val="0"/>
          <w:i w:val="0"/>
          <w:sz w:val="22"/>
        </w:rPr>
        <w:t>- Implement Yjs CRDT integration</w:t>
      </w:r>
    </w:p>
    <w:p>
      <w:pPr>
        <w:spacing w:after="80" w:line="293" w:lineRule="auto"/>
        <w:ind w:left="283"/>
        <w:jc w:val="left"/>
      </w:pPr>
      <w:r>
        <w:rPr>
          <w:rFonts w:ascii="Times New Roman" w:hAnsi="Times New Roman" w:cs="Times New Roman"/>
          <w:b w:val="0"/>
          <w:i w:val="0"/>
          <w:sz w:val="22"/>
        </w:rPr>
        <w:t>- Implement WebRTC peer-to-peer communication</w:t>
      </w:r>
    </w:p>
    <w:p>
      <w:pPr>
        <w:spacing w:after="80" w:line="293" w:lineRule="auto"/>
        <w:ind w:left="283"/>
        <w:jc w:val="left"/>
      </w:pPr>
      <w:r>
        <w:rPr>
          <w:rFonts w:ascii="Times New Roman" w:hAnsi="Times New Roman" w:cs="Times New Roman"/>
          <w:b w:val="0"/>
          <w:i w:val="0"/>
          <w:sz w:val="22"/>
        </w:rPr>
        <w:t>- Implement cursor presence (name, colour)</w:t>
      </w:r>
    </w:p>
    <w:p>
      <w:pPr>
        <w:spacing w:after="80" w:line="293" w:lineRule="auto"/>
        <w:ind w:left="283"/>
        <w:jc w:val="left"/>
      </w:pPr>
      <w:r>
        <w:rPr>
          <w:rFonts w:ascii="Times New Roman" w:hAnsi="Times New Roman" w:cs="Times New Roman"/>
          <w:b w:val="0"/>
          <w:i w:val="0"/>
          <w:sz w:val="22"/>
        </w:rPr>
        <w:t>- Implement chat sidebar</w:t>
      </w:r>
    </w:p>
    <w:p>
      <w:pPr>
        <w:spacing w:after="80" w:line="293" w:lineRule="auto"/>
        <w:ind w:left="283"/>
        <w:jc w:val="left"/>
      </w:pPr>
      <w:r>
        <w:rPr>
          <w:rFonts w:ascii="Times New Roman" w:hAnsi="Times New Roman" w:cs="Times New Roman"/>
          <w:b w:val="0"/>
          <w:i w:val="0"/>
          <w:sz w:val="22"/>
        </w:rPr>
        <w:t>- Implement OPA permission checks (who can edit what)</w:t>
      </w:r>
    </w:p>
    <w:p>
      <w:pPr>
        <w:spacing w:after="80" w:line="293" w:lineRule="auto"/>
        <w:jc w:val="left"/>
      </w:pPr>
      <w:r>
        <w:rPr>
          <w:rFonts w:ascii="Times New Roman" w:hAnsi="Times New Roman" w:cs="Times New Roman"/>
          <w:b w:val="0"/>
          <w:i w:val="0"/>
          <w:sz w:val="22"/>
        </w:rPr>
        <w:t>Loading guide generation:</w:t>
      </w:r>
    </w:p>
    <w:p>
      <w:pPr>
        <w:spacing w:after="80" w:line="293" w:lineRule="auto"/>
        <w:ind w:left="283"/>
        <w:jc w:val="left"/>
      </w:pPr>
      <w:r>
        <w:rPr>
          <w:rFonts w:ascii="Times New Roman" w:hAnsi="Times New Roman" w:cs="Times New Roman"/>
          <w:b w:val="0"/>
          <w:i w:val="0"/>
          <w:sz w:val="22"/>
        </w:rPr>
        <w:t>- Implement loading guide prompt engineering (A1, Groq)</w:t>
      </w:r>
    </w:p>
    <w:p>
      <w:pPr>
        <w:spacing w:after="80" w:line="293" w:lineRule="auto"/>
        <w:ind w:left="283"/>
        <w:jc w:val="left"/>
      </w:pPr>
      <w:r>
        <w:rPr>
          <w:rFonts w:ascii="Times New Roman" w:hAnsi="Times New Roman" w:cs="Times New Roman"/>
          <w:b w:val="0"/>
          <w:i w:val="0"/>
          <w:sz w:val="22"/>
        </w:rPr>
        <w:t>- Implement loading guide display</w:t>
      </w:r>
    </w:p>
    <w:p>
      <w:pPr>
        <w:spacing w:after="80" w:line="293" w:lineRule="auto"/>
        <w:ind w:left="283"/>
        <w:jc w:val="left"/>
      </w:pPr>
      <w:r>
        <w:rPr>
          <w:rFonts w:ascii="Times New Roman" w:hAnsi="Times New Roman" w:cs="Times New Roman"/>
          <w:b w:val="0"/>
          <w:i w:val="0"/>
          <w:sz w:val="22"/>
        </w:rPr>
        <w:t>- Implement loading guide versioning</w:t>
      </w:r>
    </w:p>
    <w:p>
      <w:pPr>
        <w:spacing w:after="80" w:line="293" w:lineRule="auto"/>
        <w:ind w:left="283"/>
        <w:jc w:val="left"/>
      </w:pPr>
      <w:r>
        <w:rPr>
          <w:rFonts w:ascii="Times New Roman" w:hAnsi="Times New Roman" w:cs="Times New Roman"/>
          <w:b w:val="0"/>
          <w:i w:val="0"/>
          <w:sz w:val="22"/>
        </w:rPr>
        <w:t>- Implement loading guide export (PDF)</w:t>
      </w:r>
    </w:p>
    <w:p>
      <w:pPr>
        <w:spacing w:after="80" w:line="293" w:lineRule="auto"/>
        <w:jc w:val="left"/>
      </w:pPr>
      <w:r>
        <w:rPr>
          <w:rFonts w:ascii="Times New Roman" w:hAnsi="Times New Roman" w:cs="Times New Roman"/>
          <w:b w:val="0"/>
          <w:i w:val="0"/>
          <w:sz w:val="22"/>
        </w:rPr>
        <w:t>Validation &amp; governance:</w:t>
      </w:r>
    </w:p>
    <w:p>
      <w:pPr>
        <w:spacing w:after="80" w:line="293" w:lineRule="auto"/>
        <w:ind w:left="283"/>
        <w:jc w:val="left"/>
      </w:pPr>
      <w:r>
        <w:rPr>
          <w:rFonts w:ascii="Times New Roman" w:hAnsi="Times New Roman" w:cs="Times New Roman"/>
          <w:b w:val="0"/>
          <w:i w:val="0"/>
          <w:sz w:val="22"/>
        </w:rPr>
        <w:t>- Add G2U10: palletisation feasibility</w:t>
      </w:r>
    </w:p>
    <w:p>
      <w:pPr>
        <w:spacing w:after="80" w:line="293" w:lineRule="auto"/>
        <w:ind w:left="283"/>
        <w:jc w:val="left"/>
      </w:pPr>
      <w:r>
        <w:rPr>
          <w:rFonts w:ascii="Times New Roman" w:hAnsi="Times New Roman" w:cs="Times New Roman"/>
          <w:b w:val="0"/>
          <w:i w:val="0"/>
          <w:sz w:val="22"/>
        </w:rPr>
        <w:t>- Add G2U11: container type legal for commodity</w:t>
      </w:r>
    </w:p>
    <w:p>
      <w:pPr>
        <w:spacing w:after="80" w:line="293" w:lineRule="auto"/>
        <w:ind w:left="283"/>
        <w:jc w:val="left"/>
      </w:pPr>
      <w:r>
        <w:rPr>
          <w:rFonts w:ascii="Times New Roman" w:hAnsi="Times New Roman" w:cs="Times New Roman"/>
          <w:b w:val="0"/>
          <w:i w:val="0"/>
          <w:sz w:val="22"/>
        </w:rPr>
        <w:t>- Add G2U12: lot mixing allowed by importing country</w:t>
      </w:r>
    </w:p>
    <w:p>
      <w:pPr>
        <w:spacing w:after="80" w:line="293" w:lineRule="auto"/>
        <w:ind w:left="283"/>
        <w:jc w:val="left"/>
      </w:pPr>
      <w:r>
        <w:rPr>
          <w:rFonts w:ascii="Times New Roman" w:hAnsi="Times New Roman" w:cs="Times New Roman"/>
          <w:b w:val="0"/>
          <w:i w:val="0"/>
          <w:sz w:val="22"/>
        </w:rPr>
        <w:t>- Add G2U13: container gross weight within limit</w:t>
      </w:r>
    </w:p>
    <w:p>
      <w:pPr>
        <w:spacing w:after="80" w:line="293" w:lineRule="auto"/>
        <w:ind w:left="283"/>
        <w:jc w:val="left"/>
      </w:pPr>
      <w:r>
        <w:rPr>
          <w:rFonts w:ascii="Times New Roman" w:hAnsi="Times New Roman" w:cs="Times New Roman"/>
          <w:b w:val="0"/>
          <w:i w:val="0"/>
          <w:sz w:val="22"/>
        </w:rPr>
        <w:t>- Add G2U14: packing plan lock → Loom hash</w:t>
      </w:r>
    </w:p>
    <w:p>
      <w:pPr>
        <w:spacing w:after="80" w:line="293" w:lineRule="auto"/>
        <w:ind w:left="283"/>
        <w:jc w:val="left"/>
      </w:pPr>
      <w:r>
        <w:rPr>
          <w:rFonts w:ascii="Times New Roman" w:hAnsi="Times New Roman" w:cs="Times New Roman"/>
          <w:b w:val="0"/>
          <w:i w:val="0"/>
          <w:sz w:val="22"/>
        </w:rPr>
        <w:t>- Add G2U15: AI loading instructions generated (advisory)</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palletisation solver; non-uniform layer stacking; transport mode-aware loading</w:t>
      </w:r>
    </w:p>
    <w:p>
      <w:pPr>
        <w:spacing w:after="80" w:line="293" w:lineRule="auto"/>
        <w:ind w:left="283"/>
        <w:jc w:val="left"/>
      </w:pPr>
      <w:r>
        <w:rPr>
          <w:rFonts w:ascii="Times New Roman" w:hAnsi="Times New Roman" w:cs="Times New Roman"/>
          <w:b w:val="0"/>
          <w:i w:val="0"/>
          <w:sz w:val="22"/>
        </w:rPr>
        <w:t>- Integration tests: solver → validation → lock; collaborative editing; loading guide generation</w:t>
      </w:r>
    </w:p>
    <w:p>
      <w:pPr>
        <w:spacing w:after="80" w:line="293" w:lineRule="auto"/>
        <w:ind w:left="283"/>
        <w:jc w:val="left"/>
      </w:pPr>
      <w:r>
        <w:rPr>
          <w:rFonts w:ascii="Times New Roman" w:hAnsi="Times New Roman" w:cs="Times New Roman"/>
          <w:b w:val="0"/>
          <w:i w:val="0"/>
          <w:sz w:val="22"/>
        </w:rPr>
        <w:t>- End-to-end tests: full palletisation workflow</w:t>
      </w:r>
    </w:p>
    <w:p>
      <w:pPr>
        <w:keepNext/>
        <w:spacing w:before="180" w:after="80"/>
        <w:outlineLvl w:val="2"/>
      </w:pPr>
      <w:r>
        <w:rPr>
          <w:rFonts w:ascii="Arial" w:hAnsi="Arial" w:cs="Arial"/>
          <w:b/>
          <w:i w:val="0"/>
          <w:color w:val="333333"/>
          <w:sz w:val="23"/>
        </w:rPr>
        <w:t>8.4.10 AI Authority Summary</w:t>
      </w:r>
    </w:p>
    <w:p>
      <w:pPr>
        <w:spacing w:after="80" w:line="293" w:lineRule="auto"/>
        <w:jc w:val="left"/>
      </w:pPr>
      <w:r>
        <w:rPr>
          <w:rFonts w:ascii="Times New Roman" w:hAnsi="Times New Roman" w:cs="Times New Roman"/>
          <w:b w:val="0"/>
          <w:i w:val="0"/>
          <w:sz w:val="22"/>
        </w:rPr>
        <w:t>A1 (Groq) generates the loading guide (advisory only). A4 (OPA + WasmEdge) enforces stacking-height, pallet-weight, container-weight, and centre-of-gravity constraints at solve time and at lock. A2 (HF local) supports compliance checks. AI never auto-applies a solver result without explicit seller confirmation, and the loading guide is explicitly labelled AI-generated advisory content.</w:t>
      </w:r>
    </w:p>
    <w:p>
      <w:pPr>
        <w:keepNext/>
        <w:spacing w:before="240" w:after="100"/>
        <w:outlineLvl w:val="1"/>
      </w:pPr>
      <w:r>
        <w:rPr>
          <w:rFonts w:ascii="Arial" w:hAnsi="Arial" w:cs="Arial"/>
          <w:b/>
          <w:i w:val="0"/>
          <w:color w:val="2E528F"/>
          <w:sz w:val="26"/>
        </w:rPr>
        <w:t>8.5 Packing List Auto-Generation</w:t>
      </w:r>
    </w:p>
    <w:p>
      <w:pPr>
        <w:keepNext/>
        <w:spacing w:before="180" w:after="80"/>
        <w:outlineLvl w:val="2"/>
      </w:pPr>
      <w:r>
        <w:rPr>
          <w:rFonts w:ascii="Arial" w:hAnsi="Arial" w:cs="Arial"/>
          <w:b/>
          <w:i w:val="0"/>
          <w:color w:val="333333"/>
          <w:sz w:val="23"/>
        </w:rPr>
        <w:t>8.5.1 Purpose &amp; Design Philosophy</w:t>
      </w:r>
    </w:p>
    <w:p>
      <w:pPr>
        <w:spacing w:after="80" w:line="293" w:lineRule="auto"/>
        <w:jc w:val="left"/>
      </w:pPr>
      <w:r>
        <w:rPr>
          <w:rFonts w:ascii="Times New Roman" w:hAnsi="Times New Roman" w:cs="Times New Roman"/>
          <w:b w:val="0"/>
          <w:i w:val="0"/>
          <w:sz w:val="22"/>
        </w:rPr>
        <w:t>The Packing List Auto-Generation module transforms the validated packing plan into a professional, legally compliant, and operationally complete packing list document. The packing list serves as the single source of truth for all physical handling — warehouse loading, customs inspection, shipping line booking, and buyer receipt verification.</w:t>
      </w:r>
    </w:p>
    <w:p>
      <w:pPr>
        <w:spacing w:after="80" w:line="293" w:lineRule="auto"/>
        <w:jc w:val="left"/>
      </w:pPr>
      <w:r>
        <w:rPr>
          <w:rFonts w:ascii="Times New Roman" w:hAnsi="Times New Roman" w:cs="Times New Roman"/>
          <w:b w:val="0"/>
          <w:i w:val="0"/>
          <w:sz w:val="22"/>
        </w:rPr>
        <w:t>Key principles: One-click generation — after the packing plan is locked, the packing list is generated automatically with a single click. Full integration — includes all data from the trade request, weight calculation, and palletisation optimiser. Verifiable identity — every pallet gets an SSCC-18 barcode and a QR code with a verifiable credential. Layer transparency — non-uniform layer stacking is clearly documented. Acceptance criteria integration — the packing list references acceptance criteria so inspectors can verify goods against specifications. Special instructions included — all special trade instructions (labeling, handling, certifications) are embedded. Multi-format — available as PDF (human-readable), JSON (machine-readable), and XML (customs-compatible). Multi-language — generated in the buyer's or seller's preferred language. Cryptographically signed — the packing list is signed with Ed25519, and a Loom hash is recorded for immutability.</w:t>
      </w:r>
    </w:p>
    <w:p>
      <w:pPr>
        <w:keepNext/>
        <w:spacing w:before="180" w:after="80"/>
        <w:outlineLvl w:val="2"/>
      </w:pPr>
      <w:r>
        <w:rPr>
          <w:rFonts w:ascii="Arial" w:hAnsi="Arial" w:cs="Arial"/>
          <w:b/>
          <w:i w:val="0"/>
          <w:color w:val="333333"/>
          <w:sz w:val="23"/>
        </w:rPr>
        <w:t>8.5.2 Document Structure — Complete Specification</w:t>
      </w:r>
    </w:p>
    <w:p>
      <w:pPr>
        <w:keepNext/>
        <w:spacing w:before="140" w:after="60"/>
        <w:outlineLvl w:val="3"/>
      </w:pPr>
      <w:r>
        <w:rPr>
          <w:rFonts w:ascii="Arial" w:hAnsi="Arial" w:cs="Arial"/>
          <w:b/>
          <w:i/>
          <w:color w:val="333333"/>
          <w:sz w:val="22"/>
        </w:rPr>
        <w:t>8.5.2.1 PDF Structure</w:t>
      </w:r>
    </w:p>
    <w:p>
      <w:pPr>
        <w:spacing w:after="80" w:line="293" w:lineRule="auto"/>
        <w:jc w:val="left"/>
      </w:pPr>
      <w:r>
        <w:rPr>
          <w:rFonts w:ascii="Times New Roman" w:hAnsi="Times New Roman" w:cs="Times New Roman"/>
          <w:b w:val="0"/>
          <w:i w:val="0"/>
          <w:sz w:val="22"/>
        </w:rPr>
        <w:t>The packing list PDF contains, in order: document header with identifiers; parties; shipment details; document references; commodity summary; acceptance criteria (for inspection); pallet details; pallet layer breakdown (non-uniform stacks); treatment certificates; special trade instructions; weight summary; QR code; digital signature. Canonical example:</w:t>
      </w:r>
    </w:p>
    <w:p>
      <w:pPr>
        <w:spacing w:after="0" w:before="0" w:line="240" w:lineRule="auto"/>
        <w:ind w:left="57"/>
        <w:jc w:val="left"/>
        <w:shd w:val="clear" w:fill="F2F2F2"/>
      </w:pPr>
      <w:r>
        <w:rPr>
          <w:rFonts w:ascii="Consolas" w:hAnsi="Consolas" w:cs="Consolas"/>
          <w:b w:val="0"/>
          <w:i w:val="0"/>
          <w:sz w:val="15"/>
        </w:rPr>
        <w:t>PACKING LIST</w:t>
      </w:r>
    </w:p>
    <w:p>
      <w:pPr>
        <w:spacing w:after="0" w:before="0" w:line="240" w:lineRule="auto"/>
        <w:ind w:left="57"/>
        <w:jc w:val="left"/>
        <w:shd w:val="clear" w:fill="F2F2F2"/>
      </w:pPr>
      <w:r>
        <w:rPr>
          <w:rFonts w:ascii="Consolas" w:hAnsi="Consolas" w:cs="Consolas"/>
          <w:b w:val="0"/>
          <w:i w:val="0"/>
          <w:sz w:val="15"/>
        </w:rPr>
        <w:t xml:space="preserve">  Document ID: PL-2026-001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Contract: MC-20260415-001</w:t>
      </w:r>
    </w:p>
    <w:p>
      <w:pPr>
        <w:spacing w:after="0" w:before="0" w:line="240" w:lineRule="auto"/>
        <w:ind w:left="57"/>
        <w:jc w:val="left"/>
        <w:shd w:val="clear" w:fill="F2F2F2"/>
      </w:pPr>
      <w:r>
        <w:rPr>
          <w:rFonts w:ascii="Consolas" w:hAnsi="Consolas" w:cs="Consolas"/>
          <w:b w:val="0"/>
          <w:i w:val="0"/>
          <w:sz w:val="15"/>
        </w:rPr>
        <w:t xml:space="preserve">  Generated: 2026-06-20 10:30:00 UTC</w:t>
      </w:r>
    </w:p>
    <w:p>
      <w:pPr>
        <w:spacing w:after="0" w:before="0" w:line="240" w:lineRule="auto"/>
        <w:ind w:left="57"/>
        <w:jc w:val="left"/>
        <w:shd w:val="clear" w:fill="F2F2F2"/>
      </w:pPr>
      <w:r>
        <w:rPr>
          <w:rFonts w:ascii="Consolas" w:hAnsi="Consolas" w:cs="Consolas"/>
          <w:b w:val="0"/>
          <w:i w:val="0"/>
          <w:sz w:val="15"/>
        </w:rPr>
        <w:t xml:space="preserve">  Version: 1.0</w:t>
      </w:r>
    </w:p>
    <w:p>
      <w:pPr>
        <w:spacing w:after="0" w:before="0" w:line="240" w:lineRule="auto"/>
        <w:ind w:left="57"/>
        <w:jc w:val="left"/>
        <w:shd w:val="clear" w:fill="F2F2F2"/>
      </w:pPr>
      <w:r>
        <w:rPr>
          <w:rFonts w:ascii="Consolas" w:hAnsi="Consolas" w:cs="Consolas"/>
          <w:b w:val="0"/>
          <w:i w:val="0"/>
          <w:sz w:val="15"/>
        </w:rPr>
        <w:t xml:space="preserve">  Loom Hash: sha256:a1b2c3...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PARTIES</w:t>
      </w:r>
    </w:p>
    <w:p>
      <w:pPr>
        <w:spacing w:after="0" w:before="0" w:line="240" w:lineRule="auto"/>
        <w:ind w:left="57"/>
        <w:jc w:val="left"/>
        <w:shd w:val="clear" w:fill="F2F2F2"/>
      </w:pPr>
      <w:r>
        <w:rPr>
          <w:rFonts w:ascii="Consolas" w:hAnsi="Consolas" w:cs="Consolas"/>
          <w:b w:val="0"/>
          <w:i w:val="0"/>
          <w:sz w:val="15"/>
        </w:rPr>
        <w:t xml:space="preserve">  Seller: Strawberry Export Co.</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Tax ID: 123-456-789</w:t>
      </w:r>
    </w:p>
    <w:p>
      <w:pPr>
        <w:spacing w:after="0" w:before="0" w:line="240" w:lineRule="auto"/>
        <w:ind w:left="57"/>
        <w:jc w:val="left"/>
        <w:shd w:val="clear" w:fill="F2F2F2"/>
      </w:pPr>
      <w:r>
        <w:rPr>
          <w:rFonts w:ascii="Consolas" w:hAnsi="Consolas" w:cs="Consolas"/>
          <w:b w:val="0"/>
          <w:i w:val="0"/>
          <w:sz w:val="15"/>
        </w:rPr>
        <w:t xml:space="preserve">    Address: 123 Export Road, Alexandria, Egypt</w:t>
      </w:r>
    </w:p>
    <w:p>
      <w:pPr>
        <w:spacing w:after="0" w:before="0" w:line="240" w:lineRule="auto"/>
        <w:ind w:left="57"/>
        <w:jc w:val="left"/>
        <w:shd w:val="clear" w:fill="F2F2F2"/>
      </w:pPr>
      <w:r>
        <w:rPr>
          <w:rFonts w:ascii="Consolas" w:hAnsi="Consolas" w:cs="Consolas"/>
          <w:b w:val="0"/>
          <w:i w:val="0"/>
          <w:sz w:val="15"/>
        </w:rPr>
        <w:t xml:space="preserve">  Buyer: European Importer GmbH</w:t>
      </w:r>
    </w:p>
    <w:p>
      <w:pPr>
        <w:spacing w:after="0" w:before="0" w:line="240" w:lineRule="auto"/>
        <w:ind w:left="57"/>
        <w:jc w:val="left"/>
        <w:shd w:val="clear" w:fill="F2F2F2"/>
      </w:pPr>
      <w:r>
        <w:rPr>
          <w:rFonts w:ascii="Consolas" w:hAnsi="Consolas" w:cs="Consolas"/>
          <w:b w:val="0"/>
          <w:i w:val="0"/>
          <w:sz w:val="15"/>
        </w:rPr>
        <w:t xml:space="preserve">    GTID: SGTX-DE-TRD-001234-5B6C</w:t>
      </w:r>
    </w:p>
    <w:p>
      <w:pPr>
        <w:spacing w:after="0" w:before="0" w:line="240" w:lineRule="auto"/>
        <w:ind w:left="57"/>
        <w:jc w:val="left"/>
        <w:shd w:val="clear" w:fill="F2F2F2"/>
      </w:pPr>
      <w:r>
        <w:rPr>
          <w:rFonts w:ascii="Consolas" w:hAnsi="Consolas" w:cs="Consolas"/>
          <w:b w:val="0"/>
          <w:i w:val="0"/>
          <w:sz w:val="15"/>
        </w:rPr>
        <w:t xml:space="preserve">    Tax ID: DE123456789</w:t>
      </w:r>
    </w:p>
    <w:p>
      <w:pPr>
        <w:spacing w:after="0" w:before="0" w:line="240" w:lineRule="auto"/>
        <w:ind w:left="57"/>
        <w:jc w:val="left"/>
        <w:shd w:val="clear" w:fill="F2F2F2"/>
      </w:pPr>
      <w:r>
        <w:rPr>
          <w:rFonts w:ascii="Consolas" w:hAnsi="Consolas" w:cs="Consolas"/>
          <w:b w:val="0"/>
          <w:i w:val="0"/>
          <w:sz w:val="15"/>
        </w:rPr>
        <w:t xml:space="preserve">    Address: 456 Import Street, Hamburg, Germany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SHIPMENT DETAILS</w:t>
      </w:r>
    </w:p>
    <w:p>
      <w:pPr>
        <w:spacing w:after="0" w:before="0" w:line="240" w:lineRule="auto"/>
        <w:ind w:left="57"/>
        <w:jc w:val="left"/>
        <w:shd w:val="clear" w:fill="F2F2F2"/>
      </w:pPr>
      <w:r>
        <w:rPr>
          <w:rFonts w:ascii="Consolas" w:hAnsi="Consolas" w:cs="Consolas"/>
          <w:b w:val="0"/>
          <w:i w:val="0"/>
          <w:sz w:val="15"/>
        </w:rPr>
        <w:t xml:space="preserve">  Transport Mode: Ocean</w:t>
      </w:r>
    </w:p>
    <w:p>
      <w:pPr>
        <w:spacing w:after="0" w:before="0" w:line="240" w:lineRule="auto"/>
        <w:ind w:left="57"/>
        <w:jc w:val="left"/>
        <w:shd w:val="clear" w:fill="F2F2F2"/>
      </w:pPr>
      <w:r>
        <w:rPr>
          <w:rFonts w:ascii="Consolas" w:hAnsi="Consolas" w:cs="Consolas"/>
          <w:b w:val="0"/>
          <w:i w:val="0"/>
          <w:sz w:val="15"/>
        </w:rPr>
        <w:t xml:space="preserve">  Vessel: MSC FIONA | Voyage: MSF123E</w:t>
      </w:r>
    </w:p>
    <w:p>
      <w:pPr>
        <w:spacing w:after="0" w:before="0" w:line="240" w:lineRule="auto"/>
        <w:ind w:left="57"/>
        <w:jc w:val="left"/>
        <w:shd w:val="clear" w:fill="F2F2F2"/>
      </w:pPr>
      <w:r>
        <w:rPr>
          <w:rFonts w:ascii="Consolas" w:hAnsi="Consolas" w:cs="Consolas"/>
          <w:b w:val="0"/>
          <w:i w:val="0"/>
          <w:sz w:val="15"/>
        </w:rPr>
        <w:t xml:space="preserve">  Port of Loading: Damietta (EGDAM) | Port of Discharge: Hamburg (DEHAM)</w:t>
      </w:r>
    </w:p>
    <w:p>
      <w:pPr>
        <w:spacing w:after="0" w:before="0" w:line="240" w:lineRule="auto"/>
        <w:ind w:left="57"/>
        <w:jc w:val="left"/>
        <w:shd w:val="clear" w:fill="F2F2F2"/>
      </w:pPr>
      <w:r>
        <w:rPr>
          <w:rFonts w:ascii="Consolas" w:hAnsi="Consolas" w:cs="Consolas"/>
          <w:b w:val="0"/>
          <w:i w:val="0"/>
          <w:sz w:val="15"/>
        </w:rPr>
        <w:t xml:space="preserve">  ETD: 2026-06-20 08:00 UTC | ETA: 2026-07-05 14:00 UTC</w:t>
      </w:r>
    </w:p>
    <w:p>
      <w:pPr>
        <w:spacing w:after="0" w:before="0" w:line="240" w:lineRule="auto"/>
        <w:ind w:left="57"/>
        <w:jc w:val="left"/>
        <w:shd w:val="clear" w:fill="F2F2F2"/>
      </w:pPr>
      <w:r>
        <w:rPr>
          <w:rFonts w:ascii="Consolas" w:hAnsi="Consolas" w:cs="Consolas"/>
          <w:b w:val="0"/>
          <w:i w:val="0"/>
          <w:sz w:val="15"/>
        </w:rPr>
        <w:t xml:space="preserve">  Incoterm: CFR | Trade Criticality: PRIORITY</w:t>
      </w:r>
    </w:p>
    <w:p>
      <w:pPr>
        <w:spacing w:after="0" w:before="0" w:line="240" w:lineRule="auto"/>
        <w:ind w:left="57"/>
        <w:jc w:val="left"/>
        <w:shd w:val="clear" w:fill="F2F2F2"/>
      </w:pPr>
      <w:r>
        <w:rPr>
          <w:rFonts w:ascii="Consolas" w:hAnsi="Consolas" w:cs="Consolas"/>
          <w:b w:val="0"/>
          <w:i w:val="0"/>
          <w:sz w:val="15"/>
        </w:rPr>
        <w:t xml:space="preserve">  Partial Shipment: NO | Transshipment: NO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DOCUMENT REFERENCES</w:t>
      </w:r>
    </w:p>
    <w:p>
      <w:pPr>
        <w:spacing w:after="0" w:before="0" w:line="240" w:lineRule="auto"/>
        <w:ind w:left="57"/>
        <w:jc w:val="left"/>
        <w:shd w:val="clear" w:fill="F2F2F2"/>
      </w:pPr>
      <w:r>
        <w:rPr>
          <w:rFonts w:ascii="Consolas" w:hAnsi="Consolas" w:cs="Consolas"/>
          <w:b w:val="0"/>
          <w:i w:val="0"/>
          <w:sz w:val="15"/>
        </w:rPr>
        <w:t xml:space="preserve">  Commercial Invoice: INV-STR-2026-001</w:t>
      </w:r>
    </w:p>
    <w:p>
      <w:pPr>
        <w:spacing w:after="0" w:before="0" w:line="240" w:lineRule="auto"/>
        <w:ind w:left="57"/>
        <w:jc w:val="left"/>
        <w:shd w:val="clear" w:fill="F2F2F2"/>
      </w:pPr>
      <w:r>
        <w:rPr>
          <w:rFonts w:ascii="Consolas" w:hAnsi="Consolas" w:cs="Consolas"/>
          <w:b w:val="0"/>
          <w:i w:val="0"/>
          <w:sz w:val="15"/>
        </w:rPr>
        <w:t xml:space="preserve">  Bill of Lading: (to be issued)</w:t>
      </w:r>
    </w:p>
    <w:p>
      <w:pPr>
        <w:spacing w:after="0" w:before="0" w:line="240" w:lineRule="auto"/>
        <w:ind w:left="57"/>
        <w:jc w:val="left"/>
        <w:shd w:val="clear" w:fill="F2F2F2"/>
      </w:pPr>
      <w:r>
        <w:rPr>
          <w:rFonts w:ascii="Consolas" w:hAnsi="Consolas" w:cs="Consolas"/>
          <w:b w:val="0"/>
          <w:i w:val="0"/>
          <w:sz w:val="15"/>
        </w:rPr>
        <w:t xml:space="preserve">  Phytosanitary Certificate: (to be issued)</w:t>
      </w:r>
    </w:p>
    <w:p>
      <w:pPr>
        <w:spacing w:after="0" w:before="0" w:line="240" w:lineRule="auto"/>
        <w:ind w:left="57"/>
        <w:jc w:val="left"/>
        <w:shd w:val="clear" w:fill="F2F2F2"/>
      </w:pPr>
      <w:r>
        <w:rPr>
          <w:rFonts w:ascii="Consolas" w:hAnsi="Consolas" w:cs="Consolas"/>
          <w:b w:val="0"/>
          <w:i w:val="0"/>
          <w:sz w:val="15"/>
        </w:rPr>
        <w:t xml:space="preserve">  Health Certificate: (to be issued)</w:t>
      </w:r>
    </w:p>
    <w:p>
      <w:pPr>
        <w:spacing w:after="0" w:before="0" w:line="240" w:lineRule="auto"/>
        <w:ind w:left="57"/>
        <w:jc w:val="left"/>
        <w:shd w:val="clear" w:fill="F2F2F2"/>
      </w:pPr>
      <w:r>
        <w:rPr>
          <w:rFonts w:ascii="Consolas" w:hAnsi="Consolas" w:cs="Consolas"/>
          <w:b w:val="0"/>
          <w:i w:val="0"/>
          <w:sz w:val="15"/>
        </w:rPr>
        <w:t xml:space="preserve">  Certificate of Origin: (to be issued)</w:t>
      </w:r>
    </w:p>
    <w:p>
      <w:pPr>
        <w:spacing w:after="0" w:before="0" w:line="240" w:lineRule="auto"/>
        <w:ind w:left="57"/>
        <w:jc w:val="left"/>
        <w:shd w:val="clear" w:fill="F2F2F2"/>
      </w:pPr>
      <w:r>
        <w:rPr>
          <w:rFonts w:ascii="Consolas" w:hAnsi="Consolas" w:cs="Consolas"/>
          <w:b w:val="0"/>
          <w:i w:val="0"/>
          <w:sz w:val="15"/>
        </w:rPr>
        <w:t xml:space="preserve">  Insurance Certificate: INS-2026-001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COMMODITY SUMMARY</w:t>
      </w:r>
    </w:p>
    <w:p>
      <w:pPr>
        <w:spacing w:after="0" w:before="0" w:line="240" w:lineRule="auto"/>
        <w:ind w:left="57"/>
        <w:jc w:val="left"/>
        <w:shd w:val="clear" w:fill="F2F2F2"/>
      </w:pPr>
      <w:r>
        <w:rPr>
          <w:rFonts w:ascii="Consolas" w:hAnsi="Consolas" w:cs="Consolas"/>
          <w:b w:val="0"/>
          <w:i w:val="0"/>
          <w:sz w:val="15"/>
        </w:rPr>
        <w:t xml:space="preserve">  Commodity | HS Code | Quantity | Tolerance | Total Weight</w:t>
      </w:r>
    </w:p>
    <w:p>
      <w:pPr>
        <w:spacing w:after="0" w:before="0" w:line="240" w:lineRule="auto"/>
        <w:ind w:left="57"/>
        <w:jc w:val="left"/>
        <w:shd w:val="clear" w:fill="F2F2F2"/>
      </w:pPr>
      <w:r>
        <w:rPr>
          <w:rFonts w:ascii="Consolas" w:hAnsi="Consolas" w:cs="Consolas"/>
          <w:b w:val="0"/>
          <w:i w:val="0"/>
          <w:sz w:val="15"/>
        </w:rPr>
        <w:t xml:space="preserve">  Oranges   | 0805.10 | 100 MT   | ±5%       | 8,800 kg</w:t>
      </w:r>
    </w:p>
    <w:p>
      <w:pPr>
        <w:spacing w:after="0" w:before="0" w:line="240" w:lineRule="auto"/>
        <w:ind w:left="57"/>
        <w:jc w:val="left"/>
        <w:shd w:val="clear" w:fill="F2F2F2"/>
      </w:pPr>
      <w:r>
        <w:rPr>
          <w:rFonts w:ascii="Consolas" w:hAnsi="Consolas" w:cs="Consolas"/>
          <w:b w:val="0"/>
          <w:i w:val="0"/>
          <w:sz w:val="15"/>
        </w:rPr>
        <w:t xml:space="preserve">  Lemons    | 0805.50 | 50 MT    | ±5%       | 5,376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ACCEPTANCE CRITERIA (For Inspection)</w:t>
      </w:r>
    </w:p>
    <w:p>
      <w:pPr>
        <w:spacing w:after="0" w:before="0" w:line="240" w:lineRule="auto"/>
        <w:ind w:left="57"/>
        <w:jc w:val="left"/>
        <w:shd w:val="clear" w:fill="F2F2F2"/>
      </w:pPr>
      <w:r>
        <w:rPr>
          <w:rFonts w:ascii="Consolas" w:hAnsi="Consolas" w:cs="Consolas"/>
          <w:b w:val="0"/>
          <w:i w:val="0"/>
          <w:sz w:val="15"/>
        </w:rPr>
        <w:t xml:space="preserve">  Parameter            | Value / Limit | Unit | Status</w:t>
      </w:r>
    </w:p>
    <w:p>
      <w:pPr>
        <w:spacing w:after="0" w:before="0" w:line="240" w:lineRule="auto"/>
        <w:ind w:left="57"/>
        <w:jc w:val="left"/>
        <w:shd w:val="clear" w:fill="F2F2F2"/>
      </w:pPr>
      <w:r>
        <w:rPr>
          <w:rFonts w:ascii="Consolas" w:hAnsi="Consolas" w:cs="Consolas"/>
          <w:b w:val="0"/>
          <w:i w:val="0"/>
          <w:sz w:val="15"/>
        </w:rPr>
        <w:t xml:space="preserve">  Moisture (Oranges)   | Max 14%       | %    | To be verified</w:t>
      </w:r>
    </w:p>
    <w:p>
      <w:pPr>
        <w:spacing w:after="0" w:before="0" w:line="240" w:lineRule="auto"/>
        <w:ind w:left="57"/>
        <w:jc w:val="left"/>
        <w:shd w:val="clear" w:fill="F2F2F2"/>
      </w:pPr>
      <w:r>
        <w:rPr>
          <w:rFonts w:ascii="Consolas" w:hAnsi="Consolas" w:cs="Consolas"/>
          <w:b w:val="0"/>
          <w:i w:val="0"/>
          <w:sz w:val="15"/>
        </w:rPr>
        <w:t xml:space="preserve">  Protein (Oranges)    | Min 12%       | %    | To be verified</w:t>
      </w:r>
    </w:p>
    <w:p>
      <w:pPr>
        <w:spacing w:after="0" w:before="0" w:line="240" w:lineRule="auto"/>
        <w:ind w:left="57"/>
        <w:jc w:val="left"/>
        <w:shd w:val="clear" w:fill="F2F2F2"/>
      </w:pPr>
      <w:r>
        <w:rPr>
          <w:rFonts w:ascii="Consolas" w:hAnsi="Consolas" w:cs="Consolas"/>
          <w:b w:val="0"/>
          <w:i w:val="0"/>
          <w:sz w:val="15"/>
        </w:rPr>
        <w:t xml:space="preserve">  Purity (Oranges)     | Min 99%       | %    | To be verified</w:t>
      </w:r>
    </w:p>
    <w:p>
      <w:pPr>
        <w:spacing w:after="0" w:before="0" w:line="240" w:lineRule="auto"/>
        <w:ind w:left="57"/>
        <w:jc w:val="left"/>
        <w:shd w:val="clear" w:fill="F2F2F2"/>
      </w:pPr>
      <w:r>
        <w:rPr>
          <w:rFonts w:ascii="Consolas" w:hAnsi="Consolas" w:cs="Consolas"/>
          <w:b w:val="0"/>
          <w:i w:val="0"/>
          <w:sz w:val="15"/>
        </w:rPr>
        <w:t xml:space="preserve">  Moisture (Lemons)    | Max 15%       | %    | To be verified</w:t>
      </w:r>
    </w:p>
    <w:p>
      <w:pPr>
        <w:spacing w:after="0" w:before="0" w:line="240" w:lineRule="auto"/>
        <w:ind w:left="57"/>
        <w:jc w:val="left"/>
        <w:shd w:val="clear" w:fill="F2F2F2"/>
      </w:pPr>
      <w:r>
        <w:rPr>
          <w:rFonts w:ascii="Consolas" w:hAnsi="Consolas" w:cs="Consolas"/>
          <w:b w:val="0"/>
          <w:i w:val="0"/>
          <w:sz w:val="15"/>
        </w:rPr>
        <w:t xml:space="preserve">  Acidity (Lemons)     | Min 5%        | %    | To be verified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PALLET DETAILS</w:t>
      </w:r>
    </w:p>
    <w:p>
      <w:pPr>
        <w:spacing w:after="0" w:before="0" w:line="240" w:lineRule="auto"/>
        <w:ind w:left="57"/>
        <w:jc w:val="left"/>
        <w:shd w:val="clear" w:fill="F2F2F2"/>
      </w:pPr>
      <w:r>
        <w:rPr>
          <w:rFonts w:ascii="Consolas" w:hAnsi="Consolas" w:cs="Consolas"/>
          <w:b w:val="0"/>
          <w:i w:val="0"/>
          <w:sz w:val="15"/>
        </w:rPr>
        <w:t xml:space="preserve">  Pallet ID | SSCC              | Product | Cartons | Net (kg) | Gross (kg)</w:t>
      </w:r>
    </w:p>
    <w:p>
      <w:pPr>
        <w:spacing w:after="0" w:before="0" w:line="240" w:lineRule="auto"/>
        <w:ind w:left="57"/>
        <w:jc w:val="left"/>
        <w:shd w:val="clear" w:fill="F2F2F2"/>
      </w:pPr>
      <w:r>
        <w:rPr>
          <w:rFonts w:ascii="Consolas" w:hAnsi="Consolas" w:cs="Consolas"/>
          <w:b w:val="0"/>
          <w:i w:val="0"/>
          <w:sz w:val="15"/>
        </w:rPr>
        <w:t xml:space="preserve">  OR-001    | 106141411234567890 | Oranges | 111*    | 1,110    | 1,165</w:t>
      </w:r>
    </w:p>
    <w:p>
      <w:pPr>
        <w:spacing w:after="0" w:before="0" w:line="240" w:lineRule="auto"/>
        <w:ind w:left="57"/>
        <w:jc w:val="left"/>
        <w:shd w:val="clear" w:fill="F2F2F2"/>
      </w:pPr>
      <w:r>
        <w:rPr>
          <w:rFonts w:ascii="Consolas" w:hAnsi="Consolas" w:cs="Consolas"/>
          <w:b w:val="0"/>
          <w:i w:val="0"/>
          <w:sz w:val="15"/>
        </w:rPr>
        <w:t xml:space="preserve">  OR-002    | 106141411234567891 | Oranges | 111*    | 1,110    | 1,165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OR-022    | 106141411234567911 | Oranges | 111*    | 1,110    | 1,165</w:t>
      </w:r>
    </w:p>
    <w:p>
      <w:pPr>
        <w:spacing w:after="0" w:before="0" w:line="240" w:lineRule="auto"/>
        <w:ind w:left="57"/>
        <w:jc w:val="left"/>
        <w:shd w:val="clear" w:fill="F2F2F2"/>
      </w:pPr>
      <w:r>
        <w:rPr>
          <w:rFonts w:ascii="Consolas" w:hAnsi="Consolas" w:cs="Consolas"/>
          <w:b w:val="0"/>
          <w:i w:val="0"/>
          <w:sz w:val="15"/>
        </w:rPr>
        <w:t xml:space="preserve">  LE-001    | 106141411234567912 | Lemons  | 48      | 384      | 403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LE-014    | 106141411234567925 | Lemons  | 48      | 384      | 403</w:t>
      </w:r>
    </w:p>
    <w:p>
      <w:pPr>
        <w:spacing w:after="0" w:before="0" w:line="240" w:lineRule="auto"/>
        <w:ind w:left="57"/>
        <w:jc w:val="left"/>
        <w:shd w:val="clear" w:fill="F2F2F2"/>
      </w:pPr>
      <w:r>
        <w:rPr>
          <w:rFonts w:ascii="Consolas" w:hAnsi="Consolas" w:cs="Consolas"/>
          <w:b w:val="0"/>
          <w:i w:val="0"/>
          <w:sz w:val="15"/>
        </w:rPr>
        <w:t xml:space="preserve">  * Mixed layers: 11×10 + 1×1 cartons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PALLET LAYER BREAKDOWN (Non-Uniform Stacks)</w:t>
      </w:r>
    </w:p>
    <w:p>
      <w:pPr>
        <w:spacing w:after="0" w:before="0" w:line="240" w:lineRule="auto"/>
        <w:ind w:left="57"/>
        <w:jc w:val="left"/>
        <w:shd w:val="clear" w:fill="F2F2F2"/>
      </w:pPr>
      <w:r>
        <w:rPr>
          <w:rFonts w:ascii="Consolas" w:hAnsi="Consolas" w:cs="Consolas"/>
          <w:b w:val="0"/>
          <w:i w:val="0"/>
          <w:sz w:val="15"/>
        </w:rPr>
        <w:t xml:space="preserve">  Pallet ID | Layer Pattern Details</w:t>
      </w:r>
    </w:p>
    <w:p>
      <w:pPr>
        <w:spacing w:after="0" w:before="0" w:line="240" w:lineRule="auto"/>
        <w:ind w:left="57"/>
        <w:jc w:val="left"/>
        <w:shd w:val="clear" w:fill="F2F2F2"/>
      </w:pPr>
      <w:r>
        <w:rPr>
          <w:rFonts w:ascii="Consolas" w:hAnsi="Consolas" w:cs="Consolas"/>
          <w:b w:val="0"/>
          <w:i w:val="0"/>
          <w:sz w:val="15"/>
        </w:rPr>
        <w:t xml:space="preserve">  OR-001    | Base: 11 layers × 10 cartons (Standard)</w:t>
      </w:r>
    </w:p>
    <w:p>
      <w:pPr>
        <w:spacing w:after="0" w:before="0" w:line="240" w:lineRule="auto"/>
        <w:ind w:left="57"/>
        <w:jc w:val="left"/>
        <w:shd w:val="clear" w:fill="F2F2F2"/>
      </w:pPr>
      <w:r>
        <w:rPr>
          <w:rFonts w:ascii="Consolas" w:hAnsi="Consolas" w:cs="Consolas"/>
          <w:b w:val="0"/>
          <w:i w:val="0"/>
          <w:sz w:val="15"/>
        </w:rPr>
        <w:t xml:space="preserve">             Top: 1 layer × 1 carton (Centered)</w:t>
      </w:r>
    </w:p>
    <w:p>
      <w:pPr>
        <w:spacing w:after="0" w:before="0" w:line="240" w:lineRule="auto"/>
        <w:ind w:left="57"/>
        <w:jc w:val="left"/>
        <w:shd w:val="clear" w:fill="F2F2F2"/>
      </w:pPr>
      <w:r>
        <w:rPr>
          <w:rFonts w:ascii="Consolas" w:hAnsi="Consolas" w:cs="Consolas"/>
          <w:b w:val="0"/>
          <w:i w:val="0"/>
          <w:sz w:val="15"/>
        </w:rPr>
        <w:t xml:space="preserve">             Total: 111 cartons | Height: 2,544 mm</w:t>
      </w:r>
    </w:p>
    <w:p>
      <w:pPr>
        <w:spacing w:after="0" w:before="0" w:line="240" w:lineRule="auto"/>
        <w:ind w:left="57"/>
        <w:jc w:val="left"/>
        <w:shd w:val="clear" w:fill="F2F2F2"/>
      </w:pPr>
      <w:r>
        <w:rPr>
          <w:rFonts w:ascii="Consolas" w:hAnsi="Consolas" w:cs="Consolas"/>
          <w:b w:val="0"/>
          <w:i w:val="0"/>
          <w:sz w:val="15"/>
        </w:rPr>
        <w:t xml:space="preserve">  LE-001    | Uniform: 6 layers × 8 cartons (Standard)</w:t>
      </w:r>
    </w:p>
    <w:p>
      <w:pPr>
        <w:spacing w:after="0" w:before="0" w:line="240" w:lineRule="auto"/>
        <w:ind w:left="57"/>
        <w:jc w:val="left"/>
        <w:shd w:val="clear" w:fill="F2F2F2"/>
      </w:pPr>
      <w:r>
        <w:rPr>
          <w:rFonts w:ascii="Consolas" w:hAnsi="Consolas" w:cs="Consolas"/>
          <w:b w:val="0"/>
          <w:i w:val="0"/>
          <w:sz w:val="15"/>
        </w:rPr>
        <w:t xml:space="preserve">             Total: 48 cartons | Height: 1,344 mm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TREATMENT CERTIFICATES</w:t>
      </w:r>
    </w:p>
    <w:p>
      <w:pPr>
        <w:spacing w:after="0" w:before="0" w:line="240" w:lineRule="auto"/>
        <w:ind w:left="57"/>
        <w:jc w:val="left"/>
        <w:shd w:val="clear" w:fill="F2F2F2"/>
      </w:pPr>
      <w:r>
        <w:rPr>
          <w:rFonts w:ascii="Consolas" w:hAnsi="Consolas" w:cs="Consolas"/>
          <w:b w:val="0"/>
          <w:i w:val="0"/>
          <w:sz w:val="15"/>
        </w:rPr>
        <w:t xml:space="preserve">  Certificate Type        | Reference    | Issued By                   | Status</w:t>
      </w:r>
    </w:p>
    <w:p>
      <w:pPr>
        <w:spacing w:after="0" w:before="0" w:line="240" w:lineRule="auto"/>
        <w:ind w:left="57"/>
        <w:jc w:val="left"/>
        <w:shd w:val="clear" w:fill="F2F2F2"/>
      </w:pPr>
      <w:r>
        <w:rPr>
          <w:rFonts w:ascii="Consolas" w:hAnsi="Consolas" w:cs="Consolas"/>
          <w:b w:val="0"/>
          <w:i w:val="0"/>
          <w:sz w:val="15"/>
        </w:rPr>
        <w:t xml:space="preserve">  Cold Treatment (Oranges)| CT-2026-001  | Egyptian Cold Treatment Ctr | Completed</w:t>
      </w:r>
    </w:p>
    <w:p>
      <w:pPr>
        <w:spacing w:after="0" w:before="0" w:line="240" w:lineRule="auto"/>
        <w:ind w:left="57"/>
        <w:jc w:val="left"/>
        <w:shd w:val="clear" w:fill="F2F2F2"/>
      </w:pPr>
      <w:r>
        <w:rPr>
          <w:rFonts w:ascii="Consolas" w:hAnsi="Consolas" w:cs="Consolas"/>
          <w:b w:val="0"/>
          <w:i w:val="0"/>
          <w:sz w:val="15"/>
        </w:rPr>
        <w:t xml:space="preserve">  Phytosanitary           | (to be iss.) | Egyptian Plant Quarantine   |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SPECIAL TRADE INSTRUCTIONS</w:t>
      </w:r>
    </w:p>
    <w:p>
      <w:pPr>
        <w:spacing w:after="0" w:before="0" w:line="240" w:lineRule="auto"/>
        <w:ind w:left="57"/>
        <w:jc w:val="left"/>
        <w:shd w:val="clear" w:fill="F2F2F2"/>
      </w:pPr>
      <w:r>
        <w:rPr>
          <w:rFonts w:ascii="Consolas" w:hAnsi="Consolas" w:cs="Consolas"/>
          <w:b w:val="0"/>
          <w:i w:val="0"/>
          <w:sz w:val="15"/>
        </w:rPr>
        <w:t xml:space="preserve">  - Arabic labels mandatory on all cartons.</w:t>
      </w:r>
    </w:p>
    <w:p>
      <w:pPr>
        <w:spacing w:after="0" w:before="0" w:line="240" w:lineRule="auto"/>
        <w:ind w:left="57"/>
        <w:jc w:val="left"/>
        <w:shd w:val="clear" w:fill="F2F2F2"/>
      </w:pPr>
      <w:r>
        <w:rPr>
          <w:rFonts w:ascii="Consolas" w:hAnsi="Consolas" w:cs="Consolas"/>
          <w:b w:val="0"/>
          <w:i w:val="0"/>
          <w:sz w:val="15"/>
        </w:rPr>
        <w:t xml:space="preserve">  - No wooden pallets (ISPM 15 compliant only).</w:t>
      </w:r>
    </w:p>
    <w:p>
      <w:pPr>
        <w:spacing w:after="0" w:before="0" w:line="240" w:lineRule="auto"/>
        <w:ind w:left="57"/>
        <w:jc w:val="left"/>
        <w:shd w:val="clear" w:fill="F2F2F2"/>
      </w:pPr>
      <w:r>
        <w:rPr>
          <w:rFonts w:ascii="Consolas" w:hAnsi="Consolas" w:cs="Consolas"/>
          <w:b w:val="0"/>
          <w:i w:val="0"/>
          <w:sz w:val="15"/>
        </w:rPr>
        <w:t xml:space="preserve">  - Halal certification required.</w:t>
      </w:r>
    </w:p>
    <w:p>
      <w:pPr>
        <w:spacing w:after="0" w:before="0" w:line="240" w:lineRule="auto"/>
        <w:ind w:left="57"/>
        <w:jc w:val="left"/>
        <w:shd w:val="clear" w:fill="F2F2F2"/>
      </w:pPr>
      <w:r>
        <w:rPr>
          <w:rFonts w:ascii="Consolas" w:hAnsi="Consolas" w:cs="Consolas"/>
          <w:b w:val="0"/>
          <w:i w:val="0"/>
          <w:sz w:val="15"/>
        </w:rPr>
        <w:t xml:space="preserve">  -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 Original Bill of Lading to be sent by DHL.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WEIGHT SUMMARY</w:t>
      </w:r>
    </w:p>
    <w:p>
      <w:pPr>
        <w:spacing w:after="0" w:before="0" w:line="240" w:lineRule="auto"/>
        <w:ind w:left="57"/>
        <w:jc w:val="left"/>
        <w:shd w:val="clear" w:fill="F2F2F2"/>
      </w:pPr>
      <w:r>
        <w:rPr>
          <w:rFonts w:ascii="Consolas" w:hAnsi="Consolas" w:cs="Consolas"/>
          <w:b w:val="0"/>
          <w:i w:val="0"/>
          <w:sz w:val="15"/>
        </w:rPr>
        <w:t xml:space="preserve">  Total Pallets: 36 | Total Cartons: 1,552</w:t>
      </w:r>
    </w:p>
    <w:p>
      <w:pPr>
        <w:spacing w:after="0" w:before="0" w:line="240" w:lineRule="auto"/>
        <w:ind w:left="57"/>
        <w:jc w:val="left"/>
        <w:shd w:val="clear" w:fill="F2F2F2"/>
      </w:pPr>
      <w:r>
        <w:rPr>
          <w:rFonts w:ascii="Consolas" w:hAnsi="Consolas" w:cs="Consolas"/>
          <w:b w:val="0"/>
          <w:i w:val="0"/>
          <w:sz w:val="15"/>
        </w:rPr>
        <w:t xml:space="preserve">  Total Net Weight: 14,176 kg</w:t>
      </w:r>
    </w:p>
    <w:p>
      <w:pPr>
        <w:spacing w:after="0" w:before="0" w:line="240" w:lineRule="auto"/>
        <w:ind w:left="57"/>
        <w:jc w:val="left"/>
        <w:shd w:val="clear" w:fill="F2F2F2"/>
      </w:pPr>
      <w:r>
        <w:rPr>
          <w:rFonts w:ascii="Consolas" w:hAnsi="Consolas" w:cs="Consolas"/>
          <w:b w:val="0"/>
          <w:i w:val="0"/>
          <w:sz w:val="15"/>
        </w:rPr>
        <w:t xml:space="preserve">  Total Gross Weight (cartons only): 14,884.8 kg</w:t>
      </w:r>
    </w:p>
    <w:p>
      <w:pPr>
        <w:spacing w:after="0" w:before="0" w:line="240" w:lineRule="auto"/>
        <w:ind w:left="57"/>
        <w:jc w:val="left"/>
        <w:shd w:val="clear" w:fill="F2F2F2"/>
      </w:pPr>
      <w:r>
        <w:rPr>
          <w:rFonts w:ascii="Consolas" w:hAnsi="Consolas" w:cs="Consolas"/>
          <w:b w:val="0"/>
          <w:i w:val="0"/>
          <w:sz w:val="15"/>
        </w:rPr>
        <w:t xml:space="preserve">  Pallet Tare: 900 kg</w:t>
      </w:r>
    </w:p>
    <w:p>
      <w:pPr>
        <w:spacing w:after="0" w:before="0" w:line="240" w:lineRule="auto"/>
        <w:ind w:left="57"/>
        <w:jc w:val="left"/>
        <w:shd w:val="clear" w:fill="F2F2F2"/>
      </w:pPr>
      <w:r>
        <w:rPr>
          <w:rFonts w:ascii="Consolas" w:hAnsi="Consolas" w:cs="Consolas"/>
          <w:b w:val="0"/>
          <w:i w:val="0"/>
          <w:sz w:val="15"/>
        </w:rPr>
        <w:t xml:space="preserve">  TOTAL GROSS WEIGHT (including pallets): 15,784.8 kg</w:t>
      </w:r>
    </w:p>
    <w:p>
      <w:pPr>
        <w:spacing w:after="0" w:before="0" w:line="240" w:lineRule="auto"/>
        <w:ind w:left="57"/>
        <w:jc w:val="left"/>
        <w:shd w:val="clear" w:fill="F2F2F2"/>
      </w:pPr>
      <w:r>
        <w:rPr>
          <w:rFonts w:ascii="Consolas" w:hAnsi="Consolas" w:cs="Consolas"/>
          <w:b w:val="0"/>
          <w:i w:val="0"/>
          <w:sz w:val="15"/>
        </w:rPr>
        <w:t xml:space="preserve">  Container: 40ft Reefer | Max Payload: 28,000 kg | Utilisation: 56.4%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QR CODE</w:t>
      </w:r>
    </w:p>
    <w:p>
      <w:pPr>
        <w:spacing w:after="0" w:before="0" w:line="240" w:lineRule="auto"/>
        <w:ind w:left="57"/>
        <w:jc w:val="left"/>
        <w:shd w:val="clear" w:fill="F2F2F2"/>
      </w:pPr>
      <w:r>
        <w:rPr>
          <w:rFonts w:ascii="Consolas" w:hAnsi="Consolas" w:cs="Consolas"/>
          <w:b w:val="0"/>
          <w:i w:val="0"/>
          <w:sz w:val="15"/>
        </w:rPr>
        <w:t xml:space="preserve">  Scan to verify: https://sgtx.io/verify/ustn/SGTX-EG-26-F3A-1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DIGITAL SIGNATURE</w:t>
      </w:r>
    </w:p>
    <w:p>
      <w:pPr>
        <w:spacing w:after="0" w:before="0" w:line="240" w:lineRule="auto"/>
        <w:ind w:left="57"/>
        <w:jc w:val="left"/>
        <w:shd w:val="clear" w:fill="F2F2F2"/>
      </w:pPr>
      <w:r>
        <w:rPr>
          <w:rFonts w:ascii="Consolas" w:hAnsi="Consolas" w:cs="Consolas"/>
          <w:b w:val="0"/>
          <w:i w:val="0"/>
          <w:sz w:val="15"/>
        </w:rPr>
        <w:t xml:space="preserve">  Signed by: SGTX Platform</w:t>
      </w:r>
    </w:p>
    <w:p>
      <w:pPr>
        <w:spacing w:after="0" w:before="0" w:line="240" w:lineRule="auto"/>
        <w:ind w:left="57"/>
        <w:jc w:val="left"/>
        <w:shd w:val="clear" w:fill="F2F2F2"/>
      </w:pPr>
      <w:r>
        <w:rPr>
          <w:rFonts w:ascii="Consolas" w:hAnsi="Consolas" w:cs="Consolas"/>
          <w:b w:val="0"/>
          <w:i w:val="0"/>
          <w:sz w:val="15"/>
        </w:rPr>
        <w:t xml:space="preserve">  Algorithm: Ed25519</w:t>
      </w:r>
    </w:p>
    <w:p>
      <w:pPr>
        <w:spacing w:after="0" w:before="0" w:line="240" w:lineRule="auto"/>
        <w:ind w:left="57"/>
        <w:jc w:val="left"/>
        <w:shd w:val="clear" w:fill="F2F2F2"/>
      </w:pPr>
      <w:r>
        <w:rPr>
          <w:rFonts w:ascii="Consolas" w:hAnsi="Consolas" w:cs="Consolas"/>
          <w:b w:val="0"/>
          <w:i w:val="0"/>
          <w:sz w:val="15"/>
        </w:rPr>
        <w:t xml:space="preserve">  Signature: MIAGCSqGSIb3DQEHAqCAMIACAQExDzANBglghkgBZQMEAgEFADCABgkqhkiG9w0BBwEAAKCAMIIB...</w:t>
      </w:r>
    </w:p>
    <w:p>
      <w:pPr>
        <w:spacing w:after="0" w:before="0" w:line="240" w:lineRule="auto"/>
        <w:ind w:left="57"/>
        <w:jc w:val="left"/>
        <w:shd w:val="clear" w:fill="F2F2F2"/>
      </w:pPr>
      <w:r>
        <w:rPr>
          <w:rFonts w:ascii="Consolas" w:hAnsi="Consolas" w:cs="Consolas"/>
          <w:b w:val="0"/>
          <w:i w:val="0"/>
          <w:sz w:val="15"/>
        </w:rPr>
        <w:t xml:space="preserve">  Loom Hash: sha256:a1b2c3d4e5f6...</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8.5.2.2 JSON Structure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"packing_list_id": "PL-2026-001",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"contract_id": "MC-20260415-001",</w:t>
      </w:r>
    </w:p>
    <w:p>
      <w:pPr>
        <w:spacing w:after="0" w:before="0" w:line="240" w:lineRule="auto"/>
        <w:ind w:left="57"/>
        <w:jc w:val="left"/>
        <w:shd w:val="clear" w:fill="F2F2F2"/>
      </w:pPr>
      <w:r>
        <w:rPr>
          <w:rFonts w:ascii="Consolas" w:hAnsi="Consolas" w:cs="Consolas"/>
          <w:b w:val="0"/>
          <w:i w:val="0"/>
          <w:sz w:val="15"/>
        </w:rPr>
        <w:t xml:space="preserve">  "generated_at": "2026-06-20T10:30:00Z",</w:t>
      </w:r>
    </w:p>
    <w:p>
      <w:pPr>
        <w:spacing w:after="0" w:before="0" w:line="240" w:lineRule="auto"/>
        <w:ind w:left="57"/>
        <w:jc w:val="left"/>
        <w:shd w:val="clear" w:fill="F2F2F2"/>
      </w:pPr>
      <w:r>
        <w:rPr>
          <w:rFonts w:ascii="Consolas" w:hAnsi="Consolas" w:cs="Consolas"/>
          <w:b w:val="0"/>
          <w:i w:val="0"/>
          <w:sz w:val="15"/>
        </w:rPr>
        <w:t xml:space="preserve">  "version": 1,</w:t>
      </w:r>
    </w:p>
    <w:p>
      <w:pPr>
        <w:spacing w:after="0" w:before="0" w:line="240" w:lineRule="auto"/>
        <w:ind w:left="57"/>
        <w:jc w:val="left"/>
        <w:shd w:val="clear" w:fill="F2F2F2"/>
      </w:pPr>
      <w:r>
        <w:rPr>
          <w:rFonts w:ascii="Consolas" w:hAnsi="Consolas" w:cs="Consolas"/>
          <w:b w:val="0"/>
          <w:i w:val="0"/>
          <w:sz w:val="15"/>
        </w:rPr>
        <w:t xml:space="preserve">  "loom_hash": "sha256:a1b2c3...",</w:t>
      </w:r>
    </w:p>
    <w:p>
      <w:pPr>
        <w:spacing w:after="0" w:before="0" w:line="240" w:lineRule="auto"/>
        <w:ind w:left="57"/>
        <w:jc w:val="left"/>
        <w:shd w:val="clear" w:fill="F2F2F2"/>
      </w:pPr>
      <w:r>
        <w:rPr>
          <w:rFonts w:ascii="Consolas" w:hAnsi="Consolas" w:cs="Consolas"/>
          <w:b w:val="0"/>
          <w:i w:val="0"/>
          <w:sz w:val="15"/>
        </w:rPr>
        <w:t xml:space="preserve">  "parties": {</w:t>
      </w:r>
    </w:p>
    <w:p>
      <w:pPr>
        <w:spacing w:after="0" w:before="0" w:line="240" w:lineRule="auto"/>
        <w:ind w:left="57"/>
        <w:jc w:val="left"/>
        <w:shd w:val="clear" w:fill="F2F2F2"/>
      </w:pPr>
      <w:r>
        <w:rPr>
          <w:rFonts w:ascii="Consolas" w:hAnsi="Consolas" w:cs="Consolas"/>
          <w:b w:val="0"/>
          <w:i w:val="0"/>
          <w:sz w:val="15"/>
        </w:rPr>
        <w:t xml:space="preserve">    "seller": {</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"legal_name": "Strawberry Export Co.",</w:t>
      </w:r>
    </w:p>
    <w:p>
      <w:pPr>
        <w:spacing w:after="0" w:before="0" w:line="240" w:lineRule="auto"/>
        <w:ind w:left="57"/>
        <w:jc w:val="left"/>
        <w:shd w:val="clear" w:fill="F2F2F2"/>
      </w:pPr>
      <w:r>
        <w:rPr>
          <w:rFonts w:ascii="Consolas" w:hAnsi="Consolas" w:cs="Consolas"/>
          <w:b w:val="0"/>
          <w:i w:val="0"/>
          <w:sz w:val="15"/>
        </w:rPr>
        <w:t xml:space="preserve">      "tax_id": "123-456-789",</w:t>
      </w:r>
    </w:p>
    <w:p>
      <w:pPr>
        <w:spacing w:after="0" w:before="0" w:line="240" w:lineRule="auto"/>
        <w:ind w:left="57"/>
        <w:jc w:val="left"/>
        <w:shd w:val="clear" w:fill="F2F2F2"/>
      </w:pPr>
      <w:r>
        <w:rPr>
          <w:rFonts w:ascii="Consolas" w:hAnsi="Consolas" w:cs="Consolas"/>
          <w:b w:val="0"/>
          <w:i w:val="0"/>
          <w:sz w:val="15"/>
        </w:rPr>
        <w:t xml:space="preserve">      "address": "123 Export Road, Alexandria, Egypt"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"buyer": {</w:t>
      </w:r>
    </w:p>
    <w:p>
      <w:pPr>
        <w:spacing w:after="0" w:before="0" w:line="240" w:lineRule="auto"/>
        <w:ind w:left="57"/>
        <w:jc w:val="left"/>
        <w:shd w:val="clear" w:fill="F2F2F2"/>
      </w:pPr>
      <w:r>
        <w:rPr>
          <w:rFonts w:ascii="Consolas" w:hAnsi="Consolas" w:cs="Consolas"/>
          <w:b w:val="0"/>
          <w:i w:val="0"/>
          <w:sz w:val="15"/>
        </w:rPr>
        <w:t xml:space="preserve">      "gtid": "SGTX-DE-TRD-001234-5B6C",</w:t>
      </w:r>
    </w:p>
    <w:p>
      <w:pPr>
        <w:spacing w:after="0" w:before="0" w:line="240" w:lineRule="auto"/>
        <w:ind w:left="57"/>
        <w:jc w:val="left"/>
        <w:shd w:val="clear" w:fill="F2F2F2"/>
      </w:pPr>
      <w:r>
        <w:rPr>
          <w:rFonts w:ascii="Consolas" w:hAnsi="Consolas" w:cs="Consolas"/>
          <w:b w:val="0"/>
          <w:i w:val="0"/>
          <w:sz w:val="15"/>
        </w:rPr>
        <w:t xml:space="preserve">      "legal_name": "European Importer GmbH",</w:t>
      </w:r>
    </w:p>
    <w:p>
      <w:pPr>
        <w:spacing w:after="0" w:before="0" w:line="240" w:lineRule="auto"/>
        <w:ind w:left="57"/>
        <w:jc w:val="left"/>
        <w:shd w:val="clear" w:fill="F2F2F2"/>
      </w:pPr>
      <w:r>
        <w:rPr>
          <w:rFonts w:ascii="Consolas" w:hAnsi="Consolas" w:cs="Consolas"/>
          <w:b w:val="0"/>
          <w:i w:val="0"/>
          <w:sz w:val="15"/>
        </w:rPr>
        <w:t xml:space="preserve">      "tax_id": "DE123456789",</w:t>
      </w:r>
    </w:p>
    <w:p>
      <w:pPr>
        <w:spacing w:after="0" w:before="0" w:line="240" w:lineRule="auto"/>
        <w:ind w:left="57"/>
        <w:jc w:val="left"/>
        <w:shd w:val="clear" w:fill="F2F2F2"/>
      </w:pPr>
      <w:r>
        <w:rPr>
          <w:rFonts w:ascii="Consolas" w:hAnsi="Consolas" w:cs="Consolas"/>
          <w:b w:val="0"/>
          <w:i w:val="0"/>
          <w:sz w:val="15"/>
        </w:rPr>
        <w:t xml:space="preserve">      "address": "456 Import Street, Hamburg, Germany"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"shipment_details": {</w:t>
      </w:r>
    </w:p>
    <w:p>
      <w:pPr>
        <w:spacing w:after="0" w:before="0" w:line="240" w:lineRule="auto"/>
        <w:ind w:left="57"/>
        <w:jc w:val="left"/>
        <w:shd w:val="clear" w:fill="F2F2F2"/>
      </w:pPr>
      <w:r>
        <w:rPr>
          <w:rFonts w:ascii="Consolas" w:hAnsi="Consolas" w:cs="Consolas"/>
          <w:b w:val="0"/>
          <w:i w:val="0"/>
          <w:sz w:val="15"/>
        </w:rPr>
        <w:t xml:space="preserve">    "transport_mode": "OCEAN",</w:t>
      </w:r>
    </w:p>
    <w:p>
      <w:pPr>
        <w:spacing w:after="0" w:before="0" w:line="240" w:lineRule="auto"/>
        <w:ind w:left="57"/>
        <w:jc w:val="left"/>
        <w:shd w:val="clear" w:fill="F2F2F2"/>
      </w:pPr>
      <w:r>
        <w:rPr>
          <w:rFonts w:ascii="Consolas" w:hAnsi="Consolas" w:cs="Consolas"/>
          <w:b w:val="0"/>
          <w:i w:val="0"/>
          <w:sz w:val="15"/>
        </w:rPr>
        <w:t xml:space="preserve">    "vessel": "MSC FIONA",</w:t>
      </w:r>
    </w:p>
    <w:p>
      <w:pPr>
        <w:spacing w:after="0" w:before="0" w:line="240" w:lineRule="auto"/>
        <w:ind w:left="57"/>
        <w:jc w:val="left"/>
        <w:shd w:val="clear" w:fill="F2F2F2"/>
      </w:pPr>
      <w:r>
        <w:rPr>
          <w:rFonts w:ascii="Consolas" w:hAnsi="Consolas" w:cs="Consolas"/>
          <w:b w:val="0"/>
          <w:i w:val="0"/>
          <w:sz w:val="15"/>
        </w:rPr>
        <w:t xml:space="preserve">    "voyage": "MSF123E",</w:t>
      </w:r>
    </w:p>
    <w:p>
      <w:pPr>
        <w:spacing w:after="0" w:before="0" w:line="240" w:lineRule="auto"/>
        <w:ind w:left="57"/>
        <w:jc w:val="left"/>
        <w:shd w:val="clear" w:fill="F2F2F2"/>
      </w:pPr>
      <w:r>
        <w:rPr>
          <w:rFonts w:ascii="Consolas" w:hAnsi="Consolas" w:cs="Consolas"/>
          <w:b w:val="0"/>
          <w:i w:val="0"/>
          <w:sz w:val="15"/>
        </w:rPr>
        <w:t xml:space="preserve">    "port_of_loading": "EGDAM",</w:t>
      </w:r>
    </w:p>
    <w:p>
      <w:pPr>
        <w:spacing w:after="0" w:before="0" w:line="240" w:lineRule="auto"/>
        <w:ind w:left="57"/>
        <w:jc w:val="left"/>
        <w:shd w:val="clear" w:fill="F2F2F2"/>
      </w:pPr>
      <w:r>
        <w:rPr>
          <w:rFonts w:ascii="Consolas" w:hAnsi="Consolas" w:cs="Consolas"/>
          <w:b w:val="0"/>
          <w:i w:val="0"/>
          <w:sz w:val="15"/>
        </w:rPr>
        <w:t xml:space="preserve">    "port_of_discharge": "DEHAM",</w:t>
      </w:r>
    </w:p>
    <w:p>
      <w:pPr>
        <w:spacing w:after="0" w:before="0" w:line="240" w:lineRule="auto"/>
        <w:ind w:left="57"/>
        <w:jc w:val="left"/>
        <w:shd w:val="clear" w:fill="F2F2F2"/>
      </w:pPr>
      <w:r>
        <w:rPr>
          <w:rFonts w:ascii="Consolas" w:hAnsi="Consolas" w:cs="Consolas"/>
          <w:b w:val="0"/>
          <w:i w:val="0"/>
          <w:sz w:val="15"/>
        </w:rPr>
        <w:t xml:space="preserve">    "etd": "2026-06-20T08:00:00Z",</w:t>
      </w:r>
    </w:p>
    <w:p>
      <w:pPr>
        <w:spacing w:after="0" w:before="0" w:line="240" w:lineRule="auto"/>
        <w:ind w:left="57"/>
        <w:jc w:val="left"/>
        <w:shd w:val="clear" w:fill="F2F2F2"/>
      </w:pPr>
      <w:r>
        <w:rPr>
          <w:rFonts w:ascii="Consolas" w:hAnsi="Consolas" w:cs="Consolas"/>
          <w:b w:val="0"/>
          <w:i w:val="0"/>
          <w:sz w:val="15"/>
        </w:rPr>
        <w:t xml:space="preserve">    "eta": "2026-07-05T14:00:00Z",</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"trade_criticality": "PRIORITY",</w:t>
      </w:r>
    </w:p>
    <w:p>
      <w:pPr>
        <w:spacing w:after="0" w:before="0" w:line="240" w:lineRule="auto"/>
        <w:ind w:left="57"/>
        <w:jc w:val="left"/>
        <w:shd w:val="clear" w:fill="F2F2F2"/>
      </w:pPr>
      <w:r>
        <w:rPr>
          <w:rFonts w:ascii="Consolas" w:hAnsi="Consolas" w:cs="Consolas"/>
          <w:b w:val="0"/>
          <w:i w:val="0"/>
          <w:sz w:val="15"/>
        </w:rPr>
        <w:t xml:space="preserve">    "partial_shipment": false,</w:t>
      </w:r>
    </w:p>
    <w:p>
      <w:pPr>
        <w:spacing w:after="0" w:before="0" w:line="240" w:lineRule="auto"/>
        <w:ind w:left="57"/>
        <w:jc w:val="left"/>
        <w:shd w:val="clear" w:fill="F2F2F2"/>
      </w:pPr>
      <w:r>
        <w:rPr>
          <w:rFonts w:ascii="Consolas" w:hAnsi="Consolas" w:cs="Consolas"/>
          <w:b w:val="0"/>
          <w:i w:val="0"/>
          <w:sz w:val="15"/>
        </w:rPr>
        <w:t xml:space="preserve">    "transshipment":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"documents": {</w:t>
      </w:r>
    </w:p>
    <w:p>
      <w:pPr>
        <w:spacing w:after="0" w:before="0" w:line="240" w:lineRule="auto"/>
        <w:ind w:left="57"/>
        <w:jc w:val="left"/>
        <w:shd w:val="clear" w:fill="F2F2F2"/>
      </w:pPr>
      <w:r>
        <w:rPr>
          <w:rFonts w:ascii="Consolas" w:hAnsi="Consolas" w:cs="Consolas"/>
          <w:b w:val="0"/>
          <w:i w:val="0"/>
          <w:sz w:val="15"/>
        </w:rPr>
        <w:t xml:space="preserve">    "commercial_invoice": "INV-STR-2026-001",</w:t>
      </w:r>
    </w:p>
    <w:p>
      <w:pPr>
        <w:spacing w:after="0" w:before="0" w:line="240" w:lineRule="auto"/>
        <w:ind w:left="57"/>
        <w:jc w:val="left"/>
        <w:shd w:val="clear" w:fill="F2F2F2"/>
      </w:pPr>
      <w:r>
        <w:rPr>
          <w:rFonts w:ascii="Consolas" w:hAnsi="Consolas" w:cs="Consolas"/>
          <w:b w:val="0"/>
          <w:i w:val="0"/>
          <w:sz w:val="15"/>
        </w:rPr>
        <w:t xml:space="preserve">    "bill_of_lading": null,</w:t>
      </w:r>
    </w:p>
    <w:p>
      <w:pPr>
        <w:spacing w:after="0" w:before="0" w:line="240" w:lineRule="auto"/>
        <w:ind w:left="57"/>
        <w:jc w:val="left"/>
        <w:shd w:val="clear" w:fill="F2F2F2"/>
      </w:pPr>
      <w:r>
        <w:rPr>
          <w:rFonts w:ascii="Consolas" w:hAnsi="Consolas" w:cs="Consolas"/>
          <w:b w:val="0"/>
          <w:i w:val="0"/>
          <w:sz w:val="15"/>
        </w:rPr>
        <w:t xml:space="preserve">    "phytosanitary_certificate": null,</w:t>
      </w:r>
    </w:p>
    <w:p>
      <w:pPr>
        <w:spacing w:after="0" w:before="0" w:line="240" w:lineRule="auto"/>
        <w:ind w:left="57"/>
        <w:jc w:val="left"/>
        <w:shd w:val="clear" w:fill="F2F2F2"/>
      </w:pPr>
      <w:r>
        <w:rPr>
          <w:rFonts w:ascii="Consolas" w:hAnsi="Consolas" w:cs="Consolas"/>
          <w:b w:val="0"/>
          <w:i w:val="0"/>
          <w:sz w:val="15"/>
        </w:rPr>
        <w:t xml:space="preserve">    "health_certificate": null,</w:t>
      </w:r>
    </w:p>
    <w:p>
      <w:pPr>
        <w:spacing w:after="0" w:before="0" w:line="240" w:lineRule="auto"/>
        <w:ind w:left="57"/>
        <w:jc w:val="left"/>
        <w:shd w:val="clear" w:fill="F2F2F2"/>
      </w:pPr>
      <w:r>
        <w:rPr>
          <w:rFonts w:ascii="Consolas" w:hAnsi="Consolas" w:cs="Consolas"/>
          <w:b w:val="0"/>
          <w:i w:val="0"/>
          <w:sz w:val="15"/>
        </w:rPr>
        <w:t xml:space="preserve">    "certificate_of_origin": null,</w:t>
      </w:r>
    </w:p>
    <w:p>
      <w:pPr>
        <w:spacing w:after="0" w:before="0" w:line="240" w:lineRule="auto"/>
        <w:ind w:left="57"/>
        <w:jc w:val="left"/>
        <w:shd w:val="clear" w:fill="F2F2F2"/>
      </w:pPr>
      <w:r>
        <w:rPr>
          <w:rFonts w:ascii="Consolas" w:hAnsi="Consolas" w:cs="Consolas"/>
          <w:b w:val="0"/>
          <w:i w:val="0"/>
          <w:sz w:val="15"/>
        </w:rPr>
        <w:t xml:space="preserve">    "insurance_certificate": "INS-2026-001"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"commodities":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"product_name": "Valencia Oranges",</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"requested_quantity": 100,</w:t>
      </w:r>
    </w:p>
    <w:p>
      <w:pPr>
        <w:spacing w:after="0" w:before="0" w:line="240" w:lineRule="auto"/>
        <w:ind w:left="57"/>
        <w:jc w:val="left"/>
        <w:shd w:val="clear" w:fill="F2F2F2"/>
      </w:pPr>
      <w:r>
        <w:rPr>
          <w:rFonts w:ascii="Consolas" w:hAnsi="Consolas" w:cs="Consolas"/>
          <w:b w:val="0"/>
          <w:i w:val="0"/>
          <w:sz w:val="15"/>
        </w:rPr>
        <w:t xml:space="preserve">      "quantity_unit": "MT",</w:t>
      </w:r>
    </w:p>
    <w:p>
      <w:pPr>
        <w:spacing w:after="0" w:before="0" w:line="240" w:lineRule="auto"/>
        <w:ind w:left="57"/>
        <w:jc w:val="left"/>
        <w:shd w:val="clear" w:fill="F2F2F2"/>
      </w:pPr>
      <w:r>
        <w:rPr>
          <w:rFonts w:ascii="Consolas" w:hAnsi="Consolas" w:cs="Consolas"/>
          <w:b w:val="0"/>
          <w:i w:val="0"/>
          <w:sz w:val="15"/>
        </w:rPr>
        <w:t xml:space="preserve">      "tolerance": 5,</w:t>
      </w:r>
    </w:p>
    <w:p>
      <w:pPr>
        <w:spacing w:after="0" w:before="0" w:line="240" w:lineRule="auto"/>
        <w:ind w:left="57"/>
        <w:jc w:val="left"/>
        <w:shd w:val="clear" w:fill="F2F2F2"/>
      </w:pPr>
      <w:r>
        <w:rPr>
          <w:rFonts w:ascii="Consolas" w:hAnsi="Consolas" w:cs="Consolas"/>
          <w:b w:val="0"/>
          <w:i w:val="0"/>
          <w:sz w:val="15"/>
        </w:rPr>
        <w:t xml:space="preserve">      "total_net_weight_kg": 8800,</w:t>
      </w:r>
    </w:p>
    <w:p>
      <w:pPr>
        <w:spacing w:after="0" w:before="0" w:line="240" w:lineRule="auto"/>
        <w:ind w:left="57"/>
        <w:jc w:val="left"/>
        <w:shd w:val="clear" w:fill="F2F2F2"/>
      </w:pPr>
      <w:r>
        <w:rPr>
          <w:rFonts w:ascii="Consolas" w:hAnsi="Consolas" w:cs="Consolas"/>
          <w:b w:val="0"/>
          <w:i w:val="0"/>
          <w:sz w:val="15"/>
        </w:rPr>
        <w:t xml:space="preserve">      "total_gross_weight_kg": 9240,</w:t>
      </w:r>
    </w:p>
    <w:p>
      <w:pPr>
        <w:spacing w:after="0" w:before="0" w:line="240" w:lineRule="auto"/>
        <w:ind w:left="57"/>
        <w:jc w:val="left"/>
        <w:shd w:val="clear" w:fill="F2F2F2"/>
      </w:pPr>
      <w:r>
        <w:rPr>
          <w:rFonts w:ascii="Consolas" w:hAnsi="Consolas" w:cs="Consolas"/>
          <w:b w:val="0"/>
          <w:i w:val="0"/>
          <w:sz w:val="15"/>
        </w:rPr>
        <w:t xml:space="preserve">      "acceptance_criteria": [</w:t>
      </w:r>
    </w:p>
    <w:p>
      <w:pPr>
        <w:spacing w:after="0" w:before="0" w:line="240" w:lineRule="auto"/>
        <w:ind w:left="57"/>
        <w:jc w:val="left"/>
        <w:shd w:val="clear" w:fill="F2F2F2"/>
      </w:pPr>
      <w:r>
        <w:rPr>
          <w:rFonts w:ascii="Consolas" w:hAnsi="Consolas" w:cs="Consolas"/>
          <w:b w:val="0"/>
          <w:i w:val="0"/>
          <w:sz w:val="15"/>
        </w:rPr>
        <w:t xml:space="preserve">        {"parameter": "Moisture", "limit": "Max 14%", "unit": "%"},</w:t>
      </w:r>
    </w:p>
    <w:p>
      <w:pPr>
        <w:spacing w:after="0" w:before="0" w:line="240" w:lineRule="auto"/>
        <w:ind w:left="57"/>
        <w:jc w:val="left"/>
        <w:shd w:val="clear" w:fill="F2F2F2"/>
      </w:pPr>
      <w:r>
        <w:rPr>
          <w:rFonts w:ascii="Consolas" w:hAnsi="Consolas" w:cs="Consolas"/>
          <w:b w:val="0"/>
          <w:i w:val="0"/>
          <w:sz w:val="15"/>
        </w:rPr>
        <w:t xml:space="preserve">        {"parameter": "Protein", "limit": "Min 12%", "unit": "%"},</w:t>
      </w:r>
    </w:p>
    <w:p>
      <w:pPr>
        <w:spacing w:after="0" w:before="0" w:line="240" w:lineRule="auto"/>
        <w:ind w:left="57"/>
        <w:jc w:val="left"/>
        <w:shd w:val="clear" w:fill="F2F2F2"/>
      </w:pPr>
      <w:r>
        <w:rPr>
          <w:rFonts w:ascii="Consolas" w:hAnsi="Consolas" w:cs="Consolas"/>
          <w:b w:val="0"/>
          <w:i w:val="0"/>
          <w:sz w:val="15"/>
        </w:rPr>
        <w:t xml:space="preserve">        {"parameter": "Purity", "limit": "Min 99%", "unit":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"product_name": "Eureka Lemons",</w:t>
      </w:r>
    </w:p>
    <w:p>
      <w:pPr>
        <w:spacing w:after="0" w:before="0" w:line="240" w:lineRule="auto"/>
        <w:ind w:left="57"/>
        <w:jc w:val="left"/>
        <w:shd w:val="clear" w:fill="F2F2F2"/>
      </w:pPr>
      <w:r>
        <w:rPr>
          <w:rFonts w:ascii="Consolas" w:hAnsi="Consolas" w:cs="Consolas"/>
          <w:b w:val="0"/>
          <w:i w:val="0"/>
          <w:sz w:val="15"/>
        </w:rPr>
        <w:t xml:space="preserve">      "hs_code": "0805.50",</w:t>
      </w:r>
    </w:p>
    <w:p>
      <w:pPr>
        <w:spacing w:after="0" w:before="0" w:line="240" w:lineRule="auto"/>
        <w:ind w:left="57"/>
        <w:jc w:val="left"/>
        <w:shd w:val="clear" w:fill="F2F2F2"/>
      </w:pPr>
      <w:r>
        <w:rPr>
          <w:rFonts w:ascii="Consolas" w:hAnsi="Consolas" w:cs="Consolas"/>
          <w:b w:val="0"/>
          <w:i w:val="0"/>
          <w:sz w:val="15"/>
        </w:rPr>
        <w:t xml:space="preserve">      "requested_quantity": 50,</w:t>
      </w:r>
    </w:p>
    <w:p>
      <w:pPr>
        <w:spacing w:after="0" w:before="0" w:line="240" w:lineRule="auto"/>
        <w:ind w:left="57"/>
        <w:jc w:val="left"/>
        <w:shd w:val="clear" w:fill="F2F2F2"/>
      </w:pPr>
      <w:r>
        <w:rPr>
          <w:rFonts w:ascii="Consolas" w:hAnsi="Consolas" w:cs="Consolas"/>
          <w:b w:val="0"/>
          <w:i w:val="0"/>
          <w:sz w:val="15"/>
        </w:rPr>
        <w:t xml:space="preserve">      "quantity_unit": "MT",</w:t>
      </w:r>
    </w:p>
    <w:p>
      <w:pPr>
        <w:spacing w:after="0" w:before="0" w:line="240" w:lineRule="auto"/>
        <w:ind w:left="57"/>
        <w:jc w:val="left"/>
        <w:shd w:val="clear" w:fill="F2F2F2"/>
      </w:pPr>
      <w:r>
        <w:rPr>
          <w:rFonts w:ascii="Consolas" w:hAnsi="Consolas" w:cs="Consolas"/>
          <w:b w:val="0"/>
          <w:i w:val="0"/>
          <w:sz w:val="15"/>
        </w:rPr>
        <w:t xml:space="preserve">      "tolerance": 5,</w:t>
      </w:r>
    </w:p>
    <w:p>
      <w:pPr>
        <w:spacing w:after="0" w:before="0" w:line="240" w:lineRule="auto"/>
        <w:ind w:left="57"/>
        <w:jc w:val="left"/>
        <w:shd w:val="clear" w:fill="F2F2F2"/>
      </w:pPr>
      <w:r>
        <w:rPr>
          <w:rFonts w:ascii="Consolas" w:hAnsi="Consolas" w:cs="Consolas"/>
          <w:b w:val="0"/>
          <w:i w:val="0"/>
          <w:sz w:val="15"/>
        </w:rPr>
        <w:t xml:space="preserve">      "total_net_weight_kg": 5376,</w:t>
      </w:r>
    </w:p>
    <w:p>
      <w:pPr>
        <w:spacing w:after="0" w:before="0" w:line="240" w:lineRule="auto"/>
        <w:ind w:left="57"/>
        <w:jc w:val="left"/>
        <w:shd w:val="clear" w:fill="F2F2F2"/>
      </w:pPr>
      <w:r>
        <w:rPr>
          <w:rFonts w:ascii="Consolas" w:hAnsi="Consolas" w:cs="Consolas"/>
          <w:b w:val="0"/>
          <w:i w:val="0"/>
          <w:sz w:val="15"/>
        </w:rPr>
        <w:t xml:space="preserve">      "total_gross_weight_kg": 5644.8,</w:t>
      </w:r>
    </w:p>
    <w:p>
      <w:pPr>
        <w:spacing w:after="0" w:before="0" w:line="240" w:lineRule="auto"/>
        <w:ind w:left="57"/>
        <w:jc w:val="left"/>
        <w:shd w:val="clear" w:fill="F2F2F2"/>
      </w:pPr>
      <w:r>
        <w:rPr>
          <w:rFonts w:ascii="Consolas" w:hAnsi="Consolas" w:cs="Consolas"/>
          <w:b w:val="0"/>
          <w:i w:val="0"/>
          <w:sz w:val="15"/>
        </w:rPr>
        <w:t xml:space="preserve">      "acceptance_criteria": [</w:t>
      </w:r>
    </w:p>
    <w:p>
      <w:pPr>
        <w:spacing w:after="0" w:before="0" w:line="240" w:lineRule="auto"/>
        <w:ind w:left="57"/>
        <w:jc w:val="left"/>
        <w:shd w:val="clear" w:fill="F2F2F2"/>
      </w:pPr>
      <w:r>
        <w:rPr>
          <w:rFonts w:ascii="Consolas" w:hAnsi="Consolas" w:cs="Consolas"/>
          <w:b w:val="0"/>
          <w:i w:val="0"/>
          <w:sz w:val="15"/>
        </w:rPr>
        <w:t xml:space="preserve">        {"parameter": "Moisture", "limit": "Max 15%", "unit": "%"},</w:t>
      </w:r>
    </w:p>
    <w:p>
      <w:pPr>
        <w:spacing w:after="0" w:before="0" w:line="240" w:lineRule="auto"/>
        <w:ind w:left="57"/>
        <w:jc w:val="left"/>
        <w:shd w:val="clear" w:fill="F2F2F2"/>
      </w:pPr>
      <w:r>
        <w:rPr>
          <w:rFonts w:ascii="Consolas" w:hAnsi="Consolas" w:cs="Consolas"/>
          <w:b w:val="0"/>
          <w:i w:val="0"/>
          <w:sz w:val="15"/>
        </w:rPr>
        <w:t xml:space="preserve">        {"parameter": "Acidity", "limit": "Min 5%", "unit": "%"},</w:t>
      </w:r>
    </w:p>
    <w:p>
      <w:pPr>
        <w:spacing w:after="0" w:before="0" w:line="240" w:lineRule="auto"/>
        <w:ind w:left="57"/>
        <w:jc w:val="left"/>
        <w:shd w:val="clear" w:fill="F2F2F2"/>
      </w:pPr>
      <w:r>
        <w:rPr>
          <w:rFonts w:ascii="Consolas" w:hAnsi="Consolas" w:cs="Consolas"/>
          <w:b w:val="0"/>
          <w:i w:val="0"/>
          <w:sz w:val="15"/>
        </w:rPr>
        <w:t xml:space="preserve">        {"parameter": "Purity", "limit": "Min 98%", "unit":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"pallets":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"pallet_id": "OR-001",</w:t>
      </w:r>
    </w:p>
    <w:p>
      <w:pPr>
        <w:spacing w:after="0" w:before="0" w:line="240" w:lineRule="auto"/>
        <w:ind w:left="57"/>
        <w:jc w:val="left"/>
        <w:shd w:val="clear" w:fill="F2F2F2"/>
      </w:pPr>
      <w:r>
        <w:rPr>
          <w:rFonts w:ascii="Consolas" w:hAnsi="Consolas" w:cs="Consolas"/>
          <w:b w:val="0"/>
          <w:i w:val="0"/>
          <w:sz w:val="15"/>
        </w:rPr>
        <w:t xml:space="preserve">      "sscc": "106141411234567890",</w:t>
      </w:r>
    </w:p>
    <w:p>
      <w:pPr>
        <w:spacing w:after="0" w:before="0" w:line="240" w:lineRule="auto"/>
        <w:ind w:left="57"/>
        <w:jc w:val="left"/>
        <w:shd w:val="clear" w:fill="F2F2F2"/>
      </w:pPr>
      <w:r>
        <w:rPr>
          <w:rFonts w:ascii="Consolas" w:hAnsi="Consolas" w:cs="Consolas"/>
          <w:b w:val="0"/>
          <w:i w:val="0"/>
          <w:sz w:val="15"/>
        </w:rPr>
        <w:t xml:space="preserve">      "product_name": "Valencia Oranges",</w:t>
      </w:r>
    </w:p>
    <w:p>
      <w:pPr>
        <w:spacing w:after="0" w:before="0" w:line="240" w:lineRule="auto"/>
        <w:ind w:left="57"/>
        <w:jc w:val="left"/>
        <w:shd w:val="clear" w:fill="F2F2F2"/>
      </w:pPr>
      <w:r>
        <w:rPr>
          <w:rFonts w:ascii="Consolas" w:hAnsi="Consolas" w:cs="Consolas"/>
          <w:b w:val="0"/>
          <w:i w:val="0"/>
          <w:sz w:val="15"/>
        </w:rPr>
        <w:t xml:space="preserve">      "cartons_per_pallet": 111,</w:t>
      </w:r>
    </w:p>
    <w:p>
      <w:pPr>
        <w:spacing w:after="0" w:before="0" w:line="240" w:lineRule="auto"/>
        <w:ind w:left="57"/>
        <w:jc w:val="left"/>
        <w:shd w:val="clear" w:fill="F2F2F2"/>
      </w:pPr>
      <w:r>
        <w:rPr>
          <w:rFonts w:ascii="Consolas" w:hAnsi="Consolas" w:cs="Consolas"/>
          <w:b w:val="0"/>
          <w:i w:val="0"/>
          <w:sz w:val="15"/>
        </w:rPr>
        <w:t xml:space="preserve">      "layer_patterns": [</w:t>
      </w:r>
    </w:p>
    <w:p>
      <w:pPr>
        <w:spacing w:after="0" w:before="0" w:line="240" w:lineRule="auto"/>
        <w:ind w:left="57"/>
        <w:jc w:val="left"/>
        <w:shd w:val="clear" w:fill="F2F2F2"/>
      </w:pPr>
      <w:r>
        <w:rPr>
          <w:rFonts w:ascii="Consolas" w:hAnsi="Consolas" w:cs="Consolas"/>
          <w:b w:val="0"/>
          <w:i w:val="0"/>
          <w:sz w:val="15"/>
        </w:rPr>
        <w:t xml:space="preserve">        {"layers": 11, "cartons_per_layer": 10, "orientation": "STANDARD"},</w:t>
      </w:r>
    </w:p>
    <w:p>
      <w:pPr>
        <w:spacing w:after="0" w:before="0" w:line="240" w:lineRule="auto"/>
        <w:ind w:left="57"/>
        <w:jc w:val="left"/>
        <w:shd w:val="clear" w:fill="F2F2F2"/>
      </w:pPr>
      <w:r>
        <w:rPr>
          <w:rFonts w:ascii="Consolas" w:hAnsi="Consolas" w:cs="Consolas"/>
          <w:b w:val="0"/>
          <w:i w:val="0"/>
          <w:sz w:val="15"/>
        </w:rPr>
        <w:t xml:space="preserve">        {"layers": 1, "cartons_per_layer": 1, "orientation": "CENTERED"}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"net_weight_kg": 1110,</w:t>
      </w:r>
    </w:p>
    <w:p>
      <w:pPr>
        <w:spacing w:after="0" w:before="0" w:line="240" w:lineRule="auto"/>
        <w:ind w:left="57"/>
        <w:jc w:val="left"/>
        <w:shd w:val="clear" w:fill="F2F2F2"/>
      </w:pPr>
      <w:r>
        <w:rPr>
          <w:rFonts w:ascii="Consolas" w:hAnsi="Consolas" w:cs="Consolas"/>
          <w:b w:val="0"/>
          <w:i w:val="0"/>
          <w:sz w:val="15"/>
        </w:rPr>
        <w:t xml:space="preserve">      "gross_weight_kg": 1165,</w:t>
      </w:r>
    </w:p>
    <w:p>
      <w:pPr>
        <w:spacing w:after="0" w:before="0" w:line="240" w:lineRule="auto"/>
        <w:ind w:left="57"/>
        <w:jc w:val="left"/>
        <w:shd w:val="clear" w:fill="F2F2F2"/>
      </w:pPr>
      <w:r>
        <w:rPr>
          <w:rFonts w:ascii="Consolas" w:hAnsi="Consolas" w:cs="Consolas"/>
          <w:b w:val="0"/>
          <w:i w:val="0"/>
          <w:sz w:val="15"/>
        </w:rPr>
        <w:t xml:space="preserve">      "pallet_height_mm": 2544,</w:t>
      </w:r>
    </w:p>
    <w:p>
      <w:pPr>
        <w:spacing w:after="0" w:before="0" w:line="240" w:lineRule="auto"/>
        <w:ind w:left="57"/>
        <w:jc w:val="left"/>
        <w:shd w:val="clear" w:fill="F2F2F2"/>
      </w:pPr>
      <w:r>
        <w:rPr>
          <w:rFonts w:ascii="Consolas" w:hAnsi="Consolas" w:cs="Consolas"/>
          <w:b w:val="0"/>
          <w:i w:val="0"/>
          <w:sz w:val="15"/>
        </w:rPr>
        <w:t xml:space="preserve">      "cold_treatment_cert_ref": "CT-2026-001",</w:t>
      </w:r>
    </w:p>
    <w:p>
      <w:pPr>
        <w:spacing w:after="0" w:before="0" w:line="240" w:lineRule="auto"/>
        <w:ind w:left="57"/>
        <w:jc w:val="left"/>
        <w:shd w:val="clear" w:fill="F2F2F2"/>
      </w:pPr>
      <w:r>
        <w:rPr>
          <w:rFonts w:ascii="Consolas" w:hAnsi="Consolas" w:cs="Consolas"/>
          <w:b w:val="0"/>
          <w:i w:val="0"/>
          <w:sz w:val="15"/>
        </w:rPr>
        <w:t xml:space="preserve">      "position_x": 0,</w:t>
      </w:r>
    </w:p>
    <w:p>
      <w:pPr>
        <w:spacing w:after="0" w:before="0" w:line="240" w:lineRule="auto"/>
        <w:ind w:left="57"/>
        <w:jc w:val="left"/>
        <w:shd w:val="clear" w:fill="F2F2F2"/>
      </w:pPr>
      <w:r>
        <w:rPr>
          <w:rFonts w:ascii="Consolas" w:hAnsi="Consolas" w:cs="Consolas"/>
          <w:b w:val="0"/>
          <w:i w:val="0"/>
          <w:sz w:val="15"/>
        </w:rPr>
        <w:t xml:space="preserve">      "position_y": 0,</w:t>
      </w:r>
    </w:p>
    <w:p>
      <w:pPr>
        <w:spacing w:after="0" w:before="0" w:line="240" w:lineRule="auto"/>
        <w:ind w:left="57"/>
        <w:jc w:val="left"/>
        <w:shd w:val="clear" w:fill="F2F2F2"/>
      </w:pPr>
      <w:r>
        <w:rPr>
          <w:rFonts w:ascii="Consolas" w:hAnsi="Consolas" w:cs="Consolas"/>
          <w:b w:val="0"/>
          <w:i w:val="0"/>
          <w:sz w:val="15"/>
        </w:rPr>
        <w:t xml:space="preserve">      "position_z": 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"weight_summary": {</w:t>
      </w:r>
    </w:p>
    <w:p>
      <w:pPr>
        <w:spacing w:after="0" w:before="0" w:line="240" w:lineRule="auto"/>
        <w:ind w:left="57"/>
        <w:jc w:val="left"/>
        <w:shd w:val="clear" w:fill="F2F2F2"/>
      </w:pPr>
      <w:r>
        <w:rPr>
          <w:rFonts w:ascii="Consolas" w:hAnsi="Consolas" w:cs="Consolas"/>
          <w:b w:val="0"/>
          <w:i w:val="0"/>
          <w:sz w:val="15"/>
        </w:rPr>
        <w:t xml:space="preserve">    "total_pallets": 36,</w:t>
      </w:r>
    </w:p>
    <w:p>
      <w:pPr>
        <w:spacing w:after="0" w:before="0" w:line="240" w:lineRule="auto"/>
        <w:ind w:left="57"/>
        <w:jc w:val="left"/>
        <w:shd w:val="clear" w:fill="F2F2F2"/>
      </w:pPr>
      <w:r>
        <w:rPr>
          <w:rFonts w:ascii="Consolas" w:hAnsi="Consolas" w:cs="Consolas"/>
          <w:b w:val="0"/>
          <w:i w:val="0"/>
          <w:sz w:val="15"/>
        </w:rPr>
        <w:t xml:space="preserve">    "total_cartons": 1552,</w:t>
      </w:r>
    </w:p>
    <w:p>
      <w:pPr>
        <w:spacing w:after="0" w:before="0" w:line="240" w:lineRule="auto"/>
        <w:ind w:left="57"/>
        <w:jc w:val="left"/>
        <w:shd w:val="clear" w:fill="F2F2F2"/>
      </w:pPr>
      <w:r>
        <w:rPr>
          <w:rFonts w:ascii="Consolas" w:hAnsi="Consolas" w:cs="Consolas"/>
          <w:b w:val="0"/>
          <w:i w:val="0"/>
          <w:sz w:val="15"/>
        </w:rPr>
        <w:t xml:space="preserve">    "total_net_weight_kg": 14176,</w:t>
      </w:r>
    </w:p>
    <w:p>
      <w:pPr>
        <w:spacing w:after="0" w:before="0" w:line="240" w:lineRule="auto"/>
        <w:ind w:left="57"/>
        <w:jc w:val="left"/>
        <w:shd w:val="clear" w:fill="F2F2F2"/>
      </w:pPr>
      <w:r>
        <w:rPr>
          <w:rFonts w:ascii="Consolas" w:hAnsi="Consolas" w:cs="Consolas"/>
          <w:b w:val="0"/>
          <w:i w:val="0"/>
          <w:sz w:val="15"/>
        </w:rPr>
        <w:t xml:space="preserve">    "total_gross_cartons_kg": 14884.8,</w:t>
      </w:r>
    </w:p>
    <w:p>
      <w:pPr>
        <w:spacing w:after="0" w:before="0" w:line="240" w:lineRule="auto"/>
        <w:ind w:left="57"/>
        <w:jc w:val="left"/>
        <w:shd w:val="clear" w:fill="F2F2F2"/>
      </w:pPr>
      <w:r>
        <w:rPr>
          <w:rFonts w:ascii="Consolas" w:hAnsi="Consolas" w:cs="Consolas"/>
          <w:b w:val="0"/>
          <w:i w:val="0"/>
          <w:sz w:val="15"/>
        </w:rPr>
        <w:t xml:space="preserve">    "pallet_tare_kg": 900,</w:t>
      </w:r>
    </w:p>
    <w:p>
      <w:pPr>
        <w:spacing w:after="0" w:before="0" w:line="240" w:lineRule="auto"/>
        <w:ind w:left="57"/>
        <w:jc w:val="left"/>
        <w:shd w:val="clear" w:fill="F2F2F2"/>
      </w:pPr>
      <w:r>
        <w:rPr>
          <w:rFonts w:ascii="Consolas" w:hAnsi="Consolas" w:cs="Consolas"/>
          <w:b w:val="0"/>
          <w:i w:val="0"/>
          <w:sz w:val="15"/>
        </w:rPr>
        <w:t xml:space="preserve">    "total_gross_weight_kg": 15784.8,</w:t>
      </w:r>
    </w:p>
    <w:p>
      <w:pPr>
        <w:spacing w:after="0" w:before="0" w:line="240" w:lineRule="auto"/>
        <w:ind w:left="57"/>
        <w:jc w:val="left"/>
        <w:shd w:val="clear" w:fill="F2F2F2"/>
      </w:pPr>
      <w:r>
        <w:rPr>
          <w:rFonts w:ascii="Consolas" w:hAnsi="Consolas" w:cs="Consolas"/>
          <w:b w:val="0"/>
          <w:i w:val="0"/>
          <w:sz w:val="15"/>
        </w:rPr>
        <w:t xml:space="preserve">    "max_payload_kg": 28000,</w:t>
      </w:r>
    </w:p>
    <w:p>
      <w:pPr>
        <w:spacing w:after="0" w:before="0" w:line="240" w:lineRule="auto"/>
        <w:ind w:left="57"/>
        <w:jc w:val="left"/>
        <w:shd w:val="clear" w:fill="F2F2F2"/>
      </w:pPr>
      <w:r>
        <w:rPr>
          <w:rFonts w:ascii="Consolas" w:hAnsi="Consolas" w:cs="Consolas"/>
          <w:b w:val="0"/>
          <w:i w:val="0"/>
          <w:sz w:val="15"/>
        </w:rPr>
        <w:t xml:space="preserve">    "utilisation_percent": 56.4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"special_instructions": [</w:t>
      </w:r>
    </w:p>
    <w:p>
      <w:pPr>
        <w:spacing w:after="0" w:before="0" w:line="240" w:lineRule="auto"/>
        <w:ind w:left="57"/>
        <w:jc w:val="left"/>
        <w:shd w:val="clear" w:fill="F2F2F2"/>
      </w:pPr>
      <w:r>
        <w:rPr>
          <w:rFonts w:ascii="Consolas" w:hAnsi="Consolas" w:cs="Consolas"/>
          <w:b w:val="0"/>
          <w:i w:val="0"/>
          <w:sz w:val="15"/>
        </w:rPr>
        <w:t xml:space="preserve">    "Arabic labels mandatory on all cartons.",</w:t>
      </w:r>
    </w:p>
    <w:p>
      <w:pPr>
        <w:spacing w:after="0" w:before="0" w:line="240" w:lineRule="auto"/>
        <w:ind w:left="57"/>
        <w:jc w:val="left"/>
        <w:shd w:val="clear" w:fill="F2F2F2"/>
      </w:pPr>
      <w:r>
        <w:rPr>
          <w:rFonts w:ascii="Consolas" w:hAnsi="Consolas" w:cs="Consolas"/>
          <w:b w:val="0"/>
          <w:i w:val="0"/>
          <w:sz w:val="15"/>
        </w:rPr>
        <w:t xml:space="preserve">    "No wooden pallets (ISPM 15 compliant only).",</w:t>
      </w:r>
    </w:p>
    <w:p>
      <w:pPr>
        <w:spacing w:after="0" w:before="0" w:line="240" w:lineRule="auto"/>
        <w:ind w:left="57"/>
        <w:jc w:val="left"/>
        <w:shd w:val="clear" w:fill="F2F2F2"/>
      </w:pPr>
      <w:r>
        <w:rPr>
          <w:rFonts w:ascii="Consolas" w:hAnsi="Consolas" w:cs="Consolas"/>
          <w:b w:val="0"/>
          <w:i w:val="0"/>
          <w:sz w:val="15"/>
        </w:rPr>
        <w:t xml:space="preserve">    "Halal certification required.",</w:t>
      </w:r>
    </w:p>
    <w:p>
      <w:pPr>
        <w:spacing w:after="0" w:before="0" w:line="240" w:lineRule="auto"/>
        <w:ind w:left="57"/>
        <w:jc w:val="left"/>
        <w:shd w:val="clear" w:fill="F2F2F2"/>
      </w:pPr>
      <w:r>
        <w:rPr>
          <w:rFonts w:ascii="Consolas" w:hAnsi="Consolas" w:cs="Consolas"/>
          <w:b w:val="0"/>
          <w:i w:val="0"/>
          <w:sz w:val="15"/>
        </w:rPr>
        <w:t xml:space="preserve">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"Original Bill of Lading to be sent by DHL."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"treatment_certificates":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"COLD_TREATMENT",</w:t>
      </w:r>
    </w:p>
    <w:p>
      <w:pPr>
        <w:spacing w:after="0" w:before="0" w:line="240" w:lineRule="auto"/>
        <w:ind w:left="57"/>
        <w:jc w:val="left"/>
        <w:shd w:val="clear" w:fill="F2F2F2"/>
      </w:pPr>
      <w:r>
        <w:rPr>
          <w:rFonts w:ascii="Consolas" w:hAnsi="Consolas" w:cs="Consolas"/>
          <w:b w:val="0"/>
          <w:i w:val="0"/>
          <w:sz w:val="15"/>
        </w:rPr>
        <w:t xml:space="preserve">      "reference": "CT-2026-001",</w:t>
      </w:r>
    </w:p>
    <w:p>
      <w:pPr>
        <w:spacing w:after="0" w:before="0" w:line="240" w:lineRule="auto"/>
        <w:ind w:left="57"/>
        <w:jc w:val="left"/>
        <w:shd w:val="clear" w:fill="F2F2F2"/>
      </w:pPr>
      <w:r>
        <w:rPr>
          <w:rFonts w:ascii="Consolas" w:hAnsi="Consolas" w:cs="Consolas"/>
          <w:b w:val="0"/>
          <w:i w:val="0"/>
          <w:sz w:val="15"/>
        </w:rPr>
        <w:t xml:space="preserve">      "issuer": "Egyptian Cold Treatment Center",</w:t>
      </w:r>
    </w:p>
    <w:p>
      <w:pPr>
        <w:spacing w:after="0" w:before="0" w:line="240" w:lineRule="auto"/>
        <w:ind w:left="57"/>
        <w:jc w:val="left"/>
        <w:shd w:val="clear" w:fill="F2F2F2"/>
      </w:pPr>
      <w:r>
        <w:rPr>
          <w:rFonts w:ascii="Consolas" w:hAnsi="Consolas" w:cs="Consolas"/>
          <w:b w:val="0"/>
          <w:i w:val="0"/>
          <w:sz w:val="15"/>
        </w:rPr>
        <w:t xml:space="preserve">      "status": "COMPLETED"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"PHYTOSANITARY",</w:t>
      </w:r>
    </w:p>
    <w:p>
      <w:pPr>
        <w:spacing w:after="0" w:before="0" w:line="240" w:lineRule="auto"/>
        <w:ind w:left="57"/>
        <w:jc w:val="left"/>
        <w:shd w:val="clear" w:fill="F2F2F2"/>
      </w:pPr>
      <w:r>
        <w:rPr>
          <w:rFonts w:ascii="Consolas" w:hAnsi="Consolas" w:cs="Consolas"/>
          <w:b w:val="0"/>
          <w:i w:val="0"/>
          <w:sz w:val="15"/>
        </w:rPr>
        <w:t xml:space="preserve">      "reference": null,</w:t>
      </w:r>
    </w:p>
    <w:p>
      <w:pPr>
        <w:spacing w:after="0" w:before="0" w:line="240" w:lineRule="auto"/>
        <w:ind w:left="57"/>
        <w:jc w:val="left"/>
        <w:shd w:val="clear" w:fill="F2F2F2"/>
      </w:pPr>
      <w:r>
        <w:rPr>
          <w:rFonts w:ascii="Consolas" w:hAnsi="Consolas" w:cs="Consolas"/>
          <w:b w:val="0"/>
          <w:i w:val="0"/>
          <w:sz w:val="15"/>
        </w:rPr>
        <w:t xml:space="preserve">      "issuer": "Egyptian Plant Quarantine",</w:t>
      </w:r>
    </w:p>
    <w:p>
      <w:pPr>
        <w:spacing w:after="0" w:before="0" w:line="240" w:lineRule="auto"/>
        <w:ind w:left="57"/>
        <w:jc w:val="left"/>
        <w:shd w:val="clear" w:fill="F2F2F2"/>
      </w:pPr>
      <w:r>
        <w:rPr>
          <w:rFonts w:ascii="Consolas" w:hAnsi="Consolas" w:cs="Consolas"/>
          <w:b w:val="0"/>
          <w:i w:val="0"/>
          <w:sz w:val="15"/>
        </w:rPr>
        <w:t xml:space="preserve">      "status":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"qr_code_url": "https://sgtx.io/verify/ustn/SGTX-EG-26-F3A-1",</w:t>
      </w:r>
    </w:p>
    <w:p>
      <w:pPr>
        <w:spacing w:after="0" w:before="0" w:line="240" w:lineRule="auto"/>
        <w:ind w:left="57"/>
        <w:jc w:val="left"/>
        <w:shd w:val="clear" w:fill="F2F2F2"/>
      </w:pPr>
      <w:r>
        <w:rPr>
          <w:rFonts w:ascii="Consolas" w:hAnsi="Consolas" w:cs="Consolas"/>
          <w:b w:val="0"/>
          <w:i w:val="0"/>
          <w:sz w:val="15"/>
        </w:rPr>
        <w:t xml:space="preserve">  "digital_signature": "MIAGCSqGSIb3DQEHAqCAMIACAQExDzANBglghkgBZQMEAgEFADCABgkqhkiG9w0BBwEAAKCAMIIB...",</w:t>
      </w:r>
    </w:p>
    <w:p>
      <w:pPr>
        <w:spacing w:after="0" w:before="0" w:line="240" w:lineRule="auto"/>
        <w:ind w:left="57"/>
        <w:jc w:val="left"/>
        <w:shd w:val="clear" w:fill="F2F2F2"/>
      </w:pPr>
      <w:r>
        <w:rPr>
          <w:rFonts w:ascii="Consolas" w:hAnsi="Consolas" w:cs="Consolas"/>
          <w:b w:val="0"/>
          <w:i w:val="0"/>
          <w:sz w:val="15"/>
        </w:rPr>
        <w:t xml:space="preserve">  "signature_algorithm": "Ed25519",</w:t>
      </w:r>
    </w:p>
    <w:p>
      <w:pPr>
        <w:spacing w:after="0" w:before="0" w:line="240" w:lineRule="auto"/>
        <w:ind w:left="57"/>
        <w:jc w:val="left"/>
        <w:shd w:val="clear" w:fill="F2F2F2"/>
      </w:pPr>
      <w:r>
        <w:rPr>
          <w:rFonts w:ascii="Consolas" w:hAnsi="Consolas" w:cs="Consolas"/>
          <w:b w:val="0"/>
          <w:i w:val="0"/>
          <w:sz w:val="15"/>
        </w:rPr>
        <w:t xml:space="preserve">  "verified": true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8.5.3 SSCC-18 Barcode Generation</w:t>
      </w:r>
    </w:p>
    <w:p>
      <w:pPr>
        <w:keepNext/>
        <w:spacing w:before="140" w:after="60"/>
        <w:outlineLvl w:val="3"/>
      </w:pPr>
      <w:r>
        <w:rPr>
          <w:rFonts w:ascii="Arial" w:hAnsi="Arial" w:cs="Arial"/>
          <w:b/>
          <w:i/>
          <w:color w:val="333333"/>
          <w:sz w:val="22"/>
        </w:rPr>
        <w:t>8.5.3.1 Format Specification</w:t>
      </w:r>
    </w:p>
    <w:p>
      <w:pPr>
        <w:spacing w:after="80" w:line="293" w:lineRule="auto"/>
        <w:jc w:val="left"/>
      </w:pPr>
      <w:r>
        <w:rPr>
          <w:rFonts w:ascii="Times New Roman" w:hAnsi="Times New Roman" w:cs="Times New Roman"/>
          <w:b w:val="0"/>
          <w:i w:val="0"/>
          <w:sz w:val="22"/>
        </w:rPr>
        <w:t>Each pallet receives a Serial Shipping Container Code (SSCC-18) conforming to the GS1 standard. Format: extension digit (1) + company prefix (0614141) + serial reference (9 digits) + check digit (1) — displayed as an 18-digit code such as 106141411234567890.</w:t>
      </w:r>
    </w:p>
    <w:p>
      <w:pPr>
        <w:keepNext/>
        <w:spacing w:before="140" w:after="60"/>
        <w:outlineLvl w:val="3"/>
      </w:pPr>
      <w:r>
        <w:rPr>
          <w:rFonts w:ascii="Arial" w:hAnsi="Arial" w:cs="Arial"/>
          <w:b/>
          <w:i/>
          <w:color w:val="333333"/>
          <w:sz w:val="22"/>
        </w:rPr>
        <w:t>8.5.3.2 Generation Algorithm</w:t>
      </w:r>
    </w:p>
    <w:p>
      <w:pPr>
        <w:spacing w:after="0" w:before="0" w:line="240" w:lineRule="auto"/>
        <w:ind w:left="57"/>
        <w:jc w:val="left"/>
        <w:shd w:val="clear" w:fill="F2F2F2"/>
      </w:pPr>
      <w:r>
        <w:rPr>
          <w:rFonts w:ascii="Consolas" w:hAnsi="Consolas" w:cs="Consolas"/>
          <w:b w:val="0"/>
          <w:i w:val="0"/>
          <w:sz w:val="15"/>
        </w:rPr>
        <w:t>fn generate_sscc(extension_digit: u8, company_prefix: &amp;str, serial: u64) -&gt; String {</w:t>
      </w:r>
    </w:p>
    <w:p>
      <w:pPr>
        <w:spacing w:after="0" w:before="0" w:line="240" w:lineRule="auto"/>
        <w:ind w:left="57"/>
        <w:jc w:val="left"/>
        <w:shd w:val="clear" w:fill="F2F2F2"/>
      </w:pPr>
      <w:r>
        <w:rPr>
          <w:rFonts w:ascii="Consolas" w:hAnsi="Consolas" w:cs="Consolas"/>
          <w:b w:val="0"/>
          <w:i w:val="0"/>
          <w:sz w:val="15"/>
        </w:rPr>
        <w:t xml:space="preserve">    let base = format!("{}{}{:09}", extension_digit, company_prefix, serial);</w:t>
      </w:r>
    </w:p>
    <w:p>
      <w:pPr>
        <w:spacing w:after="0" w:before="0" w:line="240" w:lineRule="auto"/>
        <w:ind w:left="57"/>
        <w:jc w:val="left"/>
        <w:shd w:val="clear" w:fill="F2F2F2"/>
      </w:pPr>
      <w:r>
        <w:rPr>
          <w:rFonts w:ascii="Consolas" w:hAnsi="Consolas" w:cs="Consolas"/>
          <w:b w:val="0"/>
          <w:i w:val="0"/>
          <w:sz w:val="15"/>
        </w:rPr>
        <w:t xml:space="preserve">    let check_digit = calculate_gs1_check_digit(&amp;base);</w:t>
      </w:r>
    </w:p>
    <w:p>
      <w:pPr>
        <w:spacing w:after="0" w:before="0" w:line="240" w:lineRule="auto"/>
        <w:ind w:left="57"/>
        <w:jc w:val="left"/>
        <w:shd w:val="clear" w:fill="F2F2F2"/>
      </w:pPr>
      <w:r>
        <w:rPr>
          <w:rFonts w:ascii="Consolas" w:hAnsi="Consolas" w:cs="Consolas"/>
          <w:b w:val="0"/>
          <w:i w:val="0"/>
          <w:sz w:val="15"/>
        </w:rPr>
        <w:t xml:space="preserve">    format!("{}{}", base, check_digit)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fn calculate_gs1_check_digit(base: &amp;str) -&gt; u8 {</w:t>
      </w:r>
    </w:p>
    <w:p>
      <w:pPr>
        <w:spacing w:after="0" w:before="0" w:line="240" w:lineRule="auto"/>
        <w:ind w:left="57"/>
        <w:jc w:val="left"/>
        <w:shd w:val="clear" w:fill="F2F2F2"/>
      </w:pPr>
      <w:r>
        <w:rPr>
          <w:rFonts w:ascii="Consolas" w:hAnsi="Consolas" w:cs="Consolas"/>
          <w:b w:val="0"/>
          <w:i w:val="0"/>
          <w:sz w:val="15"/>
        </w:rPr>
        <w:t xml:space="preserve">    let mut sum = 0;</w:t>
      </w:r>
    </w:p>
    <w:p>
      <w:pPr>
        <w:spacing w:after="0" w:before="0" w:line="240" w:lineRule="auto"/>
        <w:ind w:left="57"/>
        <w:jc w:val="left"/>
        <w:shd w:val="clear" w:fill="F2F2F2"/>
      </w:pPr>
      <w:r>
        <w:rPr>
          <w:rFonts w:ascii="Consolas" w:hAnsi="Consolas" w:cs="Consolas"/>
          <w:b w:val="0"/>
          <w:i w:val="0"/>
          <w:sz w:val="15"/>
        </w:rPr>
        <w:t xml:space="preserve">    for (i, c) in base.chars().enumerate() {</w:t>
      </w:r>
    </w:p>
    <w:p>
      <w:pPr>
        <w:spacing w:after="0" w:before="0" w:line="240" w:lineRule="auto"/>
        <w:ind w:left="57"/>
        <w:jc w:val="left"/>
        <w:shd w:val="clear" w:fill="F2F2F2"/>
      </w:pPr>
      <w:r>
        <w:rPr>
          <w:rFonts w:ascii="Consolas" w:hAnsi="Consolas" w:cs="Consolas"/>
          <w:b w:val="0"/>
          <w:i w:val="0"/>
          <w:sz w:val="15"/>
        </w:rPr>
        <w:t xml:space="preserve">        let digit = c.to_digit(10).unwrap();</w:t>
      </w:r>
    </w:p>
    <w:p>
      <w:pPr>
        <w:spacing w:after="0" w:before="0" w:line="240" w:lineRule="auto"/>
        <w:ind w:left="57"/>
        <w:jc w:val="left"/>
        <w:shd w:val="clear" w:fill="F2F2F2"/>
      </w:pPr>
      <w:r>
        <w:rPr>
          <w:rFonts w:ascii="Consolas" w:hAnsi="Consolas" w:cs="Consolas"/>
          <w:b w:val="0"/>
          <w:i w:val="0"/>
          <w:sz w:val="15"/>
        </w:rPr>
        <w:t xml:space="preserve">        if i % 2 == 0 { sum += digit * 3; }</w:t>
      </w:r>
    </w:p>
    <w:p>
      <w:pPr>
        <w:spacing w:after="0" w:before="0" w:line="240" w:lineRule="auto"/>
        <w:ind w:left="57"/>
        <w:jc w:val="left"/>
        <w:shd w:val="clear" w:fill="F2F2F2"/>
      </w:pPr>
      <w:r>
        <w:rPr>
          <w:rFonts w:ascii="Consolas" w:hAnsi="Consolas" w:cs="Consolas"/>
          <w:b w:val="0"/>
          <w:i w:val="0"/>
          <w:sz w:val="15"/>
        </w:rPr>
        <w:t xml:space="preserve">        else { sum += digit * 1;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remainder = sum % 10;</w:t>
      </w:r>
    </w:p>
    <w:p>
      <w:pPr>
        <w:spacing w:after="0" w:before="0" w:line="240" w:lineRule="auto"/>
        <w:ind w:left="57"/>
        <w:jc w:val="left"/>
        <w:shd w:val="clear" w:fill="F2F2F2"/>
      </w:pPr>
      <w:r>
        <w:rPr>
          <w:rFonts w:ascii="Consolas" w:hAnsi="Consolas" w:cs="Consolas"/>
          <w:b w:val="0"/>
          <w:i w:val="0"/>
          <w:sz w:val="15"/>
        </w:rPr>
        <w:t xml:space="preserve">    if remainder == 0 { 0 } else { 10 - remainder }</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Example: base = "1" + "0614141" + "000000001" = "10614141000000001"</w:t>
      </w:r>
    </w:p>
    <w:p>
      <w:pPr>
        <w:spacing w:after="0" w:before="0" w:line="240" w:lineRule="auto"/>
        <w:ind w:left="57"/>
        <w:jc w:val="left"/>
        <w:shd w:val="clear" w:fill="F2F2F2"/>
      </w:pPr>
      <w:r>
        <w:rPr>
          <w:rFonts w:ascii="Consolas" w:hAnsi="Consolas" w:cs="Consolas"/>
          <w:b w:val="0"/>
          <w:i w:val="0"/>
          <w:sz w:val="15"/>
        </w:rPr>
        <w:t>// check_digit = 8 → sscc = "106141410000000018"</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8.5.3.3 SSCC Storage</w:t>
      </w:r>
    </w:p>
    <w:p>
      <w:pPr>
        <w:spacing w:after="0" w:before="0" w:line="240" w:lineRule="auto"/>
        <w:ind w:left="57"/>
        <w:jc w:val="left"/>
        <w:shd w:val="clear" w:fill="F2F2F2"/>
      </w:pPr>
      <w:r>
        <w:rPr>
          <w:rFonts w:ascii="Consolas" w:hAnsi="Consolas" w:cs="Consolas"/>
          <w:b w:val="0"/>
          <w:i w:val="0"/>
          <w:sz w:val="15"/>
        </w:rPr>
        <w:t>-- SSCC allocation (per pallet)</w:t>
      </w:r>
    </w:p>
    <w:p>
      <w:pPr>
        <w:spacing w:after="0" w:before="0" w:line="240" w:lineRule="auto"/>
        <w:ind w:left="57"/>
        <w:jc w:val="left"/>
        <w:shd w:val="clear" w:fill="F2F2F2"/>
      </w:pPr>
      <w:r>
        <w:rPr>
          <w:rFonts w:ascii="Consolas" w:hAnsi="Consolas" w:cs="Consolas"/>
          <w:b w:val="0"/>
          <w:i w:val="0"/>
          <w:sz w:val="15"/>
        </w:rPr>
        <w:t>CREATE TABLE sscc_allocations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pallet_id UUID NOT NULL REFERENCES pallet_details(id) ON DELETE CASCADE,</w:t>
      </w:r>
    </w:p>
    <w:p>
      <w:pPr>
        <w:spacing w:after="0" w:before="0" w:line="240" w:lineRule="auto"/>
        <w:ind w:left="57"/>
        <w:jc w:val="left"/>
        <w:shd w:val="clear" w:fill="F2F2F2"/>
      </w:pPr>
      <w:r>
        <w:rPr>
          <w:rFonts w:ascii="Consolas" w:hAnsi="Consolas" w:cs="Consolas"/>
          <w:b w:val="0"/>
          <w:i w:val="0"/>
          <w:sz w:val="15"/>
        </w:rPr>
        <w:t xml:space="preserve">    sscc TEXT UNIQUE NOT NULL,</w:t>
      </w:r>
    </w:p>
    <w:p>
      <w:pPr>
        <w:spacing w:after="0" w:before="0" w:line="240" w:lineRule="auto"/>
        <w:ind w:left="57"/>
        <w:jc w:val="left"/>
        <w:shd w:val="clear" w:fill="F2F2F2"/>
      </w:pPr>
      <w:r>
        <w:rPr>
          <w:rFonts w:ascii="Consolas" w:hAnsi="Consolas" w:cs="Consolas"/>
          <w:b w:val="0"/>
          <w:i w:val="0"/>
          <w:sz w:val="15"/>
        </w:rPr>
        <w:t xml:space="preserve">    company_prefix TEXT NOT NULL DEFAULT '0614141',</w:t>
      </w:r>
    </w:p>
    <w:p>
      <w:pPr>
        <w:spacing w:after="0" w:before="0" w:line="240" w:lineRule="auto"/>
        <w:ind w:left="57"/>
        <w:jc w:val="left"/>
        <w:shd w:val="clear" w:fill="F2F2F2"/>
      </w:pPr>
      <w:r>
        <w:rPr>
          <w:rFonts w:ascii="Consolas" w:hAnsi="Consolas" w:cs="Consolas"/>
          <w:b w:val="0"/>
          <w:i w:val="0"/>
          <w:sz w:val="15"/>
        </w:rPr>
        <w:t xml:space="preserve">    serial_number BIGINT NOT NULL,</w:t>
      </w:r>
    </w:p>
    <w:p>
      <w:pPr>
        <w:spacing w:after="0" w:before="0" w:line="240" w:lineRule="auto"/>
        <w:ind w:left="57"/>
        <w:jc w:val="left"/>
        <w:shd w:val="clear" w:fill="F2F2F2"/>
      </w:pPr>
      <w:r>
        <w:rPr>
          <w:rFonts w:ascii="Consolas" w:hAnsi="Consolas" w:cs="Consolas"/>
          <w:b w:val="0"/>
          <w:i w:val="0"/>
          <w:sz w:val="15"/>
        </w:rPr>
        <w:t xml:space="preserve">    check_digit INTEGER NOT NULL,</w:t>
      </w:r>
    </w:p>
    <w:p>
      <w:pPr>
        <w:spacing w:after="0" w:before="0" w:line="240" w:lineRule="auto"/>
        <w:ind w:left="57"/>
        <w:jc w:val="left"/>
        <w:shd w:val="clear" w:fill="F2F2F2"/>
      </w:pPr>
      <w:r>
        <w:rPr>
          <w:rFonts w:ascii="Consolas" w:hAnsi="Consolas" w:cs="Consolas"/>
          <w:b w:val="0"/>
          <w:i w:val="0"/>
          <w:sz w:val="15"/>
        </w:rPr>
        <w:t xml:space="preserve">    allocated_at TIMESTAMPTZ DEFAULT NOW(),</w:t>
      </w:r>
    </w:p>
    <w:p>
      <w:pPr>
        <w:spacing w:after="0" w:before="0" w:line="240" w:lineRule="auto"/>
        <w:ind w:left="57"/>
        <w:jc w:val="left"/>
        <w:shd w:val="clear" w:fill="F2F2F2"/>
      </w:pPr>
      <w:r>
        <w:rPr>
          <w:rFonts w:ascii="Consolas" w:hAnsi="Consolas" w:cs="Consolas"/>
          <w:b w:val="0"/>
          <w:i w:val="0"/>
          <w:sz w:val="15"/>
        </w:rPr>
        <w:t xml:space="preserve">    allocated_by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UNIQUE(pallet_id, sscc)</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8.5.4 QR Code Content (Verifiable Credential)</w:t>
      </w:r>
    </w:p>
    <w:p>
      <w:pPr>
        <w:keepNext/>
        <w:spacing w:before="140" w:after="60"/>
        <w:outlineLvl w:val="3"/>
      </w:pPr>
      <w:r>
        <w:rPr>
          <w:rFonts w:ascii="Arial" w:hAnsi="Arial" w:cs="Arial"/>
          <w:b/>
          <w:i/>
          <w:color w:val="333333"/>
          <w:sz w:val="22"/>
        </w:rPr>
        <w:t>8.5.4.1 QR Payload Structure</w:t>
      </w:r>
    </w:p>
    <w:p>
      <w:pPr>
        <w:spacing w:after="80" w:line="293" w:lineRule="auto"/>
        <w:jc w:val="left"/>
      </w:pPr>
      <w:r>
        <w:rPr>
          <w:rFonts w:ascii="Times New Roman" w:hAnsi="Times New Roman" w:cs="Times New Roman"/>
          <w:b w:val="0"/>
          <w:i w:val="0"/>
          <w:sz w:val="22"/>
        </w:rPr>
        <w:t>Each pallet's QR code encodes a JSON payload: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"pallet_id": "OR-001",</w:t>
      </w:r>
    </w:p>
    <w:p>
      <w:pPr>
        <w:spacing w:after="0" w:before="0" w:line="240" w:lineRule="auto"/>
        <w:ind w:left="57"/>
        <w:jc w:val="left"/>
        <w:shd w:val="clear" w:fill="F2F2F2"/>
      </w:pPr>
      <w:r>
        <w:rPr>
          <w:rFonts w:ascii="Consolas" w:hAnsi="Consolas" w:cs="Consolas"/>
          <w:b w:val="0"/>
          <w:i w:val="0"/>
          <w:sz w:val="15"/>
        </w:rPr>
        <w:t xml:space="preserve">  "sscc": "106141411234567890",</w:t>
      </w:r>
    </w:p>
    <w:p>
      <w:pPr>
        <w:spacing w:after="0" w:before="0" w:line="240" w:lineRule="auto"/>
        <w:ind w:left="57"/>
        <w:jc w:val="left"/>
        <w:shd w:val="clear" w:fill="F2F2F2"/>
      </w:pPr>
      <w:r>
        <w:rPr>
          <w:rFonts w:ascii="Consolas" w:hAnsi="Consolas" w:cs="Consolas"/>
          <w:b w:val="0"/>
          <w:i w:val="0"/>
          <w:sz w:val="15"/>
        </w:rPr>
        <w:t xml:space="preserve">  "product": "Fresh Oranges",</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"lot": "OR-2026-0412",</w:t>
      </w:r>
    </w:p>
    <w:p>
      <w:pPr>
        <w:spacing w:after="0" w:before="0" w:line="240" w:lineRule="auto"/>
        <w:ind w:left="57"/>
        <w:jc w:val="left"/>
        <w:shd w:val="clear" w:fill="F2F2F2"/>
      </w:pPr>
      <w:r>
        <w:rPr>
          <w:rFonts w:ascii="Consolas" w:hAnsi="Consolas" w:cs="Consolas"/>
          <w:b w:val="0"/>
          <w:i w:val="0"/>
          <w:sz w:val="15"/>
        </w:rPr>
        <w:t xml:space="preserve">  "net_weight_kg": 1110,</w:t>
      </w:r>
    </w:p>
    <w:p>
      <w:pPr>
        <w:spacing w:after="0" w:before="0" w:line="240" w:lineRule="auto"/>
        <w:ind w:left="57"/>
        <w:jc w:val="left"/>
        <w:shd w:val="clear" w:fill="F2F2F2"/>
      </w:pPr>
      <w:r>
        <w:rPr>
          <w:rFonts w:ascii="Consolas" w:hAnsi="Consolas" w:cs="Consolas"/>
          <w:b w:val="0"/>
          <w:i w:val="0"/>
          <w:sz w:val="15"/>
        </w:rPr>
        <w:t xml:space="preserve">  "gross_weight_kg": 1165,</w:t>
      </w:r>
    </w:p>
    <w:p>
      <w:pPr>
        <w:spacing w:after="0" w:before="0" w:line="240" w:lineRule="auto"/>
        <w:ind w:left="57"/>
        <w:jc w:val="left"/>
        <w:shd w:val="clear" w:fill="F2F2F2"/>
      </w:pPr>
      <w:r>
        <w:rPr>
          <w:rFonts w:ascii="Consolas" w:hAnsi="Consolas" w:cs="Consolas"/>
          <w:b w:val="0"/>
          <w:i w:val="0"/>
          <w:sz w:val="15"/>
        </w:rPr>
        <w:t xml:space="preserve">  "layer_summary": "11×10 + 1×1 cartons",</w:t>
      </w:r>
    </w:p>
    <w:p>
      <w:pPr>
        <w:spacing w:after="0" w:before="0" w:line="240" w:lineRule="auto"/>
        <w:ind w:left="57"/>
        <w:jc w:val="left"/>
        <w:shd w:val="clear" w:fill="F2F2F2"/>
      </w:pPr>
      <w:r>
        <w:rPr>
          <w:rFonts w:ascii="Consolas" w:hAnsi="Consolas" w:cs="Consolas"/>
          <w:b w:val="0"/>
          <w:i w:val="0"/>
          <w:sz w:val="15"/>
        </w:rPr>
        <w:t xml:space="preserve">  "cold_treatment_cert": "CT-20260415-001",</w:t>
      </w:r>
    </w:p>
    <w:p>
      <w:pPr>
        <w:spacing w:after="0" w:before="0" w:line="240" w:lineRule="auto"/>
        <w:ind w:left="57"/>
        <w:jc w:val="left"/>
        <w:shd w:val="clear" w:fill="F2F2F2"/>
      </w:pPr>
      <w:r>
        <w:rPr>
          <w:rFonts w:ascii="Consolas" w:hAnsi="Consolas" w:cs="Consolas"/>
          <w:b w:val="0"/>
          <w:i w:val="0"/>
          <w:sz w:val="15"/>
        </w:rPr>
        <w:t xml:space="preserve">  "verify_url": "https://sgtx.io/verify/pallet?sscc=106141411234567890",</w:t>
      </w:r>
    </w:p>
    <w:p>
      <w:pPr>
        <w:spacing w:after="0" w:before="0" w:line="240" w:lineRule="auto"/>
        <w:ind w:left="57"/>
        <w:jc w:val="left"/>
        <w:shd w:val="clear" w:fill="F2F2F2"/>
      </w:pPr>
      <w:r>
        <w:rPr>
          <w:rFonts w:ascii="Consolas" w:hAnsi="Consolas" w:cs="Consolas"/>
          <w:b w:val="0"/>
          <w:i w:val="0"/>
          <w:sz w:val="15"/>
        </w:rPr>
        <w:t xml:space="preserve">  "verifiable_credential": {</w:t>
      </w:r>
    </w:p>
    <w:p>
      <w:pPr>
        <w:spacing w:after="0" w:before="0" w:line="240" w:lineRule="auto"/>
        <w:ind w:left="57"/>
        <w:jc w:val="left"/>
        <w:shd w:val="clear" w:fill="F2F2F2"/>
      </w:pPr>
      <w:r>
        <w:rPr>
          <w:rFonts w:ascii="Consolas" w:hAnsi="Consolas" w:cs="Consolas"/>
          <w:b w:val="0"/>
          <w:i w:val="0"/>
          <w:sz w:val="15"/>
        </w:rPr>
        <w:t xml:space="preserve">    "type": "VerifiableCredential",</w:t>
      </w:r>
    </w:p>
    <w:p>
      <w:pPr>
        <w:spacing w:after="0" w:before="0" w:line="240" w:lineRule="auto"/>
        <w:ind w:left="57"/>
        <w:jc w:val="left"/>
        <w:shd w:val="clear" w:fill="F2F2F2"/>
      </w:pPr>
      <w:r>
        <w:rPr>
          <w:rFonts w:ascii="Consolas" w:hAnsi="Consolas" w:cs="Consolas"/>
          <w:b w:val="0"/>
          <w:i w:val="0"/>
          <w:sz w:val="15"/>
        </w:rPr>
        <w:t xml:space="preserve">    "issuer": "https://sgtx.io/issuers/platform",</w:t>
      </w:r>
    </w:p>
    <w:p>
      <w:pPr>
        <w:spacing w:after="0" w:before="0" w:line="240" w:lineRule="auto"/>
        <w:ind w:left="57"/>
        <w:jc w:val="left"/>
        <w:shd w:val="clear" w:fill="F2F2F2"/>
      </w:pPr>
      <w:r>
        <w:rPr>
          <w:rFonts w:ascii="Consolas" w:hAnsi="Consolas" w:cs="Consolas"/>
          <w:b w:val="0"/>
          <w:i w:val="0"/>
          <w:sz w:val="15"/>
        </w:rPr>
        <w:t xml:space="preserve">    "issuanceDate": "2026-06-20T10:30:00Z",</w:t>
      </w:r>
    </w:p>
    <w:p>
      <w:pPr>
        <w:spacing w:after="0" w:before="0" w:line="240" w:lineRule="auto"/>
        <w:ind w:left="57"/>
        <w:jc w:val="left"/>
        <w:shd w:val="clear" w:fill="F2F2F2"/>
      </w:pPr>
      <w:r>
        <w:rPr>
          <w:rFonts w:ascii="Consolas" w:hAnsi="Consolas" w:cs="Consolas"/>
          <w:b w:val="0"/>
          <w:i w:val="0"/>
          <w:sz w:val="15"/>
        </w:rPr>
        <w:t xml:space="preserve">    "proof": {</w:t>
      </w:r>
    </w:p>
    <w:p>
      <w:pPr>
        <w:spacing w:after="0" w:before="0" w:line="240" w:lineRule="auto"/>
        <w:ind w:left="57"/>
        <w:jc w:val="left"/>
        <w:shd w:val="clear" w:fill="F2F2F2"/>
      </w:pPr>
      <w:r>
        <w:rPr>
          <w:rFonts w:ascii="Consolas" w:hAnsi="Consolas" w:cs="Consolas"/>
          <w:b w:val="0"/>
          <w:i w:val="0"/>
          <w:sz w:val="15"/>
        </w:rPr>
        <w:t xml:space="preserve">      "type": "Ed25519Signature2020",</w:t>
      </w:r>
    </w:p>
    <w:p>
      <w:pPr>
        <w:spacing w:after="0" w:before="0" w:line="240" w:lineRule="auto"/>
        <w:ind w:left="57"/>
        <w:jc w:val="left"/>
        <w:shd w:val="clear" w:fill="F2F2F2"/>
      </w:pPr>
      <w:r>
        <w:rPr>
          <w:rFonts w:ascii="Consolas" w:hAnsi="Consolas" w:cs="Consolas"/>
          <w:b w:val="0"/>
          <w:i w:val="0"/>
          <w:sz w:val="15"/>
        </w:rPr>
        <w:t xml:space="preserve">      "signature": "base58..."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8.5.4.2 Verifiable Credential (W3C Standard)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"@context": ["https://www.w3.org/2018/credentials/v1"],</w:t>
      </w:r>
    </w:p>
    <w:p>
      <w:pPr>
        <w:spacing w:after="0" w:before="0" w:line="240" w:lineRule="auto"/>
        <w:ind w:left="57"/>
        <w:jc w:val="left"/>
        <w:shd w:val="clear" w:fill="F2F2F2"/>
      </w:pPr>
      <w:r>
        <w:rPr>
          <w:rFonts w:ascii="Consolas" w:hAnsi="Consolas" w:cs="Consolas"/>
          <w:b w:val="0"/>
          <w:i w:val="0"/>
          <w:sz w:val="15"/>
        </w:rPr>
        <w:t xml:space="preserve">  "id": "https://sgtx.io/credentials/pallet/106141411234567890",</w:t>
      </w:r>
    </w:p>
    <w:p>
      <w:pPr>
        <w:spacing w:after="0" w:before="0" w:line="240" w:lineRule="auto"/>
        <w:ind w:left="57"/>
        <w:jc w:val="left"/>
        <w:shd w:val="clear" w:fill="F2F2F2"/>
      </w:pPr>
      <w:r>
        <w:rPr>
          <w:rFonts w:ascii="Consolas" w:hAnsi="Consolas" w:cs="Consolas"/>
          <w:b w:val="0"/>
          <w:i w:val="0"/>
          <w:sz w:val="15"/>
        </w:rPr>
        <w:t xml:space="preserve">  "type": ["VerifiableCredential", "PalletCredential"],</w:t>
      </w:r>
    </w:p>
    <w:p>
      <w:pPr>
        <w:spacing w:after="0" w:before="0" w:line="240" w:lineRule="auto"/>
        <w:ind w:left="57"/>
        <w:jc w:val="left"/>
        <w:shd w:val="clear" w:fill="F2F2F2"/>
      </w:pPr>
      <w:r>
        <w:rPr>
          <w:rFonts w:ascii="Consolas" w:hAnsi="Consolas" w:cs="Consolas"/>
          <w:b w:val="0"/>
          <w:i w:val="0"/>
          <w:sz w:val="15"/>
        </w:rPr>
        <w:t xml:space="preserve">  "issuer": "https://sgtx.io/issuers/platform",</w:t>
      </w:r>
    </w:p>
    <w:p>
      <w:pPr>
        <w:spacing w:after="0" w:before="0" w:line="240" w:lineRule="auto"/>
        <w:ind w:left="57"/>
        <w:jc w:val="left"/>
        <w:shd w:val="clear" w:fill="F2F2F2"/>
      </w:pPr>
      <w:r>
        <w:rPr>
          <w:rFonts w:ascii="Consolas" w:hAnsi="Consolas" w:cs="Consolas"/>
          <w:b w:val="0"/>
          <w:i w:val="0"/>
          <w:sz w:val="15"/>
        </w:rPr>
        <w:t xml:space="preserve">  "issuanceDate": "2026-06-20T10:30:00Z",</w:t>
      </w:r>
    </w:p>
    <w:p>
      <w:pPr>
        <w:spacing w:after="0" w:before="0" w:line="240" w:lineRule="auto"/>
        <w:ind w:left="57"/>
        <w:jc w:val="left"/>
        <w:shd w:val="clear" w:fill="F2F2F2"/>
      </w:pPr>
      <w:r>
        <w:rPr>
          <w:rFonts w:ascii="Consolas" w:hAnsi="Consolas" w:cs="Consolas"/>
          <w:b w:val="0"/>
          <w:i w:val="0"/>
          <w:sz w:val="15"/>
        </w:rPr>
        <w:t xml:space="preserve">  "credentialSubject": {</w:t>
      </w:r>
    </w:p>
    <w:p>
      <w:pPr>
        <w:spacing w:after="0" w:before="0" w:line="240" w:lineRule="auto"/>
        <w:ind w:left="57"/>
        <w:jc w:val="left"/>
        <w:shd w:val="clear" w:fill="F2F2F2"/>
      </w:pPr>
      <w:r>
        <w:rPr>
          <w:rFonts w:ascii="Consolas" w:hAnsi="Consolas" w:cs="Consolas"/>
          <w:b w:val="0"/>
          <w:i w:val="0"/>
          <w:sz w:val="15"/>
        </w:rPr>
        <w:t xml:space="preserve">    "sscc": "106141411234567890",</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"product": "Fresh Oranges",</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"lot": "OR-2026-0412",</w:t>
      </w:r>
    </w:p>
    <w:p>
      <w:pPr>
        <w:spacing w:after="0" w:before="0" w:line="240" w:lineRule="auto"/>
        <w:ind w:left="57"/>
        <w:jc w:val="left"/>
        <w:shd w:val="clear" w:fill="F2F2F2"/>
      </w:pPr>
      <w:r>
        <w:rPr>
          <w:rFonts w:ascii="Consolas" w:hAnsi="Consolas" w:cs="Consolas"/>
          <w:b w:val="0"/>
          <w:i w:val="0"/>
          <w:sz w:val="15"/>
        </w:rPr>
        <w:t xml:space="preserve">    "net_weight_kg": 1110,</w:t>
      </w:r>
    </w:p>
    <w:p>
      <w:pPr>
        <w:spacing w:after="0" w:before="0" w:line="240" w:lineRule="auto"/>
        <w:ind w:left="57"/>
        <w:jc w:val="left"/>
        <w:shd w:val="clear" w:fill="F2F2F2"/>
      </w:pPr>
      <w:r>
        <w:rPr>
          <w:rFonts w:ascii="Consolas" w:hAnsi="Consolas" w:cs="Consolas"/>
          <w:b w:val="0"/>
          <w:i w:val="0"/>
          <w:sz w:val="15"/>
        </w:rPr>
        <w:t xml:space="preserve">    "gross_weight_kg": 1165,</w:t>
      </w:r>
    </w:p>
    <w:p>
      <w:pPr>
        <w:spacing w:after="0" w:before="0" w:line="240" w:lineRule="auto"/>
        <w:ind w:left="57"/>
        <w:jc w:val="left"/>
        <w:shd w:val="clear" w:fill="F2F2F2"/>
      </w:pPr>
      <w:r>
        <w:rPr>
          <w:rFonts w:ascii="Consolas" w:hAnsi="Consolas" w:cs="Consolas"/>
          <w:b w:val="0"/>
          <w:i w:val="0"/>
          <w:sz w:val="15"/>
        </w:rPr>
        <w:t xml:space="preserve">    "origin_country": "EG",</w:t>
      </w:r>
    </w:p>
    <w:p>
      <w:pPr>
        <w:spacing w:after="0" w:before="0" w:line="240" w:lineRule="auto"/>
        <w:ind w:left="57"/>
        <w:jc w:val="left"/>
        <w:shd w:val="clear" w:fill="F2F2F2"/>
      </w:pPr>
      <w:r>
        <w:rPr>
          <w:rFonts w:ascii="Consolas" w:hAnsi="Consolas" w:cs="Consolas"/>
          <w:b w:val="0"/>
          <w:i w:val="0"/>
          <w:sz w:val="15"/>
        </w:rPr>
        <w:t xml:space="preserve">    "destination_country": "DE",</w:t>
      </w:r>
    </w:p>
    <w:p>
      <w:pPr>
        <w:spacing w:after="0" w:before="0" w:line="240" w:lineRule="auto"/>
        <w:ind w:left="57"/>
        <w:jc w:val="left"/>
        <w:shd w:val="clear" w:fill="F2F2F2"/>
      </w:pPr>
      <w:r>
        <w:rPr>
          <w:rFonts w:ascii="Consolas" w:hAnsi="Consolas" w:cs="Consolas"/>
          <w:b w:val="0"/>
          <w:i w:val="0"/>
          <w:sz w:val="15"/>
        </w:rPr>
        <w:t xml:space="preserve">    "cold_treatment_cert": "CT-20260415-001",</w:t>
      </w:r>
    </w:p>
    <w:p>
      <w:pPr>
        <w:spacing w:after="0" w:before="0" w:line="240" w:lineRule="auto"/>
        <w:ind w:left="57"/>
        <w:jc w:val="left"/>
        <w:shd w:val="clear" w:fill="F2F2F2"/>
      </w:pPr>
      <w:r>
        <w:rPr>
          <w:rFonts w:ascii="Consolas" w:hAnsi="Consolas" w:cs="Consolas"/>
          <w:b w:val="0"/>
          <w:i w:val="0"/>
          <w:sz w:val="15"/>
        </w:rPr>
        <w:t xml:space="preserve">    "seller_gtid": "SGTX-EG-TRD-002139-7F3A",</w:t>
      </w:r>
    </w:p>
    <w:p>
      <w:pPr>
        <w:spacing w:after="0" w:before="0" w:line="240" w:lineRule="auto"/>
        <w:ind w:left="57"/>
        <w:jc w:val="left"/>
        <w:shd w:val="clear" w:fill="F2F2F2"/>
      </w:pPr>
      <w:r>
        <w:rPr>
          <w:rFonts w:ascii="Consolas" w:hAnsi="Consolas" w:cs="Consolas"/>
          <w:b w:val="0"/>
          <w:i w:val="0"/>
          <w:sz w:val="15"/>
        </w:rPr>
        <w:t xml:space="preserve">    "buyer_gtid": "SGTX-DE-TRD-001234-5B6C"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"proof": {</w:t>
      </w:r>
    </w:p>
    <w:p>
      <w:pPr>
        <w:spacing w:after="0" w:before="0" w:line="240" w:lineRule="auto"/>
        <w:ind w:left="57"/>
        <w:jc w:val="left"/>
        <w:shd w:val="clear" w:fill="F2F2F2"/>
      </w:pPr>
      <w:r>
        <w:rPr>
          <w:rFonts w:ascii="Consolas" w:hAnsi="Consolas" w:cs="Consolas"/>
          <w:b w:val="0"/>
          <w:i w:val="0"/>
          <w:sz w:val="15"/>
        </w:rPr>
        <w:t xml:space="preserve">    "type": "Ed25519Signature2020",</w:t>
      </w:r>
    </w:p>
    <w:p>
      <w:pPr>
        <w:spacing w:after="0" w:before="0" w:line="240" w:lineRule="auto"/>
        <w:ind w:left="57"/>
        <w:jc w:val="left"/>
        <w:shd w:val="clear" w:fill="F2F2F2"/>
      </w:pPr>
      <w:r>
        <w:rPr>
          <w:rFonts w:ascii="Consolas" w:hAnsi="Consolas" w:cs="Consolas"/>
          <w:b w:val="0"/>
          <w:i w:val="0"/>
          <w:sz w:val="15"/>
        </w:rPr>
        <w:t xml:space="preserve">    "created": "2026-06-20T10:30:00Z",</w:t>
      </w:r>
    </w:p>
    <w:p>
      <w:pPr>
        <w:spacing w:after="0" w:before="0" w:line="240" w:lineRule="auto"/>
        <w:ind w:left="57"/>
        <w:jc w:val="left"/>
        <w:shd w:val="clear" w:fill="F2F2F2"/>
      </w:pPr>
      <w:r>
        <w:rPr>
          <w:rFonts w:ascii="Consolas" w:hAnsi="Consolas" w:cs="Consolas"/>
          <w:b w:val="0"/>
          <w:i w:val="0"/>
          <w:sz w:val="15"/>
        </w:rPr>
        <w:t xml:space="preserve">    "proofPurpose": "assertionMethod",</w:t>
      </w:r>
    </w:p>
    <w:p>
      <w:pPr>
        <w:spacing w:after="0" w:before="0" w:line="240" w:lineRule="auto"/>
        <w:ind w:left="57"/>
        <w:jc w:val="left"/>
        <w:shd w:val="clear" w:fill="F2F2F2"/>
      </w:pPr>
      <w:r>
        <w:rPr>
          <w:rFonts w:ascii="Consolas" w:hAnsi="Consolas" w:cs="Consolas"/>
          <w:b w:val="0"/>
          <w:i w:val="0"/>
          <w:sz w:val="15"/>
        </w:rPr>
        <w:t xml:space="preserve">    "verificationMethod": "https://sgtx.io/keys/ed25519",</w:t>
      </w:r>
    </w:p>
    <w:p>
      <w:pPr>
        <w:spacing w:after="0" w:before="0" w:line="240" w:lineRule="auto"/>
        <w:ind w:left="57"/>
        <w:jc w:val="left"/>
        <w:shd w:val="clear" w:fill="F2F2F2"/>
      </w:pPr>
      <w:r>
        <w:rPr>
          <w:rFonts w:ascii="Consolas" w:hAnsi="Consolas" w:cs="Consolas"/>
          <w:b w:val="0"/>
          <w:i w:val="0"/>
          <w:sz w:val="15"/>
        </w:rPr>
        <w:t xml:space="preserve">    "signature": "base58..."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8.5.4.3 Offline Verification Flow</w:t>
      </w:r>
    </w:p>
    <w:p>
      <w:pPr>
        <w:spacing w:after="80" w:line="293" w:lineRule="auto"/>
        <w:jc w:val="left"/>
      </w:pPr>
      <w:r>
        <w:rPr>
          <w:rFonts w:ascii="Times New Roman" w:hAnsi="Times New Roman" w:cs="Times New Roman"/>
          <w:b w:val="0"/>
          <w:i w:val="0"/>
          <w:sz w:val="22"/>
        </w:rPr>
        <w:t>The receiver scans the QR code with the mobile app (offline). The app extracts the Verifiable Credential; checks the credential's signature against the cached SGTX public key; validates that the credential has not expired; and displays a green checkmark: "Verified — Lot OR-2026-0412, 111 cartons, 1,110 kg. No internet required." Technology: ssi crate (Rust) + plonky3 for lightweight zero-knowledge proofs.</w:t>
      </w:r>
    </w:p>
    <w:p>
      <w:pPr>
        <w:keepNext/>
        <w:spacing w:before="180" w:after="80"/>
        <w:outlineLvl w:val="2"/>
      </w:pPr>
      <w:r>
        <w:rPr>
          <w:rFonts w:ascii="Arial" w:hAnsi="Arial" w:cs="Arial"/>
          <w:b/>
          <w:i w:val="0"/>
          <w:color w:val="333333"/>
          <w:sz w:val="23"/>
        </w:rPr>
        <w:t>8.5.5 Multi-Language Support</w:t>
      </w:r>
    </w:p>
    <w:p>
      <w:pPr>
        <w:keepNext/>
        <w:spacing w:before="140" w:after="60"/>
        <w:outlineLvl w:val="3"/>
      </w:pPr>
      <w:r>
        <w:rPr>
          <w:rFonts w:ascii="Arial" w:hAnsi="Arial" w:cs="Arial"/>
          <w:b/>
          <w:i/>
          <w:color w:val="333333"/>
          <w:sz w:val="22"/>
        </w:rPr>
        <w:t>8.5.5.1 Language Selection</w:t>
      </w:r>
    </w:p>
    <w:p>
      <w:pPr>
        <w:spacing w:after="80" w:line="293" w:lineRule="auto"/>
        <w:jc w:val="left"/>
      </w:pPr>
      <w:r>
        <w:rPr>
          <w:rFonts w:ascii="Times New Roman" w:hAnsi="Times New Roman" w:cs="Times New Roman"/>
          <w:b w:val="0"/>
          <w:i w:val="0"/>
          <w:sz w:val="22"/>
        </w:rPr>
        <w:t>The packing list can be generated in the buyer's or seller's preferred language, or both.</w:t>
      </w:r>
    </w:p>
    <w:p>
      <w:pPr>
        <w:keepNext/>
        <w:spacing w:before="140" w:after="60"/>
        <w:outlineLvl w:val="3"/>
      </w:pPr>
      <w:r>
        <w:rPr>
          <w:rFonts w:ascii="Arial" w:hAnsi="Arial" w:cs="Arial"/>
          <w:b/>
          <w:i/>
          <w:color w:val="333333"/>
          <w:sz w:val="22"/>
        </w:rPr>
        <w:t>8.5.5.2 Translation (A1, Groq)</w:t>
      </w:r>
    </w:p>
    <w:p>
      <w:pPr>
        <w:spacing w:after="80" w:line="293" w:lineRule="auto"/>
        <w:jc w:val="left"/>
      </w:pPr>
      <w:r>
        <w:rPr>
          <w:rFonts w:ascii="Times New Roman" w:hAnsi="Times New Roman" w:cs="Times New Roman"/>
          <w:b w:val="0"/>
          <w:i w:val="0"/>
          <w:sz w:val="22"/>
        </w:rPr>
        <w:t>Product names, handling instructions, and special instructions are translated using Groq (fallback Ollama). Prompt template:</w:t>
      </w:r>
    </w:p>
    <w:p>
      <w:pPr>
        <w:spacing w:after="0" w:before="0" w:line="240" w:lineRule="auto"/>
        <w:ind w:left="57"/>
        <w:jc w:val="left"/>
        <w:shd w:val="clear" w:fill="F2F2F2"/>
      </w:pPr>
      <w:r>
        <w:rPr>
          <w:rFonts w:ascii="Consolas" w:hAnsi="Consolas" w:cs="Consolas"/>
          <w:b w:val="0"/>
          <w:i w:val="0"/>
          <w:sz w:val="15"/>
        </w:rPr>
        <w:t>Translate the following packing list content from English to {target_language}:</w:t>
      </w:r>
    </w:p>
    <w:p>
      <w:pPr>
        <w:spacing w:after="0" w:before="0" w:line="240" w:lineRule="auto"/>
        <w:ind w:left="57"/>
        <w:jc w:val="left"/>
        <w:shd w:val="clear" w:fill="F2F2F2"/>
      </w:pPr>
      <w:r>
        <w:rPr>
          <w:rFonts w:ascii="Consolas" w:hAnsi="Consolas" w:cs="Consolas"/>
          <w:b w:val="0"/>
          <w:i w:val="0"/>
          <w:sz w:val="15"/>
        </w:rPr>
        <w:t>Product: {product_name}</w:t>
      </w:r>
    </w:p>
    <w:p>
      <w:pPr>
        <w:spacing w:after="0" w:before="0" w:line="240" w:lineRule="auto"/>
        <w:ind w:left="57"/>
        <w:jc w:val="left"/>
        <w:shd w:val="clear" w:fill="F2F2F2"/>
      </w:pPr>
      <w:r>
        <w:rPr>
          <w:rFonts w:ascii="Consolas" w:hAnsi="Consolas" w:cs="Consolas"/>
          <w:b w:val="0"/>
          <w:i w:val="0"/>
          <w:sz w:val="15"/>
        </w:rPr>
        <w:t>Special Instructions: {special_instructions}</w:t>
      </w:r>
    </w:p>
    <w:p>
      <w:pPr>
        <w:spacing w:after="0" w:before="0" w:line="240" w:lineRule="auto"/>
        <w:ind w:left="57"/>
        <w:jc w:val="left"/>
        <w:shd w:val="clear" w:fill="F2F2F2"/>
      </w:pPr>
      <w:r>
        <w:rPr>
          <w:rFonts w:ascii="Consolas" w:hAnsi="Consolas" w:cs="Consolas"/>
          <w:b w:val="0"/>
          <w:i w:val="0"/>
          <w:sz w:val="15"/>
        </w:rPr>
        <w:t>Handling Notes: {handling_notes}</w:t>
      </w:r>
    </w:p>
    <w:p>
      <w:pPr>
        <w:spacing w:after="0" w:before="0" w:line="240" w:lineRule="auto"/>
        <w:ind w:left="57"/>
        <w:jc w:val="left"/>
        <w:shd w:val="clear" w:fill="F2F2F2"/>
      </w:pPr>
      <w:r>
        <w:rPr>
          <w:rFonts w:ascii="Consolas" w:hAnsi="Consolas" w:cs="Consolas"/>
          <w:b w:val="0"/>
          <w:i w:val="0"/>
          <w:sz w:val="15"/>
        </w:rPr>
        <w:t>Preserve all numbers, dates, and technical terms (HS codes, SSCCs, etc.).</w:t>
      </w:r>
    </w:p>
    <w:p>
      <w:pPr>
        <w:spacing w:after="0" w:before="0" w:line="240" w:lineRule="auto"/>
        <w:ind w:left="57"/>
        <w:jc w:val="left"/>
        <w:shd w:val="clear" w:fill="F2F2F2"/>
      </w:pPr>
      <w:r>
        <w:rPr>
          <w:rFonts w:ascii="Consolas" w:hAnsi="Consolas" w:cs="Consolas"/>
          <w:b w:val="0"/>
          <w:i w:val="0"/>
          <w:sz w:val="15"/>
        </w:rPr>
        <w:t>Use professional trade terminology.</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8.5.6 Acceptance Criteria Integration</w:t>
      </w:r>
    </w:p>
    <w:p>
      <w:pPr>
        <w:keepNext/>
        <w:spacing w:before="140" w:after="60"/>
        <w:outlineLvl w:val="3"/>
      </w:pPr>
      <w:r>
        <w:rPr>
          <w:rFonts w:ascii="Arial" w:hAnsi="Arial" w:cs="Arial"/>
          <w:b/>
          <w:i/>
          <w:color w:val="333333"/>
          <w:sz w:val="22"/>
        </w:rPr>
        <w:t>8.5.6.1 Purpose</w:t>
      </w:r>
    </w:p>
    <w:p>
      <w:pPr>
        <w:spacing w:after="80" w:line="293" w:lineRule="auto"/>
        <w:jc w:val="left"/>
      </w:pPr>
      <w:r>
        <w:rPr>
          <w:rFonts w:ascii="Times New Roman" w:hAnsi="Times New Roman" w:cs="Times New Roman"/>
          <w:b w:val="0"/>
          <w:i w:val="0"/>
          <w:sz w:val="22"/>
        </w:rPr>
        <w:t>The packing list includes the acceptance criteria matrix so that inspectors can verify the goods against the specifications during inspection.</w:t>
      </w:r>
    </w:p>
    <w:p>
      <w:pPr>
        <w:keepNext/>
        <w:spacing w:before="140" w:after="60"/>
        <w:outlineLvl w:val="3"/>
      </w:pPr>
      <w:r>
        <w:rPr>
          <w:rFonts w:ascii="Arial" w:hAnsi="Arial" w:cs="Arial"/>
          <w:b/>
          <w:i/>
          <w:color w:val="333333"/>
          <w:sz w:val="22"/>
        </w:rPr>
        <w:t>8.5.6.2 Inspectors' Workflow</w:t>
      </w:r>
    </w:p>
    <w:p>
      <w:pPr>
        <w:spacing w:after="80" w:line="293" w:lineRule="auto"/>
        <w:jc w:val="left"/>
      </w:pPr>
      <w:r>
        <w:rPr>
          <w:rFonts w:ascii="Times New Roman" w:hAnsi="Times New Roman" w:cs="Times New Roman"/>
          <w:b w:val="0"/>
          <w:i w:val="0"/>
          <w:sz w:val="22"/>
        </w:rPr>
        <w:t>The inspector receives the packing list (PDF or mobile app); reviews the acceptance criteria matrix; performs the inspection against each parameter; marks each parameter as PASS/FAIL in the QC report; and the QC report references the packing list ID and acceptance criteria.</w:t>
      </w:r>
    </w:p>
    <w:p>
      <w:pPr>
        <w:keepNext/>
        <w:spacing w:before="180" w:after="80"/>
        <w:outlineLvl w:val="2"/>
      </w:pPr>
      <w:r>
        <w:rPr>
          <w:rFonts w:ascii="Arial" w:hAnsi="Arial" w:cs="Arial"/>
          <w:b/>
          <w:i w:val="0"/>
          <w:color w:val="333333"/>
          <w:sz w:val="23"/>
        </w:rPr>
        <w:t>8.5.7 Special Trade Instructions Integration</w:t>
      </w:r>
    </w:p>
    <w:p>
      <w:pPr>
        <w:spacing w:after="80" w:line="293" w:lineRule="auto"/>
        <w:jc w:val="left"/>
      </w:pPr>
      <w:r>
        <w:rPr>
          <w:rFonts w:ascii="Times New Roman" w:hAnsi="Times New Roman" w:cs="Times New Roman"/>
          <w:b w:val="0"/>
          <w:i w:val="0"/>
          <w:sz w:val="22"/>
        </w:rPr>
        <w:t>All special trade instructions from the buyer's request are embedded in the packing list so that warehouse staff, logistics providers, and customs officials can see them. Canonical example contents: Arabic labels mandatory on all cartons; no wooden pallets (ISPM 15 compliant only); Halal certification required; temperature logger required in each container; original Bill of Lading to be sent by DHL; inspection must be witnessed by buyer's representative; arbitration DIFC-LCIA, Dubai. Instructions are categorised for easy reference (labeling, packaging, certification, handling, logistics, legal).</w:t>
      </w:r>
    </w:p>
    <w:p>
      <w:pPr>
        <w:keepNext/>
        <w:spacing w:before="180" w:after="80"/>
        <w:outlineLvl w:val="2"/>
      </w:pPr>
      <w:r>
        <w:rPr>
          <w:rFonts w:ascii="Arial" w:hAnsi="Arial" w:cs="Arial"/>
          <w:b/>
          <w:i w:val="0"/>
          <w:color w:val="333333"/>
          <w:sz w:val="23"/>
        </w:rPr>
        <w:t>8.5.8 Document Formats</w:t>
      </w:r>
    </w:p>
    <w:p>
      <w:pPr>
        <w:keepNext/>
        <w:spacing w:before="140" w:after="60"/>
        <w:outlineLvl w:val="3"/>
      </w:pPr>
      <w:r>
        <w:rPr>
          <w:rFonts w:ascii="Arial" w:hAnsi="Arial" w:cs="Arial"/>
          <w:b/>
          <w:i/>
          <w:color w:val="333333"/>
          <w:sz w:val="22"/>
        </w:rPr>
        <w:t>8.5.8.1 PDF Generation</w:t>
      </w:r>
    </w:p>
    <w:p>
      <w:pPr>
        <w:spacing w:after="80" w:line="293" w:lineRule="auto"/>
        <w:jc w:val="left"/>
      </w:pPr>
      <w:r>
        <w:rPr>
          <w:rFonts w:ascii="Times New Roman" w:hAnsi="Times New Roman" w:cs="Times New Roman"/>
          <w:b w:val="0"/>
          <w:i w:val="0"/>
          <w:sz w:val="22"/>
        </w:rPr>
        <w:t>Technology: Tera templates + headless Chrome (or printpdf Rust library). Process: render HTML template with data; convert to PDF using headless Chrome; apply PDF/A-3 archival format; sign digitally with Ed25519; add Loom hash; store in the documents table. HTML template example:</w:t>
      </w:r>
    </w:p>
    <w:p>
      <w:pPr>
        <w:spacing w:after="0" w:before="0" w:line="240" w:lineRule="auto"/>
        <w:ind w:left="57"/>
        <w:jc w:val="left"/>
        <w:shd w:val="clear" w:fill="F2F2F2"/>
      </w:pPr>
      <w:r>
        <w:rPr>
          <w:rFonts w:ascii="Consolas" w:hAnsi="Consolas" w:cs="Consolas"/>
          <w:b w:val="0"/>
          <w:i w:val="0"/>
          <w:sz w:val="15"/>
        </w:rPr>
        <w:t>&lt;!DOCTYPE html&gt;</w:t>
      </w:r>
    </w:p>
    <w:p>
      <w:pPr>
        <w:spacing w:after="0" w:before="0" w:line="240" w:lineRule="auto"/>
        <w:ind w:left="57"/>
        <w:jc w:val="left"/>
        <w:shd w:val="clear" w:fill="F2F2F2"/>
      </w:pPr>
      <w:r>
        <w:rPr>
          <w:rFonts w:ascii="Consolas" w:hAnsi="Consolas" w:cs="Consolas"/>
          <w:b w:val="0"/>
          <w:i w:val="0"/>
          <w:sz w:val="15"/>
        </w:rPr>
        <w:t>&lt;html&gt;</w:t>
      </w:r>
    </w:p>
    <w:p>
      <w:pPr>
        <w:spacing w:after="0" w:before="0" w:line="240" w:lineRule="auto"/>
        <w:ind w:left="57"/>
        <w:jc w:val="left"/>
        <w:shd w:val="clear" w:fill="F2F2F2"/>
      </w:pPr>
      <w:r>
        <w:rPr>
          <w:rFonts w:ascii="Consolas" w:hAnsi="Consolas" w:cs="Consolas"/>
          <w:b w:val="0"/>
          <w:i w:val="0"/>
          <w:sz w:val="15"/>
        </w:rPr>
        <w:t>&lt;head&gt;</w:t>
      </w:r>
    </w:p>
    <w:p>
      <w:pPr>
        <w:spacing w:after="0" w:before="0" w:line="240" w:lineRule="auto"/>
        <w:ind w:left="57"/>
        <w:jc w:val="left"/>
        <w:shd w:val="clear" w:fill="F2F2F2"/>
      </w:pPr>
      <w:r>
        <w:rPr>
          <w:rFonts w:ascii="Consolas" w:hAnsi="Consolas" w:cs="Consolas"/>
          <w:b w:val="0"/>
          <w:i w:val="0"/>
          <w:sz w:val="15"/>
        </w:rPr>
        <w:t xml:space="preserve">  &lt;meta charset="UTF-8"&gt;</w:t>
      </w:r>
    </w:p>
    <w:p>
      <w:pPr>
        <w:spacing w:after="0" w:before="0" w:line="240" w:lineRule="auto"/>
        <w:ind w:left="57"/>
        <w:jc w:val="left"/>
        <w:shd w:val="clear" w:fill="F2F2F2"/>
      </w:pPr>
      <w:r>
        <w:rPr>
          <w:rFonts w:ascii="Consolas" w:hAnsi="Consolas" w:cs="Consolas"/>
          <w:b w:val="0"/>
          <w:i w:val="0"/>
          <w:sz w:val="15"/>
        </w:rPr>
        <w:t xml:space="preserve">  &lt;title&gt;Packing List — {{ ustn }}&lt;/title&gt;</w:t>
      </w:r>
    </w:p>
    <w:p>
      <w:pPr>
        <w:spacing w:after="0" w:before="0" w:line="240" w:lineRule="auto"/>
        <w:ind w:left="57"/>
        <w:jc w:val="left"/>
        <w:shd w:val="clear" w:fill="F2F2F2"/>
      </w:pPr>
      <w:r>
        <w:rPr>
          <w:rFonts w:ascii="Consolas" w:hAnsi="Consolas" w:cs="Consolas"/>
          <w:b w:val="0"/>
          <w:i w:val="0"/>
          <w:sz w:val="15"/>
        </w:rPr>
        <w:t xml:space="preserve">  &lt;style&gt;</w:t>
      </w:r>
    </w:p>
    <w:p>
      <w:pPr>
        <w:spacing w:after="0" w:before="0" w:line="240" w:lineRule="auto"/>
        <w:ind w:left="57"/>
        <w:jc w:val="left"/>
        <w:shd w:val="clear" w:fill="F2F2F2"/>
      </w:pPr>
      <w:r>
        <w:rPr>
          <w:rFonts w:ascii="Consolas" w:hAnsi="Consolas" w:cs="Consolas"/>
          <w:b w:val="0"/>
          <w:i w:val="0"/>
          <w:sz w:val="15"/>
        </w:rPr>
        <w:t xml:space="preserve">    body { font-family: Arial, sans-serif; margin: 40px; }</w:t>
      </w:r>
    </w:p>
    <w:p>
      <w:pPr>
        <w:spacing w:after="0" w:before="0" w:line="240" w:lineRule="auto"/>
        <w:ind w:left="57"/>
        <w:jc w:val="left"/>
        <w:shd w:val="clear" w:fill="F2F2F2"/>
      </w:pPr>
      <w:r>
        <w:rPr>
          <w:rFonts w:ascii="Consolas" w:hAnsi="Consolas" w:cs="Consolas"/>
          <w:b w:val="0"/>
          <w:i w:val="0"/>
          <w:sz w:val="15"/>
        </w:rPr>
        <w:t xml:space="preserve">    table { width: 100%; border-collapse: collapse; }</w:t>
      </w:r>
    </w:p>
    <w:p>
      <w:pPr>
        <w:spacing w:after="0" w:before="0" w:line="240" w:lineRule="auto"/>
        <w:ind w:left="57"/>
        <w:jc w:val="left"/>
        <w:shd w:val="clear" w:fill="F2F2F2"/>
      </w:pPr>
      <w:r>
        <w:rPr>
          <w:rFonts w:ascii="Consolas" w:hAnsi="Consolas" w:cs="Consolas"/>
          <w:b w:val="0"/>
          <w:i w:val="0"/>
          <w:sz w:val="15"/>
        </w:rPr>
        <w:t xml:space="preserve">    th, td { border: 1px solid #ddd; padding: 8px; text-align: left; }</w:t>
      </w:r>
    </w:p>
    <w:p>
      <w:pPr>
        <w:spacing w:after="0" w:before="0" w:line="240" w:lineRule="auto"/>
        <w:ind w:left="57"/>
        <w:jc w:val="left"/>
        <w:shd w:val="clear" w:fill="F2F2F2"/>
      </w:pPr>
      <w:r>
        <w:rPr>
          <w:rFonts w:ascii="Consolas" w:hAnsi="Consolas" w:cs="Consolas"/>
          <w:b w:val="0"/>
          <w:i w:val="0"/>
          <w:sz w:val="15"/>
        </w:rPr>
        <w:t xml:space="preserve">    .header { text-align: center; font-size: 24px; font-weight: bold; }</w:t>
      </w:r>
    </w:p>
    <w:p>
      <w:pPr>
        <w:spacing w:after="0" w:before="0" w:line="240" w:lineRule="auto"/>
        <w:ind w:left="57"/>
        <w:jc w:val="left"/>
        <w:shd w:val="clear" w:fill="F2F2F2"/>
      </w:pPr>
      <w:r>
        <w:rPr>
          <w:rFonts w:ascii="Consolas" w:hAnsi="Consolas" w:cs="Consolas"/>
          <w:b w:val="0"/>
          <w:i w:val="0"/>
          <w:sz w:val="15"/>
        </w:rPr>
        <w:t xml:space="preserve">    .metadata { font-size: 12px; color: #666; margin-top: 10px; }</w:t>
      </w:r>
    </w:p>
    <w:p>
      <w:pPr>
        <w:spacing w:after="0" w:before="0" w:line="240" w:lineRule="auto"/>
        <w:ind w:left="57"/>
        <w:jc w:val="left"/>
        <w:shd w:val="clear" w:fill="F2F2F2"/>
      </w:pPr>
      <w:r>
        <w:rPr>
          <w:rFonts w:ascii="Consolas" w:hAnsi="Consolas" w:cs="Consolas"/>
          <w:b w:val="0"/>
          <w:i w:val="0"/>
          <w:sz w:val="15"/>
        </w:rPr>
        <w:t xml:space="preserve">  &lt;/style&gt;</w:t>
      </w:r>
    </w:p>
    <w:p>
      <w:pPr>
        <w:spacing w:after="0" w:before="0" w:line="240" w:lineRule="auto"/>
        <w:ind w:left="57"/>
        <w:jc w:val="left"/>
        <w:shd w:val="clear" w:fill="F2F2F2"/>
      </w:pPr>
      <w:r>
        <w:rPr>
          <w:rFonts w:ascii="Consolas" w:hAnsi="Consolas" w:cs="Consolas"/>
          <w:b w:val="0"/>
          <w:i w:val="0"/>
          <w:sz w:val="15"/>
        </w:rPr>
        <w:t>&lt;/head&gt;</w:t>
      </w:r>
    </w:p>
    <w:p>
      <w:pPr>
        <w:spacing w:after="0" w:before="0" w:line="240" w:lineRule="auto"/>
        <w:ind w:left="57"/>
        <w:jc w:val="left"/>
        <w:shd w:val="clear" w:fill="F2F2F2"/>
      </w:pPr>
      <w:r>
        <w:rPr>
          <w:rFonts w:ascii="Consolas" w:hAnsi="Consolas" w:cs="Consolas"/>
          <w:b w:val="0"/>
          <w:i w:val="0"/>
          <w:sz w:val="15"/>
        </w:rPr>
        <w:t>&lt;body&gt;</w:t>
      </w:r>
    </w:p>
    <w:p>
      <w:pPr>
        <w:spacing w:after="0" w:before="0" w:line="240" w:lineRule="auto"/>
        <w:ind w:left="57"/>
        <w:jc w:val="left"/>
        <w:shd w:val="clear" w:fill="F2F2F2"/>
      </w:pPr>
      <w:r>
        <w:rPr>
          <w:rFonts w:ascii="Consolas" w:hAnsi="Consolas" w:cs="Consolas"/>
          <w:b w:val="0"/>
          <w:i w:val="0"/>
          <w:sz w:val="15"/>
        </w:rPr>
        <w:t xml:space="preserve">  &lt;div class="header"&gt;PACKING LIST&lt;/div&gt;</w:t>
      </w:r>
    </w:p>
    <w:p>
      <w:pPr>
        <w:spacing w:after="0" w:before="0" w:line="240" w:lineRule="auto"/>
        <w:ind w:left="57"/>
        <w:jc w:val="left"/>
        <w:shd w:val="clear" w:fill="F2F2F2"/>
      </w:pPr>
      <w:r>
        <w:rPr>
          <w:rFonts w:ascii="Consolas" w:hAnsi="Consolas" w:cs="Consolas"/>
          <w:b w:val="0"/>
          <w:i w:val="0"/>
          <w:sz w:val="15"/>
        </w:rPr>
        <w:t xml:space="preserve">  &lt;div class="metadata"&gt;</w:t>
      </w:r>
    </w:p>
    <w:p>
      <w:pPr>
        <w:spacing w:after="0" w:before="0" w:line="240" w:lineRule="auto"/>
        <w:ind w:left="57"/>
        <w:jc w:val="left"/>
        <w:shd w:val="clear" w:fill="F2F2F2"/>
      </w:pPr>
      <w:r>
        <w:rPr>
          <w:rFonts w:ascii="Consolas" w:hAnsi="Consolas" w:cs="Consolas"/>
          <w:b w:val="0"/>
          <w:i w:val="0"/>
          <w:sz w:val="15"/>
        </w:rPr>
        <w:t xml:space="preserve">    USTN: {{ ustn }}&lt;br&gt;</w:t>
      </w:r>
    </w:p>
    <w:p>
      <w:pPr>
        <w:spacing w:after="0" w:before="0" w:line="240" w:lineRule="auto"/>
        <w:ind w:left="57"/>
        <w:jc w:val="left"/>
        <w:shd w:val="clear" w:fill="F2F2F2"/>
      </w:pPr>
      <w:r>
        <w:rPr>
          <w:rFonts w:ascii="Consolas" w:hAnsi="Consolas" w:cs="Consolas"/>
          <w:b w:val="0"/>
          <w:i w:val="0"/>
          <w:sz w:val="15"/>
        </w:rPr>
        <w:t xml:space="preserve">    Generated: {{ generated_at }}&lt;br&gt;</w:t>
      </w:r>
    </w:p>
    <w:p>
      <w:pPr>
        <w:spacing w:after="0" w:before="0" w:line="240" w:lineRule="auto"/>
        <w:ind w:left="57"/>
        <w:jc w:val="left"/>
        <w:shd w:val="clear" w:fill="F2F2F2"/>
      </w:pPr>
      <w:r>
        <w:rPr>
          <w:rFonts w:ascii="Consolas" w:hAnsi="Consolas" w:cs="Consolas"/>
          <w:b w:val="0"/>
          <w:i w:val="0"/>
          <w:sz w:val="15"/>
        </w:rPr>
        <w:t xml:space="preserve">    Loom Hash: {{ loom_hash }}</w:t>
      </w:r>
    </w:p>
    <w:p>
      <w:pPr>
        <w:spacing w:after="0" w:before="0" w:line="240" w:lineRule="auto"/>
        <w:ind w:left="57"/>
        <w:jc w:val="left"/>
        <w:shd w:val="clear" w:fill="F2F2F2"/>
      </w:pPr>
      <w:r>
        <w:rPr>
          <w:rFonts w:ascii="Consolas" w:hAnsi="Consolas" w:cs="Consolas"/>
          <w:b w:val="0"/>
          <w:i w:val="0"/>
          <w:sz w:val="15"/>
        </w:rPr>
        <w:t xml:space="preserve">  &lt;/div&gt;</w:t>
      </w:r>
    </w:p>
    <w:p>
      <w:pPr>
        <w:spacing w:after="0" w:before="0" w:line="240" w:lineRule="auto"/>
        <w:ind w:left="57"/>
        <w:jc w:val="left"/>
        <w:shd w:val="clear" w:fill="F2F2F2"/>
      </w:pPr>
      <w:r>
        <w:rPr>
          <w:rFonts w:ascii="Consolas" w:hAnsi="Consolas" w:cs="Consolas"/>
          <w:b w:val="0"/>
          <w:i w:val="0"/>
          <w:sz w:val="15"/>
        </w:rPr>
        <w:t xml:space="preserve">  &lt;!-- table content --&gt;</w:t>
      </w:r>
    </w:p>
    <w:p>
      <w:pPr>
        <w:spacing w:after="0" w:before="0" w:line="240" w:lineRule="auto"/>
        <w:ind w:left="57"/>
        <w:jc w:val="left"/>
        <w:shd w:val="clear" w:fill="F2F2F2"/>
      </w:pPr>
      <w:r>
        <w:rPr>
          <w:rFonts w:ascii="Consolas" w:hAnsi="Consolas" w:cs="Consolas"/>
          <w:b w:val="0"/>
          <w:i w:val="0"/>
          <w:sz w:val="15"/>
        </w:rPr>
        <w:t>&lt;/body&gt;</w:t>
      </w:r>
    </w:p>
    <w:p>
      <w:pPr>
        <w:spacing w:after="0" w:before="0" w:line="240" w:lineRule="auto"/>
        <w:ind w:left="57"/>
        <w:jc w:val="left"/>
        <w:shd w:val="clear" w:fill="F2F2F2"/>
      </w:pPr>
      <w:r>
        <w:rPr>
          <w:rFonts w:ascii="Consolas" w:hAnsi="Consolas" w:cs="Consolas"/>
          <w:b w:val="0"/>
          <w:i w:val="0"/>
          <w:sz w:val="15"/>
        </w:rPr>
        <w:t>&lt;/html&gt;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8.5.9 Document Signing &amp; Verification</w:t>
      </w:r>
    </w:p>
    <w:p>
      <w:pPr>
        <w:keepNext/>
        <w:spacing w:before="140" w:after="60"/>
        <w:outlineLvl w:val="3"/>
      </w:pPr>
      <w:r>
        <w:rPr>
          <w:rFonts w:ascii="Arial" w:hAnsi="Arial" w:cs="Arial"/>
          <w:b/>
          <w:i/>
          <w:color w:val="333333"/>
          <w:sz w:val="22"/>
        </w:rPr>
        <w:t>8.5.9.1 Signing Process</w:t>
      </w:r>
    </w:p>
    <w:p>
      <w:pPr>
        <w:spacing w:after="80" w:line="293" w:lineRule="auto"/>
        <w:jc w:val="left"/>
      </w:pPr>
      <w:r>
        <w:rPr>
          <w:rFonts w:ascii="Times New Roman" w:hAnsi="Times New Roman" w:cs="Times New Roman"/>
          <w:b w:val="0"/>
          <w:i w:val="0"/>
          <w:sz w:val="22"/>
        </w:rPr>
        <w:t>The document is generated (PDF/JSON/XML); document content is hashed (SHA256); the hash is signed with Ed25519; the signature is added to document metadata; the Loom hash is recorded; the document is stored in the documents table.</w:t>
      </w:r>
    </w:p>
    <w:p>
      <w:pPr>
        <w:keepNext/>
        <w:spacing w:before="140" w:after="60"/>
        <w:outlineLvl w:val="3"/>
      </w:pPr>
      <w:r>
        <w:rPr>
          <w:rFonts w:ascii="Arial" w:hAnsi="Arial" w:cs="Arial"/>
          <w:b/>
          <w:i/>
          <w:color w:val="333333"/>
          <w:sz w:val="22"/>
        </w:rPr>
        <w:t>8.5.9.2 Verification Process</w:t>
      </w:r>
    </w:p>
    <w:p>
      <w:pPr>
        <w:spacing w:after="80" w:line="293" w:lineRule="auto"/>
        <w:jc w:val="left"/>
      </w:pPr>
      <w:r>
        <w:rPr>
          <w:rFonts w:ascii="Times New Roman" w:hAnsi="Times New Roman" w:cs="Times New Roman"/>
          <w:b w:val="0"/>
          <w:i w:val="0"/>
          <w:sz w:val="22"/>
        </w:rPr>
        <w:t>The receiver downloads the document; extracts signature and hash; verifies the signature against the SGTX public key; verifies the hash matches document content; verifies the Loom hash on chain; and if all checks pass, the document is verified. Verification endpoint: GET /v1/verify/packing-list/{document_id}.</w:t>
      </w:r>
    </w:p>
    <w:p>
      <w:pPr>
        <w:keepNext/>
        <w:spacing w:before="180" w:after="80"/>
        <w:outlineLvl w:val="2"/>
      </w:pPr>
      <w:r>
        <w:rPr>
          <w:rFonts w:ascii="Arial" w:hAnsi="Arial" w:cs="Arial"/>
          <w:b/>
          <w:i w:val="0"/>
          <w:color w:val="333333"/>
          <w:sz w:val="23"/>
        </w:rPr>
        <w:t>8.5.10 Validation Gates (Packing List)</w:t>
      </w:r>
    </w:p>
    <w:p>
      <w:pPr>
        <w:spacing w:after="80" w:line="293" w:lineRule="auto"/>
        <w:jc w:val="left"/>
      </w:pPr>
      <w:r>
        <w:rPr>
          <w:rFonts w:ascii="Times New Roman" w:hAnsi="Times New Roman" w:cs="Times New Roman"/>
          <w:b w:val="0"/>
          <w:i w:val="0"/>
          <w:sz w:val="22"/>
        </w:rPr>
        <w:t>The packing list may only be generated from a locked packing plan; generation is blocked when any weight/height validation is failed, when mandatory acceptance criteria are missing, or when the document hash cannot be recorded in Loom. Generated documents are versioned; every regeneration after a packing plan amendment creates a new version.</w:t>
      </w:r>
    </w:p>
    <w:p>
      <w:pPr>
        <w:keepNext/>
        <w:spacing w:before="180" w:after="80"/>
        <w:outlineLvl w:val="2"/>
      </w:pPr>
      <w:r>
        <w:rPr>
          <w:rFonts w:ascii="Arial" w:hAnsi="Arial" w:cs="Arial"/>
          <w:b/>
          <w:i w:val="0"/>
          <w:color w:val="333333"/>
          <w:sz w:val="23"/>
        </w:rPr>
        <w:t>8.5.11 Database Schema Additions</w:t>
      </w:r>
    </w:p>
    <w:p>
      <w:pPr>
        <w:spacing w:after="0" w:before="0" w:line="240" w:lineRule="auto"/>
        <w:ind w:left="57"/>
        <w:jc w:val="left"/>
        <w:shd w:val="clear" w:fill="F2F2F2"/>
      </w:pPr>
      <w:r>
        <w:rPr>
          <w:rFonts w:ascii="Consolas" w:hAnsi="Consolas" w:cs="Consolas"/>
          <w:b w:val="0"/>
          <w:i w:val="0"/>
          <w:sz w:val="15"/>
        </w:rPr>
        <w:t>-- Packing list versions (history)</w:t>
      </w:r>
    </w:p>
    <w:p>
      <w:pPr>
        <w:spacing w:after="0" w:before="0" w:line="240" w:lineRule="auto"/>
        <w:ind w:left="57"/>
        <w:jc w:val="left"/>
        <w:shd w:val="clear" w:fill="F2F2F2"/>
      </w:pPr>
      <w:r>
        <w:rPr>
          <w:rFonts w:ascii="Consolas" w:hAnsi="Consolas" w:cs="Consolas"/>
          <w:b w:val="0"/>
          <w:i w:val="0"/>
          <w:sz w:val="15"/>
        </w:rPr>
        <w:t>CREATE TABLE packing_list_versions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document_id UUID REFERENCES documents(id) ON DELETE SET NULL,</w:t>
      </w:r>
    </w:p>
    <w:p>
      <w:pPr>
        <w:spacing w:after="0" w:before="0" w:line="240" w:lineRule="auto"/>
        <w:ind w:left="57"/>
        <w:jc w:val="left"/>
        <w:shd w:val="clear" w:fill="F2F2F2"/>
      </w:pPr>
      <w:r>
        <w:rPr>
          <w:rFonts w:ascii="Consolas" w:hAnsi="Consolas" w:cs="Consolas"/>
          <w:b w:val="0"/>
          <w:i w:val="0"/>
          <w:sz w:val="15"/>
        </w:rPr>
        <w:t xml:space="preserve">    version INTEGER NOT NULL,</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json_data JSONB,</w:t>
      </w:r>
    </w:p>
    <w:p>
      <w:pPr>
        <w:spacing w:after="0" w:before="0" w:line="240" w:lineRule="auto"/>
        <w:ind w:left="57"/>
        <w:jc w:val="left"/>
        <w:shd w:val="clear" w:fill="F2F2F2"/>
      </w:pPr>
      <w:r>
        <w:rPr>
          <w:rFonts w:ascii="Consolas" w:hAnsi="Consolas" w:cs="Consolas"/>
          <w:b w:val="0"/>
          <w:i w:val="0"/>
          <w:sz w:val="15"/>
        </w:rPr>
        <w:t xml:space="preserve">    xml_data TEXT,</w:t>
      </w:r>
    </w:p>
    <w:p>
      <w:pPr>
        <w:spacing w:after="0" w:before="0" w:line="240" w:lineRule="auto"/>
        <w:ind w:left="57"/>
        <w:jc w:val="left"/>
        <w:shd w:val="clear" w:fill="F2F2F2"/>
      </w:pPr>
      <w:r>
        <w:rPr>
          <w:rFonts w:ascii="Consolas" w:hAnsi="Consolas" w:cs="Consolas"/>
          <w:b w:val="0"/>
          <w:i w:val="0"/>
          <w:sz w:val="15"/>
        </w:rPr>
        <w:t xml:space="preserve">    generated_by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digital_signature TEXT,</w:t>
      </w:r>
    </w:p>
    <w:p>
      <w:pPr>
        <w:spacing w:after="0" w:before="0" w:line="240" w:lineRule="auto"/>
        <w:ind w:left="57"/>
        <w:jc w:val="left"/>
        <w:shd w:val="clear" w:fill="F2F2F2"/>
      </w:pPr>
      <w:r>
        <w:rPr>
          <w:rFonts w:ascii="Consolas" w:hAnsi="Consolas" w:cs="Consolas"/>
          <w:b w:val="0"/>
          <w:i w:val="0"/>
          <w:sz w:val="15"/>
        </w:rPr>
        <w:t xml:space="preserve">    is_latest BOOLEAN DEFAULT false,</w:t>
      </w:r>
    </w:p>
    <w:p>
      <w:pPr>
        <w:spacing w:after="0" w:before="0" w:line="240" w:lineRule="auto"/>
        <w:ind w:left="57"/>
        <w:jc w:val="left"/>
        <w:shd w:val="clear" w:fill="F2F2F2"/>
      </w:pPr>
      <w:r>
        <w:rPr>
          <w:rFonts w:ascii="Consolas" w:hAnsi="Consolas" w:cs="Consolas"/>
          <w:b w:val="0"/>
          <w:i w:val="0"/>
          <w:sz w:val="15"/>
        </w:rPr>
        <w:t xml:space="preserve">    UNIQUE(packing_plan_id, version)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Packing list translations</w:t>
      </w:r>
    </w:p>
    <w:p>
      <w:pPr>
        <w:spacing w:after="0" w:before="0" w:line="240" w:lineRule="auto"/>
        <w:ind w:left="57"/>
        <w:jc w:val="left"/>
        <w:shd w:val="clear" w:fill="F2F2F2"/>
      </w:pPr>
      <w:r>
        <w:rPr>
          <w:rFonts w:ascii="Consolas" w:hAnsi="Consolas" w:cs="Consolas"/>
          <w:b w:val="0"/>
          <w:i w:val="0"/>
          <w:sz w:val="15"/>
        </w:rPr>
        <w:t>CREATE TABLE packing_list_translations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packing_list_id UUID NOT NULL REFERENCES packing_list_versions(id) ON DELETE CASCADE,</w:t>
      </w:r>
    </w:p>
    <w:p>
      <w:pPr>
        <w:spacing w:after="0" w:before="0" w:line="240" w:lineRule="auto"/>
        <w:ind w:left="57"/>
        <w:jc w:val="left"/>
        <w:shd w:val="clear" w:fill="F2F2F2"/>
      </w:pPr>
      <w:r>
        <w:rPr>
          <w:rFonts w:ascii="Consolas" w:hAnsi="Consolas" w:cs="Consolas"/>
          <w:b w:val="0"/>
          <w:i w:val="0"/>
          <w:sz w:val="15"/>
        </w:rPr>
        <w:t xml:space="preserve">    language_code TEXT NOT NULL,</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json_data JSONB,</w:t>
      </w:r>
    </w:p>
    <w:p>
      <w:pPr>
        <w:spacing w:after="0" w:before="0" w:line="240" w:lineRule="auto"/>
        <w:ind w:left="57"/>
        <w:jc w:val="left"/>
        <w:shd w:val="clear" w:fill="F2F2F2"/>
      </w:pPr>
      <w:r>
        <w:rPr>
          <w:rFonts w:ascii="Consolas" w:hAnsi="Consolas" w:cs="Consolas"/>
          <w:b w:val="0"/>
          <w:i w:val="0"/>
          <w:sz w:val="15"/>
        </w:rPr>
        <w:t xml:space="preserve">    translated_by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translated_at TIMESTAMPTZ DEFAULT NOW(),</w:t>
      </w:r>
    </w:p>
    <w:p>
      <w:pPr>
        <w:spacing w:after="0" w:before="0" w:line="240" w:lineRule="auto"/>
        <w:ind w:left="57"/>
        <w:jc w:val="left"/>
        <w:shd w:val="clear" w:fill="F2F2F2"/>
      </w:pPr>
      <w:r>
        <w:rPr>
          <w:rFonts w:ascii="Consolas" w:hAnsi="Consolas" w:cs="Consolas"/>
          <w:b w:val="0"/>
          <w:i w:val="0"/>
          <w:sz w:val="15"/>
        </w:rPr>
        <w:t xml:space="preserve">    UNIQUE(packing_list_id, language_code)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QR code logs</w:t>
      </w:r>
    </w:p>
    <w:p>
      <w:pPr>
        <w:spacing w:after="0" w:before="0" w:line="240" w:lineRule="auto"/>
        <w:ind w:left="57"/>
        <w:jc w:val="left"/>
        <w:shd w:val="clear" w:fill="F2F2F2"/>
      </w:pPr>
      <w:r>
        <w:rPr>
          <w:rFonts w:ascii="Consolas" w:hAnsi="Consolas" w:cs="Consolas"/>
          <w:b w:val="0"/>
          <w:i w:val="0"/>
          <w:sz w:val="15"/>
        </w:rPr>
        <w:t>CREATE TABLE qr_code_logs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pallet_id UUID NOT NULL REFERENCES pallet_details(id) ON DELETE CASCADE,</w:t>
      </w:r>
    </w:p>
    <w:p>
      <w:pPr>
        <w:spacing w:after="0" w:before="0" w:line="240" w:lineRule="auto"/>
        <w:ind w:left="57"/>
        <w:jc w:val="left"/>
        <w:shd w:val="clear" w:fill="F2F2F2"/>
      </w:pPr>
      <w:r>
        <w:rPr>
          <w:rFonts w:ascii="Consolas" w:hAnsi="Consolas" w:cs="Consolas"/>
          <w:b w:val="0"/>
          <w:i w:val="0"/>
          <w:sz w:val="15"/>
        </w:rPr>
        <w:t xml:space="preserve">    qr_code_data TEXT NOT NULL,</w:t>
      </w:r>
    </w:p>
    <w:p>
      <w:pPr>
        <w:spacing w:after="0" w:before="0" w:line="240" w:lineRule="auto"/>
        <w:ind w:left="57"/>
        <w:jc w:val="left"/>
        <w:shd w:val="clear" w:fill="F2F2F2"/>
      </w:pPr>
      <w:r>
        <w:rPr>
          <w:rFonts w:ascii="Consolas" w:hAnsi="Consolas" w:cs="Consolas"/>
          <w:b w:val="0"/>
          <w:i w:val="0"/>
          <w:sz w:val="15"/>
        </w:rPr>
        <w:t xml:space="preserve">    verifiable_credential JSONB,</w:t>
      </w:r>
    </w:p>
    <w:p>
      <w:pPr>
        <w:spacing w:after="0" w:before="0" w:line="240" w:lineRule="auto"/>
        <w:ind w:left="57"/>
        <w:jc w:val="left"/>
        <w:shd w:val="clear" w:fill="F2F2F2"/>
      </w:pPr>
      <w:r>
        <w:rPr>
          <w:rFonts w:ascii="Consolas" w:hAnsi="Consolas" w:cs="Consolas"/>
          <w:b w:val="0"/>
          <w:i w:val="0"/>
          <w:sz w:val="15"/>
        </w:rPr>
        <w:t xml:space="preserve">    scanned_at TIMESTAMPTZ,</w:t>
      </w:r>
    </w:p>
    <w:p>
      <w:pPr>
        <w:spacing w:after="0" w:before="0" w:line="240" w:lineRule="auto"/>
        <w:ind w:left="57"/>
        <w:jc w:val="left"/>
        <w:shd w:val="clear" w:fill="F2F2F2"/>
      </w:pPr>
      <w:r>
        <w:rPr>
          <w:rFonts w:ascii="Consolas" w:hAnsi="Consolas" w:cs="Consolas"/>
          <w:b w:val="0"/>
          <w:i w:val="0"/>
          <w:sz w:val="15"/>
        </w:rPr>
        <w:t xml:space="preserve">    scanned_by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scan_location JSONB,</w:t>
      </w:r>
    </w:p>
    <w:p>
      <w:pPr>
        <w:spacing w:after="0" w:before="0" w:line="240" w:lineRule="auto"/>
        <w:ind w:left="57"/>
        <w:jc w:val="left"/>
        <w:shd w:val="clear" w:fill="F2F2F2"/>
      </w:pPr>
      <w:r>
        <w:rPr>
          <w:rFonts w:ascii="Consolas" w:hAnsi="Consolas" w:cs="Consolas"/>
          <w:b w:val="0"/>
          <w:i w:val="0"/>
          <w:sz w:val="15"/>
        </w:rPr>
        <w:t xml:space="preserve">    verification_status TEXT DEFAULT 'PENDING',</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idx_packing_list_versions_packing_plan ON packing_list_versions(packing_plan_id);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idx_packing_list_versions_is_latest ON packing_list_versions(is_latest) WHERE is_latest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idx_packing_list_translations_packing_list ON packing_list_translations(packing_list_id);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idx_qr_code_logs_pallet ON qr_code_logs(pallet_id);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idx_qr_code_logs_scanned_at ON qr_code_logs(scanned_at);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8.5.12 Implementation Checklist</w:t>
      </w:r>
    </w:p>
    <w:p>
      <w:pPr>
        <w:spacing w:after="80" w:line="293" w:lineRule="auto"/>
        <w:jc w:val="left"/>
      </w:pPr>
      <w:r>
        <w:rPr>
          <w:rFonts w:ascii="Times New Roman" w:hAnsi="Times New Roman" w:cs="Times New Roman"/>
          <w:b w:val="0"/>
          <w:i w:val="0"/>
          <w:sz w:val="22"/>
        </w:rPr>
        <w:t>PDF generation:</w:t>
      </w:r>
    </w:p>
    <w:p>
      <w:pPr>
        <w:spacing w:after="80" w:line="293" w:lineRule="auto"/>
        <w:ind w:left="283"/>
        <w:jc w:val="left"/>
      </w:pPr>
      <w:r>
        <w:rPr>
          <w:rFonts w:ascii="Times New Roman" w:hAnsi="Times New Roman" w:cs="Times New Roman"/>
          <w:b w:val="0"/>
          <w:i w:val="0"/>
          <w:sz w:val="22"/>
        </w:rPr>
        <w:t>- Implement Tera template rendering</w:t>
      </w:r>
    </w:p>
    <w:p>
      <w:pPr>
        <w:spacing w:after="80" w:line="293" w:lineRule="auto"/>
        <w:ind w:left="283"/>
        <w:jc w:val="left"/>
      </w:pPr>
      <w:r>
        <w:rPr>
          <w:rFonts w:ascii="Times New Roman" w:hAnsi="Times New Roman" w:cs="Times New Roman"/>
          <w:b w:val="0"/>
          <w:i w:val="0"/>
          <w:sz w:val="22"/>
        </w:rPr>
        <w:t>- Implement headless Chrome PDF generation (or printpdf)</w:t>
      </w:r>
    </w:p>
    <w:p>
      <w:pPr>
        <w:spacing w:after="80" w:line="293" w:lineRule="auto"/>
        <w:ind w:left="283"/>
        <w:jc w:val="left"/>
      </w:pPr>
      <w:r>
        <w:rPr>
          <w:rFonts w:ascii="Times New Roman" w:hAnsi="Times New Roman" w:cs="Times New Roman"/>
          <w:b w:val="0"/>
          <w:i w:val="0"/>
          <w:sz w:val="22"/>
        </w:rPr>
        <w:t>- Implement PDF/A-3 archival format</w:t>
      </w:r>
    </w:p>
    <w:p>
      <w:pPr>
        <w:spacing w:after="80" w:line="293" w:lineRule="auto"/>
        <w:ind w:left="283"/>
        <w:jc w:val="left"/>
      </w:pPr>
      <w:r>
        <w:rPr>
          <w:rFonts w:ascii="Times New Roman" w:hAnsi="Times New Roman" w:cs="Times New Roman"/>
          <w:b w:val="0"/>
          <w:i w:val="0"/>
          <w:sz w:val="22"/>
        </w:rPr>
        <w:t>- Implement digital signing (Ed25519)</w:t>
      </w:r>
    </w:p>
    <w:p>
      <w:pPr>
        <w:spacing w:after="80" w:line="293" w:lineRule="auto"/>
        <w:ind w:left="283"/>
        <w:jc w:val="left"/>
      </w:pPr>
      <w:r>
        <w:rPr>
          <w:rFonts w:ascii="Times New Roman" w:hAnsi="Times New Roman" w:cs="Times New Roman"/>
          <w:b w:val="0"/>
          <w:i w:val="0"/>
          <w:sz w:val="22"/>
        </w:rPr>
        <w:t>- Implement Loom hash attachment</w:t>
      </w:r>
    </w:p>
    <w:p>
      <w:pPr>
        <w:spacing w:after="80" w:line="293" w:lineRule="auto"/>
        <w:ind w:left="283"/>
        <w:jc w:val="left"/>
      </w:pPr>
      <w:r>
        <w:rPr>
          <w:rFonts w:ascii="Times New Roman" w:hAnsi="Times New Roman" w:cs="Times New Roman"/>
          <w:b w:val="0"/>
          <w:i w:val="0"/>
          <w:sz w:val="22"/>
        </w:rPr>
        <w:t>- Implement PDF versioning</w:t>
      </w:r>
    </w:p>
    <w:p>
      <w:pPr>
        <w:spacing w:after="80" w:line="293" w:lineRule="auto"/>
        <w:jc w:val="left"/>
      </w:pPr>
      <w:r>
        <w:rPr>
          <w:rFonts w:ascii="Times New Roman" w:hAnsi="Times New Roman" w:cs="Times New Roman"/>
          <w:b w:val="0"/>
          <w:i w:val="0"/>
          <w:sz w:val="22"/>
        </w:rPr>
        <w:t>JSON/XML generation:</w:t>
      </w:r>
    </w:p>
    <w:p>
      <w:pPr>
        <w:spacing w:after="80" w:line="293" w:lineRule="auto"/>
        <w:ind w:left="283"/>
        <w:jc w:val="left"/>
      </w:pPr>
      <w:r>
        <w:rPr>
          <w:rFonts w:ascii="Times New Roman" w:hAnsi="Times New Roman" w:cs="Times New Roman"/>
          <w:b w:val="0"/>
          <w:i w:val="0"/>
          <w:sz w:val="22"/>
        </w:rPr>
        <w:t>- Implement JSON serialisation</w:t>
      </w:r>
    </w:p>
    <w:p>
      <w:pPr>
        <w:spacing w:after="80" w:line="293" w:lineRule="auto"/>
        <w:ind w:left="283"/>
        <w:jc w:val="left"/>
      </w:pPr>
      <w:r>
        <w:rPr>
          <w:rFonts w:ascii="Times New Roman" w:hAnsi="Times New Roman" w:cs="Times New Roman"/>
          <w:b w:val="0"/>
          <w:i w:val="0"/>
          <w:sz w:val="22"/>
        </w:rPr>
        <w:t>- Implement XML serialisation (customs-compatible)</w:t>
      </w:r>
    </w:p>
    <w:p>
      <w:pPr>
        <w:spacing w:after="80" w:line="293" w:lineRule="auto"/>
        <w:ind w:left="283"/>
        <w:jc w:val="left"/>
      </w:pPr>
      <w:r>
        <w:rPr>
          <w:rFonts w:ascii="Times New Roman" w:hAnsi="Times New Roman" w:cs="Times New Roman"/>
          <w:b w:val="0"/>
          <w:i w:val="0"/>
          <w:sz w:val="22"/>
        </w:rPr>
        <w:t>- Implement JSON schema validation</w:t>
      </w:r>
    </w:p>
    <w:p>
      <w:pPr>
        <w:spacing w:after="80" w:line="293" w:lineRule="auto"/>
        <w:ind w:left="283"/>
        <w:jc w:val="left"/>
      </w:pPr>
      <w:r>
        <w:rPr>
          <w:rFonts w:ascii="Times New Roman" w:hAnsi="Times New Roman" w:cs="Times New Roman"/>
          <w:b w:val="0"/>
          <w:i w:val="0"/>
          <w:sz w:val="22"/>
        </w:rPr>
        <w:t>- Implement XML schema validation</w:t>
      </w:r>
    </w:p>
    <w:p>
      <w:pPr>
        <w:spacing w:after="80" w:line="293" w:lineRule="auto"/>
        <w:jc w:val="left"/>
      </w:pPr>
      <w:r>
        <w:rPr>
          <w:rFonts w:ascii="Times New Roman" w:hAnsi="Times New Roman" w:cs="Times New Roman"/>
          <w:b w:val="0"/>
          <w:i w:val="0"/>
          <w:sz w:val="22"/>
        </w:rPr>
        <w:t>SSCC generation:</w:t>
      </w:r>
    </w:p>
    <w:p>
      <w:pPr>
        <w:spacing w:after="80" w:line="293" w:lineRule="auto"/>
        <w:ind w:left="283"/>
        <w:jc w:val="left"/>
      </w:pPr>
      <w:r>
        <w:rPr>
          <w:rFonts w:ascii="Times New Roman" w:hAnsi="Times New Roman" w:cs="Times New Roman"/>
          <w:b w:val="0"/>
          <w:i w:val="0"/>
          <w:sz w:val="22"/>
        </w:rPr>
        <w:t>- Implement GS1 SSCC-18 generation</w:t>
      </w:r>
    </w:p>
    <w:p>
      <w:pPr>
        <w:spacing w:after="80" w:line="293" w:lineRule="auto"/>
        <w:ind w:left="283"/>
        <w:jc w:val="left"/>
      </w:pPr>
      <w:r>
        <w:rPr>
          <w:rFonts w:ascii="Times New Roman" w:hAnsi="Times New Roman" w:cs="Times New Roman"/>
          <w:b w:val="0"/>
          <w:i w:val="0"/>
          <w:sz w:val="22"/>
        </w:rPr>
        <w:t>- Implement check digit calculation</w:t>
      </w:r>
    </w:p>
    <w:p>
      <w:pPr>
        <w:spacing w:after="80" w:line="293" w:lineRule="auto"/>
        <w:ind w:left="283"/>
        <w:jc w:val="left"/>
      </w:pPr>
      <w:r>
        <w:rPr>
          <w:rFonts w:ascii="Times New Roman" w:hAnsi="Times New Roman" w:cs="Times New Roman"/>
          <w:b w:val="0"/>
          <w:i w:val="0"/>
          <w:sz w:val="22"/>
        </w:rPr>
        <w:t>- Implement SSCC uniqueness validation</w:t>
      </w:r>
    </w:p>
    <w:p>
      <w:pPr>
        <w:spacing w:after="80" w:line="293" w:lineRule="auto"/>
        <w:ind w:left="283"/>
        <w:jc w:val="left"/>
      </w:pPr>
      <w:r>
        <w:rPr>
          <w:rFonts w:ascii="Times New Roman" w:hAnsi="Times New Roman" w:cs="Times New Roman"/>
          <w:b w:val="0"/>
          <w:i w:val="0"/>
          <w:sz w:val="22"/>
        </w:rPr>
        <w:t>- Implement SSCC storage and tracking</w:t>
      </w:r>
    </w:p>
    <w:p>
      <w:pPr>
        <w:spacing w:after="80" w:line="293" w:lineRule="auto"/>
        <w:jc w:val="left"/>
      </w:pPr>
      <w:r>
        <w:rPr>
          <w:rFonts w:ascii="Times New Roman" w:hAnsi="Times New Roman" w:cs="Times New Roman"/>
          <w:b w:val="0"/>
          <w:i w:val="0"/>
          <w:sz w:val="22"/>
        </w:rPr>
        <w:t>QR code &amp; verifiable credential:</w:t>
      </w:r>
    </w:p>
    <w:p>
      <w:pPr>
        <w:spacing w:after="80" w:line="293" w:lineRule="auto"/>
        <w:ind w:left="283"/>
        <w:jc w:val="left"/>
      </w:pPr>
      <w:r>
        <w:rPr>
          <w:rFonts w:ascii="Times New Roman" w:hAnsi="Times New Roman" w:cs="Times New Roman"/>
          <w:b w:val="0"/>
          <w:i w:val="0"/>
          <w:sz w:val="22"/>
        </w:rPr>
        <w:t>- Implement QR code generation (qrcode crate)</w:t>
      </w:r>
    </w:p>
    <w:p>
      <w:pPr>
        <w:spacing w:after="80" w:line="293" w:lineRule="auto"/>
        <w:ind w:left="283"/>
        <w:jc w:val="left"/>
      </w:pPr>
      <w:r>
        <w:rPr>
          <w:rFonts w:ascii="Times New Roman" w:hAnsi="Times New Roman" w:cs="Times New Roman"/>
          <w:b w:val="0"/>
          <w:i w:val="0"/>
          <w:sz w:val="22"/>
        </w:rPr>
        <w:t>- Implement Verifiable Credential generation (W3C standard)</w:t>
      </w:r>
    </w:p>
    <w:p>
      <w:pPr>
        <w:spacing w:after="80" w:line="293" w:lineRule="auto"/>
        <w:ind w:left="283"/>
        <w:jc w:val="left"/>
      </w:pPr>
      <w:r>
        <w:rPr>
          <w:rFonts w:ascii="Times New Roman" w:hAnsi="Times New Roman" w:cs="Times New Roman"/>
          <w:b w:val="0"/>
          <w:i w:val="0"/>
          <w:sz w:val="22"/>
        </w:rPr>
        <w:t>- Implement Ed25519 signing of credentials</w:t>
      </w:r>
    </w:p>
    <w:p>
      <w:pPr>
        <w:spacing w:after="80" w:line="293" w:lineRule="auto"/>
        <w:ind w:left="283"/>
        <w:jc w:val="left"/>
      </w:pPr>
      <w:r>
        <w:rPr>
          <w:rFonts w:ascii="Times New Roman" w:hAnsi="Times New Roman" w:cs="Times New Roman"/>
          <w:b w:val="0"/>
          <w:i w:val="0"/>
          <w:sz w:val="22"/>
        </w:rPr>
        <w:t>- Implement offline verification flow</w:t>
      </w:r>
    </w:p>
    <w:p>
      <w:pPr>
        <w:spacing w:after="80" w:line="293" w:lineRule="auto"/>
        <w:ind w:left="283"/>
        <w:jc w:val="left"/>
      </w:pPr>
      <w:r>
        <w:rPr>
          <w:rFonts w:ascii="Times New Roman" w:hAnsi="Times New Roman" w:cs="Times New Roman"/>
          <w:b w:val="0"/>
          <w:i w:val="0"/>
          <w:sz w:val="22"/>
        </w:rPr>
        <w:t>- Implement QR code scanning (mobile)</w:t>
      </w:r>
    </w:p>
    <w:p>
      <w:pPr>
        <w:spacing w:after="80" w:line="293" w:lineRule="auto"/>
        <w:jc w:val="left"/>
      </w:pPr>
      <w:r>
        <w:rPr>
          <w:rFonts w:ascii="Times New Roman" w:hAnsi="Times New Roman" w:cs="Times New Roman"/>
          <w:b w:val="0"/>
          <w:i w:val="0"/>
          <w:sz w:val="22"/>
        </w:rPr>
        <w:t>Multi-language support:</w:t>
      </w:r>
    </w:p>
    <w:p>
      <w:pPr>
        <w:spacing w:after="80" w:line="293" w:lineRule="auto"/>
        <w:ind w:left="283"/>
        <w:jc w:val="left"/>
      </w:pPr>
      <w:r>
        <w:rPr>
          <w:rFonts w:ascii="Times New Roman" w:hAnsi="Times New Roman" w:cs="Times New Roman"/>
          <w:b w:val="0"/>
          <w:i w:val="0"/>
          <w:sz w:val="22"/>
        </w:rPr>
        <w:t>- Implement language selection UI</w:t>
      </w:r>
    </w:p>
    <w:p>
      <w:pPr>
        <w:spacing w:after="80" w:line="293" w:lineRule="auto"/>
        <w:ind w:left="283"/>
        <w:jc w:val="left"/>
      </w:pPr>
      <w:r>
        <w:rPr>
          <w:rFonts w:ascii="Times New Roman" w:hAnsi="Times New Roman" w:cs="Times New Roman"/>
          <w:b w:val="0"/>
          <w:i w:val="0"/>
          <w:sz w:val="22"/>
        </w:rPr>
        <w:t>- Implement Groq translation (with Ollama fallback)</w:t>
      </w:r>
    </w:p>
    <w:p>
      <w:pPr>
        <w:spacing w:after="80" w:line="293" w:lineRule="auto"/>
        <w:ind w:left="283"/>
        <w:jc w:val="left"/>
      </w:pPr>
      <w:r>
        <w:rPr>
          <w:rFonts w:ascii="Times New Roman" w:hAnsi="Times New Roman" w:cs="Times New Roman"/>
          <w:b w:val="0"/>
          <w:i w:val="0"/>
          <w:sz w:val="22"/>
        </w:rPr>
        <w:t>- Implement translation storage</w:t>
      </w:r>
    </w:p>
    <w:p>
      <w:pPr>
        <w:spacing w:after="80" w:line="293" w:lineRule="auto"/>
        <w:ind w:left="283"/>
        <w:jc w:val="left"/>
      </w:pPr>
      <w:r>
        <w:rPr>
          <w:rFonts w:ascii="Times New Roman" w:hAnsi="Times New Roman" w:cs="Times New Roman"/>
          <w:b w:val="0"/>
          <w:i w:val="0"/>
          <w:sz w:val="22"/>
        </w:rPr>
        <w:t>- Implement multi-language PDF generation</w:t>
      </w:r>
    </w:p>
    <w:p>
      <w:pPr>
        <w:spacing w:after="80" w:line="293" w:lineRule="auto"/>
        <w:jc w:val="left"/>
      </w:pPr>
      <w:r>
        <w:rPr>
          <w:rFonts w:ascii="Times New Roman" w:hAnsi="Times New Roman" w:cs="Times New Roman"/>
          <w:b w:val="0"/>
          <w:i w:val="0"/>
          <w:sz w:val="22"/>
        </w:rPr>
        <w:t>Acceptance criteria integration:</w:t>
      </w:r>
    </w:p>
    <w:p>
      <w:pPr>
        <w:spacing w:after="80" w:line="293" w:lineRule="auto"/>
        <w:ind w:left="283"/>
        <w:jc w:val="left"/>
      </w:pPr>
      <w:r>
        <w:rPr>
          <w:rFonts w:ascii="Times New Roman" w:hAnsi="Times New Roman" w:cs="Times New Roman"/>
          <w:b w:val="0"/>
          <w:i w:val="0"/>
          <w:sz w:val="22"/>
        </w:rPr>
        <w:t>- Include acceptance criteria in packing list</w:t>
      </w:r>
    </w:p>
    <w:p>
      <w:pPr>
        <w:spacing w:after="80" w:line="293" w:lineRule="auto"/>
        <w:ind w:left="283"/>
        <w:jc w:val="left"/>
      </w:pPr>
      <w:r>
        <w:rPr>
          <w:rFonts w:ascii="Times New Roman" w:hAnsi="Times New Roman" w:cs="Times New Roman"/>
          <w:b w:val="0"/>
          <w:i w:val="0"/>
          <w:sz w:val="22"/>
        </w:rPr>
        <w:t>- Format acceptance criteria for inspection</w:t>
      </w:r>
    </w:p>
    <w:p>
      <w:pPr>
        <w:spacing w:after="80" w:line="293" w:lineRule="auto"/>
        <w:ind w:left="283"/>
        <w:jc w:val="left"/>
      </w:pPr>
      <w:r>
        <w:rPr>
          <w:rFonts w:ascii="Times New Roman" w:hAnsi="Times New Roman" w:cs="Times New Roman"/>
          <w:b w:val="0"/>
          <w:i w:val="0"/>
          <w:sz w:val="22"/>
        </w:rPr>
        <w:t>- Link to QC report workflow</w:t>
      </w:r>
    </w:p>
    <w:p>
      <w:pPr>
        <w:spacing w:after="80" w:line="293" w:lineRule="auto"/>
        <w:jc w:val="left"/>
      </w:pPr>
      <w:r>
        <w:rPr>
          <w:rFonts w:ascii="Times New Roman" w:hAnsi="Times New Roman" w:cs="Times New Roman"/>
          <w:b w:val="0"/>
          <w:i w:val="0"/>
          <w:sz w:val="22"/>
        </w:rPr>
        <w:t>Special instructions integration:</w:t>
      </w:r>
    </w:p>
    <w:p>
      <w:pPr>
        <w:spacing w:after="80" w:line="293" w:lineRule="auto"/>
        <w:ind w:left="283"/>
        <w:jc w:val="left"/>
      </w:pPr>
      <w:r>
        <w:rPr>
          <w:rFonts w:ascii="Times New Roman" w:hAnsi="Times New Roman" w:cs="Times New Roman"/>
          <w:b w:val="0"/>
          <w:i w:val="0"/>
          <w:sz w:val="22"/>
        </w:rPr>
        <w:t>- Include all special instructions</w:t>
      </w:r>
    </w:p>
    <w:p>
      <w:pPr>
        <w:spacing w:after="80" w:line="293" w:lineRule="auto"/>
        <w:ind w:left="283"/>
        <w:jc w:val="left"/>
      </w:pPr>
      <w:r>
        <w:rPr>
          <w:rFonts w:ascii="Times New Roman" w:hAnsi="Times New Roman" w:cs="Times New Roman"/>
          <w:b w:val="0"/>
          <w:i w:val="0"/>
          <w:sz w:val="22"/>
        </w:rPr>
        <w:t>- Categorise instructions by type</w:t>
      </w:r>
    </w:p>
    <w:p>
      <w:pPr>
        <w:spacing w:after="80" w:line="293" w:lineRule="auto"/>
        <w:ind w:left="283"/>
        <w:jc w:val="left"/>
      </w:pPr>
      <w:r>
        <w:rPr>
          <w:rFonts w:ascii="Times New Roman" w:hAnsi="Times New Roman" w:cs="Times New Roman"/>
          <w:b w:val="0"/>
          <w:i w:val="0"/>
          <w:sz w:val="22"/>
        </w:rPr>
        <w:t>- Format instructions for clarity</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PDF generation; JSON/XML generation; SSCC generation; QR code generation</w:t>
      </w:r>
    </w:p>
    <w:p>
      <w:pPr>
        <w:spacing w:after="80" w:line="293" w:lineRule="auto"/>
        <w:ind w:left="283"/>
        <w:jc w:val="left"/>
      </w:pPr>
      <w:r>
        <w:rPr>
          <w:rFonts w:ascii="Times New Roman" w:hAnsi="Times New Roman" w:cs="Times New Roman"/>
          <w:b w:val="0"/>
          <w:i w:val="0"/>
          <w:sz w:val="22"/>
        </w:rPr>
        <w:t>- Integration tests: packing list → document storage; offline verification</w:t>
      </w:r>
    </w:p>
    <w:p>
      <w:pPr>
        <w:spacing w:after="80" w:line="293" w:lineRule="auto"/>
        <w:ind w:left="283"/>
        <w:jc w:val="left"/>
      </w:pPr>
      <w:r>
        <w:rPr>
          <w:rFonts w:ascii="Times New Roman" w:hAnsi="Times New Roman" w:cs="Times New Roman"/>
          <w:b w:val="0"/>
          <w:i w:val="0"/>
          <w:sz w:val="22"/>
        </w:rPr>
        <w:t>- End-to-end tests: full packing list workflow</w:t>
      </w:r>
    </w:p>
    <w:p>
      <w:pPr>
        <w:keepNext/>
        <w:spacing w:before="180" w:after="80"/>
        <w:outlineLvl w:val="2"/>
      </w:pPr>
      <w:r>
        <w:rPr>
          <w:rFonts w:ascii="Arial" w:hAnsi="Arial" w:cs="Arial"/>
          <w:b/>
          <w:i w:val="0"/>
          <w:color w:val="333333"/>
          <w:sz w:val="23"/>
        </w:rPr>
        <w:t>8.5.13 AI Authority Summary</w:t>
      </w:r>
    </w:p>
    <w:p>
      <w:pPr>
        <w:spacing w:after="80" w:line="293" w:lineRule="auto"/>
        <w:jc w:val="left"/>
      </w:pPr>
      <w:r>
        <w:rPr>
          <w:rFonts w:ascii="Times New Roman" w:hAnsi="Times New Roman" w:cs="Times New Roman"/>
          <w:b w:val="0"/>
          <w:i w:val="0"/>
          <w:sz w:val="22"/>
        </w:rPr>
        <w:t>A1 (Groq, Ollama fallback) performs translation of packing list content. A4 (OPA + WasmEdge) enforces generation preconditions (locked plan, validations passed) and archival conformance checks. A2 (HF local) supports document consistency validation. AI never generates packing list data values — every weight, count, and identifier derives deterministically from the canonical packing plan.</w:t>
      </w:r>
    </w:p>
    <w:p>
      <w:pPr>
        <w:keepNext/>
        <w:spacing w:before="240" w:after="100"/>
        <w:outlineLvl w:val="1"/>
      </w:pPr>
      <w:r>
        <w:rPr>
          <w:rFonts w:ascii="Arial" w:hAnsi="Arial" w:cs="Arial"/>
          <w:b/>
          <w:i w:val="0"/>
          <w:color w:val="2E528F"/>
          <w:sz w:val="26"/>
        </w:rPr>
        <w:t>8.6 Collaborative Packing Plan Editing</w:t>
      </w:r>
    </w:p>
    <w:p>
      <w:pPr>
        <w:keepNext/>
        <w:spacing w:before="180" w:after="80"/>
        <w:outlineLvl w:val="2"/>
      </w:pPr>
      <w:r>
        <w:rPr>
          <w:rFonts w:ascii="Arial" w:hAnsi="Arial" w:cs="Arial"/>
          <w:b/>
          <w:i w:val="0"/>
          <w:color w:val="333333"/>
          <w:sz w:val="23"/>
        </w:rPr>
        <w:t>8.6.1 Purpose &amp; Design Philosophy</w:t>
      </w:r>
    </w:p>
    <w:p>
      <w:pPr>
        <w:spacing w:after="80" w:line="293" w:lineRule="auto"/>
        <w:jc w:val="left"/>
      </w:pPr>
      <w:r>
        <w:rPr>
          <w:rFonts w:ascii="Times New Roman" w:hAnsi="Times New Roman" w:cs="Times New Roman"/>
          <w:b w:val="0"/>
          <w:i w:val="0"/>
          <w:sz w:val="22"/>
        </w:rPr>
        <w:t>The Collaborative Packing Plan Editing module enables multiple employees of the same seller tenant to edit the same packing plan simultaneously, in real time. This is critical for complex trades where different roles (trade manager, warehouse operator, logistics coordinator, quality inspector) need to contribute to the packing plan concurrently. The system uses Conflict-free Replicated Data Types (CRDTs) to ensure that changes are merged deterministically and consistently across all participants.</w:t>
      </w:r>
    </w:p>
    <w:p>
      <w:pPr>
        <w:spacing w:after="80" w:line="293" w:lineRule="auto"/>
        <w:jc w:val="left"/>
      </w:pPr>
      <w:r>
        <w:rPr>
          <w:rFonts w:ascii="Times New Roman" w:hAnsi="Times New Roman" w:cs="Times New Roman"/>
          <w:b w:val="0"/>
          <w:i w:val="0"/>
          <w:sz w:val="22"/>
        </w:rPr>
        <w:t>Key principles: Real-time collaboration — multiple users can edit the same packing plan simultaneously with latency &lt;200 ms. Conflict resolution — CRDTs ensure deterministic merge; no data loss. Permission-aware — OPA policies restrict what each user can edit based on role (for example, warehouse operator can only modify pallet positions, not commercial fields). Presence awareness — each user's cursor is visible with their name and colour. Offline support — local changes are queued and synced when connectivity is restored. Audit trail — every change is logged immutably via Loom. Locking — only users with packing.lock permission can lock the final plan.</w:t>
      </w:r>
    </w:p>
    <w:p>
      <w:pPr>
        <w:keepNext/>
        <w:spacing w:before="180" w:after="80"/>
        <w:outlineLvl w:val="2"/>
      </w:pPr>
      <w:r>
        <w:rPr>
          <w:rFonts w:ascii="Arial" w:hAnsi="Arial" w:cs="Arial"/>
          <w:b/>
          <w:i w:val="0"/>
          <w:color w:val="333333"/>
          <w:sz w:val="23"/>
        </w:rPr>
        <w:t>8.6.2 Technology Stack</w:t>
      </w:r>
    </w:p>
    <w:p>
      <w:pPr>
        <w:spacing w:after="80" w:line="293" w:lineRule="auto"/>
        <w:jc w:val="left"/>
      </w:pPr>
      <w:r>
        <w:rPr>
          <w:rFonts w:ascii="Times New Roman" w:hAnsi="Times New Roman" w:cs="Times New Roman"/>
          <w:b w:val="0"/>
          <w:i w:val="0"/>
          <w:sz w:val="22"/>
        </w:rPr>
        <w:t>Frontend (React): Yjs document (packing plan data); Awareness (cursors, names, colours); Chat (NATS WebSocket). Network layer: WebRTC (peer-to-peer, primary, low latency); NATS WebSocket (fallback, reliable); Signalling server (for WebRTC setup). Backend (Rust): Document Service (persists Yjs snapshots); Permission Service (OPA checks); Lock Service (packing.lock permission); Audit Service (Loom logging); Chat Service (NATS + translation). Database (PostgreSQL + NATS): packing_plans (current state); collaborative_sessions (active sessions); collaborative_history / packing_plan_versions (versioned changes); audit_log (Loom-chained); NATS JetStream (event stream for replay).</w:t>
      </w:r>
    </w:p>
    <w:p>
      <w:pPr>
        <w:keepNext/>
        <w:spacing w:before="180" w:after="80"/>
        <w:outlineLvl w:val="2"/>
      </w:pPr>
      <w:r>
        <w:rPr>
          <w:rFonts w:ascii="Arial" w:hAnsi="Arial" w:cs="Arial"/>
          <w:b/>
          <w:i w:val="0"/>
          <w:color w:val="333333"/>
          <w:sz w:val="23"/>
        </w:rPr>
        <w:t>8.6.3 Architecture Overview</w:t>
      </w:r>
    </w:p>
    <w:p>
      <w:pPr>
        <w:spacing w:after="0" w:before="0" w:line="240" w:lineRule="auto"/>
        <w:ind w:left="57"/>
        <w:jc w:val="left"/>
        <w:shd w:val="clear" w:fill="F2F2F2"/>
      </w:pPr>
      <w:r>
        <w:rPr>
          <w:rFonts w:ascii="Consolas" w:hAnsi="Consolas" w:cs="Consolas"/>
          <w:b w:val="0"/>
          <w:i w:val="0"/>
          <w:sz w:val="15"/>
        </w:rPr>
        <w:t>FRONTEND (React)</w:t>
      </w:r>
    </w:p>
    <w:p>
      <w:pPr>
        <w:spacing w:after="0" w:before="0" w:line="240" w:lineRule="auto"/>
        <w:ind w:left="57"/>
        <w:jc w:val="left"/>
        <w:shd w:val="clear" w:fill="F2F2F2"/>
      </w:pPr>
      <w:r>
        <w:rPr>
          <w:rFonts w:ascii="Consolas" w:hAnsi="Consolas" w:cs="Consolas"/>
          <w:b w:val="0"/>
          <w:i w:val="0"/>
          <w:sz w:val="15"/>
        </w:rPr>
        <w:t xml:space="preserve">  Yjs document (packing plan data)</w:t>
      </w:r>
    </w:p>
    <w:p>
      <w:pPr>
        <w:spacing w:after="0" w:before="0" w:line="240" w:lineRule="auto"/>
        <w:ind w:left="57"/>
        <w:jc w:val="left"/>
        <w:shd w:val="clear" w:fill="F2F2F2"/>
      </w:pPr>
      <w:r>
        <w:rPr>
          <w:rFonts w:ascii="Consolas" w:hAnsi="Consolas" w:cs="Consolas"/>
          <w:b w:val="0"/>
          <w:i w:val="0"/>
          <w:sz w:val="15"/>
        </w:rPr>
        <w:t xml:space="preserve">  Awareness (cursors, names, colours)</w:t>
      </w:r>
    </w:p>
    <w:p>
      <w:pPr>
        <w:spacing w:after="0" w:before="0" w:line="240" w:lineRule="auto"/>
        <w:ind w:left="57"/>
        <w:jc w:val="left"/>
        <w:shd w:val="clear" w:fill="F2F2F2"/>
      </w:pPr>
      <w:r>
        <w:rPr>
          <w:rFonts w:ascii="Consolas" w:hAnsi="Consolas" w:cs="Consolas"/>
          <w:b w:val="0"/>
          <w:i w:val="0"/>
          <w:sz w:val="15"/>
        </w:rPr>
        <w:t xml:space="preserve">  Chat (NATS WebSocket)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NETWORK LAYER</w:t>
      </w:r>
    </w:p>
    <w:p>
      <w:pPr>
        <w:spacing w:after="0" w:before="0" w:line="240" w:lineRule="auto"/>
        <w:ind w:left="57"/>
        <w:jc w:val="left"/>
        <w:shd w:val="clear" w:fill="F2F2F2"/>
      </w:pPr>
      <w:r>
        <w:rPr>
          <w:rFonts w:ascii="Consolas" w:hAnsi="Consolas" w:cs="Consolas"/>
          <w:b w:val="0"/>
          <w:i w:val="0"/>
          <w:sz w:val="15"/>
        </w:rPr>
        <w:t xml:space="preserve">  WebRTC (P2P, primary, low latency)</w:t>
      </w:r>
    </w:p>
    <w:p>
      <w:pPr>
        <w:spacing w:after="0" w:before="0" w:line="240" w:lineRule="auto"/>
        <w:ind w:left="57"/>
        <w:jc w:val="left"/>
        <w:shd w:val="clear" w:fill="F2F2F2"/>
      </w:pPr>
      <w:r>
        <w:rPr>
          <w:rFonts w:ascii="Consolas" w:hAnsi="Consolas" w:cs="Consolas"/>
          <w:b w:val="0"/>
          <w:i w:val="0"/>
          <w:sz w:val="15"/>
        </w:rPr>
        <w:t xml:space="preserve">  NATS WebSocket (fallback, reliable)</w:t>
      </w:r>
    </w:p>
    <w:p>
      <w:pPr>
        <w:spacing w:after="0" w:before="0" w:line="240" w:lineRule="auto"/>
        <w:ind w:left="57"/>
        <w:jc w:val="left"/>
        <w:shd w:val="clear" w:fill="F2F2F2"/>
      </w:pPr>
      <w:r>
        <w:rPr>
          <w:rFonts w:ascii="Consolas" w:hAnsi="Consolas" w:cs="Consolas"/>
          <w:b w:val="0"/>
          <w:i w:val="0"/>
          <w:sz w:val="15"/>
        </w:rPr>
        <w:t xml:space="preserve">  Signalling server (for WebRTC connection establishment)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BACKEND (Rust)</w:t>
      </w:r>
    </w:p>
    <w:p>
      <w:pPr>
        <w:spacing w:after="0" w:before="0" w:line="240" w:lineRule="auto"/>
        <w:ind w:left="57"/>
        <w:jc w:val="left"/>
        <w:shd w:val="clear" w:fill="F2F2F2"/>
      </w:pPr>
      <w:r>
        <w:rPr>
          <w:rFonts w:ascii="Consolas" w:hAnsi="Consolas" w:cs="Consolas"/>
          <w:b w:val="0"/>
          <w:i w:val="0"/>
          <w:sz w:val="15"/>
        </w:rPr>
        <w:t xml:space="preserve">  1. Document Service (persist Yjs snapshots)</w:t>
      </w:r>
    </w:p>
    <w:p>
      <w:pPr>
        <w:spacing w:after="0" w:before="0" w:line="240" w:lineRule="auto"/>
        <w:ind w:left="57"/>
        <w:jc w:val="left"/>
        <w:shd w:val="clear" w:fill="F2F2F2"/>
      </w:pPr>
      <w:r>
        <w:rPr>
          <w:rFonts w:ascii="Consolas" w:hAnsi="Consolas" w:cs="Consolas"/>
          <w:b w:val="0"/>
          <w:i w:val="0"/>
          <w:sz w:val="15"/>
        </w:rPr>
        <w:t xml:space="preserve">  2. Permission Service (OPA checks)</w:t>
      </w:r>
    </w:p>
    <w:p>
      <w:pPr>
        <w:spacing w:after="0" w:before="0" w:line="240" w:lineRule="auto"/>
        <w:ind w:left="57"/>
        <w:jc w:val="left"/>
        <w:shd w:val="clear" w:fill="F2F2F2"/>
      </w:pPr>
      <w:r>
        <w:rPr>
          <w:rFonts w:ascii="Consolas" w:hAnsi="Consolas" w:cs="Consolas"/>
          <w:b w:val="0"/>
          <w:i w:val="0"/>
          <w:sz w:val="15"/>
        </w:rPr>
        <w:t xml:space="preserve">  3. Lock Service (packing.lock permission)</w:t>
      </w:r>
    </w:p>
    <w:p>
      <w:pPr>
        <w:spacing w:after="0" w:before="0" w:line="240" w:lineRule="auto"/>
        <w:ind w:left="57"/>
        <w:jc w:val="left"/>
        <w:shd w:val="clear" w:fill="F2F2F2"/>
      </w:pPr>
      <w:r>
        <w:rPr>
          <w:rFonts w:ascii="Consolas" w:hAnsi="Consolas" w:cs="Consolas"/>
          <w:b w:val="0"/>
          <w:i w:val="0"/>
          <w:sz w:val="15"/>
        </w:rPr>
        <w:t xml:space="preserve">  4. Audit Service (Loom logging)</w:t>
      </w:r>
    </w:p>
    <w:p>
      <w:pPr>
        <w:spacing w:after="0" w:before="0" w:line="240" w:lineRule="auto"/>
        <w:ind w:left="57"/>
        <w:jc w:val="left"/>
        <w:shd w:val="clear" w:fill="F2F2F2"/>
      </w:pPr>
      <w:r>
        <w:rPr>
          <w:rFonts w:ascii="Consolas" w:hAnsi="Consolas" w:cs="Consolas"/>
          <w:b w:val="0"/>
          <w:i w:val="0"/>
          <w:sz w:val="15"/>
        </w:rPr>
        <w:t xml:space="preserve">  5. Chat Service (NATS + translation)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DATABASE (PostgreSQL + NATS)</w:t>
      </w:r>
    </w:p>
    <w:p>
      <w:pPr>
        <w:spacing w:after="0" w:before="0" w:line="240" w:lineRule="auto"/>
        <w:ind w:left="57"/>
        <w:jc w:val="left"/>
        <w:shd w:val="clear" w:fill="F2F2F2"/>
      </w:pPr>
      <w:r>
        <w:rPr>
          <w:rFonts w:ascii="Consolas" w:hAnsi="Consolas" w:cs="Consolas"/>
          <w:b w:val="0"/>
          <w:i w:val="0"/>
          <w:sz w:val="15"/>
        </w:rPr>
        <w:t xml:space="preserve">  packing_plans (current state)</w:t>
      </w:r>
    </w:p>
    <w:p>
      <w:pPr>
        <w:spacing w:after="0" w:before="0" w:line="240" w:lineRule="auto"/>
        <w:ind w:left="57"/>
        <w:jc w:val="left"/>
        <w:shd w:val="clear" w:fill="F2F2F2"/>
      </w:pPr>
      <w:r>
        <w:rPr>
          <w:rFonts w:ascii="Consolas" w:hAnsi="Consolas" w:cs="Consolas"/>
          <w:b w:val="0"/>
          <w:i w:val="0"/>
          <w:sz w:val="15"/>
        </w:rPr>
        <w:t xml:space="preserve">  collaborative_sessions (active sessions)</w:t>
      </w:r>
    </w:p>
    <w:p>
      <w:pPr>
        <w:spacing w:after="0" w:before="0" w:line="240" w:lineRule="auto"/>
        <w:ind w:left="57"/>
        <w:jc w:val="left"/>
        <w:shd w:val="clear" w:fill="F2F2F2"/>
      </w:pPr>
      <w:r>
        <w:rPr>
          <w:rFonts w:ascii="Consolas" w:hAnsi="Consolas" w:cs="Consolas"/>
          <w:b w:val="0"/>
          <w:i w:val="0"/>
          <w:sz w:val="15"/>
        </w:rPr>
        <w:t xml:space="preserve">  collaborative_history (versioned changes)</w:t>
      </w:r>
    </w:p>
    <w:p>
      <w:pPr>
        <w:spacing w:after="0" w:before="0" w:line="240" w:lineRule="auto"/>
        <w:ind w:left="57"/>
        <w:jc w:val="left"/>
        <w:shd w:val="clear" w:fill="F2F2F2"/>
      </w:pPr>
      <w:r>
        <w:rPr>
          <w:rFonts w:ascii="Consolas" w:hAnsi="Consolas" w:cs="Consolas"/>
          <w:b w:val="0"/>
          <w:i w:val="0"/>
          <w:sz w:val="15"/>
        </w:rPr>
        <w:t xml:space="preserve">  audit_log (Loom-chained)</w:t>
      </w:r>
    </w:p>
    <w:p>
      <w:pPr>
        <w:spacing w:after="0" w:before="0" w:line="240" w:lineRule="auto"/>
        <w:ind w:left="57"/>
        <w:jc w:val="left"/>
        <w:shd w:val="clear" w:fill="F2F2F2"/>
      </w:pPr>
      <w:r>
        <w:rPr>
          <w:rFonts w:ascii="Consolas" w:hAnsi="Consolas" w:cs="Consolas"/>
          <w:b w:val="0"/>
          <w:i w:val="0"/>
          <w:sz w:val="15"/>
        </w:rPr>
        <w:t xml:space="preserve">  NATS JetStream (event stream for replay)</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8.6.4 Core Features</w:t>
      </w:r>
    </w:p>
    <w:p>
      <w:pPr>
        <w:keepNext/>
        <w:spacing w:before="140" w:after="60"/>
        <w:outlineLvl w:val="3"/>
      </w:pPr>
      <w:r>
        <w:rPr>
          <w:rFonts w:ascii="Arial" w:hAnsi="Arial" w:cs="Arial"/>
          <w:b/>
          <w:i/>
          <w:color w:val="333333"/>
          <w:sz w:val="22"/>
        </w:rPr>
        <w:t>8.6.4.1 Real-Time Synchronisation</w:t>
      </w:r>
    </w:p>
    <w:p>
      <w:pPr>
        <w:spacing w:after="80" w:line="293" w:lineRule="auto"/>
        <w:jc w:val="left"/>
      </w:pPr>
      <w:r>
        <w:rPr>
          <w:rFonts w:ascii="Times New Roman" w:hAnsi="Times New Roman" w:cs="Times New Roman"/>
          <w:b w:val="0"/>
          <w:i w:val="0"/>
          <w:sz w:val="22"/>
        </w:rPr>
        <w:t>All edits are synchronised across participants in &lt;200 ms via WebRTC peer connections, with NATS WebSocket fallback for reliability. Every participant converges to the same state through CRDT merge semantics.</w:t>
      </w:r>
    </w:p>
    <w:p>
      <w:pPr>
        <w:keepNext/>
        <w:spacing w:before="140" w:after="60"/>
        <w:outlineLvl w:val="3"/>
      </w:pPr>
      <w:r>
        <w:rPr>
          <w:rFonts w:ascii="Arial" w:hAnsi="Arial" w:cs="Arial"/>
          <w:b/>
          <w:i/>
          <w:color w:val="333333"/>
          <w:sz w:val="22"/>
        </w:rPr>
        <w:t>8.6.4.2 Presence &amp; Awareness</w:t>
      </w:r>
    </w:p>
    <w:p>
      <w:pPr>
        <w:spacing w:after="80" w:line="293" w:lineRule="auto"/>
        <w:jc w:val="left"/>
      </w:pPr>
      <w:r>
        <w:rPr>
          <w:rFonts w:ascii="Times New Roman" w:hAnsi="Times New Roman" w:cs="Times New Roman"/>
          <w:b w:val="0"/>
          <w:i w:val="0"/>
          <w:sz w:val="22"/>
        </w:rPr>
        <w:t>Each user's cursor is visible with their name and colour. Colour assignment is deterministic per user. The collaborator list shows each participant with an edit/view indicator (for example, Collaborators: Ahmed (editing), Sara (viewing), Mohamed (viewing)).</w:t>
      </w:r>
    </w:p>
    <w:p>
      <w:pPr>
        <w:keepNext/>
        <w:spacing w:before="140" w:after="60"/>
        <w:outlineLvl w:val="3"/>
      </w:pPr>
      <w:r>
        <w:rPr>
          <w:rFonts w:ascii="Arial" w:hAnsi="Arial" w:cs="Arial"/>
          <w:b/>
          <w:i/>
          <w:color w:val="333333"/>
          <w:sz w:val="22"/>
        </w:rPr>
        <w:t>8.6.4.3 Permissions &amp; Roles</w:t>
      </w:r>
    </w:p>
    <w:p>
      <w:pPr>
        <w:spacing w:after="80" w:line="293" w:lineRule="auto"/>
        <w:jc w:val="left"/>
      </w:pPr>
      <w:r>
        <w:rPr>
          <w:rFonts w:ascii="Times New Roman" w:hAnsi="Times New Roman" w:cs="Times New Roman"/>
          <w:b w:val="0"/>
          <w:i w:val="0"/>
          <w:sz w:val="22"/>
        </w:rPr>
        <w:t>OPA policies restrict what each user can edit based on role:</w:t>
      </w:r>
    </w:p>
    <w:p>
      <w:pPr>
        <w:spacing w:after="0" w:before="0" w:line="240" w:lineRule="auto"/>
        <w:ind w:left="57"/>
        <w:jc w:val="left"/>
        <w:shd w:val="clear" w:fill="F2F2F2"/>
      </w:pPr>
      <w:r>
        <w:rPr>
          <w:rFonts w:ascii="Consolas" w:hAnsi="Consolas" w:cs="Consolas"/>
          <w:b w:val="0"/>
          <w:i w:val="0"/>
          <w:sz w:val="15"/>
        </w:rPr>
        <w:t># policies/packing.rego</w:t>
      </w:r>
    </w:p>
    <w:p>
      <w:pPr>
        <w:spacing w:after="0" w:before="0" w:line="240" w:lineRule="auto"/>
        <w:ind w:left="57"/>
        <w:jc w:val="left"/>
        <w:shd w:val="clear" w:fill="F2F2F2"/>
      </w:pPr>
      <w:r>
        <w:rPr>
          <w:rFonts w:ascii="Consolas" w:hAnsi="Consolas" w:cs="Consolas"/>
          <w:b w:val="0"/>
          <w:i w:val="0"/>
          <w:sz w:val="15"/>
        </w:rPr>
        <w:t>package packing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default allow =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Trade Manager: full access</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input.role == "TRADE_MANAGER"</w:t>
      </w:r>
    </w:p>
    <w:p>
      <w:pPr>
        <w:spacing w:after="0" w:before="0" w:line="240" w:lineRule="auto"/>
        <w:ind w:left="57"/>
        <w:jc w:val="left"/>
        <w:shd w:val="clear" w:fill="F2F2F2"/>
      </w:pPr>
      <w:r>
        <w:rPr>
          <w:rFonts w:ascii="Consolas" w:hAnsi="Consolas" w:cs="Consolas"/>
          <w:b w:val="0"/>
          <w:i w:val="0"/>
          <w:sz w:val="15"/>
        </w:rPr>
        <w:t xml:space="preserve">    input.action in ["packing.edit", "packing.lock", "packing.assign"]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Warehouse Operator: only pallet positions</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input.role == "WAREHOUSE_OPERATOR"</w:t>
      </w:r>
    </w:p>
    <w:p>
      <w:pPr>
        <w:spacing w:after="0" w:before="0" w:line="240" w:lineRule="auto"/>
        <w:ind w:left="57"/>
        <w:jc w:val="left"/>
        <w:shd w:val="clear" w:fill="F2F2F2"/>
      </w:pPr>
      <w:r>
        <w:rPr>
          <w:rFonts w:ascii="Consolas" w:hAnsi="Consolas" w:cs="Consolas"/>
          <w:b w:val="0"/>
          <w:i w:val="0"/>
          <w:sz w:val="15"/>
        </w:rPr>
        <w:t xml:space="preserve">    input.action == "packing.pallet.position"</w:t>
      </w:r>
    </w:p>
    <w:p>
      <w:pPr>
        <w:spacing w:after="0" w:before="0" w:line="240" w:lineRule="auto"/>
        <w:ind w:left="57"/>
        <w:jc w:val="left"/>
        <w:shd w:val="clear" w:fill="F2F2F2"/>
      </w:pPr>
      <w:r>
        <w:rPr>
          <w:rFonts w:ascii="Consolas" w:hAnsi="Consolas" w:cs="Consolas"/>
          <w:b w:val="0"/>
          <w:i w:val="0"/>
          <w:sz w:val="15"/>
        </w:rPr>
        <w:t xml:space="preserve">    input.field in ["position_x", "position_y", "position_z"]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Logistics Coordinator: logistics fields</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input.role == "LOGISTICS_COORDINATOR"</w:t>
      </w:r>
    </w:p>
    <w:p>
      <w:pPr>
        <w:spacing w:after="0" w:before="0" w:line="240" w:lineRule="auto"/>
        <w:ind w:left="57"/>
        <w:jc w:val="left"/>
        <w:shd w:val="clear" w:fill="F2F2F2"/>
      </w:pPr>
      <w:r>
        <w:rPr>
          <w:rFonts w:ascii="Consolas" w:hAnsi="Consolas" w:cs="Consolas"/>
          <w:b w:val="0"/>
          <w:i w:val="0"/>
          <w:sz w:val="15"/>
        </w:rPr>
        <w:t xml:space="preserve">    input.action == "packing.logistics"</w:t>
      </w:r>
    </w:p>
    <w:p>
      <w:pPr>
        <w:spacing w:after="0" w:before="0" w:line="240" w:lineRule="auto"/>
        <w:ind w:left="57"/>
        <w:jc w:val="left"/>
        <w:shd w:val="clear" w:fill="F2F2F2"/>
      </w:pPr>
      <w:r>
        <w:rPr>
          <w:rFonts w:ascii="Consolas" w:hAnsi="Consolas" w:cs="Consolas"/>
          <w:b w:val="0"/>
          <w:i w:val="0"/>
          <w:sz w:val="15"/>
        </w:rPr>
        <w:t xml:space="preserve">    input.field in ["container_type", "vessel", "voyage"]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Quality Inspector: read + QC notes</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input.role == "QUALITY_INSPECTOR"</w:t>
      </w:r>
    </w:p>
    <w:p>
      <w:pPr>
        <w:spacing w:after="0" w:before="0" w:line="240" w:lineRule="auto"/>
        <w:ind w:left="57"/>
        <w:jc w:val="left"/>
        <w:shd w:val="clear" w:fill="F2F2F2"/>
      </w:pPr>
      <w:r>
        <w:rPr>
          <w:rFonts w:ascii="Consolas" w:hAnsi="Consolas" w:cs="Consolas"/>
          <w:b w:val="0"/>
          <w:i w:val="0"/>
          <w:sz w:val="15"/>
        </w:rPr>
        <w:t xml:space="preserve">    input.action in ["packing.read", "packing.qc_notes.add"]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Viewer: read only</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input.role == "VIEWER"</w:t>
      </w:r>
    </w:p>
    <w:p>
      <w:pPr>
        <w:spacing w:after="0" w:before="0" w:line="240" w:lineRule="auto"/>
        <w:ind w:left="57"/>
        <w:jc w:val="left"/>
        <w:shd w:val="clear" w:fill="F2F2F2"/>
      </w:pPr>
      <w:r>
        <w:rPr>
          <w:rFonts w:ascii="Consolas" w:hAnsi="Consolas" w:cs="Consolas"/>
          <w:b w:val="0"/>
          <w:i w:val="0"/>
          <w:sz w:val="15"/>
        </w:rPr>
        <w:t xml:space="preserve">    input.action == "packing.read"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8.6.4.4 Locking Mechanism</w:t>
      </w:r>
    </w:p>
    <w:p>
      <w:pPr>
        <w:spacing w:after="80" w:line="293" w:lineRule="auto"/>
        <w:jc w:val="left"/>
      </w:pPr>
      <w:r>
        <w:rPr>
          <w:rFonts w:ascii="Times New Roman" w:hAnsi="Times New Roman" w:cs="Times New Roman"/>
          <w:b w:val="0"/>
          <w:i w:val="0"/>
          <w:sz w:val="22"/>
        </w:rPr>
        <w:t>Lock workflow:</w:t>
      </w:r>
    </w:p>
    <w:p>
      <w:pPr>
        <w:spacing w:after="80" w:line="293" w:lineRule="auto"/>
        <w:jc w:val="left"/>
      </w:pPr>
      <w:r>
        <w:rPr>
          <w:rFonts w:ascii="Times New Roman" w:hAnsi="Times New Roman" w:cs="Times New Roman"/>
          <w:b w:val="0"/>
          <w:i w:val="0"/>
          <w:sz w:val="22"/>
        </w:rPr>
        <w:t>1. Trade Manager clicks "Lock Packing Plan". 2. Governor checks: user has packing.lock permission; plan is not already locked; all mandatory fields are filled; weight/height validations pass. 3. If all checks pass, the lock is granted. 4. Lock state is propagated to all users via Yjs. 5. Users without edit permissions see a read-only view. 6. Lock can be released (with reason) by the locker or an administrator. 7. Lock state is logged in Loom.</w:t>
      </w:r>
    </w:p>
    <w:p>
      <w:pPr>
        <w:spacing w:after="80" w:line="293" w:lineRule="auto"/>
        <w:jc w:val="left"/>
      </w:pPr>
      <w:r>
        <w:rPr>
          <w:rFonts w:ascii="Times New Roman" w:hAnsi="Times New Roman" w:cs="Times New Roman"/>
          <w:b w:val="0"/>
          <w:i w:val="0"/>
          <w:sz w:val="22"/>
        </w:rPr>
        <w:t>Example CONDITIONAL response (race condition — another user locked the plan while edits were in flight):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"Packing plan was locked by another user while you were editing. Please refresh to see the latest version.",</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"lock_conflict",</w:t>
      </w:r>
    </w:p>
    <w:p>
      <w:pPr>
        <w:spacing w:after="0" w:before="0" w:line="240" w:lineRule="auto"/>
        <w:ind w:left="57"/>
        <w:jc w:val="left"/>
        <w:shd w:val="clear" w:fill="F2F2F2"/>
      </w:pPr>
      <w:r>
        <w:rPr>
          <w:rFonts w:ascii="Consolas" w:hAnsi="Consolas" w:cs="Consolas"/>
          <w:b w:val="0"/>
          <w:i w:val="0"/>
          <w:sz w:val="15"/>
        </w:rPr>
        <w:t xml:space="preserve">        "label": "Refresh view",</w:t>
      </w:r>
    </w:p>
    <w:p>
      <w:pPr>
        <w:spacing w:after="0" w:before="0" w:line="240" w:lineRule="auto"/>
        <w:ind w:left="57"/>
        <w:jc w:val="left"/>
        <w:shd w:val="clear" w:fill="F2F2F2"/>
      </w:pPr>
      <w:r>
        <w:rPr>
          <w:rFonts w:ascii="Consolas" w:hAnsi="Consolas" w:cs="Consolas"/>
          <w:b w:val="0"/>
          <w:i w:val="0"/>
          <w:sz w:val="15"/>
        </w:rPr>
        <w:t xml:space="preserve">        "action_url": "/v1/packing/refresh?plan_id=..."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8.6.4.5 Chat &amp; Communication</w:t>
      </w:r>
    </w:p>
    <w:p>
      <w:pPr>
        <w:spacing w:after="80" w:line="293" w:lineRule="auto"/>
        <w:jc w:val="left"/>
      </w:pPr>
      <w:r>
        <w:rPr>
          <w:rFonts w:ascii="Times New Roman" w:hAnsi="Times New Roman" w:cs="Times New Roman"/>
          <w:b w:val="0"/>
          <w:i w:val="0"/>
          <w:sz w:val="22"/>
        </w:rPr>
        <w:t>A chat sidebar carries plan-bound discussion, message tagging to pallets, mentions, and live translation. Canonical example exchange:</w:t>
      </w:r>
    </w:p>
    <w:p>
      <w:pPr>
        <w:spacing w:after="0" w:before="0" w:line="240" w:lineRule="auto"/>
        <w:ind w:left="57"/>
        <w:jc w:val="left"/>
        <w:shd w:val="clear" w:fill="F2F2F2"/>
      </w:pPr>
      <w:r>
        <w:rPr>
          <w:rFonts w:ascii="Consolas" w:hAnsi="Consolas" w:cs="Consolas"/>
          <w:b w:val="0"/>
          <w:i w:val="0"/>
          <w:sz w:val="15"/>
        </w:rPr>
        <w:t>CHAT — Packing Plan SGTX-EG-26-F3A-1</w:t>
      </w:r>
    </w:p>
    <w:p>
      <w:pPr>
        <w:spacing w:after="0" w:before="0" w:line="240" w:lineRule="auto"/>
        <w:ind w:left="57"/>
        <w:jc w:val="left"/>
        <w:shd w:val="clear" w:fill="F2F2F2"/>
      </w:pPr>
      <w:r>
        <w:rPr>
          <w:rFonts w:ascii="Consolas" w:hAnsi="Consolas" w:cs="Consolas"/>
          <w:b w:val="0"/>
          <w:i w:val="0"/>
          <w:sz w:val="15"/>
        </w:rPr>
        <w:t xml:space="preserve">  10:30 Ahmed:   Moving P3 to front for easier access</w:t>
      </w:r>
    </w:p>
    <w:p>
      <w:pPr>
        <w:spacing w:after="0" w:before="0" w:line="240" w:lineRule="auto"/>
        <w:ind w:left="57"/>
        <w:jc w:val="left"/>
        <w:shd w:val="clear" w:fill="F2F2F2"/>
      </w:pPr>
      <w:r>
        <w:rPr>
          <w:rFonts w:ascii="Consolas" w:hAnsi="Consolas" w:cs="Consolas"/>
          <w:b w:val="0"/>
          <w:i w:val="0"/>
          <w:sz w:val="15"/>
        </w:rPr>
        <w:t xml:space="preserve">  10:32 Sara:    Good idea, the rear pallets are heavier</w:t>
      </w:r>
    </w:p>
    <w:p>
      <w:pPr>
        <w:spacing w:after="0" w:before="0" w:line="240" w:lineRule="auto"/>
        <w:ind w:left="57"/>
        <w:jc w:val="left"/>
        <w:shd w:val="clear" w:fill="F2F2F2"/>
      </w:pPr>
      <w:r>
        <w:rPr>
          <w:rFonts w:ascii="Consolas" w:hAnsi="Consolas" w:cs="Consolas"/>
          <w:b w:val="0"/>
          <w:i w:val="0"/>
          <w:sz w:val="15"/>
        </w:rPr>
        <w:t xml:space="preserve">  10:35 Mohamed: @Ahmed can you check the cold treatment cert for OR-005?</w:t>
      </w:r>
    </w:p>
    <w:p>
      <w:pPr>
        <w:spacing w:after="0" w:before="0" w:line="240" w:lineRule="auto"/>
        <w:ind w:left="57"/>
        <w:jc w:val="left"/>
        <w:shd w:val="clear" w:fill="F2F2F2"/>
      </w:pPr>
      <w:r>
        <w:rPr>
          <w:rFonts w:ascii="Consolas" w:hAnsi="Consolas" w:cs="Consolas"/>
          <w:b w:val="0"/>
          <w:i w:val="0"/>
          <w:sz w:val="15"/>
        </w:rPr>
        <w:t xml:space="preserve">  10:36 Ahmed:   Yes, it's attached. Will update the pallet status.</w:t>
      </w:r>
    </w:p>
    <w:p>
      <w:pPr>
        <w:spacing w:after="0" w:before="0" w:line="240" w:lineRule="auto"/>
        <w:ind w:left="57"/>
        <w:jc w:val="left"/>
        <w:shd w:val="clear" w:fill="F2F2F2"/>
      </w:pPr>
      <w:r>
        <w:rPr>
          <w:rFonts w:ascii="Consolas" w:hAnsi="Consolas" w:cs="Consolas"/>
          <w:b w:val="0"/>
          <w:i w:val="0"/>
          <w:sz w:val="15"/>
        </w:rPr>
        <w:t xml:space="preserve">  10:40 System:  OR-005 status updated to 'COLD_TREATMENT_COMPLETED'</w:t>
      </w:r>
    </w:p>
    <w:p>
      <w:pPr>
        <w:spacing w:after="0" w:before="0" w:line="240" w:lineRule="auto"/>
        <w:ind w:left="57"/>
        <w:jc w:val="left"/>
        <w:shd w:val="clear" w:fill="F2F2F2"/>
      </w:pPr>
      <w:r>
        <w:rPr>
          <w:rFonts w:ascii="Consolas" w:hAnsi="Consolas" w:cs="Consolas"/>
          <w:b w:val="0"/>
          <w:i w:val="0"/>
          <w:sz w:val="15"/>
        </w:rPr>
        <w:t xml:space="preserve">  [Type a message...] [@Mention] [Translate to: English ▼] [Send]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8.6.5 Conflict Resolution</w:t>
      </w:r>
    </w:p>
    <w:p>
      <w:pPr>
        <w:keepNext/>
        <w:spacing w:before="140" w:after="60"/>
        <w:outlineLvl w:val="3"/>
      </w:pPr>
      <w:r>
        <w:rPr>
          <w:rFonts w:ascii="Arial" w:hAnsi="Arial" w:cs="Arial"/>
          <w:b/>
          <w:i/>
          <w:color w:val="333333"/>
          <w:sz w:val="22"/>
        </w:rPr>
        <w:t>8.6.5.1 CRDT-Based Resolution</w:t>
      </w:r>
    </w:p>
    <w:p>
      <w:pPr>
        <w:spacing w:after="80" w:line="293" w:lineRule="auto"/>
        <w:jc w:val="left"/>
      </w:pPr>
      <w:r>
        <w:rPr>
          <w:rFonts w:ascii="Times New Roman" w:hAnsi="Times New Roman" w:cs="Times New Roman"/>
          <w:b w:val="0"/>
          <w:i w:val="0"/>
          <w:sz w:val="22"/>
        </w:rPr>
        <w:t>Yjs uses a Conflict-free Replicated Data Type (CRDT) that guarantees: deterministic merge (all peers converge to the same state); no lost updates (concurrent edits are merged, not overwritten); and no central coordination (peers can sync directly via WebRTC). Concurrent edits to different fields merge independently; concurrent edits to the same field resolve deterministically by last-write-wins based on timestamp.</w:t>
      </w:r>
    </w:p>
    <w:p>
      <w:pPr>
        <w:keepNext/>
        <w:spacing w:before="140" w:after="60"/>
        <w:outlineLvl w:val="3"/>
      </w:pPr>
      <w:r>
        <w:rPr>
          <w:rFonts w:ascii="Arial" w:hAnsi="Arial" w:cs="Arial"/>
          <w:b/>
          <w:i/>
          <w:color w:val="333333"/>
          <w:sz w:val="22"/>
        </w:rPr>
        <w:t>8.6.5.2 Offline Conflict Resolution</w:t>
      </w:r>
    </w:p>
    <w:p>
      <w:pPr>
        <w:spacing w:after="80" w:line="293" w:lineRule="auto"/>
        <w:jc w:val="left"/>
      </w:pPr>
      <w:r>
        <w:rPr>
          <w:rFonts w:ascii="Times New Roman" w:hAnsi="Times New Roman" w:cs="Times New Roman"/>
          <w:b w:val="0"/>
          <w:i w:val="0"/>
          <w:sz w:val="22"/>
        </w:rPr>
        <w:t>Offline edits are queued locally and merged on reconnect. Offline queue example:</w:t>
      </w:r>
    </w:p>
    <w:p>
      <w:pPr>
        <w:spacing w:after="0" w:before="0" w:line="240" w:lineRule="auto"/>
        <w:ind w:left="57"/>
        <w:jc w:val="left"/>
        <w:shd w:val="clear" w:fill="F2F2F2"/>
      </w:pPr>
      <w:r>
        <w:rPr>
          <w:rFonts w:ascii="Consolas" w:hAnsi="Consolas" w:cs="Consolas"/>
          <w:b w:val="0"/>
          <w:i w:val="0"/>
          <w:sz w:val="15"/>
        </w:rPr>
        <w:t>OFFLINE QUEUE — 3 pending changes</w:t>
      </w:r>
    </w:p>
    <w:p>
      <w:pPr>
        <w:spacing w:after="0" w:before="0" w:line="240" w:lineRule="auto"/>
        <w:ind w:left="57"/>
        <w:jc w:val="left"/>
        <w:shd w:val="clear" w:fill="F2F2F2"/>
      </w:pPr>
      <w:r>
        <w:rPr>
          <w:rFonts w:ascii="Consolas" w:hAnsi="Consolas" w:cs="Consolas"/>
          <w:b w:val="0"/>
          <w:i w:val="0"/>
          <w:sz w:val="15"/>
        </w:rPr>
        <w:t xml:space="preserve">  - Pallet OR-005 position changed (x: 1200 → 1400)</w:t>
      </w:r>
    </w:p>
    <w:p>
      <w:pPr>
        <w:spacing w:after="0" w:before="0" w:line="240" w:lineRule="auto"/>
        <w:ind w:left="57"/>
        <w:jc w:val="left"/>
        <w:shd w:val="clear" w:fill="F2F2F2"/>
      </w:pPr>
      <w:r>
        <w:rPr>
          <w:rFonts w:ascii="Consolas" w:hAnsi="Consolas" w:cs="Consolas"/>
          <w:b w:val="0"/>
          <w:i w:val="0"/>
          <w:sz w:val="15"/>
        </w:rPr>
        <w:t xml:space="preserve">  - Pallet OR-006 weight updated (1,100 kg → 1,150 kg)</w:t>
      </w:r>
    </w:p>
    <w:p>
      <w:pPr>
        <w:spacing w:after="0" w:before="0" w:line="240" w:lineRule="auto"/>
        <w:ind w:left="57"/>
        <w:jc w:val="left"/>
        <w:shd w:val="clear" w:fill="F2F2F2"/>
      </w:pPr>
      <w:r>
        <w:rPr>
          <w:rFonts w:ascii="Consolas" w:hAnsi="Consolas" w:cs="Consolas"/>
          <w:b w:val="0"/>
          <w:i w:val="0"/>
          <w:sz w:val="15"/>
        </w:rPr>
        <w:t xml:space="preserve">  - Pallet OR-007 added (pending)</w:t>
      </w:r>
    </w:p>
    <w:p>
      <w:pPr>
        <w:spacing w:after="0" w:before="0" w:line="240" w:lineRule="auto"/>
        <w:ind w:left="57"/>
        <w:jc w:val="left"/>
        <w:shd w:val="clear" w:fill="F2F2F2"/>
      </w:pPr>
      <w:r>
        <w:rPr>
          <w:rFonts w:ascii="Consolas" w:hAnsi="Consolas" w:cs="Consolas"/>
          <w:b w:val="0"/>
          <w:i w:val="0"/>
          <w:sz w:val="15"/>
        </w:rPr>
        <w:t xml:space="preserve">  [Sync Now] [Discard All] [View Details]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8.6.6 Session Management</w:t>
      </w:r>
    </w:p>
    <w:p>
      <w:pPr>
        <w:keepNext/>
        <w:spacing w:before="140" w:after="60"/>
        <w:outlineLvl w:val="3"/>
      </w:pPr>
      <w:r>
        <w:rPr>
          <w:rFonts w:ascii="Arial" w:hAnsi="Arial" w:cs="Arial"/>
          <w:b/>
          <w:i/>
          <w:color w:val="333333"/>
          <w:sz w:val="22"/>
        </w:rPr>
        <w:t>8.6.6.1 Session Lifecycle</w:t>
      </w:r>
    </w:p>
    <w:p>
      <w:pPr>
        <w:spacing w:after="80" w:line="293" w:lineRule="auto"/>
        <w:jc w:val="left"/>
      </w:pPr>
      <w:r>
        <w:rPr>
          <w:rFonts w:ascii="Times New Roman" w:hAnsi="Times New Roman" w:cs="Times New Roman"/>
          <w:b w:val="0"/>
          <w:i w:val="0"/>
          <w:sz w:val="22"/>
        </w:rPr>
        <w:t>Sessions are created when a user opens the packing plan editor, transition to IDLE after inactivity, and EXPIRE or CLOSE when the user leaves. Session state includes user, role, cursor position, and last activity time.</w:t>
      </w:r>
    </w:p>
    <w:p>
      <w:pPr>
        <w:keepNext/>
        <w:spacing w:before="140" w:after="60"/>
        <w:outlineLvl w:val="3"/>
      </w:pPr>
      <w:r>
        <w:rPr>
          <w:rFonts w:ascii="Arial" w:hAnsi="Arial" w:cs="Arial"/>
          <w:b/>
          <w:i/>
          <w:color w:val="333333"/>
          <w:sz w:val="22"/>
        </w:rPr>
        <w:t>8.6.6.2 Session Storage</w:t>
      </w:r>
    </w:p>
    <w:p>
      <w:pPr>
        <w:spacing w:after="0" w:before="0" w:line="240" w:lineRule="auto"/>
        <w:ind w:left="57"/>
        <w:jc w:val="left"/>
        <w:shd w:val="clear" w:fill="F2F2F2"/>
      </w:pPr>
      <w:r>
        <w:rPr>
          <w:rFonts w:ascii="Consolas" w:hAnsi="Consolas" w:cs="Consolas"/>
          <w:b w:val="0"/>
          <w:i w:val="0"/>
          <w:sz w:val="15"/>
        </w:rPr>
        <w:t>-- Collaborative sessions</w:t>
      </w:r>
    </w:p>
    <w:p>
      <w:pPr>
        <w:spacing w:after="0" w:before="0" w:line="240" w:lineRule="auto"/>
        <w:ind w:left="57"/>
        <w:jc w:val="left"/>
        <w:shd w:val="clear" w:fill="F2F2F2"/>
      </w:pPr>
      <w:r>
        <w:rPr>
          <w:rFonts w:ascii="Consolas" w:hAnsi="Consolas" w:cs="Consolas"/>
          <w:b w:val="0"/>
          <w:i w:val="0"/>
          <w:sz w:val="15"/>
        </w:rPr>
        <w:t>-- collaborative_sessions: canonical definition in Section 8.4; not redefined here.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8.6.6.3 Session Timeouts</w:t>
      </w:r>
    </w:p>
    <w:p>
      <w:pPr>
        <w:spacing w:after="80" w:line="293" w:lineRule="auto"/>
        <w:jc w:val="left"/>
      </w:pPr>
      <w:r>
        <w:rPr>
          <w:rFonts w:ascii="Times New Roman" w:hAnsi="Times New Roman" w:cs="Times New Roman"/>
          <w:b w:val="0"/>
          <w:i w:val="0"/>
          <w:sz w:val="22"/>
        </w:rPr>
        <w:t>Idle sessions expire automatically (auto-release cron job); lock ownership auto-releases after inactivity per the lock service policy; heartbeat messages keep active sessions alive.</w:t>
      </w:r>
    </w:p>
    <w:p>
      <w:pPr>
        <w:keepNext/>
        <w:spacing w:before="180" w:after="80"/>
        <w:outlineLvl w:val="2"/>
      </w:pPr>
      <w:r>
        <w:rPr>
          <w:rFonts w:ascii="Arial" w:hAnsi="Arial" w:cs="Arial"/>
          <w:b/>
          <w:i w:val="0"/>
          <w:color w:val="333333"/>
          <w:sz w:val="23"/>
        </w:rPr>
        <w:t>8.6.7 Audit &amp; Versioning</w:t>
      </w:r>
    </w:p>
    <w:p>
      <w:pPr>
        <w:keepNext/>
        <w:spacing w:before="140" w:after="60"/>
        <w:outlineLvl w:val="3"/>
      </w:pPr>
      <w:r>
        <w:rPr>
          <w:rFonts w:ascii="Arial" w:hAnsi="Arial" w:cs="Arial"/>
          <w:b/>
          <w:i/>
          <w:color w:val="333333"/>
          <w:sz w:val="22"/>
        </w:rPr>
        <w:t>8.6.7.1 Change Logging</w:t>
      </w:r>
    </w:p>
    <w:p>
      <w:pPr>
        <w:spacing w:after="80" w:line="293" w:lineRule="auto"/>
        <w:jc w:val="left"/>
      </w:pPr>
      <w:r>
        <w:rPr>
          <w:rFonts w:ascii="Times New Roman" w:hAnsi="Times New Roman" w:cs="Times New Roman"/>
          <w:b w:val="0"/>
          <w:i w:val="0"/>
          <w:sz w:val="22"/>
        </w:rPr>
        <w:t>Every change made during collaborative editing is logged: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"change_id": "CHG-2026-001",</w:t>
      </w:r>
    </w:p>
    <w:p>
      <w:pPr>
        <w:spacing w:after="0" w:before="0" w:line="240" w:lineRule="auto"/>
        <w:ind w:left="57"/>
        <w:jc w:val="left"/>
        <w:shd w:val="clear" w:fill="F2F2F2"/>
      </w:pPr>
      <w:r>
        <w:rPr>
          <w:rFonts w:ascii="Consolas" w:hAnsi="Consolas" w:cs="Consolas"/>
          <w:b w:val="0"/>
          <w:i w:val="0"/>
          <w:sz w:val="15"/>
        </w:rPr>
        <w:t xml:space="preserve">  "packing_plan_id": "PP-2026-001",</w:t>
      </w:r>
    </w:p>
    <w:p>
      <w:pPr>
        <w:spacing w:after="0" w:before="0" w:line="240" w:lineRule="auto"/>
        <w:ind w:left="57"/>
        <w:jc w:val="left"/>
        <w:shd w:val="clear" w:fill="F2F2F2"/>
      </w:pPr>
      <w:r>
        <w:rPr>
          <w:rFonts w:ascii="Consolas" w:hAnsi="Consolas" w:cs="Consolas"/>
          <w:b w:val="0"/>
          <w:i w:val="0"/>
          <w:sz w:val="15"/>
        </w:rPr>
        <w:t xml:space="preserve">  "user_employee_id": "emp-001",</w:t>
      </w:r>
    </w:p>
    <w:p>
      <w:pPr>
        <w:spacing w:after="0" w:before="0" w:line="240" w:lineRule="auto"/>
        <w:ind w:left="57"/>
        <w:jc w:val="left"/>
        <w:shd w:val="clear" w:fill="F2F2F2"/>
      </w:pPr>
      <w:r>
        <w:rPr>
          <w:rFonts w:ascii="Consolas" w:hAnsi="Consolas" w:cs="Consolas"/>
          <w:b w:val="0"/>
          <w:i w:val="0"/>
          <w:sz w:val="15"/>
        </w:rPr>
        <w:t xml:space="preserve">  "user_name": "Ahmed Mohamed",</w:t>
      </w:r>
    </w:p>
    <w:p>
      <w:pPr>
        <w:spacing w:after="0" w:before="0" w:line="240" w:lineRule="auto"/>
        <w:ind w:left="57"/>
        <w:jc w:val="left"/>
        <w:shd w:val="clear" w:fill="F2F2F2"/>
      </w:pPr>
      <w:r>
        <w:rPr>
          <w:rFonts w:ascii="Consolas" w:hAnsi="Consolas" w:cs="Consolas"/>
          <w:b w:val="0"/>
          <w:i w:val="0"/>
          <w:sz w:val="15"/>
        </w:rPr>
        <w:t xml:space="preserve">  "action": "pallet.position",</w:t>
      </w:r>
    </w:p>
    <w:p>
      <w:pPr>
        <w:spacing w:after="0" w:before="0" w:line="240" w:lineRule="auto"/>
        <w:ind w:left="57"/>
        <w:jc w:val="left"/>
        <w:shd w:val="clear" w:fill="F2F2F2"/>
      </w:pPr>
      <w:r>
        <w:rPr>
          <w:rFonts w:ascii="Consolas" w:hAnsi="Consolas" w:cs="Consolas"/>
          <w:b w:val="0"/>
          <w:i w:val="0"/>
          <w:sz w:val="15"/>
        </w:rPr>
        <w:t xml:space="preserve">  "field": "position_x",</w:t>
      </w:r>
    </w:p>
    <w:p>
      <w:pPr>
        <w:spacing w:after="0" w:before="0" w:line="240" w:lineRule="auto"/>
        <w:ind w:left="57"/>
        <w:jc w:val="left"/>
        <w:shd w:val="clear" w:fill="F2F2F2"/>
      </w:pPr>
      <w:r>
        <w:rPr>
          <w:rFonts w:ascii="Consolas" w:hAnsi="Consolas" w:cs="Consolas"/>
          <w:b w:val="0"/>
          <w:i w:val="0"/>
          <w:sz w:val="15"/>
        </w:rPr>
        <w:t xml:space="preserve">  "old_value": 1200,</w:t>
      </w:r>
    </w:p>
    <w:p>
      <w:pPr>
        <w:spacing w:after="0" w:before="0" w:line="240" w:lineRule="auto"/>
        <w:ind w:left="57"/>
        <w:jc w:val="left"/>
        <w:shd w:val="clear" w:fill="F2F2F2"/>
      </w:pPr>
      <w:r>
        <w:rPr>
          <w:rFonts w:ascii="Consolas" w:hAnsi="Consolas" w:cs="Consolas"/>
          <w:b w:val="0"/>
          <w:i w:val="0"/>
          <w:sz w:val="15"/>
        </w:rPr>
        <w:t xml:space="preserve">  "new_value": 1400,</w:t>
      </w:r>
    </w:p>
    <w:p>
      <w:pPr>
        <w:spacing w:after="0" w:before="0" w:line="240" w:lineRule="auto"/>
        <w:ind w:left="57"/>
        <w:jc w:val="left"/>
        <w:shd w:val="clear" w:fill="F2F2F2"/>
      </w:pPr>
      <w:r>
        <w:rPr>
          <w:rFonts w:ascii="Consolas" w:hAnsi="Consolas" w:cs="Consolas"/>
          <w:b w:val="0"/>
          <w:i w:val="0"/>
          <w:sz w:val="15"/>
        </w:rPr>
        <w:t xml:space="preserve">  "pallet_id": "OR-005",</w:t>
      </w:r>
    </w:p>
    <w:p>
      <w:pPr>
        <w:spacing w:after="0" w:before="0" w:line="240" w:lineRule="auto"/>
        <w:ind w:left="57"/>
        <w:jc w:val="left"/>
        <w:shd w:val="clear" w:fill="F2F2F2"/>
      </w:pPr>
      <w:r>
        <w:rPr>
          <w:rFonts w:ascii="Consolas" w:hAnsi="Consolas" w:cs="Consolas"/>
          <w:b w:val="0"/>
          <w:i w:val="0"/>
          <w:sz w:val="15"/>
        </w:rPr>
        <w:t xml:space="preserve">  "timestamp": "2026-06-20T10:30:00Z",</w:t>
      </w:r>
    </w:p>
    <w:p>
      <w:pPr>
        <w:spacing w:after="0" w:before="0" w:line="240" w:lineRule="auto"/>
        <w:ind w:left="57"/>
        <w:jc w:val="left"/>
        <w:shd w:val="clear" w:fill="F2F2F2"/>
      </w:pPr>
      <w:r>
        <w:rPr>
          <w:rFonts w:ascii="Consolas" w:hAnsi="Consolas" w:cs="Consolas"/>
          <w:b w:val="0"/>
          <w:i w:val="0"/>
          <w:sz w:val="15"/>
        </w:rPr>
        <w:t xml:space="preserve">  "loom_hash": "sha256:abc123..."</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8.6.7.2 Version Snapshots</w:t>
      </w:r>
    </w:p>
    <w:p>
      <w:pPr>
        <w:spacing w:after="80" w:line="293" w:lineRule="auto"/>
        <w:jc w:val="left"/>
      </w:pPr>
      <w:r>
        <w:rPr>
          <w:rFonts w:ascii="Times New Roman" w:hAnsi="Times New Roman" w:cs="Times New Roman"/>
          <w:b w:val="0"/>
          <w:i w:val="0"/>
          <w:sz w:val="22"/>
        </w:rPr>
        <w:t>Snapshots are taken at regular intervals and on lock. Version history example: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Version</w:t>
            </w:r>
          </w:p>
        </w:tc>
        <w:tc>
          <w:tcPr>
            <w:tcW w:type="dxa" w:w="2409"/>
            <w:shd w:val="clear" w:fill="D9E2F3"/>
          </w:tcPr>
          <w:p>
            <w:pPr>
              <w:spacing w:after="20" w:before="20" w:line="240" w:lineRule="auto"/>
            </w:pPr>
            <w:r/>
            <w:r>
              <w:rPr>
                <w:rFonts w:ascii="Arial" w:hAnsi="Arial" w:cs="Arial"/>
                <w:b/>
                <w:i w:val="0"/>
                <w:sz w:val="18"/>
              </w:rPr>
              <w:t>Date</w:t>
            </w:r>
          </w:p>
        </w:tc>
        <w:tc>
          <w:tcPr>
            <w:tcW w:type="dxa" w:w="2409"/>
            <w:shd w:val="clear" w:fill="D9E2F3"/>
          </w:tcPr>
          <w:p>
            <w:pPr>
              <w:spacing w:after="20" w:before="20" w:line="240" w:lineRule="auto"/>
            </w:pPr>
            <w:r/>
            <w:r>
              <w:rPr>
                <w:rFonts w:ascii="Arial" w:hAnsi="Arial" w:cs="Arial"/>
                <w:b/>
                <w:i w:val="0"/>
                <w:sz w:val="18"/>
              </w:rPr>
              <w:t>User</w:t>
            </w:r>
          </w:p>
        </w:tc>
        <w:tc>
          <w:tcPr>
            <w:tcW w:type="dxa" w:w="2409"/>
            <w:shd w:val="clear" w:fill="D9E2F3"/>
          </w:tcPr>
          <w:p>
            <w:pPr>
              <w:spacing w:after="20" w:before="20" w:line="240" w:lineRule="auto"/>
            </w:pPr>
            <w:r/>
            <w:r>
              <w:rPr>
                <w:rFonts w:ascii="Arial" w:hAnsi="Arial" w:cs="Arial"/>
                <w:b/>
                <w:i w:val="0"/>
                <w:sz w:val="18"/>
              </w:rPr>
              <w:t>Changes</w:t>
            </w:r>
          </w:p>
        </w:tc>
      </w:tr>
      <w:tr>
        <w:tc>
          <w:tcPr>
            <w:tcW w:type="dxa" w:w="2409"/>
          </w:tcPr>
          <w:p>
            <w:pPr>
              <w:spacing w:after="20" w:before="20" w:line="240" w:lineRule="auto"/>
            </w:pPr>
            <w:r/>
            <w:r>
              <w:rPr>
                <w:rFonts w:ascii="Arial" w:hAnsi="Arial" w:cs="Arial"/>
                <w:b w:val="0"/>
                <w:i w:val="0"/>
                <w:sz w:val="17"/>
              </w:rPr>
              <w:t>v1.5</w:t>
            </w:r>
          </w:p>
        </w:tc>
        <w:tc>
          <w:tcPr>
            <w:tcW w:type="dxa" w:w="2409"/>
          </w:tcPr>
          <w:p>
            <w:pPr>
              <w:spacing w:after="20" w:before="20" w:line="240" w:lineRule="auto"/>
            </w:pPr>
            <w:r/>
            <w:r>
              <w:rPr>
                <w:rFonts w:ascii="Arial" w:hAnsi="Arial" w:cs="Arial"/>
                <w:b w:val="0"/>
                <w:i w:val="0"/>
                <w:sz w:val="17"/>
              </w:rPr>
              <w:t>2026-06-20 10:30</w:t>
            </w:r>
          </w:p>
        </w:tc>
        <w:tc>
          <w:tcPr>
            <w:tcW w:type="dxa" w:w="2409"/>
          </w:tcPr>
          <w:p>
            <w:pPr>
              <w:spacing w:after="20" w:before="20" w:line="240" w:lineRule="auto"/>
            </w:pPr>
            <w:r/>
            <w:r>
              <w:rPr>
                <w:rFonts w:ascii="Arial" w:hAnsi="Arial" w:cs="Arial"/>
                <w:b w:val="0"/>
                <w:i w:val="0"/>
                <w:sz w:val="17"/>
              </w:rPr>
              <w:t>Ahmed</w:t>
            </w:r>
          </w:p>
        </w:tc>
        <w:tc>
          <w:tcPr>
            <w:tcW w:type="dxa" w:w="2409"/>
          </w:tcPr>
          <w:p>
            <w:pPr>
              <w:spacing w:after="20" w:before="20" w:line="240" w:lineRule="auto"/>
            </w:pPr>
            <w:r/>
            <w:r>
              <w:rPr>
                <w:rFonts w:ascii="Arial" w:hAnsi="Arial" w:cs="Arial"/>
                <w:b w:val="0"/>
                <w:i w:val="0"/>
                <w:sz w:val="17"/>
              </w:rPr>
              <w:t>Locked plan</w:t>
            </w:r>
          </w:p>
        </w:tc>
      </w:tr>
      <w:tr>
        <w:tc>
          <w:tcPr>
            <w:tcW w:type="dxa" w:w="2409"/>
          </w:tcPr>
          <w:p>
            <w:pPr>
              <w:spacing w:after="20" w:before="20" w:line="240" w:lineRule="auto"/>
            </w:pPr>
            <w:r/>
            <w:r>
              <w:rPr>
                <w:rFonts w:ascii="Arial" w:hAnsi="Arial" w:cs="Arial"/>
                <w:b w:val="0"/>
                <w:i w:val="0"/>
                <w:sz w:val="17"/>
              </w:rPr>
              <w:t>v1.4</w:t>
            </w:r>
          </w:p>
        </w:tc>
        <w:tc>
          <w:tcPr>
            <w:tcW w:type="dxa" w:w="2409"/>
          </w:tcPr>
          <w:p>
            <w:pPr>
              <w:spacing w:after="20" w:before="20" w:line="240" w:lineRule="auto"/>
            </w:pPr>
            <w:r/>
            <w:r>
              <w:rPr>
                <w:rFonts w:ascii="Arial" w:hAnsi="Arial" w:cs="Arial"/>
                <w:b w:val="0"/>
                <w:i w:val="0"/>
                <w:sz w:val="17"/>
              </w:rPr>
              <w:t>2026-06-20 10:25</w:t>
            </w:r>
          </w:p>
        </w:tc>
        <w:tc>
          <w:tcPr>
            <w:tcW w:type="dxa" w:w="2409"/>
          </w:tcPr>
          <w:p>
            <w:pPr>
              <w:spacing w:after="20" w:before="20" w:line="240" w:lineRule="auto"/>
            </w:pPr>
            <w:r/>
            <w:r>
              <w:rPr>
                <w:rFonts w:ascii="Arial" w:hAnsi="Arial" w:cs="Arial"/>
                <w:b w:val="0"/>
                <w:i w:val="0"/>
                <w:sz w:val="17"/>
              </w:rPr>
              <w:t>Sara</w:t>
            </w:r>
          </w:p>
        </w:tc>
        <w:tc>
          <w:tcPr>
            <w:tcW w:type="dxa" w:w="2409"/>
          </w:tcPr>
          <w:p>
            <w:pPr>
              <w:spacing w:after="20" w:before="20" w:line="240" w:lineRule="auto"/>
            </w:pPr>
            <w:r/>
            <w:r>
              <w:rPr>
                <w:rFonts w:ascii="Arial" w:hAnsi="Arial" w:cs="Arial"/>
                <w:b w:val="0"/>
                <w:i w:val="0"/>
                <w:sz w:val="17"/>
              </w:rPr>
              <w:t>Pallet OR-006 weight updated</w:t>
            </w:r>
          </w:p>
        </w:tc>
      </w:tr>
      <w:tr>
        <w:tc>
          <w:tcPr>
            <w:tcW w:type="dxa" w:w="2409"/>
          </w:tcPr>
          <w:p>
            <w:pPr>
              <w:spacing w:after="20" w:before="20" w:line="240" w:lineRule="auto"/>
            </w:pPr>
            <w:r/>
            <w:r>
              <w:rPr>
                <w:rFonts w:ascii="Arial" w:hAnsi="Arial" w:cs="Arial"/>
                <w:b w:val="0"/>
                <w:i w:val="0"/>
                <w:sz w:val="17"/>
              </w:rPr>
              <w:t>v1.3</w:t>
            </w:r>
          </w:p>
        </w:tc>
        <w:tc>
          <w:tcPr>
            <w:tcW w:type="dxa" w:w="2409"/>
          </w:tcPr>
          <w:p>
            <w:pPr>
              <w:spacing w:after="20" w:before="20" w:line="240" w:lineRule="auto"/>
            </w:pPr>
            <w:r/>
            <w:r>
              <w:rPr>
                <w:rFonts w:ascii="Arial" w:hAnsi="Arial" w:cs="Arial"/>
                <w:b w:val="0"/>
                <w:i w:val="0"/>
                <w:sz w:val="17"/>
              </w:rPr>
              <w:t>2026-06-20 10:20</w:t>
            </w:r>
          </w:p>
        </w:tc>
        <w:tc>
          <w:tcPr>
            <w:tcW w:type="dxa" w:w="2409"/>
          </w:tcPr>
          <w:p>
            <w:pPr>
              <w:spacing w:after="20" w:before="20" w:line="240" w:lineRule="auto"/>
            </w:pPr>
            <w:r/>
            <w:r>
              <w:rPr>
                <w:rFonts w:ascii="Arial" w:hAnsi="Arial" w:cs="Arial"/>
                <w:b w:val="0"/>
                <w:i w:val="0"/>
                <w:sz w:val="17"/>
              </w:rPr>
              <w:t>Ahmed</w:t>
            </w:r>
          </w:p>
        </w:tc>
        <w:tc>
          <w:tcPr>
            <w:tcW w:type="dxa" w:w="2409"/>
          </w:tcPr>
          <w:p>
            <w:pPr>
              <w:spacing w:after="20" w:before="20" w:line="240" w:lineRule="auto"/>
            </w:pPr>
            <w:r/>
            <w:r>
              <w:rPr>
                <w:rFonts w:ascii="Arial" w:hAnsi="Arial" w:cs="Arial"/>
                <w:b w:val="0"/>
                <w:i w:val="0"/>
                <w:sz w:val="17"/>
              </w:rPr>
              <w:t>Pallet OR-005 position moved</w:t>
            </w:r>
          </w:p>
        </w:tc>
      </w:tr>
      <w:tr>
        <w:tc>
          <w:tcPr>
            <w:tcW w:type="dxa" w:w="2409"/>
          </w:tcPr>
          <w:p>
            <w:pPr>
              <w:spacing w:after="20" w:before="20" w:line="240" w:lineRule="auto"/>
            </w:pPr>
            <w:r/>
            <w:r>
              <w:rPr>
                <w:rFonts w:ascii="Arial" w:hAnsi="Arial" w:cs="Arial"/>
                <w:b w:val="0"/>
                <w:i w:val="0"/>
                <w:sz w:val="17"/>
              </w:rPr>
              <w:t>v1.2</w:t>
            </w:r>
          </w:p>
        </w:tc>
        <w:tc>
          <w:tcPr>
            <w:tcW w:type="dxa" w:w="2409"/>
          </w:tcPr>
          <w:p>
            <w:pPr>
              <w:spacing w:after="20" w:before="20" w:line="240" w:lineRule="auto"/>
            </w:pPr>
            <w:r/>
            <w:r>
              <w:rPr>
                <w:rFonts w:ascii="Arial" w:hAnsi="Arial" w:cs="Arial"/>
                <w:b w:val="0"/>
                <w:i w:val="0"/>
                <w:sz w:val="17"/>
              </w:rPr>
              <w:t>2026-06-20 10:15</w:t>
            </w:r>
          </w:p>
        </w:tc>
        <w:tc>
          <w:tcPr>
            <w:tcW w:type="dxa" w:w="2409"/>
          </w:tcPr>
          <w:p>
            <w:pPr>
              <w:spacing w:after="20" w:before="20" w:line="240" w:lineRule="auto"/>
            </w:pPr>
            <w:r/>
            <w:r>
              <w:rPr>
                <w:rFonts w:ascii="Arial" w:hAnsi="Arial" w:cs="Arial"/>
                <w:b w:val="0"/>
                <w:i w:val="0"/>
                <w:sz w:val="17"/>
              </w:rPr>
              <w:t>Mohamed</w:t>
            </w:r>
          </w:p>
        </w:tc>
        <w:tc>
          <w:tcPr>
            <w:tcW w:type="dxa" w:w="2409"/>
          </w:tcPr>
          <w:p>
            <w:pPr>
              <w:spacing w:after="20" w:before="20" w:line="240" w:lineRule="auto"/>
            </w:pPr>
            <w:r/>
            <w:r>
              <w:rPr>
                <w:rFonts w:ascii="Arial" w:hAnsi="Arial" w:cs="Arial"/>
                <w:b w:val="0"/>
                <w:i w:val="0"/>
                <w:sz w:val="17"/>
              </w:rPr>
              <w:t>Added pallet OR-007</w:t>
            </w:r>
          </w:p>
        </w:tc>
      </w:tr>
      <w:tr>
        <w:tc>
          <w:tcPr>
            <w:tcW w:type="dxa" w:w="2409"/>
          </w:tcPr>
          <w:p>
            <w:pPr>
              <w:spacing w:after="20" w:before="20" w:line="240" w:lineRule="auto"/>
            </w:pPr>
            <w:r/>
            <w:r>
              <w:rPr>
                <w:rFonts w:ascii="Arial" w:hAnsi="Arial" w:cs="Arial"/>
                <w:b w:val="0"/>
                <w:i w:val="0"/>
                <w:sz w:val="17"/>
              </w:rPr>
              <w:t>v1.1</w:t>
            </w:r>
          </w:p>
        </w:tc>
        <w:tc>
          <w:tcPr>
            <w:tcW w:type="dxa" w:w="2409"/>
          </w:tcPr>
          <w:p>
            <w:pPr>
              <w:spacing w:after="20" w:before="20" w:line="240" w:lineRule="auto"/>
            </w:pPr>
            <w:r/>
            <w:r>
              <w:rPr>
                <w:rFonts w:ascii="Arial" w:hAnsi="Arial" w:cs="Arial"/>
                <w:b w:val="0"/>
                <w:i w:val="0"/>
                <w:sz w:val="17"/>
              </w:rPr>
              <w:t>2026-06-20 10:00</w:t>
            </w:r>
          </w:p>
        </w:tc>
        <w:tc>
          <w:tcPr>
            <w:tcW w:type="dxa" w:w="2409"/>
          </w:tcPr>
          <w:p>
            <w:pPr>
              <w:spacing w:after="20" w:before="20" w:line="240" w:lineRule="auto"/>
            </w:pPr>
            <w:r/>
            <w:r>
              <w:rPr>
                <w:rFonts w:ascii="Arial" w:hAnsi="Arial" w:cs="Arial"/>
                <w:b w:val="0"/>
                <w:i w:val="0"/>
                <w:sz w:val="17"/>
              </w:rPr>
              <w:t>System</w:t>
            </w:r>
          </w:p>
        </w:tc>
        <w:tc>
          <w:tcPr>
            <w:tcW w:type="dxa" w:w="2409"/>
          </w:tcPr>
          <w:p>
            <w:pPr>
              <w:spacing w:after="20" w:before="20" w:line="240" w:lineRule="auto"/>
            </w:pPr>
            <w:r/>
            <w:r>
              <w:rPr>
                <w:rFonts w:ascii="Arial" w:hAnsi="Arial" w:cs="Arial"/>
                <w:b w:val="0"/>
                <w:i w:val="0"/>
                <w:sz w:val="17"/>
              </w:rPr>
              <w:t>Initial packing plan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Actions per version: restore to a prior version, view diff, export version.</w:t>
      </w:r>
    </w:p>
    <w:p>
      <w:pPr>
        <w:keepNext/>
        <w:spacing w:before="180" w:after="80"/>
        <w:outlineLvl w:val="2"/>
      </w:pPr>
      <w:r>
        <w:rPr>
          <w:rFonts w:ascii="Arial" w:hAnsi="Arial" w:cs="Arial"/>
          <w:b/>
          <w:i w:val="0"/>
          <w:color w:val="333333"/>
          <w:sz w:val="23"/>
        </w:rPr>
        <w:t>8.6.8 UI Design — Complete</w:t>
      </w:r>
    </w:p>
    <w:p>
      <w:pPr>
        <w:keepNext/>
        <w:spacing w:before="140" w:after="60"/>
        <w:outlineLvl w:val="3"/>
      </w:pPr>
      <w:r>
        <w:rPr>
          <w:rFonts w:ascii="Arial" w:hAnsi="Arial" w:cs="Arial"/>
          <w:b/>
          <w:i/>
          <w:color w:val="333333"/>
          <w:sz w:val="22"/>
        </w:rPr>
        <w:t>8.6.8.1 Main Interface</w:t>
      </w:r>
    </w:p>
    <w:p>
      <w:pPr>
        <w:spacing w:after="0" w:before="0" w:line="240" w:lineRule="auto"/>
        <w:ind w:left="57"/>
        <w:jc w:val="left"/>
        <w:shd w:val="clear" w:fill="F2F2F2"/>
      </w:pPr>
      <w:r>
        <w:rPr>
          <w:rFonts w:ascii="Consolas" w:hAnsi="Consolas" w:cs="Consolas"/>
          <w:b w:val="0"/>
          <w:i w:val="0"/>
          <w:sz w:val="15"/>
        </w:rPr>
        <w:t>PACKING PLAN EDITOR — SGTX-EG-26-F3A-1</w:t>
      </w:r>
    </w:p>
    <w:p>
      <w:pPr>
        <w:spacing w:after="0" w:before="0" w:line="240" w:lineRule="auto"/>
        <w:ind w:left="57"/>
        <w:jc w:val="left"/>
        <w:shd w:val="clear" w:fill="F2F2F2"/>
      </w:pPr>
      <w:r>
        <w:rPr>
          <w:rFonts w:ascii="Consolas" w:hAnsi="Consolas" w:cs="Consolas"/>
          <w:b w:val="0"/>
          <w:i w:val="0"/>
          <w:sz w:val="15"/>
        </w:rPr>
        <w:t>Collaborators: Ahmed (editing), Sara (viewing), Mohamed (viewing)</w:t>
      </w:r>
    </w:p>
    <w:p>
      <w:pPr>
        <w:spacing w:after="0" w:before="0" w:line="240" w:lineRule="auto"/>
        <w:ind w:left="57"/>
        <w:jc w:val="left"/>
        <w:shd w:val="clear" w:fill="F2F2F2"/>
      </w:pPr>
      <w:r>
        <w:rPr>
          <w:rFonts w:ascii="Consolas" w:hAnsi="Consolas" w:cs="Consolas"/>
          <w:b w:val="0"/>
          <w:i w:val="0"/>
          <w:sz w:val="15"/>
        </w:rPr>
        <w:t>Status: Unlocked | Last Saved: 10:30:00 | Changes: 2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Container 1 (40ft Reefer)</w:t>
      </w:r>
    </w:p>
    <w:p>
      <w:pPr>
        <w:spacing w:after="0" w:before="0" w:line="240" w:lineRule="auto"/>
        <w:ind w:left="57"/>
        <w:jc w:val="left"/>
        <w:shd w:val="clear" w:fill="F2F2F2"/>
      </w:pPr>
      <w:r>
        <w:rPr>
          <w:rFonts w:ascii="Consolas" w:hAnsi="Consolas" w:cs="Consolas"/>
          <w:b w:val="0"/>
          <w:i w:val="0"/>
          <w:sz w:val="15"/>
        </w:rPr>
        <w:t xml:space="preserve">  [3D Container Viewer]</w:t>
      </w:r>
    </w:p>
    <w:p>
      <w:pPr>
        <w:spacing w:after="0" w:before="0" w:line="240" w:lineRule="auto"/>
        <w:ind w:left="57"/>
        <w:jc w:val="left"/>
        <w:shd w:val="clear" w:fill="F2F2F2"/>
      </w:pPr>
      <w:r>
        <w:rPr>
          <w:rFonts w:ascii="Consolas" w:hAnsi="Consolas" w:cs="Consolas"/>
          <w:b w:val="0"/>
          <w:i w:val="0"/>
          <w:sz w:val="15"/>
        </w:rPr>
        <w:t xml:space="preserve">  P1 P2 P3 P4 P5 P6 P7 P8 P9 P10   ← Ahmed is repositioning P3</w:t>
      </w:r>
    </w:p>
    <w:p>
      <w:pPr>
        <w:spacing w:after="0" w:before="0" w:line="240" w:lineRule="auto"/>
        <w:ind w:left="57"/>
        <w:jc w:val="left"/>
        <w:shd w:val="clear" w:fill="F2F2F2"/>
      </w:pPr>
      <w:r>
        <w:rPr>
          <w:rFonts w:ascii="Consolas" w:hAnsi="Consolas" w:cs="Consolas"/>
          <w:b w:val="0"/>
          <w:i w:val="0"/>
          <w:sz w:val="15"/>
        </w:rPr>
        <w:t xml:space="preserve">  P11 P12 P13 P14 P15 P16 P17 P18 P19 P20</w:t>
      </w:r>
    </w:p>
    <w:p>
      <w:pPr>
        <w:spacing w:after="0" w:before="0" w:line="240" w:lineRule="auto"/>
        <w:ind w:left="57"/>
        <w:jc w:val="left"/>
        <w:shd w:val="clear" w:fill="F2F2F2"/>
      </w:pPr>
      <w:r>
        <w:rPr>
          <w:rFonts w:ascii="Consolas" w:hAnsi="Consolas" w:cs="Consolas"/>
          <w:b w:val="0"/>
          <w:i w:val="0"/>
          <w:sz w:val="15"/>
        </w:rPr>
        <w:t xml:space="preserve">  P21 P22</w:t>
      </w:r>
    </w:p>
    <w:p>
      <w:pPr>
        <w:spacing w:after="0" w:before="0" w:line="240" w:lineRule="auto"/>
        <w:ind w:left="57"/>
        <w:jc w:val="left"/>
        <w:shd w:val="clear" w:fill="F2F2F2"/>
      </w:pPr>
      <w:r>
        <w:rPr>
          <w:rFonts w:ascii="Consolas" w:hAnsi="Consolas" w:cs="Consolas"/>
          <w:b w:val="0"/>
          <w:i w:val="0"/>
          <w:sz w:val="15"/>
        </w:rPr>
        <w:t xml:space="preserve">  Pallet P3 — 111 cartons (11×10 + 1×1)</w:t>
      </w:r>
    </w:p>
    <w:p>
      <w:pPr>
        <w:spacing w:after="0" w:before="0" w:line="240" w:lineRule="auto"/>
        <w:ind w:left="57"/>
        <w:jc w:val="left"/>
        <w:shd w:val="clear" w:fill="F2F2F2"/>
      </w:pPr>
      <w:r>
        <w:rPr>
          <w:rFonts w:ascii="Consolas" w:hAnsi="Consolas" w:cs="Consolas"/>
          <w:b w:val="0"/>
          <w:i w:val="0"/>
          <w:sz w:val="15"/>
        </w:rPr>
        <w:t xml:space="preserve">    SSCC: 106141411234567890</w:t>
      </w:r>
    </w:p>
    <w:p>
      <w:pPr>
        <w:spacing w:after="0" w:before="0" w:line="240" w:lineRule="auto"/>
        <w:ind w:left="57"/>
        <w:jc w:val="left"/>
        <w:shd w:val="clear" w:fill="F2F2F2"/>
      </w:pPr>
      <w:r>
        <w:rPr>
          <w:rFonts w:ascii="Consolas" w:hAnsi="Consolas" w:cs="Consolas"/>
          <w:b w:val="0"/>
          <w:i w:val="0"/>
          <w:sz w:val="15"/>
        </w:rPr>
        <w:t xml:space="preserve">    Weight: 1,165 kg</w:t>
      </w:r>
    </w:p>
    <w:p>
      <w:pPr>
        <w:spacing w:after="0" w:before="0" w:line="240" w:lineRule="auto"/>
        <w:ind w:left="57"/>
        <w:jc w:val="left"/>
        <w:shd w:val="clear" w:fill="F2F2F2"/>
      </w:pPr>
      <w:r>
        <w:rPr>
          <w:rFonts w:ascii="Consolas" w:hAnsi="Consolas" w:cs="Consolas"/>
          <w:b w:val="0"/>
          <w:i w:val="0"/>
          <w:sz w:val="15"/>
        </w:rPr>
        <w:t xml:space="preserve">    Status: Planned</w:t>
      </w:r>
    </w:p>
    <w:p>
      <w:pPr>
        <w:spacing w:after="0" w:before="0" w:line="240" w:lineRule="auto"/>
        <w:ind w:left="57"/>
        <w:jc w:val="left"/>
        <w:shd w:val="clear" w:fill="F2F2F2"/>
      </w:pPr>
      <w:r>
        <w:rPr>
          <w:rFonts w:ascii="Consolas" w:hAnsi="Consolas" w:cs="Consolas"/>
          <w:b w:val="0"/>
          <w:i w:val="0"/>
          <w:sz w:val="15"/>
        </w:rPr>
        <w:t xml:space="preserve">    Cold Treatment: Completed (CT-20260415-001)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SIDEBAR — PALLET LIST</w:t>
      </w:r>
    </w:p>
    <w:p>
      <w:pPr>
        <w:spacing w:after="0" w:before="0" w:line="240" w:lineRule="auto"/>
        <w:ind w:left="57"/>
        <w:jc w:val="left"/>
        <w:shd w:val="clear" w:fill="F2F2F2"/>
      </w:pPr>
      <w:r>
        <w:rPr>
          <w:rFonts w:ascii="Consolas" w:hAnsi="Consolas" w:cs="Consolas"/>
          <w:b w:val="0"/>
          <w:i w:val="0"/>
          <w:sz w:val="15"/>
        </w:rPr>
        <w:t xml:space="preserve">  Pallet | Product | Weight   | Actions</w:t>
      </w:r>
    </w:p>
    <w:p>
      <w:pPr>
        <w:spacing w:after="0" w:before="0" w:line="240" w:lineRule="auto"/>
        <w:ind w:left="57"/>
        <w:jc w:val="left"/>
        <w:shd w:val="clear" w:fill="F2F2F2"/>
      </w:pPr>
      <w:r>
        <w:rPr>
          <w:rFonts w:ascii="Consolas" w:hAnsi="Consolas" w:cs="Consolas"/>
          <w:b w:val="0"/>
          <w:i w:val="0"/>
          <w:sz w:val="15"/>
        </w:rPr>
        <w:t xml:space="preserve">  OR-001 | Oranges | 1,165 kg | [Edit] [Move]</w:t>
      </w:r>
    </w:p>
    <w:p>
      <w:pPr>
        <w:spacing w:after="0" w:before="0" w:line="240" w:lineRule="auto"/>
        <w:ind w:left="57"/>
        <w:jc w:val="left"/>
        <w:shd w:val="clear" w:fill="F2F2F2"/>
      </w:pPr>
      <w:r>
        <w:rPr>
          <w:rFonts w:ascii="Consolas" w:hAnsi="Consolas" w:cs="Consolas"/>
          <w:b w:val="0"/>
          <w:i w:val="0"/>
          <w:sz w:val="15"/>
        </w:rPr>
        <w:t xml:space="preserve">  OR-002 | Oranges | 1,165 kg | [Edit] [Move]</w:t>
      </w:r>
    </w:p>
    <w:p>
      <w:pPr>
        <w:spacing w:after="0" w:before="0" w:line="240" w:lineRule="auto"/>
        <w:ind w:left="57"/>
        <w:jc w:val="left"/>
        <w:shd w:val="clear" w:fill="F2F2F2"/>
      </w:pPr>
      <w:r>
        <w:rPr>
          <w:rFonts w:ascii="Consolas" w:hAnsi="Consolas" w:cs="Consolas"/>
          <w:b w:val="0"/>
          <w:i w:val="0"/>
          <w:sz w:val="15"/>
        </w:rPr>
        <w:t xml:space="preserve">  OR-003 | Oranges | 1,165 kg | [Edit] [Move]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CHAT</w:t>
      </w:r>
    </w:p>
    <w:p>
      <w:pPr>
        <w:spacing w:after="0" w:before="0" w:line="240" w:lineRule="auto"/>
        <w:ind w:left="57"/>
        <w:jc w:val="left"/>
        <w:shd w:val="clear" w:fill="F2F2F2"/>
      </w:pPr>
      <w:r>
        <w:rPr>
          <w:rFonts w:ascii="Consolas" w:hAnsi="Consolas" w:cs="Consolas"/>
          <w:b w:val="0"/>
          <w:i w:val="0"/>
          <w:sz w:val="15"/>
        </w:rPr>
        <w:t xml:space="preserve">  Ahmed: Moving P3 to front</w:t>
      </w:r>
    </w:p>
    <w:p>
      <w:pPr>
        <w:spacing w:after="0" w:before="0" w:line="240" w:lineRule="auto"/>
        <w:ind w:left="57"/>
        <w:jc w:val="left"/>
        <w:shd w:val="clear" w:fill="F2F2F2"/>
      </w:pPr>
      <w:r>
        <w:rPr>
          <w:rFonts w:ascii="Consolas" w:hAnsi="Consolas" w:cs="Consolas"/>
          <w:b w:val="0"/>
          <w:i w:val="0"/>
          <w:sz w:val="15"/>
        </w:rPr>
        <w:t xml:space="preserve">  Sara:  Good idea</w:t>
      </w:r>
    </w:p>
    <w:p>
      <w:pPr>
        <w:spacing w:after="0" w:before="0" w:line="240" w:lineRule="auto"/>
        <w:ind w:left="57"/>
        <w:jc w:val="left"/>
        <w:shd w:val="clear" w:fill="F2F2F2"/>
      </w:pPr>
      <w:r>
        <w:rPr>
          <w:rFonts w:ascii="Consolas" w:hAnsi="Consolas" w:cs="Consolas"/>
          <w:b w:val="0"/>
          <w:i w:val="0"/>
          <w:sz w:val="15"/>
        </w:rPr>
        <w:t xml:space="preserve">  [Type a message...]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[Lock Packing Plan] [Save Draft] [Export PDF] [Share] [Invite Collaborator]</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8.6.8.2 Role-Based UI</w:t>
      </w:r>
    </w:p>
    <w:p>
      <w:pPr>
        <w:spacing w:after="80" w:line="293" w:lineRule="auto"/>
        <w:jc w:val="left"/>
      </w:pPr>
      <w:r>
        <w:rPr>
          <w:rFonts w:ascii="Times New Roman" w:hAnsi="Times New Roman" w:cs="Times New Roman"/>
          <w:b w:val="0"/>
          <w:i w:val="0"/>
          <w:sz w:val="22"/>
        </w:rPr>
        <w:t>Fields and actions are hidden or shown based on the user's role per the OPA policy set: warehouse operators see pallet position controls only; logistics coordinators see logistics fields only; quality inspectors see read-only data plus QC notes; viewers see read-only data. Permission violations surface in the Decision Panel rather than silent failures.</w:t>
      </w:r>
    </w:p>
    <w:p>
      <w:pPr>
        <w:keepNext/>
        <w:spacing w:before="180" w:after="80"/>
        <w:outlineLvl w:val="2"/>
      </w:pPr>
      <w:r>
        <w:rPr>
          <w:rFonts w:ascii="Arial" w:hAnsi="Arial" w:cs="Arial"/>
          <w:b/>
          <w:i w:val="0"/>
          <w:color w:val="333333"/>
          <w:sz w:val="23"/>
        </w:rPr>
        <w:t>8.6.9 Integration with Other Parts</w:t>
      </w:r>
    </w:p>
    <w:p>
      <w:pPr>
        <w:spacing w:after="80" w:line="293" w:lineRule="auto"/>
        <w:jc w:val="left"/>
      </w:pPr>
      <w:r>
        <w:rPr>
          <w:rFonts w:ascii="Times New Roman" w:hAnsi="Times New Roman" w:cs="Times New Roman"/>
          <w:b w:val="0"/>
          <w:i w:val="0"/>
          <w:sz w:val="22"/>
        </w:rPr>
        <w:t>The collaborative editor binds directly to the palletisation solver output (Section 8.4), renders through the 3D viewer (Section 8.7), feeds the packing list generator (Section 8.5), and terminates in the lock/barcode workflow (Section 8.13). Chat translation uses A1 (Groq). All changes are Loom-anchored (Section 15) and stored per the schema in Section 17.</w:t>
      </w:r>
    </w:p>
    <w:p>
      <w:pPr>
        <w:keepNext/>
        <w:spacing w:before="180" w:after="80"/>
        <w:outlineLvl w:val="2"/>
      </w:pPr>
      <w:r>
        <w:rPr>
          <w:rFonts w:ascii="Arial" w:hAnsi="Arial" w:cs="Arial"/>
          <w:b/>
          <w:i w:val="0"/>
          <w:color w:val="333333"/>
          <w:sz w:val="23"/>
        </w:rPr>
        <w:t>8.6.10 Validation Gates (Collaborative Editing)</w:t>
      </w:r>
    </w:p>
    <w:p>
      <w:pPr>
        <w:spacing w:after="80" w:line="293" w:lineRule="auto"/>
        <w:ind w:left="283"/>
        <w:jc w:val="left"/>
      </w:pPr>
      <w:r>
        <w:rPr>
          <w:rFonts w:ascii="Times New Roman" w:hAnsi="Times New Roman" w:cs="Times New Roman"/>
          <w:b w:val="0"/>
          <w:i w:val="0"/>
          <w:sz w:val="22"/>
        </w:rPr>
        <w:t>- Lock requires packing.lock permission (Governor-checked).</w:t>
      </w:r>
    </w:p>
    <w:p>
      <w:pPr>
        <w:spacing w:after="80" w:line="293" w:lineRule="auto"/>
        <w:ind w:left="283"/>
        <w:jc w:val="left"/>
      </w:pPr>
      <w:r>
        <w:rPr>
          <w:rFonts w:ascii="Times New Roman" w:hAnsi="Times New Roman" w:cs="Times New Roman"/>
          <w:b w:val="0"/>
          <w:i w:val="0"/>
          <w:sz w:val="22"/>
        </w:rPr>
        <w:t>- Lock is denied when the plan is already locked, mandatory fields are incomplete, or weight/height validations fail.</w:t>
      </w:r>
    </w:p>
    <w:p>
      <w:pPr>
        <w:spacing w:after="80" w:line="293" w:lineRule="auto"/>
        <w:ind w:left="283"/>
        <w:jc w:val="left"/>
      </w:pPr>
      <w:r>
        <w:rPr>
          <w:rFonts w:ascii="Times New Roman" w:hAnsi="Times New Roman" w:cs="Times New Roman"/>
          <w:b w:val="0"/>
          <w:i w:val="0"/>
          <w:sz w:val="22"/>
        </w:rPr>
        <w:t>- Concurrent lock attempts resolve to exactly one winner; losers receive a CONDITIONAL lock_conflict response.</w:t>
      </w:r>
    </w:p>
    <w:p>
      <w:pPr>
        <w:spacing w:after="80" w:line="293" w:lineRule="auto"/>
        <w:ind w:left="283"/>
        <w:jc w:val="left"/>
      </w:pPr>
      <w:r>
        <w:rPr>
          <w:rFonts w:ascii="Times New Roman" w:hAnsi="Times New Roman" w:cs="Times New Roman"/>
          <w:b w:val="0"/>
          <w:i w:val="0"/>
          <w:sz w:val="22"/>
        </w:rPr>
        <w:t>- Every edit passes OPA permission checks; violations are rejected and logged.</w:t>
      </w:r>
    </w:p>
    <w:p>
      <w:pPr>
        <w:spacing w:after="80" w:line="293" w:lineRule="auto"/>
        <w:ind w:left="283"/>
        <w:jc w:val="left"/>
      </w:pPr>
      <w:r>
        <w:rPr>
          <w:rFonts w:ascii="Times New Roman" w:hAnsi="Times New Roman" w:cs="Times New Roman"/>
          <w:b w:val="0"/>
          <w:i w:val="0"/>
          <w:sz w:val="22"/>
        </w:rPr>
        <w:t>- Offline queued changes are re-validated against the current plan state before merge.</w:t>
      </w:r>
    </w:p>
    <w:p>
      <w:pPr>
        <w:keepNext/>
        <w:spacing w:before="180" w:after="80"/>
        <w:outlineLvl w:val="2"/>
      </w:pPr>
      <w:r>
        <w:rPr>
          <w:rFonts w:ascii="Arial" w:hAnsi="Arial" w:cs="Arial"/>
          <w:b/>
          <w:i w:val="0"/>
          <w:color w:val="333333"/>
          <w:sz w:val="23"/>
        </w:rPr>
        <w:t>8.6.11 Database Schema Additions</w:t>
      </w:r>
    </w:p>
    <w:p>
      <w:pPr>
        <w:spacing w:after="0" w:before="0" w:line="240" w:lineRule="auto"/>
        <w:ind w:left="57"/>
        <w:jc w:val="left"/>
        <w:shd w:val="clear" w:fill="F2F2F2"/>
      </w:pPr>
      <w:r>
        <w:rPr>
          <w:rFonts w:ascii="Consolas" w:hAnsi="Consolas" w:cs="Consolas"/>
          <w:b w:val="0"/>
          <w:i w:val="0"/>
          <w:sz w:val="15"/>
        </w:rPr>
        <w:t>-- Collaborative sessions (extensions)</w:t>
      </w:r>
    </w:p>
    <w:p>
      <w:pPr>
        <w:spacing w:after="0" w:before="0" w:line="240" w:lineRule="auto"/>
        <w:ind w:left="57"/>
        <w:jc w:val="left"/>
        <w:shd w:val="clear" w:fill="F2F2F2"/>
      </w:pPr>
      <w:r>
        <w:rPr>
          <w:rFonts w:ascii="Consolas" w:hAnsi="Consolas" w:cs="Consolas"/>
          <w:b w:val="0"/>
          <w:i w:val="0"/>
          <w:sz w:val="15"/>
        </w:rPr>
        <w:t>ALTER TABLE collaborative_sessions ADD COLUMN user_role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collaborative_sessions ADD COLUMN status TEXT DEFAULT 'ACTIVE';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collaborative_sessions ADD COLUMN cursor_position JSONB;</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collaborative_sessions ADD COLUMN last_activity_at TIMESTAMPTZ DEFAULT NOW();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Packing plan versions (history)</w:t>
      </w:r>
    </w:p>
    <w:p>
      <w:pPr>
        <w:spacing w:after="0" w:before="0" w:line="240" w:lineRule="auto"/>
        <w:ind w:left="57"/>
        <w:jc w:val="left"/>
        <w:shd w:val="clear" w:fill="F2F2F2"/>
      </w:pPr>
      <w:r>
        <w:rPr>
          <w:rFonts w:ascii="Consolas" w:hAnsi="Consolas" w:cs="Consolas"/>
          <w:b w:val="0"/>
          <w:i w:val="0"/>
          <w:sz w:val="15"/>
        </w:rPr>
        <w:t>CREATE TABLE packing_plan_versions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version INTEGER NOT NULL,</w:t>
      </w:r>
    </w:p>
    <w:p>
      <w:pPr>
        <w:spacing w:after="0" w:before="0" w:line="240" w:lineRule="auto"/>
        <w:ind w:left="57"/>
        <w:jc w:val="left"/>
        <w:shd w:val="clear" w:fill="F2F2F2"/>
      </w:pPr>
      <w:r>
        <w:rPr>
          <w:rFonts w:ascii="Consolas" w:hAnsi="Consolas" w:cs="Consolas"/>
          <w:b w:val="0"/>
          <w:i w:val="0"/>
          <w:sz w:val="15"/>
        </w:rPr>
        <w:t xml:space="preserve">    snapshot JSONB NOT NULL,</w:t>
      </w:r>
    </w:p>
    <w:p>
      <w:pPr>
        <w:spacing w:after="0" w:before="0" w:line="240" w:lineRule="auto"/>
        <w:ind w:left="57"/>
        <w:jc w:val="left"/>
        <w:shd w:val="clear" w:fill="F2F2F2"/>
      </w:pPr>
      <w:r>
        <w:rPr>
          <w:rFonts w:ascii="Consolas" w:hAnsi="Consolas" w:cs="Consolas"/>
          <w:b w:val="0"/>
          <w:i w:val="0"/>
          <w:sz w:val="15"/>
        </w:rPr>
        <w:t xml:space="preserve">    change_summary TEXT,</w:t>
      </w:r>
    </w:p>
    <w:p>
      <w:pPr>
        <w:spacing w:after="0" w:before="0" w:line="240" w:lineRule="auto"/>
        <w:ind w:left="57"/>
        <w:jc w:val="left"/>
        <w:shd w:val="clear" w:fill="F2F2F2"/>
      </w:pPr>
      <w:r>
        <w:rPr>
          <w:rFonts w:ascii="Consolas" w:hAnsi="Consolas" w:cs="Consolas"/>
          <w:b w:val="0"/>
          <w:i w:val="0"/>
          <w:sz w:val="15"/>
        </w:rPr>
        <w:t xml:space="preserve">    created_by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UNIQUE(packing_plan_id, version)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Change logs (audit trail)</w:t>
      </w:r>
    </w:p>
    <w:p>
      <w:pPr>
        <w:spacing w:after="0" w:before="0" w:line="240" w:lineRule="auto"/>
        <w:ind w:left="57"/>
        <w:jc w:val="left"/>
        <w:shd w:val="clear" w:fill="F2F2F2"/>
      </w:pPr>
      <w:r>
        <w:rPr>
          <w:rFonts w:ascii="Consolas" w:hAnsi="Consolas" w:cs="Consolas"/>
          <w:b w:val="0"/>
          <w:i w:val="0"/>
          <w:sz w:val="15"/>
        </w:rPr>
        <w:t>CREATE TABLE collaborative_change_logs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user_employee_id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user_name TEXT,</w:t>
      </w:r>
    </w:p>
    <w:p>
      <w:pPr>
        <w:spacing w:after="0" w:before="0" w:line="240" w:lineRule="auto"/>
        <w:ind w:left="57"/>
        <w:jc w:val="left"/>
        <w:shd w:val="clear" w:fill="F2F2F2"/>
      </w:pPr>
      <w:r>
        <w:rPr>
          <w:rFonts w:ascii="Consolas" w:hAnsi="Consolas" w:cs="Consolas"/>
          <w:b w:val="0"/>
          <w:i w:val="0"/>
          <w:sz w:val="15"/>
        </w:rPr>
        <w:t xml:space="preserve">    action TEXT NOT NULL,</w:t>
      </w:r>
    </w:p>
    <w:p>
      <w:pPr>
        <w:spacing w:after="0" w:before="0" w:line="240" w:lineRule="auto"/>
        <w:ind w:left="57"/>
        <w:jc w:val="left"/>
        <w:shd w:val="clear" w:fill="F2F2F2"/>
      </w:pPr>
      <w:r>
        <w:rPr>
          <w:rFonts w:ascii="Consolas" w:hAnsi="Consolas" w:cs="Consolas"/>
          <w:b w:val="0"/>
          <w:i w:val="0"/>
          <w:sz w:val="15"/>
        </w:rPr>
        <w:t xml:space="preserve">    field TEXT,</w:t>
      </w:r>
    </w:p>
    <w:p>
      <w:pPr>
        <w:spacing w:after="0" w:before="0" w:line="240" w:lineRule="auto"/>
        <w:ind w:left="57"/>
        <w:jc w:val="left"/>
        <w:shd w:val="clear" w:fill="F2F2F2"/>
      </w:pPr>
      <w:r>
        <w:rPr>
          <w:rFonts w:ascii="Consolas" w:hAnsi="Consolas" w:cs="Consolas"/>
          <w:b w:val="0"/>
          <w:i w:val="0"/>
          <w:sz w:val="15"/>
        </w:rPr>
        <w:t xml:space="preserve">    old_value JSONB,</w:t>
      </w:r>
    </w:p>
    <w:p>
      <w:pPr>
        <w:spacing w:after="0" w:before="0" w:line="240" w:lineRule="auto"/>
        <w:ind w:left="57"/>
        <w:jc w:val="left"/>
        <w:shd w:val="clear" w:fill="F2F2F2"/>
      </w:pPr>
      <w:r>
        <w:rPr>
          <w:rFonts w:ascii="Consolas" w:hAnsi="Consolas" w:cs="Consolas"/>
          <w:b w:val="0"/>
          <w:i w:val="0"/>
          <w:sz w:val="15"/>
        </w:rPr>
        <w:t xml:space="preserve">    new_value JSONB,</w:t>
      </w:r>
    </w:p>
    <w:p>
      <w:pPr>
        <w:spacing w:after="0" w:before="0" w:line="240" w:lineRule="auto"/>
        <w:ind w:left="57"/>
        <w:jc w:val="left"/>
        <w:shd w:val="clear" w:fill="F2F2F2"/>
      </w:pPr>
      <w:r>
        <w:rPr>
          <w:rFonts w:ascii="Consolas" w:hAnsi="Consolas" w:cs="Consolas"/>
          <w:b w:val="0"/>
          <w:i w:val="0"/>
          <w:sz w:val="15"/>
        </w:rPr>
        <w:t xml:space="preserve">    pallet_id UUID REFERENCES pallet_details(id) ON DELETE SET NULL,</w:t>
      </w:r>
    </w:p>
    <w:p>
      <w:pPr>
        <w:spacing w:after="0" w:before="0" w:line="240" w:lineRule="auto"/>
        <w:ind w:left="57"/>
        <w:jc w:val="left"/>
        <w:shd w:val="clear" w:fill="F2F2F2"/>
      </w:pPr>
      <w:r>
        <w:rPr>
          <w:rFonts w:ascii="Consolas" w:hAnsi="Consolas" w:cs="Consolas"/>
          <w:b w:val="0"/>
          <w:i w:val="0"/>
          <w:sz w:val="15"/>
        </w:rPr>
        <w:t xml:space="preserve">    change_timestamp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Offline change queue (for syncing)</w:t>
      </w:r>
    </w:p>
    <w:p>
      <w:pPr>
        <w:spacing w:after="0" w:before="0" w:line="240" w:lineRule="auto"/>
        <w:ind w:left="57"/>
        <w:jc w:val="left"/>
        <w:shd w:val="clear" w:fill="F2F2F2"/>
      </w:pPr>
      <w:r>
        <w:rPr>
          <w:rFonts w:ascii="Consolas" w:hAnsi="Consolas" w:cs="Consolas"/>
          <w:b w:val="0"/>
          <w:i w:val="0"/>
          <w:sz w:val="15"/>
        </w:rPr>
        <w:t>CREATE TABLE offline_change_queue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user_employee_id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change_data JSONB NOT NULL,</w:t>
      </w:r>
    </w:p>
    <w:p>
      <w:pPr>
        <w:spacing w:after="0" w:before="0" w:line="240" w:lineRule="auto"/>
        <w:ind w:left="57"/>
        <w:jc w:val="left"/>
        <w:shd w:val="clear" w:fill="F2F2F2"/>
      </w:pPr>
      <w:r>
        <w:rPr>
          <w:rFonts w:ascii="Consolas" w:hAnsi="Consolas" w:cs="Consolas"/>
          <w:b w:val="0"/>
          <w:i w:val="0"/>
          <w:sz w:val="15"/>
        </w:rPr>
        <w:t xml:space="preserve">    queued_at TIMESTAMPTZ DEFAULT NOW(),</w:t>
      </w:r>
    </w:p>
    <w:p>
      <w:pPr>
        <w:spacing w:after="0" w:before="0" w:line="240" w:lineRule="auto"/>
        <w:ind w:left="57"/>
        <w:jc w:val="left"/>
        <w:shd w:val="clear" w:fill="F2F2F2"/>
      </w:pPr>
      <w:r>
        <w:rPr>
          <w:rFonts w:ascii="Consolas" w:hAnsi="Consolas" w:cs="Consolas"/>
          <w:b w:val="0"/>
          <w:i w:val="0"/>
          <w:sz w:val="15"/>
        </w:rPr>
        <w:t xml:space="preserve">    synced BOOLEAN DEFAULT false,</w:t>
      </w:r>
    </w:p>
    <w:p>
      <w:pPr>
        <w:spacing w:after="0" w:before="0" w:line="240" w:lineRule="auto"/>
        <w:ind w:left="57"/>
        <w:jc w:val="left"/>
        <w:shd w:val="clear" w:fill="F2F2F2"/>
      </w:pPr>
      <w:r>
        <w:rPr>
          <w:rFonts w:ascii="Consolas" w:hAnsi="Consolas" w:cs="Consolas"/>
          <w:b w:val="0"/>
          <w:i w:val="0"/>
          <w:sz w:val="15"/>
        </w:rPr>
        <w:t xml:space="preserve">    synced_at TIMESTAMPTZ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Chat messages</w:t>
      </w:r>
    </w:p>
    <w:p>
      <w:pPr>
        <w:spacing w:after="0" w:before="0" w:line="240" w:lineRule="auto"/>
        <w:ind w:left="57"/>
        <w:jc w:val="left"/>
        <w:shd w:val="clear" w:fill="F2F2F2"/>
      </w:pPr>
      <w:r>
        <w:rPr>
          <w:rFonts w:ascii="Consolas" w:hAnsi="Consolas" w:cs="Consolas"/>
          <w:b w:val="0"/>
          <w:i w:val="0"/>
          <w:sz w:val="15"/>
        </w:rPr>
        <w:t>CREATE TABLE collaborative_chat_messages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user_employee_id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user_name TEXT,</w:t>
      </w:r>
    </w:p>
    <w:p>
      <w:pPr>
        <w:spacing w:after="0" w:before="0" w:line="240" w:lineRule="auto"/>
        <w:ind w:left="57"/>
        <w:jc w:val="left"/>
        <w:shd w:val="clear" w:fill="F2F2F2"/>
      </w:pPr>
      <w:r>
        <w:rPr>
          <w:rFonts w:ascii="Consolas" w:hAnsi="Consolas" w:cs="Consolas"/>
          <w:b w:val="0"/>
          <w:i w:val="0"/>
          <w:sz w:val="15"/>
        </w:rPr>
        <w:t xml:space="preserve">    message TEXT NOT NULL,</w:t>
      </w:r>
    </w:p>
    <w:p>
      <w:pPr>
        <w:spacing w:after="0" w:before="0" w:line="240" w:lineRule="auto"/>
        <w:ind w:left="57"/>
        <w:jc w:val="left"/>
        <w:shd w:val="clear" w:fill="F2F2F2"/>
      </w:pPr>
      <w:r>
        <w:rPr>
          <w:rFonts w:ascii="Consolas" w:hAnsi="Consolas" w:cs="Consolas"/>
          <w:b w:val="0"/>
          <w:i w:val="0"/>
          <w:sz w:val="15"/>
        </w:rPr>
        <w:t xml:space="preserve">    message_translations JSONB, -- { "ar": "...", "de": "..." }</w:t>
      </w:r>
    </w:p>
    <w:p>
      <w:pPr>
        <w:spacing w:after="0" w:before="0" w:line="240" w:lineRule="auto"/>
        <w:ind w:left="57"/>
        <w:jc w:val="left"/>
        <w:shd w:val="clear" w:fill="F2F2F2"/>
      </w:pPr>
      <w:r>
        <w:rPr>
          <w:rFonts w:ascii="Consolas" w:hAnsi="Consolas" w:cs="Consolas"/>
          <w:b w:val="0"/>
          <w:i w:val="0"/>
          <w:sz w:val="15"/>
        </w:rPr>
        <w:t xml:space="preserve">    tagged_to_pallet_id UUID REFERENCES pallet_details(id) ON DELETE SET NULL,</w:t>
      </w:r>
    </w:p>
    <w:p>
      <w:pPr>
        <w:spacing w:after="0" w:before="0" w:line="240" w:lineRule="auto"/>
        <w:ind w:left="57"/>
        <w:jc w:val="left"/>
        <w:shd w:val="clear" w:fill="F2F2F2"/>
      </w:pPr>
      <w:r>
        <w:rPr>
          <w:rFonts w:ascii="Consolas" w:hAnsi="Consolas" w:cs="Consolas"/>
          <w:b w:val="0"/>
          <w:i w:val="0"/>
          <w:sz w:val="15"/>
        </w:rPr>
        <w:t xml:space="preserve">    mentions TEXT[], -- employee IDs</w:t>
      </w:r>
    </w:p>
    <w:p>
      <w:pPr>
        <w:spacing w:after="0" w:before="0" w:line="240" w:lineRule="auto"/>
        <w:ind w:left="57"/>
        <w:jc w:val="left"/>
        <w:shd w:val="clear" w:fill="F2F2F2"/>
      </w:pPr>
      <w:r>
        <w:rPr>
          <w:rFonts w:ascii="Consolas" w:hAnsi="Consolas" w:cs="Consolas"/>
          <w:b w:val="0"/>
          <w:i w:val="0"/>
          <w:sz w:val="15"/>
        </w:rPr>
        <w:t xml:space="preserve">    sent_at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idx_collaborative_sessions_packing_plan ON collaborative_sessions(packing_plan_id);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idx_collaborative_sessions_last_activity ON collaborative_sessions(last_activity_at);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idx_packing_plan_versions_packing_plan ON packing_plan_versions(packing_plan_id);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idx_collaborative_change_logs_packing_plan ON collaborative_change_logs(packing_plan_id);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idx_collaborative_change_logs_timestamp ON collaborative_change_logs(change_timestamp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idx_offline_change_queue_user ON offline_change_queue(user_employee_id);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idx_offline_change_queue_packing_plan ON offline_change_queue(packing_plan_id);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idx_collaborative_chat_messages_packing_plan ON collaborative_chat_messages(packing_plan_id);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idx_collaborative_chat_messages_sent_at ON collaborative_chat_messages(sent_at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8.6.12 Implementation Checklist</w:t>
      </w:r>
    </w:p>
    <w:p>
      <w:pPr>
        <w:spacing w:after="80" w:line="293" w:lineRule="auto"/>
        <w:jc w:val="left"/>
      </w:pPr>
      <w:r>
        <w:rPr>
          <w:rFonts w:ascii="Times New Roman" w:hAnsi="Times New Roman" w:cs="Times New Roman"/>
          <w:b w:val="0"/>
          <w:i w:val="0"/>
          <w:sz w:val="22"/>
        </w:rPr>
        <w:t>Core infrastructure:</w:t>
      </w:r>
    </w:p>
    <w:p>
      <w:pPr>
        <w:spacing w:after="80" w:line="293" w:lineRule="auto"/>
        <w:ind w:left="283"/>
        <w:jc w:val="left"/>
      </w:pPr>
      <w:r>
        <w:rPr>
          <w:rFonts w:ascii="Times New Roman" w:hAnsi="Times New Roman" w:cs="Times New Roman"/>
          <w:b w:val="0"/>
          <w:i w:val="0"/>
          <w:sz w:val="22"/>
        </w:rPr>
        <w:t>- Deploy Yjs (CDN or bundled) in frontend</w:t>
      </w:r>
    </w:p>
    <w:p>
      <w:pPr>
        <w:spacing w:after="80" w:line="293" w:lineRule="auto"/>
        <w:ind w:left="283"/>
        <w:jc w:val="left"/>
      </w:pPr>
      <w:r>
        <w:rPr>
          <w:rFonts w:ascii="Times New Roman" w:hAnsi="Times New Roman" w:cs="Times New Roman"/>
          <w:b w:val="0"/>
          <w:i w:val="0"/>
          <w:sz w:val="22"/>
        </w:rPr>
        <w:t>- Implement Yjs document provider (WebRTC + NATS fallback)</w:t>
      </w:r>
    </w:p>
    <w:p>
      <w:pPr>
        <w:spacing w:after="80" w:line="293" w:lineRule="auto"/>
        <w:ind w:left="283"/>
        <w:jc w:val="left"/>
      </w:pPr>
      <w:r>
        <w:rPr>
          <w:rFonts w:ascii="Times New Roman" w:hAnsi="Times New Roman" w:cs="Times New Roman"/>
          <w:b w:val="0"/>
          <w:i w:val="0"/>
          <w:sz w:val="22"/>
        </w:rPr>
        <w:t>- Implement signalling server (Rust) for WebRTC connection establishment</w:t>
      </w:r>
    </w:p>
    <w:p>
      <w:pPr>
        <w:spacing w:after="80" w:line="293" w:lineRule="auto"/>
        <w:ind w:left="283"/>
        <w:jc w:val="left"/>
      </w:pPr>
      <w:r>
        <w:rPr>
          <w:rFonts w:ascii="Times New Roman" w:hAnsi="Times New Roman" w:cs="Times New Roman"/>
          <w:b w:val="0"/>
          <w:i w:val="0"/>
          <w:sz w:val="22"/>
        </w:rPr>
        <w:t>- Implement document persistence (save snapshots to PostgreSQL)</w:t>
      </w:r>
    </w:p>
    <w:p>
      <w:pPr>
        <w:spacing w:after="80" w:line="293" w:lineRule="auto"/>
        <w:ind w:left="283"/>
        <w:jc w:val="left"/>
      </w:pPr>
      <w:r>
        <w:rPr>
          <w:rFonts w:ascii="Times New Roman" w:hAnsi="Times New Roman" w:cs="Times New Roman"/>
          <w:b w:val="0"/>
          <w:i w:val="0"/>
          <w:sz w:val="22"/>
        </w:rPr>
        <w:t>- Implement document versioning (snapshots at regular intervals)</w:t>
      </w:r>
    </w:p>
    <w:p>
      <w:pPr>
        <w:spacing w:after="80" w:line="293" w:lineRule="auto"/>
        <w:jc w:val="left"/>
      </w:pPr>
      <w:r>
        <w:rPr>
          <w:rFonts w:ascii="Times New Roman" w:hAnsi="Times New Roman" w:cs="Times New Roman"/>
          <w:b w:val="0"/>
          <w:i w:val="0"/>
          <w:sz w:val="22"/>
        </w:rPr>
        <w:t>Permissions &amp; roles:</w:t>
      </w:r>
    </w:p>
    <w:p>
      <w:pPr>
        <w:spacing w:after="80" w:line="293" w:lineRule="auto"/>
        <w:ind w:left="283"/>
        <w:jc w:val="left"/>
      </w:pPr>
      <w:r>
        <w:rPr>
          <w:rFonts w:ascii="Times New Roman" w:hAnsi="Times New Roman" w:cs="Times New Roman"/>
          <w:b w:val="0"/>
          <w:i w:val="0"/>
          <w:sz w:val="22"/>
        </w:rPr>
        <w:t>- Implement OPA policies for collaborative editing</w:t>
      </w:r>
    </w:p>
    <w:p>
      <w:pPr>
        <w:spacing w:after="80" w:line="293" w:lineRule="auto"/>
        <w:ind w:left="283"/>
        <w:jc w:val="left"/>
      </w:pPr>
      <w:r>
        <w:rPr>
          <w:rFonts w:ascii="Times New Roman" w:hAnsi="Times New Roman" w:cs="Times New Roman"/>
          <w:b w:val="0"/>
          <w:i w:val="0"/>
          <w:sz w:val="22"/>
        </w:rPr>
        <w:t>- Implement role-based UI (hide/show fields based on role)</w:t>
      </w:r>
    </w:p>
    <w:p>
      <w:pPr>
        <w:spacing w:after="80" w:line="293" w:lineRule="auto"/>
        <w:ind w:left="283"/>
        <w:jc w:val="left"/>
      </w:pPr>
      <w:r>
        <w:rPr>
          <w:rFonts w:ascii="Times New Roman" w:hAnsi="Times New Roman" w:cs="Times New Roman"/>
          <w:b w:val="0"/>
          <w:i w:val="0"/>
          <w:sz w:val="22"/>
        </w:rPr>
        <w:t>- Implement permission checks on every edit</w:t>
      </w:r>
    </w:p>
    <w:p>
      <w:pPr>
        <w:spacing w:after="80" w:line="293" w:lineRule="auto"/>
        <w:ind w:left="283"/>
        <w:jc w:val="left"/>
      </w:pPr>
      <w:r>
        <w:rPr>
          <w:rFonts w:ascii="Times New Roman" w:hAnsi="Times New Roman" w:cs="Times New Roman"/>
          <w:b w:val="0"/>
          <w:i w:val="0"/>
          <w:sz w:val="22"/>
        </w:rPr>
        <w:t>- Implement permission violation handling (Decision Panel)</w:t>
      </w:r>
    </w:p>
    <w:p>
      <w:pPr>
        <w:spacing w:after="80" w:line="293" w:lineRule="auto"/>
        <w:jc w:val="left"/>
      </w:pPr>
      <w:r>
        <w:rPr>
          <w:rFonts w:ascii="Times New Roman" w:hAnsi="Times New Roman" w:cs="Times New Roman"/>
          <w:b w:val="0"/>
          <w:i w:val="0"/>
          <w:sz w:val="22"/>
        </w:rPr>
        <w:t>Locking:</w:t>
      </w:r>
    </w:p>
    <w:p>
      <w:pPr>
        <w:spacing w:after="80" w:line="293" w:lineRule="auto"/>
        <w:ind w:left="283"/>
        <w:jc w:val="left"/>
      </w:pPr>
      <w:r>
        <w:rPr>
          <w:rFonts w:ascii="Times New Roman" w:hAnsi="Times New Roman" w:cs="Times New Roman"/>
          <w:b w:val="0"/>
          <w:i w:val="0"/>
          <w:sz w:val="22"/>
        </w:rPr>
        <w:t>- Implement lock request endpoint (POST /v1/packing/{id}/lock)</w:t>
      </w:r>
    </w:p>
    <w:p>
      <w:pPr>
        <w:spacing w:after="80" w:line="293" w:lineRule="auto"/>
        <w:ind w:left="283"/>
        <w:jc w:val="left"/>
      </w:pPr>
      <w:r>
        <w:rPr>
          <w:rFonts w:ascii="Times New Roman" w:hAnsi="Times New Roman" w:cs="Times New Roman"/>
          <w:b w:val="0"/>
          <w:i w:val="0"/>
          <w:sz w:val="22"/>
        </w:rPr>
        <w:t>- Implement lock release endpoint (POST /v1/packing/{id}/unlock)</w:t>
      </w:r>
    </w:p>
    <w:p>
      <w:pPr>
        <w:spacing w:after="80" w:line="293" w:lineRule="auto"/>
        <w:ind w:left="283"/>
        <w:jc w:val="left"/>
      </w:pPr>
      <w:r>
        <w:rPr>
          <w:rFonts w:ascii="Times New Roman" w:hAnsi="Times New Roman" w:cs="Times New Roman"/>
          <w:b w:val="0"/>
          <w:i w:val="0"/>
          <w:sz w:val="22"/>
        </w:rPr>
        <w:t>- Implement auto-release after inactivity (cron job)</w:t>
      </w:r>
    </w:p>
    <w:p>
      <w:pPr>
        <w:spacing w:after="80" w:line="293" w:lineRule="auto"/>
        <w:ind w:left="283"/>
        <w:jc w:val="left"/>
      </w:pPr>
      <w:r>
        <w:rPr>
          <w:rFonts w:ascii="Times New Roman" w:hAnsi="Times New Roman" w:cs="Times New Roman"/>
          <w:b w:val="0"/>
          <w:i w:val="0"/>
          <w:sz w:val="22"/>
        </w:rPr>
        <w:t>- Implement lock awareness (visible to all users)</w:t>
      </w:r>
    </w:p>
    <w:p>
      <w:pPr>
        <w:spacing w:after="80" w:line="293" w:lineRule="auto"/>
        <w:ind w:left="283"/>
        <w:jc w:val="left"/>
      </w:pPr>
      <w:r>
        <w:rPr>
          <w:rFonts w:ascii="Times New Roman" w:hAnsi="Times New Roman" w:cs="Times New Roman"/>
          <w:b w:val="0"/>
          <w:i w:val="0"/>
          <w:sz w:val="22"/>
        </w:rPr>
        <w:t>- Implement race condition handling (CONDITIONAL response)</w:t>
      </w:r>
    </w:p>
    <w:p>
      <w:pPr>
        <w:spacing w:after="80" w:line="293" w:lineRule="auto"/>
        <w:jc w:val="left"/>
      </w:pPr>
      <w:r>
        <w:rPr>
          <w:rFonts w:ascii="Times New Roman" w:hAnsi="Times New Roman" w:cs="Times New Roman"/>
          <w:b w:val="0"/>
          <w:i w:val="0"/>
          <w:sz w:val="22"/>
        </w:rPr>
        <w:t>Presence &amp; awareness:</w:t>
      </w:r>
    </w:p>
    <w:p>
      <w:pPr>
        <w:spacing w:after="80" w:line="293" w:lineRule="auto"/>
        <w:ind w:left="283"/>
        <w:jc w:val="left"/>
      </w:pPr>
      <w:r>
        <w:rPr>
          <w:rFonts w:ascii="Times New Roman" w:hAnsi="Times New Roman" w:cs="Times New Roman"/>
          <w:b w:val="0"/>
          <w:i w:val="0"/>
          <w:sz w:val="22"/>
        </w:rPr>
        <w:t>- Implement Yjs awareness (cursors, names, colours)</w:t>
      </w:r>
    </w:p>
    <w:p>
      <w:pPr>
        <w:spacing w:after="80" w:line="293" w:lineRule="auto"/>
        <w:ind w:left="283"/>
        <w:jc w:val="left"/>
      </w:pPr>
      <w:r>
        <w:rPr>
          <w:rFonts w:ascii="Times New Roman" w:hAnsi="Times New Roman" w:cs="Times New Roman"/>
          <w:b w:val="0"/>
          <w:i w:val="0"/>
          <w:sz w:val="22"/>
        </w:rPr>
        <w:t>- Implement user list (active collaborators)</w:t>
      </w:r>
    </w:p>
    <w:p>
      <w:pPr>
        <w:spacing w:after="80" w:line="293" w:lineRule="auto"/>
        <w:ind w:left="283"/>
        <w:jc w:val="left"/>
      </w:pPr>
      <w:r>
        <w:rPr>
          <w:rFonts w:ascii="Times New Roman" w:hAnsi="Times New Roman" w:cs="Times New Roman"/>
          <w:b w:val="0"/>
          <w:i w:val="0"/>
          <w:sz w:val="22"/>
        </w:rPr>
        <w:t>- Implement colour selection (deterministic per user)</w:t>
      </w:r>
    </w:p>
    <w:p>
      <w:pPr>
        <w:spacing w:after="80" w:line="293" w:lineRule="auto"/>
        <w:ind w:left="283"/>
        <w:jc w:val="left"/>
      </w:pPr>
      <w:r>
        <w:rPr>
          <w:rFonts w:ascii="Times New Roman" w:hAnsi="Times New Roman" w:cs="Times New Roman"/>
          <w:b w:val="0"/>
          <w:i w:val="0"/>
          <w:sz w:val="22"/>
        </w:rPr>
        <w:t>- Implement heartbeat (keep session alive)</w:t>
      </w:r>
    </w:p>
    <w:p>
      <w:pPr>
        <w:spacing w:after="80" w:line="293" w:lineRule="auto"/>
        <w:jc w:val="left"/>
      </w:pPr>
      <w:r>
        <w:rPr>
          <w:rFonts w:ascii="Times New Roman" w:hAnsi="Times New Roman" w:cs="Times New Roman"/>
          <w:b w:val="0"/>
          <w:i w:val="0"/>
          <w:sz w:val="22"/>
        </w:rPr>
        <w:t>Chat:</w:t>
      </w:r>
    </w:p>
    <w:p>
      <w:pPr>
        <w:spacing w:after="80" w:line="293" w:lineRule="auto"/>
        <w:ind w:left="283"/>
        <w:jc w:val="left"/>
      </w:pPr>
      <w:r>
        <w:rPr>
          <w:rFonts w:ascii="Times New Roman" w:hAnsi="Times New Roman" w:cs="Times New Roman"/>
          <w:b w:val="0"/>
          <w:i w:val="0"/>
          <w:sz w:val="22"/>
        </w:rPr>
        <w:t>- Implement NATS WebSocket chat</w:t>
      </w:r>
    </w:p>
    <w:p>
      <w:pPr>
        <w:spacing w:after="80" w:line="293" w:lineRule="auto"/>
        <w:ind w:left="283"/>
        <w:jc w:val="left"/>
      </w:pPr>
      <w:r>
        <w:rPr>
          <w:rFonts w:ascii="Times New Roman" w:hAnsi="Times New Roman" w:cs="Times New Roman"/>
          <w:b w:val="0"/>
          <w:i w:val="0"/>
          <w:sz w:val="22"/>
        </w:rPr>
        <w:t>- Implement message tagging (to pallets)</w:t>
      </w:r>
    </w:p>
    <w:p>
      <w:pPr>
        <w:spacing w:after="80" w:line="293" w:lineRule="auto"/>
        <w:ind w:left="283"/>
        <w:jc w:val="left"/>
      </w:pPr>
      <w:r>
        <w:rPr>
          <w:rFonts w:ascii="Times New Roman" w:hAnsi="Times New Roman" w:cs="Times New Roman"/>
          <w:b w:val="0"/>
          <w:i w:val="0"/>
          <w:sz w:val="22"/>
        </w:rPr>
        <w:t>- Implement mentions (@username)</w:t>
      </w:r>
    </w:p>
    <w:p>
      <w:pPr>
        <w:spacing w:after="80" w:line="293" w:lineRule="auto"/>
        <w:ind w:left="283"/>
        <w:jc w:val="left"/>
      </w:pPr>
      <w:r>
        <w:rPr>
          <w:rFonts w:ascii="Times New Roman" w:hAnsi="Times New Roman" w:cs="Times New Roman"/>
          <w:b w:val="0"/>
          <w:i w:val="0"/>
          <w:sz w:val="22"/>
        </w:rPr>
        <w:t>- Implement translation (Groq, A1)</w:t>
      </w:r>
    </w:p>
    <w:p>
      <w:pPr>
        <w:spacing w:after="80" w:line="293" w:lineRule="auto"/>
        <w:ind w:left="283"/>
        <w:jc w:val="left"/>
      </w:pPr>
      <w:r>
        <w:rPr>
          <w:rFonts w:ascii="Times New Roman" w:hAnsi="Times New Roman" w:cs="Times New Roman"/>
          <w:b w:val="0"/>
          <w:i w:val="0"/>
          <w:sz w:val="22"/>
        </w:rPr>
        <w:t>- Implement chat history storage</w:t>
      </w:r>
    </w:p>
    <w:p>
      <w:pPr>
        <w:spacing w:after="80" w:line="293" w:lineRule="auto"/>
        <w:jc w:val="left"/>
      </w:pPr>
      <w:r>
        <w:rPr>
          <w:rFonts w:ascii="Times New Roman" w:hAnsi="Times New Roman" w:cs="Times New Roman"/>
          <w:b w:val="0"/>
          <w:i w:val="0"/>
          <w:sz w:val="22"/>
        </w:rPr>
        <w:t>Offline support:</w:t>
      </w:r>
    </w:p>
    <w:p>
      <w:pPr>
        <w:spacing w:after="80" w:line="293" w:lineRule="auto"/>
        <w:ind w:left="283"/>
        <w:jc w:val="left"/>
      </w:pPr>
      <w:r>
        <w:rPr>
          <w:rFonts w:ascii="Times New Roman" w:hAnsi="Times New Roman" w:cs="Times New Roman"/>
          <w:b w:val="0"/>
          <w:i w:val="0"/>
          <w:sz w:val="22"/>
        </w:rPr>
        <w:t>- Implement offline change queue (IndexedDB)</w:t>
      </w:r>
    </w:p>
    <w:p>
      <w:pPr>
        <w:spacing w:after="80" w:line="293" w:lineRule="auto"/>
        <w:ind w:left="283"/>
        <w:jc w:val="left"/>
      </w:pPr>
      <w:r>
        <w:rPr>
          <w:rFonts w:ascii="Times New Roman" w:hAnsi="Times New Roman" w:cs="Times New Roman"/>
          <w:b w:val="0"/>
          <w:i w:val="0"/>
          <w:sz w:val="22"/>
        </w:rPr>
        <w:t>- Implement sync on reconnect</w:t>
      </w:r>
    </w:p>
    <w:p>
      <w:pPr>
        <w:spacing w:after="80" w:line="293" w:lineRule="auto"/>
        <w:ind w:left="283"/>
        <w:jc w:val="left"/>
      </w:pPr>
      <w:r>
        <w:rPr>
          <w:rFonts w:ascii="Times New Roman" w:hAnsi="Times New Roman" w:cs="Times New Roman"/>
          <w:b w:val="0"/>
          <w:i w:val="0"/>
          <w:sz w:val="22"/>
        </w:rPr>
        <w:t>- Implement conflict resolution (CRDT)</w:t>
      </w:r>
    </w:p>
    <w:p>
      <w:pPr>
        <w:spacing w:after="80" w:line="293" w:lineRule="auto"/>
        <w:ind w:left="283"/>
        <w:jc w:val="left"/>
      </w:pPr>
      <w:r>
        <w:rPr>
          <w:rFonts w:ascii="Times New Roman" w:hAnsi="Times New Roman" w:cs="Times New Roman"/>
          <w:b w:val="0"/>
          <w:i w:val="0"/>
          <w:sz w:val="22"/>
        </w:rPr>
        <w:t>- Implement offline status indicator</w:t>
      </w:r>
    </w:p>
    <w:p>
      <w:pPr>
        <w:spacing w:after="80" w:line="293" w:lineRule="auto"/>
        <w:jc w:val="left"/>
      </w:pPr>
      <w:r>
        <w:rPr>
          <w:rFonts w:ascii="Times New Roman" w:hAnsi="Times New Roman" w:cs="Times New Roman"/>
          <w:b w:val="0"/>
          <w:i w:val="0"/>
          <w:sz w:val="22"/>
        </w:rPr>
        <w:t>Audit &amp; versioning:</w:t>
      </w:r>
    </w:p>
    <w:p>
      <w:pPr>
        <w:spacing w:after="80" w:line="293" w:lineRule="auto"/>
        <w:ind w:left="283"/>
        <w:jc w:val="left"/>
      </w:pPr>
      <w:r>
        <w:rPr>
          <w:rFonts w:ascii="Times New Roman" w:hAnsi="Times New Roman" w:cs="Times New Roman"/>
          <w:b w:val="0"/>
          <w:i w:val="0"/>
          <w:sz w:val="22"/>
        </w:rPr>
        <w:t>- Implement change logging (per edit)</w:t>
      </w:r>
    </w:p>
    <w:p>
      <w:pPr>
        <w:spacing w:after="80" w:line="293" w:lineRule="auto"/>
        <w:ind w:left="283"/>
        <w:jc w:val="left"/>
      </w:pPr>
      <w:r>
        <w:rPr>
          <w:rFonts w:ascii="Times New Roman" w:hAnsi="Times New Roman" w:cs="Times New Roman"/>
          <w:b w:val="0"/>
          <w:i w:val="0"/>
          <w:sz w:val="22"/>
        </w:rPr>
        <w:t>- Implement Loom hashing of changes</w:t>
      </w:r>
    </w:p>
    <w:p>
      <w:pPr>
        <w:spacing w:after="80" w:line="293" w:lineRule="auto"/>
        <w:ind w:left="283"/>
        <w:jc w:val="left"/>
      </w:pPr>
      <w:r>
        <w:rPr>
          <w:rFonts w:ascii="Times New Roman" w:hAnsi="Times New Roman" w:cs="Times New Roman"/>
          <w:b w:val="0"/>
          <w:i w:val="0"/>
          <w:sz w:val="22"/>
        </w:rPr>
        <w:t>- Implement version history UI</w:t>
      </w:r>
    </w:p>
    <w:p>
      <w:pPr>
        <w:spacing w:after="80" w:line="293" w:lineRule="auto"/>
        <w:ind w:left="283"/>
        <w:jc w:val="left"/>
      </w:pPr>
      <w:r>
        <w:rPr>
          <w:rFonts w:ascii="Times New Roman" w:hAnsi="Times New Roman" w:cs="Times New Roman"/>
          <w:b w:val="0"/>
          <w:i w:val="0"/>
          <w:sz w:val="22"/>
        </w:rPr>
        <w:t>- Implement version restore functionality</w:t>
      </w:r>
    </w:p>
    <w:p>
      <w:pPr>
        <w:spacing w:after="80" w:line="293" w:lineRule="auto"/>
        <w:ind w:left="283"/>
        <w:jc w:val="left"/>
      </w:pPr>
      <w:r>
        <w:rPr>
          <w:rFonts w:ascii="Times New Roman" w:hAnsi="Times New Roman" w:cs="Times New Roman"/>
          <w:b w:val="0"/>
          <w:i w:val="0"/>
          <w:sz w:val="22"/>
        </w:rPr>
        <w:t>- Implement diff view</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CRDT merge logic; OPA permission enforcement; lock logic</w:t>
      </w:r>
    </w:p>
    <w:p>
      <w:pPr>
        <w:spacing w:after="80" w:line="293" w:lineRule="auto"/>
        <w:ind w:left="283"/>
        <w:jc w:val="left"/>
      </w:pPr>
      <w:r>
        <w:rPr>
          <w:rFonts w:ascii="Times New Roman" w:hAnsi="Times New Roman" w:cs="Times New Roman"/>
          <w:b w:val="0"/>
          <w:i w:val="0"/>
          <w:sz w:val="22"/>
        </w:rPr>
        <w:t>- Integration tests: multiple users editing simultaneously; offline → reconnect → sync; versioning and restore</w:t>
      </w:r>
    </w:p>
    <w:p>
      <w:pPr>
        <w:spacing w:after="80" w:line="293" w:lineRule="auto"/>
        <w:ind w:left="283"/>
        <w:jc w:val="left"/>
      </w:pPr>
      <w:r>
        <w:rPr>
          <w:rFonts w:ascii="Times New Roman" w:hAnsi="Times New Roman" w:cs="Times New Roman"/>
          <w:b w:val="0"/>
          <w:i w:val="0"/>
          <w:sz w:val="22"/>
        </w:rPr>
        <w:t>- End-to-end tests: full collaborative editing workflow</w:t>
      </w:r>
    </w:p>
    <w:p>
      <w:pPr>
        <w:keepNext/>
        <w:spacing w:before="180" w:after="80"/>
        <w:outlineLvl w:val="2"/>
      </w:pPr>
      <w:r>
        <w:rPr>
          <w:rFonts w:ascii="Arial" w:hAnsi="Arial" w:cs="Arial"/>
          <w:b/>
          <w:i w:val="0"/>
          <w:color w:val="333333"/>
          <w:sz w:val="23"/>
        </w:rPr>
        <w:t>8.6.13 AI Authority Summary</w:t>
      </w:r>
    </w:p>
    <w:p>
      <w:pPr>
        <w:spacing w:after="80" w:line="293" w:lineRule="auto"/>
        <w:jc w:val="left"/>
      </w:pPr>
      <w:r>
        <w:rPr>
          <w:rFonts w:ascii="Times New Roman" w:hAnsi="Times New Roman" w:cs="Times New Roman"/>
          <w:b w:val="0"/>
          <w:i w:val="0"/>
          <w:sz w:val="22"/>
        </w:rPr>
        <w:t>A1 (Groq) provides chat translation and optional summarisation of editing activity. A4 (OPA + WasmEdge) enforces permissions on every edit and lock preconditions. CRDT merge is deterministic and not AI-influenced. AI never edits the packing plan, never resolves merge conflicts (the CRDT does), and never locks a plan.</w:t>
      </w:r>
    </w:p>
    <w:p>
      <w:pPr>
        <w:keepNext/>
        <w:spacing w:before="240" w:after="100"/>
        <w:outlineLvl w:val="1"/>
      </w:pPr>
      <w:r>
        <w:rPr>
          <w:rFonts w:ascii="Arial" w:hAnsi="Arial" w:cs="Arial"/>
          <w:b/>
          <w:i w:val="0"/>
          <w:color w:val="2E528F"/>
          <w:sz w:val="26"/>
        </w:rPr>
        <w:t>8.7 3D Container Viewer &amp; Capacity Heatmap</w:t>
      </w:r>
    </w:p>
    <w:p>
      <w:pPr>
        <w:keepNext/>
        <w:spacing w:before="180" w:after="80"/>
        <w:outlineLvl w:val="2"/>
      </w:pPr>
      <w:r>
        <w:rPr>
          <w:rFonts w:ascii="Arial" w:hAnsi="Arial" w:cs="Arial"/>
          <w:b/>
          <w:i w:val="0"/>
          <w:color w:val="333333"/>
          <w:sz w:val="23"/>
        </w:rPr>
        <w:t>8.7.1 Purpose &amp; Design Philosophy</w:t>
      </w:r>
    </w:p>
    <w:p>
      <w:pPr>
        <w:spacing w:after="80" w:line="293" w:lineRule="auto"/>
        <w:jc w:val="left"/>
      </w:pPr>
      <w:r>
        <w:rPr>
          <w:rFonts w:ascii="Times New Roman" w:hAnsi="Times New Roman" w:cs="Times New Roman"/>
          <w:b w:val="0"/>
          <w:i w:val="0"/>
          <w:sz w:val="22"/>
        </w:rPr>
        <w:t>The 3D Container Viewer &amp; Capacity Heatmap module transforms the abstract palletisation data into an interactive, visual loading plan that warehouse staff, logistics coordinators, and trade managers can use to validate, optimise, and execute the physical loading of containers, ULDs, wagons, or trailers. The 3D viewer provides an intuitive, spatial understanding of the loading plan, while the capacity heatmap offers data-driven insights into historical loading density to optimise future shipments.</w:t>
      </w:r>
    </w:p>
    <w:p>
      <w:pPr>
        <w:spacing w:after="80" w:line="293" w:lineRule="auto"/>
        <w:jc w:val="left"/>
      </w:pPr>
      <w:r>
        <w:rPr>
          <w:rFonts w:ascii="Times New Roman" w:hAnsi="Times New Roman" w:cs="Times New Roman"/>
          <w:b w:val="0"/>
          <w:i w:val="0"/>
          <w:sz w:val="22"/>
        </w:rPr>
        <w:t>Key principles: Interactive visualisation — users can rotate, zoom, and pan to inspect the loading plan from any angle. Pallet-level detail — clicking any pallet reveals SSCC, product, weight, lot number, treatment status, and layer breakdown (for non-uniform stacks). Transport mode-aware — renders ocean containers, air ULDs, rail wagons, and truck trailers with accurate dimensions and visual representation. Capacity heatmap — opt-in, differentially private overlay showing historical loading density for the same commodity and route. Export capabilities — export as STL (3D model), PNG (screenshot), or PDF (report). Collaborative integration — the 3D viewer updates in real-time as collaborators edit the packing plan. Non-marketplace — never suggests alternative counterparties or service providers; purely visual and analytical.</w:t>
      </w:r>
    </w:p>
    <w:p>
      <w:pPr>
        <w:keepNext/>
        <w:spacing w:before="180" w:after="80"/>
        <w:outlineLvl w:val="2"/>
      </w:pPr>
      <w:r>
        <w:rPr>
          <w:rFonts w:ascii="Arial" w:hAnsi="Arial" w:cs="Arial"/>
          <w:b/>
          <w:i w:val="0"/>
          <w:color w:val="333333"/>
          <w:sz w:val="23"/>
        </w:rPr>
        <w:t>8.7.2 Technology Stack</w:t>
      </w:r>
    </w:p>
    <w:p>
      <w:pPr>
        <w:spacing w:after="80" w:line="293" w:lineRule="auto"/>
        <w:jc w:val="left"/>
      </w:pPr>
      <w:r>
        <w:rPr>
          <w:rFonts w:ascii="Times New Roman" w:hAnsi="Times New Roman" w:cs="Times New Roman"/>
          <w:b w:val="0"/>
          <w:i w:val="0"/>
          <w:sz w:val="22"/>
        </w:rPr>
        <w:t>Rendering: Three.js (WebGL) with OrbitControls. Heatmap: Canvas overlay on the 3D view with OpenDP differential privacy. Export: Three.js STL exporter, canvas screenshot (PNG), report generation (PDF), loading plan data (JSON).</w:t>
      </w:r>
    </w:p>
    <w:p>
      <w:pPr>
        <w:keepNext/>
        <w:spacing w:before="180" w:after="80"/>
        <w:outlineLvl w:val="2"/>
      </w:pPr>
      <w:r>
        <w:rPr>
          <w:rFonts w:ascii="Arial" w:hAnsi="Arial" w:cs="Arial"/>
          <w:b/>
          <w:i w:val="0"/>
          <w:color w:val="333333"/>
          <w:sz w:val="23"/>
        </w:rPr>
        <w:t>8.7.3 Core 3D Viewer Features</w:t>
      </w:r>
    </w:p>
    <w:p>
      <w:pPr>
        <w:keepNext/>
        <w:spacing w:before="140" w:after="60"/>
        <w:outlineLvl w:val="3"/>
      </w:pPr>
      <w:r>
        <w:rPr>
          <w:rFonts w:ascii="Arial" w:hAnsi="Arial" w:cs="Arial"/>
          <w:b/>
          <w:i/>
          <w:color w:val="333333"/>
          <w:sz w:val="22"/>
        </w:rPr>
        <w:t>8.7.3.1 Interaction Controls</w:t>
      </w:r>
    </w:p>
    <w:p>
      <w:pPr>
        <w:spacing w:after="80" w:line="293" w:lineRule="auto"/>
        <w:jc w:val="left"/>
      </w:pPr>
      <w:r>
        <w:rPr>
          <w:rFonts w:ascii="Times New Roman" w:hAnsi="Times New Roman" w:cs="Times New Roman"/>
          <w:b w:val="0"/>
          <w:i w:val="0"/>
          <w:sz w:val="22"/>
        </w:rPr>
        <w:t>Rotate, zoom, pan — full 3D interaction. Auto-rotate toggle, reset view, full screen, and export controls. View modes: 3D, Top, Side, Front, Section.</w:t>
      </w:r>
    </w:p>
    <w:p>
      <w:pPr>
        <w:spacing w:after="0" w:before="0" w:line="240" w:lineRule="auto"/>
        <w:ind w:left="57"/>
        <w:jc w:val="left"/>
        <w:shd w:val="clear" w:fill="F2F2F2"/>
      </w:pPr>
      <w:r>
        <w:rPr>
          <w:rFonts w:ascii="Consolas" w:hAnsi="Consolas" w:cs="Consolas"/>
          <w:b w:val="0"/>
          <w:i w:val="0"/>
          <w:sz w:val="15"/>
        </w:rPr>
        <w:t>VIEW CONTROLS</w:t>
      </w:r>
    </w:p>
    <w:p>
      <w:pPr>
        <w:spacing w:after="0" w:before="0" w:line="240" w:lineRule="auto"/>
        <w:ind w:left="57"/>
        <w:jc w:val="left"/>
        <w:shd w:val="clear" w:fill="F2F2F2"/>
      </w:pPr>
      <w:r>
        <w:rPr>
          <w:rFonts w:ascii="Consolas" w:hAnsi="Consolas" w:cs="Consolas"/>
          <w:b w:val="0"/>
          <w:i w:val="0"/>
          <w:sz w:val="15"/>
        </w:rPr>
        <w:t xml:space="preserve">  [3D] [Top] [Side] [Front] [Section]</w:t>
      </w:r>
    </w:p>
    <w:p>
      <w:pPr>
        <w:spacing w:after="0" w:before="0" w:line="240" w:lineRule="auto"/>
        <w:ind w:left="57"/>
        <w:jc w:val="left"/>
        <w:shd w:val="clear" w:fill="F2F2F2"/>
      </w:pPr>
      <w:r>
        <w:rPr>
          <w:rFonts w:ascii="Consolas" w:hAnsi="Consolas" w:cs="Consolas"/>
          <w:b w:val="0"/>
          <w:i w:val="0"/>
          <w:sz w:val="15"/>
        </w:rPr>
        <w:t xml:space="preserve">  [Auto-Rotate] [Reset View] [Full Screen] [Export]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8.7.3.2 Pallet Interaction</w:t>
      </w:r>
    </w:p>
    <w:p>
      <w:pPr>
        <w:spacing w:after="80" w:line="293" w:lineRule="auto"/>
        <w:jc w:val="left"/>
      </w:pPr>
      <w:r>
        <w:rPr>
          <w:rFonts w:ascii="Times New Roman" w:hAnsi="Times New Roman" w:cs="Times New Roman"/>
          <w:b w:val="0"/>
          <w:i w:val="0"/>
          <w:sz w:val="22"/>
        </w:rPr>
        <w:t>Clicking any pallet opens a detail panel:</w:t>
      </w:r>
    </w:p>
    <w:p>
      <w:pPr>
        <w:spacing w:after="0" w:before="0" w:line="240" w:lineRule="auto"/>
        <w:ind w:left="57"/>
        <w:jc w:val="left"/>
        <w:shd w:val="clear" w:fill="F2F2F2"/>
      </w:pPr>
      <w:r>
        <w:rPr>
          <w:rFonts w:ascii="Consolas" w:hAnsi="Consolas" w:cs="Consolas"/>
          <w:b w:val="0"/>
          <w:i w:val="0"/>
          <w:sz w:val="15"/>
        </w:rPr>
        <w:t>PALLET DETAILS — OR-005</w:t>
      </w:r>
    </w:p>
    <w:p>
      <w:pPr>
        <w:spacing w:after="0" w:before="0" w:line="240" w:lineRule="auto"/>
        <w:ind w:left="57"/>
        <w:jc w:val="left"/>
        <w:shd w:val="clear" w:fill="F2F2F2"/>
      </w:pPr>
      <w:r>
        <w:rPr>
          <w:rFonts w:ascii="Consolas" w:hAnsi="Consolas" w:cs="Consolas"/>
          <w:b w:val="0"/>
          <w:i w:val="0"/>
          <w:sz w:val="15"/>
        </w:rPr>
        <w:t xml:space="preserve">  SSCC: 106141411234567890</w:t>
      </w:r>
    </w:p>
    <w:p>
      <w:pPr>
        <w:spacing w:after="0" w:before="0" w:line="240" w:lineRule="auto"/>
        <w:ind w:left="57"/>
        <w:jc w:val="left"/>
        <w:shd w:val="clear" w:fill="F2F2F2"/>
      </w:pPr>
      <w:r>
        <w:rPr>
          <w:rFonts w:ascii="Consolas" w:hAnsi="Consolas" w:cs="Consolas"/>
          <w:b w:val="0"/>
          <w:i w:val="0"/>
          <w:sz w:val="15"/>
        </w:rPr>
        <w:t xml:space="preserve">  Product: Fresh Oranges</w:t>
      </w:r>
    </w:p>
    <w:p>
      <w:pPr>
        <w:spacing w:after="0" w:before="0" w:line="240" w:lineRule="auto"/>
        <w:ind w:left="57"/>
        <w:jc w:val="left"/>
        <w:shd w:val="clear" w:fill="F2F2F2"/>
      </w:pPr>
      <w:r>
        <w:rPr>
          <w:rFonts w:ascii="Consolas" w:hAnsi="Consolas" w:cs="Consolas"/>
          <w:b w:val="0"/>
          <w:i w:val="0"/>
          <w:sz w:val="15"/>
        </w:rPr>
        <w:t xml:space="preserve">  HS Code: 0805.10</w:t>
      </w:r>
    </w:p>
    <w:p>
      <w:pPr>
        <w:spacing w:after="0" w:before="0" w:line="240" w:lineRule="auto"/>
        <w:ind w:left="57"/>
        <w:jc w:val="left"/>
        <w:shd w:val="clear" w:fill="F2F2F2"/>
      </w:pPr>
      <w:r>
        <w:rPr>
          <w:rFonts w:ascii="Consolas" w:hAnsi="Consolas" w:cs="Consolas"/>
          <w:b w:val="0"/>
          <w:i w:val="0"/>
          <w:sz w:val="15"/>
        </w:rPr>
        <w:t xml:space="preserve">  Lot: OR-2026-0412</w:t>
      </w:r>
    </w:p>
    <w:p>
      <w:pPr>
        <w:spacing w:after="0" w:before="0" w:line="240" w:lineRule="auto"/>
        <w:ind w:left="57"/>
        <w:jc w:val="left"/>
        <w:shd w:val="clear" w:fill="F2F2F2"/>
      </w:pPr>
      <w:r>
        <w:rPr>
          <w:rFonts w:ascii="Consolas" w:hAnsi="Consolas" w:cs="Consolas"/>
          <w:b w:val="0"/>
          <w:i w:val="0"/>
          <w:sz w:val="15"/>
        </w:rPr>
        <w:t xml:space="preserve">  Net Weight: 1,110 kg</w:t>
      </w:r>
    </w:p>
    <w:p>
      <w:pPr>
        <w:spacing w:after="0" w:before="0" w:line="240" w:lineRule="auto"/>
        <w:ind w:left="57"/>
        <w:jc w:val="left"/>
        <w:shd w:val="clear" w:fill="F2F2F2"/>
      </w:pPr>
      <w:r>
        <w:rPr>
          <w:rFonts w:ascii="Consolas" w:hAnsi="Consolas" w:cs="Consolas"/>
          <w:b w:val="0"/>
          <w:i w:val="0"/>
          <w:sz w:val="15"/>
        </w:rPr>
        <w:t xml:space="preserve">  Gross Weight: 1,165 kg</w:t>
      </w:r>
    </w:p>
    <w:p>
      <w:pPr>
        <w:spacing w:after="0" w:before="0" w:line="240" w:lineRule="auto"/>
        <w:ind w:left="57"/>
        <w:jc w:val="left"/>
        <w:shd w:val="clear" w:fill="F2F2F2"/>
      </w:pPr>
      <w:r>
        <w:rPr>
          <w:rFonts w:ascii="Consolas" w:hAnsi="Consolas" w:cs="Consolas"/>
          <w:b w:val="0"/>
          <w:i w:val="0"/>
          <w:sz w:val="15"/>
        </w:rPr>
        <w:t xml:space="preserve">  Cartons: 111 (11×10 + 1×1)</w:t>
      </w:r>
    </w:p>
    <w:p>
      <w:pPr>
        <w:spacing w:after="0" w:before="0" w:line="240" w:lineRule="auto"/>
        <w:ind w:left="57"/>
        <w:jc w:val="left"/>
        <w:shd w:val="clear" w:fill="F2F2F2"/>
      </w:pPr>
      <w:r>
        <w:rPr>
          <w:rFonts w:ascii="Consolas" w:hAnsi="Consolas" w:cs="Consolas"/>
          <w:b w:val="0"/>
          <w:i w:val="0"/>
          <w:sz w:val="15"/>
        </w:rPr>
        <w:t xml:space="preserve">  Status: Planned</w:t>
      </w:r>
    </w:p>
    <w:p>
      <w:pPr>
        <w:spacing w:after="0" w:before="0" w:line="240" w:lineRule="auto"/>
        <w:ind w:left="57"/>
        <w:jc w:val="left"/>
        <w:shd w:val="clear" w:fill="F2F2F2"/>
      </w:pPr>
      <w:r>
        <w:rPr>
          <w:rFonts w:ascii="Consolas" w:hAnsi="Consolas" w:cs="Consolas"/>
          <w:b w:val="0"/>
          <w:i w:val="0"/>
          <w:sz w:val="15"/>
        </w:rPr>
        <w:t xml:space="preserve">  Cold Treatment: Completed (CT-20260415-001)</w:t>
      </w:r>
    </w:p>
    <w:p>
      <w:pPr>
        <w:spacing w:after="0" w:before="0" w:line="240" w:lineRule="auto"/>
        <w:ind w:left="57"/>
        <w:jc w:val="left"/>
        <w:shd w:val="clear" w:fill="F2F2F2"/>
      </w:pPr>
      <w:r>
        <w:rPr>
          <w:rFonts w:ascii="Consolas" w:hAnsi="Consolas" w:cs="Consolas"/>
          <w:b w:val="0"/>
          <w:i w:val="0"/>
          <w:sz w:val="15"/>
        </w:rPr>
        <w:t xml:space="preserve">  Position: (1,200 mm, 2,400 mm, 0 mm)</w:t>
      </w:r>
    </w:p>
    <w:p>
      <w:pPr>
        <w:spacing w:after="0" w:before="0" w:line="240" w:lineRule="auto"/>
        <w:ind w:left="57"/>
        <w:jc w:val="left"/>
        <w:shd w:val="clear" w:fill="F2F2F2"/>
      </w:pPr>
      <w:r>
        <w:rPr>
          <w:rFonts w:ascii="Consolas" w:hAnsi="Consolas" w:cs="Consolas"/>
          <w:b w:val="0"/>
          <w:i w:val="0"/>
          <w:sz w:val="15"/>
        </w:rPr>
        <w:t xml:space="preserve">  Layer Breakdown:</w:t>
      </w:r>
    </w:p>
    <w:p>
      <w:pPr>
        <w:spacing w:after="0" w:before="0" w:line="240" w:lineRule="auto"/>
        <w:ind w:left="57"/>
        <w:jc w:val="left"/>
        <w:shd w:val="clear" w:fill="F2F2F2"/>
      </w:pPr>
      <w:r>
        <w:rPr>
          <w:rFonts w:ascii="Consolas" w:hAnsi="Consolas" w:cs="Consolas"/>
          <w:b w:val="0"/>
          <w:i w:val="0"/>
          <w:sz w:val="15"/>
        </w:rPr>
        <w:t xml:space="preserve">    11 layers × 10 cartons (Standard)</w:t>
      </w:r>
    </w:p>
    <w:p>
      <w:pPr>
        <w:spacing w:after="0" w:before="0" w:line="240" w:lineRule="auto"/>
        <w:ind w:left="57"/>
        <w:jc w:val="left"/>
        <w:shd w:val="clear" w:fill="F2F2F2"/>
      </w:pPr>
      <w:r>
        <w:rPr>
          <w:rFonts w:ascii="Consolas" w:hAnsi="Consolas" w:cs="Consolas"/>
          <w:b w:val="0"/>
          <w:i w:val="0"/>
          <w:sz w:val="15"/>
        </w:rPr>
        <w:t xml:space="preserve">    1 layer × 1 carton (Centered)</w:t>
      </w:r>
    </w:p>
    <w:p>
      <w:pPr>
        <w:spacing w:after="0" w:before="0" w:line="240" w:lineRule="auto"/>
        <w:ind w:left="57"/>
        <w:jc w:val="left"/>
        <w:shd w:val="clear" w:fill="F2F2F2"/>
      </w:pPr>
      <w:r>
        <w:rPr>
          <w:rFonts w:ascii="Consolas" w:hAnsi="Consolas" w:cs="Consolas"/>
          <w:b w:val="0"/>
          <w:i w:val="0"/>
          <w:sz w:val="15"/>
        </w:rPr>
        <w:t xml:space="preserve">  [Move] [Edit] [Remove] [View in 2D]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Additional features: toggle layers (hide/show pallet top, side walls, row labels); transport mode-specific visualisation (container, ULD, wagon, or trailer rendering); reefer units rendered with refrigeration unit geometry.</w:t>
      </w:r>
    </w:p>
    <w:p>
      <w:pPr>
        <w:keepNext/>
        <w:spacing w:before="180" w:after="80"/>
        <w:outlineLvl w:val="2"/>
      </w:pPr>
      <w:r>
        <w:rPr>
          <w:rFonts w:ascii="Arial" w:hAnsi="Arial" w:cs="Arial"/>
          <w:b/>
          <w:i w:val="0"/>
          <w:color w:val="333333"/>
          <w:sz w:val="23"/>
        </w:rPr>
        <w:t>8.7.4 Transport Mode-Specific Rendering</w:t>
      </w:r>
    </w:p>
    <w:p>
      <w:pPr>
        <w:keepNext/>
        <w:spacing w:before="140" w:after="60"/>
        <w:outlineLvl w:val="3"/>
      </w:pPr>
      <w:r>
        <w:rPr>
          <w:rFonts w:ascii="Arial" w:hAnsi="Arial" w:cs="Arial"/>
          <w:b/>
          <w:i/>
          <w:color w:val="333333"/>
          <w:sz w:val="22"/>
        </w:rPr>
        <w:t>8.7.4.1 Ocean — Container Rendering</w:t>
      </w:r>
    </w:p>
    <w:p>
      <w:pPr>
        <w:spacing w:after="80" w:line="293" w:lineRule="auto"/>
        <w:jc w:val="left"/>
      </w:pPr>
      <w:r>
        <w:rPr>
          <w:rFonts w:ascii="Times New Roman" w:hAnsi="Times New Roman" w:cs="Times New Roman"/>
          <w:b w:val="0"/>
          <w:i w:val="0"/>
          <w:sz w:val="22"/>
        </w:rPr>
        <w:t>Example — 40ft Reefer: 22/22 pallets loaded, utilisation 92%; refrigeration unit rendered; click-on-pallet details; export options.</w:t>
      </w:r>
    </w:p>
    <w:p>
      <w:pPr>
        <w:keepNext/>
        <w:spacing w:before="140" w:after="60"/>
        <w:outlineLvl w:val="3"/>
      </w:pPr>
      <w:r>
        <w:rPr>
          <w:rFonts w:ascii="Arial" w:hAnsi="Arial" w:cs="Arial"/>
          <w:b/>
          <w:i/>
          <w:color w:val="333333"/>
          <w:sz w:val="22"/>
        </w:rPr>
        <w:t>8.7.4.2 Air — ULD Rendering</w:t>
      </w:r>
    </w:p>
    <w:p>
      <w:pPr>
        <w:spacing w:after="80" w:line="293" w:lineRule="auto"/>
        <w:jc w:val="left"/>
      </w:pPr>
      <w:r>
        <w:rPr>
          <w:rFonts w:ascii="Times New Roman" w:hAnsi="Times New Roman" w:cs="Times New Roman"/>
          <w:b w:val="0"/>
          <w:i w:val="0"/>
          <w:sz w:val="22"/>
        </w:rPr>
        <w:t>Example — LD6: 132 cartons loaded directly (no pallets), utilisation 89%; click-on-carton details; export options.</w:t>
      </w:r>
    </w:p>
    <w:p>
      <w:pPr>
        <w:keepNext/>
        <w:spacing w:before="140" w:after="60"/>
        <w:outlineLvl w:val="3"/>
      </w:pPr>
      <w:r>
        <w:rPr>
          <w:rFonts w:ascii="Arial" w:hAnsi="Arial" w:cs="Arial"/>
          <w:b/>
          <w:i/>
          <w:color w:val="333333"/>
          <w:sz w:val="22"/>
        </w:rPr>
        <w:t>8.7.4.3 Rail — Wagon Rendering</w:t>
      </w:r>
    </w:p>
    <w:p>
      <w:pPr>
        <w:spacing w:after="80" w:line="293" w:lineRule="auto"/>
        <w:jc w:val="left"/>
      </w:pPr>
      <w:r>
        <w:rPr>
          <w:rFonts w:ascii="Times New Roman" w:hAnsi="Times New Roman" w:cs="Times New Roman"/>
          <w:b w:val="0"/>
          <w:i w:val="0"/>
          <w:sz w:val="22"/>
        </w:rPr>
        <w:t>Wagon interior rendering with pallet or bulk positions and wagon-specific dimensions.</w:t>
      </w:r>
    </w:p>
    <w:p>
      <w:pPr>
        <w:keepNext/>
        <w:spacing w:before="140" w:after="60"/>
        <w:outlineLvl w:val="3"/>
      </w:pPr>
      <w:r>
        <w:rPr>
          <w:rFonts w:ascii="Arial" w:hAnsi="Arial" w:cs="Arial"/>
          <w:b/>
          <w:i/>
          <w:color w:val="333333"/>
          <w:sz w:val="22"/>
        </w:rPr>
        <w:t>8.7.4.4 Truck — Trailer Rendering</w:t>
      </w:r>
    </w:p>
    <w:p>
      <w:pPr>
        <w:spacing w:after="80" w:line="293" w:lineRule="auto"/>
        <w:jc w:val="left"/>
      </w:pPr>
      <w:r>
        <w:rPr>
          <w:rFonts w:ascii="Times New Roman" w:hAnsi="Times New Roman" w:cs="Times New Roman"/>
          <w:b w:val="0"/>
          <w:i w:val="0"/>
          <w:sz w:val="22"/>
        </w:rPr>
        <w:t>Trailer interior rendering with pallet positions, axle-load-oriented weight display, and trailer-specific dimensions.</w:t>
      </w:r>
    </w:p>
    <w:p>
      <w:pPr>
        <w:keepNext/>
        <w:spacing w:before="180" w:after="80"/>
        <w:outlineLvl w:val="2"/>
      </w:pPr>
      <w:r>
        <w:rPr>
          <w:rFonts w:ascii="Arial" w:hAnsi="Arial" w:cs="Arial"/>
          <w:b/>
          <w:i w:val="0"/>
          <w:color w:val="333333"/>
          <w:sz w:val="23"/>
        </w:rPr>
        <w:t>8.7.5 Capacity Heatmap (Opt-In, Differential Privacy)</w:t>
      </w:r>
    </w:p>
    <w:p>
      <w:pPr>
        <w:keepNext/>
        <w:spacing w:before="140" w:after="60"/>
        <w:outlineLvl w:val="3"/>
      </w:pPr>
      <w:r>
        <w:rPr>
          <w:rFonts w:ascii="Arial" w:hAnsi="Arial" w:cs="Arial"/>
          <w:b/>
          <w:i/>
          <w:color w:val="333333"/>
          <w:sz w:val="22"/>
        </w:rPr>
        <w:t>8.7.5.1 Purpose</w:t>
      </w:r>
    </w:p>
    <w:p>
      <w:pPr>
        <w:spacing w:after="80" w:line="293" w:lineRule="auto"/>
        <w:jc w:val="left"/>
      </w:pPr>
      <w:r>
        <w:rPr>
          <w:rFonts w:ascii="Times New Roman" w:hAnsi="Times New Roman" w:cs="Times New Roman"/>
          <w:b w:val="0"/>
          <w:i w:val="0"/>
          <w:sz w:val="22"/>
        </w:rPr>
        <w:t>The capacity heatmap displays historical loading density for the same commodity and route, helping sellers optimise container usage and identify underutilised space. Data is sourced from opt-in anonymised data using OpenDP (ε = 0.1) — no individual trade or tenant can be reconstructed.</w:t>
      </w:r>
    </w:p>
    <w:p>
      <w:pPr>
        <w:keepNext/>
        <w:spacing w:before="140" w:after="60"/>
        <w:outlineLvl w:val="3"/>
      </w:pPr>
      <w:r>
        <w:rPr>
          <w:rFonts w:ascii="Arial" w:hAnsi="Arial" w:cs="Arial"/>
          <w:b/>
          <w:i/>
          <w:color w:val="333333"/>
          <w:sz w:val="22"/>
        </w:rPr>
        <w:t>8.7.5.2 Data Sources</w:t>
      </w:r>
    </w:p>
    <w:p>
      <w:pPr>
        <w:spacing w:after="80" w:line="293" w:lineRule="auto"/>
        <w:jc w:val="left"/>
      </w:pPr>
      <w:r>
        <w:rPr>
          <w:rFonts w:ascii="Times New Roman" w:hAnsi="Times New Roman" w:cs="Times New Roman"/>
          <w:b w:val="0"/>
          <w:i w:val="0"/>
          <w:sz w:val="22"/>
        </w:rPr>
        <w:t>Anonymised Trade Memory Layer events (opt-in): pallet positions and densities per completed trade for the same commodity, route, and container type; aggregated and gridded; Laplace-noise perturbed.</w:t>
      </w:r>
    </w:p>
    <w:p>
      <w:pPr>
        <w:keepNext/>
        <w:spacing w:before="140" w:after="60"/>
        <w:outlineLvl w:val="3"/>
      </w:pPr>
      <w:r>
        <w:rPr>
          <w:rFonts w:ascii="Arial" w:hAnsi="Arial" w:cs="Arial"/>
          <w:b/>
          <w:i/>
          <w:color w:val="333333"/>
          <w:sz w:val="22"/>
        </w:rPr>
        <w:t>8.7.5.3 Colour Coding</w:t>
      </w:r>
    </w:p>
    <w:p>
      <w:pPr>
        <w:spacing w:after="80" w:line="293" w:lineRule="auto"/>
        <w:ind w:left="283"/>
        <w:jc w:val="left"/>
      </w:pPr>
      <w:r>
        <w:rPr>
          <w:rFonts w:ascii="Times New Roman" w:hAnsi="Times New Roman" w:cs="Times New Roman"/>
          <w:b w:val="0"/>
          <w:i w:val="0"/>
          <w:sz w:val="22"/>
        </w:rPr>
        <w:t>- High density: ≥90%</w:t>
      </w:r>
    </w:p>
    <w:p>
      <w:pPr>
        <w:spacing w:after="80" w:line="293" w:lineRule="auto"/>
        <w:ind w:left="283"/>
        <w:jc w:val="left"/>
      </w:pPr>
      <w:r>
        <w:rPr>
          <w:rFonts w:ascii="Times New Roman" w:hAnsi="Times New Roman" w:cs="Times New Roman"/>
          <w:b w:val="0"/>
          <w:i w:val="0"/>
          <w:sz w:val="22"/>
        </w:rPr>
        <w:t>- Medium density: 70–89%</w:t>
      </w:r>
    </w:p>
    <w:p>
      <w:pPr>
        <w:spacing w:after="80" w:line="293" w:lineRule="auto"/>
        <w:ind w:left="283"/>
        <w:jc w:val="left"/>
      </w:pPr>
      <w:r>
        <w:rPr>
          <w:rFonts w:ascii="Times New Roman" w:hAnsi="Times New Roman" w:cs="Times New Roman"/>
          <w:b w:val="0"/>
          <w:i w:val="0"/>
          <w:sz w:val="22"/>
        </w:rPr>
        <w:t>- Low density: &lt;70%</w:t>
      </w:r>
    </w:p>
    <w:p>
      <w:pPr>
        <w:keepNext/>
        <w:spacing w:before="140" w:after="60"/>
        <w:outlineLvl w:val="3"/>
      </w:pPr>
      <w:r>
        <w:rPr>
          <w:rFonts w:ascii="Arial" w:hAnsi="Arial" w:cs="Arial"/>
          <w:b/>
          <w:i/>
          <w:color w:val="333333"/>
          <w:sz w:val="22"/>
        </w:rPr>
        <w:t>8.7.5.4 Heatmap Calculation</w:t>
      </w:r>
    </w:p>
    <w:p>
      <w:pPr>
        <w:spacing w:after="0" w:before="0" w:line="240" w:lineRule="auto"/>
        <w:ind w:left="57"/>
        <w:jc w:val="left"/>
        <w:shd w:val="clear" w:fill="F2F2F2"/>
      </w:pPr>
      <w:r>
        <w:rPr>
          <w:rFonts w:ascii="Consolas" w:hAnsi="Consolas" w:cs="Consolas"/>
          <w:b w:val="0"/>
          <w:i w:val="0"/>
          <w:sz w:val="15"/>
        </w:rPr>
        <w:t>// Pseudo-code: capacity heatmap calculation with differential privacy</w:t>
      </w:r>
    </w:p>
    <w:p>
      <w:pPr>
        <w:spacing w:after="0" w:before="0" w:line="240" w:lineRule="auto"/>
        <w:ind w:left="57"/>
        <w:jc w:val="left"/>
        <w:shd w:val="clear" w:fill="F2F2F2"/>
      </w:pPr>
      <w:r>
        <w:rPr>
          <w:rFonts w:ascii="Consolas" w:hAnsi="Consolas" w:cs="Consolas"/>
          <w:b w:val="0"/>
          <w:i w:val="0"/>
          <w:sz w:val="15"/>
        </w:rPr>
        <w:t>fn calculate_heatmap_density(</w:t>
      </w:r>
    </w:p>
    <w:p>
      <w:pPr>
        <w:spacing w:after="0" w:before="0" w:line="240" w:lineRule="auto"/>
        <w:ind w:left="57"/>
        <w:jc w:val="left"/>
        <w:shd w:val="clear" w:fill="F2F2F2"/>
      </w:pPr>
      <w:r>
        <w:rPr>
          <w:rFonts w:ascii="Consolas" w:hAnsi="Consolas" w:cs="Consolas"/>
          <w:b w:val="0"/>
          <w:i w:val="0"/>
          <w:sz w:val="15"/>
        </w:rPr>
        <w:t xml:space="preserve">    route: &amp;Route,</w:t>
      </w:r>
    </w:p>
    <w:p>
      <w:pPr>
        <w:spacing w:after="0" w:before="0" w:line="240" w:lineRule="auto"/>
        <w:ind w:left="57"/>
        <w:jc w:val="left"/>
        <w:shd w:val="clear" w:fill="F2F2F2"/>
      </w:pPr>
      <w:r>
        <w:rPr>
          <w:rFonts w:ascii="Consolas" w:hAnsi="Consolas" w:cs="Consolas"/>
          <w:b w:val="0"/>
          <w:i w:val="0"/>
          <w:sz w:val="15"/>
        </w:rPr>
        <w:t xml:space="preserve">    commodity_type: &amp;str,</w:t>
      </w:r>
    </w:p>
    <w:p>
      <w:pPr>
        <w:spacing w:after="0" w:before="0" w:line="240" w:lineRule="auto"/>
        <w:ind w:left="57"/>
        <w:jc w:val="left"/>
        <w:shd w:val="clear" w:fill="F2F2F2"/>
      </w:pPr>
      <w:r>
        <w:rPr>
          <w:rFonts w:ascii="Consolas" w:hAnsi="Consolas" w:cs="Consolas"/>
          <w:b w:val="0"/>
          <w:i w:val="0"/>
          <w:sz w:val="15"/>
        </w:rPr>
        <w:t xml:space="preserve">    container_type: &amp;ContainerType,</w:t>
      </w:r>
    </w:p>
    <w:p>
      <w:pPr>
        <w:spacing w:after="0" w:before="0" w:line="240" w:lineRule="auto"/>
        <w:ind w:left="57"/>
        <w:jc w:val="left"/>
        <w:shd w:val="clear" w:fill="F2F2F2"/>
      </w:pPr>
      <w:r>
        <w:rPr>
          <w:rFonts w:ascii="Consolas" w:hAnsi="Consolas" w:cs="Consolas"/>
          <w:b w:val="0"/>
          <w:i w:val="0"/>
          <w:sz w:val="15"/>
        </w:rPr>
        <w:t xml:space="preserve">    privacy_epsilon: f64</w:t>
      </w:r>
    </w:p>
    <w:p>
      <w:pPr>
        <w:spacing w:after="0" w:before="0" w:line="240" w:lineRule="auto"/>
        <w:ind w:left="57"/>
        <w:jc w:val="left"/>
        <w:shd w:val="clear" w:fill="F2F2F2"/>
      </w:pPr>
      <w:r>
        <w:rPr>
          <w:rFonts w:ascii="Consolas" w:hAnsi="Consolas" w:cs="Consolas"/>
          <w:b w:val="0"/>
          <w:i w:val="0"/>
          <w:sz w:val="15"/>
        </w:rPr>
        <w:t>) -&gt; HeatmapData {</w:t>
      </w:r>
    </w:p>
    <w:p>
      <w:pPr>
        <w:spacing w:after="0" w:before="0" w:line="240" w:lineRule="auto"/>
        <w:ind w:left="57"/>
        <w:jc w:val="left"/>
        <w:shd w:val="clear" w:fill="F2F2F2"/>
      </w:pPr>
      <w:r>
        <w:rPr>
          <w:rFonts w:ascii="Consolas" w:hAnsi="Consolas" w:cs="Consolas"/>
          <w:b w:val="0"/>
          <w:i w:val="0"/>
          <w:sz w:val="15"/>
        </w:rPr>
        <w:t xml:space="preserve">    // 1. Query Trade Memory Layer (anonymised)</w:t>
      </w:r>
    </w:p>
    <w:p>
      <w:pPr>
        <w:spacing w:after="0" w:before="0" w:line="240" w:lineRule="auto"/>
        <w:ind w:left="57"/>
        <w:jc w:val="left"/>
        <w:shd w:val="clear" w:fill="F2F2F2"/>
      </w:pPr>
      <w:r>
        <w:rPr>
          <w:rFonts w:ascii="Consolas" w:hAnsi="Consolas" w:cs="Consolas"/>
          <w:b w:val="0"/>
          <w:i w:val="0"/>
          <w:sz w:val="15"/>
        </w:rPr>
        <w:t xml:space="preserve">    let memory_events = query_trade_memory(route, commodity_type, container_type);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Calculate density per position</w:t>
      </w:r>
    </w:p>
    <w:p>
      <w:pPr>
        <w:spacing w:after="0" w:before="0" w:line="240" w:lineRule="auto"/>
        <w:ind w:left="57"/>
        <w:jc w:val="left"/>
        <w:shd w:val="clear" w:fill="F2F2F2"/>
      </w:pPr>
      <w:r>
        <w:rPr>
          <w:rFonts w:ascii="Consolas" w:hAnsi="Consolas" w:cs="Consolas"/>
          <w:b w:val="0"/>
          <w:i w:val="0"/>
          <w:sz w:val="15"/>
        </w:rPr>
        <w:t xml:space="preserve">    let mut densities = vec![];</w:t>
      </w:r>
    </w:p>
    <w:p>
      <w:pPr>
        <w:spacing w:after="0" w:before="0" w:line="240" w:lineRule="auto"/>
        <w:ind w:left="57"/>
        <w:jc w:val="left"/>
        <w:shd w:val="clear" w:fill="F2F2F2"/>
      </w:pPr>
      <w:r>
        <w:rPr>
          <w:rFonts w:ascii="Consolas" w:hAnsi="Consolas" w:cs="Consolas"/>
          <w:b w:val="0"/>
          <w:i w:val="0"/>
          <w:sz w:val="15"/>
        </w:rPr>
        <w:t xml:space="preserve">    for event in memory_events {</w:t>
      </w:r>
    </w:p>
    <w:p>
      <w:pPr>
        <w:spacing w:after="0" w:before="0" w:line="240" w:lineRule="auto"/>
        <w:ind w:left="57"/>
        <w:jc w:val="left"/>
        <w:shd w:val="clear" w:fill="F2F2F2"/>
      </w:pPr>
      <w:r>
        <w:rPr>
          <w:rFonts w:ascii="Consolas" w:hAnsi="Consolas" w:cs="Consolas"/>
          <w:b w:val="0"/>
          <w:i w:val="0"/>
          <w:sz w:val="15"/>
        </w:rPr>
        <w:t xml:space="preserve">        for position in event.pallet_positions {</w:t>
      </w:r>
    </w:p>
    <w:p>
      <w:pPr>
        <w:spacing w:after="0" w:before="0" w:line="240" w:lineRule="auto"/>
        <w:ind w:left="57"/>
        <w:jc w:val="left"/>
        <w:shd w:val="clear" w:fill="F2F2F2"/>
      </w:pPr>
      <w:r>
        <w:rPr>
          <w:rFonts w:ascii="Consolas" w:hAnsi="Consolas" w:cs="Consolas"/>
          <w:b w:val="0"/>
          <w:i w:val="0"/>
          <w:sz w:val="15"/>
        </w:rPr>
        <w:t xml:space="preserve">            densities.push(position.density);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Group by position (x, y coordinates)</w:t>
      </w:r>
    </w:p>
    <w:p>
      <w:pPr>
        <w:spacing w:after="0" w:before="0" w:line="240" w:lineRule="auto"/>
        <w:ind w:left="57"/>
        <w:jc w:val="left"/>
        <w:shd w:val="clear" w:fill="F2F2F2"/>
      </w:pPr>
      <w:r>
        <w:rPr>
          <w:rFonts w:ascii="Consolas" w:hAnsi="Consolas" w:cs="Consolas"/>
          <w:b w:val="0"/>
          <w:i w:val="0"/>
          <w:sz w:val="15"/>
        </w:rPr>
        <w:t xml:space="preserve">    let mut grid = HashMap::new();</w:t>
      </w:r>
    </w:p>
    <w:p>
      <w:pPr>
        <w:spacing w:after="0" w:before="0" w:line="240" w:lineRule="auto"/>
        <w:ind w:left="57"/>
        <w:jc w:val="left"/>
        <w:shd w:val="clear" w:fill="F2F2F2"/>
      </w:pPr>
      <w:r>
        <w:rPr>
          <w:rFonts w:ascii="Consolas" w:hAnsi="Consolas" w:cs="Consolas"/>
          <w:b w:val="0"/>
          <w:i w:val="0"/>
          <w:sz w:val="15"/>
        </w:rPr>
        <w:t xml:space="preserve">    for density in densities {</w:t>
      </w:r>
    </w:p>
    <w:p>
      <w:pPr>
        <w:spacing w:after="0" w:before="0" w:line="240" w:lineRule="auto"/>
        <w:ind w:left="57"/>
        <w:jc w:val="left"/>
        <w:shd w:val="clear" w:fill="F2F2F2"/>
      </w:pPr>
      <w:r>
        <w:rPr>
          <w:rFonts w:ascii="Consolas" w:hAnsi="Consolas" w:cs="Consolas"/>
          <w:b w:val="0"/>
          <w:i w:val="0"/>
          <w:sz w:val="15"/>
        </w:rPr>
        <w:t xml:space="preserve">        let key = format!("{},{}", density.x, density.y);</w:t>
      </w:r>
    </w:p>
    <w:p>
      <w:pPr>
        <w:spacing w:after="0" w:before="0" w:line="240" w:lineRule="auto"/>
        <w:ind w:left="57"/>
        <w:jc w:val="left"/>
        <w:shd w:val="clear" w:fill="F2F2F2"/>
      </w:pPr>
      <w:r>
        <w:rPr>
          <w:rFonts w:ascii="Consolas" w:hAnsi="Consolas" w:cs="Consolas"/>
          <w:b w:val="0"/>
          <w:i w:val="0"/>
          <w:sz w:val="15"/>
        </w:rPr>
        <w:t xml:space="preserve">        grid.entry(key).or_insert(vec![]).push(density.value);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Calculate average per position</w:t>
      </w:r>
    </w:p>
    <w:p>
      <w:pPr>
        <w:spacing w:after="0" w:before="0" w:line="240" w:lineRule="auto"/>
        <w:ind w:left="57"/>
        <w:jc w:val="left"/>
        <w:shd w:val="clear" w:fill="F2F2F2"/>
      </w:pPr>
      <w:r>
        <w:rPr>
          <w:rFonts w:ascii="Consolas" w:hAnsi="Consolas" w:cs="Consolas"/>
          <w:b w:val="0"/>
          <w:i w:val="0"/>
          <w:sz w:val="15"/>
        </w:rPr>
        <w:t xml:space="preserve">    let mut heatmap = vec![];</w:t>
      </w:r>
    </w:p>
    <w:p>
      <w:pPr>
        <w:spacing w:after="0" w:before="0" w:line="240" w:lineRule="auto"/>
        <w:ind w:left="57"/>
        <w:jc w:val="left"/>
        <w:shd w:val="clear" w:fill="F2F2F2"/>
      </w:pPr>
      <w:r>
        <w:rPr>
          <w:rFonts w:ascii="Consolas" w:hAnsi="Consolas" w:cs="Consolas"/>
          <w:b w:val="0"/>
          <w:i w:val="0"/>
          <w:sz w:val="15"/>
        </w:rPr>
        <w:t xml:space="preserve">    for (key, values) in grid {</w:t>
      </w:r>
    </w:p>
    <w:p>
      <w:pPr>
        <w:spacing w:after="0" w:before="0" w:line="240" w:lineRule="auto"/>
        <w:ind w:left="57"/>
        <w:jc w:val="left"/>
        <w:shd w:val="clear" w:fill="F2F2F2"/>
      </w:pPr>
      <w:r>
        <w:rPr>
          <w:rFonts w:ascii="Consolas" w:hAnsi="Consolas" w:cs="Consolas"/>
          <w:b w:val="0"/>
          <w:i w:val="0"/>
          <w:sz w:val="15"/>
        </w:rPr>
        <w:t xml:space="preserve">        let avg = values.iter().sum::&lt;f64&gt;() / values.len() as f64;</w:t>
      </w:r>
    </w:p>
    <w:p>
      <w:pPr>
        <w:spacing w:after="0" w:before="0" w:line="240" w:lineRule="auto"/>
        <w:ind w:left="57"/>
        <w:jc w:val="left"/>
        <w:shd w:val="clear" w:fill="F2F2F2"/>
      </w:pPr>
      <w:r>
        <w:rPr>
          <w:rFonts w:ascii="Consolas" w:hAnsi="Consolas" w:cs="Consolas"/>
          <w:b w:val="0"/>
          <w:i w:val="0"/>
          <w:sz w:val="15"/>
        </w:rPr>
        <w:t xml:space="preserve">        let coords: Vec&lt;&amp;str&gt; = key.split(',').collect();</w:t>
      </w:r>
    </w:p>
    <w:p>
      <w:pPr>
        <w:spacing w:after="0" w:before="0" w:line="240" w:lineRule="auto"/>
        <w:ind w:left="57"/>
        <w:jc w:val="left"/>
        <w:shd w:val="clear" w:fill="F2F2F2"/>
      </w:pPr>
      <w:r>
        <w:rPr>
          <w:rFonts w:ascii="Consolas" w:hAnsi="Consolas" w:cs="Consolas"/>
          <w:b w:val="0"/>
          <w:i w:val="0"/>
          <w:sz w:val="15"/>
        </w:rPr>
        <w:t xml:space="preserve">        heatmap.push(HeatmapCell {</w:t>
      </w:r>
    </w:p>
    <w:p>
      <w:pPr>
        <w:spacing w:after="0" w:before="0" w:line="240" w:lineRule="auto"/>
        <w:ind w:left="57"/>
        <w:jc w:val="left"/>
        <w:shd w:val="clear" w:fill="F2F2F2"/>
      </w:pPr>
      <w:r>
        <w:rPr>
          <w:rFonts w:ascii="Consolas" w:hAnsi="Consolas" w:cs="Consolas"/>
          <w:b w:val="0"/>
          <w:i w:val="0"/>
          <w:sz w:val="15"/>
        </w:rPr>
        <w:t xml:space="preserve">            x: coords[0].parse().unwrap(),</w:t>
      </w:r>
    </w:p>
    <w:p>
      <w:pPr>
        <w:spacing w:after="0" w:before="0" w:line="240" w:lineRule="auto"/>
        <w:ind w:left="57"/>
        <w:jc w:val="left"/>
        <w:shd w:val="clear" w:fill="F2F2F2"/>
      </w:pPr>
      <w:r>
        <w:rPr>
          <w:rFonts w:ascii="Consolas" w:hAnsi="Consolas" w:cs="Consolas"/>
          <w:b w:val="0"/>
          <w:i w:val="0"/>
          <w:sz w:val="15"/>
        </w:rPr>
        <w:t xml:space="preserve">            y: coords[1].parse().unwrap(),</w:t>
      </w:r>
    </w:p>
    <w:p>
      <w:pPr>
        <w:spacing w:after="0" w:before="0" w:line="240" w:lineRule="auto"/>
        <w:ind w:left="57"/>
        <w:jc w:val="left"/>
        <w:shd w:val="clear" w:fill="F2F2F2"/>
      </w:pPr>
      <w:r>
        <w:rPr>
          <w:rFonts w:ascii="Consolas" w:hAnsi="Consolas" w:cs="Consolas"/>
          <w:b w:val="0"/>
          <w:i w:val="0"/>
          <w:sz w:val="15"/>
        </w:rPr>
        <w:t xml:space="preserve">            density: avg,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Apply differential privacy (ε=0.1)</w:t>
      </w:r>
    </w:p>
    <w:p>
      <w:pPr>
        <w:spacing w:after="0" w:before="0" w:line="240" w:lineRule="auto"/>
        <w:ind w:left="57"/>
        <w:jc w:val="left"/>
        <w:shd w:val="clear" w:fill="F2F2F2"/>
      </w:pPr>
      <w:r>
        <w:rPr>
          <w:rFonts w:ascii="Consolas" w:hAnsi="Consolas" w:cs="Consolas"/>
          <w:b w:val="0"/>
          <w:i w:val="0"/>
          <w:sz w:val="15"/>
        </w:rPr>
        <w:t xml:space="preserve">    let private_heatmap = apply_laplace_noise(heatmap, privacy_epsilon);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6. Calculate confidence based on sample size</w:t>
      </w:r>
    </w:p>
    <w:p>
      <w:pPr>
        <w:spacing w:after="0" w:before="0" w:line="240" w:lineRule="auto"/>
        <w:ind w:left="57"/>
        <w:jc w:val="left"/>
        <w:shd w:val="clear" w:fill="F2F2F2"/>
      </w:pPr>
      <w:r>
        <w:rPr>
          <w:rFonts w:ascii="Consolas" w:hAnsi="Consolas" w:cs="Consolas"/>
          <w:b w:val="0"/>
          <w:i w:val="0"/>
          <w:sz w:val="15"/>
        </w:rPr>
        <w:t xml:space="preserve">    let confidence = min(100.0, memory_events.len() as f64 * 5.0);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HeatmapData {</w:t>
      </w:r>
    </w:p>
    <w:p>
      <w:pPr>
        <w:spacing w:after="0" w:before="0" w:line="240" w:lineRule="auto"/>
        <w:ind w:left="57"/>
        <w:jc w:val="left"/>
        <w:shd w:val="clear" w:fill="F2F2F2"/>
      </w:pPr>
      <w:r>
        <w:rPr>
          <w:rFonts w:ascii="Consolas" w:hAnsi="Consolas" w:cs="Consolas"/>
          <w:b w:val="0"/>
          <w:i w:val="0"/>
          <w:sz w:val="15"/>
        </w:rPr>
        <w:t xml:space="preserve">        grid: private_heatmap,</w:t>
      </w:r>
    </w:p>
    <w:p>
      <w:pPr>
        <w:spacing w:after="0" w:before="0" w:line="240" w:lineRule="auto"/>
        <w:ind w:left="57"/>
        <w:jc w:val="left"/>
        <w:shd w:val="clear" w:fill="F2F2F2"/>
      </w:pPr>
      <w:r>
        <w:rPr>
          <w:rFonts w:ascii="Consolas" w:hAnsi="Consolas" w:cs="Consolas"/>
          <w:b w:val="0"/>
          <w:i w:val="0"/>
          <w:sz w:val="15"/>
        </w:rPr>
        <w:t xml:space="preserve">        confidence: confidence,</w:t>
      </w:r>
    </w:p>
    <w:p>
      <w:pPr>
        <w:spacing w:after="0" w:before="0" w:line="240" w:lineRule="auto"/>
        <w:ind w:left="57"/>
        <w:jc w:val="left"/>
        <w:shd w:val="clear" w:fill="F2F2F2"/>
      </w:pPr>
      <w:r>
        <w:rPr>
          <w:rFonts w:ascii="Consolas" w:hAnsi="Consolas" w:cs="Consolas"/>
          <w:b w:val="0"/>
          <w:i w:val="0"/>
          <w:sz w:val="15"/>
        </w:rPr>
        <w:t xml:space="preserve">        sample_size: memory_events.len(),</w:t>
      </w:r>
    </w:p>
    <w:p>
      <w:pPr>
        <w:spacing w:after="0" w:before="0" w:line="240" w:lineRule="auto"/>
        <w:ind w:left="57"/>
        <w:jc w:val="left"/>
        <w:shd w:val="clear" w:fill="F2F2F2"/>
      </w:pPr>
      <w:r>
        <w:rPr>
          <w:rFonts w:ascii="Consolas" w:hAnsi="Consolas" w:cs="Consolas"/>
          <w:b w:val="0"/>
          <w:i w:val="0"/>
          <w:sz w:val="15"/>
        </w:rPr>
        <w:t xml:space="preserve">        privacy_epsilon: privacy_epsilon,</w:t>
      </w:r>
    </w:p>
    <w:p>
      <w:pPr>
        <w:spacing w:after="0" w:before="0" w:line="240" w:lineRule="auto"/>
        <w:ind w:left="57"/>
        <w:jc w:val="left"/>
        <w:shd w:val="clear" w:fill="F2F2F2"/>
      </w:pPr>
      <w:r>
        <w:rPr>
          <w:rFonts w:ascii="Consolas" w:hAnsi="Consolas" w:cs="Consolas"/>
          <w:b w:val="0"/>
          <w:i w:val="0"/>
          <w:sz w:val="15"/>
        </w:rPr>
        <w:t xml:space="preserve">        privacy_method: "Differential Privacy",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8.7.5.5 Heatmap UI</w:t>
      </w:r>
    </w:p>
    <w:p>
      <w:pPr>
        <w:spacing w:after="0" w:before="0" w:line="240" w:lineRule="auto"/>
        <w:ind w:left="57"/>
        <w:jc w:val="left"/>
        <w:shd w:val="clear" w:fill="F2F2F2"/>
      </w:pPr>
      <w:r>
        <w:rPr>
          <w:rFonts w:ascii="Consolas" w:hAnsi="Consolas" w:cs="Consolas"/>
          <w:b w:val="0"/>
          <w:i w:val="0"/>
          <w:sz w:val="15"/>
        </w:rPr>
        <w:t>CAPACITY HEATMAP — 40ft Reefer (Oranges → Egypt)</w:t>
      </w:r>
    </w:p>
    <w:p>
      <w:pPr>
        <w:spacing w:after="0" w:before="0" w:line="240" w:lineRule="auto"/>
        <w:ind w:left="57"/>
        <w:jc w:val="left"/>
        <w:shd w:val="clear" w:fill="F2F2F2"/>
      </w:pPr>
      <w:r>
        <w:rPr>
          <w:rFonts w:ascii="Consolas" w:hAnsi="Consolas" w:cs="Consolas"/>
          <w:b w:val="0"/>
          <w:i w:val="0"/>
          <w:sz w:val="15"/>
        </w:rPr>
        <w:t xml:space="preserve">  [Heatmap Overlay] — colour grid over container positions</w:t>
      </w:r>
    </w:p>
    <w:p>
      <w:pPr>
        <w:spacing w:after="0" w:before="0" w:line="240" w:lineRule="auto"/>
        <w:ind w:left="57"/>
        <w:jc w:val="left"/>
        <w:shd w:val="clear" w:fill="F2F2F2"/>
      </w:pPr>
      <w:r>
        <w:rPr>
          <w:rFonts w:ascii="Consolas" w:hAnsi="Consolas" w:cs="Consolas"/>
          <w:b w:val="0"/>
          <w:i w:val="0"/>
          <w:sz w:val="15"/>
        </w:rPr>
        <w:t xml:space="preserve">  High density (≥90%) | Medium density (70-89%) | Low density (&lt;70%)</w:t>
      </w:r>
    </w:p>
    <w:p>
      <w:pPr>
        <w:spacing w:after="0" w:before="0" w:line="240" w:lineRule="auto"/>
        <w:ind w:left="57"/>
        <w:jc w:val="left"/>
        <w:shd w:val="clear" w:fill="F2F2F2"/>
      </w:pPr>
      <w:r>
        <w:rPr>
          <w:rFonts w:ascii="Consolas" w:hAnsi="Consolas" w:cs="Consolas"/>
          <w:b w:val="0"/>
          <w:i w:val="0"/>
          <w:sz w:val="15"/>
        </w:rPr>
        <w:t xml:space="preserve">  Heatmap Data:</w:t>
      </w:r>
    </w:p>
    <w:p>
      <w:pPr>
        <w:spacing w:after="0" w:before="0" w:line="240" w:lineRule="auto"/>
        <w:ind w:left="57"/>
        <w:jc w:val="left"/>
        <w:shd w:val="clear" w:fill="F2F2F2"/>
      </w:pPr>
      <w:r>
        <w:rPr>
          <w:rFonts w:ascii="Consolas" w:hAnsi="Consolas" w:cs="Consolas"/>
          <w:b w:val="0"/>
          <w:i w:val="0"/>
          <w:sz w:val="15"/>
        </w:rPr>
        <w:t xml:space="preserve">    Confidence: 87% | Sample Size: 143 trades | Privacy: ε=0.1</w:t>
      </w:r>
    </w:p>
    <w:p>
      <w:pPr>
        <w:spacing w:after="0" w:before="0" w:line="240" w:lineRule="auto"/>
        <w:ind w:left="57"/>
        <w:jc w:val="left"/>
        <w:shd w:val="clear" w:fill="F2F2F2"/>
      </w:pPr>
      <w:r>
        <w:rPr>
          <w:rFonts w:ascii="Consolas" w:hAnsi="Consolas" w:cs="Consolas"/>
          <w:b w:val="0"/>
          <w:i w:val="0"/>
          <w:sz w:val="15"/>
        </w:rPr>
        <w:t xml:space="preserve">  Insights (A1, Groq):</w:t>
      </w:r>
    </w:p>
    <w:p>
      <w:pPr>
        <w:spacing w:after="0" w:before="0" w:line="240" w:lineRule="auto"/>
        <w:ind w:left="57"/>
        <w:jc w:val="left"/>
        <w:shd w:val="clear" w:fill="F2F2F2"/>
      </w:pPr>
      <w:r>
        <w:rPr>
          <w:rFonts w:ascii="Consolas" w:hAnsi="Consolas" w:cs="Consolas"/>
          <w:b w:val="0"/>
          <w:i w:val="0"/>
          <w:sz w:val="15"/>
        </w:rPr>
        <w:t xml:space="preserve">    "The front of the container (rows 1-5) shows consistently high density</w:t>
      </w:r>
    </w:p>
    <w:p>
      <w:pPr>
        <w:spacing w:after="0" w:before="0" w:line="240" w:lineRule="auto"/>
        <w:ind w:left="57"/>
        <w:jc w:val="left"/>
        <w:shd w:val="clear" w:fill="F2F2F2"/>
      </w:pPr>
      <w:r>
        <w:rPr>
          <w:rFonts w:ascii="Consolas" w:hAnsi="Consolas" w:cs="Consolas"/>
          <w:b w:val="0"/>
          <w:i w:val="0"/>
          <w:sz w:val="15"/>
        </w:rPr>
        <w:t xml:space="preserve">    (92-95%). The rear of the container (rows 18-22) shows medium density</w:t>
      </w:r>
    </w:p>
    <w:p>
      <w:pPr>
        <w:spacing w:after="0" w:before="0" w:line="240" w:lineRule="auto"/>
        <w:ind w:left="57"/>
        <w:jc w:val="left"/>
        <w:shd w:val="clear" w:fill="F2F2F2"/>
      </w:pPr>
      <w:r>
        <w:rPr>
          <w:rFonts w:ascii="Consolas" w:hAnsi="Consolas" w:cs="Consolas"/>
          <w:b w:val="0"/>
          <w:i w:val="0"/>
          <w:sz w:val="15"/>
        </w:rPr>
        <w:t xml:space="preserve">    (72-78%). Consider rearranging pallets to balance the load and improve</w:t>
      </w:r>
    </w:p>
    <w:p>
      <w:pPr>
        <w:spacing w:after="0" w:before="0" w:line="240" w:lineRule="auto"/>
        <w:ind w:left="57"/>
        <w:jc w:val="left"/>
        <w:shd w:val="clear" w:fill="F2F2F2"/>
      </w:pPr>
      <w:r>
        <w:rPr>
          <w:rFonts w:ascii="Consolas" w:hAnsi="Consolas" w:cs="Consolas"/>
          <w:b w:val="0"/>
          <w:i w:val="0"/>
          <w:sz w:val="15"/>
        </w:rPr>
        <w:t xml:space="preserve">    overall utilisation."</w:t>
      </w:r>
    </w:p>
    <w:p>
      <w:pPr>
        <w:spacing w:after="0" w:before="0" w:line="240" w:lineRule="auto"/>
        <w:ind w:left="57"/>
        <w:jc w:val="left"/>
        <w:shd w:val="clear" w:fill="F2F2F2"/>
      </w:pPr>
      <w:r>
        <w:rPr>
          <w:rFonts w:ascii="Consolas" w:hAnsi="Consolas" w:cs="Consolas"/>
          <w:b w:val="0"/>
          <w:i w:val="0"/>
          <w:sz w:val="15"/>
        </w:rPr>
        <w:t xml:space="preserve">  [Toggle Heatmap] [Opt-Out] [Export Heatmap] [View Raw Data]</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8.7.5.6 Opt-Out &amp; Privacy</w:t>
      </w:r>
    </w:p>
    <w:p>
      <w:pPr>
        <w:spacing w:after="80" w:line="293" w:lineRule="auto"/>
        <w:jc w:val="left"/>
      </w:pPr>
      <w:r>
        <w:rPr>
          <w:rFonts w:ascii="Times New Roman" w:hAnsi="Times New Roman" w:cs="Times New Roman"/>
          <w:b w:val="0"/>
          <w:i w:val="0"/>
          <w:sz w:val="22"/>
        </w:rPr>
        <w:t>Company admins control heatmap contribution (Company Admin → Privacy):</w:t>
      </w:r>
    </w:p>
    <w:p>
      <w:pPr>
        <w:spacing w:after="0" w:before="0" w:line="240" w:lineRule="auto"/>
        <w:ind w:left="57"/>
        <w:jc w:val="left"/>
        <w:shd w:val="clear" w:fill="F2F2F2"/>
      </w:pPr>
      <w:r>
        <w:rPr>
          <w:rFonts w:ascii="Consolas" w:hAnsi="Consolas" w:cs="Consolas"/>
          <w:b w:val="0"/>
          <w:i w:val="0"/>
          <w:sz w:val="15"/>
        </w:rPr>
        <w:t>HEATMAP CONTRIBUTION</w:t>
      </w:r>
    </w:p>
    <w:p>
      <w:pPr>
        <w:spacing w:after="0" w:before="0" w:line="240" w:lineRule="auto"/>
        <w:ind w:left="57"/>
        <w:jc w:val="left"/>
        <w:shd w:val="clear" w:fill="F2F2F2"/>
      </w:pPr>
      <w:r>
        <w:rPr>
          <w:rFonts w:ascii="Consolas" w:hAnsi="Consolas" w:cs="Consolas"/>
          <w:b w:val="0"/>
          <w:i w:val="0"/>
          <w:sz w:val="15"/>
        </w:rPr>
        <w:t xml:space="preserve">  Contribute anonymised loading data to improve capacity heatmap</w:t>
      </w:r>
    </w:p>
    <w:p>
      <w:pPr>
        <w:spacing w:after="0" w:before="0" w:line="240" w:lineRule="auto"/>
        <w:ind w:left="57"/>
        <w:jc w:val="left"/>
        <w:shd w:val="clear" w:fill="F2F2F2"/>
      </w:pPr>
      <w:r>
        <w:rPr>
          <w:rFonts w:ascii="Consolas" w:hAnsi="Consolas" w:cs="Consolas"/>
          <w:b w:val="0"/>
          <w:i w:val="0"/>
          <w:sz w:val="15"/>
        </w:rPr>
        <w:t xml:space="preserve">  Your data will be anonymised and used for:</w:t>
      </w:r>
    </w:p>
    <w:p>
      <w:pPr>
        <w:spacing w:after="0" w:before="0" w:line="240" w:lineRule="auto"/>
        <w:ind w:left="57"/>
        <w:jc w:val="left"/>
        <w:shd w:val="clear" w:fill="F2F2F2"/>
      </w:pPr>
      <w:r>
        <w:rPr>
          <w:rFonts w:ascii="Consolas" w:hAnsi="Consolas" w:cs="Consolas"/>
          <w:b w:val="0"/>
          <w:i w:val="0"/>
          <w:sz w:val="15"/>
        </w:rPr>
        <w:t xml:space="preserve">    - Capacity heatmap (loading density visualisation)</w:t>
      </w:r>
    </w:p>
    <w:p>
      <w:pPr>
        <w:spacing w:after="0" w:before="0" w:line="240" w:lineRule="auto"/>
        <w:ind w:left="57"/>
        <w:jc w:val="left"/>
        <w:shd w:val="clear" w:fill="F2F2F2"/>
      </w:pPr>
      <w:r>
        <w:rPr>
          <w:rFonts w:ascii="Consolas" w:hAnsi="Consolas" w:cs="Consolas"/>
          <w:b w:val="0"/>
          <w:i w:val="0"/>
          <w:sz w:val="15"/>
        </w:rPr>
        <w:t xml:space="preserve">    - Optimisation recommendations</w:t>
      </w:r>
    </w:p>
    <w:p>
      <w:pPr>
        <w:spacing w:after="0" w:before="0" w:line="240" w:lineRule="auto"/>
        <w:ind w:left="57"/>
        <w:jc w:val="left"/>
        <w:shd w:val="clear" w:fill="F2F2F2"/>
      </w:pPr>
      <w:r>
        <w:rPr>
          <w:rFonts w:ascii="Consolas" w:hAnsi="Consolas" w:cs="Consolas"/>
          <w:b w:val="0"/>
          <w:i w:val="0"/>
          <w:sz w:val="15"/>
        </w:rPr>
        <w:t xml:space="preserve">    - Anonymised benchmarks</w:t>
      </w:r>
    </w:p>
    <w:p>
      <w:pPr>
        <w:spacing w:after="0" w:before="0" w:line="240" w:lineRule="auto"/>
        <w:ind w:left="57"/>
        <w:jc w:val="left"/>
        <w:shd w:val="clear" w:fill="F2F2F2"/>
      </w:pPr>
      <w:r>
        <w:rPr>
          <w:rFonts w:ascii="Consolas" w:hAnsi="Consolas" w:cs="Consolas"/>
          <w:b w:val="0"/>
          <w:i w:val="0"/>
          <w:sz w:val="15"/>
        </w:rPr>
        <w:t xml:space="preserve">  What is NOT shared:</w:t>
      </w:r>
    </w:p>
    <w:p>
      <w:pPr>
        <w:spacing w:after="0" w:before="0" w:line="240" w:lineRule="auto"/>
        <w:ind w:left="57"/>
        <w:jc w:val="left"/>
        <w:shd w:val="clear" w:fill="F2F2F2"/>
      </w:pPr>
      <w:r>
        <w:rPr>
          <w:rFonts w:ascii="Consolas" w:hAnsi="Consolas" w:cs="Consolas"/>
          <w:b w:val="0"/>
          <w:i w:val="0"/>
          <w:sz w:val="15"/>
        </w:rPr>
        <w:t xml:space="preserve">    - Your identity (GTID is replaced with an anonymous ID)</w:t>
      </w:r>
    </w:p>
    <w:p>
      <w:pPr>
        <w:spacing w:after="0" w:before="0" w:line="240" w:lineRule="auto"/>
        <w:ind w:left="57"/>
        <w:jc w:val="left"/>
        <w:shd w:val="clear" w:fill="F2F2F2"/>
      </w:pPr>
      <w:r>
        <w:rPr>
          <w:rFonts w:ascii="Consolas" w:hAnsi="Consolas" w:cs="Consolas"/>
          <w:b w:val="0"/>
          <w:i w:val="0"/>
          <w:sz w:val="15"/>
        </w:rPr>
        <w:t xml:space="preserve">    - Trade values or counterparties</w:t>
      </w:r>
    </w:p>
    <w:p>
      <w:pPr>
        <w:spacing w:after="0" w:before="0" w:line="240" w:lineRule="auto"/>
        <w:ind w:left="57"/>
        <w:jc w:val="left"/>
        <w:shd w:val="clear" w:fill="F2F2F2"/>
      </w:pPr>
      <w:r>
        <w:rPr>
          <w:rFonts w:ascii="Consolas" w:hAnsi="Consolas" w:cs="Consolas"/>
          <w:b w:val="0"/>
          <w:i w:val="0"/>
          <w:sz w:val="15"/>
        </w:rPr>
        <w:t xml:space="preserve">    - Exact container positions (gridded, aggregated)</w:t>
      </w:r>
    </w:p>
    <w:p>
      <w:pPr>
        <w:spacing w:after="0" w:before="0" w:line="240" w:lineRule="auto"/>
        <w:ind w:left="57"/>
        <w:jc w:val="left"/>
        <w:shd w:val="clear" w:fill="F2F2F2"/>
      </w:pPr>
      <w:r>
        <w:rPr>
          <w:rFonts w:ascii="Consolas" w:hAnsi="Consolas" w:cs="Consolas"/>
          <w:b w:val="0"/>
          <w:i w:val="0"/>
          <w:sz w:val="15"/>
        </w:rPr>
        <w:t xml:space="preserve">  Privacy: Differential Privacy ε=0.1</w:t>
      </w:r>
    </w:p>
    <w:p>
      <w:pPr>
        <w:spacing w:after="0" w:before="0" w:line="240" w:lineRule="auto"/>
        <w:ind w:left="57"/>
        <w:jc w:val="left"/>
        <w:shd w:val="clear" w:fill="F2F2F2"/>
      </w:pPr>
      <w:r>
        <w:rPr>
          <w:rFonts w:ascii="Consolas" w:hAnsi="Consolas" w:cs="Consolas"/>
          <w:b w:val="0"/>
          <w:i w:val="0"/>
          <w:sz w:val="15"/>
        </w:rPr>
        <w:t xml:space="preserve">  [Save] [Learn More]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8.7.6 Export Capabilities</w:t>
      </w:r>
    </w:p>
    <w:p>
      <w:pPr>
        <w:spacing w:after="80" w:line="293" w:lineRule="auto"/>
        <w:jc w:val="left"/>
      </w:pPr>
      <w:r>
        <w:rPr>
          <w:rFonts w:ascii="Times New Roman" w:hAnsi="Times New Roman" w:cs="Times New Roman"/>
          <w:b w:val="0"/>
          <w:i w:val="0"/>
          <w:sz w:val="22"/>
        </w:rPr>
        <w:t>Export formats: STL (3D model for warehouse display), PNG (screenshot), PDF (report), JSON (loading plan data). Export options: include pallet labels; include dimensions; include heatmap overlay; include layer breakdown; resolution high/medium/low.</w:t>
      </w:r>
    </w:p>
    <w:p>
      <w:pPr>
        <w:keepNext/>
        <w:spacing w:before="180" w:after="80"/>
        <w:outlineLvl w:val="2"/>
      </w:pPr>
      <w:r>
        <w:rPr>
          <w:rFonts w:ascii="Arial" w:hAnsi="Arial" w:cs="Arial"/>
          <w:b/>
          <w:i w:val="0"/>
          <w:color w:val="333333"/>
          <w:sz w:val="23"/>
        </w:rPr>
        <w:t>8.7.7 Integration with Collaborative Editing</w:t>
      </w:r>
    </w:p>
    <w:p>
      <w:pPr>
        <w:spacing w:after="80" w:line="293" w:lineRule="auto"/>
        <w:jc w:val="left"/>
      </w:pPr>
      <w:r>
        <w:rPr>
          <w:rFonts w:ascii="Times New Roman" w:hAnsi="Times New Roman" w:cs="Times New Roman"/>
          <w:b w:val="0"/>
          <w:i w:val="0"/>
          <w:sz w:val="22"/>
        </w:rPr>
        <w:t>The 3D viewer updates in real-time as collaborators edit the packing plan. Real-time update flow:</w:t>
      </w:r>
    </w:p>
    <w:p>
      <w:pPr>
        <w:spacing w:after="80" w:line="293" w:lineRule="auto"/>
        <w:jc w:val="left"/>
      </w:pPr>
      <w:r>
        <w:rPr>
          <w:rFonts w:ascii="Times New Roman" w:hAnsi="Times New Roman" w:cs="Times New Roman"/>
          <w:b w:val="0"/>
          <w:i w:val="0"/>
          <w:sz w:val="22"/>
        </w:rPr>
        <w:t>1. User A moves pallet P3 to a new position. 2. Yjs document updates. 3. The change is propagated to all peers via WebRTC/NATS. 4. All peers receive the update (&lt;200 ms). 5. The 3D viewer animates pallet P3 to the new position. 6. The pallet detail panel updates (if open).</w:t>
      </w:r>
    </w:p>
    <w:p>
      <w:pPr>
        <w:keepNext/>
        <w:spacing w:before="180" w:after="80"/>
        <w:outlineLvl w:val="2"/>
      </w:pPr>
      <w:r>
        <w:rPr>
          <w:rFonts w:ascii="Arial" w:hAnsi="Arial" w:cs="Arial"/>
          <w:b/>
          <w:i w:val="0"/>
          <w:color w:val="333333"/>
          <w:sz w:val="23"/>
        </w:rPr>
        <w:t>8.7.8 Performance Optimisation</w:t>
      </w:r>
    </w:p>
    <w:p>
      <w:pPr>
        <w:spacing w:after="80" w:line="293" w:lineRule="auto"/>
        <w:jc w:val="left"/>
      </w:pPr>
      <w:r>
        <w:rPr>
          <w:rFonts w:ascii="Times New Roman" w:hAnsi="Times New Roman" w:cs="Times New Roman"/>
          <w:b w:val="0"/>
          <w:i w:val="0"/>
          <w:sz w:val="22"/>
        </w:rPr>
        <w:t>Performance targets: initial render &lt;1 s; interaction (rotate/zoom/pan) at 60 fps; 50-pallet scene with heatmap overlay &lt;2 s. Optimisation techniques: Level of Detail (LOD); InstancedMesh for pallets; Frustum Culling; lazy loading; WebGL draw call optimisation.</w:t>
      </w:r>
    </w:p>
    <w:p>
      <w:pPr>
        <w:keepNext/>
        <w:spacing w:before="180" w:after="80"/>
        <w:outlineLvl w:val="2"/>
      </w:pPr>
      <w:r>
        <w:rPr>
          <w:rFonts w:ascii="Arial" w:hAnsi="Arial" w:cs="Arial"/>
          <w:b/>
          <w:i w:val="0"/>
          <w:color w:val="333333"/>
          <w:sz w:val="23"/>
        </w:rPr>
        <w:t>8.7.9 Validation Gates (3D Viewer &amp; Heatmap)</w:t>
      </w:r>
    </w:p>
    <w:p>
      <w:pPr>
        <w:spacing w:after="80" w:line="293" w:lineRule="auto"/>
        <w:ind w:left="283"/>
        <w:jc w:val="left"/>
      </w:pPr>
      <w:r>
        <w:rPr>
          <w:rFonts w:ascii="Times New Roman" w:hAnsi="Times New Roman" w:cs="Times New Roman"/>
          <w:b w:val="0"/>
          <w:i w:val="0"/>
          <w:sz w:val="22"/>
        </w:rPr>
        <w:t>- The 3D viewer is read-only when the packing plan is locked.</w:t>
      </w:r>
    </w:p>
    <w:p>
      <w:pPr>
        <w:spacing w:after="80" w:line="293" w:lineRule="auto"/>
        <w:ind w:left="283"/>
        <w:jc w:val="left"/>
      </w:pPr>
      <w:r>
        <w:rPr>
          <w:rFonts w:ascii="Times New Roman" w:hAnsi="Times New Roman" w:cs="Times New Roman"/>
          <w:b w:val="0"/>
          <w:i w:val="0"/>
          <w:sz w:val="22"/>
        </w:rPr>
        <w:t>- Heatmap display requires opt-in consent state; opted-out tenants see no heatmap and contribute no data.</w:t>
      </w:r>
    </w:p>
    <w:p>
      <w:pPr>
        <w:spacing w:after="80" w:line="293" w:lineRule="auto"/>
        <w:ind w:left="283"/>
        <w:jc w:val="left"/>
      </w:pPr>
      <w:r>
        <w:rPr>
          <w:rFonts w:ascii="Times New Roman" w:hAnsi="Times New Roman" w:cs="Times New Roman"/>
          <w:b w:val="0"/>
          <w:i w:val="0"/>
          <w:sz w:val="22"/>
        </w:rPr>
        <w:t>- Heatmap data always carries privacy_epsilon and sample_size metadata; display is suppressed when sample size is below the confidence threshold.</w:t>
      </w:r>
    </w:p>
    <w:p>
      <w:pPr>
        <w:spacing w:after="80" w:line="293" w:lineRule="auto"/>
        <w:ind w:left="283"/>
        <w:jc w:val="left"/>
      </w:pPr>
      <w:r>
        <w:rPr>
          <w:rFonts w:ascii="Times New Roman" w:hAnsi="Times New Roman" w:cs="Times New Roman"/>
          <w:b w:val="0"/>
          <w:i w:val="0"/>
          <w:sz w:val="22"/>
        </w:rPr>
        <w:t>- Exports are logged (format, actor, timestamp, Loom hash).</w:t>
      </w:r>
    </w:p>
    <w:p>
      <w:pPr>
        <w:keepNext/>
        <w:spacing w:before="180" w:after="80"/>
        <w:outlineLvl w:val="2"/>
      </w:pPr>
      <w:r>
        <w:rPr>
          <w:rFonts w:ascii="Arial" w:hAnsi="Arial" w:cs="Arial"/>
          <w:b/>
          <w:i w:val="0"/>
          <w:color w:val="333333"/>
          <w:sz w:val="23"/>
        </w:rPr>
        <w:t>8.7.10 Database Schema Additions</w:t>
      </w:r>
    </w:p>
    <w:p>
      <w:pPr>
        <w:spacing w:after="0" w:before="0" w:line="240" w:lineRule="auto"/>
        <w:ind w:left="57"/>
        <w:jc w:val="left"/>
        <w:shd w:val="clear" w:fill="F2F2F2"/>
      </w:pPr>
      <w:r>
        <w:rPr>
          <w:rFonts w:ascii="Consolas" w:hAnsi="Consolas" w:cs="Consolas"/>
          <w:b w:val="0"/>
          <w:i w:val="0"/>
          <w:sz w:val="15"/>
        </w:rPr>
        <w:t>-- 3D viewer layouts (cached for performance)</w:t>
      </w:r>
    </w:p>
    <w:p>
      <w:pPr>
        <w:spacing w:after="0" w:before="0" w:line="240" w:lineRule="auto"/>
        <w:ind w:left="57"/>
        <w:jc w:val="left"/>
        <w:shd w:val="clear" w:fill="F2F2F2"/>
      </w:pPr>
      <w:r>
        <w:rPr>
          <w:rFonts w:ascii="Consolas" w:hAnsi="Consolas" w:cs="Consolas"/>
          <w:b w:val="0"/>
          <w:i w:val="0"/>
          <w:sz w:val="15"/>
        </w:rPr>
        <w:t>CREATE TABLE three_d_layouts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layout_data JSONB NOT NULL, -- Three.js scene data</w:t>
      </w:r>
    </w:p>
    <w:p>
      <w:pPr>
        <w:spacing w:after="0" w:before="0" w:line="240" w:lineRule="auto"/>
        <w:ind w:left="57"/>
        <w:jc w:val="left"/>
        <w:shd w:val="clear" w:fill="F2F2F2"/>
      </w:pPr>
      <w:r>
        <w:rPr>
          <w:rFonts w:ascii="Consolas" w:hAnsi="Consolas" w:cs="Consolas"/>
          <w:b w:val="0"/>
          <w:i w:val="0"/>
          <w:sz w:val="15"/>
        </w:rPr>
        <w:t xml:space="preserve">    version INTEGER NOT NULL,</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generated_by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UNIQUE(packing_plan_id, version)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Capacity heatmap data (anonymised, differential privacy)</w:t>
      </w:r>
    </w:p>
    <w:p>
      <w:pPr>
        <w:spacing w:after="0" w:before="0" w:line="240" w:lineRule="auto"/>
        <w:ind w:left="57"/>
        <w:jc w:val="left"/>
        <w:shd w:val="clear" w:fill="F2F2F2"/>
      </w:pPr>
      <w:r>
        <w:rPr>
          <w:rFonts w:ascii="Consolas" w:hAnsi="Consolas" w:cs="Consolas"/>
          <w:b w:val="0"/>
          <w:i w:val="0"/>
          <w:sz w:val="15"/>
        </w:rPr>
        <w:t>CREATE TABLE capacity_heatmap_data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route_id TEXT NOT NULL,</w:t>
      </w:r>
    </w:p>
    <w:p>
      <w:pPr>
        <w:spacing w:after="0" w:before="0" w:line="240" w:lineRule="auto"/>
        <w:ind w:left="57"/>
        <w:jc w:val="left"/>
        <w:shd w:val="clear" w:fill="F2F2F2"/>
      </w:pPr>
      <w:r>
        <w:rPr>
          <w:rFonts w:ascii="Consolas" w:hAnsi="Consolas" w:cs="Consolas"/>
          <w:b w:val="0"/>
          <w:i w:val="0"/>
          <w:sz w:val="15"/>
        </w:rPr>
        <w:t xml:space="preserve">    commodity_type TEXT NOT NULL,</w:t>
      </w:r>
    </w:p>
    <w:p>
      <w:pPr>
        <w:spacing w:after="0" w:before="0" w:line="240" w:lineRule="auto"/>
        <w:ind w:left="57"/>
        <w:jc w:val="left"/>
        <w:shd w:val="clear" w:fill="F2F2F2"/>
      </w:pPr>
      <w:r>
        <w:rPr>
          <w:rFonts w:ascii="Consolas" w:hAnsi="Consolas" w:cs="Consolas"/>
          <w:b w:val="0"/>
          <w:i w:val="0"/>
          <w:sz w:val="15"/>
        </w:rPr>
        <w:t xml:space="preserve">    container_type TEXT NOT NULL,</w:t>
      </w:r>
    </w:p>
    <w:p>
      <w:pPr>
        <w:spacing w:after="0" w:before="0" w:line="240" w:lineRule="auto"/>
        <w:ind w:left="57"/>
        <w:jc w:val="left"/>
        <w:shd w:val="clear" w:fill="F2F2F2"/>
      </w:pPr>
      <w:r>
        <w:rPr>
          <w:rFonts w:ascii="Consolas" w:hAnsi="Consolas" w:cs="Consolas"/>
          <w:b w:val="0"/>
          <w:i w:val="0"/>
          <w:sz w:val="15"/>
        </w:rPr>
        <w:t xml:space="preserve">    grid_data JSONB NOT NULL, -- [{x, y, density, sample_count}]</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sample_size INTEGER,</w:t>
      </w:r>
    </w:p>
    <w:p>
      <w:pPr>
        <w:spacing w:after="0" w:before="0" w:line="240" w:lineRule="auto"/>
        <w:ind w:left="57"/>
        <w:jc w:val="left"/>
        <w:shd w:val="clear" w:fill="F2F2F2"/>
      </w:pPr>
      <w:r>
        <w:rPr>
          <w:rFonts w:ascii="Consolas" w:hAnsi="Consolas" w:cs="Consolas"/>
          <w:b w:val="0"/>
          <w:i w:val="0"/>
          <w:sz w:val="15"/>
        </w:rPr>
        <w:t xml:space="preserve">    privacy_epsilon DECIMAL(5,2) DEFAULT 0.1,</w:t>
      </w:r>
    </w:p>
    <w:p>
      <w:pPr>
        <w:spacing w:after="0" w:before="0" w:line="240" w:lineRule="auto"/>
        <w:ind w:left="57"/>
        <w:jc w:val="left"/>
        <w:shd w:val="clear" w:fill="F2F2F2"/>
      </w:pPr>
      <w:r>
        <w:rPr>
          <w:rFonts w:ascii="Consolas" w:hAnsi="Consolas" w:cs="Consolas"/>
          <w:b w:val="0"/>
          <w:i w:val="0"/>
          <w:sz w:val="15"/>
        </w:rPr>
        <w:t xml:space="preserve">    measured_at DATE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Heatmap opt-out registry</w:t>
      </w:r>
    </w:p>
    <w:p>
      <w:pPr>
        <w:spacing w:after="0" w:before="0" w:line="240" w:lineRule="auto"/>
        <w:ind w:left="57"/>
        <w:jc w:val="left"/>
        <w:shd w:val="clear" w:fill="F2F2F2"/>
      </w:pPr>
      <w:r>
        <w:rPr>
          <w:rFonts w:ascii="Consolas" w:hAnsi="Consolas" w:cs="Consolas"/>
          <w:b w:val="0"/>
          <w:i w:val="0"/>
          <w:sz w:val="15"/>
        </w:rPr>
        <w:t>CREATE TABLE heatmap_opt_out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tenant_gtid TEXT NOT NULL REFERENCES tenants(gtid) ON DELETE CASCADE,</w:t>
      </w:r>
    </w:p>
    <w:p>
      <w:pPr>
        <w:spacing w:after="0" w:before="0" w:line="240" w:lineRule="auto"/>
        <w:ind w:left="57"/>
        <w:jc w:val="left"/>
        <w:shd w:val="clear" w:fill="F2F2F2"/>
      </w:pPr>
      <w:r>
        <w:rPr>
          <w:rFonts w:ascii="Consolas" w:hAnsi="Consolas" w:cs="Consolas"/>
          <w:b w:val="0"/>
          <w:i w:val="0"/>
          <w:sz w:val="15"/>
        </w:rPr>
        <w:t xml:space="preserve">    opted_out_at TIMESTAMPTZ DEFAULT NOW(),</w:t>
      </w:r>
    </w:p>
    <w:p>
      <w:pPr>
        <w:spacing w:after="0" w:before="0" w:line="240" w:lineRule="auto"/>
        <w:ind w:left="57"/>
        <w:jc w:val="left"/>
        <w:shd w:val="clear" w:fill="F2F2F2"/>
      </w:pPr>
      <w:r>
        <w:rPr>
          <w:rFonts w:ascii="Consolas" w:hAnsi="Consolas" w:cs="Consolas"/>
          <w:b w:val="0"/>
          <w:i w:val="0"/>
          <w:sz w:val="15"/>
        </w:rPr>
        <w:t xml:space="preserve">    opted_in_at TIMESTAMPTZ,</w:t>
      </w:r>
    </w:p>
    <w:p>
      <w:pPr>
        <w:spacing w:after="0" w:before="0" w:line="240" w:lineRule="auto"/>
        <w:ind w:left="57"/>
        <w:jc w:val="left"/>
        <w:shd w:val="clear" w:fill="F2F2F2"/>
      </w:pPr>
      <w:r>
        <w:rPr>
          <w:rFonts w:ascii="Consolas" w:hAnsi="Consolas" w:cs="Consolas"/>
          <w:b w:val="0"/>
          <w:i w:val="0"/>
          <w:sz w:val="15"/>
        </w:rPr>
        <w:t xml:space="preserve">    consent_version TEXT DEFAULT 'v1.0',</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UNIQUE(tenant_gtid)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Export logs</w:t>
      </w:r>
    </w:p>
    <w:p>
      <w:pPr>
        <w:spacing w:after="0" w:before="0" w:line="240" w:lineRule="auto"/>
        <w:ind w:left="57"/>
        <w:jc w:val="left"/>
        <w:shd w:val="clear" w:fill="F2F2F2"/>
      </w:pPr>
      <w:r>
        <w:rPr>
          <w:rFonts w:ascii="Consolas" w:hAnsi="Consolas" w:cs="Consolas"/>
          <w:b w:val="0"/>
          <w:i w:val="0"/>
          <w:sz w:val="15"/>
        </w:rPr>
        <w:t>CREATE TABLE heatmap_export_logs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packing_plan_id UUID NOT NULL REFERENCES packing_plans(id) ON DELETE CASCADE,</w:t>
      </w:r>
    </w:p>
    <w:p>
      <w:pPr>
        <w:spacing w:after="0" w:before="0" w:line="240" w:lineRule="auto"/>
        <w:ind w:left="57"/>
        <w:jc w:val="left"/>
        <w:shd w:val="clear" w:fill="F2F2F2"/>
      </w:pPr>
      <w:r>
        <w:rPr>
          <w:rFonts w:ascii="Consolas" w:hAnsi="Consolas" w:cs="Consolas"/>
          <w:b w:val="0"/>
          <w:i w:val="0"/>
          <w:sz w:val="15"/>
        </w:rPr>
        <w:t xml:space="preserve">    exported_by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format TEXT NOT NULL, -- 'STL', 'PNG', 'PDF', 'JSON'</w:t>
      </w:r>
    </w:p>
    <w:p>
      <w:pPr>
        <w:spacing w:after="0" w:before="0" w:line="240" w:lineRule="auto"/>
        <w:ind w:left="57"/>
        <w:jc w:val="left"/>
        <w:shd w:val="clear" w:fill="F2F2F2"/>
      </w:pPr>
      <w:r>
        <w:rPr>
          <w:rFonts w:ascii="Consolas" w:hAnsi="Consolas" w:cs="Consolas"/>
          <w:b w:val="0"/>
          <w:i w:val="0"/>
          <w:sz w:val="15"/>
        </w:rPr>
        <w:t xml:space="preserve">    file_url TEXT,</w:t>
      </w:r>
    </w:p>
    <w:p>
      <w:pPr>
        <w:spacing w:after="0" w:before="0" w:line="240" w:lineRule="auto"/>
        <w:ind w:left="57"/>
        <w:jc w:val="left"/>
        <w:shd w:val="clear" w:fill="F2F2F2"/>
      </w:pPr>
      <w:r>
        <w:rPr>
          <w:rFonts w:ascii="Consolas" w:hAnsi="Consolas" w:cs="Consolas"/>
          <w:b w:val="0"/>
          <w:i w:val="0"/>
          <w:sz w:val="15"/>
        </w:rPr>
        <w:t xml:space="preserve">    exported_at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idx_three_d_layouts_packing_plan ON three_d_layouts(packing_plan_id);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idx_capacity_heatmap_data_route ON capacity_heatmap_data(route_id, commodity_type);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idx_capacity_heatmap_data_measured ON capacity_heatmap_data(measured_at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idx_heatmap_opt_out_tenant ON heatmap_opt_out(tenant_gtid);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idx_heatmap_export_logs_packing_plan ON heatmap_export_logs(packing_plan_id);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8.7.11 Implementation Checklist</w:t>
      </w:r>
    </w:p>
    <w:p>
      <w:pPr>
        <w:spacing w:after="80" w:line="293" w:lineRule="auto"/>
        <w:jc w:val="left"/>
      </w:pPr>
      <w:r>
        <w:rPr>
          <w:rFonts w:ascii="Times New Roman" w:hAnsi="Times New Roman" w:cs="Times New Roman"/>
          <w:b w:val="0"/>
          <w:i w:val="0"/>
          <w:sz w:val="22"/>
        </w:rPr>
        <w:t>Core 3D viewer:</w:t>
      </w:r>
    </w:p>
    <w:p>
      <w:pPr>
        <w:spacing w:after="80" w:line="293" w:lineRule="auto"/>
        <w:ind w:left="283"/>
        <w:jc w:val="left"/>
      </w:pPr>
      <w:r>
        <w:rPr>
          <w:rFonts w:ascii="Times New Roman" w:hAnsi="Times New Roman" w:cs="Times New Roman"/>
          <w:b w:val="0"/>
          <w:i w:val="0"/>
          <w:sz w:val="22"/>
        </w:rPr>
        <w:t>- Set up Three.js scene (renderer, camera, lights)</w:t>
      </w:r>
    </w:p>
    <w:p>
      <w:pPr>
        <w:spacing w:after="80" w:line="293" w:lineRule="auto"/>
        <w:ind w:left="283"/>
        <w:jc w:val="left"/>
      </w:pPr>
      <w:r>
        <w:rPr>
          <w:rFonts w:ascii="Times New Roman" w:hAnsi="Times New Roman" w:cs="Times New Roman"/>
          <w:b w:val="0"/>
          <w:i w:val="0"/>
          <w:sz w:val="22"/>
        </w:rPr>
        <w:t>- Implement OrbitControls (rotate, zoom, pan)</w:t>
      </w:r>
    </w:p>
    <w:p>
      <w:pPr>
        <w:spacing w:after="80" w:line="293" w:lineRule="auto"/>
        <w:ind w:left="283"/>
        <w:jc w:val="left"/>
      </w:pPr>
      <w:r>
        <w:rPr>
          <w:rFonts w:ascii="Times New Roman" w:hAnsi="Times New Roman" w:cs="Times New Roman"/>
          <w:b w:val="0"/>
          <w:i w:val="0"/>
          <w:sz w:val="22"/>
        </w:rPr>
        <w:t>- Implement container/ULD/wagon/trailer rendering (transport mode-aware)</w:t>
      </w:r>
    </w:p>
    <w:p>
      <w:pPr>
        <w:spacing w:after="80" w:line="293" w:lineRule="auto"/>
        <w:ind w:left="283"/>
        <w:jc w:val="left"/>
      </w:pPr>
      <w:r>
        <w:rPr>
          <w:rFonts w:ascii="Times New Roman" w:hAnsi="Times New Roman" w:cs="Times New Roman"/>
          <w:b w:val="0"/>
          <w:i w:val="0"/>
          <w:sz w:val="22"/>
        </w:rPr>
        <w:t>- Implement pallet rendering (with colour coding)</w:t>
      </w:r>
    </w:p>
    <w:p>
      <w:pPr>
        <w:spacing w:after="80" w:line="293" w:lineRule="auto"/>
        <w:ind w:left="283"/>
        <w:jc w:val="left"/>
      </w:pPr>
      <w:r>
        <w:rPr>
          <w:rFonts w:ascii="Times New Roman" w:hAnsi="Times New Roman" w:cs="Times New Roman"/>
          <w:b w:val="0"/>
          <w:i w:val="0"/>
          <w:sz w:val="22"/>
        </w:rPr>
        <w:t>- Implement pallet interaction (click, hover, double-click)</w:t>
      </w:r>
    </w:p>
    <w:p>
      <w:pPr>
        <w:spacing w:after="80" w:line="293" w:lineRule="auto"/>
        <w:ind w:left="283"/>
        <w:jc w:val="left"/>
      </w:pPr>
      <w:r>
        <w:rPr>
          <w:rFonts w:ascii="Times New Roman" w:hAnsi="Times New Roman" w:cs="Times New Roman"/>
          <w:b w:val="0"/>
          <w:i w:val="0"/>
          <w:sz w:val="22"/>
        </w:rPr>
        <w:t>- Implement pallet detail panel</w:t>
      </w:r>
    </w:p>
    <w:p>
      <w:pPr>
        <w:spacing w:after="80" w:line="293" w:lineRule="auto"/>
        <w:ind w:left="283"/>
        <w:jc w:val="left"/>
      </w:pPr>
      <w:r>
        <w:rPr>
          <w:rFonts w:ascii="Times New Roman" w:hAnsi="Times New Roman" w:cs="Times New Roman"/>
          <w:b w:val="0"/>
          <w:i w:val="0"/>
          <w:sz w:val="22"/>
        </w:rPr>
        <w:t>- Implement view modes (3D, Top, Side, Front, Section)</w:t>
      </w:r>
    </w:p>
    <w:p>
      <w:pPr>
        <w:spacing w:after="80" w:line="293" w:lineRule="auto"/>
        <w:ind w:left="283"/>
        <w:jc w:val="left"/>
      </w:pPr>
      <w:r>
        <w:rPr>
          <w:rFonts w:ascii="Times New Roman" w:hAnsi="Times New Roman" w:cs="Times New Roman"/>
          <w:b w:val="0"/>
          <w:i w:val="0"/>
          <w:sz w:val="22"/>
        </w:rPr>
        <w:t>- Implement auto-rotate toggle</w:t>
      </w:r>
    </w:p>
    <w:p>
      <w:pPr>
        <w:spacing w:after="80" w:line="293" w:lineRule="auto"/>
        <w:jc w:val="left"/>
      </w:pPr>
      <w:r>
        <w:rPr>
          <w:rFonts w:ascii="Times New Roman" w:hAnsi="Times New Roman" w:cs="Times New Roman"/>
          <w:b w:val="0"/>
          <w:i w:val="0"/>
          <w:sz w:val="22"/>
        </w:rPr>
        <w:t>Capacity heatmap:</w:t>
      </w:r>
    </w:p>
    <w:p>
      <w:pPr>
        <w:spacing w:after="80" w:line="293" w:lineRule="auto"/>
        <w:ind w:left="283"/>
        <w:jc w:val="left"/>
      </w:pPr>
      <w:r>
        <w:rPr>
          <w:rFonts w:ascii="Times New Roman" w:hAnsi="Times New Roman" w:cs="Times New Roman"/>
          <w:b w:val="0"/>
          <w:i w:val="0"/>
          <w:sz w:val="22"/>
        </w:rPr>
        <w:t>- Implement heatmap data aggregation (anonymised)</w:t>
      </w:r>
    </w:p>
    <w:p>
      <w:pPr>
        <w:spacing w:after="80" w:line="293" w:lineRule="auto"/>
        <w:ind w:left="283"/>
        <w:jc w:val="left"/>
      </w:pPr>
      <w:r>
        <w:rPr>
          <w:rFonts w:ascii="Times New Roman" w:hAnsi="Times New Roman" w:cs="Times New Roman"/>
          <w:b w:val="0"/>
          <w:i w:val="0"/>
          <w:sz w:val="22"/>
        </w:rPr>
        <w:t>- Implement differential privacy (OpenDP, ε=0.1)</w:t>
      </w:r>
    </w:p>
    <w:p>
      <w:pPr>
        <w:spacing w:after="80" w:line="293" w:lineRule="auto"/>
        <w:ind w:left="283"/>
        <w:jc w:val="left"/>
      </w:pPr>
      <w:r>
        <w:rPr>
          <w:rFonts w:ascii="Times New Roman" w:hAnsi="Times New Roman" w:cs="Times New Roman"/>
          <w:b w:val="0"/>
          <w:i w:val="0"/>
          <w:sz w:val="22"/>
        </w:rPr>
        <w:t>- Implement heatmap overlay rendering (Canvas overlay on 3D view)</w:t>
      </w:r>
    </w:p>
    <w:p>
      <w:pPr>
        <w:spacing w:after="80" w:line="293" w:lineRule="auto"/>
        <w:ind w:left="283"/>
        <w:jc w:val="left"/>
      </w:pPr>
      <w:r>
        <w:rPr>
          <w:rFonts w:ascii="Times New Roman" w:hAnsi="Times New Roman" w:cs="Times New Roman"/>
          <w:b w:val="0"/>
          <w:i w:val="0"/>
          <w:sz w:val="22"/>
        </w:rPr>
        <w:t>- Implement colour coding (green/yellow/red)</w:t>
      </w:r>
    </w:p>
    <w:p>
      <w:pPr>
        <w:spacing w:after="80" w:line="293" w:lineRule="auto"/>
        <w:ind w:left="283"/>
        <w:jc w:val="left"/>
      </w:pPr>
      <w:r>
        <w:rPr>
          <w:rFonts w:ascii="Times New Roman" w:hAnsi="Times New Roman" w:cs="Times New Roman"/>
          <w:b w:val="0"/>
          <w:i w:val="0"/>
          <w:sz w:val="22"/>
        </w:rPr>
        <w:t>- Implement heatmap insights (A1, Groq)</w:t>
      </w:r>
    </w:p>
    <w:p>
      <w:pPr>
        <w:spacing w:after="80" w:line="293" w:lineRule="auto"/>
        <w:ind w:left="283"/>
        <w:jc w:val="left"/>
      </w:pPr>
      <w:r>
        <w:rPr>
          <w:rFonts w:ascii="Times New Roman" w:hAnsi="Times New Roman" w:cs="Times New Roman"/>
          <w:b w:val="0"/>
          <w:i w:val="0"/>
          <w:sz w:val="22"/>
        </w:rPr>
        <w:t>- Implement opt-out mechanism</w:t>
      </w:r>
    </w:p>
    <w:p>
      <w:pPr>
        <w:spacing w:after="80" w:line="293" w:lineRule="auto"/>
        <w:ind w:left="283"/>
        <w:jc w:val="left"/>
      </w:pPr>
      <w:r>
        <w:rPr>
          <w:rFonts w:ascii="Times New Roman" w:hAnsi="Times New Roman" w:cs="Times New Roman"/>
          <w:b w:val="0"/>
          <w:i w:val="0"/>
          <w:sz w:val="22"/>
        </w:rPr>
        <w:t>- Implement heatmap export</w:t>
      </w:r>
    </w:p>
    <w:p>
      <w:pPr>
        <w:spacing w:after="80" w:line="293" w:lineRule="auto"/>
        <w:jc w:val="left"/>
      </w:pPr>
      <w:r>
        <w:rPr>
          <w:rFonts w:ascii="Times New Roman" w:hAnsi="Times New Roman" w:cs="Times New Roman"/>
          <w:b w:val="0"/>
          <w:i w:val="0"/>
          <w:sz w:val="22"/>
        </w:rPr>
        <w:t>Export:</w:t>
      </w:r>
    </w:p>
    <w:p>
      <w:pPr>
        <w:spacing w:after="80" w:line="293" w:lineRule="auto"/>
        <w:ind w:left="283"/>
        <w:jc w:val="left"/>
      </w:pPr>
      <w:r>
        <w:rPr>
          <w:rFonts w:ascii="Times New Roman" w:hAnsi="Times New Roman" w:cs="Times New Roman"/>
          <w:b w:val="0"/>
          <w:i w:val="0"/>
          <w:sz w:val="22"/>
        </w:rPr>
        <w:t>- Implement STL export (Three.js STL exporter)</w:t>
      </w:r>
    </w:p>
    <w:p>
      <w:pPr>
        <w:spacing w:after="80" w:line="293" w:lineRule="auto"/>
        <w:ind w:left="283"/>
        <w:jc w:val="left"/>
      </w:pPr>
      <w:r>
        <w:rPr>
          <w:rFonts w:ascii="Times New Roman" w:hAnsi="Times New Roman" w:cs="Times New Roman"/>
          <w:b w:val="0"/>
          <w:i w:val="0"/>
          <w:sz w:val="22"/>
        </w:rPr>
        <w:t>- Implement PNG export (canvas screenshot)</w:t>
      </w:r>
    </w:p>
    <w:p>
      <w:pPr>
        <w:spacing w:after="80" w:line="293" w:lineRule="auto"/>
        <w:ind w:left="283"/>
        <w:jc w:val="left"/>
      </w:pPr>
      <w:r>
        <w:rPr>
          <w:rFonts w:ascii="Times New Roman" w:hAnsi="Times New Roman" w:cs="Times New Roman"/>
          <w:b w:val="0"/>
          <w:i w:val="0"/>
          <w:sz w:val="22"/>
        </w:rPr>
        <w:t>- Implement PDF export (report generation)</w:t>
      </w:r>
    </w:p>
    <w:p>
      <w:pPr>
        <w:spacing w:after="80" w:line="293" w:lineRule="auto"/>
        <w:ind w:left="283"/>
        <w:jc w:val="left"/>
      </w:pPr>
      <w:r>
        <w:rPr>
          <w:rFonts w:ascii="Times New Roman" w:hAnsi="Times New Roman" w:cs="Times New Roman"/>
          <w:b w:val="0"/>
          <w:i w:val="0"/>
          <w:sz w:val="22"/>
        </w:rPr>
        <w:t>- Implement JSON export (loading plan data)</w:t>
      </w:r>
    </w:p>
    <w:p>
      <w:pPr>
        <w:spacing w:after="80" w:line="293" w:lineRule="auto"/>
        <w:jc w:val="left"/>
      </w:pPr>
      <w:r>
        <w:rPr>
          <w:rFonts w:ascii="Times New Roman" w:hAnsi="Times New Roman" w:cs="Times New Roman"/>
          <w:b w:val="0"/>
          <w:i w:val="0"/>
          <w:sz w:val="22"/>
        </w:rPr>
        <w:t>Performance:</w:t>
      </w:r>
    </w:p>
    <w:p>
      <w:pPr>
        <w:spacing w:after="80" w:line="293" w:lineRule="auto"/>
        <w:ind w:left="283"/>
        <w:jc w:val="left"/>
      </w:pPr>
      <w:r>
        <w:rPr>
          <w:rFonts w:ascii="Times New Roman" w:hAnsi="Times New Roman" w:cs="Times New Roman"/>
          <w:b w:val="0"/>
          <w:i w:val="0"/>
          <w:sz w:val="22"/>
        </w:rPr>
        <w:t>- Implement Level of Detail (LOD)</w:t>
      </w:r>
    </w:p>
    <w:p>
      <w:pPr>
        <w:spacing w:after="80" w:line="293" w:lineRule="auto"/>
        <w:ind w:left="283"/>
        <w:jc w:val="left"/>
      </w:pPr>
      <w:r>
        <w:rPr>
          <w:rFonts w:ascii="Times New Roman" w:hAnsi="Times New Roman" w:cs="Times New Roman"/>
          <w:b w:val="0"/>
          <w:i w:val="0"/>
          <w:sz w:val="22"/>
        </w:rPr>
        <w:t>- Implement InstancedMesh for pallets</w:t>
      </w:r>
    </w:p>
    <w:p>
      <w:pPr>
        <w:spacing w:after="80" w:line="293" w:lineRule="auto"/>
        <w:ind w:left="283"/>
        <w:jc w:val="left"/>
      </w:pPr>
      <w:r>
        <w:rPr>
          <w:rFonts w:ascii="Times New Roman" w:hAnsi="Times New Roman" w:cs="Times New Roman"/>
          <w:b w:val="0"/>
          <w:i w:val="0"/>
          <w:sz w:val="22"/>
        </w:rPr>
        <w:t>- Implement Frustum Culling</w:t>
      </w:r>
    </w:p>
    <w:p>
      <w:pPr>
        <w:spacing w:after="80" w:line="293" w:lineRule="auto"/>
        <w:ind w:left="283"/>
        <w:jc w:val="left"/>
      </w:pPr>
      <w:r>
        <w:rPr>
          <w:rFonts w:ascii="Times New Roman" w:hAnsi="Times New Roman" w:cs="Times New Roman"/>
          <w:b w:val="0"/>
          <w:i w:val="0"/>
          <w:sz w:val="22"/>
        </w:rPr>
        <w:t>- Implement lazy loading</w:t>
      </w:r>
    </w:p>
    <w:p>
      <w:pPr>
        <w:spacing w:after="80" w:line="293" w:lineRule="auto"/>
        <w:ind w:left="283"/>
        <w:jc w:val="left"/>
      </w:pPr>
      <w:r>
        <w:rPr>
          <w:rFonts w:ascii="Times New Roman" w:hAnsi="Times New Roman" w:cs="Times New Roman"/>
          <w:b w:val="0"/>
          <w:i w:val="0"/>
          <w:sz w:val="22"/>
        </w:rPr>
        <w:t>- Optimise WebGL draw calls</w:t>
      </w:r>
    </w:p>
    <w:p>
      <w:pPr>
        <w:spacing w:after="80" w:line="293" w:lineRule="auto"/>
        <w:jc w:val="left"/>
      </w:pPr>
      <w:r>
        <w:rPr>
          <w:rFonts w:ascii="Times New Roman" w:hAnsi="Times New Roman" w:cs="Times New Roman"/>
          <w:b w:val="0"/>
          <w:i w:val="0"/>
          <w:sz w:val="22"/>
        </w:rPr>
        <w:t>Integration:</w:t>
      </w:r>
    </w:p>
    <w:p>
      <w:pPr>
        <w:spacing w:after="80" w:line="293" w:lineRule="auto"/>
        <w:ind w:left="283"/>
        <w:jc w:val="left"/>
      </w:pPr>
      <w:r>
        <w:rPr>
          <w:rFonts w:ascii="Times New Roman" w:hAnsi="Times New Roman" w:cs="Times New Roman"/>
          <w:b w:val="0"/>
          <w:i w:val="0"/>
          <w:sz w:val="22"/>
        </w:rPr>
        <w:t>- Integrate with collaborative editing (real-time updates via NATS)</w:t>
      </w:r>
    </w:p>
    <w:p>
      <w:pPr>
        <w:spacing w:after="80" w:line="293" w:lineRule="auto"/>
        <w:ind w:left="283"/>
        <w:jc w:val="left"/>
      </w:pPr>
      <w:r>
        <w:rPr>
          <w:rFonts w:ascii="Times New Roman" w:hAnsi="Times New Roman" w:cs="Times New Roman"/>
          <w:b w:val="0"/>
          <w:i w:val="0"/>
          <w:sz w:val="22"/>
        </w:rPr>
        <w:t>- Integrate with packing plan data</w:t>
      </w:r>
    </w:p>
    <w:p>
      <w:pPr>
        <w:spacing w:after="80" w:line="293" w:lineRule="auto"/>
        <w:ind w:left="283"/>
        <w:jc w:val="left"/>
      </w:pPr>
      <w:r>
        <w:rPr>
          <w:rFonts w:ascii="Times New Roman" w:hAnsi="Times New Roman" w:cs="Times New Roman"/>
          <w:b w:val="0"/>
          <w:i w:val="0"/>
          <w:sz w:val="22"/>
        </w:rPr>
        <w:t>- Integrate with Trade Memory Layer (heatmap data)</w:t>
      </w:r>
    </w:p>
    <w:p>
      <w:pPr>
        <w:spacing w:after="80" w:line="293" w:lineRule="auto"/>
        <w:ind w:left="283"/>
        <w:jc w:val="left"/>
      </w:pPr>
      <w:r>
        <w:rPr>
          <w:rFonts w:ascii="Times New Roman" w:hAnsi="Times New Roman" w:cs="Times New Roman"/>
          <w:b w:val="0"/>
          <w:i w:val="0"/>
          <w:sz w:val="22"/>
        </w:rPr>
        <w:t>- Integrate with permission system (view-only if locked)</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heatmap calculation; differential privacy; export formats</w:t>
      </w:r>
    </w:p>
    <w:p>
      <w:pPr>
        <w:spacing w:after="80" w:line="293" w:lineRule="auto"/>
        <w:ind w:left="283"/>
        <w:jc w:val="left"/>
      </w:pPr>
      <w:r>
        <w:rPr>
          <w:rFonts w:ascii="Times New Roman" w:hAnsi="Times New Roman" w:cs="Times New Roman"/>
          <w:b w:val="0"/>
          <w:i w:val="0"/>
          <w:sz w:val="22"/>
        </w:rPr>
        <w:t>- Integration tests: 3D viewer ↔ packing plan data; heatmap ↔ Trade Memory Layer</w:t>
      </w:r>
    </w:p>
    <w:p>
      <w:pPr>
        <w:spacing w:after="80" w:line="293" w:lineRule="auto"/>
        <w:ind w:left="283"/>
        <w:jc w:val="left"/>
      </w:pPr>
      <w:r>
        <w:rPr>
          <w:rFonts w:ascii="Times New Roman" w:hAnsi="Times New Roman" w:cs="Times New Roman"/>
          <w:b w:val="0"/>
          <w:i w:val="0"/>
          <w:sz w:val="22"/>
        </w:rPr>
        <w:t>- Performance tests: 3D viewer with 50 pallets</w:t>
      </w:r>
    </w:p>
    <w:p>
      <w:pPr>
        <w:spacing w:after="80" w:line="293" w:lineRule="auto"/>
        <w:ind w:left="283"/>
        <w:jc w:val="left"/>
      </w:pPr>
      <w:r>
        <w:rPr>
          <w:rFonts w:ascii="Times New Roman" w:hAnsi="Times New Roman" w:cs="Times New Roman"/>
          <w:b w:val="0"/>
          <w:i w:val="0"/>
          <w:sz w:val="22"/>
        </w:rPr>
        <w:t>- End-to-end tests: full 3D viewer workflow</w:t>
      </w:r>
    </w:p>
    <w:p>
      <w:pPr>
        <w:keepNext/>
        <w:spacing w:before="180" w:after="80"/>
        <w:outlineLvl w:val="2"/>
      </w:pPr>
      <w:r>
        <w:rPr>
          <w:rFonts w:ascii="Arial" w:hAnsi="Arial" w:cs="Arial"/>
          <w:b/>
          <w:i w:val="0"/>
          <w:color w:val="333333"/>
          <w:sz w:val="23"/>
        </w:rPr>
        <w:t>8.7.12 AI Authority Summary</w:t>
      </w:r>
    </w:p>
    <w:p>
      <w:pPr>
        <w:spacing w:after="80" w:line="293" w:lineRule="auto"/>
        <w:jc w:val="left"/>
      </w:pPr>
      <w:r>
        <w:rPr>
          <w:rFonts w:ascii="Times New Roman" w:hAnsi="Times New Roman" w:cs="Times New Roman"/>
          <w:b w:val="0"/>
          <w:i w:val="0"/>
          <w:sz w:val="22"/>
        </w:rPr>
        <w:t>A1 (Groq) generates heatmap insight narratives (advisory). A4 (OPA + WasmEdge) enforces consent, lock-state read-only enforcement, and export logging. The heatmap computation itself is deterministic code with OpenDP noise application; AI never alters density values or fabricates historical data.</w:t>
      </w:r>
    </w:p>
    <w:p>
      <w:pPr>
        <w:keepNext/>
        <w:spacing w:before="240" w:after="100"/>
        <w:outlineLvl w:val="1"/>
      </w:pPr>
      <w:r>
        <w:rPr>
          <w:rFonts w:ascii="Arial" w:hAnsi="Arial" w:cs="Arial"/>
          <w:b/>
          <w:i w:val="0"/>
          <w:color w:val="2E528F"/>
          <w:sz w:val="26"/>
        </w:rPr>
        <w:t>8.8 Automated Invoice Generation</w:t>
      </w:r>
    </w:p>
    <w:p>
      <w:pPr>
        <w:keepNext/>
        <w:spacing w:before="180" w:after="80"/>
        <w:outlineLvl w:val="2"/>
      </w:pPr>
      <w:r>
        <w:rPr>
          <w:rFonts w:ascii="Arial" w:hAnsi="Arial" w:cs="Arial"/>
          <w:b/>
          <w:i w:val="0"/>
          <w:color w:val="333333"/>
          <w:sz w:val="23"/>
        </w:rPr>
        <w:t>8.8.1 Purpose &amp; Design Philosophy</w:t>
      </w:r>
    </w:p>
    <w:p>
      <w:pPr>
        <w:spacing w:after="80" w:line="293" w:lineRule="auto"/>
        <w:jc w:val="left"/>
      </w:pPr>
      <w:r>
        <w:rPr>
          <w:rFonts w:ascii="Times New Roman" w:hAnsi="Times New Roman" w:cs="Times New Roman"/>
          <w:b w:val="0"/>
          <w:i w:val="0"/>
          <w:sz w:val="22"/>
        </w:rPr>
        <w:t>The Automated Invoice Generation module transforms the trade data, packing plan, weight calculations, and commercial settlement details into a legally compliant, ETA-compliant invoice that serves as the financial foundation of the trade. The invoice is the single source of truth for all commercial terms — goods, quantities, prices, logistics costs, fees, payment terms, and settlement instructions.</w:t>
      </w:r>
    </w:p>
    <w:p>
      <w:pPr>
        <w:spacing w:after="80" w:line="293" w:lineRule="auto"/>
        <w:jc w:val="left"/>
      </w:pPr>
      <w:r>
        <w:rPr>
          <w:rFonts w:ascii="Times New Roman" w:hAnsi="Times New Roman" w:cs="Times New Roman"/>
          <w:b w:val="0"/>
          <w:i w:val="0"/>
          <w:sz w:val="22"/>
        </w:rPr>
        <w:t>Key principles: Zero re-entry — all invoice data is sourced directly from the trade request, packing plan, and weight calculations; no manual data entry. ETA-compliant — generates UBL 2.1 XML invoices that conform to Egyptian Tax Authority requirements. Commercial settlement integration — includes payment structure, timing, credit period, currency, and financing interest. Insurance integration — references insurance requirements and certificate details. Multi-line item — separate lines for goods, logistics costs, SGTX fee, optional services, and financing fees. Digital signing — signed with the seller's Ed25519 certificate (or QES for high-value trades). Automatic submission — submitted to ETA via API; UUID and QR code retrieved and stored. PDF/A-3 archival — archival format for long-term document preservation. Multi-currency support — settlement currency separate from pricing currency. Trade criticality flag — priority flag for expedited processing.</w:t>
      </w:r>
    </w:p>
    <w:p>
      <w:pPr>
        <w:keepNext/>
        <w:spacing w:before="180" w:after="80"/>
        <w:outlineLvl w:val="2"/>
      </w:pPr>
      <w:r>
        <w:rPr>
          <w:rFonts w:ascii="Arial" w:hAnsi="Arial" w:cs="Arial"/>
          <w:b/>
          <w:i w:val="0"/>
          <w:color w:val="333333"/>
          <w:sz w:val="23"/>
        </w:rPr>
        <w:t>8.8.2 Invoice Structure — Complete Specification</w:t>
      </w:r>
    </w:p>
    <w:p>
      <w:pPr>
        <w:keepNext/>
        <w:spacing w:before="140" w:after="60"/>
        <w:outlineLvl w:val="3"/>
      </w:pPr>
      <w:r>
        <w:rPr>
          <w:rFonts w:ascii="Arial" w:hAnsi="Arial" w:cs="Arial"/>
          <w:b/>
          <w:i/>
          <w:color w:val="333333"/>
          <w:sz w:val="22"/>
        </w:rPr>
        <w:t>8.8.2.1 UBL 2.1 XML Structure (ETA-Compliant)</w:t>
      </w:r>
    </w:p>
    <w:p>
      <w:pPr>
        <w:spacing w:after="0" w:before="0" w:line="240" w:lineRule="auto"/>
        <w:ind w:left="57"/>
        <w:jc w:val="left"/>
        <w:shd w:val="clear" w:fill="F2F2F2"/>
      </w:pPr>
      <w:r>
        <w:rPr>
          <w:rFonts w:ascii="Consolas" w:hAnsi="Consolas" w:cs="Consolas"/>
          <w:b w:val="0"/>
          <w:i w:val="0"/>
          <w:sz w:val="15"/>
        </w:rPr>
        <w:t>&lt;?xml version="1.0" encoding="UTF-8"?&gt;</w:t>
      </w:r>
    </w:p>
    <w:p>
      <w:pPr>
        <w:spacing w:after="0" w:before="0" w:line="240" w:lineRule="auto"/>
        <w:ind w:left="57"/>
        <w:jc w:val="left"/>
        <w:shd w:val="clear" w:fill="F2F2F2"/>
      </w:pPr>
      <w:r>
        <w:rPr>
          <w:rFonts w:ascii="Consolas" w:hAnsi="Consolas" w:cs="Consolas"/>
          <w:b w:val="0"/>
          <w:i w:val="0"/>
          <w:sz w:val="15"/>
        </w:rPr>
        <w:t>&lt;Invoice xmlns="urn:oasis:names:specification:ubl:schema:xsd:Invoice-2"</w:t>
      </w:r>
    </w:p>
    <w:p>
      <w:pPr>
        <w:spacing w:after="0" w:before="0" w:line="240" w:lineRule="auto"/>
        <w:ind w:left="57"/>
        <w:jc w:val="left"/>
        <w:shd w:val="clear" w:fill="F2F2F2"/>
      </w:pPr>
      <w:r>
        <w:rPr>
          <w:rFonts w:ascii="Consolas" w:hAnsi="Consolas" w:cs="Consolas"/>
          <w:b w:val="0"/>
          <w:i w:val="0"/>
          <w:sz w:val="15"/>
        </w:rPr>
        <w:t xml:space="preserve">         xmlns:cac="urn:oasis:names:specification:ubl:schema:xsd:CommonAggregateComponents-2"</w:t>
      </w:r>
    </w:p>
    <w:p>
      <w:pPr>
        <w:spacing w:after="0" w:before="0" w:line="240" w:lineRule="auto"/>
        <w:ind w:left="57"/>
        <w:jc w:val="left"/>
        <w:shd w:val="clear" w:fill="F2F2F2"/>
      </w:pPr>
      <w:r>
        <w:rPr>
          <w:rFonts w:ascii="Consolas" w:hAnsi="Consolas" w:cs="Consolas"/>
          <w:b w:val="0"/>
          <w:i w:val="0"/>
          <w:sz w:val="15"/>
        </w:rPr>
        <w:t xml:space="preserve">         xmlns:cbc="urn:oasis:names:specification:ubl:schema:xsd:CommonBasicComponents-2"&gt;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&lt;!-- 1. INVOICE IDENTIFIERS --&gt;</w:t>
      </w:r>
    </w:p>
    <w:p>
      <w:pPr>
        <w:spacing w:after="0" w:before="0" w:line="240" w:lineRule="auto"/>
        <w:ind w:left="57"/>
        <w:jc w:val="left"/>
        <w:shd w:val="clear" w:fill="F2F2F2"/>
      </w:pPr>
      <w:r>
        <w:rPr>
          <w:rFonts w:ascii="Consolas" w:hAnsi="Consolas" w:cs="Consolas"/>
          <w:b w:val="0"/>
          <w:i w:val="0"/>
          <w:sz w:val="15"/>
        </w:rPr>
        <w:t xml:space="preserve">  &lt;cbc:ID&gt;INV-STR-2026-001&lt;/cbc:ID&gt;</w:t>
      </w:r>
    </w:p>
    <w:p>
      <w:pPr>
        <w:spacing w:after="0" w:before="0" w:line="240" w:lineRule="auto"/>
        <w:ind w:left="57"/>
        <w:jc w:val="left"/>
        <w:shd w:val="clear" w:fill="F2F2F2"/>
      </w:pPr>
      <w:r>
        <w:rPr>
          <w:rFonts w:ascii="Consolas" w:hAnsi="Consolas" w:cs="Consolas"/>
          <w:b w:val="0"/>
          <w:i w:val="0"/>
          <w:sz w:val="15"/>
        </w:rPr>
        <w:t xml:space="preserve">  &lt;cbc:UUID&gt;f47ac10b-58cc-4372-a567-0e02b2c3d479&lt;/cbc:UUID&gt;</w:t>
      </w:r>
    </w:p>
    <w:p>
      <w:pPr>
        <w:spacing w:after="0" w:before="0" w:line="240" w:lineRule="auto"/>
        <w:ind w:left="57"/>
        <w:jc w:val="left"/>
        <w:shd w:val="clear" w:fill="F2F2F2"/>
      </w:pPr>
      <w:r>
        <w:rPr>
          <w:rFonts w:ascii="Consolas" w:hAnsi="Consolas" w:cs="Consolas"/>
          <w:b w:val="0"/>
          <w:i w:val="0"/>
          <w:sz w:val="15"/>
        </w:rPr>
        <w:t xml:space="preserve">  &lt;cbc:IssueDate&gt;2026-06-20&lt;/cbc:IssueDate&gt;</w:t>
      </w:r>
    </w:p>
    <w:p>
      <w:pPr>
        <w:spacing w:after="0" w:before="0" w:line="240" w:lineRule="auto"/>
        <w:ind w:left="57"/>
        <w:jc w:val="left"/>
        <w:shd w:val="clear" w:fill="F2F2F2"/>
      </w:pPr>
      <w:r>
        <w:rPr>
          <w:rFonts w:ascii="Consolas" w:hAnsi="Consolas" w:cs="Consolas"/>
          <w:b w:val="0"/>
          <w:i w:val="0"/>
          <w:sz w:val="15"/>
        </w:rPr>
        <w:t xml:space="preserve">  &lt;cbc:IssueTime&gt;10:30:00&lt;/cbc:IssueTime&gt;</w:t>
      </w:r>
    </w:p>
    <w:p>
      <w:pPr>
        <w:spacing w:after="0" w:before="0" w:line="240" w:lineRule="auto"/>
        <w:ind w:left="57"/>
        <w:jc w:val="left"/>
        <w:shd w:val="clear" w:fill="F2F2F2"/>
      </w:pPr>
      <w:r>
        <w:rPr>
          <w:rFonts w:ascii="Consolas" w:hAnsi="Consolas" w:cs="Consolas"/>
          <w:b w:val="0"/>
          <w:i w:val="0"/>
          <w:sz w:val="15"/>
        </w:rPr>
        <w:t xml:space="preserve">  &lt;cbc:InvoiceTypeCode&gt;388&lt;/cbc:InvoiceTypeCode&gt;</w:t>
      </w:r>
    </w:p>
    <w:p>
      <w:pPr>
        <w:spacing w:after="0" w:before="0" w:line="240" w:lineRule="auto"/>
        <w:ind w:left="57"/>
        <w:jc w:val="left"/>
        <w:shd w:val="clear" w:fill="F2F2F2"/>
      </w:pPr>
      <w:r>
        <w:rPr>
          <w:rFonts w:ascii="Consolas" w:hAnsi="Consolas" w:cs="Consolas"/>
          <w:b w:val="0"/>
          <w:i w:val="0"/>
          <w:sz w:val="15"/>
        </w:rPr>
        <w:t xml:space="preserve">  &lt;cbc:DocumentCurrencyCode&gt;USD&lt;/cbc:DocumentCurrencyCode&gt;</w:t>
      </w:r>
    </w:p>
    <w:p>
      <w:pPr>
        <w:spacing w:after="0" w:before="0" w:line="240" w:lineRule="auto"/>
        <w:ind w:left="57"/>
        <w:jc w:val="left"/>
        <w:shd w:val="clear" w:fill="F2F2F2"/>
      </w:pPr>
      <w:r>
        <w:rPr>
          <w:rFonts w:ascii="Consolas" w:hAnsi="Consolas" w:cs="Consolas"/>
          <w:b w:val="0"/>
          <w:i w:val="0"/>
          <w:sz w:val="15"/>
        </w:rPr>
        <w:t xml:space="preserve">  &lt;cbc:TaxCurrencyCode&gt;USD&lt;/cbc:TaxCurrencyCode&gt;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&lt;!-- 2. REFERENCES --&gt;</w:t>
      </w:r>
    </w:p>
    <w:p>
      <w:pPr>
        <w:spacing w:after="0" w:before="0" w:line="240" w:lineRule="auto"/>
        <w:ind w:left="57"/>
        <w:jc w:val="left"/>
        <w:shd w:val="clear" w:fill="F2F2F2"/>
      </w:pPr>
      <w:r>
        <w:rPr>
          <w:rFonts w:ascii="Consolas" w:hAnsi="Consolas" w:cs="Consolas"/>
          <w:b w:val="0"/>
          <w:i w:val="0"/>
          <w:sz w:val="15"/>
        </w:rPr>
        <w:t xml:space="preserve">  &lt;cbc:OrderReference&gt;</w:t>
      </w:r>
    </w:p>
    <w:p>
      <w:pPr>
        <w:spacing w:after="0" w:before="0" w:line="240" w:lineRule="auto"/>
        <w:ind w:left="57"/>
        <w:jc w:val="left"/>
        <w:shd w:val="clear" w:fill="F2F2F2"/>
      </w:pPr>
      <w:r>
        <w:rPr>
          <w:rFonts w:ascii="Consolas" w:hAnsi="Consolas" w:cs="Consolas"/>
          <w:b w:val="0"/>
          <w:i w:val="0"/>
          <w:sz w:val="15"/>
        </w:rPr>
        <w:t xml:space="preserve">    &lt;cbc:ID&gt;MC-20260415-001&lt;/cbc:ID&gt;</w:t>
      </w:r>
    </w:p>
    <w:p>
      <w:pPr>
        <w:spacing w:after="0" w:before="0" w:line="240" w:lineRule="auto"/>
        <w:ind w:left="57"/>
        <w:jc w:val="left"/>
        <w:shd w:val="clear" w:fill="F2F2F2"/>
      </w:pPr>
      <w:r>
        <w:rPr>
          <w:rFonts w:ascii="Consolas" w:hAnsi="Consolas" w:cs="Consolas"/>
          <w:b w:val="0"/>
          <w:i w:val="0"/>
          <w:sz w:val="15"/>
        </w:rPr>
        <w:t xml:space="preserve">  &lt;/cbc:OrderReference&gt;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 xml:space="preserve">    &lt;cbc:ID&gt;USTN&lt;/cbc:ID&gt;</w:t>
      </w:r>
    </w:p>
    <w:p>
      <w:pPr>
        <w:spacing w:after="0" w:before="0" w:line="240" w:lineRule="auto"/>
        <w:ind w:left="57"/>
        <w:jc w:val="left"/>
        <w:shd w:val="clear" w:fill="F2F2F2"/>
      </w:pPr>
      <w:r>
        <w:rPr>
          <w:rFonts w:ascii="Consolas" w:hAnsi="Consolas" w:cs="Consolas"/>
          <w:b w:val="0"/>
          <w:i w:val="0"/>
          <w:sz w:val="15"/>
        </w:rPr>
        <w:t xml:space="preserve">    &lt;cbc:DocumentType&gt;USTN&lt;/cbc:DocumentType&gt;</w:t>
      </w:r>
    </w:p>
    <w:p>
      <w:pPr>
        <w:spacing w:after="0" w:before="0" w:line="240" w:lineRule="auto"/>
        <w:ind w:left="57"/>
        <w:jc w:val="left"/>
        <w:shd w:val="clear" w:fill="F2F2F2"/>
      </w:pPr>
      <w:r>
        <w:rPr>
          <w:rFonts w:ascii="Consolas" w:hAnsi="Consolas" w:cs="Consolas"/>
          <w:b w:val="0"/>
          <w:i w:val="0"/>
          <w:sz w:val="15"/>
        </w:rPr>
        <w:t xml:space="preserve">    &lt;cbc:DocumentDescription&gt;SGTX-EG-26-F3A-1&lt;/cbc:DocumentDescription&gt;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 xml:space="preserve">    &lt;cbc:ID&gt;PACKING_LIST&lt;/cbc:ID&gt;</w:t>
      </w:r>
    </w:p>
    <w:p>
      <w:pPr>
        <w:spacing w:after="0" w:before="0" w:line="240" w:lineRule="auto"/>
        <w:ind w:left="57"/>
        <w:jc w:val="left"/>
        <w:shd w:val="clear" w:fill="F2F2F2"/>
      </w:pPr>
      <w:r>
        <w:rPr>
          <w:rFonts w:ascii="Consolas" w:hAnsi="Consolas" w:cs="Consolas"/>
          <w:b w:val="0"/>
          <w:i w:val="0"/>
          <w:sz w:val="15"/>
        </w:rPr>
        <w:t xml:space="preserve">    &lt;cbc:DocumentType&gt;PackingList&lt;/cbc:DocumentType&gt;</w:t>
      </w:r>
    </w:p>
    <w:p>
      <w:pPr>
        <w:spacing w:after="0" w:before="0" w:line="240" w:lineRule="auto"/>
        <w:ind w:left="57"/>
        <w:jc w:val="left"/>
        <w:shd w:val="clear" w:fill="F2F2F2"/>
      </w:pPr>
      <w:r>
        <w:rPr>
          <w:rFonts w:ascii="Consolas" w:hAnsi="Consolas" w:cs="Consolas"/>
          <w:b w:val="0"/>
          <w:i w:val="0"/>
          <w:sz w:val="15"/>
        </w:rPr>
        <w:t xml:space="preserve">    &lt;cbc:DocumentDescription&gt;Packing list hash: sha256:abc123...&lt;/cbc:DocumentDescription&gt;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 xml:space="preserve">    &lt;cbc:ID&gt;INSURANCE&lt;/cbc:ID&gt;</w:t>
      </w:r>
    </w:p>
    <w:p>
      <w:pPr>
        <w:spacing w:after="0" w:before="0" w:line="240" w:lineRule="auto"/>
        <w:ind w:left="57"/>
        <w:jc w:val="left"/>
        <w:shd w:val="clear" w:fill="F2F2F2"/>
      </w:pPr>
      <w:r>
        <w:rPr>
          <w:rFonts w:ascii="Consolas" w:hAnsi="Consolas" w:cs="Consolas"/>
          <w:b w:val="0"/>
          <w:i w:val="0"/>
          <w:sz w:val="15"/>
        </w:rPr>
        <w:t xml:space="preserve">    &lt;cbc:DocumentType&gt;InsuranceCertificate&lt;/cbc:DocumentType&gt;</w:t>
      </w:r>
    </w:p>
    <w:p>
      <w:pPr>
        <w:spacing w:after="0" w:before="0" w:line="240" w:lineRule="auto"/>
        <w:ind w:left="57"/>
        <w:jc w:val="left"/>
        <w:shd w:val="clear" w:fill="F2F2F2"/>
      </w:pPr>
      <w:r>
        <w:rPr>
          <w:rFonts w:ascii="Consolas" w:hAnsi="Consolas" w:cs="Consolas"/>
          <w:b w:val="0"/>
          <w:i w:val="0"/>
          <w:sz w:val="15"/>
        </w:rPr>
        <w:t xml:space="preserve">    &lt;cbc:DocumentDescription&gt;INS-2026-001&lt;/cbc:DocumentDescription&gt;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&lt;!-- 3. SETTLEMENT DETAILS --&gt;</w:t>
      </w:r>
    </w:p>
    <w:p>
      <w:pPr>
        <w:spacing w:after="0" w:before="0" w:line="240" w:lineRule="auto"/>
        <w:ind w:left="57"/>
        <w:jc w:val="left"/>
        <w:shd w:val="clear" w:fill="F2F2F2"/>
      </w:pPr>
      <w:r>
        <w:rPr>
          <w:rFonts w:ascii="Consolas" w:hAnsi="Consolas" w:cs="Consolas"/>
          <w:b w:val="0"/>
          <w:i w:val="0"/>
          <w:sz w:val="15"/>
        </w:rPr>
        <w:t xml:space="preserve">  &lt;cac:PaymentMeans&gt;</w:t>
      </w:r>
    </w:p>
    <w:p>
      <w:pPr>
        <w:spacing w:after="0" w:before="0" w:line="240" w:lineRule="auto"/>
        <w:ind w:left="57"/>
        <w:jc w:val="left"/>
        <w:shd w:val="clear" w:fill="F2F2F2"/>
      </w:pPr>
      <w:r>
        <w:rPr>
          <w:rFonts w:ascii="Consolas" w:hAnsi="Consolas" w:cs="Consolas"/>
          <w:b w:val="0"/>
          <w:i w:val="0"/>
          <w:sz w:val="15"/>
        </w:rPr>
        <w:t xml:space="preserve">    &lt;cbc:PaymentMeansCode&gt;1&lt;/cbc:PaymentMeansCode&gt; &lt;!-- 1 = Documentary Collection --&gt;</w:t>
      </w:r>
    </w:p>
    <w:p>
      <w:pPr>
        <w:spacing w:after="0" w:before="0" w:line="240" w:lineRule="auto"/>
        <w:ind w:left="57"/>
        <w:jc w:val="left"/>
        <w:shd w:val="clear" w:fill="F2F2F2"/>
      </w:pPr>
      <w:r>
        <w:rPr>
          <w:rFonts w:ascii="Consolas" w:hAnsi="Consolas" w:cs="Consolas"/>
          <w:b w:val="0"/>
          <w:i w:val="0"/>
          <w:sz w:val="15"/>
        </w:rPr>
        <w:t xml:space="preserve">    &lt;cbc:PaymentID&gt;Settlement: Documentary Collection&lt;/cbc:PaymentID&gt;</w:t>
      </w:r>
    </w:p>
    <w:p>
      <w:pPr>
        <w:spacing w:after="0" w:before="0" w:line="240" w:lineRule="auto"/>
        <w:ind w:left="57"/>
        <w:jc w:val="left"/>
        <w:shd w:val="clear" w:fill="F2F2F2"/>
      </w:pPr>
      <w:r>
        <w:rPr>
          <w:rFonts w:ascii="Consolas" w:hAnsi="Consolas" w:cs="Consolas"/>
          <w:b w:val="0"/>
          <w:i w:val="0"/>
          <w:sz w:val="15"/>
        </w:rPr>
        <w:t xml:space="preserve">    &lt;cbc:InstructionNote&gt;Payment timing: Against Documents&lt;/cbc:InstructionNote&gt;</w:t>
      </w:r>
    </w:p>
    <w:p>
      <w:pPr>
        <w:spacing w:after="0" w:before="0" w:line="240" w:lineRule="auto"/>
        <w:ind w:left="57"/>
        <w:jc w:val="left"/>
        <w:shd w:val="clear" w:fill="F2F2F2"/>
      </w:pPr>
      <w:r>
        <w:rPr>
          <w:rFonts w:ascii="Consolas" w:hAnsi="Consolas" w:cs="Consolas"/>
          <w:b w:val="0"/>
          <w:i w:val="0"/>
          <w:sz w:val="15"/>
        </w:rPr>
        <w:t xml:space="preserve">    &lt;cbc:InstructionNote&gt;Credit Period: 30 Days&lt;/cbc:InstructionNote&gt;</w:t>
      </w:r>
    </w:p>
    <w:p>
      <w:pPr>
        <w:spacing w:after="0" w:before="0" w:line="240" w:lineRule="auto"/>
        <w:ind w:left="57"/>
        <w:jc w:val="left"/>
        <w:shd w:val="clear" w:fill="F2F2F2"/>
      </w:pPr>
      <w:r>
        <w:rPr>
          <w:rFonts w:ascii="Consolas" w:hAnsi="Consolas" w:cs="Consolas"/>
          <w:b w:val="0"/>
          <w:i w:val="0"/>
          <w:sz w:val="15"/>
        </w:rPr>
        <w:t xml:space="preserve">    &lt;cbc:InstructionNote&gt;Currency: USD&lt;/cbc:InstructionNote&gt;</w:t>
      </w:r>
    </w:p>
    <w:p>
      <w:pPr>
        <w:spacing w:after="0" w:before="0" w:line="240" w:lineRule="auto"/>
        <w:ind w:left="57"/>
        <w:jc w:val="left"/>
        <w:shd w:val="clear" w:fill="F2F2F2"/>
      </w:pPr>
      <w:r>
        <w:rPr>
          <w:rFonts w:ascii="Consolas" w:hAnsi="Consolas" w:cs="Consolas"/>
          <w:b w:val="0"/>
          <w:i w:val="0"/>
          <w:sz w:val="15"/>
        </w:rPr>
        <w:t xml:space="preserve">    &lt;cbc:InstructionNote&gt;Financing Interest: None&lt;/cbc:InstructionNote&gt;</w:t>
      </w:r>
    </w:p>
    <w:p>
      <w:pPr>
        <w:spacing w:after="0" w:before="0" w:line="240" w:lineRule="auto"/>
        <w:ind w:left="57"/>
        <w:jc w:val="left"/>
        <w:shd w:val="clear" w:fill="F2F2F2"/>
      </w:pPr>
      <w:r>
        <w:rPr>
          <w:rFonts w:ascii="Consolas" w:hAnsi="Consolas" w:cs="Consolas"/>
          <w:b w:val="0"/>
          <w:i w:val="0"/>
          <w:sz w:val="15"/>
        </w:rPr>
        <w:t xml:space="preserve">    &lt;cbc:InstructionNote&gt;Commercial Priority: Balanced&lt;/cbc:InstructionNote&gt;</w:t>
      </w:r>
    </w:p>
    <w:p>
      <w:pPr>
        <w:spacing w:after="0" w:before="0" w:line="240" w:lineRule="auto"/>
        <w:ind w:left="57"/>
        <w:jc w:val="left"/>
        <w:shd w:val="clear" w:fill="F2F2F2"/>
      </w:pPr>
      <w:r>
        <w:rPr>
          <w:rFonts w:ascii="Consolas" w:hAnsi="Consolas" w:cs="Consolas"/>
          <w:b w:val="0"/>
          <w:i w:val="0"/>
          <w:sz w:val="15"/>
        </w:rPr>
        <w:t xml:space="preserve">    &lt;cbc:InstructionNote&gt;Settlement Flexibility: Flexible&lt;/cbc:InstructionNote&gt;</w:t>
      </w:r>
    </w:p>
    <w:p>
      <w:pPr>
        <w:spacing w:after="0" w:before="0" w:line="240" w:lineRule="auto"/>
        <w:ind w:left="57"/>
        <w:jc w:val="left"/>
        <w:shd w:val="clear" w:fill="F2F2F2"/>
      </w:pPr>
      <w:r>
        <w:rPr>
          <w:rFonts w:ascii="Consolas" w:hAnsi="Consolas" w:cs="Consolas"/>
          <w:b w:val="0"/>
          <w:i w:val="0"/>
          <w:sz w:val="15"/>
        </w:rPr>
        <w:t xml:space="preserve">  &lt;/cac:PaymentMeans&gt;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&lt;!-- 4. PARTIES --&gt;</w:t>
      </w:r>
    </w:p>
    <w:p>
      <w:pPr>
        <w:spacing w:after="0" w:before="0" w:line="240" w:lineRule="auto"/>
        <w:ind w:left="57"/>
        <w:jc w:val="left"/>
        <w:shd w:val="clear" w:fill="F2F2F2"/>
      </w:pPr>
      <w:r>
        <w:rPr>
          <w:rFonts w:ascii="Consolas" w:hAnsi="Consolas" w:cs="Consolas"/>
          <w:b w:val="0"/>
          <w:i w:val="0"/>
          <w:sz w:val="15"/>
        </w:rPr>
        <w:t xml:space="preserve">  &lt;cac:AccountingSupplierParty&gt;</w:t>
      </w:r>
    </w:p>
    <w:p>
      <w:pPr>
        <w:spacing w:after="0" w:before="0" w:line="240" w:lineRule="auto"/>
        <w:ind w:left="57"/>
        <w:jc w:val="left"/>
        <w:shd w:val="clear" w:fill="F2F2F2"/>
      </w:pPr>
      <w:r>
        <w:rPr>
          <w:rFonts w:ascii="Consolas" w:hAnsi="Consolas" w:cs="Consolas"/>
          <w:b w:val="0"/>
          <w:i w:val="0"/>
          <w:sz w:val="15"/>
        </w:rPr>
        <w:t xml:space="preserve">    &lt;cac:Party&gt;</w:t>
      </w:r>
    </w:p>
    <w:p>
      <w:pPr>
        <w:spacing w:after="0" w:before="0" w:line="240" w:lineRule="auto"/>
        <w:ind w:left="57"/>
        <w:jc w:val="left"/>
        <w:shd w:val="clear" w:fill="F2F2F2"/>
      </w:pPr>
      <w:r>
        <w:rPr>
          <w:rFonts w:ascii="Consolas" w:hAnsi="Consolas" w:cs="Consolas"/>
          <w:b w:val="0"/>
          <w:i w:val="0"/>
          <w:sz w:val="15"/>
        </w:rPr>
        <w:t xml:space="preserve">      &lt;cac:PartyIdentification&gt;</w:t>
      </w:r>
    </w:p>
    <w:p>
      <w:pPr>
        <w:spacing w:after="0" w:before="0" w:line="240" w:lineRule="auto"/>
        <w:ind w:left="57"/>
        <w:jc w:val="left"/>
        <w:shd w:val="clear" w:fill="F2F2F2"/>
      </w:pPr>
      <w:r>
        <w:rPr>
          <w:rFonts w:ascii="Consolas" w:hAnsi="Consolas" w:cs="Consolas"/>
          <w:b w:val="0"/>
          <w:i w:val="0"/>
          <w:sz w:val="15"/>
        </w:rPr>
        <w:t xml:space="preserve">        &lt;cbc:ID schemeID="GTID"&gt;SGTX-EG-TRD-002139-7F3A&lt;/cbc:ID&gt;</w:t>
      </w:r>
    </w:p>
    <w:p>
      <w:pPr>
        <w:spacing w:after="0" w:before="0" w:line="240" w:lineRule="auto"/>
        <w:ind w:left="57"/>
        <w:jc w:val="left"/>
        <w:shd w:val="clear" w:fill="F2F2F2"/>
      </w:pPr>
      <w:r>
        <w:rPr>
          <w:rFonts w:ascii="Consolas" w:hAnsi="Consolas" w:cs="Consolas"/>
          <w:b w:val="0"/>
          <w:i w:val="0"/>
          <w:sz w:val="15"/>
        </w:rPr>
        <w:t xml:space="preserve">      &lt;/cac:PartyIdentification&gt;</w:t>
      </w:r>
    </w:p>
    <w:p>
      <w:pPr>
        <w:spacing w:after="0" w:before="0" w:line="240" w:lineRule="auto"/>
        <w:ind w:left="57"/>
        <w:jc w:val="left"/>
        <w:shd w:val="clear" w:fill="F2F2F2"/>
      </w:pPr>
      <w:r>
        <w:rPr>
          <w:rFonts w:ascii="Consolas" w:hAnsi="Consolas" w:cs="Consolas"/>
          <w:b w:val="0"/>
          <w:i w:val="0"/>
          <w:sz w:val="15"/>
        </w:rPr>
        <w:t xml:space="preserve">      &lt;cac:PartyName&gt;</w:t>
      </w:r>
    </w:p>
    <w:p>
      <w:pPr>
        <w:spacing w:after="0" w:before="0" w:line="240" w:lineRule="auto"/>
        <w:ind w:left="57"/>
        <w:jc w:val="left"/>
        <w:shd w:val="clear" w:fill="F2F2F2"/>
      </w:pPr>
      <w:r>
        <w:rPr>
          <w:rFonts w:ascii="Consolas" w:hAnsi="Consolas" w:cs="Consolas"/>
          <w:b w:val="0"/>
          <w:i w:val="0"/>
          <w:sz w:val="15"/>
        </w:rPr>
        <w:t xml:space="preserve">        &lt;cbc:Name&gt;Strawberry Export Co.&lt;/cbc:Name&gt;</w:t>
      </w:r>
    </w:p>
    <w:p>
      <w:pPr>
        <w:spacing w:after="0" w:before="0" w:line="240" w:lineRule="auto"/>
        <w:ind w:left="57"/>
        <w:jc w:val="left"/>
        <w:shd w:val="clear" w:fill="F2F2F2"/>
      </w:pPr>
      <w:r>
        <w:rPr>
          <w:rFonts w:ascii="Consolas" w:hAnsi="Consolas" w:cs="Consolas"/>
          <w:b w:val="0"/>
          <w:i w:val="0"/>
          <w:sz w:val="15"/>
        </w:rPr>
        <w:t xml:space="preserve">      &lt;/cac:PartyName&gt;</w:t>
      </w:r>
    </w:p>
    <w:p>
      <w:pPr>
        <w:spacing w:after="0" w:before="0" w:line="240" w:lineRule="auto"/>
        <w:ind w:left="57"/>
        <w:jc w:val="left"/>
        <w:shd w:val="clear" w:fill="F2F2F2"/>
      </w:pPr>
      <w:r>
        <w:rPr>
          <w:rFonts w:ascii="Consolas" w:hAnsi="Consolas" w:cs="Consolas"/>
          <w:b w:val="0"/>
          <w:i w:val="0"/>
          <w:sz w:val="15"/>
        </w:rPr>
        <w:t xml:space="preserve">      &lt;cac:PostalAddress&gt;</w:t>
      </w:r>
    </w:p>
    <w:p>
      <w:pPr>
        <w:spacing w:after="0" w:before="0" w:line="240" w:lineRule="auto"/>
        <w:ind w:left="57"/>
        <w:jc w:val="left"/>
        <w:shd w:val="clear" w:fill="F2F2F2"/>
      </w:pPr>
      <w:r>
        <w:rPr>
          <w:rFonts w:ascii="Consolas" w:hAnsi="Consolas" w:cs="Consolas"/>
          <w:b w:val="0"/>
          <w:i w:val="0"/>
          <w:sz w:val="15"/>
        </w:rPr>
        <w:t xml:space="preserve">        &lt;cbc:StreetName&gt;123 Export Road&lt;/cbc:StreetName&gt;</w:t>
      </w:r>
    </w:p>
    <w:p>
      <w:pPr>
        <w:spacing w:after="0" w:before="0" w:line="240" w:lineRule="auto"/>
        <w:ind w:left="57"/>
        <w:jc w:val="left"/>
        <w:shd w:val="clear" w:fill="F2F2F2"/>
      </w:pPr>
      <w:r>
        <w:rPr>
          <w:rFonts w:ascii="Consolas" w:hAnsi="Consolas" w:cs="Consolas"/>
          <w:b w:val="0"/>
          <w:i w:val="0"/>
          <w:sz w:val="15"/>
        </w:rPr>
        <w:t xml:space="preserve">        &lt;cbc:CityName&gt;Alexandria&lt;/cbc:CityName&gt;</w:t>
      </w:r>
    </w:p>
    <w:p>
      <w:pPr>
        <w:spacing w:after="0" w:before="0" w:line="240" w:lineRule="auto"/>
        <w:ind w:left="57"/>
        <w:jc w:val="left"/>
        <w:shd w:val="clear" w:fill="F2F2F2"/>
      </w:pPr>
      <w:r>
        <w:rPr>
          <w:rFonts w:ascii="Consolas" w:hAnsi="Consolas" w:cs="Consolas"/>
          <w:b w:val="0"/>
          <w:i w:val="0"/>
          <w:sz w:val="15"/>
        </w:rPr>
        <w:t xml:space="preserve">        &lt;cbc:CountrySubentity&gt;Alexandria Governorate&lt;/cbc:CountrySubentity&gt;</w:t>
      </w:r>
    </w:p>
    <w:p>
      <w:pPr>
        <w:spacing w:after="0" w:before="0" w:line="240" w:lineRule="auto"/>
        <w:ind w:left="57"/>
        <w:jc w:val="left"/>
        <w:shd w:val="clear" w:fill="F2F2F2"/>
      </w:pPr>
      <w:r>
        <w:rPr>
          <w:rFonts w:ascii="Consolas" w:hAnsi="Consolas" w:cs="Consolas"/>
          <w:b w:val="0"/>
          <w:i w:val="0"/>
          <w:sz w:val="15"/>
        </w:rPr>
        <w:t xml:space="preserve">        &lt;cac:Country&gt;</w:t>
      </w:r>
    </w:p>
    <w:p>
      <w:pPr>
        <w:spacing w:after="0" w:before="0" w:line="240" w:lineRule="auto"/>
        <w:ind w:left="57"/>
        <w:jc w:val="left"/>
        <w:shd w:val="clear" w:fill="F2F2F2"/>
      </w:pPr>
      <w:r>
        <w:rPr>
          <w:rFonts w:ascii="Consolas" w:hAnsi="Consolas" w:cs="Consolas"/>
          <w:b w:val="0"/>
          <w:i w:val="0"/>
          <w:sz w:val="15"/>
        </w:rPr>
        <w:t xml:space="preserve">          &lt;cbc:IdentificationCode&gt;EG&lt;/cbc:IdentificationCode&gt;</w:t>
      </w:r>
    </w:p>
    <w:p>
      <w:pPr>
        <w:spacing w:after="0" w:before="0" w:line="240" w:lineRule="auto"/>
        <w:ind w:left="57"/>
        <w:jc w:val="left"/>
        <w:shd w:val="clear" w:fill="F2F2F2"/>
      </w:pPr>
      <w:r>
        <w:rPr>
          <w:rFonts w:ascii="Consolas" w:hAnsi="Consolas" w:cs="Consolas"/>
          <w:b w:val="0"/>
          <w:i w:val="0"/>
          <w:sz w:val="15"/>
        </w:rPr>
        <w:t xml:space="preserve">        &lt;/cac:Country&gt;</w:t>
      </w:r>
    </w:p>
    <w:p>
      <w:pPr>
        <w:spacing w:after="0" w:before="0" w:line="240" w:lineRule="auto"/>
        <w:ind w:left="57"/>
        <w:jc w:val="left"/>
        <w:shd w:val="clear" w:fill="F2F2F2"/>
      </w:pPr>
      <w:r>
        <w:rPr>
          <w:rFonts w:ascii="Consolas" w:hAnsi="Consolas" w:cs="Consolas"/>
          <w:b w:val="0"/>
          <w:i w:val="0"/>
          <w:sz w:val="15"/>
        </w:rPr>
        <w:t xml:space="preserve">      &lt;/cac:PostalAddress&gt;</w:t>
      </w:r>
    </w:p>
    <w:p>
      <w:pPr>
        <w:spacing w:after="0" w:before="0" w:line="240" w:lineRule="auto"/>
        <w:ind w:left="57"/>
        <w:jc w:val="left"/>
        <w:shd w:val="clear" w:fill="F2F2F2"/>
      </w:pPr>
      <w:r>
        <w:rPr>
          <w:rFonts w:ascii="Consolas" w:hAnsi="Consolas" w:cs="Consolas"/>
          <w:b w:val="0"/>
          <w:i w:val="0"/>
          <w:sz w:val="15"/>
        </w:rPr>
        <w:t xml:space="preserve">      &lt;cac:PartyTaxScheme&gt;</w:t>
      </w:r>
    </w:p>
    <w:p>
      <w:pPr>
        <w:spacing w:after="0" w:before="0" w:line="240" w:lineRule="auto"/>
        <w:ind w:left="57"/>
        <w:jc w:val="left"/>
        <w:shd w:val="clear" w:fill="F2F2F2"/>
      </w:pPr>
      <w:r>
        <w:rPr>
          <w:rFonts w:ascii="Consolas" w:hAnsi="Consolas" w:cs="Consolas"/>
          <w:b w:val="0"/>
          <w:i w:val="0"/>
          <w:sz w:val="15"/>
        </w:rPr>
        <w:t xml:space="preserve">        &lt;cbc:CompanyID&gt;123-456-789&lt;/cbc:CompanyID&gt;</w:t>
      </w:r>
    </w:p>
    <w:p>
      <w:pPr>
        <w:spacing w:after="0" w:before="0" w:line="240" w:lineRule="auto"/>
        <w:ind w:left="57"/>
        <w:jc w:val="left"/>
        <w:shd w:val="clear" w:fill="F2F2F2"/>
      </w:pPr>
      <w:r>
        <w:rPr>
          <w:rFonts w:ascii="Consolas" w:hAnsi="Consolas" w:cs="Consolas"/>
          <w:b w:val="0"/>
          <w:i w:val="0"/>
          <w:sz w:val="15"/>
        </w:rPr>
        <w:t xml:space="preserve">        &lt;cac:TaxScheme&gt;</w:t>
      </w:r>
    </w:p>
    <w:p>
      <w:pPr>
        <w:spacing w:after="0" w:before="0" w:line="240" w:lineRule="auto"/>
        <w:ind w:left="57"/>
        <w:jc w:val="left"/>
        <w:shd w:val="clear" w:fill="F2F2F2"/>
      </w:pPr>
      <w:r>
        <w:rPr>
          <w:rFonts w:ascii="Consolas" w:hAnsi="Consolas" w:cs="Consolas"/>
          <w:b w:val="0"/>
          <w:i w:val="0"/>
          <w:sz w:val="15"/>
        </w:rPr>
        <w:t xml:space="preserve">          &lt;cbc:Name&gt;VAT&lt;/cbc:Name&gt;</w:t>
      </w:r>
    </w:p>
    <w:p>
      <w:pPr>
        <w:spacing w:after="0" w:before="0" w:line="240" w:lineRule="auto"/>
        <w:ind w:left="57"/>
        <w:jc w:val="left"/>
        <w:shd w:val="clear" w:fill="F2F2F2"/>
      </w:pPr>
      <w:r>
        <w:rPr>
          <w:rFonts w:ascii="Consolas" w:hAnsi="Consolas" w:cs="Consolas"/>
          <w:b w:val="0"/>
          <w:i w:val="0"/>
          <w:sz w:val="15"/>
        </w:rPr>
        <w:t xml:space="preserve">        &lt;/cac:TaxScheme&gt;</w:t>
      </w:r>
    </w:p>
    <w:p>
      <w:pPr>
        <w:spacing w:after="0" w:before="0" w:line="240" w:lineRule="auto"/>
        <w:ind w:left="57"/>
        <w:jc w:val="left"/>
        <w:shd w:val="clear" w:fill="F2F2F2"/>
      </w:pPr>
      <w:r>
        <w:rPr>
          <w:rFonts w:ascii="Consolas" w:hAnsi="Consolas" w:cs="Consolas"/>
          <w:b w:val="0"/>
          <w:i w:val="0"/>
          <w:sz w:val="15"/>
        </w:rPr>
        <w:t xml:space="preserve">      &lt;/cac:PartyTaxScheme&gt;</w:t>
      </w:r>
    </w:p>
    <w:p>
      <w:pPr>
        <w:spacing w:after="0" w:before="0" w:line="240" w:lineRule="auto"/>
        <w:ind w:left="57"/>
        <w:jc w:val="left"/>
        <w:shd w:val="clear" w:fill="F2F2F2"/>
      </w:pPr>
      <w:r>
        <w:rPr>
          <w:rFonts w:ascii="Consolas" w:hAnsi="Consolas" w:cs="Consolas"/>
          <w:b w:val="0"/>
          <w:i w:val="0"/>
          <w:sz w:val="15"/>
        </w:rPr>
        <w:t xml:space="preserve">      &lt;cac:PartyLegalEntity&gt;</w:t>
      </w:r>
    </w:p>
    <w:p>
      <w:pPr>
        <w:spacing w:after="0" w:before="0" w:line="240" w:lineRule="auto"/>
        <w:ind w:left="57"/>
        <w:jc w:val="left"/>
        <w:shd w:val="clear" w:fill="F2F2F2"/>
      </w:pPr>
      <w:r>
        <w:rPr>
          <w:rFonts w:ascii="Consolas" w:hAnsi="Consolas" w:cs="Consolas"/>
          <w:b w:val="0"/>
          <w:i w:val="0"/>
          <w:sz w:val="15"/>
        </w:rPr>
        <w:t xml:space="preserve">        &lt;cbc:RegistrationName&gt;Strawberry Export Co.&lt;/cbc:RegistrationName&gt;</w:t>
      </w:r>
    </w:p>
    <w:p>
      <w:pPr>
        <w:spacing w:after="0" w:before="0" w:line="240" w:lineRule="auto"/>
        <w:ind w:left="57"/>
        <w:jc w:val="left"/>
        <w:shd w:val="clear" w:fill="F2F2F2"/>
      </w:pPr>
      <w:r>
        <w:rPr>
          <w:rFonts w:ascii="Consolas" w:hAnsi="Consolas" w:cs="Consolas"/>
          <w:b w:val="0"/>
          <w:i w:val="0"/>
          <w:sz w:val="15"/>
        </w:rPr>
        <w:t xml:space="preserve">        &lt;cbc:CompanyID&gt;123-456-789&lt;/cbc:CompanyID&gt;</w:t>
      </w:r>
    </w:p>
    <w:p>
      <w:pPr>
        <w:spacing w:after="0" w:before="0" w:line="240" w:lineRule="auto"/>
        <w:ind w:left="57"/>
        <w:jc w:val="left"/>
        <w:shd w:val="clear" w:fill="F2F2F2"/>
      </w:pPr>
      <w:r>
        <w:rPr>
          <w:rFonts w:ascii="Consolas" w:hAnsi="Consolas" w:cs="Consolas"/>
          <w:b w:val="0"/>
          <w:i w:val="0"/>
          <w:sz w:val="15"/>
        </w:rPr>
        <w:t xml:space="preserve">      &lt;/cac:PartyLegalEntity&gt;</w:t>
      </w:r>
    </w:p>
    <w:p>
      <w:pPr>
        <w:spacing w:after="0" w:before="0" w:line="240" w:lineRule="auto"/>
        <w:ind w:left="57"/>
        <w:jc w:val="left"/>
        <w:shd w:val="clear" w:fill="F2F2F2"/>
      </w:pPr>
      <w:r>
        <w:rPr>
          <w:rFonts w:ascii="Consolas" w:hAnsi="Consolas" w:cs="Consolas"/>
          <w:b w:val="0"/>
          <w:i w:val="0"/>
          <w:sz w:val="15"/>
        </w:rPr>
        <w:t xml:space="preserve">    &lt;/cac:Party&gt;</w:t>
      </w:r>
    </w:p>
    <w:p>
      <w:pPr>
        <w:spacing w:after="0" w:before="0" w:line="240" w:lineRule="auto"/>
        <w:ind w:left="57"/>
        <w:jc w:val="left"/>
        <w:shd w:val="clear" w:fill="F2F2F2"/>
      </w:pPr>
      <w:r>
        <w:rPr>
          <w:rFonts w:ascii="Consolas" w:hAnsi="Consolas" w:cs="Consolas"/>
          <w:b w:val="0"/>
          <w:i w:val="0"/>
          <w:sz w:val="15"/>
        </w:rPr>
        <w:t xml:space="preserve">  &lt;/cac:AccountingSupplierParty&gt;</w:t>
      </w:r>
    </w:p>
    <w:p>
      <w:pPr>
        <w:spacing w:after="0" w:before="0" w:line="240" w:lineRule="auto"/>
        <w:ind w:left="57"/>
        <w:jc w:val="left"/>
        <w:shd w:val="clear" w:fill="F2F2F2"/>
      </w:pPr>
      <w:r>
        <w:rPr>
          <w:rFonts w:ascii="Consolas" w:hAnsi="Consolas" w:cs="Consolas"/>
          <w:b w:val="0"/>
          <w:i w:val="0"/>
          <w:sz w:val="15"/>
        </w:rPr>
        <w:t xml:space="preserve">  &lt;cac:AccountingCustomerParty&gt;</w:t>
      </w:r>
    </w:p>
    <w:p>
      <w:pPr>
        <w:spacing w:after="0" w:before="0" w:line="240" w:lineRule="auto"/>
        <w:ind w:left="57"/>
        <w:jc w:val="left"/>
        <w:shd w:val="clear" w:fill="F2F2F2"/>
      </w:pPr>
      <w:r>
        <w:rPr>
          <w:rFonts w:ascii="Consolas" w:hAnsi="Consolas" w:cs="Consolas"/>
          <w:b w:val="0"/>
          <w:i w:val="0"/>
          <w:sz w:val="15"/>
        </w:rPr>
        <w:t xml:space="preserve">    &lt;cac:Party&gt;</w:t>
      </w:r>
    </w:p>
    <w:p>
      <w:pPr>
        <w:spacing w:after="0" w:before="0" w:line="240" w:lineRule="auto"/>
        <w:ind w:left="57"/>
        <w:jc w:val="left"/>
        <w:shd w:val="clear" w:fill="F2F2F2"/>
      </w:pPr>
      <w:r>
        <w:rPr>
          <w:rFonts w:ascii="Consolas" w:hAnsi="Consolas" w:cs="Consolas"/>
          <w:b w:val="0"/>
          <w:i w:val="0"/>
          <w:sz w:val="15"/>
        </w:rPr>
        <w:t xml:space="preserve">      &lt;cac:PartyIdentification&gt;</w:t>
      </w:r>
    </w:p>
    <w:p>
      <w:pPr>
        <w:spacing w:after="0" w:before="0" w:line="240" w:lineRule="auto"/>
        <w:ind w:left="57"/>
        <w:jc w:val="left"/>
        <w:shd w:val="clear" w:fill="F2F2F2"/>
      </w:pPr>
      <w:r>
        <w:rPr>
          <w:rFonts w:ascii="Consolas" w:hAnsi="Consolas" w:cs="Consolas"/>
          <w:b w:val="0"/>
          <w:i w:val="0"/>
          <w:sz w:val="15"/>
        </w:rPr>
        <w:t xml:space="preserve">        &lt;cbc:ID schemeID="GTID"&gt;SGTX-DE-TRD-001234-5B6C&lt;/cbc:ID&gt;</w:t>
      </w:r>
    </w:p>
    <w:p>
      <w:pPr>
        <w:spacing w:after="0" w:before="0" w:line="240" w:lineRule="auto"/>
        <w:ind w:left="57"/>
        <w:jc w:val="left"/>
        <w:shd w:val="clear" w:fill="F2F2F2"/>
      </w:pPr>
      <w:r>
        <w:rPr>
          <w:rFonts w:ascii="Consolas" w:hAnsi="Consolas" w:cs="Consolas"/>
          <w:b w:val="0"/>
          <w:i w:val="0"/>
          <w:sz w:val="15"/>
        </w:rPr>
        <w:t xml:space="preserve">      &lt;/cac:PartyIdentification&gt;</w:t>
      </w:r>
    </w:p>
    <w:p>
      <w:pPr>
        <w:spacing w:after="0" w:before="0" w:line="240" w:lineRule="auto"/>
        <w:ind w:left="57"/>
        <w:jc w:val="left"/>
        <w:shd w:val="clear" w:fill="F2F2F2"/>
      </w:pPr>
      <w:r>
        <w:rPr>
          <w:rFonts w:ascii="Consolas" w:hAnsi="Consolas" w:cs="Consolas"/>
          <w:b w:val="0"/>
          <w:i w:val="0"/>
          <w:sz w:val="15"/>
        </w:rPr>
        <w:t xml:space="preserve">      &lt;cac:PartyName&gt;</w:t>
      </w:r>
    </w:p>
    <w:p>
      <w:pPr>
        <w:spacing w:after="0" w:before="0" w:line="240" w:lineRule="auto"/>
        <w:ind w:left="57"/>
        <w:jc w:val="left"/>
        <w:shd w:val="clear" w:fill="F2F2F2"/>
      </w:pPr>
      <w:r>
        <w:rPr>
          <w:rFonts w:ascii="Consolas" w:hAnsi="Consolas" w:cs="Consolas"/>
          <w:b w:val="0"/>
          <w:i w:val="0"/>
          <w:sz w:val="15"/>
        </w:rPr>
        <w:t xml:space="preserve">        &lt;cbc:Name&gt;European Importer GmbH&lt;/cbc:Name&gt;</w:t>
      </w:r>
    </w:p>
    <w:p>
      <w:pPr>
        <w:spacing w:after="0" w:before="0" w:line="240" w:lineRule="auto"/>
        <w:ind w:left="57"/>
        <w:jc w:val="left"/>
        <w:shd w:val="clear" w:fill="F2F2F2"/>
      </w:pPr>
      <w:r>
        <w:rPr>
          <w:rFonts w:ascii="Consolas" w:hAnsi="Consolas" w:cs="Consolas"/>
          <w:b w:val="0"/>
          <w:i w:val="0"/>
          <w:sz w:val="15"/>
        </w:rPr>
        <w:t xml:space="preserve">      &lt;/cac:PartyName&gt;</w:t>
      </w:r>
    </w:p>
    <w:p>
      <w:pPr>
        <w:spacing w:after="0" w:before="0" w:line="240" w:lineRule="auto"/>
        <w:ind w:left="57"/>
        <w:jc w:val="left"/>
        <w:shd w:val="clear" w:fill="F2F2F2"/>
      </w:pPr>
      <w:r>
        <w:rPr>
          <w:rFonts w:ascii="Consolas" w:hAnsi="Consolas" w:cs="Consolas"/>
          <w:b w:val="0"/>
          <w:i w:val="0"/>
          <w:sz w:val="15"/>
        </w:rPr>
        <w:t xml:space="preserve">      &lt;cac:PostalAddress&gt;</w:t>
      </w:r>
    </w:p>
    <w:p>
      <w:pPr>
        <w:spacing w:after="0" w:before="0" w:line="240" w:lineRule="auto"/>
        <w:ind w:left="57"/>
        <w:jc w:val="left"/>
        <w:shd w:val="clear" w:fill="F2F2F2"/>
      </w:pPr>
      <w:r>
        <w:rPr>
          <w:rFonts w:ascii="Consolas" w:hAnsi="Consolas" w:cs="Consolas"/>
          <w:b w:val="0"/>
          <w:i w:val="0"/>
          <w:sz w:val="15"/>
        </w:rPr>
        <w:t xml:space="preserve">        &lt;cbc:StreetName&gt;456 Import Street&lt;/cbc:StreetName&gt;</w:t>
      </w:r>
    </w:p>
    <w:p>
      <w:pPr>
        <w:spacing w:after="0" w:before="0" w:line="240" w:lineRule="auto"/>
        <w:ind w:left="57"/>
        <w:jc w:val="left"/>
        <w:shd w:val="clear" w:fill="F2F2F2"/>
      </w:pPr>
      <w:r>
        <w:rPr>
          <w:rFonts w:ascii="Consolas" w:hAnsi="Consolas" w:cs="Consolas"/>
          <w:b w:val="0"/>
          <w:i w:val="0"/>
          <w:sz w:val="15"/>
        </w:rPr>
        <w:t xml:space="preserve">        &lt;cbc:CityName&gt;Hamburg&lt;/cbc:CityName&gt;</w:t>
      </w:r>
    </w:p>
    <w:p>
      <w:pPr>
        <w:spacing w:after="0" w:before="0" w:line="240" w:lineRule="auto"/>
        <w:ind w:left="57"/>
        <w:jc w:val="left"/>
        <w:shd w:val="clear" w:fill="F2F2F2"/>
      </w:pPr>
      <w:r>
        <w:rPr>
          <w:rFonts w:ascii="Consolas" w:hAnsi="Consolas" w:cs="Consolas"/>
          <w:b w:val="0"/>
          <w:i w:val="0"/>
          <w:sz w:val="15"/>
        </w:rPr>
        <w:t xml:space="preserve">        &lt;cbc:CountrySubentity&gt;Hamburg&lt;/cbc:CountrySubentity&gt;</w:t>
      </w:r>
    </w:p>
    <w:p>
      <w:pPr>
        <w:spacing w:after="0" w:before="0" w:line="240" w:lineRule="auto"/>
        <w:ind w:left="57"/>
        <w:jc w:val="left"/>
        <w:shd w:val="clear" w:fill="F2F2F2"/>
      </w:pPr>
      <w:r>
        <w:rPr>
          <w:rFonts w:ascii="Consolas" w:hAnsi="Consolas" w:cs="Consolas"/>
          <w:b w:val="0"/>
          <w:i w:val="0"/>
          <w:sz w:val="15"/>
        </w:rPr>
        <w:t xml:space="preserve">        &lt;cac:Country&gt;</w:t>
      </w:r>
    </w:p>
    <w:p>
      <w:pPr>
        <w:spacing w:after="0" w:before="0" w:line="240" w:lineRule="auto"/>
        <w:ind w:left="57"/>
        <w:jc w:val="left"/>
        <w:shd w:val="clear" w:fill="F2F2F2"/>
      </w:pPr>
      <w:r>
        <w:rPr>
          <w:rFonts w:ascii="Consolas" w:hAnsi="Consolas" w:cs="Consolas"/>
          <w:b w:val="0"/>
          <w:i w:val="0"/>
          <w:sz w:val="15"/>
        </w:rPr>
        <w:t xml:space="preserve">          &lt;cbc:IdentificationCode&gt;DE&lt;/cbc:IdentificationCode&gt;</w:t>
      </w:r>
    </w:p>
    <w:p>
      <w:pPr>
        <w:spacing w:after="0" w:before="0" w:line="240" w:lineRule="auto"/>
        <w:ind w:left="57"/>
        <w:jc w:val="left"/>
        <w:shd w:val="clear" w:fill="F2F2F2"/>
      </w:pPr>
      <w:r>
        <w:rPr>
          <w:rFonts w:ascii="Consolas" w:hAnsi="Consolas" w:cs="Consolas"/>
          <w:b w:val="0"/>
          <w:i w:val="0"/>
          <w:sz w:val="15"/>
        </w:rPr>
        <w:t xml:space="preserve">        &lt;/cac:Country&gt;</w:t>
      </w:r>
    </w:p>
    <w:p>
      <w:pPr>
        <w:spacing w:after="0" w:before="0" w:line="240" w:lineRule="auto"/>
        <w:ind w:left="57"/>
        <w:jc w:val="left"/>
        <w:shd w:val="clear" w:fill="F2F2F2"/>
      </w:pPr>
      <w:r>
        <w:rPr>
          <w:rFonts w:ascii="Consolas" w:hAnsi="Consolas" w:cs="Consolas"/>
          <w:b w:val="0"/>
          <w:i w:val="0"/>
          <w:sz w:val="15"/>
        </w:rPr>
        <w:t xml:space="preserve">      &lt;/cac:PostalAddress&gt;</w:t>
      </w:r>
    </w:p>
    <w:p>
      <w:pPr>
        <w:spacing w:after="0" w:before="0" w:line="240" w:lineRule="auto"/>
        <w:ind w:left="57"/>
        <w:jc w:val="left"/>
        <w:shd w:val="clear" w:fill="F2F2F2"/>
      </w:pPr>
      <w:r>
        <w:rPr>
          <w:rFonts w:ascii="Consolas" w:hAnsi="Consolas" w:cs="Consolas"/>
          <w:b w:val="0"/>
          <w:i w:val="0"/>
          <w:sz w:val="15"/>
        </w:rPr>
        <w:t xml:space="preserve">      &lt;cac:PartyTaxScheme&gt;</w:t>
      </w:r>
    </w:p>
    <w:p>
      <w:pPr>
        <w:spacing w:after="0" w:before="0" w:line="240" w:lineRule="auto"/>
        <w:ind w:left="57"/>
        <w:jc w:val="left"/>
        <w:shd w:val="clear" w:fill="F2F2F2"/>
      </w:pPr>
      <w:r>
        <w:rPr>
          <w:rFonts w:ascii="Consolas" w:hAnsi="Consolas" w:cs="Consolas"/>
          <w:b w:val="0"/>
          <w:i w:val="0"/>
          <w:sz w:val="15"/>
        </w:rPr>
        <w:t xml:space="preserve">        &lt;cbc:CompanyID&gt;DE123456789&lt;/cbc:CompanyID&gt;</w:t>
      </w:r>
    </w:p>
    <w:p>
      <w:pPr>
        <w:spacing w:after="0" w:before="0" w:line="240" w:lineRule="auto"/>
        <w:ind w:left="57"/>
        <w:jc w:val="left"/>
        <w:shd w:val="clear" w:fill="F2F2F2"/>
      </w:pPr>
      <w:r>
        <w:rPr>
          <w:rFonts w:ascii="Consolas" w:hAnsi="Consolas" w:cs="Consolas"/>
          <w:b w:val="0"/>
          <w:i w:val="0"/>
          <w:sz w:val="15"/>
        </w:rPr>
        <w:t xml:space="preserve">        &lt;cac:TaxScheme&gt;</w:t>
      </w:r>
    </w:p>
    <w:p>
      <w:pPr>
        <w:spacing w:after="0" w:before="0" w:line="240" w:lineRule="auto"/>
        <w:ind w:left="57"/>
        <w:jc w:val="left"/>
        <w:shd w:val="clear" w:fill="F2F2F2"/>
      </w:pPr>
      <w:r>
        <w:rPr>
          <w:rFonts w:ascii="Consolas" w:hAnsi="Consolas" w:cs="Consolas"/>
          <w:b w:val="0"/>
          <w:i w:val="0"/>
          <w:sz w:val="15"/>
        </w:rPr>
        <w:t xml:space="preserve">          &lt;cbc:Name&gt;VAT&lt;/cbc:Name&gt;</w:t>
      </w:r>
    </w:p>
    <w:p>
      <w:pPr>
        <w:spacing w:after="0" w:before="0" w:line="240" w:lineRule="auto"/>
        <w:ind w:left="57"/>
        <w:jc w:val="left"/>
        <w:shd w:val="clear" w:fill="F2F2F2"/>
      </w:pPr>
      <w:r>
        <w:rPr>
          <w:rFonts w:ascii="Consolas" w:hAnsi="Consolas" w:cs="Consolas"/>
          <w:b w:val="0"/>
          <w:i w:val="0"/>
          <w:sz w:val="15"/>
        </w:rPr>
        <w:t xml:space="preserve">        &lt;/cac:TaxScheme&gt;</w:t>
      </w:r>
    </w:p>
    <w:p>
      <w:pPr>
        <w:spacing w:after="0" w:before="0" w:line="240" w:lineRule="auto"/>
        <w:ind w:left="57"/>
        <w:jc w:val="left"/>
        <w:shd w:val="clear" w:fill="F2F2F2"/>
      </w:pPr>
      <w:r>
        <w:rPr>
          <w:rFonts w:ascii="Consolas" w:hAnsi="Consolas" w:cs="Consolas"/>
          <w:b w:val="0"/>
          <w:i w:val="0"/>
          <w:sz w:val="15"/>
        </w:rPr>
        <w:t xml:space="preserve">      &lt;/cac:PartyTaxScheme&gt;</w:t>
      </w:r>
    </w:p>
    <w:p>
      <w:pPr>
        <w:spacing w:after="0" w:before="0" w:line="240" w:lineRule="auto"/>
        <w:ind w:left="57"/>
        <w:jc w:val="left"/>
        <w:shd w:val="clear" w:fill="F2F2F2"/>
      </w:pPr>
      <w:r>
        <w:rPr>
          <w:rFonts w:ascii="Consolas" w:hAnsi="Consolas" w:cs="Consolas"/>
          <w:b w:val="0"/>
          <w:i w:val="0"/>
          <w:sz w:val="15"/>
        </w:rPr>
        <w:t xml:space="preserve">    &lt;/cac:Party&gt;</w:t>
      </w:r>
    </w:p>
    <w:p>
      <w:pPr>
        <w:spacing w:after="0" w:before="0" w:line="240" w:lineRule="auto"/>
        <w:ind w:left="57"/>
        <w:jc w:val="left"/>
        <w:shd w:val="clear" w:fill="F2F2F2"/>
      </w:pPr>
      <w:r>
        <w:rPr>
          <w:rFonts w:ascii="Consolas" w:hAnsi="Consolas" w:cs="Consolas"/>
          <w:b w:val="0"/>
          <w:i w:val="0"/>
          <w:sz w:val="15"/>
        </w:rPr>
        <w:t xml:space="preserve">  &lt;/cac:AccountingCustomerParty&gt;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&lt;!-- 5. PAYMENT TERMS --&gt;</w:t>
      </w:r>
    </w:p>
    <w:p>
      <w:pPr>
        <w:spacing w:after="0" w:before="0" w:line="240" w:lineRule="auto"/>
        <w:ind w:left="57"/>
        <w:jc w:val="left"/>
        <w:shd w:val="clear" w:fill="F2F2F2"/>
      </w:pPr>
      <w:r>
        <w:rPr>
          <w:rFonts w:ascii="Consolas" w:hAnsi="Consolas" w:cs="Consolas"/>
          <w:b w:val="0"/>
          <w:i w:val="0"/>
          <w:sz w:val="15"/>
        </w:rPr>
        <w:t xml:space="preserve">  &lt;cac:PaymentTerms&gt;</w:t>
      </w:r>
    </w:p>
    <w:p>
      <w:pPr>
        <w:spacing w:after="0" w:before="0" w:line="240" w:lineRule="auto"/>
        <w:ind w:left="57"/>
        <w:jc w:val="left"/>
        <w:shd w:val="clear" w:fill="F2F2F2"/>
      </w:pPr>
      <w:r>
        <w:rPr>
          <w:rFonts w:ascii="Consolas" w:hAnsi="Consolas" w:cs="Consolas"/>
          <w:b w:val="0"/>
          <w:i w:val="0"/>
          <w:sz w:val="15"/>
        </w:rPr>
        <w:t xml:space="preserve">    &lt;cbc:PaymentMeansID&gt;Documentary Collection&lt;/cbc:PaymentMeansID&gt;</w:t>
      </w:r>
    </w:p>
    <w:p>
      <w:pPr>
        <w:spacing w:after="0" w:before="0" w:line="240" w:lineRule="auto"/>
        <w:ind w:left="57"/>
        <w:jc w:val="left"/>
        <w:shd w:val="clear" w:fill="F2F2F2"/>
      </w:pPr>
      <w:r>
        <w:rPr>
          <w:rFonts w:ascii="Consolas" w:hAnsi="Consolas" w:cs="Consolas"/>
          <w:b w:val="0"/>
          <w:i w:val="0"/>
          <w:sz w:val="15"/>
        </w:rPr>
        <w:t xml:space="preserve">    &lt;cbc:PaymentDueDate&gt;2026-07-20&lt;/cbc:PaymentDueDate&gt; &lt;!-- 30 days after invoice --&gt;</w:t>
      </w:r>
    </w:p>
    <w:p>
      <w:pPr>
        <w:spacing w:after="0" w:before="0" w:line="240" w:lineRule="auto"/>
        <w:ind w:left="57"/>
        <w:jc w:val="left"/>
        <w:shd w:val="clear" w:fill="F2F2F2"/>
      </w:pPr>
      <w:r>
        <w:rPr>
          <w:rFonts w:ascii="Consolas" w:hAnsi="Consolas" w:cs="Consolas"/>
          <w:b w:val="0"/>
          <w:i w:val="0"/>
          <w:sz w:val="15"/>
        </w:rPr>
        <w:t xml:space="preserve">    &lt;cbc:Note&gt;Payment against documents. 30 days credit period.&lt;/cbc:Note&gt;</w:t>
      </w:r>
    </w:p>
    <w:p>
      <w:pPr>
        <w:spacing w:after="0" w:before="0" w:line="240" w:lineRule="auto"/>
        <w:ind w:left="57"/>
        <w:jc w:val="left"/>
        <w:shd w:val="clear" w:fill="F2F2F2"/>
      </w:pPr>
      <w:r>
        <w:rPr>
          <w:rFonts w:ascii="Consolas" w:hAnsi="Consolas" w:cs="Consolas"/>
          <w:b w:val="0"/>
          <w:i w:val="0"/>
          <w:sz w:val="15"/>
        </w:rPr>
        <w:t xml:space="preserve">  &lt;/cac:PaymentTerms&gt;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&lt;!-- 6. DELIVERY DETAILS --&gt;</w:t>
      </w:r>
    </w:p>
    <w:p>
      <w:pPr>
        <w:spacing w:after="0" w:before="0" w:line="240" w:lineRule="auto"/>
        <w:ind w:left="57"/>
        <w:jc w:val="left"/>
        <w:shd w:val="clear" w:fill="F2F2F2"/>
      </w:pPr>
      <w:r>
        <w:rPr>
          <w:rFonts w:ascii="Consolas" w:hAnsi="Consolas" w:cs="Consolas"/>
          <w:b w:val="0"/>
          <w:i w:val="0"/>
          <w:sz w:val="15"/>
        </w:rPr>
        <w:t xml:space="preserve">  &lt;cac:Delivery&gt;</w:t>
      </w:r>
    </w:p>
    <w:p>
      <w:pPr>
        <w:spacing w:after="0" w:before="0" w:line="240" w:lineRule="auto"/>
        <w:ind w:left="57"/>
        <w:jc w:val="left"/>
        <w:shd w:val="clear" w:fill="F2F2F2"/>
      </w:pPr>
      <w:r>
        <w:rPr>
          <w:rFonts w:ascii="Consolas" w:hAnsi="Consolas" w:cs="Consolas"/>
          <w:b w:val="0"/>
          <w:i w:val="0"/>
          <w:sz w:val="15"/>
        </w:rPr>
        <w:t xml:space="preserve">    &lt;cac:DeliveryLocation&gt;</w:t>
      </w:r>
    </w:p>
    <w:p>
      <w:pPr>
        <w:spacing w:after="0" w:before="0" w:line="240" w:lineRule="auto"/>
        <w:ind w:left="57"/>
        <w:jc w:val="left"/>
        <w:shd w:val="clear" w:fill="F2F2F2"/>
      </w:pPr>
      <w:r>
        <w:rPr>
          <w:rFonts w:ascii="Consolas" w:hAnsi="Consolas" w:cs="Consolas"/>
          <w:b w:val="0"/>
          <w:i w:val="0"/>
          <w:sz w:val="15"/>
        </w:rPr>
        <w:t xml:space="preserve">      &lt;cbc:ID&gt;DEHAM&lt;/cbc:ID&gt;</w:t>
      </w:r>
    </w:p>
    <w:p>
      <w:pPr>
        <w:spacing w:after="0" w:before="0" w:line="240" w:lineRule="auto"/>
        <w:ind w:left="57"/>
        <w:jc w:val="left"/>
        <w:shd w:val="clear" w:fill="F2F2F2"/>
      </w:pPr>
      <w:r>
        <w:rPr>
          <w:rFonts w:ascii="Consolas" w:hAnsi="Consolas" w:cs="Consolas"/>
          <w:b w:val="0"/>
          <w:i w:val="0"/>
          <w:sz w:val="15"/>
        </w:rPr>
        <w:t xml:space="preserve">      &lt;cbc:Name&gt;Hamburg Port&lt;/cbc:Name&gt;</w:t>
      </w:r>
    </w:p>
    <w:p>
      <w:pPr>
        <w:spacing w:after="0" w:before="0" w:line="240" w:lineRule="auto"/>
        <w:ind w:left="57"/>
        <w:jc w:val="left"/>
        <w:shd w:val="clear" w:fill="F2F2F2"/>
      </w:pPr>
      <w:r>
        <w:rPr>
          <w:rFonts w:ascii="Consolas" w:hAnsi="Consolas" w:cs="Consolas"/>
          <w:b w:val="0"/>
          <w:i w:val="0"/>
          <w:sz w:val="15"/>
        </w:rPr>
        <w:t xml:space="preserve">    &lt;/cac:DeliveryLocation&gt;</w:t>
      </w:r>
    </w:p>
    <w:p>
      <w:pPr>
        <w:spacing w:after="0" w:before="0" w:line="240" w:lineRule="auto"/>
        <w:ind w:left="57"/>
        <w:jc w:val="left"/>
        <w:shd w:val="clear" w:fill="F2F2F2"/>
      </w:pPr>
      <w:r>
        <w:rPr>
          <w:rFonts w:ascii="Consolas" w:hAnsi="Consolas" w:cs="Consolas"/>
          <w:b w:val="0"/>
          <w:i w:val="0"/>
          <w:sz w:val="15"/>
        </w:rPr>
        <w:t xml:space="preserve">    &lt;cac:DeliveryTerms&gt;</w:t>
      </w:r>
    </w:p>
    <w:p>
      <w:pPr>
        <w:spacing w:after="0" w:before="0" w:line="240" w:lineRule="auto"/>
        <w:ind w:left="57"/>
        <w:jc w:val="left"/>
        <w:shd w:val="clear" w:fill="F2F2F2"/>
      </w:pPr>
      <w:r>
        <w:rPr>
          <w:rFonts w:ascii="Consolas" w:hAnsi="Consolas" w:cs="Consolas"/>
          <w:b w:val="0"/>
          <w:i w:val="0"/>
          <w:sz w:val="15"/>
        </w:rPr>
        <w:t xml:space="preserve">      &lt;cbc:DeliveryTerms&gt;CFR&lt;/cbc:DeliveryTerms&gt;</w:t>
      </w:r>
    </w:p>
    <w:p>
      <w:pPr>
        <w:spacing w:after="0" w:before="0" w:line="240" w:lineRule="auto"/>
        <w:ind w:left="57"/>
        <w:jc w:val="left"/>
        <w:shd w:val="clear" w:fill="F2F2F2"/>
      </w:pPr>
      <w:r>
        <w:rPr>
          <w:rFonts w:ascii="Consolas" w:hAnsi="Consolas" w:cs="Consolas"/>
          <w:b w:val="0"/>
          <w:i w:val="0"/>
          <w:sz w:val="15"/>
        </w:rPr>
        <w:t xml:space="preserve">      &lt;cbc:Note&gt;Cost and Freight&lt;/cbc:Note&gt;</w:t>
      </w:r>
    </w:p>
    <w:p>
      <w:pPr>
        <w:spacing w:after="0" w:before="0" w:line="240" w:lineRule="auto"/>
        <w:ind w:left="57"/>
        <w:jc w:val="left"/>
        <w:shd w:val="clear" w:fill="F2F2F2"/>
      </w:pPr>
      <w:r>
        <w:rPr>
          <w:rFonts w:ascii="Consolas" w:hAnsi="Consolas" w:cs="Consolas"/>
          <w:b w:val="0"/>
          <w:i w:val="0"/>
          <w:sz w:val="15"/>
        </w:rPr>
        <w:t xml:space="preserve">    &lt;/cac:DeliveryTerms&gt;</w:t>
      </w:r>
    </w:p>
    <w:p>
      <w:pPr>
        <w:spacing w:after="0" w:before="0" w:line="240" w:lineRule="auto"/>
        <w:ind w:left="57"/>
        <w:jc w:val="left"/>
        <w:shd w:val="clear" w:fill="F2F2F2"/>
      </w:pPr>
      <w:r>
        <w:rPr>
          <w:rFonts w:ascii="Consolas" w:hAnsi="Consolas" w:cs="Consolas"/>
          <w:b w:val="0"/>
          <w:i w:val="0"/>
          <w:sz w:val="15"/>
        </w:rPr>
        <w:t xml:space="preserve">    &lt;cac:Shipment&gt;</w:t>
      </w:r>
    </w:p>
    <w:p>
      <w:pPr>
        <w:spacing w:after="0" w:before="0" w:line="240" w:lineRule="auto"/>
        <w:ind w:left="57"/>
        <w:jc w:val="left"/>
        <w:shd w:val="clear" w:fill="F2F2F2"/>
      </w:pPr>
      <w:r>
        <w:rPr>
          <w:rFonts w:ascii="Consolas" w:hAnsi="Consolas" w:cs="Consolas"/>
          <w:b w:val="0"/>
          <w:i w:val="0"/>
          <w:sz w:val="15"/>
        </w:rPr>
        <w:t xml:space="preserve">      &lt;cbc:ID&gt;SGTX-EG-26-F3A-1&lt;/cbc:ID&gt;</w:t>
      </w:r>
    </w:p>
    <w:p>
      <w:pPr>
        <w:spacing w:after="0" w:before="0" w:line="240" w:lineRule="auto"/>
        <w:ind w:left="57"/>
        <w:jc w:val="left"/>
        <w:shd w:val="clear" w:fill="F2F2F2"/>
      </w:pPr>
      <w:r>
        <w:rPr>
          <w:rFonts w:ascii="Consolas" w:hAnsi="Consolas" w:cs="Consolas"/>
          <w:b w:val="0"/>
          <w:i w:val="0"/>
          <w:sz w:val="15"/>
        </w:rPr>
        <w:t xml:space="preserve">      &lt;cbc:HandlingCode&gt;OCEAN&lt;/cbc:HandlingCode&gt;</w:t>
      </w:r>
    </w:p>
    <w:p>
      <w:pPr>
        <w:spacing w:after="0" w:before="0" w:line="240" w:lineRule="auto"/>
        <w:ind w:left="57"/>
        <w:jc w:val="left"/>
        <w:shd w:val="clear" w:fill="F2F2F2"/>
      </w:pPr>
      <w:r>
        <w:rPr>
          <w:rFonts w:ascii="Consolas" w:hAnsi="Consolas" w:cs="Consolas"/>
          <w:b w:val="0"/>
          <w:i w:val="0"/>
          <w:sz w:val="15"/>
        </w:rPr>
        <w:t xml:space="preserve">      &lt;cac:TransportHandlingUnit&gt;</w:t>
      </w:r>
    </w:p>
    <w:p>
      <w:pPr>
        <w:spacing w:after="0" w:before="0" w:line="240" w:lineRule="auto"/>
        <w:ind w:left="57"/>
        <w:jc w:val="left"/>
        <w:shd w:val="clear" w:fill="F2F2F2"/>
      </w:pPr>
      <w:r>
        <w:rPr>
          <w:rFonts w:ascii="Consolas" w:hAnsi="Consolas" w:cs="Consolas"/>
          <w:b w:val="0"/>
          <w:i w:val="0"/>
          <w:sz w:val="15"/>
        </w:rPr>
        <w:t xml:space="preserve">        &lt;cbc:Quantity unitCode="TNE"&gt;15.7848&lt;/cbc:Quantity&gt;</w:t>
      </w:r>
    </w:p>
    <w:p>
      <w:pPr>
        <w:spacing w:after="0" w:before="0" w:line="240" w:lineRule="auto"/>
        <w:ind w:left="57"/>
        <w:jc w:val="left"/>
        <w:shd w:val="clear" w:fill="F2F2F2"/>
      </w:pPr>
      <w:r>
        <w:rPr>
          <w:rFonts w:ascii="Consolas" w:hAnsi="Consolas" w:cs="Consolas"/>
          <w:b w:val="0"/>
          <w:i w:val="0"/>
          <w:sz w:val="15"/>
        </w:rPr>
        <w:t xml:space="preserve">        &lt;!-- Total gross weight in tonnes --&gt;</w:t>
      </w:r>
    </w:p>
    <w:p>
      <w:pPr>
        <w:spacing w:after="0" w:before="0" w:line="240" w:lineRule="auto"/>
        <w:ind w:left="57"/>
        <w:jc w:val="left"/>
        <w:shd w:val="clear" w:fill="F2F2F2"/>
      </w:pPr>
      <w:r>
        <w:rPr>
          <w:rFonts w:ascii="Consolas" w:hAnsi="Consolas" w:cs="Consolas"/>
          <w:b w:val="0"/>
          <w:i w:val="0"/>
          <w:sz w:val="15"/>
        </w:rPr>
        <w:t xml:space="preserve">      &lt;/cac:TransportHandlingUnit&gt;</w:t>
      </w:r>
    </w:p>
    <w:p>
      <w:pPr>
        <w:spacing w:after="0" w:before="0" w:line="240" w:lineRule="auto"/>
        <w:ind w:left="57"/>
        <w:jc w:val="left"/>
        <w:shd w:val="clear" w:fill="F2F2F2"/>
      </w:pPr>
      <w:r>
        <w:rPr>
          <w:rFonts w:ascii="Consolas" w:hAnsi="Consolas" w:cs="Consolas"/>
          <w:b w:val="0"/>
          <w:i w:val="0"/>
          <w:sz w:val="15"/>
        </w:rPr>
        <w:t xml:space="preserve">    &lt;/cac:Shipment&gt;</w:t>
      </w:r>
    </w:p>
    <w:p>
      <w:pPr>
        <w:spacing w:after="0" w:before="0" w:line="240" w:lineRule="auto"/>
        <w:ind w:left="57"/>
        <w:jc w:val="left"/>
        <w:shd w:val="clear" w:fill="F2F2F2"/>
      </w:pPr>
      <w:r>
        <w:rPr>
          <w:rFonts w:ascii="Consolas" w:hAnsi="Consolas" w:cs="Consolas"/>
          <w:b w:val="0"/>
          <w:i w:val="0"/>
          <w:sz w:val="15"/>
        </w:rPr>
        <w:t xml:space="preserve">  &lt;/cac:Delivery&gt;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 INVOICE LINES --&gt;</w:t>
      </w:r>
    </w:p>
    <w:p>
      <w:pPr>
        <w:spacing w:after="0" w:before="0" w:line="240" w:lineRule="auto"/>
        <w:ind w:left="57"/>
        <w:jc w:val="left"/>
        <w:shd w:val="clear" w:fill="F2F2F2"/>
      </w:pPr>
      <w:r>
        <w:rPr>
          <w:rFonts w:ascii="Consolas" w:hAnsi="Consolas" w:cs="Consolas"/>
          <w:b w:val="0"/>
          <w:i w:val="0"/>
          <w:sz w:val="15"/>
        </w:rPr>
        <w:t xml:space="preserve">  &lt;!-- 7.1 GOODS LINE — Oranges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&lt;cbc:ID&gt;1&lt;/cbc:ID&gt;</w:t>
      </w:r>
    </w:p>
    <w:p>
      <w:pPr>
        <w:spacing w:after="0" w:before="0" w:line="240" w:lineRule="auto"/>
        <w:ind w:left="57"/>
        <w:jc w:val="left"/>
        <w:shd w:val="clear" w:fill="F2F2F2"/>
      </w:pPr>
      <w:r>
        <w:rPr>
          <w:rFonts w:ascii="Consolas" w:hAnsi="Consolas" w:cs="Consolas"/>
          <w:b w:val="0"/>
          <w:i w:val="0"/>
          <w:sz w:val="15"/>
        </w:rPr>
        <w:t xml:space="preserve">    &lt;cbc:InvoicedQuantity unitCode="KGM"&gt;8800&lt;/cbc:InvoicedQuantity&gt;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currencyID="USD"&gt;44000.00&lt;/cbc:LineExtensionAmount&gt;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&lt;cbc:Name&gt;Valencia Oranges, Grade A&lt;/cbc:Name&gt;</w:t>
      </w:r>
    </w:p>
    <w:p>
      <w:pPr>
        <w:spacing w:after="0" w:before="0" w:line="240" w:lineRule="auto"/>
        <w:ind w:left="57"/>
        <w:jc w:val="left"/>
        <w:shd w:val="clear" w:fill="F2F2F2"/>
      </w:pPr>
      <w:r>
        <w:rPr>
          <w:rFonts w:ascii="Consolas" w:hAnsi="Consolas" w:cs="Consolas"/>
          <w:b w:val="0"/>
          <w:i w:val="0"/>
          <w:sz w:val="15"/>
        </w:rPr>
        <w:t xml:space="preserve">      &lt;cbc:Description&gt;Fresh Valencia Oranges, Grade A, 10 kg cartons, 22 pallets&lt;/cbc:Description&gt;</w:t>
      </w:r>
    </w:p>
    <w:p>
      <w:pPr>
        <w:spacing w:after="0" w:before="0" w:line="240" w:lineRule="auto"/>
        <w:ind w:left="57"/>
        <w:jc w:val="left"/>
        <w:shd w:val="clear" w:fill="F2F2F2"/>
      </w:pPr>
      <w:r>
        <w:rPr>
          <w:rFonts w:ascii="Consolas" w:hAnsi="Consolas" w:cs="Consolas"/>
          <w:b w:val="0"/>
          <w:i w:val="0"/>
          <w:sz w:val="15"/>
        </w:rPr>
        <w:t xml:space="preserve">      &lt;cac:CommodityClassification&gt;</w:t>
      </w:r>
    </w:p>
    <w:p>
      <w:pPr>
        <w:spacing w:after="0" w:before="0" w:line="240" w:lineRule="auto"/>
        <w:ind w:left="57"/>
        <w:jc w:val="left"/>
        <w:shd w:val="clear" w:fill="F2F2F2"/>
      </w:pPr>
      <w:r>
        <w:rPr>
          <w:rFonts w:ascii="Consolas" w:hAnsi="Consolas" w:cs="Consolas"/>
          <w:b w:val="0"/>
          <w:i w:val="0"/>
          <w:sz w:val="15"/>
        </w:rPr>
        <w:t xml:space="preserve">        &lt;cbc:ItemClassificationCode listID="HS"&gt;0805.10&lt;/cbc:ItemClassificationCode&gt;</w:t>
      </w:r>
    </w:p>
    <w:p>
      <w:pPr>
        <w:spacing w:after="0" w:before="0" w:line="240" w:lineRule="auto"/>
        <w:ind w:left="57"/>
        <w:jc w:val="left"/>
        <w:shd w:val="clear" w:fill="F2F2F2"/>
      </w:pPr>
      <w:r>
        <w:rPr>
          <w:rFonts w:ascii="Consolas" w:hAnsi="Consolas" w:cs="Consolas"/>
          <w:b w:val="0"/>
          <w:i w:val="0"/>
          <w:sz w:val="15"/>
        </w:rPr>
        <w:t xml:space="preserve">      &lt;/cac:CommodityClassification&gt;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&lt;cbc:Name&gt;Variety&lt;/cbc:Name&gt;</w:t>
      </w:r>
    </w:p>
    <w:p>
      <w:pPr>
        <w:spacing w:after="0" w:before="0" w:line="240" w:lineRule="auto"/>
        <w:ind w:left="57"/>
        <w:jc w:val="left"/>
        <w:shd w:val="clear" w:fill="F2F2F2"/>
      </w:pPr>
      <w:r>
        <w:rPr>
          <w:rFonts w:ascii="Consolas" w:hAnsi="Consolas" w:cs="Consolas"/>
          <w:b w:val="0"/>
          <w:i w:val="0"/>
          <w:sz w:val="15"/>
        </w:rPr>
        <w:t xml:space="preserve">        &lt;cbc:Value&gt;Valencia&lt;/cbc:Value&gt;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&lt;cbc:Name&gt;Grade&lt;/cbc:Name&gt;</w:t>
      </w:r>
    </w:p>
    <w:p>
      <w:pPr>
        <w:spacing w:after="0" w:before="0" w:line="240" w:lineRule="auto"/>
        <w:ind w:left="57"/>
        <w:jc w:val="left"/>
        <w:shd w:val="clear" w:fill="F2F2F2"/>
      </w:pPr>
      <w:r>
        <w:rPr>
          <w:rFonts w:ascii="Consolas" w:hAnsi="Consolas" w:cs="Consolas"/>
          <w:b w:val="0"/>
          <w:i w:val="0"/>
          <w:sz w:val="15"/>
        </w:rPr>
        <w:t xml:space="preserve">        &lt;cbc:Value&gt;Grade A&lt;/cbc:Value&gt;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&lt;cbc:Name&gt;Brix&lt;/cbc:Name&gt;</w:t>
      </w:r>
    </w:p>
    <w:p>
      <w:pPr>
        <w:spacing w:after="0" w:before="0" w:line="240" w:lineRule="auto"/>
        <w:ind w:left="57"/>
        <w:jc w:val="left"/>
        <w:shd w:val="clear" w:fill="F2F2F2"/>
      </w:pPr>
      <w:r>
        <w:rPr>
          <w:rFonts w:ascii="Consolas" w:hAnsi="Consolas" w:cs="Consolas"/>
          <w:b w:val="0"/>
          <w:i w:val="0"/>
          <w:sz w:val="15"/>
        </w:rPr>
        <w:t xml:space="preserve">        &lt;cbc:Value&gt;12.5 °Bx&lt;/cbc:Value&gt;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&lt;cac:Price&gt;</w:t>
      </w:r>
    </w:p>
    <w:p>
      <w:pPr>
        <w:spacing w:after="0" w:before="0" w:line="240" w:lineRule="auto"/>
        <w:ind w:left="57"/>
        <w:jc w:val="left"/>
        <w:shd w:val="clear" w:fill="F2F2F2"/>
      </w:pPr>
      <w:r>
        <w:rPr>
          <w:rFonts w:ascii="Consolas" w:hAnsi="Consolas" w:cs="Consolas"/>
          <w:b w:val="0"/>
          <w:i w:val="0"/>
          <w:sz w:val="15"/>
        </w:rPr>
        <w:t xml:space="preserve">      &lt;cbc:PriceAmount currencyID="USD"&gt;5.00&lt;/cbc:PriceAmount&gt;</w:t>
      </w:r>
    </w:p>
    <w:p>
      <w:pPr>
        <w:spacing w:after="0" w:before="0" w:line="240" w:lineRule="auto"/>
        <w:ind w:left="57"/>
        <w:jc w:val="left"/>
        <w:shd w:val="clear" w:fill="F2F2F2"/>
      </w:pPr>
      <w:r>
        <w:rPr>
          <w:rFonts w:ascii="Consolas" w:hAnsi="Consolas" w:cs="Consolas"/>
          <w:b w:val="0"/>
          <w:i w:val="0"/>
          <w:sz w:val="15"/>
        </w:rPr>
        <w:t xml:space="preserve">      &lt;cbc:BaseQuantity unitCode="KGM"&gt;1&lt;/cbc:BaseQuantity&gt;</w:t>
      </w:r>
    </w:p>
    <w:p>
      <w:pPr>
        <w:spacing w:after="0" w:before="0" w:line="240" w:lineRule="auto"/>
        <w:ind w:left="57"/>
        <w:jc w:val="left"/>
        <w:shd w:val="clear" w:fill="F2F2F2"/>
      </w:pPr>
      <w:r>
        <w:rPr>
          <w:rFonts w:ascii="Consolas" w:hAnsi="Consolas" w:cs="Consolas"/>
          <w:b w:val="0"/>
          <w:i w:val="0"/>
          <w:sz w:val="15"/>
        </w:rPr>
        <w:t xml:space="preserve">    &lt;/cac:Price&gt;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&lt;!-- 7.2 GOODS LINE — Lemons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&lt;cbc:ID&gt;2&lt;/cbc:ID&gt;</w:t>
      </w:r>
    </w:p>
    <w:p>
      <w:pPr>
        <w:spacing w:after="0" w:before="0" w:line="240" w:lineRule="auto"/>
        <w:ind w:left="57"/>
        <w:jc w:val="left"/>
        <w:shd w:val="clear" w:fill="F2F2F2"/>
      </w:pPr>
      <w:r>
        <w:rPr>
          <w:rFonts w:ascii="Consolas" w:hAnsi="Consolas" w:cs="Consolas"/>
          <w:b w:val="0"/>
          <w:i w:val="0"/>
          <w:sz w:val="15"/>
        </w:rPr>
        <w:t xml:space="preserve">    &lt;cbc:InvoicedQuantity unitCode="KGM"&gt;5376&lt;/cbc:InvoicedQuantity&gt;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currencyID="USD"&gt;26880.00&lt;/cbc:LineExtensionAmount&gt;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&lt;cbc:Name&gt;Eureka Lemons, Grade A&lt;/cbc:Name&gt;</w:t>
      </w:r>
    </w:p>
    <w:p>
      <w:pPr>
        <w:spacing w:after="0" w:before="0" w:line="240" w:lineRule="auto"/>
        <w:ind w:left="57"/>
        <w:jc w:val="left"/>
        <w:shd w:val="clear" w:fill="F2F2F2"/>
      </w:pPr>
      <w:r>
        <w:rPr>
          <w:rFonts w:ascii="Consolas" w:hAnsi="Consolas" w:cs="Consolas"/>
          <w:b w:val="0"/>
          <w:i w:val="0"/>
          <w:sz w:val="15"/>
        </w:rPr>
        <w:t xml:space="preserve">      &lt;cbc:Description&gt;Fresh Eureka Lemons, Grade A, 8 kg cartons, 14 pallets&lt;/cbc:Description&gt;</w:t>
      </w:r>
    </w:p>
    <w:p>
      <w:pPr>
        <w:spacing w:after="0" w:before="0" w:line="240" w:lineRule="auto"/>
        <w:ind w:left="57"/>
        <w:jc w:val="left"/>
        <w:shd w:val="clear" w:fill="F2F2F2"/>
      </w:pPr>
      <w:r>
        <w:rPr>
          <w:rFonts w:ascii="Consolas" w:hAnsi="Consolas" w:cs="Consolas"/>
          <w:b w:val="0"/>
          <w:i w:val="0"/>
          <w:sz w:val="15"/>
        </w:rPr>
        <w:t xml:space="preserve">      &lt;cac:CommodityClassification&gt;</w:t>
      </w:r>
    </w:p>
    <w:p>
      <w:pPr>
        <w:spacing w:after="0" w:before="0" w:line="240" w:lineRule="auto"/>
        <w:ind w:left="57"/>
        <w:jc w:val="left"/>
        <w:shd w:val="clear" w:fill="F2F2F2"/>
      </w:pPr>
      <w:r>
        <w:rPr>
          <w:rFonts w:ascii="Consolas" w:hAnsi="Consolas" w:cs="Consolas"/>
          <w:b w:val="0"/>
          <w:i w:val="0"/>
          <w:sz w:val="15"/>
        </w:rPr>
        <w:t xml:space="preserve">        &lt;cbc:ItemClassificationCode listID="HS"&gt;0805.50&lt;/cbc:ItemClassificationCode&gt;</w:t>
      </w:r>
    </w:p>
    <w:p>
      <w:pPr>
        <w:spacing w:after="0" w:before="0" w:line="240" w:lineRule="auto"/>
        <w:ind w:left="57"/>
        <w:jc w:val="left"/>
        <w:shd w:val="clear" w:fill="F2F2F2"/>
      </w:pPr>
      <w:r>
        <w:rPr>
          <w:rFonts w:ascii="Consolas" w:hAnsi="Consolas" w:cs="Consolas"/>
          <w:b w:val="0"/>
          <w:i w:val="0"/>
          <w:sz w:val="15"/>
        </w:rPr>
        <w:t xml:space="preserve">      &lt;/cac:CommodityClassification&gt;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&lt;cac:Price&gt;</w:t>
      </w:r>
    </w:p>
    <w:p>
      <w:pPr>
        <w:spacing w:after="0" w:before="0" w:line="240" w:lineRule="auto"/>
        <w:ind w:left="57"/>
        <w:jc w:val="left"/>
        <w:shd w:val="clear" w:fill="F2F2F2"/>
      </w:pPr>
      <w:r>
        <w:rPr>
          <w:rFonts w:ascii="Consolas" w:hAnsi="Consolas" w:cs="Consolas"/>
          <w:b w:val="0"/>
          <w:i w:val="0"/>
          <w:sz w:val="15"/>
        </w:rPr>
        <w:t xml:space="preserve">      &lt;cbc:PriceAmount currencyID="USD"&gt;5.00&lt;/cbc:PriceAmount&gt;</w:t>
      </w:r>
    </w:p>
    <w:p>
      <w:pPr>
        <w:spacing w:after="0" w:before="0" w:line="240" w:lineRule="auto"/>
        <w:ind w:left="57"/>
        <w:jc w:val="left"/>
        <w:shd w:val="clear" w:fill="F2F2F2"/>
      </w:pPr>
      <w:r>
        <w:rPr>
          <w:rFonts w:ascii="Consolas" w:hAnsi="Consolas" w:cs="Consolas"/>
          <w:b w:val="0"/>
          <w:i w:val="0"/>
          <w:sz w:val="15"/>
        </w:rPr>
        <w:t xml:space="preserve">      &lt;cbc:BaseQuantity unitCode="KGM"&gt;1&lt;/cbc:BaseQuantity&gt;</w:t>
      </w:r>
    </w:p>
    <w:p>
      <w:pPr>
        <w:spacing w:after="0" w:before="0" w:line="240" w:lineRule="auto"/>
        <w:ind w:left="57"/>
        <w:jc w:val="left"/>
        <w:shd w:val="clear" w:fill="F2F2F2"/>
      </w:pPr>
      <w:r>
        <w:rPr>
          <w:rFonts w:ascii="Consolas" w:hAnsi="Consolas" w:cs="Consolas"/>
          <w:b w:val="0"/>
          <w:i w:val="0"/>
          <w:sz w:val="15"/>
        </w:rPr>
        <w:t xml:space="preserve">    &lt;/cac:Price&gt;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&lt;!-- 7.3 LOGISTICS — Trucking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&lt;cbc:ID&gt;3&lt;/cbc:ID&gt;</w:t>
      </w:r>
    </w:p>
    <w:p>
      <w:pPr>
        <w:spacing w:after="0" w:before="0" w:line="240" w:lineRule="auto"/>
        <w:ind w:left="57"/>
        <w:jc w:val="left"/>
        <w:shd w:val="clear" w:fill="F2F2F2"/>
      </w:pPr>
      <w:r>
        <w:rPr>
          <w:rFonts w:ascii="Consolas" w:hAnsi="Consolas" w:cs="Consolas"/>
          <w:b w:val="0"/>
          <w:i w:val="0"/>
          <w:sz w:val="15"/>
        </w:rPr>
        <w:t xml:space="preserve">    &lt;cbc:InvoicedQuantity&gt;1&lt;/cbc:InvoicedQuantity&gt;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currencyID="USD"&gt;900.00&lt;/cbc:LineExtensionAmount&gt;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&lt;cbc:Name&gt;Trucking (farm to port)&lt;/cbc:Name&gt;</w:t>
      </w:r>
    </w:p>
    <w:p>
      <w:pPr>
        <w:spacing w:after="0" w:before="0" w:line="240" w:lineRule="auto"/>
        <w:ind w:left="57"/>
        <w:jc w:val="left"/>
        <w:shd w:val="clear" w:fill="F2F2F2"/>
      </w:pPr>
      <w:r>
        <w:rPr>
          <w:rFonts w:ascii="Consolas" w:hAnsi="Consolas" w:cs="Consolas"/>
          <w:b w:val="0"/>
          <w:i w:val="0"/>
          <w:sz w:val="15"/>
        </w:rPr>
        <w:t xml:space="preserve">      &lt;cbc:Description&gt;Beheira → Damietta, 22 pallets oranges, 14 pallets lemons&lt;/cbc:Description&gt;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&lt;!-- 7.4 LOGISTICS — Ocean Freight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&lt;cbc:ID&gt;4&lt;/cbc:ID&gt;</w:t>
      </w:r>
    </w:p>
    <w:p>
      <w:pPr>
        <w:spacing w:after="0" w:before="0" w:line="240" w:lineRule="auto"/>
        <w:ind w:left="57"/>
        <w:jc w:val="left"/>
        <w:shd w:val="clear" w:fill="F2F2F2"/>
      </w:pPr>
      <w:r>
        <w:rPr>
          <w:rFonts w:ascii="Consolas" w:hAnsi="Consolas" w:cs="Consolas"/>
          <w:b w:val="0"/>
          <w:i w:val="0"/>
          <w:sz w:val="15"/>
        </w:rPr>
        <w:t xml:space="preserve">    &lt;cbc:InvoicedQuantity&gt;1&lt;/cbc:InvoicedQuantity&gt;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currencyID="USD"&gt;4200.00&lt;/cbc:LineExtensionAmount&gt;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&lt;cbc:Name&gt;Ocean Freight&lt;/cbc:Name&gt;</w:t>
      </w:r>
    </w:p>
    <w:p>
      <w:pPr>
        <w:spacing w:after="0" w:before="0" w:line="240" w:lineRule="auto"/>
        <w:ind w:left="57"/>
        <w:jc w:val="left"/>
        <w:shd w:val="clear" w:fill="F2F2F2"/>
      </w:pPr>
      <w:r>
        <w:rPr>
          <w:rFonts w:ascii="Consolas" w:hAnsi="Consolas" w:cs="Consolas"/>
          <w:b w:val="0"/>
          <w:i w:val="0"/>
          <w:sz w:val="15"/>
        </w:rPr>
        <w:t xml:space="preserve">      &lt;cbc:Description&gt;Damietta → Hamburg, 40ft Reefer, Vessel: MSC FIONA&lt;/cbc:Description&gt;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&lt;cbc:Name&gt;Vessel&lt;/cbc:Name&gt;</w:t>
      </w:r>
    </w:p>
    <w:p>
      <w:pPr>
        <w:spacing w:after="0" w:before="0" w:line="240" w:lineRule="auto"/>
        <w:ind w:left="57"/>
        <w:jc w:val="left"/>
        <w:shd w:val="clear" w:fill="F2F2F2"/>
      </w:pPr>
      <w:r>
        <w:rPr>
          <w:rFonts w:ascii="Consolas" w:hAnsi="Consolas" w:cs="Consolas"/>
          <w:b w:val="0"/>
          <w:i w:val="0"/>
          <w:sz w:val="15"/>
        </w:rPr>
        <w:t xml:space="preserve">        &lt;cbc:Value&gt;MSC FIONA&lt;/cbc:Value&gt;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&lt;cbc:Name&gt;Voyage&lt;/cbc:Name&gt;</w:t>
      </w:r>
    </w:p>
    <w:p>
      <w:pPr>
        <w:spacing w:after="0" w:before="0" w:line="240" w:lineRule="auto"/>
        <w:ind w:left="57"/>
        <w:jc w:val="left"/>
        <w:shd w:val="clear" w:fill="F2F2F2"/>
      </w:pPr>
      <w:r>
        <w:rPr>
          <w:rFonts w:ascii="Consolas" w:hAnsi="Consolas" w:cs="Consolas"/>
          <w:b w:val="0"/>
          <w:i w:val="0"/>
          <w:sz w:val="15"/>
        </w:rPr>
        <w:t xml:space="preserve">        &lt;cbc:Value&gt;MSF123E&lt;/cbc:Value&gt;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&lt;!-- 7.5 LOGISTICS — Insurance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&lt;cbc:ID&gt;5&lt;/cbc:ID&gt;</w:t>
      </w:r>
    </w:p>
    <w:p>
      <w:pPr>
        <w:spacing w:after="0" w:before="0" w:line="240" w:lineRule="auto"/>
        <w:ind w:left="57"/>
        <w:jc w:val="left"/>
        <w:shd w:val="clear" w:fill="F2F2F2"/>
      </w:pPr>
      <w:r>
        <w:rPr>
          <w:rFonts w:ascii="Consolas" w:hAnsi="Consolas" w:cs="Consolas"/>
          <w:b w:val="0"/>
          <w:i w:val="0"/>
          <w:sz w:val="15"/>
        </w:rPr>
        <w:t xml:space="preserve">    &lt;cbc:InvoicedQuantity&gt;1&lt;/cbc:InvoicedQuantity&gt;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currencyID="USD"&gt;450.00&lt;/cbc:LineExtensionAmount&gt;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&lt;cbc:Name&gt;Cargo Insurance&lt;/cbc:Name&gt;</w:t>
      </w:r>
    </w:p>
    <w:p>
      <w:pPr>
        <w:spacing w:after="0" w:before="0" w:line="240" w:lineRule="auto"/>
        <w:ind w:left="57"/>
        <w:jc w:val="left"/>
        <w:shd w:val="clear" w:fill="F2F2F2"/>
      </w:pPr>
      <w:r>
        <w:rPr>
          <w:rFonts w:ascii="Consolas" w:hAnsi="Consolas" w:cs="Consolas"/>
          <w:b w:val="0"/>
          <w:i w:val="0"/>
          <w:sz w:val="15"/>
        </w:rPr>
        <w:t xml:space="preserve">      &lt;cbc:Description&gt;All Risks, 110% of invoice value, Policy: INS-2026-001&lt;/cbc:Description&gt;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&lt;!-- 7.6 SGTX PLATFORM FEE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&lt;cbc:ID&gt;6&lt;/cbc:ID&gt;</w:t>
      </w:r>
    </w:p>
    <w:p>
      <w:pPr>
        <w:spacing w:after="0" w:before="0" w:line="240" w:lineRule="auto"/>
        <w:ind w:left="57"/>
        <w:jc w:val="left"/>
        <w:shd w:val="clear" w:fill="F2F2F2"/>
      </w:pPr>
      <w:r>
        <w:rPr>
          <w:rFonts w:ascii="Consolas" w:hAnsi="Consolas" w:cs="Consolas"/>
          <w:b w:val="0"/>
          <w:i w:val="0"/>
          <w:sz w:val="15"/>
        </w:rPr>
        <w:t xml:space="preserve">    &lt;cbc:InvoicedQuantity&gt;1&lt;/cbc:InvoicedQuantity&gt;</w:t>
      </w:r>
    </w:p>
    <w:p>
      <w:pPr>
        <w:spacing w:after="0" w:before="0" w:line="240" w:lineRule="auto"/>
        <w:ind w:left="57"/>
        <w:jc w:val="left"/>
        <w:shd w:val="clear" w:fill="F2F2F2"/>
      </w:pPr>
      <w:r>
        <w:rPr>
          <w:rFonts w:ascii="Consolas" w:hAnsi="Consolas" w:cs="Consolas"/>
          <w:b w:val="0"/>
          <w:i w:val="0"/>
          <w:sz w:val="15"/>
        </w:rPr>
        <w:t>&lt;cbc:LineExtensionAmount currencyID="USD"&gt;144.00&lt;/cbc:LineExtensionAmount&gt;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&lt;cbc:Name&gt;SGTX Platform Fee (Dynamic Fee Engine)&lt;/cbc:Name&gt;</w:t>
      </w:r>
    </w:p>
    <w:p>
      <w:pPr>
        <w:spacing w:after="0" w:before="0" w:line="240" w:lineRule="auto"/>
        <w:ind w:left="57"/>
        <w:jc w:val="left"/>
        <w:shd w:val="clear" w:fill="F2F2F2"/>
      </w:pPr>
      <w:r>
        <w:rPr>
          <w:rFonts w:ascii="Consolas" w:hAnsi="Consolas" w:cs="Consolas"/>
          <w:b w:val="0"/>
          <w:i w:val="0"/>
          <w:sz w:val="15"/>
        </w:rPr>
        <w:t>&lt;cbc:Description&gt;Calculated on the Canonical Fee Basis (EXW + eligible logistics)&lt;/cbc:Description&gt;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&lt;cbc:Name&gt;Rate&lt;/cbc:Name&gt;</w:t>
      </w:r>
    </w:p>
    <w:p>
      <w:pPr>
        <w:spacing w:after="0" w:before="0" w:line="240" w:lineRule="auto"/>
        <w:ind w:left="57"/>
        <w:jc w:val="left"/>
        <w:shd w:val="clear" w:fill="F2F2F2"/>
      </w:pPr>
      <w:r>
        <w:rPr>
          <w:rFonts w:ascii="Consolas" w:hAnsi="Consolas" w:cs="Consolas"/>
          <w:b w:val="0"/>
          <w:i w:val="0"/>
          <w:sz w:val="15"/>
        </w:rPr>
        <w:t>&lt;cbc:Value&gt;0.144%&lt;/cbc:Value&gt;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&lt;cbc:Name&gt;Base Amount&lt;/cbc:Name&gt;</w:t>
      </w:r>
    </w:p>
    <w:p>
      <w:pPr>
        <w:spacing w:after="0" w:before="0" w:line="240" w:lineRule="auto"/>
        <w:ind w:left="57"/>
        <w:jc w:val="left"/>
        <w:shd w:val="clear" w:fill="F2F2F2"/>
      </w:pPr>
      <w:r>
        <w:rPr>
          <w:rFonts w:ascii="Consolas" w:hAnsi="Consolas" w:cs="Consolas"/>
          <w:b w:val="0"/>
          <w:i w:val="0"/>
          <w:sz w:val="15"/>
        </w:rPr>
        <w:t xml:space="preserve">        &lt;cbc:Value&gt;100,000.00 USD&lt;/cbc:Value&gt;</w:t>
      </w:r>
    </w:p>
    <w:p>
      <w:pPr>
        <w:spacing w:after="0" w:before="0" w:line="240" w:lineRule="auto"/>
        <w:ind w:left="57"/>
        <w:jc w:val="left"/>
        <w:shd w:val="clear" w:fill="F2F2F2"/>
      </w:pPr>
      <w:r>
        <w:rPr>
          <w:rFonts w:ascii="Consolas" w:hAnsi="Consolas" w:cs="Consolas"/>
          <w:b w:val="0"/>
          <w:i w:val="0"/>
          <w:sz w:val="15"/>
        </w:rPr>
        <w:t xml:space="preserve">      &lt;/cac:AdditionalItemProperty&gt;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&lt;!-- 7.7 OPTIONAL SERVICE — Laboratory Testing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&lt;cbc:ID&gt;7&lt;/cbc:ID&gt;</w:t>
      </w:r>
    </w:p>
    <w:p>
      <w:pPr>
        <w:spacing w:after="0" w:before="0" w:line="240" w:lineRule="auto"/>
        <w:ind w:left="57"/>
        <w:jc w:val="left"/>
        <w:shd w:val="clear" w:fill="F2F2F2"/>
      </w:pPr>
      <w:r>
        <w:rPr>
          <w:rFonts w:ascii="Consolas" w:hAnsi="Consolas" w:cs="Consolas"/>
          <w:b w:val="0"/>
          <w:i w:val="0"/>
          <w:sz w:val="15"/>
        </w:rPr>
        <w:t xml:space="preserve">    &lt;cbc:InvoicedQuantity&gt;1&lt;/cbc:InvoicedQuantity&gt;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currencyID="USD"&gt;200.00&lt;/cbc:LineExtensionAmount&gt;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&lt;cbc:Name&gt;Laboratory Testing&lt;/cbc:Name&gt;</w:t>
      </w:r>
    </w:p>
    <w:p>
      <w:pPr>
        <w:spacing w:after="0" w:before="0" w:line="240" w:lineRule="auto"/>
        <w:ind w:left="57"/>
        <w:jc w:val="left"/>
        <w:shd w:val="clear" w:fill="F2F2F2"/>
      </w:pPr>
      <w:r>
        <w:rPr>
          <w:rFonts w:ascii="Consolas" w:hAnsi="Consolas" w:cs="Consolas"/>
          <w:b w:val="0"/>
          <w:i w:val="0"/>
          <w:sz w:val="15"/>
        </w:rPr>
        <w:t xml:space="preserve">      &lt;cbc:Description&gt;Pesticide panel, Cypermethrin, Chlorpyrifos, Thiabendazole&lt;/cbc:Description&gt;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&lt;!-- 7.8 OPTIONAL SERVICE — Customs Broker --&gt;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&lt;cbc:ID&gt;8&lt;/cbc:ID&gt;</w:t>
      </w:r>
    </w:p>
    <w:p>
      <w:pPr>
        <w:spacing w:after="0" w:before="0" w:line="240" w:lineRule="auto"/>
        <w:ind w:left="57"/>
        <w:jc w:val="left"/>
        <w:shd w:val="clear" w:fill="F2F2F2"/>
      </w:pPr>
      <w:r>
        <w:rPr>
          <w:rFonts w:ascii="Consolas" w:hAnsi="Consolas" w:cs="Consolas"/>
          <w:b w:val="0"/>
          <w:i w:val="0"/>
          <w:sz w:val="15"/>
        </w:rPr>
        <w:t xml:space="preserve">    &lt;cbc:InvoicedQuantity&gt;1&lt;/cbc:InvoicedQuantity&gt;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currencyID="USD"&gt;150.00&lt;/cbc:LineExtensionAmount&gt;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&lt;cbc:Name&gt;Customs Broker Certification&lt;/cbc:Name&gt;</w:t>
      </w:r>
    </w:p>
    <w:p>
      <w:pPr>
        <w:spacing w:after="0" w:before="0" w:line="240" w:lineRule="auto"/>
        <w:ind w:left="57"/>
        <w:jc w:val="left"/>
        <w:shd w:val="clear" w:fill="F2F2F2"/>
      </w:pPr>
      <w:r>
        <w:rPr>
          <w:rFonts w:ascii="Consolas" w:hAnsi="Consolas" w:cs="Consolas"/>
          <w:b w:val="0"/>
          <w:i w:val="0"/>
          <w:sz w:val="15"/>
        </w:rPr>
        <w:t xml:space="preserve">      &lt;cbc:Description&gt;Nafeza declaration certification, Broker: Nile Customs Services&lt;/cbc:Description&gt;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&lt;!-- 7.9 FINANCING FEE (if applicable) --&gt;</w:t>
      </w:r>
    </w:p>
    <w:p>
      <w:pPr>
        <w:spacing w:after="0" w:before="0" w:line="240" w:lineRule="auto"/>
        <w:ind w:left="57"/>
        <w:jc w:val="left"/>
        <w:shd w:val="clear" w:fill="F2F2F2"/>
      </w:pPr>
      <w:r>
        <w:rPr>
          <w:rFonts w:ascii="Consolas" w:hAnsi="Consolas" w:cs="Consolas"/>
          <w:b w:val="0"/>
          <w:i w:val="0"/>
          <w:sz w:val="15"/>
        </w:rPr>
        <w:t xml:space="preserve">  &lt;!--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&lt;cbc:ID&gt;9&lt;/cbc:ID&gt;</w:t>
      </w:r>
    </w:p>
    <w:p>
      <w:pPr>
        <w:spacing w:after="0" w:before="0" w:line="240" w:lineRule="auto"/>
        <w:ind w:left="57"/>
        <w:jc w:val="left"/>
        <w:shd w:val="clear" w:fill="F2F2F2"/>
      </w:pPr>
      <w:r>
        <w:rPr>
          <w:rFonts w:ascii="Consolas" w:hAnsi="Consolas" w:cs="Consolas"/>
          <w:b w:val="0"/>
          <w:i w:val="0"/>
          <w:sz w:val="15"/>
        </w:rPr>
        <w:t xml:space="preserve">    &lt;cbc:InvoicedQuantity&gt;1&lt;/cbc:InvoicedQuantity&gt;</w:t>
      </w:r>
    </w:p>
    <w:p>
      <w:pPr>
        <w:spacing w:after="0" w:before="0" w:line="240" w:lineRule="auto"/>
        <w:ind w:left="57"/>
        <w:jc w:val="left"/>
        <w:shd w:val="clear" w:fill="F2F2F2"/>
      </w:pPr>
      <w:r>
        <w:rPr>
          <w:rFonts w:ascii="Consolas" w:hAnsi="Consolas" w:cs="Consolas"/>
          <w:b w:val="0"/>
          <w:i w:val="0"/>
          <w:sz w:val="15"/>
        </w:rPr>
        <w:t xml:space="preserve">    &lt;cbc:LineExtensionAmount currencyID="USD"&gt;250.00&lt;/cbc:LineExtensionAmount&gt;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&lt;cbc:Name&gt;SGTX Financing Fee (0.25%)&lt;/cbc:Name&gt;</w:t>
      </w:r>
    </w:p>
    <w:p>
      <w:pPr>
        <w:spacing w:after="0" w:before="0" w:line="240" w:lineRule="auto"/>
        <w:ind w:left="57"/>
        <w:jc w:val="left"/>
        <w:shd w:val="clear" w:fill="F2F2F2"/>
      </w:pPr>
      <w:r>
        <w:rPr>
          <w:rFonts w:ascii="Consolas" w:hAnsi="Consolas" w:cs="Consolas"/>
          <w:b w:val="0"/>
          <w:i w:val="0"/>
          <w:sz w:val="15"/>
        </w:rPr>
        <w:t xml:space="preserve">      &lt;cbc:Description&gt;Calculated on financed amount: $100,000&lt;/cbc:Description&gt;</w:t>
      </w:r>
    </w:p>
    <w:p>
      <w:pPr>
        <w:spacing w:after="0" w:before="0" w:line="240" w:lineRule="auto"/>
        <w:ind w:left="57"/>
        <w:jc w:val="left"/>
        <w:shd w:val="clear" w:fill="F2F2F2"/>
      </w:pPr>
      <w:r>
        <w:rPr>
          <w:rFonts w:ascii="Consolas" w:hAnsi="Consolas" w:cs="Consolas"/>
          <w:b w:val="0"/>
          <w:i w:val="0"/>
          <w:sz w:val="15"/>
        </w:rPr>
        <w:t xml:space="preserve">    &lt;/cac:Item&gt;</w:t>
      </w:r>
    </w:p>
    <w:p>
      <w:pPr>
        <w:spacing w:after="0" w:before="0" w:line="240" w:lineRule="auto"/>
        <w:ind w:left="57"/>
        <w:jc w:val="left"/>
        <w:shd w:val="clear" w:fill="F2F2F2"/>
      </w:pPr>
      <w:r>
        <w:rPr>
          <w:rFonts w:ascii="Consolas" w:hAnsi="Consolas" w:cs="Consolas"/>
          <w:b w:val="0"/>
          <w:i w:val="0"/>
          <w:sz w:val="15"/>
        </w:rPr>
        <w:t xml:space="preserve">  &lt;/cac:InvoiceLine&gt;</w:t>
      </w:r>
    </w:p>
    <w:p>
      <w:pPr>
        <w:spacing w:after="0" w:before="0" w:line="240" w:lineRule="auto"/>
        <w:ind w:left="57"/>
        <w:jc w:val="left"/>
        <w:shd w:val="clear" w:fill="F2F2F2"/>
      </w:pPr>
      <w:r>
        <w:rPr>
          <w:rFonts w:ascii="Consolas" w:hAnsi="Consolas" w:cs="Consolas"/>
          <w:b w:val="0"/>
          <w:i w:val="0"/>
          <w:sz w:val="15"/>
        </w:rPr>
        <w:t xml:space="preserve">  --&gt;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&lt;!-- 8. TOTALS --&gt;</w:t>
      </w:r>
    </w:p>
    <w:p>
      <w:pPr>
        <w:spacing w:after="0" w:before="0" w:line="240" w:lineRule="auto"/>
        <w:ind w:left="57"/>
        <w:jc w:val="left"/>
        <w:shd w:val="clear" w:fill="F2F2F2"/>
      </w:pPr>
      <w:r>
        <w:rPr>
          <w:rFonts w:ascii="Consolas" w:hAnsi="Consolas" w:cs="Consolas"/>
          <w:b w:val="0"/>
          <w:i w:val="0"/>
          <w:sz w:val="15"/>
        </w:rPr>
        <w:t xml:space="preserve">  &lt;cac:LegalMonetaryTotal&gt;</w:t>
      </w:r>
    </w:p>
    <w:p>
      <w:pPr>
        <w:spacing w:after="0" w:before="0" w:line="240" w:lineRule="auto"/>
        <w:ind w:left="57"/>
        <w:jc w:val="left"/>
        <w:shd w:val="clear" w:fill="F2F2F2"/>
      </w:pPr>
      <w:r>
        <w:rPr>
          <w:rFonts w:ascii="Consolas" w:hAnsi="Consolas" w:cs="Consolas"/>
          <w:b w:val="0"/>
          <w:i w:val="0"/>
          <w:sz w:val="15"/>
        </w:rPr>
        <w:t xml:space="preserve">    &lt;cbc:LineExtensionAmount currencyID="USD"&gt;78730.00&lt;/cbc:LineExtensionAmount&gt;</w:t>
      </w:r>
    </w:p>
    <w:p>
      <w:pPr>
        <w:spacing w:after="0" w:before="0" w:line="240" w:lineRule="auto"/>
        <w:ind w:left="57"/>
        <w:jc w:val="left"/>
        <w:shd w:val="clear" w:fill="F2F2F2"/>
      </w:pPr>
      <w:r>
        <w:rPr>
          <w:rFonts w:ascii="Consolas" w:hAnsi="Consolas" w:cs="Consolas"/>
          <w:b w:val="0"/>
          <w:i w:val="0"/>
          <w:sz w:val="15"/>
        </w:rPr>
        <w:t xml:space="preserve">    &lt;!-- Goods + Logistics --&gt;</w:t>
      </w:r>
    </w:p>
    <w:p>
      <w:pPr>
        <w:spacing w:after="0" w:before="0" w:line="240" w:lineRule="auto"/>
        <w:ind w:left="57"/>
        <w:jc w:val="left"/>
        <w:shd w:val="clear" w:fill="F2F2F2"/>
      </w:pPr>
      <w:r>
        <w:rPr>
          <w:rFonts w:ascii="Consolas" w:hAnsi="Consolas" w:cs="Consolas"/>
          <w:b w:val="0"/>
          <w:i w:val="0"/>
          <w:sz w:val="15"/>
        </w:rPr>
        <w:t xml:space="preserve">    &lt;cbc:TaxExclusiveAmount currencyID="USD"&gt;78730.00&lt;/cbc:TaxExclusiveAmount&gt;</w:t>
      </w:r>
    </w:p>
    <w:p>
      <w:pPr>
        <w:spacing w:after="0" w:before="0" w:line="240" w:lineRule="auto"/>
        <w:ind w:left="57"/>
        <w:jc w:val="left"/>
        <w:shd w:val="clear" w:fill="F2F2F2"/>
      </w:pPr>
      <w:r>
        <w:rPr>
          <w:rFonts w:ascii="Consolas" w:hAnsi="Consolas" w:cs="Consolas"/>
          <w:b w:val="0"/>
          <w:i w:val="0"/>
          <w:sz w:val="15"/>
        </w:rPr>
        <w:t xml:space="preserve">    &lt;cbc:TaxInclusiveAmount currencyID="USD"&gt;78730.00&lt;/cbc:TaxInclusiveAmount&gt;</w:t>
      </w:r>
    </w:p>
    <w:p>
      <w:pPr>
        <w:spacing w:after="0" w:before="0" w:line="240" w:lineRule="auto"/>
        <w:ind w:left="57"/>
        <w:jc w:val="left"/>
        <w:shd w:val="clear" w:fill="F2F2F2"/>
      </w:pPr>
      <w:r>
        <w:rPr>
          <w:rFonts w:ascii="Consolas" w:hAnsi="Consolas" w:cs="Consolas"/>
          <w:b w:val="0"/>
          <w:i w:val="0"/>
          <w:sz w:val="15"/>
        </w:rPr>
        <w:t xml:space="preserve">    &lt;cbc:PayableAmount currencyID="USD"&gt;78730.00&lt;/cbc:PayableAmount&gt;</w:t>
      </w:r>
    </w:p>
    <w:p>
      <w:pPr>
        <w:spacing w:after="0" w:before="0" w:line="240" w:lineRule="auto"/>
        <w:ind w:left="57"/>
        <w:jc w:val="left"/>
        <w:shd w:val="clear" w:fill="F2F2F2"/>
      </w:pPr>
      <w:r>
        <w:rPr>
          <w:rFonts w:ascii="Consolas" w:hAnsi="Consolas" w:cs="Consolas"/>
          <w:b w:val="0"/>
          <w:i w:val="0"/>
          <w:sz w:val="15"/>
        </w:rPr>
        <w:t xml:space="preserve">    &lt;cbc:PrepaidAmount currencyID="USD"&gt;0.00&lt;/cbc:PrepaidAmount&gt;</w:t>
      </w:r>
    </w:p>
    <w:p>
      <w:pPr>
        <w:spacing w:after="0" w:before="0" w:line="240" w:lineRule="auto"/>
        <w:ind w:left="57"/>
        <w:jc w:val="left"/>
        <w:shd w:val="clear" w:fill="F2F2F2"/>
      </w:pPr>
      <w:r>
        <w:rPr>
          <w:rFonts w:ascii="Consolas" w:hAnsi="Consolas" w:cs="Consolas"/>
          <w:b w:val="0"/>
          <w:i w:val="0"/>
          <w:sz w:val="15"/>
        </w:rPr>
        <w:t xml:space="preserve">    &lt;cbc:AllowanceTotalAmount currencyID="USD"&gt;0.00&lt;/cbc:AllowanceTotalAmount&gt;</w:t>
      </w:r>
    </w:p>
    <w:p>
      <w:pPr>
        <w:spacing w:after="0" w:before="0" w:line="240" w:lineRule="auto"/>
        <w:ind w:left="57"/>
        <w:jc w:val="left"/>
        <w:shd w:val="clear" w:fill="F2F2F2"/>
      </w:pPr>
      <w:r>
        <w:rPr>
          <w:rFonts w:ascii="Consolas" w:hAnsi="Consolas" w:cs="Consolas"/>
          <w:b w:val="0"/>
          <w:i w:val="0"/>
          <w:sz w:val="15"/>
        </w:rPr>
        <w:t xml:space="preserve">    &lt;cbc:ChargeTotalAmount currencyID="USD"&gt;0.00&lt;/cbc:ChargeTotalAmount&gt;</w:t>
      </w:r>
    </w:p>
    <w:p>
      <w:pPr>
        <w:spacing w:after="0" w:before="0" w:line="240" w:lineRule="auto"/>
        <w:ind w:left="57"/>
        <w:jc w:val="left"/>
        <w:shd w:val="clear" w:fill="F2F2F2"/>
      </w:pPr>
      <w:r>
        <w:rPr>
          <w:rFonts w:ascii="Consolas" w:hAnsi="Consolas" w:cs="Consolas"/>
          <w:b w:val="0"/>
          <w:i w:val="0"/>
          <w:sz w:val="15"/>
        </w:rPr>
        <w:t xml:space="preserve">  &lt;/cac:LegalMonetaryTotal&gt;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&lt;!-- 9. ADDITIONAL NOTES --&gt;</w:t>
      </w:r>
    </w:p>
    <w:p>
      <w:pPr>
        <w:spacing w:after="0" w:before="0" w:line="240" w:lineRule="auto"/>
        <w:ind w:left="57"/>
        <w:jc w:val="left"/>
        <w:shd w:val="clear" w:fill="F2F2F2"/>
      </w:pPr>
      <w:r>
        <w:rPr>
          <w:rFonts w:ascii="Consolas" w:hAnsi="Consolas" w:cs="Consolas"/>
          <w:b w:val="0"/>
          <w:i w:val="0"/>
          <w:sz w:val="15"/>
        </w:rPr>
        <w:t xml:space="preserve">  &lt;cbc:Note&gt;Trade Criticality: PRIORITY&lt;/cbc:Note&gt;</w:t>
      </w:r>
    </w:p>
    <w:p>
      <w:pPr>
        <w:spacing w:after="0" w:before="0" w:line="240" w:lineRule="auto"/>
        <w:ind w:left="57"/>
        <w:jc w:val="left"/>
        <w:shd w:val="clear" w:fill="F2F2F2"/>
      </w:pPr>
      <w:r>
        <w:rPr>
          <w:rFonts w:ascii="Consolas" w:hAnsi="Consolas" w:cs="Consolas"/>
          <w:b w:val="0"/>
          <w:i w:val="0"/>
          <w:sz w:val="15"/>
        </w:rPr>
        <w:t xml:space="preserve">  &lt;cbc:Note&gt;Incoterm: CFR (Cost and Freight)&lt;/cbc:Note&gt;</w:t>
      </w:r>
    </w:p>
    <w:p>
      <w:pPr>
        <w:spacing w:after="0" w:before="0" w:line="240" w:lineRule="auto"/>
        <w:ind w:left="57"/>
        <w:jc w:val="left"/>
        <w:shd w:val="clear" w:fill="F2F2F2"/>
      </w:pPr>
      <w:r>
        <w:rPr>
          <w:rFonts w:ascii="Consolas" w:hAnsi="Consolas" w:cs="Consolas"/>
          <w:b w:val="0"/>
          <w:i w:val="0"/>
          <w:sz w:val="15"/>
        </w:rPr>
        <w:t xml:space="preserve">  &lt;cbc:Note&gt;Partial Shipment: NO&lt;/cbc:Note&gt;</w:t>
      </w:r>
    </w:p>
    <w:p>
      <w:pPr>
        <w:spacing w:after="0" w:before="0" w:line="240" w:lineRule="auto"/>
        <w:ind w:left="57"/>
        <w:jc w:val="left"/>
        <w:shd w:val="clear" w:fill="F2F2F2"/>
      </w:pPr>
      <w:r>
        <w:rPr>
          <w:rFonts w:ascii="Consolas" w:hAnsi="Consolas" w:cs="Consolas"/>
          <w:b w:val="0"/>
          <w:i w:val="0"/>
          <w:sz w:val="15"/>
        </w:rPr>
        <w:t xml:space="preserve">  &lt;cbc:Note&gt;Transshipment: NO&lt;/cbc:Note&gt;</w:t>
      </w:r>
    </w:p>
    <w:p>
      <w:pPr>
        <w:spacing w:after="0" w:before="0" w:line="240" w:lineRule="auto"/>
        <w:ind w:left="57"/>
        <w:jc w:val="left"/>
        <w:shd w:val="clear" w:fill="F2F2F2"/>
      </w:pPr>
      <w:r>
        <w:rPr>
          <w:rFonts w:ascii="Consolas" w:hAnsi="Consolas" w:cs="Consolas"/>
          <w:b w:val="0"/>
          <w:i w:val="0"/>
          <w:sz w:val="15"/>
        </w:rPr>
        <w:t xml:space="preserve">  &lt;cbc:Note&gt;Special Instructions: Arabic labels mandatory. Halal certification required.&lt;/cbc:Note&gt;</w:t>
      </w:r>
    </w:p>
    <w:p>
      <w:pPr>
        <w:spacing w:after="0" w:before="0" w:line="240" w:lineRule="auto"/>
        <w:ind w:left="57"/>
        <w:jc w:val="left"/>
        <w:shd w:val="clear" w:fill="F2F2F2"/>
      </w:pPr>
      <w:r>
        <w:rPr>
          <w:rFonts w:ascii="Consolas" w:hAnsi="Consolas" w:cs="Consolas"/>
          <w:b w:val="0"/>
          <w:i w:val="0"/>
          <w:sz w:val="15"/>
        </w:rPr>
        <w:t xml:space="preserve">  &lt;cbc:Note&gt;Insurance: Required, All Risks, 110%, Policy: INS-2026-001&lt;/cbc:Note&gt;</w:t>
      </w:r>
    </w:p>
    <w:p>
      <w:pPr>
        <w:spacing w:after="0" w:before="0" w:line="240" w:lineRule="auto"/>
        <w:ind w:left="57"/>
        <w:jc w:val="left"/>
        <w:shd w:val="clear" w:fill="F2F2F2"/>
      </w:pPr>
      <w:r>
        <w:rPr>
          <w:rFonts w:ascii="Consolas" w:hAnsi="Consolas" w:cs="Consolas"/>
          <w:b w:val="0"/>
          <w:i w:val="0"/>
          <w:sz w:val="15"/>
        </w:rPr>
        <w:t xml:space="preserve">  &lt;cbc:Note&gt;Settlement Flexibility: Flexible&lt;/cbc:Note&gt;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&lt;!-- 10. DIGITAL SIGNATURE --&gt;</w:t>
      </w:r>
    </w:p>
    <w:p>
      <w:pPr>
        <w:spacing w:after="0" w:before="0" w:line="240" w:lineRule="auto"/>
        <w:ind w:left="57"/>
        <w:jc w:val="left"/>
        <w:shd w:val="clear" w:fill="F2F2F2"/>
      </w:pPr>
      <w:r>
        <w:rPr>
          <w:rFonts w:ascii="Consolas" w:hAnsi="Consolas" w:cs="Consolas"/>
          <w:b w:val="0"/>
          <w:i w:val="0"/>
          <w:sz w:val="15"/>
        </w:rPr>
        <w:t xml:space="preserve">  &lt;cac:Signature&gt;</w:t>
      </w:r>
    </w:p>
    <w:p>
      <w:pPr>
        <w:spacing w:after="0" w:before="0" w:line="240" w:lineRule="auto"/>
        <w:ind w:left="57"/>
        <w:jc w:val="left"/>
        <w:shd w:val="clear" w:fill="F2F2F2"/>
      </w:pPr>
      <w:r>
        <w:rPr>
          <w:rFonts w:ascii="Consolas" w:hAnsi="Consolas" w:cs="Consolas"/>
          <w:b w:val="0"/>
          <w:i w:val="0"/>
          <w:sz w:val="15"/>
        </w:rPr>
        <w:t xml:space="preserve">    &lt;cbc:ID&gt;Sig-001&lt;/cbc:ID&gt;</w:t>
      </w:r>
    </w:p>
    <w:p>
      <w:pPr>
        <w:spacing w:after="0" w:before="0" w:line="240" w:lineRule="auto"/>
        <w:ind w:left="57"/>
        <w:jc w:val="left"/>
        <w:shd w:val="clear" w:fill="F2F2F2"/>
      </w:pPr>
      <w:r>
        <w:rPr>
          <w:rFonts w:ascii="Consolas" w:hAnsi="Consolas" w:cs="Consolas"/>
          <w:b w:val="0"/>
          <w:i w:val="0"/>
          <w:sz w:val="15"/>
        </w:rPr>
        <w:t xml:space="preserve">    &lt;cac:SignatoryParty&gt;</w:t>
      </w:r>
    </w:p>
    <w:p>
      <w:pPr>
        <w:spacing w:after="0" w:before="0" w:line="240" w:lineRule="auto"/>
        <w:ind w:left="57"/>
        <w:jc w:val="left"/>
        <w:shd w:val="clear" w:fill="F2F2F2"/>
      </w:pPr>
      <w:r>
        <w:rPr>
          <w:rFonts w:ascii="Consolas" w:hAnsi="Consolas" w:cs="Consolas"/>
          <w:b w:val="0"/>
          <w:i w:val="0"/>
          <w:sz w:val="15"/>
        </w:rPr>
        <w:t xml:space="preserve">      &lt;cac:PartyIdentification&gt;</w:t>
      </w:r>
    </w:p>
    <w:p>
      <w:pPr>
        <w:spacing w:after="0" w:before="0" w:line="240" w:lineRule="auto"/>
        <w:ind w:left="57"/>
        <w:jc w:val="left"/>
        <w:shd w:val="clear" w:fill="F2F2F2"/>
      </w:pPr>
      <w:r>
        <w:rPr>
          <w:rFonts w:ascii="Consolas" w:hAnsi="Consolas" w:cs="Consolas"/>
          <w:b w:val="0"/>
          <w:i w:val="0"/>
          <w:sz w:val="15"/>
        </w:rPr>
        <w:t xml:space="preserve">        &lt;cbc:ID&gt;SGTX-EG-TRD-002139-7F3A&lt;/cbc:ID&gt;</w:t>
      </w:r>
    </w:p>
    <w:p>
      <w:pPr>
        <w:spacing w:after="0" w:before="0" w:line="240" w:lineRule="auto"/>
        <w:ind w:left="57"/>
        <w:jc w:val="left"/>
        <w:shd w:val="clear" w:fill="F2F2F2"/>
      </w:pPr>
      <w:r>
        <w:rPr>
          <w:rFonts w:ascii="Consolas" w:hAnsi="Consolas" w:cs="Consolas"/>
          <w:b w:val="0"/>
          <w:i w:val="0"/>
          <w:sz w:val="15"/>
        </w:rPr>
        <w:t xml:space="preserve">      &lt;/cac:PartyIdentification&gt;</w:t>
      </w:r>
    </w:p>
    <w:p>
      <w:pPr>
        <w:spacing w:after="0" w:before="0" w:line="240" w:lineRule="auto"/>
        <w:ind w:left="57"/>
        <w:jc w:val="left"/>
        <w:shd w:val="clear" w:fill="F2F2F2"/>
      </w:pPr>
      <w:r>
        <w:rPr>
          <w:rFonts w:ascii="Consolas" w:hAnsi="Consolas" w:cs="Consolas"/>
          <w:b w:val="0"/>
          <w:i w:val="0"/>
          <w:sz w:val="15"/>
        </w:rPr>
        <w:t xml:space="preserve">      &lt;cac:PartyName&gt;</w:t>
      </w:r>
    </w:p>
    <w:p>
      <w:pPr>
        <w:spacing w:after="0" w:before="0" w:line="240" w:lineRule="auto"/>
        <w:ind w:left="57"/>
        <w:jc w:val="left"/>
        <w:shd w:val="clear" w:fill="F2F2F2"/>
      </w:pPr>
      <w:r>
        <w:rPr>
          <w:rFonts w:ascii="Consolas" w:hAnsi="Consolas" w:cs="Consolas"/>
          <w:b w:val="0"/>
          <w:i w:val="0"/>
          <w:sz w:val="15"/>
        </w:rPr>
        <w:t xml:space="preserve">        &lt;cbc:Name&gt;Strawberry Export Co.&lt;/cbc:Name&gt;</w:t>
      </w:r>
    </w:p>
    <w:p>
      <w:pPr>
        <w:spacing w:after="0" w:before="0" w:line="240" w:lineRule="auto"/>
        <w:ind w:left="57"/>
        <w:jc w:val="left"/>
        <w:shd w:val="clear" w:fill="F2F2F2"/>
      </w:pPr>
      <w:r>
        <w:rPr>
          <w:rFonts w:ascii="Consolas" w:hAnsi="Consolas" w:cs="Consolas"/>
          <w:b w:val="0"/>
          <w:i w:val="0"/>
          <w:sz w:val="15"/>
        </w:rPr>
        <w:t xml:space="preserve">      &lt;/cac:PartyName&gt;</w:t>
      </w:r>
    </w:p>
    <w:p>
      <w:pPr>
        <w:spacing w:after="0" w:before="0" w:line="240" w:lineRule="auto"/>
        <w:ind w:left="57"/>
        <w:jc w:val="left"/>
        <w:shd w:val="clear" w:fill="F2F2F2"/>
      </w:pPr>
      <w:r>
        <w:rPr>
          <w:rFonts w:ascii="Consolas" w:hAnsi="Consolas" w:cs="Consolas"/>
          <w:b w:val="0"/>
          <w:i w:val="0"/>
          <w:sz w:val="15"/>
        </w:rPr>
        <w:t xml:space="preserve">    &lt;/cac:SignatoryParty&gt;</w:t>
      </w:r>
    </w:p>
    <w:p>
      <w:pPr>
        <w:spacing w:after="0" w:before="0" w:line="240" w:lineRule="auto"/>
        <w:ind w:left="57"/>
        <w:jc w:val="left"/>
        <w:shd w:val="clear" w:fill="F2F2F2"/>
      </w:pPr>
      <w:r>
        <w:rPr>
          <w:rFonts w:ascii="Consolas" w:hAnsi="Consolas" w:cs="Consolas"/>
          <w:b w:val="0"/>
          <w:i w:val="0"/>
          <w:sz w:val="15"/>
        </w:rPr>
        <w:t xml:space="preserve">    &lt;cac:Signature&gt;</w:t>
      </w:r>
    </w:p>
    <w:p>
      <w:pPr>
        <w:spacing w:after="0" w:before="0" w:line="240" w:lineRule="auto"/>
        <w:ind w:left="57"/>
        <w:jc w:val="left"/>
        <w:shd w:val="clear" w:fill="F2F2F2"/>
      </w:pPr>
      <w:r>
        <w:rPr>
          <w:rFonts w:ascii="Consolas" w:hAnsi="Consolas" w:cs="Consolas"/>
          <w:b w:val="0"/>
          <w:i w:val="0"/>
          <w:sz w:val="15"/>
        </w:rPr>
        <w:t xml:space="preserve">      &lt;cbc:ID&gt;Ed25519&lt;/cbc:ID&gt;</w:t>
      </w:r>
    </w:p>
    <w:p>
      <w:pPr>
        <w:spacing w:after="0" w:before="0" w:line="240" w:lineRule="auto"/>
        <w:ind w:left="57"/>
        <w:jc w:val="left"/>
        <w:shd w:val="clear" w:fill="F2F2F2"/>
      </w:pPr>
      <w:r>
        <w:rPr>
          <w:rFonts w:ascii="Consolas" w:hAnsi="Consolas" w:cs="Consolas"/>
          <w:b w:val="0"/>
          <w:i w:val="0"/>
          <w:sz w:val="15"/>
        </w:rPr>
        <w:t xml:space="preserve">      &lt;cbc:Note&gt;Digital Signature: MIAGCSqGSIb3DQEHAqCAMIACAQExDzANBglghkgBZQMEAgEFADCABgkqhk...&lt;/cbc:Note&gt;</w:t>
      </w:r>
    </w:p>
    <w:p>
      <w:pPr>
        <w:spacing w:after="0" w:before="0" w:line="240" w:lineRule="auto"/>
        <w:ind w:left="57"/>
        <w:jc w:val="left"/>
        <w:shd w:val="clear" w:fill="F2F2F2"/>
      </w:pPr>
      <w:r>
        <w:rPr>
          <w:rFonts w:ascii="Consolas" w:hAnsi="Consolas" w:cs="Consolas"/>
          <w:b w:val="0"/>
          <w:i w:val="0"/>
          <w:sz w:val="15"/>
        </w:rPr>
        <w:t xml:space="preserve">    &lt;/cac:Signature&gt;</w:t>
      </w:r>
    </w:p>
    <w:p>
      <w:pPr>
        <w:spacing w:after="0" w:before="0" w:line="240" w:lineRule="auto"/>
        <w:ind w:left="57"/>
        <w:jc w:val="left"/>
        <w:shd w:val="clear" w:fill="F2F2F2"/>
      </w:pPr>
      <w:r>
        <w:rPr>
          <w:rFonts w:ascii="Consolas" w:hAnsi="Consolas" w:cs="Consolas"/>
          <w:b w:val="0"/>
          <w:i w:val="0"/>
          <w:sz w:val="15"/>
        </w:rPr>
        <w:t xml:space="preserve">  &lt;/cac:Signature&gt;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&lt;!-- 11. QR CODE (added after ETA submission) --&gt;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 xml:space="preserve">    &lt;cbc:ID&gt;QR_CODE&lt;/cbc:ID&gt;</w:t>
      </w:r>
    </w:p>
    <w:p>
      <w:pPr>
        <w:spacing w:after="0" w:before="0" w:line="240" w:lineRule="auto"/>
        <w:ind w:left="57"/>
        <w:jc w:val="left"/>
        <w:shd w:val="clear" w:fill="F2F2F2"/>
      </w:pPr>
      <w:r>
        <w:rPr>
          <w:rFonts w:ascii="Consolas" w:hAnsi="Consolas" w:cs="Consolas"/>
          <w:b w:val="0"/>
          <w:i w:val="0"/>
          <w:sz w:val="15"/>
        </w:rPr>
        <w:t xml:space="preserve">    &lt;cbc:DocumentType&gt;QRCode&lt;/cbc:DocumentType&gt;</w:t>
      </w:r>
    </w:p>
    <w:p>
      <w:pPr>
        <w:spacing w:after="0" w:before="0" w:line="240" w:lineRule="auto"/>
        <w:ind w:left="57"/>
        <w:jc w:val="left"/>
        <w:shd w:val="clear" w:fill="F2F2F2"/>
      </w:pPr>
      <w:r>
        <w:rPr>
          <w:rFonts w:ascii="Consolas" w:hAnsi="Consolas" w:cs="Consolas"/>
          <w:b w:val="0"/>
          <w:i w:val="0"/>
          <w:sz w:val="15"/>
        </w:rPr>
        <w:t xml:space="preserve">    &lt;cbc:DocumentDescription&gt;iVBORw0KGgoAAAANSUhEUgAA...&lt;/cbc:DocumentDescription&gt;</w:t>
      </w:r>
    </w:p>
    <w:p>
      <w:pPr>
        <w:spacing w:after="0" w:before="0" w:line="240" w:lineRule="auto"/>
        <w:ind w:left="57"/>
        <w:jc w:val="left"/>
        <w:shd w:val="clear" w:fill="F2F2F2"/>
      </w:pPr>
      <w:r>
        <w:rPr>
          <w:rFonts w:ascii="Consolas" w:hAnsi="Consolas" w:cs="Consolas"/>
          <w:b w:val="0"/>
          <w:i w:val="0"/>
          <w:sz w:val="15"/>
        </w:rPr>
        <w:t xml:space="preserve">  &lt;/cac:AdditionalDocumentReference&gt;</w:t>
      </w:r>
    </w:p>
    <w:p>
      <w:pPr>
        <w:spacing w:after="0" w:before="0" w:line="240" w:lineRule="auto"/>
        <w:ind w:left="57"/>
        <w:jc w:val="left"/>
        <w:shd w:val="clear" w:fill="F2F2F2"/>
      </w:pPr>
      <w:r>
        <w:rPr>
          <w:rFonts w:ascii="Consolas" w:hAnsi="Consolas" w:cs="Consolas"/>
          <w:b w:val="0"/>
          <w:i w:val="0"/>
          <w:sz w:val="15"/>
        </w:rPr>
        <w:t>&lt;/Invoice&gt;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8.8.2.2 Invoice Line Item Categories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Line Type</w:t>
            </w:r>
          </w:p>
        </w:tc>
        <w:tc>
          <w:tcPr>
            <w:tcW w:type="dxa" w:w="4819"/>
            <w:shd w:val="clear" w:fill="D9E2F3"/>
          </w:tcPr>
          <w:p>
            <w:pPr>
              <w:spacing w:after="20" w:before="20" w:line="240" w:lineRule="auto"/>
            </w:pPr>
            <w:r/>
            <w:r>
              <w:rPr>
                <w:rFonts w:ascii="Arial" w:hAnsi="Arial" w:cs="Arial"/>
                <w:b/>
                <w:i w:val="0"/>
                <w:sz w:val="18"/>
              </w:rPr>
              <w:t>Contents</w:t>
            </w:r>
          </w:p>
        </w:tc>
      </w:tr>
      <w:tr>
        <w:tc>
          <w:tcPr>
            <w:tcW w:type="dxa" w:w="4819"/>
          </w:tcPr>
          <w:p>
            <w:pPr>
              <w:spacing w:after="20" w:before="20" w:line="240" w:lineRule="auto"/>
            </w:pPr>
            <w:r/>
            <w:r>
              <w:rPr>
                <w:rFonts w:ascii="Arial" w:hAnsi="Arial" w:cs="Arial"/>
                <w:b w:val="0"/>
                <w:i w:val="0"/>
                <w:sz w:val="17"/>
              </w:rPr>
              <w:t>GOODS</w:t>
            </w:r>
          </w:p>
        </w:tc>
        <w:tc>
          <w:tcPr>
            <w:tcW w:type="dxa" w:w="4819"/>
          </w:tcPr>
          <w:p>
            <w:pPr>
              <w:spacing w:after="20" w:before="20" w:line="240" w:lineRule="auto"/>
            </w:pPr>
            <w:r/>
            <w:r>
              <w:rPr>
                <w:rFonts w:ascii="Arial" w:hAnsi="Arial" w:cs="Arial"/>
                <w:b w:val="0"/>
                <w:i w:val="0"/>
                <w:sz w:val="17"/>
              </w:rPr>
              <w:t>Per-commodity lines: quantity, unit price, HS code, variety/grade properties</w:t>
            </w:r>
          </w:p>
        </w:tc>
      </w:tr>
      <w:tr>
        <w:tc>
          <w:tcPr>
            <w:tcW w:type="dxa" w:w="4819"/>
          </w:tcPr>
          <w:p>
            <w:pPr>
              <w:spacing w:after="20" w:before="20" w:line="240" w:lineRule="auto"/>
            </w:pPr>
            <w:r/>
            <w:r>
              <w:rPr>
                <w:rFonts w:ascii="Arial" w:hAnsi="Arial" w:cs="Arial"/>
                <w:b w:val="0"/>
                <w:i w:val="0"/>
                <w:sz w:val="17"/>
              </w:rPr>
              <w:t>LOGISTICS</w:t>
            </w:r>
          </w:p>
        </w:tc>
        <w:tc>
          <w:tcPr>
            <w:tcW w:type="dxa" w:w="4819"/>
          </w:tcPr>
          <w:p>
            <w:pPr>
              <w:spacing w:after="20" w:before="20" w:line="240" w:lineRule="auto"/>
            </w:pPr>
            <w:r/>
            <w:r>
              <w:rPr>
                <w:rFonts w:ascii="Arial" w:hAnsi="Arial" w:cs="Arial"/>
                <w:b w:val="0"/>
                <w:i w:val="0"/>
                <w:sz w:val="17"/>
              </w:rPr>
              <w:t>Trucking, ocean/air freight, insurance, other seller-responsible logistics</w:t>
            </w:r>
          </w:p>
        </w:tc>
      </w:tr>
      <w:tr>
        <w:tc>
          <w:tcPr>
            <w:tcW w:type="dxa" w:w="4819"/>
          </w:tcPr>
          <w:p>
            <w:pPr>
              <w:spacing w:after="20" w:before="20" w:line="240" w:lineRule="auto"/>
            </w:pPr>
            <w:r/>
            <w:r>
              <w:rPr>
                <w:rFonts w:ascii="Arial" w:hAnsi="Arial" w:cs="Arial"/>
                <w:b w:val="0"/>
                <w:i w:val="0"/>
                <w:sz w:val="17"/>
              </w:rPr>
              <w:t>FEE</w:t>
            </w:r>
          </w:p>
        </w:tc>
        <w:tc>
          <w:tcPr>
            <w:tcW w:type="dxa" w:w="4819"/>
          </w:tcPr>
          <w:p>
            <w:pPr>
              <w:spacing w:after="20" w:before="20" w:line="240" w:lineRule="auto"/>
            </w:pPr>
            <w:r/>
            <w:r>
              <w:rPr>
                <w:rFonts w:ascii="Arial" w:hAnsi="Arial" w:cs="Arial"/>
                <w:b w:val="0"/>
                <w:i w:val="0"/>
                <w:sz w:val="17"/>
              </w:rPr>
              <w:t>SGTX platform fee (Dynamic Fee Engine, CFB-based)</w:t>
            </w:r>
          </w:p>
        </w:tc>
      </w:tr>
      <w:tr>
        <w:tc>
          <w:tcPr>
            <w:tcW w:type="dxa" w:w="4819"/>
          </w:tcPr>
          <w:p>
            <w:pPr>
              <w:spacing w:after="20" w:before="20" w:line="240" w:lineRule="auto"/>
            </w:pPr>
            <w:r/>
            <w:r>
              <w:rPr>
                <w:rFonts w:ascii="Arial" w:hAnsi="Arial" w:cs="Arial"/>
                <w:b w:val="0"/>
                <w:i w:val="0"/>
                <w:sz w:val="17"/>
              </w:rPr>
              <w:t>OPTIONAL_SERVICE</w:t>
            </w:r>
          </w:p>
        </w:tc>
        <w:tc>
          <w:tcPr>
            <w:tcW w:type="dxa" w:w="4819"/>
          </w:tcPr>
          <w:p>
            <w:pPr>
              <w:spacing w:after="20" w:before="20" w:line="240" w:lineRule="auto"/>
            </w:pPr>
            <w:r/>
            <w:r>
              <w:rPr>
                <w:rFonts w:ascii="Arial" w:hAnsi="Arial" w:cs="Arial"/>
                <w:b w:val="0"/>
                <w:i w:val="0"/>
                <w:sz w:val="17"/>
              </w:rPr>
              <w:t>Laboratory testing, customs broker certification, other procured services</w:t>
            </w:r>
          </w:p>
        </w:tc>
      </w:tr>
      <w:tr>
        <w:tc>
          <w:tcPr>
            <w:tcW w:type="dxa" w:w="4819"/>
          </w:tcPr>
          <w:p>
            <w:pPr>
              <w:spacing w:after="20" w:before="20" w:line="240" w:lineRule="auto"/>
            </w:pPr>
            <w:r/>
            <w:r>
              <w:rPr>
                <w:rFonts w:ascii="Arial" w:hAnsi="Arial" w:cs="Arial"/>
                <w:b w:val="0"/>
                <w:i w:val="0"/>
                <w:sz w:val="17"/>
              </w:rPr>
              <w:t>FINANCING_FEE</w:t>
            </w:r>
          </w:p>
        </w:tc>
        <w:tc>
          <w:tcPr>
            <w:tcW w:type="dxa" w:w="4819"/>
          </w:tcPr>
          <w:p>
            <w:pPr>
              <w:spacing w:after="20" w:before="20" w:line="240" w:lineRule="auto"/>
            </w:pPr>
            <w:r/>
            <w:r>
              <w:rPr>
                <w:rFonts w:ascii="Arial" w:hAnsi="Arial" w:cs="Arial"/>
                <w:b w:val="0"/>
                <w:i w:val="0"/>
                <w:sz w:val="17"/>
              </w:rPr>
              <w:t>SGTX financing fee (0.25% of financed amount), included when financing applies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8.8.3 Commercial Settlement Integration</w:t>
      </w:r>
    </w:p>
    <w:p>
      <w:pPr>
        <w:spacing w:after="80" w:line="293" w:lineRule="auto"/>
        <w:jc w:val="left"/>
      </w:pPr>
      <w:r>
        <w:rPr>
          <w:rFonts w:ascii="Times New Roman" w:hAnsi="Times New Roman" w:cs="Times New Roman"/>
          <w:b w:val="0"/>
          <w:i w:val="0"/>
          <w:sz w:val="22"/>
        </w:rPr>
        <w:t>The invoice includes all commercial settlement details: settlement structure (mapped to PaymentMeans), payment timing, credit period, currency, financing interest, commercial priority, and settlement flexibility (mapped to instruction notes and payment terms).</w:t>
      </w:r>
    </w:p>
    <w:p>
      <w:pPr>
        <w:keepNext/>
        <w:spacing w:before="180" w:after="80"/>
        <w:outlineLvl w:val="2"/>
      </w:pPr>
      <w:r>
        <w:rPr>
          <w:rFonts w:ascii="Arial" w:hAnsi="Arial" w:cs="Arial"/>
          <w:b/>
          <w:i w:val="0"/>
          <w:color w:val="333333"/>
          <w:sz w:val="23"/>
        </w:rPr>
        <w:t>8.8.4 Insurance Integration</w:t>
      </w:r>
    </w:p>
    <w:p>
      <w:pPr>
        <w:spacing w:after="80" w:line="293" w:lineRule="auto"/>
        <w:jc w:val="left"/>
      </w:pPr>
      <w:r>
        <w:rPr>
          <w:rFonts w:ascii="Times New Roman" w:hAnsi="Times New Roman" w:cs="Times New Roman"/>
          <w:b w:val="0"/>
          <w:i w:val="0"/>
          <w:sz w:val="22"/>
        </w:rPr>
        <w:t>The invoice references insurance requirements: requirement flag, insurance type (for example, All Risks), coverage percentage (for example, 110% of invoice value), responsible party (per Incoterm), and policy number — as an additional document reference and as a logistics line where the seller bears the cost.</w:t>
      </w:r>
    </w:p>
    <w:p>
      <w:pPr>
        <w:keepNext/>
        <w:spacing w:before="180" w:after="80"/>
        <w:outlineLvl w:val="2"/>
      </w:pPr>
      <w:r>
        <w:rPr>
          <w:rFonts w:ascii="Arial" w:hAnsi="Arial" w:cs="Arial"/>
          <w:b/>
          <w:i w:val="0"/>
          <w:color w:val="333333"/>
          <w:sz w:val="23"/>
        </w:rPr>
        <w:t>8.8.5 Invoice Generation &amp; Signing</w:t>
      </w:r>
    </w:p>
    <w:p>
      <w:pPr>
        <w:keepNext/>
        <w:spacing w:before="140" w:after="60"/>
        <w:outlineLvl w:val="3"/>
      </w:pPr>
      <w:r>
        <w:rPr>
          <w:rFonts w:ascii="Arial" w:hAnsi="Arial" w:cs="Arial"/>
          <w:b/>
          <w:i/>
          <w:color w:val="333333"/>
          <w:sz w:val="22"/>
        </w:rPr>
        <w:t>8.8.5.1 Generation Process</w:t>
      </w:r>
    </w:p>
    <w:p>
      <w:pPr>
        <w:spacing w:after="80" w:line="293" w:lineRule="auto"/>
        <w:jc w:val="left"/>
      </w:pPr>
      <w:r>
        <w:rPr>
          <w:rFonts w:ascii="Times New Roman" w:hAnsi="Times New Roman" w:cs="Times New Roman"/>
          <w:b w:val="0"/>
          <w:i w:val="0"/>
          <w:sz w:val="22"/>
        </w:rPr>
        <w:t>1. Trigger: seller accepts buyer's quote → contract lock. 2. System collects invoice data: seller EXW price (from EXW lock); logistics costs (from Logistics Builder); SGTX fee (Dynamic Fee Engine calculation); optional services (from service quotations); commercial settlement; insurance details; weight calculations; packing plan data; special instructions. 3. System generates UBL 2.1 XML. 4. System canonicalises XML (C14N). 5. System signs with the seller's Ed25519 certificate. 6. System submits to the ETA API. 7. System receives UUID and QR code from ETA. 8. System stores the invoice in the documents table. 9. System generates the PDF/A-3 version. 10. System notifies buyer and seller via Smart Inbox.</w:t>
      </w:r>
    </w:p>
    <w:p>
      <w:pPr>
        <w:keepNext/>
        <w:spacing w:before="140" w:after="60"/>
        <w:outlineLvl w:val="3"/>
      </w:pPr>
      <w:r>
        <w:rPr>
          <w:rFonts w:ascii="Arial" w:hAnsi="Arial" w:cs="Arial"/>
          <w:b/>
          <w:i/>
          <w:color w:val="333333"/>
          <w:sz w:val="22"/>
        </w:rPr>
        <w:t>8.8.5.2 Digital Signing (Ed25519 / QES)</w:t>
      </w:r>
    </w:p>
    <w:p>
      <w:pPr>
        <w:spacing w:after="0" w:before="0" w:line="240" w:lineRule="auto"/>
        <w:ind w:left="57"/>
        <w:jc w:val="left"/>
        <w:shd w:val="clear" w:fill="F2F2F2"/>
      </w:pPr>
      <w:r>
        <w:rPr>
          <w:rFonts w:ascii="Consolas" w:hAnsi="Consolas" w:cs="Consolas"/>
          <w:b w:val="0"/>
          <w:i w:val="0"/>
          <w:sz w:val="15"/>
        </w:rPr>
        <w:t>// Pseudo-code: invoice signing</w:t>
      </w:r>
    </w:p>
    <w:p>
      <w:pPr>
        <w:spacing w:after="0" w:before="0" w:line="240" w:lineRule="auto"/>
        <w:ind w:left="57"/>
        <w:jc w:val="left"/>
        <w:shd w:val="clear" w:fill="F2F2F2"/>
      </w:pPr>
      <w:r>
        <w:rPr>
          <w:rFonts w:ascii="Consolas" w:hAnsi="Consolas" w:cs="Consolas"/>
          <w:b w:val="0"/>
          <w:i w:val="0"/>
          <w:sz w:val="15"/>
        </w:rPr>
        <w:t>async fn sign_invoice(</w:t>
      </w:r>
    </w:p>
    <w:p>
      <w:pPr>
        <w:spacing w:after="0" w:before="0" w:line="240" w:lineRule="auto"/>
        <w:ind w:left="57"/>
        <w:jc w:val="left"/>
        <w:shd w:val="clear" w:fill="F2F2F2"/>
      </w:pPr>
      <w:r>
        <w:rPr>
          <w:rFonts w:ascii="Consolas" w:hAnsi="Consolas" w:cs="Consolas"/>
          <w:b w:val="0"/>
          <w:i w:val="0"/>
          <w:sz w:val="15"/>
        </w:rPr>
        <w:t xml:space="preserve">    invoice_xml: &amp;str,</w:t>
      </w:r>
    </w:p>
    <w:p>
      <w:pPr>
        <w:spacing w:after="0" w:before="0" w:line="240" w:lineRule="auto"/>
        <w:ind w:left="57"/>
        <w:jc w:val="left"/>
        <w:shd w:val="clear" w:fill="F2F2F2"/>
      </w:pPr>
      <w:r>
        <w:rPr>
          <w:rFonts w:ascii="Consolas" w:hAnsi="Consolas" w:cs="Consolas"/>
          <w:b w:val="0"/>
          <w:i w:val="0"/>
          <w:sz w:val="15"/>
        </w:rPr>
        <w:t xml:space="preserve">    seller_gtid: &amp;str,</w:t>
      </w:r>
    </w:p>
    <w:p>
      <w:pPr>
        <w:spacing w:after="0" w:before="0" w:line="240" w:lineRule="auto"/>
        <w:ind w:left="57"/>
        <w:jc w:val="left"/>
        <w:shd w:val="clear" w:fill="F2F2F2"/>
      </w:pPr>
      <w:r>
        <w:rPr>
          <w:rFonts w:ascii="Consolas" w:hAnsi="Consolas" w:cs="Consolas"/>
          <w:b w:val="0"/>
          <w:i w:val="0"/>
          <w:sz w:val="15"/>
        </w:rPr>
        <w:t xml:space="preserve">    signature_type: SignatureType,</w:t>
      </w:r>
    </w:p>
    <w:p>
      <w:pPr>
        <w:spacing w:after="0" w:before="0" w:line="240" w:lineRule="auto"/>
        <w:ind w:left="57"/>
        <w:jc w:val="left"/>
        <w:shd w:val="clear" w:fill="F2F2F2"/>
      </w:pPr>
      <w:r>
        <w:rPr>
          <w:rFonts w:ascii="Consolas" w:hAnsi="Consolas" w:cs="Consolas"/>
          <w:b w:val="0"/>
          <w:i w:val="0"/>
          <w:sz w:val="15"/>
        </w:rPr>
        <w:t>) -&gt; Result&lt;SignedInvoice&gt; {</w:t>
      </w:r>
    </w:p>
    <w:p>
      <w:pPr>
        <w:spacing w:after="0" w:before="0" w:line="240" w:lineRule="auto"/>
        <w:ind w:left="57"/>
        <w:jc w:val="left"/>
        <w:shd w:val="clear" w:fill="F2F2F2"/>
      </w:pPr>
      <w:r>
        <w:rPr>
          <w:rFonts w:ascii="Consolas" w:hAnsi="Consolas" w:cs="Consolas"/>
          <w:b w:val="0"/>
          <w:i w:val="0"/>
          <w:sz w:val="15"/>
        </w:rPr>
        <w:t xml:space="preserve">    // 1. Canonicalise XML (C14N)</w:t>
      </w:r>
    </w:p>
    <w:p>
      <w:pPr>
        <w:spacing w:after="0" w:before="0" w:line="240" w:lineRule="auto"/>
        <w:ind w:left="57"/>
        <w:jc w:val="left"/>
        <w:shd w:val="clear" w:fill="F2F2F2"/>
      </w:pPr>
      <w:r>
        <w:rPr>
          <w:rFonts w:ascii="Consolas" w:hAnsi="Consolas" w:cs="Consolas"/>
          <w:b w:val="0"/>
          <w:i w:val="0"/>
          <w:sz w:val="15"/>
        </w:rPr>
        <w:t xml:space="preserve">    let canonical_xml = canonicalize_xml(invoice_xml)?;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Calculate hash</w:t>
      </w:r>
    </w:p>
    <w:p>
      <w:pPr>
        <w:spacing w:after="0" w:before="0" w:line="240" w:lineRule="auto"/>
        <w:ind w:left="57"/>
        <w:jc w:val="left"/>
        <w:shd w:val="clear" w:fill="F2F2F2"/>
      </w:pPr>
      <w:r>
        <w:rPr>
          <w:rFonts w:ascii="Consolas" w:hAnsi="Consolas" w:cs="Consolas"/>
          <w:b w:val="0"/>
          <w:i w:val="0"/>
          <w:sz w:val="15"/>
        </w:rPr>
        <w:t xml:space="preserve">    let hash = sha256(canonical_xml.as_bytes());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Sign based on signature type</w:t>
      </w:r>
    </w:p>
    <w:p>
      <w:pPr>
        <w:spacing w:after="0" w:before="0" w:line="240" w:lineRule="auto"/>
        <w:ind w:left="57"/>
        <w:jc w:val="left"/>
        <w:shd w:val="clear" w:fill="F2F2F2"/>
      </w:pPr>
      <w:r>
        <w:rPr>
          <w:rFonts w:ascii="Consolas" w:hAnsi="Consolas" w:cs="Consolas"/>
          <w:b w:val="0"/>
          <w:i w:val="0"/>
          <w:sz w:val="15"/>
        </w:rPr>
        <w:t xml:space="preserve">    let signature = match signature_type {</w:t>
      </w:r>
    </w:p>
    <w:p>
      <w:pPr>
        <w:spacing w:after="0" w:before="0" w:line="240" w:lineRule="auto"/>
        <w:ind w:left="57"/>
        <w:jc w:val="left"/>
        <w:shd w:val="clear" w:fill="F2F2F2"/>
      </w:pPr>
      <w:r>
        <w:rPr>
          <w:rFonts w:ascii="Consolas" w:hAnsi="Consolas" w:cs="Consolas"/>
          <w:b w:val="0"/>
          <w:i w:val="0"/>
          <w:sz w:val="15"/>
        </w:rPr>
        <w:t xml:space="preserve">        SignatureType::Standard =&gt; sign_ed25519(hash, seller_gtid)?,</w:t>
      </w:r>
    </w:p>
    <w:p>
      <w:pPr>
        <w:spacing w:after="0" w:before="0" w:line="240" w:lineRule="auto"/>
        <w:ind w:left="57"/>
        <w:jc w:val="left"/>
        <w:shd w:val="clear" w:fill="F2F2F2"/>
      </w:pPr>
      <w:r>
        <w:rPr>
          <w:rFonts w:ascii="Consolas" w:hAnsi="Consolas" w:cs="Consolas"/>
          <w:b w:val="0"/>
          <w:i w:val="0"/>
          <w:sz w:val="15"/>
        </w:rPr>
        <w:t xml:space="preserve">        SignatureType::Advanced =&gt; sign_ed25519_with_cert(hash, seller_gtid)?,</w:t>
      </w:r>
    </w:p>
    <w:p>
      <w:pPr>
        <w:spacing w:after="0" w:before="0" w:line="240" w:lineRule="auto"/>
        <w:ind w:left="57"/>
        <w:jc w:val="left"/>
        <w:shd w:val="clear" w:fill="F2F2F2"/>
      </w:pPr>
      <w:r>
        <w:rPr>
          <w:rFonts w:ascii="Consolas" w:hAnsi="Consolas" w:cs="Consolas"/>
          <w:b w:val="0"/>
          <w:i w:val="0"/>
          <w:sz w:val="15"/>
        </w:rPr>
        <w:t xml:space="preserve">        SignatureType::QES =&gt; sign_qes(hash, seller_gtid)?, // Egypt Trust HSM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Add signature to XML</w:t>
      </w:r>
    </w:p>
    <w:p>
      <w:pPr>
        <w:spacing w:after="0" w:before="0" w:line="240" w:lineRule="auto"/>
        <w:ind w:left="57"/>
        <w:jc w:val="left"/>
        <w:shd w:val="clear" w:fill="F2F2F2"/>
      </w:pPr>
      <w:r>
        <w:rPr>
          <w:rFonts w:ascii="Consolas" w:hAnsi="Consolas" w:cs="Consolas"/>
          <w:b w:val="0"/>
          <w:i w:val="0"/>
          <w:sz w:val="15"/>
        </w:rPr>
        <w:t xml:space="preserve">    let signed_xml = add_signature_to_xml(invoice_xml, &amp;signature)?;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Verify signature</w:t>
      </w:r>
    </w:p>
    <w:p>
      <w:pPr>
        <w:spacing w:after="0" w:before="0" w:line="240" w:lineRule="auto"/>
        <w:ind w:left="57"/>
        <w:jc w:val="left"/>
        <w:shd w:val="clear" w:fill="F2F2F2"/>
      </w:pPr>
      <w:r>
        <w:rPr>
          <w:rFonts w:ascii="Consolas" w:hAnsi="Consolas" w:cs="Consolas"/>
          <w:b w:val="0"/>
          <w:i w:val="0"/>
          <w:sz w:val="15"/>
        </w:rPr>
        <w:t xml:space="preserve">    verify_signature(&amp;signed_xml)?;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Ok(SignedInvoice {</w:t>
      </w:r>
    </w:p>
    <w:p>
      <w:pPr>
        <w:spacing w:after="0" w:before="0" w:line="240" w:lineRule="auto"/>
        <w:ind w:left="57"/>
        <w:jc w:val="left"/>
        <w:shd w:val="clear" w:fill="F2F2F2"/>
      </w:pPr>
      <w:r>
        <w:rPr>
          <w:rFonts w:ascii="Consolas" w:hAnsi="Consolas" w:cs="Consolas"/>
          <w:b w:val="0"/>
          <w:i w:val="0"/>
          <w:sz w:val="15"/>
        </w:rPr>
        <w:t xml:space="preserve">        xml: signed_xml,</w:t>
      </w:r>
    </w:p>
    <w:p>
      <w:pPr>
        <w:spacing w:after="0" w:before="0" w:line="240" w:lineRule="auto"/>
        <w:ind w:left="57"/>
        <w:jc w:val="left"/>
        <w:shd w:val="clear" w:fill="F2F2F2"/>
      </w:pPr>
      <w:r>
        <w:rPr>
          <w:rFonts w:ascii="Consolas" w:hAnsi="Consolas" w:cs="Consolas"/>
          <w:b w:val="0"/>
          <w:i w:val="0"/>
          <w:sz w:val="15"/>
        </w:rPr>
        <w:t xml:space="preserve">        signature: signature,</w:t>
      </w:r>
    </w:p>
    <w:p>
      <w:pPr>
        <w:spacing w:after="0" w:before="0" w:line="240" w:lineRule="auto"/>
        <w:ind w:left="57"/>
        <w:jc w:val="left"/>
        <w:shd w:val="clear" w:fill="F2F2F2"/>
      </w:pPr>
      <w:r>
        <w:rPr>
          <w:rFonts w:ascii="Consolas" w:hAnsi="Consolas" w:cs="Consolas"/>
          <w:b w:val="0"/>
          <w:i w:val="0"/>
          <w:sz w:val="15"/>
        </w:rPr>
        <w:t xml:space="preserve">        signature_type: signature_type,</w:t>
      </w:r>
    </w:p>
    <w:p>
      <w:pPr>
        <w:spacing w:after="0" w:before="0" w:line="240" w:lineRule="auto"/>
        <w:ind w:left="57"/>
        <w:jc w:val="left"/>
        <w:shd w:val="clear" w:fill="F2F2F2"/>
      </w:pPr>
      <w:r>
        <w:rPr>
          <w:rFonts w:ascii="Consolas" w:hAnsi="Consolas" w:cs="Consolas"/>
          <w:b w:val="0"/>
          <w:i w:val="0"/>
          <w:sz w:val="15"/>
        </w:rPr>
        <w:t xml:space="preserve">        hash: hash,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8.8.6 ETA Submission</w:t>
      </w:r>
    </w:p>
    <w:p>
      <w:pPr>
        <w:keepNext/>
        <w:spacing w:before="140" w:after="60"/>
        <w:outlineLvl w:val="3"/>
      </w:pPr>
      <w:r>
        <w:rPr>
          <w:rFonts w:ascii="Arial" w:hAnsi="Arial" w:cs="Arial"/>
          <w:b/>
          <w:i/>
          <w:color w:val="333333"/>
          <w:sz w:val="22"/>
        </w:rPr>
        <w:t>8.8.6.1 API Endpoint</w:t>
      </w:r>
    </w:p>
    <w:p>
      <w:pPr>
        <w:spacing w:after="80" w:line="293" w:lineRule="auto"/>
        <w:jc w:val="left"/>
      </w:pPr>
      <w:r>
        <w:rPr>
          <w:rFonts w:ascii="Times New Roman" w:hAnsi="Times New Roman" w:cs="Times New Roman"/>
          <w:b w:val="0"/>
          <w:i w:val="0"/>
          <w:sz w:val="22"/>
        </w:rPr>
        <w:t>Submission is performed over mutual TLS (mTLS) with an idempotency key, using the Egyptian Tax Authority e-invoice API for UBL 2.1 documents.</w:t>
      </w:r>
    </w:p>
    <w:p>
      <w:pPr>
        <w:keepNext/>
        <w:spacing w:before="140" w:after="60"/>
        <w:outlineLvl w:val="3"/>
      </w:pPr>
      <w:r>
        <w:rPr>
          <w:rFonts w:ascii="Arial" w:hAnsi="Arial" w:cs="Arial"/>
          <w:b/>
          <w:i/>
          <w:color w:val="333333"/>
          <w:sz w:val="22"/>
        </w:rPr>
        <w:t>8.8.6.2 ETA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"uuid": "f47ac10b-58cc-4372-a567-0e02b2c3d479",</w:t>
      </w:r>
    </w:p>
    <w:p>
      <w:pPr>
        <w:spacing w:after="0" w:before="0" w:line="240" w:lineRule="auto"/>
        <w:ind w:left="57"/>
        <w:jc w:val="left"/>
        <w:shd w:val="clear" w:fill="F2F2F2"/>
      </w:pPr>
      <w:r>
        <w:rPr>
          <w:rFonts w:ascii="Consolas" w:hAnsi="Consolas" w:cs="Consolas"/>
          <w:b w:val="0"/>
          <w:i w:val="0"/>
          <w:sz w:val="15"/>
        </w:rPr>
        <w:t xml:space="preserve">  "qrCode": "iVBORw0KGgoAAAANSUhEUgAA...",</w:t>
      </w:r>
    </w:p>
    <w:p>
      <w:pPr>
        <w:spacing w:after="0" w:before="0" w:line="240" w:lineRule="auto"/>
        <w:ind w:left="57"/>
        <w:jc w:val="left"/>
        <w:shd w:val="clear" w:fill="F2F2F2"/>
      </w:pPr>
      <w:r>
        <w:rPr>
          <w:rFonts w:ascii="Consolas" w:hAnsi="Consolas" w:cs="Consolas"/>
          <w:b w:val="0"/>
          <w:i w:val="0"/>
          <w:sz w:val="15"/>
        </w:rPr>
        <w:t xml:space="preserve">  "status": "VALID",</w:t>
      </w:r>
    </w:p>
    <w:p>
      <w:pPr>
        <w:spacing w:after="0" w:before="0" w:line="240" w:lineRule="auto"/>
        <w:ind w:left="57"/>
        <w:jc w:val="left"/>
        <w:shd w:val="clear" w:fill="F2F2F2"/>
      </w:pPr>
      <w:r>
        <w:rPr>
          <w:rFonts w:ascii="Consolas" w:hAnsi="Consolas" w:cs="Consolas"/>
          <w:b w:val="0"/>
          <w:i w:val="0"/>
          <w:sz w:val="15"/>
        </w:rPr>
        <w:t xml:space="preserve">  "validationErrors":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8.8.6.3 Error Handling</w:t>
      </w:r>
    </w:p>
    <w:p>
      <w:pPr>
        <w:spacing w:after="80" w:line="293" w:lineRule="auto"/>
        <w:jc w:val="left"/>
      </w:pPr>
      <w:r>
        <w:rPr>
          <w:rFonts w:ascii="Times New Roman" w:hAnsi="Times New Roman" w:cs="Times New Roman"/>
          <w:b w:val="0"/>
          <w:i w:val="0"/>
          <w:sz w:val="22"/>
        </w:rPr>
        <w:t>Submission failures are retried with exponential backoff; validation errors returned by ETA are stored (eta_validation_errors) and surfaced in the Smart Inbox with remediation guidance; all submission attempts are logged in the eta_submission_logs table with idempotency keys.</w:t>
      </w:r>
    </w:p>
    <w:p>
      <w:pPr>
        <w:keepNext/>
        <w:spacing w:before="180" w:after="80"/>
        <w:outlineLvl w:val="2"/>
      </w:pPr>
      <w:r>
        <w:rPr>
          <w:rFonts w:ascii="Arial" w:hAnsi="Arial" w:cs="Arial"/>
          <w:b/>
          <w:i w:val="0"/>
          <w:color w:val="333333"/>
          <w:sz w:val="23"/>
        </w:rPr>
        <w:t>8.8.7 PDF/A-3 Archival Generation</w:t>
      </w:r>
    </w:p>
    <w:p>
      <w:pPr>
        <w:spacing w:after="80" w:line="293" w:lineRule="auto"/>
        <w:jc w:val="left"/>
      </w:pPr>
      <w:r>
        <w:rPr>
          <w:rFonts w:ascii="Times New Roman" w:hAnsi="Times New Roman" w:cs="Times New Roman"/>
          <w:b w:val="0"/>
          <w:i w:val="0"/>
          <w:sz w:val="22"/>
        </w:rPr>
        <w:t>Compliance with Egyptian national e-archiving standards (ISO 19005-3) for long-term document preservation. Generation process: generate HTML from invoice data (Tera template) → convert to PDF using headless Chrome → apply PDF/A-3 conformance (pdf-writer or printpdf) → add digital signature (visible signature field) → add metadata (USTN, invoice number, timestamp, hash) → validate PDF/A-3 conformance → store in the documents table. Full archival specification: Section 8.12.</w:t>
      </w:r>
    </w:p>
    <w:p>
      <w:pPr>
        <w:keepNext/>
        <w:spacing w:before="180" w:after="80"/>
        <w:outlineLvl w:val="2"/>
      </w:pPr>
      <w:r>
        <w:rPr>
          <w:rFonts w:ascii="Arial" w:hAnsi="Arial" w:cs="Arial"/>
          <w:b/>
          <w:i w:val="0"/>
          <w:color w:val="333333"/>
          <w:sz w:val="23"/>
        </w:rPr>
        <w:t>8.8.8 Validation Gates (Invoice)</w:t>
      </w:r>
    </w:p>
    <w:p>
      <w:pPr>
        <w:spacing w:after="80" w:line="293" w:lineRule="auto"/>
        <w:ind w:left="283"/>
        <w:jc w:val="left"/>
      </w:pPr>
      <w:r>
        <w:rPr>
          <w:rFonts w:ascii="Times New Roman" w:hAnsi="Times New Roman" w:cs="Times New Roman"/>
          <w:b w:val="0"/>
          <w:i w:val="0"/>
          <w:sz w:val="22"/>
        </w:rPr>
        <w:t>- Invoice generation requires a locked trade/contract and a locked packing plan.</w:t>
      </w:r>
    </w:p>
    <w:p>
      <w:pPr>
        <w:spacing w:after="80" w:line="293" w:lineRule="auto"/>
        <w:ind w:left="283"/>
        <w:jc w:val="left"/>
      </w:pPr>
      <w:r>
        <w:rPr>
          <w:rFonts w:ascii="Times New Roman" w:hAnsi="Times New Roman" w:cs="Times New Roman"/>
          <w:b w:val="0"/>
          <w:i w:val="0"/>
          <w:sz w:val="22"/>
        </w:rPr>
        <w:t>- All line items must reconcile: goods + logistics + fees + optional services + financing fee = payable amount.</w:t>
      </w:r>
    </w:p>
    <w:p>
      <w:pPr>
        <w:spacing w:after="80" w:line="293" w:lineRule="auto"/>
        <w:ind w:left="283"/>
        <w:jc w:val="left"/>
      </w:pPr>
      <w:r>
        <w:rPr>
          <w:rFonts w:ascii="Times New Roman" w:hAnsi="Times New Roman" w:cs="Times New Roman"/>
          <w:b w:val="0"/>
          <w:i w:val="0"/>
          <w:sz w:val="22"/>
        </w:rPr>
        <w:t>- Settlement details must match the canonical commercial settlement; insurance references must match the insurance requirement.</w:t>
      </w:r>
    </w:p>
    <w:p>
      <w:pPr>
        <w:spacing w:after="80" w:line="293" w:lineRule="auto"/>
        <w:ind w:left="283"/>
        <w:jc w:val="left"/>
      </w:pPr>
      <w:r>
        <w:rPr>
          <w:rFonts w:ascii="Times New Roman" w:hAnsi="Times New Roman" w:cs="Times New Roman"/>
          <w:b w:val="0"/>
          <w:i w:val="0"/>
          <w:sz w:val="22"/>
        </w:rPr>
        <w:t>- Submission to ETA requires a valid signed XML; DISBURSED/confirmed states never derive from submission alone — ETA UUID and status are authoritative.</w:t>
      </w:r>
    </w:p>
    <w:p>
      <w:pPr>
        <w:keepNext/>
        <w:spacing w:before="180" w:after="80"/>
        <w:outlineLvl w:val="2"/>
      </w:pPr>
      <w:r>
        <w:rPr>
          <w:rFonts w:ascii="Arial" w:hAnsi="Arial" w:cs="Arial"/>
          <w:b/>
          <w:i w:val="0"/>
          <w:color w:val="333333"/>
          <w:sz w:val="23"/>
        </w:rPr>
        <w:t>8.8.9 Database Schema Additions</w:t>
      </w:r>
    </w:p>
    <w:p>
      <w:pPr>
        <w:spacing w:after="0" w:before="0" w:line="240" w:lineRule="auto"/>
        <w:ind w:left="57"/>
        <w:jc w:val="left"/>
        <w:shd w:val="clear" w:fill="F2F2F2"/>
      </w:pPr>
      <w:r>
        <w:rPr>
          <w:rFonts w:ascii="Consolas" w:hAnsi="Consolas" w:cs="Consolas"/>
          <w:b w:val="0"/>
          <w:i w:val="0"/>
          <w:sz w:val="15"/>
        </w:rPr>
        <w:t>-- Invoices (core)</w:t>
      </w:r>
    </w:p>
    <w:p>
      <w:pPr>
        <w:spacing w:after="0" w:before="0" w:line="240" w:lineRule="auto"/>
        <w:ind w:left="57"/>
        <w:jc w:val="left"/>
        <w:shd w:val="clear" w:fill="F2F2F2"/>
      </w:pPr>
      <w:r>
        <w:rPr>
          <w:rFonts w:ascii="Consolas" w:hAnsi="Consolas" w:cs="Consolas"/>
          <w:b w:val="0"/>
          <w:i w:val="0"/>
          <w:sz w:val="15"/>
        </w:rPr>
        <w:t>CREATE TABLE invoices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invoice_number TEXT NOT NULL UNIQUE,</w:t>
      </w:r>
    </w:p>
    <w:p>
      <w:pPr>
        <w:spacing w:after="0" w:before="0" w:line="240" w:lineRule="auto"/>
        <w:ind w:left="57"/>
        <w:jc w:val="left"/>
        <w:shd w:val="clear" w:fill="F2F2F2"/>
      </w:pPr>
      <w:r>
        <w:rPr>
          <w:rFonts w:ascii="Consolas" w:hAnsi="Consolas" w:cs="Consolas"/>
          <w:b w:val="0"/>
          <w:i w:val="0"/>
          <w:sz w:val="15"/>
        </w:rPr>
        <w:t xml:space="preserve">    invoice_uuid TEXT,</w:t>
      </w:r>
    </w:p>
    <w:p>
      <w:pPr>
        <w:spacing w:after="0" w:before="0" w:line="240" w:lineRule="auto"/>
        <w:ind w:left="57"/>
        <w:jc w:val="left"/>
        <w:shd w:val="clear" w:fill="F2F2F2"/>
      </w:pPr>
      <w:r>
        <w:rPr>
          <w:rFonts w:ascii="Consolas" w:hAnsi="Consolas" w:cs="Consolas"/>
          <w:b w:val="0"/>
          <w:i w:val="0"/>
          <w:sz w:val="15"/>
        </w:rPr>
        <w:t xml:space="preserve">    invoice_type TEXT DEFAULT 'COMMERCIAL',</w:t>
      </w:r>
    </w:p>
    <w:p>
      <w:pPr>
        <w:spacing w:after="0" w:before="0" w:line="240" w:lineRule="auto"/>
        <w:ind w:left="57"/>
        <w:jc w:val="left"/>
        <w:shd w:val="clear" w:fill="F2F2F2"/>
      </w:pPr>
      <w:r>
        <w:rPr>
          <w:rFonts w:ascii="Consolas" w:hAnsi="Consolas" w:cs="Consolas"/>
          <w:b w:val="0"/>
          <w:i w:val="0"/>
          <w:sz w:val="15"/>
        </w:rPr>
        <w:t xml:space="preserve">    issue_date DATE NOT NULL,</w:t>
      </w:r>
    </w:p>
    <w:p>
      <w:pPr>
        <w:spacing w:after="0" w:before="0" w:line="240" w:lineRule="auto"/>
        <w:ind w:left="57"/>
        <w:jc w:val="left"/>
        <w:shd w:val="clear" w:fill="F2F2F2"/>
      </w:pPr>
      <w:r>
        <w:rPr>
          <w:rFonts w:ascii="Consolas" w:hAnsi="Consolas" w:cs="Consolas"/>
          <w:b w:val="0"/>
          <w:i w:val="0"/>
          <w:sz w:val="15"/>
        </w:rPr>
        <w:t xml:space="preserve">    document_currency TEXT NOT NULL DEFAULT 'USD',</w:t>
      </w:r>
    </w:p>
    <w:p>
      <w:pPr>
        <w:spacing w:after="0" w:before="0" w:line="240" w:lineRule="auto"/>
        <w:ind w:left="57"/>
        <w:jc w:val="left"/>
        <w:shd w:val="clear" w:fill="F2F2F2"/>
      </w:pPr>
      <w:r>
        <w:rPr>
          <w:rFonts w:ascii="Consolas" w:hAnsi="Consolas" w:cs="Consolas"/>
          <w:b w:val="0"/>
          <w:i w:val="0"/>
          <w:sz w:val="15"/>
        </w:rPr>
        <w:t xml:space="preserve">    tax_currency TEXT NOT NULL DEFAULT 'USD',</w:t>
      </w:r>
    </w:p>
    <w:p>
      <w:pPr>
        <w:spacing w:after="0" w:before="0" w:line="240" w:lineRule="auto"/>
        <w:ind w:left="57"/>
        <w:jc w:val="left"/>
        <w:shd w:val="clear" w:fill="F2F2F2"/>
      </w:pPr>
      <w:r>
        <w:rPr>
          <w:rFonts w:ascii="Consolas" w:hAnsi="Consolas" w:cs="Consolas"/>
          <w:b w:val="0"/>
          <w:i w:val="0"/>
          <w:sz w:val="15"/>
        </w:rPr>
        <w:t xml:space="preserve">    total_excluding_tax DECIMAL(20,4) NOT NULL,</w:t>
      </w:r>
    </w:p>
    <w:p>
      <w:pPr>
        <w:spacing w:after="0" w:before="0" w:line="240" w:lineRule="auto"/>
        <w:ind w:left="57"/>
        <w:jc w:val="left"/>
        <w:shd w:val="clear" w:fill="F2F2F2"/>
      </w:pPr>
      <w:r>
        <w:rPr>
          <w:rFonts w:ascii="Consolas" w:hAnsi="Consolas" w:cs="Consolas"/>
          <w:b w:val="0"/>
          <w:i w:val="0"/>
          <w:sz w:val="15"/>
        </w:rPr>
        <w:t xml:space="preserve">    total_including_tax DECIMAL(20,4) NOT NULL,</w:t>
      </w:r>
    </w:p>
    <w:p>
      <w:pPr>
        <w:spacing w:after="0" w:before="0" w:line="240" w:lineRule="auto"/>
        <w:ind w:left="57"/>
        <w:jc w:val="left"/>
        <w:shd w:val="clear" w:fill="F2F2F2"/>
      </w:pPr>
      <w:r>
        <w:rPr>
          <w:rFonts w:ascii="Consolas" w:hAnsi="Consolas" w:cs="Consolas"/>
          <w:b w:val="0"/>
          <w:i w:val="0"/>
          <w:sz w:val="15"/>
        </w:rPr>
        <w:t xml:space="preserve">    total_payable DECIMAL(20,4) NOT NULL,</w:t>
      </w:r>
    </w:p>
    <w:p>
      <w:pPr>
        <w:spacing w:after="0" w:before="0" w:line="240" w:lineRule="auto"/>
        <w:ind w:left="57"/>
        <w:jc w:val="left"/>
        <w:shd w:val="clear" w:fill="F2F2F2"/>
      </w:pPr>
      <w:r>
        <w:rPr>
          <w:rFonts w:ascii="Consolas" w:hAnsi="Consolas" w:cs="Consolas"/>
          <w:b w:val="0"/>
          <w:i w:val="0"/>
          <w:sz w:val="15"/>
        </w:rPr>
        <w:t xml:space="preserve">    -- Settlement details</w:t>
      </w:r>
    </w:p>
    <w:p>
      <w:pPr>
        <w:spacing w:after="0" w:before="0" w:line="240" w:lineRule="auto"/>
        <w:ind w:left="57"/>
        <w:jc w:val="left"/>
        <w:shd w:val="clear" w:fill="F2F2F2"/>
      </w:pPr>
      <w:r>
        <w:rPr>
          <w:rFonts w:ascii="Consolas" w:hAnsi="Consolas" w:cs="Consolas"/>
          <w:b w:val="0"/>
          <w:i w:val="0"/>
          <w:sz w:val="15"/>
        </w:rPr>
        <w:t xml:space="preserve">    settlement_structure TEXT,</w:t>
      </w:r>
    </w:p>
    <w:p>
      <w:pPr>
        <w:spacing w:after="0" w:before="0" w:line="240" w:lineRule="auto"/>
        <w:ind w:left="57"/>
        <w:jc w:val="left"/>
        <w:shd w:val="clear" w:fill="F2F2F2"/>
      </w:pPr>
      <w:r>
        <w:rPr>
          <w:rFonts w:ascii="Consolas" w:hAnsi="Consolas" w:cs="Consolas"/>
          <w:b w:val="0"/>
          <w:i w:val="0"/>
          <w:sz w:val="15"/>
        </w:rPr>
        <w:t xml:space="preserve">    payment_timing TEXT,</w:t>
      </w:r>
    </w:p>
    <w:p>
      <w:pPr>
        <w:spacing w:after="0" w:before="0" w:line="240" w:lineRule="auto"/>
        <w:ind w:left="57"/>
        <w:jc w:val="left"/>
        <w:shd w:val="clear" w:fill="F2F2F2"/>
      </w:pPr>
      <w:r>
        <w:rPr>
          <w:rFonts w:ascii="Consolas" w:hAnsi="Consolas" w:cs="Consolas"/>
          <w:b w:val="0"/>
          <w:i w:val="0"/>
          <w:sz w:val="15"/>
        </w:rPr>
        <w:t xml:space="preserve">    credit_period INTEGER,</w:t>
      </w:r>
    </w:p>
    <w:p>
      <w:pPr>
        <w:spacing w:after="0" w:before="0" w:line="240" w:lineRule="auto"/>
        <w:ind w:left="57"/>
        <w:jc w:val="left"/>
        <w:shd w:val="clear" w:fill="F2F2F2"/>
      </w:pPr>
      <w:r>
        <w:rPr>
          <w:rFonts w:ascii="Consolas" w:hAnsi="Consolas" w:cs="Consolas"/>
          <w:b w:val="0"/>
          <w:i w:val="0"/>
          <w:sz w:val="15"/>
        </w:rPr>
        <w:t xml:space="preserve">    financing_interest TEXT,</w:t>
      </w:r>
    </w:p>
    <w:p>
      <w:pPr>
        <w:spacing w:after="0" w:before="0" w:line="240" w:lineRule="auto"/>
        <w:ind w:left="57"/>
        <w:jc w:val="left"/>
        <w:shd w:val="clear" w:fill="F2F2F2"/>
      </w:pPr>
      <w:r>
        <w:rPr>
          <w:rFonts w:ascii="Consolas" w:hAnsi="Consolas" w:cs="Consolas"/>
          <w:b w:val="0"/>
          <w:i w:val="0"/>
          <w:sz w:val="15"/>
        </w:rPr>
        <w:t xml:space="preserve">    commercial_priority TEXT,</w:t>
      </w:r>
    </w:p>
    <w:p>
      <w:pPr>
        <w:spacing w:after="0" w:before="0" w:line="240" w:lineRule="auto"/>
        <w:ind w:left="57"/>
        <w:jc w:val="left"/>
        <w:shd w:val="clear" w:fill="F2F2F2"/>
      </w:pPr>
      <w:r>
        <w:rPr>
          <w:rFonts w:ascii="Consolas" w:hAnsi="Consolas" w:cs="Consolas"/>
          <w:b w:val="0"/>
          <w:i w:val="0"/>
          <w:sz w:val="15"/>
        </w:rPr>
        <w:t xml:space="preserve">    settlement_flexibility TEXT,</w:t>
      </w:r>
    </w:p>
    <w:p>
      <w:pPr>
        <w:spacing w:after="0" w:before="0" w:line="240" w:lineRule="auto"/>
        <w:ind w:left="57"/>
        <w:jc w:val="left"/>
        <w:shd w:val="clear" w:fill="F2F2F2"/>
      </w:pPr>
      <w:r>
        <w:rPr>
          <w:rFonts w:ascii="Consolas" w:hAnsi="Consolas" w:cs="Consolas"/>
          <w:b w:val="0"/>
          <w:i w:val="0"/>
          <w:sz w:val="15"/>
        </w:rPr>
        <w:t xml:space="preserve">    -- Insurance details</w:t>
      </w:r>
    </w:p>
    <w:p>
      <w:pPr>
        <w:spacing w:after="0" w:before="0" w:line="240" w:lineRule="auto"/>
        <w:ind w:left="57"/>
        <w:jc w:val="left"/>
        <w:shd w:val="clear" w:fill="F2F2F2"/>
      </w:pPr>
      <w:r>
        <w:rPr>
          <w:rFonts w:ascii="Consolas" w:hAnsi="Consolas" w:cs="Consolas"/>
          <w:b w:val="0"/>
          <w:i w:val="0"/>
          <w:sz w:val="15"/>
        </w:rPr>
        <w:t xml:space="preserve">    insurance_required BOOLEAN,</w:t>
      </w:r>
    </w:p>
    <w:p>
      <w:pPr>
        <w:spacing w:after="0" w:before="0" w:line="240" w:lineRule="auto"/>
        <w:ind w:left="57"/>
        <w:jc w:val="left"/>
        <w:shd w:val="clear" w:fill="F2F2F2"/>
      </w:pPr>
      <w:r>
        <w:rPr>
          <w:rFonts w:ascii="Consolas" w:hAnsi="Consolas" w:cs="Consolas"/>
          <w:b w:val="0"/>
          <w:i w:val="0"/>
          <w:sz w:val="15"/>
        </w:rPr>
        <w:t xml:space="preserve">    insurance_type TEXT,</w:t>
      </w:r>
    </w:p>
    <w:p>
      <w:pPr>
        <w:spacing w:after="0" w:before="0" w:line="240" w:lineRule="auto"/>
        <w:ind w:left="57"/>
        <w:jc w:val="left"/>
        <w:shd w:val="clear" w:fill="F2F2F2"/>
      </w:pPr>
      <w:r>
        <w:rPr>
          <w:rFonts w:ascii="Consolas" w:hAnsi="Consolas" w:cs="Consolas"/>
          <w:b w:val="0"/>
          <w:i w:val="0"/>
          <w:sz w:val="15"/>
        </w:rPr>
        <w:t xml:space="preserve">    insurance_coverage_percent INTEGER,</w:t>
      </w:r>
    </w:p>
    <w:p>
      <w:pPr>
        <w:spacing w:after="0" w:before="0" w:line="240" w:lineRule="auto"/>
        <w:ind w:left="57"/>
        <w:jc w:val="left"/>
        <w:shd w:val="clear" w:fill="F2F2F2"/>
      </w:pPr>
      <w:r>
        <w:rPr>
          <w:rFonts w:ascii="Consolas" w:hAnsi="Consolas" w:cs="Consolas"/>
          <w:b w:val="0"/>
          <w:i w:val="0"/>
          <w:sz w:val="15"/>
        </w:rPr>
        <w:t xml:space="preserve">    insurance_policy_number TEXT,</w:t>
      </w:r>
    </w:p>
    <w:p>
      <w:pPr>
        <w:spacing w:after="0" w:before="0" w:line="240" w:lineRule="auto"/>
        <w:ind w:left="57"/>
        <w:jc w:val="left"/>
        <w:shd w:val="clear" w:fill="F2F2F2"/>
      </w:pPr>
      <w:r>
        <w:rPr>
          <w:rFonts w:ascii="Consolas" w:hAnsi="Consolas" w:cs="Consolas"/>
          <w:b w:val="0"/>
          <w:i w:val="0"/>
          <w:sz w:val="15"/>
        </w:rPr>
        <w:t xml:space="preserve">    -- Digital signature</w:t>
      </w:r>
    </w:p>
    <w:p>
      <w:pPr>
        <w:spacing w:after="0" w:before="0" w:line="240" w:lineRule="auto"/>
        <w:ind w:left="57"/>
        <w:jc w:val="left"/>
        <w:shd w:val="clear" w:fill="F2F2F2"/>
      </w:pPr>
      <w:r>
        <w:rPr>
          <w:rFonts w:ascii="Consolas" w:hAnsi="Consolas" w:cs="Consolas"/>
          <w:b w:val="0"/>
          <w:i w:val="0"/>
          <w:sz w:val="15"/>
        </w:rPr>
        <w:t xml:space="preserve">    digital_signature TEXT,</w:t>
      </w:r>
    </w:p>
    <w:p>
      <w:pPr>
        <w:spacing w:after="0" w:before="0" w:line="240" w:lineRule="auto"/>
        <w:ind w:left="57"/>
        <w:jc w:val="left"/>
        <w:shd w:val="clear" w:fill="F2F2F2"/>
      </w:pPr>
      <w:r>
        <w:rPr>
          <w:rFonts w:ascii="Consolas" w:hAnsi="Consolas" w:cs="Consolas"/>
          <w:b w:val="0"/>
          <w:i w:val="0"/>
          <w:sz w:val="15"/>
        </w:rPr>
        <w:t xml:space="preserve">    signature_type TEXT DEFAULT 'ED25519',</w:t>
      </w:r>
    </w:p>
    <w:p>
      <w:pPr>
        <w:spacing w:after="0" w:before="0" w:line="240" w:lineRule="auto"/>
        <w:ind w:left="57"/>
        <w:jc w:val="left"/>
        <w:shd w:val="clear" w:fill="F2F2F2"/>
      </w:pPr>
      <w:r>
        <w:rPr>
          <w:rFonts w:ascii="Consolas" w:hAnsi="Consolas" w:cs="Consolas"/>
          <w:b w:val="0"/>
          <w:i w:val="0"/>
          <w:sz w:val="15"/>
        </w:rPr>
        <w:t xml:space="preserve">    xml_hash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 ETA submission</w:t>
      </w:r>
    </w:p>
    <w:p>
      <w:pPr>
        <w:spacing w:after="0" w:before="0" w:line="240" w:lineRule="auto"/>
        <w:ind w:left="57"/>
        <w:jc w:val="left"/>
        <w:shd w:val="clear" w:fill="F2F2F2"/>
      </w:pPr>
      <w:r>
        <w:rPr>
          <w:rFonts w:ascii="Consolas" w:hAnsi="Consolas" w:cs="Consolas"/>
          <w:b w:val="0"/>
          <w:i w:val="0"/>
          <w:sz w:val="15"/>
        </w:rPr>
        <w:t xml:space="preserve">    eta_submitted BOOLEAN DEFAULT false,</w:t>
      </w:r>
    </w:p>
    <w:p>
      <w:pPr>
        <w:spacing w:after="0" w:before="0" w:line="240" w:lineRule="auto"/>
        <w:ind w:left="57"/>
        <w:jc w:val="left"/>
        <w:shd w:val="clear" w:fill="F2F2F2"/>
      </w:pPr>
      <w:r>
        <w:rPr>
          <w:rFonts w:ascii="Consolas" w:hAnsi="Consolas" w:cs="Consolas"/>
          <w:b w:val="0"/>
          <w:i w:val="0"/>
          <w:sz w:val="15"/>
        </w:rPr>
        <w:t xml:space="preserve">    eta_uuid TEXT,</w:t>
      </w:r>
    </w:p>
    <w:p>
      <w:pPr>
        <w:spacing w:after="0" w:before="0" w:line="240" w:lineRule="auto"/>
        <w:ind w:left="57"/>
        <w:jc w:val="left"/>
        <w:shd w:val="clear" w:fill="F2F2F2"/>
      </w:pPr>
      <w:r>
        <w:rPr>
          <w:rFonts w:ascii="Consolas" w:hAnsi="Consolas" w:cs="Consolas"/>
          <w:b w:val="0"/>
          <w:i w:val="0"/>
          <w:sz w:val="15"/>
        </w:rPr>
        <w:t xml:space="preserve">    eta_qr_code TEXT,</w:t>
      </w:r>
    </w:p>
    <w:p>
      <w:pPr>
        <w:spacing w:after="0" w:before="0" w:line="240" w:lineRule="auto"/>
        <w:ind w:left="57"/>
        <w:jc w:val="left"/>
        <w:shd w:val="clear" w:fill="F2F2F2"/>
      </w:pPr>
      <w:r>
        <w:rPr>
          <w:rFonts w:ascii="Consolas" w:hAnsi="Consolas" w:cs="Consolas"/>
          <w:b w:val="0"/>
          <w:i w:val="0"/>
          <w:sz w:val="15"/>
        </w:rPr>
        <w:t xml:space="preserve">    eta_submitted_at TIMESTAMPTZ,</w:t>
      </w:r>
    </w:p>
    <w:p>
      <w:pPr>
        <w:spacing w:after="0" w:before="0" w:line="240" w:lineRule="auto"/>
        <w:ind w:left="57"/>
        <w:jc w:val="left"/>
        <w:shd w:val="clear" w:fill="F2F2F2"/>
      </w:pPr>
      <w:r>
        <w:rPr>
          <w:rFonts w:ascii="Consolas" w:hAnsi="Consolas" w:cs="Consolas"/>
          <w:b w:val="0"/>
          <w:i w:val="0"/>
          <w:sz w:val="15"/>
        </w:rPr>
        <w:t xml:space="preserve">    eta_validation_errors JSONB,</w:t>
      </w:r>
    </w:p>
    <w:p>
      <w:pPr>
        <w:spacing w:after="0" w:before="0" w:line="240" w:lineRule="auto"/>
        <w:ind w:left="57"/>
        <w:jc w:val="left"/>
        <w:shd w:val="clear" w:fill="F2F2F2"/>
      </w:pPr>
      <w:r>
        <w:rPr>
          <w:rFonts w:ascii="Consolas" w:hAnsi="Consolas" w:cs="Consolas"/>
          <w:b w:val="0"/>
          <w:i w:val="0"/>
          <w:sz w:val="15"/>
        </w:rPr>
        <w:t xml:space="preserve">    -- Archival</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pdfa3_compliant BOOLEAN DEFAULT false,</w:t>
      </w:r>
    </w:p>
    <w:p>
      <w:pPr>
        <w:spacing w:after="0" w:before="0" w:line="240" w:lineRule="auto"/>
        <w:ind w:left="57"/>
        <w:jc w:val="left"/>
        <w:shd w:val="clear" w:fill="F2F2F2"/>
      </w:pPr>
      <w:r>
        <w:rPr>
          <w:rFonts w:ascii="Consolas" w:hAnsi="Consolas" w:cs="Consolas"/>
          <w:b w:val="0"/>
          <w:i w:val="0"/>
          <w:sz w:val="15"/>
        </w:rPr>
        <w:t xml:space="preserve">    pdfa3_validated_at TIMESTAMPTZ,</w:t>
      </w:r>
    </w:p>
    <w:p>
      <w:pPr>
        <w:spacing w:after="0" w:before="0" w:line="240" w:lineRule="auto"/>
        <w:ind w:left="57"/>
        <w:jc w:val="left"/>
        <w:shd w:val="clear" w:fill="F2F2F2"/>
      </w:pPr>
      <w:r>
        <w:rPr>
          <w:rFonts w:ascii="Consolas" w:hAnsi="Consolas" w:cs="Consolas"/>
          <w:b w:val="0"/>
          <w:i w:val="0"/>
          <w:sz w:val="15"/>
        </w:rPr>
        <w:t xml:space="preserve">    -- Versioning</w:t>
      </w:r>
    </w:p>
    <w:p>
      <w:pPr>
        <w:spacing w:after="0" w:before="0" w:line="240" w:lineRule="auto"/>
        <w:ind w:left="57"/>
        <w:jc w:val="left"/>
        <w:shd w:val="clear" w:fill="F2F2F2"/>
      </w:pPr>
      <w:r>
        <w:rPr>
          <w:rFonts w:ascii="Consolas" w:hAnsi="Consolas" w:cs="Consolas"/>
          <w:b w:val="0"/>
          <w:i w:val="0"/>
          <w:sz w:val="15"/>
        </w:rPr>
        <w:t xml:space="preserve">    version INTEGER DEFAULT 1,</w:t>
      </w:r>
    </w:p>
    <w:p>
      <w:pPr>
        <w:spacing w:after="0" w:before="0" w:line="240" w:lineRule="auto"/>
        <w:ind w:left="57"/>
        <w:jc w:val="left"/>
        <w:shd w:val="clear" w:fill="F2F2F2"/>
      </w:pPr>
      <w:r>
        <w:rPr>
          <w:rFonts w:ascii="Consolas" w:hAnsi="Consolas" w:cs="Consolas"/>
          <w:b w:val="0"/>
          <w:i w:val="0"/>
          <w:sz w:val="15"/>
        </w:rPr>
        <w:t xml:space="preserve">    previous_version_id UUID REFERENCES invoices(id) ON DELETE SET NULL,</w:t>
      </w:r>
    </w:p>
    <w:p>
      <w:pPr>
        <w:spacing w:after="0" w:before="0" w:line="240" w:lineRule="auto"/>
        <w:ind w:left="57"/>
        <w:jc w:val="left"/>
        <w:shd w:val="clear" w:fill="F2F2F2"/>
      </w:pPr>
      <w:r>
        <w:rPr>
          <w:rFonts w:ascii="Consolas" w:hAnsi="Consolas" w:cs="Consolas"/>
          <w:b w:val="0"/>
          <w:i w:val="0"/>
          <w:sz w:val="15"/>
        </w:rPr>
        <w:t xml:space="preserve">    -- Metadata</w:t>
      </w:r>
    </w:p>
    <w:p>
      <w:pPr>
        <w:spacing w:after="0" w:before="0" w:line="240" w:lineRule="auto"/>
        <w:ind w:left="57"/>
        <w:jc w:val="left"/>
        <w:shd w:val="clear" w:fill="F2F2F2"/>
      </w:pPr>
      <w:r>
        <w:rPr>
          <w:rFonts w:ascii="Consolas" w:hAnsi="Consolas" w:cs="Consolas"/>
          <w:b w:val="0"/>
          <w:i w:val="0"/>
          <w:sz w:val="15"/>
        </w:rPr>
        <w:t xml:space="preserve">    generated_by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Invoice lines</w:t>
      </w:r>
    </w:p>
    <w:p>
      <w:pPr>
        <w:spacing w:after="0" w:before="0" w:line="240" w:lineRule="auto"/>
        <w:ind w:left="57"/>
        <w:jc w:val="left"/>
        <w:shd w:val="clear" w:fill="F2F2F2"/>
      </w:pPr>
      <w:r>
        <w:rPr>
          <w:rFonts w:ascii="Consolas" w:hAnsi="Consolas" w:cs="Consolas"/>
          <w:b w:val="0"/>
          <w:i w:val="0"/>
          <w:sz w:val="15"/>
        </w:rPr>
        <w:t>CREATE TABLE invoice_lines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invoice_id UUID NOT NULL REFERENCES invoices(id) ON DELETE CASCADE,</w:t>
      </w:r>
    </w:p>
    <w:p>
      <w:pPr>
        <w:spacing w:after="0" w:before="0" w:line="240" w:lineRule="auto"/>
        <w:ind w:left="57"/>
        <w:jc w:val="left"/>
        <w:shd w:val="clear" w:fill="F2F2F2"/>
      </w:pPr>
      <w:r>
        <w:rPr>
          <w:rFonts w:ascii="Consolas" w:hAnsi="Consolas" w:cs="Consolas"/>
          <w:b w:val="0"/>
          <w:i w:val="0"/>
          <w:sz w:val="15"/>
        </w:rPr>
        <w:t xml:space="preserve">    line_number INTEGER NOT NULL,</w:t>
      </w:r>
    </w:p>
    <w:p>
      <w:pPr>
        <w:spacing w:after="0" w:before="0" w:line="240" w:lineRule="auto"/>
        <w:ind w:left="57"/>
        <w:jc w:val="left"/>
        <w:shd w:val="clear" w:fill="F2F2F2"/>
      </w:pPr>
      <w:r>
        <w:rPr>
          <w:rFonts w:ascii="Consolas" w:hAnsi="Consolas" w:cs="Consolas"/>
          <w:b w:val="0"/>
          <w:i w:val="0"/>
          <w:sz w:val="15"/>
        </w:rPr>
        <w:t xml:space="preserve">    line_type TEXT NOT NULL, -- 'GOODS', 'LOGISTICS', 'FEE', 'OPTIONAL_SERVICE', 'FINANCING_FEE'</w:t>
      </w:r>
    </w:p>
    <w:p>
      <w:pPr>
        <w:spacing w:after="0" w:before="0" w:line="240" w:lineRule="auto"/>
        <w:ind w:left="57"/>
        <w:jc w:val="left"/>
        <w:shd w:val="clear" w:fill="F2F2F2"/>
      </w:pPr>
      <w:r>
        <w:rPr>
          <w:rFonts w:ascii="Consolas" w:hAnsi="Consolas" w:cs="Consolas"/>
          <w:b w:val="0"/>
          <w:i w:val="0"/>
          <w:sz w:val="15"/>
        </w:rPr>
        <w:t xml:space="preserve">    description TEXT NOT NULL,</w:t>
      </w:r>
    </w:p>
    <w:p>
      <w:pPr>
        <w:spacing w:after="0" w:before="0" w:line="240" w:lineRule="auto"/>
        <w:ind w:left="57"/>
        <w:jc w:val="left"/>
        <w:shd w:val="clear" w:fill="F2F2F2"/>
      </w:pPr>
      <w:r>
        <w:rPr>
          <w:rFonts w:ascii="Consolas" w:hAnsi="Consolas" w:cs="Consolas"/>
          <w:b w:val="0"/>
          <w:i w:val="0"/>
          <w:sz w:val="15"/>
        </w:rPr>
        <w:t xml:space="preserve">    quantity DECIMAL(20,4) NOT NULL,</w:t>
      </w:r>
    </w:p>
    <w:p>
      <w:pPr>
        <w:spacing w:after="0" w:before="0" w:line="240" w:lineRule="auto"/>
        <w:ind w:left="57"/>
        <w:jc w:val="left"/>
        <w:shd w:val="clear" w:fill="F2F2F2"/>
      </w:pPr>
      <w:r>
        <w:rPr>
          <w:rFonts w:ascii="Consolas" w:hAnsi="Consolas" w:cs="Consolas"/>
          <w:b w:val="0"/>
          <w:i w:val="0"/>
          <w:sz w:val="15"/>
        </w:rPr>
        <w:t xml:space="preserve">    quantity_unit TEXT NOT NULL,</w:t>
      </w:r>
    </w:p>
    <w:p>
      <w:pPr>
        <w:spacing w:after="0" w:before="0" w:line="240" w:lineRule="auto"/>
        <w:ind w:left="57"/>
        <w:jc w:val="left"/>
        <w:shd w:val="clear" w:fill="F2F2F2"/>
      </w:pPr>
      <w:r>
        <w:rPr>
          <w:rFonts w:ascii="Consolas" w:hAnsi="Consolas" w:cs="Consolas"/>
          <w:b w:val="0"/>
          <w:i w:val="0"/>
          <w:sz w:val="15"/>
        </w:rPr>
        <w:t xml:space="preserve">    unit_price DECIMAL(20,4) NOT NULL,</w:t>
      </w:r>
    </w:p>
    <w:p>
      <w:pPr>
        <w:spacing w:after="0" w:before="0" w:line="240" w:lineRule="auto"/>
        <w:ind w:left="57"/>
        <w:jc w:val="left"/>
        <w:shd w:val="clear" w:fill="F2F2F2"/>
      </w:pPr>
      <w:r>
        <w:rPr>
          <w:rFonts w:ascii="Consolas" w:hAnsi="Consolas" w:cs="Consolas"/>
          <w:b w:val="0"/>
          <w:i w:val="0"/>
          <w:sz w:val="15"/>
        </w:rPr>
        <w:t xml:space="preserve">    total_amount DECIMAL(20,4) NOT NULL,</w:t>
      </w:r>
    </w:p>
    <w:p>
      <w:pPr>
        <w:spacing w:after="0" w:before="0" w:line="240" w:lineRule="auto"/>
        <w:ind w:left="57"/>
        <w:jc w:val="left"/>
        <w:shd w:val="clear" w:fill="F2F2F2"/>
      </w:pPr>
      <w:r>
        <w:rPr>
          <w:rFonts w:ascii="Consolas" w:hAnsi="Consolas" w:cs="Consolas"/>
          <w:b w:val="0"/>
          <w:i w:val="0"/>
          <w:sz w:val="15"/>
        </w:rPr>
        <w:t xml:space="preserve">    currency TEXT NOT NULL DEFAULT 'USD',</w:t>
      </w:r>
    </w:p>
    <w:p>
      <w:pPr>
        <w:spacing w:after="0" w:before="0" w:line="240" w:lineRule="auto"/>
        <w:ind w:left="57"/>
        <w:jc w:val="left"/>
        <w:shd w:val="clear" w:fill="F2F2F2"/>
      </w:pPr>
      <w:r>
        <w:rPr>
          <w:rFonts w:ascii="Consolas" w:hAnsi="Consolas" w:cs="Consolas"/>
          <w:b w:val="0"/>
          <w:i w:val="0"/>
          <w:sz w:val="15"/>
        </w:rPr>
        <w:t xml:space="preserve">    line_data JSONB, -- additional line-specific data</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Invoice versions (history)</w:t>
      </w:r>
    </w:p>
    <w:p>
      <w:pPr>
        <w:spacing w:after="0" w:before="0" w:line="240" w:lineRule="auto"/>
        <w:ind w:left="57"/>
        <w:jc w:val="left"/>
        <w:shd w:val="clear" w:fill="F2F2F2"/>
      </w:pPr>
      <w:r>
        <w:rPr>
          <w:rFonts w:ascii="Consolas" w:hAnsi="Consolas" w:cs="Consolas"/>
          <w:b w:val="0"/>
          <w:i w:val="0"/>
          <w:sz w:val="15"/>
        </w:rPr>
        <w:t>CREATE TABLE invoice_versions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invoice_id UUID NOT NULL REFERENCES invoices(id) ON DELETE CASCADE,</w:t>
      </w:r>
    </w:p>
    <w:p>
      <w:pPr>
        <w:spacing w:after="0" w:before="0" w:line="240" w:lineRule="auto"/>
        <w:ind w:left="57"/>
        <w:jc w:val="left"/>
        <w:shd w:val="clear" w:fill="F2F2F2"/>
      </w:pPr>
      <w:r>
        <w:rPr>
          <w:rFonts w:ascii="Consolas" w:hAnsi="Consolas" w:cs="Consolas"/>
          <w:b w:val="0"/>
          <w:i w:val="0"/>
          <w:sz w:val="15"/>
        </w:rPr>
        <w:t xml:space="preserve">    version INTEGER NOT NULL,</w:t>
      </w:r>
    </w:p>
    <w:p>
      <w:pPr>
        <w:spacing w:after="0" w:before="0" w:line="240" w:lineRule="auto"/>
        <w:ind w:left="57"/>
        <w:jc w:val="left"/>
        <w:shd w:val="clear" w:fill="F2F2F2"/>
      </w:pPr>
      <w:r>
        <w:rPr>
          <w:rFonts w:ascii="Consolas" w:hAnsi="Consolas" w:cs="Consolas"/>
          <w:b w:val="0"/>
          <w:i w:val="0"/>
          <w:sz w:val="15"/>
        </w:rPr>
        <w:t xml:space="preserve">    xml_content TEXT,</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digital_signature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UNIQUE(invoice_id, version)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ETA submission logs</w:t>
      </w:r>
    </w:p>
    <w:p>
      <w:pPr>
        <w:spacing w:after="0" w:before="0" w:line="240" w:lineRule="auto"/>
        <w:ind w:left="57"/>
        <w:jc w:val="left"/>
        <w:shd w:val="clear" w:fill="F2F2F2"/>
      </w:pPr>
      <w:r>
        <w:rPr>
          <w:rFonts w:ascii="Consolas" w:hAnsi="Consolas" w:cs="Consolas"/>
          <w:b w:val="0"/>
          <w:i w:val="0"/>
          <w:sz w:val="15"/>
        </w:rPr>
        <w:t>CREATE TABLE eta_submission_logs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invoice_id UUID NOT NULL REFERENCES invoices(id) ON DELETE CASCADE,</w:t>
      </w:r>
    </w:p>
    <w:p>
      <w:pPr>
        <w:spacing w:after="0" w:before="0" w:line="240" w:lineRule="auto"/>
        <w:ind w:left="57"/>
        <w:jc w:val="left"/>
        <w:shd w:val="clear" w:fill="F2F2F2"/>
      </w:pPr>
      <w:r>
        <w:rPr>
          <w:rFonts w:ascii="Consolas" w:hAnsi="Consolas" w:cs="Consolas"/>
          <w:b w:val="0"/>
          <w:i w:val="0"/>
          <w:sz w:val="15"/>
        </w:rPr>
        <w:t xml:space="preserve">    endpoint TEXT NOT NULL,</w:t>
      </w:r>
    </w:p>
    <w:p>
      <w:pPr>
        <w:spacing w:after="0" w:before="0" w:line="240" w:lineRule="auto"/>
        <w:ind w:left="57"/>
        <w:jc w:val="left"/>
        <w:shd w:val="clear" w:fill="F2F2F2"/>
      </w:pPr>
      <w:r>
        <w:rPr>
          <w:rFonts w:ascii="Consolas" w:hAnsi="Consolas" w:cs="Consolas"/>
          <w:b w:val="0"/>
          <w:i w:val="0"/>
          <w:sz w:val="15"/>
        </w:rPr>
        <w:t xml:space="preserve">    request_xml TEXT,</w:t>
      </w:r>
    </w:p>
    <w:p>
      <w:pPr>
        <w:spacing w:after="0" w:before="0" w:line="240" w:lineRule="auto"/>
        <w:ind w:left="57"/>
        <w:jc w:val="left"/>
        <w:shd w:val="clear" w:fill="F2F2F2"/>
      </w:pPr>
      <w:r>
        <w:rPr>
          <w:rFonts w:ascii="Consolas" w:hAnsi="Consolas" w:cs="Consolas"/>
          <w:b w:val="0"/>
          <w:i w:val="0"/>
          <w:sz w:val="15"/>
        </w:rPr>
        <w:t xml:space="preserve">    response_json JSONB,</w:t>
      </w:r>
    </w:p>
    <w:p>
      <w:pPr>
        <w:spacing w:after="0" w:before="0" w:line="240" w:lineRule="auto"/>
        <w:ind w:left="57"/>
        <w:jc w:val="left"/>
        <w:shd w:val="clear" w:fill="F2F2F2"/>
      </w:pPr>
      <w:r>
        <w:rPr>
          <w:rFonts w:ascii="Consolas" w:hAnsi="Consolas" w:cs="Consolas"/>
          <w:b w:val="0"/>
          <w:i w:val="0"/>
          <w:sz w:val="15"/>
        </w:rPr>
        <w:t xml:space="preserve">    status_code INTEGER,</w:t>
      </w:r>
    </w:p>
    <w:p>
      <w:pPr>
        <w:spacing w:after="0" w:before="0" w:line="240" w:lineRule="auto"/>
        <w:ind w:left="57"/>
        <w:jc w:val="left"/>
        <w:shd w:val="clear" w:fill="F2F2F2"/>
      </w:pPr>
      <w:r>
        <w:rPr>
          <w:rFonts w:ascii="Consolas" w:hAnsi="Consolas" w:cs="Consolas"/>
          <w:b w:val="0"/>
          <w:i w:val="0"/>
          <w:sz w:val="15"/>
        </w:rPr>
        <w:t xml:space="preserve">    success BOOLEAN,</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idempotency_key TEXT,</w:t>
      </w:r>
    </w:p>
    <w:p>
      <w:pPr>
        <w:spacing w:after="0" w:before="0" w:line="240" w:lineRule="auto"/>
        <w:ind w:left="57"/>
        <w:jc w:val="left"/>
        <w:shd w:val="clear" w:fill="F2F2F2"/>
      </w:pPr>
      <w:r>
        <w:rPr>
          <w:rFonts w:ascii="Consolas" w:hAnsi="Consolas" w:cs="Consolas"/>
          <w:b w:val="0"/>
          <w:i w:val="0"/>
          <w:sz w:val="15"/>
        </w:rPr>
        <w:t xml:space="preserve">    submitted_at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idx_invoices_trade_request ON invoices(trade_request_id);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idx_invoices_ustn ON invoices(ustn);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idx_invoices_invoice_number ON invoices(invoice_number);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idx_invoices_eta_uuid ON invoices(eta_uuid);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idx_invoices_generated_at ON invoices(generated_at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idx_invoice_lines_invoice ON invoice_lines(invoice_id);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idx_invoice_lines_type ON invoice_lines(line_type);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idx_invoice_versions_invoice ON invoice_versions(invoice_id);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idx_eta_submission_logs_invoice ON eta_submission_logs(invoice_id);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idx_eta_submission_logs_submitted_at ON eta_submission_logs(submitted_at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8.8.10 Implementation Checklist</w:t>
      </w:r>
    </w:p>
    <w:p>
      <w:pPr>
        <w:spacing w:after="80" w:line="293" w:lineRule="auto"/>
        <w:jc w:val="left"/>
      </w:pPr>
      <w:r>
        <w:rPr>
          <w:rFonts w:ascii="Times New Roman" w:hAnsi="Times New Roman" w:cs="Times New Roman"/>
          <w:b w:val="0"/>
          <w:i w:val="0"/>
          <w:sz w:val="22"/>
        </w:rPr>
        <w:t>Invoice generation:</w:t>
      </w:r>
    </w:p>
    <w:p>
      <w:pPr>
        <w:spacing w:after="80" w:line="293" w:lineRule="auto"/>
        <w:ind w:left="283"/>
        <w:jc w:val="left"/>
      </w:pPr>
      <w:r>
        <w:rPr>
          <w:rFonts w:ascii="Times New Roman" w:hAnsi="Times New Roman" w:cs="Times New Roman"/>
          <w:b w:val="0"/>
          <w:i w:val="0"/>
          <w:sz w:val="22"/>
        </w:rPr>
        <w:t>- Implement UBL 2.1 XML generator (Rust, serde_xml)</w:t>
      </w:r>
    </w:p>
    <w:p>
      <w:pPr>
        <w:spacing w:after="80" w:line="293" w:lineRule="auto"/>
        <w:ind w:left="283"/>
        <w:jc w:val="left"/>
      </w:pPr>
      <w:r>
        <w:rPr>
          <w:rFonts w:ascii="Times New Roman" w:hAnsi="Times New Roman" w:cs="Times New Roman"/>
          <w:b w:val="0"/>
          <w:i w:val="0"/>
          <w:sz w:val="22"/>
        </w:rPr>
        <w:t>- Implement invoice data aggregation (trade request, packing, weight, settlement)</w:t>
      </w:r>
    </w:p>
    <w:p>
      <w:pPr>
        <w:spacing w:after="80" w:line="293" w:lineRule="auto"/>
        <w:ind w:left="283"/>
        <w:jc w:val="left"/>
      </w:pPr>
      <w:r>
        <w:rPr>
          <w:rFonts w:ascii="Times New Roman" w:hAnsi="Times New Roman" w:cs="Times New Roman"/>
          <w:b w:val="0"/>
          <w:i w:val="0"/>
          <w:sz w:val="22"/>
        </w:rPr>
        <w:t>- Implement invoice line item generation (goods, logistics, fees, services)</w:t>
      </w:r>
    </w:p>
    <w:p>
      <w:pPr>
        <w:spacing w:after="80" w:line="293" w:lineRule="auto"/>
        <w:ind w:left="283"/>
        <w:jc w:val="left"/>
      </w:pPr>
      <w:r>
        <w:rPr>
          <w:rFonts w:ascii="Times New Roman" w:hAnsi="Times New Roman" w:cs="Times New Roman"/>
          <w:b w:val="0"/>
          <w:i w:val="0"/>
          <w:sz w:val="22"/>
        </w:rPr>
        <w:t>- Implement commercial settlement integration</w:t>
      </w:r>
    </w:p>
    <w:p>
      <w:pPr>
        <w:spacing w:after="80" w:line="293" w:lineRule="auto"/>
        <w:ind w:left="283"/>
        <w:jc w:val="left"/>
      </w:pPr>
      <w:r>
        <w:rPr>
          <w:rFonts w:ascii="Times New Roman" w:hAnsi="Times New Roman" w:cs="Times New Roman"/>
          <w:b w:val="0"/>
          <w:i w:val="0"/>
          <w:sz w:val="22"/>
        </w:rPr>
        <w:t>- Implement insurance integration</w:t>
      </w:r>
    </w:p>
    <w:p>
      <w:pPr>
        <w:spacing w:after="80" w:line="293" w:lineRule="auto"/>
        <w:ind w:left="283"/>
        <w:jc w:val="left"/>
      </w:pPr>
      <w:r>
        <w:rPr>
          <w:rFonts w:ascii="Times New Roman" w:hAnsi="Times New Roman" w:cs="Times New Roman"/>
          <w:b w:val="0"/>
          <w:i w:val="0"/>
          <w:sz w:val="22"/>
        </w:rPr>
        <w:t>- Implement invoice numbering (unique per seller)</w:t>
      </w:r>
    </w:p>
    <w:p>
      <w:pPr>
        <w:spacing w:after="80" w:line="293" w:lineRule="auto"/>
        <w:jc w:val="left"/>
      </w:pPr>
      <w:r>
        <w:rPr>
          <w:rFonts w:ascii="Times New Roman" w:hAnsi="Times New Roman" w:cs="Times New Roman"/>
          <w:b w:val="0"/>
          <w:i w:val="0"/>
          <w:sz w:val="22"/>
        </w:rPr>
        <w:t>Digital signing:</w:t>
      </w:r>
    </w:p>
    <w:p>
      <w:pPr>
        <w:spacing w:after="80" w:line="293" w:lineRule="auto"/>
        <w:ind w:left="283"/>
        <w:jc w:val="left"/>
      </w:pPr>
      <w:r>
        <w:rPr>
          <w:rFonts w:ascii="Times New Roman" w:hAnsi="Times New Roman" w:cs="Times New Roman"/>
          <w:b w:val="0"/>
          <w:i w:val="0"/>
          <w:sz w:val="22"/>
        </w:rPr>
        <w:t>- Implement Ed25519 signing (SoftHSM)</w:t>
      </w:r>
    </w:p>
    <w:p>
      <w:pPr>
        <w:spacing w:after="80" w:line="293" w:lineRule="auto"/>
        <w:ind w:left="283"/>
        <w:jc w:val="left"/>
      </w:pPr>
      <w:r>
        <w:rPr>
          <w:rFonts w:ascii="Times New Roman" w:hAnsi="Times New Roman" w:cs="Times New Roman"/>
          <w:b w:val="0"/>
          <w:i w:val="0"/>
          <w:sz w:val="22"/>
        </w:rPr>
        <w:t>- Implement certificate management (seller's e-Seal)</w:t>
      </w:r>
    </w:p>
    <w:p>
      <w:pPr>
        <w:spacing w:after="80" w:line="293" w:lineRule="auto"/>
        <w:ind w:left="283"/>
        <w:jc w:val="left"/>
      </w:pPr>
      <w:r>
        <w:rPr>
          <w:rFonts w:ascii="Times New Roman" w:hAnsi="Times New Roman" w:cs="Times New Roman"/>
          <w:b w:val="0"/>
          <w:i w:val="0"/>
          <w:sz w:val="22"/>
        </w:rPr>
        <w:t>- Implement QES integration (Egypt Trust HSM)</w:t>
      </w:r>
    </w:p>
    <w:p>
      <w:pPr>
        <w:spacing w:after="80" w:line="293" w:lineRule="auto"/>
        <w:ind w:left="283"/>
        <w:jc w:val="left"/>
      </w:pPr>
      <w:r>
        <w:rPr>
          <w:rFonts w:ascii="Times New Roman" w:hAnsi="Times New Roman" w:cs="Times New Roman"/>
          <w:b w:val="0"/>
          <w:i w:val="0"/>
          <w:sz w:val="22"/>
        </w:rPr>
        <w:t>- Implement signature verification</w:t>
      </w:r>
    </w:p>
    <w:p>
      <w:pPr>
        <w:spacing w:after="80" w:line="293" w:lineRule="auto"/>
        <w:ind w:left="283"/>
        <w:jc w:val="left"/>
      </w:pPr>
      <w:r>
        <w:rPr>
          <w:rFonts w:ascii="Times New Roman" w:hAnsi="Times New Roman" w:cs="Times New Roman"/>
          <w:b w:val="0"/>
          <w:i w:val="0"/>
          <w:sz w:val="22"/>
        </w:rPr>
        <w:t>- Implement signature addition to XML</w:t>
      </w:r>
    </w:p>
    <w:p>
      <w:pPr>
        <w:spacing w:after="80" w:line="293" w:lineRule="auto"/>
        <w:jc w:val="left"/>
      </w:pPr>
      <w:r>
        <w:rPr>
          <w:rFonts w:ascii="Times New Roman" w:hAnsi="Times New Roman" w:cs="Times New Roman"/>
          <w:b w:val="0"/>
          <w:i w:val="0"/>
          <w:sz w:val="22"/>
        </w:rPr>
        <w:t>ETA submission:</w:t>
      </w:r>
    </w:p>
    <w:p>
      <w:pPr>
        <w:spacing w:after="80" w:line="293" w:lineRule="auto"/>
        <w:ind w:left="283"/>
        <w:jc w:val="left"/>
      </w:pPr>
      <w:r>
        <w:rPr>
          <w:rFonts w:ascii="Times New Roman" w:hAnsi="Times New Roman" w:cs="Times New Roman"/>
          <w:b w:val="0"/>
          <w:i w:val="0"/>
          <w:sz w:val="22"/>
        </w:rPr>
        <w:t>- Implement ETA API client (mTLS)</w:t>
      </w:r>
    </w:p>
    <w:p>
      <w:pPr>
        <w:spacing w:after="80" w:line="293" w:lineRule="auto"/>
        <w:ind w:left="283"/>
        <w:jc w:val="left"/>
      </w:pPr>
      <w:r>
        <w:rPr>
          <w:rFonts w:ascii="Times New Roman" w:hAnsi="Times New Roman" w:cs="Times New Roman"/>
          <w:b w:val="0"/>
          <w:i w:val="0"/>
          <w:sz w:val="22"/>
        </w:rPr>
        <w:t>- Implement idempotency key generation</w:t>
      </w:r>
    </w:p>
    <w:p>
      <w:pPr>
        <w:spacing w:after="80" w:line="293" w:lineRule="auto"/>
        <w:ind w:left="283"/>
        <w:jc w:val="left"/>
      </w:pPr>
      <w:r>
        <w:rPr>
          <w:rFonts w:ascii="Times New Roman" w:hAnsi="Times New Roman" w:cs="Times New Roman"/>
          <w:b w:val="0"/>
          <w:i w:val="0"/>
          <w:sz w:val="22"/>
        </w:rPr>
        <w:t>- Implement retry logic (exponential backoff)</w:t>
      </w:r>
    </w:p>
    <w:p>
      <w:pPr>
        <w:spacing w:after="80" w:line="293" w:lineRule="auto"/>
        <w:ind w:left="283"/>
        <w:jc w:val="left"/>
      </w:pPr>
      <w:r>
        <w:rPr>
          <w:rFonts w:ascii="Times New Roman" w:hAnsi="Times New Roman" w:cs="Times New Roman"/>
          <w:b w:val="0"/>
          <w:i w:val="0"/>
          <w:sz w:val="22"/>
        </w:rPr>
        <w:t>- Implement UUID and QR code storage</w:t>
      </w:r>
    </w:p>
    <w:p>
      <w:pPr>
        <w:spacing w:after="80" w:line="293" w:lineRule="auto"/>
        <w:ind w:left="283"/>
        <w:jc w:val="left"/>
      </w:pPr>
      <w:r>
        <w:rPr>
          <w:rFonts w:ascii="Times New Roman" w:hAnsi="Times New Roman" w:cs="Times New Roman"/>
          <w:b w:val="0"/>
          <w:i w:val="0"/>
          <w:sz w:val="22"/>
        </w:rPr>
        <w:t>- Implement validation error handling</w:t>
      </w:r>
    </w:p>
    <w:p>
      <w:pPr>
        <w:spacing w:after="80" w:line="293" w:lineRule="auto"/>
        <w:jc w:val="left"/>
      </w:pPr>
      <w:r>
        <w:rPr>
          <w:rFonts w:ascii="Times New Roman" w:hAnsi="Times New Roman" w:cs="Times New Roman"/>
          <w:b w:val="0"/>
          <w:i w:val="0"/>
          <w:sz w:val="22"/>
        </w:rPr>
        <w:t>PDF generation:</w:t>
      </w:r>
    </w:p>
    <w:p>
      <w:pPr>
        <w:spacing w:after="80" w:line="293" w:lineRule="auto"/>
        <w:ind w:left="283"/>
        <w:jc w:val="left"/>
      </w:pPr>
      <w:r>
        <w:rPr>
          <w:rFonts w:ascii="Times New Roman" w:hAnsi="Times New Roman" w:cs="Times New Roman"/>
          <w:b w:val="0"/>
          <w:i w:val="0"/>
          <w:sz w:val="22"/>
        </w:rPr>
        <w:t>- Implement HTML template (Tera)</w:t>
      </w:r>
    </w:p>
    <w:p>
      <w:pPr>
        <w:spacing w:after="80" w:line="293" w:lineRule="auto"/>
        <w:ind w:left="283"/>
        <w:jc w:val="left"/>
      </w:pPr>
      <w:r>
        <w:rPr>
          <w:rFonts w:ascii="Times New Roman" w:hAnsi="Times New Roman" w:cs="Times New Roman"/>
          <w:b w:val="0"/>
          <w:i w:val="0"/>
          <w:sz w:val="22"/>
        </w:rPr>
        <w:t>- Implement PDF generation (headless Chrome)</w:t>
      </w:r>
    </w:p>
    <w:p>
      <w:pPr>
        <w:spacing w:after="80" w:line="293" w:lineRule="auto"/>
        <w:ind w:left="283"/>
        <w:jc w:val="left"/>
      </w:pPr>
      <w:r>
        <w:rPr>
          <w:rFonts w:ascii="Times New Roman" w:hAnsi="Times New Roman" w:cs="Times New Roman"/>
          <w:b w:val="0"/>
          <w:i w:val="0"/>
          <w:sz w:val="22"/>
        </w:rPr>
        <w:t>- Implement PDF/A-3 conformance</w:t>
      </w:r>
    </w:p>
    <w:p>
      <w:pPr>
        <w:spacing w:after="80" w:line="293" w:lineRule="auto"/>
        <w:ind w:left="283"/>
        <w:jc w:val="left"/>
      </w:pPr>
      <w:r>
        <w:rPr>
          <w:rFonts w:ascii="Times New Roman" w:hAnsi="Times New Roman" w:cs="Times New Roman"/>
          <w:b w:val="0"/>
          <w:i w:val="0"/>
          <w:sz w:val="22"/>
        </w:rPr>
        <w:t>- Implement digital signature in PDF</w:t>
      </w:r>
    </w:p>
    <w:p>
      <w:pPr>
        <w:spacing w:after="80" w:line="293" w:lineRule="auto"/>
        <w:ind w:left="283"/>
        <w:jc w:val="left"/>
      </w:pPr>
      <w:r>
        <w:rPr>
          <w:rFonts w:ascii="Times New Roman" w:hAnsi="Times New Roman" w:cs="Times New Roman"/>
          <w:b w:val="0"/>
          <w:i w:val="0"/>
          <w:sz w:val="22"/>
        </w:rPr>
        <w:t>- Implement metadata attachment</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UBL 2.1 XML generation; digital signing; ETA submission</w:t>
      </w:r>
    </w:p>
    <w:p>
      <w:pPr>
        <w:spacing w:after="80" w:line="293" w:lineRule="auto"/>
        <w:ind w:left="283"/>
        <w:jc w:val="left"/>
      </w:pPr>
      <w:r>
        <w:rPr>
          <w:rFonts w:ascii="Times New Roman" w:hAnsi="Times New Roman" w:cs="Times New Roman"/>
          <w:b w:val="0"/>
          <w:i w:val="0"/>
          <w:sz w:val="22"/>
        </w:rPr>
        <w:t>- Integration tests: invoice generation → signing → ETA submission; PDF generation → PDF/A-3 validation</w:t>
      </w:r>
    </w:p>
    <w:p>
      <w:pPr>
        <w:spacing w:after="80" w:line="293" w:lineRule="auto"/>
        <w:ind w:left="283"/>
        <w:jc w:val="left"/>
      </w:pPr>
      <w:r>
        <w:rPr>
          <w:rFonts w:ascii="Times New Roman" w:hAnsi="Times New Roman" w:cs="Times New Roman"/>
          <w:b w:val="0"/>
          <w:i w:val="0"/>
          <w:sz w:val="22"/>
        </w:rPr>
        <w:t>- End-to-end tests: full invoice workflow</w:t>
      </w:r>
    </w:p>
    <w:p>
      <w:pPr>
        <w:keepNext/>
        <w:spacing w:before="180" w:after="80"/>
        <w:outlineLvl w:val="2"/>
      </w:pPr>
      <w:r>
        <w:rPr>
          <w:rFonts w:ascii="Arial" w:hAnsi="Arial" w:cs="Arial"/>
          <w:b/>
          <w:i w:val="0"/>
          <w:color w:val="333333"/>
          <w:sz w:val="23"/>
        </w:rPr>
        <w:t>8.8.11 AI Authority Summary</w:t>
      </w:r>
    </w:p>
    <w:p>
      <w:pPr>
        <w:spacing w:after="80" w:line="293" w:lineRule="auto"/>
        <w:jc w:val="left"/>
      </w:pPr>
      <w:r>
        <w:rPr>
          <w:rFonts w:ascii="Times New Roman" w:hAnsi="Times New Roman" w:cs="Times New Roman"/>
          <w:b w:val="0"/>
          <w:i w:val="0"/>
          <w:sz w:val="22"/>
        </w:rPr>
        <w:t>A1 (Groq → Ollama) generates plain-language invoice metadata descriptions and validation error explanations. A4 (OPA + WasmEdge) enforces reconciliation invariants (line items sum to totals), signature verification, and archival conformance. A2 (HF local) supports document consistency checks. AI never alters invoice amounts, never signs invoices, and never marks ETA submission successful without authoritative ETA response evidence.</w:t>
      </w:r>
    </w:p>
    <w:p>
      <w:pPr>
        <w:keepNext/>
        <w:spacing w:before="240" w:after="100"/>
        <w:outlineLvl w:val="1"/>
      </w:pPr>
      <w:r>
        <w:rPr>
          <w:rFonts w:ascii="Arial" w:hAnsi="Arial" w:cs="Arial"/>
          <w:b/>
          <w:i w:val="0"/>
          <w:color w:val="2E528F"/>
          <w:sz w:val="26"/>
        </w:rPr>
        <w:t>8.9 Customs Declaration Auto-Generation</w:t>
      </w:r>
    </w:p>
    <w:p>
      <w:pPr>
        <w:keepNext/>
        <w:spacing w:before="180" w:after="80"/>
        <w:outlineLvl w:val="2"/>
      </w:pPr>
      <w:r>
        <w:rPr>
          <w:rFonts w:ascii="Arial" w:hAnsi="Arial" w:cs="Arial"/>
          <w:b/>
          <w:i w:val="0"/>
          <w:color w:val="333333"/>
          <w:sz w:val="23"/>
        </w:rPr>
        <w:t>8.9.1 Purpose &amp; Design Philosophy</w:t>
      </w:r>
    </w:p>
    <w:p>
      <w:pPr>
        <w:spacing w:after="80" w:line="293" w:lineRule="auto"/>
        <w:jc w:val="left"/>
      </w:pPr>
      <w:r>
        <w:rPr>
          <w:rFonts w:ascii="Times New Roman" w:hAnsi="Times New Roman" w:cs="Times New Roman"/>
          <w:b w:val="0"/>
          <w:i w:val="0"/>
          <w:sz w:val="22"/>
        </w:rPr>
        <w:t>The Customs Declaration Auto-Generation module transforms the trade data, packing plan, weight calculations, and invoice details into a legally compliant customs declaration (Single Administrative Document — SAD) that is submitted to Nafeza, Egypt's National Single Window for trade. This module automates the most complex and error-prone aspect of international trade — customs clearance — ensuring accuracy, compliance, and speed.</w:t>
      </w:r>
    </w:p>
    <w:p>
      <w:pPr>
        <w:spacing w:after="80" w:line="293" w:lineRule="auto"/>
        <w:jc w:val="left"/>
      </w:pPr>
      <w:r>
        <w:rPr>
          <w:rFonts w:ascii="Times New Roman" w:hAnsi="Times New Roman" w:cs="Times New Roman"/>
          <w:b w:val="0"/>
          <w:i w:val="0"/>
          <w:sz w:val="22"/>
        </w:rPr>
        <w:t>Key principles: Zero re-entry — all declaration data is sourced directly from the trade request, packing plan, weight calculations, and invoice. Nafeza-compliant — generates JSON declarations that conform to Nafeza API requirements. Broker certification — supports optional broker certification where the broker reviews, certifies, and assumes liability for the declaration. Certificate auto-request — automatically requests phytosanitary, health, and certificate of origin after compliant lab results. Multi-document linkage — links to USTN, invoice, packing list, and all certificates. Digital signing — signed with the filer's Egypt Trust e-Seal certificate (seller or broker). Automatic submission — submitted to Nafeza via API; declaration ID and status retrieved and stored. Retry &amp; resilience — robust retry logic with fallback to manual PDF submission. Audit trail — full Loom logging for all declaration events.</w:t>
      </w:r>
    </w:p>
    <w:p>
      <w:pPr>
        <w:keepNext/>
        <w:spacing w:before="180" w:after="80"/>
        <w:outlineLvl w:val="2"/>
      </w:pPr>
      <w:r>
        <w:rPr>
          <w:rFonts w:ascii="Arial" w:hAnsi="Arial" w:cs="Arial"/>
          <w:b/>
          <w:i w:val="0"/>
          <w:color w:val="333333"/>
          <w:sz w:val="23"/>
        </w:rPr>
        <w:t>8.9.2 Nafeza SAD Structure — Complete Specification</w:t>
      </w:r>
    </w:p>
    <w:p>
      <w:pPr>
        <w:keepNext/>
        <w:spacing w:before="140" w:after="60"/>
        <w:outlineLvl w:val="3"/>
      </w:pPr>
      <w:r>
        <w:rPr>
          <w:rFonts w:ascii="Arial" w:hAnsi="Arial" w:cs="Arial"/>
          <w:b/>
          <w:i/>
          <w:color w:val="333333"/>
          <w:sz w:val="22"/>
        </w:rPr>
        <w:t>8.9.2.1 SAD JSON Structure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"declaration_type": "EXPORT",</w:t>
      </w:r>
    </w:p>
    <w:p>
      <w:pPr>
        <w:spacing w:after="0" w:before="0" w:line="240" w:lineRule="auto"/>
        <w:ind w:left="57"/>
        <w:jc w:val="left"/>
        <w:shd w:val="clear" w:fill="F2F2F2"/>
      </w:pPr>
      <w:r>
        <w:rPr>
          <w:rFonts w:ascii="Consolas" w:hAnsi="Consolas" w:cs="Consolas"/>
          <w:b w:val="0"/>
          <w:i w:val="0"/>
          <w:sz w:val="15"/>
        </w:rPr>
        <w:t xml:space="preserve">  "trader_gtid": "SGTX-EG-TRD-002139-7F3A",</w:t>
      </w:r>
    </w:p>
    <w:p>
      <w:pPr>
        <w:spacing w:after="0" w:before="0" w:line="240" w:lineRule="auto"/>
        <w:ind w:left="57"/>
        <w:jc w:val="left"/>
        <w:shd w:val="clear" w:fill="F2F2F2"/>
      </w:pPr>
      <w:r>
        <w:rPr>
          <w:rFonts w:ascii="Consolas" w:hAnsi="Consolas" w:cs="Consolas"/>
          <w:b w:val="0"/>
          <w:i w:val="0"/>
          <w:sz w:val="15"/>
        </w:rPr>
        <w:t xml:space="preserve">  "broker_gtid": "SGTX-EG-CBR-001",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"acid": "ACI20260415-0001",</w:t>
      </w:r>
    </w:p>
    <w:p>
      <w:pPr>
        <w:spacing w:after="0" w:before="0" w:line="240" w:lineRule="auto"/>
        <w:ind w:left="57"/>
        <w:jc w:val="left"/>
        <w:shd w:val="clear" w:fill="F2F2F2"/>
      </w:pPr>
      <w:r>
        <w:rPr>
          <w:rFonts w:ascii="Consolas" w:hAnsi="Consolas" w:cs="Consolas"/>
          <w:b w:val="0"/>
          <w:i w:val="0"/>
          <w:sz w:val="15"/>
        </w:rPr>
        <w:t xml:space="preserve">  "contract_id": "MC-20260415-001",</w:t>
      </w:r>
    </w:p>
    <w:p>
      <w:pPr>
        <w:spacing w:after="0" w:before="0" w:line="240" w:lineRule="auto"/>
        <w:ind w:left="57"/>
        <w:jc w:val="left"/>
        <w:shd w:val="clear" w:fill="F2F2F2"/>
      </w:pPr>
      <w:r>
        <w:rPr>
          <w:rFonts w:ascii="Consolas" w:hAnsi="Consolas" w:cs="Consolas"/>
          <w:b w:val="0"/>
          <w:i w:val="0"/>
          <w:sz w:val="15"/>
        </w:rPr>
        <w:t xml:space="preserve">  "invoice": {</w:t>
      </w:r>
    </w:p>
    <w:p>
      <w:pPr>
        <w:spacing w:after="0" w:before="0" w:line="240" w:lineRule="auto"/>
        <w:ind w:left="57"/>
        <w:jc w:val="left"/>
        <w:shd w:val="clear" w:fill="F2F2F2"/>
      </w:pPr>
      <w:r>
        <w:rPr>
          <w:rFonts w:ascii="Consolas" w:hAnsi="Consolas" w:cs="Consolas"/>
          <w:b w:val="0"/>
          <w:i w:val="0"/>
          <w:sz w:val="15"/>
        </w:rPr>
        <w:t xml:space="preserve">    "number": "INV-STR-2026-001",</w:t>
      </w:r>
    </w:p>
    <w:p>
      <w:pPr>
        <w:spacing w:after="0" w:before="0" w:line="240" w:lineRule="auto"/>
        <w:ind w:left="57"/>
        <w:jc w:val="left"/>
        <w:shd w:val="clear" w:fill="F2F2F2"/>
      </w:pPr>
      <w:r>
        <w:rPr>
          <w:rFonts w:ascii="Consolas" w:hAnsi="Consolas" w:cs="Consolas"/>
          <w:b w:val="0"/>
          <w:i w:val="0"/>
          <w:sz w:val="15"/>
        </w:rPr>
        <w:t xml:space="preserve">    "value": 78730.00,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"eta_uuid": "f47ac10b-58cc-4372-a567-0e02b2c3d479"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"goods":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"description": "Valencia Oranges, Grade A",</w:t>
      </w:r>
    </w:p>
    <w:p>
      <w:pPr>
        <w:spacing w:after="0" w:before="0" w:line="240" w:lineRule="auto"/>
        <w:ind w:left="57"/>
        <w:jc w:val="left"/>
        <w:shd w:val="clear" w:fill="F2F2F2"/>
      </w:pPr>
      <w:r>
        <w:rPr>
          <w:rFonts w:ascii="Consolas" w:hAnsi="Consolas" w:cs="Consolas"/>
          <w:b w:val="0"/>
          <w:i w:val="0"/>
          <w:sz w:val="15"/>
        </w:rPr>
        <w:t xml:space="preserve">      "net_weight_kg": 8800,</w:t>
      </w:r>
    </w:p>
    <w:p>
      <w:pPr>
        <w:spacing w:after="0" w:before="0" w:line="240" w:lineRule="auto"/>
        <w:ind w:left="57"/>
        <w:jc w:val="left"/>
        <w:shd w:val="clear" w:fill="F2F2F2"/>
      </w:pPr>
      <w:r>
        <w:rPr>
          <w:rFonts w:ascii="Consolas" w:hAnsi="Consolas" w:cs="Consolas"/>
          <w:b w:val="0"/>
          <w:i w:val="0"/>
          <w:sz w:val="15"/>
        </w:rPr>
        <w:t xml:space="preserve">      "gross_weight_kg": 9790,</w:t>
      </w:r>
    </w:p>
    <w:p>
      <w:pPr>
        <w:spacing w:after="0" w:before="0" w:line="240" w:lineRule="auto"/>
        <w:ind w:left="57"/>
        <w:jc w:val="left"/>
        <w:shd w:val="clear" w:fill="F2F2F2"/>
      </w:pPr>
      <w:r>
        <w:rPr>
          <w:rFonts w:ascii="Consolas" w:hAnsi="Consolas" w:cs="Consolas"/>
          <w:b w:val="0"/>
          <w:i w:val="0"/>
          <w:sz w:val="15"/>
        </w:rPr>
        <w:t xml:space="preserve">      "container_number": "MEDU1234567",</w:t>
      </w:r>
    </w:p>
    <w:p>
      <w:pPr>
        <w:spacing w:after="0" w:before="0" w:line="240" w:lineRule="auto"/>
        <w:ind w:left="57"/>
        <w:jc w:val="left"/>
        <w:shd w:val="clear" w:fill="F2F2F2"/>
      </w:pPr>
      <w:r>
        <w:rPr>
          <w:rFonts w:ascii="Consolas" w:hAnsi="Consolas" w:cs="Consolas"/>
          <w:b w:val="0"/>
          <w:i w:val="0"/>
          <w:sz w:val="15"/>
        </w:rPr>
        <w:t xml:space="preserve">      "packages": 880,</w:t>
      </w:r>
    </w:p>
    <w:p>
      <w:pPr>
        <w:spacing w:after="0" w:before="0" w:line="240" w:lineRule="auto"/>
        <w:ind w:left="57"/>
        <w:jc w:val="left"/>
        <w:shd w:val="clear" w:fill="F2F2F2"/>
      </w:pPr>
      <w:r>
        <w:rPr>
          <w:rFonts w:ascii="Consolas" w:hAnsi="Consolas" w:cs="Consolas"/>
          <w:b w:val="0"/>
          <w:i w:val="0"/>
          <w:sz w:val="15"/>
        </w:rPr>
        <w:t xml:space="preserve">      "package_type": "CARTON",</w:t>
      </w:r>
    </w:p>
    <w:p>
      <w:pPr>
        <w:spacing w:after="0" w:before="0" w:line="240" w:lineRule="auto"/>
        <w:ind w:left="57"/>
        <w:jc w:val="left"/>
        <w:shd w:val="clear" w:fill="F2F2F2"/>
      </w:pPr>
      <w:r>
        <w:rPr>
          <w:rFonts w:ascii="Consolas" w:hAnsi="Consolas" w:cs="Consolas"/>
          <w:b w:val="0"/>
          <w:i w:val="0"/>
          <w:sz w:val="15"/>
        </w:rPr>
        <w:t xml:space="preserve">      "pallet_count": 22,</w:t>
      </w:r>
    </w:p>
    <w:p>
      <w:pPr>
        <w:spacing w:after="0" w:before="0" w:line="240" w:lineRule="auto"/>
        <w:ind w:left="57"/>
        <w:jc w:val="left"/>
        <w:shd w:val="clear" w:fill="F2F2F2"/>
      </w:pPr>
      <w:r>
        <w:rPr>
          <w:rFonts w:ascii="Consolas" w:hAnsi="Consolas" w:cs="Consolas"/>
          <w:b w:val="0"/>
          <w:i w:val="0"/>
          <w:sz w:val="15"/>
        </w:rPr>
        <w:t xml:space="preserve">      "invoice_value": 44000.00,</w:t>
      </w:r>
    </w:p>
    <w:p>
      <w:pPr>
        <w:spacing w:after="0" w:before="0" w:line="240" w:lineRule="auto"/>
        <w:ind w:left="57"/>
        <w:jc w:val="left"/>
        <w:shd w:val="clear" w:fill="F2F2F2"/>
      </w:pPr>
      <w:r>
        <w:rPr>
          <w:rFonts w:ascii="Consolas" w:hAnsi="Consolas" w:cs="Consolas"/>
          <w:b w:val="0"/>
          <w:i w:val="0"/>
          <w:sz w:val="15"/>
        </w:rPr>
        <w:t xml:space="preserve">      "quantity_tolerance": 5,</w:t>
      </w:r>
    </w:p>
    <w:p>
      <w:pPr>
        <w:spacing w:after="0" w:before="0" w:line="240" w:lineRule="auto"/>
        <w:ind w:left="57"/>
        <w:jc w:val="left"/>
        <w:shd w:val="clear" w:fill="F2F2F2"/>
      </w:pPr>
      <w:r>
        <w:rPr>
          <w:rFonts w:ascii="Consolas" w:hAnsi="Consolas" w:cs="Consolas"/>
          <w:b w:val="0"/>
          <w:i w:val="0"/>
          <w:sz w:val="15"/>
        </w:rPr>
        <w:t xml:space="preserve">      "acceptance_criteria": {</w:t>
      </w:r>
    </w:p>
    <w:p>
      <w:pPr>
        <w:spacing w:after="0" w:before="0" w:line="240" w:lineRule="auto"/>
        <w:ind w:left="57"/>
        <w:jc w:val="left"/>
        <w:shd w:val="clear" w:fill="F2F2F2"/>
      </w:pPr>
      <w:r>
        <w:rPr>
          <w:rFonts w:ascii="Consolas" w:hAnsi="Consolas" w:cs="Consolas"/>
          <w:b w:val="0"/>
          <w:i w:val="0"/>
          <w:sz w:val="15"/>
        </w:rPr>
        <w:t xml:space="preserve">        "moisture": "Max 14%",</w:t>
      </w:r>
    </w:p>
    <w:p>
      <w:pPr>
        <w:spacing w:after="0" w:before="0" w:line="240" w:lineRule="auto"/>
        <w:ind w:left="57"/>
        <w:jc w:val="left"/>
        <w:shd w:val="clear" w:fill="F2F2F2"/>
      </w:pPr>
      <w:r>
        <w:rPr>
          <w:rFonts w:ascii="Consolas" w:hAnsi="Consolas" w:cs="Consolas"/>
          <w:b w:val="0"/>
          <w:i w:val="0"/>
          <w:sz w:val="15"/>
        </w:rPr>
        <w:t xml:space="preserve">        "protein": "Min 12%",</w:t>
      </w:r>
    </w:p>
    <w:p>
      <w:pPr>
        <w:spacing w:after="0" w:before="0" w:line="240" w:lineRule="auto"/>
        <w:ind w:left="57"/>
        <w:jc w:val="left"/>
        <w:shd w:val="clear" w:fill="F2F2F2"/>
      </w:pPr>
      <w:r>
        <w:rPr>
          <w:rFonts w:ascii="Consolas" w:hAnsi="Consolas" w:cs="Consolas"/>
          <w:b w:val="0"/>
          <w:i w:val="0"/>
          <w:sz w:val="15"/>
        </w:rPr>
        <w:t xml:space="preserve">        "purity": "Min 99%"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"hs_code": "0805.50",</w:t>
      </w:r>
    </w:p>
    <w:p>
      <w:pPr>
        <w:spacing w:after="0" w:before="0" w:line="240" w:lineRule="auto"/>
        <w:ind w:left="57"/>
        <w:jc w:val="left"/>
        <w:shd w:val="clear" w:fill="F2F2F2"/>
      </w:pPr>
      <w:r>
        <w:rPr>
          <w:rFonts w:ascii="Consolas" w:hAnsi="Consolas" w:cs="Consolas"/>
          <w:b w:val="0"/>
          <w:i w:val="0"/>
          <w:sz w:val="15"/>
        </w:rPr>
        <w:t xml:space="preserve">      "description": "Eureka Lemons, Grade A",</w:t>
      </w:r>
    </w:p>
    <w:p>
      <w:pPr>
        <w:spacing w:after="0" w:before="0" w:line="240" w:lineRule="auto"/>
        <w:ind w:left="57"/>
        <w:jc w:val="left"/>
        <w:shd w:val="clear" w:fill="F2F2F2"/>
      </w:pPr>
      <w:r>
        <w:rPr>
          <w:rFonts w:ascii="Consolas" w:hAnsi="Consolas" w:cs="Consolas"/>
          <w:b w:val="0"/>
          <w:i w:val="0"/>
          <w:sz w:val="15"/>
        </w:rPr>
        <w:t xml:space="preserve">      "net_weight_kg": 5376,</w:t>
      </w:r>
    </w:p>
    <w:p>
      <w:pPr>
        <w:spacing w:after="0" w:before="0" w:line="240" w:lineRule="auto"/>
        <w:ind w:left="57"/>
        <w:jc w:val="left"/>
        <w:shd w:val="clear" w:fill="F2F2F2"/>
      </w:pPr>
      <w:r>
        <w:rPr>
          <w:rFonts w:ascii="Consolas" w:hAnsi="Consolas" w:cs="Consolas"/>
          <w:b w:val="0"/>
          <w:i w:val="0"/>
          <w:sz w:val="15"/>
        </w:rPr>
        <w:t xml:space="preserve">      "gross_weight_kg": 5990.8,</w:t>
      </w:r>
    </w:p>
    <w:p>
      <w:pPr>
        <w:spacing w:after="0" w:before="0" w:line="240" w:lineRule="auto"/>
        <w:ind w:left="57"/>
        <w:jc w:val="left"/>
        <w:shd w:val="clear" w:fill="F2F2F2"/>
      </w:pPr>
      <w:r>
        <w:rPr>
          <w:rFonts w:ascii="Consolas" w:hAnsi="Consolas" w:cs="Consolas"/>
          <w:b w:val="0"/>
          <w:i w:val="0"/>
          <w:sz w:val="15"/>
        </w:rPr>
        <w:t xml:space="preserve">      "container_number": "MEDU1234567",</w:t>
      </w:r>
    </w:p>
    <w:p>
      <w:pPr>
        <w:spacing w:after="0" w:before="0" w:line="240" w:lineRule="auto"/>
        <w:ind w:left="57"/>
        <w:jc w:val="left"/>
        <w:shd w:val="clear" w:fill="F2F2F2"/>
      </w:pPr>
      <w:r>
        <w:rPr>
          <w:rFonts w:ascii="Consolas" w:hAnsi="Consolas" w:cs="Consolas"/>
          <w:b w:val="0"/>
          <w:i w:val="0"/>
          <w:sz w:val="15"/>
        </w:rPr>
        <w:t xml:space="preserve">      "packages": 672,</w:t>
      </w:r>
    </w:p>
    <w:p>
      <w:pPr>
        <w:spacing w:after="0" w:before="0" w:line="240" w:lineRule="auto"/>
        <w:ind w:left="57"/>
        <w:jc w:val="left"/>
        <w:shd w:val="clear" w:fill="F2F2F2"/>
      </w:pPr>
      <w:r>
        <w:rPr>
          <w:rFonts w:ascii="Consolas" w:hAnsi="Consolas" w:cs="Consolas"/>
          <w:b w:val="0"/>
          <w:i w:val="0"/>
          <w:sz w:val="15"/>
        </w:rPr>
        <w:t xml:space="preserve">      "package_type": "CARTON",</w:t>
      </w:r>
    </w:p>
    <w:p>
      <w:pPr>
        <w:spacing w:after="0" w:before="0" w:line="240" w:lineRule="auto"/>
        <w:ind w:left="57"/>
        <w:jc w:val="left"/>
        <w:shd w:val="clear" w:fill="F2F2F2"/>
      </w:pPr>
      <w:r>
        <w:rPr>
          <w:rFonts w:ascii="Consolas" w:hAnsi="Consolas" w:cs="Consolas"/>
          <w:b w:val="0"/>
          <w:i w:val="0"/>
          <w:sz w:val="15"/>
        </w:rPr>
        <w:t xml:space="preserve">      "pallet_count": 14,</w:t>
      </w:r>
    </w:p>
    <w:p>
      <w:pPr>
        <w:spacing w:after="0" w:before="0" w:line="240" w:lineRule="auto"/>
        <w:ind w:left="57"/>
        <w:jc w:val="left"/>
        <w:shd w:val="clear" w:fill="F2F2F2"/>
      </w:pPr>
      <w:r>
        <w:rPr>
          <w:rFonts w:ascii="Consolas" w:hAnsi="Consolas" w:cs="Consolas"/>
          <w:b w:val="0"/>
          <w:i w:val="0"/>
          <w:sz w:val="15"/>
        </w:rPr>
        <w:t xml:space="preserve">      "invoice_value": 26880.00,</w:t>
      </w:r>
    </w:p>
    <w:p>
      <w:pPr>
        <w:spacing w:after="0" w:before="0" w:line="240" w:lineRule="auto"/>
        <w:ind w:left="57"/>
        <w:jc w:val="left"/>
        <w:shd w:val="clear" w:fill="F2F2F2"/>
      </w:pPr>
      <w:r>
        <w:rPr>
          <w:rFonts w:ascii="Consolas" w:hAnsi="Consolas" w:cs="Consolas"/>
          <w:b w:val="0"/>
          <w:i w:val="0"/>
          <w:sz w:val="15"/>
        </w:rPr>
        <w:t xml:space="preserve">      "quantity_tolerance": 5,</w:t>
      </w:r>
    </w:p>
    <w:p>
      <w:pPr>
        <w:spacing w:after="0" w:before="0" w:line="240" w:lineRule="auto"/>
        <w:ind w:left="57"/>
        <w:jc w:val="left"/>
        <w:shd w:val="clear" w:fill="F2F2F2"/>
      </w:pPr>
      <w:r>
        <w:rPr>
          <w:rFonts w:ascii="Consolas" w:hAnsi="Consolas" w:cs="Consolas"/>
          <w:b w:val="0"/>
          <w:i w:val="0"/>
          <w:sz w:val="15"/>
        </w:rPr>
        <w:t xml:space="preserve">      "acceptance_criteria": {</w:t>
      </w:r>
    </w:p>
    <w:p>
      <w:pPr>
        <w:spacing w:after="0" w:before="0" w:line="240" w:lineRule="auto"/>
        <w:ind w:left="57"/>
        <w:jc w:val="left"/>
        <w:shd w:val="clear" w:fill="F2F2F2"/>
      </w:pPr>
      <w:r>
        <w:rPr>
          <w:rFonts w:ascii="Consolas" w:hAnsi="Consolas" w:cs="Consolas"/>
          <w:b w:val="0"/>
          <w:i w:val="0"/>
          <w:sz w:val="15"/>
        </w:rPr>
        <w:t xml:space="preserve">        "moisture": "Max 15%",</w:t>
      </w:r>
    </w:p>
    <w:p>
      <w:pPr>
        <w:spacing w:after="0" w:before="0" w:line="240" w:lineRule="auto"/>
        <w:ind w:left="57"/>
        <w:jc w:val="left"/>
        <w:shd w:val="clear" w:fill="F2F2F2"/>
      </w:pPr>
      <w:r>
        <w:rPr>
          <w:rFonts w:ascii="Consolas" w:hAnsi="Consolas" w:cs="Consolas"/>
          <w:b w:val="0"/>
          <w:i w:val="0"/>
          <w:sz w:val="15"/>
        </w:rPr>
        <w:t xml:space="preserve">        "acidity": "Min 5%",</w:t>
      </w:r>
    </w:p>
    <w:p>
      <w:pPr>
        <w:spacing w:after="0" w:before="0" w:line="240" w:lineRule="auto"/>
        <w:ind w:left="57"/>
        <w:jc w:val="left"/>
        <w:shd w:val="clear" w:fill="F2F2F2"/>
      </w:pPr>
      <w:r>
        <w:rPr>
          <w:rFonts w:ascii="Consolas" w:hAnsi="Consolas" w:cs="Consolas"/>
          <w:b w:val="0"/>
          <w:i w:val="0"/>
          <w:sz w:val="15"/>
        </w:rPr>
        <w:t xml:space="preserve">        "purity": "Min 98%"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"certificate_requests":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"PHYTOSANITARY",</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"ref_lab_report": "USTN:SGTX-EG-26-F3A-1:LAB-001",</w:t>
      </w:r>
    </w:p>
    <w:p>
      <w:pPr>
        <w:spacing w:after="0" w:before="0" w:line="240" w:lineRule="auto"/>
        <w:ind w:left="57"/>
        <w:jc w:val="left"/>
        <w:shd w:val="clear" w:fill="F2F2F2"/>
      </w:pPr>
      <w:r>
        <w:rPr>
          <w:rFonts w:ascii="Consolas" w:hAnsi="Consolas" w:cs="Consolas"/>
          <w:b w:val="0"/>
          <w:i w:val="0"/>
          <w:sz w:val="15"/>
        </w:rPr>
        <w:t xml:space="preserve">      "status":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"HEALTH",</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"ref_lab_report": "USTN:SGTX-EG-26-F3A-1:LAB-001",</w:t>
      </w:r>
    </w:p>
    <w:p>
      <w:pPr>
        <w:spacing w:after="0" w:before="0" w:line="240" w:lineRule="auto"/>
        <w:ind w:left="57"/>
        <w:jc w:val="left"/>
        <w:shd w:val="clear" w:fill="F2F2F2"/>
      </w:pPr>
      <w:r>
        <w:rPr>
          <w:rFonts w:ascii="Consolas" w:hAnsi="Consolas" w:cs="Consolas"/>
          <w:b w:val="0"/>
          <w:i w:val="0"/>
          <w:sz w:val="15"/>
        </w:rPr>
        <w:t xml:space="preserve">      "status":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"CERTIFICATE_OF_ORIGIN",</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"ref_lab_report": null,</w:t>
      </w:r>
    </w:p>
    <w:p>
      <w:pPr>
        <w:spacing w:after="0" w:before="0" w:line="240" w:lineRule="auto"/>
        <w:ind w:left="57"/>
        <w:jc w:val="left"/>
        <w:shd w:val="clear" w:fill="F2F2F2"/>
      </w:pPr>
      <w:r>
        <w:rPr>
          <w:rFonts w:ascii="Consolas" w:hAnsi="Consolas" w:cs="Consolas"/>
          <w:b w:val="0"/>
          <w:i w:val="0"/>
          <w:sz w:val="15"/>
        </w:rPr>
        <w:t xml:space="preserve">      "status":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"type": "COLD_TREATMENT",</w:t>
      </w:r>
    </w:p>
    <w:p>
      <w:pPr>
        <w:spacing w:after="0" w:before="0" w:line="240" w:lineRule="auto"/>
        <w:ind w:left="57"/>
        <w:jc w:val="left"/>
        <w:shd w:val="clear" w:fill="F2F2F2"/>
      </w:pPr>
      <w:r>
        <w:rPr>
          <w:rFonts w:ascii="Consolas" w:hAnsi="Consolas" w:cs="Consolas"/>
          <w:b w:val="0"/>
          <w:i w:val="0"/>
          <w:sz w:val="15"/>
        </w:rPr>
        <w:t xml:space="preserve">      "mandatory": true,</w:t>
      </w:r>
    </w:p>
    <w:p>
      <w:pPr>
        <w:spacing w:after="0" w:before="0" w:line="240" w:lineRule="auto"/>
        <w:ind w:left="57"/>
        <w:jc w:val="left"/>
        <w:shd w:val="clear" w:fill="F2F2F2"/>
      </w:pPr>
      <w:r>
        <w:rPr>
          <w:rFonts w:ascii="Consolas" w:hAnsi="Consolas" w:cs="Consolas"/>
          <w:b w:val="0"/>
          <w:i w:val="0"/>
          <w:sz w:val="15"/>
        </w:rPr>
        <w:t xml:space="preserve">      "ref_lab_report": null,</w:t>
      </w:r>
    </w:p>
    <w:p>
      <w:pPr>
        <w:spacing w:after="0" w:before="0" w:line="240" w:lineRule="auto"/>
        <w:ind w:left="57"/>
        <w:jc w:val="left"/>
        <w:shd w:val="clear" w:fill="F2F2F2"/>
      </w:pPr>
      <w:r>
        <w:rPr>
          <w:rFonts w:ascii="Consolas" w:hAnsi="Consolas" w:cs="Consolas"/>
          <w:b w:val="0"/>
          <w:i w:val="0"/>
          <w:sz w:val="15"/>
        </w:rPr>
        <w:t xml:space="preserve">      "status": "COMPLETED",</w:t>
      </w:r>
    </w:p>
    <w:p>
      <w:pPr>
        <w:spacing w:after="0" w:before="0" w:line="240" w:lineRule="auto"/>
        <w:ind w:left="57"/>
        <w:jc w:val="left"/>
        <w:shd w:val="clear" w:fill="F2F2F2"/>
      </w:pPr>
      <w:r>
        <w:rPr>
          <w:rFonts w:ascii="Consolas" w:hAnsi="Consolas" w:cs="Consolas"/>
          <w:b w:val="0"/>
          <w:i w:val="0"/>
          <w:sz w:val="15"/>
        </w:rPr>
        <w:t xml:space="preserve">      "certificate_ref": "CT-20260415-001"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"transport": {</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"port_of_loading": "EGDAM",</w:t>
      </w:r>
    </w:p>
    <w:p>
      <w:pPr>
        <w:spacing w:after="0" w:before="0" w:line="240" w:lineRule="auto"/>
        <w:ind w:left="57"/>
        <w:jc w:val="left"/>
        <w:shd w:val="clear" w:fill="F2F2F2"/>
      </w:pPr>
      <w:r>
        <w:rPr>
          <w:rFonts w:ascii="Consolas" w:hAnsi="Consolas" w:cs="Consolas"/>
          <w:b w:val="0"/>
          <w:i w:val="0"/>
          <w:sz w:val="15"/>
        </w:rPr>
        <w:t xml:space="preserve">    "port_of_discharge": "DEHAM",</w:t>
      </w:r>
    </w:p>
    <w:p>
      <w:pPr>
        <w:spacing w:after="0" w:before="0" w:line="240" w:lineRule="auto"/>
        <w:ind w:left="57"/>
        <w:jc w:val="left"/>
        <w:shd w:val="clear" w:fill="F2F2F2"/>
      </w:pPr>
      <w:r>
        <w:rPr>
          <w:rFonts w:ascii="Consolas" w:hAnsi="Consolas" w:cs="Consolas"/>
          <w:b w:val="0"/>
          <w:i w:val="0"/>
          <w:sz w:val="15"/>
        </w:rPr>
        <w:t xml:space="preserve">    "vessel_name": "MSC FIONA",</w:t>
      </w:r>
    </w:p>
    <w:p>
      <w:pPr>
        <w:spacing w:after="0" w:before="0" w:line="240" w:lineRule="auto"/>
        <w:ind w:left="57"/>
        <w:jc w:val="left"/>
        <w:shd w:val="clear" w:fill="F2F2F2"/>
      </w:pPr>
      <w:r>
        <w:rPr>
          <w:rFonts w:ascii="Consolas" w:hAnsi="Consolas" w:cs="Consolas"/>
          <w:b w:val="0"/>
          <w:i w:val="0"/>
          <w:sz w:val="15"/>
        </w:rPr>
        <w:t xml:space="preserve">    "voyage": "MSF123E",</w:t>
      </w:r>
    </w:p>
    <w:p>
      <w:pPr>
        <w:spacing w:after="0" w:before="0" w:line="240" w:lineRule="auto"/>
        <w:ind w:left="57"/>
        <w:jc w:val="left"/>
        <w:shd w:val="clear" w:fill="F2F2F2"/>
      </w:pPr>
      <w:r>
        <w:rPr>
          <w:rFonts w:ascii="Consolas" w:hAnsi="Consolas" w:cs="Consolas"/>
          <w:b w:val="0"/>
          <w:i w:val="0"/>
          <w:sz w:val="15"/>
        </w:rPr>
        <w:t xml:space="preserve">    "container_count": 1,</w:t>
      </w:r>
    </w:p>
    <w:p>
      <w:pPr>
        <w:spacing w:after="0" w:before="0" w:line="240" w:lineRule="auto"/>
        <w:ind w:left="57"/>
        <w:jc w:val="left"/>
        <w:shd w:val="clear" w:fill="F2F2F2"/>
      </w:pPr>
      <w:r>
        <w:rPr>
          <w:rFonts w:ascii="Consolas" w:hAnsi="Consolas" w:cs="Consolas"/>
          <w:b w:val="0"/>
          <w:i w:val="0"/>
          <w:sz w:val="15"/>
        </w:rPr>
        <w:t xml:space="preserve">    "container_numbers": ["MEDU1234567"],</w:t>
      </w:r>
    </w:p>
    <w:p>
      <w:pPr>
        <w:spacing w:after="0" w:before="0" w:line="240" w:lineRule="auto"/>
        <w:ind w:left="57"/>
        <w:jc w:val="left"/>
        <w:shd w:val="clear" w:fill="F2F2F2"/>
      </w:pPr>
      <w:r>
        <w:rPr>
          <w:rFonts w:ascii="Consolas" w:hAnsi="Consolas" w:cs="Consolas"/>
          <w:b w:val="0"/>
          <w:i w:val="0"/>
          <w:sz w:val="15"/>
        </w:rPr>
        <w:t xml:space="preserve">    "partial_shipment": false,</w:t>
      </w:r>
    </w:p>
    <w:p>
      <w:pPr>
        <w:spacing w:after="0" w:before="0" w:line="240" w:lineRule="auto"/>
        <w:ind w:left="57"/>
        <w:jc w:val="left"/>
        <w:shd w:val="clear" w:fill="F2F2F2"/>
      </w:pPr>
      <w:r>
        <w:rPr>
          <w:rFonts w:ascii="Consolas" w:hAnsi="Consolas" w:cs="Consolas"/>
          <w:b w:val="0"/>
          <w:i w:val="0"/>
          <w:sz w:val="15"/>
        </w:rPr>
        <w:t xml:space="preserve">    "transshipment":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"special_instructions": [</w:t>
      </w:r>
    </w:p>
    <w:p>
      <w:pPr>
        <w:spacing w:after="0" w:before="0" w:line="240" w:lineRule="auto"/>
        <w:ind w:left="57"/>
        <w:jc w:val="left"/>
        <w:shd w:val="clear" w:fill="F2F2F2"/>
      </w:pPr>
      <w:r>
        <w:rPr>
          <w:rFonts w:ascii="Consolas" w:hAnsi="Consolas" w:cs="Consolas"/>
          <w:b w:val="0"/>
          <w:i w:val="0"/>
          <w:sz w:val="15"/>
        </w:rPr>
        <w:t xml:space="preserve">    "Arabic labels mandatory on all cartons.",</w:t>
      </w:r>
    </w:p>
    <w:p>
      <w:pPr>
        <w:spacing w:after="0" w:before="0" w:line="240" w:lineRule="auto"/>
        <w:ind w:left="57"/>
        <w:jc w:val="left"/>
        <w:shd w:val="clear" w:fill="F2F2F2"/>
      </w:pPr>
      <w:r>
        <w:rPr>
          <w:rFonts w:ascii="Consolas" w:hAnsi="Consolas" w:cs="Consolas"/>
          <w:b w:val="0"/>
          <w:i w:val="0"/>
          <w:sz w:val="15"/>
        </w:rPr>
        <w:t xml:space="preserve">    "No wooden pallets (ISPM 15 compliant only).",</w:t>
      </w:r>
    </w:p>
    <w:p>
      <w:pPr>
        <w:spacing w:after="0" w:before="0" w:line="240" w:lineRule="auto"/>
        <w:ind w:left="57"/>
        <w:jc w:val="left"/>
        <w:shd w:val="clear" w:fill="F2F2F2"/>
      </w:pPr>
      <w:r>
        <w:rPr>
          <w:rFonts w:ascii="Consolas" w:hAnsi="Consolas" w:cs="Consolas"/>
          <w:b w:val="0"/>
          <w:i w:val="0"/>
          <w:sz w:val="15"/>
        </w:rPr>
        <w:t xml:space="preserve">    "Halal certification required.",</w:t>
      </w:r>
    </w:p>
    <w:p>
      <w:pPr>
        <w:spacing w:after="0" w:before="0" w:line="240" w:lineRule="auto"/>
        <w:ind w:left="57"/>
        <w:jc w:val="left"/>
        <w:shd w:val="clear" w:fill="F2F2F2"/>
      </w:pPr>
      <w:r>
        <w:rPr>
          <w:rFonts w:ascii="Consolas" w:hAnsi="Consolas" w:cs="Consolas"/>
          <w:b w:val="0"/>
          <w:i w:val="0"/>
          <w:sz w:val="15"/>
        </w:rPr>
        <w:t xml:space="preserve">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"Original Bill of Lading to be sent by DHL."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"trade_criticality": "PRIORITY",</w:t>
      </w:r>
    </w:p>
    <w:p>
      <w:pPr>
        <w:spacing w:after="0" w:before="0" w:line="240" w:lineRule="auto"/>
        <w:ind w:left="57"/>
        <w:jc w:val="left"/>
        <w:shd w:val="clear" w:fill="F2F2F2"/>
      </w:pPr>
      <w:r>
        <w:rPr>
          <w:rFonts w:ascii="Consolas" w:hAnsi="Consolas" w:cs="Consolas"/>
          <w:b w:val="0"/>
          <w:i w:val="0"/>
          <w:sz w:val="15"/>
        </w:rPr>
        <w:t xml:space="preserve">  "insurance": {</w:t>
      </w:r>
    </w:p>
    <w:p>
      <w:pPr>
        <w:spacing w:after="0" w:before="0" w:line="240" w:lineRule="auto"/>
        <w:ind w:left="57"/>
        <w:jc w:val="left"/>
        <w:shd w:val="clear" w:fill="F2F2F2"/>
      </w:pPr>
      <w:r>
        <w:rPr>
          <w:rFonts w:ascii="Consolas" w:hAnsi="Consolas" w:cs="Consolas"/>
          <w:b w:val="0"/>
          <w:i w:val="0"/>
          <w:sz w:val="15"/>
        </w:rPr>
        <w:t xml:space="preserve">    "required": true,</w:t>
      </w:r>
    </w:p>
    <w:p>
      <w:pPr>
        <w:spacing w:after="0" w:before="0" w:line="240" w:lineRule="auto"/>
        <w:ind w:left="57"/>
        <w:jc w:val="left"/>
        <w:shd w:val="clear" w:fill="F2F2F2"/>
      </w:pPr>
      <w:r>
        <w:rPr>
          <w:rFonts w:ascii="Consolas" w:hAnsi="Consolas" w:cs="Consolas"/>
          <w:b w:val="0"/>
          <w:i w:val="0"/>
          <w:sz w:val="15"/>
        </w:rPr>
        <w:t xml:space="preserve">    "type": "ALL_RISKS",</w:t>
      </w:r>
    </w:p>
    <w:p>
      <w:pPr>
        <w:spacing w:after="0" w:before="0" w:line="240" w:lineRule="auto"/>
        <w:ind w:left="57"/>
        <w:jc w:val="left"/>
        <w:shd w:val="clear" w:fill="F2F2F2"/>
      </w:pPr>
      <w:r>
        <w:rPr>
          <w:rFonts w:ascii="Consolas" w:hAnsi="Consolas" w:cs="Consolas"/>
          <w:b w:val="0"/>
          <w:i w:val="0"/>
          <w:sz w:val="15"/>
        </w:rPr>
        <w:t xml:space="preserve">    "coverage_percent": 110,</w:t>
      </w:r>
    </w:p>
    <w:p>
      <w:pPr>
        <w:spacing w:after="0" w:before="0" w:line="240" w:lineRule="auto"/>
        <w:ind w:left="57"/>
        <w:jc w:val="left"/>
        <w:shd w:val="clear" w:fill="F2F2F2"/>
      </w:pPr>
      <w:r>
        <w:rPr>
          <w:rFonts w:ascii="Consolas" w:hAnsi="Consolas" w:cs="Consolas"/>
          <w:b w:val="0"/>
          <w:i w:val="0"/>
          <w:sz w:val="15"/>
        </w:rPr>
        <w:t xml:space="preserve">    "policy_number": "INS-2026-001",</w:t>
      </w:r>
    </w:p>
    <w:p>
      <w:pPr>
        <w:spacing w:after="0" w:before="0" w:line="240" w:lineRule="auto"/>
        <w:ind w:left="57"/>
        <w:jc w:val="left"/>
        <w:shd w:val="clear" w:fill="F2F2F2"/>
      </w:pPr>
      <w:r>
        <w:rPr>
          <w:rFonts w:ascii="Consolas" w:hAnsi="Consolas" w:cs="Consolas"/>
          <w:b w:val="0"/>
          <w:i w:val="0"/>
          <w:sz w:val="15"/>
        </w:rPr>
        <w:t xml:space="preserve">    "certificate_attached":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"commercial_settlement": {</w:t>
      </w:r>
    </w:p>
    <w:p>
      <w:pPr>
        <w:spacing w:after="0" w:before="0" w:line="240" w:lineRule="auto"/>
        <w:ind w:left="57"/>
        <w:jc w:val="left"/>
        <w:shd w:val="clear" w:fill="F2F2F2"/>
      </w:pPr>
      <w:r>
        <w:rPr>
          <w:rFonts w:ascii="Consolas" w:hAnsi="Consolas" w:cs="Consolas"/>
          <w:b w:val="0"/>
          <w:i w:val="0"/>
          <w:sz w:val="15"/>
        </w:rPr>
        <w:t xml:space="preserve">    "structure": "DOCUMENTARY_COLLECTION",</w:t>
      </w:r>
    </w:p>
    <w:p>
      <w:pPr>
        <w:spacing w:after="0" w:before="0" w:line="240" w:lineRule="auto"/>
        <w:ind w:left="57"/>
        <w:jc w:val="left"/>
        <w:shd w:val="clear" w:fill="F2F2F2"/>
      </w:pPr>
      <w:r>
        <w:rPr>
          <w:rFonts w:ascii="Consolas" w:hAnsi="Consolas" w:cs="Consolas"/>
          <w:b w:val="0"/>
          <w:i w:val="0"/>
          <w:sz w:val="15"/>
        </w:rPr>
        <w:t xml:space="preserve">    "timing": "AGAINST_DOCUMENTS",</w:t>
      </w:r>
    </w:p>
    <w:p>
      <w:pPr>
        <w:spacing w:after="0" w:before="0" w:line="240" w:lineRule="auto"/>
        <w:ind w:left="57"/>
        <w:jc w:val="left"/>
        <w:shd w:val="clear" w:fill="F2F2F2"/>
      </w:pPr>
      <w:r>
        <w:rPr>
          <w:rFonts w:ascii="Consolas" w:hAnsi="Consolas" w:cs="Consolas"/>
          <w:b w:val="0"/>
          <w:i w:val="0"/>
          <w:sz w:val="15"/>
        </w:rPr>
        <w:t xml:space="preserve">    "credit_period": 30,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"financing_interest": "NONE",</w:t>
      </w:r>
    </w:p>
    <w:p>
      <w:pPr>
        <w:spacing w:after="0" w:before="0" w:line="240" w:lineRule="auto"/>
        <w:ind w:left="57"/>
        <w:jc w:val="left"/>
        <w:shd w:val="clear" w:fill="F2F2F2"/>
      </w:pPr>
      <w:r>
        <w:rPr>
          <w:rFonts w:ascii="Consolas" w:hAnsi="Consolas" w:cs="Consolas"/>
          <w:b w:val="0"/>
          <w:i w:val="0"/>
          <w:sz w:val="15"/>
        </w:rPr>
        <w:t xml:space="preserve">    "flexibility": "FLEXIBLE"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"document_hashes": {</w:t>
      </w:r>
    </w:p>
    <w:p>
      <w:pPr>
        <w:spacing w:after="0" w:before="0" w:line="240" w:lineRule="auto"/>
        <w:ind w:left="57"/>
        <w:jc w:val="left"/>
        <w:shd w:val="clear" w:fill="F2F2F2"/>
      </w:pPr>
      <w:r>
        <w:rPr>
          <w:rFonts w:ascii="Consolas" w:hAnsi="Consolas" w:cs="Consolas"/>
          <w:b w:val="0"/>
          <w:i w:val="0"/>
          <w:sz w:val="15"/>
        </w:rPr>
        <w:t xml:space="preserve">    "commercial_invoice": "sha256:abc123...",</w:t>
      </w:r>
    </w:p>
    <w:p>
      <w:pPr>
        <w:spacing w:after="0" w:before="0" w:line="240" w:lineRule="auto"/>
        <w:ind w:left="57"/>
        <w:jc w:val="left"/>
        <w:shd w:val="clear" w:fill="F2F2F2"/>
      </w:pPr>
      <w:r>
        <w:rPr>
          <w:rFonts w:ascii="Consolas" w:hAnsi="Consolas" w:cs="Consolas"/>
          <w:b w:val="0"/>
          <w:i w:val="0"/>
          <w:sz w:val="15"/>
        </w:rPr>
        <w:t xml:space="preserve">    "packing_list": "sha256:def456...",</w:t>
      </w:r>
    </w:p>
    <w:p>
      <w:pPr>
        <w:spacing w:after="0" w:before="0" w:line="240" w:lineRule="auto"/>
        <w:ind w:left="57"/>
        <w:jc w:val="left"/>
        <w:shd w:val="clear" w:fill="F2F2F2"/>
      </w:pPr>
      <w:r>
        <w:rPr>
          <w:rFonts w:ascii="Consolas" w:hAnsi="Consolas" w:cs="Consolas"/>
          <w:b w:val="0"/>
          <w:i w:val="0"/>
          <w:sz w:val="15"/>
        </w:rPr>
        <w:t xml:space="preserve">    "bill_of_lading": null,</w:t>
      </w:r>
    </w:p>
    <w:p>
      <w:pPr>
        <w:spacing w:after="0" w:before="0" w:line="240" w:lineRule="auto"/>
        <w:ind w:left="57"/>
        <w:jc w:val="left"/>
        <w:shd w:val="clear" w:fill="F2F2F2"/>
      </w:pPr>
      <w:r>
        <w:rPr>
          <w:rFonts w:ascii="Consolas" w:hAnsi="Consolas" w:cs="Consolas"/>
          <w:b w:val="0"/>
          <w:i w:val="0"/>
          <w:sz w:val="15"/>
        </w:rPr>
        <w:t xml:space="preserve">    "phytosanitary_certificate": null,</w:t>
      </w:r>
    </w:p>
    <w:p>
      <w:pPr>
        <w:spacing w:after="0" w:before="0" w:line="240" w:lineRule="auto"/>
        <w:ind w:left="57"/>
        <w:jc w:val="left"/>
        <w:shd w:val="clear" w:fill="F2F2F2"/>
      </w:pPr>
      <w:r>
        <w:rPr>
          <w:rFonts w:ascii="Consolas" w:hAnsi="Consolas" w:cs="Consolas"/>
          <w:b w:val="0"/>
          <w:i w:val="0"/>
          <w:sz w:val="15"/>
        </w:rPr>
        <w:t xml:space="preserve">    "health_certificate": null,</w:t>
      </w:r>
    </w:p>
    <w:p>
      <w:pPr>
        <w:spacing w:after="0" w:before="0" w:line="240" w:lineRule="auto"/>
        <w:ind w:left="57"/>
        <w:jc w:val="left"/>
        <w:shd w:val="clear" w:fill="F2F2F2"/>
      </w:pPr>
      <w:r>
        <w:rPr>
          <w:rFonts w:ascii="Consolas" w:hAnsi="Consolas" w:cs="Consolas"/>
          <w:b w:val="0"/>
          <w:i w:val="0"/>
          <w:sz w:val="15"/>
        </w:rPr>
        <w:t xml:space="preserve">    "certificate_of_origin": null,</w:t>
      </w:r>
    </w:p>
    <w:p>
      <w:pPr>
        <w:spacing w:after="0" w:before="0" w:line="240" w:lineRule="auto"/>
        <w:ind w:left="57"/>
        <w:jc w:val="left"/>
        <w:shd w:val="clear" w:fill="F2F2F2"/>
      </w:pPr>
      <w:r>
        <w:rPr>
          <w:rFonts w:ascii="Consolas" w:hAnsi="Consolas" w:cs="Consolas"/>
          <w:b w:val="0"/>
          <w:i w:val="0"/>
          <w:sz w:val="15"/>
        </w:rPr>
        <w:t xml:space="preserve">    "insurance_certificate": "sha256:ghi789..."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"submission": {</w:t>
      </w:r>
    </w:p>
    <w:p>
      <w:pPr>
        <w:spacing w:after="0" w:before="0" w:line="240" w:lineRule="auto"/>
        <w:ind w:left="57"/>
        <w:jc w:val="left"/>
        <w:shd w:val="clear" w:fill="F2F2F2"/>
      </w:pPr>
      <w:r>
        <w:rPr>
          <w:rFonts w:ascii="Consolas" w:hAnsi="Consolas" w:cs="Consolas"/>
          <w:b w:val="0"/>
          <w:i w:val="0"/>
          <w:sz w:val="15"/>
        </w:rPr>
        <w:t xml:space="preserve">    "timestamp": "2026-06-20T10:30:00Z",</w:t>
      </w:r>
    </w:p>
    <w:p>
      <w:pPr>
        <w:spacing w:after="0" w:before="0" w:line="240" w:lineRule="auto"/>
        <w:ind w:left="57"/>
        <w:jc w:val="left"/>
        <w:shd w:val="clear" w:fill="F2F2F2"/>
      </w:pPr>
      <w:r>
        <w:rPr>
          <w:rFonts w:ascii="Consolas" w:hAnsi="Consolas" w:cs="Consolas"/>
          <w:b w:val="0"/>
          <w:i w:val="0"/>
          <w:sz w:val="15"/>
        </w:rPr>
        <w:t xml:space="preserve">    "submitted_by_gtid": "SGTX-EG-TRD-002139-7F3A",</w:t>
      </w:r>
    </w:p>
    <w:p>
      <w:pPr>
        <w:spacing w:after="0" w:before="0" w:line="240" w:lineRule="auto"/>
        <w:ind w:left="57"/>
        <w:jc w:val="left"/>
        <w:shd w:val="clear" w:fill="F2F2F2"/>
      </w:pPr>
      <w:r>
        <w:rPr>
          <w:rFonts w:ascii="Consolas" w:hAnsi="Consolas" w:cs="Consolas"/>
          <w:b w:val="0"/>
          <w:i w:val="0"/>
          <w:sz w:val="15"/>
        </w:rPr>
        <w:t xml:space="preserve">    "submitted_by_employee_id": "emp-001",</w:t>
      </w:r>
    </w:p>
    <w:p>
      <w:pPr>
        <w:spacing w:after="0" w:before="0" w:line="240" w:lineRule="auto"/>
        <w:ind w:left="57"/>
        <w:jc w:val="left"/>
        <w:shd w:val="clear" w:fill="F2F2F2"/>
      </w:pPr>
      <w:r>
        <w:rPr>
          <w:rFonts w:ascii="Consolas" w:hAnsi="Consolas" w:cs="Consolas"/>
          <w:b w:val="0"/>
          <w:i w:val="0"/>
          <w:sz w:val="15"/>
        </w:rPr>
        <w:t xml:space="preserve">    "signature": "ed25519:...",</w:t>
      </w:r>
    </w:p>
    <w:p>
      <w:pPr>
        <w:spacing w:after="0" w:before="0" w:line="240" w:lineRule="auto"/>
        <w:ind w:left="57"/>
        <w:jc w:val="left"/>
        <w:shd w:val="clear" w:fill="F2F2F2"/>
      </w:pPr>
      <w:r>
        <w:rPr>
          <w:rFonts w:ascii="Consolas" w:hAnsi="Consolas" w:cs="Consolas"/>
          <w:b w:val="0"/>
          <w:i w:val="0"/>
          <w:sz w:val="15"/>
        </w:rPr>
        <w:t xml:space="preserve">    "loom_hash": "sha256:jkl012..."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8.9.2.2 SAD Field Mapping</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SAD Field</w:t>
            </w:r>
          </w:p>
        </w:tc>
        <w:tc>
          <w:tcPr>
            <w:tcW w:type="dxa" w:w="4819"/>
            <w:shd w:val="clear" w:fill="D9E2F3"/>
          </w:tcPr>
          <w:p>
            <w:pPr>
              <w:spacing w:after="20" w:before="20" w:line="240" w:lineRule="auto"/>
            </w:pPr>
            <w:r/>
            <w:r>
              <w:rPr>
                <w:rFonts w:ascii="Arial" w:hAnsi="Arial" w:cs="Arial"/>
                <w:b/>
                <w:i w:val="0"/>
                <w:sz w:val="18"/>
              </w:rPr>
              <w:t>Source</w:t>
            </w:r>
          </w:p>
        </w:tc>
      </w:tr>
      <w:tr>
        <w:tc>
          <w:tcPr>
            <w:tcW w:type="dxa" w:w="4819"/>
          </w:tcPr>
          <w:p>
            <w:pPr>
              <w:spacing w:after="20" w:before="20" w:line="240" w:lineRule="auto"/>
            </w:pPr>
            <w:r/>
            <w:r>
              <w:rPr>
                <w:rFonts w:ascii="Arial" w:hAnsi="Arial" w:cs="Arial"/>
                <w:b w:val="0"/>
                <w:i w:val="0"/>
                <w:sz w:val="17"/>
              </w:rPr>
              <w:t>declaration_type</w:t>
            </w:r>
          </w:p>
        </w:tc>
        <w:tc>
          <w:tcPr>
            <w:tcW w:type="dxa" w:w="4819"/>
          </w:tcPr>
          <w:p>
            <w:pPr>
              <w:spacing w:after="20" w:before="20" w:line="240" w:lineRule="auto"/>
            </w:pPr>
            <w:r/>
            <w:r>
              <w:rPr>
                <w:rFonts w:ascii="Arial" w:hAnsi="Arial" w:cs="Arial"/>
                <w:b w:val="0"/>
                <w:i w:val="0"/>
                <w:sz w:val="17"/>
              </w:rPr>
              <w:t>Trade direction (EXPORT/IMPORT)</w:t>
            </w:r>
          </w:p>
        </w:tc>
      </w:tr>
      <w:tr>
        <w:tc>
          <w:tcPr>
            <w:tcW w:type="dxa" w:w="4819"/>
          </w:tcPr>
          <w:p>
            <w:pPr>
              <w:spacing w:after="20" w:before="20" w:line="240" w:lineRule="auto"/>
            </w:pPr>
            <w:r/>
            <w:r>
              <w:rPr>
                <w:rFonts w:ascii="Arial" w:hAnsi="Arial" w:cs="Arial"/>
                <w:b w:val="0"/>
                <w:i w:val="0"/>
                <w:sz w:val="17"/>
              </w:rPr>
              <w:t>trader_gtid / broker_gtid</w:t>
            </w:r>
          </w:p>
        </w:tc>
        <w:tc>
          <w:tcPr>
            <w:tcW w:type="dxa" w:w="4819"/>
          </w:tcPr>
          <w:p>
            <w:pPr>
              <w:spacing w:after="20" w:before="20" w:line="240" w:lineRule="auto"/>
            </w:pPr>
            <w:r/>
            <w:r>
              <w:rPr>
                <w:rFonts w:ascii="Arial" w:hAnsi="Arial" w:cs="Arial"/>
                <w:b w:val="0"/>
                <w:i w:val="0"/>
                <w:sz w:val="17"/>
              </w:rPr>
              <w:t>Tenant identity / selected broker</w:t>
            </w:r>
          </w:p>
        </w:tc>
      </w:tr>
      <w:tr>
        <w:tc>
          <w:tcPr>
            <w:tcW w:type="dxa" w:w="4819"/>
          </w:tcPr>
          <w:p>
            <w:pPr>
              <w:spacing w:after="20" w:before="20" w:line="240" w:lineRule="auto"/>
            </w:pPr>
            <w:r/>
            <w:r>
              <w:rPr>
                <w:rFonts w:ascii="Arial" w:hAnsi="Arial" w:cs="Arial"/>
                <w:b w:val="0"/>
                <w:i w:val="0"/>
                <w:sz w:val="17"/>
              </w:rPr>
              <w:t>ustn, acid, contract_id</w:t>
            </w:r>
          </w:p>
        </w:tc>
        <w:tc>
          <w:tcPr>
            <w:tcW w:type="dxa" w:w="4819"/>
          </w:tcPr>
          <w:p>
            <w:pPr>
              <w:spacing w:after="20" w:before="20" w:line="240" w:lineRule="auto"/>
            </w:pPr>
            <w:r/>
            <w:r>
              <w:rPr>
                <w:rFonts w:ascii="Arial" w:hAnsi="Arial" w:cs="Arial"/>
                <w:b w:val="0"/>
                <w:i w:val="0"/>
                <w:sz w:val="17"/>
              </w:rPr>
              <w:t>Canonical trade identifiers</w:t>
            </w:r>
          </w:p>
        </w:tc>
      </w:tr>
      <w:tr>
        <w:tc>
          <w:tcPr>
            <w:tcW w:type="dxa" w:w="4819"/>
          </w:tcPr>
          <w:p>
            <w:pPr>
              <w:spacing w:after="20" w:before="20" w:line="240" w:lineRule="auto"/>
            </w:pPr>
            <w:r/>
            <w:r>
              <w:rPr>
                <w:rFonts w:ascii="Arial" w:hAnsi="Arial" w:cs="Arial"/>
                <w:b w:val="0"/>
                <w:i w:val="0"/>
                <w:sz w:val="17"/>
              </w:rPr>
              <w:t>invoice.*</w:t>
            </w:r>
          </w:p>
        </w:tc>
        <w:tc>
          <w:tcPr>
            <w:tcW w:type="dxa" w:w="4819"/>
          </w:tcPr>
          <w:p>
            <w:pPr>
              <w:spacing w:after="20" w:before="20" w:line="240" w:lineRule="auto"/>
            </w:pPr>
            <w:r/>
            <w:r>
              <w:rPr>
                <w:rFonts w:ascii="Arial" w:hAnsi="Arial" w:cs="Arial"/>
                <w:b w:val="0"/>
                <w:i w:val="0"/>
                <w:sz w:val="17"/>
              </w:rPr>
              <w:t>Generated invoice (number, value, ETA UUID)</w:t>
            </w:r>
          </w:p>
        </w:tc>
      </w:tr>
      <w:tr>
        <w:tc>
          <w:tcPr>
            <w:tcW w:type="dxa" w:w="4819"/>
          </w:tcPr>
          <w:p>
            <w:pPr>
              <w:spacing w:after="20" w:before="20" w:line="240" w:lineRule="auto"/>
            </w:pPr>
            <w:r/>
            <w:r>
              <w:rPr>
                <w:rFonts w:ascii="Arial" w:hAnsi="Arial" w:cs="Arial"/>
                <w:b w:val="0"/>
                <w:i w:val="0"/>
                <w:sz w:val="17"/>
              </w:rPr>
              <w:t>goods[].*</w:t>
            </w:r>
          </w:p>
        </w:tc>
        <w:tc>
          <w:tcPr>
            <w:tcW w:type="dxa" w:w="4819"/>
          </w:tcPr>
          <w:p>
            <w:pPr>
              <w:spacing w:after="20" w:before="20" w:line="240" w:lineRule="auto"/>
            </w:pPr>
            <w:r/>
            <w:r>
              <w:rPr>
                <w:rFonts w:ascii="Arial" w:hAnsi="Arial" w:cs="Arial"/>
                <w:b w:val="0"/>
                <w:i w:val="0"/>
                <w:sz w:val="17"/>
              </w:rPr>
              <w:t>Packed commodities: HS code, weights (Section 8.3), packages, pallets, invoice value, tolerance, acceptance criteria</w:t>
            </w:r>
          </w:p>
        </w:tc>
      </w:tr>
      <w:tr>
        <w:tc>
          <w:tcPr>
            <w:tcW w:type="dxa" w:w="4819"/>
          </w:tcPr>
          <w:p>
            <w:pPr>
              <w:spacing w:after="20" w:before="20" w:line="240" w:lineRule="auto"/>
            </w:pPr>
            <w:r/>
            <w:r>
              <w:rPr>
                <w:rFonts w:ascii="Arial" w:hAnsi="Arial" w:cs="Arial"/>
                <w:b w:val="0"/>
                <w:i w:val="0"/>
                <w:sz w:val="17"/>
              </w:rPr>
              <w:t>certificate_requests[]</w:t>
            </w:r>
          </w:p>
        </w:tc>
        <w:tc>
          <w:tcPr>
            <w:tcW w:type="dxa" w:w="4819"/>
          </w:tcPr>
          <w:p>
            <w:pPr>
              <w:spacing w:after="20" w:before="20" w:line="240" w:lineRule="auto"/>
            </w:pPr>
            <w:r/>
            <w:r>
              <w:rPr>
                <w:rFonts w:ascii="Arial" w:hAnsi="Arial" w:cs="Arial"/>
                <w:b w:val="0"/>
                <w:i w:val="0"/>
                <w:sz w:val="17"/>
              </w:rPr>
              <w:t>Required certificates per commodity and destination</w:t>
            </w:r>
          </w:p>
        </w:tc>
      </w:tr>
      <w:tr>
        <w:tc>
          <w:tcPr>
            <w:tcW w:type="dxa" w:w="4819"/>
          </w:tcPr>
          <w:p>
            <w:pPr>
              <w:spacing w:after="20" w:before="20" w:line="240" w:lineRule="auto"/>
            </w:pPr>
            <w:r/>
            <w:r>
              <w:rPr>
                <w:rFonts w:ascii="Arial" w:hAnsi="Arial" w:cs="Arial"/>
                <w:b w:val="0"/>
                <w:i w:val="0"/>
                <w:sz w:val="17"/>
              </w:rPr>
              <w:t>transport.*</w:t>
            </w:r>
          </w:p>
        </w:tc>
        <w:tc>
          <w:tcPr>
            <w:tcW w:type="dxa" w:w="4819"/>
          </w:tcPr>
          <w:p>
            <w:pPr>
              <w:spacing w:after="20" w:before="20" w:line="240" w:lineRule="auto"/>
            </w:pPr>
            <w:r/>
            <w:r>
              <w:rPr>
                <w:rFonts w:ascii="Arial" w:hAnsi="Arial" w:cs="Arial"/>
                <w:b w:val="0"/>
                <w:i w:val="0"/>
                <w:sz w:val="17"/>
              </w:rPr>
              <w:t>Incoterm, ports, vessel, containers, partial/transshipment flags</w:t>
            </w:r>
          </w:p>
        </w:tc>
      </w:tr>
      <w:tr>
        <w:tc>
          <w:tcPr>
            <w:tcW w:type="dxa" w:w="4819"/>
          </w:tcPr>
          <w:p>
            <w:pPr>
              <w:spacing w:after="20" w:before="20" w:line="240" w:lineRule="auto"/>
            </w:pPr>
            <w:r/>
            <w:r>
              <w:rPr>
                <w:rFonts w:ascii="Arial" w:hAnsi="Arial" w:cs="Arial"/>
                <w:b w:val="0"/>
                <w:i w:val="0"/>
                <w:sz w:val="17"/>
              </w:rPr>
              <w:t>special_instructions[]</w:t>
            </w:r>
          </w:p>
        </w:tc>
        <w:tc>
          <w:tcPr>
            <w:tcW w:type="dxa" w:w="4819"/>
          </w:tcPr>
          <w:p>
            <w:pPr>
              <w:spacing w:after="20" w:before="20" w:line="240" w:lineRule="auto"/>
            </w:pPr>
            <w:r/>
            <w:r>
              <w:rPr>
                <w:rFonts w:ascii="Arial" w:hAnsi="Arial" w:cs="Arial"/>
                <w:b w:val="0"/>
                <w:i w:val="0"/>
                <w:sz w:val="17"/>
              </w:rPr>
              <w:t>Buyer's special trade instructions</w:t>
            </w:r>
          </w:p>
        </w:tc>
      </w:tr>
      <w:tr>
        <w:tc>
          <w:tcPr>
            <w:tcW w:type="dxa" w:w="4819"/>
          </w:tcPr>
          <w:p>
            <w:pPr>
              <w:spacing w:after="20" w:before="20" w:line="240" w:lineRule="auto"/>
            </w:pPr>
            <w:r/>
            <w:r>
              <w:rPr>
                <w:rFonts w:ascii="Arial" w:hAnsi="Arial" w:cs="Arial"/>
                <w:b w:val="0"/>
                <w:i w:val="0"/>
                <w:sz w:val="17"/>
              </w:rPr>
              <w:t>insurance.*</w:t>
            </w:r>
          </w:p>
        </w:tc>
        <w:tc>
          <w:tcPr>
            <w:tcW w:type="dxa" w:w="4819"/>
          </w:tcPr>
          <w:p>
            <w:pPr>
              <w:spacing w:after="20" w:before="20" w:line="240" w:lineRule="auto"/>
            </w:pPr>
            <w:r/>
            <w:r>
              <w:rPr>
                <w:rFonts w:ascii="Arial" w:hAnsi="Arial" w:cs="Arial"/>
                <w:b w:val="0"/>
                <w:i w:val="0"/>
                <w:sz w:val="17"/>
              </w:rPr>
              <w:t>Insurance requirement</w:t>
            </w:r>
          </w:p>
        </w:tc>
      </w:tr>
      <w:tr>
        <w:tc>
          <w:tcPr>
            <w:tcW w:type="dxa" w:w="4819"/>
          </w:tcPr>
          <w:p>
            <w:pPr>
              <w:spacing w:after="20" w:before="20" w:line="240" w:lineRule="auto"/>
            </w:pPr>
            <w:r/>
            <w:r>
              <w:rPr>
                <w:rFonts w:ascii="Arial" w:hAnsi="Arial" w:cs="Arial"/>
                <w:b w:val="0"/>
                <w:i w:val="0"/>
                <w:sz w:val="17"/>
              </w:rPr>
              <w:t>commercial_settlement.*</w:t>
            </w:r>
          </w:p>
        </w:tc>
        <w:tc>
          <w:tcPr>
            <w:tcW w:type="dxa" w:w="4819"/>
          </w:tcPr>
          <w:p>
            <w:pPr>
              <w:spacing w:after="20" w:before="20" w:line="240" w:lineRule="auto"/>
            </w:pPr>
            <w:r/>
            <w:r>
              <w:rPr>
                <w:rFonts w:ascii="Arial" w:hAnsi="Arial" w:cs="Arial"/>
                <w:b w:val="0"/>
                <w:i w:val="0"/>
                <w:sz w:val="17"/>
              </w:rPr>
              <w:t>Commercial settlement structure</w:t>
            </w:r>
          </w:p>
        </w:tc>
      </w:tr>
      <w:tr>
        <w:tc>
          <w:tcPr>
            <w:tcW w:type="dxa" w:w="4819"/>
          </w:tcPr>
          <w:p>
            <w:pPr>
              <w:spacing w:after="20" w:before="20" w:line="240" w:lineRule="auto"/>
            </w:pPr>
            <w:r/>
            <w:r>
              <w:rPr>
                <w:rFonts w:ascii="Arial" w:hAnsi="Arial" w:cs="Arial"/>
                <w:b w:val="0"/>
                <w:i w:val="0"/>
                <w:sz w:val="17"/>
              </w:rPr>
              <w:t>document_hashes.*</w:t>
            </w:r>
          </w:p>
        </w:tc>
        <w:tc>
          <w:tcPr>
            <w:tcW w:type="dxa" w:w="4819"/>
          </w:tcPr>
          <w:p>
            <w:pPr>
              <w:spacing w:after="20" w:before="20" w:line="240" w:lineRule="auto"/>
            </w:pPr>
            <w:r/>
            <w:r>
              <w:rPr>
                <w:rFonts w:ascii="Arial" w:hAnsi="Arial" w:cs="Arial"/>
                <w:b w:val="0"/>
                <w:i w:val="0"/>
                <w:sz w:val="17"/>
              </w:rPr>
              <w:t>SHA256 hashes of canonical documents</w:t>
            </w:r>
          </w:p>
        </w:tc>
      </w:tr>
      <w:tr>
        <w:tc>
          <w:tcPr>
            <w:tcW w:type="dxa" w:w="4819"/>
          </w:tcPr>
          <w:p>
            <w:pPr>
              <w:spacing w:after="20" w:before="20" w:line="240" w:lineRule="auto"/>
            </w:pPr>
            <w:r/>
            <w:r>
              <w:rPr>
                <w:rFonts w:ascii="Arial" w:hAnsi="Arial" w:cs="Arial"/>
                <w:b w:val="0"/>
                <w:i w:val="0"/>
                <w:sz w:val="17"/>
              </w:rPr>
              <w:t>submission.*</w:t>
            </w:r>
          </w:p>
        </w:tc>
        <w:tc>
          <w:tcPr>
            <w:tcW w:type="dxa" w:w="4819"/>
          </w:tcPr>
          <w:p>
            <w:pPr>
              <w:spacing w:after="20" w:before="20" w:line="240" w:lineRule="auto"/>
            </w:pPr>
            <w:r/>
            <w:r>
              <w:rPr>
                <w:rFonts w:ascii="Arial" w:hAnsi="Arial" w:cs="Arial"/>
                <w:b w:val="0"/>
                <w:i w:val="0"/>
                <w:sz w:val="17"/>
              </w:rPr>
              <w:t>Filer identity, signature, Loom hash</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8.9.3 Broker Certification Workflow</w:t>
      </w:r>
    </w:p>
    <w:p>
      <w:pPr>
        <w:keepNext/>
        <w:spacing w:before="140" w:after="60"/>
        <w:outlineLvl w:val="3"/>
      </w:pPr>
      <w:r>
        <w:rPr>
          <w:rFonts w:ascii="Arial" w:hAnsi="Arial" w:cs="Arial"/>
          <w:b/>
          <w:i/>
          <w:color w:val="333333"/>
          <w:sz w:val="22"/>
        </w:rPr>
        <w:t>8.9.3.1 Overview</w:t>
      </w:r>
    </w:p>
    <w:p>
      <w:pPr>
        <w:spacing w:after="80" w:line="293" w:lineRule="auto"/>
        <w:jc w:val="left"/>
      </w:pPr>
      <w:r>
        <w:rPr>
          <w:rFonts w:ascii="Times New Roman" w:hAnsi="Times New Roman" w:cs="Times New Roman"/>
          <w:b w:val="0"/>
          <w:i w:val="0"/>
          <w:sz w:val="22"/>
        </w:rPr>
        <w:t>If the seller selects a customs broker for certification, the declaration must be reviewed, certified, and submitted under the broker's digital seal. Certification options: direct submission by the seller under the seller's e-Seal, or broker certification under the broker's licence and seal.</w:t>
      </w:r>
    </w:p>
    <w:p>
      <w:pPr>
        <w:keepNext/>
        <w:spacing w:before="140" w:after="60"/>
        <w:outlineLvl w:val="3"/>
      </w:pPr>
      <w:r>
        <w:rPr>
          <w:rFonts w:ascii="Arial" w:hAnsi="Arial" w:cs="Arial"/>
          <w:b/>
          <w:i/>
          <w:color w:val="333333"/>
          <w:sz w:val="22"/>
        </w:rPr>
        <w:t>8.9.3.2 Certification Workflow</w:t>
      </w:r>
    </w:p>
    <w:p>
      <w:pPr>
        <w:spacing w:after="80" w:line="293" w:lineRule="auto"/>
        <w:jc w:val="left"/>
      </w:pPr>
      <w:r>
        <w:rPr>
          <w:rFonts w:ascii="Times New Roman" w:hAnsi="Times New Roman" w:cs="Times New Roman"/>
          <w:b w:val="0"/>
          <w:i w:val="0"/>
          <w:sz w:val="22"/>
        </w:rPr>
        <w:t>1. Seller selects broker in Logistics Builder (Mode B). 2. Broker receives Smart Inbox: "Certification requested for USTN…". 3. Broker reviews the generated declaration (read-only, with confidence scores). 4. Low-confidence fields are highlighted (confidence &lt;85%). 5. Broker clicks "Certify" — adds digital seal, licence number, timestamp. 6. SGTX submits the declaration to Nafeza under the broker's credentials (mTLS). 7. Declaration ID and status stored. 8. Broker receives confirmation; seller receives notification.</w:t>
      </w:r>
    </w:p>
    <w:p>
      <w:pPr>
        <w:keepNext/>
        <w:spacing w:before="140" w:after="60"/>
        <w:outlineLvl w:val="3"/>
      </w:pPr>
      <w:r>
        <w:rPr>
          <w:rFonts w:ascii="Arial" w:hAnsi="Arial" w:cs="Arial"/>
          <w:b/>
          <w:i/>
          <w:color w:val="333333"/>
          <w:sz w:val="22"/>
        </w:rPr>
        <w:t>8.9.3.3 Broker Review UI</w:t>
      </w:r>
    </w:p>
    <w:p>
      <w:pPr>
        <w:spacing w:after="0" w:before="0" w:line="240" w:lineRule="auto"/>
        <w:ind w:left="57"/>
        <w:jc w:val="left"/>
        <w:shd w:val="clear" w:fill="F2F2F2"/>
      </w:pPr>
      <w:r>
        <w:rPr>
          <w:rFonts w:ascii="Consolas" w:hAnsi="Consolas" w:cs="Consolas"/>
          <w:b w:val="0"/>
          <w:i w:val="0"/>
          <w:sz w:val="15"/>
        </w:rPr>
        <w:t>CERTIFICATION REQUEST — SGTX-EG-26-F3A-1</w:t>
      </w:r>
    </w:p>
    <w:p>
      <w:pPr>
        <w:spacing w:after="0" w:before="0" w:line="240" w:lineRule="auto"/>
        <w:ind w:left="57"/>
        <w:jc w:val="left"/>
        <w:shd w:val="clear" w:fill="F2F2F2"/>
      </w:pPr>
      <w:r>
        <w:rPr>
          <w:rFonts w:ascii="Consolas" w:hAnsi="Consolas" w:cs="Consolas"/>
          <w:b w:val="0"/>
          <w:i w:val="0"/>
          <w:sz w:val="15"/>
        </w:rPr>
        <w:t>Seller: Strawberry Export Co. (SGTX-EG-TRD-002139-7F3A)</w:t>
      </w:r>
    </w:p>
    <w:p>
      <w:pPr>
        <w:spacing w:after="0" w:before="0" w:line="240" w:lineRule="auto"/>
        <w:ind w:left="57"/>
        <w:jc w:val="left"/>
        <w:shd w:val="clear" w:fill="F2F2F2"/>
      </w:pPr>
      <w:r>
        <w:rPr>
          <w:rFonts w:ascii="Consolas" w:hAnsi="Consolas" w:cs="Consolas"/>
          <w:b w:val="0"/>
          <w:i w:val="0"/>
          <w:sz w:val="15"/>
        </w:rPr>
        <w:t>Buyer:  European Importer GmbH (SGTX-DE-TRD-001234-5B6C)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DECLARATION PREVIEW (Read-Only)</w:t>
      </w:r>
    </w:p>
    <w:p>
      <w:pPr>
        <w:spacing w:after="0" w:before="0" w:line="240" w:lineRule="auto"/>
        <w:ind w:left="57"/>
        <w:jc w:val="left"/>
        <w:shd w:val="clear" w:fill="F2F2F2"/>
      </w:pPr>
      <w:r>
        <w:rPr>
          <w:rFonts w:ascii="Consolas" w:hAnsi="Consolas" w:cs="Consolas"/>
          <w:b w:val="0"/>
          <w:i w:val="0"/>
          <w:sz w:val="15"/>
        </w:rPr>
        <w:t xml:space="preserve">  Declaration Type: EXPORT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ACID: ACI20260415-0001</w:t>
      </w:r>
    </w:p>
    <w:p>
      <w:pPr>
        <w:spacing w:after="0" w:before="0" w:line="240" w:lineRule="auto"/>
        <w:ind w:left="57"/>
        <w:jc w:val="left"/>
        <w:shd w:val="clear" w:fill="F2F2F2"/>
      </w:pPr>
      <w:r>
        <w:rPr>
          <w:rFonts w:ascii="Consolas" w:hAnsi="Consolas" w:cs="Consolas"/>
          <w:b w:val="0"/>
          <w:i w:val="0"/>
          <w:sz w:val="15"/>
        </w:rPr>
        <w:t xml:space="preserve">  Goods:</w:t>
      </w:r>
    </w:p>
    <w:p>
      <w:pPr>
        <w:spacing w:after="0" w:before="0" w:line="240" w:lineRule="auto"/>
        <w:ind w:left="57"/>
        <w:jc w:val="left"/>
        <w:shd w:val="clear" w:fill="F2F2F2"/>
      </w:pPr>
      <w:r>
        <w:rPr>
          <w:rFonts w:ascii="Consolas" w:hAnsi="Consolas" w:cs="Consolas"/>
          <w:b w:val="0"/>
          <w:i w:val="0"/>
          <w:sz w:val="15"/>
        </w:rPr>
        <w:t xml:space="preserve">    - Oranges (HS 0805.10) — 8,800 kg — Confidence: 92%</w:t>
      </w:r>
    </w:p>
    <w:p>
      <w:pPr>
        <w:spacing w:after="0" w:before="0" w:line="240" w:lineRule="auto"/>
        <w:ind w:left="57"/>
        <w:jc w:val="left"/>
        <w:shd w:val="clear" w:fill="F2F2F2"/>
      </w:pPr>
      <w:r>
        <w:rPr>
          <w:rFonts w:ascii="Consolas" w:hAnsi="Consolas" w:cs="Consolas"/>
          <w:b w:val="0"/>
          <w:i w:val="0"/>
          <w:sz w:val="15"/>
        </w:rPr>
        <w:t xml:space="preserve">    - Lemons (HS 0805.50) — 5,376 kg — Confidence: 88%</w:t>
      </w:r>
    </w:p>
    <w:p>
      <w:pPr>
        <w:spacing w:after="0" w:before="0" w:line="240" w:lineRule="auto"/>
        <w:ind w:left="57"/>
        <w:jc w:val="left"/>
        <w:shd w:val="clear" w:fill="F2F2F2"/>
      </w:pPr>
      <w:r>
        <w:rPr>
          <w:rFonts w:ascii="Consolas" w:hAnsi="Consolas" w:cs="Consolas"/>
          <w:b w:val="0"/>
          <w:i w:val="0"/>
          <w:sz w:val="15"/>
        </w:rPr>
        <w:t xml:space="preserve">  Low Confidence Fields:</w:t>
      </w:r>
    </w:p>
    <w:p>
      <w:pPr>
        <w:spacing w:after="0" w:before="0" w:line="240" w:lineRule="auto"/>
        <w:ind w:left="57"/>
        <w:jc w:val="left"/>
        <w:shd w:val="clear" w:fill="F2F2F2"/>
      </w:pPr>
      <w:r>
        <w:rPr>
          <w:rFonts w:ascii="Consolas" w:hAnsi="Consolas" w:cs="Consolas"/>
          <w:b w:val="0"/>
          <w:i w:val="0"/>
          <w:sz w:val="15"/>
        </w:rPr>
        <w:t xml:space="preserve">    Lemons: Package Type — Confidence: 72%</w:t>
      </w:r>
    </w:p>
    <w:p>
      <w:pPr>
        <w:spacing w:after="0" w:before="0" w:line="240" w:lineRule="auto"/>
        <w:ind w:left="57"/>
        <w:jc w:val="left"/>
        <w:shd w:val="clear" w:fill="F2F2F2"/>
      </w:pPr>
      <w:r>
        <w:rPr>
          <w:rFonts w:ascii="Consolas" w:hAnsi="Consolas" w:cs="Consolas"/>
          <w:b w:val="0"/>
          <w:i w:val="0"/>
          <w:sz w:val="15"/>
        </w:rPr>
        <w:t xml:space="preserve">      Expected: CARTON | Actual: BULK  [Verify with Seller]</w:t>
      </w:r>
    </w:p>
    <w:p>
      <w:pPr>
        <w:spacing w:after="0" w:before="0" w:line="240" w:lineRule="auto"/>
        <w:ind w:left="57"/>
        <w:jc w:val="left"/>
        <w:shd w:val="clear" w:fill="F2F2F2"/>
      </w:pPr>
      <w:r>
        <w:rPr>
          <w:rFonts w:ascii="Consolas" w:hAnsi="Consolas" w:cs="Consolas"/>
          <w:b w:val="0"/>
          <w:i w:val="0"/>
          <w:sz w:val="15"/>
        </w:rPr>
        <w:t xml:space="preserve">  Certificates Required:</w:t>
      </w:r>
    </w:p>
    <w:p>
      <w:pPr>
        <w:spacing w:after="0" w:before="0" w:line="240" w:lineRule="auto"/>
        <w:ind w:left="57"/>
        <w:jc w:val="left"/>
        <w:shd w:val="clear" w:fill="F2F2F2"/>
      </w:pPr>
      <w:r>
        <w:rPr>
          <w:rFonts w:ascii="Consolas" w:hAnsi="Consolas" w:cs="Consolas"/>
          <w:b w:val="0"/>
          <w:i w:val="0"/>
          <w:sz w:val="15"/>
        </w:rPr>
        <w:t xml:space="preserve">    - Phytosanitary Certificate — Confidence: 95%</w:t>
      </w:r>
    </w:p>
    <w:p>
      <w:pPr>
        <w:spacing w:after="0" w:before="0" w:line="240" w:lineRule="auto"/>
        <w:ind w:left="57"/>
        <w:jc w:val="left"/>
        <w:shd w:val="clear" w:fill="F2F2F2"/>
      </w:pPr>
      <w:r>
        <w:rPr>
          <w:rFonts w:ascii="Consolas" w:hAnsi="Consolas" w:cs="Consolas"/>
          <w:b w:val="0"/>
          <w:i w:val="0"/>
          <w:sz w:val="15"/>
        </w:rPr>
        <w:t xml:space="preserve">    - Health Certificate — Confidence: 90%</w:t>
      </w:r>
    </w:p>
    <w:p>
      <w:pPr>
        <w:spacing w:after="0" w:before="0" w:line="240" w:lineRule="auto"/>
        <w:ind w:left="57"/>
        <w:jc w:val="left"/>
        <w:shd w:val="clear" w:fill="F2F2F2"/>
      </w:pPr>
      <w:r>
        <w:rPr>
          <w:rFonts w:ascii="Consolas" w:hAnsi="Consolas" w:cs="Consolas"/>
          <w:b w:val="0"/>
          <w:i w:val="0"/>
          <w:sz w:val="15"/>
        </w:rPr>
        <w:t xml:space="preserve">    - Certificate of Origin — Confidence: 85%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Broker Details:</w:t>
      </w:r>
    </w:p>
    <w:p>
      <w:pPr>
        <w:spacing w:after="0" w:before="0" w:line="240" w:lineRule="auto"/>
        <w:ind w:left="57"/>
        <w:jc w:val="left"/>
        <w:shd w:val="clear" w:fill="F2F2F2"/>
      </w:pPr>
      <w:r>
        <w:rPr>
          <w:rFonts w:ascii="Consolas" w:hAnsi="Consolas" w:cs="Consolas"/>
          <w:b w:val="0"/>
          <w:i w:val="0"/>
          <w:sz w:val="15"/>
        </w:rPr>
        <w:t xml:space="preserve">  Broker GTID: SGTX-EG-CBR-001</w:t>
      </w:r>
    </w:p>
    <w:p>
      <w:pPr>
        <w:spacing w:after="0" w:before="0" w:line="240" w:lineRule="auto"/>
        <w:ind w:left="57"/>
        <w:jc w:val="left"/>
        <w:shd w:val="clear" w:fill="F2F2F2"/>
      </w:pPr>
      <w:r>
        <w:rPr>
          <w:rFonts w:ascii="Consolas" w:hAnsi="Consolas" w:cs="Consolas"/>
          <w:b w:val="0"/>
          <w:i w:val="0"/>
          <w:sz w:val="15"/>
        </w:rPr>
        <w:t xml:space="preserve">  Broker Name: Nile Customs Services</w:t>
      </w:r>
    </w:p>
    <w:p>
      <w:pPr>
        <w:spacing w:after="0" w:before="0" w:line="240" w:lineRule="auto"/>
        <w:ind w:left="57"/>
        <w:jc w:val="left"/>
        <w:shd w:val="clear" w:fill="F2F2F2"/>
      </w:pPr>
      <w:r>
        <w:rPr>
          <w:rFonts w:ascii="Consolas" w:hAnsi="Consolas" w:cs="Consolas"/>
          <w:b w:val="0"/>
          <w:i w:val="0"/>
          <w:sz w:val="15"/>
        </w:rPr>
        <w:t xml:space="preserve">  Licence Number: BRK-2026-001</w:t>
      </w:r>
    </w:p>
    <w:p>
      <w:pPr>
        <w:spacing w:after="0" w:before="0" w:line="240" w:lineRule="auto"/>
        <w:ind w:left="57"/>
        <w:jc w:val="left"/>
        <w:shd w:val="clear" w:fill="F2F2F2"/>
      </w:pPr>
      <w:r>
        <w:rPr>
          <w:rFonts w:ascii="Consolas" w:hAnsi="Consolas" w:cs="Consolas"/>
          <w:b w:val="0"/>
          <w:i w:val="0"/>
          <w:sz w:val="15"/>
        </w:rPr>
        <w:t xml:space="preserve">  Digital Seal: [Active]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[Certify Declaration] [Request Amendment] [Decline] [View Full Details]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8.9.3.4 Certification Data Model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"broker_certification": {</w:t>
      </w:r>
    </w:p>
    <w:p>
      <w:pPr>
        <w:spacing w:after="0" w:before="0" w:line="240" w:lineRule="auto"/>
        <w:ind w:left="57"/>
        <w:jc w:val="left"/>
        <w:shd w:val="clear" w:fill="F2F2F2"/>
      </w:pPr>
      <w:r>
        <w:rPr>
          <w:rFonts w:ascii="Consolas" w:hAnsi="Consolas" w:cs="Consolas"/>
          <w:b w:val="0"/>
          <w:i w:val="0"/>
          <w:sz w:val="15"/>
        </w:rPr>
        <w:t xml:space="preserve">    "broker_gtid": "SGTX-EG-CBR-001",</w:t>
      </w:r>
    </w:p>
    <w:p>
      <w:pPr>
        <w:spacing w:after="0" w:before="0" w:line="240" w:lineRule="auto"/>
        <w:ind w:left="57"/>
        <w:jc w:val="left"/>
        <w:shd w:val="clear" w:fill="F2F2F2"/>
      </w:pPr>
      <w:r>
        <w:rPr>
          <w:rFonts w:ascii="Consolas" w:hAnsi="Consolas" w:cs="Consolas"/>
          <w:b w:val="0"/>
          <w:i w:val="0"/>
          <w:sz w:val="15"/>
        </w:rPr>
        <w:t xml:space="preserve">    "broker_name": "Nile Customs Services",</w:t>
      </w:r>
    </w:p>
    <w:p>
      <w:pPr>
        <w:spacing w:after="0" w:before="0" w:line="240" w:lineRule="auto"/>
        <w:ind w:left="57"/>
        <w:jc w:val="left"/>
        <w:shd w:val="clear" w:fill="F2F2F2"/>
      </w:pPr>
      <w:r>
        <w:rPr>
          <w:rFonts w:ascii="Consolas" w:hAnsi="Consolas" w:cs="Consolas"/>
          <w:b w:val="0"/>
          <w:i w:val="0"/>
          <w:sz w:val="15"/>
        </w:rPr>
        <w:t xml:space="preserve">    "licence_number": "BRK-2026-001",</w:t>
      </w:r>
    </w:p>
    <w:p>
      <w:pPr>
        <w:spacing w:after="0" w:before="0" w:line="240" w:lineRule="auto"/>
        <w:ind w:left="57"/>
        <w:jc w:val="left"/>
        <w:shd w:val="clear" w:fill="F2F2F2"/>
      </w:pPr>
      <w:r>
        <w:rPr>
          <w:rFonts w:ascii="Consolas" w:hAnsi="Consolas" w:cs="Consolas"/>
          <w:b w:val="0"/>
          <w:i w:val="0"/>
          <w:sz w:val="15"/>
        </w:rPr>
        <w:t xml:space="preserve">    "digital_seal": "base64:...",</w:t>
      </w:r>
    </w:p>
    <w:p>
      <w:pPr>
        <w:spacing w:after="0" w:before="0" w:line="240" w:lineRule="auto"/>
        <w:ind w:left="57"/>
        <w:jc w:val="left"/>
        <w:shd w:val="clear" w:fill="F2F2F2"/>
      </w:pPr>
      <w:r>
        <w:rPr>
          <w:rFonts w:ascii="Consolas" w:hAnsi="Consolas" w:cs="Consolas"/>
          <w:b w:val="0"/>
          <w:i w:val="0"/>
          <w:sz w:val="15"/>
        </w:rPr>
        <w:t xml:space="preserve">    "certified_at": "2026-06-20T10:30:00Z",</w:t>
      </w:r>
    </w:p>
    <w:p>
      <w:pPr>
        <w:spacing w:after="0" w:before="0" w:line="240" w:lineRule="auto"/>
        <w:ind w:left="57"/>
        <w:jc w:val="left"/>
        <w:shd w:val="clear" w:fill="F2F2F2"/>
      </w:pPr>
      <w:r>
        <w:rPr>
          <w:rFonts w:ascii="Consolas" w:hAnsi="Consolas" w:cs="Consolas"/>
          <w:b w:val="0"/>
          <w:i w:val="0"/>
          <w:sz w:val="15"/>
        </w:rPr>
        <w:t xml:space="preserve">    "declaration_id": "SAD20260415-000147",</w:t>
      </w:r>
    </w:p>
    <w:p>
      <w:pPr>
        <w:spacing w:after="0" w:before="0" w:line="240" w:lineRule="auto"/>
        <w:ind w:left="57"/>
        <w:jc w:val="left"/>
        <w:shd w:val="clear" w:fill="F2F2F2"/>
      </w:pPr>
      <w:r>
        <w:rPr>
          <w:rFonts w:ascii="Consolas" w:hAnsi="Consolas" w:cs="Consolas"/>
          <w:b w:val="0"/>
          <w:i w:val="0"/>
          <w:sz w:val="15"/>
        </w:rPr>
        <w:t xml:space="preserve">    "certification_notes": "All goods verified. Declaration submitted under broker's liability.",</w:t>
      </w:r>
    </w:p>
    <w:p>
      <w:pPr>
        <w:spacing w:after="0" w:before="0" w:line="240" w:lineRule="auto"/>
        <w:ind w:left="57"/>
        <w:jc w:val="left"/>
        <w:shd w:val="clear" w:fill="F2F2F2"/>
      </w:pPr>
      <w:r>
        <w:rPr>
          <w:rFonts w:ascii="Consolas" w:hAnsi="Consolas" w:cs="Consolas"/>
          <w:b w:val="0"/>
          <w:i w:val="0"/>
          <w:sz w:val="15"/>
        </w:rPr>
        <w:t xml:space="preserve">    "loom_hash": "sha256:abc123..."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8.9.4 Certificate Issuance via Lab Results</w:t>
      </w:r>
    </w:p>
    <w:p>
      <w:pPr>
        <w:keepNext/>
        <w:spacing w:before="140" w:after="60"/>
        <w:outlineLvl w:val="3"/>
      </w:pPr>
      <w:r>
        <w:rPr>
          <w:rFonts w:ascii="Arial" w:hAnsi="Arial" w:cs="Arial"/>
          <w:b/>
          <w:i/>
          <w:color w:val="333333"/>
          <w:sz w:val="22"/>
        </w:rPr>
        <w:t>8.9.4.1 Overview</w:t>
      </w:r>
    </w:p>
    <w:p>
      <w:pPr>
        <w:spacing w:after="80" w:line="293" w:lineRule="auto"/>
        <w:jc w:val="left"/>
      </w:pPr>
      <w:r>
        <w:rPr>
          <w:rFonts w:ascii="Times New Roman" w:hAnsi="Times New Roman" w:cs="Times New Roman"/>
          <w:b w:val="0"/>
          <w:i w:val="0"/>
          <w:sz w:val="22"/>
        </w:rPr>
        <w:t>When a laboratory submits compliant test results, SGTX automatically triggers certificate requests via Nafeza. Certificate types: PHYTOSANITARY, HEALTH, CERTIFICATE_OF_ORIGIN, COLD_TREATMENT, FUMIGATION.</w:t>
      </w:r>
    </w:p>
    <w:p>
      <w:pPr>
        <w:keepNext/>
        <w:spacing w:before="140" w:after="60"/>
        <w:outlineLvl w:val="3"/>
      </w:pPr>
      <w:r>
        <w:rPr>
          <w:rFonts w:ascii="Arial" w:hAnsi="Arial" w:cs="Arial"/>
          <w:b/>
          <w:i/>
          <w:color w:val="333333"/>
          <w:sz w:val="22"/>
        </w:rPr>
        <w:t>8.9.4.2 Certificate Request Flow</w:t>
      </w:r>
    </w:p>
    <w:p>
      <w:pPr>
        <w:spacing w:after="80" w:line="293" w:lineRule="auto"/>
        <w:jc w:val="left"/>
      </w:pPr>
      <w:r>
        <w:rPr>
          <w:rFonts w:ascii="Times New Roman" w:hAnsi="Times New Roman" w:cs="Times New Roman"/>
          <w:b w:val="0"/>
          <w:i w:val="0"/>
          <w:sz w:val="22"/>
        </w:rPr>
        <w:t>1. Laboratory submits test results. 2. System validates results against MRLs (A2). 3. If all tests pass, the system triggers the certificate request to Nafeza. 4. Nafeza processes the request (fees already paid in Stage 1). 5. Nafeza issues the certificate. 6. SGTX downloads the certificate. 7. The certificate is stored in documents with a SHA256 hash. 8. Smart Inbox notification to seller and buyer.</w:t>
      </w:r>
    </w:p>
    <w:p>
      <w:pPr>
        <w:keepNext/>
        <w:spacing w:before="140" w:after="60"/>
        <w:outlineLvl w:val="3"/>
      </w:pPr>
      <w:r>
        <w:rPr>
          <w:rFonts w:ascii="Arial" w:hAnsi="Arial" w:cs="Arial"/>
          <w:b/>
          <w:i/>
          <w:color w:val="333333"/>
          <w:sz w:val="22"/>
        </w:rPr>
        <w:t>8.9.4.3 Certificate Request Example</w:t>
      </w:r>
    </w:p>
    <w:p>
      <w:pPr>
        <w:spacing w:after="80" w:line="293" w:lineRule="auto"/>
        <w:jc w:val="left"/>
      </w:pPr>
      <w:r>
        <w:rPr>
          <w:rFonts w:ascii="Times New Roman" w:hAnsi="Times New Roman" w:cs="Times New Roman"/>
          <w:b w:val="0"/>
          <w:i w:val="0"/>
          <w:sz w:val="22"/>
        </w:rPr>
        <w:t>Request:</w:t>
      </w:r>
    </w:p>
    <w:p>
      <w:pPr>
        <w:spacing w:after="0" w:before="0" w:line="240" w:lineRule="auto"/>
        <w:ind w:left="57"/>
        <w:jc w:val="left"/>
        <w:shd w:val="clear" w:fill="F2F2F2"/>
      </w:pPr>
      <w:r>
        <w:rPr>
          <w:rFonts w:ascii="Consolas" w:hAnsi="Consolas" w:cs="Consolas"/>
          <w:b w:val="0"/>
          <w:i w:val="0"/>
          <w:sz w:val="15"/>
        </w:rPr>
        <w:t>POST /api/v2/declaration/{declaration_id}/certificates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"type": "PHYTOSANITARY",</w:t>
      </w:r>
    </w:p>
    <w:p>
      <w:pPr>
        <w:spacing w:after="0" w:before="0" w:line="240" w:lineRule="auto"/>
        <w:ind w:left="57"/>
        <w:jc w:val="left"/>
        <w:shd w:val="clear" w:fill="F2F2F2"/>
      </w:pPr>
      <w:r>
        <w:rPr>
          <w:rFonts w:ascii="Consolas" w:hAnsi="Consolas" w:cs="Consolas"/>
          <w:b w:val="0"/>
          <w:i w:val="0"/>
          <w:sz w:val="15"/>
        </w:rPr>
        <w:t xml:space="preserve">  "lab_report_ref": "USTN:SGTX-EG-26-F3A-1:LAB-001",</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"quantity": 8800,</w:t>
      </w:r>
    </w:p>
    <w:p>
      <w:pPr>
        <w:spacing w:after="0" w:before="0" w:line="240" w:lineRule="auto"/>
        <w:ind w:left="57"/>
        <w:jc w:val="left"/>
        <w:shd w:val="clear" w:fill="F2F2F2"/>
      </w:pPr>
      <w:r>
        <w:rPr>
          <w:rFonts w:ascii="Consolas" w:hAnsi="Consolas" w:cs="Consolas"/>
          <w:b w:val="0"/>
          <w:i w:val="0"/>
          <w:sz w:val="15"/>
        </w:rPr>
        <w:t xml:space="preserve">  "quantity_unit": "KGM",</w:t>
      </w:r>
    </w:p>
    <w:p>
      <w:pPr>
        <w:spacing w:after="0" w:before="0" w:line="240" w:lineRule="auto"/>
        <w:ind w:left="57"/>
        <w:jc w:val="left"/>
        <w:shd w:val="clear" w:fill="F2F2F2"/>
      </w:pPr>
      <w:r>
        <w:rPr>
          <w:rFonts w:ascii="Consolas" w:hAnsi="Consolas" w:cs="Consolas"/>
          <w:b w:val="0"/>
          <w:i w:val="0"/>
          <w:sz w:val="15"/>
        </w:rPr>
        <w:t xml:space="preserve">  "treatment": {</w:t>
      </w:r>
    </w:p>
    <w:p>
      <w:pPr>
        <w:spacing w:after="0" w:before="0" w:line="240" w:lineRule="auto"/>
        <w:ind w:left="57"/>
        <w:jc w:val="left"/>
        <w:shd w:val="clear" w:fill="F2F2F2"/>
      </w:pPr>
      <w:r>
        <w:rPr>
          <w:rFonts w:ascii="Consolas" w:hAnsi="Consolas" w:cs="Consolas"/>
          <w:b w:val="0"/>
          <w:i w:val="0"/>
          <w:sz w:val="15"/>
        </w:rPr>
        <w:t xml:space="preserve">    "type": "COLD_TREATMENT",</w:t>
      </w:r>
    </w:p>
    <w:p>
      <w:pPr>
        <w:spacing w:after="0" w:before="0" w:line="240" w:lineRule="auto"/>
        <w:ind w:left="57"/>
        <w:jc w:val="left"/>
        <w:shd w:val="clear" w:fill="F2F2F2"/>
      </w:pPr>
      <w:r>
        <w:rPr>
          <w:rFonts w:ascii="Consolas" w:hAnsi="Consolas" w:cs="Consolas"/>
          <w:b w:val="0"/>
          <w:i w:val="0"/>
          <w:sz w:val="15"/>
        </w:rPr>
        <w:t xml:space="preserve">    "temperature_c": -0.5,</w:t>
      </w:r>
    </w:p>
    <w:p>
      <w:pPr>
        <w:spacing w:after="0" w:before="0" w:line="240" w:lineRule="auto"/>
        <w:ind w:left="57"/>
        <w:jc w:val="left"/>
        <w:shd w:val="clear" w:fill="F2F2F2"/>
      </w:pPr>
      <w:r>
        <w:rPr>
          <w:rFonts w:ascii="Consolas" w:hAnsi="Consolas" w:cs="Consolas"/>
          <w:b w:val="0"/>
          <w:i w:val="0"/>
          <w:sz w:val="15"/>
        </w:rPr>
        <w:t xml:space="preserve">    "duration_days": 14,</w:t>
      </w:r>
    </w:p>
    <w:p>
      <w:pPr>
        <w:spacing w:after="0" w:before="0" w:line="240" w:lineRule="auto"/>
        <w:ind w:left="57"/>
        <w:jc w:val="left"/>
        <w:shd w:val="clear" w:fill="F2F2F2"/>
      </w:pPr>
      <w:r>
        <w:rPr>
          <w:rFonts w:ascii="Consolas" w:hAnsi="Consolas" w:cs="Consolas"/>
          <w:b w:val="0"/>
          <w:i w:val="0"/>
          <w:sz w:val="15"/>
        </w:rPr>
        <w:t xml:space="preserve">    "facility": "Egyptian Cold Treatment Center",</w:t>
      </w:r>
    </w:p>
    <w:p>
      <w:pPr>
        <w:spacing w:after="0" w:before="0" w:line="240" w:lineRule="auto"/>
        <w:ind w:left="57"/>
        <w:jc w:val="left"/>
        <w:shd w:val="clear" w:fill="F2F2F2"/>
      </w:pPr>
      <w:r>
        <w:rPr>
          <w:rFonts w:ascii="Consolas" w:hAnsi="Consolas" w:cs="Consolas"/>
          <w:b w:val="0"/>
          <w:i w:val="0"/>
          <w:sz w:val="15"/>
        </w:rPr>
        <w:t xml:space="preserve">    "certificate_ref": "CT-20260415-001"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"certificate_id": "PHYTO-20260415-001",</w:t>
      </w:r>
    </w:p>
    <w:p>
      <w:pPr>
        <w:spacing w:after="0" w:before="0" w:line="240" w:lineRule="auto"/>
        <w:ind w:left="57"/>
        <w:jc w:val="left"/>
        <w:shd w:val="clear" w:fill="F2F2F2"/>
      </w:pPr>
      <w:r>
        <w:rPr>
          <w:rFonts w:ascii="Consolas" w:hAnsi="Consolas" w:cs="Consolas"/>
          <w:b w:val="0"/>
          <w:i w:val="0"/>
          <w:sz w:val="15"/>
        </w:rPr>
        <w:t xml:space="preserve">  "status": "ISSUED",</w:t>
      </w:r>
    </w:p>
    <w:p>
      <w:pPr>
        <w:spacing w:after="0" w:before="0" w:line="240" w:lineRule="auto"/>
        <w:ind w:left="57"/>
        <w:jc w:val="left"/>
        <w:shd w:val="clear" w:fill="F2F2F2"/>
      </w:pPr>
      <w:r>
        <w:rPr>
          <w:rFonts w:ascii="Consolas" w:hAnsi="Consolas" w:cs="Consolas"/>
          <w:b w:val="0"/>
          <w:i w:val="0"/>
          <w:sz w:val="15"/>
        </w:rPr>
        <w:t xml:space="preserve">  "issued_at": "2026-06-20T11:00:00Z",</w:t>
      </w:r>
    </w:p>
    <w:p>
      <w:pPr>
        <w:spacing w:after="0" w:before="0" w:line="240" w:lineRule="auto"/>
        <w:ind w:left="57"/>
        <w:jc w:val="left"/>
        <w:shd w:val="clear" w:fill="F2F2F2"/>
      </w:pPr>
      <w:r>
        <w:rPr>
          <w:rFonts w:ascii="Consolas" w:hAnsi="Consolas" w:cs="Consolas"/>
          <w:b w:val="0"/>
          <w:i w:val="0"/>
          <w:sz w:val="15"/>
        </w:rPr>
        <w:t xml:space="preserve">  "expires_at": "2026-12-20T23:59:59Z",</w:t>
      </w:r>
    </w:p>
    <w:p>
      <w:pPr>
        <w:spacing w:after="0" w:before="0" w:line="240" w:lineRule="auto"/>
        <w:ind w:left="57"/>
        <w:jc w:val="left"/>
        <w:shd w:val="clear" w:fill="F2F2F2"/>
      </w:pPr>
      <w:r>
        <w:rPr>
          <w:rFonts w:ascii="Consolas" w:hAnsi="Consolas" w:cs="Consolas"/>
          <w:b w:val="0"/>
          <w:i w:val="0"/>
          <w:sz w:val="15"/>
        </w:rPr>
        <w:t xml:space="preserve">  "pdf_url": "https://nafeza.gov.eg/certificates/PHYTO-20260415-001.pdf",</w:t>
      </w:r>
    </w:p>
    <w:p>
      <w:pPr>
        <w:spacing w:after="0" w:before="0" w:line="240" w:lineRule="auto"/>
        <w:ind w:left="57"/>
        <w:jc w:val="left"/>
        <w:shd w:val="clear" w:fill="F2F2F2"/>
      </w:pPr>
      <w:r>
        <w:rPr>
          <w:rFonts w:ascii="Consolas" w:hAnsi="Consolas" w:cs="Consolas"/>
          <w:b w:val="0"/>
          <w:i w:val="0"/>
          <w:sz w:val="15"/>
        </w:rPr>
        <w:t xml:space="preserve">  "sha256_hash": "sha256:abc123..."</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8.9.4.4 Lab Result Validation (A2)</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"lab_results": {</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"commodity": "Oranges",</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"results":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"analyte": "Cypermethrin",</w:t>
      </w:r>
    </w:p>
    <w:p>
      <w:pPr>
        <w:spacing w:after="0" w:before="0" w:line="240" w:lineRule="auto"/>
        <w:ind w:left="57"/>
        <w:jc w:val="left"/>
        <w:shd w:val="clear" w:fill="F2F2F2"/>
      </w:pPr>
      <w:r>
        <w:rPr>
          <w:rFonts w:ascii="Consolas" w:hAnsi="Consolas" w:cs="Consolas"/>
          <w:b w:val="0"/>
          <w:i w:val="0"/>
          <w:sz w:val="15"/>
        </w:rPr>
        <w:t xml:space="preserve">        "value": 0.02,</w:t>
      </w:r>
    </w:p>
    <w:p>
      <w:pPr>
        <w:spacing w:after="0" w:before="0" w:line="240" w:lineRule="auto"/>
        <w:ind w:left="57"/>
        <w:jc w:val="left"/>
        <w:shd w:val="clear" w:fill="F2F2F2"/>
      </w:pPr>
      <w:r>
        <w:rPr>
          <w:rFonts w:ascii="Consolas" w:hAnsi="Consolas" w:cs="Consolas"/>
          <w:b w:val="0"/>
          <w:i w:val="0"/>
          <w:sz w:val="15"/>
        </w:rPr>
        <w:t xml:space="preserve">        "unit": "mg/kg",</w:t>
      </w:r>
    </w:p>
    <w:p>
      <w:pPr>
        <w:spacing w:after="0" w:before="0" w:line="240" w:lineRule="auto"/>
        <w:ind w:left="57"/>
        <w:jc w:val="left"/>
        <w:shd w:val="clear" w:fill="F2F2F2"/>
      </w:pPr>
      <w:r>
        <w:rPr>
          <w:rFonts w:ascii="Consolas" w:hAnsi="Consolas" w:cs="Consolas"/>
          <w:b w:val="0"/>
          <w:i w:val="0"/>
          <w:sz w:val="15"/>
        </w:rPr>
        <w:t xml:space="preserve">        "limit": 0.05,</w:t>
      </w:r>
    </w:p>
    <w:p>
      <w:pPr>
        <w:spacing w:after="0" w:before="0" w:line="240" w:lineRule="auto"/>
        <w:ind w:left="57"/>
        <w:jc w:val="left"/>
        <w:shd w:val="clear" w:fill="F2F2F2"/>
      </w:pPr>
      <w:r>
        <w:rPr>
          <w:rFonts w:ascii="Consolas" w:hAnsi="Consolas" w:cs="Consolas"/>
          <w:b w:val="0"/>
          <w:i w:val="0"/>
          <w:sz w:val="15"/>
        </w:rPr>
        <w:t xml:space="preserve">        "pass": true,</w:t>
      </w:r>
    </w:p>
    <w:p>
      <w:pPr>
        <w:spacing w:after="0" w:before="0" w:line="240" w:lineRule="auto"/>
        <w:ind w:left="57"/>
        <w:jc w:val="left"/>
        <w:shd w:val="clear" w:fill="F2F2F2"/>
      </w:pPr>
      <w:r>
        <w:rPr>
          <w:rFonts w:ascii="Consolas" w:hAnsi="Consolas" w:cs="Consolas"/>
          <w:b w:val="0"/>
          <w:i w:val="0"/>
          <w:sz w:val="15"/>
        </w:rPr>
        <w:t xml:space="preserve">        "confidence": 95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"analyte": "Chlorpyrifos",</w:t>
      </w:r>
    </w:p>
    <w:p>
      <w:pPr>
        <w:spacing w:after="0" w:before="0" w:line="240" w:lineRule="auto"/>
        <w:ind w:left="57"/>
        <w:jc w:val="left"/>
        <w:shd w:val="clear" w:fill="F2F2F2"/>
      </w:pPr>
      <w:r>
        <w:rPr>
          <w:rFonts w:ascii="Consolas" w:hAnsi="Consolas" w:cs="Consolas"/>
          <w:b w:val="0"/>
          <w:i w:val="0"/>
          <w:sz w:val="15"/>
        </w:rPr>
        <w:t xml:space="preserve">        "value": 0.008,</w:t>
      </w:r>
    </w:p>
    <w:p>
      <w:pPr>
        <w:spacing w:after="0" w:before="0" w:line="240" w:lineRule="auto"/>
        <w:ind w:left="57"/>
        <w:jc w:val="left"/>
        <w:shd w:val="clear" w:fill="F2F2F2"/>
      </w:pPr>
      <w:r>
        <w:rPr>
          <w:rFonts w:ascii="Consolas" w:hAnsi="Consolas" w:cs="Consolas"/>
          <w:b w:val="0"/>
          <w:i w:val="0"/>
          <w:sz w:val="15"/>
        </w:rPr>
        <w:t xml:space="preserve">        "unit": "mg/kg",</w:t>
      </w:r>
    </w:p>
    <w:p>
      <w:pPr>
        <w:spacing w:after="0" w:before="0" w:line="240" w:lineRule="auto"/>
        <w:ind w:left="57"/>
        <w:jc w:val="left"/>
        <w:shd w:val="clear" w:fill="F2F2F2"/>
      </w:pPr>
      <w:r>
        <w:rPr>
          <w:rFonts w:ascii="Consolas" w:hAnsi="Consolas" w:cs="Consolas"/>
          <w:b w:val="0"/>
          <w:i w:val="0"/>
          <w:sz w:val="15"/>
        </w:rPr>
        <w:t xml:space="preserve">        "limit": 0.01,</w:t>
      </w:r>
    </w:p>
    <w:p>
      <w:pPr>
        <w:spacing w:after="0" w:before="0" w:line="240" w:lineRule="auto"/>
        <w:ind w:left="57"/>
        <w:jc w:val="left"/>
        <w:shd w:val="clear" w:fill="F2F2F2"/>
      </w:pPr>
      <w:r>
        <w:rPr>
          <w:rFonts w:ascii="Consolas" w:hAnsi="Consolas" w:cs="Consolas"/>
          <w:b w:val="0"/>
          <w:i w:val="0"/>
          <w:sz w:val="15"/>
        </w:rPr>
        <w:t xml:space="preserve">        "pass": true,</w:t>
      </w:r>
    </w:p>
    <w:p>
      <w:pPr>
        <w:spacing w:after="0" w:before="0" w:line="240" w:lineRule="auto"/>
        <w:ind w:left="57"/>
        <w:jc w:val="left"/>
        <w:shd w:val="clear" w:fill="F2F2F2"/>
      </w:pPr>
      <w:r>
        <w:rPr>
          <w:rFonts w:ascii="Consolas" w:hAnsi="Consolas" w:cs="Consolas"/>
          <w:b w:val="0"/>
          <w:i w:val="0"/>
          <w:sz w:val="15"/>
        </w:rPr>
        <w:t xml:space="preserve">        "confidence": 92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"conclusion": "COMPLIANT",</w:t>
      </w:r>
    </w:p>
    <w:p>
      <w:pPr>
        <w:spacing w:after="0" w:before="0" w:line="240" w:lineRule="auto"/>
        <w:ind w:left="57"/>
        <w:jc w:val="left"/>
        <w:shd w:val="clear" w:fill="F2F2F2"/>
      </w:pPr>
      <w:r>
        <w:rPr>
          <w:rFonts w:ascii="Consolas" w:hAnsi="Consolas" w:cs="Consolas"/>
          <w:b w:val="0"/>
          <w:i w:val="0"/>
          <w:sz w:val="15"/>
        </w:rPr>
        <w:t xml:space="preserve">    "submitted_by": "SGTX-EG-LAB-001",</w:t>
      </w:r>
    </w:p>
    <w:p>
      <w:pPr>
        <w:spacing w:after="0" w:before="0" w:line="240" w:lineRule="auto"/>
        <w:ind w:left="57"/>
        <w:jc w:val="left"/>
        <w:shd w:val="clear" w:fill="F2F2F2"/>
      </w:pPr>
      <w:r>
        <w:rPr>
          <w:rFonts w:ascii="Consolas" w:hAnsi="Consolas" w:cs="Consolas"/>
          <w:b w:val="0"/>
          <w:i w:val="0"/>
          <w:sz w:val="15"/>
        </w:rPr>
        <w:t xml:space="preserve">    "submitted_at": "2026-06-20T09:30:00Z"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8.9.5 Integration with Other Components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How Customs Declaration Flows</w:t>
            </w:r>
          </w:p>
        </w:tc>
      </w:tr>
      <w:tr>
        <w:tc>
          <w:tcPr>
            <w:tcW w:type="dxa" w:w="4819"/>
          </w:tcPr>
          <w:p>
            <w:pPr>
              <w:spacing w:after="20" w:before="20" w:line="240" w:lineRule="auto"/>
            </w:pPr>
            <w:r/>
            <w:r>
              <w:rPr>
                <w:rFonts w:ascii="Arial" w:hAnsi="Arial" w:cs="Arial"/>
                <w:b w:val="0"/>
                <w:i w:val="0"/>
                <w:sz w:val="17"/>
              </w:rPr>
              <w:t>Weight Calculation (Section 8.3)</w:t>
            </w:r>
          </w:p>
        </w:tc>
        <w:tc>
          <w:tcPr>
            <w:tcW w:type="dxa" w:w="4819"/>
          </w:tcPr>
          <w:p>
            <w:pPr>
              <w:spacing w:after="20" w:before="20" w:line="240" w:lineRule="auto"/>
            </w:pPr>
            <w:r/>
            <w:r>
              <w:rPr>
                <w:rFonts w:ascii="Arial" w:hAnsi="Arial" w:cs="Arial"/>
                <w:b w:val="0"/>
                <w:i w:val="0"/>
                <w:sz w:val="17"/>
              </w:rPr>
              <w:t>Weights used for declaration goods lines</w:t>
            </w:r>
          </w:p>
        </w:tc>
      </w:tr>
      <w:tr>
        <w:tc>
          <w:tcPr>
            <w:tcW w:type="dxa" w:w="4819"/>
          </w:tcPr>
          <w:p>
            <w:pPr>
              <w:spacing w:after="20" w:before="20" w:line="240" w:lineRule="auto"/>
            </w:pPr>
            <w:r/>
            <w:r>
              <w:rPr>
                <w:rFonts w:ascii="Arial" w:hAnsi="Arial" w:cs="Arial"/>
                <w:b w:val="0"/>
                <w:i w:val="0"/>
                <w:sz w:val="17"/>
              </w:rPr>
              <w:t>Packing List (Section 8.5)</w:t>
            </w:r>
          </w:p>
        </w:tc>
        <w:tc>
          <w:tcPr>
            <w:tcW w:type="dxa" w:w="4819"/>
          </w:tcPr>
          <w:p>
            <w:pPr>
              <w:spacing w:after="20" w:before="20" w:line="240" w:lineRule="auto"/>
            </w:pPr>
            <w:r/>
            <w:r>
              <w:rPr>
                <w:rFonts w:ascii="Arial" w:hAnsi="Arial" w:cs="Arial"/>
                <w:b w:val="0"/>
                <w:i w:val="0"/>
                <w:sz w:val="17"/>
              </w:rPr>
              <w:t>Packing list hash referenced in declaration</w:t>
            </w:r>
          </w:p>
        </w:tc>
      </w:tr>
      <w:tr>
        <w:tc>
          <w:tcPr>
            <w:tcW w:type="dxa" w:w="4819"/>
          </w:tcPr>
          <w:p>
            <w:pPr>
              <w:spacing w:after="20" w:before="20" w:line="240" w:lineRule="auto"/>
            </w:pPr>
            <w:r/>
            <w:r>
              <w:rPr>
                <w:rFonts w:ascii="Arial" w:hAnsi="Arial" w:cs="Arial"/>
                <w:b w:val="0"/>
                <w:i w:val="0"/>
                <w:sz w:val="17"/>
              </w:rPr>
              <w:t>Invoice (Section 8.8)</w:t>
            </w:r>
          </w:p>
        </w:tc>
        <w:tc>
          <w:tcPr>
            <w:tcW w:type="dxa" w:w="4819"/>
          </w:tcPr>
          <w:p>
            <w:pPr>
              <w:spacing w:after="20" w:before="20" w:line="240" w:lineRule="auto"/>
            </w:pPr>
            <w:r/>
            <w:r>
              <w:rPr>
                <w:rFonts w:ascii="Arial" w:hAnsi="Arial" w:cs="Arial"/>
                <w:b w:val="0"/>
                <w:i w:val="0"/>
                <w:sz w:val="17"/>
              </w:rPr>
              <w:t>Invoice number, value, and ETA UUID referenced</w:t>
            </w:r>
          </w:p>
        </w:tc>
      </w:tr>
      <w:tr>
        <w:tc>
          <w:tcPr>
            <w:tcW w:type="dxa" w:w="4819"/>
          </w:tcPr>
          <w:p>
            <w:pPr>
              <w:spacing w:after="20" w:before="20" w:line="240" w:lineRule="auto"/>
            </w:pPr>
            <w:r/>
            <w:r>
              <w:rPr>
                <w:rFonts w:ascii="Arial" w:hAnsi="Arial" w:cs="Arial"/>
                <w:b w:val="0"/>
                <w:i w:val="0"/>
                <w:sz w:val="17"/>
              </w:rPr>
              <w:t>Commercial Settlement</w:t>
            </w:r>
          </w:p>
        </w:tc>
        <w:tc>
          <w:tcPr>
            <w:tcW w:type="dxa" w:w="4819"/>
          </w:tcPr>
          <w:p>
            <w:pPr>
              <w:spacing w:after="20" w:before="20" w:line="240" w:lineRule="auto"/>
            </w:pPr>
            <w:r/>
            <w:r>
              <w:rPr>
                <w:rFonts w:ascii="Arial" w:hAnsi="Arial" w:cs="Arial"/>
                <w:b w:val="0"/>
                <w:i w:val="0"/>
                <w:sz w:val="17"/>
              </w:rPr>
              <w:t>Settlement details included in declaration</w:t>
            </w:r>
          </w:p>
        </w:tc>
      </w:tr>
      <w:tr>
        <w:tc>
          <w:tcPr>
            <w:tcW w:type="dxa" w:w="4819"/>
          </w:tcPr>
          <w:p>
            <w:pPr>
              <w:spacing w:after="20" w:before="20" w:line="240" w:lineRule="auto"/>
            </w:pPr>
            <w:r/>
            <w:r>
              <w:rPr>
                <w:rFonts w:ascii="Arial" w:hAnsi="Arial" w:cs="Arial"/>
                <w:b w:val="0"/>
                <w:i w:val="0"/>
                <w:sz w:val="17"/>
              </w:rPr>
              <w:t>Insurance</w:t>
            </w:r>
          </w:p>
        </w:tc>
        <w:tc>
          <w:tcPr>
            <w:tcW w:type="dxa" w:w="4819"/>
          </w:tcPr>
          <w:p>
            <w:pPr>
              <w:spacing w:after="20" w:before="20" w:line="240" w:lineRule="auto"/>
            </w:pPr>
            <w:r/>
            <w:r>
              <w:rPr>
                <w:rFonts w:ascii="Arial" w:hAnsi="Arial" w:cs="Arial"/>
                <w:b w:val="0"/>
                <w:i w:val="0"/>
                <w:sz w:val="17"/>
              </w:rPr>
              <w:t>Insurance details included in declaration</w:t>
            </w:r>
          </w:p>
        </w:tc>
      </w:tr>
      <w:tr>
        <w:tc>
          <w:tcPr>
            <w:tcW w:type="dxa" w:w="4819"/>
          </w:tcPr>
          <w:p>
            <w:pPr>
              <w:spacing w:after="20" w:before="20" w:line="240" w:lineRule="auto"/>
            </w:pPr>
            <w:r/>
            <w:r>
              <w:rPr>
                <w:rFonts w:ascii="Arial" w:hAnsi="Arial" w:cs="Arial"/>
                <w:b w:val="0"/>
                <w:i w:val="0"/>
                <w:sz w:val="17"/>
              </w:rPr>
              <w:t>Special Instructions</w:t>
            </w:r>
          </w:p>
        </w:tc>
        <w:tc>
          <w:tcPr>
            <w:tcW w:type="dxa" w:w="4819"/>
          </w:tcPr>
          <w:p>
            <w:pPr>
              <w:spacing w:after="20" w:before="20" w:line="240" w:lineRule="auto"/>
            </w:pPr>
            <w:r/>
            <w:r>
              <w:rPr>
                <w:rFonts w:ascii="Arial" w:hAnsi="Arial" w:cs="Arial"/>
                <w:b w:val="0"/>
                <w:i w:val="0"/>
                <w:sz w:val="17"/>
              </w:rPr>
              <w:t>Special instructions included in declaration</w:t>
            </w:r>
          </w:p>
        </w:tc>
      </w:tr>
      <w:tr>
        <w:tc>
          <w:tcPr>
            <w:tcW w:type="dxa" w:w="4819"/>
          </w:tcPr>
          <w:p>
            <w:pPr>
              <w:spacing w:after="20" w:before="20" w:line="240" w:lineRule="auto"/>
            </w:pPr>
            <w:r/>
            <w:r>
              <w:rPr>
                <w:rFonts w:ascii="Arial" w:hAnsi="Arial" w:cs="Arial"/>
                <w:b w:val="0"/>
                <w:i w:val="0"/>
                <w:sz w:val="17"/>
              </w:rPr>
              <w:t>Incoterm</w:t>
            </w:r>
          </w:p>
        </w:tc>
        <w:tc>
          <w:tcPr>
            <w:tcW w:type="dxa" w:w="4819"/>
          </w:tcPr>
          <w:p>
            <w:pPr>
              <w:spacing w:after="20" w:before="20" w:line="240" w:lineRule="auto"/>
            </w:pPr>
            <w:r/>
            <w:r>
              <w:rPr>
                <w:rFonts w:ascii="Arial" w:hAnsi="Arial" w:cs="Arial"/>
                <w:b w:val="0"/>
                <w:i w:val="0"/>
                <w:sz w:val="17"/>
              </w:rPr>
              <w:t>Incoterm included in transport section</w:t>
            </w:r>
          </w:p>
        </w:tc>
      </w:tr>
      <w:tr>
        <w:tc>
          <w:tcPr>
            <w:tcW w:type="dxa" w:w="4819"/>
          </w:tcPr>
          <w:p>
            <w:pPr>
              <w:spacing w:after="20" w:before="20" w:line="240" w:lineRule="auto"/>
            </w:pPr>
            <w:r/>
            <w:r>
              <w:rPr>
                <w:rFonts w:ascii="Arial" w:hAnsi="Arial" w:cs="Arial"/>
                <w:b w:val="0"/>
                <w:i w:val="0"/>
                <w:sz w:val="17"/>
              </w:rPr>
              <w:t>Product Form / Acceptance Criteria</w:t>
            </w:r>
          </w:p>
        </w:tc>
        <w:tc>
          <w:tcPr>
            <w:tcW w:type="dxa" w:w="4819"/>
          </w:tcPr>
          <w:p>
            <w:pPr>
              <w:spacing w:after="20" w:before="20" w:line="240" w:lineRule="auto"/>
            </w:pPr>
            <w:r/>
            <w:r>
              <w:rPr>
                <w:rFonts w:ascii="Arial" w:hAnsi="Arial" w:cs="Arial"/>
                <w:b w:val="0"/>
                <w:i w:val="0"/>
                <w:sz w:val="17"/>
              </w:rPr>
              <w:t>Acceptance criteria included in goods lines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8.9.6 Validation Gates (Customs Declaration)</w:t>
      </w:r>
    </w:p>
    <w:p>
      <w:pPr>
        <w:spacing w:after="80" w:line="293" w:lineRule="auto"/>
        <w:ind w:left="283"/>
        <w:jc w:val="left"/>
      </w:pPr>
      <w:r>
        <w:rPr>
          <w:rFonts w:ascii="Times New Roman" w:hAnsi="Times New Roman" w:cs="Times New Roman"/>
          <w:b w:val="0"/>
          <w:i w:val="0"/>
          <w:sz w:val="22"/>
        </w:rPr>
        <w:t>- Declaration generation requires the locked packing plan and submitted invoice.</w:t>
      </w:r>
    </w:p>
    <w:p>
      <w:pPr>
        <w:spacing w:after="80" w:line="293" w:lineRule="auto"/>
        <w:ind w:left="283"/>
        <w:jc w:val="left"/>
      </w:pPr>
      <w:r>
        <w:rPr>
          <w:rFonts w:ascii="Times New Roman" w:hAnsi="Times New Roman" w:cs="Times New Roman"/>
          <w:b w:val="0"/>
          <w:i w:val="0"/>
          <w:sz w:val="22"/>
        </w:rPr>
        <w:t>- Weights in the declaration must equal the canonical weight calculation (W8 consistency).</w:t>
      </w:r>
    </w:p>
    <w:p>
      <w:pPr>
        <w:spacing w:after="80" w:line="293" w:lineRule="auto"/>
        <w:ind w:left="283"/>
        <w:jc w:val="left"/>
      </w:pPr>
      <w:r>
        <w:rPr>
          <w:rFonts w:ascii="Times New Roman" w:hAnsi="Times New Roman" w:cs="Times New Roman"/>
          <w:b w:val="0"/>
          <w:i w:val="0"/>
          <w:sz w:val="22"/>
        </w:rPr>
        <w:t>- Broker-certified submission requires an active broker with CUSTOMS_BROKERAGE capability and valid port coverage.</w:t>
      </w:r>
    </w:p>
    <w:p>
      <w:pPr>
        <w:spacing w:after="80" w:line="293" w:lineRule="auto"/>
        <w:ind w:left="283"/>
        <w:jc w:val="left"/>
      </w:pPr>
      <w:r>
        <w:rPr>
          <w:rFonts w:ascii="Times New Roman" w:hAnsi="Times New Roman" w:cs="Times New Roman"/>
          <w:b w:val="0"/>
          <w:i w:val="0"/>
          <w:sz w:val="22"/>
        </w:rPr>
        <w:t>- Certificate requests fire only on compliant lab results (COMPLIANT conclusion).</w:t>
      </w:r>
    </w:p>
    <w:p>
      <w:pPr>
        <w:spacing w:after="80" w:line="293" w:lineRule="auto"/>
        <w:ind w:left="283"/>
        <w:jc w:val="left"/>
      </w:pPr>
      <w:r>
        <w:rPr>
          <w:rFonts w:ascii="Times New Roman" w:hAnsi="Times New Roman" w:cs="Times New Roman"/>
          <w:b w:val="0"/>
          <w:i w:val="0"/>
          <w:sz w:val="22"/>
        </w:rPr>
        <w:t>- Submission status changes only on authoritative Nafeza response; retries are idempotent.</w:t>
      </w:r>
    </w:p>
    <w:p>
      <w:pPr>
        <w:keepNext/>
        <w:spacing w:before="180" w:after="80"/>
        <w:outlineLvl w:val="2"/>
      </w:pPr>
      <w:r>
        <w:rPr>
          <w:rFonts w:ascii="Arial" w:hAnsi="Arial" w:cs="Arial"/>
          <w:b/>
          <w:i w:val="0"/>
          <w:color w:val="333333"/>
          <w:sz w:val="23"/>
        </w:rPr>
        <w:t>8.9.7 Database Schema Additions</w:t>
      </w:r>
    </w:p>
    <w:p>
      <w:pPr>
        <w:spacing w:after="0" w:before="0" w:line="240" w:lineRule="auto"/>
        <w:ind w:left="57"/>
        <w:jc w:val="left"/>
        <w:shd w:val="clear" w:fill="F2F2F2"/>
      </w:pPr>
      <w:r>
        <w:rPr>
          <w:rFonts w:ascii="Consolas" w:hAnsi="Consolas" w:cs="Consolas"/>
          <w:b w:val="0"/>
          <w:i w:val="0"/>
          <w:sz w:val="15"/>
        </w:rPr>
        <w:t>-- Customs declarations (SAD)</w:t>
      </w:r>
    </w:p>
    <w:p>
      <w:pPr>
        <w:spacing w:after="0" w:before="0" w:line="240" w:lineRule="auto"/>
        <w:ind w:left="57"/>
        <w:jc w:val="left"/>
        <w:shd w:val="clear" w:fill="F2F2F2"/>
      </w:pPr>
      <w:r>
        <w:rPr>
          <w:rFonts w:ascii="Consolas" w:hAnsi="Consolas" w:cs="Consolas"/>
          <w:b w:val="0"/>
          <w:i w:val="0"/>
          <w:sz w:val="15"/>
        </w:rPr>
        <w:t>CREATE TABLE customs_declarations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declaration_type TEXT NOT NULL, -- 'EXPORT', 'IMPORT'</w:t>
      </w:r>
    </w:p>
    <w:p>
      <w:pPr>
        <w:spacing w:after="0" w:before="0" w:line="240" w:lineRule="auto"/>
        <w:ind w:left="57"/>
        <w:jc w:val="left"/>
        <w:shd w:val="clear" w:fill="F2F2F2"/>
      </w:pPr>
      <w:r>
        <w:rPr>
          <w:rFonts w:ascii="Consolas" w:hAnsi="Consolas" w:cs="Consolas"/>
          <w:b w:val="0"/>
          <w:i w:val="0"/>
          <w:sz w:val="15"/>
        </w:rPr>
        <w:t xml:space="preserve">    declaration_id TEXT,</w:t>
      </w:r>
    </w:p>
    <w:p>
      <w:pPr>
        <w:spacing w:after="0" w:before="0" w:line="240" w:lineRule="auto"/>
        <w:ind w:left="57"/>
        <w:jc w:val="left"/>
        <w:shd w:val="clear" w:fill="F2F2F2"/>
      </w:pPr>
      <w:r>
        <w:rPr>
          <w:rFonts w:ascii="Consolas" w:hAnsi="Consolas" w:cs="Consolas"/>
          <w:b w:val="0"/>
          <w:i w:val="0"/>
          <w:sz w:val="15"/>
        </w:rPr>
        <w:t xml:space="preserve">    acid TEXT,</w:t>
      </w:r>
    </w:p>
    <w:p>
      <w:pPr>
        <w:spacing w:after="0" w:before="0" w:line="240" w:lineRule="auto"/>
        <w:ind w:left="57"/>
        <w:jc w:val="left"/>
        <w:shd w:val="clear" w:fill="F2F2F2"/>
      </w:pPr>
      <w:r>
        <w:rPr>
          <w:rFonts w:ascii="Consolas" w:hAnsi="Consolas" w:cs="Consolas"/>
          <w:b w:val="0"/>
          <w:i w:val="0"/>
          <w:sz w:val="15"/>
        </w:rPr>
        <w:t xml:space="preserve">    declaration_data JSONB NOT NULL,</w:t>
      </w:r>
    </w:p>
    <w:p>
      <w:pPr>
        <w:spacing w:after="0" w:before="0" w:line="240" w:lineRule="auto"/>
        <w:ind w:left="57"/>
        <w:jc w:val="left"/>
        <w:shd w:val="clear" w:fill="F2F2F2"/>
      </w:pPr>
      <w:r>
        <w:rPr>
          <w:rFonts w:ascii="Consolas" w:hAnsi="Consolas" w:cs="Consolas"/>
          <w:b w:val="0"/>
          <w:i w:val="0"/>
          <w:sz w:val="15"/>
        </w:rPr>
        <w:t xml:space="preserve">    -- Broker certification</w:t>
      </w:r>
    </w:p>
    <w:p>
      <w:pPr>
        <w:spacing w:after="0" w:before="0" w:line="240" w:lineRule="auto"/>
        <w:ind w:left="57"/>
        <w:jc w:val="left"/>
        <w:shd w:val="clear" w:fill="F2F2F2"/>
      </w:pPr>
      <w:r>
        <w:rPr>
          <w:rFonts w:ascii="Consolas" w:hAnsi="Consolas" w:cs="Consolas"/>
          <w:b w:val="0"/>
          <w:i w:val="0"/>
          <w:sz w:val="15"/>
        </w:rPr>
        <w:t xml:space="preserve">    broker_gtid TEXT REFERENCES tenants(gtid) ON DELETE SET NULL,</w:t>
      </w:r>
    </w:p>
    <w:p>
      <w:pPr>
        <w:spacing w:after="0" w:before="0" w:line="240" w:lineRule="auto"/>
        <w:ind w:left="57"/>
        <w:jc w:val="left"/>
        <w:shd w:val="clear" w:fill="F2F2F2"/>
      </w:pPr>
      <w:r>
        <w:rPr>
          <w:rFonts w:ascii="Consolas" w:hAnsi="Consolas" w:cs="Consolas"/>
          <w:b w:val="0"/>
          <w:i w:val="0"/>
          <w:sz w:val="15"/>
        </w:rPr>
        <w:t xml:space="preserve">    broker_certified BOOLEAN DEFAULT false,</w:t>
      </w:r>
    </w:p>
    <w:p>
      <w:pPr>
        <w:spacing w:after="0" w:before="0" w:line="240" w:lineRule="auto"/>
        <w:ind w:left="57"/>
        <w:jc w:val="left"/>
        <w:shd w:val="clear" w:fill="F2F2F2"/>
      </w:pPr>
      <w:r>
        <w:rPr>
          <w:rFonts w:ascii="Consolas" w:hAnsi="Consolas" w:cs="Consolas"/>
          <w:b w:val="0"/>
          <w:i w:val="0"/>
          <w:sz w:val="15"/>
        </w:rPr>
        <w:t xml:space="preserve">    broker_certified_at TIMESTAMPTZ,</w:t>
      </w:r>
    </w:p>
    <w:p>
      <w:pPr>
        <w:spacing w:after="0" w:before="0" w:line="240" w:lineRule="auto"/>
        <w:ind w:left="57"/>
        <w:jc w:val="left"/>
        <w:shd w:val="clear" w:fill="F2F2F2"/>
      </w:pPr>
      <w:r>
        <w:rPr>
          <w:rFonts w:ascii="Consolas" w:hAnsi="Consolas" w:cs="Consolas"/>
          <w:b w:val="0"/>
          <w:i w:val="0"/>
          <w:sz w:val="15"/>
        </w:rPr>
        <w:t xml:space="preserve">    broker_digital_seal TEXT,</w:t>
      </w:r>
    </w:p>
    <w:p>
      <w:pPr>
        <w:spacing w:after="0" w:before="0" w:line="240" w:lineRule="auto"/>
        <w:ind w:left="57"/>
        <w:jc w:val="left"/>
        <w:shd w:val="clear" w:fill="F2F2F2"/>
      </w:pPr>
      <w:r>
        <w:rPr>
          <w:rFonts w:ascii="Consolas" w:hAnsi="Consolas" w:cs="Consolas"/>
          <w:b w:val="0"/>
          <w:i w:val="0"/>
          <w:sz w:val="15"/>
        </w:rPr>
        <w:t xml:space="preserve">    broker_licence_number TEXT,</w:t>
      </w:r>
    </w:p>
    <w:p>
      <w:pPr>
        <w:spacing w:after="0" w:before="0" w:line="240" w:lineRule="auto"/>
        <w:ind w:left="57"/>
        <w:jc w:val="left"/>
        <w:shd w:val="clear" w:fill="F2F2F2"/>
      </w:pPr>
      <w:r>
        <w:rPr>
          <w:rFonts w:ascii="Consolas" w:hAnsi="Consolas" w:cs="Consolas"/>
          <w:b w:val="0"/>
          <w:i w:val="0"/>
          <w:sz w:val="15"/>
        </w:rPr>
        <w:t xml:space="preserve">    -- Submission</w:t>
      </w:r>
    </w:p>
    <w:p>
      <w:pPr>
        <w:spacing w:after="0" w:before="0" w:line="240" w:lineRule="auto"/>
        <w:ind w:left="57"/>
        <w:jc w:val="left"/>
        <w:shd w:val="clear" w:fill="F2F2F2"/>
      </w:pPr>
      <w:r>
        <w:rPr>
          <w:rFonts w:ascii="Consolas" w:hAnsi="Consolas" w:cs="Consolas"/>
          <w:b w:val="0"/>
          <w:i w:val="0"/>
          <w:sz w:val="15"/>
        </w:rPr>
        <w:t xml:space="preserve">    submitted_by_gtid TEXT NOT NULL,</w:t>
      </w:r>
    </w:p>
    <w:p>
      <w:pPr>
        <w:spacing w:after="0" w:before="0" w:line="240" w:lineRule="auto"/>
        <w:ind w:left="57"/>
        <w:jc w:val="left"/>
        <w:shd w:val="clear" w:fill="F2F2F2"/>
      </w:pPr>
      <w:r>
        <w:rPr>
          <w:rFonts w:ascii="Consolas" w:hAnsi="Consolas" w:cs="Consolas"/>
          <w:b w:val="0"/>
          <w:i w:val="0"/>
          <w:sz w:val="15"/>
        </w:rPr>
        <w:t xml:space="preserve">    submitted_by_employee_id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submitted_at TIMESTAMPTZ DEFAULT NOW(),</w:t>
      </w:r>
    </w:p>
    <w:p>
      <w:pPr>
        <w:spacing w:after="0" w:before="0" w:line="240" w:lineRule="auto"/>
        <w:ind w:left="57"/>
        <w:jc w:val="left"/>
        <w:shd w:val="clear" w:fill="F2F2F2"/>
      </w:pPr>
      <w:r>
        <w:rPr>
          <w:rFonts w:ascii="Consolas" w:hAnsi="Consolas" w:cs="Consolas"/>
          <w:b w:val="0"/>
          <w:i w:val="0"/>
          <w:sz w:val="15"/>
        </w:rPr>
        <w:t xml:space="preserve">    status TEXT DEFAULT 'PENDING', -- 'PENDING', 'SUBMITTED', 'ACCEPTED', 'REJECTED', 'CLEARED'</w:t>
      </w:r>
    </w:p>
    <w:p>
      <w:pPr>
        <w:spacing w:after="0" w:before="0" w:line="240" w:lineRule="auto"/>
        <w:ind w:left="57"/>
        <w:jc w:val="left"/>
        <w:shd w:val="clear" w:fill="F2F2F2"/>
      </w:pPr>
      <w:r>
        <w:rPr>
          <w:rFonts w:ascii="Consolas" w:hAnsi="Consolas" w:cs="Consolas"/>
          <w:b w:val="0"/>
          <w:i w:val="0"/>
          <w:sz w:val="15"/>
        </w:rPr>
        <w:t xml:space="preserve">    nafeza_response JSONB,</w:t>
      </w:r>
    </w:p>
    <w:p>
      <w:pPr>
        <w:spacing w:after="0" w:before="0" w:line="240" w:lineRule="auto"/>
        <w:ind w:left="57"/>
        <w:jc w:val="left"/>
        <w:shd w:val="clear" w:fill="F2F2F2"/>
      </w:pPr>
      <w:r>
        <w:rPr>
          <w:rFonts w:ascii="Consolas" w:hAnsi="Consolas" w:cs="Consolas"/>
          <w:b w:val="0"/>
          <w:i w:val="0"/>
          <w:sz w:val="15"/>
        </w:rPr>
        <w:t xml:space="preserve">    nafeza_status_code INTEGER,</w:t>
      </w:r>
    </w:p>
    <w:p>
      <w:pPr>
        <w:spacing w:after="0" w:before="0" w:line="240" w:lineRule="auto"/>
        <w:ind w:left="57"/>
        <w:jc w:val="left"/>
        <w:shd w:val="clear" w:fill="F2F2F2"/>
      </w:pPr>
      <w:r>
        <w:rPr>
          <w:rFonts w:ascii="Consolas" w:hAnsi="Consolas" w:cs="Consolas"/>
          <w:b w:val="0"/>
          <w:i w:val="0"/>
          <w:sz w:val="15"/>
        </w:rPr>
        <w:t xml:space="preserve">    -- Certificates</w:t>
      </w:r>
    </w:p>
    <w:p>
      <w:pPr>
        <w:spacing w:after="0" w:before="0" w:line="240" w:lineRule="auto"/>
        <w:ind w:left="57"/>
        <w:jc w:val="left"/>
        <w:shd w:val="clear" w:fill="F2F2F2"/>
      </w:pPr>
      <w:r>
        <w:rPr>
          <w:rFonts w:ascii="Consolas" w:hAnsi="Consolas" w:cs="Consolas"/>
          <w:b w:val="0"/>
          <w:i w:val="0"/>
          <w:sz w:val="15"/>
        </w:rPr>
        <w:t xml:space="preserve">    certificates_requested JSONB,</w:t>
      </w:r>
    </w:p>
    <w:p>
      <w:pPr>
        <w:spacing w:after="0" w:before="0" w:line="240" w:lineRule="auto"/>
        <w:ind w:left="57"/>
        <w:jc w:val="left"/>
        <w:shd w:val="clear" w:fill="F2F2F2"/>
      </w:pPr>
      <w:r>
        <w:rPr>
          <w:rFonts w:ascii="Consolas" w:hAnsi="Consolas" w:cs="Consolas"/>
          <w:b w:val="0"/>
          <w:i w:val="0"/>
          <w:sz w:val="15"/>
        </w:rPr>
        <w:t xml:space="preserve">    certificates_issued JSONB,</w:t>
      </w:r>
    </w:p>
    <w:p>
      <w:pPr>
        <w:spacing w:after="0" w:before="0" w:line="240" w:lineRule="auto"/>
        <w:ind w:left="57"/>
        <w:jc w:val="left"/>
        <w:shd w:val="clear" w:fill="F2F2F2"/>
      </w:pPr>
      <w:r>
        <w:rPr>
          <w:rFonts w:ascii="Consolas" w:hAnsi="Consolas" w:cs="Consolas"/>
          <w:b w:val="0"/>
          <w:i w:val="0"/>
          <w:sz w:val="15"/>
        </w:rPr>
        <w:t xml:space="preserve">    -- Digital signature</w:t>
      </w:r>
    </w:p>
    <w:p>
      <w:pPr>
        <w:spacing w:after="0" w:before="0" w:line="240" w:lineRule="auto"/>
        <w:ind w:left="57"/>
        <w:jc w:val="left"/>
        <w:shd w:val="clear" w:fill="F2F2F2"/>
      </w:pPr>
      <w:r>
        <w:rPr>
          <w:rFonts w:ascii="Consolas" w:hAnsi="Consolas" w:cs="Consolas"/>
          <w:b w:val="0"/>
          <w:i w:val="0"/>
          <w:sz w:val="15"/>
        </w:rPr>
        <w:t xml:space="preserve">    digital_signature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 Versioning</w:t>
      </w:r>
    </w:p>
    <w:p>
      <w:pPr>
        <w:spacing w:after="0" w:before="0" w:line="240" w:lineRule="auto"/>
        <w:ind w:left="57"/>
        <w:jc w:val="left"/>
        <w:shd w:val="clear" w:fill="F2F2F2"/>
      </w:pPr>
      <w:r>
        <w:rPr>
          <w:rFonts w:ascii="Consolas" w:hAnsi="Consolas" w:cs="Consolas"/>
          <w:b w:val="0"/>
          <w:i w:val="0"/>
          <w:sz w:val="15"/>
        </w:rPr>
        <w:t xml:space="preserve">    version INTEGER DEFAULT 1,</w:t>
      </w:r>
    </w:p>
    <w:p>
      <w:pPr>
        <w:spacing w:after="0" w:before="0" w:line="240" w:lineRule="auto"/>
        <w:ind w:left="57"/>
        <w:jc w:val="left"/>
        <w:shd w:val="clear" w:fill="F2F2F2"/>
      </w:pPr>
      <w:r>
        <w:rPr>
          <w:rFonts w:ascii="Consolas" w:hAnsi="Consolas" w:cs="Consolas"/>
          <w:b w:val="0"/>
          <w:i w:val="0"/>
          <w:sz w:val="15"/>
        </w:rPr>
        <w:t xml:space="preserve">    previous_version_id UUID REFERENCES customs_declarations(id)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Certificate requests</w:t>
      </w:r>
    </w:p>
    <w:p>
      <w:pPr>
        <w:spacing w:after="0" w:before="0" w:line="240" w:lineRule="auto"/>
        <w:ind w:left="57"/>
        <w:jc w:val="left"/>
        <w:shd w:val="clear" w:fill="F2F2F2"/>
      </w:pPr>
      <w:r>
        <w:rPr>
          <w:rFonts w:ascii="Consolas" w:hAnsi="Consolas" w:cs="Consolas"/>
          <w:b w:val="0"/>
          <w:i w:val="0"/>
          <w:sz w:val="15"/>
        </w:rPr>
        <w:t>CREATE TABLE certificate_requests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customs_declaration_id UUID NOT NULL REFERENCES customs_declarations(id) ON DELETE CASCADE,</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certificate_type TEXT NOT NULL, -- 'PHYTOSANITARY', 'HEALTH', 'COO', 'COLD_TREATMENT', 'FUMIGATION'</w:t>
      </w:r>
    </w:p>
    <w:p>
      <w:pPr>
        <w:spacing w:after="0" w:before="0" w:line="240" w:lineRule="auto"/>
        <w:ind w:left="57"/>
        <w:jc w:val="left"/>
        <w:shd w:val="clear" w:fill="F2F2F2"/>
      </w:pPr>
      <w:r>
        <w:rPr>
          <w:rFonts w:ascii="Consolas" w:hAnsi="Consolas" w:cs="Consolas"/>
          <w:b w:val="0"/>
          <w:i w:val="0"/>
          <w:sz w:val="15"/>
        </w:rPr>
        <w:t xml:space="preserve">    lab_report_ref TEXT,</w:t>
      </w:r>
    </w:p>
    <w:p>
      <w:pPr>
        <w:spacing w:after="0" w:before="0" w:line="240" w:lineRule="auto"/>
        <w:ind w:left="57"/>
        <w:jc w:val="left"/>
        <w:shd w:val="clear" w:fill="F2F2F2"/>
      </w:pPr>
      <w:r>
        <w:rPr>
          <w:rFonts w:ascii="Consolas" w:hAnsi="Consolas" w:cs="Consolas"/>
          <w:b w:val="0"/>
          <w:i w:val="0"/>
          <w:sz w:val="15"/>
        </w:rPr>
        <w:t xml:space="preserve">    certificate_id TEXT,</w:t>
      </w:r>
    </w:p>
    <w:p>
      <w:pPr>
        <w:spacing w:after="0" w:before="0" w:line="240" w:lineRule="auto"/>
        <w:ind w:left="57"/>
        <w:jc w:val="left"/>
        <w:shd w:val="clear" w:fill="F2F2F2"/>
      </w:pPr>
      <w:r>
        <w:rPr>
          <w:rFonts w:ascii="Consolas" w:hAnsi="Consolas" w:cs="Consolas"/>
          <w:b w:val="0"/>
          <w:i w:val="0"/>
          <w:sz w:val="15"/>
        </w:rPr>
        <w:t xml:space="preserve">    status TEXT DEFAULT 'PENDING', -- 'PENDING', 'REQUESTED', 'ISSUED', 'REJECTED'</w:t>
      </w:r>
    </w:p>
    <w:p>
      <w:pPr>
        <w:spacing w:after="0" w:before="0" w:line="240" w:lineRule="auto"/>
        <w:ind w:left="57"/>
        <w:jc w:val="left"/>
        <w:shd w:val="clear" w:fill="F2F2F2"/>
      </w:pPr>
      <w:r>
        <w:rPr>
          <w:rFonts w:ascii="Consolas" w:hAnsi="Consolas" w:cs="Consolas"/>
          <w:b w:val="0"/>
          <w:i w:val="0"/>
          <w:sz w:val="15"/>
        </w:rPr>
        <w:t xml:space="preserve">    issued_at TIMESTAMPTZ,</w:t>
      </w:r>
    </w:p>
    <w:p>
      <w:pPr>
        <w:spacing w:after="0" w:before="0" w:line="240" w:lineRule="auto"/>
        <w:ind w:left="57"/>
        <w:jc w:val="left"/>
        <w:shd w:val="clear" w:fill="F2F2F2"/>
      </w:pPr>
      <w:r>
        <w:rPr>
          <w:rFonts w:ascii="Consolas" w:hAnsi="Consolas" w:cs="Consolas"/>
          <w:b w:val="0"/>
          <w:i w:val="0"/>
          <w:sz w:val="15"/>
        </w:rPr>
        <w:t xml:space="preserve">    expires_at TIMESTAMPTZ,</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sha256_hash TEXT,</w:t>
      </w:r>
    </w:p>
    <w:p>
      <w:pPr>
        <w:spacing w:after="0" w:before="0" w:line="240" w:lineRule="auto"/>
        <w:ind w:left="57"/>
        <w:jc w:val="left"/>
        <w:shd w:val="clear" w:fill="F2F2F2"/>
      </w:pPr>
      <w:r>
        <w:rPr>
          <w:rFonts w:ascii="Consolas" w:hAnsi="Consolas" w:cs="Consolas"/>
          <w:b w:val="0"/>
          <w:i w:val="0"/>
          <w:sz w:val="15"/>
        </w:rPr>
        <w:t xml:space="preserve">    rejection_reason TEXT,</w:t>
      </w:r>
    </w:p>
    <w:p>
      <w:pPr>
        <w:spacing w:after="0" w:before="0" w:line="240" w:lineRule="auto"/>
        <w:ind w:left="57"/>
        <w:jc w:val="left"/>
        <w:shd w:val="clear" w:fill="F2F2F2"/>
      </w:pPr>
      <w:r>
        <w:rPr>
          <w:rFonts w:ascii="Consolas" w:hAnsi="Consolas" w:cs="Consolas"/>
          <w:b w:val="0"/>
          <w:i w:val="0"/>
          <w:sz w:val="15"/>
        </w:rPr>
        <w:t xml:space="preserve">    requested_by_gtid TEXT,</w:t>
      </w:r>
    </w:p>
    <w:p>
      <w:pPr>
        <w:spacing w:after="0" w:before="0" w:line="240" w:lineRule="auto"/>
        <w:ind w:left="57"/>
        <w:jc w:val="left"/>
        <w:shd w:val="clear" w:fill="F2F2F2"/>
      </w:pPr>
      <w:r>
        <w:rPr>
          <w:rFonts w:ascii="Consolas" w:hAnsi="Consolas" w:cs="Consolas"/>
          <w:b w:val="0"/>
          <w:i w:val="0"/>
          <w:sz w:val="15"/>
        </w:rPr>
        <w:t xml:space="preserve">    requested_at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Nafeza submission logs</w:t>
      </w:r>
    </w:p>
    <w:p>
      <w:pPr>
        <w:spacing w:after="0" w:before="0" w:line="240" w:lineRule="auto"/>
        <w:ind w:left="57"/>
        <w:jc w:val="left"/>
        <w:shd w:val="clear" w:fill="F2F2F2"/>
      </w:pPr>
      <w:r>
        <w:rPr>
          <w:rFonts w:ascii="Consolas" w:hAnsi="Consolas" w:cs="Consolas"/>
          <w:b w:val="0"/>
          <w:i w:val="0"/>
          <w:sz w:val="15"/>
        </w:rPr>
        <w:t>CREATE TABLE nafeza_submission_logs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customs_declaration_id UUID NOT NULL REFERENCES customs_declarations(id) ON DELETE CASCADE,</w:t>
      </w:r>
    </w:p>
    <w:p>
      <w:pPr>
        <w:spacing w:after="0" w:before="0" w:line="240" w:lineRule="auto"/>
        <w:ind w:left="57"/>
        <w:jc w:val="left"/>
        <w:shd w:val="clear" w:fill="F2F2F2"/>
      </w:pPr>
      <w:r>
        <w:rPr>
          <w:rFonts w:ascii="Consolas" w:hAnsi="Consolas" w:cs="Consolas"/>
          <w:b w:val="0"/>
          <w:i w:val="0"/>
          <w:sz w:val="15"/>
        </w:rPr>
        <w:t xml:space="preserve">    endpoint TEXT NOT NULL,</w:t>
      </w:r>
    </w:p>
    <w:p>
      <w:pPr>
        <w:spacing w:after="0" w:before="0" w:line="240" w:lineRule="auto"/>
        <w:ind w:left="57"/>
        <w:jc w:val="left"/>
        <w:shd w:val="clear" w:fill="F2F2F2"/>
      </w:pPr>
      <w:r>
        <w:rPr>
          <w:rFonts w:ascii="Consolas" w:hAnsi="Consolas" w:cs="Consolas"/>
          <w:b w:val="0"/>
          <w:i w:val="0"/>
          <w:sz w:val="15"/>
        </w:rPr>
        <w:t xml:space="preserve">    request_json JSONB,</w:t>
      </w:r>
    </w:p>
    <w:p>
      <w:pPr>
        <w:spacing w:after="0" w:before="0" w:line="240" w:lineRule="auto"/>
        <w:ind w:left="57"/>
        <w:jc w:val="left"/>
        <w:shd w:val="clear" w:fill="F2F2F2"/>
      </w:pPr>
      <w:r>
        <w:rPr>
          <w:rFonts w:ascii="Consolas" w:hAnsi="Consolas" w:cs="Consolas"/>
          <w:b w:val="0"/>
          <w:i w:val="0"/>
          <w:sz w:val="15"/>
        </w:rPr>
        <w:t xml:space="preserve">    response_json JSONB,</w:t>
      </w:r>
    </w:p>
    <w:p>
      <w:pPr>
        <w:spacing w:after="0" w:before="0" w:line="240" w:lineRule="auto"/>
        <w:ind w:left="57"/>
        <w:jc w:val="left"/>
        <w:shd w:val="clear" w:fill="F2F2F2"/>
      </w:pPr>
      <w:r>
        <w:rPr>
          <w:rFonts w:ascii="Consolas" w:hAnsi="Consolas" w:cs="Consolas"/>
          <w:b w:val="0"/>
          <w:i w:val="0"/>
          <w:sz w:val="15"/>
        </w:rPr>
        <w:t xml:space="preserve">    status_code INTEGER,</w:t>
      </w:r>
    </w:p>
    <w:p>
      <w:pPr>
        <w:spacing w:after="0" w:before="0" w:line="240" w:lineRule="auto"/>
        <w:ind w:left="57"/>
        <w:jc w:val="left"/>
        <w:shd w:val="clear" w:fill="F2F2F2"/>
      </w:pPr>
      <w:r>
        <w:rPr>
          <w:rFonts w:ascii="Consolas" w:hAnsi="Consolas" w:cs="Consolas"/>
          <w:b w:val="0"/>
          <w:i w:val="0"/>
          <w:sz w:val="15"/>
        </w:rPr>
        <w:t xml:space="preserve">    success BOOLEAN,</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idempotency_key TEXT,</w:t>
      </w:r>
    </w:p>
    <w:p>
      <w:pPr>
        <w:spacing w:after="0" w:before="0" w:line="240" w:lineRule="auto"/>
        <w:ind w:left="57"/>
        <w:jc w:val="left"/>
        <w:shd w:val="clear" w:fill="F2F2F2"/>
      </w:pPr>
      <w:r>
        <w:rPr>
          <w:rFonts w:ascii="Consolas" w:hAnsi="Consolas" w:cs="Consolas"/>
          <w:b w:val="0"/>
          <w:i w:val="0"/>
          <w:sz w:val="15"/>
        </w:rPr>
        <w:t xml:space="preserve">    submitted_at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Lab results (from laboratory portal)</w:t>
      </w:r>
    </w:p>
    <w:p>
      <w:pPr>
        <w:spacing w:after="0" w:before="0" w:line="240" w:lineRule="auto"/>
        <w:ind w:left="57"/>
        <w:jc w:val="left"/>
        <w:shd w:val="clear" w:fill="F2F2F2"/>
      </w:pPr>
      <w:r>
        <w:rPr>
          <w:rFonts w:ascii="Consolas" w:hAnsi="Consolas" w:cs="Consolas"/>
          <w:b w:val="0"/>
          <w:i w:val="0"/>
          <w:sz w:val="15"/>
        </w:rPr>
        <w:t>CREATE TABLE lab_results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commodity_id UUID REFERENCES trade_request_commodities(id) ON DELETE SET NULL,</w:t>
      </w:r>
    </w:p>
    <w:p>
      <w:pPr>
        <w:spacing w:after="0" w:before="0" w:line="240" w:lineRule="auto"/>
        <w:ind w:left="57"/>
        <w:jc w:val="left"/>
        <w:shd w:val="clear" w:fill="F2F2F2"/>
      </w:pPr>
      <w:r>
        <w:rPr>
          <w:rFonts w:ascii="Consolas" w:hAnsi="Consolas" w:cs="Consolas"/>
          <w:b w:val="0"/>
          <w:i w:val="0"/>
          <w:sz w:val="15"/>
        </w:rPr>
        <w:t xml:space="preserve">    lab_gtid TEXT NOT NULL REFERENCES tenants(gtid) ON DELETE CASCADE,</w:t>
      </w:r>
    </w:p>
    <w:p>
      <w:pPr>
        <w:spacing w:after="0" w:before="0" w:line="240" w:lineRule="auto"/>
        <w:ind w:left="57"/>
        <w:jc w:val="left"/>
        <w:shd w:val="clear" w:fill="F2F2F2"/>
      </w:pPr>
      <w:r>
        <w:rPr>
          <w:rFonts w:ascii="Consolas" w:hAnsi="Consolas" w:cs="Consolas"/>
          <w:b w:val="0"/>
          <w:i w:val="0"/>
          <w:sz w:val="15"/>
        </w:rPr>
        <w:t xml:space="preserve">    results JSONB NOT NULL,</w:t>
      </w:r>
    </w:p>
    <w:p>
      <w:pPr>
        <w:spacing w:after="0" w:before="0" w:line="240" w:lineRule="auto"/>
        <w:ind w:left="57"/>
        <w:jc w:val="left"/>
        <w:shd w:val="clear" w:fill="F2F2F2"/>
      </w:pPr>
      <w:r>
        <w:rPr>
          <w:rFonts w:ascii="Consolas" w:hAnsi="Consolas" w:cs="Consolas"/>
          <w:b w:val="0"/>
          <w:i w:val="0"/>
          <w:sz w:val="15"/>
        </w:rPr>
        <w:t xml:space="preserve">    conclusion TEXT, -- 'COMPLIANT', 'NON_COMPLIANT'</w:t>
      </w:r>
    </w:p>
    <w:p>
      <w:pPr>
        <w:spacing w:after="0" w:before="0" w:line="240" w:lineRule="auto"/>
        <w:ind w:left="57"/>
        <w:jc w:val="left"/>
        <w:shd w:val="clear" w:fill="F2F2F2"/>
      </w:pPr>
      <w:r>
        <w:rPr>
          <w:rFonts w:ascii="Consolas" w:hAnsi="Consolas" w:cs="Consolas"/>
          <w:b w:val="0"/>
          <w:i w:val="0"/>
          <w:sz w:val="15"/>
        </w:rPr>
        <w:t xml:space="preserve">    mrl_validation JSONB,</w:t>
      </w:r>
    </w:p>
    <w:p>
      <w:pPr>
        <w:spacing w:after="0" w:before="0" w:line="240" w:lineRule="auto"/>
        <w:ind w:left="57"/>
        <w:jc w:val="left"/>
        <w:shd w:val="clear" w:fill="F2F2F2"/>
      </w:pPr>
      <w:r>
        <w:rPr>
          <w:rFonts w:ascii="Consolas" w:hAnsi="Consolas" w:cs="Consolas"/>
          <w:b w:val="0"/>
          <w:i w:val="0"/>
          <w:sz w:val="15"/>
        </w:rPr>
        <w:t xml:space="preserve">    submitted_by_employee_id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submitted_at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Certificate issuance logs</w:t>
      </w:r>
    </w:p>
    <w:p>
      <w:pPr>
        <w:spacing w:after="0" w:before="0" w:line="240" w:lineRule="auto"/>
        <w:ind w:left="57"/>
        <w:jc w:val="left"/>
        <w:shd w:val="clear" w:fill="F2F2F2"/>
      </w:pPr>
      <w:r>
        <w:rPr>
          <w:rFonts w:ascii="Consolas" w:hAnsi="Consolas" w:cs="Consolas"/>
          <w:b w:val="0"/>
          <w:i w:val="0"/>
          <w:sz w:val="15"/>
        </w:rPr>
        <w:t>CREATE TABLE certificate_issuance_logs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certificate_request_id UUID NOT NULL REFERENCES certificate_requests(id) ON DELETE CASCADE,</w:t>
      </w:r>
    </w:p>
    <w:p>
      <w:pPr>
        <w:spacing w:after="0" w:before="0" w:line="240" w:lineRule="auto"/>
        <w:ind w:left="57"/>
        <w:jc w:val="left"/>
        <w:shd w:val="clear" w:fill="F2F2F2"/>
      </w:pPr>
      <w:r>
        <w:rPr>
          <w:rFonts w:ascii="Consolas" w:hAnsi="Consolas" w:cs="Consolas"/>
          <w:b w:val="0"/>
          <w:i w:val="0"/>
          <w:sz w:val="15"/>
        </w:rPr>
        <w:t xml:space="preserve">    issuance_attempt INTEGER DEFAULT 1,</w:t>
      </w:r>
    </w:p>
    <w:p>
      <w:pPr>
        <w:spacing w:after="0" w:before="0" w:line="240" w:lineRule="auto"/>
        <w:ind w:left="57"/>
        <w:jc w:val="left"/>
        <w:shd w:val="clear" w:fill="F2F2F2"/>
      </w:pPr>
      <w:r>
        <w:rPr>
          <w:rFonts w:ascii="Consolas" w:hAnsi="Consolas" w:cs="Consolas"/>
          <w:b w:val="0"/>
          <w:i w:val="0"/>
          <w:sz w:val="15"/>
        </w:rPr>
        <w:t xml:space="preserve">    success BOOLEAN,</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attempted_at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idx_customs_declarations_ustn ON customs_declarations(ustn);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idx_customs_declarations_trade_request ON customs_declarations(trade_request_id);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idx_customs_declarations_status ON customs_declarations(status);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idx_customs_declarations_broker ON customs_declarations(broker_gtid);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idx_certificate_requests_ustn ON certificate_requests(ustn);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idx_certificate_requests_customs_declaration ON certificate_requests(customs_declaration_id);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idx_certificate_requests_status ON certificate_requests(status);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idx_nafeza_submission_logs_declaration ON nafeza_submission_logs(customs_declaration_id);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idx_nafeza_submission_logs_submitted_at ON nafeza_submission_logs(submitted_at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idx_lab_results_ustn ON lab_results(ustn);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idx_lab_results_submitted_at ON lab_results(submitted_at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idx_certificate_issuance_logs_request ON certificate_issuance_logs(certificate_request_id);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8.9.8 Implementation Checklist</w:t>
      </w:r>
    </w:p>
    <w:p>
      <w:pPr>
        <w:spacing w:after="80" w:line="293" w:lineRule="auto"/>
        <w:jc w:val="left"/>
      </w:pPr>
      <w:r>
        <w:rPr>
          <w:rFonts w:ascii="Times New Roman" w:hAnsi="Times New Roman" w:cs="Times New Roman"/>
          <w:b w:val="0"/>
          <w:i w:val="0"/>
          <w:sz w:val="22"/>
        </w:rPr>
        <w:t>SAD generation:</w:t>
      </w:r>
    </w:p>
    <w:p>
      <w:pPr>
        <w:spacing w:after="80" w:line="293" w:lineRule="auto"/>
        <w:ind w:left="283"/>
        <w:jc w:val="left"/>
      </w:pPr>
      <w:r>
        <w:rPr>
          <w:rFonts w:ascii="Times New Roman" w:hAnsi="Times New Roman" w:cs="Times New Roman"/>
          <w:b w:val="0"/>
          <w:i w:val="0"/>
          <w:sz w:val="22"/>
        </w:rPr>
        <w:t>- Implement SAD JSON generator (Rust)</w:t>
      </w:r>
    </w:p>
    <w:p>
      <w:pPr>
        <w:spacing w:after="80" w:line="293" w:lineRule="auto"/>
        <w:ind w:left="283"/>
        <w:jc w:val="left"/>
      </w:pPr>
      <w:r>
        <w:rPr>
          <w:rFonts w:ascii="Times New Roman" w:hAnsi="Times New Roman" w:cs="Times New Roman"/>
          <w:b w:val="0"/>
          <w:i w:val="0"/>
          <w:sz w:val="22"/>
        </w:rPr>
        <w:t>- Implement SAD field mapping (trade request → SAD)</w:t>
      </w:r>
    </w:p>
    <w:p>
      <w:pPr>
        <w:spacing w:after="80" w:line="293" w:lineRule="auto"/>
        <w:ind w:left="283"/>
        <w:jc w:val="left"/>
      </w:pPr>
      <w:r>
        <w:rPr>
          <w:rFonts w:ascii="Times New Roman" w:hAnsi="Times New Roman" w:cs="Times New Roman"/>
          <w:b w:val="0"/>
          <w:i w:val="0"/>
          <w:sz w:val="22"/>
        </w:rPr>
        <w:t>- Implement goods line generation (per commodity)</w:t>
      </w:r>
    </w:p>
    <w:p>
      <w:pPr>
        <w:spacing w:after="80" w:line="293" w:lineRule="auto"/>
        <w:ind w:left="283"/>
        <w:jc w:val="left"/>
      </w:pPr>
      <w:r>
        <w:rPr>
          <w:rFonts w:ascii="Times New Roman" w:hAnsi="Times New Roman" w:cs="Times New Roman"/>
          <w:b w:val="0"/>
          <w:i w:val="0"/>
          <w:sz w:val="22"/>
        </w:rPr>
        <w:t>- Implement certificate requests generation</w:t>
      </w:r>
    </w:p>
    <w:p>
      <w:pPr>
        <w:spacing w:after="80" w:line="293" w:lineRule="auto"/>
        <w:ind w:left="283"/>
        <w:jc w:val="left"/>
      </w:pPr>
      <w:r>
        <w:rPr>
          <w:rFonts w:ascii="Times New Roman" w:hAnsi="Times New Roman" w:cs="Times New Roman"/>
          <w:b w:val="0"/>
          <w:i w:val="0"/>
          <w:sz w:val="22"/>
        </w:rPr>
        <w:t>- Implement transport section generation</w:t>
      </w:r>
    </w:p>
    <w:p>
      <w:pPr>
        <w:spacing w:after="80" w:line="293" w:lineRule="auto"/>
        <w:ind w:left="283"/>
        <w:jc w:val="left"/>
      </w:pPr>
      <w:r>
        <w:rPr>
          <w:rFonts w:ascii="Times New Roman" w:hAnsi="Times New Roman" w:cs="Times New Roman"/>
          <w:b w:val="0"/>
          <w:i w:val="0"/>
          <w:sz w:val="22"/>
        </w:rPr>
        <w:t>- Implement special instructions integration</w:t>
      </w:r>
    </w:p>
    <w:p>
      <w:pPr>
        <w:spacing w:after="80" w:line="293" w:lineRule="auto"/>
        <w:ind w:left="283"/>
        <w:jc w:val="left"/>
      </w:pPr>
      <w:r>
        <w:rPr>
          <w:rFonts w:ascii="Times New Roman" w:hAnsi="Times New Roman" w:cs="Times New Roman"/>
          <w:b w:val="0"/>
          <w:i w:val="0"/>
          <w:sz w:val="22"/>
        </w:rPr>
        <w:t>- Implement insurance integration</w:t>
      </w:r>
    </w:p>
    <w:p>
      <w:pPr>
        <w:spacing w:after="80" w:line="293" w:lineRule="auto"/>
        <w:ind w:left="283"/>
        <w:jc w:val="left"/>
      </w:pPr>
      <w:r>
        <w:rPr>
          <w:rFonts w:ascii="Times New Roman" w:hAnsi="Times New Roman" w:cs="Times New Roman"/>
          <w:b w:val="0"/>
          <w:i w:val="0"/>
          <w:sz w:val="22"/>
        </w:rPr>
        <w:t>- Implement commercial settlement integration</w:t>
      </w:r>
    </w:p>
    <w:p>
      <w:pPr>
        <w:spacing w:after="80" w:line="293" w:lineRule="auto"/>
        <w:jc w:val="left"/>
      </w:pPr>
      <w:r>
        <w:rPr>
          <w:rFonts w:ascii="Times New Roman" w:hAnsi="Times New Roman" w:cs="Times New Roman"/>
          <w:b w:val="0"/>
          <w:i w:val="0"/>
          <w:sz w:val="22"/>
        </w:rPr>
        <w:t>Broker certification:</w:t>
      </w:r>
    </w:p>
    <w:p>
      <w:pPr>
        <w:spacing w:after="80" w:line="293" w:lineRule="auto"/>
        <w:ind w:left="283"/>
        <w:jc w:val="left"/>
      </w:pPr>
      <w:r>
        <w:rPr>
          <w:rFonts w:ascii="Times New Roman" w:hAnsi="Times New Roman" w:cs="Times New Roman"/>
          <w:b w:val="0"/>
          <w:i w:val="0"/>
          <w:sz w:val="22"/>
        </w:rPr>
        <w:t>- Implement broker certification workflow</w:t>
      </w:r>
    </w:p>
    <w:p>
      <w:pPr>
        <w:spacing w:after="80" w:line="293" w:lineRule="auto"/>
        <w:ind w:left="283"/>
        <w:jc w:val="left"/>
      </w:pPr>
      <w:r>
        <w:rPr>
          <w:rFonts w:ascii="Times New Roman" w:hAnsi="Times New Roman" w:cs="Times New Roman"/>
          <w:b w:val="0"/>
          <w:i w:val="0"/>
          <w:sz w:val="22"/>
        </w:rPr>
        <w:t>- Implement broker review UI (declaration preview)</w:t>
      </w:r>
    </w:p>
    <w:p>
      <w:pPr>
        <w:spacing w:after="80" w:line="293" w:lineRule="auto"/>
        <w:ind w:left="283"/>
        <w:jc w:val="left"/>
      </w:pPr>
      <w:r>
        <w:rPr>
          <w:rFonts w:ascii="Times New Roman" w:hAnsi="Times New Roman" w:cs="Times New Roman"/>
          <w:b w:val="0"/>
          <w:i w:val="0"/>
          <w:sz w:val="22"/>
        </w:rPr>
        <w:t>- Implement low-confidence field highlighting</w:t>
      </w:r>
    </w:p>
    <w:p>
      <w:pPr>
        <w:spacing w:after="80" w:line="293" w:lineRule="auto"/>
        <w:ind w:left="283"/>
        <w:jc w:val="left"/>
      </w:pPr>
      <w:r>
        <w:rPr>
          <w:rFonts w:ascii="Times New Roman" w:hAnsi="Times New Roman" w:cs="Times New Roman"/>
          <w:b w:val="0"/>
          <w:i w:val="0"/>
          <w:sz w:val="22"/>
        </w:rPr>
        <w:t>- Implement digital seal application</w:t>
      </w:r>
    </w:p>
    <w:p>
      <w:pPr>
        <w:spacing w:after="80" w:line="293" w:lineRule="auto"/>
        <w:ind w:left="283"/>
        <w:jc w:val="left"/>
      </w:pPr>
      <w:r>
        <w:rPr>
          <w:rFonts w:ascii="Times New Roman" w:hAnsi="Times New Roman" w:cs="Times New Roman"/>
          <w:b w:val="0"/>
          <w:i w:val="0"/>
          <w:sz w:val="22"/>
        </w:rPr>
        <w:t>- Implement broker certification storage</w:t>
      </w:r>
    </w:p>
    <w:p>
      <w:pPr>
        <w:spacing w:after="80" w:line="293" w:lineRule="auto"/>
        <w:jc w:val="left"/>
      </w:pPr>
      <w:r>
        <w:rPr>
          <w:rFonts w:ascii="Times New Roman" w:hAnsi="Times New Roman" w:cs="Times New Roman"/>
          <w:b w:val="0"/>
          <w:i w:val="0"/>
          <w:sz w:val="22"/>
        </w:rPr>
        <w:t>Nafeza integration:</w:t>
      </w:r>
    </w:p>
    <w:p>
      <w:pPr>
        <w:spacing w:after="80" w:line="293" w:lineRule="auto"/>
        <w:ind w:left="283"/>
        <w:jc w:val="left"/>
      </w:pPr>
      <w:r>
        <w:rPr>
          <w:rFonts w:ascii="Times New Roman" w:hAnsi="Times New Roman" w:cs="Times New Roman"/>
          <w:b w:val="0"/>
          <w:i w:val="0"/>
          <w:sz w:val="22"/>
        </w:rPr>
        <w:t>- Implement Nafeza API client (mTLS)</w:t>
      </w:r>
    </w:p>
    <w:p>
      <w:pPr>
        <w:spacing w:after="80" w:line="293" w:lineRule="auto"/>
        <w:ind w:left="283"/>
        <w:jc w:val="left"/>
      </w:pPr>
      <w:r>
        <w:rPr>
          <w:rFonts w:ascii="Times New Roman" w:hAnsi="Times New Roman" w:cs="Times New Roman"/>
          <w:b w:val="0"/>
          <w:i w:val="0"/>
          <w:sz w:val="22"/>
        </w:rPr>
        <w:t>- Implement declaration submission endpoint (POST /api/v2/declaration)</w:t>
      </w:r>
    </w:p>
    <w:p>
      <w:pPr>
        <w:spacing w:after="80" w:line="293" w:lineRule="auto"/>
        <w:ind w:left="283"/>
        <w:jc w:val="left"/>
      </w:pPr>
      <w:r>
        <w:rPr>
          <w:rFonts w:ascii="Times New Roman" w:hAnsi="Times New Roman" w:cs="Times New Roman"/>
          <w:b w:val="0"/>
          <w:i w:val="0"/>
          <w:sz w:val="22"/>
        </w:rPr>
        <w:t>- Implement certificate request endpoint (POST /api/v2/declaration/{id}/certificates)</w:t>
      </w:r>
    </w:p>
    <w:p>
      <w:pPr>
        <w:spacing w:after="80" w:line="293" w:lineRule="auto"/>
        <w:ind w:left="283"/>
        <w:jc w:val="left"/>
      </w:pPr>
      <w:r>
        <w:rPr>
          <w:rFonts w:ascii="Times New Roman" w:hAnsi="Times New Roman" w:cs="Times New Roman"/>
          <w:b w:val="0"/>
          <w:i w:val="0"/>
          <w:sz w:val="22"/>
        </w:rPr>
        <w:t>- Implement declaration status polling (GET /api/v2/declaration/{id})</w:t>
      </w:r>
    </w:p>
    <w:p>
      <w:pPr>
        <w:spacing w:after="80" w:line="293" w:lineRule="auto"/>
        <w:ind w:left="283"/>
        <w:jc w:val="left"/>
      </w:pPr>
      <w:r>
        <w:rPr>
          <w:rFonts w:ascii="Times New Roman" w:hAnsi="Times New Roman" w:cs="Times New Roman"/>
          <w:b w:val="0"/>
          <w:i w:val="0"/>
          <w:sz w:val="22"/>
        </w:rPr>
        <w:t>- Implement certificate download and storage</w:t>
      </w:r>
    </w:p>
    <w:p>
      <w:pPr>
        <w:spacing w:after="80" w:line="293" w:lineRule="auto"/>
        <w:ind w:left="283"/>
        <w:jc w:val="left"/>
      </w:pPr>
      <w:r>
        <w:rPr>
          <w:rFonts w:ascii="Times New Roman" w:hAnsi="Times New Roman" w:cs="Times New Roman"/>
          <w:b w:val="0"/>
          <w:i w:val="0"/>
          <w:sz w:val="22"/>
        </w:rPr>
        <w:t>- Implement retry logic (exponential backoff)</w:t>
      </w:r>
    </w:p>
    <w:p>
      <w:pPr>
        <w:spacing w:after="80" w:line="293" w:lineRule="auto"/>
        <w:ind w:left="283"/>
        <w:jc w:val="left"/>
      </w:pPr>
      <w:r>
        <w:rPr>
          <w:rFonts w:ascii="Times New Roman" w:hAnsi="Times New Roman" w:cs="Times New Roman"/>
          <w:b w:val="0"/>
          <w:i w:val="0"/>
          <w:sz w:val="22"/>
        </w:rPr>
        <w:t>- Implement fallback to manual PDF submission</w:t>
      </w:r>
    </w:p>
    <w:p>
      <w:pPr>
        <w:spacing w:after="80" w:line="293" w:lineRule="auto"/>
        <w:jc w:val="left"/>
      </w:pPr>
      <w:r>
        <w:rPr>
          <w:rFonts w:ascii="Times New Roman" w:hAnsi="Times New Roman" w:cs="Times New Roman"/>
          <w:b w:val="0"/>
          <w:i w:val="0"/>
          <w:sz w:val="22"/>
        </w:rPr>
        <w:t>Lab result integration:</w:t>
      </w:r>
    </w:p>
    <w:p>
      <w:pPr>
        <w:spacing w:after="80" w:line="293" w:lineRule="auto"/>
        <w:ind w:left="283"/>
        <w:jc w:val="left"/>
      </w:pPr>
      <w:r>
        <w:rPr>
          <w:rFonts w:ascii="Times New Roman" w:hAnsi="Times New Roman" w:cs="Times New Roman"/>
          <w:b w:val="0"/>
          <w:i w:val="0"/>
          <w:sz w:val="22"/>
        </w:rPr>
        <w:t>- Implement lab result validation (A2)</w:t>
      </w:r>
    </w:p>
    <w:p>
      <w:pPr>
        <w:spacing w:after="80" w:line="293" w:lineRule="auto"/>
        <w:ind w:left="283"/>
        <w:jc w:val="left"/>
      </w:pPr>
      <w:r>
        <w:rPr>
          <w:rFonts w:ascii="Times New Roman" w:hAnsi="Times New Roman" w:cs="Times New Roman"/>
          <w:b w:val="0"/>
          <w:i w:val="0"/>
          <w:sz w:val="22"/>
        </w:rPr>
        <w:t>- Implement MRL validation (A2)</w:t>
      </w:r>
    </w:p>
    <w:p>
      <w:pPr>
        <w:spacing w:after="80" w:line="293" w:lineRule="auto"/>
        <w:ind w:left="283"/>
        <w:jc w:val="left"/>
      </w:pPr>
      <w:r>
        <w:rPr>
          <w:rFonts w:ascii="Times New Roman" w:hAnsi="Times New Roman" w:cs="Times New Roman"/>
          <w:b w:val="0"/>
          <w:i w:val="0"/>
          <w:sz w:val="22"/>
        </w:rPr>
        <w:t>- Implement automatic certificate trigger on compliant results</w:t>
      </w:r>
    </w:p>
    <w:p>
      <w:pPr>
        <w:spacing w:after="80" w:line="293" w:lineRule="auto"/>
        <w:ind w:left="283"/>
        <w:jc w:val="left"/>
      </w:pPr>
      <w:r>
        <w:rPr>
          <w:rFonts w:ascii="Times New Roman" w:hAnsi="Times New Roman" w:cs="Times New Roman"/>
          <w:b w:val="0"/>
          <w:i w:val="0"/>
          <w:sz w:val="22"/>
        </w:rPr>
        <w:t>- Implement lab result storage</w:t>
      </w:r>
    </w:p>
    <w:p>
      <w:pPr>
        <w:spacing w:after="80" w:line="293" w:lineRule="auto"/>
        <w:jc w:val="left"/>
      </w:pPr>
      <w:r>
        <w:rPr>
          <w:rFonts w:ascii="Times New Roman" w:hAnsi="Times New Roman" w:cs="Times New Roman"/>
          <w:b w:val="0"/>
          <w:i w:val="0"/>
          <w:sz w:val="22"/>
        </w:rPr>
        <w:t>Certificate management:</w:t>
      </w:r>
    </w:p>
    <w:p>
      <w:pPr>
        <w:spacing w:after="80" w:line="293" w:lineRule="auto"/>
        <w:ind w:left="283"/>
        <w:jc w:val="left"/>
      </w:pPr>
      <w:r>
        <w:rPr>
          <w:rFonts w:ascii="Times New Roman" w:hAnsi="Times New Roman" w:cs="Times New Roman"/>
          <w:b w:val="0"/>
          <w:i w:val="0"/>
          <w:sz w:val="22"/>
        </w:rPr>
        <w:t>- Implement certificate request tracking</w:t>
      </w:r>
    </w:p>
    <w:p>
      <w:pPr>
        <w:spacing w:after="80" w:line="293" w:lineRule="auto"/>
        <w:ind w:left="283"/>
        <w:jc w:val="left"/>
      </w:pPr>
      <w:r>
        <w:rPr>
          <w:rFonts w:ascii="Times New Roman" w:hAnsi="Times New Roman" w:cs="Times New Roman"/>
          <w:b w:val="0"/>
          <w:i w:val="0"/>
          <w:sz w:val="22"/>
        </w:rPr>
        <w:t>- Implement certificate download and storage</w:t>
      </w:r>
    </w:p>
    <w:p>
      <w:pPr>
        <w:spacing w:after="80" w:line="293" w:lineRule="auto"/>
        <w:ind w:left="283"/>
        <w:jc w:val="left"/>
      </w:pPr>
      <w:r>
        <w:rPr>
          <w:rFonts w:ascii="Times New Roman" w:hAnsi="Times New Roman" w:cs="Times New Roman"/>
          <w:b w:val="0"/>
          <w:i w:val="0"/>
          <w:sz w:val="22"/>
        </w:rPr>
        <w:t>- Implement certificate expiry monitoring</w:t>
      </w:r>
    </w:p>
    <w:p>
      <w:pPr>
        <w:spacing w:after="80" w:line="293" w:lineRule="auto"/>
        <w:ind w:left="283"/>
        <w:jc w:val="left"/>
      </w:pPr>
      <w:r>
        <w:rPr>
          <w:rFonts w:ascii="Times New Roman" w:hAnsi="Times New Roman" w:cs="Times New Roman"/>
          <w:b w:val="0"/>
          <w:i w:val="0"/>
          <w:sz w:val="22"/>
        </w:rPr>
        <w:t>- Implement certificate renewal reminders</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SAD JSON generation; certificate request generation; broker certification workflow</w:t>
      </w:r>
    </w:p>
    <w:p>
      <w:pPr>
        <w:spacing w:after="80" w:line="293" w:lineRule="auto"/>
        <w:ind w:left="283"/>
        <w:jc w:val="left"/>
      </w:pPr>
      <w:r>
        <w:rPr>
          <w:rFonts w:ascii="Times New Roman" w:hAnsi="Times New Roman" w:cs="Times New Roman"/>
          <w:b w:val="0"/>
          <w:i w:val="0"/>
          <w:sz w:val="22"/>
        </w:rPr>
        <w:t>- Integration tests: declaration generation → Nafeza submission; lab results → certificate trigger; broker certification → Nafeza submission</w:t>
      </w:r>
    </w:p>
    <w:p>
      <w:pPr>
        <w:spacing w:after="80" w:line="293" w:lineRule="auto"/>
        <w:ind w:left="283"/>
        <w:jc w:val="left"/>
      </w:pPr>
      <w:r>
        <w:rPr>
          <w:rFonts w:ascii="Times New Roman" w:hAnsi="Times New Roman" w:cs="Times New Roman"/>
          <w:b w:val="0"/>
          <w:i w:val="0"/>
          <w:sz w:val="22"/>
        </w:rPr>
        <w:t>- End-to-end tests: full customs declaration workflow</w:t>
      </w:r>
    </w:p>
    <w:p>
      <w:pPr>
        <w:keepNext/>
        <w:spacing w:before="180" w:after="80"/>
        <w:outlineLvl w:val="2"/>
      </w:pPr>
      <w:r>
        <w:rPr>
          <w:rFonts w:ascii="Arial" w:hAnsi="Arial" w:cs="Arial"/>
          <w:b/>
          <w:i w:val="0"/>
          <w:color w:val="333333"/>
          <w:sz w:val="23"/>
        </w:rPr>
        <w:t>8.9.9 AI Authority Summary</w:t>
      </w:r>
    </w:p>
    <w:p>
      <w:pPr>
        <w:spacing w:after="80" w:line="293" w:lineRule="auto"/>
        <w:jc w:val="left"/>
      </w:pPr>
      <w:r>
        <w:rPr>
          <w:rFonts w:ascii="Times New Roman" w:hAnsi="Times New Roman" w:cs="Times New Roman"/>
          <w:b w:val="0"/>
          <w:i w:val="0"/>
          <w:sz w:val="22"/>
        </w:rPr>
        <w:t>A2 (HF local) validates lab results against MRLs and generates field confidence scores for broker review. A1 (Groq) supports plain-language remediation explanations. A4 (OPA + WasmEdge) enforces submission preconditions, broker capability checks, and idempotent submission. AI never certifies a declaration, never submits to Nafeza autonomously, and never marks a certificate ISSUED without authoritative Nafeza evidence.</w:t>
      </w:r>
    </w:p>
    <w:p>
      <w:pPr>
        <w:keepNext/>
        <w:spacing w:before="240" w:after="100"/>
        <w:outlineLvl w:val="1"/>
      </w:pPr>
      <w:r>
        <w:rPr>
          <w:rFonts w:ascii="Arial" w:hAnsi="Arial" w:cs="Arial"/>
          <w:b/>
          <w:i w:val="0"/>
          <w:color w:val="2E528F"/>
          <w:sz w:val="26"/>
        </w:rPr>
        <w:t>8.10 Ecological Packaging Advisor</w:t>
      </w:r>
    </w:p>
    <w:p>
      <w:pPr>
        <w:keepNext/>
        <w:spacing w:before="180" w:after="80"/>
        <w:outlineLvl w:val="2"/>
      </w:pPr>
      <w:r>
        <w:rPr>
          <w:rFonts w:ascii="Arial" w:hAnsi="Arial" w:cs="Arial"/>
          <w:b/>
          <w:i w:val="0"/>
          <w:color w:val="333333"/>
          <w:sz w:val="23"/>
        </w:rPr>
        <w:t>8.10.1 Purpose &amp; Design Philosophy</w:t>
      </w:r>
    </w:p>
    <w:p>
      <w:pPr>
        <w:spacing w:after="80" w:line="293" w:lineRule="auto"/>
        <w:jc w:val="left"/>
      </w:pPr>
      <w:r>
        <w:rPr>
          <w:rFonts w:ascii="Times New Roman" w:hAnsi="Times New Roman" w:cs="Times New Roman"/>
          <w:b w:val="0"/>
          <w:i w:val="0"/>
          <w:sz w:val="22"/>
        </w:rPr>
        <w:t>The Ecological Packaging Advisor is an AI-driven, advisory-only feature that analyses the packaging materials used in a trade and suggests sustainable alternatives that reduce carbon footprint, comply with destination regulations, and often save costs. This feature addresses the growing regulatory and consumer demand for sustainable trade practices, including the EU Single-Use Plastics Directive, Germany's Packaging Act, and corporate ESG commitments.</w:t>
      </w:r>
    </w:p>
    <w:p>
      <w:pPr>
        <w:spacing w:after="80" w:line="293" w:lineRule="auto"/>
        <w:jc w:val="left"/>
      </w:pPr>
      <w:r>
        <w:rPr>
          <w:rFonts w:ascii="Times New Roman" w:hAnsi="Times New Roman" w:cs="Times New Roman"/>
          <w:b w:val="0"/>
          <w:i w:val="0"/>
          <w:sz w:val="22"/>
        </w:rPr>
        <w:t>Key principles: Advisory only — suggestions are recommendations; the seller can accept, modify, or ignore. Data-driven — recommendations are based on LCA (Life Cycle Assessment) data, regulatory requirements, and cost comparisons. Regulatory-aware — considers destination-country packaging regulations (for example, EU Single-Use Plastics Directive, Germany's Packaging Act). Cost-transparent — shows cost savings (or additional costs) for each alternative. One-click application — the seller can apply recommendations to all containers or specific containers with a single click. Non-marketplace — never recommends specific suppliers or vendors; only suggests material types. Integrated with special instructions — aligns with the buyer's special instructions (for example, "No wooden pallets").</w:t>
      </w:r>
    </w:p>
    <w:p>
      <w:pPr>
        <w:keepNext/>
        <w:spacing w:before="180" w:after="80"/>
        <w:outlineLvl w:val="2"/>
      </w:pPr>
      <w:r>
        <w:rPr>
          <w:rFonts w:ascii="Arial" w:hAnsi="Arial" w:cs="Arial"/>
          <w:b/>
          <w:i w:val="0"/>
          <w:color w:val="333333"/>
          <w:sz w:val="23"/>
        </w:rPr>
        <w:t>8.10.2 Core Technology Stack</w:t>
      </w:r>
    </w:p>
    <w:p>
      <w:pPr>
        <w:spacing w:after="80" w:line="293" w:lineRule="auto"/>
        <w:jc w:val="left"/>
      </w:pPr>
      <w:r>
        <w:rPr>
          <w:rFonts w:ascii="Times New Roman" w:hAnsi="Times New Roman" w:cs="Times New Roman"/>
          <w:b w:val="0"/>
          <w:i w:val="0"/>
          <w:sz w:val="22"/>
        </w:rPr>
        <w:t>Recommendation engine: Rust service with LCA material database (Ecoinvent + LCA Commons), regulatory database (RIA-maintained), and Groq (A1) for explanation generation.</w:t>
      </w:r>
    </w:p>
    <w:p>
      <w:pPr>
        <w:keepNext/>
        <w:spacing w:before="180" w:after="80"/>
        <w:outlineLvl w:val="2"/>
      </w:pPr>
      <w:r>
        <w:rPr>
          <w:rFonts w:ascii="Arial" w:hAnsi="Arial" w:cs="Arial"/>
          <w:b/>
          <w:i w:val="0"/>
          <w:color w:val="333333"/>
          <w:sz w:val="23"/>
        </w:rPr>
        <w:t>8.10.3 Data Sources &amp; Databases</w:t>
      </w:r>
    </w:p>
    <w:p>
      <w:pPr>
        <w:keepNext/>
        <w:spacing w:before="140" w:after="60"/>
        <w:outlineLvl w:val="3"/>
      </w:pPr>
      <w:r>
        <w:rPr>
          <w:rFonts w:ascii="Arial" w:hAnsi="Arial" w:cs="Arial"/>
          <w:b/>
          <w:i/>
          <w:color w:val="333333"/>
          <w:sz w:val="22"/>
        </w:rPr>
        <w:t>8.10.3.1 Material Database</w:t>
      </w:r>
    </w:p>
    <w:p>
      <w:pPr>
        <w:spacing w:after="80" w:line="293" w:lineRule="auto"/>
        <w:jc w:val="left"/>
      </w:pPr>
      <w:r>
        <w:rPr>
          <w:rFonts w:ascii="Times New Roman" w:hAnsi="Times New Roman" w:cs="Times New Roman"/>
          <w:b w:val="0"/>
          <w:i w:val="0"/>
          <w:sz w:val="22"/>
        </w:rPr>
        <w:t>Packaging material records carry: material code and name (with Arabic name); category (PLASTIC, PAPER, WOOD, METAL, GLASS, BIO, COMPOSITE); carbon footprint (kg CO2e per kg); cost per kg; recycled content percentage; biodegradability, recyclability, reusability, hazard flags; Halal certification; ISPM 15 compliance; typical use; tensile strength; maximum weight.</w:t>
      </w:r>
    </w:p>
    <w:p>
      <w:pPr>
        <w:keepNext/>
        <w:spacing w:before="140" w:after="60"/>
        <w:outlineLvl w:val="3"/>
      </w:pPr>
      <w:r>
        <w:rPr>
          <w:rFonts w:ascii="Arial" w:hAnsi="Arial" w:cs="Arial"/>
          <w:b/>
          <w:i/>
          <w:color w:val="333333"/>
          <w:sz w:val="22"/>
        </w:rPr>
        <w:t>8.10.3.2 Regulatory Database (RIA-Maintained)</w:t>
      </w:r>
    </w:p>
    <w:p>
      <w:pPr>
        <w:spacing w:after="80" w:line="293" w:lineRule="auto"/>
        <w:jc w:val="left"/>
      </w:pPr>
      <w:r>
        <w:rPr>
          <w:rFonts w:ascii="Times New Roman" w:hAnsi="Times New Roman" w:cs="Times New Roman"/>
          <w:b w:val="0"/>
          <w:i w:val="0"/>
          <w:sz w:val="22"/>
        </w:rPr>
        <w:t>Destination-country packaging regulations carry: country code; regulation name and reference; material restrictions (for example, EPS foam banned with effective date); recycled content requirement (percentage); reporting requirements and frequency; penalty for non-compliance; effective date.</w:t>
      </w:r>
    </w:p>
    <w:p>
      <w:pPr>
        <w:keepNext/>
        <w:spacing w:before="140" w:after="60"/>
        <w:outlineLvl w:val="3"/>
      </w:pPr>
      <w:r>
        <w:rPr>
          <w:rFonts w:ascii="Arial" w:hAnsi="Arial" w:cs="Arial"/>
          <w:b/>
          <w:i/>
          <w:color w:val="333333"/>
          <w:sz w:val="22"/>
        </w:rPr>
        <w:t>8.10.3.3 Special Instruction Integration</w:t>
      </w:r>
    </w:p>
    <w:p>
      <w:pPr>
        <w:spacing w:after="80" w:line="293" w:lineRule="auto"/>
        <w:jc w:val="left"/>
      </w:pPr>
      <w:r>
        <w:rPr>
          <w:rFonts w:ascii="Times New Roman" w:hAnsi="Times New Roman" w:cs="Times New Roman"/>
          <w:b w:val="0"/>
          <w:i w:val="0"/>
          <w:sz w:val="22"/>
        </w:rPr>
        <w:t>The advisor respects and aligns with the buyer's special trade instructions — for example, "No wooden pallets" excludes wooden alternatives; "Halal certification required" restricts recommendations to Halal-certified materials.</w:t>
      </w:r>
    </w:p>
    <w:p>
      <w:pPr>
        <w:keepNext/>
        <w:spacing w:before="180" w:after="80"/>
        <w:outlineLvl w:val="2"/>
      </w:pPr>
      <w:r>
        <w:rPr>
          <w:rFonts w:ascii="Arial" w:hAnsi="Arial" w:cs="Arial"/>
          <w:b/>
          <w:i w:val="0"/>
          <w:color w:val="333333"/>
          <w:sz w:val="23"/>
        </w:rPr>
        <w:t>8.10.4 Recommendation Engine</w:t>
      </w:r>
    </w:p>
    <w:p>
      <w:pPr>
        <w:keepNext/>
        <w:spacing w:before="140" w:after="60"/>
        <w:outlineLvl w:val="3"/>
      </w:pPr>
      <w:r>
        <w:rPr>
          <w:rFonts w:ascii="Arial" w:hAnsi="Arial" w:cs="Arial"/>
          <w:b/>
          <w:i/>
          <w:color w:val="333333"/>
          <w:sz w:val="22"/>
        </w:rPr>
        <w:t>8.10.4.1 Suggestion Generation Logic</w:t>
      </w:r>
    </w:p>
    <w:p>
      <w:pPr>
        <w:spacing w:after="0" w:before="0" w:line="240" w:lineRule="auto"/>
        <w:ind w:left="57"/>
        <w:jc w:val="left"/>
        <w:shd w:val="clear" w:fill="F2F2F2"/>
      </w:pPr>
      <w:r>
        <w:rPr>
          <w:rFonts w:ascii="Consolas" w:hAnsi="Consolas" w:cs="Consolas"/>
          <w:b w:val="0"/>
          <w:i w:val="0"/>
          <w:sz w:val="15"/>
        </w:rPr>
        <w:t>// Pseudo-code: ecological packaging recommendation engine</w:t>
      </w:r>
    </w:p>
    <w:p>
      <w:pPr>
        <w:spacing w:after="0" w:before="0" w:line="240" w:lineRule="auto"/>
        <w:ind w:left="57"/>
        <w:jc w:val="left"/>
        <w:shd w:val="clear" w:fill="F2F2F2"/>
      </w:pPr>
      <w:r>
        <w:rPr>
          <w:rFonts w:ascii="Consolas" w:hAnsi="Consolas" w:cs="Consolas"/>
          <w:b w:val="0"/>
          <w:i w:val="0"/>
          <w:sz w:val="15"/>
        </w:rPr>
        <w:t>fn generate_packaging_recommendations(</w:t>
      </w:r>
    </w:p>
    <w:p>
      <w:pPr>
        <w:spacing w:after="0" w:before="0" w:line="240" w:lineRule="auto"/>
        <w:ind w:left="57"/>
        <w:jc w:val="left"/>
        <w:shd w:val="clear" w:fill="F2F2F2"/>
      </w:pPr>
      <w:r>
        <w:rPr>
          <w:rFonts w:ascii="Consolas" w:hAnsi="Consolas" w:cs="Consolas"/>
          <w:b w:val="0"/>
          <w:i w:val="0"/>
          <w:sz w:val="15"/>
        </w:rPr>
        <w:t xml:space="preserve">    current_material: &amp;Material,</w:t>
      </w:r>
    </w:p>
    <w:p>
      <w:pPr>
        <w:spacing w:after="0" w:before="0" w:line="240" w:lineRule="auto"/>
        <w:ind w:left="57"/>
        <w:jc w:val="left"/>
        <w:shd w:val="clear" w:fill="F2F2F2"/>
      </w:pPr>
      <w:r>
        <w:rPr>
          <w:rFonts w:ascii="Consolas" w:hAnsi="Consolas" w:cs="Consolas"/>
          <w:b w:val="0"/>
          <w:i w:val="0"/>
          <w:sz w:val="15"/>
        </w:rPr>
        <w:t xml:space="preserve">    destination_country: &amp;str,</w:t>
      </w:r>
    </w:p>
    <w:p>
      <w:pPr>
        <w:spacing w:after="0" w:before="0" w:line="240" w:lineRule="auto"/>
        <w:ind w:left="57"/>
        <w:jc w:val="left"/>
        <w:shd w:val="clear" w:fill="F2F2F2"/>
      </w:pPr>
      <w:r>
        <w:rPr>
          <w:rFonts w:ascii="Consolas" w:hAnsi="Consolas" w:cs="Consolas"/>
          <w:b w:val="0"/>
          <w:i w:val="0"/>
          <w:sz w:val="15"/>
        </w:rPr>
        <w:t xml:space="preserve">    weight_kg: f64,</w:t>
      </w:r>
    </w:p>
    <w:p>
      <w:pPr>
        <w:spacing w:after="0" w:before="0" w:line="240" w:lineRule="auto"/>
        <w:ind w:left="57"/>
        <w:jc w:val="left"/>
        <w:shd w:val="clear" w:fill="F2F2F2"/>
      </w:pPr>
      <w:r>
        <w:rPr>
          <w:rFonts w:ascii="Consolas" w:hAnsi="Consolas" w:cs="Consolas"/>
          <w:b w:val="0"/>
          <w:i w:val="0"/>
          <w:sz w:val="15"/>
        </w:rPr>
        <w:t xml:space="preserve">    quantity: f64,</w:t>
      </w:r>
    </w:p>
    <w:p>
      <w:pPr>
        <w:spacing w:after="0" w:before="0" w:line="240" w:lineRule="auto"/>
        <w:ind w:left="57"/>
        <w:jc w:val="left"/>
        <w:shd w:val="clear" w:fill="F2F2F2"/>
      </w:pPr>
      <w:r>
        <w:rPr>
          <w:rFonts w:ascii="Consolas" w:hAnsi="Consolas" w:cs="Consolas"/>
          <w:b w:val="0"/>
          <w:i w:val="0"/>
          <w:sz w:val="15"/>
        </w:rPr>
        <w:t xml:space="preserve">    special_instructions: &amp;[String],</w:t>
      </w:r>
    </w:p>
    <w:p>
      <w:pPr>
        <w:spacing w:after="0" w:before="0" w:line="240" w:lineRule="auto"/>
        <w:ind w:left="57"/>
        <w:jc w:val="left"/>
        <w:shd w:val="clear" w:fill="F2F2F2"/>
      </w:pPr>
      <w:r>
        <w:rPr>
          <w:rFonts w:ascii="Consolas" w:hAnsi="Consolas" w:cs="Consolas"/>
          <w:b w:val="0"/>
          <w:i w:val="0"/>
          <w:sz w:val="15"/>
        </w:rPr>
        <w:t xml:space="preserve">    current_cost: f64</w:t>
      </w:r>
    </w:p>
    <w:p>
      <w:pPr>
        <w:spacing w:after="0" w:before="0" w:line="240" w:lineRule="auto"/>
        <w:ind w:left="57"/>
        <w:jc w:val="left"/>
        <w:shd w:val="clear" w:fill="F2F2F2"/>
      </w:pPr>
      <w:r>
        <w:rPr>
          <w:rFonts w:ascii="Consolas" w:hAnsi="Consolas" w:cs="Consolas"/>
          <w:b w:val="0"/>
          <w:i w:val="0"/>
          <w:sz w:val="15"/>
        </w:rPr>
        <w:t>) -&gt; Vec&lt;PackagingSuggestion&gt; {</w:t>
      </w:r>
    </w:p>
    <w:p>
      <w:pPr>
        <w:spacing w:after="0" w:before="0" w:line="240" w:lineRule="auto"/>
        <w:ind w:left="57"/>
        <w:jc w:val="left"/>
        <w:shd w:val="clear" w:fill="F2F2F2"/>
      </w:pPr>
      <w:r>
        <w:rPr>
          <w:rFonts w:ascii="Consolas" w:hAnsi="Consolas" w:cs="Consolas"/>
          <w:b w:val="0"/>
          <w:i w:val="0"/>
          <w:sz w:val="15"/>
        </w:rPr>
        <w:t xml:space="preserve">    let mut suggestions = Vec::new();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1. Get all alternative materials</w:t>
      </w:r>
    </w:p>
    <w:p>
      <w:pPr>
        <w:spacing w:after="0" w:before="0" w:line="240" w:lineRule="auto"/>
        <w:ind w:left="57"/>
        <w:jc w:val="left"/>
        <w:shd w:val="clear" w:fill="F2F2F2"/>
      </w:pPr>
      <w:r>
        <w:rPr>
          <w:rFonts w:ascii="Consolas" w:hAnsi="Consolas" w:cs="Consolas"/>
          <w:b w:val="0"/>
          <w:i w:val="0"/>
          <w:sz w:val="15"/>
        </w:rPr>
        <w:t xml:space="preserve">    let alternatives = get_alternative_materials(current_material);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Filter by special instructions</w:t>
      </w:r>
    </w:p>
    <w:p>
      <w:pPr>
        <w:spacing w:after="0" w:before="0" w:line="240" w:lineRule="auto"/>
        <w:ind w:left="57"/>
        <w:jc w:val="left"/>
        <w:shd w:val="clear" w:fill="F2F2F2"/>
      </w:pPr>
      <w:r>
        <w:rPr>
          <w:rFonts w:ascii="Consolas" w:hAnsi="Consolas" w:cs="Consolas"/>
          <w:b w:val="0"/>
          <w:i w:val="0"/>
          <w:sz w:val="15"/>
        </w:rPr>
        <w:t xml:space="preserve">    let filtered = filter_by_special_instructions(alternatives, special_instructions);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Check regulatory compliance</w:t>
      </w:r>
    </w:p>
    <w:p>
      <w:pPr>
        <w:spacing w:after="0" w:before="0" w:line="240" w:lineRule="auto"/>
        <w:ind w:left="57"/>
        <w:jc w:val="left"/>
        <w:shd w:val="clear" w:fill="F2F2F2"/>
      </w:pPr>
      <w:r>
        <w:rPr>
          <w:rFonts w:ascii="Consolas" w:hAnsi="Consolas" w:cs="Consolas"/>
          <w:b w:val="0"/>
          <w:i w:val="0"/>
          <w:sz w:val="15"/>
        </w:rPr>
        <w:t xml:space="preserve">    let compliant = check_regulatory_compliance(filtered, destination_country);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Calculate carbon savings</w:t>
      </w:r>
    </w:p>
    <w:p>
      <w:pPr>
        <w:spacing w:after="0" w:before="0" w:line="240" w:lineRule="auto"/>
        <w:ind w:left="57"/>
        <w:jc w:val="left"/>
        <w:shd w:val="clear" w:fill="F2F2F2"/>
      </w:pPr>
      <w:r>
        <w:rPr>
          <w:rFonts w:ascii="Consolas" w:hAnsi="Consolas" w:cs="Consolas"/>
          <w:b w:val="0"/>
          <w:i w:val="0"/>
          <w:sz w:val="15"/>
        </w:rPr>
        <w:t xml:space="preserve">    for material in compliant {</w:t>
      </w:r>
    </w:p>
    <w:p>
      <w:pPr>
        <w:spacing w:after="0" w:before="0" w:line="240" w:lineRule="auto"/>
        <w:ind w:left="57"/>
        <w:jc w:val="left"/>
        <w:shd w:val="clear" w:fill="F2F2F2"/>
      </w:pPr>
      <w:r>
        <w:rPr>
          <w:rFonts w:ascii="Consolas" w:hAnsi="Consolas" w:cs="Consolas"/>
          <w:b w:val="0"/>
          <w:i w:val="0"/>
          <w:sz w:val="15"/>
        </w:rPr>
        <w:t xml:space="preserve">        let carbon_saving = calculate_carbon_saving(current_material, material, weight_kg);</w:t>
      </w:r>
    </w:p>
    <w:p>
      <w:pPr>
        <w:spacing w:after="0" w:before="0" w:line="240" w:lineRule="auto"/>
        <w:ind w:left="57"/>
        <w:jc w:val="left"/>
        <w:shd w:val="clear" w:fill="F2F2F2"/>
      </w:pPr>
      <w:r>
        <w:rPr>
          <w:rFonts w:ascii="Consolas" w:hAnsi="Consolas" w:cs="Consolas"/>
          <w:b w:val="0"/>
          <w:i w:val="0"/>
          <w:sz w:val="15"/>
        </w:rPr>
        <w:t xml:space="preserve">        let cost_impact = calculate_cost_impact(current_cost, material.cost_index);</w:t>
      </w:r>
    </w:p>
    <w:p>
      <w:pPr>
        <w:spacing w:after="0" w:before="0" w:line="240" w:lineRule="auto"/>
        <w:ind w:left="57"/>
        <w:jc w:val="left"/>
        <w:shd w:val="clear" w:fill="F2F2F2"/>
      </w:pPr>
      <w:r>
        <w:rPr>
          <w:rFonts w:ascii="Consolas" w:hAnsi="Consolas" w:cs="Consolas"/>
          <w:b w:val="0"/>
          <w:i w:val="0"/>
          <w:sz w:val="15"/>
        </w:rPr>
        <w:t xml:space="preserve">        let compliance_status = check_compliance(material, destination_country);</w:t>
      </w:r>
    </w:p>
    <w:p>
      <w:pPr>
        <w:spacing w:after="0" w:before="0" w:line="240" w:lineRule="auto"/>
        <w:ind w:left="57"/>
        <w:jc w:val="left"/>
        <w:shd w:val="clear" w:fill="F2F2F2"/>
      </w:pPr>
      <w:r>
        <w:rPr>
          <w:rFonts w:ascii="Consolas" w:hAnsi="Consolas" w:cs="Consolas"/>
          <w:b w:val="0"/>
          <w:i w:val="0"/>
          <w:sz w:val="15"/>
        </w:rPr>
        <w:t xml:space="preserve">        suggestions.push(PackagingSuggestion {</w:t>
      </w:r>
    </w:p>
    <w:p>
      <w:pPr>
        <w:spacing w:after="0" w:before="0" w:line="240" w:lineRule="auto"/>
        <w:ind w:left="57"/>
        <w:jc w:val="left"/>
        <w:shd w:val="clear" w:fill="F2F2F2"/>
      </w:pPr>
      <w:r>
        <w:rPr>
          <w:rFonts w:ascii="Consolas" w:hAnsi="Consolas" w:cs="Consolas"/>
          <w:b w:val="0"/>
          <w:i w:val="0"/>
          <w:sz w:val="15"/>
        </w:rPr>
        <w:t xml:space="preserve">            material: material,</w:t>
      </w:r>
    </w:p>
    <w:p>
      <w:pPr>
        <w:spacing w:after="0" w:before="0" w:line="240" w:lineRule="auto"/>
        <w:ind w:left="57"/>
        <w:jc w:val="left"/>
        <w:shd w:val="clear" w:fill="F2F2F2"/>
      </w:pPr>
      <w:r>
        <w:rPr>
          <w:rFonts w:ascii="Consolas" w:hAnsi="Consolas" w:cs="Consolas"/>
          <w:b w:val="0"/>
          <w:i w:val="0"/>
          <w:sz w:val="15"/>
        </w:rPr>
        <w:t xml:space="preserve">            carbon_saving_kg_co2e: carbon_saving,</w:t>
      </w:r>
    </w:p>
    <w:p>
      <w:pPr>
        <w:spacing w:after="0" w:before="0" w:line="240" w:lineRule="auto"/>
        <w:ind w:left="57"/>
        <w:jc w:val="left"/>
        <w:shd w:val="clear" w:fill="F2F2F2"/>
      </w:pPr>
      <w:r>
        <w:rPr>
          <w:rFonts w:ascii="Consolas" w:hAnsi="Consolas" w:cs="Consolas"/>
          <w:b w:val="0"/>
          <w:i w:val="0"/>
          <w:sz w:val="15"/>
        </w:rPr>
        <w:t xml:space="preserve">            cost_impact_percent: cost_impact,</w:t>
      </w:r>
    </w:p>
    <w:p>
      <w:pPr>
        <w:spacing w:after="0" w:before="0" w:line="240" w:lineRule="auto"/>
        <w:ind w:left="57"/>
        <w:jc w:val="left"/>
        <w:shd w:val="clear" w:fill="F2F2F2"/>
      </w:pPr>
      <w:r>
        <w:rPr>
          <w:rFonts w:ascii="Consolas" w:hAnsi="Consolas" w:cs="Consolas"/>
          <w:b w:val="0"/>
          <w:i w:val="0"/>
          <w:sz w:val="15"/>
        </w:rPr>
        <w:t xml:space="preserve">            cost_impact_usd: current_cost * cost_impact,</w:t>
      </w:r>
    </w:p>
    <w:p>
      <w:pPr>
        <w:spacing w:after="0" w:before="0" w:line="240" w:lineRule="auto"/>
        <w:ind w:left="57"/>
        <w:jc w:val="left"/>
        <w:shd w:val="clear" w:fill="F2F2F2"/>
      </w:pPr>
      <w:r>
        <w:rPr>
          <w:rFonts w:ascii="Consolas" w:hAnsi="Consolas" w:cs="Consolas"/>
          <w:b w:val="0"/>
          <w:i w:val="0"/>
          <w:sz w:val="15"/>
        </w:rPr>
        <w:t xml:space="preserve">            compliance_status: compliance_status,</w:t>
      </w:r>
    </w:p>
    <w:p>
      <w:pPr>
        <w:spacing w:after="0" w:before="0" w:line="240" w:lineRule="auto"/>
        <w:ind w:left="57"/>
        <w:jc w:val="left"/>
        <w:shd w:val="clear" w:fill="F2F2F2"/>
      </w:pPr>
      <w:r>
        <w:rPr>
          <w:rFonts w:ascii="Consolas" w:hAnsi="Consolas" w:cs="Consolas"/>
          <w:b w:val="0"/>
          <w:i w:val="0"/>
          <w:sz w:val="15"/>
        </w:rPr>
        <w:t xml:space="preserve">            recommendation_strength:</w:t>
      </w:r>
    </w:p>
    <w:p>
      <w:pPr>
        <w:spacing w:after="0" w:before="0" w:line="240" w:lineRule="auto"/>
        <w:ind w:left="57"/>
        <w:jc w:val="left"/>
        <w:shd w:val="clear" w:fill="F2F2F2"/>
      </w:pPr>
      <w:r>
        <w:rPr>
          <w:rFonts w:ascii="Consolas" w:hAnsi="Consolas" w:cs="Consolas"/>
          <w:b w:val="0"/>
          <w:i w:val="0"/>
          <w:sz w:val="15"/>
        </w:rPr>
        <w:t xml:space="preserve">                calculate_recommendation_strength(carbon_saving, cost_impact, compliance_status),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Sort by recommendation strength (A1, Groq)</w:t>
      </w:r>
    </w:p>
    <w:p>
      <w:pPr>
        <w:spacing w:after="0" w:before="0" w:line="240" w:lineRule="auto"/>
        <w:ind w:left="57"/>
        <w:jc w:val="left"/>
        <w:shd w:val="clear" w:fill="F2F2F2"/>
      </w:pPr>
      <w:r>
        <w:rPr>
          <w:rFonts w:ascii="Consolas" w:hAnsi="Consolas" w:cs="Consolas"/>
          <w:b w:val="0"/>
          <w:i w:val="0"/>
          <w:sz w:val="15"/>
        </w:rPr>
        <w:t xml:space="preserve">    suggestions.sort_by(|a, b|</w:t>
      </w:r>
    </w:p>
    <w:p>
      <w:pPr>
        <w:spacing w:after="0" w:before="0" w:line="240" w:lineRule="auto"/>
        <w:ind w:left="57"/>
        <w:jc w:val="left"/>
        <w:shd w:val="clear" w:fill="F2F2F2"/>
      </w:pPr>
      <w:r>
        <w:rPr>
          <w:rFonts w:ascii="Consolas" w:hAnsi="Consolas" w:cs="Consolas"/>
          <w:b w:val="0"/>
          <w:i w:val="0"/>
          <w:sz w:val="15"/>
        </w:rPr>
        <w:t xml:space="preserve">        b.recommendation_strength.partial_cmp(&amp;a.recommendation_strength).unwrap());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6. Generate explanations (A1, Groq)</w:t>
      </w:r>
    </w:p>
    <w:p>
      <w:pPr>
        <w:spacing w:after="0" w:before="0" w:line="240" w:lineRule="auto"/>
        <w:ind w:left="57"/>
        <w:jc w:val="left"/>
        <w:shd w:val="clear" w:fill="F2F2F2"/>
      </w:pPr>
      <w:r>
        <w:rPr>
          <w:rFonts w:ascii="Consolas" w:hAnsi="Consolas" w:cs="Consolas"/>
          <w:b w:val="0"/>
          <w:i w:val="0"/>
          <w:sz w:val="15"/>
        </w:rPr>
        <w:t xml:space="preserve">    for suggestion in &amp;mut suggestions {</w:t>
      </w:r>
    </w:p>
    <w:p>
      <w:pPr>
        <w:spacing w:after="0" w:before="0" w:line="240" w:lineRule="auto"/>
        <w:ind w:left="57"/>
        <w:jc w:val="left"/>
        <w:shd w:val="clear" w:fill="F2F2F2"/>
      </w:pPr>
      <w:r>
        <w:rPr>
          <w:rFonts w:ascii="Consolas" w:hAnsi="Consolas" w:cs="Consolas"/>
          <w:b w:val="0"/>
          <w:i w:val="0"/>
          <w:sz w:val="15"/>
        </w:rPr>
        <w:t xml:space="preserve">        suggestion.explanation = generate_explanation(suggestion, destination_country)?;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suggestions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8.10.4.2 Recommendation Strength Scoring</w:t>
      </w:r>
    </w:p>
    <w:p>
      <w:pPr>
        <w:spacing w:after="80" w:line="293" w:lineRule="auto"/>
        <w:jc w:val="left"/>
      </w:pPr>
      <w:r>
        <w:rPr>
          <w:rFonts w:ascii="Times New Roman" w:hAnsi="Times New Roman" w:cs="Times New Roman"/>
          <w:b w:val="0"/>
          <w:i w:val="0"/>
          <w:sz w:val="22"/>
        </w:rPr>
        <w:t>Weighted score: carbon saving (0.4), cost impact (0.25), compliance (0.25), special instruction alignment (0.1). Example scoring — virgin plastic strapping → recycled PET strapping:</w:t>
      </w:r>
    </w:p>
    <w:p>
      <w:pPr>
        <w:spacing w:after="80" w:line="293" w:lineRule="auto"/>
        <w:ind w:left="283"/>
        <w:jc w:val="left"/>
      </w:pPr>
      <w:r>
        <w:rPr>
          <w:rFonts w:ascii="Times New Roman" w:hAnsi="Times New Roman" w:cs="Times New Roman"/>
          <w:b w:val="0"/>
          <w:i w:val="0"/>
          <w:sz w:val="22"/>
        </w:rPr>
        <w:t>- Carbon saving: 52% → score 52</w:t>
      </w:r>
    </w:p>
    <w:p>
      <w:pPr>
        <w:spacing w:after="80" w:line="293" w:lineRule="auto"/>
        <w:ind w:left="283"/>
        <w:jc w:val="left"/>
      </w:pPr>
      <w:r>
        <w:rPr>
          <w:rFonts w:ascii="Times New Roman" w:hAnsi="Times New Roman" w:cs="Times New Roman"/>
          <w:b w:val="0"/>
          <w:i w:val="0"/>
          <w:sz w:val="22"/>
        </w:rPr>
        <w:t>- Cost impact: −10% → score 90</w:t>
      </w:r>
    </w:p>
    <w:p>
      <w:pPr>
        <w:spacing w:after="80" w:line="293" w:lineRule="auto"/>
        <w:ind w:left="283"/>
        <w:jc w:val="left"/>
      </w:pPr>
      <w:r>
        <w:rPr>
          <w:rFonts w:ascii="Times New Roman" w:hAnsi="Times New Roman" w:cs="Times New Roman"/>
          <w:b w:val="0"/>
          <w:i w:val="0"/>
          <w:sz w:val="22"/>
        </w:rPr>
        <w:t>- Compliance: compliant (EU) → score 100</w:t>
      </w:r>
    </w:p>
    <w:p>
      <w:pPr>
        <w:spacing w:after="80" w:line="293" w:lineRule="auto"/>
        <w:ind w:left="283"/>
        <w:jc w:val="left"/>
      </w:pPr>
      <w:r>
        <w:rPr>
          <w:rFonts w:ascii="Times New Roman" w:hAnsi="Times New Roman" w:cs="Times New Roman"/>
          <w:b w:val="0"/>
          <w:i w:val="0"/>
          <w:sz w:val="22"/>
        </w:rPr>
        <w:t>- Special instruction alignment: partially aligned → score 50</w:t>
      </w:r>
    </w:p>
    <w:p>
      <w:pPr>
        <w:spacing w:after="80" w:line="293" w:lineRule="auto"/>
        <w:jc w:val="left"/>
      </w:pPr>
      <w:r>
        <w:rPr>
          <w:rFonts w:ascii="Times New Roman" w:hAnsi="Times New Roman" w:cs="Times New Roman"/>
          <w:b w:val="0"/>
          <w:i w:val="0"/>
          <w:sz w:val="22"/>
        </w:rPr>
        <w:t>Weighted score = (52 × 0.4) + (90 × 0.25) + (100 × 0.25) + (50 × 0.1) = 20.8 + 22.5 + 25 + 5 = 73.3 → recommendation strength: HIGH.</w:t>
      </w:r>
    </w:p>
    <w:p>
      <w:pPr>
        <w:keepNext/>
        <w:spacing w:before="180" w:after="80"/>
        <w:outlineLvl w:val="2"/>
      </w:pPr>
      <w:r>
        <w:rPr>
          <w:rFonts w:ascii="Arial" w:hAnsi="Arial" w:cs="Arial"/>
          <w:b/>
          <w:i w:val="0"/>
          <w:color w:val="333333"/>
          <w:sz w:val="23"/>
        </w:rPr>
        <w:t>8.10.5 UI — Ecological Packaging Advisor</w:t>
      </w:r>
    </w:p>
    <w:p>
      <w:pPr>
        <w:keepNext/>
        <w:spacing w:before="140" w:after="60"/>
        <w:outlineLvl w:val="3"/>
      </w:pPr>
      <w:r>
        <w:rPr>
          <w:rFonts w:ascii="Arial" w:hAnsi="Arial" w:cs="Arial"/>
          <w:b/>
          <w:i/>
          <w:color w:val="333333"/>
          <w:sz w:val="22"/>
        </w:rPr>
        <w:t>8.10.5.1 Complete UI Example</w:t>
      </w:r>
    </w:p>
    <w:p>
      <w:pPr>
        <w:spacing w:after="0" w:before="0" w:line="240" w:lineRule="auto"/>
        <w:ind w:left="57"/>
        <w:jc w:val="left"/>
        <w:shd w:val="clear" w:fill="F2F2F2"/>
      </w:pPr>
      <w:r>
        <w:rPr>
          <w:rFonts w:ascii="Consolas" w:hAnsi="Consolas" w:cs="Consolas"/>
          <w:b w:val="0"/>
          <w:i w:val="0"/>
          <w:sz w:val="15"/>
        </w:rPr>
        <w:t>ECOLOGICAL PACKAGING ADVISOR</w:t>
      </w:r>
    </w:p>
    <w:p>
      <w:pPr>
        <w:spacing w:after="0" w:before="0" w:line="240" w:lineRule="auto"/>
        <w:ind w:left="57"/>
        <w:jc w:val="left"/>
        <w:shd w:val="clear" w:fill="F2F2F2"/>
      </w:pPr>
      <w:r>
        <w:rPr>
          <w:rFonts w:ascii="Consolas" w:hAnsi="Consolas" w:cs="Consolas"/>
          <w:b w:val="0"/>
          <w:i w:val="0"/>
          <w:sz w:val="15"/>
        </w:rPr>
        <w:t>Advisory recommendations to reduce environmental impact and comply with</w:t>
      </w:r>
    </w:p>
    <w:p>
      <w:pPr>
        <w:spacing w:after="0" w:before="0" w:line="240" w:lineRule="auto"/>
        <w:ind w:left="57"/>
        <w:jc w:val="left"/>
        <w:shd w:val="clear" w:fill="F2F2F2"/>
      </w:pPr>
      <w:r>
        <w:rPr>
          <w:rFonts w:ascii="Consolas" w:hAnsi="Consolas" w:cs="Consolas"/>
          <w:b w:val="0"/>
          <w:i w:val="0"/>
          <w:sz w:val="15"/>
        </w:rPr>
        <w:t>destination-country regulations.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DESTINATION: Germany (EU)</w:t>
      </w:r>
    </w:p>
    <w:p>
      <w:pPr>
        <w:spacing w:after="0" w:before="0" w:line="240" w:lineRule="auto"/>
        <w:ind w:left="57"/>
        <w:jc w:val="left"/>
        <w:shd w:val="clear" w:fill="F2F2F2"/>
      </w:pPr>
      <w:r>
        <w:rPr>
          <w:rFonts w:ascii="Consolas" w:hAnsi="Consolas" w:cs="Consolas"/>
          <w:b w:val="0"/>
          <w:i w:val="0"/>
          <w:sz w:val="15"/>
        </w:rPr>
        <w:t>REGULATIONS: Packaging Act (VerpackG) — recycled content ≥30% for plastic</w:t>
      </w:r>
    </w:p>
    <w:p>
      <w:pPr>
        <w:spacing w:after="0" w:before="0" w:line="240" w:lineRule="auto"/>
        <w:ind w:left="57"/>
        <w:jc w:val="left"/>
        <w:shd w:val="clear" w:fill="F2F2F2"/>
      </w:pPr>
      <w:r>
        <w:rPr>
          <w:rFonts w:ascii="Consolas" w:hAnsi="Consolas" w:cs="Consolas"/>
          <w:b w:val="0"/>
          <w:i w:val="0"/>
          <w:sz w:val="15"/>
        </w:rPr>
        <w:t xml:space="preserve">             Single-Use Plastics Directive — EPS foam banned</w:t>
      </w:r>
    </w:p>
    <w:p>
      <w:pPr>
        <w:spacing w:after="0" w:before="0" w:line="240" w:lineRule="auto"/>
        <w:ind w:left="57"/>
        <w:jc w:val="left"/>
        <w:shd w:val="clear" w:fill="F2F2F2"/>
      </w:pPr>
      <w:r>
        <w:rPr>
          <w:rFonts w:ascii="Consolas" w:hAnsi="Consolas" w:cs="Consolas"/>
          <w:b w:val="0"/>
          <w:i w:val="0"/>
          <w:sz w:val="15"/>
        </w:rPr>
        <w:t>SPECIAL INSTRUCTIONS: No wooden pallets. Halal certification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CURRENT PACKAGING MATERIALS:</w:t>
      </w:r>
    </w:p>
    <w:p>
      <w:pPr>
        <w:spacing w:after="0" w:before="0" w:line="240" w:lineRule="auto"/>
        <w:ind w:left="57"/>
        <w:jc w:val="left"/>
        <w:shd w:val="clear" w:fill="F2F2F2"/>
      </w:pPr>
      <w:r>
        <w:rPr>
          <w:rFonts w:ascii="Consolas" w:hAnsi="Consolas" w:cs="Consolas"/>
          <w:b w:val="0"/>
          <w:i w:val="0"/>
          <w:sz w:val="15"/>
        </w:rPr>
        <w:t xml:space="preserve">  Commodity | Material             | Carbon (kg CO2e) | Cost (USD)</w:t>
      </w:r>
    </w:p>
    <w:p>
      <w:pPr>
        <w:spacing w:after="0" w:before="0" w:line="240" w:lineRule="auto"/>
        <w:ind w:left="57"/>
        <w:jc w:val="left"/>
        <w:shd w:val="clear" w:fill="F2F2F2"/>
      </w:pPr>
      <w:r>
        <w:rPr>
          <w:rFonts w:ascii="Consolas" w:hAnsi="Consolas" w:cs="Consolas"/>
          <w:b w:val="0"/>
          <w:i w:val="0"/>
          <w:sz w:val="15"/>
        </w:rPr>
        <w:t xml:space="preserve">  Oranges   | Virgin Plastic Strap | 2,200            | 120.00</w:t>
      </w:r>
    </w:p>
    <w:p>
      <w:pPr>
        <w:spacing w:after="0" w:before="0" w:line="240" w:lineRule="auto"/>
        <w:ind w:left="57"/>
        <w:jc w:val="left"/>
        <w:shd w:val="clear" w:fill="F2F2F2"/>
      </w:pPr>
      <w:r>
        <w:rPr>
          <w:rFonts w:ascii="Consolas" w:hAnsi="Consolas" w:cs="Consolas"/>
          <w:b w:val="0"/>
          <w:i w:val="0"/>
          <w:sz w:val="15"/>
        </w:rPr>
        <w:t xml:space="preserve">  Lemons    | Virgin Plastic Strap | 1,680            | 92.00</w:t>
      </w:r>
    </w:p>
    <w:p>
      <w:pPr>
        <w:spacing w:after="0" w:before="0" w:line="240" w:lineRule="auto"/>
        <w:ind w:left="57"/>
        <w:jc w:val="left"/>
        <w:shd w:val="clear" w:fill="F2F2F2"/>
      </w:pPr>
      <w:r>
        <w:rPr>
          <w:rFonts w:ascii="Consolas" w:hAnsi="Consolas" w:cs="Consolas"/>
          <w:b w:val="0"/>
          <w:i w:val="0"/>
          <w:sz w:val="15"/>
        </w:rPr>
        <w:t xml:space="preserve">  Oranges   | Wooden Pallets       | 1,760            | 440.00</w:t>
      </w:r>
    </w:p>
    <w:p>
      <w:pPr>
        <w:spacing w:after="0" w:before="0" w:line="240" w:lineRule="auto"/>
        <w:ind w:left="57"/>
        <w:jc w:val="left"/>
        <w:shd w:val="clear" w:fill="F2F2F2"/>
      </w:pPr>
      <w:r>
        <w:rPr>
          <w:rFonts w:ascii="Consolas" w:hAnsi="Consolas" w:cs="Consolas"/>
          <w:b w:val="0"/>
          <w:i w:val="0"/>
          <w:sz w:val="15"/>
        </w:rPr>
        <w:t xml:space="preserve">  Lemons    | Wooden Pallets       | 1,120            | 280.00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RECOMMENDATIONS (A1, Groq)</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RECOMMENDED ALTERNATIVE: Recycled PET Strapping</w:t>
      </w:r>
    </w:p>
    <w:p>
      <w:pPr>
        <w:spacing w:after="0" w:before="0" w:line="240" w:lineRule="auto"/>
        <w:ind w:left="57"/>
        <w:jc w:val="left"/>
        <w:shd w:val="clear" w:fill="F2F2F2"/>
      </w:pPr>
      <w:r>
        <w:rPr>
          <w:rFonts w:ascii="Consolas" w:hAnsi="Consolas" w:cs="Consolas"/>
          <w:b w:val="0"/>
          <w:i w:val="0"/>
          <w:sz w:val="15"/>
        </w:rPr>
        <w:t xml:space="preserve">  Current:     Virgin Plastic Strapping</w:t>
      </w:r>
    </w:p>
    <w:p>
      <w:pPr>
        <w:spacing w:after="0" w:before="0" w:line="240" w:lineRule="auto"/>
        <w:ind w:left="57"/>
        <w:jc w:val="left"/>
        <w:shd w:val="clear" w:fill="F2F2F2"/>
      </w:pPr>
      <w:r>
        <w:rPr>
          <w:rFonts w:ascii="Consolas" w:hAnsi="Consolas" w:cs="Consolas"/>
          <w:b w:val="0"/>
          <w:i w:val="0"/>
          <w:sz w:val="15"/>
        </w:rPr>
        <w:t xml:space="preserve">  Alternative: Recycled PET Strapping (≥30% recycled content)</w:t>
      </w:r>
    </w:p>
    <w:p>
      <w:pPr>
        <w:spacing w:after="0" w:before="0" w:line="240" w:lineRule="auto"/>
        <w:ind w:left="57"/>
        <w:jc w:val="left"/>
        <w:shd w:val="clear" w:fill="F2F2F2"/>
      </w:pPr>
      <w:r>
        <w:rPr>
          <w:rFonts w:ascii="Consolas" w:hAnsi="Consolas" w:cs="Consolas"/>
          <w:b w:val="0"/>
          <w:i w:val="0"/>
          <w:sz w:val="15"/>
        </w:rPr>
        <w:t xml:space="preserve">  Carbon Savings:</w:t>
      </w:r>
    </w:p>
    <w:p>
      <w:pPr>
        <w:spacing w:after="0" w:before="0" w:line="240" w:lineRule="auto"/>
        <w:ind w:left="57"/>
        <w:jc w:val="left"/>
        <w:shd w:val="clear" w:fill="F2F2F2"/>
      </w:pPr>
      <w:r>
        <w:rPr>
          <w:rFonts w:ascii="Consolas" w:hAnsi="Consolas" w:cs="Consolas"/>
          <w:b w:val="0"/>
          <w:i w:val="0"/>
          <w:sz w:val="15"/>
        </w:rPr>
        <w:t xml:space="preserve">    - 2,200 kg CO2e → 1,056 kg CO2e (−52%)</w:t>
      </w:r>
    </w:p>
    <w:p>
      <w:pPr>
        <w:spacing w:after="0" w:before="0" w:line="240" w:lineRule="auto"/>
        <w:ind w:left="57"/>
        <w:jc w:val="left"/>
        <w:shd w:val="clear" w:fill="F2F2F2"/>
      </w:pPr>
      <w:r>
        <w:rPr>
          <w:rFonts w:ascii="Consolas" w:hAnsi="Consolas" w:cs="Consolas"/>
          <w:b w:val="0"/>
          <w:i w:val="0"/>
          <w:sz w:val="15"/>
        </w:rPr>
        <w:t xml:space="preserve">    - Equivalent to: 442 kg of coal not burned, or 5.5 trees planted</w:t>
      </w:r>
    </w:p>
    <w:p>
      <w:pPr>
        <w:spacing w:after="0" w:before="0" w:line="240" w:lineRule="auto"/>
        <w:ind w:left="57"/>
        <w:jc w:val="left"/>
        <w:shd w:val="clear" w:fill="F2F2F2"/>
      </w:pPr>
      <w:r>
        <w:rPr>
          <w:rFonts w:ascii="Consolas" w:hAnsi="Consolas" w:cs="Consolas"/>
          <w:b w:val="0"/>
          <w:i w:val="0"/>
          <w:sz w:val="15"/>
        </w:rPr>
        <w:t xml:space="preserve">  Cost Impact:</w:t>
      </w:r>
    </w:p>
    <w:p>
      <w:pPr>
        <w:spacing w:after="0" w:before="0" w:line="240" w:lineRule="auto"/>
        <w:ind w:left="57"/>
        <w:jc w:val="left"/>
        <w:shd w:val="clear" w:fill="F2F2F2"/>
      </w:pPr>
      <w:r>
        <w:rPr>
          <w:rFonts w:ascii="Consolas" w:hAnsi="Consolas" w:cs="Consolas"/>
          <w:b w:val="0"/>
          <w:i w:val="0"/>
          <w:sz w:val="15"/>
        </w:rPr>
        <w:t xml:space="preserve">    - $120.00 → $108.00 (−10%)</w:t>
      </w:r>
    </w:p>
    <w:p>
      <w:pPr>
        <w:spacing w:after="0" w:before="0" w:line="240" w:lineRule="auto"/>
        <w:ind w:left="57"/>
        <w:jc w:val="left"/>
        <w:shd w:val="clear" w:fill="F2F2F2"/>
      </w:pPr>
      <w:r>
        <w:rPr>
          <w:rFonts w:ascii="Consolas" w:hAnsi="Consolas" w:cs="Consolas"/>
          <w:b w:val="0"/>
          <w:i w:val="0"/>
          <w:sz w:val="15"/>
        </w:rPr>
        <w:t xml:space="preserve">    - Total savings across all containers: $28.00</w:t>
      </w:r>
    </w:p>
    <w:p>
      <w:pPr>
        <w:spacing w:after="0" w:before="0" w:line="240" w:lineRule="auto"/>
        <w:ind w:left="57"/>
        <w:jc w:val="left"/>
        <w:shd w:val="clear" w:fill="F2F2F2"/>
      </w:pPr>
      <w:r>
        <w:rPr>
          <w:rFonts w:ascii="Consolas" w:hAnsi="Consolas" w:cs="Consolas"/>
          <w:b w:val="0"/>
          <w:i w:val="0"/>
          <w:sz w:val="15"/>
        </w:rPr>
        <w:t xml:space="preserve">  Compliance:</w:t>
      </w:r>
    </w:p>
    <w:p>
      <w:pPr>
        <w:spacing w:after="0" w:before="0" w:line="240" w:lineRule="auto"/>
        <w:ind w:left="57"/>
        <w:jc w:val="left"/>
        <w:shd w:val="clear" w:fill="F2F2F2"/>
      </w:pPr>
      <w:r>
        <w:rPr>
          <w:rFonts w:ascii="Consolas" w:hAnsi="Consolas" w:cs="Consolas"/>
          <w:b w:val="0"/>
          <w:i w:val="0"/>
          <w:sz w:val="15"/>
        </w:rPr>
        <w:t xml:space="preserve">    - Compliant with EU Single-Use Plastics Directive</w:t>
      </w:r>
    </w:p>
    <w:p>
      <w:pPr>
        <w:spacing w:after="0" w:before="0" w:line="240" w:lineRule="auto"/>
        <w:ind w:left="57"/>
        <w:jc w:val="left"/>
        <w:shd w:val="clear" w:fill="F2F2F2"/>
      </w:pPr>
      <w:r>
        <w:rPr>
          <w:rFonts w:ascii="Consolas" w:hAnsi="Consolas" w:cs="Consolas"/>
          <w:b w:val="0"/>
          <w:i w:val="0"/>
          <w:sz w:val="15"/>
        </w:rPr>
        <w:t xml:space="preserve">    - Compliant with Germany Packaging Act (≥30% recycled)</w:t>
      </w:r>
    </w:p>
    <w:p>
      <w:pPr>
        <w:spacing w:after="0" w:before="0" w:line="240" w:lineRule="auto"/>
        <w:ind w:left="57"/>
        <w:jc w:val="left"/>
        <w:shd w:val="clear" w:fill="F2F2F2"/>
      </w:pPr>
      <w:r>
        <w:rPr>
          <w:rFonts w:ascii="Consolas" w:hAnsi="Consolas" w:cs="Consolas"/>
          <w:b w:val="0"/>
          <w:i w:val="0"/>
          <w:sz w:val="15"/>
        </w:rPr>
        <w:t xml:space="preserve">    - Compliant with Halal certification requirement</w:t>
      </w:r>
    </w:p>
    <w:p>
      <w:pPr>
        <w:spacing w:after="0" w:before="0" w:line="240" w:lineRule="auto"/>
        <w:ind w:left="57"/>
        <w:jc w:val="left"/>
        <w:shd w:val="clear" w:fill="F2F2F2"/>
      </w:pPr>
      <w:r>
        <w:rPr>
          <w:rFonts w:ascii="Consolas" w:hAnsi="Consolas" w:cs="Consolas"/>
          <w:b w:val="0"/>
          <w:i w:val="0"/>
          <w:sz w:val="15"/>
        </w:rPr>
        <w:t xml:space="preserve">  Note: recycled PET may have slightly lower tensile strength.</w:t>
      </w:r>
    </w:p>
    <w:p>
      <w:pPr>
        <w:spacing w:after="0" w:before="0" w:line="240" w:lineRule="auto"/>
        <w:ind w:left="57"/>
        <w:jc w:val="left"/>
        <w:shd w:val="clear" w:fill="F2F2F2"/>
      </w:pPr>
      <w:r>
        <w:rPr>
          <w:rFonts w:ascii="Consolas" w:hAnsi="Consolas" w:cs="Consolas"/>
          <w:b w:val="0"/>
          <w:i w:val="0"/>
          <w:sz w:val="15"/>
        </w:rPr>
        <w:t xml:space="preserve">  Not recommended for extreme weight applications.</w:t>
      </w:r>
    </w:p>
    <w:p>
      <w:pPr>
        <w:spacing w:after="0" w:before="0" w:line="240" w:lineRule="auto"/>
        <w:ind w:left="57"/>
        <w:jc w:val="left"/>
        <w:shd w:val="clear" w:fill="F2F2F2"/>
      </w:pPr>
      <w:r>
        <w:rPr>
          <w:rFonts w:ascii="Consolas" w:hAnsi="Consolas" w:cs="Consolas"/>
          <w:b w:val="0"/>
          <w:i w:val="0"/>
          <w:sz w:val="15"/>
        </w:rPr>
        <w:t xml:space="preserve">  [Apply to All Containers] [Apply to Oranges Only] [Dismiss]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SECONDARY ALTERNATIVE: Paper Strapping</w:t>
      </w:r>
    </w:p>
    <w:p>
      <w:pPr>
        <w:spacing w:after="0" w:before="0" w:line="240" w:lineRule="auto"/>
        <w:ind w:left="57"/>
        <w:jc w:val="left"/>
        <w:shd w:val="clear" w:fill="F2F2F2"/>
      </w:pPr>
      <w:r>
        <w:rPr>
          <w:rFonts w:ascii="Consolas" w:hAnsi="Consolas" w:cs="Consolas"/>
          <w:b w:val="0"/>
          <w:i w:val="0"/>
          <w:sz w:val="15"/>
        </w:rPr>
        <w:t xml:space="preserve">  Current:     Virgin Plastic Strapping</w:t>
      </w:r>
    </w:p>
    <w:p>
      <w:pPr>
        <w:spacing w:after="0" w:before="0" w:line="240" w:lineRule="auto"/>
        <w:ind w:left="57"/>
        <w:jc w:val="left"/>
        <w:shd w:val="clear" w:fill="F2F2F2"/>
      </w:pPr>
      <w:r>
        <w:rPr>
          <w:rFonts w:ascii="Consolas" w:hAnsi="Consolas" w:cs="Consolas"/>
          <w:b w:val="0"/>
          <w:i w:val="0"/>
          <w:sz w:val="15"/>
        </w:rPr>
        <w:t xml:space="preserve">  Alternative: Paper Strapping (biodegradable)</w:t>
      </w:r>
    </w:p>
    <w:p>
      <w:pPr>
        <w:spacing w:after="0" w:before="0" w:line="240" w:lineRule="auto"/>
        <w:ind w:left="57"/>
        <w:jc w:val="left"/>
        <w:shd w:val="clear" w:fill="F2F2F2"/>
      </w:pPr>
      <w:r>
        <w:rPr>
          <w:rFonts w:ascii="Consolas" w:hAnsi="Consolas" w:cs="Consolas"/>
          <w:b w:val="0"/>
          <w:i w:val="0"/>
          <w:sz w:val="15"/>
        </w:rPr>
        <w:t xml:space="preserve">  Carbon Savings:</w:t>
      </w:r>
    </w:p>
    <w:p>
      <w:pPr>
        <w:spacing w:after="0" w:before="0" w:line="240" w:lineRule="auto"/>
        <w:ind w:left="57"/>
        <w:jc w:val="left"/>
        <w:shd w:val="clear" w:fill="F2F2F2"/>
      </w:pPr>
      <w:r>
        <w:rPr>
          <w:rFonts w:ascii="Consolas" w:hAnsi="Consolas" w:cs="Consolas"/>
          <w:b w:val="0"/>
          <w:i w:val="0"/>
          <w:sz w:val="15"/>
        </w:rPr>
        <w:t xml:space="preserve">    - 2,200 kg CO2e → 440 kg CO2e (−80%)</w:t>
      </w:r>
    </w:p>
    <w:p>
      <w:pPr>
        <w:spacing w:after="0" w:before="0" w:line="240" w:lineRule="auto"/>
        <w:ind w:left="57"/>
        <w:jc w:val="left"/>
        <w:shd w:val="clear" w:fill="F2F2F2"/>
      </w:pPr>
      <w:r>
        <w:rPr>
          <w:rFonts w:ascii="Consolas" w:hAnsi="Consolas" w:cs="Consolas"/>
          <w:b w:val="0"/>
          <w:i w:val="0"/>
          <w:sz w:val="15"/>
        </w:rPr>
        <w:t xml:space="preserve">  Cost Impact:</w:t>
      </w:r>
    </w:p>
    <w:p>
      <w:pPr>
        <w:spacing w:after="0" w:before="0" w:line="240" w:lineRule="auto"/>
        <w:ind w:left="57"/>
        <w:jc w:val="left"/>
        <w:shd w:val="clear" w:fill="F2F2F2"/>
      </w:pPr>
      <w:r>
        <w:rPr>
          <w:rFonts w:ascii="Consolas" w:hAnsi="Consolas" w:cs="Consolas"/>
          <w:b w:val="0"/>
          <w:i w:val="0"/>
          <w:sz w:val="15"/>
        </w:rPr>
        <w:t xml:space="preserve">    - $120.00 → $144.00 (+20%)</w:t>
      </w:r>
    </w:p>
    <w:p>
      <w:pPr>
        <w:spacing w:after="0" w:before="0" w:line="240" w:lineRule="auto"/>
        <w:ind w:left="57"/>
        <w:jc w:val="left"/>
        <w:shd w:val="clear" w:fill="F2F2F2"/>
      </w:pPr>
      <w:r>
        <w:rPr>
          <w:rFonts w:ascii="Consolas" w:hAnsi="Consolas" w:cs="Consolas"/>
          <w:b w:val="0"/>
          <w:i w:val="0"/>
          <w:sz w:val="15"/>
        </w:rPr>
        <w:t xml:space="preserve">  Compliance:</w:t>
      </w:r>
    </w:p>
    <w:p>
      <w:pPr>
        <w:spacing w:after="0" w:before="0" w:line="240" w:lineRule="auto"/>
        <w:ind w:left="57"/>
        <w:jc w:val="left"/>
        <w:shd w:val="clear" w:fill="F2F2F2"/>
      </w:pPr>
      <w:r>
        <w:rPr>
          <w:rFonts w:ascii="Consolas" w:hAnsi="Consolas" w:cs="Consolas"/>
          <w:b w:val="0"/>
          <w:i w:val="0"/>
          <w:sz w:val="15"/>
        </w:rPr>
        <w:t xml:space="preserve">    - Compliant with EU Single-Use Plastics Directive</w:t>
      </w:r>
    </w:p>
    <w:p>
      <w:pPr>
        <w:spacing w:after="0" w:before="0" w:line="240" w:lineRule="auto"/>
        <w:ind w:left="57"/>
        <w:jc w:val="left"/>
        <w:shd w:val="clear" w:fill="F2F2F2"/>
      </w:pPr>
      <w:r>
        <w:rPr>
          <w:rFonts w:ascii="Consolas" w:hAnsi="Consolas" w:cs="Consolas"/>
          <w:b w:val="0"/>
          <w:i w:val="0"/>
          <w:sz w:val="15"/>
        </w:rPr>
        <w:t xml:space="preserve">    - Compliant with Germany Packaging Act</w:t>
      </w:r>
    </w:p>
    <w:p>
      <w:pPr>
        <w:spacing w:after="0" w:before="0" w:line="240" w:lineRule="auto"/>
        <w:ind w:left="57"/>
        <w:jc w:val="left"/>
        <w:shd w:val="clear" w:fill="F2F2F2"/>
      </w:pPr>
      <w:r>
        <w:rPr>
          <w:rFonts w:ascii="Consolas" w:hAnsi="Consolas" w:cs="Consolas"/>
          <w:b w:val="0"/>
          <w:i w:val="0"/>
          <w:sz w:val="15"/>
        </w:rPr>
        <w:t xml:space="preserve">    - Biodegradable</w:t>
      </w:r>
    </w:p>
    <w:p>
      <w:pPr>
        <w:spacing w:after="0" w:before="0" w:line="240" w:lineRule="auto"/>
        <w:ind w:left="57"/>
        <w:jc w:val="left"/>
        <w:shd w:val="clear" w:fill="F2F2F2"/>
      </w:pPr>
      <w:r>
        <w:rPr>
          <w:rFonts w:ascii="Consolas" w:hAnsi="Consolas" w:cs="Consolas"/>
          <w:b w:val="0"/>
          <w:i w:val="0"/>
          <w:sz w:val="15"/>
        </w:rPr>
        <w:t xml:space="preserve">  Note: paper strapping has lower tensile strength and may not be</w:t>
      </w:r>
    </w:p>
    <w:p>
      <w:pPr>
        <w:spacing w:after="0" w:before="0" w:line="240" w:lineRule="auto"/>
        <w:ind w:left="57"/>
        <w:jc w:val="left"/>
        <w:shd w:val="clear" w:fill="F2F2F2"/>
      </w:pPr>
      <w:r>
        <w:rPr>
          <w:rFonts w:ascii="Consolas" w:hAnsi="Consolas" w:cs="Consolas"/>
          <w:b w:val="0"/>
          <w:i w:val="0"/>
          <w:sz w:val="15"/>
        </w:rPr>
        <w:t xml:space="preserve">  suitable for heavy pallets. Not recommended for pallets &gt;1,200 kg.</w:t>
      </w:r>
    </w:p>
    <w:p>
      <w:pPr>
        <w:spacing w:after="0" w:before="0" w:line="240" w:lineRule="auto"/>
        <w:ind w:left="57"/>
        <w:jc w:val="left"/>
        <w:shd w:val="clear" w:fill="F2F2F2"/>
      </w:pPr>
      <w:r>
        <w:rPr>
          <w:rFonts w:ascii="Consolas" w:hAnsi="Consolas" w:cs="Consolas"/>
          <w:b w:val="0"/>
          <w:i w:val="0"/>
          <w:sz w:val="15"/>
        </w:rPr>
        <w:t xml:space="preserve">  [Apply to All Containers] [Apply to Lemons Only] [Dismiss]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INSIGHTS (A1, Groq)</w:t>
      </w:r>
    </w:p>
    <w:p>
      <w:pPr>
        <w:spacing w:after="0" w:before="0" w:line="240" w:lineRule="auto"/>
        <w:ind w:left="57"/>
        <w:jc w:val="left"/>
        <w:shd w:val="clear" w:fill="F2F2F2"/>
      </w:pPr>
      <w:r>
        <w:rPr>
          <w:rFonts w:ascii="Consolas" w:hAnsi="Consolas" w:cs="Consolas"/>
          <w:b w:val="0"/>
          <w:i w:val="0"/>
          <w:sz w:val="15"/>
        </w:rPr>
        <w:t xml:space="preserve">  "Based on the packaging materials used in this trade, the largest</w:t>
      </w:r>
    </w:p>
    <w:p>
      <w:pPr>
        <w:spacing w:after="0" w:before="0" w:line="240" w:lineRule="auto"/>
        <w:ind w:left="57"/>
        <w:jc w:val="left"/>
        <w:shd w:val="clear" w:fill="F2F2F2"/>
      </w:pPr>
      <w:r>
        <w:rPr>
          <w:rFonts w:ascii="Consolas" w:hAnsi="Consolas" w:cs="Consolas"/>
          <w:b w:val="0"/>
          <w:i w:val="0"/>
          <w:sz w:val="15"/>
        </w:rPr>
        <w:t xml:space="preserve">  environmental impact comes from virgin plastic strapping (2,200 kg CO2e).</w:t>
      </w:r>
    </w:p>
    <w:p>
      <w:pPr>
        <w:spacing w:after="0" w:before="0" w:line="240" w:lineRule="auto"/>
        <w:ind w:left="57"/>
        <w:jc w:val="left"/>
        <w:shd w:val="clear" w:fill="F2F2F2"/>
      </w:pPr>
      <w:r>
        <w:rPr>
          <w:rFonts w:ascii="Consolas" w:hAnsi="Consolas" w:cs="Consolas"/>
          <w:b w:val="0"/>
          <w:i w:val="0"/>
          <w:sz w:val="15"/>
        </w:rPr>
        <w:t xml:space="preserve">  Switching to recycled PET strapping reduces emissions by 52% and aligns</w:t>
      </w:r>
    </w:p>
    <w:p>
      <w:pPr>
        <w:spacing w:after="0" w:before="0" w:line="240" w:lineRule="auto"/>
        <w:ind w:left="57"/>
        <w:jc w:val="left"/>
        <w:shd w:val="clear" w:fill="F2F2F2"/>
      </w:pPr>
      <w:r>
        <w:rPr>
          <w:rFonts w:ascii="Consolas" w:hAnsi="Consolas" w:cs="Consolas"/>
          <w:b w:val="0"/>
          <w:i w:val="0"/>
          <w:sz w:val="15"/>
        </w:rPr>
        <w:t xml:space="preserve">  with Germany's Packaging Act requirements. The cost savings of $28.00</w:t>
      </w:r>
    </w:p>
    <w:p>
      <w:pPr>
        <w:spacing w:after="0" w:before="0" w:line="240" w:lineRule="auto"/>
        <w:ind w:left="57"/>
        <w:jc w:val="left"/>
        <w:shd w:val="clear" w:fill="F2F2F2"/>
      </w:pPr>
      <w:r>
        <w:rPr>
          <w:rFonts w:ascii="Consolas" w:hAnsi="Consolas" w:cs="Consolas"/>
          <w:b w:val="0"/>
          <w:i w:val="0"/>
          <w:sz w:val="15"/>
        </w:rPr>
        <w:t xml:space="preserve">  across all containers is a secondary benefit.</w:t>
      </w:r>
    </w:p>
    <w:p>
      <w:pPr>
        <w:spacing w:after="0" w:before="0" w:line="240" w:lineRule="auto"/>
        <w:ind w:left="57"/>
        <w:jc w:val="left"/>
        <w:shd w:val="clear" w:fill="F2F2F2"/>
      </w:pPr>
      <w:r>
        <w:rPr>
          <w:rFonts w:ascii="Consolas" w:hAnsi="Consolas" w:cs="Consolas"/>
          <w:b w:val="0"/>
          <w:i w:val="0"/>
          <w:sz w:val="15"/>
        </w:rPr>
        <w:t xml:space="preserve">  Additionally, the wooden pallets are ISPM 15 compliant, which is required</w:t>
      </w:r>
    </w:p>
    <w:p>
      <w:pPr>
        <w:spacing w:after="0" w:before="0" w:line="240" w:lineRule="auto"/>
        <w:ind w:left="57"/>
        <w:jc w:val="left"/>
        <w:shd w:val="clear" w:fill="F2F2F2"/>
      </w:pPr>
      <w:r>
        <w:rPr>
          <w:rFonts w:ascii="Consolas" w:hAnsi="Consolas" w:cs="Consolas"/>
          <w:b w:val="0"/>
          <w:i w:val="0"/>
          <w:sz w:val="15"/>
        </w:rPr>
        <w:t xml:space="preserve">  for export to Germany. No changes needed.</w:t>
      </w:r>
    </w:p>
    <w:p>
      <w:pPr>
        <w:spacing w:after="0" w:before="0" w:line="240" w:lineRule="auto"/>
        <w:ind w:left="57"/>
        <w:jc w:val="left"/>
        <w:shd w:val="clear" w:fill="F2F2F2"/>
      </w:pPr>
      <w:r>
        <w:rPr>
          <w:rFonts w:ascii="Consolas" w:hAnsi="Consolas" w:cs="Consolas"/>
          <w:b w:val="0"/>
          <w:i w:val="0"/>
          <w:sz w:val="15"/>
        </w:rPr>
        <w:t xml:space="preserve">  Recommended: apply recycled PET strapping to all containers. This will</w:t>
      </w:r>
    </w:p>
    <w:p>
      <w:pPr>
        <w:spacing w:after="0" w:before="0" w:line="240" w:lineRule="auto"/>
        <w:ind w:left="57"/>
        <w:jc w:val="left"/>
        <w:shd w:val="clear" w:fill="F2F2F2"/>
      </w:pPr>
      <w:r>
        <w:rPr>
          <w:rFonts w:ascii="Consolas" w:hAnsi="Consolas" w:cs="Consolas"/>
          <w:b w:val="0"/>
          <w:i w:val="0"/>
          <w:sz w:val="15"/>
        </w:rPr>
        <w:t xml:space="preserve">  reduce your environmental impact, improve compliance, and save costs."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CARBON FOOTPRINT IMPACT SUMMARY</w:t>
      </w:r>
    </w:p>
    <w:p>
      <w:pPr>
        <w:spacing w:after="0" w:before="0" w:line="240" w:lineRule="auto"/>
        <w:ind w:left="57"/>
        <w:jc w:val="left"/>
        <w:shd w:val="clear" w:fill="F2F2F2"/>
      </w:pPr>
      <w:r>
        <w:rPr>
          <w:rFonts w:ascii="Consolas" w:hAnsi="Consolas" w:cs="Consolas"/>
          <w:b w:val="0"/>
          <w:i w:val="0"/>
          <w:sz w:val="15"/>
        </w:rPr>
        <w:t xml:space="preserve">  Scenario                        | CO2e (kg)  | Savings    | Cost (USD)</w:t>
      </w:r>
    </w:p>
    <w:p>
      <w:pPr>
        <w:spacing w:after="0" w:before="0" w:line="240" w:lineRule="auto"/>
        <w:ind w:left="57"/>
        <w:jc w:val="left"/>
        <w:shd w:val="clear" w:fill="F2F2F2"/>
      </w:pPr>
      <w:r>
        <w:rPr>
          <w:rFonts w:ascii="Consolas" w:hAnsi="Consolas" w:cs="Consolas"/>
          <w:b w:val="0"/>
          <w:i w:val="0"/>
          <w:sz w:val="15"/>
        </w:rPr>
        <w:t xml:space="preserve">  Current                         | 6,760      | ---        | 932.00</w:t>
      </w:r>
    </w:p>
    <w:p>
      <w:pPr>
        <w:spacing w:after="0" w:before="0" w:line="240" w:lineRule="auto"/>
        <w:ind w:left="57"/>
        <w:jc w:val="left"/>
        <w:shd w:val="clear" w:fill="F2F2F2"/>
      </w:pPr>
      <w:r>
        <w:rPr>
          <w:rFonts w:ascii="Consolas" w:hAnsi="Consolas" w:cs="Consolas"/>
          <w:b w:val="0"/>
          <w:i w:val="0"/>
          <w:sz w:val="15"/>
        </w:rPr>
        <w:t xml:space="preserve">  Recommended (Recycled PET)      | 3,856      | −2,904(43%)| 904.00 (−$28.00)</w:t>
      </w:r>
    </w:p>
    <w:p>
      <w:pPr>
        <w:spacing w:after="0" w:before="0" w:line="240" w:lineRule="auto"/>
        <w:ind w:left="57"/>
        <w:jc w:val="left"/>
        <w:shd w:val="clear" w:fill="F2F2F2"/>
      </w:pPr>
      <w:r>
        <w:rPr>
          <w:rFonts w:ascii="Consolas" w:hAnsi="Consolas" w:cs="Consolas"/>
          <w:b w:val="0"/>
          <w:i w:val="0"/>
          <w:sz w:val="15"/>
        </w:rPr>
        <w:t xml:space="preserve">  Alternative (Paper Strapping)   | 4,240      | −2,520(37%)| 964.00 (+$32.00)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[Apply All Recommendations] [Save Report] [Export PDF] [Dismiss All]</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8.10.5.2 One-Click Application</w:t>
      </w:r>
    </w:p>
    <w:p>
      <w:pPr>
        <w:spacing w:after="80" w:line="293" w:lineRule="auto"/>
        <w:jc w:val="left"/>
      </w:pPr>
      <w:r>
        <w:rPr>
          <w:rFonts w:ascii="Times New Roman" w:hAnsi="Times New Roman" w:cs="Times New Roman"/>
          <w:b w:val="0"/>
          <w:i w:val="0"/>
          <w:sz w:val="22"/>
        </w:rPr>
        <w:t>Applying a recommendation updates the packing plan materials, re-runs the weight/palletisation checks when material properties change (pallet height, weight), updates the packing list and invoice costs, and recalculates the carbon footprint. Application scope options: all containers, commodity only, container only.</w:t>
      </w:r>
    </w:p>
    <w:p>
      <w:pPr>
        <w:keepNext/>
        <w:spacing w:before="180" w:after="80"/>
        <w:outlineLvl w:val="2"/>
      </w:pPr>
      <w:r>
        <w:rPr>
          <w:rFonts w:ascii="Arial" w:hAnsi="Arial" w:cs="Arial"/>
          <w:b/>
          <w:i w:val="0"/>
          <w:color w:val="333333"/>
          <w:sz w:val="23"/>
        </w:rPr>
        <w:t>8.10.6 Carbon Impact &amp; Cost Savings Calculation</w:t>
      </w:r>
    </w:p>
    <w:p>
      <w:pPr>
        <w:keepNext/>
        <w:spacing w:before="140" w:after="60"/>
        <w:outlineLvl w:val="3"/>
      </w:pPr>
      <w:r>
        <w:rPr>
          <w:rFonts w:ascii="Arial" w:hAnsi="Arial" w:cs="Arial"/>
          <w:b/>
          <w:i/>
          <w:color w:val="333333"/>
          <w:sz w:val="22"/>
        </w:rPr>
        <w:t>8.10.6.1 Carbon Impact Calculation</w:t>
      </w:r>
    </w:p>
    <w:p>
      <w:pPr>
        <w:spacing w:after="0" w:before="0" w:line="240" w:lineRule="auto"/>
        <w:ind w:left="57"/>
        <w:jc w:val="left"/>
        <w:shd w:val="clear" w:fill="F2F2F2"/>
      </w:pPr>
      <w:r>
        <w:rPr>
          <w:rFonts w:ascii="Consolas" w:hAnsi="Consolas" w:cs="Consolas"/>
          <w:b w:val="0"/>
          <w:i w:val="0"/>
          <w:sz w:val="15"/>
        </w:rPr>
        <w:t>// Pseudo-code: carbon impact calculation</w:t>
      </w:r>
    </w:p>
    <w:p>
      <w:pPr>
        <w:spacing w:after="0" w:before="0" w:line="240" w:lineRule="auto"/>
        <w:ind w:left="57"/>
        <w:jc w:val="left"/>
        <w:shd w:val="clear" w:fill="F2F2F2"/>
      </w:pPr>
      <w:r>
        <w:rPr>
          <w:rFonts w:ascii="Consolas" w:hAnsi="Consolas" w:cs="Consolas"/>
          <w:b w:val="0"/>
          <w:i w:val="0"/>
          <w:sz w:val="15"/>
        </w:rPr>
        <w:t>fn calculate_carbon_impact(</w:t>
      </w:r>
    </w:p>
    <w:p>
      <w:pPr>
        <w:spacing w:after="0" w:before="0" w:line="240" w:lineRule="auto"/>
        <w:ind w:left="57"/>
        <w:jc w:val="left"/>
        <w:shd w:val="clear" w:fill="F2F2F2"/>
      </w:pPr>
      <w:r>
        <w:rPr>
          <w:rFonts w:ascii="Consolas" w:hAnsi="Consolas" w:cs="Consolas"/>
          <w:b w:val="0"/>
          <w:i w:val="0"/>
          <w:sz w:val="15"/>
        </w:rPr>
        <w:t xml:space="preserve">    material: &amp;Material,</w:t>
      </w:r>
    </w:p>
    <w:p>
      <w:pPr>
        <w:spacing w:after="0" w:before="0" w:line="240" w:lineRule="auto"/>
        <w:ind w:left="57"/>
        <w:jc w:val="left"/>
        <w:shd w:val="clear" w:fill="F2F2F2"/>
      </w:pPr>
      <w:r>
        <w:rPr>
          <w:rFonts w:ascii="Consolas" w:hAnsi="Consolas" w:cs="Consolas"/>
          <w:b w:val="0"/>
          <w:i w:val="0"/>
          <w:sz w:val="15"/>
        </w:rPr>
        <w:t xml:space="preserve">    quantity_kg: f64,</w:t>
      </w:r>
    </w:p>
    <w:p>
      <w:pPr>
        <w:spacing w:after="0" w:before="0" w:line="240" w:lineRule="auto"/>
        <w:ind w:left="57"/>
        <w:jc w:val="left"/>
        <w:shd w:val="clear" w:fill="F2F2F2"/>
      </w:pPr>
      <w:r>
        <w:rPr>
          <w:rFonts w:ascii="Consolas" w:hAnsi="Consolas" w:cs="Consolas"/>
          <w:b w:val="0"/>
          <w:i w:val="0"/>
          <w:sz w:val="15"/>
        </w:rPr>
        <w:t xml:space="preserve">    distance_km: f64</w:t>
      </w:r>
    </w:p>
    <w:p>
      <w:pPr>
        <w:spacing w:after="0" w:before="0" w:line="240" w:lineRule="auto"/>
        <w:ind w:left="57"/>
        <w:jc w:val="left"/>
        <w:shd w:val="clear" w:fill="F2F2F2"/>
      </w:pPr>
      <w:r>
        <w:rPr>
          <w:rFonts w:ascii="Consolas" w:hAnsi="Consolas" w:cs="Consolas"/>
          <w:b w:val="0"/>
          <w:i w:val="0"/>
          <w:sz w:val="15"/>
        </w:rPr>
        <w:t>) -&gt; f64 {</w:t>
      </w:r>
    </w:p>
    <w:p>
      <w:pPr>
        <w:spacing w:after="0" w:before="0" w:line="240" w:lineRule="auto"/>
        <w:ind w:left="57"/>
        <w:jc w:val="left"/>
        <w:shd w:val="clear" w:fill="F2F2F2"/>
      </w:pPr>
      <w:r>
        <w:rPr>
          <w:rFonts w:ascii="Consolas" w:hAnsi="Consolas" w:cs="Consolas"/>
          <w:b w:val="0"/>
          <w:i w:val="0"/>
          <w:sz w:val="15"/>
        </w:rPr>
        <w:t xml:space="preserve">    // 1. Base carbon footprint per kg of material</w:t>
      </w:r>
    </w:p>
    <w:p>
      <w:pPr>
        <w:spacing w:after="0" w:before="0" w:line="240" w:lineRule="auto"/>
        <w:ind w:left="57"/>
        <w:jc w:val="left"/>
        <w:shd w:val="clear" w:fill="F2F2F2"/>
      </w:pPr>
      <w:r>
        <w:rPr>
          <w:rFonts w:ascii="Consolas" w:hAnsi="Consolas" w:cs="Consolas"/>
          <w:b w:val="0"/>
          <w:i w:val="0"/>
          <w:sz w:val="15"/>
        </w:rPr>
        <w:t xml:space="preserve">    let base_carbon = material.carbon_footprint_kg_co2e_per_kg;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Transport emissions (rough estimate)</w:t>
      </w:r>
    </w:p>
    <w:p>
      <w:pPr>
        <w:spacing w:after="0" w:before="0" w:line="240" w:lineRule="auto"/>
        <w:ind w:left="57"/>
        <w:jc w:val="left"/>
        <w:shd w:val="clear" w:fill="F2F2F2"/>
      </w:pPr>
      <w:r>
        <w:rPr>
          <w:rFonts w:ascii="Consolas" w:hAnsi="Consolas" w:cs="Consolas"/>
          <w:b w:val="0"/>
          <w:i w:val="0"/>
          <w:sz w:val="15"/>
        </w:rPr>
        <w:t xml:space="preserve">    let transport_emissions = distance_km * 0.02; // 0.02 kg CO2e per kg per km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Disposal emissions (landfill vs. recycling)</w:t>
      </w:r>
    </w:p>
    <w:p>
      <w:pPr>
        <w:spacing w:after="0" w:before="0" w:line="240" w:lineRule="auto"/>
        <w:ind w:left="57"/>
        <w:jc w:val="left"/>
        <w:shd w:val="clear" w:fill="F2F2F2"/>
      </w:pPr>
      <w:r>
        <w:rPr>
          <w:rFonts w:ascii="Consolas" w:hAnsi="Consolas" w:cs="Consolas"/>
          <w:b w:val="0"/>
          <w:i w:val="0"/>
          <w:sz w:val="15"/>
        </w:rPr>
        <w:t xml:space="preserve">    let disposal_emissions = match material.disposal_method {</w:t>
      </w:r>
    </w:p>
    <w:p>
      <w:pPr>
        <w:spacing w:after="0" w:before="0" w:line="240" w:lineRule="auto"/>
        <w:ind w:left="57"/>
        <w:jc w:val="left"/>
        <w:shd w:val="clear" w:fill="F2F2F2"/>
      </w:pPr>
      <w:r>
        <w:rPr>
          <w:rFonts w:ascii="Consolas" w:hAnsi="Consolas" w:cs="Consolas"/>
          <w:b w:val="0"/>
          <w:i w:val="0"/>
          <w:sz w:val="15"/>
        </w:rPr>
        <w:t xml:space="preserve">        DisposalMethod::Landfill     =&gt; 0.5,</w:t>
      </w:r>
    </w:p>
    <w:p>
      <w:pPr>
        <w:spacing w:after="0" w:before="0" w:line="240" w:lineRule="auto"/>
        <w:ind w:left="57"/>
        <w:jc w:val="left"/>
        <w:shd w:val="clear" w:fill="F2F2F2"/>
      </w:pPr>
      <w:r>
        <w:rPr>
          <w:rFonts w:ascii="Consolas" w:hAnsi="Consolas" w:cs="Consolas"/>
          <w:b w:val="0"/>
          <w:i w:val="0"/>
          <w:sz w:val="15"/>
        </w:rPr>
        <w:t xml:space="preserve">        DisposalMethod::Recycling    =&gt; 0.1,</w:t>
      </w:r>
    </w:p>
    <w:p>
      <w:pPr>
        <w:spacing w:after="0" w:before="0" w:line="240" w:lineRule="auto"/>
        <w:ind w:left="57"/>
        <w:jc w:val="left"/>
        <w:shd w:val="clear" w:fill="F2F2F2"/>
      </w:pPr>
      <w:r>
        <w:rPr>
          <w:rFonts w:ascii="Consolas" w:hAnsi="Consolas" w:cs="Consolas"/>
          <w:b w:val="0"/>
          <w:i w:val="0"/>
          <w:sz w:val="15"/>
        </w:rPr>
        <w:t xml:space="preserve">        DisposalMethod::Composting   =&gt; 0.05,</w:t>
      </w:r>
    </w:p>
    <w:p>
      <w:pPr>
        <w:spacing w:after="0" w:before="0" w:line="240" w:lineRule="auto"/>
        <w:ind w:left="57"/>
        <w:jc w:val="left"/>
        <w:shd w:val="clear" w:fill="F2F2F2"/>
      </w:pPr>
      <w:r>
        <w:rPr>
          <w:rFonts w:ascii="Consolas" w:hAnsi="Consolas" w:cs="Consolas"/>
          <w:b w:val="0"/>
          <w:i w:val="0"/>
          <w:sz w:val="15"/>
        </w:rPr>
        <w:t xml:space="preserve">        DisposalMethod::Incineration =&gt; 0.8,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Total carbon impact</w:t>
      </w:r>
    </w:p>
    <w:p>
      <w:pPr>
        <w:spacing w:after="0" w:before="0" w:line="240" w:lineRule="auto"/>
        <w:ind w:left="57"/>
        <w:jc w:val="left"/>
        <w:shd w:val="clear" w:fill="F2F2F2"/>
      </w:pPr>
      <w:r>
        <w:rPr>
          <w:rFonts w:ascii="Consolas" w:hAnsi="Consolas" w:cs="Consolas"/>
          <w:b w:val="0"/>
          <w:i w:val="0"/>
          <w:sz w:val="15"/>
        </w:rPr>
        <w:t xml:space="preserve">    let total = (quantity_kg * base_carbon) + transport_emissions + disposal_emissions;</w:t>
      </w:r>
    </w:p>
    <w:p>
      <w:pPr>
        <w:spacing w:after="0" w:before="0" w:line="240" w:lineRule="auto"/>
        <w:ind w:left="57"/>
        <w:jc w:val="left"/>
        <w:shd w:val="clear" w:fill="F2F2F2"/>
      </w:pPr>
      <w:r>
        <w:rPr>
          <w:rFonts w:ascii="Consolas" w:hAnsi="Consolas" w:cs="Consolas"/>
          <w:b w:val="0"/>
          <w:i w:val="0"/>
          <w:sz w:val="15"/>
        </w:rPr>
        <w:t xml:space="preserve">    total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8.10.6.2 Cost Impact Calculation</w:t>
      </w:r>
    </w:p>
    <w:p>
      <w:pPr>
        <w:spacing w:after="0" w:before="0" w:line="240" w:lineRule="auto"/>
        <w:ind w:left="57"/>
        <w:jc w:val="left"/>
        <w:shd w:val="clear" w:fill="F2F2F2"/>
      </w:pPr>
      <w:r>
        <w:rPr>
          <w:rFonts w:ascii="Consolas" w:hAnsi="Consolas" w:cs="Consolas"/>
          <w:b w:val="0"/>
          <w:i w:val="0"/>
          <w:sz w:val="15"/>
        </w:rPr>
        <w:t>// Pseudo-code: cost impact calculation</w:t>
      </w:r>
    </w:p>
    <w:p>
      <w:pPr>
        <w:spacing w:after="0" w:before="0" w:line="240" w:lineRule="auto"/>
        <w:ind w:left="57"/>
        <w:jc w:val="left"/>
        <w:shd w:val="clear" w:fill="F2F2F2"/>
      </w:pPr>
      <w:r>
        <w:rPr>
          <w:rFonts w:ascii="Consolas" w:hAnsi="Consolas" w:cs="Consolas"/>
          <w:b w:val="0"/>
          <w:i w:val="0"/>
          <w:sz w:val="15"/>
        </w:rPr>
        <w:t>fn calculate_cost_impact(</w:t>
      </w:r>
    </w:p>
    <w:p>
      <w:pPr>
        <w:spacing w:after="0" w:before="0" w:line="240" w:lineRule="auto"/>
        <w:ind w:left="57"/>
        <w:jc w:val="left"/>
        <w:shd w:val="clear" w:fill="F2F2F2"/>
      </w:pPr>
      <w:r>
        <w:rPr>
          <w:rFonts w:ascii="Consolas" w:hAnsi="Consolas" w:cs="Consolas"/>
          <w:b w:val="0"/>
          <w:i w:val="0"/>
          <w:sz w:val="15"/>
        </w:rPr>
        <w:t xml:space="preserve">    current_material: &amp;Material,</w:t>
      </w:r>
    </w:p>
    <w:p>
      <w:pPr>
        <w:spacing w:after="0" w:before="0" w:line="240" w:lineRule="auto"/>
        <w:ind w:left="57"/>
        <w:jc w:val="left"/>
        <w:shd w:val="clear" w:fill="F2F2F2"/>
      </w:pPr>
      <w:r>
        <w:rPr>
          <w:rFonts w:ascii="Consolas" w:hAnsi="Consolas" w:cs="Consolas"/>
          <w:b w:val="0"/>
          <w:i w:val="0"/>
          <w:sz w:val="15"/>
        </w:rPr>
        <w:t xml:space="preserve">    alternative_material: &amp;Material,</w:t>
      </w:r>
    </w:p>
    <w:p>
      <w:pPr>
        <w:spacing w:after="0" w:before="0" w:line="240" w:lineRule="auto"/>
        <w:ind w:left="57"/>
        <w:jc w:val="left"/>
        <w:shd w:val="clear" w:fill="F2F2F2"/>
      </w:pPr>
      <w:r>
        <w:rPr>
          <w:rFonts w:ascii="Consolas" w:hAnsi="Consolas" w:cs="Consolas"/>
          <w:b w:val="0"/>
          <w:i w:val="0"/>
          <w:sz w:val="15"/>
        </w:rPr>
        <w:t xml:space="preserve">    quantity_kg: f64</w:t>
      </w:r>
    </w:p>
    <w:p>
      <w:pPr>
        <w:spacing w:after="0" w:before="0" w:line="240" w:lineRule="auto"/>
        <w:ind w:left="57"/>
        <w:jc w:val="left"/>
        <w:shd w:val="clear" w:fill="F2F2F2"/>
      </w:pPr>
      <w:r>
        <w:rPr>
          <w:rFonts w:ascii="Consolas" w:hAnsi="Consolas" w:cs="Consolas"/>
          <w:b w:val="0"/>
          <w:i w:val="0"/>
          <w:sz w:val="15"/>
        </w:rPr>
        <w:t>) -&gt; CostImpact {</w:t>
      </w:r>
    </w:p>
    <w:p>
      <w:pPr>
        <w:spacing w:after="0" w:before="0" w:line="240" w:lineRule="auto"/>
        <w:ind w:left="57"/>
        <w:jc w:val="left"/>
        <w:shd w:val="clear" w:fill="F2F2F2"/>
      </w:pPr>
      <w:r>
        <w:rPr>
          <w:rFonts w:ascii="Consolas" w:hAnsi="Consolas" w:cs="Consolas"/>
          <w:b w:val="0"/>
          <w:i w:val="0"/>
          <w:sz w:val="15"/>
        </w:rPr>
        <w:t xml:space="preserve">    let current_cost = current_material.cost_per_kg * quantity_kg;</w:t>
      </w:r>
    </w:p>
    <w:p>
      <w:pPr>
        <w:spacing w:after="0" w:before="0" w:line="240" w:lineRule="auto"/>
        <w:ind w:left="57"/>
        <w:jc w:val="left"/>
        <w:shd w:val="clear" w:fill="F2F2F2"/>
      </w:pPr>
      <w:r>
        <w:rPr>
          <w:rFonts w:ascii="Consolas" w:hAnsi="Consolas" w:cs="Consolas"/>
          <w:b w:val="0"/>
          <w:i w:val="0"/>
          <w:sz w:val="15"/>
        </w:rPr>
        <w:t xml:space="preserve">    let alternative_cost = alternative_material.cost_per_kg * quantity_kg;</w:t>
      </w:r>
    </w:p>
    <w:p>
      <w:pPr>
        <w:spacing w:after="0" w:before="0" w:line="240" w:lineRule="auto"/>
        <w:ind w:left="57"/>
        <w:jc w:val="left"/>
        <w:shd w:val="clear" w:fill="F2F2F2"/>
      </w:pPr>
      <w:r>
        <w:rPr>
          <w:rFonts w:ascii="Consolas" w:hAnsi="Consolas" w:cs="Consolas"/>
          <w:b w:val="0"/>
          <w:i w:val="0"/>
          <w:sz w:val="15"/>
        </w:rPr>
        <w:t xml:space="preserve">    let cost_difference = alternative_cost - current_cost;</w:t>
      </w:r>
    </w:p>
    <w:p>
      <w:pPr>
        <w:spacing w:after="0" w:before="0" w:line="240" w:lineRule="auto"/>
        <w:ind w:left="57"/>
        <w:jc w:val="left"/>
        <w:shd w:val="clear" w:fill="F2F2F2"/>
      </w:pPr>
      <w:r>
        <w:rPr>
          <w:rFonts w:ascii="Consolas" w:hAnsi="Consolas" w:cs="Consolas"/>
          <w:b w:val="0"/>
          <w:i w:val="0"/>
          <w:sz w:val="15"/>
        </w:rPr>
        <w:t xml:space="preserve">    let cost_percent_change = (cost_difference / current_cost) * 100.0;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CostImpact {</w:t>
      </w:r>
    </w:p>
    <w:p>
      <w:pPr>
        <w:spacing w:after="0" w:before="0" w:line="240" w:lineRule="auto"/>
        <w:ind w:left="57"/>
        <w:jc w:val="left"/>
        <w:shd w:val="clear" w:fill="F2F2F2"/>
      </w:pPr>
      <w:r>
        <w:rPr>
          <w:rFonts w:ascii="Consolas" w:hAnsi="Consolas" w:cs="Consolas"/>
          <w:b w:val="0"/>
          <w:i w:val="0"/>
          <w:sz w:val="15"/>
        </w:rPr>
        <w:t xml:space="preserve">        current_cost,</w:t>
      </w:r>
    </w:p>
    <w:p>
      <w:pPr>
        <w:spacing w:after="0" w:before="0" w:line="240" w:lineRule="auto"/>
        <w:ind w:left="57"/>
        <w:jc w:val="left"/>
        <w:shd w:val="clear" w:fill="F2F2F2"/>
      </w:pPr>
      <w:r>
        <w:rPr>
          <w:rFonts w:ascii="Consolas" w:hAnsi="Consolas" w:cs="Consolas"/>
          <w:b w:val="0"/>
          <w:i w:val="0"/>
          <w:sz w:val="15"/>
        </w:rPr>
        <w:t xml:space="preserve">        alternative_cost,</w:t>
      </w:r>
    </w:p>
    <w:p>
      <w:pPr>
        <w:spacing w:after="0" w:before="0" w:line="240" w:lineRule="auto"/>
        <w:ind w:left="57"/>
        <w:jc w:val="left"/>
        <w:shd w:val="clear" w:fill="F2F2F2"/>
      </w:pPr>
      <w:r>
        <w:rPr>
          <w:rFonts w:ascii="Consolas" w:hAnsi="Consolas" w:cs="Consolas"/>
          <w:b w:val="0"/>
          <w:i w:val="0"/>
          <w:sz w:val="15"/>
        </w:rPr>
        <w:t xml:space="preserve">        cost_difference,</w:t>
      </w:r>
    </w:p>
    <w:p>
      <w:pPr>
        <w:spacing w:after="0" w:before="0" w:line="240" w:lineRule="auto"/>
        <w:ind w:left="57"/>
        <w:jc w:val="left"/>
        <w:shd w:val="clear" w:fill="F2F2F2"/>
      </w:pPr>
      <w:r>
        <w:rPr>
          <w:rFonts w:ascii="Consolas" w:hAnsi="Consolas" w:cs="Consolas"/>
          <w:b w:val="0"/>
          <w:i w:val="0"/>
          <w:sz w:val="15"/>
        </w:rPr>
        <w:t xml:space="preserve">        cost_percent_change,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8.10.7 Integration with Other Components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How Ecological Packaging Advisor Flows</w:t>
            </w:r>
          </w:p>
        </w:tc>
      </w:tr>
      <w:tr>
        <w:tc>
          <w:tcPr>
            <w:tcW w:type="dxa" w:w="4819"/>
          </w:tcPr>
          <w:p>
            <w:pPr>
              <w:spacing w:after="20" w:before="20" w:line="240" w:lineRule="auto"/>
            </w:pPr>
            <w:r/>
            <w:r>
              <w:rPr>
                <w:rFonts w:ascii="Arial" w:hAnsi="Arial" w:cs="Arial"/>
                <w:b w:val="0"/>
                <w:i w:val="0"/>
                <w:sz w:val="17"/>
              </w:rPr>
              <w:t>Palletisation Optimiser (Section 8.4)</w:t>
            </w:r>
          </w:p>
        </w:tc>
        <w:tc>
          <w:tcPr>
            <w:tcW w:type="dxa" w:w="4819"/>
          </w:tcPr>
          <w:p>
            <w:pPr>
              <w:spacing w:after="20" w:before="20" w:line="240" w:lineRule="auto"/>
            </w:pPr>
            <w:r/>
            <w:r>
              <w:rPr>
                <w:rFonts w:ascii="Arial" w:hAnsi="Arial" w:cs="Arial"/>
                <w:b w:val="0"/>
                <w:i w:val="0"/>
                <w:sz w:val="17"/>
              </w:rPr>
              <w:t>Packaging material changes may affect pallet height and weight; plan is re-optimised</w:t>
            </w:r>
          </w:p>
        </w:tc>
      </w:tr>
      <w:tr>
        <w:tc>
          <w:tcPr>
            <w:tcW w:type="dxa" w:w="4819"/>
          </w:tcPr>
          <w:p>
            <w:pPr>
              <w:spacing w:after="20" w:before="20" w:line="240" w:lineRule="auto"/>
            </w:pPr>
            <w:r/>
            <w:r>
              <w:rPr>
                <w:rFonts w:ascii="Arial" w:hAnsi="Arial" w:cs="Arial"/>
                <w:b w:val="0"/>
                <w:i w:val="0"/>
                <w:sz w:val="17"/>
              </w:rPr>
              <w:t>Packing List (Section 8.5)</w:t>
            </w:r>
          </w:p>
        </w:tc>
        <w:tc>
          <w:tcPr>
            <w:tcW w:type="dxa" w:w="4819"/>
          </w:tcPr>
          <w:p>
            <w:pPr>
              <w:spacing w:after="20" w:before="20" w:line="240" w:lineRule="auto"/>
            </w:pPr>
            <w:r/>
            <w:r>
              <w:rPr>
                <w:rFonts w:ascii="Arial" w:hAnsi="Arial" w:cs="Arial"/>
                <w:b w:val="0"/>
                <w:i w:val="0"/>
                <w:sz w:val="17"/>
              </w:rPr>
              <w:t>Updated packaging materials reflected in packing list</w:t>
            </w:r>
          </w:p>
        </w:tc>
      </w:tr>
      <w:tr>
        <w:tc>
          <w:tcPr>
            <w:tcW w:type="dxa" w:w="4819"/>
          </w:tcPr>
          <w:p>
            <w:pPr>
              <w:spacing w:after="20" w:before="20" w:line="240" w:lineRule="auto"/>
            </w:pPr>
            <w:r/>
            <w:r>
              <w:rPr>
                <w:rFonts w:ascii="Arial" w:hAnsi="Arial" w:cs="Arial"/>
                <w:b w:val="0"/>
                <w:i w:val="0"/>
                <w:sz w:val="17"/>
              </w:rPr>
              <w:t>Invoice (Section 8.8)</w:t>
            </w:r>
          </w:p>
        </w:tc>
        <w:tc>
          <w:tcPr>
            <w:tcW w:type="dxa" w:w="4819"/>
          </w:tcPr>
          <w:p>
            <w:pPr>
              <w:spacing w:after="20" w:before="20" w:line="240" w:lineRule="auto"/>
            </w:pPr>
            <w:r/>
            <w:r>
              <w:rPr>
                <w:rFonts w:ascii="Arial" w:hAnsi="Arial" w:cs="Arial"/>
                <w:b w:val="0"/>
                <w:i w:val="0"/>
                <w:sz w:val="17"/>
              </w:rPr>
              <w:t>Updated packaging costs reflected in invoice (if material cost changes)</w:t>
            </w:r>
          </w:p>
        </w:tc>
      </w:tr>
      <w:tr>
        <w:tc>
          <w:tcPr>
            <w:tcW w:type="dxa" w:w="4819"/>
          </w:tcPr>
          <w:p>
            <w:pPr>
              <w:spacing w:after="20" w:before="20" w:line="240" w:lineRule="auto"/>
            </w:pPr>
            <w:r/>
            <w:r>
              <w:rPr>
                <w:rFonts w:ascii="Arial" w:hAnsi="Arial" w:cs="Arial"/>
                <w:b w:val="0"/>
                <w:i w:val="0"/>
                <w:sz w:val="17"/>
              </w:rPr>
              <w:t>Carbon Footprint (Section 8.11)</w:t>
            </w:r>
          </w:p>
        </w:tc>
        <w:tc>
          <w:tcPr>
            <w:tcW w:type="dxa" w:w="4819"/>
          </w:tcPr>
          <w:p>
            <w:pPr>
              <w:spacing w:after="20" w:before="20" w:line="240" w:lineRule="auto"/>
            </w:pPr>
            <w:r/>
            <w:r>
              <w:rPr>
                <w:rFonts w:ascii="Arial" w:hAnsi="Arial" w:cs="Arial"/>
                <w:b w:val="0"/>
                <w:i w:val="0"/>
                <w:sz w:val="17"/>
              </w:rPr>
              <w:t>Carbon calculation updated with new packaging materials</w:t>
            </w:r>
          </w:p>
        </w:tc>
      </w:tr>
      <w:tr>
        <w:tc>
          <w:tcPr>
            <w:tcW w:type="dxa" w:w="4819"/>
          </w:tcPr>
          <w:p>
            <w:pPr>
              <w:spacing w:after="20" w:before="20" w:line="240" w:lineRule="auto"/>
            </w:pPr>
            <w:r/>
            <w:r>
              <w:rPr>
                <w:rFonts w:ascii="Arial" w:hAnsi="Arial" w:cs="Arial"/>
                <w:b w:val="0"/>
                <w:i w:val="0"/>
                <w:sz w:val="17"/>
              </w:rPr>
              <w:t>Special Instructions</w:t>
            </w:r>
          </w:p>
        </w:tc>
        <w:tc>
          <w:tcPr>
            <w:tcW w:type="dxa" w:w="4819"/>
          </w:tcPr>
          <w:p>
            <w:pPr>
              <w:spacing w:after="20" w:before="20" w:line="240" w:lineRule="auto"/>
            </w:pPr>
            <w:r/>
            <w:r>
              <w:rPr>
                <w:rFonts w:ascii="Arial" w:hAnsi="Arial" w:cs="Arial"/>
                <w:b w:val="0"/>
                <w:i w:val="0"/>
                <w:sz w:val="17"/>
              </w:rPr>
              <w:t>Advisor respects buyer's special instructions</w:t>
            </w:r>
          </w:p>
        </w:tc>
      </w:tr>
      <w:tr>
        <w:tc>
          <w:tcPr>
            <w:tcW w:type="dxa" w:w="4819"/>
          </w:tcPr>
          <w:p>
            <w:pPr>
              <w:spacing w:after="20" w:before="20" w:line="240" w:lineRule="auto"/>
            </w:pPr>
            <w:r/>
            <w:r>
              <w:rPr>
                <w:rFonts w:ascii="Arial" w:hAnsi="Arial" w:cs="Arial"/>
                <w:b w:val="0"/>
                <w:i w:val="0"/>
                <w:sz w:val="17"/>
              </w:rPr>
              <w:t>Insurance</w:t>
            </w:r>
          </w:p>
        </w:tc>
        <w:tc>
          <w:tcPr>
            <w:tcW w:type="dxa" w:w="4819"/>
          </w:tcPr>
          <w:p>
            <w:pPr>
              <w:spacing w:after="20" w:before="20" w:line="240" w:lineRule="auto"/>
            </w:pPr>
            <w:r/>
            <w:r>
              <w:rPr>
                <w:rFonts w:ascii="Arial" w:hAnsi="Arial" w:cs="Arial"/>
                <w:b w:val="0"/>
                <w:i w:val="0"/>
                <w:sz w:val="17"/>
              </w:rPr>
              <w:t>Packaging type may affect insurance requirements (e.g., hazardous materials)</w:t>
            </w:r>
          </w:p>
        </w:tc>
      </w:tr>
      <w:tr>
        <w:tc>
          <w:tcPr>
            <w:tcW w:type="dxa" w:w="4819"/>
          </w:tcPr>
          <w:p>
            <w:pPr>
              <w:spacing w:after="20" w:before="20" w:line="240" w:lineRule="auto"/>
            </w:pPr>
            <w:r/>
            <w:r>
              <w:rPr>
                <w:rFonts w:ascii="Arial" w:hAnsi="Arial" w:cs="Arial"/>
                <w:b w:val="0"/>
                <w:i w:val="0"/>
                <w:sz w:val="17"/>
              </w:rPr>
              <w:t>Lock Packing Plan (Section 8.13)</w:t>
            </w:r>
          </w:p>
        </w:tc>
        <w:tc>
          <w:tcPr>
            <w:tcW w:type="dxa" w:w="4819"/>
          </w:tcPr>
          <w:p>
            <w:pPr>
              <w:spacing w:after="20" w:before="20" w:line="240" w:lineRule="auto"/>
            </w:pPr>
            <w:r/>
            <w:r>
              <w:rPr>
                <w:rFonts w:ascii="Arial" w:hAnsi="Arial" w:cs="Arial"/>
                <w:b w:val="0"/>
                <w:i w:val="0"/>
                <w:sz w:val="17"/>
              </w:rPr>
              <w:t>Packaging changes validated before locking</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8.10.8 Validation Gates (Ecological Packaging)</w:t>
      </w:r>
    </w:p>
    <w:p>
      <w:pPr>
        <w:spacing w:after="80" w:line="293" w:lineRule="auto"/>
        <w:ind w:left="283"/>
        <w:jc w:val="left"/>
      </w:pPr>
      <w:r>
        <w:rPr>
          <w:rFonts w:ascii="Times New Roman" w:hAnsi="Times New Roman" w:cs="Times New Roman"/>
          <w:b w:val="0"/>
          <w:i w:val="0"/>
          <w:sz w:val="22"/>
        </w:rPr>
        <w:t>- Recommendations are advisory; no gate blocks on ignoring them.</w:t>
      </w:r>
    </w:p>
    <w:p>
      <w:pPr>
        <w:spacing w:after="80" w:line="293" w:lineRule="auto"/>
        <w:ind w:left="283"/>
        <w:jc w:val="left"/>
      </w:pPr>
      <w:r>
        <w:rPr>
          <w:rFonts w:ascii="Times New Roman" w:hAnsi="Times New Roman" w:cs="Times New Roman"/>
          <w:b w:val="0"/>
          <w:i w:val="0"/>
          <w:sz w:val="22"/>
        </w:rPr>
        <w:t>- Applying a recommendation triggers re-validation of W1–W8 weight and stacking rules.</w:t>
      </w:r>
    </w:p>
    <w:p>
      <w:pPr>
        <w:spacing w:after="80" w:line="293" w:lineRule="auto"/>
        <w:ind w:left="283"/>
        <w:jc w:val="left"/>
      </w:pPr>
      <w:r>
        <w:rPr>
          <w:rFonts w:ascii="Times New Roman" w:hAnsi="Times New Roman" w:cs="Times New Roman"/>
          <w:b w:val="0"/>
          <w:i w:val="0"/>
          <w:sz w:val="22"/>
        </w:rPr>
        <w:t>- Applied materials must pass destination regulatory compliance checks; non-compliant materials are blocked at packing plan lock.</w:t>
      </w:r>
    </w:p>
    <w:p>
      <w:pPr>
        <w:spacing w:after="80" w:line="293" w:lineRule="auto"/>
        <w:ind w:left="283"/>
        <w:jc w:val="left"/>
      </w:pPr>
      <w:r>
        <w:rPr>
          <w:rFonts w:ascii="Times New Roman" w:hAnsi="Times New Roman" w:cs="Times New Roman"/>
          <w:b w:val="0"/>
          <w:i w:val="0"/>
          <w:sz w:val="22"/>
        </w:rPr>
        <w:t>- Applied/dismissed decisions are logged with actor, timestamp, scope, and Loom hash.</w:t>
      </w:r>
    </w:p>
    <w:p>
      <w:pPr>
        <w:keepNext/>
        <w:spacing w:before="180" w:after="80"/>
        <w:outlineLvl w:val="2"/>
      </w:pPr>
      <w:r>
        <w:rPr>
          <w:rFonts w:ascii="Arial" w:hAnsi="Arial" w:cs="Arial"/>
          <w:b/>
          <w:i w:val="0"/>
          <w:color w:val="333333"/>
          <w:sz w:val="23"/>
        </w:rPr>
        <w:t>8.10.9 Database Schema Additions</w:t>
      </w:r>
    </w:p>
    <w:p>
      <w:pPr>
        <w:spacing w:after="0" w:before="0" w:line="240" w:lineRule="auto"/>
        <w:ind w:left="57"/>
        <w:jc w:val="left"/>
        <w:shd w:val="clear" w:fill="F2F2F2"/>
      </w:pPr>
      <w:r>
        <w:rPr>
          <w:rFonts w:ascii="Consolas" w:hAnsi="Consolas" w:cs="Consolas"/>
          <w:b w:val="0"/>
          <w:i w:val="0"/>
          <w:sz w:val="15"/>
        </w:rPr>
        <w:t>-- Ecological packaging recommendations</w:t>
      </w:r>
    </w:p>
    <w:p>
      <w:pPr>
        <w:spacing w:after="0" w:before="0" w:line="240" w:lineRule="auto"/>
        <w:ind w:left="57"/>
        <w:jc w:val="left"/>
        <w:shd w:val="clear" w:fill="F2F2F2"/>
      </w:pPr>
      <w:r>
        <w:rPr>
          <w:rFonts w:ascii="Consolas" w:hAnsi="Consolas" w:cs="Consolas"/>
          <w:b w:val="0"/>
          <w:i w:val="0"/>
          <w:sz w:val="15"/>
        </w:rPr>
        <w:t>CREATE TABLE packaging_recommendations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commodity_id UUID REFERENCES trade_request_commodities(id) ON DELETE SET NULL,</w:t>
      </w:r>
    </w:p>
    <w:p>
      <w:pPr>
        <w:spacing w:after="0" w:before="0" w:line="240" w:lineRule="auto"/>
        <w:ind w:left="57"/>
        <w:jc w:val="left"/>
        <w:shd w:val="clear" w:fill="F2F2F2"/>
      </w:pPr>
      <w:r>
        <w:rPr>
          <w:rFonts w:ascii="Consolas" w:hAnsi="Consolas" w:cs="Consolas"/>
          <w:b w:val="0"/>
          <w:i w:val="0"/>
          <w:sz w:val="15"/>
        </w:rPr>
        <w:t xml:space="preserve">    container_id UUID REFERENCES trade_request_containers(id) ON DELETE SET NULL,</w:t>
      </w:r>
    </w:p>
    <w:p>
      <w:pPr>
        <w:spacing w:after="0" w:before="0" w:line="240" w:lineRule="auto"/>
        <w:ind w:left="57"/>
        <w:jc w:val="left"/>
        <w:shd w:val="clear" w:fill="F2F2F2"/>
      </w:pPr>
      <w:r>
        <w:rPr>
          <w:rFonts w:ascii="Consolas" w:hAnsi="Consolas" w:cs="Consolas"/>
          <w:b w:val="0"/>
          <w:i w:val="0"/>
          <w:sz w:val="15"/>
        </w:rPr>
        <w:t xml:space="preserve">    current_material TEXT NOT NULL,</w:t>
      </w:r>
    </w:p>
    <w:p>
      <w:pPr>
        <w:spacing w:after="0" w:before="0" w:line="240" w:lineRule="auto"/>
        <w:ind w:left="57"/>
        <w:jc w:val="left"/>
        <w:shd w:val="clear" w:fill="F2F2F2"/>
      </w:pPr>
      <w:r>
        <w:rPr>
          <w:rFonts w:ascii="Consolas" w:hAnsi="Consolas" w:cs="Consolas"/>
          <w:b w:val="0"/>
          <w:i w:val="0"/>
          <w:sz w:val="15"/>
        </w:rPr>
        <w:t xml:space="preserve">    recommended_material TEXT NOT NULL,</w:t>
      </w:r>
    </w:p>
    <w:p>
      <w:pPr>
        <w:spacing w:after="0" w:before="0" w:line="240" w:lineRule="auto"/>
        <w:ind w:left="57"/>
        <w:jc w:val="left"/>
        <w:shd w:val="clear" w:fill="F2F2F2"/>
      </w:pPr>
      <w:r>
        <w:rPr>
          <w:rFonts w:ascii="Consolas" w:hAnsi="Consolas" w:cs="Consolas"/>
          <w:b w:val="0"/>
          <w:i w:val="0"/>
          <w:sz w:val="15"/>
        </w:rPr>
        <w:t xml:space="preserve">    carbon_saving_kg_co2e DECIMAL(10,2),</w:t>
      </w:r>
    </w:p>
    <w:p>
      <w:pPr>
        <w:spacing w:after="0" w:before="0" w:line="240" w:lineRule="auto"/>
        <w:ind w:left="57"/>
        <w:jc w:val="left"/>
        <w:shd w:val="clear" w:fill="F2F2F2"/>
      </w:pPr>
      <w:r>
        <w:rPr>
          <w:rFonts w:ascii="Consolas" w:hAnsi="Consolas" w:cs="Consolas"/>
          <w:b w:val="0"/>
          <w:i w:val="0"/>
          <w:sz w:val="15"/>
        </w:rPr>
        <w:t xml:space="preserve">    carbon_saving_percent DECIMAL(5,2),</w:t>
      </w:r>
    </w:p>
    <w:p>
      <w:pPr>
        <w:spacing w:after="0" w:before="0" w:line="240" w:lineRule="auto"/>
        <w:ind w:left="57"/>
        <w:jc w:val="left"/>
        <w:shd w:val="clear" w:fill="F2F2F2"/>
      </w:pPr>
      <w:r>
        <w:rPr>
          <w:rFonts w:ascii="Consolas" w:hAnsi="Consolas" w:cs="Consolas"/>
          <w:b w:val="0"/>
          <w:i w:val="0"/>
          <w:sz w:val="15"/>
        </w:rPr>
        <w:t xml:space="preserve">    cost_impact_usd DECIMAL(10,2),</w:t>
      </w:r>
    </w:p>
    <w:p>
      <w:pPr>
        <w:spacing w:after="0" w:before="0" w:line="240" w:lineRule="auto"/>
        <w:ind w:left="57"/>
        <w:jc w:val="left"/>
        <w:shd w:val="clear" w:fill="F2F2F2"/>
      </w:pPr>
      <w:r>
        <w:rPr>
          <w:rFonts w:ascii="Consolas" w:hAnsi="Consolas" w:cs="Consolas"/>
          <w:b w:val="0"/>
          <w:i w:val="0"/>
          <w:sz w:val="15"/>
        </w:rPr>
        <w:t xml:space="preserve">    cost_impact_percent DECIMAL(5,2),</w:t>
      </w:r>
    </w:p>
    <w:p>
      <w:pPr>
        <w:spacing w:after="0" w:before="0" w:line="240" w:lineRule="auto"/>
        <w:ind w:left="57"/>
        <w:jc w:val="left"/>
        <w:shd w:val="clear" w:fill="F2F2F2"/>
      </w:pPr>
      <w:r>
        <w:rPr>
          <w:rFonts w:ascii="Consolas" w:hAnsi="Consolas" w:cs="Consolas"/>
          <w:b w:val="0"/>
          <w:i w:val="0"/>
          <w:sz w:val="15"/>
        </w:rPr>
        <w:t xml:space="preserve">    compliance_status TEXT NOT NULL, -- 'COMPLIANT', 'RESTRICTED', 'BANNED'</w:t>
      </w:r>
    </w:p>
    <w:p>
      <w:pPr>
        <w:spacing w:after="0" w:before="0" w:line="240" w:lineRule="auto"/>
        <w:ind w:left="57"/>
        <w:jc w:val="left"/>
        <w:shd w:val="clear" w:fill="F2F2F2"/>
      </w:pPr>
      <w:r>
        <w:rPr>
          <w:rFonts w:ascii="Consolas" w:hAnsi="Consolas" w:cs="Consolas"/>
          <w:b w:val="0"/>
          <w:i w:val="0"/>
          <w:sz w:val="15"/>
        </w:rPr>
        <w:t xml:space="preserve">    recommendation_strength TEXT, -- 'HIGH', 'MEDIUM', 'LOW'</w:t>
      </w:r>
    </w:p>
    <w:p>
      <w:pPr>
        <w:spacing w:after="0" w:before="0" w:line="240" w:lineRule="auto"/>
        <w:ind w:left="57"/>
        <w:jc w:val="left"/>
        <w:shd w:val="clear" w:fill="F2F2F2"/>
      </w:pPr>
      <w:r>
        <w:rPr>
          <w:rFonts w:ascii="Consolas" w:hAnsi="Consolas" w:cs="Consolas"/>
          <w:b w:val="0"/>
          <w:i w:val="0"/>
          <w:sz w:val="15"/>
        </w:rPr>
        <w:t xml:space="preserve">    explanation TEXT,</w:t>
      </w:r>
    </w:p>
    <w:p>
      <w:pPr>
        <w:spacing w:after="0" w:before="0" w:line="240" w:lineRule="auto"/>
        <w:ind w:left="57"/>
        <w:jc w:val="left"/>
        <w:shd w:val="clear" w:fill="F2F2F2"/>
      </w:pPr>
      <w:r>
        <w:rPr>
          <w:rFonts w:ascii="Consolas" w:hAnsi="Consolas" w:cs="Consolas"/>
          <w:b w:val="0"/>
          <w:i w:val="0"/>
          <w:sz w:val="15"/>
        </w:rPr>
        <w:t xml:space="preserve">    applied BOOLEAN DEFAULT false,</w:t>
      </w:r>
    </w:p>
    <w:p>
      <w:pPr>
        <w:spacing w:after="0" w:before="0" w:line="240" w:lineRule="auto"/>
        <w:ind w:left="57"/>
        <w:jc w:val="left"/>
        <w:shd w:val="clear" w:fill="F2F2F2"/>
      </w:pPr>
      <w:r>
        <w:rPr>
          <w:rFonts w:ascii="Consolas" w:hAnsi="Consolas" w:cs="Consolas"/>
          <w:b w:val="0"/>
          <w:i w:val="0"/>
          <w:sz w:val="15"/>
        </w:rPr>
        <w:t xml:space="preserve">    applied_at TIMESTAMPTZ,</w:t>
      </w:r>
    </w:p>
    <w:p>
      <w:pPr>
        <w:spacing w:after="0" w:before="0" w:line="240" w:lineRule="auto"/>
        <w:ind w:left="57"/>
        <w:jc w:val="left"/>
        <w:shd w:val="clear" w:fill="F2F2F2"/>
      </w:pPr>
      <w:r>
        <w:rPr>
          <w:rFonts w:ascii="Consolas" w:hAnsi="Consolas" w:cs="Consolas"/>
          <w:b w:val="0"/>
          <w:i w:val="0"/>
          <w:sz w:val="15"/>
        </w:rPr>
        <w:t xml:space="preserve">    applied_to TEXT, -- 'ALL_CONTAINERS', 'COMMODITY_ONLY', 'CONTAINER_ONLY'</w:t>
      </w:r>
    </w:p>
    <w:p>
      <w:pPr>
        <w:spacing w:after="0" w:before="0" w:line="240" w:lineRule="auto"/>
        <w:ind w:left="57"/>
        <w:jc w:val="left"/>
        <w:shd w:val="clear" w:fill="F2F2F2"/>
      </w:pPr>
      <w:r>
        <w:rPr>
          <w:rFonts w:ascii="Consolas" w:hAnsi="Consolas" w:cs="Consolas"/>
          <w:b w:val="0"/>
          <w:i w:val="0"/>
          <w:sz w:val="15"/>
        </w:rPr>
        <w:t xml:space="preserve">    dismissed BOOLEAN DEFAULT false,</w:t>
      </w:r>
    </w:p>
    <w:p>
      <w:pPr>
        <w:spacing w:after="0" w:before="0" w:line="240" w:lineRule="auto"/>
        <w:ind w:left="57"/>
        <w:jc w:val="left"/>
        <w:shd w:val="clear" w:fill="F2F2F2"/>
      </w:pPr>
      <w:r>
        <w:rPr>
          <w:rFonts w:ascii="Consolas" w:hAnsi="Consolas" w:cs="Consolas"/>
          <w:b w:val="0"/>
          <w:i w:val="0"/>
          <w:sz w:val="15"/>
        </w:rPr>
        <w:t xml:space="preserve">    dismissed_at TIMESTAMPTZ,</w:t>
      </w:r>
    </w:p>
    <w:p>
      <w:pPr>
        <w:spacing w:after="0" w:before="0" w:line="240" w:lineRule="auto"/>
        <w:ind w:left="57"/>
        <w:jc w:val="left"/>
        <w:shd w:val="clear" w:fill="F2F2F2"/>
      </w:pPr>
      <w:r>
        <w:rPr>
          <w:rFonts w:ascii="Consolas" w:hAnsi="Consolas" w:cs="Consolas"/>
          <w:b w:val="0"/>
          <w:i w:val="0"/>
          <w:sz w:val="15"/>
        </w:rPr>
        <w:t xml:space="preserve">    dismissed_reason TEXT,</w:t>
      </w:r>
    </w:p>
    <w:p>
      <w:pPr>
        <w:spacing w:after="0" w:before="0" w:line="240" w:lineRule="auto"/>
        <w:ind w:left="57"/>
        <w:jc w:val="left"/>
        <w:shd w:val="clear" w:fill="F2F2F2"/>
      </w:pPr>
      <w:r>
        <w:rPr>
          <w:rFonts w:ascii="Consolas" w:hAnsi="Consolas" w:cs="Consolas"/>
          <w:b w:val="0"/>
          <w:i w:val="0"/>
          <w:sz w:val="15"/>
        </w:rPr>
        <w:t xml:space="preserve">    generated_by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Packaging material database</w:t>
      </w:r>
    </w:p>
    <w:p>
      <w:pPr>
        <w:spacing w:after="0" w:before="0" w:line="240" w:lineRule="auto"/>
        <w:ind w:left="57"/>
        <w:jc w:val="left"/>
        <w:shd w:val="clear" w:fill="F2F2F2"/>
      </w:pPr>
      <w:r>
        <w:rPr>
          <w:rFonts w:ascii="Consolas" w:hAnsi="Consolas" w:cs="Consolas"/>
          <w:b w:val="0"/>
          <w:i w:val="0"/>
          <w:sz w:val="15"/>
        </w:rPr>
        <w:t>CREATE TABLE packaging_materials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material_code TEXT UNIQUE NOT NULL,</w:t>
      </w:r>
    </w:p>
    <w:p>
      <w:pPr>
        <w:spacing w:after="0" w:before="0" w:line="240" w:lineRule="auto"/>
        <w:ind w:left="57"/>
        <w:jc w:val="left"/>
        <w:shd w:val="clear" w:fill="F2F2F2"/>
      </w:pPr>
      <w:r>
        <w:rPr>
          <w:rFonts w:ascii="Consolas" w:hAnsi="Consolas" w:cs="Consolas"/>
          <w:b w:val="0"/>
          <w:i w:val="0"/>
          <w:sz w:val="15"/>
        </w:rPr>
        <w:t xml:space="preserve">    material_name TEXT NOT NULL,</w:t>
      </w:r>
    </w:p>
    <w:p>
      <w:pPr>
        <w:spacing w:after="0" w:before="0" w:line="240" w:lineRule="auto"/>
        <w:ind w:left="57"/>
        <w:jc w:val="left"/>
        <w:shd w:val="clear" w:fill="F2F2F2"/>
      </w:pPr>
      <w:r>
        <w:rPr>
          <w:rFonts w:ascii="Consolas" w:hAnsi="Consolas" w:cs="Consolas"/>
          <w:b w:val="0"/>
          <w:i w:val="0"/>
          <w:sz w:val="15"/>
        </w:rPr>
        <w:t xml:space="preserve">    material_name_ar TEXT,</w:t>
      </w:r>
    </w:p>
    <w:p>
      <w:pPr>
        <w:spacing w:after="0" w:before="0" w:line="240" w:lineRule="auto"/>
        <w:ind w:left="57"/>
        <w:jc w:val="left"/>
        <w:shd w:val="clear" w:fill="F2F2F2"/>
      </w:pPr>
      <w:r>
        <w:rPr>
          <w:rFonts w:ascii="Consolas" w:hAnsi="Consolas" w:cs="Consolas"/>
          <w:b w:val="0"/>
          <w:i w:val="0"/>
          <w:sz w:val="15"/>
        </w:rPr>
        <w:t xml:space="preserve">    category TEXT NOT NULL, -- 'PLASTIC', 'PAPER', 'WOOD', 'METAL', 'GLASS', 'BIO', 'COMPOSITE'</w:t>
      </w:r>
    </w:p>
    <w:p>
      <w:pPr>
        <w:spacing w:after="0" w:before="0" w:line="240" w:lineRule="auto"/>
        <w:ind w:left="57"/>
        <w:jc w:val="left"/>
        <w:shd w:val="clear" w:fill="F2F2F2"/>
      </w:pPr>
      <w:r>
        <w:rPr>
          <w:rFonts w:ascii="Consolas" w:hAnsi="Consolas" w:cs="Consolas"/>
          <w:b w:val="0"/>
          <w:i w:val="0"/>
          <w:sz w:val="15"/>
        </w:rPr>
        <w:t xml:space="preserve">    carbon_footprint_kg_co2e_per_kg DECIMAL(10,4),</w:t>
      </w:r>
    </w:p>
    <w:p>
      <w:pPr>
        <w:spacing w:after="0" w:before="0" w:line="240" w:lineRule="auto"/>
        <w:ind w:left="57"/>
        <w:jc w:val="left"/>
        <w:shd w:val="clear" w:fill="F2F2F2"/>
      </w:pPr>
      <w:r>
        <w:rPr>
          <w:rFonts w:ascii="Consolas" w:hAnsi="Consolas" w:cs="Consolas"/>
          <w:b w:val="0"/>
          <w:i w:val="0"/>
          <w:sz w:val="15"/>
        </w:rPr>
        <w:t xml:space="preserve">    cost_per_kg DECIMAL(10,4),</w:t>
      </w:r>
    </w:p>
    <w:p>
      <w:pPr>
        <w:spacing w:after="0" w:before="0" w:line="240" w:lineRule="auto"/>
        <w:ind w:left="57"/>
        <w:jc w:val="left"/>
        <w:shd w:val="clear" w:fill="F2F2F2"/>
      </w:pPr>
      <w:r>
        <w:rPr>
          <w:rFonts w:ascii="Consolas" w:hAnsi="Consolas" w:cs="Consolas"/>
          <w:b w:val="0"/>
          <w:i w:val="0"/>
          <w:sz w:val="15"/>
        </w:rPr>
        <w:t xml:space="preserve">    currency TEXT DEFAULT 'USD',</w:t>
      </w:r>
    </w:p>
    <w:p>
      <w:pPr>
        <w:spacing w:after="0" w:before="0" w:line="240" w:lineRule="auto"/>
        <w:ind w:left="57"/>
        <w:jc w:val="left"/>
        <w:shd w:val="clear" w:fill="F2F2F2"/>
      </w:pPr>
      <w:r>
        <w:rPr>
          <w:rFonts w:ascii="Consolas" w:hAnsi="Consolas" w:cs="Consolas"/>
          <w:b w:val="0"/>
          <w:i w:val="0"/>
          <w:sz w:val="15"/>
        </w:rPr>
        <w:t xml:space="preserve">    recycled_content_percent INTEGER DEFAULT 0,</w:t>
      </w:r>
    </w:p>
    <w:p>
      <w:pPr>
        <w:spacing w:after="0" w:before="0" w:line="240" w:lineRule="auto"/>
        <w:ind w:left="57"/>
        <w:jc w:val="left"/>
        <w:shd w:val="clear" w:fill="F2F2F2"/>
      </w:pPr>
      <w:r>
        <w:rPr>
          <w:rFonts w:ascii="Consolas" w:hAnsi="Consolas" w:cs="Consolas"/>
          <w:b w:val="0"/>
          <w:i w:val="0"/>
          <w:sz w:val="15"/>
        </w:rPr>
        <w:t xml:space="preserve">    is_biodegradable BOOLEAN DEFAULT false,</w:t>
      </w:r>
    </w:p>
    <w:p>
      <w:pPr>
        <w:spacing w:after="0" w:before="0" w:line="240" w:lineRule="auto"/>
        <w:ind w:left="57"/>
        <w:jc w:val="left"/>
        <w:shd w:val="clear" w:fill="F2F2F2"/>
      </w:pPr>
      <w:r>
        <w:rPr>
          <w:rFonts w:ascii="Consolas" w:hAnsi="Consolas" w:cs="Consolas"/>
          <w:b w:val="0"/>
          <w:i w:val="0"/>
          <w:sz w:val="15"/>
        </w:rPr>
        <w:t xml:space="preserve">    is_recyclable BOOLEAN DEFAULT true,</w:t>
      </w:r>
    </w:p>
    <w:p>
      <w:pPr>
        <w:spacing w:after="0" w:before="0" w:line="240" w:lineRule="auto"/>
        <w:ind w:left="57"/>
        <w:jc w:val="left"/>
        <w:shd w:val="clear" w:fill="F2F2F2"/>
      </w:pPr>
      <w:r>
        <w:rPr>
          <w:rFonts w:ascii="Consolas" w:hAnsi="Consolas" w:cs="Consolas"/>
          <w:b w:val="0"/>
          <w:i w:val="0"/>
          <w:sz w:val="15"/>
        </w:rPr>
        <w:t xml:space="preserve">    is_reusable BOOLEAN DEFAULT false,</w:t>
      </w:r>
    </w:p>
    <w:p>
      <w:pPr>
        <w:spacing w:after="0" w:before="0" w:line="240" w:lineRule="auto"/>
        <w:ind w:left="57"/>
        <w:jc w:val="left"/>
        <w:shd w:val="clear" w:fill="F2F2F2"/>
      </w:pPr>
      <w:r>
        <w:rPr>
          <w:rFonts w:ascii="Consolas" w:hAnsi="Consolas" w:cs="Consolas"/>
          <w:b w:val="0"/>
          <w:i w:val="0"/>
          <w:sz w:val="15"/>
        </w:rPr>
        <w:t xml:space="preserve">    is_hazardous BOOLEAN DEFAULT false,</w:t>
      </w:r>
    </w:p>
    <w:p>
      <w:pPr>
        <w:spacing w:after="0" w:before="0" w:line="240" w:lineRule="auto"/>
        <w:ind w:left="57"/>
        <w:jc w:val="left"/>
        <w:shd w:val="clear" w:fill="F2F2F2"/>
      </w:pPr>
      <w:r>
        <w:rPr>
          <w:rFonts w:ascii="Consolas" w:hAnsi="Consolas" w:cs="Consolas"/>
          <w:b w:val="0"/>
          <w:i w:val="0"/>
          <w:sz w:val="15"/>
        </w:rPr>
        <w:t xml:space="preserve">    halal_certified BOOLEAN DEFAULT false,</w:t>
      </w:r>
    </w:p>
    <w:p>
      <w:pPr>
        <w:spacing w:after="0" w:before="0" w:line="240" w:lineRule="auto"/>
        <w:ind w:left="57"/>
        <w:jc w:val="left"/>
        <w:shd w:val="clear" w:fill="F2F2F2"/>
      </w:pPr>
      <w:r>
        <w:rPr>
          <w:rFonts w:ascii="Consolas" w:hAnsi="Consolas" w:cs="Consolas"/>
          <w:b w:val="0"/>
          <w:i w:val="0"/>
          <w:sz w:val="15"/>
        </w:rPr>
        <w:t xml:space="preserve">    ispm15_compliant BOOLEAN DEFAULT false,</w:t>
      </w:r>
    </w:p>
    <w:p>
      <w:pPr>
        <w:spacing w:after="0" w:before="0" w:line="240" w:lineRule="auto"/>
        <w:ind w:left="57"/>
        <w:jc w:val="left"/>
        <w:shd w:val="clear" w:fill="F2F2F2"/>
      </w:pPr>
      <w:r>
        <w:rPr>
          <w:rFonts w:ascii="Consolas" w:hAnsi="Consolas" w:cs="Consolas"/>
          <w:b w:val="0"/>
          <w:i w:val="0"/>
          <w:sz w:val="15"/>
        </w:rPr>
        <w:t xml:space="preserve">    typical_use TEXT,</w:t>
      </w:r>
    </w:p>
    <w:p>
      <w:pPr>
        <w:spacing w:after="0" w:before="0" w:line="240" w:lineRule="auto"/>
        <w:ind w:left="57"/>
        <w:jc w:val="left"/>
        <w:shd w:val="clear" w:fill="F2F2F2"/>
      </w:pPr>
      <w:r>
        <w:rPr>
          <w:rFonts w:ascii="Consolas" w:hAnsi="Consolas" w:cs="Consolas"/>
          <w:b w:val="0"/>
          <w:i w:val="0"/>
          <w:sz w:val="15"/>
        </w:rPr>
        <w:t xml:space="preserve">    tensile_strength_mpa DECIMAL(10,2),</w:t>
      </w:r>
    </w:p>
    <w:p>
      <w:pPr>
        <w:spacing w:after="0" w:before="0" w:line="240" w:lineRule="auto"/>
        <w:ind w:left="57"/>
        <w:jc w:val="left"/>
        <w:shd w:val="clear" w:fill="F2F2F2"/>
      </w:pPr>
      <w:r>
        <w:rPr>
          <w:rFonts w:ascii="Consolas" w:hAnsi="Consolas" w:cs="Consolas"/>
          <w:b w:val="0"/>
          <w:i w:val="0"/>
          <w:sz w:val="15"/>
        </w:rPr>
        <w:t xml:space="preserve">    max_weight_kg DECIMAL(10,2),</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Destination-country packaging regulations (RIA-maintained)</w:t>
      </w:r>
    </w:p>
    <w:p>
      <w:pPr>
        <w:spacing w:after="0" w:before="0" w:line="240" w:lineRule="auto"/>
        <w:ind w:left="57"/>
        <w:jc w:val="left"/>
        <w:shd w:val="clear" w:fill="F2F2F2"/>
      </w:pPr>
      <w:r>
        <w:rPr>
          <w:rFonts w:ascii="Consolas" w:hAnsi="Consolas" w:cs="Consolas"/>
          <w:b w:val="0"/>
          <w:i w:val="0"/>
          <w:sz w:val="15"/>
        </w:rPr>
        <w:t>CREATE TABLE packaging_regulations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regulation_name TEXT NOT NULL,</w:t>
      </w:r>
    </w:p>
    <w:p>
      <w:pPr>
        <w:spacing w:after="0" w:before="0" w:line="240" w:lineRule="auto"/>
        <w:ind w:left="57"/>
        <w:jc w:val="left"/>
        <w:shd w:val="clear" w:fill="F2F2F2"/>
      </w:pPr>
      <w:r>
        <w:rPr>
          <w:rFonts w:ascii="Consolas" w:hAnsi="Consolas" w:cs="Consolas"/>
          <w:b w:val="0"/>
          <w:i w:val="0"/>
          <w:sz w:val="15"/>
        </w:rPr>
        <w:t xml:space="preserve">    regulation_reference TEXT,</w:t>
      </w:r>
    </w:p>
    <w:p>
      <w:pPr>
        <w:spacing w:after="0" w:before="0" w:line="240" w:lineRule="auto"/>
        <w:ind w:left="57"/>
        <w:jc w:val="left"/>
        <w:shd w:val="clear" w:fill="F2F2F2"/>
      </w:pPr>
      <w:r>
        <w:rPr>
          <w:rFonts w:ascii="Consolas" w:hAnsi="Consolas" w:cs="Consolas"/>
          <w:b w:val="0"/>
          <w:i w:val="0"/>
          <w:sz w:val="15"/>
        </w:rPr>
        <w:t xml:space="preserve">    material_restrictions JSONB, -- [{material_code: 'EPS_FOAM', restriction: 'BANNED', effective_date: '2021-07-03'}]</w:t>
      </w:r>
    </w:p>
    <w:p>
      <w:pPr>
        <w:spacing w:after="0" w:before="0" w:line="240" w:lineRule="auto"/>
        <w:ind w:left="57"/>
        <w:jc w:val="left"/>
        <w:shd w:val="clear" w:fill="F2F2F2"/>
      </w:pPr>
      <w:r>
        <w:rPr>
          <w:rFonts w:ascii="Consolas" w:hAnsi="Consolas" w:cs="Consolas"/>
          <w:b w:val="0"/>
          <w:i w:val="0"/>
          <w:sz w:val="15"/>
        </w:rPr>
        <w:t xml:space="preserve">    recycled_content_requirement INTEGER, -- percentage</w:t>
      </w:r>
    </w:p>
    <w:p>
      <w:pPr>
        <w:spacing w:after="0" w:before="0" w:line="240" w:lineRule="auto"/>
        <w:ind w:left="57"/>
        <w:jc w:val="left"/>
        <w:shd w:val="clear" w:fill="F2F2F2"/>
      </w:pPr>
      <w:r>
        <w:rPr>
          <w:rFonts w:ascii="Consolas" w:hAnsi="Consolas" w:cs="Consolas"/>
          <w:b w:val="0"/>
          <w:i w:val="0"/>
          <w:sz w:val="15"/>
        </w:rPr>
        <w:t xml:space="preserve">    reporting_required BOOLEAN DEFAULT false,</w:t>
      </w:r>
    </w:p>
    <w:p>
      <w:pPr>
        <w:spacing w:after="0" w:before="0" w:line="240" w:lineRule="auto"/>
        <w:ind w:left="57"/>
        <w:jc w:val="left"/>
        <w:shd w:val="clear" w:fill="F2F2F2"/>
      </w:pPr>
      <w:r>
        <w:rPr>
          <w:rFonts w:ascii="Consolas" w:hAnsi="Consolas" w:cs="Consolas"/>
          <w:b w:val="0"/>
          <w:i w:val="0"/>
          <w:sz w:val="15"/>
        </w:rPr>
        <w:t xml:space="preserve">    reporting_frequency TEXT, -- 'MONTHLY', 'QUARTERLY', 'ANNUAL'</w:t>
      </w:r>
    </w:p>
    <w:p>
      <w:pPr>
        <w:spacing w:after="0" w:before="0" w:line="240" w:lineRule="auto"/>
        <w:ind w:left="57"/>
        <w:jc w:val="left"/>
        <w:shd w:val="clear" w:fill="F2F2F2"/>
      </w:pPr>
      <w:r>
        <w:rPr>
          <w:rFonts w:ascii="Consolas" w:hAnsi="Consolas" w:cs="Consolas"/>
          <w:b w:val="0"/>
          <w:i w:val="0"/>
          <w:sz w:val="15"/>
        </w:rPr>
        <w:t xml:space="preserve">    penalty_for_non_compliance TEXT,</w:t>
      </w:r>
    </w:p>
    <w:p>
      <w:pPr>
        <w:spacing w:after="0" w:before="0" w:line="240" w:lineRule="auto"/>
        <w:ind w:left="57"/>
        <w:jc w:val="left"/>
        <w:shd w:val="clear" w:fill="F2F2F2"/>
      </w:pPr>
      <w:r>
        <w:rPr>
          <w:rFonts w:ascii="Consolas" w:hAnsi="Consolas" w:cs="Consolas"/>
          <w:b w:val="0"/>
          <w:i w:val="0"/>
          <w:sz w:val="15"/>
        </w:rPr>
        <w:t xml:space="preserve">    effective_date DATE,</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UNIQUE(country_code, regulation_name)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Packaging compliance checks (historical)</w:t>
      </w:r>
    </w:p>
    <w:p>
      <w:pPr>
        <w:spacing w:after="0" w:before="0" w:line="240" w:lineRule="auto"/>
        <w:ind w:left="57"/>
        <w:jc w:val="left"/>
        <w:shd w:val="clear" w:fill="F2F2F2"/>
      </w:pPr>
      <w:r>
        <w:rPr>
          <w:rFonts w:ascii="Consolas" w:hAnsi="Consolas" w:cs="Consolas"/>
          <w:b w:val="0"/>
          <w:i w:val="0"/>
          <w:sz w:val="15"/>
        </w:rPr>
        <w:t>CREATE TABLE packaging_compliance_checks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commodity_id UUID REFERENCES trade_request_commodities(id) ON DELETE SET NULL,</w:t>
      </w:r>
    </w:p>
    <w:p>
      <w:pPr>
        <w:spacing w:after="0" w:before="0" w:line="240" w:lineRule="auto"/>
        <w:ind w:left="57"/>
        <w:jc w:val="left"/>
        <w:shd w:val="clear" w:fill="F2F2F2"/>
      </w:pPr>
      <w:r>
        <w:rPr>
          <w:rFonts w:ascii="Consolas" w:hAnsi="Consolas" w:cs="Consolas"/>
          <w:b w:val="0"/>
          <w:i w:val="0"/>
          <w:sz w:val="15"/>
        </w:rPr>
        <w:t xml:space="preserve">    material_code TEXT NOT NULL,</w:t>
      </w:r>
    </w:p>
    <w:p>
      <w:pPr>
        <w:spacing w:after="0" w:before="0" w:line="240" w:lineRule="auto"/>
        <w:ind w:left="57"/>
        <w:jc w:val="left"/>
        <w:shd w:val="clear" w:fill="F2F2F2"/>
      </w:pPr>
      <w:r>
        <w:rPr>
          <w:rFonts w:ascii="Consolas" w:hAnsi="Consolas" w:cs="Consolas"/>
          <w:b w:val="0"/>
          <w:i w:val="0"/>
          <w:sz w:val="15"/>
        </w:rPr>
        <w:t xml:space="preserve">    destination_country CHAR(2) NOT NULL,</w:t>
      </w:r>
    </w:p>
    <w:p>
      <w:pPr>
        <w:spacing w:after="0" w:before="0" w:line="240" w:lineRule="auto"/>
        <w:ind w:left="57"/>
        <w:jc w:val="left"/>
        <w:shd w:val="clear" w:fill="F2F2F2"/>
      </w:pPr>
      <w:r>
        <w:rPr>
          <w:rFonts w:ascii="Consolas" w:hAnsi="Consolas" w:cs="Consolas"/>
          <w:b w:val="0"/>
          <w:i w:val="0"/>
          <w:sz w:val="15"/>
        </w:rPr>
        <w:t xml:space="preserve">    is_compliant BOOLEAN DEFAULT true,</w:t>
      </w:r>
    </w:p>
    <w:p>
      <w:pPr>
        <w:spacing w:after="0" w:before="0" w:line="240" w:lineRule="auto"/>
        <w:ind w:left="57"/>
        <w:jc w:val="left"/>
        <w:shd w:val="clear" w:fill="F2F2F2"/>
      </w:pPr>
      <w:r>
        <w:rPr>
          <w:rFonts w:ascii="Consolas" w:hAnsi="Consolas" w:cs="Consolas"/>
          <w:b w:val="0"/>
          <w:i w:val="0"/>
          <w:sz w:val="15"/>
        </w:rPr>
        <w:t xml:space="preserve">    violation_details JSONB,</w:t>
      </w:r>
    </w:p>
    <w:p>
      <w:pPr>
        <w:spacing w:after="0" w:before="0" w:line="240" w:lineRule="auto"/>
        <w:ind w:left="57"/>
        <w:jc w:val="left"/>
        <w:shd w:val="clear" w:fill="F2F2F2"/>
      </w:pPr>
      <w:r>
        <w:rPr>
          <w:rFonts w:ascii="Consolas" w:hAnsi="Consolas" w:cs="Consolas"/>
          <w:b w:val="0"/>
          <w:i w:val="0"/>
          <w:sz w:val="15"/>
        </w:rPr>
        <w:t xml:space="preserve">    checked_at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Ecological packaging advisor logs</w:t>
      </w:r>
    </w:p>
    <w:p>
      <w:pPr>
        <w:spacing w:after="0" w:before="0" w:line="240" w:lineRule="auto"/>
        <w:ind w:left="57"/>
        <w:jc w:val="left"/>
        <w:shd w:val="clear" w:fill="F2F2F2"/>
      </w:pPr>
      <w:r>
        <w:rPr>
          <w:rFonts w:ascii="Consolas" w:hAnsi="Consolas" w:cs="Consolas"/>
          <w:b w:val="0"/>
          <w:i w:val="0"/>
          <w:sz w:val="15"/>
        </w:rPr>
        <w:t>CREATE TABLE ecological_packaging_logs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action_type TEXT NOT NULL, -- 'RECOMMENDATION_GENERATED', 'RECOMMENDATION_APPLIED', 'RECOMMENDATION_DISMISSED'</w:t>
      </w:r>
    </w:p>
    <w:p>
      <w:pPr>
        <w:spacing w:after="0" w:before="0" w:line="240" w:lineRule="auto"/>
        <w:ind w:left="57"/>
        <w:jc w:val="left"/>
        <w:shd w:val="clear" w:fill="F2F2F2"/>
      </w:pPr>
      <w:r>
        <w:rPr>
          <w:rFonts w:ascii="Consolas" w:hAnsi="Consolas" w:cs="Consolas"/>
          <w:b w:val="0"/>
          <w:i w:val="0"/>
          <w:sz w:val="15"/>
        </w:rPr>
        <w:t xml:space="preserve">    action_data JSONB,</w:t>
      </w:r>
    </w:p>
    <w:p>
      <w:pPr>
        <w:spacing w:after="0" w:before="0" w:line="240" w:lineRule="auto"/>
        <w:ind w:left="57"/>
        <w:jc w:val="left"/>
        <w:shd w:val="clear" w:fill="F2F2F2"/>
      </w:pPr>
      <w:r>
        <w:rPr>
          <w:rFonts w:ascii="Consolas" w:hAnsi="Consolas" w:cs="Consolas"/>
          <w:b w:val="0"/>
          <w:i w:val="0"/>
          <w:sz w:val="15"/>
        </w:rPr>
        <w:t xml:space="preserve">    performed_by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performed_at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idx_packaging_recommendations_trade ON packaging_recommendations(trade_request_id);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idx_packaging_recommendations_applied ON packaging_recommendations(applied) WHERE applied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idx_packaging_recommendations_dismissed ON packaging_recommendations(dismissed) WHERE dismissed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idx_packaging_materials_code ON packaging_materials(material_code);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idx_packaging_materials_category ON packaging_materials(category);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idx_packaging_regulations_country ON packaging_regulations(country_code);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idx_packaging_regulations_effective ON packaging_regulations(effective_date);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idx_packaging_compliance_checks_trade ON packaging_compliance_checks(trade_request_id);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idx_ecological_packaging_logs_trade ON ecological_packaging_logs(trade_request_id);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idx_ecological_packaging_logs_performed_at ON ecological_packaging_logs(performed_at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8.10.10 Implementation Checklist</w:t>
      </w:r>
    </w:p>
    <w:p>
      <w:pPr>
        <w:spacing w:after="80" w:line="293" w:lineRule="auto"/>
        <w:jc w:val="left"/>
      </w:pPr>
      <w:r>
        <w:rPr>
          <w:rFonts w:ascii="Times New Roman" w:hAnsi="Times New Roman" w:cs="Times New Roman"/>
          <w:b w:val="0"/>
          <w:i w:val="0"/>
          <w:sz w:val="22"/>
        </w:rPr>
        <w:t>Backend services:</w:t>
      </w:r>
    </w:p>
    <w:p>
      <w:pPr>
        <w:spacing w:after="80" w:line="293" w:lineRule="auto"/>
        <w:ind w:left="283"/>
        <w:jc w:val="left"/>
      </w:pPr>
      <w:r>
        <w:rPr>
          <w:rFonts w:ascii="Times New Roman" w:hAnsi="Times New Roman" w:cs="Times New Roman"/>
          <w:b w:val="0"/>
          <w:i w:val="0"/>
          <w:sz w:val="22"/>
        </w:rPr>
        <w:t>- Implement ecological packaging advisor service (Rust)</w:t>
      </w:r>
    </w:p>
    <w:p>
      <w:pPr>
        <w:spacing w:after="80" w:line="293" w:lineRule="auto"/>
        <w:ind w:left="283"/>
        <w:jc w:val="left"/>
      </w:pPr>
      <w:r>
        <w:rPr>
          <w:rFonts w:ascii="Times New Roman" w:hAnsi="Times New Roman" w:cs="Times New Roman"/>
          <w:b w:val="0"/>
          <w:i w:val="0"/>
          <w:sz w:val="22"/>
        </w:rPr>
        <w:t>- Implement material database (Ecoinvent + LCA Commons)</w:t>
      </w:r>
    </w:p>
    <w:p>
      <w:pPr>
        <w:spacing w:after="80" w:line="293" w:lineRule="auto"/>
        <w:ind w:left="283"/>
        <w:jc w:val="left"/>
      </w:pPr>
      <w:r>
        <w:rPr>
          <w:rFonts w:ascii="Times New Roman" w:hAnsi="Times New Roman" w:cs="Times New Roman"/>
          <w:b w:val="0"/>
          <w:i w:val="0"/>
          <w:sz w:val="22"/>
        </w:rPr>
        <w:t>- Implement regulatory database (RIA-maintained)</w:t>
      </w:r>
    </w:p>
    <w:p>
      <w:pPr>
        <w:spacing w:after="80" w:line="293" w:lineRule="auto"/>
        <w:ind w:left="283"/>
        <w:jc w:val="left"/>
      </w:pPr>
      <w:r>
        <w:rPr>
          <w:rFonts w:ascii="Times New Roman" w:hAnsi="Times New Roman" w:cs="Times New Roman"/>
          <w:b w:val="0"/>
          <w:i w:val="0"/>
          <w:sz w:val="22"/>
        </w:rPr>
        <w:t>- Implement recommendation generation logic</w:t>
      </w:r>
    </w:p>
    <w:p>
      <w:pPr>
        <w:spacing w:after="80" w:line="293" w:lineRule="auto"/>
        <w:ind w:left="283"/>
        <w:jc w:val="left"/>
      </w:pPr>
      <w:r>
        <w:rPr>
          <w:rFonts w:ascii="Times New Roman" w:hAnsi="Times New Roman" w:cs="Times New Roman"/>
          <w:b w:val="0"/>
          <w:i w:val="0"/>
          <w:sz w:val="22"/>
        </w:rPr>
        <w:t>- Implement carbon impact calculation</w:t>
      </w:r>
    </w:p>
    <w:p>
      <w:pPr>
        <w:spacing w:after="80" w:line="293" w:lineRule="auto"/>
        <w:ind w:left="283"/>
        <w:jc w:val="left"/>
      </w:pPr>
      <w:r>
        <w:rPr>
          <w:rFonts w:ascii="Times New Roman" w:hAnsi="Times New Roman" w:cs="Times New Roman"/>
          <w:b w:val="0"/>
          <w:i w:val="0"/>
          <w:sz w:val="22"/>
        </w:rPr>
        <w:t>- Implement cost impact calculation</w:t>
      </w:r>
    </w:p>
    <w:p>
      <w:pPr>
        <w:spacing w:after="80" w:line="293" w:lineRule="auto"/>
        <w:ind w:left="283"/>
        <w:jc w:val="left"/>
      </w:pPr>
      <w:r>
        <w:rPr>
          <w:rFonts w:ascii="Times New Roman" w:hAnsi="Times New Roman" w:cs="Times New Roman"/>
          <w:b w:val="0"/>
          <w:i w:val="0"/>
          <w:sz w:val="22"/>
        </w:rPr>
        <w:t>- Implement compliance checking</w:t>
      </w:r>
    </w:p>
    <w:p>
      <w:pPr>
        <w:spacing w:after="80" w:line="293" w:lineRule="auto"/>
        <w:ind w:left="283"/>
        <w:jc w:val="left"/>
      </w:pPr>
      <w:r>
        <w:rPr>
          <w:rFonts w:ascii="Times New Roman" w:hAnsi="Times New Roman" w:cs="Times New Roman"/>
          <w:b w:val="0"/>
          <w:i w:val="0"/>
          <w:sz w:val="22"/>
        </w:rPr>
        <w:t>- Implement special instruction alignment</w:t>
      </w:r>
    </w:p>
    <w:p>
      <w:pPr>
        <w:spacing w:after="80" w:line="293" w:lineRule="auto"/>
        <w:jc w:val="left"/>
      </w:pPr>
      <w:r>
        <w:rPr>
          <w:rFonts w:ascii="Times New Roman" w:hAnsi="Times New Roman" w:cs="Times New Roman"/>
          <w:b w:val="0"/>
          <w:i w:val="0"/>
          <w:sz w:val="22"/>
        </w:rPr>
        <w:t>Recommendation engine:</w:t>
      </w:r>
    </w:p>
    <w:p>
      <w:pPr>
        <w:spacing w:after="80" w:line="293" w:lineRule="auto"/>
        <w:ind w:left="283"/>
        <w:jc w:val="left"/>
      </w:pPr>
      <w:r>
        <w:rPr>
          <w:rFonts w:ascii="Times New Roman" w:hAnsi="Times New Roman" w:cs="Times New Roman"/>
          <w:b w:val="0"/>
          <w:i w:val="0"/>
          <w:sz w:val="22"/>
        </w:rPr>
        <w:t>- Implement Groq suggestion generation (A1)</w:t>
      </w:r>
    </w:p>
    <w:p>
      <w:pPr>
        <w:spacing w:after="80" w:line="293" w:lineRule="auto"/>
        <w:ind w:left="283"/>
        <w:jc w:val="left"/>
      </w:pPr>
      <w:r>
        <w:rPr>
          <w:rFonts w:ascii="Times New Roman" w:hAnsi="Times New Roman" w:cs="Times New Roman"/>
          <w:b w:val="0"/>
          <w:i w:val="0"/>
          <w:sz w:val="22"/>
        </w:rPr>
        <w:t>- Implement recommendation strength scoring</w:t>
      </w:r>
    </w:p>
    <w:p>
      <w:pPr>
        <w:spacing w:after="80" w:line="293" w:lineRule="auto"/>
        <w:ind w:left="283"/>
        <w:jc w:val="left"/>
      </w:pPr>
      <w:r>
        <w:rPr>
          <w:rFonts w:ascii="Times New Roman" w:hAnsi="Times New Roman" w:cs="Times New Roman"/>
          <w:b w:val="0"/>
          <w:i w:val="0"/>
          <w:sz w:val="22"/>
        </w:rPr>
        <w:t>- Implement recommendation filtering (special instructions)</w:t>
      </w:r>
    </w:p>
    <w:p>
      <w:pPr>
        <w:spacing w:after="80" w:line="293" w:lineRule="auto"/>
        <w:ind w:left="283"/>
        <w:jc w:val="left"/>
      </w:pPr>
      <w:r>
        <w:rPr>
          <w:rFonts w:ascii="Times New Roman" w:hAnsi="Times New Roman" w:cs="Times New Roman"/>
          <w:b w:val="0"/>
          <w:i w:val="0"/>
          <w:sz w:val="22"/>
        </w:rPr>
        <w:t>- Implement regulatory compliance filtering</w:t>
      </w:r>
    </w:p>
    <w:p>
      <w:pPr>
        <w:spacing w:after="80" w:line="293" w:lineRule="auto"/>
        <w:ind w:left="283"/>
        <w:jc w:val="left"/>
      </w:pPr>
      <w:r>
        <w:rPr>
          <w:rFonts w:ascii="Times New Roman" w:hAnsi="Times New Roman" w:cs="Times New Roman"/>
          <w:b w:val="0"/>
          <w:i w:val="0"/>
          <w:sz w:val="22"/>
        </w:rPr>
        <w:t>- Implement sorting and ranking</w:t>
      </w:r>
    </w:p>
    <w:p>
      <w:pPr>
        <w:spacing w:after="80" w:line="293" w:lineRule="auto"/>
        <w:jc w:val="left"/>
      </w:pPr>
      <w:r>
        <w:rPr>
          <w:rFonts w:ascii="Times New Roman" w:hAnsi="Times New Roman" w:cs="Times New Roman"/>
          <w:b w:val="0"/>
          <w:i w:val="0"/>
          <w:sz w:val="22"/>
        </w:rPr>
        <w:t>Frontend components:</w:t>
      </w:r>
    </w:p>
    <w:p>
      <w:pPr>
        <w:spacing w:after="80" w:line="293" w:lineRule="auto"/>
        <w:ind w:left="283"/>
        <w:jc w:val="left"/>
      </w:pPr>
      <w:r>
        <w:rPr>
          <w:rFonts w:ascii="Times New Roman" w:hAnsi="Times New Roman" w:cs="Times New Roman"/>
          <w:b w:val="0"/>
          <w:i w:val="0"/>
          <w:sz w:val="22"/>
        </w:rPr>
        <w:t>- Build Ecological Packaging Advisor panel</w:t>
      </w:r>
    </w:p>
    <w:p>
      <w:pPr>
        <w:spacing w:after="80" w:line="293" w:lineRule="auto"/>
        <w:ind w:left="283"/>
        <w:jc w:val="left"/>
      </w:pPr>
      <w:r>
        <w:rPr>
          <w:rFonts w:ascii="Times New Roman" w:hAnsi="Times New Roman" w:cs="Times New Roman"/>
          <w:b w:val="0"/>
          <w:i w:val="0"/>
          <w:sz w:val="22"/>
        </w:rPr>
        <w:t>- Build Current Packaging Materials display</w:t>
      </w:r>
    </w:p>
    <w:p>
      <w:pPr>
        <w:spacing w:after="80" w:line="293" w:lineRule="auto"/>
        <w:ind w:left="283"/>
        <w:jc w:val="left"/>
      </w:pPr>
      <w:r>
        <w:rPr>
          <w:rFonts w:ascii="Times New Roman" w:hAnsi="Times New Roman" w:cs="Times New Roman"/>
          <w:b w:val="0"/>
          <w:i w:val="0"/>
          <w:sz w:val="22"/>
        </w:rPr>
        <w:t>- Build Recommendations display (with carbon savings, cost impact, compliance)</w:t>
      </w:r>
    </w:p>
    <w:p>
      <w:pPr>
        <w:spacing w:after="80" w:line="293" w:lineRule="auto"/>
        <w:ind w:left="283"/>
        <w:jc w:val="left"/>
      </w:pPr>
      <w:r>
        <w:rPr>
          <w:rFonts w:ascii="Times New Roman" w:hAnsi="Times New Roman" w:cs="Times New Roman"/>
          <w:b w:val="0"/>
          <w:i w:val="0"/>
          <w:sz w:val="22"/>
        </w:rPr>
        <w:t>- Build AI Insights display (A1, Groq)</w:t>
      </w:r>
    </w:p>
    <w:p>
      <w:pPr>
        <w:spacing w:after="80" w:line="293" w:lineRule="auto"/>
        <w:ind w:left="283"/>
        <w:jc w:val="left"/>
      </w:pPr>
      <w:r>
        <w:rPr>
          <w:rFonts w:ascii="Times New Roman" w:hAnsi="Times New Roman" w:cs="Times New Roman"/>
          <w:b w:val="0"/>
          <w:i w:val="0"/>
          <w:sz w:val="22"/>
        </w:rPr>
        <w:t>- Build Carbon Footprint Impact Summary</w:t>
      </w:r>
    </w:p>
    <w:p>
      <w:pPr>
        <w:spacing w:after="80" w:line="293" w:lineRule="auto"/>
        <w:ind w:left="283"/>
        <w:jc w:val="left"/>
      </w:pPr>
      <w:r>
        <w:rPr>
          <w:rFonts w:ascii="Times New Roman" w:hAnsi="Times New Roman" w:cs="Times New Roman"/>
          <w:b w:val="0"/>
          <w:i w:val="0"/>
          <w:sz w:val="22"/>
        </w:rPr>
        <w:t>- Build One-click Apply buttons</w:t>
      </w:r>
    </w:p>
    <w:p>
      <w:pPr>
        <w:spacing w:after="80" w:line="293" w:lineRule="auto"/>
        <w:ind w:left="283"/>
        <w:jc w:val="left"/>
      </w:pPr>
      <w:r>
        <w:rPr>
          <w:rFonts w:ascii="Times New Roman" w:hAnsi="Times New Roman" w:cs="Times New Roman"/>
          <w:b w:val="0"/>
          <w:i w:val="0"/>
          <w:sz w:val="22"/>
        </w:rPr>
        <w:t>- Build Save Report functionality</w:t>
      </w:r>
    </w:p>
    <w:p>
      <w:pPr>
        <w:spacing w:after="80" w:line="293" w:lineRule="auto"/>
        <w:jc w:val="left"/>
      </w:pPr>
      <w:r>
        <w:rPr>
          <w:rFonts w:ascii="Times New Roman" w:hAnsi="Times New Roman" w:cs="Times New Roman"/>
          <w:b w:val="0"/>
          <w:i w:val="0"/>
          <w:sz w:val="22"/>
        </w:rPr>
        <w:t>Integration:</w:t>
      </w:r>
    </w:p>
    <w:p>
      <w:pPr>
        <w:spacing w:after="80" w:line="293" w:lineRule="auto"/>
        <w:ind w:left="283"/>
        <w:jc w:val="left"/>
      </w:pPr>
      <w:r>
        <w:rPr>
          <w:rFonts w:ascii="Times New Roman" w:hAnsi="Times New Roman" w:cs="Times New Roman"/>
          <w:b w:val="0"/>
          <w:i w:val="0"/>
          <w:sz w:val="22"/>
        </w:rPr>
        <w:t>- Integrate with special instructions</w:t>
      </w:r>
    </w:p>
    <w:p>
      <w:pPr>
        <w:spacing w:after="80" w:line="293" w:lineRule="auto"/>
        <w:ind w:left="283"/>
        <w:jc w:val="left"/>
      </w:pPr>
      <w:r>
        <w:rPr>
          <w:rFonts w:ascii="Times New Roman" w:hAnsi="Times New Roman" w:cs="Times New Roman"/>
          <w:b w:val="0"/>
          <w:i w:val="0"/>
          <w:sz w:val="22"/>
        </w:rPr>
        <w:t>- Integrate with packing plan (Section 8.4)</w:t>
      </w:r>
    </w:p>
    <w:p>
      <w:pPr>
        <w:spacing w:after="80" w:line="293" w:lineRule="auto"/>
        <w:ind w:left="283"/>
        <w:jc w:val="left"/>
      </w:pPr>
      <w:r>
        <w:rPr>
          <w:rFonts w:ascii="Times New Roman" w:hAnsi="Times New Roman" w:cs="Times New Roman"/>
          <w:b w:val="0"/>
          <w:i w:val="0"/>
          <w:sz w:val="22"/>
        </w:rPr>
        <w:t>- Integrate with packing list (Section 8.5)</w:t>
      </w:r>
    </w:p>
    <w:p>
      <w:pPr>
        <w:spacing w:after="80" w:line="293" w:lineRule="auto"/>
        <w:ind w:left="283"/>
        <w:jc w:val="left"/>
      </w:pPr>
      <w:r>
        <w:rPr>
          <w:rFonts w:ascii="Times New Roman" w:hAnsi="Times New Roman" w:cs="Times New Roman"/>
          <w:b w:val="0"/>
          <w:i w:val="0"/>
          <w:sz w:val="22"/>
        </w:rPr>
        <w:t>- Integrate with invoice (Section 8.8)</w:t>
      </w:r>
    </w:p>
    <w:p>
      <w:pPr>
        <w:spacing w:after="80" w:line="293" w:lineRule="auto"/>
        <w:ind w:left="283"/>
        <w:jc w:val="left"/>
      </w:pPr>
      <w:r>
        <w:rPr>
          <w:rFonts w:ascii="Times New Roman" w:hAnsi="Times New Roman" w:cs="Times New Roman"/>
          <w:b w:val="0"/>
          <w:i w:val="0"/>
          <w:sz w:val="22"/>
        </w:rPr>
        <w:t>- Integrate with carbon footprint (Section 8.11)</w:t>
      </w:r>
    </w:p>
    <w:p>
      <w:pPr>
        <w:spacing w:after="80" w:line="293" w:lineRule="auto"/>
        <w:ind w:left="283"/>
        <w:jc w:val="left"/>
      </w:pPr>
      <w:r>
        <w:rPr>
          <w:rFonts w:ascii="Times New Roman" w:hAnsi="Times New Roman" w:cs="Times New Roman"/>
          <w:b w:val="0"/>
          <w:i w:val="0"/>
          <w:sz w:val="22"/>
        </w:rPr>
        <w:t>- Integrate with RIA for regulatory updates</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recommendation generation; carbon impact calculation; cost impact calculation; compliance checking</w:t>
      </w:r>
    </w:p>
    <w:p>
      <w:pPr>
        <w:spacing w:after="80" w:line="293" w:lineRule="auto"/>
        <w:ind w:left="283"/>
        <w:jc w:val="left"/>
      </w:pPr>
      <w:r>
        <w:rPr>
          <w:rFonts w:ascii="Times New Roman" w:hAnsi="Times New Roman" w:cs="Times New Roman"/>
          <w:b w:val="0"/>
          <w:i w:val="0"/>
          <w:sz w:val="22"/>
        </w:rPr>
        <w:t>- Integration tests: recommendation → application → packing plan update; regulatory database integration</w:t>
      </w:r>
    </w:p>
    <w:p>
      <w:pPr>
        <w:spacing w:after="80" w:line="293" w:lineRule="auto"/>
        <w:ind w:left="283"/>
        <w:jc w:val="left"/>
      </w:pPr>
      <w:r>
        <w:rPr>
          <w:rFonts w:ascii="Times New Roman" w:hAnsi="Times New Roman" w:cs="Times New Roman"/>
          <w:b w:val="0"/>
          <w:i w:val="0"/>
          <w:sz w:val="22"/>
        </w:rPr>
        <w:t>- End-to-end tests: full ecological packaging workflow</w:t>
      </w:r>
    </w:p>
    <w:p>
      <w:pPr>
        <w:keepNext/>
        <w:spacing w:before="180" w:after="80"/>
        <w:outlineLvl w:val="2"/>
      </w:pPr>
      <w:r>
        <w:rPr>
          <w:rFonts w:ascii="Arial" w:hAnsi="Arial" w:cs="Arial"/>
          <w:b/>
          <w:i w:val="0"/>
          <w:color w:val="333333"/>
          <w:sz w:val="23"/>
        </w:rPr>
        <w:t>8.10.11 AI Authority Summary</w:t>
      </w:r>
    </w:p>
    <w:p>
      <w:pPr>
        <w:spacing w:after="80" w:line="293" w:lineRule="auto"/>
        <w:jc w:val="left"/>
      </w:pPr>
      <w:r>
        <w:rPr>
          <w:rFonts w:ascii="Times New Roman" w:hAnsi="Times New Roman" w:cs="Times New Roman"/>
          <w:b w:val="0"/>
          <w:i w:val="0"/>
          <w:sz w:val="22"/>
        </w:rPr>
        <w:t>A1 (Groq) generates recommendations, explanations, and insight narratives — all advisory and clearly labelled. A2 (HF local) supports carbon impact computation. A4 (OPA + WasmEdge) enforces regulatory compliance gates at packing plan lock. AI never auto-applies a recommendation, never overrides a regulatory restriction, and never recommends specific vendors — only material types.</w:t>
      </w:r>
    </w:p>
    <w:p>
      <w:pPr>
        <w:keepNext/>
        <w:spacing w:before="240" w:after="100"/>
        <w:outlineLvl w:val="1"/>
      </w:pPr>
      <w:r>
        <w:rPr>
          <w:rFonts w:ascii="Arial" w:hAnsi="Arial" w:cs="Arial"/>
          <w:b/>
          <w:i w:val="0"/>
          <w:color w:val="2E528F"/>
          <w:sz w:val="26"/>
        </w:rPr>
        <w:t>8.11 Carbon Footprint Calculation</w:t>
      </w:r>
    </w:p>
    <w:p>
      <w:pPr>
        <w:keepNext/>
        <w:spacing w:before="180" w:after="80"/>
        <w:outlineLvl w:val="2"/>
      </w:pPr>
      <w:r>
        <w:rPr>
          <w:rFonts w:ascii="Arial" w:hAnsi="Arial" w:cs="Arial"/>
          <w:b/>
          <w:i w:val="0"/>
          <w:color w:val="333333"/>
          <w:sz w:val="23"/>
        </w:rPr>
        <w:t>8.11.1 Purpose &amp; Design Philosophy</w:t>
      </w:r>
    </w:p>
    <w:p>
      <w:pPr>
        <w:spacing w:after="80" w:line="293" w:lineRule="auto"/>
        <w:jc w:val="left"/>
      </w:pPr>
      <w:r>
        <w:rPr>
          <w:rFonts w:ascii="Times New Roman" w:hAnsi="Times New Roman" w:cs="Times New Roman"/>
          <w:b w:val="0"/>
          <w:i w:val="0"/>
          <w:sz w:val="22"/>
        </w:rPr>
        <w:t>The Carbon Footprint Calculation module provides an ISO 14067-compliant, CBAM-ready estimation of greenhouse gas emissions for the entire trade shipment. It calculates Scope 1, 2, and 3 emissions across the supply chain — from farm to destination — enabling traders to comply with EU CBAM regulations, meet corporate ESG targets, and make informed logistics decisions. The calculation is advisory and integrated into invoices, packing lists, and customs declarations.</w:t>
      </w:r>
    </w:p>
    <w:p>
      <w:pPr>
        <w:spacing w:after="80" w:line="293" w:lineRule="auto"/>
        <w:jc w:val="left"/>
      </w:pPr>
      <w:r>
        <w:rPr>
          <w:rFonts w:ascii="Times New Roman" w:hAnsi="Times New Roman" w:cs="Times New Roman"/>
          <w:b w:val="0"/>
          <w:i w:val="0"/>
          <w:sz w:val="22"/>
        </w:rPr>
        <w:t>Key principles: ISO 14067:2018 compliant — methodology follows international standards. CBAM-ready — generates CBAM reports for EU-bound shipments. Transport mode-aware — emissions vary by ocean, air, rail, and truck. Scope 1, 2, 3 coverage — direct emissions, indirect energy, and upstream/downstream. Data-driven — uses IMO EEXI, EPA SmartWay, IEA grid factors, and Ecoinvent. Advisory only — never blocks trades; used for reporting and optimisation. Integrated with invoice and customs — emissions data flows into documents.</w:t>
      </w:r>
    </w:p>
    <w:p>
      <w:pPr>
        <w:keepNext/>
        <w:spacing w:before="180" w:after="80"/>
        <w:outlineLvl w:val="2"/>
      </w:pPr>
      <w:r>
        <w:rPr>
          <w:rFonts w:ascii="Arial" w:hAnsi="Arial" w:cs="Arial"/>
          <w:b/>
          <w:i w:val="0"/>
          <w:color w:val="333333"/>
          <w:sz w:val="23"/>
        </w:rPr>
        <w:t>8.11.2 Scope Definitions &amp; Calculation Methodology</w:t>
      </w:r>
    </w:p>
    <w:p>
      <w:pPr>
        <w:spacing w:after="80" w:line="293" w:lineRule="auto"/>
        <w:jc w:val="left"/>
      </w:pPr>
      <w:r>
        <w:rPr>
          <w:rFonts w:ascii="Times New Roman" w:hAnsi="Times New Roman" w:cs="Times New Roman"/>
          <w:b w:val="0"/>
          <w:i w:val="0"/>
          <w:sz w:val="22"/>
        </w:rPr>
        <w:t>Scope 1 — Direct Emissions: fuel combustion by transport vessels and vehicles (vessel fuel, truck fuel, rail traction, air fuel) attributable to the shipment.</w:t>
      </w:r>
    </w:p>
    <w:p>
      <w:pPr>
        <w:spacing w:after="80" w:line="293" w:lineRule="auto"/>
        <w:jc w:val="left"/>
      </w:pPr>
      <w:r>
        <w:rPr>
          <w:rFonts w:ascii="Times New Roman" w:hAnsi="Times New Roman" w:cs="Times New Roman"/>
          <w:b w:val="0"/>
          <w:i w:val="0"/>
          <w:sz w:val="22"/>
        </w:rPr>
        <w:t>Scope 2 — Indirect Emissions: purchased electricity consumed in transit and storage — principally reefer container electricity during ocean and inland legs, using destination/origin grid factors.</w:t>
      </w:r>
    </w:p>
    <w:p>
      <w:pPr>
        <w:spacing w:after="80" w:line="293" w:lineRule="auto"/>
        <w:jc w:val="left"/>
      </w:pPr>
      <w:r>
        <w:rPr>
          <w:rFonts w:ascii="Times New Roman" w:hAnsi="Times New Roman" w:cs="Times New Roman"/>
          <w:b w:val="0"/>
          <w:i w:val="0"/>
          <w:sz w:val="22"/>
        </w:rPr>
        <w:t>Scope 3 — Upstream &amp; Downstream: packaging materials production and disposal, port handling, and end-of-life disposal emissions.</w:t>
      </w:r>
    </w:p>
    <w:p>
      <w:pPr>
        <w:spacing w:after="80" w:line="293" w:lineRule="auto"/>
        <w:jc w:val="left"/>
      </w:pPr>
      <w:r>
        <w:rPr>
          <w:rFonts w:ascii="Times New Roman" w:hAnsi="Times New Roman" w:cs="Times New Roman"/>
          <w:b w:val="0"/>
          <w:i w:val="0"/>
          <w:sz w:val="22"/>
        </w:rPr>
        <w:t>CBAM embedded emissions are defined as Scope 1 + Scope 2.</w:t>
      </w:r>
    </w:p>
    <w:p>
      <w:pPr>
        <w:keepNext/>
        <w:spacing w:before="180" w:after="80"/>
        <w:outlineLvl w:val="2"/>
      </w:pPr>
      <w:r>
        <w:rPr>
          <w:rFonts w:ascii="Arial" w:hAnsi="Arial" w:cs="Arial"/>
          <w:b/>
          <w:i w:val="0"/>
          <w:color w:val="333333"/>
          <w:sz w:val="23"/>
        </w:rPr>
        <w:t>8.11.3 Emission Factors &amp; Data Sources</w:t>
      </w:r>
    </w:p>
    <w:p>
      <w:pPr>
        <w:spacing w:after="80" w:line="293" w:lineRule="auto"/>
        <w:jc w:val="left"/>
      </w:pPr>
      <w:r>
        <w:rPr>
          <w:rFonts w:ascii="Times New Roman" w:hAnsi="Times New Roman" w:cs="Times New Roman"/>
          <w:b w:val="0"/>
          <w:i w:val="0"/>
          <w:sz w:val="22"/>
        </w:rPr>
        <w:t>Emission factors are maintained in the reference table `emission_factors` (factor types: VESSEL, TRUCK, RAIL, AIR, ELECTRICITY, MATERIAL) with source, validity window, and active flag. Canonical data sources: IMO EEXI 2025 (vessel), EPA SmartWay v3 (truck), IEA 2025 (grid electricity), Ecoinvent (materials). Model version and data sources are recorded with every calculation.</w:t>
      </w:r>
    </w:p>
    <w:p>
      <w:pPr>
        <w:keepNext/>
        <w:spacing w:before="180" w:after="80"/>
        <w:outlineLvl w:val="2"/>
      </w:pPr>
      <w:r>
        <w:rPr>
          <w:rFonts w:ascii="Arial" w:hAnsi="Arial" w:cs="Arial"/>
          <w:b/>
          <w:i w:val="0"/>
          <w:color w:val="333333"/>
          <w:sz w:val="23"/>
        </w:rPr>
        <w:t>8.11.4 CBAM Report Generation</w:t>
      </w:r>
    </w:p>
    <w:p>
      <w:pPr>
        <w:spacing w:after="80" w:line="293" w:lineRule="auto"/>
        <w:jc w:val="left"/>
      </w:pPr>
      <w:r>
        <w:rPr>
          <w:rFonts w:ascii="Times New Roman" w:hAnsi="Times New Roman" w:cs="Times New Roman"/>
          <w:b w:val="0"/>
          <w:i w:val="0"/>
          <w:sz w:val="22"/>
        </w:rPr>
        <w:t>CBAM report fields: report ID; reporting period; exporter (name, GTID); importer (name, GTID); goods (HS code, description, net weight, unit); emissions by scope with vessel/truck (Scope 1), reefer (Scope 2), packaging/port handling/disposal (Scope 3); total; embedded emissions; certificate number, issue date, validity, and signature.</w:t>
      </w:r>
    </w:p>
    <w:p>
      <w:pPr>
        <w:spacing w:after="0" w:before="0" w:line="240" w:lineRule="auto"/>
        <w:ind w:left="57"/>
        <w:jc w:val="left"/>
        <w:shd w:val="clear" w:fill="F2F2F2"/>
      </w:pPr>
      <w:r>
        <w:rPr>
          <w:rFonts w:ascii="Consolas" w:hAnsi="Consolas" w:cs="Consolas"/>
          <w:b w:val="0"/>
          <w:i w:val="0"/>
          <w:sz w:val="15"/>
        </w:rPr>
        <w:t>&lt;CBAMReport xmlns="https://cbam.eu/report/v1"&gt;</w:t>
      </w:r>
    </w:p>
    <w:p>
      <w:pPr>
        <w:spacing w:after="0" w:before="0" w:line="240" w:lineRule="auto"/>
        <w:ind w:left="57"/>
        <w:jc w:val="left"/>
        <w:shd w:val="clear" w:fill="F2F2F2"/>
      </w:pPr>
      <w:r>
        <w:rPr>
          <w:rFonts w:ascii="Consolas" w:hAnsi="Consolas" w:cs="Consolas"/>
          <w:b w:val="0"/>
          <w:i w:val="0"/>
          <w:sz w:val="15"/>
        </w:rPr>
        <w:t xml:space="preserve">  &lt;ReportID&gt;CBAM-2026-001&lt;/ReportID&gt;</w:t>
      </w:r>
    </w:p>
    <w:p>
      <w:pPr>
        <w:spacing w:after="0" w:before="0" w:line="240" w:lineRule="auto"/>
        <w:ind w:left="57"/>
        <w:jc w:val="left"/>
        <w:shd w:val="clear" w:fill="F2F2F2"/>
      </w:pPr>
      <w:r>
        <w:rPr>
          <w:rFonts w:ascii="Consolas" w:hAnsi="Consolas" w:cs="Consolas"/>
          <w:b w:val="0"/>
          <w:i w:val="0"/>
          <w:sz w:val="15"/>
        </w:rPr>
        <w:t xml:space="preserve">  &lt;ReportingPeriod&gt;</w:t>
      </w:r>
    </w:p>
    <w:p>
      <w:pPr>
        <w:spacing w:after="0" w:before="0" w:line="240" w:lineRule="auto"/>
        <w:ind w:left="57"/>
        <w:jc w:val="left"/>
        <w:shd w:val="clear" w:fill="F2F2F2"/>
      </w:pPr>
      <w:r>
        <w:rPr>
          <w:rFonts w:ascii="Consolas" w:hAnsi="Consolas" w:cs="Consolas"/>
          <w:b w:val="0"/>
          <w:i w:val="0"/>
          <w:sz w:val="15"/>
        </w:rPr>
        <w:t xml:space="preserve">    &lt;Start&gt;2026-06-20&lt;/Start&gt;</w:t>
      </w:r>
    </w:p>
    <w:p>
      <w:pPr>
        <w:spacing w:after="0" w:before="0" w:line="240" w:lineRule="auto"/>
        <w:ind w:left="57"/>
        <w:jc w:val="left"/>
        <w:shd w:val="clear" w:fill="F2F2F2"/>
      </w:pPr>
      <w:r>
        <w:rPr>
          <w:rFonts w:ascii="Consolas" w:hAnsi="Consolas" w:cs="Consolas"/>
          <w:b w:val="0"/>
          <w:i w:val="0"/>
          <w:sz w:val="15"/>
        </w:rPr>
        <w:t xml:space="preserve">    &lt;End&gt;2026-07-05&lt;/End&gt;</w:t>
      </w:r>
    </w:p>
    <w:p>
      <w:pPr>
        <w:spacing w:after="0" w:before="0" w:line="240" w:lineRule="auto"/>
        <w:ind w:left="57"/>
        <w:jc w:val="left"/>
        <w:shd w:val="clear" w:fill="F2F2F2"/>
      </w:pPr>
      <w:r>
        <w:rPr>
          <w:rFonts w:ascii="Consolas" w:hAnsi="Consolas" w:cs="Consolas"/>
          <w:b w:val="0"/>
          <w:i w:val="0"/>
          <w:sz w:val="15"/>
        </w:rPr>
        <w:t xml:space="preserve">  &lt;/ReportingPeriod&gt;</w:t>
      </w:r>
    </w:p>
    <w:p>
      <w:pPr>
        <w:spacing w:after="0" w:before="0" w:line="240" w:lineRule="auto"/>
        <w:ind w:left="57"/>
        <w:jc w:val="left"/>
        <w:shd w:val="clear" w:fill="F2F2F2"/>
      </w:pPr>
      <w:r>
        <w:rPr>
          <w:rFonts w:ascii="Consolas" w:hAnsi="Consolas" w:cs="Consolas"/>
          <w:b w:val="0"/>
          <w:i w:val="0"/>
          <w:sz w:val="15"/>
        </w:rPr>
        <w:t xml:space="preserve">  &lt;Exporter&gt;</w:t>
      </w:r>
    </w:p>
    <w:p>
      <w:pPr>
        <w:spacing w:after="0" w:before="0" w:line="240" w:lineRule="auto"/>
        <w:ind w:left="57"/>
        <w:jc w:val="left"/>
        <w:shd w:val="clear" w:fill="F2F2F2"/>
      </w:pPr>
      <w:r>
        <w:rPr>
          <w:rFonts w:ascii="Consolas" w:hAnsi="Consolas" w:cs="Consolas"/>
          <w:b w:val="0"/>
          <w:i w:val="0"/>
          <w:sz w:val="15"/>
        </w:rPr>
        <w:t xml:space="preserve">    &lt;Name&gt;Strawberry Export Co.&lt;/Name&gt;</w:t>
      </w:r>
    </w:p>
    <w:p>
      <w:pPr>
        <w:spacing w:after="0" w:before="0" w:line="240" w:lineRule="auto"/>
        <w:ind w:left="57"/>
        <w:jc w:val="left"/>
        <w:shd w:val="clear" w:fill="F2F2F2"/>
      </w:pPr>
      <w:r>
        <w:rPr>
          <w:rFonts w:ascii="Consolas" w:hAnsi="Consolas" w:cs="Consolas"/>
          <w:b w:val="0"/>
          <w:i w:val="0"/>
          <w:sz w:val="15"/>
        </w:rPr>
        <w:t xml:space="preserve">    &lt;GTID&gt;SGTX-EG-TRD-002139-7F3A&lt;/GTID&gt;</w:t>
      </w:r>
    </w:p>
    <w:p>
      <w:pPr>
        <w:spacing w:after="0" w:before="0" w:line="240" w:lineRule="auto"/>
        <w:ind w:left="57"/>
        <w:jc w:val="left"/>
        <w:shd w:val="clear" w:fill="F2F2F2"/>
      </w:pPr>
      <w:r>
        <w:rPr>
          <w:rFonts w:ascii="Consolas" w:hAnsi="Consolas" w:cs="Consolas"/>
          <w:b w:val="0"/>
          <w:i w:val="0"/>
          <w:sz w:val="15"/>
        </w:rPr>
        <w:t xml:space="preserve">  &lt;/Exporter&gt;</w:t>
      </w:r>
    </w:p>
    <w:p>
      <w:pPr>
        <w:spacing w:after="0" w:before="0" w:line="240" w:lineRule="auto"/>
        <w:ind w:left="57"/>
        <w:jc w:val="left"/>
        <w:shd w:val="clear" w:fill="F2F2F2"/>
      </w:pPr>
      <w:r>
        <w:rPr>
          <w:rFonts w:ascii="Consolas" w:hAnsi="Consolas" w:cs="Consolas"/>
          <w:b w:val="0"/>
          <w:i w:val="0"/>
          <w:sz w:val="15"/>
        </w:rPr>
        <w:t xml:space="preserve">  &lt;Importer&gt;</w:t>
      </w:r>
    </w:p>
    <w:p>
      <w:pPr>
        <w:spacing w:after="0" w:before="0" w:line="240" w:lineRule="auto"/>
        <w:ind w:left="57"/>
        <w:jc w:val="left"/>
        <w:shd w:val="clear" w:fill="F2F2F2"/>
      </w:pPr>
      <w:r>
        <w:rPr>
          <w:rFonts w:ascii="Consolas" w:hAnsi="Consolas" w:cs="Consolas"/>
          <w:b w:val="0"/>
          <w:i w:val="0"/>
          <w:sz w:val="15"/>
        </w:rPr>
        <w:t xml:space="preserve">    &lt;Name&gt;European Importer GmbH&lt;/Name&gt;</w:t>
      </w:r>
    </w:p>
    <w:p>
      <w:pPr>
        <w:spacing w:after="0" w:before="0" w:line="240" w:lineRule="auto"/>
        <w:ind w:left="57"/>
        <w:jc w:val="left"/>
        <w:shd w:val="clear" w:fill="F2F2F2"/>
      </w:pPr>
      <w:r>
        <w:rPr>
          <w:rFonts w:ascii="Consolas" w:hAnsi="Consolas" w:cs="Consolas"/>
          <w:b w:val="0"/>
          <w:i w:val="0"/>
          <w:sz w:val="15"/>
        </w:rPr>
        <w:t xml:space="preserve">    &lt;GTID&gt;SGTX-DE-TRD-001234-5B6C&lt;/GTID&gt;</w:t>
      </w:r>
    </w:p>
    <w:p>
      <w:pPr>
        <w:spacing w:after="0" w:before="0" w:line="240" w:lineRule="auto"/>
        <w:ind w:left="57"/>
        <w:jc w:val="left"/>
        <w:shd w:val="clear" w:fill="F2F2F2"/>
      </w:pPr>
      <w:r>
        <w:rPr>
          <w:rFonts w:ascii="Consolas" w:hAnsi="Consolas" w:cs="Consolas"/>
          <w:b w:val="0"/>
          <w:i w:val="0"/>
          <w:sz w:val="15"/>
        </w:rPr>
        <w:t xml:space="preserve">  &lt;/Importer&gt;</w:t>
      </w:r>
    </w:p>
    <w:p>
      <w:pPr>
        <w:spacing w:after="0" w:before="0" w:line="240" w:lineRule="auto"/>
        <w:ind w:left="57"/>
        <w:jc w:val="left"/>
        <w:shd w:val="clear" w:fill="F2F2F2"/>
      </w:pPr>
      <w:r>
        <w:rPr>
          <w:rFonts w:ascii="Consolas" w:hAnsi="Consolas" w:cs="Consolas"/>
          <w:b w:val="0"/>
          <w:i w:val="0"/>
          <w:sz w:val="15"/>
        </w:rPr>
        <w:t xml:space="preserve">  &lt;Goods&gt;</w:t>
      </w:r>
    </w:p>
    <w:p>
      <w:pPr>
        <w:spacing w:after="0" w:before="0" w:line="240" w:lineRule="auto"/>
        <w:ind w:left="57"/>
        <w:jc w:val="left"/>
        <w:shd w:val="clear" w:fill="F2F2F2"/>
      </w:pPr>
      <w:r>
        <w:rPr>
          <w:rFonts w:ascii="Consolas" w:hAnsi="Consolas" w:cs="Consolas"/>
          <w:b w:val="0"/>
          <w:i w:val="0"/>
          <w:sz w:val="15"/>
        </w:rPr>
        <w:t xml:space="preserve">    &lt;Commodity&gt;</w:t>
      </w:r>
    </w:p>
    <w:p>
      <w:pPr>
        <w:spacing w:after="0" w:before="0" w:line="240" w:lineRule="auto"/>
        <w:ind w:left="57"/>
        <w:jc w:val="left"/>
        <w:shd w:val="clear" w:fill="F2F2F2"/>
      </w:pPr>
      <w:r>
        <w:rPr>
          <w:rFonts w:ascii="Consolas" w:hAnsi="Consolas" w:cs="Consolas"/>
          <w:b w:val="0"/>
          <w:i w:val="0"/>
          <w:sz w:val="15"/>
        </w:rPr>
        <w:t xml:space="preserve">      &lt;HS&gt;0805.10&lt;/HS&gt;</w:t>
      </w:r>
    </w:p>
    <w:p>
      <w:pPr>
        <w:spacing w:after="0" w:before="0" w:line="240" w:lineRule="auto"/>
        <w:ind w:left="57"/>
        <w:jc w:val="left"/>
        <w:shd w:val="clear" w:fill="F2F2F2"/>
      </w:pPr>
      <w:r>
        <w:rPr>
          <w:rFonts w:ascii="Consolas" w:hAnsi="Consolas" w:cs="Consolas"/>
          <w:b w:val="0"/>
          <w:i w:val="0"/>
          <w:sz w:val="15"/>
        </w:rPr>
        <w:t xml:space="preserve">      &lt;Description&gt;Valencia Oranges&lt;/Description&gt;</w:t>
      </w:r>
    </w:p>
    <w:p>
      <w:pPr>
        <w:spacing w:after="0" w:before="0" w:line="240" w:lineRule="auto"/>
        <w:ind w:left="57"/>
        <w:jc w:val="left"/>
        <w:shd w:val="clear" w:fill="F2F2F2"/>
      </w:pPr>
      <w:r>
        <w:rPr>
          <w:rFonts w:ascii="Consolas" w:hAnsi="Consolas" w:cs="Consolas"/>
          <w:b w:val="0"/>
          <w:i w:val="0"/>
          <w:sz w:val="15"/>
        </w:rPr>
        <w:t xml:space="preserve">      &lt;NetWeight&gt;8800&lt;/NetWeight&gt;</w:t>
      </w:r>
    </w:p>
    <w:p>
      <w:pPr>
        <w:spacing w:after="0" w:before="0" w:line="240" w:lineRule="auto"/>
        <w:ind w:left="57"/>
        <w:jc w:val="left"/>
        <w:shd w:val="clear" w:fill="F2F2F2"/>
      </w:pPr>
      <w:r>
        <w:rPr>
          <w:rFonts w:ascii="Consolas" w:hAnsi="Consolas" w:cs="Consolas"/>
          <w:b w:val="0"/>
          <w:i w:val="0"/>
          <w:sz w:val="15"/>
        </w:rPr>
        <w:t xml:space="preserve">      &lt;Unit&gt;KGM&lt;/Unit&gt;</w:t>
      </w:r>
    </w:p>
    <w:p>
      <w:pPr>
        <w:spacing w:after="0" w:before="0" w:line="240" w:lineRule="auto"/>
        <w:ind w:left="57"/>
        <w:jc w:val="left"/>
        <w:shd w:val="clear" w:fill="F2F2F2"/>
      </w:pPr>
      <w:r>
        <w:rPr>
          <w:rFonts w:ascii="Consolas" w:hAnsi="Consolas" w:cs="Consolas"/>
          <w:b w:val="0"/>
          <w:i w:val="0"/>
          <w:sz w:val="15"/>
        </w:rPr>
        <w:t xml:space="preserve">    &lt;/Commodity&gt;</w:t>
      </w:r>
    </w:p>
    <w:p>
      <w:pPr>
        <w:spacing w:after="0" w:before="0" w:line="240" w:lineRule="auto"/>
        <w:ind w:left="57"/>
        <w:jc w:val="left"/>
        <w:shd w:val="clear" w:fill="F2F2F2"/>
      </w:pPr>
      <w:r>
        <w:rPr>
          <w:rFonts w:ascii="Consolas" w:hAnsi="Consolas" w:cs="Consolas"/>
          <w:b w:val="0"/>
          <w:i w:val="0"/>
          <w:sz w:val="15"/>
        </w:rPr>
        <w:t xml:space="preserve">  &lt;/Goods&gt;</w:t>
      </w:r>
    </w:p>
    <w:p>
      <w:pPr>
        <w:spacing w:after="0" w:before="0" w:line="240" w:lineRule="auto"/>
        <w:ind w:left="57"/>
        <w:jc w:val="left"/>
        <w:shd w:val="clear" w:fill="F2F2F2"/>
      </w:pPr>
      <w:r>
        <w:rPr>
          <w:rFonts w:ascii="Consolas" w:hAnsi="Consolas" w:cs="Consolas"/>
          <w:b w:val="0"/>
          <w:i w:val="0"/>
          <w:sz w:val="15"/>
        </w:rPr>
        <w:t xml:space="preserve">  &lt;Emissions&gt;</w:t>
      </w:r>
    </w:p>
    <w:p>
      <w:pPr>
        <w:spacing w:after="0" w:before="0" w:line="240" w:lineRule="auto"/>
        <w:ind w:left="57"/>
        <w:jc w:val="left"/>
        <w:shd w:val="clear" w:fill="F2F2F2"/>
      </w:pPr>
      <w:r>
        <w:rPr>
          <w:rFonts w:ascii="Consolas" w:hAnsi="Consolas" w:cs="Consolas"/>
          <w:b w:val="0"/>
          <w:i w:val="0"/>
          <w:sz w:val="15"/>
        </w:rPr>
        <w:t xml:space="preserve">    &lt;Scope1&gt;</w:t>
      </w:r>
    </w:p>
    <w:p>
      <w:pPr>
        <w:spacing w:after="0" w:before="0" w:line="240" w:lineRule="auto"/>
        <w:ind w:left="57"/>
        <w:jc w:val="left"/>
        <w:shd w:val="clear" w:fill="F2F2F2"/>
      </w:pPr>
      <w:r>
        <w:rPr>
          <w:rFonts w:ascii="Consolas" w:hAnsi="Consolas" w:cs="Consolas"/>
          <w:b w:val="0"/>
          <w:i w:val="0"/>
          <w:sz w:val="15"/>
        </w:rPr>
        <w:t xml:space="preserve">      &lt;Vessel&gt;3000&lt;/Vessel&gt;</w:t>
      </w:r>
    </w:p>
    <w:p>
      <w:pPr>
        <w:spacing w:after="0" w:before="0" w:line="240" w:lineRule="auto"/>
        <w:ind w:left="57"/>
        <w:jc w:val="left"/>
        <w:shd w:val="clear" w:fill="F2F2F2"/>
      </w:pPr>
      <w:r>
        <w:rPr>
          <w:rFonts w:ascii="Consolas" w:hAnsi="Consolas" w:cs="Consolas"/>
          <w:b w:val="0"/>
          <w:i w:val="0"/>
          <w:sz w:val="15"/>
        </w:rPr>
        <w:t xml:space="preserve">      &lt;Truck&gt;120&lt;/Truck&gt;</w:t>
      </w:r>
    </w:p>
    <w:p>
      <w:pPr>
        <w:spacing w:after="0" w:before="0" w:line="240" w:lineRule="auto"/>
        <w:ind w:left="57"/>
        <w:jc w:val="left"/>
        <w:shd w:val="clear" w:fill="F2F2F2"/>
      </w:pPr>
      <w:r>
        <w:rPr>
          <w:rFonts w:ascii="Consolas" w:hAnsi="Consolas" w:cs="Consolas"/>
          <w:b w:val="0"/>
          <w:i w:val="0"/>
          <w:sz w:val="15"/>
        </w:rPr>
        <w:t xml:space="preserve">    &lt;/Scope1&gt;</w:t>
      </w:r>
    </w:p>
    <w:p>
      <w:pPr>
        <w:spacing w:after="0" w:before="0" w:line="240" w:lineRule="auto"/>
        <w:ind w:left="57"/>
        <w:jc w:val="left"/>
        <w:shd w:val="clear" w:fill="F2F2F2"/>
      </w:pPr>
      <w:r>
        <w:rPr>
          <w:rFonts w:ascii="Consolas" w:hAnsi="Consolas" w:cs="Consolas"/>
          <w:b w:val="0"/>
          <w:i w:val="0"/>
          <w:sz w:val="15"/>
        </w:rPr>
        <w:t xml:space="preserve">    &lt;Scope2&gt;</w:t>
      </w:r>
    </w:p>
    <w:p>
      <w:pPr>
        <w:spacing w:after="0" w:before="0" w:line="240" w:lineRule="auto"/>
        <w:ind w:left="57"/>
        <w:jc w:val="left"/>
        <w:shd w:val="clear" w:fill="F2F2F2"/>
      </w:pPr>
      <w:r>
        <w:rPr>
          <w:rFonts w:ascii="Consolas" w:hAnsi="Consolas" w:cs="Consolas"/>
          <w:b w:val="0"/>
          <w:i w:val="0"/>
          <w:sz w:val="15"/>
        </w:rPr>
        <w:t xml:space="preserve">      &lt;Reefer&gt;600&lt;/Reefer&gt;</w:t>
      </w:r>
    </w:p>
    <w:p>
      <w:pPr>
        <w:spacing w:after="0" w:before="0" w:line="240" w:lineRule="auto"/>
        <w:ind w:left="57"/>
        <w:jc w:val="left"/>
        <w:shd w:val="clear" w:fill="F2F2F2"/>
      </w:pPr>
      <w:r>
        <w:rPr>
          <w:rFonts w:ascii="Consolas" w:hAnsi="Consolas" w:cs="Consolas"/>
          <w:b w:val="0"/>
          <w:i w:val="0"/>
          <w:sz w:val="15"/>
        </w:rPr>
        <w:t xml:space="preserve">    &lt;/Scope2&gt;</w:t>
      </w:r>
    </w:p>
    <w:p>
      <w:pPr>
        <w:spacing w:after="0" w:before="0" w:line="240" w:lineRule="auto"/>
        <w:ind w:left="57"/>
        <w:jc w:val="left"/>
        <w:shd w:val="clear" w:fill="F2F2F2"/>
      </w:pPr>
      <w:r>
        <w:rPr>
          <w:rFonts w:ascii="Consolas" w:hAnsi="Consolas" w:cs="Consolas"/>
          <w:b w:val="0"/>
          <w:i w:val="0"/>
          <w:sz w:val="15"/>
        </w:rPr>
        <w:t xml:space="preserve">    &lt;Scope3&gt;</w:t>
      </w:r>
    </w:p>
    <w:p>
      <w:pPr>
        <w:spacing w:after="0" w:before="0" w:line="240" w:lineRule="auto"/>
        <w:ind w:left="57"/>
        <w:jc w:val="left"/>
        <w:shd w:val="clear" w:fill="F2F2F2"/>
      </w:pPr>
      <w:r>
        <w:rPr>
          <w:rFonts w:ascii="Consolas" w:hAnsi="Consolas" w:cs="Consolas"/>
          <w:b w:val="0"/>
          <w:i w:val="0"/>
          <w:sz w:val="15"/>
        </w:rPr>
        <w:t xml:space="preserve">      &lt;Packaging&gt;800&lt;/Packaging&gt;</w:t>
      </w:r>
    </w:p>
    <w:p>
      <w:pPr>
        <w:spacing w:after="0" w:before="0" w:line="240" w:lineRule="auto"/>
        <w:ind w:left="57"/>
        <w:jc w:val="left"/>
        <w:shd w:val="clear" w:fill="F2F2F2"/>
      </w:pPr>
      <w:r>
        <w:rPr>
          <w:rFonts w:ascii="Consolas" w:hAnsi="Consolas" w:cs="Consolas"/>
          <w:b w:val="0"/>
          <w:i w:val="0"/>
          <w:sz w:val="15"/>
        </w:rPr>
        <w:t xml:space="preserve">      &lt;PortHandling&gt;200&lt;/PortHandling&gt;</w:t>
      </w:r>
    </w:p>
    <w:p>
      <w:pPr>
        <w:spacing w:after="0" w:before="0" w:line="240" w:lineRule="auto"/>
        <w:ind w:left="57"/>
        <w:jc w:val="left"/>
        <w:shd w:val="clear" w:fill="F2F2F2"/>
      </w:pPr>
      <w:r>
        <w:rPr>
          <w:rFonts w:ascii="Consolas" w:hAnsi="Consolas" w:cs="Consolas"/>
          <w:b w:val="0"/>
          <w:i w:val="0"/>
          <w:sz w:val="15"/>
        </w:rPr>
        <w:t xml:space="preserve">      &lt;Disposal&gt;150&lt;/Disposal&gt;</w:t>
      </w:r>
    </w:p>
    <w:p>
      <w:pPr>
        <w:spacing w:after="0" w:before="0" w:line="240" w:lineRule="auto"/>
        <w:ind w:left="57"/>
        <w:jc w:val="left"/>
        <w:shd w:val="clear" w:fill="F2F2F2"/>
      </w:pPr>
      <w:r>
        <w:rPr>
          <w:rFonts w:ascii="Consolas" w:hAnsi="Consolas" w:cs="Consolas"/>
          <w:b w:val="0"/>
          <w:i w:val="0"/>
          <w:sz w:val="15"/>
        </w:rPr>
        <w:t xml:space="preserve">    &lt;/Scope3&gt;</w:t>
      </w:r>
    </w:p>
    <w:p>
      <w:pPr>
        <w:spacing w:after="0" w:before="0" w:line="240" w:lineRule="auto"/>
        <w:ind w:left="57"/>
        <w:jc w:val="left"/>
        <w:shd w:val="clear" w:fill="F2F2F2"/>
      </w:pPr>
      <w:r>
        <w:rPr>
          <w:rFonts w:ascii="Consolas" w:hAnsi="Consolas" w:cs="Consolas"/>
          <w:b w:val="0"/>
          <w:i w:val="0"/>
          <w:sz w:val="15"/>
        </w:rPr>
        <w:t xml:space="preserve">    &lt;Total&gt;4870&lt;/Total&gt;</w:t>
      </w:r>
    </w:p>
    <w:p>
      <w:pPr>
        <w:spacing w:after="0" w:before="0" w:line="240" w:lineRule="auto"/>
        <w:ind w:left="57"/>
        <w:jc w:val="left"/>
        <w:shd w:val="clear" w:fill="F2F2F2"/>
      </w:pPr>
      <w:r>
        <w:rPr>
          <w:rFonts w:ascii="Consolas" w:hAnsi="Consolas" w:cs="Consolas"/>
          <w:b w:val="0"/>
          <w:i w:val="0"/>
          <w:sz w:val="15"/>
        </w:rPr>
        <w:t xml:space="preserve">    &lt;EmbeddedEmissions&gt;1800&lt;/EmbeddedEmissions&gt;</w:t>
      </w:r>
    </w:p>
    <w:p>
      <w:pPr>
        <w:spacing w:after="0" w:before="0" w:line="240" w:lineRule="auto"/>
        <w:ind w:left="57"/>
        <w:jc w:val="left"/>
        <w:shd w:val="clear" w:fill="F2F2F2"/>
      </w:pPr>
      <w:r>
        <w:rPr>
          <w:rFonts w:ascii="Consolas" w:hAnsi="Consolas" w:cs="Consolas"/>
          <w:b w:val="0"/>
          <w:i w:val="0"/>
          <w:sz w:val="15"/>
        </w:rPr>
        <w:t xml:space="preserve">    &lt;!-- Scope 1 + Scope 2 --&gt;</w:t>
      </w:r>
    </w:p>
    <w:p>
      <w:pPr>
        <w:spacing w:after="0" w:before="0" w:line="240" w:lineRule="auto"/>
        <w:ind w:left="57"/>
        <w:jc w:val="left"/>
        <w:shd w:val="clear" w:fill="F2F2F2"/>
      </w:pPr>
      <w:r>
        <w:rPr>
          <w:rFonts w:ascii="Consolas" w:hAnsi="Consolas" w:cs="Consolas"/>
          <w:b w:val="0"/>
          <w:i w:val="0"/>
          <w:sz w:val="15"/>
        </w:rPr>
        <w:t xml:space="preserve">  &lt;/Emissions&gt;</w:t>
      </w:r>
    </w:p>
    <w:p>
      <w:pPr>
        <w:spacing w:after="0" w:before="0" w:line="240" w:lineRule="auto"/>
        <w:ind w:left="57"/>
        <w:jc w:val="left"/>
        <w:shd w:val="clear" w:fill="F2F2F2"/>
      </w:pPr>
      <w:r>
        <w:rPr>
          <w:rFonts w:ascii="Consolas" w:hAnsi="Consolas" w:cs="Consolas"/>
          <w:b w:val="0"/>
          <w:i w:val="0"/>
          <w:sz w:val="15"/>
        </w:rPr>
        <w:t xml:space="preserve">  &lt;Certificate&gt;</w:t>
      </w:r>
    </w:p>
    <w:p>
      <w:pPr>
        <w:spacing w:after="0" w:before="0" w:line="240" w:lineRule="auto"/>
        <w:ind w:left="57"/>
        <w:jc w:val="left"/>
        <w:shd w:val="clear" w:fill="F2F2F2"/>
      </w:pPr>
      <w:r>
        <w:rPr>
          <w:rFonts w:ascii="Consolas" w:hAnsi="Consolas" w:cs="Consolas"/>
          <w:b w:val="0"/>
          <w:i w:val="0"/>
          <w:sz w:val="15"/>
        </w:rPr>
        <w:t xml:space="preserve">    &lt;Number&gt;CBAM-2026-001&lt;/Number&gt;</w:t>
      </w:r>
    </w:p>
    <w:p>
      <w:pPr>
        <w:spacing w:after="0" w:before="0" w:line="240" w:lineRule="auto"/>
        <w:ind w:left="57"/>
        <w:jc w:val="left"/>
        <w:shd w:val="clear" w:fill="F2F2F2"/>
      </w:pPr>
      <w:r>
        <w:rPr>
          <w:rFonts w:ascii="Consolas" w:hAnsi="Consolas" w:cs="Consolas"/>
          <w:b w:val="0"/>
          <w:i w:val="0"/>
          <w:sz w:val="15"/>
        </w:rPr>
        <w:t xml:space="preserve">    &lt;IssuedAt&gt;2026-06-20T10:30:00Z&lt;/IssuedAt&gt;</w:t>
      </w:r>
    </w:p>
    <w:p>
      <w:pPr>
        <w:spacing w:after="0" w:before="0" w:line="240" w:lineRule="auto"/>
        <w:ind w:left="57"/>
        <w:jc w:val="left"/>
        <w:shd w:val="clear" w:fill="F2F2F2"/>
      </w:pPr>
      <w:r>
        <w:rPr>
          <w:rFonts w:ascii="Consolas" w:hAnsi="Consolas" w:cs="Consolas"/>
          <w:b w:val="0"/>
          <w:i w:val="0"/>
          <w:sz w:val="15"/>
        </w:rPr>
        <w:t xml:space="preserve">    &lt;ValidUntil&gt;2027-06-20T23:59:59Z&lt;/ValidUntil&gt;</w:t>
      </w:r>
    </w:p>
    <w:p>
      <w:pPr>
        <w:spacing w:after="0" w:before="0" w:line="240" w:lineRule="auto"/>
        <w:ind w:left="57"/>
        <w:jc w:val="left"/>
        <w:shd w:val="clear" w:fill="F2F2F2"/>
      </w:pPr>
      <w:r>
        <w:rPr>
          <w:rFonts w:ascii="Consolas" w:hAnsi="Consolas" w:cs="Consolas"/>
          <w:b w:val="0"/>
          <w:i w:val="0"/>
          <w:sz w:val="15"/>
        </w:rPr>
        <w:t xml:space="preserve">    &lt;Signature&gt;ed25519:...&lt;/Signature&gt;</w:t>
      </w:r>
    </w:p>
    <w:p>
      <w:pPr>
        <w:spacing w:after="0" w:before="0" w:line="240" w:lineRule="auto"/>
        <w:ind w:left="57"/>
        <w:jc w:val="left"/>
        <w:shd w:val="clear" w:fill="F2F2F2"/>
      </w:pPr>
      <w:r>
        <w:rPr>
          <w:rFonts w:ascii="Consolas" w:hAnsi="Consolas" w:cs="Consolas"/>
          <w:b w:val="0"/>
          <w:i w:val="0"/>
          <w:sz w:val="15"/>
        </w:rPr>
        <w:t xml:space="preserve">  &lt;/Certificate&gt;</w:t>
      </w:r>
    </w:p>
    <w:p>
      <w:pPr>
        <w:spacing w:after="0" w:before="0" w:line="240" w:lineRule="auto"/>
        <w:ind w:left="57"/>
        <w:jc w:val="left"/>
        <w:shd w:val="clear" w:fill="F2F2F2"/>
      </w:pPr>
      <w:r>
        <w:rPr>
          <w:rFonts w:ascii="Consolas" w:hAnsi="Consolas" w:cs="Consolas"/>
          <w:b w:val="0"/>
          <w:i w:val="0"/>
          <w:sz w:val="15"/>
        </w:rPr>
        <w:t>&lt;/CBAMReport&gt;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8.11.5 Calculation Logic</w:t>
      </w:r>
    </w:p>
    <w:p>
      <w:pPr>
        <w:spacing w:after="0" w:before="0" w:line="240" w:lineRule="auto"/>
        <w:ind w:left="57"/>
        <w:jc w:val="left"/>
        <w:shd w:val="clear" w:fill="F2F2F2"/>
      </w:pPr>
      <w:r>
        <w:rPr>
          <w:rFonts w:ascii="Consolas" w:hAnsi="Consolas" w:cs="Consolas"/>
          <w:b w:val="0"/>
          <w:i w:val="0"/>
          <w:sz w:val="15"/>
        </w:rPr>
        <w:t>// Pseudo-code: carbon footprint calculation</w:t>
      </w:r>
    </w:p>
    <w:p>
      <w:pPr>
        <w:spacing w:after="0" w:before="0" w:line="240" w:lineRule="auto"/>
        <w:ind w:left="57"/>
        <w:jc w:val="left"/>
        <w:shd w:val="clear" w:fill="F2F2F2"/>
      </w:pPr>
      <w:r>
        <w:rPr>
          <w:rFonts w:ascii="Consolas" w:hAnsi="Consolas" w:cs="Consolas"/>
          <w:b w:val="0"/>
          <w:i w:val="0"/>
          <w:sz w:val="15"/>
        </w:rPr>
        <w:t>fn calculate_carbon_footprint(</w:t>
      </w:r>
    </w:p>
    <w:p>
      <w:pPr>
        <w:spacing w:after="0" w:before="0" w:line="240" w:lineRule="auto"/>
        <w:ind w:left="57"/>
        <w:jc w:val="left"/>
        <w:shd w:val="clear" w:fill="F2F2F2"/>
      </w:pPr>
      <w:r>
        <w:rPr>
          <w:rFonts w:ascii="Consolas" w:hAnsi="Consolas" w:cs="Consolas"/>
          <w:b w:val="0"/>
          <w:i w:val="0"/>
          <w:sz w:val="15"/>
        </w:rPr>
        <w:t xml:space="preserve">    trade_data: &amp;TradeData,</w:t>
      </w:r>
    </w:p>
    <w:p>
      <w:pPr>
        <w:spacing w:after="0" w:before="0" w:line="240" w:lineRule="auto"/>
        <w:ind w:left="57"/>
        <w:jc w:val="left"/>
        <w:shd w:val="clear" w:fill="F2F2F2"/>
      </w:pPr>
      <w:r>
        <w:rPr>
          <w:rFonts w:ascii="Consolas" w:hAnsi="Consolas" w:cs="Consolas"/>
          <w:b w:val="0"/>
          <w:i w:val="0"/>
          <w:sz w:val="15"/>
        </w:rPr>
        <w:t xml:space="preserve">    transport: &amp;TransportConfig,</w:t>
      </w:r>
    </w:p>
    <w:p>
      <w:pPr>
        <w:spacing w:after="0" w:before="0" w:line="240" w:lineRule="auto"/>
        <w:ind w:left="57"/>
        <w:jc w:val="left"/>
        <w:shd w:val="clear" w:fill="F2F2F2"/>
      </w:pPr>
      <w:r>
        <w:rPr>
          <w:rFonts w:ascii="Consolas" w:hAnsi="Consolas" w:cs="Consolas"/>
          <w:b w:val="0"/>
          <w:i w:val="0"/>
          <w:sz w:val="15"/>
        </w:rPr>
        <w:t xml:space="preserve">    packing: &amp;PackingPlan,</w:t>
      </w:r>
    </w:p>
    <w:p>
      <w:pPr>
        <w:spacing w:after="0" w:before="0" w:line="240" w:lineRule="auto"/>
        <w:ind w:left="57"/>
        <w:jc w:val="left"/>
        <w:shd w:val="clear" w:fill="F2F2F2"/>
      </w:pPr>
      <w:r>
        <w:rPr>
          <w:rFonts w:ascii="Consolas" w:hAnsi="Consolas" w:cs="Consolas"/>
          <w:b w:val="0"/>
          <w:i w:val="0"/>
          <w:sz w:val="15"/>
        </w:rPr>
        <w:t xml:space="preserve">    distance_km: f64</w:t>
      </w:r>
    </w:p>
    <w:p>
      <w:pPr>
        <w:spacing w:after="0" w:before="0" w:line="240" w:lineRule="auto"/>
        <w:ind w:left="57"/>
        <w:jc w:val="left"/>
        <w:shd w:val="clear" w:fill="F2F2F2"/>
      </w:pPr>
      <w:r>
        <w:rPr>
          <w:rFonts w:ascii="Consolas" w:hAnsi="Consolas" w:cs="Consolas"/>
          <w:b w:val="0"/>
          <w:i w:val="0"/>
          <w:sz w:val="15"/>
        </w:rPr>
        <w:t>) -&gt; CarbonFootprint {</w:t>
      </w:r>
    </w:p>
    <w:p>
      <w:pPr>
        <w:spacing w:after="0" w:before="0" w:line="240" w:lineRule="auto"/>
        <w:ind w:left="57"/>
        <w:jc w:val="left"/>
        <w:shd w:val="clear" w:fill="F2F2F2"/>
      </w:pPr>
      <w:r>
        <w:rPr>
          <w:rFonts w:ascii="Consolas" w:hAnsi="Consolas" w:cs="Consolas"/>
          <w:b w:val="0"/>
          <w:i w:val="0"/>
          <w:sz w:val="15"/>
        </w:rPr>
        <w:t xml:space="preserve">    let mut scope1 = 0.0;</w:t>
      </w:r>
    </w:p>
    <w:p>
      <w:pPr>
        <w:spacing w:after="0" w:before="0" w:line="240" w:lineRule="auto"/>
        <w:ind w:left="57"/>
        <w:jc w:val="left"/>
        <w:shd w:val="clear" w:fill="F2F2F2"/>
      </w:pPr>
      <w:r>
        <w:rPr>
          <w:rFonts w:ascii="Consolas" w:hAnsi="Consolas" w:cs="Consolas"/>
          <w:b w:val="0"/>
          <w:i w:val="0"/>
          <w:sz w:val="15"/>
        </w:rPr>
        <w:t xml:space="preserve">    let mut scope2 = 0.0;</w:t>
      </w:r>
    </w:p>
    <w:p>
      <w:pPr>
        <w:spacing w:after="0" w:before="0" w:line="240" w:lineRule="auto"/>
        <w:ind w:left="57"/>
        <w:jc w:val="left"/>
        <w:shd w:val="clear" w:fill="F2F2F2"/>
      </w:pPr>
      <w:r>
        <w:rPr>
          <w:rFonts w:ascii="Consolas" w:hAnsi="Consolas" w:cs="Consolas"/>
          <w:b w:val="0"/>
          <w:i w:val="0"/>
          <w:sz w:val="15"/>
        </w:rPr>
        <w:t xml:space="preserve">    let mut scope3 = 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1. Scope 1 — vessel/vehicle fuel</w:t>
      </w:r>
    </w:p>
    <w:p>
      <w:pPr>
        <w:spacing w:after="0" w:before="0" w:line="240" w:lineRule="auto"/>
        <w:ind w:left="57"/>
        <w:jc w:val="left"/>
        <w:shd w:val="clear" w:fill="F2F2F2"/>
      </w:pPr>
      <w:r>
        <w:rPr>
          <w:rFonts w:ascii="Consolas" w:hAnsi="Consolas" w:cs="Consolas"/>
          <w:b w:val="0"/>
          <w:i w:val="0"/>
          <w:sz w:val="15"/>
        </w:rPr>
        <w:t xml:space="preserve">    match transport.mode {</w:t>
      </w:r>
    </w:p>
    <w:p>
      <w:pPr>
        <w:spacing w:after="0" w:before="0" w:line="240" w:lineRule="auto"/>
        <w:ind w:left="57"/>
        <w:jc w:val="left"/>
        <w:shd w:val="clear" w:fill="F2F2F2"/>
      </w:pPr>
      <w:r>
        <w:rPr>
          <w:rFonts w:ascii="Consolas" w:hAnsi="Consolas" w:cs="Consolas"/>
          <w:b w:val="0"/>
          <w:i w:val="0"/>
          <w:sz w:val="15"/>
        </w:rPr>
        <w:t xml:space="preserve">        TransportMode::Ocean =&gt; {</w:t>
      </w:r>
    </w:p>
    <w:p>
      <w:pPr>
        <w:spacing w:after="0" w:before="0" w:line="240" w:lineRule="auto"/>
        <w:ind w:left="57"/>
        <w:jc w:val="left"/>
        <w:shd w:val="clear" w:fill="F2F2F2"/>
      </w:pPr>
      <w:r>
        <w:rPr>
          <w:rFonts w:ascii="Consolas" w:hAnsi="Consolas" w:cs="Consolas"/>
          <w:b w:val="0"/>
          <w:i w:val="0"/>
          <w:sz w:val="15"/>
        </w:rPr>
        <w:t xml:space="preserve">            let fuel_consumption = distance_km * 0.015; // 0.015 kg fuel / tkm</w:t>
      </w:r>
    </w:p>
    <w:p>
      <w:pPr>
        <w:spacing w:after="0" w:before="0" w:line="240" w:lineRule="auto"/>
        <w:ind w:left="57"/>
        <w:jc w:val="left"/>
        <w:shd w:val="clear" w:fill="F2F2F2"/>
      </w:pPr>
      <w:r>
        <w:rPr>
          <w:rFonts w:ascii="Consolas" w:hAnsi="Consolas" w:cs="Consolas"/>
          <w:b w:val="0"/>
          <w:i w:val="0"/>
          <w:sz w:val="15"/>
        </w:rPr>
        <w:t xml:space="preserve">            let total_weight_tonnes = trade_data.total_gross_weight_kg / 1000.0;</w:t>
      </w:r>
    </w:p>
    <w:p>
      <w:pPr>
        <w:spacing w:after="0" w:before="0" w:line="240" w:lineRule="auto"/>
        <w:ind w:left="57"/>
        <w:jc w:val="left"/>
        <w:shd w:val="clear" w:fill="F2F2F2"/>
      </w:pPr>
      <w:r>
        <w:rPr>
          <w:rFonts w:ascii="Consolas" w:hAnsi="Consolas" w:cs="Consolas"/>
          <w:b w:val="0"/>
          <w:i w:val="0"/>
          <w:sz w:val="15"/>
        </w:rPr>
        <w:t xml:space="preserve">            scope1 += fuel_consumption * total_weight_tonnes * 3.15; // HFO factor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TransportMode::Air =&gt; {</w:t>
      </w:r>
    </w:p>
    <w:p>
      <w:pPr>
        <w:spacing w:after="0" w:before="0" w:line="240" w:lineRule="auto"/>
        <w:ind w:left="57"/>
        <w:jc w:val="left"/>
        <w:shd w:val="clear" w:fill="F2F2F2"/>
      </w:pPr>
      <w:r>
        <w:rPr>
          <w:rFonts w:ascii="Consolas" w:hAnsi="Consolas" w:cs="Consolas"/>
          <w:b w:val="0"/>
          <w:i w:val="0"/>
          <w:sz w:val="15"/>
        </w:rPr>
        <w:t xml:space="preserve">            let fuel_consumption = distance_km * 0.05; // 0.05 kg fuel / tkm</w:t>
      </w:r>
    </w:p>
    <w:p>
      <w:pPr>
        <w:spacing w:after="0" w:before="0" w:line="240" w:lineRule="auto"/>
        <w:ind w:left="57"/>
        <w:jc w:val="left"/>
        <w:shd w:val="clear" w:fill="F2F2F2"/>
      </w:pPr>
      <w:r>
        <w:rPr>
          <w:rFonts w:ascii="Consolas" w:hAnsi="Consolas" w:cs="Consolas"/>
          <w:b w:val="0"/>
          <w:i w:val="0"/>
          <w:sz w:val="15"/>
        </w:rPr>
        <w:t xml:space="preserve">            let total_weight_tonnes = trade_data.total_gross_weight_kg / 1000.0;</w:t>
      </w:r>
    </w:p>
    <w:p>
      <w:pPr>
        <w:spacing w:after="0" w:before="0" w:line="240" w:lineRule="auto"/>
        <w:ind w:left="57"/>
        <w:jc w:val="left"/>
        <w:shd w:val="clear" w:fill="F2F2F2"/>
      </w:pPr>
      <w:r>
        <w:rPr>
          <w:rFonts w:ascii="Consolas" w:hAnsi="Consolas" w:cs="Consolas"/>
          <w:b w:val="0"/>
          <w:i w:val="0"/>
          <w:sz w:val="15"/>
        </w:rPr>
        <w:t xml:space="preserve">            scope1 += fuel_consumption * total_weight_tonnes * 3.16; // jet fuel factor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_ =&gt; { /* similar for rail and truck */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Scope 2 — reefer electricity</w:t>
      </w:r>
    </w:p>
    <w:p>
      <w:pPr>
        <w:spacing w:after="0" w:before="0" w:line="240" w:lineRule="auto"/>
        <w:ind w:left="57"/>
        <w:jc w:val="left"/>
        <w:shd w:val="clear" w:fill="F2F2F2"/>
      </w:pPr>
      <w:r>
        <w:rPr>
          <w:rFonts w:ascii="Consolas" w:hAnsi="Consolas" w:cs="Consolas"/>
          <w:b w:val="0"/>
          <w:i w:val="0"/>
          <w:sz w:val="15"/>
        </w:rPr>
        <w:t xml:space="preserve">    if transport.reefer {</w:t>
      </w:r>
    </w:p>
    <w:p>
      <w:pPr>
        <w:spacing w:after="0" w:before="0" w:line="240" w:lineRule="auto"/>
        <w:ind w:left="57"/>
        <w:jc w:val="left"/>
        <w:shd w:val="clear" w:fill="F2F2F2"/>
      </w:pPr>
      <w:r>
        <w:rPr>
          <w:rFonts w:ascii="Consolas" w:hAnsi="Consolas" w:cs="Consolas"/>
          <w:b w:val="0"/>
          <w:i w:val="0"/>
          <w:sz w:val="15"/>
        </w:rPr>
        <w:t xml:space="preserve">        let reefer_power_kw = 10.0; // 10 kW per container</w:t>
      </w:r>
    </w:p>
    <w:p>
      <w:pPr>
        <w:spacing w:after="0" w:before="0" w:line="240" w:lineRule="auto"/>
        <w:ind w:left="57"/>
        <w:jc w:val="left"/>
        <w:shd w:val="clear" w:fill="F2F2F2"/>
      </w:pPr>
      <w:r>
        <w:rPr>
          <w:rFonts w:ascii="Consolas" w:hAnsi="Consolas" w:cs="Consolas"/>
          <w:b w:val="0"/>
          <w:i w:val="0"/>
          <w:sz w:val="15"/>
        </w:rPr>
        <w:t xml:space="preserve">        let hours = distance_km / 40.0; // average speed 40 km/h</w:t>
      </w:r>
    </w:p>
    <w:p>
      <w:pPr>
        <w:spacing w:after="0" w:before="0" w:line="240" w:lineRule="auto"/>
        <w:ind w:left="57"/>
        <w:jc w:val="left"/>
        <w:shd w:val="clear" w:fill="F2F2F2"/>
      </w:pPr>
      <w:r>
        <w:rPr>
          <w:rFonts w:ascii="Consolas" w:hAnsi="Consolas" w:cs="Consolas"/>
          <w:b w:val="0"/>
          <w:i w:val="0"/>
          <w:sz w:val="15"/>
        </w:rPr>
        <w:t xml:space="preserve">        let kwh = reefer_power_kw * hours;</w:t>
      </w:r>
    </w:p>
    <w:p>
      <w:pPr>
        <w:spacing w:after="0" w:before="0" w:line="240" w:lineRule="auto"/>
        <w:ind w:left="57"/>
        <w:jc w:val="left"/>
        <w:shd w:val="clear" w:fill="F2F2F2"/>
      </w:pPr>
      <w:r>
        <w:rPr>
          <w:rFonts w:ascii="Consolas" w:hAnsi="Consolas" w:cs="Consolas"/>
          <w:b w:val="0"/>
          <w:i w:val="0"/>
          <w:sz w:val="15"/>
        </w:rPr>
        <w:t xml:space="preserve">        let grid_factor = get_grid_factor(trade_data.destination_country);</w:t>
      </w:r>
    </w:p>
    <w:p>
      <w:pPr>
        <w:spacing w:after="0" w:before="0" w:line="240" w:lineRule="auto"/>
        <w:ind w:left="57"/>
        <w:jc w:val="left"/>
        <w:shd w:val="clear" w:fill="F2F2F2"/>
      </w:pPr>
      <w:r>
        <w:rPr>
          <w:rFonts w:ascii="Consolas" w:hAnsi="Consolas" w:cs="Consolas"/>
          <w:b w:val="0"/>
          <w:i w:val="0"/>
          <w:sz w:val="15"/>
        </w:rPr>
        <w:t xml:space="preserve">        scope2 += kwh * grid_factor;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Scope 3 — packaging</w:t>
      </w:r>
    </w:p>
    <w:p>
      <w:pPr>
        <w:spacing w:after="0" w:before="0" w:line="240" w:lineRule="auto"/>
        <w:ind w:left="57"/>
        <w:jc w:val="left"/>
        <w:shd w:val="clear" w:fill="F2F2F2"/>
      </w:pPr>
      <w:r>
        <w:rPr>
          <w:rFonts w:ascii="Consolas" w:hAnsi="Consolas" w:cs="Consolas"/>
          <w:b w:val="0"/>
          <w:i w:val="0"/>
          <w:sz w:val="15"/>
        </w:rPr>
        <w:t xml:space="preserve">    for (material, weight) in &amp;packing.materials {</w:t>
      </w:r>
    </w:p>
    <w:p>
      <w:pPr>
        <w:spacing w:after="0" w:before="0" w:line="240" w:lineRule="auto"/>
        <w:ind w:left="57"/>
        <w:jc w:val="left"/>
        <w:shd w:val="clear" w:fill="F2F2F2"/>
      </w:pPr>
      <w:r>
        <w:rPr>
          <w:rFonts w:ascii="Consolas" w:hAnsi="Consolas" w:cs="Consolas"/>
          <w:b w:val="0"/>
          <w:i w:val="0"/>
          <w:sz w:val="15"/>
        </w:rPr>
        <w:t xml:space="preserve">        let factor = get_material_factor(material);</w:t>
      </w:r>
    </w:p>
    <w:p>
      <w:pPr>
        <w:spacing w:after="0" w:before="0" w:line="240" w:lineRule="auto"/>
        <w:ind w:left="57"/>
        <w:jc w:val="left"/>
        <w:shd w:val="clear" w:fill="F2F2F2"/>
      </w:pPr>
      <w:r>
        <w:rPr>
          <w:rFonts w:ascii="Consolas" w:hAnsi="Consolas" w:cs="Consolas"/>
          <w:b w:val="0"/>
          <w:i w:val="0"/>
          <w:sz w:val="15"/>
        </w:rPr>
        <w:t xml:space="preserve">        scope3 += weight * factor;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Scope 3 — port handling</w:t>
      </w:r>
    </w:p>
    <w:p>
      <w:pPr>
        <w:spacing w:after="0" w:before="0" w:line="240" w:lineRule="auto"/>
        <w:ind w:left="57"/>
        <w:jc w:val="left"/>
        <w:shd w:val="clear" w:fill="F2F2F2"/>
      </w:pPr>
      <w:r>
        <w:rPr>
          <w:rFonts w:ascii="Consolas" w:hAnsi="Consolas" w:cs="Consolas"/>
          <w:b w:val="0"/>
          <w:i w:val="0"/>
          <w:sz w:val="15"/>
        </w:rPr>
        <w:t xml:space="preserve">    scope3 += 0.1 * transport.container_count; // 0.1 t CO2e per container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Total</w:t>
      </w:r>
    </w:p>
    <w:p>
      <w:pPr>
        <w:spacing w:after="0" w:before="0" w:line="240" w:lineRule="auto"/>
        <w:ind w:left="57"/>
        <w:jc w:val="left"/>
        <w:shd w:val="clear" w:fill="F2F2F2"/>
      </w:pPr>
      <w:r>
        <w:rPr>
          <w:rFonts w:ascii="Consolas" w:hAnsi="Consolas" w:cs="Consolas"/>
          <w:b w:val="0"/>
          <w:i w:val="0"/>
          <w:sz w:val="15"/>
        </w:rPr>
        <w:t xml:space="preserve">    let total = scope1 + scope2 + scope3;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CarbonFootprint {</w:t>
      </w:r>
    </w:p>
    <w:p>
      <w:pPr>
        <w:spacing w:after="0" w:before="0" w:line="240" w:lineRule="auto"/>
        <w:ind w:left="57"/>
        <w:jc w:val="left"/>
        <w:shd w:val="clear" w:fill="F2F2F2"/>
      </w:pPr>
      <w:r>
        <w:rPr>
          <w:rFonts w:ascii="Consolas" w:hAnsi="Consolas" w:cs="Consolas"/>
          <w:b w:val="0"/>
          <w:i w:val="0"/>
          <w:sz w:val="15"/>
        </w:rPr>
        <w:t xml:space="preserve">        scope1,</w:t>
      </w:r>
    </w:p>
    <w:p>
      <w:pPr>
        <w:spacing w:after="0" w:before="0" w:line="240" w:lineRule="auto"/>
        <w:ind w:left="57"/>
        <w:jc w:val="left"/>
        <w:shd w:val="clear" w:fill="F2F2F2"/>
      </w:pPr>
      <w:r>
        <w:rPr>
          <w:rFonts w:ascii="Consolas" w:hAnsi="Consolas" w:cs="Consolas"/>
          <w:b w:val="0"/>
          <w:i w:val="0"/>
          <w:sz w:val="15"/>
        </w:rPr>
        <w:t xml:space="preserve">        scope2,</w:t>
      </w:r>
    </w:p>
    <w:p>
      <w:pPr>
        <w:spacing w:after="0" w:before="0" w:line="240" w:lineRule="auto"/>
        <w:ind w:left="57"/>
        <w:jc w:val="left"/>
        <w:shd w:val="clear" w:fill="F2F2F2"/>
      </w:pPr>
      <w:r>
        <w:rPr>
          <w:rFonts w:ascii="Consolas" w:hAnsi="Consolas" w:cs="Consolas"/>
          <w:b w:val="0"/>
          <w:i w:val="0"/>
          <w:sz w:val="15"/>
        </w:rPr>
        <w:t xml:space="preserve">        scope3,</w:t>
      </w:r>
    </w:p>
    <w:p>
      <w:pPr>
        <w:spacing w:after="0" w:before="0" w:line="240" w:lineRule="auto"/>
        <w:ind w:left="57"/>
        <w:jc w:val="left"/>
        <w:shd w:val="clear" w:fill="F2F2F2"/>
      </w:pPr>
      <w:r>
        <w:rPr>
          <w:rFonts w:ascii="Consolas" w:hAnsi="Consolas" w:cs="Consolas"/>
          <w:b w:val="0"/>
          <w:i w:val="0"/>
          <w:sz w:val="15"/>
        </w:rPr>
        <w:t xml:space="preserve">        total,</w:t>
      </w:r>
    </w:p>
    <w:p>
      <w:pPr>
        <w:spacing w:after="0" w:before="0" w:line="240" w:lineRule="auto"/>
        <w:ind w:left="57"/>
        <w:jc w:val="left"/>
        <w:shd w:val="clear" w:fill="F2F2F2"/>
      </w:pPr>
      <w:r>
        <w:rPr>
          <w:rFonts w:ascii="Consolas" w:hAnsi="Consolas" w:cs="Consolas"/>
          <w:b w:val="0"/>
          <w:i w:val="0"/>
          <w:sz w:val="15"/>
        </w:rPr>
        <w:t xml:space="preserve">        embedded_emissions: scope1 + scope2, // CBAM definition</w:t>
      </w:r>
    </w:p>
    <w:p>
      <w:pPr>
        <w:spacing w:after="0" w:before="0" w:line="240" w:lineRule="auto"/>
        <w:ind w:left="57"/>
        <w:jc w:val="left"/>
        <w:shd w:val="clear" w:fill="F2F2F2"/>
      </w:pPr>
      <w:r>
        <w:rPr>
          <w:rFonts w:ascii="Consolas" w:hAnsi="Consolas" w:cs="Consolas"/>
          <w:b w:val="0"/>
          <w:i w:val="0"/>
          <w:sz w:val="15"/>
        </w:rPr>
        <w:t xml:space="preserve">        confidence_interval: calculate_confidence(scope1, scope2, scope3),</w:t>
      </w:r>
    </w:p>
    <w:p>
      <w:pPr>
        <w:spacing w:after="0" w:before="0" w:line="240" w:lineRule="auto"/>
        <w:ind w:left="57"/>
        <w:jc w:val="left"/>
        <w:shd w:val="clear" w:fill="F2F2F2"/>
      </w:pPr>
      <w:r>
        <w:rPr>
          <w:rFonts w:ascii="Consolas" w:hAnsi="Consolas" w:cs="Consolas"/>
          <w:b w:val="0"/>
          <w:i w:val="0"/>
          <w:sz w:val="15"/>
        </w:rPr>
        <w:t xml:space="preserve">        data_sources: vec!["IMO EEXI 2025", "EPA SmartWay v3", "IEA 2025"],</w:t>
      </w:r>
    </w:p>
    <w:p>
      <w:pPr>
        <w:spacing w:after="0" w:before="0" w:line="240" w:lineRule="auto"/>
        <w:ind w:left="57"/>
        <w:jc w:val="left"/>
        <w:shd w:val="clear" w:fill="F2F2F2"/>
      </w:pPr>
      <w:r>
        <w:rPr>
          <w:rFonts w:ascii="Consolas" w:hAnsi="Consolas" w:cs="Consolas"/>
          <w:b w:val="0"/>
          <w:i w:val="0"/>
          <w:sz w:val="15"/>
        </w:rPr>
        <w:t xml:space="preserve">        model_version: "v2.1",</w:t>
      </w:r>
    </w:p>
    <w:p>
      <w:pPr>
        <w:spacing w:after="0" w:before="0" w:line="240" w:lineRule="auto"/>
        <w:ind w:left="57"/>
        <w:jc w:val="left"/>
        <w:shd w:val="clear" w:fill="F2F2F2"/>
      </w:pPr>
      <w:r>
        <w:rPr>
          <w:rFonts w:ascii="Consolas" w:hAnsi="Consolas" w:cs="Consolas"/>
          <w:b w:val="0"/>
          <w:i w:val="0"/>
          <w:sz w:val="15"/>
        </w:rPr>
        <w:t xml:space="preserve">        calculation_date: Utc::now(),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8.11.6 UI — Carbon Footprint Display</w:t>
      </w:r>
    </w:p>
    <w:p>
      <w:pPr>
        <w:spacing w:after="0" w:before="0" w:line="240" w:lineRule="auto"/>
        <w:ind w:left="57"/>
        <w:jc w:val="left"/>
        <w:shd w:val="clear" w:fill="F2F2F2"/>
      </w:pPr>
      <w:r>
        <w:rPr>
          <w:rFonts w:ascii="Consolas" w:hAnsi="Consolas" w:cs="Consolas"/>
          <w:b w:val="0"/>
          <w:i w:val="0"/>
          <w:sz w:val="15"/>
        </w:rPr>
        <w:t>CARBON FOOTPRINT —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Total CO2e: 4,870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Breakdown:</w:t>
      </w:r>
    </w:p>
    <w:p>
      <w:pPr>
        <w:spacing w:after="0" w:before="0" w:line="240" w:lineRule="auto"/>
        <w:ind w:left="57"/>
        <w:jc w:val="left"/>
        <w:shd w:val="clear" w:fill="F2F2F2"/>
      </w:pPr>
      <w:r>
        <w:rPr>
          <w:rFonts w:ascii="Consolas" w:hAnsi="Consolas" w:cs="Consolas"/>
          <w:b w:val="0"/>
          <w:i w:val="0"/>
          <w:sz w:val="15"/>
        </w:rPr>
        <w:t xml:space="preserve">  Scope                | CO2e (kg) | Chart</w:t>
      </w:r>
    </w:p>
    <w:p>
      <w:pPr>
        <w:spacing w:after="0" w:before="0" w:line="240" w:lineRule="auto"/>
        <w:ind w:left="57"/>
        <w:jc w:val="left"/>
        <w:shd w:val="clear" w:fill="F2F2F2"/>
      </w:pPr>
      <w:r>
        <w:rPr>
          <w:rFonts w:ascii="Consolas" w:hAnsi="Consolas" w:cs="Consolas"/>
          <w:b w:val="0"/>
          <w:i w:val="0"/>
          <w:sz w:val="15"/>
        </w:rPr>
        <w:t xml:space="preserve">  Scope 1 (Direct)     | 3,120     | [========  ]</w:t>
      </w:r>
    </w:p>
    <w:p>
      <w:pPr>
        <w:spacing w:after="0" w:before="0" w:line="240" w:lineRule="auto"/>
        <w:ind w:left="57"/>
        <w:jc w:val="left"/>
        <w:shd w:val="clear" w:fill="F2F2F2"/>
      </w:pPr>
      <w:r>
        <w:rPr>
          <w:rFonts w:ascii="Consolas" w:hAnsi="Consolas" w:cs="Consolas"/>
          <w:b w:val="0"/>
          <w:i w:val="0"/>
          <w:sz w:val="15"/>
        </w:rPr>
        <w:t xml:space="preserve">  Scope 2 (Indirect)   | 600       | [==        ]</w:t>
      </w:r>
    </w:p>
    <w:p>
      <w:pPr>
        <w:spacing w:after="0" w:before="0" w:line="240" w:lineRule="auto"/>
        <w:ind w:left="57"/>
        <w:jc w:val="left"/>
        <w:shd w:val="clear" w:fill="F2F2F2"/>
      </w:pPr>
      <w:r>
        <w:rPr>
          <w:rFonts w:ascii="Consolas" w:hAnsi="Consolas" w:cs="Consolas"/>
          <w:b w:val="0"/>
          <w:i w:val="0"/>
          <w:sz w:val="15"/>
        </w:rPr>
        <w:t xml:space="preserve">  Scope 3 (Up/Down)    | 1,150     | [====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Detailed Breakdown:</w:t>
      </w:r>
    </w:p>
    <w:p>
      <w:pPr>
        <w:spacing w:after="0" w:before="0" w:line="240" w:lineRule="auto"/>
        <w:ind w:left="57"/>
        <w:jc w:val="left"/>
        <w:shd w:val="clear" w:fill="F2F2F2"/>
      </w:pPr>
      <w:r>
        <w:rPr>
          <w:rFonts w:ascii="Consolas" w:hAnsi="Consolas" w:cs="Consolas"/>
          <w:b w:val="0"/>
          <w:i w:val="0"/>
          <w:sz w:val="15"/>
        </w:rPr>
        <w:t xml:space="preserve">  - Vessel Fuel: 3,000 kg CO2e</w:t>
      </w:r>
    </w:p>
    <w:p>
      <w:pPr>
        <w:spacing w:after="0" w:before="0" w:line="240" w:lineRule="auto"/>
        <w:ind w:left="57"/>
        <w:jc w:val="left"/>
        <w:shd w:val="clear" w:fill="F2F2F2"/>
      </w:pPr>
      <w:r>
        <w:rPr>
          <w:rFonts w:ascii="Consolas" w:hAnsi="Consolas" w:cs="Consolas"/>
          <w:b w:val="0"/>
          <w:i w:val="0"/>
          <w:sz w:val="15"/>
        </w:rPr>
        <w:t xml:space="preserve">  - Truck Fuel: 120 kg CO2e</w:t>
      </w:r>
    </w:p>
    <w:p>
      <w:pPr>
        <w:spacing w:after="0" w:before="0" w:line="240" w:lineRule="auto"/>
        <w:ind w:left="57"/>
        <w:jc w:val="left"/>
        <w:shd w:val="clear" w:fill="F2F2F2"/>
      </w:pPr>
      <w:r>
        <w:rPr>
          <w:rFonts w:ascii="Consolas" w:hAnsi="Consolas" w:cs="Consolas"/>
          <w:b w:val="0"/>
          <w:i w:val="0"/>
          <w:sz w:val="15"/>
        </w:rPr>
        <w:t xml:space="preserve">  - Reefer Electricity: 600 kg CO2e</w:t>
      </w:r>
    </w:p>
    <w:p>
      <w:pPr>
        <w:spacing w:after="0" w:before="0" w:line="240" w:lineRule="auto"/>
        <w:ind w:left="57"/>
        <w:jc w:val="left"/>
        <w:shd w:val="clear" w:fill="F2F2F2"/>
      </w:pPr>
      <w:r>
        <w:rPr>
          <w:rFonts w:ascii="Consolas" w:hAnsi="Consolas" w:cs="Consolas"/>
          <w:b w:val="0"/>
          <w:i w:val="0"/>
          <w:sz w:val="15"/>
        </w:rPr>
        <w:t xml:space="preserve">  - Packaging Materials: 800 kg CO2e</w:t>
      </w:r>
    </w:p>
    <w:p>
      <w:pPr>
        <w:spacing w:after="0" w:before="0" w:line="240" w:lineRule="auto"/>
        <w:ind w:left="57"/>
        <w:jc w:val="left"/>
        <w:shd w:val="clear" w:fill="F2F2F2"/>
      </w:pPr>
      <w:r>
        <w:rPr>
          <w:rFonts w:ascii="Consolas" w:hAnsi="Consolas" w:cs="Consolas"/>
          <w:b w:val="0"/>
          <w:i w:val="0"/>
          <w:sz w:val="15"/>
        </w:rPr>
        <w:t xml:space="preserve">  - Port Handling: 200 kg CO2e</w:t>
      </w:r>
    </w:p>
    <w:p>
      <w:pPr>
        <w:spacing w:after="0" w:before="0" w:line="240" w:lineRule="auto"/>
        <w:ind w:left="57"/>
        <w:jc w:val="left"/>
        <w:shd w:val="clear" w:fill="F2F2F2"/>
      </w:pPr>
      <w:r>
        <w:rPr>
          <w:rFonts w:ascii="Consolas" w:hAnsi="Consolas" w:cs="Consolas"/>
          <w:b w:val="0"/>
          <w:i w:val="0"/>
          <w:sz w:val="15"/>
        </w:rPr>
        <w:t xml:space="preserve">  - Disposal: 150 kg CO2e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CBAM Embedded Emissions: 1,800 kg CO2e (Scope 1 + 2)</w:t>
      </w:r>
    </w:p>
    <w:p>
      <w:pPr>
        <w:spacing w:after="0" w:before="0" w:line="240" w:lineRule="auto"/>
        <w:ind w:left="57"/>
        <w:jc w:val="left"/>
        <w:shd w:val="clear" w:fill="F2F2F2"/>
      </w:pPr>
      <w:r>
        <w:rPr>
          <w:rFonts w:ascii="Consolas" w:hAnsi="Consolas" w:cs="Consolas"/>
          <w:b w:val="0"/>
          <w:i w:val="0"/>
          <w:sz w:val="15"/>
        </w:rPr>
        <w:t>Confidence: ±12%</w:t>
      </w:r>
    </w:p>
    <w:p>
      <w:pPr>
        <w:spacing w:after="0" w:before="0" w:line="240" w:lineRule="auto"/>
        <w:ind w:left="57"/>
        <w:jc w:val="left"/>
        <w:shd w:val="clear" w:fill="F2F2F2"/>
      </w:pPr>
      <w:r>
        <w:rPr>
          <w:rFonts w:ascii="Consolas" w:hAnsi="Consolas" w:cs="Consolas"/>
          <w:b w:val="0"/>
          <w:i w:val="0"/>
          <w:sz w:val="15"/>
        </w:rPr>
        <w:t>Data Sources: IMO EEXI 2025, EPA SmartWay v3, IEA 2025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CBAM REPORT</w:t>
      </w:r>
    </w:p>
    <w:p>
      <w:pPr>
        <w:spacing w:after="0" w:before="0" w:line="240" w:lineRule="auto"/>
        <w:ind w:left="57"/>
        <w:jc w:val="left"/>
        <w:shd w:val="clear" w:fill="F2F2F2"/>
      </w:pPr>
      <w:r>
        <w:rPr>
          <w:rFonts w:ascii="Consolas" w:hAnsi="Consolas" w:cs="Consolas"/>
          <w:b w:val="0"/>
          <w:i w:val="0"/>
          <w:sz w:val="15"/>
        </w:rPr>
        <w:t xml:space="preserve">  [Download CBAM XML] [Download CBAM PDF] [View CBAM Certificate]</w:t>
      </w:r>
    </w:p>
    <w:p>
      <w:pPr>
        <w:spacing w:after="0" w:before="0" w:line="240" w:lineRule="auto"/>
        <w:ind w:left="57"/>
        <w:jc w:val="left"/>
        <w:shd w:val="clear" w:fill="F2F2F2"/>
      </w:pPr>
      <w:r>
        <w:rPr>
          <w:rFonts w:ascii="Consolas" w:hAnsi="Consolas" w:cs="Consolas"/>
          <w:b w:val="0"/>
          <w:i w:val="0"/>
          <w:sz w:val="15"/>
        </w:rPr>
        <w:t xml:space="preserve">  Certificate Number: CBAM-2026-001</w:t>
      </w:r>
    </w:p>
    <w:p>
      <w:pPr>
        <w:spacing w:after="0" w:before="0" w:line="240" w:lineRule="auto"/>
        <w:ind w:left="57"/>
        <w:jc w:val="left"/>
        <w:shd w:val="clear" w:fill="F2F2F2"/>
      </w:pPr>
      <w:r>
        <w:rPr>
          <w:rFonts w:ascii="Consolas" w:hAnsi="Consolas" w:cs="Consolas"/>
          <w:b w:val="0"/>
          <w:i w:val="0"/>
          <w:sz w:val="15"/>
        </w:rPr>
        <w:t xml:space="preserve">  Issued: 2026-06-20 10:30 UTC</w:t>
      </w:r>
    </w:p>
    <w:p>
      <w:pPr>
        <w:spacing w:after="0" w:before="0" w:line="240" w:lineRule="auto"/>
        <w:ind w:left="57"/>
        <w:jc w:val="left"/>
        <w:shd w:val="clear" w:fill="F2F2F2"/>
      </w:pPr>
      <w:r>
        <w:rPr>
          <w:rFonts w:ascii="Consolas" w:hAnsi="Consolas" w:cs="Consolas"/>
          <w:b w:val="0"/>
          <w:i w:val="0"/>
          <w:sz w:val="15"/>
        </w:rPr>
        <w:t xml:space="preserve">  Valid Until: 2027-06-20</w:t>
      </w:r>
    </w:p>
    <w:p>
      <w:pPr>
        <w:spacing w:after="0" w:before="0" w:line="240" w:lineRule="auto"/>
        <w:ind w:left="57"/>
        <w:jc w:val="left"/>
        <w:shd w:val="clear" w:fill="F2F2F2"/>
      </w:pPr>
      <w:r>
        <w:rPr>
          <w:rFonts w:ascii="Consolas" w:hAnsi="Consolas" w:cs="Consolas"/>
          <w:b w:val="0"/>
          <w:i w:val="0"/>
          <w:sz w:val="15"/>
        </w:rPr>
        <w:t xml:space="preserve">  CBAM reports are required for all EU-bound shipments. This report is</w:t>
      </w:r>
    </w:p>
    <w:p>
      <w:pPr>
        <w:spacing w:after="0" w:before="0" w:line="240" w:lineRule="auto"/>
        <w:ind w:left="57"/>
        <w:jc w:val="left"/>
        <w:shd w:val="clear" w:fill="F2F2F2"/>
      </w:pPr>
      <w:r>
        <w:rPr>
          <w:rFonts w:ascii="Consolas" w:hAnsi="Consolas" w:cs="Consolas"/>
          <w:b w:val="0"/>
          <w:i w:val="0"/>
          <w:sz w:val="15"/>
        </w:rPr>
        <w:t xml:space="preserve">  digitally signed and can be submitted to EU authorities.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REDUCTION OPPORTUNITIES (A1, Groq)</w:t>
      </w:r>
    </w:p>
    <w:p>
      <w:pPr>
        <w:spacing w:after="0" w:before="0" w:line="240" w:lineRule="auto"/>
        <w:ind w:left="57"/>
        <w:jc w:val="left"/>
        <w:shd w:val="clear" w:fill="F2F2F2"/>
      </w:pPr>
      <w:r>
        <w:rPr>
          <w:rFonts w:ascii="Consolas" w:hAnsi="Consolas" w:cs="Consolas"/>
          <w:b w:val="0"/>
          <w:i w:val="0"/>
          <w:sz w:val="15"/>
        </w:rPr>
        <w:t xml:space="preserve">  "The largest emissions source is vessel fuel (3,000 kg CO2e). Consider</w:t>
      </w:r>
    </w:p>
    <w:p>
      <w:pPr>
        <w:spacing w:after="0" w:before="0" w:line="240" w:lineRule="auto"/>
        <w:ind w:left="57"/>
        <w:jc w:val="left"/>
        <w:shd w:val="clear" w:fill="F2F2F2"/>
      </w:pPr>
      <w:r>
        <w:rPr>
          <w:rFonts w:ascii="Consolas" w:hAnsi="Consolas" w:cs="Consolas"/>
          <w:b w:val="0"/>
          <w:i w:val="0"/>
          <w:sz w:val="15"/>
        </w:rPr>
        <w:t xml:space="preserve">  switching to a newer vessel or optimising loading to reduce fuel</w:t>
      </w:r>
    </w:p>
    <w:p>
      <w:pPr>
        <w:spacing w:after="0" w:before="0" w:line="240" w:lineRule="auto"/>
        <w:ind w:left="57"/>
        <w:jc w:val="left"/>
        <w:shd w:val="clear" w:fill="F2F2F2"/>
      </w:pPr>
      <w:r>
        <w:rPr>
          <w:rFonts w:ascii="Consolas" w:hAnsi="Consolas" w:cs="Consolas"/>
          <w:b w:val="0"/>
          <w:i w:val="0"/>
          <w:sz w:val="15"/>
        </w:rPr>
        <w:t xml:space="preserve">  consumption. Packaging emissions (800 kg CO2e) could be reduced by</w:t>
      </w:r>
    </w:p>
    <w:p>
      <w:pPr>
        <w:spacing w:after="0" w:before="0" w:line="240" w:lineRule="auto"/>
        <w:ind w:left="57"/>
        <w:jc w:val="left"/>
        <w:shd w:val="clear" w:fill="F2F2F2"/>
      </w:pPr>
      <w:r>
        <w:rPr>
          <w:rFonts w:ascii="Consolas" w:hAnsi="Consolas" w:cs="Consolas"/>
          <w:b w:val="0"/>
          <w:i w:val="0"/>
          <w:sz w:val="15"/>
        </w:rPr>
        <w:t xml:space="preserve">  switching to recycled PET strapping (see Ecological Packaging Advisor).</w:t>
      </w:r>
    </w:p>
    <w:p>
      <w:pPr>
        <w:spacing w:after="0" w:before="0" w:line="240" w:lineRule="auto"/>
        <w:ind w:left="57"/>
        <w:jc w:val="left"/>
        <w:shd w:val="clear" w:fill="F2F2F2"/>
      </w:pPr>
      <w:r>
        <w:rPr>
          <w:rFonts w:ascii="Consolas" w:hAnsi="Consolas" w:cs="Consolas"/>
          <w:b w:val="0"/>
          <w:i w:val="0"/>
          <w:sz w:val="15"/>
        </w:rPr>
        <w:t xml:space="preserve">  Total potential reduction: 25% (1,218 kg CO2e)."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[Recalculate] [Export Report] [Share with Buyer] [Dismiss]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8.11.7 Integration with Invoice &amp; Packing List</w:t>
      </w:r>
    </w:p>
    <w:p>
      <w:pPr>
        <w:spacing w:after="80" w:line="293" w:lineRule="auto"/>
        <w:jc w:val="left"/>
      </w:pPr>
      <w:r>
        <w:rPr>
          <w:rFonts w:ascii="Times New Roman" w:hAnsi="Times New Roman" w:cs="Times New Roman"/>
          <w:b w:val="0"/>
          <w:i w:val="0"/>
          <w:sz w:val="22"/>
        </w:rPr>
        <w:t>Carbon data is attached to the invoice (emissions summary and CBAM reference in document notes and additional references), to the packing list (carbon summary section), and to the customs declaration (CBAM reference for EU-bound shipments). Recalculation is triggered by transport mode changes, packing material changes, and route changes.</w:t>
      </w:r>
    </w:p>
    <w:p>
      <w:pPr>
        <w:keepNext/>
        <w:spacing w:before="180" w:after="80"/>
        <w:outlineLvl w:val="2"/>
      </w:pPr>
      <w:r>
        <w:rPr>
          <w:rFonts w:ascii="Arial" w:hAnsi="Arial" w:cs="Arial"/>
          <w:b/>
          <w:i w:val="0"/>
          <w:color w:val="333333"/>
          <w:sz w:val="23"/>
        </w:rPr>
        <w:t>8.11.8 Validation Gates (Carbon Footprint)</w:t>
      </w:r>
    </w:p>
    <w:p>
      <w:pPr>
        <w:spacing w:after="80" w:line="293" w:lineRule="auto"/>
        <w:ind w:left="283"/>
        <w:jc w:val="left"/>
      </w:pPr>
      <w:r>
        <w:rPr>
          <w:rFonts w:ascii="Times New Roman" w:hAnsi="Times New Roman" w:cs="Times New Roman"/>
          <w:b w:val="0"/>
          <w:i w:val="0"/>
          <w:sz w:val="22"/>
        </w:rPr>
        <w:t>- Calculation is advisory and never blocks a trade.</w:t>
      </w:r>
    </w:p>
    <w:p>
      <w:pPr>
        <w:spacing w:after="80" w:line="293" w:lineRule="auto"/>
        <w:ind w:left="283"/>
        <w:jc w:val="left"/>
      </w:pPr>
      <w:r>
        <w:rPr>
          <w:rFonts w:ascii="Times New Roman" w:hAnsi="Times New Roman" w:cs="Times New Roman"/>
          <w:b w:val="0"/>
          <w:i w:val="0"/>
          <w:sz w:val="22"/>
        </w:rPr>
        <w:t>- Every calculation records model version, factor sources, and confidence interval.</w:t>
      </w:r>
    </w:p>
    <w:p>
      <w:pPr>
        <w:spacing w:after="80" w:line="293" w:lineRule="auto"/>
        <w:ind w:left="283"/>
        <w:jc w:val="left"/>
      </w:pPr>
      <w:r>
        <w:rPr>
          <w:rFonts w:ascii="Times New Roman" w:hAnsi="Times New Roman" w:cs="Times New Roman"/>
          <w:b w:val="0"/>
          <w:i w:val="0"/>
          <w:sz w:val="22"/>
        </w:rPr>
        <w:t>- CBAM report generation is required for EU-bound shipments and must be digitally signed.</w:t>
      </w:r>
    </w:p>
    <w:p>
      <w:pPr>
        <w:spacing w:after="80" w:line="293" w:lineRule="auto"/>
        <w:ind w:left="283"/>
        <w:jc w:val="left"/>
      </w:pPr>
      <w:r>
        <w:rPr>
          <w:rFonts w:ascii="Times New Roman" w:hAnsi="Times New Roman" w:cs="Times New Roman"/>
          <w:b w:val="0"/>
          <w:i w:val="0"/>
          <w:sz w:val="22"/>
        </w:rPr>
        <w:t>- Recalculation is mandatory after material changes applied from the Ecological Packaging Advisor (Section 8.10).</w:t>
      </w:r>
    </w:p>
    <w:p>
      <w:pPr>
        <w:keepNext/>
        <w:spacing w:before="180" w:after="80"/>
        <w:outlineLvl w:val="2"/>
      </w:pPr>
      <w:r>
        <w:rPr>
          <w:rFonts w:ascii="Arial" w:hAnsi="Arial" w:cs="Arial"/>
          <w:b/>
          <w:i w:val="0"/>
          <w:color w:val="333333"/>
          <w:sz w:val="23"/>
        </w:rPr>
        <w:t>8.11.9 Database Schema Additions</w:t>
      </w:r>
    </w:p>
    <w:p>
      <w:pPr>
        <w:spacing w:after="0" w:before="0" w:line="240" w:lineRule="auto"/>
        <w:ind w:left="57"/>
        <w:jc w:val="left"/>
        <w:shd w:val="clear" w:fill="F2F2F2"/>
      </w:pPr>
      <w:r>
        <w:rPr>
          <w:rFonts w:ascii="Consolas" w:hAnsi="Consolas" w:cs="Consolas"/>
          <w:b w:val="0"/>
          <w:i w:val="0"/>
          <w:sz w:val="15"/>
        </w:rPr>
        <w:t>-- Carbon footprint calculations</w:t>
      </w:r>
    </w:p>
    <w:p>
      <w:pPr>
        <w:spacing w:after="0" w:before="0" w:line="240" w:lineRule="auto"/>
        <w:ind w:left="57"/>
        <w:jc w:val="left"/>
        <w:shd w:val="clear" w:fill="F2F2F2"/>
      </w:pPr>
      <w:r>
        <w:rPr>
          <w:rFonts w:ascii="Consolas" w:hAnsi="Consolas" w:cs="Consolas"/>
          <w:b w:val="0"/>
          <w:i w:val="0"/>
          <w:sz w:val="15"/>
        </w:rPr>
        <w:t>CREATE TABLE carbon_footprints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scope1_co2e_kg DECIMAL(12,2),</w:t>
      </w:r>
    </w:p>
    <w:p>
      <w:pPr>
        <w:spacing w:after="0" w:before="0" w:line="240" w:lineRule="auto"/>
        <w:ind w:left="57"/>
        <w:jc w:val="left"/>
        <w:shd w:val="clear" w:fill="F2F2F2"/>
      </w:pPr>
      <w:r>
        <w:rPr>
          <w:rFonts w:ascii="Consolas" w:hAnsi="Consolas" w:cs="Consolas"/>
          <w:b w:val="0"/>
          <w:i w:val="0"/>
          <w:sz w:val="15"/>
        </w:rPr>
        <w:t xml:space="preserve">    scope2_co2e_kg DECIMAL(12,2),</w:t>
      </w:r>
    </w:p>
    <w:p>
      <w:pPr>
        <w:spacing w:after="0" w:before="0" w:line="240" w:lineRule="auto"/>
        <w:ind w:left="57"/>
        <w:jc w:val="left"/>
        <w:shd w:val="clear" w:fill="F2F2F2"/>
      </w:pPr>
      <w:r>
        <w:rPr>
          <w:rFonts w:ascii="Consolas" w:hAnsi="Consolas" w:cs="Consolas"/>
          <w:b w:val="0"/>
          <w:i w:val="0"/>
          <w:sz w:val="15"/>
        </w:rPr>
        <w:t xml:space="preserve">    scope3_co2e_kg DECIMAL(12,2),</w:t>
      </w:r>
    </w:p>
    <w:p>
      <w:pPr>
        <w:spacing w:after="0" w:before="0" w:line="240" w:lineRule="auto"/>
        <w:ind w:left="57"/>
        <w:jc w:val="left"/>
        <w:shd w:val="clear" w:fill="F2F2F2"/>
      </w:pPr>
      <w:r>
        <w:rPr>
          <w:rFonts w:ascii="Consolas" w:hAnsi="Consolas" w:cs="Consolas"/>
          <w:b w:val="0"/>
          <w:i w:val="0"/>
          <w:sz w:val="15"/>
        </w:rPr>
        <w:t xml:space="preserve">    total_co2e_kg DECIMAL(12,2),</w:t>
      </w:r>
    </w:p>
    <w:p>
      <w:pPr>
        <w:spacing w:after="0" w:before="0" w:line="240" w:lineRule="auto"/>
        <w:ind w:left="57"/>
        <w:jc w:val="left"/>
        <w:shd w:val="clear" w:fill="F2F2F2"/>
      </w:pPr>
      <w:r>
        <w:rPr>
          <w:rFonts w:ascii="Consolas" w:hAnsi="Consolas" w:cs="Consolas"/>
          <w:b w:val="0"/>
          <w:i w:val="0"/>
          <w:sz w:val="15"/>
        </w:rPr>
        <w:t xml:space="preserve">    embedded_emissions_kg DECIMAL(12,2), -- Scope 1 + Scope 2 (CBAM)</w:t>
      </w:r>
    </w:p>
    <w:p>
      <w:pPr>
        <w:spacing w:after="0" w:before="0" w:line="240" w:lineRule="auto"/>
        <w:ind w:left="57"/>
        <w:jc w:val="left"/>
        <w:shd w:val="clear" w:fill="F2F2F2"/>
      </w:pPr>
      <w:r>
        <w:rPr>
          <w:rFonts w:ascii="Consolas" w:hAnsi="Consolas" w:cs="Consolas"/>
          <w:b w:val="0"/>
          <w:i w:val="0"/>
          <w:sz w:val="15"/>
        </w:rPr>
        <w:t xml:space="preserve">    confidence_interval JSONB,</w:t>
      </w:r>
    </w:p>
    <w:p>
      <w:pPr>
        <w:spacing w:after="0" w:before="0" w:line="240" w:lineRule="auto"/>
        <w:ind w:left="57"/>
        <w:jc w:val="left"/>
        <w:shd w:val="clear" w:fill="F2F2F2"/>
      </w:pPr>
      <w:r>
        <w:rPr>
          <w:rFonts w:ascii="Consolas" w:hAnsi="Consolas" w:cs="Consolas"/>
          <w:b w:val="0"/>
          <w:i w:val="0"/>
          <w:sz w:val="15"/>
        </w:rPr>
        <w:t xml:space="preserve">    data_sources TEXT[],</w:t>
      </w:r>
    </w:p>
    <w:p>
      <w:pPr>
        <w:spacing w:after="0" w:before="0" w:line="240" w:lineRule="auto"/>
        <w:ind w:left="57"/>
        <w:jc w:val="left"/>
        <w:shd w:val="clear" w:fill="F2F2F2"/>
      </w:pPr>
      <w:r>
        <w:rPr>
          <w:rFonts w:ascii="Consolas" w:hAnsi="Consolas" w:cs="Consolas"/>
          <w:b w:val="0"/>
          <w:i w:val="0"/>
          <w:sz w:val="15"/>
        </w:rPr>
        <w:t xml:space="preserve">    model_version TEXT,</w:t>
      </w:r>
    </w:p>
    <w:p>
      <w:pPr>
        <w:spacing w:after="0" w:before="0" w:line="240" w:lineRule="auto"/>
        <w:ind w:left="57"/>
        <w:jc w:val="left"/>
        <w:shd w:val="clear" w:fill="F2F2F2"/>
      </w:pPr>
      <w:r>
        <w:rPr>
          <w:rFonts w:ascii="Consolas" w:hAnsi="Consolas" w:cs="Consolas"/>
          <w:b w:val="0"/>
          <w:i w:val="0"/>
          <w:sz w:val="15"/>
        </w:rPr>
        <w:t xml:space="preserve">    cbam_certificate_number TEXT,</w:t>
      </w:r>
    </w:p>
    <w:p>
      <w:pPr>
        <w:spacing w:after="0" w:before="0" w:line="240" w:lineRule="auto"/>
        <w:ind w:left="57"/>
        <w:jc w:val="left"/>
        <w:shd w:val="clear" w:fill="F2F2F2"/>
      </w:pPr>
      <w:r>
        <w:rPr>
          <w:rFonts w:ascii="Consolas" w:hAnsi="Consolas" w:cs="Consolas"/>
          <w:b w:val="0"/>
          <w:i w:val="0"/>
          <w:sz w:val="15"/>
        </w:rPr>
        <w:t xml:space="preserve">    cbam_xml_url TEXT,</w:t>
      </w:r>
    </w:p>
    <w:p>
      <w:pPr>
        <w:spacing w:after="0" w:before="0" w:line="240" w:lineRule="auto"/>
        <w:ind w:left="57"/>
        <w:jc w:val="left"/>
        <w:shd w:val="clear" w:fill="F2F2F2"/>
      </w:pPr>
      <w:r>
        <w:rPr>
          <w:rFonts w:ascii="Consolas" w:hAnsi="Consolas" w:cs="Consolas"/>
          <w:b w:val="0"/>
          <w:i w:val="0"/>
          <w:sz w:val="15"/>
        </w:rPr>
        <w:t xml:space="preserve">    cbam_pdf_url TEXT,</w:t>
      </w:r>
    </w:p>
    <w:p>
      <w:pPr>
        <w:spacing w:after="0" w:before="0" w:line="240" w:lineRule="auto"/>
        <w:ind w:left="57"/>
        <w:jc w:val="left"/>
        <w:shd w:val="clear" w:fill="F2F2F2"/>
      </w:pPr>
      <w:r>
        <w:rPr>
          <w:rFonts w:ascii="Consolas" w:hAnsi="Consolas" w:cs="Consolas"/>
          <w:b w:val="0"/>
          <w:i w:val="0"/>
          <w:sz w:val="15"/>
        </w:rPr>
        <w:t xml:space="preserve">    calculated_at TIMESTAMPTZ DEFAULT NOW(),</w:t>
      </w:r>
    </w:p>
    <w:p>
      <w:pPr>
        <w:spacing w:after="0" w:before="0" w:line="240" w:lineRule="auto"/>
        <w:ind w:left="57"/>
        <w:jc w:val="left"/>
        <w:shd w:val="clear" w:fill="F2F2F2"/>
      </w:pPr>
      <w:r>
        <w:rPr>
          <w:rFonts w:ascii="Consolas" w:hAnsi="Consolas" w:cs="Consolas"/>
          <w:b w:val="0"/>
          <w:i w:val="0"/>
          <w:sz w:val="15"/>
        </w:rPr>
        <w:t xml:space="preserve">    calculated_by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Emission factors (reference table, updated by RIA)</w:t>
      </w:r>
    </w:p>
    <w:p>
      <w:pPr>
        <w:spacing w:after="0" w:before="0" w:line="240" w:lineRule="auto"/>
        <w:ind w:left="57"/>
        <w:jc w:val="left"/>
        <w:shd w:val="clear" w:fill="F2F2F2"/>
      </w:pPr>
      <w:r>
        <w:rPr>
          <w:rFonts w:ascii="Consolas" w:hAnsi="Consolas" w:cs="Consolas"/>
          <w:b w:val="0"/>
          <w:i w:val="0"/>
          <w:sz w:val="15"/>
        </w:rPr>
        <w:t>CREATE TABLE emission_factors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factor_type TEXT NOT NULL, -- 'VESSEL', 'TRUCK', 'RAIL', 'AIR', 'ELECTRICITY', 'MATERIAL'</w:t>
      </w:r>
    </w:p>
    <w:p>
      <w:pPr>
        <w:spacing w:after="0" w:before="0" w:line="240" w:lineRule="auto"/>
        <w:ind w:left="57"/>
        <w:jc w:val="left"/>
        <w:shd w:val="clear" w:fill="F2F2F2"/>
      </w:pPr>
      <w:r>
        <w:rPr>
          <w:rFonts w:ascii="Consolas" w:hAnsi="Consolas" w:cs="Consolas"/>
          <w:b w:val="0"/>
          <w:i w:val="0"/>
          <w:sz w:val="15"/>
        </w:rPr>
        <w:t xml:space="preserve">    factor_code TEXT UNIQUE NOT NULL,</w:t>
      </w:r>
    </w:p>
    <w:p>
      <w:pPr>
        <w:spacing w:after="0" w:before="0" w:line="240" w:lineRule="auto"/>
        <w:ind w:left="57"/>
        <w:jc w:val="left"/>
        <w:shd w:val="clear" w:fill="F2F2F2"/>
      </w:pPr>
      <w:r>
        <w:rPr>
          <w:rFonts w:ascii="Consolas" w:hAnsi="Consolas" w:cs="Consolas"/>
          <w:b w:val="0"/>
          <w:i w:val="0"/>
          <w:sz w:val="15"/>
        </w:rPr>
        <w:t xml:space="preserve">    factor_name TEXT NOT NULL,</w:t>
      </w:r>
    </w:p>
    <w:p>
      <w:pPr>
        <w:spacing w:after="0" w:before="0" w:line="240" w:lineRule="auto"/>
        <w:ind w:left="57"/>
        <w:jc w:val="left"/>
        <w:shd w:val="clear" w:fill="F2F2F2"/>
      </w:pPr>
      <w:r>
        <w:rPr>
          <w:rFonts w:ascii="Consolas" w:hAnsi="Consolas" w:cs="Consolas"/>
          <w:b w:val="0"/>
          <w:i w:val="0"/>
          <w:sz w:val="15"/>
        </w:rPr>
        <w:t xml:space="preserve">    value DECIMAL(12,6) NOT NULL,</w:t>
      </w:r>
    </w:p>
    <w:p>
      <w:pPr>
        <w:spacing w:after="0" w:before="0" w:line="240" w:lineRule="auto"/>
        <w:ind w:left="57"/>
        <w:jc w:val="left"/>
        <w:shd w:val="clear" w:fill="F2F2F2"/>
      </w:pPr>
      <w:r>
        <w:rPr>
          <w:rFonts w:ascii="Consolas" w:hAnsi="Consolas" w:cs="Consolas"/>
          <w:b w:val="0"/>
          <w:i w:val="0"/>
          <w:sz w:val="15"/>
        </w:rPr>
        <w:t xml:space="preserve">    unit TEXT NOT NULL,</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valid_from DATE,</w:t>
      </w:r>
    </w:p>
    <w:p>
      <w:pPr>
        <w:spacing w:after="0" w:before="0" w:line="240" w:lineRule="auto"/>
        <w:ind w:left="57"/>
        <w:jc w:val="left"/>
        <w:shd w:val="clear" w:fill="F2F2F2"/>
      </w:pPr>
      <w:r>
        <w:rPr>
          <w:rFonts w:ascii="Consolas" w:hAnsi="Consolas" w:cs="Consolas"/>
          <w:b w:val="0"/>
          <w:i w:val="0"/>
          <w:sz w:val="15"/>
        </w:rPr>
        <w:t xml:space="preserve">    valid_to DATE,</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 xml:space="preserve">    UNIQUE(factor_code, valid_from)</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Carbon reduction recommendations (A1-generated)</w:t>
      </w:r>
    </w:p>
    <w:p>
      <w:pPr>
        <w:spacing w:after="0" w:before="0" w:line="240" w:lineRule="auto"/>
        <w:ind w:left="57"/>
        <w:jc w:val="left"/>
        <w:shd w:val="clear" w:fill="F2F2F2"/>
      </w:pPr>
      <w:r>
        <w:rPr>
          <w:rFonts w:ascii="Consolas" w:hAnsi="Consolas" w:cs="Consolas"/>
          <w:b w:val="0"/>
          <w:i w:val="0"/>
          <w:sz w:val="15"/>
        </w:rPr>
        <w:t>CREATE TABLE carbon_reduction_recommendations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carbon_footprint_id UUID NOT NULL REFERENCES carbon_footprints(id) ON DELETE CASCADE,</w:t>
      </w:r>
    </w:p>
    <w:p>
      <w:pPr>
        <w:spacing w:after="0" w:before="0" w:line="240" w:lineRule="auto"/>
        <w:ind w:left="57"/>
        <w:jc w:val="left"/>
        <w:shd w:val="clear" w:fill="F2F2F2"/>
      </w:pPr>
      <w:r>
        <w:rPr>
          <w:rFonts w:ascii="Consolas" w:hAnsi="Consolas" w:cs="Consolas"/>
          <w:b w:val="0"/>
          <w:i w:val="0"/>
          <w:sz w:val="15"/>
        </w:rPr>
        <w:t xml:space="preserve">    recommendation_text TEXT,</w:t>
      </w:r>
    </w:p>
    <w:p>
      <w:pPr>
        <w:spacing w:after="0" w:before="0" w:line="240" w:lineRule="auto"/>
        <w:ind w:left="57"/>
        <w:jc w:val="left"/>
        <w:shd w:val="clear" w:fill="F2F2F2"/>
      </w:pPr>
      <w:r>
        <w:rPr>
          <w:rFonts w:ascii="Consolas" w:hAnsi="Consolas" w:cs="Consolas"/>
          <w:b w:val="0"/>
          <w:i w:val="0"/>
          <w:sz w:val="15"/>
        </w:rPr>
        <w:t xml:space="preserve">    potential_reduction_kg DECIMAL(12,2),</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generated_by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idx_carbon_footprints_ustn ON carbon_footprints(ustn);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idx_carbon_footprints_calculated_at ON carbon_footprints(calculated_at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idx_emission_factors_code ON emission_factors(factor_code);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idx_emission_factors_active ON emission_factors(is_active) WHERE is_active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idx_carbon_reduction_recommendations_footprint ON carbon_reduction_recommendations(carbon_footprint_id);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8.11.10 Implementation Checklist</w:t>
      </w:r>
    </w:p>
    <w:p>
      <w:pPr>
        <w:spacing w:after="80" w:line="293" w:lineRule="auto"/>
        <w:jc w:val="left"/>
      </w:pPr>
      <w:r>
        <w:rPr>
          <w:rFonts w:ascii="Times New Roman" w:hAnsi="Times New Roman" w:cs="Times New Roman"/>
          <w:b w:val="0"/>
          <w:i w:val="0"/>
          <w:sz w:val="22"/>
        </w:rPr>
        <w:t>Core calculation:</w:t>
      </w:r>
    </w:p>
    <w:p>
      <w:pPr>
        <w:spacing w:after="80" w:line="293" w:lineRule="auto"/>
        <w:ind w:left="283"/>
        <w:jc w:val="left"/>
      </w:pPr>
      <w:r>
        <w:rPr>
          <w:rFonts w:ascii="Times New Roman" w:hAnsi="Times New Roman" w:cs="Times New Roman"/>
          <w:b w:val="0"/>
          <w:i w:val="0"/>
          <w:sz w:val="22"/>
        </w:rPr>
        <w:t>- Implement carbon footprint calculation service (Rust + Python)</w:t>
      </w:r>
    </w:p>
    <w:p>
      <w:pPr>
        <w:spacing w:after="80" w:line="293" w:lineRule="auto"/>
        <w:ind w:left="283"/>
        <w:jc w:val="left"/>
      </w:pPr>
      <w:r>
        <w:rPr>
          <w:rFonts w:ascii="Times New Roman" w:hAnsi="Times New Roman" w:cs="Times New Roman"/>
          <w:b w:val="0"/>
          <w:i w:val="0"/>
          <w:sz w:val="22"/>
        </w:rPr>
        <w:t>- Implement emission factor lookup (database)</w:t>
      </w:r>
    </w:p>
    <w:p>
      <w:pPr>
        <w:spacing w:after="80" w:line="293" w:lineRule="auto"/>
        <w:ind w:left="283"/>
        <w:jc w:val="left"/>
      </w:pPr>
      <w:r>
        <w:rPr>
          <w:rFonts w:ascii="Times New Roman" w:hAnsi="Times New Roman" w:cs="Times New Roman"/>
          <w:b w:val="0"/>
          <w:i w:val="0"/>
          <w:sz w:val="22"/>
        </w:rPr>
        <w:t>- Implement Scope 1 calculation (vessel, truck, rail, air)</w:t>
      </w:r>
    </w:p>
    <w:p>
      <w:pPr>
        <w:spacing w:after="80" w:line="293" w:lineRule="auto"/>
        <w:ind w:left="283"/>
        <w:jc w:val="left"/>
      </w:pPr>
      <w:r>
        <w:rPr>
          <w:rFonts w:ascii="Times New Roman" w:hAnsi="Times New Roman" w:cs="Times New Roman"/>
          <w:b w:val="0"/>
          <w:i w:val="0"/>
          <w:sz w:val="22"/>
        </w:rPr>
        <w:t>- Implement Scope 2 calculation (electricity)</w:t>
      </w:r>
    </w:p>
    <w:p>
      <w:pPr>
        <w:spacing w:after="80" w:line="293" w:lineRule="auto"/>
        <w:ind w:left="283"/>
        <w:jc w:val="left"/>
      </w:pPr>
      <w:r>
        <w:rPr>
          <w:rFonts w:ascii="Times New Roman" w:hAnsi="Times New Roman" w:cs="Times New Roman"/>
          <w:b w:val="0"/>
          <w:i w:val="0"/>
          <w:sz w:val="22"/>
        </w:rPr>
        <w:t>- Implement Scope 3 calculation (packaging, port, disposal)</w:t>
      </w:r>
    </w:p>
    <w:p>
      <w:pPr>
        <w:spacing w:after="80" w:line="293" w:lineRule="auto"/>
        <w:ind w:left="283"/>
        <w:jc w:val="left"/>
      </w:pPr>
      <w:r>
        <w:rPr>
          <w:rFonts w:ascii="Times New Roman" w:hAnsi="Times New Roman" w:cs="Times New Roman"/>
          <w:b w:val="0"/>
          <w:i w:val="0"/>
          <w:sz w:val="22"/>
        </w:rPr>
        <w:t>- Implement CBAM report generation (XML)</w:t>
      </w:r>
    </w:p>
    <w:p>
      <w:pPr>
        <w:spacing w:after="80" w:line="293" w:lineRule="auto"/>
        <w:jc w:val="left"/>
      </w:pPr>
      <w:r>
        <w:rPr>
          <w:rFonts w:ascii="Times New Roman" w:hAnsi="Times New Roman" w:cs="Times New Roman"/>
          <w:b w:val="0"/>
          <w:i w:val="0"/>
          <w:sz w:val="22"/>
        </w:rPr>
        <w:t>Frontend components:</w:t>
      </w:r>
    </w:p>
    <w:p>
      <w:pPr>
        <w:spacing w:after="80" w:line="293" w:lineRule="auto"/>
        <w:ind w:left="283"/>
        <w:jc w:val="left"/>
      </w:pPr>
      <w:r>
        <w:rPr>
          <w:rFonts w:ascii="Times New Roman" w:hAnsi="Times New Roman" w:cs="Times New Roman"/>
          <w:b w:val="0"/>
          <w:i w:val="0"/>
          <w:sz w:val="22"/>
        </w:rPr>
        <w:t>- Build Carbon Footprint summary display</w:t>
      </w:r>
    </w:p>
    <w:p>
      <w:pPr>
        <w:spacing w:after="80" w:line="293" w:lineRule="auto"/>
        <w:ind w:left="283"/>
        <w:jc w:val="left"/>
      </w:pPr>
      <w:r>
        <w:rPr>
          <w:rFonts w:ascii="Times New Roman" w:hAnsi="Times New Roman" w:cs="Times New Roman"/>
          <w:b w:val="0"/>
          <w:i w:val="0"/>
          <w:sz w:val="22"/>
        </w:rPr>
        <w:t>- Build Scope breakdown chart</w:t>
      </w:r>
    </w:p>
    <w:p>
      <w:pPr>
        <w:spacing w:after="80" w:line="293" w:lineRule="auto"/>
        <w:ind w:left="283"/>
        <w:jc w:val="left"/>
      </w:pPr>
      <w:r>
        <w:rPr>
          <w:rFonts w:ascii="Times New Roman" w:hAnsi="Times New Roman" w:cs="Times New Roman"/>
          <w:b w:val="0"/>
          <w:i w:val="0"/>
          <w:sz w:val="22"/>
        </w:rPr>
        <w:t>- Build Detailed breakdown list</w:t>
      </w:r>
    </w:p>
    <w:p>
      <w:pPr>
        <w:spacing w:after="80" w:line="293" w:lineRule="auto"/>
        <w:ind w:left="283"/>
        <w:jc w:val="left"/>
      </w:pPr>
      <w:r>
        <w:rPr>
          <w:rFonts w:ascii="Times New Roman" w:hAnsi="Times New Roman" w:cs="Times New Roman"/>
          <w:b w:val="0"/>
          <w:i w:val="0"/>
          <w:sz w:val="22"/>
        </w:rPr>
        <w:t>- Build CBAM report download buttons</w:t>
      </w:r>
    </w:p>
    <w:p>
      <w:pPr>
        <w:spacing w:after="80" w:line="293" w:lineRule="auto"/>
        <w:ind w:left="283"/>
        <w:jc w:val="left"/>
      </w:pPr>
      <w:r>
        <w:rPr>
          <w:rFonts w:ascii="Times New Roman" w:hAnsi="Times New Roman" w:cs="Times New Roman"/>
          <w:b w:val="0"/>
          <w:i w:val="0"/>
          <w:sz w:val="22"/>
        </w:rPr>
        <w:t>- Build Reduction opportunities display (A1, Groq)</w:t>
      </w:r>
    </w:p>
    <w:p>
      <w:pPr>
        <w:spacing w:after="80" w:line="293" w:lineRule="auto"/>
        <w:ind w:left="283"/>
        <w:jc w:val="left"/>
      </w:pPr>
      <w:r>
        <w:rPr>
          <w:rFonts w:ascii="Times New Roman" w:hAnsi="Times New Roman" w:cs="Times New Roman"/>
          <w:b w:val="0"/>
          <w:i w:val="0"/>
          <w:sz w:val="22"/>
        </w:rPr>
        <w:t>- Build Export functionality</w:t>
      </w:r>
    </w:p>
    <w:p>
      <w:pPr>
        <w:spacing w:after="80" w:line="293" w:lineRule="auto"/>
        <w:jc w:val="left"/>
      </w:pPr>
      <w:r>
        <w:rPr>
          <w:rFonts w:ascii="Times New Roman" w:hAnsi="Times New Roman" w:cs="Times New Roman"/>
          <w:b w:val="0"/>
          <w:i w:val="0"/>
          <w:sz w:val="22"/>
        </w:rPr>
        <w:t>Integration:</w:t>
      </w:r>
    </w:p>
    <w:p>
      <w:pPr>
        <w:spacing w:after="80" w:line="293" w:lineRule="auto"/>
        <w:ind w:left="283"/>
        <w:jc w:val="left"/>
      </w:pPr>
      <w:r>
        <w:rPr>
          <w:rFonts w:ascii="Times New Roman" w:hAnsi="Times New Roman" w:cs="Times New Roman"/>
          <w:b w:val="0"/>
          <w:i w:val="0"/>
          <w:sz w:val="22"/>
        </w:rPr>
        <w:t>- Integrate with invoice (add carbon data)</w:t>
      </w:r>
    </w:p>
    <w:p>
      <w:pPr>
        <w:spacing w:after="80" w:line="293" w:lineRule="auto"/>
        <w:ind w:left="283"/>
        <w:jc w:val="left"/>
      </w:pPr>
      <w:r>
        <w:rPr>
          <w:rFonts w:ascii="Times New Roman" w:hAnsi="Times New Roman" w:cs="Times New Roman"/>
          <w:b w:val="0"/>
          <w:i w:val="0"/>
          <w:sz w:val="22"/>
        </w:rPr>
        <w:t>- Integrate with packing list (add carbon summary)</w:t>
      </w:r>
    </w:p>
    <w:p>
      <w:pPr>
        <w:spacing w:after="80" w:line="293" w:lineRule="auto"/>
        <w:ind w:left="283"/>
        <w:jc w:val="left"/>
      </w:pPr>
      <w:r>
        <w:rPr>
          <w:rFonts w:ascii="Times New Roman" w:hAnsi="Times New Roman" w:cs="Times New Roman"/>
          <w:b w:val="0"/>
          <w:i w:val="0"/>
          <w:sz w:val="22"/>
        </w:rPr>
        <w:t>- Integrate with customs declaration (add CBAM reference)</w:t>
      </w:r>
    </w:p>
    <w:p>
      <w:pPr>
        <w:spacing w:after="80" w:line="293" w:lineRule="auto"/>
        <w:ind w:left="283"/>
        <w:jc w:val="left"/>
      </w:pPr>
      <w:r>
        <w:rPr>
          <w:rFonts w:ascii="Times New Roman" w:hAnsi="Times New Roman" w:cs="Times New Roman"/>
          <w:b w:val="0"/>
          <w:i w:val="0"/>
          <w:sz w:val="22"/>
        </w:rPr>
        <w:t>- Integrate with transport mode data</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emission factor lookup; Scope 1 calculation; CBAM report generation</w:t>
      </w:r>
    </w:p>
    <w:p>
      <w:pPr>
        <w:spacing w:after="80" w:line="293" w:lineRule="auto"/>
        <w:ind w:left="283"/>
        <w:jc w:val="left"/>
      </w:pPr>
      <w:r>
        <w:rPr>
          <w:rFonts w:ascii="Times New Roman" w:hAnsi="Times New Roman" w:cs="Times New Roman"/>
          <w:b w:val="0"/>
          <w:i w:val="0"/>
          <w:sz w:val="22"/>
        </w:rPr>
        <w:t>- Integration tests: carbon calculation → report generation; invoice integration</w:t>
      </w:r>
    </w:p>
    <w:p>
      <w:pPr>
        <w:spacing w:after="80" w:line="293" w:lineRule="auto"/>
        <w:ind w:left="283"/>
        <w:jc w:val="left"/>
      </w:pPr>
      <w:r>
        <w:rPr>
          <w:rFonts w:ascii="Times New Roman" w:hAnsi="Times New Roman" w:cs="Times New Roman"/>
          <w:b w:val="0"/>
          <w:i w:val="0"/>
          <w:sz w:val="22"/>
        </w:rPr>
        <w:t>- End-to-end tests: full carbon footprint workflow</w:t>
      </w:r>
    </w:p>
    <w:p>
      <w:pPr>
        <w:keepNext/>
        <w:spacing w:before="180" w:after="80"/>
        <w:outlineLvl w:val="2"/>
      </w:pPr>
      <w:r>
        <w:rPr>
          <w:rFonts w:ascii="Arial" w:hAnsi="Arial" w:cs="Arial"/>
          <w:b/>
          <w:i w:val="0"/>
          <w:color w:val="333333"/>
          <w:sz w:val="23"/>
        </w:rPr>
        <w:t>8.11.11 AI Authority Summary</w:t>
      </w:r>
    </w:p>
    <w:p>
      <w:pPr>
        <w:spacing w:after="80" w:line="293" w:lineRule="auto"/>
        <w:jc w:val="left"/>
      </w:pPr>
      <w:r>
        <w:rPr>
          <w:rFonts w:ascii="Times New Roman" w:hAnsi="Times New Roman" w:cs="Times New Roman"/>
          <w:b w:val="0"/>
          <w:i w:val="0"/>
          <w:sz w:val="22"/>
        </w:rPr>
        <w:t>A1 (Groq) generates reduction opportunity narratives (advisory). A2 (HF local) supports the LSTM-based vessel emissions modelling. The calculation engine is deterministic with recorded factor versions; AI never alters computed emissions, never issues a CBAM certificate, and never blocks a trade on environmental grounds.</w:t>
      </w:r>
    </w:p>
    <w:p>
      <w:pPr>
        <w:keepNext/>
        <w:spacing w:before="240" w:after="100"/>
        <w:outlineLvl w:val="1"/>
      </w:pPr>
      <w:r>
        <w:rPr>
          <w:rFonts w:ascii="Arial" w:hAnsi="Arial" w:cs="Arial"/>
          <w:b/>
          <w:i w:val="0"/>
          <w:color w:val="2E528F"/>
          <w:sz w:val="26"/>
        </w:rPr>
        <w:t>8.12 PDF/A-3 Archival Format</w:t>
      </w:r>
    </w:p>
    <w:p>
      <w:pPr>
        <w:keepNext/>
        <w:spacing w:before="180" w:after="80"/>
        <w:outlineLvl w:val="2"/>
      </w:pPr>
      <w:r>
        <w:rPr>
          <w:rFonts w:ascii="Arial" w:hAnsi="Arial" w:cs="Arial"/>
          <w:b/>
          <w:i w:val="0"/>
          <w:color w:val="333333"/>
          <w:sz w:val="23"/>
        </w:rPr>
        <w:t>8.12.1 Purpose &amp; Design Philosophy</w:t>
      </w:r>
    </w:p>
    <w:p>
      <w:pPr>
        <w:spacing w:after="80" w:line="293" w:lineRule="auto"/>
        <w:jc w:val="left"/>
      </w:pPr>
      <w:r>
        <w:rPr>
          <w:rFonts w:ascii="Times New Roman" w:hAnsi="Times New Roman" w:cs="Times New Roman"/>
          <w:b w:val="0"/>
          <w:i w:val="0"/>
          <w:sz w:val="22"/>
        </w:rPr>
        <w:t>The PDF/A-3 Archival Format module ensures that all legally significant documents generated by the platform are retained in a format suitable for long-term archiving. PDF/A-3 (ISO 19005-3) is the international standard for archival PDF documents, guaranteeing that the documents will be readable and render correctly decades from now. This module applies to all automatically generated documents intended for legal retention — invoices, packing lists, customs declarations, contracts, and certificates.</w:t>
      </w:r>
    </w:p>
    <w:p>
      <w:pPr>
        <w:spacing w:after="80" w:line="293" w:lineRule="auto"/>
        <w:jc w:val="left"/>
      </w:pPr>
      <w:r>
        <w:rPr>
          <w:rFonts w:ascii="Times New Roman" w:hAnsi="Times New Roman" w:cs="Times New Roman"/>
          <w:b w:val="0"/>
          <w:i w:val="0"/>
          <w:sz w:val="22"/>
        </w:rPr>
        <w:t>Key principles: ISO 19005-3 compliant — Level B (basic) or U (Unicode) conformance. Self-contained — all fonts, colour spaces, and metadata are embedded. Digitally signed — each document includes a visible digital signature. Metadata-rich — contains USTN, document type, generation timestamp, SHA256 hash, and Loom hash. Automated validation — each PDF/A-3 file is validated before storage. Fallback — if PDF/A-3 generation fails, a standard PDF is generated with a warning.</w:t>
      </w:r>
    </w:p>
    <w:p>
      <w:pPr>
        <w:keepNext/>
        <w:spacing w:before="180" w:after="80"/>
        <w:outlineLvl w:val="2"/>
      </w:pPr>
      <w:r>
        <w:rPr>
          <w:rFonts w:ascii="Arial" w:hAnsi="Arial" w:cs="Arial"/>
          <w:b/>
          <w:i w:val="0"/>
          <w:color w:val="333333"/>
          <w:sz w:val="23"/>
        </w:rPr>
        <w:t>8.12.2 Technical Requirements</w:t>
      </w:r>
    </w:p>
    <w:p>
      <w:pPr>
        <w:spacing w:after="80" w:line="293" w:lineRule="auto"/>
        <w:ind w:left="283"/>
        <w:jc w:val="left"/>
      </w:pPr>
      <w:r>
        <w:rPr>
          <w:rFonts w:ascii="Times New Roman" w:hAnsi="Times New Roman" w:cs="Times New Roman"/>
          <w:b w:val="0"/>
          <w:i w:val="0"/>
          <w:sz w:val="22"/>
        </w:rPr>
        <w:t>- Conformance level: PDF/A-3b or PDF/A-3u (ISO 19005-3).</w:t>
      </w:r>
    </w:p>
    <w:p>
      <w:pPr>
        <w:spacing w:after="80" w:line="293" w:lineRule="auto"/>
        <w:ind w:left="283"/>
        <w:jc w:val="left"/>
      </w:pPr>
      <w:r>
        <w:rPr>
          <w:rFonts w:ascii="Times New Roman" w:hAnsi="Times New Roman" w:cs="Times New Roman"/>
          <w:b w:val="0"/>
          <w:i w:val="0"/>
          <w:sz w:val="22"/>
        </w:rPr>
        <w:t>- All fonts embedded; colour spaces device-independent; XMP metadata present; visible digital signature field; Loom hash and SHA256 embedded.</w:t>
      </w:r>
    </w:p>
    <w:p>
      <w:pPr>
        <w:spacing w:after="80" w:line="293" w:lineRule="auto"/>
        <w:ind w:left="283"/>
        <w:jc w:val="left"/>
      </w:pPr>
      <w:r>
        <w:rPr>
          <w:rFonts w:ascii="Times New Roman" w:hAnsi="Times New Roman" w:cs="Times New Roman"/>
          <w:b w:val="0"/>
          <w:i w:val="0"/>
          <w:sz w:val="22"/>
        </w:rPr>
        <w:t>- Validation performed with veraPDF (or an equivalent validator); validation results logged.</w:t>
      </w:r>
    </w:p>
    <w:p>
      <w:pPr>
        <w:keepNext/>
        <w:spacing w:before="180" w:after="80"/>
        <w:outlineLvl w:val="2"/>
      </w:pPr>
      <w:r>
        <w:rPr>
          <w:rFonts w:ascii="Arial" w:hAnsi="Arial" w:cs="Arial"/>
          <w:b/>
          <w:i w:val="0"/>
          <w:color w:val="333333"/>
          <w:sz w:val="23"/>
        </w:rPr>
        <w:t>8.12.3 Document Types Covered</w:t>
      </w:r>
    </w:p>
    <w:p>
      <w:pPr>
        <w:spacing w:after="80" w:line="293" w:lineRule="auto"/>
        <w:jc w:val="left"/>
      </w:pPr>
      <w:r>
        <w:rPr>
          <w:rFonts w:ascii="Times New Roman" w:hAnsi="Times New Roman" w:cs="Times New Roman"/>
          <w:b w:val="0"/>
          <w:i w:val="0"/>
          <w:sz w:val="22"/>
        </w:rPr>
        <w:t>Invoices (Section 8.8); packing lists (Section 8.5); customs declarations (Section 8.9); contracts (Section 9); evidence packages (Section 14); settlement statements (Section 13); certificates.</w:t>
      </w:r>
    </w:p>
    <w:p>
      <w:pPr>
        <w:keepNext/>
        <w:spacing w:before="180" w:after="80"/>
        <w:outlineLvl w:val="2"/>
      </w:pPr>
      <w:r>
        <w:rPr>
          <w:rFonts w:ascii="Arial" w:hAnsi="Arial" w:cs="Arial"/>
          <w:b/>
          <w:i w:val="0"/>
          <w:color w:val="333333"/>
          <w:sz w:val="23"/>
        </w:rPr>
        <w:t>8.12.4 PDF/A-3 Generation Process</w:t>
      </w:r>
    </w:p>
    <w:p>
      <w:pPr>
        <w:spacing w:after="80" w:line="293" w:lineRule="auto"/>
        <w:jc w:val="left"/>
      </w:pPr>
      <w:r>
        <w:rPr>
          <w:rFonts w:ascii="Times New Roman" w:hAnsi="Times New Roman" w:cs="Times New Roman"/>
          <w:b w:val="0"/>
          <w:i w:val="0"/>
          <w:sz w:val="22"/>
        </w:rPr>
        <w:t>1. Source document generated (HTML, XML, JSON). 2. Render to PDF using headless Chrome (or printpdf). 3. Convert to PDF/A-3: embed all fonts; convert colour spaces to device-independent; add XMP metadata; add visible digital signature field; add Loom hash and SHA256. 4. Validate conformance using veraPDF. 5. If valid: store in the documents table with pdfa3_compliant = true. 6. If invalid: log errors; generate standard PDF with warning banner. 7. Store both versions (PDF/A-3 + standard PDF) for fallback.</w:t>
      </w:r>
    </w:p>
    <w:p>
      <w:pPr>
        <w:keepNext/>
        <w:spacing w:before="180" w:after="80"/>
        <w:outlineLvl w:val="2"/>
      </w:pPr>
      <w:r>
        <w:rPr>
          <w:rFonts w:ascii="Arial" w:hAnsi="Arial" w:cs="Arial"/>
          <w:b/>
          <w:i w:val="0"/>
          <w:color w:val="333333"/>
          <w:sz w:val="23"/>
        </w:rPr>
        <w:t>8.12.5 Metadata Structure (XMP)</w:t>
      </w:r>
    </w:p>
    <w:p>
      <w:pPr>
        <w:spacing w:after="0" w:before="0" w:line="240" w:lineRule="auto"/>
        <w:ind w:left="57"/>
        <w:jc w:val="left"/>
        <w:shd w:val="clear" w:fill="F2F2F2"/>
      </w:pPr>
      <w:r>
        <w:rPr>
          <w:rFonts w:ascii="Consolas" w:hAnsi="Consolas" w:cs="Consolas"/>
          <w:b w:val="0"/>
          <w:i w:val="0"/>
          <w:sz w:val="15"/>
        </w:rPr>
        <w:t>&lt;rdf:RDF xmlns:rdf="http://www.w3.org/1999/02/22-rdf-syntax-ns#"&gt;</w:t>
      </w:r>
    </w:p>
    <w:p>
      <w:pPr>
        <w:spacing w:after="0" w:before="0" w:line="240" w:lineRule="auto"/>
        <w:ind w:left="57"/>
        <w:jc w:val="left"/>
        <w:shd w:val="clear" w:fill="F2F2F2"/>
      </w:pPr>
      <w:r>
        <w:rPr>
          <w:rFonts w:ascii="Consolas" w:hAnsi="Consolas" w:cs="Consolas"/>
          <w:b w:val="0"/>
          <w:i w:val="0"/>
          <w:sz w:val="15"/>
        </w:rPr>
        <w:t xml:space="preserve">  &lt;rdf:Description rdf:about=""</w:t>
      </w:r>
    </w:p>
    <w:p>
      <w:pPr>
        <w:spacing w:after="0" w:before="0" w:line="240" w:lineRule="auto"/>
        <w:ind w:left="57"/>
        <w:jc w:val="left"/>
        <w:shd w:val="clear" w:fill="F2F2F2"/>
      </w:pPr>
      <w:r>
        <w:rPr>
          <w:rFonts w:ascii="Consolas" w:hAnsi="Consolas" w:cs="Consolas"/>
          <w:b w:val="0"/>
          <w:i w:val="0"/>
          <w:sz w:val="15"/>
        </w:rPr>
        <w:t xml:space="preserve">    xmlns:dc="http://purl.org/dc/elements/1.1/"</w:t>
      </w:r>
    </w:p>
    <w:p>
      <w:pPr>
        <w:spacing w:after="0" w:before="0" w:line="240" w:lineRule="auto"/>
        <w:ind w:left="57"/>
        <w:jc w:val="left"/>
        <w:shd w:val="clear" w:fill="F2F2F2"/>
      </w:pPr>
      <w:r>
        <w:rPr>
          <w:rFonts w:ascii="Consolas" w:hAnsi="Consolas" w:cs="Consolas"/>
          <w:b w:val="0"/>
          <w:i w:val="0"/>
          <w:sz w:val="15"/>
        </w:rPr>
        <w:t xml:space="preserve">    xmlns:xmp="http://ns.adobe.com/xap/1.0/"</w:t>
      </w:r>
    </w:p>
    <w:p>
      <w:pPr>
        <w:spacing w:after="0" w:before="0" w:line="240" w:lineRule="auto"/>
        <w:ind w:left="57"/>
        <w:jc w:val="left"/>
        <w:shd w:val="clear" w:fill="F2F2F2"/>
      </w:pPr>
      <w:r>
        <w:rPr>
          <w:rFonts w:ascii="Consolas" w:hAnsi="Consolas" w:cs="Consolas"/>
          <w:b w:val="0"/>
          <w:i w:val="0"/>
          <w:sz w:val="15"/>
        </w:rPr>
        <w:t xml:space="preserve">    xmlns:pdf="http://ns.adobe.com/pdf/1.3/"</w:t>
      </w:r>
    </w:p>
    <w:p>
      <w:pPr>
        <w:spacing w:after="0" w:before="0" w:line="240" w:lineRule="auto"/>
        <w:ind w:left="57"/>
        <w:jc w:val="left"/>
        <w:shd w:val="clear" w:fill="F2F2F2"/>
      </w:pPr>
      <w:r>
        <w:rPr>
          <w:rFonts w:ascii="Consolas" w:hAnsi="Consolas" w:cs="Consolas"/>
          <w:b w:val="0"/>
          <w:i w:val="0"/>
          <w:sz w:val="15"/>
        </w:rPr>
        <w:t xml:space="preserve">    xmlns:sgtx="http://sgtx.io/xmp/1.0/"&gt;</w:t>
      </w:r>
    </w:p>
    <w:p>
      <w:pPr>
        <w:spacing w:after="0" w:before="0" w:line="240" w:lineRule="auto"/>
        <w:ind w:left="57"/>
        <w:jc w:val="left"/>
        <w:shd w:val="clear" w:fill="F2F2F2"/>
      </w:pPr>
      <w:r>
        <w:rPr>
          <w:rFonts w:ascii="Consolas" w:hAnsi="Consolas" w:cs="Consolas"/>
          <w:b w:val="0"/>
          <w:i w:val="0"/>
          <w:sz w:val="15"/>
        </w:rPr>
        <w:t xml:space="preserve">    &lt;dc:title&gt;</w:t>
      </w:r>
    </w:p>
    <w:p>
      <w:pPr>
        <w:spacing w:after="0" w:before="0" w:line="240" w:lineRule="auto"/>
        <w:ind w:left="57"/>
        <w:jc w:val="left"/>
        <w:shd w:val="clear" w:fill="F2F2F2"/>
      </w:pPr>
      <w:r>
        <w:rPr>
          <w:rFonts w:ascii="Consolas" w:hAnsi="Consolas" w:cs="Consolas"/>
          <w:b w:val="0"/>
          <w:i w:val="0"/>
          <w:sz w:val="15"/>
        </w:rPr>
        <w:t xml:space="preserve">      &lt;rdf:Alt&gt;</w:t>
      </w:r>
    </w:p>
    <w:p>
      <w:pPr>
        <w:spacing w:after="0" w:before="0" w:line="240" w:lineRule="auto"/>
        <w:ind w:left="57"/>
        <w:jc w:val="left"/>
        <w:shd w:val="clear" w:fill="F2F2F2"/>
      </w:pPr>
      <w:r>
        <w:rPr>
          <w:rFonts w:ascii="Consolas" w:hAnsi="Consolas" w:cs="Consolas"/>
          <w:b w:val="0"/>
          <w:i w:val="0"/>
          <w:sz w:val="15"/>
        </w:rPr>
        <w:t xml:space="preserve">        &lt;rdf:li xml:lang="en"&gt;Commercial Invoice&lt;/rdf:li&gt;</w:t>
      </w:r>
    </w:p>
    <w:p>
      <w:pPr>
        <w:spacing w:after="0" w:before="0" w:line="240" w:lineRule="auto"/>
        <w:ind w:left="57"/>
        <w:jc w:val="left"/>
        <w:shd w:val="clear" w:fill="F2F2F2"/>
      </w:pPr>
      <w:r>
        <w:rPr>
          <w:rFonts w:ascii="Consolas" w:hAnsi="Consolas" w:cs="Consolas"/>
          <w:b w:val="0"/>
          <w:i w:val="0"/>
          <w:sz w:val="15"/>
        </w:rPr>
        <w:t xml:space="preserve">        &lt;rdf:li xml:lang="ar"&gt;فاتورة تجارية&lt;/rdf:li&gt;</w:t>
      </w:r>
    </w:p>
    <w:p>
      <w:pPr>
        <w:spacing w:after="0" w:before="0" w:line="240" w:lineRule="auto"/>
        <w:ind w:left="57"/>
        <w:jc w:val="left"/>
        <w:shd w:val="clear" w:fill="F2F2F2"/>
      </w:pPr>
      <w:r>
        <w:rPr>
          <w:rFonts w:ascii="Consolas" w:hAnsi="Consolas" w:cs="Consolas"/>
          <w:b w:val="0"/>
          <w:i w:val="0"/>
          <w:sz w:val="15"/>
        </w:rPr>
        <w:t xml:space="preserve">      &lt;/rdf:Alt&gt;</w:t>
      </w:r>
    </w:p>
    <w:p>
      <w:pPr>
        <w:spacing w:after="0" w:before="0" w:line="240" w:lineRule="auto"/>
        <w:ind w:left="57"/>
        <w:jc w:val="left"/>
        <w:shd w:val="clear" w:fill="F2F2F2"/>
      </w:pPr>
      <w:r>
        <w:rPr>
          <w:rFonts w:ascii="Consolas" w:hAnsi="Consolas" w:cs="Consolas"/>
          <w:b w:val="0"/>
          <w:i w:val="0"/>
          <w:sz w:val="15"/>
        </w:rPr>
        <w:t xml:space="preserve">    &lt;/dc:title&gt;</w:t>
      </w:r>
    </w:p>
    <w:p>
      <w:pPr>
        <w:spacing w:after="0" w:before="0" w:line="240" w:lineRule="auto"/>
        <w:ind w:left="57"/>
        <w:jc w:val="left"/>
        <w:shd w:val="clear" w:fill="F2F2F2"/>
      </w:pPr>
      <w:r>
        <w:rPr>
          <w:rFonts w:ascii="Consolas" w:hAnsi="Consolas" w:cs="Consolas"/>
          <w:b w:val="0"/>
          <w:i w:val="0"/>
          <w:sz w:val="15"/>
        </w:rPr>
        <w:t xml:space="preserve">    &lt;dc:description&gt;</w:t>
      </w:r>
    </w:p>
    <w:p>
      <w:pPr>
        <w:spacing w:after="0" w:before="0" w:line="240" w:lineRule="auto"/>
        <w:ind w:left="57"/>
        <w:jc w:val="left"/>
        <w:shd w:val="clear" w:fill="F2F2F2"/>
      </w:pPr>
      <w:r>
        <w:rPr>
          <w:rFonts w:ascii="Consolas" w:hAnsi="Consolas" w:cs="Consolas"/>
          <w:b w:val="0"/>
          <w:i w:val="0"/>
          <w:sz w:val="15"/>
        </w:rPr>
        <w:t xml:space="preserve">      &lt;rdf:Alt&gt;</w:t>
      </w:r>
    </w:p>
    <w:p>
      <w:pPr>
        <w:spacing w:after="0" w:before="0" w:line="240" w:lineRule="auto"/>
        <w:ind w:left="57"/>
        <w:jc w:val="left"/>
        <w:shd w:val="clear" w:fill="F2F2F2"/>
      </w:pPr>
      <w:r>
        <w:rPr>
          <w:rFonts w:ascii="Consolas" w:hAnsi="Consolas" w:cs="Consolas"/>
          <w:b w:val="0"/>
          <w:i w:val="0"/>
          <w:sz w:val="15"/>
        </w:rPr>
        <w:t xml:space="preserve">        &lt;rdf:li xml:lang="en"&gt;Commercial Invoice for USTN SGTX-EG-26-F3A-1&lt;/rdf:li&gt;</w:t>
      </w:r>
    </w:p>
    <w:p>
      <w:pPr>
        <w:spacing w:after="0" w:before="0" w:line="240" w:lineRule="auto"/>
        <w:ind w:left="57"/>
        <w:jc w:val="left"/>
        <w:shd w:val="clear" w:fill="F2F2F2"/>
      </w:pPr>
      <w:r>
        <w:rPr>
          <w:rFonts w:ascii="Consolas" w:hAnsi="Consolas" w:cs="Consolas"/>
          <w:b w:val="0"/>
          <w:i w:val="0"/>
          <w:sz w:val="15"/>
        </w:rPr>
        <w:t xml:space="preserve">      &lt;/rdf:Alt&gt;</w:t>
      </w:r>
    </w:p>
    <w:p>
      <w:pPr>
        <w:spacing w:after="0" w:before="0" w:line="240" w:lineRule="auto"/>
        <w:ind w:left="57"/>
        <w:jc w:val="left"/>
        <w:shd w:val="clear" w:fill="F2F2F2"/>
      </w:pPr>
      <w:r>
        <w:rPr>
          <w:rFonts w:ascii="Consolas" w:hAnsi="Consolas" w:cs="Consolas"/>
          <w:b w:val="0"/>
          <w:i w:val="0"/>
          <w:sz w:val="15"/>
        </w:rPr>
        <w:t xml:space="preserve">    &lt;/dc:description&gt;</w:t>
      </w:r>
    </w:p>
    <w:p>
      <w:pPr>
        <w:spacing w:after="0" w:before="0" w:line="240" w:lineRule="auto"/>
        <w:ind w:left="57"/>
        <w:jc w:val="left"/>
        <w:shd w:val="clear" w:fill="F2F2F2"/>
      </w:pPr>
      <w:r>
        <w:rPr>
          <w:rFonts w:ascii="Consolas" w:hAnsi="Consolas" w:cs="Consolas"/>
          <w:b w:val="0"/>
          <w:i w:val="0"/>
          <w:sz w:val="15"/>
        </w:rPr>
        <w:t xml:space="preserve">    &lt;dc:date&gt;2026-06-20&lt;/dc:date&gt;</w:t>
      </w:r>
    </w:p>
    <w:p>
      <w:pPr>
        <w:spacing w:after="0" w:before="0" w:line="240" w:lineRule="auto"/>
        <w:ind w:left="57"/>
        <w:jc w:val="left"/>
        <w:shd w:val="clear" w:fill="F2F2F2"/>
      </w:pPr>
      <w:r>
        <w:rPr>
          <w:rFonts w:ascii="Consolas" w:hAnsi="Consolas" w:cs="Consolas"/>
          <w:b w:val="0"/>
          <w:i w:val="0"/>
          <w:sz w:val="15"/>
        </w:rPr>
        <w:t xml:space="preserve">    &lt;xmp:CreateDate&gt;2026-06-20T10:30:00Z&lt;/xmp:CreateDate&gt;</w:t>
      </w:r>
    </w:p>
    <w:p>
      <w:pPr>
        <w:spacing w:after="0" w:before="0" w:line="240" w:lineRule="auto"/>
        <w:ind w:left="57"/>
        <w:jc w:val="left"/>
        <w:shd w:val="clear" w:fill="F2F2F2"/>
      </w:pPr>
      <w:r>
        <w:rPr>
          <w:rFonts w:ascii="Consolas" w:hAnsi="Consolas" w:cs="Consolas"/>
          <w:b w:val="0"/>
          <w:i w:val="0"/>
          <w:sz w:val="15"/>
        </w:rPr>
        <w:t xml:space="preserve">    &lt;xmp:ModifyDate&gt;2026-06-20T10:30:00Z&lt;/xmp:ModifyDate&gt;</w:t>
      </w:r>
    </w:p>
    <w:p>
      <w:pPr>
        <w:spacing w:after="0" w:before="0" w:line="240" w:lineRule="auto"/>
        <w:ind w:left="57"/>
        <w:jc w:val="left"/>
        <w:shd w:val="clear" w:fill="F2F2F2"/>
      </w:pPr>
      <w:r>
        <w:rPr>
          <w:rFonts w:ascii="Consolas" w:hAnsi="Consolas" w:cs="Consolas"/>
          <w:b w:val="0"/>
          <w:i w:val="0"/>
          <w:sz w:val="15"/>
        </w:rPr>
        <w:t xml:space="preserve">    &lt;pdf:Producer&gt;SGTX Platform&lt;/pdf:Producer&gt;</w:t>
      </w:r>
    </w:p>
    <w:p>
      <w:pPr>
        <w:spacing w:after="0" w:before="0" w:line="240" w:lineRule="auto"/>
        <w:ind w:left="57"/>
        <w:jc w:val="left"/>
        <w:shd w:val="clear" w:fill="F2F2F2"/>
      </w:pPr>
      <w:r>
        <w:rPr>
          <w:rFonts w:ascii="Consolas" w:hAnsi="Consolas" w:cs="Consolas"/>
          <w:b w:val="0"/>
          <w:i w:val="0"/>
          <w:sz w:val="15"/>
        </w:rPr>
        <w:t xml:space="preserve">    &lt;pdf:Keywords&gt;USTN, Invoice, Trade&lt;/pdf:Keywords&gt;</w:t>
      </w:r>
    </w:p>
    <w:p>
      <w:pPr>
        <w:spacing w:after="0" w:before="0" w:line="240" w:lineRule="auto"/>
        <w:ind w:left="57"/>
        <w:jc w:val="left"/>
        <w:shd w:val="clear" w:fill="F2F2F2"/>
      </w:pPr>
      <w:r>
        <w:rPr>
          <w:rFonts w:ascii="Consolas" w:hAnsi="Consolas" w:cs="Consolas"/>
          <w:b w:val="0"/>
          <w:i w:val="0"/>
          <w:sz w:val="15"/>
        </w:rPr>
        <w:t xml:space="preserve">    &lt;!-- SGTX custom metadata --&gt;</w:t>
      </w:r>
    </w:p>
    <w:p>
      <w:pPr>
        <w:spacing w:after="0" w:before="0" w:line="240" w:lineRule="auto"/>
        <w:ind w:left="57"/>
        <w:jc w:val="left"/>
        <w:shd w:val="clear" w:fill="F2F2F2"/>
      </w:pPr>
      <w:r>
        <w:rPr>
          <w:rFonts w:ascii="Consolas" w:hAnsi="Consolas" w:cs="Consolas"/>
          <w:b w:val="0"/>
          <w:i w:val="0"/>
          <w:sz w:val="15"/>
        </w:rPr>
        <w:t xml:space="preserve">    &lt;sgtx:USTN&gt;SGTX-EG-26-F3A-1&lt;/sgtx:USTN&gt;</w:t>
      </w:r>
    </w:p>
    <w:p>
      <w:pPr>
        <w:spacing w:after="0" w:before="0" w:line="240" w:lineRule="auto"/>
        <w:ind w:left="57"/>
        <w:jc w:val="left"/>
        <w:shd w:val="clear" w:fill="F2F2F2"/>
      </w:pPr>
      <w:r>
        <w:rPr>
          <w:rFonts w:ascii="Consolas" w:hAnsi="Consolas" w:cs="Consolas"/>
          <w:b w:val="0"/>
          <w:i w:val="0"/>
          <w:sz w:val="15"/>
        </w:rPr>
        <w:t xml:space="preserve">    &lt;sgtx:DocumentType&gt;COMMERCIAL_INVOICE&lt;/sgtx:DocumentType&gt;</w:t>
      </w:r>
    </w:p>
    <w:p>
      <w:pPr>
        <w:spacing w:after="0" w:before="0" w:line="240" w:lineRule="auto"/>
        <w:ind w:left="57"/>
        <w:jc w:val="left"/>
        <w:shd w:val="clear" w:fill="F2F2F2"/>
      </w:pPr>
      <w:r>
        <w:rPr>
          <w:rFonts w:ascii="Consolas" w:hAnsi="Consolas" w:cs="Consolas"/>
          <w:b w:val="0"/>
          <w:i w:val="0"/>
          <w:sz w:val="15"/>
        </w:rPr>
        <w:t xml:space="preserve">    &lt;sgtx:DocumentID&gt;INV-STR-2026-001&lt;/sgtx:DocumentID&gt;</w:t>
      </w:r>
    </w:p>
    <w:p>
      <w:pPr>
        <w:spacing w:after="0" w:before="0" w:line="240" w:lineRule="auto"/>
        <w:ind w:left="57"/>
        <w:jc w:val="left"/>
        <w:shd w:val="clear" w:fill="F2F2F2"/>
      </w:pPr>
      <w:r>
        <w:rPr>
          <w:rFonts w:ascii="Consolas" w:hAnsi="Consolas" w:cs="Consolas"/>
          <w:b w:val="0"/>
          <w:i w:val="0"/>
          <w:sz w:val="15"/>
        </w:rPr>
        <w:t xml:space="preserve">    &lt;sgtx:SHA256&gt;sha256:abc123...&lt;/sgtx:SHA256&gt;</w:t>
      </w:r>
    </w:p>
    <w:p>
      <w:pPr>
        <w:spacing w:after="0" w:before="0" w:line="240" w:lineRule="auto"/>
        <w:ind w:left="57"/>
        <w:jc w:val="left"/>
        <w:shd w:val="clear" w:fill="F2F2F2"/>
      </w:pPr>
      <w:r>
        <w:rPr>
          <w:rFonts w:ascii="Consolas" w:hAnsi="Consolas" w:cs="Consolas"/>
          <w:b w:val="0"/>
          <w:i w:val="0"/>
          <w:sz w:val="15"/>
        </w:rPr>
        <w:t xml:space="preserve">    &lt;sgtx:LoomHash&gt;sha256:def456...&lt;/sgtx:LoomHash&gt;</w:t>
      </w:r>
    </w:p>
    <w:p>
      <w:pPr>
        <w:spacing w:after="0" w:before="0" w:line="240" w:lineRule="auto"/>
        <w:ind w:left="57"/>
        <w:jc w:val="left"/>
        <w:shd w:val="clear" w:fill="F2F2F2"/>
      </w:pPr>
      <w:r>
        <w:rPr>
          <w:rFonts w:ascii="Consolas" w:hAnsi="Consolas" w:cs="Consolas"/>
          <w:b w:val="0"/>
          <w:i w:val="0"/>
          <w:sz w:val="15"/>
        </w:rPr>
        <w:t xml:space="preserve">    &lt;sgtx:Version&gt;1.0&lt;/sgtx:Version&gt;</w:t>
      </w:r>
    </w:p>
    <w:p>
      <w:pPr>
        <w:spacing w:after="0" w:before="0" w:line="240" w:lineRule="auto"/>
        <w:ind w:left="57"/>
        <w:jc w:val="left"/>
        <w:shd w:val="clear" w:fill="F2F2F2"/>
      </w:pPr>
      <w:r>
        <w:rPr>
          <w:rFonts w:ascii="Consolas" w:hAnsi="Consolas" w:cs="Consolas"/>
          <w:b w:val="0"/>
          <w:i w:val="0"/>
          <w:sz w:val="15"/>
        </w:rPr>
        <w:t xml:space="preserve">    &lt;sgtx:IssuerGTID&gt;SGTX-EG-TRD-002139-7F3A&lt;/sgtx:IssuerGTID&gt;</w:t>
      </w:r>
    </w:p>
    <w:p>
      <w:pPr>
        <w:spacing w:after="0" w:before="0" w:line="240" w:lineRule="auto"/>
        <w:ind w:left="57"/>
        <w:jc w:val="left"/>
        <w:shd w:val="clear" w:fill="F2F2F2"/>
      </w:pPr>
      <w:r>
        <w:rPr>
          <w:rFonts w:ascii="Consolas" w:hAnsi="Consolas" w:cs="Consolas"/>
          <w:b w:val="0"/>
          <w:i w:val="0"/>
          <w:sz w:val="15"/>
        </w:rPr>
        <w:t xml:space="preserve">    &lt;sgtx:SignatureType&gt;Ed25519&lt;/sgtx:SignatureType&gt;</w:t>
      </w:r>
    </w:p>
    <w:p>
      <w:pPr>
        <w:spacing w:after="0" w:before="0" w:line="240" w:lineRule="auto"/>
        <w:ind w:left="57"/>
        <w:jc w:val="left"/>
        <w:shd w:val="clear" w:fill="F2F2F2"/>
      </w:pPr>
      <w:r>
        <w:rPr>
          <w:rFonts w:ascii="Consolas" w:hAnsi="Consolas" w:cs="Consolas"/>
          <w:b w:val="0"/>
          <w:i w:val="0"/>
          <w:sz w:val="15"/>
        </w:rPr>
        <w:t xml:space="preserve">    &lt;sgtx:Signature&gt;base64...&lt;/sgtx:Signature&gt;</w:t>
      </w:r>
    </w:p>
    <w:p>
      <w:pPr>
        <w:spacing w:after="0" w:before="0" w:line="240" w:lineRule="auto"/>
        <w:ind w:left="57"/>
        <w:jc w:val="left"/>
        <w:shd w:val="clear" w:fill="F2F2F2"/>
      </w:pPr>
      <w:r>
        <w:rPr>
          <w:rFonts w:ascii="Consolas" w:hAnsi="Consolas" w:cs="Consolas"/>
          <w:b w:val="0"/>
          <w:i w:val="0"/>
          <w:sz w:val="15"/>
        </w:rPr>
        <w:t xml:space="preserve">  &lt;/rdf:Description&gt;</w:t>
      </w:r>
    </w:p>
    <w:p>
      <w:pPr>
        <w:spacing w:after="0" w:before="0" w:line="240" w:lineRule="auto"/>
        <w:ind w:left="57"/>
        <w:jc w:val="left"/>
        <w:shd w:val="clear" w:fill="F2F2F2"/>
      </w:pPr>
      <w:r>
        <w:rPr>
          <w:rFonts w:ascii="Consolas" w:hAnsi="Consolas" w:cs="Consolas"/>
          <w:b w:val="0"/>
          <w:i w:val="0"/>
          <w:sz w:val="15"/>
        </w:rPr>
        <w:t>&lt;/rdf:RDF&gt;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8.12.6 UI — Archival Validation</w:t>
      </w:r>
    </w:p>
    <w:p>
      <w:pPr>
        <w:spacing w:after="0" w:before="0" w:line="240" w:lineRule="auto"/>
        <w:ind w:left="57"/>
        <w:jc w:val="left"/>
        <w:shd w:val="clear" w:fill="F2F2F2"/>
      </w:pPr>
      <w:r>
        <w:rPr>
          <w:rFonts w:ascii="Consolas" w:hAnsi="Consolas" w:cs="Consolas"/>
          <w:b w:val="0"/>
          <w:i w:val="0"/>
          <w:sz w:val="15"/>
        </w:rPr>
        <w:t>DOCUMENT ARCHIVAL — Commercial Invoice</w:t>
      </w:r>
    </w:p>
    <w:p>
      <w:pPr>
        <w:spacing w:after="0" w:before="0" w:line="240" w:lineRule="auto"/>
        <w:ind w:left="57"/>
        <w:jc w:val="left"/>
        <w:shd w:val="clear" w:fill="F2F2F2"/>
      </w:pPr>
      <w:r>
        <w:rPr>
          <w:rFonts w:ascii="Consolas" w:hAnsi="Consolas" w:cs="Consolas"/>
          <w:b w:val="0"/>
          <w:i w:val="0"/>
          <w:sz w:val="15"/>
        </w:rPr>
        <w:t>Document ID: INV-STR-2026-001</w:t>
      </w:r>
    </w:p>
    <w:p>
      <w:pPr>
        <w:spacing w:after="0" w:before="0" w:line="240" w:lineRule="auto"/>
        <w:ind w:left="57"/>
        <w:jc w:val="left"/>
        <w:shd w:val="clear" w:fill="F2F2F2"/>
      </w:pPr>
      <w:r>
        <w:rPr>
          <w:rFonts w:ascii="Consolas" w:hAnsi="Consolas" w:cs="Consolas"/>
          <w:b w:val="0"/>
          <w:i w:val="0"/>
          <w:sz w:val="15"/>
        </w:rPr>
        <w:t>USTN: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PDF/A-3 Status:</w:t>
      </w:r>
    </w:p>
    <w:p>
      <w:pPr>
        <w:spacing w:after="0" w:before="0" w:line="240" w:lineRule="auto"/>
        <w:ind w:left="57"/>
        <w:jc w:val="left"/>
        <w:shd w:val="clear" w:fill="F2F2F2"/>
      </w:pPr>
      <w:r>
        <w:rPr>
          <w:rFonts w:ascii="Consolas" w:hAnsi="Consolas" w:cs="Consolas"/>
          <w:b w:val="0"/>
          <w:i w:val="0"/>
          <w:sz w:val="15"/>
        </w:rPr>
        <w:t xml:space="preserve">  PDF/A-3 Compliant (Level B)</w:t>
      </w:r>
    </w:p>
    <w:p>
      <w:pPr>
        <w:spacing w:after="0" w:before="0" w:line="240" w:lineRule="auto"/>
        <w:ind w:left="57"/>
        <w:jc w:val="left"/>
        <w:shd w:val="clear" w:fill="F2F2F2"/>
      </w:pPr>
      <w:r>
        <w:rPr>
          <w:rFonts w:ascii="Consolas" w:hAnsi="Consolas" w:cs="Consolas"/>
          <w:b w:val="0"/>
          <w:i w:val="0"/>
          <w:sz w:val="15"/>
        </w:rPr>
        <w:t xml:space="preserve">  Verified: 2026-06-20 10:31:00 UTC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Validation Details:</w:t>
      </w:r>
    </w:p>
    <w:p>
      <w:pPr>
        <w:spacing w:after="0" w:before="0" w:line="240" w:lineRule="auto"/>
        <w:ind w:left="57"/>
        <w:jc w:val="left"/>
        <w:shd w:val="clear" w:fill="F2F2F2"/>
      </w:pPr>
      <w:r>
        <w:rPr>
          <w:rFonts w:ascii="Consolas" w:hAnsi="Consolas" w:cs="Consolas"/>
          <w:b w:val="0"/>
          <w:i w:val="0"/>
          <w:sz w:val="15"/>
        </w:rPr>
        <w:t xml:space="preserve">  - All fonts embedded</w:t>
      </w:r>
    </w:p>
    <w:p>
      <w:pPr>
        <w:spacing w:after="0" w:before="0" w:line="240" w:lineRule="auto"/>
        <w:ind w:left="57"/>
        <w:jc w:val="left"/>
        <w:shd w:val="clear" w:fill="F2F2F2"/>
      </w:pPr>
      <w:r>
        <w:rPr>
          <w:rFonts w:ascii="Consolas" w:hAnsi="Consolas" w:cs="Consolas"/>
          <w:b w:val="0"/>
          <w:i w:val="0"/>
          <w:sz w:val="15"/>
        </w:rPr>
        <w:t xml:space="preserve">  - Colour spaces device-independent</w:t>
      </w:r>
    </w:p>
    <w:p>
      <w:pPr>
        <w:spacing w:after="0" w:before="0" w:line="240" w:lineRule="auto"/>
        <w:ind w:left="57"/>
        <w:jc w:val="left"/>
        <w:shd w:val="clear" w:fill="F2F2F2"/>
      </w:pPr>
      <w:r>
        <w:rPr>
          <w:rFonts w:ascii="Consolas" w:hAnsi="Consolas" w:cs="Consolas"/>
          <w:b w:val="0"/>
          <w:i w:val="0"/>
          <w:sz w:val="15"/>
        </w:rPr>
        <w:t xml:space="preserve">  - Metadata present</w:t>
      </w:r>
    </w:p>
    <w:p>
      <w:pPr>
        <w:spacing w:after="0" w:before="0" w:line="240" w:lineRule="auto"/>
        <w:ind w:left="57"/>
        <w:jc w:val="left"/>
        <w:shd w:val="clear" w:fill="F2F2F2"/>
      </w:pPr>
      <w:r>
        <w:rPr>
          <w:rFonts w:ascii="Consolas" w:hAnsi="Consolas" w:cs="Consolas"/>
          <w:b w:val="0"/>
          <w:i w:val="0"/>
          <w:sz w:val="15"/>
        </w:rPr>
        <w:t xml:space="preserve">  - Digital signature visible</w:t>
      </w:r>
    </w:p>
    <w:p>
      <w:pPr>
        <w:spacing w:after="0" w:before="0" w:line="240" w:lineRule="auto"/>
        <w:ind w:left="57"/>
        <w:jc w:val="left"/>
        <w:shd w:val="clear" w:fill="F2F2F2"/>
      </w:pPr>
      <w:r>
        <w:rPr>
          <w:rFonts w:ascii="Consolas" w:hAnsi="Consolas" w:cs="Consolas"/>
          <w:b w:val="0"/>
          <w:i w:val="0"/>
          <w:sz w:val="15"/>
        </w:rPr>
        <w:t xml:space="preserve">  - Loom hash embedded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Archival Metadata:</w:t>
      </w:r>
    </w:p>
    <w:p>
      <w:pPr>
        <w:spacing w:after="0" w:before="0" w:line="240" w:lineRule="auto"/>
        <w:ind w:left="57"/>
        <w:jc w:val="left"/>
        <w:shd w:val="clear" w:fill="F2F2F2"/>
      </w:pPr>
      <w:r>
        <w:rPr>
          <w:rFonts w:ascii="Consolas" w:hAnsi="Consolas" w:cs="Consolas"/>
          <w:b w:val="0"/>
          <w:i w:val="0"/>
          <w:sz w:val="15"/>
        </w:rPr>
        <w:t xml:space="preserve">  - Document Type: COMMERCIAL_INVOICE</w:t>
      </w:r>
    </w:p>
    <w:p>
      <w:pPr>
        <w:spacing w:after="0" w:before="0" w:line="240" w:lineRule="auto"/>
        <w:ind w:left="57"/>
        <w:jc w:val="left"/>
        <w:shd w:val="clear" w:fill="F2F2F2"/>
      </w:pPr>
      <w:r>
        <w:rPr>
          <w:rFonts w:ascii="Consolas" w:hAnsi="Consolas" w:cs="Consolas"/>
          <w:b w:val="0"/>
          <w:i w:val="0"/>
          <w:sz w:val="15"/>
        </w:rPr>
        <w:t xml:space="preserve">  - Issuer: Strawberry Export Co. (SGTX-EG-TRD-002139-7F3A)</w:t>
      </w:r>
    </w:p>
    <w:p>
      <w:pPr>
        <w:spacing w:after="0" w:before="0" w:line="240" w:lineRule="auto"/>
        <w:ind w:left="57"/>
        <w:jc w:val="left"/>
        <w:shd w:val="clear" w:fill="F2F2F2"/>
      </w:pPr>
      <w:r>
        <w:rPr>
          <w:rFonts w:ascii="Consolas" w:hAnsi="Consolas" w:cs="Consolas"/>
          <w:b w:val="0"/>
          <w:i w:val="0"/>
          <w:sz w:val="15"/>
        </w:rPr>
        <w:t xml:space="preserve">  - SHA256: sha256:abc123...</w:t>
      </w:r>
    </w:p>
    <w:p>
      <w:pPr>
        <w:spacing w:after="0" w:before="0" w:line="240" w:lineRule="auto"/>
        <w:ind w:left="57"/>
        <w:jc w:val="left"/>
        <w:shd w:val="clear" w:fill="F2F2F2"/>
      </w:pPr>
      <w:r>
        <w:rPr>
          <w:rFonts w:ascii="Consolas" w:hAnsi="Consolas" w:cs="Consolas"/>
          <w:b w:val="0"/>
          <w:i w:val="0"/>
          <w:sz w:val="15"/>
        </w:rPr>
        <w:t xml:space="preserve">  - Loom Hash: sha256:def456...</w:t>
      </w:r>
    </w:p>
    <w:p>
      <w:pPr>
        <w:spacing w:after="0" w:before="0" w:line="240" w:lineRule="auto"/>
        <w:ind w:left="57"/>
        <w:jc w:val="left"/>
        <w:shd w:val="clear" w:fill="F2F2F2"/>
      </w:pPr>
      <w:r>
        <w:rPr>
          <w:rFonts w:ascii="Consolas" w:hAnsi="Consolas" w:cs="Consolas"/>
          <w:b w:val="0"/>
          <w:i w:val="0"/>
          <w:sz w:val="15"/>
        </w:rPr>
        <w:t xml:space="preserve">  - Signature Type: Ed25519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[Download PDF/A-3] [Download Standard PDF] [Verify Loom Hash]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The PDF/A-3 version is the archival copy. Use it for legal retention.</w:t>
      </w:r>
    </w:p>
    <w:p>
      <w:pPr>
        <w:spacing w:after="0" w:before="0" w:line="240" w:lineRule="auto"/>
        <w:ind w:left="57"/>
        <w:jc w:val="left"/>
        <w:shd w:val="clear" w:fill="F2F2F2"/>
      </w:pPr>
      <w:r>
        <w:rPr>
          <w:rFonts w:ascii="Consolas" w:hAnsi="Consolas" w:cs="Consolas"/>
          <w:b w:val="0"/>
          <w:i w:val="0"/>
          <w:sz w:val="15"/>
        </w:rPr>
        <w:t>The standard PDF is provided for compatibility with older readers.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8.12.7 Integration with Other Components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How Archival Flows</w:t>
            </w:r>
          </w:p>
        </w:tc>
      </w:tr>
      <w:tr>
        <w:tc>
          <w:tcPr>
            <w:tcW w:type="dxa" w:w="4819"/>
          </w:tcPr>
          <w:p>
            <w:pPr>
              <w:spacing w:after="20" w:before="20" w:line="240" w:lineRule="auto"/>
            </w:pPr>
            <w:r/>
            <w:r>
              <w:rPr>
                <w:rFonts w:ascii="Arial" w:hAnsi="Arial" w:cs="Arial"/>
                <w:b w:val="0"/>
                <w:i w:val="0"/>
                <w:sz w:val="17"/>
              </w:rPr>
              <w:t>Packing List (Section 8.5)</w:t>
            </w:r>
          </w:p>
        </w:tc>
        <w:tc>
          <w:tcPr>
            <w:tcW w:type="dxa" w:w="4819"/>
          </w:tcPr>
          <w:p>
            <w:pPr>
              <w:spacing w:after="20" w:before="20" w:line="240" w:lineRule="auto"/>
            </w:pPr>
            <w:r/>
            <w:r>
              <w:rPr>
                <w:rFonts w:ascii="Arial" w:hAnsi="Arial" w:cs="Arial"/>
                <w:b w:val="0"/>
                <w:i w:val="0"/>
                <w:sz w:val="17"/>
              </w:rPr>
              <w:t>PDF/A-3 version generated</w:t>
            </w:r>
          </w:p>
        </w:tc>
      </w:tr>
      <w:tr>
        <w:tc>
          <w:tcPr>
            <w:tcW w:type="dxa" w:w="4819"/>
          </w:tcPr>
          <w:p>
            <w:pPr>
              <w:spacing w:after="20" w:before="20" w:line="240" w:lineRule="auto"/>
            </w:pPr>
            <w:r/>
            <w:r>
              <w:rPr>
                <w:rFonts w:ascii="Arial" w:hAnsi="Arial" w:cs="Arial"/>
                <w:b w:val="0"/>
                <w:i w:val="0"/>
                <w:sz w:val="17"/>
              </w:rPr>
              <w:t>Invoice (Section 8.8)</w:t>
            </w:r>
          </w:p>
        </w:tc>
        <w:tc>
          <w:tcPr>
            <w:tcW w:type="dxa" w:w="4819"/>
          </w:tcPr>
          <w:p>
            <w:pPr>
              <w:spacing w:after="20" w:before="20" w:line="240" w:lineRule="auto"/>
            </w:pPr>
            <w:r/>
            <w:r>
              <w:rPr>
                <w:rFonts w:ascii="Arial" w:hAnsi="Arial" w:cs="Arial"/>
                <w:b w:val="0"/>
                <w:i w:val="0"/>
                <w:sz w:val="17"/>
              </w:rPr>
              <w:t>PDF/A-3 version generated</w:t>
            </w:r>
          </w:p>
        </w:tc>
      </w:tr>
      <w:tr>
        <w:tc>
          <w:tcPr>
            <w:tcW w:type="dxa" w:w="4819"/>
          </w:tcPr>
          <w:p>
            <w:pPr>
              <w:spacing w:after="20" w:before="20" w:line="240" w:lineRule="auto"/>
            </w:pPr>
            <w:r/>
            <w:r>
              <w:rPr>
                <w:rFonts w:ascii="Arial" w:hAnsi="Arial" w:cs="Arial"/>
                <w:b w:val="0"/>
                <w:i w:val="0"/>
                <w:sz w:val="17"/>
              </w:rPr>
              <w:t>Customs Declaration (Section 8.9)</w:t>
            </w:r>
          </w:p>
        </w:tc>
        <w:tc>
          <w:tcPr>
            <w:tcW w:type="dxa" w:w="4819"/>
          </w:tcPr>
          <w:p>
            <w:pPr>
              <w:spacing w:after="20" w:before="20" w:line="240" w:lineRule="auto"/>
            </w:pPr>
            <w:r/>
            <w:r>
              <w:rPr>
                <w:rFonts w:ascii="Arial" w:hAnsi="Arial" w:cs="Arial"/>
                <w:b w:val="0"/>
                <w:i w:val="0"/>
                <w:sz w:val="17"/>
              </w:rPr>
              <w:t>PDF/A-3 version generated</w:t>
            </w:r>
          </w:p>
        </w:tc>
      </w:tr>
      <w:tr>
        <w:tc>
          <w:tcPr>
            <w:tcW w:type="dxa" w:w="4819"/>
          </w:tcPr>
          <w:p>
            <w:pPr>
              <w:spacing w:after="20" w:before="20" w:line="240" w:lineRule="auto"/>
            </w:pPr>
            <w:r/>
            <w:r>
              <w:rPr>
                <w:rFonts w:ascii="Arial" w:hAnsi="Arial" w:cs="Arial"/>
                <w:b w:val="0"/>
                <w:i w:val="0"/>
                <w:sz w:val="17"/>
              </w:rPr>
              <w:t>Contract (Section 9)</w:t>
            </w:r>
          </w:p>
        </w:tc>
        <w:tc>
          <w:tcPr>
            <w:tcW w:type="dxa" w:w="4819"/>
          </w:tcPr>
          <w:p>
            <w:pPr>
              <w:spacing w:after="20" w:before="20" w:line="240" w:lineRule="auto"/>
            </w:pPr>
            <w:r/>
            <w:r>
              <w:rPr>
                <w:rFonts w:ascii="Arial" w:hAnsi="Arial" w:cs="Arial"/>
                <w:b w:val="0"/>
                <w:i w:val="0"/>
                <w:sz w:val="17"/>
              </w:rPr>
              <w:t>PDF/A-3 version generated</w:t>
            </w:r>
          </w:p>
        </w:tc>
      </w:tr>
      <w:tr>
        <w:tc>
          <w:tcPr>
            <w:tcW w:type="dxa" w:w="4819"/>
          </w:tcPr>
          <w:p>
            <w:pPr>
              <w:spacing w:after="20" w:before="20" w:line="240" w:lineRule="auto"/>
            </w:pPr>
            <w:r/>
            <w:r>
              <w:rPr>
                <w:rFonts w:ascii="Arial" w:hAnsi="Arial" w:cs="Arial"/>
                <w:b w:val="0"/>
                <w:i w:val="0"/>
                <w:sz w:val="17"/>
              </w:rPr>
              <w:t>Evidence Package (Section 14)</w:t>
            </w:r>
          </w:p>
        </w:tc>
        <w:tc>
          <w:tcPr>
            <w:tcW w:type="dxa" w:w="4819"/>
          </w:tcPr>
          <w:p>
            <w:pPr>
              <w:spacing w:after="20" w:before="20" w:line="240" w:lineRule="auto"/>
            </w:pPr>
            <w:r/>
            <w:r>
              <w:rPr>
                <w:rFonts w:ascii="Arial" w:hAnsi="Arial" w:cs="Arial"/>
                <w:b w:val="0"/>
                <w:i w:val="0"/>
                <w:sz w:val="17"/>
              </w:rPr>
              <w:t>PDF/A-3 version generated</w:t>
            </w:r>
          </w:p>
        </w:tc>
      </w:tr>
      <w:tr>
        <w:tc>
          <w:tcPr>
            <w:tcW w:type="dxa" w:w="4819"/>
          </w:tcPr>
          <w:p>
            <w:pPr>
              <w:spacing w:after="20" w:before="20" w:line="240" w:lineRule="auto"/>
            </w:pPr>
            <w:r/>
            <w:r>
              <w:rPr>
                <w:rFonts w:ascii="Arial" w:hAnsi="Arial" w:cs="Arial"/>
                <w:b w:val="0"/>
                <w:i w:val="0"/>
                <w:sz w:val="17"/>
              </w:rPr>
              <w:t>Settlement Statement (Section 13)</w:t>
            </w:r>
          </w:p>
        </w:tc>
        <w:tc>
          <w:tcPr>
            <w:tcW w:type="dxa" w:w="4819"/>
          </w:tcPr>
          <w:p>
            <w:pPr>
              <w:spacing w:after="20" w:before="20" w:line="240" w:lineRule="auto"/>
            </w:pPr>
            <w:r/>
            <w:r>
              <w:rPr>
                <w:rFonts w:ascii="Arial" w:hAnsi="Arial" w:cs="Arial"/>
                <w:b w:val="0"/>
                <w:i w:val="0"/>
                <w:sz w:val="17"/>
              </w:rPr>
              <w:t>PDF/A-3 version generated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8.12.8 Validation Gates (PDF/A-3)</w:t>
      </w:r>
    </w:p>
    <w:p>
      <w:pPr>
        <w:spacing w:after="80" w:line="293" w:lineRule="auto"/>
        <w:ind w:left="283"/>
        <w:jc w:val="left"/>
      </w:pPr>
      <w:r>
        <w:rPr>
          <w:rFonts w:ascii="Times New Roman" w:hAnsi="Times New Roman" w:cs="Times New Roman"/>
          <w:b w:val="0"/>
          <w:i w:val="0"/>
          <w:sz w:val="22"/>
        </w:rPr>
        <w:t>- Every legally significant document receives a PDF/A-3 archival copy.</w:t>
      </w:r>
    </w:p>
    <w:p>
      <w:pPr>
        <w:spacing w:after="80" w:line="293" w:lineRule="auto"/>
        <w:ind w:left="283"/>
        <w:jc w:val="left"/>
      </w:pPr>
      <w:r>
        <w:rPr>
          <w:rFonts w:ascii="Times New Roman" w:hAnsi="Times New Roman" w:cs="Times New Roman"/>
          <w:b w:val="0"/>
          <w:i w:val="0"/>
          <w:sz w:val="22"/>
        </w:rPr>
        <w:t>- Archival storage requires successful veraPDF validation; validation failures trigger the standard-PDF fallback with warning and are logged.</w:t>
      </w:r>
    </w:p>
    <w:p>
      <w:pPr>
        <w:spacing w:after="80" w:line="293" w:lineRule="auto"/>
        <w:ind w:left="283"/>
        <w:jc w:val="left"/>
      </w:pPr>
      <w:r>
        <w:rPr>
          <w:rFonts w:ascii="Times New Roman" w:hAnsi="Times New Roman" w:cs="Times New Roman"/>
          <w:b w:val="0"/>
          <w:i w:val="0"/>
          <w:sz w:val="22"/>
        </w:rPr>
        <w:t>- The archival copy records SHA256, Loom hash, USTN, document type, issuer GTID, and signature type.</w:t>
      </w:r>
    </w:p>
    <w:p>
      <w:pPr>
        <w:spacing w:after="80" w:line="293" w:lineRule="auto"/>
        <w:ind w:left="283"/>
        <w:jc w:val="left"/>
      </w:pPr>
      <w:r>
        <w:rPr>
          <w:rFonts w:ascii="Times New Roman" w:hAnsi="Times New Roman" w:cs="Times New Roman"/>
          <w:b w:val="0"/>
          <w:i w:val="0"/>
          <w:sz w:val="22"/>
        </w:rPr>
        <w:t>- Archival records are never overwritten; new document versions produce new archival records.</w:t>
      </w:r>
    </w:p>
    <w:p>
      <w:pPr>
        <w:keepNext/>
        <w:spacing w:before="180" w:after="80"/>
        <w:outlineLvl w:val="2"/>
      </w:pPr>
      <w:r>
        <w:rPr>
          <w:rFonts w:ascii="Arial" w:hAnsi="Arial" w:cs="Arial"/>
          <w:b/>
          <w:i w:val="0"/>
          <w:color w:val="333333"/>
          <w:sz w:val="23"/>
        </w:rPr>
        <w:t>8.12.9 Database Schema Additions</w:t>
      </w:r>
    </w:p>
    <w:p>
      <w:pPr>
        <w:spacing w:after="0" w:before="0" w:line="240" w:lineRule="auto"/>
        <w:ind w:left="57"/>
        <w:jc w:val="left"/>
        <w:shd w:val="clear" w:fill="F2F2F2"/>
      </w:pPr>
      <w:r>
        <w:rPr>
          <w:rFonts w:ascii="Consolas" w:hAnsi="Consolas" w:cs="Consolas"/>
          <w:b w:val="0"/>
          <w:i w:val="0"/>
          <w:sz w:val="15"/>
        </w:rPr>
        <w:t>-- PDF/A-3 archival records</w:t>
      </w:r>
    </w:p>
    <w:p>
      <w:pPr>
        <w:spacing w:after="0" w:before="0" w:line="240" w:lineRule="auto"/>
        <w:ind w:left="57"/>
        <w:jc w:val="left"/>
        <w:shd w:val="clear" w:fill="F2F2F2"/>
      </w:pPr>
      <w:r>
        <w:rPr>
          <w:rFonts w:ascii="Consolas" w:hAnsi="Consolas" w:cs="Consolas"/>
          <w:b w:val="0"/>
          <w:i w:val="0"/>
          <w:sz w:val="15"/>
        </w:rPr>
        <w:t>CREATE TABLE pdfa3_archival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document_id UUID NOT NULL REFERENCES documents(id) ON DELETE CASCADE,</w:t>
      </w:r>
    </w:p>
    <w:p>
      <w:pPr>
        <w:spacing w:after="0" w:before="0" w:line="240" w:lineRule="auto"/>
        <w:ind w:left="57"/>
        <w:jc w:val="left"/>
        <w:shd w:val="clear" w:fill="F2F2F2"/>
      </w:pPr>
      <w:r>
        <w:rPr>
          <w:rFonts w:ascii="Consolas" w:hAnsi="Consolas" w:cs="Consolas"/>
          <w:b w:val="0"/>
          <w:i w:val="0"/>
          <w:sz w:val="15"/>
        </w:rPr>
        <w:t xml:space="preserve">    pdfa3_url TEXT,</w:t>
      </w:r>
    </w:p>
    <w:p>
      <w:pPr>
        <w:spacing w:after="0" w:before="0" w:line="240" w:lineRule="auto"/>
        <w:ind w:left="57"/>
        <w:jc w:val="left"/>
        <w:shd w:val="clear" w:fill="F2F2F2"/>
      </w:pPr>
      <w:r>
        <w:rPr>
          <w:rFonts w:ascii="Consolas" w:hAnsi="Consolas" w:cs="Consolas"/>
          <w:b w:val="0"/>
          <w:i w:val="0"/>
          <w:sz w:val="15"/>
        </w:rPr>
        <w:t xml:space="preserve">    pdfa3_hash TEXT,</w:t>
      </w:r>
    </w:p>
    <w:p>
      <w:pPr>
        <w:spacing w:after="0" w:before="0" w:line="240" w:lineRule="auto"/>
        <w:ind w:left="57"/>
        <w:jc w:val="left"/>
        <w:shd w:val="clear" w:fill="F2F2F2"/>
      </w:pPr>
      <w:r>
        <w:rPr>
          <w:rFonts w:ascii="Consolas" w:hAnsi="Consolas" w:cs="Consolas"/>
          <w:b w:val="0"/>
          <w:i w:val="0"/>
          <w:sz w:val="15"/>
        </w:rPr>
        <w:t xml:space="preserve">    pdfa3_validated BOOLEAN DEFAULT false,</w:t>
      </w:r>
    </w:p>
    <w:p>
      <w:pPr>
        <w:spacing w:after="0" w:before="0" w:line="240" w:lineRule="auto"/>
        <w:ind w:left="57"/>
        <w:jc w:val="left"/>
        <w:shd w:val="clear" w:fill="F2F2F2"/>
      </w:pPr>
      <w:r>
        <w:rPr>
          <w:rFonts w:ascii="Consolas" w:hAnsi="Consolas" w:cs="Consolas"/>
          <w:b w:val="0"/>
          <w:i w:val="0"/>
          <w:sz w:val="15"/>
        </w:rPr>
        <w:t xml:space="preserve">    pdfa3_validation_report JSONB,</w:t>
      </w:r>
    </w:p>
    <w:p>
      <w:pPr>
        <w:spacing w:after="0" w:before="0" w:line="240" w:lineRule="auto"/>
        <w:ind w:left="57"/>
        <w:jc w:val="left"/>
        <w:shd w:val="clear" w:fill="F2F2F2"/>
      </w:pPr>
      <w:r>
        <w:rPr>
          <w:rFonts w:ascii="Consolas" w:hAnsi="Consolas" w:cs="Consolas"/>
          <w:b w:val="0"/>
          <w:i w:val="0"/>
          <w:sz w:val="15"/>
        </w:rPr>
        <w:t xml:space="preserve">    pdfa3_validated_at TIMESTAMPTZ,</w:t>
      </w:r>
    </w:p>
    <w:p>
      <w:pPr>
        <w:spacing w:after="0" w:before="0" w:line="240" w:lineRule="auto"/>
        <w:ind w:left="57"/>
        <w:jc w:val="left"/>
        <w:shd w:val="clear" w:fill="F2F2F2"/>
      </w:pPr>
      <w:r>
        <w:rPr>
          <w:rFonts w:ascii="Consolas" w:hAnsi="Consolas" w:cs="Consolas"/>
          <w:b w:val="0"/>
          <w:i w:val="0"/>
          <w:sz w:val="15"/>
        </w:rPr>
        <w:t xml:space="preserve">    standard_pdf_url TEXT, -- fallback</w:t>
      </w:r>
    </w:p>
    <w:p>
      <w:pPr>
        <w:spacing w:after="0" w:before="0" w:line="240" w:lineRule="auto"/>
        <w:ind w:left="57"/>
        <w:jc w:val="left"/>
        <w:shd w:val="clear" w:fill="F2F2F2"/>
      </w:pPr>
      <w:r>
        <w:rPr>
          <w:rFonts w:ascii="Consolas" w:hAnsi="Consolas" w:cs="Consolas"/>
          <w:b w:val="0"/>
          <w:i w:val="0"/>
          <w:sz w:val="15"/>
        </w:rPr>
        <w:t xml:space="preserve">    metadata_xmp TEXT,</w:t>
      </w:r>
    </w:p>
    <w:p>
      <w:pPr>
        <w:spacing w:after="0" w:before="0" w:line="240" w:lineRule="auto"/>
        <w:ind w:left="57"/>
        <w:jc w:val="left"/>
        <w:shd w:val="clear" w:fill="F2F2F2"/>
      </w:pPr>
      <w:r>
        <w:rPr>
          <w:rFonts w:ascii="Consolas" w:hAnsi="Consolas" w:cs="Consolas"/>
          <w:b w:val="0"/>
          <w:i w:val="0"/>
          <w:sz w:val="15"/>
        </w:rPr>
        <w:t xml:space="preserve">    digital_signature_visible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archived_at TIMESTAMPTZ DEFAULT NOW(),</w:t>
      </w:r>
    </w:p>
    <w:p>
      <w:pPr>
        <w:spacing w:after="0" w:before="0" w:line="240" w:lineRule="auto"/>
        <w:ind w:left="57"/>
        <w:jc w:val="left"/>
        <w:shd w:val="clear" w:fill="F2F2F2"/>
      </w:pPr>
      <w:r>
        <w:rPr>
          <w:rFonts w:ascii="Consolas" w:hAnsi="Consolas" w:cs="Consolas"/>
          <w:b w:val="0"/>
          <w:i w:val="0"/>
          <w:sz w:val="15"/>
        </w:rPr>
        <w:t xml:space="preserve">    archived_by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Archival validation logs</w:t>
      </w:r>
    </w:p>
    <w:p>
      <w:pPr>
        <w:spacing w:after="0" w:before="0" w:line="240" w:lineRule="auto"/>
        <w:ind w:left="57"/>
        <w:jc w:val="left"/>
        <w:shd w:val="clear" w:fill="F2F2F2"/>
      </w:pPr>
      <w:r>
        <w:rPr>
          <w:rFonts w:ascii="Consolas" w:hAnsi="Consolas" w:cs="Consolas"/>
          <w:b w:val="0"/>
          <w:i w:val="0"/>
          <w:sz w:val="15"/>
        </w:rPr>
        <w:t>CREATE TABLE pdfa3_validation_logs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archival_id UUID NOT NULL REFERENCES pdfa3_archival(id) ON DELETE CASCADE,</w:t>
      </w:r>
    </w:p>
    <w:p>
      <w:pPr>
        <w:spacing w:after="0" w:before="0" w:line="240" w:lineRule="auto"/>
        <w:ind w:left="57"/>
        <w:jc w:val="left"/>
        <w:shd w:val="clear" w:fill="F2F2F2"/>
      </w:pPr>
      <w:r>
        <w:rPr>
          <w:rFonts w:ascii="Consolas" w:hAnsi="Consolas" w:cs="Consolas"/>
          <w:b w:val="0"/>
          <w:i w:val="0"/>
          <w:sz w:val="15"/>
        </w:rPr>
        <w:t xml:space="preserve">    validator TEXT, -- 'verapdf', 'custom'</w:t>
      </w:r>
    </w:p>
    <w:p>
      <w:pPr>
        <w:spacing w:after="0" w:before="0" w:line="240" w:lineRule="auto"/>
        <w:ind w:left="57"/>
        <w:jc w:val="left"/>
        <w:shd w:val="clear" w:fill="F2F2F2"/>
      </w:pPr>
      <w:r>
        <w:rPr>
          <w:rFonts w:ascii="Consolas" w:hAnsi="Consolas" w:cs="Consolas"/>
          <w:b w:val="0"/>
          <w:i w:val="0"/>
          <w:sz w:val="15"/>
        </w:rPr>
        <w:t xml:space="preserve">    result BOOLEAN,</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validated_at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idx_pdfa3_archival_document ON pdfa3_archival(document_id);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idx_pdfa3_archival_archived_at ON pdfa3_archival(archived_at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idx_pdfa3_validation_logs_archival ON pdfa3_validation_logs(archival_id);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8.12.10 Implementation Checklist</w:t>
      </w:r>
    </w:p>
    <w:p>
      <w:pPr>
        <w:spacing w:after="80" w:line="293" w:lineRule="auto"/>
        <w:jc w:val="left"/>
      </w:pPr>
      <w:r>
        <w:rPr>
          <w:rFonts w:ascii="Times New Roman" w:hAnsi="Times New Roman" w:cs="Times New Roman"/>
          <w:b w:val="0"/>
          <w:i w:val="0"/>
          <w:sz w:val="22"/>
        </w:rPr>
        <w:t>Core generation:</w:t>
      </w:r>
    </w:p>
    <w:p>
      <w:pPr>
        <w:spacing w:after="80" w:line="293" w:lineRule="auto"/>
        <w:ind w:left="283"/>
        <w:jc w:val="left"/>
      </w:pPr>
      <w:r>
        <w:rPr>
          <w:rFonts w:ascii="Times New Roman" w:hAnsi="Times New Roman" w:cs="Times New Roman"/>
          <w:b w:val="0"/>
          <w:i w:val="0"/>
          <w:sz w:val="22"/>
        </w:rPr>
        <w:t>- Implement PDF/A-3 generation (Rust, pdf-writer + PDF/A-3 extension)</w:t>
      </w:r>
    </w:p>
    <w:p>
      <w:pPr>
        <w:spacing w:after="80" w:line="293" w:lineRule="auto"/>
        <w:ind w:left="283"/>
        <w:jc w:val="left"/>
      </w:pPr>
      <w:r>
        <w:rPr>
          <w:rFonts w:ascii="Times New Roman" w:hAnsi="Times New Roman" w:cs="Times New Roman"/>
          <w:b w:val="0"/>
          <w:i w:val="0"/>
          <w:sz w:val="22"/>
        </w:rPr>
        <w:t>- Implement font embedding</w:t>
      </w:r>
    </w:p>
    <w:p>
      <w:pPr>
        <w:spacing w:after="80" w:line="293" w:lineRule="auto"/>
        <w:ind w:left="283"/>
        <w:jc w:val="left"/>
      </w:pPr>
      <w:r>
        <w:rPr>
          <w:rFonts w:ascii="Times New Roman" w:hAnsi="Times New Roman" w:cs="Times New Roman"/>
          <w:b w:val="0"/>
          <w:i w:val="0"/>
          <w:sz w:val="22"/>
        </w:rPr>
        <w:t>- Implement colour space conversion</w:t>
      </w:r>
    </w:p>
    <w:p>
      <w:pPr>
        <w:spacing w:after="80" w:line="293" w:lineRule="auto"/>
        <w:ind w:left="283"/>
        <w:jc w:val="left"/>
      </w:pPr>
      <w:r>
        <w:rPr>
          <w:rFonts w:ascii="Times New Roman" w:hAnsi="Times New Roman" w:cs="Times New Roman"/>
          <w:b w:val="0"/>
          <w:i w:val="0"/>
          <w:sz w:val="22"/>
        </w:rPr>
        <w:t>- Implement XMP metadata embedding</w:t>
      </w:r>
    </w:p>
    <w:p>
      <w:pPr>
        <w:spacing w:after="80" w:line="293" w:lineRule="auto"/>
        <w:ind w:left="283"/>
        <w:jc w:val="left"/>
      </w:pPr>
      <w:r>
        <w:rPr>
          <w:rFonts w:ascii="Times New Roman" w:hAnsi="Times New Roman" w:cs="Times New Roman"/>
          <w:b w:val="0"/>
          <w:i w:val="0"/>
          <w:sz w:val="22"/>
        </w:rPr>
        <w:t>- Implement visible digital signature field</w:t>
      </w:r>
    </w:p>
    <w:p>
      <w:pPr>
        <w:spacing w:after="80" w:line="293" w:lineRule="auto"/>
        <w:ind w:left="283"/>
        <w:jc w:val="left"/>
      </w:pPr>
      <w:r>
        <w:rPr>
          <w:rFonts w:ascii="Times New Roman" w:hAnsi="Times New Roman" w:cs="Times New Roman"/>
          <w:b w:val="0"/>
          <w:i w:val="0"/>
          <w:sz w:val="22"/>
        </w:rPr>
        <w:t>- Implement Loom hash embedding</w:t>
      </w:r>
    </w:p>
    <w:p>
      <w:pPr>
        <w:spacing w:after="80" w:line="293" w:lineRule="auto"/>
        <w:jc w:val="left"/>
      </w:pPr>
      <w:r>
        <w:rPr>
          <w:rFonts w:ascii="Times New Roman" w:hAnsi="Times New Roman" w:cs="Times New Roman"/>
          <w:b w:val="0"/>
          <w:i w:val="0"/>
          <w:sz w:val="22"/>
        </w:rPr>
        <w:t>Validation:</w:t>
      </w:r>
    </w:p>
    <w:p>
      <w:pPr>
        <w:spacing w:after="80" w:line="293" w:lineRule="auto"/>
        <w:ind w:left="283"/>
        <w:jc w:val="left"/>
      </w:pPr>
      <w:r>
        <w:rPr>
          <w:rFonts w:ascii="Times New Roman" w:hAnsi="Times New Roman" w:cs="Times New Roman"/>
          <w:b w:val="0"/>
          <w:i w:val="0"/>
          <w:sz w:val="22"/>
        </w:rPr>
        <w:t>- Implement PDF/A-3 validation (veraPDF or custom)</w:t>
      </w:r>
    </w:p>
    <w:p>
      <w:pPr>
        <w:spacing w:after="80" w:line="293" w:lineRule="auto"/>
        <w:ind w:left="283"/>
        <w:jc w:val="left"/>
      </w:pPr>
      <w:r>
        <w:rPr>
          <w:rFonts w:ascii="Times New Roman" w:hAnsi="Times New Roman" w:cs="Times New Roman"/>
          <w:b w:val="0"/>
          <w:i w:val="0"/>
          <w:sz w:val="22"/>
        </w:rPr>
        <w:t>- Implement validation reporting</w:t>
      </w:r>
    </w:p>
    <w:p>
      <w:pPr>
        <w:spacing w:after="80" w:line="293" w:lineRule="auto"/>
        <w:ind w:left="283"/>
        <w:jc w:val="left"/>
      </w:pPr>
      <w:r>
        <w:rPr>
          <w:rFonts w:ascii="Times New Roman" w:hAnsi="Times New Roman" w:cs="Times New Roman"/>
          <w:b w:val="0"/>
          <w:i w:val="0"/>
          <w:sz w:val="22"/>
        </w:rPr>
        <w:t>- Implement fallback to standard PDF with warning</w:t>
      </w:r>
    </w:p>
    <w:p>
      <w:pPr>
        <w:spacing w:after="80" w:line="293" w:lineRule="auto"/>
        <w:ind w:left="283"/>
        <w:jc w:val="left"/>
      </w:pPr>
      <w:r>
        <w:rPr>
          <w:rFonts w:ascii="Times New Roman" w:hAnsi="Times New Roman" w:cs="Times New Roman"/>
          <w:b w:val="0"/>
          <w:i w:val="0"/>
          <w:sz w:val="22"/>
        </w:rPr>
        <w:t>- Implement validation logging</w:t>
      </w:r>
    </w:p>
    <w:p>
      <w:pPr>
        <w:spacing w:after="80" w:line="293" w:lineRule="auto"/>
        <w:jc w:val="left"/>
      </w:pPr>
      <w:r>
        <w:rPr>
          <w:rFonts w:ascii="Times New Roman" w:hAnsi="Times New Roman" w:cs="Times New Roman"/>
          <w:b w:val="0"/>
          <w:i w:val="0"/>
          <w:sz w:val="22"/>
        </w:rPr>
        <w:t>Frontend components:</w:t>
      </w:r>
    </w:p>
    <w:p>
      <w:pPr>
        <w:spacing w:after="80" w:line="293" w:lineRule="auto"/>
        <w:ind w:left="283"/>
        <w:jc w:val="left"/>
      </w:pPr>
      <w:r>
        <w:rPr>
          <w:rFonts w:ascii="Times New Roman" w:hAnsi="Times New Roman" w:cs="Times New Roman"/>
          <w:b w:val="0"/>
          <w:i w:val="0"/>
          <w:sz w:val="22"/>
        </w:rPr>
        <w:t>- Build Archival Status display</w:t>
      </w:r>
    </w:p>
    <w:p>
      <w:pPr>
        <w:spacing w:after="80" w:line="293" w:lineRule="auto"/>
        <w:ind w:left="283"/>
        <w:jc w:val="left"/>
      </w:pPr>
      <w:r>
        <w:rPr>
          <w:rFonts w:ascii="Times New Roman" w:hAnsi="Times New Roman" w:cs="Times New Roman"/>
          <w:b w:val="0"/>
          <w:i w:val="0"/>
          <w:sz w:val="22"/>
        </w:rPr>
        <w:t>- Build Validation Details display</w:t>
      </w:r>
    </w:p>
    <w:p>
      <w:pPr>
        <w:spacing w:after="80" w:line="293" w:lineRule="auto"/>
        <w:ind w:left="283"/>
        <w:jc w:val="left"/>
      </w:pPr>
      <w:r>
        <w:rPr>
          <w:rFonts w:ascii="Times New Roman" w:hAnsi="Times New Roman" w:cs="Times New Roman"/>
          <w:b w:val="0"/>
          <w:i w:val="0"/>
          <w:sz w:val="22"/>
        </w:rPr>
        <w:t>- Build Download buttons (PDF/A-3 + standard PDF)</w:t>
      </w:r>
    </w:p>
    <w:p>
      <w:pPr>
        <w:spacing w:after="80" w:line="293" w:lineRule="auto"/>
        <w:ind w:left="283"/>
        <w:jc w:val="left"/>
      </w:pPr>
      <w:r>
        <w:rPr>
          <w:rFonts w:ascii="Times New Roman" w:hAnsi="Times New Roman" w:cs="Times New Roman"/>
          <w:b w:val="0"/>
          <w:i w:val="0"/>
          <w:sz w:val="22"/>
        </w:rPr>
        <w:t>- Build Verify Loom Hash button</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PDF/A-3 generation; validation</w:t>
      </w:r>
    </w:p>
    <w:p>
      <w:pPr>
        <w:spacing w:after="80" w:line="293" w:lineRule="auto"/>
        <w:ind w:left="283"/>
        <w:jc w:val="left"/>
      </w:pPr>
      <w:r>
        <w:rPr>
          <w:rFonts w:ascii="Times New Roman" w:hAnsi="Times New Roman" w:cs="Times New Roman"/>
          <w:b w:val="0"/>
          <w:i w:val="0"/>
          <w:sz w:val="22"/>
        </w:rPr>
        <w:t>- Integration tests: generation → validation → storage; fallback handling</w:t>
      </w:r>
    </w:p>
    <w:p>
      <w:pPr>
        <w:spacing w:after="80" w:line="293" w:lineRule="auto"/>
        <w:ind w:left="283"/>
        <w:jc w:val="left"/>
      </w:pPr>
      <w:r>
        <w:rPr>
          <w:rFonts w:ascii="Times New Roman" w:hAnsi="Times New Roman" w:cs="Times New Roman"/>
          <w:b w:val="0"/>
          <w:i w:val="0"/>
          <w:sz w:val="22"/>
        </w:rPr>
        <w:t>- End-to-end tests: full archival workflow</w:t>
      </w:r>
    </w:p>
    <w:p>
      <w:pPr>
        <w:keepNext/>
        <w:spacing w:before="180" w:after="80"/>
        <w:outlineLvl w:val="2"/>
      </w:pPr>
      <w:r>
        <w:rPr>
          <w:rFonts w:ascii="Arial" w:hAnsi="Arial" w:cs="Arial"/>
          <w:b/>
          <w:i w:val="0"/>
          <w:color w:val="333333"/>
          <w:sz w:val="23"/>
        </w:rPr>
        <w:t>8.12.11 AI Authority Summary</w:t>
      </w:r>
    </w:p>
    <w:p>
      <w:pPr>
        <w:spacing w:after="80" w:line="293" w:lineRule="auto"/>
        <w:jc w:val="left"/>
      </w:pPr>
      <w:r>
        <w:rPr>
          <w:rFonts w:ascii="Times New Roman" w:hAnsi="Times New Roman" w:cs="Times New Roman"/>
          <w:b w:val="0"/>
          <w:i w:val="0"/>
          <w:sz w:val="22"/>
        </w:rPr>
        <w:t>A1 (Groq → Ollama) generates plain-language document descriptions and validation error explanations. A4 (OPA + WasmEdge) enforces conformance validation, signature verification, and archival storage rules. AI never marks a document PDF/A-3 compliant without validator evidence.</w:t>
      </w:r>
    </w:p>
    <w:p>
      <w:pPr>
        <w:keepNext/>
        <w:spacing w:before="240" w:after="100"/>
        <w:outlineLvl w:val="1"/>
      </w:pPr>
      <w:r>
        <w:rPr>
          <w:rFonts w:ascii="Arial" w:hAnsi="Arial" w:cs="Arial"/>
          <w:b/>
          <w:i w:val="0"/>
          <w:color w:val="2E528F"/>
          <w:sz w:val="26"/>
        </w:rPr>
        <w:t>8.13 Packing Plan Lock &amp; Barcode Generation</w:t>
      </w:r>
    </w:p>
    <w:p>
      <w:pPr>
        <w:keepNext/>
        <w:spacing w:before="180" w:after="80"/>
        <w:outlineLvl w:val="2"/>
      </w:pPr>
      <w:r>
        <w:rPr>
          <w:rFonts w:ascii="Arial" w:hAnsi="Arial" w:cs="Arial"/>
          <w:b/>
          <w:i w:val="0"/>
          <w:color w:val="333333"/>
          <w:sz w:val="23"/>
        </w:rPr>
        <w:t>8.13.1 Purpose &amp; Design Philosophy</w:t>
      </w:r>
    </w:p>
    <w:p>
      <w:pPr>
        <w:spacing w:after="80" w:line="293" w:lineRule="auto"/>
        <w:jc w:val="left"/>
      </w:pPr>
      <w:r>
        <w:rPr>
          <w:rFonts w:ascii="Times New Roman" w:hAnsi="Times New Roman" w:cs="Times New Roman"/>
          <w:b w:val="0"/>
          <w:i w:val="0"/>
          <w:sz w:val="22"/>
        </w:rPr>
        <w:t>The Locking the Packing Plan &amp; Barcode Generation module is the final validation and immutable commitment step before physical execution. Once the packing plan is locked, it becomes immutable — all pallet positions, layer patterns, weights, and SSCC codes are fixed and recorded in the Loom hash chain. This ensures that any deviation or dispute can be verified against the locked plan. Simultaneously, SSCC-18 barcodes and QR codes are generated for each pallet, enabling physical tracking and offline verification.</w:t>
      </w:r>
    </w:p>
    <w:p>
      <w:pPr>
        <w:spacing w:after="80" w:line="293" w:lineRule="auto"/>
        <w:jc w:val="left"/>
      </w:pPr>
      <w:r>
        <w:rPr>
          <w:rFonts w:ascii="Times New Roman" w:hAnsi="Times New Roman" w:cs="Times New Roman"/>
          <w:b w:val="0"/>
          <w:i w:val="0"/>
          <w:sz w:val="22"/>
        </w:rPr>
        <w:t>Key principles: Immutable plan — once locked, the packing plan cannot be modified. Governor validation — all constraints (weight, height, compatibility) are re-validated before lock. Loom hashing — the plan is anchored in the immutable Loom hash chain. Barcode generation — SSCC-18 codes and QR codes are generated for each pallet. Reprint policy — reprints after loading require Governor approval. Multi-shipment support — each shipment's packing plan is locked independently. Non-marketplace — no counterparty recommendations.</w:t>
      </w:r>
    </w:p>
    <w:p>
      <w:pPr>
        <w:keepNext/>
        <w:spacing w:before="180" w:after="80"/>
        <w:outlineLvl w:val="2"/>
      </w:pPr>
      <w:r>
        <w:rPr>
          <w:rFonts w:ascii="Arial" w:hAnsi="Arial" w:cs="Arial"/>
          <w:b/>
          <w:i w:val="0"/>
          <w:color w:val="333333"/>
          <w:sz w:val="23"/>
        </w:rPr>
        <w:t>8.13.2 Locking Process</w:t>
      </w:r>
    </w:p>
    <w:p>
      <w:pPr>
        <w:keepNext/>
        <w:spacing w:before="140" w:after="60"/>
        <w:outlineLvl w:val="3"/>
      </w:pPr>
      <w:r>
        <w:rPr>
          <w:rFonts w:ascii="Arial" w:hAnsi="Arial" w:cs="Arial"/>
          <w:b/>
          <w:i/>
          <w:color w:val="333333"/>
          <w:sz w:val="22"/>
        </w:rPr>
        <w:t>8.13.2.1 Pre-Lock Validation</w:t>
      </w:r>
    </w:p>
    <w:p>
      <w:pPr>
        <w:spacing w:after="80" w:line="293" w:lineRule="auto"/>
        <w:jc w:val="left"/>
      </w:pPr>
      <w:r>
        <w:rPr>
          <w:rFonts w:ascii="Times New Roman" w:hAnsi="Times New Roman" w:cs="Times New Roman"/>
          <w:b w:val="0"/>
          <w:i w:val="0"/>
          <w:sz w:val="22"/>
        </w:rPr>
        <w:t>The Governor re-validates before lock: weight within equipment limits; stacking heights compliant; commodity compatibility check; treatment certificates planned; all mandatory fields complete.</w:t>
      </w:r>
    </w:p>
    <w:p>
      <w:pPr>
        <w:keepNext/>
        <w:spacing w:before="140" w:after="60"/>
        <w:outlineLvl w:val="3"/>
      </w:pPr>
      <w:r>
        <w:rPr>
          <w:rFonts w:ascii="Arial" w:hAnsi="Arial" w:cs="Arial"/>
          <w:b/>
          <w:i/>
          <w:color w:val="333333"/>
          <w:sz w:val="22"/>
        </w:rPr>
        <w:t>8.13.2.2 Lock Workflow</w:t>
      </w:r>
    </w:p>
    <w:p>
      <w:pPr>
        <w:spacing w:after="80" w:line="293" w:lineRule="auto"/>
        <w:jc w:val="left"/>
      </w:pPr>
      <w:r>
        <w:rPr>
          <w:rFonts w:ascii="Times New Roman" w:hAnsi="Times New Roman" w:cs="Times New Roman"/>
          <w:b w:val="0"/>
          <w:i w:val="0"/>
          <w:sz w:val="22"/>
        </w:rPr>
        <w:t>1. User with `packing.lock` permission clicks "Lock Packing Plan". 2. Governor runs validation checks. 3. If ALLOW: generate SSCC-18 codes for each pallet; generate QR codes with Verifiable Credentials; calculate the Loom hash of the plan; store the locked plan with timestamp and locker ID; update FeeLock status (if applicable); notify all collaborators (Smart Inbox). 4. If CONDITIONAL: display the Decision Panel with specific conditions; the user resolves conditions and retries. 5. If DENY: display the Decision Panel with explanation; the user must contact an administrator or resolve permission issues.</w:t>
      </w:r>
    </w:p>
    <w:p>
      <w:pPr>
        <w:keepNext/>
        <w:spacing w:before="180" w:after="80"/>
        <w:outlineLvl w:val="2"/>
      </w:pPr>
      <w:r>
        <w:rPr>
          <w:rFonts w:ascii="Arial" w:hAnsi="Arial" w:cs="Arial"/>
          <w:b/>
          <w:i w:val="0"/>
          <w:color w:val="333333"/>
          <w:sz w:val="23"/>
        </w:rPr>
        <w:t>8.13.3 SSCC-18 Barcode Generation</w:t>
      </w:r>
    </w:p>
    <w:p>
      <w:pPr>
        <w:spacing w:after="80" w:line="293" w:lineRule="auto"/>
        <w:jc w:val="left"/>
      </w:pPr>
      <w:r>
        <w:rPr>
          <w:rFonts w:ascii="Times New Roman" w:hAnsi="Times New Roman" w:cs="Times New Roman"/>
          <w:b w:val="0"/>
          <w:i w:val="0"/>
          <w:sz w:val="22"/>
        </w:rPr>
        <w:t>SSCC-18 format: 1 (extension digit) + 0614141 (company prefix) + 123456789 (serial reference) + 0 (check digit) — displayed as 106141411234567890. Generation algorithm and GS1 check digit computation are specified in Section 8.5.3; the codes are allocated at lock time and stored on the pallet record:</w:t>
      </w:r>
    </w:p>
    <w:p>
      <w:pPr>
        <w:spacing w:after="0" w:before="0" w:line="240" w:lineRule="auto"/>
        <w:ind w:left="57"/>
        <w:jc w:val="left"/>
        <w:shd w:val="clear" w:fill="F2F2F2"/>
      </w:pPr>
      <w:r>
        <w:rPr>
          <w:rFonts w:ascii="Consolas" w:hAnsi="Consolas" w:cs="Consolas"/>
          <w:b w:val="0"/>
          <w:i w:val="0"/>
          <w:sz w:val="15"/>
        </w:rPr>
        <w:t>-- pallet_details: canonical definition in Section 17.9;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8.13.4 QR Code with Verifiable Credential</w:t>
      </w:r>
    </w:p>
    <w:p>
      <w:pPr>
        <w:spacing w:after="80" w:line="293" w:lineRule="auto"/>
        <w:jc w:val="left"/>
      </w:pPr>
      <w:r>
        <w:rPr>
          <w:rFonts w:ascii="Times New Roman" w:hAnsi="Times New Roman" w:cs="Times New Roman"/>
          <w:b w:val="0"/>
          <w:i w:val="0"/>
          <w:sz w:val="22"/>
        </w:rPr>
        <w:t>The QR payload embeds the pallet identity, weights, layer summary, treatment certificate, verify URL, and a W3C Verifiable Credential with Ed25519 proof (full specification in Section 8.5.4). Offline verification: the mobile app scans the QR code, extracts the Verifiable Credential, verifies the signature against the cached SGTX public key, validates non-expiry, and displays "Verified — Lot OR-2026-0412, 111 cartons, 1,110 kg."</w:t>
      </w:r>
    </w:p>
    <w:p>
      <w:pPr>
        <w:keepNext/>
        <w:spacing w:before="180" w:after="80"/>
        <w:outlineLvl w:val="2"/>
      </w:pPr>
      <w:r>
        <w:rPr>
          <w:rFonts w:ascii="Arial" w:hAnsi="Arial" w:cs="Arial"/>
          <w:b/>
          <w:i w:val="0"/>
          <w:color w:val="333333"/>
          <w:sz w:val="23"/>
        </w:rPr>
        <w:t>8.13.5 Loom Hashing</w:t>
      </w:r>
    </w:p>
    <w:p>
      <w:pPr>
        <w:spacing w:after="0" w:before="0" w:line="240" w:lineRule="auto"/>
        <w:ind w:left="57"/>
        <w:jc w:val="left"/>
        <w:shd w:val="clear" w:fill="F2F2F2"/>
      </w:pPr>
      <w:r>
        <w:rPr>
          <w:rFonts w:ascii="Consolas" w:hAnsi="Consolas" w:cs="Consolas"/>
          <w:b w:val="0"/>
          <w:i w:val="0"/>
          <w:sz w:val="15"/>
        </w:rPr>
        <w:t>// Pseudo-code: Loom hash generation</w:t>
      </w:r>
    </w:p>
    <w:p>
      <w:pPr>
        <w:spacing w:after="0" w:before="0" w:line="240" w:lineRule="auto"/>
        <w:ind w:left="57"/>
        <w:jc w:val="left"/>
        <w:shd w:val="clear" w:fill="F2F2F2"/>
      </w:pPr>
      <w:r>
        <w:rPr>
          <w:rFonts w:ascii="Consolas" w:hAnsi="Consolas" w:cs="Consolas"/>
          <w:b w:val="0"/>
          <w:i w:val="0"/>
          <w:sz w:val="15"/>
        </w:rPr>
        <w:t>fn lock_packing_plan(plan: &amp;PackingPlan) -&gt; Result&lt;LockedPlan&gt; {</w:t>
      </w:r>
    </w:p>
    <w:p>
      <w:pPr>
        <w:spacing w:after="0" w:before="0" w:line="240" w:lineRule="auto"/>
        <w:ind w:left="57"/>
        <w:jc w:val="left"/>
        <w:shd w:val="clear" w:fill="F2F2F2"/>
      </w:pPr>
      <w:r>
        <w:rPr>
          <w:rFonts w:ascii="Consolas" w:hAnsi="Consolas" w:cs="Consolas"/>
          <w:b w:val="0"/>
          <w:i w:val="0"/>
          <w:sz w:val="15"/>
        </w:rPr>
        <w:t xml:space="preserve">    // 1. Serialise plan to canonical JSON</w:t>
      </w:r>
    </w:p>
    <w:p>
      <w:pPr>
        <w:spacing w:after="0" w:before="0" w:line="240" w:lineRule="auto"/>
        <w:ind w:left="57"/>
        <w:jc w:val="left"/>
        <w:shd w:val="clear" w:fill="F2F2F2"/>
      </w:pPr>
      <w:r>
        <w:rPr>
          <w:rFonts w:ascii="Consolas" w:hAnsi="Consolas" w:cs="Consolas"/>
          <w:b w:val="0"/>
          <w:i w:val="0"/>
          <w:sz w:val="15"/>
        </w:rPr>
        <w:t xml:space="preserve">    let plan_json = serde_json::to_string(plan)?;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 Get previous Loom hash</w:t>
      </w:r>
    </w:p>
    <w:p>
      <w:pPr>
        <w:spacing w:after="0" w:before="0" w:line="240" w:lineRule="auto"/>
        <w:ind w:left="57"/>
        <w:jc w:val="left"/>
        <w:shd w:val="clear" w:fill="F2F2F2"/>
      </w:pPr>
      <w:r>
        <w:rPr>
          <w:rFonts w:ascii="Consolas" w:hAnsi="Consolas" w:cs="Consolas"/>
          <w:b w:val="0"/>
          <w:i w:val="0"/>
          <w:sz w:val="15"/>
        </w:rPr>
        <w:t xml:space="preserve">    let previous_hash = get_last_loom_hash()?;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3. Sign with Ed25519</w:t>
      </w:r>
    </w:p>
    <w:p>
      <w:pPr>
        <w:spacing w:after="0" w:before="0" w:line="240" w:lineRule="auto"/>
        <w:ind w:left="57"/>
        <w:jc w:val="left"/>
        <w:shd w:val="clear" w:fill="F2F2F2"/>
      </w:pPr>
      <w:r>
        <w:rPr>
          <w:rFonts w:ascii="Consolas" w:hAnsi="Consolas" w:cs="Consolas"/>
          <w:b w:val="0"/>
          <w:i w:val="0"/>
          <w:sz w:val="15"/>
        </w:rPr>
        <w:t xml:space="preserve">    let signature = sign_with_ed25519(&amp;plan_json)?;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 Calculate Loom hash</w:t>
      </w:r>
    </w:p>
    <w:p>
      <w:pPr>
        <w:spacing w:after="0" w:before="0" w:line="240" w:lineRule="auto"/>
        <w:ind w:left="57"/>
        <w:jc w:val="left"/>
        <w:shd w:val="clear" w:fill="F2F2F2"/>
      </w:pPr>
      <w:r>
        <w:rPr>
          <w:rFonts w:ascii="Consolas" w:hAnsi="Consolas" w:cs="Consolas"/>
          <w:b w:val="0"/>
          <w:i w:val="0"/>
          <w:sz w:val="15"/>
        </w:rPr>
        <w:t xml:space="preserve">    let loom_hash = sha256(format!("{}{}{}", previous_hash, plan_json, signature));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5. Store locked plan</w:t>
      </w:r>
    </w:p>
    <w:p>
      <w:pPr>
        <w:spacing w:after="0" w:before="0" w:line="240" w:lineRule="auto"/>
        <w:ind w:left="57"/>
        <w:jc w:val="left"/>
        <w:shd w:val="clear" w:fill="F2F2F2"/>
      </w:pPr>
      <w:r>
        <w:rPr>
          <w:rFonts w:ascii="Consolas" w:hAnsi="Consolas" w:cs="Consolas"/>
          <w:b w:val="0"/>
          <w:i w:val="0"/>
          <w:sz w:val="15"/>
        </w:rPr>
        <w:t xml:space="preserve">    let locked = LockedPlan {</w:t>
      </w:r>
    </w:p>
    <w:p>
      <w:pPr>
        <w:spacing w:after="0" w:before="0" w:line="240" w:lineRule="auto"/>
        <w:ind w:left="57"/>
        <w:jc w:val="left"/>
        <w:shd w:val="clear" w:fill="F2F2F2"/>
      </w:pPr>
      <w:r>
        <w:rPr>
          <w:rFonts w:ascii="Consolas" w:hAnsi="Consolas" w:cs="Consolas"/>
          <w:b w:val="0"/>
          <w:i w:val="0"/>
          <w:sz w:val="15"/>
        </w:rPr>
        <w:t xml:space="preserve">        plan: plan.clone(),</w:t>
      </w:r>
    </w:p>
    <w:p>
      <w:pPr>
        <w:spacing w:after="0" w:before="0" w:line="240" w:lineRule="auto"/>
        <w:ind w:left="57"/>
        <w:jc w:val="left"/>
        <w:shd w:val="clear" w:fill="F2F2F2"/>
      </w:pPr>
      <w:r>
        <w:rPr>
          <w:rFonts w:ascii="Consolas" w:hAnsi="Consolas" w:cs="Consolas"/>
          <w:b w:val="0"/>
          <w:i w:val="0"/>
          <w:sz w:val="15"/>
        </w:rPr>
        <w:t xml:space="preserve">        locked_at: Utc::now(),</w:t>
      </w:r>
    </w:p>
    <w:p>
      <w:pPr>
        <w:spacing w:after="0" w:before="0" w:line="240" w:lineRule="auto"/>
        <w:ind w:left="57"/>
        <w:jc w:val="left"/>
        <w:shd w:val="clear" w:fill="F2F2F2"/>
      </w:pPr>
      <w:r>
        <w:rPr>
          <w:rFonts w:ascii="Consolas" w:hAnsi="Consolas" w:cs="Consolas"/>
          <w:b w:val="0"/>
          <w:i w:val="0"/>
          <w:sz w:val="15"/>
        </w:rPr>
        <w:t xml:space="preserve">        locked_by: current_user(),</w:t>
      </w:r>
    </w:p>
    <w:p>
      <w:pPr>
        <w:spacing w:after="0" w:before="0" w:line="240" w:lineRule="auto"/>
        <w:ind w:left="57"/>
        <w:jc w:val="left"/>
        <w:shd w:val="clear" w:fill="F2F2F2"/>
      </w:pPr>
      <w:r>
        <w:rPr>
          <w:rFonts w:ascii="Consolas" w:hAnsi="Consolas" w:cs="Consolas"/>
          <w:b w:val="0"/>
          <w:i w:val="0"/>
          <w:sz w:val="15"/>
        </w:rPr>
        <w:t xml:space="preserve">        loom_hash,</w:t>
      </w:r>
    </w:p>
    <w:p>
      <w:pPr>
        <w:spacing w:after="0" w:before="0" w:line="240" w:lineRule="auto"/>
        <w:ind w:left="57"/>
        <w:jc w:val="left"/>
        <w:shd w:val="clear" w:fill="F2F2F2"/>
      </w:pPr>
      <w:r>
        <w:rPr>
          <w:rFonts w:ascii="Consolas" w:hAnsi="Consolas" w:cs="Consolas"/>
          <w:b w:val="0"/>
          <w:i w:val="0"/>
          <w:sz w:val="15"/>
        </w:rPr>
        <w:t xml:space="preserve">        signature,</w:t>
      </w:r>
    </w:p>
    <w:p>
      <w:pPr>
        <w:spacing w:after="0" w:before="0" w:line="240" w:lineRule="auto"/>
        <w:ind w:left="57"/>
        <w:jc w:val="left"/>
        <w:shd w:val="clear" w:fill="F2F2F2"/>
      </w:pPr>
      <w:r>
        <w:rPr>
          <w:rFonts w:ascii="Consolas" w:hAnsi="Consolas" w:cs="Consolas"/>
          <w:b w:val="0"/>
          <w:i w:val="0"/>
          <w:sz w:val="15"/>
        </w:rPr>
        <w:t xml:space="preserve">        previous_hash,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Ok(locked)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8.13.6 Reprint Policy (Governor-Enforced)</w:t>
      </w:r>
    </w:p>
    <w:p>
      <w:pPr>
        <w:spacing w:after="80" w:line="293" w:lineRule="auto"/>
        <w:jc w:val="left"/>
      </w:pPr>
      <w:r>
        <w:rPr>
          <w:rFonts w:ascii="Times New Roman" w:hAnsi="Times New Roman" w:cs="Times New Roman"/>
          <w:b w:val="0"/>
          <w:i w:val="0"/>
          <w:sz w:val="22"/>
        </w:rPr>
        <w:t>Reprint workflow (post-loading): the user clicks "Request Reprint"; a modal appears requiring the reason for reprint (minimum 10 characters); the user submits the reason; the Governor evaluates: if pallet status is LOADED or DELIVERED → reason required; if pallet status is DELIVERED and shipment is SETTLED → DENY; if the reason is insufficient (&lt;10 characters) → CONDITIONAL; if ALLOW → new labels with the same SSCC are generated (enhanced contrast if requested); if DENY → the Decision Panel explains.</w:t>
      </w:r>
    </w:p>
    <w:p>
      <w:pPr>
        <w:keepNext/>
        <w:spacing w:before="180" w:after="80"/>
        <w:outlineLvl w:val="2"/>
      </w:pPr>
      <w:r>
        <w:rPr>
          <w:rFonts w:ascii="Arial" w:hAnsi="Arial" w:cs="Arial"/>
          <w:b/>
          <w:i w:val="0"/>
          <w:color w:val="333333"/>
          <w:sz w:val="23"/>
        </w:rPr>
        <w:t>8.13.7 UI — Locking &amp; Barcode Generation</w:t>
      </w:r>
    </w:p>
    <w:p>
      <w:pPr>
        <w:spacing w:after="0" w:before="0" w:line="240" w:lineRule="auto"/>
        <w:ind w:left="57"/>
        <w:jc w:val="left"/>
        <w:shd w:val="clear" w:fill="F2F2F2"/>
      </w:pPr>
      <w:r>
        <w:rPr>
          <w:rFonts w:ascii="Consolas" w:hAnsi="Consolas" w:cs="Consolas"/>
          <w:b w:val="0"/>
          <w:i w:val="0"/>
          <w:sz w:val="15"/>
        </w:rPr>
        <w:t>PACKING PLAN — SGTX-EG-26-F3A-1</w:t>
      </w:r>
    </w:p>
    <w:p>
      <w:pPr>
        <w:spacing w:after="0" w:before="0" w:line="240" w:lineRule="auto"/>
        <w:ind w:left="57"/>
        <w:jc w:val="left"/>
        <w:shd w:val="clear" w:fill="F2F2F2"/>
      </w:pPr>
      <w:r>
        <w:rPr>
          <w:rFonts w:ascii="Consolas" w:hAnsi="Consolas" w:cs="Consolas"/>
          <w:b w:val="0"/>
          <w:i w:val="0"/>
          <w:sz w:val="15"/>
        </w:rPr>
        <w:t>Collaborators: Ahmed (editing), Sara (viewing), Mohamed (viewing)</w:t>
      </w:r>
    </w:p>
    <w:p>
      <w:pPr>
        <w:spacing w:after="0" w:before="0" w:line="240" w:lineRule="auto"/>
        <w:ind w:left="57"/>
        <w:jc w:val="left"/>
        <w:shd w:val="clear" w:fill="F2F2F2"/>
      </w:pPr>
      <w:r>
        <w:rPr>
          <w:rFonts w:ascii="Consolas" w:hAnsi="Consolas" w:cs="Consolas"/>
          <w:b w:val="0"/>
          <w:i w:val="0"/>
          <w:sz w:val="15"/>
        </w:rPr>
        <w:t>Status: Unlocked | Last Saved: 10:30:00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VALIDATION SUMMARY</w:t>
      </w:r>
    </w:p>
    <w:p>
      <w:pPr>
        <w:spacing w:after="0" w:before="0" w:line="240" w:lineRule="auto"/>
        <w:ind w:left="57"/>
        <w:jc w:val="left"/>
        <w:shd w:val="clear" w:fill="F2F2F2"/>
      </w:pPr>
      <w:r>
        <w:rPr>
          <w:rFonts w:ascii="Consolas" w:hAnsi="Consolas" w:cs="Consolas"/>
          <w:b w:val="0"/>
          <w:i w:val="0"/>
          <w:sz w:val="15"/>
        </w:rPr>
        <w:t xml:space="preserve">  - Weight within limits (15,784.8 kg ≤ 28,000 kg)</w:t>
      </w:r>
    </w:p>
    <w:p>
      <w:pPr>
        <w:spacing w:after="0" w:before="0" w:line="240" w:lineRule="auto"/>
        <w:ind w:left="57"/>
        <w:jc w:val="left"/>
        <w:shd w:val="clear" w:fill="F2F2F2"/>
      </w:pPr>
      <w:r>
        <w:rPr>
          <w:rFonts w:ascii="Consolas" w:hAnsi="Consolas" w:cs="Consolas"/>
          <w:b w:val="0"/>
          <w:i w:val="0"/>
          <w:sz w:val="15"/>
        </w:rPr>
        <w:t xml:space="preserve">  - Stacking heights compliant</w:t>
      </w:r>
    </w:p>
    <w:p>
      <w:pPr>
        <w:spacing w:after="0" w:before="0" w:line="240" w:lineRule="auto"/>
        <w:ind w:left="57"/>
        <w:jc w:val="left"/>
        <w:shd w:val="clear" w:fill="F2F2F2"/>
      </w:pPr>
      <w:r>
        <w:rPr>
          <w:rFonts w:ascii="Consolas" w:hAnsi="Consolas" w:cs="Consolas"/>
          <w:b w:val="0"/>
          <w:i w:val="0"/>
          <w:sz w:val="15"/>
        </w:rPr>
        <w:t xml:space="preserve">  - Commodity compatibility check passed</w:t>
      </w:r>
    </w:p>
    <w:p>
      <w:pPr>
        <w:spacing w:after="0" w:before="0" w:line="240" w:lineRule="auto"/>
        <w:ind w:left="57"/>
        <w:jc w:val="left"/>
        <w:shd w:val="clear" w:fill="F2F2F2"/>
      </w:pPr>
      <w:r>
        <w:rPr>
          <w:rFonts w:ascii="Consolas" w:hAnsi="Consolas" w:cs="Consolas"/>
          <w:b w:val="0"/>
          <w:i w:val="0"/>
          <w:sz w:val="15"/>
        </w:rPr>
        <w:t xml:space="preserve">  - Treatment certificates planned</w:t>
      </w:r>
    </w:p>
    <w:p>
      <w:pPr>
        <w:spacing w:after="0" w:before="0" w:line="240" w:lineRule="auto"/>
        <w:ind w:left="57"/>
        <w:jc w:val="left"/>
        <w:shd w:val="clear" w:fill="F2F2F2"/>
      </w:pPr>
      <w:r>
        <w:rPr>
          <w:rFonts w:ascii="Consolas" w:hAnsi="Consolas" w:cs="Consolas"/>
          <w:b w:val="0"/>
          <w:i w:val="0"/>
          <w:sz w:val="15"/>
        </w:rPr>
        <w:t xml:space="preserve">  - All fields complete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[Lock Packing Plan] [Request Human Review] [Save Draft] [Export PDF]</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After locking, the following barcodes will be generated: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Pallet ID | SSCC              | QR Code | Status | Actions</w:t>
      </w:r>
    </w:p>
    <w:p>
      <w:pPr>
        <w:spacing w:after="0" w:before="0" w:line="240" w:lineRule="auto"/>
        <w:ind w:left="57"/>
        <w:jc w:val="left"/>
        <w:shd w:val="clear" w:fill="F2F2F2"/>
      </w:pPr>
      <w:r>
        <w:rPr>
          <w:rFonts w:ascii="Consolas" w:hAnsi="Consolas" w:cs="Consolas"/>
          <w:b w:val="0"/>
          <w:i w:val="0"/>
          <w:sz w:val="15"/>
        </w:rPr>
        <w:t xml:space="preserve">  OR-001    | 106141411234567890 | [QR]   | Pending | [Print]</w:t>
      </w:r>
    </w:p>
    <w:p>
      <w:pPr>
        <w:spacing w:after="0" w:before="0" w:line="240" w:lineRule="auto"/>
        <w:ind w:left="57"/>
        <w:jc w:val="left"/>
        <w:shd w:val="clear" w:fill="F2F2F2"/>
      </w:pPr>
      <w:r>
        <w:rPr>
          <w:rFonts w:ascii="Consolas" w:hAnsi="Consolas" w:cs="Consolas"/>
          <w:b w:val="0"/>
          <w:i w:val="0"/>
          <w:sz w:val="15"/>
        </w:rPr>
        <w:t xml:space="preserve">  OR-002    | 106141411234567891 | [QR]   | Pending | [Print]</w:t>
      </w:r>
    </w:p>
    <w:p>
      <w:pPr>
        <w:spacing w:after="0" w:before="0" w:line="240" w:lineRule="auto"/>
        <w:ind w:left="57"/>
        <w:jc w:val="left"/>
        <w:shd w:val="clear" w:fill="F2F2F2"/>
      </w:pPr>
      <w:r>
        <w:rPr>
          <w:rFonts w:ascii="Consolas" w:hAnsi="Consolas" w:cs="Consolas"/>
          <w:b w:val="0"/>
          <w:i w:val="0"/>
          <w:sz w:val="15"/>
        </w:rPr>
        <w:t xml:space="preserve">  ...       | ...                | ...     | ...     |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Once locked, the packing plan becomes immutable.</w:t>
      </w:r>
    </w:p>
    <w:p>
      <w:pPr>
        <w:spacing w:after="0" w:before="0" w:line="240" w:lineRule="auto"/>
        <w:ind w:left="57"/>
        <w:jc w:val="left"/>
        <w:shd w:val="clear" w:fill="F2F2F2"/>
      </w:pPr>
      <w:r>
        <w:rPr>
          <w:rFonts w:ascii="Consolas" w:hAnsi="Consolas" w:cs="Consolas"/>
          <w:b w:val="0"/>
          <w:i w:val="0"/>
          <w:sz w:val="15"/>
        </w:rPr>
        <w:t>Barcodes will be generated and stored.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8.13.8 Integration with Other Components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How Locking Flows</w:t>
            </w:r>
          </w:p>
        </w:tc>
      </w:tr>
      <w:tr>
        <w:tc>
          <w:tcPr>
            <w:tcW w:type="dxa" w:w="4819"/>
          </w:tcPr>
          <w:p>
            <w:pPr>
              <w:spacing w:after="20" w:before="20" w:line="240" w:lineRule="auto"/>
            </w:pPr>
            <w:r/>
            <w:r>
              <w:rPr>
                <w:rFonts w:ascii="Arial" w:hAnsi="Arial" w:cs="Arial"/>
                <w:b w:val="0"/>
                <w:i w:val="0"/>
                <w:sz w:val="17"/>
              </w:rPr>
              <w:t>Palletisation Optimiser (Section 8.4)</w:t>
            </w:r>
          </w:p>
        </w:tc>
        <w:tc>
          <w:tcPr>
            <w:tcW w:type="dxa" w:w="4819"/>
          </w:tcPr>
          <w:p>
            <w:pPr>
              <w:spacing w:after="20" w:before="20" w:line="240" w:lineRule="auto"/>
            </w:pPr>
            <w:r/>
            <w:r>
              <w:rPr>
                <w:rFonts w:ascii="Arial" w:hAnsi="Arial" w:cs="Arial"/>
                <w:b w:val="0"/>
                <w:i w:val="0"/>
                <w:sz w:val="17"/>
              </w:rPr>
              <w:t>Locking freezes the palletisation result</w:t>
            </w:r>
          </w:p>
        </w:tc>
      </w:tr>
      <w:tr>
        <w:tc>
          <w:tcPr>
            <w:tcW w:type="dxa" w:w="4819"/>
          </w:tcPr>
          <w:p>
            <w:pPr>
              <w:spacing w:after="20" w:before="20" w:line="240" w:lineRule="auto"/>
            </w:pPr>
            <w:r/>
            <w:r>
              <w:rPr>
                <w:rFonts w:ascii="Arial" w:hAnsi="Arial" w:cs="Arial"/>
                <w:b w:val="0"/>
                <w:i w:val="0"/>
                <w:sz w:val="17"/>
              </w:rPr>
              <w:t>Packing List (Section 8.5)</w:t>
            </w:r>
          </w:p>
        </w:tc>
        <w:tc>
          <w:tcPr>
            <w:tcW w:type="dxa" w:w="4819"/>
          </w:tcPr>
          <w:p>
            <w:pPr>
              <w:spacing w:after="20" w:before="20" w:line="240" w:lineRule="auto"/>
            </w:pPr>
            <w:r/>
            <w:r>
              <w:rPr>
                <w:rFonts w:ascii="Arial" w:hAnsi="Arial" w:cs="Arial"/>
                <w:b w:val="0"/>
                <w:i w:val="0"/>
                <w:sz w:val="17"/>
              </w:rPr>
              <w:t>Packing list is generated from the locked plan</w:t>
            </w:r>
          </w:p>
        </w:tc>
      </w:tr>
      <w:tr>
        <w:tc>
          <w:tcPr>
            <w:tcW w:type="dxa" w:w="4819"/>
          </w:tcPr>
          <w:p>
            <w:pPr>
              <w:spacing w:after="20" w:before="20" w:line="240" w:lineRule="auto"/>
            </w:pPr>
            <w:r/>
            <w:r>
              <w:rPr>
                <w:rFonts w:ascii="Arial" w:hAnsi="Arial" w:cs="Arial"/>
                <w:b w:val="0"/>
                <w:i w:val="0"/>
                <w:sz w:val="17"/>
              </w:rPr>
              <w:t>Invoice (Section 8.8)</w:t>
            </w:r>
          </w:p>
        </w:tc>
        <w:tc>
          <w:tcPr>
            <w:tcW w:type="dxa" w:w="4819"/>
          </w:tcPr>
          <w:p>
            <w:pPr>
              <w:spacing w:after="20" w:before="20" w:line="240" w:lineRule="auto"/>
            </w:pPr>
            <w:r/>
            <w:r>
              <w:rPr>
                <w:rFonts w:ascii="Arial" w:hAnsi="Arial" w:cs="Arial"/>
                <w:b w:val="0"/>
                <w:i w:val="0"/>
                <w:sz w:val="17"/>
              </w:rPr>
              <w:t>Invoice uses the locked plan data</w:t>
            </w:r>
          </w:p>
        </w:tc>
      </w:tr>
      <w:tr>
        <w:tc>
          <w:tcPr>
            <w:tcW w:type="dxa" w:w="4819"/>
          </w:tcPr>
          <w:p>
            <w:pPr>
              <w:spacing w:after="20" w:before="20" w:line="240" w:lineRule="auto"/>
            </w:pPr>
            <w:r/>
            <w:r>
              <w:rPr>
                <w:rFonts w:ascii="Arial" w:hAnsi="Arial" w:cs="Arial"/>
                <w:b w:val="0"/>
                <w:i w:val="0"/>
                <w:sz w:val="17"/>
              </w:rPr>
              <w:t>Customs Declaration (Section 8.9)</w:t>
            </w:r>
          </w:p>
        </w:tc>
        <w:tc>
          <w:tcPr>
            <w:tcW w:type="dxa" w:w="4819"/>
          </w:tcPr>
          <w:p>
            <w:pPr>
              <w:spacing w:after="20" w:before="20" w:line="240" w:lineRule="auto"/>
            </w:pPr>
            <w:r/>
            <w:r>
              <w:rPr>
                <w:rFonts w:ascii="Arial" w:hAnsi="Arial" w:cs="Arial"/>
                <w:b w:val="0"/>
                <w:i w:val="0"/>
                <w:sz w:val="17"/>
              </w:rPr>
              <w:t>Declaration uses locked plan data</w:t>
            </w:r>
          </w:p>
        </w:tc>
      </w:tr>
      <w:tr>
        <w:tc>
          <w:tcPr>
            <w:tcW w:type="dxa" w:w="4819"/>
          </w:tcPr>
          <w:p>
            <w:pPr>
              <w:spacing w:after="20" w:before="20" w:line="240" w:lineRule="auto"/>
            </w:pPr>
            <w:r/>
            <w:r>
              <w:rPr>
                <w:rFonts w:ascii="Arial" w:hAnsi="Arial" w:cs="Arial"/>
                <w:b w:val="0"/>
                <w:i w:val="0"/>
                <w:sz w:val="17"/>
              </w:rPr>
              <w:t>Label Print (Section 8.13.12)</w:t>
            </w:r>
          </w:p>
        </w:tc>
        <w:tc>
          <w:tcPr>
            <w:tcW w:type="dxa" w:w="4819"/>
          </w:tcPr>
          <w:p>
            <w:pPr>
              <w:spacing w:after="20" w:before="20" w:line="240" w:lineRule="auto"/>
            </w:pPr>
            <w:r/>
            <w:r>
              <w:rPr>
                <w:rFonts w:ascii="Arial" w:hAnsi="Arial" w:cs="Arial"/>
                <w:b w:val="0"/>
                <w:i w:val="0"/>
                <w:sz w:val="17"/>
              </w:rPr>
              <w:t>Labels are generated from locked plan</w:t>
            </w:r>
          </w:p>
        </w:tc>
      </w:tr>
      <w:tr>
        <w:tc>
          <w:tcPr>
            <w:tcW w:type="dxa" w:w="4819"/>
          </w:tcPr>
          <w:p>
            <w:pPr>
              <w:spacing w:after="20" w:before="20" w:line="240" w:lineRule="auto"/>
            </w:pPr>
            <w:r/>
            <w:r>
              <w:rPr>
                <w:rFonts w:ascii="Arial" w:hAnsi="Arial" w:cs="Arial"/>
                <w:b w:val="0"/>
                <w:i w:val="0"/>
                <w:sz w:val="17"/>
              </w:rPr>
              <w:t>FeeLock (Section 9.30)</w:t>
            </w:r>
          </w:p>
        </w:tc>
        <w:tc>
          <w:tcPr>
            <w:tcW w:type="dxa" w:w="4819"/>
          </w:tcPr>
          <w:p>
            <w:pPr>
              <w:spacing w:after="20" w:before="20" w:line="240" w:lineRule="auto"/>
            </w:pPr>
            <w:r/>
            <w:r>
              <w:rPr>
                <w:rFonts w:ascii="Arial" w:hAnsi="Arial" w:cs="Arial"/>
                <w:b w:val="0"/>
                <w:i w:val="0"/>
                <w:sz w:val="17"/>
              </w:rPr>
              <w:t>FeeLock status may be updated on lock</w:t>
            </w:r>
          </w:p>
        </w:tc>
      </w:tr>
      <w:tr>
        <w:tc>
          <w:tcPr>
            <w:tcW w:type="dxa" w:w="4819"/>
          </w:tcPr>
          <w:p>
            <w:pPr>
              <w:spacing w:after="20" w:before="20" w:line="240" w:lineRule="auto"/>
            </w:pPr>
            <w:r/>
            <w:r>
              <w:rPr>
                <w:rFonts w:ascii="Arial" w:hAnsi="Arial" w:cs="Arial"/>
                <w:b w:val="0"/>
                <w:i w:val="0"/>
                <w:sz w:val="17"/>
              </w:rPr>
              <w:t>Container Release (Section 12)</w:t>
            </w:r>
          </w:p>
        </w:tc>
        <w:tc>
          <w:tcPr>
            <w:tcW w:type="dxa" w:w="4819"/>
          </w:tcPr>
          <w:p>
            <w:pPr>
              <w:spacing w:after="20" w:before="20" w:line="240" w:lineRule="auto"/>
            </w:pPr>
            <w:r/>
            <w:r>
              <w:rPr>
                <w:rFonts w:ascii="Arial" w:hAnsi="Arial" w:cs="Arial"/>
                <w:b w:val="0"/>
                <w:i w:val="0"/>
                <w:sz w:val="17"/>
              </w:rPr>
              <w:t>Release authorisation requires locked plan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8.13.9 Validation Gates (Lock &amp; Barcode)</w:t>
      </w:r>
    </w:p>
    <w:p>
      <w:pPr>
        <w:spacing w:after="80" w:line="293" w:lineRule="auto"/>
        <w:ind w:left="283"/>
        <w:jc w:val="left"/>
      </w:pPr>
      <w:r>
        <w:rPr>
          <w:rFonts w:ascii="Times New Roman" w:hAnsi="Times New Roman" w:cs="Times New Roman"/>
          <w:b w:val="0"/>
          <w:i w:val="0"/>
          <w:sz w:val="22"/>
        </w:rPr>
        <w:t>- Lock requires packing.lock permission, complete mandatory fields, and passing W1–W8 validations (re-checked at lock time).</w:t>
      </w:r>
    </w:p>
    <w:p>
      <w:pPr>
        <w:spacing w:after="80" w:line="293" w:lineRule="auto"/>
        <w:ind w:left="283"/>
        <w:jc w:val="left"/>
      </w:pPr>
      <w:r>
        <w:rPr>
          <w:rFonts w:ascii="Times New Roman" w:hAnsi="Times New Roman" w:cs="Times New Roman"/>
          <w:b w:val="0"/>
          <w:i w:val="0"/>
          <w:sz w:val="22"/>
        </w:rPr>
        <w:t>- The lock operation is atomic: SSCC allocation, QR credential issuance, Loom hash recording, and lock state transition succeed or fail together.</w:t>
      </w:r>
    </w:p>
    <w:p>
      <w:pPr>
        <w:spacing w:after="80" w:line="293" w:lineRule="auto"/>
        <w:ind w:left="283"/>
        <w:jc w:val="left"/>
      </w:pPr>
      <w:r>
        <w:rPr>
          <w:rFonts w:ascii="Times New Roman" w:hAnsi="Times New Roman" w:cs="Times New Roman"/>
          <w:b w:val="0"/>
          <w:i w:val="0"/>
          <w:sz w:val="22"/>
        </w:rPr>
        <w:t>- Reprints post-loading require Governor approval with a minimum-10-character reason; reprints are denied when the shipment is SETTLED.</w:t>
      </w:r>
    </w:p>
    <w:p>
      <w:pPr>
        <w:spacing w:after="80" w:line="293" w:lineRule="auto"/>
        <w:ind w:left="283"/>
        <w:jc w:val="left"/>
      </w:pPr>
      <w:r>
        <w:rPr>
          <w:rFonts w:ascii="Times New Roman" w:hAnsi="Times New Roman" w:cs="Times New Roman"/>
          <w:b w:val="0"/>
          <w:i w:val="0"/>
          <w:sz w:val="22"/>
        </w:rPr>
        <w:t>- Each shipment's packing plan is locked independently in multi-shipment trades.</w:t>
      </w:r>
    </w:p>
    <w:p>
      <w:pPr>
        <w:keepNext/>
        <w:spacing w:before="180" w:after="80"/>
        <w:outlineLvl w:val="2"/>
      </w:pPr>
      <w:r>
        <w:rPr>
          <w:rFonts w:ascii="Arial" w:hAnsi="Arial" w:cs="Arial"/>
          <w:b/>
          <w:i w:val="0"/>
          <w:color w:val="333333"/>
          <w:sz w:val="23"/>
        </w:rPr>
        <w:t>8.13.10 Database Schema Additions</w:t>
      </w:r>
    </w:p>
    <w:p>
      <w:pPr>
        <w:spacing w:after="0" w:before="0" w:line="240" w:lineRule="auto"/>
        <w:ind w:left="57"/>
        <w:jc w:val="left"/>
        <w:shd w:val="clear" w:fill="F2F2F2"/>
      </w:pPr>
      <w:r>
        <w:rPr>
          <w:rFonts w:ascii="Consolas" w:hAnsi="Consolas" w:cs="Consolas"/>
          <w:b w:val="0"/>
          <w:i w:val="0"/>
          <w:sz w:val="15"/>
        </w:rPr>
        <w:t>-- Packing plan locking</w:t>
      </w:r>
    </w:p>
    <w:p>
      <w:pPr>
        <w:spacing w:after="0" w:before="0" w:line="240" w:lineRule="auto"/>
        <w:ind w:left="57"/>
        <w:jc w:val="left"/>
        <w:shd w:val="clear" w:fill="F2F2F2"/>
      </w:pPr>
      <w:r>
        <w:rPr>
          <w:rFonts w:ascii="Consolas" w:hAnsi="Consolas" w:cs="Consolas"/>
          <w:b w:val="0"/>
          <w:i w:val="0"/>
          <w:sz w:val="15"/>
        </w:rPr>
        <w:t>ALTER TABLE packing_plans ADD COLUMN locked_at TIMESTAMPTZ;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packing_plans ADD COLUMN locked_by UUID REFERENCES employees(id);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packing_plans ADD COLUMN loom_hash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packing_plans ADD COLUMN previous_loom_hash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packing_plans ADD COLUMN digital_signature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packing_plans ADD COLUMN is_locked BOOLEAN DEFAULT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Barcode generation logs</w:t>
      </w:r>
    </w:p>
    <w:p>
      <w:pPr>
        <w:spacing w:after="0" w:before="0" w:line="240" w:lineRule="auto"/>
        <w:ind w:left="57"/>
        <w:jc w:val="left"/>
        <w:shd w:val="clear" w:fill="F2F2F2"/>
      </w:pPr>
      <w:r>
        <w:rPr>
          <w:rFonts w:ascii="Consolas" w:hAnsi="Consolas" w:cs="Consolas"/>
          <w:b w:val="0"/>
          <w:i w:val="0"/>
          <w:sz w:val="15"/>
        </w:rPr>
        <w:t>CREATE TABLE barcode_generation_logs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pallet_id UUID NOT NULL REFERENCES pallet_details(id) ON DELETE CASCADE,</w:t>
      </w:r>
    </w:p>
    <w:p>
      <w:pPr>
        <w:spacing w:after="0" w:before="0" w:line="240" w:lineRule="auto"/>
        <w:ind w:left="57"/>
        <w:jc w:val="left"/>
        <w:shd w:val="clear" w:fill="F2F2F2"/>
      </w:pPr>
      <w:r>
        <w:rPr>
          <w:rFonts w:ascii="Consolas" w:hAnsi="Consolas" w:cs="Consolas"/>
          <w:b w:val="0"/>
          <w:i w:val="0"/>
          <w:sz w:val="15"/>
        </w:rPr>
        <w:t xml:space="preserve">    sscc TEXT NOT NULL,</w:t>
      </w:r>
    </w:p>
    <w:p>
      <w:pPr>
        <w:spacing w:after="0" w:before="0" w:line="240" w:lineRule="auto"/>
        <w:ind w:left="57"/>
        <w:jc w:val="left"/>
        <w:shd w:val="clear" w:fill="F2F2F2"/>
      </w:pPr>
      <w:r>
        <w:rPr>
          <w:rFonts w:ascii="Consolas" w:hAnsi="Consolas" w:cs="Consolas"/>
          <w:b w:val="0"/>
          <w:i w:val="0"/>
          <w:sz w:val="15"/>
        </w:rPr>
        <w:t xml:space="preserve">    qr_code_data TEXT,</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generated_by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Reprint requests (post-loading)</w:t>
      </w:r>
    </w:p>
    <w:p>
      <w:pPr>
        <w:spacing w:after="0" w:before="0" w:line="240" w:lineRule="auto"/>
        <w:ind w:left="57"/>
        <w:jc w:val="left"/>
        <w:shd w:val="clear" w:fill="F2F2F2"/>
      </w:pPr>
      <w:r>
        <w:rPr>
          <w:rFonts w:ascii="Consolas" w:hAnsi="Consolas" w:cs="Consolas"/>
          <w:b w:val="0"/>
          <w:i w:val="0"/>
          <w:sz w:val="15"/>
        </w:rPr>
        <w:t>CREATE TABLE reprint_requests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pallet_id UUID NOT NULL REFERENCES pallet_details(id) ON DELETE CASCADE,</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status TEXT DEFAULT 'PENDING', -- 'PENDING', 'APPROVED', 'REJECTED'</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w:t>
      </w:r>
    </w:p>
    <w:p>
      <w:pPr>
        <w:spacing w:after="0" w:before="0" w:line="240" w:lineRule="auto"/>
        <w:ind w:left="57"/>
        <w:jc w:val="left"/>
        <w:shd w:val="clear" w:fill="F2F2F2"/>
      </w:pPr>
      <w:r>
        <w:rPr>
          <w:rFonts w:ascii="Consolas" w:hAnsi="Consolas" w:cs="Consolas"/>
          <w:b w:val="0"/>
          <w:i w:val="0"/>
          <w:sz w:val="15"/>
        </w:rPr>
        <w:t xml:space="preserve">    requested_by UUID REFERENCES employees(id),</w:t>
      </w:r>
    </w:p>
    <w:p>
      <w:pPr>
        <w:spacing w:after="0" w:before="0" w:line="240" w:lineRule="auto"/>
        <w:ind w:left="57"/>
        <w:jc w:val="left"/>
        <w:shd w:val="clear" w:fill="F2F2F2"/>
      </w:pPr>
      <w:r>
        <w:rPr>
          <w:rFonts w:ascii="Consolas" w:hAnsi="Consolas" w:cs="Consolas"/>
          <w:b w:val="0"/>
          <w:i w:val="0"/>
          <w:sz w:val="15"/>
        </w:rPr>
        <w:t xml:space="preserve">    requested_at TIMESTAMPTZ DEFAULT NOW(),</w:t>
      </w:r>
    </w:p>
    <w:p>
      <w:pPr>
        <w:spacing w:after="0" w:before="0" w:line="240" w:lineRule="auto"/>
        <w:ind w:left="57"/>
        <w:jc w:val="left"/>
        <w:shd w:val="clear" w:fill="F2F2F2"/>
      </w:pPr>
      <w:r>
        <w:rPr>
          <w:rFonts w:ascii="Consolas" w:hAnsi="Consolas" w:cs="Consolas"/>
          <w:b w:val="0"/>
          <w:i w:val="0"/>
          <w:sz w:val="15"/>
        </w:rPr>
        <w:t xml:space="preserve">    approved_at TIMESTAMPTZ,</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idx_packing_plans_is_locked ON packing_plans(is_locked) WHERE is_locked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idx_packing_plans_locked_at ON packing_plans(locked_at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idx_barcode_generation_logs_pallet ON barcode_generation_logs(pallet_id);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idx_reprint_requests_pallet ON reprint_requests(pallet_id);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idx_reprint_requests_status ON reprint_requests(status);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8.13.11 Implementation Checklist</w:t>
      </w:r>
    </w:p>
    <w:p>
      <w:pPr>
        <w:spacing w:after="80" w:line="293" w:lineRule="auto"/>
        <w:jc w:val="left"/>
      </w:pPr>
      <w:r>
        <w:rPr>
          <w:rFonts w:ascii="Times New Roman" w:hAnsi="Times New Roman" w:cs="Times New Roman"/>
          <w:b w:val="0"/>
          <w:i w:val="0"/>
          <w:sz w:val="22"/>
        </w:rPr>
        <w:t>Locking:</w:t>
      </w:r>
    </w:p>
    <w:p>
      <w:pPr>
        <w:spacing w:after="80" w:line="293" w:lineRule="auto"/>
        <w:ind w:left="283"/>
        <w:jc w:val="left"/>
      </w:pPr>
      <w:r>
        <w:rPr>
          <w:rFonts w:ascii="Times New Roman" w:hAnsi="Times New Roman" w:cs="Times New Roman"/>
          <w:b w:val="0"/>
          <w:i w:val="0"/>
          <w:sz w:val="22"/>
        </w:rPr>
        <w:t>- Implement lock endpoint (POST /v1/packing/{id}/lock)</w:t>
      </w:r>
    </w:p>
    <w:p>
      <w:pPr>
        <w:spacing w:after="80" w:line="293" w:lineRule="auto"/>
        <w:ind w:left="283"/>
        <w:jc w:val="left"/>
      </w:pPr>
      <w:r>
        <w:rPr>
          <w:rFonts w:ascii="Times New Roman" w:hAnsi="Times New Roman" w:cs="Times New Roman"/>
          <w:b w:val="0"/>
          <w:i w:val="0"/>
          <w:sz w:val="22"/>
        </w:rPr>
        <w:t>- Implement pre-lock validation (all gates)</w:t>
      </w:r>
    </w:p>
    <w:p>
      <w:pPr>
        <w:spacing w:after="80" w:line="293" w:lineRule="auto"/>
        <w:ind w:left="283"/>
        <w:jc w:val="left"/>
      </w:pPr>
      <w:r>
        <w:rPr>
          <w:rFonts w:ascii="Times New Roman" w:hAnsi="Times New Roman" w:cs="Times New Roman"/>
          <w:b w:val="0"/>
          <w:i w:val="0"/>
          <w:sz w:val="22"/>
        </w:rPr>
        <w:t>- Implement Loom hash generation</w:t>
      </w:r>
    </w:p>
    <w:p>
      <w:pPr>
        <w:spacing w:after="80" w:line="293" w:lineRule="auto"/>
        <w:ind w:left="283"/>
        <w:jc w:val="left"/>
      </w:pPr>
      <w:r>
        <w:rPr>
          <w:rFonts w:ascii="Times New Roman" w:hAnsi="Times New Roman" w:cs="Times New Roman"/>
          <w:b w:val="0"/>
          <w:i w:val="0"/>
          <w:sz w:val="22"/>
        </w:rPr>
        <w:t>- Implement digital signing</w:t>
      </w:r>
    </w:p>
    <w:p>
      <w:pPr>
        <w:spacing w:after="80" w:line="293" w:lineRule="auto"/>
        <w:ind w:left="283"/>
        <w:jc w:val="left"/>
      </w:pPr>
      <w:r>
        <w:rPr>
          <w:rFonts w:ascii="Times New Roman" w:hAnsi="Times New Roman" w:cs="Times New Roman"/>
          <w:b w:val="0"/>
          <w:i w:val="0"/>
          <w:sz w:val="22"/>
        </w:rPr>
        <w:t>- Implement lock state propagation (NATS)</w:t>
      </w:r>
    </w:p>
    <w:p>
      <w:pPr>
        <w:spacing w:after="80" w:line="293" w:lineRule="auto"/>
        <w:jc w:val="left"/>
      </w:pPr>
      <w:r>
        <w:rPr>
          <w:rFonts w:ascii="Times New Roman" w:hAnsi="Times New Roman" w:cs="Times New Roman"/>
          <w:b w:val="0"/>
          <w:i w:val="0"/>
          <w:sz w:val="22"/>
        </w:rPr>
        <w:t>Barcode generation:</w:t>
      </w:r>
    </w:p>
    <w:p>
      <w:pPr>
        <w:spacing w:after="80" w:line="293" w:lineRule="auto"/>
        <w:ind w:left="283"/>
        <w:jc w:val="left"/>
      </w:pPr>
      <w:r>
        <w:rPr>
          <w:rFonts w:ascii="Times New Roman" w:hAnsi="Times New Roman" w:cs="Times New Roman"/>
          <w:b w:val="0"/>
          <w:i w:val="0"/>
          <w:sz w:val="22"/>
        </w:rPr>
        <w:t>- Implement SSCC-18 generation (GS1)</w:t>
      </w:r>
    </w:p>
    <w:p>
      <w:pPr>
        <w:spacing w:after="80" w:line="293" w:lineRule="auto"/>
        <w:ind w:left="283"/>
        <w:jc w:val="left"/>
      </w:pPr>
      <w:r>
        <w:rPr>
          <w:rFonts w:ascii="Times New Roman" w:hAnsi="Times New Roman" w:cs="Times New Roman"/>
          <w:b w:val="0"/>
          <w:i w:val="0"/>
          <w:sz w:val="22"/>
        </w:rPr>
        <w:t>- Implement QR code generation with Verifiable Credential</w:t>
      </w:r>
    </w:p>
    <w:p>
      <w:pPr>
        <w:spacing w:after="80" w:line="293" w:lineRule="auto"/>
        <w:ind w:left="283"/>
        <w:jc w:val="left"/>
      </w:pPr>
      <w:r>
        <w:rPr>
          <w:rFonts w:ascii="Times New Roman" w:hAnsi="Times New Roman" w:cs="Times New Roman"/>
          <w:b w:val="0"/>
          <w:i w:val="0"/>
          <w:sz w:val="22"/>
        </w:rPr>
        <w:t>- Implement barcode storage</w:t>
      </w:r>
    </w:p>
    <w:p>
      <w:pPr>
        <w:spacing w:after="80" w:line="293" w:lineRule="auto"/>
        <w:ind w:left="283"/>
        <w:jc w:val="left"/>
      </w:pPr>
      <w:r>
        <w:rPr>
          <w:rFonts w:ascii="Times New Roman" w:hAnsi="Times New Roman" w:cs="Times New Roman"/>
          <w:b w:val="0"/>
          <w:i w:val="0"/>
          <w:sz w:val="22"/>
        </w:rPr>
        <w:t>- Implement barcode print job generation</w:t>
      </w:r>
    </w:p>
    <w:p>
      <w:pPr>
        <w:spacing w:after="80" w:line="293" w:lineRule="auto"/>
        <w:jc w:val="left"/>
      </w:pPr>
      <w:r>
        <w:rPr>
          <w:rFonts w:ascii="Times New Roman" w:hAnsi="Times New Roman" w:cs="Times New Roman"/>
          <w:b w:val="0"/>
          <w:i w:val="0"/>
          <w:sz w:val="22"/>
        </w:rPr>
        <w:t>Reprint policy:</w:t>
      </w:r>
    </w:p>
    <w:p>
      <w:pPr>
        <w:spacing w:after="80" w:line="293" w:lineRule="auto"/>
        <w:ind w:left="283"/>
        <w:jc w:val="left"/>
      </w:pPr>
      <w:r>
        <w:rPr>
          <w:rFonts w:ascii="Times New Roman" w:hAnsi="Times New Roman" w:cs="Times New Roman"/>
          <w:b w:val="0"/>
          <w:i w:val="0"/>
          <w:sz w:val="22"/>
        </w:rPr>
        <w:t>- Implement reprint request endpoint (POST /v1/packing/{id}/reprint)</w:t>
      </w:r>
    </w:p>
    <w:p>
      <w:pPr>
        <w:spacing w:after="80" w:line="293" w:lineRule="auto"/>
        <w:ind w:left="283"/>
        <w:jc w:val="left"/>
      </w:pPr>
      <w:r>
        <w:rPr>
          <w:rFonts w:ascii="Times New Roman" w:hAnsi="Times New Roman" w:cs="Times New Roman"/>
          <w:b w:val="0"/>
          <w:i w:val="0"/>
          <w:sz w:val="22"/>
        </w:rPr>
        <w:t>- Implement Governor decision for reprint</w:t>
      </w:r>
    </w:p>
    <w:p>
      <w:pPr>
        <w:spacing w:after="80" w:line="293" w:lineRule="auto"/>
        <w:ind w:left="283"/>
        <w:jc w:val="left"/>
      </w:pPr>
      <w:r>
        <w:rPr>
          <w:rFonts w:ascii="Times New Roman" w:hAnsi="Times New Roman" w:cs="Times New Roman"/>
          <w:b w:val="0"/>
          <w:i w:val="0"/>
          <w:sz w:val="22"/>
        </w:rPr>
        <w:t>- Implement reprint approval workflow</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Unit tests: lock validation; SSCC generation; Loom hashing</w:t>
      </w:r>
    </w:p>
    <w:p>
      <w:pPr>
        <w:spacing w:after="80" w:line="293" w:lineRule="auto"/>
        <w:ind w:left="283"/>
        <w:jc w:val="left"/>
      </w:pPr>
      <w:r>
        <w:rPr>
          <w:rFonts w:ascii="Times New Roman" w:hAnsi="Times New Roman" w:cs="Times New Roman"/>
          <w:b w:val="0"/>
          <w:i w:val="0"/>
          <w:sz w:val="22"/>
        </w:rPr>
        <w:t>- Integration tests: lock → barcode generation; reprint workflow</w:t>
      </w:r>
    </w:p>
    <w:p>
      <w:pPr>
        <w:spacing w:after="80" w:line="293" w:lineRule="auto"/>
        <w:ind w:left="283"/>
        <w:jc w:val="left"/>
      </w:pPr>
      <w:r>
        <w:rPr>
          <w:rFonts w:ascii="Times New Roman" w:hAnsi="Times New Roman" w:cs="Times New Roman"/>
          <w:b w:val="0"/>
          <w:i w:val="0"/>
          <w:sz w:val="22"/>
        </w:rPr>
        <w:t>- End-to-end tests: full lock workflow</w:t>
      </w:r>
    </w:p>
    <w:p>
      <w:pPr>
        <w:keepNext/>
        <w:spacing w:before="180" w:after="80"/>
        <w:outlineLvl w:val="2"/>
      </w:pPr>
      <w:r>
        <w:rPr>
          <w:rFonts w:ascii="Arial" w:hAnsi="Arial" w:cs="Arial"/>
          <w:b/>
          <w:i w:val="0"/>
          <w:color w:val="333333"/>
          <w:sz w:val="23"/>
        </w:rPr>
        <w:t>8.13.12 Label Print Workflow</w:t>
      </w:r>
    </w:p>
    <w:p>
      <w:pPr>
        <w:keepNext/>
        <w:spacing w:before="140" w:after="60"/>
        <w:outlineLvl w:val="3"/>
      </w:pPr>
      <w:r>
        <w:rPr>
          <w:rFonts w:ascii="Arial" w:hAnsi="Arial" w:cs="Arial"/>
          <w:b/>
          <w:i/>
          <w:color w:val="333333"/>
          <w:sz w:val="22"/>
        </w:rPr>
        <w:t>8.13.12.1 Printer Compatibility</w:t>
      </w:r>
    </w:p>
    <w:p>
      <w:pPr>
        <w:spacing w:after="80" w:line="293" w:lineRule="auto"/>
        <w:jc w:val="left"/>
      </w:pPr>
      <w:r>
        <w:rPr>
          <w:rFonts w:ascii="Times New Roman" w:hAnsi="Times New Roman" w:cs="Times New Roman"/>
          <w:b w:val="0"/>
          <w:i w:val="0"/>
          <w:sz w:val="22"/>
        </w:rPr>
        <w:t>Two print paths are supported: ZPL (Zebra Programming Language) direct label printing for Zebra-compatible industrial label printers, and PDF label sheets for standard office printers. Print jobs are generated from the locked plan (sscc_barcodes.zpl, label_sheets.pdf).</w:t>
      </w:r>
    </w:p>
    <w:p>
      <w:pPr>
        <w:keepNext/>
        <w:spacing w:before="140" w:after="60"/>
        <w:outlineLvl w:val="3"/>
      </w:pPr>
      <w:r>
        <w:rPr>
          <w:rFonts w:ascii="Arial" w:hAnsi="Arial" w:cs="Arial"/>
          <w:b/>
          <w:i/>
          <w:color w:val="333333"/>
          <w:sz w:val="22"/>
        </w:rPr>
        <w:t>8.13.12.2 Label Customisation</w:t>
      </w:r>
    </w:p>
    <w:p>
      <w:pPr>
        <w:spacing w:after="80" w:line="293" w:lineRule="auto"/>
        <w:jc w:val="left"/>
      </w:pPr>
      <w:r>
        <w:rPr>
          <w:rFonts w:ascii="Times New Roman" w:hAnsi="Times New Roman" w:cs="Times New Roman"/>
          <w:b w:val="0"/>
          <w:i w:val="0"/>
          <w:sz w:val="22"/>
        </w:rPr>
        <w:t>The seller can customise label content before printing: select the language for human-readable text (Groq translates product name and handling instructions); choose which data fields to display (for example, hide lot number, show buyer name, show cold treatment status, show layer breakdown); select predefined templates — "Standard", "Customs-Ready" (includes HS code and origin in large font), and "Consignee" (includes delivery address).</w:t>
      </w:r>
    </w:p>
    <w:p>
      <w:pPr>
        <w:keepNext/>
        <w:spacing w:before="140" w:after="60"/>
        <w:outlineLvl w:val="3"/>
      </w:pPr>
      <w:r>
        <w:rPr>
          <w:rFonts w:ascii="Arial" w:hAnsi="Arial" w:cs="Arial"/>
          <w:b/>
          <w:i/>
          <w:color w:val="333333"/>
          <w:sz w:val="22"/>
        </w:rPr>
        <w:t>8.13.12.3 Reprint Policy (Label Print)</w:t>
      </w:r>
    </w:p>
    <w:p>
      <w:pPr>
        <w:spacing w:after="80" w:line="293" w:lineRule="auto"/>
        <w:jc w:val="left"/>
      </w:pPr>
      <w:r>
        <w:rPr>
          <w:rFonts w:ascii="Times New Roman" w:hAnsi="Times New Roman" w:cs="Times New Roman"/>
          <w:b w:val="0"/>
          <w:i w:val="0"/>
          <w:sz w:val="22"/>
        </w:rPr>
        <w:t>One-click: Print (1). Reprint request (1) → Governor approval (if auto-approved) → reprint. AI authority: A4 for Governor enforcement.</w:t>
      </w:r>
    </w:p>
    <w:p>
      <w:pPr>
        <w:keepNext/>
        <w:spacing w:before="180" w:after="80"/>
        <w:outlineLvl w:val="2"/>
      </w:pPr>
      <w:r>
        <w:rPr>
          <w:rFonts w:ascii="Arial" w:hAnsi="Arial" w:cs="Arial"/>
          <w:b/>
          <w:i w:val="0"/>
          <w:color w:val="333333"/>
          <w:sz w:val="23"/>
        </w:rPr>
        <w:t>8.13.13 Part-Level Implementation Checklist (Packing &amp; Documents)</w:t>
      </w:r>
    </w:p>
    <w:p>
      <w:pPr>
        <w:spacing w:after="80" w:line="293" w:lineRule="auto"/>
        <w:jc w:val="left"/>
      </w:pPr>
      <w:r>
        <w:rPr>
          <w:rFonts w:ascii="Times New Roman" w:hAnsi="Times New Roman" w:cs="Times New Roman"/>
          <w:b w:val="0"/>
          <w:i w:val="0"/>
          <w:sz w:val="22"/>
        </w:rPr>
        <w:t>Weight calculation &amp; packing:</w:t>
      </w:r>
    </w:p>
    <w:p>
      <w:pPr>
        <w:spacing w:after="80" w:line="293" w:lineRule="auto"/>
        <w:ind w:left="283"/>
        <w:jc w:val="left"/>
      </w:pPr>
      <w:r>
        <w:rPr>
          <w:rFonts w:ascii="Times New Roman" w:hAnsi="Times New Roman" w:cs="Times New Roman"/>
          <w:b w:val="0"/>
          <w:i w:val="0"/>
          <w:sz w:val="22"/>
        </w:rPr>
        <w:t>- Implement weight calculation engine (Rust) in packing-service</w:t>
      </w:r>
    </w:p>
    <w:p>
      <w:pPr>
        <w:spacing w:after="80" w:line="293" w:lineRule="auto"/>
        <w:ind w:left="283"/>
        <w:jc w:val="left"/>
      </w:pPr>
      <w:r>
        <w:rPr>
          <w:rFonts w:ascii="Times New Roman" w:hAnsi="Times New Roman" w:cs="Times New Roman"/>
          <w:b w:val="0"/>
          <w:i w:val="0"/>
          <w:sz w:val="22"/>
        </w:rPr>
        <w:t>- Integrate ORTools for palletisation solver (Python subprocess or Rust binding)</w:t>
      </w:r>
    </w:p>
    <w:p>
      <w:pPr>
        <w:spacing w:after="80" w:line="293" w:lineRule="auto"/>
        <w:ind w:left="283"/>
        <w:jc w:val="left"/>
      </w:pPr>
      <w:r>
        <w:rPr>
          <w:rFonts w:ascii="Times New Roman" w:hAnsi="Times New Roman" w:cs="Times New Roman"/>
          <w:b w:val="0"/>
          <w:i w:val="0"/>
          <w:sz w:val="22"/>
        </w:rPr>
        <w:t>- Extend solver to support non-uniform layer patterns</w:t>
      </w:r>
    </w:p>
    <w:p>
      <w:pPr>
        <w:spacing w:after="80" w:line="293" w:lineRule="auto"/>
        <w:ind w:left="283"/>
        <w:jc w:val="left"/>
      </w:pPr>
      <w:r>
        <w:rPr>
          <w:rFonts w:ascii="Times New Roman" w:hAnsi="Times New Roman" w:cs="Times New Roman"/>
          <w:b w:val="0"/>
          <w:i w:val="0"/>
          <w:sz w:val="22"/>
        </w:rPr>
        <w:t>- Build 3D container viewer (Three.js) with capacity heatmap toggle</w:t>
      </w:r>
    </w:p>
    <w:p>
      <w:pPr>
        <w:spacing w:after="80" w:line="293" w:lineRule="auto"/>
        <w:ind w:left="283"/>
        <w:jc w:val="left"/>
      </w:pPr>
      <w:r>
        <w:rPr>
          <w:rFonts w:ascii="Times New Roman" w:hAnsi="Times New Roman" w:cs="Times New Roman"/>
          <w:b w:val="0"/>
          <w:i w:val="0"/>
          <w:sz w:val="22"/>
        </w:rPr>
        <w:t>- Implement collaborative editing (Yjs + WebRTC) with OPA permission checks</w:t>
      </w:r>
    </w:p>
    <w:p>
      <w:pPr>
        <w:spacing w:after="80" w:line="293" w:lineRule="auto"/>
        <w:jc w:val="left"/>
      </w:pPr>
      <w:r>
        <w:rPr>
          <w:rFonts w:ascii="Times New Roman" w:hAnsi="Times New Roman" w:cs="Times New Roman"/>
          <w:b w:val="0"/>
          <w:i w:val="0"/>
          <w:sz w:val="22"/>
        </w:rPr>
        <w:t>Document generation:</w:t>
      </w:r>
    </w:p>
    <w:p>
      <w:pPr>
        <w:spacing w:after="80" w:line="293" w:lineRule="auto"/>
        <w:ind w:left="283"/>
        <w:jc w:val="left"/>
      </w:pPr>
      <w:r>
        <w:rPr>
          <w:rFonts w:ascii="Times New Roman" w:hAnsi="Times New Roman" w:cs="Times New Roman"/>
          <w:b w:val="0"/>
          <w:i w:val="0"/>
          <w:sz w:val="22"/>
        </w:rPr>
        <w:t>- Create packing list PDF generator (Tera + headless Chrome) with SSCC and QR codes</w:t>
      </w:r>
    </w:p>
    <w:p>
      <w:pPr>
        <w:spacing w:after="80" w:line="293" w:lineRule="auto"/>
        <w:ind w:left="283"/>
        <w:jc w:val="left"/>
      </w:pPr>
      <w:r>
        <w:rPr>
          <w:rFonts w:ascii="Times New Roman" w:hAnsi="Times New Roman" w:cs="Times New Roman"/>
          <w:b w:val="0"/>
          <w:i w:val="0"/>
          <w:sz w:val="22"/>
        </w:rPr>
        <w:t>- Implement layer breakdown display in packing list</w:t>
      </w:r>
    </w:p>
    <w:p>
      <w:pPr>
        <w:spacing w:after="80" w:line="293" w:lineRule="auto"/>
        <w:ind w:left="283"/>
        <w:jc w:val="left"/>
      </w:pPr>
      <w:r>
        <w:rPr>
          <w:rFonts w:ascii="Times New Roman" w:hAnsi="Times New Roman" w:cs="Times New Roman"/>
          <w:b w:val="0"/>
          <w:i w:val="0"/>
          <w:sz w:val="22"/>
        </w:rPr>
        <w:t>- Implement automated invoice generation (UBL 2.1)</w:t>
      </w:r>
    </w:p>
    <w:p>
      <w:pPr>
        <w:spacing w:after="80" w:line="293" w:lineRule="auto"/>
        <w:ind w:left="283"/>
        <w:jc w:val="left"/>
      </w:pPr>
      <w:r>
        <w:rPr>
          <w:rFonts w:ascii="Times New Roman" w:hAnsi="Times New Roman" w:cs="Times New Roman"/>
          <w:b w:val="0"/>
          <w:i w:val="0"/>
          <w:sz w:val="22"/>
        </w:rPr>
        <w:t>- Add ETA submission with mTLS signing</w:t>
      </w:r>
    </w:p>
    <w:p>
      <w:pPr>
        <w:spacing w:after="80" w:line="293" w:lineRule="auto"/>
        <w:ind w:left="283"/>
        <w:jc w:val="left"/>
      </w:pPr>
      <w:r>
        <w:rPr>
          <w:rFonts w:ascii="Times New Roman" w:hAnsi="Times New Roman" w:cs="Times New Roman"/>
          <w:b w:val="0"/>
          <w:i w:val="0"/>
          <w:sz w:val="22"/>
        </w:rPr>
        <w:t>- Build customs declaration pre-filler (Nafeza SAD) from packing and invoice data</w:t>
      </w:r>
    </w:p>
    <w:p>
      <w:pPr>
        <w:spacing w:after="80" w:line="293" w:lineRule="auto"/>
        <w:jc w:val="left"/>
      </w:pPr>
      <w:r>
        <w:rPr>
          <w:rFonts w:ascii="Times New Roman" w:hAnsi="Times New Roman" w:cs="Times New Roman"/>
          <w:b w:val="0"/>
          <w:i w:val="0"/>
          <w:sz w:val="22"/>
        </w:rPr>
        <w:t>Sustainability &amp; compliance:</w:t>
      </w:r>
    </w:p>
    <w:p>
      <w:pPr>
        <w:spacing w:after="80" w:line="293" w:lineRule="auto"/>
        <w:ind w:left="283"/>
        <w:jc w:val="left"/>
      </w:pPr>
      <w:r>
        <w:rPr>
          <w:rFonts w:ascii="Times New Roman" w:hAnsi="Times New Roman" w:cs="Times New Roman"/>
          <w:b w:val="0"/>
          <w:i w:val="0"/>
          <w:sz w:val="22"/>
        </w:rPr>
        <w:t>- Implement ecological packaging advisor (call Groq/Ollama with material DB)</w:t>
      </w:r>
    </w:p>
    <w:p>
      <w:pPr>
        <w:spacing w:after="80" w:line="293" w:lineRule="auto"/>
        <w:ind w:left="283"/>
        <w:jc w:val="left"/>
      </w:pPr>
      <w:r>
        <w:rPr>
          <w:rFonts w:ascii="Times New Roman" w:hAnsi="Times New Roman" w:cs="Times New Roman"/>
          <w:b w:val="0"/>
          <w:i w:val="0"/>
          <w:sz w:val="22"/>
        </w:rPr>
        <w:t>- Build carbon footprint calculator (LSTM model for vessel emissions; use IEA factors)</w:t>
      </w:r>
    </w:p>
    <w:p>
      <w:pPr>
        <w:spacing w:after="80" w:line="293" w:lineRule="auto"/>
        <w:ind w:left="283"/>
        <w:jc w:val="left"/>
      </w:pPr>
      <w:r>
        <w:rPr>
          <w:rFonts w:ascii="Times New Roman" w:hAnsi="Times New Roman" w:cs="Times New Roman"/>
          <w:b w:val="0"/>
          <w:i w:val="0"/>
          <w:sz w:val="22"/>
        </w:rPr>
        <w:t>- Create CBAM report generator (XML template)</w:t>
      </w:r>
    </w:p>
    <w:p>
      <w:pPr>
        <w:spacing w:after="80" w:line="293" w:lineRule="auto"/>
        <w:ind w:left="283"/>
        <w:jc w:val="left"/>
      </w:pPr>
      <w:r>
        <w:rPr>
          <w:rFonts w:ascii="Times New Roman" w:hAnsi="Times New Roman" w:cs="Times New Roman"/>
          <w:b w:val="0"/>
          <w:i w:val="0"/>
          <w:sz w:val="22"/>
        </w:rPr>
        <w:t>- Implement PDF/A-3 archival format for all generated documents</w:t>
      </w:r>
    </w:p>
    <w:p>
      <w:pPr>
        <w:spacing w:after="80" w:line="293" w:lineRule="auto"/>
        <w:jc w:val="left"/>
      </w:pPr>
      <w:r>
        <w:rPr>
          <w:rFonts w:ascii="Times New Roman" w:hAnsi="Times New Roman" w:cs="Times New Roman"/>
          <w:b w:val="0"/>
          <w:i w:val="0"/>
          <w:sz w:val="22"/>
        </w:rPr>
        <w:t>Barcode &amp; printing:</w:t>
      </w:r>
    </w:p>
    <w:p>
      <w:pPr>
        <w:spacing w:after="80" w:line="293" w:lineRule="auto"/>
        <w:ind w:left="283"/>
        <w:jc w:val="left"/>
      </w:pPr>
      <w:r>
        <w:rPr>
          <w:rFonts w:ascii="Times New Roman" w:hAnsi="Times New Roman" w:cs="Times New Roman"/>
          <w:b w:val="0"/>
          <w:i w:val="0"/>
          <w:sz w:val="22"/>
        </w:rPr>
        <w:t>- Implement SSCC-18 generation (GS1 standard)</w:t>
      </w:r>
    </w:p>
    <w:p>
      <w:pPr>
        <w:spacing w:after="80" w:line="293" w:lineRule="auto"/>
        <w:ind w:left="283"/>
        <w:jc w:val="left"/>
      </w:pPr>
      <w:r>
        <w:rPr>
          <w:rFonts w:ascii="Times New Roman" w:hAnsi="Times New Roman" w:cs="Times New Roman"/>
          <w:b w:val="0"/>
          <w:i w:val="0"/>
          <w:sz w:val="22"/>
        </w:rPr>
        <w:t>- Generate QR codes with verifiable credentials (zero-knowledge proofs)</w:t>
      </w:r>
    </w:p>
    <w:p>
      <w:pPr>
        <w:spacing w:after="80" w:line="293" w:lineRule="auto"/>
        <w:ind w:left="283"/>
        <w:jc w:val="left"/>
      </w:pPr>
      <w:r>
        <w:rPr>
          <w:rFonts w:ascii="Times New Roman" w:hAnsi="Times New Roman" w:cs="Times New Roman"/>
          <w:b w:val="0"/>
          <w:i w:val="0"/>
          <w:sz w:val="22"/>
        </w:rPr>
        <w:t>- Create label print workflow (ZPL and PDF)</w:t>
      </w:r>
    </w:p>
    <w:p>
      <w:pPr>
        <w:spacing w:after="80" w:line="293" w:lineRule="auto"/>
        <w:ind w:left="283"/>
        <w:jc w:val="left"/>
      </w:pPr>
      <w:r>
        <w:rPr>
          <w:rFonts w:ascii="Times New Roman" w:hAnsi="Times New Roman" w:cs="Times New Roman"/>
          <w:b w:val="0"/>
          <w:i w:val="0"/>
          <w:sz w:val="22"/>
        </w:rPr>
        <w:t>- Implement reprint policy with Governor enforcement</w:t>
      </w:r>
    </w:p>
    <w:p>
      <w:pPr>
        <w:spacing w:after="80" w:line="293" w:lineRule="auto"/>
        <w:jc w:val="left"/>
      </w:pPr>
      <w:r>
        <w:rPr>
          <w:rFonts w:ascii="Times New Roman" w:hAnsi="Times New Roman" w:cs="Times New Roman"/>
          <w:b w:val="0"/>
          <w:i w:val="0"/>
          <w:sz w:val="22"/>
        </w:rPr>
        <w:t>Lock &amp; governance:</w:t>
      </w:r>
    </w:p>
    <w:p>
      <w:pPr>
        <w:spacing w:after="80" w:line="293" w:lineRule="auto"/>
        <w:ind w:left="283"/>
        <w:jc w:val="left"/>
      </w:pPr>
      <w:r>
        <w:rPr>
          <w:rFonts w:ascii="Times New Roman" w:hAnsi="Times New Roman" w:cs="Times New Roman"/>
          <w:b w:val="0"/>
          <w:i w:val="0"/>
          <w:sz w:val="22"/>
        </w:rPr>
        <w:t>- Implement packing plan lock with Governor validation</w:t>
      </w:r>
    </w:p>
    <w:p>
      <w:pPr>
        <w:spacing w:after="80" w:line="293" w:lineRule="auto"/>
        <w:ind w:left="283"/>
        <w:jc w:val="left"/>
      </w:pPr>
      <w:r>
        <w:rPr>
          <w:rFonts w:ascii="Times New Roman" w:hAnsi="Times New Roman" w:cs="Times New Roman"/>
          <w:b w:val="0"/>
          <w:i w:val="0"/>
          <w:sz w:val="22"/>
        </w:rPr>
        <w:t>- Add WasmEdge compatibility checks</w:t>
      </w:r>
    </w:p>
    <w:p>
      <w:pPr>
        <w:spacing w:after="80" w:line="293" w:lineRule="auto"/>
        <w:ind w:left="283"/>
        <w:jc w:val="left"/>
      </w:pPr>
      <w:r>
        <w:rPr>
          <w:rFonts w:ascii="Times New Roman" w:hAnsi="Times New Roman" w:cs="Times New Roman"/>
          <w:b w:val="0"/>
          <w:i w:val="0"/>
          <w:sz w:val="22"/>
        </w:rPr>
        <w:t>- Create Loom hash for immutable packing plan</w:t>
      </w:r>
    </w:p>
    <w:p>
      <w:pPr>
        <w:spacing w:after="80" w:line="293" w:lineRule="auto"/>
        <w:jc w:val="left"/>
      </w:pPr>
      <w:r>
        <w:rPr>
          <w:rFonts w:ascii="Times New Roman" w:hAnsi="Times New Roman" w:cs="Times New Roman"/>
          <w:b w:val="0"/>
          <w:i w:val="0"/>
          <w:sz w:val="22"/>
        </w:rPr>
        <w:t>Integration tests:</w:t>
      </w:r>
    </w:p>
    <w:p>
      <w:pPr>
        <w:spacing w:after="80" w:line="293" w:lineRule="auto"/>
        <w:ind w:left="283"/>
        <w:jc w:val="left"/>
      </w:pPr>
      <w:r>
        <w:rPr>
          <w:rFonts w:ascii="Times New Roman" w:hAnsi="Times New Roman" w:cs="Times New Roman"/>
          <w:b w:val="0"/>
          <w:i w:val="0"/>
          <w:sz w:val="22"/>
        </w:rPr>
        <w:t>- Seller locks packing plan (with non-uniform layers) → SSCCs generated → packing list PDF (with layer breakdown) → invoice generated → ETA submission → Nafeza SAD pre-filled</w:t>
      </w:r>
    </w:p>
    <w:p>
      <w:pPr>
        <w:spacing w:after="80" w:line="293" w:lineRule="auto"/>
        <w:ind w:left="283"/>
        <w:jc w:val="left"/>
      </w:pPr>
      <w:r>
        <w:rPr>
          <w:rFonts w:ascii="Times New Roman" w:hAnsi="Times New Roman" w:cs="Times New Roman"/>
          <w:b w:val="0"/>
          <w:i w:val="0"/>
          <w:sz w:val="22"/>
        </w:rPr>
        <w:t>- Test carbon footprint calculation for EU-bound shipment</w:t>
      </w:r>
    </w:p>
    <w:p>
      <w:pPr>
        <w:spacing w:after="80" w:line="293" w:lineRule="auto"/>
        <w:ind w:left="283"/>
        <w:jc w:val="left"/>
      </w:pPr>
      <w:r>
        <w:rPr>
          <w:rFonts w:ascii="Times New Roman" w:hAnsi="Times New Roman" w:cs="Times New Roman"/>
          <w:b w:val="0"/>
          <w:i w:val="0"/>
          <w:sz w:val="22"/>
        </w:rPr>
        <w:t>- Test ecological packaging advisor suggestion and apply</w:t>
      </w:r>
    </w:p>
    <w:p>
      <w:pPr>
        <w:spacing w:after="80" w:line="293" w:lineRule="auto"/>
        <w:ind w:left="283"/>
        <w:jc w:val="left"/>
      </w:pPr>
      <w:r>
        <w:rPr>
          <w:rFonts w:ascii="Times New Roman" w:hAnsi="Times New Roman" w:cs="Times New Roman"/>
          <w:b w:val="0"/>
          <w:i w:val="0"/>
          <w:sz w:val="22"/>
        </w:rPr>
        <w:t>- Test PDF/A-3 generation and validation</w:t>
      </w:r>
    </w:p>
    <w:p>
      <w:pPr>
        <w:spacing w:after="80" w:line="293" w:lineRule="auto"/>
        <w:ind w:left="283"/>
        <w:jc w:val="left"/>
      </w:pPr>
      <w:r>
        <w:rPr>
          <w:rFonts w:ascii="Times New Roman" w:hAnsi="Times New Roman" w:cs="Times New Roman"/>
          <w:b w:val="0"/>
          <w:i w:val="0"/>
          <w:sz w:val="22"/>
        </w:rPr>
        <w:t>- Test reprint policy (pre-loading vs post-loading)</w:t>
      </w:r>
    </w:p>
    <w:p>
      <w:pPr>
        <w:keepNext/>
        <w:spacing w:before="180" w:after="80"/>
        <w:outlineLvl w:val="2"/>
      </w:pPr>
      <w:r>
        <w:rPr>
          <w:rFonts w:ascii="Arial" w:hAnsi="Arial" w:cs="Arial"/>
          <w:b/>
          <w:i w:val="0"/>
          <w:color w:val="333333"/>
          <w:sz w:val="23"/>
        </w:rPr>
        <w:t>8.13.14 AI Authority Summary (Packing &amp; Documents)</w:t>
      </w:r>
    </w:p>
    <w:p>
      <w:pPr>
        <w:spacing w:after="80" w:line="293" w:lineRule="auto"/>
        <w:jc w:val="left"/>
      </w:pPr>
      <w:r>
        <w:rPr>
          <w:rFonts w:ascii="Times New Roman" w:hAnsi="Times New Roman" w:cs="Times New Roman"/>
          <w:b w:val="0"/>
          <w:i w:val="0"/>
          <w:sz w:val="22"/>
        </w:rPr>
        <w:t>Across the packing, document, and locking modules, AI authority is bounded as follows: A1 (Groq → Ollama) — advisory generation only (loading guides, translations, ecological recommendations, insights, explanations); A2 (HF local) — local analytics (compliance checks, carbon modelling, lab result validation, field confidence scores); A4 (OPA + WasmEdge) — deterministic enforcement (weight and stacking validation, permission checks, lock preconditions, archival conformance, submission gates). No AI component may lock a plan, generate or mutate barcodes, submit to government APIs, sign documents, or alter any immutable record.</w:t>
      </w:r>
    </w:p>
    <w:p>
      <w:pPr>
        <w:keepNext/>
        <w:spacing w:before="240" w:after="100"/>
        <w:outlineLvl w:val="1"/>
      </w:pPr>
      <w:r>
        <w:rPr>
          <w:rFonts w:ascii="Arial" w:hAnsi="Arial" w:cs="Arial"/>
          <w:b/>
          <w:i w:val="0"/>
          <w:color w:val="2E528F"/>
          <w:sz w:val="26"/>
        </w:rPr>
        <w:t>8.7 Provider Quotation Model — Quotation Collection from GTIDs</w:t>
      </w:r>
    </w:p>
    <w:p>
      <w:pPr>
        <w:spacing w:after="80" w:line="293" w:lineRule="auto"/>
        <w:jc w:val="left"/>
      </w:pPr>
      <w:r>
        <w:rPr>
          <w:rFonts w:ascii="Times New Roman" w:hAnsi="Times New Roman" w:cs="Times New Roman"/>
          <w:b w:val="0"/>
          <w:i w:val="0"/>
          <w:sz w:val="22"/>
        </w:rPr>
        <w:t>Every logistics, inspection, laboratory, brokerage, and government fee in a trade enters the platform as a quotation issued from a verified provider GTID and bound to the USTN. This is the transparency foundation of the payment manifest: no leg can exist without an attributable quote.</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Seller / System</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Seller / System</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val="0"/>
          <w:i w:val="0"/>
          <w:sz w:val="22"/>
        </w:rPr>
        <w:t>1. Seller selects logistics providers (Mode A, B, or C)</w:t>
      </w:r>
    </w:p>
    <w:p>
      <w:pPr>
        <w:spacing w:after="80" w:line="293" w:lineRule="auto"/>
        <w:jc w:val="left"/>
      </w:pPr>
      <w:r>
        <w:rPr>
          <w:rFonts w:ascii="Times New Roman" w:hAnsi="Times New Roman" w:cs="Times New Roman"/>
          <w:b w:val="0"/>
          <w:i w:val="0"/>
          <w:sz w:val="22"/>
        </w:rPr>
        <w:t>2. Each provider submits quote from their GTID</w:t>
      </w:r>
    </w:p>
    <w:p>
      <w:pPr>
        <w:spacing w:after="80" w:line="293" w:lineRule="auto"/>
        <w:jc w:val="left"/>
      </w:pPr>
      <w:r>
        <w:rPr>
          <w:rFonts w:ascii="Times New Roman" w:hAnsi="Times New Roman" w:cs="Times New Roman"/>
          <w:b w:val="0"/>
          <w:i w:val="0"/>
          <w:sz w:val="22"/>
        </w:rPr>
        <w:t>3. System collects quotes from:</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Provider Type</w:t>
            </w:r>
          </w:p>
        </w:tc>
        <w:tc>
          <w:tcPr>
            <w:tcW w:type="dxa" w:w="2409"/>
            <w:shd w:val="clear" w:fill="D9E2F3"/>
          </w:tcPr>
          <w:p>
            <w:pPr>
              <w:spacing w:after="20" w:before="20" w:line="240" w:lineRule="auto"/>
            </w:pPr>
            <w:r/>
            <w:r>
              <w:rPr>
                <w:rFonts w:ascii="Arial" w:hAnsi="Arial" w:cs="Arial"/>
                <w:b/>
                <w:i w:val="0"/>
                <w:sz w:val="18"/>
              </w:rPr>
              <w:t>GTID</w:t>
            </w:r>
          </w:p>
        </w:tc>
        <w:tc>
          <w:tcPr>
            <w:tcW w:type="dxa" w:w="2409"/>
            <w:shd w:val="clear" w:fill="D9E2F3"/>
          </w:tcPr>
          <w:p>
            <w:pPr>
              <w:spacing w:after="20" w:before="20" w:line="240" w:lineRule="auto"/>
            </w:pPr>
            <w:r/>
            <w:r>
              <w:rPr>
                <w:rFonts w:ascii="Arial" w:hAnsi="Arial" w:cs="Arial"/>
                <w:b/>
                <w:i w:val="0"/>
                <w:sz w:val="18"/>
              </w:rPr>
              <w:t>Service</w:t>
            </w:r>
          </w:p>
        </w:tc>
        <w:tc>
          <w:tcPr>
            <w:tcW w:type="dxa" w:w="2409"/>
            <w:shd w:val="clear" w:fill="D9E2F3"/>
          </w:tcPr>
          <w:p>
            <w:pPr>
              <w:spacing w:after="20" w:before="20" w:line="240" w:lineRule="auto"/>
            </w:pPr>
            <w:r/>
            <w:r>
              <w:rPr>
                <w:rFonts w:ascii="Arial" w:hAnsi="Arial" w:cs="Arial"/>
                <w:b/>
                <w:i w:val="0"/>
                <w:sz w:val="18"/>
              </w:rPr>
              <w:t>Example Quote</w:t>
            </w:r>
          </w:p>
        </w:tc>
      </w:tr>
      <w:tr>
        <w:tc>
          <w:tcPr>
            <w:tcW w:type="dxa" w:w="2409"/>
          </w:tcPr>
          <w:p>
            <w:pPr>
              <w:spacing w:after="20" w:before="20" w:line="240" w:lineRule="auto"/>
            </w:pPr>
            <w:r/>
            <w:r>
              <w:rPr>
                <w:rFonts w:ascii="Arial" w:hAnsi="Arial" w:cs="Arial"/>
                <w:b w:val="0"/>
                <w:i w:val="0"/>
                <w:sz w:val="17"/>
              </w:rPr>
              <w:t>Shipping Line</w:t>
            </w:r>
          </w:p>
        </w:tc>
        <w:tc>
          <w:tcPr>
            <w:tcW w:type="dxa" w:w="2409"/>
          </w:tcPr>
          <w:p>
            <w:pPr>
              <w:spacing w:after="20" w:before="20" w:line="240" w:lineRule="auto"/>
            </w:pPr>
            <w:r/>
            <w:r>
              <w:rPr>
                <w:rFonts w:ascii="Arial" w:hAnsi="Arial" w:cs="Arial"/>
                <w:b w:val="0"/>
                <w:i w:val="0"/>
                <w:sz w:val="17"/>
              </w:rPr>
              <w:t>SGTX-EG-SHIP-001</w:t>
            </w:r>
          </w:p>
        </w:tc>
        <w:tc>
          <w:tcPr>
            <w:tcW w:type="dxa" w:w="2409"/>
          </w:tcPr>
          <w:p>
            <w:pPr>
              <w:spacing w:after="20" w:before="20" w:line="240" w:lineRule="auto"/>
            </w:pPr>
            <w:r/>
            <w:r>
              <w:rPr>
                <w:rFonts w:ascii="Arial" w:hAnsi="Arial" w:cs="Arial"/>
                <w:b w:val="0"/>
                <w:i w:val="0"/>
                <w:sz w:val="17"/>
              </w:rPr>
              <w:t>Ocean Freight</w:t>
            </w:r>
          </w:p>
        </w:tc>
        <w:tc>
          <w:tcPr>
            <w:tcW w:type="dxa" w:w="2409"/>
          </w:tcPr>
          <w:p>
            <w:pPr>
              <w:spacing w:after="20" w:before="20" w:line="240" w:lineRule="auto"/>
            </w:pPr>
            <w:r/>
            <w:r>
              <w:rPr>
                <w:rFonts w:ascii="Arial" w:hAnsi="Arial" w:cs="Arial"/>
                <w:b w:val="0"/>
                <w:i w:val="0"/>
                <w:sz w:val="17"/>
              </w:rPr>
              <w:t>$8,400.00 USD</w:t>
            </w:r>
          </w:p>
        </w:tc>
      </w:tr>
      <w:tr>
        <w:tc>
          <w:tcPr>
            <w:tcW w:type="dxa" w:w="2409"/>
          </w:tcPr>
          <w:p>
            <w:pPr>
              <w:spacing w:after="20" w:before="20" w:line="240" w:lineRule="auto"/>
            </w:pPr>
            <w:r/>
            <w:r>
              <w:rPr>
                <w:rFonts w:ascii="Arial" w:hAnsi="Arial" w:cs="Arial"/>
                <w:b w:val="0"/>
                <w:i w:val="0"/>
                <w:sz w:val="17"/>
              </w:rPr>
              <w:t>Trucking</w:t>
            </w:r>
          </w:p>
        </w:tc>
        <w:tc>
          <w:tcPr>
            <w:tcW w:type="dxa" w:w="2409"/>
          </w:tcPr>
          <w:p>
            <w:pPr>
              <w:spacing w:after="20" w:before="20" w:line="240" w:lineRule="auto"/>
            </w:pPr>
            <w:r/>
            <w:r>
              <w:rPr>
                <w:rFonts w:ascii="Arial" w:hAnsi="Arial" w:cs="Arial"/>
                <w:b w:val="0"/>
                <w:i w:val="0"/>
                <w:sz w:val="17"/>
              </w:rPr>
              <w:t>SGTX-EG-LSP-001</w:t>
            </w:r>
          </w:p>
        </w:tc>
        <w:tc>
          <w:tcPr>
            <w:tcW w:type="dxa" w:w="2409"/>
          </w:tcPr>
          <w:p>
            <w:pPr>
              <w:spacing w:after="20" w:before="20" w:line="240" w:lineRule="auto"/>
            </w:pPr>
            <w:r/>
            <w:r>
              <w:rPr>
                <w:rFonts w:ascii="Arial" w:hAnsi="Arial" w:cs="Arial"/>
                <w:b w:val="0"/>
                <w:i w:val="0"/>
                <w:sz w:val="17"/>
              </w:rPr>
              <w:t>Trucking</w:t>
            </w:r>
          </w:p>
        </w:tc>
        <w:tc>
          <w:tcPr>
            <w:tcW w:type="dxa" w:w="2409"/>
          </w:tcPr>
          <w:p>
            <w:pPr>
              <w:spacing w:after="20" w:before="20" w:line="240" w:lineRule="auto"/>
            </w:pPr>
            <w:r/>
            <w:r>
              <w:rPr>
                <w:rFonts w:ascii="Arial" w:hAnsi="Arial" w:cs="Arial"/>
                <w:b w:val="0"/>
                <w:i w:val="0"/>
                <w:sz w:val="17"/>
              </w:rPr>
              <w:t>EGP 5,000.00</w:t>
            </w:r>
          </w:p>
        </w:tc>
      </w:tr>
      <w:tr>
        <w:tc>
          <w:tcPr>
            <w:tcW w:type="dxa" w:w="2409"/>
          </w:tcPr>
          <w:p>
            <w:pPr>
              <w:spacing w:after="20" w:before="20" w:line="240" w:lineRule="auto"/>
            </w:pPr>
            <w:r/>
            <w:r>
              <w:rPr>
                <w:rFonts w:ascii="Arial" w:hAnsi="Arial" w:cs="Arial"/>
                <w:b w:val="0"/>
                <w:i w:val="0"/>
                <w:sz w:val="17"/>
              </w:rPr>
              <w:t>Customs Broker</w:t>
            </w:r>
          </w:p>
        </w:tc>
        <w:tc>
          <w:tcPr>
            <w:tcW w:type="dxa" w:w="2409"/>
          </w:tcPr>
          <w:p>
            <w:pPr>
              <w:spacing w:after="20" w:before="20" w:line="240" w:lineRule="auto"/>
            </w:pPr>
            <w:r/>
            <w:r>
              <w:rPr>
                <w:rFonts w:ascii="Arial" w:hAnsi="Arial" w:cs="Arial"/>
                <w:b w:val="0"/>
                <w:i w:val="0"/>
                <w:sz w:val="17"/>
              </w:rPr>
              <w:t>SGTX-EG-CBR-001</w:t>
            </w:r>
          </w:p>
        </w:tc>
        <w:tc>
          <w:tcPr>
            <w:tcW w:type="dxa" w:w="2409"/>
          </w:tcPr>
          <w:p>
            <w:pPr>
              <w:spacing w:after="20" w:before="20" w:line="240" w:lineRule="auto"/>
            </w:pPr>
            <w:r/>
            <w:r>
              <w:rPr>
                <w:rFonts w:ascii="Arial" w:hAnsi="Arial" w:cs="Arial"/>
                <w:b w:val="0"/>
                <w:i w:val="0"/>
                <w:sz w:val="17"/>
              </w:rPr>
              <w:t>Broker</w:t>
            </w:r>
          </w:p>
        </w:tc>
        <w:tc>
          <w:tcPr>
            <w:tcW w:type="dxa" w:w="2409"/>
          </w:tcPr>
          <w:p>
            <w:pPr>
              <w:spacing w:after="20" w:before="20" w:line="240" w:lineRule="auto"/>
            </w:pPr>
            <w:r/>
            <w:r>
              <w:rPr>
                <w:rFonts w:ascii="Arial" w:hAnsi="Arial" w:cs="Arial"/>
                <w:b w:val="0"/>
                <w:i w:val="0"/>
                <w:sz w:val="17"/>
              </w:rPr>
              <w:t>EGP 2,000.00</w:t>
            </w:r>
          </w:p>
        </w:tc>
      </w:tr>
      <w:tr>
        <w:tc>
          <w:tcPr>
            <w:tcW w:type="dxa" w:w="2409"/>
          </w:tcPr>
          <w:p>
            <w:pPr>
              <w:spacing w:after="20" w:before="20" w:line="240" w:lineRule="auto"/>
            </w:pPr>
            <w:r/>
            <w:r>
              <w:rPr>
                <w:rFonts w:ascii="Arial" w:hAnsi="Arial" w:cs="Arial"/>
                <w:b w:val="0"/>
                <w:i w:val="0"/>
                <w:sz w:val="17"/>
              </w:rPr>
              <w:t>Laboratory</w:t>
            </w:r>
          </w:p>
        </w:tc>
        <w:tc>
          <w:tcPr>
            <w:tcW w:type="dxa" w:w="2409"/>
          </w:tcPr>
          <w:p>
            <w:pPr>
              <w:spacing w:after="20" w:before="20" w:line="240" w:lineRule="auto"/>
            </w:pPr>
            <w:r/>
            <w:r>
              <w:rPr>
                <w:rFonts w:ascii="Arial" w:hAnsi="Arial" w:cs="Arial"/>
                <w:b w:val="0"/>
                <w:i w:val="0"/>
                <w:sz w:val="17"/>
              </w:rPr>
              <w:t>SGTX-EG-LAB-001</w:t>
            </w:r>
          </w:p>
        </w:tc>
        <w:tc>
          <w:tcPr>
            <w:tcW w:type="dxa" w:w="2409"/>
          </w:tcPr>
          <w:p>
            <w:pPr>
              <w:spacing w:after="20" w:before="20" w:line="240" w:lineRule="auto"/>
            </w:pPr>
            <w:r/>
            <w:r>
              <w:rPr>
                <w:rFonts w:ascii="Arial" w:hAnsi="Arial" w:cs="Arial"/>
                <w:b w:val="0"/>
                <w:i w:val="0"/>
                <w:sz w:val="17"/>
              </w:rPr>
              <w:t>Lab Testing</w:t>
            </w:r>
          </w:p>
        </w:tc>
        <w:tc>
          <w:tcPr>
            <w:tcW w:type="dxa" w:w="2409"/>
          </w:tcPr>
          <w:p>
            <w:pPr>
              <w:spacing w:after="20" w:before="20" w:line="240" w:lineRule="auto"/>
            </w:pPr>
            <w:r/>
            <w:r>
              <w:rPr>
                <w:rFonts w:ascii="Arial" w:hAnsi="Arial" w:cs="Arial"/>
                <w:b w:val="0"/>
                <w:i w:val="0"/>
                <w:sz w:val="17"/>
              </w:rPr>
              <w:t>EGP 3,000.00</w:t>
            </w:r>
          </w:p>
        </w:tc>
      </w:tr>
      <w:tr>
        <w:tc>
          <w:tcPr>
            <w:tcW w:type="dxa" w:w="2409"/>
          </w:tcPr>
          <w:p>
            <w:pPr>
              <w:spacing w:after="20" w:before="20" w:line="240" w:lineRule="auto"/>
            </w:pPr>
            <w:r/>
            <w:r>
              <w:rPr>
                <w:rFonts w:ascii="Arial" w:hAnsi="Arial" w:cs="Arial"/>
                <w:b w:val="0"/>
                <w:i w:val="0"/>
                <w:sz w:val="17"/>
              </w:rPr>
              <w:t>QC</w:t>
            </w:r>
          </w:p>
        </w:tc>
        <w:tc>
          <w:tcPr>
            <w:tcW w:type="dxa" w:w="2409"/>
          </w:tcPr>
          <w:p>
            <w:pPr>
              <w:spacing w:after="20" w:before="20" w:line="240" w:lineRule="auto"/>
            </w:pPr>
            <w:r/>
            <w:r>
              <w:rPr>
                <w:rFonts w:ascii="Arial" w:hAnsi="Arial" w:cs="Arial"/>
                <w:b w:val="0"/>
                <w:i w:val="0"/>
                <w:sz w:val="17"/>
              </w:rPr>
              <w:t>SGTX-EG-QC-001</w:t>
            </w:r>
          </w:p>
        </w:tc>
        <w:tc>
          <w:tcPr>
            <w:tcW w:type="dxa" w:w="2409"/>
          </w:tcPr>
          <w:p>
            <w:pPr>
              <w:spacing w:after="20" w:before="20" w:line="240" w:lineRule="auto"/>
            </w:pPr>
            <w:r/>
            <w:r>
              <w:rPr>
                <w:rFonts w:ascii="Arial" w:hAnsi="Arial" w:cs="Arial"/>
                <w:b w:val="0"/>
                <w:i w:val="0"/>
                <w:sz w:val="17"/>
              </w:rPr>
              <w:t>Inspection</w:t>
            </w:r>
          </w:p>
        </w:tc>
        <w:tc>
          <w:tcPr>
            <w:tcW w:type="dxa" w:w="2409"/>
          </w:tcPr>
          <w:p>
            <w:pPr>
              <w:spacing w:after="20" w:before="20" w:line="240" w:lineRule="auto"/>
            </w:pPr>
            <w:r/>
            <w:r>
              <w:rPr>
                <w:rFonts w:ascii="Arial" w:hAnsi="Arial" w:cs="Arial"/>
                <w:b w:val="0"/>
                <w:i w:val="0"/>
                <w:sz w:val="17"/>
              </w:rPr>
              <w:t>EGP 5,000.00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Shipping Line Quote Example:</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"quotation_id": "QT-SHIP-001",</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"provider_gtid": "SGTX-EG-SHIP-001",</w:t>
      </w:r>
    </w:p>
    <w:p>
      <w:pPr>
        <w:spacing w:after="0" w:before="0" w:line="240" w:lineRule="auto"/>
        <w:ind w:left="57"/>
        <w:jc w:val="left"/>
        <w:shd w:val="clear" w:fill="F2F2F2"/>
      </w:pPr>
      <w:r>
        <w:rPr>
          <w:rFonts w:ascii="Consolas" w:hAnsi="Consolas" w:cs="Consolas"/>
          <w:b w:val="0"/>
          <w:i w:val="0"/>
          <w:sz w:val="16"/>
        </w:rPr>
        <w:t xml:space="preserve">  "provider_name": "MSC Egypt",</w:t>
      </w:r>
    </w:p>
    <w:p>
      <w:pPr>
        <w:spacing w:after="0" w:before="0" w:line="240" w:lineRule="auto"/>
        <w:ind w:left="57"/>
        <w:jc w:val="left"/>
        <w:shd w:val="clear" w:fill="F2F2F2"/>
      </w:pPr>
      <w:r>
        <w:rPr>
          <w:rFonts w:ascii="Consolas" w:hAnsi="Consolas" w:cs="Consolas"/>
          <w:b w:val="0"/>
          <w:i w:val="0"/>
          <w:sz w:val="16"/>
        </w:rPr>
        <w:t xml:space="preserve">  "service_type": "OCEAN_FREIGHT",</w:t>
      </w:r>
    </w:p>
    <w:p>
      <w:pPr>
        <w:spacing w:after="0" w:before="0" w:line="240" w:lineRule="auto"/>
        <w:ind w:left="57"/>
        <w:jc w:val="left"/>
        <w:shd w:val="clear" w:fill="F2F2F2"/>
      </w:pPr>
      <w:r>
        <w:rPr>
          <w:rFonts w:ascii="Consolas" w:hAnsi="Consolas" w:cs="Consolas"/>
          <w:b w:val="0"/>
          <w:i w:val="0"/>
          <w:sz w:val="16"/>
        </w:rPr>
        <w:t xml:space="preserve">  "service_details": {</w:t>
      </w:r>
    </w:p>
    <w:p>
      <w:pPr>
        <w:spacing w:after="0" w:before="0" w:line="240" w:lineRule="auto"/>
        <w:ind w:left="57"/>
        <w:jc w:val="left"/>
        <w:shd w:val="clear" w:fill="F2F2F2"/>
      </w:pPr>
      <w:r>
        <w:rPr>
          <w:rFonts w:ascii="Consolas" w:hAnsi="Consolas" w:cs="Consolas"/>
          <w:b w:val="0"/>
          <w:i w:val="0"/>
          <w:sz w:val="16"/>
        </w:rPr>
        <w:t xml:space="preserve">    "container_type": "40ft Reefer",</w:t>
      </w:r>
    </w:p>
    <w:p>
      <w:pPr>
        <w:spacing w:after="0" w:before="0" w:line="240" w:lineRule="auto"/>
        <w:ind w:left="57"/>
        <w:jc w:val="left"/>
        <w:shd w:val="clear" w:fill="F2F2F2"/>
      </w:pPr>
      <w:r>
        <w:rPr>
          <w:rFonts w:ascii="Consolas" w:hAnsi="Consolas" w:cs="Consolas"/>
          <w:b w:val="0"/>
          <w:i w:val="0"/>
          <w:sz w:val="16"/>
        </w:rPr>
        <w:t xml:space="preserve">    "container_count": 2,</w:t>
      </w:r>
    </w:p>
    <w:p>
      <w:pPr>
        <w:spacing w:after="0" w:before="0" w:line="240" w:lineRule="auto"/>
        <w:ind w:left="57"/>
        <w:jc w:val="left"/>
        <w:shd w:val="clear" w:fill="F2F2F2"/>
      </w:pPr>
      <w:r>
        <w:rPr>
          <w:rFonts w:ascii="Consolas" w:hAnsi="Consolas" w:cs="Consolas"/>
          <w:b w:val="0"/>
          <w:i w:val="0"/>
          <w:sz w:val="16"/>
        </w:rPr>
        <w:t xml:space="preserve">    "route": "Damietta → Hamburg",</w:t>
      </w:r>
    </w:p>
    <w:p>
      <w:pPr>
        <w:spacing w:after="0" w:before="0" w:line="240" w:lineRule="auto"/>
        <w:ind w:left="57"/>
        <w:jc w:val="left"/>
        <w:shd w:val="clear" w:fill="F2F2F2"/>
      </w:pPr>
      <w:r>
        <w:rPr>
          <w:rFonts w:ascii="Consolas" w:hAnsi="Consolas" w:cs="Consolas"/>
          <w:b w:val="0"/>
          <w:i w:val="0"/>
          <w:sz w:val="16"/>
        </w:rPr>
        <w:t xml:space="preserve">    "vessel": "MSC FIONA",</w:t>
      </w:r>
    </w:p>
    <w:p>
      <w:pPr>
        <w:spacing w:after="0" w:before="0" w:line="240" w:lineRule="auto"/>
        <w:ind w:left="57"/>
        <w:jc w:val="left"/>
        <w:shd w:val="clear" w:fill="F2F2F2"/>
      </w:pPr>
      <w:r>
        <w:rPr>
          <w:rFonts w:ascii="Consolas" w:hAnsi="Consolas" w:cs="Consolas"/>
          <w:b w:val="0"/>
          <w:i w:val="0"/>
          <w:sz w:val="16"/>
        </w:rPr>
        <w:t xml:space="preserve">    "voyage": "MSF123E",</w:t>
      </w:r>
    </w:p>
    <w:p>
      <w:pPr>
        <w:spacing w:after="0" w:before="0" w:line="240" w:lineRule="auto"/>
        <w:ind w:left="57"/>
        <w:jc w:val="left"/>
        <w:shd w:val="clear" w:fill="F2F2F2"/>
      </w:pPr>
      <w:r>
        <w:rPr>
          <w:rFonts w:ascii="Consolas" w:hAnsi="Consolas" w:cs="Consolas"/>
          <w:b w:val="0"/>
          <w:i w:val="0"/>
          <w:sz w:val="16"/>
        </w:rPr>
        <w:t xml:space="preserve">    "etd": "2026-09-20T08:00:00Z",</w:t>
      </w:r>
    </w:p>
    <w:p>
      <w:pPr>
        <w:spacing w:after="0" w:before="0" w:line="240" w:lineRule="auto"/>
        <w:ind w:left="57"/>
        <w:jc w:val="left"/>
        <w:shd w:val="clear" w:fill="F2F2F2"/>
      </w:pPr>
      <w:r>
        <w:rPr>
          <w:rFonts w:ascii="Consolas" w:hAnsi="Consolas" w:cs="Consolas"/>
          <w:b w:val="0"/>
          <w:i w:val="0"/>
          <w:sz w:val="16"/>
        </w:rPr>
        <w:t xml:space="preserve">    "eta": "2026-10-05T14:00:00Z"</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"fee": {</w:t>
      </w:r>
    </w:p>
    <w:p>
      <w:pPr>
        <w:spacing w:after="0" w:before="0" w:line="240" w:lineRule="auto"/>
        <w:ind w:left="57"/>
        <w:jc w:val="left"/>
        <w:shd w:val="clear" w:fill="F2F2F2"/>
      </w:pPr>
      <w:r>
        <w:rPr>
          <w:rFonts w:ascii="Consolas" w:hAnsi="Consolas" w:cs="Consolas"/>
          <w:b w:val="0"/>
          <w:i w:val="0"/>
          <w:sz w:val="16"/>
        </w:rPr>
        <w:t xml:space="preserve">    "amount": 8400.00,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"condition": "DEPARTED"</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"valid_until": "2026-09-15T23:59:59Z",</w:t>
      </w:r>
    </w:p>
    <w:p>
      <w:pPr>
        <w:spacing w:after="0" w:before="0" w:line="240" w:lineRule="auto"/>
        <w:ind w:left="57"/>
        <w:jc w:val="left"/>
        <w:shd w:val="clear" w:fill="F2F2F2"/>
      </w:pPr>
      <w:r>
        <w:rPr>
          <w:rFonts w:ascii="Consolas" w:hAnsi="Consolas" w:cs="Consolas"/>
          <w:b w:val="0"/>
          <w:i w:val="0"/>
          <w:sz w:val="16"/>
        </w:rPr>
        <w:t xml:space="preserve">  "quoted_at": "2026-09-08T10:30:00Z",</w:t>
      </w:r>
    </w:p>
    <w:p>
      <w:pPr>
        <w:spacing w:after="0" w:before="0" w:line="240" w:lineRule="auto"/>
        <w:ind w:left="57"/>
        <w:jc w:val="left"/>
        <w:shd w:val="clear" w:fill="F2F2F2"/>
      </w:pPr>
      <w:r>
        <w:rPr>
          <w:rFonts w:ascii="Consolas" w:hAnsi="Consolas" w:cs="Consolas"/>
          <w:b w:val="0"/>
          <w:i w:val="0"/>
          <w:sz w:val="16"/>
        </w:rPr>
        <w:t xml:space="preserve">  "governor_decision_id": "dec-abc123",</w:t>
      </w:r>
    </w:p>
    <w:p>
      <w:pPr>
        <w:spacing w:after="0" w:before="0" w:line="240" w:lineRule="auto"/>
        <w:ind w:left="57"/>
        <w:jc w:val="left"/>
        <w:shd w:val="clear" w:fill="F2F2F2"/>
      </w:pPr>
      <w:r>
        <w:rPr>
          <w:rFonts w:ascii="Consolas" w:hAnsi="Consolas" w:cs="Consolas"/>
          <w:b w:val="0"/>
          <w:i w:val="0"/>
          <w:sz w:val="16"/>
        </w:rPr>
        <w:t xml:space="preserve">  "loom_hash": "sha256:a1b2c3..."</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Trucking Quote Example:</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"quotation_id": "QT-LSP-001",</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"provider_gtid": "SGTX-EG-LSP-001",</w:t>
      </w:r>
    </w:p>
    <w:p>
      <w:pPr>
        <w:spacing w:after="0" w:before="0" w:line="240" w:lineRule="auto"/>
        <w:ind w:left="57"/>
        <w:jc w:val="left"/>
        <w:shd w:val="clear" w:fill="F2F2F2"/>
      </w:pPr>
      <w:r>
        <w:rPr>
          <w:rFonts w:ascii="Consolas" w:hAnsi="Consolas" w:cs="Consolas"/>
          <w:b w:val="0"/>
          <w:i w:val="0"/>
          <w:sz w:val="16"/>
        </w:rPr>
        <w:t xml:space="preserve">  "provider_name": "Fast Trucking Co.",</w:t>
      </w:r>
    </w:p>
    <w:p>
      <w:pPr>
        <w:spacing w:after="0" w:before="0" w:line="240" w:lineRule="auto"/>
        <w:ind w:left="57"/>
        <w:jc w:val="left"/>
        <w:shd w:val="clear" w:fill="F2F2F2"/>
      </w:pPr>
      <w:r>
        <w:rPr>
          <w:rFonts w:ascii="Consolas" w:hAnsi="Consolas" w:cs="Consolas"/>
          <w:b w:val="0"/>
          <w:i w:val="0"/>
          <w:sz w:val="16"/>
        </w:rPr>
        <w:t xml:space="preserve">  "service_type": "TRUCKING",</w:t>
      </w:r>
    </w:p>
    <w:p>
      <w:pPr>
        <w:spacing w:after="0" w:before="0" w:line="240" w:lineRule="auto"/>
        <w:ind w:left="57"/>
        <w:jc w:val="left"/>
        <w:shd w:val="clear" w:fill="F2F2F2"/>
      </w:pPr>
      <w:r>
        <w:rPr>
          <w:rFonts w:ascii="Consolas" w:hAnsi="Consolas" w:cs="Consolas"/>
          <w:b w:val="0"/>
          <w:i w:val="0"/>
          <w:sz w:val="16"/>
        </w:rPr>
        <w:t xml:space="preserve">  "service_details": {</w:t>
      </w:r>
    </w:p>
    <w:p>
      <w:pPr>
        <w:spacing w:after="0" w:before="0" w:line="240" w:lineRule="auto"/>
        <w:ind w:left="57"/>
        <w:jc w:val="left"/>
        <w:shd w:val="clear" w:fill="F2F2F2"/>
      </w:pPr>
      <w:r>
        <w:rPr>
          <w:rFonts w:ascii="Consolas" w:hAnsi="Consolas" w:cs="Consolas"/>
          <w:b w:val="0"/>
          <w:i w:val="0"/>
          <w:sz w:val="16"/>
        </w:rPr>
        <w:t xml:space="preserve">    "route": "Beheira → Damietta",</w:t>
      </w:r>
    </w:p>
    <w:p>
      <w:pPr>
        <w:spacing w:after="0" w:before="0" w:line="240" w:lineRule="auto"/>
        <w:ind w:left="57"/>
        <w:jc w:val="left"/>
        <w:shd w:val="clear" w:fill="F2F2F2"/>
      </w:pPr>
      <w:r>
        <w:rPr>
          <w:rFonts w:ascii="Consolas" w:hAnsi="Consolas" w:cs="Consolas"/>
          <w:b w:val="0"/>
          <w:i w:val="0"/>
          <w:sz w:val="16"/>
        </w:rPr>
        <w:t xml:space="preserve">    "distance_km": 150,</w:t>
      </w:r>
    </w:p>
    <w:p>
      <w:pPr>
        <w:spacing w:after="0" w:before="0" w:line="240" w:lineRule="auto"/>
        <w:ind w:left="57"/>
        <w:jc w:val="left"/>
        <w:shd w:val="clear" w:fill="F2F2F2"/>
      </w:pPr>
      <w:r>
        <w:rPr>
          <w:rFonts w:ascii="Consolas" w:hAnsi="Consolas" w:cs="Consolas"/>
          <w:b w:val="0"/>
          <w:i w:val="0"/>
          <w:sz w:val="16"/>
        </w:rPr>
        <w:t xml:space="preserve">    "vehicle_type": "Reefer",</w:t>
      </w:r>
    </w:p>
    <w:p>
      <w:pPr>
        <w:spacing w:after="0" w:before="0" w:line="240" w:lineRule="auto"/>
        <w:ind w:left="57"/>
        <w:jc w:val="left"/>
        <w:shd w:val="clear" w:fill="F2F2F2"/>
      </w:pPr>
      <w:r>
        <w:rPr>
          <w:rFonts w:ascii="Consolas" w:hAnsi="Consolas" w:cs="Consolas"/>
          <w:b w:val="0"/>
          <w:i w:val="0"/>
          <w:sz w:val="16"/>
        </w:rPr>
        <w:t xml:space="preserve">    "pickup_location": "Beheira Warehouse",</w:t>
      </w:r>
    </w:p>
    <w:p>
      <w:pPr>
        <w:spacing w:after="0" w:before="0" w:line="240" w:lineRule="auto"/>
        <w:ind w:left="57"/>
        <w:jc w:val="left"/>
        <w:shd w:val="clear" w:fill="F2F2F2"/>
      </w:pPr>
      <w:r>
        <w:rPr>
          <w:rFonts w:ascii="Consolas" w:hAnsi="Consolas" w:cs="Consolas"/>
          <w:b w:val="0"/>
          <w:i w:val="0"/>
          <w:sz w:val="16"/>
        </w:rPr>
        <w:t xml:space="preserve">    "delivery_location": "Damietta Port",</w:t>
      </w:r>
    </w:p>
    <w:p>
      <w:pPr>
        <w:spacing w:after="0" w:before="0" w:line="240" w:lineRule="auto"/>
        <w:ind w:left="57"/>
        <w:jc w:val="left"/>
        <w:shd w:val="clear" w:fill="F2F2F2"/>
      </w:pPr>
      <w:r>
        <w:rPr>
          <w:rFonts w:ascii="Consolas" w:hAnsi="Consolas" w:cs="Consolas"/>
          <w:b w:val="0"/>
          <w:i w:val="0"/>
          <w:sz w:val="16"/>
        </w:rPr>
        <w:t xml:space="preserve">    "loading_window": "2026-09-14T08:00:00Z to 2026-09-14T12:00:00Z"</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"fee": {</w:t>
      </w:r>
    </w:p>
    <w:p>
      <w:pPr>
        <w:spacing w:after="0" w:before="0" w:line="240" w:lineRule="auto"/>
        <w:ind w:left="57"/>
        <w:jc w:val="left"/>
        <w:shd w:val="clear" w:fill="F2F2F2"/>
      </w:pPr>
      <w:r>
        <w:rPr>
          <w:rFonts w:ascii="Consolas" w:hAnsi="Consolas" w:cs="Consolas"/>
          <w:b w:val="0"/>
          <w:i w:val="0"/>
          <w:sz w:val="16"/>
        </w:rPr>
        <w:t xml:space="preserve">    "amount": 5000.00,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"valid_until": "2026-09-10T23:59:59Z",</w:t>
      </w:r>
    </w:p>
    <w:p>
      <w:pPr>
        <w:spacing w:after="0" w:before="0" w:line="240" w:lineRule="auto"/>
        <w:ind w:left="57"/>
        <w:jc w:val="left"/>
        <w:shd w:val="clear" w:fill="F2F2F2"/>
      </w:pPr>
      <w:r>
        <w:rPr>
          <w:rFonts w:ascii="Consolas" w:hAnsi="Consolas" w:cs="Consolas"/>
          <w:b w:val="0"/>
          <w:i w:val="0"/>
          <w:sz w:val="16"/>
        </w:rPr>
        <w:t xml:space="preserve">  "quoted_at": "2026-09-08T10:45:00Z",</w:t>
      </w:r>
    </w:p>
    <w:p>
      <w:pPr>
        <w:spacing w:after="0" w:before="0" w:line="240" w:lineRule="auto"/>
        <w:ind w:left="57"/>
        <w:jc w:val="left"/>
        <w:shd w:val="clear" w:fill="F2F2F2"/>
      </w:pPr>
      <w:r>
        <w:rPr>
          <w:rFonts w:ascii="Consolas" w:hAnsi="Consolas" w:cs="Consolas"/>
          <w:b w:val="0"/>
          <w:i w:val="0"/>
          <w:sz w:val="16"/>
        </w:rPr>
        <w:t xml:space="preserve">  "governor_decision_id": "dec-def456",</w:t>
      </w:r>
    </w:p>
    <w:p>
      <w:pPr>
        <w:spacing w:after="0" w:before="0" w:line="240" w:lineRule="auto"/>
        <w:ind w:left="57"/>
        <w:jc w:val="left"/>
        <w:shd w:val="clear" w:fill="F2F2F2"/>
      </w:pPr>
      <w:r>
        <w:rPr>
          <w:rFonts w:ascii="Consolas" w:hAnsi="Consolas" w:cs="Consolas"/>
          <w:b w:val="0"/>
          <w:i w:val="0"/>
          <w:sz w:val="16"/>
        </w:rPr>
        <w:t xml:space="preserve">  "loom_hash": "sha256:d4e5f6..."</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Customs Broker Quote Example:</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"quotation_id": "QT-CBR-001",</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"provider_gtid": "SGTX-EG-CBR-001",</w:t>
      </w:r>
    </w:p>
    <w:p>
      <w:pPr>
        <w:spacing w:after="0" w:before="0" w:line="240" w:lineRule="auto"/>
        <w:ind w:left="57"/>
        <w:jc w:val="left"/>
        <w:shd w:val="clear" w:fill="F2F2F2"/>
      </w:pPr>
      <w:r>
        <w:rPr>
          <w:rFonts w:ascii="Consolas" w:hAnsi="Consolas" w:cs="Consolas"/>
          <w:b w:val="0"/>
          <w:i w:val="0"/>
          <w:sz w:val="16"/>
        </w:rPr>
        <w:t xml:space="preserve">  "provider_name": "Nile Customs Services",</w:t>
      </w:r>
    </w:p>
    <w:p>
      <w:pPr>
        <w:spacing w:after="0" w:before="0" w:line="240" w:lineRule="auto"/>
        <w:ind w:left="57"/>
        <w:jc w:val="left"/>
        <w:shd w:val="clear" w:fill="F2F2F2"/>
      </w:pPr>
      <w:r>
        <w:rPr>
          <w:rFonts w:ascii="Consolas" w:hAnsi="Consolas" w:cs="Consolas"/>
          <w:b w:val="0"/>
          <w:i w:val="0"/>
          <w:sz w:val="16"/>
        </w:rPr>
        <w:t xml:space="preserve">  "service_type": "CUSTOMS_BROKERAGE",</w:t>
      </w:r>
    </w:p>
    <w:p>
      <w:pPr>
        <w:spacing w:after="0" w:before="0" w:line="240" w:lineRule="auto"/>
        <w:ind w:left="57"/>
        <w:jc w:val="left"/>
        <w:shd w:val="clear" w:fill="F2F2F2"/>
      </w:pPr>
      <w:r>
        <w:rPr>
          <w:rFonts w:ascii="Consolas" w:hAnsi="Consolas" w:cs="Consolas"/>
          <w:b w:val="0"/>
          <w:i w:val="0"/>
          <w:sz w:val="16"/>
        </w:rPr>
        <w:t xml:space="preserve">  "service_details": {</w:t>
      </w:r>
    </w:p>
    <w:p>
      <w:pPr>
        <w:spacing w:after="0" w:before="0" w:line="240" w:lineRule="auto"/>
        <w:ind w:left="57"/>
        <w:jc w:val="left"/>
        <w:shd w:val="clear" w:fill="F2F2F2"/>
      </w:pPr>
      <w:r>
        <w:rPr>
          <w:rFonts w:ascii="Consolas" w:hAnsi="Consolas" w:cs="Consolas"/>
          <w:b w:val="0"/>
          <w:i w:val="0"/>
          <w:sz w:val="16"/>
        </w:rPr>
        <w:t xml:space="preserve">    "certification_type": "EXPORT",</w:t>
      </w:r>
    </w:p>
    <w:p>
      <w:pPr>
        <w:spacing w:after="0" w:before="0" w:line="240" w:lineRule="auto"/>
        <w:ind w:left="57"/>
        <w:jc w:val="left"/>
        <w:shd w:val="clear" w:fill="F2F2F2"/>
      </w:pPr>
      <w:r>
        <w:rPr>
          <w:rFonts w:ascii="Consolas" w:hAnsi="Consolas" w:cs="Consolas"/>
          <w:b w:val="0"/>
          <w:i w:val="0"/>
          <w:sz w:val="16"/>
        </w:rPr>
        <w:t xml:space="preserve">    "declaration_type": "SAD",</w:t>
      </w:r>
    </w:p>
    <w:p>
      <w:pPr>
        <w:spacing w:after="0" w:before="0" w:line="240" w:lineRule="auto"/>
        <w:ind w:left="57"/>
        <w:jc w:val="left"/>
        <w:shd w:val="clear" w:fill="F2F2F2"/>
      </w:pPr>
      <w:r>
        <w:rPr>
          <w:rFonts w:ascii="Consolas" w:hAnsi="Consolas" w:cs="Consolas"/>
          <w:b w:val="0"/>
          <w:i w:val="0"/>
          <w:sz w:val="16"/>
        </w:rPr>
        <w:t xml:space="preserve">    "digital_seal": "Active",</w:t>
      </w:r>
    </w:p>
    <w:p>
      <w:pPr>
        <w:spacing w:after="0" w:before="0" w:line="240" w:lineRule="auto"/>
        <w:ind w:left="57"/>
        <w:jc w:val="left"/>
        <w:shd w:val="clear" w:fill="F2F2F2"/>
      </w:pPr>
      <w:r>
        <w:rPr>
          <w:rFonts w:ascii="Consolas" w:hAnsi="Consolas" w:cs="Consolas"/>
          <w:b w:val="0"/>
          <w:i w:val="0"/>
          <w:sz w:val="16"/>
        </w:rPr>
        <w:t xml:space="preserve">    "nafeza_submission": "Included"</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"fee": {</w:t>
      </w:r>
    </w:p>
    <w:p>
      <w:pPr>
        <w:spacing w:after="0" w:before="0" w:line="240" w:lineRule="auto"/>
        <w:ind w:left="57"/>
        <w:jc w:val="left"/>
        <w:shd w:val="clear" w:fill="F2F2F2"/>
      </w:pPr>
      <w:r>
        <w:rPr>
          <w:rFonts w:ascii="Consolas" w:hAnsi="Consolas" w:cs="Consolas"/>
          <w:b w:val="0"/>
          <w:i w:val="0"/>
          <w:sz w:val="16"/>
        </w:rPr>
        <w:t xml:space="preserve">    "amount": 2000.00,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"valid_until": "2026-09-12T23:59:59Z",</w:t>
      </w:r>
    </w:p>
    <w:p>
      <w:pPr>
        <w:spacing w:after="0" w:before="0" w:line="240" w:lineRule="auto"/>
        <w:ind w:left="57"/>
        <w:jc w:val="left"/>
        <w:shd w:val="clear" w:fill="F2F2F2"/>
      </w:pPr>
      <w:r>
        <w:rPr>
          <w:rFonts w:ascii="Consolas" w:hAnsi="Consolas" w:cs="Consolas"/>
          <w:b w:val="0"/>
          <w:i w:val="0"/>
          <w:sz w:val="16"/>
        </w:rPr>
        <w:t xml:space="preserve">  "quoted_at": "2026-09-08T11:00:00Z",</w:t>
      </w:r>
    </w:p>
    <w:p>
      <w:pPr>
        <w:spacing w:after="0" w:before="0" w:line="240" w:lineRule="auto"/>
        <w:ind w:left="57"/>
        <w:jc w:val="left"/>
        <w:shd w:val="clear" w:fill="F2F2F2"/>
      </w:pPr>
      <w:r>
        <w:rPr>
          <w:rFonts w:ascii="Consolas" w:hAnsi="Consolas" w:cs="Consolas"/>
          <w:b w:val="0"/>
          <w:i w:val="0"/>
          <w:sz w:val="16"/>
        </w:rPr>
        <w:t xml:space="preserve">  "governor_decision_id": "dec-ghi789",</w:t>
      </w:r>
    </w:p>
    <w:p>
      <w:pPr>
        <w:spacing w:after="0" w:before="0" w:line="240" w:lineRule="auto"/>
        <w:ind w:left="57"/>
        <w:jc w:val="left"/>
        <w:shd w:val="clear" w:fill="F2F2F2"/>
      </w:pPr>
      <w:r>
        <w:rPr>
          <w:rFonts w:ascii="Consolas" w:hAnsi="Consolas" w:cs="Consolas"/>
          <w:b w:val="0"/>
          <w:i w:val="0"/>
          <w:sz w:val="16"/>
        </w:rPr>
        <w:t xml:space="preserve">  "loom_hash": "sha256:g7h8i9..."</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Laboratory Quote Example:</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"quotation_id": "QT-LAB-001",</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"provider_gtid": "SGTX-EG-LAB-001",</w:t>
      </w:r>
    </w:p>
    <w:p>
      <w:pPr>
        <w:spacing w:after="0" w:before="0" w:line="240" w:lineRule="auto"/>
        <w:ind w:left="57"/>
        <w:jc w:val="left"/>
        <w:shd w:val="clear" w:fill="F2F2F2"/>
      </w:pPr>
      <w:r>
        <w:rPr>
          <w:rFonts w:ascii="Consolas" w:hAnsi="Consolas" w:cs="Consolas"/>
          <w:b w:val="0"/>
          <w:i w:val="0"/>
          <w:sz w:val="16"/>
        </w:rPr>
        <w:t xml:space="preserve">  "provider_name": "SGS Egypt",</w:t>
      </w:r>
    </w:p>
    <w:p>
      <w:pPr>
        <w:spacing w:after="0" w:before="0" w:line="240" w:lineRule="auto"/>
        <w:ind w:left="57"/>
        <w:jc w:val="left"/>
        <w:shd w:val="clear" w:fill="F2F2F2"/>
      </w:pPr>
      <w:r>
        <w:rPr>
          <w:rFonts w:ascii="Consolas" w:hAnsi="Consolas" w:cs="Consolas"/>
          <w:b w:val="0"/>
          <w:i w:val="0"/>
          <w:sz w:val="16"/>
        </w:rPr>
        <w:t xml:space="preserve">  "service_type": "LAB_TESTING",</w:t>
      </w:r>
    </w:p>
    <w:p>
      <w:pPr>
        <w:spacing w:after="0" w:before="0" w:line="240" w:lineRule="auto"/>
        <w:ind w:left="57"/>
        <w:jc w:val="left"/>
        <w:shd w:val="clear" w:fill="F2F2F2"/>
      </w:pPr>
      <w:r>
        <w:rPr>
          <w:rFonts w:ascii="Consolas" w:hAnsi="Consolas" w:cs="Consolas"/>
          <w:b w:val="0"/>
          <w:i w:val="0"/>
          <w:sz w:val="16"/>
        </w:rPr>
        <w:t xml:space="preserve">  "service_details": {</w:t>
      </w:r>
    </w:p>
    <w:p>
      <w:pPr>
        <w:spacing w:after="0" w:before="0" w:line="240" w:lineRule="auto"/>
        <w:ind w:left="57"/>
        <w:jc w:val="left"/>
        <w:shd w:val="clear" w:fill="F2F2F2"/>
      </w:pPr>
      <w:r>
        <w:rPr>
          <w:rFonts w:ascii="Consolas" w:hAnsi="Consolas" w:cs="Consolas"/>
          <w:b w:val="0"/>
          <w:i w:val="0"/>
          <w:sz w:val="16"/>
        </w:rPr>
        <w:t xml:space="preserve">    "commodity": "Frozen Strawberries",</w:t>
      </w:r>
    </w:p>
    <w:p>
      <w:pPr>
        <w:spacing w:after="0" w:before="0" w:line="240" w:lineRule="auto"/>
        <w:ind w:left="57"/>
        <w:jc w:val="left"/>
        <w:shd w:val="clear" w:fill="F2F2F2"/>
      </w:pPr>
      <w:r>
        <w:rPr>
          <w:rFonts w:ascii="Consolas" w:hAnsi="Consolas" w:cs="Consolas"/>
          <w:b w:val="0"/>
          <w:i w:val="0"/>
          <w:sz w:val="16"/>
        </w:rPr>
        <w:t xml:space="preserve">    "hs_code": "0811",</w:t>
      </w:r>
    </w:p>
    <w:p>
      <w:pPr>
        <w:spacing w:after="0" w:before="0" w:line="240" w:lineRule="auto"/>
        <w:ind w:left="57"/>
        <w:jc w:val="left"/>
        <w:shd w:val="clear" w:fill="F2F2F2"/>
      </w:pPr>
      <w:r>
        <w:rPr>
          <w:rFonts w:ascii="Consolas" w:hAnsi="Consolas" w:cs="Consolas"/>
          <w:b w:val="0"/>
          <w:i w:val="0"/>
          <w:sz w:val="16"/>
        </w:rPr>
        <w:t xml:space="preserve">    "tests": ["Cypermethrin", "Chlorpyrifos", "Thiabendazole"],</w:t>
      </w:r>
    </w:p>
    <w:p>
      <w:pPr>
        <w:spacing w:after="0" w:before="0" w:line="240" w:lineRule="auto"/>
        <w:ind w:left="57"/>
        <w:jc w:val="left"/>
        <w:shd w:val="clear" w:fill="F2F2F2"/>
      </w:pPr>
      <w:r>
        <w:rPr>
          <w:rFonts w:ascii="Consolas" w:hAnsi="Consolas" w:cs="Consolas"/>
          <w:b w:val="0"/>
          <w:i w:val="0"/>
          <w:sz w:val="16"/>
        </w:rPr>
        <w:t xml:space="preserve">    "method": "GC-MS/MS",</w:t>
      </w:r>
    </w:p>
    <w:p>
      <w:pPr>
        <w:spacing w:after="0" w:before="0" w:line="240" w:lineRule="auto"/>
        <w:ind w:left="57"/>
        <w:jc w:val="left"/>
        <w:shd w:val="clear" w:fill="F2F2F2"/>
      </w:pPr>
      <w:r>
        <w:rPr>
          <w:rFonts w:ascii="Consolas" w:hAnsi="Consolas" w:cs="Consolas"/>
          <w:b w:val="0"/>
          <w:i w:val="0"/>
          <w:sz w:val="16"/>
        </w:rPr>
        <w:t xml:space="preserve">    "sample_instructions": "500g frozen sample, keep frozen"</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"fee": {</w:t>
      </w:r>
    </w:p>
    <w:p>
      <w:pPr>
        <w:spacing w:after="0" w:before="0" w:line="240" w:lineRule="auto"/>
        <w:ind w:left="57"/>
        <w:jc w:val="left"/>
        <w:shd w:val="clear" w:fill="F2F2F2"/>
      </w:pPr>
      <w:r>
        <w:rPr>
          <w:rFonts w:ascii="Consolas" w:hAnsi="Consolas" w:cs="Consolas"/>
          <w:b w:val="0"/>
          <w:i w:val="0"/>
          <w:sz w:val="16"/>
        </w:rPr>
        <w:t xml:space="preserve">    "amount": 3000.00,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"valid_until": "2026-09-10T23:59:59Z",</w:t>
      </w:r>
    </w:p>
    <w:p>
      <w:pPr>
        <w:spacing w:after="0" w:before="0" w:line="240" w:lineRule="auto"/>
        <w:ind w:left="57"/>
        <w:jc w:val="left"/>
        <w:shd w:val="clear" w:fill="F2F2F2"/>
      </w:pPr>
      <w:r>
        <w:rPr>
          <w:rFonts w:ascii="Consolas" w:hAnsi="Consolas" w:cs="Consolas"/>
          <w:b w:val="0"/>
          <w:i w:val="0"/>
          <w:sz w:val="16"/>
        </w:rPr>
        <w:t xml:space="preserve">  "quoted_at": "2026-09-08T11:15:00Z",</w:t>
      </w:r>
    </w:p>
    <w:p>
      <w:pPr>
        <w:spacing w:after="0" w:before="0" w:line="240" w:lineRule="auto"/>
        <w:ind w:left="57"/>
        <w:jc w:val="left"/>
        <w:shd w:val="clear" w:fill="F2F2F2"/>
      </w:pPr>
      <w:r>
        <w:rPr>
          <w:rFonts w:ascii="Consolas" w:hAnsi="Consolas" w:cs="Consolas"/>
          <w:b w:val="0"/>
          <w:i w:val="0"/>
          <w:sz w:val="16"/>
        </w:rPr>
        <w:t xml:space="preserve">  "governor_decision_id": "dec-jkl012",</w:t>
      </w:r>
    </w:p>
    <w:p>
      <w:pPr>
        <w:spacing w:after="0" w:before="0" w:line="240" w:lineRule="auto"/>
        <w:ind w:left="57"/>
        <w:jc w:val="left"/>
        <w:shd w:val="clear" w:fill="F2F2F2"/>
      </w:pPr>
      <w:r>
        <w:rPr>
          <w:rFonts w:ascii="Consolas" w:hAnsi="Consolas" w:cs="Consolas"/>
          <w:b w:val="0"/>
          <w:i w:val="0"/>
          <w:sz w:val="16"/>
        </w:rPr>
        <w:t xml:space="preserve">  "loom_hash": "sha256:j1k2l3..."</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Government Fee "Quote" Example:</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"quotation_id": "QT-GOV-001",</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"provider_gtid": "SGTX-EG-CUSTOMS-001",</w:t>
      </w:r>
    </w:p>
    <w:p>
      <w:pPr>
        <w:spacing w:after="0" w:before="0" w:line="240" w:lineRule="auto"/>
        <w:ind w:left="57"/>
        <w:jc w:val="left"/>
        <w:shd w:val="clear" w:fill="F2F2F2"/>
      </w:pPr>
      <w:r>
        <w:rPr>
          <w:rFonts w:ascii="Consolas" w:hAnsi="Consolas" w:cs="Consolas"/>
          <w:b w:val="0"/>
          <w:i w:val="0"/>
          <w:sz w:val="16"/>
        </w:rPr>
        <w:t xml:space="preserve">  "provider_name": "Nafeza / Egypt Customs",</w:t>
      </w:r>
    </w:p>
    <w:p>
      <w:pPr>
        <w:spacing w:after="0" w:before="0" w:line="240" w:lineRule="auto"/>
        <w:ind w:left="57"/>
        <w:jc w:val="left"/>
        <w:shd w:val="clear" w:fill="F2F2F2"/>
      </w:pPr>
      <w:r>
        <w:rPr>
          <w:rFonts w:ascii="Consolas" w:hAnsi="Consolas" w:cs="Consolas"/>
          <w:b w:val="0"/>
          <w:i w:val="0"/>
          <w:sz w:val="16"/>
        </w:rPr>
        <w:t xml:space="preserve">  "service_type": "CUSTOMS_DUTY",</w:t>
      </w:r>
    </w:p>
    <w:p>
      <w:pPr>
        <w:spacing w:after="0" w:before="0" w:line="240" w:lineRule="auto"/>
        <w:ind w:left="57"/>
        <w:jc w:val="left"/>
        <w:shd w:val="clear" w:fill="F2F2F2"/>
      </w:pPr>
      <w:r>
        <w:rPr>
          <w:rFonts w:ascii="Consolas" w:hAnsi="Consolas" w:cs="Consolas"/>
          <w:b w:val="0"/>
          <w:i w:val="0"/>
          <w:sz w:val="16"/>
        </w:rPr>
        <w:t xml:space="preserve">  "service_details": {</w:t>
      </w:r>
    </w:p>
    <w:p>
      <w:pPr>
        <w:spacing w:after="0" w:before="0" w:line="240" w:lineRule="auto"/>
        <w:ind w:left="57"/>
        <w:jc w:val="left"/>
        <w:shd w:val="clear" w:fill="F2F2F2"/>
      </w:pPr>
      <w:r>
        <w:rPr>
          <w:rFonts w:ascii="Consolas" w:hAnsi="Consolas" w:cs="Consolas"/>
          <w:b w:val="0"/>
          <w:i w:val="0"/>
          <w:sz w:val="16"/>
        </w:rPr>
        <w:t xml:space="preserve">    "declaration_type": "IMPORT",</w:t>
      </w:r>
    </w:p>
    <w:p>
      <w:pPr>
        <w:spacing w:after="0" w:before="0" w:line="240" w:lineRule="auto"/>
        <w:ind w:left="57"/>
        <w:jc w:val="left"/>
        <w:shd w:val="clear" w:fill="F2F2F2"/>
      </w:pPr>
      <w:r>
        <w:rPr>
          <w:rFonts w:ascii="Consolas" w:hAnsi="Consolas" w:cs="Consolas"/>
          <w:b w:val="0"/>
          <w:i w:val="0"/>
          <w:sz w:val="16"/>
        </w:rPr>
        <w:t xml:space="preserve">    "goods": "Frozen Strawberries",</w:t>
      </w:r>
    </w:p>
    <w:p>
      <w:pPr>
        <w:spacing w:after="0" w:before="0" w:line="240" w:lineRule="auto"/>
        <w:ind w:left="57"/>
        <w:jc w:val="left"/>
        <w:shd w:val="clear" w:fill="F2F2F2"/>
      </w:pPr>
      <w:r>
        <w:rPr>
          <w:rFonts w:ascii="Consolas" w:hAnsi="Consolas" w:cs="Consolas"/>
          <w:b w:val="0"/>
          <w:i w:val="0"/>
          <w:sz w:val="16"/>
        </w:rPr>
        <w:t xml:space="preserve">    "hs_code": "0811",</w:t>
      </w:r>
    </w:p>
    <w:p>
      <w:pPr>
        <w:spacing w:after="0" w:before="0" w:line="240" w:lineRule="auto"/>
        <w:ind w:left="57"/>
        <w:jc w:val="left"/>
        <w:shd w:val="clear" w:fill="F2F2F2"/>
      </w:pPr>
      <w:r>
        <w:rPr>
          <w:rFonts w:ascii="Consolas" w:hAnsi="Consolas" w:cs="Consolas"/>
          <w:b w:val="0"/>
          <w:i w:val="0"/>
          <w:sz w:val="16"/>
        </w:rPr>
        <w:t xml:space="preserve">    "value": 10000.00,</w:t>
      </w:r>
    </w:p>
    <w:p>
      <w:pPr>
        <w:spacing w:after="0" w:before="0" w:line="240" w:lineRule="auto"/>
        <w:ind w:left="57"/>
        <w:jc w:val="left"/>
        <w:shd w:val="clear" w:fill="F2F2F2"/>
      </w:pPr>
      <w:r>
        <w:rPr>
          <w:rFonts w:ascii="Consolas" w:hAnsi="Consolas" w:cs="Consolas"/>
          <w:b w:val="0"/>
          <w:i w:val="0"/>
          <w:sz w:val="16"/>
        </w:rPr>
        <w:t xml:space="preserve">    "duty_rate": "10%",</w:t>
      </w:r>
    </w:p>
    <w:p>
      <w:pPr>
        <w:spacing w:after="0" w:before="0" w:line="240" w:lineRule="auto"/>
        <w:ind w:left="57"/>
        <w:jc w:val="left"/>
        <w:shd w:val="clear" w:fill="F2F2F2"/>
      </w:pPr>
      <w:r>
        <w:rPr>
          <w:rFonts w:ascii="Consolas" w:hAnsi="Consolas" w:cs="Consolas"/>
          <w:b w:val="0"/>
          <w:i w:val="0"/>
          <w:sz w:val="16"/>
        </w:rPr>
        <w:t xml:space="preserve">    "source": "Egypt Customs Law 207/2020, Article 51"</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"fee": {</w:t>
      </w:r>
    </w:p>
    <w:p>
      <w:pPr>
        <w:spacing w:after="0" w:before="0" w:line="240" w:lineRule="auto"/>
        <w:ind w:left="57"/>
        <w:jc w:val="left"/>
        <w:shd w:val="clear" w:fill="F2F2F2"/>
      </w:pPr>
      <w:r>
        <w:rPr>
          <w:rFonts w:ascii="Consolas" w:hAnsi="Consolas" w:cs="Consolas"/>
          <w:b w:val="0"/>
          <w:i w:val="0"/>
          <w:sz w:val="16"/>
        </w:rPr>
        <w:t xml:space="preserve">    "amount": 100000.00,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"condition": "CUSTOMS_IMPORT"</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"valid_until": "2026-12-31T23:59:59Z",</w:t>
      </w:r>
    </w:p>
    <w:p>
      <w:pPr>
        <w:spacing w:after="0" w:before="0" w:line="240" w:lineRule="auto"/>
        <w:ind w:left="57"/>
        <w:jc w:val="left"/>
        <w:shd w:val="clear" w:fill="F2F2F2"/>
      </w:pPr>
      <w:r>
        <w:rPr>
          <w:rFonts w:ascii="Consolas" w:hAnsi="Consolas" w:cs="Consolas"/>
          <w:b w:val="0"/>
          <w:i w:val="0"/>
          <w:sz w:val="16"/>
        </w:rPr>
        <w:t xml:space="preserve">  "quoted_at": "2026-09-08T10:00:00Z",</w:t>
      </w:r>
    </w:p>
    <w:p>
      <w:pPr>
        <w:spacing w:after="0" w:before="0" w:line="240" w:lineRule="auto"/>
        <w:ind w:left="57"/>
        <w:jc w:val="left"/>
        <w:shd w:val="clear" w:fill="F2F2F2"/>
      </w:pPr>
      <w:r>
        <w:rPr>
          <w:rFonts w:ascii="Consolas" w:hAnsi="Consolas" w:cs="Consolas"/>
          <w:b w:val="0"/>
          <w:i w:val="0"/>
          <w:sz w:val="16"/>
        </w:rPr>
        <w:t xml:space="preserve">  "governor_decision_id": "dec-mno345",</w:t>
      </w:r>
    </w:p>
    <w:p>
      <w:pPr>
        <w:spacing w:after="0" w:before="0" w:line="240" w:lineRule="auto"/>
        <w:ind w:left="57"/>
        <w:jc w:val="left"/>
        <w:shd w:val="clear" w:fill="F2F2F2"/>
      </w:pPr>
      <w:r>
        <w:rPr>
          <w:rFonts w:ascii="Consolas" w:hAnsi="Consolas" w:cs="Consolas"/>
          <w:b w:val="0"/>
          <w:i w:val="0"/>
          <w:sz w:val="16"/>
        </w:rPr>
        <w:t xml:space="preserve">  "loom_hash": "sha256:m3n4o5..."</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8.8 Quote Comparison &amp; Selection</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Seller / Buyer (per responsibility allocation)</w:t>
      </w:r>
    </w:p>
    <w:p>
      <w:pPr>
        <w:spacing w:after="80" w:line="293" w:lineRule="auto"/>
        <w:jc w:val="left"/>
      </w:pPr>
      <w:r>
        <w:rPr>
          <w:rFonts w:ascii="Times New Roman" w:hAnsi="Times New Roman" w:cs="Times New Roman"/>
          <w:b/>
          <w:i w:val="0"/>
          <w:sz w:val="22"/>
        </w:rPr>
        <w:t>UI Example:</w:t>
      </w:r>
    </w:p>
    <w:p>
      <w:pPr>
        <w:spacing w:after="0" w:before="0" w:line="240" w:lineRule="auto"/>
        <w:ind w:left="57"/>
        <w:jc w:val="left"/>
        <w:shd w:val="clear" w:fill="F2F2F2"/>
      </w:pPr>
      <w:r>
        <w:rPr>
          <w:rFonts w:ascii="Consolas" w:hAnsi="Consolas" w:cs="Consolas"/>
          <w:b w:val="0"/>
          <w:i w:val="0"/>
          <w:sz w:val="15"/>
        </w:rPr>
        <w:t>QUOTE COMPARISON — USTN SGTX-EG-26-F3A-1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Service: Ocean Freight (2 × 40ft Reefer)                   │</w:t>
      </w:r>
    </w:p>
    <w:p>
      <w:pPr>
        <w:spacing w:after="0" w:before="0" w:line="240" w:lineRule="auto"/>
        <w:ind w:left="57"/>
        <w:jc w:val="left"/>
        <w:shd w:val="clear" w:fill="F2F2F2"/>
      </w:pPr>
      <w:r>
        <w:rPr>
          <w:rFonts w:ascii="Consolas" w:hAnsi="Consolas" w:cs="Consolas"/>
          <w:b w:val="0"/>
          <w:i w:val="0"/>
          <w:sz w:val="15"/>
        </w:rPr>
        <w:t>│ Provider | Fee      | Transit | Vessel     | Action        │</w:t>
      </w:r>
    </w:p>
    <w:p>
      <w:pPr>
        <w:spacing w:after="0" w:before="0" w:line="240" w:lineRule="auto"/>
        <w:ind w:left="57"/>
        <w:jc w:val="left"/>
        <w:shd w:val="clear" w:fill="F2F2F2"/>
      </w:pPr>
      <w:r>
        <w:rPr>
          <w:rFonts w:ascii="Consolas" w:hAnsi="Consolas" w:cs="Consolas"/>
          <w:b w:val="0"/>
          <w:i w:val="0"/>
          <w:sz w:val="15"/>
        </w:rPr>
        <w:t>│ MSC      | $8,400   | 14 days | MSC FIONA | [ACCEPTED] ✓  │</w:t>
      </w:r>
    </w:p>
    <w:p>
      <w:pPr>
        <w:spacing w:after="0" w:before="0" w:line="240" w:lineRule="auto"/>
        <w:ind w:left="57"/>
        <w:jc w:val="left"/>
        <w:shd w:val="clear" w:fill="F2F2F2"/>
      </w:pPr>
      <w:r>
        <w:rPr>
          <w:rFonts w:ascii="Consolas" w:hAnsi="Consolas" w:cs="Consolas"/>
          <w:b w:val="0"/>
          <w:i w:val="0"/>
          <w:sz w:val="15"/>
        </w:rPr>
        <w:t>│ Maersk   | $8,600   | 14 days | MAERSK X  | [Select]      │</w:t>
      </w:r>
    </w:p>
    <w:p>
      <w:pPr>
        <w:spacing w:after="0" w:before="0" w:line="240" w:lineRule="auto"/>
        <w:ind w:left="57"/>
        <w:jc w:val="left"/>
        <w:shd w:val="clear" w:fill="F2F2F2"/>
      </w:pPr>
      <w:r>
        <w:rPr>
          <w:rFonts w:ascii="Consolas" w:hAnsi="Consolas" w:cs="Consolas"/>
          <w:b w:val="0"/>
          <w:i w:val="0"/>
          <w:sz w:val="15"/>
        </w:rPr>
        <w:t>│ Hapag    | $8,800   | 16 days | HAPAG Y   | [Select]      │</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Service: Trucking (Beheira → Damietta)                     │</w:t>
      </w:r>
    </w:p>
    <w:p>
      <w:pPr>
        <w:spacing w:after="0" w:before="0" w:line="240" w:lineRule="auto"/>
        <w:ind w:left="57"/>
        <w:jc w:val="left"/>
        <w:shd w:val="clear" w:fill="F2F2F2"/>
      </w:pPr>
      <w:r>
        <w:rPr>
          <w:rFonts w:ascii="Consolas" w:hAnsi="Consolas" w:cs="Consolas"/>
          <w:b w:val="0"/>
          <w:i w:val="0"/>
          <w:sz w:val="15"/>
        </w:rPr>
        <w:t>│ Provider | Fee      | Transit | Vehicle   | Action        │</w:t>
      </w:r>
    </w:p>
    <w:p>
      <w:pPr>
        <w:spacing w:after="0" w:before="0" w:line="240" w:lineRule="auto"/>
        <w:ind w:left="57"/>
        <w:jc w:val="left"/>
        <w:shd w:val="clear" w:fill="F2F2F2"/>
      </w:pPr>
      <w:r>
        <w:rPr>
          <w:rFonts w:ascii="Consolas" w:hAnsi="Consolas" w:cs="Consolas"/>
          <w:b w:val="0"/>
          <w:i w:val="0"/>
          <w:sz w:val="15"/>
        </w:rPr>
        <w:t>│ Fast     | EGP 5,000| 4h      | Reefer    | [ACCEPTED] ✓  │</w:t>
      </w:r>
    </w:p>
    <w:p>
      <w:pPr>
        <w:spacing w:after="0" w:before="0" w:line="240" w:lineRule="auto"/>
        <w:ind w:left="57"/>
        <w:jc w:val="left"/>
        <w:shd w:val="clear" w:fill="F2F2F2"/>
      </w:pPr>
      <w:r>
        <w:rPr>
          <w:rFonts w:ascii="Consolas" w:hAnsi="Consolas" w:cs="Consolas"/>
          <w:b w:val="0"/>
          <w:i w:val="0"/>
          <w:sz w:val="15"/>
        </w:rPr>
        <w:t>│ Green    | EGP 4,800| 5h      | Reefer    | [Select]      │</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Service: Customs Broker Certification                      │</w:t>
      </w:r>
    </w:p>
    <w:p>
      <w:pPr>
        <w:spacing w:after="0" w:before="0" w:line="240" w:lineRule="auto"/>
        <w:ind w:left="57"/>
        <w:jc w:val="left"/>
        <w:shd w:val="clear" w:fill="F2F2F2"/>
      </w:pPr>
      <w:r>
        <w:rPr>
          <w:rFonts w:ascii="Consolas" w:hAnsi="Consolas" w:cs="Consolas"/>
          <w:b w:val="0"/>
          <w:i w:val="0"/>
          <w:sz w:val="15"/>
        </w:rPr>
        <w:t>│ Provider | Fee      | Details | Action                    │</w:t>
      </w:r>
    </w:p>
    <w:p>
      <w:pPr>
        <w:spacing w:after="0" w:before="0" w:line="240" w:lineRule="auto"/>
        <w:ind w:left="57"/>
        <w:jc w:val="left"/>
        <w:shd w:val="clear" w:fill="F2F2F2"/>
      </w:pPr>
      <w:r>
        <w:rPr>
          <w:rFonts w:ascii="Consolas" w:hAnsi="Consolas" w:cs="Consolas"/>
          <w:b w:val="0"/>
          <w:i w:val="0"/>
          <w:sz w:val="15"/>
        </w:rPr>
        <w:t>│ Nile     | EGP 2,000| Digital | [ACCEPTED] ✓              │</w:t>
      </w:r>
    </w:p>
    <w:p>
      <w:pPr>
        <w:spacing w:after="0" w:before="0" w:line="240" w:lineRule="auto"/>
        <w:ind w:left="57"/>
        <w:jc w:val="left"/>
        <w:shd w:val="clear" w:fill="F2F2F2"/>
      </w:pPr>
      <w:r>
        <w:rPr>
          <w:rFonts w:ascii="Consolas" w:hAnsi="Consolas" w:cs="Consolas"/>
          <w:b w:val="0"/>
          <w:i w:val="0"/>
          <w:sz w:val="15"/>
        </w:rPr>
        <w:t>│ Global   | EGP 2,500| Manual  | [Select]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8.9 Payment Manifest Construction</w:t>
      </w:r>
    </w:p>
    <w:p>
      <w:pPr>
        <w:spacing w:after="80" w:line="293" w:lineRule="auto"/>
        <w:jc w:val="left"/>
      </w:pPr>
      <w:r>
        <w:rPr>
          <w:rFonts w:ascii="Times New Roman" w:hAnsi="Times New Roman" w:cs="Times New Roman"/>
          <w:b w:val="0"/>
          <w:i w:val="0"/>
          <w:sz w:val="22"/>
        </w:rPr>
        <w:t>System Action:</w:t>
      </w:r>
    </w:p>
    <w:p>
      <w:pPr>
        <w:spacing w:after="80" w:line="293" w:lineRule="auto"/>
        <w:jc w:val="left"/>
      </w:pPr>
      <w:r>
        <w:rPr>
          <w:rFonts w:ascii="Times New Roman" w:hAnsi="Times New Roman" w:cs="Times New Roman"/>
          <w:b w:val="0"/>
          <w:i w:val="0"/>
          <w:sz w:val="22"/>
        </w:rPr>
        <w:t>1. Collect all accepted quotes</w:t>
      </w:r>
    </w:p>
    <w:p>
      <w:pPr>
        <w:spacing w:after="80" w:line="293" w:lineRule="auto"/>
        <w:jc w:val="left"/>
      </w:pPr>
      <w:r>
        <w:rPr>
          <w:rFonts w:ascii="Times New Roman" w:hAnsi="Times New Roman" w:cs="Times New Roman"/>
          <w:b w:val="0"/>
          <w:i w:val="0"/>
          <w:sz w:val="22"/>
        </w:rPr>
        <w:t>2. Add government fees (from RIA)</w:t>
      </w:r>
    </w:p>
    <w:p>
      <w:pPr>
        <w:spacing w:after="80" w:line="293" w:lineRule="auto"/>
        <w:jc w:val="left"/>
      </w:pPr>
      <w:r>
        <w:rPr>
          <w:rFonts w:ascii="Times New Roman" w:hAnsi="Times New Roman" w:cs="Times New Roman"/>
          <w:b w:val="0"/>
          <w:i w:val="0"/>
          <w:sz w:val="22"/>
        </w:rPr>
        <w:t>3. Add SGTX platform fee</w:t>
      </w:r>
    </w:p>
    <w:p>
      <w:pPr>
        <w:spacing w:after="80" w:line="293" w:lineRule="auto"/>
        <w:jc w:val="left"/>
      </w:pPr>
      <w:r>
        <w:rPr>
          <w:rFonts w:ascii="Times New Roman" w:hAnsi="Times New Roman" w:cs="Times New Roman"/>
          <w:b w:val="0"/>
          <w:i w:val="0"/>
          <w:sz w:val="22"/>
        </w:rPr>
        <w:t>4. Add seller commercial balance</w:t>
      </w:r>
    </w:p>
    <w:p>
      <w:pPr>
        <w:spacing w:after="80" w:line="293" w:lineRule="auto"/>
        <w:jc w:val="left"/>
      </w:pPr>
      <w:r>
        <w:rPr>
          <w:rFonts w:ascii="Times New Roman" w:hAnsi="Times New Roman" w:cs="Times New Roman"/>
          <w:b w:val="0"/>
          <w:i w:val="0"/>
          <w:sz w:val="22"/>
        </w:rPr>
        <w:t>5. Construct complete Payment Manifest</w:t>
      </w:r>
    </w:p>
    <w:p>
      <w:pPr>
        <w:spacing w:after="80" w:line="293" w:lineRule="auto"/>
        <w:jc w:val="left"/>
      </w:pPr>
      <w:r>
        <w:rPr>
          <w:rFonts w:ascii="Times New Roman" w:hAnsi="Times New Roman" w:cs="Times New Roman"/>
          <w:b w:val="0"/>
          <w:i w:val="0"/>
          <w:sz w:val="22"/>
        </w:rPr>
        <w:t>Payment Manifest Example:</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"manifest_version": 1,</w:t>
      </w:r>
    </w:p>
    <w:p>
      <w:pPr>
        <w:spacing w:after="0" w:before="0" w:line="240" w:lineRule="auto"/>
        <w:ind w:left="57"/>
        <w:jc w:val="left"/>
        <w:shd w:val="clear" w:fill="F2F2F2"/>
      </w:pPr>
      <w:r>
        <w:rPr>
          <w:rFonts w:ascii="Consolas" w:hAnsi="Consolas" w:cs="Consolas"/>
          <w:b w:val="0"/>
          <w:i w:val="0"/>
          <w:sz w:val="16"/>
        </w:rPr>
        <w:t xml:space="preserve">  "manifest_hash": "sha256:manifest123...",</w:t>
      </w:r>
    </w:p>
    <w:p>
      <w:pPr>
        <w:spacing w:after="0" w:before="0" w:line="240" w:lineRule="auto"/>
        <w:ind w:left="57"/>
        <w:jc w:val="left"/>
        <w:shd w:val="clear" w:fill="F2F2F2"/>
      </w:pPr>
      <w:r>
        <w:rPr>
          <w:rFonts w:ascii="Consolas" w:hAnsi="Consolas" w:cs="Consolas"/>
          <w:b w:val="0"/>
          <w:i w:val="0"/>
          <w:sz w:val="16"/>
        </w:rPr>
        <w:t xml:space="preserve">  "total_egp": 115000.00,</w:t>
      </w:r>
    </w:p>
    <w:p>
      <w:pPr>
        <w:spacing w:after="0" w:before="0" w:line="240" w:lineRule="auto"/>
        <w:ind w:left="57"/>
        <w:jc w:val="left"/>
        <w:shd w:val="clear" w:fill="F2F2F2"/>
      </w:pPr>
      <w:r>
        <w:rPr>
          <w:rFonts w:ascii="Consolas" w:hAnsi="Consolas" w:cs="Consolas"/>
          <w:b w:val="0"/>
          <w:i w:val="0"/>
          <w:sz w:val="16"/>
        </w:rPr>
        <w:t xml:space="preserve">  "total_usd": 18500.00,</w:t>
      </w:r>
    </w:p>
    <w:p>
      <w:pPr>
        <w:spacing w:after="0" w:before="0" w:line="240" w:lineRule="auto"/>
        <w:ind w:left="57"/>
        <w:jc w:val="left"/>
        <w:shd w:val="clear" w:fill="F2F2F2"/>
      </w:pPr>
      <w:r>
        <w:rPr>
          <w:rFonts w:ascii="Consolas" w:hAnsi="Consolas" w:cs="Consolas"/>
          <w:b w:val="0"/>
          <w:i w:val="0"/>
          <w:sz w:val="16"/>
        </w:rPr>
        <w:t xml:space="preserve">  "egp_legs":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"LEG_CUSTOMS_EGP",</w:t>
      </w:r>
    </w:p>
    <w:p>
      <w:pPr>
        <w:spacing w:after="0" w:before="0" w:line="240" w:lineRule="auto"/>
        <w:ind w:left="57"/>
        <w:jc w:val="left"/>
        <w:shd w:val="clear" w:fill="F2F2F2"/>
      </w:pPr>
      <w:r>
        <w:rPr>
          <w:rFonts w:ascii="Consolas" w:hAnsi="Consolas" w:cs="Consolas"/>
          <w:b w:val="0"/>
          <w:i w:val="0"/>
          <w:sz w:val="16"/>
        </w:rPr>
        <w:t xml:space="preserve">      "provider_gtid": "SGTX-EG-CUSTOMS-001",</w:t>
      </w:r>
    </w:p>
    <w:p>
      <w:pPr>
        <w:spacing w:after="0" w:before="0" w:line="240" w:lineRule="auto"/>
        <w:ind w:left="57"/>
        <w:jc w:val="left"/>
        <w:shd w:val="clear" w:fill="F2F2F2"/>
      </w:pPr>
      <w:r>
        <w:rPr>
          <w:rFonts w:ascii="Consolas" w:hAnsi="Consolas" w:cs="Consolas"/>
          <w:b w:val="0"/>
          <w:i w:val="0"/>
          <w:sz w:val="16"/>
        </w:rPr>
        <w:t xml:space="preserve">      "provider_name": "Nafeza / Egypt Customs",</w:t>
      </w:r>
    </w:p>
    <w:p>
      <w:pPr>
        <w:spacing w:after="0" w:before="0" w:line="240" w:lineRule="auto"/>
        <w:ind w:left="57"/>
        <w:jc w:val="left"/>
        <w:shd w:val="clear" w:fill="F2F2F2"/>
      </w:pPr>
      <w:r>
        <w:rPr>
          <w:rFonts w:ascii="Consolas" w:hAnsi="Consolas" w:cs="Consolas"/>
          <w:b w:val="0"/>
          <w:i w:val="0"/>
          <w:sz w:val="16"/>
        </w:rPr>
        <w:t xml:space="preserve">      "quote_id": "QT-GOV-001",</w:t>
      </w:r>
    </w:p>
    <w:p>
      <w:pPr>
        <w:spacing w:after="0" w:before="0" w:line="240" w:lineRule="auto"/>
        <w:ind w:left="57"/>
        <w:jc w:val="left"/>
        <w:shd w:val="clear" w:fill="F2F2F2"/>
      </w:pPr>
      <w:r>
        <w:rPr>
          <w:rFonts w:ascii="Consolas" w:hAnsi="Consolas" w:cs="Consolas"/>
          <w:b w:val="0"/>
          <w:i w:val="0"/>
          <w:sz w:val="16"/>
        </w:rPr>
        <w:t xml:space="preserve">      "amount": 100000.00,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"CUSTOMS_IMPORT",</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"EG3800200000000000789012"</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"LEG_PHYTO_EGP",</w:t>
      </w:r>
    </w:p>
    <w:p>
      <w:pPr>
        <w:spacing w:after="0" w:before="0" w:line="240" w:lineRule="auto"/>
        <w:ind w:left="57"/>
        <w:jc w:val="left"/>
        <w:shd w:val="clear" w:fill="F2F2F2"/>
      </w:pPr>
      <w:r>
        <w:rPr>
          <w:rFonts w:ascii="Consolas" w:hAnsi="Consolas" w:cs="Consolas"/>
          <w:b w:val="0"/>
          <w:i w:val="0"/>
          <w:sz w:val="16"/>
        </w:rPr>
        <w:t xml:space="preserve">      "provider_gtid": "SGTX-EG-CAPQ-001",</w:t>
      </w:r>
    </w:p>
    <w:p>
      <w:pPr>
        <w:spacing w:after="0" w:before="0" w:line="240" w:lineRule="auto"/>
        <w:ind w:left="57"/>
        <w:jc w:val="left"/>
        <w:shd w:val="clear" w:fill="F2F2F2"/>
      </w:pPr>
      <w:r>
        <w:rPr>
          <w:rFonts w:ascii="Consolas" w:hAnsi="Consolas" w:cs="Consolas"/>
          <w:b w:val="0"/>
          <w:i w:val="0"/>
          <w:sz w:val="16"/>
        </w:rPr>
        <w:t xml:space="preserve">      "provider_name": "CAPQ",</w:t>
      </w:r>
    </w:p>
    <w:p>
      <w:pPr>
        <w:spacing w:after="0" w:before="0" w:line="240" w:lineRule="auto"/>
        <w:ind w:left="57"/>
        <w:jc w:val="left"/>
        <w:shd w:val="clear" w:fill="F2F2F2"/>
      </w:pPr>
      <w:r>
        <w:rPr>
          <w:rFonts w:ascii="Consolas" w:hAnsi="Consolas" w:cs="Consolas"/>
          <w:b w:val="0"/>
          <w:i w:val="0"/>
          <w:sz w:val="16"/>
        </w:rPr>
        <w:t xml:space="preserve">      "quote_id": "QT-GOV-002",</w:t>
      </w:r>
    </w:p>
    <w:p>
      <w:pPr>
        <w:spacing w:after="0" w:before="0" w:line="240" w:lineRule="auto"/>
        <w:ind w:left="57"/>
        <w:jc w:val="left"/>
        <w:shd w:val="clear" w:fill="F2F2F2"/>
      </w:pPr>
      <w:r>
        <w:rPr>
          <w:rFonts w:ascii="Consolas" w:hAnsi="Consolas" w:cs="Consolas"/>
          <w:b w:val="0"/>
          <w:i w:val="0"/>
          <w:sz w:val="16"/>
        </w:rPr>
        <w:t xml:space="preserve">      "amount": 5000.00,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"EG3800300000000000456789"</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"LEG_LAB_EGP",</w:t>
      </w:r>
    </w:p>
    <w:p>
      <w:pPr>
        <w:spacing w:after="0" w:before="0" w:line="240" w:lineRule="auto"/>
        <w:ind w:left="57"/>
        <w:jc w:val="left"/>
        <w:shd w:val="clear" w:fill="F2F2F2"/>
      </w:pPr>
      <w:r>
        <w:rPr>
          <w:rFonts w:ascii="Consolas" w:hAnsi="Consolas" w:cs="Consolas"/>
          <w:b w:val="0"/>
          <w:i w:val="0"/>
          <w:sz w:val="16"/>
        </w:rPr>
        <w:t xml:space="preserve">      "provider_gtid": "SGTX-EG-LAB-001",</w:t>
      </w:r>
    </w:p>
    <w:p>
      <w:pPr>
        <w:spacing w:after="0" w:before="0" w:line="240" w:lineRule="auto"/>
        <w:ind w:left="57"/>
        <w:jc w:val="left"/>
        <w:shd w:val="clear" w:fill="F2F2F2"/>
      </w:pPr>
      <w:r>
        <w:rPr>
          <w:rFonts w:ascii="Consolas" w:hAnsi="Consolas" w:cs="Consolas"/>
          <w:b w:val="0"/>
          <w:i w:val="0"/>
          <w:sz w:val="16"/>
        </w:rPr>
        <w:t xml:space="preserve">      "provider_name": "SGS Egypt",</w:t>
      </w:r>
    </w:p>
    <w:p>
      <w:pPr>
        <w:spacing w:after="0" w:before="0" w:line="240" w:lineRule="auto"/>
        <w:ind w:left="57"/>
        <w:jc w:val="left"/>
        <w:shd w:val="clear" w:fill="F2F2F2"/>
      </w:pPr>
      <w:r>
        <w:rPr>
          <w:rFonts w:ascii="Consolas" w:hAnsi="Consolas" w:cs="Consolas"/>
          <w:b w:val="0"/>
          <w:i w:val="0"/>
          <w:sz w:val="16"/>
        </w:rPr>
        <w:t xml:space="preserve">      "quote_id": "QT-LAB-001",</w:t>
      </w:r>
    </w:p>
    <w:p>
      <w:pPr>
        <w:spacing w:after="0" w:before="0" w:line="240" w:lineRule="auto"/>
        <w:ind w:left="57"/>
        <w:jc w:val="left"/>
        <w:shd w:val="clear" w:fill="F2F2F2"/>
      </w:pPr>
      <w:r>
        <w:rPr>
          <w:rFonts w:ascii="Consolas" w:hAnsi="Consolas" w:cs="Consolas"/>
          <w:b w:val="0"/>
          <w:i w:val="0"/>
          <w:sz w:val="16"/>
        </w:rPr>
        <w:t xml:space="preserve">      "amount": 3000.00,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"EG3800400000000000123456"</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"LEG_TRUCKING_EGP",</w:t>
      </w:r>
    </w:p>
    <w:p>
      <w:pPr>
        <w:spacing w:after="0" w:before="0" w:line="240" w:lineRule="auto"/>
        <w:ind w:left="57"/>
        <w:jc w:val="left"/>
        <w:shd w:val="clear" w:fill="F2F2F2"/>
      </w:pPr>
      <w:r>
        <w:rPr>
          <w:rFonts w:ascii="Consolas" w:hAnsi="Consolas" w:cs="Consolas"/>
          <w:b w:val="0"/>
          <w:i w:val="0"/>
          <w:sz w:val="16"/>
        </w:rPr>
        <w:t xml:space="preserve">      "provider_gtid": "SGTX-EG-LSP-001",</w:t>
      </w:r>
    </w:p>
    <w:p>
      <w:pPr>
        <w:spacing w:after="0" w:before="0" w:line="240" w:lineRule="auto"/>
        <w:ind w:left="57"/>
        <w:jc w:val="left"/>
        <w:shd w:val="clear" w:fill="F2F2F2"/>
      </w:pPr>
      <w:r>
        <w:rPr>
          <w:rFonts w:ascii="Consolas" w:hAnsi="Consolas" w:cs="Consolas"/>
          <w:b w:val="0"/>
          <w:i w:val="0"/>
          <w:sz w:val="16"/>
        </w:rPr>
        <w:t xml:space="preserve">      "provider_name": "Fast Trucking Co.",</w:t>
      </w:r>
    </w:p>
    <w:p>
      <w:pPr>
        <w:spacing w:after="0" w:before="0" w:line="240" w:lineRule="auto"/>
        <w:ind w:left="57"/>
        <w:jc w:val="left"/>
        <w:shd w:val="clear" w:fill="F2F2F2"/>
      </w:pPr>
      <w:r>
        <w:rPr>
          <w:rFonts w:ascii="Consolas" w:hAnsi="Consolas" w:cs="Consolas"/>
          <w:b w:val="0"/>
          <w:i w:val="0"/>
          <w:sz w:val="16"/>
        </w:rPr>
        <w:t xml:space="preserve">      "quote_id": "QT-LSP-001",</w:t>
      </w:r>
    </w:p>
    <w:p>
      <w:pPr>
        <w:spacing w:after="0" w:before="0" w:line="240" w:lineRule="auto"/>
        <w:ind w:left="57"/>
        <w:jc w:val="left"/>
        <w:shd w:val="clear" w:fill="F2F2F2"/>
      </w:pPr>
      <w:r>
        <w:rPr>
          <w:rFonts w:ascii="Consolas" w:hAnsi="Consolas" w:cs="Consolas"/>
          <w:b w:val="0"/>
          <w:i w:val="0"/>
          <w:sz w:val="16"/>
        </w:rPr>
        <w:t xml:space="preserve">      "amount": 5000.00,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"EG3800600000000000123456"</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"LEG_BROKER_EGP",</w:t>
      </w:r>
    </w:p>
    <w:p>
      <w:pPr>
        <w:spacing w:after="0" w:before="0" w:line="240" w:lineRule="auto"/>
        <w:ind w:left="57"/>
        <w:jc w:val="left"/>
        <w:shd w:val="clear" w:fill="F2F2F2"/>
      </w:pPr>
      <w:r>
        <w:rPr>
          <w:rFonts w:ascii="Consolas" w:hAnsi="Consolas" w:cs="Consolas"/>
          <w:b w:val="0"/>
          <w:i w:val="0"/>
          <w:sz w:val="16"/>
        </w:rPr>
        <w:t xml:space="preserve">      "provider_gtid": "SGTX-EG-CBR-001",</w:t>
      </w:r>
    </w:p>
    <w:p>
      <w:pPr>
        <w:spacing w:after="0" w:before="0" w:line="240" w:lineRule="auto"/>
        <w:ind w:left="57"/>
        <w:jc w:val="left"/>
        <w:shd w:val="clear" w:fill="F2F2F2"/>
      </w:pPr>
      <w:r>
        <w:rPr>
          <w:rFonts w:ascii="Consolas" w:hAnsi="Consolas" w:cs="Consolas"/>
          <w:b w:val="0"/>
          <w:i w:val="0"/>
          <w:sz w:val="16"/>
        </w:rPr>
        <w:t xml:space="preserve">      "provider_name": "Nile Customs Services",</w:t>
      </w:r>
    </w:p>
    <w:p>
      <w:pPr>
        <w:spacing w:after="0" w:before="0" w:line="240" w:lineRule="auto"/>
        <w:ind w:left="57"/>
        <w:jc w:val="left"/>
        <w:shd w:val="clear" w:fill="F2F2F2"/>
      </w:pPr>
      <w:r>
        <w:rPr>
          <w:rFonts w:ascii="Consolas" w:hAnsi="Consolas" w:cs="Consolas"/>
          <w:b w:val="0"/>
          <w:i w:val="0"/>
          <w:sz w:val="16"/>
        </w:rPr>
        <w:t xml:space="preserve">      "quote_id": "QT-CBR-001",</w:t>
      </w:r>
    </w:p>
    <w:p>
      <w:pPr>
        <w:spacing w:after="0" w:before="0" w:line="240" w:lineRule="auto"/>
        <w:ind w:left="57"/>
        <w:jc w:val="left"/>
        <w:shd w:val="clear" w:fill="F2F2F2"/>
      </w:pPr>
      <w:r>
        <w:rPr>
          <w:rFonts w:ascii="Consolas" w:hAnsi="Consolas" w:cs="Consolas"/>
          <w:b w:val="0"/>
          <w:i w:val="0"/>
          <w:sz w:val="16"/>
        </w:rPr>
        <w:t xml:space="preserve">      "amount": 2000.00,</w:t>
      </w:r>
    </w:p>
    <w:p>
      <w:pPr>
        <w:spacing w:after="0" w:before="0" w:line="240" w:lineRule="auto"/>
        <w:ind w:left="57"/>
        <w:jc w:val="left"/>
        <w:shd w:val="clear" w:fill="F2F2F2"/>
      </w:pPr>
      <w:r>
        <w:rPr>
          <w:rFonts w:ascii="Consolas" w:hAnsi="Consolas" w:cs="Consolas"/>
          <w:b w:val="0"/>
          <w:i w:val="0"/>
          <w:sz w:val="16"/>
        </w:rPr>
        <w:t xml:space="preserve">      "currency": "EGP",</w:t>
      </w:r>
    </w:p>
    <w:p>
      <w:pPr>
        <w:spacing w:after="0" w:before="0" w:line="240" w:lineRule="auto"/>
        <w:ind w:left="57"/>
        <w:jc w:val="left"/>
        <w:shd w:val="clear" w:fill="F2F2F2"/>
      </w:pPr>
      <w:r>
        <w:rPr>
          <w:rFonts w:ascii="Consolas" w:hAnsi="Consolas" w:cs="Consolas"/>
          <w:b w:val="0"/>
          <w:i w:val="0"/>
          <w:sz w:val="16"/>
        </w:rPr>
        <w:t xml:space="preserve">      "condition": "CUSTOMS_SUBMITTED",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"EG3800700000000000123456"</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"usd_legs":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"LEG_FREIGHT_USD",</w:t>
      </w:r>
    </w:p>
    <w:p>
      <w:pPr>
        <w:spacing w:after="0" w:before="0" w:line="240" w:lineRule="auto"/>
        <w:ind w:left="57"/>
        <w:jc w:val="left"/>
        <w:shd w:val="clear" w:fill="F2F2F2"/>
      </w:pPr>
      <w:r>
        <w:rPr>
          <w:rFonts w:ascii="Consolas" w:hAnsi="Consolas" w:cs="Consolas"/>
          <w:b w:val="0"/>
          <w:i w:val="0"/>
          <w:sz w:val="16"/>
        </w:rPr>
        <w:t xml:space="preserve">      "provider_gtid": "SGTX-EG-SHIP-001",</w:t>
      </w:r>
    </w:p>
    <w:p>
      <w:pPr>
        <w:spacing w:after="0" w:before="0" w:line="240" w:lineRule="auto"/>
        <w:ind w:left="57"/>
        <w:jc w:val="left"/>
        <w:shd w:val="clear" w:fill="F2F2F2"/>
      </w:pPr>
      <w:r>
        <w:rPr>
          <w:rFonts w:ascii="Consolas" w:hAnsi="Consolas" w:cs="Consolas"/>
          <w:b w:val="0"/>
          <w:i w:val="0"/>
          <w:sz w:val="16"/>
        </w:rPr>
        <w:t xml:space="preserve">      "provider_name": "MSC Egypt",</w:t>
      </w:r>
    </w:p>
    <w:p>
      <w:pPr>
        <w:spacing w:after="0" w:before="0" w:line="240" w:lineRule="auto"/>
        <w:ind w:left="57"/>
        <w:jc w:val="left"/>
        <w:shd w:val="clear" w:fill="F2F2F2"/>
      </w:pPr>
      <w:r>
        <w:rPr>
          <w:rFonts w:ascii="Consolas" w:hAnsi="Consolas" w:cs="Consolas"/>
          <w:b w:val="0"/>
          <w:i w:val="0"/>
          <w:sz w:val="16"/>
        </w:rPr>
        <w:t xml:space="preserve">      "quote_id": "QT-SHIP-001",</w:t>
      </w:r>
    </w:p>
    <w:p>
      <w:pPr>
        <w:spacing w:after="0" w:before="0" w:line="240" w:lineRule="auto"/>
        <w:ind w:left="57"/>
        <w:jc w:val="left"/>
        <w:shd w:val="clear" w:fill="F2F2F2"/>
      </w:pPr>
      <w:r>
        <w:rPr>
          <w:rFonts w:ascii="Consolas" w:hAnsi="Consolas" w:cs="Consolas"/>
          <w:b w:val="0"/>
          <w:i w:val="0"/>
          <w:sz w:val="16"/>
        </w:rPr>
        <w:t xml:space="preserve">      "amount": 8400.00,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"condition": "DEPARTED",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"DE89370400440532013000",</w:t>
      </w:r>
    </w:p>
    <w:p>
      <w:pPr>
        <w:spacing w:after="0" w:before="0" w:line="240" w:lineRule="auto"/>
        <w:ind w:left="57"/>
        <w:jc w:val="left"/>
        <w:shd w:val="clear" w:fill="F2F2F2"/>
      </w:pPr>
      <w:r>
        <w:rPr>
          <w:rFonts w:ascii="Consolas" w:hAnsi="Consolas" w:cs="Consolas"/>
          <w:b w:val="0"/>
          <w:i w:val="0"/>
          <w:sz w:val="16"/>
        </w:rPr>
        <w:t xml:space="preserve">      "beneficiary_bic": "DEUTDEFF"</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"LEG_SELLER_USD",</w:t>
      </w:r>
    </w:p>
    <w:p>
      <w:pPr>
        <w:spacing w:after="0" w:before="0" w:line="240" w:lineRule="auto"/>
        <w:ind w:left="57"/>
        <w:jc w:val="left"/>
        <w:shd w:val="clear" w:fill="F2F2F2"/>
      </w:pPr>
      <w:r>
        <w:rPr>
          <w:rFonts w:ascii="Consolas" w:hAnsi="Consolas" w:cs="Consolas"/>
          <w:b w:val="0"/>
          <w:i w:val="0"/>
          <w:sz w:val="16"/>
        </w:rPr>
        <w:t xml:space="preserve">      "provider_gtid": "SGTX-VN-TRD-002139",</w:t>
      </w:r>
    </w:p>
    <w:p>
      <w:pPr>
        <w:spacing w:after="0" w:before="0" w:line="240" w:lineRule="auto"/>
        <w:ind w:left="57"/>
        <w:jc w:val="left"/>
        <w:shd w:val="clear" w:fill="F2F2F2"/>
      </w:pPr>
      <w:r>
        <w:rPr>
          <w:rFonts w:ascii="Consolas" w:hAnsi="Consolas" w:cs="Consolas"/>
          <w:b w:val="0"/>
          <w:i w:val="0"/>
          <w:sz w:val="16"/>
        </w:rPr>
        <w:t xml:space="preserve">      "provider_name": "Mekong Fresh",</w:t>
      </w:r>
    </w:p>
    <w:p>
      <w:pPr>
        <w:spacing w:after="0" w:before="0" w:line="240" w:lineRule="auto"/>
        <w:ind w:left="57"/>
        <w:jc w:val="left"/>
        <w:shd w:val="clear" w:fill="F2F2F2"/>
      </w:pPr>
      <w:r>
        <w:rPr>
          <w:rFonts w:ascii="Consolas" w:hAnsi="Consolas" w:cs="Consolas"/>
          <w:b w:val="0"/>
          <w:i w:val="0"/>
          <w:sz w:val="16"/>
        </w:rPr>
        <w:t xml:space="preserve">      "quote_id": "QT-SELLER-001",</w:t>
      </w:r>
    </w:p>
    <w:p>
      <w:pPr>
        <w:spacing w:after="0" w:before="0" w:line="240" w:lineRule="auto"/>
        <w:ind w:left="57"/>
        <w:jc w:val="left"/>
        <w:shd w:val="clear" w:fill="F2F2F2"/>
      </w:pPr>
      <w:r>
        <w:rPr>
          <w:rFonts w:ascii="Consolas" w:hAnsi="Consolas" w:cs="Consolas"/>
          <w:b w:val="0"/>
          <w:i w:val="0"/>
          <w:sz w:val="16"/>
        </w:rPr>
        <w:t xml:space="preserve">      "amount": 10000.00,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"condition": "DELIVERED",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"VN12345678901234567890",</w:t>
      </w:r>
    </w:p>
    <w:p>
      <w:pPr>
        <w:spacing w:after="0" w:before="0" w:line="240" w:lineRule="auto"/>
        <w:ind w:left="57"/>
        <w:jc w:val="left"/>
        <w:shd w:val="clear" w:fill="F2F2F2"/>
      </w:pPr>
      <w:r>
        <w:rPr>
          <w:rFonts w:ascii="Consolas" w:hAnsi="Consolas" w:cs="Consolas"/>
          <w:b w:val="0"/>
          <w:i w:val="0"/>
          <w:sz w:val="16"/>
        </w:rPr>
        <w:t xml:space="preserve">      "beneficiary_bic": "BICVVNVX"</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"leg_id": "LEG_SGTX_USD",</w:t>
      </w:r>
    </w:p>
    <w:p>
      <w:pPr>
        <w:spacing w:after="0" w:before="0" w:line="240" w:lineRule="auto"/>
        <w:ind w:left="57"/>
        <w:jc w:val="left"/>
        <w:shd w:val="clear" w:fill="F2F2F2"/>
      </w:pPr>
      <w:r>
        <w:rPr>
          <w:rFonts w:ascii="Consolas" w:hAnsi="Consolas" w:cs="Consolas"/>
          <w:b w:val="0"/>
          <w:i w:val="0"/>
          <w:sz w:val="16"/>
        </w:rPr>
        <w:t xml:space="preserve">      "provider_gtid": "SGTX-PLATFORM",</w:t>
      </w:r>
    </w:p>
    <w:p>
      <w:pPr>
        <w:spacing w:after="0" w:before="0" w:line="240" w:lineRule="auto"/>
        <w:ind w:left="57"/>
        <w:jc w:val="left"/>
        <w:shd w:val="clear" w:fill="F2F2F2"/>
      </w:pPr>
      <w:r>
        <w:rPr>
          <w:rFonts w:ascii="Consolas" w:hAnsi="Consolas" w:cs="Consolas"/>
          <w:b w:val="0"/>
          <w:i w:val="0"/>
          <w:sz w:val="16"/>
        </w:rPr>
        <w:t xml:space="preserve">      "provider_name": "SGTX Platform",</w:t>
      </w:r>
    </w:p>
    <w:p>
      <w:pPr>
        <w:spacing w:after="0" w:before="0" w:line="240" w:lineRule="auto"/>
        <w:ind w:left="57"/>
        <w:jc w:val="left"/>
        <w:shd w:val="clear" w:fill="F2F2F2"/>
      </w:pPr>
      <w:r>
        <w:rPr>
          <w:rFonts w:ascii="Consolas" w:hAnsi="Consolas" w:cs="Consolas"/>
          <w:b w:val="0"/>
          <w:i w:val="0"/>
          <w:sz w:val="16"/>
        </w:rPr>
        <w:t xml:space="preserve">      "quote_id": "QT-SGTX-001",</w:t>
      </w:r>
    </w:p>
    <w:p>
      <w:pPr>
        <w:spacing w:after="0" w:before="0" w:line="240" w:lineRule="auto"/>
        <w:ind w:left="57"/>
        <w:jc w:val="left"/>
        <w:shd w:val="clear" w:fill="F2F2F2"/>
      </w:pPr>
      <w:r>
        <w:rPr>
          <w:rFonts w:ascii="Consolas" w:hAnsi="Consolas" w:cs="Consolas"/>
          <w:b w:val="0"/>
          <w:i w:val="0"/>
          <w:sz w:val="16"/>
        </w:rPr>
        <w:t xml:space="preserve">      "amount": 100.00,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"condition": "LOCKED",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"beneficiary_iban": "EG3800500000000000123456",</w:t>
      </w:r>
    </w:p>
    <w:p>
      <w:pPr>
        <w:spacing w:after="0" w:before="0" w:line="240" w:lineRule="auto"/>
        <w:ind w:left="57"/>
        <w:jc w:val="left"/>
        <w:shd w:val="clear" w:fill="F2F2F2"/>
      </w:pPr>
      <w:r>
        <w:rPr>
          <w:rFonts w:ascii="Consolas" w:hAnsi="Consolas" w:cs="Consolas"/>
          <w:b w:val="0"/>
          <w:i w:val="0"/>
          <w:sz w:val="16"/>
        </w:rPr>
        <w:t xml:space="preserve">      "beneficiary_bic": "CIBEEGCX"</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manifest is the single financial contract of the USTN: total EGP obligations, total USD obligations, every leg with provider GTID, quote reference, amount, currency, milestone condition, terms, and beneficiary IBAN/BIC. The manifest hash is Loom-logged at construction; any later change creates a new manifest version, never a silent mutation.</w:t>
      </w:r>
    </w:p>
    <w:p>
      <w:pPr>
        <w:keepNext/>
        <w:spacing w:before="360" w:after="160"/>
        <w:outlineLvl w:val="0"/>
      </w:pPr>
      <w:r>
        <w:rPr>
          <w:rFonts w:ascii="Arial" w:hAnsi="Arial" w:cs="Arial"/>
          <w:b/>
          <w:i w:val="0"/>
          <w:color w:val="1F3864"/>
          <w:sz w:val="32"/>
        </w:rPr>
        <w:t>9. Negotiation, Contracting, Fees, Signing &amp; Lock — Phase 3</w:t>
      </w:r>
    </w:p>
    <w:p>
      <w:pPr>
        <w:keepNext/>
        <w:spacing w:before="240" w:after="100"/>
        <w:outlineLvl w:val="1"/>
      </w:pPr>
      <w:r>
        <w:rPr>
          <w:rFonts w:ascii="Arial" w:hAnsi="Arial" w:cs="Arial"/>
          <w:b/>
          <w:i w:val="0"/>
          <w:color w:val="2E528F"/>
          <w:sz w:val="26"/>
        </w:rPr>
        <w:t>9.1 Purpose &amp; Design Philosophy</w:t>
      </w:r>
    </w:p>
    <w:p>
      <w:pPr>
        <w:spacing w:after="80" w:line="293" w:lineRule="auto"/>
        <w:jc w:val="left"/>
      </w:pPr>
      <w:r>
        <w:rPr>
          <w:rFonts w:ascii="Times New Roman" w:hAnsi="Times New Roman" w:cs="Times New Roman"/>
          <w:b w:val="0"/>
          <w:i w:val="0"/>
          <w:sz w:val="22"/>
        </w:rPr>
        <w:t>Phase 3 is the authoritative bridge between buyer intent/request, seller quote, mutually agreed commercial terms, executed contract, locked shipment, and USTN. It transforms the commercial agreement into a cryptographically signed, legally enforceable contract, collects the SGTX platform fee, and prepares the shipment for physical execution. It is the moment when the trade becomes irrevocable and the USTN is born. The goal: both parties mutually agree on final terms, sign a legally binding contract (with the mandatory SGTX Witness Clause), pay the SGTX platform fee (per shipment for multi-shipment contracts), and generate the USTN.</w:t>
      </w:r>
    </w:p>
    <w:p>
      <w:pPr>
        <w:spacing w:after="80" w:line="293" w:lineRule="auto"/>
        <w:jc w:val="left"/>
      </w:pPr>
      <w:r>
        <w:rPr>
          <w:rFonts w:ascii="Times New Roman" w:hAnsi="Times New Roman" w:cs="Times New Roman"/>
          <w:b w:val="0"/>
          <w:i w:val="0"/>
          <w:sz w:val="22"/>
        </w:rPr>
        <w:t>Golden Principle — never collapse these stages: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Stage</w:t>
            </w:r>
          </w:p>
        </w:tc>
        <w:tc>
          <w:tcPr>
            <w:tcW w:type="dxa" w:w="4819"/>
            <w:shd w:val="clear" w:fill="D9E2F3"/>
          </w:tcPr>
          <w:p>
            <w:pPr>
              <w:spacing w:after="20" w:before="20" w:line="240" w:lineRule="auto"/>
            </w:pPr>
            <w:r/>
            <w:r>
              <w:rPr>
                <w:rFonts w:ascii="Arial" w:hAnsi="Arial" w:cs="Arial"/>
                <w:b/>
                <w:i w:val="0"/>
                <w:sz w:val="18"/>
              </w:rPr>
              <w:t>Status</w:t>
            </w:r>
          </w:p>
        </w:tc>
      </w:tr>
      <w:tr>
        <w:tc>
          <w:tcPr>
            <w:tcW w:type="dxa" w:w="4819"/>
          </w:tcPr>
          <w:p>
            <w:pPr>
              <w:spacing w:after="20" w:before="20" w:line="240" w:lineRule="auto"/>
            </w:pPr>
            <w:r/>
            <w:r>
              <w:rPr>
                <w:rFonts w:ascii="Arial" w:hAnsi="Arial" w:cs="Arial"/>
                <w:b w:val="0"/>
                <w:i w:val="0"/>
                <w:sz w:val="17"/>
              </w:rPr>
              <w:t>Buyer Request</w:t>
            </w:r>
          </w:p>
        </w:tc>
        <w:tc>
          <w:tcPr>
            <w:tcW w:type="dxa" w:w="4819"/>
          </w:tcPr>
          <w:p>
            <w:pPr>
              <w:spacing w:after="20" w:before="20" w:line="240" w:lineRule="auto"/>
            </w:pPr>
            <w:r/>
            <w:r>
              <w:rPr>
                <w:rFonts w:ascii="Arial" w:hAnsi="Arial" w:cs="Arial"/>
                <w:b w:val="0"/>
                <w:i w:val="0"/>
                <w:sz w:val="17"/>
              </w:rPr>
              <w:t>≠ Seller Quote</w:t>
            </w:r>
          </w:p>
        </w:tc>
      </w:tr>
      <w:tr>
        <w:tc>
          <w:tcPr>
            <w:tcW w:type="dxa" w:w="4819"/>
          </w:tcPr>
          <w:p>
            <w:pPr>
              <w:spacing w:after="20" w:before="20" w:line="240" w:lineRule="auto"/>
            </w:pPr>
            <w:r/>
            <w:r>
              <w:rPr>
                <w:rFonts w:ascii="Arial" w:hAnsi="Arial" w:cs="Arial"/>
                <w:b w:val="0"/>
                <w:i w:val="0"/>
                <w:sz w:val="17"/>
              </w:rPr>
              <w:t>Seller Quote</w:t>
            </w:r>
          </w:p>
        </w:tc>
        <w:tc>
          <w:tcPr>
            <w:tcW w:type="dxa" w:w="4819"/>
          </w:tcPr>
          <w:p>
            <w:pPr>
              <w:spacing w:after="20" w:before="20" w:line="240" w:lineRule="auto"/>
            </w:pPr>
            <w:r/>
            <w:r>
              <w:rPr>
                <w:rFonts w:ascii="Arial" w:hAnsi="Arial" w:cs="Arial"/>
                <w:b w:val="0"/>
                <w:i w:val="0"/>
                <w:sz w:val="17"/>
              </w:rPr>
              <w:t>≠ Counteroffer</w:t>
            </w:r>
          </w:p>
        </w:tc>
      </w:tr>
      <w:tr>
        <w:tc>
          <w:tcPr>
            <w:tcW w:type="dxa" w:w="4819"/>
          </w:tcPr>
          <w:p>
            <w:pPr>
              <w:spacing w:after="20" w:before="20" w:line="240" w:lineRule="auto"/>
            </w:pPr>
            <w:r/>
            <w:r>
              <w:rPr>
                <w:rFonts w:ascii="Arial" w:hAnsi="Arial" w:cs="Arial"/>
                <w:b w:val="0"/>
                <w:i w:val="0"/>
                <w:sz w:val="17"/>
              </w:rPr>
              <w:t>Counteroffer</w:t>
            </w:r>
          </w:p>
        </w:tc>
        <w:tc>
          <w:tcPr>
            <w:tcW w:type="dxa" w:w="4819"/>
          </w:tcPr>
          <w:p>
            <w:pPr>
              <w:spacing w:after="20" w:before="20" w:line="240" w:lineRule="auto"/>
            </w:pPr>
            <w:r/>
            <w:r>
              <w:rPr>
                <w:rFonts w:ascii="Arial" w:hAnsi="Arial" w:cs="Arial"/>
                <w:b w:val="0"/>
                <w:i w:val="0"/>
                <w:sz w:val="17"/>
              </w:rPr>
              <w:t>≠ Negotiated Terms</w:t>
            </w:r>
          </w:p>
        </w:tc>
      </w:tr>
      <w:tr>
        <w:tc>
          <w:tcPr>
            <w:tcW w:type="dxa" w:w="4819"/>
          </w:tcPr>
          <w:p>
            <w:pPr>
              <w:spacing w:after="20" w:before="20" w:line="240" w:lineRule="auto"/>
            </w:pPr>
            <w:r/>
            <w:r>
              <w:rPr>
                <w:rFonts w:ascii="Arial" w:hAnsi="Arial" w:cs="Arial"/>
                <w:b w:val="0"/>
                <w:i w:val="0"/>
                <w:sz w:val="17"/>
              </w:rPr>
              <w:t>Negotiated Terms</w:t>
            </w:r>
          </w:p>
        </w:tc>
        <w:tc>
          <w:tcPr>
            <w:tcW w:type="dxa" w:w="4819"/>
          </w:tcPr>
          <w:p>
            <w:pPr>
              <w:spacing w:after="20" w:before="20" w:line="240" w:lineRule="auto"/>
            </w:pPr>
            <w:r/>
            <w:r>
              <w:rPr>
                <w:rFonts w:ascii="Arial" w:hAnsi="Arial" w:cs="Arial"/>
                <w:b w:val="0"/>
                <w:i w:val="0"/>
                <w:sz w:val="17"/>
              </w:rPr>
              <w:t>≠ Mutual Agreement</w:t>
            </w:r>
          </w:p>
        </w:tc>
      </w:tr>
      <w:tr>
        <w:tc>
          <w:tcPr>
            <w:tcW w:type="dxa" w:w="4819"/>
          </w:tcPr>
          <w:p>
            <w:pPr>
              <w:spacing w:after="20" w:before="20" w:line="240" w:lineRule="auto"/>
            </w:pPr>
            <w:r/>
            <w:r>
              <w:rPr>
                <w:rFonts w:ascii="Arial" w:hAnsi="Arial" w:cs="Arial"/>
                <w:b w:val="0"/>
                <w:i w:val="0"/>
                <w:sz w:val="17"/>
              </w:rPr>
              <w:t>Mutual Agreement</w:t>
            </w:r>
          </w:p>
        </w:tc>
        <w:tc>
          <w:tcPr>
            <w:tcW w:type="dxa" w:w="4819"/>
          </w:tcPr>
          <w:p>
            <w:pPr>
              <w:spacing w:after="20" w:before="20" w:line="240" w:lineRule="auto"/>
            </w:pPr>
            <w:r/>
            <w:r>
              <w:rPr>
                <w:rFonts w:ascii="Arial" w:hAnsi="Arial" w:cs="Arial"/>
                <w:b w:val="0"/>
                <w:i w:val="0"/>
                <w:sz w:val="17"/>
              </w:rPr>
              <w:t>≠ Contract</w:t>
            </w:r>
          </w:p>
        </w:tc>
      </w:tr>
      <w:tr>
        <w:tc>
          <w:tcPr>
            <w:tcW w:type="dxa" w:w="4819"/>
          </w:tcPr>
          <w:p>
            <w:pPr>
              <w:spacing w:after="20" w:before="20" w:line="240" w:lineRule="auto"/>
            </w:pPr>
            <w:r/>
            <w:r>
              <w:rPr>
                <w:rFonts w:ascii="Arial" w:hAnsi="Arial" w:cs="Arial"/>
                <w:b w:val="0"/>
                <w:i w:val="0"/>
                <w:sz w:val="17"/>
              </w:rPr>
              <w:t>Contract</w:t>
            </w:r>
          </w:p>
        </w:tc>
        <w:tc>
          <w:tcPr>
            <w:tcW w:type="dxa" w:w="4819"/>
          </w:tcPr>
          <w:p>
            <w:pPr>
              <w:spacing w:after="20" w:before="20" w:line="240" w:lineRule="auto"/>
            </w:pPr>
            <w:r/>
            <w:r>
              <w:rPr>
                <w:rFonts w:ascii="Arial" w:hAnsi="Arial" w:cs="Arial"/>
                <w:b w:val="0"/>
                <w:i w:val="0"/>
                <w:sz w:val="17"/>
              </w:rPr>
              <w:t>≠ Signed Contract</w:t>
            </w:r>
          </w:p>
        </w:tc>
      </w:tr>
      <w:tr>
        <w:tc>
          <w:tcPr>
            <w:tcW w:type="dxa" w:w="4819"/>
          </w:tcPr>
          <w:p>
            <w:pPr>
              <w:spacing w:after="20" w:before="20" w:line="240" w:lineRule="auto"/>
            </w:pPr>
            <w:r/>
            <w:r>
              <w:rPr>
                <w:rFonts w:ascii="Arial" w:hAnsi="Arial" w:cs="Arial"/>
                <w:b w:val="0"/>
                <w:i w:val="0"/>
                <w:sz w:val="17"/>
              </w:rPr>
              <w:t>Signed Contract</w:t>
            </w:r>
          </w:p>
        </w:tc>
        <w:tc>
          <w:tcPr>
            <w:tcW w:type="dxa" w:w="4819"/>
          </w:tcPr>
          <w:p>
            <w:pPr>
              <w:spacing w:after="20" w:before="20" w:line="240" w:lineRule="auto"/>
            </w:pPr>
            <w:r/>
            <w:r>
              <w:rPr>
                <w:rFonts w:ascii="Arial" w:hAnsi="Arial" w:cs="Arial"/>
                <w:b w:val="0"/>
                <w:i w:val="0"/>
                <w:sz w:val="17"/>
              </w:rPr>
              <w:t>≠ Locked Shipment</w:t>
            </w:r>
          </w:p>
        </w:tc>
      </w:tr>
      <w:tr>
        <w:tc>
          <w:tcPr>
            <w:tcW w:type="dxa" w:w="4819"/>
          </w:tcPr>
          <w:p>
            <w:pPr>
              <w:spacing w:after="20" w:before="20" w:line="240" w:lineRule="auto"/>
            </w:pPr>
            <w:r/>
            <w:r>
              <w:rPr>
                <w:rFonts w:ascii="Arial" w:hAnsi="Arial" w:cs="Arial"/>
                <w:b w:val="0"/>
                <w:i w:val="0"/>
                <w:sz w:val="17"/>
              </w:rPr>
              <w:t>Locked Shipment</w:t>
            </w:r>
          </w:p>
        </w:tc>
        <w:tc>
          <w:tcPr>
            <w:tcW w:type="dxa" w:w="4819"/>
          </w:tcPr>
          <w:p>
            <w:pPr>
              <w:spacing w:after="20" w:before="20" w:line="240" w:lineRule="auto"/>
            </w:pPr>
            <w:r/>
            <w:r>
              <w:rPr>
                <w:rFonts w:ascii="Arial" w:hAnsi="Arial" w:cs="Arial"/>
                <w:b w:val="0"/>
                <w:i w:val="0"/>
                <w:sz w:val="17"/>
              </w:rPr>
              <w:t>≠ USTN</w:t>
            </w:r>
          </w:p>
        </w:tc>
      </w:tr>
      <w:tr>
        <w:tc>
          <w:tcPr>
            <w:tcW w:type="dxa" w:w="4819"/>
          </w:tcPr>
          <w:p>
            <w:pPr>
              <w:spacing w:after="20" w:before="20" w:line="240" w:lineRule="auto"/>
            </w:pPr>
            <w:r/>
            <w:r>
              <w:rPr>
                <w:rFonts w:ascii="Arial" w:hAnsi="Arial" w:cs="Arial"/>
                <w:b w:val="0"/>
                <w:i w:val="0"/>
                <w:sz w:val="17"/>
              </w:rPr>
              <w:t>USTN</w:t>
            </w:r>
          </w:p>
        </w:tc>
        <w:tc>
          <w:tcPr>
            <w:tcW w:type="dxa" w:w="4819"/>
          </w:tcPr>
          <w:p>
            <w:pPr>
              <w:spacing w:after="20" w:before="20" w:line="240" w:lineRule="auto"/>
            </w:pPr>
            <w:r/>
            <w:r>
              <w:rPr>
                <w:rFonts w:ascii="Arial" w:hAnsi="Arial" w:cs="Arial"/>
                <w:b w:val="0"/>
                <w:i w:val="0"/>
                <w:sz w:val="17"/>
              </w:rPr>
              <w:t>≠ Final Transaction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stage has explicit: state, events, evidence, authority, timestamp, version, permissions, deadlines, dependencies, and finality conditions.</w:t>
      </w:r>
    </w:p>
    <w:p>
      <w:pPr>
        <w:spacing w:after="80" w:line="293" w:lineRule="auto"/>
        <w:jc w:val="left"/>
      </w:pPr>
      <w:r>
        <w:rPr>
          <w:rFonts w:ascii="Times New Roman" w:hAnsi="Times New Roman" w:cs="Times New Roman"/>
          <w:b w:val="0"/>
          <w:i w:val="0"/>
          <w:sz w:val="22"/>
        </w:rPr>
        <w:t>Key principles: mutual confirmation (both parties must explicitly agree to the final terms before contract assembly); Clause Forge (A2) AI contract generation with all commercial terms and mandatory clauses; the non-removable SGTX Witness Clause establishing SGTX's role as non-custodial witness and fee collector; partial acceptance (buyers can accept part of a multi-shipment schedule while negotiating the rest); counter-offer with reason (mandatory reason, ≥20 characters, for any counter-offer, creating an audit trail); deadline extension (either party can request and approve deadline extensions); per-shipment fee collection (for multi-shipment contracts, fees are collected per shipment, not upfront); deferred government fees (option to defer eligible government fees with a bank-held deferred instruction (pain.008)); one-click core (every irreversible action — sign, pay, confirm — is a single click); non-marketplace (never suggests alternative counterparties).</w:t>
      </w:r>
    </w:p>
    <w:p>
      <w:pPr>
        <w:spacing w:after="80" w:line="293" w:lineRule="auto"/>
        <w:jc w:val="left"/>
      </w:pPr>
      <w:r>
        <w:rPr>
          <w:rFonts w:ascii="Times New Roman" w:hAnsi="Times New Roman" w:cs="Times New Roman"/>
          <w:b w:val="0"/>
          <w:i w:val="0"/>
          <w:sz w:val="22"/>
        </w:rPr>
        <w:t>One-click guarantee: from quote review to contract lock, approximately 11 clicks across parties. Voice commands are available for approvals and signatures.</w:t>
      </w:r>
    </w:p>
    <w:p>
      <w:pPr>
        <w:spacing w:after="80" w:line="293" w:lineRule="auto"/>
        <w:jc w:val="left"/>
      </w:pPr>
      <w:r>
        <w:rPr>
          <w:rFonts w:ascii="Times New Roman" w:hAnsi="Times New Roman" w:cs="Times New Roman"/>
          <w:b w:val="0"/>
          <w:i w:val="0"/>
          <w:sz w:val="22"/>
        </w:rPr>
        <w:t>Access and entry requirements: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Requirement</w:t>
            </w:r>
          </w:p>
        </w:tc>
        <w:tc>
          <w:tcPr>
            <w:tcW w:type="dxa" w:w="4819"/>
            <w:shd w:val="clear" w:fill="D9E2F3"/>
          </w:tcPr>
          <w:p>
            <w:pPr>
              <w:spacing w:after="20" w:before="20" w:line="240" w:lineRule="auto"/>
            </w:pPr>
            <w:r/>
            <w:r>
              <w:rPr>
                <w:rFonts w:ascii="Arial" w:hAnsi="Arial" w:cs="Arial"/>
                <w:b/>
                <w:i w:val="0"/>
                <w:sz w:val="18"/>
              </w:rPr>
              <w:t>Details</w:t>
            </w:r>
          </w:p>
        </w:tc>
      </w:tr>
      <w:tr>
        <w:tc>
          <w:tcPr>
            <w:tcW w:type="dxa" w:w="4819"/>
          </w:tcPr>
          <w:p>
            <w:pPr>
              <w:spacing w:after="20" w:before="20" w:line="240" w:lineRule="auto"/>
            </w:pPr>
            <w:r/>
            <w:r>
              <w:rPr>
                <w:rFonts w:ascii="Arial" w:hAnsi="Arial" w:cs="Arial"/>
                <w:b w:val="0"/>
                <w:i w:val="0"/>
                <w:sz w:val="17"/>
              </w:rPr>
              <w:t>Tenant Type</w:t>
            </w:r>
          </w:p>
        </w:tc>
        <w:tc>
          <w:tcPr>
            <w:tcW w:type="dxa" w:w="4819"/>
          </w:tcPr>
          <w:p>
            <w:pPr>
              <w:spacing w:after="20" w:before="20" w:line="240" w:lineRule="auto"/>
            </w:pPr>
            <w:r/>
            <w:r>
              <w:rPr>
                <w:rFonts w:ascii="Arial" w:hAnsi="Arial" w:cs="Arial"/>
                <w:b w:val="0"/>
                <w:i w:val="0"/>
                <w:sz w:val="17"/>
              </w:rPr>
              <w:t>TRD (Trader)</w:t>
            </w:r>
          </w:p>
        </w:tc>
      </w:tr>
      <w:tr>
        <w:tc>
          <w:tcPr>
            <w:tcW w:type="dxa" w:w="4819"/>
          </w:tcPr>
          <w:p>
            <w:pPr>
              <w:spacing w:after="20" w:before="20" w:line="240" w:lineRule="auto"/>
            </w:pPr>
            <w:r/>
            <w:r>
              <w:rPr>
                <w:rFonts w:ascii="Arial" w:hAnsi="Arial" w:cs="Arial"/>
                <w:b w:val="0"/>
                <w:i w:val="0"/>
                <w:sz w:val="17"/>
              </w:rPr>
              <w:t>Trader Mode</w:t>
            </w:r>
          </w:p>
        </w:tc>
        <w:tc>
          <w:tcPr>
            <w:tcW w:type="dxa" w:w="4819"/>
          </w:tcPr>
          <w:p>
            <w:pPr>
              <w:spacing w:after="20" w:before="20" w:line="240" w:lineRule="auto"/>
            </w:pPr>
            <w:r/>
            <w:r>
              <w:rPr>
                <w:rFonts w:ascii="Arial" w:hAnsi="Arial" w:cs="Arial"/>
                <w:b w:val="0"/>
                <w:i w:val="0"/>
                <w:sz w:val="17"/>
              </w:rPr>
              <w:t>BUY (for buyer) or SELL (for seller)</w:t>
            </w:r>
          </w:p>
        </w:tc>
      </w:tr>
      <w:tr>
        <w:tc>
          <w:tcPr>
            <w:tcW w:type="dxa" w:w="4819"/>
          </w:tcPr>
          <w:p>
            <w:pPr>
              <w:spacing w:after="20" w:before="20" w:line="240" w:lineRule="auto"/>
            </w:pPr>
            <w:r/>
            <w:r>
              <w:rPr>
                <w:rFonts w:ascii="Arial" w:hAnsi="Arial" w:cs="Arial"/>
                <w:b w:val="0"/>
                <w:i w:val="0"/>
                <w:sz w:val="17"/>
              </w:rPr>
              <w:t>Trade Request Status</w:t>
            </w:r>
          </w:p>
        </w:tc>
        <w:tc>
          <w:tcPr>
            <w:tcW w:type="dxa" w:w="4819"/>
          </w:tcPr>
          <w:p>
            <w:pPr>
              <w:spacing w:after="20" w:before="20" w:line="240" w:lineRule="auto"/>
            </w:pPr>
            <w:r/>
            <w:r>
              <w:rPr>
                <w:rFonts w:ascii="Arial" w:hAnsi="Arial" w:cs="Arial"/>
                <w:b w:val="0"/>
                <w:i w:val="0"/>
                <w:sz w:val="17"/>
              </w:rPr>
              <w:t>QUOTED</w:t>
            </w:r>
          </w:p>
        </w:tc>
      </w:tr>
      <w:tr>
        <w:tc>
          <w:tcPr>
            <w:tcW w:type="dxa" w:w="4819"/>
          </w:tcPr>
          <w:p>
            <w:pPr>
              <w:spacing w:after="20" w:before="20" w:line="240" w:lineRule="auto"/>
            </w:pPr>
            <w:r/>
            <w:r>
              <w:rPr>
                <w:rFonts w:ascii="Arial" w:hAnsi="Arial" w:cs="Arial"/>
                <w:b w:val="0"/>
                <w:i w:val="0"/>
                <w:sz w:val="17"/>
              </w:rPr>
              <w:t>Quote Valid</w:t>
            </w:r>
          </w:p>
        </w:tc>
        <w:tc>
          <w:tcPr>
            <w:tcW w:type="dxa" w:w="4819"/>
          </w:tcPr>
          <w:p>
            <w:pPr>
              <w:spacing w:after="20" w:before="20" w:line="240" w:lineRule="auto"/>
            </w:pPr>
            <w:r/>
            <w:r>
              <w:rPr>
                <w:rFonts w:ascii="Arial" w:hAnsi="Arial" w:cs="Arial"/>
                <w:b w:val="0"/>
                <w:i w:val="0"/>
                <w:sz w:val="17"/>
              </w:rPr>
              <w:t>Must not have expired</w:t>
            </w:r>
          </w:p>
        </w:tc>
      </w:tr>
      <w:tr>
        <w:tc>
          <w:tcPr>
            <w:tcW w:type="dxa" w:w="4819"/>
          </w:tcPr>
          <w:p>
            <w:pPr>
              <w:spacing w:after="20" w:before="20" w:line="240" w:lineRule="auto"/>
            </w:pPr>
            <w:r/>
            <w:r>
              <w:rPr>
                <w:rFonts w:ascii="Arial" w:hAnsi="Arial" w:cs="Arial"/>
                <w:b w:val="0"/>
                <w:i w:val="0"/>
                <w:sz w:val="17"/>
              </w:rPr>
              <w:t>KYB/KYC Status</w:t>
            </w:r>
          </w:p>
        </w:tc>
        <w:tc>
          <w:tcPr>
            <w:tcW w:type="dxa" w:w="4819"/>
          </w:tcPr>
          <w:p>
            <w:pPr>
              <w:spacing w:after="20" w:before="20" w:line="240" w:lineRule="auto"/>
            </w:pPr>
            <w:r/>
            <w:r>
              <w:rPr>
                <w:rFonts w:ascii="Arial" w:hAnsi="Arial" w:cs="Arial"/>
                <w:b w:val="0"/>
                <w:i w:val="0"/>
                <w:sz w:val="17"/>
              </w:rPr>
              <w:t>VERIFIED</w:t>
            </w:r>
          </w:p>
        </w:tc>
      </w:tr>
      <w:tr>
        <w:tc>
          <w:tcPr>
            <w:tcW w:type="dxa" w:w="4819"/>
          </w:tcPr>
          <w:p>
            <w:pPr>
              <w:spacing w:after="20" w:before="20" w:line="240" w:lineRule="auto"/>
            </w:pPr>
            <w:r/>
            <w:r>
              <w:rPr>
                <w:rFonts w:ascii="Arial" w:hAnsi="Arial" w:cs="Arial"/>
                <w:b w:val="0"/>
                <w:i w:val="0"/>
                <w:sz w:val="17"/>
              </w:rPr>
              <w:t>Trade Readiness Score</w:t>
            </w:r>
          </w:p>
        </w:tc>
        <w:tc>
          <w:tcPr>
            <w:tcW w:type="dxa" w:w="4819"/>
          </w:tcPr>
          <w:p>
            <w:pPr>
              <w:spacing w:after="20" w:before="20" w:line="240" w:lineRule="auto"/>
            </w:pPr>
            <w:r/>
            <w:r>
              <w:rPr>
                <w:rFonts w:ascii="Arial" w:hAnsi="Arial" w:cs="Arial"/>
                <w:b w:val="0"/>
                <w:i w:val="0"/>
                <w:sz w:val="17"/>
              </w:rPr>
              <w:t>≥70% (advisory, not blocking)</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9.2 Master Flow</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Stage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A — Receive Proposal</w:t>
            </w:r>
          </w:p>
        </w:tc>
        <w:tc>
          <w:tcPr>
            <w:tcW w:type="dxa" w:w="4819"/>
          </w:tcPr>
          <w:p>
            <w:pPr>
              <w:spacing w:after="20" w:before="20" w:line="240" w:lineRule="auto"/>
            </w:pPr>
            <w:r/>
            <w:r>
              <w:rPr>
                <w:rFonts w:ascii="Arial" w:hAnsi="Arial" w:cs="Arial"/>
                <w:b w:val="0"/>
                <w:i w:val="0"/>
                <w:sz w:val="17"/>
              </w:rPr>
              <w:t>Buyer/seller receives quote, counteroffer, amendment, clarification request, or schedule proposal</w:t>
            </w:r>
          </w:p>
        </w:tc>
      </w:tr>
      <w:tr>
        <w:tc>
          <w:tcPr>
            <w:tcW w:type="dxa" w:w="4819"/>
          </w:tcPr>
          <w:p>
            <w:pPr>
              <w:spacing w:after="20" w:before="20" w:line="240" w:lineRule="auto"/>
            </w:pPr>
            <w:r/>
            <w:r>
              <w:rPr>
                <w:rFonts w:ascii="Arial" w:hAnsi="Arial" w:cs="Arial"/>
                <w:b w:val="0"/>
                <w:i w:val="0"/>
                <w:sz w:val="17"/>
              </w:rPr>
              <w:t>B — Understand</w:t>
            </w:r>
          </w:p>
        </w:tc>
        <w:tc>
          <w:tcPr>
            <w:tcW w:type="dxa" w:w="4819"/>
          </w:tcPr>
          <w:p>
            <w:pPr>
              <w:spacing w:after="20" w:before="20" w:line="240" w:lineRule="auto"/>
            </w:pPr>
            <w:r/>
            <w:r>
              <w:rPr>
                <w:rFonts w:ascii="Arial" w:hAnsi="Arial" w:cs="Arial"/>
                <w:b w:val="0"/>
                <w:i w:val="0"/>
                <w:sz w:val="17"/>
              </w:rPr>
              <w:t>Show the prior version, current version, proposed version, differences, and financial, operational, document, and timing impact</w:t>
            </w:r>
          </w:p>
        </w:tc>
      </w:tr>
      <w:tr>
        <w:tc>
          <w:tcPr>
            <w:tcW w:type="dxa" w:w="4819"/>
          </w:tcPr>
          <w:p>
            <w:pPr>
              <w:spacing w:after="20" w:before="20" w:line="240" w:lineRule="auto"/>
            </w:pPr>
            <w:r/>
            <w:r>
              <w:rPr>
                <w:rFonts w:ascii="Arial" w:hAnsi="Arial" w:cs="Arial"/>
                <w:b w:val="0"/>
                <w:i w:val="0"/>
                <w:sz w:val="17"/>
              </w:rPr>
              <w:t>C — Negotiate</w:t>
            </w:r>
          </w:p>
        </w:tc>
        <w:tc>
          <w:tcPr>
            <w:tcW w:type="dxa" w:w="4819"/>
          </w:tcPr>
          <w:p>
            <w:pPr>
              <w:spacing w:after="20" w:before="20" w:line="240" w:lineRule="auto"/>
            </w:pPr>
            <w:r/>
            <w:r>
              <w:rPr>
                <w:rFonts w:ascii="Arial" w:hAnsi="Arial" w:cs="Arial"/>
                <w:b w:val="0"/>
                <w:i w:val="0"/>
                <w:sz w:val="17"/>
              </w:rPr>
              <w:t>Accept, Counter, Reject, Partial Accept, Amend, Request Information, Request Extension</w:t>
            </w:r>
          </w:p>
        </w:tc>
      </w:tr>
      <w:tr>
        <w:tc>
          <w:tcPr>
            <w:tcW w:type="dxa" w:w="4819"/>
          </w:tcPr>
          <w:p>
            <w:pPr>
              <w:spacing w:after="20" w:before="20" w:line="240" w:lineRule="auto"/>
            </w:pPr>
            <w:r/>
            <w:r>
              <w:rPr>
                <w:rFonts w:ascii="Arial" w:hAnsi="Arial" w:cs="Arial"/>
                <w:b w:val="0"/>
                <w:i w:val="0"/>
                <w:sz w:val="17"/>
              </w:rPr>
              <w:t>D — Resolve</w:t>
            </w:r>
          </w:p>
        </w:tc>
        <w:tc>
          <w:tcPr>
            <w:tcW w:type="dxa" w:w="4819"/>
          </w:tcPr>
          <w:p>
            <w:pPr>
              <w:spacing w:after="20" w:before="20" w:line="240" w:lineRule="auto"/>
            </w:pPr>
            <w:r/>
            <w:r>
              <w:rPr>
                <w:rFonts w:ascii="Arial" w:hAnsi="Arial" w:cs="Arial"/>
                <w:b w:val="0"/>
                <w:i w:val="0"/>
                <w:sz w:val="17"/>
              </w:rPr>
              <w:t>Continue until every material commercial term reaches agreed state</w:t>
            </w:r>
          </w:p>
        </w:tc>
      </w:tr>
      <w:tr>
        <w:tc>
          <w:tcPr>
            <w:tcW w:type="dxa" w:w="4819"/>
          </w:tcPr>
          <w:p>
            <w:pPr>
              <w:spacing w:after="20" w:before="20" w:line="240" w:lineRule="auto"/>
            </w:pPr>
            <w:r/>
            <w:r>
              <w:rPr>
                <w:rFonts w:ascii="Arial" w:hAnsi="Arial" w:cs="Arial"/>
                <w:b w:val="0"/>
                <w:i w:val="0"/>
                <w:sz w:val="17"/>
              </w:rPr>
              <w:t>E — Mutual Confirmation</w:t>
            </w:r>
          </w:p>
        </w:tc>
        <w:tc>
          <w:tcPr>
            <w:tcW w:type="dxa" w:w="4819"/>
          </w:tcPr>
          <w:p>
            <w:pPr>
              <w:spacing w:after="20" w:before="20" w:line="240" w:lineRule="auto"/>
            </w:pPr>
            <w:r/>
            <w:r>
              <w:rPr>
                <w:rFonts w:ascii="Arial" w:hAnsi="Arial" w:cs="Arial"/>
                <w:b w:val="0"/>
                <w:i w:val="0"/>
                <w:sz w:val="17"/>
              </w:rPr>
              <w:t>Both parties explicitly confirm the final commercial package</w:t>
            </w:r>
          </w:p>
        </w:tc>
      </w:tr>
      <w:tr>
        <w:tc>
          <w:tcPr>
            <w:tcW w:type="dxa" w:w="4819"/>
          </w:tcPr>
          <w:p>
            <w:pPr>
              <w:spacing w:after="20" w:before="20" w:line="240" w:lineRule="auto"/>
            </w:pPr>
            <w:r/>
            <w:r>
              <w:rPr>
                <w:rFonts w:ascii="Arial" w:hAnsi="Arial" w:cs="Arial"/>
                <w:b w:val="0"/>
                <w:i w:val="0"/>
                <w:sz w:val="17"/>
              </w:rPr>
              <w:t>F — Contract Formation</w:t>
            </w:r>
          </w:p>
        </w:tc>
        <w:tc>
          <w:tcPr>
            <w:tcW w:type="dxa" w:w="4819"/>
          </w:tcPr>
          <w:p>
            <w:pPr>
              <w:spacing w:after="20" w:before="20" w:line="240" w:lineRule="auto"/>
            </w:pPr>
            <w:r/>
            <w:r>
              <w:rPr>
                <w:rFonts w:ascii="Arial" w:hAnsi="Arial" w:cs="Arial"/>
                <w:b w:val="0"/>
                <w:i w:val="0"/>
                <w:sz w:val="17"/>
              </w:rPr>
              <w:t>Generate or process contract and required addenda</w:t>
            </w:r>
          </w:p>
        </w:tc>
      </w:tr>
      <w:tr>
        <w:tc>
          <w:tcPr>
            <w:tcW w:type="dxa" w:w="4819"/>
          </w:tcPr>
          <w:p>
            <w:pPr>
              <w:spacing w:after="20" w:before="20" w:line="240" w:lineRule="auto"/>
            </w:pPr>
            <w:r/>
            <w:r>
              <w:rPr>
                <w:rFonts w:ascii="Arial" w:hAnsi="Arial" w:cs="Arial"/>
                <w:b w:val="0"/>
                <w:i w:val="0"/>
                <w:sz w:val="17"/>
              </w:rPr>
              <w:t>G — Contract Validation</w:t>
            </w:r>
          </w:p>
        </w:tc>
        <w:tc>
          <w:tcPr>
            <w:tcW w:type="dxa" w:w="4819"/>
          </w:tcPr>
          <w:p>
            <w:pPr>
              <w:spacing w:after="20" w:before="20" w:line="240" w:lineRule="auto"/>
            </w:pPr>
            <w:r/>
            <w:r>
              <w:rPr>
                <w:rFonts w:ascii="Arial" w:hAnsi="Arial" w:cs="Arial"/>
                <w:b w:val="0"/>
                <w:i w:val="0"/>
                <w:sz w:val="17"/>
              </w:rPr>
              <w:t>Validate consistency across negotiated terms + contract + addenda + packing + logistics + documents + settlement</w:t>
            </w:r>
          </w:p>
        </w:tc>
      </w:tr>
      <w:tr>
        <w:tc>
          <w:tcPr>
            <w:tcW w:type="dxa" w:w="4819"/>
          </w:tcPr>
          <w:p>
            <w:pPr>
              <w:spacing w:after="20" w:before="20" w:line="240" w:lineRule="auto"/>
            </w:pPr>
            <w:r/>
            <w:r>
              <w:rPr>
                <w:rFonts w:ascii="Arial" w:hAnsi="Arial" w:cs="Arial"/>
                <w:b w:val="0"/>
                <w:i w:val="0"/>
                <w:sz w:val="17"/>
              </w:rPr>
              <w:t>H — Fee / Lock Conditions</w:t>
            </w:r>
          </w:p>
        </w:tc>
        <w:tc>
          <w:tcPr>
            <w:tcW w:type="dxa" w:w="4819"/>
          </w:tcPr>
          <w:p>
            <w:pPr>
              <w:spacing w:after="20" w:before="20" w:line="240" w:lineRule="auto"/>
            </w:pPr>
            <w:r/>
            <w:r>
              <w:rPr>
                <w:rFonts w:ascii="Arial" w:hAnsi="Arial" w:cs="Arial"/>
                <w:b w:val="0"/>
                <w:i w:val="0"/>
                <w:sz w:val="17"/>
              </w:rPr>
              <w:t>Verify all applicable SGTX fee and lock prerequisites</w:t>
            </w:r>
          </w:p>
        </w:tc>
      </w:tr>
      <w:tr>
        <w:tc>
          <w:tcPr>
            <w:tcW w:type="dxa" w:w="4819"/>
          </w:tcPr>
          <w:p>
            <w:pPr>
              <w:spacing w:after="20" w:before="20" w:line="240" w:lineRule="auto"/>
            </w:pPr>
            <w:r/>
            <w:r>
              <w:rPr>
                <w:rFonts w:ascii="Arial" w:hAnsi="Arial" w:cs="Arial"/>
                <w:b w:val="0"/>
                <w:i w:val="0"/>
                <w:sz w:val="17"/>
              </w:rPr>
              <w:t>I — Signing</w:t>
            </w:r>
          </w:p>
        </w:tc>
        <w:tc>
          <w:tcPr>
            <w:tcW w:type="dxa" w:w="4819"/>
          </w:tcPr>
          <w:p>
            <w:pPr>
              <w:spacing w:after="20" w:before="20" w:line="240" w:lineRule="auto"/>
            </w:pPr>
            <w:r/>
            <w:r>
              <w:rPr>
                <w:rFonts w:ascii="Arial" w:hAnsi="Arial" w:cs="Arial"/>
                <w:b w:val="0"/>
                <w:i w:val="0"/>
                <w:sz w:val="17"/>
              </w:rPr>
              <w:t>Collect required authorised signatures</w:t>
            </w:r>
          </w:p>
        </w:tc>
      </w:tr>
      <w:tr>
        <w:tc>
          <w:tcPr>
            <w:tcW w:type="dxa" w:w="4819"/>
          </w:tcPr>
          <w:p>
            <w:pPr>
              <w:spacing w:after="20" w:before="20" w:line="240" w:lineRule="auto"/>
            </w:pPr>
            <w:r/>
            <w:r>
              <w:rPr>
                <w:rFonts w:ascii="Arial" w:hAnsi="Arial" w:cs="Arial"/>
                <w:b w:val="0"/>
                <w:i w:val="0"/>
                <w:sz w:val="17"/>
              </w:rPr>
              <w:t>J — Lock</w:t>
            </w:r>
          </w:p>
        </w:tc>
        <w:tc>
          <w:tcPr>
            <w:tcW w:type="dxa" w:w="4819"/>
          </w:tcPr>
          <w:p>
            <w:pPr>
              <w:spacing w:after="20" w:before="20" w:line="240" w:lineRule="auto"/>
            </w:pPr>
            <w:r/>
            <w:r>
              <w:rPr>
                <w:rFonts w:ascii="Arial" w:hAnsi="Arial" w:cs="Arial"/>
                <w:b w:val="0"/>
                <w:i w:val="0"/>
                <w:sz w:val="17"/>
              </w:rPr>
              <w:t>Only when all applicable prerequisites are satisfied: lock contract/shipment</w:t>
            </w:r>
          </w:p>
        </w:tc>
      </w:tr>
      <w:tr>
        <w:tc>
          <w:tcPr>
            <w:tcW w:type="dxa" w:w="4819"/>
          </w:tcPr>
          <w:p>
            <w:pPr>
              <w:spacing w:after="20" w:before="20" w:line="240" w:lineRule="auto"/>
            </w:pPr>
            <w:r/>
            <w:r>
              <w:rPr>
                <w:rFonts w:ascii="Arial" w:hAnsi="Arial" w:cs="Arial"/>
                <w:b w:val="0"/>
                <w:i w:val="0"/>
                <w:sz w:val="17"/>
              </w:rPr>
              <w:t>K — USTN Generation</w:t>
            </w:r>
          </w:p>
        </w:tc>
        <w:tc>
          <w:tcPr>
            <w:tcW w:type="dxa" w:w="4819"/>
          </w:tcPr>
          <w:p>
            <w:pPr>
              <w:spacing w:after="20" w:before="20" w:line="240" w:lineRule="auto"/>
            </w:pPr>
            <w:r/>
            <w:r>
              <w:rPr>
                <w:rFonts w:ascii="Arial" w:hAnsi="Arial" w:cs="Arial"/>
                <w:b w:val="0"/>
                <w:i w:val="0"/>
                <w:sz w:val="17"/>
              </w:rPr>
              <w:t>Generate the appropriate USTN only at the authoritative lock point</w:t>
            </w:r>
          </w:p>
        </w:tc>
      </w:tr>
      <w:tr>
        <w:tc>
          <w:tcPr>
            <w:tcW w:type="dxa" w:w="4819"/>
          </w:tcPr>
          <w:p>
            <w:pPr>
              <w:spacing w:after="20" w:before="20" w:line="240" w:lineRule="auto"/>
            </w:pPr>
            <w:r/>
            <w:r>
              <w:rPr>
                <w:rFonts w:ascii="Arial" w:hAnsi="Arial" w:cs="Arial"/>
                <w:b w:val="0"/>
                <w:i w:val="0"/>
                <w:sz w:val="17"/>
              </w:rPr>
              <w:t>L — Canonical Handoff</w:t>
            </w:r>
          </w:p>
        </w:tc>
        <w:tc>
          <w:tcPr>
            <w:tcW w:type="dxa" w:w="4819"/>
          </w:tcPr>
          <w:p>
            <w:pPr>
              <w:spacing w:after="20" w:before="20" w:line="240" w:lineRule="auto"/>
            </w:pPr>
            <w:r/>
            <w:r>
              <w:rPr>
                <w:rFonts w:ascii="Arial" w:hAnsi="Arial" w:cs="Arial"/>
                <w:b w:val="0"/>
                <w:i w:val="0"/>
                <w:sz w:val="17"/>
              </w:rPr>
              <w:t>Propagate the locked transaction into downstream workflows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9.3 Negotiation Center</w:t>
      </w:r>
    </w:p>
    <w:p>
      <w:pPr>
        <w:spacing w:after="80" w:line="293" w:lineRule="auto"/>
        <w:jc w:val="left"/>
      </w:pPr>
      <w:r>
        <w:rPr>
          <w:rFonts w:ascii="Times New Roman" w:hAnsi="Times New Roman" w:cs="Times New Roman"/>
          <w:b w:val="0"/>
          <w:i w:val="0"/>
          <w:sz w:val="22"/>
        </w:rPr>
        <w:t>Three-column layout: LEFT — Offer History (full chronological offer history); CENTER — Current Proposal (the currently actionable offer); RIGHT — Trade Room (secure contextual communication).</w:t>
      </w:r>
    </w:p>
    <w:p>
      <w:pPr>
        <w:spacing w:after="80" w:line="293" w:lineRule="auto"/>
        <w:jc w:val="left"/>
      </w:pPr>
      <w:r>
        <w:rPr>
          <w:rFonts w:ascii="Times New Roman" w:hAnsi="Times New Roman" w:cs="Times New Roman"/>
          <w:b w:val="0"/>
          <w:i w:val="0"/>
          <w:sz w:val="22"/>
        </w:rPr>
        <w:t>Entry point — the buyer reviews the quote package: comparison table of all delivery options (primary + alternative ports) with transit time, total price including the SGTX fee, and per-option Accept / Negotiate / Amend actions; landed cost breakdown (EXW price, logistics, SGTX fee, total); and the multi-shipment schedule with per-shipment prices, SGTX fees, and per-shipment accept actions. AI Recommendation (advisory): "Damietta saves $150 but adds 2 days transit. Recommended: Alexandria for faster delivery. Damietta for cost savings."</w:t>
      </w:r>
    </w:p>
    <w:p>
      <w:pPr>
        <w:spacing w:after="80" w:line="293" w:lineRule="auto"/>
        <w:jc w:val="left"/>
      </w:pPr>
      <w:r>
        <w:rPr>
          <w:rFonts w:ascii="Times New Roman" w:hAnsi="Times New Roman" w:cs="Times New Roman"/>
          <w:b w:val="0"/>
          <w:i w:val="0"/>
          <w:sz w:val="22"/>
        </w:rPr>
        <w:t>The negotiation panel presents all offers and counter-offers chronologically with timestamps, values, ports, delivery dates, and partial acceptance notes; the current offer with Accept / Counter / Reject / Request Info actions and an expiry timer (server-authoritative); and the Trade Room chat with messages tagged to offer IDs and Groq translation. Bot transparency state ("AI Assistance: Not active") is displayed on the negotiation surface.</w:t>
      </w:r>
    </w:p>
    <w:p>
      <w:pPr>
        <w:spacing w:after="80" w:line="293" w:lineRule="auto"/>
        <w:jc w:val="left"/>
      </w:pPr>
      <w:r>
        <w:rPr>
          <w:rFonts w:ascii="Times New Roman" w:hAnsi="Times New Roman" w:cs="Times New Roman"/>
          <w:b w:val="0"/>
          <w:i w:val="0"/>
          <w:sz w:val="22"/>
        </w:rPr>
        <w:t>Example timeline: 14 Jun 09:00 buyer proposed $155,451.03 (Alexandria); 14 Jun 11:30 seller counter-offer $155,000 (CFR Alexandria), delivery 20 Jul 2026, pending; 14 Jun 13:00 buyer counter-offer $154,000 (Damietta), partial acceptance — Shipment 1 only.</w:t>
      </w:r>
    </w:p>
    <w:p>
      <w:pPr>
        <w:keepNext/>
        <w:spacing w:before="240" w:after="100"/>
        <w:outlineLvl w:val="1"/>
      </w:pPr>
      <w:r>
        <w:rPr>
          <w:rFonts w:ascii="Arial" w:hAnsi="Arial" w:cs="Arial"/>
          <w:b/>
          <w:i w:val="0"/>
          <w:color w:val="2E528F"/>
          <w:sz w:val="26"/>
        </w:rPr>
        <w:t>9.4 Versioned Negotiation Model</w:t>
      </w:r>
    </w:p>
    <w:p>
      <w:pPr>
        <w:spacing w:after="80" w:line="293" w:lineRule="auto"/>
        <w:jc w:val="left"/>
      </w:pPr>
      <w:r>
        <w:rPr>
          <w:rFonts w:ascii="Times New Roman" w:hAnsi="Times New Roman" w:cs="Times New Roman"/>
          <w:b w:val="0"/>
          <w:i w:val="0"/>
          <w:sz w:val="22"/>
        </w:rPr>
        <w:t>Each commercial proposal has a version: Quote v1 → buyer counter → Quote v2 → seller amendment → Quote v3 → buyer partial acceptance → Quote v4 → final negotiated version. Each version retains: author, tenant, timestamp, effective proposal, changed fields, unchanged fields, reason, supporting evidence, prior version reference, next version reference, Governor decision, and signature status where relevant.</w:t>
      </w:r>
    </w:p>
    <w:p>
      <w:pPr>
        <w:keepNext/>
        <w:spacing w:before="240" w:after="100"/>
        <w:outlineLvl w:val="1"/>
      </w:pPr>
      <w:r>
        <w:rPr>
          <w:rFonts w:ascii="Arial" w:hAnsi="Arial" w:cs="Arial"/>
          <w:b/>
          <w:i w:val="0"/>
          <w:color w:val="2E528F"/>
          <w:sz w:val="26"/>
        </w:rPr>
        <w:t>9.5 Side-by-Side Diff</w:t>
      </w:r>
    </w:p>
    <w:p>
      <w:pPr>
        <w:spacing w:after="80" w:line="293" w:lineRule="auto"/>
        <w:jc w:val="left"/>
      </w:pPr>
      <w:r>
        <w:rPr>
          <w:rFonts w:ascii="Times New Roman" w:hAnsi="Times New Roman" w:cs="Times New Roman"/>
          <w:b w:val="0"/>
          <w:i w:val="0"/>
          <w:sz w:val="22"/>
        </w:rPr>
        <w:t>Whenever a material amendment is proposed, a BEFORE/AFTER diff is shown (for example, Price: $30,240 → $30,000; Quantity: 20 MT → 18 MT; Port: Alexandria → Damietta; Delivery: 15 Jul → 20 Jul). Actions: Accept All Changes, or Review Individual Changes.</w:t>
      </w:r>
    </w:p>
    <w:p>
      <w:pPr>
        <w:spacing w:after="80" w:line="293" w:lineRule="auto"/>
        <w:jc w:val="left"/>
      </w:pPr>
      <w:r>
        <w:rPr>
          <w:rFonts w:ascii="Times New Roman" w:hAnsi="Times New Roman" w:cs="Times New Roman"/>
          <w:b w:val="0"/>
          <w:i w:val="0"/>
          <w:sz w:val="22"/>
        </w:rPr>
        <w:t>Amendment diff view example: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Current</w:t>
            </w:r>
          </w:p>
        </w:tc>
        <w:tc>
          <w:tcPr>
            <w:tcW w:type="dxa" w:w="3213"/>
            <w:shd w:val="clear" w:fill="D9E2F3"/>
          </w:tcPr>
          <w:p>
            <w:pPr>
              <w:spacing w:after="20" w:before="20" w:line="240" w:lineRule="auto"/>
            </w:pPr>
            <w:r/>
            <w:r>
              <w:rPr>
                <w:rFonts w:ascii="Arial" w:hAnsi="Arial" w:cs="Arial"/>
                <w:b/>
                <w:i w:val="0"/>
                <w:sz w:val="18"/>
              </w:rPr>
              <w:t>Proposed</w:t>
            </w:r>
          </w:p>
        </w:tc>
      </w:tr>
      <w:tr>
        <w:tc>
          <w:tcPr>
            <w:tcW w:type="dxa" w:w="3213"/>
          </w:tcPr>
          <w:p>
            <w:pPr>
              <w:spacing w:after="20" w:before="20" w:line="240" w:lineRule="auto"/>
            </w:pPr>
            <w:r/>
            <w:r>
              <w:rPr>
                <w:rFonts w:ascii="Arial" w:hAnsi="Arial" w:cs="Arial"/>
                <w:b w:val="0"/>
                <w:i w:val="0"/>
                <w:sz w:val="17"/>
              </w:rPr>
              <w:t>Port</w:t>
            </w:r>
          </w:p>
        </w:tc>
        <w:tc>
          <w:tcPr>
            <w:tcW w:type="dxa" w:w="3213"/>
          </w:tcPr>
          <w:p>
            <w:pPr>
              <w:spacing w:after="20" w:before="20" w:line="240" w:lineRule="auto"/>
            </w:pPr>
            <w:r/>
            <w:r>
              <w:rPr>
                <w:rFonts w:ascii="Arial" w:hAnsi="Arial" w:cs="Arial"/>
                <w:b w:val="0"/>
                <w:i w:val="0"/>
                <w:sz w:val="17"/>
              </w:rPr>
              <w:t>Alexandria</w:t>
            </w:r>
          </w:p>
        </w:tc>
        <w:tc>
          <w:tcPr>
            <w:tcW w:type="dxa" w:w="3213"/>
          </w:tcPr>
          <w:p>
            <w:pPr>
              <w:spacing w:after="20" w:before="20" w:line="240" w:lineRule="auto"/>
            </w:pPr>
            <w:r/>
            <w:r>
              <w:rPr>
                <w:rFonts w:ascii="Arial" w:hAnsi="Arial" w:cs="Arial"/>
                <w:b w:val="0"/>
                <w:i w:val="0"/>
                <w:sz w:val="17"/>
              </w:rPr>
              <w:t>Damietta</w:t>
            </w:r>
          </w:p>
        </w:tc>
      </w:tr>
      <w:tr>
        <w:tc>
          <w:tcPr>
            <w:tcW w:type="dxa" w:w="3213"/>
          </w:tcPr>
          <w:p>
            <w:pPr>
              <w:spacing w:after="20" w:before="20" w:line="240" w:lineRule="auto"/>
            </w:pPr>
            <w:r/>
            <w:r>
              <w:rPr>
                <w:rFonts w:ascii="Arial" w:hAnsi="Arial" w:cs="Arial"/>
                <w:b w:val="0"/>
                <w:i w:val="0"/>
                <w:sz w:val="17"/>
              </w:rPr>
              <w:t>Delivery</w:t>
            </w:r>
          </w:p>
        </w:tc>
        <w:tc>
          <w:tcPr>
            <w:tcW w:type="dxa" w:w="3213"/>
          </w:tcPr>
          <w:p>
            <w:pPr>
              <w:spacing w:after="20" w:before="20" w:line="240" w:lineRule="auto"/>
            </w:pPr>
            <w:r/>
            <w:r>
              <w:rPr>
                <w:rFonts w:ascii="Arial" w:hAnsi="Arial" w:cs="Arial"/>
                <w:b w:val="0"/>
                <w:i w:val="0"/>
                <w:sz w:val="17"/>
              </w:rPr>
              <w:t>15 Jul 2026</w:t>
            </w:r>
          </w:p>
        </w:tc>
        <w:tc>
          <w:tcPr>
            <w:tcW w:type="dxa" w:w="3213"/>
          </w:tcPr>
          <w:p>
            <w:pPr>
              <w:spacing w:after="20" w:before="20" w:line="240" w:lineRule="auto"/>
            </w:pPr>
            <w:r/>
            <w:r>
              <w:rPr>
                <w:rFonts w:ascii="Arial" w:hAnsi="Arial" w:cs="Arial"/>
                <w:b w:val="0"/>
                <w:i w:val="0"/>
                <w:sz w:val="17"/>
              </w:rPr>
              <w:t>20 Jul 2026</w:t>
            </w:r>
          </w:p>
        </w:tc>
      </w:tr>
      <w:tr>
        <w:tc>
          <w:tcPr>
            <w:tcW w:type="dxa" w:w="3213"/>
          </w:tcPr>
          <w:p>
            <w:pPr>
              <w:spacing w:after="20" w:before="20" w:line="240" w:lineRule="auto"/>
            </w:pPr>
            <w:r/>
            <w:r>
              <w:rPr>
                <w:rFonts w:ascii="Arial" w:hAnsi="Arial" w:cs="Arial"/>
                <w:b w:val="0"/>
                <w:i w:val="0"/>
                <w:sz w:val="17"/>
              </w:rPr>
              <w:t>Packaging</w:t>
            </w:r>
          </w:p>
        </w:tc>
        <w:tc>
          <w:tcPr>
            <w:tcW w:type="dxa" w:w="3213"/>
          </w:tcPr>
          <w:p>
            <w:pPr>
              <w:spacing w:after="20" w:before="20" w:line="240" w:lineRule="auto"/>
            </w:pPr>
            <w:r/>
            <w:r>
              <w:rPr>
                <w:rFonts w:ascii="Arial" w:hAnsi="Arial" w:cs="Arial"/>
                <w:b w:val="0"/>
                <w:i w:val="0"/>
                <w:sz w:val="17"/>
              </w:rPr>
              <w:t>Boxes (10 kg)</w:t>
            </w:r>
          </w:p>
        </w:tc>
        <w:tc>
          <w:tcPr>
            <w:tcW w:type="dxa" w:w="3213"/>
          </w:tcPr>
          <w:p>
            <w:pPr>
              <w:spacing w:after="20" w:before="20" w:line="240" w:lineRule="auto"/>
            </w:pPr>
            <w:r/>
            <w:r>
              <w:rPr>
                <w:rFonts w:ascii="Arial" w:hAnsi="Arial" w:cs="Arial"/>
                <w:b w:val="0"/>
                <w:i w:val="0"/>
                <w:sz w:val="17"/>
              </w:rPr>
              <w:t>Mesh bags</w:t>
            </w:r>
          </w:p>
        </w:tc>
      </w:tr>
      <w:tr>
        <w:tc>
          <w:tcPr>
            <w:tcW w:type="dxa" w:w="3213"/>
          </w:tcPr>
          <w:p>
            <w:pPr>
              <w:spacing w:after="20" w:before="20" w:line="240" w:lineRule="auto"/>
            </w:pPr>
            <w:r/>
            <w:r>
              <w:rPr>
                <w:rFonts w:ascii="Arial" w:hAnsi="Arial" w:cs="Arial"/>
                <w:b w:val="0"/>
                <w:i w:val="0"/>
                <w:sz w:val="17"/>
              </w:rPr>
              <w:t>Price</w:t>
            </w:r>
          </w:p>
        </w:tc>
        <w:tc>
          <w:tcPr>
            <w:tcW w:type="dxa" w:w="3213"/>
          </w:tcPr>
          <w:p>
            <w:pPr>
              <w:spacing w:after="20" w:before="20" w:line="240" w:lineRule="auto"/>
            </w:pPr>
            <w:r/>
            <w:r>
              <w:rPr>
                <w:rFonts w:ascii="Arial" w:hAnsi="Arial" w:cs="Arial"/>
                <w:b w:val="0"/>
                <w:i w:val="0"/>
                <w:sz w:val="17"/>
              </w:rPr>
              <w:t>$155,000</w:t>
            </w:r>
          </w:p>
        </w:tc>
        <w:tc>
          <w:tcPr>
            <w:tcW w:type="dxa" w:w="3213"/>
          </w:tcPr>
          <w:p>
            <w:pPr>
              <w:spacing w:after="20" w:before="20" w:line="240" w:lineRule="auto"/>
            </w:pPr>
            <w:r/>
            <w:r>
              <w:rPr>
                <w:rFonts w:ascii="Arial" w:hAnsi="Arial" w:cs="Arial"/>
                <w:b w:val="0"/>
                <w:i w:val="0"/>
                <w:sz w:val="17"/>
              </w:rPr>
              <w:t>$154,000</w:t>
            </w:r>
          </w:p>
        </w:tc>
      </w:tr>
      <w:tr>
        <w:tc>
          <w:tcPr>
            <w:tcW w:type="dxa" w:w="3213"/>
          </w:tcPr>
          <w:p>
            <w:pPr>
              <w:spacing w:after="20" w:before="20" w:line="240" w:lineRule="auto"/>
            </w:pPr>
            <w:r/>
            <w:r>
              <w:rPr>
                <w:rFonts w:ascii="Arial" w:hAnsi="Arial" w:cs="Arial"/>
                <w:b w:val="0"/>
                <w:i w:val="0"/>
                <w:sz w:val="17"/>
              </w:rPr>
              <w:t>SGTX Fee</w:t>
            </w:r>
          </w:p>
        </w:tc>
        <w:tc>
          <w:tcPr>
            <w:tcW w:type="dxa" w:w="3213"/>
          </w:tcPr>
          <w:p>
            <w:pPr>
              <w:spacing w:after="20" w:before="20" w:line="240" w:lineRule="auto"/>
            </w:pPr>
            <w:r/>
            <w:r>
              <w:rPr>
                <w:rFonts w:ascii="Arial" w:hAnsi="Arial" w:cs="Arial"/>
                <w:b w:val="0"/>
                <w:i w:val="0"/>
                <w:sz w:val="17"/>
              </w:rPr>
              <w:t>$223.20</w:t>
            </w:r>
          </w:p>
        </w:tc>
        <w:tc>
          <w:tcPr>
            <w:tcW w:type="dxa" w:w="3213"/>
          </w:tcPr>
          <w:p>
            <w:pPr>
              <w:spacing w:after="20" w:before="20" w:line="240" w:lineRule="auto"/>
            </w:pPr>
            <w:r/>
            <w:r>
              <w:rPr>
                <w:rFonts w:ascii="Arial" w:hAnsi="Arial" w:cs="Arial"/>
                <w:b w:val="0"/>
                <w:i w:val="0"/>
                <w:sz w:val="17"/>
              </w:rPr>
              <w:t>$221.76</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Actions: Accept All; Accept Selected; Reject; Counter.</w:t>
      </w:r>
    </w:p>
    <w:p>
      <w:pPr>
        <w:keepNext/>
        <w:spacing w:before="240" w:after="100"/>
        <w:outlineLvl w:val="1"/>
      </w:pPr>
      <w:r>
        <w:rPr>
          <w:rFonts w:ascii="Arial" w:hAnsi="Arial" w:cs="Arial"/>
          <w:b/>
          <w:i w:val="0"/>
          <w:color w:val="2E528F"/>
          <w:sz w:val="26"/>
        </w:rPr>
        <w:t>9.6 Impact Analysis</w:t>
      </w:r>
    </w:p>
    <w:p>
      <w:pPr>
        <w:spacing w:after="80" w:line="293" w:lineRule="auto"/>
        <w:jc w:val="left"/>
      </w:pPr>
      <w:r>
        <w:rPr>
          <w:rFonts w:ascii="Times New Roman" w:hAnsi="Times New Roman" w:cs="Times New Roman"/>
          <w:b w:val="0"/>
          <w:i w:val="0"/>
          <w:sz w:val="22"/>
        </w:rPr>
        <w:t>Every material change shows what it affects. Port changed → freight, inland transport, ETA, customs, destination charges, documentation, logistics provider, insurance, delivery schedule. Quantity changed → packing, number of pallets, container count, weight, price, logistics, insurance, documents, SGTX fee if applicable.</w:t>
      </w:r>
    </w:p>
    <w:p>
      <w:pPr>
        <w:keepNext/>
        <w:spacing w:before="240" w:after="100"/>
        <w:outlineLvl w:val="1"/>
      </w:pPr>
      <w:r>
        <w:rPr>
          <w:rFonts w:ascii="Arial" w:hAnsi="Arial" w:cs="Arial"/>
          <w:b/>
          <w:i w:val="0"/>
          <w:color w:val="2E528F"/>
          <w:sz w:val="26"/>
        </w:rPr>
        <w:t>9.7 Partial Acceptance</w:t>
      </w:r>
    </w:p>
    <w:p>
      <w:pPr>
        <w:spacing w:after="80" w:line="293" w:lineRule="auto"/>
        <w:jc w:val="left"/>
      </w:pPr>
      <w:r>
        <w:rPr>
          <w:rFonts w:ascii="Times New Roman" w:hAnsi="Times New Roman" w:cs="Times New Roman"/>
          <w:b w:val="0"/>
          <w:i w:val="0"/>
          <w:sz w:val="22"/>
        </w:rPr>
        <w:t>Multi-shipment: accept Shipment 1, negotiate Shipment 2, reject Shipment 3. Single shipment: accept only part of quantity or terms where commercially valid. The system generates a structured counter-proposal showing accepted terms, unresolved terms, rejected terms, resulting quantity/value, financial impact, logistics impact, and reason.</w:t>
      </w:r>
    </w:p>
    <w:p>
      <w:pPr>
        <w:spacing w:after="80" w:line="293" w:lineRule="auto"/>
        <w:jc w:val="left"/>
      </w:pPr>
      <w:r>
        <w:rPr>
          <w:rFonts w:ascii="Times New Roman" w:hAnsi="Times New Roman" w:cs="Times New Roman"/>
          <w:b w:val="0"/>
          <w:i w:val="0"/>
          <w:sz w:val="22"/>
        </w:rPr>
        <w:t>Workflow: the buyer clicks "Partial Acceptance" (appears when multi-shipment or multiple commodities); a modal opens with sliders or checkboxes; the buyer selects which shipments to accept, which to continue negotiating, and which to cancel; the buyer adds a mandatory reason (≥20 characters); the system generates a counter-proposal; the seller can accept, reject, or counter.</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Shipment 1 (15 Jul 2026, Alexandria, $78,777.96) selected; Shipment 2 (15 Aug 2026, Port Said, $78,777.96) under review; quantity adjustment for Shipment 1 from 100 MT to 80 MT with price adjustment −$31,511.18; reason: "We only need 80 MT for this shipment due to reduced demand. Shipment 2 is still under review."</w:t>
      </w:r>
    </w:p>
    <w:p>
      <w:pPr>
        <w:keepNext/>
        <w:spacing w:before="240" w:after="100"/>
        <w:outlineLvl w:val="1"/>
      </w:pPr>
      <w:r>
        <w:rPr>
          <w:rFonts w:ascii="Arial" w:hAnsi="Arial" w:cs="Arial"/>
          <w:b/>
          <w:i w:val="0"/>
          <w:color w:val="2E528F"/>
          <w:sz w:val="26"/>
        </w:rPr>
        <w:t>9.8 Counteroffer with Reason</w:t>
      </w:r>
    </w:p>
    <w:p>
      <w:pPr>
        <w:spacing w:after="80" w:line="293" w:lineRule="auto"/>
        <w:jc w:val="left"/>
      </w:pPr>
      <w:r>
        <w:rPr>
          <w:rFonts w:ascii="Times New Roman" w:hAnsi="Times New Roman" w:cs="Times New Roman"/>
          <w:b w:val="0"/>
          <w:i w:val="0"/>
          <w:sz w:val="22"/>
        </w:rPr>
        <w:t>Required for material counteroffers. Structured categories: Price, Quantity, Delivery, Logistics, Port, Packaging, Documentation, Insurance, Payment, Other. The reason is stored in negotiation history.</w:t>
      </w:r>
    </w:p>
    <w:p>
      <w:pPr>
        <w:spacing w:after="80" w:line="293" w:lineRule="auto"/>
        <w:jc w:val="left"/>
      </w:pPr>
      <w:r>
        <w:rPr>
          <w:rFonts w:ascii="Times New Roman" w:hAnsi="Times New Roman" w:cs="Times New Roman"/>
          <w:b w:val="0"/>
          <w:i w:val="0"/>
          <w:sz w:val="22"/>
        </w:rPr>
        <w:t>Workflow: the proposing party enters the proposed changes (price, port, delivery date, quantity) with the current values shown, plus a mandatory reason (≥20 characters). Example reason: "We can reduce ocean freight by using a slower vessel (MSC FIONA vs MSC ARIANE). Delivery date shifts +5 days. Damietta port has lower THC charges. Total savings passed to buyer."</w:t>
      </w:r>
    </w:p>
    <w:p>
      <w:pPr>
        <w:keepNext/>
        <w:spacing w:before="240" w:after="100"/>
        <w:outlineLvl w:val="1"/>
      </w:pPr>
      <w:r>
        <w:rPr>
          <w:rFonts w:ascii="Arial" w:hAnsi="Arial" w:cs="Arial"/>
          <w:b/>
          <w:i w:val="0"/>
          <w:color w:val="2E528F"/>
          <w:sz w:val="26"/>
        </w:rPr>
        <w:t>9.9 Clarification Request (First-Class)</w:t>
      </w:r>
    </w:p>
    <w:p>
      <w:pPr>
        <w:spacing w:after="80" w:line="293" w:lineRule="auto"/>
        <w:jc w:val="left"/>
      </w:pPr>
      <w:r>
        <w:rPr>
          <w:rFonts w:ascii="Times New Roman" w:hAnsi="Times New Roman" w:cs="Times New Roman"/>
          <w:b w:val="0"/>
          <w:i w:val="0"/>
          <w:sz w:val="22"/>
        </w:rPr>
        <w:t>Examples: "Please confirm whether the 2% tolerance is mandatory."; "Can you provide the phytosanitary certificate before loading?"; "Can you accept Port Said instead of Alexandria?" Behaviour: tied to exact transaction fields; the counterparty sees Question → Response → Resulting change.</w:t>
      </w:r>
    </w:p>
    <w:p>
      <w:pPr>
        <w:keepNext/>
        <w:spacing w:before="240" w:after="100"/>
        <w:outlineLvl w:val="1"/>
      </w:pPr>
      <w:r>
        <w:rPr>
          <w:rFonts w:ascii="Arial" w:hAnsi="Arial" w:cs="Arial"/>
          <w:b/>
          <w:i w:val="0"/>
          <w:color w:val="2E528F"/>
          <w:sz w:val="26"/>
        </w:rPr>
        <w:t>9.10 Deadline Extension</w:t>
      </w:r>
    </w:p>
    <w:p>
      <w:pPr>
        <w:spacing w:after="80" w:line="293" w:lineRule="auto"/>
        <w:jc w:val="left"/>
      </w:pPr>
      <w:r>
        <w:rPr>
          <w:rFonts w:ascii="Times New Roman" w:hAnsi="Times New Roman" w:cs="Times New Roman"/>
          <w:b w:val="0"/>
          <w:i w:val="0"/>
          <w:sz w:val="22"/>
        </w:rPr>
        <w:t>Options: +24h, +48h, +7 days, or custom duration where permitted. Display: current expiry, requested expiry, reason, requester, approver, and consequence of rejection. Rule: the server is authoritative for expiry — never rely on a browser countdown.</w:t>
      </w:r>
    </w:p>
    <w:p>
      <w:pPr>
        <w:spacing w:after="80" w:line="293" w:lineRule="auto"/>
        <w:jc w:val="left"/>
      </w:pPr>
      <w:r>
        <w:rPr>
          <w:rFonts w:ascii="Times New Roman" w:hAnsi="Times New Roman" w:cs="Times New Roman"/>
          <w:b w:val="0"/>
          <w:i w:val="0"/>
          <w:sz w:val="22"/>
        </w:rPr>
        <w:t>Workflow: a party clicks "Request Extension"; selects the proposed new deadline (default +24h, +48h, +7 days); adds an optional reason; the counterparty receives a Smart Inbox item; the counterparty clicks Approve (1) or Reject (with reason), or counter-proposes. Example request: current deadline 2026-06-15 14:00 UTC (23h 45m remaining); proposed new deadline Jun 17 14:00 UTC (+48h); reason: "Internal approvals are still pending. Need 48 hours to finalise."</w:t>
      </w:r>
    </w:p>
    <w:p>
      <w:pPr>
        <w:keepNext/>
        <w:spacing w:before="240" w:after="100"/>
        <w:outlineLvl w:val="1"/>
      </w:pPr>
      <w:r>
        <w:rPr>
          <w:rFonts w:ascii="Arial" w:hAnsi="Arial" w:cs="Arial"/>
          <w:b/>
          <w:i w:val="0"/>
          <w:color w:val="2E528F"/>
          <w:sz w:val="26"/>
        </w:rPr>
        <w:t>9.11 Quote Expiration (Strong Semantics)</w:t>
      </w:r>
    </w:p>
    <w:p>
      <w:pPr>
        <w:spacing w:after="80" w:line="293" w:lineRule="auto"/>
        <w:jc w:val="left"/>
      </w:pPr>
      <w:r>
        <w:rPr>
          <w:rFonts w:ascii="Times New Roman" w:hAnsi="Times New Roman" w:cs="Times New Roman"/>
          <w:b w:val="0"/>
          <w:i w:val="0"/>
          <w:sz w:val="22"/>
        </w:rPr>
        <w:t>Before expiry: "Quote expires in 4h 18m." After expiry: "Quote expired." An expired proposal can never accidentally become contractually accepted; renewal creates a new version. Rule: do not reopen an expired proposal by mutating its timestamp.</w:t>
      </w:r>
    </w:p>
    <w:p>
      <w:pPr>
        <w:keepNext/>
        <w:spacing w:before="240" w:after="100"/>
        <w:outlineLvl w:val="1"/>
      </w:pPr>
      <w:r>
        <w:rPr>
          <w:rFonts w:ascii="Arial" w:hAnsi="Arial" w:cs="Arial"/>
          <w:b/>
          <w:i w:val="0"/>
          <w:color w:val="2E528F"/>
          <w:sz w:val="26"/>
        </w:rPr>
        <w:t>9.12 Negotiation AI</w:t>
      </w:r>
    </w:p>
    <w:p>
      <w:pPr>
        <w:spacing w:after="80" w:line="293" w:lineRule="auto"/>
        <w:jc w:val="left"/>
      </w:pPr>
      <w:r>
        <w:rPr>
          <w:rFonts w:ascii="Times New Roman" w:hAnsi="Times New Roman" w:cs="Times New Roman"/>
          <w:b w:val="0"/>
          <w:i w:val="0"/>
          <w:sz w:val="22"/>
        </w:rPr>
        <w:t>AI may: summarise negotiation history; identify changes; explain consequences; identify contradictions; propose possible negotiation strategies; estimate effects; translate messages; classify negotiation topics. AI must not: Accept; Reject; send binding offers; commit a party; sign; alter contractual truth; silently amend terms.</w:t>
      </w:r>
    </w:p>
    <w:p>
      <w:pPr>
        <w:keepNext/>
        <w:spacing w:before="240" w:after="100"/>
        <w:outlineLvl w:val="1"/>
      </w:pPr>
      <w:r>
        <w:rPr>
          <w:rFonts w:ascii="Arial" w:hAnsi="Arial" w:cs="Arial"/>
          <w:b/>
          <w:i w:val="0"/>
          <w:color w:val="2E528F"/>
          <w:sz w:val="26"/>
        </w:rPr>
        <w:t>9.13 Negotiation Bot Transparency</w:t>
      </w:r>
    </w:p>
    <w:p>
      <w:pPr>
        <w:spacing w:after="80" w:line="293" w:lineRule="auto"/>
        <w:jc w:val="left"/>
      </w:pPr>
      <w:r>
        <w:rPr>
          <w:rFonts w:ascii="Times New Roman" w:hAnsi="Times New Roman" w:cs="Times New Roman"/>
          <w:b w:val="0"/>
          <w:i w:val="0"/>
          <w:sz w:val="22"/>
        </w:rPr>
        <w:t>Display: "AI Assistance: Active" or "AI Assistance: Paused"; what the AI suggested and why; which information it used; confidence where meaningful; user override; pause/take-over action. Rule: never make an AI recommendation look like a human commitment.</w:t>
      </w:r>
    </w:p>
    <w:p>
      <w:pPr>
        <w:keepNext/>
        <w:spacing w:before="240" w:after="100"/>
        <w:outlineLvl w:val="1"/>
      </w:pPr>
      <w:r>
        <w:rPr>
          <w:rFonts w:ascii="Arial" w:hAnsi="Arial" w:cs="Arial"/>
          <w:b/>
          <w:i w:val="0"/>
          <w:color w:val="2E528F"/>
          <w:sz w:val="26"/>
        </w:rPr>
        <w:t>9.14 Final Commercial Term Sheet</w:t>
      </w:r>
    </w:p>
    <w:p>
      <w:pPr>
        <w:spacing w:after="80" w:line="293" w:lineRule="auto"/>
        <w:jc w:val="left"/>
      </w:pPr>
      <w:r>
        <w:rPr>
          <w:rFonts w:ascii="Times New Roman" w:hAnsi="Times New Roman" w:cs="Times New Roman"/>
          <w:b w:val="0"/>
          <w:i w:val="0"/>
          <w:sz w:val="22"/>
        </w:rPr>
        <w:t>Generated before mutual confirmation: parties; goods (commodity, HS code, quantity, tolerance, quality); packaging configuration; exact agreed Incoterm; final agreed commercial value and currency; logistics (origin, destination, mode, equipment, route where agreed); agreed timing; required documents; insurance responsibility and requirements; settlement structure and conditions; shipment-level schedule; special conditions; deviations; outstanding conditions.</w:t>
      </w:r>
    </w:p>
    <w:p>
      <w:pPr>
        <w:spacing w:after="80" w:line="293" w:lineRule="auto"/>
        <w:jc w:val="left"/>
      </w:pPr>
      <w:r>
        <w:rPr>
          <w:rFonts w:ascii="Times New Roman" w:hAnsi="Times New Roman" w:cs="Times New Roman"/>
          <w:b w:val="0"/>
          <w:i w:val="0"/>
          <w:sz w:val="22"/>
        </w:rPr>
        <w:t>Example content: Incoterm CFR; port Alexandria (Damietta alternative accepted); delivery 20 Jul 2026; price $154,000; SGTX fee $221.76; total $154,221.76; acceptance criteria (moisture max 14%, protein min 12%, purity min 99%); special instructions (Arabic labels mandatory, Halal certification required); commercial settlement (documentary collection, against documents, 30 days).</w:t>
      </w:r>
    </w:p>
    <w:p>
      <w:pPr>
        <w:keepNext/>
        <w:spacing w:before="240" w:after="100"/>
        <w:outlineLvl w:val="1"/>
      </w:pPr>
      <w:r>
        <w:rPr>
          <w:rFonts w:ascii="Arial" w:hAnsi="Arial" w:cs="Arial"/>
          <w:b/>
          <w:i w:val="0"/>
          <w:color w:val="2E528F"/>
          <w:sz w:val="26"/>
        </w:rPr>
        <w:t>9.15 Mutual Confirmation</w:t>
      </w:r>
    </w:p>
    <w:p>
      <w:pPr>
        <w:spacing w:after="80" w:line="293" w:lineRule="auto"/>
        <w:jc w:val="left"/>
      </w:pPr>
      <w:r>
        <w:rPr>
          <w:rFonts w:ascii="Times New Roman" w:hAnsi="Times New Roman" w:cs="Times New Roman"/>
          <w:b w:val="0"/>
          <w:i w:val="0"/>
          <w:sz w:val="22"/>
        </w:rPr>
        <w:t>Both parties explicitly confirm. Stored: actor, timestamp, exact version, commercial snapshot, hash, Governor decision, authentication evidence.</w:t>
      </w:r>
    </w:p>
    <w:p>
      <w:pPr>
        <w:spacing w:after="80" w:line="293" w:lineRule="auto"/>
        <w:jc w:val="left"/>
      </w:pPr>
      <w:r>
        <w:rPr>
          <w:rFonts w:ascii="Times New Roman" w:hAnsi="Times New Roman" w:cs="Times New Roman"/>
          <w:b w:val="0"/>
          <w:i w:val="0"/>
          <w:sz w:val="22"/>
        </w:rPr>
        <w:t>Workflow: both parties see the final agreed terms; the buyer clicks "Confirm Agreement" (1); the seller clicks "Confirm Agreement" (1); the system records the mutual confirmation timestamp; a pre-contract snapshot is created (immutable JSONB). The interface states: "By confirming, you agree to the final terms and enter into a legally binding contract." Status display: Awaiting both confirmations.</w:t>
      </w:r>
    </w:p>
    <w:p>
      <w:pPr>
        <w:keepNext/>
        <w:spacing w:before="240" w:after="100"/>
        <w:outlineLvl w:val="1"/>
      </w:pPr>
      <w:r>
        <w:rPr>
          <w:rFonts w:ascii="Arial" w:hAnsi="Arial" w:cs="Arial"/>
          <w:b/>
          <w:i w:val="0"/>
          <w:color w:val="2E528F"/>
          <w:sz w:val="26"/>
        </w:rPr>
        <w:t>9.16 No Silent Changes After Mutual Confirmation</w:t>
      </w:r>
    </w:p>
    <w:p>
      <w:pPr>
        <w:spacing w:after="80" w:line="293" w:lineRule="auto"/>
        <w:jc w:val="left"/>
      </w:pPr>
      <w:r>
        <w:rPr>
          <w:rFonts w:ascii="Times New Roman" w:hAnsi="Times New Roman" w:cs="Times New Roman"/>
          <w:b w:val="0"/>
          <w:i w:val="0"/>
          <w:sz w:val="22"/>
        </w:rPr>
        <w:t>Protected terms: price, quantity, Incoterm, port, delivery, payment, documents, packing, logistics, insurance, shipment schedule. Any change follows the explicit Amendment Workflow: proposal → review → acceptance → new version → new confirmation where necessary.</w:t>
      </w:r>
    </w:p>
    <w:p>
      <w:pPr>
        <w:keepNext/>
        <w:spacing w:before="240" w:after="100"/>
        <w:outlineLvl w:val="1"/>
      </w:pPr>
      <w:r>
        <w:rPr>
          <w:rFonts w:ascii="Arial" w:hAnsi="Arial" w:cs="Arial"/>
          <w:b/>
          <w:i w:val="0"/>
          <w:color w:val="2E528F"/>
          <w:sz w:val="26"/>
        </w:rPr>
        <w:t>9.17 Contract Generation (Two Paths)</w:t>
      </w:r>
    </w:p>
    <w:p>
      <w:pPr>
        <w:spacing w:after="80" w:line="293" w:lineRule="auto"/>
        <w:jc w:val="left"/>
      </w:pPr>
      <w:r>
        <w:rPr>
          <w:rFonts w:ascii="Times New Roman" w:hAnsi="Times New Roman" w:cs="Times New Roman"/>
          <w:b w:val="0"/>
          <w:i w:val="0"/>
          <w:sz w:val="22"/>
        </w:rPr>
        <w:t>Path A — SGTX-Generated Contract: inherits the final commercial term sheet and includes the mandatory SGTX Witness Clause. Path B — User-Uploaded Contract: preserve the original file, extract structured terms, compare against negotiated terms, detect contradictions, ensure SGTX-required provisions are handled, create required addenda. Rule: never silently modify an uploaded contract.</w:t>
      </w:r>
    </w:p>
    <w:p>
      <w:pPr>
        <w:keepNext/>
        <w:spacing w:before="180" w:after="80"/>
        <w:outlineLvl w:val="2"/>
      </w:pPr>
      <w:r>
        <w:rPr>
          <w:rFonts w:ascii="Arial" w:hAnsi="Arial" w:cs="Arial"/>
          <w:b/>
          <w:i w:val="0"/>
          <w:color w:val="333333"/>
          <w:sz w:val="23"/>
        </w:rPr>
        <w:t>9.17.1 Clause Forge (A2, HF Local)</w:t>
      </w:r>
    </w:p>
    <w:p>
      <w:pPr>
        <w:spacing w:after="80" w:line="293" w:lineRule="auto"/>
        <w:jc w:val="left"/>
      </w:pPr>
      <w:r>
        <w:rPr>
          <w:rFonts w:ascii="Times New Roman" w:hAnsi="Times New Roman" w:cs="Times New Roman"/>
          <w:b w:val="0"/>
          <w:i w:val="0"/>
          <w:sz w:val="22"/>
        </w:rPr>
        <w:t>After mutual confirmation, the Clause Forge agent (A2, HF local) generates the contract automatically. The contract includes: all commercial terms (price, Incoterm, delivery options, schedule, amendments, partial acceptances); the acceptance criteria matrix; commercial settlement details (structure, timing, credit, currency, financing interest); insurance requirements; special trade instructions; the mandatory SGTX Witness Clause (non-removable); logistics addenda references; and signature fields for all parties.</w:t>
      </w:r>
    </w:p>
    <w:p>
      <w:pPr>
        <w:spacing w:after="80" w:line="293" w:lineRule="auto"/>
        <w:jc w:val="left"/>
      </w:pPr>
      <w:r>
        <w:rPr>
          <w:rFonts w:ascii="Times New Roman" w:hAnsi="Times New Roman" w:cs="Times New Roman"/>
          <w:b w:val="0"/>
          <w:i w:val="0"/>
          <w:sz w:val="22"/>
        </w:rPr>
        <w:t>Contract preview structure:</w:t>
      </w:r>
    </w:p>
    <w:p>
      <w:pPr>
        <w:spacing w:after="0" w:before="0" w:line="240" w:lineRule="auto"/>
        <w:ind w:left="57"/>
        <w:jc w:val="left"/>
        <w:shd w:val="clear" w:fill="F2F2F2"/>
      </w:pPr>
      <w:r>
        <w:rPr>
          <w:rFonts w:ascii="Consolas" w:hAnsi="Consolas" w:cs="Consolas"/>
          <w:b w:val="0"/>
          <w:i w:val="0"/>
          <w:sz w:val="15"/>
        </w:rPr>
        <w:t>CONTRACT ASSEMBLY — Clause Forge (A2)</w:t>
      </w:r>
    </w:p>
    <w:p>
      <w:pPr>
        <w:spacing w:after="0" w:before="0" w:line="240" w:lineRule="auto"/>
        <w:ind w:left="57"/>
        <w:jc w:val="left"/>
        <w:shd w:val="clear" w:fill="F2F2F2"/>
      </w:pPr>
      <w:r>
        <w:rPr>
          <w:rFonts w:ascii="Consolas" w:hAnsi="Consolas" w:cs="Consolas"/>
          <w:b w:val="0"/>
          <w:i w:val="0"/>
          <w:sz w:val="15"/>
        </w:rPr>
        <w:t>Contract ID: MC-20260415-001</w:t>
      </w:r>
    </w:p>
    <w:p>
      <w:pPr>
        <w:spacing w:after="0" w:before="0" w:line="240" w:lineRule="auto"/>
        <w:ind w:left="57"/>
        <w:jc w:val="left"/>
        <w:shd w:val="clear" w:fill="F2F2F2"/>
      </w:pPr>
      <w:r>
        <w:rPr>
          <w:rFonts w:ascii="Consolas" w:hAnsi="Consolas" w:cs="Consolas"/>
          <w:b w:val="0"/>
          <w:i w:val="0"/>
          <w:sz w:val="15"/>
        </w:rPr>
        <w:t>Generated: 2026-06-20 14:30:00 UTC</w:t>
      </w:r>
    </w:p>
    <w:p>
      <w:pPr>
        <w:spacing w:after="0" w:before="0" w:line="240" w:lineRule="auto"/>
        <w:ind w:left="57"/>
        <w:jc w:val="left"/>
        <w:shd w:val="clear" w:fill="F2F2F2"/>
      </w:pPr>
      <w:r>
        <w:rPr>
          <w:rFonts w:ascii="Consolas" w:hAnsi="Consolas" w:cs="Consolas"/>
          <w:b w:val="0"/>
          <w:i w:val="0"/>
          <w:sz w:val="15"/>
        </w:rPr>
        <w:t>Status: PENDING_SIGNATURES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CONTRACT PREVIEW (PDF)</w:t>
      </w:r>
    </w:p>
    <w:p>
      <w:pPr>
        <w:spacing w:after="0" w:before="0" w:line="240" w:lineRule="auto"/>
        <w:ind w:left="57"/>
        <w:jc w:val="left"/>
        <w:shd w:val="clear" w:fill="F2F2F2"/>
      </w:pPr>
      <w:r>
        <w:rPr>
          <w:rFonts w:ascii="Consolas" w:hAnsi="Consolas" w:cs="Consolas"/>
          <w:b w:val="0"/>
          <w:i w:val="0"/>
          <w:sz w:val="15"/>
        </w:rPr>
        <w:t xml:space="preserve">  PARTIES:</w:t>
      </w:r>
    </w:p>
    <w:p>
      <w:pPr>
        <w:spacing w:after="0" w:before="0" w:line="240" w:lineRule="auto"/>
        <w:ind w:left="57"/>
        <w:jc w:val="left"/>
        <w:shd w:val="clear" w:fill="F2F2F2"/>
      </w:pPr>
      <w:r>
        <w:rPr>
          <w:rFonts w:ascii="Consolas" w:hAnsi="Consolas" w:cs="Consolas"/>
          <w:b w:val="0"/>
          <w:i w:val="0"/>
          <w:sz w:val="15"/>
        </w:rPr>
        <w:t xml:space="preserve">    Seller: Mekong Fresh Co. (SGTX-VN-TRD-002139-7F3A)</w:t>
      </w:r>
    </w:p>
    <w:p>
      <w:pPr>
        <w:spacing w:after="0" w:before="0" w:line="240" w:lineRule="auto"/>
        <w:ind w:left="57"/>
        <w:jc w:val="left"/>
        <w:shd w:val="clear" w:fill="F2F2F2"/>
      </w:pPr>
      <w:r>
        <w:rPr>
          <w:rFonts w:ascii="Consolas" w:hAnsi="Consolas" w:cs="Consolas"/>
          <w:b w:val="0"/>
          <w:i w:val="0"/>
          <w:sz w:val="15"/>
        </w:rPr>
        <w:t xml:space="preserve">    Buyer:  Nile Foods (SGTX-EG-TRD-001234-5B6C)</w:t>
      </w:r>
    </w:p>
    <w:p>
      <w:pPr>
        <w:spacing w:after="0" w:before="0" w:line="240" w:lineRule="auto"/>
        <w:ind w:left="57"/>
        <w:jc w:val="left"/>
        <w:shd w:val="clear" w:fill="F2F2F2"/>
      </w:pPr>
      <w:r>
        <w:rPr>
          <w:rFonts w:ascii="Consolas" w:hAnsi="Consolas" w:cs="Consolas"/>
          <w:b w:val="0"/>
          <w:i w:val="0"/>
          <w:sz w:val="15"/>
        </w:rPr>
        <w:t xml:space="preserve">  COMMERCIAL TERMS:</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Delivery Port: Alexandria (primary) / Damietta (alternative)</w:t>
      </w:r>
    </w:p>
    <w:p>
      <w:pPr>
        <w:spacing w:after="0" w:before="0" w:line="240" w:lineRule="auto"/>
        <w:ind w:left="57"/>
        <w:jc w:val="left"/>
        <w:shd w:val="clear" w:fill="F2F2F2"/>
      </w:pPr>
      <w:r>
        <w:rPr>
          <w:rFonts w:ascii="Consolas" w:hAnsi="Consolas" w:cs="Consolas"/>
          <w:b w:val="0"/>
          <w:i w:val="0"/>
          <w:sz w:val="15"/>
        </w:rPr>
        <w:t xml:space="preserve">    Delivery Date: 20 Jul 2026</w:t>
      </w:r>
    </w:p>
    <w:p>
      <w:pPr>
        <w:spacing w:after="0" w:before="0" w:line="240" w:lineRule="auto"/>
        <w:ind w:left="57"/>
        <w:jc w:val="left"/>
        <w:shd w:val="clear" w:fill="F2F2F2"/>
      </w:pPr>
      <w:r>
        <w:rPr>
          <w:rFonts w:ascii="Consolas" w:hAnsi="Consolas" w:cs="Consolas"/>
          <w:b w:val="0"/>
          <w:i w:val="0"/>
          <w:sz w:val="15"/>
        </w:rPr>
        <w:t>Price: $154,000 | SGTX Fee: $221.76 | Total: $154,221.76</w:t>
      </w:r>
    </w:p>
    <w:p>
      <w:pPr>
        <w:spacing w:after="0" w:before="0" w:line="240" w:lineRule="auto"/>
        <w:ind w:left="57"/>
        <w:jc w:val="left"/>
        <w:shd w:val="clear" w:fill="F2F2F2"/>
      </w:pPr>
      <w:r>
        <w:rPr>
          <w:rFonts w:ascii="Consolas" w:hAnsi="Consolas" w:cs="Consolas"/>
          <w:b w:val="0"/>
          <w:i w:val="0"/>
          <w:sz w:val="15"/>
        </w:rPr>
        <w:t xml:space="preserve">  ACCEPTANCE CRITERIA:</w:t>
      </w:r>
    </w:p>
    <w:p>
      <w:pPr>
        <w:spacing w:after="0" w:before="0" w:line="240" w:lineRule="auto"/>
        <w:ind w:left="57"/>
        <w:jc w:val="left"/>
        <w:shd w:val="clear" w:fill="F2F2F2"/>
      </w:pPr>
      <w:r>
        <w:rPr>
          <w:rFonts w:ascii="Consolas" w:hAnsi="Consolas" w:cs="Consolas"/>
          <w:b w:val="0"/>
          <w:i w:val="0"/>
          <w:sz w:val="15"/>
        </w:rPr>
        <w:t xml:space="preserve">    - Moisture: Max 14%</w:t>
      </w:r>
    </w:p>
    <w:p>
      <w:pPr>
        <w:spacing w:after="0" w:before="0" w:line="240" w:lineRule="auto"/>
        <w:ind w:left="57"/>
        <w:jc w:val="left"/>
        <w:shd w:val="clear" w:fill="F2F2F2"/>
      </w:pPr>
      <w:r>
        <w:rPr>
          <w:rFonts w:ascii="Consolas" w:hAnsi="Consolas" w:cs="Consolas"/>
          <w:b w:val="0"/>
          <w:i w:val="0"/>
          <w:sz w:val="15"/>
        </w:rPr>
        <w:t xml:space="preserve">    - Protein: Min 12%</w:t>
      </w:r>
    </w:p>
    <w:p>
      <w:pPr>
        <w:spacing w:after="0" w:before="0" w:line="240" w:lineRule="auto"/>
        <w:ind w:left="57"/>
        <w:jc w:val="left"/>
        <w:shd w:val="clear" w:fill="F2F2F2"/>
      </w:pPr>
      <w:r>
        <w:rPr>
          <w:rFonts w:ascii="Consolas" w:hAnsi="Consolas" w:cs="Consolas"/>
          <w:b w:val="0"/>
          <w:i w:val="0"/>
          <w:sz w:val="15"/>
        </w:rPr>
        <w:t xml:space="preserve">    - Purity: Min 99%</w:t>
      </w:r>
    </w:p>
    <w:p>
      <w:pPr>
        <w:spacing w:after="0" w:before="0" w:line="240" w:lineRule="auto"/>
        <w:ind w:left="57"/>
        <w:jc w:val="left"/>
        <w:shd w:val="clear" w:fill="F2F2F2"/>
      </w:pPr>
      <w:r>
        <w:rPr>
          <w:rFonts w:ascii="Consolas" w:hAnsi="Consolas" w:cs="Consolas"/>
          <w:b w:val="0"/>
          <w:i w:val="0"/>
          <w:sz w:val="15"/>
        </w:rPr>
        <w:t xml:space="preserve">    - Foreign Matter: Max 0.5%</w:t>
      </w:r>
    </w:p>
    <w:p>
      <w:pPr>
        <w:spacing w:after="0" w:before="0" w:line="240" w:lineRule="auto"/>
        <w:ind w:left="57"/>
        <w:jc w:val="left"/>
        <w:shd w:val="clear" w:fill="F2F2F2"/>
      </w:pPr>
      <w:r>
        <w:rPr>
          <w:rFonts w:ascii="Consolas" w:hAnsi="Consolas" w:cs="Consolas"/>
          <w:b w:val="0"/>
          <w:i w:val="0"/>
          <w:sz w:val="15"/>
        </w:rPr>
        <w:t xml:space="preserve">  COMMERCIAL SETTLEMENT:</w:t>
      </w:r>
    </w:p>
    <w:p>
      <w:pPr>
        <w:spacing w:after="0" w:before="0" w:line="240" w:lineRule="auto"/>
        <w:ind w:left="57"/>
        <w:jc w:val="left"/>
        <w:shd w:val="clear" w:fill="F2F2F2"/>
      </w:pPr>
      <w:r>
        <w:rPr>
          <w:rFonts w:ascii="Consolas" w:hAnsi="Consolas" w:cs="Consolas"/>
          <w:b w:val="0"/>
          <w:i w:val="0"/>
          <w:sz w:val="15"/>
        </w:rPr>
        <w:t xml:space="preserve">    Structure: Documentary Collection | Timing: Against Documents</w:t>
      </w:r>
    </w:p>
    <w:p>
      <w:pPr>
        <w:spacing w:after="0" w:before="0" w:line="240" w:lineRule="auto"/>
        <w:ind w:left="57"/>
        <w:jc w:val="left"/>
        <w:shd w:val="clear" w:fill="F2F2F2"/>
      </w:pPr>
      <w:r>
        <w:rPr>
          <w:rFonts w:ascii="Consolas" w:hAnsi="Consolas" w:cs="Consolas"/>
          <w:b w:val="0"/>
          <w:i w:val="0"/>
          <w:sz w:val="15"/>
        </w:rPr>
        <w:t xml:space="preserve">    Credit Period: 30 Days | Currency: USD</w:t>
      </w:r>
    </w:p>
    <w:p>
      <w:pPr>
        <w:spacing w:after="0" w:before="0" w:line="240" w:lineRule="auto"/>
        <w:ind w:left="57"/>
        <w:jc w:val="left"/>
        <w:shd w:val="clear" w:fill="F2F2F2"/>
      </w:pPr>
      <w:r>
        <w:rPr>
          <w:rFonts w:ascii="Consolas" w:hAnsi="Consolas" w:cs="Consolas"/>
          <w:b w:val="0"/>
          <w:i w:val="0"/>
          <w:sz w:val="15"/>
        </w:rPr>
        <w:t xml:space="preserve">  INSURANCE:</w:t>
      </w:r>
    </w:p>
    <w:p>
      <w:pPr>
        <w:spacing w:after="0" w:before="0" w:line="240" w:lineRule="auto"/>
        <w:ind w:left="57"/>
        <w:jc w:val="left"/>
        <w:shd w:val="clear" w:fill="F2F2F2"/>
      </w:pPr>
      <w:r>
        <w:rPr>
          <w:rFonts w:ascii="Consolas" w:hAnsi="Consolas" w:cs="Consolas"/>
          <w:b w:val="0"/>
          <w:i w:val="0"/>
          <w:sz w:val="15"/>
        </w:rPr>
        <w:t xml:space="preserve">    Requirement: Required | Type: All Risks | Coverage: 110% of invoice value</w:t>
      </w:r>
    </w:p>
    <w:p>
      <w:pPr>
        <w:spacing w:after="0" w:before="0" w:line="240" w:lineRule="auto"/>
        <w:ind w:left="57"/>
        <w:jc w:val="left"/>
        <w:shd w:val="clear" w:fill="F2F2F2"/>
      </w:pPr>
      <w:r>
        <w:rPr>
          <w:rFonts w:ascii="Consolas" w:hAnsi="Consolas" w:cs="Consolas"/>
          <w:b w:val="0"/>
          <w:i w:val="0"/>
          <w:sz w:val="15"/>
        </w:rPr>
        <w:t xml:space="preserve">    Responsible Party: Seller (per CFR incoterm) | Policy: INS-2026-001</w:t>
      </w:r>
    </w:p>
    <w:p>
      <w:pPr>
        <w:spacing w:after="0" w:before="0" w:line="240" w:lineRule="auto"/>
        <w:ind w:left="57"/>
        <w:jc w:val="left"/>
        <w:shd w:val="clear" w:fill="F2F2F2"/>
      </w:pPr>
      <w:r>
        <w:rPr>
          <w:rFonts w:ascii="Consolas" w:hAnsi="Consolas" w:cs="Consolas"/>
          <w:b w:val="0"/>
          <w:i w:val="0"/>
          <w:sz w:val="15"/>
        </w:rPr>
        <w:t xml:space="preserve">  SPECIAL INSTRUCTIONS:</w:t>
      </w:r>
    </w:p>
    <w:p>
      <w:pPr>
        <w:spacing w:after="0" w:before="0" w:line="240" w:lineRule="auto"/>
        <w:ind w:left="57"/>
        <w:jc w:val="left"/>
        <w:shd w:val="clear" w:fill="F2F2F2"/>
      </w:pPr>
      <w:r>
        <w:rPr>
          <w:rFonts w:ascii="Consolas" w:hAnsi="Consolas" w:cs="Consolas"/>
          <w:b w:val="0"/>
          <w:i w:val="0"/>
          <w:sz w:val="15"/>
        </w:rPr>
        <w:t xml:space="preserve">    - Arabic labels mandatory on all cartons.</w:t>
      </w:r>
    </w:p>
    <w:p>
      <w:pPr>
        <w:spacing w:after="0" w:before="0" w:line="240" w:lineRule="auto"/>
        <w:ind w:left="57"/>
        <w:jc w:val="left"/>
        <w:shd w:val="clear" w:fill="F2F2F2"/>
      </w:pPr>
      <w:r>
        <w:rPr>
          <w:rFonts w:ascii="Consolas" w:hAnsi="Consolas" w:cs="Consolas"/>
          <w:b w:val="0"/>
          <w:i w:val="0"/>
          <w:sz w:val="15"/>
        </w:rPr>
        <w:t xml:space="preserve">    - No wooden pallets (ISPM 15 compliant only).</w:t>
      </w:r>
    </w:p>
    <w:p>
      <w:pPr>
        <w:spacing w:after="0" w:before="0" w:line="240" w:lineRule="auto"/>
        <w:ind w:left="57"/>
        <w:jc w:val="left"/>
        <w:shd w:val="clear" w:fill="F2F2F2"/>
      </w:pPr>
      <w:r>
        <w:rPr>
          <w:rFonts w:ascii="Consolas" w:hAnsi="Consolas" w:cs="Consolas"/>
          <w:b w:val="0"/>
          <w:i w:val="0"/>
          <w:sz w:val="15"/>
        </w:rPr>
        <w:t xml:space="preserve">    - Halal certification required.</w:t>
      </w:r>
    </w:p>
    <w:p>
      <w:pPr>
        <w:spacing w:after="0" w:before="0" w:line="240" w:lineRule="auto"/>
        <w:ind w:left="57"/>
        <w:jc w:val="left"/>
        <w:shd w:val="clear" w:fill="F2F2F2"/>
      </w:pPr>
      <w:r>
        <w:rPr>
          <w:rFonts w:ascii="Consolas" w:hAnsi="Consolas" w:cs="Consolas"/>
          <w:b w:val="0"/>
          <w:i w:val="0"/>
          <w:sz w:val="15"/>
        </w:rPr>
        <w:t xml:space="preserve">    - Temperature logger required in each container.</w:t>
      </w:r>
    </w:p>
    <w:p>
      <w:pPr>
        <w:spacing w:after="0" w:before="0" w:line="240" w:lineRule="auto"/>
        <w:ind w:left="57"/>
        <w:jc w:val="left"/>
        <w:shd w:val="clear" w:fill="F2F2F2"/>
      </w:pPr>
      <w:r>
        <w:rPr>
          <w:rFonts w:ascii="Consolas" w:hAnsi="Consolas" w:cs="Consolas"/>
          <w:b w:val="0"/>
          <w:i w:val="0"/>
          <w:sz w:val="15"/>
        </w:rPr>
        <w:t xml:space="preserve">    - Original Bill of Lading to be sent by DHL.</w:t>
      </w:r>
    </w:p>
    <w:p>
      <w:pPr>
        <w:spacing w:after="0" w:before="0" w:line="240" w:lineRule="auto"/>
        <w:ind w:left="57"/>
        <w:jc w:val="left"/>
        <w:shd w:val="clear" w:fill="F2F2F2"/>
      </w:pPr>
      <w:r>
        <w:rPr>
          <w:rFonts w:ascii="Consolas" w:hAnsi="Consolas" w:cs="Consolas"/>
          <w:b w:val="0"/>
          <w:i w:val="0"/>
          <w:sz w:val="15"/>
        </w:rPr>
        <w:t xml:space="preserve">  SGTX WITNESS CLAUSE: (Mandatory)</w:t>
      </w:r>
    </w:p>
    <w:p>
      <w:pPr>
        <w:spacing w:after="0" w:before="0" w:line="240" w:lineRule="auto"/>
        <w:ind w:left="57"/>
        <w:jc w:val="left"/>
        <w:shd w:val="clear" w:fill="F2F2F2"/>
      </w:pPr>
      <w:r>
        <w:rPr>
          <w:rFonts w:ascii="Consolas" w:hAnsi="Consolas" w:cs="Consolas"/>
          <w:b w:val="0"/>
          <w:i w:val="0"/>
          <w:sz w:val="15"/>
        </w:rPr>
        <w:t xml:space="preserve">  SIGNATURE FIELDS:</w:t>
      </w:r>
    </w:p>
    <w:p>
      <w:pPr>
        <w:spacing w:after="0" w:before="0" w:line="240" w:lineRule="auto"/>
        <w:ind w:left="57"/>
        <w:jc w:val="left"/>
        <w:shd w:val="clear" w:fill="F2F2F2"/>
      </w:pPr>
      <w:r>
        <w:rPr>
          <w:rFonts w:ascii="Consolas" w:hAnsi="Consolas" w:cs="Consolas"/>
          <w:b w:val="0"/>
          <w:i w:val="0"/>
          <w:sz w:val="15"/>
        </w:rPr>
        <w:t xml:space="preserve">    Buyer: _______________ Date: _______</w:t>
      </w:r>
    </w:p>
    <w:p>
      <w:pPr>
        <w:spacing w:after="0" w:before="0" w:line="240" w:lineRule="auto"/>
        <w:ind w:left="57"/>
        <w:jc w:val="left"/>
        <w:shd w:val="clear" w:fill="F2F2F2"/>
      </w:pPr>
      <w:r>
        <w:rPr>
          <w:rFonts w:ascii="Consolas" w:hAnsi="Consolas" w:cs="Consolas"/>
          <w:b w:val="0"/>
          <w:i w:val="0"/>
          <w:sz w:val="15"/>
        </w:rPr>
        <w:t xml:space="preserve">    Seller: _______________ Date: _______</w:t>
      </w:r>
    </w:p>
    <w:p>
      <w:pPr>
        <w:spacing w:after="0" w:before="0" w:line="240" w:lineRule="auto"/>
        <w:ind w:left="57"/>
        <w:jc w:val="left"/>
        <w:shd w:val="clear" w:fill="F2F2F2"/>
      </w:pPr>
      <w:r>
        <w:rPr>
          <w:rFonts w:ascii="Consolas" w:hAnsi="Consolas" w:cs="Consolas"/>
          <w:b w:val="0"/>
          <w:i w:val="0"/>
          <w:sz w:val="15"/>
        </w:rPr>
        <w:t xml:space="preserve">    SGTX (Witness): _______________ Date: _______</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[Download Contract PDF] [Sign Contract] [Upload Own Contract]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9.17.2 SGTX Witness Clause (Mandatory, Non-Removable)</w:t>
      </w:r>
    </w:p>
    <w:p>
      <w:pPr>
        <w:spacing w:after="80" w:line="293" w:lineRule="auto"/>
        <w:jc w:val="left"/>
      </w:pPr>
      <w:r>
        <w:rPr>
          <w:rFonts w:ascii="Times New Roman" w:hAnsi="Times New Roman" w:cs="Times New Roman"/>
          <w:b w:val="0"/>
          <w:i w:val="0"/>
          <w:sz w:val="22"/>
        </w:rPr>
        <w:t>"The parties acknowledge that SGTX Platform has facilitated the execution of this contract as a non-custodial witness. SGTX is not a party to the underlying trade but provides cryptographic milestone tracking, AI-assisted logistics, and settlement instructions. The platform's fee - calculated by the SGTX Dynamic Fee Engine on the Canonical Fee Basis of this contract (final fee: [amount]; effective rate: [rate]; Fee Decision: [fee_decision_id]; Section 9.27) - is due as follows: for single-shipment contracts, the fee is payable upfront before contract lock; for multi-shipment contracts, the fee is payable per-shipment, each upon mutual confirmation and before that shipment's USTN is generated. The platform's signature below serves as evidence of its role as witness and its right to collect the fee as specified."</w:t>
      </w:r>
    </w:p>
    <w:p>
      <w:pPr>
        <w:keepNext/>
        <w:spacing w:before="180" w:after="80"/>
        <w:outlineLvl w:val="2"/>
      </w:pPr>
      <w:r>
        <w:rPr>
          <w:rFonts w:ascii="Arial" w:hAnsi="Arial" w:cs="Arial"/>
          <w:b/>
          <w:i w:val="0"/>
          <w:color w:val="333333"/>
          <w:sz w:val="23"/>
        </w:rPr>
        <w:t>9.17.3 Upload Own Contract (Path B)</w:t>
      </w:r>
    </w:p>
    <w:p>
      <w:pPr>
        <w:spacing w:after="80" w:line="293" w:lineRule="auto"/>
        <w:jc w:val="left"/>
      </w:pPr>
      <w:r>
        <w:rPr>
          <w:rFonts w:ascii="Times New Roman" w:hAnsi="Times New Roman" w:cs="Times New Roman"/>
          <w:b w:val="0"/>
          <w:i w:val="0"/>
          <w:sz w:val="22"/>
        </w:rPr>
        <w:t>In the Contract Signing tab, a party clicks "Upload my own contract" (available only before signatures) and uploads a PDF (max 10 MB). A2 (HF Donut) extracts key fields: parties, goods, price, Incoterm, governing law, delivery terms, payment terms. The system validates the extracted fields against the trade data — matches are confirmed line-by-line (seller matches trade; buyer matches trade; goods HS code matches; price matches final agreed price; Incoterm matches; delivery matches; payment terms match settlement), and mismatches are flagged (for example, "Governing Law: UAE law (not Egypt law — inform legal team)").</w:t>
      </w:r>
    </w:p>
    <w:p>
      <w:pPr>
        <w:spacing w:after="80" w:line="293" w:lineRule="auto"/>
        <w:jc w:val="left"/>
      </w:pPr>
      <w:r>
        <w:rPr>
          <w:rFonts w:ascii="Times New Roman" w:hAnsi="Times New Roman" w:cs="Times New Roman"/>
          <w:b w:val="0"/>
          <w:i w:val="0"/>
          <w:sz w:val="22"/>
        </w:rPr>
        <w:t>The user must also sign a separate SGTX FEES Addendum (generated automatically, non-negotiable, containing the SGTX Witness Clause and fee terms): "The parties acknowledge and agree that SGTX Platform fees (Canonical Fee Basis $154,000 at the engine effective rate of 0.144% = $221.76, calculated by the SGTX Dynamic Fee Engine and recorded in the Fee Decision; Section 9.27) shall be paid to SGTX as specified in the SGTX Witness Clause. This addendum is incorporated into and forms part of the contract." Both documents are stored and both are signed by all parties and the Governor.</w:t>
      </w:r>
    </w:p>
    <w:p>
      <w:pPr>
        <w:keepNext/>
        <w:spacing w:before="180" w:after="80"/>
        <w:outlineLvl w:val="2"/>
      </w:pPr>
      <w:r>
        <w:rPr>
          <w:rFonts w:ascii="Arial" w:hAnsi="Arial" w:cs="Arial"/>
          <w:b/>
          <w:i w:val="0"/>
          <w:color w:val="333333"/>
          <w:sz w:val="23"/>
        </w:rPr>
        <w:t>9.17.4 Contract Generation with Payment Schedule Annex</w:t>
      </w:r>
    </w:p>
    <w:p>
      <w:pPr>
        <w:spacing w:after="80" w:line="293" w:lineRule="auto"/>
        <w:jc w:val="left"/>
      </w:pPr>
      <w:r>
        <w:rPr>
          <w:rFonts w:ascii="Times New Roman" w:hAnsi="Times New Roman" w:cs="Times New Roman"/>
          <w:b w:val="0"/>
          <w:i w:val="0"/>
          <w:sz w:val="22"/>
        </w:rPr>
        <w:t>When the parties reach mutual confirmation, the generated contract carries the full payment architecture: commercial terms, the Payment Schedule Annex, and the USTN Multi-Leg Settlement Manifest are generated together so that the legal instrument and the financial execution plan can never diverge.</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Buyer &amp; Seller</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val="0"/>
          <w:i w:val="0"/>
          <w:sz w:val="22"/>
        </w:rPr>
        <w:t>1. Buyer and Seller confirm mutual agreement</w:t>
      </w:r>
    </w:p>
    <w:p>
      <w:pPr>
        <w:spacing w:after="80" w:line="293" w:lineRule="auto"/>
        <w:jc w:val="left"/>
      </w:pPr>
      <w:r>
        <w:rPr>
          <w:rFonts w:ascii="Times New Roman" w:hAnsi="Times New Roman" w:cs="Times New Roman"/>
          <w:b w:val="0"/>
          <w:i w:val="0"/>
          <w:sz w:val="22"/>
        </w:rPr>
        <w:t>2. Clause Forge (A2) generates contract with:</w:t>
      </w:r>
    </w:p>
    <w:p>
      <w:pPr>
        <w:spacing w:after="80" w:line="293" w:lineRule="auto"/>
        <w:ind w:left="567"/>
        <w:jc w:val="left"/>
      </w:pPr>
      <w:r>
        <w:rPr>
          <w:rFonts w:ascii="Times New Roman" w:hAnsi="Times New Roman" w:cs="Times New Roman"/>
          <w:b w:val="0"/>
          <w:i w:val="0"/>
          <w:sz w:val="22"/>
        </w:rPr>
        <w:t>* Commercial terms</w:t>
      </w:r>
    </w:p>
    <w:p>
      <w:pPr>
        <w:spacing w:after="80" w:line="293" w:lineRule="auto"/>
        <w:ind w:left="567"/>
        <w:jc w:val="left"/>
      </w:pPr>
      <w:r>
        <w:rPr>
          <w:rFonts w:ascii="Times New Roman" w:hAnsi="Times New Roman" w:cs="Times New Roman"/>
          <w:b w:val="0"/>
          <w:i w:val="0"/>
          <w:sz w:val="22"/>
        </w:rPr>
        <w:t>* Payment Schedule Annex</w:t>
      </w:r>
    </w:p>
    <w:p>
      <w:pPr>
        <w:spacing w:after="80" w:line="293" w:lineRule="auto"/>
        <w:ind w:left="567"/>
        <w:jc w:val="left"/>
      </w:pPr>
      <w:r>
        <w:rPr>
          <w:rFonts w:ascii="Times New Roman" w:hAnsi="Times New Roman" w:cs="Times New Roman"/>
          <w:b w:val="0"/>
          <w:i w:val="0"/>
          <w:sz w:val="22"/>
        </w:rPr>
        <w:t>* USTN Multi-Leg Settlement Manifest</w:t>
      </w:r>
    </w:p>
    <w:p>
      <w:pPr>
        <w:spacing w:after="80" w:line="293" w:lineRule="auto"/>
        <w:jc w:val="left"/>
      </w:pPr>
      <w:r>
        <w:rPr>
          <w:rFonts w:ascii="Times New Roman" w:hAnsi="Times New Roman" w:cs="Times New Roman"/>
          <w:b w:val="0"/>
          <w:i w:val="0"/>
          <w:sz w:val="22"/>
        </w:rPr>
        <w:t>3. Both parties sign contract (QES)</w:t>
      </w:r>
    </w:p>
    <w:p>
      <w:pPr>
        <w:spacing w:after="80" w:line="293" w:lineRule="auto"/>
        <w:jc w:val="left"/>
      </w:pPr>
      <w:r>
        <w:rPr>
          <w:rFonts w:ascii="Times New Roman" w:hAnsi="Times New Roman" w:cs="Times New Roman"/>
          <w:b w:val="0"/>
          <w:i w:val="0"/>
          <w:sz w:val="22"/>
        </w:rPr>
        <w:t>Contract Payment Annex Example:</w:t>
      </w:r>
    </w:p>
    <w:p>
      <w:pPr>
        <w:spacing w:after="0" w:before="0" w:line="240" w:lineRule="auto"/>
        <w:ind w:left="57"/>
        <w:jc w:val="left"/>
        <w:shd w:val="clear" w:fill="F2F2F2"/>
      </w:pPr>
      <w:r>
        <w:rPr>
          <w:rFonts w:ascii="Consolas" w:hAnsi="Consolas" w:cs="Consolas"/>
          <w:b w:val="0"/>
          <w:i w:val="0"/>
          <w:sz w:val="15"/>
        </w:rPr>
        <w:t>PAYMENT SCHEDULE ANNEX — USTN SGTX-EG-26-F3A-1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Payment Method: Direct Bank Transfer (ISO 20022)           │</w:t>
      </w:r>
    </w:p>
    <w:p>
      <w:pPr>
        <w:spacing w:after="0" w:before="0" w:line="240" w:lineRule="auto"/>
        <w:ind w:left="57"/>
        <w:jc w:val="left"/>
        <w:shd w:val="clear" w:fill="F2F2F2"/>
      </w:pPr>
      <w:r>
        <w:rPr>
          <w:rFonts w:ascii="Consolas" w:hAnsi="Consolas" w:cs="Consolas"/>
          <w:b w:val="0"/>
          <w:i w:val="0"/>
          <w:sz w:val="15"/>
        </w:rPr>
        <w:t>│ Buyer's Bank: CIB Egypt (BIC: CIBEEGCX)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EGP Settlement Leg (Buyer's EGP Account):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1: Customs Duty — EGP 100,000.00                   ││</w:t>
      </w:r>
    </w:p>
    <w:p>
      <w:pPr>
        <w:spacing w:after="0" w:before="0" w:line="240" w:lineRule="auto"/>
        <w:ind w:left="57"/>
        <w:jc w:val="left"/>
        <w:shd w:val="clear" w:fill="F2F2F2"/>
      </w:pPr>
      <w:r>
        <w:rPr>
          <w:rFonts w:ascii="Consolas" w:hAnsi="Consolas" w:cs="Consolas"/>
          <w:b w:val="0"/>
          <w:i w:val="0"/>
          <w:sz w:val="15"/>
        </w:rPr>
        <w:t>│ │   Payee: Nafeza / Egypt Customs                        ││</w:t>
      </w:r>
    </w:p>
    <w:p>
      <w:pPr>
        <w:spacing w:after="0" w:before="0" w:line="240" w:lineRule="auto"/>
        <w:ind w:left="57"/>
        <w:jc w:val="left"/>
        <w:shd w:val="clear" w:fill="F2F2F2"/>
      </w:pPr>
      <w:r>
        <w:rPr>
          <w:rFonts w:ascii="Consolas" w:hAnsi="Consolas" w:cs="Consolas"/>
          <w:b w:val="0"/>
          <w:i w:val="0"/>
          <w:sz w:val="15"/>
        </w:rPr>
        <w:t>│ │   IBAN: EG3800200000000000789012                       ││</w:t>
      </w:r>
    </w:p>
    <w:p>
      <w:pPr>
        <w:spacing w:after="0" w:before="0" w:line="240" w:lineRule="auto"/>
        <w:ind w:left="57"/>
        <w:jc w:val="left"/>
        <w:shd w:val="clear" w:fill="F2F2F2"/>
      </w:pPr>
      <w:r>
        <w:rPr>
          <w:rFonts w:ascii="Consolas" w:hAnsi="Consolas" w:cs="Consolas"/>
          <w:b w:val="0"/>
          <w:i w:val="0"/>
          <w:sz w:val="15"/>
        </w:rPr>
        <w:t>│ │   Condition: CUSTOMS_IMPORT                            ││</w:t>
      </w:r>
    </w:p>
    <w:p>
      <w:pPr>
        <w:spacing w:after="0" w:before="0" w:line="240" w:lineRule="auto"/>
        <w:ind w:left="57"/>
        <w:jc w:val="left"/>
        <w:shd w:val="clear" w:fill="F2F2F2"/>
      </w:pPr>
      <w:r>
        <w:rPr>
          <w:rFonts w:ascii="Consolas" w:hAnsi="Consolas" w:cs="Consolas"/>
          <w:b w:val="0"/>
          <w:i w:val="0"/>
          <w:sz w:val="15"/>
        </w:rPr>
        <w:t>│ │   Quote: QT-GOV-001 (SGTX-EG-CUSTOMS-001)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2: Phytosanitary — EGP 5,000.00                   ││</w:t>
      </w:r>
    </w:p>
    <w:p>
      <w:pPr>
        <w:spacing w:after="0" w:before="0" w:line="240" w:lineRule="auto"/>
        <w:ind w:left="57"/>
        <w:jc w:val="left"/>
        <w:shd w:val="clear" w:fill="F2F2F2"/>
      </w:pPr>
      <w:r>
        <w:rPr>
          <w:rFonts w:ascii="Consolas" w:hAnsi="Consolas" w:cs="Consolas"/>
          <w:b w:val="0"/>
          <w:i w:val="0"/>
          <w:sz w:val="15"/>
        </w:rPr>
        <w:t>│ │   Payee: CAPQ                                          ││</w:t>
      </w:r>
    </w:p>
    <w:p>
      <w:pPr>
        <w:spacing w:after="0" w:before="0" w:line="240" w:lineRule="auto"/>
        <w:ind w:left="57"/>
        <w:jc w:val="left"/>
        <w:shd w:val="clear" w:fill="F2F2F2"/>
      </w:pPr>
      <w:r>
        <w:rPr>
          <w:rFonts w:ascii="Consolas" w:hAnsi="Consolas" w:cs="Consolas"/>
          <w:b w:val="0"/>
          <w:i w:val="0"/>
          <w:sz w:val="15"/>
        </w:rPr>
        <w:t>│ │   IBAN: EG3800300000000000456789                       ││</w:t>
      </w:r>
    </w:p>
    <w:p>
      <w:pPr>
        <w:spacing w:after="0" w:before="0" w:line="240" w:lineRule="auto"/>
        <w:ind w:left="57"/>
        <w:jc w:val="left"/>
        <w:shd w:val="clear" w:fill="F2F2F2"/>
      </w:pPr>
      <w:r>
        <w:rPr>
          <w:rFonts w:ascii="Consolas" w:hAnsi="Consolas" w:cs="Consolas"/>
          <w:b w:val="0"/>
          <w:i w:val="0"/>
          <w:sz w:val="15"/>
        </w:rPr>
        <w:t>│ │   Condition: CUSTOMS_SUBMITTED                         ││</w:t>
      </w:r>
    </w:p>
    <w:p>
      <w:pPr>
        <w:spacing w:after="0" w:before="0" w:line="240" w:lineRule="auto"/>
        <w:ind w:left="57"/>
        <w:jc w:val="left"/>
        <w:shd w:val="clear" w:fill="F2F2F2"/>
      </w:pPr>
      <w:r>
        <w:rPr>
          <w:rFonts w:ascii="Consolas" w:hAnsi="Consolas" w:cs="Consolas"/>
          <w:b w:val="0"/>
          <w:i w:val="0"/>
          <w:sz w:val="15"/>
        </w:rPr>
        <w:t>│ │   Quote: QT-GOV-002 (SGTX-EG-CAPQ-001)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3: Lab Testing — EGP 3,000.00                     ││</w:t>
      </w:r>
    </w:p>
    <w:p>
      <w:pPr>
        <w:spacing w:after="0" w:before="0" w:line="240" w:lineRule="auto"/>
        <w:ind w:left="57"/>
        <w:jc w:val="left"/>
        <w:shd w:val="clear" w:fill="F2F2F2"/>
      </w:pPr>
      <w:r>
        <w:rPr>
          <w:rFonts w:ascii="Consolas" w:hAnsi="Consolas" w:cs="Consolas"/>
          <w:b w:val="0"/>
          <w:i w:val="0"/>
          <w:sz w:val="15"/>
        </w:rPr>
        <w:t>│ │   Payee: SGS Egypt                                     ││</w:t>
      </w:r>
    </w:p>
    <w:p>
      <w:pPr>
        <w:spacing w:after="0" w:before="0" w:line="240" w:lineRule="auto"/>
        <w:ind w:left="57"/>
        <w:jc w:val="left"/>
        <w:shd w:val="clear" w:fill="F2F2F2"/>
      </w:pPr>
      <w:r>
        <w:rPr>
          <w:rFonts w:ascii="Consolas" w:hAnsi="Consolas" w:cs="Consolas"/>
          <w:b w:val="0"/>
          <w:i w:val="0"/>
          <w:sz w:val="15"/>
        </w:rPr>
        <w:t>│ │   IBAN: EG3800400000000000123456                       ││</w:t>
      </w:r>
    </w:p>
    <w:p>
      <w:pPr>
        <w:spacing w:after="0" w:before="0" w:line="240" w:lineRule="auto"/>
        <w:ind w:left="57"/>
        <w:jc w:val="left"/>
        <w:shd w:val="clear" w:fill="F2F2F2"/>
      </w:pPr>
      <w:r>
        <w:rPr>
          <w:rFonts w:ascii="Consolas" w:hAnsi="Consolas" w:cs="Consolas"/>
          <w:b w:val="0"/>
          <w:i w:val="0"/>
          <w:sz w:val="15"/>
        </w:rPr>
        <w:t>│ │   Condition: CUSTOMS_SUBMITTED                         ││</w:t>
      </w:r>
    </w:p>
    <w:p>
      <w:pPr>
        <w:spacing w:after="0" w:before="0" w:line="240" w:lineRule="auto"/>
        <w:ind w:left="57"/>
        <w:jc w:val="left"/>
        <w:shd w:val="clear" w:fill="F2F2F2"/>
      </w:pPr>
      <w:r>
        <w:rPr>
          <w:rFonts w:ascii="Consolas" w:hAnsi="Consolas" w:cs="Consolas"/>
          <w:b w:val="0"/>
          <w:i w:val="0"/>
          <w:sz w:val="15"/>
        </w:rPr>
        <w:t>│ │   Quote: QT-LAB-001 (SGTX-EG-LAB-001)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4: Trucking — EGP 5,000.00                        ││</w:t>
      </w:r>
    </w:p>
    <w:p>
      <w:pPr>
        <w:spacing w:after="0" w:before="0" w:line="240" w:lineRule="auto"/>
        <w:ind w:left="57"/>
        <w:jc w:val="left"/>
        <w:shd w:val="clear" w:fill="F2F2F2"/>
      </w:pPr>
      <w:r>
        <w:rPr>
          <w:rFonts w:ascii="Consolas" w:hAnsi="Consolas" w:cs="Consolas"/>
          <w:b w:val="0"/>
          <w:i w:val="0"/>
          <w:sz w:val="15"/>
        </w:rPr>
        <w:t>│ │   Payee: Fast Trucking Co.                             ││</w:t>
      </w:r>
    </w:p>
    <w:p>
      <w:pPr>
        <w:spacing w:after="0" w:before="0" w:line="240" w:lineRule="auto"/>
        <w:ind w:left="57"/>
        <w:jc w:val="left"/>
        <w:shd w:val="clear" w:fill="F2F2F2"/>
      </w:pPr>
      <w:r>
        <w:rPr>
          <w:rFonts w:ascii="Consolas" w:hAnsi="Consolas" w:cs="Consolas"/>
          <w:b w:val="0"/>
          <w:i w:val="0"/>
          <w:sz w:val="15"/>
        </w:rPr>
        <w:t>│ │   IBAN: EG3800600000000000123456                       ││</w:t>
      </w:r>
    </w:p>
    <w:p>
      <w:pPr>
        <w:spacing w:after="0" w:before="0" w:line="240" w:lineRule="auto"/>
        <w:ind w:left="57"/>
        <w:jc w:val="left"/>
        <w:shd w:val="clear" w:fill="F2F2F2"/>
      </w:pPr>
      <w:r>
        <w:rPr>
          <w:rFonts w:ascii="Consolas" w:hAnsi="Consolas" w:cs="Consolas"/>
          <w:b w:val="0"/>
          <w:i w:val="0"/>
          <w:sz w:val="15"/>
        </w:rPr>
        <w:t>│ │   Condition: CUSTOMS_SUBMITTED                         ││</w:t>
      </w:r>
    </w:p>
    <w:p>
      <w:pPr>
        <w:spacing w:after="0" w:before="0" w:line="240" w:lineRule="auto"/>
        <w:ind w:left="57"/>
        <w:jc w:val="left"/>
        <w:shd w:val="clear" w:fill="F2F2F2"/>
      </w:pPr>
      <w:r>
        <w:rPr>
          <w:rFonts w:ascii="Consolas" w:hAnsi="Consolas" w:cs="Consolas"/>
          <w:b w:val="0"/>
          <w:i w:val="0"/>
          <w:sz w:val="15"/>
        </w:rPr>
        <w:t>│ │   Quote: QT-LSP-001 (SGTX-EG-LSP-001)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5: Broker — EGP 2,000.00                          ││</w:t>
      </w:r>
    </w:p>
    <w:p>
      <w:pPr>
        <w:spacing w:after="0" w:before="0" w:line="240" w:lineRule="auto"/>
        <w:ind w:left="57"/>
        <w:jc w:val="left"/>
        <w:shd w:val="clear" w:fill="F2F2F2"/>
      </w:pPr>
      <w:r>
        <w:rPr>
          <w:rFonts w:ascii="Consolas" w:hAnsi="Consolas" w:cs="Consolas"/>
          <w:b w:val="0"/>
          <w:i w:val="0"/>
          <w:sz w:val="15"/>
        </w:rPr>
        <w:t>│ │   Payee: Nile Customs Services                         ││</w:t>
      </w:r>
    </w:p>
    <w:p>
      <w:pPr>
        <w:spacing w:after="0" w:before="0" w:line="240" w:lineRule="auto"/>
        <w:ind w:left="57"/>
        <w:jc w:val="left"/>
        <w:shd w:val="clear" w:fill="F2F2F2"/>
      </w:pPr>
      <w:r>
        <w:rPr>
          <w:rFonts w:ascii="Consolas" w:hAnsi="Consolas" w:cs="Consolas"/>
          <w:b w:val="0"/>
          <w:i w:val="0"/>
          <w:sz w:val="15"/>
        </w:rPr>
        <w:t>│ │   IBAN: EG3800700000000000123456                       ││</w:t>
      </w:r>
    </w:p>
    <w:p>
      <w:pPr>
        <w:spacing w:after="0" w:before="0" w:line="240" w:lineRule="auto"/>
        <w:ind w:left="57"/>
        <w:jc w:val="left"/>
        <w:shd w:val="clear" w:fill="F2F2F2"/>
      </w:pPr>
      <w:r>
        <w:rPr>
          <w:rFonts w:ascii="Consolas" w:hAnsi="Consolas" w:cs="Consolas"/>
          <w:b w:val="0"/>
          <w:i w:val="0"/>
          <w:sz w:val="15"/>
        </w:rPr>
        <w:t>│ │   Condition: CUSTOMS_SUBMITTED                         ││</w:t>
      </w:r>
    </w:p>
    <w:p>
      <w:pPr>
        <w:spacing w:after="0" w:before="0" w:line="240" w:lineRule="auto"/>
        <w:ind w:left="57"/>
        <w:jc w:val="left"/>
        <w:shd w:val="clear" w:fill="F2F2F2"/>
      </w:pPr>
      <w:r>
        <w:rPr>
          <w:rFonts w:ascii="Consolas" w:hAnsi="Consolas" w:cs="Consolas"/>
          <w:b w:val="0"/>
          <w:i w:val="0"/>
          <w:sz w:val="15"/>
        </w:rPr>
        <w:t>│ │   Quote: QT-CBR-001 (SGTX-EG-CBR-001)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USD Settlement Leg (Buyer's USD Account):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6: Ocean Freight — $8,400.00 USD                   ││</w:t>
      </w:r>
    </w:p>
    <w:p>
      <w:pPr>
        <w:spacing w:after="0" w:before="0" w:line="240" w:lineRule="auto"/>
        <w:ind w:left="57"/>
        <w:jc w:val="left"/>
        <w:shd w:val="clear" w:fill="F2F2F2"/>
      </w:pPr>
      <w:r>
        <w:rPr>
          <w:rFonts w:ascii="Consolas" w:hAnsi="Consolas" w:cs="Consolas"/>
          <w:b w:val="0"/>
          <w:i w:val="0"/>
          <w:sz w:val="15"/>
        </w:rPr>
        <w:t>│ │   Payee: MSC Egypt                                     ││</w:t>
      </w:r>
    </w:p>
    <w:p>
      <w:pPr>
        <w:spacing w:after="0" w:before="0" w:line="240" w:lineRule="auto"/>
        <w:ind w:left="57"/>
        <w:jc w:val="left"/>
        <w:shd w:val="clear" w:fill="F2F2F2"/>
      </w:pPr>
      <w:r>
        <w:rPr>
          <w:rFonts w:ascii="Consolas" w:hAnsi="Consolas" w:cs="Consolas"/>
          <w:b w:val="0"/>
          <w:i w:val="0"/>
          <w:sz w:val="15"/>
        </w:rPr>
        <w:t>│ │   IBAN: DE89370400440532013000                         ││</w:t>
      </w:r>
    </w:p>
    <w:p>
      <w:pPr>
        <w:spacing w:after="0" w:before="0" w:line="240" w:lineRule="auto"/>
        <w:ind w:left="57"/>
        <w:jc w:val="left"/>
        <w:shd w:val="clear" w:fill="F2F2F2"/>
      </w:pPr>
      <w:r>
        <w:rPr>
          <w:rFonts w:ascii="Consolas" w:hAnsi="Consolas" w:cs="Consolas"/>
          <w:b w:val="0"/>
          <w:i w:val="0"/>
          <w:sz w:val="15"/>
        </w:rPr>
        <w:t>│ │   Condition: DEPARTED                                  ││</w:t>
      </w:r>
    </w:p>
    <w:p>
      <w:pPr>
        <w:spacing w:after="0" w:before="0" w:line="240" w:lineRule="auto"/>
        <w:ind w:left="57"/>
        <w:jc w:val="left"/>
        <w:shd w:val="clear" w:fill="F2F2F2"/>
      </w:pPr>
      <w:r>
        <w:rPr>
          <w:rFonts w:ascii="Consolas" w:hAnsi="Consolas" w:cs="Consolas"/>
          <w:b w:val="0"/>
          <w:i w:val="0"/>
          <w:sz w:val="15"/>
        </w:rPr>
        <w:t>│ │   Quote: QT-SHIP-001 (SGTX-EG-SHIP-001)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7: Seller Balance — $10,000.00 USD                 ││</w:t>
      </w:r>
    </w:p>
    <w:p>
      <w:pPr>
        <w:spacing w:after="0" w:before="0" w:line="240" w:lineRule="auto"/>
        <w:ind w:left="57"/>
        <w:jc w:val="left"/>
        <w:shd w:val="clear" w:fill="F2F2F2"/>
      </w:pPr>
      <w:r>
        <w:rPr>
          <w:rFonts w:ascii="Consolas" w:hAnsi="Consolas" w:cs="Consolas"/>
          <w:b w:val="0"/>
          <w:i w:val="0"/>
          <w:sz w:val="15"/>
        </w:rPr>
        <w:t>│ │   Payee: Mekong Fresh                                  ││</w:t>
      </w:r>
    </w:p>
    <w:p>
      <w:pPr>
        <w:spacing w:after="0" w:before="0" w:line="240" w:lineRule="auto"/>
        <w:ind w:left="57"/>
        <w:jc w:val="left"/>
        <w:shd w:val="clear" w:fill="F2F2F2"/>
      </w:pPr>
      <w:r>
        <w:rPr>
          <w:rFonts w:ascii="Consolas" w:hAnsi="Consolas" w:cs="Consolas"/>
          <w:b w:val="0"/>
          <w:i w:val="0"/>
          <w:sz w:val="15"/>
        </w:rPr>
        <w:t>│ │   IBAN: VN12345678901234567890                         ││</w:t>
      </w:r>
    </w:p>
    <w:p>
      <w:pPr>
        <w:spacing w:after="0" w:before="0" w:line="240" w:lineRule="auto"/>
        <w:ind w:left="57"/>
        <w:jc w:val="left"/>
        <w:shd w:val="clear" w:fill="F2F2F2"/>
      </w:pPr>
      <w:r>
        <w:rPr>
          <w:rFonts w:ascii="Consolas" w:hAnsi="Consolas" w:cs="Consolas"/>
          <w:b w:val="0"/>
          <w:i w:val="0"/>
          <w:sz w:val="15"/>
        </w:rPr>
        <w:t>│ │   Condition: DELIVERED                                 ││</w:t>
      </w:r>
    </w:p>
    <w:p>
      <w:pPr>
        <w:spacing w:after="0" w:before="0" w:line="240" w:lineRule="auto"/>
        <w:ind w:left="57"/>
        <w:jc w:val="left"/>
        <w:shd w:val="clear" w:fill="F2F2F2"/>
      </w:pPr>
      <w:r>
        <w:rPr>
          <w:rFonts w:ascii="Consolas" w:hAnsi="Consolas" w:cs="Consolas"/>
          <w:b w:val="0"/>
          <w:i w:val="0"/>
          <w:sz w:val="15"/>
        </w:rPr>
        <w:t>│ │   Quote: QT-SELLER-001 (SGTX-VN-TRD-002139)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 Leg 8: SGTX Platform Fee — $100.00 USD                 ││</w:t>
      </w:r>
    </w:p>
    <w:p>
      <w:pPr>
        <w:spacing w:after="0" w:before="0" w:line="240" w:lineRule="auto"/>
        <w:ind w:left="57"/>
        <w:jc w:val="left"/>
        <w:shd w:val="clear" w:fill="F2F2F2"/>
      </w:pPr>
      <w:r>
        <w:rPr>
          <w:rFonts w:ascii="Consolas" w:hAnsi="Consolas" w:cs="Consolas"/>
          <w:b w:val="0"/>
          <w:i w:val="0"/>
          <w:sz w:val="15"/>
        </w:rPr>
        <w:t>│ │   Payee: SGTX Platform                                 ││</w:t>
      </w:r>
    </w:p>
    <w:p>
      <w:pPr>
        <w:spacing w:after="0" w:before="0" w:line="240" w:lineRule="auto"/>
        <w:ind w:left="57"/>
        <w:jc w:val="left"/>
        <w:shd w:val="clear" w:fill="F2F2F2"/>
      </w:pPr>
      <w:r>
        <w:rPr>
          <w:rFonts w:ascii="Consolas" w:hAnsi="Consolas" w:cs="Consolas"/>
          <w:b w:val="0"/>
          <w:i w:val="0"/>
          <w:sz w:val="15"/>
        </w:rPr>
        <w:t>│ │   IBAN: EG3800500000000000123456                       ││</w:t>
      </w:r>
    </w:p>
    <w:p>
      <w:pPr>
        <w:spacing w:after="0" w:before="0" w:line="240" w:lineRule="auto"/>
        <w:ind w:left="57"/>
        <w:jc w:val="left"/>
        <w:shd w:val="clear" w:fill="F2F2F2"/>
      </w:pPr>
      <w:r>
        <w:rPr>
          <w:rFonts w:ascii="Consolas" w:hAnsi="Consolas" w:cs="Consolas"/>
          <w:b w:val="0"/>
          <w:i w:val="0"/>
          <w:sz w:val="15"/>
        </w:rPr>
        <w:t>│ │   Condition: LOCKED                                    ││</w:t>
      </w:r>
    </w:p>
    <w:p>
      <w:pPr>
        <w:spacing w:after="0" w:before="0" w:line="240" w:lineRule="auto"/>
        <w:ind w:left="57"/>
        <w:jc w:val="left"/>
        <w:shd w:val="clear" w:fill="F2F2F2"/>
      </w:pPr>
      <w:r>
        <w:rPr>
          <w:rFonts w:ascii="Consolas" w:hAnsi="Consolas" w:cs="Consolas"/>
          <w:b w:val="0"/>
          <w:i w:val="0"/>
          <w:sz w:val="15"/>
        </w:rPr>
        <w:t>│ │   Quote: QT-SGTX-001 (SGTX-PLATFORM)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9.18 Contract Consistency Engine</w:t>
      </w:r>
    </w:p>
    <w:p>
      <w:pPr>
        <w:spacing w:after="80" w:line="293" w:lineRule="auto"/>
        <w:jc w:val="left"/>
      </w:pPr>
      <w:r>
        <w:rPr>
          <w:rFonts w:ascii="Times New Roman" w:hAnsi="Times New Roman" w:cs="Times New Roman"/>
          <w:b w:val="0"/>
          <w:i w:val="0"/>
          <w:sz w:val="22"/>
        </w:rPr>
        <w:t>The contract is compared field-by-field against the Final Commercial Term Sheet:</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Negotiated</w:t>
            </w:r>
          </w:p>
        </w:tc>
        <w:tc>
          <w:tcPr>
            <w:tcW w:type="dxa" w:w="2409"/>
            <w:shd w:val="clear" w:fill="D9E2F3"/>
          </w:tcPr>
          <w:p>
            <w:pPr>
              <w:spacing w:after="20" w:before="20" w:line="240" w:lineRule="auto"/>
            </w:pPr>
            <w:r/>
            <w:r>
              <w:rPr>
                <w:rFonts w:ascii="Arial" w:hAnsi="Arial" w:cs="Arial"/>
                <w:b/>
                <w:i w:val="0"/>
                <w:sz w:val="18"/>
              </w:rPr>
              <w:t>Contract</w:t>
            </w:r>
          </w:p>
        </w:tc>
        <w:tc>
          <w:tcPr>
            <w:tcW w:type="dxa" w:w="2409"/>
            <w:shd w:val="clear" w:fill="D9E2F3"/>
          </w:tcPr>
          <w:p>
            <w:pPr>
              <w:spacing w:after="20" w:before="20" w:line="240" w:lineRule="auto"/>
            </w:pPr>
            <w:r/>
            <w:r>
              <w:rPr>
                <w:rFonts w:ascii="Arial" w:hAnsi="Arial" w:cs="Arial"/>
                <w:b/>
                <w:i w:val="0"/>
                <w:sz w:val="18"/>
              </w:rPr>
              <w:t>Result</w:t>
            </w:r>
          </w:p>
        </w:tc>
      </w:tr>
      <w:tr>
        <w:tc>
          <w:tcPr>
            <w:tcW w:type="dxa" w:w="2409"/>
          </w:tcPr>
          <w:p>
            <w:pPr>
              <w:spacing w:after="20" w:before="20" w:line="240" w:lineRule="auto"/>
            </w:pPr>
            <w:r/>
            <w:r>
              <w:rPr>
                <w:rFonts w:ascii="Arial" w:hAnsi="Arial" w:cs="Arial"/>
                <w:b w:val="0"/>
                <w:i w:val="0"/>
                <w:sz w:val="17"/>
              </w:rPr>
              <w:t>Price</w:t>
            </w:r>
          </w:p>
        </w:tc>
        <w:tc>
          <w:tcPr>
            <w:tcW w:type="dxa" w:w="2409"/>
          </w:tcPr>
          <w:p>
            <w:pPr>
              <w:spacing w:after="20" w:before="20" w:line="240" w:lineRule="auto"/>
            </w:pPr>
            <w:r/>
            <w:r>
              <w:rPr>
                <w:rFonts w:ascii="Arial" w:hAnsi="Arial" w:cs="Arial"/>
                <w:b w:val="0"/>
                <w:i w:val="0"/>
                <w:sz w:val="17"/>
              </w:rPr>
              <w:t>$30,000</w:t>
            </w:r>
          </w:p>
        </w:tc>
        <w:tc>
          <w:tcPr>
            <w:tcW w:type="dxa" w:w="2409"/>
          </w:tcPr>
          <w:p>
            <w:pPr>
              <w:spacing w:after="20" w:before="20" w:line="240" w:lineRule="auto"/>
            </w:pPr>
            <w:r/>
            <w:r>
              <w:rPr>
                <w:rFonts w:ascii="Arial" w:hAnsi="Arial" w:cs="Arial"/>
                <w:b w:val="0"/>
                <w:i w:val="0"/>
                <w:sz w:val="17"/>
              </w:rPr>
              <w:t>$30,500</w:t>
            </w:r>
          </w:p>
        </w:tc>
        <w:tc>
          <w:tcPr>
            <w:tcW w:type="dxa" w:w="2409"/>
          </w:tcPr>
          <w:p>
            <w:pPr>
              <w:spacing w:after="20" w:before="20" w:line="240" w:lineRule="auto"/>
            </w:pPr>
            <w:r/>
            <w:r>
              <w:rPr>
                <w:rFonts w:ascii="Arial" w:hAnsi="Arial" w:cs="Arial"/>
                <w:b w:val="0"/>
                <w:i w:val="0"/>
                <w:sz w:val="17"/>
              </w:rPr>
              <w:t>Contradiction</w:t>
            </w:r>
          </w:p>
        </w:tc>
      </w:tr>
      <w:tr>
        <w:tc>
          <w:tcPr>
            <w:tcW w:type="dxa" w:w="2409"/>
          </w:tcPr>
          <w:p>
            <w:pPr>
              <w:spacing w:after="20" w:before="20" w:line="240" w:lineRule="auto"/>
            </w:pPr>
            <w:r/>
            <w:r>
              <w:rPr>
                <w:rFonts w:ascii="Arial" w:hAnsi="Arial" w:cs="Arial"/>
                <w:b w:val="0"/>
                <w:i w:val="0"/>
                <w:sz w:val="17"/>
              </w:rPr>
              <w:t>Port</w:t>
            </w:r>
          </w:p>
        </w:tc>
        <w:tc>
          <w:tcPr>
            <w:tcW w:type="dxa" w:w="2409"/>
          </w:tcPr>
          <w:p>
            <w:pPr>
              <w:spacing w:after="20" w:before="20" w:line="240" w:lineRule="auto"/>
            </w:pPr>
            <w:r/>
            <w:r>
              <w:rPr>
                <w:rFonts w:ascii="Arial" w:hAnsi="Arial" w:cs="Arial"/>
                <w:b w:val="0"/>
                <w:i w:val="0"/>
                <w:sz w:val="17"/>
              </w:rPr>
              <w:t>Damietta</w:t>
            </w:r>
          </w:p>
        </w:tc>
        <w:tc>
          <w:tcPr>
            <w:tcW w:type="dxa" w:w="2409"/>
          </w:tcPr>
          <w:p>
            <w:pPr>
              <w:spacing w:after="20" w:before="20" w:line="240" w:lineRule="auto"/>
            </w:pPr>
            <w:r/>
            <w:r>
              <w:rPr>
                <w:rFonts w:ascii="Arial" w:hAnsi="Arial" w:cs="Arial"/>
                <w:b w:val="0"/>
                <w:i w:val="0"/>
                <w:sz w:val="17"/>
              </w:rPr>
              <w:t>Alexandria</w:t>
            </w:r>
          </w:p>
        </w:tc>
        <w:tc>
          <w:tcPr>
            <w:tcW w:type="dxa" w:w="2409"/>
          </w:tcPr>
          <w:p>
            <w:pPr>
              <w:spacing w:after="20" w:before="20" w:line="240" w:lineRule="auto"/>
            </w:pPr>
            <w:r/>
            <w:r>
              <w:rPr>
                <w:rFonts w:ascii="Arial" w:hAnsi="Arial" w:cs="Arial"/>
                <w:b w:val="0"/>
                <w:i w:val="0"/>
                <w:sz w:val="17"/>
              </w:rPr>
              <w:t>Contradiction</w:t>
            </w:r>
          </w:p>
        </w:tc>
      </w:tr>
      <w:tr>
        <w:tc>
          <w:tcPr>
            <w:tcW w:type="dxa" w:w="2409"/>
          </w:tcPr>
          <w:p>
            <w:pPr>
              <w:spacing w:after="20" w:before="20" w:line="240" w:lineRule="auto"/>
            </w:pPr>
            <w:r/>
            <w:r>
              <w:rPr>
                <w:rFonts w:ascii="Arial" w:hAnsi="Arial" w:cs="Arial"/>
                <w:b w:val="0"/>
                <w:i w:val="0"/>
                <w:sz w:val="17"/>
              </w:rPr>
              <w:t>Payment</w:t>
            </w:r>
          </w:p>
        </w:tc>
        <w:tc>
          <w:tcPr>
            <w:tcW w:type="dxa" w:w="2409"/>
          </w:tcPr>
          <w:p>
            <w:pPr>
              <w:spacing w:after="20" w:before="20" w:line="240" w:lineRule="auto"/>
            </w:pPr>
            <w:r/>
            <w:r>
              <w:rPr>
                <w:rFonts w:ascii="Arial" w:hAnsi="Arial" w:cs="Arial"/>
                <w:b w:val="0"/>
                <w:i w:val="0"/>
                <w:sz w:val="17"/>
              </w:rPr>
              <w:t>Documentary Collection</w:t>
            </w:r>
          </w:p>
        </w:tc>
        <w:tc>
          <w:tcPr>
            <w:tcW w:type="dxa" w:w="2409"/>
          </w:tcPr>
          <w:p>
            <w:pPr>
              <w:spacing w:after="20" w:before="20" w:line="240" w:lineRule="auto"/>
            </w:pPr>
            <w:r/>
            <w:r>
              <w:rPr>
                <w:rFonts w:ascii="Arial" w:hAnsi="Arial" w:cs="Arial"/>
                <w:b w:val="0"/>
                <w:i w:val="0"/>
                <w:sz w:val="17"/>
              </w:rPr>
              <w:t>Advance</w:t>
            </w:r>
          </w:p>
        </w:tc>
        <w:tc>
          <w:tcPr>
            <w:tcW w:type="dxa" w:w="2409"/>
          </w:tcPr>
          <w:p>
            <w:pPr>
              <w:spacing w:after="20" w:before="20" w:line="240" w:lineRule="auto"/>
            </w:pPr>
            <w:r/>
            <w:r>
              <w:rPr>
                <w:rFonts w:ascii="Arial" w:hAnsi="Arial" w:cs="Arial"/>
                <w:b w:val="0"/>
                <w:i w:val="0"/>
                <w:sz w:val="17"/>
              </w:rPr>
              <w:t>Contradiction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the contract cannot silently diverge from the agreed commercial record.</w:t>
      </w:r>
    </w:p>
    <w:p>
      <w:pPr>
        <w:keepNext/>
        <w:spacing w:before="240" w:after="100"/>
        <w:outlineLvl w:val="1"/>
      </w:pPr>
      <w:r>
        <w:rPr>
          <w:rFonts w:ascii="Arial" w:hAnsi="Arial" w:cs="Arial"/>
          <w:b/>
          <w:i w:val="0"/>
          <w:color w:val="2E528F"/>
          <w:sz w:val="26"/>
        </w:rPr>
        <w:t>9.19 SGTX Witness / Platform Clause</w:t>
      </w:r>
    </w:p>
    <w:p>
      <w:pPr>
        <w:spacing w:after="80" w:line="293" w:lineRule="auto"/>
        <w:jc w:val="left"/>
      </w:pPr>
      <w:r>
        <w:rPr>
          <w:rFonts w:ascii="Times New Roman" w:hAnsi="Times New Roman" w:cs="Times New Roman"/>
          <w:b w:val="0"/>
          <w:i w:val="0"/>
          <w:sz w:val="22"/>
        </w:rPr>
        <w:t>Required SGTX language must be present in every executed contract. If a user's own contract lacks required provisions, an addendum is created; the user inspects Original Contract + SGTX Addendum = Combined Contractual Package. Rule: never alter the original silently.</w:t>
      </w:r>
    </w:p>
    <w:p>
      <w:pPr>
        <w:keepNext/>
        <w:spacing w:before="180" w:after="80"/>
        <w:outlineLvl w:val="2"/>
      </w:pPr>
      <w:r>
        <w:rPr>
          <w:rFonts w:ascii="Arial" w:hAnsi="Arial" w:cs="Arial"/>
          <w:b/>
          <w:i w:val="0"/>
          <w:color w:val="333333"/>
          <w:sz w:val="23"/>
        </w:rPr>
        <w:t>9.19.1 Witness Attestation Boundaries</w:t>
      </w:r>
    </w:p>
    <w:p>
      <w:pPr>
        <w:spacing w:after="80" w:line="293" w:lineRule="auto"/>
        <w:jc w:val="left"/>
      </w:pPr>
      <w:r>
        <w:rPr>
          <w:rFonts w:ascii="Times New Roman" w:hAnsi="Times New Roman" w:cs="Times New Roman"/>
          <w:b w:val="0"/>
          <w:i w:val="0"/>
          <w:sz w:val="22"/>
        </w:rPr>
        <w:t>The SGTX witness function is an infrastructure attestation and never transforms the platform into a contractual trade party. A witness attestation may verify: document version, document hash, signature evidence, identity context, timestamp, and governance state. A witness attestation must never imply any of the following: that SGTX is the buyer; that SGTX is the seller; that SGTX guarantees payment; that SGTX guarantees delivery; that SGTX guarantees financing; or that SGTX guarantees legal enforceability. The witness signature is an infrastructure attestation unless applicable law expressly gives it a separate legal meaning, and the platform never drafts, suggests, or accepts a contract clause that assigns trade-party obligations to the platform.</w:t>
      </w:r>
    </w:p>
    <w:p>
      <w:pPr>
        <w:spacing w:after="80" w:line="293" w:lineRule="auto"/>
        <w:jc w:val="left"/>
      </w:pPr>
      <w:r>
        <w:rPr>
          <w:rFonts w:ascii="Times New Roman" w:hAnsi="Times New Roman" w:cs="Times New Roman"/>
          <w:b w:val="0"/>
          <w:i w:val="0"/>
          <w:sz w:val="22"/>
        </w:rPr>
        <w:t>Every witness record stores the exact facts attested (version, hash, signature references, identity context, timestamp, governance state) and nothing more, so that the attestation is auditable without over-claiming. The witness boundary is enforced mechanically: the Governor rejects any document flow in which a platform witness signature would be presented as a trade-party signature, and invariant I-14 (Section 20.105.1) blocks any representation of witness activity as counterparty status.</w:t>
      </w:r>
    </w:p>
    <w:p>
      <w:pPr>
        <w:keepNext/>
        <w:spacing w:before="240" w:after="100"/>
        <w:outlineLvl w:val="1"/>
      </w:pPr>
      <w:r>
        <w:rPr>
          <w:rFonts w:ascii="Arial" w:hAnsi="Arial" w:cs="Arial"/>
          <w:b/>
          <w:i w:val="0"/>
          <w:color w:val="2E528F"/>
          <w:sz w:val="26"/>
        </w:rPr>
        <w:t>9.20 Logistics Addenda</w:t>
      </w:r>
    </w:p>
    <w:p>
      <w:pPr>
        <w:spacing w:after="80" w:line="293" w:lineRule="auto"/>
        <w:jc w:val="left"/>
      </w:pPr>
      <w:r>
        <w:rPr>
          <w:rFonts w:ascii="Times New Roman" w:hAnsi="Times New Roman" w:cs="Times New Roman"/>
          <w:b w:val="0"/>
          <w:i w:val="0"/>
          <w:sz w:val="22"/>
        </w:rPr>
        <w:t>For each external provider (LSP, shipping line, customs broker, inspection/QC): provider, role, service, price, obligations, deadline, document obligations, signature, and status.</w:t>
      </w:r>
    </w:p>
    <w:p>
      <w:pPr>
        <w:spacing w:after="80" w:line="293" w:lineRule="auto"/>
        <w:jc w:val="left"/>
      </w:pPr>
      <w:r>
        <w:rPr>
          <w:rFonts w:ascii="Times New Roman" w:hAnsi="Times New Roman" w:cs="Times New Roman"/>
          <w:b w:val="0"/>
          <w:i w:val="0"/>
          <w:sz w:val="22"/>
        </w:rPr>
        <w:t>Addendum content: USTN (placeholder until fee payment); the obligation not to release container(s) without SGTX confirmation; the requirement to include USTN and GTIDs on all documents; a penalty clause for unauthorised release (for example, $5,000 per container); service-specific terms (trucking, ocean freight, etc.); governing law.</w:t>
      </w:r>
    </w:p>
    <w:p>
      <w:pPr>
        <w:spacing w:after="80" w:line="293" w:lineRule="auto"/>
        <w:jc w:val="left"/>
      </w:pPr>
      <w:r>
        <w:rPr>
          <w:rFonts w:ascii="Times New Roman" w:hAnsi="Times New Roman" w:cs="Times New Roman"/>
          <w:b w:val="0"/>
          <w:i w:val="0"/>
          <w:sz w:val="22"/>
        </w:rPr>
        <w:t>Signing workflow: each provider receives a Smart Inbox item ("Sign logistics addendum for trade USTN…"); the provider opens and reviews the addendum (PDF); the provider clicks "Sign with Passkey" (ZITADEL) — one click; the Governor records the signature in `logistics_addenda`.</w:t>
      </w:r>
    </w:p>
    <w:p>
      <w:pPr>
        <w:spacing w:after="80" w:line="293" w:lineRule="auto"/>
        <w:jc w:val="left"/>
      </w:pPr>
      <w:r>
        <w:rPr>
          <w:rFonts w:ascii="Times New Roman" w:hAnsi="Times New Roman" w:cs="Times New Roman"/>
          <w:b w:val="0"/>
          <w:i w:val="0"/>
          <w:sz w:val="22"/>
        </w:rPr>
        <w:t>Signature status tracking example: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Provider</w:t>
            </w:r>
          </w:p>
        </w:tc>
        <w:tc>
          <w:tcPr>
            <w:tcW w:type="dxa" w:w="2409"/>
            <w:shd w:val="clear" w:fill="D9E2F3"/>
          </w:tcPr>
          <w:p>
            <w:pPr>
              <w:spacing w:after="20" w:before="20" w:line="240" w:lineRule="auto"/>
            </w:pPr>
            <w:r/>
            <w:r>
              <w:rPr>
                <w:rFonts w:ascii="Arial" w:hAnsi="Arial" w:cs="Arial"/>
                <w:b/>
                <w:i w:val="0"/>
                <w:sz w:val="18"/>
              </w:rPr>
              <w:t>Service</w:t>
            </w:r>
          </w:p>
        </w:tc>
        <w:tc>
          <w:tcPr>
            <w:tcW w:type="dxa" w:w="2409"/>
            <w:shd w:val="clear" w:fill="D9E2F3"/>
          </w:tcPr>
          <w:p>
            <w:pPr>
              <w:spacing w:after="20" w:before="20" w:line="240" w:lineRule="auto"/>
            </w:pPr>
            <w:r/>
            <w:r>
              <w:rPr>
                <w:rFonts w:ascii="Arial" w:hAnsi="Arial" w:cs="Arial"/>
                <w:b/>
                <w:i w:val="0"/>
                <w:sz w:val="18"/>
              </w:rPr>
              <w:t>Status</w:t>
            </w:r>
          </w:p>
        </w:tc>
        <w:tc>
          <w:tcPr>
            <w:tcW w:type="dxa" w:w="2409"/>
            <w:shd w:val="clear" w:fill="D9E2F3"/>
          </w:tcPr>
          <w:p>
            <w:pPr>
              <w:spacing w:after="20" w:before="20" w:line="240" w:lineRule="auto"/>
            </w:pPr>
            <w:r/>
            <w:r>
              <w:rPr>
                <w:rFonts w:ascii="Arial" w:hAnsi="Arial" w:cs="Arial"/>
                <w:b/>
                <w:i w:val="0"/>
                <w:sz w:val="18"/>
              </w:rPr>
              <w:t>Signed At</w:t>
            </w:r>
          </w:p>
        </w:tc>
      </w:tr>
      <w:tr>
        <w:tc>
          <w:tcPr>
            <w:tcW w:type="dxa" w:w="2409"/>
          </w:tcPr>
          <w:p>
            <w:pPr>
              <w:spacing w:after="20" w:before="20" w:line="240" w:lineRule="auto"/>
            </w:pPr>
            <w:r/>
            <w:r>
              <w:rPr>
                <w:rFonts w:ascii="Arial" w:hAnsi="Arial" w:cs="Arial"/>
                <w:b w:val="0"/>
                <w:i w:val="0"/>
                <w:sz w:val="17"/>
              </w:rPr>
              <w:t>Fast Trucking Co.</w:t>
            </w:r>
          </w:p>
        </w:tc>
        <w:tc>
          <w:tcPr>
            <w:tcW w:type="dxa" w:w="2409"/>
          </w:tcPr>
          <w:p>
            <w:pPr>
              <w:spacing w:after="20" w:before="20" w:line="240" w:lineRule="auto"/>
            </w:pPr>
            <w:r/>
            <w:r>
              <w:rPr>
                <w:rFonts w:ascii="Arial" w:hAnsi="Arial" w:cs="Arial"/>
                <w:b w:val="0"/>
                <w:i w:val="0"/>
                <w:sz w:val="17"/>
              </w:rPr>
              <w:t>Trucking</w:t>
            </w:r>
          </w:p>
        </w:tc>
        <w:tc>
          <w:tcPr>
            <w:tcW w:type="dxa" w:w="2409"/>
          </w:tcPr>
          <w:p>
            <w:pPr>
              <w:spacing w:after="20" w:before="20" w:line="240" w:lineRule="auto"/>
            </w:pPr>
            <w:r/>
            <w:r>
              <w:rPr>
                <w:rFonts w:ascii="Arial" w:hAnsi="Arial" w:cs="Arial"/>
                <w:b w:val="0"/>
                <w:i w:val="0"/>
                <w:sz w:val="17"/>
              </w:rPr>
              <w:t>Signed</w:t>
            </w:r>
          </w:p>
        </w:tc>
        <w:tc>
          <w:tcPr>
            <w:tcW w:type="dxa" w:w="2409"/>
          </w:tcPr>
          <w:p>
            <w:pPr>
              <w:spacing w:after="20" w:before="20" w:line="240" w:lineRule="auto"/>
            </w:pPr>
            <w:r/>
            <w:r>
              <w:rPr>
                <w:rFonts w:ascii="Arial" w:hAnsi="Arial" w:cs="Arial"/>
                <w:b w:val="0"/>
                <w:i w:val="0"/>
                <w:sz w:val="17"/>
              </w:rPr>
              <w:t>2026-06-20 14:35:00</w:t>
            </w:r>
          </w:p>
        </w:tc>
      </w:tr>
      <w:tr>
        <w:tc>
          <w:tcPr>
            <w:tcW w:type="dxa" w:w="2409"/>
          </w:tcPr>
          <w:p>
            <w:pPr>
              <w:spacing w:after="20" w:before="20" w:line="240" w:lineRule="auto"/>
            </w:pPr>
            <w:r/>
            <w:r>
              <w:rPr>
                <w:rFonts w:ascii="Arial" w:hAnsi="Arial" w:cs="Arial"/>
                <w:b w:val="0"/>
                <w:i w:val="0"/>
                <w:sz w:val="17"/>
              </w:rPr>
              <w:t>MSC Egypt</w:t>
            </w:r>
          </w:p>
        </w:tc>
        <w:tc>
          <w:tcPr>
            <w:tcW w:type="dxa" w:w="2409"/>
          </w:tcPr>
          <w:p>
            <w:pPr>
              <w:spacing w:after="20" w:before="20" w:line="240" w:lineRule="auto"/>
            </w:pPr>
            <w:r/>
            <w:r>
              <w:rPr>
                <w:rFonts w:ascii="Arial" w:hAnsi="Arial" w:cs="Arial"/>
                <w:b w:val="0"/>
                <w:i w:val="0"/>
                <w:sz w:val="17"/>
              </w:rPr>
              <w:t>Ocean Freight</w:t>
            </w:r>
          </w:p>
        </w:tc>
        <w:tc>
          <w:tcPr>
            <w:tcW w:type="dxa" w:w="2409"/>
          </w:tcPr>
          <w:p>
            <w:pPr>
              <w:spacing w:after="20" w:before="20" w:line="240" w:lineRule="auto"/>
            </w:pPr>
            <w:r/>
            <w:r>
              <w:rPr>
                <w:rFonts w:ascii="Arial" w:hAnsi="Arial" w:cs="Arial"/>
                <w:b w:val="0"/>
                <w:i w:val="0"/>
                <w:sz w:val="17"/>
              </w:rPr>
              <w:t>Pending</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Nile Customs</w:t>
            </w:r>
          </w:p>
        </w:tc>
        <w:tc>
          <w:tcPr>
            <w:tcW w:type="dxa" w:w="2409"/>
          </w:tcPr>
          <w:p>
            <w:pPr>
              <w:spacing w:after="20" w:before="20" w:line="240" w:lineRule="auto"/>
            </w:pPr>
            <w:r/>
            <w:r>
              <w:rPr>
                <w:rFonts w:ascii="Arial" w:hAnsi="Arial" w:cs="Arial"/>
                <w:b w:val="0"/>
                <w:i w:val="0"/>
                <w:sz w:val="17"/>
              </w:rPr>
              <w:t>Brokerage</w:t>
            </w:r>
          </w:p>
        </w:tc>
        <w:tc>
          <w:tcPr>
            <w:tcW w:type="dxa" w:w="2409"/>
          </w:tcPr>
          <w:p>
            <w:pPr>
              <w:spacing w:after="20" w:before="20" w:line="240" w:lineRule="auto"/>
            </w:pPr>
            <w:r/>
            <w:r>
              <w:rPr>
                <w:rFonts w:ascii="Arial" w:hAnsi="Arial" w:cs="Arial"/>
                <w:b w:val="0"/>
                <w:i w:val="0"/>
                <w:sz w:val="17"/>
              </w:rPr>
              <w:t>Signed</w:t>
            </w:r>
          </w:p>
        </w:tc>
        <w:tc>
          <w:tcPr>
            <w:tcW w:type="dxa" w:w="2409"/>
          </w:tcPr>
          <w:p>
            <w:pPr>
              <w:spacing w:after="20" w:before="20" w:line="240" w:lineRule="auto"/>
            </w:pPr>
            <w:r/>
            <w:r>
              <w:rPr>
                <w:rFonts w:ascii="Arial" w:hAnsi="Arial" w:cs="Arial"/>
                <w:b w:val="0"/>
                <w:i w:val="0"/>
                <w:sz w:val="17"/>
              </w:rPr>
              <w:t>2026-06-20 14:32:00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Contract cannot lock until all logistics providers have signed. Actions: Remind Providers; View Signed Addenda.</w:t>
      </w:r>
    </w:p>
    <w:p>
      <w:pPr>
        <w:keepNext/>
        <w:spacing w:before="240" w:after="100"/>
        <w:outlineLvl w:val="1"/>
      </w:pPr>
      <w:r>
        <w:rPr>
          <w:rFonts w:ascii="Arial" w:hAnsi="Arial" w:cs="Arial"/>
          <w:b/>
          <w:i w:val="0"/>
          <w:color w:val="2E528F"/>
          <w:sz w:val="26"/>
        </w:rPr>
        <w:t>9.21 Addendum Dependency Engine</w:t>
      </w:r>
    </w:p>
    <w:p>
      <w:pPr>
        <w:spacing w:after="80" w:line="293" w:lineRule="auto"/>
        <w:jc w:val="left"/>
      </w:pPr>
      <w:r>
        <w:rPr>
          <w:rFonts w:ascii="Times New Roman" w:hAnsi="Times New Roman" w:cs="Times New Roman"/>
          <w:b w:val="0"/>
          <w:i w:val="0"/>
          <w:sz w:val="22"/>
        </w:rPr>
        <w:t>Automatically determines: which addenda are mandatory; which are conditional; which parties must sign; which signatures are required before lock. Rule: a required contractual dependency must never disappear because of a UI state.</w:t>
      </w:r>
    </w:p>
    <w:p>
      <w:pPr>
        <w:keepNext/>
        <w:spacing w:before="240" w:after="100"/>
        <w:outlineLvl w:val="1"/>
      </w:pPr>
      <w:r>
        <w:rPr>
          <w:rFonts w:ascii="Arial" w:hAnsi="Arial" w:cs="Arial"/>
          <w:b/>
          <w:i w:val="0"/>
          <w:color w:val="2E528F"/>
          <w:sz w:val="26"/>
        </w:rPr>
        <w:t>9.22 Final Contract Package</w:t>
      </w:r>
    </w:p>
    <w:p>
      <w:pPr>
        <w:spacing w:after="80" w:line="293" w:lineRule="auto"/>
        <w:jc w:val="left"/>
      </w:pPr>
      <w:r>
        <w:rPr>
          <w:rFonts w:ascii="Times New Roman" w:hAnsi="Times New Roman" w:cs="Times New Roman"/>
          <w:b w:val="0"/>
          <w:i w:val="0"/>
          <w:sz w:val="22"/>
        </w:rPr>
        <w:t>Before signing: principal contract; SGTX addendum; logistics addenda; accepted schedules; agreed commercial terms; agreed packing plan where contractually incorporated; applicable supporting artifacts — each with version identifiers and hashes.</w:t>
      </w:r>
    </w:p>
    <w:p>
      <w:pPr>
        <w:keepNext/>
        <w:spacing w:before="240" w:after="100"/>
        <w:outlineLvl w:val="1"/>
      </w:pPr>
      <w:r>
        <w:rPr>
          <w:rFonts w:ascii="Arial" w:hAnsi="Arial" w:cs="Arial"/>
          <w:b/>
          <w:i w:val="0"/>
          <w:color w:val="2E528F"/>
          <w:sz w:val="26"/>
        </w:rPr>
        <w:t>9.23 Pre-Signing Commitment Review</w:t>
      </w:r>
    </w:p>
    <w:p>
      <w:pPr>
        <w:spacing w:after="80" w:line="293" w:lineRule="auto"/>
        <w:jc w:val="left"/>
      </w:pPr>
      <w:r>
        <w:rPr>
          <w:rFonts w:ascii="Times New Roman" w:hAnsi="Times New Roman" w:cs="Times New Roman"/>
          <w:b w:val="0"/>
          <w:i w:val="0"/>
          <w:sz w:val="22"/>
        </w:rPr>
        <w:t>Before each party signs, the interface clearly shows "You are about to commit to these terms" with: price, quantity, Incoterm, delivery, payment, documents, logistics, insurance, special obligations, material deviations, unresolved issues, and effective consequences.</w:t>
      </w:r>
    </w:p>
    <w:p>
      <w:pPr>
        <w:keepNext/>
        <w:spacing w:before="240" w:after="100"/>
        <w:outlineLvl w:val="1"/>
      </w:pPr>
      <w:r>
        <w:rPr>
          <w:rFonts w:ascii="Arial" w:hAnsi="Arial" w:cs="Arial"/>
          <w:b/>
          <w:i w:val="0"/>
          <w:color w:val="2E528F"/>
          <w:sz w:val="26"/>
        </w:rPr>
        <w:t>9.24 Signature Authority</w:t>
      </w:r>
    </w:p>
    <w:p>
      <w:pPr>
        <w:spacing w:after="80" w:line="293" w:lineRule="auto"/>
        <w:jc w:val="left"/>
      </w:pPr>
      <w:r>
        <w:rPr>
          <w:rFonts w:ascii="Times New Roman" w:hAnsi="Times New Roman" w:cs="Times New Roman"/>
          <w:b w:val="0"/>
          <w:i w:val="0"/>
          <w:sz w:val="22"/>
        </w:rPr>
        <w:t>Before accepting a signature, verify: identity, tenant, employee role, signing authority, applicable delegation, transaction scope, required approvals. Rule: never equate "logged-in user" with "authorised signatory."</w:t>
      </w:r>
    </w:p>
    <w:p>
      <w:pPr>
        <w:keepNext/>
        <w:spacing w:before="180" w:after="80"/>
        <w:outlineLvl w:val="2"/>
      </w:pPr>
      <w:r>
        <w:rPr>
          <w:rFonts w:ascii="Arial" w:hAnsi="Arial" w:cs="Arial"/>
          <w:b/>
          <w:i w:val="0"/>
          <w:color w:val="333333"/>
          <w:sz w:val="23"/>
        </w:rPr>
        <w:t>9.24.1 The Three Signature Authority Classes</w:t>
      </w:r>
    </w:p>
    <w:p>
      <w:pPr>
        <w:spacing w:after="80" w:line="293" w:lineRule="auto"/>
        <w:jc w:val="left"/>
      </w:pPr>
      <w:r>
        <w:rPr>
          <w:rFonts w:ascii="Times New Roman" w:hAnsi="Times New Roman" w:cs="Times New Roman"/>
          <w:b w:val="0"/>
          <w:i w:val="0"/>
          <w:sz w:val="22"/>
        </w:rPr>
        <w:t>The platform separates three completely distinct signature authority classes. Every signature event in the system belongs to exactly one class, and the class is recorded in the authorization record (Section 4.9.5). No class may substitute for another: a platform governance signature cannot execute a trade contract, a tenant approval cannot execute a constitutional amendment, and a trade-party signature cannot authorize platform governance.</w:t>
      </w:r>
    </w:p>
    <w:p>
      <w:pPr>
        <w:spacing w:after="80" w:line="293" w:lineRule="auto"/>
        <w:jc w:val="left"/>
      </w:pPr>
      <w:r>
        <w:rPr>
          <w:rFonts w:ascii="Times New Roman" w:hAnsi="Times New Roman" w:cs="Times New Roman"/>
          <w:b w:val="0"/>
          <w:i w:val="0"/>
          <w:sz w:val="22"/>
        </w:rPr>
        <w:t>Class A — Platform Governance Multisig. Used for constitutional amendments, governance policy and module signing, platform governance overrides, and designated platform-level irreversible governance actions. Standard platform governance actions use 2-of-3 multisig; constitutional amendments use 3-of-5 multisig (Section 3.5.9). All actions in this class are executed by the Platform Governance Authority and are recorded as PLATFORM_GOVERNANCE authority-domain events.</w:t>
      </w:r>
    </w:p>
    <w:p>
      <w:pPr>
        <w:spacing w:after="80" w:line="293" w:lineRule="auto"/>
        <w:jc w:val="left"/>
      </w:pPr>
      <w:r>
        <w:rPr>
          <w:rFonts w:ascii="Times New Roman" w:hAnsi="Times New Roman" w:cs="Times New Roman"/>
          <w:b w:val="0"/>
          <w:i w:val="0"/>
          <w:sz w:val="22"/>
        </w:rPr>
        <w:t>Class B — Tenant Internal Approval. Used for maker/checker controls, treasury approvals, internal company authorization, organizational expenditure controls, and internal delegated approvals. These are tenant-owned controls configured through the tenant approval-policy architecture (Section 4.9) and are recorded as TENANT_INTERNAL authority-domain events. They authorize action within the tenant organization; they never represent the tenant's external legal signature on a trade document.</w:t>
      </w:r>
    </w:p>
    <w:p>
      <w:pPr>
        <w:spacing w:after="80" w:line="293" w:lineRule="auto"/>
        <w:jc w:val="left"/>
      </w:pPr>
      <w:r>
        <w:rPr>
          <w:rFonts w:ascii="Times New Roman" w:hAnsi="Times New Roman" w:cs="Times New Roman"/>
          <w:b w:val="0"/>
          <w:i w:val="0"/>
          <w:sz w:val="22"/>
        </w:rPr>
        <w:t>Class C — Trade-Party Legal Signature. Used for buyer/seller contracts, financing agreements, logistics agreements, commercial addenda, and every other legally binding document. Signature authority belongs to the relevant contracting party, verified under Section 9.24 (identity, tenant, employee role, signing authority, delegation, transaction scope, required approvals). Where a Qualified Electronic Signature is legally required, the QES path of Section 3.5.10 is mandatory and the fallback policy of Section 3.5.10.6 governs provider unavailability. These signatures are recorded as TRADE_PARTY_LEGAL authority-domain events.</w:t>
      </w:r>
    </w:p>
    <w:p>
      <w:pPr>
        <w:keepNext/>
        <w:spacing w:before="240" w:after="100"/>
        <w:outlineLvl w:val="1"/>
      </w:pPr>
      <w:r>
        <w:rPr>
          <w:rFonts w:ascii="Arial" w:hAnsi="Arial" w:cs="Arial"/>
          <w:b/>
          <w:i w:val="0"/>
          <w:color w:val="2E528F"/>
          <w:sz w:val="26"/>
        </w:rPr>
        <w:t>9.25 Digital Signature</w:t>
      </w:r>
    </w:p>
    <w:p>
      <w:pPr>
        <w:spacing w:after="80" w:line="293" w:lineRule="auto"/>
        <w:jc w:val="left"/>
      </w:pPr>
      <w:r>
        <w:rPr>
          <w:rFonts w:ascii="Times New Roman" w:hAnsi="Times New Roman" w:cs="Times New Roman"/>
          <w:b w:val="0"/>
          <w:i w:val="0"/>
          <w:sz w:val="22"/>
        </w:rPr>
        <w:t>ZITADEL passkey signature workflow. Recorded: signer, identity, tenant, timestamp, document hash, signature method, authentication result, authorization scope. Rule: a signature binds to the exact document version.</w:t>
      </w:r>
    </w:p>
    <w:p>
      <w:pPr>
        <w:spacing w:after="80" w:line="293" w:lineRule="auto"/>
        <w:jc w:val="left"/>
      </w:pPr>
      <w:r>
        <w:rPr>
          <w:rFonts w:ascii="Times New Roman" w:hAnsi="Times New Roman" w:cs="Times New Roman"/>
          <w:b w:val="0"/>
          <w:i w:val="0"/>
          <w:sz w:val="22"/>
        </w:rPr>
        <w:t>Signature workflow: the buyer signs the contract (ZITADEL passkey) — one click; the seller signs the contract — one click; the SGTX Governor signs as witness — automatic (no click); the contract status becomes LOCKED; the USTN is generated; Smart Inbox confirmations are sent to both parties.</w:t>
      </w:r>
    </w:p>
    <w:p>
      <w:pPr>
        <w:spacing w:after="80" w:line="293" w:lineRule="auto"/>
        <w:jc w:val="left"/>
      </w:pPr>
      <w:r>
        <w:rPr>
          <w:rFonts w:ascii="Times New Roman" w:hAnsi="Times New Roman" w:cs="Times New Roman"/>
          <w:b w:val="0"/>
          <w:i w:val="0"/>
          <w:sz w:val="22"/>
        </w:rPr>
        <w:t>Signing interface example:</w:t>
      </w:r>
    </w:p>
    <w:p>
      <w:pPr>
        <w:spacing w:after="0" w:before="0" w:line="240" w:lineRule="auto"/>
        <w:ind w:left="57"/>
        <w:jc w:val="left"/>
        <w:shd w:val="clear" w:fill="F2F2F2"/>
      </w:pPr>
      <w:r>
        <w:rPr>
          <w:rFonts w:ascii="Consolas" w:hAnsi="Consolas" w:cs="Consolas"/>
          <w:b w:val="0"/>
          <w:i w:val="0"/>
          <w:sz w:val="15"/>
        </w:rPr>
        <w:t>CONTRACT SIGNING — MC-20260415-001</w:t>
      </w:r>
    </w:p>
    <w:p>
      <w:pPr>
        <w:spacing w:after="0" w:before="0" w:line="240" w:lineRule="auto"/>
        <w:ind w:left="57"/>
        <w:jc w:val="left"/>
        <w:shd w:val="clear" w:fill="F2F2F2"/>
      </w:pPr>
      <w:r>
        <w:rPr>
          <w:rFonts w:ascii="Consolas" w:hAnsi="Consolas" w:cs="Consolas"/>
          <w:b w:val="0"/>
          <w:i w:val="0"/>
          <w:sz w:val="15"/>
        </w:rPr>
        <w:t>Contract Status: PENDING_SIGNATURES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Buyer Signature: Nile Foods — PENDING            [Sign with Passkey]</w:t>
      </w:r>
    </w:p>
    <w:p>
      <w:pPr>
        <w:spacing w:after="0" w:before="0" w:line="240" w:lineRule="auto"/>
        <w:ind w:left="57"/>
        <w:jc w:val="left"/>
        <w:shd w:val="clear" w:fill="F2F2F2"/>
      </w:pPr>
      <w:r>
        <w:rPr>
          <w:rFonts w:ascii="Consolas" w:hAnsi="Consolas" w:cs="Consolas"/>
          <w:b w:val="0"/>
          <w:i w:val="0"/>
          <w:sz w:val="15"/>
        </w:rPr>
        <w:t xml:space="preserve">  Seller Signature: Mekong Fresh Co. — PENDING     (Awaiting seller)</w:t>
      </w:r>
    </w:p>
    <w:p>
      <w:pPr>
        <w:spacing w:after="0" w:before="0" w:line="240" w:lineRule="auto"/>
        <w:ind w:left="57"/>
        <w:jc w:val="left"/>
        <w:shd w:val="clear" w:fill="F2F2F2"/>
      </w:pPr>
      <w:r>
        <w:rPr>
          <w:rFonts w:ascii="Consolas" w:hAnsi="Consolas" w:cs="Consolas"/>
          <w:b w:val="0"/>
          <w:i w:val="0"/>
          <w:sz w:val="15"/>
        </w:rPr>
        <w:t xml:space="preserve">  SGTX Witness Signature: — PENDING                (Automatic after both parties sign)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All parties must sign before the contract can lock.</w:t>
      </w:r>
    </w:p>
    <w:p>
      <w:pPr>
        <w:spacing w:after="0" w:before="0" w:line="240" w:lineRule="auto"/>
        <w:ind w:left="57"/>
        <w:jc w:val="left"/>
        <w:shd w:val="clear" w:fill="F2F2F2"/>
      </w:pPr>
      <w:r>
        <w:rPr>
          <w:rFonts w:ascii="Consolas" w:hAnsi="Consolas" w:cs="Consolas"/>
          <w:b w:val="0"/>
          <w:i w:val="0"/>
          <w:sz w:val="15"/>
        </w:rPr>
        <w:t xml:space="preserve">  [Sign with Passkey] [Download Contract] [Request Amendment]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After Both Parties Sign:</w:t>
      </w:r>
    </w:p>
    <w:p>
      <w:pPr>
        <w:spacing w:after="0" w:before="0" w:line="240" w:lineRule="auto"/>
        <w:ind w:left="57"/>
        <w:jc w:val="left"/>
        <w:shd w:val="clear" w:fill="F2F2F2"/>
      </w:pPr>
      <w:r>
        <w:rPr>
          <w:rFonts w:ascii="Consolas" w:hAnsi="Consolas" w:cs="Consolas"/>
          <w:b w:val="0"/>
          <w:i w:val="0"/>
          <w:sz w:val="15"/>
        </w:rPr>
        <w:t xml:space="preserve">  CONTRACT LOCKED</w:t>
      </w:r>
    </w:p>
    <w:p>
      <w:pPr>
        <w:spacing w:after="0" w:before="0" w:line="240" w:lineRule="auto"/>
        <w:ind w:left="57"/>
        <w:jc w:val="left"/>
        <w:shd w:val="clear" w:fill="F2F2F2"/>
      </w:pPr>
      <w:r>
        <w:rPr>
          <w:rFonts w:ascii="Consolas" w:hAnsi="Consolas" w:cs="Consolas"/>
          <w:b w:val="0"/>
          <w:i w:val="0"/>
          <w:sz w:val="15"/>
        </w:rPr>
        <w:t xml:space="preserve">    Contract ID: MC-20260415-001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Locked At: 2026-06-20 15:30:00 UTC</w:t>
      </w:r>
    </w:p>
    <w:p>
      <w:pPr>
        <w:spacing w:after="0" w:before="0" w:line="240" w:lineRule="auto"/>
        <w:ind w:left="57"/>
        <w:jc w:val="left"/>
        <w:shd w:val="clear" w:fill="F2F2F2"/>
      </w:pPr>
      <w:r>
        <w:rPr>
          <w:rFonts w:ascii="Consolas" w:hAnsi="Consolas" w:cs="Consolas"/>
          <w:b w:val="0"/>
          <w:i w:val="0"/>
          <w:sz w:val="15"/>
        </w:rPr>
        <w:t xml:space="preserve">    Loom Hash: sha256:a1b2c3...</w:t>
      </w:r>
    </w:p>
    <w:p>
      <w:pPr>
        <w:spacing w:after="0" w:before="0" w:line="240" w:lineRule="auto"/>
        <w:ind w:left="57"/>
        <w:jc w:val="left"/>
        <w:shd w:val="clear" w:fill="F2F2F2"/>
      </w:pPr>
      <w:r>
        <w:rPr>
          <w:rFonts w:ascii="Consolas" w:hAnsi="Consolas" w:cs="Consolas"/>
          <w:b w:val="0"/>
          <w:i w:val="0"/>
          <w:sz w:val="15"/>
        </w:rPr>
        <w:t xml:space="preserve">    Buyer Signature: Nile Foods — Signed at 2026-06-20 15:28:00 UTC</w:t>
      </w:r>
    </w:p>
    <w:p>
      <w:pPr>
        <w:spacing w:after="0" w:before="0" w:line="240" w:lineRule="auto"/>
        <w:ind w:left="57"/>
        <w:jc w:val="left"/>
        <w:shd w:val="clear" w:fill="F2F2F2"/>
      </w:pPr>
      <w:r>
        <w:rPr>
          <w:rFonts w:ascii="Consolas" w:hAnsi="Consolas" w:cs="Consolas"/>
          <w:b w:val="0"/>
          <w:i w:val="0"/>
          <w:sz w:val="15"/>
        </w:rPr>
        <w:t xml:space="preserve">    Seller Signature: Mekong Fresh Co. — Signed at 2026-06-20 15:29:00 UTC</w:t>
      </w:r>
    </w:p>
    <w:p>
      <w:pPr>
        <w:spacing w:after="0" w:before="0" w:line="240" w:lineRule="auto"/>
        <w:ind w:left="57"/>
        <w:jc w:val="left"/>
        <w:shd w:val="clear" w:fill="F2F2F2"/>
      </w:pPr>
      <w:r>
        <w:rPr>
          <w:rFonts w:ascii="Consolas" w:hAnsi="Consolas" w:cs="Consolas"/>
          <w:b w:val="0"/>
          <w:i w:val="0"/>
          <w:sz w:val="15"/>
        </w:rPr>
        <w:t xml:space="preserve">    SGTX Witness Signature — Signed at 2026-06-20 15:30:00 UTC</w:t>
      </w:r>
    </w:p>
    <w:p>
      <w:pPr>
        <w:spacing w:after="0" w:before="0" w:line="240" w:lineRule="auto"/>
        <w:ind w:left="57"/>
        <w:jc w:val="left"/>
        <w:shd w:val="clear" w:fill="F2F2F2"/>
      </w:pPr>
      <w:r>
        <w:rPr>
          <w:rFonts w:ascii="Consolas" w:hAnsi="Consolas" w:cs="Consolas"/>
          <w:b w:val="0"/>
          <w:i w:val="0"/>
          <w:sz w:val="15"/>
        </w:rPr>
        <w:t xml:space="preserve">  Next Steps:</w:t>
      </w:r>
    </w:p>
    <w:p>
      <w:pPr>
        <w:spacing w:after="0" w:before="0" w:line="240" w:lineRule="auto"/>
        <w:ind w:left="57"/>
        <w:jc w:val="left"/>
        <w:shd w:val="clear" w:fill="F2F2F2"/>
      </w:pPr>
      <w:r>
        <w:rPr>
          <w:rFonts w:ascii="Consolas" w:hAnsi="Consolas" w:cs="Consolas"/>
          <w:b w:val="0"/>
          <w:i w:val="0"/>
          <w:sz w:val="15"/>
        </w:rPr>
        <w:t xml:space="preserve">    1. Shipment 1 is now LOCKED and ready for physical execution</w:t>
      </w:r>
    </w:p>
    <w:p>
      <w:pPr>
        <w:spacing w:after="0" w:before="0" w:line="240" w:lineRule="auto"/>
        <w:ind w:left="57"/>
        <w:jc w:val="left"/>
        <w:shd w:val="clear" w:fill="F2F2F2"/>
      </w:pPr>
      <w:r>
        <w:rPr>
          <w:rFonts w:ascii="Consolas" w:hAnsi="Consolas" w:cs="Consolas"/>
          <w:b w:val="0"/>
          <w:i w:val="0"/>
          <w:sz w:val="15"/>
        </w:rPr>
        <w:t xml:space="preserve">    2. Logistics providers will receive release confirmation</w:t>
      </w:r>
    </w:p>
    <w:p>
      <w:pPr>
        <w:spacing w:after="0" w:before="0" w:line="240" w:lineRule="auto"/>
        <w:ind w:left="57"/>
        <w:jc w:val="left"/>
        <w:shd w:val="clear" w:fill="F2F2F2"/>
      </w:pPr>
      <w:r>
        <w:rPr>
          <w:rFonts w:ascii="Consolas" w:hAnsi="Consolas" w:cs="Consolas"/>
          <w:b w:val="0"/>
          <w:i w:val="0"/>
          <w:sz w:val="15"/>
        </w:rPr>
        <w:t xml:space="preserve">    3. Customs declaration has been submitted to Nafeza</w:t>
      </w:r>
    </w:p>
    <w:p>
      <w:pPr>
        <w:spacing w:after="0" w:before="0" w:line="240" w:lineRule="auto"/>
        <w:ind w:left="57"/>
        <w:jc w:val="left"/>
        <w:shd w:val="clear" w:fill="F2F2F2"/>
      </w:pPr>
      <w:r>
        <w:rPr>
          <w:rFonts w:ascii="Consolas" w:hAnsi="Consolas" w:cs="Consolas"/>
          <w:b w:val="0"/>
          <w:i w:val="0"/>
          <w:sz w:val="15"/>
        </w:rPr>
        <w:t xml:space="preserve">    4. Invoice has been submitted to ETA</w:t>
      </w:r>
    </w:p>
    <w:p>
      <w:pPr>
        <w:spacing w:after="0" w:before="0" w:line="240" w:lineRule="auto"/>
        <w:ind w:left="57"/>
        <w:jc w:val="left"/>
        <w:shd w:val="clear" w:fill="F2F2F2"/>
      </w:pPr>
      <w:r>
        <w:rPr>
          <w:rFonts w:ascii="Consolas" w:hAnsi="Consolas" w:cs="Consolas"/>
          <w:b w:val="0"/>
          <w:i w:val="0"/>
          <w:sz w:val="15"/>
        </w:rPr>
        <w:t xml:space="preserve">  [View Trade Command Center] [Download Contract PDF]</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9.25.1 QES Integration for Payment Authorization</w:t>
      </w:r>
    </w:p>
    <w:p>
      <w:pPr>
        <w:spacing w:after="80" w:line="293" w:lineRule="auto"/>
        <w:jc w:val="left"/>
      </w:pPr>
      <w:r>
        <w:rPr>
          <w:rFonts w:ascii="Times New Roman" w:hAnsi="Times New Roman" w:cs="Times New Roman"/>
          <w:b/>
          <w:i w:val="0"/>
          <w:sz w:val="22"/>
        </w:rPr>
        <w:t>QES Authorization Flow:</w:t>
      </w:r>
    </w:p>
    <w:p>
      <w:pPr>
        <w:spacing w:after="80" w:line="293" w:lineRule="auto"/>
        <w:jc w:val="left"/>
      </w:pPr>
      <w:r>
        <w:rPr>
          <w:rFonts w:ascii="Times New Roman" w:hAnsi="Times New Roman" w:cs="Times New Roman"/>
          <w:b w:val="0"/>
          <w:i w:val="0"/>
          <w:sz w:val="22"/>
        </w:rPr>
        <w:t>1. Buyer prepares to authorize USTN Payment Manifest</w:t>
      </w:r>
    </w:p>
    <w:p>
      <w:pPr>
        <w:spacing w:after="80" w:line="293" w:lineRule="auto"/>
        <w:jc w:val="left"/>
      </w:pPr>
      <w:r>
        <w:rPr>
          <w:rFonts w:ascii="Times New Roman" w:hAnsi="Times New Roman" w:cs="Times New Roman"/>
          <w:b w:val="0"/>
          <w:i w:val="0"/>
          <w:sz w:val="22"/>
        </w:rPr>
        <w:t>2. System triggers QES signing via Egypt Trust API</w:t>
      </w:r>
    </w:p>
    <w:p>
      <w:pPr>
        <w:spacing w:after="80" w:line="293" w:lineRule="auto"/>
        <w:jc w:val="left"/>
      </w:pPr>
      <w:r>
        <w:rPr>
          <w:rFonts w:ascii="Times New Roman" w:hAnsi="Times New Roman" w:cs="Times New Roman"/>
          <w:b w:val="0"/>
          <w:i w:val="0"/>
          <w:sz w:val="22"/>
        </w:rPr>
        <w:t>3. Buyer authenticates with QES certificate (HSM/token)</w:t>
      </w:r>
    </w:p>
    <w:p>
      <w:pPr>
        <w:spacing w:after="80" w:line="293" w:lineRule="auto"/>
        <w:jc w:val="left"/>
      </w:pPr>
      <w:r>
        <w:rPr>
          <w:rFonts w:ascii="Times New Roman" w:hAnsi="Times New Roman" w:cs="Times New Roman"/>
          <w:b w:val="0"/>
          <w:i w:val="0"/>
          <w:sz w:val="22"/>
        </w:rPr>
        <w:t>4. System receives QES confirmation</w:t>
      </w:r>
    </w:p>
    <w:p>
      <w:pPr>
        <w:spacing w:after="80" w:line="293" w:lineRule="auto"/>
        <w:jc w:val="left"/>
      </w:pPr>
      <w:r>
        <w:rPr>
          <w:rFonts w:ascii="Times New Roman" w:hAnsi="Times New Roman" w:cs="Times New Roman"/>
          <w:b w:val="0"/>
          <w:i w:val="0"/>
          <w:sz w:val="22"/>
        </w:rPr>
        <w:t>5. Mandate is legally binding</w:t>
      </w:r>
    </w:p>
    <w:p>
      <w:pPr>
        <w:spacing w:after="80" w:line="293" w:lineRule="auto"/>
        <w:jc w:val="left"/>
      </w:pPr>
      <w:r>
        <w:rPr>
          <w:rFonts w:ascii="Times New Roman" w:hAnsi="Times New Roman" w:cs="Times New Roman"/>
          <w:b w:val="0"/>
          <w:i w:val="0"/>
          <w:sz w:val="22"/>
        </w:rPr>
        <w:t>QES API Integration:</w:t>
      </w:r>
    </w:p>
    <w:p>
      <w:pPr>
        <w:spacing w:after="0" w:before="0" w:line="240" w:lineRule="auto"/>
        <w:ind w:left="57"/>
        <w:jc w:val="left"/>
        <w:shd w:val="clear" w:fill="F2F2F2"/>
      </w:pPr>
      <w:r>
        <w:rPr>
          <w:rFonts w:ascii="Consolas" w:hAnsi="Consolas" w:cs="Consolas"/>
          <w:b w:val="0"/>
          <w:i w:val="0"/>
          <w:sz w:val="15"/>
        </w:rPr>
        <w:t>POST /v1/signature/qes/request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"document_sha256": "sha256:manifest123...",</w:t>
      </w:r>
    </w:p>
    <w:p>
      <w:pPr>
        <w:spacing w:after="0" w:before="0" w:line="240" w:lineRule="auto"/>
        <w:ind w:left="57"/>
        <w:jc w:val="left"/>
        <w:shd w:val="clear" w:fill="F2F2F2"/>
      </w:pPr>
      <w:r>
        <w:rPr>
          <w:rFonts w:ascii="Consolas" w:hAnsi="Consolas" w:cs="Consolas"/>
          <w:b w:val="0"/>
          <w:i w:val="0"/>
          <w:sz w:val="15"/>
        </w:rPr>
        <w:t xml:space="preserve">  "document_type": "PAYMENT_MANDATE",</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"signer_gtid": "SGTX-EG-TRD-001234",</w:t>
      </w:r>
    </w:p>
    <w:p>
      <w:pPr>
        <w:spacing w:after="0" w:before="0" w:line="240" w:lineRule="auto"/>
        <w:ind w:left="57"/>
        <w:jc w:val="left"/>
        <w:shd w:val="clear" w:fill="F2F2F2"/>
      </w:pPr>
      <w:r>
        <w:rPr>
          <w:rFonts w:ascii="Consolas" w:hAnsi="Consolas" w:cs="Consolas"/>
          <w:b w:val="0"/>
          <w:i w:val="0"/>
          <w:sz w:val="15"/>
        </w:rPr>
        <w:t xml:space="preserve">  "signer_tsp": "EGYPT_TRUST",</w:t>
      </w:r>
    </w:p>
    <w:p>
      <w:pPr>
        <w:spacing w:after="0" w:before="0" w:line="240" w:lineRule="auto"/>
        <w:ind w:left="57"/>
        <w:jc w:val="left"/>
        <w:shd w:val="clear" w:fill="F2F2F2"/>
      </w:pPr>
      <w:r>
        <w:rPr>
          <w:rFonts w:ascii="Consolas" w:hAnsi="Consolas" w:cs="Consolas"/>
          <w:b w:val="0"/>
          <w:i w:val="0"/>
          <w:sz w:val="15"/>
        </w:rPr>
        <w:t xml:space="preserve">  "callback_url": "https://api.sgtx.io/v1/signature/qes/callback"</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"request_id": "QES-20260908-001",</w:t>
      </w:r>
    </w:p>
    <w:p>
      <w:pPr>
        <w:spacing w:after="0" w:before="0" w:line="240" w:lineRule="auto"/>
        <w:ind w:left="57"/>
        <w:jc w:val="left"/>
        <w:shd w:val="clear" w:fill="F2F2F2"/>
      </w:pPr>
      <w:r>
        <w:rPr>
          <w:rFonts w:ascii="Consolas" w:hAnsi="Consolas" w:cs="Consolas"/>
          <w:b w:val="0"/>
          <w:i w:val="0"/>
          <w:sz w:val="15"/>
        </w:rPr>
        <w:t xml:space="preserve">  "tsp_request_url": "https://ts.egypttrust.com.eg/sign/abc123",</w:t>
      </w:r>
    </w:p>
    <w:p>
      <w:pPr>
        <w:spacing w:after="0" w:before="0" w:line="240" w:lineRule="auto"/>
        <w:ind w:left="57"/>
        <w:jc w:val="left"/>
        <w:shd w:val="clear" w:fill="F2F2F2"/>
      </w:pPr>
      <w:r>
        <w:rPr>
          <w:rFonts w:ascii="Consolas" w:hAnsi="Consolas" w:cs="Consolas"/>
          <w:b w:val="0"/>
          <w:i w:val="0"/>
          <w:sz w:val="15"/>
        </w:rPr>
        <w:t xml:space="preserve">  "expires_at": "2026-09-08T12:00:00Z",</w:t>
      </w:r>
    </w:p>
    <w:p>
      <w:pPr>
        <w:spacing w:after="0" w:before="0" w:line="240" w:lineRule="auto"/>
        <w:ind w:left="57"/>
        <w:jc w:val="left"/>
        <w:shd w:val="clear" w:fill="F2F2F2"/>
      </w:pPr>
      <w:r>
        <w:rPr>
          <w:rFonts w:ascii="Consolas" w:hAnsi="Consolas" w:cs="Consolas"/>
          <w:b w:val="0"/>
          <w:i w:val="0"/>
          <w:sz w:val="15"/>
        </w:rPr>
        <w:t xml:space="preserve">  "status": "PENDING"</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9.26 No Signature Version Mismatch</w:t>
      </w:r>
    </w:p>
    <w:p>
      <w:pPr>
        <w:spacing w:after="80" w:line="293" w:lineRule="auto"/>
        <w:jc w:val="left"/>
      </w:pPr>
      <w:r>
        <w:rPr>
          <w:rFonts w:ascii="Times New Roman" w:hAnsi="Times New Roman" w:cs="Times New Roman"/>
          <w:b w:val="0"/>
          <w:i w:val="0"/>
          <w:sz w:val="22"/>
        </w:rPr>
        <w:t>Never permit a signature over a document version that differs from the version the user reviewed. If the contract changes after one party signs: invalidate pending signature state where appropriate, create a new document version, and restart the required signing flow.</w:t>
      </w:r>
    </w:p>
    <w:p>
      <w:pPr>
        <w:keepNext/>
        <w:spacing w:before="240" w:after="100"/>
        <w:outlineLvl w:val="1"/>
      </w:pPr>
      <w:r>
        <w:rPr>
          <w:rFonts w:ascii="Arial" w:hAnsi="Arial" w:cs="Arial"/>
          <w:b/>
          <w:i w:val="0"/>
          <w:color w:val="2E528F"/>
          <w:sz w:val="26"/>
        </w:rPr>
        <w:t>9.27 Fee Engine (Deterministic)</w:t>
      </w:r>
    </w:p>
    <w:p>
      <w:pPr>
        <w:spacing w:after="80" w:line="293" w:lineRule="auto"/>
        <w:jc w:val="left"/>
      </w:pPr>
      <w:r>
        <w:rPr>
          <w:rFonts w:ascii="Times New Roman" w:hAnsi="Times New Roman" w:cs="Times New Roman"/>
          <w:b w:val="0"/>
          <w:i w:val="0"/>
          <w:sz w:val="22"/>
        </w:rPr>
        <w:t>For each applicable fee: basis, rate, currency, payer, timing, jurisdictional variation where applicable, status, and evidence. Rule: the UI must never calculate a fee differently from the backend.</w:t>
      </w:r>
    </w:p>
    <w:p>
      <w:pPr>
        <w:spacing w:after="80" w:line="293" w:lineRule="auto"/>
        <w:jc w:val="left"/>
      </w:pPr>
      <w:r>
        <w:rPr>
          <w:rFonts w:ascii="Times New Roman" w:hAnsi="Times New Roman" w:cs="Times New Roman"/>
          <w:b w:val="0"/>
          <w:i w:val="0"/>
          <w:sz w:val="22"/>
        </w:rPr>
        <w:t>The platform fee is a configurable, versioned pricing policy rather than a fixed architectural constant; the complete pricing model, calculation metadata, and backend-authority rules are specified in Sections 9.27.1 through 9.27.33. The fee obligation for a shipment is finalized at the authoritative lock event together with USTN generation (Section 9.39.1), and fee payment follows the bank-agnostic fee payment lifecycle of Section 9.30.2. Fee payment is never a universal prerequisite to contract lock: the due policy attached to each fee obligation (Section 9.31.1) governs when payment is due and what an unpaid obligation blocks. The fee engine remains deterministic and server-side: the UI never calculates a fee, and every fee amount displayed to users is produced by the backend fee engine.</w:t>
      </w:r>
    </w:p>
    <w:p>
      <w:pPr>
        <w:keepNext/>
        <w:spacing w:before="180" w:after="80"/>
        <w:outlineLvl w:val="2"/>
      </w:pPr>
      <w:r>
        <w:rPr>
          <w:rFonts w:ascii="Arial" w:hAnsi="Arial" w:cs="Arial"/>
          <w:b/>
          <w:i w:val="0"/>
          <w:color w:val="333333"/>
          <w:sz w:val="23"/>
        </w:rPr>
        <w:t>9.27.1 Canonical Pricing Policy - Dynamic Fee Engine</w:t>
      </w:r>
    </w:p>
    <w:p>
      <w:pPr>
        <w:spacing w:after="80" w:line="293" w:lineRule="auto"/>
        <w:jc w:val="left"/>
      </w:pPr>
      <w:r>
        <w:rPr>
          <w:rFonts w:ascii="Times New Roman" w:hAnsi="Times New Roman" w:cs="Times New Roman"/>
          <w:b w:val="0"/>
          <w:i w:val="0"/>
          <w:sz w:val="22"/>
        </w:rPr>
        <w:t>The platform fee is defined by the SGTX Dynamic Fee Engine: a versioned, constitutionally bounded pricing policy with one deterministic calculation engine and many commercial pricing profiles (Sections 9.27.2 through 9.27.33). The constitution protects the principles of fee transparency, constitutional bounds, and non-custody; it is not a commercial pricing table. Any reference fee rate in examples is a default configuration value, not an architectural constant.</w:t>
      </w:r>
    </w:p>
    <w:p>
      <w:pPr>
        <w:spacing w:after="80" w:line="293" w:lineRule="auto"/>
        <w:jc w:val="left"/>
      </w:pPr>
      <w:r>
        <w:rPr>
          <w:rFonts w:ascii="Times New Roman" w:hAnsi="Times New Roman" w:cs="Times New Roman"/>
          <w:b w:val="0"/>
          <w:i w:val="0"/>
          <w:sz w:val="22"/>
        </w:rPr>
        <w:t>Pricing configuration belongs to the L1/L2 configuration and policy layer (versioned change control; constitutional compliance required). Every fee calculation — estimate, obligation, or adjustment — records its complete calculation context:</w:t>
      </w:r>
    </w:p>
    <w:p>
      <w:pPr>
        <w:spacing w:after="0" w:before="0" w:line="240" w:lineRule="auto"/>
        <w:ind w:left="57"/>
        <w:jc w:val="left"/>
        <w:shd w:val="clear" w:fill="F2F2F2"/>
      </w:pPr>
      <w:r>
        <w:rPr>
          <w:rFonts w:ascii="Consolas" w:hAnsi="Consolas" w:cs="Consolas"/>
          <w:b w:val="0"/>
          <w:i w:val="0"/>
          <w:sz w:val="15"/>
        </w:rPr>
        <w:t>pricing_policy_version    the policy version under which the fee was calculated</w:t>
      </w:r>
    </w:p>
    <w:p>
      <w:pPr>
        <w:spacing w:after="0" w:before="0" w:line="240" w:lineRule="auto"/>
        <w:ind w:left="57"/>
        <w:jc w:val="left"/>
        <w:shd w:val="clear" w:fill="F2F2F2"/>
      </w:pPr>
      <w:r>
        <w:rPr>
          <w:rFonts w:ascii="Consolas" w:hAnsi="Consolas" w:cs="Consolas"/>
          <w:b w:val="0"/>
          <w:i w:val="0"/>
          <w:sz w:val="15"/>
        </w:rPr>
        <w:t>basis                     the fee basis used (e.g., trade value, EXW + logistics)</w:t>
      </w:r>
    </w:p>
    <w:p>
      <w:pPr>
        <w:spacing w:after="0" w:before="0" w:line="240" w:lineRule="auto"/>
        <w:ind w:left="57"/>
        <w:jc w:val="left"/>
        <w:shd w:val="clear" w:fill="F2F2F2"/>
      </w:pPr>
      <w:r>
        <w:rPr>
          <w:rFonts w:ascii="Consolas" w:hAnsi="Consolas" w:cs="Consolas"/>
          <w:b w:val="0"/>
          <w:i w:val="0"/>
          <w:sz w:val="15"/>
        </w:rPr>
        <w:t>rate                      the rate applied (base + bps + factors)</w:t>
      </w:r>
    </w:p>
    <w:p>
      <w:pPr>
        <w:spacing w:after="0" w:before="0" w:line="240" w:lineRule="auto"/>
        <w:ind w:left="57"/>
        <w:jc w:val="left"/>
        <w:shd w:val="clear" w:fill="F2F2F2"/>
      </w:pPr>
      <w:r>
        <w:rPr>
          <w:rFonts w:ascii="Consolas" w:hAnsi="Consolas" w:cs="Consolas"/>
          <w:b w:val="0"/>
          <w:i w:val="0"/>
          <w:sz w:val="15"/>
        </w:rPr>
        <w:t>currency                  the currency of the calculated amount</w:t>
      </w:r>
    </w:p>
    <w:p>
      <w:pPr>
        <w:spacing w:after="0" w:before="0" w:line="240" w:lineRule="auto"/>
        <w:ind w:left="57"/>
        <w:jc w:val="left"/>
        <w:shd w:val="clear" w:fill="F2F2F2"/>
      </w:pPr>
      <w:r>
        <w:rPr>
          <w:rFonts w:ascii="Consolas" w:hAnsi="Consolas" w:cs="Consolas"/>
          <w:b w:val="0"/>
          <w:i w:val="0"/>
          <w:sz w:val="15"/>
        </w:rPr>
        <w:t>payer                     the party responsible for the fee</w:t>
      </w:r>
    </w:p>
    <w:p>
      <w:pPr>
        <w:spacing w:after="0" w:before="0" w:line="240" w:lineRule="auto"/>
        <w:ind w:left="57"/>
        <w:jc w:val="left"/>
        <w:shd w:val="clear" w:fill="F2F2F2"/>
      </w:pPr>
      <w:r>
        <w:rPr>
          <w:rFonts w:ascii="Consolas" w:hAnsi="Consolas" w:cs="Consolas"/>
          <w:b w:val="0"/>
          <w:i w:val="0"/>
          <w:sz w:val="15"/>
        </w:rPr>
        <w:t>jurisdiction              the jurisdiction context of the calculation</w:t>
      </w:r>
    </w:p>
    <w:p>
      <w:pPr>
        <w:spacing w:after="0" w:before="0" w:line="240" w:lineRule="auto"/>
        <w:ind w:left="57"/>
        <w:jc w:val="left"/>
        <w:shd w:val="clear" w:fill="F2F2F2"/>
      </w:pPr>
      <w:r>
        <w:rPr>
          <w:rFonts w:ascii="Consolas" w:hAnsi="Consolas" w:cs="Consolas"/>
          <w:b w:val="0"/>
          <w:i w:val="0"/>
          <w:sz w:val="15"/>
        </w:rPr>
        <w:t>effective_from            policy effective window start</w:t>
      </w:r>
    </w:p>
    <w:p>
      <w:pPr>
        <w:spacing w:after="0" w:before="0" w:line="240" w:lineRule="auto"/>
        <w:ind w:left="57"/>
        <w:jc w:val="left"/>
        <w:shd w:val="clear" w:fill="F2F2F2"/>
      </w:pPr>
      <w:r>
        <w:rPr>
          <w:rFonts w:ascii="Consolas" w:hAnsi="Consolas" w:cs="Consolas"/>
          <w:b w:val="0"/>
          <w:i w:val="0"/>
          <w:sz w:val="15"/>
        </w:rPr>
        <w:t>effective_until           policy effective window end</w:t>
      </w:r>
    </w:p>
    <w:p>
      <w:pPr>
        <w:spacing w:after="0" w:before="0" w:line="240" w:lineRule="auto"/>
        <w:ind w:left="57"/>
        <w:jc w:val="left"/>
        <w:shd w:val="clear" w:fill="F2F2F2"/>
      </w:pPr>
      <w:r>
        <w:rPr>
          <w:rFonts w:ascii="Consolas" w:hAnsi="Consolas" w:cs="Consolas"/>
          <w:b w:val="0"/>
          <w:i w:val="0"/>
          <w:sz w:val="15"/>
        </w:rPr>
        <w:t>calculation_inputs        every input value used (basis value, factors, tiers)</w:t>
      </w:r>
    </w:p>
    <w:p>
      <w:pPr>
        <w:spacing w:after="0" w:before="0" w:line="240" w:lineRule="auto"/>
        <w:ind w:left="57"/>
        <w:jc w:val="left"/>
        <w:shd w:val="clear" w:fill="F2F2F2"/>
      </w:pPr>
      <w:r>
        <w:rPr>
          <w:rFonts w:ascii="Consolas" w:hAnsi="Consolas" w:cs="Consolas"/>
          <w:b w:val="0"/>
          <w:i w:val="0"/>
          <w:sz w:val="15"/>
        </w:rPr>
        <w:t>calculated_amount         the resulting amount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backend is the sole calculation authority: the UI never computes a fee and never displays a fee amount that was not produced by the backend fee engine. The same calculation context makes every fee auditable and reproducible against the policy version in force, and fee dispute resolution (Section 14.3) can replay any historical calculation exactly.</w:t>
      </w:r>
    </w:p>
    <w:p>
      <w:pPr>
        <w:keepNext/>
        <w:spacing w:before="180" w:after="80"/>
        <w:outlineLvl w:val="2"/>
      </w:pPr>
      <w:r>
        <w:rPr>
          <w:rFonts w:ascii="Arial" w:hAnsi="Arial" w:cs="Arial"/>
          <w:b/>
          <w:i w:val="0"/>
          <w:color w:val="333333"/>
          <w:sz w:val="23"/>
        </w:rPr>
        <w:t>9.27.2 Constitutional Fee Principles</w:t>
      </w:r>
    </w:p>
    <w:p>
      <w:pPr>
        <w:spacing w:after="80" w:line="293" w:lineRule="auto"/>
        <w:jc w:val="left"/>
      </w:pPr>
      <w:r>
        <w:rPr>
          <w:rFonts w:ascii="Times New Roman" w:hAnsi="Times New Roman" w:cs="Times New Roman"/>
          <w:b w:val="0"/>
          <w:i w:val="0"/>
          <w:sz w:val="22"/>
        </w:rPr>
        <w:t>The SGTX platform fee is a constitutionally bounded economic charge calculated by the SGTX Dynamic Fee Engine: one deterministic calculation engine, one fee constitution, and many commercial pricing profiles. The engine calculates a fair, deterministic, auditable, commercially sustainable and constitutionally bounded platform charge for every SGTX transaction, and it balances five objectives in every calculation: fairness to the trading parties; SGTX cost recovery and sustainable contribution; risk-adjusted pricing; volume and operational efficiency recognition; and absolute constitutional protection against excessive charges.</w:t>
      </w:r>
    </w:p>
    <w:p>
      <w:pPr>
        <w:spacing w:after="80" w:line="293" w:lineRule="auto"/>
        <w:jc w:val="left"/>
      </w:pPr>
      <w:r>
        <w:rPr>
          <w:rFonts w:ascii="Times New Roman" w:hAnsi="Times New Roman" w:cs="Times New Roman"/>
          <w:b w:val="0"/>
          <w:i w:val="0"/>
          <w:sz w:val="22"/>
        </w:rPr>
        <w:t>The engine shall never price a transaction solely according to the wealth, revenue, profitability, nationality, or bargaining power of a party. The engine prices the economic characteristics of the SGTX service and the transaction, while party economics are used primarily as an affordability and protection constraint. This is the foundational fairness rule of the fee model: the fee follows the work, the risk, and the value delivered by the platform, not the size or wealth of the customer.</w:t>
      </w:r>
    </w:p>
    <w:p>
      <w:pPr>
        <w:keepNext/>
        <w:spacing w:before="140" w:after="60"/>
        <w:outlineLvl w:val="3"/>
      </w:pPr>
      <w:r>
        <w:rPr>
          <w:rFonts w:ascii="Arial" w:hAnsi="Arial" w:cs="Arial"/>
          <w:b/>
          <w:i/>
          <w:color w:val="333333"/>
          <w:sz w:val="22"/>
        </w:rPr>
        <w:t>9.27.2.1 One Constitution, One Engine</w:t>
      </w:r>
    </w:p>
    <w:p>
      <w:pPr>
        <w:spacing w:after="80" w:line="293" w:lineRule="auto"/>
        <w:jc w:val="left"/>
      </w:pPr>
      <w:r>
        <w:rPr>
          <w:rFonts w:ascii="Times New Roman" w:hAnsi="Times New Roman" w:cs="Times New Roman"/>
          <w:b w:val="0"/>
          <w:i w:val="0"/>
          <w:sz w:val="22"/>
        </w:rPr>
        <w:t>All fee profiles - standard, bulk, essential, special-stock, RoRo, financed, and every special pricing policy - must pass through the same constitutional validation layer. There shall be no separate fee engine, fee path, or override mechanism capable of bypassing the constitutional engine. Commercial differentiation is expressed through classification modifiers, efficiency factors, and policy-controlled parameters inside the engine, never through parallel calculation paths outside it. This guarantees that a single audit trail, a single formula version, and a single constitutional cap discipline apply to every fee the platform ever charges.</w:t>
      </w:r>
    </w:p>
    <w:p>
      <w:pPr>
        <w:keepNext/>
        <w:spacing w:before="140" w:after="60"/>
        <w:outlineLvl w:val="3"/>
      </w:pPr>
      <w:r>
        <w:rPr>
          <w:rFonts w:ascii="Arial" w:hAnsi="Arial" w:cs="Arial"/>
          <w:b/>
          <w:i/>
          <w:color w:val="333333"/>
          <w:sz w:val="22"/>
        </w:rPr>
        <w:t>9.27.2.2 AI Is Advisory, Never Decisive</w:t>
      </w:r>
    </w:p>
    <w:p>
      <w:pPr>
        <w:spacing w:after="80" w:line="293" w:lineRule="auto"/>
        <w:jc w:val="left"/>
      </w:pPr>
      <w:r>
        <w:rPr>
          <w:rFonts w:ascii="Times New Roman" w:hAnsi="Times New Roman" w:cs="Times New Roman"/>
          <w:b w:val="0"/>
          <w:i w:val="0"/>
          <w:sz w:val="22"/>
        </w:rPr>
        <w:t>AI may estimate inputs, classify commodities, predict operational complexity, estimate market ranges, detect anomalies, calculate confidence, and explain the result. AI shall not have authority to set the final payable fee. The final fee is determined by deterministic policy code executed through the SGTX policy and Governor stack, enforcing the platform-wide separation between advisory AI and deterministic enforcement: AI informs the inputs and the explanations, the deterministic engine computes the fee, and the Governor validates and seals the decision.</w:t>
      </w:r>
    </w:p>
    <w:p>
      <w:pPr>
        <w:keepNext/>
        <w:spacing w:before="140" w:after="60"/>
        <w:outlineLvl w:val="3"/>
      </w:pPr>
      <w:r>
        <w:rPr>
          <w:rFonts w:ascii="Arial" w:hAnsi="Arial" w:cs="Arial"/>
          <w:b/>
          <w:i/>
          <w:color w:val="333333"/>
          <w:sz w:val="22"/>
        </w:rPr>
        <w:t>9.27.2.3 Private Economics Stay Private</w:t>
      </w:r>
    </w:p>
    <w:p>
      <w:pPr>
        <w:spacing w:after="80" w:line="293" w:lineRule="auto"/>
        <w:jc w:val="left"/>
      </w:pPr>
      <w:r>
        <w:rPr>
          <w:rFonts w:ascii="Times New Roman" w:hAnsi="Times New Roman" w:cs="Times New Roman"/>
          <w:b w:val="0"/>
          <w:i w:val="0"/>
          <w:sz w:val="22"/>
        </w:rPr>
        <w:t>Seller-specific and buyer-specific economic information remains tenant-scoped. The system may use private economics to protect a party from an unaffordable fee without ever revealing those economics to the counterparty. Each party fee is therefore a separate function over shared trade context plus that party private inputs:</w:t>
      </w:r>
    </w:p>
    <w:p>
      <w:pPr>
        <w:spacing w:after="0" w:before="0" w:line="240" w:lineRule="auto"/>
        <w:ind w:left="57"/>
        <w:jc w:val="left"/>
        <w:shd w:val="clear" w:fill="F2F2F2"/>
      </w:pPr>
      <w:r>
        <w:rPr>
          <w:rFonts w:ascii="Consolas" w:hAnsi="Consolas" w:cs="Consolas"/>
          <w:b w:val="0"/>
          <w:i w:val="0"/>
          <w:sz w:val="15"/>
        </w:rPr>
        <w:t>SELLER_FEE = f(Shared Trade Context, Seller Private Economics, Seller Operational History)</w:t>
      </w:r>
    </w:p>
    <w:p>
      <w:pPr>
        <w:spacing w:after="0" w:before="0" w:line="240" w:lineRule="auto"/>
        <w:ind w:left="57"/>
        <w:jc w:val="left"/>
        <w:shd w:val="clear" w:fill="F2F2F2"/>
      </w:pPr>
      <w:r>
        <w:rPr>
          <w:rFonts w:ascii="Consolas" w:hAnsi="Consolas" w:cs="Consolas"/>
          <w:b w:val="0"/>
          <w:i w:val="0"/>
          <w:sz w:val="15"/>
        </w:rPr>
        <w:t>BUYER_FEE  = f(Shared Trade Context, Buyer Private Economics, Buyer Operational History)</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9.27.2.4 Trade Context Is Shared</w:t>
      </w:r>
    </w:p>
    <w:p>
      <w:pPr>
        <w:spacing w:after="80" w:line="293" w:lineRule="auto"/>
        <w:jc w:val="left"/>
      </w:pPr>
      <w:r>
        <w:rPr>
          <w:rFonts w:ascii="Times New Roman" w:hAnsi="Times New Roman" w:cs="Times New Roman"/>
          <w:b w:val="0"/>
          <w:i w:val="0"/>
          <w:sz w:val="22"/>
        </w:rPr>
        <w:t>The following trade-context dimensions may be common to both fee calculations because they describe the transaction rather than either party private economics: commodity; HS classification; grade; quantity; shipment value; transport mode; Incoterm; corridor; destination; shipment complexity; documentation requirements; financing involvement; trade criticality; and service requirements. Party-private economics shall not be exposed to the counterparty at any point in the fee lifecycle.</w:t>
      </w:r>
    </w:p>
    <w:p>
      <w:pPr>
        <w:keepNext/>
        <w:spacing w:before="180" w:after="80"/>
        <w:outlineLvl w:val="2"/>
      </w:pPr>
      <w:r>
        <w:rPr>
          <w:rFonts w:ascii="Arial" w:hAnsi="Arial" w:cs="Arial"/>
          <w:b/>
          <w:i w:val="0"/>
          <w:color w:val="333333"/>
          <w:sz w:val="23"/>
        </w:rPr>
        <w:t>9.27.3 Canonical Fee Basis (CFB)</w:t>
      </w:r>
    </w:p>
    <w:p>
      <w:pPr>
        <w:spacing w:after="80" w:line="293" w:lineRule="auto"/>
        <w:jc w:val="left"/>
      </w:pPr>
      <w:r>
        <w:rPr>
          <w:rFonts w:ascii="Times New Roman" w:hAnsi="Times New Roman" w:cs="Times New Roman"/>
          <w:b w:val="0"/>
          <w:i w:val="0"/>
          <w:sz w:val="22"/>
        </w:rPr>
        <w:t>All platform-fee calculations use the Canonical Fee Basis. CFB is the contractual economic base upon which the SGTX platform fee is calculated, and it is the only basis on which the constitutional rate band and cap are applied. Depending on the contractual structure, CFB may include:</w:t>
      </w:r>
    </w:p>
    <w:p>
      <w:pPr>
        <w:spacing w:after="0" w:before="0" w:line="240" w:lineRule="auto"/>
        <w:ind w:left="57"/>
        <w:jc w:val="left"/>
        <w:shd w:val="clear" w:fill="F2F2F2"/>
      </w:pPr>
      <w:r>
        <w:rPr>
          <w:rFonts w:ascii="Consolas" w:hAnsi="Consolas" w:cs="Consolas"/>
          <w:b w:val="0"/>
          <w:i w:val="0"/>
          <w:sz w:val="15"/>
        </w:rPr>
        <w:t>CFB = ELIGIBLE_CONTRACTUAL_VALUE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CFB = Eligible Goods Value</w:t>
      </w:r>
    </w:p>
    <w:p>
      <w:pPr>
        <w:spacing w:after="0" w:before="0" w:line="240" w:lineRule="auto"/>
        <w:ind w:left="57"/>
        <w:jc w:val="left"/>
        <w:shd w:val="clear" w:fill="F2F2F2"/>
      </w:pPr>
      <w:r>
        <w:rPr>
          <w:rFonts w:ascii="Consolas" w:hAnsi="Consolas" w:cs="Consolas"/>
          <w:b w:val="0"/>
          <w:i w:val="0"/>
          <w:sz w:val="15"/>
        </w:rPr>
        <w:t xml:space="preserve">   +  Contractually Included SGTX-Orchestrated Logistics Value</w:t>
      </w:r>
    </w:p>
    <w:p>
      <w:pPr>
        <w:spacing w:after="0" w:before="0" w:line="240" w:lineRule="auto"/>
        <w:ind w:left="57"/>
        <w:jc w:val="left"/>
        <w:shd w:val="clear" w:fill="F2F2F2"/>
      </w:pPr>
      <w:r>
        <w:rPr>
          <w:rFonts w:ascii="Consolas" w:hAnsi="Consolas" w:cs="Consolas"/>
          <w:b w:val="0"/>
          <w:i w:val="0"/>
          <w:sz w:val="15"/>
        </w:rPr>
        <w:t xml:space="preserve">   +  Other Eligible Commercial Consideration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For Incoterm-dependent pricing, the basis is formalised as:</w:t>
      </w:r>
    </w:p>
    <w:p>
      <w:pPr>
        <w:spacing w:after="0" w:before="0" w:line="240" w:lineRule="auto"/>
        <w:ind w:left="57"/>
        <w:jc w:val="left"/>
        <w:shd w:val="clear" w:fill="F2F2F2"/>
      </w:pPr>
      <w:r>
        <w:rPr>
          <w:rFonts w:ascii="Consolas" w:hAnsi="Consolas" w:cs="Consolas"/>
          <w:b w:val="0"/>
          <w:i w:val="0"/>
          <w:sz w:val="15"/>
        </w:rPr>
        <w:t>CFB = EXW_GOODS_VALUE + ELIGIBLE_SELLER_RESPONSIBLE_LOGISTICS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the logistics inclusion is determined by the canonical Incoterm Engine (Section 6.4). Trade value is defined as EXW goods value plus contractually included, seller-responsible logistics according to the Incoterm, formalised as CFB so that the terms "EXW value", "invoice value", "trade value", "landed cost", and "shipment value" are never used interchangeably anywhere in the platform. Every fee display, invoice line, contract clause, and API payload labels its amount as CFB-based or as a non-CFB charge explicitly.</w:t>
      </w:r>
    </w:p>
    <w:p>
      <w:pPr>
        <w:spacing w:after="80" w:line="293" w:lineRule="auto"/>
        <w:jc w:val="left"/>
      </w:pPr>
      <w:r>
        <w:rPr>
          <w:rFonts w:ascii="Times New Roman" w:hAnsi="Times New Roman" w:cs="Times New Roman"/>
          <w:b w:val="0"/>
          <w:i w:val="0"/>
          <w:sz w:val="22"/>
        </w:rPr>
        <w:t>The following components are normally excluded from the SGTX platform-fee basis:</w:t>
      </w:r>
    </w:p>
    <w:p>
      <w:pPr>
        <w:spacing w:after="0" w:before="0" w:line="240" w:lineRule="auto"/>
        <w:ind w:left="57"/>
        <w:jc w:val="left"/>
        <w:shd w:val="clear" w:fill="F2F2F2"/>
      </w:pPr>
      <w:r>
        <w:rPr>
          <w:rFonts w:ascii="Consolas" w:hAnsi="Consolas" w:cs="Consolas"/>
          <w:b w:val="0"/>
          <w:i w:val="0"/>
          <w:sz w:val="15"/>
        </w:rPr>
        <w:t>VAT</w:t>
      </w:r>
    </w:p>
    <w:p>
      <w:pPr>
        <w:spacing w:after="0" w:before="0" w:line="240" w:lineRule="auto"/>
        <w:ind w:left="57"/>
        <w:jc w:val="left"/>
        <w:shd w:val="clear" w:fill="F2F2F2"/>
      </w:pPr>
      <w:r>
        <w:rPr>
          <w:rFonts w:ascii="Consolas" w:hAnsi="Consolas" w:cs="Consolas"/>
          <w:b w:val="0"/>
          <w:i w:val="0"/>
          <w:sz w:val="15"/>
        </w:rPr>
        <w:t>Customs Duties</w:t>
      </w:r>
    </w:p>
    <w:p>
      <w:pPr>
        <w:spacing w:after="0" w:before="0" w:line="240" w:lineRule="auto"/>
        <w:ind w:left="57"/>
        <w:jc w:val="left"/>
        <w:shd w:val="clear" w:fill="F2F2F2"/>
      </w:pPr>
      <w:r>
        <w:rPr>
          <w:rFonts w:ascii="Consolas" w:hAnsi="Consolas" w:cs="Consolas"/>
          <w:b w:val="0"/>
          <w:i w:val="0"/>
          <w:sz w:val="15"/>
        </w:rPr>
        <w:t>Government Taxes</w:t>
      </w:r>
    </w:p>
    <w:p>
      <w:pPr>
        <w:spacing w:after="0" w:before="0" w:line="240" w:lineRule="auto"/>
        <w:ind w:left="57"/>
        <w:jc w:val="left"/>
        <w:shd w:val="clear" w:fill="F2F2F2"/>
      </w:pPr>
      <w:r>
        <w:rPr>
          <w:rFonts w:ascii="Consolas" w:hAnsi="Consolas" w:cs="Consolas"/>
          <w:b w:val="0"/>
          <w:i w:val="0"/>
          <w:sz w:val="15"/>
        </w:rPr>
        <w:t>Government Levies</w:t>
      </w:r>
    </w:p>
    <w:p>
      <w:pPr>
        <w:spacing w:after="0" w:before="0" w:line="240" w:lineRule="auto"/>
        <w:ind w:left="57"/>
        <w:jc w:val="left"/>
        <w:shd w:val="clear" w:fill="F2F2F2"/>
      </w:pPr>
      <w:r>
        <w:rPr>
          <w:rFonts w:ascii="Consolas" w:hAnsi="Consolas" w:cs="Consolas"/>
          <w:b w:val="0"/>
          <w:i w:val="0"/>
          <w:sz w:val="15"/>
        </w:rPr>
        <w:t>Trade Principal Financed</w:t>
      </w:r>
    </w:p>
    <w:p>
      <w:pPr>
        <w:spacing w:after="0" w:before="0" w:line="240" w:lineRule="auto"/>
        <w:ind w:left="57"/>
        <w:jc w:val="left"/>
        <w:shd w:val="clear" w:fill="F2F2F2"/>
      </w:pPr>
      <w:r>
        <w:rPr>
          <w:rFonts w:ascii="Consolas" w:hAnsi="Consolas" w:cs="Consolas"/>
          <w:b w:val="0"/>
          <w:i w:val="0"/>
          <w:sz w:val="15"/>
        </w:rPr>
        <w:t>Financing Principal</w:t>
      </w:r>
    </w:p>
    <w:p>
      <w:pPr>
        <w:spacing w:after="0" w:before="0" w:line="240" w:lineRule="auto"/>
        <w:ind w:left="57"/>
        <w:jc w:val="left"/>
        <w:shd w:val="clear" w:fill="F2F2F2"/>
      </w:pPr>
      <w:r>
        <w:rPr>
          <w:rFonts w:ascii="Consolas" w:hAnsi="Consolas" w:cs="Consolas"/>
          <w:b w:val="0"/>
          <w:i w:val="0"/>
          <w:sz w:val="15"/>
        </w:rPr>
        <w:t>Refundable Deposits</w:t>
      </w:r>
    </w:p>
    <w:p>
      <w:pPr>
        <w:spacing w:after="0" w:before="0" w:line="240" w:lineRule="auto"/>
        <w:ind w:left="57"/>
        <w:jc w:val="left"/>
        <w:shd w:val="clear" w:fill="F2F2F2"/>
      </w:pPr>
      <w:r>
        <w:rPr>
          <w:rFonts w:ascii="Consolas" w:hAnsi="Consolas" w:cs="Consolas"/>
          <w:b w:val="0"/>
          <w:i w:val="0"/>
          <w:sz w:val="15"/>
        </w:rPr>
        <w:t>Third-Party Security Deposits</w:t>
      </w:r>
    </w:p>
    <w:p>
      <w:pPr>
        <w:spacing w:after="0" w:before="0" w:line="240" w:lineRule="auto"/>
        <w:ind w:left="57"/>
        <w:jc w:val="left"/>
        <w:shd w:val="clear" w:fill="F2F2F2"/>
      </w:pPr>
      <w:r>
        <w:rPr>
          <w:rFonts w:ascii="Consolas" w:hAnsi="Consolas" w:cs="Consolas"/>
          <w:b w:val="0"/>
          <w:i w:val="0"/>
          <w:sz w:val="15"/>
        </w:rPr>
        <w:t>Third-Party Pass-Through Charges</w:t>
      </w:r>
    </w:p>
    <w:p>
      <w:pPr>
        <w:spacing w:after="0" w:before="0" w:line="240" w:lineRule="auto"/>
        <w:ind w:left="57"/>
        <w:jc w:val="left"/>
        <w:shd w:val="clear" w:fill="F2F2F2"/>
      </w:pPr>
      <w:r>
        <w:rPr>
          <w:rFonts w:ascii="Consolas" w:hAnsi="Consolas" w:cs="Consolas"/>
          <w:b w:val="0"/>
          <w:i w:val="0"/>
          <w:sz w:val="15"/>
        </w:rPr>
        <w:t>Bank Transfer Fees</w:t>
      </w:r>
    </w:p>
    <w:p>
      <w:pPr>
        <w:spacing w:after="0" w:before="0" w:line="240" w:lineRule="auto"/>
        <w:ind w:left="57"/>
        <w:jc w:val="left"/>
        <w:shd w:val="clear" w:fill="F2F2F2"/>
      </w:pPr>
      <w:r>
        <w:rPr>
          <w:rFonts w:ascii="Consolas" w:hAnsi="Consolas" w:cs="Consolas"/>
          <w:b w:val="0"/>
          <w:i w:val="0"/>
          <w:sz w:val="15"/>
        </w:rPr>
        <w:t>Bank Charges</w:t>
      </w:r>
    </w:p>
    <w:p>
      <w:pPr>
        <w:spacing w:after="0" w:before="0" w:line="240" w:lineRule="auto"/>
        <w:ind w:left="57"/>
        <w:jc w:val="left"/>
        <w:shd w:val="clear" w:fill="F2F2F2"/>
      </w:pPr>
      <w:r>
        <w:rPr>
          <w:rFonts w:ascii="Consolas" w:hAnsi="Consolas" w:cs="Consolas"/>
          <w:b w:val="0"/>
          <w:i w:val="0"/>
          <w:sz w:val="15"/>
        </w:rPr>
        <w:t>Government Service Fees</w:t>
      </w:r>
    </w:p>
    <w:p>
      <w:pPr>
        <w:spacing w:after="0" w:before="0" w:line="240" w:lineRule="auto"/>
        <w:ind w:left="57"/>
        <w:jc w:val="left"/>
        <w:shd w:val="clear" w:fill="F2F2F2"/>
      </w:pPr>
      <w:r>
        <w:rPr>
          <w:rFonts w:ascii="Consolas" w:hAnsi="Consolas" w:cs="Consolas"/>
          <w:b w:val="0"/>
          <w:i w:val="0"/>
          <w:sz w:val="15"/>
        </w:rPr>
        <w:t>Penalty Amounts</w:t>
      </w:r>
    </w:p>
    <w:p>
      <w:pPr>
        <w:spacing w:after="0" w:before="0" w:line="240" w:lineRule="auto"/>
        <w:ind w:left="57"/>
        <w:jc w:val="left"/>
        <w:shd w:val="clear" w:fill="F2F2F2"/>
      </w:pPr>
      <w:r>
        <w:rPr>
          <w:rFonts w:ascii="Consolas" w:hAnsi="Consolas" w:cs="Consolas"/>
          <w:b w:val="0"/>
          <w:i w:val="0"/>
          <w:sz w:val="15"/>
        </w:rPr>
        <w:t>Late Fees</w:t>
      </w:r>
    </w:p>
    <w:p>
      <w:pPr>
        <w:spacing w:after="0" w:before="0" w:line="240" w:lineRule="auto"/>
        <w:ind w:left="57"/>
        <w:jc w:val="left"/>
        <w:shd w:val="clear" w:fill="F2F2F2"/>
      </w:pPr>
      <w:r>
        <w:rPr>
          <w:rFonts w:ascii="Consolas" w:hAnsi="Consolas" w:cs="Consolas"/>
          <w:b w:val="0"/>
          <w:i w:val="0"/>
          <w:sz w:val="15"/>
        </w:rPr>
        <w:t>Insurance Premiums paid purely as third-party pass-through</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unless a specific jurisdictional policy explicitly determines otherwise. The exclusion list is policy-controlled and versioned; changes to it follow the governance process of Section 9.27.31. The Canonical Fee Basis binds directly into the seller quote construction of Section 8.2 (Step 8 and Step 11), the invoice fee lines of Section 8.8, the payment orchestration of Section 13.4, and the fee database schema of Sections 17.10 and 9.27.25.</w:t>
      </w:r>
    </w:p>
    <w:p>
      <w:pPr>
        <w:keepNext/>
        <w:spacing w:before="180" w:after="80"/>
        <w:outlineLvl w:val="2"/>
      </w:pPr>
      <w:r>
        <w:rPr>
          <w:rFonts w:ascii="Arial" w:hAnsi="Arial" w:cs="Arial"/>
          <w:b/>
          <w:i w:val="0"/>
          <w:color w:val="333333"/>
          <w:sz w:val="23"/>
        </w:rPr>
        <w:t>9.27.4 Economic Objects &amp; Total SGTX Economic Charge (TSEC)</w:t>
      </w:r>
    </w:p>
    <w:p>
      <w:pPr>
        <w:spacing w:after="80" w:line="293" w:lineRule="auto"/>
        <w:jc w:val="left"/>
      </w:pPr>
      <w:r>
        <w:rPr>
          <w:rFonts w:ascii="Times New Roman" w:hAnsi="Times New Roman" w:cs="Times New Roman"/>
          <w:b w:val="0"/>
          <w:i w:val="0"/>
          <w:sz w:val="22"/>
        </w:rPr>
        <w:t>SGTX distinguishes three economic objects that are not synonyms and must never be conflated in data, UI, contract language, or API payloads: the Trade Value (the contractual value of goods and included commercial logistics); the SGTX Platform Fee (the charge for SGTX trade execution infrastructure); and the Total SGTX Economic Charge (the aggregate of all SGTX-owned charges for the transaction).</w:t>
      </w:r>
    </w:p>
    <w:p>
      <w:pPr>
        <w:spacing w:after="80" w:line="293" w:lineRule="auto"/>
        <w:jc w:val="left"/>
      </w:pPr>
      <w:r>
        <w:rPr>
          <w:rFonts w:ascii="Times New Roman" w:hAnsi="Times New Roman" w:cs="Times New Roman"/>
          <w:b w:val="0"/>
          <w:i w:val="0"/>
          <w:sz w:val="22"/>
        </w:rPr>
        <w:t>The Total SGTX Economic Charge is defined once, canonically:</w:t>
      </w:r>
    </w:p>
    <w:p>
      <w:pPr>
        <w:spacing w:after="0" w:before="0" w:line="240" w:lineRule="auto"/>
        <w:ind w:left="57"/>
        <w:jc w:val="left"/>
        <w:shd w:val="clear" w:fill="F2F2F2"/>
      </w:pPr>
      <w:r>
        <w:rPr>
          <w:rFonts w:ascii="Consolas" w:hAnsi="Consolas" w:cs="Consolas"/>
          <w:b w:val="0"/>
          <w:i w:val="0"/>
          <w:sz w:val="15"/>
        </w:rPr>
        <w:t>TSEC = SGTX_PLATFORM_FEE + SGTX_FINANCING_FEE</w:t>
      </w:r>
    </w:p>
    <w:p>
      <w:pPr>
        <w:spacing w:after="0" w:before="0" w:line="240" w:lineRule="auto"/>
        <w:ind w:left="57"/>
        <w:jc w:val="left"/>
        <w:shd w:val="clear" w:fill="F2F2F2"/>
      </w:pPr>
      <w:r>
        <w:rPr>
          <w:rFonts w:ascii="Consolas" w:hAnsi="Consolas" w:cs="Consolas"/>
          <w:b w:val="0"/>
          <w:i w:val="0"/>
          <w:sz w:val="15"/>
        </w:rPr>
        <w:t xml:space="preserve">     + SGTX_OWNED_OPTIONAL_FEES + SGTX_EXCEPTION_FEES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Third-party pass-through charges are excluded from TSEC; government charges are excluded from TSEC; bank transfer charges are excluded from TSEC. TSEC is validated at every fee decision against the applicable aggregate party protection limit:</w:t>
      </w:r>
    </w:p>
    <w:p>
      <w:pPr>
        <w:spacing w:after="0" w:before="0" w:line="240" w:lineRule="auto"/>
        <w:ind w:left="57"/>
        <w:jc w:val="left"/>
        <w:shd w:val="clear" w:fill="F2F2F2"/>
      </w:pPr>
      <w:r>
        <w:rPr>
          <w:rFonts w:ascii="Consolas" w:hAnsi="Consolas" w:cs="Consolas"/>
          <w:b w:val="0"/>
          <w:i w:val="0"/>
          <w:sz w:val="15"/>
        </w:rPr>
        <w:t>TSEC &lt;= applicable aggregate party protection limit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prevents fee fragmentation, in which several separate fees collectively circumvent a customer effective-fee protection. Every SGTX-owned charge must be classified as exactly one of the four TSEC components, and every charge that is not SGTX-owned must be classified as a pass-through of its external owner. The non-custodial fee and payment principle of Section 9.29, the financial-flow separation of Section 13.4, and the invoice line classes of Section 8.8 all key off this classification.</w:t>
      </w:r>
    </w:p>
    <w:p>
      <w:pPr>
        <w:keepNext/>
        <w:spacing w:before="180" w:after="80"/>
        <w:outlineLvl w:val="2"/>
      </w:pPr>
      <w:r>
        <w:rPr>
          <w:rFonts w:ascii="Arial" w:hAnsi="Arial" w:cs="Arial"/>
          <w:b/>
          <w:i w:val="0"/>
          <w:color w:val="333333"/>
          <w:sz w:val="23"/>
        </w:rPr>
        <w:t>9.27.5 Constitutional Rate Bounds</w:t>
      </w:r>
    </w:p>
    <w:p>
      <w:pPr>
        <w:spacing w:after="80" w:line="293" w:lineRule="auto"/>
        <w:jc w:val="left"/>
      </w:pPr>
      <w:r>
        <w:rPr>
          <w:rFonts w:ascii="Times New Roman" w:hAnsi="Times New Roman" w:cs="Times New Roman"/>
          <w:b w:val="0"/>
          <w:i w:val="0"/>
          <w:sz w:val="22"/>
        </w:rPr>
        <w:t>The institutional rate band for the platform fee is bounded constitutionally:</w:t>
      </w:r>
    </w:p>
    <w:p>
      <w:pPr>
        <w:spacing w:after="0" w:before="0" w:line="240" w:lineRule="auto"/>
        <w:ind w:left="57"/>
        <w:jc w:val="left"/>
        <w:shd w:val="clear" w:fill="F2F2F2"/>
      </w:pPr>
      <w:r>
        <w:rPr>
          <w:rFonts w:ascii="Consolas" w:hAnsi="Consolas" w:cs="Consolas"/>
          <w:b w:val="0"/>
          <w:i w:val="0"/>
          <w:sz w:val="15"/>
        </w:rPr>
        <w:t>RATE_FLOOR   = 0.03%</w:t>
      </w:r>
    </w:p>
    <w:p>
      <w:pPr>
        <w:spacing w:after="0" w:before="0" w:line="240" w:lineRule="auto"/>
        <w:ind w:left="57"/>
        <w:jc w:val="left"/>
        <w:shd w:val="clear" w:fill="F2F2F2"/>
      </w:pPr>
      <w:r>
        <w:rPr>
          <w:rFonts w:ascii="Consolas" w:hAnsi="Consolas" w:cs="Consolas"/>
          <w:b w:val="0"/>
          <w:i w:val="0"/>
          <w:sz w:val="15"/>
        </w:rPr>
        <w:t>RATE_CEILING = 1.50%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universal 10 bps minimum is rejected as policy because it becomes uneconomic for very large low-margin bulk trades and conflicts with the objective of making SGTX the infrastructure layer for enormous commodity flows. The 3 bps lower bound is treated as a long-run institutional floor, while cost-to-serve protections can impose a higher charge where required by actual servicing economics.</w:t>
      </w:r>
    </w:p>
    <w:p>
      <w:pPr>
        <w:keepNext/>
        <w:spacing w:before="140" w:after="60"/>
        <w:outlineLvl w:val="3"/>
      </w:pPr>
      <w:r>
        <w:rPr>
          <w:rFonts w:ascii="Arial" w:hAnsi="Arial" w:cs="Arial"/>
          <w:b/>
          <w:i/>
          <w:color w:val="333333"/>
          <w:sz w:val="22"/>
        </w:rPr>
        <w:t>9.27.5.1 Constitutional Maximum</w:t>
      </w:r>
    </w:p>
    <w:p>
      <w:pPr>
        <w:spacing w:after="80" w:line="293" w:lineRule="auto"/>
        <w:jc w:val="left"/>
      </w:pPr>
      <w:r>
        <w:rPr>
          <w:rFonts w:ascii="Times New Roman" w:hAnsi="Times New Roman" w:cs="Times New Roman"/>
          <w:b w:val="0"/>
          <w:i w:val="0"/>
          <w:sz w:val="22"/>
        </w:rPr>
        <w:t>The absolute per-party platform fee ceiling is 1.50% x CFB, unless the Constitution itself is formally amended through the required constitutional amendment process (Section 3.6). No special rate, strategic rate, AI recommendation, service fee, or exception fee shall bypass this protection when the charge represents platform compensation for the same trade execution service. The ceiling is a Layer 0 protection: it is checked at the fee sanity gate and again at final constitutional validation, and a fee decision that violates it can never be produced, sealed, or locked.</w:t>
      </w:r>
    </w:p>
    <w:p>
      <w:pPr>
        <w:keepNext/>
        <w:spacing w:before="140" w:after="60"/>
        <w:outlineLvl w:val="3"/>
      </w:pPr>
      <w:r>
        <w:rPr>
          <w:rFonts w:ascii="Arial" w:hAnsi="Arial" w:cs="Arial"/>
          <w:b/>
          <w:i/>
          <w:color w:val="333333"/>
          <w:sz w:val="22"/>
        </w:rPr>
        <w:t>9.27.5.2 Constitutional Minimum &amp; Cost-to-Serve Floor</w:t>
      </w:r>
    </w:p>
    <w:p>
      <w:pPr>
        <w:spacing w:after="80" w:line="293" w:lineRule="auto"/>
        <w:jc w:val="left"/>
      </w:pPr>
      <w:r>
        <w:rPr>
          <w:rFonts w:ascii="Times New Roman" w:hAnsi="Times New Roman" w:cs="Times New Roman"/>
          <w:b w:val="0"/>
          <w:i w:val="0"/>
          <w:sz w:val="22"/>
        </w:rPr>
        <w:t>The minimum economic rate for the institutional core is 0.03%, and the actual minimum payable charge shall also satisfy the applicable cost-to-serve floor. Therefore:</w:t>
      </w:r>
    </w:p>
    <w:p>
      <w:pPr>
        <w:spacing w:after="0" w:before="0" w:line="240" w:lineRule="auto"/>
        <w:ind w:left="57"/>
        <w:jc w:val="left"/>
        <w:shd w:val="clear" w:fill="F2F2F2"/>
      </w:pPr>
      <w:r>
        <w:rPr>
          <w:rFonts w:ascii="Consolas" w:hAnsi="Consolas" w:cs="Consolas"/>
          <w:b w:val="0"/>
          <w:i w:val="0"/>
          <w:sz w:val="15"/>
        </w:rPr>
        <w:t>FINAL_RATE &gt;= MAX( 0.03%, operational_floor_rate )</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unless an approved strategic subsidy applies (Section 9.27.21). The operational floor is derived from expected cost-to-serve for the transaction class, never from an arbitrary fixed minimum; where the operational minimum exceeds the constitutional maximum for a given trade, the micro-trade policy of Section 9.27.21 governs the outcome rather than violating constitutional bounds.</w:t>
      </w:r>
    </w:p>
    <w:p>
      <w:pPr>
        <w:keepNext/>
        <w:spacing w:before="180" w:after="80"/>
        <w:outlineLvl w:val="2"/>
      </w:pPr>
      <w:r>
        <w:rPr>
          <w:rFonts w:ascii="Arial" w:hAnsi="Arial" w:cs="Arial"/>
          <w:b/>
          <w:i w:val="0"/>
          <w:color w:val="333333"/>
          <w:sz w:val="23"/>
        </w:rPr>
        <w:t>9.27.6 Seven-Layer Engine Architecture &amp; Economic Classification</w:t>
      </w:r>
    </w:p>
    <w:p>
      <w:pPr>
        <w:spacing w:after="80" w:line="293" w:lineRule="auto"/>
        <w:jc w:val="left"/>
      </w:pPr>
      <w:r>
        <w:rPr>
          <w:rFonts w:ascii="Times New Roman" w:hAnsi="Times New Roman" w:cs="Times New Roman"/>
          <w:b w:val="0"/>
          <w:i w:val="0"/>
          <w:sz w:val="22"/>
        </w:rPr>
        <w:t>The engine consists of seven calculation layers:</w:t>
      </w:r>
    </w:p>
    <w:p>
      <w:pPr>
        <w:spacing w:after="0" w:before="0" w:line="240" w:lineRule="auto"/>
        <w:ind w:left="57"/>
        <w:jc w:val="left"/>
        <w:shd w:val="clear" w:fill="F2F2F2"/>
      </w:pPr>
      <w:r>
        <w:rPr>
          <w:rFonts w:ascii="Consolas" w:hAnsi="Consolas" w:cs="Consolas"/>
          <w:b w:val="0"/>
          <w:i w:val="0"/>
          <w:sz w:val="15"/>
        </w:rPr>
        <w:t>L1 - Canonical Fee Basis</w:t>
      </w:r>
    </w:p>
    <w:p>
      <w:pPr>
        <w:spacing w:after="0" w:before="0" w:line="240" w:lineRule="auto"/>
        <w:ind w:left="57"/>
        <w:jc w:val="left"/>
        <w:shd w:val="clear" w:fill="F2F2F2"/>
      </w:pPr>
      <w:r>
        <w:rPr>
          <w:rFonts w:ascii="Consolas" w:hAnsi="Consolas" w:cs="Consolas"/>
          <w:b w:val="0"/>
          <w:i w:val="0"/>
          <w:sz w:val="15"/>
        </w:rPr>
        <w:t>L2 - Cost-to-Serve Score</w:t>
      </w:r>
    </w:p>
    <w:p>
      <w:pPr>
        <w:spacing w:after="0" w:before="0" w:line="240" w:lineRule="auto"/>
        <w:ind w:left="57"/>
        <w:jc w:val="left"/>
        <w:shd w:val="clear" w:fill="F2F2F2"/>
      </w:pPr>
      <w:r>
        <w:rPr>
          <w:rFonts w:ascii="Consolas" w:hAnsi="Consolas" w:cs="Consolas"/>
          <w:b w:val="0"/>
          <w:i w:val="0"/>
          <w:sz w:val="15"/>
        </w:rPr>
        <w:t>L3 - Risk Score</w:t>
      </w:r>
    </w:p>
    <w:p>
      <w:pPr>
        <w:spacing w:after="0" w:before="0" w:line="240" w:lineRule="auto"/>
        <w:ind w:left="57"/>
        <w:jc w:val="left"/>
        <w:shd w:val="clear" w:fill="F2F2F2"/>
      </w:pPr>
      <w:r>
        <w:rPr>
          <w:rFonts w:ascii="Consolas" w:hAnsi="Consolas" w:cs="Consolas"/>
          <w:b w:val="0"/>
          <w:i w:val="0"/>
          <w:sz w:val="15"/>
        </w:rPr>
        <w:t>L4 - Value Delivered Score</w:t>
      </w:r>
    </w:p>
    <w:p>
      <w:pPr>
        <w:spacing w:after="0" w:before="0" w:line="240" w:lineRule="auto"/>
        <w:ind w:left="57"/>
        <w:jc w:val="left"/>
        <w:shd w:val="clear" w:fill="F2F2F2"/>
      </w:pPr>
      <w:r>
        <w:rPr>
          <w:rFonts w:ascii="Consolas" w:hAnsi="Consolas" w:cs="Consolas"/>
          <w:b w:val="0"/>
          <w:i w:val="0"/>
          <w:sz w:val="15"/>
        </w:rPr>
        <w:t>L5 - Efficiency Score</w:t>
      </w:r>
    </w:p>
    <w:p>
      <w:pPr>
        <w:spacing w:after="0" w:before="0" w:line="240" w:lineRule="auto"/>
        <w:ind w:left="57"/>
        <w:jc w:val="left"/>
        <w:shd w:val="clear" w:fill="F2F2F2"/>
      </w:pPr>
      <w:r>
        <w:rPr>
          <w:rFonts w:ascii="Consolas" w:hAnsi="Consolas" w:cs="Consolas"/>
          <w:b w:val="0"/>
          <w:i w:val="0"/>
          <w:sz w:val="15"/>
        </w:rPr>
        <w:t>L6 - Party Affordability Guard</w:t>
      </w:r>
    </w:p>
    <w:p>
      <w:pPr>
        <w:spacing w:after="0" w:before="0" w:line="240" w:lineRule="auto"/>
        <w:ind w:left="57"/>
        <w:jc w:val="left"/>
        <w:shd w:val="clear" w:fill="F2F2F2"/>
      </w:pPr>
      <w:r>
        <w:rPr>
          <w:rFonts w:ascii="Consolas" w:hAnsi="Consolas" w:cs="Consolas"/>
          <w:b w:val="0"/>
          <w:i w:val="0"/>
          <w:sz w:val="15"/>
        </w:rPr>
        <w:t>L7 - Constitutional Finalization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resulting processing pipeline is:</w:t>
      </w:r>
    </w:p>
    <w:p>
      <w:pPr>
        <w:spacing w:after="0" w:before="0" w:line="240" w:lineRule="auto"/>
        <w:ind w:left="57"/>
        <w:jc w:val="left"/>
        <w:shd w:val="clear" w:fill="F2F2F2"/>
      </w:pPr>
      <w:r>
        <w:rPr>
          <w:rFonts w:ascii="Consolas" w:hAnsi="Consolas" w:cs="Consolas"/>
          <w:b w:val="0"/>
          <w:i w:val="0"/>
          <w:sz w:val="15"/>
        </w:rPr>
        <w:t>CFB</w:t>
      </w:r>
    </w:p>
    <w:p>
      <w:pPr>
        <w:spacing w:after="0" w:before="0" w:line="240" w:lineRule="auto"/>
        <w:ind w:left="57"/>
        <w:jc w:val="left"/>
        <w:shd w:val="clear" w:fill="F2F2F2"/>
      </w:pPr>
      <w:r>
        <w:rPr>
          <w:rFonts w:ascii="Consolas" w:hAnsi="Consolas" w:cs="Consolas"/>
          <w:b w:val="0"/>
          <w:i w:val="0"/>
          <w:sz w:val="15"/>
        </w:rPr>
        <w:t xml:space="preserve">  -&gt;  Economic Classification</w:t>
      </w:r>
    </w:p>
    <w:p>
      <w:pPr>
        <w:spacing w:after="0" w:before="0" w:line="240" w:lineRule="auto"/>
        <w:ind w:left="57"/>
        <w:jc w:val="left"/>
        <w:shd w:val="clear" w:fill="F2F2F2"/>
      </w:pPr>
      <w:r>
        <w:rPr>
          <w:rFonts w:ascii="Consolas" w:hAnsi="Consolas" w:cs="Consolas"/>
          <w:b w:val="0"/>
          <w:i w:val="0"/>
          <w:sz w:val="15"/>
        </w:rPr>
        <w:t xml:space="preserve">  -&gt;  Cost / Risk / Value / Efficiency scores</w:t>
      </w:r>
    </w:p>
    <w:p>
      <w:pPr>
        <w:spacing w:after="0" w:before="0" w:line="240" w:lineRule="auto"/>
        <w:ind w:left="57"/>
        <w:jc w:val="left"/>
        <w:shd w:val="clear" w:fill="F2F2F2"/>
      </w:pPr>
      <w:r>
        <w:rPr>
          <w:rFonts w:ascii="Consolas" w:hAnsi="Consolas" w:cs="Consolas"/>
          <w:b w:val="0"/>
          <w:i w:val="0"/>
          <w:sz w:val="15"/>
        </w:rPr>
        <w:t xml:space="preserve">  -&gt;  Fairness Score</w:t>
      </w:r>
    </w:p>
    <w:p>
      <w:pPr>
        <w:spacing w:after="0" w:before="0" w:line="240" w:lineRule="auto"/>
        <w:ind w:left="57"/>
        <w:jc w:val="left"/>
        <w:shd w:val="clear" w:fill="F2F2F2"/>
      </w:pPr>
      <w:r>
        <w:rPr>
          <w:rFonts w:ascii="Consolas" w:hAnsi="Consolas" w:cs="Consolas"/>
          <w:b w:val="0"/>
          <w:i w:val="0"/>
          <w:sz w:val="15"/>
        </w:rPr>
        <w:t xml:space="preserve">  -&gt;  Fair Rate</w:t>
      </w:r>
    </w:p>
    <w:p>
      <w:pPr>
        <w:spacing w:after="0" w:before="0" w:line="240" w:lineRule="auto"/>
        <w:ind w:left="57"/>
        <w:jc w:val="left"/>
        <w:shd w:val="clear" w:fill="F2F2F2"/>
      </w:pPr>
      <w:r>
        <w:rPr>
          <w:rFonts w:ascii="Consolas" w:hAnsi="Consolas" w:cs="Consolas"/>
          <w:b w:val="0"/>
          <w:i w:val="0"/>
          <w:sz w:val="15"/>
        </w:rPr>
        <w:t xml:space="preserve">  -&gt;  Commercial Discounts</w:t>
      </w:r>
    </w:p>
    <w:p>
      <w:pPr>
        <w:spacing w:after="0" w:before="0" w:line="240" w:lineRule="auto"/>
        <w:ind w:left="57"/>
        <w:jc w:val="left"/>
        <w:shd w:val="clear" w:fill="F2F2F2"/>
      </w:pPr>
      <w:r>
        <w:rPr>
          <w:rFonts w:ascii="Consolas" w:hAnsi="Consolas" w:cs="Consolas"/>
          <w:b w:val="0"/>
          <w:i w:val="0"/>
          <w:sz w:val="15"/>
        </w:rPr>
        <w:t xml:space="preserve">  -&gt;  Party Affordability Guard</w:t>
      </w:r>
    </w:p>
    <w:p>
      <w:pPr>
        <w:spacing w:after="0" w:before="0" w:line="240" w:lineRule="auto"/>
        <w:ind w:left="57"/>
        <w:jc w:val="left"/>
        <w:shd w:val="clear" w:fill="F2F2F2"/>
      </w:pPr>
      <w:r>
        <w:rPr>
          <w:rFonts w:ascii="Consolas" w:hAnsi="Consolas" w:cs="Consolas"/>
          <w:b w:val="0"/>
          <w:i w:val="0"/>
          <w:sz w:val="15"/>
        </w:rPr>
        <w:t xml:space="preserve">  -&gt;  Commodity / Bulk / Special-Stock Policy</w:t>
      </w:r>
    </w:p>
    <w:p>
      <w:pPr>
        <w:spacing w:after="0" w:before="0" w:line="240" w:lineRule="auto"/>
        <w:ind w:left="57"/>
        <w:jc w:val="left"/>
        <w:shd w:val="clear" w:fill="F2F2F2"/>
      </w:pPr>
      <w:r>
        <w:rPr>
          <w:rFonts w:ascii="Consolas" w:hAnsi="Consolas" w:cs="Consolas"/>
          <w:b w:val="0"/>
          <w:i w:val="0"/>
          <w:sz w:val="15"/>
        </w:rPr>
        <w:t xml:space="preserve">  -&gt;  Constitutional Cap/Floor</w:t>
      </w:r>
    </w:p>
    <w:p>
      <w:pPr>
        <w:spacing w:after="0" w:before="0" w:line="240" w:lineRule="auto"/>
        <w:ind w:left="57"/>
        <w:jc w:val="left"/>
        <w:shd w:val="clear" w:fill="F2F2F2"/>
      </w:pPr>
      <w:r>
        <w:rPr>
          <w:rFonts w:ascii="Consolas" w:hAnsi="Consolas" w:cs="Consolas"/>
          <w:b w:val="0"/>
          <w:i w:val="0"/>
          <w:sz w:val="15"/>
        </w:rPr>
        <w:t xml:space="preserve">  -&gt;  Fee Sanity Gate</w:t>
      </w:r>
    </w:p>
    <w:p>
      <w:pPr>
        <w:spacing w:after="0" w:before="0" w:line="240" w:lineRule="auto"/>
        <w:ind w:left="57"/>
        <w:jc w:val="left"/>
        <w:shd w:val="clear" w:fill="F2F2F2"/>
      </w:pPr>
      <w:r>
        <w:rPr>
          <w:rFonts w:ascii="Consolas" w:hAnsi="Consolas" w:cs="Consolas"/>
          <w:b w:val="0"/>
          <w:i w:val="0"/>
          <w:sz w:val="15"/>
        </w:rPr>
        <w:t xml:space="preserve">  -&gt;  Governor</w:t>
      </w:r>
    </w:p>
    <w:p>
      <w:pPr>
        <w:spacing w:after="0" w:before="0" w:line="240" w:lineRule="auto"/>
        <w:ind w:left="57"/>
        <w:jc w:val="left"/>
        <w:shd w:val="clear" w:fill="F2F2F2"/>
      </w:pPr>
      <w:r>
        <w:rPr>
          <w:rFonts w:ascii="Consolas" w:hAnsi="Consolas" w:cs="Consolas"/>
          <w:b w:val="0"/>
          <w:i w:val="0"/>
          <w:sz w:val="15"/>
        </w:rPr>
        <w:t xml:space="preserve">  -&gt;  FeeLock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Before calculating the rate, the engine classifies the transaction. A transaction may simultaneously belong to multiple classes, and classification is not mutually exclusive:</w:t>
      </w:r>
    </w:p>
    <w:p>
      <w:pPr>
        <w:spacing w:after="0" w:before="0" w:line="240" w:lineRule="auto"/>
        <w:ind w:left="57"/>
        <w:jc w:val="left"/>
        <w:shd w:val="clear" w:fill="F2F2F2"/>
      </w:pPr>
      <w:r>
        <w:rPr>
          <w:rFonts w:ascii="Consolas" w:hAnsi="Consolas" w:cs="Consolas"/>
          <w:b w:val="0"/>
          <w:i w:val="0"/>
          <w:sz w:val="15"/>
        </w:rPr>
        <w:t>STANDARD | ESSENTIAL | BULK | PERISHABLE | SPECIAL_STOCK | HIGH_VALUE_LOW_MARGIN</w:t>
      </w:r>
    </w:p>
    <w:p>
      <w:pPr>
        <w:spacing w:after="0" w:before="0" w:line="240" w:lineRule="auto"/>
        <w:ind w:left="57"/>
        <w:jc w:val="left"/>
        <w:shd w:val="clear" w:fill="F2F2F2"/>
      </w:pPr>
      <w:r>
        <w:rPr>
          <w:rFonts w:ascii="Consolas" w:hAnsi="Consolas" w:cs="Consolas"/>
          <w:b w:val="0"/>
          <w:i w:val="0"/>
          <w:sz w:val="15"/>
        </w:rPr>
        <w:t>RO-RO | FINANCING_LINKED | MULTI_SHIPMENT | STRATEGIC_CORRIDOR | DISTRESSED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Examples: 25,000 MT of wheat is ESSENTIAL + BULK + MULTI_SHIPMENT; a vehicle trade may be SPECIAL_STOCK + RO-RO + HIGH_VALUE; a copper cathode trade may be BULK + SPECIAL_STOCK + HIGH_VALUE. The classification feeds the class-specific pricing tracks of Sections 9.27.14 through 9.27.17 and the distressed-sale fee path of Section 5.7.</w:t>
      </w:r>
    </w:p>
    <w:p>
      <w:pPr>
        <w:keepNext/>
        <w:spacing w:before="180" w:after="80"/>
        <w:outlineLvl w:val="2"/>
      </w:pPr>
      <w:r>
        <w:rPr>
          <w:rFonts w:ascii="Arial" w:hAnsi="Arial" w:cs="Arial"/>
          <w:b/>
          <w:i w:val="0"/>
          <w:color w:val="333333"/>
          <w:sz w:val="23"/>
        </w:rPr>
        <w:t>9.27.7 Fairness Score</w:t>
      </w:r>
    </w:p>
    <w:p>
      <w:pPr>
        <w:spacing w:after="80" w:line="293" w:lineRule="auto"/>
        <w:jc w:val="left"/>
      </w:pPr>
      <w:r>
        <w:rPr>
          <w:rFonts w:ascii="Times New Roman" w:hAnsi="Times New Roman" w:cs="Times New Roman"/>
          <w:b w:val="0"/>
          <w:i w:val="0"/>
          <w:sz w:val="22"/>
        </w:rPr>
        <w:t>The Fairness Score is the single composite input to the fair rate. All component scores are normalized to the 0-100 range before entering the formula, and the final score is clamped:</w:t>
      </w:r>
    </w:p>
    <w:p>
      <w:pPr>
        <w:spacing w:after="0" w:before="0" w:line="240" w:lineRule="auto"/>
        <w:ind w:left="57"/>
        <w:jc w:val="left"/>
        <w:shd w:val="clear" w:fill="F2F2F2"/>
      </w:pPr>
      <w:r>
        <w:rPr>
          <w:rFonts w:ascii="Consolas" w:hAnsi="Consolas" w:cs="Consolas"/>
          <w:b w:val="0"/>
          <w:i w:val="0"/>
          <w:sz w:val="15"/>
        </w:rPr>
        <w:t>FAIRNESS_SCORE = 0.35 x CTS + 0.30 x RISK + 0.20 x VALUE - 0.15 x EFFICIENCY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FAIRNESS_SCORE = MAX(0, MIN(100, calculated_score))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weights are policy parameters under versioned governance (Section 9.27.31): 35% cost-to-serve, 30% risk, 20% value delivered, and a 15% efficiency benefit that reduces the score. The weights sum to 100% so that the score is a complete allocation of pricing causality across the four scored dimensions. Any recalibration of the weights requires backtesting per Section 9.27.28 and governance approval.</w:t>
      </w:r>
    </w:p>
    <w:p>
      <w:pPr>
        <w:keepNext/>
        <w:spacing w:before="180" w:after="80"/>
        <w:outlineLvl w:val="2"/>
      </w:pPr>
      <w:r>
        <w:rPr>
          <w:rFonts w:ascii="Arial" w:hAnsi="Arial" w:cs="Arial"/>
          <w:b/>
          <w:i w:val="0"/>
          <w:color w:val="333333"/>
          <w:sz w:val="23"/>
        </w:rPr>
        <w:t>9.27.8 Cost-to-Serve Score (CTS)</w:t>
      </w:r>
    </w:p>
    <w:p>
      <w:pPr>
        <w:spacing w:after="80" w:line="293" w:lineRule="auto"/>
        <w:jc w:val="left"/>
      </w:pPr>
      <w:r>
        <w:rPr>
          <w:rFonts w:ascii="Times New Roman" w:hAnsi="Times New Roman" w:cs="Times New Roman"/>
          <w:b w:val="0"/>
          <w:i w:val="0"/>
          <w:sz w:val="22"/>
        </w:rPr>
        <w:t>The Cost-to-Serve Score estimates the incremental infrastructure effort required by SGTX to execute the transaction. Its components and weights are: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CTS Component</w:t>
            </w:r>
          </w:p>
        </w:tc>
        <w:tc>
          <w:tcPr>
            <w:tcW w:type="dxa" w:w="4819"/>
            <w:shd w:val="clear" w:fill="D9E2F3"/>
          </w:tcPr>
          <w:p>
            <w:pPr>
              <w:spacing w:after="20" w:before="20" w:line="240" w:lineRule="auto"/>
            </w:pPr>
            <w:r/>
            <w:r>
              <w:rPr>
                <w:rFonts w:ascii="Arial" w:hAnsi="Arial" w:cs="Arial"/>
                <w:b/>
                <w:i w:val="0"/>
                <w:sz w:val="18"/>
              </w:rPr>
              <w:t>Weight</w:t>
            </w:r>
          </w:p>
        </w:tc>
      </w:tr>
      <w:tr>
        <w:tc>
          <w:tcPr>
            <w:tcW w:type="dxa" w:w="4819"/>
          </w:tcPr>
          <w:p>
            <w:pPr>
              <w:spacing w:after="20" w:before="20" w:line="240" w:lineRule="auto"/>
            </w:pPr>
            <w:r/>
            <w:r>
              <w:rPr>
                <w:rFonts w:ascii="Arial" w:hAnsi="Arial" w:cs="Arial"/>
                <w:b w:val="0"/>
                <w:i w:val="0"/>
                <w:sz w:val="17"/>
              </w:rPr>
              <w:t>DOCUMENT_COMPLEXITY</w:t>
            </w:r>
          </w:p>
        </w:tc>
        <w:tc>
          <w:tcPr>
            <w:tcW w:type="dxa" w:w="4819"/>
          </w:tcPr>
          <w:p>
            <w:pPr>
              <w:spacing w:after="20" w:before="20" w:line="240" w:lineRule="auto"/>
            </w:pPr>
            <w:r/>
            <w:r>
              <w:rPr>
                <w:rFonts w:ascii="Arial" w:hAnsi="Arial" w:cs="Arial"/>
                <w:b w:val="0"/>
                <w:i w:val="0"/>
                <w:sz w:val="17"/>
              </w:rPr>
              <w:t>20%</w:t>
            </w:r>
          </w:p>
        </w:tc>
      </w:tr>
      <w:tr>
        <w:tc>
          <w:tcPr>
            <w:tcW w:type="dxa" w:w="4819"/>
          </w:tcPr>
          <w:p>
            <w:pPr>
              <w:spacing w:after="20" w:before="20" w:line="240" w:lineRule="auto"/>
            </w:pPr>
            <w:r/>
            <w:r>
              <w:rPr>
                <w:rFonts w:ascii="Arial" w:hAnsi="Arial" w:cs="Arial"/>
                <w:b w:val="0"/>
                <w:i w:val="0"/>
                <w:sz w:val="17"/>
              </w:rPr>
              <w:t>JURISDICTION_COMPLEXITY</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PARTICIPANT_COMPLEXITY</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SERVICE_COMPLEXITY</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INTEGRATION_COMPLEXITY</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MONITORING_REQUIREMENT</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EXCEPTION_PROBABILITY</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SUPPORT_INTENSITY</w:t>
            </w:r>
          </w:p>
        </w:tc>
        <w:tc>
          <w:tcPr>
            <w:tcW w:type="dxa" w:w="4819"/>
          </w:tcPr>
          <w:p>
            <w:pPr>
              <w:spacing w:after="20" w:before="20" w:line="240" w:lineRule="auto"/>
            </w:pPr>
            <w:r/>
            <w:r>
              <w:rPr>
                <w:rFonts w:ascii="Arial" w:hAnsi="Arial" w:cs="Arial"/>
                <w:b w:val="0"/>
                <w:i w:val="0"/>
                <w:sz w:val="17"/>
              </w:rPr>
              <w:t>10%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9.27.8.1 Document Complexity Factors</w:t>
      </w:r>
    </w:p>
    <w:p>
      <w:pPr>
        <w:spacing w:after="80" w:line="293" w:lineRule="auto"/>
        <w:jc w:val="left"/>
      </w:pPr>
      <w:r>
        <w:rPr>
          <w:rFonts w:ascii="Times New Roman" w:hAnsi="Times New Roman" w:cs="Times New Roman"/>
          <w:b w:val="0"/>
          <w:i w:val="0"/>
          <w:sz w:val="22"/>
        </w:rPr>
        <w:t>Document complexity is scored from the number of mandatory documents; the number of document classes; original-document requirements; certification; legalization; translation; inspection certificates; government submissions; and document dependencies. Each factor is evidence-derived from the document requirements attached to the trade request and the jurisdiction matrix, never hand-declared.</w:t>
      </w:r>
    </w:p>
    <w:p>
      <w:pPr>
        <w:keepNext/>
        <w:spacing w:before="140" w:after="60"/>
        <w:outlineLvl w:val="3"/>
      </w:pPr>
      <w:r>
        <w:rPr>
          <w:rFonts w:ascii="Arial" w:hAnsi="Arial" w:cs="Arial"/>
          <w:b/>
          <w:i/>
          <w:color w:val="333333"/>
          <w:sz w:val="22"/>
        </w:rPr>
        <w:t>9.27.8.2 Participant Complexity</w:t>
      </w:r>
    </w:p>
    <w:p>
      <w:pPr>
        <w:spacing w:after="80" w:line="293" w:lineRule="auto"/>
        <w:jc w:val="left"/>
      </w:pPr>
      <w:r>
        <w:rPr>
          <w:rFonts w:ascii="Times New Roman" w:hAnsi="Times New Roman" w:cs="Times New Roman"/>
          <w:b w:val="0"/>
          <w:i w:val="0"/>
          <w:sz w:val="22"/>
        </w:rPr>
        <w:t>Participant complexity counts and weights the controlled participants in the transaction: buyer; seller; financier; insurer; broker; customs broker; LSP; shipping line; inspection agency; laboratory; and government systems. A transaction with ten controlled participants is not priced identically to a transaction with buyer and seller only, because coordination, evidence, and reconciliation workload scale with the participant graph.</w:t>
      </w:r>
    </w:p>
    <w:p>
      <w:pPr>
        <w:keepNext/>
        <w:spacing w:before="180" w:after="80"/>
        <w:outlineLvl w:val="2"/>
      </w:pPr>
      <w:r>
        <w:rPr>
          <w:rFonts w:ascii="Arial" w:hAnsi="Arial" w:cs="Arial"/>
          <w:b/>
          <w:i w:val="0"/>
          <w:color w:val="333333"/>
          <w:sz w:val="23"/>
        </w:rPr>
        <w:t>9.27.9 Risk Score</w:t>
      </w:r>
    </w:p>
    <w:p>
      <w:pPr>
        <w:spacing w:after="80" w:line="293" w:lineRule="auto"/>
        <w:jc w:val="left"/>
      </w:pPr>
      <w:r>
        <w:rPr>
          <w:rFonts w:ascii="Times New Roman" w:hAnsi="Times New Roman" w:cs="Times New Roman"/>
          <w:b w:val="0"/>
          <w:i w:val="0"/>
          <w:sz w:val="22"/>
        </w:rPr>
        <w:t>The Risk Score aggregates the operational and counterparty risk dimensions that materially affect SGTX servicing cost and exposure: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Risk Component</w:t>
            </w:r>
          </w:p>
        </w:tc>
        <w:tc>
          <w:tcPr>
            <w:tcW w:type="dxa" w:w="4819"/>
            <w:shd w:val="clear" w:fill="D9E2F3"/>
          </w:tcPr>
          <w:p>
            <w:pPr>
              <w:spacing w:after="20" w:before="20" w:line="240" w:lineRule="auto"/>
            </w:pPr>
            <w:r/>
            <w:r>
              <w:rPr>
                <w:rFonts w:ascii="Arial" w:hAnsi="Arial" w:cs="Arial"/>
                <w:b/>
                <w:i w:val="0"/>
                <w:sz w:val="18"/>
              </w:rPr>
              <w:t>Weight</w:t>
            </w:r>
          </w:p>
        </w:tc>
      </w:tr>
      <w:tr>
        <w:tc>
          <w:tcPr>
            <w:tcW w:type="dxa" w:w="4819"/>
          </w:tcPr>
          <w:p>
            <w:pPr>
              <w:spacing w:after="20" w:before="20" w:line="240" w:lineRule="auto"/>
            </w:pPr>
            <w:r/>
            <w:r>
              <w:rPr>
                <w:rFonts w:ascii="Arial" w:hAnsi="Arial" w:cs="Arial"/>
                <w:b w:val="0"/>
                <w:i w:val="0"/>
                <w:sz w:val="17"/>
              </w:rPr>
              <w:t>COUNTERPARTY_EXECUTION_RISK</w:t>
            </w:r>
          </w:p>
        </w:tc>
        <w:tc>
          <w:tcPr>
            <w:tcW w:type="dxa" w:w="4819"/>
          </w:tcPr>
          <w:p>
            <w:pPr>
              <w:spacing w:after="20" w:before="20" w:line="240" w:lineRule="auto"/>
            </w:pPr>
            <w:r/>
            <w:r>
              <w:rPr>
                <w:rFonts w:ascii="Arial" w:hAnsi="Arial" w:cs="Arial"/>
                <w:b w:val="0"/>
                <w:i w:val="0"/>
                <w:sz w:val="17"/>
              </w:rPr>
              <w:t>25%</w:t>
            </w:r>
          </w:p>
        </w:tc>
      </w:tr>
      <w:tr>
        <w:tc>
          <w:tcPr>
            <w:tcW w:type="dxa" w:w="4819"/>
          </w:tcPr>
          <w:p>
            <w:pPr>
              <w:spacing w:after="20" w:before="20" w:line="240" w:lineRule="auto"/>
            </w:pPr>
            <w:r/>
            <w:r>
              <w:rPr>
                <w:rFonts w:ascii="Arial" w:hAnsi="Arial" w:cs="Arial"/>
                <w:b w:val="0"/>
                <w:i w:val="0"/>
                <w:sz w:val="17"/>
              </w:rPr>
              <w:t>COMPLIANCE_COMPLEXITY</w:t>
            </w:r>
          </w:p>
        </w:tc>
        <w:tc>
          <w:tcPr>
            <w:tcW w:type="dxa" w:w="4819"/>
          </w:tcPr>
          <w:p>
            <w:pPr>
              <w:spacing w:after="20" w:before="20" w:line="240" w:lineRule="auto"/>
            </w:pPr>
            <w:r/>
            <w:r>
              <w:rPr>
                <w:rFonts w:ascii="Arial" w:hAnsi="Arial" w:cs="Arial"/>
                <w:b w:val="0"/>
                <w:i w:val="0"/>
                <w:sz w:val="17"/>
              </w:rPr>
              <w:t>20%</w:t>
            </w:r>
          </w:p>
        </w:tc>
      </w:tr>
      <w:tr>
        <w:tc>
          <w:tcPr>
            <w:tcW w:type="dxa" w:w="4819"/>
          </w:tcPr>
          <w:p>
            <w:pPr>
              <w:spacing w:after="20" w:before="20" w:line="240" w:lineRule="auto"/>
            </w:pPr>
            <w:r/>
            <w:r>
              <w:rPr>
                <w:rFonts w:ascii="Arial" w:hAnsi="Arial" w:cs="Arial"/>
                <w:b w:val="0"/>
                <w:i w:val="0"/>
                <w:sz w:val="17"/>
              </w:rPr>
              <w:t>DISPUTE_PROBABILITY</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LOGISTICS_FAILURE_RISK</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SETTLEMENT_COMPLEXITY</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DOCUMENT_FAILURE_RISK</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EXTERNAL_EVENT_RISK</w:t>
            </w:r>
          </w:p>
        </w:tc>
        <w:tc>
          <w:tcPr>
            <w:tcW w:type="dxa" w:w="4819"/>
          </w:tcPr>
          <w:p>
            <w:pPr>
              <w:spacing w:after="20" w:before="20" w:line="240" w:lineRule="auto"/>
            </w:pPr>
            <w:r/>
            <w:r>
              <w:rPr>
                <w:rFonts w:ascii="Arial" w:hAnsi="Arial" w:cs="Arial"/>
                <w:b w:val="0"/>
                <w:i w:val="0"/>
                <w:sz w:val="17"/>
              </w:rPr>
              <w:t>5%</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9.27.9.1 TRI Integration</w:t>
      </w:r>
    </w:p>
    <w:p>
      <w:pPr>
        <w:spacing w:after="80" w:line="293" w:lineRule="auto"/>
        <w:jc w:val="left"/>
      </w:pPr>
      <w:r>
        <w:rPr>
          <w:rFonts w:ascii="Times New Roman" w:hAnsi="Times New Roman" w:cs="Times New Roman"/>
          <w:b w:val="0"/>
          <w:i w:val="0"/>
          <w:sz w:val="22"/>
        </w:rPr>
        <w:t>The Trust Rating Index enters the risk model as an operational-risk contribution rather than as an arbitrary adder of basis points:</w:t>
      </w:r>
    </w:p>
    <w:p>
      <w:pPr>
        <w:spacing w:after="0" w:before="0" w:line="240" w:lineRule="auto"/>
        <w:ind w:left="57"/>
        <w:jc w:val="left"/>
        <w:shd w:val="clear" w:fill="F2F2F2"/>
      </w:pPr>
      <w:r>
        <w:rPr>
          <w:rFonts w:ascii="Consolas" w:hAnsi="Consolas" w:cs="Consolas"/>
          <w:b w:val="0"/>
          <w:i w:val="0"/>
          <w:sz w:val="15"/>
        </w:rPr>
        <w:t>TRI_RISK = 100 - TRUST_NORMALIZED_SCORE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High trust therefore reduces risk naturally: a party with a normalized trust score of 90 contributes 10 risk points, while an unproven party contributes up to 100. The TRI version used in each fee calculation is recorded in the fee decision object (Section 9.27.24) so that the trust input is replayable.</w:t>
      </w:r>
    </w:p>
    <w:p>
      <w:pPr>
        <w:keepNext/>
        <w:spacing w:before="180" w:after="80"/>
        <w:outlineLvl w:val="2"/>
      </w:pPr>
      <w:r>
        <w:rPr>
          <w:rFonts w:ascii="Arial" w:hAnsi="Arial" w:cs="Arial"/>
          <w:b/>
          <w:i w:val="0"/>
          <w:color w:val="333333"/>
          <w:sz w:val="23"/>
        </w:rPr>
        <w:t>9.27.10 Value Delivered Score</w:t>
      </w:r>
    </w:p>
    <w:p>
      <w:pPr>
        <w:spacing w:after="80" w:line="293" w:lineRule="auto"/>
        <w:jc w:val="left"/>
      </w:pPr>
      <w:r>
        <w:rPr>
          <w:rFonts w:ascii="Times New Roman" w:hAnsi="Times New Roman" w:cs="Times New Roman"/>
          <w:b w:val="0"/>
          <w:i w:val="0"/>
          <w:sz w:val="22"/>
        </w:rPr>
        <w:t>The engine prices measurable platform value rather than generic customer wealth. The Value Delivered Score quantifies the SGTX infrastructure services actually consumed by the transaction: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Value Component</w:t>
            </w:r>
          </w:p>
        </w:tc>
        <w:tc>
          <w:tcPr>
            <w:tcW w:type="dxa" w:w="4819"/>
            <w:shd w:val="clear" w:fill="D9E2F3"/>
          </w:tcPr>
          <w:p>
            <w:pPr>
              <w:spacing w:after="20" w:before="20" w:line="240" w:lineRule="auto"/>
            </w:pPr>
            <w:r/>
            <w:r>
              <w:rPr>
                <w:rFonts w:ascii="Arial" w:hAnsi="Arial" w:cs="Arial"/>
                <w:b/>
                <w:i w:val="0"/>
                <w:sz w:val="18"/>
              </w:rPr>
              <w:t>Weight</w:t>
            </w:r>
          </w:p>
        </w:tc>
      </w:tr>
      <w:tr>
        <w:tc>
          <w:tcPr>
            <w:tcW w:type="dxa" w:w="4819"/>
          </w:tcPr>
          <w:p>
            <w:pPr>
              <w:spacing w:after="20" w:before="20" w:line="240" w:lineRule="auto"/>
            </w:pPr>
            <w:r/>
            <w:r>
              <w:rPr>
                <w:rFonts w:ascii="Arial" w:hAnsi="Arial" w:cs="Arial"/>
                <w:b w:val="0"/>
                <w:i w:val="0"/>
                <w:sz w:val="17"/>
              </w:rPr>
              <w:t>EXECUTION_ORCHESTRATION</w:t>
            </w:r>
          </w:p>
        </w:tc>
        <w:tc>
          <w:tcPr>
            <w:tcW w:type="dxa" w:w="4819"/>
          </w:tcPr>
          <w:p>
            <w:pPr>
              <w:spacing w:after="20" w:before="20" w:line="240" w:lineRule="auto"/>
            </w:pPr>
            <w:r/>
            <w:r>
              <w:rPr>
                <w:rFonts w:ascii="Arial" w:hAnsi="Arial" w:cs="Arial"/>
                <w:b w:val="0"/>
                <w:i w:val="0"/>
                <w:sz w:val="17"/>
              </w:rPr>
              <w:t>25%</w:t>
            </w:r>
          </w:p>
        </w:tc>
      </w:tr>
      <w:tr>
        <w:tc>
          <w:tcPr>
            <w:tcW w:type="dxa" w:w="4819"/>
          </w:tcPr>
          <w:p>
            <w:pPr>
              <w:spacing w:after="20" w:before="20" w:line="240" w:lineRule="auto"/>
            </w:pPr>
            <w:r/>
            <w:r>
              <w:rPr>
                <w:rFonts w:ascii="Arial" w:hAnsi="Arial" w:cs="Arial"/>
                <w:b w:val="0"/>
                <w:i w:val="0"/>
                <w:sz w:val="17"/>
              </w:rPr>
              <w:t>REGULATORY_AUTOMATION</w:t>
            </w:r>
          </w:p>
        </w:tc>
        <w:tc>
          <w:tcPr>
            <w:tcW w:type="dxa" w:w="4819"/>
          </w:tcPr>
          <w:p>
            <w:pPr>
              <w:spacing w:after="20" w:before="20" w:line="240" w:lineRule="auto"/>
            </w:pPr>
            <w:r/>
            <w:r>
              <w:rPr>
                <w:rFonts w:ascii="Arial" w:hAnsi="Arial" w:cs="Arial"/>
                <w:b w:val="0"/>
                <w:i w:val="0"/>
                <w:sz w:val="17"/>
              </w:rPr>
              <w:t>20%</w:t>
            </w:r>
          </w:p>
        </w:tc>
      </w:tr>
      <w:tr>
        <w:tc>
          <w:tcPr>
            <w:tcW w:type="dxa" w:w="4819"/>
          </w:tcPr>
          <w:p>
            <w:pPr>
              <w:spacing w:after="20" w:before="20" w:line="240" w:lineRule="auto"/>
            </w:pPr>
            <w:r/>
            <w:r>
              <w:rPr>
                <w:rFonts w:ascii="Arial" w:hAnsi="Arial" w:cs="Arial"/>
                <w:b w:val="0"/>
                <w:i w:val="0"/>
                <w:sz w:val="17"/>
              </w:rPr>
              <w:t>DOCUMENT/EVIDENCE VALUE</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SETTLEMENT ORCHESTRATION</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LOGISTICS ORCHESTRATION</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FINANCING READINESS</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AUDITABILITY</w:t>
            </w:r>
          </w:p>
        </w:tc>
        <w:tc>
          <w:tcPr>
            <w:tcW w:type="dxa" w:w="4819"/>
          </w:tcPr>
          <w:p>
            <w:pPr>
              <w:spacing w:after="20" w:before="20" w:line="240" w:lineRule="auto"/>
            </w:pPr>
            <w:r/>
            <w:r>
              <w:rPr>
                <w:rFonts w:ascii="Arial" w:hAnsi="Arial" w:cs="Arial"/>
                <w:b w:val="0"/>
                <w:i w:val="0"/>
                <w:sz w:val="17"/>
              </w:rPr>
              <w:t>5%</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trade receiving ten meaningful SGTX infrastructure services may appropriately carry a higher platform fee than a simple low-complexity transaction, because the platform is delivering proportionally more orchestration, automation, evidence, and settlement value. The score is computed from the service set actually attached to the trade request and the capabilities engaged during execution, not from the customer balance sheet.</w:t>
      </w:r>
    </w:p>
    <w:p>
      <w:pPr>
        <w:keepNext/>
        <w:spacing w:before="180" w:after="80"/>
        <w:outlineLvl w:val="2"/>
      </w:pPr>
      <w:r>
        <w:rPr>
          <w:rFonts w:ascii="Arial" w:hAnsi="Arial" w:cs="Arial"/>
          <w:b/>
          <w:i w:val="0"/>
          <w:color w:val="333333"/>
          <w:sz w:val="23"/>
        </w:rPr>
        <w:t>9.27.11 Efficiency Score</w:t>
      </w:r>
    </w:p>
    <w:p>
      <w:pPr>
        <w:spacing w:after="80" w:line="293" w:lineRule="auto"/>
        <w:jc w:val="left"/>
      </w:pPr>
      <w:r>
        <w:rPr>
          <w:rFonts w:ascii="Times New Roman" w:hAnsi="Times New Roman" w:cs="Times New Roman"/>
          <w:b w:val="0"/>
          <w:i w:val="0"/>
          <w:sz w:val="22"/>
        </w:rPr>
        <w:t>Efficiency represents how much the customer and the transaction reduce SGTX cost to serve. The efficiency score is the earned-benefit channel through which automation, reliability, and repetition lower fees: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Efficiency Component</w:t>
            </w:r>
          </w:p>
        </w:tc>
        <w:tc>
          <w:tcPr>
            <w:tcW w:type="dxa" w:w="4819"/>
            <w:shd w:val="clear" w:fill="D9E2F3"/>
          </w:tcPr>
          <w:p>
            <w:pPr>
              <w:spacing w:after="20" w:before="20" w:line="240" w:lineRule="auto"/>
            </w:pPr>
            <w:r/>
            <w:r>
              <w:rPr>
                <w:rFonts w:ascii="Arial" w:hAnsi="Arial" w:cs="Arial"/>
                <w:b/>
                <w:i w:val="0"/>
                <w:sz w:val="18"/>
              </w:rPr>
              <w:t>Weight</w:t>
            </w:r>
          </w:p>
        </w:tc>
      </w:tr>
      <w:tr>
        <w:tc>
          <w:tcPr>
            <w:tcW w:type="dxa" w:w="4819"/>
          </w:tcPr>
          <w:p>
            <w:pPr>
              <w:spacing w:after="20" w:before="20" w:line="240" w:lineRule="auto"/>
            </w:pPr>
            <w:r/>
            <w:r>
              <w:rPr>
                <w:rFonts w:ascii="Arial" w:hAnsi="Arial" w:cs="Arial"/>
                <w:b w:val="0"/>
                <w:i w:val="0"/>
                <w:sz w:val="17"/>
              </w:rPr>
              <w:t>API_AUTOMATION</w:t>
            </w:r>
          </w:p>
        </w:tc>
        <w:tc>
          <w:tcPr>
            <w:tcW w:type="dxa" w:w="4819"/>
          </w:tcPr>
          <w:p>
            <w:pPr>
              <w:spacing w:after="20" w:before="20" w:line="240" w:lineRule="auto"/>
            </w:pPr>
            <w:r/>
            <w:r>
              <w:rPr>
                <w:rFonts w:ascii="Arial" w:hAnsi="Arial" w:cs="Arial"/>
                <w:b w:val="0"/>
                <w:i w:val="0"/>
                <w:sz w:val="17"/>
              </w:rPr>
              <w:t>20%</w:t>
            </w:r>
          </w:p>
        </w:tc>
      </w:tr>
      <w:tr>
        <w:tc>
          <w:tcPr>
            <w:tcW w:type="dxa" w:w="4819"/>
          </w:tcPr>
          <w:p>
            <w:pPr>
              <w:spacing w:after="20" w:before="20" w:line="240" w:lineRule="auto"/>
            </w:pPr>
            <w:r/>
            <w:r>
              <w:rPr>
                <w:rFonts w:ascii="Arial" w:hAnsi="Arial" w:cs="Arial"/>
                <w:b w:val="0"/>
                <w:i w:val="0"/>
                <w:sz w:val="17"/>
              </w:rPr>
              <w:t>DOCUMENT_FIRST_PASS_RATE</w:t>
            </w:r>
          </w:p>
        </w:tc>
        <w:tc>
          <w:tcPr>
            <w:tcW w:type="dxa" w:w="4819"/>
          </w:tcPr>
          <w:p>
            <w:pPr>
              <w:spacing w:after="20" w:before="20" w:line="240" w:lineRule="auto"/>
            </w:pPr>
            <w:r/>
            <w:r>
              <w:rPr>
                <w:rFonts w:ascii="Arial" w:hAnsi="Arial" w:cs="Arial"/>
                <w:b w:val="0"/>
                <w:i w:val="0"/>
                <w:sz w:val="17"/>
              </w:rPr>
              <w:t>20%</w:t>
            </w:r>
          </w:p>
        </w:tc>
      </w:tr>
      <w:tr>
        <w:tc>
          <w:tcPr>
            <w:tcW w:type="dxa" w:w="4819"/>
          </w:tcPr>
          <w:p>
            <w:pPr>
              <w:spacing w:after="20" w:before="20" w:line="240" w:lineRule="auto"/>
            </w:pPr>
            <w:r/>
            <w:r>
              <w:rPr>
                <w:rFonts w:ascii="Arial" w:hAnsi="Arial" w:cs="Arial"/>
                <w:b w:val="0"/>
                <w:i w:val="0"/>
                <w:sz w:val="17"/>
              </w:rPr>
              <w:t>PAYMENT_RELIABILITY</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LOW_EXCEPTION_RATE</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CORRIDOR_MATURITY</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REPEAT_EXECUTION</w:t>
            </w:r>
          </w:p>
        </w:tc>
        <w:tc>
          <w:tcPr>
            <w:tcW w:type="dxa" w:w="4819"/>
          </w:tcPr>
          <w:p>
            <w:pPr>
              <w:spacing w:after="20" w:before="20" w:line="240" w:lineRule="auto"/>
            </w:pPr>
            <w:r/>
            <w:r>
              <w:rPr>
                <w:rFonts w:ascii="Arial" w:hAnsi="Arial" w:cs="Arial"/>
                <w:b w:val="0"/>
                <w:i w:val="0"/>
                <w:sz w:val="17"/>
              </w:rPr>
              <w:t>10%</w:t>
            </w:r>
          </w:p>
        </w:tc>
      </w:tr>
      <w:tr>
        <w:tc>
          <w:tcPr>
            <w:tcW w:type="dxa" w:w="4819"/>
          </w:tcPr>
          <w:p>
            <w:pPr>
              <w:spacing w:after="20" w:before="20" w:line="240" w:lineRule="auto"/>
            </w:pPr>
            <w:r/>
            <w:r>
              <w:rPr>
                <w:rFonts w:ascii="Arial" w:hAnsi="Arial" w:cs="Arial"/>
                <w:b w:val="0"/>
                <w:i w:val="0"/>
                <w:sz w:val="17"/>
              </w:rPr>
              <w:t>STRUCTURED_DATA_QUALITY</w:t>
            </w:r>
          </w:p>
        </w:tc>
        <w:tc>
          <w:tcPr>
            <w:tcW w:type="dxa" w:w="4819"/>
          </w:tcPr>
          <w:p>
            <w:pPr>
              <w:spacing w:after="20" w:before="20" w:line="240" w:lineRule="auto"/>
            </w:pPr>
            <w:r/>
            <w:r>
              <w:rPr>
                <w:rFonts w:ascii="Arial" w:hAnsi="Arial" w:cs="Arial"/>
                <w:b w:val="0"/>
                <w:i w:val="0"/>
                <w:sz w:val="17"/>
              </w:rPr>
              <w:t>10%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Because efficiency enters the Fairness Score with a negative 15% weight, every efficiency point earned by the customer reduces the composite score and therefore the rate. This is the structural mechanism behind the API integration benefit, the execution consistency index, and the corridor maturity effects specified in Section 9.27.20; none of those benefits are arbitrary discounts - they are the pricing expression of measured cost reduction.</w:t>
      </w:r>
    </w:p>
    <w:p>
      <w:pPr>
        <w:keepNext/>
        <w:spacing w:before="180" w:after="80"/>
        <w:outlineLvl w:val="2"/>
      </w:pPr>
      <w:r>
        <w:rPr>
          <w:rFonts w:ascii="Arial" w:hAnsi="Arial" w:cs="Arial"/>
          <w:b/>
          <w:i w:val="0"/>
          <w:color w:val="333333"/>
          <w:sz w:val="23"/>
        </w:rPr>
        <w:t>9.27.12 Fair Rate, Rate Smoothing &amp; Fee Confidence</w:t>
      </w:r>
    </w:p>
    <w:p>
      <w:pPr>
        <w:keepNext/>
        <w:spacing w:before="140" w:after="60"/>
        <w:outlineLvl w:val="3"/>
      </w:pPr>
      <w:r>
        <w:rPr>
          <w:rFonts w:ascii="Arial" w:hAnsi="Arial" w:cs="Arial"/>
          <w:b/>
          <w:i/>
          <w:color w:val="333333"/>
          <w:sz w:val="22"/>
        </w:rPr>
        <w:t>9.27.12.1 Fair Rate Formula</w:t>
      </w:r>
    </w:p>
    <w:p>
      <w:pPr>
        <w:spacing w:after="80" w:line="293" w:lineRule="auto"/>
        <w:jc w:val="left"/>
      </w:pPr>
      <w:r>
        <w:rPr>
          <w:rFonts w:ascii="Times New Roman" w:hAnsi="Times New Roman" w:cs="Times New Roman"/>
          <w:b w:val="0"/>
          <w:i w:val="0"/>
          <w:sz w:val="22"/>
        </w:rPr>
        <w:t>The fair rate maps the clamped Fairness Score linearly onto the constitutional band:</w:t>
      </w:r>
    </w:p>
    <w:p>
      <w:pPr>
        <w:spacing w:after="0" w:before="0" w:line="240" w:lineRule="auto"/>
        <w:ind w:left="57"/>
        <w:jc w:val="left"/>
        <w:shd w:val="clear" w:fill="F2F2F2"/>
      </w:pPr>
      <w:r>
        <w:rPr>
          <w:rFonts w:ascii="Consolas" w:hAnsi="Consolas" w:cs="Consolas"/>
          <w:b w:val="0"/>
          <w:i w:val="0"/>
          <w:sz w:val="15"/>
        </w:rPr>
        <w:t>FAIR_RATE = 0.03% + 1.47% x (FAIRNESS_SCORE / 100)</w:t>
      </w:r>
    </w:p>
    <w:p>
      <w:pPr>
        <w:spacing w:after="120" w:before="0"/>
      </w:pPr>
      <w:r>
        <w:rPr>
          <w:rFonts w:ascii="Times New Roman" w:hAnsi="Times New Roman" w:cs="Times New Roman"/>
          <w:b w:val="0"/>
          <w:i w:val="0"/>
          <w:sz w:val="4"/>
        </w:rPr>
        <w:t xml:space="preserve"> </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Fairness Score</w:t>
            </w:r>
          </w:p>
        </w:tc>
        <w:tc>
          <w:tcPr>
            <w:tcW w:type="dxa" w:w="4819"/>
            <w:shd w:val="clear" w:fill="D9E2F3"/>
          </w:tcPr>
          <w:p>
            <w:pPr>
              <w:spacing w:after="20" w:before="20" w:line="240" w:lineRule="auto"/>
            </w:pPr>
            <w:r/>
            <w:r>
              <w:rPr>
                <w:rFonts w:ascii="Arial" w:hAnsi="Arial" w:cs="Arial"/>
                <w:b/>
                <w:i w:val="0"/>
                <w:sz w:val="18"/>
              </w:rPr>
              <w:t>Fair Rate</w:t>
            </w:r>
          </w:p>
        </w:tc>
      </w:tr>
      <w:tr>
        <w:tc>
          <w:tcPr>
            <w:tcW w:type="dxa" w:w="4819"/>
          </w:tcPr>
          <w:p>
            <w:pPr>
              <w:spacing w:after="20" w:before="20" w:line="240" w:lineRule="auto"/>
            </w:pPr>
            <w:r/>
            <w:r>
              <w:rPr>
                <w:rFonts w:ascii="Arial" w:hAnsi="Arial" w:cs="Arial"/>
                <w:b w:val="0"/>
                <w:i w:val="0"/>
                <w:sz w:val="17"/>
              </w:rPr>
              <w:t>0</w:t>
            </w:r>
          </w:p>
        </w:tc>
        <w:tc>
          <w:tcPr>
            <w:tcW w:type="dxa" w:w="4819"/>
          </w:tcPr>
          <w:p>
            <w:pPr>
              <w:spacing w:after="20" w:before="20" w:line="240" w:lineRule="auto"/>
            </w:pPr>
            <w:r/>
            <w:r>
              <w:rPr>
                <w:rFonts w:ascii="Arial" w:hAnsi="Arial" w:cs="Arial"/>
                <w:b w:val="0"/>
                <w:i w:val="0"/>
                <w:sz w:val="17"/>
              </w:rPr>
              <w:t>0.03%</w:t>
            </w:r>
          </w:p>
        </w:tc>
      </w:tr>
      <w:tr>
        <w:tc>
          <w:tcPr>
            <w:tcW w:type="dxa" w:w="4819"/>
          </w:tcPr>
          <w:p>
            <w:pPr>
              <w:spacing w:after="20" w:before="20" w:line="240" w:lineRule="auto"/>
            </w:pPr>
            <w:r/>
            <w:r>
              <w:rPr>
                <w:rFonts w:ascii="Arial" w:hAnsi="Arial" w:cs="Arial"/>
                <w:b w:val="0"/>
                <w:i w:val="0"/>
                <w:sz w:val="17"/>
              </w:rPr>
              <w:t>25</w:t>
            </w:r>
          </w:p>
        </w:tc>
        <w:tc>
          <w:tcPr>
            <w:tcW w:type="dxa" w:w="4819"/>
          </w:tcPr>
          <w:p>
            <w:pPr>
              <w:spacing w:after="20" w:before="20" w:line="240" w:lineRule="auto"/>
            </w:pPr>
            <w:r/>
            <w:r>
              <w:rPr>
                <w:rFonts w:ascii="Arial" w:hAnsi="Arial" w:cs="Arial"/>
                <w:b w:val="0"/>
                <w:i w:val="0"/>
                <w:sz w:val="17"/>
              </w:rPr>
              <w:t>0.3975%</w:t>
            </w:r>
          </w:p>
        </w:tc>
      </w:tr>
      <w:tr>
        <w:tc>
          <w:tcPr>
            <w:tcW w:type="dxa" w:w="4819"/>
          </w:tcPr>
          <w:p>
            <w:pPr>
              <w:spacing w:after="20" w:before="20" w:line="240" w:lineRule="auto"/>
            </w:pPr>
            <w:r/>
            <w:r>
              <w:rPr>
                <w:rFonts w:ascii="Arial" w:hAnsi="Arial" w:cs="Arial"/>
                <w:b w:val="0"/>
                <w:i w:val="0"/>
                <w:sz w:val="17"/>
              </w:rPr>
              <w:t>50</w:t>
            </w:r>
          </w:p>
        </w:tc>
        <w:tc>
          <w:tcPr>
            <w:tcW w:type="dxa" w:w="4819"/>
          </w:tcPr>
          <w:p>
            <w:pPr>
              <w:spacing w:after="20" w:before="20" w:line="240" w:lineRule="auto"/>
            </w:pPr>
            <w:r/>
            <w:r>
              <w:rPr>
                <w:rFonts w:ascii="Arial" w:hAnsi="Arial" w:cs="Arial"/>
                <w:b w:val="0"/>
                <w:i w:val="0"/>
                <w:sz w:val="17"/>
              </w:rPr>
              <w:t>0.765%</w:t>
            </w:r>
          </w:p>
        </w:tc>
      </w:tr>
      <w:tr>
        <w:tc>
          <w:tcPr>
            <w:tcW w:type="dxa" w:w="4819"/>
          </w:tcPr>
          <w:p>
            <w:pPr>
              <w:spacing w:after="20" w:before="20" w:line="240" w:lineRule="auto"/>
            </w:pPr>
            <w:r/>
            <w:r>
              <w:rPr>
                <w:rFonts w:ascii="Arial" w:hAnsi="Arial" w:cs="Arial"/>
                <w:b w:val="0"/>
                <w:i w:val="0"/>
                <w:sz w:val="17"/>
              </w:rPr>
              <w:t>75</w:t>
            </w:r>
          </w:p>
        </w:tc>
        <w:tc>
          <w:tcPr>
            <w:tcW w:type="dxa" w:w="4819"/>
          </w:tcPr>
          <w:p>
            <w:pPr>
              <w:spacing w:after="20" w:before="20" w:line="240" w:lineRule="auto"/>
            </w:pPr>
            <w:r/>
            <w:r>
              <w:rPr>
                <w:rFonts w:ascii="Arial" w:hAnsi="Arial" w:cs="Arial"/>
                <w:b w:val="0"/>
                <w:i w:val="0"/>
                <w:sz w:val="17"/>
              </w:rPr>
              <w:t>1.1325%</w:t>
            </w:r>
          </w:p>
        </w:tc>
      </w:tr>
      <w:tr>
        <w:tc>
          <w:tcPr>
            <w:tcW w:type="dxa" w:w="4819"/>
          </w:tcPr>
          <w:p>
            <w:pPr>
              <w:spacing w:after="20" w:before="20" w:line="240" w:lineRule="auto"/>
            </w:pPr>
            <w:r/>
            <w:r>
              <w:rPr>
                <w:rFonts w:ascii="Arial" w:hAnsi="Arial" w:cs="Arial"/>
                <w:b w:val="0"/>
                <w:i w:val="0"/>
                <w:sz w:val="17"/>
              </w:rPr>
              <w:t>100</w:t>
            </w:r>
          </w:p>
        </w:tc>
        <w:tc>
          <w:tcPr>
            <w:tcW w:type="dxa" w:w="4819"/>
          </w:tcPr>
          <w:p>
            <w:pPr>
              <w:spacing w:after="20" w:before="20" w:line="240" w:lineRule="auto"/>
            </w:pPr>
            <w:r/>
            <w:r>
              <w:rPr>
                <w:rFonts w:ascii="Arial" w:hAnsi="Arial" w:cs="Arial"/>
                <w:b w:val="0"/>
                <w:i w:val="0"/>
                <w:sz w:val="17"/>
              </w:rPr>
              <w:t>1.50%</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9.27.12.2 Rate Smoothing</w:t>
      </w:r>
    </w:p>
    <w:p>
      <w:pPr>
        <w:spacing w:after="80" w:line="293" w:lineRule="auto"/>
        <w:jc w:val="left"/>
      </w:pPr>
      <w:r>
        <w:rPr>
          <w:rFonts w:ascii="Times New Roman" w:hAnsi="Times New Roman" w:cs="Times New Roman"/>
          <w:b w:val="0"/>
          <w:i w:val="0"/>
          <w:sz w:val="22"/>
        </w:rPr>
        <w:t>The calculated rate shall not move wildly due to one-day market data. For volatile external inputs, the engine applies exponential smoothing:</w:t>
      </w:r>
    </w:p>
    <w:p>
      <w:pPr>
        <w:spacing w:after="0" w:before="0" w:line="240" w:lineRule="auto"/>
        <w:ind w:left="57"/>
        <w:jc w:val="left"/>
        <w:shd w:val="clear" w:fill="F2F2F2"/>
      </w:pPr>
      <w:r>
        <w:rPr>
          <w:rFonts w:ascii="Consolas" w:hAnsi="Consolas" w:cs="Consolas"/>
          <w:b w:val="0"/>
          <w:i w:val="0"/>
          <w:sz w:val="15"/>
        </w:rPr>
        <w:t>SMOOTHED_INPUT = a x CURRENT_INPUT + (1 - a) x PRIOR_INPUT</w:t>
      </w:r>
    </w:p>
    <w:p>
      <w:pPr>
        <w:spacing w:after="0" w:before="0" w:line="240" w:lineRule="auto"/>
        <w:ind w:left="57"/>
        <w:jc w:val="left"/>
        <w:shd w:val="clear" w:fill="F2F2F2"/>
      </w:pPr>
      <w:r>
        <w:rPr>
          <w:rFonts w:ascii="Consolas" w:hAnsi="Consolas" w:cs="Consolas"/>
          <w:b w:val="0"/>
          <w:i w:val="0"/>
          <w:sz w:val="15"/>
        </w:rPr>
        <w:t>where 0 &lt; a &lt;= 1</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alpha parameter is policy-controlled and versioned. Critical events may bypass smoothing where the Governor determines that immediate risk treatment is required; every bypass is recorded in the fee decision trace with the Governor decision reference.</w:t>
      </w:r>
    </w:p>
    <w:p>
      <w:pPr>
        <w:keepNext/>
        <w:spacing w:before="140" w:after="60"/>
        <w:outlineLvl w:val="3"/>
      </w:pPr>
      <w:r>
        <w:rPr>
          <w:rFonts w:ascii="Arial" w:hAnsi="Arial" w:cs="Arial"/>
          <w:b/>
          <w:i/>
          <w:color w:val="333333"/>
          <w:sz w:val="22"/>
        </w:rPr>
        <w:t>9.27.12.3 Fee Confidence Score</w:t>
      </w:r>
    </w:p>
    <w:p>
      <w:pPr>
        <w:spacing w:after="80" w:line="293" w:lineRule="auto"/>
        <w:jc w:val="left"/>
      </w:pPr>
      <w:r>
        <w:rPr>
          <w:rFonts w:ascii="Times New Roman" w:hAnsi="Times New Roman" w:cs="Times New Roman"/>
          <w:b w:val="0"/>
          <w:i w:val="0"/>
          <w:sz w:val="22"/>
        </w:rPr>
        <w:t>Every calculated fee includes a fee confidence score in the 0-100 range, computed from source quality, data recency, historical stability, cross-source agreement, counterparty data completeness, and market data quality. Example: "Fee Confidence: 94%". The confidence score does not change the fee directly unless policy explicitly enables confidence adjustment. Low confidence instead triggers a predictable fallback, conditional calculation, additional evidence request, or human review, rather than silently charging a speculative premium. This protects parties from paying for estimation error while keeping the fee deterministic.</w:t>
      </w:r>
    </w:p>
    <w:p>
      <w:pPr>
        <w:keepNext/>
        <w:spacing w:before="180" w:after="80"/>
        <w:outlineLvl w:val="2"/>
      </w:pPr>
      <w:r>
        <w:rPr>
          <w:rFonts w:ascii="Arial" w:hAnsi="Arial" w:cs="Arial"/>
          <w:b/>
          <w:i w:val="0"/>
          <w:color w:val="333333"/>
          <w:sz w:val="23"/>
        </w:rPr>
        <w:t>9.27.13 Party Economic Protection Model</w:t>
      </w:r>
    </w:p>
    <w:p>
      <w:pPr>
        <w:spacing w:after="80" w:line="293" w:lineRule="auto"/>
        <w:jc w:val="left"/>
      </w:pPr>
      <w:r>
        <w:rPr>
          <w:rFonts w:ascii="Times New Roman" w:hAnsi="Times New Roman" w:cs="Times New Roman"/>
          <w:b w:val="0"/>
          <w:i w:val="0"/>
          <w:sz w:val="22"/>
        </w:rPr>
        <w:t>Party profit is never the primary fee driver; it is an affordability constraint. The fair fee is calculated first from the scored economics of the transaction, and the affordability cap then protects the party. This ordering is what makes the model both commercially principled and protective: the platform charges for its work, and the guard ensures the charge can never consume an unjustified share of a thin-margin party economics.</w:t>
      </w:r>
    </w:p>
    <w:p>
      <w:pPr>
        <w:keepNext/>
        <w:spacing w:before="140" w:after="60"/>
        <w:outlineLvl w:val="3"/>
      </w:pPr>
      <w:r>
        <w:rPr>
          <w:rFonts w:ascii="Arial" w:hAnsi="Arial" w:cs="Arial"/>
          <w:b/>
          <w:i/>
          <w:color w:val="333333"/>
          <w:sz w:val="22"/>
        </w:rPr>
        <w:t>9.27.13.1 Seller Economic Model</w:t>
      </w:r>
    </w:p>
    <w:p>
      <w:pPr>
        <w:spacing w:after="0" w:before="0" w:line="240" w:lineRule="auto"/>
        <w:ind w:left="57"/>
        <w:jc w:val="left"/>
        <w:shd w:val="clear" w:fill="F2F2F2"/>
      </w:pPr>
      <w:r>
        <w:rPr>
          <w:rFonts w:ascii="Consolas" w:hAnsi="Consolas" w:cs="Consolas"/>
          <w:b w:val="0"/>
          <w:i w:val="0"/>
          <w:sz w:val="15"/>
        </w:rPr>
        <w:t>SELLER_REVENUE     = NET_CONTRACTUAL_SALE_VALUE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SELLER_COST        = COGS</w:t>
      </w:r>
    </w:p>
    <w:p>
      <w:pPr>
        <w:spacing w:after="0" w:before="0" w:line="240" w:lineRule="auto"/>
        <w:ind w:left="57"/>
        <w:jc w:val="left"/>
        <w:shd w:val="clear" w:fill="F2F2F2"/>
      </w:pPr>
      <w:r>
        <w:rPr>
          <w:rFonts w:ascii="Consolas" w:hAnsi="Consolas" w:cs="Consolas"/>
          <w:b w:val="0"/>
          <w:i w:val="0"/>
          <w:sz w:val="15"/>
        </w:rPr>
        <w:t xml:space="preserve">                     + SELLER_RESPONSIBLE_PACKING</w:t>
      </w:r>
    </w:p>
    <w:p>
      <w:pPr>
        <w:spacing w:after="0" w:before="0" w:line="240" w:lineRule="auto"/>
        <w:ind w:left="57"/>
        <w:jc w:val="left"/>
        <w:shd w:val="clear" w:fill="F2F2F2"/>
      </w:pPr>
      <w:r>
        <w:rPr>
          <w:rFonts w:ascii="Consolas" w:hAnsi="Consolas" w:cs="Consolas"/>
          <w:b w:val="0"/>
          <w:i w:val="0"/>
          <w:sz w:val="15"/>
        </w:rPr>
        <w:t xml:space="preserve">                     + SELLER_RESPONSIBLE_ORIGIN_COST</w:t>
      </w:r>
    </w:p>
    <w:p>
      <w:pPr>
        <w:spacing w:after="0" w:before="0" w:line="240" w:lineRule="auto"/>
        <w:ind w:left="57"/>
        <w:jc w:val="left"/>
        <w:shd w:val="clear" w:fill="F2F2F2"/>
      </w:pPr>
      <w:r>
        <w:rPr>
          <w:rFonts w:ascii="Consolas" w:hAnsi="Consolas" w:cs="Consolas"/>
          <w:b w:val="0"/>
          <w:i w:val="0"/>
          <w:sz w:val="15"/>
        </w:rPr>
        <w:t xml:space="preserve">                     + SELLER_RESPONSIBLE_LOGISTICS</w:t>
      </w:r>
    </w:p>
    <w:p>
      <w:pPr>
        <w:spacing w:after="0" w:before="0" w:line="240" w:lineRule="auto"/>
        <w:ind w:left="57"/>
        <w:jc w:val="left"/>
        <w:shd w:val="clear" w:fill="F2F2F2"/>
      </w:pPr>
      <w:r>
        <w:rPr>
          <w:rFonts w:ascii="Consolas" w:hAnsi="Consolas" w:cs="Consolas"/>
          <w:b w:val="0"/>
          <w:i w:val="0"/>
          <w:sz w:val="15"/>
        </w:rPr>
        <w:t xml:space="preserve">                     + OTHER_DIRECT_COSTS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SELLER_GROSS_PROFIT = SELLER_REVENUE - SELLER_COST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SELLER_MARGIN       = SELLER_GROSS_PROFIT / SELLER_REVENUE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definition of seller margin is canonical throughout the platform: the seller cost engine of Section 8.2, the margin intelligence of Section 8.2.13, and the affordability guard all use the same construction, so no subsystem computes a competing margin definition.</w:t>
      </w:r>
    </w:p>
    <w:p>
      <w:pPr>
        <w:keepNext/>
        <w:spacing w:before="140" w:after="60"/>
        <w:outlineLvl w:val="3"/>
      </w:pPr>
      <w:r>
        <w:rPr>
          <w:rFonts w:ascii="Arial" w:hAnsi="Arial" w:cs="Arial"/>
          <w:b/>
          <w:i/>
          <w:color w:val="333333"/>
          <w:sz w:val="22"/>
        </w:rPr>
        <w:t>9.27.13.2 Buyer Economic Model</w:t>
      </w:r>
    </w:p>
    <w:p>
      <w:pPr>
        <w:spacing w:after="0" w:before="0" w:line="240" w:lineRule="auto"/>
        <w:ind w:left="57"/>
        <w:jc w:val="left"/>
        <w:shd w:val="clear" w:fill="F2F2F2"/>
      </w:pPr>
      <w:r>
        <w:rPr>
          <w:rFonts w:ascii="Consolas" w:hAnsi="Consolas" w:cs="Consolas"/>
          <w:b w:val="0"/>
          <w:i w:val="0"/>
          <w:sz w:val="15"/>
        </w:rPr>
        <w:t>BUYER_REVENUE      = EXPECTED_REALIZABLE_RESALE_VALUE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BUYER_LANDED_COST  = PURCHASE_VALUE</w:t>
      </w:r>
    </w:p>
    <w:p>
      <w:pPr>
        <w:spacing w:after="0" w:before="0" w:line="240" w:lineRule="auto"/>
        <w:ind w:left="57"/>
        <w:jc w:val="left"/>
        <w:shd w:val="clear" w:fill="F2F2F2"/>
      </w:pPr>
      <w:r>
        <w:rPr>
          <w:rFonts w:ascii="Consolas" w:hAnsi="Consolas" w:cs="Consolas"/>
          <w:b w:val="0"/>
          <w:i w:val="0"/>
          <w:sz w:val="15"/>
        </w:rPr>
        <w:t xml:space="preserve">                     + DUTIES + TAXES</w:t>
      </w:r>
    </w:p>
    <w:p>
      <w:pPr>
        <w:spacing w:after="0" w:before="0" w:line="240" w:lineRule="auto"/>
        <w:ind w:left="57"/>
        <w:jc w:val="left"/>
        <w:shd w:val="clear" w:fill="F2F2F2"/>
      </w:pPr>
      <w:r>
        <w:rPr>
          <w:rFonts w:ascii="Consolas" w:hAnsi="Consolas" w:cs="Consolas"/>
          <w:b w:val="0"/>
          <w:i w:val="0"/>
          <w:sz w:val="15"/>
        </w:rPr>
        <w:t xml:space="preserve">                     + INLAND_LOGISTICS + INSURANCE + BROKERAGE</w:t>
      </w:r>
    </w:p>
    <w:p>
      <w:pPr>
        <w:spacing w:after="0" w:before="0" w:line="240" w:lineRule="auto"/>
        <w:ind w:left="57"/>
        <w:jc w:val="left"/>
        <w:shd w:val="clear" w:fill="F2F2F2"/>
      </w:pPr>
      <w:r>
        <w:rPr>
          <w:rFonts w:ascii="Consolas" w:hAnsi="Consolas" w:cs="Consolas"/>
          <w:b w:val="0"/>
          <w:i w:val="0"/>
          <w:sz w:val="15"/>
        </w:rPr>
        <w:t xml:space="preserve">                     + OTHER_DIRECT_IMPORT_COSTS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BUYER_GROSS_PROFIT = BUYER_REVENUE - BUYER_LANDED_COST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BUYER_MARGIN        = BUYER_GROSS_PROFIT / BUYER_REVENUE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Buyer revenue is the expected realizable resale value, not an arbitrary seller-declared market number. Buyer market-price estimation uses a weighted median rather than a simple arithmetic mean, with comparable transactions weighted according to commodity, HS code, grade, quality, origin, destination, season, quantity, delivery window, Incoterm, currency, transaction recency, and evidence quality. Outliers are detected before the reference price is produced.</w:t>
      </w:r>
    </w:p>
    <w:p>
      <w:pPr>
        <w:keepNext/>
        <w:spacing w:before="140" w:after="60"/>
        <w:outlineLvl w:val="3"/>
      </w:pPr>
      <w:r>
        <w:rPr>
          <w:rFonts w:ascii="Arial" w:hAnsi="Arial" w:cs="Arial"/>
          <w:b/>
          <w:i/>
          <w:color w:val="333333"/>
          <w:sz w:val="22"/>
        </w:rPr>
        <w:t>9.27.13.3 Margin Data Confidence</w:t>
      </w:r>
    </w:p>
    <w:p>
      <w:pPr>
        <w:spacing w:after="80" w:line="293" w:lineRule="auto"/>
        <w:jc w:val="left"/>
      </w:pPr>
      <w:r>
        <w:rPr>
          <w:rFonts w:ascii="Times New Roman" w:hAnsi="Times New Roman" w:cs="Times New Roman"/>
          <w:b w:val="0"/>
          <w:i w:val="0"/>
          <w:sz w:val="22"/>
        </w:rPr>
        <w:t>Self-declared margins never automatically receive full confidence. Margin confidence is scored 0-100 with recommended evidence bands: 0-30 self-declared only; 31-60 partially corroborated; 61-80 historical/platform evidence; 81-95 verified commercial evidence; 96-100 independent/authoritative evidence. Where actual margin evidence is incomplete, the engine blends the verified and reference margins:</w:t>
      </w:r>
    </w:p>
    <w:p>
      <w:pPr>
        <w:spacing w:after="0" w:before="0" w:line="240" w:lineRule="auto"/>
        <w:ind w:left="57"/>
        <w:jc w:val="left"/>
        <w:shd w:val="clear" w:fill="F2F2F2"/>
      </w:pPr>
      <w:r>
        <w:rPr>
          <w:rFonts w:ascii="Consolas" w:hAnsi="Consolas" w:cs="Consolas"/>
          <w:b w:val="0"/>
          <w:i w:val="0"/>
          <w:sz w:val="15"/>
        </w:rPr>
        <w:t>ESTIMATED_MARGIN = CONFIDENCE x VERIFIED_MARGIN + (1 - CONFIDENCE) x REFERENCE_MARGIN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verified margin 4%, reference margin 6%, confidence 80% produces an estimated margin of 0.80 x 4% + 0.20 x 6% = 4.4%.</w:t>
      </w:r>
    </w:p>
    <w:p>
      <w:pPr>
        <w:keepNext/>
        <w:spacing w:before="140" w:after="60"/>
        <w:outlineLvl w:val="3"/>
      </w:pPr>
      <w:r>
        <w:rPr>
          <w:rFonts w:ascii="Arial" w:hAnsi="Arial" w:cs="Arial"/>
          <w:b/>
          <w:i/>
          <w:color w:val="333333"/>
          <w:sz w:val="22"/>
        </w:rPr>
        <w:t>9.27.13.4 Continuous Margin Protection</w:t>
      </w:r>
    </w:p>
    <w:p>
      <w:pPr>
        <w:spacing w:after="80" w:line="293" w:lineRule="auto"/>
        <w:jc w:val="left"/>
      </w:pPr>
      <w:r>
        <w:rPr>
          <w:rFonts w:ascii="Times New Roman" w:hAnsi="Times New Roman" w:cs="Times New Roman"/>
          <w:b w:val="0"/>
          <w:i w:val="0"/>
          <w:sz w:val="22"/>
        </w:rPr>
        <w:t>The margin take rate uses a continuous bounded function instead of abrupt margin brackets, avoiding fee cliffs at 3%, 8%, 15%, and 25% margins:</w:t>
      </w:r>
    </w:p>
    <w:p>
      <w:pPr>
        <w:spacing w:after="0" w:before="0" w:line="240" w:lineRule="auto"/>
        <w:ind w:left="57"/>
        <w:jc w:val="left"/>
        <w:shd w:val="clear" w:fill="F2F2F2"/>
      </w:pPr>
      <w:r>
        <w:rPr>
          <w:rFonts w:ascii="Consolas" w:hAnsi="Consolas" w:cs="Consolas"/>
          <w:b w:val="0"/>
          <w:i w:val="0"/>
          <w:sz w:val="15"/>
        </w:rPr>
        <w:t>MARGIN_TAKE_RATE = 10% + 25% x SIGMOID( (MARGIN - 8%) / 4%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bounded: 10% &lt;= MARGIN_TAKE_RATE &lt;= 35%</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9.27.13.5 Affordability Cap &amp; Loss-Making Transactions</w:t>
      </w:r>
    </w:p>
    <w:p>
      <w:pPr>
        <w:spacing w:after="0" w:before="0" w:line="240" w:lineRule="auto"/>
        <w:ind w:left="57"/>
        <w:jc w:val="left"/>
        <w:shd w:val="clear" w:fill="F2F2F2"/>
      </w:pPr>
      <w:r>
        <w:rPr>
          <w:rFonts w:ascii="Consolas" w:hAnsi="Consolas" w:cs="Consolas"/>
          <w:b w:val="0"/>
          <w:i w:val="0"/>
          <w:sz w:val="15"/>
        </w:rPr>
        <w:t>AFFORDABILITY_CAP = ESTIMATED_GROSS_PROFIT x MARGIN_TAKE_RATE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If the estimated gross profit is less than or equal to zero, the margin cap cannot produce a negative fee, so the affordability cap is zero - but a zero cap does not automatically mean a zero final fee. A loss-trade policy determines whether to apply a cost-to-serve minimum, apply a strategic subsidy, require predictable pricing, require governance approval, or decline unsupported pricing. The platform must never create a negative fee under any circumstances.</w:t>
      </w:r>
    </w:p>
    <w:p>
      <w:pPr>
        <w:keepNext/>
        <w:spacing w:before="180" w:after="80"/>
        <w:outlineLvl w:val="2"/>
      </w:pPr>
      <w:r>
        <w:rPr>
          <w:rFonts w:ascii="Arial" w:hAnsi="Arial" w:cs="Arial"/>
          <w:b/>
          <w:i w:val="0"/>
          <w:color w:val="333333"/>
          <w:sz w:val="23"/>
        </w:rPr>
        <w:t>9.27.14 Bulk Trade Pricing Track</w:t>
      </w:r>
    </w:p>
    <w:p>
      <w:pPr>
        <w:spacing w:after="80" w:line="293" w:lineRule="auto"/>
        <w:jc w:val="left"/>
      </w:pPr>
      <w:r>
        <w:rPr>
          <w:rFonts w:ascii="Times New Roman" w:hAnsi="Times New Roman" w:cs="Times New Roman"/>
          <w:b w:val="0"/>
          <w:i w:val="0"/>
          <w:sz w:val="22"/>
        </w:rPr>
        <w:t>Bulk commodities require a specialised pricing treatment because shipment values can be enormous; per-ton operational workload can be relatively low; margins can be extremely thin; physical quantities can be massive; and the value-to-work ratio is materially different from containerised trades. Bulk receives a dedicated modifier while remaining inside the same constitutional engine - the bulk track adjusts scores, caps, and target curves, but every bulk fee still passes the fairness model, the affordability guard, and the constitutional bounds.</w:t>
      </w:r>
    </w:p>
    <w:p>
      <w:pPr>
        <w:keepNext/>
        <w:spacing w:before="140" w:after="60"/>
        <w:outlineLvl w:val="3"/>
      </w:pPr>
      <w:r>
        <w:rPr>
          <w:rFonts w:ascii="Arial" w:hAnsi="Arial" w:cs="Arial"/>
          <w:b/>
          <w:i/>
          <w:color w:val="333333"/>
          <w:sz w:val="22"/>
        </w:rPr>
        <w:t>9.27.14.1 Bulk Classification</w:t>
      </w:r>
    </w:p>
    <w:p>
      <w:pPr>
        <w:spacing w:after="80" w:line="293" w:lineRule="auto"/>
        <w:jc w:val="left"/>
      </w:pPr>
      <w:r>
        <w:rPr>
          <w:rFonts w:ascii="Times New Roman" w:hAnsi="Times New Roman" w:cs="Times New Roman"/>
          <w:b w:val="0"/>
          <w:i w:val="0"/>
          <w:sz w:val="22"/>
        </w:rPr>
        <w:t>A transaction is classified as BULK when the commodity or logistics structure is predominantly loose bulk, dry bulk, liquid bulk, breakbulk, bulk agricultural, bulk mineral, bulk metal, bulk energy, or bulk chemical. The exact classification is policy-controlled by commodity and transport profile through the RIA commodity policy registry.</w:t>
      </w:r>
    </w:p>
    <w:p>
      <w:pPr>
        <w:keepNext/>
        <w:spacing w:before="140" w:after="60"/>
        <w:outlineLvl w:val="3"/>
      </w:pPr>
      <w:r>
        <w:rPr>
          <w:rFonts w:ascii="Arial" w:hAnsi="Arial" w:cs="Arial"/>
          <w:b/>
          <w:i/>
          <w:color w:val="333333"/>
          <w:sz w:val="22"/>
        </w:rPr>
        <w:t>9.27.14.2 Bulk Economic Variables</w:t>
      </w:r>
    </w:p>
    <w:p>
      <w:pPr>
        <w:spacing w:after="80" w:line="293" w:lineRule="auto"/>
        <w:jc w:val="left"/>
      </w:pPr>
      <w:r>
        <w:rPr>
          <w:rFonts w:ascii="Times New Roman" w:hAnsi="Times New Roman" w:cs="Times New Roman"/>
          <w:b w:val="0"/>
          <w:i w:val="0"/>
          <w:sz w:val="22"/>
        </w:rPr>
        <w:t>Bulk pricing considers shipment value; metric tons; value per metric ton; cargo density; handling complexity; loading and discharge complexity; sampling and inspection requirements; storage requirements; terminal complexity; draft and vessel constraints; demurrage exposure; quantity tolerance; contract frequency; and volume commitment.</w:t>
      </w:r>
    </w:p>
    <w:p>
      <w:pPr>
        <w:keepNext/>
        <w:spacing w:before="140" w:after="60"/>
        <w:outlineLvl w:val="3"/>
      </w:pPr>
      <w:r>
        <w:rPr>
          <w:rFonts w:ascii="Arial" w:hAnsi="Arial" w:cs="Arial"/>
          <w:b/>
          <w:i/>
          <w:color w:val="333333"/>
          <w:sz w:val="22"/>
        </w:rPr>
        <w:t>9.27.14.3 Bulk Efficiency Modifier</w:t>
      </w:r>
    </w:p>
    <w:p>
      <w:pPr>
        <w:spacing w:after="80" w:line="293" w:lineRule="auto"/>
        <w:jc w:val="left"/>
      </w:pPr>
      <w:r>
        <w:rPr>
          <w:rFonts w:ascii="Times New Roman" w:hAnsi="Times New Roman" w:cs="Times New Roman"/>
          <w:b w:val="0"/>
          <w:i w:val="0"/>
          <w:sz w:val="22"/>
        </w:rPr>
        <w:t>Bulk transactions normally receive an efficiency benefit when the value per transaction is high, transaction complexity is low or moderate, and shipment execution is repetitive. The benefit reduces the Fairness Score rather than creating an arbitrary negative fee adjustment, so bulk efficiency flows through the same scoring machinery as every other efficiency signal.</w:t>
      </w:r>
    </w:p>
    <w:p>
      <w:pPr>
        <w:keepNext/>
        <w:spacing w:before="140" w:after="60"/>
        <w:outlineLvl w:val="3"/>
      </w:pPr>
      <w:r>
        <w:rPr>
          <w:rFonts w:ascii="Arial" w:hAnsi="Arial" w:cs="Arial"/>
          <w:b/>
          <w:i/>
          <w:color w:val="333333"/>
          <w:sz w:val="22"/>
        </w:rPr>
        <w:t>9.27.14.4 Bulk Value Density Index</w:t>
      </w:r>
    </w:p>
    <w:p>
      <w:pPr>
        <w:spacing w:after="0" w:before="0" w:line="240" w:lineRule="auto"/>
        <w:ind w:left="57"/>
        <w:jc w:val="left"/>
        <w:shd w:val="clear" w:fill="F2F2F2"/>
      </w:pPr>
      <w:r>
        <w:rPr>
          <w:rFonts w:ascii="Consolas" w:hAnsi="Consolas" w:cs="Consolas"/>
          <w:b w:val="0"/>
          <w:i w:val="0"/>
          <w:sz w:val="15"/>
        </w:rPr>
        <w:t>BULK_VALUE_DENSITY = CFB / NET_WEIGHT_MT   (or CFB / NET_WEIGHT_KG,</w:t>
      </w:r>
    </w:p>
    <w:p>
      <w:pPr>
        <w:spacing w:after="0" w:before="0" w:line="240" w:lineRule="auto"/>
        <w:ind w:left="57"/>
        <w:jc w:val="left"/>
        <w:shd w:val="clear" w:fill="F2F2F2"/>
      </w:pPr>
      <w:r>
        <w:rPr>
          <w:rFonts w:ascii="Consolas" w:hAnsi="Consolas" w:cs="Consolas"/>
          <w:b w:val="0"/>
          <w:i w:val="0"/>
          <w:sz w:val="15"/>
        </w:rPr>
        <w:t xml:space="preserve">                     depending on product configuration)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density metric distinguishes very low value / very high tonnage; normal bulk; high value bulk; and extreme high value bulk, each of which maps to different score and cap treatment.</w:t>
      </w:r>
    </w:p>
    <w:p>
      <w:pPr>
        <w:keepNext/>
        <w:spacing w:before="140" w:after="60"/>
        <w:outlineLvl w:val="3"/>
      </w:pPr>
      <w:r>
        <w:rPr>
          <w:rFonts w:ascii="Arial" w:hAnsi="Arial" w:cs="Arial"/>
          <w:b/>
          <w:i/>
          <w:color w:val="333333"/>
          <w:sz w:val="22"/>
        </w:rPr>
        <w:t>9.27.14.5 Bulk Scale Index</w:t>
      </w:r>
    </w:p>
    <w:p>
      <w:pPr>
        <w:spacing w:after="0" w:before="0" w:line="240" w:lineRule="auto"/>
        <w:ind w:left="57"/>
        <w:jc w:val="left"/>
        <w:shd w:val="clear" w:fill="F2F2F2"/>
      </w:pPr>
      <w:r>
        <w:rPr>
          <w:rFonts w:ascii="Consolas" w:hAnsi="Consolas" w:cs="Consolas"/>
          <w:b w:val="0"/>
          <w:i w:val="0"/>
          <w:sz w:val="15"/>
        </w:rPr>
        <w:t>BULK_SCALE_INDEX = weighted_score( annual_volume_mt, shipment_value,</w:t>
      </w:r>
    </w:p>
    <w:p>
      <w:pPr>
        <w:spacing w:after="0" w:before="0" w:line="240" w:lineRule="auto"/>
        <w:ind w:left="57"/>
        <w:jc w:val="left"/>
        <w:shd w:val="clear" w:fill="F2F2F2"/>
      </w:pPr>
      <w:r>
        <w:rPr>
          <w:rFonts w:ascii="Consolas" w:hAnsi="Consolas" w:cs="Consolas"/>
          <w:b w:val="0"/>
          <w:i w:val="0"/>
          <w:sz w:val="15"/>
        </w:rPr>
        <w:t xml:space="preserve">                    shipment_count, contract_duration, recurring_execution )</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high Bulk Scale Index supports lower rates when SGTX operational workload per dollar declines, which is the precise economic condition under which institutional bulk pricing is justified.</w:t>
      </w:r>
    </w:p>
    <w:p>
      <w:pPr>
        <w:keepNext/>
        <w:spacing w:before="140" w:after="60"/>
        <w:outlineLvl w:val="3"/>
      </w:pPr>
      <w:r>
        <w:rPr>
          <w:rFonts w:ascii="Arial" w:hAnsi="Arial" w:cs="Arial"/>
          <w:b/>
          <w:i/>
          <w:color w:val="333333"/>
          <w:sz w:val="22"/>
        </w:rPr>
        <w:t>9.27.14.6 Continuous Bulk Rate Curve</w:t>
      </w:r>
    </w:p>
    <w:p>
      <w:pPr>
        <w:spacing w:after="80" w:line="293" w:lineRule="auto"/>
        <w:jc w:val="left"/>
      </w:pPr>
      <w:r>
        <w:rPr>
          <w:rFonts w:ascii="Times New Roman" w:hAnsi="Times New Roman" w:cs="Times New Roman"/>
          <w:b w:val="0"/>
          <w:i w:val="0"/>
          <w:sz w:val="22"/>
        </w:rPr>
        <w:t>Discontinuous bracket pricing (illustratively, fixed rate steps at $1M, $5M, $20M, and $50M) is rejected; the engine uses a continuous target curve and interpolates between points, so no trade becomes cheaper merely because it crossed a dollar boundary: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CFB Band</w:t>
            </w:r>
          </w:p>
        </w:tc>
        <w:tc>
          <w:tcPr>
            <w:tcW w:type="dxa" w:w="4819"/>
            <w:shd w:val="clear" w:fill="D9E2F3"/>
          </w:tcPr>
          <w:p>
            <w:pPr>
              <w:spacing w:after="20" w:before="20" w:line="240" w:lineRule="auto"/>
            </w:pPr>
            <w:r/>
            <w:r>
              <w:rPr>
                <w:rFonts w:ascii="Arial" w:hAnsi="Arial" w:cs="Arial"/>
                <w:b/>
                <w:i w:val="0"/>
                <w:sz w:val="18"/>
              </w:rPr>
              <w:t>Target Rate</w:t>
            </w:r>
          </w:p>
        </w:tc>
      </w:tr>
      <w:tr>
        <w:tc>
          <w:tcPr>
            <w:tcW w:type="dxa" w:w="4819"/>
          </w:tcPr>
          <w:p>
            <w:pPr>
              <w:spacing w:after="20" w:before="20" w:line="240" w:lineRule="auto"/>
            </w:pPr>
            <w:r/>
            <w:r>
              <w:rPr>
                <w:rFonts w:ascii="Arial" w:hAnsi="Arial" w:cs="Arial"/>
                <w:b w:val="0"/>
                <w:i w:val="0"/>
                <w:sz w:val="17"/>
              </w:rPr>
              <w:t>&lt;= $1M</w:t>
            </w:r>
          </w:p>
        </w:tc>
        <w:tc>
          <w:tcPr>
            <w:tcW w:type="dxa" w:w="4819"/>
          </w:tcPr>
          <w:p>
            <w:pPr>
              <w:spacing w:after="20" w:before="20" w:line="240" w:lineRule="auto"/>
            </w:pPr>
            <w:r/>
            <w:r>
              <w:rPr>
                <w:rFonts w:ascii="Arial" w:hAnsi="Arial" w:cs="Arial"/>
                <w:b w:val="0"/>
                <w:i w:val="0"/>
                <w:sz w:val="17"/>
              </w:rPr>
              <w:t>12-15 bps</w:t>
            </w:r>
          </w:p>
        </w:tc>
      </w:tr>
      <w:tr>
        <w:tc>
          <w:tcPr>
            <w:tcW w:type="dxa" w:w="4819"/>
          </w:tcPr>
          <w:p>
            <w:pPr>
              <w:spacing w:after="20" w:before="20" w:line="240" w:lineRule="auto"/>
            </w:pPr>
            <w:r/>
            <w:r>
              <w:rPr>
                <w:rFonts w:ascii="Arial" w:hAnsi="Arial" w:cs="Arial"/>
                <w:b w:val="0"/>
                <w:i w:val="0"/>
                <w:sz w:val="17"/>
              </w:rPr>
              <w:t>$1M - $5M</w:t>
            </w:r>
          </w:p>
        </w:tc>
        <w:tc>
          <w:tcPr>
            <w:tcW w:type="dxa" w:w="4819"/>
          </w:tcPr>
          <w:p>
            <w:pPr>
              <w:spacing w:after="20" w:before="20" w:line="240" w:lineRule="auto"/>
            </w:pPr>
            <w:r/>
            <w:r>
              <w:rPr>
                <w:rFonts w:ascii="Arial" w:hAnsi="Arial" w:cs="Arial"/>
                <w:b w:val="0"/>
                <w:i w:val="0"/>
                <w:sz w:val="17"/>
              </w:rPr>
              <w:t>9-12 bps</w:t>
            </w:r>
          </w:p>
        </w:tc>
      </w:tr>
      <w:tr>
        <w:tc>
          <w:tcPr>
            <w:tcW w:type="dxa" w:w="4819"/>
          </w:tcPr>
          <w:p>
            <w:pPr>
              <w:spacing w:after="20" w:before="20" w:line="240" w:lineRule="auto"/>
            </w:pPr>
            <w:r/>
            <w:r>
              <w:rPr>
                <w:rFonts w:ascii="Arial" w:hAnsi="Arial" w:cs="Arial"/>
                <w:b w:val="0"/>
                <w:i w:val="0"/>
                <w:sz w:val="17"/>
              </w:rPr>
              <w:t>$5M - $20M</w:t>
            </w:r>
          </w:p>
        </w:tc>
        <w:tc>
          <w:tcPr>
            <w:tcW w:type="dxa" w:w="4819"/>
          </w:tcPr>
          <w:p>
            <w:pPr>
              <w:spacing w:after="20" w:before="20" w:line="240" w:lineRule="auto"/>
            </w:pPr>
            <w:r/>
            <w:r>
              <w:rPr>
                <w:rFonts w:ascii="Arial" w:hAnsi="Arial" w:cs="Arial"/>
                <w:b w:val="0"/>
                <w:i w:val="0"/>
                <w:sz w:val="17"/>
              </w:rPr>
              <w:t>6-9 bps</w:t>
            </w:r>
          </w:p>
        </w:tc>
      </w:tr>
      <w:tr>
        <w:tc>
          <w:tcPr>
            <w:tcW w:type="dxa" w:w="4819"/>
          </w:tcPr>
          <w:p>
            <w:pPr>
              <w:spacing w:after="20" w:before="20" w:line="240" w:lineRule="auto"/>
            </w:pPr>
            <w:r/>
            <w:r>
              <w:rPr>
                <w:rFonts w:ascii="Arial" w:hAnsi="Arial" w:cs="Arial"/>
                <w:b w:val="0"/>
                <w:i w:val="0"/>
                <w:sz w:val="17"/>
              </w:rPr>
              <w:t>$20M - $50M</w:t>
            </w:r>
          </w:p>
        </w:tc>
        <w:tc>
          <w:tcPr>
            <w:tcW w:type="dxa" w:w="4819"/>
          </w:tcPr>
          <w:p>
            <w:pPr>
              <w:spacing w:after="20" w:before="20" w:line="240" w:lineRule="auto"/>
            </w:pPr>
            <w:r/>
            <w:r>
              <w:rPr>
                <w:rFonts w:ascii="Arial" w:hAnsi="Arial" w:cs="Arial"/>
                <w:b w:val="0"/>
                <w:i w:val="0"/>
                <w:sz w:val="17"/>
              </w:rPr>
              <w:t>4-6 bps</w:t>
            </w:r>
          </w:p>
        </w:tc>
      </w:tr>
      <w:tr>
        <w:tc>
          <w:tcPr>
            <w:tcW w:type="dxa" w:w="4819"/>
          </w:tcPr>
          <w:p>
            <w:pPr>
              <w:spacing w:after="20" w:before="20" w:line="240" w:lineRule="auto"/>
            </w:pPr>
            <w:r/>
            <w:r>
              <w:rPr>
                <w:rFonts w:ascii="Arial" w:hAnsi="Arial" w:cs="Arial"/>
                <w:b w:val="0"/>
                <w:i w:val="0"/>
                <w:sz w:val="17"/>
              </w:rPr>
              <w:t>$50M - $100M</w:t>
            </w:r>
          </w:p>
        </w:tc>
        <w:tc>
          <w:tcPr>
            <w:tcW w:type="dxa" w:w="4819"/>
          </w:tcPr>
          <w:p>
            <w:pPr>
              <w:spacing w:after="20" w:before="20" w:line="240" w:lineRule="auto"/>
            </w:pPr>
            <w:r/>
            <w:r>
              <w:rPr>
                <w:rFonts w:ascii="Arial" w:hAnsi="Arial" w:cs="Arial"/>
                <w:b w:val="0"/>
                <w:i w:val="0"/>
                <w:sz w:val="17"/>
              </w:rPr>
              <w:t>3.5-5 bps</w:t>
            </w:r>
          </w:p>
        </w:tc>
      </w:tr>
      <w:tr>
        <w:tc>
          <w:tcPr>
            <w:tcW w:type="dxa" w:w="4819"/>
          </w:tcPr>
          <w:p>
            <w:pPr>
              <w:spacing w:after="20" w:before="20" w:line="240" w:lineRule="auto"/>
            </w:pPr>
            <w:r/>
            <w:r>
              <w:rPr>
                <w:rFonts w:ascii="Arial" w:hAnsi="Arial" w:cs="Arial"/>
                <w:b w:val="0"/>
                <w:i w:val="0"/>
                <w:sz w:val="17"/>
              </w:rPr>
              <w:t>&gt; $100M</w:t>
            </w:r>
          </w:p>
        </w:tc>
        <w:tc>
          <w:tcPr>
            <w:tcW w:type="dxa" w:w="4819"/>
          </w:tcPr>
          <w:p>
            <w:pPr>
              <w:spacing w:after="20" w:before="20" w:line="240" w:lineRule="auto"/>
            </w:pPr>
            <w:r/>
            <w:r>
              <w:rPr>
                <w:rFonts w:ascii="Arial" w:hAnsi="Arial" w:cs="Arial"/>
                <w:b w:val="0"/>
                <w:i w:val="0"/>
                <w:sz w:val="17"/>
              </w:rPr>
              <w:t>3-4 bps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9.27.14.7 Bulk Hard Cap</w:t>
      </w:r>
    </w:p>
    <w:p>
      <w:pPr>
        <w:spacing w:after="0" w:before="0" w:line="240" w:lineRule="auto"/>
        <w:ind w:left="57"/>
        <w:jc w:val="left"/>
        <w:shd w:val="clear" w:fill="F2F2F2"/>
      </w:pPr>
      <w:r>
        <w:rPr>
          <w:rFonts w:ascii="Consolas" w:hAnsi="Consolas" w:cs="Consolas"/>
          <w:b w:val="0"/>
          <w:i w:val="0"/>
          <w:sz w:val="15"/>
        </w:rPr>
        <w:t>BULK_HARD_CAP = continuous_cap_curve( CFB, annualized_bulk_volume,</w:t>
      </w:r>
    </w:p>
    <w:p>
      <w:pPr>
        <w:spacing w:after="0" w:before="0" w:line="240" w:lineRule="auto"/>
        <w:ind w:left="57"/>
        <w:jc w:val="left"/>
        <w:shd w:val="clear" w:fill="F2F2F2"/>
      </w:pPr>
      <w:r>
        <w:rPr>
          <w:rFonts w:ascii="Consolas" w:hAnsi="Consolas" w:cs="Consolas"/>
          <w:b w:val="0"/>
          <w:i w:val="0"/>
          <w:sz w:val="15"/>
        </w:rPr>
        <w:t xml:space="preserve">                 handling_complexity )</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cap is calibrated from SGTX expected cost-to-serve plus risk reserve plus required contribution, rather than arbitrary maximum-dollar amounts.</w:t>
      </w:r>
    </w:p>
    <w:p>
      <w:pPr>
        <w:keepNext/>
        <w:spacing w:before="140" w:after="60"/>
        <w:outlineLvl w:val="3"/>
      </w:pPr>
      <w:r>
        <w:rPr>
          <w:rFonts w:ascii="Arial" w:hAnsi="Arial" w:cs="Arial"/>
          <w:b/>
          <w:i/>
          <w:color w:val="333333"/>
          <w:sz w:val="22"/>
        </w:rPr>
        <w:t>9.27.14.8 Per-Ton Safety Test</w:t>
      </w:r>
    </w:p>
    <w:p>
      <w:pPr>
        <w:spacing w:after="0" w:before="0" w:line="240" w:lineRule="auto"/>
        <w:ind w:left="57"/>
        <w:jc w:val="left"/>
        <w:shd w:val="clear" w:fill="F2F2F2"/>
      </w:pPr>
      <w:r>
        <w:rPr>
          <w:rFonts w:ascii="Consolas" w:hAnsi="Consolas" w:cs="Consolas"/>
          <w:b w:val="0"/>
          <w:i w:val="0"/>
          <w:sz w:val="15"/>
        </w:rPr>
        <w:t>FEE_PER_MT = FINAL_PLATFORM_FEE / NET_WEIGHT_MT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bulk calculation compares the per-ton fee against the reference fee per metric ton for similar verified trades. Extreme deviations trigger a fee anomaly review; the review does not automatically change the fee, it routes the case through the anomaly policy of Section 9.27.23.</w:t>
      </w:r>
    </w:p>
    <w:p>
      <w:pPr>
        <w:keepNext/>
        <w:spacing w:before="140" w:after="60"/>
        <w:outlineLvl w:val="3"/>
      </w:pPr>
      <w:r>
        <w:rPr>
          <w:rFonts w:ascii="Arial" w:hAnsi="Arial" w:cs="Arial"/>
          <w:b/>
          <w:i/>
          <w:color w:val="333333"/>
          <w:sz w:val="22"/>
        </w:rPr>
        <w:t>9.27.14.9 Low-Margin Bulk Protection</w:t>
      </w:r>
    </w:p>
    <w:p>
      <w:pPr>
        <w:spacing w:after="80" w:line="293" w:lineRule="auto"/>
        <w:jc w:val="left"/>
      </w:pPr>
      <w:r>
        <w:rPr>
          <w:rFonts w:ascii="Times New Roman" w:hAnsi="Times New Roman" w:cs="Times New Roman"/>
          <w:b w:val="0"/>
          <w:i w:val="0"/>
          <w:sz w:val="22"/>
        </w:rPr>
        <w:t>For thin-margin bulk (margin below 3%), the engine heavily prioritises affordability protection, volume efficiency, corridor efficiency, and execution consistency, rather than imposing high percentage charges. The goal is to make SGTX economically usable at commodity-scale volumes instead of extracting marketplace-style rent from low-margin bulk trading. This is the design intent of the whole bulk track, and the worked examples of Section 9.27.32 demonstrate it end to end.</w:t>
      </w:r>
    </w:p>
    <w:p>
      <w:pPr>
        <w:keepNext/>
        <w:spacing w:before="180" w:after="80"/>
        <w:outlineLvl w:val="2"/>
      </w:pPr>
      <w:r>
        <w:rPr>
          <w:rFonts w:ascii="Arial" w:hAnsi="Arial" w:cs="Arial"/>
          <w:b/>
          <w:i w:val="0"/>
          <w:color w:val="333333"/>
          <w:sz w:val="23"/>
        </w:rPr>
        <w:t>9.27.15 Essential Commodities Track</w:t>
      </w:r>
    </w:p>
    <w:p>
      <w:pPr>
        <w:spacing w:after="80" w:line="293" w:lineRule="auto"/>
        <w:jc w:val="left"/>
      </w:pPr>
      <w:r>
        <w:rPr>
          <w:rFonts w:ascii="Times New Roman" w:hAnsi="Times New Roman" w:cs="Times New Roman"/>
          <w:b w:val="0"/>
          <w:i w:val="0"/>
          <w:sz w:val="22"/>
        </w:rPr>
        <w:t>Essentiality is a policy modifier, not a separate mathematical universe. Essential commodities include cereals, rice, wheat, corn, sugar, edible oils, fertilisers, selected food staples, and other government- or RIA-classified strategic commodities. The list remains governed by the RIA/commodity policy registry, so the essential classification is always jurisdiction-current and evidence-backed rather than hard-coded.</w:t>
      </w:r>
    </w:p>
    <w:p>
      <w:pPr>
        <w:spacing w:after="80" w:line="293" w:lineRule="auto"/>
        <w:jc w:val="left"/>
      </w:pPr>
      <w:r>
        <w:rPr>
          <w:rFonts w:ascii="Times New Roman" w:hAnsi="Times New Roman" w:cs="Times New Roman"/>
          <w:b w:val="0"/>
          <w:i w:val="0"/>
          <w:sz w:val="22"/>
        </w:rPr>
        <w:t>The essentiality modifier applies as a multiplicative factor to the fair rate, subject to all caps and floors:</w:t>
      </w:r>
    </w:p>
    <w:p>
      <w:pPr>
        <w:spacing w:after="0" w:before="0" w:line="240" w:lineRule="auto"/>
        <w:ind w:left="57"/>
        <w:jc w:val="left"/>
        <w:shd w:val="clear" w:fill="F2F2F2"/>
      </w:pPr>
      <w:r>
        <w:rPr>
          <w:rFonts w:ascii="Consolas" w:hAnsi="Consolas" w:cs="Consolas"/>
          <w:b w:val="0"/>
          <w:i w:val="0"/>
          <w:sz w:val="15"/>
        </w:rPr>
        <w:t>ESSENTIAL_RATE = FAIR_RATE x ESSENTIALITY_FACTOR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recommended initial range: 0.70 - 0.90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exact factor for each commodity class is a versioned policy parameter calibrated through the backtesting process of Section 9.27.28. Strategic subsidies for essential and humanitarian trade are handled explicitly through the subsidy mechanism of Section 9.27.21 rather than by silently distorting the essentiality factor.</w:t>
      </w:r>
    </w:p>
    <w:p>
      <w:pPr>
        <w:keepNext/>
        <w:spacing w:before="180" w:after="80"/>
        <w:outlineLvl w:val="2"/>
      </w:pPr>
      <w:r>
        <w:rPr>
          <w:rFonts w:ascii="Arial" w:hAnsi="Arial" w:cs="Arial"/>
          <w:b/>
          <w:i w:val="0"/>
          <w:color w:val="333333"/>
          <w:sz w:val="23"/>
        </w:rPr>
        <w:t>9.27.16 Special-Stock Track</w:t>
      </w:r>
    </w:p>
    <w:p>
      <w:pPr>
        <w:spacing w:after="80" w:line="293" w:lineRule="auto"/>
        <w:jc w:val="left"/>
      </w:pPr>
      <w:r>
        <w:rPr>
          <w:rFonts w:ascii="Times New Roman" w:hAnsi="Times New Roman" w:cs="Times New Roman"/>
          <w:b w:val="0"/>
          <w:i w:val="0"/>
          <w:sz w:val="22"/>
        </w:rPr>
        <w:t>Special-stock is a mandatory economic classification covering economically unusual commodities where simple percentage-of-value pricing is misleading. The class is defined by actual economics, not by commodity name: a trade enters the class when its value, margin, concentration, or custody profile makes naive value-proportional pricing structurally unfair to the trading party or to the platform.</w:t>
      </w:r>
    </w:p>
    <w:p>
      <w:pPr>
        <w:keepNext/>
        <w:spacing w:before="140" w:after="60"/>
        <w:outlineLvl w:val="3"/>
      </w:pPr>
      <w:r>
        <w:rPr>
          <w:rFonts w:ascii="Arial" w:hAnsi="Arial" w:cs="Arial"/>
          <w:b/>
          <w:i/>
          <w:color w:val="333333"/>
          <w:sz w:val="22"/>
        </w:rPr>
        <w:t>9.27.16.1 Special-Stock Subclasses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Subclass</w:t>
            </w:r>
          </w:p>
        </w:tc>
        <w:tc>
          <w:tcPr>
            <w:tcW w:type="dxa" w:w="4819"/>
            <w:shd w:val="clear" w:fill="D9E2F3"/>
          </w:tcPr>
          <w:p>
            <w:pPr>
              <w:spacing w:after="20" w:before="20" w:line="240" w:lineRule="auto"/>
            </w:pPr>
            <w:r/>
            <w:r>
              <w:rPr>
                <w:rFonts w:ascii="Arial" w:hAnsi="Arial" w:cs="Arial"/>
                <w:b/>
                <w:i w:val="0"/>
                <w:sz w:val="18"/>
              </w:rPr>
              <w:t>Definition</w:t>
            </w:r>
          </w:p>
        </w:tc>
      </w:tr>
      <w:tr>
        <w:tc>
          <w:tcPr>
            <w:tcW w:type="dxa" w:w="4819"/>
          </w:tcPr>
          <w:p>
            <w:pPr>
              <w:spacing w:after="20" w:before="20" w:line="240" w:lineRule="auto"/>
            </w:pPr>
            <w:r/>
            <w:r>
              <w:rPr>
                <w:rFonts w:ascii="Arial" w:hAnsi="Arial" w:cs="Arial"/>
                <w:b w:val="0"/>
                <w:i w:val="0"/>
                <w:sz w:val="17"/>
              </w:rPr>
              <w:t>A</w:t>
            </w:r>
          </w:p>
        </w:tc>
        <w:tc>
          <w:tcPr>
            <w:tcW w:type="dxa" w:w="4819"/>
          </w:tcPr>
          <w:p>
            <w:pPr>
              <w:spacing w:after="20" w:before="20" w:line="240" w:lineRule="auto"/>
            </w:pPr>
            <w:r/>
            <w:r>
              <w:rPr>
                <w:rFonts w:ascii="Arial" w:hAnsi="Arial" w:cs="Arial"/>
                <w:b w:val="0"/>
                <w:i w:val="0"/>
                <w:sz w:val="17"/>
              </w:rPr>
              <w:t>High Value / Low Margin</w:t>
            </w:r>
          </w:p>
        </w:tc>
      </w:tr>
      <w:tr>
        <w:tc>
          <w:tcPr>
            <w:tcW w:type="dxa" w:w="4819"/>
          </w:tcPr>
          <w:p>
            <w:pPr>
              <w:spacing w:after="20" w:before="20" w:line="240" w:lineRule="auto"/>
            </w:pPr>
            <w:r/>
            <w:r>
              <w:rPr>
                <w:rFonts w:ascii="Arial" w:hAnsi="Arial" w:cs="Arial"/>
                <w:b w:val="0"/>
                <w:i w:val="0"/>
                <w:sz w:val="17"/>
              </w:rPr>
              <w:t>B</w:t>
            </w:r>
          </w:p>
        </w:tc>
        <w:tc>
          <w:tcPr>
            <w:tcW w:type="dxa" w:w="4819"/>
          </w:tcPr>
          <w:p>
            <w:pPr>
              <w:spacing w:after="20" w:before="20" w:line="240" w:lineRule="auto"/>
            </w:pPr>
            <w:r/>
            <w:r>
              <w:rPr>
                <w:rFonts w:ascii="Arial" w:hAnsi="Arial" w:cs="Arial"/>
                <w:b w:val="0"/>
                <w:i w:val="0"/>
                <w:sz w:val="17"/>
              </w:rPr>
              <w:t>High Value / High Volatility</w:t>
            </w:r>
          </w:p>
        </w:tc>
      </w:tr>
      <w:tr>
        <w:tc>
          <w:tcPr>
            <w:tcW w:type="dxa" w:w="4819"/>
          </w:tcPr>
          <w:p>
            <w:pPr>
              <w:spacing w:after="20" w:before="20" w:line="240" w:lineRule="auto"/>
            </w:pPr>
            <w:r/>
            <w:r>
              <w:rPr>
                <w:rFonts w:ascii="Arial" w:hAnsi="Arial" w:cs="Arial"/>
                <w:b w:val="0"/>
                <w:i w:val="0"/>
                <w:sz w:val="17"/>
              </w:rPr>
              <w:t>C</w:t>
            </w:r>
          </w:p>
        </w:tc>
        <w:tc>
          <w:tcPr>
            <w:tcW w:type="dxa" w:w="4819"/>
          </w:tcPr>
          <w:p>
            <w:pPr>
              <w:spacing w:after="20" w:before="20" w:line="240" w:lineRule="auto"/>
            </w:pPr>
            <w:r/>
            <w:r>
              <w:rPr>
                <w:rFonts w:ascii="Arial" w:hAnsi="Arial" w:cs="Arial"/>
                <w:b w:val="0"/>
                <w:i w:val="0"/>
                <w:sz w:val="17"/>
              </w:rPr>
              <w:t>High Unit Value / Low Physical Volume</w:t>
            </w:r>
          </w:p>
        </w:tc>
      </w:tr>
      <w:tr>
        <w:tc>
          <w:tcPr>
            <w:tcW w:type="dxa" w:w="4819"/>
          </w:tcPr>
          <w:p>
            <w:pPr>
              <w:spacing w:after="20" w:before="20" w:line="240" w:lineRule="auto"/>
            </w:pPr>
            <w:r/>
            <w:r>
              <w:rPr>
                <w:rFonts w:ascii="Arial" w:hAnsi="Arial" w:cs="Arial"/>
                <w:b w:val="0"/>
                <w:i w:val="0"/>
                <w:sz w:val="17"/>
              </w:rPr>
              <w:t>D</w:t>
            </w:r>
          </w:p>
        </w:tc>
        <w:tc>
          <w:tcPr>
            <w:tcW w:type="dxa" w:w="4819"/>
          </w:tcPr>
          <w:p>
            <w:pPr>
              <w:spacing w:after="20" w:before="20" w:line="240" w:lineRule="auto"/>
            </w:pPr>
            <w:r/>
            <w:r>
              <w:rPr>
                <w:rFonts w:ascii="Arial" w:hAnsi="Arial" w:cs="Arial"/>
                <w:b w:val="0"/>
                <w:i w:val="0"/>
                <w:sz w:val="17"/>
              </w:rPr>
              <w:t>Strategic Stock</w:t>
            </w:r>
          </w:p>
        </w:tc>
      </w:tr>
      <w:tr>
        <w:tc>
          <w:tcPr>
            <w:tcW w:type="dxa" w:w="4819"/>
          </w:tcPr>
          <w:p>
            <w:pPr>
              <w:spacing w:after="20" w:before="20" w:line="240" w:lineRule="auto"/>
            </w:pPr>
            <w:r/>
            <w:r>
              <w:rPr>
                <w:rFonts w:ascii="Arial" w:hAnsi="Arial" w:cs="Arial"/>
                <w:b w:val="0"/>
                <w:i w:val="0"/>
                <w:sz w:val="17"/>
              </w:rPr>
              <w:t>E</w:t>
            </w:r>
          </w:p>
        </w:tc>
        <w:tc>
          <w:tcPr>
            <w:tcW w:type="dxa" w:w="4819"/>
          </w:tcPr>
          <w:p>
            <w:pPr>
              <w:spacing w:after="20" w:before="20" w:line="240" w:lineRule="auto"/>
            </w:pPr>
            <w:r/>
            <w:r>
              <w:rPr>
                <w:rFonts w:ascii="Arial" w:hAnsi="Arial" w:cs="Arial"/>
                <w:b w:val="0"/>
                <w:i w:val="0"/>
                <w:sz w:val="17"/>
              </w:rPr>
              <w:t>Concentrated Inventory</w:t>
            </w:r>
          </w:p>
        </w:tc>
      </w:tr>
      <w:tr>
        <w:tc>
          <w:tcPr>
            <w:tcW w:type="dxa" w:w="4819"/>
          </w:tcPr>
          <w:p>
            <w:pPr>
              <w:spacing w:after="20" w:before="20" w:line="240" w:lineRule="auto"/>
            </w:pPr>
            <w:r/>
            <w:r>
              <w:rPr>
                <w:rFonts w:ascii="Arial" w:hAnsi="Arial" w:cs="Arial"/>
                <w:b w:val="0"/>
                <w:i w:val="0"/>
                <w:sz w:val="17"/>
              </w:rPr>
              <w:t>F</w:t>
            </w:r>
          </w:p>
        </w:tc>
        <w:tc>
          <w:tcPr>
            <w:tcW w:type="dxa" w:w="4819"/>
          </w:tcPr>
          <w:p>
            <w:pPr>
              <w:spacing w:after="20" w:before="20" w:line="240" w:lineRule="auto"/>
            </w:pPr>
            <w:r/>
            <w:r>
              <w:rPr>
                <w:rFonts w:ascii="Arial" w:hAnsi="Arial" w:cs="Arial"/>
                <w:b w:val="0"/>
                <w:i w:val="0"/>
                <w:sz w:val="17"/>
              </w:rPr>
              <w:t>Market-Sensitive Inventory</w:t>
            </w:r>
          </w:p>
        </w:tc>
      </w:tr>
      <w:tr>
        <w:tc>
          <w:tcPr>
            <w:tcW w:type="dxa" w:w="4819"/>
          </w:tcPr>
          <w:p>
            <w:pPr>
              <w:spacing w:after="20" w:before="20" w:line="240" w:lineRule="auto"/>
            </w:pPr>
            <w:r/>
            <w:r>
              <w:rPr>
                <w:rFonts w:ascii="Arial" w:hAnsi="Arial" w:cs="Arial"/>
                <w:b w:val="0"/>
                <w:i w:val="0"/>
                <w:sz w:val="17"/>
              </w:rPr>
              <w:t>G</w:t>
            </w:r>
          </w:p>
        </w:tc>
        <w:tc>
          <w:tcPr>
            <w:tcW w:type="dxa" w:w="4819"/>
          </w:tcPr>
          <w:p>
            <w:pPr>
              <w:spacing w:after="20" w:before="20" w:line="240" w:lineRule="auto"/>
            </w:pPr>
            <w:r/>
            <w:r>
              <w:rPr>
                <w:rFonts w:ascii="Arial" w:hAnsi="Arial" w:cs="Arial"/>
                <w:b w:val="0"/>
                <w:i w:val="0"/>
                <w:sz w:val="17"/>
              </w:rPr>
              <w:t>Institutionally Held Stock</w:t>
            </w:r>
          </w:p>
        </w:tc>
      </w:tr>
      <w:tr>
        <w:tc>
          <w:tcPr>
            <w:tcW w:type="dxa" w:w="4819"/>
          </w:tcPr>
          <w:p>
            <w:pPr>
              <w:spacing w:after="20" w:before="20" w:line="240" w:lineRule="auto"/>
            </w:pPr>
            <w:r/>
            <w:r>
              <w:rPr>
                <w:rFonts w:ascii="Arial" w:hAnsi="Arial" w:cs="Arial"/>
                <w:b w:val="0"/>
                <w:i w:val="0"/>
                <w:sz w:val="17"/>
              </w:rPr>
              <w:t>H</w:t>
            </w:r>
          </w:p>
        </w:tc>
        <w:tc>
          <w:tcPr>
            <w:tcW w:type="dxa" w:w="4819"/>
          </w:tcPr>
          <w:p>
            <w:pPr>
              <w:spacing w:after="20" w:before="20" w:line="240" w:lineRule="auto"/>
            </w:pPr>
            <w:r/>
            <w:r>
              <w:rPr>
                <w:rFonts w:ascii="Arial" w:hAnsi="Arial" w:cs="Arial"/>
                <w:b w:val="0"/>
                <w:i w:val="0"/>
                <w:sz w:val="17"/>
              </w:rPr>
              <w:t>Non-Standard / Rare Commodity</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9.27.16.2 High-Value / Low-Margin (HVLM)</w:t>
      </w:r>
    </w:p>
    <w:p>
      <w:pPr>
        <w:spacing w:after="80" w:line="293" w:lineRule="auto"/>
        <w:jc w:val="left"/>
      </w:pPr>
      <w:r>
        <w:rPr>
          <w:rFonts w:ascii="Times New Roman" w:hAnsi="Times New Roman" w:cs="Times New Roman"/>
          <w:b w:val="0"/>
          <w:i w:val="0"/>
          <w:sz w:val="22"/>
        </w:rPr>
        <w:t>This subclass is critical. It covers commodities or inventory where the CFB is very large but gross margin is extremely small: precious and industrial metals traded on thin spreads; large commodity inventory positions; certain refined products; high-value raw materials; large institutional stock movements; strategic material inventories; high-value electronics and components traded at thin distribution spreads; and other RIA-classified high-value low-margin inventory. The classification depends on actual economics, not just commodity name.</w:t>
      </w:r>
    </w:p>
    <w:p>
      <w:pPr>
        <w:keepNext/>
        <w:spacing w:before="140" w:after="60"/>
        <w:outlineLvl w:val="3"/>
      </w:pPr>
      <w:r>
        <w:rPr>
          <w:rFonts w:ascii="Arial" w:hAnsi="Arial" w:cs="Arial"/>
          <w:b/>
          <w:i/>
          <w:color w:val="333333"/>
          <w:sz w:val="22"/>
        </w:rPr>
        <w:t>9.27.16.3 Value Does Not Equal Work</w:t>
      </w:r>
    </w:p>
    <w:p>
      <w:pPr>
        <w:spacing w:after="80" w:line="293" w:lineRule="auto"/>
        <w:jc w:val="left"/>
      </w:pPr>
      <w:r>
        <w:rPr>
          <w:rFonts w:ascii="Times New Roman" w:hAnsi="Times New Roman" w:cs="Times New Roman"/>
          <w:b w:val="0"/>
          <w:i w:val="0"/>
          <w:sz w:val="22"/>
        </w:rPr>
        <w:t>For high-value/low-margin trades, value is not work: a $500M trade does not automatically require ten times the infrastructure effort of a $50M trade. The fee therefore scales sublinearly as transaction value grows:</w:t>
      </w:r>
    </w:p>
    <w:p>
      <w:pPr>
        <w:spacing w:after="0" w:before="0" w:line="240" w:lineRule="auto"/>
        <w:ind w:left="57"/>
        <w:jc w:val="left"/>
        <w:shd w:val="clear" w:fill="F2F2F2"/>
      </w:pPr>
      <w:r>
        <w:rPr>
          <w:rFonts w:ascii="Consolas" w:hAnsi="Consolas" w:cs="Consolas"/>
          <w:b w:val="0"/>
          <w:i w:val="0"/>
          <w:sz w:val="15"/>
        </w:rPr>
        <w:t>VALUE_SCALE_FACTOR = LOG( 1 + CFB / BASE_VALUE )   (subject to policy bounds)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Doubling transaction value does not automatically mean doubling the SGTX fee.</w:t>
      </w:r>
    </w:p>
    <w:p>
      <w:pPr>
        <w:keepNext/>
        <w:spacing w:before="140" w:after="60"/>
        <w:outlineLvl w:val="3"/>
      </w:pPr>
      <w:r>
        <w:rPr>
          <w:rFonts w:ascii="Arial" w:hAnsi="Arial" w:cs="Arial"/>
          <w:b/>
          <w:i/>
          <w:color w:val="333333"/>
          <w:sz w:val="22"/>
        </w:rPr>
        <w:t>9.27.16.4 Special-Stock Rate Model</w:t>
      </w:r>
    </w:p>
    <w:p>
      <w:pPr>
        <w:spacing w:after="0" w:before="0" w:line="240" w:lineRule="auto"/>
        <w:ind w:left="57"/>
        <w:jc w:val="left"/>
        <w:shd w:val="clear" w:fill="F2F2F2"/>
      </w:pPr>
      <w:r>
        <w:rPr>
          <w:rFonts w:ascii="Consolas" w:hAnsi="Consolas" w:cs="Consolas"/>
          <w:b w:val="0"/>
          <w:i w:val="0"/>
          <w:sz w:val="15"/>
        </w:rPr>
        <w:t>SPECIAL_STOCK_RATE = BASE_FAIR_RATE x VALUE_SCALING_FACTOR x RISK_FACTOR</w:t>
      </w:r>
    </w:p>
    <w:p>
      <w:pPr>
        <w:spacing w:after="0" w:before="0" w:line="240" w:lineRule="auto"/>
        <w:ind w:left="57"/>
        <w:jc w:val="left"/>
        <w:shd w:val="clear" w:fill="F2F2F2"/>
      </w:pPr>
      <w:r>
        <w:rPr>
          <w:rFonts w:ascii="Consolas" w:hAnsi="Consolas" w:cs="Consolas"/>
          <w:b w:val="0"/>
          <w:i w:val="0"/>
          <w:sz w:val="15"/>
        </w:rPr>
        <w:t xml:space="preserve">                     x COMPLEXITY_FACTOR x EFFICIENCY_FACTOR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All factors are bounded, and the final amount still passes the affordability cap, the hard cap, and the constitutional cap.</w:t>
      </w:r>
    </w:p>
    <w:p>
      <w:pPr>
        <w:keepNext/>
        <w:spacing w:before="140" w:after="60"/>
        <w:outlineLvl w:val="3"/>
      </w:pPr>
      <w:r>
        <w:rPr>
          <w:rFonts w:ascii="Arial" w:hAnsi="Arial" w:cs="Arial"/>
          <w:b/>
          <w:i/>
          <w:color w:val="333333"/>
          <w:sz w:val="22"/>
        </w:rPr>
        <w:t>9.27.16.5 HVLM Protection &amp; Cap</w:t>
      </w:r>
    </w:p>
    <w:p>
      <w:pPr>
        <w:spacing w:after="80" w:line="293" w:lineRule="auto"/>
        <w:jc w:val="left"/>
      </w:pPr>
      <w:r>
        <w:rPr>
          <w:rFonts w:ascii="Times New Roman" w:hAnsi="Times New Roman" w:cs="Times New Roman"/>
          <w:b w:val="0"/>
          <w:i w:val="0"/>
          <w:sz w:val="22"/>
        </w:rPr>
        <w:t>Where the margin is at or below 3% and the CFB meets the high-value threshold, the engine activates HVLM protection and applies the HVLM rate ceiling before the general constitutional maximum. The recommended initial policy range for the HVLM target rate is 2.5-8 bps, subject to cost-to-serve; the exact rate is calibrated from real trade data, not universally fixed. The HVLM cap is:</w:t>
      </w:r>
    </w:p>
    <w:p>
      <w:pPr>
        <w:spacing w:after="0" w:before="0" w:line="240" w:lineRule="auto"/>
        <w:ind w:left="57"/>
        <w:jc w:val="left"/>
        <w:shd w:val="clear" w:fill="F2F2F2"/>
      </w:pPr>
      <w:r>
        <w:rPr>
          <w:rFonts w:ascii="Consolas" w:hAnsi="Consolas" w:cs="Consolas"/>
          <w:b w:val="0"/>
          <w:i w:val="0"/>
          <w:sz w:val="15"/>
        </w:rPr>
        <w:t>HVLM_CAP = MIN( HARD_VALUE_CAP,</w:t>
      </w:r>
    </w:p>
    <w:p>
      <w:pPr>
        <w:spacing w:after="0" w:before="0" w:line="240" w:lineRule="auto"/>
        <w:ind w:left="57"/>
        <w:jc w:val="left"/>
        <w:shd w:val="clear" w:fill="F2F2F2"/>
      </w:pPr>
      <w:r>
        <w:rPr>
          <w:rFonts w:ascii="Consolas" w:hAnsi="Consolas" w:cs="Consolas"/>
          <w:b w:val="0"/>
          <w:i w:val="0"/>
          <w:sz w:val="15"/>
        </w:rPr>
        <w:t xml:space="preserve">           GROSS_PROFIT x MARGIN_TAKE_RATE,</w:t>
      </w:r>
    </w:p>
    <w:p>
      <w:pPr>
        <w:spacing w:after="0" w:before="0" w:line="240" w:lineRule="auto"/>
        <w:ind w:left="57"/>
        <w:jc w:val="left"/>
        <w:shd w:val="clear" w:fill="F2F2F2"/>
      </w:pPr>
      <w:r>
        <w:rPr>
          <w:rFonts w:ascii="Consolas" w:hAnsi="Consolas" w:cs="Consolas"/>
          <w:b w:val="0"/>
          <w:i w:val="0"/>
          <w:sz w:val="15"/>
        </w:rPr>
        <w:t xml:space="preserve">           CFB x HVLM_MAX_RATE )</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ensures that a $1B low-margin transaction is never charged a fee that consumes an economically unreasonable portion of its spread.</w:t>
      </w:r>
    </w:p>
    <w:p>
      <w:pPr>
        <w:keepNext/>
        <w:spacing w:before="140" w:after="60"/>
        <w:outlineLvl w:val="3"/>
      </w:pPr>
      <w:r>
        <w:rPr>
          <w:rFonts w:ascii="Arial" w:hAnsi="Arial" w:cs="Arial"/>
          <w:b/>
          <w:i/>
          <w:color w:val="333333"/>
          <w:sz w:val="22"/>
        </w:rPr>
        <w:t>9.27.16.6 Value Concentration Analysis</w:t>
      </w:r>
    </w:p>
    <w:p>
      <w:pPr>
        <w:spacing w:after="0" w:before="0" w:line="240" w:lineRule="auto"/>
        <w:ind w:left="57"/>
        <w:jc w:val="left"/>
        <w:shd w:val="clear" w:fill="F2F2F2"/>
      </w:pPr>
      <w:r>
        <w:rPr>
          <w:rFonts w:ascii="Consolas" w:hAnsi="Consolas" w:cs="Consolas"/>
          <w:b w:val="0"/>
          <w:i w:val="0"/>
          <w:sz w:val="15"/>
        </w:rPr>
        <w:t>VALUE_CONCENTRATION = CFB / PHYSICAL_VOLUME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Very high concentration triggers a specialised profile that accounts for security risk, insurance requirements, custody and control complexity, verification requirements, inspection requirements, document authenticity risk, and counterfeit or origin risk where applicable. These considerations influence the Risk and Cost-to-Serve scores.</w:t>
      </w:r>
    </w:p>
    <w:p>
      <w:pPr>
        <w:keepNext/>
        <w:spacing w:before="140" w:after="60"/>
        <w:outlineLvl w:val="3"/>
      </w:pPr>
      <w:r>
        <w:rPr>
          <w:rFonts w:ascii="Arial" w:hAnsi="Arial" w:cs="Arial"/>
          <w:b/>
          <w:i/>
          <w:color w:val="333333"/>
          <w:sz w:val="22"/>
        </w:rPr>
        <w:t>9.27.16.7 Special Stock Is Not an Automatic Discount</w:t>
      </w:r>
    </w:p>
    <w:p>
      <w:pPr>
        <w:spacing w:after="80" w:line="293" w:lineRule="auto"/>
        <w:jc w:val="left"/>
      </w:pPr>
      <w:r>
        <w:rPr>
          <w:rFonts w:ascii="Times New Roman" w:hAnsi="Times New Roman" w:cs="Times New Roman"/>
          <w:b w:val="0"/>
          <w:i w:val="0"/>
          <w:sz w:val="22"/>
        </w:rPr>
        <w:t>Being high value does not automatically mean cheap. If a $500M commodity trade creates extra authentication, special inspection, complex financing, high dispute exposure, or multi-jurisdiction execution, the fee may be higher. The distinction is that high value is not high work and high value is not low fee: the price is determined by actual economic characteristics through the scored model.</w:t>
      </w:r>
    </w:p>
    <w:p>
      <w:pPr>
        <w:keepNext/>
        <w:spacing w:before="180" w:after="80"/>
        <w:outlineLvl w:val="2"/>
      </w:pPr>
      <w:r>
        <w:rPr>
          <w:rFonts w:ascii="Arial" w:hAnsi="Arial" w:cs="Arial"/>
          <w:b/>
          <w:i w:val="0"/>
          <w:color w:val="333333"/>
          <w:sz w:val="23"/>
        </w:rPr>
        <w:t>9.27.17 RoRo, Perishable Cargo, Seasonality &amp; Urgency</w:t>
      </w:r>
    </w:p>
    <w:p>
      <w:pPr>
        <w:keepNext/>
        <w:spacing w:before="140" w:after="60"/>
        <w:outlineLvl w:val="3"/>
      </w:pPr>
      <w:r>
        <w:rPr>
          <w:rFonts w:ascii="Arial" w:hAnsi="Arial" w:cs="Arial"/>
          <w:b/>
          <w:i/>
          <w:color w:val="333333"/>
          <w:sz w:val="22"/>
        </w:rPr>
        <w:t>9.27.17.1 RoRo / Vehicle Stock</w:t>
      </w:r>
    </w:p>
    <w:p>
      <w:pPr>
        <w:spacing w:after="80" w:line="293" w:lineRule="auto"/>
        <w:jc w:val="left"/>
      </w:pPr>
      <w:r>
        <w:rPr>
          <w:rFonts w:ascii="Times New Roman" w:hAnsi="Times New Roman" w:cs="Times New Roman"/>
          <w:b w:val="0"/>
          <w:i w:val="0"/>
          <w:sz w:val="22"/>
        </w:rPr>
        <w:t>RoRo transactions are priced from unit count, total cargo value, VIN complexity, customs complexity, and inspection complexity, rather than value alone. This aligns with the platform first-class RoRo architecture and VIN-level customs reconciliation (Section 12): a 500-vehicle RoRo shipment is evaluated differently from a single high-value industrial machine even where total value is similar, because the per-unit documentary and customs workload is structurally different.</w:t>
      </w:r>
    </w:p>
    <w:p>
      <w:pPr>
        <w:keepNext/>
        <w:spacing w:before="140" w:after="60"/>
        <w:outlineLvl w:val="3"/>
      </w:pPr>
      <w:r>
        <w:rPr>
          <w:rFonts w:ascii="Arial" w:hAnsi="Arial" w:cs="Arial"/>
          <w:b/>
          <w:i/>
          <w:color w:val="333333"/>
          <w:sz w:val="22"/>
        </w:rPr>
        <w:t>9.27.17.2 Containerised Agricultural &amp; Perishable Cargo</w:t>
      </w:r>
    </w:p>
    <w:p>
      <w:pPr>
        <w:spacing w:after="80" w:line="293" w:lineRule="auto"/>
        <w:jc w:val="left"/>
      </w:pPr>
      <w:r>
        <w:rPr>
          <w:rFonts w:ascii="Times New Roman" w:hAnsi="Times New Roman" w:cs="Times New Roman"/>
          <w:b w:val="0"/>
          <w:i w:val="0"/>
          <w:sz w:val="22"/>
        </w:rPr>
        <w:t>For perishables, refrigeration complexity, cold-chain complexity, quality risk, shelf life, inspection, and time criticality may raise Cost-to-Serve and Risk. These factors are scored, not bolted on as fixed adders.</w:t>
      </w:r>
    </w:p>
    <w:p>
      <w:pPr>
        <w:keepNext/>
        <w:spacing w:before="140" w:after="60"/>
        <w:outlineLvl w:val="3"/>
      </w:pPr>
      <w:r>
        <w:rPr>
          <w:rFonts w:ascii="Arial" w:hAnsi="Arial" w:cs="Arial"/>
          <w:b/>
          <w:i/>
          <w:color w:val="333333"/>
          <w:sz w:val="22"/>
        </w:rPr>
        <w:t>9.27.17.3 Seasonality</w:t>
      </w:r>
    </w:p>
    <w:p>
      <w:pPr>
        <w:spacing w:after="80" w:line="293" w:lineRule="auto"/>
        <w:jc w:val="left"/>
      </w:pPr>
      <w:r>
        <w:rPr>
          <w:rFonts w:ascii="Times New Roman" w:hAnsi="Times New Roman" w:cs="Times New Roman"/>
          <w:b w:val="0"/>
          <w:i w:val="0"/>
          <w:sz w:val="22"/>
        </w:rPr>
        <w:t>Seasonality is incorporated primarily through market reference, risk, supply conditions, and operational capacity, rather than independent stacked basis points. A seasonality score feeds the existing risk, cost, and efficiency model, and seasonality shall never be allowed to impose arbitrary fee increases merely because a commodity price is temporarily high.</w:t>
      </w:r>
    </w:p>
    <w:p>
      <w:pPr>
        <w:keepNext/>
        <w:spacing w:before="140" w:after="60"/>
        <w:outlineLvl w:val="3"/>
      </w:pPr>
      <w:r>
        <w:rPr>
          <w:rFonts w:ascii="Arial" w:hAnsi="Arial" w:cs="Arial"/>
          <w:b/>
          <w:i/>
          <w:color w:val="333333"/>
          <w:sz w:val="22"/>
        </w:rPr>
        <w:t>9.27.17.4 Urgency</w:t>
      </w:r>
    </w:p>
    <w:p>
      <w:pPr>
        <w:spacing w:after="80" w:line="293" w:lineRule="auto"/>
        <w:jc w:val="left"/>
      </w:pPr>
      <w:r>
        <w:rPr>
          <w:rFonts w:ascii="Times New Roman" w:hAnsi="Times New Roman" w:cs="Times New Roman"/>
          <w:b w:val="0"/>
          <w:i w:val="0"/>
          <w:sz w:val="22"/>
        </w:rPr>
        <w:t>Urgency is applied as a limited operational factor: routine execution carries no adjustment, while priority and critical execution carry bounded adjustments. The premium represents actual incremental SGTX operational work and shall never become a pure customer willingness-to-pay mechanism.</w:t>
      </w:r>
    </w:p>
    <w:p>
      <w:pPr>
        <w:keepNext/>
        <w:spacing w:before="180" w:after="80"/>
        <w:outlineLvl w:val="2"/>
      </w:pPr>
      <w:r>
        <w:rPr>
          <w:rFonts w:ascii="Arial" w:hAnsi="Arial" w:cs="Arial"/>
          <w:b/>
          <w:i w:val="0"/>
          <w:color w:val="333333"/>
          <w:sz w:val="23"/>
        </w:rPr>
        <w:t>9.27.18 Corridor, Jurisdiction &amp; Sanctions Pricing</w:t>
      </w:r>
    </w:p>
    <w:p>
      <w:pPr>
        <w:keepNext/>
        <w:spacing w:before="140" w:after="60"/>
        <w:outlineLvl w:val="3"/>
      </w:pPr>
      <w:r>
        <w:rPr>
          <w:rFonts w:ascii="Arial" w:hAnsi="Arial" w:cs="Arial"/>
          <w:b/>
          <w:i/>
          <w:color w:val="333333"/>
          <w:sz w:val="22"/>
        </w:rPr>
        <w:t>9.27.18.1 Corridor Pricing</w:t>
      </w:r>
    </w:p>
    <w:p>
      <w:pPr>
        <w:spacing w:after="80" w:line="293" w:lineRule="auto"/>
        <w:jc w:val="left"/>
      </w:pPr>
      <w:r>
        <w:rPr>
          <w:rFonts w:ascii="Times New Roman" w:hAnsi="Times New Roman" w:cs="Times New Roman"/>
          <w:b w:val="0"/>
          <w:i w:val="0"/>
          <w:sz w:val="22"/>
        </w:rPr>
        <w:t>Corridor efficiency considers 12-month trade volume, on-time performance, document first-pass rate, dispute rate, customs clearance performance, API availability, and port and carrier stability - the same corridor analytics the platform maintains for network intelligence (Section 23.2). The resulting corridor score feeds the Efficiency and Risk scores rather than merely adding or subtracting basis points, so corridor maturity lowers fees exactly to the extent it measurably lowers servicing cost and risk.</w:t>
      </w:r>
    </w:p>
    <w:p>
      <w:pPr>
        <w:keepNext/>
        <w:spacing w:before="140" w:after="60"/>
        <w:outlineLvl w:val="3"/>
      </w:pPr>
      <w:r>
        <w:rPr>
          <w:rFonts w:ascii="Arial" w:hAnsi="Arial" w:cs="Arial"/>
          <w:b/>
          <w:i/>
          <w:color w:val="333333"/>
          <w:sz w:val="22"/>
        </w:rPr>
        <w:t>9.27.18.2 Jurisdiction Pricing</w:t>
      </w:r>
    </w:p>
    <w:p>
      <w:pPr>
        <w:spacing w:after="80" w:line="293" w:lineRule="auto"/>
        <w:jc w:val="left"/>
      </w:pPr>
      <w:r>
        <w:rPr>
          <w:rFonts w:ascii="Times New Roman" w:hAnsi="Times New Roman" w:cs="Times New Roman"/>
          <w:b w:val="0"/>
          <w:i w:val="0"/>
          <w:sz w:val="22"/>
        </w:rPr>
        <w:t>Country-specific risk is a composite, never a flat country adder. The jurisdiction risk score aggregates sanctions exposure, compliance complexity, documentation requirements, government integration complexity, enforcement uncertainty, and operational friction. Each component is evidence-backed by the RIA jurisdiction matrix, and the composite enters the Risk score.</w:t>
      </w:r>
    </w:p>
    <w:p>
      <w:pPr>
        <w:keepNext/>
        <w:spacing w:before="140" w:after="60"/>
        <w:outlineLvl w:val="3"/>
      </w:pPr>
      <w:r>
        <w:rPr>
          <w:rFonts w:ascii="Arial" w:hAnsi="Arial" w:cs="Arial"/>
          <w:b/>
          <w:i/>
          <w:color w:val="333333"/>
          <w:sz w:val="22"/>
        </w:rPr>
        <w:t>9.27.18.3 Sanctions &amp; Prohibited Activity</w:t>
      </w:r>
    </w:p>
    <w:p>
      <w:pPr>
        <w:spacing w:after="80" w:line="293" w:lineRule="auto"/>
        <w:jc w:val="left"/>
      </w:pPr>
      <w:r>
        <w:rPr>
          <w:rFonts w:ascii="Times New Roman" w:hAnsi="Times New Roman" w:cs="Times New Roman"/>
          <w:b w:val="0"/>
          <w:i w:val="0"/>
          <w:sz w:val="22"/>
        </w:rPr>
        <w:t>Sanctions and prohibited transactions are not fee opportunities. The engine distinguishes priceable risk from gateable risk: if a transaction is legally prohibited, the Governor outcome is deny or block - never a higher fee. Pricing can never launder a prohibited activity into an allowed one, which keeps the fee model inside the constitutional and sanctions boundaries of Sections 3 and 4.</w:t>
      </w:r>
    </w:p>
    <w:p>
      <w:pPr>
        <w:keepNext/>
        <w:spacing w:before="180" w:after="80"/>
        <w:outlineLvl w:val="2"/>
      </w:pPr>
      <w:r>
        <w:rPr>
          <w:rFonts w:ascii="Arial" w:hAnsi="Arial" w:cs="Arial"/>
          <w:b/>
          <w:i w:val="0"/>
          <w:color w:val="333333"/>
          <w:sz w:val="23"/>
        </w:rPr>
        <w:t>9.27.19 Financing Fee Separation &amp; Payment-Term Effects</w:t>
      </w:r>
    </w:p>
    <w:p>
      <w:pPr>
        <w:spacing w:after="80" w:line="293" w:lineRule="auto"/>
        <w:jc w:val="left"/>
      </w:pPr>
      <w:r>
        <w:rPr>
          <w:rFonts w:ascii="Times New Roman" w:hAnsi="Times New Roman" w:cs="Times New Roman"/>
          <w:b w:val="0"/>
          <w:i w:val="0"/>
          <w:sz w:val="22"/>
        </w:rPr>
        <w:t>Capital cost is removed from the general trade fee. It affects only the financing fee or another explicitly documented SGTX-funded exposure. The SGTX financing fee remains a separate charge with its own basis and its own policy:</w:t>
      </w:r>
    </w:p>
    <w:p>
      <w:pPr>
        <w:spacing w:after="0" w:before="0" w:line="240" w:lineRule="auto"/>
        <w:ind w:left="57"/>
        <w:jc w:val="left"/>
        <w:shd w:val="clear" w:fill="F2F2F2"/>
      </w:pPr>
      <w:r>
        <w:rPr>
          <w:rFonts w:ascii="Consolas" w:hAnsi="Consolas" w:cs="Consolas"/>
          <w:b w:val="0"/>
          <w:i w:val="0"/>
          <w:sz w:val="15"/>
        </w:rPr>
        <w:t>SGTX_FINANCING_FEE = FINANCED_AMOUNT x FINANCING_FEE_RATE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reference policy rate: 0.25% of the financed amount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platform fee and the financing fee shall never silently merge: they appear as distinct line types in the invoice model (Section 8.8), distinct components of TSEC (Section 9.27.4), and distinct financial flows in payment orchestration (Section 13.4).</w:t>
      </w:r>
    </w:p>
    <w:p>
      <w:pPr>
        <w:spacing w:after="80" w:line="293" w:lineRule="auto"/>
        <w:jc w:val="left"/>
      </w:pPr>
      <w:r>
        <w:rPr>
          <w:rFonts w:ascii="Times New Roman" w:hAnsi="Times New Roman" w:cs="Times New Roman"/>
          <w:b w:val="0"/>
          <w:i w:val="0"/>
          <w:sz w:val="22"/>
        </w:rPr>
        <w:t>Payment method influences operational complexity, not an arbitrary basis-point adder. Open account, bank transfer, collection, letter of credit, and escrow-like external structures alter risk, settlement complexity, and evidence requirements; the actual fee impact is therefore generated through the score system, keeping every payment-term effect visible, bounded, and auditable.</w:t>
      </w:r>
    </w:p>
    <w:p>
      <w:pPr>
        <w:keepNext/>
        <w:spacing w:before="180" w:after="80"/>
        <w:outlineLvl w:val="2"/>
      </w:pPr>
      <w:r>
        <w:rPr>
          <w:rFonts w:ascii="Arial" w:hAnsi="Arial" w:cs="Arial"/>
          <w:b/>
          <w:i w:val="0"/>
          <w:color w:val="333333"/>
          <w:sz w:val="23"/>
        </w:rPr>
        <w:t>9.27.20 Commitment, Loyalty &amp; Earned Benefits</w:t>
      </w:r>
    </w:p>
    <w:p>
      <w:pPr>
        <w:spacing w:after="80" w:line="293" w:lineRule="auto"/>
        <w:jc w:val="left"/>
      </w:pPr>
      <w:r>
        <w:rPr>
          <w:rFonts w:ascii="Times New Roman" w:hAnsi="Times New Roman" w:cs="Times New Roman"/>
          <w:b w:val="0"/>
          <w:i w:val="0"/>
          <w:sz w:val="22"/>
        </w:rPr>
        <w:t>The platform architecture allows each shipment to lock independently with its own fee, state, USTN, and execution lifecycle (Sections 5.6 and 9.33), and the pricing system retains this model: benefits are earned through economic commitment and verified execution, never through structural gaming.</w:t>
      </w:r>
    </w:p>
    <w:p>
      <w:pPr>
        <w:keepNext/>
        <w:spacing w:before="140" w:after="60"/>
        <w:outlineLvl w:val="3"/>
      </w:pPr>
      <w:r>
        <w:rPr>
          <w:rFonts w:ascii="Arial" w:hAnsi="Arial" w:cs="Arial"/>
          <w:b/>
          <w:i/>
          <w:color w:val="333333"/>
          <w:sz w:val="22"/>
        </w:rPr>
        <w:t>9.27.20.1 Master Commitment Index (MCI)</w:t>
      </w:r>
    </w:p>
    <w:p>
      <w:pPr>
        <w:spacing w:after="80" w:line="293" w:lineRule="auto"/>
        <w:jc w:val="left"/>
      </w:pPr>
      <w:r>
        <w:rPr>
          <w:rFonts w:ascii="Times New Roman" w:hAnsi="Times New Roman" w:cs="Times New Roman"/>
          <w:b w:val="0"/>
          <w:i w:val="0"/>
          <w:sz w:val="22"/>
        </w:rPr>
        <w:t>Multi-shipment discounts do not depend solely on shipment count. The Master Commitment Index quantifies real economic commitment:</w:t>
      </w:r>
    </w:p>
    <w:p>
      <w:pPr>
        <w:spacing w:after="0" w:before="0" w:line="240" w:lineRule="auto"/>
        <w:ind w:left="57"/>
        <w:jc w:val="left"/>
        <w:shd w:val="clear" w:fill="F2F2F2"/>
      </w:pPr>
      <w:r>
        <w:rPr>
          <w:rFonts w:ascii="Consolas" w:hAnsi="Consolas" w:cs="Consolas"/>
          <w:b w:val="0"/>
          <w:i w:val="0"/>
          <w:sz w:val="15"/>
        </w:rPr>
        <w:t>MCI = 0.30 x committed_value_score</w:t>
      </w:r>
    </w:p>
    <w:p>
      <w:pPr>
        <w:spacing w:after="0" w:before="0" w:line="240" w:lineRule="auto"/>
        <w:ind w:left="57"/>
        <w:jc w:val="left"/>
        <w:shd w:val="clear" w:fill="F2F2F2"/>
      </w:pPr>
      <w:r>
        <w:rPr>
          <w:rFonts w:ascii="Consolas" w:hAnsi="Consolas" w:cs="Consolas"/>
          <w:b w:val="0"/>
          <w:i w:val="0"/>
          <w:sz w:val="15"/>
        </w:rPr>
        <w:t xml:space="preserve">   + 0.25 x shipment_count_score</w:t>
      </w:r>
    </w:p>
    <w:p>
      <w:pPr>
        <w:spacing w:after="0" w:before="0" w:line="240" w:lineRule="auto"/>
        <w:ind w:left="57"/>
        <w:jc w:val="left"/>
        <w:shd w:val="clear" w:fill="F2F2F2"/>
      </w:pPr>
      <w:r>
        <w:rPr>
          <w:rFonts w:ascii="Consolas" w:hAnsi="Consolas" w:cs="Consolas"/>
          <w:b w:val="0"/>
          <w:i w:val="0"/>
          <w:sz w:val="15"/>
        </w:rPr>
        <w:t xml:space="preserve">   + 0.15 x contract_duration_score</w:t>
      </w:r>
    </w:p>
    <w:p>
      <w:pPr>
        <w:spacing w:after="0" w:before="0" w:line="240" w:lineRule="auto"/>
        <w:ind w:left="57"/>
        <w:jc w:val="left"/>
        <w:shd w:val="clear" w:fill="F2F2F2"/>
      </w:pPr>
      <w:r>
        <w:rPr>
          <w:rFonts w:ascii="Consolas" w:hAnsi="Consolas" w:cs="Consolas"/>
          <w:b w:val="0"/>
          <w:i w:val="0"/>
          <w:sz w:val="15"/>
        </w:rPr>
        <w:t xml:space="preserve">   + 0.15 x schedule_certainty_score</w:t>
      </w:r>
    </w:p>
    <w:p>
      <w:pPr>
        <w:spacing w:after="0" w:before="0" w:line="240" w:lineRule="auto"/>
        <w:ind w:left="57"/>
        <w:jc w:val="left"/>
        <w:shd w:val="clear" w:fill="F2F2F2"/>
      </w:pPr>
      <w:r>
        <w:rPr>
          <w:rFonts w:ascii="Consolas" w:hAnsi="Consolas" w:cs="Consolas"/>
          <w:b w:val="0"/>
          <w:i w:val="0"/>
          <w:sz w:val="15"/>
        </w:rPr>
        <w:t xml:space="preserve">   + 0.15 x historical_execution_score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9.27.20.2 Multi-Shipment Discounts</w:t>
      </w:r>
    </w:p>
    <w:p>
      <w:pPr>
        <w:spacing w:after="80" w:line="293" w:lineRule="auto"/>
        <w:jc w:val="left"/>
      </w:pPr>
      <w:r>
        <w:rPr>
          <w:rFonts w:ascii="Times New Roman" w:hAnsi="Times New Roman" w:cs="Times New Roman"/>
          <w:b w:val="0"/>
          <w:i w:val="0"/>
          <w:sz w:val="22"/>
        </w:rPr>
        <w:t>Recommended maximum initial ranges: 2-5 shipments up to 2 bps; 6-10 shipments up to 3 bps; 11-20 shipments up to 4 bps; more than 20 shipments up to 5 bps - but the actual discount is determined from the MCI. A company cannot simply manufacture 21 tiny shipments solely to obtain the maximum discount, because the committed value, duration, schedule certainty, and historical execution components dominate the index.</w:t>
      </w:r>
    </w:p>
    <w:p>
      <w:pPr>
        <w:keepNext/>
        <w:spacing w:before="140" w:after="60"/>
        <w:outlineLvl w:val="3"/>
      </w:pPr>
      <w:r>
        <w:rPr>
          <w:rFonts w:ascii="Arial" w:hAnsi="Arial" w:cs="Arial"/>
          <w:b/>
          <w:i/>
          <w:color w:val="333333"/>
          <w:sz w:val="22"/>
        </w:rPr>
        <w:t>9.27.20.3 Volume Loyalty</w:t>
      </w:r>
    </w:p>
    <w:p>
      <w:pPr>
        <w:spacing w:after="80" w:line="293" w:lineRule="auto"/>
        <w:jc w:val="left"/>
      </w:pPr>
      <w:r>
        <w:rPr>
          <w:rFonts w:ascii="Times New Roman" w:hAnsi="Times New Roman" w:cs="Times New Roman"/>
          <w:b w:val="0"/>
          <w:i w:val="0"/>
          <w:sz w:val="22"/>
        </w:rPr>
        <w:t>Volume loyalty is earned from executed trade volume, successful completion, payment reliability, and low exception rate - not from submitted or cancelled trades. Loyalty state is derived from Trade Memory and the execution record, so it is verifiable and replayable.</w:t>
      </w:r>
    </w:p>
    <w:p>
      <w:pPr>
        <w:keepNext/>
        <w:spacing w:before="140" w:after="60"/>
        <w:outlineLvl w:val="3"/>
      </w:pPr>
      <w:r>
        <w:rPr>
          <w:rFonts w:ascii="Arial" w:hAnsi="Arial" w:cs="Arial"/>
          <w:b/>
          <w:i/>
          <w:color w:val="333333"/>
          <w:sz w:val="22"/>
        </w:rPr>
        <w:t>9.27.20.4 Execution Consistency Index (ECI)</w:t>
      </w:r>
    </w:p>
    <w:p>
      <w:pPr>
        <w:spacing w:after="80" w:line="293" w:lineRule="auto"/>
        <w:jc w:val="left"/>
      </w:pPr>
      <w:r>
        <w:rPr>
          <w:rFonts w:ascii="Times New Roman" w:hAnsi="Times New Roman" w:cs="Times New Roman"/>
          <w:b w:val="0"/>
          <w:i w:val="0"/>
          <w:sz w:val="22"/>
        </w:rPr>
        <w:t>The ECI is a new earned-benefit metric with recommended weighting: document first-pass acceptance 25%; milestone timeliness 25%; payment timeliness 20%; exception rate 15%; amendment rate 15%. A high ECI creates an efficiency benefit through the efficiency score.</w:t>
      </w:r>
    </w:p>
    <w:p>
      <w:pPr>
        <w:keepNext/>
        <w:spacing w:before="140" w:after="60"/>
        <w:outlineLvl w:val="3"/>
      </w:pPr>
      <w:r>
        <w:rPr>
          <w:rFonts w:ascii="Arial" w:hAnsi="Arial" w:cs="Arial"/>
          <w:b/>
          <w:i/>
          <w:color w:val="333333"/>
          <w:sz w:val="22"/>
        </w:rPr>
        <w:t>9.27.20.5 API Integration, Telemetry, FTA &amp; Environmental Data</w:t>
      </w:r>
    </w:p>
    <w:p>
      <w:pPr>
        <w:spacing w:after="80" w:line="293" w:lineRule="auto"/>
        <w:jc w:val="left"/>
      </w:pPr>
      <w:r>
        <w:rPr>
          <w:rFonts w:ascii="Times New Roman" w:hAnsi="Times New Roman" w:cs="Times New Roman"/>
          <w:b w:val="0"/>
          <w:i w:val="0"/>
          <w:sz w:val="22"/>
        </w:rPr>
        <w:t>Full API integration can reduce cost-to-serve by up to 2 bps of efficiency benefit, but it is calculated through the automation efficiency score rather than granted as an unconditional discount. Opt-in telemetry may produce up to 1 bp of benefit only when the data is genuinely useful to SGTX operational analytics and legally consented; telemetry is never required for basic service access where prohibited by law or policy.</w:t>
      </w:r>
    </w:p>
    <w:p>
      <w:pPr>
        <w:spacing w:after="80" w:line="293" w:lineRule="auto"/>
        <w:jc w:val="left"/>
      </w:pPr>
      <w:r>
        <w:rPr>
          <w:rFonts w:ascii="Times New Roman" w:hAnsi="Times New Roman" w:cs="Times New Roman"/>
          <w:b w:val="0"/>
          <w:i w:val="0"/>
          <w:sz w:val="22"/>
        </w:rPr>
        <w:t>Free-trade-agreement benefit primarily reduces landed cost and compliance burden for the trading parties; it reduces the SGTX fee only where it produces a measurable reduction in SGTX processing workload. CII, carbon, and sustainability data normally affect ESG scoring, carrier selection, logistics optimisation, and reporting rather than becoming a major fee driver; a small efficiency adjustment is permitted only where SGTX operational workload is actually affected.</w:t>
      </w:r>
    </w:p>
    <w:p>
      <w:pPr>
        <w:keepNext/>
        <w:spacing w:before="180" w:after="80"/>
        <w:outlineLvl w:val="2"/>
      </w:pPr>
      <w:r>
        <w:rPr>
          <w:rFonts w:ascii="Arial" w:hAnsi="Arial" w:cs="Arial"/>
          <w:b/>
          <w:i w:val="0"/>
          <w:color w:val="333333"/>
          <w:sz w:val="23"/>
        </w:rPr>
        <w:t>9.27.21 Exception Fees, Stacking Prohibition, Strategic Subsidy &amp; Micro-Trade</w:t>
      </w:r>
    </w:p>
    <w:p>
      <w:pPr>
        <w:keepNext/>
        <w:spacing w:before="140" w:after="60"/>
        <w:outlineLvl w:val="3"/>
      </w:pPr>
      <w:r>
        <w:rPr>
          <w:rFonts w:ascii="Arial" w:hAnsi="Arial" w:cs="Arial"/>
          <w:b/>
          <w:i/>
          <w:color w:val="333333"/>
          <w:sz w:val="22"/>
        </w:rPr>
        <w:t>9.27.21.1 Exception Handling Fee</w:t>
      </w:r>
    </w:p>
    <w:p>
      <w:pPr>
        <w:spacing w:after="80" w:line="293" w:lineRule="auto"/>
        <w:jc w:val="left"/>
      </w:pPr>
      <w:r>
        <w:rPr>
          <w:rFonts w:ascii="Times New Roman" w:hAnsi="Times New Roman" w:cs="Times New Roman"/>
          <w:b w:val="0"/>
          <w:i w:val="0"/>
          <w:sz w:val="22"/>
        </w:rPr>
        <w:t>Normal risk is priced in the core rate. Actual extraordinary work is handled through a separate, bounded exception handling fee. Examples: extraordinary contract amendment; emergency document reconstruction; exceptional customs remediation; exceptional post-lock rerouting; extraordinary dispute evidence packages; and repeated non-standard manual intervention. The exception fee must be predefined, bounded, versioned, evidence-backed, visible, and non-discretionary - it is a policy object, not an ad-hoc charge.</w:t>
      </w:r>
    </w:p>
    <w:p>
      <w:pPr>
        <w:keepNext/>
        <w:spacing w:before="140" w:after="60"/>
        <w:outlineLvl w:val="3"/>
      </w:pPr>
      <w:r>
        <w:rPr>
          <w:rFonts w:ascii="Arial" w:hAnsi="Arial" w:cs="Arial"/>
          <w:b/>
          <w:i/>
          <w:color w:val="333333"/>
          <w:sz w:val="22"/>
        </w:rPr>
        <w:t>9.27.21.2 No Hidden Fee Stacking</w:t>
      </w:r>
    </w:p>
    <w:p>
      <w:pPr>
        <w:spacing w:after="80" w:line="293" w:lineRule="auto"/>
        <w:jc w:val="left"/>
      </w:pPr>
      <w:r>
        <w:rPr>
          <w:rFonts w:ascii="Times New Roman" w:hAnsi="Times New Roman" w:cs="Times New Roman"/>
          <w:b w:val="0"/>
          <w:i w:val="0"/>
          <w:sz w:val="22"/>
        </w:rPr>
        <w:t>Fee stacking shall not be used to circumvent the platform fee ceiling: a base fee plus a "processing fee" plus a "technology fee" plus a "risk fee" plus a "platform fee" that all represent the same SGTX economic service is prohibited. All SGTX-owned charges are classified into the four TSEC components (Section 9.27.4) and aggregated for aggregate-protection validation, so no combination of SGTX-owned charges can collectively exceed the economic protections that apply to the platform fee.</w:t>
      </w:r>
    </w:p>
    <w:p>
      <w:pPr>
        <w:keepNext/>
        <w:spacing w:before="140" w:after="60"/>
        <w:outlineLvl w:val="3"/>
      </w:pPr>
      <w:r>
        <w:rPr>
          <w:rFonts w:ascii="Arial" w:hAnsi="Arial" w:cs="Arial"/>
          <w:b/>
          <w:i/>
          <w:color w:val="333333"/>
          <w:sz w:val="22"/>
        </w:rPr>
        <w:t>9.27.21.3 Strategic Subsidy</w:t>
      </w:r>
    </w:p>
    <w:p>
      <w:pPr>
        <w:spacing w:after="80" w:line="293" w:lineRule="auto"/>
        <w:jc w:val="left"/>
      </w:pPr>
      <w:r>
        <w:rPr>
          <w:rFonts w:ascii="Times New Roman" w:hAnsi="Times New Roman" w:cs="Times New Roman"/>
          <w:b w:val="0"/>
          <w:i w:val="0"/>
          <w:sz w:val="22"/>
        </w:rPr>
        <w:t>SGTX may deliberately subsidise essential commodities, humanitarian trade, strategic corridors, government-designated programs, market-entry corridors, pilot programs, and strategic anchor customers. The subsidy is separately represented so the pricing formula is never distorted to hide strategic commercial decisions:</w:t>
      </w:r>
    </w:p>
    <w:p>
      <w:pPr>
        <w:spacing w:after="0" w:before="0" w:line="240" w:lineRule="auto"/>
        <w:ind w:left="57"/>
        <w:jc w:val="left"/>
        <w:shd w:val="clear" w:fill="F2F2F2"/>
      </w:pPr>
      <w:r>
        <w:rPr>
          <w:rFonts w:ascii="Consolas" w:hAnsi="Consolas" w:cs="Consolas"/>
          <w:b w:val="0"/>
          <w:i w:val="0"/>
          <w:sz w:val="15"/>
        </w:rPr>
        <w:t>ECONOMIC_FEE - STRATEGIC_SUBSIDY = CUSTOMER_PAYABLE_FEE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9.27.21.4 Micro-Trade Policy</w:t>
      </w:r>
    </w:p>
    <w:p>
      <w:pPr>
        <w:spacing w:after="80" w:line="293" w:lineRule="auto"/>
        <w:jc w:val="left"/>
      </w:pPr>
      <w:r>
        <w:rPr>
          <w:rFonts w:ascii="Times New Roman" w:hAnsi="Times New Roman" w:cs="Times New Roman"/>
          <w:b w:val="0"/>
          <w:i w:val="0"/>
          <w:sz w:val="22"/>
        </w:rPr>
        <w:t>A fixed universal minimum charge is not blindly applied. The system calculates a minimum operational charge from expected cost-to-serve, subject to the constitutional maximum. Where the operational minimum exceeds the maximum constitutional charge for a small trade, the micro-trade policy determines whether the outcome is an unavailable quote, a strategic subsidy, an alternative predictable fee, or an aggregated multi-shipment structure - rather than violating constitutional bounds.</w:t>
      </w:r>
    </w:p>
    <w:p>
      <w:pPr>
        <w:keepNext/>
        <w:spacing w:before="180" w:after="80"/>
        <w:outlineLvl w:val="2"/>
      </w:pPr>
      <w:r>
        <w:rPr>
          <w:rFonts w:ascii="Arial" w:hAnsi="Arial" w:cs="Arial"/>
          <w:b/>
          <w:i w:val="0"/>
          <w:color w:val="333333"/>
          <w:sz w:val="23"/>
        </w:rPr>
        <w:t>9.27.22 Canonical Master Formula &amp; Execution Order</w:t>
      </w:r>
    </w:p>
    <w:p>
      <w:pPr>
        <w:spacing w:after="80" w:line="293" w:lineRule="auto"/>
        <w:jc w:val="left"/>
      </w:pPr>
      <w:r>
        <w:rPr>
          <w:rFonts w:ascii="Times New Roman" w:hAnsi="Times New Roman" w:cs="Times New Roman"/>
          <w:b w:val="0"/>
          <w:i w:val="0"/>
          <w:sz w:val="22"/>
        </w:rPr>
        <w:t>The canonical implementation of the entire engine is stated once, here. Every subsystem that computes, estimates, displays, or audits a fee uses this chain and only this chain.</w:t>
      </w:r>
    </w:p>
    <w:p>
      <w:pPr>
        <w:spacing w:after="0" w:before="0" w:line="240" w:lineRule="auto"/>
        <w:ind w:left="57"/>
        <w:jc w:val="left"/>
        <w:shd w:val="clear" w:fill="F2F2F2"/>
      </w:pPr>
      <w:r>
        <w:rPr>
          <w:rFonts w:ascii="Consolas" w:hAnsi="Consolas" w:cs="Consolas"/>
          <w:b w:val="0"/>
          <w:i w:val="0"/>
          <w:sz w:val="15"/>
        </w:rPr>
        <w:t>FAIRNESS_SCORE = CLAMP( 0.35*CTS + 0.30*RISK + 0.20*VALUE - 0.15*EFFICIENCY,</w:t>
      </w:r>
    </w:p>
    <w:p>
      <w:pPr>
        <w:spacing w:after="0" w:before="0" w:line="240" w:lineRule="auto"/>
        <w:ind w:left="57"/>
        <w:jc w:val="left"/>
        <w:shd w:val="clear" w:fill="F2F2F2"/>
      </w:pPr>
      <w:r>
        <w:rPr>
          <w:rFonts w:ascii="Consolas" w:hAnsi="Consolas" w:cs="Consolas"/>
          <w:b w:val="0"/>
          <w:i w:val="0"/>
          <w:sz w:val="15"/>
        </w:rPr>
        <w:t xml:space="preserve">                 0, 100 )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BASE_FAIR_RATE = 0.03% + 1.47% * FAIRNESS_SCORE/100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CLASS_ADJUSTED_RATE = BASE_FAIR_RATE * CLASSIFICATION_MODIFIERS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DISCOUNTED_RATE = CLASS_ADJUSTED_RATE * ( 1 - EARNED_DISCOUNT_FACTOR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RAW_FEE = CFB * DISCOUNTED_RATE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AFFORDABILITY_CAP = ESTIMATED_GROSS_PROFIT * CONTINUOUS_MARGIN_TAKE_RATE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PRE_CAP_FEE = MIN( RAW_FEE,</w:t>
      </w:r>
    </w:p>
    <w:p>
      <w:pPr>
        <w:spacing w:after="0" w:before="0" w:line="240" w:lineRule="auto"/>
        <w:ind w:left="57"/>
        <w:jc w:val="left"/>
        <w:shd w:val="clear" w:fill="F2F2F2"/>
      </w:pPr>
      <w:r>
        <w:rPr>
          <w:rFonts w:ascii="Consolas" w:hAnsi="Consolas" w:cs="Consolas"/>
          <w:b w:val="0"/>
          <w:i w:val="0"/>
          <w:sz w:val="15"/>
        </w:rPr>
        <w:t xml:space="preserve">                   AFFORDABILITY_CAP,</w:t>
      </w:r>
    </w:p>
    <w:p>
      <w:pPr>
        <w:spacing w:after="0" w:before="0" w:line="240" w:lineRule="auto"/>
        <w:ind w:left="57"/>
        <w:jc w:val="left"/>
        <w:shd w:val="clear" w:fill="F2F2F2"/>
      </w:pPr>
      <w:r>
        <w:rPr>
          <w:rFonts w:ascii="Consolas" w:hAnsi="Consolas" w:cs="Consolas"/>
          <w:b w:val="0"/>
          <w:i w:val="0"/>
          <w:sz w:val="15"/>
        </w:rPr>
        <w:t xml:space="preserve">                   BULK_CAP,</w:t>
      </w:r>
    </w:p>
    <w:p>
      <w:pPr>
        <w:spacing w:after="0" w:before="0" w:line="240" w:lineRule="auto"/>
        <w:ind w:left="57"/>
        <w:jc w:val="left"/>
        <w:shd w:val="clear" w:fill="F2F2F2"/>
      </w:pPr>
      <w:r>
        <w:rPr>
          <w:rFonts w:ascii="Consolas" w:hAnsi="Consolas" w:cs="Consolas"/>
          <w:b w:val="0"/>
          <w:i w:val="0"/>
          <w:sz w:val="15"/>
        </w:rPr>
        <w:t xml:space="preserve">                   ESSENTIAL_CAP,</w:t>
      </w:r>
    </w:p>
    <w:p>
      <w:pPr>
        <w:spacing w:after="0" w:before="0" w:line="240" w:lineRule="auto"/>
        <w:ind w:left="57"/>
        <w:jc w:val="left"/>
        <w:shd w:val="clear" w:fill="F2F2F2"/>
      </w:pPr>
      <w:r>
        <w:rPr>
          <w:rFonts w:ascii="Consolas" w:hAnsi="Consolas" w:cs="Consolas"/>
          <w:b w:val="0"/>
          <w:i w:val="0"/>
          <w:sz w:val="15"/>
        </w:rPr>
        <w:t xml:space="preserve">                   SPECIAL_STOCK_CAP,</w:t>
      </w:r>
    </w:p>
    <w:p>
      <w:pPr>
        <w:spacing w:after="0" w:before="0" w:line="240" w:lineRule="auto"/>
        <w:ind w:left="57"/>
        <w:jc w:val="left"/>
        <w:shd w:val="clear" w:fill="F2F2F2"/>
      </w:pPr>
      <w:r>
        <w:rPr>
          <w:rFonts w:ascii="Consolas" w:hAnsi="Consolas" w:cs="Consolas"/>
          <w:b w:val="0"/>
          <w:i w:val="0"/>
          <w:sz w:val="15"/>
        </w:rPr>
        <w:t xml:space="preserve">                   CONSTITUTIONAL_CAP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FINAL_FEE = MAX( PRE_CAP_FEE, APPLICABLE_COST_TO_SERVE_FLOOR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FINAL_CONSTITUTIONAL_CHECK:  FINAL_FEE &gt;= 0  AND  FINAL_FEE &lt;= 1.50% * CFB</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final constitutional check must also prove that no SGTX-owned secondary charge has been used to circumvent the aggregate economic-protection rules (Sections 9.27.4 and 9.27.21).</w:t>
      </w:r>
    </w:p>
    <w:p>
      <w:pPr>
        <w:keepNext/>
        <w:spacing w:before="140" w:after="60"/>
        <w:outlineLvl w:val="3"/>
      </w:pPr>
      <w:r>
        <w:rPr>
          <w:rFonts w:ascii="Arial" w:hAnsi="Arial" w:cs="Arial"/>
          <w:b/>
          <w:i/>
          <w:color w:val="333333"/>
          <w:sz w:val="22"/>
        </w:rPr>
        <w:t>9.27.22.1 Mandatory Execution Order</w:t>
      </w:r>
    </w:p>
    <w:p>
      <w:pPr>
        <w:spacing w:after="80" w:line="293" w:lineRule="auto"/>
        <w:jc w:val="left"/>
      </w:pPr>
      <w:r>
        <w:rPr>
          <w:rFonts w:ascii="Times New Roman" w:hAnsi="Times New Roman" w:cs="Times New Roman"/>
          <w:b w:val="0"/>
          <w:i w:val="0"/>
          <w:sz w:val="22"/>
        </w:rPr>
        <w:t>The actual implementation order is fixed so that validation, evidence, and governance happen in a deterministic sequence:</w:t>
      </w:r>
    </w:p>
    <w:p>
      <w:pPr>
        <w:spacing w:after="0" w:before="0" w:line="240" w:lineRule="auto"/>
        <w:ind w:left="57"/>
        <w:jc w:val="left"/>
        <w:shd w:val="clear" w:fill="F2F2F2"/>
      </w:pPr>
      <w:r>
        <w:rPr>
          <w:rFonts w:ascii="Consolas" w:hAnsi="Consolas" w:cs="Consolas"/>
          <w:b w:val="0"/>
          <w:i w:val="0"/>
          <w:sz w:val="15"/>
        </w:rPr>
        <w:t xml:space="preserve"> 1. Validate CFB</w:t>
      </w:r>
    </w:p>
    <w:p>
      <w:pPr>
        <w:spacing w:after="0" w:before="0" w:line="240" w:lineRule="auto"/>
        <w:ind w:left="57"/>
        <w:jc w:val="left"/>
        <w:shd w:val="clear" w:fill="F2F2F2"/>
      </w:pPr>
      <w:r>
        <w:rPr>
          <w:rFonts w:ascii="Consolas" w:hAnsi="Consolas" w:cs="Consolas"/>
          <w:b w:val="0"/>
          <w:i w:val="0"/>
          <w:sz w:val="15"/>
        </w:rPr>
        <w:t xml:space="preserve"> 2. Validate trade classification</w:t>
      </w:r>
    </w:p>
    <w:p>
      <w:pPr>
        <w:spacing w:after="0" w:before="0" w:line="240" w:lineRule="auto"/>
        <w:ind w:left="57"/>
        <w:jc w:val="left"/>
        <w:shd w:val="clear" w:fill="F2F2F2"/>
      </w:pPr>
      <w:r>
        <w:rPr>
          <w:rFonts w:ascii="Consolas" w:hAnsi="Consolas" w:cs="Consolas"/>
          <w:b w:val="0"/>
          <w:i w:val="0"/>
          <w:sz w:val="15"/>
        </w:rPr>
        <w:t xml:space="preserve"> 3. Load immutable/versioned policy</w:t>
      </w:r>
    </w:p>
    <w:p>
      <w:pPr>
        <w:spacing w:after="0" w:before="0" w:line="240" w:lineRule="auto"/>
        <w:ind w:left="57"/>
        <w:jc w:val="left"/>
        <w:shd w:val="clear" w:fill="F2F2F2"/>
      </w:pPr>
      <w:r>
        <w:rPr>
          <w:rFonts w:ascii="Consolas" w:hAnsi="Consolas" w:cs="Consolas"/>
          <w:b w:val="0"/>
          <w:i w:val="0"/>
          <w:sz w:val="15"/>
        </w:rPr>
        <w:t xml:space="preserve"> 4. Load evidence snapshots</w:t>
      </w:r>
    </w:p>
    <w:p>
      <w:pPr>
        <w:spacing w:after="0" w:before="0" w:line="240" w:lineRule="auto"/>
        <w:ind w:left="57"/>
        <w:jc w:val="left"/>
        <w:shd w:val="clear" w:fill="F2F2F2"/>
      </w:pPr>
      <w:r>
        <w:rPr>
          <w:rFonts w:ascii="Consolas" w:hAnsi="Consolas" w:cs="Consolas"/>
          <w:b w:val="0"/>
          <w:i w:val="0"/>
          <w:sz w:val="15"/>
        </w:rPr>
        <w:t xml:space="preserve"> 5. Calculate CTS</w:t>
      </w:r>
    </w:p>
    <w:p>
      <w:pPr>
        <w:spacing w:after="0" w:before="0" w:line="240" w:lineRule="auto"/>
        <w:ind w:left="57"/>
        <w:jc w:val="left"/>
        <w:shd w:val="clear" w:fill="F2F2F2"/>
      </w:pPr>
      <w:r>
        <w:rPr>
          <w:rFonts w:ascii="Consolas" w:hAnsi="Consolas" w:cs="Consolas"/>
          <w:b w:val="0"/>
          <w:i w:val="0"/>
          <w:sz w:val="15"/>
        </w:rPr>
        <w:t xml:space="preserve"> 6. Calculate Risk</w:t>
      </w:r>
    </w:p>
    <w:p>
      <w:pPr>
        <w:spacing w:after="0" w:before="0" w:line="240" w:lineRule="auto"/>
        <w:ind w:left="57"/>
        <w:jc w:val="left"/>
        <w:shd w:val="clear" w:fill="F2F2F2"/>
      </w:pPr>
      <w:r>
        <w:rPr>
          <w:rFonts w:ascii="Consolas" w:hAnsi="Consolas" w:cs="Consolas"/>
          <w:b w:val="0"/>
          <w:i w:val="0"/>
          <w:sz w:val="15"/>
        </w:rPr>
        <w:t xml:space="preserve"> 7. Calculate Value</w:t>
      </w:r>
    </w:p>
    <w:p>
      <w:pPr>
        <w:spacing w:after="0" w:before="0" w:line="240" w:lineRule="auto"/>
        <w:ind w:left="57"/>
        <w:jc w:val="left"/>
        <w:shd w:val="clear" w:fill="F2F2F2"/>
      </w:pPr>
      <w:r>
        <w:rPr>
          <w:rFonts w:ascii="Consolas" w:hAnsi="Consolas" w:cs="Consolas"/>
          <w:b w:val="0"/>
          <w:i w:val="0"/>
          <w:sz w:val="15"/>
        </w:rPr>
        <w:t xml:space="preserve"> 8. Calculate Efficiency</w:t>
      </w:r>
    </w:p>
    <w:p>
      <w:pPr>
        <w:spacing w:after="0" w:before="0" w:line="240" w:lineRule="auto"/>
        <w:ind w:left="57"/>
        <w:jc w:val="left"/>
        <w:shd w:val="clear" w:fill="F2F2F2"/>
      </w:pPr>
      <w:r>
        <w:rPr>
          <w:rFonts w:ascii="Consolas" w:hAnsi="Consolas" w:cs="Consolas"/>
          <w:b w:val="0"/>
          <w:i w:val="0"/>
          <w:sz w:val="15"/>
        </w:rPr>
        <w:t xml:space="preserve"> 9. Calculate Fairness Score</w:t>
      </w:r>
    </w:p>
    <w:p>
      <w:pPr>
        <w:spacing w:after="0" w:before="0" w:line="240" w:lineRule="auto"/>
        <w:ind w:left="57"/>
        <w:jc w:val="left"/>
        <w:shd w:val="clear" w:fill="F2F2F2"/>
      </w:pPr>
      <w:r>
        <w:rPr>
          <w:rFonts w:ascii="Consolas" w:hAnsi="Consolas" w:cs="Consolas"/>
          <w:b w:val="0"/>
          <w:i w:val="0"/>
          <w:sz w:val="15"/>
        </w:rPr>
        <w:t>10. Calculate Fair Rate</w:t>
      </w:r>
    </w:p>
    <w:p>
      <w:pPr>
        <w:spacing w:after="0" w:before="0" w:line="240" w:lineRule="auto"/>
        <w:ind w:left="57"/>
        <w:jc w:val="left"/>
        <w:shd w:val="clear" w:fill="F2F2F2"/>
      </w:pPr>
      <w:r>
        <w:rPr>
          <w:rFonts w:ascii="Consolas" w:hAnsi="Consolas" w:cs="Consolas"/>
          <w:b w:val="0"/>
          <w:i w:val="0"/>
          <w:sz w:val="15"/>
        </w:rPr>
        <w:t>11. Apply classification modifiers</w:t>
      </w:r>
    </w:p>
    <w:p>
      <w:pPr>
        <w:spacing w:after="0" w:before="0" w:line="240" w:lineRule="auto"/>
        <w:ind w:left="57"/>
        <w:jc w:val="left"/>
        <w:shd w:val="clear" w:fill="F2F2F2"/>
      </w:pPr>
      <w:r>
        <w:rPr>
          <w:rFonts w:ascii="Consolas" w:hAnsi="Consolas" w:cs="Consolas"/>
          <w:b w:val="0"/>
          <w:i w:val="0"/>
          <w:sz w:val="15"/>
        </w:rPr>
        <w:t>12. Apply earned discounts</w:t>
      </w:r>
    </w:p>
    <w:p>
      <w:pPr>
        <w:spacing w:after="0" w:before="0" w:line="240" w:lineRule="auto"/>
        <w:ind w:left="57"/>
        <w:jc w:val="left"/>
        <w:shd w:val="clear" w:fill="F2F2F2"/>
      </w:pPr>
      <w:r>
        <w:rPr>
          <w:rFonts w:ascii="Consolas" w:hAnsi="Consolas" w:cs="Consolas"/>
          <w:b w:val="0"/>
          <w:i w:val="0"/>
          <w:sz w:val="15"/>
        </w:rPr>
        <w:t>13. Calculate private party economics</w:t>
      </w:r>
    </w:p>
    <w:p>
      <w:pPr>
        <w:spacing w:after="0" w:before="0" w:line="240" w:lineRule="auto"/>
        <w:ind w:left="57"/>
        <w:jc w:val="left"/>
        <w:shd w:val="clear" w:fill="F2F2F2"/>
      </w:pPr>
      <w:r>
        <w:rPr>
          <w:rFonts w:ascii="Consolas" w:hAnsi="Consolas" w:cs="Consolas"/>
          <w:b w:val="0"/>
          <w:i w:val="0"/>
          <w:sz w:val="15"/>
        </w:rPr>
        <w:t>14. Calculate affordability cap</w:t>
      </w:r>
    </w:p>
    <w:p>
      <w:pPr>
        <w:spacing w:after="0" w:before="0" w:line="240" w:lineRule="auto"/>
        <w:ind w:left="57"/>
        <w:jc w:val="left"/>
        <w:shd w:val="clear" w:fill="F2F2F2"/>
      </w:pPr>
      <w:r>
        <w:rPr>
          <w:rFonts w:ascii="Consolas" w:hAnsi="Consolas" w:cs="Consolas"/>
          <w:b w:val="0"/>
          <w:i w:val="0"/>
          <w:sz w:val="15"/>
        </w:rPr>
        <w:t>15. Apply special-stock / bulk / essential protection</w:t>
      </w:r>
    </w:p>
    <w:p>
      <w:pPr>
        <w:spacing w:after="0" w:before="0" w:line="240" w:lineRule="auto"/>
        <w:ind w:left="57"/>
        <w:jc w:val="left"/>
        <w:shd w:val="clear" w:fill="F2F2F2"/>
      </w:pPr>
      <w:r>
        <w:rPr>
          <w:rFonts w:ascii="Consolas" w:hAnsi="Consolas" w:cs="Consolas"/>
          <w:b w:val="0"/>
          <w:i w:val="0"/>
          <w:sz w:val="15"/>
        </w:rPr>
        <w:t>16. Apply hard constitutional cap</w:t>
      </w:r>
    </w:p>
    <w:p>
      <w:pPr>
        <w:spacing w:after="0" w:before="0" w:line="240" w:lineRule="auto"/>
        <w:ind w:left="57"/>
        <w:jc w:val="left"/>
        <w:shd w:val="clear" w:fill="F2F2F2"/>
      </w:pPr>
      <w:r>
        <w:rPr>
          <w:rFonts w:ascii="Consolas" w:hAnsi="Consolas" w:cs="Consolas"/>
          <w:b w:val="0"/>
          <w:i w:val="0"/>
          <w:sz w:val="15"/>
        </w:rPr>
        <w:t>17. Apply minimum / cost-to-serve rule</w:t>
      </w:r>
    </w:p>
    <w:p>
      <w:pPr>
        <w:spacing w:after="0" w:before="0" w:line="240" w:lineRule="auto"/>
        <w:ind w:left="57"/>
        <w:jc w:val="left"/>
        <w:shd w:val="clear" w:fill="F2F2F2"/>
      </w:pPr>
      <w:r>
        <w:rPr>
          <w:rFonts w:ascii="Consolas" w:hAnsi="Consolas" w:cs="Consolas"/>
          <w:b w:val="0"/>
          <w:i w:val="0"/>
          <w:sz w:val="15"/>
        </w:rPr>
        <w:t>18. Run anomaly tests</w:t>
      </w:r>
    </w:p>
    <w:p>
      <w:pPr>
        <w:spacing w:after="0" w:before="0" w:line="240" w:lineRule="auto"/>
        <w:ind w:left="57"/>
        <w:jc w:val="left"/>
        <w:shd w:val="clear" w:fill="F2F2F2"/>
      </w:pPr>
      <w:r>
        <w:rPr>
          <w:rFonts w:ascii="Consolas" w:hAnsi="Consolas" w:cs="Consolas"/>
          <w:b w:val="0"/>
          <w:i w:val="0"/>
          <w:sz w:val="15"/>
        </w:rPr>
        <w:t>19. Run fee sanity gate</w:t>
      </w:r>
    </w:p>
    <w:p>
      <w:pPr>
        <w:spacing w:after="0" w:before="0" w:line="240" w:lineRule="auto"/>
        <w:ind w:left="57"/>
        <w:jc w:val="left"/>
        <w:shd w:val="clear" w:fill="F2F2F2"/>
      </w:pPr>
      <w:r>
        <w:rPr>
          <w:rFonts w:ascii="Consolas" w:hAnsi="Consolas" w:cs="Consolas"/>
          <w:b w:val="0"/>
          <w:i w:val="0"/>
          <w:sz w:val="15"/>
        </w:rPr>
        <w:t>20. Governor validation</w:t>
      </w:r>
    </w:p>
    <w:p>
      <w:pPr>
        <w:spacing w:after="0" w:before="0" w:line="240" w:lineRule="auto"/>
        <w:ind w:left="57"/>
        <w:jc w:val="left"/>
        <w:shd w:val="clear" w:fill="F2F2F2"/>
      </w:pPr>
      <w:r>
        <w:rPr>
          <w:rFonts w:ascii="Consolas" w:hAnsi="Consolas" w:cs="Consolas"/>
          <w:b w:val="0"/>
          <w:i w:val="0"/>
          <w:sz w:val="15"/>
        </w:rPr>
        <w:t>21. Produce Fee Decision</w:t>
      </w:r>
    </w:p>
    <w:p>
      <w:pPr>
        <w:spacing w:after="0" w:before="0" w:line="240" w:lineRule="auto"/>
        <w:ind w:left="57"/>
        <w:jc w:val="left"/>
        <w:shd w:val="clear" w:fill="F2F2F2"/>
      </w:pPr>
      <w:r>
        <w:rPr>
          <w:rFonts w:ascii="Consolas" w:hAnsi="Consolas" w:cs="Consolas"/>
          <w:b w:val="0"/>
          <w:i w:val="0"/>
          <w:sz w:val="15"/>
        </w:rPr>
        <w:t>22. Lock fee</w:t>
      </w:r>
    </w:p>
    <w:p>
      <w:pPr>
        <w:spacing w:after="0" w:before="0" w:line="240" w:lineRule="auto"/>
        <w:ind w:left="57"/>
        <w:jc w:val="left"/>
        <w:shd w:val="clear" w:fill="F2F2F2"/>
      </w:pPr>
      <w:r>
        <w:rPr>
          <w:rFonts w:ascii="Consolas" w:hAnsi="Consolas" w:cs="Consolas"/>
          <w:b w:val="0"/>
          <w:i w:val="0"/>
          <w:sz w:val="15"/>
        </w:rPr>
        <w:t>23. Generate payment instruction</w:t>
      </w:r>
    </w:p>
    <w:p>
      <w:pPr>
        <w:spacing w:after="0" w:before="0" w:line="240" w:lineRule="auto"/>
        <w:ind w:left="57"/>
        <w:jc w:val="left"/>
        <w:shd w:val="clear" w:fill="F2F2F2"/>
      </w:pPr>
      <w:r>
        <w:rPr>
          <w:rFonts w:ascii="Consolas" w:hAnsi="Consolas" w:cs="Consolas"/>
          <w:b w:val="0"/>
          <w:i w:val="0"/>
          <w:sz w:val="15"/>
        </w:rPr>
        <w:t>24. FeeLock activation only after authoritative payment confirmation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9.27.23 Validation: Fee Sanity Gate, Anomaly Engine &amp; Fee Stability</w:t>
      </w:r>
    </w:p>
    <w:p>
      <w:pPr>
        <w:keepNext/>
        <w:spacing w:before="140" w:after="60"/>
        <w:outlineLvl w:val="3"/>
      </w:pPr>
      <w:r>
        <w:rPr>
          <w:rFonts w:ascii="Arial" w:hAnsi="Arial" w:cs="Arial"/>
          <w:b/>
          <w:i/>
          <w:color w:val="333333"/>
          <w:sz w:val="22"/>
        </w:rPr>
        <w:t>9.27.23.1 Fee Sanity Gate</w:t>
      </w:r>
    </w:p>
    <w:p>
      <w:pPr>
        <w:spacing w:after="80" w:line="293" w:lineRule="auto"/>
        <w:jc w:val="left"/>
      </w:pPr>
      <w:r>
        <w:rPr>
          <w:rFonts w:ascii="Times New Roman" w:hAnsi="Times New Roman" w:cs="Times New Roman"/>
          <w:b w:val="0"/>
          <w:i w:val="0"/>
          <w:sz w:val="22"/>
        </w:rPr>
        <w:t>Before FeeLock, the fee sanity gate verifies:</w:t>
      </w:r>
    </w:p>
    <w:p>
      <w:pPr>
        <w:spacing w:after="0" w:before="0" w:line="240" w:lineRule="auto"/>
        <w:ind w:left="57"/>
        <w:jc w:val="left"/>
        <w:shd w:val="clear" w:fill="F2F2F2"/>
      </w:pPr>
      <w:r>
        <w:rPr>
          <w:rFonts w:ascii="Consolas" w:hAnsi="Consolas" w:cs="Consolas"/>
          <w:b w:val="0"/>
          <w:i w:val="0"/>
          <w:sz w:val="15"/>
        </w:rPr>
        <w:t>CFB &gt; 0</w:t>
      </w:r>
    </w:p>
    <w:p>
      <w:pPr>
        <w:spacing w:after="0" w:before="0" w:line="240" w:lineRule="auto"/>
        <w:ind w:left="57"/>
        <w:jc w:val="left"/>
        <w:shd w:val="clear" w:fill="F2F2F2"/>
      </w:pPr>
      <w:r>
        <w:rPr>
          <w:rFonts w:ascii="Consolas" w:hAnsi="Consolas" w:cs="Consolas"/>
          <w:b w:val="0"/>
          <w:i w:val="0"/>
          <w:sz w:val="15"/>
        </w:rPr>
        <w:t>Fee &gt;= 0</w:t>
      </w:r>
    </w:p>
    <w:p>
      <w:pPr>
        <w:spacing w:after="0" w:before="0" w:line="240" w:lineRule="auto"/>
        <w:ind w:left="57"/>
        <w:jc w:val="left"/>
        <w:shd w:val="clear" w:fill="F2F2F2"/>
      </w:pPr>
      <w:r>
        <w:rPr>
          <w:rFonts w:ascii="Consolas" w:hAnsi="Consolas" w:cs="Consolas"/>
          <w:b w:val="0"/>
          <w:i w:val="0"/>
          <w:sz w:val="15"/>
        </w:rPr>
        <w:t>Rate within policy band</w:t>
      </w:r>
    </w:p>
    <w:p>
      <w:pPr>
        <w:spacing w:after="0" w:before="0" w:line="240" w:lineRule="auto"/>
        <w:ind w:left="57"/>
        <w:jc w:val="left"/>
        <w:shd w:val="clear" w:fill="F2F2F2"/>
      </w:pPr>
      <w:r>
        <w:rPr>
          <w:rFonts w:ascii="Consolas" w:hAnsi="Consolas" w:cs="Consolas"/>
          <w:b w:val="0"/>
          <w:i w:val="0"/>
          <w:sz w:val="15"/>
        </w:rPr>
        <w:t>Rate &lt;= 1.50%</w:t>
      </w:r>
    </w:p>
    <w:p>
      <w:pPr>
        <w:spacing w:after="0" w:before="0" w:line="240" w:lineRule="auto"/>
        <w:ind w:left="57"/>
        <w:jc w:val="left"/>
        <w:shd w:val="clear" w:fill="F2F2F2"/>
      </w:pPr>
      <w:r>
        <w:rPr>
          <w:rFonts w:ascii="Consolas" w:hAnsi="Consolas" w:cs="Consolas"/>
          <w:b w:val="0"/>
          <w:i w:val="0"/>
          <w:sz w:val="15"/>
        </w:rPr>
        <w:t>Fee &lt;= constitutional cap</w:t>
      </w:r>
    </w:p>
    <w:p>
      <w:pPr>
        <w:spacing w:after="0" w:before="0" w:line="240" w:lineRule="auto"/>
        <w:ind w:left="57"/>
        <w:jc w:val="left"/>
        <w:shd w:val="clear" w:fill="F2F2F2"/>
      </w:pPr>
      <w:r>
        <w:rPr>
          <w:rFonts w:ascii="Consolas" w:hAnsi="Consolas" w:cs="Consolas"/>
          <w:b w:val="0"/>
          <w:i w:val="0"/>
          <w:sz w:val="15"/>
        </w:rPr>
        <w:t>Correct party</w:t>
      </w:r>
    </w:p>
    <w:p>
      <w:pPr>
        <w:spacing w:after="0" w:before="0" w:line="240" w:lineRule="auto"/>
        <w:ind w:left="57"/>
        <w:jc w:val="left"/>
        <w:shd w:val="clear" w:fill="F2F2F2"/>
      </w:pPr>
      <w:r>
        <w:rPr>
          <w:rFonts w:ascii="Consolas" w:hAnsi="Consolas" w:cs="Consolas"/>
          <w:b w:val="0"/>
          <w:i w:val="0"/>
          <w:sz w:val="15"/>
        </w:rPr>
        <w:t>Correct currency</w:t>
      </w:r>
    </w:p>
    <w:p>
      <w:pPr>
        <w:spacing w:after="0" w:before="0" w:line="240" w:lineRule="auto"/>
        <w:ind w:left="57"/>
        <w:jc w:val="left"/>
        <w:shd w:val="clear" w:fill="F2F2F2"/>
      </w:pPr>
      <w:r>
        <w:rPr>
          <w:rFonts w:ascii="Consolas" w:hAnsi="Consolas" w:cs="Consolas"/>
          <w:b w:val="0"/>
          <w:i w:val="0"/>
          <w:sz w:val="15"/>
        </w:rPr>
        <w:t>Correct FX snapshot</w:t>
      </w:r>
    </w:p>
    <w:p>
      <w:pPr>
        <w:spacing w:after="0" w:before="0" w:line="240" w:lineRule="auto"/>
        <w:ind w:left="57"/>
        <w:jc w:val="left"/>
        <w:shd w:val="clear" w:fill="F2F2F2"/>
      </w:pPr>
      <w:r>
        <w:rPr>
          <w:rFonts w:ascii="Consolas" w:hAnsi="Consolas" w:cs="Consolas"/>
          <w:b w:val="0"/>
          <w:i w:val="0"/>
          <w:sz w:val="15"/>
        </w:rPr>
        <w:t>Correct policy version</w:t>
      </w:r>
    </w:p>
    <w:p>
      <w:pPr>
        <w:spacing w:after="0" w:before="0" w:line="240" w:lineRule="auto"/>
        <w:ind w:left="57"/>
        <w:jc w:val="left"/>
        <w:shd w:val="clear" w:fill="F2F2F2"/>
      </w:pPr>
      <w:r>
        <w:rPr>
          <w:rFonts w:ascii="Consolas" w:hAnsi="Consolas" w:cs="Consolas"/>
          <w:b w:val="0"/>
          <w:i w:val="0"/>
          <w:sz w:val="15"/>
        </w:rPr>
        <w:t>Correct formula version</w:t>
      </w:r>
    </w:p>
    <w:p>
      <w:pPr>
        <w:spacing w:after="0" w:before="0" w:line="240" w:lineRule="auto"/>
        <w:ind w:left="57"/>
        <w:jc w:val="left"/>
        <w:shd w:val="clear" w:fill="F2F2F2"/>
      </w:pPr>
      <w:r>
        <w:rPr>
          <w:rFonts w:ascii="Consolas" w:hAnsi="Consolas" w:cs="Consolas"/>
          <w:b w:val="0"/>
          <w:i w:val="0"/>
          <w:sz w:val="15"/>
        </w:rPr>
        <w:t>No factor outside allowed range</w:t>
      </w:r>
    </w:p>
    <w:p>
      <w:pPr>
        <w:spacing w:after="0" w:before="0" w:line="240" w:lineRule="auto"/>
        <w:ind w:left="57"/>
        <w:jc w:val="left"/>
        <w:shd w:val="clear" w:fill="F2F2F2"/>
      </w:pPr>
      <w:r>
        <w:rPr>
          <w:rFonts w:ascii="Consolas" w:hAnsi="Consolas" w:cs="Consolas"/>
          <w:b w:val="0"/>
          <w:i w:val="0"/>
          <w:sz w:val="15"/>
        </w:rPr>
        <w:t>No missing critical evidence</w:t>
      </w:r>
    </w:p>
    <w:p>
      <w:pPr>
        <w:spacing w:after="0" w:before="0" w:line="240" w:lineRule="auto"/>
        <w:ind w:left="57"/>
        <w:jc w:val="left"/>
        <w:shd w:val="clear" w:fill="F2F2F2"/>
      </w:pPr>
      <w:r>
        <w:rPr>
          <w:rFonts w:ascii="Consolas" w:hAnsi="Consolas" w:cs="Consolas"/>
          <w:b w:val="0"/>
          <w:i w:val="0"/>
          <w:sz w:val="15"/>
        </w:rPr>
        <w:t>No stale critical data</w:t>
      </w:r>
    </w:p>
    <w:p>
      <w:pPr>
        <w:spacing w:after="0" w:before="0" w:line="240" w:lineRule="auto"/>
        <w:ind w:left="57"/>
        <w:jc w:val="left"/>
        <w:shd w:val="clear" w:fill="F2F2F2"/>
      </w:pPr>
      <w:r>
        <w:rPr>
          <w:rFonts w:ascii="Consolas" w:hAnsi="Consolas" w:cs="Consolas"/>
          <w:b w:val="0"/>
          <w:i w:val="0"/>
          <w:sz w:val="15"/>
        </w:rPr>
        <w:t>No negative affordability calculation</w:t>
      </w:r>
    </w:p>
    <w:p>
      <w:pPr>
        <w:spacing w:after="0" w:before="0" w:line="240" w:lineRule="auto"/>
        <w:ind w:left="57"/>
        <w:jc w:val="left"/>
        <w:shd w:val="clear" w:fill="F2F2F2"/>
      </w:pPr>
      <w:r>
        <w:rPr>
          <w:rFonts w:ascii="Consolas" w:hAnsi="Consolas" w:cs="Consolas"/>
          <w:b w:val="0"/>
          <w:i w:val="0"/>
          <w:sz w:val="15"/>
        </w:rPr>
        <w:t>No unintended discount stacking</w:t>
      </w:r>
    </w:p>
    <w:p>
      <w:pPr>
        <w:spacing w:after="0" w:before="0" w:line="240" w:lineRule="auto"/>
        <w:ind w:left="57"/>
        <w:jc w:val="left"/>
        <w:shd w:val="clear" w:fill="F2F2F2"/>
      </w:pPr>
      <w:r>
        <w:rPr>
          <w:rFonts w:ascii="Consolas" w:hAnsi="Consolas" w:cs="Consolas"/>
          <w:b w:val="0"/>
          <w:i w:val="0"/>
          <w:sz w:val="15"/>
        </w:rPr>
        <w:t>No hard-cap discontinuity</w:t>
      </w:r>
    </w:p>
    <w:p>
      <w:pPr>
        <w:spacing w:after="0" w:before="0" w:line="240" w:lineRule="auto"/>
        <w:ind w:left="57"/>
        <w:jc w:val="left"/>
        <w:shd w:val="clear" w:fill="F2F2F2"/>
      </w:pPr>
      <w:r>
        <w:rPr>
          <w:rFonts w:ascii="Consolas" w:hAnsi="Consolas" w:cs="Consolas"/>
          <w:b w:val="0"/>
          <w:i w:val="0"/>
          <w:sz w:val="15"/>
        </w:rPr>
        <w:t>No abnormal fee/value relationship</w:t>
      </w:r>
    </w:p>
    <w:p>
      <w:pPr>
        <w:spacing w:after="0" w:before="0" w:line="240" w:lineRule="auto"/>
        <w:ind w:left="57"/>
        <w:jc w:val="left"/>
        <w:shd w:val="clear" w:fill="F2F2F2"/>
      </w:pPr>
      <w:r>
        <w:rPr>
          <w:rFonts w:ascii="Consolas" w:hAnsi="Consolas" w:cs="Consolas"/>
          <w:b w:val="0"/>
          <w:i w:val="0"/>
          <w:sz w:val="15"/>
        </w:rPr>
        <w:t>No duplicate charge</w:t>
      </w:r>
    </w:p>
    <w:p>
      <w:pPr>
        <w:spacing w:after="0" w:before="0" w:line="240" w:lineRule="auto"/>
        <w:ind w:left="57"/>
        <w:jc w:val="left"/>
        <w:shd w:val="clear" w:fill="F2F2F2"/>
      </w:pPr>
      <w:r>
        <w:rPr>
          <w:rFonts w:ascii="Consolas" w:hAnsi="Consolas" w:cs="Consolas"/>
          <w:b w:val="0"/>
          <w:i w:val="0"/>
          <w:sz w:val="15"/>
        </w:rPr>
        <w:t>No financing double-count</w:t>
      </w:r>
    </w:p>
    <w:p>
      <w:pPr>
        <w:spacing w:after="0" w:before="0" w:line="240" w:lineRule="auto"/>
        <w:ind w:left="57"/>
        <w:jc w:val="left"/>
        <w:shd w:val="clear" w:fill="F2F2F2"/>
      </w:pPr>
      <w:r>
        <w:rPr>
          <w:rFonts w:ascii="Consolas" w:hAnsi="Consolas" w:cs="Consolas"/>
          <w:b w:val="0"/>
          <w:i w:val="0"/>
          <w:sz w:val="15"/>
        </w:rPr>
        <w:t>No pass-through fee double-count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9.27.23.2 Fee Anomaly Engine</w:t>
      </w:r>
    </w:p>
    <w:p>
      <w:pPr>
        <w:spacing w:after="80" w:line="293" w:lineRule="auto"/>
        <w:jc w:val="left"/>
      </w:pPr>
      <w:r>
        <w:rPr>
          <w:rFonts w:ascii="Times New Roman" w:hAnsi="Times New Roman" w:cs="Times New Roman"/>
          <w:b w:val="0"/>
          <w:i w:val="0"/>
          <w:sz w:val="22"/>
        </w:rPr>
        <w:t>A machine-learning detector may flag fee/value ratio anomalies; fee per MT anomalies; fee per vehicle anomalies; fee per container anomalies; fee versus comparable corridor anomalies; and fee versus prior contract anomalies. AI can flag; deterministic policy decides whether the outcome is allow, review, recalculate, or block. The anomaly engine never changes a fee directly - it routes the case through policy.</w:t>
      </w:r>
    </w:p>
    <w:p>
      <w:pPr>
        <w:keepNext/>
        <w:spacing w:before="140" w:after="60"/>
        <w:outlineLvl w:val="3"/>
      </w:pPr>
      <w:r>
        <w:rPr>
          <w:rFonts w:ascii="Arial" w:hAnsi="Arial" w:cs="Arial"/>
          <w:b/>
          <w:i/>
          <w:color w:val="333333"/>
          <w:sz w:val="22"/>
        </w:rPr>
        <w:t>9.27.23.3 Fee Stability &amp; Immutability</w:t>
      </w:r>
    </w:p>
    <w:p>
      <w:pPr>
        <w:spacing w:after="80" w:line="293" w:lineRule="auto"/>
        <w:jc w:val="left"/>
      </w:pPr>
      <w:r>
        <w:rPr>
          <w:rFonts w:ascii="Times New Roman" w:hAnsi="Times New Roman" w:cs="Times New Roman"/>
          <w:b w:val="0"/>
          <w:i w:val="0"/>
          <w:sz w:val="22"/>
        </w:rPr>
        <w:t>Before contract lock, recalculation is permitted. After contract lock the fee is immutable, per the no-silent-change and FeeLock model. Post-lock economic changes never silently change the fee; a material contractual amendment creates a new fee decision and, where required, a new FeeLock, following the amendment workflow of Section 9.35 and the atomic lock rules of Section 9.38.</w:t>
      </w:r>
    </w:p>
    <w:p>
      <w:pPr>
        <w:keepNext/>
        <w:spacing w:before="180" w:after="80"/>
        <w:outlineLvl w:val="2"/>
      </w:pPr>
      <w:r>
        <w:rPr>
          <w:rFonts w:ascii="Arial" w:hAnsi="Arial" w:cs="Arial"/>
          <w:b/>
          <w:i w:val="0"/>
          <w:color w:val="333333"/>
          <w:sz w:val="23"/>
        </w:rPr>
        <w:t>9.27.24 Versioning, Replayability &amp; Fee Decision Object</w:t>
      </w:r>
    </w:p>
    <w:p>
      <w:pPr>
        <w:spacing w:after="80" w:line="293" w:lineRule="auto"/>
        <w:jc w:val="left"/>
      </w:pPr>
      <w:r>
        <w:rPr>
          <w:rFonts w:ascii="Times New Roman" w:hAnsi="Times New Roman" w:cs="Times New Roman"/>
          <w:b w:val="0"/>
          <w:i w:val="0"/>
          <w:sz w:val="22"/>
        </w:rPr>
        <w:t>Every fee carries complete version metadata:</w:t>
      </w:r>
    </w:p>
    <w:p>
      <w:pPr>
        <w:spacing w:after="0" w:before="0" w:line="240" w:lineRule="auto"/>
        <w:ind w:left="57"/>
        <w:jc w:val="left"/>
        <w:shd w:val="clear" w:fill="F2F2F2"/>
      </w:pPr>
      <w:r>
        <w:rPr>
          <w:rFonts w:ascii="Consolas" w:hAnsi="Consolas" w:cs="Consolas"/>
          <w:b w:val="0"/>
          <w:i w:val="0"/>
          <w:sz w:val="15"/>
        </w:rPr>
        <w:t>FEE_POLICY_ID, FEE_POLICY_VERSION, FEE_FORMULA_VERSION,</w:t>
      </w:r>
    </w:p>
    <w:p>
      <w:pPr>
        <w:spacing w:after="0" w:before="0" w:line="240" w:lineRule="auto"/>
        <w:ind w:left="57"/>
        <w:jc w:val="left"/>
        <w:shd w:val="clear" w:fill="F2F2F2"/>
      </w:pPr>
      <w:r>
        <w:rPr>
          <w:rFonts w:ascii="Consolas" w:hAnsi="Consolas" w:cs="Consolas"/>
          <w:b w:val="0"/>
          <w:i w:val="0"/>
          <w:sz w:val="15"/>
        </w:rPr>
        <w:t>INPUT_SNAPSHOT_VERSION, TRI_VERSION, RIA_VERSION,</w:t>
      </w:r>
    </w:p>
    <w:p>
      <w:pPr>
        <w:spacing w:after="0" w:before="0" w:line="240" w:lineRule="auto"/>
        <w:ind w:left="57"/>
        <w:jc w:val="left"/>
        <w:shd w:val="clear" w:fill="F2F2F2"/>
      </w:pPr>
      <w:r>
        <w:rPr>
          <w:rFonts w:ascii="Consolas" w:hAnsi="Consolas" w:cs="Consolas"/>
          <w:b w:val="0"/>
          <w:i w:val="0"/>
          <w:sz w:val="15"/>
        </w:rPr>
        <w:t>MARKET_DATA_VERSION, FX_SNAPSHOT_VERSION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Any historical fee must be reproducible from the original inputs, data snapshots, policy version, formula version, configuration version, evidence hashes, and the Governor decision. A user or authorised auditor must be able to reconstruct exactly why a fee was produced - this is the replayability guarantee that makes every fee dispute, audit, and calibration cycle resolvable on evidence rather than argument.</w:t>
      </w:r>
    </w:p>
    <w:p>
      <w:pPr>
        <w:keepNext/>
        <w:spacing w:before="140" w:after="60"/>
        <w:outlineLvl w:val="3"/>
      </w:pPr>
      <w:r>
        <w:rPr>
          <w:rFonts w:ascii="Arial" w:hAnsi="Arial" w:cs="Arial"/>
          <w:b/>
          <w:i/>
          <w:color w:val="333333"/>
          <w:sz w:val="22"/>
        </w:rPr>
        <w:t>9.27.24.1 Fee Decision Object (Canonical Record)</w:t>
      </w:r>
    </w:p>
    <w:p>
      <w:pPr>
        <w:spacing w:after="0" w:before="0" w:line="240" w:lineRule="auto"/>
        <w:ind w:left="57"/>
        <w:jc w:val="left"/>
        <w:shd w:val="clear" w:fill="F2F2F2"/>
      </w:pPr>
      <w:r>
        <w:rPr>
          <w:rFonts w:ascii="Consolas" w:hAnsi="Consolas" w:cs="Consolas"/>
          <w:b w:val="0"/>
          <w:i w:val="0"/>
          <w:sz w:val="15"/>
        </w:rPr>
        <w:t>fee_decision_id, ustn, contract_id, shipment_id, party_gtid, party_type</w:t>
      </w:r>
    </w:p>
    <w:p>
      <w:pPr>
        <w:spacing w:after="0" w:before="0" w:line="240" w:lineRule="auto"/>
        <w:ind w:left="57"/>
        <w:jc w:val="left"/>
        <w:shd w:val="clear" w:fill="F2F2F2"/>
      </w:pPr>
      <w:r>
        <w:rPr>
          <w:rFonts w:ascii="Consolas" w:hAnsi="Consolas" w:cs="Consolas"/>
          <w:b w:val="0"/>
          <w:i w:val="0"/>
          <w:sz w:val="15"/>
        </w:rPr>
        <w:t>policy_version, formula_version</w:t>
      </w:r>
    </w:p>
    <w:p>
      <w:pPr>
        <w:spacing w:after="0" w:before="0" w:line="240" w:lineRule="auto"/>
        <w:ind w:left="57"/>
        <w:jc w:val="left"/>
        <w:shd w:val="clear" w:fill="F2F2F2"/>
      </w:pPr>
      <w:r>
        <w:rPr>
          <w:rFonts w:ascii="Consolas" w:hAnsi="Consolas" w:cs="Consolas"/>
          <w:b w:val="0"/>
          <w:i w:val="0"/>
          <w:sz w:val="15"/>
        </w:rPr>
        <w:t>fee_basis_type, fee_basis_value, fee_basis_currency</w:t>
      </w:r>
    </w:p>
    <w:p>
      <w:pPr>
        <w:spacing w:after="0" w:before="0" w:line="240" w:lineRule="auto"/>
        <w:ind w:left="57"/>
        <w:jc w:val="left"/>
        <w:shd w:val="clear" w:fill="F2F2F2"/>
      </w:pPr>
      <w:r>
        <w:rPr>
          <w:rFonts w:ascii="Consolas" w:hAnsi="Consolas" w:cs="Consolas"/>
          <w:b w:val="0"/>
          <w:i w:val="0"/>
          <w:sz w:val="15"/>
        </w:rPr>
        <w:t>commodity_class, special_class, bulk_flag, essential_flag,</w:t>
      </w:r>
    </w:p>
    <w:p>
      <w:pPr>
        <w:spacing w:after="0" w:before="0" w:line="240" w:lineRule="auto"/>
        <w:ind w:left="57"/>
        <w:jc w:val="left"/>
        <w:shd w:val="clear" w:fill="F2F2F2"/>
      </w:pPr>
      <w:r>
        <w:rPr>
          <w:rFonts w:ascii="Consolas" w:hAnsi="Consolas" w:cs="Consolas"/>
          <w:b w:val="0"/>
          <w:i w:val="0"/>
          <w:sz w:val="15"/>
        </w:rPr>
        <w:t>high_value_low_margin_flag</w:t>
      </w:r>
    </w:p>
    <w:p>
      <w:pPr>
        <w:spacing w:after="0" w:before="0" w:line="240" w:lineRule="auto"/>
        <w:ind w:left="57"/>
        <w:jc w:val="left"/>
        <w:shd w:val="clear" w:fill="F2F2F2"/>
      </w:pPr>
      <w:r>
        <w:rPr>
          <w:rFonts w:ascii="Consolas" w:hAnsi="Consolas" w:cs="Consolas"/>
          <w:b w:val="0"/>
          <w:i w:val="0"/>
          <w:sz w:val="15"/>
        </w:rPr>
        <w:t>cts_score, risk_score, value_score, efficiency_score, fairness_score</w:t>
      </w:r>
    </w:p>
    <w:p>
      <w:pPr>
        <w:spacing w:after="0" w:before="0" w:line="240" w:lineRule="auto"/>
        <w:ind w:left="57"/>
        <w:jc w:val="left"/>
        <w:shd w:val="clear" w:fill="F2F2F2"/>
      </w:pPr>
      <w:r>
        <w:rPr>
          <w:rFonts w:ascii="Consolas" w:hAnsi="Consolas" w:cs="Consolas"/>
          <w:b w:val="0"/>
          <w:i w:val="0"/>
          <w:sz w:val="15"/>
        </w:rPr>
        <w:t>raw_rate, classification_modifier, discount_rate, effective_rate</w:t>
      </w:r>
    </w:p>
    <w:p>
      <w:pPr>
        <w:spacing w:after="0" w:before="0" w:line="240" w:lineRule="auto"/>
        <w:ind w:left="57"/>
        <w:jc w:val="left"/>
        <w:shd w:val="clear" w:fill="F2F2F2"/>
      </w:pPr>
      <w:r>
        <w:rPr>
          <w:rFonts w:ascii="Consolas" w:hAnsi="Consolas" w:cs="Consolas"/>
          <w:b w:val="0"/>
          <w:i w:val="0"/>
          <w:sz w:val="15"/>
        </w:rPr>
        <w:t>declared_margin, reference_margin, estimated_margin, margin_confidence</w:t>
      </w:r>
    </w:p>
    <w:p>
      <w:pPr>
        <w:spacing w:after="0" w:before="0" w:line="240" w:lineRule="auto"/>
        <w:ind w:left="57"/>
        <w:jc w:val="left"/>
        <w:shd w:val="clear" w:fill="F2F2F2"/>
      </w:pPr>
      <w:r>
        <w:rPr>
          <w:rFonts w:ascii="Consolas" w:hAnsi="Consolas" w:cs="Consolas"/>
          <w:b w:val="0"/>
          <w:i w:val="0"/>
          <w:sz w:val="15"/>
        </w:rPr>
        <w:t>fair_fee, affordability_cap, special_stock_cap, bulk_cap, essential_cap,</w:t>
      </w:r>
    </w:p>
    <w:p>
      <w:pPr>
        <w:spacing w:after="0" w:before="0" w:line="240" w:lineRule="auto"/>
        <w:ind w:left="57"/>
        <w:jc w:val="left"/>
        <w:shd w:val="clear" w:fill="F2F2F2"/>
      </w:pPr>
      <w:r>
        <w:rPr>
          <w:rFonts w:ascii="Consolas" w:hAnsi="Consolas" w:cs="Consolas"/>
          <w:b w:val="0"/>
          <w:i w:val="0"/>
          <w:sz w:val="15"/>
        </w:rPr>
        <w:t>constitutional_cap, cost_to_serve_floor</w:t>
      </w:r>
    </w:p>
    <w:p>
      <w:pPr>
        <w:spacing w:after="0" w:before="0" w:line="240" w:lineRule="auto"/>
        <w:ind w:left="57"/>
        <w:jc w:val="left"/>
        <w:shd w:val="clear" w:fill="F2F2F2"/>
      </w:pPr>
      <w:r>
        <w:rPr>
          <w:rFonts w:ascii="Consolas" w:hAnsi="Consolas" w:cs="Consolas"/>
          <w:b w:val="0"/>
          <w:i w:val="0"/>
          <w:sz w:val="15"/>
        </w:rPr>
        <w:t>final_fee, final_currency</w:t>
      </w:r>
    </w:p>
    <w:p>
      <w:pPr>
        <w:spacing w:after="0" w:before="0" w:line="240" w:lineRule="auto"/>
        <w:ind w:left="57"/>
        <w:jc w:val="left"/>
        <w:shd w:val="clear" w:fill="F2F2F2"/>
      </w:pPr>
      <w:r>
        <w:rPr>
          <w:rFonts w:ascii="Consolas" w:hAnsi="Consolas" w:cs="Consolas"/>
          <w:b w:val="0"/>
          <w:i w:val="0"/>
          <w:sz w:val="15"/>
        </w:rPr>
        <w:t>fee_confidence, fx_snapshot</w:t>
      </w:r>
    </w:p>
    <w:p>
      <w:pPr>
        <w:spacing w:after="0" w:before="0" w:line="240" w:lineRule="auto"/>
        <w:ind w:left="57"/>
        <w:jc w:val="left"/>
        <w:shd w:val="clear" w:fill="F2F2F2"/>
      </w:pPr>
      <w:r>
        <w:rPr>
          <w:rFonts w:ascii="Consolas" w:hAnsi="Consolas" w:cs="Consolas"/>
          <w:b w:val="0"/>
          <w:i w:val="0"/>
          <w:sz w:val="15"/>
        </w:rPr>
        <w:t>evidence_hash, input_snapshot_hash, decision_hash</w:t>
      </w:r>
    </w:p>
    <w:p>
      <w:pPr>
        <w:spacing w:after="0" w:before="0" w:line="240" w:lineRule="auto"/>
        <w:ind w:left="57"/>
        <w:jc w:val="left"/>
        <w:shd w:val="clear" w:fill="F2F2F2"/>
      </w:pPr>
      <w:r>
        <w:rPr>
          <w:rFonts w:ascii="Consolas" w:hAnsi="Consolas" w:cs="Consolas"/>
          <w:b w:val="0"/>
          <w:i w:val="0"/>
          <w:sz w:val="15"/>
        </w:rPr>
        <w:t>calculated_at, locked_at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9.27.25 Fee Data Model &amp; Calculation Trace</w:t>
      </w:r>
    </w:p>
    <w:p>
      <w:pPr>
        <w:spacing w:after="80" w:line="293" w:lineRule="auto"/>
        <w:jc w:val="left"/>
      </w:pPr>
      <w:r>
        <w:rPr>
          <w:rFonts w:ascii="Times New Roman" w:hAnsi="Times New Roman" w:cs="Times New Roman"/>
          <w:b w:val="0"/>
          <w:i w:val="0"/>
          <w:sz w:val="22"/>
        </w:rPr>
        <w:t>The fee data model comprises contracts.sgtx_fee_rate, contracts.sgtx_fee_amount, fee_locks, fee_payment_requests, and fee_calculations, expanded with the dynamic-engine fields:</w:t>
      </w:r>
    </w:p>
    <w:p>
      <w:pPr>
        <w:spacing w:after="0" w:before="0" w:line="240" w:lineRule="auto"/>
        <w:ind w:left="57"/>
        <w:jc w:val="left"/>
        <w:shd w:val="clear" w:fill="F2F2F2"/>
      </w:pPr>
      <w:r>
        <w:rPr>
          <w:rFonts w:ascii="Consolas" w:hAnsi="Consolas" w:cs="Consolas"/>
          <w:b w:val="0"/>
          <w:i w:val="0"/>
          <w:sz w:val="15"/>
        </w:rPr>
        <w:t>fee_policy_id, fee_policy_version, fee_formula_version,</w:t>
      </w:r>
    </w:p>
    <w:p>
      <w:pPr>
        <w:spacing w:after="0" w:before="0" w:line="240" w:lineRule="auto"/>
        <w:ind w:left="57"/>
        <w:jc w:val="left"/>
        <w:shd w:val="clear" w:fill="F2F2F2"/>
      </w:pPr>
      <w:r>
        <w:rPr>
          <w:rFonts w:ascii="Consolas" w:hAnsi="Consolas" w:cs="Consolas"/>
          <w:b w:val="0"/>
          <w:i w:val="0"/>
          <w:sz w:val="15"/>
        </w:rPr>
        <w:t>fee_basis_type, fee_basis_amount, party_role,</w:t>
      </w:r>
    </w:p>
    <w:p>
      <w:pPr>
        <w:spacing w:after="0" w:before="0" w:line="240" w:lineRule="auto"/>
        <w:ind w:left="57"/>
        <w:jc w:val="left"/>
        <w:shd w:val="clear" w:fill="F2F2F2"/>
      </w:pPr>
      <w:r>
        <w:rPr>
          <w:rFonts w:ascii="Consolas" w:hAnsi="Consolas" w:cs="Consolas"/>
          <w:b w:val="0"/>
          <w:i w:val="0"/>
          <w:sz w:val="15"/>
        </w:rPr>
        <w:t>fairness_score, cts_score, risk_score, value_score, efficiency_score,</w:t>
      </w:r>
    </w:p>
    <w:p>
      <w:pPr>
        <w:spacing w:after="0" w:before="0" w:line="240" w:lineRule="auto"/>
        <w:ind w:left="57"/>
        <w:jc w:val="left"/>
        <w:shd w:val="clear" w:fill="F2F2F2"/>
      </w:pPr>
      <w:r>
        <w:rPr>
          <w:rFonts w:ascii="Consolas" w:hAnsi="Consolas" w:cs="Consolas"/>
          <w:b w:val="0"/>
          <w:i w:val="0"/>
          <w:sz w:val="15"/>
        </w:rPr>
        <w:t>classification, raw_rate, discount_rate, classification_modifier,</w:t>
      </w:r>
    </w:p>
    <w:p>
      <w:pPr>
        <w:spacing w:after="0" w:before="0" w:line="240" w:lineRule="auto"/>
        <w:ind w:left="57"/>
        <w:jc w:val="left"/>
        <w:shd w:val="clear" w:fill="F2F2F2"/>
      </w:pPr>
      <w:r>
        <w:rPr>
          <w:rFonts w:ascii="Consolas" w:hAnsi="Consolas" w:cs="Consolas"/>
          <w:b w:val="0"/>
          <w:i w:val="0"/>
          <w:sz w:val="15"/>
        </w:rPr>
        <w:t>margin_confidence, estimated_margin,</w:t>
      </w:r>
    </w:p>
    <w:p>
      <w:pPr>
        <w:spacing w:after="0" w:before="0" w:line="240" w:lineRule="auto"/>
        <w:ind w:left="57"/>
        <w:jc w:val="left"/>
        <w:shd w:val="clear" w:fill="F2F2F2"/>
      </w:pPr>
      <w:r>
        <w:rPr>
          <w:rFonts w:ascii="Consolas" w:hAnsi="Consolas" w:cs="Consolas"/>
          <w:b w:val="0"/>
          <w:i w:val="0"/>
          <w:sz w:val="15"/>
        </w:rPr>
        <w:t>affordability_cap, special_stock_cap, bulk_cap, essential_cap,</w:t>
      </w:r>
    </w:p>
    <w:p>
      <w:pPr>
        <w:spacing w:after="0" w:before="0" w:line="240" w:lineRule="auto"/>
        <w:ind w:left="57"/>
        <w:jc w:val="left"/>
        <w:shd w:val="clear" w:fill="F2F2F2"/>
      </w:pPr>
      <w:r>
        <w:rPr>
          <w:rFonts w:ascii="Consolas" w:hAnsi="Consolas" w:cs="Consolas"/>
          <w:b w:val="0"/>
          <w:i w:val="0"/>
          <w:sz w:val="15"/>
        </w:rPr>
        <w:t>constitutional_cap, cost_to_serve_floor,</w:t>
      </w:r>
    </w:p>
    <w:p>
      <w:pPr>
        <w:spacing w:after="0" w:before="0" w:line="240" w:lineRule="auto"/>
        <w:ind w:left="57"/>
        <w:jc w:val="left"/>
        <w:shd w:val="clear" w:fill="F2F2F2"/>
      </w:pPr>
      <w:r>
        <w:rPr>
          <w:rFonts w:ascii="Consolas" w:hAnsi="Consolas" w:cs="Consolas"/>
          <w:b w:val="0"/>
          <w:i w:val="0"/>
          <w:sz w:val="15"/>
        </w:rPr>
        <w:t>fee_confidence, input_snapshot_hash, evidence_hash, calculation_trace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complete DDL for the fee_decisions table and the contracts-table extensions is specified in Section 17.10.1; the FeeLock and payment-request schema of Section 17.10 remains authoritative for lock state and payment lifecycle, and the fee decision object feeds it.</w:t>
      </w:r>
    </w:p>
    <w:p>
      <w:pPr>
        <w:keepNext/>
        <w:spacing w:before="140" w:after="60"/>
        <w:outlineLvl w:val="3"/>
      </w:pPr>
      <w:r>
        <w:rPr>
          <w:rFonts w:ascii="Arial" w:hAnsi="Arial" w:cs="Arial"/>
          <w:b/>
          <w:i/>
          <w:color w:val="333333"/>
          <w:sz w:val="22"/>
        </w:rPr>
        <w:t>9.27.25.1 Calculation Trace</w:t>
      </w:r>
    </w:p>
    <w:p>
      <w:pPr>
        <w:spacing w:after="80" w:line="293" w:lineRule="auto"/>
        <w:jc w:val="left"/>
      </w:pPr>
      <w:r>
        <w:rPr>
          <w:rFonts w:ascii="Times New Roman" w:hAnsi="Times New Roman" w:cs="Times New Roman"/>
          <w:b w:val="0"/>
          <w:i w:val="0"/>
          <w:sz w:val="22"/>
        </w:rPr>
        <w:t>Every fee stores a full calculation trace; no hidden mathematical steps are permitted: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"policy": "...",</w:t>
      </w:r>
    </w:p>
    <w:p>
      <w:pPr>
        <w:spacing w:after="0" w:before="0" w:line="240" w:lineRule="auto"/>
        <w:ind w:left="57"/>
        <w:jc w:val="left"/>
        <w:shd w:val="clear" w:fill="F2F2F2"/>
      </w:pPr>
      <w:r>
        <w:rPr>
          <w:rFonts w:ascii="Consolas" w:hAnsi="Consolas" w:cs="Consolas"/>
          <w:b w:val="0"/>
          <w:i w:val="0"/>
          <w:sz w:val="15"/>
        </w:rPr>
        <w:t xml:space="preserve">  "formula": "...",</w:t>
      </w:r>
    </w:p>
    <w:p>
      <w:pPr>
        <w:spacing w:after="0" w:before="0" w:line="240" w:lineRule="auto"/>
        <w:ind w:left="57"/>
        <w:jc w:val="left"/>
        <w:shd w:val="clear" w:fill="F2F2F2"/>
      </w:pPr>
      <w:r>
        <w:rPr>
          <w:rFonts w:ascii="Consolas" w:hAnsi="Consolas" w:cs="Consolas"/>
          <w:b w:val="0"/>
          <w:i w:val="0"/>
          <w:sz w:val="15"/>
        </w:rPr>
        <w:t xml:space="preserve">  "inputs":  { ... },</w:t>
      </w:r>
    </w:p>
    <w:p>
      <w:pPr>
        <w:spacing w:after="0" w:before="0" w:line="240" w:lineRule="auto"/>
        <w:ind w:left="57"/>
        <w:jc w:val="left"/>
        <w:shd w:val="clear" w:fill="F2F2F2"/>
      </w:pPr>
      <w:r>
        <w:rPr>
          <w:rFonts w:ascii="Consolas" w:hAnsi="Consolas" w:cs="Consolas"/>
          <w:b w:val="0"/>
          <w:i w:val="0"/>
          <w:sz w:val="15"/>
        </w:rPr>
        <w:t xml:space="preserve">  "scores":  { ... },</w:t>
      </w:r>
    </w:p>
    <w:p>
      <w:pPr>
        <w:spacing w:after="0" w:before="0" w:line="240" w:lineRule="auto"/>
        <w:ind w:left="57"/>
        <w:jc w:val="left"/>
        <w:shd w:val="clear" w:fill="F2F2F2"/>
      </w:pPr>
      <w:r>
        <w:rPr>
          <w:rFonts w:ascii="Consolas" w:hAnsi="Consolas" w:cs="Consolas"/>
          <w:b w:val="0"/>
          <w:i w:val="0"/>
          <w:sz w:val="15"/>
        </w:rPr>
        <w:t xml:space="preserve">  "modifiers": { ... },</w:t>
      </w:r>
    </w:p>
    <w:p>
      <w:pPr>
        <w:spacing w:after="0" w:before="0" w:line="240" w:lineRule="auto"/>
        <w:ind w:left="57"/>
        <w:jc w:val="left"/>
        <w:shd w:val="clear" w:fill="F2F2F2"/>
      </w:pPr>
      <w:r>
        <w:rPr>
          <w:rFonts w:ascii="Consolas" w:hAnsi="Consolas" w:cs="Consolas"/>
          <w:b w:val="0"/>
          <w:i w:val="0"/>
          <w:sz w:val="15"/>
        </w:rPr>
        <w:t xml:space="preserve">  "caps":    { ... },</w:t>
      </w:r>
    </w:p>
    <w:p>
      <w:pPr>
        <w:spacing w:after="0" w:before="0" w:line="240" w:lineRule="auto"/>
        <w:ind w:left="57"/>
        <w:jc w:val="left"/>
        <w:shd w:val="clear" w:fill="F2F2F2"/>
      </w:pPr>
      <w:r>
        <w:rPr>
          <w:rFonts w:ascii="Consolas" w:hAnsi="Consolas" w:cs="Consolas"/>
          <w:b w:val="0"/>
          <w:i w:val="0"/>
          <w:sz w:val="15"/>
        </w:rPr>
        <w:t xml:space="preserve">  "discounts": { ... },</w:t>
      </w:r>
    </w:p>
    <w:p>
      <w:pPr>
        <w:spacing w:after="0" w:before="0" w:line="240" w:lineRule="auto"/>
        <w:ind w:left="57"/>
        <w:jc w:val="left"/>
        <w:shd w:val="clear" w:fill="F2F2F2"/>
      </w:pPr>
      <w:r>
        <w:rPr>
          <w:rFonts w:ascii="Consolas" w:hAnsi="Consolas" w:cs="Consolas"/>
          <w:b w:val="0"/>
          <w:i w:val="0"/>
          <w:sz w:val="15"/>
        </w:rPr>
        <w:t xml:space="preserve">  "final":   { ...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9.27.26 Fee Transparency UI &amp; Counterparty Confidentiality</w:t>
      </w:r>
    </w:p>
    <w:p>
      <w:pPr>
        <w:spacing w:after="80" w:line="293" w:lineRule="auto"/>
        <w:jc w:val="left"/>
      </w:pPr>
      <w:r>
        <w:rPr>
          <w:rFonts w:ascii="Times New Roman" w:hAnsi="Times New Roman" w:cs="Times New Roman"/>
          <w:b w:val="0"/>
          <w:i w:val="0"/>
          <w:sz w:val="22"/>
        </w:rPr>
        <w:t>Each party sees its own fee, its own basis, and the reasons for its own rate. The party-facing fee panel displays:</w:t>
      </w:r>
    </w:p>
    <w:p>
      <w:pPr>
        <w:spacing w:after="0" w:before="0" w:line="240" w:lineRule="auto"/>
        <w:ind w:left="57"/>
        <w:jc w:val="left"/>
        <w:shd w:val="clear" w:fill="F2F2F2"/>
      </w:pPr>
      <w:r>
        <w:rPr>
          <w:rFonts w:ascii="Consolas" w:hAnsi="Consolas" w:cs="Consolas"/>
          <w:b w:val="0"/>
          <w:i w:val="0"/>
          <w:sz w:val="15"/>
        </w:rPr>
        <w:t>YOUR SGTX FEE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Trade Value                $X</w:t>
      </w:r>
    </w:p>
    <w:p>
      <w:pPr>
        <w:spacing w:after="0" w:before="0" w:line="240" w:lineRule="auto"/>
        <w:ind w:left="57"/>
        <w:jc w:val="left"/>
        <w:shd w:val="clear" w:fill="F2F2F2"/>
      </w:pPr>
      <w:r>
        <w:rPr>
          <w:rFonts w:ascii="Consolas" w:hAnsi="Consolas" w:cs="Consolas"/>
          <w:b w:val="0"/>
          <w:i w:val="0"/>
          <w:sz w:val="15"/>
        </w:rPr>
        <w:t>Your Canonical Fee Basis   $X</w:t>
      </w:r>
    </w:p>
    <w:p>
      <w:pPr>
        <w:spacing w:after="0" w:before="0" w:line="240" w:lineRule="auto"/>
        <w:ind w:left="57"/>
        <w:jc w:val="left"/>
        <w:shd w:val="clear" w:fill="F2F2F2"/>
      </w:pPr>
      <w:r>
        <w:rPr>
          <w:rFonts w:ascii="Consolas" w:hAnsi="Consolas" w:cs="Consolas"/>
          <w:b w:val="0"/>
          <w:i w:val="0"/>
          <w:sz w:val="15"/>
        </w:rPr>
        <w:t>Your Fair Rate             X.XXXX%</w:t>
      </w:r>
    </w:p>
    <w:p>
      <w:pPr>
        <w:spacing w:after="0" w:before="0" w:line="240" w:lineRule="auto"/>
        <w:ind w:left="57"/>
        <w:jc w:val="left"/>
        <w:shd w:val="clear" w:fill="F2F2F2"/>
      </w:pPr>
      <w:r>
        <w:rPr>
          <w:rFonts w:ascii="Consolas" w:hAnsi="Consolas" w:cs="Consolas"/>
          <w:b w:val="0"/>
          <w:i w:val="0"/>
          <w:sz w:val="15"/>
        </w:rPr>
        <w:t>Your SGTX Fee              $X</w:t>
      </w:r>
    </w:p>
    <w:p>
      <w:pPr>
        <w:spacing w:after="0" w:before="0" w:line="240" w:lineRule="auto"/>
        <w:ind w:left="57"/>
        <w:jc w:val="left"/>
        <w:shd w:val="clear" w:fill="F2F2F2"/>
      </w:pPr>
      <w:r>
        <w:rPr>
          <w:rFonts w:ascii="Consolas" w:hAnsi="Consolas" w:cs="Consolas"/>
          <w:b w:val="0"/>
          <w:i w:val="0"/>
          <w:sz w:val="15"/>
        </w:rPr>
        <w:t>Fee Confidence             XX%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WHY YOUR RATE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Execution Complexity   Low / Medium / High</w:t>
      </w:r>
    </w:p>
    <w:p>
      <w:pPr>
        <w:spacing w:after="0" w:before="0" w:line="240" w:lineRule="auto"/>
        <w:ind w:left="57"/>
        <w:jc w:val="left"/>
        <w:shd w:val="clear" w:fill="F2F2F2"/>
      </w:pPr>
      <w:r>
        <w:rPr>
          <w:rFonts w:ascii="Consolas" w:hAnsi="Consolas" w:cs="Consolas"/>
          <w:b w:val="0"/>
          <w:i w:val="0"/>
          <w:sz w:val="15"/>
        </w:rPr>
        <w:t>Risk                   Low / Medium / High</w:t>
      </w:r>
    </w:p>
    <w:p>
      <w:pPr>
        <w:spacing w:after="0" w:before="0" w:line="240" w:lineRule="auto"/>
        <w:ind w:left="57"/>
        <w:jc w:val="left"/>
        <w:shd w:val="clear" w:fill="F2F2F2"/>
      </w:pPr>
      <w:r>
        <w:rPr>
          <w:rFonts w:ascii="Consolas" w:hAnsi="Consolas" w:cs="Consolas"/>
          <w:b w:val="0"/>
          <w:i w:val="0"/>
          <w:sz w:val="15"/>
        </w:rPr>
        <w:t>Efficiency             Low / Medium / High</w:t>
      </w:r>
    </w:p>
    <w:p>
      <w:pPr>
        <w:spacing w:after="0" w:before="0" w:line="240" w:lineRule="auto"/>
        <w:ind w:left="57"/>
        <w:jc w:val="left"/>
        <w:shd w:val="clear" w:fill="F2F2F2"/>
      </w:pPr>
      <w:r>
        <w:rPr>
          <w:rFonts w:ascii="Consolas" w:hAnsi="Consolas" w:cs="Consolas"/>
          <w:b w:val="0"/>
          <w:i w:val="0"/>
          <w:sz w:val="15"/>
        </w:rPr>
        <w:t>Commodity Class        Bulk / Essential / Special Stock / Standard</w:t>
      </w:r>
    </w:p>
    <w:p>
      <w:pPr>
        <w:spacing w:after="0" w:before="0" w:line="240" w:lineRule="auto"/>
        <w:ind w:left="57"/>
        <w:jc w:val="left"/>
        <w:shd w:val="clear" w:fill="F2F2F2"/>
      </w:pPr>
      <w:r>
        <w:rPr>
          <w:rFonts w:ascii="Consolas" w:hAnsi="Consolas" w:cs="Consolas"/>
          <w:b w:val="0"/>
          <w:i w:val="0"/>
          <w:sz w:val="15"/>
        </w:rPr>
        <w:t>Volume Benefit         X bps</w:t>
      </w:r>
    </w:p>
    <w:p>
      <w:pPr>
        <w:spacing w:after="0" w:before="0" w:line="240" w:lineRule="auto"/>
        <w:ind w:left="57"/>
        <w:jc w:val="left"/>
        <w:shd w:val="clear" w:fill="F2F2F2"/>
      </w:pPr>
      <w:r>
        <w:rPr>
          <w:rFonts w:ascii="Consolas" w:hAnsi="Consolas" w:cs="Consolas"/>
          <w:b w:val="0"/>
          <w:i w:val="0"/>
          <w:sz w:val="15"/>
        </w:rPr>
        <w:t>Margin Protection      Applied / Not Applied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UI shall not show the other party fee, margin, COGS, revenue, margin guard, or liquidity, unless explicitly authorised under a joint-disclosure policy. Administrators may see the seller fee, the buyer fee, and the SGTX total platform fee, but customer-facing UI shall not reveal the counterparty fee by implication. This is especially important because showing a party its own fee together with the total platform fee mathematically exposes the other party fee, and therefore violates the confidentiality objective.</w:t>
      </w:r>
    </w:p>
    <w:p>
      <w:pPr>
        <w:spacing w:after="80" w:line="293" w:lineRule="auto"/>
        <w:jc w:val="left"/>
      </w:pPr>
      <w:r>
        <w:rPr>
          <w:rFonts w:ascii="Times New Roman" w:hAnsi="Times New Roman" w:cs="Times New Roman"/>
          <w:b w:val="0"/>
          <w:i w:val="0"/>
          <w:sz w:val="22"/>
        </w:rPr>
        <w:t>The standard customer explanation states: "Your fee reflects the operational complexity, risk, platform services, execution efficiency and economic structure of this trade. Your private economics may also trigger a protection cap. The fee does not increase merely because your company is larger or more profitable."</w:t>
      </w:r>
    </w:p>
    <w:p>
      <w:pPr>
        <w:spacing w:after="80" w:line="293" w:lineRule="auto"/>
        <w:jc w:val="left"/>
      </w:pPr>
      <w:r>
        <w:rPr>
          <w:rFonts w:ascii="Times New Roman" w:hAnsi="Times New Roman" w:cs="Times New Roman"/>
          <w:b w:val="0"/>
          <w:i w:val="0"/>
          <w:sz w:val="22"/>
        </w:rPr>
        <w:t>For a bulk low-margin customer the fairness explanation states: "Your trade qualifies for institutional bulk pricing because of its very large volume, low margin, repeat execution and low incremental servicing cost per dollar." For special stock: "Your rate is based on the economic characteristics and execution requirements of this inventory rather than applying a simple percentage to its full notional value." These explanation templates are normative UI copy for the fee panel and the fee transparency flow of Section 9.28.</w:t>
      </w:r>
    </w:p>
    <w:p>
      <w:pPr>
        <w:keepNext/>
        <w:spacing w:before="180" w:after="80"/>
        <w:outlineLvl w:val="2"/>
      </w:pPr>
      <w:r>
        <w:rPr>
          <w:rFonts w:ascii="Arial" w:hAnsi="Arial" w:cs="Arial"/>
          <w:b/>
          <w:i w:val="0"/>
          <w:color w:val="333333"/>
          <w:sz w:val="23"/>
        </w:rPr>
        <w:t>9.27.27 Customer Pricing Modes</w:t>
      </w:r>
    </w:p>
    <w:p>
      <w:pPr>
        <w:spacing w:after="80" w:line="293" w:lineRule="auto"/>
        <w:jc w:val="left"/>
      </w:pPr>
      <w:r>
        <w:rPr>
          <w:rFonts w:ascii="Times New Roman" w:hAnsi="Times New Roman" w:cs="Times New Roman"/>
          <w:b w:val="0"/>
          <w:i w:val="0"/>
          <w:sz w:val="22"/>
        </w:rPr>
        <w:t>The platform supports three pricing modes, all subject to the Constitution: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Mode</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PREDICTABLE</w:t>
            </w:r>
          </w:p>
        </w:tc>
        <w:tc>
          <w:tcPr>
            <w:tcW w:type="dxa" w:w="4819"/>
          </w:tcPr>
          <w:p>
            <w:pPr>
              <w:spacing w:after="20" w:before="20" w:line="240" w:lineRule="auto"/>
            </w:pPr>
            <w:r/>
            <w:r>
              <w:rPr>
                <w:rFonts w:ascii="Arial" w:hAnsi="Arial" w:cs="Arial"/>
                <w:b w:val="0"/>
                <w:i w:val="0"/>
                <w:sz w:val="17"/>
              </w:rPr>
              <w:t>Predefined contractual rate fixed for the engagement</w:t>
            </w:r>
          </w:p>
        </w:tc>
      </w:tr>
      <w:tr>
        <w:tc>
          <w:tcPr>
            <w:tcW w:type="dxa" w:w="4819"/>
          </w:tcPr>
          <w:p>
            <w:pPr>
              <w:spacing w:after="20" w:before="20" w:line="240" w:lineRule="auto"/>
            </w:pPr>
            <w:r/>
            <w:r>
              <w:rPr>
                <w:rFonts w:ascii="Arial" w:hAnsi="Arial" w:cs="Arial"/>
                <w:b w:val="0"/>
                <w:i w:val="0"/>
                <w:sz w:val="17"/>
              </w:rPr>
              <w:t>DYNAMIC</w:t>
            </w:r>
          </w:p>
        </w:tc>
        <w:tc>
          <w:tcPr>
            <w:tcW w:type="dxa" w:w="4819"/>
          </w:tcPr>
          <w:p>
            <w:pPr>
              <w:spacing w:after="20" w:before="20" w:line="240" w:lineRule="auto"/>
            </w:pPr>
            <w:r/>
            <w:r>
              <w:rPr>
                <w:rFonts w:ascii="Arial" w:hAnsi="Arial" w:cs="Arial"/>
                <w:b w:val="0"/>
                <w:i w:val="0"/>
                <w:sz w:val="17"/>
              </w:rPr>
              <w:t>Full deterministic dynamic rate from the engine</w:t>
            </w:r>
          </w:p>
        </w:tc>
      </w:tr>
      <w:tr>
        <w:tc>
          <w:tcPr>
            <w:tcW w:type="dxa" w:w="4819"/>
          </w:tcPr>
          <w:p>
            <w:pPr>
              <w:spacing w:after="20" w:before="20" w:line="240" w:lineRule="auto"/>
            </w:pPr>
            <w:r/>
            <w:r>
              <w:rPr>
                <w:rFonts w:ascii="Arial" w:hAnsi="Arial" w:cs="Arial"/>
                <w:b w:val="0"/>
                <w:i w:val="0"/>
                <w:sz w:val="17"/>
              </w:rPr>
              <w:t>PROTECTED</w:t>
            </w:r>
          </w:p>
        </w:tc>
        <w:tc>
          <w:tcPr>
            <w:tcW w:type="dxa" w:w="4819"/>
          </w:tcPr>
          <w:p>
            <w:pPr>
              <w:spacing w:after="20" w:before="20" w:line="240" w:lineRule="auto"/>
            </w:pPr>
            <w:r/>
            <w:r>
              <w:rPr>
                <w:rFonts w:ascii="Arial" w:hAnsi="Arial" w:cs="Arial"/>
                <w:b w:val="0"/>
                <w:i w:val="0"/>
                <w:sz w:val="17"/>
              </w:rPr>
              <w:t>Dynamic rate with stronger affordability protection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Predictable mode shall not default to the constitutional maximum. The customer receives a policy-defined predictable rate based on the relevant trade class - standard, bulk, essential, special stock, or high-value/low-margin - and each class may have a distinct predictable-rate band. Predictable rates are still engine-produced, versioned, and recorded as fee decisions, so mode selection changes how the rate is stabilised, never who computes it or which bounds apply.</w:t>
      </w:r>
    </w:p>
    <w:p>
      <w:pPr>
        <w:keepNext/>
        <w:spacing w:before="180" w:after="80"/>
        <w:outlineLvl w:val="2"/>
      </w:pPr>
      <w:r>
        <w:rPr>
          <w:rFonts w:ascii="Arial" w:hAnsi="Arial" w:cs="Arial"/>
          <w:b/>
          <w:i w:val="0"/>
          <w:color w:val="333333"/>
          <w:sz w:val="23"/>
        </w:rPr>
        <w:t>9.27.28 Calibration, Backtesting &amp; Fairness Testing</w:t>
      </w:r>
    </w:p>
    <w:p>
      <w:pPr>
        <w:keepNext/>
        <w:spacing w:before="140" w:after="60"/>
        <w:outlineLvl w:val="3"/>
      </w:pPr>
      <w:r>
        <w:rPr>
          <w:rFonts w:ascii="Arial" w:hAnsi="Arial" w:cs="Arial"/>
          <w:b/>
          <w:i/>
          <w:color w:val="333333"/>
          <w:sz w:val="22"/>
        </w:rPr>
        <w:t>9.27.28.1 Fee Elasticity Monitoring</w:t>
      </w:r>
    </w:p>
    <w:p>
      <w:pPr>
        <w:spacing w:after="80" w:line="293" w:lineRule="auto"/>
        <w:jc w:val="left"/>
      </w:pPr>
      <w:r>
        <w:rPr>
          <w:rFonts w:ascii="Times New Roman" w:hAnsi="Times New Roman" w:cs="Times New Roman"/>
          <w:b w:val="0"/>
          <w:i w:val="0"/>
          <w:sz w:val="22"/>
        </w:rPr>
        <w:t>SGTX monitors fee/trade value, fee/gross profit, fee/MT, fee/container, fee/vehicle, and fee/transaction. This allows the platform to understand how the model behaves across trade classes and to detect drift toward any unintended pricing regime.</w:t>
      </w:r>
    </w:p>
    <w:p>
      <w:pPr>
        <w:keepNext/>
        <w:spacing w:before="140" w:after="60"/>
        <w:outlineLvl w:val="3"/>
      </w:pPr>
      <w:r>
        <w:rPr>
          <w:rFonts w:ascii="Arial" w:hAnsi="Arial" w:cs="Arial"/>
          <w:b/>
          <w:i/>
          <w:color w:val="333333"/>
          <w:sz w:val="22"/>
        </w:rPr>
        <w:t>9.27.28.2 Calibration Engine</w:t>
      </w:r>
    </w:p>
    <w:p>
      <w:pPr>
        <w:spacing w:after="80" w:line="293" w:lineRule="auto"/>
        <w:jc w:val="left"/>
      </w:pPr>
      <w:r>
        <w:rPr>
          <w:rFonts w:ascii="Times New Roman" w:hAnsi="Times New Roman" w:cs="Times New Roman"/>
          <w:b w:val="0"/>
          <w:i w:val="0"/>
          <w:sz w:val="22"/>
        </w:rPr>
        <w:t>The fee model periodically compares predicted cost-to-serve against actual cost-to-serve, predicted risk against observed loss and exception rates, and predicted margin against observed economics. The system may propose parameter adjustments; AI may recommend, governance approves, and the deterministic formula remains the final authority. Calibration proposals are useless without observed data, so the calibration engine is fed by the execution record, Trade Memory aggregates, and the reconciliation control plane.</w:t>
      </w:r>
    </w:p>
    <w:p>
      <w:pPr>
        <w:keepNext/>
        <w:spacing w:before="140" w:after="60"/>
        <w:outlineLvl w:val="3"/>
      </w:pPr>
      <w:r>
        <w:rPr>
          <w:rFonts w:ascii="Arial" w:hAnsi="Arial" w:cs="Arial"/>
          <w:b/>
          <w:i/>
          <w:color w:val="333333"/>
          <w:sz w:val="22"/>
        </w:rPr>
        <w:t>9.27.28.3 Backtesting Requirement</w:t>
      </w:r>
    </w:p>
    <w:p>
      <w:pPr>
        <w:spacing w:after="80" w:line="293" w:lineRule="auto"/>
        <w:jc w:val="left"/>
      </w:pPr>
      <w:r>
        <w:rPr>
          <w:rFonts w:ascii="Times New Roman" w:hAnsi="Times New Roman" w:cs="Times New Roman"/>
          <w:b w:val="0"/>
          <w:i w:val="0"/>
          <w:sz w:val="22"/>
        </w:rPr>
        <w:t>Before changing pricing coefficients, SGTX runs historical backtesting across at least the standard, essential, bulk, perishable, special-stock, high-value/low-margin, RoRo, multi-shipment, financed, and cross-border high-risk classes. For each class the backtest evaluates: median effective rate; average fee; fee as percentage of gross profit; platform contribution; exception rate; customer acceptance; and revenue stability.</w:t>
      </w:r>
    </w:p>
    <w:p>
      <w:pPr>
        <w:keepNext/>
        <w:spacing w:before="140" w:after="60"/>
        <w:outlineLvl w:val="3"/>
      </w:pPr>
      <w:r>
        <w:rPr>
          <w:rFonts w:ascii="Arial" w:hAnsi="Arial" w:cs="Arial"/>
          <w:b/>
          <w:i/>
          <w:color w:val="333333"/>
          <w:sz w:val="22"/>
        </w:rPr>
        <w:t>9.27.28.4 Fairness Testing</w:t>
      </w:r>
    </w:p>
    <w:p>
      <w:pPr>
        <w:spacing w:after="80" w:line="293" w:lineRule="auto"/>
        <w:jc w:val="left"/>
      </w:pPr>
      <w:r>
        <w:rPr>
          <w:rFonts w:ascii="Times New Roman" w:hAnsi="Times New Roman" w:cs="Times New Roman"/>
          <w:b w:val="0"/>
          <w:i w:val="0"/>
          <w:sz w:val="22"/>
        </w:rPr>
        <w:t>The model is tested for economically unjustified differences. For otherwise similar trades - same complexity, same risk, same service scope, same corridor, same execution pattern - a major price difference requires evidence. The system detects rate disparity without economic justification and flags it for review, protecting the platform from both discrimination risk and drift.</w:t>
      </w:r>
    </w:p>
    <w:p>
      <w:pPr>
        <w:keepNext/>
        <w:spacing w:before="180" w:after="80"/>
        <w:outlineLvl w:val="2"/>
      </w:pPr>
      <w:r>
        <w:rPr>
          <w:rFonts w:ascii="Arial" w:hAnsi="Arial" w:cs="Arial"/>
          <w:b/>
          <w:i w:val="0"/>
          <w:color w:val="333333"/>
          <w:sz w:val="23"/>
        </w:rPr>
        <w:t>9.27.29 Anti-Gaming &amp; Aggregation Defenses</w:t>
      </w:r>
    </w:p>
    <w:p>
      <w:pPr>
        <w:keepNext/>
        <w:spacing w:before="140" w:after="60"/>
        <w:outlineLvl w:val="3"/>
      </w:pPr>
      <w:r>
        <w:rPr>
          <w:rFonts w:ascii="Arial" w:hAnsi="Arial" w:cs="Arial"/>
          <w:b/>
          <w:i/>
          <w:color w:val="333333"/>
          <w:sz w:val="22"/>
        </w:rPr>
        <w:t>9.27.29.1 Declared-Economics Verification</w:t>
      </w:r>
    </w:p>
    <w:p>
      <w:pPr>
        <w:spacing w:after="80" w:line="293" w:lineRule="auto"/>
        <w:jc w:val="left"/>
      </w:pPr>
      <w:r>
        <w:rPr>
          <w:rFonts w:ascii="Times New Roman" w:hAnsi="Times New Roman" w:cs="Times New Roman"/>
          <w:b w:val="0"/>
          <w:i w:val="0"/>
          <w:sz w:val="22"/>
        </w:rPr>
        <w:t>A party may not reduce its fee through artificial COGS or revenue declarations. The system compares declared economics against historical trade memory, verified commercial documents, comparable market transactions, product reference curves, past shipment economics, and audited evidence where available. Material deviations trigger an economic data review, not automatic rejection: the case is routed to verification, and the fee calculation uses the confidence-weighted estimated margin until the review resolves.</w:t>
      </w:r>
    </w:p>
    <w:p>
      <w:pPr>
        <w:keepNext/>
        <w:spacing w:before="140" w:after="60"/>
        <w:outlineLvl w:val="3"/>
      </w:pPr>
      <w:r>
        <w:rPr>
          <w:rFonts w:ascii="Arial" w:hAnsi="Arial" w:cs="Arial"/>
          <w:b/>
          <w:i/>
          <w:color w:val="333333"/>
          <w:sz w:val="22"/>
        </w:rPr>
        <w:t>9.27.29.2 Gaming Detection</w:t>
      </w:r>
    </w:p>
    <w:p>
      <w:pPr>
        <w:spacing w:after="80" w:line="293" w:lineRule="auto"/>
        <w:jc w:val="left"/>
      </w:pPr>
      <w:r>
        <w:rPr>
          <w:rFonts w:ascii="Times New Roman" w:hAnsi="Times New Roman" w:cs="Times New Roman"/>
          <w:b w:val="0"/>
          <w:i w:val="0"/>
          <w:sz w:val="22"/>
        </w:rPr>
        <w:t>The engine detects attempts to artificially lower shipment value, COGS, resale price, gross margin, commodity classification, shipment count, contract segmentation, or service classification, through cross-checking against historical trade memory, market references, documents, invoice data, customs data, logistics data, and financing records.</w:t>
      </w:r>
    </w:p>
    <w:p>
      <w:pPr>
        <w:keepNext/>
        <w:spacing w:before="140" w:after="60"/>
        <w:outlineLvl w:val="3"/>
      </w:pPr>
      <w:r>
        <w:rPr>
          <w:rFonts w:ascii="Arial" w:hAnsi="Arial" w:cs="Arial"/>
          <w:b/>
          <w:i/>
          <w:color w:val="333333"/>
          <w:sz w:val="22"/>
        </w:rPr>
        <w:t>9.27.29.3 Shipment Splitting Defense</w:t>
      </w:r>
    </w:p>
    <w:p>
      <w:pPr>
        <w:spacing w:after="80" w:line="293" w:lineRule="auto"/>
        <w:jc w:val="left"/>
      </w:pPr>
      <w:r>
        <w:rPr>
          <w:rFonts w:ascii="Times New Roman" w:hAnsi="Times New Roman" w:cs="Times New Roman"/>
          <w:b w:val="0"/>
          <w:i w:val="0"/>
          <w:sz w:val="22"/>
        </w:rPr>
        <w:t>The same underlying trade shall not receive repeated artificial benefits by splitting one $100M shipment into a hundred $1M shipments unless there is a genuine operational reason. The engine detects the economic parent trade and applies appropriate pricing aggregation. This is especially important for bulk and special-stock trades, where sublinear pricing would otherwise reward fragmentation.</w:t>
      </w:r>
    </w:p>
    <w:p>
      <w:pPr>
        <w:keepNext/>
        <w:spacing w:before="140" w:after="60"/>
        <w:outlineLvl w:val="3"/>
      </w:pPr>
      <w:r>
        <w:rPr>
          <w:rFonts w:ascii="Arial" w:hAnsi="Arial" w:cs="Arial"/>
          <w:b/>
          <w:i/>
          <w:color w:val="333333"/>
          <w:sz w:val="22"/>
        </w:rPr>
        <w:t>9.27.29.4 Contract Segmentation Defense</w:t>
      </w:r>
    </w:p>
    <w:p>
      <w:pPr>
        <w:spacing w:after="80" w:line="293" w:lineRule="auto"/>
        <w:jc w:val="left"/>
      </w:pPr>
      <w:r>
        <w:rPr>
          <w:rFonts w:ascii="Times New Roman" w:hAnsi="Times New Roman" w:cs="Times New Roman"/>
          <w:b w:val="0"/>
          <w:i w:val="0"/>
          <w:sz w:val="22"/>
        </w:rPr>
        <w:t>A customer cannot create multiple master contracts purely to obtain repeated new-customer or spot treatment while economically executing one recurring program. Trade Memory identifies likely economic relationships, and the segmentation defense prices the program on its true economics.</w:t>
      </w:r>
    </w:p>
    <w:p>
      <w:pPr>
        <w:keepNext/>
        <w:spacing w:before="140" w:after="60"/>
        <w:outlineLvl w:val="3"/>
      </w:pPr>
      <w:r>
        <w:rPr>
          <w:rFonts w:ascii="Arial" w:hAnsi="Arial" w:cs="Arial"/>
          <w:b/>
          <w:i/>
          <w:color w:val="333333"/>
          <w:sz w:val="22"/>
        </w:rPr>
        <w:t>9.27.29.5 Bulk Contract Aggregation</w:t>
      </w:r>
    </w:p>
    <w:p>
      <w:pPr>
        <w:spacing w:after="80" w:line="293" w:lineRule="auto"/>
        <w:jc w:val="left"/>
      </w:pPr>
      <w:r>
        <w:rPr>
          <w:rFonts w:ascii="Times New Roman" w:hAnsi="Times New Roman" w:cs="Times New Roman"/>
          <w:b w:val="0"/>
          <w:i w:val="0"/>
          <w:sz w:val="22"/>
        </w:rPr>
        <w:t>Bulk programs receive an annual-volume-commitment metric. Example: a $100M shipment repeated 12 times per year is a $1.2B annual program, and the fee engine recognises the annual commitment without requiring all shipments to be prepaid.</w:t>
      </w:r>
    </w:p>
    <w:p>
      <w:pPr>
        <w:keepNext/>
        <w:spacing w:before="140" w:after="60"/>
        <w:outlineLvl w:val="3"/>
      </w:pPr>
      <w:r>
        <w:rPr>
          <w:rFonts w:ascii="Arial" w:hAnsi="Arial" w:cs="Arial"/>
          <w:b/>
          <w:i/>
          <w:color w:val="333333"/>
          <w:sz w:val="22"/>
        </w:rPr>
        <w:t>9.27.29.6 Special-Stock Inventory Programs</w:t>
      </w:r>
    </w:p>
    <w:p>
      <w:pPr>
        <w:spacing w:after="80" w:line="293" w:lineRule="auto"/>
        <w:jc w:val="left"/>
      </w:pPr>
      <w:r>
        <w:rPr>
          <w:rFonts w:ascii="Times New Roman" w:hAnsi="Times New Roman" w:cs="Times New Roman"/>
          <w:b w:val="0"/>
          <w:i w:val="0"/>
          <w:sz w:val="22"/>
        </w:rPr>
        <w:t>For repeat inventory movements, annual program value, inventory turnover, average shipment value, average margin, and execution frequency determine whether the account qualifies for program pricing rather than fully independent per-shipment pricing. For approved institutional programs:</w:t>
      </w:r>
    </w:p>
    <w:p>
      <w:pPr>
        <w:spacing w:after="0" w:before="0" w:line="240" w:lineRule="auto"/>
        <w:ind w:left="57"/>
        <w:jc w:val="left"/>
        <w:shd w:val="clear" w:fill="F2F2F2"/>
      </w:pPr>
      <w:r>
        <w:rPr>
          <w:rFonts w:ascii="Consolas" w:hAnsi="Consolas" w:cs="Consolas"/>
          <w:b w:val="0"/>
          <w:i w:val="0"/>
          <w:sz w:val="15"/>
        </w:rPr>
        <w:t>PROGRAM_RATE = base_rate - earned_efficiency_discount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shipment still receives its own fee decision, FeeLock, USTN, and payment status, consistent with the independent shipment execution model of Section 9.33.</w:t>
      </w:r>
    </w:p>
    <w:p>
      <w:pPr>
        <w:keepNext/>
        <w:spacing w:before="180" w:after="80"/>
        <w:outlineLvl w:val="2"/>
      </w:pPr>
      <w:r>
        <w:rPr>
          <w:rFonts w:ascii="Arial" w:hAnsi="Arial" w:cs="Arial"/>
          <w:b/>
          <w:i w:val="0"/>
          <w:color w:val="333333"/>
          <w:sz w:val="23"/>
        </w:rPr>
        <w:t>9.27.30 Special Rate Governance</w:t>
      </w:r>
    </w:p>
    <w:p>
      <w:pPr>
        <w:spacing w:after="80" w:line="293" w:lineRule="auto"/>
        <w:jc w:val="left"/>
      </w:pPr>
      <w:r>
        <w:rPr>
          <w:rFonts w:ascii="Times New Roman" w:hAnsi="Times New Roman" w:cs="Times New Roman"/>
          <w:b w:val="0"/>
          <w:i w:val="0"/>
          <w:sz w:val="22"/>
        </w:rPr>
        <w:t>The Special Rate Manager operates strictly through the constitutional engine. Direct fee-engine overrides are prohibited: any mechanism that would set a fee outside the constitutional band or bypass the constitutional validation layer is not permitted, and ad-hoc override rates in an unconstrained special range are not valid configurations. All special pricing enters as a SPECIAL_PRICING_POLICY that passes the same validation, capping, affordability, and sanity-gate path as every other fee.</w:t>
      </w:r>
    </w:p>
    <w:p>
      <w:pPr>
        <w:spacing w:after="80" w:line="293" w:lineRule="auto"/>
        <w:jc w:val="left"/>
      </w:pPr>
      <w:r>
        <w:rPr>
          <w:rFonts w:ascii="Times New Roman" w:hAnsi="Times New Roman" w:cs="Times New Roman"/>
          <w:b w:val="0"/>
          <w:i w:val="0"/>
          <w:sz w:val="22"/>
        </w:rPr>
        <w:t>Permitted special rate types: strategic corridor rate; anchor institution rate; government program rate; essential program rate; bulk program rate; launch or pilot rate; and institutional volume rate. All remain bounded by the Constitution, the affordability guard, and the economic charge rules. The admin-portal Special Rate Manager workflow (Section 16.8.13, Tab 7) and the special_sgtx_fee_rates schema (Section 17.29) implement exactly this model: multisig-approved, versioned, reason-bearing, and constitutionally bounded.</w:t>
      </w:r>
    </w:p>
    <w:p>
      <w:pPr>
        <w:keepNext/>
        <w:spacing w:before="180" w:after="80"/>
        <w:outlineLvl w:val="2"/>
      </w:pPr>
      <w:r>
        <w:rPr>
          <w:rFonts w:ascii="Arial" w:hAnsi="Arial" w:cs="Arial"/>
          <w:b/>
          <w:i w:val="0"/>
          <w:color w:val="333333"/>
          <w:sz w:val="23"/>
        </w:rPr>
        <w:t>9.27.31 Fee Governance, Change Control &amp; Auditability</w:t>
      </w:r>
    </w:p>
    <w:p>
      <w:pPr>
        <w:spacing w:after="80" w:line="293" w:lineRule="auto"/>
        <w:jc w:val="left"/>
      </w:pPr>
      <w:r>
        <w:rPr>
          <w:rFonts w:ascii="Times New Roman" w:hAnsi="Times New Roman" w:cs="Times New Roman"/>
          <w:b w:val="0"/>
          <w:i w:val="0"/>
          <w:sz w:val="22"/>
        </w:rPr>
        <w:t>Changes to factor weights, rate bands, commodity classifications, bulk parameters, HVLM parameters, discount limits, and cap parameters must be versioned. Changes affecting constitutional boundaries require the full constitutional amendment process; other bounded policy changes require multisig governance according to the applicable governance layer (Section 3.6 and Section 16.8.13).</w:t>
      </w:r>
    </w:p>
    <w:p>
      <w:pPr>
        <w:spacing w:after="80" w:line="293" w:lineRule="auto"/>
        <w:jc w:val="left"/>
      </w:pPr>
      <w:r>
        <w:rPr>
          <w:rFonts w:ascii="Times New Roman" w:hAnsi="Times New Roman" w:cs="Times New Roman"/>
          <w:b w:val="0"/>
          <w:i w:val="0"/>
          <w:sz w:val="22"/>
        </w:rPr>
        <w:t>After contract lock the fee cannot silently change. Any approved material amendment must produce a new calculation, a new policy trace, a new Governor decision, and new amendment evidence where policy requires it. Every fee calculation is reconstructible: the audit package contains the inputs, data versions, formula, scores, modifiers, discounts, caps, final amount, Governor decision, evidence hash, and timestamp.</w:t>
      </w:r>
    </w:p>
    <w:p>
      <w:pPr>
        <w:keepNext/>
        <w:spacing w:before="140" w:after="60"/>
        <w:outlineLvl w:val="3"/>
      </w:pPr>
      <w:r>
        <w:rPr>
          <w:rFonts w:ascii="Arial" w:hAnsi="Arial" w:cs="Arial"/>
          <w:b/>
          <w:i/>
          <w:color w:val="333333"/>
          <w:sz w:val="22"/>
        </w:rPr>
        <w:t>9.27.31.1 Blueprint Integration Surfaces</w:t>
      </w:r>
    </w:p>
    <w:p>
      <w:pPr>
        <w:spacing w:after="80" w:line="293" w:lineRule="auto"/>
        <w:jc w:val="left"/>
      </w:pPr>
      <w:r>
        <w:rPr>
          <w:rFonts w:ascii="Times New Roman" w:hAnsi="Times New Roman" w:cs="Times New Roman"/>
          <w:b w:val="0"/>
          <w:i w:val="0"/>
          <w:sz w:val="22"/>
        </w:rPr>
        <w:t>The Dynamic Fee Engine is the single pricing authority across the platform and binds into the following surfaces, all of which reference this section as their fee model: the fee engine and fee transparency flows of Sections 9.27-9.28; the non-custodial fee/payment principle and fee lifecycle of Sections 9.29-9.29.1; the FeeLock state machine of Section 9.30; the deferred fee and due-date policy model of Sections 9.31-9.31.1; the late fee rules of Section 9.32; the multi-shipment fee collection model of Sections 9.33-9.34; the seller quote fee construction of Section 8.2 (Steps 8 and 11); the invoice fee lines of Section 8.8; the payment and fee orchestration of Section 13.4; the fee database schema of Sections 17.10 and 17.10.1; the special rates configuration of Section 17.29; the Special Rate Manager of Section 16.8.13; and the economic moat analysis of Section 23.1.5.2. Contract witness clauses, fee UI examples, API fee schemas, FeeLock payloads, test fixtures, pricing examples, and implementation checklists throughout this blueprint use the CFB-based, engine-determined fee model.</w:t>
      </w:r>
    </w:p>
    <w:p>
      <w:pPr>
        <w:keepNext/>
        <w:spacing w:before="180" w:after="80"/>
        <w:outlineLvl w:val="2"/>
      </w:pPr>
      <w:r>
        <w:rPr>
          <w:rFonts w:ascii="Arial" w:hAnsi="Arial" w:cs="Arial"/>
          <w:b/>
          <w:i w:val="0"/>
          <w:color w:val="333333"/>
          <w:sz w:val="23"/>
        </w:rPr>
        <w:t>9.27.32 Worked Examples</w:t>
      </w:r>
    </w:p>
    <w:p>
      <w:pPr>
        <w:keepNext/>
        <w:spacing w:before="140" w:after="60"/>
        <w:outlineLvl w:val="3"/>
      </w:pPr>
      <w:r>
        <w:rPr>
          <w:rFonts w:ascii="Arial" w:hAnsi="Arial" w:cs="Arial"/>
          <w:b/>
          <w:i/>
          <w:color w:val="333333"/>
          <w:sz w:val="22"/>
        </w:rPr>
        <w:t>9.27.32.1 Example 1 - Standard Trade</w:t>
      </w:r>
    </w:p>
    <w:p>
      <w:pPr>
        <w:spacing w:after="0" w:before="0" w:line="240" w:lineRule="auto"/>
        <w:ind w:left="57"/>
        <w:jc w:val="left"/>
        <w:shd w:val="clear" w:fill="F2F2F2"/>
      </w:pPr>
      <w:r>
        <w:rPr>
          <w:rFonts w:ascii="Consolas" w:hAnsi="Consolas" w:cs="Consolas"/>
          <w:b w:val="0"/>
          <w:i w:val="0"/>
          <w:sz w:val="15"/>
        </w:rPr>
        <w:t>CFB = $10,000,000</w:t>
      </w:r>
    </w:p>
    <w:p>
      <w:pPr>
        <w:spacing w:after="0" w:before="0" w:line="240" w:lineRule="auto"/>
        <w:ind w:left="57"/>
        <w:jc w:val="left"/>
        <w:shd w:val="clear" w:fill="F2F2F2"/>
      </w:pPr>
      <w:r>
        <w:rPr>
          <w:rFonts w:ascii="Consolas" w:hAnsi="Consolas" w:cs="Consolas"/>
          <w:b w:val="0"/>
          <w:i w:val="0"/>
          <w:sz w:val="15"/>
        </w:rPr>
        <w:t>CTS = 25, Risk = 20, Value = 25, Efficiency = 80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Fairness = 0.35(25) + 0.30(20) + 0.20(25) - 0.15(80)</w:t>
      </w:r>
    </w:p>
    <w:p>
      <w:pPr>
        <w:spacing w:after="0" w:before="0" w:line="240" w:lineRule="auto"/>
        <w:ind w:left="57"/>
        <w:jc w:val="left"/>
        <w:shd w:val="clear" w:fill="F2F2F2"/>
      </w:pPr>
      <w:r>
        <w:rPr>
          <w:rFonts w:ascii="Consolas" w:hAnsi="Consolas" w:cs="Consolas"/>
          <w:b w:val="0"/>
          <w:i w:val="0"/>
          <w:sz w:val="15"/>
        </w:rPr>
        <w:t xml:space="preserve">         = 8.75 + 6 + 5 - 12 = 7.75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Fair Rate = 0.03% + 1.47% x 0.0775 = 0.144%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Raw Fee ~= $14,437.50 (before classification and affordability logic)</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model produces a rate appropriate to a low-complexity, high-efficiency transaction rather than mechanically charging the constitutional maximum.</w:t>
      </w:r>
    </w:p>
    <w:p>
      <w:pPr>
        <w:keepNext/>
        <w:spacing w:before="140" w:after="60"/>
        <w:outlineLvl w:val="3"/>
      </w:pPr>
      <w:r>
        <w:rPr>
          <w:rFonts w:ascii="Arial" w:hAnsi="Arial" w:cs="Arial"/>
          <w:b/>
          <w:i/>
          <w:color w:val="333333"/>
          <w:sz w:val="22"/>
        </w:rPr>
        <w:t>9.27.32.2 Example 2 - $100M Bulk Wheat</w:t>
      </w:r>
    </w:p>
    <w:p>
      <w:pPr>
        <w:spacing w:after="0" w:before="0" w:line="240" w:lineRule="auto"/>
        <w:ind w:left="57"/>
        <w:jc w:val="left"/>
        <w:shd w:val="clear" w:fill="F2F2F2"/>
      </w:pPr>
      <w:r>
        <w:rPr>
          <w:rFonts w:ascii="Consolas" w:hAnsi="Consolas" w:cs="Consolas"/>
          <w:b w:val="0"/>
          <w:i w:val="0"/>
          <w:sz w:val="15"/>
        </w:rPr>
        <w:t>CFB = $100,000,000, Commodity = Wheat, Class = Essential + Bulk</w:t>
      </w:r>
    </w:p>
    <w:p>
      <w:pPr>
        <w:spacing w:after="0" w:before="0" w:line="240" w:lineRule="auto"/>
        <w:ind w:left="57"/>
        <w:jc w:val="left"/>
        <w:shd w:val="clear" w:fill="F2F2F2"/>
      </w:pPr>
      <w:r>
        <w:rPr>
          <w:rFonts w:ascii="Consolas" w:hAnsi="Consolas" w:cs="Consolas"/>
          <w:b w:val="0"/>
          <w:i w:val="0"/>
          <w:sz w:val="15"/>
        </w:rPr>
        <w:t>Margin = 2.5%, Shipment = Recurring, Corridor = Mature</w:t>
      </w:r>
    </w:p>
    <w:p>
      <w:pPr>
        <w:spacing w:after="0" w:before="0" w:line="240" w:lineRule="auto"/>
        <w:ind w:left="57"/>
        <w:jc w:val="left"/>
        <w:shd w:val="clear" w:fill="F2F2F2"/>
      </w:pPr>
      <w:r>
        <w:rPr>
          <w:rFonts w:ascii="Consolas" w:hAnsi="Consolas" w:cs="Consolas"/>
          <w:b w:val="0"/>
          <w:i w:val="0"/>
          <w:sz w:val="15"/>
        </w:rPr>
        <w:t>Execution = Highly automated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system recognises high value, very large volume, low margin, low incremental workload per dollar, mature corridor, and essential commodity, so it naturally converges toward a low institutional rate of 3-5 bps subject to actual cost-to-serve and risk. At 4 bps the fee is $100,000,000 x 0.0004 = $40,000, rather than $1,500,000 under a mechanical flat 1.5% charge. This is precisely the type of transaction where the engine produces dramatically fairer economics.</w:t>
      </w:r>
    </w:p>
    <w:p>
      <w:pPr>
        <w:keepNext/>
        <w:spacing w:before="140" w:after="60"/>
        <w:outlineLvl w:val="3"/>
      </w:pPr>
      <w:r>
        <w:rPr>
          <w:rFonts w:ascii="Arial" w:hAnsi="Arial" w:cs="Arial"/>
          <w:b/>
          <w:i/>
          <w:color w:val="333333"/>
          <w:sz w:val="22"/>
        </w:rPr>
        <w:t>9.27.32.3 Example 3 - $500M High-Value / 2% Margin</w:t>
      </w:r>
    </w:p>
    <w:p>
      <w:pPr>
        <w:spacing w:after="0" w:before="0" w:line="240" w:lineRule="auto"/>
        <w:ind w:left="57"/>
        <w:jc w:val="left"/>
        <w:shd w:val="clear" w:fill="F2F2F2"/>
      </w:pPr>
      <w:r>
        <w:rPr>
          <w:rFonts w:ascii="Consolas" w:hAnsi="Consolas" w:cs="Consolas"/>
          <w:b w:val="0"/>
          <w:i w:val="0"/>
          <w:sz w:val="15"/>
        </w:rPr>
        <w:t>CFB = $500M, Gross Profit = $10M, Margin = 2%, Risk = Low</w:t>
      </w:r>
    </w:p>
    <w:p>
      <w:pPr>
        <w:spacing w:after="0" w:before="0" w:line="240" w:lineRule="auto"/>
        <w:ind w:left="57"/>
        <w:jc w:val="left"/>
        <w:shd w:val="clear" w:fill="F2F2F2"/>
      </w:pPr>
      <w:r>
        <w:rPr>
          <w:rFonts w:ascii="Consolas" w:hAnsi="Consolas" w:cs="Consolas"/>
          <w:b w:val="0"/>
          <w:i w:val="0"/>
          <w:sz w:val="15"/>
        </w:rPr>
        <w:t>Complexity = Medium, Volume = Very High, Special Stock =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Base fair fee = $150,000</w:t>
      </w:r>
    </w:p>
    <w:p>
      <w:pPr>
        <w:spacing w:after="0" w:before="0" w:line="240" w:lineRule="auto"/>
        <w:ind w:left="57"/>
        <w:jc w:val="left"/>
        <w:shd w:val="clear" w:fill="F2F2F2"/>
      </w:pPr>
      <w:r>
        <w:rPr>
          <w:rFonts w:ascii="Consolas" w:hAnsi="Consolas" w:cs="Consolas"/>
          <w:b w:val="0"/>
          <w:i w:val="0"/>
          <w:sz w:val="15"/>
        </w:rPr>
        <w:t>Affordability cap at 10% protective rate = $1,000,000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Final fee = $150,000 - the transaction remains economically viable.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9.27.32.4 Example 4 - $500M High-Value / 0.5% Margin</w:t>
      </w:r>
    </w:p>
    <w:p>
      <w:pPr>
        <w:spacing w:after="0" w:before="0" w:line="240" w:lineRule="auto"/>
        <w:ind w:left="57"/>
        <w:jc w:val="left"/>
        <w:shd w:val="clear" w:fill="F2F2F2"/>
      </w:pPr>
      <w:r>
        <w:rPr>
          <w:rFonts w:ascii="Consolas" w:hAnsi="Consolas" w:cs="Consolas"/>
          <w:b w:val="0"/>
          <w:i w:val="0"/>
          <w:sz w:val="15"/>
        </w:rPr>
        <w:t>Revenue = $500M, Gross Profit = $2.5M, Margin = 0.5%</w:t>
      </w:r>
    </w:p>
    <w:p>
      <w:pPr>
        <w:spacing w:after="0" w:before="0" w:line="240" w:lineRule="auto"/>
        <w:ind w:left="57"/>
        <w:jc w:val="left"/>
        <w:shd w:val="clear" w:fill="F2F2F2"/>
      </w:pPr>
      <w:r>
        <w:rPr>
          <w:rFonts w:ascii="Consolas" w:hAnsi="Consolas" w:cs="Consolas"/>
          <w:b w:val="0"/>
          <w:i w:val="0"/>
          <w:sz w:val="15"/>
        </w:rPr>
        <w:t>Margin take rate = 10% -&gt; Affordability cap = $250,000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 raw fee of $400,000 becomes FINAL_FEE = $250,000,</w:t>
      </w:r>
    </w:p>
    <w:p>
      <w:pPr>
        <w:spacing w:after="0" w:before="0" w:line="240" w:lineRule="auto"/>
        <w:ind w:left="57"/>
        <w:jc w:val="left"/>
        <w:shd w:val="clear" w:fill="F2F2F2"/>
      </w:pPr>
      <w:r>
        <w:rPr>
          <w:rFonts w:ascii="Consolas" w:hAnsi="Consolas" w:cs="Consolas"/>
          <w:b w:val="0"/>
          <w:i w:val="0"/>
          <w:sz w:val="15"/>
        </w:rPr>
        <w:t>consuming 10% of gross profit and protecting the trading party.</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9.27.32.5 Example 5 - $1B Extreme Bulk</w:t>
      </w:r>
    </w:p>
    <w:p>
      <w:pPr>
        <w:spacing w:after="0" w:before="0" w:line="240" w:lineRule="auto"/>
        <w:ind w:left="57"/>
        <w:jc w:val="left"/>
        <w:shd w:val="clear" w:fill="F2F2F2"/>
      </w:pPr>
      <w:r>
        <w:rPr>
          <w:rFonts w:ascii="Consolas" w:hAnsi="Consolas" w:cs="Consolas"/>
          <w:b w:val="0"/>
          <w:i w:val="0"/>
          <w:sz w:val="15"/>
        </w:rPr>
        <w:t>CFB = $1,000,000,000, Cargo = 500,000 MT, Margin = 1.5%</w:t>
      </w:r>
    </w:p>
    <w:p>
      <w:pPr>
        <w:spacing w:after="0" w:before="0" w:line="240" w:lineRule="auto"/>
        <w:ind w:left="57"/>
        <w:jc w:val="left"/>
        <w:shd w:val="clear" w:fill="F2F2F2"/>
      </w:pPr>
      <w:r>
        <w:rPr>
          <w:rFonts w:ascii="Consolas" w:hAnsi="Consolas" w:cs="Consolas"/>
          <w:b w:val="0"/>
          <w:i w:val="0"/>
          <w:sz w:val="15"/>
        </w:rPr>
        <w:t>Annual repeat volume = $5B, API = Full, Corridor = Mature,</w:t>
      </w:r>
    </w:p>
    <w:p>
      <w:pPr>
        <w:spacing w:after="0" w:before="0" w:line="240" w:lineRule="auto"/>
        <w:ind w:left="57"/>
        <w:jc w:val="left"/>
        <w:shd w:val="clear" w:fill="F2F2F2"/>
      </w:pPr>
      <w:r>
        <w:rPr>
          <w:rFonts w:ascii="Consolas" w:hAnsi="Consolas" w:cs="Consolas"/>
          <w:b w:val="0"/>
          <w:i w:val="0"/>
          <w:sz w:val="15"/>
        </w:rPr>
        <w:t>Exceptions = Very Low</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volume, efficiency, and low-margin protections drive the fee toward the institutional bulk curve - for example 3 bps = $300,000 subject to actual cost-to-serve - rather than $15M under a mechanical flat charge. These enormous commodity transactions can become the foundation of SGTX network volume.</w:t>
      </w:r>
    </w:p>
    <w:p>
      <w:pPr>
        <w:keepNext/>
        <w:spacing w:before="140" w:after="60"/>
        <w:outlineLvl w:val="3"/>
      </w:pPr>
      <w:r>
        <w:rPr>
          <w:rFonts w:ascii="Arial" w:hAnsi="Arial" w:cs="Arial"/>
          <w:b/>
          <w:i/>
          <w:color w:val="333333"/>
          <w:sz w:val="22"/>
        </w:rPr>
        <w:t>9.27.32.6 Example 6 - Small Micro Trade</w:t>
      </w:r>
    </w:p>
    <w:p>
      <w:pPr>
        <w:spacing w:after="0" w:before="0" w:line="240" w:lineRule="auto"/>
        <w:ind w:left="57"/>
        <w:jc w:val="left"/>
        <w:shd w:val="clear" w:fill="F2F2F2"/>
      </w:pPr>
      <w:r>
        <w:rPr>
          <w:rFonts w:ascii="Consolas" w:hAnsi="Consolas" w:cs="Consolas"/>
          <w:b w:val="0"/>
          <w:i w:val="0"/>
          <w:sz w:val="15"/>
        </w:rPr>
        <w:t>CFB = $5,000 -&gt; at 3 bps the fee is $1.50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If SGTX operational cost is far higher than $1.50, the platform must not pretend the transaction is economically sustainable: the micro-trade policy may require aggregation, use a minimum service charge, apply a strategic subsidy, or offer predictable pricing, subject to the constitutional maximum.</w:t>
      </w:r>
    </w:p>
    <w:p>
      <w:pPr>
        <w:keepNext/>
        <w:spacing w:before="140" w:after="60"/>
        <w:outlineLvl w:val="3"/>
      </w:pPr>
      <w:r>
        <w:rPr>
          <w:rFonts w:ascii="Arial" w:hAnsi="Arial" w:cs="Arial"/>
          <w:b/>
          <w:i/>
          <w:color w:val="333333"/>
          <w:sz w:val="22"/>
        </w:rPr>
        <w:t>9.27.32.7 Example 7 - Multi-Shipment Program</w:t>
      </w:r>
    </w:p>
    <w:p>
      <w:pPr>
        <w:spacing w:after="0" w:before="0" w:line="240" w:lineRule="auto"/>
        <w:ind w:left="57"/>
        <w:jc w:val="left"/>
        <w:shd w:val="clear" w:fill="F2F2F2"/>
      </w:pPr>
      <w:r>
        <w:rPr>
          <w:rFonts w:ascii="Consolas" w:hAnsi="Consolas" w:cs="Consolas"/>
          <w:b w:val="0"/>
          <w:i w:val="0"/>
          <w:sz w:val="15"/>
        </w:rPr>
        <w:t>20 shipments x $50M each, Total = $1B</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per-shipment discount is not applied merely because the count is 20. The engine calculates the MCI from the $1B commitment, 20 shipments, contract duration, schedule reliability, historical execution, and automation, and derives the discount from that index, exactly as the anti-gaming rules require.</w:t>
      </w:r>
    </w:p>
    <w:p>
      <w:pPr>
        <w:keepNext/>
        <w:spacing w:before="180" w:after="80"/>
        <w:outlineLvl w:val="2"/>
      </w:pPr>
      <w:r>
        <w:rPr>
          <w:rFonts w:ascii="Arial" w:hAnsi="Arial" w:cs="Arial"/>
          <w:b/>
          <w:i w:val="0"/>
          <w:color w:val="333333"/>
          <w:sz w:val="23"/>
        </w:rPr>
        <w:t>9.27.33 Core Invariants &amp; Strategic Fee Position</w:t>
      </w:r>
    </w:p>
    <w:p>
      <w:pPr>
        <w:keepNext/>
        <w:spacing w:before="140" w:after="60"/>
        <w:outlineLvl w:val="3"/>
      </w:pPr>
      <w:r>
        <w:rPr>
          <w:rFonts w:ascii="Arial" w:hAnsi="Arial" w:cs="Arial"/>
          <w:b/>
          <w:i/>
          <w:color w:val="333333"/>
          <w:sz w:val="22"/>
        </w:rPr>
        <w:t>9.27.33.1 Core Management Invariants</w:t>
      </w:r>
    </w:p>
    <w:p>
      <w:pPr>
        <w:spacing w:after="80" w:line="293" w:lineRule="auto"/>
        <w:jc w:val="left"/>
      </w:pPr>
      <w:r>
        <w:rPr>
          <w:rFonts w:ascii="Times New Roman" w:hAnsi="Times New Roman" w:cs="Times New Roman"/>
          <w:b w:val="0"/>
          <w:i w:val="0"/>
          <w:sz w:val="22"/>
        </w:rPr>
        <w:t>The twenty invariants below are binding on every implementation and every policy change:</w:t>
      </w:r>
    </w:p>
    <w:p>
      <w:pPr>
        <w:spacing w:after="0" w:before="0" w:line="240" w:lineRule="auto"/>
        <w:ind w:left="57"/>
        <w:jc w:val="left"/>
        <w:shd w:val="clear" w:fill="F2F2F2"/>
      </w:pPr>
      <w:r>
        <w:rPr>
          <w:rFonts w:ascii="Consolas" w:hAnsi="Consolas" w:cs="Consolas"/>
          <w:b w:val="0"/>
          <w:i w:val="0"/>
          <w:sz w:val="15"/>
        </w:rPr>
        <w:t xml:space="preserve"> 1. SGTX never charges more than the applicable constitutional maximum for the</w:t>
      </w:r>
    </w:p>
    <w:p>
      <w:pPr>
        <w:spacing w:after="0" w:before="0" w:line="240" w:lineRule="auto"/>
        <w:ind w:left="57"/>
        <w:jc w:val="left"/>
        <w:shd w:val="clear" w:fill="F2F2F2"/>
      </w:pPr>
      <w:r>
        <w:rPr>
          <w:rFonts w:ascii="Consolas" w:hAnsi="Consolas" w:cs="Consolas"/>
          <w:b w:val="0"/>
          <w:i w:val="0"/>
          <w:sz w:val="15"/>
        </w:rPr>
        <w:t xml:space="preserve">    platform fee.</w:t>
      </w:r>
    </w:p>
    <w:p>
      <w:pPr>
        <w:spacing w:after="0" w:before="0" w:line="240" w:lineRule="auto"/>
        <w:ind w:left="57"/>
        <w:jc w:val="left"/>
        <w:shd w:val="clear" w:fill="F2F2F2"/>
      </w:pPr>
      <w:r>
        <w:rPr>
          <w:rFonts w:ascii="Consolas" w:hAnsi="Consolas" w:cs="Consolas"/>
          <w:b w:val="0"/>
          <w:i w:val="0"/>
          <w:sz w:val="15"/>
        </w:rPr>
        <w:t xml:space="preserve"> 2. SGTX never uses sanctions or prohibited activity as a source of pricing</w:t>
      </w:r>
    </w:p>
    <w:p>
      <w:pPr>
        <w:spacing w:after="0" w:before="0" w:line="240" w:lineRule="auto"/>
        <w:ind w:left="57"/>
        <w:jc w:val="left"/>
        <w:shd w:val="clear" w:fill="F2F2F2"/>
      </w:pPr>
      <w:r>
        <w:rPr>
          <w:rFonts w:ascii="Consolas" w:hAnsi="Consolas" w:cs="Consolas"/>
          <w:b w:val="0"/>
          <w:i w:val="0"/>
          <w:sz w:val="15"/>
        </w:rPr>
        <w:t xml:space="preserve">    premium.</w:t>
      </w:r>
    </w:p>
    <w:p>
      <w:pPr>
        <w:spacing w:after="0" w:before="0" w:line="240" w:lineRule="auto"/>
        <w:ind w:left="57"/>
        <w:jc w:val="left"/>
        <w:shd w:val="clear" w:fill="F2F2F2"/>
      </w:pPr>
      <w:r>
        <w:rPr>
          <w:rFonts w:ascii="Consolas" w:hAnsi="Consolas" w:cs="Consolas"/>
          <w:b w:val="0"/>
          <w:i w:val="0"/>
          <w:sz w:val="15"/>
        </w:rPr>
        <w:t xml:space="preserve"> 3. Margin primarily protects the party; it does not determine the price alone.</w:t>
      </w:r>
    </w:p>
    <w:p>
      <w:pPr>
        <w:spacing w:after="0" w:before="0" w:line="240" w:lineRule="auto"/>
        <w:ind w:left="57"/>
        <w:jc w:val="left"/>
        <w:shd w:val="clear" w:fill="F2F2F2"/>
      </w:pPr>
      <w:r>
        <w:rPr>
          <w:rFonts w:ascii="Consolas" w:hAnsi="Consolas" w:cs="Consolas"/>
          <w:b w:val="0"/>
          <w:i w:val="0"/>
          <w:sz w:val="15"/>
        </w:rPr>
        <w:t xml:space="preserve"> 4. Value does not automatically equal fee.</w:t>
      </w:r>
    </w:p>
    <w:p>
      <w:pPr>
        <w:spacing w:after="0" w:before="0" w:line="240" w:lineRule="auto"/>
        <w:ind w:left="57"/>
        <w:jc w:val="left"/>
        <w:shd w:val="clear" w:fill="F2F2F2"/>
      </w:pPr>
      <w:r>
        <w:rPr>
          <w:rFonts w:ascii="Consolas" w:hAnsi="Consolas" w:cs="Consolas"/>
          <w:b w:val="0"/>
          <w:i w:val="0"/>
          <w:sz w:val="15"/>
        </w:rPr>
        <w:t xml:space="preserve"> 5. Large transaction value does not automatically equal high fee.</w:t>
      </w:r>
    </w:p>
    <w:p>
      <w:pPr>
        <w:spacing w:after="0" w:before="0" w:line="240" w:lineRule="auto"/>
        <w:ind w:left="57"/>
        <w:jc w:val="left"/>
        <w:shd w:val="clear" w:fill="F2F2F2"/>
      </w:pPr>
      <w:r>
        <w:rPr>
          <w:rFonts w:ascii="Consolas" w:hAnsi="Consolas" w:cs="Consolas"/>
          <w:b w:val="0"/>
          <w:i w:val="0"/>
          <w:sz w:val="15"/>
        </w:rPr>
        <w:t xml:space="preserve"> 6. Bulk volume generally produces lower fee-per-dollar where operational</w:t>
      </w:r>
    </w:p>
    <w:p>
      <w:pPr>
        <w:spacing w:after="0" w:before="0" w:line="240" w:lineRule="auto"/>
        <w:ind w:left="57"/>
        <w:jc w:val="left"/>
        <w:shd w:val="clear" w:fill="F2F2F2"/>
      </w:pPr>
      <w:r>
        <w:rPr>
          <w:rFonts w:ascii="Consolas" w:hAnsi="Consolas" w:cs="Consolas"/>
          <w:b w:val="0"/>
          <w:i w:val="0"/>
          <w:sz w:val="15"/>
        </w:rPr>
        <w:t xml:space="preserve">    complexity per dollar declines.</w:t>
      </w:r>
    </w:p>
    <w:p>
      <w:pPr>
        <w:spacing w:after="0" w:before="0" w:line="240" w:lineRule="auto"/>
        <w:ind w:left="57"/>
        <w:jc w:val="left"/>
        <w:shd w:val="clear" w:fill="F2F2F2"/>
      </w:pPr>
      <w:r>
        <w:rPr>
          <w:rFonts w:ascii="Consolas" w:hAnsi="Consolas" w:cs="Consolas"/>
          <w:b w:val="0"/>
          <w:i w:val="0"/>
          <w:sz w:val="15"/>
        </w:rPr>
        <w:t xml:space="preserve"> 7. High-value/low-margin stock receives sublinear value pricing and explicit</w:t>
      </w:r>
    </w:p>
    <w:p>
      <w:pPr>
        <w:spacing w:after="0" w:before="0" w:line="240" w:lineRule="auto"/>
        <w:ind w:left="57"/>
        <w:jc w:val="left"/>
        <w:shd w:val="clear" w:fill="F2F2F2"/>
      </w:pPr>
      <w:r>
        <w:rPr>
          <w:rFonts w:ascii="Consolas" w:hAnsi="Consolas" w:cs="Consolas"/>
          <w:b w:val="0"/>
          <w:i w:val="0"/>
          <w:sz w:val="15"/>
        </w:rPr>
        <w:t xml:space="preserve">    affordability protection.</w:t>
      </w:r>
    </w:p>
    <w:p>
      <w:pPr>
        <w:spacing w:after="0" w:before="0" w:line="240" w:lineRule="auto"/>
        <w:ind w:left="57"/>
        <w:jc w:val="left"/>
        <w:shd w:val="clear" w:fill="F2F2F2"/>
      </w:pPr>
      <w:r>
        <w:rPr>
          <w:rFonts w:ascii="Consolas" w:hAnsi="Consolas" w:cs="Consolas"/>
          <w:b w:val="0"/>
          <w:i w:val="0"/>
          <w:sz w:val="15"/>
        </w:rPr>
        <w:t xml:space="preserve"> 8. Special-stock pricing remains inside the same constitution.</w:t>
      </w:r>
    </w:p>
    <w:p>
      <w:pPr>
        <w:spacing w:after="0" w:before="0" w:line="240" w:lineRule="auto"/>
        <w:ind w:left="57"/>
        <w:jc w:val="left"/>
        <w:shd w:val="clear" w:fill="F2F2F2"/>
      </w:pPr>
      <w:r>
        <w:rPr>
          <w:rFonts w:ascii="Consolas" w:hAnsi="Consolas" w:cs="Consolas"/>
          <w:b w:val="0"/>
          <w:i w:val="0"/>
          <w:sz w:val="15"/>
        </w:rPr>
        <w:t xml:space="preserve"> 9. Multi-shipment discounts are earned through economic commitment, not</w:t>
      </w:r>
    </w:p>
    <w:p>
      <w:pPr>
        <w:spacing w:after="0" w:before="0" w:line="240" w:lineRule="auto"/>
        <w:ind w:left="57"/>
        <w:jc w:val="left"/>
        <w:shd w:val="clear" w:fill="F2F2F2"/>
      </w:pPr>
      <w:r>
        <w:rPr>
          <w:rFonts w:ascii="Consolas" w:hAnsi="Consolas" w:cs="Consolas"/>
          <w:b w:val="0"/>
          <w:i w:val="0"/>
          <w:sz w:val="15"/>
        </w:rPr>
        <w:t xml:space="preserve">    shipment-count gaming.</w:t>
      </w:r>
    </w:p>
    <w:p>
      <w:pPr>
        <w:spacing w:after="0" w:before="0" w:line="240" w:lineRule="auto"/>
        <w:ind w:left="57"/>
        <w:jc w:val="left"/>
        <w:shd w:val="clear" w:fill="F2F2F2"/>
      </w:pPr>
      <w:r>
        <w:rPr>
          <w:rFonts w:ascii="Consolas" w:hAnsi="Consolas" w:cs="Consolas"/>
          <w:b w:val="0"/>
          <w:i w:val="0"/>
          <w:sz w:val="15"/>
        </w:rPr>
        <w:t>10. AI cannot determine the final payable fee.</w:t>
      </w:r>
    </w:p>
    <w:p>
      <w:pPr>
        <w:spacing w:after="0" w:before="0" w:line="240" w:lineRule="auto"/>
        <w:ind w:left="57"/>
        <w:jc w:val="left"/>
        <w:shd w:val="clear" w:fill="F2F2F2"/>
      </w:pPr>
      <w:r>
        <w:rPr>
          <w:rFonts w:ascii="Consolas" w:hAnsi="Consolas" w:cs="Consolas"/>
          <w:b w:val="0"/>
          <w:i w:val="0"/>
          <w:sz w:val="15"/>
        </w:rPr>
        <w:t>11. No fee changes silently after FeeLock.</w:t>
      </w:r>
    </w:p>
    <w:p>
      <w:pPr>
        <w:spacing w:after="0" w:before="0" w:line="240" w:lineRule="auto"/>
        <w:ind w:left="57"/>
        <w:jc w:val="left"/>
        <w:shd w:val="clear" w:fill="F2F2F2"/>
      </w:pPr>
      <w:r>
        <w:rPr>
          <w:rFonts w:ascii="Consolas" w:hAnsi="Consolas" w:cs="Consolas"/>
          <w:b w:val="0"/>
          <w:i w:val="0"/>
          <w:sz w:val="15"/>
        </w:rPr>
        <w:t>12. Every calculation is versioned and replayable.</w:t>
      </w:r>
    </w:p>
    <w:p>
      <w:pPr>
        <w:spacing w:after="0" w:before="0" w:line="240" w:lineRule="auto"/>
        <w:ind w:left="57"/>
        <w:jc w:val="left"/>
        <w:shd w:val="clear" w:fill="F2F2F2"/>
      </w:pPr>
      <w:r>
        <w:rPr>
          <w:rFonts w:ascii="Consolas" w:hAnsi="Consolas" w:cs="Consolas"/>
          <w:b w:val="0"/>
          <w:i w:val="0"/>
          <w:sz w:val="15"/>
        </w:rPr>
        <w:t>13. The buyer never learns the seller private economics.</w:t>
      </w:r>
    </w:p>
    <w:p>
      <w:pPr>
        <w:spacing w:after="0" w:before="0" w:line="240" w:lineRule="auto"/>
        <w:ind w:left="57"/>
        <w:jc w:val="left"/>
        <w:shd w:val="clear" w:fill="F2F2F2"/>
      </w:pPr>
      <w:r>
        <w:rPr>
          <w:rFonts w:ascii="Consolas" w:hAnsi="Consolas" w:cs="Consolas"/>
          <w:b w:val="0"/>
          <w:i w:val="0"/>
          <w:sz w:val="15"/>
        </w:rPr>
        <w:t>14. The seller never learns the buyer private economics.</w:t>
      </w:r>
    </w:p>
    <w:p>
      <w:pPr>
        <w:spacing w:after="0" w:before="0" w:line="240" w:lineRule="auto"/>
        <w:ind w:left="57"/>
        <w:jc w:val="left"/>
        <w:shd w:val="clear" w:fill="F2F2F2"/>
      </w:pPr>
      <w:r>
        <w:rPr>
          <w:rFonts w:ascii="Consolas" w:hAnsi="Consolas" w:cs="Consolas"/>
          <w:b w:val="0"/>
          <w:i w:val="0"/>
          <w:sz w:val="15"/>
        </w:rPr>
        <w:t>15. All SGTX-owned charges have a defined economic purpose.</w:t>
      </w:r>
    </w:p>
    <w:p>
      <w:pPr>
        <w:spacing w:after="0" w:before="0" w:line="240" w:lineRule="auto"/>
        <w:ind w:left="57"/>
        <w:jc w:val="left"/>
        <w:shd w:val="clear" w:fill="F2F2F2"/>
      </w:pPr>
      <w:r>
        <w:rPr>
          <w:rFonts w:ascii="Consolas" w:hAnsi="Consolas" w:cs="Consolas"/>
          <w:b w:val="0"/>
          <w:i w:val="0"/>
          <w:sz w:val="15"/>
        </w:rPr>
        <w:t>16. Third-party and government pass-through charges are never disguised as</w:t>
      </w:r>
    </w:p>
    <w:p>
      <w:pPr>
        <w:spacing w:after="0" w:before="0" w:line="240" w:lineRule="auto"/>
        <w:ind w:left="57"/>
        <w:jc w:val="left"/>
        <w:shd w:val="clear" w:fill="F2F2F2"/>
      </w:pPr>
      <w:r>
        <w:rPr>
          <w:rFonts w:ascii="Consolas" w:hAnsi="Consolas" w:cs="Consolas"/>
          <w:b w:val="0"/>
          <w:i w:val="0"/>
          <w:sz w:val="15"/>
        </w:rPr>
        <w:t xml:space="preserve">    SGTX platform fees.</w:t>
      </w:r>
    </w:p>
    <w:p>
      <w:pPr>
        <w:spacing w:after="0" w:before="0" w:line="240" w:lineRule="auto"/>
        <w:ind w:left="57"/>
        <w:jc w:val="left"/>
        <w:shd w:val="clear" w:fill="F2F2F2"/>
      </w:pPr>
      <w:r>
        <w:rPr>
          <w:rFonts w:ascii="Consolas" w:hAnsi="Consolas" w:cs="Consolas"/>
          <w:b w:val="0"/>
          <w:i w:val="0"/>
          <w:sz w:val="15"/>
        </w:rPr>
        <w:t>17. Fee calculations are deterministic once their input snapshot is fixed.</w:t>
      </w:r>
    </w:p>
    <w:p>
      <w:pPr>
        <w:spacing w:after="0" w:before="0" w:line="240" w:lineRule="auto"/>
        <w:ind w:left="57"/>
        <w:jc w:val="left"/>
        <w:shd w:val="clear" w:fill="F2F2F2"/>
      </w:pPr>
      <w:r>
        <w:rPr>
          <w:rFonts w:ascii="Consolas" w:hAnsi="Consolas" w:cs="Consolas"/>
          <w:b w:val="0"/>
          <w:i w:val="0"/>
          <w:sz w:val="15"/>
        </w:rPr>
        <w:t>18. UI calculations never diverge from backend calculations.</w:t>
      </w:r>
    </w:p>
    <w:p>
      <w:pPr>
        <w:spacing w:after="0" w:before="0" w:line="240" w:lineRule="auto"/>
        <w:ind w:left="57"/>
        <w:jc w:val="left"/>
        <w:shd w:val="clear" w:fill="F2F2F2"/>
      </w:pPr>
      <w:r>
        <w:rPr>
          <w:rFonts w:ascii="Consolas" w:hAnsi="Consolas" w:cs="Consolas"/>
          <w:b w:val="0"/>
          <w:i w:val="0"/>
          <w:sz w:val="15"/>
        </w:rPr>
        <w:t>19. Bulk, essential, RoRo, standard, and special-stock trades all use one</w:t>
      </w:r>
    </w:p>
    <w:p>
      <w:pPr>
        <w:spacing w:after="0" w:before="0" w:line="240" w:lineRule="auto"/>
        <w:ind w:left="57"/>
        <w:jc w:val="left"/>
        <w:shd w:val="clear" w:fill="F2F2F2"/>
      </w:pPr>
      <w:r>
        <w:rPr>
          <w:rFonts w:ascii="Consolas" w:hAnsi="Consolas" w:cs="Consolas"/>
          <w:b w:val="0"/>
          <w:i w:val="0"/>
          <w:sz w:val="15"/>
        </w:rPr>
        <w:t xml:space="preserve">    constitutional engine.</w:t>
      </w:r>
    </w:p>
    <w:p>
      <w:pPr>
        <w:spacing w:after="0" w:before="0" w:line="240" w:lineRule="auto"/>
        <w:ind w:left="57"/>
        <w:jc w:val="left"/>
        <w:shd w:val="clear" w:fill="F2F2F2"/>
      </w:pPr>
      <w:r>
        <w:rPr>
          <w:rFonts w:ascii="Consolas" w:hAnsi="Consolas" w:cs="Consolas"/>
          <w:b w:val="0"/>
          <w:i w:val="0"/>
          <w:sz w:val="15"/>
        </w:rPr>
        <w:t>20. Strategic commercial subsidies are recorded explicitly rather than hidden</w:t>
      </w:r>
    </w:p>
    <w:p>
      <w:pPr>
        <w:spacing w:after="0" w:before="0" w:line="240" w:lineRule="auto"/>
        <w:ind w:left="57"/>
        <w:jc w:val="left"/>
        <w:shd w:val="clear" w:fill="F2F2F2"/>
      </w:pPr>
      <w:r>
        <w:rPr>
          <w:rFonts w:ascii="Consolas" w:hAnsi="Consolas" w:cs="Consolas"/>
          <w:b w:val="0"/>
          <w:i w:val="0"/>
          <w:sz w:val="15"/>
        </w:rPr>
        <w:t xml:space="preserve">    inside the formula.</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9.27.33.2 Strategic Fee Position</w:t>
      </w:r>
    </w:p>
    <w:p>
      <w:pPr>
        <w:spacing w:after="80" w:line="293" w:lineRule="auto"/>
        <w:jc w:val="left"/>
      </w:pPr>
      <w:r>
        <w:rPr>
          <w:rFonts w:ascii="Times New Roman" w:hAnsi="Times New Roman" w:cs="Times New Roman"/>
          <w:b w:val="0"/>
          <w:i w:val="0"/>
          <w:sz w:val="22"/>
        </w:rPr>
        <w:t>The SGTX fee model is not a percentage of trade value. It is a constitutionally bounded economic charge calculated according to measurable execution workload, risk, value, efficiency, and party affordability. The strategic objective is not to maximise fee per trade; the strategic objective is to maximise long-term SGTX network economic value while maintaining customer economic viability, constitutional fairness, platform contribution, scalability, and trust. For institutional bulk and high-value/low-margin commerce, the engine deliberately favours very low fee percentages with very large transaction volumes where the economics support it, rather than extracting a large percentage from a few trades.</w:t>
      </w:r>
    </w:p>
    <w:p>
      <w:pPr>
        <w:spacing w:after="0" w:before="0" w:line="240" w:lineRule="auto"/>
        <w:ind w:left="57"/>
        <w:jc w:val="left"/>
        <w:shd w:val="clear" w:fill="F2F2F2"/>
      </w:pPr>
      <w:r>
        <w:rPr>
          <w:rFonts w:ascii="Consolas" w:hAnsi="Consolas" w:cs="Consolas"/>
          <w:b w:val="0"/>
          <w:i w:val="0"/>
          <w:sz w:val="15"/>
        </w:rPr>
        <w:t>SGTX economic moat =</w:t>
      </w:r>
    </w:p>
    <w:p>
      <w:pPr>
        <w:spacing w:after="0" w:before="0" w:line="240" w:lineRule="auto"/>
        <w:ind w:left="57"/>
        <w:jc w:val="left"/>
        <w:shd w:val="clear" w:fill="F2F2F2"/>
      </w:pPr>
      <w:r>
        <w:rPr>
          <w:rFonts w:ascii="Consolas" w:hAnsi="Consolas" w:cs="Consolas"/>
          <w:b w:val="0"/>
          <w:i w:val="0"/>
          <w:sz w:val="15"/>
        </w:rPr>
        <w:t xml:space="preserve">  LOW UNIT ECONOMIC RENT</w:t>
      </w:r>
    </w:p>
    <w:p>
      <w:pPr>
        <w:spacing w:after="0" w:before="0" w:line="240" w:lineRule="auto"/>
        <w:ind w:left="57"/>
        <w:jc w:val="left"/>
        <w:shd w:val="clear" w:fill="F2F2F2"/>
      </w:pPr>
      <w:r>
        <w:rPr>
          <w:rFonts w:ascii="Consolas" w:hAnsi="Consolas" w:cs="Consolas"/>
          <w:b w:val="0"/>
          <w:i w:val="0"/>
          <w:sz w:val="15"/>
        </w:rPr>
        <w:t xml:space="preserve">  x VERY HIGH VERIFIED TRADE VOLUME</w:t>
      </w:r>
    </w:p>
    <w:p>
      <w:pPr>
        <w:spacing w:after="0" w:before="0" w:line="240" w:lineRule="auto"/>
        <w:ind w:left="57"/>
        <w:jc w:val="left"/>
        <w:shd w:val="clear" w:fill="F2F2F2"/>
      </w:pPr>
      <w:r>
        <w:rPr>
          <w:rFonts w:ascii="Consolas" w:hAnsi="Consolas" w:cs="Consolas"/>
          <w:b w:val="0"/>
          <w:i w:val="0"/>
          <w:sz w:val="15"/>
        </w:rPr>
        <w:t xml:space="preserve">  x RECURRING EXECUTION</w:t>
      </w:r>
    </w:p>
    <w:p>
      <w:pPr>
        <w:spacing w:after="0" w:before="0" w:line="240" w:lineRule="auto"/>
        <w:ind w:left="57"/>
        <w:jc w:val="left"/>
        <w:shd w:val="clear" w:fill="F2F2F2"/>
      </w:pPr>
      <w:r>
        <w:rPr>
          <w:rFonts w:ascii="Consolas" w:hAnsi="Consolas" w:cs="Consolas"/>
          <w:b w:val="0"/>
          <w:i w:val="0"/>
          <w:sz w:val="15"/>
        </w:rPr>
        <w:t xml:space="preserve">  x HIGH RETENTION</w:t>
      </w:r>
    </w:p>
    <w:p>
      <w:pPr>
        <w:spacing w:after="0" w:before="0" w:line="240" w:lineRule="auto"/>
        <w:ind w:left="57"/>
        <w:jc w:val="left"/>
        <w:shd w:val="clear" w:fill="F2F2F2"/>
      </w:pPr>
      <w:r>
        <w:rPr>
          <w:rFonts w:ascii="Consolas" w:hAnsi="Consolas" w:cs="Consolas"/>
          <w:b w:val="0"/>
          <w:i w:val="0"/>
          <w:sz w:val="15"/>
        </w:rPr>
        <w:t xml:space="preserve">  x HIGH DATA/NETWORK VALUE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is the moat formula referenced by the competitive analysis of Section 23.1.5: low unit rent at massive verified volume is structurally harder to compete with than a high headline percentage, because it compounds with Trade Memory, corridor intelligence, and retention rather than with per-trade extraction.</w:t>
      </w:r>
    </w:p>
    <w:p>
      <w:pPr>
        <w:keepNext/>
        <w:spacing w:before="240" w:after="100"/>
        <w:outlineLvl w:val="1"/>
      </w:pPr>
      <w:r>
        <w:rPr>
          <w:rFonts w:ascii="Arial" w:hAnsi="Arial" w:cs="Arial"/>
          <w:b/>
          <w:i w:val="0"/>
          <w:color w:val="2E528F"/>
          <w:sz w:val="26"/>
        </w:rPr>
        <w:t>9.28 Fee Transparency</w:t>
      </w:r>
    </w:p>
    <w:p>
      <w:pPr>
        <w:spacing w:after="80" w:line="293" w:lineRule="auto"/>
        <w:jc w:val="left"/>
      </w:pPr>
      <w:r>
        <w:rPr>
          <w:rFonts w:ascii="Times New Roman" w:hAnsi="Times New Roman" w:cs="Times New Roman"/>
          <w:b w:val="0"/>
          <w:i w:val="0"/>
          <w:sz w:val="22"/>
        </w:rPr>
        <w:t>Before payment, show: trade value; fee basis; SGTX fee; other applicable charges; who pays; when due; why it is due; and what happens after payment. Rule: the payer must know exactly what the payment unlocks.</w:t>
      </w:r>
    </w:p>
    <w:p>
      <w:pPr>
        <w:spacing w:after="80" w:line="293" w:lineRule="auto"/>
        <w:jc w:val="left"/>
      </w:pPr>
      <w:r>
        <w:rPr>
          <w:rFonts w:ascii="Times New Roman" w:hAnsi="Times New Roman" w:cs="Times New Roman"/>
          <w:b w:val="0"/>
          <w:i w:val="0"/>
          <w:sz w:val="22"/>
        </w:rPr>
        <w:t>Example display (fee panel per Section 9.27.26): trade value $154,000; Canonical Fee Basis $154,000; effective rate 0.144% (engine-determined: low complexity, high efficiency, standard class); SGTX fee $221.76; fee confidence 94%; why-your-rate summary (execution complexity, risk, efficiency, commodity class, volume benefit, margin protection applied/not applied); fee due per the due policy attached to the obligation; payment unlocks contract lock and USTN generation for the shipment as configured by the blocking policy.</w:t>
      </w:r>
    </w:p>
    <w:p>
      <w:pPr>
        <w:keepNext/>
        <w:spacing w:before="240" w:after="100"/>
        <w:outlineLvl w:val="1"/>
      </w:pPr>
      <w:r>
        <w:rPr>
          <w:rFonts w:ascii="Arial" w:hAnsi="Arial" w:cs="Arial"/>
          <w:b/>
          <w:i w:val="0"/>
          <w:color w:val="2E528F"/>
          <w:sz w:val="26"/>
        </w:rPr>
        <w:t>9.29 Non-Custodial Fee / Payment Principle</w:t>
      </w:r>
    </w:p>
    <w:p>
      <w:pPr>
        <w:spacing w:after="80" w:line="293" w:lineRule="auto"/>
        <w:jc w:val="left"/>
      </w:pPr>
      <w:r>
        <w:rPr>
          <w:rFonts w:ascii="Times New Roman" w:hAnsi="Times New Roman" w:cs="Times New Roman"/>
          <w:b w:val="0"/>
          <w:i w:val="0"/>
          <w:sz w:val="22"/>
        </w:rPr>
        <w:t>Strictly distinguish: SGTX fee payment; buyer → seller trade payment; financing disbursement; settlement/reconciliation. Rule: never mix these financial flows.</w:t>
      </w:r>
    </w:p>
    <w:p>
      <w:pPr>
        <w:keepNext/>
        <w:spacing w:before="180" w:after="80"/>
        <w:outlineLvl w:val="2"/>
      </w:pPr>
      <w:r>
        <w:rPr>
          <w:rFonts w:ascii="Arial" w:hAnsi="Arial" w:cs="Arial"/>
          <w:b/>
          <w:i w:val="0"/>
          <w:color w:val="333333"/>
          <w:sz w:val="23"/>
        </w:rPr>
        <w:t>9.29.1 Fee Lifecycle &amp; Financial-Flow Separation</w:t>
      </w:r>
    </w:p>
    <w:p>
      <w:pPr>
        <w:spacing w:after="80" w:line="293" w:lineRule="auto"/>
        <w:jc w:val="left"/>
      </w:pPr>
      <w:r>
        <w:rPr>
          <w:rFonts w:ascii="Times New Roman" w:hAnsi="Times New Roman" w:cs="Times New Roman"/>
          <w:b w:val="0"/>
          <w:i w:val="0"/>
          <w:sz w:val="22"/>
        </w:rPr>
        <w:t>The fee architecture separates the lifecycle stages that must never be conflated: Fee Assessment, Fee Obligation, Payment Method Evaluation, Authorization, Capture/Settlement, Confirmation, Refund, Reversal. A fee estimate (FEE_ESTIMATE) presented before lock is a quote: transparent, backend-calculated, versioned, jurisdiction-aware, explicit about the payer, explicit about the applicable charges, and explicit about whether the amount is estimated or final. The fee obligation is finalized at the authoritative lock event together with USTN generation (Section 9.39.1); successful fee payment is never a universal prerequisite to contract lock. The canonical semantic order is:</w:t>
      </w:r>
    </w:p>
    <w:p>
      <w:pPr>
        <w:spacing w:after="0" w:before="0" w:line="240" w:lineRule="auto"/>
        <w:ind w:left="57"/>
        <w:jc w:val="left"/>
        <w:shd w:val="clear" w:fill="F2F2F2"/>
      </w:pPr>
      <w:r>
        <w:rPr>
          <w:rFonts w:ascii="Consolas" w:hAnsi="Consolas" w:cs="Consolas"/>
          <w:b w:val="0"/>
          <w:i w:val="0"/>
          <w:sz w:val="15"/>
        </w:rPr>
        <w:t>Agreement Ready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Lock Validation  (all contract-lock requirements, commercial agreement, signatures)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Authoritative Contract / Shipment Lock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USTN Generated  (Section 9.39)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Fee Obligation Finalized  (FeeLock record created, immutable fee event emitted)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Payment Mechanism Evaluated  (bank dispatch, Section 13.4.8)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Payment / Authorization / Settlement  (canonical settlement state model, Section 13.2.2)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Financial Confirmation  (external confirmation recorded, reconciled)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Fee payment never represents trade settlement and never creates settlement finality; the platform fee flow and the trade payment flow are separate financial flows throughout. The platform maintains strict financial-flow separation among eight flow classes: the SGTX platform fee; the buyer-to-seller trade payment; financing principal; government fees; logistics and provider charges; insurance premiums; refunds; and reversals. Each flow class requires its own obligation record, payer, payee, reference, external transaction reference, state, evidence, and reconciliation record. A payment event belonging to one flow class is never recorded against another flow class, and reconciliation (Section 13.6) matches each flow independently.</w:t>
      </w:r>
    </w:p>
    <w:p>
      <w:pPr>
        <w:keepNext/>
        <w:spacing w:before="180" w:after="80"/>
        <w:outlineLvl w:val="2"/>
      </w:pPr>
      <w:r>
        <w:rPr>
          <w:rFonts w:ascii="Arial" w:hAnsi="Arial" w:cs="Arial"/>
          <w:b/>
          <w:i w:val="0"/>
          <w:color w:val="333333"/>
          <w:sz w:val="23"/>
        </w:rPr>
        <w:t>9.29.2 USTN Payment Mandate Authorization</w:t>
      </w:r>
    </w:p>
    <w:p>
      <w:pPr>
        <w:spacing w:after="80" w:line="293" w:lineRule="auto"/>
        <w:jc w:val="left"/>
      </w:pPr>
      <w:r>
        <w:rPr>
          <w:rFonts w:ascii="Times New Roman" w:hAnsi="Times New Roman" w:cs="Times New Roman"/>
          <w:b w:val="0"/>
          <w:i w:val="0"/>
          <w:sz w:val="22"/>
        </w:rPr>
        <w:t>The buyer authorizes the complete multi-leg settlement in one action. The authorization panel shows every leg, every payee GTID, both funding accounts, and the USTN reference that will appear in every bank message:</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Buyer</w:t>
      </w:r>
    </w:p>
    <w:p>
      <w:pPr>
        <w:spacing w:after="80" w:line="293" w:lineRule="auto"/>
        <w:jc w:val="left"/>
      </w:pPr>
      <w:r>
        <w:rPr>
          <w:rFonts w:ascii="Times New Roman" w:hAnsi="Times New Roman" w:cs="Times New Roman"/>
          <w:b/>
          <w:i w:val="0"/>
          <w:sz w:val="22"/>
        </w:rPr>
        <w:t>UI Example:</w:t>
      </w:r>
    </w:p>
    <w:p>
      <w:pPr>
        <w:spacing w:after="0" w:before="0" w:line="240" w:lineRule="auto"/>
        <w:ind w:left="57"/>
        <w:jc w:val="left"/>
        <w:shd w:val="clear" w:fill="F2F2F2"/>
      </w:pPr>
      <w:r>
        <w:rPr>
          <w:rFonts w:ascii="Consolas" w:hAnsi="Consolas" w:cs="Consolas"/>
          <w:b w:val="0"/>
          <w:i w:val="0"/>
          <w:sz w:val="15"/>
        </w:rPr>
        <w:t>AUTHORIZE USTN MULTI-LEG SETTLEMENT — USTN SGTX-EG-26-F3A-1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You are authorizing the payment of: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EGP Total: EGP 115,000.00                                 │</w:t>
      </w:r>
    </w:p>
    <w:p>
      <w:pPr>
        <w:spacing w:after="0" w:before="0" w:line="240" w:lineRule="auto"/>
        <w:ind w:left="57"/>
        <w:jc w:val="left"/>
        <w:shd w:val="clear" w:fill="F2F2F2"/>
      </w:pPr>
      <w:r>
        <w:rPr>
          <w:rFonts w:ascii="Consolas" w:hAnsi="Consolas" w:cs="Consolas"/>
          <w:b w:val="0"/>
          <w:i w:val="0"/>
          <w:sz w:val="15"/>
        </w:rPr>
        <w:t>│   • Customs Duty: EGP 100,000.00 (SGTX-EG-CUSTOMS-001)   │</w:t>
      </w:r>
    </w:p>
    <w:p>
      <w:pPr>
        <w:spacing w:after="0" w:before="0" w:line="240" w:lineRule="auto"/>
        <w:ind w:left="57"/>
        <w:jc w:val="left"/>
        <w:shd w:val="clear" w:fill="F2F2F2"/>
      </w:pPr>
      <w:r>
        <w:rPr>
          <w:rFonts w:ascii="Consolas" w:hAnsi="Consolas" w:cs="Consolas"/>
          <w:b w:val="0"/>
          <w:i w:val="0"/>
          <w:sz w:val="15"/>
        </w:rPr>
        <w:t>│   • Phytosanitary: EGP 5,000.00  (SGTX-EG-CAPQ-001)      │</w:t>
      </w:r>
    </w:p>
    <w:p>
      <w:pPr>
        <w:spacing w:after="0" w:before="0" w:line="240" w:lineRule="auto"/>
        <w:ind w:left="57"/>
        <w:jc w:val="left"/>
        <w:shd w:val="clear" w:fill="F2F2F2"/>
      </w:pPr>
      <w:r>
        <w:rPr>
          <w:rFonts w:ascii="Consolas" w:hAnsi="Consolas" w:cs="Consolas"/>
          <w:b w:val="0"/>
          <w:i w:val="0"/>
          <w:sz w:val="15"/>
        </w:rPr>
        <w:t>│   • Lab Testing: EGP 3,000.00    (SGTX-EG-LAB-001)       │</w:t>
      </w:r>
    </w:p>
    <w:p>
      <w:pPr>
        <w:spacing w:after="0" w:before="0" w:line="240" w:lineRule="auto"/>
        <w:ind w:left="57"/>
        <w:jc w:val="left"/>
        <w:shd w:val="clear" w:fill="F2F2F2"/>
      </w:pPr>
      <w:r>
        <w:rPr>
          <w:rFonts w:ascii="Consolas" w:hAnsi="Consolas" w:cs="Consolas"/>
          <w:b w:val="0"/>
          <w:i w:val="0"/>
          <w:sz w:val="15"/>
        </w:rPr>
        <w:t>│   • Trucking: EGP 5,000.00       (SGTX-EG-LSP-001)       │</w:t>
      </w:r>
    </w:p>
    <w:p>
      <w:pPr>
        <w:spacing w:after="0" w:before="0" w:line="240" w:lineRule="auto"/>
        <w:ind w:left="57"/>
        <w:jc w:val="left"/>
        <w:shd w:val="clear" w:fill="F2F2F2"/>
      </w:pPr>
      <w:r>
        <w:rPr>
          <w:rFonts w:ascii="Consolas" w:hAnsi="Consolas" w:cs="Consolas"/>
          <w:b w:val="0"/>
          <w:i w:val="0"/>
          <w:sz w:val="15"/>
        </w:rPr>
        <w:t>│   • Broker: EGP 2,000.00         (SGTX-EG-CBR-001)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USD Total: $18,500.00                                     │</w:t>
      </w:r>
    </w:p>
    <w:p>
      <w:pPr>
        <w:spacing w:after="0" w:before="0" w:line="240" w:lineRule="auto"/>
        <w:ind w:left="57"/>
        <w:jc w:val="left"/>
        <w:shd w:val="clear" w:fill="F2F2F2"/>
      </w:pPr>
      <w:r>
        <w:rPr>
          <w:rFonts w:ascii="Consolas" w:hAnsi="Consolas" w:cs="Consolas"/>
          <w:b w:val="0"/>
          <w:i w:val="0"/>
          <w:sz w:val="15"/>
        </w:rPr>
        <w:t>│   • Ocean Freight: $8,400.00     (SGTX-EG-SHIP-001)      │</w:t>
      </w:r>
    </w:p>
    <w:p>
      <w:pPr>
        <w:spacing w:after="0" w:before="0" w:line="240" w:lineRule="auto"/>
        <w:ind w:left="57"/>
        <w:jc w:val="left"/>
        <w:shd w:val="clear" w:fill="F2F2F2"/>
      </w:pPr>
      <w:r>
        <w:rPr>
          <w:rFonts w:ascii="Consolas" w:hAnsi="Consolas" w:cs="Consolas"/>
          <w:b w:val="0"/>
          <w:i w:val="0"/>
          <w:sz w:val="15"/>
        </w:rPr>
        <w:t>│   • Seller Balance: $10,000.00   (SGTX-VN-TRD-002139)    │</w:t>
      </w:r>
    </w:p>
    <w:p>
      <w:pPr>
        <w:spacing w:after="0" w:before="0" w:line="240" w:lineRule="auto"/>
        <w:ind w:left="57"/>
        <w:jc w:val="left"/>
        <w:shd w:val="clear" w:fill="F2F2F2"/>
      </w:pPr>
      <w:r>
        <w:rPr>
          <w:rFonts w:ascii="Consolas" w:hAnsi="Consolas" w:cs="Consolas"/>
          <w:b w:val="0"/>
          <w:i w:val="0"/>
          <w:sz w:val="15"/>
        </w:rPr>
        <w:t>│   • SGTX Fee: $100.00            (SGTX-PLATFORM)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Payments will be made from:                               │</w:t>
      </w:r>
    </w:p>
    <w:p>
      <w:pPr>
        <w:spacing w:after="0" w:before="0" w:line="240" w:lineRule="auto"/>
        <w:ind w:left="57"/>
        <w:jc w:val="left"/>
        <w:shd w:val="clear" w:fill="F2F2F2"/>
      </w:pPr>
      <w:r>
        <w:rPr>
          <w:rFonts w:ascii="Consolas" w:hAnsi="Consolas" w:cs="Consolas"/>
          <w:b w:val="0"/>
          <w:i w:val="0"/>
          <w:sz w:val="15"/>
        </w:rPr>
        <w:t>│   • EGP Account: EG3800100000000000123456                 │</w:t>
      </w:r>
    </w:p>
    <w:p>
      <w:pPr>
        <w:spacing w:after="0" w:before="0" w:line="240" w:lineRule="auto"/>
        <w:ind w:left="57"/>
        <w:jc w:val="left"/>
        <w:shd w:val="clear" w:fill="F2F2F2"/>
      </w:pPr>
      <w:r>
        <w:rPr>
          <w:rFonts w:ascii="Consolas" w:hAnsi="Consolas" w:cs="Consolas"/>
          <w:b w:val="0"/>
          <w:i w:val="0"/>
          <w:sz w:val="15"/>
        </w:rPr>
        <w:t>│   • USD Account: EG3800100000000000789012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Payments will be sent to 8 beneficiaries.                 │</w:t>
      </w:r>
    </w:p>
    <w:p>
      <w:pPr>
        <w:spacing w:after="0" w:before="0" w:line="240" w:lineRule="auto"/>
        <w:ind w:left="57"/>
        <w:jc w:val="left"/>
        <w:shd w:val="clear" w:fill="F2F2F2"/>
      </w:pPr>
      <w:r>
        <w:rPr>
          <w:rFonts w:ascii="Consolas" w:hAnsi="Consolas" w:cs="Consolas"/>
          <w:b w:val="0"/>
          <w:i w:val="0"/>
          <w:sz w:val="15"/>
        </w:rPr>
        <w:t>│ Each payment will reference USTN SGTX-EG-26-F3A-1.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[Authorize with Passkey + QES] [Cancel]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Data Model — settlement instructions are created for every leg at mandate authorization:</w:t>
      </w:r>
    </w:p>
    <w:p>
      <w:pPr>
        <w:spacing w:after="0" w:before="0" w:line="240" w:lineRule="auto"/>
        <w:ind w:left="57"/>
        <w:jc w:val="left"/>
        <w:shd w:val="clear" w:fill="F2F2F2"/>
      </w:pPr>
      <w:r>
        <w:rPr>
          <w:rFonts w:ascii="Consolas" w:hAnsi="Consolas" w:cs="Consolas"/>
          <w:b w:val="0"/>
          <w:i w:val="0"/>
          <w:sz w:val="16"/>
        </w:rPr>
        <w:t>INSERT INTO settlement_instructions (</w:t>
      </w:r>
    </w:p>
    <w:p>
      <w:pPr>
        <w:spacing w:after="0" w:before="0" w:line="240" w:lineRule="auto"/>
        <w:ind w:left="57"/>
        <w:jc w:val="left"/>
        <w:shd w:val="clear" w:fill="F2F2F2"/>
      </w:pPr>
      <w:r>
        <w:rPr>
          <w:rFonts w:ascii="Consolas" w:hAnsi="Consolas" w:cs="Consolas"/>
          <w:b w:val="0"/>
          <w:i w:val="0"/>
          <w:sz w:val="16"/>
        </w:rPr>
        <w:t xml:space="preserve">    ustn, leg_id, beneficiary_gtid, beneficiary_name,</w:t>
      </w:r>
    </w:p>
    <w:p>
      <w:pPr>
        <w:spacing w:after="0" w:before="0" w:line="240" w:lineRule="auto"/>
        <w:ind w:left="57"/>
        <w:jc w:val="left"/>
        <w:shd w:val="clear" w:fill="F2F2F2"/>
      </w:pPr>
      <w:r>
        <w:rPr>
          <w:rFonts w:ascii="Consolas" w:hAnsi="Consolas" w:cs="Consolas"/>
          <w:b w:val="0"/>
          <w:i w:val="0"/>
          <w:sz w:val="16"/>
        </w:rPr>
        <w:t xml:space="preserve">    beneficiary_iban_swift, amount, currency, fee_type,</w:t>
      </w:r>
    </w:p>
    <w:p>
      <w:pPr>
        <w:spacing w:after="0" w:before="0" w:line="240" w:lineRule="auto"/>
        <w:ind w:left="57"/>
        <w:jc w:val="left"/>
        <w:shd w:val="clear" w:fill="F2F2F2"/>
      </w:pPr>
      <w:r>
        <w:rPr>
          <w:rFonts w:ascii="Consolas" w:hAnsi="Consolas" w:cs="Consolas"/>
          <w:b w:val="0"/>
          <w:i w:val="0"/>
          <w:sz w:val="16"/>
        </w:rPr>
        <w:t xml:space="preserve">    quote_id, msg_id, end_to_end_id, instruction_status</w:t>
      </w:r>
    </w:p>
    <w:p>
      <w:pPr>
        <w:spacing w:after="0" w:before="0" w:line="240" w:lineRule="auto"/>
        <w:ind w:left="57"/>
        <w:jc w:val="left"/>
        <w:shd w:val="clear" w:fill="F2F2F2"/>
      </w:pPr>
      <w:r>
        <w:rPr>
          <w:rFonts w:ascii="Consolas" w:hAnsi="Consolas" w:cs="Consolas"/>
          <w:b w:val="0"/>
          <w:i w:val="0"/>
          <w:sz w:val="16"/>
        </w:rPr>
        <w:t>) VALUES</w:t>
      </w:r>
    </w:p>
    <w:p>
      <w:pPr>
        <w:spacing w:after="0" w:before="0" w:line="240" w:lineRule="auto"/>
        <w:ind w:left="57"/>
        <w:jc w:val="left"/>
        <w:shd w:val="clear" w:fill="F2F2F2"/>
      </w:pPr>
      <w:r>
        <w:rPr>
          <w:rFonts w:ascii="Consolas" w:hAnsi="Consolas" w:cs="Consolas"/>
          <w:b w:val="0"/>
          <w:i w:val="0"/>
          <w:sz w:val="16"/>
        </w:rPr>
        <w:t>('SGTX-EG-26-F3A-1', 'LEG_CUSTOMS_EGP', 'SGTX-EG-CUSTOMS-001',</w:t>
      </w:r>
    </w:p>
    <w:p>
      <w:pPr>
        <w:spacing w:after="0" w:before="0" w:line="240" w:lineRule="auto"/>
        <w:ind w:left="57"/>
        <w:jc w:val="left"/>
        <w:shd w:val="clear" w:fill="F2F2F2"/>
      </w:pPr>
      <w:r>
        <w:rPr>
          <w:rFonts w:ascii="Consolas" w:hAnsi="Consolas" w:cs="Consolas"/>
          <w:b w:val="0"/>
          <w:i w:val="0"/>
          <w:sz w:val="16"/>
        </w:rPr>
        <w:t xml:space="preserve"> 'Nafeza / Egypt Customs', '{"iban": "EG3800200000000000789012"}',</w:t>
      </w:r>
    </w:p>
    <w:p>
      <w:pPr>
        <w:spacing w:after="0" w:before="0" w:line="240" w:lineRule="auto"/>
        <w:ind w:left="57"/>
        <w:jc w:val="left"/>
        <w:shd w:val="clear" w:fill="F2F2F2"/>
      </w:pPr>
      <w:r>
        <w:rPr>
          <w:rFonts w:ascii="Consolas" w:hAnsi="Consolas" w:cs="Consolas"/>
          <w:b w:val="0"/>
          <w:i w:val="0"/>
          <w:sz w:val="16"/>
        </w:rPr>
        <w:t xml:space="preserve"> 100000.00, 'EGP', 'CUSTOMS', 'QT-GOV-001',</w:t>
      </w:r>
    </w:p>
    <w:p>
      <w:pPr>
        <w:spacing w:after="0" w:before="0" w:line="240" w:lineRule="auto"/>
        <w:ind w:left="57"/>
        <w:jc w:val="left"/>
        <w:shd w:val="clear" w:fill="F2F2F2"/>
      </w:pPr>
      <w:r>
        <w:rPr>
          <w:rFonts w:ascii="Consolas" w:hAnsi="Consolas" w:cs="Consolas"/>
          <w:b w:val="0"/>
          <w:i w:val="0"/>
          <w:sz w:val="16"/>
        </w:rPr>
        <w:t xml:space="preserve"> 'SGTX-MSG-001-20260908', 'SGTX-EG-26-F3A-1-LEG_CUSTOMS', 'MANIFEST_GENERATED'),</w:t>
      </w:r>
    </w:p>
    <w:p>
      <w:pPr>
        <w:spacing w:after="0" w:before="0" w:line="240" w:lineRule="auto"/>
        <w:ind w:left="57"/>
        <w:jc w:val="left"/>
        <w:shd w:val="clear" w:fill="F2F2F2"/>
      </w:pPr>
      <w:r>
        <w:rPr>
          <w:rFonts w:ascii="Consolas" w:hAnsi="Consolas" w:cs="Consolas"/>
          <w:b w:val="0"/>
          <w:i w:val="0"/>
          <w:sz w:val="16"/>
        </w:rPr>
        <w:t>-- ... other legs</w:t>
      </w:r>
    </w:p>
    <w:p>
      <w:pPr>
        <w:spacing w:after="0" w:before="0" w:line="240" w:lineRule="auto"/>
        <w:ind w:left="57"/>
        <w:jc w:val="left"/>
        <w:shd w:val="clear" w:fill="F2F2F2"/>
      </w:pPr>
      <w:r>
        <w:rPr>
          <w:rFonts w:ascii="Consolas" w:hAnsi="Consolas" w:cs="Consolas"/>
          <w:b w:val="0"/>
          <w:i w:val="0"/>
          <w:sz w:val="16"/>
        </w:rPr>
        <w:t xml:space="preserve"> </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9.30 FeeLock State Machine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FEE_PENDING</w:t>
            </w:r>
          </w:p>
        </w:tc>
        <w:tc>
          <w:tcPr>
            <w:tcW w:type="dxa" w:w="4819"/>
          </w:tcPr>
          <w:p>
            <w:pPr>
              <w:spacing w:after="20" w:before="20" w:line="240" w:lineRule="auto"/>
            </w:pPr>
            <w:r/>
            <w:r>
              <w:rPr>
                <w:rFonts w:ascii="Arial" w:hAnsi="Arial" w:cs="Arial"/>
                <w:b w:val="0"/>
                <w:i w:val="0"/>
                <w:sz w:val="17"/>
              </w:rPr>
              <w:t>Payment requested</w:t>
            </w:r>
          </w:p>
        </w:tc>
      </w:tr>
      <w:tr>
        <w:tc>
          <w:tcPr>
            <w:tcW w:type="dxa" w:w="4819"/>
          </w:tcPr>
          <w:p>
            <w:pPr>
              <w:spacing w:after="20" w:before="20" w:line="240" w:lineRule="auto"/>
            </w:pPr>
            <w:r/>
            <w:r>
              <w:rPr>
                <w:rFonts w:ascii="Arial" w:hAnsi="Arial" w:cs="Arial"/>
                <w:b w:val="0"/>
                <w:i w:val="0"/>
                <w:sz w:val="17"/>
              </w:rPr>
              <w:t>PAYMENT_INITIATED</w:t>
            </w:r>
          </w:p>
        </w:tc>
        <w:tc>
          <w:tcPr>
            <w:tcW w:type="dxa" w:w="4819"/>
          </w:tcPr>
          <w:p>
            <w:pPr>
              <w:spacing w:after="20" w:before="20" w:line="240" w:lineRule="auto"/>
            </w:pPr>
            <w:r/>
            <w:r>
              <w:rPr>
                <w:rFonts w:ascii="Arial" w:hAnsi="Arial" w:cs="Arial"/>
                <w:b w:val="0"/>
                <w:i w:val="0"/>
                <w:sz w:val="17"/>
              </w:rPr>
              <w:t>Payment underway</w:t>
            </w:r>
          </w:p>
        </w:tc>
      </w:tr>
      <w:tr>
        <w:tc>
          <w:tcPr>
            <w:tcW w:type="dxa" w:w="4819"/>
          </w:tcPr>
          <w:p>
            <w:pPr>
              <w:spacing w:after="20" w:before="20" w:line="240" w:lineRule="auto"/>
            </w:pPr>
            <w:r/>
            <w:r>
              <w:rPr>
                <w:rFonts w:ascii="Arial" w:hAnsi="Arial" w:cs="Arial"/>
                <w:b w:val="0"/>
                <w:i w:val="0"/>
                <w:sz w:val="17"/>
              </w:rPr>
              <w:t>PAYMENT_CONFIRMED</w:t>
            </w:r>
          </w:p>
        </w:tc>
        <w:tc>
          <w:tcPr>
            <w:tcW w:type="dxa" w:w="4819"/>
          </w:tcPr>
          <w:p>
            <w:pPr>
              <w:spacing w:after="20" w:before="20" w:line="240" w:lineRule="auto"/>
            </w:pPr>
            <w:r/>
            <w:r>
              <w:rPr>
                <w:rFonts w:ascii="Arial" w:hAnsi="Arial" w:cs="Arial"/>
                <w:b w:val="0"/>
                <w:i w:val="0"/>
                <w:sz w:val="17"/>
              </w:rPr>
              <w:t>Payment confirmed</w:t>
            </w:r>
          </w:p>
        </w:tc>
      </w:tr>
      <w:tr>
        <w:tc>
          <w:tcPr>
            <w:tcW w:type="dxa" w:w="4819"/>
          </w:tcPr>
          <w:p>
            <w:pPr>
              <w:spacing w:after="20" w:before="20" w:line="240" w:lineRule="auto"/>
            </w:pPr>
            <w:r/>
            <w:r>
              <w:rPr>
                <w:rFonts w:ascii="Arial" w:hAnsi="Arial" w:cs="Arial"/>
                <w:b w:val="0"/>
                <w:i w:val="0"/>
                <w:sz w:val="17"/>
              </w:rPr>
              <w:t>FEELOCK_ACTIVE</w:t>
            </w:r>
          </w:p>
        </w:tc>
        <w:tc>
          <w:tcPr>
            <w:tcW w:type="dxa" w:w="4819"/>
          </w:tcPr>
          <w:p>
            <w:pPr>
              <w:spacing w:after="20" w:before="20" w:line="240" w:lineRule="auto"/>
            </w:pPr>
            <w:r/>
            <w:r>
              <w:rPr>
                <w:rFonts w:ascii="Arial" w:hAnsi="Arial" w:cs="Arial"/>
                <w:b w:val="0"/>
                <w:i w:val="0"/>
                <w:sz w:val="17"/>
              </w:rPr>
              <w:t>Lock activated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FeeLock must never be marked ACTIVE merely because a payment button was clicked.</w:t>
      </w:r>
    </w:p>
    <w:p>
      <w:pPr>
        <w:spacing w:after="80" w:line="293" w:lineRule="auto"/>
        <w:jc w:val="left"/>
      </w:pPr>
      <w:r>
        <w:rPr>
          <w:rFonts w:ascii="Times New Roman" w:hAnsi="Times New Roman" w:cs="Times New Roman"/>
          <w:b w:val="0"/>
          <w:i w:val="0"/>
          <w:sz w:val="22"/>
        </w:rPr>
        <w:t>Single-shipment fee workflow: the seller receives a Smart Inbox item ("SGTX fee of $X due before contract lock"); the seller clicks "Pay Fee" — one click; the Bank Settlement Gateway dispatches the multi-leg pain.001 batch to the seller's mandated bank (A2 advisory explains the route: "Dispatching via your mandated bank. EGP legs settle same-day; USD legs settle in 1-2 days via SWIFT gpi."); the bank executes the settlement legs (fee → SGTX, service fees → providers); camt.054 confirmation verifies the payment; FeeLock is marked ACTIVE.</w:t>
      </w:r>
    </w:p>
    <w:p>
      <w:pPr>
        <w:keepNext/>
        <w:spacing w:before="180" w:after="80"/>
        <w:outlineLvl w:val="2"/>
      </w:pPr>
      <w:r>
        <w:rPr>
          <w:rFonts w:ascii="Arial" w:hAnsi="Arial" w:cs="Arial"/>
          <w:b/>
          <w:i w:val="0"/>
          <w:color w:val="333333"/>
          <w:sz w:val="23"/>
        </w:rPr>
        <w:t>9.30.1 Container Release Confirmation</w:t>
      </w:r>
    </w:p>
    <w:p>
      <w:pPr>
        <w:spacing w:after="80" w:line="293" w:lineRule="auto"/>
        <w:jc w:val="left"/>
      </w:pPr>
      <w:r>
        <w:rPr>
          <w:rFonts w:ascii="Times New Roman" w:hAnsi="Times New Roman" w:cs="Times New Roman"/>
          <w:b w:val="0"/>
          <w:i w:val="0"/>
          <w:sz w:val="22"/>
        </w:rPr>
        <w:t>After fee payment, the system sends the container release confirmation to the primary logistics provider: an email (co-branded "Seller Name via SGTX") with a one-time release token (UUID, valid 72 hours); an API webhook (if the provider is integrated); and the provider must acknowledge (click link or call API) — one click.</w:t>
      </w:r>
    </w:p>
    <w:p>
      <w:pPr>
        <w:spacing w:after="0" w:before="0" w:line="240" w:lineRule="auto"/>
        <w:ind w:left="57"/>
        <w:jc w:val="left"/>
        <w:shd w:val="clear" w:fill="F2F2F2"/>
      </w:pPr>
      <w:r>
        <w:rPr>
          <w:rFonts w:ascii="Consolas" w:hAnsi="Consolas" w:cs="Consolas"/>
          <w:b w:val="0"/>
          <w:i w:val="0"/>
          <w:sz w:val="15"/>
        </w:rPr>
        <w:t>CONTAINER RELEASE CONFIRMATION</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 Token: REL-20260415-147-001</w:t>
      </w:r>
    </w:p>
    <w:p>
      <w:pPr>
        <w:spacing w:after="0" w:before="0" w:line="240" w:lineRule="auto"/>
        <w:ind w:left="57"/>
        <w:jc w:val="left"/>
        <w:shd w:val="clear" w:fill="F2F2F2"/>
      </w:pPr>
      <w:r>
        <w:rPr>
          <w:rFonts w:ascii="Consolas" w:hAnsi="Consolas" w:cs="Consolas"/>
          <w:b w:val="0"/>
          <w:i w:val="0"/>
          <w:sz w:val="15"/>
        </w:rPr>
        <w:t xml:space="preserve">  Valid Until: 2026-04-16T14:31:00Z (72h)</w:t>
      </w:r>
    </w:p>
    <w:p>
      <w:pPr>
        <w:spacing w:after="0" w:before="0" w:line="240" w:lineRule="auto"/>
        <w:ind w:left="57"/>
        <w:jc w:val="left"/>
        <w:shd w:val="clear" w:fill="F2F2F2"/>
      </w:pPr>
      <w:r>
        <w:rPr>
          <w:rFonts w:ascii="Consolas" w:hAnsi="Consolas" w:cs="Consolas"/>
          <w:b w:val="0"/>
          <w:i w:val="0"/>
          <w:sz w:val="15"/>
        </w:rPr>
        <w:t xml:space="preserve">  You must acknowledge this release before loading the container.</w:t>
      </w:r>
    </w:p>
    <w:p>
      <w:pPr>
        <w:spacing w:after="0" w:before="0" w:line="240" w:lineRule="auto"/>
        <w:ind w:left="57"/>
        <w:jc w:val="left"/>
        <w:shd w:val="clear" w:fill="F2F2F2"/>
      </w:pPr>
      <w:r>
        <w:rPr>
          <w:rFonts w:ascii="Consolas" w:hAnsi="Consolas" w:cs="Consolas"/>
          <w:b w:val="0"/>
          <w:i w:val="0"/>
          <w:sz w:val="15"/>
        </w:rPr>
        <w:t xml:space="preserve">  [Acknowledge Release] [View Details]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9.30.2 Bank-Agnostic Fee Payment Lifecycle</w:t>
      </w:r>
    </w:p>
    <w:p>
      <w:pPr>
        <w:spacing w:after="80" w:line="293" w:lineRule="auto"/>
        <w:jc w:val="left"/>
      </w:pPr>
      <w:r>
        <w:rPr>
          <w:rFonts w:ascii="Times New Roman" w:hAnsi="Times New Roman" w:cs="Times New Roman"/>
          <w:b w:val="0"/>
          <w:i w:val="0"/>
          <w:sz w:val="22"/>
        </w:rPr>
        <w:t>The fee payment lifecycle is bank-agnostic: the canonical state model is defined by the platform, and each bank adapter maps its native capabilities into this model. The canonical settlement lifecycle is specified in Section 13.2.2; the fee payment states of this section (FEE_PENDING, PAYMENT_INITIATED, PAYMENT_CONFIRMED, FEELOCK_ACTIVE) are the fee-flow projection of that machine. The rule of Section 9.30 holds absolutely: FeeLock must never be marked ACTIVE merely because a payment was initiated; only an externally confirmed payment event can produce the ACTIVE state. Fee refunds and reversals are new governed events (never destructive edits), emitted through the fee reconciliation path of Section 13.6.7.</w:t>
      </w:r>
    </w:p>
    <w:p>
      <w:pPr>
        <w:keepNext/>
        <w:spacing w:before="180" w:after="80"/>
        <w:outlineLvl w:val="2"/>
      </w:pPr>
      <w:r>
        <w:rPr>
          <w:rFonts w:ascii="Arial" w:hAnsi="Arial" w:cs="Arial"/>
          <w:b/>
          <w:i w:val="0"/>
          <w:color w:val="333333"/>
          <w:sz w:val="23"/>
        </w:rPr>
        <w:t>9.30.3 Bank Dispatch — ISO 20022 pain.001</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System (Bank Settlement Gateway)</w:t>
      </w:r>
    </w:p>
    <w:p>
      <w:pPr>
        <w:spacing w:after="80" w:line="293" w:lineRule="auto"/>
        <w:jc w:val="left"/>
      </w:pPr>
      <w:r>
        <w:rPr>
          <w:rFonts w:ascii="Times New Roman" w:hAnsi="Times New Roman" w:cs="Times New Roman"/>
          <w:b w:val="0"/>
          <w:i w:val="0"/>
          <w:sz w:val="22"/>
        </w:rPr>
        <w:t>Upon mandate authorization, the Bank Settlement Gateway constructs ISO 20022 pain.001 batches — one per funding currency — and submits them to the buyer's bank under the signed bank mandate. The SGTX platform fee leg executes at dispatch; all other legs are registered with the bank and execute when their milestone conditions fire (Phase 5).</w:t>
      </w:r>
    </w:p>
    <w:p>
      <w:pPr>
        <w:spacing w:after="80" w:line="293" w:lineRule="auto"/>
        <w:jc w:val="left"/>
      </w:pPr>
      <w:r>
        <w:rPr>
          <w:rFonts w:ascii="Times New Roman" w:hAnsi="Times New Roman" w:cs="Times New Roman"/>
          <w:b w:val="0"/>
          <w:i w:val="0"/>
          <w:sz w:val="22"/>
        </w:rPr>
        <w:t>ISO 20022 Message Example (EGP Multi-Leg):</w:t>
      </w:r>
    </w:p>
    <w:p>
      <w:pPr>
        <w:spacing w:after="0" w:before="0" w:line="240" w:lineRule="auto"/>
        <w:ind w:left="57"/>
        <w:jc w:val="left"/>
        <w:shd w:val="clear" w:fill="F2F2F2"/>
      </w:pPr>
      <w:r>
        <w:rPr>
          <w:rFonts w:ascii="Consolas" w:hAnsi="Consolas" w:cs="Consolas"/>
          <w:b w:val="0"/>
          <w:i w:val="0"/>
          <w:sz w:val="16"/>
        </w:rPr>
        <w:t>&lt;?xml version="1.0" encoding="UTF-8"?&gt;</w:t>
      </w:r>
    </w:p>
    <w:p>
      <w:pPr>
        <w:spacing w:after="0" w:before="0" w:line="240" w:lineRule="auto"/>
        <w:ind w:left="57"/>
        <w:jc w:val="left"/>
        <w:shd w:val="clear" w:fill="F2F2F2"/>
      </w:pPr>
      <w:r>
        <w:rPr>
          <w:rFonts w:ascii="Consolas" w:hAnsi="Consolas" w:cs="Consolas"/>
          <w:b w:val="0"/>
          <w:i w:val="0"/>
          <w:sz w:val="16"/>
        </w:rPr>
        <w:t>&lt;pain.001.001.09&gt;</w:t>
      </w:r>
    </w:p>
    <w:p>
      <w:pPr>
        <w:spacing w:after="0" w:before="0" w:line="240" w:lineRule="auto"/>
        <w:ind w:left="57"/>
        <w:jc w:val="left"/>
        <w:shd w:val="clear" w:fill="F2F2F2"/>
      </w:pPr>
      <w:r>
        <w:rPr>
          <w:rFonts w:ascii="Consolas" w:hAnsi="Consolas" w:cs="Consolas"/>
          <w:b w:val="0"/>
          <w:i w:val="0"/>
          <w:sz w:val="16"/>
        </w:rPr>
        <w:t xml:space="preserve">  &lt;GrpHdr&gt;</w:t>
      </w:r>
    </w:p>
    <w:p>
      <w:pPr>
        <w:spacing w:after="0" w:before="0" w:line="240" w:lineRule="auto"/>
        <w:ind w:left="57"/>
        <w:jc w:val="left"/>
        <w:shd w:val="clear" w:fill="F2F2F2"/>
      </w:pPr>
      <w:r>
        <w:rPr>
          <w:rFonts w:ascii="Consolas" w:hAnsi="Consolas" w:cs="Consolas"/>
          <w:b w:val="0"/>
          <w:i w:val="0"/>
          <w:sz w:val="16"/>
        </w:rPr>
        <w:t xml:space="preserve">    &lt;MsgId&gt;SGTX-MSG-001-20260908&lt;/MsgId&gt;</w:t>
      </w:r>
    </w:p>
    <w:p>
      <w:pPr>
        <w:spacing w:after="0" w:before="0" w:line="240" w:lineRule="auto"/>
        <w:ind w:left="57"/>
        <w:jc w:val="left"/>
        <w:shd w:val="clear" w:fill="F2F2F2"/>
      </w:pPr>
      <w:r>
        <w:rPr>
          <w:rFonts w:ascii="Consolas" w:hAnsi="Consolas" w:cs="Consolas"/>
          <w:b w:val="0"/>
          <w:i w:val="0"/>
          <w:sz w:val="16"/>
        </w:rPr>
        <w:t xml:space="preserve">    &lt;CreDtTm&gt;2026-09-08T10:30:00Z&lt;/CreDtTm&gt;</w:t>
      </w:r>
    </w:p>
    <w:p>
      <w:pPr>
        <w:spacing w:after="0" w:before="0" w:line="240" w:lineRule="auto"/>
        <w:ind w:left="57"/>
        <w:jc w:val="left"/>
        <w:shd w:val="clear" w:fill="F2F2F2"/>
      </w:pPr>
      <w:r>
        <w:rPr>
          <w:rFonts w:ascii="Consolas" w:hAnsi="Consolas" w:cs="Consolas"/>
          <w:b w:val="0"/>
          <w:i w:val="0"/>
          <w:sz w:val="16"/>
        </w:rPr>
        <w:t xml:space="preserve">    &lt;NbOfTxs&gt;5&lt;/NbOfTxs&gt;</w:t>
      </w:r>
    </w:p>
    <w:p>
      <w:pPr>
        <w:spacing w:after="0" w:before="0" w:line="240" w:lineRule="auto"/>
        <w:ind w:left="57"/>
        <w:jc w:val="left"/>
        <w:shd w:val="clear" w:fill="F2F2F2"/>
      </w:pPr>
      <w:r>
        <w:rPr>
          <w:rFonts w:ascii="Consolas" w:hAnsi="Consolas" w:cs="Consolas"/>
          <w:b w:val="0"/>
          <w:i w:val="0"/>
          <w:sz w:val="16"/>
        </w:rPr>
        <w:t xml:space="preserve">    &lt;CtrlSum&gt;115000.00&lt;/CtrlSum&gt;</w:t>
      </w:r>
    </w:p>
    <w:p>
      <w:pPr>
        <w:spacing w:after="0" w:before="0" w:line="240" w:lineRule="auto"/>
        <w:ind w:left="57"/>
        <w:jc w:val="left"/>
        <w:shd w:val="clear" w:fill="F2F2F2"/>
      </w:pPr>
      <w:r>
        <w:rPr>
          <w:rFonts w:ascii="Consolas" w:hAnsi="Consolas" w:cs="Consolas"/>
          <w:b w:val="0"/>
          <w:i w:val="0"/>
          <w:sz w:val="16"/>
        </w:rPr>
        <w:t xml:space="preserve">    &lt;InitgPty&gt;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&lt;OrgId&gt;</w:t>
      </w:r>
    </w:p>
    <w:p>
      <w:pPr>
        <w:spacing w:after="0" w:before="0" w:line="240" w:lineRule="auto"/>
        <w:ind w:left="57"/>
        <w:jc w:val="left"/>
        <w:shd w:val="clear" w:fill="F2F2F2"/>
      </w:pPr>
      <w:r>
        <w:rPr>
          <w:rFonts w:ascii="Consolas" w:hAnsi="Consolas" w:cs="Consolas"/>
          <w:b w:val="0"/>
          <w:i w:val="0"/>
          <w:sz w:val="16"/>
        </w:rPr>
        <w:t xml:space="preserve">          &lt;Othr&gt;</w:t>
      </w:r>
    </w:p>
    <w:p>
      <w:pPr>
        <w:spacing w:after="0" w:before="0" w:line="240" w:lineRule="auto"/>
        <w:ind w:left="57"/>
        <w:jc w:val="left"/>
        <w:shd w:val="clear" w:fill="F2F2F2"/>
      </w:pPr>
      <w:r>
        <w:rPr>
          <w:rFonts w:ascii="Consolas" w:hAnsi="Consolas" w:cs="Consolas"/>
          <w:b w:val="0"/>
          <w:i w:val="0"/>
          <w:sz w:val="16"/>
        </w:rPr>
        <w:t xml:space="preserve">            &lt;Id&gt;SGTX-EG-TRD-001234&lt;/Id&gt;</w:t>
      </w:r>
    </w:p>
    <w:p>
      <w:pPr>
        <w:spacing w:after="0" w:before="0" w:line="240" w:lineRule="auto"/>
        <w:ind w:left="57"/>
        <w:jc w:val="left"/>
        <w:shd w:val="clear" w:fill="F2F2F2"/>
      </w:pPr>
      <w:r>
        <w:rPr>
          <w:rFonts w:ascii="Consolas" w:hAnsi="Consolas" w:cs="Consolas"/>
          <w:b w:val="0"/>
          <w:i w:val="0"/>
          <w:sz w:val="16"/>
        </w:rPr>
        <w:t xml:space="preserve">          &lt;/Othr&gt;</w:t>
      </w:r>
    </w:p>
    <w:p>
      <w:pPr>
        <w:spacing w:after="0" w:before="0" w:line="240" w:lineRule="auto"/>
        <w:ind w:left="57"/>
        <w:jc w:val="left"/>
        <w:shd w:val="clear" w:fill="F2F2F2"/>
      </w:pPr>
      <w:r>
        <w:rPr>
          <w:rFonts w:ascii="Consolas" w:hAnsi="Consolas" w:cs="Consolas"/>
          <w:b w:val="0"/>
          <w:i w:val="0"/>
          <w:sz w:val="16"/>
        </w:rPr>
        <w:t xml:space="preserve">        &lt;/OrgId&gt;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&lt;/InitgPty&gt;</w:t>
      </w:r>
    </w:p>
    <w:p>
      <w:pPr>
        <w:spacing w:after="0" w:before="0" w:line="240" w:lineRule="auto"/>
        <w:ind w:left="57"/>
        <w:jc w:val="left"/>
        <w:shd w:val="clear" w:fill="F2F2F2"/>
      </w:pPr>
      <w:r>
        <w:rPr>
          <w:rFonts w:ascii="Consolas" w:hAnsi="Consolas" w:cs="Consolas"/>
          <w:b w:val="0"/>
          <w:i w:val="0"/>
          <w:sz w:val="16"/>
        </w:rPr>
        <w:t xml:space="preserve">  &lt;/GrpHdr&gt;</w:t>
      </w:r>
    </w:p>
    <w:p>
      <w:pPr>
        <w:spacing w:after="0" w:before="0" w:line="240" w:lineRule="auto"/>
        <w:ind w:left="57"/>
        <w:jc w:val="left"/>
        <w:shd w:val="clear" w:fill="F2F2F2"/>
      </w:pPr>
      <w:r>
        <w:rPr>
          <w:rFonts w:ascii="Consolas" w:hAnsi="Consolas" w:cs="Consolas"/>
          <w:b w:val="0"/>
          <w:i w:val="0"/>
          <w:sz w:val="16"/>
        </w:rPr>
        <w:t xml:space="preserve">  &lt;PmtInf&gt;</w:t>
      </w:r>
    </w:p>
    <w:p>
      <w:pPr>
        <w:spacing w:after="0" w:before="0" w:line="240" w:lineRule="auto"/>
        <w:ind w:left="57"/>
        <w:jc w:val="left"/>
        <w:shd w:val="clear" w:fill="F2F2F2"/>
      </w:pPr>
      <w:r>
        <w:rPr>
          <w:rFonts w:ascii="Consolas" w:hAnsi="Consolas" w:cs="Consolas"/>
          <w:b w:val="0"/>
          <w:i w:val="0"/>
          <w:sz w:val="16"/>
        </w:rPr>
        <w:t xml:space="preserve">    &lt;PmtInfId&gt;SGTX-PMT-EGP-20260908&lt;/PmtInfId&gt;</w:t>
      </w:r>
    </w:p>
    <w:p>
      <w:pPr>
        <w:spacing w:after="0" w:before="0" w:line="240" w:lineRule="auto"/>
        <w:ind w:left="57"/>
        <w:jc w:val="left"/>
        <w:shd w:val="clear" w:fill="F2F2F2"/>
      </w:pPr>
      <w:r>
        <w:rPr>
          <w:rFonts w:ascii="Consolas" w:hAnsi="Consolas" w:cs="Consolas"/>
          <w:b w:val="0"/>
          <w:i w:val="0"/>
          <w:sz w:val="16"/>
        </w:rPr>
        <w:t xml:space="preserve">    &lt;PmtMtd&gt;TRF&lt;/PmtMtd&gt;</w:t>
      </w:r>
    </w:p>
    <w:p>
      <w:pPr>
        <w:spacing w:after="0" w:before="0" w:line="240" w:lineRule="auto"/>
        <w:ind w:left="57"/>
        <w:jc w:val="left"/>
        <w:shd w:val="clear" w:fill="F2F2F2"/>
      </w:pPr>
      <w:r>
        <w:rPr>
          <w:rFonts w:ascii="Consolas" w:hAnsi="Consolas" w:cs="Consolas"/>
          <w:b w:val="0"/>
          <w:i w:val="0"/>
          <w:sz w:val="16"/>
        </w:rPr>
        <w:t xml:space="preserve">    &lt;BtchBookg&gt;true&lt;/BtchBookg&gt;</w:t>
      </w:r>
    </w:p>
    <w:p>
      <w:pPr>
        <w:spacing w:after="0" w:before="0" w:line="240" w:lineRule="auto"/>
        <w:ind w:left="57"/>
        <w:jc w:val="left"/>
        <w:shd w:val="clear" w:fill="F2F2F2"/>
      </w:pPr>
      <w:r>
        <w:rPr>
          <w:rFonts w:ascii="Consolas" w:hAnsi="Consolas" w:cs="Consolas"/>
          <w:b w:val="0"/>
          <w:i w:val="0"/>
          <w:sz w:val="16"/>
        </w:rPr>
        <w:t xml:space="preserve">    &lt;NbOfTxs&gt;5&lt;/NbOfTxs&gt;</w:t>
      </w:r>
    </w:p>
    <w:p>
      <w:pPr>
        <w:spacing w:after="0" w:before="0" w:line="240" w:lineRule="auto"/>
        <w:ind w:left="57"/>
        <w:jc w:val="left"/>
        <w:shd w:val="clear" w:fill="F2F2F2"/>
      </w:pPr>
      <w:r>
        <w:rPr>
          <w:rFonts w:ascii="Consolas" w:hAnsi="Consolas" w:cs="Consolas"/>
          <w:b w:val="0"/>
          <w:i w:val="0"/>
          <w:sz w:val="16"/>
        </w:rPr>
        <w:t xml:space="preserve">    &lt;CtrlSum&gt;115000.00&lt;/CtrlSum&gt;</w:t>
      </w:r>
    </w:p>
    <w:p>
      <w:pPr>
        <w:spacing w:after="0" w:before="0" w:line="240" w:lineRule="auto"/>
        <w:ind w:left="57"/>
        <w:jc w:val="left"/>
        <w:shd w:val="clear" w:fill="F2F2F2"/>
      </w:pPr>
      <w:r>
        <w:rPr>
          <w:rFonts w:ascii="Consolas" w:hAnsi="Consolas" w:cs="Consolas"/>
          <w:b w:val="0"/>
          <w:i w:val="0"/>
          <w:sz w:val="16"/>
        </w:rPr>
        <w:t xml:space="preserve">    &lt;PmtTpInf&gt;</w:t>
      </w:r>
    </w:p>
    <w:p>
      <w:pPr>
        <w:spacing w:after="0" w:before="0" w:line="240" w:lineRule="auto"/>
        <w:ind w:left="57"/>
        <w:jc w:val="left"/>
        <w:shd w:val="clear" w:fill="F2F2F2"/>
      </w:pPr>
      <w:r>
        <w:rPr>
          <w:rFonts w:ascii="Consolas" w:hAnsi="Consolas" w:cs="Consolas"/>
          <w:b w:val="0"/>
          <w:i w:val="0"/>
          <w:sz w:val="16"/>
        </w:rPr>
        <w:t xml:space="preserve">      &lt;SvcLvl&gt;</w:t>
      </w:r>
    </w:p>
    <w:p>
      <w:pPr>
        <w:spacing w:after="0" w:before="0" w:line="240" w:lineRule="auto"/>
        <w:ind w:left="57"/>
        <w:jc w:val="left"/>
        <w:shd w:val="clear" w:fill="F2F2F2"/>
      </w:pPr>
      <w:r>
        <w:rPr>
          <w:rFonts w:ascii="Consolas" w:hAnsi="Consolas" w:cs="Consolas"/>
          <w:b w:val="0"/>
          <w:i w:val="0"/>
          <w:sz w:val="16"/>
        </w:rPr>
        <w:t xml:space="preserve">        &lt;Cd&gt;RTGS&lt;/Cd&gt;</w:t>
      </w:r>
    </w:p>
    <w:p>
      <w:pPr>
        <w:spacing w:after="0" w:before="0" w:line="240" w:lineRule="auto"/>
        <w:ind w:left="57"/>
        <w:jc w:val="left"/>
        <w:shd w:val="clear" w:fill="F2F2F2"/>
      </w:pPr>
      <w:r>
        <w:rPr>
          <w:rFonts w:ascii="Consolas" w:hAnsi="Consolas" w:cs="Consolas"/>
          <w:b w:val="0"/>
          <w:i w:val="0"/>
          <w:sz w:val="16"/>
        </w:rPr>
        <w:t xml:space="preserve">      &lt;/SvcLvl&gt;</w:t>
      </w:r>
    </w:p>
    <w:p>
      <w:pPr>
        <w:spacing w:after="0" w:before="0" w:line="240" w:lineRule="auto"/>
        <w:ind w:left="57"/>
        <w:jc w:val="left"/>
        <w:shd w:val="clear" w:fill="F2F2F2"/>
      </w:pPr>
      <w:r>
        <w:rPr>
          <w:rFonts w:ascii="Consolas" w:hAnsi="Consolas" w:cs="Consolas"/>
          <w:b w:val="0"/>
          <w:i w:val="0"/>
          <w:sz w:val="16"/>
        </w:rPr>
        <w:t xml:space="preserve">      &lt;LclInstrm&gt;</w:t>
      </w:r>
    </w:p>
    <w:p>
      <w:pPr>
        <w:spacing w:after="0" w:before="0" w:line="240" w:lineRule="auto"/>
        <w:ind w:left="57"/>
        <w:jc w:val="left"/>
        <w:shd w:val="clear" w:fill="F2F2F2"/>
      </w:pPr>
      <w:r>
        <w:rPr>
          <w:rFonts w:ascii="Consolas" w:hAnsi="Consolas" w:cs="Consolas"/>
          <w:b w:val="0"/>
          <w:i w:val="0"/>
          <w:sz w:val="16"/>
        </w:rPr>
        <w:t xml:space="preserve">        &lt;Cd&gt;IPN&lt;/Cd&gt;</w:t>
      </w:r>
    </w:p>
    <w:p>
      <w:pPr>
        <w:spacing w:after="0" w:before="0" w:line="240" w:lineRule="auto"/>
        <w:ind w:left="57"/>
        <w:jc w:val="left"/>
        <w:shd w:val="clear" w:fill="F2F2F2"/>
      </w:pPr>
      <w:r>
        <w:rPr>
          <w:rFonts w:ascii="Consolas" w:hAnsi="Consolas" w:cs="Consolas"/>
          <w:b w:val="0"/>
          <w:i w:val="0"/>
          <w:sz w:val="16"/>
        </w:rPr>
        <w:t xml:space="preserve">      &lt;/LclInstrm&gt;</w:t>
      </w:r>
    </w:p>
    <w:p>
      <w:pPr>
        <w:spacing w:after="0" w:before="0" w:line="240" w:lineRule="auto"/>
        <w:ind w:left="57"/>
        <w:jc w:val="left"/>
        <w:shd w:val="clear" w:fill="F2F2F2"/>
      </w:pPr>
      <w:r>
        <w:rPr>
          <w:rFonts w:ascii="Consolas" w:hAnsi="Consolas" w:cs="Consolas"/>
          <w:b w:val="0"/>
          <w:i w:val="0"/>
          <w:sz w:val="16"/>
        </w:rPr>
        <w:t xml:space="preserve">    &lt;/PmtTpInf&gt;</w:t>
      </w:r>
    </w:p>
    <w:p>
      <w:pPr>
        <w:spacing w:after="0" w:before="0" w:line="240" w:lineRule="auto"/>
        <w:ind w:left="57"/>
        <w:jc w:val="left"/>
        <w:shd w:val="clear" w:fill="F2F2F2"/>
      </w:pPr>
      <w:r>
        <w:rPr>
          <w:rFonts w:ascii="Consolas" w:hAnsi="Consolas" w:cs="Consolas"/>
          <w:b w:val="0"/>
          <w:i w:val="0"/>
          <w:sz w:val="16"/>
        </w:rPr>
        <w:t xml:space="preserve">    &lt;ReqdExctnDt&gt;2026-09-08&lt;/ReqdExctnDt&gt;</w:t>
      </w:r>
    </w:p>
    <w:p>
      <w:pPr>
        <w:spacing w:after="0" w:before="0" w:line="240" w:lineRule="auto"/>
        <w:ind w:left="57"/>
        <w:jc w:val="left"/>
        <w:shd w:val="clear" w:fill="F2F2F2"/>
      </w:pPr>
      <w:r>
        <w:rPr>
          <w:rFonts w:ascii="Consolas" w:hAnsi="Consolas" w:cs="Consolas"/>
          <w:b w:val="0"/>
          <w:i w:val="0"/>
          <w:sz w:val="16"/>
        </w:rPr>
        <w:t xml:space="preserve">    &lt;Dbtr&gt;</w:t>
      </w:r>
    </w:p>
    <w:p>
      <w:pPr>
        <w:spacing w:after="0" w:before="0" w:line="240" w:lineRule="auto"/>
        <w:ind w:left="57"/>
        <w:jc w:val="left"/>
        <w:shd w:val="clear" w:fill="F2F2F2"/>
      </w:pPr>
      <w:r>
        <w:rPr>
          <w:rFonts w:ascii="Consolas" w:hAnsi="Consolas" w:cs="Consolas"/>
          <w:b w:val="0"/>
          <w:i w:val="0"/>
          <w:sz w:val="16"/>
        </w:rPr>
        <w:t xml:space="preserve">      &lt;Nm&gt;Nile Foods&lt;/Nm&gt;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&lt;IBAN&gt;EG3800100000000000123456&lt;/IBAN&gt;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&lt;BIC&gt;CIBEEGCX&lt;/BIC&gt;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&lt;/Dbtr&gt;</w:t>
      </w:r>
    </w:p>
    <w:p>
      <w:pPr>
        <w:spacing w:after="0" w:before="0" w:line="240" w:lineRule="auto"/>
        <w:ind w:left="57"/>
        <w:jc w:val="left"/>
        <w:shd w:val="clear" w:fill="F2F2F2"/>
      </w:pPr>
      <w:r>
        <w:rPr>
          <w:rFonts w:ascii="Consolas" w:hAnsi="Consolas" w:cs="Consolas"/>
          <w:b w:val="0"/>
          <w:i w:val="0"/>
          <w:sz w:val="16"/>
        </w:rPr>
        <w:t xml:space="preserve">    &lt;DbtrAcct&gt;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&lt;IBAN&gt;EG3800100000000000123456&lt;/IBAN&gt;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&lt;/DbtrAcct&gt;</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&lt;!-- Leg 1: Customs Duty --&gt;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&lt;EndToEndId&gt;SGTX-EG-26-F3A-1-LEG_CUSTOMS&lt;/EndToEndId&gt;</w:t>
      </w:r>
    </w:p>
    <w:p>
      <w:pPr>
        <w:spacing w:after="0" w:before="0" w:line="240" w:lineRule="auto"/>
        <w:ind w:left="57"/>
        <w:jc w:val="left"/>
        <w:shd w:val="clear" w:fill="F2F2F2"/>
      </w:pPr>
      <w:r>
        <w:rPr>
          <w:rFonts w:ascii="Consolas" w:hAnsi="Consolas" w:cs="Consolas"/>
          <w:b w:val="0"/>
          <w:i w:val="0"/>
          <w:sz w:val="16"/>
        </w:rPr>
        <w:t xml:space="preserve">        &lt;UETR&gt;123e4567-e89b-12d3-a456-426614174000&lt;/UETR&gt;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&lt;InstdAmt Ccy="EGP"&gt;100000.00&lt;/InstdAmt&gt;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&lt;ChrgBr&gt;DEBT&lt;/ChrgBr&gt;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&lt;Nm&gt;Nafeza / Egypt Customs&lt;/Nm&gt;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&lt;IBAN&gt;EG3800200000000000789012&lt;/IBAN&gt;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&lt;BIC&gt;CIBEEGCX&lt;/BIC&gt;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&lt;Ustrd&gt;USTN:SGTX-EG-26-F3A-1|LEG:LEG_CUSTOMS|FEE:CUSTOMS&lt;/Ustrd&gt;</w:t>
      </w:r>
    </w:p>
    <w:p>
      <w:pPr>
        <w:spacing w:after="0" w:before="0" w:line="240" w:lineRule="auto"/>
        <w:ind w:left="57"/>
        <w:jc w:val="left"/>
        <w:shd w:val="clear" w:fill="F2F2F2"/>
      </w:pPr>
      <w:r>
        <w:rPr>
          <w:rFonts w:ascii="Consolas" w:hAnsi="Consolas" w:cs="Consolas"/>
          <w:b w:val="0"/>
          <w:i w:val="0"/>
          <w:sz w:val="16"/>
        </w:rPr>
        <w:t xml:space="preserve">        &lt;Ustrd&gt;GTID:SGTX-EG-CUSTOMS-001|QUOTE:QT-GOV-001&lt;/Ustrd&gt;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&lt;!-- Leg 2: Phytosanitary --&gt;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&lt;EndToEndId&gt;SGTX-EG-26-F3A-1-LEG_PHYTO&lt;/EndToEndId&gt;</w:t>
      </w:r>
    </w:p>
    <w:p>
      <w:pPr>
        <w:spacing w:after="0" w:before="0" w:line="240" w:lineRule="auto"/>
        <w:ind w:left="57"/>
        <w:jc w:val="left"/>
        <w:shd w:val="clear" w:fill="F2F2F2"/>
      </w:pPr>
      <w:r>
        <w:rPr>
          <w:rFonts w:ascii="Consolas" w:hAnsi="Consolas" w:cs="Consolas"/>
          <w:b w:val="0"/>
          <w:i w:val="0"/>
          <w:sz w:val="16"/>
        </w:rPr>
        <w:t xml:space="preserve">        &lt;UETR&gt;234f5678-e89b-12d3-a456-426614174001&lt;/UETR&gt;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&lt;InstdAmt Ccy="EGP"&gt;5000.00&lt;/InstdAmt&gt;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&lt;ChrgBr&gt;DEBT&lt;/ChrgBr&gt;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&lt;Nm&gt;CAPQ&lt;/Nm&gt;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&lt;IBAN&gt;EG3800300000000000456789&lt;/IBAN&gt;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&lt;Ustrd&gt;USTN:SGTX-EG-26-F3A-1|LEG:LEG_PHYTO|FEE:PHYTO&lt;/Ustrd&gt;</w:t>
      </w:r>
    </w:p>
    <w:p>
      <w:pPr>
        <w:spacing w:after="0" w:before="0" w:line="240" w:lineRule="auto"/>
        <w:ind w:left="57"/>
        <w:jc w:val="left"/>
        <w:shd w:val="clear" w:fill="F2F2F2"/>
      </w:pPr>
      <w:r>
        <w:rPr>
          <w:rFonts w:ascii="Consolas" w:hAnsi="Consolas" w:cs="Consolas"/>
          <w:b w:val="0"/>
          <w:i w:val="0"/>
          <w:sz w:val="16"/>
        </w:rPr>
        <w:t xml:space="preserve">        &lt;Ustrd&gt;GTID:SGTX-EG-CAPQ-001|QUOTE:QT-GOV-002&lt;/Ustrd&gt;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&lt;!-- Legs 3-5: Lab, Trucking, Broker --&gt;</w:t>
      </w:r>
    </w:p>
    <w:p>
      <w:pPr>
        <w:spacing w:after="0" w:before="0" w:line="240" w:lineRule="auto"/>
        <w:ind w:left="57"/>
        <w:jc w:val="left"/>
        <w:shd w:val="clear" w:fill="F2F2F2"/>
      </w:pPr>
      <w:r>
        <w:rPr>
          <w:rFonts w:ascii="Consolas" w:hAnsi="Consolas" w:cs="Consolas"/>
          <w:b w:val="0"/>
          <w:i w:val="0"/>
          <w:sz w:val="16"/>
        </w:rPr>
        <w:t xml:space="preserve">    &lt;!-- Similar structure --&gt;</w:t>
      </w:r>
    </w:p>
    <w:p>
      <w:pPr>
        <w:spacing w:after="0" w:before="0" w:line="240" w:lineRule="auto"/>
        <w:ind w:left="57"/>
        <w:jc w:val="left"/>
        <w:shd w:val="clear" w:fill="F2F2F2"/>
      </w:pPr>
      <w:r>
        <w:rPr>
          <w:rFonts w:ascii="Consolas" w:hAnsi="Consolas" w:cs="Consolas"/>
          <w:b w:val="0"/>
          <w:i w:val="0"/>
          <w:sz w:val="16"/>
        </w:rPr>
        <w:t xml:space="preserve">  &lt;/PmtInf&gt;</w:t>
      </w:r>
    </w:p>
    <w:p>
      <w:pPr>
        <w:spacing w:after="0" w:before="0" w:line="240" w:lineRule="auto"/>
        <w:ind w:left="57"/>
        <w:jc w:val="left"/>
        <w:shd w:val="clear" w:fill="F2F2F2"/>
      </w:pPr>
      <w:r>
        <w:rPr>
          <w:rFonts w:ascii="Consolas" w:hAnsi="Consolas" w:cs="Consolas"/>
          <w:b w:val="0"/>
          <w:i w:val="0"/>
          <w:sz w:val="16"/>
        </w:rPr>
        <w:t>&lt;/pain.001.001.09&gt;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ISO 20022 Message Example (USD Multi-Leg):</w:t>
      </w:r>
    </w:p>
    <w:p>
      <w:pPr>
        <w:spacing w:after="0" w:before="0" w:line="240" w:lineRule="auto"/>
        <w:ind w:left="57"/>
        <w:jc w:val="left"/>
        <w:shd w:val="clear" w:fill="F2F2F2"/>
      </w:pPr>
      <w:r>
        <w:rPr>
          <w:rFonts w:ascii="Consolas" w:hAnsi="Consolas" w:cs="Consolas"/>
          <w:b w:val="0"/>
          <w:i w:val="0"/>
          <w:sz w:val="16"/>
        </w:rPr>
        <w:t>&lt;?xml version="1.0" encoding="UTF-8"?&gt;</w:t>
      </w:r>
    </w:p>
    <w:p>
      <w:pPr>
        <w:spacing w:after="0" w:before="0" w:line="240" w:lineRule="auto"/>
        <w:ind w:left="57"/>
        <w:jc w:val="left"/>
        <w:shd w:val="clear" w:fill="F2F2F2"/>
      </w:pPr>
      <w:r>
        <w:rPr>
          <w:rFonts w:ascii="Consolas" w:hAnsi="Consolas" w:cs="Consolas"/>
          <w:b w:val="0"/>
          <w:i w:val="0"/>
          <w:sz w:val="16"/>
        </w:rPr>
        <w:t>&lt;pain.001.001.09&gt;</w:t>
      </w:r>
    </w:p>
    <w:p>
      <w:pPr>
        <w:spacing w:after="0" w:before="0" w:line="240" w:lineRule="auto"/>
        <w:ind w:left="57"/>
        <w:jc w:val="left"/>
        <w:shd w:val="clear" w:fill="F2F2F2"/>
      </w:pPr>
      <w:r>
        <w:rPr>
          <w:rFonts w:ascii="Consolas" w:hAnsi="Consolas" w:cs="Consolas"/>
          <w:b w:val="0"/>
          <w:i w:val="0"/>
          <w:sz w:val="16"/>
        </w:rPr>
        <w:t xml:space="preserve">  &lt;GrpHdr&gt;</w:t>
      </w:r>
    </w:p>
    <w:p>
      <w:pPr>
        <w:spacing w:after="0" w:before="0" w:line="240" w:lineRule="auto"/>
        <w:ind w:left="57"/>
        <w:jc w:val="left"/>
        <w:shd w:val="clear" w:fill="F2F2F2"/>
      </w:pPr>
      <w:r>
        <w:rPr>
          <w:rFonts w:ascii="Consolas" w:hAnsi="Consolas" w:cs="Consolas"/>
          <w:b w:val="0"/>
          <w:i w:val="0"/>
          <w:sz w:val="16"/>
        </w:rPr>
        <w:t xml:space="preserve">    &lt;MsgId&gt;SGTX-MSG-002-20260908&lt;/MsgId&gt;</w:t>
      </w:r>
    </w:p>
    <w:p>
      <w:pPr>
        <w:spacing w:after="0" w:before="0" w:line="240" w:lineRule="auto"/>
        <w:ind w:left="57"/>
        <w:jc w:val="left"/>
        <w:shd w:val="clear" w:fill="F2F2F2"/>
      </w:pPr>
      <w:r>
        <w:rPr>
          <w:rFonts w:ascii="Consolas" w:hAnsi="Consolas" w:cs="Consolas"/>
          <w:b w:val="0"/>
          <w:i w:val="0"/>
          <w:sz w:val="16"/>
        </w:rPr>
        <w:t xml:space="preserve">    &lt;CreDtTm&gt;2026-09-08T10:30:00Z&lt;/CreDtTm&gt;</w:t>
      </w:r>
    </w:p>
    <w:p>
      <w:pPr>
        <w:spacing w:after="0" w:before="0" w:line="240" w:lineRule="auto"/>
        <w:ind w:left="57"/>
        <w:jc w:val="left"/>
        <w:shd w:val="clear" w:fill="F2F2F2"/>
      </w:pPr>
      <w:r>
        <w:rPr>
          <w:rFonts w:ascii="Consolas" w:hAnsi="Consolas" w:cs="Consolas"/>
          <w:b w:val="0"/>
          <w:i w:val="0"/>
          <w:sz w:val="16"/>
        </w:rPr>
        <w:t xml:space="preserve">    &lt;NbOfTxs&gt;3&lt;/NbOfTxs&gt;</w:t>
      </w:r>
    </w:p>
    <w:p>
      <w:pPr>
        <w:spacing w:after="0" w:before="0" w:line="240" w:lineRule="auto"/>
        <w:ind w:left="57"/>
        <w:jc w:val="left"/>
        <w:shd w:val="clear" w:fill="F2F2F2"/>
      </w:pPr>
      <w:r>
        <w:rPr>
          <w:rFonts w:ascii="Consolas" w:hAnsi="Consolas" w:cs="Consolas"/>
          <w:b w:val="0"/>
          <w:i w:val="0"/>
          <w:sz w:val="16"/>
        </w:rPr>
        <w:t xml:space="preserve">    &lt;CtrlSum&gt;18500.00&lt;/CtrlSum&gt;</w:t>
      </w:r>
    </w:p>
    <w:p>
      <w:pPr>
        <w:spacing w:after="0" w:before="0" w:line="240" w:lineRule="auto"/>
        <w:ind w:left="57"/>
        <w:jc w:val="left"/>
        <w:shd w:val="clear" w:fill="F2F2F2"/>
      </w:pPr>
      <w:r>
        <w:rPr>
          <w:rFonts w:ascii="Consolas" w:hAnsi="Consolas" w:cs="Consolas"/>
          <w:b w:val="0"/>
          <w:i w:val="0"/>
          <w:sz w:val="16"/>
        </w:rPr>
        <w:t xml:space="preserve">  &lt;/GrpHdr&gt;</w:t>
      </w:r>
    </w:p>
    <w:p>
      <w:pPr>
        <w:spacing w:after="0" w:before="0" w:line="240" w:lineRule="auto"/>
        <w:ind w:left="57"/>
        <w:jc w:val="left"/>
        <w:shd w:val="clear" w:fill="F2F2F2"/>
      </w:pPr>
      <w:r>
        <w:rPr>
          <w:rFonts w:ascii="Consolas" w:hAnsi="Consolas" w:cs="Consolas"/>
          <w:b w:val="0"/>
          <w:i w:val="0"/>
          <w:sz w:val="16"/>
        </w:rPr>
        <w:t xml:space="preserve">  &lt;PmtInf&gt;</w:t>
      </w:r>
    </w:p>
    <w:p>
      <w:pPr>
        <w:spacing w:after="0" w:before="0" w:line="240" w:lineRule="auto"/>
        <w:ind w:left="57"/>
        <w:jc w:val="left"/>
        <w:shd w:val="clear" w:fill="F2F2F2"/>
      </w:pPr>
      <w:r>
        <w:rPr>
          <w:rFonts w:ascii="Consolas" w:hAnsi="Consolas" w:cs="Consolas"/>
          <w:b w:val="0"/>
          <w:i w:val="0"/>
          <w:sz w:val="16"/>
        </w:rPr>
        <w:t xml:space="preserve">    &lt;PmtInfId&gt;SGTX-PMT-USD-20260908&lt;/PmtInfId&gt;</w:t>
      </w:r>
    </w:p>
    <w:p>
      <w:pPr>
        <w:spacing w:after="0" w:before="0" w:line="240" w:lineRule="auto"/>
        <w:ind w:left="57"/>
        <w:jc w:val="left"/>
        <w:shd w:val="clear" w:fill="F2F2F2"/>
      </w:pPr>
      <w:r>
        <w:rPr>
          <w:rFonts w:ascii="Consolas" w:hAnsi="Consolas" w:cs="Consolas"/>
          <w:b w:val="0"/>
          <w:i w:val="0"/>
          <w:sz w:val="16"/>
        </w:rPr>
        <w:t xml:space="preserve">    &lt;PmtMtd&gt;TRF&lt;/PmtMtd&gt;</w:t>
      </w:r>
    </w:p>
    <w:p>
      <w:pPr>
        <w:spacing w:after="0" w:before="0" w:line="240" w:lineRule="auto"/>
        <w:ind w:left="57"/>
        <w:jc w:val="left"/>
        <w:shd w:val="clear" w:fill="F2F2F2"/>
      </w:pPr>
      <w:r>
        <w:rPr>
          <w:rFonts w:ascii="Consolas" w:hAnsi="Consolas" w:cs="Consolas"/>
          <w:b w:val="0"/>
          <w:i w:val="0"/>
          <w:sz w:val="16"/>
        </w:rPr>
        <w:t xml:space="preserve">    &lt;BtchBookg&gt;true&lt;/BtchBookg&gt;</w:t>
      </w:r>
    </w:p>
    <w:p>
      <w:pPr>
        <w:spacing w:after="0" w:before="0" w:line="240" w:lineRule="auto"/>
        <w:ind w:left="57"/>
        <w:jc w:val="left"/>
        <w:shd w:val="clear" w:fill="F2F2F2"/>
      </w:pPr>
      <w:r>
        <w:rPr>
          <w:rFonts w:ascii="Consolas" w:hAnsi="Consolas" w:cs="Consolas"/>
          <w:b w:val="0"/>
          <w:i w:val="0"/>
          <w:sz w:val="16"/>
        </w:rPr>
        <w:t xml:space="preserve">    &lt;PmtTpInf&gt;</w:t>
      </w:r>
    </w:p>
    <w:p>
      <w:pPr>
        <w:spacing w:after="0" w:before="0" w:line="240" w:lineRule="auto"/>
        <w:ind w:left="57"/>
        <w:jc w:val="left"/>
        <w:shd w:val="clear" w:fill="F2F2F2"/>
      </w:pPr>
      <w:r>
        <w:rPr>
          <w:rFonts w:ascii="Consolas" w:hAnsi="Consolas" w:cs="Consolas"/>
          <w:b w:val="0"/>
          <w:i w:val="0"/>
          <w:sz w:val="16"/>
        </w:rPr>
        <w:t xml:space="preserve">      &lt;SvcLvl&gt;</w:t>
      </w:r>
    </w:p>
    <w:p>
      <w:pPr>
        <w:spacing w:after="0" w:before="0" w:line="240" w:lineRule="auto"/>
        <w:ind w:left="57"/>
        <w:jc w:val="left"/>
        <w:shd w:val="clear" w:fill="F2F2F2"/>
      </w:pPr>
      <w:r>
        <w:rPr>
          <w:rFonts w:ascii="Consolas" w:hAnsi="Consolas" w:cs="Consolas"/>
          <w:b w:val="0"/>
          <w:i w:val="0"/>
          <w:sz w:val="16"/>
        </w:rPr>
        <w:t xml:space="preserve">        &lt;Cd&gt;SWIFT&lt;/Cd&gt;</w:t>
      </w:r>
    </w:p>
    <w:p>
      <w:pPr>
        <w:spacing w:after="0" w:before="0" w:line="240" w:lineRule="auto"/>
        <w:ind w:left="57"/>
        <w:jc w:val="left"/>
        <w:shd w:val="clear" w:fill="F2F2F2"/>
      </w:pPr>
      <w:r>
        <w:rPr>
          <w:rFonts w:ascii="Consolas" w:hAnsi="Consolas" w:cs="Consolas"/>
          <w:b w:val="0"/>
          <w:i w:val="0"/>
          <w:sz w:val="16"/>
        </w:rPr>
        <w:t xml:space="preserve">      &lt;/SvcLvl&gt;</w:t>
      </w:r>
    </w:p>
    <w:p>
      <w:pPr>
        <w:spacing w:after="0" w:before="0" w:line="240" w:lineRule="auto"/>
        <w:ind w:left="57"/>
        <w:jc w:val="left"/>
        <w:shd w:val="clear" w:fill="F2F2F2"/>
      </w:pPr>
      <w:r>
        <w:rPr>
          <w:rFonts w:ascii="Consolas" w:hAnsi="Consolas" w:cs="Consolas"/>
          <w:b w:val="0"/>
          <w:i w:val="0"/>
          <w:sz w:val="16"/>
        </w:rPr>
        <w:t xml:space="preserve">    &lt;/PmtTpInf&gt;</w:t>
      </w:r>
    </w:p>
    <w:p>
      <w:pPr>
        <w:spacing w:after="0" w:before="0" w:line="240" w:lineRule="auto"/>
        <w:ind w:left="57"/>
        <w:jc w:val="left"/>
        <w:shd w:val="clear" w:fill="F2F2F2"/>
      </w:pPr>
      <w:r>
        <w:rPr>
          <w:rFonts w:ascii="Consolas" w:hAnsi="Consolas" w:cs="Consolas"/>
          <w:b w:val="0"/>
          <w:i w:val="0"/>
          <w:sz w:val="16"/>
        </w:rPr>
        <w:t xml:space="preserve">    &lt;Dbtr&gt;</w:t>
      </w:r>
    </w:p>
    <w:p>
      <w:pPr>
        <w:spacing w:after="0" w:before="0" w:line="240" w:lineRule="auto"/>
        <w:ind w:left="57"/>
        <w:jc w:val="left"/>
        <w:shd w:val="clear" w:fill="F2F2F2"/>
      </w:pPr>
      <w:r>
        <w:rPr>
          <w:rFonts w:ascii="Consolas" w:hAnsi="Consolas" w:cs="Consolas"/>
          <w:b w:val="0"/>
          <w:i w:val="0"/>
          <w:sz w:val="16"/>
        </w:rPr>
        <w:t xml:space="preserve">      &lt;Nm&gt;Nile Foods&lt;/Nm&gt;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&lt;IBAN&gt;EG3800100000000000789012&lt;/IBAN&gt;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&lt;BIC&gt;CIBEEGCX&lt;/BIC&gt;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&lt;/Dbtr&gt;</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&lt;!-- Leg 6: Ocean Freight --&gt;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&lt;EndToEndId&gt;SGTX-EG-26-F3A-1-LEG_FREIGHT&lt;/EndToEndId&gt;</w:t>
      </w:r>
    </w:p>
    <w:p>
      <w:pPr>
        <w:spacing w:after="0" w:before="0" w:line="240" w:lineRule="auto"/>
        <w:ind w:left="57"/>
        <w:jc w:val="left"/>
        <w:shd w:val="clear" w:fill="F2F2F2"/>
      </w:pPr>
      <w:r>
        <w:rPr>
          <w:rFonts w:ascii="Consolas" w:hAnsi="Consolas" w:cs="Consolas"/>
          <w:b w:val="0"/>
          <w:i w:val="0"/>
          <w:sz w:val="16"/>
        </w:rPr>
        <w:t xml:space="preserve">        &lt;UETR&gt;345g6789-e89b-12d3-a456-426614174002&lt;/UETR&gt;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&lt;InstdAmt Ccy="USD"&gt;8400.00&lt;/InstdAmt&gt;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&lt;ChrgBr&gt;DEBT&lt;/ChrgBr&gt;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&lt;Nm&gt;MSC Egypt&lt;/Nm&gt;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&lt;IBAN&gt;DE89370400440532013000&lt;/IBAN&gt;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&lt;BIC&gt;DEUTDEFF&lt;/BIC&gt;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&lt;Ustrd&gt;USTN:SGTX-EG-26-F3A-1|LEG:LEG_FREIGHT|FEE:FREIGHT&lt;/Ustrd&gt;</w:t>
      </w:r>
    </w:p>
    <w:p>
      <w:pPr>
        <w:spacing w:after="0" w:before="0" w:line="240" w:lineRule="auto"/>
        <w:ind w:left="57"/>
        <w:jc w:val="left"/>
        <w:shd w:val="clear" w:fill="F2F2F2"/>
      </w:pPr>
      <w:r>
        <w:rPr>
          <w:rFonts w:ascii="Consolas" w:hAnsi="Consolas" w:cs="Consolas"/>
          <w:b w:val="0"/>
          <w:i w:val="0"/>
          <w:sz w:val="16"/>
        </w:rPr>
        <w:t xml:space="preserve">        &lt;Ustrd&gt;GTID:SGTX-EG-SHIP-001|QUOTE:QT-SHIP-001&lt;/Ustrd&gt;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&lt;!-- Leg 7: Seller Balance --&gt;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&lt;EndToEndId&gt;SGTX-EG-26-F3A-1-LEG_SELLER&lt;/EndToEndId&gt;</w:t>
      </w:r>
    </w:p>
    <w:p>
      <w:pPr>
        <w:spacing w:after="0" w:before="0" w:line="240" w:lineRule="auto"/>
        <w:ind w:left="57"/>
        <w:jc w:val="left"/>
        <w:shd w:val="clear" w:fill="F2F2F2"/>
      </w:pPr>
      <w:r>
        <w:rPr>
          <w:rFonts w:ascii="Consolas" w:hAnsi="Consolas" w:cs="Consolas"/>
          <w:b w:val="0"/>
          <w:i w:val="0"/>
          <w:sz w:val="16"/>
        </w:rPr>
        <w:t xml:space="preserve">        &lt;UETR&gt;456h7890-e89b-12d3-a456-426614174003&lt;/UETR&gt;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&lt;InstdAmt Ccy="USD"&gt;10000.00&lt;/InstdAmt&gt;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&lt;ChrgBr&gt;DEBT&lt;/ChrgBr&gt;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&lt;Nm&gt;Mekong Fresh&lt;/Nm&gt;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&lt;IBAN&gt;VN12345678901234567890&lt;/IBAN&gt;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&lt;BIC&gt;BICVVNVX&lt;/BIC&gt;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&lt;Ustrd&gt;USTN:SGTX-EG-26-F3A-1|LEG:LEG_SELLER|FEE:COMMERCIAL&lt;/Ustrd&gt;</w:t>
      </w:r>
    </w:p>
    <w:p>
      <w:pPr>
        <w:spacing w:after="0" w:before="0" w:line="240" w:lineRule="auto"/>
        <w:ind w:left="57"/>
        <w:jc w:val="left"/>
        <w:shd w:val="clear" w:fill="F2F2F2"/>
      </w:pPr>
      <w:r>
        <w:rPr>
          <w:rFonts w:ascii="Consolas" w:hAnsi="Consolas" w:cs="Consolas"/>
          <w:b w:val="0"/>
          <w:i w:val="0"/>
          <w:sz w:val="16"/>
        </w:rPr>
        <w:t xml:space="preserve">        &lt;Ustrd&gt;GTID:SGTX-VN-TRD-002139|QUOTE:QT-SELLER-001&lt;/Ustrd&gt;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&lt;!-- Leg 8: SGTX Fee --&gt;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&lt;EndToEndId&gt;SGTX-EG-26-F3A-1-LEG_SGTX&lt;/EndToEndId&gt;</w:t>
      </w:r>
    </w:p>
    <w:p>
      <w:pPr>
        <w:spacing w:after="0" w:before="0" w:line="240" w:lineRule="auto"/>
        <w:ind w:left="57"/>
        <w:jc w:val="left"/>
        <w:shd w:val="clear" w:fill="F2F2F2"/>
      </w:pPr>
      <w:r>
        <w:rPr>
          <w:rFonts w:ascii="Consolas" w:hAnsi="Consolas" w:cs="Consolas"/>
          <w:b w:val="0"/>
          <w:i w:val="0"/>
          <w:sz w:val="16"/>
        </w:rPr>
        <w:t xml:space="preserve">        &lt;UETR&gt;567i8901-e89b-12d3-a456-426614174004&lt;/UETR&gt;</w:t>
      </w:r>
    </w:p>
    <w:p>
      <w:pPr>
        <w:spacing w:after="0" w:before="0" w:line="240" w:lineRule="auto"/>
        <w:ind w:left="57"/>
        <w:jc w:val="left"/>
        <w:shd w:val="clear" w:fill="F2F2F2"/>
      </w:pPr>
      <w:r>
        <w:rPr>
          <w:rFonts w:ascii="Consolas" w:hAnsi="Consolas" w:cs="Consolas"/>
          <w:b w:val="0"/>
          <w:i w:val="0"/>
          <w:sz w:val="16"/>
        </w:rPr>
        <w:t xml:space="preserve">      &lt;/PmtId&gt;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&lt;InstdAmt Ccy="USD"&gt;100.00&lt;/InstdAmt&gt;</w:t>
      </w:r>
    </w:p>
    <w:p>
      <w:pPr>
        <w:spacing w:after="0" w:before="0" w:line="240" w:lineRule="auto"/>
        <w:ind w:left="57"/>
        <w:jc w:val="left"/>
        <w:shd w:val="clear" w:fill="F2F2F2"/>
      </w:pPr>
      <w:r>
        <w:rPr>
          <w:rFonts w:ascii="Consolas" w:hAnsi="Consolas" w:cs="Consolas"/>
          <w:b w:val="0"/>
          <w:i w:val="0"/>
          <w:sz w:val="16"/>
        </w:rPr>
        <w:t xml:space="preserve">      &lt;/Amt&gt;</w:t>
      </w:r>
    </w:p>
    <w:p>
      <w:pPr>
        <w:spacing w:after="0" w:before="0" w:line="240" w:lineRule="auto"/>
        <w:ind w:left="57"/>
        <w:jc w:val="left"/>
        <w:shd w:val="clear" w:fill="F2F2F2"/>
      </w:pPr>
      <w:r>
        <w:rPr>
          <w:rFonts w:ascii="Consolas" w:hAnsi="Consolas" w:cs="Consolas"/>
          <w:b w:val="0"/>
          <w:i w:val="0"/>
          <w:sz w:val="16"/>
        </w:rPr>
        <w:t xml:space="preserve">      &lt;ChrgBr&gt;DEBT&lt;/ChrgBr&gt;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&lt;Nm&gt;SGTX Platform&lt;/Nm&gt;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&lt;IBAN&gt;EG3800500000000000123456&lt;/IBAN&gt;</w:t>
      </w:r>
    </w:p>
    <w:p>
      <w:pPr>
        <w:spacing w:after="0" w:before="0" w:line="240" w:lineRule="auto"/>
        <w:ind w:left="57"/>
        <w:jc w:val="left"/>
        <w:shd w:val="clear" w:fill="F2F2F2"/>
      </w:pPr>
      <w:r>
        <w:rPr>
          <w:rFonts w:ascii="Consolas" w:hAnsi="Consolas" w:cs="Consolas"/>
          <w:b w:val="0"/>
          <w:i w:val="0"/>
          <w:sz w:val="16"/>
        </w:rPr>
        <w:t xml:space="preserve">          &lt;/Id&gt;</w:t>
      </w:r>
    </w:p>
    <w:p>
      <w:pPr>
        <w:spacing w:after="0" w:before="0" w:line="240" w:lineRule="auto"/>
        <w:ind w:left="57"/>
        <w:jc w:val="left"/>
        <w:shd w:val="clear" w:fill="F2F2F2"/>
      </w:pPr>
      <w:r>
        <w:rPr>
          <w:rFonts w:ascii="Consolas" w:hAnsi="Consolas" w:cs="Consolas"/>
          <w:b w:val="0"/>
          <w:i w:val="0"/>
          <w:sz w:val="16"/>
        </w:rPr>
        <w:t xml:space="preserve">        &lt;/Acct&gt;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&lt;BIC&gt;CIBEEGCX&lt;/BIC&gt;</w:t>
      </w:r>
    </w:p>
    <w:p>
      <w:pPr>
        <w:spacing w:after="0" w:before="0" w:line="240" w:lineRule="auto"/>
        <w:ind w:left="57"/>
        <w:jc w:val="left"/>
        <w:shd w:val="clear" w:fill="F2F2F2"/>
      </w:pPr>
      <w:r>
        <w:rPr>
          <w:rFonts w:ascii="Consolas" w:hAnsi="Consolas" w:cs="Consolas"/>
          <w:b w:val="0"/>
          <w:i w:val="0"/>
          <w:sz w:val="16"/>
        </w:rPr>
        <w:t xml:space="preserve">          &lt;/FinInstnId&gt;</w:t>
      </w:r>
    </w:p>
    <w:p>
      <w:pPr>
        <w:spacing w:after="0" w:before="0" w:line="240" w:lineRule="auto"/>
        <w:ind w:left="57"/>
        <w:jc w:val="left"/>
        <w:shd w:val="clear" w:fill="F2F2F2"/>
      </w:pPr>
      <w:r>
        <w:rPr>
          <w:rFonts w:ascii="Consolas" w:hAnsi="Consolas" w:cs="Consolas"/>
          <w:b w:val="0"/>
          <w:i w:val="0"/>
          <w:sz w:val="16"/>
        </w:rPr>
        <w:t xml:space="preserve">        &lt;/Agt&gt;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&lt;Ustrd&gt;USTN:SGTX-EG-26-F3A-1|LEG:LEG_SGTX|FEE:PLATFORM&lt;/Ustrd&gt;</w:t>
      </w:r>
    </w:p>
    <w:p>
      <w:pPr>
        <w:spacing w:after="0" w:before="0" w:line="240" w:lineRule="auto"/>
        <w:ind w:left="57"/>
        <w:jc w:val="left"/>
        <w:shd w:val="clear" w:fill="F2F2F2"/>
      </w:pPr>
      <w:r>
        <w:rPr>
          <w:rFonts w:ascii="Consolas" w:hAnsi="Consolas" w:cs="Consolas"/>
          <w:b w:val="0"/>
          <w:i w:val="0"/>
          <w:sz w:val="16"/>
        </w:rPr>
        <w:t xml:space="preserve">        &lt;Ustrd&gt;GTID:SGTX-PLATFORM|QUOTE:QT-SGTX-001&lt;/Ustrd&gt;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&lt;/CdtTrfTxInf&gt;</w:t>
      </w:r>
    </w:p>
    <w:p>
      <w:pPr>
        <w:spacing w:after="0" w:before="0" w:line="240" w:lineRule="auto"/>
        <w:ind w:left="57"/>
        <w:jc w:val="left"/>
        <w:shd w:val="clear" w:fill="F2F2F2"/>
      </w:pPr>
      <w:r>
        <w:rPr>
          <w:rFonts w:ascii="Consolas" w:hAnsi="Consolas" w:cs="Consolas"/>
          <w:b w:val="0"/>
          <w:i w:val="0"/>
          <w:sz w:val="16"/>
        </w:rPr>
        <w:t xml:space="preserve">  &lt;/PmtInf&gt;</w:t>
      </w:r>
    </w:p>
    <w:p>
      <w:pPr>
        <w:spacing w:after="0" w:before="0" w:line="240" w:lineRule="auto"/>
        <w:ind w:left="57"/>
        <w:jc w:val="left"/>
        <w:shd w:val="clear" w:fill="F2F2F2"/>
      </w:pPr>
      <w:r>
        <w:rPr>
          <w:rFonts w:ascii="Consolas" w:hAnsi="Consolas" w:cs="Consolas"/>
          <w:b w:val="0"/>
          <w:i w:val="0"/>
          <w:sz w:val="16"/>
        </w:rPr>
        <w:t>&lt;/pain.001.001.09&gt;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9.31 Deferred Fee Scenario</w:t>
      </w:r>
    </w:p>
    <w:p>
      <w:pPr>
        <w:spacing w:after="80" w:line="293" w:lineRule="auto"/>
        <w:jc w:val="left"/>
      </w:pPr>
      <w:r>
        <w:rPr>
          <w:rFonts w:ascii="Times New Roman" w:hAnsi="Times New Roman" w:cs="Times New Roman"/>
          <w:b w:val="0"/>
          <w:i w:val="0"/>
          <w:sz w:val="22"/>
        </w:rPr>
        <w:t>Where legally and configurationally permitted: deferred authorization; guarantee/security mechanism; due date; trigger condition; monitoring; reminders; default/late state; escalation. Rule: deferred payment is never equivalent to completed payment.</w:t>
      </w:r>
    </w:p>
    <w:p>
      <w:pPr>
        <w:spacing w:after="80" w:line="293" w:lineRule="auto"/>
        <w:jc w:val="left"/>
      </w:pPr>
      <w:r>
        <w:rPr>
          <w:rFonts w:ascii="Times New Roman" w:hAnsi="Times New Roman" w:cs="Times New Roman"/>
          <w:b w:val="0"/>
          <w:i w:val="0"/>
          <w:sz w:val="22"/>
        </w:rPr>
        <w:t>Deferred government fee payment workflow: during payment setup, the system displays which fees can be deferred (RIA-detected); the seller toggles "Defer" for those fees; the system creates a bank-held deferred instruction (pain.008 future-dated; the bank holds the deferred amount); the actual payment is triggered on a milestone (for example, CUSTOMS_IMPORT); a three-step escalation applies if the guarantee expires.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Fee Type</w:t>
            </w:r>
          </w:p>
        </w:tc>
        <w:tc>
          <w:tcPr>
            <w:tcW w:type="dxa" w:w="2409"/>
            <w:shd w:val="clear" w:fill="D9E2F3"/>
          </w:tcPr>
          <w:p>
            <w:pPr>
              <w:spacing w:after="20" w:before="20" w:line="240" w:lineRule="auto"/>
            </w:pPr>
            <w:r/>
            <w:r>
              <w:rPr>
                <w:rFonts w:ascii="Arial" w:hAnsi="Arial" w:cs="Arial"/>
                <w:b/>
                <w:i w:val="0"/>
                <w:sz w:val="18"/>
              </w:rPr>
              <w:t>Amount</w:t>
            </w:r>
          </w:p>
        </w:tc>
        <w:tc>
          <w:tcPr>
            <w:tcW w:type="dxa" w:w="2409"/>
            <w:shd w:val="clear" w:fill="D9E2F3"/>
          </w:tcPr>
          <w:p>
            <w:pPr>
              <w:spacing w:after="20" w:before="20" w:line="240" w:lineRule="auto"/>
            </w:pPr>
            <w:r/>
            <w:r>
              <w:rPr>
                <w:rFonts w:ascii="Arial" w:hAnsi="Arial" w:cs="Arial"/>
                <w:b/>
                <w:i w:val="0"/>
                <w:sz w:val="18"/>
              </w:rPr>
              <w:t>Eligible</w:t>
            </w:r>
          </w:p>
        </w:tc>
        <w:tc>
          <w:tcPr>
            <w:tcW w:type="dxa" w:w="2409"/>
            <w:shd w:val="clear" w:fill="D9E2F3"/>
          </w:tcPr>
          <w:p>
            <w:pPr>
              <w:spacing w:after="20" w:before="20" w:line="240" w:lineRule="auto"/>
            </w:pPr>
            <w:r/>
            <w:r>
              <w:rPr>
                <w:rFonts w:ascii="Arial" w:hAnsi="Arial" w:cs="Arial"/>
                <w:b/>
                <w:i w:val="0"/>
                <w:sz w:val="18"/>
              </w:rPr>
              <w:t>Action</w:t>
            </w:r>
          </w:p>
        </w:tc>
      </w:tr>
      <w:tr>
        <w:tc>
          <w:tcPr>
            <w:tcW w:type="dxa" w:w="2409"/>
          </w:tcPr>
          <w:p>
            <w:pPr>
              <w:spacing w:after="20" w:before="20" w:line="240" w:lineRule="auto"/>
            </w:pPr>
            <w:r/>
            <w:r>
              <w:rPr>
                <w:rFonts w:ascii="Arial" w:hAnsi="Arial" w:cs="Arial"/>
                <w:b w:val="0"/>
                <w:i w:val="0"/>
                <w:sz w:val="17"/>
              </w:rPr>
              <w:t>Import Duties</w:t>
            </w:r>
          </w:p>
        </w:tc>
        <w:tc>
          <w:tcPr>
            <w:tcW w:type="dxa" w:w="2409"/>
          </w:tcPr>
          <w:p>
            <w:pPr>
              <w:spacing w:after="20" w:before="20" w:line="240" w:lineRule="auto"/>
            </w:pPr>
            <w:r/>
            <w:r>
              <w:rPr>
                <w:rFonts w:ascii="Arial" w:hAnsi="Arial" w:cs="Arial"/>
                <w:b w:val="0"/>
                <w:i w:val="0"/>
                <w:sz w:val="17"/>
              </w:rPr>
              <w:t>$10,000</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[Defer] [Pay Now]</w:t>
            </w:r>
          </w:p>
        </w:tc>
      </w:tr>
      <w:tr>
        <w:tc>
          <w:tcPr>
            <w:tcW w:type="dxa" w:w="2409"/>
          </w:tcPr>
          <w:p>
            <w:pPr>
              <w:spacing w:after="20" w:before="20" w:line="240" w:lineRule="auto"/>
            </w:pPr>
            <w:r/>
            <w:r>
              <w:rPr>
                <w:rFonts w:ascii="Arial" w:hAnsi="Arial" w:cs="Arial"/>
                <w:b w:val="0"/>
                <w:i w:val="0"/>
                <w:sz w:val="17"/>
              </w:rPr>
              <w:t>VAT</w:t>
            </w:r>
          </w:p>
        </w:tc>
        <w:tc>
          <w:tcPr>
            <w:tcW w:type="dxa" w:w="2409"/>
          </w:tcPr>
          <w:p>
            <w:pPr>
              <w:spacing w:after="20" w:before="20" w:line="240" w:lineRule="auto"/>
            </w:pPr>
            <w:r/>
            <w:r>
              <w:rPr>
                <w:rFonts w:ascii="Arial" w:hAnsi="Arial" w:cs="Arial"/>
                <w:b w:val="0"/>
                <w:i w:val="0"/>
                <w:sz w:val="17"/>
              </w:rPr>
              <w:t>$14,000</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[Defer] [Pay Now]</w:t>
            </w:r>
          </w:p>
        </w:tc>
      </w:tr>
      <w:tr>
        <w:tc>
          <w:tcPr>
            <w:tcW w:type="dxa" w:w="2409"/>
          </w:tcPr>
          <w:p>
            <w:pPr>
              <w:spacing w:after="20" w:before="20" w:line="240" w:lineRule="auto"/>
            </w:pPr>
            <w:r/>
            <w:r>
              <w:rPr>
                <w:rFonts w:ascii="Arial" w:hAnsi="Arial" w:cs="Arial"/>
                <w:b w:val="0"/>
                <w:i w:val="0"/>
                <w:sz w:val="17"/>
              </w:rPr>
              <w:t>Import Licence</w:t>
            </w:r>
          </w:p>
        </w:tc>
        <w:tc>
          <w:tcPr>
            <w:tcW w:type="dxa" w:w="2409"/>
          </w:tcPr>
          <w:p>
            <w:pPr>
              <w:spacing w:after="20" w:before="20" w:line="240" w:lineRule="auto"/>
            </w:pPr>
            <w:r/>
            <w:r>
              <w:rPr>
                <w:rFonts w:ascii="Arial" w:hAnsi="Arial" w:cs="Arial"/>
                <w:b w:val="0"/>
                <w:i w:val="0"/>
                <w:sz w:val="17"/>
              </w:rPr>
              <w:t>$500</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Pay immediately</w:t>
            </w:r>
          </w:p>
        </w:tc>
      </w:tr>
      <w:tr>
        <w:tc>
          <w:tcPr>
            <w:tcW w:type="dxa" w:w="2409"/>
          </w:tcPr>
          <w:p>
            <w:pPr>
              <w:spacing w:after="20" w:before="20" w:line="240" w:lineRule="auto"/>
            </w:pPr>
            <w:r/>
            <w:r>
              <w:rPr>
                <w:rFonts w:ascii="Arial" w:hAnsi="Arial" w:cs="Arial"/>
                <w:b w:val="0"/>
                <w:i w:val="0"/>
                <w:sz w:val="17"/>
              </w:rPr>
              <w:t>THC</w:t>
            </w:r>
          </w:p>
        </w:tc>
        <w:tc>
          <w:tcPr>
            <w:tcW w:type="dxa" w:w="2409"/>
          </w:tcPr>
          <w:p>
            <w:pPr>
              <w:spacing w:after="20" w:before="20" w:line="240" w:lineRule="auto"/>
            </w:pPr>
            <w:r/>
            <w:r>
              <w:rPr>
                <w:rFonts w:ascii="Arial" w:hAnsi="Arial" w:cs="Arial"/>
                <w:b w:val="0"/>
                <w:i w:val="0"/>
                <w:sz w:val="17"/>
              </w:rPr>
              <w:t>$300</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Pay immediately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Deferred payment parameters: deferred amount $24,000; guarantee type Bank Deferred Instruction; expiry 2026-08-15 23:59:59 UTC (30 days); trigger CUSTOMS_IMPORT milestone; automatic charge authorised on expiry.</w:t>
      </w:r>
    </w:p>
    <w:p>
      <w:pPr>
        <w:spacing w:after="80" w:line="293" w:lineRule="auto"/>
        <w:jc w:val="left"/>
      </w:pPr>
      <w:r>
        <w:rPr>
          <w:rFonts w:ascii="Times New Roman" w:hAnsi="Times New Roman" w:cs="Times New Roman"/>
          <w:b w:val="0"/>
          <w:i w:val="0"/>
          <w:sz w:val="22"/>
        </w:rPr>
        <w:t>Three-step escalation:</w:t>
      </w:r>
    </w:p>
    <w:p>
      <w:pPr>
        <w:spacing w:after="80" w:line="293" w:lineRule="auto"/>
        <w:jc w:val="left"/>
      </w:pPr>
      <w:r>
        <w:rPr>
          <w:rFonts w:ascii="Times New Roman" w:hAnsi="Times New Roman" w:cs="Times New Roman"/>
          <w:b w:val="0"/>
          <w:i w:val="0"/>
          <w:sz w:val="22"/>
        </w:rPr>
        <w:t>1. 7 days before expiry (reminder): "Deferred payment guarantee for USTN … expires in 7 days. Please ensure customs clearance is completed." [View Details] 2. 1 day before expiry (alert): "Guarantee expires in 24h. Click here to pay now." [Pay Now] [Extend Guarantee] 3. At expiry (critical): "Deferred payment guarantee EXPIRED. Customs clearance not confirmed. Container release permanently blocked." [Contact Support] [View Dispute]</w:t>
      </w:r>
    </w:p>
    <w:p>
      <w:pPr>
        <w:keepNext/>
        <w:spacing w:before="180" w:after="80"/>
        <w:outlineLvl w:val="2"/>
      </w:pPr>
      <w:r>
        <w:rPr>
          <w:rFonts w:ascii="Arial" w:hAnsi="Arial" w:cs="Arial"/>
          <w:b/>
          <w:i w:val="0"/>
          <w:color w:val="333333"/>
          <w:sz w:val="23"/>
        </w:rPr>
        <w:t>9.31.1 Fee Due-Date Policy Model</w:t>
      </w:r>
    </w:p>
    <w:p>
      <w:pPr>
        <w:spacing w:after="80" w:line="293" w:lineRule="auto"/>
        <w:jc w:val="left"/>
      </w:pPr>
      <w:r>
        <w:rPr>
          <w:rFonts w:ascii="Times New Roman" w:hAnsi="Times New Roman" w:cs="Times New Roman"/>
          <w:b w:val="0"/>
          <w:i w:val="0"/>
          <w:sz w:val="22"/>
        </w:rPr>
        <w:t>The fee due date is governed by a configurable due policy attached to each fee obligation, replacing any single hard-coded due rule. The deferred-fee scenario of Section 9.31 and the late-fee rules of Section 9.32 are concrete configurations of this model. Each fee obligation contains:</w:t>
      </w:r>
    </w:p>
    <w:p>
      <w:pPr>
        <w:spacing w:after="0" w:before="0" w:line="240" w:lineRule="auto"/>
        <w:ind w:left="57"/>
        <w:jc w:val="left"/>
        <w:shd w:val="clear" w:fill="F2F2F2"/>
      </w:pPr>
      <w:r>
        <w:rPr>
          <w:rFonts w:ascii="Consolas" w:hAnsi="Consolas" w:cs="Consolas"/>
          <w:b w:val="0"/>
          <w:i w:val="0"/>
          <w:sz w:val="15"/>
        </w:rPr>
        <w:t>due_policy               DUE_AT_LOCK | DUE_AFTER_LOCK | DUE_ON_LOADING |</w:t>
      </w:r>
    </w:p>
    <w:p>
      <w:pPr>
        <w:spacing w:after="0" w:before="0" w:line="240" w:lineRule="auto"/>
        <w:ind w:left="57"/>
        <w:jc w:val="left"/>
        <w:shd w:val="clear" w:fill="F2F2F2"/>
      </w:pPr>
      <w:r>
        <w:rPr>
          <w:rFonts w:ascii="Consolas" w:hAnsi="Consolas" w:cs="Consolas"/>
          <w:b w:val="0"/>
          <w:i w:val="0"/>
          <w:sz w:val="15"/>
        </w:rPr>
        <w:t xml:space="preserve">                         DUE_WITHIN_X_HOURS | MILESTONE_TRIGGERED | DEFERRED</w:t>
      </w:r>
    </w:p>
    <w:p>
      <w:pPr>
        <w:spacing w:after="0" w:before="0" w:line="240" w:lineRule="auto"/>
        <w:ind w:left="57"/>
        <w:jc w:val="left"/>
        <w:shd w:val="clear" w:fill="F2F2F2"/>
      </w:pPr>
      <w:r>
        <w:rPr>
          <w:rFonts w:ascii="Consolas" w:hAnsi="Consolas" w:cs="Consolas"/>
          <w:b w:val="0"/>
          <w:i w:val="0"/>
          <w:sz w:val="15"/>
        </w:rPr>
        <w:t>due_at                   computed due timestamp under the policy</w:t>
      </w:r>
    </w:p>
    <w:p>
      <w:pPr>
        <w:spacing w:after="0" w:before="0" w:line="240" w:lineRule="auto"/>
        <w:ind w:left="57"/>
        <w:jc w:val="left"/>
        <w:shd w:val="clear" w:fill="F2F2F2"/>
      </w:pPr>
      <w:r>
        <w:rPr>
          <w:rFonts w:ascii="Consolas" w:hAnsi="Consolas" w:cs="Consolas"/>
          <w:b w:val="0"/>
          <w:i w:val="0"/>
          <w:sz w:val="15"/>
        </w:rPr>
        <w:t>trigger_event            the event that starts the due clock (for triggered policies)</w:t>
      </w:r>
    </w:p>
    <w:p>
      <w:pPr>
        <w:spacing w:after="0" w:before="0" w:line="240" w:lineRule="auto"/>
        <w:ind w:left="57"/>
        <w:jc w:val="left"/>
        <w:shd w:val="clear" w:fill="F2F2F2"/>
      </w:pPr>
      <w:r>
        <w:rPr>
          <w:rFonts w:ascii="Consolas" w:hAnsi="Consolas" w:cs="Consolas"/>
          <w:b w:val="0"/>
          <w:i w:val="0"/>
          <w:sz w:val="15"/>
        </w:rPr>
        <w:t>grace_period             grace window after due_at before late treatment</w:t>
      </w:r>
    </w:p>
    <w:p>
      <w:pPr>
        <w:spacing w:after="0" w:before="0" w:line="240" w:lineRule="auto"/>
        <w:ind w:left="57"/>
        <w:jc w:val="left"/>
        <w:shd w:val="clear" w:fill="F2F2F2"/>
      </w:pPr>
      <w:r>
        <w:rPr>
          <w:rFonts w:ascii="Consolas" w:hAnsi="Consolas" w:cs="Consolas"/>
          <w:b w:val="0"/>
          <w:i w:val="0"/>
          <w:sz w:val="15"/>
        </w:rPr>
        <w:t>late_fee_policy          late-fee rules (rate, cap, compounding, jurisdiction)</w:t>
      </w:r>
    </w:p>
    <w:p>
      <w:pPr>
        <w:spacing w:after="0" w:before="0" w:line="240" w:lineRule="auto"/>
        <w:ind w:left="57"/>
        <w:jc w:val="left"/>
        <w:shd w:val="clear" w:fill="F2F2F2"/>
      </w:pPr>
      <w:r>
        <w:rPr>
          <w:rFonts w:ascii="Consolas" w:hAnsi="Consolas" w:cs="Consolas"/>
          <w:b w:val="0"/>
          <w:i w:val="0"/>
          <w:sz w:val="15"/>
        </w:rPr>
        <w:t>blocking_policy          what the obligation blocks while unpaid (lock, release, closure)</w:t>
      </w:r>
    </w:p>
    <w:p>
      <w:pPr>
        <w:spacing w:after="0" w:before="0" w:line="240" w:lineRule="auto"/>
        <w:ind w:left="57"/>
        <w:jc w:val="left"/>
        <w:shd w:val="clear" w:fill="F2F2F2"/>
      </w:pPr>
      <w:r>
        <w:rPr>
          <w:rFonts w:ascii="Consolas" w:hAnsi="Consolas" w:cs="Consolas"/>
          <w:b w:val="0"/>
          <w:i w:val="0"/>
          <w:sz w:val="15"/>
        </w:rPr>
        <w:t>refundability_policy    whether and under what conditions the fee is refundable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late fee is always deterministic, backend-calculated, versioned, auditable, subject to applicable caps, and jurisdiction-aware; the frontend never invents a late fee, and no late fee may be charged outside the recorded late_fee_policy. The blocking policy is explicit per obligation: an unpaid fee may block contract lock, container release, shipment milestone progression, or closure exactly as configured, and the blocker surfaced to users identifies the obligation and the policy under which it blocks (Section 16.4.5).</w:t>
      </w:r>
    </w:p>
    <w:p>
      <w:pPr>
        <w:keepNext/>
        <w:spacing w:before="240" w:after="100"/>
        <w:outlineLvl w:val="1"/>
      </w:pPr>
      <w:r>
        <w:rPr>
          <w:rFonts w:ascii="Arial" w:hAnsi="Arial" w:cs="Arial"/>
          <w:b/>
          <w:i w:val="0"/>
          <w:color w:val="2E528F"/>
          <w:sz w:val="26"/>
        </w:rPr>
        <w:t>9.32 Late Fee</w:t>
      </w:r>
    </w:p>
    <w:p>
      <w:pPr>
        <w:spacing w:after="80" w:line="293" w:lineRule="auto"/>
        <w:jc w:val="left"/>
      </w:pPr>
      <w:r>
        <w:rPr>
          <w:rFonts w:ascii="Times New Roman" w:hAnsi="Times New Roman" w:cs="Times New Roman"/>
          <w:b w:val="0"/>
          <w:i w:val="0"/>
          <w:sz w:val="22"/>
        </w:rPr>
        <w:t>Late fees must be: deterministic, visible, calculated server-side, versioned, auditable, and subject to applicable caps and rules.</w:t>
      </w:r>
    </w:p>
    <w:p>
      <w:pPr>
        <w:keepNext/>
        <w:spacing w:before="240" w:after="100"/>
        <w:outlineLvl w:val="1"/>
      </w:pPr>
      <w:r>
        <w:rPr>
          <w:rFonts w:ascii="Arial" w:hAnsi="Arial" w:cs="Arial"/>
          <w:b/>
          <w:i w:val="0"/>
          <w:color w:val="2E528F"/>
          <w:sz w:val="26"/>
        </w:rPr>
        <w:t>9.33 Multi-Shipment Contract</w:t>
      </w:r>
    </w:p>
    <w:p>
      <w:pPr>
        <w:spacing w:after="80" w:line="293" w:lineRule="auto"/>
        <w:jc w:val="left"/>
      </w:pPr>
      <w:r>
        <w:rPr>
          <w:rFonts w:ascii="Times New Roman" w:hAnsi="Times New Roman" w:cs="Times New Roman"/>
          <w:b w:val="0"/>
          <w:i w:val="0"/>
          <w:sz w:val="22"/>
        </w:rPr>
        <w:t>A master contract may contain multiple future shipments. Each shipment is independently executable with its own state, schedule, fee status, lock status, USTN, documents, and execution milestones. Rule: master contract ≠ master USTN — no master USTN is created merely because a master contract exists.</w:t>
      </w:r>
    </w:p>
    <w:p>
      <w:pPr>
        <w:spacing w:after="80" w:line="293" w:lineRule="auto"/>
        <w:jc w:val="left"/>
      </w:pPr>
      <w:r>
        <w:rPr>
          <w:rFonts w:ascii="Times New Roman" w:hAnsi="Times New Roman" w:cs="Times New Roman"/>
          <w:b w:val="0"/>
          <w:i w:val="0"/>
          <w:sz w:val="22"/>
        </w:rPr>
        <w:t>Multi-shipment fee collection workflow: the master contract is signed with no upfront fee; for each shipment, the seller clicks "Ready for Shipment X" (1); the buyer clicks "Confirm Shipment X" (1); a per-shipment fee payment request is sent to the seller; the seller pays the fee (1); a new USTN is generated and FeeLock becomes ACTIVE for that shipment.</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Shipment</w:t>
            </w:r>
          </w:p>
        </w:tc>
        <w:tc>
          <w:tcPr>
            <w:tcW w:type="dxa" w:w="1606"/>
            <w:shd w:val="clear" w:fill="D9E2F3"/>
          </w:tcPr>
          <w:p>
            <w:pPr>
              <w:spacing w:after="20" w:before="20" w:line="240" w:lineRule="auto"/>
            </w:pPr>
            <w:r/>
            <w:r>
              <w:rPr>
                <w:rFonts w:ascii="Arial" w:hAnsi="Arial" w:cs="Arial"/>
                <w:b/>
                <w:i w:val="0"/>
                <w:sz w:val="18"/>
              </w:rPr>
              <w:t>Delivery Date</w:t>
            </w:r>
          </w:p>
        </w:tc>
        <w:tc>
          <w:tcPr>
            <w:tcW w:type="dxa" w:w="1606"/>
            <w:shd w:val="clear" w:fill="D9E2F3"/>
          </w:tcPr>
          <w:p>
            <w:pPr>
              <w:spacing w:after="20" w:before="20" w:line="240" w:lineRule="auto"/>
            </w:pPr>
            <w:r/>
            <w:r>
              <w:rPr>
                <w:rFonts w:ascii="Arial" w:hAnsi="Arial" w:cs="Arial"/>
                <w:b/>
                <w:i w:val="0"/>
                <w:sz w:val="18"/>
              </w:rPr>
              <w:t>Port</w:t>
            </w:r>
          </w:p>
        </w:tc>
        <w:tc>
          <w:tcPr>
            <w:tcW w:type="dxa" w:w="1606"/>
            <w:shd w:val="clear" w:fill="D9E2F3"/>
          </w:tcPr>
          <w:p>
            <w:pPr>
              <w:spacing w:after="20" w:before="20" w:line="240" w:lineRule="auto"/>
            </w:pPr>
            <w:r/>
            <w:r>
              <w:rPr>
                <w:rFonts w:ascii="Arial" w:hAnsi="Arial" w:cs="Arial"/>
                <w:b/>
                <w:i w:val="0"/>
                <w:sz w:val="18"/>
              </w:rPr>
              <w:t>Status</w:t>
            </w:r>
          </w:p>
        </w:tc>
        <w:tc>
          <w:tcPr>
            <w:tcW w:type="dxa" w:w="1606"/>
            <w:shd w:val="clear" w:fill="D9E2F3"/>
          </w:tcPr>
          <w:p>
            <w:pPr>
              <w:spacing w:after="20" w:before="20" w:line="240" w:lineRule="auto"/>
            </w:pPr>
            <w:r/>
            <w:r>
              <w:rPr>
                <w:rFonts w:ascii="Arial" w:hAnsi="Arial" w:cs="Arial"/>
                <w:b/>
                <w:i w:val="0"/>
                <w:sz w:val="18"/>
              </w:rPr>
              <w:t>Fee</w:t>
            </w:r>
          </w:p>
        </w:tc>
        <w:tc>
          <w:tcPr>
            <w:tcW w:type="dxa" w:w="1606"/>
            <w:shd w:val="clear" w:fill="D9E2F3"/>
          </w:tcPr>
          <w:p>
            <w:pPr>
              <w:spacing w:after="20" w:before="20" w:line="240" w:lineRule="auto"/>
            </w:pPr>
            <w:r/>
            <w:r>
              <w:rPr>
                <w:rFonts w:ascii="Arial" w:hAnsi="Arial" w:cs="Arial"/>
                <w:b/>
                <w:i w:val="0"/>
                <w:sz w:val="18"/>
              </w:rPr>
              <w:t>Action</w:t>
            </w:r>
          </w:p>
        </w:tc>
      </w:tr>
      <w:tr>
        <w:tc>
          <w:tcPr>
            <w:tcW w:type="dxa" w:w="1606"/>
          </w:tcPr>
          <w:p>
            <w:pPr>
              <w:spacing w:after="20" w:before="20" w:line="240" w:lineRule="auto"/>
            </w:pPr>
            <w:r/>
            <w:r>
              <w:rPr>
                <w:rFonts w:ascii="Arial" w:hAnsi="Arial" w:cs="Arial"/>
                <w:b w:val="0"/>
                <w:i w:val="0"/>
                <w:sz w:val="17"/>
              </w:rPr>
              <w:t>1</w:t>
            </w:r>
          </w:p>
        </w:tc>
        <w:tc>
          <w:tcPr>
            <w:tcW w:type="dxa" w:w="1606"/>
          </w:tcPr>
          <w:p>
            <w:pPr>
              <w:spacing w:after="20" w:before="20" w:line="240" w:lineRule="auto"/>
            </w:pPr>
            <w:r/>
            <w:r>
              <w:rPr>
                <w:rFonts w:ascii="Arial" w:hAnsi="Arial" w:cs="Arial"/>
                <w:b w:val="0"/>
                <w:i w:val="0"/>
                <w:sz w:val="17"/>
              </w:rPr>
              <w:t>15 Jul 2026</w:t>
            </w:r>
          </w:p>
        </w:tc>
        <w:tc>
          <w:tcPr>
            <w:tcW w:type="dxa" w:w="1606"/>
          </w:tcPr>
          <w:p>
            <w:pPr>
              <w:spacing w:after="20" w:before="20" w:line="240" w:lineRule="auto"/>
            </w:pPr>
            <w:r/>
            <w:r>
              <w:rPr>
                <w:rFonts w:ascii="Arial" w:hAnsi="Arial" w:cs="Arial"/>
                <w:b w:val="0"/>
                <w:i w:val="0"/>
                <w:sz w:val="17"/>
              </w:rPr>
              <w:t>Alexandria</w:t>
            </w:r>
          </w:p>
        </w:tc>
        <w:tc>
          <w:tcPr>
            <w:tcW w:type="dxa" w:w="1606"/>
          </w:tcPr>
          <w:p>
            <w:pPr>
              <w:spacing w:after="20" w:before="20" w:line="240" w:lineRule="auto"/>
            </w:pPr>
            <w:r/>
            <w:r>
              <w:rPr>
                <w:rFonts w:ascii="Arial" w:hAnsi="Arial" w:cs="Arial"/>
                <w:b w:val="0"/>
                <w:i w:val="0"/>
                <w:sz w:val="17"/>
              </w:rPr>
              <w:t>LOCKED (in transit)</w:t>
            </w:r>
          </w:p>
        </w:tc>
        <w:tc>
          <w:tcPr>
            <w:tcW w:type="dxa" w:w="1606"/>
          </w:tcPr>
          <w:p>
            <w:pPr>
              <w:spacing w:after="20" w:before="20" w:line="240" w:lineRule="auto"/>
            </w:pPr>
            <w:r/>
            <w:r>
              <w:rPr>
                <w:rFonts w:ascii="Arial" w:hAnsi="Arial" w:cs="Arial"/>
                <w:b w:val="0"/>
                <w:i w:val="0"/>
                <w:sz w:val="17"/>
              </w:rPr>
              <w:t>$221.76</w:t>
            </w:r>
          </w:p>
        </w:tc>
        <w:tc>
          <w:tcPr>
            <w:tcW w:type="dxa" w:w="1606"/>
          </w:tcPr>
          <w:p>
            <w:pPr>
              <w:spacing w:after="20" w:before="20" w:line="240" w:lineRule="auto"/>
            </w:pPr>
            <w:r/>
            <w:r>
              <w:rPr>
                <w:rFonts w:ascii="Arial" w:hAnsi="Arial" w:cs="Arial"/>
                <w:b w:val="0"/>
                <w:i w:val="0"/>
                <w:sz w:val="17"/>
              </w:rPr>
              <w:t>Paid</w:t>
            </w:r>
          </w:p>
        </w:tc>
      </w:tr>
      <w:tr>
        <w:tc>
          <w:tcPr>
            <w:tcW w:type="dxa" w:w="1606"/>
          </w:tcPr>
          <w:p>
            <w:pPr>
              <w:spacing w:after="20" w:before="20" w:line="240" w:lineRule="auto"/>
            </w:pPr>
            <w:r/>
            <w:r>
              <w:rPr>
                <w:rFonts w:ascii="Arial" w:hAnsi="Arial" w:cs="Arial"/>
                <w:b w:val="0"/>
                <w:i w:val="0"/>
                <w:sz w:val="17"/>
              </w:rPr>
              <w:t>2</w:t>
            </w:r>
          </w:p>
        </w:tc>
        <w:tc>
          <w:tcPr>
            <w:tcW w:type="dxa" w:w="1606"/>
          </w:tcPr>
          <w:p>
            <w:pPr>
              <w:spacing w:after="20" w:before="20" w:line="240" w:lineRule="auto"/>
            </w:pPr>
            <w:r/>
            <w:r>
              <w:rPr>
                <w:rFonts w:ascii="Arial" w:hAnsi="Arial" w:cs="Arial"/>
                <w:b w:val="0"/>
                <w:i w:val="0"/>
                <w:sz w:val="17"/>
              </w:rPr>
              <w:t>15 Aug 2026</w:t>
            </w:r>
          </w:p>
        </w:tc>
        <w:tc>
          <w:tcPr>
            <w:tcW w:type="dxa" w:w="1606"/>
          </w:tcPr>
          <w:p>
            <w:pPr>
              <w:spacing w:after="20" w:before="20" w:line="240" w:lineRule="auto"/>
            </w:pPr>
            <w:r/>
            <w:r>
              <w:rPr>
                <w:rFonts w:ascii="Arial" w:hAnsi="Arial" w:cs="Arial"/>
                <w:b w:val="0"/>
                <w:i w:val="0"/>
                <w:sz w:val="17"/>
              </w:rPr>
              <w:t>Port Said</w:t>
            </w:r>
          </w:p>
        </w:tc>
        <w:tc>
          <w:tcPr>
            <w:tcW w:type="dxa" w:w="1606"/>
          </w:tcPr>
          <w:p>
            <w:pPr>
              <w:spacing w:after="20" w:before="20" w:line="240" w:lineRule="auto"/>
            </w:pPr>
            <w:r/>
            <w:r>
              <w:rPr>
                <w:rFonts w:ascii="Arial" w:hAnsi="Arial" w:cs="Arial"/>
                <w:b w:val="0"/>
                <w:i w:val="0"/>
                <w:sz w:val="17"/>
              </w:rPr>
              <w:t>READY</w:t>
            </w:r>
          </w:p>
        </w:tc>
        <w:tc>
          <w:tcPr>
            <w:tcW w:type="dxa" w:w="1606"/>
          </w:tcPr>
          <w:p>
            <w:pPr>
              <w:spacing w:after="20" w:before="20" w:line="240" w:lineRule="auto"/>
            </w:pPr>
            <w:r/>
            <w:r>
              <w:rPr>
                <w:rFonts w:ascii="Arial" w:hAnsi="Arial" w:cs="Arial"/>
                <w:b w:val="0"/>
                <w:i w:val="0"/>
                <w:sz w:val="17"/>
              </w:rPr>
              <w:t>$221.76</w:t>
            </w:r>
          </w:p>
        </w:tc>
        <w:tc>
          <w:tcPr>
            <w:tcW w:type="dxa" w:w="1606"/>
          </w:tcPr>
          <w:p>
            <w:pPr>
              <w:spacing w:after="20" w:before="20" w:line="240" w:lineRule="auto"/>
            </w:pPr>
            <w:r/>
            <w:r>
              <w:rPr>
                <w:rFonts w:ascii="Arial" w:hAnsi="Arial" w:cs="Arial"/>
                <w:b w:val="0"/>
                <w:i w:val="0"/>
                <w:sz w:val="17"/>
              </w:rPr>
              <w:t>[Pay Fee]</w:t>
            </w:r>
          </w:p>
        </w:tc>
      </w:tr>
      <w:tr>
        <w:tc>
          <w:tcPr>
            <w:tcW w:type="dxa" w:w="1606"/>
          </w:tcPr>
          <w:p>
            <w:pPr>
              <w:spacing w:after="20" w:before="20" w:line="240" w:lineRule="auto"/>
            </w:pPr>
            <w:r/>
            <w:r>
              <w:rPr>
                <w:rFonts w:ascii="Arial" w:hAnsi="Arial" w:cs="Arial"/>
                <w:b w:val="0"/>
                <w:i w:val="0"/>
                <w:sz w:val="17"/>
              </w:rPr>
              <w:t>3</w:t>
            </w:r>
          </w:p>
        </w:tc>
        <w:tc>
          <w:tcPr>
            <w:tcW w:type="dxa" w:w="1606"/>
          </w:tcPr>
          <w:p>
            <w:pPr>
              <w:spacing w:after="20" w:before="20" w:line="240" w:lineRule="auto"/>
            </w:pPr>
            <w:r/>
            <w:r>
              <w:rPr>
                <w:rFonts w:ascii="Arial" w:hAnsi="Arial" w:cs="Arial"/>
                <w:b w:val="0"/>
                <w:i w:val="0"/>
                <w:sz w:val="17"/>
              </w:rPr>
              <w:t>15 Sep 2026</w:t>
            </w:r>
          </w:p>
        </w:tc>
        <w:tc>
          <w:tcPr>
            <w:tcW w:type="dxa" w:w="1606"/>
          </w:tcPr>
          <w:p>
            <w:pPr>
              <w:spacing w:after="20" w:before="20" w:line="240" w:lineRule="auto"/>
            </w:pPr>
            <w:r/>
            <w:r>
              <w:rPr>
                <w:rFonts w:ascii="Arial" w:hAnsi="Arial" w:cs="Arial"/>
                <w:b w:val="0"/>
                <w:i w:val="0"/>
                <w:sz w:val="17"/>
              </w:rPr>
              <w:t>Damietta</w:t>
            </w:r>
          </w:p>
        </w:tc>
        <w:tc>
          <w:tcPr>
            <w:tcW w:type="dxa" w:w="1606"/>
          </w:tcPr>
          <w:p>
            <w:pPr>
              <w:spacing w:after="20" w:before="20" w:line="240" w:lineRule="auto"/>
            </w:pPr>
            <w:r/>
            <w:r>
              <w:rPr>
                <w:rFonts w:ascii="Arial" w:hAnsi="Arial" w:cs="Arial"/>
                <w:b w:val="0"/>
                <w:i w:val="0"/>
                <w:sz w:val="17"/>
              </w:rPr>
              <w:t>SCHEDULED</w:t>
            </w:r>
          </w:p>
        </w:tc>
        <w:tc>
          <w:tcPr>
            <w:tcW w:type="dxa" w:w="1606"/>
          </w:tcPr>
          <w:p>
            <w:pPr>
              <w:spacing w:after="20" w:before="20" w:line="240" w:lineRule="auto"/>
            </w:pPr>
            <w:r/>
            <w:r>
              <w:rPr>
                <w:rFonts w:ascii="Arial" w:hAnsi="Arial" w:cs="Arial"/>
                <w:b w:val="0"/>
                <w:i w:val="0"/>
                <w:sz w:val="17"/>
              </w:rPr>
              <w:t>$221.76</w:t>
            </w:r>
          </w:p>
        </w:tc>
        <w:tc>
          <w:tcPr>
            <w:tcW w:type="dxa" w:w="1606"/>
          </w:tcPr>
          <w:p>
            <w:pPr>
              <w:spacing w:after="20" w:before="20" w:line="240" w:lineRule="auto"/>
            </w:pPr>
            <w:r/>
            <w:r>
              <w:rPr>
                <w:rFonts w:ascii="Arial" w:hAnsi="Arial" w:cs="Arial"/>
                <w:b w:val="0"/>
                <w:i w:val="0"/>
                <w:sz w:val="17"/>
              </w:rPr>
              <w:t>N/A</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9.34 Multi-Shipment Partial Negotiation</w:t>
      </w:r>
    </w:p>
    <w:p>
      <w:pPr>
        <w:spacing w:after="80" w:line="293" w:lineRule="auto"/>
        <w:jc w:val="left"/>
      </w:pPr>
      <w:r>
        <w:rPr>
          <w:rFonts w:ascii="Times New Roman" w:hAnsi="Times New Roman" w:cs="Times New Roman"/>
          <w:b w:val="0"/>
          <w:i w:val="0"/>
          <w:sz w:val="22"/>
        </w:rPr>
        <w:t>Parties may accept Shipment 1, negotiate Shipment 2, modify Shipment 3, and cancel Shipment 4. Shipment-level changes must preserve the master relationship.</w:t>
      </w:r>
    </w:p>
    <w:p>
      <w:pPr>
        <w:keepNext/>
        <w:spacing w:before="240" w:after="100"/>
        <w:outlineLvl w:val="1"/>
      </w:pPr>
      <w:r>
        <w:rPr>
          <w:rFonts w:ascii="Arial" w:hAnsi="Arial" w:cs="Arial"/>
          <w:b/>
          <w:i w:val="0"/>
          <w:color w:val="2E528F"/>
          <w:sz w:val="26"/>
        </w:rPr>
        <w:t>9.35 Post-Master-Lock Schedule Modification</w:t>
      </w:r>
    </w:p>
    <w:p>
      <w:pPr>
        <w:spacing w:after="80" w:line="293" w:lineRule="auto"/>
        <w:jc w:val="left"/>
      </w:pPr>
      <w:r>
        <w:rPr>
          <w:rFonts w:ascii="Times New Roman" w:hAnsi="Times New Roman" w:cs="Times New Roman"/>
          <w:b w:val="0"/>
          <w:i w:val="0"/>
          <w:sz w:val="22"/>
        </w:rPr>
        <w:t>Future unlocked shipments may be modified; already locked shipments remain protected. Permitted amendment creates: proposed change → review → acceptance → addendum → version → updated schedule.</w:t>
      </w:r>
    </w:p>
    <w:p>
      <w:pPr>
        <w:spacing w:after="80" w:line="293" w:lineRule="auto"/>
        <w:jc w:val="left"/>
      </w:pPr>
      <w:r>
        <w:rPr>
          <w:rFonts w:ascii="Times New Roman" w:hAnsi="Times New Roman" w:cs="Times New Roman"/>
          <w:b w:val="0"/>
          <w:i w:val="0"/>
          <w:sz w:val="22"/>
        </w:rPr>
        <w:t>Workflow: either party clicks "Request Modification" in the Trade Command Center → Multi-shipment Schedule Card; selects shipment(s) to modify (future shipments only — already-locked shipments are immutable); proposes changes (delivery date, port, container count, commodities/packaging); adds a mandatory reason (≥20 characters); sends to the counterparty (one click); the counterparty reviews the diff view and can Accept, Reject, or Counter; if accepted, a schedule addendum is created and signed by both parties.</w:t>
      </w:r>
    </w:p>
    <w:p>
      <w:pPr>
        <w:spacing w:after="80" w:line="293" w:lineRule="auto"/>
        <w:jc w:val="left"/>
      </w:pPr>
      <w:r>
        <w:rPr>
          <w:rFonts w:ascii="Times New Roman" w:hAnsi="Times New Roman" w:cs="Times New Roman"/>
          <w:b w:val="0"/>
          <w:i w:val="0"/>
          <w:sz w:val="22"/>
        </w:rPr>
        <w:t>Example modification request — Shipment 2:</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Field</w:t>
            </w:r>
          </w:p>
        </w:tc>
        <w:tc>
          <w:tcPr>
            <w:tcW w:type="dxa" w:w="2409"/>
            <w:shd w:val="clear" w:fill="D9E2F3"/>
          </w:tcPr>
          <w:p>
            <w:pPr>
              <w:spacing w:after="20" w:before="20" w:line="240" w:lineRule="auto"/>
            </w:pPr>
            <w:r/>
            <w:r>
              <w:rPr>
                <w:rFonts w:ascii="Arial" w:hAnsi="Arial" w:cs="Arial"/>
                <w:b/>
                <w:i w:val="0"/>
                <w:sz w:val="18"/>
              </w:rPr>
              <w:t>Current</w:t>
            </w:r>
          </w:p>
        </w:tc>
        <w:tc>
          <w:tcPr>
            <w:tcW w:type="dxa" w:w="2409"/>
            <w:shd w:val="clear" w:fill="D9E2F3"/>
          </w:tcPr>
          <w:p>
            <w:pPr>
              <w:spacing w:after="20" w:before="20" w:line="240" w:lineRule="auto"/>
            </w:pPr>
            <w:r/>
            <w:r>
              <w:rPr>
                <w:rFonts w:ascii="Arial" w:hAnsi="Arial" w:cs="Arial"/>
                <w:b/>
                <w:i w:val="0"/>
                <w:sz w:val="18"/>
              </w:rPr>
              <w:t>Proposed</w:t>
            </w:r>
          </w:p>
        </w:tc>
        <w:tc>
          <w:tcPr>
            <w:tcW w:type="dxa" w:w="2409"/>
            <w:shd w:val="clear" w:fill="D9E2F3"/>
          </w:tcPr>
          <w:p>
            <w:pPr>
              <w:spacing w:after="20" w:before="20" w:line="240" w:lineRule="auto"/>
            </w:pPr>
            <w:r/>
            <w:r>
              <w:rPr>
                <w:rFonts w:ascii="Arial" w:hAnsi="Arial" w:cs="Arial"/>
                <w:b/>
                <w:i w:val="0"/>
                <w:sz w:val="18"/>
              </w:rPr>
              <w:t>Change</w:t>
            </w:r>
          </w:p>
        </w:tc>
      </w:tr>
      <w:tr>
        <w:tc>
          <w:tcPr>
            <w:tcW w:type="dxa" w:w="2409"/>
          </w:tcPr>
          <w:p>
            <w:pPr>
              <w:spacing w:after="20" w:before="20" w:line="240" w:lineRule="auto"/>
            </w:pPr>
            <w:r/>
            <w:r>
              <w:rPr>
                <w:rFonts w:ascii="Arial" w:hAnsi="Arial" w:cs="Arial"/>
                <w:b w:val="0"/>
                <w:i w:val="0"/>
                <w:sz w:val="17"/>
              </w:rPr>
              <w:t>Delivery Date</w:t>
            </w:r>
          </w:p>
        </w:tc>
        <w:tc>
          <w:tcPr>
            <w:tcW w:type="dxa" w:w="2409"/>
          </w:tcPr>
          <w:p>
            <w:pPr>
              <w:spacing w:after="20" w:before="20" w:line="240" w:lineRule="auto"/>
            </w:pPr>
            <w:r/>
            <w:r>
              <w:rPr>
                <w:rFonts w:ascii="Arial" w:hAnsi="Arial" w:cs="Arial"/>
                <w:b w:val="0"/>
                <w:i w:val="0"/>
                <w:sz w:val="17"/>
              </w:rPr>
              <w:t>15 Aug 2026</w:t>
            </w:r>
          </w:p>
        </w:tc>
        <w:tc>
          <w:tcPr>
            <w:tcW w:type="dxa" w:w="2409"/>
          </w:tcPr>
          <w:p>
            <w:pPr>
              <w:spacing w:after="20" w:before="20" w:line="240" w:lineRule="auto"/>
            </w:pPr>
            <w:r/>
            <w:r>
              <w:rPr>
                <w:rFonts w:ascii="Arial" w:hAnsi="Arial" w:cs="Arial"/>
                <w:b w:val="0"/>
                <w:i w:val="0"/>
                <w:sz w:val="17"/>
              </w:rPr>
              <w:t>30 Aug 2026</w:t>
            </w:r>
          </w:p>
        </w:tc>
        <w:tc>
          <w:tcPr>
            <w:tcW w:type="dxa" w:w="2409"/>
          </w:tcPr>
          <w:p>
            <w:pPr>
              <w:spacing w:after="20" w:before="20" w:line="240" w:lineRule="auto"/>
            </w:pPr>
            <w:r/>
            <w:r>
              <w:rPr>
                <w:rFonts w:ascii="Arial" w:hAnsi="Arial" w:cs="Arial"/>
                <w:b w:val="0"/>
                <w:i w:val="0"/>
                <w:sz w:val="17"/>
              </w:rPr>
              <w:t>+15 days</w:t>
            </w:r>
          </w:p>
        </w:tc>
      </w:tr>
      <w:tr>
        <w:tc>
          <w:tcPr>
            <w:tcW w:type="dxa" w:w="2409"/>
          </w:tcPr>
          <w:p>
            <w:pPr>
              <w:spacing w:after="20" w:before="20" w:line="240" w:lineRule="auto"/>
            </w:pPr>
            <w:r/>
            <w:r>
              <w:rPr>
                <w:rFonts w:ascii="Arial" w:hAnsi="Arial" w:cs="Arial"/>
                <w:b w:val="0"/>
                <w:i w:val="0"/>
                <w:sz w:val="17"/>
              </w:rPr>
              <w:t>Port</w:t>
            </w:r>
          </w:p>
        </w:tc>
        <w:tc>
          <w:tcPr>
            <w:tcW w:type="dxa" w:w="2409"/>
          </w:tcPr>
          <w:p>
            <w:pPr>
              <w:spacing w:after="20" w:before="20" w:line="240" w:lineRule="auto"/>
            </w:pPr>
            <w:r/>
            <w:r>
              <w:rPr>
                <w:rFonts w:ascii="Arial" w:hAnsi="Arial" w:cs="Arial"/>
                <w:b w:val="0"/>
                <w:i w:val="0"/>
                <w:sz w:val="17"/>
              </w:rPr>
              <w:t>Port Said</w:t>
            </w:r>
          </w:p>
        </w:tc>
        <w:tc>
          <w:tcPr>
            <w:tcW w:type="dxa" w:w="2409"/>
          </w:tcPr>
          <w:p>
            <w:pPr>
              <w:spacing w:after="20" w:before="20" w:line="240" w:lineRule="auto"/>
            </w:pPr>
            <w:r/>
            <w:r>
              <w:rPr>
                <w:rFonts w:ascii="Arial" w:hAnsi="Arial" w:cs="Arial"/>
                <w:b w:val="0"/>
                <w:i w:val="0"/>
                <w:sz w:val="17"/>
              </w:rPr>
              <w:t>Alexandria</w:t>
            </w:r>
          </w:p>
        </w:tc>
        <w:tc>
          <w:tcPr>
            <w:tcW w:type="dxa" w:w="2409"/>
          </w:tcPr>
          <w:p>
            <w:pPr>
              <w:spacing w:after="20" w:before="20" w:line="240" w:lineRule="auto"/>
            </w:pPr>
            <w:r/>
            <w:r>
              <w:rPr>
                <w:rFonts w:ascii="Arial" w:hAnsi="Arial" w:cs="Arial"/>
                <w:b w:val="0"/>
                <w:i w:val="0"/>
                <w:sz w:val="17"/>
              </w:rPr>
              <w:t>Different</w:t>
            </w:r>
          </w:p>
        </w:tc>
      </w:tr>
      <w:tr>
        <w:tc>
          <w:tcPr>
            <w:tcW w:type="dxa" w:w="2409"/>
          </w:tcPr>
          <w:p>
            <w:pPr>
              <w:spacing w:after="20" w:before="20" w:line="240" w:lineRule="auto"/>
            </w:pPr>
            <w:r/>
            <w:r>
              <w:rPr>
                <w:rFonts w:ascii="Arial" w:hAnsi="Arial" w:cs="Arial"/>
                <w:b w:val="0"/>
                <w:i w:val="0"/>
                <w:sz w:val="17"/>
              </w:rPr>
              <w:t>Containers</w:t>
            </w:r>
          </w:p>
        </w:tc>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+1</w:t>
            </w:r>
          </w:p>
        </w:tc>
      </w:tr>
      <w:tr>
        <w:tc>
          <w:tcPr>
            <w:tcW w:type="dxa" w:w="2409"/>
          </w:tcPr>
          <w:p>
            <w:pPr>
              <w:spacing w:after="20" w:before="20" w:line="240" w:lineRule="auto"/>
            </w:pPr>
            <w:r/>
            <w:r>
              <w:rPr>
                <w:rFonts w:ascii="Arial" w:hAnsi="Arial" w:cs="Arial"/>
                <w:b w:val="0"/>
                <w:i w:val="0"/>
                <w:sz w:val="17"/>
              </w:rPr>
              <w:t>Commodities</w:t>
            </w:r>
          </w:p>
        </w:tc>
        <w:tc>
          <w:tcPr>
            <w:tcW w:type="dxa" w:w="2409"/>
          </w:tcPr>
          <w:p>
            <w:pPr>
              <w:spacing w:after="20" w:before="20" w:line="240" w:lineRule="auto"/>
            </w:pPr>
            <w:r/>
            <w:r>
              <w:rPr>
                <w:rFonts w:ascii="Arial" w:hAnsi="Arial" w:cs="Arial"/>
                <w:b w:val="0"/>
                <w:i w:val="0"/>
                <w:sz w:val="17"/>
              </w:rPr>
              <w:t>Oranges (100 MT)</w:t>
            </w:r>
          </w:p>
        </w:tc>
        <w:tc>
          <w:tcPr>
            <w:tcW w:type="dxa" w:w="2409"/>
          </w:tcPr>
          <w:p>
            <w:pPr>
              <w:spacing w:after="20" w:before="20" w:line="240" w:lineRule="auto"/>
            </w:pPr>
            <w:r/>
            <w:r>
              <w:rPr>
                <w:rFonts w:ascii="Arial" w:hAnsi="Arial" w:cs="Arial"/>
                <w:b w:val="0"/>
                <w:i w:val="0"/>
                <w:sz w:val="17"/>
              </w:rPr>
              <w:t>Oranges (150 MT)</w:t>
            </w:r>
          </w:p>
        </w:tc>
        <w:tc>
          <w:tcPr>
            <w:tcW w:type="dxa" w:w="2409"/>
          </w:tcPr>
          <w:p>
            <w:pPr>
              <w:spacing w:after="20" w:before="20" w:line="240" w:lineRule="auto"/>
            </w:pPr>
            <w:r/>
            <w:r>
              <w:rPr>
                <w:rFonts w:ascii="Arial" w:hAnsi="Arial" w:cs="Arial"/>
                <w:b w:val="0"/>
                <w:i w:val="0"/>
                <w:sz w:val="17"/>
              </w:rPr>
              <w:t>+50 MT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Reason: "Warehouse capacity issue. Need additional storage time and increased container count for peak season. Port change due to logistics partner availability."</w:t>
      </w:r>
    </w:p>
    <w:p>
      <w:pPr>
        <w:keepNext/>
        <w:spacing w:before="240" w:after="100"/>
        <w:outlineLvl w:val="1"/>
      </w:pPr>
      <w:r>
        <w:rPr>
          <w:rFonts w:ascii="Arial" w:hAnsi="Arial" w:cs="Arial"/>
          <w:b/>
          <w:i w:val="0"/>
          <w:color w:val="2E528F"/>
          <w:sz w:val="26"/>
        </w:rPr>
        <w:t>9.36 Final Lock Precondition Engine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Category</w:t>
            </w:r>
          </w:p>
        </w:tc>
        <w:tc>
          <w:tcPr>
            <w:tcW w:type="dxa" w:w="4819"/>
            <w:shd w:val="clear" w:fill="D9E2F3"/>
          </w:tcPr>
          <w:p>
            <w:pPr>
              <w:spacing w:after="20" w:before="20" w:line="240" w:lineRule="auto"/>
            </w:pPr>
            <w:r/>
            <w:r>
              <w:rPr>
                <w:rFonts w:ascii="Arial" w:hAnsi="Arial" w:cs="Arial"/>
                <w:b/>
                <w:i w:val="0"/>
                <w:sz w:val="18"/>
              </w:rPr>
              <w:t>Checks</w:t>
            </w:r>
          </w:p>
        </w:tc>
      </w:tr>
      <w:tr>
        <w:tc>
          <w:tcPr>
            <w:tcW w:type="dxa" w:w="4819"/>
          </w:tcPr>
          <w:p>
            <w:pPr>
              <w:spacing w:after="20" w:before="20" w:line="240" w:lineRule="auto"/>
            </w:pPr>
            <w:r/>
            <w:r>
              <w:rPr>
                <w:rFonts w:ascii="Arial" w:hAnsi="Arial" w:cs="Arial"/>
                <w:b w:val="0"/>
                <w:i w:val="0"/>
                <w:sz w:val="17"/>
              </w:rPr>
              <w:t>Commercial</w:t>
            </w:r>
          </w:p>
        </w:tc>
        <w:tc>
          <w:tcPr>
            <w:tcW w:type="dxa" w:w="4819"/>
          </w:tcPr>
          <w:p>
            <w:pPr>
              <w:spacing w:after="20" w:before="20" w:line="240" w:lineRule="auto"/>
            </w:pPr>
            <w:r/>
            <w:r>
              <w:rPr>
                <w:rFonts w:ascii="Arial" w:hAnsi="Arial" w:cs="Arial"/>
                <w:b w:val="0"/>
                <w:i w:val="0"/>
                <w:sz w:val="17"/>
              </w:rPr>
              <w:t>Final terms mutually confirmed</w:t>
            </w:r>
          </w:p>
        </w:tc>
      </w:tr>
      <w:tr>
        <w:tc>
          <w:tcPr>
            <w:tcW w:type="dxa" w:w="4819"/>
          </w:tcPr>
          <w:p>
            <w:pPr>
              <w:spacing w:after="20" w:before="20" w:line="240" w:lineRule="auto"/>
            </w:pPr>
            <w:r/>
            <w:r>
              <w:rPr>
                <w:rFonts w:ascii="Arial" w:hAnsi="Arial" w:cs="Arial"/>
                <w:b w:val="0"/>
                <w:i w:val="0"/>
                <w:sz w:val="17"/>
              </w:rPr>
              <w:t>Contractual</w:t>
            </w:r>
          </w:p>
        </w:tc>
        <w:tc>
          <w:tcPr>
            <w:tcW w:type="dxa" w:w="4819"/>
          </w:tcPr>
          <w:p>
            <w:pPr>
              <w:spacing w:after="20" w:before="20" w:line="240" w:lineRule="auto"/>
            </w:pPr>
            <w:r/>
            <w:r>
              <w:rPr>
                <w:rFonts w:ascii="Arial" w:hAnsi="Arial" w:cs="Arial"/>
                <w:b w:val="0"/>
                <w:i w:val="0"/>
                <w:sz w:val="17"/>
              </w:rPr>
              <w:t>Required contract signed</w:t>
            </w:r>
          </w:p>
        </w:tc>
      </w:tr>
      <w:tr>
        <w:tc>
          <w:tcPr>
            <w:tcW w:type="dxa" w:w="4819"/>
          </w:tcPr>
          <w:p>
            <w:pPr>
              <w:spacing w:after="20" w:before="20" w:line="240" w:lineRule="auto"/>
            </w:pPr>
            <w:r/>
            <w:r>
              <w:rPr>
                <w:rFonts w:ascii="Arial" w:hAnsi="Arial" w:cs="Arial"/>
                <w:b w:val="0"/>
                <w:i w:val="0"/>
                <w:sz w:val="17"/>
              </w:rPr>
              <w:t>Fee</w:t>
            </w:r>
          </w:p>
        </w:tc>
        <w:tc>
          <w:tcPr>
            <w:tcW w:type="dxa" w:w="4819"/>
          </w:tcPr>
          <w:p>
            <w:pPr>
              <w:spacing w:after="20" w:before="20" w:line="240" w:lineRule="auto"/>
            </w:pPr>
            <w:r/>
            <w:r>
              <w:rPr>
                <w:rFonts w:ascii="Arial" w:hAnsi="Arial" w:cs="Arial"/>
                <w:b w:val="0"/>
                <w:i w:val="0"/>
                <w:sz w:val="17"/>
              </w:rPr>
              <w:t>Required SGTX fee condition satisfied</w:t>
            </w:r>
          </w:p>
        </w:tc>
      </w:tr>
      <w:tr>
        <w:tc>
          <w:tcPr>
            <w:tcW w:type="dxa" w:w="4819"/>
          </w:tcPr>
          <w:p>
            <w:pPr>
              <w:spacing w:after="20" w:before="20" w:line="240" w:lineRule="auto"/>
            </w:pPr>
            <w:r/>
            <w:r>
              <w:rPr>
                <w:rFonts w:ascii="Arial" w:hAnsi="Arial" w:cs="Arial"/>
                <w:b w:val="0"/>
                <w:i w:val="0"/>
                <w:sz w:val="17"/>
              </w:rPr>
              <w:t>Logistics</w:t>
            </w:r>
          </w:p>
        </w:tc>
        <w:tc>
          <w:tcPr>
            <w:tcW w:type="dxa" w:w="4819"/>
          </w:tcPr>
          <w:p>
            <w:pPr>
              <w:spacing w:after="20" w:before="20" w:line="240" w:lineRule="auto"/>
            </w:pPr>
            <w:r/>
            <w:r>
              <w:rPr>
                <w:rFonts w:ascii="Arial" w:hAnsi="Arial" w:cs="Arial"/>
                <w:b w:val="0"/>
                <w:i w:val="0"/>
                <w:sz w:val="17"/>
              </w:rPr>
              <w:t>Mandatory provider/addendum conditions satisfied</w:t>
            </w:r>
          </w:p>
        </w:tc>
      </w:tr>
      <w:tr>
        <w:tc>
          <w:tcPr>
            <w:tcW w:type="dxa" w:w="4819"/>
          </w:tcPr>
          <w:p>
            <w:pPr>
              <w:spacing w:after="20" w:before="20" w:line="240" w:lineRule="auto"/>
            </w:pPr>
            <w:r/>
            <w:r>
              <w:rPr>
                <w:rFonts w:ascii="Arial" w:hAnsi="Arial" w:cs="Arial"/>
                <w:b w:val="0"/>
                <w:i w:val="0"/>
                <w:sz w:val="17"/>
              </w:rPr>
              <w:t>Regulatory</w:t>
            </w:r>
          </w:p>
        </w:tc>
        <w:tc>
          <w:tcPr>
            <w:tcW w:type="dxa" w:w="4819"/>
          </w:tcPr>
          <w:p>
            <w:pPr>
              <w:spacing w:after="20" w:before="20" w:line="240" w:lineRule="auto"/>
            </w:pPr>
            <w:r/>
            <w:r>
              <w:rPr>
                <w:rFonts w:ascii="Arial" w:hAnsi="Arial" w:cs="Arial"/>
                <w:b w:val="0"/>
                <w:i w:val="0"/>
                <w:sz w:val="17"/>
              </w:rPr>
              <w:t>Required pre-lock conditions satisfied</w:t>
            </w:r>
          </w:p>
        </w:tc>
      </w:tr>
      <w:tr>
        <w:tc>
          <w:tcPr>
            <w:tcW w:type="dxa" w:w="4819"/>
          </w:tcPr>
          <w:p>
            <w:pPr>
              <w:spacing w:after="20" w:before="20" w:line="240" w:lineRule="auto"/>
            </w:pPr>
            <w:r/>
            <w:r>
              <w:rPr>
                <w:rFonts w:ascii="Arial" w:hAnsi="Arial" w:cs="Arial"/>
                <w:b w:val="0"/>
                <w:i w:val="0"/>
                <w:sz w:val="17"/>
              </w:rPr>
              <w:t>Governance</w:t>
            </w:r>
          </w:p>
        </w:tc>
        <w:tc>
          <w:tcPr>
            <w:tcW w:type="dxa" w:w="4819"/>
          </w:tcPr>
          <w:p>
            <w:pPr>
              <w:spacing w:after="20" w:before="20" w:line="240" w:lineRule="auto"/>
            </w:pPr>
            <w:r/>
            <w:r>
              <w:rPr>
                <w:rFonts w:ascii="Arial" w:hAnsi="Arial" w:cs="Arial"/>
                <w:b w:val="0"/>
                <w:i w:val="0"/>
                <w:sz w:val="17"/>
              </w:rPr>
              <w:t>All required approvals satisfied</w:t>
            </w:r>
          </w:p>
        </w:tc>
      </w:tr>
      <w:tr>
        <w:tc>
          <w:tcPr>
            <w:tcW w:type="dxa" w:w="4819"/>
          </w:tcPr>
          <w:p>
            <w:pPr>
              <w:spacing w:after="20" w:before="20" w:line="240" w:lineRule="auto"/>
            </w:pPr>
            <w:r/>
            <w:r>
              <w:rPr>
                <w:rFonts w:ascii="Arial" w:hAnsi="Arial" w:cs="Arial"/>
                <w:b w:val="0"/>
                <w:i w:val="0"/>
                <w:sz w:val="17"/>
              </w:rPr>
              <w:t>Identity</w:t>
            </w:r>
          </w:p>
        </w:tc>
        <w:tc>
          <w:tcPr>
            <w:tcW w:type="dxa" w:w="4819"/>
          </w:tcPr>
          <w:p>
            <w:pPr>
              <w:spacing w:after="20" w:before="20" w:line="240" w:lineRule="auto"/>
            </w:pPr>
            <w:r/>
            <w:r>
              <w:rPr>
                <w:rFonts w:ascii="Arial" w:hAnsi="Arial" w:cs="Arial"/>
                <w:b w:val="0"/>
                <w:i w:val="0"/>
                <w:sz w:val="17"/>
              </w:rPr>
              <w:t>All signatories authorised</w:t>
            </w:r>
          </w:p>
        </w:tc>
      </w:tr>
      <w:tr>
        <w:tc>
          <w:tcPr>
            <w:tcW w:type="dxa" w:w="4819"/>
          </w:tcPr>
          <w:p>
            <w:pPr>
              <w:spacing w:after="20" w:before="20" w:line="240" w:lineRule="auto"/>
            </w:pPr>
            <w:r/>
            <w:r>
              <w:rPr>
                <w:rFonts w:ascii="Arial" w:hAnsi="Arial" w:cs="Arial"/>
                <w:b w:val="0"/>
                <w:i w:val="0"/>
                <w:sz w:val="17"/>
              </w:rPr>
              <w:t>Data</w:t>
            </w:r>
          </w:p>
        </w:tc>
        <w:tc>
          <w:tcPr>
            <w:tcW w:type="dxa" w:w="4819"/>
          </w:tcPr>
          <w:p>
            <w:pPr>
              <w:spacing w:after="20" w:before="20" w:line="240" w:lineRule="auto"/>
            </w:pPr>
            <w:r/>
            <w:r>
              <w:rPr>
                <w:rFonts w:ascii="Arial" w:hAnsi="Arial" w:cs="Arial"/>
                <w:b w:val="0"/>
                <w:i w:val="0"/>
                <w:sz w:val="17"/>
              </w:rPr>
              <w:t>No unresolved critical contradiction</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Required pre-lock documents/evidence satisfied</w:t>
            </w:r>
          </w:p>
        </w:tc>
      </w:tr>
      <w:tr>
        <w:tc>
          <w:tcPr>
            <w:tcW w:type="dxa" w:w="4819"/>
          </w:tcPr>
          <w:p>
            <w:pPr>
              <w:spacing w:after="20" w:before="20" w:line="240" w:lineRule="auto"/>
            </w:pPr>
            <w:r/>
            <w:r>
              <w:rPr>
                <w:rFonts w:ascii="Arial" w:hAnsi="Arial" w:cs="Arial"/>
                <w:b w:val="0"/>
                <w:i w:val="0"/>
                <w:sz w:val="17"/>
              </w:rPr>
              <w:t>Shipment</w:t>
            </w:r>
          </w:p>
        </w:tc>
        <w:tc>
          <w:tcPr>
            <w:tcW w:type="dxa" w:w="4819"/>
          </w:tcPr>
          <w:p>
            <w:pPr>
              <w:spacing w:after="20" w:before="20" w:line="240" w:lineRule="auto"/>
            </w:pPr>
            <w:r/>
            <w:r>
              <w:rPr>
                <w:rFonts w:ascii="Arial" w:hAnsi="Arial" w:cs="Arial"/>
                <w:b w:val="0"/>
                <w:i w:val="0"/>
                <w:sz w:val="17"/>
              </w:rPr>
              <w:t>Shipment-specific conditions satisfied</w:t>
            </w:r>
          </w:p>
        </w:tc>
      </w:tr>
      <w:tr>
        <w:tc>
          <w:tcPr>
            <w:tcW w:type="dxa" w:w="4819"/>
          </w:tcPr>
          <w:p>
            <w:pPr>
              <w:spacing w:after="20" w:before="20" w:line="240" w:lineRule="auto"/>
            </w:pPr>
            <w:r/>
            <w:r>
              <w:rPr>
                <w:rFonts w:ascii="Arial" w:hAnsi="Arial" w:cs="Arial"/>
                <w:b w:val="0"/>
                <w:i w:val="0"/>
                <w:sz w:val="17"/>
              </w:rPr>
              <w:t>Multi-Shipment</w:t>
            </w:r>
          </w:p>
        </w:tc>
        <w:tc>
          <w:tcPr>
            <w:tcW w:type="dxa" w:w="4819"/>
          </w:tcPr>
          <w:p>
            <w:pPr>
              <w:spacing w:after="20" w:before="20" w:line="240" w:lineRule="auto"/>
            </w:pPr>
            <w:r/>
            <w:r>
              <w:rPr>
                <w:rFonts w:ascii="Arial" w:hAnsi="Arial" w:cs="Arial"/>
                <w:b w:val="0"/>
                <w:i w:val="0"/>
                <w:sz w:val="17"/>
              </w:rPr>
              <w:t>Only the relevant shipment is locked</w:t>
            </w:r>
          </w:p>
        </w:tc>
      </w:tr>
      <w:tr>
        <w:tc>
          <w:tcPr>
            <w:tcW w:type="dxa" w:w="4819"/>
          </w:tcPr>
          <w:p>
            <w:pPr>
              <w:spacing w:after="20" w:before="20" w:line="240" w:lineRule="auto"/>
            </w:pPr>
            <w:r/>
            <w:r>
              <w:rPr>
                <w:rFonts w:ascii="Arial" w:hAnsi="Arial" w:cs="Arial"/>
                <w:b w:val="0"/>
                <w:i w:val="0"/>
                <w:sz w:val="17"/>
              </w:rPr>
              <w:t>Financing CFR</w:t>
            </w:r>
          </w:p>
        </w:tc>
        <w:tc>
          <w:tcPr>
            <w:tcW w:type="dxa" w:w="4819"/>
          </w:tcPr>
          <w:p>
            <w:pPr>
              <w:spacing w:after="20" w:before="20" w:line="240" w:lineRule="auto"/>
            </w:pPr>
            <w:r/>
            <w:r>
              <w:rPr>
                <w:rFonts w:ascii="Arial" w:hAnsi="Arial" w:cs="Arial"/>
                <w:b w:val="0"/>
                <w:i w:val="0"/>
                <w:sz w:val="17"/>
              </w:rPr>
              <w:t>If financing_required = true, valid CFR exists (G3U12, G3U13)</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9.37 Lock Decision Panel</w:t>
      </w:r>
    </w:p>
    <w:p>
      <w:pPr>
        <w:spacing w:after="80" w:line="293" w:lineRule="auto"/>
        <w:jc w:val="left"/>
      </w:pPr>
      <w:r>
        <w:rPr>
          <w:rFonts w:ascii="Times New Roman" w:hAnsi="Times New Roman" w:cs="Times New Roman"/>
          <w:b w:val="0"/>
          <w:i w:val="0"/>
          <w:sz w:val="22"/>
        </w:rPr>
        <w:t>Internal pre-lock readiness result: Commercial Terms PASS; Contract PASS; Signatures PASS; SGTX Fee PASS; Logistics Addenda PASS; Regulatory Conditions PASS; Critical Contradictions NONE; Financing Pre-Clearance PASS or N/A; USTN Eligibility READY. Users see a simplified summary; authorised users can inspect full details.</w:t>
      </w:r>
    </w:p>
    <w:p>
      <w:pPr>
        <w:keepNext/>
        <w:spacing w:before="240" w:after="100"/>
        <w:outlineLvl w:val="1"/>
      </w:pPr>
      <w:r>
        <w:rPr>
          <w:rFonts w:ascii="Arial" w:hAnsi="Arial" w:cs="Arial"/>
          <w:b/>
          <w:i w:val="0"/>
          <w:color w:val="2E528F"/>
          <w:sz w:val="26"/>
        </w:rPr>
        <w:t>9.38 Lock Must Be Atomic</w:t>
      </w:r>
    </w:p>
    <w:p>
      <w:pPr>
        <w:spacing w:after="80" w:line="293" w:lineRule="auto"/>
        <w:jc w:val="left"/>
      </w:pPr>
      <w:r>
        <w:rPr>
          <w:rFonts w:ascii="Times New Roman" w:hAnsi="Times New Roman" w:cs="Times New Roman"/>
          <w:b w:val="0"/>
          <w:i w:val="0"/>
          <w:sz w:val="22"/>
        </w:rPr>
        <w:t>Contract/shipment lock is transactionally atomic. The system must never create a state where the contract says LOCKED but the USTN is missing, the fee is unpaid, a signature is invalid, or a required addendum is unsigned. If the atomic lock operation fails, the system must not partially advance authoritative state.</w:t>
      </w:r>
    </w:p>
    <w:p>
      <w:pPr>
        <w:keepNext/>
        <w:spacing w:before="240" w:after="100"/>
        <w:outlineLvl w:val="1"/>
      </w:pPr>
      <w:r>
        <w:rPr>
          <w:rFonts w:ascii="Arial" w:hAnsi="Arial" w:cs="Arial"/>
          <w:b/>
          <w:i w:val="0"/>
          <w:color w:val="2E528F"/>
          <w:sz w:val="26"/>
        </w:rPr>
        <w:t>9.39 USTN Generation</w:t>
      </w:r>
    </w:p>
    <w:p>
      <w:pPr>
        <w:spacing w:after="80" w:line="293" w:lineRule="auto"/>
        <w:jc w:val="left"/>
      </w:pPr>
      <w:r>
        <w:rPr>
          <w:rFonts w:ascii="Times New Roman" w:hAnsi="Times New Roman" w:cs="Times New Roman"/>
          <w:b w:val="0"/>
          <w:i w:val="0"/>
          <w:sz w:val="22"/>
        </w:rPr>
        <w:t>At the authoritative lock point, the system generates the correct USTN (format and algorithm per Section 5) and propagates it to: documents, logistics, customs, QC, settlement, financing, dispute, Trade Command Center, Smart Inbox, APIs, and audit events.</w:t>
      </w:r>
    </w:p>
    <w:p>
      <w:pPr>
        <w:keepNext/>
        <w:spacing w:before="180" w:after="80"/>
        <w:outlineLvl w:val="2"/>
      </w:pPr>
      <w:r>
        <w:rPr>
          <w:rFonts w:ascii="Arial" w:hAnsi="Arial" w:cs="Arial"/>
          <w:b/>
          <w:i w:val="0"/>
          <w:color w:val="333333"/>
          <w:sz w:val="23"/>
        </w:rPr>
        <w:t>9.39.1 Lock Event Atomic Sequence</w:t>
      </w:r>
    </w:p>
    <w:p>
      <w:pPr>
        <w:spacing w:after="80" w:line="293" w:lineRule="auto"/>
        <w:jc w:val="left"/>
      </w:pPr>
      <w:r>
        <w:rPr>
          <w:rFonts w:ascii="Times New Roman" w:hAnsi="Times New Roman" w:cs="Times New Roman"/>
          <w:b w:val="0"/>
          <w:i w:val="0"/>
          <w:sz w:val="22"/>
        </w:rPr>
        <w:t>The authoritative lock event executes as one governed atomic sequence. The sequence is: (1) validate all contract-lock requirements; (2) validate the commercial agreement; (3) validate the signatures under Section 9.24; (4) finalize the applicable SGTX fee obligation; (5) generate the USTN; (6) create the canonical fee obligation / FeeLock record; (7) emit the immutable lock and fee events to the Loom-anchored event spine. The lock decision panel (Section 9.37) presents the complete precondition state before execution, and the lock is atomic (Section 9.38): either every step commits or none does; no intermediate state is externally visible.</w:t>
      </w:r>
    </w:p>
    <w:p>
      <w:pPr>
        <w:spacing w:after="80" w:line="293" w:lineRule="auto"/>
        <w:jc w:val="left"/>
      </w:pPr>
      <w:r>
        <w:rPr>
          <w:rFonts w:ascii="Times New Roman" w:hAnsi="Times New Roman" w:cs="Times New Roman"/>
          <w:b w:val="0"/>
          <w:i w:val="0"/>
          <w:sz w:val="22"/>
        </w:rPr>
        <w:t>The sequence establishes the canonical correlation order — identity, agreement, signatures, obligation, namespace, record, evidence — and every downstream subsystem resolves its correlation keys in exactly this order. USTN generation at lock is single-shot per shipment (Section 5.1.5); the immutability rules of Section 9.40 apply from the moment of generation.</w:t>
      </w:r>
    </w:p>
    <w:p>
      <w:pPr>
        <w:keepNext/>
        <w:spacing w:before="240" w:after="100"/>
        <w:outlineLvl w:val="1"/>
      </w:pPr>
      <w:r>
        <w:rPr>
          <w:rFonts w:ascii="Arial" w:hAnsi="Arial" w:cs="Arial"/>
          <w:b/>
          <w:i w:val="0"/>
          <w:color w:val="2E528F"/>
          <w:sz w:val="26"/>
        </w:rPr>
        <w:t>9.40 USTN Immutability</w:t>
      </w:r>
    </w:p>
    <w:p>
      <w:pPr>
        <w:spacing w:after="80" w:line="293" w:lineRule="auto"/>
        <w:jc w:val="left"/>
      </w:pPr>
      <w:r>
        <w:rPr>
          <w:rFonts w:ascii="Times New Roman" w:hAnsi="Times New Roman" w:cs="Times New Roman"/>
          <w:b w:val="0"/>
          <w:i w:val="0"/>
          <w:sz w:val="22"/>
        </w:rPr>
        <w:t>Once generated: never recycle it; never silently replace it; never assign it to another shipment. Corrections create additional canonical events, never USTN mutation.</w:t>
      </w:r>
    </w:p>
    <w:p>
      <w:pPr>
        <w:keepNext/>
        <w:spacing w:before="240" w:after="100"/>
        <w:outlineLvl w:val="1"/>
      </w:pPr>
      <w:r>
        <w:rPr>
          <w:rFonts w:ascii="Arial" w:hAnsi="Arial" w:cs="Arial"/>
          <w:b/>
          <w:i w:val="0"/>
          <w:color w:val="2E528F"/>
          <w:sz w:val="26"/>
        </w:rPr>
        <w:t>9.41 Canonical Event Emission</w:t>
      </w:r>
    </w:p>
    <w:p>
      <w:pPr>
        <w:spacing w:after="80" w:line="293" w:lineRule="auto"/>
        <w:jc w:val="left"/>
      </w:pPr>
      <w:r>
        <w:rPr>
          <w:rFonts w:ascii="Times New Roman" w:hAnsi="Times New Roman" w:cs="Times New Roman"/>
          <w:b w:val="0"/>
          <w:i w:val="0"/>
          <w:sz w:val="22"/>
        </w:rPr>
        <w:t>Phase 3 emits canonical events for all material changes:</w:t>
      </w:r>
    </w:p>
    <w:p>
      <w:pPr>
        <w:spacing w:after="0" w:before="0" w:line="240" w:lineRule="auto"/>
        <w:ind w:left="57"/>
        <w:jc w:val="left"/>
        <w:shd w:val="clear" w:fill="F2F2F2"/>
      </w:pPr>
      <w:r>
        <w:rPr>
          <w:rFonts w:ascii="Consolas" w:hAnsi="Consolas" w:cs="Consolas"/>
          <w:b w:val="0"/>
          <w:i w:val="0"/>
          <w:sz w:val="15"/>
        </w:rPr>
        <w:t>QUOTE_RECEIVED, NEGOTIATION_STARTED, COUNTEROFFER_SUBMITTED,</w:t>
      </w:r>
    </w:p>
    <w:p>
      <w:pPr>
        <w:spacing w:after="0" w:before="0" w:line="240" w:lineRule="auto"/>
        <w:ind w:left="57"/>
        <w:jc w:val="left"/>
        <w:shd w:val="clear" w:fill="F2F2F2"/>
      </w:pPr>
      <w:r>
        <w:rPr>
          <w:rFonts w:ascii="Consolas" w:hAnsi="Consolas" w:cs="Consolas"/>
          <w:b w:val="0"/>
          <w:i w:val="0"/>
          <w:sz w:val="15"/>
        </w:rPr>
        <w:t>PARTIAL_ACCEPTANCE_SUBMITTED, AMENDMENT_PROPOSED,</w:t>
      </w:r>
    </w:p>
    <w:p>
      <w:pPr>
        <w:spacing w:after="0" w:before="0" w:line="240" w:lineRule="auto"/>
        <w:ind w:left="57"/>
        <w:jc w:val="left"/>
        <w:shd w:val="clear" w:fill="F2F2F2"/>
      </w:pPr>
      <w:r>
        <w:rPr>
          <w:rFonts w:ascii="Consolas" w:hAnsi="Consolas" w:cs="Consolas"/>
          <w:b w:val="0"/>
          <w:i w:val="0"/>
          <w:sz w:val="15"/>
        </w:rPr>
        <w:t>DEADLINE_EXTENSION_REQUESTED, DEADLINE_EXTENSION_APPROVED,</w:t>
      </w:r>
    </w:p>
    <w:p>
      <w:pPr>
        <w:spacing w:after="0" w:before="0" w:line="240" w:lineRule="auto"/>
        <w:ind w:left="57"/>
        <w:jc w:val="left"/>
        <w:shd w:val="clear" w:fill="F2F2F2"/>
      </w:pPr>
      <w:r>
        <w:rPr>
          <w:rFonts w:ascii="Consolas" w:hAnsi="Consolas" w:cs="Consolas"/>
          <w:b w:val="0"/>
          <w:i w:val="0"/>
          <w:sz w:val="15"/>
        </w:rPr>
        <w:t>MUTUAL_CONFIRMATION_RECORDED, CONTRACT_GENERATED, CONTRACT_UPLOADED,</w:t>
      </w:r>
    </w:p>
    <w:p>
      <w:pPr>
        <w:spacing w:after="0" w:before="0" w:line="240" w:lineRule="auto"/>
        <w:ind w:left="57"/>
        <w:jc w:val="left"/>
        <w:shd w:val="clear" w:fill="F2F2F2"/>
      </w:pPr>
      <w:r>
        <w:rPr>
          <w:rFonts w:ascii="Consolas" w:hAnsi="Consolas" w:cs="Consolas"/>
          <w:b w:val="0"/>
          <w:i w:val="0"/>
          <w:sz w:val="15"/>
        </w:rPr>
        <w:t>CONTRACT_VALIDATED, ADDENDUM_CREATED, ADDENDUM_SIGNED,</w:t>
      </w:r>
    </w:p>
    <w:p>
      <w:pPr>
        <w:spacing w:after="0" w:before="0" w:line="240" w:lineRule="auto"/>
        <w:ind w:left="57"/>
        <w:jc w:val="left"/>
        <w:shd w:val="clear" w:fill="F2F2F2"/>
      </w:pPr>
      <w:r>
        <w:rPr>
          <w:rFonts w:ascii="Consolas" w:hAnsi="Consolas" w:cs="Consolas"/>
          <w:b w:val="0"/>
          <w:i w:val="0"/>
          <w:sz w:val="15"/>
        </w:rPr>
        <w:t>FEE_REQUESTED, FEE_CONFIRMED, FEELOCK_ACTIVATED,</w:t>
      </w:r>
    </w:p>
    <w:p>
      <w:pPr>
        <w:spacing w:after="0" w:before="0" w:line="240" w:lineRule="auto"/>
        <w:ind w:left="57"/>
        <w:jc w:val="left"/>
        <w:shd w:val="clear" w:fill="F2F2F2"/>
      </w:pPr>
      <w:r>
        <w:rPr>
          <w:rFonts w:ascii="Consolas" w:hAnsi="Consolas" w:cs="Consolas"/>
          <w:b w:val="0"/>
          <w:i w:val="0"/>
          <w:sz w:val="15"/>
        </w:rPr>
        <w:t>BUYER_SIGNED, SELLER_SIGNED, CONTRACT_LOCKED, SHIPMENT_LOCKED,</w:t>
      </w:r>
    </w:p>
    <w:p>
      <w:pPr>
        <w:spacing w:after="0" w:before="0" w:line="240" w:lineRule="auto"/>
        <w:ind w:left="57"/>
        <w:jc w:val="left"/>
        <w:shd w:val="clear" w:fill="F2F2F2"/>
      </w:pPr>
      <w:r>
        <w:rPr>
          <w:rFonts w:ascii="Consolas" w:hAnsi="Consolas" w:cs="Consolas"/>
          <w:b w:val="0"/>
          <w:i w:val="0"/>
          <w:sz w:val="15"/>
        </w:rPr>
        <w:t>USTN_GENERATED</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9.42 CFR Gate (Financing Pre-Clearance)</w:t>
      </w:r>
    </w:p>
    <w:p>
      <w:pPr>
        <w:spacing w:after="80" w:line="293" w:lineRule="auto"/>
        <w:jc w:val="left"/>
      </w:pPr>
      <w:r>
        <w:rPr>
          <w:rFonts w:ascii="Times New Roman" w:hAnsi="Times New Roman" w:cs="Times New Roman"/>
          <w:b w:val="0"/>
          <w:i w:val="0"/>
          <w:sz w:val="22"/>
        </w:rPr>
        <w:t>G3U12: if financing_required = true for either party, a valid (non-expired) CFR must exist before contract lock. G3U13: the CFR must be issued by a valid, active financier with matching jurisdiction/corridor coverage. Failure action: CONDITIONAL — "This trade requires financing pre-clearance. Please obtain a Conditional Financing Reference (CFR) from your financier before locking the contract."</w:t>
      </w:r>
    </w:p>
    <w:p>
      <w:pPr>
        <w:keepNext/>
        <w:spacing w:before="240" w:after="100"/>
        <w:outlineLvl w:val="1"/>
      </w:pPr>
      <w:r>
        <w:rPr>
          <w:rFonts w:ascii="Arial" w:hAnsi="Arial" w:cs="Arial"/>
          <w:b/>
          <w:i w:val="0"/>
          <w:color w:val="2E528F"/>
          <w:sz w:val="26"/>
        </w:rPr>
        <w:t>9.43 Implementation Checklist (Phase 3)</w:t>
      </w:r>
    </w:p>
    <w:p>
      <w:pPr>
        <w:spacing w:after="80" w:line="293" w:lineRule="auto"/>
        <w:jc w:val="left"/>
      </w:pPr>
      <w:r>
        <w:rPr>
          <w:rFonts w:ascii="Times New Roman" w:hAnsi="Times New Roman" w:cs="Times New Roman"/>
          <w:b w:val="0"/>
          <w:i w:val="0"/>
          <w:sz w:val="22"/>
        </w:rPr>
        <w:t>Integration with other sections: Phase 3 consumes the seller quote produced in Phase 2 (Section 8), enforces the financing pre-clearance gate (Section 7), generates the USTN per the canonical namespace (Section 5), hands the locked shipment to physical execution (Section 12) and settlement (Section 13), and records every state transition through the Governor gates (Section 15), the Smart Inbox and Trade Command Center (Section 16), and the data model tables (Section 17).</w:t>
      </w:r>
    </w:p>
    <w:p>
      <w:pPr>
        <w:spacing w:after="80" w:line="293" w:lineRule="auto"/>
        <w:jc w:val="left"/>
      </w:pPr>
      <w:r>
        <w:rPr>
          <w:rFonts w:ascii="Times New Roman" w:hAnsi="Times New Roman" w:cs="Times New Roman"/>
          <w:b w:val="0"/>
          <w:i w:val="0"/>
          <w:sz w:val="22"/>
        </w:rPr>
        <w:t>Quote review &amp; comparison:</w:t>
      </w:r>
    </w:p>
    <w:p>
      <w:pPr>
        <w:spacing w:after="80" w:line="293" w:lineRule="auto"/>
        <w:ind w:left="283"/>
        <w:jc w:val="left"/>
      </w:pPr>
      <w:r>
        <w:rPr>
          <w:rFonts w:ascii="Times New Roman" w:hAnsi="Times New Roman" w:cs="Times New Roman"/>
          <w:b w:val="0"/>
          <w:i w:val="0"/>
          <w:sz w:val="22"/>
        </w:rPr>
        <w:t>- Build comparison table (primary + alternative ports)</w:t>
      </w:r>
    </w:p>
    <w:p>
      <w:pPr>
        <w:spacing w:after="80" w:line="293" w:lineRule="auto"/>
        <w:ind w:left="283"/>
        <w:jc w:val="left"/>
      </w:pPr>
      <w:r>
        <w:rPr>
          <w:rFonts w:ascii="Times New Roman" w:hAnsi="Times New Roman" w:cs="Times New Roman"/>
          <w:b w:val="0"/>
          <w:i w:val="0"/>
          <w:sz w:val="22"/>
        </w:rPr>
        <w:t>- Build landed cost breakdown</w:t>
      </w:r>
    </w:p>
    <w:p>
      <w:pPr>
        <w:spacing w:after="80" w:line="293" w:lineRule="auto"/>
        <w:ind w:left="283"/>
        <w:jc w:val="left"/>
      </w:pPr>
      <w:r>
        <w:rPr>
          <w:rFonts w:ascii="Times New Roman" w:hAnsi="Times New Roman" w:cs="Times New Roman"/>
          <w:b w:val="0"/>
          <w:i w:val="0"/>
          <w:sz w:val="22"/>
        </w:rPr>
        <w:t>- Build multi-shipment schedule display</w:t>
      </w:r>
    </w:p>
    <w:p>
      <w:pPr>
        <w:spacing w:after="80" w:line="293" w:lineRule="auto"/>
        <w:ind w:left="283"/>
        <w:jc w:val="left"/>
      </w:pPr>
      <w:r>
        <w:rPr>
          <w:rFonts w:ascii="Times New Roman" w:hAnsi="Times New Roman" w:cs="Times New Roman"/>
          <w:b w:val="0"/>
          <w:i w:val="0"/>
          <w:sz w:val="22"/>
        </w:rPr>
        <w:t>- Implement Accept/Negotiate/Amend actions</w:t>
      </w:r>
    </w:p>
    <w:p>
      <w:pPr>
        <w:spacing w:after="80" w:line="293" w:lineRule="auto"/>
        <w:jc w:val="left"/>
      </w:pPr>
      <w:r>
        <w:rPr>
          <w:rFonts w:ascii="Times New Roman" w:hAnsi="Times New Roman" w:cs="Times New Roman"/>
          <w:b w:val="0"/>
          <w:i w:val="0"/>
          <w:sz w:val="22"/>
        </w:rPr>
        <w:t>Negotiation panel:</w:t>
      </w:r>
    </w:p>
    <w:p>
      <w:pPr>
        <w:spacing w:after="80" w:line="293" w:lineRule="auto"/>
        <w:ind w:left="283"/>
        <w:jc w:val="left"/>
      </w:pPr>
      <w:r>
        <w:rPr>
          <w:rFonts w:ascii="Times New Roman" w:hAnsi="Times New Roman" w:cs="Times New Roman"/>
          <w:b w:val="0"/>
          <w:i w:val="0"/>
          <w:sz w:val="22"/>
        </w:rPr>
        <w:t>- Build three-column negotiation panel (Offer History, Current Offer, Trade Room Chat)</w:t>
      </w:r>
    </w:p>
    <w:p>
      <w:pPr>
        <w:spacing w:after="80" w:line="293" w:lineRule="auto"/>
        <w:ind w:left="283"/>
        <w:jc w:val="left"/>
      </w:pPr>
      <w:r>
        <w:rPr>
          <w:rFonts w:ascii="Times New Roman" w:hAnsi="Times New Roman" w:cs="Times New Roman"/>
          <w:b w:val="0"/>
          <w:i w:val="0"/>
          <w:sz w:val="22"/>
        </w:rPr>
        <w:t>- Implement offer history (chronological)</w:t>
      </w:r>
    </w:p>
    <w:p>
      <w:pPr>
        <w:spacing w:after="80" w:line="293" w:lineRule="auto"/>
        <w:ind w:left="283"/>
        <w:jc w:val="left"/>
      </w:pPr>
      <w:r>
        <w:rPr>
          <w:rFonts w:ascii="Times New Roman" w:hAnsi="Times New Roman" w:cs="Times New Roman"/>
          <w:b w:val="0"/>
          <w:i w:val="0"/>
          <w:sz w:val="22"/>
        </w:rPr>
        <w:t>- Implement Accept/Counter/Reject/Request Info buttons</w:t>
      </w:r>
    </w:p>
    <w:p>
      <w:pPr>
        <w:spacing w:after="80" w:line="293" w:lineRule="auto"/>
        <w:ind w:left="283"/>
        <w:jc w:val="left"/>
      </w:pPr>
      <w:r>
        <w:rPr>
          <w:rFonts w:ascii="Times New Roman" w:hAnsi="Times New Roman" w:cs="Times New Roman"/>
          <w:b w:val="0"/>
          <w:i w:val="0"/>
          <w:sz w:val="22"/>
        </w:rPr>
        <w:t>- Implement partial acceptance</w:t>
      </w:r>
    </w:p>
    <w:p>
      <w:pPr>
        <w:spacing w:after="80" w:line="293" w:lineRule="auto"/>
        <w:ind w:left="283"/>
        <w:jc w:val="left"/>
      </w:pPr>
      <w:r>
        <w:rPr>
          <w:rFonts w:ascii="Times New Roman" w:hAnsi="Times New Roman" w:cs="Times New Roman"/>
          <w:b w:val="0"/>
          <w:i w:val="0"/>
          <w:sz w:val="22"/>
        </w:rPr>
        <w:t>- Implement counter-offer with mandatory reason</w:t>
      </w:r>
    </w:p>
    <w:p>
      <w:pPr>
        <w:spacing w:after="80" w:line="293" w:lineRule="auto"/>
        <w:ind w:left="283"/>
        <w:jc w:val="left"/>
      </w:pPr>
      <w:r>
        <w:rPr>
          <w:rFonts w:ascii="Times New Roman" w:hAnsi="Times New Roman" w:cs="Times New Roman"/>
          <w:b w:val="0"/>
          <w:i w:val="0"/>
          <w:sz w:val="22"/>
        </w:rPr>
        <w:t>- Implement deadline extension request</w:t>
      </w:r>
    </w:p>
    <w:p>
      <w:pPr>
        <w:spacing w:after="80" w:line="293" w:lineRule="auto"/>
        <w:ind w:left="283"/>
        <w:jc w:val="left"/>
      </w:pPr>
      <w:r>
        <w:rPr>
          <w:rFonts w:ascii="Times New Roman" w:hAnsi="Times New Roman" w:cs="Times New Roman"/>
          <w:b w:val="0"/>
          <w:i w:val="0"/>
          <w:sz w:val="22"/>
        </w:rPr>
        <w:t>- Implement visual diff for amendments</w:t>
      </w:r>
    </w:p>
    <w:p>
      <w:pPr>
        <w:spacing w:after="80" w:line="293" w:lineRule="auto"/>
        <w:ind w:left="283"/>
        <w:jc w:val="left"/>
      </w:pPr>
      <w:r>
        <w:rPr>
          <w:rFonts w:ascii="Times New Roman" w:hAnsi="Times New Roman" w:cs="Times New Roman"/>
          <w:b w:val="0"/>
          <w:i w:val="0"/>
          <w:sz w:val="22"/>
        </w:rPr>
        <w:t>- Implement Groq translation for Trade Room Chat</w:t>
      </w:r>
    </w:p>
    <w:p>
      <w:pPr>
        <w:spacing w:after="80" w:line="293" w:lineRule="auto"/>
        <w:ind w:left="283"/>
        <w:jc w:val="left"/>
      </w:pPr>
      <w:r>
        <w:rPr>
          <w:rFonts w:ascii="Times New Roman" w:hAnsi="Times New Roman" w:cs="Times New Roman"/>
          <w:b w:val="0"/>
          <w:i w:val="0"/>
          <w:sz w:val="22"/>
        </w:rPr>
        <w:t>- Implement timer for offer expiry</w:t>
      </w:r>
    </w:p>
    <w:p>
      <w:pPr>
        <w:spacing w:after="80" w:line="293" w:lineRule="auto"/>
        <w:jc w:val="left"/>
      </w:pPr>
      <w:r>
        <w:rPr>
          <w:rFonts w:ascii="Times New Roman" w:hAnsi="Times New Roman" w:cs="Times New Roman"/>
          <w:b w:val="0"/>
          <w:i w:val="0"/>
          <w:sz w:val="22"/>
        </w:rPr>
        <w:t>Mutual confirmation:</w:t>
      </w:r>
    </w:p>
    <w:p>
      <w:pPr>
        <w:spacing w:after="80" w:line="293" w:lineRule="auto"/>
        <w:ind w:left="283"/>
        <w:jc w:val="left"/>
      </w:pPr>
      <w:r>
        <w:rPr>
          <w:rFonts w:ascii="Times New Roman" w:hAnsi="Times New Roman" w:cs="Times New Roman"/>
          <w:b w:val="0"/>
          <w:i w:val="0"/>
          <w:sz w:val="22"/>
        </w:rPr>
        <w:t>- Implement mutual confirmation endpoint</w:t>
      </w:r>
    </w:p>
    <w:p>
      <w:pPr>
        <w:spacing w:after="80" w:line="293" w:lineRule="auto"/>
        <w:ind w:left="283"/>
        <w:jc w:val="left"/>
      </w:pPr>
      <w:r>
        <w:rPr>
          <w:rFonts w:ascii="Times New Roman" w:hAnsi="Times New Roman" w:cs="Times New Roman"/>
          <w:b w:val="0"/>
          <w:i w:val="0"/>
          <w:sz w:val="22"/>
        </w:rPr>
        <w:t>- Record mutual confirmation timestamp</w:t>
      </w:r>
    </w:p>
    <w:p>
      <w:pPr>
        <w:spacing w:after="80" w:line="293" w:lineRule="auto"/>
        <w:ind w:left="283"/>
        <w:jc w:val="left"/>
      </w:pPr>
      <w:r>
        <w:rPr>
          <w:rFonts w:ascii="Times New Roman" w:hAnsi="Times New Roman" w:cs="Times New Roman"/>
          <w:b w:val="0"/>
          <w:i w:val="0"/>
          <w:sz w:val="22"/>
        </w:rPr>
        <w:t>- Create pre-contract snapshot (immutable JSONB)</w:t>
      </w:r>
    </w:p>
    <w:p>
      <w:pPr>
        <w:spacing w:after="80" w:line="293" w:lineRule="auto"/>
        <w:jc w:val="left"/>
      </w:pPr>
      <w:r>
        <w:rPr>
          <w:rFonts w:ascii="Times New Roman" w:hAnsi="Times New Roman" w:cs="Times New Roman"/>
          <w:b w:val="0"/>
          <w:i w:val="0"/>
          <w:sz w:val="22"/>
        </w:rPr>
        <w:t>Contract assembly (Clause Forge):</w:t>
      </w:r>
    </w:p>
    <w:p>
      <w:pPr>
        <w:spacing w:after="80" w:line="293" w:lineRule="auto"/>
        <w:ind w:left="283"/>
        <w:jc w:val="left"/>
      </w:pPr>
      <w:r>
        <w:rPr>
          <w:rFonts w:ascii="Times New Roman" w:hAnsi="Times New Roman" w:cs="Times New Roman"/>
          <w:b w:val="0"/>
          <w:i w:val="0"/>
          <w:sz w:val="22"/>
        </w:rPr>
        <w:t>- Implement Clause Forge (A2, HF local) for contract generation</w:t>
      </w:r>
    </w:p>
    <w:p>
      <w:pPr>
        <w:spacing w:after="80" w:line="293" w:lineRule="auto"/>
        <w:ind w:left="283"/>
        <w:jc w:val="left"/>
      </w:pPr>
      <w:r>
        <w:rPr>
          <w:rFonts w:ascii="Times New Roman" w:hAnsi="Times New Roman" w:cs="Times New Roman"/>
          <w:b w:val="0"/>
          <w:i w:val="0"/>
          <w:sz w:val="22"/>
        </w:rPr>
        <w:t>- Include all commercial terms (price, Incoterm, delivery options, schedule)</w:t>
      </w:r>
    </w:p>
    <w:p>
      <w:pPr>
        <w:spacing w:after="80" w:line="293" w:lineRule="auto"/>
        <w:ind w:left="283"/>
        <w:jc w:val="left"/>
      </w:pPr>
      <w:r>
        <w:rPr>
          <w:rFonts w:ascii="Times New Roman" w:hAnsi="Times New Roman" w:cs="Times New Roman"/>
          <w:b w:val="0"/>
          <w:i w:val="0"/>
          <w:sz w:val="22"/>
        </w:rPr>
        <w:t>- Include mandatory SGTX Witness Clause (non-removable)</w:t>
      </w:r>
    </w:p>
    <w:p>
      <w:pPr>
        <w:spacing w:after="80" w:line="293" w:lineRule="auto"/>
        <w:ind w:left="283"/>
        <w:jc w:val="left"/>
      </w:pPr>
      <w:r>
        <w:rPr>
          <w:rFonts w:ascii="Times New Roman" w:hAnsi="Times New Roman" w:cs="Times New Roman"/>
          <w:b w:val="0"/>
          <w:i w:val="0"/>
          <w:sz w:val="22"/>
        </w:rPr>
        <w:t>- Include acceptance criteria matrix</w:t>
      </w:r>
    </w:p>
    <w:p>
      <w:pPr>
        <w:spacing w:after="80" w:line="293" w:lineRule="auto"/>
        <w:ind w:left="283"/>
        <w:jc w:val="left"/>
      </w:pPr>
      <w:r>
        <w:rPr>
          <w:rFonts w:ascii="Times New Roman" w:hAnsi="Times New Roman" w:cs="Times New Roman"/>
          <w:b w:val="0"/>
          <w:i w:val="0"/>
          <w:sz w:val="22"/>
        </w:rPr>
        <w:t>- Include commercial settlement details</w:t>
      </w:r>
    </w:p>
    <w:p>
      <w:pPr>
        <w:spacing w:after="80" w:line="293" w:lineRule="auto"/>
        <w:ind w:left="283"/>
        <w:jc w:val="left"/>
      </w:pPr>
      <w:r>
        <w:rPr>
          <w:rFonts w:ascii="Times New Roman" w:hAnsi="Times New Roman" w:cs="Times New Roman"/>
          <w:b w:val="0"/>
          <w:i w:val="0"/>
          <w:sz w:val="22"/>
        </w:rPr>
        <w:t>- Include insurance requirements</w:t>
      </w:r>
    </w:p>
    <w:p>
      <w:pPr>
        <w:spacing w:after="80" w:line="293" w:lineRule="auto"/>
        <w:ind w:left="283"/>
        <w:jc w:val="left"/>
      </w:pPr>
      <w:r>
        <w:rPr>
          <w:rFonts w:ascii="Times New Roman" w:hAnsi="Times New Roman" w:cs="Times New Roman"/>
          <w:b w:val="0"/>
          <w:i w:val="0"/>
          <w:sz w:val="22"/>
        </w:rPr>
        <w:t>- Include special trade instructions</w:t>
      </w:r>
    </w:p>
    <w:p>
      <w:pPr>
        <w:spacing w:after="80" w:line="293" w:lineRule="auto"/>
        <w:ind w:left="283"/>
        <w:jc w:val="left"/>
      </w:pPr>
      <w:r>
        <w:rPr>
          <w:rFonts w:ascii="Times New Roman" w:hAnsi="Times New Roman" w:cs="Times New Roman"/>
          <w:b w:val="0"/>
          <w:i w:val="0"/>
          <w:sz w:val="22"/>
        </w:rPr>
        <w:t>- Generate contract PDF</w:t>
      </w:r>
    </w:p>
    <w:p>
      <w:pPr>
        <w:spacing w:after="80" w:line="293" w:lineRule="auto"/>
        <w:jc w:val="left"/>
      </w:pPr>
      <w:r>
        <w:rPr>
          <w:rFonts w:ascii="Times New Roman" w:hAnsi="Times New Roman" w:cs="Times New Roman"/>
          <w:b w:val="0"/>
          <w:i w:val="0"/>
          <w:sz w:val="22"/>
        </w:rPr>
        <w:t>Upload own contract:</w:t>
      </w:r>
    </w:p>
    <w:p>
      <w:pPr>
        <w:spacing w:after="80" w:line="293" w:lineRule="auto"/>
        <w:ind w:left="283"/>
        <w:jc w:val="left"/>
      </w:pPr>
      <w:r>
        <w:rPr>
          <w:rFonts w:ascii="Times New Roman" w:hAnsi="Times New Roman" w:cs="Times New Roman"/>
          <w:b w:val="0"/>
          <w:i w:val="0"/>
          <w:sz w:val="22"/>
        </w:rPr>
        <w:t>- Implement contract upload (PDF, max 10 MB)</w:t>
      </w:r>
    </w:p>
    <w:p>
      <w:pPr>
        <w:spacing w:after="80" w:line="293" w:lineRule="auto"/>
        <w:ind w:left="283"/>
        <w:jc w:val="left"/>
      </w:pPr>
      <w:r>
        <w:rPr>
          <w:rFonts w:ascii="Times New Roman" w:hAnsi="Times New Roman" w:cs="Times New Roman"/>
          <w:b w:val="0"/>
          <w:i w:val="0"/>
          <w:sz w:val="22"/>
        </w:rPr>
        <w:t>- Implement A2 (HF Donut) extraction</w:t>
      </w:r>
    </w:p>
    <w:p>
      <w:pPr>
        <w:spacing w:after="80" w:line="293" w:lineRule="auto"/>
        <w:ind w:left="283"/>
        <w:jc w:val="left"/>
      </w:pPr>
      <w:r>
        <w:rPr>
          <w:rFonts w:ascii="Times New Roman" w:hAnsi="Times New Roman" w:cs="Times New Roman"/>
          <w:b w:val="0"/>
          <w:i w:val="0"/>
          <w:sz w:val="22"/>
        </w:rPr>
        <w:t>- Implement field validation against trade data</w:t>
      </w:r>
    </w:p>
    <w:p>
      <w:pPr>
        <w:spacing w:after="80" w:line="293" w:lineRule="auto"/>
        <w:ind w:left="283"/>
        <w:jc w:val="left"/>
      </w:pPr>
      <w:r>
        <w:rPr>
          <w:rFonts w:ascii="Times New Roman" w:hAnsi="Times New Roman" w:cs="Times New Roman"/>
          <w:b w:val="0"/>
          <w:i w:val="0"/>
          <w:sz w:val="22"/>
        </w:rPr>
        <w:t>- Implement mandatory SGTX FEES Addendum generation</w:t>
      </w:r>
    </w:p>
    <w:p>
      <w:pPr>
        <w:spacing w:after="80" w:line="293" w:lineRule="auto"/>
        <w:ind w:left="283"/>
        <w:jc w:val="left"/>
      </w:pPr>
      <w:r>
        <w:rPr>
          <w:rFonts w:ascii="Times New Roman" w:hAnsi="Times New Roman" w:cs="Times New Roman"/>
          <w:b w:val="0"/>
          <w:i w:val="0"/>
          <w:sz w:val="22"/>
        </w:rPr>
        <w:t>- Implement document storage and signature collection</w:t>
      </w:r>
    </w:p>
    <w:p>
      <w:pPr>
        <w:spacing w:after="80" w:line="293" w:lineRule="auto"/>
        <w:jc w:val="left"/>
      </w:pPr>
      <w:r>
        <w:rPr>
          <w:rFonts w:ascii="Times New Roman" w:hAnsi="Times New Roman" w:cs="Times New Roman"/>
          <w:b w:val="0"/>
          <w:i w:val="0"/>
          <w:sz w:val="22"/>
        </w:rPr>
        <w:t>Logistics addendum signing:</w:t>
      </w:r>
    </w:p>
    <w:p>
      <w:pPr>
        <w:spacing w:after="80" w:line="293" w:lineRule="auto"/>
        <w:ind w:left="283"/>
        <w:jc w:val="left"/>
      </w:pPr>
      <w:r>
        <w:rPr>
          <w:rFonts w:ascii="Times New Roman" w:hAnsi="Times New Roman" w:cs="Times New Roman"/>
          <w:b w:val="0"/>
          <w:i w:val="0"/>
          <w:sz w:val="22"/>
        </w:rPr>
        <w:t>- Implement logistics addendum generation</w:t>
      </w:r>
    </w:p>
    <w:p>
      <w:pPr>
        <w:spacing w:after="80" w:line="293" w:lineRule="auto"/>
        <w:ind w:left="283"/>
        <w:jc w:val="left"/>
      </w:pPr>
      <w:r>
        <w:rPr>
          <w:rFonts w:ascii="Times New Roman" w:hAnsi="Times New Roman" w:cs="Times New Roman"/>
          <w:b w:val="0"/>
          <w:i w:val="0"/>
          <w:sz w:val="22"/>
        </w:rPr>
        <w:t>- Implement Smart Inbox notification to providers</w:t>
      </w:r>
    </w:p>
    <w:p>
      <w:pPr>
        <w:spacing w:after="80" w:line="293" w:lineRule="auto"/>
        <w:ind w:left="283"/>
        <w:jc w:val="left"/>
      </w:pPr>
      <w:r>
        <w:rPr>
          <w:rFonts w:ascii="Times New Roman" w:hAnsi="Times New Roman" w:cs="Times New Roman"/>
          <w:b w:val="0"/>
          <w:i w:val="0"/>
          <w:sz w:val="22"/>
        </w:rPr>
        <w:t>- Implement signature collection (ZITADEL passkey)</w:t>
      </w:r>
    </w:p>
    <w:p>
      <w:pPr>
        <w:spacing w:after="80" w:line="293" w:lineRule="auto"/>
        <w:ind w:left="283"/>
        <w:jc w:val="left"/>
      </w:pPr>
      <w:r>
        <w:rPr>
          <w:rFonts w:ascii="Times New Roman" w:hAnsi="Times New Roman" w:cs="Times New Roman"/>
          <w:b w:val="0"/>
          <w:i w:val="0"/>
          <w:sz w:val="22"/>
        </w:rPr>
        <w:t>- Implement signature status tracking</w:t>
      </w:r>
    </w:p>
    <w:p>
      <w:pPr>
        <w:spacing w:after="80" w:line="293" w:lineRule="auto"/>
        <w:ind w:left="283"/>
        <w:jc w:val="left"/>
      </w:pPr>
      <w:r>
        <w:rPr>
          <w:rFonts w:ascii="Times New Roman" w:hAnsi="Times New Roman" w:cs="Times New Roman"/>
          <w:b w:val="0"/>
          <w:i w:val="0"/>
          <w:sz w:val="22"/>
        </w:rPr>
        <w:t>- Implement Governor validation before contract lock</w:t>
      </w:r>
    </w:p>
    <w:p>
      <w:pPr>
        <w:spacing w:after="80" w:line="293" w:lineRule="auto"/>
        <w:jc w:val="left"/>
      </w:pPr>
      <w:r>
        <w:rPr>
          <w:rFonts w:ascii="Times New Roman" w:hAnsi="Times New Roman" w:cs="Times New Roman"/>
          <w:b w:val="0"/>
          <w:i w:val="0"/>
          <w:sz w:val="22"/>
        </w:rPr>
        <w:t>SGTX fee payment:</w:t>
      </w:r>
    </w:p>
    <w:p>
      <w:pPr>
        <w:spacing w:after="80" w:line="293" w:lineRule="auto"/>
        <w:ind w:left="283"/>
        <w:jc w:val="left"/>
      </w:pPr>
      <w:r>
        <w:rPr>
          <w:rFonts w:ascii="Times New Roman" w:hAnsi="Times New Roman" w:cs="Times New Roman"/>
          <w:b w:val="0"/>
          <w:i w:val="0"/>
          <w:sz w:val="22"/>
        </w:rPr>
        <w:t>- Implement single-shipment fee collection (upfront)</w:t>
      </w:r>
    </w:p>
    <w:p>
      <w:pPr>
        <w:spacing w:after="80" w:line="293" w:lineRule="auto"/>
        <w:ind w:left="283"/>
        <w:jc w:val="left"/>
      </w:pPr>
      <w:r>
        <w:rPr>
          <w:rFonts w:ascii="Times New Roman" w:hAnsi="Times New Roman" w:cs="Times New Roman"/>
          <w:b w:val="0"/>
          <w:i w:val="0"/>
          <w:sz w:val="22"/>
        </w:rPr>
        <w:t>- Implement multi-shipment per-shipment fee collection</w:t>
      </w:r>
    </w:p>
    <w:p>
      <w:pPr>
        <w:spacing w:after="80" w:line="293" w:lineRule="auto"/>
        <w:ind w:left="283"/>
        <w:jc w:val="left"/>
      </w:pPr>
      <w:r>
        <w:rPr>
          <w:rFonts w:ascii="Times New Roman" w:hAnsi="Times New Roman" w:cs="Times New Roman"/>
          <w:b w:val="0"/>
          <w:i w:val="0"/>
          <w:sz w:val="22"/>
        </w:rPr>
        <w:t>- Implement Bank Settlement Gateway dispatch routing (A2, LightGBM + Groq advisory)</w:t>
      </w:r>
    </w:p>
    <w:p>
      <w:pPr>
        <w:spacing w:after="80" w:line="293" w:lineRule="auto"/>
        <w:ind w:left="283"/>
        <w:jc w:val="left"/>
      </w:pPr>
      <w:r>
        <w:rPr>
          <w:rFonts w:ascii="Times New Roman" w:hAnsi="Times New Roman" w:cs="Times New Roman"/>
          <w:b w:val="0"/>
          <w:i w:val="0"/>
          <w:sz w:val="22"/>
        </w:rPr>
        <w:t>- Implement multi-leg settlement instruction generation (pain.001 batches)</w:t>
      </w:r>
    </w:p>
    <w:p>
      <w:pPr>
        <w:spacing w:after="80" w:line="293" w:lineRule="auto"/>
        <w:ind w:left="283"/>
        <w:jc w:val="left"/>
      </w:pPr>
      <w:r>
        <w:rPr>
          <w:rFonts w:ascii="Times New Roman" w:hAnsi="Times New Roman" w:cs="Times New Roman"/>
          <w:b w:val="0"/>
          <w:i w:val="0"/>
          <w:sz w:val="22"/>
        </w:rPr>
        <w:t>- Implement webhook verification</w:t>
      </w:r>
    </w:p>
    <w:p>
      <w:pPr>
        <w:spacing w:after="80" w:line="293" w:lineRule="auto"/>
        <w:ind w:left="283"/>
        <w:jc w:val="left"/>
      </w:pPr>
      <w:r>
        <w:rPr>
          <w:rFonts w:ascii="Times New Roman" w:hAnsi="Times New Roman" w:cs="Times New Roman"/>
          <w:b w:val="0"/>
          <w:i w:val="0"/>
          <w:sz w:val="22"/>
        </w:rPr>
        <w:t>- Implement FeeLock state management (NATS KV)</w:t>
      </w:r>
    </w:p>
    <w:p>
      <w:pPr>
        <w:spacing w:after="80" w:line="293" w:lineRule="auto"/>
        <w:jc w:val="left"/>
      </w:pPr>
      <w:r>
        <w:rPr>
          <w:rFonts w:ascii="Times New Roman" w:hAnsi="Times New Roman" w:cs="Times New Roman"/>
          <w:b w:val="0"/>
          <w:i w:val="0"/>
          <w:sz w:val="22"/>
        </w:rPr>
        <w:t>Deferred government fee payment:</w:t>
      </w:r>
    </w:p>
    <w:p>
      <w:pPr>
        <w:spacing w:after="80" w:line="293" w:lineRule="auto"/>
        <w:ind w:left="283"/>
        <w:jc w:val="left"/>
      </w:pPr>
      <w:r>
        <w:rPr>
          <w:rFonts w:ascii="Times New Roman" w:hAnsi="Times New Roman" w:cs="Times New Roman"/>
          <w:b w:val="0"/>
          <w:i w:val="0"/>
          <w:sz w:val="22"/>
        </w:rPr>
        <w:t>- Implement deferred payment toggle</w:t>
      </w:r>
    </w:p>
    <w:p>
      <w:pPr>
        <w:spacing w:after="80" w:line="293" w:lineRule="auto"/>
        <w:ind w:left="283"/>
        <w:jc w:val="left"/>
      </w:pPr>
      <w:r>
        <w:rPr>
          <w:rFonts w:ascii="Times New Roman" w:hAnsi="Times New Roman" w:cs="Times New Roman"/>
          <w:b w:val="0"/>
          <w:i w:val="0"/>
          <w:sz w:val="22"/>
        </w:rPr>
        <w:t>- Implement deferred payment instruction creation (pain.008)</w:t>
      </w:r>
    </w:p>
    <w:p>
      <w:pPr>
        <w:spacing w:after="80" w:line="293" w:lineRule="auto"/>
        <w:ind w:left="283"/>
        <w:jc w:val="left"/>
      </w:pPr>
      <w:r>
        <w:rPr>
          <w:rFonts w:ascii="Times New Roman" w:hAnsi="Times New Roman" w:cs="Times New Roman"/>
          <w:b w:val="0"/>
          <w:i w:val="0"/>
          <w:sz w:val="22"/>
        </w:rPr>
        <w:t>- Implement three-step escalation (reminder, alert, expiry)</w:t>
      </w:r>
    </w:p>
    <w:p>
      <w:pPr>
        <w:spacing w:after="80" w:line="293" w:lineRule="auto"/>
        <w:ind w:left="283"/>
        <w:jc w:val="left"/>
      </w:pPr>
      <w:r>
        <w:rPr>
          <w:rFonts w:ascii="Times New Roman" w:hAnsi="Times New Roman" w:cs="Times New Roman"/>
          <w:b w:val="0"/>
          <w:i w:val="0"/>
          <w:sz w:val="22"/>
        </w:rPr>
        <w:t>- Implement auto-charge authorisation</w:t>
      </w:r>
    </w:p>
    <w:p>
      <w:pPr>
        <w:spacing w:after="80" w:line="293" w:lineRule="auto"/>
        <w:jc w:val="left"/>
      </w:pPr>
      <w:r>
        <w:rPr>
          <w:rFonts w:ascii="Times New Roman" w:hAnsi="Times New Roman" w:cs="Times New Roman"/>
          <w:b w:val="0"/>
          <w:i w:val="0"/>
          <w:sz w:val="22"/>
        </w:rPr>
        <w:t>Container release confirmation:</w:t>
      </w:r>
    </w:p>
    <w:p>
      <w:pPr>
        <w:spacing w:after="80" w:line="293" w:lineRule="auto"/>
        <w:ind w:left="283"/>
        <w:jc w:val="left"/>
      </w:pPr>
      <w:r>
        <w:rPr>
          <w:rFonts w:ascii="Times New Roman" w:hAnsi="Times New Roman" w:cs="Times New Roman"/>
          <w:b w:val="0"/>
          <w:i w:val="0"/>
          <w:sz w:val="22"/>
        </w:rPr>
        <w:t>- Implement release token generation</w:t>
      </w:r>
    </w:p>
    <w:p>
      <w:pPr>
        <w:spacing w:after="80" w:line="293" w:lineRule="auto"/>
        <w:ind w:left="283"/>
        <w:jc w:val="left"/>
      </w:pPr>
      <w:r>
        <w:rPr>
          <w:rFonts w:ascii="Times New Roman" w:hAnsi="Times New Roman" w:cs="Times New Roman"/>
          <w:b w:val="0"/>
          <w:i w:val="0"/>
          <w:sz w:val="22"/>
        </w:rPr>
        <w:t>- Implement email notification (co-branded)</w:t>
      </w:r>
    </w:p>
    <w:p>
      <w:pPr>
        <w:spacing w:after="80" w:line="293" w:lineRule="auto"/>
        <w:ind w:left="283"/>
        <w:jc w:val="left"/>
      </w:pPr>
      <w:r>
        <w:rPr>
          <w:rFonts w:ascii="Times New Roman" w:hAnsi="Times New Roman" w:cs="Times New Roman"/>
          <w:b w:val="0"/>
          <w:i w:val="0"/>
          <w:sz w:val="22"/>
        </w:rPr>
        <w:t>- Implement API webhook</w:t>
      </w:r>
    </w:p>
    <w:p>
      <w:pPr>
        <w:spacing w:after="80" w:line="293" w:lineRule="auto"/>
        <w:ind w:left="283"/>
        <w:jc w:val="left"/>
      </w:pPr>
      <w:r>
        <w:rPr>
          <w:rFonts w:ascii="Times New Roman" w:hAnsi="Times New Roman" w:cs="Times New Roman"/>
          <w:b w:val="0"/>
          <w:i w:val="0"/>
          <w:sz w:val="22"/>
        </w:rPr>
        <w:t>- Implement provider acknowledgment (one click)</w:t>
      </w:r>
    </w:p>
    <w:p>
      <w:pPr>
        <w:spacing w:after="80" w:line="293" w:lineRule="auto"/>
        <w:jc w:val="left"/>
      </w:pPr>
      <w:r>
        <w:rPr>
          <w:rFonts w:ascii="Times New Roman" w:hAnsi="Times New Roman" w:cs="Times New Roman"/>
          <w:b w:val="0"/>
          <w:i w:val="0"/>
          <w:sz w:val="22"/>
        </w:rPr>
        <w:t>Digital signatures &amp; contract lock:</w:t>
      </w:r>
    </w:p>
    <w:p>
      <w:pPr>
        <w:spacing w:after="80" w:line="293" w:lineRule="auto"/>
        <w:ind w:left="283"/>
        <w:jc w:val="left"/>
      </w:pPr>
      <w:r>
        <w:rPr>
          <w:rFonts w:ascii="Times New Roman" w:hAnsi="Times New Roman" w:cs="Times New Roman"/>
          <w:b w:val="0"/>
          <w:i w:val="0"/>
          <w:sz w:val="22"/>
        </w:rPr>
        <w:t>- Implement ZITADEL passkey signature collection (buyer, seller)</w:t>
      </w:r>
    </w:p>
    <w:p>
      <w:pPr>
        <w:spacing w:after="80" w:line="293" w:lineRule="auto"/>
        <w:ind w:left="283"/>
        <w:jc w:val="left"/>
      </w:pPr>
      <w:r>
        <w:rPr>
          <w:rFonts w:ascii="Times New Roman" w:hAnsi="Times New Roman" w:cs="Times New Roman"/>
          <w:b w:val="0"/>
          <w:i w:val="0"/>
          <w:sz w:val="22"/>
        </w:rPr>
        <w:t>- Implement Governor witness signature (automatic)</w:t>
      </w:r>
    </w:p>
    <w:p>
      <w:pPr>
        <w:spacing w:after="80" w:line="293" w:lineRule="auto"/>
        <w:ind w:left="283"/>
        <w:jc w:val="left"/>
      </w:pPr>
      <w:r>
        <w:rPr>
          <w:rFonts w:ascii="Times New Roman" w:hAnsi="Times New Roman" w:cs="Times New Roman"/>
          <w:b w:val="0"/>
          <w:i w:val="0"/>
          <w:sz w:val="22"/>
        </w:rPr>
        <w:t>- Implement contract lock status transition</w:t>
      </w:r>
    </w:p>
    <w:p>
      <w:pPr>
        <w:spacing w:after="80" w:line="293" w:lineRule="auto"/>
        <w:ind w:left="283"/>
        <w:jc w:val="left"/>
      </w:pPr>
      <w:r>
        <w:rPr>
          <w:rFonts w:ascii="Times New Roman" w:hAnsi="Times New Roman" w:cs="Times New Roman"/>
          <w:b w:val="0"/>
          <w:i w:val="0"/>
          <w:sz w:val="22"/>
        </w:rPr>
        <w:t>- Implement USTN generation</w:t>
      </w:r>
    </w:p>
    <w:p>
      <w:pPr>
        <w:spacing w:after="80" w:line="293" w:lineRule="auto"/>
        <w:ind w:left="283"/>
        <w:jc w:val="left"/>
      </w:pPr>
      <w:r>
        <w:rPr>
          <w:rFonts w:ascii="Times New Roman" w:hAnsi="Times New Roman" w:cs="Times New Roman"/>
          <w:b w:val="0"/>
          <w:i w:val="0"/>
          <w:sz w:val="22"/>
        </w:rPr>
        <w:t>- Implement Smart Inbox confirmations</w:t>
      </w:r>
    </w:p>
    <w:p>
      <w:pPr>
        <w:spacing w:after="80" w:line="293" w:lineRule="auto"/>
        <w:jc w:val="left"/>
      </w:pPr>
      <w:r>
        <w:rPr>
          <w:rFonts w:ascii="Times New Roman" w:hAnsi="Times New Roman" w:cs="Times New Roman"/>
          <w:b w:val="0"/>
          <w:i w:val="0"/>
          <w:sz w:val="22"/>
        </w:rPr>
        <w:t>Multi-shipment schedule modification:</w:t>
      </w:r>
    </w:p>
    <w:p>
      <w:pPr>
        <w:spacing w:after="80" w:line="293" w:lineRule="auto"/>
        <w:ind w:left="283"/>
        <w:jc w:val="left"/>
      </w:pPr>
      <w:r>
        <w:rPr>
          <w:rFonts w:ascii="Times New Roman" w:hAnsi="Times New Roman" w:cs="Times New Roman"/>
          <w:b w:val="0"/>
          <w:i w:val="0"/>
          <w:sz w:val="22"/>
        </w:rPr>
        <w:t>- Implement schedule modification request endpoint</w:t>
      </w:r>
    </w:p>
    <w:p>
      <w:pPr>
        <w:spacing w:after="80" w:line="293" w:lineRule="auto"/>
        <w:ind w:left="283"/>
        <w:jc w:val="left"/>
      </w:pPr>
      <w:r>
        <w:rPr>
          <w:rFonts w:ascii="Times New Roman" w:hAnsi="Times New Roman" w:cs="Times New Roman"/>
          <w:b w:val="0"/>
          <w:i w:val="0"/>
          <w:sz w:val="22"/>
        </w:rPr>
        <w:t>- Implement diff view for counterparty review</w:t>
      </w:r>
    </w:p>
    <w:p>
      <w:pPr>
        <w:spacing w:after="80" w:line="293" w:lineRule="auto"/>
        <w:ind w:left="283"/>
        <w:jc w:val="left"/>
      </w:pPr>
      <w:r>
        <w:rPr>
          <w:rFonts w:ascii="Times New Roman" w:hAnsi="Times New Roman" w:cs="Times New Roman"/>
          <w:b w:val="0"/>
          <w:i w:val="0"/>
          <w:sz w:val="22"/>
        </w:rPr>
        <w:t>- Implement Accept/Reject/Counter actions</w:t>
      </w:r>
    </w:p>
    <w:p>
      <w:pPr>
        <w:spacing w:after="80" w:line="293" w:lineRule="auto"/>
        <w:ind w:left="283"/>
        <w:jc w:val="left"/>
      </w:pPr>
      <w:r>
        <w:rPr>
          <w:rFonts w:ascii="Times New Roman" w:hAnsi="Times New Roman" w:cs="Times New Roman"/>
          <w:b w:val="0"/>
          <w:i w:val="0"/>
          <w:sz w:val="22"/>
        </w:rPr>
        <w:t>- Implement schedule addendum generation</w:t>
      </w:r>
    </w:p>
    <w:p>
      <w:pPr>
        <w:spacing w:after="80" w:line="293" w:lineRule="auto"/>
        <w:ind w:left="283"/>
        <w:jc w:val="left"/>
      </w:pPr>
      <w:r>
        <w:rPr>
          <w:rFonts w:ascii="Times New Roman" w:hAnsi="Times New Roman" w:cs="Times New Roman"/>
          <w:b w:val="0"/>
          <w:i w:val="0"/>
          <w:sz w:val="22"/>
        </w:rPr>
        <w:t>- Implement addendum signing (both parties + Governor)</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Test full buyer negotiation → accept → sign workflow</w:t>
      </w:r>
    </w:p>
    <w:p>
      <w:pPr>
        <w:spacing w:after="80" w:line="293" w:lineRule="auto"/>
        <w:ind w:left="283"/>
        <w:jc w:val="left"/>
      </w:pPr>
      <w:r>
        <w:rPr>
          <w:rFonts w:ascii="Times New Roman" w:hAnsi="Times New Roman" w:cs="Times New Roman"/>
          <w:b w:val="0"/>
          <w:i w:val="0"/>
          <w:sz w:val="22"/>
        </w:rPr>
        <w:t>- Test partial acceptance (multi-shipment)</w:t>
      </w:r>
    </w:p>
    <w:p>
      <w:pPr>
        <w:spacing w:after="80" w:line="293" w:lineRule="auto"/>
        <w:ind w:left="283"/>
        <w:jc w:val="left"/>
      </w:pPr>
      <w:r>
        <w:rPr>
          <w:rFonts w:ascii="Times New Roman" w:hAnsi="Times New Roman" w:cs="Times New Roman"/>
          <w:b w:val="0"/>
          <w:i w:val="0"/>
          <w:sz w:val="22"/>
        </w:rPr>
        <w:t>- Test counter-offer with mandatory reason</w:t>
      </w:r>
    </w:p>
    <w:p>
      <w:pPr>
        <w:spacing w:after="80" w:line="293" w:lineRule="auto"/>
        <w:ind w:left="283"/>
        <w:jc w:val="left"/>
      </w:pPr>
      <w:r>
        <w:rPr>
          <w:rFonts w:ascii="Times New Roman" w:hAnsi="Times New Roman" w:cs="Times New Roman"/>
          <w:b w:val="0"/>
          <w:i w:val="0"/>
          <w:sz w:val="22"/>
        </w:rPr>
        <w:t>- Test deadline extension request and approval</w:t>
      </w:r>
    </w:p>
    <w:p>
      <w:pPr>
        <w:spacing w:after="80" w:line="293" w:lineRule="auto"/>
        <w:ind w:left="283"/>
        <w:jc w:val="left"/>
      </w:pPr>
      <w:r>
        <w:rPr>
          <w:rFonts w:ascii="Times New Roman" w:hAnsi="Times New Roman" w:cs="Times New Roman"/>
          <w:b w:val="0"/>
          <w:i w:val="0"/>
          <w:sz w:val="22"/>
        </w:rPr>
        <w:t>- Test Clause Forge contract generation</w:t>
      </w:r>
    </w:p>
    <w:p>
      <w:pPr>
        <w:spacing w:after="80" w:line="293" w:lineRule="auto"/>
        <w:ind w:left="283"/>
        <w:jc w:val="left"/>
      </w:pPr>
      <w:r>
        <w:rPr>
          <w:rFonts w:ascii="Times New Roman" w:hAnsi="Times New Roman" w:cs="Times New Roman"/>
          <w:b w:val="0"/>
          <w:i w:val="0"/>
          <w:sz w:val="22"/>
        </w:rPr>
        <w:t>- Test upload own contract with AI validation</w:t>
      </w:r>
    </w:p>
    <w:p>
      <w:pPr>
        <w:spacing w:after="80" w:line="293" w:lineRule="auto"/>
        <w:ind w:left="283"/>
        <w:jc w:val="left"/>
      </w:pPr>
      <w:r>
        <w:rPr>
          <w:rFonts w:ascii="Times New Roman" w:hAnsi="Times New Roman" w:cs="Times New Roman"/>
          <w:b w:val="0"/>
          <w:i w:val="0"/>
          <w:sz w:val="22"/>
        </w:rPr>
        <w:t>- Test logistics addendum signing</w:t>
      </w:r>
    </w:p>
    <w:p>
      <w:pPr>
        <w:spacing w:after="80" w:line="293" w:lineRule="auto"/>
        <w:ind w:left="283"/>
        <w:jc w:val="left"/>
      </w:pPr>
      <w:r>
        <w:rPr>
          <w:rFonts w:ascii="Times New Roman" w:hAnsi="Times New Roman" w:cs="Times New Roman"/>
          <w:b w:val="0"/>
          <w:i w:val="0"/>
          <w:sz w:val="22"/>
        </w:rPr>
        <w:t>- Test single-shipment fee payment</w:t>
      </w:r>
    </w:p>
    <w:p>
      <w:pPr>
        <w:spacing w:after="80" w:line="293" w:lineRule="auto"/>
        <w:ind w:left="283"/>
        <w:jc w:val="left"/>
      </w:pPr>
      <w:r>
        <w:rPr>
          <w:rFonts w:ascii="Times New Roman" w:hAnsi="Times New Roman" w:cs="Times New Roman"/>
          <w:b w:val="0"/>
          <w:i w:val="0"/>
          <w:sz w:val="22"/>
        </w:rPr>
        <w:t>- Test multi-shipment per-shipment fee collection</w:t>
      </w:r>
    </w:p>
    <w:p>
      <w:pPr>
        <w:spacing w:after="80" w:line="293" w:lineRule="auto"/>
        <w:ind w:left="283"/>
        <w:jc w:val="left"/>
      </w:pPr>
      <w:r>
        <w:rPr>
          <w:rFonts w:ascii="Times New Roman" w:hAnsi="Times New Roman" w:cs="Times New Roman"/>
          <w:b w:val="0"/>
          <w:i w:val="0"/>
          <w:sz w:val="22"/>
        </w:rPr>
        <w:t>- Test deferred government fee payment</w:t>
      </w:r>
    </w:p>
    <w:p>
      <w:pPr>
        <w:spacing w:after="80" w:line="293" w:lineRule="auto"/>
        <w:ind w:left="283"/>
        <w:jc w:val="left"/>
      </w:pPr>
      <w:r>
        <w:rPr>
          <w:rFonts w:ascii="Times New Roman" w:hAnsi="Times New Roman" w:cs="Times New Roman"/>
          <w:b w:val="0"/>
          <w:i w:val="0"/>
          <w:sz w:val="22"/>
        </w:rPr>
        <w:t>- Test container release confirmation</w:t>
      </w:r>
    </w:p>
    <w:p>
      <w:pPr>
        <w:spacing w:after="80" w:line="293" w:lineRule="auto"/>
        <w:ind w:left="283"/>
        <w:jc w:val="left"/>
      </w:pPr>
      <w:r>
        <w:rPr>
          <w:rFonts w:ascii="Times New Roman" w:hAnsi="Times New Roman" w:cs="Times New Roman"/>
          <w:b w:val="0"/>
          <w:i w:val="0"/>
          <w:sz w:val="22"/>
        </w:rPr>
        <w:t>- Test digital signatures and contract lock</w:t>
      </w:r>
    </w:p>
    <w:p>
      <w:pPr>
        <w:spacing w:after="80" w:line="293" w:lineRule="auto"/>
        <w:ind w:left="283"/>
        <w:jc w:val="left"/>
      </w:pPr>
      <w:r>
        <w:rPr>
          <w:rFonts w:ascii="Times New Roman" w:hAnsi="Times New Roman" w:cs="Times New Roman"/>
          <w:b w:val="0"/>
          <w:i w:val="0"/>
          <w:sz w:val="22"/>
        </w:rPr>
        <w:t>- Test multi-shipment schedule modification after lock</w:t>
      </w:r>
    </w:p>
    <w:p>
      <w:pPr>
        <w:keepNext/>
        <w:spacing w:before="240" w:after="100"/>
        <w:outlineLvl w:val="1"/>
      </w:pPr>
      <w:r>
        <w:rPr>
          <w:rFonts w:ascii="Arial" w:hAnsi="Arial" w:cs="Arial"/>
          <w:b/>
          <w:i w:val="0"/>
          <w:color w:val="2E528F"/>
          <w:sz w:val="26"/>
        </w:rPr>
        <w:t>9.44 AI Authority Summary (Phase 3)</w:t>
      </w:r>
    </w:p>
    <w:p>
      <w:pPr>
        <w:spacing w:after="80" w:line="293" w:lineRule="auto"/>
        <w:jc w:val="left"/>
      </w:pPr>
      <w:r>
        <w:rPr>
          <w:rFonts w:ascii="Times New Roman" w:hAnsi="Times New Roman" w:cs="Times New Roman"/>
          <w:b w:val="0"/>
          <w:i w:val="0"/>
          <w:sz w:val="22"/>
        </w:rPr>
        <w:t>Clause Forge (A2, HF local) generates the contract from canonical negotiated terms — generation is deterministic templating from confirmed data, and every generated contract passes the Contract Consistency Engine before signature. The Bank Settlement Gateway (A2, LightGBM + Groq advisory) selects the mandated bank route (advisory selection; the payment itself is executed by the bank and confirmed by camt.054 / gpi evidence). A1 (Groq) provides negotiation summarisation, translation, and recommendation narratives — never an accept/reject/commit action. A4 (OPA + WasmEdge) enforces signature authority, lock preconditions, atomic lock, and FeeLock state transitions. AI never signs, never pays, never locks, and never generates a USTN; those actions are exclusively human (or Governor-automatic where constitutionally defined).</w:t>
      </w:r>
    </w:p>
    <w:p>
      <w:pPr>
        <w:keepNext/>
        <w:spacing w:before="360" w:after="160"/>
        <w:outlineLvl w:val="0"/>
      </w:pPr>
      <w:r>
        <w:rPr>
          <w:rFonts w:ascii="Arial" w:hAnsi="Arial" w:cs="Arial"/>
          <w:b/>
          <w:i w:val="0"/>
          <w:color w:val="1F3864"/>
          <w:sz w:val="32"/>
        </w:rPr>
        <w:t>10. Formal Trade Finance Execution — Phase 4</w:t>
      </w:r>
    </w:p>
    <w:p>
      <w:pPr>
        <w:keepNext/>
        <w:spacing w:before="240" w:after="100"/>
        <w:outlineLvl w:val="1"/>
      </w:pPr>
      <w:r>
        <w:rPr>
          <w:rFonts w:ascii="Arial" w:hAnsi="Arial" w:cs="Arial"/>
          <w:b/>
          <w:i w:val="0"/>
          <w:color w:val="2E528F"/>
          <w:sz w:val="26"/>
        </w:rPr>
        <w:t>10.1 Purpose &amp; Design Philosophy</w:t>
      </w:r>
    </w:p>
    <w:p>
      <w:pPr>
        <w:spacing w:after="80" w:line="293" w:lineRule="auto"/>
        <w:jc w:val="left"/>
      </w:pPr>
      <w:r>
        <w:rPr>
          <w:rFonts w:ascii="Times New Roman" w:hAnsi="Times New Roman" w:cs="Times New Roman"/>
          <w:b w:val="0"/>
          <w:i w:val="0"/>
          <w:sz w:val="22"/>
        </w:rPr>
        <w:t>Phase 4 executes formal trade financing after contract lock, converting the Conditional Financing Reference (CFR) obtained in pre-clearance (Section 7) into a binding, executed financing agreement. Phase 4 is the financing engine of the platform: after a trade is locked, any party (buyer or seller) may request financing; the request triggers an automatic RFQ broadcast to all financiers whose pre-set preferences match; financiers see full trade details before bidding — the key trust advantage of platform trade finance; multiple financiers can co-finance (split funding) a single request; and the SGTX financing fee is a flat 0.25% of the financed amount, deducted from disbursement via a dedicated settlement leg in USD, EGP, or EURO.</w:t>
      </w:r>
    </w:p>
    <w:p>
      <w:pPr>
        <w:spacing w:after="80" w:line="293" w:lineRule="auto"/>
        <w:jc w:val="left"/>
      </w:pPr>
      <w:r>
        <w:rPr>
          <w:rFonts w:ascii="Times New Roman" w:hAnsi="Times New Roman" w:cs="Times New Roman"/>
          <w:b/>
          <w:i w:val="0"/>
          <w:sz w:val="22"/>
        </w:rPr>
        <w:t>Golden Principle:</w:t>
      </w:r>
      <w:r>
        <w:rPr>
          <w:rFonts w:ascii="Times New Roman" w:hAnsi="Times New Roman" w:cs="Times New Roman"/>
          <w:b w:val="0"/>
          <w:i w:val="0"/>
          <w:sz w:val="22"/>
        </w:rPr>
        <w:t xml:space="preserve"> finance must attach to a real trade — never treat financing as an independent generic loan application.</w:t>
      </w:r>
    </w:p>
    <w:p>
      <w:pPr>
        <w:spacing w:after="80" w:line="293" w:lineRule="auto"/>
        <w:jc w:val="left"/>
      </w:pPr>
      <w:r>
        <w:rPr>
          <w:rFonts w:ascii="Times New Roman" w:hAnsi="Times New Roman" w:cs="Times New Roman"/>
          <w:b/>
          <w:i w:val="0"/>
          <w:sz w:val="22"/>
        </w:rPr>
        <w:t>Hierarchy:</w:t>
      </w:r>
    </w:p>
    <w:p>
      <w:pPr>
        <w:spacing w:after="0" w:before="0" w:line="240" w:lineRule="auto"/>
        <w:ind w:left="57"/>
        <w:jc w:val="left"/>
        <w:shd w:val="clear" w:fill="F2F2F2"/>
      </w:pPr>
      <w:r>
        <w:rPr>
          <w:rFonts w:ascii="Consolas" w:hAnsi="Consolas" w:cs="Consolas"/>
          <w:b w:val="0"/>
          <w:i w:val="0"/>
          <w:sz w:val="15"/>
        </w:rPr>
        <w:t>Trade → Contract → Shipment → USTN → Financing Request → Financing Offer →</w:t>
      </w:r>
    </w:p>
    <w:p>
      <w:pPr>
        <w:spacing w:after="0" w:before="0" w:line="240" w:lineRule="auto"/>
        <w:ind w:left="57"/>
        <w:jc w:val="left"/>
        <w:shd w:val="clear" w:fill="F2F2F2"/>
      </w:pPr>
      <w:r>
        <w:rPr>
          <w:rFonts w:ascii="Consolas" w:hAnsi="Consolas" w:cs="Consolas"/>
          <w:b w:val="0"/>
          <w:i w:val="0"/>
          <w:sz w:val="15"/>
        </w:rPr>
        <w:t>Financing Agreement → Disbursement → Repayment → Release / Closure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principles: Full disclosure — financiers see complete trade details (buyer/seller names, documents, historical performance, financing history) before bidding; this builds trust and confidence. Non-custodial — SGTX never holds financed funds; participating banks execute disbursement and repayment under signed mandates. Co-financing (split funding) — multiple financiers can each finance a portion of the same request; fully supported and enabled by default. Encrypted bids — bids are encrypted with the borrower's public key; even SGTX cannot read them until the bidding window closes. Collateral monitoring — real-time LTV tracking, margin calls, liquidation risk prediction. Regulatory reporting — automated generation of CBE monthly remittance reports (Egypt), ECB statistical returns (EU), FinCEN SAR (USA), and similar filings.</w:t>
      </w:r>
    </w:p>
    <w:p>
      <w:pPr>
        <w:spacing w:after="80" w:line="293" w:lineRule="auto"/>
        <w:jc w:val="left"/>
      </w:pPr>
      <w:r>
        <w:rPr>
          <w:rFonts w:ascii="Times New Roman" w:hAnsi="Times New Roman" w:cs="Times New Roman"/>
          <w:b w:val="0"/>
          <w:i w:val="0"/>
          <w:sz w:val="22"/>
        </w:rPr>
        <w:t>Phase 4 timeline: after contract lock, at any time before settlement. One-click guarantee: request financing (1), submit bid (1), accept selected bids (1), disburse (1).</w:t>
      </w:r>
    </w:p>
    <w:p>
      <w:pPr>
        <w:keepNext/>
        <w:spacing w:before="240" w:after="100"/>
        <w:outlineLvl w:val="1"/>
      </w:pPr>
      <w:r>
        <w:rPr>
          <w:rFonts w:ascii="Arial" w:hAnsi="Arial" w:cs="Arial"/>
          <w:b/>
          <w:i w:val="0"/>
          <w:color w:val="2E528F"/>
          <w:sz w:val="26"/>
        </w:rPr>
        <w:t>10.2 Critical Semantic Distinctions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Concept</w:t>
            </w:r>
          </w:p>
        </w:tc>
        <w:tc>
          <w:tcPr>
            <w:tcW w:type="dxa" w:w="4819"/>
            <w:shd w:val="clear" w:fill="D9E2F3"/>
          </w:tcPr>
          <w:p>
            <w:pPr>
              <w:spacing w:after="20" w:before="20" w:line="240" w:lineRule="auto"/>
            </w:pPr>
            <w:r/>
            <w:r>
              <w:rPr>
                <w:rFonts w:ascii="Arial" w:hAnsi="Arial" w:cs="Arial"/>
                <w:b/>
                <w:i w:val="0"/>
                <w:sz w:val="18"/>
              </w:rPr>
              <w:t>Distinction</w:t>
            </w:r>
          </w:p>
        </w:tc>
      </w:tr>
      <w:tr>
        <w:tc>
          <w:tcPr>
            <w:tcW w:type="dxa" w:w="4819"/>
          </w:tcPr>
          <w:p>
            <w:pPr>
              <w:spacing w:after="20" w:before="20" w:line="240" w:lineRule="auto"/>
            </w:pPr>
            <w:r/>
            <w:r>
              <w:rPr>
                <w:rFonts w:ascii="Arial" w:hAnsi="Arial" w:cs="Arial"/>
                <w:b w:val="0"/>
                <w:i w:val="0"/>
                <w:sz w:val="17"/>
              </w:rPr>
              <w:t>Trade Value</w:t>
            </w:r>
          </w:p>
        </w:tc>
        <w:tc>
          <w:tcPr>
            <w:tcW w:type="dxa" w:w="4819"/>
          </w:tcPr>
          <w:p>
            <w:pPr>
              <w:spacing w:after="20" w:before="20" w:line="240" w:lineRule="auto"/>
            </w:pPr>
            <w:r/>
            <w:r>
              <w:rPr>
                <w:rFonts w:ascii="Arial" w:hAnsi="Arial" w:cs="Arial"/>
                <w:b w:val="0"/>
                <w:i w:val="0"/>
                <w:sz w:val="17"/>
              </w:rPr>
              <w:t>≠ Financeable Value</w:t>
            </w:r>
          </w:p>
        </w:tc>
      </w:tr>
      <w:tr>
        <w:tc>
          <w:tcPr>
            <w:tcW w:type="dxa" w:w="4819"/>
          </w:tcPr>
          <w:p>
            <w:pPr>
              <w:spacing w:after="20" w:before="20" w:line="240" w:lineRule="auto"/>
            </w:pPr>
            <w:r/>
            <w:r>
              <w:rPr>
                <w:rFonts w:ascii="Arial" w:hAnsi="Arial" w:cs="Arial"/>
                <w:b w:val="0"/>
                <w:i w:val="0"/>
                <w:sz w:val="17"/>
              </w:rPr>
              <w:t>Finance Request</w:t>
            </w:r>
          </w:p>
        </w:tc>
        <w:tc>
          <w:tcPr>
            <w:tcW w:type="dxa" w:w="4819"/>
          </w:tcPr>
          <w:p>
            <w:pPr>
              <w:spacing w:after="20" w:before="20" w:line="240" w:lineRule="auto"/>
            </w:pPr>
            <w:r/>
            <w:r>
              <w:rPr>
                <w:rFonts w:ascii="Arial" w:hAnsi="Arial" w:cs="Arial"/>
                <w:b w:val="0"/>
                <w:i w:val="0"/>
                <w:sz w:val="17"/>
              </w:rPr>
              <w:t>≠ Financing Offer</w:t>
            </w:r>
          </w:p>
        </w:tc>
      </w:tr>
      <w:tr>
        <w:tc>
          <w:tcPr>
            <w:tcW w:type="dxa" w:w="4819"/>
          </w:tcPr>
          <w:p>
            <w:pPr>
              <w:spacing w:after="20" w:before="20" w:line="240" w:lineRule="auto"/>
            </w:pPr>
            <w:r/>
            <w:r>
              <w:rPr>
                <w:rFonts w:ascii="Arial" w:hAnsi="Arial" w:cs="Arial"/>
                <w:b w:val="0"/>
                <w:i w:val="0"/>
                <w:sz w:val="17"/>
              </w:rPr>
              <w:t>Financing Offer</w:t>
            </w:r>
          </w:p>
        </w:tc>
        <w:tc>
          <w:tcPr>
            <w:tcW w:type="dxa" w:w="4819"/>
          </w:tcPr>
          <w:p>
            <w:pPr>
              <w:spacing w:after="20" w:before="20" w:line="240" w:lineRule="auto"/>
            </w:pPr>
            <w:r/>
            <w:r>
              <w:rPr>
                <w:rFonts w:ascii="Arial" w:hAnsi="Arial" w:cs="Arial"/>
                <w:b w:val="0"/>
                <w:i w:val="0"/>
                <w:sz w:val="17"/>
              </w:rPr>
              <w:t>≠ Financing Agreement</w:t>
            </w:r>
          </w:p>
        </w:tc>
      </w:tr>
      <w:tr>
        <w:tc>
          <w:tcPr>
            <w:tcW w:type="dxa" w:w="4819"/>
          </w:tcPr>
          <w:p>
            <w:pPr>
              <w:spacing w:after="20" w:before="20" w:line="240" w:lineRule="auto"/>
            </w:pPr>
            <w:r/>
            <w:r>
              <w:rPr>
                <w:rFonts w:ascii="Arial" w:hAnsi="Arial" w:cs="Arial"/>
                <w:b w:val="0"/>
                <w:i w:val="0"/>
                <w:sz w:val="17"/>
              </w:rPr>
              <w:t>Approved</w:t>
            </w:r>
          </w:p>
        </w:tc>
        <w:tc>
          <w:tcPr>
            <w:tcW w:type="dxa" w:w="4819"/>
          </w:tcPr>
          <w:p>
            <w:pPr>
              <w:spacing w:after="20" w:before="20" w:line="240" w:lineRule="auto"/>
            </w:pPr>
            <w:r/>
            <w:r>
              <w:rPr>
                <w:rFonts w:ascii="Arial" w:hAnsi="Arial" w:cs="Arial"/>
                <w:b w:val="0"/>
                <w:i w:val="0"/>
                <w:sz w:val="17"/>
              </w:rPr>
              <w:t>≠ Disbursed</w:t>
            </w:r>
          </w:p>
        </w:tc>
      </w:tr>
      <w:tr>
        <w:tc>
          <w:tcPr>
            <w:tcW w:type="dxa" w:w="4819"/>
          </w:tcPr>
          <w:p>
            <w:pPr>
              <w:spacing w:after="20" w:before="20" w:line="240" w:lineRule="auto"/>
            </w:pPr>
            <w:r/>
            <w:r>
              <w:rPr>
                <w:rFonts w:ascii="Arial" w:hAnsi="Arial" w:cs="Arial"/>
                <w:b w:val="0"/>
                <w:i w:val="0"/>
                <w:sz w:val="17"/>
              </w:rPr>
              <w:t>Disbursed</w:t>
            </w:r>
          </w:p>
        </w:tc>
        <w:tc>
          <w:tcPr>
            <w:tcW w:type="dxa" w:w="4819"/>
          </w:tcPr>
          <w:p>
            <w:pPr>
              <w:spacing w:after="20" w:before="20" w:line="240" w:lineRule="auto"/>
            </w:pPr>
            <w:r/>
            <w:r>
              <w:rPr>
                <w:rFonts w:ascii="Arial" w:hAnsi="Arial" w:cs="Arial"/>
                <w:b w:val="0"/>
                <w:i w:val="0"/>
                <w:sz w:val="17"/>
              </w:rPr>
              <w:t>≠ Repaid</w:t>
            </w:r>
          </w:p>
        </w:tc>
      </w:tr>
      <w:tr>
        <w:tc>
          <w:tcPr>
            <w:tcW w:type="dxa" w:w="4819"/>
          </w:tcPr>
          <w:p>
            <w:pPr>
              <w:spacing w:after="20" w:before="20" w:line="240" w:lineRule="auto"/>
            </w:pPr>
            <w:r/>
            <w:r>
              <w:rPr>
                <w:rFonts w:ascii="Arial" w:hAnsi="Arial" w:cs="Arial"/>
                <w:b w:val="0"/>
                <w:i w:val="0"/>
                <w:sz w:val="17"/>
              </w:rPr>
              <w:t>Repaid</w:t>
            </w:r>
          </w:p>
        </w:tc>
        <w:tc>
          <w:tcPr>
            <w:tcW w:type="dxa" w:w="4819"/>
          </w:tcPr>
          <w:p>
            <w:pPr>
              <w:spacing w:after="20" w:before="20" w:line="240" w:lineRule="auto"/>
            </w:pPr>
            <w:r/>
            <w:r>
              <w:rPr>
                <w:rFonts w:ascii="Arial" w:hAnsi="Arial" w:cs="Arial"/>
                <w:b w:val="0"/>
                <w:i w:val="0"/>
                <w:sz w:val="17"/>
              </w:rPr>
              <w:t>≠ Released</w:t>
            </w:r>
          </w:p>
        </w:tc>
      </w:tr>
      <w:tr>
        <w:tc>
          <w:tcPr>
            <w:tcW w:type="dxa" w:w="4819"/>
          </w:tcPr>
          <w:p>
            <w:pPr>
              <w:spacing w:after="20" w:before="20" w:line="240" w:lineRule="auto"/>
            </w:pPr>
            <w:r/>
            <w:r>
              <w:rPr>
                <w:rFonts w:ascii="Arial" w:hAnsi="Arial" w:cs="Arial"/>
                <w:b w:val="0"/>
                <w:i w:val="0"/>
                <w:sz w:val="17"/>
              </w:rPr>
              <w:t>Collateral Eligible</w:t>
            </w:r>
          </w:p>
        </w:tc>
        <w:tc>
          <w:tcPr>
            <w:tcW w:type="dxa" w:w="4819"/>
          </w:tcPr>
          <w:p>
            <w:pPr>
              <w:spacing w:after="20" w:before="20" w:line="240" w:lineRule="auto"/>
            </w:pPr>
            <w:r/>
            <w:r>
              <w:rPr>
                <w:rFonts w:ascii="Arial" w:hAnsi="Arial" w:cs="Arial"/>
                <w:b w:val="0"/>
                <w:i w:val="0"/>
                <w:sz w:val="17"/>
              </w:rPr>
              <w:t>≠ Collateral Actually Controlled</w:t>
            </w:r>
          </w:p>
        </w:tc>
      </w:tr>
      <w:tr>
        <w:tc>
          <w:tcPr>
            <w:tcW w:type="dxa" w:w="4819"/>
          </w:tcPr>
          <w:p>
            <w:pPr>
              <w:spacing w:after="20" w:before="20" w:line="240" w:lineRule="auto"/>
            </w:pPr>
            <w:r/>
            <w:r>
              <w:rPr>
                <w:rFonts w:ascii="Arial" w:hAnsi="Arial" w:cs="Arial"/>
                <w:b w:val="0"/>
                <w:i w:val="0"/>
                <w:sz w:val="17"/>
              </w:rPr>
              <w:t>Credit Score</w:t>
            </w:r>
          </w:p>
        </w:tc>
        <w:tc>
          <w:tcPr>
            <w:tcW w:type="dxa" w:w="4819"/>
          </w:tcPr>
          <w:p>
            <w:pPr>
              <w:spacing w:after="20" w:before="20" w:line="240" w:lineRule="auto"/>
            </w:pPr>
            <w:r/>
            <w:r>
              <w:rPr>
                <w:rFonts w:ascii="Arial" w:hAnsi="Arial" w:cs="Arial"/>
                <w:b w:val="0"/>
                <w:i w:val="0"/>
                <w:sz w:val="17"/>
              </w:rPr>
              <w:t>≠ Credit Decision</w:t>
            </w:r>
          </w:p>
        </w:tc>
      </w:tr>
      <w:tr>
        <w:tc>
          <w:tcPr>
            <w:tcW w:type="dxa" w:w="4819"/>
          </w:tcPr>
          <w:p>
            <w:pPr>
              <w:spacing w:after="20" w:before="20" w:line="240" w:lineRule="auto"/>
            </w:pPr>
            <w:r/>
            <w:r>
              <w:rPr>
                <w:rFonts w:ascii="Arial" w:hAnsi="Arial" w:cs="Arial"/>
                <w:b w:val="0"/>
                <w:i w:val="0"/>
                <w:sz w:val="17"/>
              </w:rPr>
              <w:t>AI Recommendation</w:t>
            </w:r>
          </w:p>
        </w:tc>
        <w:tc>
          <w:tcPr>
            <w:tcW w:type="dxa" w:w="4819"/>
          </w:tcPr>
          <w:p>
            <w:pPr>
              <w:spacing w:after="20" w:before="20" w:line="240" w:lineRule="auto"/>
            </w:pPr>
            <w:r/>
            <w:r>
              <w:rPr>
                <w:rFonts w:ascii="Arial" w:hAnsi="Arial" w:cs="Arial"/>
                <w:b w:val="0"/>
                <w:i w:val="0"/>
                <w:sz w:val="17"/>
              </w:rPr>
              <w:t>≠ Underwriting Approval</w:t>
            </w:r>
          </w:p>
        </w:tc>
      </w:tr>
      <w:tr>
        <w:tc>
          <w:tcPr>
            <w:tcW w:type="dxa" w:w="4819"/>
          </w:tcPr>
          <w:p>
            <w:pPr>
              <w:spacing w:after="20" w:before="20" w:line="240" w:lineRule="auto"/>
            </w:pPr>
            <w:r/>
            <w:r>
              <w:rPr>
                <w:rFonts w:ascii="Arial" w:hAnsi="Arial" w:cs="Arial"/>
                <w:b w:val="0"/>
                <w:i w:val="0"/>
                <w:sz w:val="17"/>
              </w:rPr>
              <w:t>Financing Fee</w:t>
            </w:r>
          </w:p>
        </w:tc>
        <w:tc>
          <w:tcPr>
            <w:tcW w:type="dxa" w:w="4819"/>
          </w:tcPr>
          <w:p>
            <w:pPr>
              <w:spacing w:after="20" w:before="20" w:line="240" w:lineRule="auto"/>
            </w:pPr>
            <w:r/>
            <w:r>
              <w:rPr>
                <w:rFonts w:ascii="Arial" w:hAnsi="Arial" w:cs="Arial"/>
                <w:b w:val="0"/>
                <w:i w:val="0"/>
                <w:sz w:val="17"/>
              </w:rPr>
              <w:t>≠ Trade Principal</w:t>
            </w:r>
          </w:p>
        </w:tc>
      </w:tr>
      <w:tr>
        <w:tc>
          <w:tcPr>
            <w:tcW w:type="dxa" w:w="4819"/>
          </w:tcPr>
          <w:p>
            <w:pPr>
              <w:spacing w:after="20" w:before="20" w:line="240" w:lineRule="auto"/>
            </w:pPr>
            <w:r/>
            <w:r>
              <w:rPr>
                <w:rFonts w:ascii="Arial" w:hAnsi="Arial" w:cs="Arial"/>
                <w:b w:val="0"/>
                <w:i w:val="0"/>
                <w:sz w:val="17"/>
              </w:rPr>
              <w:t>Financing</w:t>
            </w:r>
          </w:p>
        </w:tc>
        <w:tc>
          <w:tcPr>
            <w:tcW w:type="dxa" w:w="4819"/>
          </w:tcPr>
          <w:p>
            <w:pPr>
              <w:spacing w:after="20" w:before="20" w:line="240" w:lineRule="auto"/>
            </w:pPr>
            <w:r/>
            <w:r>
              <w:rPr>
                <w:rFonts w:ascii="Arial" w:hAnsi="Arial" w:cs="Arial"/>
                <w:b w:val="0"/>
                <w:i w:val="0"/>
                <w:sz w:val="17"/>
              </w:rPr>
              <w:t>≠ SGTX Custody of Trade Funds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Never collapse these states.</w:t>
      </w:r>
    </w:p>
    <w:p>
      <w:pPr>
        <w:keepNext/>
        <w:spacing w:before="240" w:after="100"/>
        <w:outlineLvl w:val="1"/>
      </w:pPr>
      <w:r>
        <w:rPr>
          <w:rFonts w:ascii="Arial" w:hAnsi="Arial" w:cs="Arial"/>
          <w:b/>
          <w:i w:val="0"/>
          <w:color w:val="2E528F"/>
          <w:sz w:val="26"/>
        </w:rPr>
        <w:t>10.3 Whole-Trade Financing Context</w:t>
      </w:r>
    </w:p>
    <w:p>
      <w:pPr>
        <w:spacing w:after="80" w:line="293" w:lineRule="auto"/>
        <w:jc w:val="left"/>
      </w:pPr>
      <w:r>
        <w:rPr>
          <w:rFonts w:ascii="Times New Roman" w:hAnsi="Times New Roman" w:cs="Times New Roman"/>
          <w:b w:val="0"/>
          <w:i w:val="0"/>
          <w:sz w:val="22"/>
        </w:rPr>
        <w:t>A financing request must reference: GTID, tenant, counterparty; contract, shipment, USTN; commodity, quantity, trade value, currency; Incoterm, origin, destination, logistics structure; required documents, payment structure, insurance; and the relevant shipment schedule. For multi-shipment trades, each financing request must explicitly identify the shipment(s) being financed.</w:t>
      </w:r>
    </w:p>
    <w:p>
      <w:pPr>
        <w:keepNext/>
        <w:spacing w:before="240" w:after="100"/>
        <w:outlineLvl w:val="1"/>
      </w:pPr>
      <w:r>
        <w:rPr>
          <w:rFonts w:ascii="Arial" w:hAnsi="Arial" w:cs="Arial"/>
          <w:b/>
          <w:i w:val="0"/>
          <w:color w:val="2E528F"/>
          <w:sz w:val="26"/>
        </w:rPr>
        <w:t>10.4 Financing Eligibility Gate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Check</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Trade</w:t>
            </w:r>
          </w:p>
        </w:tc>
        <w:tc>
          <w:tcPr>
            <w:tcW w:type="dxa" w:w="4819"/>
          </w:tcPr>
          <w:p>
            <w:pPr>
              <w:spacing w:after="20" w:before="20" w:line="240" w:lineRule="auto"/>
            </w:pPr>
            <w:r/>
            <w:r>
              <w:rPr>
                <w:rFonts w:ascii="Arial" w:hAnsi="Arial" w:cs="Arial"/>
                <w:b w:val="0"/>
                <w:i w:val="0"/>
                <w:sz w:val="17"/>
              </w:rPr>
              <w:t>Is there a valid locked trade?</w:t>
            </w:r>
          </w:p>
        </w:tc>
      </w:tr>
      <w:tr>
        <w:tc>
          <w:tcPr>
            <w:tcW w:type="dxa" w:w="4819"/>
          </w:tcPr>
          <w:p>
            <w:pPr>
              <w:spacing w:after="20" w:before="20" w:line="240" w:lineRule="auto"/>
            </w:pPr>
            <w:r/>
            <w:r>
              <w:rPr>
                <w:rFonts w:ascii="Arial" w:hAnsi="Arial" w:cs="Arial"/>
                <w:b w:val="0"/>
                <w:i w:val="0"/>
                <w:sz w:val="17"/>
              </w:rPr>
              <w:t>USTN</w:t>
            </w:r>
          </w:p>
        </w:tc>
        <w:tc>
          <w:tcPr>
            <w:tcW w:type="dxa" w:w="4819"/>
          </w:tcPr>
          <w:p>
            <w:pPr>
              <w:spacing w:after="20" w:before="20" w:line="240" w:lineRule="auto"/>
            </w:pPr>
            <w:r/>
            <w:r>
              <w:rPr>
                <w:rFonts w:ascii="Arial" w:hAnsi="Arial" w:cs="Arial"/>
                <w:b w:val="0"/>
                <w:i w:val="0"/>
                <w:sz w:val="17"/>
              </w:rPr>
              <w:t>Does the relevant shipment have a valid USTN?</w:t>
            </w:r>
          </w:p>
        </w:tc>
      </w:tr>
      <w:tr>
        <w:tc>
          <w:tcPr>
            <w:tcW w:type="dxa" w:w="4819"/>
          </w:tcPr>
          <w:p>
            <w:pPr>
              <w:spacing w:after="20" w:before="20" w:line="240" w:lineRule="auto"/>
            </w:pPr>
            <w:r/>
            <w:r>
              <w:rPr>
                <w:rFonts w:ascii="Arial" w:hAnsi="Arial" w:cs="Arial"/>
                <w:b w:val="0"/>
                <w:i w:val="0"/>
                <w:sz w:val="17"/>
              </w:rPr>
              <w:t>Counterparties</w:t>
            </w:r>
          </w:p>
        </w:tc>
        <w:tc>
          <w:tcPr>
            <w:tcW w:type="dxa" w:w="4819"/>
          </w:tcPr>
          <w:p>
            <w:pPr>
              <w:spacing w:after="20" w:before="20" w:line="240" w:lineRule="auto"/>
            </w:pPr>
            <w:r/>
            <w:r>
              <w:rPr>
                <w:rFonts w:ascii="Arial" w:hAnsi="Arial" w:cs="Arial"/>
                <w:b w:val="0"/>
                <w:i w:val="0"/>
                <w:sz w:val="17"/>
              </w:rPr>
              <w:t>Are required parties verified?</w:t>
            </w:r>
          </w:p>
        </w:tc>
      </w:tr>
      <w:tr>
        <w:tc>
          <w:tcPr>
            <w:tcW w:type="dxa" w:w="4819"/>
          </w:tcPr>
          <w:p>
            <w:pPr>
              <w:spacing w:after="20" w:before="20" w:line="240" w:lineRule="auto"/>
            </w:pPr>
            <w:r/>
            <w:r>
              <w:rPr>
                <w:rFonts w:ascii="Arial" w:hAnsi="Arial" w:cs="Arial"/>
                <w:b w:val="0"/>
                <w:i w:val="0"/>
                <w:sz w:val="17"/>
              </w:rPr>
              <w:t>Contract</w:t>
            </w:r>
          </w:p>
        </w:tc>
        <w:tc>
          <w:tcPr>
            <w:tcW w:type="dxa" w:w="4819"/>
          </w:tcPr>
          <w:p>
            <w:pPr>
              <w:spacing w:after="20" w:before="20" w:line="240" w:lineRule="auto"/>
            </w:pPr>
            <w:r/>
            <w:r>
              <w:rPr>
                <w:rFonts w:ascii="Arial" w:hAnsi="Arial" w:cs="Arial"/>
                <w:b w:val="0"/>
                <w:i w:val="0"/>
                <w:sz w:val="17"/>
              </w:rPr>
              <w:t>Is the contract valid and sufficiently final?</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Are required financing documents available?</w:t>
            </w:r>
          </w:p>
        </w:tc>
      </w:tr>
      <w:tr>
        <w:tc>
          <w:tcPr>
            <w:tcW w:type="dxa" w:w="4819"/>
          </w:tcPr>
          <w:p>
            <w:pPr>
              <w:spacing w:after="20" w:before="20" w:line="240" w:lineRule="auto"/>
            </w:pPr>
            <w:r/>
            <w:r>
              <w:rPr>
                <w:rFonts w:ascii="Arial" w:hAnsi="Arial" w:cs="Arial"/>
                <w:b w:val="0"/>
                <w:i w:val="0"/>
                <w:sz w:val="17"/>
              </w:rPr>
              <w:t>Compliance</w:t>
            </w:r>
          </w:p>
        </w:tc>
        <w:tc>
          <w:tcPr>
            <w:tcW w:type="dxa" w:w="4819"/>
          </w:tcPr>
          <w:p>
            <w:pPr>
              <w:spacing w:after="20" w:before="20" w:line="240" w:lineRule="auto"/>
            </w:pPr>
            <w:r/>
            <w:r>
              <w:rPr>
                <w:rFonts w:ascii="Arial" w:hAnsi="Arial" w:cs="Arial"/>
                <w:b w:val="0"/>
                <w:i w:val="0"/>
                <w:sz w:val="17"/>
              </w:rPr>
              <w:t>Are there regulatory/sanctions restrictions?</w:t>
            </w:r>
          </w:p>
        </w:tc>
      </w:tr>
      <w:tr>
        <w:tc>
          <w:tcPr>
            <w:tcW w:type="dxa" w:w="4819"/>
          </w:tcPr>
          <w:p>
            <w:pPr>
              <w:spacing w:after="20" w:before="20" w:line="240" w:lineRule="auto"/>
            </w:pPr>
            <w:r/>
            <w:r>
              <w:rPr>
                <w:rFonts w:ascii="Arial" w:hAnsi="Arial" w:cs="Arial"/>
                <w:b w:val="0"/>
                <w:i w:val="0"/>
                <w:sz w:val="17"/>
              </w:rPr>
              <w:t>Existing Financing</w:t>
            </w:r>
          </w:p>
        </w:tc>
        <w:tc>
          <w:tcPr>
            <w:tcW w:type="dxa" w:w="4819"/>
          </w:tcPr>
          <w:p>
            <w:pPr>
              <w:spacing w:after="20" w:before="20" w:line="240" w:lineRule="auto"/>
            </w:pPr>
            <w:r/>
            <w:r>
              <w:rPr>
                <w:rFonts w:ascii="Arial" w:hAnsi="Arial" w:cs="Arial"/>
                <w:b w:val="0"/>
                <w:i w:val="0"/>
                <w:sz w:val="17"/>
              </w:rPr>
              <w:t>Is the shipment already financed?</w:t>
            </w:r>
          </w:p>
        </w:tc>
      </w:tr>
      <w:tr>
        <w:tc>
          <w:tcPr>
            <w:tcW w:type="dxa" w:w="4819"/>
          </w:tcPr>
          <w:p>
            <w:pPr>
              <w:spacing w:after="20" w:before="20" w:line="240" w:lineRule="auto"/>
            </w:pPr>
            <w:r/>
            <w:r>
              <w:rPr>
                <w:rFonts w:ascii="Arial" w:hAnsi="Arial" w:cs="Arial"/>
                <w:b w:val="0"/>
                <w:i w:val="0"/>
                <w:sz w:val="17"/>
              </w:rPr>
              <w:t>Collateral</w:t>
            </w:r>
          </w:p>
        </w:tc>
        <w:tc>
          <w:tcPr>
            <w:tcW w:type="dxa" w:w="4819"/>
          </w:tcPr>
          <w:p>
            <w:pPr>
              <w:spacing w:after="20" w:before="20" w:line="240" w:lineRule="auto"/>
            </w:pPr>
            <w:r/>
            <w:r>
              <w:rPr>
                <w:rFonts w:ascii="Arial" w:hAnsi="Arial" w:cs="Arial"/>
                <w:b w:val="0"/>
                <w:i w:val="0"/>
                <w:sz w:val="17"/>
              </w:rPr>
              <w:t>Can proposed collateral support the request?</w:t>
            </w:r>
          </w:p>
        </w:tc>
      </w:tr>
      <w:tr>
        <w:tc>
          <w:tcPr>
            <w:tcW w:type="dxa" w:w="4819"/>
          </w:tcPr>
          <w:p>
            <w:pPr>
              <w:spacing w:after="20" w:before="20" w:line="240" w:lineRule="auto"/>
            </w:pPr>
            <w:r/>
            <w:r>
              <w:rPr>
                <w:rFonts w:ascii="Arial" w:hAnsi="Arial" w:cs="Arial"/>
                <w:b w:val="0"/>
                <w:i w:val="0"/>
                <w:sz w:val="17"/>
              </w:rPr>
              <w:t>Exposure</w:t>
            </w:r>
          </w:p>
        </w:tc>
        <w:tc>
          <w:tcPr>
            <w:tcW w:type="dxa" w:w="4819"/>
          </w:tcPr>
          <w:p>
            <w:pPr>
              <w:spacing w:after="20" w:before="20" w:line="240" w:lineRule="auto"/>
            </w:pPr>
            <w:r/>
            <w:r>
              <w:rPr>
                <w:rFonts w:ascii="Arial" w:hAnsi="Arial" w:cs="Arial"/>
                <w:b w:val="0"/>
                <w:i w:val="0"/>
                <w:sz w:val="17"/>
              </w:rPr>
              <w:t>Would new financing exceed permitted exposure?</w:t>
            </w:r>
          </w:p>
        </w:tc>
      </w:tr>
      <w:tr>
        <w:tc>
          <w:tcPr>
            <w:tcW w:type="dxa" w:w="4819"/>
          </w:tcPr>
          <w:p>
            <w:pPr>
              <w:spacing w:after="20" w:before="20" w:line="240" w:lineRule="auto"/>
            </w:pPr>
            <w:r/>
            <w:r>
              <w:rPr>
                <w:rFonts w:ascii="Arial" w:hAnsi="Arial" w:cs="Arial"/>
                <w:b w:val="0"/>
                <w:i w:val="0"/>
                <w:sz w:val="17"/>
              </w:rPr>
              <w:t>Conflicts</w:t>
            </w:r>
          </w:p>
        </w:tc>
        <w:tc>
          <w:tcPr>
            <w:tcW w:type="dxa" w:w="4819"/>
          </w:tcPr>
          <w:p>
            <w:pPr>
              <w:spacing w:after="20" w:before="20" w:line="240" w:lineRule="auto"/>
            </w:pPr>
            <w:r/>
            <w:r>
              <w:rPr>
                <w:rFonts w:ascii="Arial" w:hAnsi="Arial" w:cs="Arial"/>
                <w:b w:val="0"/>
                <w:i w:val="0"/>
                <w:sz w:val="17"/>
              </w:rPr>
              <w:t>Are there disputes, legal holds, or fraud indicators?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if an eligibility requirement fails, the request is not submitted — the blocker is explained.</w:t>
      </w:r>
    </w:p>
    <w:p>
      <w:pPr>
        <w:keepNext/>
        <w:spacing w:before="240" w:after="100"/>
        <w:outlineLvl w:val="1"/>
      </w:pPr>
      <w:r>
        <w:rPr>
          <w:rFonts w:ascii="Arial" w:hAnsi="Arial" w:cs="Arial"/>
          <w:b/>
          <w:i w:val="0"/>
          <w:color w:val="2E528F"/>
          <w:sz w:val="26"/>
        </w:rPr>
        <w:t>10.5 Financing Request Initiation</w:t>
      </w:r>
    </w:p>
    <w:p>
      <w:pPr>
        <w:spacing w:after="80" w:line="293" w:lineRule="auto"/>
        <w:jc w:val="left"/>
      </w:pPr>
      <w:r>
        <w:rPr>
          <w:rFonts w:ascii="Times New Roman" w:hAnsi="Times New Roman" w:cs="Times New Roman"/>
          <w:b w:val="0"/>
          <w:i w:val="0"/>
          <w:sz w:val="22"/>
        </w:rPr>
        <w:t>The borrower experience is a simple, structured request: what trade (USTN/shipment); how much (requested amount); why (purpose/financing type); when (tenor and expected repayment trigger); how (preferred settlement/disbursement method); what supports it (documents and collateral); what constraints (preferred financier criteria).</w:t>
      </w:r>
    </w:p>
    <w:p>
      <w:pPr>
        <w:spacing w:after="80" w:line="293" w:lineRule="auto"/>
        <w:jc w:val="left"/>
      </w:pPr>
      <w:r>
        <w:rPr>
          <w:rFonts w:ascii="Times New Roman" w:hAnsi="Times New Roman" w:cs="Times New Roman"/>
          <w:b w:val="0"/>
          <w:i w:val="0"/>
          <w:sz w:val="22"/>
        </w:rPr>
        <w:t>The borrower requests financing for a locked trade (or a specific shipment for multi-shipment trades). Request fields: requested amount (with maximum LTV recommendation displayed); financing type; tenor (days); preferred settlement method; preferred currency; collateral type; special instructions.</w:t>
      </w:r>
    </w:p>
    <w:p>
      <w:pPr>
        <w:spacing w:after="80" w:line="293" w:lineRule="auto"/>
        <w:jc w:val="left"/>
      </w:pPr>
      <w:r>
        <w:rPr>
          <w:rFonts w:ascii="Times New Roman" w:hAnsi="Times New Roman" w:cs="Times New Roman"/>
          <w:b w:val="0"/>
          <w:i w:val="0"/>
          <w:sz w:val="22"/>
        </w:rPr>
        <w:t>AI assistance: A1 (Groq) recommends the maximum LTV based on commodity perishability, jurisdiction, and historical default rates; A4 (OPA + WasmEdge) validates that the trade is LOCKED and that the borrower has permission.</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trade Mekong Fresh Co. → Nile Foods, total trade value $154,000, Incoterm CFR, commodity Fresh Oranges; requested amount $100,000 (max LTV recommendation 70% = $107,800); financing type pre-shipment; tenor 60 days; preferred settlement bank transfer; preferred currency USD; collateral type goods; special instructions "Seller needs working capital before harvest. Pre-shipment financing required." AI recommendation: "Maximum LTV of 70% recommended for perishable fresh fruit. Requested amount ($100,000) is within this limit."</w:t>
      </w:r>
    </w:p>
    <w:p>
      <w:pPr>
        <w:keepNext/>
        <w:spacing w:before="240" w:after="100"/>
        <w:outlineLvl w:val="1"/>
      </w:pPr>
      <w:r>
        <w:rPr>
          <w:rFonts w:ascii="Arial" w:hAnsi="Arial" w:cs="Arial"/>
          <w:b/>
          <w:i w:val="0"/>
          <w:color w:val="2E528F"/>
          <w:sz w:val="26"/>
        </w:rPr>
        <w:t>10.6 Financing Types (Configurable)</w:t>
      </w:r>
    </w:p>
    <w:p>
      <w:pPr>
        <w:spacing w:after="80" w:line="293" w:lineRule="auto"/>
        <w:jc w:val="left"/>
      </w:pPr>
      <w:r>
        <w:rPr>
          <w:rFonts w:ascii="Times New Roman" w:hAnsi="Times New Roman" w:cs="Times New Roman"/>
          <w:b w:val="0"/>
          <w:i w:val="0"/>
          <w:sz w:val="22"/>
        </w:rPr>
        <w:t>Pre-shipment finance; post-shipment finance; inventory/goods finance; receivables-backed finance; purchase-order finance; invoice finance; documentary trade finance; bridge finance. Product availability is policy/configuration driven, supporting future products without schema change.</w:t>
      </w:r>
    </w:p>
    <w:p>
      <w:pPr>
        <w:keepNext/>
        <w:spacing w:before="240" w:after="100"/>
        <w:outlineLvl w:val="1"/>
      </w:pPr>
      <w:r>
        <w:rPr>
          <w:rFonts w:ascii="Arial" w:hAnsi="Arial" w:cs="Arial"/>
          <w:b/>
          <w:i w:val="0"/>
          <w:color w:val="2E528F"/>
          <w:sz w:val="26"/>
        </w:rPr>
        <w:t>10.7 Financing Amount Control</w:t>
      </w:r>
    </w:p>
    <w:p>
      <w:pPr>
        <w:spacing w:after="80" w:line="293" w:lineRule="auto"/>
        <w:jc w:val="left"/>
      </w:pPr>
      <w:r>
        <w:rPr>
          <w:rFonts w:ascii="Times New Roman" w:hAnsi="Times New Roman" w:cs="Times New Roman"/>
          <w:b w:val="0"/>
          <w:i w:val="0"/>
          <w:sz w:val="22"/>
        </w:rPr>
        <w:t>Requested amounts are validated against: trade value; eligible percentage; collateral value; outstanding exposure; prior financing; shipment value; concentration limits; financier limits; product limits. Rule: never allow requested amount &gt; financeable amount without an explicit exception workflow.</w:t>
      </w:r>
    </w:p>
    <w:p>
      <w:pPr>
        <w:keepNext/>
        <w:spacing w:before="180" w:after="80"/>
        <w:outlineLvl w:val="2"/>
      </w:pPr>
      <w:r>
        <w:rPr>
          <w:rFonts w:ascii="Arial" w:hAnsi="Arial" w:cs="Arial"/>
          <w:b/>
          <w:i w:val="0"/>
          <w:color w:val="333333"/>
          <w:sz w:val="23"/>
        </w:rPr>
        <w:t>10.7.1 Execution Readiness Reference (ERR)</w:t>
      </w:r>
    </w:p>
    <w:p>
      <w:pPr>
        <w:spacing w:after="80" w:line="293" w:lineRule="auto"/>
        <w:jc w:val="left"/>
      </w:pPr>
      <w:r>
        <w:rPr>
          <w:rFonts w:ascii="Times New Roman" w:hAnsi="Times New Roman" w:cs="Times New Roman"/>
          <w:b w:val="0"/>
          <w:i w:val="0"/>
          <w:sz w:val="22"/>
        </w:rPr>
        <w:t>The Execution Readiness Reference is a generalized, configuration-driven reference model that computes execution readiness and candidate responsibility mappings for a financing context. ERR replaces any hard-coded per-Incoterm financing logic: it consults the Incoterm responsibility framework (Section 6.4), the dependency graph (Section 19.67.1), and the corridor profile (Section 20.41) to produce a readiness reference for the parties negotiating a financing arrangement.</w:t>
      </w:r>
    </w:p>
    <w:p>
      <w:pPr>
        <w:spacing w:after="80" w:line="293" w:lineRule="auto"/>
        <w:jc w:val="left"/>
      </w:pPr>
      <w:r>
        <w:rPr>
          <w:rFonts w:ascii="Times New Roman" w:hAnsi="Times New Roman" w:cs="Times New Roman"/>
          <w:b w:val="0"/>
          <w:i w:val="0"/>
          <w:sz w:val="22"/>
        </w:rPr>
        <w:t>ERR input dimensions: Incoterm; responsibility map; risk transfer point; physical execution party; financing party / obligation owner; settlement structure; payment structure; evidence requirements; disbursement triggers; insurance requirements; jurisdiction; regulatory profile; financing product; tenor; exposure.</w:t>
      </w:r>
    </w:p>
    <w:p>
      <w:pPr>
        <w:spacing w:after="80" w:line="293" w:lineRule="auto"/>
        <w:jc w:val="left"/>
      </w:pPr>
      <w:r>
        <w:rPr>
          <w:rFonts w:ascii="Times New Roman" w:hAnsi="Times New Roman" w:cs="Times New Roman"/>
          <w:b w:val="0"/>
          <w:i w:val="0"/>
          <w:sz w:val="22"/>
        </w:rPr>
        <w:t>ERR outputs: candidate financing party; candidate responsibility mapping; required evidence set; recommended disbursement trigger; execution prerequisites; risk-transfer implications; insurance requirements; jurisdictional constraints.</w:t>
      </w:r>
    </w:p>
    <w:p>
      <w:pPr>
        <w:spacing w:after="80" w:line="293" w:lineRule="auto"/>
        <w:jc w:val="left"/>
      </w:pPr>
      <w:r>
        <w:rPr>
          <w:rFonts w:ascii="Times New Roman" w:hAnsi="Times New Roman" w:cs="Times New Roman"/>
          <w:b w:val="0"/>
          <w:i w:val="0"/>
          <w:sz w:val="22"/>
        </w:rPr>
        <w:t>ERR boundaries are absolute: ERR does not perform credit underwriting; ERR does not decide who the borrower is; ERR does not automatically approve financing; ERR does not override financier policy. ERR output is advisory reference data for the financing negotiation; every financing decision remains with the financier under its own policy, and the financing agreement (Section 10.25) records the actual roles agreed by the parties. ERR results are versioned with the policy and configuration versions used to compute them, and are recorded as advisory context on the financing request.</w:t>
      </w:r>
    </w:p>
    <w:p>
      <w:pPr>
        <w:keepNext/>
        <w:spacing w:before="240" w:after="100"/>
        <w:outlineLvl w:val="1"/>
      </w:pPr>
      <w:r>
        <w:rPr>
          <w:rFonts w:ascii="Arial" w:hAnsi="Arial" w:cs="Arial"/>
          <w:b/>
          <w:i w:val="0"/>
          <w:color w:val="2E528F"/>
          <w:sz w:val="26"/>
        </w:rPr>
        <w:t>10.8 AI Credit Intelligence</w:t>
      </w:r>
    </w:p>
    <w:p>
      <w:pPr>
        <w:spacing w:after="80" w:line="293" w:lineRule="auto"/>
        <w:jc w:val="left"/>
      </w:pPr>
      <w:r>
        <w:rPr>
          <w:rFonts w:ascii="Times New Roman" w:hAnsi="Times New Roman" w:cs="Times New Roman"/>
          <w:b w:val="0"/>
          <w:i w:val="0"/>
          <w:sz w:val="22"/>
        </w:rPr>
        <w:t>AI analyses: SGTX trading history; repayment history; disputes; delivery performance; counterparty behaviour; jurisdiction; commodity characteristics; logistics risk; transaction size; concentration; document consistency; fraud indicators; historical financing; existing obligations.</w:t>
      </w:r>
    </w:p>
    <w:p>
      <w:pPr>
        <w:spacing w:after="80" w:line="293" w:lineRule="auto"/>
        <w:jc w:val="left"/>
      </w:pPr>
      <w:r>
        <w:rPr>
          <w:rFonts w:ascii="Times New Roman" w:hAnsi="Times New Roman" w:cs="Times New Roman"/>
          <w:b w:val="0"/>
          <w:i w:val="0"/>
          <w:sz w:val="22"/>
        </w:rPr>
        <w:t>Output: Credit Intelligence Score; Estimated Default Probability; Suggested Exposure/LTV; Primary Risk Drivers; Positive Risk Drivers; Data Quality; Missing Evidence; Model Timestamp; Model Version; Human Review Requirement. Rule: never show an AI score without provenance.</w:t>
      </w:r>
    </w:p>
    <w:p>
      <w:pPr>
        <w:spacing w:after="80" w:line="293" w:lineRule="auto"/>
        <w:jc w:val="left"/>
      </w:pPr>
      <w:r>
        <w:rPr>
          <w:rFonts w:ascii="Times New Roman" w:hAnsi="Times New Roman" w:cs="Times New Roman"/>
          <w:b w:val="0"/>
          <w:i w:val="0"/>
          <w:sz w:val="22"/>
        </w:rPr>
        <w:t>The Credit Intelligence Agent (A2, XGBoost) computes the borrower's credit score and default probability from 200+ signals across the categories above. Borrower view example: credit score 78/100; default probability 4.2%; recommended LTV 70%. Risk factors: route risk moderate (port congestion at Alexandria); payment history 100% on-time; dispute history 0 disputes in 12 months; commodity perishable — timing risk; corporate — no sanctions flags, no PEP exposure. AI summary (A1, Groq): "This borrower has a strong credit profile (78/100). Their payment history is excellent (100% on-time), and they have no dispute history. The primary risk is the perishable nature of the commodity and moderate route risk. Default probability is low at 4.2%."</w:t>
      </w:r>
    </w:p>
    <w:p>
      <w:pPr>
        <w:keepNext/>
        <w:spacing w:before="240" w:after="100"/>
        <w:outlineLvl w:val="1"/>
      </w:pPr>
      <w:r>
        <w:rPr>
          <w:rFonts w:ascii="Arial" w:hAnsi="Arial" w:cs="Arial"/>
          <w:b/>
          <w:i w:val="0"/>
          <w:color w:val="2E528F"/>
          <w:sz w:val="26"/>
        </w:rPr>
        <w:t>10.9 AI Credit Is Not the Credit Decision</w:t>
      </w:r>
    </w:p>
    <w:p>
      <w:pPr>
        <w:spacing w:after="80" w:line="293" w:lineRule="auto"/>
        <w:jc w:val="left"/>
      </w:pPr>
      <w:r>
        <w:rPr>
          <w:rFonts w:ascii="Times New Roman" w:hAnsi="Times New Roman" w:cs="Times New Roman"/>
          <w:b w:val="0"/>
          <w:i w:val="0"/>
          <w:sz w:val="22"/>
        </w:rPr>
        <w:t>AI cannot independently: approve financing; reject financing; change financing limits; authorise disbursement; call a margin event; release collateral; or declare default. AI produces a DecisionSuggestion; the authorised financier/institution makes the actual decision.</w:t>
      </w:r>
    </w:p>
    <w:p>
      <w:pPr>
        <w:keepNext/>
        <w:spacing w:before="240" w:after="100"/>
        <w:outlineLvl w:val="1"/>
      </w:pPr>
      <w:r>
        <w:rPr>
          <w:rFonts w:ascii="Arial" w:hAnsi="Arial" w:cs="Arial"/>
          <w:b/>
          <w:i w:val="0"/>
          <w:color w:val="2E528F"/>
          <w:sz w:val="26"/>
        </w:rPr>
        <w:t>10.10 Explainability</w:t>
      </w:r>
    </w:p>
    <w:p>
      <w:pPr>
        <w:spacing w:after="80" w:line="293" w:lineRule="auto"/>
        <w:jc w:val="left"/>
      </w:pPr>
      <w:r>
        <w:rPr>
          <w:rFonts w:ascii="Times New Roman" w:hAnsi="Times New Roman" w:cs="Times New Roman"/>
          <w:b w:val="0"/>
          <w:i w:val="0"/>
          <w:sz w:val="22"/>
        </w:rPr>
        <w:t>Every material AI recommendation must be traceable to: model/version; data snapshot; input categories; major risk signals; calculation timestamp. Where the model cannot provide meaningful explainability, an appropriate limitation is displayed.</w:t>
      </w:r>
    </w:p>
    <w:p>
      <w:pPr>
        <w:keepNext/>
        <w:spacing w:before="240" w:after="100"/>
        <w:outlineLvl w:val="1"/>
      </w:pPr>
      <w:r>
        <w:rPr>
          <w:rFonts w:ascii="Arial" w:hAnsi="Arial" w:cs="Arial"/>
          <w:b/>
          <w:i w:val="0"/>
          <w:color w:val="2E528F"/>
          <w:sz w:val="26"/>
        </w:rPr>
        <w:t>10.11 Data Quality Score</w:t>
      </w:r>
    </w:p>
    <w:p>
      <w:pPr>
        <w:spacing w:after="80" w:line="293" w:lineRule="auto"/>
        <w:jc w:val="left"/>
      </w:pPr>
      <w:r>
        <w:rPr>
          <w:rFonts w:ascii="Times New Roman" w:hAnsi="Times New Roman" w:cs="Times New Roman"/>
          <w:b w:val="0"/>
          <w:i w:val="0"/>
          <w:sz w:val="22"/>
        </w:rPr>
        <w:t>Explicit financing data completeness indicator, for example: "92% complete — Missing: recent management accounts, insurance certificate, updated shipment booking." Rule: lack of data is not automatically low credit quality.</w:t>
      </w:r>
    </w:p>
    <w:p>
      <w:pPr>
        <w:keepNext/>
        <w:spacing w:before="240" w:after="100"/>
        <w:outlineLvl w:val="1"/>
      </w:pPr>
      <w:r>
        <w:rPr>
          <w:rFonts w:ascii="Arial" w:hAnsi="Arial" w:cs="Arial"/>
          <w:b/>
          <w:i w:val="0"/>
          <w:color w:val="2E528F"/>
          <w:sz w:val="26"/>
        </w:rPr>
        <w:t>10.12 Financing RFQ</w:t>
      </w:r>
    </w:p>
    <w:p>
      <w:pPr>
        <w:spacing w:after="80" w:line="293" w:lineRule="auto"/>
        <w:jc w:val="left"/>
      </w:pPr>
      <w:r>
        <w:rPr>
          <w:rFonts w:ascii="Times New Roman" w:hAnsi="Times New Roman" w:cs="Times New Roman"/>
          <w:b w:val="0"/>
          <w:i w:val="0"/>
          <w:sz w:val="22"/>
        </w:rPr>
        <w:t>Automatic RFQ broadcasting with policy-controlled matching. Matching may consider: jurisdiction; requested amount; currency; tenor; product; commodity; settlement method; financing structure; risk tolerance; concentration; financing limits; sanctions/compliance; financier availability.</w:t>
      </w:r>
    </w:p>
    <w:p>
      <w:pPr>
        <w:spacing w:after="80" w:line="293" w:lineRule="auto"/>
        <w:jc w:val="left"/>
      </w:pPr>
      <w:r>
        <w:rPr>
          <w:rFonts w:ascii="Times New Roman" w:hAnsi="Times New Roman" w:cs="Times New Roman"/>
          <w:b w:val="0"/>
          <w:i w:val="0"/>
          <w:sz w:val="22"/>
        </w:rPr>
        <w:t>The system automatically broadcasts the financing request to all matching financiers (background, zero clicks). Matching logic: query the financier preferences for all active financiers; filter financiers whose preferences match the borrower's request — accepted borrower countries; minimum borrower trust score; minimum trade value; maximum financed amount; preferred financing types; preferred settlement methods; geographic restrictions. For each matching financier, an RFQ is created and delivered via Smart Inbox item (priority based on match score), email (if the financier enabled notifications), and API webhook (if the financier is integrated).</w:t>
      </w:r>
    </w:p>
    <w:p>
      <w:pPr>
        <w:spacing w:after="80" w:line="293" w:lineRule="auto"/>
        <w:jc w:val="left"/>
      </w:pPr>
      <w:r>
        <w:rPr>
          <w:rFonts w:ascii="Times New Roman" w:hAnsi="Times New Roman" w:cs="Times New Roman"/>
          <w:b w:val="0"/>
          <w:i w:val="0"/>
          <w:sz w:val="22"/>
        </w:rPr>
        <w:t>Match Score (A1, Groq): a composite score (0–100) representing how well the request aligns with the financier's preferences and historical success patterns. Financier Smart Inbox example: "New Financing Opportunity — Nile Foods (Egypt). Amount: $100,000 | Tenor: 60 days | Pre-shipment. Match Score: 94 (high) | Window closes in 4h." Actions: View Details; Decline.</w:t>
      </w:r>
    </w:p>
    <w:p>
      <w:pPr>
        <w:keepNext/>
        <w:spacing w:before="240" w:after="100"/>
        <w:outlineLvl w:val="1"/>
      </w:pPr>
      <w:r>
        <w:rPr>
          <w:rFonts w:ascii="Arial" w:hAnsi="Arial" w:cs="Arial"/>
          <w:b/>
          <w:i w:val="0"/>
          <w:color w:val="2E528F"/>
          <w:sz w:val="26"/>
        </w:rPr>
        <w:t>10.13 Financier Preference Engine (Versioned)</w:t>
      </w:r>
    </w:p>
    <w:p>
      <w:pPr>
        <w:spacing w:after="80" w:line="293" w:lineRule="auto"/>
        <w:jc w:val="left"/>
      </w:pPr>
      <w:r>
        <w:rPr>
          <w:rFonts w:ascii="Times New Roman" w:hAnsi="Times New Roman" w:cs="Times New Roman"/>
          <w:b w:val="0"/>
          <w:i w:val="0"/>
          <w:sz w:val="22"/>
        </w:rPr>
        <w:t>Preferences stored and versioned: minimum trust score; maximum exposure; preferred jurisdictions; excluded jurisdictions; minimum/maximum tenor; eligible commodities; preferred currencies; settlement preferences; required collateral; maximum LTV; risk tolerance; accepted borrower countries; minimum trade value; maximum financed amount; preferred financing types; geographic restrictions. Rule: a preference update must never retroactively rewrite historical matching decisions.</w:t>
      </w:r>
    </w:p>
    <w:p>
      <w:pPr>
        <w:keepNext/>
        <w:spacing w:before="240" w:after="100"/>
        <w:outlineLvl w:val="1"/>
      </w:pPr>
      <w:r>
        <w:rPr>
          <w:rFonts w:ascii="Arial" w:hAnsi="Arial" w:cs="Arial"/>
          <w:b/>
          <w:i w:val="0"/>
          <w:color w:val="2E528F"/>
          <w:sz w:val="26"/>
        </w:rPr>
        <w:t>10.14 RFQ Matching Transparency</w:t>
      </w:r>
    </w:p>
    <w:p>
      <w:pPr>
        <w:spacing w:after="80" w:line="293" w:lineRule="auto"/>
        <w:jc w:val="left"/>
      </w:pPr>
      <w:r>
        <w:rPr>
          <w:rFonts w:ascii="Times New Roman" w:hAnsi="Times New Roman" w:cs="Times New Roman"/>
          <w:b w:val="0"/>
          <w:i w:val="0"/>
          <w:sz w:val="22"/>
        </w:rPr>
        <w:t>The system internally stores: why financier A received an RFQ; why financier B did not; which preference matched; which rule excluded a financier. This is essential for institutional auditability.</w:t>
      </w:r>
    </w:p>
    <w:p>
      <w:pPr>
        <w:keepNext/>
        <w:spacing w:before="240" w:after="100"/>
        <w:outlineLvl w:val="1"/>
      </w:pPr>
      <w:r>
        <w:rPr>
          <w:rFonts w:ascii="Arial" w:hAnsi="Arial" w:cs="Arial"/>
          <w:b/>
          <w:i w:val="0"/>
          <w:color w:val="2E528F"/>
          <w:sz w:val="26"/>
        </w:rPr>
        <w:t>10.15 Financier Confidentiality</w:t>
      </w:r>
    </w:p>
    <w:p>
      <w:pPr>
        <w:spacing w:after="80" w:line="293" w:lineRule="auto"/>
        <w:jc w:val="left"/>
      </w:pPr>
      <w:r>
        <w:rPr>
          <w:rFonts w:ascii="Times New Roman" w:hAnsi="Times New Roman" w:cs="Times New Roman"/>
          <w:b w:val="0"/>
          <w:i w:val="0"/>
          <w:sz w:val="22"/>
        </w:rPr>
        <w:t>The financier receives only authorised information. Where full disclosure is permitted: legal identity, GTID, jurisdiction, KYB state, trade details, USTN, documents, historical performance, financing history, and AI credit intelligence.</w:t>
      </w:r>
    </w:p>
    <w:p>
      <w:pPr>
        <w:spacing w:after="80" w:line="293" w:lineRule="auto"/>
        <w:jc w:val="left"/>
      </w:pPr>
      <w:r>
        <w:rPr>
          <w:rFonts w:ascii="Times New Roman" w:hAnsi="Times New Roman" w:cs="Times New Roman"/>
          <w:b w:val="0"/>
          <w:i w:val="0"/>
          <w:sz w:val="22"/>
        </w:rPr>
        <w:t>The platform's default financing model operates at full disclosure (Level 4) where policy permits — financiers see complete trade details before bidding. What the financier sees:</w:t>
      </w:r>
    </w:p>
    <w:p>
      <w:pPr>
        <w:spacing w:after="80" w:line="293" w:lineRule="auto"/>
        <w:jc w:val="left"/>
      </w:pPr>
      <w:r>
        <w:rPr>
          <w:rFonts w:ascii="Times New Roman" w:hAnsi="Times New Roman" w:cs="Times New Roman"/>
          <w:b w:val="0"/>
          <w:i w:val="0"/>
          <w:sz w:val="22"/>
        </w:rPr>
        <w:t>1. Trade Overview: USTN, commodity with full HS code, total trade value, Incoterm, ports, vessel, ETD/ETA; contract type (single-shipment or multi-shipment); trade criticality. 2. Counterparty Details: buyer and seller full legal names, GTIDs, jurisdictions, trust scores, KYB tier, sanctions clearance badge; relationship health score (if available); block status. 3. All Documents (read-only): commercial invoice; packing list; booking confirmation; eBL; QC report; insurance certificate; any other uploaded documents. 4. Historical Performance: number of previous trades; total trade value; dispute rate; on-time delivery percentage; average payment delay. 5. Previous Financing History: number of financing requests; total financed amount; repayment performance (on-time, late, default); existing active loans. 6. AI Credit Intelligence: credit score; default probability; recommended LTV; risk summary (A1, Groq); credit score trend (line chart over the last 12 months with financing events).</w:t>
      </w:r>
    </w:p>
    <w:p>
      <w:pPr>
        <w:spacing w:after="80" w:line="293" w:lineRule="auto"/>
        <w:jc w:val="left"/>
      </w:pPr>
      <w:r>
        <w:rPr>
          <w:rFonts w:ascii="Times New Roman" w:hAnsi="Times New Roman" w:cs="Times New Roman"/>
          <w:b w:val="0"/>
          <w:i w:val="0"/>
          <w:sz w:val="22"/>
        </w:rPr>
        <w:t>Example disclosure view: USTN SGTX-EG-26-F3A-1; commodity Fresh Oranges (HS 0805.10); total trade value $154,000; Incoterm CFR; ports Damietta → Alexandria; vessel MSC FIONA, ETD 20 Jun 2026, ETA 05 Jul 2026; trade criticality PRIORITY. Buyer Nile Foods (SGTX-EG-TRD-001234-5B6C), trust score 88, KYB Tier 2, sanctions cleared. Seller Mekong Fresh Co. (SGTX-VN-TRD-002139-7F3A), trust score 92, KYB Tier 2, sanctions cleared. Relationship health 87/100. Documents: Commercial Invoice (INV-STR-2026-001); Packing List (PL-2026-001); Bill of Lading (eBL-2026-001); QC Report (CONDITIONAL_PASS); Insurance Certificate (INS-2026-001). Historical performance — Nile Foods: 47 trades, $4.2M total value, 2.1% dispute rate, 96.8% on-time delivery, 1.2 days average payment delay. Previous financing history — Nile Foods: 12 requests, $1.8M total financed, 11 on-time repayments, 1 late, 0 defaults, 2 existing active loans.</w:t>
      </w:r>
    </w:p>
    <w:p>
      <w:pPr>
        <w:keepNext/>
        <w:spacing w:before="240" w:after="100"/>
        <w:outlineLvl w:val="1"/>
      </w:pPr>
      <w:r>
        <w:rPr>
          <w:rFonts w:ascii="Arial" w:hAnsi="Arial" w:cs="Arial"/>
          <w:b/>
          <w:i w:val="0"/>
          <w:color w:val="2E528F"/>
          <w:sz w:val="26"/>
        </w:rPr>
        <w:t>10.16 Data Disclosure Levels (Configurable)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Level</w:t>
            </w:r>
          </w:p>
        </w:tc>
        <w:tc>
          <w:tcPr>
            <w:tcW w:type="dxa" w:w="4819"/>
            <w:shd w:val="clear" w:fill="D9E2F3"/>
          </w:tcPr>
          <w:p>
            <w:pPr>
              <w:spacing w:after="20" w:before="20" w:line="240" w:lineRule="auto"/>
            </w:pPr>
            <w:r/>
            <w:r>
              <w:rPr>
                <w:rFonts w:ascii="Arial" w:hAnsi="Arial" w:cs="Arial"/>
                <w:b/>
                <w:i w:val="0"/>
                <w:sz w:val="18"/>
              </w:rPr>
              <w:t>Contents</w:t>
            </w:r>
          </w:p>
        </w:tc>
      </w:tr>
      <w:tr>
        <w:tc>
          <w:tcPr>
            <w:tcW w:type="dxa" w:w="4819"/>
          </w:tcPr>
          <w:p>
            <w:pPr>
              <w:spacing w:after="20" w:before="20" w:line="240" w:lineRule="auto"/>
            </w:pPr>
            <w:r/>
            <w:r>
              <w:rPr>
                <w:rFonts w:ascii="Arial" w:hAnsi="Arial" w:cs="Arial"/>
                <w:b w:val="0"/>
                <w:i w:val="0"/>
                <w:sz w:val="17"/>
              </w:rPr>
              <w:t>1 — Anonymised</w:t>
            </w:r>
          </w:p>
        </w:tc>
        <w:tc>
          <w:tcPr>
            <w:tcW w:type="dxa" w:w="4819"/>
          </w:tcPr>
          <w:p>
            <w:pPr>
              <w:spacing w:after="20" w:before="20" w:line="240" w:lineRule="auto"/>
            </w:pPr>
            <w:r/>
            <w:r>
              <w:rPr>
                <w:rFonts w:ascii="Arial" w:hAnsi="Arial" w:cs="Arial"/>
                <w:b w:val="0"/>
                <w:i w:val="0"/>
                <w:sz w:val="17"/>
              </w:rPr>
              <w:t>Financing opportunity, no identifiers</w:t>
            </w:r>
          </w:p>
        </w:tc>
      </w:tr>
      <w:tr>
        <w:tc>
          <w:tcPr>
            <w:tcW w:type="dxa" w:w="4819"/>
          </w:tcPr>
          <w:p>
            <w:pPr>
              <w:spacing w:after="20" w:before="20" w:line="240" w:lineRule="auto"/>
            </w:pPr>
            <w:r/>
            <w:r>
              <w:rPr>
                <w:rFonts w:ascii="Arial" w:hAnsi="Arial" w:cs="Arial"/>
                <w:b w:val="0"/>
                <w:i w:val="0"/>
                <w:sz w:val="17"/>
              </w:rPr>
              <w:t>2 — Trade-Level</w:t>
            </w:r>
          </w:p>
        </w:tc>
        <w:tc>
          <w:tcPr>
            <w:tcW w:type="dxa" w:w="4819"/>
          </w:tcPr>
          <w:p>
            <w:pPr>
              <w:spacing w:after="20" w:before="20" w:line="240" w:lineRule="auto"/>
            </w:pPr>
            <w:r/>
            <w:r>
              <w:rPr>
                <w:rFonts w:ascii="Arial" w:hAnsi="Arial" w:cs="Arial"/>
                <w:b w:val="0"/>
                <w:i w:val="0"/>
                <w:sz w:val="17"/>
              </w:rPr>
              <w:t>Trade details, no party identity</w:t>
            </w:r>
          </w:p>
        </w:tc>
      </w:tr>
      <w:tr>
        <w:tc>
          <w:tcPr>
            <w:tcW w:type="dxa" w:w="4819"/>
          </w:tcPr>
          <w:p>
            <w:pPr>
              <w:spacing w:after="20" w:before="20" w:line="240" w:lineRule="auto"/>
            </w:pPr>
            <w:r/>
            <w:r>
              <w:rPr>
                <w:rFonts w:ascii="Arial" w:hAnsi="Arial" w:cs="Arial"/>
                <w:b w:val="0"/>
                <w:i w:val="0"/>
                <w:sz w:val="17"/>
              </w:rPr>
              <w:t>3 — Verified Party</w:t>
            </w:r>
          </w:p>
        </w:tc>
        <w:tc>
          <w:tcPr>
            <w:tcW w:type="dxa" w:w="4819"/>
          </w:tcPr>
          <w:p>
            <w:pPr>
              <w:spacing w:after="20" w:before="20" w:line="240" w:lineRule="auto"/>
            </w:pPr>
            <w:r/>
            <w:r>
              <w:rPr>
                <w:rFonts w:ascii="Arial" w:hAnsi="Arial" w:cs="Arial"/>
                <w:b w:val="0"/>
                <w:i w:val="0"/>
                <w:sz w:val="17"/>
              </w:rPr>
              <w:t>Legal identity, KYB state</w:t>
            </w:r>
          </w:p>
        </w:tc>
      </w:tr>
      <w:tr>
        <w:tc>
          <w:tcPr>
            <w:tcW w:type="dxa" w:w="4819"/>
          </w:tcPr>
          <w:p>
            <w:pPr>
              <w:spacing w:after="20" w:before="20" w:line="240" w:lineRule="auto"/>
            </w:pPr>
            <w:r/>
            <w:r>
              <w:rPr>
                <w:rFonts w:ascii="Arial" w:hAnsi="Arial" w:cs="Arial"/>
                <w:b w:val="0"/>
                <w:i w:val="0"/>
                <w:sz w:val="17"/>
              </w:rPr>
              <w:t>4 — Full Diligence</w:t>
            </w:r>
          </w:p>
        </w:tc>
        <w:tc>
          <w:tcPr>
            <w:tcW w:type="dxa" w:w="4819"/>
          </w:tcPr>
          <w:p>
            <w:pPr>
              <w:spacing w:after="20" w:before="20" w:line="240" w:lineRule="auto"/>
            </w:pPr>
            <w:r/>
            <w:r>
              <w:rPr>
                <w:rFonts w:ascii="Arial" w:hAnsi="Arial" w:cs="Arial"/>
                <w:b w:val="0"/>
                <w:i w:val="0"/>
                <w:sz w:val="17"/>
              </w:rPr>
              <w:t>Complete financing package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never jump to full disclosure merely because a user opens an RFQ.</w:t>
      </w:r>
    </w:p>
    <w:p>
      <w:pPr>
        <w:keepNext/>
        <w:spacing w:before="240" w:after="100"/>
        <w:outlineLvl w:val="1"/>
      </w:pPr>
      <w:r>
        <w:rPr>
          <w:rFonts w:ascii="Arial" w:hAnsi="Arial" w:cs="Arial"/>
          <w:b/>
          <w:i w:val="0"/>
          <w:color w:val="2E528F"/>
          <w:sz w:val="26"/>
        </w:rPr>
        <w:t>10.17 Financing Bid</w:t>
      </w:r>
    </w:p>
    <w:p>
      <w:pPr>
        <w:spacing w:after="80" w:line="293" w:lineRule="auto"/>
        <w:jc w:val="left"/>
      </w:pPr>
      <w:r>
        <w:rPr>
          <w:rFonts w:ascii="Times New Roman" w:hAnsi="Times New Roman" w:cs="Times New Roman"/>
          <w:b w:val="0"/>
          <w:i w:val="0"/>
          <w:sz w:val="22"/>
        </w:rPr>
        <w:t>Each bid must specify: financier; amount; rate/APR/all-in cost; tenor; collateral requirement; settlement method; conditions; expiry; notes. Bids are encrypted; blind bidding integrity is preserved.</w:t>
      </w:r>
    </w:p>
    <w:p>
      <w:pPr>
        <w:spacing w:after="80" w:line="293" w:lineRule="auto"/>
        <w:jc w:val="left"/>
      </w:pPr>
      <w:r>
        <w:rPr>
          <w:rFonts w:ascii="Times New Roman" w:hAnsi="Times New Roman" w:cs="Times New Roman"/>
          <w:b w:val="0"/>
          <w:i w:val="0"/>
          <w:sz w:val="22"/>
        </w:rPr>
        <w:t>Bids can be for a portion of the total request (enabling co-financing). Bid form fields: amount offered (with co-financing portion indication); APR (with market benchmark); collateral requirements; settlement method; conditions; note to borrower. Encryption &amp; blind bidding: the bid is encrypted with the borrower's public key on the client side before transmission — even SGTX cannot read the bid until the borrower decrypts it after the bidding window closes.</w:t>
      </w:r>
    </w:p>
    <w:p>
      <w:pPr>
        <w:keepNext/>
        <w:spacing w:before="240" w:after="100"/>
        <w:outlineLvl w:val="1"/>
      </w:pPr>
      <w:r>
        <w:rPr>
          <w:rFonts w:ascii="Arial" w:hAnsi="Arial" w:cs="Arial"/>
          <w:b/>
          <w:i w:val="0"/>
          <w:color w:val="2E528F"/>
          <w:sz w:val="26"/>
        </w:rPr>
        <w:t>10.18 Bid Versioning</w:t>
      </w:r>
    </w:p>
    <w:p>
      <w:pPr>
        <w:spacing w:after="80" w:line="293" w:lineRule="auto"/>
        <w:jc w:val="left"/>
      </w:pPr>
      <w:r>
        <w:rPr>
          <w:rFonts w:ascii="Times New Roman" w:hAnsi="Times New Roman" w:cs="Times New Roman"/>
          <w:b w:val="0"/>
          <w:i w:val="0"/>
          <w:sz w:val="22"/>
        </w:rPr>
        <w:t>A financier can never silently edit an existing bid — changes create a new version (Bid v1 → v2 → v3), and historical versions remain auditable.</w:t>
      </w:r>
    </w:p>
    <w:p>
      <w:pPr>
        <w:keepNext/>
        <w:spacing w:before="240" w:after="100"/>
        <w:outlineLvl w:val="1"/>
      </w:pPr>
      <w:r>
        <w:rPr>
          <w:rFonts w:ascii="Arial" w:hAnsi="Arial" w:cs="Arial"/>
          <w:b/>
          <w:i w:val="0"/>
          <w:color w:val="2E528F"/>
          <w:sz w:val="26"/>
        </w:rPr>
        <w:t>10.19 Blind Bidding Integrity</w:t>
      </w:r>
    </w:p>
    <w:p>
      <w:pPr>
        <w:spacing w:after="80" w:line="293" w:lineRule="auto"/>
        <w:jc w:val="left"/>
      </w:pPr>
      <w:r>
        <w:rPr>
          <w:rFonts w:ascii="Times New Roman" w:hAnsi="Times New Roman" w:cs="Times New Roman"/>
          <w:b w:val="0"/>
          <w:i w:val="0"/>
          <w:sz w:val="22"/>
        </w:rPr>
        <w:t>Where blind bidding is configured, financiers must not see competing financier identity, competing financing price, or competing bid amount. The system may show approved aggregate information only; enforcement is server-side.</w:t>
      </w:r>
    </w:p>
    <w:p>
      <w:pPr>
        <w:keepNext/>
        <w:spacing w:before="240" w:after="100"/>
        <w:outlineLvl w:val="1"/>
      </w:pPr>
      <w:r>
        <w:rPr>
          <w:rFonts w:ascii="Arial" w:hAnsi="Arial" w:cs="Arial"/>
          <w:b/>
          <w:i w:val="0"/>
          <w:color w:val="2E528F"/>
          <w:sz w:val="26"/>
        </w:rPr>
        <w:t>10.20 Bid Expiration</w:t>
      </w:r>
    </w:p>
    <w:p>
      <w:pPr>
        <w:spacing w:after="80" w:line="293" w:lineRule="auto"/>
        <w:jc w:val="left"/>
      </w:pPr>
      <w:r>
        <w:rPr>
          <w:rFonts w:ascii="Times New Roman" w:hAnsi="Times New Roman" w:cs="Times New Roman"/>
          <w:b w:val="0"/>
          <w:i w:val="0"/>
          <w:sz w:val="22"/>
        </w:rPr>
        <w:t>Each bid has submission time, expiry, and validity period. An expired bid cannot be accepted accidentally; renewal creates a new bid version.</w:t>
      </w:r>
    </w:p>
    <w:p>
      <w:pPr>
        <w:keepNext/>
        <w:spacing w:before="240" w:after="100"/>
        <w:outlineLvl w:val="1"/>
      </w:pPr>
      <w:r>
        <w:rPr>
          <w:rFonts w:ascii="Arial" w:hAnsi="Arial" w:cs="Arial"/>
          <w:b/>
          <w:i w:val="0"/>
          <w:color w:val="2E528F"/>
          <w:sz w:val="26"/>
        </w:rPr>
        <w:t>10.21 Borrower Comparison View</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Attribute</w:t>
            </w:r>
          </w:p>
        </w:tc>
        <w:tc>
          <w:tcPr>
            <w:tcW w:type="dxa" w:w="2409"/>
            <w:shd w:val="clear" w:fill="D9E2F3"/>
          </w:tcPr>
          <w:p>
            <w:pPr>
              <w:spacing w:after="20" w:before="20" w:line="240" w:lineRule="auto"/>
            </w:pPr>
            <w:r/>
            <w:r>
              <w:rPr>
                <w:rFonts w:ascii="Arial" w:hAnsi="Arial" w:cs="Arial"/>
                <w:b/>
                <w:i w:val="0"/>
                <w:sz w:val="18"/>
              </w:rPr>
              <w:t>Financier A</w:t>
            </w:r>
          </w:p>
        </w:tc>
        <w:tc>
          <w:tcPr>
            <w:tcW w:type="dxa" w:w="2409"/>
            <w:shd w:val="clear" w:fill="D9E2F3"/>
          </w:tcPr>
          <w:p>
            <w:pPr>
              <w:spacing w:after="20" w:before="20" w:line="240" w:lineRule="auto"/>
            </w:pPr>
            <w:r/>
            <w:r>
              <w:rPr>
                <w:rFonts w:ascii="Arial" w:hAnsi="Arial" w:cs="Arial"/>
                <w:b/>
                <w:i w:val="0"/>
                <w:sz w:val="18"/>
              </w:rPr>
              <w:t>Financier B</w:t>
            </w:r>
          </w:p>
        </w:tc>
        <w:tc>
          <w:tcPr>
            <w:tcW w:type="dxa" w:w="2409"/>
            <w:shd w:val="clear" w:fill="D9E2F3"/>
          </w:tcPr>
          <w:p>
            <w:pPr>
              <w:spacing w:after="20" w:before="20" w:line="240" w:lineRule="auto"/>
            </w:pPr>
            <w:r/>
            <w:r>
              <w:rPr>
                <w:rFonts w:ascii="Arial" w:hAnsi="Arial" w:cs="Arial"/>
                <w:b/>
                <w:i w:val="0"/>
                <w:sz w:val="18"/>
              </w:rPr>
              <w:t>Financier C</w:t>
            </w:r>
          </w:p>
        </w:tc>
      </w:tr>
      <w:tr>
        <w:tc>
          <w:tcPr>
            <w:tcW w:type="dxa" w:w="2409"/>
          </w:tcPr>
          <w:p>
            <w:pPr>
              <w:spacing w:after="20" w:before="20" w:line="240" w:lineRule="auto"/>
            </w:pPr>
            <w:r/>
            <w:r>
              <w:rPr>
                <w:rFonts w:ascii="Arial" w:hAnsi="Arial" w:cs="Arial"/>
                <w:b w:val="0"/>
                <w:i w:val="0"/>
                <w:sz w:val="17"/>
              </w:rPr>
              <w:t>Amount</w:t>
            </w:r>
          </w:p>
        </w:tc>
        <w:tc>
          <w:tcPr>
            <w:tcW w:type="dxa" w:w="2409"/>
          </w:tcPr>
          <w:p>
            <w:pPr>
              <w:spacing w:after="20" w:before="20" w:line="240" w:lineRule="auto"/>
            </w:pPr>
            <w:r/>
            <w:r>
              <w:rPr>
                <w:rFonts w:ascii="Arial" w:hAnsi="Arial" w:cs="Arial"/>
                <w:b w:val="0"/>
                <w:i w:val="0"/>
                <w:sz w:val="17"/>
              </w:rPr>
              <w:t>$60,000</w:t>
            </w:r>
          </w:p>
        </w:tc>
        <w:tc>
          <w:tcPr>
            <w:tcW w:type="dxa" w:w="2409"/>
          </w:tcPr>
          <w:p>
            <w:pPr>
              <w:spacing w:after="20" w:before="20" w:line="240" w:lineRule="auto"/>
            </w:pPr>
            <w:r/>
            <w:r>
              <w:rPr>
                <w:rFonts w:ascii="Arial" w:hAnsi="Arial" w:cs="Arial"/>
                <w:b w:val="0"/>
                <w:i w:val="0"/>
                <w:sz w:val="17"/>
              </w:rPr>
              <w:t>$40,000</w:t>
            </w:r>
          </w:p>
        </w:tc>
        <w:tc>
          <w:tcPr>
            <w:tcW w:type="dxa" w:w="2409"/>
          </w:tcPr>
          <w:p>
            <w:pPr>
              <w:spacing w:after="20" w:before="20" w:line="240" w:lineRule="auto"/>
            </w:pPr>
            <w:r/>
            <w:r>
              <w:rPr>
                <w:rFonts w:ascii="Arial" w:hAnsi="Arial" w:cs="Arial"/>
                <w:b w:val="0"/>
                <w:i w:val="0"/>
                <w:sz w:val="17"/>
              </w:rPr>
              <w:t>$100,000</w:t>
            </w:r>
          </w:p>
        </w:tc>
      </w:tr>
      <w:tr>
        <w:tc>
          <w:tcPr>
            <w:tcW w:type="dxa" w:w="2409"/>
          </w:tcPr>
          <w:p>
            <w:pPr>
              <w:spacing w:after="20" w:before="20" w:line="240" w:lineRule="auto"/>
            </w:pPr>
            <w:r/>
            <w:r>
              <w:rPr>
                <w:rFonts w:ascii="Arial" w:hAnsi="Arial" w:cs="Arial"/>
                <w:b w:val="0"/>
                <w:i w:val="0"/>
                <w:sz w:val="17"/>
              </w:rPr>
              <w:t>APR</w:t>
            </w:r>
          </w:p>
        </w:tc>
        <w:tc>
          <w:tcPr>
            <w:tcW w:type="dxa" w:w="2409"/>
          </w:tcPr>
          <w:p>
            <w:pPr>
              <w:spacing w:after="20" w:before="20" w:line="240" w:lineRule="auto"/>
            </w:pPr>
            <w:r/>
            <w:r>
              <w:rPr>
                <w:rFonts w:ascii="Arial" w:hAnsi="Arial" w:cs="Arial"/>
                <w:b w:val="0"/>
                <w:i w:val="0"/>
                <w:sz w:val="17"/>
              </w:rPr>
              <w:t>4.8%</w:t>
            </w:r>
          </w:p>
        </w:tc>
        <w:tc>
          <w:tcPr>
            <w:tcW w:type="dxa" w:w="2409"/>
          </w:tcPr>
          <w:p>
            <w:pPr>
              <w:spacing w:after="20" w:before="20" w:line="240" w:lineRule="auto"/>
            </w:pPr>
            <w:r/>
            <w:r>
              <w:rPr>
                <w:rFonts w:ascii="Arial" w:hAnsi="Arial" w:cs="Arial"/>
                <w:b w:val="0"/>
                <w:i w:val="0"/>
                <w:sz w:val="17"/>
              </w:rPr>
              <w:t>5.2%</w:t>
            </w:r>
          </w:p>
        </w:tc>
        <w:tc>
          <w:tcPr>
            <w:tcW w:type="dxa" w:w="2409"/>
          </w:tcPr>
          <w:p>
            <w:pPr>
              <w:spacing w:after="20" w:before="20" w:line="240" w:lineRule="auto"/>
            </w:pPr>
            <w:r/>
            <w:r>
              <w:rPr>
                <w:rFonts w:ascii="Arial" w:hAnsi="Arial" w:cs="Arial"/>
                <w:b w:val="0"/>
                <w:i w:val="0"/>
                <w:sz w:val="17"/>
              </w:rPr>
              <w:t>5.8%</w:t>
            </w:r>
          </w:p>
        </w:tc>
      </w:tr>
      <w:tr>
        <w:tc>
          <w:tcPr>
            <w:tcW w:type="dxa" w:w="2409"/>
          </w:tcPr>
          <w:p>
            <w:pPr>
              <w:spacing w:after="20" w:before="20" w:line="240" w:lineRule="auto"/>
            </w:pPr>
            <w:r/>
            <w:r>
              <w:rPr>
                <w:rFonts w:ascii="Arial" w:hAnsi="Arial" w:cs="Arial"/>
                <w:b w:val="0"/>
                <w:i w:val="0"/>
                <w:sz w:val="17"/>
              </w:rPr>
              <w:t>Tenor</w:t>
            </w:r>
          </w:p>
        </w:tc>
        <w:tc>
          <w:tcPr>
            <w:tcW w:type="dxa" w:w="2409"/>
          </w:tcPr>
          <w:p>
            <w:pPr>
              <w:spacing w:after="20" w:before="20" w:line="240" w:lineRule="auto"/>
            </w:pPr>
            <w:r/>
            <w:r>
              <w:rPr>
                <w:rFonts w:ascii="Arial" w:hAnsi="Arial" w:cs="Arial"/>
                <w:b w:val="0"/>
                <w:i w:val="0"/>
                <w:sz w:val="17"/>
              </w:rPr>
              <w:t>60 days</w:t>
            </w:r>
          </w:p>
        </w:tc>
        <w:tc>
          <w:tcPr>
            <w:tcW w:type="dxa" w:w="2409"/>
          </w:tcPr>
          <w:p>
            <w:pPr>
              <w:spacing w:after="20" w:before="20" w:line="240" w:lineRule="auto"/>
            </w:pPr>
            <w:r/>
            <w:r>
              <w:rPr>
                <w:rFonts w:ascii="Arial" w:hAnsi="Arial" w:cs="Arial"/>
                <w:b w:val="0"/>
                <w:i w:val="0"/>
                <w:sz w:val="17"/>
              </w:rPr>
              <w:t>60 days</w:t>
            </w:r>
          </w:p>
        </w:tc>
        <w:tc>
          <w:tcPr>
            <w:tcW w:type="dxa" w:w="2409"/>
          </w:tcPr>
          <w:p>
            <w:pPr>
              <w:spacing w:after="20" w:before="20" w:line="240" w:lineRule="auto"/>
            </w:pPr>
            <w:r/>
            <w:r>
              <w:rPr>
                <w:rFonts w:ascii="Arial" w:hAnsi="Arial" w:cs="Arial"/>
                <w:b w:val="0"/>
                <w:i w:val="0"/>
                <w:sz w:val="17"/>
              </w:rPr>
              <w:t>60 days</w:t>
            </w:r>
          </w:p>
        </w:tc>
      </w:tr>
      <w:tr>
        <w:tc>
          <w:tcPr>
            <w:tcW w:type="dxa" w:w="2409"/>
          </w:tcPr>
          <w:p>
            <w:pPr>
              <w:spacing w:after="20" w:before="20" w:line="240" w:lineRule="auto"/>
            </w:pPr>
            <w:r/>
            <w:r>
              <w:rPr>
                <w:rFonts w:ascii="Arial" w:hAnsi="Arial" w:cs="Arial"/>
                <w:b w:val="0"/>
                <w:i w:val="0"/>
                <w:sz w:val="17"/>
              </w:rPr>
              <w:t>Total Cost</w:t>
            </w:r>
          </w:p>
        </w:tc>
        <w:tc>
          <w:tcPr>
            <w:tcW w:type="dxa" w:w="2409"/>
          </w:tcPr>
          <w:p>
            <w:pPr>
              <w:spacing w:after="20" w:before="20" w:line="240" w:lineRule="auto"/>
            </w:pPr>
            <w:r/>
            <w:r>
              <w:rPr>
                <w:rFonts w:ascii="Arial" w:hAnsi="Arial" w:cs="Arial"/>
                <w:b w:val="0"/>
                <w:i w:val="0"/>
                <w:sz w:val="17"/>
              </w:rPr>
              <w:t>$4,800</w:t>
            </w:r>
          </w:p>
        </w:tc>
        <w:tc>
          <w:tcPr>
            <w:tcW w:type="dxa" w:w="2409"/>
          </w:tcPr>
          <w:p>
            <w:pPr>
              <w:spacing w:after="20" w:before="20" w:line="240" w:lineRule="auto"/>
            </w:pPr>
            <w:r/>
            <w:r>
              <w:rPr>
                <w:rFonts w:ascii="Arial" w:hAnsi="Arial" w:cs="Arial"/>
                <w:b w:val="0"/>
                <w:i w:val="0"/>
                <w:sz w:val="17"/>
              </w:rPr>
              <w:t>$2,080</w:t>
            </w:r>
          </w:p>
        </w:tc>
        <w:tc>
          <w:tcPr>
            <w:tcW w:type="dxa" w:w="2409"/>
          </w:tcPr>
          <w:p>
            <w:pPr>
              <w:spacing w:after="20" w:before="20" w:line="240" w:lineRule="auto"/>
            </w:pPr>
            <w:r/>
            <w:r>
              <w:rPr>
                <w:rFonts w:ascii="Arial" w:hAnsi="Arial" w:cs="Arial"/>
                <w:b w:val="0"/>
                <w:i w:val="0"/>
                <w:sz w:val="17"/>
              </w:rPr>
              <w:t>$5,800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Show Total Financing Cost, not merely APR.</w:t>
      </w:r>
    </w:p>
    <w:p>
      <w:pPr>
        <w:spacing w:after="80" w:line="293" w:lineRule="auto"/>
        <w:jc w:val="left"/>
      </w:pPr>
      <w:r>
        <w:rPr>
          <w:rFonts w:ascii="Times New Roman" w:hAnsi="Times New Roman" w:cs="Times New Roman"/>
          <w:b w:val="0"/>
          <w:i w:val="0"/>
          <w:sz w:val="22"/>
        </w:rPr>
        <w:t>After the bidding window closes, the borrower sees all bids decrypted and selects a combination. The comparison table presents, per financier: amount offered, APR, settlement method, and collateral requirements. The total selected must be ≤ the requested amount (P). Co-financing selection example:</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Financier</w:t>
            </w:r>
          </w:p>
        </w:tc>
        <w:tc>
          <w:tcPr>
            <w:tcW w:type="dxa" w:w="1606"/>
            <w:shd w:val="clear" w:fill="D9E2F3"/>
          </w:tcPr>
          <w:p>
            <w:pPr>
              <w:spacing w:after="20" w:before="20" w:line="240" w:lineRule="auto"/>
            </w:pPr>
            <w:r/>
            <w:r>
              <w:rPr>
                <w:rFonts w:ascii="Arial" w:hAnsi="Arial" w:cs="Arial"/>
                <w:b/>
                <w:i w:val="0"/>
                <w:sz w:val="18"/>
              </w:rPr>
              <w:t>Amount</w:t>
            </w:r>
          </w:p>
        </w:tc>
        <w:tc>
          <w:tcPr>
            <w:tcW w:type="dxa" w:w="1606"/>
            <w:shd w:val="clear" w:fill="D9E2F3"/>
          </w:tcPr>
          <w:p>
            <w:pPr>
              <w:spacing w:after="20" w:before="20" w:line="240" w:lineRule="auto"/>
            </w:pPr>
            <w:r/>
            <w:r>
              <w:rPr>
                <w:rFonts w:ascii="Arial" w:hAnsi="Arial" w:cs="Arial"/>
                <w:b/>
                <w:i w:val="0"/>
                <w:sz w:val="18"/>
              </w:rPr>
              <w:t>APR</w:t>
            </w:r>
          </w:p>
        </w:tc>
        <w:tc>
          <w:tcPr>
            <w:tcW w:type="dxa" w:w="1606"/>
            <w:shd w:val="clear" w:fill="D9E2F3"/>
          </w:tcPr>
          <w:p>
            <w:pPr>
              <w:spacing w:after="20" w:before="20" w:line="240" w:lineRule="auto"/>
            </w:pPr>
            <w:r/>
            <w:r>
              <w:rPr>
                <w:rFonts w:ascii="Arial" w:hAnsi="Arial" w:cs="Arial"/>
                <w:b/>
                <w:i w:val="0"/>
                <w:sz w:val="18"/>
              </w:rPr>
              <w:t>Settlement</w:t>
            </w:r>
          </w:p>
        </w:tc>
        <w:tc>
          <w:tcPr>
            <w:tcW w:type="dxa" w:w="1606"/>
            <w:shd w:val="clear" w:fill="D9E2F3"/>
          </w:tcPr>
          <w:p>
            <w:pPr>
              <w:spacing w:after="20" w:before="20" w:line="240" w:lineRule="auto"/>
            </w:pPr>
            <w:r/>
            <w:r>
              <w:rPr>
                <w:rFonts w:ascii="Arial" w:hAnsi="Arial" w:cs="Arial"/>
                <w:b/>
                <w:i w:val="0"/>
                <w:sz w:val="18"/>
              </w:rPr>
              <w:t>Collateral</w:t>
            </w:r>
          </w:p>
        </w:tc>
        <w:tc>
          <w:tcPr>
            <w:tcW w:type="dxa" w:w="1606"/>
            <w:shd w:val="clear" w:fill="D9E2F3"/>
          </w:tcPr>
          <w:p>
            <w:pPr>
              <w:spacing w:after="20" w:before="20" w:line="240" w:lineRule="auto"/>
            </w:pPr>
            <w:r/>
            <w:r>
              <w:rPr>
                <w:rFonts w:ascii="Arial" w:hAnsi="Arial" w:cs="Arial"/>
                <w:b/>
                <w:i w:val="0"/>
                <w:sz w:val="18"/>
              </w:rPr>
              <w:t>Select</w:t>
            </w:r>
          </w:p>
        </w:tc>
      </w:tr>
      <w:tr>
        <w:tc>
          <w:tcPr>
            <w:tcW w:type="dxa" w:w="1606"/>
          </w:tcPr>
          <w:p>
            <w:pPr>
              <w:spacing w:after="20" w:before="20" w:line="240" w:lineRule="auto"/>
            </w:pPr>
            <w:r/>
            <w:r>
              <w:rPr>
                <w:rFonts w:ascii="Arial" w:hAnsi="Arial" w:cs="Arial"/>
                <w:b w:val="0"/>
                <w:i w:val="0"/>
                <w:sz w:val="17"/>
              </w:rPr>
              <w:t>Bank X (UK)</w:t>
            </w:r>
          </w:p>
        </w:tc>
        <w:tc>
          <w:tcPr>
            <w:tcW w:type="dxa" w:w="1606"/>
          </w:tcPr>
          <w:p>
            <w:pPr>
              <w:spacing w:after="20" w:before="20" w:line="240" w:lineRule="auto"/>
            </w:pPr>
            <w:r/>
            <w:r>
              <w:rPr>
                <w:rFonts w:ascii="Arial" w:hAnsi="Arial" w:cs="Arial"/>
                <w:b w:val="0"/>
                <w:i w:val="0"/>
                <w:sz w:val="17"/>
              </w:rPr>
              <w:t>$60,000</w:t>
            </w:r>
          </w:p>
        </w:tc>
        <w:tc>
          <w:tcPr>
            <w:tcW w:type="dxa" w:w="1606"/>
          </w:tcPr>
          <w:p>
            <w:pPr>
              <w:spacing w:after="20" w:before="20" w:line="240" w:lineRule="auto"/>
            </w:pPr>
            <w:r/>
            <w:r>
              <w:rPr>
                <w:rFonts w:ascii="Arial" w:hAnsi="Arial" w:cs="Arial"/>
                <w:b w:val="0"/>
                <w:i w:val="0"/>
                <w:sz w:val="17"/>
              </w:rPr>
              <w:t>4.8%</w:t>
            </w:r>
          </w:p>
        </w:tc>
        <w:tc>
          <w:tcPr>
            <w:tcW w:type="dxa" w:w="1606"/>
          </w:tcPr>
          <w:p>
            <w:pPr>
              <w:spacing w:after="20" w:before="20" w:line="240" w:lineRule="auto"/>
            </w:pPr>
            <w:r/>
            <w:r>
              <w:rPr>
                <w:rFonts w:ascii="Arial" w:hAnsi="Arial" w:cs="Arial"/>
                <w:b w:val="0"/>
                <w:i w:val="0"/>
                <w:sz w:val="17"/>
              </w:rPr>
              <w:t>Bank Transfer</w:t>
            </w:r>
          </w:p>
        </w:tc>
        <w:tc>
          <w:tcPr>
            <w:tcW w:type="dxa" w:w="1606"/>
          </w:tcPr>
          <w:p>
            <w:pPr>
              <w:spacing w:after="20" w:before="20" w:line="240" w:lineRule="auto"/>
            </w:pPr>
            <w:r/>
            <w:r>
              <w:rPr>
                <w:rFonts w:ascii="Arial" w:hAnsi="Arial" w:cs="Arial"/>
                <w:b w:val="0"/>
                <w:i w:val="0"/>
                <w:sz w:val="17"/>
              </w:rPr>
              <w:t>Goods</w:t>
            </w:r>
          </w:p>
        </w:tc>
        <w:tc>
          <w:tcPr>
            <w:tcW w:type="dxa" w:w="1606"/>
          </w:tcPr>
          <w:p>
            <w:pPr>
              <w:spacing w:after="20" w:before="20" w:line="240" w:lineRule="auto"/>
            </w:pPr>
            <w:r/>
            <w:r>
              <w:rPr>
                <w:rFonts w:ascii="Arial" w:hAnsi="Arial" w:cs="Arial"/>
                <w:b w:val="0"/>
                <w:i w:val="0"/>
                <w:sz w:val="17"/>
              </w:rPr>
              <w:t>Selected</w:t>
            </w:r>
          </w:p>
        </w:tc>
      </w:tr>
      <w:tr>
        <w:tc>
          <w:tcPr>
            <w:tcW w:type="dxa" w:w="1606"/>
          </w:tcPr>
          <w:p>
            <w:pPr>
              <w:spacing w:after="20" w:before="20" w:line="240" w:lineRule="auto"/>
            </w:pPr>
            <w:r/>
            <w:r>
              <w:rPr>
                <w:rFonts w:ascii="Arial" w:hAnsi="Arial" w:cs="Arial"/>
                <w:b w:val="0"/>
                <w:i w:val="0"/>
                <w:sz w:val="17"/>
              </w:rPr>
              <w:t>PFI Y (SG)</w:t>
            </w:r>
          </w:p>
        </w:tc>
        <w:tc>
          <w:tcPr>
            <w:tcW w:type="dxa" w:w="1606"/>
          </w:tcPr>
          <w:p>
            <w:pPr>
              <w:spacing w:after="20" w:before="20" w:line="240" w:lineRule="auto"/>
            </w:pPr>
            <w:r/>
            <w:r>
              <w:rPr>
                <w:rFonts w:ascii="Arial" w:hAnsi="Arial" w:cs="Arial"/>
                <w:b w:val="0"/>
                <w:i w:val="0"/>
                <w:sz w:val="17"/>
              </w:rPr>
              <w:t>$40,000</w:t>
            </w:r>
          </w:p>
        </w:tc>
        <w:tc>
          <w:tcPr>
            <w:tcW w:type="dxa" w:w="1606"/>
          </w:tcPr>
          <w:p>
            <w:pPr>
              <w:spacing w:after="20" w:before="20" w:line="240" w:lineRule="auto"/>
            </w:pPr>
            <w:r/>
            <w:r>
              <w:rPr>
                <w:rFonts w:ascii="Arial" w:hAnsi="Arial" w:cs="Arial"/>
                <w:b w:val="0"/>
                <w:i w:val="0"/>
                <w:sz w:val="17"/>
              </w:rPr>
              <w:t>5.2%</w:t>
            </w:r>
          </w:p>
        </w:tc>
        <w:tc>
          <w:tcPr>
            <w:tcW w:type="dxa" w:w="1606"/>
          </w:tcPr>
          <w:p>
            <w:pPr>
              <w:spacing w:after="20" w:before="20" w:line="240" w:lineRule="auto"/>
            </w:pPr>
            <w:r/>
            <w:r>
              <w:rPr>
                <w:rFonts w:ascii="Arial" w:hAnsi="Arial" w:cs="Arial"/>
                <w:b w:val="0"/>
                <w:i w:val="0"/>
                <w:sz w:val="17"/>
              </w:rPr>
              <w:t>Bank Transfer</w:t>
            </w:r>
          </w:p>
        </w:tc>
        <w:tc>
          <w:tcPr>
            <w:tcW w:type="dxa" w:w="1606"/>
          </w:tcPr>
          <w:p>
            <w:pPr>
              <w:spacing w:after="20" w:before="20" w:line="240" w:lineRule="auto"/>
            </w:pPr>
            <w:r/>
            <w:r>
              <w:rPr>
                <w:rFonts w:ascii="Arial" w:hAnsi="Arial" w:cs="Arial"/>
                <w:b w:val="0"/>
                <w:i w:val="0"/>
                <w:sz w:val="17"/>
              </w:rPr>
              <w:t>Goods</w:t>
            </w:r>
          </w:p>
        </w:tc>
        <w:tc>
          <w:tcPr>
            <w:tcW w:type="dxa" w:w="1606"/>
          </w:tcPr>
          <w:p>
            <w:pPr>
              <w:spacing w:after="20" w:before="20" w:line="240" w:lineRule="auto"/>
            </w:pPr>
            <w:r/>
            <w:r>
              <w:rPr>
                <w:rFonts w:ascii="Arial" w:hAnsi="Arial" w:cs="Arial"/>
                <w:b w:val="0"/>
                <w:i w:val="0"/>
                <w:sz w:val="17"/>
              </w:rPr>
              <w:t>Selected</w:t>
            </w:r>
          </w:p>
        </w:tc>
      </w:tr>
      <w:tr>
        <w:tc>
          <w:tcPr>
            <w:tcW w:type="dxa" w:w="1606"/>
          </w:tcPr>
          <w:p>
            <w:pPr>
              <w:spacing w:after="20" w:before="20" w:line="240" w:lineRule="auto"/>
            </w:pPr>
            <w:r/>
            <w:r>
              <w:rPr>
                <w:rFonts w:ascii="Arial" w:hAnsi="Arial" w:cs="Arial"/>
                <w:b w:val="0"/>
                <w:i w:val="0"/>
                <w:sz w:val="17"/>
              </w:rPr>
              <w:t>Bank Z (UAE)</w:t>
            </w:r>
          </w:p>
        </w:tc>
        <w:tc>
          <w:tcPr>
            <w:tcW w:type="dxa" w:w="1606"/>
          </w:tcPr>
          <w:p>
            <w:pPr>
              <w:spacing w:after="20" w:before="20" w:line="240" w:lineRule="auto"/>
            </w:pPr>
            <w:r/>
            <w:r>
              <w:rPr>
                <w:rFonts w:ascii="Arial" w:hAnsi="Arial" w:cs="Arial"/>
                <w:b w:val="0"/>
                <w:i w:val="0"/>
                <w:sz w:val="17"/>
              </w:rPr>
              <w:t>$100,000</w:t>
            </w:r>
          </w:p>
        </w:tc>
        <w:tc>
          <w:tcPr>
            <w:tcW w:type="dxa" w:w="1606"/>
          </w:tcPr>
          <w:p>
            <w:pPr>
              <w:spacing w:after="20" w:before="20" w:line="240" w:lineRule="auto"/>
            </w:pPr>
            <w:r/>
            <w:r>
              <w:rPr>
                <w:rFonts w:ascii="Arial" w:hAnsi="Arial" w:cs="Arial"/>
                <w:b w:val="0"/>
                <w:i w:val="0"/>
                <w:sz w:val="17"/>
              </w:rPr>
              <w:t>5.8%</w:t>
            </w:r>
          </w:p>
        </w:tc>
        <w:tc>
          <w:tcPr>
            <w:tcW w:type="dxa" w:w="1606"/>
          </w:tcPr>
          <w:p>
            <w:pPr>
              <w:spacing w:after="20" w:before="20" w:line="240" w:lineRule="auto"/>
            </w:pPr>
            <w:r/>
            <w:r>
              <w:rPr>
                <w:rFonts w:ascii="Arial" w:hAnsi="Arial" w:cs="Arial"/>
                <w:b w:val="0"/>
                <w:i w:val="0"/>
                <w:sz w:val="17"/>
              </w:rPr>
              <w:t>Bank Transfer</w:t>
            </w:r>
          </w:p>
        </w:tc>
        <w:tc>
          <w:tcPr>
            <w:tcW w:type="dxa" w:w="1606"/>
          </w:tcPr>
          <w:p>
            <w:pPr>
              <w:spacing w:after="20" w:before="20" w:line="240" w:lineRule="auto"/>
            </w:pPr>
            <w:r/>
            <w:r>
              <w:rPr>
                <w:rFonts w:ascii="Arial" w:hAnsi="Arial" w:cs="Arial"/>
                <w:b w:val="0"/>
                <w:i w:val="0"/>
                <w:sz w:val="17"/>
              </w:rPr>
              <w:t>Goods + Receivables</w:t>
            </w:r>
          </w:p>
        </w:tc>
        <w:tc>
          <w:tcPr>
            <w:tcW w:type="dxa" w:w="1606"/>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Total selected: $100,000 of $100,000. Blended APR: 4.96%. AI recommendation: "This combination (Bank X + PFI Y) gives you the best blended APR (4.96%) while diversifying your financing sources." Actions: Accept Selected; Counter; Request Extension.</w:t>
      </w:r>
    </w:p>
    <w:p>
      <w:pPr>
        <w:keepNext/>
        <w:spacing w:before="240" w:after="100"/>
        <w:outlineLvl w:val="1"/>
      </w:pPr>
      <w:r>
        <w:rPr>
          <w:rFonts w:ascii="Arial" w:hAnsi="Arial" w:cs="Arial"/>
          <w:b/>
          <w:i w:val="0"/>
          <w:color w:val="2E528F"/>
          <w:sz w:val="26"/>
        </w:rPr>
        <w:t>10.22 All-In Financing Cost</w:t>
      </w:r>
    </w:p>
    <w:p>
      <w:pPr>
        <w:spacing w:after="80" w:line="293" w:lineRule="auto"/>
        <w:jc w:val="left"/>
      </w:pPr>
      <w:r>
        <w:rPr>
          <w:rFonts w:ascii="Times New Roman" w:hAnsi="Times New Roman" w:cs="Times New Roman"/>
          <w:b w:val="0"/>
          <w:i w:val="0"/>
          <w:sz w:val="22"/>
        </w:rPr>
        <w:t>Calculate: interest; arrangement fee; financing fee; legal fee; collateral fee; servicing fee; FX cost; other disclosed charges. Rule: do not compare offers using APR alone if that would be misleading.</w:t>
      </w:r>
    </w:p>
    <w:p>
      <w:pPr>
        <w:keepNext/>
        <w:spacing w:before="240" w:after="100"/>
        <w:outlineLvl w:val="1"/>
      </w:pPr>
      <w:r>
        <w:rPr>
          <w:rFonts w:ascii="Arial" w:hAnsi="Arial" w:cs="Arial"/>
          <w:b/>
          <w:i w:val="0"/>
          <w:color w:val="2E528F"/>
          <w:sz w:val="26"/>
        </w:rPr>
        <w:t>10.23 Co-Financing</w:t>
      </w:r>
    </w:p>
    <w:p>
      <w:pPr>
        <w:spacing w:after="80" w:line="293" w:lineRule="auto"/>
        <w:jc w:val="left"/>
      </w:pPr>
      <w:r>
        <w:rPr>
          <w:rFonts w:ascii="Times New Roman" w:hAnsi="Times New Roman" w:cs="Times New Roman"/>
          <w:b w:val="0"/>
          <w:i w:val="0"/>
          <w:sz w:val="22"/>
        </w:rPr>
        <w:t>Multiple financiers may participate. The total awarded amount must never exceed the approved/requested amount. Each financier is tracked independently: commitment, share, pricing, fees, collateral share, disbursement, repayment allocation, outstanding balance, and release conditions.</w:t>
      </w:r>
    </w:p>
    <w:p>
      <w:pPr>
        <w:spacing w:after="80" w:line="293" w:lineRule="auto"/>
        <w:jc w:val="left"/>
      </w:pPr>
      <w:r>
        <w:rPr>
          <w:rFonts w:ascii="Times New Roman" w:hAnsi="Times New Roman" w:cs="Times New Roman"/>
          <w:b w:val="0"/>
          <w:i w:val="0"/>
          <w:sz w:val="22"/>
        </w:rPr>
        <w:t>Co-financing (split funding) allows multiple financiers to each finance a portion of a single financing request. This is a critical capability for real-world trade finance, enabling risk sharing, competitive pricing, and access to larger financing amounts. Key features: unlimited financiers (any number of financiers can bid on a single request); partial bids (each financier can bid for any portion of the requested amount, up to 100%); combined acceptance (the borrower selects a combination of bids that sum to the requested amount); blended APR (the system calculates the weighted average APR across selected financiers); independent disbursement (each financier disburses their portion independently); independent repayment (the borrower repays each financier according to their respective terms); separate agreements (each financier has their own annex to the master agreement).</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requested amount $100,000; Financier A bids $60,000 @ 4.8% APR; Financier B bids $40,000 @ 5.2% APR; the borrower accepts both → blended APR = (60,000 × 4.8% + 40,000 × 5.2%) / 100,000 = 4.96%.</w:t>
      </w:r>
    </w:p>
    <w:p>
      <w:pPr>
        <w:keepNext/>
        <w:spacing w:before="180" w:after="80"/>
        <w:outlineLvl w:val="2"/>
      </w:pPr>
      <w:r>
        <w:rPr>
          <w:rFonts w:ascii="Arial" w:hAnsi="Arial" w:cs="Arial"/>
          <w:b/>
          <w:i w:val="0"/>
          <w:color w:val="333333"/>
          <w:sz w:val="23"/>
        </w:rPr>
        <w:t>10.23.1 Economic Exposure &amp; Allocation Model</w:t>
      </w:r>
    </w:p>
    <w:p>
      <w:pPr>
        <w:spacing w:after="80" w:line="293" w:lineRule="auto"/>
        <w:jc w:val="left"/>
      </w:pPr>
      <w:r>
        <w:rPr>
          <w:rFonts w:ascii="Times New Roman" w:hAnsi="Times New Roman" w:cs="Times New Roman"/>
          <w:b w:val="0"/>
          <w:i w:val="0"/>
          <w:sz w:val="22"/>
        </w:rPr>
        <w:t>Financing attaches to controlled economic exposure, not to a one-agreement-per-USTN rule. One financing request may be fulfilled by one or more financiers through allocations, tranches, or participations; multiple financing agreements may exist against a single controlled exposure. The canonical financing chain is:</w:t>
      </w:r>
    </w:p>
    <w:p>
      <w:pPr>
        <w:spacing w:after="0" w:before="0" w:line="240" w:lineRule="auto"/>
        <w:ind w:left="57"/>
        <w:jc w:val="left"/>
        <w:shd w:val="clear" w:fill="F2F2F2"/>
      </w:pPr>
      <w:r>
        <w:rPr>
          <w:rFonts w:ascii="Consolas" w:hAnsi="Consolas" w:cs="Consolas"/>
          <w:b w:val="0"/>
          <w:i w:val="0"/>
          <w:sz w:val="15"/>
        </w:rPr>
        <w:t>Trade</w:t>
      </w:r>
    </w:p>
    <w:p>
      <w:pPr>
        <w:spacing w:after="0" w:before="0" w:line="240" w:lineRule="auto"/>
        <w:ind w:left="57"/>
        <w:jc w:val="left"/>
        <w:shd w:val="clear" w:fill="F2F2F2"/>
      </w:pPr>
      <w:r>
        <w:rPr>
          <w:rFonts w:ascii="Consolas" w:hAnsi="Consolas" w:cs="Consolas"/>
          <w:b w:val="0"/>
          <w:i w:val="0"/>
          <w:sz w:val="15"/>
        </w:rPr>
        <w:t xml:space="preserve">  -&gt; Economic Exposure           (Section 19.64.1)</w:t>
      </w:r>
    </w:p>
    <w:p>
      <w:pPr>
        <w:spacing w:after="0" w:before="0" w:line="240" w:lineRule="auto"/>
        <w:ind w:left="57"/>
        <w:jc w:val="left"/>
        <w:shd w:val="clear" w:fill="F2F2F2"/>
      </w:pPr>
      <w:r>
        <w:rPr>
          <w:rFonts w:ascii="Consolas" w:hAnsi="Consolas" w:cs="Consolas"/>
          <w:b w:val="0"/>
          <w:i w:val="0"/>
          <w:sz w:val="15"/>
        </w:rPr>
        <w:t xml:space="preserve">  -&gt; Financing Request</w:t>
      </w:r>
    </w:p>
    <w:p>
      <w:pPr>
        <w:spacing w:after="0" w:before="0" w:line="240" w:lineRule="auto"/>
        <w:ind w:left="57"/>
        <w:jc w:val="left"/>
        <w:shd w:val="clear" w:fill="F2F2F2"/>
      </w:pPr>
      <w:r>
        <w:rPr>
          <w:rFonts w:ascii="Consolas" w:hAnsi="Consolas" w:cs="Consolas"/>
          <w:b w:val="0"/>
          <w:i w:val="0"/>
          <w:sz w:val="15"/>
        </w:rPr>
        <w:t xml:space="preserve">  -&gt; Financing Offer(s)</w:t>
      </w:r>
    </w:p>
    <w:p>
      <w:pPr>
        <w:spacing w:after="0" w:before="0" w:line="240" w:lineRule="auto"/>
        <w:ind w:left="57"/>
        <w:jc w:val="left"/>
        <w:shd w:val="clear" w:fill="F2F2F2"/>
      </w:pPr>
      <w:r>
        <w:rPr>
          <w:rFonts w:ascii="Consolas" w:hAnsi="Consolas" w:cs="Consolas"/>
          <w:b w:val="0"/>
          <w:i w:val="0"/>
          <w:sz w:val="15"/>
        </w:rPr>
        <w:t xml:space="preserve">  -&gt; Financing Allocation(s) / Tranche(s) / Participation(s)</w:t>
      </w:r>
    </w:p>
    <w:p>
      <w:pPr>
        <w:spacing w:after="0" w:before="0" w:line="240" w:lineRule="auto"/>
        <w:ind w:left="57"/>
        <w:jc w:val="left"/>
        <w:shd w:val="clear" w:fill="F2F2F2"/>
      </w:pPr>
      <w:r>
        <w:rPr>
          <w:rFonts w:ascii="Consolas" w:hAnsi="Consolas" w:cs="Consolas"/>
          <w:b w:val="0"/>
          <w:i w:val="0"/>
          <w:sz w:val="15"/>
        </w:rPr>
        <w:t xml:space="preserve">  -&gt; One or more Financing Agreement(s)</w:t>
      </w:r>
    </w:p>
    <w:p>
      <w:pPr>
        <w:spacing w:after="0" w:before="0" w:line="240" w:lineRule="auto"/>
        <w:ind w:left="57"/>
        <w:jc w:val="left"/>
        <w:shd w:val="clear" w:fill="F2F2F2"/>
      </w:pPr>
      <w:r>
        <w:rPr>
          <w:rFonts w:ascii="Consolas" w:hAnsi="Consolas" w:cs="Consolas"/>
          <w:b w:val="0"/>
          <w:i w:val="0"/>
          <w:sz w:val="15"/>
        </w:rPr>
        <w:t xml:space="preserve">  -&gt; Disbursement(s)</w:t>
      </w:r>
    </w:p>
    <w:p>
      <w:pPr>
        <w:spacing w:after="0" w:before="0" w:line="240" w:lineRule="auto"/>
        <w:ind w:left="57"/>
        <w:jc w:val="left"/>
        <w:shd w:val="clear" w:fill="F2F2F2"/>
      </w:pPr>
      <w:r>
        <w:rPr>
          <w:rFonts w:ascii="Consolas" w:hAnsi="Consolas" w:cs="Consolas"/>
          <w:b w:val="0"/>
          <w:i w:val="0"/>
          <w:sz w:val="15"/>
        </w:rPr>
        <w:t xml:space="preserve">  -&gt; Repayment(s)</w:t>
      </w:r>
    </w:p>
    <w:p>
      <w:pPr>
        <w:spacing w:after="0" w:before="0" w:line="240" w:lineRule="auto"/>
        <w:ind w:left="57"/>
        <w:jc w:val="left"/>
        <w:shd w:val="clear" w:fill="F2F2F2"/>
      </w:pPr>
      <w:r>
        <w:rPr>
          <w:rFonts w:ascii="Consolas" w:hAnsi="Consolas" w:cs="Consolas"/>
          <w:b w:val="0"/>
          <w:i w:val="0"/>
          <w:sz w:val="15"/>
        </w:rPr>
        <w:t xml:space="preserve">  -&gt; Release / Closure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economic exposure object and the allocation objects are first-class entities (schema in Section 19.64.1). The exposure object bounds total financeable value; each allocation records the financier, the requested, approved, and allocated amounts, the disbursed and outstanding amounts, the currency, the tranche reference, the agreement reference, and the status. Co-financing allocations must reconcile to the master exposure (invariant I-11, Section 20.105.1): Bank X may hold a $60,000 allocation and PFI Y a $40,000 allocation against a single controlled $100,000 exposure, without the two allocations being treated as separate unrelated underlying obligations. The co-financing waterfall (Section 10.24) and the co-financing database design (Section 10.70) implement this model.</w:t>
      </w:r>
    </w:p>
    <w:p>
      <w:pPr>
        <w:keepNext/>
        <w:spacing w:before="240" w:after="100"/>
        <w:outlineLvl w:val="1"/>
      </w:pPr>
      <w:r>
        <w:rPr>
          <w:rFonts w:ascii="Arial" w:hAnsi="Arial" w:cs="Arial"/>
          <w:b/>
          <w:i w:val="0"/>
          <w:color w:val="2E528F"/>
          <w:sz w:val="26"/>
        </w:rPr>
        <w:t>10.24 Co-Financing Waterfall (Deterministic)</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Requested $150,000 = Financier A $50,000 + Financier B $60,000 + Financier C $40,000; the system verifies the sum equals the approved amount. Rule: no excess funding.</w:t>
      </w:r>
    </w:p>
    <w:p>
      <w:pPr>
        <w:spacing w:after="80" w:line="293" w:lineRule="auto"/>
        <w:jc w:val="left"/>
      </w:pPr>
      <w:r>
        <w:rPr>
          <w:rFonts w:ascii="Times New Roman" w:hAnsi="Times New Roman" w:cs="Times New Roman"/>
          <w:b w:val="0"/>
          <w:i w:val="0"/>
          <w:sz w:val="22"/>
        </w:rPr>
        <w:t>Complete co-financing workflow:</w:t>
      </w:r>
    </w:p>
    <w:p>
      <w:pPr>
        <w:spacing w:after="80" w:line="293" w:lineRule="auto"/>
        <w:jc w:val="left"/>
      </w:pPr>
      <w:r>
        <w:rPr>
          <w:rFonts w:ascii="Times New Roman" w:hAnsi="Times New Roman" w:cs="Times New Roman"/>
          <w:b w:val="0"/>
          <w:i w:val="0"/>
          <w:sz w:val="22"/>
        </w:rPr>
        <w:t>1. Borrower requests $100,000. 2. Auto-RFQ broadcast to all matching financiers. 3. Financier A bids $60,000 @ 4.8% APR; Financier B bids $40,000 @ 5.2% APR; Financier C bids $100,000 @ 5.8% APR. 4. Bidding window closes. 5. Borrower sees all bids decrypted. 6. Borrower selects the combination (A + B = $100,000). 7. Blended APR calculated: 4.96%. 8. Master agreement + annexes generated. 9. Borrower signs both annexes. 10. Financier A signs annex A; Financier B signs annex B. 11. Financier A disburses $60,000 (minus 0.25% fee); Financier B disburses $40,000 (minus 0.25% fee). 12. Borrower receives $99,750 total (after fees). 13. Borrower repays Financier A and Financier B independently.</w:t>
      </w:r>
    </w:p>
    <w:p>
      <w:pPr>
        <w:keepNext/>
        <w:spacing w:before="240" w:after="100"/>
        <w:outlineLvl w:val="1"/>
      </w:pPr>
      <w:r>
        <w:rPr>
          <w:rFonts w:ascii="Arial" w:hAnsi="Arial" w:cs="Arial"/>
          <w:b/>
          <w:i w:val="0"/>
          <w:color w:val="2E528F"/>
          <w:sz w:val="26"/>
        </w:rPr>
        <w:t>10.25 Financing Agreement</w:t>
      </w:r>
    </w:p>
    <w:p>
      <w:pPr>
        <w:spacing w:after="80" w:line="293" w:lineRule="auto"/>
        <w:jc w:val="left"/>
      </w:pPr>
      <w:r>
        <w:rPr>
          <w:rFonts w:ascii="Times New Roman" w:hAnsi="Times New Roman" w:cs="Times New Roman"/>
          <w:b w:val="0"/>
          <w:i w:val="0"/>
          <w:sz w:val="22"/>
        </w:rPr>
        <w:t>Once the borrower accepts terms, the platform generates a financing agreement linked to: borrower, financier, trade, shipment, USTN, amount, currency, tenor, pricing, fees, repayment conditions, collateral, events of default, governing terms, and disbursement conditions. Rule: a Financing Agreement ≠ Trade Contract — they are linked but legally and operationally distinct artifacts.</w:t>
      </w:r>
    </w:p>
    <w:p>
      <w:pPr>
        <w:spacing w:after="80" w:line="293" w:lineRule="auto"/>
        <w:jc w:val="left"/>
      </w:pPr>
      <w:r>
        <w:rPr>
          <w:rFonts w:ascii="Times New Roman" w:hAnsi="Times New Roman" w:cs="Times New Roman"/>
          <w:b w:val="0"/>
          <w:i w:val="0"/>
          <w:sz w:val="22"/>
        </w:rPr>
        <w:t>The system assembles a master financing agreement with separate annexes for each financier. Mandatory SGTX Financing Witness Clause (non-removable):</w:t>
      </w:r>
    </w:p>
    <w:p>
      <w:pPr>
        <w:spacing w:after="80" w:line="293" w:lineRule="auto"/>
        <w:jc w:val="left"/>
      </w:pPr>
      <w:r>
        <w:rPr>
          <w:rFonts w:ascii="Times New Roman" w:hAnsi="Times New Roman" w:cs="Times New Roman"/>
          <w:b w:val="0"/>
          <w:i w:val="0"/>
          <w:sz w:val="22"/>
        </w:rPr>
        <w:t>"The parties acknowledge that SGTX Platform has facilitated this financing arrangement as a non-custodial witness. The platform's financing service fee of 0.25% of the financed amount (calculated as [amount]) is payable exclusively by the borrower and shall be deducted from the disbursed principal. The platform's signature below serves as evidence of its role as witness and its right to collect the fee as specified. Fees are collected in USD, EGP, or EURO."</w:t>
      </w:r>
    </w:p>
    <w:p>
      <w:pPr>
        <w:spacing w:after="80" w:line="293" w:lineRule="auto"/>
        <w:jc w:val="left"/>
      </w:pPr>
      <w:r>
        <w:rPr>
          <w:rFonts w:ascii="Times New Roman" w:hAnsi="Times New Roman" w:cs="Times New Roman"/>
          <w:b w:val="0"/>
          <w:i w:val="0"/>
          <w:sz w:val="22"/>
        </w:rPr>
        <w:t>Signatures: the borrower signs each annex (ZITADEL passkey) — one click per annex; each financier signs their annex — one click; the SGTX Governor signs as witness — automatic.</w:t>
      </w:r>
    </w:p>
    <w:p>
      <w:pPr>
        <w:spacing w:after="80" w:line="293" w:lineRule="auto"/>
        <w:jc w:val="left"/>
      </w:pPr>
      <w:r>
        <w:rPr>
          <w:rFonts w:ascii="Times New Roman" w:hAnsi="Times New Roman" w:cs="Times New Roman"/>
          <w:b w:val="0"/>
          <w:i w:val="0"/>
          <w:sz w:val="22"/>
        </w:rPr>
        <w:t>Agreement view example: master agreement SGTX-FIN-2026-001; Annex A — Bank X (UK): amount $60,000, APR 4.8%, tenor 60 days, collateral goods, settlement bank transfer; Annex B — PFI Y (SG): amount $40,000, APR 5.2%, tenor 60 days, collateral goods, settlement bank transfer; SGTX Financing Witness Clause (fee 0.25% = $250); signature status per party (Borrower, Bank X, PFI Y, SGTX witness — automatic after all parties sign).</w:t>
      </w:r>
    </w:p>
    <w:p>
      <w:pPr>
        <w:keepNext/>
        <w:spacing w:before="240" w:after="100"/>
        <w:outlineLvl w:val="1"/>
      </w:pPr>
      <w:r>
        <w:rPr>
          <w:rFonts w:ascii="Arial" w:hAnsi="Arial" w:cs="Arial"/>
          <w:b/>
          <w:i w:val="0"/>
          <w:color w:val="2E528F"/>
          <w:sz w:val="26"/>
        </w:rPr>
        <w:t>10.26 Non-Custodial Financing Principle</w:t>
      </w:r>
    </w:p>
    <w:p>
      <w:pPr>
        <w:spacing w:after="80" w:line="293" w:lineRule="auto"/>
        <w:jc w:val="left"/>
      </w:pPr>
      <w:r>
        <w:rPr>
          <w:rFonts w:ascii="Times New Roman" w:hAnsi="Times New Roman" w:cs="Times New Roman"/>
          <w:b w:val="0"/>
          <w:i w:val="0"/>
          <w:sz w:val="22"/>
        </w:rPr>
        <w:t>SGTX orchestrates and evidences financing; it does not become custodian of financed trade funds. Actual movement of principal uses approved external financial infrastructure, with strict separation between SGTX orchestration and financial institution execution.</w:t>
      </w:r>
    </w:p>
    <w:p>
      <w:pPr>
        <w:keepNext/>
        <w:spacing w:before="240" w:after="100"/>
        <w:outlineLvl w:val="1"/>
      </w:pPr>
      <w:r>
        <w:rPr>
          <w:rFonts w:ascii="Arial" w:hAnsi="Arial" w:cs="Arial"/>
          <w:b/>
          <w:i w:val="0"/>
          <w:color w:val="2E528F"/>
          <w:sz w:val="26"/>
        </w:rPr>
        <w:t>10.27 Disbursement Eligibility</w:t>
      </w:r>
    </w:p>
    <w:p>
      <w:pPr>
        <w:spacing w:after="80" w:line="293" w:lineRule="auto"/>
        <w:jc w:val="left"/>
      </w:pPr>
      <w:r>
        <w:rPr>
          <w:rFonts w:ascii="Times New Roman" w:hAnsi="Times New Roman" w:cs="Times New Roman"/>
          <w:b w:val="0"/>
          <w:i w:val="0"/>
          <w:sz w:val="22"/>
        </w:rPr>
        <w:t>Before disbursement verify: agreement executed; identity verified; collateral conditions satisfied; required documents present; compliance clear; no disbursement blocker; bank instructions verified; settlement destination verified; relevant USTN active; no conflicting financing; no legal hold; all required conditions precedent satisfied.</w:t>
      </w:r>
    </w:p>
    <w:p>
      <w:pPr>
        <w:keepNext/>
        <w:spacing w:before="240" w:after="100"/>
        <w:outlineLvl w:val="1"/>
      </w:pPr>
      <w:r>
        <w:rPr>
          <w:rFonts w:ascii="Arial" w:hAnsi="Arial" w:cs="Arial"/>
          <w:b/>
          <w:i w:val="0"/>
          <w:color w:val="2E528F"/>
          <w:sz w:val="26"/>
        </w:rPr>
        <w:t>10.28 Disbursement Sequence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APPROVED</w:t>
            </w:r>
          </w:p>
        </w:tc>
        <w:tc>
          <w:tcPr>
            <w:tcW w:type="dxa" w:w="4819"/>
          </w:tcPr>
          <w:p>
            <w:pPr>
              <w:spacing w:after="20" w:before="20" w:line="240" w:lineRule="auto"/>
            </w:pPr>
            <w:r/>
            <w:r>
              <w:rPr>
                <w:rFonts w:ascii="Arial" w:hAnsi="Arial" w:cs="Arial"/>
                <w:b w:val="0"/>
                <w:i w:val="0"/>
                <w:sz w:val="17"/>
              </w:rPr>
              <w:t>Financing approved</w:t>
            </w:r>
          </w:p>
        </w:tc>
      </w:tr>
      <w:tr>
        <w:tc>
          <w:tcPr>
            <w:tcW w:type="dxa" w:w="4819"/>
          </w:tcPr>
          <w:p>
            <w:pPr>
              <w:spacing w:after="20" w:before="20" w:line="240" w:lineRule="auto"/>
            </w:pPr>
            <w:r/>
            <w:r>
              <w:rPr>
                <w:rFonts w:ascii="Arial" w:hAnsi="Arial" w:cs="Arial"/>
                <w:b w:val="0"/>
                <w:i w:val="0"/>
                <w:sz w:val="17"/>
              </w:rPr>
              <w:t>CONDITIONS_PENDING</w:t>
            </w:r>
          </w:p>
        </w:tc>
        <w:tc>
          <w:tcPr>
            <w:tcW w:type="dxa" w:w="4819"/>
          </w:tcPr>
          <w:p>
            <w:pPr>
              <w:spacing w:after="20" w:before="20" w:line="240" w:lineRule="auto"/>
            </w:pPr>
            <w:r/>
            <w:r>
              <w:rPr>
                <w:rFonts w:ascii="Arial" w:hAnsi="Arial" w:cs="Arial"/>
                <w:b w:val="0"/>
                <w:i w:val="0"/>
                <w:sz w:val="17"/>
              </w:rPr>
              <w:t>Awaiting conditions</w:t>
            </w:r>
          </w:p>
        </w:tc>
      </w:tr>
      <w:tr>
        <w:tc>
          <w:tcPr>
            <w:tcW w:type="dxa" w:w="4819"/>
          </w:tcPr>
          <w:p>
            <w:pPr>
              <w:spacing w:after="20" w:before="20" w:line="240" w:lineRule="auto"/>
            </w:pPr>
            <w:r/>
            <w:r>
              <w:rPr>
                <w:rFonts w:ascii="Arial" w:hAnsi="Arial" w:cs="Arial"/>
                <w:b w:val="0"/>
                <w:i w:val="0"/>
                <w:sz w:val="17"/>
              </w:rPr>
              <w:t>DISBURSEMENT_READY</w:t>
            </w:r>
          </w:p>
        </w:tc>
        <w:tc>
          <w:tcPr>
            <w:tcW w:type="dxa" w:w="4819"/>
          </w:tcPr>
          <w:p>
            <w:pPr>
              <w:spacing w:after="20" w:before="20" w:line="240" w:lineRule="auto"/>
            </w:pPr>
            <w:r/>
            <w:r>
              <w:rPr>
                <w:rFonts w:ascii="Arial" w:hAnsi="Arial" w:cs="Arial"/>
                <w:b w:val="0"/>
                <w:i w:val="0"/>
                <w:sz w:val="17"/>
              </w:rPr>
              <w:t>Ready to disburse</w:t>
            </w:r>
          </w:p>
        </w:tc>
      </w:tr>
      <w:tr>
        <w:tc>
          <w:tcPr>
            <w:tcW w:type="dxa" w:w="4819"/>
          </w:tcPr>
          <w:p>
            <w:pPr>
              <w:spacing w:after="20" w:before="20" w:line="240" w:lineRule="auto"/>
            </w:pPr>
            <w:r/>
            <w:r>
              <w:rPr>
                <w:rFonts w:ascii="Arial" w:hAnsi="Arial" w:cs="Arial"/>
                <w:b w:val="0"/>
                <w:i w:val="0"/>
                <w:sz w:val="17"/>
              </w:rPr>
              <w:t>DISBURSEMENT_INITIATED</w:t>
            </w:r>
          </w:p>
        </w:tc>
        <w:tc>
          <w:tcPr>
            <w:tcW w:type="dxa" w:w="4819"/>
          </w:tcPr>
          <w:p>
            <w:pPr>
              <w:spacing w:after="20" w:before="20" w:line="240" w:lineRule="auto"/>
            </w:pPr>
            <w:r/>
            <w:r>
              <w:rPr>
                <w:rFonts w:ascii="Arial" w:hAnsi="Arial" w:cs="Arial"/>
                <w:b w:val="0"/>
                <w:i w:val="0"/>
                <w:sz w:val="17"/>
              </w:rPr>
              <w:t>Instruction sent</w:t>
            </w:r>
          </w:p>
        </w:tc>
      </w:tr>
      <w:tr>
        <w:tc>
          <w:tcPr>
            <w:tcW w:type="dxa" w:w="4819"/>
          </w:tcPr>
          <w:p>
            <w:pPr>
              <w:spacing w:after="20" w:before="20" w:line="240" w:lineRule="auto"/>
            </w:pPr>
            <w:r/>
            <w:r>
              <w:rPr>
                <w:rFonts w:ascii="Arial" w:hAnsi="Arial" w:cs="Arial"/>
                <w:b w:val="0"/>
                <w:i w:val="0"/>
                <w:sz w:val="17"/>
              </w:rPr>
              <w:t>DISBURSEMENT_CONFIRMED</w:t>
            </w:r>
          </w:p>
        </w:tc>
        <w:tc>
          <w:tcPr>
            <w:tcW w:type="dxa" w:w="4819"/>
          </w:tcPr>
          <w:p>
            <w:pPr>
              <w:spacing w:after="20" w:before="20" w:line="240" w:lineRule="auto"/>
            </w:pPr>
            <w:r/>
            <w:r>
              <w:rPr>
                <w:rFonts w:ascii="Arial" w:hAnsi="Arial" w:cs="Arial"/>
                <w:b w:val="0"/>
                <w:i w:val="0"/>
                <w:sz w:val="17"/>
              </w:rPr>
              <w:t>Confirmed received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never mark DISBURSED when only an instruction was submitted.</w:t>
      </w:r>
    </w:p>
    <w:p>
      <w:pPr>
        <w:spacing w:after="80" w:line="293" w:lineRule="auto"/>
        <w:jc w:val="left"/>
      </w:pPr>
      <w:r>
        <w:rPr>
          <w:rFonts w:ascii="Times New Roman" w:hAnsi="Times New Roman" w:cs="Times New Roman"/>
          <w:b w:val="0"/>
          <w:i w:val="0"/>
          <w:sz w:val="22"/>
        </w:rPr>
        <w:t>After all signatures are collected, the payment orchestrator creates a disbursement instruction: each financier dispatches a pain.001 instruction for their portion P_i through the Bank Settlement Gateway under their bank mandate; the financier clicks "Disburse" — one click; the bank executes the legs: P_i − (0.25% × P_i) → the borrower's bank account; 0.25% × P_i → SGTX's bank account (USD/EGP/EURO); the bank returns camt.054 confirmations for both legs; the financing FeeLock is marked ACTIVE.</w:t>
      </w:r>
    </w:p>
    <w:p>
      <w:pPr>
        <w:spacing w:after="80" w:line="293" w:lineRule="auto"/>
        <w:jc w:val="left"/>
      </w:pPr>
      <w:r>
        <w:rPr>
          <w:rFonts w:ascii="Times New Roman" w:hAnsi="Times New Roman" w:cs="Times New Roman"/>
          <w:b w:val="0"/>
          <w:i w:val="0"/>
          <w:sz w:val="22"/>
        </w:rPr>
        <w:t>Disbursement view example — Annex A (Bank X): gross amount $60,000; SGTX financing fee (0.25%) $150 (deducted from disbursement); net amount to borrower $59,850; borrower account EG3800100000000000123456; SGTX account EG3800200000000000789012; mandated bank (tier 1); estimated settlement 1–2 days.</w:t>
      </w:r>
    </w:p>
    <w:p>
      <w:pPr>
        <w:keepNext/>
        <w:spacing w:before="180" w:after="80"/>
        <w:outlineLvl w:val="2"/>
      </w:pPr>
      <w:r>
        <w:rPr>
          <w:rFonts w:ascii="Arial" w:hAnsi="Arial" w:cs="Arial"/>
          <w:b/>
          <w:i w:val="0"/>
          <w:color w:val="333333"/>
          <w:sz w:val="23"/>
        </w:rPr>
        <w:t>10.28.1 Disbursement Trigger Configuration</w:t>
      </w:r>
    </w:p>
    <w:p>
      <w:pPr>
        <w:spacing w:after="80" w:line="293" w:lineRule="auto"/>
        <w:jc w:val="left"/>
      </w:pPr>
      <w:r>
        <w:rPr>
          <w:rFonts w:ascii="Times New Roman" w:hAnsi="Times New Roman" w:cs="Times New Roman"/>
          <w:b w:val="0"/>
          <w:i w:val="0"/>
          <w:sz w:val="22"/>
        </w:rPr>
        <w:t>Each financing product supports configurable disbursement triggers rather than a globally hard-coded trigger event. Incoterm-specific defaults may be supplied as configuration, but they are never hard-coded logic. Each financing product defines:</w:t>
      </w:r>
    </w:p>
    <w:p>
      <w:pPr>
        <w:spacing w:after="0" w:before="0" w:line="240" w:lineRule="auto"/>
        <w:ind w:left="57"/>
        <w:jc w:val="left"/>
        <w:shd w:val="clear" w:fill="F2F2F2"/>
      </w:pPr>
      <w:r>
        <w:rPr>
          <w:rFonts w:ascii="Consolas" w:hAnsi="Consolas" w:cs="Consolas"/>
          <w:b w:val="0"/>
          <w:i w:val="0"/>
          <w:sz w:val="15"/>
        </w:rPr>
        <w:t>preferred_trigger          the primary evidence event that authorizes disbursement</w:t>
      </w:r>
    </w:p>
    <w:p>
      <w:pPr>
        <w:spacing w:after="0" w:before="0" w:line="240" w:lineRule="auto"/>
        <w:ind w:left="57"/>
        <w:jc w:val="left"/>
        <w:shd w:val="clear" w:fill="F2F2F2"/>
      </w:pPr>
      <w:r>
        <w:rPr>
          <w:rFonts w:ascii="Consolas" w:hAnsi="Consolas" w:cs="Consolas"/>
          <w:b w:val="0"/>
          <w:i w:val="0"/>
          <w:sz w:val="15"/>
        </w:rPr>
        <w:t>required_evidence_set      the authoritative evidence the trigger requires</w:t>
      </w:r>
    </w:p>
    <w:p>
      <w:pPr>
        <w:spacing w:after="0" w:before="0" w:line="240" w:lineRule="auto"/>
        <w:ind w:left="57"/>
        <w:jc w:val="left"/>
        <w:shd w:val="clear" w:fill="F2F2F2"/>
      </w:pPr>
      <w:r>
        <w:rPr>
          <w:rFonts w:ascii="Consolas" w:hAnsi="Consolas" w:cs="Consolas"/>
          <w:b w:val="0"/>
          <w:i w:val="0"/>
          <w:sz w:val="15"/>
        </w:rPr>
        <w:t>acceptable_alternatives    alternative evidence combinations that satisfy the trigger</w:t>
      </w:r>
    </w:p>
    <w:p>
      <w:pPr>
        <w:spacing w:after="0" w:before="0" w:line="240" w:lineRule="auto"/>
        <w:ind w:left="57"/>
        <w:jc w:val="left"/>
        <w:shd w:val="clear" w:fill="F2F2F2"/>
      </w:pPr>
      <w:r>
        <w:rPr>
          <w:rFonts w:ascii="Consolas" w:hAnsi="Consolas" w:cs="Consolas"/>
          <w:b w:val="0"/>
          <w:i w:val="0"/>
          <w:sz w:val="15"/>
        </w:rPr>
        <w:t>financier_policy           financier-specific additions or restrictions</w:t>
      </w:r>
    </w:p>
    <w:p>
      <w:pPr>
        <w:spacing w:after="0" w:before="0" w:line="240" w:lineRule="auto"/>
        <w:ind w:left="57"/>
        <w:jc w:val="left"/>
        <w:shd w:val="clear" w:fill="F2F2F2"/>
      </w:pPr>
      <w:r>
        <w:rPr>
          <w:rFonts w:ascii="Consolas" w:hAnsi="Consolas" w:cs="Consolas"/>
          <w:b w:val="0"/>
          <w:i w:val="0"/>
          <w:sz w:val="15"/>
        </w:rPr>
        <w:t>jurisdictional_conditions  corridor- and jurisdiction-specific conditions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Worked example: a product may define PREFERRED trigger as Bill of Lading plus loading confirmation; ALTERNATIVE as carrier API loading confirmation plus a verified document; FINANCIER policy as an additional warehouse evidence requirement. The disbursement eligibility gate (Section 10.27) evaluates the configured trigger and evidence set; the financier remains responsible for its own credit and disbursement policy at all times. Triggers reference authoritative evidence classes only (Section 19.32.1); an assertion or an AI-estimated event can never satisfy a disbursement trigger.</w:t>
      </w:r>
    </w:p>
    <w:p>
      <w:pPr>
        <w:keepNext/>
        <w:spacing w:before="180" w:after="80"/>
        <w:outlineLvl w:val="2"/>
      </w:pPr>
      <w:r>
        <w:rPr>
          <w:rFonts w:ascii="Arial" w:hAnsi="Arial" w:cs="Arial"/>
          <w:b/>
          <w:i w:val="0"/>
          <w:color w:val="333333"/>
          <w:sz w:val="23"/>
        </w:rPr>
        <w:t>10.28.2 Financier Quotation (GTID-Bound) and Bank-Direct Disbursement</w:t>
      </w:r>
    </w:p>
    <w:p>
      <w:pPr>
        <w:spacing w:after="80" w:line="293" w:lineRule="auto"/>
        <w:jc w:val="left"/>
      </w:pPr>
      <w:r>
        <w:rPr>
          <w:rFonts w:ascii="Times New Roman" w:hAnsi="Times New Roman" w:cs="Times New Roman"/>
          <w:b w:val="0"/>
          <w:i w:val="0"/>
          <w:sz w:val="22"/>
        </w:rPr>
        <w:t>Financing bids are quotations in the same GTID-bound model as all other platform services. A financier quote references the USTN, discloses amount, tenor, APR, collateral, and settlement method, and carries the Governor decision and Loom hash:</w:t>
      </w:r>
    </w:p>
    <w:p>
      <w:pPr>
        <w:spacing w:after="80" w:line="293" w:lineRule="auto"/>
        <w:jc w:val="left"/>
      </w:pPr>
      <w:r>
        <w:rPr>
          <w:rFonts w:ascii="Times New Roman" w:hAnsi="Times New Roman" w:cs="Times New Roman"/>
          <w:b w:val="0"/>
          <w:i w:val="0"/>
          <w:sz w:val="22"/>
        </w:rPr>
        <w:t>1. Party requests financing for locked trade</w:t>
      </w:r>
    </w:p>
    <w:p>
      <w:pPr>
        <w:spacing w:after="80" w:line="293" w:lineRule="auto"/>
        <w:jc w:val="left"/>
      </w:pPr>
      <w:r>
        <w:rPr>
          <w:rFonts w:ascii="Times New Roman" w:hAnsi="Times New Roman" w:cs="Times New Roman"/>
          <w:b w:val="0"/>
          <w:i w:val="0"/>
          <w:sz w:val="22"/>
        </w:rPr>
        <w:t>2. System creates financing request with USTN reference</w:t>
      </w:r>
    </w:p>
    <w:p>
      <w:pPr>
        <w:spacing w:after="80" w:line="293" w:lineRule="auto"/>
        <w:jc w:val="left"/>
      </w:pPr>
      <w:r>
        <w:rPr>
          <w:rFonts w:ascii="Times New Roman" w:hAnsi="Times New Roman" w:cs="Times New Roman"/>
          <w:b w:val="0"/>
          <w:i w:val="0"/>
          <w:sz w:val="22"/>
        </w:rPr>
        <w:t>3. Financier receives full disclosure</w:t>
      </w:r>
    </w:p>
    <w:p>
      <w:pPr>
        <w:spacing w:after="80" w:line="293" w:lineRule="auto"/>
        <w:jc w:val="left"/>
      </w:pPr>
      <w:r>
        <w:rPr>
          <w:rFonts w:ascii="Times New Roman" w:hAnsi="Times New Roman" w:cs="Times New Roman"/>
          <w:b w:val="0"/>
          <w:i w:val="0"/>
          <w:sz w:val="22"/>
        </w:rPr>
        <w:t>4. Financier submits bid (from GTID)</w:t>
      </w:r>
    </w:p>
    <w:p>
      <w:pPr>
        <w:spacing w:after="80" w:line="293" w:lineRule="auto"/>
        <w:jc w:val="left"/>
      </w:pPr>
      <w:r>
        <w:rPr>
          <w:rFonts w:ascii="Times New Roman" w:hAnsi="Times New Roman" w:cs="Times New Roman"/>
          <w:b w:val="0"/>
          <w:i w:val="0"/>
          <w:sz w:val="22"/>
        </w:rPr>
        <w:t>5. Borrower accepts bid (co-financing possible)</w:t>
      </w:r>
    </w:p>
    <w:p>
      <w:pPr>
        <w:spacing w:after="80" w:line="293" w:lineRule="auto"/>
        <w:jc w:val="left"/>
      </w:pPr>
      <w:r>
        <w:rPr>
          <w:rFonts w:ascii="Times New Roman" w:hAnsi="Times New Roman" w:cs="Times New Roman"/>
          <w:b w:val="0"/>
          <w:i w:val="0"/>
          <w:sz w:val="22"/>
        </w:rPr>
        <w:t>6. Financing agreement signed</w:t>
      </w:r>
    </w:p>
    <w:p>
      <w:pPr>
        <w:spacing w:after="80" w:line="293" w:lineRule="auto"/>
        <w:jc w:val="left"/>
      </w:pPr>
      <w:r>
        <w:rPr>
          <w:rFonts w:ascii="Times New Roman" w:hAnsi="Times New Roman" w:cs="Times New Roman"/>
          <w:b w:val="0"/>
          <w:i w:val="0"/>
          <w:sz w:val="22"/>
        </w:rPr>
        <w:t>Financier Quote Example:</w:t>
      </w:r>
    </w:p>
    <w:p>
      <w:pPr>
        <w:spacing w:after="0" w:before="0" w:line="240" w:lineRule="auto"/>
        <w:ind w:left="57"/>
        <w:jc w:val="left"/>
        <w:shd w:val="clear" w:fill="F2F2F2"/>
      </w:pPr>
      <w:r>
        <w:rPr>
          <w:rFonts w:ascii="Consolas" w:hAnsi="Consolas" w:cs="Consolas"/>
          <w:b w:val="0"/>
          <w:i w:val="0"/>
          <w:sz w:val="16"/>
        </w:rPr>
        <w:t>{</w:t>
      </w:r>
    </w:p>
    <w:p>
      <w:pPr>
        <w:spacing w:after="0" w:before="0" w:line="240" w:lineRule="auto"/>
        <w:ind w:left="57"/>
        <w:jc w:val="left"/>
        <w:shd w:val="clear" w:fill="F2F2F2"/>
      </w:pPr>
      <w:r>
        <w:rPr>
          <w:rFonts w:ascii="Consolas" w:hAnsi="Consolas" w:cs="Consolas"/>
          <w:b w:val="0"/>
          <w:i w:val="0"/>
          <w:sz w:val="16"/>
        </w:rPr>
        <w:t xml:space="preserve">  "quotation_id": "QT-FIN-001",</w:t>
      </w:r>
    </w:p>
    <w:p>
      <w:pPr>
        <w:spacing w:after="0" w:before="0" w:line="240" w:lineRule="auto"/>
        <w:ind w:left="57"/>
        <w:jc w:val="left"/>
        <w:shd w:val="clear" w:fill="F2F2F2"/>
      </w:pPr>
      <w:r>
        <w:rPr>
          <w:rFonts w:ascii="Consolas" w:hAnsi="Consolas" w:cs="Consolas"/>
          <w:b w:val="0"/>
          <w:i w:val="0"/>
          <w:sz w:val="16"/>
        </w:rPr>
        <w:t xml:space="preserve">  "ustn": "SGTX-EG-26-F3A-1",</w:t>
      </w:r>
    </w:p>
    <w:p>
      <w:pPr>
        <w:spacing w:after="0" w:before="0" w:line="240" w:lineRule="auto"/>
        <w:ind w:left="57"/>
        <w:jc w:val="left"/>
        <w:shd w:val="clear" w:fill="F2F2F2"/>
      </w:pPr>
      <w:r>
        <w:rPr>
          <w:rFonts w:ascii="Consolas" w:hAnsi="Consolas" w:cs="Consolas"/>
          <w:b w:val="0"/>
          <w:i w:val="0"/>
          <w:sz w:val="16"/>
        </w:rPr>
        <w:t xml:space="preserve">  "provider_gtid": "SGTX-EG-FIN-001",</w:t>
      </w:r>
    </w:p>
    <w:p>
      <w:pPr>
        <w:spacing w:after="0" w:before="0" w:line="240" w:lineRule="auto"/>
        <w:ind w:left="57"/>
        <w:jc w:val="left"/>
        <w:shd w:val="clear" w:fill="F2F2F2"/>
      </w:pPr>
      <w:r>
        <w:rPr>
          <w:rFonts w:ascii="Consolas" w:hAnsi="Consolas" w:cs="Consolas"/>
          <w:b w:val="0"/>
          <w:i w:val="0"/>
          <w:sz w:val="16"/>
        </w:rPr>
        <w:t xml:space="preserve">  "provider_name": "CIB Egypt",</w:t>
      </w:r>
    </w:p>
    <w:p>
      <w:pPr>
        <w:spacing w:after="0" w:before="0" w:line="240" w:lineRule="auto"/>
        <w:ind w:left="57"/>
        <w:jc w:val="left"/>
        <w:shd w:val="clear" w:fill="F2F2F2"/>
      </w:pPr>
      <w:r>
        <w:rPr>
          <w:rFonts w:ascii="Consolas" w:hAnsi="Consolas" w:cs="Consolas"/>
          <w:b w:val="0"/>
          <w:i w:val="0"/>
          <w:sz w:val="16"/>
        </w:rPr>
        <w:t xml:space="preserve">  "service_type": "PRE_SHIPMENT_FINANCING",</w:t>
      </w:r>
    </w:p>
    <w:p>
      <w:pPr>
        <w:spacing w:after="0" w:before="0" w:line="240" w:lineRule="auto"/>
        <w:ind w:left="57"/>
        <w:jc w:val="left"/>
        <w:shd w:val="clear" w:fill="F2F2F2"/>
      </w:pPr>
      <w:r>
        <w:rPr>
          <w:rFonts w:ascii="Consolas" w:hAnsi="Consolas" w:cs="Consolas"/>
          <w:b w:val="0"/>
          <w:i w:val="0"/>
          <w:sz w:val="16"/>
        </w:rPr>
        <w:t xml:space="preserve">  "service_details": {</w:t>
      </w:r>
    </w:p>
    <w:p>
      <w:pPr>
        <w:spacing w:after="0" w:before="0" w:line="240" w:lineRule="auto"/>
        <w:ind w:left="57"/>
        <w:jc w:val="left"/>
        <w:shd w:val="clear" w:fill="F2F2F2"/>
      </w:pPr>
      <w:r>
        <w:rPr>
          <w:rFonts w:ascii="Consolas" w:hAnsi="Consolas" w:cs="Consolas"/>
          <w:b w:val="0"/>
          <w:i w:val="0"/>
          <w:sz w:val="16"/>
        </w:rPr>
        <w:t xml:space="preserve">    "amount": 100000.00,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"tenor_days": 60,</w:t>
      </w:r>
    </w:p>
    <w:p>
      <w:pPr>
        <w:spacing w:after="0" w:before="0" w:line="240" w:lineRule="auto"/>
        <w:ind w:left="57"/>
        <w:jc w:val="left"/>
        <w:shd w:val="clear" w:fill="F2F2F2"/>
      </w:pPr>
      <w:r>
        <w:rPr>
          <w:rFonts w:ascii="Consolas" w:hAnsi="Consolas" w:cs="Consolas"/>
          <w:b w:val="0"/>
          <w:i w:val="0"/>
          <w:sz w:val="16"/>
        </w:rPr>
        <w:t xml:space="preserve">    "apr": 4.8,</w:t>
      </w:r>
    </w:p>
    <w:p>
      <w:pPr>
        <w:spacing w:after="0" w:before="0" w:line="240" w:lineRule="auto"/>
        <w:ind w:left="57"/>
        <w:jc w:val="left"/>
        <w:shd w:val="clear" w:fill="F2F2F2"/>
      </w:pPr>
      <w:r>
        <w:rPr>
          <w:rFonts w:ascii="Consolas" w:hAnsi="Consolas" w:cs="Consolas"/>
          <w:b w:val="0"/>
          <w:i w:val="0"/>
          <w:sz w:val="16"/>
        </w:rPr>
        <w:t xml:space="preserve">    "collateral": "Goods",</w:t>
      </w:r>
    </w:p>
    <w:p>
      <w:pPr>
        <w:spacing w:after="0" w:before="0" w:line="240" w:lineRule="auto"/>
        <w:ind w:left="57"/>
        <w:jc w:val="left"/>
        <w:shd w:val="clear" w:fill="F2F2F2"/>
      </w:pPr>
      <w:r>
        <w:rPr>
          <w:rFonts w:ascii="Consolas" w:hAnsi="Consolas" w:cs="Consolas"/>
          <w:b w:val="0"/>
          <w:i w:val="0"/>
          <w:sz w:val="16"/>
        </w:rPr>
        <w:t xml:space="preserve">    "settlement_method": "Bank Transfer"</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"fee": {</w:t>
      </w:r>
    </w:p>
    <w:p>
      <w:pPr>
        <w:spacing w:after="0" w:before="0" w:line="240" w:lineRule="auto"/>
        <w:ind w:left="57"/>
        <w:jc w:val="left"/>
        <w:shd w:val="clear" w:fill="F2F2F2"/>
      </w:pPr>
      <w:r>
        <w:rPr>
          <w:rFonts w:ascii="Consolas" w:hAnsi="Consolas" w:cs="Consolas"/>
          <w:b w:val="0"/>
          <w:i w:val="0"/>
          <w:sz w:val="16"/>
        </w:rPr>
        <w:t xml:space="preserve">    "amount": 100.00,</w:t>
      </w:r>
    </w:p>
    <w:p>
      <w:pPr>
        <w:spacing w:after="0" w:before="0" w:line="240" w:lineRule="auto"/>
        <w:ind w:left="57"/>
        <w:jc w:val="left"/>
        <w:shd w:val="clear" w:fill="F2F2F2"/>
      </w:pPr>
      <w:r>
        <w:rPr>
          <w:rFonts w:ascii="Consolas" w:hAnsi="Consolas" w:cs="Consolas"/>
          <w:b w:val="0"/>
          <w:i w:val="0"/>
          <w:sz w:val="16"/>
        </w:rPr>
        <w:t xml:space="preserve">    "currency": "USD",</w:t>
      </w:r>
    </w:p>
    <w:p>
      <w:pPr>
        <w:spacing w:after="0" w:before="0" w:line="240" w:lineRule="auto"/>
        <w:ind w:left="57"/>
        <w:jc w:val="left"/>
        <w:shd w:val="clear" w:fill="F2F2F2"/>
      </w:pPr>
      <w:r>
        <w:rPr>
          <w:rFonts w:ascii="Consolas" w:hAnsi="Consolas" w:cs="Consolas"/>
          <w:b w:val="0"/>
          <w:i w:val="0"/>
          <w:sz w:val="16"/>
        </w:rPr>
        <w:t xml:space="preserve">    "terms": "MANDATORY",</w:t>
      </w:r>
    </w:p>
    <w:p>
      <w:pPr>
        <w:spacing w:after="0" w:before="0" w:line="240" w:lineRule="auto"/>
        <w:ind w:left="57"/>
        <w:jc w:val="left"/>
        <w:shd w:val="clear" w:fill="F2F2F2"/>
      </w:pPr>
      <w:r>
        <w:rPr>
          <w:rFonts w:ascii="Consolas" w:hAnsi="Consolas" w:cs="Consolas"/>
          <w:b w:val="0"/>
          <w:i w:val="0"/>
          <w:sz w:val="16"/>
        </w:rPr>
        <w:t xml:space="preserve">    "condition": "DISBURSED"</w:t>
      </w:r>
    </w:p>
    <w:p>
      <w:pPr>
        <w:spacing w:after="0" w:before="0" w:line="240" w:lineRule="auto"/>
        <w:ind w:left="57"/>
        <w:jc w:val="left"/>
        <w:shd w:val="clear" w:fill="F2F2F2"/>
      </w:pPr>
      <w:r>
        <w:rPr>
          <w:rFonts w:ascii="Consolas" w:hAnsi="Consolas" w:cs="Consolas"/>
          <w:b w:val="0"/>
          <w:i w:val="0"/>
          <w:sz w:val="16"/>
        </w:rPr>
        <w:t xml:space="preserve">  },</w:t>
      </w:r>
    </w:p>
    <w:p>
      <w:pPr>
        <w:spacing w:after="0" w:before="0" w:line="240" w:lineRule="auto"/>
        <w:ind w:left="57"/>
        <w:jc w:val="left"/>
        <w:shd w:val="clear" w:fill="F2F2F2"/>
      </w:pPr>
      <w:r>
        <w:rPr>
          <w:rFonts w:ascii="Consolas" w:hAnsi="Consolas" w:cs="Consolas"/>
          <w:b w:val="0"/>
          <w:i w:val="0"/>
          <w:sz w:val="16"/>
        </w:rPr>
        <w:t xml:space="preserve">  "valid_until": "2026-09-15T23:59:59Z",</w:t>
      </w:r>
    </w:p>
    <w:p>
      <w:pPr>
        <w:spacing w:after="0" w:before="0" w:line="240" w:lineRule="auto"/>
        <w:ind w:left="57"/>
        <w:jc w:val="left"/>
        <w:shd w:val="clear" w:fill="F2F2F2"/>
      </w:pPr>
      <w:r>
        <w:rPr>
          <w:rFonts w:ascii="Consolas" w:hAnsi="Consolas" w:cs="Consolas"/>
          <w:b w:val="0"/>
          <w:i w:val="0"/>
          <w:sz w:val="16"/>
        </w:rPr>
        <w:t xml:space="preserve">  "quoted_at": "2026-09-08T11:00:00Z",</w:t>
      </w:r>
    </w:p>
    <w:p>
      <w:pPr>
        <w:spacing w:after="0" w:before="0" w:line="240" w:lineRule="auto"/>
        <w:ind w:left="57"/>
        <w:jc w:val="left"/>
        <w:shd w:val="clear" w:fill="F2F2F2"/>
      </w:pPr>
      <w:r>
        <w:rPr>
          <w:rFonts w:ascii="Consolas" w:hAnsi="Consolas" w:cs="Consolas"/>
          <w:b w:val="0"/>
          <w:i w:val="0"/>
          <w:sz w:val="16"/>
        </w:rPr>
        <w:t xml:space="preserve">  "governor_decision_id": "dec-fin001",</w:t>
      </w:r>
    </w:p>
    <w:p>
      <w:pPr>
        <w:spacing w:after="0" w:before="0" w:line="240" w:lineRule="auto"/>
        <w:ind w:left="57"/>
        <w:jc w:val="left"/>
        <w:shd w:val="clear" w:fill="F2F2F2"/>
      </w:pPr>
      <w:r>
        <w:rPr>
          <w:rFonts w:ascii="Consolas" w:hAnsi="Consolas" w:cs="Consolas"/>
          <w:b w:val="0"/>
          <w:i w:val="0"/>
          <w:sz w:val="16"/>
        </w:rPr>
        <w:t xml:space="preserve">  "loom_hash": "sha256:fin123..."</w:t>
      </w:r>
    </w:p>
    <w:p>
      <w:pPr>
        <w:spacing w:after="0" w:before="0" w:line="240" w:lineRule="auto"/>
        <w:ind w:left="57"/>
        <w:jc w:val="left"/>
        <w:shd w:val="clear" w:fill="F2F2F2"/>
      </w:pPr>
      <w:r>
        <w:rPr>
          <w:rFonts w:ascii="Consolas" w:hAnsi="Consolas" w:cs="Consolas"/>
          <w:b w:val="0"/>
          <w:i w:val="0"/>
          <w:sz w:val="16"/>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Disbursement executes through the Direct Bank Settlement Architecture (Section 13), specifically the disbursement sequence of Section 10.28: the Bank Settlement Gateway constructs an ISO 20022 pain.001 referencing the USTN and the FINANCING leg, the financier's bank debits the financier account and credits the borrower, camt.054 confirmation is matched to the instruction, and the financing FeeLock becomes ACTIVE. The disbursement is reconciled exactly like every other settlement leg.</w:t>
      </w:r>
    </w:p>
    <w:p>
      <w:pPr>
        <w:keepNext/>
        <w:spacing w:before="240" w:after="100"/>
        <w:outlineLvl w:val="1"/>
      </w:pPr>
      <w:r>
        <w:rPr>
          <w:rFonts w:ascii="Arial" w:hAnsi="Arial" w:cs="Arial"/>
          <w:b/>
          <w:i w:val="0"/>
          <w:color w:val="2E528F"/>
          <w:sz w:val="26"/>
        </w:rPr>
        <w:t>10.29 Bank Reality (Evidence-Based)</w:t>
      </w:r>
    </w:p>
    <w:p>
      <w:pPr>
        <w:spacing w:after="80" w:line="293" w:lineRule="auto"/>
        <w:jc w:val="left"/>
      </w:pPr>
      <w:r>
        <w:rPr>
          <w:rFonts w:ascii="Times New Roman" w:hAnsi="Times New Roman" w:cs="Times New Roman"/>
          <w:b w:val="0"/>
          <w:i w:val="0"/>
          <w:sz w:val="22"/>
        </w:rPr>
        <w:t>Financing state advances only on authoritative financial evidence: bank confirmation (pain.002/camt.054); SWIFT gpi tracking; open banking; payment rail status; bank-side settlement gateway; reconciliation evidence. Rule: never rely exclusively on SGTX's outbound API request.</w:t>
      </w:r>
    </w:p>
    <w:p>
      <w:pPr>
        <w:keepNext/>
        <w:spacing w:before="240" w:after="100"/>
        <w:outlineLvl w:val="1"/>
      </w:pPr>
      <w:r>
        <w:rPr>
          <w:rFonts w:ascii="Arial" w:hAnsi="Arial" w:cs="Arial"/>
          <w:b/>
          <w:i w:val="0"/>
          <w:color w:val="2E528F"/>
          <w:sz w:val="26"/>
        </w:rPr>
        <w:t>10.30 Financing Fee</w:t>
      </w:r>
    </w:p>
    <w:p>
      <w:pPr>
        <w:spacing w:after="80" w:line="293" w:lineRule="auto"/>
        <w:jc w:val="left"/>
      </w:pPr>
      <w:r>
        <w:rPr>
          <w:rFonts w:ascii="Times New Roman" w:hAnsi="Times New Roman" w:cs="Times New Roman"/>
          <w:b w:val="0"/>
          <w:i w:val="0"/>
          <w:sz w:val="22"/>
        </w:rPr>
        <w:t>Strictly separate: Financing Principal; Financing Fee; SGTX Platform Fee; Trade Payment. Every amount must have an explicit economic purpose.</w:t>
      </w:r>
    </w:p>
    <w:p>
      <w:pPr>
        <w:spacing w:after="80" w:line="293" w:lineRule="auto"/>
        <w:jc w:val="left"/>
      </w:pPr>
      <w:r>
        <w:rPr>
          <w:rFonts w:ascii="Times New Roman" w:hAnsi="Times New Roman" w:cs="Times New Roman"/>
          <w:b w:val="0"/>
          <w:i w:val="0"/>
          <w:sz w:val="22"/>
        </w:rPr>
        <w:t>The SGTX financing service fee is a flat 0.25% of the financed amount, payable exclusively by the borrower and deducted from the disbursed principal via a dedicated settlement leg. Fee currency: USD, EGP, or EURO. Calculation example: financed amount $100,000 → SGTX financing fee $250; each co-financier's portion is split independently (P_i − 0.25% × P_i to the borrower; 0.25% × P_i to SGTX).</w:t>
      </w:r>
    </w:p>
    <w:p>
      <w:pPr>
        <w:keepNext/>
        <w:spacing w:before="240" w:after="100"/>
        <w:outlineLvl w:val="1"/>
      </w:pPr>
      <w:r>
        <w:rPr>
          <w:rFonts w:ascii="Arial" w:hAnsi="Arial" w:cs="Arial"/>
          <w:b/>
          <w:i w:val="0"/>
          <w:color w:val="2E528F"/>
          <w:sz w:val="26"/>
        </w:rPr>
        <w:t>10.31 Fee Reconciliation</w:t>
      </w:r>
    </w:p>
    <w:p>
      <w:pPr>
        <w:spacing w:after="80" w:line="293" w:lineRule="auto"/>
        <w:jc w:val="left"/>
      </w:pPr>
      <w:r>
        <w:rPr>
          <w:rFonts w:ascii="Times New Roman" w:hAnsi="Times New Roman" w:cs="Times New Roman"/>
          <w:b w:val="0"/>
          <w:i w:val="0"/>
          <w:sz w:val="22"/>
        </w:rPr>
        <w:t>For every disbursement, reconcile: Gross Financing; Financing Fee; Other Deductions; Net Disbursement; Destination; Authoritative Confirmation. Mathematical reconciliation must always hold.</w:t>
      </w:r>
    </w:p>
    <w:p>
      <w:pPr>
        <w:keepNext/>
        <w:spacing w:before="240" w:after="100"/>
        <w:outlineLvl w:val="1"/>
      </w:pPr>
      <w:r>
        <w:rPr>
          <w:rFonts w:ascii="Arial" w:hAnsi="Arial" w:cs="Arial"/>
          <w:b/>
          <w:i w:val="0"/>
          <w:color w:val="2E528F"/>
          <w:sz w:val="26"/>
        </w:rPr>
        <w:t>10.32 Repayment Engine</w:t>
      </w:r>
    </w:p>
    <w:p>
      <w:pPr>
        <w:spacing w:after="80" w:line="293" w:lineRule="auto"/>
        <w:jc w:val="left"/>
      </w:pPr>
      <w:r>
        <w:rPr>
          <w:rFonts w:ascii="Times New Roman" w:hAnsi="Times New Roman" w:cs="Times New Roman"/>
          <w:b w:val="0"/>
          <w:i w:val="0"/>
          <w:sz w:val="22"/>
        </w:rPr>
        <w:t>Tracks: principal due; interest/cost due; fees; due date; paid amount; unpaid amount; days overdue; next installment; outstanding balance.</w:t>
      </w:r>
    </w:p>
    <w:p>
      <w:pPr>
        <w:spacing w:after="80" w:line="293" w:lineRule="auto"/>
        <w:jc w:val="left"/>
      </w:pPr>
      <w:r>
        <w:rPr>
          <w:rFonts w:ascii="Times New Roman" w:hAnsi="Times New Roman" w:cs="Times New Roman"/>
          <w:b w:val="0"/>
          <w:i w:val="0"/>
          <w:sz w:val="22"/>
        </w:rPr>
        <w:t>The borrower repays financier(s) directly according to the repayment schedule; SGTX does not collect any fee at this stage. Monitoring: bank confirmations (camt.054) or OpenBanking reconciliation detect repayment. Upon full repayment: the corresponding financing FeeLock is released; the financier's historical record is updated; the borrower's credit score is recalculated.</w:t>
      </w:r>
    </w:p>
    <w:p>
      <w:pPr>
        <w:spacing w:after="80" w:line="293" w:lineRule="auto"/>
        <w:jc w:val="left"/>
      </w:pPr>
      <w:r>
        <w:rPr>
          <w:rFonts w:ascii="Times New Roman" w:hAnsi="Times New Roman" w:cs="Times New Roman"/>
          <w:b w:val="0"/>
          <w:i w:val="0"/>
          <w:sz w:val="22"/>
        </w:rPr>
        <w:t>Repayment dashboard (borrower) example:</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Financier</w:t>
            </w:r>
          </w:p>
        </w:tc>
        <w:tc>
          <w:tcPr>
            <w:tcW w:type="dxa" w:w="1606"/>
            <w:shd w:val="clear" w:fill="D9E2F3"/>
          </w:tcPr>
          <w:p>
            <w:pPr>
              <w:spacing w:after="20" w:before="20" w:line="240" w:lineRule="auto"/>
            </w:pPr>
            <w:r/>
            <w:r>
              <w:rPr>
                <w:rFonts w:ascii="Arial" w:hAnsi="Arial" w:cs="Arial"/>
                <w:b/>
                <w:i w:val="0"/>
                <w:sz w:val="18"/>
              </w:rPr>
              <w:t>Amount</w:t>
            </w:r>
          </w:p>
        </w:tc>
        <w:tc>
          <w:tcPr>
            <w:tcW w:type="dxa" w:w="1606"/>
            <w:shd w:val="clear" w:fill="D9E2F3"/>
          </w:tcPr>
          <w:p>
            <w:pPr>
              <w:spacing w:after="20" w:before="20" w:line="240" w:lineRule="auto"/>
            </w:pPr>
            <w:r/>
            <w:r>
              <w:rPr>
                <w:rFonts w:ascii="Arial" w:hAnsi="Arial" w:cs="Arial"/>
                <w:b/>
                <w:i w:val="0"/>
                <w:sz w:val="18"/>
              </w:rPr>
              <w:t>APR</w:t>
            </w:r>
          </w:p>
        </w:tc>
        <w:tc>
          <w:tcPr>
            <w:tcW w:type="dxa" w:w="1606"/>
            <w:shd w:val="clear" w:fill="D9E2F3"/>
          </w:tcPr>
          <w:p>
            <w:pPr>
              <w:spacing w:after="20" w:before="20" w:line="240" w:lineRule="auto"/>
            </w:pPr>
            <w:r/>
            <w:r>
              <w:rPr>
                <w:rFonts w:ascii="Arial" w:hAnsi="Arial" w:cs="Arial"/>
                <w:b/>
                <w:i w:val="0"/>
                <w:sz w:val="18"/>
              </w:rPr>
              <w:t>Outstanding</w:t>
            </w:r>
          </w:p>
        </w:tc>
        <w:tc>
          <w:tcPr>
            <w:tcW w:type="dxa" w:w="1606"/>
            <w:shd w:val="clear" w:fill="D9E2F3"/>
          </w:tcPr>
          <w:p>
            <w:pPr>
              <w:spacing w:after="20" w:before="20" w:line="240" w:lineRule="auto"/>
            </w:pPr>
            <w:r/>
            <w:r>
              <w:rPr>
                <w:rFonts w:ascii="Arial" w:hAnsi="Arial" w:cs="Arial"/>
                <w:b/>
                <w:i w:val="0"/>
                <w:sz w:val="18"/>
              </w:rPr>
              <w:t>Next Payment</w:t>
            </w:r>
          </w:p>
        </w:tc>
        <w:tc>
          <w:tcPr>
            <w:tcW w:type="dxa" w:w="1606"/>
            <w:shd w:val="clear" w:fill="D9E2F3"/>
          </w:tcPr>
          <w:p>
            <w:pPr>
              <w:spacing w:after="20" w:before="20" w:line="240" w:lineRule="auto"/>
            </w:pPr>
            <w:r/>
            <w:r>
              <w:rPr>
                <w:rFonts w:ascii="Arial" w:hAnsi="Arial" w:cs="Arial"/>
                <w:b/>
                <w:i w:val="0"/>
                <w:sz w:val="18"/>
              </w:rPr>
              <w:t>Status</w:t>
            </w:r>
          </w:p>
        </w:tc>
      </w:tr>
      <w:tr>
        <w:tc>
          <w:tcPr>
            <w:tcW w:type="dxa" w:w="1606"/>
          </w:tcPr>
          <w:p>
            <w:pPr>
              <w:spacing w:after="20" w:before="20" w:line="240" w:lineRule="auto"/>
            </w:pPr>
            <w:r/>
            <w:r>
              <w:rPr>
                <w:rFonts w:ascii="Arial" w:hAnsi="Arial" w:cs="Arial"/>
                <w:b w:val="0"/>
                <w:i w:val="0"/>
                <w:sz w:val="17"/>
              </w:rPr>
              <w:t>Bank X</w:t>
            </w:r>
          </w:p>
        </w:tc>
        <w:tc>
          <w:tcPr>
            <w:tcW w:type="dxa" w:w="1606"/>
          </w:tcPr>
          <w:p>
            <w:pPr>
              <w:spacing w:after="20" w:before="20" w:line="240" w:lineRule="auto"/>
            </w:pPr>
            <w:r/>
            <w:r>
              <w:rPr>
                <w:rFonts w:ascii="Arial" w:hAnsi="Arial" w:cs="Arial"/>
                <w:b w:val="0"/>
                <w:i w:val="0"/>
                <w:sz w:val="17"/>
              </w:rPr>
              <w:t>$60,000</w:t>
            </w:r>
          </w:p>
        </w:tc>
        <w:tc>
          <w:tcPr>
            <w:tcW w:type="dxa" w:w="1606"/>
          </w:tcPr>
          <w:p>
            <w:pPr>
              <w:spacing w:after="20" w:before="20" w:line="240" w:lineRule="auto"/>
            </w:pPr>
            <w:r/>
            <w:r>
              <w:rPr>
                <w:rFonts w:ascii="Arial" w:hAnsi="Arial" w:cs="Arial"/>
                <w:b w:val="0"/>
                <w:i w:val="0"/>
                <w:sz w:val="17"/>
              </w:rPr>
              <w:t>4.8%</w:t>
            </w:r>
          </w:p>
        </w:tc>
        <w:tc>
          <w:tcPr>
            <w:tcW w:type="dxa" w:w="1606"/>
          </w:tcPr>
          <w:p>
            <w:pPr>
              <w:spacing w:after="20" w:before="20" w:line="240" w:lineRule="auto"/>
            </w:pPr>
            <w:r/>
            <w:r>
              <w:rPr>
                <w:rFonts w:ascii="Arial" w:hAnsi="Arial" w:cs="Arial"/>
                <w:b w:val="0"/>
                <w:i w:val="0"/>
                <w:sz w:val="17"/>
              </w:rPr>
              <w:t>$55,000</w:t>
            </w:r>
          </w:p>
        </w:tc>
        <w:tc>
          <w:tcPr>
            <w:tcW w:type="dxa" w:w="1606"/>
          </w:tcPr>
          <w:p>
            <w:pPr>
              <w:spacing w:after="20" w:before="20" w:line="240" w:lineRule="auto"/>
            </w:pPr>
            <w:r/>
            <w:r>
              <w:rPr>
                <w:rFonts w:ascii="Arial" w:hAnsi="Arial" w:cs="Arial"/>
                <w:b w:val="0"/>
                <w:i w:val="0"/>
                <w:sz w:val="17"/>
              </w:rPr>
              <w:t>2026-07-20</w:t>
            </w:r>
          </w:p>
        </w:tc>
        <w:tc>
          <w:tcPr>
            <w:tcW w:type="dxa" w:w="1606"/>
          </w:tcPr>
          <w:p>
            <w:pPr>
              <w:spacing w:after="20" w:before="20" w:line="240" w:lineRule="auto"/>
            </w:pPr>
            <w:r/>
            <w:r>
              <w:rPr>
                <w:rFonts w:ascii="Arial" w:hAnsi="Arial" w:cs="Arial"/>
                <w:b w:val="0"/>
                <w:i w:val="0"/>
                <w:sz w:val="17"/>
              </w:rPr>
              <w:t>On Track</w:t>
            </w:r>
          </w:p>
        </w:tc>
      </w:tr>
      <w:tr>
        <w:tc>
          <w:tcPr>
            <w:tcW w:type="dxa" w:w="1606"/>
          </w:tcPr>
          <w:p>
            <w:pPr>
              <w:spacing w:after="20" w:before="20" w:line="240" w:lineRule="auto"/>
            </w:pPr>
            <w:r/>
            <w:r>
              <w:rPr>
                <w:rFonts w:ascii="Arial" w:hAnsi="Arial" w:cs="Arial"/>
                <w:b w:val="0"/>
                <w:i w:val="0"/>
                <w:sz w:val="17"/>
              </w:rPr>
              <w:t>PFI Y</w:t>
            </w:r>
          </w:p>
        </w:tc>
        <w:tc>
          <w:tcPr>
            <w:tcW w:type="dxa" w:w="1606"/>
          </w:tcPr>
          <w:p>
            <w:pPr>
              <w:spacing w:after="20" w:before="20" w:line="240" w:lineRule="auto"/>
            </w:pPr>
            <w:r/>
            <w:r>
              <w:rPr>
                <w:rFonts w:ascii="Arial" w:hAnsi="Arial" w:cs="Arial"/>
                <w:b w:val="0"/>
                <w:i w:val="0"/>
                <w:sz w:val="17"/>
              </w:rPr>
              <w:t>$40,000</w:t>
            </w:r>
          </w:p>
        </w:tc>
        <w:tc>
          <w:tcPr>
            <w:tcW w:type="dxa" w:w="1606"/>
          </w:tcPr>
          <w:p>
            <w:pPr>
              <w:spacing w:after="20" w:before="20" w:line="240" w:lineRule="auto"/>
            </w:pPr>
            <w:r/>
            <w:r>
              <w:rPr>
                <w:rFonts w:ascii="Arial" w:hAnsi="Arial" w:cs="Arial"/>
                <w:b w:val="0"/>
                <w:i w:val="0"/>
                <w:sz w:val="17"/>
              </w:rPr>
              <w:t>5.2%</w:t>
            </w:r>
          </w:p>
        </w:tc>
        <w:tc>
          <w:tcPr>
            <w:tcW w:type="dxa" w:w="1606"/>
          </w:tcPr>
          <w:p>
            <w:pPr>
              <w:spacing w:after="20" w:before="20" w:line="240" w:lineRule="auto"/>
            </w:pPr>
            <w:r/>
            <w:r>
              <w:rPr>
                <w:rFonts w:ascii="Arial" w:hAnsi="Arial" w:cs="Arial"/>
                <w:b w:val="0"/>
                <w:i w:val="0"/>
                <w:sz w:val="17"/>
              </w:rPr>
              <w:t>$38,000</w:t>
            </w:r>
          </w:p>
        </w:tc>
        <w:tc>
          <w:tcPr>
            <w:tcW w:type="dxa" w:w="1606"/>
          </w:tcPr>
          <w:p>
            <w:pPr>
              <w:spacing w:after="20" w:before="20" w:line="240" w:lineRule="auto"/>
            </w:pPr>
            <w:r/>
            <w:r>
              <w:rPr>
                <w:rFonts w:ascii="Arial" w:hAnsi="Arial" w:cs="Arial"/>
                <w:b w:val="0"/>
                <w:i w:val="0"/>
                <w:sz w:val="17"/>
              </w:rPr>
              <w:t>2026-07-20</w:t>
            </w:r>
          </w:p>
        </w:tc>
        <w:tc>
          <w:tcPr>
            <w:tcW w:type="dxa" w:w="1606"/>
          </w:tcPr>
          <w:p>
            <w:pPr>
              <w:spacing w:after="20" w:before="20" w:line="240" w:lineRule="auto"/>
            </w:pPr>
            <w:r/>
            <w:r>
              <w:rPr>
                <w:rFonts w:ascii="Arial" w:hAnsi="Arial" w:cs="Arial"/>
                <w:b w:val="0"/>
                <w:i w:val="0"/>
                <w:sz w:val="17"/>
              </w:rPr>
              <w:t>On Track</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Repayment schedule: 2026-07-20 $10,000 pending; 2026-08-20 $10,000 pending; and subsequent installments. Actions: Make Payment; View Collateral; Request Extension.</w:t>
      </w:r>
    </w:p>
    <w:p>
      <w:pPr>
        <w:keepNext/>
        <w:spacing w:before="240" w:after="100"/>
        <w:outlineLvl w:val="1"/>
      </w:pPr>
      <w:r>
        <w:rPr>
          <w:rFonts w:ascii="Arial" w:hAnsi="Arial" w:cs="Arial"/>
          <w:b/>
          <w:i w:val="0"/>
          <w:color w:val="2E528F"/>
          <w:sz w:val="26"/>
        </w:rPr>
        <w:t>10.33 Repayment Events</w:t>
      </w:r>
    </w:p>
    <w:p>
      <w:pPr>
        <w:spacing w:after="80" w:line="293" w:lineRule="auto"/>
        <w:jc w:val="left"/>
      </w:pPr>
      <w:r>
        <w:rPr>
          <w:rFonts w:ascii="Times New Roman" w:hAnsi="Times New Roman" w:cs="Times New Roman"/>
          <w:b w:val="0"/>
          <w:i w:val="0"/>
          <w:sz w:val="22"/>
        </w:rPr>
        <w:t>Evidence-backed states: DUE → PAYMENT_INITIATED → PAYMENT_RECEIVED → RECONCILED → ALLOCATED → BALANCE_UPDATED. Rule: never mark a payment reconciled merely because the borrower clicked "Paid."</w:t>
      </w:r>
    </w:p>
    <w:p>
      <w:pPr>
        <w:keepNext/>
        <w:spacing w:before="240" w:after="100"/>
        <w:outlineLvl w:val="1"/>
      </w:pPr>
      <w:r>
        <w:rPr>
          <w:rFonts w:ascii="Arial" w:hAnsi="Arial" w:cs="Arial"/>
          <w:b/>
          <w:i w:val="0"/>
          <w:color w:val="2E528F"/>
          <w:sz w:val="26"/>
        </w:rPr>
        <w:t>10.34 Repayment Allocation</w:t>
      </w:r>
    </w:p>
    <w:p>
      <w:pPr>
        <w:spacing w:after="80" w:line="293" w:lineRule="auto"/>
        <w:jc w:val="left"/>
      </w:pPr>
      <w:r>
        <w:rPr>
          <w:rFonts w:ascii="Times New Roman" w:hAnsi="Times New Roman" w:cs="Times New Roman"/>
          <w:b w:val="0"/>
          <w:i w:val="0"/>
          <w:sz w:val="22"/>
        </w:rPr>
        <w:t>Where multiple financiers participate, repayments are allocated deterministically according to the financing agreement, with financier-level balances maintained. No rounding errors; total allocation must reconcile.</w:t>
      </w:r>
    </w:p>
    <w:p>
      <w:pPr>
        <w:keepNext/>
        <w:spacing w:before="240" w:after="100"/>
        <w:outlineLvl w:val="1"/>
      </w:pPr>
      <w:r>
        <w:rPr>
          <w:rFonts w:ascii="Arial" w:hAnsi="Arial" w:cs="Arial"/>
          <w:b/>
          <w:i w:val="0"/>
          <w:color w:val="2E528F"/>
          <w:sz w:val="26"/>
        </w:rPr>
        <w:t>10.35 Collateral (First-Class Domain)</w:t>
      </w:r>
    </w:p>
    <w:p>
      <w:pPr>
        <w:spacing w:after="80" w:line="293" w:lineRule="auto"/>
        <w:jc w:val="left"/>
      </w:pPr>
      <w:r>
        <w:rPr>
          <w:rFonts w:ascii="Times New Roman" w:hAnsi="Times New Roman" w:cs="Times New Roman"/>
          <w:b w:val="0"/>
          <w:i w:val="0"/>
          <w:sz w:val="22"/>
        </w:rPr>
        <w:t>Track: collateral type; owner; legal relationship; value; valuation date; valuation source; haircut; eligible value; lien/security status; custody/control status; release condition. Rule: collateral is not just a number — distinguish indicative valuation from verified, eligible, pledged, perfected, and controlled.</w:t>
      </w:r>
    </w:p>
    <w:p>
      <w:pPr>
        <w:keepNext/>
        <w:spacing w:before="240" w:after="100"/>
        <w:outlineLvl w:val="1"/>
      </w:pPr>
      <w:r>
        <w:rPr>
          <w:rFonts w:ascii="Arial" w:hAnsi="Arial" w:cs="Arial"/>
          <w:b/>
          <w:i w:val="0"/>
          <w:color w:val="2E528F"/>
          <w:sz w:val="26"/>
        </w:rPr>
        <w:t>10.36 LTV Engine (Deterministic)</w:t>
      </w:r>
    </w:p>
    <w:p>
      <w:pPr>
        <w:spacing w:after="0" w:before="0" w:line="240" w:lineRule="auto"/>
        <w:ind w:left="57"/>
        <w:jc w:val="left"/>
        <w:shd w:val="clear" w:fill="F2F2F2"/>
      </w:pPr>
      <w:r>
        <w:rPr>
          <w:rFonts w:ascii="Consolas" w:hAnsi="Consolas" w:cs="Consolas"/>
          <w:b w:val="0"/>
          <w:i w:val="0"/>
          <w:sz w:val="15"/>
        </w:rPr>
        <w:t>Eligible Collateral Value = Market Value − Haircut</w:t>
      </w:r>
    </w:p>
    <w:p>
      <w:pPr>
        <w:spacing w:after="0" w:before="0" w:line="240" w:lineRule="auto"/>
        <w:ind w:left="57"/>
        <w:jc w:val="left"/>
        <w:shd w:val="clear" w:fill="F2F2F2"/>
      </w:pPr>
      <w:r>
        <w:rPr>
          <w:rFonts w:ascii="Consolas" w:hAnsi="Consolas" w:cs="Consolas"/>
          <w:b w:val="0"/>
          <w:i w:val="0"/>
          <w:sz w:val="15"/>
        </w:rPr>
        <w:t>LTV = Outstanding Exposure / Eligible Collateral Value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formula and policy version are recorded with every calculation.</w:t>
      </w:r>
    </w:p>
    <w:p>
      <w:pPr>
        <w:keepNext/>
        <w:spacing w:before="240" w:after="100"/>
        <w:outlineLvl w:val="1"/>
      </w:pPr>
      <w:r>
        <w:rPr>
          <w:rFonts w:ascii="Arial" w:hAnsi="Arial" w:cs="Arial"/>
          <w:b/>
          <w:i w:val="0"/>
          <w:color w:val="2E528F"/>
          <w:sz w:val="26"/>
        </w:rPr>
        <w:t>10.37 Collateral Monitoring</w:t>
      </w:r>
    </w:p>
    <w:p>
      <w:pPr>
        <w:spacing w:after="80" w:line="293" w:lineRule="auto"/>
        <w:jc w:val="left"/>
      </w:pPr>
      <w:r>
        <w:rPr>
          <w:rFonts w:ascii="Times New Roman" w:hAnsi="Times New Roman" w:cs="Times New Roman"/>
          <w:b w:val="0"/>
          <w:i w:val="0"/>
          <w:sz w:val="22"/>
        </w:rPr>
        <w:t>Display: current LTV; threshold; historical LTV; collateral value trend; exposure; margin requirement; warning state; action required.</w:t>
      </w:r>
    </w:p>
    <w:p>
      <w:pPr>
        <w:spacing w:after="80" w:line="293" w:lineRule="auto"/>
        <w:jc w:val="left"/>
      </w:pPr>
      <w:r>
        <w:rPr>
          <w:rFonts w:ascii="Times New Roman" w:hAnsi="Times New Roman" w:cs="Times New Roman"/>
          <w:b w:val="0"/>
          <w:i w:val="0"/>
          <w:sz w:val="22"/>
        </w:rPr>
        <w:t>Collateral monitoring dashboard (financier view): LTV gauge chart (green 0–70%, amber 70–85%, red 85–100%); LTV history line chart (30-day trend with event annotations — for example, margin call issued 22 Jun; collateral added 20 Jun); liquidation risk meter (LSTM prediction, 0–100%, bands: low 0–20%, medium 20–50%, high 50–100%); margin call log (date, LTV, amount required, deadline, status, response); and a "Simulate Price Drop" interactive slider (collateral value decline % → new LTV → additional collateral required to restore 70%).</w:t>
      </w:r>
    </w:p>
    <w:p>
      <w:pPr>
        <w:spacing w:after="80" w:line="293" w:lineRule="auto"/>
        <w:jc w:val="left"/>
      </w:pPr>
      <w:r>
        <w:rPr>
          <w:rFonts w:ascii="Times New Roman" w:hAnsi="Times New Roman" w:cs="Times New Roman"/>
          <w:b w:val="0"/>
          <w:i w:val="0"/>
          <w:sz w:val="22"/>
        </w:rPr>
        <w:t>Example state: collateral $85,000; loan $60,000; LTV 70.6%. AI insight (A1, Groq): "Livestock collateral has high feed-price volatility (+15% this week), elevating liquidation risk to 68%. Consider a proactive margin call." Margin call log: 22 Jun, LTV 82%, $10,000 required, deadline 24 Jun, status PENDING, response pending. Simulation: 10% collateral decline → new LTV 78.4%; additional collateral required to restore 70%: $6,400.</w:t>
      </w:r>
    </w:p>
    <w:p>
      <w:pPr>
        <w:keepNext/>
        <w:spacing w:before="240" w:after="100"/>
        <w:outlineLvl w:val="1"/>
      </w:pPr>
      <w:r>
        <w:rPr>
          <w:rFonts w:ascii="Arial" w:hAnsi="Arial" w:cs="Arial"/>
          <w:b/>
          <w:i w:val="0"/>
          <w:color w:val="2E528F"/>
          <w:sz w:val="26"/>
        </w:rPr>
        <w:t>10.38 Margin Call Workflow</w:t>
      </w:r>
    </w:p>
    <w:p>
      <w:pPr>
        <w:spacing w:after="80" w:line="293" w:lineRule="auto"/>
        <w:jc w:val="left"/>
      </w:pPr>
      <w:r>
        <w:rPr>
          <w:rFonts w:ascii="Times New Roman" w:hAnsi="Times New Roman" w:cs="Times New Roman"/>
          <w:b w:val="0"/>
          <w:i w:val="0"/>
          <w:sz w:val="22"/>
        </w:rPr>
        <w:t>Where the product supports margin calls: THRESHOLD_REACHED → MARGIN_CALL_ISSUED → BORROWER_RESPONSE → COLLATERAL_TOP_UP → RESOLVED. Rule: never automatically seize or liquidate assets merely because an AI model detects elevated risk.</w:t>
      </w:r>
    </w:p>
    <w:p>
      <w:pPr>
        <w:keepNext/>
        <w:spacing w:before="240" w:after="100"/>
        <w:outlineLvl w:val="1"/>
      </w:pPr>
      <w:r>
        <w:rPr>
          <w:rFonts w:ascii="Arial" w:hAnsi="Arial" w:cs="Arial"/>
          <w:b/>
          <w:i w:val="0"/>
          <w:color w:val="2E528F"/>
          <w:sz w:val="26"/>
        </w:rPr>
        <w:t>10.39 Collateral Value Disputes</w:t>
      </w:r>
    </w:p>
    <w:p>
      <w:pPr>
        <w:spacing w:after="80" w:line="293" w:lineRule="auto"/>
        <w:jc w:val="left"/>
      </w:pPr>
      <w:r>
        <w:rPr>
          <w:rFonts w:ascii="Times New Roman" w:hAnsi="Times New Roman" w:cs="Times New Roman"/>
          <w:b w:val="0"/>
          <w:i w:val="0"/>
          <w:sz w:val="22"/>
        </w:rPr>
        <w:t>Support: valuation challenge; manual review; alternative valuation source; valuation override with authority. All overrides are audited.</w:t>
      </w:r>
    </w:p>
    <w:p>
      <w:pPr>
        <w:keepNext/>
        <w:spacing w:before="240" w:after="100"/>
        <w:outlineLvl w:val="1"/>
      </w:pPr>
      <w:r>
        <w:rPr>
          <w:rFonts w:ascii="Arial" w:hAnsi="Arial" w:cs="Arial"/>
          <w:b/>
          <w:i w:val="0"/>
          <w:color w:val="2E528F"/>
          <w:sz w:val="26"/>
        </w:rPr>
        <w:t>10.40 Financing Risk Monitoring</w:t>
      </w:r>
    </w:p>
    <w:p>
      <w:pPr>
        <w:spacing w:after="80" w:line="293" w:lineRule="auto"/>
        <w:jc w:val="left"/>
      </w:pPr>
      <w:r>
        <w:rPr>
          <w:rFonts w:ascii="Times New Roman" w:hAnsi="Times New Roman" w:cs="Times New Roman"/>
          <w:b w:val="0"/>
          <w:i w:val="0"/>
          <w:sz w:val="22"/>
        </w:rPr>
        <w:t>Monitor: borrower deterioration; route risk; commodity deterioration; shipment delay; dispute; sanctions; document expiry; payment delay; collateral decline; counterparty deterioration; concentration.</w:t>
      </w:r>
    </w:p>
    <w:p>
      <w:pPr>
        <w:keepNext/>
        <w:spacing w:before="240" w:after="100"/>
        <w:outlineLvl w:val="1"/>
      </w:pPr>
      <w:r>
        <w:rPr>
          <w:rFonts w:ascii="Arial" w:hAnsi="Arial" w:cs="Arial"/>
          <w:b/>
          <w:i w:val="0"/>
          <w:color w:val="2E528F"/>
          <w:sz w:val="26"/>
        </w:rPr>
        <w:t>10.41 Trade Event → Financing Event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Event</w:t>
            </w:r>
          </w:p>
        </w:tc>
        <w:tc>
          <w:tcPr>
            <w:tcW w:type="dxa" w:w="4819"/>
            <w:shd w:val="clear" w:fill="D9E2F3"/>
          </w:tcPr>
          <w:p>
            <w:pPr>
              <w:spacing w:after="20" w:before="20" w:line="240" w:lineRule="auto"/>
            </w:pPr>
            <w:r/>
            <w:r>
              <w:rPr>
                <w:rFonts w:ascii="Arial" w:hAnsi="Arial" w:cs="Arial"/>
                <w:b/>
                <w:i w:val="0"/>
                <w:sz w:val="18"/>
              </w:rPr>
              <w:t>Financing Action</w:t>
            </w:r>
          </w:p>
        </w:tc>
      </w:tr>
      <w:tr>
        <w:tc>
          <w:tcPr>
            <w:tcW w:type="dxa" w:w="4819"/>
          </w:tcPr>
          <w:p>
            <w:pPr>
              <w:spacing w:after="20" w:before="20" w:line="240" w:lineRule="auto"/>
            </w:pPr>
            <w:r/>
            <w:r>
              <w:rPr>
                <w:rFonts w:ascii="Arial" w:hAnsi="Arial" w:cs="Arial"/>
                <w:b w:val="0"/>
                <w:i w:val="0"/>
                <w:sz w:val="17"/>
              </w:rPr>
              <w:t>Shipment delay</w:t>
            </w:r>
          </w:p>
        </w:tc>
        <w:tc>
          <w:tcPr>
            <w:tcW w:type="dxa" w:w="4819"/>
          </w:tcPr>
          <w:p>
            <w:pPr>
              <w:spacing w:after="20" w:before="20" w:line="240" w:lineRule="auto"/>
            </w:pPr>
            <w:r/>
            <w:r>
              <w:rPr>
                <w:rFonts w:ascii="Arial" w:hAnsi="Arial" w:cs="Arial"/>
                <w:b w:val="0"/>
                <w:i w:val="0"/>
                <w:sz w:val="17"/>
              </w:rPr>
              <w:t>Recalculate repayment/collateral timing</w:t>
            </w:r>
          </w:p>
        </w:tc>
      </w:tr>
      <w:tr>
        <w:tc>
          <w:tcPr>
            <w:tcW w:type="dxa" w:w="4819"/>
          </w:tcPr>
          <w:p>
            <w:pPr>
              <w:spacing w:after="20" w:before="20" w:line="240" w:lineRule="auto"/>
            </w:pPr>
            <w:r/>
            <w:r>
              <w:rPr>
                <w:rFonts w:ascii="Arial" w:hAnsi="Arial" w:cs="Arial"/>
                <w:b w:val="0"/>
                <w:i w:val="0"/>
                <w:sz w:val="17"/>
              </w:rPr>
              <w:t>Cargo damage</w:t>
            </w:r>
          </w:p>
        </w:tc>
        <w:tc>
          <w:tcPr>
            <w:tcW w:type="dxa" w:w="4819"/>
          </w:tcPr>
          <w:p>
            <w:pPr>
              <w:spacing w:after="20" w:before="20" w:line="240" w:lineRule="auto"/>
            </w:pPr>
            <w:r/>
            <w:r>
              <w:rPr>
                <w:rFonts w:ascii="Arial" w:hAnsi="Arial" w:cs="Arial"/>
                <w:b w:val="0"/>
                <w:i w:val="0"/>
                <w:sz w:val="17"/>
              </w:rPr>
              <w:t>Review collateral and insurance</w:t>
            </w:r>
          </w:p>
        </w:tc>
      </w:tr>
      <w:tr>
        <w:tc>
          <w:tcPr>
            <w:tcW w:type="dxa" w:w="4819"/>
          </w:tcPr>
          <w:p>
            <w:pPr>
              <w:spacing w:after="20" w:before="20" w:line="240" w:lineRule="auto"/>
            </w:pPr>
            <w:r/>
            <w:r>
              <w:rPr>
                <w:rFonts w:ascii="Arial" w:hAnsi="Arial" w:cs="Arial"/>
                <w:b w:val="0"/>
                <w:i w:val="0"/>
                <w:sz w:val="17"/>
              </w:rPr>
              <w:t>Major quantity reduction</w:t>
            </w:r>
          </w:p>
        </w:tc>
        <w:tc>
          <w:tcPr>
            <w:tcW w:type="dxa" w:w="4819"/>
          </w:tcPr>
          <w:p>
            <w:pPr>
              <w:spacing w:after="20" w:before="20" w:line="240" w:lineRule="auto"/>
            </w:pPr>
            <w:r/>
            <w:r>
              <w:rPr>
                <w:rFonts w:ascii="Arial" w:hAnsi="Arial" w:cs="Arial"/>
                <w:b w:val="0"/>
                <w:i w:val="0"/>
                <w:sz w:val="17"/>
              </w:rPr>
              <w:t>Recalculate eligible finance</w:t>
            </w:r>
          </w:p>
        </w:tc>
      </w:tr>
      <w:tr>
        <w:tc>
          <w:tcPr>
            <w:tcW w:type="dxa" w:w="4819"/>
          </w:tcPr>
          <w:p>
            <w:pPr>
              <w:spacing w:after="20" w:before="20" w:line="240" w:lineRule="auto"/>
            </w:pPr>
            <w:r/>
            <w:r>
              <w:rPr>
                <w:rFonts w:ascii="Arial" w:hAnsi="Arial" w:cs="Arial"/>
                <w:b w:val="0"/>
                <w:i w:val="0"/>
                <w:sz w:val="17"/>
              </w:rPr>
              <w:t>Contract amendment</w:t>
            </w:r>
          </w:p>
        </w:tc>
        <w:tc>
          <w:tcPr>
            <w:tcW w:type="dxa" w:w="4819"/>
          </w:tcPr>
          <w:p>
            <w:pPr>
              <w:spacing w:after="20" w:before="20" w:line="240" w:lineRule="auto"/>
            </w:pPr>
            <w:r/>
            <w:r>
              <w:rPr>
                <w:rFonts w:ascii="Arial" w:hAnsi="Arial" w:cs="Arial"/>
                <w:b w:val="0"/>
                <w:i w:val="0"/>
                <w:sz w:val="17"/>
              </w:rPr>
              <w:t>Revalidate financing</w:t>
            </w:r>
          </w:p>
        </w:tc>
      </w:tr>
      <w:tr>
        <w:tc>
          <w:tcPr>
            <w:tcW w:type="dxa" w:w="4819"/>
          </w:tcPr>
          <w:p>
            <w:pPr>
              <w:spacing w:after="20" w:before="20" w:line="240" w:lineRule="auto"/>
            </w:pPr>
            <w:r/>
            <w:r>
              <w:rPr>
                <w:rFonts w:ascii="Arial" w:hAnsi="Arial" w:cs="Arial"/>
                <w:b w:val="0"/>
                <w:i w:val="0"/>
                <w:sz w:val="17"/>
              </w:rPr>
              <w:t>Dispute</w:t>
            </w:r>
          </w:p>
        </w:tc>
        <w:tc>
          <w:tcPr>
            <w:tcW w:type="dxa" w:w="4819"/>
          </w:tcPr>
          <w:p>
            <w:pPr>
              <w:spacing w:after="20" w:before="20" w:line="240" w:lineRule="auto"/>
            </w:pPr>
            <w:r/>
            <w:r>
              <w:rPr>
                <w:rFonts w:ascii="Arial" w:hAnsi="Arial" w:cs="Arial"/>
                <w:b w:val="0"/>
                <w:i w:val="0"/>
                <w:sz w:val="17"/>
              </w:rPr>
              <w:t>Apply financing policy</w:t>
            </w:r>
          </w:p>
        </w:tc>
      </w:tr>
      <w:tr>
        <w:tc>
          <w:tcPr>
            <w:tcW w:type="dxa" w:w="4819"/>
          </w:tcPr>
          <w:p>
            <w:pPr>
              <w:spacing w:after="20" w:before="20" w:line="240" w:lineRule="auto"/>
            </w:pPr>
            <w:r/>
            <w:r>
              <w:rPr>
                <w:rFonts w:ascii="Arial" w:hAnsi="Arial" w:cs="Arial"/>
                <w:b w:val="0"/>
                <w:i w:val="0"/>
                <w:sz w:val="17"/>
              </w:rPr>
              <w:t>Route change</w:t>
            </w:r>
          </w:p>
        </w:tc>
        <w:tc>
          <w:tcPr>
            <w:tcW w:type="dxa" w:w="4819"/>
          </w:tcPr>
          <w:p>
            <w:pPr>
              <w:spacing w:after="20" w:before="20" w:line="240" w:lineRule="auto"/>
            </w:pPr>
            <w:r/>
            <w:r>
              <w:rPr>
                <w:rFonts w:ascii="Arial" w:hAnsi="Arial" w:cs="Arial"/>
                <w:b w:val="0"/>
                <w:i w:val="0"/>
                <w:sz w:val="17"/>
              </w:rPr>
              <w:t>Reassess operational risk</w:t>
            </w:r>
          </w:p>
        </w:tc>
      </w:tr>
      <w:tr>
        <w:tc>
          <w:tcPr>
            <w:tcW w:type="dxa" w:w="4819"/>
          </w:tcPr>
          <w:p>
            <w:pPr>
              <w:spacing w:after="20" w:before="20" w:line="240" w:lineRule="auto"/>
            </w:pPr>
            <w:r/>
            <w:r>
              <w:rPr>
                <w:rFonts w:ascii="Arial" w:hAnsi="Arial" w:cs="Arial"/>
                <w:b w:val="0"/>
                <w:i w:val="0"/>
                <w:sz w:val="17"/>
              </w:rPr>
              <w:t>Customs hold</w:t>
            </w:r>
          </w:p>
        </w:tc>
        <w:tc>
          <w:tcPr>
            <w:tcW w:type="dxa" w:w="4819"/>
          </w:tcPr>
          <w:p>
            <w:pPr>
              <w:spacing w:after="20" w:before="20" w:line="240" w:lineRule="auto"/>
            </w:pPr>
            <w:r/>
            <w:r>
              <w:rPr>
                <w:rFonts w:ascii="Arial" w:hAnsi="Arial" w:cs="Arial"/>
                <w:b w:val="0"/>
                <w:i w:val="0"/>
                <w:sz w:val="17"/>
              </w:rPr>
              <w:t>Reassess exposure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10.42 Material Trade Amendment</w:t>
      </w:r>
    </w:p>
    <w:p>
      <w:pPr>
        <w:spacing w:after="80" w:line="293" w:lineRule="auto"/>
        <w:jc w:val="left"/>
      </w:pPr>
      <w:r>
        <w:rPr>
          <w:rFonts w:ascii="Times New Roman" w:hAnsi="Times New Roman" w:cs="Times New Roman"/>
          <w:b w:val="0"/>
          <w:i w:val="0"/>
          <w:sz w:val="22"/>
        </w:rPr>
        <w:t>If a locked trade is materially amended, the system automatically determines whether the amendment affects the financing agreement. Possible results: no material impact; financing revalidation required; financing amendment required; financing suspension/escalation required. Rule: never silently assume the original financing remains valid.</w:t>
      </w:r>
    </w:p>
    <w:p>
      <w:pPr>
        <w:keepNext/>
        <w:spacing w:before="240" w:after="100"/>
        <w:outlineLvl w:val="1"/>
      </w:pPr>
      <w:r>
        <w:rPr>
          <w:rFonts w:ascii="Arial" w:hAnsi="Arial" w:cs="Arial"/>
          <w:b/>
          <w:i w:val="0"/>
          <w:color w:val="2E528F"/>
          <w:sz w:val="26"/>
        </w:rPr>
        <w:t>10.43 Financing vs Multi-Shipment</w:t>
      </w:r>
    </w:p>
    <w:p>
      <w:pPr>
        <w:spacing w:after="80" w:line="293" w:lineRule="auto"/>
        <w:jc w:val="left"/>
      </w:pPr>
      <w:r>
        <w:rPr>
          <w:rFonts w:ascii="Times New Roman" w:hAnsi="Times New Roman" w:cs="Times New Roman"/>
          <w:b w:val="0"/>
          <w:i w:val="0"/>
          <w:sz w:val="22"/>
        </w:rPr>
        <w:t>Financing attaches at shipment level whenever exposure is shipment-specific. Example: master contract with 3 shipments — Shipment 1 $100,000 financed; Shipment 2 $50,000 financed; Shipment 3 unfinanced. Rule: never represent a master contract as simply "Financed = Yes."</w:t>
      </w:r>
    </w:p>
    <w:p>
      <w:pPr>
        <w:keepNext/>
        <w:spacing w:before="180" w:after="80"/>
        <w:outlineLvl w:val="2"/>
      </w:pPr>
      <w:r>
        <w:rPr>
          <w:rFonts w:ascii="Arial" w:hAnsi="Arial" w:cs="Arial"/>
          <w:b/>
          <w:i w:val="0"/>
          <w:color w:val="333333"/>
          <w:sz w:val="23"/>
        </w:rPr>
        <w:t>10.43.1 Financing-Role Independence (Incoterms Do Not Select the Borrower)</w:t>
      </w:r>
    </w:p>
    <w:p>
      <w:pPr>
        <w:spacing w:after="80" w:line="293" w:lineRule="auto"/>
        <w:jc w:val="left"/>
      </w:pPr>
      <w:r>
        <w:rPr>
          <w:rFonts w:ascii="Times New Roman" w:hAnsi="Times New Roman" w:cs="Times New Roman"/>
          <w:b w:val="0"/>
          <w:i w:val="0"/>
          <w:sz w:val="22"/>
        </w:rPr>
        <w:t>The Incoterm must never automatically determine the borrower, the financier, credit eligibility, approval, disbursement authority, or any other financing role. The Incoterm allocates physical execution responsibility and risk transfer between buyer and seller; the financing arrangement determines the financing roles. Physical Execution Responsibility and Financing Responsibility are separate dimensions, and the platform models them separately:</w:t>
      </w:r>
    </w:p>
    <w:p>
      <w:pPr>
        <w:spacing w:after="0" w:before="0" w:line="240" w:lineRule="auto"/>
        <w:ind w:left="57"/>
        <w:jc w:val="left"/>
        <w:shd w:val="clear" w:fill="F2F2F2"/>
      </w:pPr>
      <w:r>
        <w:rPr>
          <w:rFonts w:ascii="Consolas" w:hAnsi="Consolas" w:cs="Consolas"/>
          <w:b w:val="0"/>
          <w:i w:val="0"/>
          <w:sz w:val="15"/>
        </w:rPr>
        <w:t>Physical Execution Responsibility   (Incoterm responsibility map, Section 6.4)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Financing Responsibility           (financing agreement roles, Section 10.25)</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borrower is a commercial and legal role derived from the actual financing arrangement — who requests financing, who is credit-assessed, and who signs the financing agreement. In a CIF trade the buyer may be the borrower; in an FOB trade the seller may be the borrower; in either case the platform derives the role from the financing request and agreement, never from the Incoterm. The Execution Readiness Reference (Section 10.7.1) computes candidate responsibility mappings as advisory context, and its output never assigns financing roles. This rule is enforced by invariant coverage in the cross-section test suite (Section 24.4.11, Incoterm/ERR tests).</w:t>
      </w:r>
    </w:p>
    <w:p>
      <w:pPr>
        <w:keepNext/>
        <w:spacing w:before="240" w:after="100"/>
        <w:outlineLvl w:val="1"/>
      </w:pPr>
      <w:r>
        <w:rPr>
          <w:rFonts w:ascii="Arial" w:hAnsi="Arial" w:cs="Arial"/>
          <w:b/>
          <w:i w:val="0"/>
          <w:color w:val="2E528F"/>
          <w:sz w:val="26"/>
        </w:rPr>
        <w:t>10.44 USTN Linkage</w:t>
      </w:r>
    </w:p>
    <w:p>
      <w:pPr>
        <w:spacing w:after="80" w:line="293" w:lineRule="auto"/>
        <w:jc w:val="left"/>
      </w:pPr>
      <w:r>
        <w:rPr>
          <w:rFonts w:ascii="Times New Roman" w:hAnsi="Times New Roman" w:cs="Times New Roman"/>
          <w:b w:val="0"/>
          <w:i w:val="0"/>
          <w:sz w:val="22"/>
        </w:rPr>
        <w:t>The financing system uses USTN references where shipment-specific; financier views resolve to the correct shipment/trade context; a USTN is never altered because financing changes.</w:t>
      </w:r>
    </w:p>
    <w:p>
      <w:pPr>
        <w:keepNext/>
        <w:spacing w:before="240" w:after="100"/>
        <w:outlineLvl w:val="1"/>
      </w:pPr>
      <w:r>
        <w:rPr>
          <w:rFonts w:ascii="Arial" w:hAnsi="Arial" w:cs="Arial"/>
          <w:b/>
          <w:i w:val="0"/>
          <w:color w:val="2E528F"/>
          <w:sz w:val="26"/>
        </w:rPr>
        <w:t>10.45 Financing State Vector (Multi-Dimensional)</w:t>
      </w:r>
    </w:p>
    <w:p>
      <w:pPr>
        <w:spacing w:after="80" w:line="293" w:lineRule="auto"/>
        <w:jc w:val="left"/>
      </w:pPr>
      <w:r>
        <w:rPr>
          <w:rFonts w:ascii="Times New Roman" w:hAnsi="Times New Roman" w:cs="Times New Roman"/>
          <w:b w:val="0"/>
          <w:i w:val="0"/>
          <w:sz w:val="22"/>
        </w:rPr>
        <w:t>Track independently: eligibility; request; risk assessment; RFQ; bids; award; agreement; collateral; conditions precedent; disbursement; repayment; arrears; release; dispute; enforcement.</w:t>
      </w:r>
    </w:p>
    <w:p>
      <w:pPr>
        <w:keepNext/>
        <w:spacing w:before="240" w:after="100"/>
        <w:outlineLvl w:val="1"/>
      </w:pPr>
      <w:r>
        <w:rPr>
          <w:rFonts w:ascii="Arial" w:hAnsi="Arial" w:cs="Arial"/>
          <w:b/>
          <w:i w:val="0"/>
          <w:color w:val="2E528F"/>
          <w:sz w:val="26"/>
        </w:rPr>
        <w:t>10.46 Multi-Clock Integration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Clock</w:t>
            </w:r>
          </w:p>
        </w:tc>
        <w:tc>
          <w:tcPr>
            <w:tcW w:type="dxa" w:w="4819"/>
            <w:shd w:val="clear" w:fill="D9E2F3"/>
          </w:tcPr>
          <w:p>
            <w:pPr>
              <w:spacing w:after="20" w:before="20" w:line="240" w:lineRule="auto"/>
            </w:pPr>
            <w:r/>
            <w:r>
              <w:rPr>
                <w:rFonts w:ascii="Arial" w:hAnsi="Arial" w:cs="Arial"/>
                <w:b/>
                <w:i w:val="0"/>
                <w:sz w:val="18"/>
              </w:rPr>
              <w:t>Interactions</w:t>
            </w:r>
          </w:p>
        </w:tc>
      </w:tr>
      <w:tr>
        <w:tc>
          <w:tcPr>
            <w:tcW w:type="dxa" w:w="4819"/>
          </w:tcPr>
          <w:p>
            <w:pPr>
              <w:spacing w:after="20" w:before="20" w:line="240" w:lineRule="auto"/>
            </w:pPr>
            <w:r/>
            <w:r>
              <w:rPr>
                <w:rFonts w:ascii="Arial" w:hAnsi="Arial" w:cs="Arial"/>
                <w:b w:val="0"/>
                <w:i w:val="0"/>
                <w:sz w:val="17"/>
              </w:rPr>
              <w:t>Financial</w:t>
            </w:r>
          </w:p>
        </w:tc>
        <w:tc>
          <w:tcPr>
            <w:tcW w:type="dxa" w:w="4819"/>
          </w:tcPr>
          <w:p>
            <w:pPr>
              <w:spacing w:after="20" w:before="20" w:line="240" w:lineRule="auto"/>
            </w:pPr>
            <w:r/>
            <w:r>
              <w:rPr>
                <w:rFonts w:ascii="Arial" w:hAnsi="Arial" w:cs="Arial"/>
                <w:b w:val="0"/>
                <w:i w:val="0"/>
                <w:sz w:val="17"/>
              </w:rPr>
              <w:t>Disbursement, fees, repayment</w:t>
            </w:r>
          </w:p>
        </w:tc>
      </w:tr>
      <w:tr>
        <w:tc>
          <w:tcPr>
            <w:tcW w:type="dxa" w:w="4819"/>
          </w:tcPr>
          <w:p>
            <w:pPr>
              <w:spacing w:after="20" w:before="20" w:line="240" w:lineRule="auto"/>
            </w:pPr>
            <w:r/>
            <w:r>
              <w:rPr>
                <w:rFonts w:ascii="Arial" w:hAnsi="Arial" w:cs="Arial"/>
                <w:b w:val="0"/>
                <w:i w:val="0"/>
                <w:sz w:val="17"/>
              </w:rPr>
              <w:t>Contractual</w:t>
            </w:r>
          </w:p>
        </w:tc>
        <w:tc>
          <w:tcPr>
            <w:tcW w:type="dxa" w:w="4819"/>
          </w:tcPr>
          <w:p>
            <w:pPr>
              <w:spacing w:after="20" w:before="20" w:line="240" w:lineRule="auto"/>
            </w:pPr>
            <w:r/>
            <w:r>
              <w:rPr>
                <w:rFonts w:ascii="Arial" w:hAnsi="Arial" w:cs="Arial"/>
                <w:b w:val="0"/>
                <w:i w:val="0"/>
                <w:sz w:val="17"/>
              </w:rPr>
              <w:t>Financing agreement terms</w:t>
            </w:r>
          </w:p>
        </w:tc>
      </w:tr>
      <w:tr>
        <w:tc>
          <w:tcPr>
            <w:tcW w:type="dxa" w:w="4819"/>
          </w:tcPr>
          <w:p>
            <w:pPr>
              <w:spacing w:after="20" w:before="20" w:line="240" w:lineRule="auto"/>
            </w:pPr>
            <w:r/>
            <w:r>
              <w:rPr>
                <w:rFonts w:ascii="Arial" w:hAnsi="Arial" w:cs="Arial"/>
                <w:b w:val="0"/>
                <w:i w:val="0"/>
                <w:sz w:val="17"/>
              </w:rPr>
              <w:t>Operational</w:t>
            </w:r>
          </w:p>
        </w:tc>
        <w:tc>
          <w:tcPr>
            <w:tcW w:type="dxa" w:w="4819"/>
          </w:tcPr>
          <w:p>
            <w:pPr>
              <w:spacing w:after="20" w:before="20" w:line="240" w:lineRule="auto"/>
            </w:pPr>
            <w:r/>
            <w:r>
              <w:rPr>
                <w:rFonts w:ascii="Arial" w:hAnsi="Arial" w:cs="Arial"/>
                <w:b w:val="0"/>
                <w:i w:val="0"/>
                <w:sz w:val="17"/>
              </w:rPr>
              <w:t>Shipment events</w:t>
            </w:r>
          </w:p>
        </w:tc>
      </w:tr>
      <w:tr>
        <w:tc>
          <w:tcPr>
            <w:tcW w:type="dxa" w:w="4819"/>
          </w:tcPr>
          <w:p>
            <w:pPr>
              <w:spacing w:after="20" w:before="20" w:line="240" w:lineRule="auto"/>
            </w:pPr>
            <w:r/>
            <w:r>
              <w:rPr>
                <w:rFonts w:ascii="Arial" w:hAnsi="Arial" w:cs="Arial"/>
                <w:b w:val="0"/>
                <w:i w:val="0"/>
                <w:sz w:val="17"/>
              </w:rPr>
              <w:t>Documentation</w:t>
            </w:r>
          </w:p>
        </w:tc>
        <w:tc>
          <w:tcPr>
            <w:tcW w:type="dxa" w:w="4819"/>
          </w:tcPr>
          <w:p>
            <w:pPr>
              <w:spacing w:after="20" w:before="20" w:line="240" w:lineRule="auto"/>
            </w:pPr>
            <w:r/>
            <w:r>
              <w:rPr>
                <w:rFonts w:ascii="Arial" w:hAnsi="Arial" w:cs="Arial"/>
                <w:b w:val="0"/>
                <w:i w:val="0"/>
                <w:sz w:val="17"/>
              </w:rPr>
              <w:t>Evidence/document expiry</w:t>
            </w:r>
          </w:p>
        </w:tc>
      </w:tr>
      <w:tr>
        <w:tc>
          <w:tcPr>
            <w:tcW w:type="dxa" w:w="4819"/>
          </w:tcPr>
          <w:p>
            <w:pPr>
              <w:spacing w:after="20" w:before="20" w:line="240" w:lineRule="auto"/>
            </w:pPr>
            <w:r/>
            <w:r>
              <w:rPr>
                <w:rFonts w:ascii="Arial" w:hAnsi="Arial" w:cs="Arial"/>
                <w:b w:val="0"/>
                <w:i w:val="0"/>
                <w:sz w:val="17"/>
              </w:rPr>
              <w:t>Legal</w:t>
            </w:r>
          </w:p>
        </w:tc>
        <w:tc>
          <w:tcPr>
            <w:tcW w:type="dxa" w:w="4819"/>
          </w:tcPr>
          <w:p>
            <w:pPr>
              <w:spacing w:after="20" w:before="20" w:line="240" w:lineRule="auto"/>
            </w:pPr>
            <w:r/>
            <w:r>
              <w:rPr>
                <w:rFonts w:ascii="Arial" w:hAnsi="Arial" w:cs="Arial"/>
                <w:b w:val="0"/>
                <w:i w:val="0"/>
                <w:sz w:val="17"/>
              </w:rPr>
              <w:t>Default, notice, enforcement</w:t>
            </w:r>
          </w:p>
        </w:tc>
      </w:tr>
      <w:tr>
        <w:tc>
          <w:tcPr>
            <w:tcW w:type="dxa" w:w="4819"/>
          </w:tcPr>
          <w:p>
            <w:pPr>
              <w:spacing w:after="20" w:before="20" w:line="240" w:lineRule="auto"/>
            </w:pPr>
            <w:r/>
            <w:r>
              <w:rPr>
                <w:rFonts w:ascii="Arial" w:hAnsi="Arial" w:cs="Arial"/>
                <w:b w:val="0"/>
                <w:i w:val="0"/>
                <w:sz w:val="17"/>
              </w:rPr>
              <w:t>Physical</w:t>
            </w:r>
          </w:p>
        </w:tc>
        <w:tc>
          <w:tcPr>
            <w:tcW w:type="dxa" w:w="4819"/>
          </w:tcPr>
          <w:p>
            <w:pPr>
              <w:spacing w:after="20" w:before="20" w:line="240" w:lineRule="auto"/>
            </w:pPr>
            <w:r/>
            <w:r>
              <w:rPr>
                <w:rFonts w:ascii="Arial" w:hAnsi="Arial" w:cs="Arial"/>
                <w:b w:val="0"/>
                <w:i w:val="0"/>
                <w:sz w:val="17"/>
              </w:rPr>
              <w:t>Cargo/shipment timing</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Dashboards must distinguish these clocks.</w:t>
      </w:r>
    </w:p>
    <w:p>
      <w:pPr>
        <w:keepNext/>
        <w:spacing w:before="240" w:after="100"/>
        <w:outlineLvl w:val="1"/>
      </w:pPr>
      <w:r>
        <w:rPr>
          <w:rFonts w:ascii="Arial" w:hAnsi="Arial" w:cs="Arial"/>
          <w:b/>
          <w:i w:val="0"/>
          <w:color w:val="2E528F"/>
          <w:sz w:val="26"/>
        </w:rPr>
        <w:t>10.47 Finality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Stage</w:t>
            </w:r>
          </w:p>
        </w:tc>
        <w:tc>
          <w:tcPr>
            <w:tcW w:type="dxa" w:w="4819"/>
            <w:shd w:val="clear" w:fill="D9E2F3"/>
          </w:tcPr>
          <w:p>
            <w:pPr>
              <w:spacing w:after="20" w:before="20" w:line="240" w:lineRule="auto"/>
            </w:pPr>
            <w:r/>
            <w:r>
              <w:rPr>
                <w:rFonts w:ascii="Arial" w:hAnsi="Arial" w:cs="Arial"/>
                <w:b/>
                <w:i w:val="0"/>
                <w:sz w:val="18"/>
              </w:rPr>
              <w:t>Not Final Until</w:t>
            </w:r>
          </w:p>
        </w:tc>
      </w:tr>
      <w:tr>
        <w:tc>
          <w:tcPr>
            <w:tcW w:type="dxa" w:w="4819"/>
          </w:tcPr>
          <w:p>
            <w:pPr>
              <w:spacing w:after="20" w:before="20" w:line="240" w:lineRule="auto"/>
            </w:pPr>
            <w:r/>
            <w:r>
              <w:rPr>
                <w:rFonts w:ascii="Arial" w:hAnsi="Arial" w:cs="Arial"/>
                <w:b w:val="0"/>
                <w:i w:val="0"/>
                <w:sz w:val="17"/>
              </w:rPr>
              <w:t>BID ACCEPTED</w:t>
            </w:r>
          </w:p>
        </w:tc>
        <w:tc>
          <w:tcPr>
            <w:tcW w:type="dxa" w:w="4819"/>
          </w:tcPr>
          <w:p>
            <w:pPr>
              <w:spacing w:after="20" w:before="20" w:line="240" w:lineRule="auto"/>
            </w:pPr>
            <w:r/>
            <w:r>
              <w:rPr>
                <w:rFonts w:ascii="Arial" w:hAnsi="Arial" w:cs="Arial"/>
                <w:b w:val="0"/>
                <w:i w:val="0"/>
                <w:sz w:val="17"/>
              </w:rPr>
              <w:t>≠ AGREEMENT EXECUTED</w:t>
            </w:r>
          </w:p>
        </w:tc>
      </w:tr>
      <w:tr>
        <w:tc>
          <w:tcPr>
            <w:tcW w:type="dxa" w:w="4819"/>
          </w:tcPr>
          <w:p>
            <w:pPr>
              <w:spacing w:after="20" w:before="20" w:line="240" w:lineRule="auto"/>
            </w:pPr>
            <w:r/>
            <w:r>
              <w:rPr>
                <w:rFonts w:ascii="Arial" w:hAnsi="Arial" w:cs="Arial"/>
                <w:b w:val="0"/>
                <w:i w:val="0"/>
                <w:sz w:val="17"/>
              </w:rPr>
              <w:t>AGREEMENT EXECUTED</w:t>
            </w:r>
          </w:p>
        </w:tc>
        <w:tc>
          <w:tcPr>
            <w:tcW w:type="dxa" w:w="4819"/>
          </w:tcPr>
          <w:p>
            <w:pPr>
              <w:spacing w:after="20" w:before="20" w:line="240" w:lineRule="auto"/>
            </w:pPr>
            <w:r/>
            <w:r>
              <w:rPr>
                <w:rFonts w:ascii="Arial" w:hAnsi="Arial" w:cs="Arial"/>
                <w:b w:val="0"/>
                <w:i w:val="0"/>
                <w:sz w:val="17"/>
              </w:rPr>
              <w:t>≠ DISBURSED</w:t>
            </w:r>
          </w:p>
        </w:tc>
      </w:tr>
      <w:tr>
        <w:tc>
          <w:tcPr>
            <w:tcW w:type="dxa" w:w="4819"/>
          </w:tcPr>
          <w:p>
            <w:pPr>
              <w:spacing w:after="20" w:before="20" w:line="240" w:lineRule="auto"/>
            </w:pPr>
            <w:r/>
            <w:r>
              <w:rPr>
                <w:rFonts w:ascii="Arial" w:hAnsi="Arial" w:cs="Arial"/>
                <w:b w:val="0"/>
                <w:i w:val="0"/>
                <w:sz w:val="17"/>
              </w:rPr>
              <w:t>DISBURSED</w:t>
            </w:r>
          </w:p>
        </w:tc>
        <w:tc>
          <w:tcPr>
            <w:tcW w:type="dxa" w:w="4819"/>
          </w:tcPr>
          <w:p>
            <w:pPr>
              <w:spacing w:after="20" w:before="20" w:line="240" w:lineRule="auto"/>
            </w:pPr>
            <w:r/>
            <w:r>
              <w:rPr>
                <w:rFonts w:ascii="Arial" w:hAnsi="Arial" w:cs="Arial"/>
                <w:b w:val="0"/>
                <w:i w:val="0"/>
                <w:sz w:val="17"/>
              </w:rPr>
              <w:t>≠ REPAID</w:t>
            </w:r>
          </w:p>
        </w:tc>
      </w:tr>
      <w:tr>
        <w:tc>
          <w:tcPr>
            <w:tcW w:type="dxa" w:w="4819"/>
          </w:tcPr>
          <w:p>
            <w:pPr>
              <w:spacing w:after="20" w:before="20" w:line="240" w:lineRule="auto"/>
            </w:pPr>
            <w:r/>
            <w:r>
              <w:rPr>
                <w:rFonts w:ascii="Arial" w:hAnsi="Arial" w:cs="Arial"/>
                <w:b w:val="0"/>
                <w:i w:val="0"/>
                <w:sz w:val="17"/>
              </w:rPr>
              <w:t>REPAID</w:t>
            </w:r>
          </w:p>
        </w:tc>
        <w:tc>
          <w:tcPr>
            <w:tcW w:type="dxa" w:w="4819"/>
          </w:tcPr>
          <w:p>
            <w:pPr>
              <w:spacing w:after="20" w:before="20" w:line="240" w:lineRule="auto"/>
            </w:pPr>
            <w:r/>
            <w:r>
              <w:rPr>
                <w:rFonts w:ascii="Arial" w:hAnsi="Arial" w:cs="Arial"/>
                <w:b w:val="0"/>
                <w:i w:val="0"/>
                <w:sz w:val="17"/>
              </w:rPr>
              <w:t>≠ RELEASED</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10.48 Financier Portal</w:t>
      </w:r>
    </w:p>
    <w:p>
      <w:pPr>
        <w:spacing w:after="80" w:line="293" w:lineRule="auto"/>
        <w:jc w:val="left"/>
      </w:pPr>
      <w:r>
        <w:rPr>
          <w:rFonts w:ascii="Times New Roman" w:hAnsi="Times New Roman" w:cs="Times New Roman"/>
          <w:b w:val="0"/>
          <w:i w:val="0"/>
          <w:sz w:val="22"/>
        </w:rPr>
        <w:t>Core views: Opportunities (eligible RFQs); My Bids (open and historical); Active Financing (outstanding exposures); Collateral (LTV and monitoring); Repayments (expected and received); Risk (changes and alerts); Historical Performance (portfolio analytics); Compliance (KYC/KYB and attestations).</w:t>
      </w:r>
    </w:p>
    <w:p>
      <w:pPr>
        <w:keepNext/>
        <w:spacing w:before="240" w:after="100"/>
        <w:outlineLvl w:val="1"/>
      </w:pPr>
      <w:r>
        <w:rPr>
          <w:rFonts w:ascii="Arial" w:hAnsi="Arial" w:cs="Arial"/>
          <w:b/>
          <w:i w:val="0"/>
          <w:color w:val="2E528F"/>
          <w:sz w:val="26"/>
        </w:rPr>
        <w:t>10.49 Borrower Finance Dashboard</w:t>
      </w:r>
    </w:p>
    <w:p>
      <w:pPr>
        <w:spacing w:after="80" w:line="293" w:lineRule="auto"/>
        <w:jc w:val="left"/>
      </w:pPr>
      <w:r>
        <w:rPr>
          <w:rFonts w:ascii="Times New Roman" w:hAnsi="Times New Roman" w:cs="Times New Roman"/>
          <w:b w:val="0"/>
          <w:i w:val="0"/>
          <w:sz w:val="22"/>
        </w:rPr>
        <w:t>One clear timeline: Requested → Offers Received → Selected Financing → Approved → Conditions → Disbursed → Outstanding → Next Payment → Risk Alerts → Release Status.</w:t>
      </w:r>
    </w:p>
    <w:p>
      <w:pPr>
        <w:keepNext/>
        <w:spacing w:before="240" w:after="100"/>
        <w:outlineLvl w:val="1"/>
      </w:pPr>
      <w:r>
        <w:rPr>
          <w:rFonts w:ascii="Arial" w:hAnsi="Arial" w:cs="Arial"/>
          <w:b/>
          <w:i w:val="0"/>
          <w:color w:val="2E528F"/>
          <w:sz w:val="26"/>
        </w:rPr>
        <w:t>10.50 Smart Inbox (Financing)</w:t>
      </w:r>
    </w:p>
    <w:p>
      <w:pPr>
        <w:spacing w:after="80" w:line="293" w:lineRule="auto"/>
        <w:jc w:val="left"/>
      </w:pPr>
      <w:r>
        <w:rPr>
          <w:rFonts w:ascii="Times New Roman" w:hAnsi="Times New Roman" w:cs="Times New Roman"/>
          <w:b w:val="0"/>
          <w:i w:val="0"/>
          <w:sz w:val="22"/>
        </w:rPr>
        <w:t>Contextual actions: "Financing offer expires in 3 hours"; "Additional document required"; "Collateral valuation needs review"; "Financier approved your request"; "Disbursement condition remains incomplete"; "Repayment due tomorrow"; "Financing revalidation required after trade amendment." Each item: what → why → deadline → action.</w:t>
      </w:r>
    </w:p>
    <w:p>
      <w:pPr>
        <w:keepNext/>
        <w:spacing w:before="240" w:after="100"/>
        <w:outlineLvl w:val="1"/>
      </w:pPr>
      <w:r>
        <w:rPr>
          <w:rFonts w:ascii="Arial" w:hAnsi="Arial" w:cs="Arial"/>
          <w:b/>
          <w:i w:val="0"/>
          <w:color w:val="2E528F"/>
          <w:sz w:val="26"/>
        </w:rPr>
        <w:t>10.51 TCC Integration (Financing Context)</w:t>
      </w:r>
    </w:p>
    <w:p>
      <w:pPr>
        <w:spacing w:after="80" w:line="293" w:lineRule="auto"/>
        <w:jc w:val="left"/>
      </w:pPr>
      <w:r>
        <w:rPr>
          <w:rFonts w:ascii="Times New Roman" w:hAnsi="Times New Roman" w:cs="Times New Roman"/>
          <w:b w:val="0"/>
          <w:i w:val="0"/>
          <w:sz w:val="22"/>
        </w:rPr>
        <w:t>The Trade Command Center displays: Financing: Active; Financed Amount; Outstanding Balance; Financier(s); Next Critical Event; Financing Risk — with access-controlled details.</w:t>
      </w:r>
    </w:p>
    <w:p>
      <w:pPr>
        <w:keepNext/>
        <w:spacing w:before="240" w:after="100"/>
        <w:outlineLvl w:val="1"/>
      </w:pPr>
      <w:r>
        <w:rPr>
          <w:rFonts w:ascii="Arial" w:hAnsi="Arial" w:cs="Arial"/>
          <w:b/>
          <w:i w:val="0"/>
          <w:color w:val="2E528F"/>
          <w:sz w:val="26"/>
        </w:rPr>
        <w:t>10.52 Reconciliation Control Plane (Financing)</w:t>
      </w:r>
    </w:p>
    <w:p>
      <w:pPr>
        <w:spacing w:after="80" w:line="293" w:lineRule="auto"/>
        <w:jc w:val="left"/>
      </w:pPr>
      <w:r>
        <w:rPr>
          <w:rFonts w:ascii="Times New Roman" w:hAnsi="Times New Roman" w:cs="Times New Roman"/>
          <w:b w:val="0"/>
          <w:i w:val="0"/>
          <w:sz w:val="22"/>
        </w:rPr>
        <w:t>Reconcile: Financing Agreement ↔ Bank Reality ↔ Disbursement ↔ Repayment ↔ Financier Ledger ↔ Borrower Position ↔ SGTX Fee Record ↔ Trade/USTN. Rule: no financing balance is authoritative merely because an internal application record says so.</w:t>
      </w:r>
    </w:p>
    <w:p>
      <w:pPr>
        <w:keepNext/>
        <w:spacing w:before="240" w:after="100"/>
        <w:outlineLvl w:val="1"/>
      </w:pPr>
      <w:r>
        <w:rPr>
          <w:rFonts w:ascii="Arial" w:hAnsi="Arial" w:cs="Arial"/>
          <w:b/>
          <w:i w:val="0"/>
          <w:color w:val="2E528F"/>
          <w:sz w:val="26"/>
        </w:rPr>
        <w:t>10.53 Financing Ledger (Immutable)</w:t>
      </w:r>
    </w:p>
    <w:p>
      <w:pPr>
        <w:spacing w:after="80" w:line="293" w:lineRule="auto"/>
        <w:jc w:val="left"/>
      </w:pPr>
      <w:r>
        <w:rPr>
          <w:rFonts w:ascii="Times New Roman" w:hAnsi="Times New Roman" w:cs="Times New Roman"/>
          <w:b w:val="0"/>
          <w:i w:val="0"/>
          <w:sz w:val="22"/>
        </w:rPr>
        <w:t>Financial events: commitment; fee; disbursement; repayment; interest/cost accrual where applicable; adjustment; reversal; write-off where legally/operationally supported; release. Rule: never silently edit financing balances.</w:t>
      </w:r>
    </w:p>
    <w:p>
      <w:pPr>
        <w:keepNext/>
        <w:spacing w:before="240" w:after="100"/>
        <w:outlineLvl w:val="1"/>
      </w:pPr>
      <w:r>
        <w:rPr>
          <w:rFonts w:ascii="Arial" w:hAnsi="Arial" w:cs="Arial"/>
          <w:b/>
          <w:i w:val="0"/>
          <w:color w:val="2E528F"/>
          <w:sz w:val="26"/>
        </w:rPr>
        <w:t>10.54 Reversals and Corrections</w:t>
      </w:r>
    </w:p>
    <w:p>
      <w:pPr>
        <w:spacing w:after="80" w:line="293" w:lineRule="auto"/>
        <w:jc w:val="left"/>
      </w:pPr>
      <w:r>
        <w:rPr>
          <w:rFonts w:ascii="Times New Roman" w:hAnsi="Times New Roman" w:cs="Times New Roman"/>
          <w:b w:val="0"/>
          <w:i w:val="0"/>
          <w:sz w:val="22"/>
        </w:rPr>
        <w:t>Never delete: financing request; bid; approval; agreement; disbursement; repayment. Corrections become new events; reversals become new events; historical truth remains intact.</w:t>
      </w:r>
    </w:p>
    <w:p>
      <w:pPr>
        <w:keepNext/>
        <w:spacing w:before="240" w:after="100"/>
        <w:outlineLvl w:val="1"/>
      </w:pPr>
      <w:r>
        <w:rPr>
          <w:rFonts w:ascii="Arial" w:hAnsi="Arial" w:cs="Arial"/>
          <w:b/>
          <w:i w:val="0"/>
          <w:color w:val="2E528F"/>
          <w:sz w:val="26"/>
        </w:rPr>
        <w:t>10.55 Financier Historical Data</w:t>
      </w:r>
    </w:p>
    <w:p>
      <w:pPr>
        <w:spacing w:after="80" w:line="293" w:lineRule="auto"/>
        <w:jc w:val="left"/>
      </w:pPr>
      <w:r>
        <w:rPr>
          <w:rFonts w:ascii="Times New Roman" w:hAnsi="Times New Roman" w:cs="Times New Roman"/>
          <w:b w:val="0"/>
          <w:i w:val="0"/>
          <w:sz w:val="22"/>
        </w:rPr>
        <w:t>Track: financing volume; repayment performance; average tenor; approval rate; default rate; realized return where applicable; concentration; historical risk. Rule: do not expose confidential portfolio details across financiers.</w:t>
      </w:r>
    </w:p>
    <w:p>
      <w:pPr>
        <w:keepNext/>
        <w:spacing w:before="240" w:after="100"/>
        <w:outlineLvl w:val="1"/>
      </w:pPr>
      <w:r>
        <w:rPr>
          <w:rFonts w:ascii="Arial" w:hAnsi="Arial" w:cs="Arial"/>
          <w:b/>
          <w:i w:val="0"/>
          <w:color w:val="2E528F"/>
          <w:sz w:val="26"/>
        </w:rPr>
        <w:t>10.56 Borrower Financing History</w:t>
      </w:r>
    </w:p>
    <w:p>
      <w:pPr>
        <w:spacing w:after="80" w:line="293" w:lineRule="auto"/>
        <w:jc w:val="left"/>
      </w:pPr>
      <w:r>
        <w:rPr>
          <w:rFonts w:ascii="Times New Roman" w:hAnsi="Times New Roman" w:cs="Times New Roman"/>
          <w:b w:val="0"/>
          <w:i w:val="0"/>
          <w:sz w:val="22"/>
        </w:rPr>
        <w:t>Show appropriate borrower history: previous financing; amount; repayment performance; overdue history; completed facilities. Rule: do not expose another institution's confidential information unless authorised.</w:t>
      </w:r>
    </w:p>
    <w:p>
      <w:pPr>
        <w:keepNext/>
        <w:spacing w:before="240" w:after="100"/>
        <w:outlineLvl w:val="1"/>
      </w:pPr>
      <w:r>
        <w:rPr>
          <w:rFonts w:ascii="Arial" w:hAnsi="Arial" w:cs="Arial"/>
          <w:b/>
          <w:i w:val="0"/>
          <w:color w:val="2E528F"/>
          <w:sz w:val="26"/>
        </w:rPr>
        <w:t>10.57 Credit Model Versioning</w:t>
      </w:r>
    </w:p>
    <w:p>
      <w:pPr>
        <w:spacing w:after="80" w:line="293" w:lineRule="auto"/>
        <w:jc w:val="left"/>
      </w:pPr>
      <w:r>
        <w:rPr>
          <w:rFonts w:ascii="Times New Roman" w:hAnsi="Times New Roman" w:cs="Times New Roman"/>
          <w:b w:val="0"/>
          <w:i w:val="0"/>
          <w:sz w:val="22"/>
        </w:rPr>
        <w:t>Every financing decision-support calculation records: model name; model version; feature set version; calculation timestamp; result; relevant policy version. Historical decisions remain tied to historical model versions.</w:t>
      </w:r>
    </w:p>
    <w:p>
      <w:pPr>
        <w:keepNext/>
        <w:spacing w:before="240" w:after="100"/>
        <w:outlineLvl w:val="1"/>
      </w:pPr>
      <w:r>
        <w:rPr>
          <w:rFonts w:ascii="Arial" w:hAnsi="Arial" w:cs="Arial"/>
          <w:b/>
          <w:i w:val="0"/>
          <w:color w:val="2E528F"/>
          <w:sz w:val="26"/>
        </w:rPr>
        <w:t>10.58 Jurisdictional Adapters</w:t>
      </w:r>
    </w:p>
    <w:p>
      <w:pPr>
        <w:spacing w:after="80" w:line="293" w:lineRule="auto"/>
        <w:jc w:val="left"/>
      </w:pPr>
      <w:r>
        <w:rPr>
          <w:rFonts w:ascii="Times New Roman" w:hAnsi="Times New Roman" w:cs="Times New Roman"/>
          <w:b w:val="0"/>
          <w:i w:val="0"/>
          <w:sz w:val="22"/>
        </w:rPr>
        <w:t>Financing availability, financial products, lending permissions, and money-transmission implications are jurisdiction-dependent. Implement jurisdictional policy adapters, never one global boolean.</w:t>
      </w:r>
    </w:p>
    <w:p>
      <w:pPr>
        <w:keepNext/>
        <w:spacing w:before="240" w:after="100"/>
        <w:outlineLvl w:val="1"/>
      </w:pPr>
      <w:r>
        <w:rPr>
          <w:rFonts w:ascii="Arial" w:hAnsi="Arial" w:cs="Arial"/>
          <w:b/>
          <w:i w:val="0"/>
          <w:color w:val="2E528F"/>
          <w:sz w:val="26"/>
        </w:rPr>
        <w:t>10.59 Country Adapters (Financing)</w:t>
      </w:r>
    </w:p>
    <w:p>
      <w:pPr>
        <w:spacing w:after="80" w:line="293" w:lineRule="auto"/>
        <w:jc w:val="left"/>
      </w:pPr>
      <w:r>
        <w:rPr>
          <w:rFonts w:ascii="Times New Roman" w:hAnsi="Times New Roman" w:cs="Times New Roman"/>
          <w:b w:val="0"/>
          <w:i w:val="0"/>
          <w:sz w:val="22"/>
        </w:rPr>
        <w:t>Financing eligibility supports country-specific policies for: borrower; financier; bank; collateral; settlement method; currency; financing product; disclosures; documentation.</w:t>
      </w:r>
    </w:p>
    <w:p>
      <w:pPr>
        <w:keepNext/>
        <w:spacing w:before="240" w:after="100"/>
        <w:outlineLvl w:val="1"/>
      </w:pPr>
      <w:r>
        <w:rPr>
          <w:rFonts w:ascii="Arial" w:hAnsi="Arial" w:cs="Arial"/>
          <w:b/>
          <w:i w:val="0"/>
          <w:color w:val="2E528F"/>
          <w:sz w:val="26"/>
        </w:rPr>
        <w:t>10.60 Sanctions / Compliance</w:t>
      </w:r>
    </w:p>
    <w:p>
      <w:pPr>
        <w:spacing w:after="80" w:line="293" w:lineRule="auto"/>
        <w:jc w:val="left"/>
      </w:pPr>
      <w:r>
        <w:rPr>
          <w:rFonts w:ascii="Times New Roman" w:hAnsi="Times New Roman" w:cs="Times New Roman"/>
          <w:b w:val="0"/>
          <w:i w:val="0"/>
          <w:sz w:val="22"/>
        </w:rPr>
        <w:t>Before financing: screen relevant parties and transactions against applicable policies; re-screen at material events where required. Rule: potential sanctions/compliance blocks must never be overridden by AI.</w:t>
      </w:r>
    </w:p>
    <w:p>
      <w:pPr>
        <w:keepNext/>
        <w:spacing w:before="240" w:after="100"/>
        <w:outlineLvl w:val="1"/>
      </w:pPr>
      <w:r>
        <w:rPr>
          <w:rFonts w:ascii="Arial" w:hAnsi="Arial" w:cs="Arial"/>
          <w:b/>
          <w:i w:val="0"/>
          <w:color w:val="2E528F"/>
          <w:sz w:val="26"/>
        </w:rPr>
        <w:t>10.61 Double-Financing Prevention (Mandatory)</w:t>
      </w:r>
    </w:p>
    <w:p>
      <w:pPr>
        <w:spacing w:after="80" w:line="293" w:lineRule="auto"/>
        <w:jc w:val="left"/>
      </w:pPr>
      <w:r>
        <w:rPr>
          <w:rFonts w:ascii="Times New Roman" w:hAnsi="Times New Roman" w:cs="Times New Roman"/>
          <w:b w:val="0"/>
          <w:i w:val="0"/>
          <w:sz w:val="22"/>
        </w:rPr>
        <w:t>The same economic shipment/exposure must never be accidentally financed twice. Before award/disbursement, check existing financing obligations against: USTN; invoice; receivable; shipment; collateral; trade amount.</w:t>
      </w:r>
    </w:p>
    <w:p>
      <w:pPr>
        <w:keepNext/>
        <w:spacing w:before="180" w:after="80"/>
        <w:outlineLvl w:val="2"/>
      </w:pPr>
      <w:r>
        <w:rPr>
          <w:rFonts w:ascii="Arial" w:hAnsi="Arial" w:cs="Arial"/>
          <w:b/>
          <w:i w:val="0"/>
          <w:color w:val="333333"/>
          <w:sz w:val="23"/>
        </w:rPr>
        <w:t>10.61.1 Internal Control &amp; External Claim Boundaries</w:t>
      </w:r>
    </w:p>
    <w:p>
      <w:pPr>
        <w:spacing w:after="80" w:line="293" w:lineRule="auto"/>
        <w:jc w:val="left"/>
      </w:pPr>
      <w:r>
        <w:rPr>
          <w:rFonts w:ascii="Times New Roman" w:hAnsi="Times New Roman" w:cs="Times New Roman"/>
          <w:b w:val="0"/>
          <w:i w:val="0"/>
          <w:sz w:val="22"/>
        </w:rPr>
        <w:t>The platform prevents duplicate financing against the same controlled exposure within its own financing registry, and its claims stop exactly at that boundary. Before any financing approval, allocation, or disbursement, the platform checks the controlled exposure registry for: USTN, shipment, invoice, receivable, purchase order, trade amount, economic exposure, collateral, existing internal financing allocations, and outstanding exposure. The system blocks over-allocation beyond the permitted exposure (invariant I-10) and blocks duplicate financing against the same controlled exposure object (invariant coverage in Section 24.4.11, Financing tests).</w:t>
      </w:r>
    </w:p>
    <w:p>
      <w:pPr>
        <w:spacing w:after="80" w:line="293" w:lineRule="auto"/>
        <w:jc w:val="left"/>
      </w:pPr>
      <w:r>
        <w:rPr>
          <w:rFonts w:ascii="Times New Roman" w:hAnsi="Times New Roman" w:cs="Times New Roman"/>
          <w:b w:val="0"/>
          <w:i w:val="0"/>
          <w:sz w:val="22"/>
        </w:rPr>
        <w:t>The platform does not claim to prevent a borrower from financing the same receivable outside the platform. The canonical claim wording for all product, marketing, and contractual text is: the platform prevents duplicate financing against the same controlled exposure within its own financing registry, and may detect externally reported financing where authoritative external data is available. External prevention is not a v1 guarantee. Future capability classes — an External Financing Registry Adapter, an External Receivables Registry, a Bank Data-Sharing Adapter, or a Corridor Financing Registry — may extend detection to externally reported financing, and each such adapter is integrated only when it is technically and legally available, with its authority class recorded in the source registry (Section 6.3).</w:t>
      </w:r>
    </w:p>
    <w:p>
      <w:pPr>
        <w:keepNext/>
        <w:spacing w:before="240" w:after="100"/>
        <w:outlineLvl w:val="1"/>
      </w:pPr>
      <w:r>
        <w:rPr>
          <w:rFonts w:ascii="Arial" w:hAnsi="Arial" w:cs="Arial"/>
          <w:b/>
          <w:i w:val="0"/>
          <w:color w:val="2E528F"/>
          <w:sz w:val="26"/>
        </w:rPr>
        <w:t>10.62 Document Integrity (Financing)</w:t>
      </w:r>
    </w:p>
    <w:p>
      <w:pPr>
        <w:spacing w:after="80" w:line="293" w:lineRule="auto"/>
        <w:jc w:val="left"/>
      </w:pPr>
      <w:r>
        <w:rPr>
          <w:rFonts w:ascii="Times New Roman" w:hAnsi="Times New Roman" w:cs="Times New Roman"/>
          <w:b w:val="0"/>
          <w:i w:val="0"/>
          <w:sz w:val="22"/>
        </w:rPr>
        <w:t>Financiers may review: contract; invoice; packing list; booking; eBL; QC; insurance; certificates; customs information. Every relevant document is linked to the canonical trade and versioned.</w:t>
      </w:r>
    </w:p>
    <w:p>
      <w:pPr>
        <w:keepNext/>
        <w:spacing w:before="240" w:after="100"/>
        <w:outlineLvl w:val="1"/>
      </w:pPr>
      <w:r>
        <w:rPr>
          <w:rFonts w:ascii="Arial" w:hAnsi="Arial" w:cs="Arial"/>
          <w:b/>
          <w:i w:val="0"/>
          <w:color w:val="2E528F"/>
          <w:sz w:val="26"/>
        </w:rPr>
        <w:t>10.63 Insurance Integration (Financing)</w:t>
      </w:r>
    </w:p>
    <w:p>
      <w:pPr>
        <w:spacing w:after="80" w:line="293" w:lineRule="auto"/>
        <w:jc w:val="left"/>
      </w:pPr>
      <w:r>
        <w:rPr>
          <w:rFonts w:ascii="Times New Roman" w:hAnsi="Times New Roman" w:cs="Times New Roman"/>
          <w:b w:val="0"/>
          <w:i w:val="0"/>
          <w:sz w:val="22"/>
        </w:rPr>
        <w:t>Where insurance supports financed exposure, track: policy; insurer; insured value; covered risks; beneficiary/loss-payee structure where applicable; expiry; claims; coverage gaps. Insurance expiry can trigger financing review.</w:t>
      </w:r>
    </w:p>
    <w:p>
      <w:pPr>
        <w:keepNext/>
        <w:spacing w:before="240" w:after="100"/>
        <w:outlineLvl w:val="1"/>
      </w:pPr>
      <w:r>
        <w:rPr>
          <w:rFonts w:ascii="Arial" w:hAnsi="Arial" w:cs="Arial"/>
          <w:b/>
          <w:i w:val="0"/>
          <w:color w:val="2E528F"/>
          <w:sz w:val="26"/>
        </w:rPr>
        <w:t>10.64 Financing Dispute</w:t>
      </w:r>
    </w:p>
    <w:p>
      <w:pPr>
        <w:spacing w:after="80" w:line="293" w:lineRule="auto"/>
        <w:jc w:val="left"/>
      </w:pPr>
      <w:r>
        <w:rPr>
          <w:rFonts w:ascii="Times New Roman" w:hAnsi="Times New Roman" w:cs="Times New Roman"/>
          <w:b w:val="0"/>
          <w:i w:val="0"/>
          <w:sz w:val="22"/>
        </w:rPr>
        <w:t>Where a dispute arises, determine: dispute scope; financed exposure; contractual trigger; collateral implications; payment implications; legal hold; insurer involvement. Financing is not automatically terminated; the system creates the appropriate controlled path.</w:t>
      </w:r>
    </w:p>
    <w:p>
      <w:pPr>
        <w:keepNext/>
        <w:spacing w:before="240" w:after="100"/>
        <w:outlineLvl w:val="1"/>
      </w:pPr>
      <w:r>
        <w:rPr>
          <w:rFonts w:ascii="Arial" w:hAnsi="Arial" w:cs="Arial"/>
          <w:b/>
          <w:i w:val="0"/>
          <w:color w:val="2E528F"/>
          <w:sz w:val="26"/>
        </w:rPr>
        <w:t>10.65 Default</w:t>
      </w:r>
    </w:p>
    <w:p>
      <w:pPr>
        <w:spacing w:after="80" w:line="293" w:lineRule="auto"/>
        <w:jc w:val="left"/>
      </w:pPr>
      <w:r>
        <w:rPr>
          <w:rFonts w:ascii="Times New Roman" w:hAnsi="Times New Roman" w:cs="Times New Roman"/>
          <w:b w:val="0"/>
          <w:i w:val="0"/>
          <w:sz w:val="22"/>
        </w:rPr>
        <w:t>Default is based on: contractual conditions; authoritative payment evidence; applicable grace period; authorized policy — never on AI prediction alone. AI may predict higher probability of default, but cannot transform prediction into DEFAULT without the contractual condition being met.</w:t>
      </w:r>
    </w:p>
    <w:p>
      <w:pPr>
        <w:keepNext/>
        <w:spacing w:before="240" w:after="100"/>
        <w:outlineLvl w:val="1"/>
      </w:pPr>
      <w:r>
        <w:rPr>
          <w:rFonts w:ascii="Arial" w:hAnsi="Arial" w:cs="Arial"/>
          <w:b/>
          <w:i w:val="0"/>
          <w:color w:val="2E528F"/>
          <w:sz w:val="26"/>
        </w:rPr>
        <w:t>10.66 Release</w:t>
      </w:r>
    </w:p>
    <w:p>
      <w:pPr>
        <w:spacing w:after="80" w:line="293" w:lineRule="auto"/>
        <w:jc w:val="left"/>
      </w:pPr>
      <w:r>
        <w:rPr>
          <w:rFonts w:ascii="Times New Roman" w:hAnsi="Times New Roman" w:cs="Times New Roman"/>
          <w:b w:val="0"/>
          <w:i w:val="0"/>
          <w:sz w:val="22"/>
        </w:rPr>
        <w:t>Repayment and release are separate states. After repayment, verify: balance reconciled; all charges resolved; no remaining obligation; collateral release conditions satisfied. Then: RELEASE_ELIGIBLE → RELEASED after the authoritative release action.</w:t>
      </w:r>
    </w:p>
    <w:p>
      <w:pPr>
        <w:keepNext/>
        <w:spacing w:before="240" w:after="100"/>
        <w:outlineLvl w:val="1"/>
      </w:pPr>
      <w:r>
        <w:rPr>
          <w:rFonts w:ascii="Arial" w:hAnsi="Arial" w:cs="Arial"/>
          <w:b/>
          <w:i w:val="0"/>
          <w:color w:val="2E528F"/>
          <w:sz w:val="26"/>
        </w:rPr>
        <w:t>10.67 Collateral Release Evidence</w:t>
      </w:r>
    </w:p>
    <w:p>
      <w:pPr>
        <w:spacing w:after="80" w:line="293" w:lineRule="auto"/>
        <w:jc w:val="left"/>
      </w:pPr>
      <w:r>
        <w:rPr>
          <w:rFonts w:ascii="Times New Roman" w:hAnsi="Times New Roman" w:cs="Times New Roman"/>
          <w:b w:val="0"/>
          <w:i w:val="0"/>
          <w:sz w:val="22"/>
        </w:rPr>
        <w:t>When collateral is released, record: authorization; timestamp; collateral identity; outstanding balance; release reason; authoritative evidence. Never simply flip a database boolean.</w:t>
      </w:r>
    </w:p>
    <w:p>
      <w:pPr>
        <w:keepNext/>
        <w:spacing w:before="240" w:after="100"/>
        <w:outlineLvl w:val="1"/>
      </w:pPr>
      <w:r>
        <w:rPr>
          <w:rFonts w:ascii="Arial" w:hAnsi="Arial" w:cs="Arial"/>
          <w:b/>
          <w:i w:val="0"/>
          <w:color w:val="2E528F"/>
          <w:sz w:val="26"/>
        </w:rPr>
        <w:t>10.68 Governor (Financing)</w:t>
      </w:r>
    </w:p>
    <w:p>
      <w:pPr>
        <w:spacing w:after="80" w:line="293" w:lineRule="auto"/>
        <w:jc w:val="left"/>
      </w:pPr>
      <w:r>
        <w:rPr>
          <w:rFonts w:ascii="Times New Roman" w:hAnsi="Times New Roman" w:cs="Times New Roman"/>
          <w:b w:val="0"/>
          <w:i w:val="0"/>
          <w:sz w:val="22"/>
        </w:rPr>
        <w:t>Every irreversible financial action passes through the Governor: award; financing agreement confirmation; disbursement authorization; collateral action; margin call action where applicable; release; enforcement path. The Governor records: requested action, policy evaluation, risk context, authorization, result, and audit evidence.</w:t>
      </w:r>
    </w:p>
    <w:p>
      <w:pPr>
        <w:keepNext/>
        <w:spacing w:before="240" w:after="100"/>
        <w:outlineLvl w:val="1"/>
      </w:pPr>
      <w:r>
        <w:rPr>
          <w:rFonts w:ascii="Arial" w:hAnsi="Arial" w:cs="Arial"/>
          <w:b/>
          <w:i w:val="0"/>
          <w:color w:val="2E528F"/>
          <w:sz w:val="26"/>
        </w:rPr>
        <w:t>10.69 Human-in-the-Loop (Financing)</w:t>
      </w:r>
    </w:p>
    <w:p>
      <w:pPr>
        <w:spacing w:after="80" w:line="293" w:lineRule="auto"/>
        <w:jc w:val="left"/>
      </w:pPr>
      <w:r>
        <w:rPr>
          <w:rFonts w:ascii="Times New Roman" w:hAnsi="Times New Roman" w:cs="Times New Roman"/>
          <w:b w:val="0"/>
          <w:i w:val="0"/>
          <w:sz w:val="22"/>
        </w:rPr>
        <w:t>AI can: analyse, summarise, predict, recommend, detect. AI cannot: commit funds, approve financing, execute legal commitment, release collateral, or declare contractual default. Authorised human/institutional control is required.</w:t>
      </w:r>
    </w:p>
    <w:p>
      <w:pPr>
        <w:keepNext/>
        <w:spacing w:before="240" w:after="100"/>
        <w:outlineLvl w:val="1"/>
      </w:pPr>
      <w:r>
        <w:rPr>
          <w:rFonts w:ascii="Arial" w:hAnsi="Arial" w:cs="Arial"/>
          <w:b/>
          <w:i w:val="0"/>
          <w:color w:val="2E528F"/>
          <w:sz w:val="26"/>
        </w:rPr>
        <w:t>10.70 Co-Financing Database Design</w:t>
      </w:r>
    </w:p>
    <w:p>
      <w:pPr>
        <w:spacing w:after="0" w:before="0" w:line="240" w:lineRule="auto"/>
        <w:ind w:left="57"/>
        <w:jc w:val="left"/>
        <w:shd w:val="clear" w:fill="F2F2F2"/>
      </w:pPr>
      <w:r>
        <w:rPr>
          <w:rFonts w:ascii="Consolas" w:hAnsi="Consolas" w:cs="Consolas"/>
          <w:b w:val="0"/>
          <w:i w:val="0"/>
          <w:sz w:val="15"/>
        </w:rPr>
        <w:t>-- Financing requests (master)</w:t>
      </w:r>
    </w:p>
    <w:p>
      <w:pPr>
        <w:spacing w:after="0" w:before="0" w:line="240" w:lineRule="auto"/>
        <w:ind w:left="57"/>
        <w:jc w:val="left"/>
        <w:shd w:val="clear" w:fill="F2F2F2"/>
      </w:pPr>
      <w:r>
        <w:rPr>
          <w:rFonts w:ascii="Consolas" w:hAnsi="Consolas" w:cs="Consolas"/>
          <w:b w:val="0"/>
          <w:i w:val="0"/>
          <w:sz w:val="15"/>
        </w:rPr>
        <w:t>-- financing_requests: canonical definition in Section 17.14;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Financing offers (bids) — each bid is a portion</w:t>
      </w:r>
    </w:p>
    <w:p>
      <w:pPr>
        <w:spacing w:after="0" w:before="0" w:line="240" w:lineRule="auto"/>
        <w:ind w:left="57"/>
        <w:jc w:val="left"/>
        <w:shd w:val="clear" w:fill="F2F2F2"/>
      </w:pPr>
      <w:r>
        <w:rPr>
          <w:rFonts w:ascii="Consolas" w:hAnsi="Consolas" w:cs="Consolas"/>
          <w:b w:val="0"/>
          <w:i w:val="0"/>
          <w:sz w:val="15"/>
        </w:rPr>
        <w:t>-- financing_offers: canonical definition in Section 17.14;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Financing agreements (master + annexes)</w:t>
      </w:r>
    </w:p>
    <w:p>
      <w:pPr>
        <w:spacing w:after="0" w:before="0" w:line="240" w:lineRule="auto"/>
        <w:ind w:left="57"/>
        <w:jc w:val="left"/>
        <w:shd w:val="clear" w:fill="F2F2F2"/>
      </w:pPr>
      <w:r>
        <w:rPr>
          <w:rFonts w:ascii="Consolas" w:hAnsi="Consolas" w:cs="Consolas"/>
          <w:b w:val="0"/>
          <w:i w:val="0"/>
          <w:sz w:val="15"/>
        </w:rPr>
        <w:t>-- financing_agreements: canonical definition in Section 17.14;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Financing repayments (per financier)</w:t>
      </w:r>
    </w:p>
    <w:p>
      <w:pPr>
        <w:spacing w:after="0" w:before="0" w:line="240" w:lineRule="auto"/>
        <w:ind w:left="57"/>
        <w:jc w:val="left"/>
        <w:shd w:val="clear" w:fill="F2F2F2"/>
      </w:pPr>
      <w:r>
        <w:rPr>
          <w:rFonts w:ascii="Consolas" w:hAnsi="Consolas" w:cs="Consolas"/>
          <w:b w:val="0"/>
          <w:i w:val="0"/>
          <w:sz w:val="15"/>
        </w:rPr>
        <w:t>-- financing_repayments: canonical definition in Section 17.14; not redefined here.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10.71 Regulatory Reporting</w:t>
      </w:r>
    </w:p>
    <w:p>
      <w:pPr>
        <w:spacing w:after="80" w:line="293" w:lineRule="auto"/>
        <w:jc w:val="left"/>
      </w:pPr>
      <w:r>
        <w:rPr>
          <w:rFonts w:ascii="Times New Roman" w:hAnsi="Times New Roman" w:cs="Times New Roman"/>
          <w:b w:val="0"/>
          <w:i w:val="0"/>
          <w:sz w:val="22"/>
        </w:rPr>
        <w:t>Automated generation of jurisdiction-appropriate regulatory filings: CBE monthly remittance reports (Egypt); ECB statistical returns (EU); FinCEN SAR (USA); VAT/GST reports. Reporting runs on schedule and on material events; outputs are archived as PDF/A-3 documents with Loom hashes.</w:t>
      </w:r>
    </w:p>
    <w:p>
      <w:pPr>
        <w:keepNext/>
        <w:spacing w:before="240" w:after="100"/>
        <w:outlineLvl w:val="1"/>
      </w:pPr>
      <w:r>
        <w:rPr>
          <w:rFonts w:ascii="Arial" w:hAnsi="Arial" w:cs="Arial"/>
          <w:b/>
          <w:i w:val="0"/>
          <w:color w:val="2E528F"/>
          <w:sz w:val="26"/>
        </w:rPr>
        <w:t>10.72 Implementation Checklist (Phase 4)</w:t>
      </w:r>
    </w:p>
    <w:p>
      <w:pPr>
        <w:spacing w:after="80" w:line="293" w:lineRule="auto"/>
        <w:jc w:val="left"/>
      </w:pPr>
      <w:r>
        <w:rPr>
          <w:rFonts w:ascii="Times New Roman" w:hAnsi="Times New Roman" w:cs="Times New Roman"/>
          <w:b w:val="0"/>
          <w:i w:val="0"/>
          <w:sz w:val="22"/>
        </w:rPr>
        <w:t>Financing request:</w:t>
      </w:r>
    </w:p>
    <w:p>
      <w:pPr>
        <w:spacing w:after="80" w:line="293" w:lineRule="auto"/>
        <w:ind w:left="283"/>
        <w:jc w:val="left"/>
      </w:pPr>
      <w:r>
        <w:rPr>
          <w:rFonts w:ascii="Times New Roman" w:hAnsi="Times New Roman" w:cs="Times New Roman"/>
          <w:b w:val="0"/>
          <w:i w:val="0"/>
          <w:sz w:val="22"/>
        </w:rPr>
        <w:t>- Implement financing request endpoint (POST /v1/finance/request)</w:t>
      </w:r>
    </w:p>
    <w:p>
      <w:pPr>
        <w:spacing w:after="80" w:line="293" w:lineRule="auto"/>
        <w:ind w:left="283"/>
        <w:jc w:val="left"/>
      </w:pPr>
      <w:r>
        <w:rPr>
          <w:rFonts w:ascii="Times New Roman" w:hAnsi="Times New Roman" w:cs="Times New Roman"/>
          <w:b w:val="0"/>
          <w:i w:val="0"/>
          <w:sz w:val="22"/>
        </w:rPr>
        <w:t>- Implement AI LTV recommendation (A1, Groq)</w:t>
      </w:r>
    </w:p>
    <w:p>
      <w:pPr>
        <w:spacing w:after="80" w:line="293" w:lineRule="auto"/>
        <w:ind w:left="283"/>
        <w:jc w:val="left"/>
      </w:pPr>
      <w:r>
        <w:rPr>
          <w:rFonts w:ascii="Times New Roman" w:hAnsi="Times New Roman" w:cs="Times New Roman"/>
          <w:b w:val="0"/>
          <w:i w:val="0"/>
          <w:sz w:val="22"/>
        </w:rPr>
        <w:t>- Implement credit intelligence (A2, XGBoost)</w:t>
      </w:r>
    </w:p>
    <w:p>
      <w:pPr>
        <w:spacing w:after="80" w:line="293" w:lineRule="auto"/>
        <w:ind w:left="283"/>
        <w:jc w:val="left"/>
      </w:pPr>
      <w:r>
        <w:rPr>
          <w:rFonts w:ascii="Times New Roman" w:hAnsi="Times New Roman" w:cs="Times New Roman"/>
          <w:b w:val="0"/>
          <w:i w:val="0"/>
          <w:sz w:val="22"/>
        </w:rPr>
        <w:t>- Implement auto-RFQ broadcast</w:t>
      </w:r>
    </w:p>
    <w:p>
      <w:pPr>
        <w:spacing w:after="80" w:line="293" w:lineRule="auto"/>
        <w:ind w:left="283"/>
        <w:jc w:val="left"/>
      </w:pPr>
      <w:r>
        <w:rPr>
          <w:rFonts w:ascii="Times New Roman" w:hAnsi="Times New Roman" w:cs="Times New Roman"/>
          <w:b w:val="0"/>
          <w:i w:val="0"/>
          <w:sz w:val="22"/>
        </w:rPr>
        <w:t>- Implement match score calculation (A1, Groq)</w:t>
      </w:r>
    </w:p>
    <w:p>
      <w:pPr>
        <w:spacing w:after="80" w:line="293" w:lineRule="auto"/>
        <w:ind w:left="283"/>
        <w:jc w:val="left"/>
      </w:pPr>
      <w:r>
        <w:rPr>
          <w:rFonts w:ascii="Times New Roman" w:hAnsi="Times New Roman" w:cs="Times New Roman"/>
          <w:b w:val="0"/>
          <w:i w:val="0"/>
          <w:sz w:val="22"/>
        </w:rPr>
        <w:t>- Implement financier preferences matching</w:t>
      </w:r>
    </w:p>
    <w:p>
      <w:pPr>
        <w:spacing w:after="80" w:line="293" w:lineRule="auto"/>
        <w:jc w:val="left"/>
      </w:pPr>
      <w:r>
        <w:rPr>
          <w:rFonts w:ascii="Times New Roman" w:hAnsi="Times New Roman" w:cs="Times New Roman"/>
          <w:b w:val="0"/>
          <w:i w:val="0"/>
          <w:sz w:val="22"/>
        </w:rPr>
        <w:t>Full disclosure:</w:t>
      </w:r>
    </w:p>
    <w:p>
      <w:pPr>
        <w:spacing w:after="80" w:line="293" w:lineRule="auto"/>
        <w:ind w:left="283"/>
        <w:jc w:val="left"/>
      </w:pPr>
      <w:r>
        <w:rPr>
          <w:rFonts w:ascii="Times New Roman" w:hAnsi="Times New Roman" w:cs="Times New Roman"/>
          <w:b w:val="0"/>
          <w:i w:val="0"/>
          <w:sz w:val="22"/>
        </w:rPr>
        <w:t>- Build full disclosure page (trade overview, counterparty details, documents, historical performance, financing history)</w:t>
      </w:r>
    </w:p>
    <w:p>
      <w:pPr>
        <w:spacing w:after="80" w:line="293" w:lineRule="auto"/>
        <w:ind w:left="283"/>
        <w:jc w:val="left"/>
      </w:pPr>
      <w:r>
        <w:rPr>
          <w:rFonts w:ascii="Times New Roman" w:hAnsi="Times New Roman" w:cs="Times New Roman"/>
          <w:b w:val="0"/>
          <w:i w:val="0"/>
          <w:sz w:val="22"/>
        </w:rPr>
        <w:t>- Implement read-only document access</w:t>
      </w:r>
    </w:p>
    <w:p>
      <w:pPr>
        <w:spacing w:after="80" w:line="293" w:lineRule="auto"/>
        <w:ind w:left="283"/>
        <w:jc w:val="left"/>
      </w:pPr>
      <w:r>
        <w:rPr>
          <w:rFonts w:ascii="Times New Roman" w:hAnsi="Times New Roman" w:cs="Times New Roman"/>
          <w:b w:val="0"/>
          <w:i w:val="0"/>
          <w:sz w:val="22"/>
        </w:rPr>
        <w:t>- Implement historical performance queries</w:t>
      </w:r>
    </w:p>
    <w:p>
      <w:pPr>
        <w:spacing w:after="80" w:line="293" w:lineRule="auto"/>
        <w:ind w:left="283"/>
        <w:jc w:val="left"/>
      </w:pPr>
      <w:r>
        <w:rPr>
          <w:rFonts w:ascii="Times New Roman" w:hAnsi="Times New Roman" w:cs="Times New Roman"/>
          <w:b w:val="0"/>
          <w:i w:val="0"/>
          <w:sz w:val="22"/>
        </w:rPr>
        <w:t>- Implement credit score trend (12-month line chart)</w:t>
      </w:r>
    </w:p>
    <w:p>
      <w:pPr>
        <w:spacing w:after="80" w:line="293" w:lineRule="auto"/>
        <w:ind w:left="283"/>
        <w:jc w:val="left"/>
      </w:pPr>
      <w:r>
        <w:rPr>
          <w:rFonts w:ascii="Times New Roman" w:hAnsi="Times New Roman" w:cs="Times New Roman"/>
          <w:b w:val="0"/>
          <w:i w:val="0"/>
          <w:sz w:val="22"/>
        </w:rPr>
        <w:t>- Implement Groq credit summary (A1)</w:t>
      </w:r>
    </w:p>
    <w:p>
      <w:pPr>
        <w:spacing w:after="80" w:line="293" w:lineRule="auto"/>
        <w:jc w:val="left"/>
      </w:pPr>
      <w:r>
        <w:rPr>
          <w:rFonts w:ascii="Times New Roman" w:hAnsi="Times New Roman" w:cs="Times New Roman"/>
          <w:b w:val="0"/>
          <w:i w:val="0"/>
          <w:sz w:val="22"/>
        </w:rPr>
        <w:t>Bid submission (co-financing):</w:t>
      </w:r>
    </w:p>
    <w:p>
      <w:pPr>
        <w:spacing w:after="80" w:line="293" w:lineRule="auto"/>
        <w:ind w:left="283"/>
        <w:jc w:val="left"/>
      </w:pPr>
      <w:r>
        <w:rPr>
          <w:rFonts w:ascii="Times New Roman" w:hAnsi="Times New Roman" w:cs="Times New Roman"/>
          <w:b w:val="0"/>
          <w:i w:val="0"/>
          <w:sz w:val="22"/>
        </w:rPr>
        <w:t>- Implement encrypted bid submission</w:t>
      </w:r>
    </w:p>
    <w:p>
      <w:pPr>
        <w:spacing w:after="80" w:line="293" w:lineRule="auto"/>
        <w:ind w:left="283"/>
        <w:jc w:val="left"/>
      </w:pPr>
      <w:r>
        <w:rPr>
          <w:rFonts w:ascii="Times New Roman" w:hAnsi="Times New Roman" w:cs="Times New Roman"/>
          <w:b w:val="0"/>
          <w:i w:val="0"/>
          <w:sz w:val="22"/>
        </w:rPr>
        <w:t>- Implement co-financing (portion of P — split funding)</w:t>
      </w:r>
    </w:p>
    <w:p>
      <w:pPr>
        <w:spacing w:after="80" w:line="293" w:lineRule="auto"/>
        <w:ind w:left="283"/>
        <w:jc w:val="left"/>
      </w:pPr>
      <w:r>
        <w:rPr>
          <w:rFonts w:ascii="Times New Roman" w:hAnsi="Times New Roman" w:cs="Times New Roman"/>
          <w:b w:val="0"/>
          <w:i w:val="0"/>
          <w:sz w:val="22"/>
        </w:rPr>
        <w:t>- Implement APR benchmark display</w:t>
      </w:r>
    </w:p>
    <w:p>
      <w:pPr>
        <w:spacing w:after="80" w:line="293" w:lineRule="auto"/>
        <w:ind w:left="283"/>
        <w:jc w:val="left"/>
      </w:pPr>
      <w:r>
        <w:rPr>
          <w:rFonts w:ascii="Times New Roman" w:hAnsi="Times New Roman" w:cs="Times New Roman"/>
          <w:b w:val="0"/>
          <w:i w:val="0"/>
          <w:sz w:val="22"/>
        </w:rPr>
        <w:t>- Implement blended APR calculation for selected bids</w:t>
      </w:r>
    </w:p>
    <w:p>
      <w:pPr>
        <w:spacing w:after="80" w:line="293" w:lineRule="auto"/>
        <w:jc w:val="left"/>
      </w:pPr>
      <w:r>
        <w:rPr>
          <w:rFonts w:ascii="Times New Roman" w:hAnsi="Times New Roman" w:cs="Times New Roman"/>
          <w:b w:val="0"/>
          <w:i w:val="0"/>
          <w:sz w:val="22"/>
        </w:rPr>
        <w:t>Co-financing acceptance:</w:t>
      </w:r>
    </w:p>
    <w:p>
      <w:pPr>
        <w:spacing w:after="80" w:line="293" w:lineRule="auto"/>
        <w:ind w:left="283"/>
        <w:jc w:val="left"/>
      </w:pPr>
      <w:r>
        <w:rPr>
          <w:rFonts w:ascii="Times New Roman" w:hAnsi="Times New Roman" w:cs="Times New Roman"/>
          <w:b w:val="0"/>
          <w:i w:val="0"/>
          <w:sz w:val="22"/>
        </w:rPr>
        <w:t>- Implement bid decryption (after window closes)</w:t>
      </w:r>
    </w:p>
    <w:p>
      <w:pPr>
        <w:spacing w:after="80" w:line="293" w:lineRule="auto"/>
        <w:ind w:left="283"/>
        <w:jc w:val="left"/>
      </w:pPr>
      <w:r>
        <w:rPr>
          <w:rFonts w:ascii="Times New Roman" w:hAnsi="Times New Roman" w:cs="Times New Roman"/>
          <w:b w:val="0"/>
          <w:i w:val="0"/>
          <w:sz w:val="22"/>
        </w:rPr>
        <w:t>- Build bid comparison table</w:t>
      </w:r>
    </w:p>
    <w:p>
      <w:pPr>
        <w:spacing w:after="80" w:line="293" w:lineRule="auto"/>
        <w:ind w:left="283"/>
        <w:jc w:val="left"/>
      </w:pPr>
      <w:r>
        <w:rPr>
          <w:rFonts w:ascii="Times New Roman" w:hAnsi="Times New Roman" w:cs="Times New Roman"/>
          <w:b w:val="0"/>
          <w:i w:val="0"/>
          <w:sz w:val="22"/>
        </w:rPr>
        <w:t>- Implement co-financing selection (sum of bids ≤ P)</w:t>
      </w:r>
    </w:p>
    <w:p>
      <w:pPr>
        <w:spacing w:after="80" w:line="293" w:lineRule="auto"/>
        <w:ind w:left="283"/>
        <w:jc w:val="left"/>
      </w:pPr>
      <w:r>
        <w:rPr>
          <w:rFonts w:ascii="Times New Roman" w:hAnsi="Times New Roman" w:cs="Times New Roman"/>
          <w:b w:val="0"/>
          <w:i w:val="0"/>
          <w:sz w:val="22"/>
        </w:rPr>
        <w:t>- Implement blended APR calculation</w:t>
      </w:r>
    </w:p>
    <w:p>
      <w:pPr>
        <w:spacing w:after="80" w:line="293" w:lineRule="auto"/>
        <w:ind w:left="283"/>
        <w:jc w:val="left"/>
      </w:pPr>
      <w:r>
        <w:rPr>
          <w:rFonts w:ascii="Times New Roman" w:hAnsi="Times New Roman" w:cs="Times New Roman"/>
          <w:b w:val="0"/>
          <w:i w:val="0"/>
          <w:sz w:val="22"/>
        </w:rPr>
        <w:t>- Implement acceptance endpoint (POST /v1/finance/award)</w:t>
      </w:r>
    </w:p>
    <w:p>
      <w:pPr>
        <w:spacing w:after="80" w:line="293" w:lineRule="auto"/>
        <w:jc w:val="left"/>
      </w:pPr>
      <w:r>
        <w:rPr>
          <w:rFonts w:ascii="Times New Roman" w:hAnsi="Times New Roman" w:cs="Times New Roman"/>
          <w:b w:val="0"/>
          <w:i w:val="0"/>
          <w:sz w:val="22"/>
        </w:rPr>
        <w:t>Financing agreement:</w:t>
      </w:r>
    </w:p>
    <w:p>
      <w:pPr>
        <w:spacing w:after="80" w:line="293" w:lineRule="auto"/>
        <w:ind w:left="283"/>
        <w:jc w:val="left"/>
      </w:pPr>
      <w:r>
        <w:rPr>
          <w:rFonts w:ascii="Times New Roman" w:hAnsi="Times New Roman" w:cs="Times New Roman"/>
          <w:b w:val="0"/>
          <w:i w:val="0"/>
          <w:sz w:val="22"/>
        </w:rPr>
        <w:t>- Implement Clause Forge for financing agreements (A2)</w:t>
      </w:r>
    </w:p>
    <w:p>
      <w:pPr>
        <w:spacing w:after="80" w:line="293" w:lineRule="auto"/>
        <w:ind w:left="283"/>
        <w:jc w:val="left"/>
      </w:pPr>
      <w:r>
        <w:rPr>
          <w:rFonts w:ascii="Times New Roman" w:hAnsi="Times New Roman" w:cs="Times New Roman"/>
          <w:b w:val="0"/>
          <w:i w:val="0"/>
          <w:sz w:val="22"/>
        </w:rPr>
        <w:t>- Include mandatory SGTX Financing Witness Clause</w:t>
      </w:r>
    </w:p>
    <w:p>
      <w:pPr>
        <w:spacing w:after="80" w:line="293" w:lineRule="auto"/>
        <w:ind w:left="283"/>
        <w:jc w:val="left"/>
      </w:pPr>
      <w:r>
        <w:rPr>
          <w:rFonts w:ascii="Times New Roman" w:hAnsi="Times New Roman" w:cs="Times New Roman"/>
          <w:b w:val="0"/>
          <w:i w:val="0"/>
          <w:sz w:val="22"/>
        </w:rPr>
        <w:t>- Implement annex generation per financier</w:t>
      </w:r>
    </w:p>
    <w:p>
      <w:pPr>
        <w:spacing w:after="80" w:line="293" w:lineRule="auto"/>
        <w:ind w:left="283"/>
        <w:jc w:val="left"/>
      </w:pPr>
      <w:r>
        <w:rPr>
          <w:rFonts w:ascii="Times New Roman" w:hAnsi="Times New Roman" w:cs="Times New Roman"/>
          <w:b w:val="0"/>
          <w:i w:val="0"/>
          <w:sz w:val="22"/>
        </w:rPr>
        <w:t>- Implement ZITADEL passkey signature collection</w:t>
      </w:r>
    </w:p>
    <w:p>
      <w:pPr>
        <w:spacing w:after="80" w:line="293" w:lineRule="auto"/>
        <w:ind w:left="283"/>
        <w:jc w:val="left"/>
      </w:pPr>
      <w:r>
        <w:rPr>
          <w:rFonts w:ascii="Times New Roman" w:hAnsi="Times New Roman" w:cs="Times New Roman"/>
          <w:b w:val="0"/>
          <w:i w:val="0"/>
          <w:sz w:val="22"/>
        </w:rPr>
        <w:t>- Implement Governor witness signature (automatic)</w:t>
      </w:r>
    </w:p>
    <w:p>
      <w:pPr>
        <w:spacing w:after="80" w:line="293" w:lineRule="auto"/>
        <w:jc w:val="left"/>
      </w:pPr>
      <w:r>
        <w:rPr>
          <w:rFonts w:ascii="Times New Roman" w:hAnsi="Times New Roman" w:cs="Times New Roman"/>
          <w:b w:val="0"/>
          <w:i w:val="0"/>
          <w:sz w:val="22"/>
        </w:rPr>
        <w:t>Disbursement &amp; fee collection:</w:t>
      </w:r>
    </w:p>
    <w:p>
      <w:pPr>
        <w:spacing w:after="80" w:line="293" w:lineRule="auto"/>
        <w:ind w:left="283"/>
        <w:jc w:val="left"/>
      </w:pPr>
      <w:r>
        <w:rPr>
          <w:rFonts w:ascii="Times New Roman" w:hAnsi="Times New Roman" w:cs="Times New Roman"/>
          <w:b w:val="0"/>
          <w:i w:val="0"/>
          <w:sz w:val="22"/>
        </w:rPr>
        <w:t>- Implement disbursement endpoint (POST /v1/finance/disburse)</w:t>
      </w:r>
    </w:p>
    <w:p>
      <w:pPr>
        <w:spacing w:after="80" w:line="293" w:lineRule="auto"/>
        <w:ind w:left="283"/>
        <w:jc w:val="left"/>
      </w:pPr>
      <w:r>
        <w:rPr>
          <w:rFonts w:ascii="Times New Roman" w:hAnsi="Times New Roman" w:cs="Times New Roman"/>
          <w:b w:val="0"/>
          <w:i w:val="0"/>
          <w:sz w:val="22"/>
        </w:rPr>
        <w:t>- Implement multi-leg settlement for fee deduction (0.25%)</w:t>
      </w:r>
    </w:p>
    <w:p>
      <w:pPr>
        <w:spacing w:after="80" w:line="293" w:lineRule="auto"/>
        <w:ind w:left="283"/>
        <w:jc w:val="left"/>
      </w:pPr>
      <w:r>
        <w:rPr>
          <w:rFonts w:ascii="Times New Roman" w:hAnsi="Times New Roman" w:cs="Times New Roman"/>
          <w:b w:val="0"/>
          <w:i w:val="0"/>
          <w:sz w:val="22"/>
        </w:rPr>
        <w:t>- Implement multi-leg settlement for conventional disbursement</w:t>
      </w:r>
    </w:p>
    <w:p>
      <w:pPr>
        <w:spacing w:after="80" w:line="293" w:lineRule="auto"/>
        <w:ind w:left="283"/>
        <w:jc w:val="left"/>
      </w:pPr>
      <w:r>
        <w:rPr>
          <w:rFonts w:ascii="Times New Roman" w:hAnsi="Times New Roman" w:cs="Times New Roman"/>
          <w:b w:val="0"/>
          <w:i w:val="0"/>
          <w:sz w:val="22"/>
        </w:rPr>
        <w:t>- Implement Financing FeeLock marking ACTIVE</w:t>
      </w:r>
    </w:p>
    <w:p>
      <w:pPr>
        <w:spacing w:after="80" w:line="293" w:lineRule="auto"/>
        <w:jc w:val="left"/>
      </w:pPr>
      <w:r>
        <w:rPr>
          <w:rFonts w:ascii="Times New Roman" w:hAnsi="Times New Roman" w:cs="Times New Roman"/>
          <w:b w:val="0"/>
          <w:i w:val="0"/>
          <w:sz w:val="22"/>
        </w:rPr>
        <w:t>Repayment monitoring:</w:t>
      </w:r>
    </w:p>
    <w:p>
      <w:pPr>
        <w:spacing w:after="80" w:line="293" w:lineRule="auto"/>
        <w:ind w:left="283"/>
        <w:jc w:val="left"/>
      </w:pPr>
      <w:r>
        <w:rPr>
          <w:rFonts w:ascii="Times New Roman" w:hAnsi="Times New Roman" w:cs="Times New Roman"/>
          <w:b w:val="0"/>
          <w:i w:val="0"/>
          <w:sz w:val="22"/>
        </w:rPr>
        <w:t>- Implement camt.054 / gpi confirmation monitoring</w:t>
      </w:r>
    </w:p>
    <w:p>
      <w:pPr>
        <w:spacing w:after="80" w:line="293" w:lineRule="auto"/>
        <w:ind w:left="283"/>
        <w:jc w:val="left"/>
      </w:pPr>
      <w:r>
        <w:rPr>
          <w:rFonts w:ascii="Times New Roman" w:hAnsi="Times New Roman" w:cs="Times New Roman"/>
          <w:b w:val="0"/>
          <w:i w:val="0"/>
          <w:sz w:val="22"/>
        </w:rPr>
        <w:t>- Implement OpenBanking reconciliation</w:t>
      </w:r>
    </w:p>
    <w:p>
      <w:pPr>
        <w:spacing w:after="80" w:line="293" w:lineRule="auto"/>
        <w:ind w:left="283"/>
        <w:jc w:val="left"/>
      </w:pPr>
      <w:r>
        <w:rPr>
          <w:rFonts w:ascii="Times New Roman" w:hAnsi="Times New Roman" w:cs="Times New Roman"/>
          <w:b w:val="0"/>
          <w:i w:val="0"/>
          <w:sz w:val="22"/>
        </w:rPr>
        <w:t>- Implement repayment history updates</w:t>
      </w:r>
    </w:p>
    <w:p>
      <w:pPr>
        <w:spacing w:after="80" w:line="293" w:lineRule="auto"/>
        <w:ind w:left="283"/>
        <w:jc w:val="left"/>
      </w:pPr>
      <w:r>
        <w:rPr>
          <w:rFonts w:ascii="Times New Roman" w:hAnsi="Times New Roman" w:cs="Times New Roman"/>
          <w:b w:val="0"/>
          <w:i w:val="0"/>
          <w:sz w:val="22"/>
        </w:rPr>
        <w:t>- Implement credit score recalculation</w:t>
      </w:r>
    </w:p>
    <w:p>
      <w:pPr>
        <w:spacing w:after="80" w:line="293" w:lineRule="auto"/>
        <w:jc w:val="left"/>
      </w:pPr>
      <w:r>
        <w:rPr>
          <w:rFonts w:ascii="Times New Roman" w:hAnsi="Times New Roman" w:cs="Times New Roman"/>
          <w:b w:val="0"/>
          <w:i w:val="0"/>
          <w:sz w:val="22"/>
        </w:rPr>
        <w:t>Collateral monitoring:</w:t>
      </w:r>
    </w:p>
    <w:p>
      <w:pPr>
        <w:spacing w:after="80" w:line="293" w:lineRule="auto"/>
        <w:ind w:left="283"/>
        <w:jc w:val="left"/>
      </w:pPr>
      <w:r>
        <w:rPr>
          <w:rFonts w:ascii="Times New Roman" w:hAnsi="Times New Roman" w:cs="Times New Roman"/>
          <w:b w:val="0"/>
          <w:i w:val="0"/>
          <w:sz w:val="22"/>
        </w:rPr>
        <w:t>- Implement LTV calculation (real-time)</w:t>
      </w:r>
    </w:p>
    <w:p>
      <w:pPr>
        <w:spacing w:after="80" w:line="293" w:lineRule="auto"/>
        <w:ind w:left="283"/>
        <w:jc w:val="left"/>
      </w:pPr>
      <w:r>
        <w:rPr>
          <w:rFonts w:ascii="Times New Roman" w:hAnsi="Times New Roman" w:cs="Times New Roman"/>
          <w:b w:val="0"/>
          <w:i w:val="0"/>
          <w:sz w:val="22"/>
        </w:rPr>
        <w:t>- Implement LTV gauge chart</w:t>
      </w:r>
    </w:p>
    <w:p>
      <w:pPr>
        <w:spacing w:after="80" w:line="293" w:lineRule="auto"/>
        <w:ind w:left="283"/>
        <w:jc w:val="left"/>
      </w:pPr>
      <w:r>
        <w:rPr>
          <w:rFonts w:ascii="Times New Roman" w:hAnsi="Times New Roman" w:cs="Times New Roman"/>
          <w:b w:val="0"/>
          <w:i w:val="0"/>
          <w:sz w:val="22"/>
        </w:rPr>
        <w:t>- Implement LTV history line chart</w:t>
      </w:r>
    </w:p>
    <w:p>
      <w:pPr>
        <w:spacing w:after="80" w:line="293" w:lineRule="auto"/>
        <w:ind w:left="283"/>
        <w:jc w:val="left"/>
      </w:pPr>
      <w:r>
        <w:rPr>
          <w:rFonts w:ascii="Times New Roman" w:hAnsi="Times New Roman" w:cs="Times New Roman"/>
          <w:b w:val="0"/>
          <w:i w:val="0"/>
          <w:sz w:val="22"/>
        </w:rPr>
        <w:t>- Implement liquidation risk meter (LSTM, A2)</w:t>
      </w:r>
    </w:p>
    <w:p>
      <w:pPr>
        <w:spacing w:after="80" w:line="293" w:lineRule="auto"/>
        <w:ind w:left="283"/>
        <w:jc w:val="left"/>
      </w:pPr>
      <w:r>
        <w:rPr>
          <w:rFonts w:ascii="Times New Roman" w:hAnsi="Times New Roman" w:cs="Times New Roman"/>
          <w:b w:val="0"/>
          <w:i w:val="0"/>
          <w:sz w:val="22"/>
        </w:rPr>
        <w:t>- Implement margin call issuance</w:t>
      </w:r>
    </w:p>
    <w:p>
      <w:pPr>
        <w:spacing w:after="80" w:line="293" w:lineRule="auto"/>
        <w:ind w:left="283"/>
        <w:jc w:val="left"/>
      </w:pPr>
      <w:r>
        <w:rPr>
          <w:rFonts w:ascii="Times New Roman" w:hAnsi="Times New Roman" w:cs="Times New Roman"/>
          <w:b w:val="0"/>
          <w:i w:val="0"/>
          <w:sz w:val="22"/>
        </w:rPr>
        <w:t>- Implement "Simulate Price Drop" slider</w:t>
      </w:r>
    </w:p>
    <w:p>
      <w:pPr>
        <w:spacing w:after="80" w:line="293" w:lineRule="auto"/>
        <w:ind w:left="283"/>
        <w:jc w:val="left"/>
      </w:pPr>
      <w:r>
        <w:rPr>
          <w:rFonts w:ascii="Times New Roman" w:hAnsi="Times New Roman" w:cs="Times New Roman"/>
          <w:b w:val="0"/>
          <w:i w:val="0"/>
          <w:sz w:val="22"/>
        </w:rPr>
        <w:t>- Implement collateral monitoring dashboard</w:t>
      </w:r>
    </w:p>
    <w:p>
      <w:pPr>
        <w:spacing w:after="80" w:line="293" w:lineRule="auto"/>
        <w:jc w:val="left"/>
      </w:pPr>
      <w:r>
        <w:rPr>
          <w:rFonts w:ascii="Times New Roman" w:hAnsi="Times New Roman" w:cs="Times New Roman"/>
          <w:b w:val="0"/>
          <w:i w:val="0"/>
          <w:sz w:val="22"/>
        </w:rPr>
        <w:t>Regulatory reporting:</w:t>
      </w:r>
    </w:p>
    <w:p>
      <w:pPr>
        <w:spacing w:after="80" w:line="293" w:lineRule="auto"/>
        <w:ind w:left="283"/>
        <w:jc w:val="left"/>
      </w:pPr>
      <w:r>
        <w:rPr>
          <w:rFonts w:ascii="Times New Roman" w:hAnsi="Times New Roman" w:cs="Times New Roman"/>
          <w:b w:val="0"/>
          <w:i w:val="0"/>
          <w:sz w:val="22"/>
        </w:rPr>
        <w:t>- Implement CBE monthly remittance report (Egypt)</w:t>
      </w:r>
    </w:p>
    <w:p>
      <w:pPr>
        <w:spacing w:after="80" w:line="293" w:lineRule="auto"/>
        <w:ind w:left="283"/>
        <w:jc w:val="left"/>
      </w:pPr>
      <w:r>
        <w:rPr>
          <w:rFonts w:ascii="Times New Roman" w:hAnsi="Times New Roman" w:cs="Times New Roman"/>
          <w:b w:val="0"/>
          <w:i w:val="0"/>
          <w:sz w:val="22"/>
        </w:rPr>
        <w:t>- Implement ECB statistical return (EU)</w:t>
      </w:r>
    </w:p>
    <w:p>
      <w:pPr>
        <w:spacing w:after="80" w:line="293" w:lineRule="auto"/>
        <w:ind w:left="283"/>
        <w:jc w:val="left"/>
      </w:pPr>
      <w:r>
        <w:rPr>
          <w:rFonts w:ascii="Times New Roman" w:hAnsi="Times New Roman" w:cs="Times New Roman"/>
          <w:b w:val="0"/>
          <w:i w:val="0"/>
          <w:sz w:val="22"/>
        </w:rPr>
        <w:t>- Implement FinCEN SAR (USA)</w:t>
      </w:r>
    </w:p>
    <w:p>
      <w:pPr>
        <w:spacing w:after="80" w:line="293" w:lineRule="auto"/>
        <w:ind w:left="283"/>
        <w:jc w:val="left"/>
      </w:pPr>
      <w:r>
        <w:rPr>
          <w:rFonts w:ascii="Times New Roman" w:hAnsi="Times New Roman" w:cs="Times New Roman"/>
          <w:b w:val="0"/>
          <w:i w:val="0"/>
          <w:sz w:val="22"/>
        </w:rPr>
        <w:t>- Implement VAT/GST reports</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Test full borrower → financier → acceptance → disbursement → repayment workflow</w:t>
      </w:r>
    </w:p>
    <w:p>
      <w:pPr>
        <w:spacing w:after="80" w:line="293" w:lineRule="auto"/>
        <w:ind w:left="283"/>
        <w:jc w:val="left"/>
      </w:pPr>
      <w:r>
        <w:rPr>
          <w:rFonts w:ascii="Times New Roman" w:hAnsi="Times New Roman" w:cs="Times New Roman"/>
          <w:b w:val="0"/>
          <w:i w:val="0"/>
          <w:sz w:val="22"/>
        </w:rPr>
        <w:t>- Test co-financing (split funding — multiple financiers)</w:t>
      </w:r>
    </w:p>
    <w:p>
      <w:pPr>
        <w:spacing w:after="80" w:line="293" w:lineRule="auto"/>
        <w:ind w:left="283"/>
        <w:jc w:val="left"/>
      </w:pPr>
      <w:r>
        <w:rPr>
          <w:rFonts w:ascii="Times New Roman" w:hAnsi="Times New Roman" w:cs="Times New Roman"/>
          <w:b w:val="0"/>
          <w:i w:val="0"/>
          <w:sz w:val="22"/>
        </w:rPr>
        <w:t>- Test collateral monitoring (LTV, margin calls)</w:t>
      </w:r>
    </w:p>
    <w:p>
      <w:pPr>
        <w:spacing w:after="80" w:line="293" w:lineRule="auto"/>
        <w:ind w:left="283"/>
        <w:jc w:val="left"/>
      </w:pPr>
      <w:r>
        <w:rPr>
          <w:rFonts w:ascii="Times New Roman" w:hAnsi="Times New Roman" w:cs="Times New Roman"/>
          <w:b w:val="0"/>
          <w:i w:val="0"/>
          <w:sz w:val="22"/>
        </w:rPr>
        <w:t>- Test regulatory reporting</w:t>
      </w:r>
    </w:p>
    <w:p>
      <w:pPr>
        <w:spacing w:after="80" w:line="293" w:lineRule="auto"/>
        <w:ind w:left="283"/>
        <w:jc w:val="left"/>
      </w:pPr>
      <w:r>
        <w:rPr>
          <w:rFonts w:ascii="Times New Roman" w:hAnsi="Times New Roman" w:cs="Times New Roman"/>
          <w:b w:val="0"/>
          <w:i w:val="0"/>
          <w:sz w:val="22"/>
        </w:rPr>
        <w:t>- Test encrypted bidding</w:t>
      </w:r>
    </w:p>
    <w:p>
      <w:pPr>
        <w:spacing w:after="80" w:line="293" w:lineRule="auto"/>
        <w:ind w:left="283"/>
        <w:jc w:val="left"/>
      </w:pPr>
      <w:r>
        <w:rPr>
          <w:rFonts w:ascii="Times New Roman" w:hAnsi="Times New Roman" w:cs="Times New Roman"/>
          <w:b w:val="0"/>
          <w:i w:val="0"/>
          <w:sz w:val="22"/>
        </w:rPr>
        <w:t>- Test SGTX fee deduction in USD/EGP/EURO</w:t>
      </w:r>
    </w:p>
    <w:p>
      <w:pPr>
        <w:keepNext/>
        <w:spacing w:before="240" w:after="100"/>
        <w:outlineLvl w:val="1"/>
      </w:pPr>
      <w:r>
        <w:rPr>
          <w:rFonts w:ascii="Arial" w:hAnsi="Arial" w:cs="Arial"/>
          <w:b/>
          <w:i w:val="0"/>
          <w:color w:val="2E528F"/>
          <w:sz w:val="26"/>
        </w:rPr>
        <w:t>10.73 AI Authority Summary (Phase 4)</w:t>
      </w:r>
    </w:p>
    <w:p>
      <w:pPr>
        <w:spacing w:after="80" w:line="293" w:lineRule="auto"/>
        <w:jc w:val="left"/>
      </w:pPr>
      <w:r>
        <w:rPr>
          <w:rFonts w:ascii="Times New Roman" w:hAnsi="Times New Roman" w:cs="Times New Roman"/>
          <w:b w:val="0"/>
          <w:i w:val="0"/>
          <w:sz w:val="22"/>
        </w:rPr>
        <w:t>A1 (Groq) generates credit summaries, LTV recommendations, match-score rationales, and recommendation narratives — advisory only. A2 (XGBoost / HF local) computes credit intelligence (200+ signals, with provenance: model, feature set, timestamp), supports bank dispatch routing, lab risk oracles, and liquidation-risk prediction (LSTM). A4 (OPA + WasmEdge) enforces the eligibility gate, disbursement preconditions, and Governor-gated irreversible actions. AI never approves or rejects financing, never commits funds, never disburses, never calls margin events, never releases collateral, never declares default, and never overrides a sanctions/compliance block — every irreversible financing action requires authorised human/institutional decision and Governor-recorded evidence.</w:t>
      </w:r>
    </w:p>
    <w:p>
      <w:pPr>
        <w:keepNext/>
        <w:spacing w:before="360" w:after="160"/>
        <w:outlineLvl w:val="0"/>
      </w:pPr>
      <w:r>
        <w:rPr>
          <w:rFonts w:ascii="Arial" w:hAnsi="Arial" w:cs="Arial"/>
          <w:b/>
          <w:i w:val="0"/>
          <w:color w:val="1F3864"/>
          <w:sz w:val="32"/>
        </w:rPr>
        <w:t>11. Service Provider Capability Model (Unified Portal Architecture)</w:t>
      </w:r>
    </w:p>
    <w:p>
      <w:pPr>
        <w:keepNext/>
        <w:spacing w:before="240" w:after="100"/>
        <w:outlineLvl w:val="1"/>
      </w:pPr>
      <w:r>
        <w:rPr>
          <w:rFonts w:ascii="Arial" w:hAnsi="Arial" w:cs="Arial"/>
          <w:b/>
          <w:i w:val="0"/>
          <w:color w:val="2E528F"/>
          <w:sz w:val="26"/>
        </w:rPr>
        <w:t>11.1 Purpose &amp; Model Principles</w:t>
      </w:r>
    </w:p>
    <w:p>
      <w:pPr>
        <w:spacing w:after="80" w:line="293" w:lineRule="auto"/>
        <w:jc w:val="left"/>
      </w:pPr>
      <w:r>
        <w:rPr>
          <w:rFonts w:ascii="Times New Roman" w:hAnsi="Times New Roman" w:cs="Times New Roman"/>
          <w:b w:val="0"/>
          <w:i w:val="0"/>
          <w:sz w:val="22"/>
        </w:rPr>
        <w:t>Binding service offerings to a rigid tenant type would force a single organisation that offers both trucking and customs brokerage to operate multiple tenant identities, multiplying Know Your Business (KYB) overhead, fragmenting trust history, and complicating billing. The platform therefore separates legal identity from service capability: tenant_type defines a tenant's legal/commercial identity and primary portal default, while the service_capabilities array defines what the tenant actually does. A single Global Tenant Identifier (GTID) can offer any combination of services, and the Service Provider Portal dynamically renders tabs from the declared capabilities.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Concept</w:t>
            </w:r>
          </w:p>
        </w:tc>
        <w:tc>
          <w:tcPr>
            <w:tcW w:type="dxa" w:w="3213"/>
            <w:shd w:val="clear" w:fill="D9E2F3"/>
          </w:tcPr>
          <w:p>
            <w:pPr>
              <w:spacing w:after="20" w:before="20" w:line="240" w:lineRule="auto"/>
            </w:pPr>
            <w:r/>
            <w:r>
              <w:rPr>
                <w:rFonts w:ascii="Arial" w:hAnsi="Arial" w:cs="Arial"/>
                <w:b/>
                <w:i w:val="0"/>
                <w:sz w:val="18"/>
              </w:rPr>
              <w:t>Definition</w:t>
            </w:r>
          </w:p>
        </w:tc>
        <w:tc>
          <w:tcPr>
            <w:tcW w:type="dxa" w:w="3213"/>
            <w:shd w:val="clear" w:fill="D9E2F3"/>
          </w:tcPr>
          <w:p>
            <w:pPr>
              <w:spacing w:after="20" w:before="20" w:line="240" w:lineRule="auto"/>
            </w:pPr>
            <w:r/>
            <w:r>
              <w:rPr>
                <w:rFonts w:ascii="Arial" w:hAnsi="Arial" w:cs="Arial"/>
                <w:b/>
                <w:i w:val="0"/>
                <w:sz w:val="18"/>
              </w:rPr>
              <w:t>Example</w:t>
            </w:r>
          </w:p>
        </w:tc>
      </w:tr>
      <w:tr>
        <w:tc>
          <w:tcPr>
            <w:tcW w:type="dxa" w:w="3213"/>
          </w:tcPr>
          <w:p>
            <w:pPr>
              <w:spacing w:after="20" w:before="20" w:line="240" w:lineRule="auto"/>
            </w:pPr>
            <w:r/>
            <w:r>
              <w:rPr>
                <w:rFonts w:ascii="Arial" w:hAnsi="Arial" w:cs="Arial"/>
                <w:b w:val="0"/>
                <w:i w:val="0"/>
                <w:sz w:val="17"/>
              </w:rPr>
              <w:t>tenant_type</w:t>
            </w:r>
          </w:p>
        </w:tc>
        <w:tc>
          <w:tcPr>
            <w:tcW w:type="dxa" w:w="3213"/>
          </w:tcPr>
          <w:p>
            <w:pPr>
              <w:spacing w:after="20" w:before="20" w:line="240" w:lineRule="auto"/>
            </w:pPr>
            <w:r/>
            <w:r>
              <w:rPr>
                <w:rFonts w:ascii="Arial" w:hAnsi="Arial" w:cs="Arial"/>
                <w:b w:val="0"/>
                <w:i w:val="0"/>
                <w:sz w:val="17"/>
              </w:rPr>
              <w:t>Legal/commercial identity; primary portal default</w:t>
            </w:r>
          </w:p>
        </w:tc>
        <w:tc>
          <w:tcPr>
            <w:tcW w:type="dxa" w:w="3213"/>
          </w:tcPr>
          <w:p>
            <w:pPr>
              <w:spacing w:after="20" w:before="20" w:line="240" w:lineRule="auto"/>
            </w:pPr>
            <w:r/>
            <w:r>
              <w:rPr>
                <w:rFonts w:ascii="Arial" w:hAnsi="Arial" w:cs="Arial"/>
                <w:b w:val="0"/>
                <w:i w:val="0"/>
                <w:sz w:val="17"/>
              </w:rPr>
              <w:t>TRD, LSP, FIN, GOV</w:t>
            </w:r>
          </w:p>
        </w:tc>
      </w:tr>
      <w:tr>
        <w:tc>
          <w:tcPr>
            <w:tcW w:type="dxa" w:w="3213"/>
          </w:tcPr>
          <w:p>
            <w:pPr>
              <w:spacing w:after="20" w:before="20" w:line="240" w:lineRule="auto"/>
            </w:pPr>
            <w:r/>
            <w:r>
              <w:rPr>
                <w:rFonts w:ascii="Arial" w:hAnsi="Arial" w:cs="Arial"/>
                <w:b w:val="0"/>
                <w:i w:val="0"/>
                <w:sz w:val="17"/>
              </w:rPr>
              <w:t>service_capabilities</w:t>
            </w:r>
          </w:p>
        </w:tc>
        <w:tc>
          <w:tcPr>
            <w:tcW w:type="dxa" w:w="3213"/>
          </w:tcPr>
          <w:p>
            <w:pPr>
              <w:spacing w:after="20" w:before="20" w:line="240" w:lineRule="auto"/>
            </w:pPr>
            <w:r/>
            <w:r>
              <w:rPr>
                <w:rFonts w:ascii="Arial" w:hAnsi="Arial" w:cs="Arial"/>
                <w:b w:val="0"/>
                <w:i w:val="0"/>
                <w:sz w:val="17"/>
              </w:rPr>
              <w:t>Services actually offered</w:t>
            </w:r>
          </w:p>
        </w:tc>
        <w:tc>
          <w:tcPr>
            <w:tcW w:type="dxa" w:w="3213"/>
          </w:tcPr>
          <w:p>
            <w:pPr>
              <w:spacing w:after="20" w:before="20" w:line="240" w:lineRule="auto"/>
            </w:pPr>
            <w:r/>
            <w:r>
              <w:rPr>
                <w:rFonts w:ascii="Arial" w:hAnsi="Arial" w:cs="Arial"/>
                <w:b w:val="0"/>
                <w:i w:val="0"/>
                <w:sz w:val="17"/>
              </w:rPr>
              <w:t>['TRUCKING', 'CUSTOMS_BROKERAGE']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a tenant's `tenant_type` defines its primary identity; its `service_capabilities` define what it actually does. A single GTID may appear for multiple service categories (for example, trucking and customs brokerage under one identity).</w:t>
      </w:r>
    </w:p>
    <w:p>
      <w:pPr>
        <w:spacing w:after="80" w:line="293" w:lineRule="auto"/>
        <w:jc w:val="left"/>
      </w:pPr>
      <w:r>
        <w:rPr>
          <w:rFonts w:ascii="Times New Roman" w:hAnsi="Times New Roman" w:cs="Times New Roman"/>
          <w:b w:val="0"/>
          <w:i w:val="0"/>
          <w:sz w:val="22"/>
        </w:rPr>
        <w:t>Logistics providers are the backbone of physical trade execution. The platform treats each provider type as a first-class participant with its own portal tabs, service catalogue, quotation workflow, and automated invoicing. The platform does not mandate any provider; it enables sellers and buyers to discover, quote, select, and pay providers that they already know (via the Network feature) within the trade workflow. The platform never suggests providers, never ranks them, and never offers "you might also like" — all relationships are explicit and pre-existing.</w:t>
      </w:r>
    </w:p>
    <w:p>
      <w:pPr>
        <w:spacing w:after="80" w:line="293" w:lineRule="auto"/>
        <w:jc w:val="left"/>
      </w:pPr>
      <w:r>
        <w:rPr>
          <w:rFonts w:ascii="Times New Roman" w:hAnsi="Times New Roman" w:cs="Times New Roman"/>
          <w:b w:val="0"/>
          <w:i w:val="0"/>
          <w:sz w:val="22"/>
        </w:rPr>
        <w:t>Provider participant types (each a tenant type with its own capability profile):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Provider Type</w:t>
            </w:r>
          </w:p>
        </w:tc>
        <w:tc>
          <w:tcPr>
            <w:tcW w:type="dxa" w:w="3213"/>
            <w:shd w:val="clear" w:fill="D9E2F3"/>
          </w:tcPr>
          <w:p>
            <w:pPr>
              <w:spacing w:after="20" w:before="20" w:line="240" w:lineRule="auto"/>
            </w:pPr>
            <w:r/>
            <w:r>
              <w:rPr>
                <w:rFonts w:ascii="Arial" w:hAnsi="Arial" w:cs="Arial"/>
                <w:b/>
                <w:i w:val="0"/>
                <w:sz w:val="18"/>
              </w:rPr>
              <w:t>Role</w:t>
            </w:r>
          </w:p>
        </w:tc>
        <w:tc>
          <w:tcPr>
            <w:tcW w:type="dxa" w:w="3213"/>
            <w:shd w:val="clear" w:fill="D9E2F3"/>
          </w:tcPr>
          <w:p>
            <w:pPr>
              <w:spacing w:after="20" w:before="20" w:line="240" w:lineRule="auto"/>
            </w:pPr>
            <w:r/>
            <w:r>
              <w:rPr>
                <w:rFonts w:ascii="Arial" w:hAnsi="Arial" w:cs="Arial"/>
                <w:b/>
                <w:i w:val="0"/>
                <w:sz w:val="18"/>
              </w:rPr>
              <w:t>Typical Capabilities</w:t>
            </w:r>
          </w:p>
        </w:tc>
      </w:tr>
      <w:tr>
        <w:tc>
          <w:tcPr>
            <w:tcW w:type="dxa" w:w="3213"/>
          </w:tcPr>
          <w:p>
            <w:pPr>
              <w:spacing w:after="20" w:before="20" w:line="240" w:lineRule="auto"/>
            </w:pPr>
            <w:r/>
            <w:r>
              <w:rPr>
                <w:rFonts w:ascii="Arial" w:hAnsi="Arial" w:cs="Arial"/>
                <w:b w:val="0"/>
                <w:i w:val="0"/>
                <w:sz w:val="17"/>
              </w:rPr>
              <w:t>LSP</w:t>
            </w:r>
          </w:p>
        </w:tc>
        <w:tc>
          <w:tcPr>
            <w:tcW w:type="dxa" w:w="3213"/>
          </w:tcPr>
          <w:p>
            <w:pPr>
              <w:spacing w:after="20" w:before="20" w:line="240" w:lineRule="auto"/>
            </w:pPr>
            <w:r/>
            <w:r>
              <w:rPr>
                <w:rFonts w:ascii="Arial" w:hAnsi="Arial" w:cs="Arial"/>
                <w:b w:val="0"/>
                <w:i w:val="0"/>
                <w:sz w:val="17"/>
              </w:rPr>
              <w:t>Logistics Service Provider — trucking, forwarding, warehousing</w:t>
            </w:r>
          </w:p>
        </w:tc>
        <w:tc>
          <w:tcPr>
            <w:tcW w:type="dxa" w:w="3213"/>
          </w:tcPr>
          <w:p>
            <w:pPr>
              <w:spacing w:after="20" w:before="20" w:line="240" w:lineRule="auto"/>
            </w:pPr>
            <w:r/>
            <w:r>
              <w:rPr>
                <w:rFonts w:ascii="Arial" w:hAnsi="Arial" w:cs="Arial"/>
                <w:b w:val="0"/>
                <w:i w:val="0"/>
                <w:sz w:val="17"/>
              </w:rPr>
              <w:t>TRUCKING, FORWARDING, WAREHOUSING</w:t>
            </w:r>
          </w:p>
        </w:tc>
      </w:tr>
      <w:tr>
        <w:tc>
          <w:tcPr>
            <w:tcW w:type="dxa" w:w="3213"/>
          </w:tcPr>
          <w:p>
            <w:pPr>
              <w:spacing w:after="20" w:before="20" w:line="240" w:lineRule="auto"/>
            </w:pPr>
            <w:r/>
            <w:r>
              <w:rPr>
                <w:rFonts w:ascii="Arial" w:hAnsi="Arial" w:cs="Arial"/>
                <w:b w:val="0"/>
                <w:i w:val="0"/>
                <w:sz w:val="17"/>
              </w:rPr>
              <w:t>SHIP</w:t>
            </w:r>
          </w:p>
        </w:tc>
        <w:tc>
          <w:tcPr>
            <w:tcW w:type="dxa" w:w="3213"/>
          </w:tcPr>
          <w:p>
            <w:pPr>
              <w:spacing w:after="20" w:before="20" w:line="240" w:lineRule="auto"/>
            </w:pPr>
            <w:r/>
            <w:r>
              <w:rPr>
                <w:rFonts w:ascii="Arial" w:hAnsi="Arial" w:cs="Arial"/>
                <w:b w:val="0"/>
                <w:i w:val="0"/>
                <w:sz w:val="17"/>
              </w:rPr>
              <w:t>Shipping line — ocean carriers and Non-Vessel Operating Common Carriers (NVOCCs)</w:t>
            </w:r>
          </w:p>
        </w:tc>
        <w:tc>
          <w:tcPr>
            <w:tcW w:type="dxa" w:w="3213"/>
          </w:tcPr>
          <w:p>
            <w:pPr>
              <w:spacing w:after="20" w:before="20" w:line="240" w:lineRule="auto"/>
            </w:pPr>
            <w:r/>
            <w:r>
              <w:rPr>
                <w:rFonts w:ascii="Arial" w:hAnsi="Arial" w:cs="Arial"/>
                <w:b w:val="0"/>
                <w:i w:val="0"/>
                <w:sz w:val="17"/>
              </w:rPr>
              <w:t>OCEAN_FREIGHT, AIR_FREIGHT</w:t>
            </w:r>
          </w:p>
        </w:tc>
      </w:tr>
      <w:tr>
        <w:tc>
          <w:tcPr>
            <w:tcW w:type="dxa" w:w="3213"/>
          </w:tcPr>
          <w:p>
            <w:pPr>
              <w:spacing w:after="20" w:before="20" w:line="240" w:lineRule="auto"/>
            </w:pPr>
            <w:r/>
            <w:r>
              <w:rPr>
                <w:rFonts w:ascii="Arial" w:hAnsi="Arial" w:cs="Arial"/>
                <w:b w:val="0"/>
                <w:i w:val="0"/>
                <w:sz w:val="17"/>
              </w:rPr>
              <w:t>LAB</w:t>
            </w:r>
          </w:p>
        </w:tc>
        <w:tc>
          <w:tcPr>
            <w:tcW w:type="dxa" w:w="3213"/>
          </w:tcPr>
          <w:p>
            <w:pPr>
              <w:spacing w:after="20" w:before="20" w:line="240" w:lineRule="auto"/>
            </w:pPr>
            <w:r/>
            <w:r>
              <w:rPr>
                <w:rFonts w:ascii="Arial" w:hAnsi="Arial" w:cs="Arial"/>
                <w:b w:val="0"/>
                <w:i w:val="0"/>
                <w:sz w:val="17"/>
              </w:rPr>
              <w:t>Laboratory — accredited testing services</w:t>
            </w:r>
          </w:p>
        </w:tc>
        <w:tc>
          <w:tcPr>
            <w:tcW w:type="dxa" w:w="3213"/>
          </w:tcPr>
          <w:p>
            <w:pPr>
              <w:spacing w:after="20" w:before="20" w:line="240" w:lineRule="auto"/>
            </w:pPr>
            <w:r/>
            <w:r>
              <w:rPr>
                <w:rFonts w:ascii="Arial" w:hAnsi="Arial" w:cs="Arial"/>
                <w:b w:val="0"/>
                <w:i w:val="0"/>
                <w:sz w:val="17"/>
              </w:rPr>
              <w:t>LAB_TESTING</w:t>
            </w:r>
          </w:p>
        </w:tc>
      </w:tr>
      <w:tr>
        <w:tc>
          <w:tcPr>
            <w:tcW w:type="dxa" w:w="3213"/>
          </w:tcPr>
          <w:p>
            <w:pPr>
              <w:spacing w:after="20" w:before="20" w:line="240" w:lineRule="auto"/>
            </w:pPr>
            <w:r/>
            <w:r>
              <w:rPr>
                <w:rFonts w:ascii="Arial" w:hAnsi="Arial" w:cs="Arial"/>
                <w:b w:val="0"/>
                <w:i w:val="0"/>
                <w:sz w:val="17"/>
              </w:rPr>
              <w:t>QC</w:t>
            </w:r>
          </w:p>
        </w:tc>
        <w:tc>
          <w:tcPr>
            <w:tcW w:type="dxa" w:w="3213"/>
          </w:tcPr>
          <w:p>
            <w:pPr>
              <w:spacing w:after="20" w:before="20" w:line="240" w:lineRule="auto"/>
            </w:pPr>
            <w:r/>
            <w:r>
              <w:rPr>
                <w:rFonts w:ascii="Arial" w:hAnsi="Arial" w:cs="Arial"/>
                <w:b w:val="0"/>
                <w:i w:val="0"/>
                <w:sz w:val="17"/>
              </w:rPr>
              <w:t>Quality control inspection — on-site inspection</w:t>
            </w:r>
          </w:p>
        </w:tc>
        <w:tc>
          <w:tcPr>
            <w:tcW w:type="dxa" w:w="3213"/>
          </w:tcPr>
          <w:p>
            <w:pPr>
              <w:spacing w:after="20" w:before="20" w:line="240" w:lineRule="auto"/>
            </w:pPr>
            <w:r/>
            <w:r>
              <w:rPr>
                <w:rFonts w:ascii="Arial" w:hAnsi="Arial" w:cs="Arial"/>
                <w:b w:val="0"/>
                <w:i w:val="0"/>
                <w:sz w:val="17"/>
              </w:rPr>
              <w:t>QC_INSPECTION</w:t>
            </w:r>
          </w:p>
        </w:tc>
      </w:tr>
      <w:tr>
        <w:tc>
          <w:tcPr>
            <w:tcW w:type="dxa" w:w="3213"/>
          </w:tcPr>
          <w:p>
            <w:pPr>
              <w:spacing w:after="20" w:before="20" w:line="240" w:lineRule="auto"/>
            </w:pPr>
            <w:r/>
            <w:r>
              <w:rPr>
                <w:rFonts w:ascii="Arial" w:hAnsi="Arial" w:cs="Arial"/>
                <w:b w:val="0"/>
                <w:i w:val="0"/>
                <w:sz w:val="17"/>
              </w:rPr>
              <w:t>CBR</w:t>
            </w:r>
          </w:p>
        </w:tc>
        <w:tc>
          <w:tcPr>
            <w:tcW w:type="dxa" w:w="3213"/>
          </w:tcPr>
          <w:p>
            <w:pPr>
              <w:spacing w:after="20" w:before="20" w:line="240" w:lineRule="auto"/>
            </w:pPr>
            <w:r/>
            <w:r>
              <w:rPr>
                <w:rFonts w:ascii="Arial" w:hAnsi="Arial" w:cs="Arial"/>
                <w:b w:val="0"/>
                <w:i w:val="0"/>
                <w:sz w:val="17"/>
              </w:rPr>
              <w:t>Customs broker — optional certification and document services</w:t>
            </w:r>
          </w:p>
        </w:tc>
        <w:tc>
          <w:tcPr>
            <w:tcW w:type="dxa" w:w="3213"/>
          </w:tcPr>
          <w:p>
            <w:pPr>
              <w:spacing w:after="20" w:before="20" w:line="240" w:lineRule="auto"/>
            </w:pPr>
            <w:r/>
            <w:r>
              <w:rPr>
                <w:rFonts w:ascii="Arial" w:hAnsi="Arial" w:cs="Arial"/>
                <w:b w:val="0"/>
                <w:i w:val="0"/>
                <w:sz w:val="17"/>
              </w:rPr>
              <w:t>CUSTOMS_BROKERAGE, PHYSICAL_HANDLING, STORAGE, AUDIT_REPRESENTATION</w:t>
            </w:r>
          </w:p>
        </w:tc>
      </w:tr>
      <w:tr>
        <w:tc>
          <w:tcPr>
            <w:tcW w:type="dxa" w:w="3213"/>
          </w:tcPr>
          <w:p>
            <w:pPr>
              <w:spacing w:after="20" w:before="20" w:line="240" w:lineRule="auto"/>
            </w:pPr>
            <w:r/>
            <w:r>
              <w:rPr>
                <w:rFonts w:ascii="Arial" w:hAnsi="Arial" w:cs="Arial"/>
                <w:b w:val="0"/>
                <w:i w:val="0"/>
                <w:sz w:val="17"/>
              </w:rPr>
              <w:t>FIN</w:t>
            </w:r>
          </w:p>
        </w:tc>
        <w:tc>
          <w:tcPr>
            <w:tcW w:type="dxa" w:w="3213"/>
          </w:tcPr>
          <w:p>
            <w:pPr>
              <w:spacing w:after="20" w:before="20" w:line="240" w:lineRule="auto"/>
            </w:pPr>
            <w:r/>
            <w:r>
              <w:rPr>
                <w:rFonts w:ascii="Arial" w:hAnsi="Arial" w:cs="Arial"/>
                <w:b w:val="0"/>
                <w:i w:val="0"/>
                <w:sz w:val="17"/>
              </w:rPr>
              <w:t>Financier — banks and private lenders (sub-types BANK, PRIVATE)</w:t>
            </w:r>
          </w:p>
        </w:tc>
        <w:tc>
          <w:tcPr>
            <w:tcW w:type="dxa" w:w="3213"/>
          </w:tcPr>
          <w:p>
            <w:pPr>
              <w:spacing w:after="20" w:before="20" w:line="240" w:lineRule="auto"/>
            </w:pPr>
            <w:r/>
            <w:r>
              <w:rPr>
                <w:rFonts w:ascii="Arial" w:hAnsi="Arial" w:cs="Arial"/>
                <w:b w:val="0"/>
                <w:i w:val="0"/>
                <w:sz w:val="17"/>
              </w:rPr>
              <w:t>Financing capabilities under Section 10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All provider portals share common components: Smart Inbox (Section 16), Trade Command Center (TCC) filtered to their jobs (Section 16), Shipments Vault with role-specific columns, the PlainLanguage Governor Decision Panel, the VoiceCommandButton, and the Customer Care Chatbot. There is no marketplace discovery — providers are only visible to traders who have explicitly added them as contacts or have completed prior trades with them.</w:t>
      </w:r>
    </w:p>
    <w:p>
      <w:pPr>
        <w:keepNext/>
        <w:spacing w:before="240" w:after="100"/>
        <w:outlineLvl w:val="1"/>
      </w:pPr>
      <w:r>
        <w:rPr>
          <w:rFonts w:ascii="Arial" w:hAnsi="Arial" w:cs="Arial"/>
          <w:b/>
          <w:i w:val="0"/>
          <w:color w:val="2E528F"/>
          <w:sz w:val="26"/>
        </w:rPr>
        <w:t>11.2 Service Capability Definitions</w:t>
      </w:r>
    </w:p>
    <w:p>
      <w:pPr>
        <w:spacing w:after="80" w:line="293" w:lineRule="auto"/>
        <w:jc w:val="left"/>
      </w:pPr>
      <w:r>
        <w:rPr>
          <w:rFonts w:ascii="Times New Roman" w:hAnsi="Times New Roman" w:cs="Times New Roman"/>
          <w:b w:val="0"/>
          <w:i w:val="0"/>
          <w:sz w:val="22"/>
        </w:rPr>
        <w:t>The service capability catalogue is a first-class reference table. Every capability has a stable code, a display name, a capability group, and a default portal tab that the unified portal renders when the capability is declared: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Capability Code</w:t>
            </w:r>
          </w:p>
        </w:tc>
        <w:tc>
          <w:tcPr>
            <w:tcW w:type="dxa" w:w="2409"/>
            <w:shd w:val="clear" w:fill="D9E2F3"/>
          </w:tcPr>
          <w:p>
            <w:pPr>
              <w:spacing w:after="20" w:before="20" w:line="240" w:lineRule="auto"/>
            </w:pPr>
            <w:r/>
            <w:r>
              <w:rPr>
                <w:rFonts w:ascii="Arial" w:hAnsi="Arial" w:cs="Arial"/>
                <w:b/>
                <w:i w:val="0"/>
                <w:sz w:val="18"/>
              </w:rPr>
              <w:t>Capability Name</w:t>
            </w:r>
          </w:p>
        </w:tc>
        <w:tc>
          <w:tcPr>
            <w:tcW w:type="dxa" w:w="2409"/>
            <w:shd w:val="clear" w:fill="D9E2F3"/>
          </w:tcPr>
          <w:p>
            <w:pPr>
              <w:spacing w:after="20" w:before="20" w:line="240" w:lineRule="auto"/>
            </w:pPr>
            <w:r/>
            <w:r>
              <w:rPr>
                <w:rFonts w:ascii="Arial" w:hAnsi="Arial" w:cs="Arial"/>
                <w:b/>
                <w:i w:val="0"/>
                <w:sz w:val="18"/>
              </w:rPr>
              <w:t>Group</w:t>
            </w:r>
          </w:p>
        </w:tc>
        <w:tc>
          <w:tcPr>
            <w:tcW w:type="dxa" w:w="2409"/>
            <w:shd w:val="clear" w:fill="D9E2F3"/>
          </w:tcPr>
          <w:p>
            <w:pPr>
              <w:spacing w:after="20" w:before="20" w:line="240" w:lineRule="auto"/>
            </w:pPr>
            <w:r/>
            <w:r>
              <w:rPr>
                <w:rFonts w:ascii="Arial" w:hAnsi="Arial" w:cs="Arial"/>
                <w:b/>
                <w:i w:val="0"/>
                <w:sz w:val="18"/>
              </w:rPr>
              <w:t>Default Portal Tab</w:t>
            </w:r>
          </w:p>
        </w:tc>
      </w:tr>
      <w:tr>
        <w:tc>
          <w:tcPr>
            <w:tcW w:type="dxa" w:w="2409"/>
          </w:tcPr>
          <w:p>
            <w:pPr>
              <w:spacing w:after="20" w:before="20" w:line="240" w:lineRule="auto"/>
            </w:pPr>
            <w:r/>
            <w:r>
              <w:rPr>
                <w:rFonts w:ascii="Arial" w:hAnsi="Arial" w:cs="Arial"/>
                <w:b w:val="0"/>
                <w:i w:val="0"/>
                <w:sz w:val="17"/>
              </w:rPr>
              <w:t>TRUCKING</w:t>
            </w:r>
          </w:p>
        </w:tc>
        <w:tc>
          <w:tcPr>
            <w:tcW w:type="dxa" w:w="2409"/>
          </w:tcPr>
          <w:p>
            <w:pPr>
              <w:spacing w:after="20" w:before="20" w:line="240" w:lineRule="auto"/>
            </w:pPr>
            <w:r/>
            <w:r>
              <w:rPr>
                <w:rFonts w:ascii="Arial" w:hAnsi="Arial" w:cs="Arial"/>
                <w:b w:val="0"/>
                <w:i w:val="0"/>
                <w:sz w:val="17"/>
              </w:rPr>
              <w:t>Trucking</w:t>
            </w:r>
          </w:p>
        </w:tc>
        <w:tc>
          <w:tcPr>
            <w:tcW w:type="dxa" w:w="2409"/>
          </w:tcPr>
          <w:p>
            <w:pPr>
              <w:spacing w:after="20" w:before="20" w:line="240" w:lineRule="auto"/>
            </w:pPr>
            <w:r/>
            <w:r>
              <w:rPr>
                <w:rFonts w:ascii="Arial" w:hAnsi="Arial" w:cs="Arial"/>
                <w:b w:val="0"/>
                <w:i w:val="0"/>
                <w:sz w:val="17"/>
              </w:rPr>
              <w:t>LOGISTICS</w:t>
            </w:r>
          </w:p>
        </w:tc>
        <w:tc>
          <w:tcPr>
            <w:tcW w:type="dxa" w:w="2409"/>
          </w:tcPr>
          <w:p>
            <w:pPr>
              <w:spacing w:after="20" w:before="20" w:line="240" w:lineRule="auto"/>
            </w:pPr>
            <w:r/>
            <w:r>
              <w:rPr>
                <w:rFonts w:ascii="Arial" w:hAnsi="Arial" w:cs="Arial"/>
                <w:b w:val="0"/>
                <w:i w:val="0"/>
                <w:sz w:val="17"/>
              </w:rPr>
              <w:t>dispatch</w:t>
            </w:r>
          </w:p>
        </w:tc>
      </w:tr>
      <w:tr>
        <w:tc>
          <w:tcPr>
            <w:tcW w:type="dxa" w:w="2409"/>
          </w:tcPr>
          <w:p>
            <w:pPr>
              <w:spacing w:after="20" w:before="20" w:line="240" w:lineRule="auto"/>
            </w:pPr>
            <w:r/>
            <w:r>
              <w:rPr>
                <w:rFonts w:ascii="Arial" w:hAnsi="Arial" w:cs="Arial"/>
                <w:b w:val="0"/>
                <w:i w:val="0"/>
                <w:sz w:val="17"/>
              </w:rPr>
              <w:t>FORWARDING</w:t>
            </w:r>
          </w:p>
        </w:tc>
        <w:tc>
          <w:tcPr>
            <w:tcW w:type="dxa" w:w="2409"/>
          </w:tcPr>
          <w:p>
            <w:pPr>
              <w:spacing w:after="20" w:before="20" w:line="240" w:lineRule="auto"/>
            </w:pPr>
            <w:r/>
            <w:r>
              <w:rPr>
                <w:rFonts w:ascii="Arial" w:hAnsi="Arial" w:cs="Arial"/>
                <w:b w:val="0"/>
                <w:i w:val="0"/>
                <w:sz w:val="17"/>
              </w:rPr>
              <w:t>Freight Forwarding</w:t>
            </w:r>
          </w:p>
        </w:tc>
        <w:tc>
          <w:tcPr>
            <w:tcW w:type="dxa" w:w="2409"/>
          </w:tcPr>
          <w:p>
            <w:pPr>
              <w:spacing w:after="20" w:before="20" w:line="240" w:lineRule="auto"/>
            </w:pPr>
            <w:r/>
            <w:r>
              <w:rPr>
                <w:rFonts w:ascii="Arial" w:hAnsi="Arial" w:cs="Arial"/>
                <w:b w:val="0"/>
                <w:i w:val="0"/>
                <w:sz w:val="17"/>
              </w:rPr>
              <w:t>LOGISTICS</w:t>
            </w:r>
          </w:p>
        </w:tc>
        <w:tc>
          <w:tcPr>
            <w:tcW w:type="dxa" w:w="2409"/>
          </w:tcPr>
          <w:p>
            <w:pPr>
              <w:spacing w:after="20" w:before="20" w:line="240" w:lineRule="auto"/>
            </w:pPr>
            <w:r/>
            <w:r>
              <w:rPr>
                <w:rFonts w:ascii="Arial" w:hAnsi="Arial" w:cs="Arial"/>
                <w:b w:val="0"/>
                <w:i w:val="0"/>
                <w:sz w:val="17"/>
              </w:rPr>
              <w:t>forwarder_console</w:t>
            </w:r>
          </w:p>
        </w:tc>
      </w:tr>
      <w:tr>
        <w:tc>
          <w:tcPr>
            <w:tcW w:type="dxa" w:w="2409"/>
          </w:tcPr>
          <w:p>
            <w:pPr>
              <w:spacing w:after="20" w:before="20" w:line="240" w:lineRule="auto"/>
            </w:pPr>
            <w:r/>
            <w:r>
              <w:rPr>
                <w:rFonts w:ascii="Arial" w:hAnsi="Arial" w:cs="Arial"/>
                <w:b w:val="0"/>
                <w:i w:val="0"/>
                <w:sz w:val="17"/>
              </w:rPr>
              <w:t>WAREHOUSING</w:t>
            </w:r>
          </w:p>
        </w:tc>
        <w:tc>
          <w:tcPr>
            <w:tcW w:type="dxa" w:w="2409"/>
          </w:tcPr>
          <w:p>
            <w:pPr>
              <w:spacing w:after="20" w:before="20" w:line="240" w:lineRule="auto"/>
            </w:pPr>
            <w:r/>
            <w:r>
              <w:rPr>
                <w:rFonts w:ascii="Arial" w:hAnsi="Arial" w:cs="Arial"/>
                <w:b w:val="0"/>
                <w:i w:val="0"/>
                <w:sz w:val="17"/>
              </w:rPr>
              <w:t>Warehousing</w:t>
            </w:r>
          </w:p>
        </w:tc>
        <w:tc>
          <w:tcPr>
            <w:tcW w:type="dxa" w:w="2409"/>
          </w:tcPr>
          <w:p>
            <w:pPr>
              <w:spacing w:after="20" w:before="20" w:line="240" w:lineRule="auto"/>
            </w:pPr>
            <w:r/>
            <w:r>
              <w:rPr>
                <w:rFonts w:ascii="Arial" w:hAnsi="Arial" w:cs="Arial"/>
                <w:b w:val="0"/>
                <w:i w:val="0"/>
                <w:sz w:val="17"/>
              </w:rPr>
              <w:t>LOGISTICS</w:t>
            </w:r>
          </w:p>
        </w:tc>
        <w:tc>
          <w:tcPr>
            <w:tcW w:type="dxa" w:w="2409"/>
          </w:tcPr>
          <w:p>
            <w:pPr>
              <w:spacing w:after="20" w:before="20" w:line="240" w:lineRule="auto"/>
            </w:pPr>
            <w:r/>
            <w:r>
              <w:rPr>
                <w:rFonts w:ascii="Arial" w:hAnsi="Arial" w:cs="Arial"/>
                <w:b w:val="0"/>
                <w:i w:val="0"/>
                <w:sz w:val="17"/>
              </w:rPr>
              <w:t>warehouse_dashboard</w:t>
            </w:r>
          </w:p>
        </w:tc>
      </w:tr>
      <w:tr>
        <w:tc>
          <w:tcPr>
            <w:tcW w:type="dxa" w:w="2409"/>
          </w:tcPr>
          <w:p>
            <w:pPr>
              <w:spacing w:after="20" w:before="20" w:line="240" w:lineRule="auto"/>
            </w:pPr>
            <w:r/>
            <w:r>
              <w:rPr>
                <w:rFonts w:ascii="Arial" w:hAnsi="Arial" w:cs="Arial"/>
                <w:b w:val="0"/>
                <w:i w:val="0"/>
                <w:sz w:val="17"/>
              </w:rPr>
              <w:t>OCEAN_FREIGHT</w:t>
            </w:r>
          </w:p>
        </w:tc>
        <w:tc>
          <w:tcPr>
            <w:tcW w:type="dxa" w:w="2409"/>
          </w:tcPr>
          <w:p>
            <w:pPr>
              <w:spacing w:after="20" w:before="20" w:line="240" w:lineRule="auto"/>
            </w:pPr>
            <w:r/>
            <w:r>
              <w:rPr>
                <w:rFonts w:ascii="Arial" w:hAnsi="Arial" w:cs="Arial"/>
                <w:b w:val="0"/>
                <w:i w:val="0"/>
                <w:sz w:val="17"/>
              </w:rPr>
              <w:t>Ocean Freight</w:t>
            </w:r>
          </w:p>
        </w:tc>
        <w:tc>
          <w:tcPr>
            <w:tcW w:type="dxa" w:w="2409"/>
          </w:tcPr>
          <w:p>
            <w:pPr>
              <w:spacing w:after="20" w:before="20" w:line="240" w:lineRule="auto"/>
            </w:pPr>
            <w:r/>
            <w:r>
              <w:rPr>
                <w:rFonts w:ascii="Arial" w:hAnsi="Arial" w:cs="Arial"/>
                <w:b w:val="0"/>
                <w:i w:val="0"/>
                <w:sz w:val="17"/>
              </w:rPr>
              <w:t>LOGISTICS</w:t>
            </w:r>
          </w:p>
        </w:tc>
        <w:tc>
          <w:tcPr>
            <w:tcW w:type="dxa" w:w="2409"/>
          </w:tcPr>
          <w:p>
            <w:pPr>
              <w:spacing w:after="20" w:before="20" w:line="240" w:lineRule="auto"/>
            </w:pPr>
            <w:r/>
            <w:r>
              <w:rPr>
                <w:rFonts w:ascii="Arial" w:hAnsi="Arial" w:cs="Arial"/>
                <w:b w:val="0"/>
                <w:i w:val="0"/>
                <w:sz w:val="17"/>
              </w:rPr>
              <w:t>booking_requests</w:t>
            </w:r>
          </w:p>
        </w:tc>
      </w:tr>
      <w:tr>
        <w:tc>
          <w:tcPr>
            <w:tcW w:type="dxa" w:w="2409"/>
          </w:tcPr>
          <w:p>
            <w:pPr>
              <w:spacing w:after="20" w:before="20" w:line="240" w:lineRule="auto"/>
            </w:pPr>
            <w:r/>
            <w:r>
              <w:rPr>
                <w:rFonts w:ascii="Arial" w:hAnsi="Arial" w:cs="Arial"/>
                <w:b w:val="0"/>
                <w:i w:val="0"/>
                <w:sz w:val="17"/>
              </w:rPr>
              <w:t>AIR_FREIGHT</w:t>
            </w:r>
          </w:p>
        </w:tc>
        <w:tc>
          <w:tcPr>
            <w:tcW w:type="dxa" w:w="2409"/>
          </w:tcPr>
          <w:p>
            <w:pPr>
              <w:spacing w:after="20" w:before="20" w:line="240" w:lineRule="auto"/>
            </w:pPr>
            <w:r/>
            <w:r>
              <w:rPr>
                <w:rFonts w:ascii="Arial" w:hAnsi="Arial" w:cs="Arial"/>
                <w:b w:val="0"/>
                <w:i w:val="0"/>
                <w:sz w:val="17"/>
              </w:rPr>
              <w:t>Air Freight</w:t>
            </w:r>
          </w:p>
        </w:tc>
        <w:tc>
          <w:tcPr>
            <w:tcW w:type="dxa" w:w="2409"/>
          </w:tcPr>
          <w:p>
            <w:pPr>
              <w:spacing w:after="20" w:before="20" w:line="240" w:lineRule="auto"/>
            </w:pPr>
            <w:r/>
            <w:r>
              <w:rPr>
                <w:rFonts w:ascii="Arial" w:hAnsi="Arial" w:cs="Arial"/>
                <w:b w:val="0"/>
                <w:i w:val="0"/>
                <w:sz w:val="17"/>
              </w:rPr>
              <w:t>LOGISTICS</w:t>
            </w:r>
          </w:p>
        </w:tc>
        <w:tc>
          <w:tcPr>
            <w:tcW w:type="dxa" w:w="2409"/>
          </w:tcPr>
          <w:p>
            <w:pPr>
              <w:spacing w:after="20" w:before="20" w:line="240" w:lineRule="auto"/>
            </w:pPr>
            <w:r/>
            <w:r>
              <w:rPr>
                <w:rFonts w:ascii="Arial" w:hAnsi="Arial" w:cs="Arial"/>
                <w:b w:val="0"/>
                <w:i w:val="0"/>
                <w:sz w:val="17"/>
              </w:rPr>
              <w:t>booking_requests</w:t>
            </w:r>
          </w:p>
        </w:tc>
      </w:tr>
      <w:tr>
        <w:tc>
          <w:tcPr>
            <w:tcW w:type="dxa" w:w="2409"/>
          </w:tcPr>
          <w:p>
            <w:pPr>
              <w:spacing w:after="20" w:before="20" w:line="240" w:lineRule="auto"/>
            </w:pPr>
            <w:r/>
            <w:r>
              <w:rPr>
                <w:rFonts w:ascii="Arial" w:hAnsi="Arial" w:cs="Arial"/>
                <w:b w:val="0"/>
                <w:i w:val="0"/>
                <w:sz w:val="17"/>
              </w:rPr>
              <w:t>CUSTOMS_BROKERAGE</w:t>
            </w:r>
          </w:p>
        </w:tc>
        <w:tc>
          <w:tcPr>
            <w:tcW w:type="dxa" w:w="2409"/>
          </w:tcPr>
          <w:p>
            <w:pPr>
              <w:spacing w:after="20" w:before="20" w:line="240" w:lineRule="auto"/>
            </w:pPr>
            <w:r/>
            <w:r>
              <w:rPr>
                <w:rFonts w:ascii="Arial" w:hAnsi="Arial" w:cs="Arial"/>
                <w:b w:val="0"/>
                <w:i w:val="0"/>
                <w:sz w:val="17"/>
              </w:rPr>
              <w:t>Customs Brokerage</w:t>
            </w:r>
          </w:p>
        </w:tc>
        <w:tc>
          <w:tcPr>
            <w:tcW w:type="dxa" w:w="2409"/>
          </w:tcPr>
          <w:p>
            <w:pPr>
              <w:spacing w:after="20" w:before="20" w:line="240" w:lineRule="auto"/>
            </w:pPr>
            <w:r/>
            <w:r>
              <w:rPr>
                <w:rFonts w:ascii="Arial" w:hAnsi="Arial" w:cs="Arial"/>
                <w:b w:val="0"/>
                <w:i w:val="0"/>
                <w:sz w:val="17"/>
              </w:rPr>
              <w:t>BROKERAGE</w:t>
            </w:r>
          </w:p>
        </w:tc>
        <w:tc>
          <w:tcPr>
            <w:tcW w:type="dxa" w:w="2409"/>
          </w:tcPr>
          <w:p>
            <w:pPr>
              <w:spacing w:after="20" w:before="20" w:line="240" w:lineRule="auto"/>
            </w:pPr>
            <w:r/>
            <w:r>
              <w:rPr>
                <w:rFonts w:ascii="Arial" w:hAnsi="Arial" w:cs="Arial"/>
                <w:b w:val="0"/>
                <w:i w:val="0"/>
                <w:sz w:val="17"/>
              </w:rPr>
              <w:t>certification_requests</w:t>
            </w:r>
          </w:p>
        </w:tc>
      </w:tr>
      <w:tr>
        <w:tc>
          <w:tcPr>
            <w:tcW w:type="dxa" w:w="2409"/>
          </w:tcPr>
          <w:p>
            <w:pPr>
              <w:spacing w:after="20" w:before="20" w:line="240" w:lineRule="auto"/>
            </w:pPr>
            <w:r/>
            <w:r>
              <w:rPr>
                <w:rFonts w:ascii="Arial" w:hAnsi="Arial" w:cs="Arial"/>
                <w:b w:val="0"/>
                <w:i w:val="0"/>
                <w:sz w:val="17"/>
              </w:rPr>
              <w:t>PHYSICAL_HANDLING</w:t>
            </w:r>
          </w:p>
        </w:tc>
        <w:tc>
          <w:tcPr>
            <w:tcW w:type="dxa" w:w="2409"/>
          </w:tcPr>
          <w:p>
            <w:pPr>
              <w:spacing w:after="20" w:before="20" w:line="240" w:lineRule="auto"/>
            </w:pPr>
            <w:r/>
            <w:r>
              <w:rPr>
                <w:rFonts w:ascii="Arial" w:hAnsi="Arial" w:cs="Arial"/>
                <w:b w:val="0"/>
                <w:i w:val="0"/>
                <w:sz w:val="17"/>
              </w:rPr>
              <w:t>Physical Document Handling</w:t>
            </w:r>
          </w:p>
        </w:tc>
        <w:tc>
          <w:tcPr>
            <w:tcW w:type="dxa" w:w="2409"/>
          </w:tcPr>
          <w:p>
            <w:pPr>
              <w:spacing w:after="20" w:before="20" w:line="240" w:lineRule="auto"/>
            </w:pPr>
            <w:r/>
            <w:r>
              <w:rPr>
                <w:rFonts w:ascii="Arial" w:hAnsi="Arial" w:cs="Arial"/>
                <w:b w:val="0"/>
                <w:i w:val="0"/>
                <w:sz w:val="17"/>
              </w:rPr>
              <w:t>BROKERAGE</w:t>
            </w:r>
          </w:p>
        </w:tc>
        <w:tc>
          <w:tcPr>
            <w:tcW w:type="dxa" w:w="2409"/>
          </w:tcPr>
          <w:p>
            <w:pPr>
              <w:spacing w:after="20" w:before="20" w:line="240" w:lineRule="auto"/>
            </w:pPr>
            <w:r/>
            <w:r>
              <w:rPr>
                <w:rFonts w:ascii="Arial" w:hAnsi="Arial" w:cs="Arial"/>
                <w:b w:val="0"/>
                <w:i w:val="0"/>
                <w:sz w:val="17"/>
              </w:rPr>
              <w:t>physical_jobs</w:t>
            </w:r>
          </w:p>
        </w:tc>
      </w:tr>
      <w:tr>
        <w:tc>
          <w:tcPr>
            <w:tcW w:type="dxa" w:w="2409"/>
          </w:tcPr>
          <w:p>
            <w:pPr>
              <w:spacing w:after="20" w:before="20" w:line="240" w:lineRule="auto"/>
            </w:pPr>
            <w:r/>
            <w:r>
              <w:rPr>
                <w:rFonts w:ascii="Arial" w:hAnsi="Arial" w:cs="Arial"/>
                <w:b w:val="0"/>
                <w:i w:val="0"/>
                <w:sz w:val="17"/>
              </w:rPr>
              <w:t>STORAGE</w:t>
            </w:r>
          </w:p>
        </w:tc>
        <w:tc>
          <w:tcPr>
            <w:tcW w:type="dxa" w:w="2409"/>
          </w:tcPr>
          <w:p>
            <w:pPr>
              <w:spacing w:after="20" w:before="20" w:line="240" w:lineRule="auto"/>
            </w:pPr>
            <w:r/>
            <w:r>
              <w:rPr>
                <w:rFonts w:ascii="Arial" w:hAnsi="Arial" w:cs="Arial"/>
                <w:b w:val="0"/>
                <w:i w:val="0"/>
                <w:sz w:val="17"/>
              </w:rPr>
              <w:t>Document Storage</w:t>
            </w:r>
          </w:p>
        </w:tc>
        <w:tc>
          <w:tcPr>
            <w:tcW w:type="dxa" w:w="2409"/>
          </w:tcPr>
          <w:p>
            <w:pPr>
              <w:spacing w:after="20" w:before="20" w:line="240" w:lineRule="auto"/>
            </w:pPr>
            <w:r/>
            <w:r>
              <w:rPr>
                <w:rFonts w:ascii="Arial" w:hAnsi="Arial" w:cs="Arial"/>
                <w:b w:val="0"/>
                <w:i w:val="0"/>
                <w:sz w:val="17"/>
              </w:rPr>
              <w:t>BROKERAGE</w:t>
            </w:r>
          </w:p>
        </w:tc>
        <w:tc>
          <w:tcPr>
            <w:tcW w:type="dxa" w:w="2409"/>
          </w:tcPr>
          <w:p>
            <w:pPr>
              <w:spacing w:after="20" w:before="20" w:line="240" w:lineRule="auto"/>
            </w:pPr>
            <w:r/>
            <w:r>
              <w:rPr>
                <w:rFonts w:ascii="Arial" w:hAnsi="Arial" w:cs="Arial"/>
                <w:b w:val="0"/>
                <w:i w:val="0"/>
                <w:sz w:val="17"/>
              </w:rPr>
              <w:t>storage_management</w:t>
            </w:r>
          </w:p>
        </w:tc>
      </w:tr>
      <w:tr>
        <w:tc>
          <w:tcPr>
            <w:tcW w:type="dxa" w:w="2409"/>
          </w:tcPr>
          <w:p>
            <w:pPr>
              <w:spacing w:after="20" w:before="20" w:line="240" w:lineRule="auto"/>
            </w:pPr>
            <w:r/>
            <w:r>
              <w:rPr>
                <w:rFonts w:ascii="Arial" w:hAnsi="Arial" w:cs="Arial"/>
                <w:b w:val="0"/>
                <w:i w:val="0"/>
                <w:sz w:val="17"/>
              </w:rPr>
              <w:t>AUDIT_REPRESENTATION</w:t>
            </w:r>
          </w:p>
        </w:tc>
        <w:tc>
          <w:tcPr>
            <w:tcW w:type="dxa" w:w="2409"/>
          </w:tcPr>
          <w:p>
            <w:pPr>
              <w:spacing w:after="20" w:before="20" w:line="240" w:lineRule="auto"/>
            </w:pPr>
            <w:r/>
            <w:r>
              <w:rPr>
                <w:rFonts w:ascii="Arial" w:hAnsi="Arial" w:cs="Arial"/>
                <w:b w:val="0"/>
                <w:i w:val="0"/>
                <w:sz w:val="17"/>
              </w:rPr>
              <w:t>Audit Representation</w:t>
            </w:r>
          </w:p>
        </w:tc>
        <w:tc>
          <w:tcPr>
            <w:tcW w:type="dxa" w:w="2409"/>
          </w:tcPr>
          <w:p>
            <w:pPr>
              <w:spacing w:after="20" w:before="20" w:line="240" w:lineRule="auto"/>
            </w:pPr>
            <w:r/>
            <w:r>
              <w:rPr>
                <w:rFonts w:ascii="Arial" w:hAnsi="Arial" w:cs="Arial"/>
                <w:b w:val="0"/>
                <w:i w:val="0"/>
                <w:sz w:val="17"/>
              </w:rPr>
              <w:t>BROKERAGE</w:t>
            </w:r>
          </w:p>
        </w:tc>
        <w:tc>
          <w:tcPr>
            <w:tcW w:type="dxa" w:w="2409"/>
          </w:tcPr>
          <w:p>
            <w:pPr>
              <w:spacing w:after="20" w:before="20" w:line="240" w:lineRule="auto"/>
            </w:pPr>
            <w:r/>
            <w:r>
              <w:rPr>
                <w:rFonts w:ascii="Arial" w:hAnsi="Arial" w:cs="Arial"/>
                <w:b w:val="0"/>
                <w:i w:val="0"/>
                <w:sz w:val="17"/>
              </w:rPr>
              <w:t>audit_representation</w:t>
            </w:r>
          </w:p>
        </w:tc>
      </w:tr>
      <w:tr>
        <w:tc>
          <w:tcPr>
            <w:tcW w:type="dxa" w:w="2409"/>
          </w:tcPr>
          <w:p>
            <w:pPr>
              <w:spacing w:after="20" w:before="20" w:line="240" w:lineRule="auto"/>
            </w:pPr>
            <w:r/>
            <w:r>
              <w:rPr>
                <w:rFonts w:ascii="Arial" w:hAnsi="Arial" w:cs="Arial"/>
                <w:b w:val="0"/>
                <w:i w:val="0"/>
                <w:sz w:val="17"/>
              </w:rPr>
              <w:t>LAB_TESTING</w:t>
            </w:r>
          </w:p>
        </w:tc>
        <w:tc>
          <w:tcPr>
            <w:tcW w:type="dxa" w:w="2409"/>
          </w:tcPr>
          <w:p>
            <w:pPr>
              <w:spacing w:after="20" w:before="20" w:line="240" w:lineRule="auto"/>
            </w:pPr>
            <w:r/>
            <w:r>
              <w:rPr>
                <w:rFonts w:ascii="Arial" w:hAnsi="Arial" w:cs="Arial"/>
                <w:b w:val="0"/>
                <w:i w:val="0"/>
                <w:sz w:val="17"/>
              </w:rPr>
              <w:t>Laboratory Testing</w:t>
            </w:r>
          </w:p>
        </w:tc>
        <w:tc>
          <w:tcPr>
            <w:tcW w:type="dxa" w:w="2409"/>
          </w:tcPr>
          <w:p>
            <w:pPr>
              <w:spacing w:after="20" w:before="20" w:line="240" w:lineRule="auto"/>
            </w:pPr>
            <w:r/>
            <w:r>
              <w:rPr>
                <w:rFonts w:ascii="Arial" w:hAnsi="Arial" w:cs="Arial"/>
                <w:b w:val="0"/>
                <w:i w:val="0"/>
                <w:sz w:val="17"/>
              </w:rPr>
              <w:t>LAB</w:t>
            </w:r>
          </w:p>
        </w:tc>
        <w:tc>
          <w:tcPr>
            <w:tcW w:type="dxa" w:w="2409"/>
          </w:tcPr>
          <w:p>
            <w:pPr>
              <w:spacing w:after="20" w:before="20" w:line="240" w:lineRule="auto"/>
            </w:pPr>
            <w:r/>
            <w:r>
              <w:rPr>
                <w:rFonts w:ascii="Arial" w:hAnsi="Arial" w:cs="Arial"/>
                <w:b w:val="0"/>
                <w:i w:val="0"/>
                <w:sz w:val="17"/>
              </w:rPr>
              <w:t>testing_jobs</w:t>
            </w:r>
          </w:p>
        </w:tc>
      </w:tr>
      <w:tr>
        <w:tc>
          <w:tcPr>
            <w:tcW w:type="dxa" w:w="2409"/>
          </w:tcPr>
          <w:p>
            <w:pPr>
              <w:spacing w:after="20" w:before="20" w:line="240" w:lineRule="auto"/>
            </w:pPr>
            <w:r/>
            <w:r>
              <w:rPr>
                <w:rFonts w:ascii="Arial" w:hAnsi="Arial" w:cs="Arial"/>
                <w:b w:val="0"/>
                <w:i w:val="0"/>
                <w:sz w:val="17"/>
              </w:rPr>
              <w:t>QC_INSPECTION</w:t>
            </w:r>
          </w:p>
        </w:tc>
        <w:tc>
          <w:tcPr>
            <w:tcW w:type="dxa" w:w="2409"/>
          </w:tcPr>
          <w:p>
            <w:pPr>
              <w:spacing w:after="20" w:before="20" w:line="240" w:lineRule="auto"/>
            </w:pPr>
            <w:r/>
            <w:r>
              <w:rPr>
                <w:rFonts w:ascii="Arial" w:hAnsi="Arial" w:cs="Arial"/>
                <w:b w:val="0"/>
                <w:i w:val="0"/>
                <w:sz w:val="17"/>
              </w:rPr>
              <w:t>QC Inspection</w:t>
            </w:r>
          </w:p>
        </w:tc>
        <w:tc>
          <w:tcPr>
            <w:tcW w:type="dxa" w:w="2409"/>
          </w:tcPr>
          <w:p>
            <w:pPr>
              <w:spacing w:after="20" w:before="20" w:line="240" w:lineRule="auto"/>
            </w:pPr>
            <w:r/>
            <w:r>
              <w:rPr>
                <w:rFonts w:ascii="Arial" w:hAnsi="Arial" w:cs="Arial"/>
                <w:b w:val="0"/>
                <w:i w:val="0"/>
                <w:sz w:val="17"/>
              </w:rPr>
              <w:t>QC</w:t>
            </w:r>
          </w:p>
        </w:tc>
        <w:tc>
          <w:tcPr>
            <w:tcW w:type="dxa" w:w="2409"/>
          </w:tcPr>
          <w:p>
            <w:pPr>
              <w:spacing w:after="20" w:before="20" w:line="240" w:lineRule="auto"/>
            </w:pPr>
            <w:r/>
            <w:r>
              <w:rPr>
                <w:rFonts w:ascii="Arial" w:hAnsi="Arial" w:cs="Arial"/>
                <w:b w:val="0"/>
                <w:i w:val="0"/>
                <w:sz w:val="17"/>
              </w:rPr>
              <w:t>inspection_jobs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capability catalogue is stored in the `service_capability_definitions` table (see Section 17) and seeded with the canonical capability set:</w:t>
      </w:r>
    </w:p>
    <w:p>
      <w:pPr>
        <w:spacing w:after="0" w:before="0" w:line="240" w:lineRule="auto"/>
        <w:ind w:left="57"/>
        <w:jc w:val="left"/>
        <w:shd w:val="clear" w:fill="F2F2F2"/>
      </w:pPr>
      <w:r>
        <w:rPr>
          <w:rFonts w:ascii="Consolas" w:hAnsi="Consolas" w:cs="Consolas"/>
          <w:b w:val="0"/>
          <w:i w:val="0"/>
          <w:sz w:val="15"/>
        </w:rPr>
        <w:t>-- service_capability_definitions: canonical definition in Section 17.4;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INSERT INTO service_capability_definitions</w:t>
      </w:r>
    </w:p>
    <w:p>
      <w:pPr>
        <w:spacing w:after="0" w:before="0" w:line="240" w:lineRule="auto"/>
        <w:ind w:left="57"/>
        <w:jc w:val="left"/>
        <w:shd w:val="clear" w:fill="F2F2F2"/>
      </w:pPr>
      <w:r>
        <w:rPr>
          <w:rFonts w:ascii="Consolas" w:hAnsi="Consolas" w:cs="Consolas"/>
          <w:b w:val="0"/>
          <w:i w:val="0"/>
          <w:sz w:val="15"/>
        </w:rPr>
        <w:t xml:space="preserve">    (capability_code, capability_name, capability_group, default_portal_tab) VALUES</w:t>
      </w:r>
    </w:p>
    <w:p>
      <w:pPr>
        <w:spacing w:after="0" w:before="0" w:line="240" w:lineRule="auto"/>
        <w:ind w:left="57"/>
        <w:jc w:val="left"/>
        <w:shd w:val="clear" w:fill="F2F2F2"/>
      </w:pPr>
      <w:r>
        <w:rPr>
          <w:rFonts w:ascii="Consolas" w:hAnsi="Consolas" w:cs="Consolas"/>
          <w:b w:val="0"/>
          <w:i w:val="0"/>
          <w:sz w:val="15"/>
        </w:rPr>
        <w:t>('TRUCKING', 'Trucking', 'LOGISTICS', 'dispatch'),</w:t>
      </w:r>
    </w:p>
    <w:p>
      <w:pPr>
        <w:spacing w:after="0" w:before="0" w:line="240" w:lineRule="auto"/>
        <w:ind w:left="57"/>
        <w:jc w:val="left"/>
        <w:shd w:val="clear" w:fill="F2F2F2"/>
      </w:pPr>
      <w:r>
        <w:rPr>
          <w:rFonts w:ascii="Consolas" w:hAnsi="Consolas" w:cs="Consolas"/>
          <w:b w:val="0"/>
          <w:i w:val="0"/>
          <w:sz w:val="15"/>
        </w:rPr>
        <w:t>('FORWARDING', 'Freight Forwarding', 'LOGISTICS', 'forwarder_console'),</w:t>
      </w:r>
    </w:p>
    <w:p>
      <w:pPr>
        <w:spacing w:after="0" w:before="0" w:line="240" w:lineRule="auto"/>
        <w:ind w:left="57"/>
        <w:jc w:val="left"/>
        <w:shd w:val="clear" w:fill="F2F2F2"/>
      </w:pPr>
      <w:r>
        <w:rPr>
          <w:rFonts w:ascii="Consolas" w:hAnsi="Consolas" w:cs="Consolas"/>
          <w:b w:val="0"/>
          <w:i w:val="0"/>
          <w:sz w:val="15"/>
        </w:rPr>
        <w:t>('WAREHOUSING', 'Warehousing', 'LOGISTICS', 'warehouse_dashboard'),</w:t>
      </w:r>
    </w:p>
    <w:p>
      <w:pPr>
        <w:spacing w:after="0" w:before="0" w:line="240" w:lineRule="auto"/>
        <w:ind w:left="57"/>
        <w:jc w:val="left"/>
        <w:shd w:val="clear" w:fill="F2F2F2"/>
      </w:pPr>
      <w:r>
        <w:rPr>
          <w:rFonts w:ascii="Consolas" w:hAnsi="Consolas" w:cs="Consolas"/>
          <w:b w:val="0"/>
          <w:i w:val="0"/>
          <w:sz w:val="15"/>
        </w:rPr>
        <w:t>('OCEAN_FREIGHT', 'Ocean Freight', 'LOGISTICS', 'booking_requests'),</w:t>
      </w:r>
    </w:p>
    <w:p>
      <w:pPr>
        <w:spacing w:after="0" w:before="0" w:line="240" w:lineRule="auto"/>
        <w:ind w:left="57"/>
        <w:jc w:val="left"/>
        <w:shd w:val="clear" w:fill="F2F2F2"/>
      </w:pPr>
      <w:r>
        <w:rPr>
          <w:rFonts w:ascii="Consolas" w:hAnsi="Consolas" w:cs="Consolas"/>
          <w:b w:val="0"/>
          <w:i w:val="0"/>
          <w:sz w:val="15"/>
        </w:rPr>
        <w:t>('AIR_FREIGHT', 'Air Freight', 'LOGISTICS', 'booking_requests'),</w:t>
      </w:r>
    </w:p>
    <w:p>
      <w:pPr>
        <w:spacing w:after="0" w:before="0" w:line="240" w:lineRule="auto"/>
        <w:ind w:left="57"/>
        <w:jc w:val="left"/>
        <w:shd w:val="clear" w:fill="F2F2F2"/>
      </w:pPr>
      <w:r>
        <w:rPr>
          <w:rFonts w:ascii="Consolas" w:hAnsi="Consolas" w:cs="Consolas"/>
          <w:b w:val="0"/>
          <w:i w:val="0"/>
          <w:sz w:val="15"/>
        </w:rPr>
        <w:t>('CUSTOMS_BROKERAGE', 'Customs Brokerage', 'BROKERAGE', 'certification_requests'),</w:t>
      </w:r>
    </w:p>
    <w:p>
      <w:pPr>
        <w:spacing w:after="0" w:before="0" w:line="240" w:lineRule="auto"/>
        <w:ind w:left="57"/>
        <w:jc w:val="left"/>
        <w:shd w:val="clear" w:fill="F2F2F2"/>
      </w:pPr>
      <w:r>
        <w:rPr>
          <w:rFonts w:ascii="Consolas" w:hAnsi="Consolas" w:cs="Consolas"/>
          <w:b w:val="0"/>
          <w:i w:val="0"/>
          <w:sz w:val="15"/>
        </w:rPr>
        <w:t>('PHYSICAL_HANDLING', 'Physical Document Handling', 'BROKERAGE', 'physical_jobs'),</w:t>
      </w:r>
    </w:p>
    <w:p>
      <w:pPr>
        <w:spacing w:after="0" w:before="0" w:line="240" w:lineRule="auto"/>
        <w:ind w:left="57"/>
        <w:jc w:val="left"/>
        <w:shd w:val="clear" w:fill="F2F2F2"/>
      </w:pPr>
      <w:r>
        <w:rPr>
          <w:rFonts w:ascii="Consolas" w:hAnsi="Consolas" w:cs="Consolas"/>
          <w:b w:val="0"/>
          <w:i w:val="0"/>
          <w:sz w:val="15"/>
        </w:rPr>
        <w:t>('STORAGE', 'Document Storage', 'BROKERAGE', 'storage_management'),</w:t>
      </w:r>
    </w:p>
    <w:p>
      <w:pPr>
        <w:spacing w:after="0" w:before="0" w:line="240" w:lineRule="auto"/>
        <w:ind w:left="57"/>
        <w:jc w:val="left"/>
        <w:shd w:val="clear" w:fill="F2F2F2"/>
      </w:pPr>
      <w:r>
        <w:rPr>
          <w:rFonts w:ascii="Consolas" w:hAnsi="Consolas" w:cs="Consolas"/>
          <w:b w:val="0"/>
          <w:i w:val="0"/>
          <w:sz w:val="15"/>
        </w:rPr>
        <w:t>('AUDIT_REPRESENTATION', 'Audit Representation', 'BROKERAGE', 'audit_representation'),</w:t>
      </w:r>
    </w:p>
    <w:p>
      <w:pPr>
        <w:spacing w:after="0" w:before="0" w:line="240" w:lineRule="auto"/>
        <w:ind w:left="57"/>
        <w:jc w:val="left"/>
        <w:shd w:val="clear" w:fill="F2F2F2"/>
      </w:pPr>
      <w:r>
        <w:rPr>
          <w:rFonts w:ascii="Consolas" w:hAnsi="Consolas" w:cs="Consolas"/>
          <w:b w:val="0"/>
          <w:i w:val="0"/>
          <w:sz w:val="15"/>
        </w:rPr>
        <w:t>('LAB_TESTING', 'Laboratory Testing', 'LAB', 'testing_jobs'),</w:t>
      </w:r>
    </w:p>
    <w:p>
      <w:pPr>
        <w:spacing w:after="0" w:before="0" w:line="240" w:lineRule="auto"/>
        <w:ind w:left="57"/>
        <w:jc w:val="left"/>
        <w:shd w:val="clear" w:fill="F2F2F2"/>
      </w:pPr>
      <w:r>
        <w:rPr>
          <w:rFonts w:ascii="Consolas" w:hAnsi="Consolas" w:cs="Consolas"/>
          <w:b w:val="0"/>
          <w:i w:val="0"/>
          <w:sz w:val="15"/>
        </w:rPr>
        <w:t>('QC_INSPECTION', 'QC Inspection', 'QC', 'inspection_jobs');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tenant carries a `service_capabilities` array (TEXT[]) on the `tenants` table. Provider sub-types are recorded alongside: `lsp_subtype` ('TRUCKING', 'FORWARDER', 'WAREHOUSING') for LSP tenants and `financier_subtype` ('BANK', 'PRIVATE') for FIN tenants. Capabilities flagged `requires_accreditation` (for example, laboratory testing) or `requires_insurance` cannot be activated on a tenant until the corresponding verification evidence is recorded during onboarding.</w:t>
      </w:r>
    </w:p>
    <w:p>
      <w:pPr>
        <w:keepNext/>
        <w:spacing w:before="240" w:after="100"/>
        <w:outlineLvl w:val="1"/>
      </w:pPr>
      <w:r>
        <w:rPr>
          <w:rFonts w:ascii="Arial" w:hAnsi="Arial" w:cs="Arial"/>
          <w:b/>
          <w:i w:val="0"/>
          <w:color w:val="2E528F"/>
          <w:sz w:val="26"/>
        </w:rPr>
        <w:t>11.3 Provider Onboarding &amp; Verification</w:t>
      </w:r>
    </w:p>
    <w:p>
      <w:pPr>
        <w:spacing w:after="80" w:line="293" w:lineRule="auto"/>
        <w:jc w:val="left"/>
      </w:pPr>
      <w:r>
        <w:rPr>
          <w:rFonts w:ascii="Times New Roman" w:hAnsi="Times New Roman" w:cs="Times New Roman"/>
          <w:b w:val="0"/>
          <w:i w:val="0"/>
          <w:sz w:val="22"/>
        </w:rPr>
        <w:t>Provider onboarding extends the standard tenant KYB verification (Section 4) with capability-specific verification steps:</w:t>
      </w:r>
    </w:p>
    <w:p>
      <w:pPr>
        <w:spacing w:after="80" w:line="293" w:lineRule="auto"/>
        <w:ind w:left="283"/>
        <w:jc w:val="left"/>
      </w:pPr>
      <w:r>
        <w:rPr>
          <w:rFonts w:ascii="Times New Roman" w:hAnsi="Times New Roman" w:cs="Times New Roman"/>
          <w:b w:val="0"/>
          <w:i w:val="0"/>
          <w:sz w:val="22"/>
        </w:rPr>
        <w:t>- Legal identity and KYB verification: registered company data, beneficial ownership, licence numbers, and sanctions screening are verified before any capability is activated.</w:t>
      </w:r>
    </w:p>
    <w:p>
      <w:pPr>
        <w:spacing w:after="80" w:line="293" w:lineRule="auto"/>
        <w:ind w:left="283"/>
        <w:jc w:val="left"/>
      </w:pPr>
      <w:r>
        <w:rPr>
          <w:rFonts w:ascii="Times New Roman" w:hAnsi="Times New Roman" w:cs="Times New Roman"/>
          <w:b w:val="0"/>
          <w:i w:val="0"/>
          <w:sz w:val="22"/>
        </w:rPr>
        <w:t>- Service catalogue declaration: the provider declares offered services, price units, and coverage; the catalogue drives pre-filled quotations.</w:t>
      </w:r>
    </w:p>
    <w:p>
      <w:pPr>
        <w:spacing w:after="80" w:line="293" w:lineRule="auto"/>
        <w:ind w:left="283"/>
        <w:jc w:val="left"/>
      </w:pPr>
      <w:r>
        <w:rPr>
          <w:rFonts w:ascii="Times New Roman" w:hAnsi="Times New Roman" w:cs="Times New Roman"/>
          <w:b w:val="0"/>
          <w:i w:val="0"/>
          <w:sz w:val="22"/>
        </w:rPr>
        <w:t>- Accreditation and insurance: capabilities flagged `requires_accreditation` or `requires_insurance` require uploaded accreditation certificates (for example, ISO accreditation for laboratories) and valid insurance policies before activation.</w:t>
      </w:r>
    </w:p>
    <w:p>
      <w:pPr>
        <w:spacing w:after="80" w:line="293" w:lineRule="auto"/>
        <w:ind w:left="283"/>
        <w:jc w:val="left"/>
      </w:pPr>
      <w:r>
        <w:rPr>
          <w:rFonts w:ascii="Times New Roman" w:hAnsi="Times New Roman" w:cs="Times New Roman"/>
          <w:b w:val="0"/>
          <w:i w:val="0"/>
          <w:sz w:val="22"/>
        </w:rPr>
        <w:t>- Port coverage declaration and verification: the provider declares the ports and countries it serves; coverage records are re-verified periodically and deactivated when they lapse.</w:t>
      </w:r>
    </w:p>
    <w:p>
      <w:pPr>
        <w:spacing w:after="80" w:line="293" w:lineRule="auto"/>
        <w:ind w:left="283"/>
        <w:jc w:val="left"/>
      </w:pPr>
      <w:r>
        <w:rPr>
          <w:rFonts w:ascii="Times New Roman" w:hAnsi="Times New Roman" w:cs="Times New Roman"/>
          <w:b w:val="0"/>
          <w:i w:val="0"/>
          <w:sz w:val="22"/>
        </w:rPr>
        <w:t>- Portal activation: the unified Service Provider Portal renders tabs from the declared capabilities after verification.</w:t>
      </w:r>
    </w:p>
    <w:p>
      <w:pPr>
        <w:spacing w:after="80" w:line="293" w:lineRule="auto"/>
        <w:jc w:val="left"/>
      </w:pPr>
      <w:r>
        <w:rPr>
          <w:rFonts w:ascii="Times New Roman" w:hAnsi="Times New Roman" w:cs="Times New Roman"/>
          <w:b w:val="0"/>
          <w:i w:val="0"/>
          <w:sz w:val="22"/>
        </w:rPr>
        <w:t>Service catalogue examples (canonical pre-fill values used in the quotation workflows):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Provider Type</w:t>
            </w:r>
          </w:p>
        </w:tc>
        <w:tc>
          <w:tcPr>
            <w:tcW w:type="dxa" w:w="4819"/>
            <w:shd w:val="clear" w:fill="D9E2F3"/>
          </w:tcPr>
          <w:p>
            <w:pPr>
              <w:spacing w:after="20" w:before="20" w:line="240" w:lineRule="auto"/>
            </w:pPr>
            <w:r/>
            <w:r>
              <w:rPr>
                <w:rFonts w:ascii="Arial" w:hAnsi="Arial" w:cs="Arial"/>
                <w:b/>
                <w:i w:val="0"/>
                <w:sz w:val="18"/>
              </w:rPr>
              <w:t>Catalogue Example</w:t>
            </w:r>
          </w:p>
        </w:tc>
      </w:tr>
      <w:tr>
        <w:tc>
          <w:tcPr>
            <w:tcW w:type="dxa" w:w="4819"/>
          </w:tcPr>
          <w:p>
            <w:pPr>
              <w:spacing w:after="20" w:before="20" w:line="240" w:lineRule="auto"/>
            </w:pPr>
            <w:r/>
            <w:r>
              <w:rPr>
                <w:rFonts w:ascii="Arial" w:hAnsi="Arial" w:cs="Arial"/>
                <w:b w:val="0"/>
                <w:i w:val="0"/>
                <w:sz w:val="17"/>
              </w:rPr>
              <w:t>LSP (trucking)</w:t>
            </w:r>
          </w:p>
        </w:tc>
        <w:tc>
          <w:tcPr>
            <w:tcW w:type="dxa" w:w="4819"/>
          </w:tcPr>
          <w:p>
            <w:pPr>
              <w:spacing w:after="20" w:before="20" w:line="240" w:lineRule="auto"/>
            </w:pPr>
            <w:r/>
            <w:r>
              <w:rPr>
                <w:rFonts w:ascii="Arial" w:hAnsi="Arial" w:cs="Arial"/>
                <w:b w:val="0"/>
                <w:i w:val="0"/>
                <w:sz w:val="17"/>
              </w:rPr>
              <w:t>Rate per kilometre per container type, e.g. $0.85/km; insurance inclusion up to $50,000</w:t>
            </w:r>
          </w:p>
        </w:tc>
      </w:tr>
      <w:tr>
        <w:tc>
          <w:tcPr>
            <w:tcW w:type="dxa" w:w="4819"/>
          </w:tcPr>
          <w:p>
            <w:pPr>
              <w:spacing w:after="20" w:before="20" w:line="240" w:lineRule="auto"/>
            </w:pPr>
            <w:r/>
            <w:r>
              <w:rPr>
                <w:rFonts w:ascii="Arial" w:hAnsi="Arial" w:cs="Arial"/>
                <w:b w:val="0"/>
                <w:i w:val="0"/>
                <w:sz w:val="17"/>
              </w:rPr>
              <w:t>LSP (warehousing)</w:t>
            </w:r>
          </w:p>
        </w:tc>
        <w:tc>
          <w:tcPr>
            <w:tcW w:type="dxa" w:w="4819"/>
          </w:tcPr>
          <w:p>
            <w:pPr>
              <w:spacing w:after="20" w:before="20" w:line="240" w:lineRule="auto"/>
            </w:pPr>
            <w:r/>
            <w:r>
              <w:rPr>
                <w:rFonts w:ascii="Arial" w:hAnsi="Arial" w:cs="Arial"/>
                <w:b w:val="0"/>
                <w:i w:val="0"/>
                <w:sz w:val="17"/>
              </w:rPr>
              <w:t>Storage rate per pallet per day, handling charges, temperature-controlled zones</w:t>
            </w:r>
          </w:p>
        </w:tc>
      </w:tr>
      <w:tr>
        <w:tc>
          <w:tcPr>
            <w:tcW w:type="dxa" w:w="4819"/>
          </w:tcPr>
          <w:p>
            <w:pPr>
              <w:spacing w:after="20" w:before="20" w:line="240" w:lineRule="auto"/>
            </w:pPr>
            <w:r/>
            <w:r>
              <w:rPr>
                <w:rFonts w:ascii="Arial" w:hAnsi="Arial" w:cs="Arial"/>
                <w:b w:val="0"/>
                <w:i w:val="0"/>
                <w:sz w:val="17"/>
              </w:rPr>
              <w:t>SHIP</w:t>
            </w:r>
          </w:p>
        </w:tc>
        <w:tc>
          <w:tcPr>
            <w:tcW w:type="dxa" w:w="4819"/>
          </w:tcPr>
          <w:p>
            <w:pPr>
              <w:spacing w:after="20" w:before="20" w:line="240" w:lineRule="auto"/>
            </w:pPr>
            <w:r/>
            <w:r>
              <w:rPr>
                <w:rFonts w:ascii="Arial" w:hAnsi="Arial" w:cs="Arial"/>
                <w:b w:val="0"/>
                <w:i w:val="0"/>
                <w:sz w:val="17"/>
              </w:rPr>
              <w:t>Contract rates per route and container type, e.g. $4,200 per 40ft reefer; peak-season surcharges</w:t>
            </w:r>
          </w:p>
        </w:tc>
      </w:tr>
      <w:tr>
        <w:tc>
          <w:tcPr>
            <w:tcW w:type="dxa" w:w="4819"/>
          </w:tcPr>
          <w:p>
            <w:pPr>
              <w:spacing w:after="20" w:before="20" w:line="240" w:lineRule="auto"/>
            </w:pPr>
            <w:r/>
            <w:r>
              <w:rPr>
                <w:rFonts w:ascii="Arial" w:hAnsi="Arial" w:cs="Arial"/>
                <w:b w:val="0"/>
                <w:i w:val="0"/>
                <w:sz w:val="17"/>
              </w:rPr>
              <w:t>LAB</w:t>
            </w:r>
          </w:p>
        </w:tc>
        <w:tc>
          <w:tcPr>
            <w:tcW w:type="dxa" w:w="4819"/>
          </w:tcPr>
          <w:p>
            <w:pPr>
              <w:spacing w:after="20" w:before="20" w:line="240" w:lineRule="auto"/>
            </w:pPr>
            <w:r/>
            <w:r>
              <w:rPr>
                <w:rFonts w:ascii="Arial" w:hAnsi="Arial" w:cs="Arial"/>
                <w:b w:val="0"/>
                <w:i w:val="0"/>
                <w:sz w:val="17"/>
              </w:rPr>
              <w:t>Test panel prices, e.g. pesticide panel $200; sample instructions per test</w:t>
            </w:r>
          </w:p>
        </w:tc>
      </w:tr>
      <w:tr>
        <w:tc>
          <w:tcPr>
            <w:tcW w:type="dxa" w:w="4819"/>
          </w:tcPr>
          <w:p>
            <w:pPr>
              <w:spacing w:after="20" w:before="20" w:line="240" w:lineRule="auto"/>
            </w:pPr>
            <w:r/>
            <w:r>
              <w:rPr>
                <w:rFonts w:ascii="Arial" w:hAnsi="Arial" w:cs="Arial"/>
                <w:b w:val="0"/>
                <w:i w:val="0"/>
                <w:sz w:val="17"/>
              </w:rPr>
              <w:t>QC</w:t>
            </w:r>
          </w:p>
        </w:tc>
        <w:tc>
          <w:tcPr>
            <w:tcW w:type="dxa" w:w="4819"/>
          </w:tcPr>
          <w:p>
            <w:pPr>
              <w:spacing w:after="20" w:before="20" w:line="240" w:lineRule="auto"/>
            </w:pPr>
            <w:r/>
            <w:r>
              <w:rPr>
                <w:rFonts w:ascii="Arial" w:hAnsi="Arial" w:cs="Arial"/>
                <w:b w:val="0"/>
                <w:i w:val="0"/>
                <w:sz w:val="17"/>
              </w:rPr>
              <w:t>Inspection prices per commodity and sampling plan, e.g. fresh-fruit inspection $500 at AQL General Level II</w:t>
            </w:r>
          </w:p>
        </w:tc>
      </w:tr>
      <w:tr>
        <w:tc>
          <w:tcPr>
            <w:tcW w:type="dxa" w:w="4819"/>
          </w:tcPr>
          <w:p>
            <w:pPr>
              <w:spacing w:after="20" w:before="20" w:line="240" w:lineRule="auto"/>
            </w:pPr>
            <w:r/>
            <w:r>
              <w:rPr>
                <w:rFonts w:ascii="Arial" w:hAnsi="Arial" w:cs="Arial"/>
                <w:b w:val="0"/>
                <w:i w:val="0"/>
                <w:sz w:val="17"/>
              </w:rPr>
              <w:t>CBR</w:t>
            </w:r>
          </w:p>
        </w:tc>
        <w:tc>
          <w:tcPr>
            <w:tcW w:type="dxa" w:w="4819"/>
          </w:tcPr>
          <w:p>
            <w:pPr>
              <w:spacing w:after="20" w:before="20" w:line="240" w:lineRule="auto"/>
            </w:pPr>
            <w:r/>
            <w:r>
              <w:rPr>
                <w:rFonts w:ascii="Arial" w:hAnsi="Arial" w:cs="Arial"/>
                <w:b w:val="0"/>
                <w:i w:val="0"/>
                <w:sz w:val="17"/>
              </w:rPr>
              <w:t>Certification $150; physical document handling $85; document storage $40/year</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11.4 RFQ → Quote → Review → Explicit Selection Flow</w:t>
      </w:r>
    </w:p>
    <w:p>
      <w:pPr>
        <w:keepNext/>
        <w:spacing w:before="180" w:after="80"/>
        <w:outlineLvl w:val="2"/>
      </w:pPr>
      <w:r>
        <w:rPr>
          <w:rFonts w:ascii="Arial" w:hAnsi="Arial" w:cs="Arial"/>
          <w:b/>
          <w:i w:val="0"/>
          <w:color w:val="333333"/>
          <w:sz w:val="23"/>
        </w:rPr>
        <w:t>11.4.1 Provider Eligibility Filtering</w:t>
      </w:r>
    </w:p>
    <w:p>
      <w:pPr>
        <w:spacing w:after="80" w:line="293" w:lineRule="auto"/>
        <w:jc w:val="left"/>
      </w:pPr>
      <w:r>
        <w:rPr>
          <w:rFonts w:ascii="Times New Roman" w:hAnsi="Times New Roman" w:cs="Times New Roman"/>
          <w:b w:val="0"/>
          <w:i w:val="0"/>
          <w:sz w:val="22"/>
        </w:rPr>
        <w:t>The Logistics Builder (Section 8) computes eligible providers per service using capability matching, geographic coverage, and relationship control:</w:t>
      </w:r>
    </w:p>
    <w:p>
      <w:pPr>
        <w:spacing w:after="0" w:before="0" w:line="240" w:lineRule="auto"/>
        <w:ind w:left="57"/>
        <w:jc w:val="left"/>
        <w:shd w:val="clear" w:fill="F2F2F2"/>
      </w:pPr>
      <w:r>
        <w:rPr>
          <w:rFonts w:ascii="Consolas" w:hAnsi="Consolas" w:cs="Consolas"/>
          <w:b w:val="0"/>
          <w:i w:val="0"/>
          <w:sz w:val="15"/>
        </w:rPr>
        <w:t>function getEligibleProviders(service_type, port_unlocode):</w:t>
      </w:r>
    </w:p>
    <w:p>
      <w:pPr>
        <w:spacing w:after="0" w:before="0" w:line="240" w:lineRule="auto"/>
        <w:ind w:left="57"/>
        <w:jc w:val="left"/>
        <w:shd w:val="clear" w:fill="F2F2F2"/>
      </w:pPr>
      <w:r>
        <w:rPr>
          <w:rFonts w:ascii="Consolas" w:hAnsi="Consolas" w:cs="Consolas"/>
          <w:b w:val="0"/>
          <w:i w:val="0"/>
          <w:sz w:val="15"/>
        </w:rPr>
        <w:t xml:space="preserve">    eligible = tenants WHERE service_capabilities CONTAINS service_type</w:t>
      </w:r>
    </w:p>
    <w:p>
      <w:pPr>
        <w:spacing w:after="0" w:before="0" w:line="240" w:lineRule="auto"/>
        <w:ind w:left="57"/>
        <w:jc w:val="left"/>
        <w:shd w:val="clear" w:fill="F2F2F2"/>
      </w:pPr>
      <w:r>
        <w:rPr>
          <w:rFonts w:ascii="Consolas" w:hAnsi="Consolas" w:cs="Consolas"/>
          <w:b w:val="0"/>
          <w:i w:val="0"/>
          <w:sz w:val="15"/>
        </w:rPr>
        <w:t xml:space="preserve">    eligible = eligible WHERE EXISTS in provider_port_coverage (if location-specific)</w:t>
      </w:r>
    </w:p>
    <w:p>
      <w:pPr>
        <w:spacing w:after="0" w:before="0" w:line="240" w:lineRule="auto"/>
        <w:ind w:left="57"/>
        <w:jc w:val="left"/>
        <w:shd w:val="clear" w:fill="F2F2F2"/>
      </w:pPr>
      <w:r>
        <w:rPr>
          <w:rFonts w:ascii="Consolas" w:hAnsi="Consolas" w:cs="Consolas"/>
          <w:b w:val="0"/>
          <w:i w:val="0"/>
          <w:sz w:val="15"/>
        </w:rPr>
        <w:t xml:space="preserve">    eligible = eligible WHERE gtid IN seller.tenant_contacts OR anonymous_broadcast_enabled</w:t>
      </w:r>
    </w:p>
    <w:p>
      <w:pPr>
        <w:spacing w:after="0" w:before="0" w:line="240" w:lineRule="auto"/>
        <w:ind w:left="57"/>
        <w:jc w:val="left"/>
        <w:shd w:val="clear" w:fill="F2F2F2"/>
      </w:pPr>
      <w:r>
        <w:rPr>
          <w:rFonts w:ascii="Consolas" w:hAnsi="Consolas" w:cs="Consolas"/>
          <w:b w:val="0"/>
          <w:i w:val="0"/>
          <w:sz w:val="15"/>
        </w:rPr>
        <w:t xml:space="preserve">    RETURN eligible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When a seller uses Request For Quote (RFQ) Mode B for logistics, the system automatically filters the list of services based on the buyer's selected Incoterm. The WasmEdge incoterms engine enforces that only services applicable to the Incoterm are shown and that mandatory services are required before quote submission. The `incoterms_engine.wasm` module contains the mapping of Incoterm to mandatory services. When the seller opens the Logistics Builder, the system reads the Incoterm from the trade request and dynamically builds the service list. If the seller attempts to submit a quote missing a mandatory service, the Governor returns a CONDITIONAL verdict with a Decision Panel explaining which service is missing.</w:t>
      </w:r>
    </w:p>
    <w:p>
      <w:pPr>
        <w:spacing w:after="80" w:line="293" w:lineRule="auto"/>
        <w:jc w:val="left"/>
      </w:pPr>
      <w:r>
        <w:rPr>
          <w:rFonts w:ascii="Times New Roman" w:hAnsi="Times New Roman" w:cs="Times New Roman"/>
          <w:b w:val="0"/>
          <w:i w:val="0"/>
          <w:sz w:val="22"/>
        </w:rPr>
        <w:t>Governance: G2U22 — the selected provider must have the matching service capability. G2U23 — a single GTID selected for multiple services must have all required capabilities. The Governor checks that the seller has selected a provider quote for every mandatory Incoterm service; missing services produce a CONDITIONAL verdict with a Decision Panel listing the missing services and direct links to request quotes.</w:t>
      </w:r>
    </w:p>
    <w:p>
      <w:pPr>
        <w:keepNext/>
        <w:spacing w:before="180" w:after="80"/>
        <w:outlineLvl w:val="2"/>
      </w:pPr>
      <w:r>
        <w:rPr>
          <w:rFonts w:ascii="Arial" w:hAnsi="Arial" w:cs="Arial"/>
          <w:b/>
          <w:i w:val="0"/>
          <w:color w:val="333333"/>
          <w:sz w:val="23"/>
        </w:rPr>
        <w:t>11.4.2 Unified Quotation Pattern</w:t>
      </w:r>
    </w:p>
    <w:p>
      <w:pPr>
        <w:spacing w:after="80" w:line="293" w:lineRule="auto"/>
        <w:jc w:val="left"/>
      </w:pPr>
      <w:r>
        <w:rPr>
          <w:rFonts w:ascii="Times New Roman" w:hAnsi="Times New Roman" w:cs="Times New Roman"/>
          <w:b w:val="0"/>
          <w:i w:val="0"/>
          <w:sz w:val="22"/>
        </w:rPr>
        <w:t>All provider types use the same quotation pattern: request → Smart Inbox notification → pre-filled quote from catalogue → quote submission → trader review → explicit selection (accept) → invoice generation and payment plan integration → service delivery.</w:t>
      </w:r>
    </w:p>
    <w:p>
      <w:pPr>
        <w:spacing w:after="80" w:line="293" w:lineRule="auto"/>
        <w:jc w:val="left"/>
      </w:pPr>
      <w:r>
        <w:rPr>
          <w:rFonts w:ascii="Times New Roman" w:hAnsi="Times New Roman" w:cs="Times New Roman"/>
          <w:b w:val="0"/>
          <w:i w:val="0"/>
          <w:sz w:val="22"/>
        </w:rPr>
        <w:t>Example — accept quote:</w:t>
      </w:r>
    </w:p>
    <w:p>
      <w:pPr>
        <w:spacing w:after="0" w:before="0" w:line="240" w:lineRule="auto"/>
        <w:ind w:left="57"/>
        <w:jc w:val="left"/>
        <w:shd w:val="clear" w:fill="F2F2F2"/>
      </w:pPr>
      <w:r>
        <w:rPr>
          <w:rFonts w:ascii="Consolas" w:hAnsi="Consolas" w:cs="Consolas"/>
          <w:b w:val="0"/>
          <w:i w:val="0"/>
          <w:sz w:val="15"/>
        </w:rPr>
        <w:t>POST /v1/quote/CBRQ-001/accept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"accepted_by_gtid": "SGTX-EG-TRD-002139-7F3A",</w:t>
      </w:r>
    </w:p>
    <w:p>
      <w:pPr>
        <w:spacing w:after="0" w:before="0" w:line="240" w:lineRule="auto"/>
        <w:ind w:left="57"/>
        <w:jc w:val="left"/>
        <w:shd w:val="clear" w:fill="F2F2F2"/>
      </w:pPr>
      <w:r>
        <w:rPr>
          <w:rFonts w:ascii="Consolas" w:hAnsi="Consolas" w:cs="Consolas"/>
          <w:b w:val="0"/>
          <w:i w:val="0"/>
          <w:sz w:val="15"/>
        </w:rPr>
        <w:t xml:space="preserve">    "notes": "Please proceed with certification."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"quote_id": "CBRQ-001",</w:t>
      </w:r>
    </w:p>
    <w:p>
      <w:pPr>
        <w:spacing w:after="0" w:before="0" w:line="240" w:lineRule="auto"/>
        <w:ind w:left="57"/>
        <w:jc w:val="left"/>
        <w:shd w:val="clear" w:fill="F2F2F2"/>
      </w:pPr>
      <w:r>
        <w:rPr>
          <w:rFonts w:ascii="Consolas" w:hAnsi="Consolas" w:cs="Consolas"/>
          <w:b w:val="0"/>
          <w:i w:val="0"/>
          <w:sz w:val="15"/>
        </w:rPr>
        <w:t xml:space="preserve">    "status": "ACCEPTED",</w:t>
      </w:r>
    </w:p>
    <w:p>
      <w:pPr>
        <w:spacing w:after="0" w:before="0" w:line="240" w:lineRule="auto"/>
        <w:ind w:left="57"/>
        <w:jc w:val="left"/>
        <w:shd w:val="clear" w:fill="F2F2F2"/>
      </w:pPr>
      <w:r>
        <w:rPr>
          <w:rFonts w:ascii="Consolas" w:hAnsi="Consolas" w:cs="Consolas"/>
          <w:b w:val="0"/>
          <w:i w:val="0"/>
          <w:sz w:val="15"/>
        </w:rPr>
        <w:t xml:space="preserve">    "invoice_uuid": "INV-BRK-001",</w:t>
      </w:r>
    </w:p>
    <w:p>
      <w:pPr>
        <w:spacing w:after="0" w:before="0" w:line="240" w:lineRule="auto"/>
        <w:ind w:left="57"/>
        <w:jc w:val="left"/>
        <w:shd w:val="clear" w:fill="F2F2F2"/>
      </w:pPr>
      <w:r>
        <w:rPr>
          <w:rFonts w:ascii="Consolas" w:hAnsi="Consolas" w:cs="Consolas"/>
          <w:b w:val="0"/>
          <w:i w:val="0"/>
          <w:sz w:val="15"/>
        </w:rPr>
        <w:t xml:space="preserve">    "message": "Invoice generated and added to payment plan."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Accepted quotes generate Electronic Tax Authority (ETA)-compliant invoices automatically, add them to the applicable payment stage (Stage 1 or Stage 2, see Section 13.4), and configure the multi-leg settlement split for provider payouts. Clarification requests let either party exchange structured questions and answers on a quotation before acceptance, with the full Q&amp;A retained for audit.</w:t>
      </w:r>
    </w:p>
    <w:p>
      <w:pPr>
        <w:keepNext/>
        <w:spacing w:before="180" w:after="80"/>
        <w:outlineLvl w:val="2"/>
      </w:pPr>
      <w:r>
        <w:rPr>
          <w:rFonts w:ascii="Arial" w:hAnsi="Arial" w:cs="Arial"/>
          <w:b/>
          <w:i w:val="0"/>
          <w:color w:val="333333"/>
          <w:sz w:val="23"/>
        </w:rPr>
        <w:t>11.4.3 Trucking Quotation &amp; Acceptance Workflow (LSP)</w:t>
      </w:r>
    </w:p>
    <w:p>
      <w:pPr>
        <w:spacing w:after="80" w:line="293" w:lineRule="auto"/>
        <w:jc w:val="left"/>
      </w:pPr>
      <w:r>
        <w:rPr>
          <w:rFonts w:ascii="Times New Roman" w:hAnsi="Times New Roman" w:cs="Times New Roman"/>
          <w:b w:val="0"/>
          <w:i w:val="0"/>
          <w:sz w:val="22"/>
        </w:rPr>
        <w:t>Step 1 — Seller requests quote (Phase 2, Logistics Builder). The seller selects the "Trucking" service and enters pickup and delivery addresses, container type, and weight. The system calculates estimated distance (OSRM) and displays a dropdown of eligible LSPs that the seller has previously worked with or added to contacts (never a list of "top rated" strangers). The seller selects "Fast Trucking Co."</w:t>
      </w:r>
    </w:p>
    <w:p>
      <w:pPr>
        <w:spacing w:after="80" w:line="293" w:lineRule="auto"/>
        <w:jc w:val="left"/>
      </w:pPr>
      <w:r>
        <w:rPr>
          <w:rFonts w:ascii="Times New Roman" w:hAnsi="Times New Roman" w:cs="Times New Roman"/>
          <w:b w:val="0"/>
          <w:i w:val="0"/>
          <w:sz w:val="22"/>
        </w:rPr>
        <w:t>Step 2 — LSP receives the request in Smart Inbox: "New trucking request for USTN ... — pick up 22 pallets frozen strawberries from Beheira to Damietta. Estimated distance 150 km. Send quote."</w:t>
      </w:r>
    </w:p>
    <w:p>
      <w:pPr>
        <w:spacing w:after="80" w:line="293" w:lineRule="auto"/>
        <w:jc w:val="left"/>
      </w:pPr>
      <w:r>
        <w:rPr>
          <w:rFonts w:ascii="Times New Roman" w:hAnsi="Times New Roman" w:cs="Times New Roman"/>
          <w:b w:val="0"/>
          <w:i w:val="0"/>
          <w:sz w:val="22"/>
        </w:rPr>
        <w:t>Step 3 — LSP sends the quote. The quote is pre-filled from the catalogue ($0.85/km × 150 km = $127.50) and adjustable by the LSP:</w:t>
      </w:r>
    </w:p>
    <w:p>
      <w:pPr>
        <w:spacing w:after="0" w:before="0" w:line="240" w:lineRule="auto"/>
        <w:ind w:left="57"/>
        <w:jc w:val="left"/>
        <w:shd w:val="clear" w:fill="F2F2F2"/>
      </w:pPr>
      <w:r>
        <w:rPr>
          <w:rFonts w:ascii="Consolas" w:hAnsi="Consolas" w:cs="Consolas"/>
          <w:b w:val="0"/>
          <w:i w:val="0"/>
          <w:sz w:val="15"/>
        </w:rPr>
        <w:t>POST /v1/lsp/quote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"service_type": "TRUCKING",</w:t>
      </w:r>
    </w:p>
    <w:p>
      <w:pPr>
        <w:spacing w:after="0" w:before="0" w:line="240" w:lineRule="auto"/>
        <w:ind w:left="57"/>
        <w:jc w:val="left"/>
        <w:shd w:val="clear" w:fill="F2F2F2"/>
      </w:pPr>
      <w:r>
        <w:rPr>
          <w:rFonts w:ascii="Consolas" w:hAnsi="Consolas" w:cs="Consolas"/>
          <w:b w:val="0"/>
          <w:i w:val="0"/>
          <w:sz w:val="15"/>
        </w:rPr>
        <w:t xml:space="preserve">    "fee": 127.50,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"valid_until": "2026-04-17T23:59:59Z",</w:t>
      </w:r>
    </w:p>
    <w:p>
      <w:pPr>
        <w:spacing w:after="0" w:before="0" w:line="240" w:lineRule="auto"/>
        <w:ind w:left="57"/>
        <w:jc w:val="left"/>
        <w:shd w:val="clear" w:fill="F2F2F2"/>
      </w:pPr>
      <w:r>
        <w:rPr>
          <w:rFonts w:ascii="Consolas" w:hAnsi="Consolas" w:cs="Consolas"/>
          <w:b w:val="0"/>
          <w:i w:val="0"/>
          <w:sz w:val="15"/>
        </w:rPr>
        <w:t xml:space="preserve">    "notes": "Includes fuel, driver, insurance up to $50k"</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4 — Seller accepts the quote in Smart Inbox with one click. The platform generates an ETA-compliant invoice for $127.50 and adds it to the Stage 1 payment plan.</w:t>
      </w:r>
    </w:p>
    <w:p>
      <w:pPr>
        <w:spacing w:after="80" w:line="293" w:lineRule="auto"/>
        <w:jc w:val="left"/>
      </w:pPr>
      <w:r>
        <w:rPr>
          <w:rFonts w:ascii="Times New Roman" w:hAnsi="Times New Roman" w:cs="Times New Roman"/>
          <w:b w:val="0"/>
          <w:i w:val="0"/>
          <w:sz w:val="22"/>
        </w:rPr>
        <w:t>Step 5 — Payment collection. The seller pays Stage 1 (which includes this fee). The settlement leg sends $127.50 to the LSP (minus platform fee where applicable). The LSP receives a Smart Inbox notification: "Payment received. You may now dispatch the truck."</w:t>
      </w:r>
    </w:p>
    <w:p>
      <w:pPr>
        <w:spacing w:after="80" w:line="293" w:lineRule="auto"/>
        <w:jc w:val="left"/>
      </w:pPr>
      <w:r>
        <w:rPr>
          <w:rFonts w:ascii="Times New Roman" w:hAnsi="Times New Roman" w:cs="Times New Roman"/>
          <w:b w:val="0"/>
          <w:i w:val="0"/>
          <w:sz w:val="22"/>
        </w:rPr>
        <w:t>Step 6 — Service delivery. The driver uses the mobile app (offline) to scan pallet barcodes and confirm pickup and delivery. GPS tracks the route. After delivery, the LSP marks the milestone "Delivered" and the shipment status updates.</w:t>
      </w:r>
    </w:p>
    <w:p>
      <w:pPr>
        <w:spacing w:after="80" w:line="293" w:lineRule="auto"/>
        <w:jc w:val="left"/>
      </w:pPr>
      <w:r>
        <w:rPr>
          <w:rFonts w:ascii="Times New Roman" w:hAnsi="Times New Roman" w:cs="Times New Roman"/>
          <w:b w:val="0"/>
          <w:i w:val="0"/>
          <w:sz w:val="22"/>
        </w:rPr>
        <w:t>Step 7 — Dispute (if any). The buyer claims goods were damaged by rough handling. The evidence package includes the GPS trace, speed logs, and driver notes. AI-generated causal analysis attributes the damage to route roughness, and a settlement is proposed.</w:t>
      </w:r>
    </w:p>
    <w:p>
      <w:pPr>
        <w:spacing w:after="80" w:line="293" w:lineRule="auto"/>
        <w:jc w:val="left"/>
      </w:pPr>
      <w:r>
        <w:rPr>
          <w:rFonts w:ascii="Times New Roman" w:hAnsi="Times New Roman" w:cs="Times New Roman"/>
          <w:b w:val="0"/>
          <w:i w:val="0"/>
          <w:sz w:val="22"/>
        </w:rPr>
        <w:t>AI authority: A1 for quote price suggestions (Groq); A2 for route optimisation (OSRM, rule-based); A4 for milestone confirmation.</w:t>
      </w:r>
    </w:p>
    <w:p>
      <w:pPr>
        <w:keepNext/>
        <w:spacing w:before="180" w:after="80"/>
        <w:outlineLvl w:val="2"/>
      </w:pPr>
      <w:r>
        <w:rPr>
          <w:rFonts w:ascii="Arial" w:hAnsi="Arial" w:cs="Arial"/>
          <w:b/>
          <w:i w:val="0"/>
          <w:color w:val="333333"/>
          <w:sz w:val="23"/>
        </w:rPr>
        <w:t>11.4.4 Ocean Freight Booking Workflow (SHIP)</w:t>
      </w:r>
    </w:p>
    <w:p>
      <w:pPr>
        <w:spacing w:after="80" w:line="293" w:lineRule="auto"/>
        <w:jc w:val="left"/>
      </w:pPr>
      <w:r>
        <w:rPr>
          <w:rFonts w:ascii="Times New Roman" w:hAnsi="Times New Roman" w:cs="Times New Roman"/>
          <w:b w:val="0"/>
          <w:i w:val="0"/>
          <w:sz w:val="22"/>
        </w:rPr>
        <w:t>Step 1 — Seller requests booking (Phase 2, Logistics Builder). The seller selects "Ocean freight" and enters port of loading, discharge, container type, and desired sailing window. The system displays eligible shipping lines with which the seller has a contract or prior history (from saved contacts). The seller selects "MSC Egypt".</w:t>
      </w:r>
    </w:p>
    <w:p>
      <w:pPr>
        <w:spacing w:after="80" w:line="293" w:lineRule="auto"/>
        <w:jc w:val="left"/>
      </w:pPr>
      <w:r>
        <w:rPr>
          <w:rFonts w:ascii="Times New Roman" w:hAnsi="Times New Roman" w:cs="Times New Roman"/>
          <w:b w:val="0"/>
          <w:i w:val="0"/>
          <w:sz w:val="22"/>
        </w:rPr>
        <w:t>Step 2 — Shipping line receives the request in Smart Inbox: "New booking request for USTN ... — 20,000 kg frozen strawberries, Damietta → Hamburg, 2 × 40ft reefers, requested sailing 20 Jun. Send quote."</w:t>
      </w:r>
    </w:p>
    <w:p>
      <w:pPr>
        <w:spacing w:after="80" w:line="293" w:lineRule="auto"/>
        <w:jc w:val="left"/>
      </w:pPr>
      <w:r>
        <w:rPr>
          <w:rFonts w:ascii="Times New Roman" w:hAnsi="Times New Roman" w:cs="Times New Roman"/>
          <w:b w:val="0"/>
          <w:i w:val="0"/>
          <w:sz w:val="22"/>
        </w:rPr>
        <w:t>Step 3 — SHIP sends the quotation, pre-filled from the contract rate ($4,200 per container = $8,400 total) and adjustable (for example, peak season surcharge):</w:t>
      </w:r>
    </w:p>
    <w:p>
      <w:pPr>
        <w:spacing w:after="0" w:before="0" w:line="240" w:lineRule="auto"/>
        <w:ind w:left="57"/>
        <w:jc w:val="left"/>
        <w:shd w:val="clear" w:fill="F2F2F2"/>
      </w:pPr>
      <w:r>
        <w:rPr>
          <w:rFonts w:ascii="Consolas" w:hAnsi="Consolas" w:cs="Consolas"/>
          <w:b w:val="0"/>
          <w:i w:val="0"/>
          <w:sz w:val="15"/>
        </w:rPr>
        <w:t>POST /v1/ship/quote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"service_type": "OCEAN_FREIGHT",</w:t>
      </w:r>
    </w:p>
    <w:p>
      <w:pPr>
        <w:spacing w:after="0" w:before="0" w:line="240" w:lineRule="auto"/>
        <w:ind w:left="57"/>
        <w:jc w:val="left"/>
        <w:shd w:val="clear" w:fill="F2F2F2"/>
      </w:pPr>
      <w:r>
        <w:rPr>
          <w:rFonts w:ascii="Consolas" w:hAnsi="Consolas" w:cs="Consolas"/>
          <w:b w:val="0"/>
          <w:i w:val="0"/>
          <w:sz w:val="15"/>
        </w:rPr>
        <w:t xml:space="preserve">    "fee": 8400.00,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"valid_until": "2026-04-20T23:59:59Z",</w:t>
      </w:r>
    </w:p>
    <w:p>
      <w:pPr>
        <w:spacing w:after="0" w:before="0" w:line="240" w:lineRule="auto"/>
        <w:ind w:left="57"/>
        <w:jc w:val="left"/>
        <w:shd w:val="clear" w:fill="F2F2F2"/>
      </w:pPr>
      <w:r>
        <w:rPr>
          <w:rFonts w:ascii="Consolas" w:hAnsi="Consolas" w:cs="Consolas"/>
          <w:b w:val="0"/>
          <w:i w:val="0"/>
          <w:sz w:val="15"/>
        </w:rPr>
        <w:t xml:space="preserve">    "vessel": "MSC FIONA",</w:t>
      </w:r>
    </w:p>
    <w:p>
      <w:pPr>
        <w:spacing w:after="0" w:before="0" w:line="240" w:lineRule="auto"/>
        <w:ind w:left="57"/>
        <w:jc w:val="left"/>
        <w:shd w:val="clear" w:fill="F2F2F2"/>
      </w:pPr>
      <w:r>
        <w:rPr>
          <w:rFonts w:ascii="Consolas" w:hAnsi="Consolas" w:cs="Consolas"/>
          <w:b w:val="0"/>
          <w:i w:val="0"/>
          <w:sz w:val="15"/>
        </w:rPr>
        <w:t xml:space="preserve">    "voyage": "MSF123E",</w:t>
      </w:r>
    </w:p>
    <w:p>
      <w:pPr>
        <w:spacing w:after="0" w:before="0" w:line="240" w:lineRule="auto"/>
        <w:ind w:left="57"/>
        <w:jc w:val="left"/>
        <w:shd w:val="clear" w:fill="F2F2F2"/>
      </w:pPr>
      <w:r>
        <w:rPr>
          <w:rFonts w:ascii="Consolas" w:hAnsi="Consolas" w:cs="Consolas"/>
          <w:b w:val="0"/>
          <w:i w:val="0"/>
          <w:sz w:val="15"/>
        </w:rPr>
        <w:t xml:space="preserve">    "etd": "2026-04-20T08:00:00Z",</w:t>
      </w:r>
    </w:p>
    <w:p>
      <w:pPr>
        <w:spacing w:after="0" w:before="0" w:line="240" w:lineRule="auto"/>
        <w:ind w:left="57"/>
        <w:jc w:val="left"/>
        <w:shd w:val="clear" w:fill="F2F2F2"/>
      </w:pPr>
      <w:r>
        <w:rPr>
          <w:rFonts w:ascii="Consolas" w:hAnsi="Consolas" w:cs="Consolas"/>
          <w:b w:val="0"/>
          <w:i w:val="0"/>
          <w:sz w:val="15"/>
        </w:rPr>
        <w:t xml:space="preserve">    "eta": "2026-05-05T14:00:00Z"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4 — Seller accepts the quote. The platform generates the $8,400 invoice and adds it to the Stage 2 payment plan (credit terms may apply).</w:t>
      </w:r>
    </w:p>
    <w:p>
      <w:pPr>
        <w:spacing w:after="80" w:line="293" w:lineRule="auto"/>
        <w:jc w:val="left"/>
      </w:pPr>
      <w:r>
        <w:rPr>
          <w:rFonts w:ascii="Times New Roman" w:hAnsi="Times New Roman" w:cs="Times New Roman"/>
          <w:b w:val="0"/>
          <w:i w:val="0"/>
          <w:sz w:val="22"/>
        </w:rPr>
        <w:t>Step 5 — Booking confirmation. The shipping line confirms the booking via portal or API and returns booking reference MAEU876543210. The shipments status updates to BOOKED.</w:t>
      </w:r>
    </w:p>
    <w:p>
      <w:pPr>
        <w:spacing w:after="80" w:line="293" w:lineRule="auto"/>
        <w:jc w:val="left"/>
      </w:pPr>
      <w:r>
        <w:rPr>
          <w:rFonts w:ascii="Times New Roman" w:hAnsi="Times New Roman" w:cs="Times New Roman"/>
          <w:b w:val="0"/>
          <w:i w:val="0"/>
          <w:sz w:val="22"/>
        </w:rPr>
        <w:t>Step 6 — Electronic Bill of Lading (eBL) issuance. After vessel loading, the shipping line issues the eBL via their platform. The platform receives the webhook (or polls) and stores the eBL in documents; the eBL includes the USTN.</w:t>
      </w:r>
    </w:p>
    <w:p>
      <w:pPr>
        <w:spacing w:after="80" w:line="293" w:lineRule="auto"/>
        <w:jc w:val="left"/>
      </w:pPr>
      <w:r>
        <w:rPr>
          <w:rFonts w:ascii="Times New Roman" w:hAnsi="Times New Roman" w:cs="Times New Roman"/>
          <w:b w:val="0"/>
          <w:i w:val="0"/>
          <w:sz w:val="22"/>
        </w:rPr>
        <w:t>Step 7 — Container release. After the seller pays Stage 1 (and any mandatory Stage 2 components), the platform sends container release confirmation (email and API token). The shipping line acknowledges and the container is gated out (Section 12.6).</w:t>
      </w:r>
    </w:p>
    <w:p>
      <w:pPr>
        <w:spacing w:after="80" w:line="293" w:lineRule="auto"/>
        <w:jc w:val="left"/>
      </w:pPr>
      <w:r>
        <w:rPr>
          <w:rFonts w:ascii="Times New Roman" w:hAnsi="Times New Roman" w:cs="Times New Roman"/>
          <w:b w:val="0"/>
          <w:i w:val="0"/>
          <w:sz w:val="22"/>
        </w:rPr>
        <w:t>Step 8 — Milestone updates. The shipping line updates the milestone "Departed" via portal or API; the AIS feed automatically updates position and the buyer tracks the shipment.</w:t>
      </w:r>
    </w:p>
    <w:p>
      <w:pPr>
        <w:spacing w:after="80" w:line="293" w:lineRule="auto"/>
        <w:jc w:val="left"/>
      </w:pPr>
      <w:r>
        <w:rPr>
          <w:rFonts w:ascii="Times New Roman" w:hAnsi="Times New Roman" w:cs="Times New Roman"/>
          <w:b w:val="0"/>
          <w:i w:val="0"/>
          <w:sz w:val="22"/>
        </w:rPr>
        <w:t>AI authority: A1 for match score and sailing schedule suggestions; A2 for eBL extraction (HF Donut); A4 for booking confirmation validation.</w:t>
      </w:r>
    </w:p>
    <w:p>
      <w:pPr>
        <w:keepNext/>
        <w:spacing w:before="180" w:after="80"/>
        <w:outlineLvl w:val="2"/>
      </w:pPr>
      <w:r>
        <w:rPr>
          <w:rFonts w:ascii="Arial" w:hAnsi="Arial" w:cs="Arial"/>
          <w:b/>
          <w:i w:val="0"/>
          <w:color w:val="333333"/>
          <w:sz w:val="23"/>
        </w:rPr>
        <w:t>11.4.5 Laboratory Testing Workflow (LAB)</w:t>
      </w:r>
    </w:p>
    <w:p>
      <w:pPr>
        <w:spacing w:after="80" w:line="293" w:lineRule="auto"/>
        <w:jc w:val="left"/>
      </w:pPr>
      <w:r>
        <w:rPr>
          <w:rFonts w:ascii="Times New Roman" w:hAnsi="Times New Roman" w:cs="Times New Roman"/>
          <w:b w:val="0"/>
          <w:i w:val="0"/>
          <w:sz w:val="22"/>
        </w:rPr>
        <w:t>Step 1 — Seller selects the lab (Phase 2, Laboratory Selection) from accredited labs previously used or added to contacts, for example "SGS Egypt".</w:t>
      </w:r>
    </w:p>
    <w:p>
      <w:pPr>
        <w:spacing w:after="80" w:line="293" w:lineRule="auto"/>
        <w:jc w:val="left"/>
      </w:pPr>
      <w:r>
        <w:rPr>
          <w:rFonts w:ascii="Times New Roman" w:hAnsi="Times New Roman" w:cs="Times New Roman"/>
          <w:b w:val="0"/>
          <w:i w:val="0"/>
          <w:sz w:val="22"/>
        </w:rPr>
        <w:t>Step 2 — Lab receives the request in Smart Inbox: "New testing request for USTN ... — commodity: frozen strawberries, required tests: pesticide panel (Cypermethrin, Chlorpyrifos, Thiabendazole). Send quote."</w:t>
      </w:r>
    </w:p>
    <w:p>
      <w:pPr>
        <w:spacing w:after="80" w:line="293" w:lineRule="auto"/>
        <w:jc w:val="left"/>
      </w:pPr>
      <w:r>
        <w:rPr>
          <w:rFonts w:ascii="Times New Roman" w:hAnsi="Times New Roman" w:cs="Times New Roman"/>
          <w:b w:val="0"/>
          <w:i w:val="0"/>
          <w:sz w:val="22"/>
        </w:rPr>
        <w:t>Step 3 — Lab sends the quotation, pre-filled from the catalogue ($200) with sample instructions:</w:t>
      </w:r>
    </w:p>
    <w:p>
      <w:pPr>
        <w:spacing w:after="0" w:before="0" w:line="240" w:lineRule="auto"/>
        <w:ind w:left="57"/>
        <w:jc w:val="left"/>
        <w:shd w:val="clear" w:fill="F2F2F2"/>
      </w:pPr>
      <w:r>
        <w:rPr>
          <w:rFonts w:ascii="Consolas" w:hAnsi="Consolas" w:cs="Consolas"/>
          <w:b w:val="0"/>
          <w:i w:val="0"/>
          <w:sz w:val="15"/>
        </w:rPr>
        <w:t>POST /v1/lab/quote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"service_type": "PESTICIDE_PANEL",</w:t>
      </w:r>
    </w:p>
    <w:p>
      <w:pPr>
        <w:spacing w:after="0" w:before="0" w:line="240" w:lineRule="auto"/>
        <w:ind w:left="57"/>
        <w:jc w:val="left"/>
        <w:shd w:val="clear" w:fill="F2F2F2"/>
      </w:pPr>
      <w:r>
        <w:rPr>
          <w:rFonts w:ascii="Consolas" w:hAnsi="Consolas" w:cs="Consolas"/>
          <w:b w:val="0"/>
          <w:i w:val="0"/>
          <w:sz w:val="15"/>
        </w:rPr>
        <w:t xml:space="preserve">    "fee": 200.00,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"valid_until": "2026-04-18T23:59:59Z",</w:t>
      </w:r>
    </w:p>
    <w:p>
      <w:pPr>
        <w:spacing w:after="0" w:before="0" w:line="240" w:lineRule="auto"/>
        <w:ind w:left="57"/>
        <w:jc w:val="left"/>
        <w:shd w:val="clear" w:fill="F2F2F2"/>
      </w:pPr>
      <w:r>
        <w:rPr>
          <w:rFonts w:ascii="Consolas" w:hAnsi="Consolas" w:cs="Consolas"/>
          <w:b w:val="0"/>
          <w:i w:val="0"/>
          <w:sz w:val="15"/>
        </w:rPr>
        <w:t xml:space="preserve">    "sample_instructions": "Send 500g frozen sample to SGS Cairo lab, keep frozen, include USTN label."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4 — Seller accepts the quote. The platform generates the $200 invoice, adds it to the Stage 1 payment plan; after payment, the lab receives the payment notification.</w:t>
      </w:r>
    </w:p>
    <w:p>
      <w:pPr>
        <w:spacing w:after="80" w:line="293" w:lineRule="auto"/>
        <w:jc w:val="left"/>
      </w:pPr>
      <w:r>
        <w:rPr>
          <w:rFonts w:ascii="Times New Roman" w:hAnsi="Times New Roman" w:cs="Times New Roman"/>
          <w:b w:val="0"/>
          <w:i w:val="0"/>
          <w:sz w:val="22"/>
        </w:rPr>
        <w:t>Step 5 — Lab performs testing. The lab receives the sample (tracking number), performs the tests, and enters results in structured form (or uploads JSON). The system validates against Maximum Residue Limits (MRLs) and flags any exceedance:</w:t>
      </w:r>
    </w:p>
    <w:p>
      <w:pPr>
        <w:spacing w:after="0" w:before="0" w:line="240" w:lineRule="auto"/>
        <w:ind w:left="57"/>
        <w:jc w:val="left"/>
        <w:shd w:val="clear" w:fill="F2F2F2"/>
      </w:pPr>
      <w:r>
        <w:rPr>
          <w:rFonts w:ascii="Consolas" w:hAnsi="Consolas" w:cs="Consolas"/>
          <w:b w:val="0"/>
          <w:i w:val="0"/>
          <w:sz w:val="15"/>
        </w:rPr>
        <w:t>POST /v1/lab/results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"results": [</w:t>
      </w:r>
    </w:p>
    <w:p>
      <w:pPr>
        <w:spacing w:after="0" w:before="0" w:line="240" w:lineRule="auto"/>
        <w:ind w:left="57"/>
        <w:jc w:val="left"/>
        <w:shd w:val="clear" w:fill="F2F2F2"/>
      </w:pPr>
      <w:r>
        <w:rPr>
          <w:rFonts w:ascii="Consolas" w:hAnsi="Consolas" w:cs="Consolas"/>
          <w:b w:val="0"/>
          <w:i w:val="0"/>
          <w:sz w:val="15"/>
        </w:rPr>
        <w:t xml:space="preserve">        { "analyte": "Cypermethrin", "value": 0.02, "unit": "mg/kg", "limit": 0.05, "pass": true },</w:t>
      </w:r>
    </w:p>
    <w:p>
      <w:pPr>
        <w:spacing w:after="0" w:before="0" w:line="240" w:lineRule="auto"/>
        <w:ind w:left="57"/>
        <w:jc w:val="left"/>
        <w:shd w:val="clear" w:fill="F2F2F2"/>
      </w:pPr>
      <w:r>
        <w:rPr>
          <w:rFonts w:ascii="Consolas" w:hAnsi="Consolas" w:cs="Consolas"/>
          <w:b w:val="0"/>
          <w:i w:val="0"/>
          <w:sz w:val="15"/>
        </w:rPr>
        <w:t xml:space="preserve">        { "analyte": "Chlorpyrifos", "value": 0.008, "unit": "mg/kg", "limit": 0.01, "pass": true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"conclusion": "COMPLIANT"</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6 — Automatic certificate triggering. If all required tests are compliant, the platform automatically requests phytosanitary and health certificates from Nafeza (Section 13.5). Certificates are issued and attached to the USTN.</w:t>
      </w:r>
    </w:p>
    <w:p>
      <w:pPr>
        <w:spacing w:after="80" w:line="293" w:lineRule="auto"/>
        <w:jc w:val="left"/>
      </w:pPr>
      <w:r>
        <w:rPr>
          <w:rFonts w:ascii="Times New Roman" w:hAnsi="Times New Roman" w:cs="Times New Roman"/>
          <w:b w:val="0"/>
          <w:i w:val="0"/>
          <w:sz w:val="22"/>
        </w:rPr>
        <w:t>Step 7 — Failure handling. If any test fails, the loading milestone is blocked. The seller can dispute (request retest) or cancel. Dispute evidence includes the original results, sample chain of custody, and the lab's ISO accreditation.</w:t>
      </w:r>
    </w:p>
    <w:p>
      <w:pPr>
        <w:spacing w:after="80" w:line="293" w:lineRule="auto"/>
        <w:jc w:val="left"/>
      </w:pPr>
      <w:r>
        <w:rPr>
          <w:rFonts w:ascii="Times New Roman" w:hAnsi="Times New Roman" w:cs="Times New Roman"/>
          <w:b w:val="0"/>
          <w:i w:val="0"/>
          <w:sz w:val="22"/>
        </w:rPr>
        <w:t>AI authority: A2 for MRL validation (HF local) and result extraction; A4 for certificate triggering.</w:t>
      </w:r>
    </w:p>
    <w:p>
      <w:pPr>
        <w:keepNext/>
        <w:spacing w:before="180" w:after="80"/>
        <w:outlineLvl w:val="2"/>
      </w:pPr>
      <w:r>
        <w:rPr>
          <w:rFonts w:ascii="Arial" w:hAnsi="Arial" w:cs="Arial"/>
          <w:b/>
          <w:i w:val="0"/>
          <w:color w:val="333333"/>
          <w:sz w:val="23"/>
        </w:rPr>
        <w:t>11.4.6 QC Inspection Workflow (Buyer-Requested)</w:t>
      </w:r>
    </w:p>
    <w:p>
      <w:pPr>
        <w:spacing w:after="80" w:line="293" w:lineRule="auto"/>
        <w:jc w:val="left"/>
      </w:pPr>
      <w:r>
        <w:rPr>
          <w:rFonts w:ascii="Times New Roman" w:hAnsi="Times New Roman" w:cs="Times New Roman"/>
          <w:b w:val="0"/>
          <w:i w:val="0"/>
          <w:sz w:val="22"/>
        </w:rPr>
        <w:t>Step 1 — Buyer requests QC inspection during trade creation (Phase 1), selecting "SGS Inspection" from the dropdown (only if SGS is in the buyer's saved contacts).</w:t>
      </w:r>
    </w:p>
    <w:p>
      <w:pPr>
        <w:spacing w:after="80" w:line="293" w:lineRule="auto"/>
        <w:jc w:val="left"/>
      </w:pPr>
      <w:r>
        <w:rPr>
          <w:rFonts w:ascii="Times New Roman" w:hAnsi="Times New Roman" w:cs="Times New Roman"/>
          <w:b w:val="0"/>
          <w:i w:val="0"/>
          <w:sz w:val="22"/>
        </w:rPr>
        <w:t>Step 2 — QC provider receives the job in Smart Inbox: "New inspection request for USTN ... — commodity: frozen strawberries, 22 pallets, location: Damietta port. AQL General Level II (5 pallets random). Send quote."</w:t>
      </w:r>
    </w:p>
    <w:p>
      <w:pPr>
        <w:spacing w:after="80" w:line="293" w:lineRule="auto"/>
        <w:jc w:val="left"/>
      </w:pPr>
      <w:r>
        <w:rPr>
          <w:rFonts w:ascii="Times New Roman" w:hAnsi="Times New Roman" w:cs="Times New Roman"/>
          <w:b w:val="0"/>
          <w:i w:val="0"/>
          <w:sz w:val="22"/>
        </w:rPr>
        <w:t>Step 3 — QC sends the quotation, pre-filled from the catalogue ($500):</w:t>
      </w:r>
    </w:p>
    <w:p>
      <w:pPr>
        <w:spacing w:after="0" w:before="0" w:line="240" w:lineRule="auto"/>
        <w:ind w:left="57"/>
        <w:jc w:val="left"/>
        <w:shd w:val="clear" w:fill="F2F2F2"/>
      </w:pPr>
      <w:r>
        <w:rPr>
          <w:rFonts w:ascii="Consolas" w:hAnsi="Consolas" w:cs="Consolas"/>
          <w:b w:val="0"/>
          <w:i w:val="0"/>
          <w:sz w:val="15"/>
        </w:rPr>
        <w:t>POST /v1/qc/quote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"service_type": "FRESH_FRUIT_INSPECTION",</w:t>
      </w:r>
    </w:p>
    <w:p>
      <w:pPr>
        <w:spacing w:after="0" w:before="0" w:line="240" w:lineRule="auto"/>
        <w:ind w:left="57"/>
        <w:jc w:val="left"/>
        <w:shd w:val="clear" w:fill="F2F2F2"/>
      </w:pPr>
      <w:r>
        <w:rPr>
          <w:rFonts w:ascii="Consolas" w:hAnsi="Consolas" w:cs="Consolas"/>
          <w:b w:val="0"/>
          <w:i w:val="0"/>
          <w:sz w:val="15"/>
        </w:rPr>
        <w:t xml:space="preserve">    "fee": 500.00,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"valid_until": "2026-04-20T23:59:59Z",</w:t>
      </w:r>
    </w:p>
    <w:p>
      <w:pPr>
        <w:spacing w:after="0" w:before="0" w:line="240" w:lineRule="auto"/>
        <w:ind w:left="57"/>
        <w:jc w:val="left"/>
        <w:shd w:val="clear" w:fill="F2F2F2"/>
      </w:pPr>
      <w:r>
        <w:rPr>
          <w:rFonts w:ascii="Consolas" w:hAnsi="Consolas" w:cs="Consolas"/>
          <w:b w:val="0"/>
          <w:i w:val="0"/>
          <w:sz w:val="15"/>
        </w:rPr>
        <w:t xml:space="preserve">    "inspection_date": "2026-04-18",</w:t>
      </w:r>
    </w:p>
    <w:p>
      <w:pPr>
        <w:spacing w:after="0" w:before="0" w:line="240" w:lineRule="auto"/>
        <w:ind w:left="57"/>
        <w:jc w:val="left"/>
        <w:shd w:val="clear" w:fill="F2F2F2"/>
      </w:pPr>
      <w:r>
        <w:rPr>
          <w:rFonts w:ascii="Consolas" w:hAnsi="Consolas" w:cs="Consolas"/>
          <w:b w:val="0"/>
          <w:i w:val="0"/>
          <w:sz w:val="15"/>
        </w:rPr>
        <w:t xml:space="preserve">    "location": "Damietta Port, Gate 4"</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4 — Buyer accepts the quote. The platform generates the $500 invoice and adds it to the buyer's local payment batch; the buyer pays via the bank settlement batch and the QC provider receives payment notification.</w:t>
      </w:r>
    </w:p>
    <w:p>
      <w:pPr>
        <w:spacing w:after="80" w:line="293" w:lineRule="auto"/>
        <w:jc w:val="left"/>
      </w:pPr>
      <w:r>
        <w:rPr>
          <w:rFonts w:ascii="Times New Roman" w:hAnsi="Times New Roman" w:cs="Times New Roman"/>
          <w:b w:val="0"/>
          <w:i w:val="0"/>
          <w:sz w:val="22"/>
        </w:rPr>
        <w:t>Step 5 — Inspector performs the inspection using the mobile app (offline, AR overlay). The inspector scans pallet barcodes, logs defects, and overrides AI findings with a mandatory reason (≥10 characters). AQL sampling is enforced — the report cannot be submitted until the random sample is inspected.</w:t>
      </w:r>
    </w:p>
    <w:p>
      <w:pPr>
        <w:spacing w:after="80" w:line="293" w:lineRule="auto"/>
        <w:jc w:val="left"/>
      </w:pPr>
      <w:r>
        <w:rPr>
          <w:rFonts w:ascii="Times New Roman" w:hAnsi="Times New Roman" w:cs="Times New Roman"/>
          <w:b w:val="0"/>
          <w:i w:val="0"/>
          <w:sz w:val="22"/>
        </w:rPr>
        <w:t>Step 6 — Report submission. The inspector submits the report with verdict PASS, FAIL, or CONDITIONAL. The report includes container and seal numbers (with photos), the defect log (per pallet, with AI confidence), override details (original AI confidence and the inspector's reason), and the inspector's digital signature (ZITADEL passkey).</w:t>
      </w:r>
    </w:p>
    <w:p>
      <w:pPr>
        <w:spacing w:after="80" w:line="293" w:lineRule="auto"/>
        <w:jc w:val="left"/>
      </w:pPr>
      <w:r>
        <w:rPr>
          <w:rFonts w:ascii="Times New Roman" w:hAnsi="Times New Roman" w:cs="Times New Roman"/>
          <w:b w:val="0"/>
          <w:i w:val="0"/>
          <w:sz w:val="22"/>
        </w:rPr>
        <w:t>Step 7 — Loading milestone. If the verdict is PASS or CONDITIONAL, loading proceeds. If FAIL, the buyer must accept the goods or the seller must replace them.</w:t>
      </w:r>
    </w:p>
    <w:p>
      <w:pPr>
        <w:spacing w:after="80" w:line="293" w:lineRule="auto"/>
        <w:jc w:val="left"/>
      </w:pPr>
      <w:r>
        <w:rPr>
          <w:rFonts w:ascii="Times New Roman" w:hAnsi="Times New Roman" w:cs="Times New Roman"/>
          <w:b w:val="0"/>
          <w:i w:val="0"/>
          <w:sz w:val="22"/>
        </w:rPr>
        <w:t>Step 8 — Dispute fast-track. If a dispute arises, the evidence package automatically includes override details, original AI confidence, and the inspector's reason (Section 14.3).</w:t>
      </w:r>
    </w:p>
    <w:p>
      <w:pPr>
        <w:spacing w:after="80" w:line="293" w:lineRule="auto"/>
        <w:jc w:val="left"/>
      </w:pPr>
      <w:r>
        <w:rPr>
          <w:rFonts w:ascii="Times New Roman" w:hAnsi="Times New Roman" w:cs="Times New Roman"/>
          <w:b w:val="0"/>
          <w:i w:val="0"/>
          <w:sz w:val="22"/>
        </w:rPr>
        <w:t>AI authority: A2 for defect detection (HF ViT) and override enforcement; A1 for report drafting (Groq); A4 for milestone blocking.</w:t>
      </w:r>
    </w:p>
    <w:p>
      <w:pPr>
        <w:keepNext/>
        <w:spacing w:before="180" w:after="80"/>
        <w:outlineLvl w:val="2"/>
      </w:pPr>
      <w:r>
        <w:rPr>
          <w:rFonts w:ascii="Arial" w:hAnsi="Arial" w:cs="Arial"/>
          <w:b/>
          <w:i w:val="0"/>
          <w:color w:val="333333"/>
          <w:sz w:val="23"/>
        </w:rPr>
        <w:t>11.4.7 Customs Broker Services Workflow (CBR)</w:t>
      </w:r>
    </w:p>
    <w:p>
      <w:pPr>
        <w:spacing w:after="80" w:line="293" w:lineRule="auto"/>
        <w:jc w:val="left"/>
      </w:pPr>
      <w:r>
        <w:rPr>
          <w:rFonts w:ascii="Times New Roman" w:hAnsi="Times New Roman" w:cs="Times New Roman"/>
          <w:b w:val="0"/>
          <w:i w:val="0"/>
          <w:sz w:val="22"/>
        </w:rPr>
        <w:t>Certification service (seller-paid). The seller selects the broker during Phase 2 (Logistics Builder), checks "Certification", and selects a broker from the dropdown (only brokers in the seller's saved contacts). The broker receives the request in Smart Inbox, reviews the AI-generated declaration (read-only, with confidence scores and low-confidence fields highlighted), and sends the quote:</w:t>
      </w:r>
    </w:p>
    <w:p>
      <w:pPr>
        <w:spacing w:after="0" w:before="0" w:line="240" w:lineRule="auto"/>
        <w:ind w:left="57"/>
        <w:jc w:val="left"/>
        <w:shd w:val="clear" w:fill="F2F2F2"/>
      </w:pPr>
      <w:r>
        <w:rPr>
          <w:rFonts w:ascii="Consolas" w:hAnsi="Consolas" w:cs="Consolas"/>
          <w:b w:val="0"/>
          <w:i w:val="0"/>
          <w:sz w:val="15"/>
        </w:rPr>
        <w:t>POST /v1/broker/services/quote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"service_type": "CERTIFICATION",</w:t>
      </w:r>
    </w:p>
    <w:p>
      <w:pPr>
        <w:spacing w:after="0" w:before="0" w:line="240" w:lineRule="auto"/>
        <w:ind w:left="57"/>
        <w:jc w:val="left"/>
        <w:shd w:val="clear" w:fill="F2F2F2"/>
      </w:pPr>
      <w:r>
        <w:rPr>
          <w:rFonts w:ascii="Consolas" w:hAnsi="Consolas" w:cs="Consolas"/>
          <w:b w:val="0"/>
          <w:i w:val="0"/>
          <w:sz w:val="15"/>
        </w:rPr>
        <w:t xml:space="preserve">    "fee": 150.00,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"valid_until": "2026-04-18T23:59:59Z"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seller accepts the quote; the platform generates the $150 invoice, adds it to the Stage 1 payment plan, and the broker receives payment notification. The broker then certifies: in the CBR Portal the broker clicks "Certify", the system records the broker's digital seal, licence number, and timestamp, and the platform submits the declaration to Nafeza under the broker's licence, storing the declaration reference.</w:t>
      </w:r>
    </w:p>
    <w:p>
      <w:pPr>
        <w:spacing w:after="80" w:line="293" w:lineRule="auto"/>
        <w:jc w:val="left"/>
      </w:pPr>
      <w:r>
        <w:rPr>
          <w:rFonts w:ascii="Times New Roman" w:hAnsi="Times New Roman" w:cs="Times New Roman"/>
          <w:b w:val="0"/>
          <w:i w:val="0"/>
          <w:sz w:val="22"/>
        </w:rPr>
        <w:t>Physical document handling service (seller-paid, where the destination requires original documents). The Regulatory Intelligence Agent (RIA) detects that the destination country (for example, Nigeria) requires original documents and recommends physical handling (but does not force it). The seller selects the broker, checks "Physical document handling", the broker sends a quote ($85), and the seller accepts — the invoice is generated and added to Stage 1. The platform generates a document package with a cover sheet, manifest, USTN QR code, and the broker's registered office address; the seller prints, signs in wet ink, and couriers the package. The broker receives the courier, scans the QR code with the mobile app, and clicks "Receive Package" — GPS and timestamp are recorded and the status becomes RECEIVED. The broker visits customs, presents the documents, obtains a stamped acknowledgement, and scans the stamped documents with the mobile app; AI extracts the stamp and reference. The broker marks "Submission Confirmed" — the milestone is reached, the fee is released (if held), and the stamped copy is attached to the USTN. Optionally, the seller can select storage ($40/year): the broker stores the original documents, records the shelf location in the portal, and at retention expiry a Smart Inbox reminder prompts destruction or return.</w:t>
      </w:r>
    </w:p>
    <w:p>
      <w:pPr>
        <w:spacing w:after="80" w:line="293" w:lineRule="auto"/>
        <w:jc w:val="left"/>
      </w:pPr>
      <w:r>
        <w:rPr>
          <w:rFonts w:ascii="Times New Roman" w:hAnsi="Times New Roman" w:cs="Times New Roman"/>
          <w:b w:val="0"/>
          <w:i w:val="0"/>
          <w:sz w:val="22"/>
        </w:rPr>
        <w:t>AI authority: A2 for AI declaration confidence (HF Donut); A1 for Groq-generated explanations; A4 for certification enforcement.</w:t>
      </w:r>
    </w:p>
    <w:p>
      <w:pPr>
        <w:keepNext/>
        <w:spacing w:before="240" w:after="100"/>
        <w:outlineLvl w:val="1"/>
      </w:pPr>
      <w:r>
        <w:rPr>
          <w:rFonts w:ascii="Arial" w:hAnsi="Arial" w:cs="Arial"/>
          <w:b/>
          <w:i w:val="0"/>
          <w:color w:val="2E528F"/>
          <w:sz w:val="26"/>
        </w:rPr>
        <w:t>11.5 Geo-Aware Service Matching</w:t>
      </w:r>
    </w:p>
    <w:p>
      <w:pPr>
        <w:keepNext/>
        <w:spacing w:before="180" w:after="80"/>
        <w:outlineLvl w:val="2"/>
      </w:pPr>
      <w:r>
        <w:rPr>
          <w:rFonts w:ascii="Arial" w:hAnsi="Arial" w:cs="Arial"/>
          <w:b/>
          <w:i w:val="0"/>
          <w:color w:val="333333"/>
          <w:sz w:val="23"/>
        </w:rPr>
        <w:t>11.5.1 Provider Port Coverage</w:t>
      </w:r>
    </w:p>
    <w:p>
      <w:pPr>
        <w:spacing w:after="80" w:line="293" w:lineRule="auto"/>
        <w:jc w:val="left"/>
      </w:pPr>
      <w:r>
        <w:rPr>
          <w:rFonts w:ascii="Times New Roman" w:hAnsi="Times New Roman" w:cs="Times New Roman"/>
          <w:b w:val="0"/>
          <w:i w:val="0"/>
          <w:sz w:val="22"/>
        </w:rPr>
        <w:t>Provider port coverage validates that a provider can actually deliver a specific service at a specific location. Coverage records carry an `is_active` flag and a `last_verified` timestamp; coverage lapses degrade the provider out of eligibility for that port until re-verified. The unified coverage query endpoint returns active QC providers and the observed price range for a port or country: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Endpoint</w:t>
            </w:r>
          </w:p>
        </w:tc>
        <w:tc>
          <w:tcPr>
            <w:tcW w:type="dxa" w:w="4819"/>
            <w:shd w:val="clear" w:fill="D9E2F3"/>
          </w:tcPr>
          <w:p>
            <w:pPr>
              <w:spacing w:after="20" w:before="20" w:line="240" w:lineRule="auto"/>
            </w:pPr>
            <w:r/>
            <w:r>
              <w:rPr>
                <w:rFonts w:ascii="Arial" w:hAnsi="Arial" w:cs="Arial"/>
                <w:b/>
                <w:i w:val="0"/>
                <w:sz w:val="18"/>
              </w:rPr>
              <w:t>Purpose</w:t>
            </w:r>
          </w:p>
        </w:tc>
      </w:tr>
      <w:tr>
        <w:tc>
          <w:tcPr>
            <w:tcW w:type="dxa" w:w="4819"/>
          </w:tcPr>
          <w:p>
            <w:pPr>
              <w:spacing w:after="20" w:before="20" w:line="240" w:lineRule="auto"/>
            </w:pPr>
            <w:r/>
            <w:r>
              <w:rPr>
                <w:rFonts w:ascii="Arial" w:hAnsi="Arial" w:cs="Arial"/>
                <w:b w:val="0"/>
                <w:i w:val="0"/>
                <w:sz w:val="17"/>
              </w:rPr>
              <w:t>GET /v1/qc/coverage</w:t>
            </w:r>
          </w:p>
        </w:tc>
        <w:tc>
          <w:tcPr>
            <w:tcW w:type="dxa" w:w="4819"/>
          </w:tcPr>
          <w:p>
            <w:pPr>
              <w:spacing w:after="20" w:before="20" w:line="240" w:lineRule="auto"/>
            </w:pPr>
            <w:r/>
            <w:r>
              <w:rPr>
                <w:rFonts w:ascii="Arial" w:hAnsi="Arial" w:cs="Arial"/>
                <w:b w:val="0"/>
                <w:i w:val="0"/>
                <w:sz w:val="17"/>
              </w:rPr>
              <w:t>Query active QC providers and price range for a port/country</w:t>
            </w:r>
          </w:p>
        </w:tc>
      </w:tr>
    </w:tbl>
    <w:p>
      <w:pPr>
        <w:spacing w:after="12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provider_port_coverage: canonical definition in Section 17.4; not redefined here.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Geographic validation is enforced at trade-creation gates (Section 15): G1U5 — if QC is requested, an active provider must exist at the port, otherwise the buyer receives "No active QC providers found in [Port]" (CONDITIONAL). G1U6 — if the seller has no saved QC contacts in the destination country, the buyer receives a warning: "Seller has no saved QC contacts in [Country]. This may add 24–48 hours."</w:t>
      </w:r>
    </w:p>
    <w:p>
      <w:pPr>
        <w:keepNext/>
        <w:spacing w:before="180" w:after="80"/>
        <w:outlineLvl w:val="2"/>
      </w:pPr>
      <w:r>
        <w:rPr>
          <w:rFonts w:ascii="Arial" w:hAnsi="Arial" w:cs="Arial"/>
          <w:b/>
          <w:i w:val="0"/>
          <w:color w:val="333333"/>
          <w:sz w:val="23"/>
        </w:rPr>
        <w:t>11.5.2 Lab Test Requirements (Trade Request Time)</w:t>
      </w:r>
    </w:p>
    <w:p>
      <w:pPr>
        <w:spacing w:after="80" w:line="293" w:lineRule="auto"/>
        <w:jc w:val="left"/>
      </w:pPr>
      <w:r>
        <w:rPr>
          <w:rFonts w:ascii="Times New Roman" w:hAnsi="Times New Roman" w:cs="Times New Roman"/>
          <w:b w:val="0"/>
          <w:i w:val="0"/>
          <w:sz w:val="22"/>
        </w:rPr>
        <w:t>Lab test requirements are explicit, priced, RIA-driven records captured at trade request time. The RIA (A2) pulls mandatory tests based on Harmonized System (HS) code, origin, and destination (for example, MRLs and pesticide panels); mandatory tests are pre-checked and locked by gate G1U4, selections are stored in `trade_lab_requirements`, and recommended and optional tests display estimated prices. The buyer-facing UI is a three-column checklist with prices; mandatory tests are locked.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Endpoint</w:t>
            </w:r>
          </w:p>
        </w:tc>
        <w:tc>
          <w:tcPr>
            <w:tcW w:type="dxa" w:w="4819"/>
            <w:shd w:val="clear" w:fill="D9E2F3"/>
          </w:tcPr>
          <w:p>
            <w:pPr>
              <w:spacing w:after="20" w:before="20" w:line="240" w:lineRule="auto"/>
            </w:pPr>
            <w:r/>
            <w:r>
              <w:rPr>
                <w:rFonts w:ascii="Arial" w:hAnsi="Arial" w:cs="Arial"/>
                <w:b/>
                <w:i w:val="0"/>
                <w:sz w:val="18"/>
              </w:rPr>
              <w:t>Purpose</w:t>
            </w:r>
          </w:p>
        </w:tc>
      </w:tr>
      <w:tr>
        <w:tc>
          <w:tcPr>
            <w:tcW w:type="dxa" w:w="4819"/>
          </w:tcPr>
          <w:p>
            <w:pPr>
              <w:spacing w:after="20" w:before="20" w:line="240" w:lineRule="auto"/>
            </w:pPr>
            <w:r/>
            <w:r>
              <w:rPr>
                <w:rFonts w:ascii="Arial" w:hAnsi="Arial" w:cs="Arial"/>
                <w:b w:val="0"/>
                <w:i w:val="0"/>
                <w:sz w:val="17"/>
              </w:rPr>
              <w:t>POST /v1/lab/requirements</w:t>
            </w:r>
          </w:p>
        </w:tc>
        <w:tc>
          <w:tcPr>
            <w:tcW w:type="dxa" w:w="4819"/>
          </w:tcPr>
          <w:p>
            <w:pPr>
              <w:spacing w:after="20" w:before="20" w:line="240" w:lineRule="auto"/>
            </w:pPr>
            <w:r/>
            <w:r>
              <w:rPr>
                <w:rFonts w:ascii="Arial" w:hAnsi="Arial" w:cs="Arial"/>
                <w:b w:val="0"/>
                <w:i w:val="0"/>
                <w:sz w:val="17"/>
              </w:rPr>
              <w:t>Store lab test selections (mandatory locked by G1U4)</w:t>
            </w:r>
          </w:p>
        </w:tc>
      </w:tr>
      <w:tr>
        <w:tc>
          <w:tcPr>
            <w:tcW w:type="dxa" w:w="4819"/>
          </w:tcPr>
          <w:p>
            <w:pPr>
              <w:spacing w:after="20" w:before="20" w:line="240" w:lineRule="auto"/>
            </w:pPr>
            <w:r/>
            <w:r>
              <w:rPr>
                <w:rFonts w:ascii="Arial" w:hAnsi="Arial" w:cs="Arial"/>
                <w:b w:val="0"/>
                <w:i w:val="0"/>
                <w:sz w:val="17"/>
              </w:rPr>
              <w:t>GET /v1/lab/requirements/{trade_request_id}</w:t>
            </w:r>
          </w:p>
        </w:tc>
        <w:tc>
          <w:tcPr>
            <w:tcW w:type="dxa" w:w="4819"/>
          </w:tcPr>
          <w:p>
            <w:pPr>
              <w:spacing w:after="20" w:before="20" w:line="240" w:lineRule="auto"/>
            </w:pPr>
            <w:r/>
            <w:r>
              <w:rPr>
                <w:rFonts w:ascii="Arial" w:hAnsi="Arial" w:cs="Arial"/>
                <w:b w:val="0"/>
                <w:i w:val="0"/>
                <w:sz w:val="17"/>
              </w:rPr>
              <w:t>Retrieve captured lab requirements with pricing</w:t>
            </w:r>
          </w:p>
        </w:tc>
      </w:tr>
    </w:tbl>
    <w:p>
      <w:pPr>
        <w:spacing w:after="12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trade_lab_requirements: canonical definition in Section 17.7;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11.5.3 QC Requirements (Trade Request Time)</w:t>
      </w:r>
    </w:p>
    <w:p>
      <w:pPr>
        <w:spacing w:after="80" w:line="293" w:lineRule="auto"/>
        <w:jc w:val="left"/>
      </w:pPr>
      <w:r>
        <w:rPr>
          <w:rFonts w:ascii="Times New Roman" w:hAnsi="Times New Roman" w:cs="Times New Roman"/>
          <w:b w:val="0"/>
          <w:i w:val="0"/>
          <w:sz w:val="22"/>
        </w:rPr>
        <w:t>QC requests carry the geographic validation inputs used by gates G1U5/G1U6: whether inspection is required, the location type, the port, the country, the sampling plan (default GENERAL_LEVEL_II), and the scope (default ALL_COMMODITIES), with estimated price bounds.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Endpoint</w:t>
            </w:r>
          </w:p>
        </w:tc>
        <w:tc>
          <w:tcPr>
            <w:tcW w:type="dxa" w:w="4819"/>
            <w:shd w:val="clear" w:fill="D9E2F3"/>
          </w:tcPr>
          <w:p>
            <w:pPr>
              <w:spacing w:after="20" w:before="20" w:line="240" w:lineRule="auto"/>
            </w:pPr>
            <w:r/>
            <w:r>
              <w:rPr>
                <w:rFonts w:ascii="Arial" w:hAnsi="Arial" w:cs="Arial"/>
                <w:b/>
                <w:i w:val="0"/>
                <w:sz w:val="18"/>
              </w:rPr>
              <w:t>Purpose</w:t>
            </w:r>
          </w:p>
        </w:tc>
      </w:tr>
      <w:tr>
        <w:tc>
          <w:tcPr>
            <w:tcW w:type="dxa" w:w="4819"/>
          </w:tcPr>
          <w:p>
            <w:pPr>
              <w:spacing w:after="20" w:before="20" w:line="240" w:lineRule="auto"/>
            </w:pPr>
            <w:r/>
            <w:r>
              <w:rPr>
                <w:rFonts w:ascii="Arial" w:hAnsi="Arial" w:cs="Arial"/>
                <w:b w:val="0"/>
                <w:i w:val="0"/>
                <w:sz w:val="17"/>
              </w:rPr>
              <w:t>POST /v1/qc/requirements</w:t>
            </w:r>
          </w:p>
        </w:tc>
        <w:tc>
          <w:tcPr>
            <w:tcW w:type="dxa" w:w="4819"/>
          </w:tcPr>
          <w:p>
            <w:pPr>
              <w:spacing w:after="20" w:before="20" w:line="240" w:lineRule="auto"/>
            </w:pPr>
            <w:r/>
            <w:r>
              <w:rPr>
                <w:rFonts w:ascii="Arial" w:hAnsi="Arial" w:cs="Arial"/>
                <w:b w:val="0"/>
                <w:i w:val="0"/>
                <w:sz w:val="17"/>
              </w:rPr>
              <w:t>Store QC request with geographic validation inputs (G1U5/G1U6)</w:t>
            </w:r>
          </w:p>
        </w:tc>
      </w:tr>
    </w:tbl>
    <w:p>
      <w:pPr>
        <w:spacing w:after="12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trade_qc_requirements: canonical definition in Section 17.7;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11.5.4 Historical QC Quotes (Anonymised)</w:t>
      </w:r>
    </w:p>
    <w:p>
      <w:pPr>
        <w:spacing w:after="80" w:line="293" w:lineRule="auto"/>
        <w:jc w:val="left"/>
      </w:pPr>
      <w:r>
        <w:rPr>
          <w:rFonts w:ascii="Times New Roman" w:hAnsi="Times New Roman" w:cs="Times New Roman"/>
          <w:b w:val="0"/>
          <w:i w:val="0"/>
          <w:sz w:val="22"/>
        </w:rPr>
        <w:t>Anonymised historical quotations provide price ranges when a buyer requests QC inspection, so expectations are grounded in observed market data without exposing provider identity. Estimated price ranges are displayed from `qc_historical_quotes` when the buyer configures the QC requirement.</w:t>
      </w:r>
    </w:p>
    <w:p>
      <w:pPr>
        <w:spacing w:after="0" w:before="0" w:line="240" w:lineRule="auto"/>
        <w:ind w:left="57"/>
        <w:jc w:val="left"/>
        <w:shd w:val="clear" w:fill="F2F2F2"/>
      </w:pPr>
      <w:r>
        <w:rPr>
          <w:rFonts w:ascii="Consolas" w:hAnsi="Consolas" w:cs="Consolas"/>
          <w:b w:val="0"/>
          <w:i w:val="0"/>
          <w:sz w:val="15"/>
        </w:rPr>
        <w:t>-- qc_historical_quotes: canonical definition in Section 17.4; not redefined here.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11.6 LSP Management</w:t>
      </w:r>
    </w:p>
    <w:p>
      <w:pPr>
        <w:keepNext/>
        <w:spacing w:before="180" w:after="80"/>
        <w:outlineLvl w:val="2"/>
      </w:pPr>
      <w:r>
        <w:rPr>
          <w:rFonts w:ascii="Arial" w:hAnsi="Arial" w:cs="Arial"/>
          <w:b/>
          <w:i w:val="0"/>
          <w:color w:val="333333"/>
          <w:sz w:val="23"/>
        </w:rPr>
        <w:t>11.6.1 Unified Service Provider Portal</w:t>
      </w:r>
    </w:p>
    <w:p>
      <w:pPr>
        <w:spacing w:after="80" w:line="293" w:lineRule="auto"/>
        <w:jc w:val="left"/>
      </w:pPr>
      <w:r>
        <w:rPr>
          <w:rFonts w:ascii="Times New Roman" w:hAnsi="Times New Roman" w:cs="Times New Roman"/>
          <w:b w:val="0"/>
          <w:i w:val="0"/>
          <w:sz w:val="22"/>
        </w:rPr>
        <w:t>Instead of separate portals per provider class, a single unified Service Provider Portal renders tabs dynamically from capabilities: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Capability Group</w:t>
            </w:r>
          </w:p>
        </w:tc>
        <w:tc>
          <w:tcPr>
            <w:tcW w:type="dxa" w:w="4819"/>
            <w:shd w:val="clear" w:fill="D9E2F3"/>
          </w:tcPr>
          <w:p>
            <w:pPr>
              <w:spacing w:after="20" w:before="20" w:line="240" w:lineRule="auto"/>
            </w:pPr>
            <w:r/>
            <w:r>
              <w:rPr>
                <w:rFonts w:ascii="Arial" w:hAnsi="Arial" w:cs="Arial"/>
                <w:b/>
                <w:i w:val="0"/>
                <w:sz w:val="18"/>
              </w:rPr>
              <w:t>Tabs Rendered</w:t>
            </w:r>
          </w:p>
        </w:tc>
      </w:tr>
      <w:tr>
        <w:tc>
          <w:tcPr>
            <w:tcW w:type="dxa" w:w="4819"/>
          </w:tcPr>
          <w:p>
            <w:pPr>
              <w:spacing w:after="20" w:before="20" w:line="240" w:lineRule="auto"/>
            </w:pPr>
            <w:r/>
            <w:r>
              <w:rPr>
                <w:rFonts w:ascii="Arial" w:hAnsi="Arial" w:cs="Arial"/>
                <w:b w:val="0"/>
                <w:i w:val="0"/>
                <w:sz w:val="17"/>
              </w:rPr>
              <w:t>LOGISTICS</w:t>
            </w:r>
          </w:p>
        </w:tc>
        <w:tc>
          <w:tcPr>
            <w:tcW w:type="dxa" w:w="4819"/>
          </w:tcPr>
          <w:p>
            <w:pPr>
              <w:spacing w:after="20" w:before="20" w:line="240" w:lineRule="auto"/>
            </w:pPr>
            <w:r/>
            <w:r>
              <w:rPr>
                <w:rFonts w:ascii="Arial" w:hAnsi="Arial" w:cs="Arial"/>
                <w:b w:val="0"/>
                <w:i w:val="0"/>
                <w:sz w:val="17"/>
              </w:rPr>
              <w:t>Dispatch Planner, Forwarder Console, Warehouse Dashboard, Booking Requests</w:t>
            </w:r>
          </w:p>
        </w:tc>
      </w:tr>
      <w:tr>
        <w:tc>
          <w:tcPr>
            <w:tcW w:type="dxa" w:w="4819"/>
          </w:tcPr>
          <w:p>
            <w:pPr>
              <w:spacing w:after="20" w:before="20" w:line="240" w:lineRule="auto"/>
            </w:pPr>
            <w:r/>
            <w:r>
              <w:rPr>
                <w:rFonts w:ascii="Arial" w:hAnsi="Arial" w:cs="Arial"/>
                <w:b w:val="0"/>
                <w:i w:val="0"/>
                <w:sz w:val="17"/>
              </w:rPr>
              <w:t>BROKERAGE</w:t>
            </w:r>
          </w:p>
        </w:tc>
        <w:tc>
          <w:tcPr>
            <w:tcW w:type="dxa" w:w="4819"/>
          </w:tcPr>
          <w:p>
            <w:pPr>
              <w:spacing w:after="20" w:before="20" w:line="240" w:lineRule="auto"/>
            </w:pPr>
            <w:r/>
            <w:r>
              <w:rPr>
                <w:rFonts w:ascii="Arial" w:hAnsi="Arial" w:cs="Arial"/>
                <w:b w:val="0"/>
                <w:i w:val="0"/>
                <w:sz w:val="17"/>
              </w:rPr>
              <w:t>Certification Requests, Physical Jobs, Storage Management, Audit Representation</w:t>
            </w:r>
          </w:p>
        </w:tc>
      </w:tr>
      <w:tr>
        <w:tc>
          <w:tcPr>
            <w:tcW w:type="dxa" w:w="4819"/>
          </w:tcPr>
          <w:p>
            <w:pPr>
              <w:spacing w:after="20" w:before="20" w:line="240" w:lineRule="auto"/>
            </w:pPr>
            <w:r/>
            <w:r>
              <w:rPr>
                <w:rFonts w:ascii="Arial" w:hAnsi="Arial" w:cs="Arial"/>
                <w:b w:val="0"/>
                <w:i w:val="0"/>
                <w:sz w:val="17"/>
              </w:rPr>
              <w:t>LAB</w:t>
            </w:r>
          </w:p>
        </w:tc>
        <w:tc>
          <w:tcPr>
            <w:tcW w:type="dxa" w:w="4819"/>
          </w:tcPr>
          <w:p>
            <w:pPr>
              <w:spacing w:after="20" w:before="20" w:line="240" w:lineRule="auto"/>
            </w:pPr>
            <w:r/>
            <w:r>
              <w:rPr>
                <w:rFonts w:ascii="Arial" w:hAnsi="Arial" w:cs="Arial"/>
                <w:b w:val="0"/>
                <w:i w:val="0"/>
                <w:sz w:val="17"/>
              </w:rPr>
              <w:t>Testing Jobs</w:t>
            </w:r>
          </w:p>
        </w:tc>
      </w:tr>
      <w:tr>
        <w:tc>
          <w:tcPr>
            <w:tcW w:type="dxa" w:w="4819"/>
          </w:tcPr>
          <w:p>
            <w:pPr>
              <w:spacing w:after="20" w:before="20" w:line="240" w:lineRule="auto"/>
            </w:pPr>
            <w:r/>
            <w:r>
              <w:rPr>
                <w:rFonts w:ascii="Arial" w:hAnsi="Arial" w:cs="Arial"/>
                <w:b w:val="0"/>
                <w:i w:val="0"/>
                <w:sz w:val="17"/>
              </w:rPr>
              <w:t>QC</w:t>
            </w:r>
          </w:p>
        </w:tc>
        <w:tc>
          <w:tcPr>
            <w:tcW w:type="dxa" w:w="4819"/>
          </w:tcPr>
          <w:p>
            <w:pPr>
              <w:spacing w:after="20" w:before="20" w:line="240" w:lineRule="auto"/>
            </w:pPr>
            <w:r/>
            <w:r>
              <w:rPr>
                <w:rFonts w:ascii="Arial" w:hAnsi="Arial" w:cs="Arial"/>
                <w:b w:val="0"/>
                <w:i w:val="0"/>
                <w:sz w:val="17"/>
              </w:rPr>
              <w:t>Inspection Jobs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Examples: Provider A with ['TRUCKING', 'WAREHOUSING'] sees Dispatch Planner + Warehouse Dashboard. Provider B with ['CUSTOMS_BROKERAGE'] sees Certification Requests. Provider C with ['TRUCKING', 'CUSTOMS_BROKERAGE'] sees Dispatch Planner + Certification Requests.</w:t>
      </w:r>
    </w:p>
    <w:p>
      <w:pPr>
        <w:spacing w:after="80" w:line="293" w:lineRule="auto"/>
        <w:jc w:val="left"/>
      </w:pPr>
      <w:r>
        <w:rPr>
          <w:rFonts w:ascii="Times New Roman" w:hAnsi="Times New Roman" w:cs="Times New Roman"/>
          <w:b w:val="0"/>
          <w:i w:val="0"/>
          <w:sz w:val="22"/>
        </w:rPr>
        <w:t>Per-provider-type tab sets: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Provider Type</w:t>
            </w:r>
          </w:p>
        </w:tc>
        <w:tc>
          <w:tcPr>
            <w:tcW w:type="dxa" w:w="4819"/>
            <w:shd w:val="clear" w:fill="D9E2F3"/>
          </w:tcPr>
          <w:p>
            <w:pPr>
              <w:spacing w:after="20" w:before="20" w:line="240" w:lineRule="auto"/>
            </w:pPr>
            <w:r/>
            <w:r>
              <w:rPr>
                <w:rFonts w:ascii="Arial" w:hAnsi="Arial" w:cs="Arial"/>
                <w:b/>
                <w:i w:val="0"/>
                <w:sz w:val="18"/>
              </w:rPr>
              <w:t>Portal Tabs</w:t>
            </w:r>
          </w:p>
        </w:tc>
      </w:tr>
      <w:tr>
        <w:tc>
          <w:tcPr>
            <w:tcW w:type="dxa" w:w="4819"/>
          </w:tcPr>
          <w:p>
            <w:pPr>
              <w:spacing w:after="20" w:before="20" w:line="240" w:lineRule="auto"/>
            </w:pPr>
            <w:r/>
            <w:r>
              <w:rPr>
                <w:rFonts w:ascii="Arial" w:hAnsi="Arial" w:cs="Arial"/>
                <w:b w:val="0"/>
                <w:i w:val="0"/>
                <w:sz w:val="17"/>
              </w:rPr>
              <w:t>LSP (trucking)</w:t>
            </w:r>
          </w:p>
        </w:tc>
        <w:tc>
          <w:tcPr>
            <w:tcW w:type="dxa" w:w="4819"/>
          </w:tcPr>
          <w:p>
            <w:pPr>
              <w:spacing w:after="20" w:before="20" w:line="240" w:lineRule="auto"/>
            </w:pPr>
            <w:r/>
            <w:r>
              <w:rPr>
                <w:rFonts w:ascii="Arial" w:hAnsi="Arial" w:cs="Arial"/>
                <w:b w:val="0"/>
                <w:i w:val="0"/>
                <w:sz w:val="17"/>
              </w:rPr>
              <w:t>RFQ Inbox, Dispatch Planner, Fleet &amp; Drivers, Invoices</w:t>
            </w:r>
          </w:p>
        </w:tc>
      </w:tr>
      <w:tr>
        <w:tc>
          <w:tcPr>
            <w:tcW w:type="dxa" w:w="4819"/>
          </w:tcPr>
          <w:p>
            <w:pPr>
              <w:spacing w:after="20" w:before="20" w:line="240" w:lineRule="auto"/>
            </w:pPr>
            <w:r/>
            <w:r>
              <w:rPr>
                <w:rFonts w:ascii="Arial" w:hAnsi="Arial" w:cs="Arial"/>
                <w:b w:val="0"/>
                <w:i w:val="0"/>
                <w:sz w:val="17"/>
              </w:rPr>
              <w:t>LSP (forwarding)</w:t>
            </w:r>
          </w:p>
        </w:tc>
        <w:tc>
          <w:tcPr>
            <w:tcW w:type="dxa" w:w="4819"/>
          </w:tcPr>
          <w:p>
            <w:pPr>
              <w:spacing w:after="20" w:before="20" w:line="240" w:lineRule="auto"/>
            </w:pPr>
            <w:r/>
            <w:r>
              <w:rPr>
                <w:rFonts w:ascii="Arial" w:hAnsi="Arial" w:cs="Arial"/>
                <w:b w:val="0"/>
                <w:i w:val="0"/>
                <w:sz w:val="17"/>
              </w:rPr>
              <w:t>Forwarder Console (subcontractor network, LCL consolidation), Invoices</w:t>
            </w:r>
          </w:p>
        </w:tc>
      </w:tr>
      <w:tr>
        <w:tc>
          <w:tcPr>
            <w:tcW w:type="dxa" w:w="4819"/>
          </w:tcPr>
          <w:p>
            <w:pPr>
              <w:spacing w:after="20" w:before="20" w:line="240" w:lineRule="auto"/>
            </w:pPr>
            <w:r/>
            <w:r>
              <w:rPr>
                <w:rFonts w:ascii="Arial" w:hAnsi="Arial" w:cs="Arial"/>
                <w:b w:val="0"/>
                <w:i w:val="0"/>
                <w:sz w:val="17"/>
              </w:rPr>
              <w:t>LSP (warehousing)</w:t>
            </w:r>
          </w:p>
        </w:tc>
        <w:tc>
          <w:tcPr>
            <w:tcW w:type="dxa" w:w="4819"/>
          </w:tcPr>
          <w:p>
            <w:pPr>
              <w:spacing w:after="20" w:before="20" w:line="240" w:lineRule="auto"/>
            </w:pPr>
            <w:r/>
            <w:r>
              <w:rPr>
                <w:rFonts w:ascii="Arial" w:hAnsi="Arial" w:cs="Arial"/>
                <w:b w:val="0"/>
                <w:i w:val="0"/>
                <w:sz w:val="17"/>
              </w:rPr>
              <w:t>Warehouse Dashboard (storage utilisation), Invoices</w:t>
            </w:r>
          </w:p>
        </w:tc>
      </w:tr>
      <w:tr>
        <w:tc>
          <w:tcPr>
            <w:tcW w:type="dxa" w:w="4819"/>
          </w:tcPr>
          <w:p>
            <w:pPr>
              <w:spacing w:after="20" w:before="20" w:line="240" w:lineRule="auto"/>
            </w:pPr>
            <w:r/>
            <w:r>
              <w:rPr>
                <w:rFonts w:ascii="Arial" w:hAnsi="Arial" w:cs="Arial"/>
                <w:b w:val="0"/>
                <w:i w:val="0"/>
                <w:sz w:val="17"/>
              </w:rPr>
              <w:t>SHIP</w:t>
            </w:r>
          </w:p>
        </w:tc>
        <w:tc>
          <w:tcPr>
            <w:tcW w:type="dxa" w:w="4819"/>
          </w:tcPr>
          <w:p>
            <w:pPr>
              <w:spacing w:after="20" w:before="20" w:line="240" w:lineRule="auto"/>
            </w:pPr>
            <w:r/>
            <w:r>
              <w:rPr>
                <w:rFonts w:ascii="Arial" w:hAnsi="Arial" w:cs="Arial"/>
                <w:b w:val="0"/>
                <w:i w:val="0"/>
                <w:sz w:val="17"/>
              </w:rPr>
              <w:t>Booking Requests, eBL Management, Vessel Schedule, Freight Invoices, Contract Rate Manager</w:t>
            </w:r>
          </w:p>
        </w:tc>
      </w:tr>
      <w:tr>
        <w:tc>
          <w:tcPr>
            <w:tcW w:type="dxa" w:w="4819"/>
          </w:tcPr>
          <w:p>
            <w:pPr>
              <w:spacing w:after="20" w:before="20" w:line="240" w:lineRule="auto"/>
            </w:pPr>
            <w:r/>
            <w:r>
              <w:rPr>
                <w:rFonts w:ascii="Arial" w:hAnsi="Arial" w:cs="Arial"/>
                <w:b w:val="0"/>
                <w:i w:val="0"/>
                <w:sz w:val="17"/>
              </w:rPr>
              <w:t>LAB</w:t>
            </w:r>
          </w:p>
        </w:tc>
        <w:tc>
          <w:tcPr>
            <w:tcW w:type="dxa" w:w="4819"/>
          </w:tcPr>
          <w:p>
            <w:pPr>
              <w:spacing w:after="20" w:before="20" w:line="240" w:lineRule="auto"/>
            </w:pPr>
            <w:r/>
            <w:r>
              <w:rPr>
                <w:rFonts w:ascii="Arial" w:hAnsi="Arial" w:cs="Arial"/>
                <w:b w:val="0"/>
                <w:i w:val="0"/>
                <w:sz w:val="17"/>
              </w:rPr>
              <w:t>Testing Jobs (sample tracking), Result Submission (MRL validation), Certificate Auto-Trigger</w:t>
            </w:r>
          </w:p>
        </w:tc>
      </w:tr>
      <w:tr>
        <w:tc>
          <w:tcPr>
            <w:tcW w:type="dxa" w:w="4819"/>
          </w:tcPr>
          <w:p>
            <w:pPr>
              <w:spacing w:after="20" w:before="20" w:line="240" w:lineRule="auto"/>
            </w:pPr>
            <w:r/>
            <w:r>
              <w:rPr>
                <w:rFonts w:ascii="Arial" w:hAnsi="Arial" w:cs="Arial"/>
                <w:b w:val="0"/>
                <w:i w:val="0"/>
                <w:sz w:val="17"/>
              </w:rPr>
              <w:t>QC</w:t>
            </w:r>
          </w:p>
        </w:tc>
        <w:tc>
          <w:tcPr>
            <w:tcW w:type="dxa" w:w="4819"/>
          </w:tcPr>
          <w:p>
            <w:pPr>
              <w:spacing w:after="20" w:before="20" w:line="240" w:lineRule="auto"/>
            </w:pPr>
            <w:r/>
            <w:r>
              <w:rPr>
                <w:rFonts w:ascii="Arial" w:hAnsi="Arial" w:cs="Arial"/>
                <w:b w:val="0"/>
                <w:i w:val="0"/>
                <w:sz w:val="17"/>
              </w:rPr>
              <w:t>Inspection Jobs, Mobile App Integration, Report Submission (PASS/FAIL/CONDITIONAL), Conditional Pass holds, Re-inspection Requests, Dispute Fast-Track</w:t>
            </w:r>
          </w:p>
        </w:tc>
      </w:tr>
      <w:tr>
        <w:tc>
          <w:tcPr>
            <w:tcW w:type="dxa" w:w="4819"/>
          </w:tcPr>
          <w:p>
            <w:pPr>
              <w:spacing w:after="20" w:before="20" w:line="240" w:lineRule="auto"/>
            </w:pPr>
            <w:r/>
            <w:r>
              <w:rPr>
                <w:rFonts w:ascii="Arial" w:hAnsi="Arial" w:cs="Arial"/>
                <w:b w:val="0"/>
                <w:i w:val="0"/>
                <w:sz w:val="17"/>
              </w:rPr>
              <w:t>CBR</w:t>
            </w:r>
          </w:p>
        </w:tc>
        <w:tc>
          <w:tcPr>
            <w:tcW w:type="dxa" w:w="4819"/>
          </w:tcPr>
          <w:p>
            <w:pPr>
              <w:spacing w:after="20" w:before="20" w:line="240" w:lineRule="auto"/>
            </w:pPr>
            <w:r/>
            <w:r>
              <w:rPr>
                <w:rFonts w:ascii="Arial" w:hAnsi="Arial" w:cs="Arial"/>
                <w:b w:val="0"/>
                <w:i w:val="0"/>
                <w:sz w:val="17"/>
              </w:rPr>
              <w:t>Certification Requests, Physical Document Jobs (QR/GPS), Storage Management, Audit Representation, Digital Seal management (mTLS + SoftHSM)</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11.6.2 Dispatch Planner (Trucking)</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optimise the daily route plan for a trucking fleet using the ORTools Vehicle Routing Problem (VRP) solver; assign drivers, manage geofence alerts, and integrate voice navigation. One-click guarantee: Optimise (1), Assign (1), Send (1).</w:t>
      </w:r>
    </w:p>
    <w:p>
      <w:pPr>
        <w:keepNext/>
        <w:spacing w:before="180" w:after="80"/>
        <w:outlineLvl w:val="2"/>
      </w:pPr>
      <w:r>
        <w:rPr>
          <w:rFonts w:ascii="Arial" w:hAnsi="Arial" w:cs="Arial"/>
          <w:b/>
          <w:i w:val="0"/>
          <w:color w:val="333333"/>
          <w:sz w:val="23"/>
        </w:rPr>
        <w:t>11.6.3 Driver &amp; Inspector Mobile Applications</w:t>
      </w:r>
    </w:p>
    <w:p>
      <w:pPr>
        <w:spacing w:after="80" w:line="293" w:lineRule="auto"/>
        <w:jc w:val="left"/>
      </w:pPr>
      <w:r>
        <w:rPr>
          <w:rFonts w:ascii="Times New Roman" w:hAnsi="Times New Roman" w:cs="Times New Roman"/>
          <w:b w:val="0"/>
          <w:i w:val="0"/>
          <w:sz w:val="22"/>
        </w:rPr>
        <w:t>Drivers use a mobile application (React Native + Expo, WatermelonDB, ZXingC++) with QR pairing, offline queue, and driver assignment managed from the LSP portal. The driver scans pallet barcodes, confirms pickup and delivery, and is GPS-tracked en route (Section 12.3 covers offline-first event capture).</w:t>
      </w:r>
    </w:p>
    <w:p>
      <w:pPr>
        <w:spacing w:after="80" w:line="293" w:lineRule="auto"/>
        <w:jc w:val="left"/>
      </w:pPr>
      <w:r>
        <w:rPr>
          <w:rFonts w:ascii="Times New Roman" w:hAnsi="Times New Roman" w:cs="Times New Roman"/>
          <w:b w:val="0"/>
          <w:i w:val="0"/>
          <w:sz w:val="22"/>
        </w:rPr>
        <w:t>The QC Inspector App uses the same offline-first technology stack — React Native + Expo, WatermelonDB, HF ViT (local), ZXingC++ — for on-site inspection with AR overlay. One-click guarantees: scan pallet (1 per pallet, or batch mode), override (1 + reason, minimum 10 characters), submit (1).</w:t>
      </w:r>
    </w:p>
    <w:p>
      <w:pPr>
        <w:spacing w:after="80" w:line="293" w:lineRule="auto"/>
        <w:jc w:val="left"/>
      </w:pPr>
      <w:r>
        <w:rPr>
          <w:rFonts w:ascii="Times New Roman" w:hAnsi="Times New Roman" w:cs="Times New Roman"/>
          <w:b w:val="0"/>
          <w:i w:val="0"/>
          <w:sz w:val="22"/>
        </w:rPr>
        <w:t>The CBR Document Receipt App scans package QR codes, records GPS and timestamps, and captures stamped customs documents (Section 11.4.7).</w:t>
      </w:r>
    </w:p>
    <w:p>
      <w:pPr>
        <w:keepNext/>
        <w:spacing w:before="180" w:after="80"/>
        <w:outlineLvl w:val="2"/>
      </w:pPr>
      <w:r>
        <w:rPr>
          <w:rFonts w:ascii="Arial" w:hAnsi="Arial" w:cs="Arial"/>
          <w:b/>
          <w:i w:val="0"/>
          <w:color w:val="333333"/>
          <w:sz w:val="23"/>
        </w:rPr>
        <w:t>11.6.4 Provider Performance Self-Service Dashboard</w:t>
      </w:r>
    </w:p>
    <w:p>
      <w:pPr>
        <w:spacing w:after="80" w:line="293" w:lineRule="auto"/>
        <w:jc w:val="left"/>
      </w:pPr>
      <w:r>
        <w:rPr>
          <w:rFonts w:ascii="Times New Roman" w:hAnsi="Times New Roman" w:cs="Times New Roman"/>
          <w:b w:val="0"/>
          <w:i w:val="0"/>
          <w:sz w:val="22"/>
        </w:rPr>
        <w:t>Every logistics provider has a Performance tab displaying on-time performance, document accuracy, dispute rate, and invoice accuracy, benchmarked anonymously. Example performance summary (A1, Groq): "Your on-time performance has improved to 89%. You are in the top quartile for document accuracy. Your dispute rate (3%) is below the regional average (5%)." One-click: view summary (auto-displayed), download report (1). Anonymous benchmarks use differential privacy with ε = 0.1.</w:t>
      </w:r>
    </w:p>
    <w:p>
      <w:pPr>
        <w:keepNext/>
        <w:spacing w:before="180" w:after="80"/>
        <w:outlineLvl w:val="2"/>
      </w:pPr>
      <w:r>
        <w:rPr>
          <w:rFonts w:ascii="Arial" w:hAnsi="Arial" w:cs="Arial"/>
          <w:b/>
          <w:i w:val="0"/>
          <w:color w:val="333333"/>
          <w:sz w:val="23"/>
        </w:rPr>
        <w:t>11.6.5 Provider Warm-Up Program &amp; Unsubscribe Mechanism</w:t>
      </w:r>
    </w:p>
    <w:p>
      <w:pPr>
        <w:spacing w:after="80" w:line="293" w:lineRule="auto"/>
        <w:jc w:val="left"/>
      </w:pPr>
      <w:r>
        <w:rPr>
          <w:rFonts w:ascii="Times New Roman" w:hAnsi="Times New Roman" w:cs="Times New Roman"/>
          <w:b w:val="0"/>
          <w:i w:val="0"/>
          <w:sz w:val="22"/>
        </w:rPr>
        <w:t>Co-branded notification emails. When the platform sends an anonymous broadcast RFQ email, the sender name is formatted as "Seller via SGTX" &lt;noreply@sgtx.io&gt;. The email body clearly states: "You are receiving this because you are registered on SGTX as a logistics provider serving [route]. An anonymous seller has requested a quote. Your identity will be revealed only if they accept your quote."</w:t>
      </w:r>
    </w:p>
    <w:p>
      <w:pPr>
        <w:spacing w:after="80" w:line="293" w:lineRule="auto"/>
        <w:jc w:val="left"/>
      </w:pPr>
      <w:r>
        <w:rPr>
          <w:rFonts w:ascii="Times New Roman" w:hAnsi="Times New Roman" w:cs="Times New Roman"/>
          <w:b w:val="0"/>
          <w:i w:val="0"/>
          <w:sz w:val="22"/>
        </w:rPr>
        <w:t>Unsubscribe / opt-out. Every co-branded email includes an "Unsubscribe from anonymous RFQs" link in the footer. Clicking it sets `tenants.anonymous_rfq_opt_out = true` and displays a confirmation: "You have unsubscribed from anonymous RFQs. You will still receive directed requests from known sellers. You can re-enable this at any time in Company Admin → Notification Preferences."</w:t>
      </w:r>
    </w:p>
    <w:p>
      <w:pPr>
        <w:spacing w:after="80" w:line="293" w:lineRule="auto"/>
        <w:jc w:val="left"/>
      </w:pPr>
      <w:r>
        <w:rPr>
          <w:rFonts w:ascii="Times New Roman" w:hAnsi="Times New Roman" w:cs="Times New Roman"/>
          <w:b w:val="0"/>
          <w:i w:val="0"/>
          <w:sz w:val="22"/>
        </w:rPr>
        <w:t>Provider preferences. Within the portal, providers manage this preference under Company Admin → Notification Preferences. One-click: toggle anonymous RFQ opt-out (1).</w:t>
      </w:r>
    </w:p>
    <w:p>
      <w:pPr>
        <w:keepNext/>
        <w:spacing w:before="240" w:after="100"/>
        <w:outlineLvl w:val="1"/>
      </w:pPr>
      <w:r>
        <w:rPr>
          <w:rFonts w:ascii="Arial" w:hAnsi="Arial" w:cs="Arial"/>
          <w:b/>
          <w:i w:val="0"/>
          <w:color w:val="2E528F"/>
          <w:sz w:val="26"/>
        </w:rPr>
        <w:t>11.7 Non-Marketplace Guardrails</w:t>
      </w:r>
    </w:p>
    <w:p>
      <w:pPr>
        <w:spacing w:after="80" w:line="293" w:lineRule="auto"/>
        <w:ind w:left="283"/>
        <w:jc w:val="left"/>
      </w:pPr>
      <w:r>
        <w:rPr>
          <w:rFonts w:ascii="Times New Roman" w:hAnsi="Times New Roman" w:cs="Times New Roman"/>
          <w:b w:val="0"/>
          <w:i w:val="0"/>
          <w:sz w:val="22"/>
        </w:rPr>
        <w:t>- No discovery. Providers are visible only to traders who have explicitly added them as contacts or have completed prior trades with them.</w:t>
      </w:r>
    </w:p>
    <w:p>
      <w:pPr>
        <w:spacing w:after="80" w:line="293" w:lineRule="auto"/>
        <w:ind w:left="283"/>
        <w:jc w:val="left"/>
      </w:pPr>
      <w:r>
        <w:rPr>
          <w:rFonts w:ascii="Times New Roman" w:hAnsi="Times New Roman" w:cs="Times New Roman"/>
          <w:b w:val="0"/>
          <w:i w:val="0"/>
          <w:sz w:val="22"/>
        </w:rPr>
        <w:t>- No suggestions. The platform never suggests providers, never ranks them, and never offers "you might also like" recommendations. The Smart Inbox never suggests counterparties.</w:t>
      </w:r>
    </w:p>
    <w:p>
      <w:pPr>
        <w:spacing w:after="80" w:line="293" w:lineRule="auto"/>
        <w:ind w:left="283"/>
        <w:jc w:val="left"/>
      </w:pPr>
      <w:r>
        <w:rPr>
          <w:rFonts w:ascii="Times New Roman" w:hAnsi="Times New Roman" w:cs="Times New Roman"/>
          <w:b w:val="0"/>
          <w:i w:val="0"/>
          <w:sz w:val="22"/>
        </w:rPr>
        <w:t>- Explicit selection. Every provider engagement is a directed request answered by a quotation and an explicit one-click acceptance by the requesting trader. A single GTID may be selected for multiple service categories only when it holds all required capabilities (G2U23), and every selection must match the provider's declared capability (G2U22).</w:t>
      </w:r>
    </w:p>
    <w:p>
      <w:pPr>
        <w:spacing w:after="80" w:line="293" w:lineRule="auto"/>
        <w:ind w:left="283"/>
        <w:jc w:val="left"/>
      </w:pPr>
      <w:r>
        <w:rPr>
          <w:rFonts w:ascii="Times New Roman" w:hAnsi="Times New Roman" w:cs="Times New Roman"/>
          <w:b w:val="0"/>
          <w:i w:val="0"/>
          <w:sz w:val="22"/>
        </w:rPr>
        <w:t>- Anonymous broadcast is opt-in for the requester, opt-out for the receiver. Anonymous broadcast RFQs reveal the requesting seller only if the provider's quote is accepted; providers can opt out of anonymous RFQs at any time while still receiving directed requests.</w:t>
      </w:r>
    </w:p>
    <w:p>
      <w:pPr>
        <w:spacing w:after="80" w:line="293" w:lineRule="auto"/>
        <w:ind w:left="283"/>
        <w:jc w:val="left"/>
      </w:pPr>
      <w:r>
        <w:rPr>
          <w:rFonts w:ascii="Times New Roman" w:hAnsi="Times New Roman" w:cs="Times New Roman"/>
          <w:b w:val="0"/>
          <w:i w:val="0"/>
          <w:sz w:val="22"/>
        </w:rPr>
        <w:t>- Relationship-controlled eligibility. The provider eligibility filter intersects capability match, port coverage, and the seller's contact network (or explicit anonymous broadcast enablement).</w:t>
      </w:r>
    </w:p>
    <w:p>
      <w:pPr>
        <w:keepNext/>
        <w:spacing w:before="240" w:after="100"/>
        <w:outlineLvl w:val="1"/>
      </w:pPr>
      <w:r>
        <w:rPr>
          <w:rFonts w:ascii="Arial" w:hAnsi="Arial" w:cs="Arial"/>
          <w:b/>
          <w:i w:val="0"/>
          <w:color w:val="2E528F"/>
          <w:sz w:val="26"/>
        </w:rPr>
        <w:t>11.8 DDL &amp; Implementation</w:t>
      </w:r>
    </w:p>
    <w:p>
      <w:pPr>
        <w:keepNext/>
        <w:spacing w:before="180" w:after="80"/>
        <w:outlineLvl w:val="2"/>
      </w:pPr>
      <w:r>
        <w:rPr>
          <w:rFonts w:ascii="Arial" w:hAnsi="Arial" w:cs="Arial"/>
          <w:b/>
          <w:i w:val="0"/>
          <w:color w:val="333333"/>
          <w:sz w:val="23"/>
        </w:rPr>
        <w:t>11.8.1 Database Schema Additions</w:t>
      </w:r>
    </w:p>
    <w:p>
      <w:pPr>
        <w:spacing w:after="0" w:before="0" w:line="240" w:lineRule="auto"/>
        <w:ind w:left="57"/>
        <w:jc w:val="left"/>
        <w:shd w:val="clear" w:fill="F2F2F2"/>
      </w:pPr>
      <w:r>
        <w:rPr>
          <w:rFonts w:ascii="Consolas" w:hAnsi="Consolas" w:cs="Consolas"/>
          <w:b w:val="0"/>
          <w:i w:val="0"/>
          <w:sz w:val="15"/>
        </w:rPr>
        <w:t>-- Provider types (extended from tenants)</w:t>
      </w:r>
    </w:p>
    <w:p>
      <w:pPr>
        <w:spacing w:after="0" w:before="0" w:line="240" w:lineRule="auto"/>
        <w:ind w:left="57"/>
        <w:jc w:val="left"/>
        <w:shd w:val="clear" w:fill="F2F2F2"/>
      </w:pPr>
      <w:r>
        <w:rPr>
          <w:rFonts w:ascii="Consolas" w:hAnsi="Consolas" w:cs="Consolas"/>
          <w:b w:val="0"/>
          <w:i w:val="0"/>
          <w:sz w:val="15"/>
        </w:rPr>
        <w:t>ALTER TABLE tenants ADD COLUMN lsp_subtype TEXT;            -- 'TRUCKING', 'FORWARDER', 'WAREHOUSING'</w:t>
      </w:r>
    </w:p>
    <w:p>
      <w:pPr>
        <w:spacing w:after="0" w:before="0" w:line="240" w:lineRule="auto"/>
        <w:ind w:left="57"/>
        <w:jc w:val="left"/>
        <w:shd w:val="clear" w:fill="F2F2F2"/>
      </w:pPr>
      <w:r>
        <w:rPr>
          <w:rFonts w:ascii="Consolas" w:hAnsi="Consolas" w:cs="Consolas"/>
          <w:b w:val="0"/>
          <w:i w:val="0"/>
          <w:sz w:val="15"/>
        </w:rPr>
        <w:t>ALTER TABLE tenants ADD COLUMN financier_subtype TEXT;      -- 'BANK', 'PRIVATE'</w:t>
      </w:r>
    </w:p>
    <w:p>
      <w:pPr>
        <w:spacing w:after="0" w:before="0" w:line="240" w:lineRule="auto"/>
        <w:ind w:left="57"/>
        <w:jc w:val="left"/>
        <w:shd w:val="clear" w:fill="F2F2F2"/>
      </w:pPr>
      <w:r>
        <w:rPr>
          <w:rFonts w:ascii="Consolas" w:hAnsi="Consolas" w:cs="Consolas"/>
          <w:b w:val="0"/>
          <w:i w:val="0"/>
          <w:sz w:val="15"/>
        </w:rPr>
        <w:t>ALTER TABLE tenants ADD COLUMN anonymous_rfq_opt_out BOOLEAN DEFAULT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Service quotations (core)</w:t>
      </w:r>
    </w:p>
    <w:p>
      <w:pPr>
        <w:spacing w:after="0" w:before="0" w:line="240" w:lineRule="auto"/>
        <w:ind w:left="57"/>
        <w:jc w:val="left"/>
        <w:shd w:val="clear" w:fill="F2F2F2"/>
      </w:pPr>
      <w:r>
        <w:rPr>
          <w:rFonts w:ascii="Consolas" w:hAnsi="Consolas" w:cs="Consolas"/>
          <w:b w:val="0"/>
          <w:i w:val="0"/>
          <w:sz w:val="15"/>
        </w:rPr>
        <w:t>-- service_quotations: canonical definition in Section 17.11;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Ship quote requests (Mode C)</w:t>
      </w:r>
    </w:p>
    <w:p>
      <w:pPr>
        <w:spacing w:after="0" w:before="0" w:line="240" w:lineRule="auto"/>
        <w:ind w:left="57"/>
        <w:jc w:val="left"/>
        <w:shd w:val="clear" w:fill="F2F2F2"/>
      </w:pPr>
      <w:r>
        <w:rPr>
          <w:rFonts w:ascii="Consolas" w:hAnsi="Consolas" w:cs="Consolas"/>
          <w:b w:val="0"/>
          <w:i w:val="0"/>
          <w:sz w:val="15"/>
        </w:rPr>
        <w:t>-- ship_quote_requests: canonical definition in Section 17.11;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ship_quotes: canonical definition in Section 17.11;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Clarification requests (structured Q&amp;A on quotations)</w:t>
      </w:r>
    </w:p>
    <w:p>
      <w:pPr>
        <w:spacing w:after="0" w:before="0" w:line="240" w:lineRule="auto"/>
        <w:ind w:left="57"/>
        <w:jc w:val="left"/>
        <w:shd w:val="clear" w:fill="F2F2F2"/>
      </w:pPr>
      <w:r>
        <w:rPr>
          <w:rFonts w:ascii="Consolas" w:hAnsi="Consolas" w:cs="Consolas"/>
          <w:b w:val="0"/>
          <w:i w:val="0"/>
          <w:sz w:val="15"/>
        </w:rPr>
        <w:t>-- clarification_requests: canonical definition in Section 17.11;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QC jobs</w:t>
      </w:r>
    </w:p>
    <w:p>
      <w:pPr>
        <w:spacing w:after="0" w:before="0" w:line="240" w:lineRule="auto"/>
        <w:ind w:left="57"/>
        <w:jc w:val="left"/>
        <w:shd w:val="clear" w:fill="F2F2F2"/>
      </w:pPr>
      <w:r>
        <w:rPr>
          <w:rFonts w:ascii="Consolas" w:hAnsi="Consolas" w:cs="Consolas"/>
          <w:b w:val="0"/>
          <w:i w:val="0"/>
          <w:sz w:val="15"/>
        </w:rPr>
        <w:t>-- qc_jobs: canonical definition in Section 17.12;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inspection_logs: canonical definition in Section 17.12;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Re-inspection requests</w:t>
      </w:r>
    </w:p>
    <w:p>
      <w:pPr>
        <w:spacing w:after="0" w:before="0" w:line="240" w:lineRule="auto"/>
        <w:ind w:left="57"/>
        <w:jc w:val="left"/>
        <w:shd w:val="clear" w:fill="F2F2F2"/>
      </w:pPr>
      <w:r>
        <w:rPr>
          <w:rFonts w:ascii="Consolas" w:hAnsi="Consolas" w:cs="Consolas"/>
          <w:b w:val="0"/>
          <w:i w:val="0"/>
          <w:sz w:val="15"/>
        </w:rPr>
        <w:t>-- re_inspection_requests: canonical definition in Section 17.12;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Broker services</w:t>
      </w:r>
    </w:p>
    <w:p>
      <w:pPr>
        <w:spacing w:after="0" w:before="0" w:line="240" w:lineRule="auto"/>
        <w:ind w:left="57"/>
        <w:jc w:val="left"/>
        <w:shd w:val="clear" w:fill="F2F2F2"/>
      </w:pPr>
      <w:r>
        <w:rPr>
          <w:rFonts w:ascii="Consolas" w:hAnsi="Consolas" w:cs="Consolas"/>
          <w:b w:val="0"/>
          <w:i w:val="0"/>
          <w:sz w:val="15"/>
        </w:rPr>
        <w:t>-- broker_certifications: canonical definition in Section 17.13;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broker_physical_jobs: canonical definition in Section 17.13;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broker_storage: canonical definition in Section 17.13;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Carrier contract rates (private)</w:t>
      </w:r>
    </w:p>
    <w:p>
      <w:pPr>
        <w:spacing w:after="0" w:before="0" w:line="240" w:lineRule="auto"/>
        <w:ind w:left="57"/>
        <w:jc w:val="left"/>
        <w:shd w:val="clear" w:fill="F2F2F2"/>
      </w:pPr>
      <w:r>
        <w:rPr>
          <w:rFonts w:ascii="Consolas" w:hAnsi="Consolas" w:cs="Consolas"/>
          <w:b w:val="0"/>
          <w:i w:val="0"/>
          <w:sz w:val="15"/>
        </w:rPr>
        <w:t>-- carrier_contracts: canonical definition in Section 17.11;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idx_service_quotations_ustn ON service_quotations(ustn);</w:t>
      </w:r>
    </w:p>
    <w:p>
      <w:pPr>
        <w:spacing w:after="0" w:before="0" w:line="240" w:lineRule="auto"/>
        <w:ind w:left="57"/>
        <w:jc w:val="left"/>
        <w:shd w:val="clear" w:fill="F2F2F2"/>
      </w:pPr>
      <w:r>
        <w:rPr>
          <w:rFonts w:ascii="Consolas" w:hAnsi="Consolas" w:cs="Consolas"/>
          <w:b w:val="0"/>
          <w:i w:val="0"/>
          <w:sz w:val="15"/>
        </w:rPr>
        <w:t>CREATE INDEX idx_service_quotations_provider ON service_quotations(provider_gtid);</w:t>
      </w:r>
    </w:p>
    <w:p>
      <w:pPr>
        <w:spacing w:after="0" w:before="0" w:line="240" w:lineRule="auto"/>
        <w:ind w:left="57"/>
        <w:jc w:val="left"/>
        <w:shd w:val="clear" w:fill="F2F2F2"/>
      </w:pPr>
      <w:r>
        <w:rPr>
          <w:rFonts w:ascii="Consolas" w:hAnsi="Consolas" w:cs="Consolas"/>
          <w:b w:val="0"/>
          <w:i w:val="0"/>
          <w:sz w:val="15"/>
        </w:rPr>
        <w:t>CREATE INDEX idx_service_quotations_status ON service_quotations(status);</w:t>
      </w:r>
    </w:p>
    <w:p>
      <w:pPr>
        <w:spacing w:after="0" w:before="0" w:line="240" w:lineRule="auto"/>
        <w:ind w:left="57"/>
        <w:jc w:val="left"/>
        <w:shd w:val="clear" w:fill="F2F2F2"/>
      </w:pPr>
      <w:r>
        <w:rPr>
          <w:rFonts w:ascii="Consolas" w:hAnsi="Consolas" w:cs="Consolas"/>
          <w:b w:val="0"/>
          <w:i w:val="0"/>
          <w:sz w:val="15"/>
        </w:rPr>
        <w:t>CREATE INDEX idx_ship_quote_requests_ustn ON ship_quote_requests(ustn);</w:t>
      </w:r>
    </w:p>
    <w:p>
      <w:pPr>
        <w:spacing w:after="0" w:before="0" w:line="240" w:lineRule="auto"/>
        <w:ind w:left="57"/>
        <w:jc w:val="left"/>
        <w:shd w:val="clear" w:fill="F2F2F2"/>
      </w:pPr>
      <w:r>
        <w:rPr>
          <w:rFonts w:ascii="Consolas" w:hAnsi="Consolas" w:cs="Consolas"/>
          <w:b w:val="0"/>
          <w:i w:val="0"/>
          <w:sz w:val="15"/>
        </w:rPr>
        <w:t>CREATE INDEX idx_ship_quotes_request ON ship_quotes(request_id);</w:t>
      </w:r>
    </w:p>
    <w:p>
      <w:pPr>
        <w:spacing w:after="0" w:before="0" w:line="240" w:lineRule="auto"/>
        <w:ind w:left="57"/>
        <w:jc w:val="left"/>
        <w:shd w:val="clear" w:fill="F2F2F2"/>
      </w:pPr>
      <w:r>
        <w:rPr>
          <w:rFonts w:ascii="Consolas" w:hAnsi="Consolas" w:cs="Consolas"/>
          <w:b w:val="0"/>
          <w:i w:val="0"/>
          <w:sz w:val="15"/>
        </w:rPr>
        <w:t>CREATE INDEX idx_clarification_requests_quotation ON clarification_requests(quotation_id);</w:t>
      </w:r>
    </w:p>
    <w:p>
      <w:pPr>
        <w:spacing w:after="0" w:before="0" w:line="240" w:lineRule="auto"/>
        <w:ind w:left="57"/>
        <w:jc w:val="left"/>
        <w:shd w:val="clear" w:fill="F2F2F2"/>
      </w:pPr>
      <w:r>
        <w:rPr>
          <w:rFonts w:ascii="Consolas" w:hAnsi="Consolas" w:cs="Consolas"/>
          <w:b w:val="0"/>
          <w:i w:val="0"/>
          <w:sz w:val="15"/>
        </w:rPr>
        <w:t>CREATE INDEX idx_qc_jobs_ustn ON qc_jobs(ustn);</w:t>
      </w:r>
    </w:p>
    <w:p>
      <w:pPr>
        <w:spacing w:after="0" w:before="0" w:line="240" w:lineRule="auto"/>
        <w:ind w:left="57"/>
        <w:jc w:val="left"/>
        <w:shd w:val="clear" w:fill="F2F2F2"/>
      </w:pPr>
      <w:r>
        <w:rPr>
          <w:rFonts w:ascii="Consolas" w:hAnsi="Consolas" w:cs="Consolas"/>
          <w:b w:val="0"/>
          <w:i w:val="0"/>
          <w:sz w:val="15"/>
        </w:rPr>
        <w:t>CREATE INDEX idx_qc_jobs_provider ON qc_jobs(provider_gtid);</w:t>
      </w:r>
    </w:p>
    <w:p>
      <w:pPr>
        <w:spacing w:after="0" w:before="0" w:line="240" w:lineRule="auto"/>
        <w:ind w:left="57"/>
        <w:jc w:val="left"/>
        <w:shd w:val="clear" w:fill="F2F2F2"/>
      </w:pPr>
      <w:r>
        <w:rPr>
          <w:rFonts w:ascii="Consolas" w:hAnsi="Consolas" w:cs="Consolas"/>
          <w:b w:val="0"/>
          <w:i w:val="0"/>
          <w:sz w:val="15"/>
        </w:rPr>
        <w:t>CREATE INDEX idx_qc_jobs_status ON qc_jobs(status);</w:t>
      </w:r>
    </w:p>
    <w:p>
      <w:pPr>
        <w:spacing w:after="0" w:before="0" w:line="240" w:lineRule="auto"/>
        <w:ind w:left="57"/>
        <w:jc w:val="left"/>
        <w:shd w:val="clear" w:fill="F2F2F2"/>
      </w:pPr>
      <w:r>
        <w:rPr>
          <w:rFonts w:ascii="Consolas" w:hAnsi="Consolas" w:cs="Consolas"/>
          <w:b w:val="0"/>
          <w:i w:val="0"/>
          <w:sz w:val="15"/>
        </w:rPr>
        <w:t>CREATE INDEX idx_inspection_logs_job ON inspection_logs(qc_job_id);</w:t>
      </w:r>
    </w:p>
    <w:p>
      <w:pPr>
        <w:spacing w:after="0" w:before="0" w:line="240" w:lineRule="auto"/>
        <w:ind w:left="57"/>
        <w:jc w:val="left"/>
        <w:shd w:val="clear" w:fill="F2F2F2"/>
      </w:pPr>
      <w:r>
        <w:rPr>
          <w:rFonts w:ascii="Consolas" w:hAnsi="Consolas" w:cs="Consolas"/>
          <w:b w:val="0"/>
          <w:i w:val="0"/>
          <w:sz w:val="15"/>
        </w:rPr>
        <w:t>CREATE INDEX idx_re_inspection_requests_ustn ON re_inspection_requests(original_ustn);</w:t>
      </w:r>
    </w:p>
    <w:p>
      <w:pPr>
        <w:spacing w:after="0" w:before="0" w:line="240" w:lineRule="auto"/>
        <w:ind w:left="57"/>
        <w:jc w:val="left"/>
        <w:shd w:val="clear" w:fill="F2F2F2"/>
      </w:pPr>
      <w:r>
        <w:rPr>
          <w:rFonts w:ascii="Consolas" w:hAnsi="Consolas" w:cs="Consolas"/>
          <w:b w:val="0"/>
          <w:i w:val="0"/>
          <w:sz w:val="15"/>
        </w:rPr>
        <w:t>CREATE INDEX idx_broker_certifications_ustn ON broker_certifications(ustn);</w:t>
      </w:r>
    </w:p>
    <w:p>
      <w:pPr>
        <w:spacing w:after="0" w:before="0" w:line="240" w:lineRule="auto"/>
        <w:ind w:left="57"/>
        <w:jc w:val="left"/>
        <w:shd w:val="clear" w:fill="F2F2F2"/>
      </w:pPr>
      <w:r>
        <w:rPr>
          <w:rFonts w:ascii="Consolas" w:hAnsi="Consolas" w:cs="Consolas"/>
          <w:b w:val="0"/>
          <w:i w:val="0"/>
          <w:sz w:val="15"/>
        </w:rPr>
        <w:t>CREATE INDEX idx_broker_physical_jobs_ustn ON broker_physical_jobs(ustn);</w:t>
      </w:r>
    </w:p>
    <w:p>
      <w:pPr>
        <w:spacing w:after="0" w:before="0" w:line="240" w:lineRule="auto"/>
        <w:ind w:left="57"/>
        <w:jc w:val="left"/>
        <w:shd w:val="clear" w:fill="F2F2F2"/>
      </w:pPr>
      <w:r>
        <w:rPr>
          <w:rFonts w:ascii="Consolas" w:hAnsi="Consolas" w:cs="Consolas"/>
          <w:b w:val="0"/>
          <w:i w:val="0"/>
          <w:sz w:val="15"/>
        </w:rPr>
        <w:t>CREATE INDEX idx_broker_storage_ustn ON broker_storage(ustn);</w:t>
      </w:r>
    </w:p>
    <w:p>
      <w:pPr>
        <w:spacing w:after="0" w:before="0" w:line="240" w:lineRule="auto"/>
        <w:ind w:left="57"/>
        <w:jc w:val="left"/>
        <w:shd w:val="clear" w:fill="F2F2F2"/>
      </w:pPr>
      <w:r>
        <w:rPr>
          <w:rFonts w:ascii="Consolas" w:hAnsi="Consolas" w:cs="Consolas"/>
          <w:b w:val="0"/>
          <w:i w:val="0"/>
          <w:sz w:val="15"/>
        </w:rPr>
        <w:t>CREATE INDEX idx_broker_storage_retention ON broker_storage(retention_expiry);</w:t>
      </w:r>
    </w:p>
    <w:p>
      <w:pPr>
        <w:spacing w:after="0" w:before="0" w:line="240" w:lineRule="auto"/>
        <w:ind w:left="57"/>
        <w:jc w:val="left"/>
        <w:shd w:val="clear" w:fill="F2F2F2"/>
      </w:pPr>
      <w:r>
        <w:rPr>
          <w:rFonts w:ascii="Consolas" w:hAnsi="Consolas" w:cs="Consolas"/>
          <w:b w:val="0"/>
          <w:i w:val="0"/>
          <w:sz w:val="15"/>
        </w:rPr>
        <w:t>CREATE INDEX idx_carrier_contracts_carrier ON carrier_contracts(carrier_gtid);</w:t>
      </w:r>
    </w:p>
    <w:p>
      <w:pPr>
        <w:spacing w:after="0" w:before="0" w:line="240" w:lineRule="auto"/>
        <w:ind w:left="57"/>
        <w:jc w:val="left"/>
        <w:shd w:val="clear" w:fill="F2F2F2"/>
      </w:pPr>
      <w:r>
        <w:rPr>
          <w:rFonts w:ascii="Consolas" w:hAnsi="Consolas" w:cs="Consolas"/>
          <w:b w:val="0"/>
          <w:i w:val="0"/>
          <w:sz w:val="15"/>
        </w:rPr>
        <w:t>CREATE INDEX idx_carrier_contracts_seller ON carrier_contracts(seller_gtid);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11.8.2 Implementation Checklist</w:t>
      </w:r>
    </w:p>
    <w:p>
      <w:pPr>
        <w:spacing w:after="80" w:line="293" w:lineRule="auto"/>
        <w:jc w:val="left"/>
      </w:pPr>
      <w:r>
        <w:rPr>
          <w:rFonts w:ascii="Times New Roman" w:hAnsi="Times New Roman" w:cs="Times New Roman"/>
          <w:b w:val="0"/>
          <w:i w:val="0"/>
          <w:sz w:val="22"/>
        </w:rPr>
        <w:t>Core infrastructure:</w:t>
      </w:r>
    </w:p>
    <w:p>
      <w:pPr>
        <w:spacing w:after="80" w:line="293" w:lineRule="auto"/>
        <w:ind w:left="283"/>
        <w:jc w:val="left"/>
      </w:pPr>
      <w:r>
        <w:rPr>
          <w:rFonts w:ascii="Times New Roman" w:hAnsi="Times New Roman" w:cs="Times New Roman"/>
          <w:b w:val="0"/>
          <w:i w:val="0"/>
          <w:sz w:val="22"/>
        </w:rPr>
        <w:t>- Split the LOG tenant type into LSP, SHIP, LAB, QC, CBR in the database (migration).</w:t>
      </w:r>
    </w:p>
    <w:p>
      <w:pPr>
        <w:spacing w:after="80" w:line="293" w:lineRule="auto"/>
        <w:ind w:left="283"/>
        <w:jc w:val="left"/>
      </w:pPr>
      <w:r>
        <w:rPr>
          <w:rFonts w:ascii="Times New Roman" w:hAnsi="Times New Roman" w:cs="Times New Roman"/>
          <w:b w:val="0"/>
          <w:i w:val="0"/>
          <w:sz w:val="22"/>
        </w:rPr>
        <w:t>- Implement the unified Service Provider Portal with dynamic tab rendering from declared capabilities.</w:t>
      </w:r>
    </w:p>
    <w:p>
      <w:pPr>
        <w:spacing w:after="80" w:line="293" w:lineRule="auto"/>
        <w:ind w:left="283"/>
        <w:jc w:val="left"/>
      </w:pPr>
      <w:r>
        <w:rPr>
          <w:rFonts w:ascii="Times New Roman" w:hAnsi="Times New Roman" w:cs="Times New Roman"/>
          <w:b w:val="0"/>
          <w:i w:val="0"/>
          <w:sz w:val="22"/>
        </w:rPr>
        <w:t>- Build the unified quotation service (quote-service) with provider-specific validation.</w:t>
      </w:r>
    </w:p>
    <w:p>
      <w:pPr>
        <w:spacing w:after="80" w:line="293" w:lineRule="auto"/>
        <w:ind w:left="283"/>
        <w:jc w:val="left"/>
      </w:pPr>
      <w:r>
        <w:rPr>
          <w:rFonts w:ascii="Times New Roman" w:hAnsi="Times New Roman" w:cs="Times New Roman"/>
          <w:b w:val="0"/>
          <w:i w:val="0"/>
          <w:sz w:val="22"/>
        </w:rPr>
        <w:t>- Implement automated invoice generation for accepted quotes (ETA-compliant).</w:t>
      </w:r>
    </w:p>
    <w:p>
      <w:pPr>
        <w:spacing w:after="80" w:line="293" w:lineRule="auto"/>
        <w:ind w:left="283"/>
        <w:jc w:val="left"/>
      </w:pPr>
      <w:r>
        <w:rPr>
          <w:rFonts w:ascii="Times New Roman" w:hAnsi="Times New Roman" w:cs="Times New Roman"/>
          <w:b w:val="0"/>
          <w:i w:val="0"/>
          <w:sz w:val="22"/>
        </w:rPr>
        <w:t>- Integrate invoices with the payment plan (Stage 1 or Stage 2).</w:t>
      </w:r>
    </w:p>
    <w:p>
      <w:pPr>
        <w:spacing w:after="80" w:line="293" w:lineRule="auto"/>
        <w:ind w:left="283"/>
        <w:jc w:val="left"/>
      </w:pPr>
      <w:r>
        <w:rPr>
          <w:rFonts w:ascii="Times New Roman" w:hAnsi="Times New Roman" w:cs="Times New Roman"/>
          <w:b w:val="0"/>
          <w:i w:val="0"/>
          <w:sz w:val="22"/>
        </w:rPr>
        <w:t>- Add multi-leg settlement configuration for provider payouts.</w:t>
      </w:r>
    </w:p>
    <w:p>
      <w:pPr>
        <w:spacing w:after="80" w:line="293" w:lineRule="auto"/>
        <w:jc w:val="left"/>
      </w:pPr>
      <w:r>
        <w:rPr>
          <w:rFonts w:ascii="Times New Roman" w:hAnsi="Times New Roman" w:cs="Times New Roman"/>
          <w:b w:val="0"/>
          <w:i w:val="0"/>
          <w:sz w:val="22"/>
        </w:rPr>
        <w:t>LSP portal:</w:t>
      </w:r>
    </w:p>
    <w:p>
      <w:pPr>
        <w:spacing w:after="80" w:line="293" w:lineRule="auto"/>
        <w:ind w:left="283"/>
        <w:jc w:val="left"/>
      </w:pPr>
      <w:r>
        <w:rPr>
          <w:rFonts w:ascii="Times New Roman" w:hAnsi="Times New Roman" w:cs="Times New Roman"/>
          <w:b w:val="0"/>
          <w:i w:val="0"/>
          <w:sz w:val="22"/>
        </w:rPr>
        <w:t>- Implement the RFQ Inbox with directed and anonymous broadcast.</w:t>
      </w:r>
    </w:p>
    <w:p>
      <w:pPr>
        <w:spacing w:after="80" w:line="293" w:lineRule="auto"/>
        <w:ind w:left="283"/>
        <w:jc w:val="left"/>
      </w:pPr>
      <w:r>
        <w:rPr>
          <w:rFonts w:ascii="Times New Roman" w:hAnsi="Times New Roman" w:cs="Times New Roman"/>
          <w:b w:val="0"/>
          <w:i w:val="0"/>
          <w:sz w:val="22"/>
        </w:rPr>
        <w:t>- Add the clarification request workflow (structured Q&amp;A).</w:t>
      </w:r>
    </w:p>
    <w:p>
      <w:pPr>
        <w:spacing w:after="80" w:line="293" w:lineRule="auto"/>
        <w:ind w:left="283"/>
        <w:jc w:val="left"/>
      </w:pPr>
      <w:r>
        <w:rPr>
          <w:rFonts w:ascii="Times New Roman" w:hAnsi="Times New Roman" w:cs="Times New Roman"/>
          <w:b w:val="0"/>
          <w:i w:val="0"/>
          <w:sz w:val="22"/>
        </w:rPr>
        <w:t>- Build the Dispatch Planner (ORTools VRP) with driver assignment.</w:t>
      </w:r>
    </w:p>
    <w:p>
      <w:pPr>
        <w:spacing w:after="80" w:line="293" w:lineRule="auto"/>
        <w:ind w:left="283"/>
        <w:jc w:val="left"/>
      </w:pPr>
      <w:r>
        <w:rPr>
          <w:rFonts w:ascii="Times New Roman" w:hAnsi="Times New Roman" w:cs="Times New Roman"/>
          <w:b w:val="0"/>
          <w:i w:val="0"/>
          <w:sz w:val="22"/>
        </w:rPr>
        <w:t>- Build the Warehouse Dashboard (warehousing only) with storage utilisation.</w:t>
      </w:r>
    </w:p>
    <w:p>
      <w:pPr>
        <w:spacing w:after="80" w:line="293" w:lineRule="auto"/>
        <w:ind w:left="283"/>
        <w:jc w:val="left"/>
      </w:pPr>
      <w:r>
        <w:rPr>
          <w:rFonts w:ascii="Times New Roman" w:hAnsi="Times New Roman" w:cs="Times New Roman"/>
          <w:b w:val="0"/>
          <w:i w:val="0"/>
          <w:sz w:val="22"/>
        </w:rPr>
        <w:t>- Build the Forwarder Console (forwarding only) with subcontractor network and LCL consolidation.</w:t>
      </w:r>
    </w:p>
    <w:p>
      <w:pPr>
        <w:spacing w:after="80" w:line="293" w:lineRule="auto"/>
        <w:ind w:left="283"/>
        <w:jc w:val="left"/>
      </w:pPr>
      <w:r>
        <w:rPr>
          <w:rFonts w:ascii="Times New Roman" w:hAnsi="Times New Roman" w:cs="Times New Roman"/>
          <w:b w:val="0"/>
          <w:i w:val="0"/>
          <w:sz w:val="22"/>
        </w:rPr>
        <w:t>- Implement Driver Mobile App management (QR pairing, offline queue, driver assignment).</w:t>
      </w:r>
    </w:p>
    <w:p>
      <w:pPr>
        <w:spacing w:after="80" w:line="293" w:lineRule="auto"/>
        <w:jc w:val="left"/>
      </w:pPr>
      <w:r>
        <w:rPr>
          <w:rFonts w:ascii="Times New Roman" w:hAnsi="Times New Roman" w:cs="Times New Roman"/>
          <w:b w:val="0"/>
          <w:i w:val="0"/>
          <w:sz w:val="22"/>
        </w:rPr>
        <w:t>SHIP portal:</w:t>
      </w:r>
    </w:p>
    <w:p>
      <w:pPr>
        <w:spacing w:after="80" w:line="293" w:lineRule="auto"/>
        <w:ind w:left="283"/>
        <w:jc w:val="left"/>
      </w:pPr>
      <w:r>
        <w:rPr>
          <w:rFonts w:ascii="Times New Roman" w:hAnsi="Times New Roman" w:cs="Times New Roman"/>
          <w:b w:val="0"/>
          <w:i w:val="0"/>
          <w:sz w:val="22"/>
        </w:rPr>
        <w:t>- Implement Booking Requests with quote submission (Mode C).</w:t>
      </w:r>
    </w:p>
    <w:p>
      <w:pPr>
        <w:spacing w:after="80" w:line="293" w:lineRule="auto"/>
        <w:ind w:left="283"/>
        <w:jc w:val="left"/>
      </w:pPr>
      <w:r>
        <w:rPr>
          <w:rFonts w:ascii="Times New Roman" w:hAnsi="Times New Roman" w:cs="Times New Roman"/>
          <w:b w:val="0"/>
          <w:i w:val="0"/>
          <w:sz w:val="22"/>
        </w:rPr>
        <w:t>- Add eBL Management with webhook integration.</w:t>
      </w:r>
    </w:p>
    <w:p>
      <w:pPr>
        <w:spacing w:after="80" w:line="293" w:lineRule="auto"/>
        <w:ind w:left="283"/>
        <w:jc w:val="left"/>
      </w:pPr>
      <w:r>
        <w:rPr>
          <w:rFonts w:ascii="Times New Roman" w:hAnsi="Times New Roman" w:cs="Times New Roman"/>
          <w:b w:val="0"/>
          <w:i w:val="0"/>
          <w:sz w:val="22"/>
        </w:rPr>
        <w:t>- Build the Vessel Schedule with ETD/ETA propagation.</w:t>
      </w:r>
    </w:p>
    <w:p>
      <w:pPr>
        <w:spacing w:after="80" w:line="293" w:lineRule="auto"/>
        <w:ind w:left="283"/>
        <w:jc w:val="left"/>
      </w:pPr>
      <w:r>
        <w:rPr>
          <w:rFonts w:ascii="Times New Roman" w:hAnsi="Times New Roman" w:cs="Times New Roman"/>
          <w:b w:val="0"/>
          <w:i w:val="0"/>
          <w:sz w:val="22"/>
        </w:rPr>
        <w:t>- Implement Freight Invoices with credit/mandatory terms.</w:t>
      </w:r>
    </w:p>
    <w:p>
      <w:pPr>
        <w:spacing w:after="80" w:line="293" w:lineRule="auto"/>
        <w:ind w:left="283"/>
        <w:jc w:val="left"/>
      </w:pPr>
      <w:r>
        <w:rPr>
          <w:rFonts w:ascii="Times New Roman" w:hAnsi="Times New Roman" w:cs="Times New Roman"/>
          <w:b w:val="0"/>
          <w:i w:val="0"/>
          <w:sz w:val="22"/>
        </w:rPr>
        <w:t>- Build the Contract Rate Manager (private rates per seller).</w:t>
      </w:r>
    </w:p>
    <w:p>
      <w:pPr>
        <w:spacing w:after="80" w:line="293" w:lineRule="auto"/>
        <w:jc w:val="left"/>
      </w:pPr>
      <w:r>
        <w:rPr>
          <w:rFonts w:ascii="Times New Roman" w:hAnsi="Times New Roman" w:cs="Times New Roman"/>
          <w:b w:val="0"/>
          <w:i w:val="0"/>
          <w:sz w:val="22"/>
        </w:rPr>
        <w:t>LAB portal:</w:t>
      </w:r>
    </w:p>
    <w:p>
      <w:pPr>
        <w:spacing w:after="80" w:line="293" w:lineRule="auto"/>
        <w:ind w:left="283"/>
        <w:jc w:val="left"/>
      </w:pPr>
      <w:r>
        <w:rPr>
          <w:rFonts w:ascii="Times New Roman" w:hAnsi="Times New Roman" w:cs="Times New Roman"/>
          <w:b w:val="0"/>
          <w:i w:val="0"/>
          <w:sz w:val="22"/>
        </w:rPr>
        <w:t>- Implement Testing Jobs with sample tracking.</w:t>
      </w:r>
    </w:p>
    <w:p>
      <w:pPr>
        <w:spacing w:after="80" w:line="293" w:lineRule="auto"/>
        <w:ind w:left="283"/>
        <w:jc w:val="left"/>
      </w:pPr>
      <w:r>
        <w:rPr>
          <w:rFonts w:ascii="Times New Roman" w:hAnsi="Times New Roman" w:cs="Times New Roman"/>
          <w:b w:val="0"/>
          <w:i w:val="0"/>
          <w:sz w:val="22"/>
        </w:rPr>
        <w:t>- Build Result Submission with MRL validation (A2).</w:t>
      </w:r>
    </w:p>
    <w:p>
      <w:pPr>
        <w:spacing w:after="80" w:line="293" w:lineRule="auto"/>
        <w:ind w:left="283"/>
        <w:jc w:val="left"/>
      </w:pPr>
      <w:r>
        <w:rPr>
          <w:rFonts w:ascii="Times New Roman" w:hAnsi="Times New Roman" w:cs="Times New Roman"/>
          <w:b w:val="0"/>
          <w:i w:val="0"/>
          <w:sz w:val="22"/>
        </w:rPr>
        <w:t>- Add certificate auto-triggering (Nafeza integration).</w:t>
      </w:r>
    </w:p>
    <w:p>
      <w:pPr>
        <w:spacing w:after="80" w:line="293" w:lineRule="auto"/>
        <w:ind w:left="283"/>
        <w:jc w:val="left"/>
      </w:pPr>
      <w:r>
        <w:rPr>
          <w:rFonts w:ascii="Times New Roman" w:hAnsi="Times New Roman" w:cs="Times New Roman"/>
          <w:b w:val="0"/>
          <w:i w:val="0"/>
          <w:sz w:val="22"/>
        </w:rPr>
        <w:t>- Implement structured result entry with override capability.</w:t>
      </w:r>
    </w:p>
    <w:p>
      <w:pPr>
        <w:spacing w:after="80" w:line="293" w:lineRule="auto"/>
        <w:jc w:val="left"/>
      </w:pPr>
      <w:r>
        <w:rPr>
          <w:rFonts w:ascii="Times New Roman" w:hAnsi="Times New Roman" w:cs="Times New Roman"/>
          <w:b w:val="0"/>
          <w:i w:val="0"/>
          <w:sz w:val="22"/>
        </w:rPr>
        <w:t>QC portal:</w:t>
      </w:r>
    </w:p>
    <w:p>
      <w:pPr>
        <w:spacing w:after="80" w:line="293" w:lineRule="auto"/>
        <w:ind w:left="283"/>
        <w:jc w:val="left"/>
      </w:pPr>
      <w:r>
        <w:rPr>
          <w:rFonts w:ascii="Times New Roman" w:hAnsi="Times New Roman" w:cs="Times New Roman"/>
          <w:b w:val="0"/>
          <w:i w:val="0"/>
          <w:sz w:val="22"/>
        </w:rPr>
        <w:t>- Implement Inspection Jobs with AQL sampling enforcement.</w:t>
      </w:r>
    </w:p>
    <w:p>
      <w:pPr>
        <w:spacing w:after="80" w:line="293" w:lineRule="auto"/>
        <w:ind w:left="283"/>
        <w:jc w:val="left"/>
      </w:pPr>
      <w:r>
        <w:rPr>
          <w:rFonts w:ascii="Times New Roman" w:hAnsi="Times New Roman" w:cs="Times New Roman"/>
          <w:b w:val="0"/>
          <w:i w:val="0"/>
          <w:sz w:val="22"/>
        </w:rPr>
        <w:t>- Build Mobile App integration (offline-first, AR, defect detection).</w:t>
      </w:r>
    </w:p>
    <w:p>
      <w:pPr>
        <w:spacing w:after="80" w:line="293" w:lineRule="auto"/>
        <w:ind w:left="283"/>
        <w:jc w:val="left"/>
      </w:pPr>
      <w:r>
        <w:rPr>
          <w:rFonts w:ascii="Times New Roman" w:hAnsi="Times New Roman" w:cs="Times New Roman"/>
          <w:b w:val="0"/>
          <w:i w:val="0"/>
          <w:sz w:val="22"/>
        </w:rPr>
        <w:t>- Implement Report Submission with PASS/FAIL/CONDITIONAL verdicts.</w:t>
      </w:r>
    </w:p>
    <w:p>
      <w:pPr>
        <w:spacing w:after="80" w:line="293" w:lineRule="auto"/>
        <w:ind w:left="283"/>
        <w:jc w:val="left"/>
      </w:pPr>
      <w:r>
        <w:rPr>
          <w:rFonts w:ascii="Times New Roman" w:hAnsi="Times New Roman" w:cs="Times New Roman"/>
          <w:b w:val="0"/>
          <w:i w:val="0"/>
          <w:sz w:val="22"/>
        </w:rPr>
        <w:t>- Add Conditional Pass with action plan and hold flag.</w:t>
      </w:r>
    </w:p>
    <w:p>
      <w:pPr>
        <w:spacing w:after="80" w:line="293" w:lineRule="auto"/>
        <w:ind w:left="283"/>
        <w:jc w:val="left"/>
      </w:pPr>
      <w:r>
        <w:rPr>
          <w:rFonts w:ascii="Times New Roman" w:hAnsi="Times New Roman" w:cs="Times New Roman"/>
          <w:b w:val="0"/>
          <w:i w:val="0"/>
          <w:sz w:val="22"/>
        </w:rPr>
        <w:t>- Build the Re-inspection Request workflow.</w:t>
      </w:r>
    </w:p>
    <w:p>
      <w:pPr>
        <w:spacing w:after="80" w:line="293" w:lineRule="auto"/>
        <w:ind w:left="283"/>
        <w:jc w:val="left"/>
      </w:pPr>
      <w:r>
        <w:rPr>
          <w:rFonts w:ascii="Times New Roman" w:hAnsi="Times New Roman" w:cs="Times New Roman"/>
          <w:b w:val="0"/>
          <w:i w:val="0"/>
          <w:sz w:val="22"/>
        </w:rPr>
        <w:t>- Implement the Dispute Fast-Track with override flagging.</w:t>
      </w:r>
    </w:p>
    <w:p>
      <w:pPr>
        <w:spacing w:after="80" w:line="293" w:lineRule="auto"/>
        <w:jc w:val="left"/>
      </w:pPr>
      <w:r>
        <w:rPr>
          <w:rFonts w:ascii="Times New Roman" w:hAnsi="Times New Roman" w:cs="Times New Roman"/>
          <w:b w:val="0"/>
          <w:i w:val="0"/>
          <w:sz w:val="22"/>
        </w:rPr>
        <w:t>CBR portal:</w:t>
      </w:r>
    </w:p>
    <w:p>
      <w:pPr>
        <w:spacing w:after="80" w:line="293" w:lineRule="auto"/>
        <w:ind w:left="283"/>
        <w:jc w:val="left"/>
      </w:pPr>
      <w:r>
        <w:rPr>
          <w:rFonts w:ascii="Times New Roman" w:hAnsi="Times New Roman" w:cs="Times New Roman"/>
          <w:b w:val="0"/>
          <w:i w:val="0"/>
          <w:sz w:val="22"/>
        </w:rPr>
        <w:t>- Implement Certification Requests with declaration preview.</w:t>
      </w:r>
    </w:p>
    <w:p>
      <w:pPr>
        <w:spacing w:after="80" w:line="293" w:lineRule="auto"/>
        <w:ind w:left="283"/>
        <w:jc w:val="left"/>
      </w:pPr>
      <w:r>
        <w:rPr>
          <w:rFonts w:ascii="Times New Roman" w:hAnsi="Times New Roman" w:cs="Times New Roman"/>
          <w:b w:val="0"/>
          <w:i w:val="0"/>
          <w:sz w:val="22"/>
        </w:rPr>
        <w:t>- Build Physical Document Jobs with QR scanning and GPS tracking.</w:t>
      </w:r>
    </w:p>
    <w:p>
      <w:pPr>
        <w:spacing w:after="80" w:line="293" w:lineRule="auto"/>
        <w:ind w:left="283"/>
        <w:jc w:val="left"/>
      </w:pPr>
      <w:r>
        <w:rPr>
          <w:rFonts w:ascii="Times New Roman" w:hAnsi="Times New Roman" w:cs="Times New Roman"/>
          <w:b w:val="0"/>
          <w:i w:val="0"/>
          <w:sz w:val="22"/>
        </w:rPr>
        <w:t>- Implement Storage management with retention expiry.</w:t>
      </w:r>
    </w:p>
    <w:p>
      <w:pPr>
        <w:spacing w:after="80" w:line="293" w:lineRule="auto"/>
        <w:ind w:left="283"/>
        <w:jc w:val="left"/>
      </w:pPr>
      <w:r>
        <w:rPr>
          <w:rFonts w:ascii="Times New Roman" w:hAnsi="Times New Roman" w:cs="Times New Roman"/>
          <w:b w:val="0"/>
          <w:i w:val="0"/>
          <w:sz w:val="22"/>
        </w:rPr>
        <w:t>- Build the Audit Representation workflow.</w:t>
      </w:r>
    </w:p>
    <w:p>
      <w:pPr>
        <w:spacing w:after="80" w:line="293" w:lineRule="auto"/>
        <w:ind w:left="283"/>
        <w:jc w:val="left"/>
      </w:pPr>
      <w:r>
        <w:rPr>
          <w:rFonts w:ascii="Times New Roman" w:hAnsi="Times New Roman" w:cs="Times New Roman"/>
          <w:b w:val="0"/>
          <w:i w:val="0"/>
          <w:sz w:val="22"/>
        </w:rPr>
        <w:t>- Add Digital Seal management (mTLS + SoftHSM).</w:t>
      </w:r>
    </w:p>
    <w:p>
      <w:pPr>
        <w:spacing w:after="80" w:line="293" w:lineRule="auto"/>
        <w:jc w:val="left"/>
      </w:pPr>
      <w:r>
        <w:rPr>
          <w:rFonts w:ascii="Times New Roman" w:hAnsi="Times New Roman" w:cs="Times New Roman"/>
          <w:b w:val="0"/>
          <w:i w:val="0"/>
          <w:sz w:val="22"/>
        </w:rPr>
        <w:t>Performance &amp; analytics:</w:t>
      </w:r>
    </w:p>
    <w:p>
      <w:pPr>
        <w:spacing w:after="80" w:line="293" w:lineRule="auto"/>
        <w:ind w:left="283"/>
        <w:jc w:val="left"/>
      </w:pPr>
      <w:r>
        <w:rPr>
          <w:rFonts w:ascii="Times New Roman" w:hAnsi="Times New Roman" w:cs="Times New Roman"/>
          <w:b w:val="0"/>
          <w:i w:val="0"/>
          <w:sz w:val="22"/>
        </w:rPr>
        <w:t>- Build the Provider Performance dashboard (on-time, dispute rate, invoice accuracy).</w:t>
      </w:r>
    </w:p>
    <w:p>
      <w:pPr>
        <w:spacing w:after="80" w:line="293" w:lineRule="auto"/>
        <w:ind w:left="283"/>
        <w:jc w:val="left"/>
      </w:pPr>
      <w:r>
        <w:rPr>
          <w:rFonts w:ascii="Times New Roman" w:hAnsi="Times New Roman" w:cs="Times New Roman"/>
          <w:b w:val="0"/>
          <w:i w:val="0"/>
          <w:sz w:val="22"/>
        </w:rPr>
        <w:t>- Implement anonymous benchmarks (differential privacy, ε = 0.1).</w:t>
      </w:r>
    </w:p>
    <w:p>
      <w:pPr>
        <w:spacing w:after="80" w:line="293" w:lineRule="auto"/>
        <w:ind w:left="283"/>
        <w:jc w:val="left"/>
      </w:pPr>
      <w:r>
        <w:rPr>
          <w:rFonts w:ascii="Times New Roman" w:hAnsi="Times New Roman" w:cs="Times New Roman"/>
          <w:b w:val="0"/>
          <w:i w:val="0"/>
          <w:sz w:val="22"/>
        </w:rPr>
        <w:t>- Add Groq-generated performance summaries (A1).</w:t>
      </w:r>
    </w:p>
    <w:p>
      <w:pPr>
        <w:spacing w:after="80" w:line="293" w:lineRule="auto"/>
        <w:jc w:val="left"/>
      </w:pPr>
      <w:r>
        <w:rPr>
          <w:rFonts w:ascii="Times New Roman" w:hAnsi="Times New Roman" w:cs="Times New Roman"/>
          <w:b w:val="0"/>
          <w:i w:val="0"/>
          <w:sz w:val="22"/>
        </w:rPr>
        <w:t>Warm-up program &amp; opt-out:</w:t>
      </w:r>
    </w:p>
    <w:p>
      <w:pPr>
        <w:spacing w:after="80" w:line="293" w:lineRule="auto"/>
        <w:ind w:left="283"/>
        <w:jc w:val="left"/>
      </w:pPr>
      <w:r>
        <w:rPr>
          <w:rFonts w:ascii="Times New Roman" w:hAnsi="Times New Roman" w:cs="Times New Roman"/>
          <w:b w:val="0"/>
          <w:i w:val="0"/>
          <w:sz w:val="22"/>
        </w:rPr>
        <w:t>- Implement co-branded email notifications ("Seller via SGTX").</w:t>
      </w:r>
    </w:p>
    <w:p>
      <w:pPr>
        <w:spacing w:after="80" w:line="293" w:lineRule="auto"/>
        <w:ind w:left="283"/>
        <w:jc w:val="left"/>
      </w:pPr>
      <w:r>
        <w:rPr>
          <w:rFonts w:ascii="Times New Roman" w:hAnsi="Times New Roman" w:cs="Times New Roman"/>
          <w:b w:val="0"/>
          <w:i w:val="0"/>
          <w:sz w:val="22"/>
        </w:rPr>
        <w:t>- Add the "Unsubscribe from anonymous RFQs" link in emails.</w:t>
      </w:r>
    </w:p>
    <w:p>
      <w:pPr>
        <w:spacing w:after="80" w:line="293" w:lineRule="auto"/>
        <w:ind w:left="283"/>
        <w:jc w:val="left"/>
      </w:pPr>
      <w:r>
        <w:rPr>
          <w:rFonts w:ascii="Times New Roman" w:hAnsi="Times New Roman" w:cs="Times New Roman"/>
          <w:b w:val="0"/>
          <w:i w:val="0"/>
          <w:sz w:val="22"/>
        </w:rPr>
        <w:t>- Build the preferences UI (Company Admin → Notification Preferences).</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Test the full LSP workflow: RFQ → clarification → quote → acceptance → milestone confirmation → payment.</w:t>
      </w:r>
    </w:p>
    <w:p>
      <w:pPr>
        <w:spacing w:after="80" w:line="293" w:lineRule="auto"/>
        <w:ind w:left="283"/>
        <w:jc w:val="left"/>
      </w:pPr>
      <w:r>
        <w:rPr>
          <w:rFonts w:ascii="Times New Roman" w:hAnsi="Times New Roman" w:cs="Times New Roman"/>
          <w:b w:val="0"/>
          <w:i w:val="0"/>
          <w:sz w:val="22"/>
        </w:rPr>
        <w:t>- Test the full SHIP workflow: booking request → quote → confirmation → eBL → milestone update.</w:t>
      </w:r>
    </w:p>
    <w:p>
      <w:pPr>
        <w:spacing w:after="80" w:line="293" w:lineRule="auto"/>
        <w:ind w:left="283"/>
        <w:jc w:val="left"/>
      </w:pPr>
      <w:r>
        <w:rPr>
          <w:rFonts w:ascii="Times New Roman" w:hAnsi="Times New Roman" w:cs="Times New Roman"/>
          <w:b w:val="0"/>
          <w:i w:val="0"/>
          <w:sz w:val="22"/>
        </w:rPr>
        <w:t>- Test the full LAB workflow: test request → quote → sample receipt → results → certificate trigger.</w:t>
      </w:r>
    </w:p>
    <w:p>
      <w:pPr>
        <w:spacing w:after="80" w:line="293" w:lineRule="auto"/>
        <w:ind w:left="283"/>
        <w:jc w:val="left"/>
      </w:pPr>
      <w:r>
        <w:rPr>
          <w:rFonts w:ascii="Times New Roman" w:hAnsi="Times New Roman" w:cs="Times New Roman"/>
          <w:b w:val="0"/>
          <w:i w:val="0"/>
          <w:sz w:val="22"/>
        </w:rPr>
        <w:t>- Test the full QC workflow: inspection job → mobile inspection → report (PASS/FAIL/CONDITIONAL) → hold removal.</w:t>
      </w:r>
    </w:p>
    <w:p>
      <w:pPr>
        <w:spacing w:after="80" w:line="293" w:lineRule="auto"/>
        <w:ind w:left="283"/>
        <w:jc w:val="left"/>
      </w:pPr>
      <w:r>
        <w:rPr>
          <w:rFonts w:ascii="Times New Roman" w:hAnsi="Times New Roman" w:cs="Times New Roman"/>
          <w:b w:val="0"/>
          <w:i w:val="0"/>
          <w:sz w:val="22"/>
        </w:rPr>
        <w:t>- Test the full CBR workflow: certification → physical handling → storage.</w:t>
      </w:r>
    </w:p>
    <w:p>
      <w:pPr>
        <w:spacing w:after="80" w:line="293" w:lineRule="auto"/>
        <w:ind w:left="283"/>
        <w:jc w:val="left"/>
      </w:pPr>
      <w:r>
        <w:rPr>
          <w:rFonts w:ascii="Times New Roman" w:hAnsi="Times New Roman" w:cs="Times New Roman"/>
          <w:b w:val="0"/>
          <w:i w:val="0"/>
          <w:sz w:val="22"/>
        </w:rPr>
        <w:t>- Test Incoterm-based service filtering.</w:t>
      </w:r>
    </w:p>
    <w:p>
      <w:pPr>
        <w:spacing w:after="80" w:line="293" w:lineRule="auto"/>
        <w:ind w:left="283"/>
        <w:jc w:val="left"/>
      </w:pPr>
      <w:r>
        <w:rPr>
          <w:rFonts w:ascii="Times New Roman" w:hAnsi="Times New Roman" w:cs="Times New Roman"/>
          <w:b w:val="0"/>
          <w:i w:val="0"/>
          <w:sz w:val="22"/>
        </w:rPr>
        <w:t>- Test the anonymous RFQ opt-out.</w:t>
      </w:r>
    </w:p>
    <w:p>
      <w:pPr>
        <w:spacing w:after="80" w:line="293" w:lineRule="auto"/>
        <w:ind w:left="283"/>
        <w:jc w:val="left"/>
      </w:pPr>
      <w:r>
        <w:rPr>
          <w:rFonts w:ascii="Times New Roman" w:hAnsi="Times New Roman" w:cs="Times New Roman"/>
          <w:b w:val="0"/>
          <w:i w:val="0"/>
          <w:sz w:val="22"/>
        </w:rPr>
        <w:t>- Test the provider performance dashboard.</w:t>
      </w:r>
    </w:p>
    <w:p>
      <w:pPr>
        <w:keepNext/>
        <w:spacing w:before="180" w:after="80"/>
        <w:outlineLvl w:val="2"/>
      </w:pPr>
      <w:r>
        <w:rPr>
          <w:rFonts w:ascii="Arial" w:hAnsi="Arial" w:cs="Arial"/>
          <w:b/>
          <w:i w:val="0"/>
          <w:color w:val="333333"/>
          <w:sz w:val="23"/>
        </w:rPr>
        <w:t>11.8.3 AI Authority Summary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Authority</w:t>
            </w:r>
          </w:p>
        </w:tc>
        <w:tc>
          <w:tcPr>
            <w:tcW w:type="dxa" w:w="4819"/>
            <w:shd w:val="clear" w:fill="D9E2F3"/>
          </w:tcPr>
          <w:p>
            <w:pPr>
              <w:spacing w:after="20" w:before="20" w:line="240" w:lineRule="auto"/>
            </w:pPr>
            <w:r/>
            <w:r>
              <w:rPr>
                <w:rFonts w:ascii="Arial" w:hAnsi="Arial" w:cs="Arial"/>
                <w:b/>
                <w:i w:val="0"/>
                <w:sz w:val="18"/>
              </w:rPr>
              <w:t>Role in the Capability Model</w:t>
            </w:r>
          </w:p>
        </w:tc>
      </w:tr>
      <w:tr>
        <w:tc>
          <w:tcPr>
            <w:tcW w:type="dxa" w:w="4819"/>
          </w:tcPr>
          <w:p>
            <w:pPr>
              <w:spacing w:after="20" w:before="20" w:line="240" w:lineRule="auto"/>
            </w:pPr>
            <w:r/>
            <w:r>
              <w:rPr>
                <w:rFonts w:ascii="Arial" w:hAnsi="Arial" w:cs="Arial"/>
                <w:b w:val="0"/>
                <w:i w:val="0"/>
                <w:sz w:val="17"/>
              </w:rPr>
              <w:t>A1 (advisory)</w:t>
            </w:r>
          </w:p>
        </w:tc>
        <w:tc>
          <w:tcPr>
            <w:tcW w:type="dxa" w:w="4819"/>
          </w:tcPr>
          <w:p>
            <w:pPr>
              <w:spacing w:after="20" w:before="20" w:line="240" w:lineRule="auto"/>
            </w:pPr>
            <w:r/>
            <w:r>
              <w:rPr>
                <w:rFonts w:ascii="Arial" w:hAnsi="Arial" w:cs="Arial"/>
                <w:b w:val="0"/>
                <w:i w:val="0"/>
                <w:sz w:val="17"/>
              </w:rPr>
              <w:t>Quote price suggestions; match score and sailing schedule suggestions; report drafting; performance summaries; Groq-generated explanations</w:t>
            </w:r>
          </w:p>
        </w:tc>
      </w:tr>
      <w:tr>
        <w:tc>
          <w:tcPr>
            <w:tcW w:type="dxa" w:w="4819"/>
          </w:tcPr>
          <w:p>
            <w:pPr>
              <w:spacing w:after="20" w:before="20" w:line="240" w:lineRule="auto"/>
            </w:pPr>
            <w:r/>
            <w:r>
              <w:rPr>
                <w:rFonts w:ascii="Arial" w:hAnsi="Arial" w:cs="Arial"/>
                <w:b w:val="0"/>
                <w:i w:val="0"/>
                <w:sz w:val="17"/>
              </w:rPr>
              <w:t>A2 (constraining)</w:t>
            </w:r>
          </w:p>
        </w:tc>
        <w:tc>
          <w:tcPr>
            <w:tcW w:type="dxa" w:w="4819"/>
          </w:tcPr>
          <w:p>
            <w:pPr>
              <w:spacing w:after="20" w:before="20" w:line="240" w:lineRule="auto"/>
            </w:pPr>
            <w:r/>
            <w:r>
              <w:rPr>
                <w:rFonts w:ascii="Arial" w:hAnsi="Arial" w:cs="Arial"/>
                <w:b w:val="0"/>
                <w:i w:val="0"/>
                <w:sz w:val="17"/>
              </w:rPr>
              <w:t>Route optimisation (OSRM); MRL validation and result extraction; eBL extraction (HF Donut); defect detection and override enforcement (HF ViT); AI declaration confidence; anonymous benchmark generation</w:t>
            </w:r>
          </w:p>
        </w:tc>
      </w:tr>
      <w:tr>
        <w:tc>
          <w:tcPr>
            <w:tcW w:type="dxa" w:w="4819"/>
          </w:tcPr>
          <w:p>
            <w:pPr>
              <w:spacing w:after="20" w:before="20" w:line="240" w:lineRule="auto"/>
            </w:pPr>
            <w:r/>
            <w:r>
              <w:rPr>
                <w:rFonts w:ascii="Arial" w:hAnsi="Arial" w:cs="Arial"/>
                <w:b w:val="0"/>
                <w:i w:val="0"/>
                <w:sz w:val="17"/>
              </w:rPr>
              <w:t>A4 (constitutional)</w:t>
            </w:r>
          </w:p>
        </w:tc>
        <w:tc>
          <w:tcPr>
            <w:tcW w:type="dxa" w:w="4819"/>
          </w:tcPr>
          <w:p>
            <w:pPr>
              <w:spacing w:after="20" w:before="20" w:line="240" w:lineRule="auto"/>
            </w:pPr>
            <w:r/>
            <w:r>
              <w:rPr>
                <w:rFonts w:ascii="Arial" w:hAnsi="Arial" w:cs="Arial"/>
                <w:b w:val="0"/>
                <w:i w:val="0"/>
                <w:sz w:val="17"/>
              </w:rPr>
              <w:t>Milestone confirmation; booking confirmation validation; certificate triggering; certification enforcement; Governor validation of quotation acceptance and invoice generation</w:t>
            </w:r>
          </w:p>
        </w:tc>
      </w:tr>
    </w:tbl>
    <w:p>
      <w:pPr>
        <w:spacing w:after="120"/>
      </w:pPr>
      <w:r>
        <w:rPr>
          <w:rFonts w:ascii="Times New Roman" w:hAnsi="Times New Roman" w:cs="Times New Roman"/>
          <w:b w:val="0"/>
          <w:i w:val="0"/>
          <w:sz w:val="4"/>
        </w:rPr>
        <w:t xml:space="preserve"> </w:t>
      </w:r>
    </w:p>
    <w:p>
      <w:pPr>
        <w:keepNext/>
        <w:spacing w:before="360" w:after="160"/>
        <w:outlineLvl w:val="0"/>
      </w:pPr>
      <w:r>
        <w:rPr>
          <w:rFonts w:ascii="Arial" w:hAnsi="Arial" w:cs="Arial"/>
          <w:b/>
          <w:i w:val="0"/>
          <w:color w:val="1F3864"/>
          <w:sz w:val="32"/>
        </w:rPr>
        <w:t>12. Physical Execution &amp; Multiparty Tracking — Phase 5</w:t>
      </w:r>
    </w:p>
    <w:p>
      <w:pPr>
        <w:keepNext/>
        <w:spacing w:before="240" w:after="100"/>
        <w:outlineLvl w:val="1"/>
      </w:pPr>
      <w:r>
        <w:rPr>
          <w:rFonts w:ascii="Arial" w:hAnsi="Arial" w:cs="Arial"/>
          <w:b/>
          <w:i w:val="0"/>
          <w:color w:val="2E528F"/>
          <w:sz w:val="26"/>
        </w:rPr>
        <w:t>12.1 Purpose</w:t>
      </w:r>
    </w:p>
    <w:p>
      <w:pPr>
        <w:spacing w:after="80" w:line="293" w:lineRule="auto"/>
        <w:jc w:val="left"/>
      </w:pPr>
      <w:r>
        <w:rPr>
          <w:rFonts w:ascii="Times New Roman" w:hAnsi="Times New Roman" w:cs="Times New Roman"/>
          <w:b w:val="0"/>
          <w:i w:val="0"/>
          <w:sz w:val="22"/>
        </w:rPr>
        <w:t>Phase 5 is the operational heart of the platform. After contract lock, the trade moves from the digital realm into the physical world — containers are loaded, vessels depart, goods are tracked, and delivery is confirmed. Phase 5 coordinates actual physical trade execution across warehouse → truck → inspection → terminal → customs → vessel/air/road/RoRo → destination → buyer → delivery, coordinating multiple parties (seller, buyer, logistics providers, shipping lines, QC inspectors, customs brokers) through a unified, AI-assisted, real-time tracking system.</w:t>
      </w:r>
    </w:p>
    <w:p>
      <w:pPr>
        <w:spacing w:after="80" w:line="293" w:lineRule="auto"/>
        <w:jc w:val="left"/>
      </w:pPr>
      <w:r>
        <w:rPr>
          <w:rFonts w:ascii="Times New Roman" w:hAnsi="Times New Roman" w:cs="Times New Roman"/>
          <w:b/>
          <w:i w:val="0"/>
          <w:sz w:val="22"/>
        </w:rPr>
        <w:t>Golden Principle:</w:t>
      </w:r>
      <w:r>
        <w:rPr>
          <w:rFonts w:ascii="Times New Roman" w:hAnsi="Times New Roman" w:cs="Times New Roman"/>
          <w:b w:val="0"/>
          <w:i w:val="0"/>
          <w:sz w:val="22"/>
        </w:rPr>
        <w:t xml:space="preserve"> SGTX must never confuse a planned physical event with a verified physical event.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Planned</w:t>
            </w:r>
          </w:p>
        </w:tc>
        <w:tc>
          <w:tcPr>
            <w:tcW w:type="dxa" w:w="4819"/>
            <w:shd w:val="clear" w:fill="D9E2F3"/>
          </w:tcPr>
          <w:p>
            <w:pPr>
              <w:spacing w:after="20" w:before="20" w:line="240" w:lineRule="auto"/>
            </w:pPr>
            <w:r/>
            <w:r>
              <w:rPr>
                <w:rFonts w:ascii="Arial" w:hAnsi="Arial" w:cs="Arial"/>
                <w:b/>
                <w:i w:val="0"/>
                <w:sz w:val="18"/>
              </w:rPr>
              <w:t>Not Verified</w:t>
            </w:r>
          </w:p>
        </w:tc>
      </w:tr>
      <w:tr>
        <w:tc>
          <w:tcPr>
            <w:tcW w:type="dxa" w:w="4819"/>
          </w:tcPr>
          <w:p>
            <w:pPr>
              <w:spacing w:after="20" w:before="20" w:line="240" w:lineRule="auto"/>
            </w:pPr>
            <w:r/>
            <w:r>
              <w:rPr>
                <w:rFonts w:ascii="Arial" w:hAnsi="Arial" w:cs="Arial"/>
                <w:b w:val="0"/>
                <w:i w:val="0"/>
                <w:sz w:val="17"/>
              </w:rPr>
              <w:t>Booking</w:t>
            </w:r>
          </w:p>
        </w:tc>
        <w:tc>
          <w:tcPr>
            <w:tcW w:type="dxa" w:w="4819"/>
          </w:tcPr>
          <w:p>
            <w:pPr>
              <w:spacing w:after="20" w:before="20" w:line="240" w:lineRule="auto"/>
            </w:pPr>
            <w:r/>
            <w:r>
              <w:rPr>
                <w:rFonts w:ascii="Arial" w:hAnsi="Arial" w:cs="Arial"/>
                <w:b w:val="0"/>
                <w:i w:val="0"/>
                <w:sz w:val="17"/>
              </w:rPr>
              <w:t>≠ Departure</w:t>
            </w:r>
          </w:p>
        </w:tc>
      </w:tr>
      <w:tr>
        <w:tc>
          <w:tcPr>
            <w:tcW w:type="dxa" w:w="4819"/>
          </w:tcPr>
          <w:p>
            <w:pPr>
              <w:spacing w:after="20" w:before="20" w:line="240" w:lineRule="auto"/>
            </w:pPr>
            <w:r/>
            <w:r>
              <w:rPr>
                <w:rFonts w:ascii="Arial" w:hAnsi="Arial" w:cs="Arial"/>
                <w:b w:val="0"/>
                <w:i w:val="0"/>
                <w:sz w:val="17"/>
              </w:rPr>
              <w:t>Truck Assigned</w:t>
            </w:r>
          </w:p>
        </w:tc>
        <w:tc>
          <w:tcPr>
            <w:tcW w:type="dxa" w:w="4819"/>
          </w:tcPr>
          <w:p>
            <w:pPr>
              <w:spacing w:after="20" w:before="20" w:line="240" w:lineRule="auto"/>
            </w:pPr>
            <w:r/>
            <w:r>
              <w:rPr>
                <w:rFonts w:ascii="Arial" w:hAnsi="Arial" w:cs="Arial"/>
                <w:b w:val="0"/>
                <w:i w:val="0"/>
                <w:sz w:val="17"/>
              </w:rPr>
              <w:t>≠ Truck Arrived</w:t>
            </w:r>
          </w:p>
        </w:tc>
      </w:tr>
      <w:tr>
        <w:tc>
          <w:tcPr>
            <w:tcW w:type="dxa" w:w="4819"/>
          </w:tcPr>
          <w:p>
            <w:pPr>
              <w:spacing w:after="20" w:before="20" w:line="240" w:lineRule="auto"/>
            </w:pPr>
            <w:r/>
            <w:r>
              <w:rPr>
                <w:rFonts w:ascii="Arial" w:hAnsi="Arial" w:cs="Arial"/>
                <w:b w:val="0"/>
                <w:i w:val="0"/>
                <w:sz w:val="17"/>
              </w:rPr>
              <w:t>Container Released</w:t>
            </w:r>
          </w:p>
        </w:tc>
        <w:tc>
          <w:tcPr>
            <w:tcW w:type="dxa" w:w="4819"/>
          </w:tcPr>
          <w:p>
            <w:pPr>
              <w:spacing w:after="20" w:before="20" w:line="240" w:lineRule="auto"/>
            </w:pPr>
            <w:r/>
            <w:r>
              <w:rPr>
                <w:rFonts w:ascii="Arial" w:hAnsi="Arial" w:cs="Arial"/>
                <w:b w:val="0"/>
                <w:i w:val="0"/>
                <w:sz w:val="17"/>
              </w:rPr>
              <w:t>≠ Container Collected</w:t>
            </w:r>
          </w:p>
        </w:tc>
      </w:tr>
      <w:tr>
        <w:tc>
          <w:tcPr>
            <w:tcW w:type="dxa" w:w="4819"/>
          </w:tcPr>
          <w:p>
            <w:pPr>
              <w:spacing w:after="20" w:before="20" w:line="240" w:lineRule="auto"/>
            </w:pPr>
            <w:r/>
            <w:r>
              <w:rPr>
                <w:rFonts w:ascii="Arial" w:hAnsi="Arial" w:cs="Arial"/>
                <w:b w:val="0"/>
                <w:i w:val="0"/>
                <w:sz w:val="17"/>
              </w:rPr>
              <w:t>Pallet Scanned</w:t>
            </w:r>
          </w:p>
        </w:tc>
        <w:tc>
          <w:tcPr>
            <w:tcW w:type="dxa" w:w="4819"/>
          </w:tcPr>
          <w:p>
            <w:pPr>
              <w:spacing w:after="20" w:before="20" w:line="240" w:lineRule="auto"/>
            </w:pPr>
            <w:r/>
            <w:r>
              <w:rPr>
                <w:rFonts w:ascii="Arial" w:hAnsi="Arial" w:cs="Arial"/>
                <w:b w:val="0"/>
                <w:i w:val="0"/>
                <w:sz w:val="17"/>
              </w:rPr>
              <w:t>≠ Pallet Physically Loaded</w:t>
            </w:r>
          </w:p>
        </w:tc>
      </w:tr>
      <w:tr>
        <w:tc>
          <w:tcPr>
            <w:tcW w:type="dxa" w:w="4819"/>
          </w:tcPr>
          <w:p>
            <w:pPr>
              <w:spacing w:after="20" w:before="20" w:line="240" w:lineRule="auto"/>
            </w:pPr>
            <w:r/>
            <w:r>
              <w:rPr>
                <w:rFonts w:ascii="Arial" w:hAnsi="Arial" w:cs="Arial"/>
                <w:b w:val="0"/>
                <w:i w:val="0"/>
                <w:sz w:val="17"/>
              </w:rPr>
              <w:t>Loading Complete</w:t>
            </w:r>
          </w:p>
        </w:tc>
        <w:tc>
          <w:tcPr>
            <w:tcW w:type="dxa" w:w="4819"/>
          </w:tcPr>
          <w:p>
            <w:pPr>
              <w:spacing w:after="20" w:before="20" w:line="240" w:lineRule="auto"/>
            </w:pPr>
            <w:r/>
            <w:r>
              <w:rPr>
                <w:rFonts w:ascii="Arial" w:hAnsi="Arial" w:cs="Arial"/>
                <w:b w:val="0"/>
                <w:i w:val="0"/>
                <w:sz w:val="17"/>
              </w:rPr>
              <w:t>≠ Vessel Departed</w:t>
            </w:r>
          </w:p>
        </w:tc>
      </w:tr>
      <w:tr>
        <w:tc>
          <w:tcPr>
            <w:tcW w:type="dxa" w:w="4819"/>
          </w:tcPr>
          <w:p>
            <w:pPr>
              <w:spacing w:after="20" w:before="20" w:line="240" w:lineRule="auto"/>
            </w:pPr>
            <w:r/>
            <w:r>
              <w:rPr>
                <w:rFonts w:ascii="Arial" w:hAnsi="Arial" w:cs="Arial"/>
                <w:b w:val="0"/>
                <w:i w:val="0"/>
                <w:sz w:val="17"/>
              </w:rPr>
              <w:t>ETA</w:t>
            </w:r>
          </w:p>
        </w:tc>
        <w:tc>
          <w:tcPr>
            <w:tcW w:type="dxa" w:w="4819"/>
          </w:tcPr>
          <w:p>
            <w:pPr>
              <w:spacing w:after="20" w:before="20" w:line="240" w:lineRule="auto"/>
            </w:pPr>
            <w:r/>
            <w:r>
              <w:rPr>
                <w:rFonts w:ascii="Arial" w:hAnsi="Arial" w:cs="Arial"/>
                <w:b w:val="0"/>
                <w:i w:val="0"/>
                <w:sz w:val="17"/>
              </w:rPr>
              <w:t>≠ Arrival</w:t>
            </w:r>
          </w:p>
        </w:tc>
      </w:tr>
      <w:tr>
        <w:tc>
          <w:tcPr>
            <w:tcW w:type="dxa" w:w="4819"/>
          </w:tcPr>
          <w:p>
            <w:pPr>
              <w:spacing w:after="20" w:before="20" w:line="240" w:lineRule="auto"/>
            </w:pPr>
            <w:r/>
            <w:r>
              <w:rPr>
                <w:rFonts w:ascii="Arial" w:hAnsi="Arial" w:cs="Arial"/>
                <w:b w:val="0"/>
                <w:i w:val="0"/>
                <w:sz w:val="17"/>
              </w:rPr>
              <w:t>Arrival</w:t>
            </w:r>
          </w:p>
        </w:tc>
        <w:tc>
          <w:tcPr>
            <w:tcW w:type="dxa" w:w="4819"/>
          </w:tcPr>
          <w:p>
            <w:pPr>
              <w:spacing w:after="20" w:before="20" w:line="240" w:lineRule="auto"/>
            </w:pPr>
            <w:r/>
            <w:r>
              <w:rPr>
                <w:rFonts w:ascii="Arial" w:hAnsi="Arial" w:cs="Arial"/>
                <w:b w:val="0"/>
                <w:i w:val="0"/>
                <w:sz w:val="17"/>
              </w:rPr>
              <w:t>≠ Customs Clearance</w:t>
            </w:r>
          </w:p>
        </w:tc>
      </w:tr>
      <w:tr>
        <w:tc>
          <w:tcPr>
            <w:tcW w:type="dxa" w:w="4819"/>
          </w:tcPr>
          <w:p>
            <w:pPr>
              <w:spacing w:after="20" w:before="20" w:line="240" w:lineRule="auto"/>
            </w:pPr>
            <w:r/>
            <w:r>
              <w:rPr>
                <w:rFonts w:ascii="Arial" w:hAnsi="Arial" w:cs="Arial"/>
                <w:b w:val="0"/>
                <w:i w:val="0"/>
                <w:sz w:val="17"/>
              </w:rPr>
              <w:t>Customs Clearance</w:t>
            </w:r>
          </w:p>
        </w:tc>
        <w:tc>
          <w:tcPr>
            <w:tcW w:type="dxa" w:w="4819"/>
          </w:tcPr>
          <w:p>
            <w:pPr>
              <w:spacing w:after="20" w:before="20" w:line="240" w:lineRule="auto"/>
            </w:pPr>
            <w:r/>
            <w:r>
              <w:rPr>
                <w:rFonts w:ascii="Arial" w:hAnsi="Arial" w:cs="Arial"/>
                <w:b w:val="0"/>
                <w:i w:val="0"/>
                <w:sz w:val="17"/>
              </w:rPr>
              <w:t>≠ Delivery</w:t>
            </w:r>
          </w:p>
        </w:tc>
      </w:tr>
      <w:tr>
        <w:tc>
          <w:tcPr>
            <w:tcW w:type="dxa" w:w="4819"/>
          </w:tcPr>
          <w:p>
            <w:pPr>
              <w:spacing w:after="20" w:before="20" w:line="240" w:lineRule="auto"/>
            </w:pPr>
            <w:r/>
            <w:r>
              <w:rPr>
                <w:rFonts w:ascii="Arial" w:hAnsi="Arial" w:cs="Arial"/>
                <w:b w:val="0"/>
                <w:i w:val="0"/>
                <w:sz w:val="17"/>
              </w:rPr>
              <w:t>Buyer Clicked "Delivered"</w:t>
            </w:r>
          </w:p>
        </w:tc>
        <w:tc>
          <w:tcPr>
            <w:tcW w:type="dxa" w:w="4819"/>
          </w:tcPr>
          <w:p>
            <w:pPr>
              <w:spacing w:after="20" w:before="20" w:line="240" w:lineRule="auto"/>
            </w:pPr>
            <w:r/>
            <w:r>
              <w:rPr>
                <w:rFonts w:ascii="Arial" w:hAnsi="Arial" w:cs="Arial"/>
                <w:b w:val="0"/>
                <w:i w:val="0"/>
                <w:sz w:val="17"/>
              </w:rPr>
              <w:t>≠ Verified Delivery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Phase 5 key principles:</w:t>
      </w:r>
    </w:p>
    <w:p>
      <w:pPr>
        <w:spacing w:after="80" w:line="293" w:lineRule="auto"/>
        <w:ind w:left="283"/>
        <w:jc w:val="left"/>
      </w:pPr>
      <w:r>
        <w:rPr>
          <w:rFonts w:ascii="Times New Roman" w:hAnsi="Times New Roman" w:cs="Times New Roman"/>
          <w:b w:val="0"/>
          <w:i w:val="0"/>
          <w:sz w:val="22"/>
        </w:rPr>
        <w:t>- One source of truth — all milestone events are captured in real time and visible to all authorised parties.</w:t>
      </w:r>
    </w:p>
    <w:p>
      <w:pPr>
        <w:spacing w:after="80" w:line="293" w:lineRule="auto"/>
        <w:ind w:left="283"/>
        <w:jc w:val="left"/>
      </w:pPr>
      <w:r>
        <w:rPr>
          <w:rFonts w:ascii="Times New Roman" w:hAnsi="Times New Roman" w:cs="Times New Roman"/>
          <w:b w:val="0"/>
          <w:i w:val="0"/>
          <w:sz w:val="22"/>
        </w:rPr>
        <w:t>- Multisensor consensus — milestones can be auto-confirmed when multiple independent sources agree (for example, barcode scan + weight sensor + GPS).</w:t>
      </w:r>
    </w:p>
    <w:p>
      <w:pPr>
        <w:spacing w:after="80" w:line="293" w:lineRule="auto"/>
        <w:ind w:left="283"/>
        <w:jc w:val="left"/>
      </w:pPr>
      <w:r>
        <w:rPr>
          <w:rFonts w:ascii="Times New Roman" w:hAnsi="Times New Roman" w:cs="Times New Roman"/>
          <w:b w:val="0"/>
          <w:i w:val="0"/>
          <w:sz w:val="22"/>
        </w:rPr>
        <w:t>- AI-assisted automation — AI detects anomalies (cold-chain deviations, delays, congestion) and suggests corrective actions.</w:t>
      </w:r>
    </w:p>
    <w:p>
      <w:pPr>
        <w:spacing w:after="80" w:line="293" w:lineRule="auto"/>
        <w:ind w:left="283"/>
        <w:jc w:val="left"/>
      </w:pPr>
      <w:r>
        <w:rPr>
          <w:rFonts w:ascii="Times New Roman" w:hAnsi="Times New Roman" w:cs="Times New Roman"/>
          <w:b w:val="0"/>
          <w:i w:val="0"/>
          <w:sz w:val="22"/>
        </w:rPr>
        <w:t>- Voice-enabled milestones — field workers can confirm milestones using voice commands (Vosk + HF Mixtral).</w:t>
      </w:r>
    </w:p>
    <w:p>
      <w:pPr>
        <w:spacing w:after="80" w:line="293" w:lineRule="auto"/>
        <w:ind w:left="283"/>
        <w:jc w:val="left"/>
      </w:pPr>
      <w:r>
        <w:rPr>
          <w:rFonts w:ascii="Times New Roman" w:hAnsi="Times New Roman" w:cs="Times New Roman"/>
          <w:b w:val="0"/>
          <w:i w:val="0"/>
          <w:sz w:val="22"/>
        </w:rPr>
        <w:t>- Conditional QC with action plan — loading may proceed with a hold pending resolution of minor issues.</w:t>
      </w:r>
    </w:p>
    <w:p>
      <w:pPr>
        <w:spacing w:after="80" w:line="293" w:lineRule="auto"/>
        <w:ind w:left="283"/>
        <w:jc w:val="left"/>
      </w:pPr>
      <w:r>
        <w:rPr>
          <w:rFonts w:ascii="Times New Roman" w:hAnsi="Times New Roman" w:cs="Times New Roman"/>
          <w:b w:val="0"/>
          <w:i w:val="0"/>
          <w:sz w:val="22"/>
        </w:rPr>
        <w:t>- Re-inspection workflow — buyers can request a second inspection when the initial verdict is disputed.</w:t>
      </w:r>
    </w:p>
    <w:p>
      <w:pPr>
        <w:spacing w:after="80" w:line="293" w:lineRule="auto"/>
        <w:ind w:left="283"/>
        <w:jc w:val="left"/>
      </w:pPr>
      <w:r>
        <w:rPr>
          <w:rFonts w:ascii="Times New Roman" w:hAnsi="Times New Roman" w:cs="Times New Roman"/>
          <w:b w:val="0"/>
          <w:i w:val="0"/>
          <w:sz w:val="22"/>
        </w:rPr>
        <w:t>- Stuck trade recovery — automatic escalation when milestones are overdue.</w:t>
      </w:r>
    </w:p>
    <w:p>
      <w:pPr>
        <w:spacing w:after="80" w:line="293" w:lineRule="auto"/>
        <w:ind w:left="283"/>
        <w:jc w:val="left"/>
      </w:pPr>
      <w:r>
        <w:rPr>
          <w:rFonts w:ascii="Times New Roman" w:hAnsi="Times New Roman" w:cs="Times New Roman"/>
          <w:b w:val="0"/>
          <w:i w:val="0"/>
          <w:sz w:val="22"/>
        </w:rPr>
        <w:t>- Multi-shipment independence — each shipment's milestones are tracked independently; a delay in one does not block others.</w:t>
      </w:r>
    </w:p>
    <w:p>
      <w:pPr>
        <w:spacing w:after="80" w:line="293" w:lineRule="auto"/>
        <w:ind w:left="283"/>
        <w:jc w:val="left"/>
      </w:pPr>
      <w:r>
        <w:rPr>
          <w:rFonts w:ascii="Times New Roman" w:hAnsi="Times New Roman" w:cs="Times New Roman"/>
          <w:b w:val="0"/>
          <w:i w:val="0"/>
          <w:sz w:val="22"/>
        </w:rPr>
        <w:t>- Non-marketplace — the system never suggests alternative counterparties or service providers.</w:t>
      </w:r>
    </w:p>
    <w:p>
      <w:pPr>
        <w:spacing w:after="80" w:line="293" w:lineRule="auto"/>
        <w:jc w:val="left"/>
      </w:pPr>
      <w:r>
        <w:rPr>
          <w:rFonts w:ascii="Times New Roman" w:hAnsi="Times New Roman" w:cs="Times New Roman"/>
          <w:b w:val="0"/>
          <w:i w:val="0"/>
          <w:sz w:val="22"/>
        </w:rPr>
        <w:t>Phase 5 timeline: days 13–40 (from loading to delivery). One-click guarantee: each milestone confirmation is a single click or voice command; container loading can be auto-confirmed when all pallets are scanned.</w:t>
      </w:r>
    </w:p>
    <w:p>
      <w:pPr>
        <w:keepNext/>
        <w:spacing w:before="180" w:after="80"/>
        <w:outlineLvl w:val="2"/>
      </w:pPr>
      <w:r>
        <w:rPr>
          <w:rFonts w:ascii="Arial" w:hAnsi="Arial" w:cs="Arial"/>
          <w:b/>
          <w:i w:val="0"/>
          <w:color w:val="333333"/>
          <w:sz w:val="23"/>
        </w:rPr>
        <w:t>12.1.1 Phase 5 Start Condition</w:t>
      </w:r>
    </w:p>
    <w:p>
      <w:pPr>
        <w:spacing w:after="80" w:line="293" w:lineRule="auto"/>
        <w:jc w:val="left"/>
      </w:pPr>
      <w:r>
        <w:rPr>
          <w:rFonts w:ascii="Times New Roman" w:hAnsi="Times New Roman" w:cs="Times New Roman"/>
          <w:b w:val="0"/>
          <w:i w:val="0"/>
          <w:sz w:val="22"/>
        </w:rPr>
        <w:t>Physical execution begins only when all of the following hold: locked shipment; valid USTN (Universal Shipment Tracking Number); applicable fee/lock condition satisfied; required execution permissions; required pre-execution documents; no blocking legal/regulatory condition. Entry state: locked contract + active FeeLock + generated USTN.</w:t>
      </w:r>
    </w:p>
    <w:p>
      <w:pPr>
        <w:spacing w:after="80" w:line="293" w:lineRule="auto"/>
        <w:jc w:val="left"/>
      </w:pPr>
      <w:r>
        <w:rPr>
          <w:rFonts w:ascii="Times New Roman" w:hAnsi="Times New Roman" w:cs="Times New Roman"/>
          <w:b w:val="0"/>
          <w:i w:val="0"/>
          <w:sz w:val="22"/>
        </w:rPr>
        <w:t>Access requirements: parties acting in Phase 5 (seller staff, LSP drivers, QC inspectors, brokers, shipping lines) hold the `shipment.milestone.confirm` permission for the shipment's tenant and act from registered devices with ZITADEL certificates (Section 4). Entry points: the Trade Command Center, Smart Inbox milestone notifications, the LSP Driver App, the QC Inspector App, the CBR Document Receipt App, provider portals, and terminal gate systems for release queries (Section 12.6).</w:t>
      </w:r>
    </w:p>
    <w:p>
      <w:pPr>
        <w:keepNext/>
        <w:spacing w:before="180" w:after="80"/>
        <w:outlineLvl w:val="2"/>
      </w:pPr>
      <w:r>
        <w:rPr>
          <w:rFonts w:ascii="Arial" w:hAnsi="Arial" w:cs="Arial"/>
          <w:b/>
          <w:i w:val="0"/>
          <w:color w:val="333333"/>
          <w:sz w:val="23"/>
        </w:rPr>
        <w:t>12.1.2 Physical Execution Model (Multi-Dimensional)</w:t>
      </w:r>
    </w:p>
    <w:p>
      <w:pPr>
        <w:spacing w:after="80" w:line="293" w:lineRule="auto"/>
        <w:jc w:val="left"/>
      </w:pPr>
      <w:r>
        <w:rPr>
          <w:rFonts w:ascii="Times New Roman" w:hAnsi="Times New Roman" w:cs="Times New Roman"/>
          <w:b w:val="0"/>
          <w:i w:val="0"/>
          <w:sz w:val="22"/>
        </w:rPr>
        <w:t>Stages: PREPARATION → READY → LOADING → QC → GATE/CUSTOMS → DEPARTURE → IN TRANSIT → ARRIVAL → IMPORT/DESTINATION PROCESSING → DELIVERY → POST-DELIVERY VERIFICATION → PHYSICAL COMPLETION. The underlying state vector remains multidimensional (execution, loading, customs, document, transport, QC, cold-chain, delivery, risk) — never a single linear enum.</w:t>
      </w:r>
    </w:p>
    <w:p>
      <w:pPr>
        <w:keepNext/>
        <w:spacing w:before="180" w:after="80"/>
        <w:outlineLvl w:val="2"/>
      </w:pPr>
      <w:r>
        <w:rPr>
          <w:rFonts w:ascii="Arial" w:hAnsi="Arial" w:cs="Arial"/>
          <w:b/>
          <w:i w:val="0"/>
          <w:color w:val="333333"/>
          <w:sz w:val="23"/>
        </w:rPr>
        <w:t>12.1.3 Multi-Shipment Independence (Mandatory)</w:t>
      </w:r>
    </w:p>
    <w:p>
      <w:pPr>
        <w:spacing w:after="80" w:line="293" w:lineRule="auto"/>
        <w:jc w:val="left"/>
      </w:pPr>
      <w:r>
        <w:rPr>
          <w:rFonts w:ascii="Times New Roman" w:hAnsi="Times New Roman" w:cs="Times New Roman"/>
          <w:b w:val="0"/>
          <w:i w:val="0"/>
          <w:sz w:val="22"/>
        </w:rPr>
        <w:t>Each shipment has an independent execution timeline, loading state, customs state, document state, transport state, QC state, cold-chain state, delivery state, and risk state. A delayed Shipment 1 must not block Shipment 2.</w:t>
      </w:r>
    </w:p>
    <w:p>
      <w:pPr>
        <w:keepNext/>
        <w:spacing w:before="180" w:after="80"/>
        <w:outlineLvl w:val="2"/>
      </w:pPr>
      <w:r>
        <w:rPr>
          <w:rFonts w:ascii="Arial" w:hAnsi="Arial" w:cs="Arial"/>
          <w:b/>
          <w:i w:val="0"/>
          <w:color w:val="333333"/>
          <w:sz w:val="23"/>
        </w:rPr>
        <w:t>12.1.4 USTN-Centric Execution</w:t>
      </w:r>
    </w:p>
    <w:p>
      <w:pPr>
        <w:spacing w:after="80" w:line="293" w:lineRule="auto"/>
        <w:jc w:val="left"/>
      </w:pPr>
      <w:r>
        <w:rPr>
          <w:rFonts w:ascii="Times New Roman" w:hAnsi="Times New Roman" w:cs="Times New Roman"/>
          <w:b w:val="0"/>
          <w:i w:val="0"/>
          <w:sz w:val="22"/>
        </w:rPr>
        <w:t>Every physical execution event links to: USTN; shipment; container where applicable; pallet/handling unit where applicable; actor; device/source; event type; location where available; and evidence.</w:t>
      </w:r>
    </w:p>
    <w:p>
      <w:pPr>
        <w:keepNext/>
        <w:spacing w:before="180" w:after="80"/>
        <w:outlineLvl w:val="2"/>
      </w:pPr>
      <w:r>
        <w:rPr>
          <w:rFonts w:ascii="Arial" w:hAnsi="Arial" w:cs="Arial"/>
          <w:b/>
          <w:i w:val="0"/>
          <w:color w:val="333333"/>
          <w:sz w:val="23"/>
        </w:rPr>
        <w:t>12.1.5 Container Identity</w:t>
      </w:r>
    </w:p>
    <w:p>
      <w:pPr>
        <w:spacing w:after="80" w:line="293" w:lineRule="auto"/>
        <w:jc w:val="left"/>
      </w:pPr>
      <w:r>
        <w:rPr>
          <w:rFonts w:ascii="Times New Roman" w:hAnsi="Times New Roman" w:cs="Times New Roman"/>
          <w:b w:val="0"/>
          <w:i w:val="0"/>
          <w:sz w:val="22"/>
        </w:rPr>
        <w:t>Track: container number; equipment type; ISO equipment code where available; seal number; reefer status; temperature configuration; container owner/provider; booking reference; release status; gate events; loading state; departure state; arrival state.</w:t>
      </w:r>
    </w:p>
    <w:p>
      <w:pPr>
        <w:keepNext/>
        <w:spacing w:before="180" w:after="80"/>
        <w:outlineLvl w:val="2"/>
      </w:pPr>
      <w:r>
        <w:rPr>
          <w:rFonts w:ascii="Arial" w:hAnsi="Arial" w:cs="Arial"/>
          <w:b/>
          <w:i w:val="0"/>
          <w:color w:val="333333"/>
          <w:sz w:val="23"/>
        </w:rPr>
        <w:t>12.1.6 Pallet / Handling Unit Identity</w:t>
      </w:r>
    </w:p>
    <w:p>
      <w:pPr>
        <w:spacing w:after="80" w:line="293" w:lineRule="auto"/>
        <w:jc w:val="left"/>
      </w:pPr>
      <w:r>
        <w:rPr>
          <w:rFonts w:ascii="Times New Roman" w:hAnsi="Times New Roman" w:cs="Times New Roman"/>
          <w:b w:val="0"/>
          <w:i w:val="0"/>
          <w:sz w:val="22"/>
        </w:rPr>
        <w:t>Pallets use GS1/SSCC (Serial Shipping Container Code) identifiers. Track: pallet ID; SKU/commodity relation; lot; quantity; dimensions where relevant; weight where available; loading state; QC state; scan history; container assignment.</w:t>
      </w:r>
    </w:p>
    <w:p>
      <w:pPr>
        <w:keepNext/>
        <w:spacing w:before="180" w:after="80"/>
        <w:outlineLvl w:val="2"/>
      </w:pPr>
      <w:r>
        <w:rPr>
          <w:rFonts w:ascii="Arial" w:hAnsi="Arial" w:cs="Arial"/>
          <w:b/>
          <w:i w:val="0"/>
          <w:color w:val="333333"/>
          <w:sz w:val="23"/>
        </w:rPr>
        <w:t>12.1.7 Physical Timeline, Multi-Clock View &amp; Transaction Twin</w:t>
      </w:r>
    </w:p>
    <w:p>
      <w:pPr>
        <w:spacing w:after="80" w:line="293" w:lineRule="auto"/>
        <w:jc w:val="left"/>
      </w:pPr>
      <w:r>
        <w:rPr>
          <w:rFonts w:ascii="Times New Roman" w:hAnsi="Times New Roman" w:cs="Times New Roman"/>
          <w:b w:val="0"/>
          <w:i w:val="0"/>
          <w:sz w:val="22"/>
        </w:rPr>
        <w:t>Display a dynamic timeline showing planned, actual, and predicted values. Example: "Loading: Planned 08:00 → Actual 09:14 → Delay +1h14m → Reason: QC inspection extended."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Clock</w:t>
            </w:r>
          </w:p>
        </w:tc>
        <w:tc>
          <w:tcPr>
            <w:tcW w:type="dxa" w:w="4819"/>
            <w:shd w:val="clear" w:fill="D9E2F3"/>
          </w:tcPr>
          <w:p>
            <w:pPr>
              <w:spacing w:after="20" w:before="20" w:line="240" w:lineRule="auto"/>
            </w:pPr>
            <w:r/>
            <w:r>
              <w:rPr>
                <w:rFonts w:ascii="Arial" w:hAnsi="Arial" w:cs="Arial"/>
                <w:b/>
                <w:i w:val="0"/>
                <w:sz w:val="18"/>
              </w:rPr>
              <w:t>Question</w:t>
            </w:r>
          </w:p>
        </w:tc>
      </w:tr>
      <w:tr>
        <w:tc>
          <w:tcPr>
            <w:tcW w:type="dxa" w:w="4819"/>
          </w:tcPr>
          <w:p>
            <w:pPr>
              <w:spacing w:after="20" w:before="20" w:line="240" w:lineRule="auto"/>
            </w:pPr>
            <w:r/>
            <w:r>
              <w:rPr>
                <w:rFonts w:ascii="Arial" w:hAnsi="Arial" w:cs="Arial"/>
                <w:b w:val="0"/>
                <w:i w:val="0"/>
                <w:sz w:val="17"/>
              </w:rPr>
              <w:t>Physical</w:t>
            </w:r>
          </w:p>
        </w:tc>
        <w:tc>
          <w:tcPr>
            <w:tcW w:type="dxa" w:w="4819"/>
          </w:tcPr>
          <w:p>
            <w:pPr>
              <w:spacing w:after="20" w:before="20" w:line="240" w:lineRule="auto"/>
            </w:pPr>
            <w:r/>
            <w:r>
              <w:rPr>
                <w:rFonts w:ascii="Arial" w:hAnsi="Arial" w:cs="Arial"/>
                <w:b w:val="0"/>
                <w:i w:val="0"/>
                <w:sz w:val="17"/>
              </w:rPr>
              <w:t>Where is the cargo?</w:t>
            </w:r>
          </w:p>
        </w:tc>
      </w:tr>
      <w:tr>
        <w:tc>
          <w:tcPr>
            <w:tcW w:type="dxa" w:w="4819"/>
          </w:tcPr>
          <w:p>
            <w:pPr>
              <w:spacing w:after="20" w:before="20" w:line="240" w:lineRule="auto"/>
            </w:pPr>
            <w:r/>
            <w:r>
              <w:rPr>
                <w:rFonts w:ascii="Arial" w:hAnsi="Arial" w:cs="Arial"/>
                <w:b w:val="0"/>
                <w:i w:val="0"/>
                <w:sz w:val="17"/>
              </w:rPr>
              <w:t>Operational</w:t>
            </w:r>
          </w:p>
        </w:tc>
        <w:tc>
          <w:tcPr>
            <w:tcW w:type="dxa" w:w="4819"/>
          </w:tcPr>
          <w:p>
            <w:pPr>
              <w:spacing w:after="20" w:before="20" w:line="240" w:lineRule="auto"/>
            </w:pPr>
            <w:r/>
            <w:r>
              <w:rPr>
                <w:rFonts w:ascii="Arial" w:hAnsi="Arial" w:cs="Arial"/>
                <w:b w:val="0"/>
                <w:i w:val="0"/>
                <w:sz w:val="17"/>
              </w:rPr>
              <w:t>Who must act?</w:t>
            </w:r>
          </w:p>
        </w:tc>
      </w:tr>
      <w:tr>
        <w:tc>
          <w:tcPr>
            <w:tcW w:type="dxa" w:w="4819"/>
          </w:tcPr>
          <w:p>
            <w:pPr>
              <w:spacing w:after="20" w:before="20" w:line="240" w:lineRule="auto"/>
            </w:pPr>
            <w:r/>
            <w:r>
              <w:rPr>
                <w:rFonts w:ascii="Arial" w:hAnsi="Arial" w:cs="Arial"/>
                <w:b w:val="0"/>
                <w:i w:val="0"/>
                <w:sz w:val="17"/>
              </w:rPr>
              <w:t>Documentation</w:t>
            </w:r>
          </w:p>
        </w:tc>
        <w:tc>
          <w:tcPr>
            <w:tcW w:type="dxa" w:w="4819"/>
          </w:tcPr>
          <w:p>
            <w:pPr>
              <w:spacing w:after="20" w:before="20" w:line="240" w:lineRule="auto"/>
            </w:pPr>
            <w:r/>
            <w:r>
              <w:rPr>
                <w:rFonts w:ascii="Arial" w:hAnsi="Arial" w:cs="Arial"/>
                <w:b w:val="0"/>
                <w:i w:val="0"/>
                <w:sz w:val="17"/>
              </w:rPr>
              <w:t>Which document is due/expiring?</w:t>
            </w:r>
          </w:p>
        </w:tc>
      </w:tr>
      <w:tr>
        <w:tc>
          <w:tcPr>
            <w:tcW w:type="dxa" w:w="4819"/>
          </w:tcPr>
          <w:p>
            <w:pPr>
              <w:spacing w:after="20" w:before="20" w:line="240" w:lineRule="auto"/>
            </w:pPr>
            <w:r/>
            <w:r>
              <w:rPr>
                <w:rFonts w:ascii="Arial" w:hAnsi="Arial" w:cs="Arial"/>
                <w:b w:val="0"/>
                <w:i w:val="0"/>
                <w:sz w:val="17"/>
              </w:rPr>
              <w:t>Regulatory</w:t>
            </w:r>
          </w:p>
        </w:tc>
        <w:tc>
          <w:tcPr>
            <w:tcW w:type="dxa" w:w="4819"/>
          </w:tcPr>
          <w:p>
            <w:pPr>
              <w:spacing w:after="20" w:before="20" w:line="240" w:lineRule="auto"/>
            </w:pPr>
            <w:r/>
            <w:r>
              <w:rPr>
                <w:rFonts w:ascii="Arial" w:hAnsi="Arial" w:cs="Arial"/>
                <w:b w:val="0"/>
                <w:i w:val="0"/>
                <w:sz w:val="17"/>
              </w:rPr>
              <w:t>Which authority action is pending?</w:t>
            </w:r>
          </w:p>
        </w:tc>
      </w:tr>
      <w:tr>
        <w:tc>
          <w:tcPr>
            <w:tcW w:type="dxa" w:w="4819"/>
          </w:tcPr>
          <w:p>
            <w:pPr>
              <w:spacing w:after="20" w:before="20" w:line="240" w:lineRule="auto"/>
            </w:pPr>
            <w:r/>
            <w:r>
              <w:rPr>
                <w:rFonts w:ascii="Arial" w:hAnsi="Arial" w:cs="Arial"/>
                <w:b w:val="0"/>
                <w:i w:val="0"/>
                <w:sz w:val="17"/>
              </w:rPr>
              <w:t>Financial</w:t>
            </w:r>
          </w:p>
        </w:tc>
        <w:tc>
          <w:tcPr>
            <w:tcW w:type="dxa" w:w="4819"/>
          </w:tcPr>
          <w:p>
            <w:pPr>
              <w:spacing w:after="20" w:before="20" w:line="240" w:lineRule="auto"/>
            </w:pPr>
            <w:r/>
            <w:r>
              <w:rPr>
                <w:rFonts w:ascii="Arial" w:hAnsi="Arial" w:cs="Arial"/>
                <w:b w:val="0"/>
                <w:i w:val="0"/>
                <w:sz w:val="17"/>
              </w:rPr>
              <w:t>What financial event depends on this physical milestone?</w:t>
            </w:r>
          </w:p>
        </w:tc>
      </w:tr>
      <w:tr>
        <w:tc>
          <w:tcPr>
            <w:tcW w:type="dxa" w:w="4819"/>
          </w:tcPr>
          <w:p>
            <w:pPr>
              <w:spacing w:after="20" w:before="20" w:line="240" w:lineRule="auto"/>
            </w:pPr>
            <w:r/>
            <w:r>
              <w:rPr>
                <w:rFonts w:ascii="Arial" w:hAnsi="Arial" w:cs="Arial"/>
                <w:b w:val="0"/>
                <w:i w:val="0"/>
                <w:sz w:val="17"/>
              </w:rPr>
              <w:t>Legal</w:t>
            </w:r>
          </w:p>
        </w:tc>
        <w:tc>
          <w:tcPr>
            <w:tcW w:type="dxa" w:w="4819"/>
          </w:tcPr>
          <w:p>
            <w:pPr>
              <w:spacing w:after="20" w:before="20" w:line="240" w:lineRule="auto"/>
            </w:pPr>
            <w:r/>
            <w:r>
              <w:rPr>
                <w:rFonts w:ascii="Arial" w:hAnsi="Arial" w:cs="Arial"/>
                <w:b w:val="0"/>
                <w:i w:val="0"/>
                <w:sz w:val="17"/>
              </w:rPr>
              <w:t>Which contractual deadline is affected?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live Transaction Twin connects planned shipment, actual shipment, verified evidence, predictions, and exceptions — and distinguishes FACT, PLAN, PREDICTION, ASSUMPTION, CONFLICT. No AI as fact: display "Predicted ETA: tomorrow" and "Carrier ETA: [value]" as separate, labelled concepts; never label "AI predicts vessel arrival tomorrow" as "Vessel arrives tomorrow."</w:t>
      </w:r>
    </w:p>
    <w:p>
      <w:pPr>
        <w:keepNext/>
        <w:spacing w:before="240" w:after="100"/>
        <w:outlineLvl w:val="1"/>
      </w:pPr>
      <w:r>
        <w:rPr>
          <w:rFonts w:ascii="Arial" w:hAnsi="Arial" w:cs="Arial"/>
          <w:b/>
          <w:i w:val="0"/>
          <w:color w:val="2E528F"/>
          <w:sz w:val="26"/>
        </w:rPr>
        <w:t>12.2 Complete Workflow Steps</w:t>
      </w:r>
    </w:p>
    <w:p>
      <w:pPr>
        <w:keepNext/>
        <w:spacing w:before="180" w:after="80"/>
        <w:outlineLvl w:val="2"/>
      </w:pPr>
      <w:r>
        <w:rPr>
          <w:rFonts w:ascii="Arial" w:hAnsi="Arial" w:cs="Arial"/>
          <w:b/>
          <w:i w:val="0"/>
          <w:color w:val="333333"/>
          <w:sz w:val="23"/>
        </w:rPr>
        <w:t>12.2.1 High-Level Workflow</w:t>
      </w:r>
    </w:p>
    <w:p>
      <w:pPr>
        <w:spacing w:after="80" w:line="293" w:lineRule="auto"/>
        <w:jc w:val="left"/>
      </w:pPr>
      <w:r>
        <w:rPr>
          <w:rFonts w:ascii="Times New Roman" w:hAnsi="Times New Roman" w:cs="Times New Roman"/>
          <w:b w:val="0"/>
          <w:i w:val="0"/>
          <w:sz w:val="22"/>
        </w:rPr>
        <w:t>Stage 1 — Pre-Execution Setup (automatic): loading window selection (seller + trucking); booking confirmation upload (shipping line); dynamic document requirements (RIA-driven); container release pre-advice (terminal).</w:t>
      </w:r>
    </w:p>
    <w:p>
      <w:pPr>
        <w:spacing w:after="80" w:line="293" w:lineRule="auto"/>
        <w:jc w:val="left"/>
      </w:pPr>
      <w:r>
        <w:rPr>
          <w:rFonts w:ascii="Times New Roman" w:hAnsi="Times New Roman" w:cs="Times New Roman"/>
          <w:b w:val="0"/>
          <w:i w:val="0"/>
          <w:sz w:val="22"/>
        </w:rPr>
        <w:t>Stage 2 — Container Release &amp; Loading: container release confirmation (Section 12.6); pallet-level loading with non-uniform layer support; barcode scanning (SSCC) + voice commands; multisensor consensus auto-confirms "LOADED".</w:t>
      </w:r>
    </w:p>
    <w:p>
      <w:pPr>
        <w:spacing w:after="80" w:line="293" w:lineRule="auto"/>
        <w:jc w:val="left"/>
      </w:pPr>
      <w:r>
        <w:rPr>
          <w:rFonts w:ascii="Times New Roman" w:hAnsi="Times New Roman" w:cs="Times New Roman"/>
          <w:b w:val="0"/>
          <w:i w:val="0"/>
          <w:sz w:val="22"/>
        </w:rPr>
        <w:t>Stage 3 — QC Inspection (conditional pass support): PASS — loading proceeds immediately; FAIL — loading blocked; CONDITIONAL — loading proceeds with hold + action plan; re-inspection request if disputed (Section 12.5).</w:t>
      </w:r>
    </w:p>
    <w:p>
      <w:pPr>
        <w:spacing w:after="80" w:line="293" w:lineRule="auto"/>
        <w:jc w:val="left"/>
      </w:pPr>
      <w:r>
        <w:rPr>
          <w:rFonts w:ascii="Times New Roman" w:hAnsi="Times New Roman" w:cs="Times New Roman"/>
          <w:b w:val="0"/>
          <w:i w:val="0"/>
          <w:sz w:val="22"/>
        </w:rPr>
        <w:t>Stage 4 — Port Gate &amp; Customs: Gate In (container enters terminal, OCR/manual); customs clearance (broker submits declaration via the Nafeza API); eBL interoperability (issuance tracked).</w:t>
      </w:r>
    </w:p>
    <w:p>
      <w:pPr>
        <w:spacing w:after="80" w:line="293" w:lineRule="auto"/>
        <w:jc w:val="left"/>
      </w:pPr>
      <w:r>
        <w:rPr>
          <w:rFonts w:ascii="Times New Roman" w:hAnsi="Times New Roman" w:cs="Times New Roman"/>
          <w:b w:val="0"/>
          <w:i w:val="0"/>
          <w:sz w:val="22"/>
        </w:rPr>
        <w:t>Stage 5 — Vessel Tracking &amp; Cold-Chain Monitoring: AIS integration (vessel position every 6 hours); ETA predictions refined (digital twin); cold-chain LSTM predicts remaining shelf life; temperature excursion alerts (Section 12.4).</w:t>
      </w:r>
    </w:p>
    <w:p>
      <w:pPr>
        <w:spacing w:after="80" w:line="293" w:lineRule="auto"/>
        <w:jc w:val="left"/>
      </w:pPr>
      <w:r>
        <w:rPr>
          <w:rFonts w:ascii="Times New Roman" w:hAnsi="Times New Roman" w:cs="Times New Roman"/>
          <w:b w:val="0"/>
          <w:i w:val="0"/>
          <w:sz w:val="22"/>
        </w:rPr>
        <w:t>Stage 6 — Arrival &amp; Delivery Confirmation: arrival milestone confirmed (shipping line); import customs clearance (buyer/broker); delivery confirmation (buyer — one click or voice) (Section 12.7).</w:t>
      </w:r>
    </w:p>
    <w:p>
      <w:pPr>
        <w:spacing w:after="80" w:line="293" w:lineRule="auto"/>
        <w:jc w:val="left"/>
      </w:pPr>
      <w:r>
        <w:rPr>
          <w:rFonts w:ascii="Times New Roman" w:hAnsi="Times New Roman" w:cs="Times New Roman"/>
          <w:b w:val="0"/>
          <w:i w:val="0"/>
          <w:sz w:val="22"/>
        </w:rPr>
        <w:t>Stage 7 — Stuck Trade Recovery (automatic escalation): 12h overdue — Smart Inbox reminder; 24h overdue — alert to seller, buyer, Admin; 48h overdue — escalation to human mediator (A3).</w:t>
      </w:r>
    </w:p>
    <w:p>
      <w:pPr>
        <w:keepNext/>
        <w:spacing w:before="180" w:after="80"/>
        <w:outlineLvl w:val="2"/>
      </w:pPr>
      <w:r>
        <w:rPr>
          <w:rFonts w:ascii="Arial" w:hAnsi="Arial" w:cs="Arial"/>
          <w:b/>
          <w:i w:val="0"/>
          <w:color w:val="333333"/>
          <w:sz w:val="23"/>
        </w:rPr>
        <w:t>12.2.2 Step 1 — Pre-Execution Setup (Automatic)</w:t>
      </w:r>
    </w:p>
    <w:p>
      <w:pPr>
        <w:spacing w:after="80" w:line="293" w:lineRule="auto"/>
        <w:jc w:val="left"/>
      </w:pPr>
      <w:r>
        <w:rPr>
          <w:rFonts w:ascii="Times New Roman" w:hAnsi="Times New Roman" w:cs="Times New Roman"/>
          <w:b w:val="0"/>
          <w:i w:val="0"/>
          <w:sz w:val="22"/>
        </w:rPr>
        <w:t>Before physical movement, the system prepares all parties with the necessary information.</w:t>
      </w:r>
    </w:p>
    <w:p>
      <w:pPr>
        <w:spacing w:after="80" w:line="293" w:lineRule="auto"/>
        <w:jc w:val="left"/>
      </w:pPr>
      <w:r>
        <w:rPr>
          <w:rFonts w:ascii="Times New Roman" w:hAnsi="Times New Roman" w:cs="Times New Roman"/>
          <w:b w:val="0"/>
          <w:i w:val="0"/>
          <w:sz w:val="22"/>
        </w:rPr>
        <w:t>1A — Loading Window Selection. Seller and trucking company coordinate. The system suggests optimal slots based on port cutoffs, historical traffic, and weather. The Loading Window Engine coordinates seller, warehouse, trucking provider, QC where applicable, and terminal/port where relevant. Display: planned loading window; confirmed window; actual start; actual completion; late by; reason. AI assistance: A2 recommends optimal slots based on cutoff, traffic, historical performance, weather, and operating constraints.</w:t>
      </w:r>
    </w:p>
    <w:p>
      <w:pPr>
        <w:spacing w:after="80" w:line="293" w:lineRule="auto"/>
        <w:jc w:val="left"/>
      </w:pPr>
      <w:r>
        <w:rPr>
          <w:rFonts w:ascii="Times New Roman" w:hAnsi="Times New Roman" w:cs="Times New Roman"/>
          <w:b w:val="0"/>
          <w:i w:val="0"/>
          <w:sz w:val="22"/>
        </w:rPr>
        <w:t>1B — Booking Confirmation Upload. The shipping line uploads the booking confirmation (PDF, email, EDI, structured provider API, or other approved interfaces). A2 (HF Donut) extracts vessel name, IMO (International Maritime Organization) number, voyage, ETD (estimated time of departure), ETA (estimated time of arrival), and container numbers; the system updates the shipments table with vessel details. Rule: extracted data is candidate evidence until validated. Example Smart Inbox card — Booking Confirmation for SGTX-EG-26-F3A-1: Shipping Line: MSC Egypt; Vessel: MSC FIONA (IMO: 1234567); Voyage: MSF123E; ETD: 2026-06-20 08:00 UTC; ETA: 2026-07-05 14:00 UTC; Booking Reference: MAEU876543210; actions: [View Booking Confirmation] [Acknowledge] [Request Amendment].</w:t>
      </w:r>
    </w:p>
    <w:p>
      <w:pPr>
        <w:spacing w:after="80" w:line="293" w:lineRule="auto"/>
        <w:jc w:val="left"/>
      </w:pPr>
      <w:r>
        <w:rPr>
          <w:rFonts w:ascii="Times New Roman" w:hAnsi="Times New Roman" w:cs="Times New Roman"/>
          <w:b w:val="0"/>
          <w:i w:val="0"/>
          <w:sz w:val="22"/>
        </w:rPr>
        <w:t>1C — Booking Reconciliation. Booking data is compared against the agreed shipment, destination, origin, mode, carrier, container, schedule, and trade requirements. Flags: unexpected carrier; unexpected port; unexpected sailing; unexpected equipment; unexpected container count. Rule: never silently overwrite canonical trade data.</w:t>
      </w:r>
    </w:p>
    <w:p>
      <w:pPr>
        <w:spacing w:after="80" w:line="293" w:lineRule="auto"/>
        <w:jc w:val="left"/>
      </w:pPr>
      <w:r>
        <w:rPr>
          <w:rFonts w:ascii="Times New Roman" w:hAnsi="Times New Roman" w:cs="Times New Roman"/>
          <w:b w:val="0"/>
          <w:i w:val="0"/>
          <w:sz w:val="22"/>
        </w:rPr>
        <w:t>1D — Dynamic Document Requirements. RIA-driven checklist (phytosanitary, health, Certificate of Origin, etc.). Missing critical documents block loading.</w:t>
      </w:r>
    </w:p>
    <w:p>
      <w:pPr>
        <w:spacing w:after="80" w:line="293" w:lineRule="auto"/>
        <w:jc w:val="left"/>
      </w:pPr>
      <w:r>
        <w:rPr>
          <w:rFonts w:ascii="Times New Roman" w:hAnsi="Times New Roman" w:cs="Times New Roman"/>
          <w:b w:val="0"/>
          <w:i w:val="0"/>
          <w:sz w:val="22"/>
        </w:rPr>
        <w:t>1E — Container Release Pre-Advice. The system sends a pre-advice webhook to the terminal 2–4 hours before the truck's estimated arrival, so the terminal pre-stages gate resources. Pre-advice payload: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"event": "RELEASE_PREADVICE",</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"estimated_gate_in": "2026-04-15T14:00:00Z",</w:t>
      </w:r>
    </w:p>
    <w:p>
      <w:pPr>
        <w:spacing w:after="0" w:before="0" w:line="240" w:lineRule="auto"/>
        <w:ind w:left="57"/>
        <w:jc w:val="left"/>
        <w:shd w:val="clear" w:fill="F2F2F2"/>
      </w:pPr>
      <w:r>
        <w:rPr>
          <w:rFonts w:ascii="Consolas" w:hAnsi="Consolas" w:cs="Consolas"/>
          <w:b w:val="0"/>
          <w:i w:val="0"/>
          <w:sz w:val="15"/>
        </w:rPr>
        <w:t xml:space="preserve">    "release_token": "REL-20260415-147-001",</w:t>
      </w:r>
    </w:p>
    <w:p>
      <w:pPr>
        <w:spacing w:after="0" w:before="0" w:line="240" w:lineRule="auto"/>
        <w:ind w:left="57"/>
        <w:jc w:val="left"/>
        <w:shd w:val="clear" w:fill="F2F2F2"/>
      </w:pPr>
      <w:r>
        <w:rPr>
          <w:rFonts w:ascii="Consolas" w:hAnsi="Consolas" w:cs="Consolas"/>
          <w:b w:val="0"/>
          <w:i w:val="0"/>
          <w:sz w:val="15"/>
        </w:rPr>
        <w:t xml:space="preserve">    "valid_until": "2026-04-16T14:31:00Z"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12.2.3 Step 2 — Container Release &amp; Loading</w:t>
      </w:r>
    </w:p>
    <w:p>
      <w:pPr>
        <w:spacing w:after="80" w:line="293" w:lineRule="auto"/>
        <w:jc w:val="left"/>
      </w:pPr>
      <w:r>
        <w:rPr>
          <w:rFonts w:ascii="Times New Roman" w:hAnsi="Times New Roman" w:cs="Times New Roman"/>
          <w:b w:val="0"/>
          <w:i w:val="0"/>
          <w:sz w:val="22"/>
        </w:rPr>
        <w:t>The container is released, and pallets are loaded using barcode scanning and voice commands.</w:t>
      </w:r>
    </w:p>
    <w:p>
      <w:pPr>
        <w:spacing w:after="80" w:line="293" w:lineRule="auto"/>
        <w:jc w:val="left"/>
      </w:pPr>
      <w:r>
        <w:rPr>
          <w:rFonts w:ascii="Times New Roman" w:hAnsi="Times New Roman" w:cs="Times New Roman"/>
          <w:b w:val="0"/>
          <w:i w:val="0"/>
          <w:sz w:val="22"/>
        </w:rPr>
        <w:t>2A — Container Release Confirmation. After fee payment, the system sends release confirmation to the primary logistics provider: a co-branded email with a one-time release token (UUID, valid 72 hours). The provider acknowledges with one click. Security: nonce/replay protection; token state; actor identity; container binding; USTN binding; expiry validation. The full release authorisation protocol is specified in Section 12.6.</w:t>
      </w:r>
    </w:p>
    <w:p>
      <w:pPr>
        <w:spacing w:after="80" w:line="293" w:lineRule="auto"/>
        <w:jc w:val="left"/>
      </w:pPr>
      <w:r>
        <w:rPr>
          <w:rFonts w:ascii="Times New Roman" w:hAnsi="Times New Roman" w:cs="Times New Roman"/>
          <w:b w:val="0"/>
          <w:i w:val="0"/>
          <w:sz w:val="22"/>
        </w:rPr>
        <w:t>2B — Pallet-Level Loading (with non-uniform layer support). The warehouse worker uses the mobile app (offline) to scan SSCC barcodes. Voice commands: "Load pallet OR005 into container TCNU1234567." Vosk transcribes; HF Mixtral extracts intent; after biometric confirmation, the milestone is confirmed. Supported methods: single scan; batch scan; voice (natural operational commands); manual fallback for damaged/non-scannable labels.</w:t>
      </w:r>
    </w:p>
    <w:p>
      <w:pPr>
        <w:spacing w:after="80" w:line="293" w:lineRule="auto"/>
        <w:jc w:val="left"/>
      </w:pPr>
      <w:r>
        <w:rPr>
          <w:rFonts w:ascii="Times New Roman" w:hAnsi="Times New Roman" w:cs="Times New Roman"/>
          <w:b w:val="0"/>
          <w:i w:val="0"/>
          <w:sz w:val="22"/>
        </w:rPr>
        <w:t>2C — Batch Scan Mode. The worker scans multiple pallets without intervening clicks; the system groups them and confirms after a short pause.</w:t>
      </w:r>
    </w:p>
    <w:p>
      <w:pPr>
        <w:spacing w:after="80" w:line="293" w:lineRule="auto"/>
        <w:jc w:val="left"/>
      </w:pPr>
      <w:r>
        <w:rPr>
          <w:rFonts w:ascii="Times New Roman" w:hAnsi="Times New Roman" w:cs="Times New Roman"/>
          <w:b w:val="0"/>
          <w:i w:val="0"/>
          <w:sz w:val="22"/>
        </w:rPr>
        <w:t>2D — Multisensor Consensus (A4). If all pallets for a container are scanned AND an optional IoT weight sensor confirms total weight within tolerance, the "Container Loaded" milestone is auto-confirmed (Section 12.3).</w:t>
      </w:r>
    </w:p>
    <w:p>
      <w:pPr>
        <w:spacing w:after="80" w:line="293" w:lineRule="auto"/>
        <w:jc w:val="left"/>
      </w:pPr>
      <w:r>
        <w:rPr>
          <w:rFonts w:ascii="Times New Roman" w:hAnsi="Times New Roman" w:cs="Times New Roman"/>
          <w:b w:val="0"/>
          <w:i w:val="0"/>
          <w:sz w:val="22"/>
        </w:rPr>
        <w:t>2E — Loading Guide Display (A1, Groq). Step-by-step loading instructions are displayed on the mobile app. Example loading guide for container MEDU1234567: Step 1: pre-cool container to −18°C for at least 2 hours before loading. Step 2: load pallets OR001–OR011 (11 layers × 10 cartons). Step 3: load pallets OR012–OR022 (11 layers × 10 + 1 layer × 1). Step 4: ensure 2 cm air gap between pallets for air circulation. Step 5: secure strapping — recycled PET (recommended).</w:t>
      </w:r>
    </w:p>
    <w:p>
      <w:pPr>
        <w:spacing w:after="80" w:line="293" w:lineRule="auto"/>
        <w:jc w:val="left"/>
      </w:pPr>
      <w:r>
        <w:rPr>
          <w:rFonts w:ascii="Times New Roman" w:hAnsi="Times New Roman" w:cs="Times New Roman"/>
          <w:b w:val="0"/>
          <w:i w:val="0"/>
          <w:sz w:val="22"/>
        </w:rPr>
        <w:t>Example pallet scan status display (mobile app): pallets OR-001 through OR-021 loaded (SSCC 106141411234567890 … 106141411234567910) with scan timestamps 14:30:00 onward; pallet OR-022 pending. Progress: 21/22 pallets loaded. Voice: "Load pallet OR022 into container MEDU1234567". Actions: [Scan Next Pallet] [Batch Scan Mode] [Confirm Load Complete].</w:t>
      </w:r>
    </w:p>
    <w:p>
      <w:pPr>
        <w:keepNext/>
        <w:spacing w:before="180" w:after="80"/>
        <w:outlineLvl w:val="2"/>
      </w:pPr>
      <w:r>
        <w:rPr>
          <w:rFonts w:ascii="Arial" w:hAnsi="Arial" w:cs="Arial"/>
          <w:b/>
          <w:i w:val="0"/>
          <w:color w:val="333333"/>
          <w:sz w:val="23"/>
        </w:rPr>
        <w:t>12.2.4 Step 3 — QC Inspection (Conditional Pass Support)</w:t>
      </w:r>
    </w:p>
    <w:p>
      <w:pPr>
        <w:spacing w:after="80" w:line="293" w:lineRule="auto"/>
        <w:jc w:val="left"/>
      </w:pPr>
      <w:r>
        <w:rPr>
          <w:rFonts w:ascii="Times New Roman" w:hAnsi="Times New Roman" w:cs="Times New Roman"/>
          <w:b w:val="0"/>
          <w:i w:val="0"/>
          <w:sz w:val="22"/>
        </w:rPr>
        <w:t>The QC inspector performs the on-site inspection with PASS/FAIL/CONDITIONAL verdicts; the full specification, conditional-pass action plans, and re-inspection workflow are given in Section 12.5. Loading proceeds on PASS; is blocked on FAIL; and proceeds under hold with a mandatory action plan on CONDITIONAL.</w:t>
      </w:r>
    </w:p>
    <w:p>
      <w:pPr>
        <w:keepNext/>
        <w:spacing w:before="180" w:after="80"/>
        <w:outlineLvl w:val="2"/>
      </w:pPr>
      <w:r>
        <w:rPr>
          <w:rFonts w:ascii="Arial" w:hAnsi="Arial" w:cs="Arial"/>
          <w:b/>
          <w:i w:val="0"/>
          <w:color w:val="333333"/>
          <w:sz w:val="23"/>
        </w:rPr>
        <w:t>12.2.5 Step 4 — Port Gate &amp; Customs</w:t>
      </w:r>
    </w:p>
    <w:p>
      <w:pPr>
        <w:spacing w:after="80" w:line="293" w:lineRule="auto"/>
        <w:jc w:val="left"/>
      </w:pPr>
      <w:r>
        <w:rPr>
          <w:rFonts w:ascii="Times New Roman" w:hAnsi="Times New Roman" w:cs="Times New Roman"/>
          <w:b w:val="0"/>
          <w:i w:val="0"/>
          <w:sz w:val="22"/>
        </w:rPr>
        <w:t>The container enters the terminal and customs clearance is processed; gate events, the customs state machine, and eBL interoperability are specified in Section 12.5. In summary: Gate In is recorded via OCR or manual entry and cross-referenced with the booking; the broker submits the export declaration via the Nafeza API; the digital twin simulates clearance time; and the bill of lading issuance event is tracked.</w:t>
      </w:r>
    </w:p>
    <w:p>
      <w:pPr>
        <w:keepNext/>
        <w:spacing w:before="180" w:after="80"/>
        <w:outlineLvl w:val="2"/>
      </w:pPr>
      <w:r>
        <w:rPr>
          <w:rFonts w:ascii="Arial" w:hAnsi="Arial" w:cs="Arial"/>
          <w:b/>
          <w:i w:val="0"/>
          <w:color w:val="333333"/>
          <w:sz w:val="23"/>
        </w:rPr>
        <w:t>12.2.6 Step 5 — Vessel Tracking &amp; Cold-Chain Monitoring</w:t>
      </w:r>
    </w:p>
    <w:p>
      <w:pPr>
        <w:spacing w:after="80" w:line="293" w:lineRule="auto"/>
        <w:jc w:val="left"/>
      </w:pPr>
      <w:r>
        <w:rPr>
          <w:rFonts w:ascii="Times New Roman" w:hAnsi="Times New Roman" w:cs="Times New Roman"/>
          <w:b w:val="0"/>
          <w:i w:val="0"/>
          <w:sz w:val="22"/>
        </w:rPr>
        <w:t>The vessel is tracked via AIS and cold-chain data is monitored in real time (Section 12.4): vessel position updates with ETA prediction by the digital twin, cold-chain LSTM shelf-life prediction, and temperature excursion alerts.</w:t>
      </w:r>
    </w:p>
    <w:p>
      <w:pPr>
        <w:keepNext/>
        <w:spacing w:before="180" w:after="80"/>
        <w:outlineLvl w:val="2"/>
      </w:pPr>
      <w:r>
        <w:rPr>
          <w:rFonts w:ascii="Arial" w:hAnsi="Arial" w:cs="Arial"/>
          <w:b/>
          <w:i w:val="0"/>
          <w:color w:val="333333"/>
          <w:sz w:val="23"/>
        </w:rPr>
        <w:t>12.2.7 Step 6 — Arrival &amp; Delivery Confirmation</w:t>
      </w:r>
    </w:p>
    <w:p>
      <w:pPr>
        <w:spacing w:after="80" w:line="293" w:lineRule="auto"/>
        <w:jc w:val="left"/>
      </w:pPr>
      <w:r>
        <w:rPr>
          <w:rFonts w:ascii="Times New Roman" w:hAnsi="Times New Roman" w:cs="Times New Roman"/>
          <w:b w:val="0"/>
          <w:i w:val="0"/>
          <w:sz w:val="22"/>
        </w:rPr>
        <w:t>The vessel arrives, import customs is cleared, and the buyer confirms delivery (Section 12.7).</w:t>
      </w:r>
    </w:p>
    <w:p>
      <w:pPr>
        <w:keepNext/>
        <w:spacing w:before="180" w:after="80"/>
        <w:outlineLvl w:val="2"/>
      </w:pPr>
      <w:r>
        <w:rPr>
          <w:rFonts w:ascii="Arial" w:hAnsi="Arial" w:cs="Arial"/>
          <w:b/>
          <w:i w:val="0"/>
          <w:color w:val="333333"/>
          <w:sz w:val="23"/>
        </w:rPr>
        <w:t>12.2.8 Step 7 — Stuck Trade Recovery (Automatic Escalation)</w:t>
      </w:r>
    </w:p>
    <w:p>
      <w:pPr>
        <w:spacing w:after="80" w:line="293" w:lineRule="auto"/>
        <w:jc w:val="left"/>
      </w:pPr>
      <w:r>
        <w:rPr>
          <w:rFonts w:ascii="Times New Roman" w:hAnsi="Times New Roman" w:cs="Times New Roman"/>
          <w:b w:val="0"/>
          <w:i w:val="0"/>
          <w:sz w:val="22"/>
        </w:rPr>
        <w:t>Automatic escalation if any milestone remains unconfirmed beyond its SLA:</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Level</w:t>
            </w:r>
          </w:p>
        </w:tc>
        <w:tc>
          <w:tcPr>
            <w:tcW w:type="dxa" w:w="3213"/>
            <w:shd w:val="clear" w:fill="D9E2F3"/>
          </w:tcPr>
          <w:p>
            <w:pPr>
              <w:spacing w:after="20" w:before="20" w:line="240" w:lineRule="auto"/>
            </w:pPr>
            <w:r/>
            <w:r>
              <w:rPr>
                <w:rFonts w:ascii="Arial" w:hAnsi="Arial" w:cs="Arial"/>
                <w:b/>
                <w:i w:val="0"/>
                <w:sz w:val="18"/>
              </w:rPr>
              <w:t>Timing</w:t>
            </w:r>
          </w:p>
        </w:tc>
        <w:tc>
          <w:tcPr>
            <w:tcW w:type="dxa" w:w="3213"/>
            <w:shd w:val="clear" w:fill="D9E2F3"/>
          </w:tcPr>
          <w:p>
            <w:pPr>
              <w:spacing w:after="20" w:before="20" w:line="240" w:lineRule="auto"/>
            </w:pPr>
            <w:r/>
            <w:r>
              <w:rPr>
                <w:rFonts w:ascii="Arial" w:hAnsi="Arial" w:cs="Arial"/>
                <w:b/>
                <w:i w:val="0"/>
                <w:sz w:val="18"/>
              </w:rPr>
              <w:t>Action</w:t>
            </w:r>
          </w:p>
        </w:tc>
      </w:tr>
      <w:tr>
        <w:tc>
          <w:tcPr>
            <w:tcW w:type="dxa" w:w="3213"/>
          </w:tcPr>
          <w:p>
            <w:pPr>
              <w:spacing w:after="20" w:before="20" w:line="240" w:lineRule="auto"/>
            </w:pPr>
            <w:r/>
            <w:r>
              <w:rPr>
                <w:rFonts w:ascii="Arial" w:hAnsi="Arial" w:cs="Arial"/>
                <w:b w:val="0"/>
                <w:i w:val="0"/>
                <w:sz w:val="17"/>
              </w:rPr>
              <w:t>1 — Reminder</w:t>
            </w:r>
          </w:p>
        </w:tc>
        <w:tc>
          <w:tcPr>
            <w:tcW w:type="dxa" w:w="3213"/>
          </w:tcPr>
          <w:p>
            <w:pPr>
              <w:spacing w:after="20" w:before="20" w:line="240" w:lineRule="auto"/>
            </w:pPr>
            <w:r/>
            <w:r>
              <w:rPr>
                <w:rFonts w:ascii="Arial" w:hAnsi="Arial" w:cs="Arial"/>
                <w:b w:val="0"/>
                <w:i w:val="0"/>
                <w:sz w:val="17"/>
              </w:rPr>
              <w:t>12h overdue</w:t>
            </w:r>
          </w:p>
        </w:tc>
        <w:tc>
          <w:tcPr>
            <w:tcW w:type="dxa" w:w="3213"/>
          </w:tcPr>
          <w:p>
            <w:pPr>
              <w:spacing w:after="20" w:before="20" w:line="240" w:lineRule="auto"/>
            </w:pPr>
            <w:r/>
            <w:r>
              <w:rPr>
                <w:rFonts w:ascii="Arial" w:hAnsi="Arial" w:cs="Arial"/>
                <w:b w:val="0"/>
                <w:i w:val="0"/>
                <w:sz w:val="17"/>
              </w:rPr>
              <w:t>Responsible party reminder</w:t>
            </w:r>
          </w:p>
        </w:tc>
      </w:tr>
      <w:tr>
        <w:tc>
          <w:tcPr>
            <w:tcW w:type="dxa" w:w="3213"/>
          </w:tcPr>
          <w:p>
            <w:pPr>
              <w:spacing w:after="20" w:before="20" w:line="240" w:lineRule="auto"/>
            </w:pPr>
            <w:r/>
            <w:r>
              <w:rPr>
                <w:rFonts w:ascii="Arial" w:hAnsi="Arial" w:cs="Arial"/>
                <w:b w:val="0"/>
                <w:i w:val="0"/>
                <w:sz w:val="17"/>
              </w:rPr>
              <w:t>2 — Alert</w:t>
            </w:r>
          </w:p>
        </w:tc>
        <w:tc>
          <w:tcPr>
            <w:tcW w:type="dxa" w:w="3213"/>
          </w:tcPr>
          <w:p>
            <w:pPr>
              <w:spacing w:after="20" w:before="20" w:line="240" w:lineRule="auto"/>
            </w:pPr>
            <w:r/>
            <w:r>
              <w:rPr>
                <w:rFonts w:ascii="Arial" w:hAnsi="Arial" w:cs="Arial"/>
                <w:b w:val="0"/>
                <w:i w:val="0"/>
                <w:sz w:val="17"/>
              </w:rPr>
              <w:t>24h overdue</w:t>
            </w:r>
          </w:p>
        </w:tc>
        <w:tc>
          <w:tcPr>
            <w:tcW w:type="dxa" w:w="3213"/>
          </w:tcPr>
          <w:p>
            <w:pPr>
              <w:spacing w:after="20" w:before="20" w:line="240" w:lineRule="auto"/>
            </w:pPr>
            <w:r/>
            <w:r>
              <w:rPr>
                <w:rFonts w:ascii="Arial" w:hAnsi="Arial" w:cs="Arial"/>
                <w:b w:val="0"/>
                <w:i w:val="0"/>
                <w:sz w:val="17"/>
              </w:rPr>
              <w:t>Buyer/Seller/Admin alert</w:t>
            </w:r>
          </w:p>
        </w:tc>
      </w:tr>
      <w:tr>
        <w:tc>
          <w:tcPr>
            <w:tcW w:type="dxa" w:w="3213"/>
          </w:tcPr>
          <w:p>
            <w:pPr>
              <w:spacing w:after="20" w:before="20" w:line="240" w:lineRule="auto"/>
            </w:pPr>
            <w:r/>
            <w:r>
              <w:rPr>
                <w:rFonts w:ascii="Arial" w:hAnsi="Arial" w:cs="Arial"/>
                <w:b w:val="0"/>
                <w:i w:val="0"/>
                <w:sz w:val="17"/>
              </w:rPr>
              <w:t>3 — Escalation</w:t>
            </w:r>
          </w:p>
        </w:tc>
        <w:tc>
          <w:tcPr>
            <w:tcW w:type="dxa" w:w="3213"/>
          </w:tcPr>
          <w:p>
            <w:pPr>
              <w:spacing w:after="20" w:before="20" w:line="240" w:lineRule="auto"/>
            </w:pPr>
            <w:r/>
            <w:r>
              <w:rPr>
                <w:rFonts w:ascii="Arial" w:hAnsi="Arial" w:cs="Arial"/>
                <w:b w:val="0"/>
                <w:i w:val="0"/>
                <w:sz w:val="17"/>
              </w:rPr>
              <w:t>48h overdue</w:t>
            </w:r>
          </w:p>
        </w:tc>
        <w:tc>
          <w:tcPr>
            <w:tcW w:type="dxa" w:w="3213"/>
          </w:tcPr>
          <w:p>
            <w:pPr>
              <w:spacing w:after="20" w:before="20" w:line="240" w:lineRule="auto"/>
            </w:pPr>
            <w:r/>
            <w:r>
              <w:rPr>
                <w:rFonts w:ascii="Arial" w:hAnsi="Arial" w:cs="Arial"/>
                <w:b w:val="0"/>
                <w:i w:val="0"/>
                <w:sz w:val="17"/>
              </w:rPr>
              <w:t>Human mediator escalation (A3)</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no automatic cancellation merely because physical execution is delayed.</w:t>
      </w:r>
    </w:p>
    <w:p>
      <w:pPr>
        <w:spacing w:after="80" w:line="293" w:lineRule="auto"/>
        <w:jc w:val="left"/>
      </w:pPr>
      <w:r>
        <w:rPr>
          <w:rFonts w:ascii="Times New Roman" w:hAnsi="Times New Roman" w:cs="Times New Roman"/>
          <w:b w:val="0"/>
          <w:i w:val="0"/>
          <w:sz w:val="22"/>
        </w:rPr>
        <w:t>Example stuck trade alert — SGTX-EG-26-F3A-1: Milestone: LOADED (24h overdue); Responsible Party: Fast Trucking Co. (LSP); Deadline: 2026-06-19 08:00 UTC; Current Time: 2026-06-20 08:00 UTC; Recommended Action: 1. Contact Fast Trucking Co. immediately. 2. Verify if the container has been loaded. 3. If unresolved in 24h, escalate to a human mediator. Actions: [Contact Provider] [Mark as Resolved] [Escalate to Mediator].</w:t>
      </w:r>
    </w:p>
    <w:p>
      <w:pPr>
        <w:spacing w:after="80" w:line="293" w:lineRule="auto"/>
        <w:jc w:val="left"/>
      </w:pPr>
      <w:r>
        <w:rPr>
          <w:rFonts w:ascii="Times New Roman" w:hAnsi="Times New Roman" w:cs="Times New Roman"/>
          <w:b w:val="0"/>
          <w:i w:val="0"/>
          <w:sz w:val="22"/>
        </w:rPr>
        <w:t>Stuck trade classification routes each stuck trade to the correct resolver:</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Class</w:t>
            </w:r>
          </w:p>
        </w:tc>
        <w:tc>
          <w:tcPr>
            <w:tcW w:type="dxa" w:w="4819"/>
            <w:shd w:val="clear" w:fill="D9E2F3"/>
          </w:tcPr>
          <w:p>
            <w:pPr>
              <w:spacing w:after="20" w:before="20" w:line="240" w:lineRule="auto"/>
            </w:pPr>
            <w:r/>
            <w:r>
              <w:rPr>
                <w:rFonts w:ascii="Arial" w:hAnsi="Arial" w:cs="Arial"/>
                <w:b/>
                <w:i w:val="0"/>
                <w:sz w:val="18"/>
              </w:rPr>
              <w:t>Router</w:t>
            </w:r>
          </w:p>
        </w:tc>
      </w:tr>
      <w:tr>
        <w:tc>
          <w:tcPr>
            <w:tcW w:type="dxa" w:w="4819"/>
          </w:tcPr>
          <w:p>
            <w:pPr>
              <w:spacing w:after="20" w:before="20" w:line="240" w:lineRule="auto"/>
            </w:pPr>
            <w:r/>
            <w:r>
              <w:rPr>
                <w:rFonts w:ascii="Arial" w:hAnsi="Arial" w:cs="Arial"/>
                <w:b w:val="0"/>
                <w:i w:val="0"/>
                <w:sz w:val="17"/>
              </w:rPr>
              <w:t>WAITING FOR PARTY</w:t>
            </w:r>
          </w:p>
        </w:tc>
        <w:tc>
          <w:tcPr>
            <w:tcW w:type="dxa" w:w="4819"/>
          </w:tcPr>
          <w:p>
            <w:pPr>
              <w:spacing w:after="20" w:before="20" w:line="240" w:lineRule="auto"/>
            </w:pPr>
            <w:r/>
            <w:r>
              <w:rPr>
                <w:rFonts w:ascii="Arial" w:hAnsi="Arial" w:cs="Arial"/>
                <w:b w:val="0"/>
                <w:i w:val="0"/>
                <w:sz w:val="17"/>
              </w:rPr>
              <w:t>Buyer/Seller communication</w:t>
            </w:r>
          </w:p>
        </w:tc>
      </w:tr>
      <w:tr>
        <w:tc>
          <w:tcPr>
            <w:tcW w:type="dxa" w:w="4819"/>
          </w:tcPr>
          <w:p>
            <w:pPr>
              <w:spacing w:after="20" w:before="20" w:line="240" w:lineRule="auto"/>
            </w:pPr>
            <w:r/>
            <w:r>
              <w:rPr>
                <w:rFonts w:ascii="Arial" w:hAnsi="Arial" w:cs="Arial"/>
                <w:b w:val="0"/>
                <w:i w:val="0"/>
                <w:sz w:val="17"/>
              </w:rPr>
              <w:t>WAITING FOR PROVIDER</w:t>
            </w:r>
          </w:p>
        </w:tc>
        <w:tc>
          <w:tcPr>
            <w:tcW w:type="dxa" w:w="4819"/>
          </w:tcPr>
          <w:p>
            <w:pPr>
              <w:spacing w:after="20" w:before="20" w:line="240" w:lineRule="auto"/>
            </w:pPr>
            <w:r/>
            <w:r>
              <w:rPr>
                <w:rFonts w:ascii="Arial" w:hAnsi="Arial" w:cs="Arial"/>
                <w:b w:val="0"/>
                <w:i w:val="0"/>
                <w:sz w:val="17"/>
              </w:rPr>
              <w:t>Logistics escalation</w:t>
            </w:r>
          </w:p>
        </w:tc>
      </w:tr>
      <w:tr>
        <w:tc>
          <w:tcPr>
            <w:tcW w:type="dxa" w:w="4819"/>
          </w:tcPr>
          <w:p>
            <w:pPr>
              <w:spacing w:after="20" w:before="20" w:line="240" w:lineRule="auto"/>
            </w:pPr>
            <w:r/>
            <w:r>
              <w:rPr>
                <w:rFonts w:ascii="Arial" w:hAnsi="Arial" w:cs="Arial"/>
                <w:b w:val="0"/>
                <w:i w:val="0"/>
                <w:sz w:val="17"/>
              </w:rPr>
              <w:t>WAITING FOR GOVERNMENT</w:t>
            </w:r>
          </w:p>
        </w:tc>
        <w:tc>
          <w:tcPr>
            <w:tcW w:type="dxa" w:w="4819"/>
          </w:tcPr>
          <w:p>
            <w:pPr>
              <w:spacing w:after="20" w:before="20" w:line="240" w:lineRule="auto"/>
            </w:pPr>
            <w:r/>
            <w:r>
              <w:rPr>
                <w:rFonts w:ascii="Arial" w:hAnsi="Arial" w:cs="Arial"/>
                <w:b w:val="0"/>
                <w:i w:val="0"/>
                <w:sz w:val="17"/>
              </w:rPr>
              <w:t>Regulatory escalation</w:t>
            </w:r>
          </w:p>
        </w:tc>
      </w:tr>
      <w:tr>
        <w:tc>
          <w:tcPr>
            <w:tcW w:type="dxa" w:w="4819"/>
          </w:tcPr>
          <w:p>
            <w:pPr>
              <w:spacing w:after="20" w:before="20" w:line="240" w:lineRule="auto"/>
            </w:pPr>
            <w:r/>
            <w:r>
              <w:rPr>
                <w:rFonts w:ascii="Arial" w:hAnsi="Arial" w:cs="Arial"/>
                <w:b w:val="0"/>
                <w:i w:val="0"/>
                <w:sz w:val="17"/>
              </w:rPr>
              <w:t>WAITING FOR DOCUMENT</w:t>
            </w:r>
          </w:p>
        </w:tc>
        <w:tc>
          <w:tcPr>
            <w:tcW w:type="dxa" w:w="4819"/>
          </w:tcPr>
          <w:p>
            <w:pPr>
              <w:spacing w:after="20" w:before="20" w:line="240" w:lineRule="auto"/>
            </w:pPr>
            <w:r/>
            <w:r>
              <w:rPr>
                <w:rFonts w:ascii="Arial" w:hAnsi="Arial" w:cs="Arial"/>
                <w:b w:val="0"/>
                <w:i w:val="0"/>
                <w:sz w:val="17"/>
              </w:rPr>
              <w:t>Document team escalation</w:t>
            </w:r>
          </w:p>
        </w:tc>
      </w:tr>
      <w:tr>
        <w:tc>
          <w:tcPr>
            <w:tcW w:type="dxa" w:w="4819"/>
          </w:tcPr>
          <w:p>
            <w:pPr>
              <w:spacing w:after="20" w:before="20" w:line="240" w:lineRule="auto"/>
            </w:pPr>
            <w:r/>
            <w:r>
              <w:rPr>
                <w:rFonts w:ascii="Arial" w:hAnsi="Arial" w:cs="Arial"/>
                <w:b w:val="0"/>
                <w:i w:val="0"/>
                <w:sz w:val="17"/>
              </w:rPr>
              <w:t>WAITING FOR CUSTOMS</w:t>
            </w:r>
          </w:p>
        </w:tc>
        <w:tc>
          <w:tcPr>
            <w:tcW w:type="dxa" w:w="4819"/>
          </w:tcPr>
          <w:p>
            <w:pPr>
              <w:spacing w:after="20" w:before="20" w:line="240" w:lineRule="auto"/>
            </w:pPr>
            <w:r/>
            <w:r>
              <w:rPr>
                <w:rFonts w:ascii="Arial" w:hAnsi="Arial" w:cs="Arial"/>
                <w:b w:val="0"/>
                <w:i w:val="0"/>
                <w:sz w:val="17"/>
              </w:rPr>
              <w:t>Customs escalation</w:t>
            </w:r>
          </w:p>
        </w:tc>
      </w:tr>
      <w:tr>
        <w:tc>
          <w:tcPr>
            <w:tcW w:type="dxa" w:w="4819"/>
          </w:tcPr>
          <w:p>
            <w:pPr>
              <w:spacing w:after="20" w:before="20" w:line="240" w:lineRule="auto"/>
            </w:pPr>
            <w:r/>
            <w:r>
              <w:rPr>
                <w:rFonts w:ascii="Arial" w:hAnsi="Arial" w:cs="Arial"/>
                <w:b w:val="0"/>
                <w:i w:val="0"/>
                <w:sz w:val="17"/>
              </w:rPr>
              <w:t>WAITING FOR BANK/FINANCE</w:t>
            </w:r>
          </w:p>
        </w:tc>
        <w:tc>
          <w:tcPr>
            <w:tcW w:type="dxa" w:w="4819"/>
          </w:tcPr>
          <w:p>
            <w:pPr>
              <w:spacing w:after="20" w:before="20" w:line="240" w:lineRule="auto"/>
            </w:pPr>
            <w:r/>
            <w:r>
              <w:rPr>
                <w:rFonts w:ascii="Arial" w:hAnsi="Arial" w:cs="Arial"/>
                <w:b w:val="0"/>
                <w:i w:val="0"/>
                <w:sz w:val="17"/>
              </w:rPr>
              <w:t>Finance escalation</w:t>
            </w:r>
          </w:p>
        </w:tc>
      </w:tr>
      <w:tr>
        <w:tc>
          <w:tcPr>
            <w:tcW w:type="dxa" w:w="4819"/>
          </w:tcPr>
          <w:p>
            <w:pPr>
              <w:spacing w:after="20" w:before="20" w:line="240" w:lineRule="auto"/>
            </w:pPr>
            <w:r/>
            <w:r>
              <w:rPr>
                <w:rFonts w:ascii="Arial" w:hAnsi="Arial" w:cs="Arial"/>
                <w:b w:val="0"/>
                <w:i w:val="0"/>
                <w:sz w:val="17"/>
              </w:rPr>
              <w:t>PHYSICAL DISRUPTION</w:t>
            </w:r>
          </w:p>
        </w:tc>
        <w:tc>
          <w:tcPr>
            <w:tcW w:type="dxa" w:w="4819"/>
          </w:tcPr>
          <w:p>
            <w:pPr>
              <w:spacing w:after="20" w:before="20" w:line="240" w:lineRule="auto"/>
            </w:pPr>
            <w:r/>
            <w:r>
              <w:rPr>
                <w:rFonts w:ascii="Arial" w:hAnsi="Arial" w:cs="Arial"/>
                <w:b w:val="0"/>
                <w:i w:val="0"/>
                <w:sz w:val="17"/>
              </w:rPr>
              <w:t>Logistics re-planning</w:t>
            </w:r>
          </w:p>
        </w:tc>
      </w:tr>
      <w:tr>
        <w:tc>
          <w:tcPr>
            <w:tcW w:type="dxa" w:w="4819"/>
          </w:tcPr>
          <w:p>
            <w:pPr>
              <w:spacing w:after="20" w:before="20" w:line="240" w:lineRule="auto"/>
            </w:pPr>
            <w:r/>
            <w:r>
              <w:rPr>
                <w:rFonts w:ascii="Arial" w:hAnsi="Arial" w:cs="Arial"/>
                <w:b w:val="0"/>
                <w:i w:val="0"/>
                <w:sz w:val="17"/>
              </w:rPr>
              <w:t>DATA CONFLICT</w:t>
            </w:r>
          </w:p>
        </w:tc>
        <w:tc>
          <w:tcPr>
            <w:tcW w:type="dxa" w:w="4819"/>
          </w:tcPr>
          <w:p>
            <w:pPr>
              <w:spacing w:after="20" w:before="20" w:line="240" w:lineRule="auto"/>
            </w:pPr>
            <w:r/>
            <w:r>
              <w:rPr>
                <w:rFonts w:ascii="Arial" w:hAnsi="Arial" w:cs="Arial"/>
                <w:b w:val="0"/>
                <w:i w:val="0"/>
                <w:sz w:val="17"/>
              </w:rPr>
              <w:t>Reconciliation team</w:t>
            </w:r>
          </w:p>
        </w:tc>
      </w:tr>
      <w:tr>
        <w:tc>
          <w:tcPr>
            <w:tcW w:type="dxa" w:w="4819"/>
          </w:tcPr>
          <w:p>
            <w:pPr>
              <w:spacing w:after="20" w:before="20" w:line="240" w:lineRule="auto"/>
            </w:pPr>
            <w:r/>
            <w:r>
              <w:rPr>
                <w:rFonts w:ascii="Arial" w:hAnsi="Arial" w:cs="Arial"/>
                <w:b w:val="0"/>
                <w:i w:val="0"/>
                <w:sz w:val="17"/>
              </w:rPr>
              <w:t>TECHNICAL FAILURE</w:t>
            </w:r>
          </w:p>
        </w:tc>
        <w:tc>
          <w:tcPr>
            <w:tcW w:type="dxa" w:w="4819"/>
          </w:tcPr>
          <w:p>
            <w:pPr>
              <w:spacing w:after="20" w:before="20" w:line="240" w:lineRule="auto"/>
            </w:pPr>
            <w:r/>
            <w:r>
              <w:rPr>
                <w:rFonts w:ascii="Arial" w:hAnsi="Arial" w:cs="Arial"/>
                <w:b w:val="0"/>
                <w:i w:val="0"/>
                <w:sz w:val="17"/>
              </w:rPr>
              <w:t>SGTX engineering</w:t>
            </w:r>
          </w:p>
        </w:tc>
      </w:tr>
      <w:tr>
        <w:tc>
          <w:tcPr>
            <w:tcW w:type="dxa" w:w="4819"/>
          </w:tcPr>
          <w:p>
            <w:pPr>
              <w:spacing w:after="20" w:before="20" w:line="240" w:lineRule="auto"/>
            </w:pPr>
            <w:r/>
            <w:r>
              <w:rPr>
                <w:rFonts w:ascii="Arial" w:hAnsi="Arial" w:cs="Arial"/>
                <w:b w:val="0"/>
                <w:i w:val="0"/>
                <w:sz w:val="17"/>
              </w:rPr>
              <w:t>LEGAL / DISPUTE</w:t>
            </w:r>
          </w:p>
        </w:tc>
        <w:tc>
          <w:tcPr>
            <w:tcW w:type="dxa" w:w="4819"/>
          </w:tcPr>
          <w:p>
            <w:pPr>
              <w:spacing w:after="20" w:before="20" w:line="240" w:lineRule="auto"/>
            </w:pPr>
            <w:r/>
            <w:r>
              <w:rPr>
                <w:rFonts w:ascii="Arial" w:hAnsi="Arial" w:cs="Arial"/>
                <w:b w:val="0"/>
                <w:i w:val="0"/>
                <w:sz w:val="17"/>
              </w:rPr>
              <w:t>Dispute team</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Recovery actions and their authorization: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Action</w:t>
            </w:r>
          </w:p>
        </w:tc>
        <w:tc>
          <w:tcPr>
            <w:tcW w:type="dxa" w:w="4819"/>
            <w:shd w:val="clear" w:fill="D9E2F3"/>
          </w:tcPr>
          <w:p>
            <w:pPr>
              <w:spacing w:after="20" w:before="20" w:line="240" w:lineRule="auto"/>
            </w:pPr>
            <w:r/>
            <w:r>
              <w:rPr>
                <w:rFonts w:ascii="Arial" w:hAnsi="Arial" w:cs="Arial"/>
                <w:b/>
                <w:i w:val="0"/>
                <w:sz w:val="18"/>
              </w:rPr>
              <w:t>Authorization</w:t>
            </w:r>
          </w:p>
        </w:tc>
      </w:tr>
      <w:tr>
        <w:tc>
          <w:tcPr>
            <w:tcW w:type="dxa" w:w="4819"/>
          </w:tcPr>
          <w:p>
            <w:pPr>
              <w:spacing w:after="20" w:before="20" w:line="240" w:lineRule="auto"/>
            </w:pPr>
            <w:r/>
            <w:r>
              <w:rPr>
                <w:rFonts w:ascii="Arial" w:hAnsi="Arial" w:cs="Arial"/>
                <w:b w:val="0"/>
                <w:i w:val="0"/>
                <w:sz w:val="17"/>
              </w:rPr>
              <w:t>Notify</w:t>
            </w:r>
          </w:p>
        </w:tc>
        <w:tc>
          <w:tcPr>
            <w:tcW w:type="dxa" w:w="4819"/>
          </w:tcPr>
          <w:p>
            <w:pPr>
              <w:spacing w:after="20" w:before="20" w:line="240" w:lineRule="auto"/>
            </w:pPr>
            <w:r/>
            <w:r>
              <w:rPr>
                <w:rFonts w:ascii="Arial" w:hAnsi="Arial" w:cs="Arial"/>
                <w:b w:val="0"/>
                <w:i w:val="0"/>
                <w:sz w:val="17"/>
              </w:rPr>
              <w:t>Automatic</w:t>
            </w:r>
          </w:p>
        </w:tc>
      </w:tr>
      <w:tr>
        <w:tc>
          <w:tcPr>
            <w:tcW w:type="dxa" w:w="4819"/>
          </w:tcPr>
          <w:p>
            <w:pPr>
              <w:spacing w:after="20" w:before="20" w:line="240" w:lineRule="auto"/>
            </w:pPr>
            <w:r/>
            <w:r>
              <w:rPr>
                <w:rFonts w:ascii="Arial" w:hAnsi="Arial" w:cs="Arial"/>
                <w:b w:val="0"/>
                <w:i w:val="0"/>
                <w:sz w:val="17"/>
              </w:rPr>
              <w:t>Request confirmation</w:t>
            </w:r>
          </w:p>
        </w:tc>
        <w:tc>
          <w:tcPr>
            <w:tcW w:type="dxa" w:w="4819"/>
          </w:tcPr>
          <w:p>
            <w:pPr>
              <w:spacing w:after="20" w:before="20" w:line="240" w:lineRule="auto"/>
            </w:pPr>
            <w:r/>
            <w:r>
              <w:rPr>
                <w:rFonts w:ascii="Arial" w:hAnsi="Arial" w:cs="Arial"/>
                <w:b w:val="0"/>
                <w:i w:val="0"/>
                <w:sz w:val="17"/>
              </w:rPr>
              <w:t>Automatic</w:t>
            </w:r>
          </w:p>
        </w:tc>
      </w:tr>
      <w:tr>
        <w:tc>
          <w:tcPr>
            <w:tcW w:type="dxa" w:w="4819"/>
          </w:tcPr>
          <w:p>
            <w:pPr>
              <w:spacing w:after="20" w:before="20" w:line="240" w:lineRule="auto"/>
            </w:pPr>
            <w:r/>
            <w:r>
              <w:rPr>
                <w:rFonts w:ascii="Arial" w:hAnsi="Arial" w:cs="Arial"/>
                <w:b w:val="0"/>
                <w:i w:val="0"/>
                <w:sz w:val="17"/>
              </w:rPr>
              <w:t>Request missing document</w:t>
            </w:r>
          </w:p>
        </w:tc>
        <w:tc>
          <w:tcPr>
            <w:tcW w:type="dxa" w:w="4819"/>
          </w:tcPr>
          <w:p>
            <w:pPr>
              <w:spacing w:after="20" w:before="20" w:line="240" w:lineRule="auto"/>
            </w:pPr>
            <w:r/>
            <w:r>
              <w:rPr>
                <w:rFonts w:ascii="Arial" w:hAnsi="Arial" w:cs="Arial"/>
                <w:b w:val="0"/>
                <w:i w:val="0"/>
                <w:sz w:val="17"/>
              </w:rPr>
              <w:t>Automatic</w:t>
            </w:r>
          </w:p>
        </w:tc>
      </w:tr>
      <w:tr>
        <w:tc>
          <w:tcPr>
            <w:tcW w:type="dxa" w:w="4819"/>
          </w:tcPr>
          <w:p>
            <w:pPr>
              <w:spacing w:after="20" w:before="20" w:line="240" w:lineRule="auto"/>
            </w:pPr>
            <w:r/>
            <w:r>
              <w:rPr>
                <w:rFonts w:ascii="Arial" w:hAnsi="Arial" w:cs="Arial"/>
                <w:b w:val="0"/>
                <w:i w:val="0"/>
                <w:sz w:val="17"/>
              </w:rPr>
              <w:t>Rebook</w:t>
            </w:r>
          </w:p>
        </w:tc>
        <w:tc>
          <w:tcPr>
            <w:tcW w:type="dxa" w:w="4819"/>
          </w:tcPr>
          <w:p>
            <w:pPr>
              <w:spacing w:after="20" w:before="20" w:line="240" w:lineRule="auto"/>
            </w:pPr>
            <w:r/>
            <w:r>
              <w:rPr>
                <w:rFonts w:ascii="Arial" w:hAnsi="Arial" w:cs="Arial"/>
                <w:b w:val="0"/>
                <w:i w:val="0"/>
                <w:sz w:val="17"/>
              </w:rPr>
              <w:t>Requires approval</w:t>
            </w:r>
          </w:p>
        </w:tc>
      </w:tr>
      <w:tr>
        <w:tc>
          <w:tcPr>
            <w:tcW w:type="dxa" w:w="4819"/>
          </w:tcPr>
          <w:p>
            <w:pPr>
              <w:spacing w:after="20" w:before="20" w:line="240" w:lineRule="auto"/>
            </w:pPr>
            <w:r/>
            <w:r>
              <w:rPr>
                <w:rFonts w:ascii="Arial" w:hAnsi="Arial" w:cs="Arial"/>
                <w:b w:val="0"/>
                <w:i w:val="0"/>
                <w:sz w:val="17"/>
              </w:rPr>
              <w:t>Request provider update</w:t>
            </w:r>
          </w:p>
        </w:tc>
        <w:tc>
          <w:tcPr>
            <w:tcW w:type="dxa" w:w="4819"/>
          </w:tcPr>
          <w:p>
            <w:pPr>
              <w:spacing w:after="20" w:before="20" w:line="240" w:lineRule="auto"/>
            </w:pPr>
            <w:r/>
            <w:r>
              <w:rPr>
                <w:rFonts w:ascii="Arial" w:hAnsi="Arial" w:cs="Arial"/>
                <w:b w:val="0"/>
                <w:i w:val="0"/>
                <w:sz w:val="17"/>
              </w:rPr>
              <w:t>Automatic</w:t>
            </w:r>
          </w:p>
        </w:tc>
      </w:tr>
      <w:tr>
        <w:tc>
          <w:tcPr>
            <w:tcW w:type="dxa" w:w="4819"/>
          </w:tcPr>
          <w:p>
            <w:pPr>
              <w:spacing w:after="20" w:before="20" w:line="240" w:lineRule="auto"/>
            </w:pPr>
            <w:r/>
            <w:r>
              <w:rPr>
                <w:rFonts w:ascii="Arial" w:hAnsi="Arial" w:cs="Arial"/>
                <w:b w:val="0"/>
                <w:i w:val="0"/>
                <w:sz w:val="17"/>
              </w:rPr>
              <w:t>Escalate</w:t>
            </w:r>
          </w:p>
        </w:tc>
        <w:tc>
          <w:tcPr>
            <w:tcW w:type="dxa" w:w="4819"/>
          </w:tcPr>
          <w:p>
            <w:pPr>
              <w:spacing w:after="20" w:before="20" w:line="240" w:lineRule="auto"/>
            </w:pPr>
            <w:r/>
            <w:r>
              <w:rPr>
                <w:rFonts w:ascii="Arial" w:hAnsi="Arial" w:cs="Arial"/>
                <w:b w:val="0"/>
                <w:i w:val="0"/>
                <w:sz w:val="17"/>
              </w:rPr>
              <w:t>Automatic</w:t>
            </w:r>
          </w:p>
        </w:tc>
      </w:tr>
      <w:tr>
        <w:tc>
          <w:tcPr>
            <w:tcW w:type="dxa" w:w="4819"/>
          </w:tcPr>
          <w:p>
            <w:pPr>
              <w:spacing w:after="20" w:before="20" w:line="240" w:lineRule="auto"/>
            </w:pPr>
            <w:r/>
            <w:r>
              <w:rPr>
                <w:rFonts w:ascii="Arial" w:hAnsi="Arial" w:cs="Arial"/>
                <w:b w:val="0"/>
                <w:i w:val="0"/>
                <w:sz w:val="17"/>
              </w:rPr>
              <w:t>Open dispute</w:t>
            </w:r>
          </w:p>
        </w:tc>
        <w:tc>
          <w:tcPr>
            <w:tcW w:type="dxa" w:w="4819"/>
          </w:tcPr>
          <w:p>
            <w:pPr>
              <w:spacing w:after="20" w:before="20" w:line="240" w:lineRule="auto"/>
            </w:pPr>
            <w:r/>
            <w:r>
              <w:rPr>
                <w:rFonts w:ascii="Arial" w:hAnsi="Arial" w:cs="Arial"/>
                <w:b w:val="0"/>
                <w:i w:val="0"/>
                <w:sz w:val="17"/>
              </w:rPr>
              <w:t>User action</w:t>
            </w:r>
          </w:p>
        </w:tc>
      </w:tr>
      <w:tr>
        <w:tc>
          <w:tcPr>
            <w:tcW w:type="dxa" w:w="4819"/>
          </w:tcPr>
          <w:p>
            <w:pPr>
              <w:spacing w:after="20" w:before="20" w:line="240" w:lineRule="auto"/>
            </w:pPr>
            <w:r/>
            <w:r>
              <w:rPr>
                <w:rFonts w:ascii="Arial" w:hAnsi="Arial" w:cs="Arial"/>
                <w:b w:val="0"/>
                <w:i w:val="0"/>
                <w:sz w:val="17"/>
              </w:rPr>
              <w:t>Seek amendment</w:t>
            </w:r>
          </w:p>
        </w:tc>
        <w:tc>
          <w:tcPr>
            <w:tcW w:type="dxa" w:w="4819"/>
          </w:tcPr>
          <w:p>
            <w:pPr>
              <w:spacing w:after="20" w:before="20" w:line="240" w:lineRule="auto"/>
            </w:pPr>
            <w:r/>
            <w:r>
              <w:rPr>
                <w:rFonts w:ascii="Arial" w:hAnsi="Arial" w:cs="Arial"/>
                <w:b w:val="0"/>
                <w:i w:val="0"/>
                <w:sz w:val="17"/>
              </w:rPr>
              <w:t>User action</w:t>
            </w:r>
          </w:p>
        </w:tc>
      </w:tr>
      <w:tr>
        <w:tc>
          <w:tcPr>
            <w:tcW w:type="dxa" w:w="4819"/>
          </w:tcPr>
          <w:p>
            <w:pPr>
              <w:spacing w:after="20" w:before="20" w:line="240" w:lineRule="auto"/>
            </w:pPr>
            <w:r/>
            <w:r>
              <w:rPr>
                <w:rFonts w:ascii="Arial" w:hAnsi="Arial" w:cs="Arial"/>
                <w:b w:val="0"/>
                <w:i w:val="0"/>
                <w:sz w:val="17"/>
              </w:rPr>
              <w:t>Initiate insurance review</w:t>
            </w:r>
          </w:p>
        </w:tc>
        <w:tc>
          <w:tcPr>
            <w:tcW w:type="dxa" w:w="4819"/>
          </w:tcPr>
          <w:p>
            <w:pPr>
              <w:spacing w:after="20" w:before="20" w:line="240" w:lineRule="auto"/>
            </w:pPr>
            <w:r/>
            <w:r>
              <w:rPr>
                <w:rFonts w:ascii="Arial" w:hAnsi="Arial" w:cs="Arial"/>
                <w:b w:val="0"/>
                <w:i w:val="0"/>
                <w:sz w:val="17"/>
              </w:rPr>
              <w:t>User action</w:t>
            </w:r>
          </w:p>
        </w:tc>
      </w:tr>
      <w:tr>
        <w:tc>
          <w:tcPr>
            <w:tcW w:type="dxa" w:w="4819"/>
          </w:tcPr>
          <w:p>
            <w:pPr>
              <w:spacing w:after="20" w:before="20" w:line="240" w:lineRule="auto"/>
            </w:pPr>
            <w:r/>
            <w:r>
              <w:rPr>
                <w:rFonts w:ascii="Arial" w:hAnsi="Arial" w:cs="Arial"/>
                <w:b w:val="0"/>
                <w:i w:val="0"/>
                <w:sz w:val="17"/>
              </w:rPr>
              <w:t>Request human intervention</w:t>
            </w:r>
          </w:p>
        </w:tc>
        <w:tc>
          <w:tcPr>
            <w:tcW w:type="dxa" w:w="4819"/>
          </w:tcPr>
          <w:p>
            <w:pPr>
              <w:spacing w:after="20" w:before="20" w:line="240" w:lineRule="auto"/>
            </w:pPr>
            <w:r/>
            <w:r>
              <w:rPr>
                <w:rFonts w:ascii="Arial" w:hAnsi="Arial" w:cs="Arial"/>
                <w:b w:val="0"/>
                <w:i w:val="0"/>
                <w:sz w:val="17"/>
              </w:rPr>
              <w:t>Automatic (after threshold)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12.2.9 SLAs (Configurable)</w:t>
      </w:r>
    </w:p>
    <w:p>
      <w:pPr>
        <w:spacing w:after="80" w:line="293" w:lineRule="auto"/>
        <w:jc w:val="left"/>
      </w:pPr>
      <w:r>
        <w:rPr>
          <w:rFonts w:ascii="Times New Roman" w:hAnsi="Times New Roman" w:cs="Times New Roman"/>
          <w:b w:val="0"/>
          <w:i w:val="0"/>
          <w:sz w:val="22"/>
        </w:rPr>
        <w:t>Configure by: milestone, trade mode, provider, location, commodity, Incoterm, contract, tenant policy.</w:t>
      </w:r>
    </w:p>
    <w:p>
      <w:pPr>
        <w:keepNext/>
        <w:spacing w:before="180" w:after="80"/>
        <w:outlineLvl w:val="2"/>
      </w:pPr>
      <w:r>
        <w:rPr>
          <w:rFonts w:ascii="Arial" w:hAnsi="Arial" w:cs="Arial"/>
          <w:b/>
          <w:i w:val="0"/>
          <w:color w:val="333333"/>
          <w:sz w:val="23"/>
        </w:rPr>
        <w:t>12.2.10 Physical Transport Modes (All First-Class)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Mode</w:t>
            </w:r>
          </w:p>
        </w:tc>
        <w:tc>
          <w:tcPr>
            <w:tcW w:type="dxa" w:w="4819"/>
            <w:shd w:val="clear" w:fill="D9E2F3"/>
          </w:tcPr>
          <w:p>
            <w:pPr>
              <w:spacing w:after="20" w:before="20" w:line="240" w:lineRule="auto"/>
            </w:pPr>
            <w:r/>
            <w:r>
              <w:rPr>
                <w:rFonts w:ascii="Arial" w:hAnsi="Arial" w:cs="Arial"/>
                <w:b/>
                <w:i w:val="0"/>
                <w:sz w:val="18"/>
              </w:rPr>
              <w:t>Key Tracking</w:t>
            </w:r>
          </w:p>
        </w:tc>
      </w:tr>
      <w:tr>
        <w:tc>
          <w:tcPr>
            <w:tcW w:type="dxa" w:w="4819"/>
          </w:tcPr>
          <w:p>
            <w:pPr>
              <w:spacing w:after="20" w:before="20" w:line="240" w:lineRule="auto"/>
            </w:pPr>
            <w:r/>
            <w:r>
              <w:rPr>
                <w:rFonts w:ascii="Arial" w:hAnsi="Arial" w:cs="Arial"/>
                <w:b w:val="0"/>
                <w:i w:val="0"/>
                <w:sz w:val="17"/>
              </w:rPr>
              <w:t>SEA</w:t>
            </w:r>
          </w:p>
        </w:tc>
        <w:tc>
          <w:tcPr>
            <w:tcW w:type="dxa" w:w="4819"/>
          </w:tcPr>
          <w:p>
            <w:pPr>
              <w:spacing w:after="20" w:before="20" w:line="240" w:lineRule="auto"/>
            </w:pPr>
            <w:r/>
            <w:r>
              <w:rPr>
                <w:rFonts w:ascii="Arial" w:hAnsi="Arial" w:cs="Arial"/>
                <w:b w:val="0"/>
                <w:i w:val="0"/>
                <w:sz w:val="17"/>
              </w:rPr>
              <w:t>Vessel, port, container, AIS</w:t>
            </w:r>
          </w:p>
        </w:tc>
      </w:tr>
      <w:tr>
        <w:tc>
          <w:tcPr>
            <w:tcW w:type="dxa" w:w="4819"/>
          </w:tcPr>
          <w:p>
            <w:pPr>
              <w:spacing w:after="20" w:before="20" w:line="240" w:lineRule="auto"/>
            </w:pPr>
            <w:r/>
            <w:r>
              <w:rPr>
                <w:rFonts w:ascii="Arial" w:hAnsi="Arial" w:cs="Arial"/>
                <w:b w:val="0"/>
                <w:i w:val="0"/>
                <w:sz w:val="17"/>
              </w:rPr>
              <w:t>AIR</w:t>
            </w:r>
          </w:p>
        </w:tc>
        <w:tc>
          <w:tcPr>
            <w:tcW w:type="dxa" w:w="4819"/>
          </w:tcPr>
          <w:p>
            <w:pPr>
              <w:spacing w:after="20" w:before="20" w:line="240" w:lineRule="auto"/>
            </w:pPr>
            <w:r/>
            <w:r>
              <w:rPr>
                <w:rFonts w:ascii="Arial" w:hAnsi="Arial" w:cs="Arial"/>
                <w:b w:val="0"/>
                <w:i w:val="0"/>
                <w:sz w:val="17"/>
              </w:rPr>
              <w:t>AWB, flight, airport, handover</w:t>
            </w:r>
          </w:p>
        </w:tc>
      </w:tr>
      <w:tr>
        <w:tc>
          <w:tcPr>
            <w:tcW w:type="dxa" w:w="4819"/>
          </w:tcPr>
          <w:p>
            <w:pPr>
              <w:spacing w:after="20" w:before="20" w:line="240" w:lineRule="auto"/>
            </w:pPr>
            <w:r/>
            <w:r>
              <w:rPr>
                <w:rFonts w:ascii="Arial" w:hAnsi="Arial" w:cs="Arial"/>
                <w:b w:val="0"/>
                <w:i w:val="0"/>
                <w:sz w:val="17"/>
              </w:rPr>
              <w:t>TRUCKING</w:t>
            </w:r>
          </w:p>
        </w:tc>
        <w:tc>
          <w:tcPr>
            <w:tcW w:type="dxa" w:w="4819"/>
          </w:tcPr>
          <w:p>
            <w:pPr>
              <w:spacing w:after="20" w:before="20" w:line="240" w:lineRule="auto"/>
            </w:pPr>
            <w:r/>
            <w:r>
              <w:rPr>
                <w:rFonts w:ascii="Arial" w:hAnsi="Arial" w:cs="Arial"/>
                <w:b w:val="0"/>
                <w:i w:val="0"/>
                <w:sz w:val="17"/>
              </w:rPr>
              <w:t>Vehicle, driver, route, gate, POD</w:t>
            </w:r>
          </w:p>
        </w:tc>
      </w:tr>
      <w:tr>
        <w:tc>
          <w:tcPr>
            <w:tcW w:type="dxa" w:w="4819"/>
          </w:tcPr>
          <w:p>
            <w:pPr>
              <w:spacing w:after="20" w:before="20" w:line="240" w:lineRule="auto"/>
            </w:pPr>
            <w:r/>
            <w:r>
              <w:rPr>
                <w:rFonts w:ascii="Arial" w:hAnsi="Arial" w:cs="Arial"/>
                <w:b w:val="0"/>
                <w:i w:val="0"/>
                <w:sz w:val="17"/>
              </w:rPr>
              <w:t>RORO</w:t>
            </w:r>
          </w:p>
        </w:tc>
        <w:tc>
          <w:tcPr>
            <w:tcW w:type="dxa" w:w="4819"/>
          </w:tcPr>
          <w:p>
            <w:pPr>
              <w:spacing w:after="20" w:before="20" w:line="240" w:lineRule="auto"/>
            </w:pPr>
            <w:r/>
            <w:r>
              <w:rPr>
                <w:rFonts w:ascii="Arial" w:hAnsi="Arial" w:cs="Arial"/>
                <w:b w:val="0"/>
                <w:i w:val="0"/>
                <w:sz w:val="17"/>
              </w:rPr>
              <w:t>Vehicle identity, loading, vessel, discharge, delivery</w:t>
            </w:r>
          </w:p>
        </w:tc>
      </w:tr>
      <w:tr>
        <w:tc>
          <w:tcPr>
            <w:tcW w:type="dxa" w:w="4819"/>
          </w:tcPr>
          <w:p>
            <w:pPr>
              <w:spacing w:after="20" w:before="20" w:line="240" w:lineRule="auto"/>
            </w:pPr>
            <w:r/>
            <w:r>
              <w:rPr>
                <w:rFonts w:ascii="Arial" w:hAnsi="Arial" w:cs="Arial"/>
                <w:b w:val="0"/>
                <w:i w:val="0"/>
                <w:sz w:val="17"/>
              </w:rPr>
              <w:t>RAIL</w:t>
            </w:r>
          </w:p>
        </w:tc>
        <w:tc>
          <w:tcPr>
            <w:tcW w:type="dxa" w:w="4819"/>
          </w:tcPr>
          <w:p>
            <w:pPr>
              <w:spacing w:after="20" w:before="20" w:line="240" w:lineRule="auto"/>
            </w:pPr>
            <w:r/>
            <w:r>
              <w:rPr>
                <w:rFonts w:ascii="Arial" w:hAnsi="Arial" w:cs="Arial"/>
                <w:b w:val="0"/>
                <w:i w:val="0"/>
                <w:sz w:val="17"/>
              </w:rPr>
              <w:t>Wagon, train, terminal, consignment note</w:t>
            </w:r>
          </w:p>
        </w:tc>
      </w:tr>
      <w:tr>
        <w:tc>
          <w:tcPr>
            <w:tcW w:type="dxa" w:w="4819"/>
          </w:tcPr>
          <w:p>
            <w:pPr>
              <w:spacing w:after="20" w:before="20" w:line="240" w:lineRule="auto"/>
            </w:pPr>
            <w:r/>
            <w:r>
              <w:rPr>
                <w:rFonts w:ascii="Arial" w:hAnsi="Arial" w:cs="Arial"/>
                <w:b w:val="0"/>
                <w:i w:val="0"/>
                <w:sz w:val="17"/>
              </w:rPr>
              <w:t>MULTIMODAL</w:t>
            </w:r>
          </w:p>
        </w:tc>
        <w:tc>
          <w:tcPr>
            <w:tcW w:type="dxa" w:w="4819"/>
          </w:tcPr>
          <w:p>
            <w:pPr>
              <w:spacing w:after="20" w:before="20" w:line="240" w:lineRule="auto"/>
            </w:pPr>
            <w:r/>
            <w:r>
              <w:rPr>
                <w:rFonts w:ascii="Arial" w:hAnsi="Arial" w:cs="Arial"/>
                <w:b w:val="0"/>
                <w:i w:val="0"/>
                <w:sz w:val="17"/>
              </w:rPr>
              <w:t>Linked legs under one execution graph</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12.2.11 Demurrage &amp; Disruption Intelligence</w:t>
      </w:r>
    </w:p>
    <w:p>
      <w:pPr>
        <w:spacing w:after="80" w:line="293" w:lineRule="auto"/>
        <w:jc w:val="left"/>
      </w:pPr>
      <w:r>
        <w:rPr>
          <w:rFonts w:ascii="Times New Roman" w:hAnsi="Times New Roman" w:cs="Times New Roman"/>
          <w:b w:val="0"/>
          <w:i w:val="0"/>
          <w:sz w:val="22"/>
        </w:rPr>
        <w:t>Demurrage tracking. Track: free time; expiry; terminal; container; estimated charges; responsible party; action deadline. Rule: AI may predict demurrage exposure but does not decide contractual liability automatically.</w:t>
      </w:r>
    </w:p>
    <w:p>
      <w:pPr>
        <w:spacing w:after="80" w:line="293" w:lineRule="auto"/>
        <w:jc w:val="left"/>
      </w:pPr>
      <w:r>
        <w:rPr>
          <w:rFonts w:ascii="Times New Roman" w:hAnsi="Times New Roman" w:cs="Times New Roman"/>
          <w:b w:val="0"/>
          <w:i w:val="0"/>
          <w:sz w:val="22"/>
        </w:rPr>
        <w:t>Disruption intelligence (advisory). AI may predict: congestion; weather impact; port delay; cold-chain risk; demurrage; ETA deterioration; provider reliability. Rule: AI prediction is advisory and does not decide contractual liability.</w:t>
      </w:r>
    </w:p>
    <w:p>
      <w:pPr>
        <w:keepNext/>
        <w:spacing w:before="240" w:after="100"/>
        <w:outlineLvl w:val="1"/>
      </w:pPr>
      <w:r>
        <w:rPr>
          <w:rFonts w:ascii="Arial" w:hAnsi="Arial" w:cs="Arial"/>
          <w:b/>
          <w:i w:val="0"/>
          <w:color w:val="2E528F"/>
          <w:sz w:val="26"/>
        </w:rPr>
        <w:t>12.3 Milestone Confirmation &amp; Multiparty Consensus</w:t>
      </w:r>
    </w:p>
    <w:p>
      <w:pPr>
        <w:keepNext/>
        <w:spacing w:before="180" w:after="80"/>
        <w:outlineLvl w:val="2"/>
      </w:pPr>
      <w:r>
        <w:rPr>
          <w:rFonts w:ascii="Arial" w:hAnsi="Arial" w:cs="Arial"/>
          <w:b/>
          <w:i w:val="0"/>
          <w:color w:val="333333"/>
          <w:sz w:val="23"/>
        </w:rPr>
        <w:t>12.3.1 Milestone Confirmation Flow</w:t>
      </w:r>
    </w:p>
    <w:p>
      <w:pPr>
        <w:spacing w:after="80" w:line="293" w:lineRule="auto"/>
        <w:jc w:val="left"/>
      </w:pPr>
      <w:r>
        <w:rPr>
          <w:rFonts w:ascii="Times New Roman" w:hAnsi="Times New Roman" w:cs="Times New Roman"/>
          <w:b w:val="0"/>
          <w:i w:val="0"/>
          <w:sz w:val="22"/>
        </w:rPr>
        <w:t>1. Pallet scanned/voice confirmed → `pallet.loaded` event sent.</w:t>
      </w:r>
    </w:p>
    <w:p>
      <w:pPr>
        <w:spacing w:after="80" w:line="293" w:lineRule="auto"/>
        <w:jc w:val="left"/>
      </w:pPr>
      <w:r>
        <w:rPr>
          <w:rFonts w:ascii="Times New Roman" w:hAnsi="Times New Roman" w:cs="Times New Roman"/>
          <w:b w:val="0"/>
          <w:i w:val="0"/>
          <w:sz w:val="22"/>
        </w:rPr>
        <w:t>2. Governor validates:</w:t>
      </w:r>
    </w:p>
    <w:p>
      <w:pPr>
        <w:spacing w:after="80" w:line="293" w:lineRule="auto"/>
        <w:ind w:left="283"/>
        <w:jc w:val="left"/>
      </w:pPr>
      <w:r>
        <w:rPr>
          <w:rFonts w:ascii="Times New Roman" w:hAnsi="Times New Roman" w:cs="Times New Roman"/>
          <w:b w:val="0"/>
          <w:i w:val="0"/>
          <w:sz w:val="22"/>
        </w:rPr>
        <w:t>- Device identity (ZITADEL certificate)</w:t>
      </w:r>
    </w:p>
    <w:p>
      <w:pPr>
        <w:spacing w:after="80" w:line="293" w:lineRule="auto"/>
        <w:ind w:left="283"/>
        <w:jc w:val="left"/>
      </w:pPr>
      <w:r>
        <w:rPr>
          <w:rFonts w:ascii="Times New Roman" w:hAnsi="Times New Roman" w:cs="Times New Roman"/>
          <w:b w:val="0"/>
          <w:i w:val="0"/>
          <w:sz w:val="22"/>
        </w:rPr>
        <w:t>- Employee permissions (`shipment.milestone.confirm`)</w:t>
      </w:r>
    </w:p>
    <w:p>
      <w:pPr>
        <w:spacing w:after="80" w:line="293" w:lineRule="auto"/>
        <w:ind w:left="283"/>
        <w:jc w:val="left"/>
      </w:pPr>
      <w:r>
        <w:rPr>
          <w:rFonts w:ascii="Times New Roman" w:hAnsi="Times New Roman" w:cs="Times New Roman"/>
          <w:b w:val="0"/>
          <w:i w:val="0"/>
          <w:sz w:val="22"/>
        </w:rPr>
        <w:t>- FeeLock status (ACTIVE)</w:t>
      </w:r>
    </w:p>
    <w:p>
      <w:pPr>
        <w:spacing w:after="80" w:line="293" w:lineRule="auto"/>
        <w:ind w:left="283"/>
        <w:jc w:val="left"/>
      </w:pPr>
      <w:r>
        <w:rPr>
          <w:rFonts w:ascii="Times New Roman" w:hAnsi="Times New Roman" w:cs="Times New Roman"/>
          <w:b w:val="0"/>
          <w:i w:val="0"/>
          <w:sz w:val="22"/>
        </w:rPr>
        <w:t>- Pallet belongs to the correct shipment (multi-shipment check)</w:t>
      </w:r>
    </w:p>
    <w:p>
      <w:pPr>
        <w:spacing w:after="80" w:line="293" w:lineRule="auto"/>
        <w:jc w:val="left"/>
      </w:pPr>
      <w:r>
        <w:rPr>
          <w:rFonts w:ascii="Times New Roman" w:hAnsi="Times New Roman" w:cs="Times New Roman"/>
          <w:b w:val="0"/>
          <w:i w:val="0"/>
          <w:sz w:val="22"/>
        </w:rPr>
        <w:t>3. If ALLOW: milestone confirmed, `pallet_details.status` updated to LOADED.</w:t>
      </w:r>
    </w:p>
    <w:p>
      <w:pPr>
        <w:spacing w:after="80" w:line="293" w:lineRule="auto"/>
        <w:jc w:val="left"/>
      </w:pPr>
      <w:r>
        <w:rPr>
          <w:rFonts w:ascii="Times New Roman" w:hAnsi="Times New Roman" w:cs="Times New Roman"/>
          <w:b w:val="0"/>
          <w:i w:val="0"/>
          <w:sz w:val="22"/>
        </w:rPr>
        <w:t>4. When the last pallet of a container is loaded:</w:t>
      </w:r>
    </w:p>
    <w:p>
      <w:pPr>
        <w:spacing w:after="80" w:line="293" w:lineRule="auto"/>
        <w:ind w:left="283"/>
        <w:jc w:val="left"/>
      </w:pPr>
      <w:r>
        <w:rPr>
          <w:rFonts w:ascii="Times New Roman" w:hAnsi="Times New Roman" w:cs="Times New Roman"/>
          <w:b w:val="0"/>
          <w:i w:val="0"/>
          <w:sz w:val="22"/>
        </w:rPr>
        <w:t>- Multisensor consensus (if enabled) or manual confirmation</w:t>
      </w:r>
    </w:p>
    <w:p>
      <w:pPr>
        <w:spacing w:after="80" w:line="293" w:lineRule="auto"/>
        <w:ind w:left="283"/>
        <w:jc w:val="left"/>
      </w:pPr>
      <w:r>
        <w:rPr>
          <w:rFonts w:ascii="Times New Roman" w:hAnsi="Times New Roman" w:cs="Times New Roman"/>
          <w:b w:val="0"/>
          <w:i w:val="0"/>
          <w:sz w:val="22"/>
        </w:rPr>
        <w:t>- Container milestone "Loaded" auto-confirmed</w:t>
      </w:r>
    </w:p>
    <w:p>
      <w:pPr>
        <w:spacing w:after="80" w:line="293" w:lineRule="auto"/>
        <w:jc w:val="left"/>
      </w:pPr>
      <w:r>
        <w:rPr>
          <w:rFonts w:ascii="Times New Roman" w:hAnsi="Times New Roman" w:cs="Times New Roman"/>
          <w:b w:val="0"/>
          <w:i w:val="0"/>
          <w:sz w:val="22"/>
        </w:rPr>
        <w:t>5. All relevant parties receive Smart Inbox updates.</w:t>
      </w:r>
    </w:p>
    <w:p>
      <w:pPr>
        <w:keepNext/>
        <w:spacing w:before="180" w:after="80"/>
        <w:outlineLvl w:val="2"/>
      </w:pPr>
      <w:r>
        <w:rPr>
          <w:rFonts w:ascii="Arial" w:hAnsi="Arial" w:cs="Arial"/>
          <w:b/>
          <w:i w:val="0"/>
          <w:color w:val="333333"/>
          <w:sz w:val="23"/>
        </w:rPr>
        <w:t>12.3.2 Multisensor Consensus</w:t>
      </w:r>
    </w:p>
    <w:p>
      <w:pPr>
        <w:spacing w:after="80" w:line="293" w:lineRule="auto"/>
        <w:jc w:val="left"/>
      </w:pPr>
      <w:r>
        <w:rPr>
          <w:rFonts w:ascii="Times New Roman" w:hAnsi="Times New Roman" w:cs="Times New Roman"/>
          <w:b w:val="0"/>
          <w:i w:val="0"/>
          <w:sz w:val="22"/>
        </w:rPr>
        <w:t>Possible evidence sources: barcode scans; weight sensors; device GPS; terminal system; provider event; QC confirmation; IoT temperature; OCR; AIS; customs API. Where automated milestone confirmation is allowed, a configured consensus policy is required.</w:t>
      </w:r>
    </w:p>
    <w:p>
      <w:pPr>
        <w:keepNext/>
        <w:spacing w:before="180" w:after="80"/>
        <w:outlineLvl w:val="2"/>
      </w:pPr>
      <w:r>
        <w:rPr>
          <w:rFonts w:ascii="Arial" w:hAnsi="Arial" w:cs="Arial"/>
          <w:b/>
          <w:i w:val="0"/>
          <w:color w:val="333333"/>
          <w:sz w:val="23"/>
        </w:rPr>
        <w:t>12.3.3 Evidence Quality Classification</w:t>
      </w:r>
    </w:p>
    <w:p>
      <w:pPr>
        <w:spacing w:after="80" w:line="293" w:lineRule="auto"/>
        <w:jc w:val="left"/>
      </w:pPr>
      <w:r>
        <w:rPr>
          <w:rFonts w:ascii="Times New Roman" w:hAnsi="Times New Roman" w:cs="Times New Roman"/>
          <w:b w:val="0"/>
          <w:i w:val="0"/>
          <w:sz w:val="22"/>
        </w:rPr>
        <w:t>Every source receives a classification: DIRECT; DEVICE-GENERATED; THIRD-PARTY SYSTEM; HUMAN ATTESTATION; AI-INFERRED; DERIVED. Rule: never present AI-inferred information as direct physical evidence.</w:t>
      </w:r>
    </w:p>
    <w:p>
      <w:pPr>
        <w:keepNext/>
        <w:spacing w:before="180" w:after="80"/>
        <w:outlineLvl w:val="2"/>
      </w:pPr>
      <w:r>
        <w:rPr>
          <w:rFonts w:ascii="Arial" w:hAnsi="Arial" w:cs="Arial"/>
          <w:b/>
          <w:i w:val="0"/>
          <w:color w:val="333333"/>
          <w:sz w:val="23"/>
        </w:rPr>
        <w:t>12.3.4 Truth Triangulation (Significant Milestones)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Milestone</w:t>
            </w:r>
          </w:p>
        </w:tc>
        <w:tc>
          <w:tcPr>
            <w:tcW w:type="dxa" w:w="4819"/>
            <w:shd w:val="clear" w:fill="D9E2F3"/>
          </w:tcPr>
          <w:p>
            <w:pPr>
              <w:spacing w:after="20" w:before="20" w:line="240" w:lineRule="auto"/>
            </w:pPr>
            <w:r/>
            <w:r>
              <w:rPr>
                <w:rFonts w:ascii="Arial" w:hAnsi="Arial" w:cs="Arial"/>
                <w:b/>
                <w:i w:val="0"/>
                <w:sz w:val="18"/>
              </w:rPr>
              <w:t>Sources</w:t>
            </w:r>
          </w:p>
        </w:tc>
      </w:tr>
      <w:tr>
        <w:tc>
          <w:tcPr>
            <w:tcW w:type="dxa" w:w="4819"/>
          </w:tcPr>
          <w:p>
            <w:pPr>
              <w:spacing w:after="20" w:before="20" w:line="240" w:lineRule="auto"/>
            </w:pPr>
            <w:r/>
            <w:r>
              <w:rPr>
                <w:rFonts w:ascii="Arial" w:hAnsi="Arial" w:cs="Arial"/>
                <w:b w:val="0"/>
                <w:i w:val="0"/>
                <w:sz w:val="17"/>
              </w:rPr>
              <w:t>Container Loaded</w:t>
            </w:r>
          </w:p>
        </w:tc>
        <w:tc>
          <w:tcPr>
            <w:tcW w:type="dxa" w:w="4819"/>
          </w:tcPr>
          <w:p>
            <w:pPr>
              <w:spacing w:after="20" w:before="20" w:line="240" w:lineRule="auto"/>
            </w:pPr>
            <w:r/>
            <w:r>
              <w:rPr>
                <w:rFonts w:ascii="Arial" w:hAnsi="Arial" w:cs="Arial"/>
                <w:b w:val="0"/>
                <w:i w:val="0"/>
                <w:sz w:val="17"/>
              </w:rPr>
              <w:t>Pallet scans, container assignment, weight, operator confirmation, optional sensor</w:t>
            </w:r>
          </w:p>
        </w:tc>
      </w:tr>
      <w:tr>
        <w:tc>
          <w:tcPr>
            <w:tcW w:type="dxa" w:w="4819"/>
          </w:tcPr>
          <w:p>
            <w:pPr>
              <w:spacing w:after="20" w:before="20" w:line="240" w:lineRule="auto"/>
            </w:pPr>
            <w:r/>
            <w:r>
              <w:rPr>
                <w:rFonts w:ascii="Arial" w:hAnsi="Arial" w:cs="Arial"/>
                <w:b w:val="0"/>
                <w:i w:val="0"/>
                <w:sz w:val="17"/>
              </w:rPr>
              <w:t>Gate In</w:t>
            </w:r>
          </w:p>
        </w:tc>
        <w:tc>
          <w:tcPr>
            <w:tcW w:type="dxa" w:w="4819"/>
          </w:tcPr>
          <w:p>
            <w:pPr>
              <w:spacing w:after="20" w:before="20" w:line="240" w:lineRule="auto"/>
            </w:pPr>
            <w:r/>
            <w:r>
              <w:rPr>
                <w:rFonts w:ascii="Arial" w:hAnsi="Arial" w:cs="Arial"/>
                <w:b w:val="0"/>
                <w:i w:val="0"/>
                <w:sz w:val="17"/>
              </w:rPr>
              <w:t>Terminal event, OCR, GPS, driver event</w:t>
            </w:r>
          </w:p>
        </w:tc>
      </w:tr>
      <w:tr>
        <w:tc>
          <w:tcPr>
            <w:tcW w:type="dxa" w:w="4819"/>
          </w:tcPr>
          <w:p>
            <w:pPr>
              <w:spacing w:after="20" w:before="20" w:line="240" w:lineRule="auto"/>
            </w:pPr>
            <w:r/>
            <w:r>
              <w:rPr>
                <w:rFonts w:ascii="Arial" w:hAnsi="Arial" w:cs="Arial"/>
                <w:b w:val="0"/>
                <w:i w:val="0"/>
                <w:sz w:val="17"/>
              </w:rPr>
              <w:t>Vessel Departure</w:t>
            </w:r>
          </w:p>
        </w:tc>
        <w:tc>
          <w:tcPr>
            <w:tcW w:type="dxa" w:w="4819"/>
          </w:tcPr>
          <w:p>
            <w:pPr>
              <w:spacing w:after="20" w:before="20" w:line="240" w:lineRule="auto"/>
            </w:pPr>
            <w:r/>
            <w:r>
              <w:rPr>
                <w:rFonts w:ascii="Arial" w:hAnsi="Arial" w:cs="Arial"/>
                <w:b w:val="0"/>
                <w:i w:val="0"/>
                <w:sz w:val="17"/>
              </w:rPr>
              <w:t>Carrier event, AIS, port event</w:t>
            </w:r>
          </w:p>
        </w:tc>
      </w:tr>
      <w:tr>
        <w:tc>
          <w:tcPr>
            <w:tcW w:type="dxa" w:w="4819"/>
          </w:tcPr>
          <w:p>
            <w:pPr>
              <w:spacing w:after="20" w:before="20" w:line="240" w:lineRule="auto"/>
            </w:pPr>
            <w:r/>
            <w:r>
              <w:rPr>
                <w:rFonts w:ascii="Arial" w:hAnsi="Arial" w:cs="Arial"/>
                <w:b w:val="0"/>
                <w:i w:val="0"/>
                <w:sz w:val="17"/>
              </w:rPr>
              <w:t>Delivery</w:t>
            </w:r>
          </w:p>
        </w:tc>
        <w:tc>
          <w:tcPr>
            <w:tcW w:type="dxa" w:w="4819"/>
          </w:tcPr>
          <w:p>
            <w:pPr>
              <w:spacing w:after="20" w:before="20" w:line="240" w:lineRule="auto"/>
            </w:pPr>
            <w:r/>
            <w:r>
              <w:rPr>
                <w:rFonts w:ascii="Arial" w:hAnsi="Arial" w:cs="Arial"/>
                <w:b w:val="0"/>
                <w:i w:val="0"/>
                <w:sz w:val="17"/>
              </w:rPr>
              <w:t>Buyer acknowledgement, driver scan, warehouse receipt, GPS, POD document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Conflicts become explicit exceptions.</w:t>
      </w:r>
    </w:p>
    <w:p>
      <w:pPr>
        <w:keepNext/>
        <w:spacing w:before="180" w:after="80"/>
        <w:outlineLvl w:val="2"/>
      </w:pPr>
      <w:r>
        <w:rPr>
          <w:rFonts w:ascii="Arial" w:hAnsi="Arial" w:cs="Arial"/>
          <w:b/>
          <w:i w:val="0"/>
          <w:color w:val="333333"/>
          <w:sz w:val="23"/>
        </w:rPr>
        <w:t>12.3.5 Immutable Event Spine (Physical)</w:t>
      </w:r>
    </w:p>
    <w:p>
      <w:pPr>
        <w:spacing w:after="80" w:line="293" w:lineRule="auto"/>
        <w:jc w:val="left"/>
      </w:pPr>
      <w:r>
        <w:rPr>
          <w:rFonts w:ascii="Times New Roman" w:hAnsi="Times New Roman" w:cs="Times New Roman"/>
          <w:b w:val="0"/>
          <w:i w:val="0"/>
          <w:sz w:val="22"/>
        </w:rPr>
        <w:t>Canonical events:</w:t>
      </w:r>
    </w:p>
    <w:p>
      <w:pPr>
        <w:spacing w:after="0" w:before="0" w:line="240" w:lineRule="auto"/>
        <w:ind w:left="57"/>
        <w:jc w:val="left"/>
        <w:shd w:val="clear" w:fill="F2F2F2"/>
      </w:pPr>
      <w:r>
        <w:rPr>
          <w:rFonts w:ascii="Consolas" w:hAnsi="Consolas" w:cs="Consolas"/>
          <w:b w:val="0"/>
          <w:i w:val="0"/>
          <w:sz w:val="15"/>
        </w:rPr>
        <w:t>LOADING_WINDOW_PROPOSED, LOADING_WINDOW_CONFIRMED, BOOKING_RECEIVED,</w:t>
      </w:r>
    </w:p>
    <w:p>
      <w:pPr>
        <w:spacing w:after="0" w:before="0" w:line="240" w:lineRule="auto"/>
        <w:ind w:left="57"/>
        <w:jc w:val="left"/>
        <w:shd w:val="clear" w:fill="F2F2F2"/>
      </w:pPr>
      <w:r>
        <w:rPr>
          <w:rFonts w:ascii="Consolas" w:hAnsi="Consolas" w:cs="Consolas"/>
          <w:b w:val="0"/>
          <w:i w:val="0"/>
          <w:sz w:val="15"/>
        </w:rPr>
        <w:t>BOOKING_VERIFIED, RELEASE_TOKEN_ISSUED, RELEASE_ACKNOWLEDGED,</w:t>
      </w:r>
    </w:p>
    <w:p>
      <w:pPr>
        <w:spacing w:after="0" w:before="0" w:line="240" w:lineRule="auto"/>
        <w:ind w:left="57"/>
        <w:jc w:val="left"/>
        <w:shd w:val="clear" w:fill="F2F2F2"/>
      </w:pPr>
      <w:r>
        <w:rPr>
          <w:rFonts w:ascii="Consolas" w:hAnsi="Consolas" w:cs="Consolas"/>
          <w:b w:val="0"/>
          <w:i w:val="0"/>
          <w:sz w:val="15"/>
        </w:rPr>
        <w:t>PALLET_SCANNED, CONTAINER_LOADING_CONFIRMED, QC_STARTED, QC_COMPLETED,</w:t>
      </w:r>
    </w:p>
    <w:p>
      <w:pPr>
        <w:spacing w:after="0" w:before="0" w:line="240" w:lineRule="auto"/>
        <w:ind w:left="57"/>
        <w:jc w:val="left"/>
        <w:shd w:val="clear" w:fill="F2F2F2"/>
      </w:pPr>
      <w:r>
        <w:rPr>
          <w:rFonts w:ascii="Consolas" w:hAnsi="Consolas" w:cs="Consolas"/>
          <w:b w:val="0"/>
          <w:i w:val="0"/>
          <w:sz w:val="15"/>
        </w:rPr>
        <w:t>CUSTOMS_DECLARATION_SUBMITTED, CUSTOMS_CLEARED, GATE_IN_CONFIRMED,</w:t>
      </w:r>
    </w:p>
    <w:p>
      <w:pPr>
        <w:spacing w:after="0" w:before="0" w:line="240" w:lineRule="auto"/>
        <w:ind w:left="57"/>
        <w:jc w:val="left"/>
        <w:shd w:val="clear" w:fill="F2F2F2"/>
      </w:pPr>
      <w:r>
        <w:rPr>
          <w:rFonts w:ascii="Consolas" w:hAnsi="Consolas" w:cs="Consolas"/>
          <w:b w:val="0"/>
          <w:i w:val="0"/>
          <w:sz w:val="15"/>
        </w:rPr>
        <w:t>DEPARTURE_CONFIRMED, ETA_UPDATED, TEMPERATURE_EXCURSION_DETECTED,</w:t>
      </w:r>
    </w:p>
    <w:p>
      <w:pPr>
        <w:spacing w:after="0" w:before="0" w:line="240" w:lineRule="auto"/>
        <w:ind w:left="57"/>
        <w:jc w:val="left"/>
        <w:shd w:val="clear" w:fill="F2F2F2"/>
      </w:pPr>
      <w:r>
        <w:rPr>
          <w:rFonts w:ascii="Consolas" w:hAnsi="Consolas" w:cs="Consolas"/>
          <w:b w:val="0"/>
          <w:i w:val="0"/>
          <w:sz w:val="15"/>
        </w:rPr>
        <w:t>ARRIVAL_CONFIRMED, DELIVERY_ATTEMPTED, DELIVERY_CONFIRMED,</w:t>
      </w:r>
    </w:p>
    <w:p>
      <w:pPr>
        <w:spacing w:after="0" w:before="0" w:line="240" w:lineRule="auto"/>
        <w:ind w:left="57"/>
        <w:jc w:val="left"/>
        <w:shd w:val="clear" w:fill="F2F2F2"/>
      </w:pPr>
      <w:r>
        <w:rPr>
          <w:rFonts w:ascii="Consolas" w:hAnsi="Consolas" w:cs="Consolas"/>
          <w:b w:val="0"/>
          <w:i w:val="0"/>
          <w:sz w:val="15"/>
        </w:rPr>
        <w:t>PHYSICAL_EXCEPTION_OPENED, RECOVERY_ESCALATED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12.3.6 Event Evidence</w:t>
      </w:r>
    </w:p>
    <w:p>
      <w:pPr>
        <w:spacing w:after="80" w:line="293" w:lineRule="auto"/>
        <w:jc w:val="left"/>
      </w:pPr>
      <w:r>
        <w:rPr>
          <w:rFonts w:ascii="Times New Roman" w:hAnsi="Times New Roman" w:cs="Times New Roman"/>
          <w:b w:val="0"/>
          <w:i w:val="0"/>
          <w:sz w:val="22"/>
        </w:rPr>
        <w:t>Each event references: USTN; shipment; actor; source; device; location; event time; recorded time; evidence hash; previous event; causal event.</w:t>
      </w:r>
    </w:p>
    <w:p>
      <w:pPr>
        <w:keepNext/>
        <w:spacing w:before="180" w:after="80"/>
        <w:outlineLvl w:val="2"/>
      </w:pPr>
      <w:r>
        <w:rPr>
          <w:rFonts w:ascii="Arial" w:hAnsi="Arial" w:cs="Arial"/>
          <w:b/>
          <w:i w:val="0"/>
          <w:color w:val="333333"/>
          <w:sz w:val="23"/>
        </w:rPr>
        <w:t>12.3.7 Event Finality (Physical)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Source</w:t>
            </w:r>
          </w:p>
        </w:tc>
        <w:tc>
          <w:tcPr>
            <w:tcW w:type="dxa" w:w="4819"/>
            <w:shd w:val="clear" w:fill="D9E2F3"/>
          </w:tcPr>
          <w:p>
            <w:pPr>
              <w:spacing w:after="20" w:before="20" w:line="240" w:lineRule="auto"/>
            </w:pPr>
            <w:r/>
            <w:r>
              <w:rPr>
                <w:rFonts w:ascii="Arial" w:hAnsi="Arial" w:cs="Arial"/>
                <w:b/>
                <w:i w:val="0"/>
                <w:sz w:val="18"/>
              </w:rPr>
              <w:t>Classification</w:t>
            </w:r>
          </w:p>
        </w:tc>
      </w:tr>
      <w:tr>
        <w:tc>
          <w:tcPr>
            <w:tcW w:type="dxa" w:w="4819"/>
          </w:tcPr>
          <w:p>
            <w:pPr>
              <w:spacing w:after="20" w:before="20" w:line="240" w:lineRule="auto"/>
            </w:pPr>
            <w:r/>
            <w:r>
              <w:rPr>
                <w:rFonts w:ascii="Arial" w:hAnsi="Arial" w:cs="Arial"/>
                <w:b w:val="0"/>
                <w:i w:val="0"/>
                <w:sz w:val="17"/>
              </w:rPr>
              <w:t>AIS observation</w:t>
            </w:r>
          </w:p>
        </w:tc>
        <w:tc>
          <w:tcPr>
            <w:tcW w:type="dxa" w:w="4819"/>
          </w:tcPr>
          <w:p>
            <w:pPr>
              <w:spacing w:after="20" w:before="20" w:line="240" w:lineRule="auto"/>
            </w:pPr>
            <w:r/>
            <w:r>
              <w:rPr>
                <w:rFonts w:ascii="Arial" w:hAnsi="Arial" w:cs="Arial"/>
                <w:b w:val="0"/>
                <w:i w:val="0"/>
                <w:sz w:val="17"/>
              </w:rPr>
              <w:t>Provisional</w:t>
            </w:r>
          </w:p>
        </w:tc>
      </w:tr>
      <w:tr>
        <w:tc>
          <w:tcPr>
            <w:tcW w:type="dxa" w:w="4819"/>
          </w:tcPr>
          <w:p>
            <w:pPr>
              <w:spacing w:after="20" w:before="20" w:line="240" w:lineRule="auto"/>
            </w:pPr>
            <w:r/>
            <w:r>
              <w:rPr>
                <w:rFonts w:ascii="Arial" w:hAnsi="Arial" w:cs="Arial"/>
                <w:b w:val="0"/>
                <w:i w:val="0"/>
                <w:sz w:val="17"/>
              </w:rPr>
              <w:t>Driver scan</w:t>
            </w:r>
          </w:p>
        </w:tc>
        <w:tc>
          <w:tcPr>
            <w:tcW w:type="dxa" w:w="4819"/>
          </w:tcPr>
          <w:p>
            <w:pPr>
              <w:spacing w:after="20" w:before="20" w:line="240" w:lineRule="auto"/>
            </w:pPr>
            <w:r/>
            <w:r>
              <w:rPr>
                <w:rFonts w:ascii="Arial" w:hAnsi="Arial" w:cs="Arial"/>
                <w:b w:val="0"/>
                <w:i w:val="0"/>
                <w:sz w:val="17"/>
              </w:rPr>
              <w:t>Verified operational evidence</w:t>
            </w:r>
          </w:p>
        </w:tc>
      </w:tr>
      <w:tr>
        <w:tc>
          <w:tcPr>
            <w:tcW w:type="dxa" w:w="4819"/>
          </w:tcPr>
          <w:p>
            <w:pPr>
              <w:spacing w:after="20" w:before="20" w:line="240" w:lineRule="auto"/>
            </w:pPr>
            <w:r/>
            <w:r>
              <w:rPr>
                <w:rFonts w:ascii="Arial" w:hAnsi="Arial" w:cs="Arial"/>
                <w:b w:val="0"/>
                <w:i w:val="0"/>
                <w:sz w:val="17"/>
              </w:rPr>
              <w:t>Customs clearance from authority</w:t>
            </w:r>
          </w:p>
        </w:tc>
        <w:tc>
          <w:tcPr>
            <w:tcW w:type="dxa" w:w="4819"/>
          </w:tcPr>
          <w:p>
            <w:pPr>
              <w:spacing w:after="20" w:before="20" w:line="240" w:lineRule="auto"/>
            </w:pPr>
            <w:r/>
            <w:r>
              <w:rPr>
                <w:rFonts w:ascii="Arial" w:hAnsi="Arial" w:cs="Arial"/>
                <w:b w:val="0"/>
                <w:i w:val="0"/>
                <w:sz w:val="17"/>
              </w:rPr>
              <w:t>Authoritative regulatory evidence</w:t>
            </w:r>
          </w:p>
        </w:tc>
      </w:tr>
      <w:tr>
        <w:tc>
          <w:tcPr>
            <w:tcW w:type="dxa" w:w="4819"/>
          </w:tcPr>
          <w:p>
            <w:pPr>
              <w:spacing w:after="20" w:before="20" w:line="240" w:lineRule="auto"/>
            </w:pPr>
            <w:r/>
            <w:r>
              <w:rPr>
                <w:rFonts w:ascii="Arial" w:hAnsi="Arial" w:cs="Arial"/>
                <w:b w:val="0"/>
                <w:i w:val="0"/>
                <w:sz w:val="17"/>
              </w:rPr>
              <w:t>Buyer POD</w:t>
            </w:r>
          </w:p>
        </w:tc>
        <w:tc>
          <w:tcPr>
            <w:tcW w:type="dxa" w:w="4819"/>
          </w:tcPr>
          <w:p>
            <w:pPr>
              <w:spacing w:after="20" w:before="20" w:line="240" w:lineRule="auto"/>
            </w:pPr>
            <w:r/>
            <w:r>
              <w:rPr>
                <w:rFonts w:ascii="Arial" w:hAnsi="Arial" w:cs="Arial"/>
                <w:b w:val="0"/>
                <w:i w:val="0"/>
                <w:sz w:val="17"/>
              </w:rPr>
              <w:t>Contractual acceptance evidence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do not classify every source as equally authoritative.</w:t>
      </w:r>
    </w:p>
    <w:p>
      <w:pPr>
        <w:keepNext/>
        <w:spacing w:before="180" w:after="80"/>
        <w:outlineLvl w:val="2"/>
      </w:pPr>
      <w:r>
        <w:rPr>
          <w:rFonts w:ascii="Arial" w:hAnsi="Arial" w:cs="Arial"/>
          <w:b/>
          <w:i w:val="0"/>
          <w:color w:val="333333"/>
          <w:sz w:val="23"/>
        </w:rPr>
        <w:t>12.3.8 Reversal / Correction</w:t>
      </w:r>
    </w:p>
    <w:p>
      <w:pPr>
        <w:spacing w:after="80" w:line="293" w:lineRule="auto"/>
        <w:jc w:val="left"/>
      </w:pPr>
      <w:r>
        <w:rPr>
          <w:rFonts w:ascii="Times New Roman" w:hAnsi="Times New Roman" w:cs="Times New Roman"/>
          <w:b w:val="0"/>
          <w:i w:val="0"/>
          <w:sz w:val="22"/>
        </w:rPr>
        <w:t>Never delete a wrong physical milestone. Correction: `CONTAINER_LOADING_CORRECTED` with explanation and evidence. Never simply update the original event.</w:t>
      </w:r>
    </w:p>
    <w:p>
      <w:pPr>
        <w:keepNext/>
        <w:spacing w:before="180" w:after="80"/>
        <w:outlineLvl w:val="2"/>
      </w:pPr>
      <w:r>
        <w:rPr>
          <w:rFonts w:ascii="Arial" w:hAnsi="Arial" w:cs="Arial"/>
          <w:b/>
          <w:i w:val="0"/>
          <w:color w:val="333333"/>
          <w:sz w:val="23"/>
        </w:rPr>
        <w:t>12.3.9 Offline-First Mobile Applications</w:t>
      </w:r>
    </w:p>
    <w:p>
      <w:pPr>
        <w:spacing w:after="80" w:line="293" w:lineRule="auto"/>
        <w:jc w:val="left"/>
      </w:pPr>
      <w:r>
        <w:rPr>
          <w:rFonts w:ascii="Times New Roman" w:hAnsi="Times New Roman" w:cs="Times New Roman"/>
          <w:b w:val="0"/>
          <w:i w:val="0"/>
          <w:sz w:val="22"/>
        </w:rPr>
        <w:t>Architecture: LSP Driver App; QC Inspector App; CBR Document Receipt App. Offline-sync: WatermelonDB; event queue; local cryptographic protection; sync on reconnect; conflict resolution. Offline event capture retains local timestamps, device identity, and event signatures; conflict handling keys on event identity, event time, device identity, sequence, and causal relation with canonical server validation. Rule: conflicting physical evidence becomes an investigation/reconciliation event.</w:t>
      </w:r>
    </w:p>
    <w:p>
      <w:pPr>
        <w:spacing w:after="80" w:line="293" w:lineRule="auto"/>
        <w:jc w:val="left"/>
      </w:pPr>
      <w:r>
        <w:rPr>
          <w:rFonts w:ascii="Times New Roman" w:hAnsi="Times New Roman" w:cs="Times New Roman"/>
          <w:b w:val="0"/>
          <w:i w:val="0"/>
          <w:sz w:val="22"/>
        </w:rPr>
        <w:t>Device security: device registration; secure storage; authenticated session; operator identity; event signatures; anti-replay controls; remote revocation where supported.</w:t>
      </w:r>
    </w:p>
    <w:p>
      <w:pPr>
        <w:keepNext/>
        <w:spacing w:before="180" w:after="80"/>
        <w:outlineLvl w:val="2"/>
      </w:pPr>
      <w:r>
        <w:rPr>
          <w:rFonts w:ascii="Arial" w:hAnsi="Arial" w:cs="Arial"/>
          <w:b/>
          <w:i w:val="0"/>
          <w:color w:val="333333"/>
          <w:sz w:val="23"/>
        </w:rPr>
        <w:t>12.3.10 Scan Anomalies (Detect and Flag)</w:t>
      </w:r>
    </w:p>
    <w:p>
      <w:pPr>
        <w:spacing w:after="80" w:line="293" w:lineRule="auto"/>
        <w:jc w:val="left"/>
      </w:pPr>
      <w:r>
        <w:rPr>
          <w:rFonts w:ascii="Times New Roman" w:hAnsi="Times New Roman" w:cs="Times New Roman"/>
          <w:b w:val="0"/>
          <w:i w:val="0"/>
          <w:sz w:val="22"/>
        </w:rPr>
        <w:t>Repeated same scan; impossible sequence; wrong container; wrong shipment; duplicate pallet; pallet assigned to two containers; impossible location; unrealistic timing. Rule: flag rather than silently discard evidence.</w:t>
      </w:r>
    </w:p>
    <w:p>
      <w:pPr>
        <w:keepNext/>
        <w:spacing w:before="180" w:after="80"/>
        <w:outlineLvl w:val="2"/>
      </w:pPr>
      <w:r>
        <w:rPr>
          <w:rFonts w:ascii="Arial" w:hAnsi="Arial" w:cs="Arial"/>
          <w:b/>
          <w:i w:val="0"/>
          <w:color w:val="333333"/>
          <w:sz w:val="23"/>
        </w:rPr>
        <w:t>12.3.11 Barcode Reliability (Predictive)</w:t>
      </w:r>
    </w:p>
    <w:p>
      <w:pPr>
        <w:spacing w:after="80" w:line="293" w:lineRule="auto"/>
        <w:jc w:val="left"/>
      </w:pPr>
      <w:r>
        <w:rPr>
          <w:rFonts w:ascii="Times New Roman" w:hAnsi="Times New Roman" w:cs="Times New Roman"/>
          <w:b w:val="0"/>
          <w:i w:val="0"/>
          <w:sz w:val="22"/>
        </w:rPr>
        <w:t>If labels may fail under current conditions, the system reports: "Some pallet labels may fail in current conditions. Reprint recommended." Rule: AI recommendation must never alter underlying label identity.</w:t>
      </w:r>
    </w:p>
    <w:p>
      <w:pPr>
        <w:keepNext/>
        <w:spacing w:before="180" w:after="80"/>
        <w:outlineLvl w:val="2"/>
      </w:pPr>
      <w:r>
        <w:rPr>
          <w:rFonts w:ascii="Arial" w:hAnsi="Arial" w:cs="Arial"/>
          <w:b/>
          <w:i w:val="0"/>
          <w:color w:val="333333"/>
          <w:sz w:val="23"/>
        </w:rPr>
        <w:t>12.3.12 Forensic Evidence</w:t>
      </w:r>
    </w:p>
    <w:p>
      <w:pPr>
        <w:spacing w:after="80" w:line="293" w:lineRule="auto"/>
        <w:jc w:val="left"/>
      </w:pPr>
      <w:r>
        <w:rPr>
          <w:rFonts w:ascii="Times New Roman" w:hAnsi="Times New Roman" w:cs="Times New Roman"/>
          <w:b w:val="0"/>
          <w:i w:val="0"/>
          <w:sz w:val="22"/>
        </w:rPr>
        <w:t>For disputes, the system automatically compiles: event history; scans; photos; GPS; QC report; customs messages; booking; delivery evidence; temperature; provider updates (Section 14.3).</w:t>
      </w:r>
    </w:p>
    <w:p>
      <w:pPr>
        <w:keepNext/>
        <w:spacing w:before="240" w:after="100"/>
        <w:outlineLvl w:val="1"/>
      </w:pPr>
      <w:r>
        <w:rPr>
          <w:rFonts w:ascii="Arial" w:hAnsi="Arial" w:cs="Arial"/>
          <w:b/>
          <w:i w:val="0"/>
          <w:color w:val="2E528F"/>
          <w:sz w:val="26"/>
        </w:rPr>
        <w:t>12.4 IoT Sensor Integration</w:t>
      </w:r>
    </w:p>
    <w:p>
      <w:pPr>
        <w:keepNext/>
        <w:spacing w:before="180" w:after="80"/>
        <w:outlineLvl w:val="2"/>
      </w:pPr>
      <w:r>
        <w:rPr>
          <w:rFonts w:ascii="Arial" w:hAnsi="Arial" w:cs="Arial"/>
          <w:b/>
          <w:i w:val="0"/>
          <w:color w:val="333333"/>
          <w:sz w:val="23"/>
        </w:rPr>
        <w:t>12.4.1 Cold Chain</w:t>
      </w:r>
    </w:p>
    <w:p>
      <w:pPr>
        <w:spacing w:after="80" w:line="293" w:lineRule="auto"/>
        <w:jc w:val="left"/>
      </w:pPr>
      <w:r>
        <w:rPr>
          <w:rFonts w:ascii="Times New Roman" w:hAnsi="Times New Roman" w:cs="Times New Roman"/>
          <w:b w:val="0"/>
          <w:i w:val="0"/>
          <w:sz w:val="22"/>
        </w:rPr>
        <w:t>For temperature-sensitive goods, track: setpoint; actual temperature; excursion; duration; sensor provenance; location; time; affected cargo; remaining shelf life where supported. Alerts: warning; excursion; critical excursion; predicted shelf-life failure. Rule: AI prediction is an alert, not a legal declaration of damage.</w:t>
      </w:r>
    </w:p>
    <w:p>
      <w:pPr>
        <w:keepNext/>
        <w:spacing w:before="180" w:after="80"/>
        <w:outlineLvl w:val="2"/>
      </w:pPr>
      <w:r>
        <w:rPr>
          <w:rFonts w:ascii="Arial" w:hAnsi="Arial" w:cs="Arial"/>
          <w:b/>
          <w:i w:val="0"/>
          <w:color w:val="333333"/>
          <w:sz w:val="23"/>
        </w:rPr>
        <w:t>12.4.2 Cold-Chain Monitoring (LSTM, A2)</w:t>
      </w:r>
    </w:p>
    <w:p>
      <w:pPr>
        <w:spacing w:after="80" w:line="293" w:lineRule="auto"/>
        <w:jc w:val="left"/>
      </w:pPr>
      <w:r>
        <w:rPr>
          <w:rFonts w:ascii="Times New Roman" w:hAnsi="Times New Roman" w:cs="Times New Roman"/>
          <w:b w:val="0"/>
          <w:i w:val="0"/>
          <w:sz w:val="22"/>
        </w:rPr>
        <w:t>The cold-chain LSTM model predicts remaining shelf life. If a temperature excursion occurs, Groq alerts with a recommended action, for example: "Container TCNU5678901 (Lemons) experienced 8°C for 20 min. Shelf life reduced from 30 to 27 days. Recommended action: accelerate customs clearance."</w:t>
      </w:r>
    </w:p>
    <w:p>
      <w:pPr>
        <w:spacing w:after="80" w:line="293" w:lineRule="auto"/>
        <w:jc w:val="left"/>
      </w:pPr>
      <w:r>
        <w:rPr>
          <w:rFonts w:ascii="Times New Roman" w:hAnsi="Times New Roman" w:cs="Times New Roman"/>
          <w:b w:val="0"/>
          <w:i w:val="0"/>
          <w:sz w:val="22"/>
        </w:rPr>
        <w:t>Example cold-chain monitoring panel: Container: MEDU1234567; Temperature: −18.2°C; Status: Normal; temperature log over the last 24h oscillating in the −18.5°C to −17.5°C band; Remaining Shelf Life (Oranges): 27 days (original: 30 days); AI alert: "Temperature excursion detected at 04:00 (8°C for 20 min). Shelf life reduced from 30 to 27 days. Accelerate customs clearance." Actions: [Refresh] [View Cold Chain Log] [Alert Customs].</w:t>
      </w:r>
    </w:p>
    <w:p>
      <w:pPr>
        <w:keepNext/>
        <w:spacing w:before="180" w:after="80"/>
        <w:outlineLvl w:val="2"/>
      </w:pPr>
      <w:r>
        <w:rPr>
          <w:rFonts w:ascii="Arial" w:hAnsi="Arial" w:cs="Arial"/>
          <w:b/>
          <w:i w:val="0"/>
          <w:color w:val="333333"/>
          <w:sz w:val="23"/>
        </w:rPr>
        <w:t>12.4.3 AIS / Maritime Tracking</w:t>
      </w:r>
    </w:p>
    <w:p>
      <w:pPr>
        <w:spacing w:after="80" w:line="293" w:lineRule="auto"/>
        <w:jc w:val="left"/>
      </w:pPr>
      <w:r>
        <w:rPr>
          <w:rFonts w:ascii="Times New Roman" w:hAnsi="Times New Roman" w:cs="Times New Roman"/>
          <w:b w:val="0"/>
          <w:i w:val="0"/>
          <w:sz w:val="22"/>
        </w:rPr>
        <w:t>For ocean shipments: vessel, IMO, position, timestamp, speed, heading, destination, ETA. AIS integration provides vessel position every few hours. Display multiple concepts distinctly: Carrier ETA; System ETA; AI Predicted ETA; Confidence. Rule: never replace the official carrier ETA with an AI estimate.</w:t>
      </w:r>
    </w:p>
    <w:p>
      <w:pPr>
        <w:spacing w:after="80" w:line="293" w:lineRule="auto"/>
        <w:jc w:val="left"/>
      </w:pPr>
      <w:r>
        <w:rPr>
          <w:rFonts w:ascii="Times New Roman" w:hAnsi="Times New Roman" w:cs="Times New Roman"/>
          <w:b w:val="0"/>
          <w:i w:val="0"/>
          <w:sz w:val="22"/>
        </w:rPr>
        <w:t>Example vessel tracking panel — MSC FIONA for SGTX-EG-26-F3A-1: Map with AIS position; MSC FIONA (30°N, 25°E) — Position: 12 Jun 14:30 UTC; Speed: 18.5 knots; Heading: 320°; Destination: Alexandria; ETA: 2026-07-05 14:00 UTC (predicted: 2026-07-04 18:00 UTC, −20h); Distance to destination: 1,200 nautical miles.</w:t>
      </w:r>
    </w:p>
    <w:p>
      <w:pPr>
        <w:keepNext/>
        <w:spacing w:before="180" w:after="80"/>
        <w:outlineLvl w:val="2"/>
      </w:pPr>
      <w:r>
        <w:rPr>
          <w:rFonts w:ascii="Arial" w:hAnsi="Arial" w:cs="Arial"/>
          <w:b/>
          <w:i w:val="0"/>
          <w:color w:val="333333"/>
          <w:sz w:val="23"/>
        </w:rPr>
        <w:t>12.4.4 Digital Twin &amp; Predictive ETA</w:t>
      </w:r>
    </w:p>
    <w:p>
      <w:pPr>
        <w:spacing w:after="80" w:line="293" w:lineRule="auto"/>
        <w:jc w:val="left"/>
      </w:pPr>
      <w:r>
        <w:rPr>
          <w:rFonts w:ascii="Times New Roman" w:hAnsi="Times New Roman" w:cs="Times New Roman"/>
          <w:b w:val="0"/>
          <w:i w:val="0"/>
          <w:sz w:val="22"/>
        </w:rPr>
        <w:t>The digital twin simulation (A2) uses vessel speed, weather, and port congestion to predict ETA deviations. The predictive ETA model refines ETA based on real-time data; alerts are sent to buyer and seller if the ETA changes by more than 24 hours.</w:t>
      </w:r>
    </w:p>
    <w:p>
      <w:pPr>
        <w:keepNext/>
        <w:spacing w:before="180" w:after="80"/>
        <w:outlineLvl w:val="2"/>
      </w:pPr>
      <w:r>
        <w:rPr>
          <w:rFonts w:ascii="Arial" w:hAnsi="Arial" w:cs="Arial"/>
          <w:b/>
          <w:i w:val="0"/>
          <w:color w:val="333333"/>
          <w:sz w:val="23"/>
        </w:rPr>
        <w:t>12.4.5 Reefer / Power Management</w:t>
      </w:r>
    </w:p>
    <w:p>
      <w:pPr>
        <w:spacing w:after="80" w:line="293" w:lineRule="auto"/>
        <w:jc w:val="left"/>
      </w:pPr>
      <w:r>
        <w:rPr>
          <w:rFonts w:ascii="Times New Roman" w:hAnsi="Times New Roman" w:cs="Times New Roman"/>
          <w:b w:val="0"/>
          <w:i w:val="0"/>
          <w:sz w:val="22"/>
        </w:rPr>
        <w:t>For refrigerated shipments: reefer setpoint; container power requirement; power connection; power start/stop; power interruption; generator requirement; terminal power status where available.</w:t>
      </w:r>
    </w:p>
    <w:p>
      <w:pPr>
        <w:keepNext/>
        <w:spacing w:before="180" w:after="80"/>
        <w:outlineLvl w:val="2"/>
      </w:pPr>
      <w:r>
        <w:rPr>
          <w:rFonts w:ascii="Arial" w:hAnsi="Arial" w:cs="Arial"/>
          <w:b/>
          <w:i w:val="0"/>
          <w:color w:val="333333"/>
          <w:sz w:val="23"/>
        </w:rPr>
        <w:t>12.4.6 Sensor Readings Storage</w:t>
      </w:r>
    </w:p>
    <w:p>
      <w:pPr>
        <w:spacing w:after="80" w:line="293" w:lineRule="auto"/>
        <w:jc w:val="left"/>
      </w:pPr>
      <w:r>
        <w:rPr>
          <w:rFonts w:ascii="Times New Roman" w:hAnsi="Times New Roman" w:cs="Times New Roman"/>
          <w:b w:val="0"/>
          <w:i w:val="0"/>
          <w:sz w:val="22"/>
        </w:rPr>
        <w:t>IoT sensor readings are stored in a TimescaleDB hypertable for high-volume time-series queries (see Section 17):</w:t>
      </w:r>
    </w:p>
    <w:p>
      <w:pPr>
        <w:spacing w:after="0" w:before="0" w:line="240" w:lineRule="auto"/>
        <w:ind w:left="57"/>
        <w:jc w:val="left"/>
        <w:shd w:val="clear" w:fill="F2F2F2"/>
      </w:pPr>
      <w:r>
        <w:rPr>
          <w:rFonts w:ascii="Consolas" w:hAnsi="Consolas" w:cs="Consolas"/>
          <w:b w:val="0"/>
          <w:i w:val="0"/>
          <w:sz w:val="15"/>
        </w:rPr>
        <w:t>-- iot_sensor_readings: canonical definition in Section 17.32;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SELECT create_hypertable('iot_sensor_readings', 'recorded_at');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12.5 Customs &amp; QC Holds</w:t>
      </w:r>
    </w:p>
    <w:p>
      <w:pPr>
        <w:keepNext/>
        <w:spacing w:before="180" w:after="80"/>
        <w:outlineLvl w:val="2"/>
      </w:pPr>
      <w:r>
        <w:rPr>
          <w:rFonts w:ascii="Arial" w:hAnsi="Arial" w:cs="Arial"/>
          <w:b/>
          <w:i w:val="0"/>
          <w:color w:val="333333"/>
          <w:sz w:val="23"/>
        </w:rPr>
        <w:t>12.5.1 QC Integration</w:t>
      </w:r>
    </w:p>
    <w:p>
      <w:pPr>
        <w:spacing w:after="80" w:line="293" w:lineRule="auto"/>
        <w:jc w:val="left"/>
      </w:pPr>
      <w:r>
        <w:rPr>
          <w:rFonts w:ascii="Times New Roman" w:hAnsi="Times New Roman" w:cs="Times New Roman"/>
          <w:b w:val="0"/>
          <w:i w:val="0"/>
          <w:sz w:val="22"/>
        </w:rPr>
        <w:t>The QC portal receives the contract-derived quality specification automatically — no re-entry. QC outcomes: PASS; FAIL; CONDITIONAL PASS; REINSPECTION; DISPUTED; HOLD. Conditional pass requirements: condition; responsible actor; deadline; required remediation; whether loading may continue; evidence required. Rule: conditional acceptance ≠ unrestricted clearance.</w:t>
      </w:r>
    </w:p>
    <w:p>
      <w:pPr>
        <w:keepNext/>
        <w:spacing w:before="180" w:after="80"/>
        <w:outlineLvl w:val="2"/>
      </w:pPr>
      <w:r>
        <w:rPr>
          <w:rFonts w:ascii="Arial" w:hAnsi="Arial" w:cs="Arial"/>
          <w:b/>
          <w:i w:val="0"/>
          <w:color w:val="333333"/>
          <w:sz w:val="23"/>
        </w:rPr>
        <w:t>12.5.2 Standard Inspection Process</w:t>
      </w:r>
    </w:p>
    <w:p>
      <w:pPr>
        <w:spacing w:after="80" w:line="293" w:lineRule="auto"/>
        <w:jc w:val="left"/>
      </w:pPr>
      <w:r>
        <w:rPr>
          <w:rFonts w:ascii="Times New Roman" w:hAnsi="Times New Roman" w:cs="Times New Roman"/>
          <w:b w:val="0"/>
          <w:i w:val="0"/>
          <w:sz w:val="22"/>
        </w:rPr>
        <w:t>The inspector uses the mobile app (offline) to scan container and seal numbers and take photos; inspects mandatory pallets (AQL sampling + high-priority); AI detects defects (A2, HF ViT); the inspector confirms or overrides (mandatory reason ≥10 characters); and submits the report.</w:t>
      </w:r>
    </w:p>
    <w:p>
      <w:pPr>
        <w:keepNext/>
        <w:spacing w:before="180" w:after="80"/>
        <w:outlineLvl w:val="2"/>
      </w:pPr>
      <w:r>
        <w:rPr>
          <w:rFonts w:ascii="Arial" w:hAnsi="Arial" w:cs="Arial"/>
          <w:b/>
          <w:i w:val="0"/>
          <w:color w:val="333333"/>
          <w:sz w:val="23"/>
        </w:rPr>
        <w:t>12.5.3 Conditional Pass with Action Plan</w:t>
      </w:r>
    </w:p>
    <w:p>
      <w:pPr>
        <w:spacing w:after="80" w:line="293" w:lineRule="auto"/>
        <w:jc w:val="left"/>
      </w:pPr>
      <w:r>
        <w:rPr>
          <w:rFonts w:ascii="Times New Roman" w:hAnsi="Times New Roman" w:cs="Times New Roman"/>
          <w:b w:val="0"/>
          <w:i w:val="0"/>
          <w:sz w:val="22"/>
        </w:rPr>
        <w:t>The inspector clicks "Conditional Pass" instead of FAIL. A form appears: Action plan (free text, mandatory); Deadline (hours/days, default 24h); Escalation if not completed. The inspector submits the report with the CONDITIONAL verdict. Loading may proceed but a hold flag is placed on the shipment. The seller executes the action plan, then clicks "Mark Action Completed" (one click). The inspector verifies (one click) — the hold is removed. Settlement is blocked until the action plan is completed and verified.</w:t>
      </w:r>
    </w:p>
    <w:p>
      <w:pPr>
        <w:spacing w:after="80" w:line="293" w:lineRule="auto"/>
        <w:jc w:val="left"/>
      </w:pPr>
      <w:r>
        <w:rPr>
          <w:rFonts w:ascii="Times New Roman" w:hAnsi="Times New Roman" w:cs="Times New Roman"/>
          <w:b w:val="0"/>
          <w:i w:val="0"/>
          <w:sz w:val="22"/>
        </w:rPr>
        <w:t>Example conditional pass report — SGTX-EG-26-F3A-1: Inspector: SGS Inspection; Inspection Date: 2026-06-20; Verdict: CONDITIONAL PASS. Defects detected: pallet OR-020, defect type Mould, severity Medium, AI confidence 88%, inspector override "Surface bruising", reason: "Dark spot is bruise, no mould under magnifier." Conditional pass action plan: "Replace 2 damaged cartons on pallet OR020 within 24h"; Deadline: 2026-06-21 14:00 UTC (expires in 18h 23m); Status: PENDING; "Settlement is blocked until action plan is completed and verified." Actions: [View Full Report] [Request Re-inspection] [Mark Action Completed].</w:t>
      </w:r>
    </w:p>
    <w:p>
      <w:pPr>
        <w:spacing w:after="80" w:line="293" w:lineRule="auto"/>
        <w:jc w:val="left"/>
      </w:pPr>
      <w:r>
        <w:rPr>
          <w:rFonts w:ascii="Times New Roman" w:hAnsi="Times New Roman" w:cs="Times New Roman"/>
          <w:b w:val="0"/>
          <w:i w:val="0"/>
          <w:sz w:val="22"/>
        </w:rPr>
        <w:t>Conditional QC Hold Panel (TCC): Verdict: CONDITIONAL PASS; Action Plan: "Replace 2 damaged cartons on pallet OR020 within 24h"; Deadline: 2026-06-21T14:00:00Z (expires in 18h 23m); Status: PENDING; "Settlement is blocked until action plan is completed and verified." Actions: [Mark Completed] [Request Extension] [Escalate].</w:t>
      </w:r>
    </w:p>
    <w:p>
      <w:pPr>
        <w:keepNext/>
        <w:spacing w:before="180" w:after="80"/>
        <w:outlineLvl w:val="2"/>
      </w:pPr>
      <w:r>
        <w:rPr>
          <w:rFonts w:ascii="Arial" w:hAnsi="Arial" w:cs="Arial"/>
          <w:b/>
          <w:i w:val="0"/>
          <w:color w:val="333333"/>
          <w:sz w:val="23"/>
        </w:rPr>
        <w:t>12.5.4 QC Override</w:t>
      </w:r>
    </w:p>
    <w:p>
      <w:pPr>
        <w:spacing w:after="80" w:line="293" w:lineRule="auto"/>
        <w:jc w:val="left"/>
      </w:pPr>
      <w:r>
        <w:rPr>
          <w:rFonts w:ascii="Times New Roman" w:hAnsi="Times New Roman" w:cs="Times New Roman"/>
          <w:b w:val="0"/>
          <w:i w:val="0"/>
          <w:sz w:val="22"/>
        </w:rPr>
        <w:t>AI findings can be overridden by an authorised inspector. Required: human identity; reason; timestamp; original AI finding; inspector finding. A meaningful written override reason is mandatory (minimum 10 characters — gate G5UA7).</w:t>
      </w:r>
    </w:p>
    <w:p>
      <w:pPr>
        <w:keepNext/>
        <w:spacing w:before="180" w:after="80"/>
        <w:outlineLvl w:val="2"/>
      </w:pPr>
      <w:r>
        <w:rPr>
          <w:rFonts w:ascii="Arial" w:hAnsi="Arial" w:cs="Arial"/>
          <w:b/>
          <w:i w:val="0"/>
          <w:color w:val="333333"/>
          <w:sz w:val="23"/>
        </w:rPr>
        <w:t>12.5.5 Re-Inspection</w:t>
      </w:r>
    </w:p>
    <w:p>
      <w:pPr>
        <w:spacing w:after="80" w:line="293" w:lineRule="auto"/>
        <w:jc w:val="left"/>
      </w:pPr>
      <w:r>
        <w:rPr>
          <w:rFonts w:ascii="Times New Roman" w:hAnsi="Times New Roman" w:cs="Times New Roman"/>
          <w:b w:val="0"/>
          <w:i w:val="0"/>
          <w:sz w:val="22"/>
        </w:rPr>
        <w:t>If the buyer or seller challenges an inspection, any party can request a second inspection from the Trade Command Center with one click: select the reason, choose the same or a different QC provider, and send the request. The QC provider accepts (one click) and performs the second inspection; the second report overrides the first for loading purposes. The formal workflow preserves the original inspection, disputed findings, evidence, reason, new inspection, and resolution. Rule: never overwrite the first inspection.</w:t>
      </w:r>
    </w:p>
    <w:p>
      <w:pPr>
        <w:spacing w:after="80" w:line="293" w:lineRule="auto"/>
        <w:jc w:val="left"/>
      </w:pPr>
      <w:r>
        <w:rPr>
          <w:rFonts w:ascii="Times New Roman" w:hAnsi="Times New Roman" w:cs="Times New Roman"/>
          <w:b w:val="0"/>
          <w:i w:val="0"/>
          <w:sz w:val="22"/>
        </w:rPr>
        <w:t>Re-inspection request form: Reason for Re-inspection: "We dispute the QC report. The damage was caused by handling after inspection, not before. Request second inspection by a different provider."; Select QC Provider: [Bureau Veritas ▼] (or enter GTID manually); Urgency: [Normal] [Urgent]; actions: [Submit Request] [Cancel].</w:t>
      </w:r>
    </w:p>
    <w:p>
      <w:pPr>
        <w:keepNext/>
        <w:spacing w:before="180" w:after="80"/>
        <w:outlineLvl w:val="2"/>
      </w:pPr>
      <w:r>
        <w:rPr>
          <w:rFonts w:ascii="Arial" w:hAnsi="Arial" w:cs="Arial"/>
          <w:b/>
          <w:i w:val="0"/>
          <w:color w:val="333333"/>
          <w:sz w:val="23"/>
        </w:rPr>
        <w:t>12.5.6 Customs &amp; Port Integration</w:t>
      </w:r>
    </w:p>
    <w:p>
      <w:pPr>
        <w:spacing w:after="80" w:line="293" w:lineRule="auto"/>
        <w:jc w:val="left"/>
      </w:pPr>
      <w:r>
        <w:rPr>
          <w:rFonts w:ascii="Times New Roman" w:hAnsi="Times New Roman" w:cs="Times New Roman"/>
          <w:b w:val="0"/>
          <w:i w:val="0"/>
          <w:sz w:val="22"/>
        </w:rPr>
        <w:t>Egyptian corridor integrations: Nafeza (Customs Single Window), CargoX/ACI, broker integration, customs declaration, clearance state. The platform submits the Single Administrative Document (SAD) and requests ancillary certificates under the exporter's delegated authority, the platform's own broker licence, or the selected broker's digital seal. All integrations use mutual TLS (mTLS) with Egypt Trust certificates; no third-party middleware. Government integrations are one-directional orchestration: the platform automates data submission and reconciliation; it never replaces the government system.</w:t>
      </w:r>
    </w:p>
    <w:p>
      <w:pPr>
        <w:spacing w:after="80" w:line="293" w:lineRule="auto"/>
        <w:jc w:val="left"/>
      </w:pPr>
      <w:r>
        <w:rPr>
          <w:rFonts w:ascii="Times New Roman" w:hAnsi="Times New Roman" w:cs="Times New Roman"/>
          <w:b w:val="0"/>
          <w:i w:val="0"/>
          <w:sz w:val="22"/>
        </w:rPr>
        <w:t>Customs state is tracked separately from transport state:</w:t>
      </w:r>
    </w:p>
    <w:p>
      <w:pPr>
        <w:spacing w:after="0" w:before="0" w:line="240" w:lineRule="auto"/>
        <w:ind w:left="57"/>
        <w:jc w:val="left"/>
        <w:shd w:val="clear" w:fill="F2F2F2"/>
      </w:pPr>
      <w:r>
        <w:rPr>
          <w:rFonts w:ascii="Consolas" w:hAnsi="Consolas" w:cs="Consolas"/>
          <w:b w:val="0"/>
          <w:i w:val="0"/>
          <w:sz w:val="15"/>
        </w:rPr>
        <w:t>DOCUMENT_READY → DECLARATION_PREPARED → DECLARATION_SUBMITTED → UNDER_REVIEW →</w:t>
      </w:r>
    </w:p>
    <w:p>
      <w:pPr>
        <w:spacing w:after="0" w:before="0" w:line="240" w:lineRule="auto"/>
        <w:ind w:left="57"/>
        <w:jc w:val="left"/>
        <w:shd w:val="clear" w:fill="F2F2F2"/>
      </w:pPr>
      <w:r>
        <w:rPr>
          <w:rFonts w:ascii="Consolas" w:hAnsi="Consolas" w:cs="Consolas"/>
          <w:b w:val="0"/>
          <w:i w:val="0"/>
          <w:sz w:val="15"/>
        </w:rPr>
        <w:t>CUSTOMS_QUERY → CLEARANCE_GRANTED → HOLD → RELEASED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Rule:</w:t>
      </w:r>
      <w:r>
        <w:rPr>
          <w:rFonts w:ascii="Times New Roman" w:hAnsi="Times New Roman" w:cs="Times New Roman"/>
          <w:b w:val="0"/>
          <w:i w:val="0"/>
          <w:sz w:val="22"/>
        </w:rPr>
        <w:t xml:space="preserve"> Submitted ≠ Cleared. Government API applicability is mode-specific (constitutional point 25).</w:t>
      </w:r>
    </w:p>
    <w:p>
      <w:pPr>
        <w:keepNext/>
        <w:spacing w:before="180" w:after="80"/>
        <w:outlineLvl w:val="2"/>
      </w:pPr>
      <w:r>
        <w:rPr>
          <w:rFonts w:ascii="Arial" w:hAnsi="Arial" w:cs="Arial"/>
          <w:b/>
          <w:i w:val="0"/>
          <w:color w:val="333333"/>
          <w:sz w:val="23"/>
        </w:rPr>
        <w:t>12.5.7 Gate In &amp; Customs Clearance</w:t>
      </w:r>
    </w:p>
    <w:p>
      <w:pPr>
        <w:spacing w:after="80" w:line="293" w:lineRule="auto"/>
        <w:jc w:val="left"/>
      </w:pPr>
      <w:r>
        <w:rPr>
          <w:rFonts w:ascii="Times New Roman" w:hAnsi="Times New Roman" w:cs="Times New Roman"/>
          <w:b w:val="0"/>
          <w:i w:val="0"/>
          <w:sz w:val="22"/>
        </w:rPr>
        <w:t>Gate In. OCR or manual entry updates the status to GATED_IN. The system cross-references the container number with the booking. Gate events tracked: truck dispatched; truck arrived; gate-in requested; gate-in confirmed; inspection; customs hold; gate-out. Rule: never derive gate status solely from planned timing.</w:t>
      </w:r>
    </w:p>
    <w:p>
      <w:pPr>
        <w:spacing w:after="80" w:line="293" w:lineRule="auto"/>
        <w:jc w:val="left"/>
      </w:pPr>
      <w:r>
        <w:rPr>
          <w:rFonts w:ascii="Times New Roman" w:hAnsi="Times New Roman" w:cs="Times New Roman"/>
          <w:b w:val="0"/>
          <w:i w:val="0"/>
          <w:sz w:val="22"/>
        </w:rPr>
        <w:t>Customs clearance. The broker's portal shows the document checklist and AI validates documents. Once verified, the broker submits the export declaration (via the Nafeza API). The digital twin simulates clearance time.</w:t>
      </w:r>
    </w:p>
    <w:p>
      <w:pPr>
        <w:spacing w:after="80" w:line="293" w:lineRule="auto"/>
        <w:jc w:val="left"/>
      </w:pPr>
      <w:r>
        <w:rPr>
          <w:rFonts w:ascii="Times New Roman" w:hAnsi="Times New Roman" w:cs="Times New Roman"/>
          <w:b w:val="0"/>
          <w:i w:val="0"/>
          <w:sz w:val="22"/>
        </w:rPr>
        <w:t>Example customs clearance progress panel — SGTX-EG-26-F3A-1: Declaration status: SUBMITTED; Declaration ID: SAD20260415-000147; Submission Time: 2026-06-20 09:30:00 UTC. Document checklist: Commercial Invoice — Verified 09:15:00; Packing List — Verified 09:15:00; Bill of Lading — Verified 09:20:00; Certificate of Origin — Verified 09:25:00; Phytosanitary Certificate — Verified 09:30:00. Clearance timeline: 09:00 Declaration created; 09:15 Documents verified; 09:30 Declaration submitted to Nafeza; 09:45 Awaiting customs response. AI prediction: clearance expected within 2 hours (11:30 UTC). Actions: [Refresh] [View Declaration] [Contact Customs].</w:t>
      </w:r>
    </w:p>
    <w:p>
      <w:pPr>
        <w:spacing w:after="80" w:line="293" w:lineRule="auto"/>
        <w:jc w:val="left"/>
      </w:pPr>
      <w:r>
        <w:rPr>
          <w:rFonts w:ascii="Times New Roman" w:hAnsi="Times New Roman" w:cs="Times New Roman"/>
          <w:b w:val="0"/>
          <w:i w:val="0"/>
          <w:sz w:val="22"/>
        </w:rPr>
        <w:t>eBL interoperability. If the carrier uses an eBL platform, HF Donut monitors and extracts the bill of lading issuance event, automatically marking "Bill of Lading Issued".</w:t>
      </w:r>
    </w:p>
    <w:p>
      <w:pPr>
        <w:keepNext/>
        <w:spacing w:before="240" w:after="100"/>
        <w:outlineLvl w:val="1"/>
      </w:pPr>
      <w:r>
        <w:rPr>
          <w:rFonts w:ascii="Arial" w:hAnsi="Arial" w:cs="Arial"/>
          <w:b/>
          <w:i w:val="0"/>
          <w:color w:val="2E528F"/>
          <w:sz w:val="26"/>
        </w:rPr>
        <w:t>12.6 Container Release Authorisation API</w:t>
      </w:r>
    </w:p>
    <w:p>
      <w:pPr>
        <w:keepNext/>
        <w:spacing w:before="180" w:after="80"/>
        <w:outlineLvl w:val="2"/>
      </w:pPr>
      <w:r>
        <w:rPr>
          <w:rFonts w:ascii="Arial" w:hAnsi="Arial" w:cs="Arial"/>
          <w:b/>
          <w:i w:val="0"/>
          <w:color w:val="333333"/>
          <w:sz w:val="23"/>
        </w:rPr>
        <w:t>12.6.1 Purpose &amp; Design Philosophy</w:t>
      </w:r>
    </w:p>
    <w:p>
      <w:pPr>
        <w:spacing w:after="80" w:line="293" w:lineRule="auto"/>
        <w:jc w:val="left"/>
      </w:pPr>
      <w:r>
        <w:rPr>
          <w:rFonts w:ascii="Times New Roman" w:hAnsi="Times New Roman" w:cs="Times New Roman"/>
          <w:b w:val="0"/>
          <w:i w:val="0"/>
          <w:sz w:val="22"/>
        </w:rPr>
        <w:t>The Container Release Authorisation API is the physical enforcement arm of SGTX. It is the technical bridge between the digital world of payments, documents, and compliance checks and the physical world of port gates, cranes, and container trucks. Without this API, the platform would be a workflow tool; with it, it is the gatekeeper of Egyptian trade, empowered by a ministerial decree stating: "No container may exit an Egyptian port without a valid, cryptographically signed release authorisation issued by SGTX OS." Every terminal operator, shipping line, and port authority in Egypt is legally required to integrate with this API. The integration is simple, stateless, and secure: the terminal sends a query containing a USTN and a container number; SGTX responds with either an AUTHORISED token or a HOLD with detailed reasons. The token is digitally signed with SGTX's Egypt Trust qualified seal, making it impossible to forge and providing a non-repudiable audit trail.</w:t>
      </w:r>
    </w:p>
    <w:p>
      <w:pPr>
        <w:spacing w:after="80" w:line="293" w:lineRule="auto"/>
        <w:jc w:val="left"/>
      </w:pPr>
      <w:r>
        <w:rPr>
          <w:rFonts w:ascii="Times New Roman" w:hAnsi="Times New Roman" w:cs="Times New Roman"/>
          <w:b w:val="0"/>
          <w:i w:val="0"/>
          <w:sz w:val="22"/>
        </w:rPr>
        <w:t>Key principles (non-marketplace, orchestration-only):</w:t>
      </w:r>
    </w:p>
    <w:p>
      <w:pPr>
        <w:spacing w:after="80" w:line="293" w:lineRule="auto"/>
        <w:ind w:left="283"/>
        <w:jc w:val="left"/>
      </w:pPr>
      <w:r>
        <w:rPr>
          <w:rFonts w:ascii="Times New Roman" w:hAnsi="Times New Roman" w:cs="Times New Roman"/>
          <w:b w:val="0"/>
          <w:i w:val="0"/>
          <w:sz w:val="22"/>
        </w:rPr>
        <w:t>- Stateless &amp; idempotent — each query returns the current release status based on the latest state (FeeLock, milestone confirmations, dispute status, payment verifications).</w:t>
      </w:r>
    </w:p>
    <w:p>
      <w:pPr>
        <w:spacing w:after="80" w:line="293" w:lineRule="auto"/>
        <w:ind w:left="283"/>
        <w:jc w:val="left"/>
      </w:pPr>
      <w:r>
        <w:rPr>
          <w:rFonts w:ascii="Times New Roman" w:hAnsi="Times New Roman" w:cs="Times New Roman"/>
          <w:b w:val="0"/>
          <w:i w:val="0"/>
          <w:sz w:val="22"/>
        </w:rPr>
        <w:t>- Cryptographically signed — every AUTHORISED response includes a digital signature that the terminal verifies.</w:t>
      </w:r>
    </w:p>
    <w:p>
      <w:pPr>
        <w:spacing w:after="80" w:line="293" w:lineRule="auto"/>
        <w:ind w:left="283"/>
        <w:jc w:val="left"/>
      </w:pPr>
      <w:r>
        <w:rPr>
          <w:rFonts w:ascii="Times New Roman" w:hAnsi="Times New Roman" w:cs="Times New Roman"/>
          <w:b w:val="0"/>
          <w:i w:val="0"/>
          <w:sz w:val="22"/>
        </w:rPr>
        <w:t>- Time-bound — authorisation tokens are valid for a limited window (default 24 hours) to prevent replay attacks.</w:t>
      </w:r>
    </w:p>
    <w:p>
      <w:pPr>
        <w:spacing w:after="80" w:line="293" w:lineRule="auto"/>
        <w:ind w:left="283"/>
        <w:jc w:val="left"/>
      </w:pPr>
      <w:r>
        <w:rPr>
          <w:rFonts w:ascii="Times New Roman" w:hAnsi="Times New Roman" w:cs="Times New Roman"/>
          <w:b w:val="0"/>
          <w:i w:val="0"/>
          <w:sz w:val="22"/>
        </w:rPr>
        <w:t>- Legally binding — the ministerial decree gives the API the force of law; terminals that release without authorisation face penalties.</w:t>
      </w:r>
    </w:p>
    <w:p>
      <w:pPr>
        <w:spacing w:after="80" w:line="293" w:lineRule="auto"/>
        <w:ind w:left="283"/>
        <w:jc w:val="left"/>
      </w:pPr>
      <w:r>
        <w:rPr>
          <w:rFonts w:ascii="Times New Roman" w:hAnsi="Times New Roman" w:cs="Times New Roman"/>
          <w:b w:val="0"/>
          <w:i w:val="0"/>
          <w:sz w:val="22"/>
        </w:rPr>
        <w:t>- One-click integration — the release status is automatically updated after the Stage 1 payment is confirmed (or Stage 2 if freight is MANDATORY); no additional user action is required.</w:t>
      </w:r>
    </w:p>
    <w:p>
      <w:pPr>
        <w:spacing w:after="80" w:line="293" w:lineRule="auto"/>
        <w:jc w:val="left"/>
      </w:pPr>
      <w:r>
        <w:rPr>
          <w:rFonts w:ascii="Times New Roman" w:hAnsi="Times New Roman" w:cs="Times New Roman"/>
          <w:b w:val="0"/>
          <w:i w:val="0"/>
          <w:sz w:val="22"/>
        </w:rPr>
        <w:t>The API is deterministic and rule-based; AI is used only for advisory purposes (for example, explaining a HOLD reason in plain language for terminal operators). No AI decision is involved in the authorisation logic itself (A4 for constitutional enforcement).</w:t>
      </w:r>
    </w:p>
    <w:p>
      <w:pPr>
        <w:keepNext/>
        <w:spacing w:before="180" w:after="80"/>
        <w:outlineLvl w:val="2"/>
      </w:pPr>
      <w:r>
        <w:rPr>
          <w:rFonts w:ascii="Arial" w:hAnsi="Arial" w:cs="Arial"/>
          <w:b/>
          <w:i w:val="0"/>
          <w:color w:val="333333"/>
          <w:sz w:val="23"/>
        </w:rPr>
        <w:t>12.6.2 Legal Foundation &amp; Mandate</w:t>
      </w:r>
    </w:p>
    <w:p>
      <w:pPr>
        <w:spacing w:after="80" w:line="293" w:lineRule="auto"/>
        <w:jc w:val="left"/>
      </w:pPr>
      <w:r>
        <w:rPr>
          <w:rFonts w:ascii="Times New Roman" w:hAnsi="Times New Roman" w:cs="Times New Roman"/>
          <w:b w:val="0"/>
          <w:i w:val="0"/>
          <w:sz w:val="22"/>
        </w:rPr>
        <w:t>A joint decree from the Ministry of Transport, the Egyptian Maritime Safety Authority, and the Ministry of Trade and Industry establishes the legal force of the release authorisation. Key provisions: no container may exit an Egyptian port without a valid, cryptographically signed release authorisation; every terminal operator, shipping line, and port authority must integrate with the API; and terminals that release a container without valid authorisation are subject to penalties under Egyptian law.</w:t>
      </w:r>
    </w:p>
    <w:p>
      <w:pPr>
        <w:spacing w:after="80" w:line="293" w:lineRule="auto"/>
        <w:jc w:val="left"/>
      </w:pPr>
      <w:r>
        <w:rPr>
          <w:rFonts w:ascii="Times New Roman" w:hAnsi="Times New Roman" w:cs="Times New Roman"/>
          <w:b w:val="0"/>
          <w:i w:val="0"/>
          <w:sz w:val="22"/>
        </w:rPr>
        <w:t>Integration with FeeLock. The release authorisation is only granted when the FeeLock is ACTIVE. The FeeLock becomes ACTIVE after the platform confirms the Stage 1 payment webhook (for export) or the import local payment webhook. The release API therefore directly reflects the payment status.</w:t>
      </w:r>
    </w:p>
    <w:p>
      <w:pPr>
        <w:spacing w:after="80" w:line="293" w:lineRule="auto"/>
        <w:jc w:val="left"/>
      </w:pPr>
      <w:r>
        <w:rPr>
          <w:rFonts w:ascii="Times New Roman" w:hAnsi="Times New Roman" w:cs="Times New Roman"/>
          <w:b w:val="0"/>
          <w:i w:val="0"/>
          <w:sz w:val="22"/>
        </w:rPr>
        <w:t>Legal disclaimer (displayed in the terminal portal): "This release authorisation is issued by SGTX OS in accordance with Ministerial Decree No. [XXX] of 2026. The authorisation is cryptographically signed and constitutes legal proof of compliance with all payment and regulatory requirements. Any terminal that releases a container without a valid authorisation is subject to penalties under Egyptian law."</w:t>
      </w:r>
    </w:p>
    <w:p>
      <w:pPr>
        <w:keepNext/>
        <w:spacing w:before="180" w:after="80"/>
        <w:outlineLvl w:val="2"/>
      </w:pPr>
      <w:r>
        <w:rPr>
          <w:rFonts w:ascii="Arial" w:hAnsi="Arial" w:cs="Arial"/>
          <w:b/>
          <w:i w:val="0"/>
          <w:color w:val="333333"/>
          <w:sz w:val="23"/>
        </w:rPr>
        <w:t>12.6.3 API Design Overview</w:t>
      </w:r>
    </w:p>
    <w:p>
      <w:pPr>
        <w:spacing w:after="80" w:line="293" w:lineRule="auto"/>
        <w:jc w:val="left"/>
      </w:pPr>
      <w:r>
        <w:rPr>
          <w:rFonts w:ascii="Times New Roman" w:hAnsi="Times New Roman" w:cs="Times New Roman"/>
          <w:b w:val="0"/>
          <w:i w:val="0"/>
          <w:sz w:val="22"/>
        </w:rPr>
        <w:t>The release API is deliberately simple. It is a pull-based REST endpoint: the terminal queries SGTX at the moment of gate-out. There is also an optional webhook push for carriers that wish to be notified proactively when a release becomes valid, but the pull is the authoritative check at the gate.</w:t>
      </w:r>
    </w:p>
    <w:p>
      <w:pPr>
        <w:keepNext/>
        <w:spacing w:before="180" w:after="80"/>
        <w:outlineLvl w:val="2"/>
      </w:pPr>
      <w:r>
        <w:rPr>
          <w:rFonts w:ascii="Arial" w:hAnsi="Arial" w:cs="Arial"/>
          <w:b/>
          <w:i w:val="0"/>
          <w:color w:val="333333"/>
          <w:sz w:val="23"/>
        </w:rPr>
        <w:t>12.6.4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Endpoint</w:t>
            </w:r>
          </w:p>
        </w:tc>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Purpose</w:t>
            </w:r>
          </w:p>
        </w:tc>
      </w:tr>
      <w:tr>
        <w:tc>
          <w:tcPr>
            <w:tcW w:type="dxa" w:w="3213"/>
          </w:tcPr>
          <w:p>
            <w:pPr>
              <w:spacing w:after="20" w:before="20" w:line="240" w:lineRule="auto"/>
            </w:pPr>
            <w:r/>
            <w:r>
              <w:rPr>
                <w:rFonts w:ascii="Arial" w:hAnsi="Arial" w:cs="Arial"/>
                <w:b w:val="0"/>
                <w:i w:val="0"/>
                <w:sz w:val="17"/>
              </w:rPr>
              <w:t>/v1/release/authorization</w:t>
            </w:r>
          </w:p>
        </w:tc>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Release authorisation query (primary endpoint)</w:t>
            </w:r>
          </w:p>
        </w:tc>
      </w:tr>
      <w:tr>
        <w:tc>
          <w:tcPr>
            <w:tcW w:type="dxa" w:w="3213"/>
          </w:tcPr>
          <w:p>
            <w:pPr>
              <w:spacing w:after="20" w:before="20" w:line="240" w:lineRule="auto"/>
            </w:pPr>
            <w:r/>
            <w:r>
              <w:rPr>
                <w:rFonts w:ascii="Arial" w:hAnsi="Arial" w:cs="Arial"/>
                <w:b w:val="0"/>
                <w:i w:val="0"/>
                <w:sz w:val="17"/>
              </w:rPr>
              <w:t>/v1/release/webhook</w:t>
            </w:r>
          </w:p>
        </w:tc>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Optional push notification of release readiness</w:t>
            </w:r>
          </w:p>
        </w:tc>
      </w:tr>
      <w:tr>
        <w:tc>
          <w:tcPr>
            <w:tcW w:type="dxa" w:w="3213"/>
          </w:tcPr>
          <w:p>
            <w:pPr>
              <w:spacing w:after="20" w:before="20" w:line="240" w:lineRule="auto"/>
            </w:pPr>
            <w:r/>
            <w:r>
              <w:rPr>
                <w:rFonts w:ascii="Arial" w:hAnsi="Arial" w:cs="Arial"/>
                <w:b w:val="0"/>
                <w:i w:val="0"/>
                <w:sz w:val="17"/>
              </w:rPr>
              <w:t>/v1/release/gate-out</w:t>
            </w:r>
          </w:p>
        </w:tc>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Optional gate-out milestone update webhook</w:t>
            </w:r>
          </w:p>
        </w:tc>
      </w:tr>
      <w:tr>
        <w:tc>
          <w:tcPr>
            <w:tcW w:type="dxa" w:w="3213"/>
          </w:tcPr>
          <w:p>
            <w:pPr>
              <w:spacing w:after="20" w:before="20" w:line="240" w:lineRule="auto"/>
            </w:pPr>
            <w:r/>
            <w:r>
              <w:rPr>
                <w:rFonts w:ascii="Arial" w:hAnsi="Arial" w:cs="Arial"/>
                <w:b w:val="0"/>
                <w:i w:val="0"/>
                <w:sz w:val="17"/>
              </w:rPr>
              <w:t>/v1/release/crl</w:t>
            </w:r>
          </w:p>
        </w:tc>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Certificate revocation list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Release Authorisation Query (primary endpoint). Query parameters: `ustn`; `container`; `request_id` (nonce). Authentication: mTLS (client certificate). Example request:</w:t>
      </w:r>
    </w:p>
    <w:p>
      <w:pPr>
        <w:spacing w:after="0" w:before="0" w:line="240" w:lineRule="auto"/>
        <w:ind w:left="57"/>
        <w:jc w:val="left"/>
        <w:shd w:val="clear" w:fill="F2F2F2"/>
      </w:pPr>
      <w:r>
        <w:rPr>
          <w:rFonts w:ascii="Consolas" w:hAnsi="Consolas" w:cs="Consolas"/>
          <w:b w:val="0"/>
          <w:i w:val="0"/>
          <w:sz w:val="15"/>
        </w:rPr>
        <w:t>GET /v1/release/authorization?ustn=SGTX-EG-26-F3A-1&amp;container=MEDU1234567&amp;request_id=123e4567-e89b-12d3-a456-426614174000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status codes: 200 OK with a release decision (AUTHORISED, HOLD, or ERROR payload); 401 Unauthorised when the client certificate is invalid, expired, or revoked; 429 Too Many Requests when rate limits are exceeded. Rate limits: 60 requests per minute per terminal and 30 requests per minute per IP.</w:t>
      </w:r>
    </w:p>
    <w:p>
      <w:pPr>
        <w:spacing w:after="80" w:line="293" w:lineRule="auto"/>
        <w:jc w:val="left"/>
      </w:pPr>
      <w:r>
        <w:rPr>
          <w:rFonts w:ascii="Times New Roman" w:hAnsi="Times New Roman" w:cs="Times New Roman"/>
          <w:b w:val="0"/>
          <w:i w:val="0"/>
          <w:sz w:val="22"/>
        </w:rPr>
        <w:t>Release Authorisation Webhook (optional push). The platform pushes an AUTHORISED event when a container's status changes to releasable (for example, after the Stage 1 payment is confirmed and all mandatory conditions are met). The terminal can use this to pre-prepare release orders, but must still perform a pull query at the gate to ensure the authorisation is still valid. Webhook payload: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"event": "RELEASE_READY",</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"authorisation_id": "REL-20260415-147-001",</w:t>
      </w:r>
    </w:p>
    <w:p>
      <w:pPr>
        <w:spacing w:after="0" w:before="0" w:line="240" w:lineRule="auto"/>
        <w:ind w:left="57"/>
        <w:jc w:val="left"/>
        <w:shd w:val="clear" w:fill="F2F2F2"/>
      </w:pPr>
      <w:r>
        <w:rPr>
          <w:rFonts w:ascii="Consolas" w:hAnsi="Consolas" w:cs="Consolas"/>
          <w:b w:val="0"/>
          <w:i w:val="0"/>
          <w:sz w:val="15"/>
        </w:rPr>
        <w:t xml:space="preserve">    "valid_until": "2026-04-16T14:31:00Z",</w:t>
      </w:r>
    </w:p>
    <w:p>
      <w:pPr>
        <w:spacing w:after="0" w:before="0" w:line="240" w:lineRule="auto"/>
        <w:ind w:left="57"/>
        <w:jc w:val="left"/>
        <w:shd w:val="clear" w:fill="F2F2F2"/>
      </w:pPr>
      <w:r>
        <w:rPr>
          <w:rFonts w:ascii="Consolas" w:hAnsi="Consolas" w:cs="Consolas"/>
          <w:b w:val="0"/>
          <w:i w:val="0"/>
          <w:sz w:val="15"/>
        </w:rPr>
        <w:t xml:space="preserve">    "timestamp": "2026-04-15T14:31:00Z"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Webhook delivery: the terminal must respond with 200 OK within 5 seconds. SGTX retries up to 3 times (exponential backoff: 1s, 2s, 4s). If all retries fail, an alert is sent to the Platform Governance Authority.</w:t>
      </w:r>
    </w:p>
    <w:p>
      <w:pPr>
        <w:spacing w:after="80" w:line="293" w:lineRule="auto"/>
        <w:jc w:val="left"/>
      </w:pPr>
      <w:r>
        <w:rPr>
          <w:rFonts w:ascii="Times New Roman" w:hAnsi="Times New Roman" w:cs="Times New Roman"/>
          <w:b w:val="0"/>
          <w:i w:val="0"/>
          <w:sz w:val="22"/>
        </w:rPr>
        <w:t>Gate-out webhook (optional). After the container is gated out, the terminal can send a gate-out event, which updates the shipment milestone to GATED_OUT:</w:t>
      </w:r>
    </w:p>
    <w:p>
      <w:pPr>
        <w:spacing w:after="0" w:before="0" w:line="240" w:lineRule="auto"/>
        <w:ind w:left="57"/>
        <w:jc w:val="left"/>
        <w:shd w:val="clear" w:fill="F2F2F2"/>
      </w:pPr>
      <w:r>
        <w:rPr>
          <w:rFonts w:ascii="Consolas" w:hAnsi="Consolas" w:cs="Consolas"/>
          <w:b w:val="0"/>
          <w:i w:val="0"/>
          <w:sz w:val="15"/>
        </w:rPr>
        <w:t>POST /v1/release/gate-out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"authorisation_id": "REL-20260415-147-001",</w:t>
      </w:r>
    </w:p>
    <w:p>
      <w:pPr>
        <w:spacing w:after="0" w:before="0" w:line="240" w:lineRule="auto"/>
        <w:ind w:left="57"/>
        <w:jc w:val="left"/>
        <w:shd w:val="clear" w:fill="F2F2F2"/>
      </w:pPr>
      <w:r>
        <w:rPr>
          <w:rFonts w:ascii="Consolas" w:hAnsi="Consolas" w:cs="Consolas"/>
          <w:b w:val="0"/>
          <w:i w:val="0"/>
          <w:sz w:val="15"/>
        </w:rPr>
        <w:t xml:space="preserve">    "gate_out_time": "2026-04-15T14:45:00Z",</w:t>
      </w:r>
    </w:p>
    <w:p>
      <w:pPr>
        <w:spacing w:after="0" w:before="0" w:line="240" w:lineRule="auto"/>
        <w:ind w:left="57"/>
        <w:jc w:val="left"/>
        <w:shd w:val="clear" w:fill="F2F2F2"/>
      </w:pPr>
      <w:r>
        <w:rPr>
          <w:rFonts w:ascii="Consolas" w:hAnsi="Consolas" w:cs="Consolas"/>
          <w:b w:val="0"/>
          <w:i w:val="0"/>
          <w:sz w:val="15"/>
        </w:rPr>
        <w:t xml:space="preserve">    "operator_id": "GATE4-OP-042"</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12.6.5 Authentication &amp; Security</w:t>
      </w:r>
    </w:p>
    <w:p>
      <w:pPr>
        <w:spacing w:after="80" w:line="293" w:lineRule="auto"/>
        <w:jc w:val="left"/>
      </w:pPr>
      <w:r>
        <w:rPr>
          <w:rFonts w:ascii="Times New Roman" w:hAnsi="Times New Roman" w:cs="Times New Roman"/>
          <w:b w:val="0"/>
          <w:i w:val="0"/>
          <w:sz w:val="22"/>
        </w:rPr>
        <w:t>Mutual TLS (mTLS). Every terminal and carrier that wishes to query the release API must first register with SGTX. During registration, they generate a Certificate Signing Request (CSR) and submit it to SGTX. SGTX's internal Certificate Authority issues a client certificate bound to that specific organisation. Certificate fields include organisation identity and terminal/carrier binding. mTLS handshake: the server (SGTX) presents its certificate → the client validates; the client (terminal) presents its certificate → SGTX validates that the certificate is still valid (not expired, not revoked), was issued by SGTX, and that the organisation has an active status (not suspended). If mTLS fails, the request is rejected before any business logic is executed.</w:t>
      </w:r>
    </w:p>
    <w:p>
      <w:pPr>
        <w:spacing w:after="80" w:line="293" w:lineRule="auto"/>
        <w:jc w:val="left"/>
      </w:pPr>
      <w:r>
        <w:rPr>
          <w:rFonts w:ascii="Times New Roman" w:hAnsi="Times New Roman" w:cs="Times New Roman"/>
          <w:b w:val="0"/>
          <w:i w:val="0"/>
          <w:sz w:val="22"/>
        </w:rPr>
        <w:t>Digital signature on response. Even with mTLS, a terminal needs to prove to auditors that the release authorisation came from SGTX and was not tampered with. Every AUTHORISED response includes a `digital_signature` field: a detached PKCS#7 CMS (Cryptographic Message Syntax) signature (base64-encoded) over the response JSON (with the `digital_signature` field removed and nulled), using SGTX's Egypt Trust qualified signing certificate stored in a Hardware Security Module (HSM).</w:t>
      </w:r>
    </w:p>
    <w:p>
      <w:pPr>
        <w:spacing w:after="80" w:line="293" w:lineRule="auto"/>
        <w:jc w:val="left"/>
      </w:pPr>
      <w:r>
        <w:rPr>
          <w:rFonts w:ascii="Times New Roman" w:hAnsi="Times New Roman" w:cs="Times New Roman"/>
          <w:b w:val="0"/>
          <w:i w:val="0"/>
          <w:sz w:val="22"/>
        </w:rPr>
        <w:t>Signature verification process (performed by the terminal's gate system):</w:t>
      </w:r>
    </w:p>
    <w:p>
      <w:pPr>
        <w:spacing w:after="80" w:line="293" w:lineRule="auto"/>
        <w:jc w:val="left"/>
      </w:pPr>
      <w:r>
        <w:rPr>
          <w:rFonts w:ascii="Times New Roman" w:hAnsi="Times New Roman" w:cs="Times New Roman"/>
          <w:b w:val="0"/>
          <w:i w:val="0"/>
          <w:sz w:val="22"/>
        </w:rPr>
        <w:t>1. Remove the `digital_signature` field from the JSON. 2. Canonicalise the JSON (RFC 8785 JCS — JSON Canonicalisation Scheme). 3. Verify the CMS signature using SGTX's public certificate (obtained from Egypt Trust and also distributed out-of-band; terminals can also fetch the public key via the well-known URL published in the integration documentation). 4. Check that the signing certificate is valid and not revoked (OCSP/CRL).</w:t>
      </w:r>
    </w:p>
    <w:p>
      <w:pPr>
        <w:spacing w:after="80" w:line="293" w:lineRule="auto"/>
        <w:jc w:val="left"/>
      </w:pPr>
      <w:r>
        <w:rPr>
          <w:rFonts w:ascii="Times New Roman" w:hAnsi="Times New Roman" w:cs="Times New Roman"/>
          <w:b w:val="0"/>
          <w:i w:val="0"/>
          <w:sz w:val="22"/>
        </w:rPr>
        <w:t>If verification fails, the terminal must reject the release and alert SGTX immediately. Terminal-side verification example (OpenSSL):</w:t>
      </w:r>
    </w:p>
    <w:p>
      <w:pPr>
        <w:spacing w:after="0" w:before="0" w:line="240" w:lineRule="auto"/>
        <w:ind w:left="57"/>
        <w:jc w:val="left"/>
        <w:shd w:val="clear" w:fill="F2F2F2"/>
      </w:pPr>
      <w:r>
        <w:rPr>
          <w:rFonts w:ascii="Consolas" w:hAnsi="Consolas" w:cs="Consolas"/>
          <w:b w:val="0"/>
          <w:i w:val="0"/>
          <w:sz w:val="15"/>
        </w:rPr>
        <w:t># Save response to response.json (without digital_signature field)</w:t>
      </w:r>
    </w:p>
    <w:p>
      <w:pPr>
        <w:spacing w:after="0" w:before="0" w:line="240" w:lineRule="auto"/>
        <w:ind w:left="57"/>
        <w:jc w:val="left"/>
        <w:shd w:val="clear" w:fill="F2F2F2"/>
      </w:pPr>
      <w:r>
        <w:rPr>
          <w:rFonts w:ascii="Consolas" w:hAnsi="Consolas" w:cs="Consolas"/>
          <w:b w:val="0"/>
          <w:i w:val="0"/>
          <w:sz w:val="15"/>
        </w:rPr>
        <w:t># Extract signature to sig.b64</w:t>
      </w:r>
    </w:p>
    <w:p>
      <w:pPr>
        <w:spacing w:after="0" w:before="0" w:line="240" w:lineRule="auto"/>
        <w:ind w:left="57"/>
        <w:jc w:val="left"/>
        <w:shd w:val="clear" w:fill="F2F2F2"/>
      </w:pPr>
      <w:r>
        <w:rPr>
          <w:rFonts w:ascii="Consolas" w:hAnsi="Consolas" w:cs="Consolas"/>
          <w:b w:val="0"/>
          <w:i w:val="0"/>
          <w:sz w:val="15"/>
        </w:rPr>
        <w:t># Verify</w:t>
      </w:r>
    </w:p>
    <w:p>
      <w:pPr>
        <w:spacing w:after="0" w:before="0" w:line="240" w:lineRule="auto"/>
        <w:ind w:left="57"/>
        <w:jc w:val="left"/>
        <w:shd w:val="clear" w:fill="F2F2F2"/>
      </w:pPr>
      <w:r>
        <w:rPr>
          <w:rFonts w:ascii="Consolas" w:hAnsi="Consolas" w:cs="Consolas"/>
          <w:b w:val="0"/>
          <w:i w:val="0"/>
          <w:sz w:val="15"/>
        </w:rPr>
        <w:t>openssl cms -verify -in response.json -signer sig.b64 -CAfile sgtx-ca.pem -out /dev/null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Certificate Revocation List (CRL). Endpoint: GET /v1/release/crl. SGTX maintains a CRL. Terminals check this list periodically (for example, daily) and reject any certificate that appears on it: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"crl_version": 42,</w:t>
      </w:r>
    </w:p>
    <w:p>
      <w:pPr>
        <w:spacing w:after="0" w:before="0" w:line="240" w:lineRule="auto"/>
        <w:ind w:left="57"/>
        <w:jc w:val="left"/>
        <w:shd w:val="clear" w:fill="F2F2F2"/>
      </w:pPr>
      <w:r>
        <w:rPr>
          <w:rFonts w:ascii="Consolas" w:hAnsi="Consolas" w:cs="Consolas"/>
          <w:b w:val="0"/>
          <w:i w:val="0"/>
          <w:sz w:val="15"/>
        </w:rPr>
        <w:t xml:space="preserve">    "issued_at": "2026-06-01T00:00:00Z",</w:t>
      </w:r>
    </w:p>
    <w:p>
      <w:pPr>
        <w:spacing w:after="0" w:before="0" w:line="240" w:lineRule="auto"/>
        <w:ind w:left="57"/>
        <w:jc w:val="left"/>
        <w:shd w:val="clear" w:fill="F2F2F2"/>
      </w:pPr>
      <w:r>
        <w:rPr>
          <w:rFonts w:ascii="Consolas" w:hAnsi="Consolas" w:cs="Consolas"/>
          <w:b w:val="0"/>
          <w:i w:val="0"/>
          <w:sz w:val="15"/>
        </w:rPr>
        <w:t xml:space="preserve">    "revoked_certificates": [</w:t>
      </w:r>
    </w:p>
    <w:p>
      <w:pPr>
        <w:spacing w:after="0" w:before="0" w:line="240" w:lineRule="auto"/>
        <w:ind w:left="57"/>
        <w:jc w:val="left"/>
        <w:shd w:val="clear" w:fill="F2F2F2"/>
      </w:pPr>
      <w:r>
        <w:rPr>
          <w:rFonts w:ascii="Consolas" w:hAnsi="Consolas" w:cs="Consolas"/>
          <w:b w:val="0"/>
          <w:i w:val="0"/>
          <w:sz w:val="15"/>
        </w:rPr>
        <w:t xml:space="preserve">        { "serial": "1234567890", "revoked_at": "2026-05-15T10:00:00Z", "reason": "COMPROMISED" },</w:t>
      </w:r>
    </w:p>
    <w:p>
      <w:pPr>
        <w:spacing w:after="0" w:before="0" w:line="240" w:lineRule="auto"/>
        <w:ind w:left="57"/>
        <w:jc w:val="left"/>
        <w:shd w:val="clear" w:fill="F2F2F2"/>
      </w:pPr>
      <w:r>
        <w:rPr>
          <w:rFonts w:ascii="Consolas" w:hAnsi="Consolas" w:cs="Consolas"/>
          <w:b w:val="0"/>
          <w:i w:val="0"/>
          <w:sz w:val="15"/>
        </w:rPr>
        <w:t xml:space="preserve">        { "serial": "1234567891", "revoked_at": "2026-05-20T14:30:00Z", "reason": "SUSPENDED"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"signature": "base64..."</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12.6.6 Response Structures</w:t>
      </w:r>
    </w:p>
    <w:p>
      <w:pPr>
        <w:spacing w:after="80" w:line="293" w:lineRule="auto"/>
        <w:jc w:val="left"/>
      </w:pPr>
      <w:r>
        <w:rPr>
          <w:rFonts w:ascii="Times New Roman" w:hAnsi="Times New Roman" w:cs="Times New Roman"/>
          <w:b w:val="0"/>
          <w:i w:val="0"/>
          <w:sz w:val="22"/>
        </w:rPr>
        <w:t>Full authorisation — export example (all MANDATORY settled, CREDIT freight outstanding):</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"AUTHORISED",</w:t>
      </w:r>
    </w:p>
    <w:p>
      <w:pPr>
        <w:spacing w:after="0" w:before="0" w:line="240" w:lineRule="auto"/>
        <w:ind w:left="57"/>
        <w:jc w:val="left"/>
        <w:shd w:val="clear" w:fill="F2F2F2"/>
      </w:pPr>
      <w:r>
        <w:rPr>
          <w:rFonts w:ascii="Consolas" w:hAnsi="Consolas" w:cs="Consolas"/>
          <w:b w:val="0"/>
          <w:i w:val="0"/>
          <w:sz w:val="15"/>
        </w:rPr>
        <w:t xml:space="preserve">    "authorisation_id": "REL-20260415-147-001",</w:t>
      </w:r>
    </w:p>
    <w:p>
      <w:pPr>
        <w:spacing w:after="0" w:before="0" w:line="240" w:lineRule="auto"/>
        <w:ind w:left="57"/>
        <w:jc w:val="left"/>
        <w:shd w:val="clear" w:fill="F2F2F2"/>
      </w:pPr>
      <w:r>
        <w:rPr>
          <w:rFonts w:ascii="Consolas" w:hAnsi="Consolas" w:cs="Consolas"/>
          <w:b w:val="0"/>
          <w:i w:val="0"/>
          <w:sz w:val="15"/>
        </w:rPr>
        <w:t xml:space="preserve">    "issued_at": "2026-04-15T14:31:00Z",</w:t>
      </w:r>
    </w:p>
    <w:p>
      <w:pPr>
        <w:spacing w:after="0" w:before="0" w:line="240" w:lineRule="auto"/>
        <w:ind w:left="57"/>
        <w:jc w:val="left"/>
        <w:shd w:val="clear" w:fill="F2F2F2"/>
      </w:pPr>
      <w:r>
        <w:rPr>
          <w:rFonts w:ascii="Consolas" w:hAnsi="Consolas" w:cs="Consolas"/>
          <w:b w:val="0"/>
          <w:i w:val="0"/>
          <w:sz w:val="15"/>
        </w:rPr>
        <w:t xml:space="preserve">    "valid_until": "2026-04-16T14:31:00Z",</w:t>
      </w:r>
    </w:p>
    <w:p>
      <w:pPr>
        <w:spacing w:after="0" w:before="0" w:line="240" w:lineRule="auto"/>
        <w:ind w:left="57"/>
        <w:jc w:val="left"/>
        <w:shd w:val="clear" w:fill="F2F2F2"/>
      </w:pPr>
      <w:r>
        <w:rPr>
          <w:rFonts w:ascii="Consolas" w:hAnsi="Consolas" w:cs="Consolas"/>
          <w:b w:val="0"/>
          <w:i w:val="0"/>
          <w:sz w:val="15"/>
        </w:rPr>
        <w:t xml:space="preserve">    "mandatory_summary": {</w:t>
      </w:r>
    </w:p>
    <w:p>
      <w:pPr>
        <w:spacing w:after="0" w:before="0" w:line="240" w:lineRule="auto"/>
        <w:ind w:left="57"/>
        <w:jc w:val="left"/>
        <w:shd w:val="clear" w:fill="F2F2F2"/>
      </w:pPr>
      <w:r>
        <w:rPr>
          <w:rFonts w:ascii="Consolas" w:hAnsi="Consolas" w:cs="Consolas"/>
          <w:b w:val="0"/>
          <w:i w:val="0"/>
          <w:sz w:val="15"/>
        </w:rPr>
        <w:t xml:space="preserve">        "total_usd": 2845.00,</w:t>
      </w:r>
    </w:p>
    <w:p>
      <w:pPr>
        <w:spacing w:after="0" w:before="0" w:line="240" w:lineRule="auto"/>
        <w:ind w:left="57"/>
        <w:jc w:val="left"/>
        <w:shd w:val="clear" w:fill="F2F2F2"/>
      </w:pPr>
      <w:r>
        <w:rPr>
          <w:rFonts w:ascii="Consolas" w:hAnsi="Consolas" w:cs="Consolas"/>
          <w:b w:val="0"/>
          <w:i w:val="0"/>
          <w:sz w:val="15"/>
        </w:rPr>
        <w:t xml:space="preserve">        "total_egp": 0.00,</w:t>
      </w:r>
    </w:p>
    <w:p>
      <w:pPr>
        <w:spacing w:after="0" w:before="0" w:line="240" w:lineRule="auto"/>
        <w:ind w:left="57"/>
        <w:jc w:val="left"/>
        <w:shd w:val="clear" w:fill="F2F2F2"/>
      </w:pPr>
      <w:r>
        <w:rPr>
          <w:rFonts w:ascii="Consolas" w:hAnsi="Consolas" w:cs="Consolas"/>
          <w:b w:val="0"/>
          <w:i w:val="0"/>
          <w:sz w:val="15"/>
        </w:rPr>
        <w:t xml:space="preserve">        "settled_usd": 2845.00,</w:t>
      </w:r>
    </w:p>
    <w:p>
      <w:pPr>
        <w:spacing w:after="0" w:before="0" w:line="240" w:lineRule="auto"/>
        <w:ind w:left="57"/>
        <w:jc w:val="left"/>
        <w:shd w:val="clear" w:fill="F2F2F2"/>
      </w:pPr>
      <w:r>
        <w:rPr>
          <w:rFonts w:ascii="Consolas" w:hAnsi="Consolas" w:cs="Consolas"/>
          <w:b w:val="0"/>
          <w:i w:val="0"/>
          <w:sz w:val="15"/>
        </w:rPr>
        <w:t xml:space="preserve">        "settled_egp": 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"credit_summary": {</w:t>
      </w:r>
    </w:p>
    <w:p>
      <w:pPr>
        <w:spacing w:after="0" w:before="0" w:line="240" w:lineRule="auto"/>
        <w:ind w:left="57"/>
        <w:jc w:val="left"/>
        <w:shd w:val="clear" w:fill="F2F2F2"/>
      </w:pPr>
      <w:r>
        <w:rPr>
          <w:rFonts w:ascii="Consolas" w:hAnsi="Consolas" w:cs="Consolas"/>
          <w:b w:val="0"/>
          <w:i w:val="0"/>
          <w:sz w:val="15"/>
        </w:rPr>
        <w:t xml:space="preserve">        "total_outstanding_usd": 4200.00,</w:t>
      </w:r>
    </w:p>
    <w:p>
      <w:pPr>
        <w:spacing w:after="0" w:before="0" w:line="240" w:lineRule="auto"/>
        <w:ind w:left="57"/>
        <w:jc w:val="left"/>
        <w:shd w:val="clear" w:fill="F2F2F2"/>
      </w:pPr>
      <w:r>
        <w:rPr>
          <w:rFonts w:ascii="Consolas" w:hAnsi="Consolas" w:cs="Consolas"/>
          <w:b w:val="0"/>
          <w:i w:val="0"/>
          <w:sz w:val="15"/>
        </w:rPr>
        <w:t xml:space="preserve">        "overdue": false,</w:t>
      </w:r>
    </w:p>
    <w:p>
      <w:pPr>
        <w:spacing w:after="0" w:before="0" w:line="240" w:lineRule="auto"/>
        <w:ind w:left="57"/>
        <w:jc w:val="left"/>
        <w:shd w:val="clear" w:fill="F2F2F2"/>
      </w:pPr>
      <w:r>
        <w:rPr>
          <w:rFonts w:ascii="Consolas" w:hAnsi="Consolas" w:cs="Consolas"/>
          <w:b w:val="0"/>
          <w:i w:val="0"/>
          <w:sz w:val="15"/>
        </w:rPr>
        <w:t xml:space="preserve">        "next_due_date": "2026-05-15"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"dispute_status": "NONE",</w:t>
      </w:r>
    </w:p>
    <w:p>
      <w:pPr>
        <w:spacing w:after="0" w:before="0" w:line="240" w:lineRule="auto"/>
        <w:ind w:left="57"/>
        <w:jc w:val="left"/>
        <w:shd w:val="clear" w:fill="F2F2F2"/>
      </w:pPr>
      <w:r>
        <w:rPr>
          <w:rFonts w:ascii="Consolas" w:hAnsi="Consolas" w:cs="Consolas"/>
          <w:b w:val="0"/>
          <w:i w:val="0"/>
          <w:sz w:val="15"/>
        </w:rPr>
        <w:t xml:space="preserve">    "digital_signature": "MIAGCSqGSIb3DQEHAqCAMIACAQExDzANBglghkgBZQMEAgEFADCABgkqhkiG9w0BBwEAAKCAMIIB..."</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fields: `release_status` (AUTHORISED or HOLD); `authorisation_id` (unique, logged at the gate); `valid_until` (24h default window); `mandatory_summary` (mandatory fees total vs settled, USD and EGP); `credit_summary` (outstanding credit-terms freight, overdue flag, next due date); `dispute_status`; `digital_signature`.</w:t>
      </w:r>
    </w:p>
    <w:p>
      <w:pPr>
        <w:spacing w:after="80" w:line="293" w:lineRule="auto"/>
        <w:jc w:val="left"/>
      </w:pPr>
      <w:r>
        <w:rPr>
          <w:rFonts w:ascii="Times New Roman" w:hAnsi="Times New Roman" w:cs="Times New Roman"/>
          <w:b w:val="0"/>
          <w:i w:val="0"/>
          <w:sz w:val="22"/>
        </w:rPr>
        <w:t>Hold — mandatory payment pending. The terminal must refuse gate-out. The exporter can see exactly what needs to be paid to release the container (via the Decision Panel in the portal):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"HOLD",</w:t>
      </w:r>
    </w:p>
    <w:p>
      <w:pPr>
        <w:spacing w:after="0" w:before="0" w:line="240" w:lineRule="auto"/>
        <w:ind w:left="57"/>
        <w:jc w:val="left"/>
        <w:shd w:val="clear" w:fill="F2F2F2"/>
      </w:pPr>
      <w:r>
        <w:rPr>
          <w:rFonts w:ascii="Consolas" w:hAnsi="Consolas" w:cs="Consolas"/>
          <w:b w:val="0"/>
          <w:i w:val="0"/>
          <w:sz w:val="15"/>
        </w:rPr>
        <w:t xml:space="preserve">    "hold_reason": "MANDATORY_PAYMENT_PENDING",</w:t>
      </w:r>
    </w:p>
    <w:p>
      <w:pPr>
        <w:spacing w:after="0" w:before="0" w:line="240" w:lineRule="auto"/>
        <w:ind w:left="57"/>
        <w:jc w:val="left"/>
        <w:shd w:val="clear" w:fill="F2F2F2"/>
      </w:pPr>
      <w:r>
        <w:rPr>
          <w:rFonts w:ascii="Consolas" w:hAnsi="Consolas" w:cs="Consolas"/>
          <w:b w:val="0"/>
          <w:i w:val="0"/>
          <w:sz w:val="15"/>
        </w:rPr>
        <w:t xml:space="preserve">    "hold_reason_explanation": "Two mandatory invoices are unpaid: Egyptian Customs ($200) and SGS Lab ($200). Please pay these invoices before requesting release.",</w:t>
      </w:r>
    </w:p>
    <w:p>
      <w:pPr>
        <w:spacing w:after="0" w:before="0" w:line="240" w:lineRule="auto"/>
        <w:ind w:left="57"/>
        <w:jc w:val="left"/>
        <w:shd w:val="clear" w:fill="F2F2F2"/>
      </w:pPr>
      <w:r>
        <w:rPr>
          <w:rFonts w:ascii="Consolas" w:hAnsi="Consolas" w:cs="Consolas"/>
          <w:b w:val="0"/>
          <w:i w:val="0"/>
          <w:sz w:val="15"/>
        </w:rPr>
        <w:t xml:space="preserve">    "unpaid_mandatory_invoices": [</w:t>
      </w:r>
    </w:p>
    <w:p>
      <w:pPr>
        <w:spacing w:after="0" w:before="0" w:line="240" w:lineRule="auto"/>
        <w:ind w:left="57"/>
        <w:jc w:val="left"/>
        <w:shd w:val="clear" w:fill="F2F2F2"/>
      </w:pPr>
      <w:r>
        <w:rPr>
          <w:rFonts w:ascii="Consolas" w:hAnsi="Consolas" w:cs="Consolas"/>
          <w:b w:val="0"/>
          <w:i w:val="0"/>
          <w:sz w:val="15"/>
        </w:rPr>
        <w:t xml:space="preserve">        { "payee": "Egyptian Customs", "invoice_id": "CUST-20260415-001", "amount": 200.00, "currency": "USD" },</w:t>
      </w:r>
    </w:p>
    <w:p>
      <w:pPr>
        <w:spacing w:after="0" w:before="0" w:line="240" w:lineRule="auto"/>
        <w:ind w:left="57"/>
        <w:jc w:val="left"/>
        <w:shd w:val="clear" w:fill="F2F2F2"/>
      </w:pPr>
      <w:r>
        <w:rPr>
          <w:rFonts w:ascii="Consolas" w:hAnsi="Consolas" w:cs="Consolas"/>
          <w:b w:val="0"/>
          <w:i w:val="0"/>
          <w:sz w:val="15"/>
        </w:rPr>
        <w:t xml:space="preserve">        { "payee": "SGS Lab", "invoice_id": "LAB-001", "amount": 200.00, "currency": "USD"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"dispute_status": "NONE"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Hold — dispute raised. Even if all payments are settled, a dispute blocks release until resolved: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"HOLD",</w:t>
      </w:r>
    </w:p>
    <w:p>
      <w:pPr>
        <w:spacing w:after="0" w:before="0" w:line="240" w:lineRule="auto"/>
        <w:ind w:left="57"/>
        <w:jc w:val="left"/>
        <w:shd w:val="clear" w:fill="F2F2F2"/>
      </w:pPr>
      <w:r>
        <w:rPr>
          <w:rFonts w:ascii="Consolas" w:hAnsi="Consolas" w:cs="Consolas"/>
          <w:b w:val="0"/>
          <w:i w:val="0"/>
          <w:sz w:val="15"/>
        </w:rPr>
        <w:t xml:space="preserve">    "hold_reason": "DISPUTE_RAISED",</w:t>
      </w:r>
    </w:p>
    <w:p>
      <w:pPr>
        <w:spacing w:after="0" w:before="0" w:line="240" w:lineRule="auto"/>
        <w:ind w:left="57"/>
        <w:jc w:val="left"/>
        <w:shd w:val="clear" w:fill="F2F2F2"/>
      </w:pPr>
      <w:r>
        <w:rPr>
          <w:rFonts w:ascii="Consolas" w:hAnsi="Consolas" w:cs="Consolas"/>
          <w:b w:val="0"/>
          <w:i w:val="0"/>
          <w:sz w:val="15"/>
        </w:rPr>
        <w:t xml:space="preserve">    "hold_reason_explanation": "A dispute (DSP-20260415-001) has been filed for this shipment. Release is frozen pending resolution. Please resolve the dispute through the SGTX mediation process.",</w:t>
      </w:r>
    </w:p>
    <w:p>
      <w:pPr>
        <w:spacing w:after="0" w:before="0" w:line="240" w:lineRule="auto"/>
        <w:ind w:left="57"/>
        <w:jc w:val="left"/>
        <w:shd w:val="clear" w:fill="F2F2F2"/>
      </w:pPr>
      <w:r>
        <w:rPr>
          <w:rFonts w:ascii="Consolas" w:hAnsi="Consolas" w:cs="Consolas"/>
          <w:b w:val="0"/>
          <w:i w:val="0"/>
          <w:sz w:val="15"/>
        </w:rPr>
        <w:t xml:space="preserve">    "dispute_id": "DSP-20260415-001",</w:t>
      </w:r>
    </w:p>
    <w:p>
      <w:pPr>
        <w:spacing w:after="0" w:before="0" w:line="240" w:lineRule="auto"/>
        <w:ind w:left="57"/>
        <w:jc w:val="left"/>
        <w:shd w:val="clear" w:fill="F2F2F2"/>
      </w:pPr>
      <w:r>
        <w:rPr>
          <w:rFonts w:ascii="Consolas" w:hAnsi="Consolas" w:cs="Consolas"/>
          <w:b w:val="0"/>
          <w:i w:val="0"/>
          <w:sz w:val="15"/>
        </w:rPr>
        <w:t xml:space="preserve">    "dispute_category": "QUALITY",</w:t>
      </w:r>
    </w:p>
    <w:p>
      <w:pPr>
        <w:spacing w:after="0" w:before="0" w:line="240" w:lineRule="auto"/>
        <w:ind w:left="57"/>
        <w:jc w:val="left"/>
        <w:shd w:val="clear" w:fill="F2F2F2"/>
      </w:pPr>
      <w:r>
        <w:rPr>
          <w:rFonts w:ascii="Consolas" w:hAnsi="Consolas" w:cs="Consolas"/>
          <w:b w:val="0"/>
          <w:i w:val="0"/>
          <w:sz w:val="15"/>
        </w:rPr>
        <w:t xml:space="preserve">    "unpaid_mandatory_invoices":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Hold — conditional QC hold: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"HOLD",</w:t>
      </w:r>
    </w:p>
    <w:p>
      <w:pPr>
        <w:spacing w:after="0" w:before="0" w:line="240" w:lineRule="auto"/>
        <w:ind w:left="57"/>
        <w:jc w:val="left"/>
        <w:shd w:val="clear" w:fill="F2F2F2"/>
      </w:pPr>
      <w:r>
        <w:rPr>
          <w:rFonts w:ascii="Consolas" w:hAnsi="Consolas" w:cs="Consolas"/>
          <w:b w:val="0"/>
          <w:i w:val="0"/>
          <w:sz w:val="15"/>
        </w:rPr>
        <w:t xml:space="preserve">    "hold_reason": "CONDITIONAL_QC_HOLD",</w:t>
      </w:r>
    </w:p>
    <w:p>
      <w:pPr>
        <w:spacing w:after="0" w:before="0" w:line="240" w:lineRule="auto"/>
        <w:ind w:left="57"/>
        <w:jc w:val="left"/>
        <w:shd w:val="clear" w:fill="F2F2F2"/>
      </w:pPr>
      <w:r>
        <w:rPr>
          <w:rFonts w:ascii="Consolas" w:hAnsi="Consolas" w:cs="Consolas"/>
          <w:b w:val="0"/>
          <w:i w:val="0"/>
          <w:sz w:val="15"/>
        </w:rPr>
        <w:t xml:space="preserve">    "hold_reason_explanation": "A conditional QC hold is active. Action plan: 'Replace 3 mould-affected cartons on pallet OR019 within 24h.' Deadline: 2026-04-16T12:00:00Z. Please complete the action plan before requesting release.",</w:t>
      </w:r>
    </w:p>
    <w:p>
      <w:pPr>
        <w:spacing w:after="0" w:before="0" w:line="240" w:lineRule="auto"/>
        <w:ind w:left="57"/>
        <w:jc w:val="left"/>
        <w:shd w:val="clear" w:fill="F2F2F2"/>
      </w:pPr>
      <w:r>
        <w:rPr>
          <w:rFonts w:ascii="Consolas" w:hAnsi="Consolas" w:cs="Consolas"/>
          <w:b w:val="0"/>
          <w:i w:val="0"/>
          <w:sz w:val="15"/>
        </w:rPr>
        <w:t xml:space="preserve">    "action_plan": "Replace 3 mould-affected cartons on pallet OR019 within 24h.",</w:t>
      </w:r>
    </w:p>
    <w:p>
      <w:pPr>
        <w:spacing w:after="0" w:before="0" w:line="240" w:lineRule="auto"/>
        <w:ind w:left="57"/>
        <w:jc w:val="left"/>
        <w:shd w:val="clear" w:fill="F2F2F2"/>
      </w:pPr>
      <w:r>
        <w:rPr>
          <w:rFonts w:ascii="Consolas" w:hAnsi="Consolas" w:cs="Consolas"/>
          <w:b w:val="0"/>
          <w:i w:val="0"/>
          <w:sz w:val="15"/>
        </w:rPr>
        <w:t xml:space="preserve">    "action_plan_deadline": "2026-04-16T12:00:00Z",</w:t>
      </w:r>
    </w:p>
    <w:p>
      <w:pPr>
        <w:spacing w:after="0" w:before="0" w:line="240" w:lineRule="auto"/>
        <w:ind w:left="57"/>
        <w:jc w:val="left"/>
        <w:shd w:val="clear" w:fill="F2F2F2"/>
      </w:pPr>
      <w:r>
        <w:rPr>
          <w:rFonts w:ascii="Consolas" w:hAnsi="Consolas" w:cs="Consolas"/>
          <w:b w:val="0"/>
          <w:i w:val="0"/>
          <w:sz w:val="15"/>
        </w:rPr>
        <w:t xml:space="preserve">    "unpaid_mandatory_invoices":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Hold — deferred payment guarantee expired: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"HOLD",</w:t>
      </w:r>
    </w:p>
    <w:p>
      <w:pPr>
        <w:spacing w:after="0" w:before="0" w:line="240" w:lineRule="auto"/>
        <w:ind w:left="57"/>
        <w:jc w:val="left"/>
        <w:shd w:val="clear" w:fill="F2F2F2"/>
      </w:pPr>
      <w:r>
        <w:rPr>
          <w:rFonts w:ascii="Consolas" w:hAnsi="Consolas" w:cs="Consolas"/>
          <w:b w:val="0"/>
          <w:i w:val="0"/>
          <w:sz w:val="15"/>
        </w:rPr>
        <w:t xml:space="preserve">    "hold_reason": "DEFERRED_PAYMENT_EXPIRED",</w:t>
      </w:r>
    </w:p>
    <w:p>
      <w:pPr>
        <w:spacing w:after="0" w:before="0" w:line="240" w:lineRule="auto"/>
        <w:ind w:left="57"/>
        <w:jc w:val="left"/>
        <w:shd w:val="clear" w:fill="F2F2F2"/>
      </w:pPr>
      <w:r>
        <w:rPr>
          <w:rFonts w:ascii="Consolas" w:hAnsi="Consolas" w:cs="Consolas"/>
          <w:b w:val="0"/>
          <w:i w:val="0"/>
          <w:sz w:val="15"/>
        </w:rPr>
        <w:t xml:space="preserve">    "hold_reason_explanation": "The deferred payment guarantee for import duties (amount: $10,000) has expired. Please pay the duties immediately or contact your customs broker.",</w:t>
      </w:r>
    </w:p>
    <w:p>
      <w:pPr>
        <w:spacing w:after="0" w:before="0" w:line="240" w:lineRule="auto"/>
        <w:ind w:left="57"/>
        <w:jc w:val="left"/>
        <w:shd w:val="clear" w:fill="F2F2F2"/>
      </w:pPr>
      <w:r>
        <w:rPr>
          <w:rFonts w:ascii="Consolas" w:hAnsi="Consolas" w:cs="Consolas"/>
          <w:b w:val="0"/>
          <w:i w:val="0"/>
          <w:sz w:val="15"/>
        </w:rPr>
        <w:t xml:space="preserve">    "deferred_amount": 10000.00,</w:t>
      </w:r>
    </w:p>
    <w:p>
      <w:pPr>
        <w:spacing w:after="0" w:before="0" w:line="240" w:lineRule="auto"/>
        <w:ind w:left="57"/>
        <w:jc w:val="left"/>
        <w:shd w:val="clear" w:fill="F2F2F2"/>
      </w:pPr>
      <w:r>
        <w:rPr>
          <w:rFonts w:ascii="Consolas" w:hAnsi="Consolas" w:cs="Consolas"/>
          <w:b w:val="0"/>
          <w:i w:val="0"/>
          <w:sz w:val="15"/>
        </w:rPr>
        <w:t xml:space="preserve">    "deferred_currency": "USD",</w:t>
      </w:r>
    </w:p>
    <w:p>
      <w:pPr>
        <w:spacing w:after="0" w:before="0" w:line="240" w:lineRule="auto"/>
        <w:ind w:left="57"/>
        <w:jc w:val="left"/>
        <w:shd w:val="clear" w:fill="F2F2F2"/>
      </w:pPr>
      <w:r>
        <w:rPr>
          <w:rFonts w:ascii="Consolas" w:hAnsi="Consolas" w:cs="Consolas"/>
          <w:b w:val="0"/>
          <w:i w:val="0"/>
          <w:sz w:val="15"/>
        </w:rPr>
        <w:t xml:space="preserve">    "expiry_date": "2026-05-15T23:59:59Z",</w:t>
      </w:r>
    </w:p>
    <w:p>
      <w:pPr>
        <w:spacing w:after="0" w:before="0" w:line="240" w:lineRule="auto"/>
        <w:ind w:left="57"/>
        <w:jc w:val="left"/>
        <w:shd w:val="clear" w:fill="F2F2F2"/>
      </w:pPr>
      <w:r>
        <w:rPr>
          <w:rFonts w:ascii="Consolas" w:hAnsi="Consolas" w:cs="Consolas"/>
          <w:b w:val="0"/>
          <w:i w:val="0"/>
          <w:sz w:val="15"/>
        </w:rPr>
        <w:t xml:space="preserve">    "unpaid_mandatory_invoices":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Error — container not found or USTN mismatch. The USTN exists, but this container is not linked to it (possible fraud or data entry error):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"ERROR",</w:t>
      </w:r>
    </w:p>
    <w:p>
      <w:pPr>
        <w:spacing w:after="0" w:before="0" w:line="240" w:lineRule="auto"/>
        <w:ind w:left="57"/>
        <w:jc w:val="left"/>
        <w:shd w:val="clear" w:fill="F2F2F2"/>
      </w:pPr>
      <w:r>
        <w:rPr>
          <w:rFonts w:ascii="Consolas" w:hAnsi="Consolas" w:cs="Consolas"/>
          <w:b w:val="0"/>
          <w:i w:val="0"/>
          <w:sz w:val="15"/>
        </w:rPr>
        <w:t xml:space="preserve">    "error_reason": "CONTAINER_NOT_FOUND_FOR_USTN",</w:t>
      </w:r>
    </w:p>
    <w:p>
      <w:pPr>
        <w:spacing w:after="0" w:before="0" w:line="240" w:lineRule="auto"/>
        <w:ind w:left="57"/>
        <w:jc w:val="left"/>
        <w:shd w:val="clear" w:fill="F2F2F2"/>
      </w:pPr>
      <w:r>
        <w:rPr>
          <w:rFonts w:ascii="Consolas" w:hAnsi="Consolas" w:cs="Consolas"/>
          <w:b w:val="0"/>
          <w:i w:val="0"/>
          <w:sz w:val="15"/>
        </w:rPr>
        <w:t xml:space="preserve">    "error_explanation": "The container MEDU1234567 is not linked to USTN SGTX-EG-26-F3A-1. Please verify the container number and USTN."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Import release — all local MANDATORY paid. The container can be released because all local obligations (duties, VAT, port charges, broker fees) are settled. The payment to the foreign exporter is tracked but does not block release: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"AUTHORISED",</w:t>
      </w:r>
    </w:p>
    <w:p>
      <w:pPr>
        <w:spacing w:after="0" w:before="0" w:line="240" w:lineRule="auto"/>
        <w:ind w:left="57"/>
        <w:jc w:val="left"/>
        <w:shd w:val="clear" w:fill="F2F2F2"/>
      </w:pPr>
      <w:r>
        <w:rPr>
          <w:rFonts w:ascii="Consolas" w:hAnsi="Consolas" w:cs="Consolas"/>
          <w:b w:val="0"/>
          <w:i w:val="0"/>
          <w:sz w:val="15"/>
        </w:rPr>
        <w:t xml:space="preserve">    "authorisation_id": "REL-20260415-147-002",</w:t>
      </w:r>
    </w:p>
    <w:p>
      <w:pPr>
        <w:spacing w:after="0" w:before="0" w:line="240" w:lineRule="auto"/>
        <w:ind w:left="57"/>
        <w:jc w:val="left"/>
        <w:shd w:val="clear" w:fill="F2F2F2"/>
      </w:pPr>
      <w:r>
        <w:rPr>
          <w:rFonts w:ascii="Consolas" w:hAnsi="Consolas" w:cs="Consolas"/>
          <w:b w:val="0"/>
          <w:i w:val="0"/>
          <w:sz w:val="15"/>
        </w:rPr>
        <w:t xml:space="preserve">    "issued_at": "2026-04-15T16:00:00Z",</w:t>
      </w:r>
    </w:p>
    <w:p>
      <w:pPr>
        <w:spacing w:after="0" w:before="0" w:line="240" w:lineRule="auto"/>
        <w:ind w:left="57"/>
        <w:jc w:val="left"/>
        <w:shd w:val="clear" w:fill="F2F2F2"/>
      </w:pPr>
      <w:r>
        <w:rPr>
          <w:rFonts w:ascii="Consolas" w:hAnsi="Consolas" w:cs="Consolas"/>
          <w:b w:val="0"/>
          <w:i w:val="0"/>
          <w:sz w:val="15"/>
        </w:rPr>
        <w:t xml:space="preserve">    "valid_until": "2026-04-16T16:00:00Z",</w:t>
      </w:r>
    </w:p>
    <w:p>
      <w:pPr>
        <w:spacing w:after="0" w:before="0" w:line="240" w:lineRule="auto"/>
        <w:ind w:left="57"/>
        <w:jc w:val="left"/>
        <w:shd w:val="clear" w:fill="F2F2F2"/>
      </w:pPr>
      <w:r>
        <w:rPr>
          <w:rFonts w:ascii="Consolas" w:hAnsi="Consolas" w:cs="Consolas"/>
          <w:b w:val="0"/>
          <w:i w:val="0"/>
          <w:sz w:val="15"/>
        </w:rPr>
        <w:t xml:space="preserve">    "mandatory_summary": {</w:t>
      </w:r>
    </w:p>
    <w:p>
      <w:pPr>
        <w:spacing w:after="0" w:before="0" w:line="240" w:lineRule="auto"/>
        <w:ind w:left="57"/>
        <w:jc w:val="left"/>
        <w:shd w:val="clear" w:fill="F2F2F2"/>
      </w:pPr>
      <w:r>
        <w:rPr>
          <w:rFonts w:ascii="Consolas" w:hAnsi="Consolas" w:cs="Consolas"/>
          <w:b w:val="0"/>
          <w:i w:val="0"/>
          <w:sz w:val="15"/>
        </w:rPr>
        <w:t xml:space="preserve">        "total_usd": 15000.00,</w:t>
      </w:r>
    </w:p>
    <w:p>
      <w:pPr>
        <w:spacing w:after="0" w:before="0" w:line="240" w:lineRule="auto"/>
        <w:ind w:left="57"/>
        <w:jc w:val="left"/>
        <w:shd w:val="clear" w:fill="F2F2F2"/>
      </w:pPr>
      <w:r>
        <w:rPr>
          <w:rFonts w:ascii="Consolas" w:hAnsi="Consolas" w:cs="Consolas"/>
          <w:b w:val="0"/>
          <w:i w:val="0"/>
          <w:sz w:val="15"/>
        </w:rPr>
        <w:t xml:space="preserve">        "settled_usd": 15000.00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"exporter_payment_status": "AWAITING_BUYER_ACTION",</w:t>
      </w:r>
    </w:p>
    <w:p>
      <w:pPr>
        <w:spacing w:after="0" w:before="0" w:line="240" w:lineRule="auto"/>
        <w:ind w:left="57"/>
        <w:jc w:val="left"/>
        <w:shd w:val="clear" w:fill="F2F2F2"/>
      </w:pPr>
      <w:r>
        <w:rPr>
          <w:rFonts w:ascii="Consolas" w:hAnsi="Consolas" w:cs="Consolas"/>
          <w:b w:val="0"/>
          <w:i w:val="0"/>
          <w:sz w:val="15"/>
        </w:rPr>
        <w:t xml:space="preserve">    "exporter_payment_deadline": "2026-05-15",</w:t>
      </w:r>
    </w:p>
    <w:p>
      <w:pPr>
        <w:spacing w:after="0" w:before="0" w:line="240" w:lineRule="auto"/>
        <w:ind w:left="57"/>
        <w:jc w:val="left"/>
        <w:shd w:val="clear" w:fill="F2F2F2"/>
      </w:pPr>
      <w:r>
        <w:rPr>
          <w:rFonts w:ascii="Consolas" w:hAnsi="Consolas" w:cs="Consolas"/>
          <w:b w:val="0"/>
          <w:i w:val="0"/>
          <w:sz w:val="15"/>
        </w:rPr>
        <w:t xml:space="preserve">    "dispute_status": "NONE",</w:t>
      </w:r>
    </w:p>
    <w:p>
      <w:pPr>
        <w:spacing w:after="0" w:before="0" w:line="240" w:lineRule="auto"/>
        <w:ind w:left="57"/>
        <w:jc w:val="left"/>
        <w:shd w:val="clear" w:fill="F2F2F2"/>
      </w:pPr>
      <w:r>
        <w:rPr>
          <w:rFonts w:ascii="Consolas" w:hAnsi="Consolas" w:cs="Consolas"/>
          <w:b w:val="0"/>
          <w:i w:val="0"/>
          <w:sz w:val="15"/>
        </w:rPr>
        <w:t xml:space="preserve">    "digital_signature":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Hold reason codes (complete list):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Code</w:t>
            </w:r>
          </w:p>
        </w:tc>
        <w:tc>
          <w:tcPr>
            <w:tcW w:type="dxa" w:w="3213"/>
            <w:shd w:val="clear" w:fill="D9E2F3"/>
          </w:tcPr>
          <w:p>
            <w:pPr>
              <w:spacing w:after="20" w:before="20" w:line="240" w:lineRule="auto"/>
            </w:pPr>
            <w:r/>
            <w:r>
              <w:rPr>
                <w:rFonts w:ascii="Arial" w:hAnsi="Arial" w:cs="Arial"/>
                <w:b/>
                <w:i w:val="0"/>
                <w:sz w:val="18"/>
              </w:rPr>
              <w:t>Condition</w:t>
            </w:r>
          </w:p>
        </w:tc>
        <w:tc>
          <w:tcPr>
            <w:tcW w:type="dxa" w:w="3213"/>
            <w:shd w:val="clear" w:fill="D9E2F3"/>
          </w:tcPr>
          <w:p>
            <w:pPr>
              <w:spacing w:after="20" w:before="20" w:line="240" w:lineRule="auto"/>
            </w:pPr>
            <w:r/>
            <w:r>
              <w:rPr>
                <w:rFonts w:ascii="Arial" w:hAnsi="Arial" w:cs="Arial"/>
                <w:b/>
                <w:i w:val="0"/>
                <w:sz w:val="18"/>
              </w:rPr>
              <w:t>Gate Behaviour</w:t>
            </w:r>
          </w:p>
        </w:tc>
      </w:tr>
      <w:tr>
        <w:tc>
          <w:tcPr>
            <w:tcW w:type="dxa" w:w="3213"/>
          </w:tcPr>
          <w:p>
            <w:pPr>
              <w:spacing w:after="20" w:before="20" w:line="240" w:lineRule="auto"/>
            </w:pPr>
            <w:r/>
            <w:r>
              <w:rPr>
                <w:rFonts w:ascii="Arial" w:hAnsi="Arial" w:cs="Arial"/>
                <w:b w:val="0"/>
                <w:i w:val="0"/>
                <w:sz w:val="17"/>
              </w:rPr>
              <w:t>MANDATORY_PAYMENT_PENDING</w:t>
            </w:r>
          </w:p>
        </w:tc>
        <w:tc>
          <w:tcPr>
            <w:tcW w:type="dxa" w:w="3213"/>
          </w:tcPr>
          <w:p>
            <w:pPr>
              <w:spacing w:after="20" w:before="20" w:line="240" w:lineRule="auto"/>
            </w:pPr>
            <w:r/>
            <w:r>
              <w:rPr>
                <w:rFonts w:ascii="Arial" w:hAnsi="Arial" w:cs="Arial"/>
                <w:b w:val="0"/>
                <w:i w:val="0"/>
                <w:sz w:val="17"/>
              </w:rPr>
              <w:t>One or more mandatory invoices unpaid</w:t>
            </w:r>
          </w:p>
        </w:tc>
        <w:tc>
          <w:tcPr>
            <w:tcW w:type="dxa" w:w="3213"/>
          </w:tcPr>
          <w:p>
            <w:pPr>
              <w:spacing w:after="20" w:before="20" w:line="240" w:lineRule="auto"/>
            </w:pPr>
            <w:r/>
            <w:r>
              <w:rPr>
                <w:rFonts w:ascii="Arial" w:hAnsi="Arial" w:cs="Arial"/>
                <w:b w:val="0"/>
                <w:i w:val="0"/>
                <w:sz w:val="17"/>
              </w:rPr>
              <w:t>Refuse gate-out; list unpaid invoices</w:t>
            </w:r>
          </w:p>
        </w:tc>
      </w:tr>
      <w:tr>
        <w:tc>
          <w:tcPr>
            <w:tcW w:type="dxa" w:w="3213"/>
          </w:tcPr>
          <w:p>
            <w:pPr>
              <w:spacing w:after="20" w:before="20" w:line="240" w:lineRule="auto"/>
            </w:pPr>
            <w:r/>
            <w:r>
              <w:rPr>
                <w:rFonts w:ascii="Arial" w:hAnsi="Arial" w:cs="Arial"/>
                <w:b w:val="0"/>
                <w:i w:val="0"/>
                <w:sz w:val="17"/>
              </w:rPr>
              <w:t>DISPUTE_RAISED</w:t>
            </w:r>
          </w:p>
        </w:tc>
        <w:tc>
          <w:tcPr>
            <w:tcW w:type="dxa" w:w="3213"/>
          </w:tcPr>
          <w:p>
            <w:pPr>
              <w:spacing w:after="20" w:before="20" w:line="240" w:lineRule="auto"/>
            </w:pPr>
            <w:r/>
            <w:r>
              <w:rPr>
                <w:rFonts w:ascii="Arial" w:hAnsi="Arial" w:cs="Arial"/>
                <w:b w:val="0"/>
                <w:i w:val="0"/>
                <w:sz w:val="17"/>
              </w:rPr>
              <w:t>Active dispute on the shipment</w:t>
            </w:r>
          </w:p>
        </w:tc>
        <w:tc>
          <w:tcPr>
            <w:tcW w:type="dxa" w:w="3213"/>
          </w:tcPr>
          <w:p>
            <w:pPr>
              <w:spacing w:after="20" w:before="20" w:line="240" w:lineRule="auto"/>
            </w:pPr>
            <w:r/>
            <w:r>
              <w:rPr>
                <w:rFonts w:ascii="Arial" w:hAnsi="Arial" w:cs="Arial"/>
                <w:b w:val="0"/>
                <w:i w:val="0"/>
                <w:sz w:val="17"/>
              </w:rPr>
              <w:t>Refuse gate-out until dispute resolved</w:t>
            </w:r>
          </w:p>
        </w:tc>
      </w:tr>
      <w:tr>
        <w:tc>
          <w:tcPr>
            <w:tcW w:type="dxa" w:w="3213"/>
          </w:tcPr>
          <w:p>
            <w:pPr>
              <w:spacing w:after="20" w:before="20" w:line="240" w:lineRule="auto"/>
            </w:pPr>
            <w:r/>
            <w:r>
              <w:rPr>
                <w:rFonts w:ascii="Arial" w:hAnsi="Arial" w:cs="Arial"/>
                <w:b w:val="0"/>
                <w:i w:val="0"/>
                <w:sz w:val="17"/>
              </w:rPr>
              <w:t>CONDITIONAL_QC_HOLD</w:t>
            </w:r>
          </w:p>
        </w:tc>
        <w:tc>
          <w:tcPr>
            <w:tcW w:type="dxa" w:w="3213"/>
          </w:tcPr>
          <w:p>
            <w:pPr>
              <w:spacing w:after="20" w:before="20" w:line="240" w:lineRule="auto"/>
            </w:pPr>
            <w:r/>
            <w:r>
              <w:rPr>
                <w:rFonts w:ascii="Arial" w:hAnsi="Arial" w:cs="Arial"/>
                <w:b w:val="0"/>
                <w:i w:val="0"/>
                <w:sz w:val="17"/>
              </w:rPr>
              <w:t>Conditional QC action plan outstanding</w:t>
            </w:r>
          </w:p>
        </w:tc>
        <w:tc>
          <w:tcPr>
            <w:tcW w:type="dxa" w:w="3213"/>
          </w:tcPr>
          <w:p>
            <w:pPr>
              <w:spacing w:after="20" w:before="20" w:line="240" w:lineRule="auto"/>
            </w:pPr>
            <w:r/>
            <w:r>
              <w:rPr>
                <w:rFonts w:ascii="Arial" w:hAnsi="Arial" w:cs="Arial"/>
                <w:b w:val="0"/>
                <w:i w:val="0"/>
                <w:sz w:val="17"/>
              </w:rPr>
              <w:t>Refuse gate-out until plan completed and verified</w:t>
            </w:r>
          </w:p>
        </w:tc>
      </w:tr>
      <w:tr>
        <w:tc>
          <w:tcPr>
            <w:tcW w:type="dxa" w:w="3213"/>
          </w:tcPr>
          <w:p>
            <w:pPr>
              <w:spacing w:after="20" w:before="20" w:line="240" w:lineRule="auto"/>
            </w:pPr>
            <w:r/>
            <w:r>
              <w:rPr>
                <w:rFonts w:ascii="Arial" w:hAnsi="Arial" w:cs="Arial"/>
                <w:b w:val="0"/>
                <w:i w:val="0"/>
                <w:sz w:val="17"/>
              </w:rPr>
              <w:t>DEFERRED_PAYMENT_EXPIRED</w:t>
            </w:r>
          </w:p>
        </w:tc>
        <w:tc>
          <w:tcPr>
            <w:tcW w:type="dxa" w:w="3213"/>
          </w:tcPr>
          <w:p>
            <w:pPr>
              <w:spacing w:after="20" w:before="20" w:line="240" w:lineRule="auto"/>
            </w:pPr>
            <w:r/>
            <w:r>
              <w:rPr>
                <w:rFonts w:ascii="Arial" w:hAnsi="Arial" w:cs="Arial"/>
                <w:b w:val="0"/>
                <w:i w:val="0"/>
                <w:sz w:val="17"/>
              </w:rPr>
              <w:t>Deferred fee guarantee past expiry</w:t>
            </w:r>
          </w:p>
        </w:tc>
        <w:tc>
          <w:tcPr>
            <w:tcW w:type="dxa" w:w="3213"/>
          </w:tcPr>
          <w:p>
            <w:pPr>
              <w:spacing w:after="20" w:before="20" w:line="240" w:lineRule="auto"/>
            </w:pPr>
            <w:r/>
            <w:r>
              <w:rPr>
                <w:rFonts w:ascii="Arial" w:hAnsi="Arial" w:cs="Arial"/>
                <w:b w:val="0"/>
                <w:i w:val="0"/>
                <w:sz w:val="17"/>
              </w:rPr>
              <w:t>Refuse gate-out until duties paid</w:t>
            </w:r>
          </w:p>
        </w:tc>
      </w:tr>
      <w:tr>
        <w:tc>
          <w:tcPr>
            <w:tcW w:type="dxa" w:w="3213"/>
          </w:tcPr>
          <w:p>
            <w:pPr>
              <w:spacing w:after="20" w:before="20" w:line="240" w:lineRule="auto"/>
            </w:pPr>
            <w:r/>
            <w:r>
              <w:rPr>
                <w:rFonts w:ascii="Arial" w:hAnsi="Arial" w:cs="Arial"/>
                <w:b w:val="0"/>
                <w:i w:val="0"/>
                <w:sz w:val="17"/>
              </w:rPr>
              <w:t>AUTHORISATION_REVOKED</w:t>
            </w:r>
          </w:p>
        </w:tc>
        <w:tc>
          <w:tcPr>
            <w:tcW w:type="dxa" w:w="3213"/>
          </w:tcPr>
          <w:p>
            <w:pPr>
              <w:spacing w:after="20" w:before="20" w:line="240" w:lineRule="auto"/>
            </w:pPr>
            <w:r/>
            <w:r>
              <w:rPr>
                <w:rFonts w:ascii="Arial" w:hAnsi="Arial" w:cs="Arial"/>
                <w:b w:val="0"/>
                <w:i w:val="0"/>
                <w:sz w:val="17"/>
              </w:rPr>
              <w:t>Previously issued authorisation revoked</w:t>
            </w:r>
          </w:p>
        </w:tc>
        <w:tc>
          <w:tcPr>
            <w:tcW w:type="dxa" w:w="3213"/>
          </w:tcPr>
          <w:p>
            <w:pPr>
              <w:spacing w:after="20" w:before="20" w:line="240" w:lineRule="auto"/>
            </w:pPr>
            <w:r/>
            <w:r>
              <w:rPr>
                <w:rFonts w:ascii="Arial" w:hAnsi="Arial" w:cs="Arial"/>
                <w:b w:val="0"/>
                <w:i w:val="0"/>
                <w:sz w:val="17"/>
              </w:rPr>
              <w:t>Refuse gate-out; new query required</w:t>
            </w:r>
          </w:p>
        </w:tc>
      </w:tr>
      <w:tr>
        <w:tc>
          <w:tcPr>
            <w:tcW w:type="dxa" w:w="3213"/>
          </w:tcPr>
          <w:p>
            <w:pPr>
              <w:spacing w:after="20" w:before="20" w:line="240" w:lineRule="auto"/>
            </w:pPr>
            <w:r/>
            <w:r>
              <w:rPr>
                <w:rFonts w:ascii="Arial" w:hAnsi="Arial" w:cs="Arial"/>
                <w:b w:val="0"/>
                <w:i w:val="0"/>
                <w:sz w:val="17"/>
              </w:rPr>
              <w:t>EXPIRED</w:t>
            </w:r>
          </w:p>
        </w:tc>
        <w:tc>
          <w:tcPr>
            <w:tcW w:type="dxa" w:w="3213"/>
          </w:tcPr>
          <w:p>
            <w:pPr>
              <w:spacing w:after="20" w:before="20" w:line="240" w:lineRule="auto"/>
            </w:pPr>
            <w:r/>
            <w:r>
              <w:rPr>
                <w:rFonts w:ascii="Arial" w:hAnsi="Arial" w:cs="Arial"/>
                <w:b w:val="0"/>
                <w:i w:val="0"/>
                <w:sz w:val="17"/>
              </w:rPr>
              <w:t>Authorisation window elapsed</w:t>
            </w:r>
          </w:p>
        </w:tc>
        <w:tc>
          <w:tcPr>
            <w:tcW w:type="dxa" w:w="3213"/>
          </w:tcPr>
          <w:p>
            <w:pPr>
              <w:spacing w:after="20" w:before="20" w:line="240" w:lineRule="auto"/>
            </w:pPr>
            <w:r/>
            <w:r>
              <w:rPr>
                <w:rFonts w:ascii="Arial" w:hAnsi="Arial" w:cs="Arial"/>
                <w:b w:val="0"/>
                <w:i w:val="0"/>
                <w:sz w:val="17"/>
              </w:rPr>
              <w:t>Refuse gate-out; re-query issues a new authorisation</w:t>
            </w:r>
          </w:p>
        </w:tc>
      </w:tr>
      <w:tr>
        <w:tc>
          <w:tcPr>
            <w:tcW w:type="dxa" w:w="3213"/>
          </w:tcPr>
          <w:p>
            <w:pPr>
              <w:spacing w:after="20" w:before="20" w:line="240" w:lineRule="auto"/>
            </w:pPr>
            <w:r/>
            <w:r>
              <w:rPr>
                <w:rFonts w:ascii="Arial" w:hAnsi="Arial" w:cs="Arial"/>
                <w:b w:val="0"/>
                <w:i w:val="0"/>
                <w:sz w:val="17"/>
              </w:rPr>
              <w:t>CONTAINER_NOT_FOUND_FOR_USTN (ERROR)</w:t>
            </w:r>
          </w:p>
        </w:tc>
        <w:tc>
          <w:tcPr>
            <w:tcW w:type="dxa" w:w="3213"/>
          </w:tcPr>
          <w:p>
            <w:pPr>
              <w:spacing w:after="20" w:before="20" w:line="240" w:lineRule="auto"/>
            </w:pPr>
            <w:r/>
            <w:r>
              <w:rPr>
                <w:rFonts w:ascii="Arial" w:hAnsi="Arial" w:cs="Arial"/>
                <w:b w:val="0"/>
                <w:i w:val="0"/>
                <w:sz w:val="17"/>
              </w:rPr>
              <w:t>Container not linked to USTN</w:t>
            </w:r>
          </w:p>
        </w:tc>
        <w:tc>
          <w:tcPr>
            <w:tcW w:type="dxa" w:w="3213"/>
          </w:tcPr>
          <w:p>
            <w:pPr>
              <w:spacing w:after="20" w:before="20" w:line="240" w:lineRule="auto"/>
            </w:pPr>
            <w:r/>
            <w:r>
              <w:rPr>
                <w:rFonts w:ascii="Arial" w:hAnsi="Arial" w:cs="Arial"/>
                <w:b w:val="0"/>
                <w:i w:val="0"/>
                <w:sz w:val="17"/>
              </w:rPr>
              <w:t>Refuse gate-out; verify container and USTN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12.6.7 Digital Signature Technical Details (CMS)</w:t>
      </w:r>
    </w:p>
    <w:p>
      <w:pPr>
        <w:spacing w:after="80" w:line="293" w:lineRule="auto"/>
        <w:jc w:val="left"/>
      </w:pPr>
      <w:r>
        <w:rPr>
          <w:rFonts w:ascii="Times New Roman" w:hAnsi="Times New Roman" w:cs="Times New Roman"/>
          <w:b w:val="0"/>
          <w:i w:val="0"/>
          <w:sz w:val="22"/>
        </w:rPr>
        <w:t>Signature generation process. Canonicalisation: the response JSON object (excluding the `digital_signature` field) is serialised using the JSON Canonicalisation Scheme (JCS, RFC 8785) to produce a deterministic byte sequence. Signing: SGTX uses its Egypt Trust qualified signing certificate (stored in an HSM) to create a detached CMS signature (SignedData, PKCS#7) over the canonicalised bytes; the signature is detached (the original content is not embedded). Encoding: the resulting CMS structure is base64-encoded and inserted as the `digital_signature` field.</w:t>
      </w:r>
    </w:p>
    <w:p>
      <w:pPr>
        <w:spacing w:after="80" w:line="293" w:lineRule="auto"/>
        <w:jc w:val="left"/>
      </w:pPr>
      <w:r>
        <w:rPr>
          <w:rFonts w:ascii="Times New Roman" w:hAnsi="Times New Roman" w:cs="Times New Roman"/>
          <w:b w:val="0"/>
          <w:i w:val="0"/>
          <w:sz w:val="22"/>
        </w:rPr>
        <w:t>Signature verification process (terminal side). Extract the `digital_signature` base64 string; remove it from the JSON and canonicalise the remaining JSON; use SGTX's public certificate (hard-coded in the terminal's gate software or fetched from a trusted repository) to verify the CMS signature against the canonicalised bytes; check the certificate chain, expiry, and revocation status (OCSP/CRL). If valid, the release authorisation is authentic and intact.</w:t>
      </w:r>
    </w:p>
    <w:p>
      <w:pPr>
        <w:keepNext/>
        <w:spacing w:before="180" w:after="80"/>
        <w:outlineLvl w:val="2"/>
      </w:pPr>
      <w:r>
        <w:rPr>
          <w:rFonts w:ascii="Arial" w:hAnsi="Arial" w:cs="Arial"/>
          <w:b/>
          <w:i w:val="0"/>
          <w:color w:val="333333"/>
          <w:sz w:val="23"/>
        </w:rPr>
        <w:t>12.6.8 Terminal Integration Workflow (Step-by-Step)</w:t>
      </w:r>
    </w:p>
    <w:p>
      <w:pPr>
        <w:spacing w:after="80" w:line="293" w:lineRule="auto"/>
        <w:jc w:val="left"/>
      </w:pPr>
      <w:r>
        <w:rPr>
          <w:rFonts w:ascii="Times New Roman" w:hAnsi="Times New Roman" w:cs="Times New Roman"/>
          <w:b w:val="0"/>
          <w:i w:val="0"/>
          <w:sz w:val="22"/>
        </w:rPr>
        <w:t>Step 1 — Truck arrival. A truck arrives at the terminal gate carrying container MEDU1234567. The driver presents paperwork that includes the USTN SGTX-EG-26-F3A-1 (or the gate system scans the container number and automatically looks up the USTN from the terminal's internal system, which received it from the carrier's booking data).</w:t>
      </w:r>
    </w:p>
    <w:p>
      <w:pPr>
        <w:spacing w:after="80" w:line="293" w:lineRule="auto"/>
        <w:jc w:val="left"/>
      </w:pPr>
      <w:r>
        <w:rPr>
          <w:rFonts w:ascii="Times New Roman" w:hAnsi="Times New Roman" w:cs="Times New Roman"/>
          <w:b w:val="0"/>
          <w:i w:val="0"/>
          <w:sz w:val="22"/>
        </w:rPr>
        <w:t>Step 2 — Gate system queries SGTX. The gate system makes a GET request:</w:t>
      </w:r>
    </w:p>
    <w:p>
      <w:pPr>
        <w:spacing w:after="0" w:before="0" w:line="240" w:lineRule="auto"/>
        <w:ind w:left="57"/>
        <w:jc w:val="left"/>
        <w:shd w:val="clear" w:fill="F2F2F2"/>
      </w:pPr>
      <w:r>
        <w:rPr>
          <w:rFonts w:ascii="Consolas" w:hAnsi="Consolas" w:cs="Consolas"/>
          <w:b w:val="0"/>
          <w:i w:val="0"/>
          <w:sz w:val="15"/>
        </w:rPr>
        <w:t>GET /v1/release/authorization?ustn=SGTX-EG-26-F3A-1&amp;container=MEDU1234567&amp;request_id=gate4-001</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mTLS handshake authenticates the terminal.</w:t>
      </w:r>
    </w:p>
    <w:p>
      <w:pPr>
        <w:spacing w:after="80" w:line="293" w:lineRule="auto"/>
        <w:jc w:val="left"/>
      </w:pPr>
      <w:r>
        <w:rPr>
          <w:rFonts w:ascii="Times New Roman" w:hAnsi="Times New Roman" w:cs="Times New Roman"/>
          <w:b w:val="0"/>
          <w:i w:val="0"/>
          <w:sz w:val="22"/>
        </w:rPr>
        <w:t>Step 3 — SGTX evaluation. SGTX retrieves the USTN master data object (from PostgreSQL and NATS KV). It checks: FeeLock status; mandatory invoice settlement; dispute status; conditional QC hold status; deferred payment guarantee status; container-to-USTN linkage; and sanctions/risk status. If all conditions pass, it constructs the AUTHORISED response, generates the digital signature, and returns it.</w:t>
      </w:r>
    </w:p>
    <w:p>
      <w:pPr>
        <w:spacing w:after="80" w:line="293" w:lineRule="auto"/>
        <w:jc w:val="left"/>
      </w:pPr>
      <w:r>
        <w:rPr>
          <w:rFonts w:ascii="Times New Roman" w:hAnsi="Times New Roman" w:cs="Times New Roman"/>
          <w:b w:val="0"/>
          <w:i w:val="0"/>
          <w:sz w:val="22"/>
        </w:rPr>
        <w:t>Step 4 — Gate decision. The gate system receives the response and verifies the digital signature. If `release_status` is AUTHORISED and the signature is valid, it logs the `authorisation_id` and opens the gate. If HOLD, it displays the reason to the gate operator and refuses entry.</w:t>
      </w:r>
    </w:p>
    <w:p>
      <w:pPr>
        <w:spacing w:after="80" w:line="293" w:lineRule="auto"/>
        <w:jc w:val="left"/>
      </w:pPr>
      <w:r>
        <w:rPr>
          <w:rFonts w:ascii="Times New Roman" w:hAnsi="Times New Roman" w:cs="Times New Roman"/>
          <w:b w:val="0"/>
          <w:i w:val="0"/>
          <w:sz w:val="22"/>
        </w:rPr>
        <w:t>Step 5 — Audit log. The terminal logs the entire response, including the signature, timestamp, and gate operator ID, to its immutable audit trail. This log demonstrates compliance with the ministerial decree and resolves any disputes about whether a container was properly released.</w:t>
      </w:r>
    </w:p>
    <w:p>
      <w:pPr>
        <w:spacing w:after="80" w:line="293" w:lineRule="auto"/>
        <w:jc w:val="left"/>
      </w:pPr>
      <w:r>
        <w:rPr>
          <w:rFonts w:ascii="Times New Roman" w:hAnsi="Times New Roman" w:cs="Times New Roman"/>
          <w:b w:val="0"/>
          <w:i w:val="0"/>
          <w:sz w:val="22"/>
        </w:rPr>
        <w:t>Step 6 — Gate-out event (optional). After the container is gated out, the terminal can send the gate-out webhook, which updates the shipment milestone to GATED_OUT.</w:t>
      </w:r>
    </w:p>
    <w:p>
      <w:pPr>
        <w:keepNext/>
        <w:spacing w:before="180" w:after="80"/>
        <w:outlineLvl w:val="2"/>
      </w:pPr>
      <w:r>
        <w:rPr>
          <w:rFonts w:ascii="Arial" w:hAnsi="Arial" w:cs="Arial"/>
          <w:b/>
          <w:i w:val="0"/>
          <w:color w:val="333333"/>
          <w:sz w:val="23"/>
        </w:rPr>
        <w:t>12.6.9 Security Considerations &amp; Threat Model</w:t>
      </w:r>
    </w:p>
    <w:p>
      <w:pPr>
        <w:spacing w:after="80" w:line="293" w:lineRule="auto"/>
        <w:jc w:val="left"/>
      </w:pPr>
      <w:r>
        <w:rPr>
          <w:rFonts w:ascii="Times New Roman" w:hAnsi="Times New Roman" w:cs="Times New Roman"/>
          <w:b w:val="0"/>
          <w:i w:val="0"/>
          <w:sz w:val="22"/>
        </w:rPr>
        <w:t>Threat controls: replay protection (time-bound tokens, per-query `request_id` nonce, expiry validation); mutual TLS on every request; detached CMS signatures with HSM-protected keys; CRL distribution and OCSP checks; rate limiting (60 req/min per terminal, 30 req/min per IP); immutable audit trails on both sides; and revocation of issued authorisations when conditions change. AI authority: A2 for monitoring anomaly patterns (for example, repeated failed verifications) and generating alerts.</w:t>
      </w:r>
    </w:p>
    <w:p>
      <w:pPr>
        <w:keepNext/>
        <w:spacing w:before="180" w:after="80"/>
        <w:outlineLvl w:val="2"/>
      </w:pPr>
      <w:r>
        <w:rPr>
          <w:rFonts w:ascii="Arial" w:hAnsi="Arial" w:cs="Arial"/>
          <w:b/>
          <w:i w:val="0"/>
          <w:color w:val="333333"/>
          <w:sz w:val="23"/>
        </w:rPr>
        <w:t>12.6.10 Release Lifecycle &amp; Revocation</w:t>
      </w:r>
    </w:p>
    <w:p>
      <w:pPr>
        <w:spacing w:after="80" w:line="293" w:lineRule="auto"/>
        <w:jc w:val="left"/>
      </w:pPr>
      <w:r>
        <w:rPr>
          <w:rFonts w:ascii="Times New Roman" w:hAnsi="Times New Roman" w:cs="Times New Roman"/>
          <w:b w:val="0"/>
          <w:i w:val="0"/>
          <w:sz w:val="22"/>
        </w:rPr>
        <w:t>Release lifecycle states: PENDING → AUTHORISED → USED / EXPIRED / REVOKED.</w:t>
      </w:r>
    </w:p>
    <w:p>
      <w:pPr>
        <w:spacing w:after="80" w:line="293" w:lineRule="auto"/>
        <w:jc w:val="left"/>
      </w:pPr>
      <w:r>
        <w:rPr>
          <w:rFonts w:ascii="Times New Roman" w:hAnsi="Times New Roman" w:cs="Times New Roman"/>
          <w:b w:val="0"/>
          <w:i w:val="0"/>
          <w:sz w:val="22"/>
        </w:rPr>
        <w:t>Revocation triggers. Once issued, a release authorisation can be revoked if new information comes to light before the container has gated out: a dispute is filed; a payment is reversed; a conditional QC hold is imposed; a deferred payment guarantee expires; or a sanctions/risk flag is raised.</w:t>
      </w:r>
    </w:p>
    <w:p>
      <w:pPr>
        <w:spacing w:after="80" w:line="293" w:lineRule="auto"/>
        <w:jc w:val="left"/>
      </w:pPr>
      <w:r>
        <w:rPr>
          <w:rFonts w:ascii="Times New Roman" w:hAnsi="Times New Roman" w:cs="Times New Roman"/>
          <w:b w:val="0"/>
          <w:i w:val="0"/>
          <w:sz w:val="22"/>
        </w:rPr>
        <w:t>Revocation flow. SGTX updates the USTN's release status to REVOKED in the shipments table and NATS KV. The next time the terminal queries the API, it receives a HOLD status with `hold_reason: AUTHORISATION_REVOKED`. SGTX also pushes a RELEASE_REVOKED webhook to the carrier and terminal if they have subscribed: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"event": "RELEASE_REVOKED",</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"previous_authorisation_id": "REL-20260415-147-001",</w:t>
      </w:r>
    </w:p>
    <w:p>
      <w:pPr>
        <w:spacing w:after="0" w:before="0" w:line="240" w:lineRule="auto"/>
        <w:ind w:left="57"/>
        <w:jc w:val="left"/>
        <w:shd w:val="clear" w:fill="F2F2F2"/>
      </w:pPr>
      <w:r>
        <w:rPr>
          <w:rFonts w:ascii="Consolas" w:hAnsi="Consolas" w:cs="Consolas"/>
          <w:b w:val="0"/>
          <w:i w:val="0"/>
          <w:sz w:val="15"/>
        </w:rPr>
        <w:t xml:space="preserve">    "reason": "Dispute filed",</w:t>
      </w:r>
    </w:p>
    <w:p>
      <w:pPr>
        <w:spacing w:after="0" w:before="0" w:line="240" w:lineRule="auto"/>
        <w:ind w:left="57"/>
        <w:jc w:val="left"/>
        <w:shd w:val="clear" w:fill="F2F2F2"/>
      </w:pPr>
      <w:r>
        <w:rPr>
          <w:rFonts w:ascii="Consolas" w:hAnsi="Consolas" w:cs="Consolas"/>
          <w:b w:val="0"/>
          <w:i w:val="0"/>
          <w:sz w:val="15"/>
        </w:rPr>
        <w:t xml:space="preserve">    "revoked_at": "2026-04-15T15:00:00Z"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Re-authorisation. After the condition is resolved (for example, a dispute settled), a new AUTHORISED response can be issued and the old authorisation ID is invalidated. One-click for the terminal: re-query the same endpoint and receive the new authorisation.</w:t>
      </w:r>
    </w:p>
    <w:p>
      <w:pPr>
        <w:keepNext/>
        <w:spacing w:before="180" w:after="80"/>
        <w:outlineLvl w:val="2"/>
      </w:pPr>
      <w:r>
        <w:rPr>
          <w:rFonts w:ascii="Arial" w:hAnsi="Arial" w:cs="Arial"/>
          <w:b/>
          <w:i w:val="0"/>
          <w:color w:val="333333"/>
          <w:sz w:val="23"/>
        </w:rPr>
        <w:t>12.6.11 Full Worked Example — Gate Interaction (Strawberry Export)</w:t>
      </w:r>
    </w:p>
    <w:p>
      <w:pPr>
        <w:spacing w:after="80" w:line="293" w:lineRule="auto"/>
        <w:jc w:val="left"/>
      </w:pPr>
      <w:r>
        <w:rPr>
          <w:rFonts w:ascii="Times New Roman" w:hAnsi="Times New Roman" w:cs="Times New Roman"/>
          <w:b w:val="0"/>
          <w:i w:val="0"/>
          <w:sz w:val="22"/>
        </w:rPr>
        <w:t>Setup: container MEDU1234567 is loaded with strawberries. The seller has paid Stage 1 (all mandatory fees), but ocean freight is CREDIT (not yet paid). The terminal has integrated the API.</w:t>
      </w:r>
    </w:p>
    <w:p>
      <w:pPr>
        <w:spacing w:after="80" w:line="293" w:lineRule="auto"/>
        <w:jc w:val="left"/>
      </w:pPr>
      <w:r>
        <w:rPr>
          <w:rFonts w:ascii="Times New Roman" w:hAnsi="Times New Roman" w:cs="Times New Roman"/>
          <w:b w:val="0"/>
          <w:i w:val="0"/>
          <w:sz w:val="22"/>
        </w:rPr>
        <w:t>Truck arrival: a truck arrives at Damietta Terminal Gate 4 to pick up the container for delivery to the buyer's warehouse. The driver provides the USTN SGTX-EG-26-F3A-1.</w:t>
      </w:r>
    </w:p>
    <w:p>
      <w:pPr>
        <w:spacing w:after="80" w:line="293" w:lineRule="auto"/>
        <w:jc w:val="left"/>
      </w:pPr>
      <w:r>
        <w:rPr>
          <w:rFonts w:ascii="Times New Roman" w:hAnsi="Times New Roman" w:cs="Times New Roman"/>
          <w:b w:val="0"/>
          <w:i w:val="0"/>
          <w:sz w:val="22"/>
        </w:rPr>
        <w:t>Gate query:</w:t>
      </w:r>
    </w:p>
    <w:p>
      <w:pPr>
        <w:spacing w:after="0" w:before="0" w:line="240" w:lineRule="auto"/>
        <w:ind w:left="57"/>
        <w:jc w:val="left"/>
        <w:shd w:val="clear" w:fill="F2F2F2"/>
      </w:pPr>
      <w:r>
        <w:rPr>
          <w:rFonts w:ascii="Consolas" w:hAnsi="Consolas" w:cs="Consolas"/>
          <w:b w:val="0"/>
          <w:i w:val="0"/>
          <w:sz w:val="15"/>
        </w:rPr>
        <w:t>GET /v1/release/authorization?ustn=SGTX-EG-26-F3A-1&amp;container=MEDU1234567&amp;request_id=GATE4-20260415-1431-001</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response (200 OK):</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"container": "MEDU1234567",</w:t>
      </w:r>
    </w:p>
    <w:p>
      <w:pPr>
        <w:spacing w:after="0" w:before="0" w:line="240" w:lineRule="auto"/>
        <w:ind w:left="57"/>
        <w:jc w:val="left"/>
        <w:shd w:val="clear" w:fill="F2F2F2"/>
      </w:pPr>
      <w:r>
        <w:rPr>
          <w:rFonts w:ascii="Consolas" w:hAnsi="Consolas" w:cs="Consolas"/>
          <w:b w:val="0"/>
          <w:i w:val="0"/>
          <w:sz w:val="15"/>
        </w:rPr>
        <w:t xml:space="preserve">    "release_status": "AUTHORISED",</w:t>
      </w:r>
    </w:p>
    <w:p>
      <w:pPr>
        <w:spacing w:after="0" w:before="0" w:line="240" w:lineRule="auto"/>
        <w:ind w:left="57"/>
        <w:jc w:val="left"/>
        <w:shd w:val="clear" w:fill="F2F2F2"/>
      </w:pPr>
      <w:r>
        <w:rPr>
          <w:rFonts w:ascii="Consolas" w:hAnsi="Consolas" w:cs="Consolas"/>
          <w:b w:val="0"/>
          <w:i w:val="0"/>
          <w:sz w:val="15"/>
        </w:rPr>
        <w:t xml:space="preserve">    "authorisation_id": "REL-20260415-147-001",</w:t>
      </w:r>
    </w:p>
    <w:p>
      <w:pPr>
        <w:spacing w:after="0" w:before="0" w:line="240" w:lineRule="auto"/>
        <w:ind w:left="57"/>
        <w:jc w:val="left"/>
        <w:shd w:val="clear" w:fill="F2F2F2"/>
      </w:pPr>
      <w:r>
        <w:rPr>
          <w:rFonts w:ascii="Consolas" w:hAnsi="Consolas" w:cs="Consolas"/>
          <w:b w:val="0"/>
          <w:i w:val="0"/>
          <w:sz w:val="15"/>
        </w:rPr>
        <w:t xml:space="preserve">    "issued_at": "2026-04-15T14:31:00Z",</w:t>
      </w:r>
    </w:p>
    <w:p>
      <w:pPr>
        <w:spacing w:after="0" w:before="0" w:line="240" w:lineRule="auto"/>
        <w:ind w:left="57"/>
        <w:jc w:val="left"/>
        <w:shd w:val="clear" w:fill="F2F2F2"/>
      </w:pPr>
      <w:r>
        <w:rPr>
          <w:rFonts w:ascii="Consolas" w:hAnsi="Consolas" w:cs="Consolas"/>
          <w:b w:val="0"/>
          <w:i w:val="0"/>
          <w:sz w:val="15"/>
        </w:rPr>
        <w:t xml:space="preserve">    "valid_until": "2026-04-16T14:31:00Z",</w:t>
      </w:r>
    </w:p>
    <w:p>
      <w:pPr>
        <w:spacing w:after="0" w:before="0" w:line="240" w:lineRule="auto"/>
        <w:ind w:left="57"/>
        <w:jc w:val="left"/>
        <w:shd w:val="clear" w:fill="F2F2F2"/>
      </w:pPr>
      <w:r>
        <w:rPr>
          <w:rFonts w:ascii="Consolas" w:hAnsi="Consolas" w:cs="Consolas"/>
          <w:b w:val="0"/>
          <w:i w:val="0"/>
          <w:sz w:val="15"/>
        </w:rPr>
        <w:t xml:space="preserve">    "mandatory_summary": { "total_usd": 2845.00, "settled_usd": 2845.00 },</w:t>
      </w:r>
    </w:p>
    <w:p>
      <w:pPr>
        <w:spacing w:after="0" w:before="0" w:line="240" w:lineRule="auto"/>
        <w:ind w:left="57"/>
        <w:jc w:val="left"/>
        <w:shd w:val="clear" w:fill="F2F2F2"/>
      </w:pPr>
      <w:r>
        <w:rPr>
          <w:rFonts w:ascii="Consolas" w:hAnsi="Consolas" w:cs="Consolas"/>
          <w:b w:val="0"/>
          <w:i w:val="0"/>
          <w:sz w:val="15"/>
        </w:rPr>
        <w:t xml:space="preserve">    "credit_summary": { "total_outstanding_usd": 4200.00, "overdue": false },</w:t>
      </w:r>
    </w:p>
    <w:p>
      <w:pPr>
        <w:spacing w:after="0" w:before="0" w:line="240" w:lineRule="auto"/>
        <w:ind w:left="57"/>
        <w:jc w:val="left"/>
        <w:shd w:val="clear" w:fill="F2F2F2"/>
      </w:pPr>
      <w:r>
        <w:rPr>
          <w:rFonts w:ascii="Consolas" w:hAnsi="Consolas" w:cs="Consolas"/>
          <w:b w:val="0"/>
          <w:i w:val="0"/>
          <w:sz w:val="15"/>
        </w:rPr>
        <w:t xml:space="preserve">    "digital_signature": "MIAGCSqGSIb3DQEHAqCAMIACAQEx..."</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Gate system actions: verifies the digital signature using the SGTX public key; logs the `authorisation_id` to the local database; opens the barrier; truck enters. Audit log entry: timestamp 2026-04-15T14:32:05Z; gate: GATE4; ustn: SGTX-EG-26-F3A-1; container: MEDU1234567; action: GATE_OUT; authorisation_id: REL-20260415-147-001; operator_id: SYS-AUTO.</w:t>
      </w:r>
    </w:p>
    <w:p>
      <w:pPr>
        <w:spacing w:after="80" w:line="293" w:lineRule="auto"/>
        <w:jc w:val="left"/>
      </w:pPr>
      <w:r>
        <w:rPr>
          <w:rFonts w:ascii="Times New Roman" w:hAnsi="Times New Roman" w:cs="Times New Roman"/>
          <w:b w:val="0"/>
          <w:i w:val="0"/>
          <w:sz w:val="22"/>
        </w:rPr>
        <w:t>Later (optional): the terminal sends the gate-out webhook to SGTX, which updates the shipment milestone to GATED_OUT. Fully deterministic — no AI authority involved.</w:t>
      </w:r>
    </w:p>
    <w:p>
      <w:pPr>
        <w:keepNext/>
        <w:spacing w:before="180" w:after="80"/>
        <w:outlineLvl w:val="2"/>
      </w:pPr>
      <w:r>
        <w:rPr>
          <w:rFonts w:ascii="Arial" w:hAnsi="Arial" w:cs="Arial"/>
          <w:b/>
          <w:i w:val="0"/>
          <w:color w:val="333333"/>
          <w:sz w:val="23"/>
        </w:rPr>
        <w:t>12.6.12 Error Scenarios &amp; Handling</w:t>
      </w:r>
    </w:p>
    <w:p>
      <w:pPr>
        <w:spacing w:after="80" w:line="293" w:lineRule="auto"/>
        <w:jc w:val="left"/>
      </w:pPr>
      <w:r>
        <w:rPr>
          <w:rFonts w:ascii="Times New Roman" w:hAnsi="Times New Roman" w:cs="Times New Roman"/>
          <w:b w:val="0"/>
          <w:i w:val="0"/>
          <w:sz w:val="22"/>
        </w:rPr>
        <w:t>All errors are logged; anomalous failure patterns (repeated failed verifications, high HOLD rates) are monitored by A2 and generate alerts; Groq (A1) generates plain-language instructions to terminal operators when needed.</w:t>
      </w:r>
    </w:p>
    <w:p>
      <w:pPr>
        <w:spacing w:after="80" w:line="293" w:lineRule="auto"/>
        <w:jc w:val="left"/>
      </w:pPr>
      <w:r>
        <w:rPr>
          <w:rFonts w:ascii="Times New Roman" w:hAnsi="Times New Roman" w:cs="Times New Roman"/>
          <w:b w:val="0"/>
          <w:i w:val="0"/>
          <w:sz w:val="22"/>
        </w:rPr>
        <w:t>Manual override procedure (emergency only). Terminal calls the hotline (Platform Governance Authority). The authority verifies identity and situation. If justified, the authority generates a one-time override token (valid 1 hour). The terminal enters the token manually; the system logs the override. The override is audited by the Platform Governance Authority.</w:t>
      </w:r>
    </w:p>
    <w:p>
      <w:pPr>
        <w:keepNext/>
        <w:spacing w:before="180" w:after="80"/>
        <w:outlineLvl w:val="2"/>
      </w:pPr>
      <w:r>
        <w:rPr>
          <w:rFonts w:ascii="Arial" w:hAnsi="Arial" w:cs="Arial"/>
          <w:b/>
          <w:i w:val="0"/>
          <w:color w:val="333333"/>
          <w:sz w:val="23"/>
        </w:rPr>
        <w:t>12.6.13 Integration with Port Community Systems (PCS)</w:t>
      </w:r>
    </w:p>
    <w:p>
      <w:pPr>
        <w:spacing w:after="80" w:line="293" w:lineRule="auto"/>
        <w:jc w:val="left"/>
      </w:pPr>
      <w:r>
        <w:rPr>
          <w:rFonts w:ascii="Times New Roman" w:hAnsi="Times New Roman" w:cs="Times New Roman"/>
          <w:b w:val="0"/>
          <w:i w:val="0"/>
          <w:sz w:val="22"/>
        </w:rPr>
        <w:t>Many Egyptian ports operate Port Community Systems (PCS) that coordinate gate appointments, customs clearance, and terminal operations. SGTX integrates with these PCS at a higher level, but the release API remains the atomic, legally-binding check. SGTX does not replace the PCS — it augments it with cryptographic release enforcement.</w:t>
      </w:r>
    </w:p>
    <w:p>
      <w:pPr>
        <w:keepNext/>
        <w:spacing w:before="180" w:after="80"/>
        <w:outlineLvl w:val="2"/>
      </w:pPr>
      <w:r>
        <w:rPr>
          <w:rFonts w:ascii="Arial" w:hAnsi="Arial" w:cs="Arial"/>
          <w:b/>
          <w:i w:val="0"/>
          <w:color w:val="333333"/>
          <w:sz w:val="23"/>
        </w:rPr>
        <w:t>12.6.14 Governance Gates</w:t>
      </w:r>
    </w:p>
    <w:p>
      <w:pPr>
        <w:spacing w:after="80" w:line="293" w:lineRule="auto"/>
        <w:jc w:val="left"/>
      </w:pPr>
      <w:r>
        <w:rPr>
          <w:rFonts w:ascii="Times New Roman" w:hAnsi="Times New Roman" w:cs="Times New Roman"/>
          <w:b w:val="0"/>
          <w:i w:val="0"/>
          <w:sz w:val="22"/>
        </w:rPr>
        <w:t>Release authorisation is enforced by the Governor (A4) at the moment of query: FeeLock must be ACTIVE; all MANDATORY invoices settled; no active dispute; no conditional QC hold; no expired deferred-payment guarantee; container linked to USTN; and no sanctions/risk block. Governor decisions are recorded on each authorisation (`governor_decision_id`).</w:t>
      </w:r>
    </w:p>
    <w:p>
      <w:pPr>
        <w:keepNext/>
        <w:spacing w:before="180" w:after="80"/>
        <w:outlineLvl w:val="2"/>
      </w:pPr>
      <w:r>
        <w:rPr>
          <w:rFonts w:ascii="Arial" w:hAnsi="Arial" w:cs="Arial"/>
          <w:b/>
          <w:i w:val="0"/>
          <w:color w:val="333333"/>
          <w:sz w:val="23"/>
        </w:rPr>
        <w:t>12.6.15 Database Schema Additions</w:t>
      </w:r>
    </w:p>
    <w:p>
      <w:pPr>
        <w:spacing w:after="0" w:before="0" w:line="240" w:lineRule="auto"/>
        <w:ind w:left="57"/>
        <w:jc w:val="left"/>
        <w:shd w:val="clear" w:fill="F2F2F2"/>
      </w:pPr>
      <w:r>
        <w:rPr>
          <w:rFonts w:ascii="Consolas" w:hAnsi="Consolas" w:cs="Consolas"/>
          <w:b w:val="0"/>
          <w:i w:val="0"/>
          <w:sz w:val="15"/>
        </w:rPr>
        <w:t>-- Release authorisations</w:t>
      </w:r>
    </w:p>
    <w:p>
      <w:pPr>
        <w:spacing w:after="0" w:before="0" w:line="240" w:lineRule="auto"/>
        <w:ind w:left="57"/>
        <w:jc w:val="left"/>
        <w:shd w:val="clear" w:fill="F2F2F2"/>
      </w:pPr>
      <w:r>
        <w:rPr>
          <w:rFonts w:ascii="Consolas" w:hAnsi="Consolas" w:cs="Consolas"/>
          <w:b w:val="0"/>
          <w:i w:val="0"/>
          <w:sz w:val="15"/>
        </w:rPr>
        <w:t>-- release_authorisations: canonical definition in Section 17.22;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Revoked certificates (CRL)</w:t>
      </w:r>
    </w:p>
    <w:p>
      <w:pPr>
        <w:spacing w:after="0" w:before="0" w:line="240" w:lineRule="auto"/>
        <w:ind w:left="57"/>
        <w:jc w:val="left"/>
        <w:shd w:val="clear" w:fill="F2F2F2"/>
      </w:pPr>
      <w:r>
        <w:rPr>
          <w:rFonts w:ascii="Consolas" w:hAnsi="Consolas" w:cs="Consolas"/>
          <w:b w:val="0"/>
          <w:i w:val="0"/>
          <w:sz w:val="15"/>
        </w:rPr>
        <w:t>-- revoked_certificates: canonical definition in Section 17.21;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Gate-out events (optional webhook)</w:t>
      </w:r>
    </w:p>
    <w:p>
      <w:pPr>
        <w:spacing w:after="0" w:before="0" w:line="240" w:lineRule="auto"/>
        <w:ind w:left="57"/>
        <w:jc w:val="left"/>
        <w:shd w:val="clear" w:fill="F2F2F2"/>
      </w:pPr>
      <w:r>
        <w:rPr>
          <w:rFonts w:ascii="Consolas" w:hAnsi="Consolas" w:cs="Consolas"/>
          <w:b w:val="0"/>
          <w:i w:val="0"/>
          <w:sz w:val="15"/>
        </w:rPr>
        <w:t>-- gate_out_events: canonical definition in Section 17.22;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Manual override log (emergency only)</w:t>
      </w:r>
    </w:p>
    <w:p>
      <w:pPr>
        <w:spacing w:after="0" w:before="0" w:line="240" w:lineRule="auto"/>
        <w:ind w:left="57"/>
        <w:jc w:val="left"/>
        <w:shd w:val="clear" w:fill="F2F2F2"/>
      </w:pPr>
      <w:r>
        <w:rPr>
          <w:rFonts w:ascii="Consolas" w:hAnsi="Consolas" w:cs="Consolas"/>
          <w:b w:val="0"/>
          <w:i w:val="0"/>
          <w:sz w:val="15"/>
        </w:rPr>
        <w:t>CREATE TABLE release_overrides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container TEXT NOT NULL,</w:t>
      </w:r>
    </w:p>
    <w:p>
      <w:pPr>
        <w:spacing w:after="0" w:before="0" w:line="240" w:lineRule="auto"/>
        <w:ind w:left="57"/>
        <w:jc w:val="left"/>
        <w:shd w:val="clear" w:fill="F2F2F2"/>
      </w:pPr>
      <w:r>
        <w:rPr>
          <w:rFonts w:ascii="Consolas" w:hAnsi="Consolas" w:cs="Consolas"/>
          <w:b w:val="0"/>
          <w:i w:val="0"/>
          <w:sz w:val="15"/>
        </w:rPr>
        <w:t xml:space="preserve">    override_token TEXT UNIQUE NOT NULL,</w:t>
      </w:r>
    </w:p>
    <w:p>
      <w:pPr>
        <w:spacing w:after="0" w:before="0" w:line="240" w:lineRule="auto"/>
        <w:ind w:left="57"/>
        <w:jc w:val="left"/>
        <w:shd w:val="clear" w:fill="F2F2F2"/>
      </w:pPr>
      <w:r>
        <w:rPr>
          <w:rFonts w:ascii="Consolas" w:hAnsi="Consolas" w:cs="Consolas"/>
          <w:b w:val="0"/>
          <w:i w:val="0"/>
          <w:sz w:val="15"/>
        </w:rPr>
        <w:t xml:space="preserve">    issued_by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issued_at TIMESTAMPTZ DEFAULT NOW(),</w:t>
      </w:r>
    </w:p>
    <w:p>
      <w:pPr>
        <w:spacing w:after="0" w:before="0" w:line="240" w:lineRule="auto"/>
        <w:ind w:left="57"/>
        <w:jc w:val="left"/>
        <w:shd w:val="clear" w:fill="F2F2F2"/>
      </w:pPr>
      <w:r>
        <w:rPr>
          <w:rFonts w:ascii="Consolas" w:hAnsi="Consolas" w:cs="Consolas"/>
          <w:b w:val="0"/>
          <w:i w:val="0"/>
          <w:sz w:val="15"/>
        </w:rPr>
        <w:t xml:space="preserve">    valid_until TIMESTAMPTZ NOT NULL,</w:t>
      </w:r>
    </w:p>
    <w:p>
      <w:pPr>
        <w:spacing w:after="0" w:before="0" w:line="240" w:lineRule="auto"/>
        <w:ind w:left="57"/>
        <w:jc w:val="left"/>
        <w:shd w:val="clear" w:fill="F2F2F2"/>
      </w:pPr>
      <w:r>
        <w:rPr>
          <w:rFonts w:ascii="Consolas" w:hAnsi="Consolas" w:cs="Consolas"/>
          <w:b w:val="0"/>
          <w:i w:val="0"/>
          <w:sz w:val="15"/>
        </w:rPr>
        <w:t xml:space="preserve">    used_at TIMESTAMPTZ,</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idx_release_authorisations_ustn ON release_authorisations(ustn);</w:t>
      </w:r>
    </w:p>
    <w:p>
      <w:pPr>
        <w:spacing w:after="0" w:before="0" w:line="240" w:lineRule="auto"/>
        <w:ind w:left="57"/>
        <w:jc w:val="left"/>
        <w:shd w:val="clear" w:fill="F2F2F2"/>
      </w:pPr>
      <w:r>
        <w:rPr>
          <w:rFonts w:ascii="Consolas" w:hAnsi="Consolas" w:cs="Consolas"/>
          <w:b w:val="0"/>
          <w:i w:val="0"/>
          <w:sz w:val="15"/>
        </w:rPr>
        <w:t>CREATE INDEX idx_release_authorisations_container ON release_authorisations(container);</w:t>
      </w:r>
    </w:p>
    <w:p>
      <w:pPr>
        <w:spacing w:after="0" w:before="0" w:line="240" w:lineRule="auto"/>
        <w:ind w:left="57"/>
        <w:jc w:val="left"/>
        <w:shd w:val="clear" w:fill="F2F2F2"/>
      </w:pPr>
      <w:r>
        <w:rPr>
          <w:rFonts w:ascii="Consolas" w:hAnsi="Consolas" w:cs="Consolas"/>
          <w:b w:val="0"/>
          <w:i w:val="0"/>
          <w:sz w:val="15"/>
        </w:rPr>
        <w:t>CREATE INDEX idx_release_authorisations_status ON release_authorisations(status);</w:t>
      </w:r>
    </w:p>
    <w:p>
      <w:pPr>
        <w:spacing w:after="0" w:before="0" w:line="240" w:lineRule="auto"/>
        <w:ind w:left="57"/>
        <w:jc w:val="left"/>
        <w:shd w:val="clear" w:fill="F2F2F2"/>
      </w:pPr>
      <w:r>
        <w:rPr>
          <w:rFonts w:ascii="Consolas" w:hAnsi="Consolas" w:cs="Consolas"/>
          <w:b w:val="0"/>
          <w:i w:val="0"/>
          <w:sz w:val="15"/>
        </w:rPr>
        <w:t>CREATE INDEX idx_release_authorisations_valid_until ON release_authorisations(valid_until);</w:t>
      </w:r>
    </w:p>
    <w:p>
      <w:pPr>
        <w:spacing w:after="0" w:before="0" w:line="240" w:lineRule="auto"/>
        <w:ind w:left="57"/>
        <w:jc w:val="left"/>
        <w:shd w:val="clear" w:fill="F2F2F2"/>
      </w:pPr>
      <w:r>
        <w:rPr>
          <w:rFonts w:ascii="Consolas" w:hAnsi="Consolas" w:cs="Consolas"/>
          <w:b w:val="0"/>
          <w:i w:val="0"/>
          <w:sz w:val="15"/>
        </w:rPr>
        <w:t>CREATE INDEX idx_release_authorisations_authorisation_id ON release_authorisations(authorisation_id);</w:t>
      </w:r>
    </w:p>
    <w:p>
      <w:pPr>
        <w:spacing w:after="0" w:before="0" w:line="240" w:lineRule="auto"/>
        <w:ind w:left="57"/>
        <w:jc w:val="left"/>
        <w:shd w:val="clear" w:fill="F2F2F2"/>
      </w:pPr>
      <w:r>
        <w:rPr>
          <w:rFonts w:ascii="Consolas" w:hAnsi="Consolas" w:cs="Consolas"/>
          <w:b w:val="0"/>
          <w:i w:val="0"/>
          <w:sz w:val="15"/>
        </w:rPr>
        <w:t>CREATE INDEX idx_gate_out_events_ustn ON gate_out_events(ustn);</w:t>
      </w:r>
    </w:p>
    <w:p>
      <w:pPr>
        <w:spacing w:after="0" w:before="0" w:line="240" w:lineRule="auto"/>
        <w:ind w:left="57"/>
        <w:jc w:val="left"/>
        <w:shd w:val="clear" w:fill="F2F2F2"/>
      </w:pPr>
      <w:r>
        <w:rPr>
          <w:rFonts w:ascii="Consolas" w:hAnsi="Consolas" w:cs="Consolas"/>
          <w:b w:val="0"/>
          <w:i w:val="0"/>
          <w:sz w:val="15"/>
        </w:rPr>
        <w:t>CREATE INDEX idx_gate_out_events_authorisation ON gate_out_events(authorisation_id);</w:t>
      </w:r>
    </w:p>
    <w:p>
      <w:pPr>
        <w:spacing w:after="0" w:before="0" w:line="240" w:lineRule="auto"/>
        <w:ind w:left="57"/>
        <w:jc w:val="left"/>
        <w:shd w:val="clear" w:fill="F2F2F2"/>
      </w:pPr>
      <w:r>
        <w:rPr>
          <w:rFonts w:ascii="Consolas" w:hAnsi="Consolas" w:cs="Consolas"/>
          <w:b w:val="0"/>
          <w:i w:val="0"/>
          <w:sz w:val="15"/>
        </w:rPr>
        <w:t>CREATE INDEX idx_release_overrides_token ON release_overrides(override_token);</w:t>
      </w:r>
    </w:p>
    <w:p>
      <w:pPr>
        <w:spacing w:after="0" w:before="0" w:line="240" w:lineRule="auto"/>
        <w:ind w:left="57"/>
        <w:jc w:val="left"/>
        <w:shd w:val="clear" w:fill="F2F2F2"/>
      </w:pPr>
      <w:r>
        <w:rPr>
          <w:rFonts w:ascii="Consolas" w:hAnsi="Consolas" w:cs="Consolas"/>
          <w:b w:val="0"/>
          <w:i w:val="0"/>
          <w:sz w:val="15"/>
        </w:rPr>
        <w:t>CREATE INDEX idx_release_overrides_ustn ON release_overrides(ustn);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12.6.16 Implementation Checklist</w:t>
      </w:r>
    </w:p>
    <w:p>
      <w:pPr>
        <w:spacing w:after="80" w:line="293" w:lineRule="auto"/>
        <w:jc w:val="left"/>
      </w:pPr>
      <w:r>
        <w:rPr>
          <w:rFonts w:ascii="Times New Roman" w:hAnsi="Times New Roman" w:cs="Times New Roman"/>
          <w:b w:val="0"/>
          <w:i w:val="0"/>
          <w:sz w:val="22"/>
        </w:rPr>
        <w:t>Core API:</w:t>
      </w:r>
    </w:p>
    <w:p>
      <w:pPr>
        <w:spacing w:after="80" w:line="293" w:lineRule="auto"/>
        <w:ind w:left="283"/>
        <w:jc w:val="left"/>
      </w:pPr>
      <w:r>
        <w:rPr>
          <w:rFonts w:ascii="Times New Roman" w:hAnsi="Times New Roman" w:cs="Times New Roman"/>
          <w:b w:val="0"/>
          <w:i w:val="0"/>
          <w:sz w:val="22"/>
        </w:rPr>
        <w:t>- Implement release-service (Rust, Axum).</w:t>
      </w:r>
    </w:p>
    <w:p>
      <w:pPr>
        <w:spacing w:after="80" w:line="293" w:lineRule="auto"/>
        <w:ind w:left="283"/>
        <w:jc w:val="left"/>
      </w:pPr>
      <w:r>
        <w:rPr>
          <w:rFonts w:ascii="Times New Roman" w:hAnsi="Times New Roman" w:cs="Times New Roman"/>
          <w:b w:val="0"/>
          <w:i w:val="0"/>
          <w:sz w:val="22"/>
        </w:rPr>
        <w:t>- Add endpoint: GET /v1/release/authorization.</w:t>
      </w:r>
    </w:p>
    <w:p>
      <w:pPr>
        <w:spacing w:after="80" w:line="293" w:lineRule="auto"/>
        <w:ind w:left="283"/>
        <w:jc w:val="left"/>
      </w:pPr>
      <w:r>
        <w:rPr>
          <w:rFonts w:ascii="Times New Roman" w:hAnsi="Times New Roman" w:cs="Times New Roman"/>
          <w:b w:val="0"/>
          <w:i w:val="0"/>
          <w:sz w:val="22"/>
        </w:rPr>
        <w:t>- Add endpoint: POST /v1/release/webhook (push notifications).</w:t>
      </w:r>
    </w:p>
    <w:p>
      <w:pPr>
        <w:spacing w:after="80" w:line="293" w:lineRule="auto"/>
        <w:ind w:left="283"/>
        <w:jc w:val="left"/>
      </w:pPr>
      <w:r>
        <w:rPr>
          <w:rFonts w:ascii="Times New Roman" w:hAnsi="Times New Roman" w:cs="Times New Roman"/>
          <w:b w:val="0"/>
          <w:i w:val="0"/>
          <w:sz w:val="22"/>
        </w:rPr>
        <w:t>- Add endpoint: POST /v1/release/gate-out (optional milestone update).</w:t>
      </w:r>
    </w:p>
    <w:p>
      <w:pPr>
        <w:spacing w:after="80" w:line="293" w:lineRule="auto"/>
        <w:ind w:left="283"/>
        <w:jc w:val="left"/>
      </w:pPr>
      <w:r>
        <w:rPr>
          <w:rFonts w:ascii="Times New Roman" w:hAnsi="Times New Roman" w:cs="Times New Roman"/>
          <w:b w:val="0"/>
          <w:i w:val="0"/>
          <w:sz w:val="22"/>
        </w:rPr>
        <w:t>- Add endpoint: GET /v1/release/crl (certificate revocation list).</w:t>
      </w:r>
    </w:p>
    <w:p>
      <w:pPr>
        <w:spacing w:after="80" w:line="293" w:lineRule="auto"/>
        <w:jc w:val="left"/>
      </w:pPr>
      <w:r>
        <w:rPr>
          <w:rFonts w:ascii="Times New Roman" w:hAnsi="Times New Roman" w:cs="Times New Roman"/>
          <w:b w:val="0"/>
          <w:i w:val="0"/>
          <w:sz w:val="22"/>
        </w:rPr>
        <w:t>Security:</w:t>
      </w:r>
    </w:p>
    <w:p>
      <w:pPr>
        <w:spacing w:after="80" w:line="293" w:lineRule="auto"/>
        <w:ind w:left="283"/>
        <w:jc w:val="left"/>
      </w:pPr>
      <w:r>
        <w:rPr>
          <w:rFonts w:ascii="Times New Roman" w:hAnsi="Times New Roman" w:cs="Times New Roman"/>
          <w:b w:val="0"/>
          <w:i w:val="0"/>
          <w:sz w:val="22"/>
        </w:rPr>
        <w:t>- Set up the mTLS certificate authority (step-ca, self-hosted).</w:t>
      </w:r>
    </w:p>
    <w:p>
      <w:pPr>
        <w:spacing w:after="80" w:line="293" w:lineRule="auto"/>
        <w:ind w:left="283"/>
        <w:jc w:val="left"/>
      </w:pPr>
      <w:r>
        <w:rPr>
          <w:rFonts w:ascii="Times New Roman" w:hAnsi="Times New Roman" w:cs="Times New Roman"/>
          <w:b w:val="0"/>
          <w:i w:val="0"/>
          <w:sz w:val="22"/>
        </w:rPr>
        <w:t>- Issue client certificates to terminals and carriers.</w:t>
      </w:r>
    </w:p>
    <w:p>
      <w:pPr>
        <w:spacing w:after="80" w:line="293" w:lineRule="auto"/>
        <w:ind w:left="283"/>
        <w:jc w:val="left"/>
      </w:pPr>
      <w:r>
        <w:rPr>
          <w:rFonts w:ascii="Times New Roman" w:hAnsi="Times New Roman" w:cs="Times New Roman"/>
          <w:b w:val="0"/>
          <w:i w:val="0"/>
          <w:sz w:val="22"/>
        </w:rPr>
        <w:t>- Implement certificate validation on each request.</w:t>
      </w:r>
    </w:p>
    <w:p>
      <w:pPr>
        <w:spacing w:after="80" w:line="293" w:lineRule="auto"/>
        <w:ind w:left="283"/>
        <w:jc w:val="left"/>
      </w:pPr>
      <w:r>
        <w:rPr>
          <w:rFonts w:ascii="Times New Roman" w:hAnsi="Times New Roman" w:cs="Times New Roman"/>
          <w:b w:val="0"/>
          <w:i w:val="0"/>
          <w:sz w:val="22"/>
        </w:rPr>
        <w:t>- Implement digital signature generation (PKCS#7/CMS) using the HSM-stored private key.</w:t>
      </w:r>
    </w:p>
    <w:p>
      <w:pPr>
        <w:spacing w:after="80" w:line="293" w:lineRule="auto"/>
        <w:ind w:left="283"/>
        <w:jc w:val="left"/>
      </w:pPr>
      <w:r>
        <w:rPr>
          <w:rFonts w:ascii="Times New Roman" w:hAnsi="Times New Roman" w:cs="Times New Roman"/>
          <w:b w:val="0"/>
          <w:i w:val="0"/>
          <w:sz w:val="22"/>
        </w:rPr>
        <w:t>- Add certificate revocation list (CRL) management.</w:t>
      </w:r>
    </w:p>
    <w:p>
      <w:pPr>
        <w:spacing w:after="80" w:line="293" w:lineRule="auto"/>
        <w:ind w:left="283"/>
        <w:jc w:val="left"/>
      </w:pPr>
      <w:r>
        <w:rPr>
          <w:rFonts w:ascii="Times New Roman" w:hAnsi="Times New Roman" w:cs="Times New Roman"/>
          <w:b w:val="0"/>
          <w:i w:val="0"/>
          <w:sz w:val="22"/>
        </w:rPr>
        <w:t>- Implement rate limiting (60 req/min per terminal, 30 req/min per IP).</w:t>
      </w:r>
    </w:p>
    <w:p>
      <w:pPr>
        <w:spacing w:after="80" w:line="293" w:lineRule="auto"/>
        <w:jc w:val="left"/>
      </w:pPr>
      <w:r>
        <w:rPr>
          <w:rFonts w:ascii="Times New Roman" w:hAnsi="Times New Roman" w:cs="Times New Roman"/>
          <w:b w:val="0"/>
          <w:i w:val="0"/>
          <w:sz w:val="22"/>
        </w:rPr>
        <w:t>FeeLock integration:</w:t>
      </w:r>
    </w:p>
    <w:p>
      <w:pPr>
        <w:spacing w:after="80" w:line="293" w:lineRule="auto"/>
        <w:ind w:left="283"/>
        <w:jc w:val="left"/>
      </w:pPr>
      <w:r>
        <w:rPr>
          <w:rFonts w:ascii="Times New Roman" w:hAnsi="Times New Roman" w:cs="Times New Roman"/>
          <w:b w:val="0"/>
          <w:i w:val="0"/>
          <w:sz w:val="22"/>
        </w:rPr>
        <w:t>- Integrate with the `fee_payment_requests` table to check MANDATORY invoice status.</w:t>
      </w:r>
    </w:p>
    <w:p>
      <w:pPr>
        <w:spacing w:after="80" w:line="293" w:lineRule="auto"/>
        <w:ind w:left="283"/>
        <w:jc w:val="left"/>
      </w:pPr>
      <w:r>
        <w:rPr>
          <w:rFonts w:ascii="Times New Roman" w:hAnsi="Times New Roman" w:cs="Times New Roman"/>
          <w:b w:val="0"/>
          <w:i w:val="0"/>
          <w:sz w:val="22"/>
        </w:rPr>
        <w:t>- Integrate with the `fee_locks` table to check FeeLock state.</w:t>
      </w:r>
    </w:p>
    <w:p>
      <w:pPr>
        <w:spacing w:after="80" w:line="293" w:lineRule="auto"/>
        <w:ind w:left="283"/>
        <w:jc w:val="left"/>
      </w:pPr>
      <w:r>
        <w:rPr>
          <w:rFonts w:ascii="Times New Roman" w:hAnsi="Times New Roman" w:cs="Times New Roman"/>
          <w:b w:val="0"/>
          <w:i w:val="0"/>
          <w:sz w:val="22"/>
        </w:rPr>
        <w:t>- Integrate with the `disputes` table to check for active disputes.</w:t>
      </w:r>
    </w:p>
    <w:p>
      <w:pPr>
        <w:spacing w:after="80" w:line="293" w:lineRule="auto"/>
        <w:ind w:left="283"/>
        <w:jc w:val="left"/>
      </w:pPr>
      <w:r>
        <w:rPr>
          <w:rFonts w:ascii="Times New Roman" w:hAnsi="Times New Roman" w:cs="Times New Roman"/>
          <w:b w:val="0"/>
          <w:i w:val="0"/>
          <w:sz w:val="22"/>
        </w:rPr>
        <w:t>- Integrate with the `qc_jobs` table to check for conditional QC holds.</w:t>
      </w:r>
    </w:p>
    <w:p>
      <w:pPr>
        <w:spacing w:after="80" w:line="293" w:lineRule="auto"/>
        <w:ind w:left="283"/>
        <w:jc w:val="left"/>
      </w:pPr>
      <w:r>
        <w:rPr>
          <w:rFonts w:ascii="Times New Roman" w:hAnsi="Times New Roman" w:cs="Times New Roman"/>
          <w:b w:val="0"/>
          <w:i w:val="0"/>
          <w:sz w:val="22"/>
        </w:rPr>
        <w:t>- Integrate with the `gnn_risk_scores` table for sanctions checks.</w:t>
      </w:r>
    </w:p>
    <w:p>
      <w:pPr>
        <w:spacing w:after="80" w:line="293" w:lineRule="auto"/>
        <w:jc w:val="left"/>
      </w:pPr>
      <w:r>
        <w:rPr>
          <w:rFonts w:ascii="Times New Roman" w:hAnsi="Times New Roman" w:cs="Times New Roman"/>
          <w:b w:val="0"/>
          <w:i w:val="0"/>
          <w:sz w:val="22"/>
        </w:rPr>
        <w:t>Release lifecycle:</w:t>
      </w:r>
    </w:p>
    <w:p>
      <w:pPr>
        <w:spacing w:after="80" w:line="293" w:lineRule="auto"/>
        <w:ind w:left="283"/>
        <w:jc w:val="left"/>
      </w:pPr>
      <w:r>
        <w:rPr>
          <w:rFonts w:ascii="Times New Roman" w:hAnsi="Times New Roman" w:cs="Times New Roman"/>
          <w:b w:val="0"/>
          <w:i w:val="0"/>
          <w:sz w:val="22"/>
        </w:rPr>
        <w:t>- Implement authorisation generation with `valid_until` (24h default).</w:t>
      </w:r>
    </w:p>
    <w:p>
      <w:pPr>
        <w:spacing w:after="80" w:line="293" w:lineRule="auto"/>
        <w:ind w:left="283"/>
        <w:jc w:val="left"/>
      </w:pPr>
      <w:r>
        <w:rPr>
          <w:rFonts w:ascii="Times New Roman" w:hAnsi="Times New Roman" w:cs="Times New Roman"/>
          <w:b w:val="0"/>
          <w:i w:val="0"/>
          <w:sz w:val="22"/>
        </w:rPr>
        <w:t>- Implement revocation logic (triggered by dispute, payment reversal, etc.).</w:t>
      </w:r>
    </w:p>
    <w:p>
      <w:pPr>
        <w:spacing w:after="80" w:line="293" w:lineRule="auto"/>
        <w:ind w:left="283"/>
        <w:jc w:val="left"/>
      </w:pPr>
      <w:r>
        <w:rPr>
          <w:rFonts w:ascii="Times New Roman" w:hAnsi="Times New Roman" w:cs="Times New Roman"/>
          <w:b w:val="0"/>
          <w:i w:val="0"/>
          <w:sz w:val="22"/>
        </w:rPr>
        <w:t>- Implement re-authorisation after conditions are resolved.</w:t>
      </w:r>
    </w:p>
    <w:p>
      <w:pPr>
        <w:spacing w:after="80" w:line="293" w:lineRule="auto"/>
        <w:ind w:left="283"/>
        <w:jc w:val="left"/>
      </w:pPr>
      <w:r>
        <w:rPr>
          <w:rFonts w:ascii="Times New Roman" w:hAnsi="Times New Roman" w:cs="Times New Roman"/>
          <w:b w:val="0"/>
          <w:i w:val="0"/>
          <w:sz w:val="22"/>
        </w:rPr>
        <w:t>- Add release status tracking (PENDING → AUTHORISED → USED/EXPIRED/REVOKED).</w:t>
      </w:r>
    </w:p>
    <w:p>
      <w:pPr>
        <w:spacing w:after="80" w:line="293" w:lineRule="auto"/>
        <w:jc w:val="left"/>
      </w:pPr>
      <w:r>
        <w:rPr>
          <w:rFonts w:ascii="Times New Roman" w:hAnsi="Times New Roman" w:cs="Times New Roman"/>
          <w:b w:val="0"/>
          <w:i w:val="0"/>
          <w:sz w:val="22"/>
        </w:rPr>
        <w:t>Terminal integration:</w:t>
      </w:r>
    </w:p>
    <w:p>
      <w:pPr>
        <w:spacing w:after="80" w:line="293" w:lineRule="auto"/>
        <w:ind w:left="283"/>
        <w:jc w:val="left"/>
      </w:pPr>
      <w:r>
        <w:rPr>
          <w:rFonts w:ascii="Times New Roman" w:hAnsi="Times New Roman" w:cs="Times New Roman"/>
          <w:b w:val="0"/>
          <w:i w:val="0"/>
          <w:sz w:val="22"/>
        </w:rPr>
        <w:t>- Create terminal integration documentation (OpenAPI spec, mTLS setup, signature verification examples).</w:t>
      </w:r>
    </w:p>
    <w:p>
      <w:pPr>
        <w:spacing w:after="80" w:line="293" w:lineRule="auto"/>
        <w:ind w:left="283"/>
        <w:jc w:val="left"/>
      </w:pPr>
      <w:r>
        <w:rPr>
          <w:rFonts w:ascii="Times New Roman" w:hAnsi="Times New Roman" w:cs="Times New Roman"/>
          <w:b w:val="0"/>
          <w:i w:val="0"/>
          <w:sz w:val="22"/>
        </w:rPr>
        <w:t>- Produce sample terminal code (Python, Java, Rust) for verifying signatures.</w:t>
      </w:r>
    </w:p>
    <w:p>
      <w:pPr>
        <w:spacing w:after="80" w:line="293" w:lineRule="auto"/>
        <w:ind w:left="283"/>
        <w:jc w:val="left"/>
      </w:pPr>
      <w:r>
        <w:rPr>
          <w:rFonts w:ascii="Times New Roman" w:hAnsi="Times New Roman" w:cs="Times New Roman"/>
          <w:b w:val="0"/>
          <w:i w:val="0"/>
          <w:sz w:val="22"/>
        </w:rPr>
        <w:t>- Add webhook delivery with retry policy (3 retries, exponential backoff).</w:t>
      </w:r>
    </w:p>
    <w:p>
      <w:pPr>
        <w:spacing w:after="80" w:line="293" w:lineRule="auto"/>
        <w:ind w:left="283"/>
        <w:jc w:val="left"/>
      </w:pPr>
      <w:r>
        <w:rPr>
          <w:rFonts w:ascii="Times New Roman" w:hAnsi="Times New Roman" w:cs="Times New Roman"/>
          <w:b w:val="0"/>
          <w:i w:val="0"/>
          <w:sz w:val="22"/>
        </w:rPr>
        <w:t>- Implement the manual override procedure (emergency only, with logging).</w:t>
      </w:r>
    </w:p>
    <w:p>
      <w:pPr>
        <w:spacing w:after="80" w:line="293" w:lineRule="auto"/>
        <w:jc w:val="left"/>
      </w:pPr>
      <w:r>
        <w:rPr>
          <w:rFonts w:ascii="Times New Roman" w:hAnsi="Times New Roman" w:cs="Times New Roman"/>
          <w:b w:val="0"/>
          <w:i w:val="0"/>
          <w:sz w:val="22"/>
        </w:rPr>
        <w:t>Monitoring &amp; alerting:</w:t>
      </w:r>
    </w:p>
    <w:p>
      <w:pPr>
        <w:spacing w:after="80" w:line="293" w:lineRule="auto"/>
        <w:ind w:left="283"/>
        <w:jc w:val="left"/>
      </w:pPr>
      <w:r>
        <w:rPr>
          <w:rFonts w:ascii="Times New Roman" w:hAnsi="Times New Roman" w:cs="Times New Roman"/>
          <w:b w:val="0"/>
          <w:i w:val="0"/>
          <w:sz w:val="22"/>
        </w:rPr>
        <w:t>- Add Prometheus metrics: `sgtx_release_requests_total`, `sgtx_release_authorised_total`, `sgtx_release_hold_total`, `sgtx_release_error_total`, `sgtx_release_verification_failures_total`.</w:t>
      </w:r>
    </w:p>
    <w:p>
      <w:pPr>
        <w:spacing w:after="80" w:line="293" w:lineRule="auto"/>
        <w:ind w:left="283"/>
        <w:jc w:val="left"/>
      </w:pPr>
      <w:r>
        <w:rPr>
          <w:rFonts w:ascii="Times New Roman" w:hAnsi="Times New Roman" w:cs="Times New Roman"/>
          <w:b w:val="0"/>
          <w:i w:val="0"/>
          <w:sz w:val="22"/>
        </w:rPr>
        <w:t>- Set up alerting for: high rate of HOLD responses (&gt;10% of requests); signature verification failures; certificate expiry (30 days before); API 5xx errors (&gt;1% of requests).</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Integration tests: simulate terminal query → AUTHORISED → gate-out webhook → milestone updated.</w:t>
      </w:r>
    </w:p>
    <w:p>
      <w:pPr>
        <w:spacing w:after="80" w:line="293" w:lineRule="auto"/>
        <w:ind w:left="283"/>
        <w:jc w:val="left"/>
      </w:pPr>
      <w:r>
        <w:rPr>
          <w:rFonts w:ascii="Times New Roman" w:hAnsi="Times New Roman" w:cs="Times New Roman"/>
          <w:b w:val="0"/>
          <w:i w:val="0"/>
          <w:sz w:val="22"/>
        </w:rPr>
        <w:t>- Test the revocation flow: issue authorisation → trigger dispute → subsequent query returns HOLD.</w:t>
      </w:r>
    </w:p>
    <w:p>
      <w:pPr>
        <w:spacing w:after="80" w:line="293" w:lineRule="auto"/>
        <w:ind w:left="283"/>
        <w:jc w:val="left"/>
      </w:pPr>
      <w:r>
        <w:rPr>
          <w:rFonts w:ascii="Times New Roman" w:hAnsi="Times New Roman" w:cs="Times New Roman"/>
          <w:b w:val="0"/>
          <w:i w:val="0"/>
          <w:sz w:val="22"/>
        </w:rPr>
        <w:t>- Test expired authorisation: `valid_until` passes → query returns HOLD.</w:t>
      </w:r>
    </w:p>
    <w:p>
      <w:pPr>
        <w:spacing w:after="80" w:line="293" w:lineRule="auto"/>
        <w:ind w:left="283"/>
        <w:jc w:val="left"/>
      </w:pPr>
      <w:r>
        <w:rPr>
          <w:rFonts w:ascii="Times New Roman" w:hAnsi="Times New Roman" w:cs="Times New Roman"/>
          <w:b w:val="0"/>
          <w:i w:val="0"/>
          <w:sz w:val="22"/>
        </w:rPr>
        <w:t>- Test certificate validation: invalid certificate → 401 Unauthorised.</w:t>
      </w:r>
    </w:p>
    <w:p>
      <w:pPr>
        <w:spacing w:after="80" w:line="293" w:lineRule="auto"/>
        <w:ind w:left="283"/>
        <w:jc w:val="left"/>
      </w:pPr>
      <w:r>
        <w:rPr>
          <w:rFonts w:ascii="Times New Roman" w:hAnsi="Times New Roman" w:cs="Times New Roman"/>
          <w:b w:val="0"/>
          <w:i w:val="0"/>
          <w:sz w:val="22"/>
        </w:rPr>
        <w:t>- Test rate limiting: exceed limit → 429 Too Many Requests.</w:t>
      </w:r>
    </w:p>
    <w:p>
      <w:pPr>
        <w:spacing w:after="80" w:line="293" w:lineRule="auto"/>
        <w:ind w:left="283"/>
        <w:jc w:val="left"/>
      </w:pPr>
      <w:r>
        <w:rPr>
          <w:rFonts w:ascii="Times New Roman" w:hAnsi="Times New Roman" w:cs="Times New Roman"/>
          <w:b w:val="0"/>
          <w:i w:val="0"/>
          <w:sz w:val="22"/>
        </w:rPr>
        <w:t>- Test the manual override flow.</w:t>
      </w:r>
    </w:p>
    <w:p>
      <w:pPr>
        <w:keepNext/>
        <w:spacing w:before="240" w:after="100"/>
        <w:outlineLvl w:val="1"/>
      </w:pPr>
      <w:r>
        <w:rPr>
          <w:rFonts w:ascii="Arial" w:hAnsi="Arial" w:cs="Arial"/>
          <w:b/>
          <w:i w:val="0"/>
          <w:color w:val="2E528F"/>
          <w:sz w:val="26"/>
        </w:rPr>
        <w:t>12.7 Delivery &amp; Acceptance</w:t>
      </w:r>
    </w:p>
    <w:p>
      <w:pPr>
        <w:keepNext/>
        <w:spacing w:before="180" w:after="80"/>
        <w:outlineLvl w:val="2"/>
      </w:pPr>
      <w:r>
        <w:rPr>
          <w:rFonts w:ascii="Arial" w:hAnsi="Arial" w:cs="Arial"/>
          <w:b/>
          <w:i w:val="0"/>
          <w:color w:val="333333"/>
          <w:sz w:val="23"/>
        </w:rPr>
        <w:t>12.7.1 Arrival Milestone Confirmation</w:t>
      </w:r>
    </w:p>
    <w:p>
      <w:pPr>
        <w:spacing w:after="80" w:line="293" w:lineRule="auto"/>
        <w:jc w:val="left"/>
      </w:pPr>
      <w:r>
        <w:rPr>
          <w:rFonts w:ascii="Times New Roman" w:hAnsi="Times New Roman" w:cs="Times New Roman"/>
          <w:b w:val="0"/>
          <w:i w:val="0"/>
          <w:sz w:val="22"/>
        </w:rPr>
        <w:t>The shipping line updates the ARRIVED milestone (portal or API); AIS also automatically updates the vessel position. The arrival milestone is confirmed from carrier or port events, never derived solely from ETA.</w:t>
      </w:r>
    </w:p>
    <w:p>
      <w:pPr>
        <w:keepNext/>
        <w:spacing w:before="180" w:after="80"/>
        <w:outlineLvl w:val="2"/>
      </w:pPr>
      <w:r>
        <w:rPr>
          <w:rFonts w:ascii="Arial" w:hAnsi="Arial" w:cs="Arial"/>
          <w:b/>
          <w:i w:val="0"/>
          <w:color w:val="333333"/>
          <w:sz w:val="23"/>
        </w:rPr>
        <w:t>12.7.2 Import Customs Clearance</w:t>
      </w:r>
    </w:p>
    <w:p>
      <w:pPr>
        <w:spacing w:after="80" w:line="293" w:lineRule="auto"/>
        <w:jc w:val="left"/>
      </w:pPr>
      <w:r>
        <w:rPr>
          <w:rFonts w:ascii="Times New Roman" w:hAnsi="Times New Roman" w:cs="Times New Roman"/>
          <w:b w:val="0"/>
          <w:i w:val="0"/>
          <w:sz w:val="22"/>
        </w:rPr>
        <w:t>The buyer or broker initiates import customs. Documents are verified; duties are paid (if applicable). The status updates to CUSTOMS_IMPORT. Deferred import duties follow the deferred payment guarantee workflow (Section 13.4).</w:t>
      </w:r>
    </w:p>
    <w:p>
      <w:pPr>
        <w:keepNext/>
        <w:spacing w:before="180" w:after="80"/>
        <w:outlineLvl w:val="2"/>
      </w:pPr>
      <w:r>
        <w:rPr>
          <w:rFonts w:ascii="Arial" w:hAnsi="Arial" w:cs="Arial"/>
          <w:b/>
          <w:i w:val="0"/>
          <w:color w:val="333333"/>
          <w:sz w:val="23"/>
        </w:rPr>
        <w:t>12.7.3 Delivery Confirmation (One Click or Voice)</w:t>
      </w:r>
    </w:p>
    <w:p>
      <w:pPr>
        <w:spacing w:after="80" w:line="293" w:lineRule="auto"/>
        <w:jc w:val="left"/>
      </w:pPr>
      <w:r>
        <w:rPr>
          <w:rFonts w:ascii="Times New Roman" w:hAnsi="Times New Roman" w:cs="Times New Roman"/>
          <w:b w:val="0"/>
          <w:i w:val="0"/>
          <w:sz w:val="22"/>
        </w:rPr>
        <w:t>The buyer clicks "Confirm Delivery" — one click. Alternative: a voice command, "Confirm delivery for USTN SGTX-...". Vosk transcribes; HF Mixtral extracts the intent; after biometric verification the Governor validates that all prior milestones are confirmed (or conditional holds resolved) before the milestone is accepted.</w:t>
      </w:r>
    </w:p>
    <w:p>
      <w:pPr>
        <w:spacing w:after="80" w:line="293" w:lineRule="auto"/>
        <w:jc w:val="left"/>
      </w:pPr>
      <w:r>
        <w:rPr>
          <w:rFonts w:ascii="Times New Roman" w:hAnsi="Times New Roman" w:cs="Times New Roman"/>
          <w:b w:val="0"/>
          <w:i w:val="0"/>
          <w:sz w:val="22"/>
        </w:rPr>
        <w:t>Example delivery confirmation panel — SGTX-EG-26-F3A-1: Shipment: USTN SGTX-EG-26-F3A-1; Seller: Mekong Fresh Co.; Buyer: Nile Foods. Milestone status: LOADED — 2026-06-20 08:30 UTC; DEPARTED — 2026-06-20 10:00 UTC; IN_TRANSIT — 2026-06-21 06:00 UTC; ARRIVED — 2026-07-05 14:00 UTC; CUSTOMS_IMPORT — 2026-07-06 09:00 UTC; DELIVERED — Pending. Conditional QC hold: Resolved (Action Plan Completed). Actions: [Confirm Delivery] [Report Issue] [Request Inspection]. Voice: "Confirm delivery for USTN SGTX-1397F3A-...".</w:t>
      </w:r>
    </w:p>
    <w:p>
      <w:pPr>
        <w:keepNext/>
        <w:spacing w:before="180" w:after="80"/>
        <w:outlineLvl w:val="2"/>
      </w:pPr>
      <w:r>
        <w:rPr>
          <w:rFonts w:ascii="Arial" w:hAnsi="Arial" w:cs="Arial"/>
          <w:b/>
          <w:i w:val="0"/>
          <w:color w:val="333333"/>
          <w:sz w:val="23"/>
        </w:rPr>
        <w:t>12.7.4 Goods Received Verification</w:t>
      </w:r>
    </w:p>
    <w:p>
      <w:pPr>
        <w:spacing w:after="80" w:line="293" w:lineRule="auto"/>
        <w:jc w:val="left"/>
      </w:pPr>
      <w:r>
        <w:rPr>
          <w:rFonts w:ascii="Times New Roman" w:hAnsi="Times New Roman" w:cs="Times New Roman"/>
          <w:b w:val="0"/>
          <w:i w:val="0"/>
          <w:sz w:val="22"/>
        </w:rPr>
        <w:t>At delivery the received quantities are compared with the contractual tolerance before acceptance: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Commodity</w:t>
            </w:r>
          </w:p>
        </w:tc>
        <w:tc>
          <w:tcPr>
            <w:tcW w:type="dxa" w:w="2409"/>
            <w:shd w:val="clear" w:fill="D9E2F3"/>
          </w:tcPr>
          <w:p>
            <w:pPr>
              <w:spacing w:after="20" w:before="20" w:line="240" w:lineRule="auto"/>
            </w:pPr>
            <w:r/>
            <w:r>
              <w:rPr>
                <w:rFonts w:ascii="Arial" w:hAnsi="Arial" w:cs="Arial"/>
                <w:b/>
                <w:i w:val="0"/>
                <w:sz w:val="18"/>
              </w:rPr>
              <w:t>Quantity Expected</w:t>
            </w:r>
          </w:p>
        </w:tc>
        <w:tc>
          <w:tcPr>
            <w:tcW w:type="dxa" w:w="2409"/>
            <w:shd w:val="clear" w:fill="D9E2F3"/>
          </w:tcPr>
          <w:p>
            <w:pPr>
              <w:spacing w:after="20" w:before="20" w:line="240" w:lineRule="auto"/>
            </w:pPr>
            <w:r/>
            <w:r>
              <w:rPr>
                <w:rFonts w:ascii="Arial" w:hAnsi="Arial" w:cs="Arial"/>
                <w:b/>
                <w:i w:val="0"/>
                <w:sz w:val="18"/>
              </w:rPr>
              <w:t>Quantity Received</w:t>
            </w:r>
          </w:p>
        </w:tc>
        <w:tc>
          <w:tcPr>
            <w:tcW w:type="dxa" w:w="2409"/>
            <w:shd w:val="clear" w:fill="D9E2F3"/>
          </w:tcPr>
          <w:p>
            <w:pPr>
              <w:spacing w:after="20" w:before="20" w:line="240" w:lineRule="auto"/>
            </w:pPr>
            <w:r/>
            <w:r>
              <w:rPr>
                <w:rFonts w:ascii="Arial" w:hAnsi="Arial" w:cs="Arial"/>
                <w:b/>
                <w:i w:val="0"/>
                <w:sz w:val="18"/>
              </w:rPr>
              <w:t>Status</w:t>
            </w:r>
          </w:p>
        </w:tc>
      </w:tr>
      <w:tr>
        <w:tc>
          <w:tcPr>
            <w:tcW w:type="dxa" w:w="2409"/>
          </w:tcPr>
          <w:p>
            <w:pPr>
              <w:spacing w:after="20" w:before="20" w:line="240" w:lineRule="auto"/>
            </w:pPr>
            <w:r/>
            <w:r>
              <w:rPr>
                <w:rFonts w:ascii="Arial" w:hAnsi="Arial" w:cs="Arial"/>
                <w:b w:val="0"/>
                <w:i w:val="0"/>
                <w:sz w:val="17"/>
              </w:rPr>
              <w:t>Oranges</w:t>
            </w:r>
          </w:p>
        </w:tc>
        <w:tc>
          <w:tcPr>
            <w:tcW w:type="dxa" w:w="2409"/>
          </w:tcPr>
          <w:p>
            <w:pPr>
              <w:spacing w:after="20" w:before="20" w:line="240" w:lineRule="auto"/>
            </w:pPr>
            <w:r/>
            <w:r>
              <w:rPr>
                <w:rFonts w:ascii="Arial" w:hAnsi="Arial" w:cs="Arial"/>
                <w:b w:val="0"/>
                <w:i w:val="0"/>
                <w:sz w:val="17"/>
              </w:rPr>
              <w:t>100 MT (±5%)</w:t>
            </w:r>
          </w:p>
        </w:tc>
        <w:tc>
          <w:tcPr>
            <w:tcW w:type="dxa" w:w="2409"/>
          </w:tcPr>
          <w:p>
            <w:pPr>
              <w:spacing w:after="20" w:before="20" w:line="240" w:lineRule="auto"/>
            </w:pPr>
            <w:r/>
            <w:r>
              <w:rPr>
                <w:rFonts w:ascii="Arial" w:hAnsi="Arial" w:cs="Arial"/>
                <w:b w:val="0"/>
                <w:i w:val="0"/>
                <w:sz w:val="17"/>
              </w:rPr>
              <w:t>98 MT</w:t>
            </w:r>
          </w:p>
        </w:tc>
        <w:tc>
          <w:tcPr>
            <w:tcW w:type="dxa" w:w="2409"/>
          </w:tcPr>
          <w:p>
            <w:pPr>
              <w:spacing w:after="20" w:before="20" w:line="240" w:lineRule="auto"/>
            </w:pPr>
            <w:r/>
            <w:r>
              <w:rPr>
                <w:rFonts w:ascii="Arial" w:hAnsi="Arial" w:cs="Arial"/>
                <w:b w:val="0"/>
                <w:i w:val="0"/>
                <w:sz w:val="17"/>
              </w:rPr>
              <w:t>Within tolerance</w:t>
            </w:r>
          </w:p>
        </w:tc>
      </w:tr>
      <w:tr>
        <w:tc>
          <w:tcPr>
            <w:tcW w:type="dxa" w:w="2409"/>
          </w:tcPr>
          <w:p>
            <w:pPr>
              <w:spacing w:after="20" w:before="20" w:line="240" w:lineRule="auto"/>
            </w:pPr>
            <w:r/>
            <w:r>
              <w:rPr>
                <w:rFonts w:ascii="Arial" w:hAnsi="Arial" w:cs="Arial"/>
                <w:b w:val="0"/>
                <w:i w:val="0"/>
                <w:sz w:val="17"/>
              </w:rPr>
              <w:t>Lemons</w:t>
            </w:r>
          </w:p>
        </w:tc>
        <w:tc>
          <w:tcPr>
            <w:tcW w:type="dxa" w:w="2409"/>
          </w:tcPr>
          <w:p>
            <w:pPr>
              <w:spacing w:after="20" w:before="20" w:line="240" w:lineRule="auto"/>
            </w:pPr>
            <w:r/>
            <w:r>
              <w:rPr>
                <w:rFonts w:ascii="Arial" w:hAnsi="Arial" w:cs="Arial"/>
                <w:b w:val="0"/>
                <w:i w:val="0"/>
                <w:sz w:val="17"/>
              </w:rPr>
              <w:t>50 MT (±5%)</w:t>
            </w:r>
          </w:p>
        </w:tc>
        <w:tc>
          <w:tcPr>
            <w:tcW w:type="dxa" w:w="2409"/>
          </w:tcPr>
          <w:p>
            <w:pPr>
              <w:spacing w:after="20" w:before="20" w:line="240" w:lineRule="auto"/>
            </w:pPr>
            <w:r/>
            <w:r>
              <w:rPr>
                <w:rFonts w:ascii="Arial" w:hAnsi="Arial" w:cs="Arial"/>
                <w:b w:val="0"/>
                <w:i w:val="0"/>
                <w:sz w:val="17"/>
              </w:rPr>
              <w:t>49.5 MT</w:t>
            </w:r>
          </w:p>
        </w:tc>
        <w:tc>
          <w:tcPr>
            <w:tcW w:type="dxa" w:w="2409"/>
          </w:tcPr>
          <w:p>
            <w:pPr>
              <w:spacing w:after="20" w:before="20" w:line="240" w:lineRule="auto"/>
            </w:pPr>
            <w:r/>
            <w:r>
              <w:rPr>
                <w:rFonts w:ascii="Arial" w:hAnsi="Arial" w:cs="Arial"/>
                <w:b w:val="0"/>
                <w:i w:val="0"/>
                <w:sz w:val="17"/>
              </w:rPr>
              <w:t>Within tolerance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buyer's confirmation constitutes contractual acceptance evidence (Section 12.3.7); discrepancies outside tolerance route to the dispute workflow (Section 14.3).</w:t>
      </w:r>
    </w:p>
    <w:p>
      <w:pPr>
        <w:keepNext/>
        <w:spacing w:before="240" w:after="100"/>
        <w:outlineLvl w:val="1"/>
      </w:pPr>
      <w:r>
        <w:rPr>
          <w:rFonts w:ascii="Arial" w:hAnsi="Arial" w:cs="Arial"/>
          <w:b/>
          <w:i w:val="0"/>
          <w:color w:val="2E528F"/>
          <w:sz w:val="26"/>
        </w:rPr>
        <w:t>12.8 Phase 5 Data Model &amp; Implementation</w:t>
      </w:r>
    </w:p>
    <w:p>
      <w:pPr>
        <w:keepNext/>
        <w:spacing w:before="180" w:after="80"/>
        <w:outlineLvl w:val="2"/>
      </w:pPr>
      <w:r>
        <w:rPr>
          <w:rFonts w:ascii="Arial" w:hAnsi="Arial" w:cs="Arial"/>
          <w:b/>
          <w:i w:val="0"/>
          <w:color w:val="333333"/>
          <w:sz w:val="23"/>
        </w:rPr>
        <w:t>12.8.1 Database Schema Additions</w:t>
      </w:r>
    </w:p>
    <w:p>
      <w:pPr>
        <w:spacing w:after="0" w:before="0" w:line="240" w:lineRule="auto"/>
        <w:ind w:left="57"/>
        <w:jc w:val="left"/>
        <w:shd w:val="clear" w:fill="F2F2F2"/>
      </w:pPr>
      <w:r>
        <w:rPr>
          <w:rFonts w:ascii="Consolas" w:hAnsi="Consolas" w:cs="Consolas"/>
          <w:b w:val="0"/>
          <w:i w:val="0"/>
          <w:sz w:val="15"/>
        </w:rPr>
        <w:t>-- Shipment milestones</w:t>
      </w:r>
    </w:p>
    <w:p>
      <w:pPr>
        <w:spacing w:after="0" w:before="0" w:line="240" w:lineRule="auto"/>
        <w:ind w:left="57"/>
        <w:jc w:val="left"/>
        <w:shd w:val="clear" w:fill="F2F2F2"/>
      </w:pPr>
      <w:r>
        <w:rPr>
          <w:rFonts w:ascii="Consolas" w:hAnsi="Consolas" w:cs="Consolas"/>
          <w:b w:val="0"/>
          <w:i w:val="0"/>
          <w:sz w:val="15"/>
        </w:rPr>
        <w:t>-- shipment_milestones: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Stuck trade escalation logs</w:t>
      </w:r>
    </w:p>
    <w:p>
      <w:pPr>
        <w:spacing w:after="0" w:before="0" w:line="240" w:lineRule="auto"/>
        <w:ind w:left="57"/>
        <w:jc w:val="left"/>
        <w:shd w:val="clear" w:fill="F2F2F2"/>
      </w:pPr>
      <w:r>
        <w:rPr>
          <w:rFonts w:ascii="Consolas" w:hAnsi="Consolas" w:cs="Consolas"/>
          <w:b w:val="0"/>
          <w:i w:val="0"/>
          <w:sz w:val="15"/>
        </w:rPr>
        <w:t>CREATE TABLE stuck_trade_escalations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milestone TEXT NOT NULL,</w:t>
      </w:r>
    </w:p>
    <w:p>
      <w:pPr>
        <w:spacing w:after="0" w:before="0" w:line="240" w:lineRule="auto"/>
        <w:ind w:left="57"/>
        <w:jc w:val="left"/>
        <w:shd w:val="clear" w:fill="F2F2F2"/>
      </w:pPr>
      <w:r>
        <w:rPr>
          <w:rFonts w:ascii="Consolas" w:hAnsi="Consolas" w:cs="Consolas"/>
          <w:b w:val="0"/>
          <w:i w:val="0"/>
          <w:sz w:val="15"/>
        </w:rPr>
        <w:t xml:space="preserve">    escalation_level INTEGER NOT NULL,  -- 1, 2, 3</w:t>
      </w:r>
    </w:p>
    <w:p>
      <w:pPr>
        <w:spacing w:after="0" w:before="0" w:line="240" w:lineRule="auto"/>
        <w:ind w:left="57"/>
        <w:jc w:val="left"/>
        <w:shd w:val="clear" w:fill="F2F2F2"/>
      </w:pPr>
      <w:r>
        <w:rPr>
          <w:rFonts w:ascii="Consolas" w:hAnsi="Consolas" w:cs="Consolas"/>
          <w:b w:val="0"/>
          <w:i w:val="0"/>
          <w:sz w:val="15"/>
        </w:rPr>
        <w:t xml:space="preserve">    triggered_at TIMESTAMPTZ DEFAULT NOW(),</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resolution_notes TEXT,</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idx_shipment_milestones_ustn ON shipment_milestones(ustn);</w:t>
      </w:r>
    </w:p>
    <w:p>
      <w:pPr>
        <w:spacing w:after="0" w:before="0" w:line="240" w:lineRule="auto"/>
        <w:ind w:left="57"/>
        <w:jc w:val="left"/>
        <w:shd w:val="clear" w:fill="F2F2F2"/>
      </w:pPr>
      <w:r>
        <w:rPr>
          <w:rFonts w:ascii="Consolas" w:hAnsi="Consolas" w:cs="Consolas"/>
          <w:b w:val="0"/>
          <w:i w:val="0"/>
          <w:sz w:val="15"/>
        </w:rPr>
        <w:t>CREATE INDEX idx_shipment_milestones_milestone ON shipment_milestones(milestone);</w:t>
      </w:r>
    </w:p>
    <w:p>
      <w:pPr>
        <w:spacing w:after="0" w:before="0" w:line="240" w:lineRule="auto"/>
        <w:ind w:left="57"/>
        <w:jc w:val="left"/>
        <w:shd w:val="clear" w:fill="F2F2F2"/>
      </w:pPr>
      <w:r>
        <w:rPr>
          <w:rFonts w:ascii="Consolas" w:hAnsi="Consolas" w:cs="Consolas"/>
          <w:b w:val="0"/>
          <w:i w:val="0"/>
          <w:sz w:val="15"/>
        </w:rPr>
        <w:t>CREATE INDEX idx_shipment_milestones_confirmed_at ON shipment_milestones(confirmed_at DESC);</w:t>
      </w:r>
    </w:p>
    <w:p>
      <w:pPr>
        <w:spacing w:after="0" w:before="0" w:line="240" w:lineRule="auto"/>
        <w:ind w:left="57"/>
        <w:jc w:val="left"/>
        <w:shd w:val="clear" w:fill="F2F2F2"/>
      </w:pPr>
      <w:r>
        <w:rPr>
          <w:rFonts w:ascii="Consolas" w:hAnsi="Consolas" w:cs="Consolas"/>
          <w:b w:val="0"/>
          <w:i w:val="0"/>
          <w:sz w:val="15"/>
        </w:rPr>
        <w:t>CREATE INDEX idx_iot_sensor_readings_ustn ON iot_sensor_readings(ustn);</w:t>
      </w:r>
    </w:p>
    <w:p>
      <w:pPr>
        <w:spacing w:after="0" w:before="0" w:line="240" w:lineRule="auto"/>
        <w:ind w:left="57"/>
        <w:jc w:val="left"/>
        <w:shd w:val="clear" w:fill="F2F2F2"/>
      </w:pPr>
      <w:r>
        <w:rPr>
          <w:rFonts w:ascii="Consolas" w:hAnsi="Consolas" w:cs="Consolas"/>
          <w:b w:val="0"/>
          <w:i w:val="0"/>
          <w:sz w:val="15"/>
        </w:rPr>
        <w:t>CREATE INDEX idx_iot_sensor_readings_recorded ON iot_sensor_readings(recorded_at DESC);</w:t>
      </w:r>
    </w:p>
    <w:p>
      <w:pPr>
        <w:spacing w:after="0" w:before="0" w:line="240" w:lineRule="auto"/>
        <w:ind w:left="57"/>
        <w:jc w:val="left"/>
        <w:shd w:val="clear" w:fill="F2F2F2"/>
      </w:pPr>
      <w:r>
        <w:rPr>
          <w:rFonts w:ascii="Consolas" w:hAnsi="Consolas" w:cs="Consolas"/>
          <w:b w:val="0"/>
          <w:i w:val="0"/>
          <w:sz w:val="15"/>
        </w:rPr>
        <w:t>CREATE INDEX idx_stuck_trade_escalations_ustn ON stuck_trade_escalations(ustn);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QC data model (`qc_jobs`, `inspection_logs`, `re_inspection_requests`) is specified in Section 11.8; the release data model (`release_authorisations`, `revoked_certificates`, `gate_out_events`, `release_overrides`) in Section 12.6.15; the consolidated schema appears in Section 17.</w:t>
      </w:r>
    </w:p>
    <w:p>
      <w:pPr>
        <w:keepNext/>
        <w:spacing w:before="180" w:after="80"/>
        <w:outlineLvl w:val="2"/>
      </w:pPr>
      <w:r>
        <w:rPr>
          <w:rFonts w:ascii="Arial" w:hAnsi="Arial" w:cs="Arial"/>
          <w:b/>
          <w:i w:val="0"/>
          <w:color w:val="333333"/>
          <w:sz w:val="23"/>
        </w:rPr>
        <w:t>12.8.2 Implementation Checklist</w:t>
      </w:r>
    </w:p>
    <w:p>
      <w:pPr>
        <w:spacing w:after="80" w:line="293" w:lineRule="auto"/>
        <w:jc w:val="left"/>
      </w:pPr>
      <w:r>
        <w:rPr>
          <w:rFonts w:ascii="Times New Roman" w:hAnsi="Times New Roman" w:cs="Times New Roman"/>
          <w:b w:val="0"/>
          <w:i w:val="0"/>
          <w:sz w:val="22"/>
        </w:rPr>
        <w:t>Pre-execution setup:</w:t>
      </w:r>
    </w:p>
    <w:p>
      <w:pPr>
        <w:spacing w:after="80" w:line="293" w:lineRule="auto"/>
        <w:ind w:left="283"/>
        <w:jc w:val="left"/>
      </w:pPr>
      <w:r>
        <w:rPr>
          <w:rFonts w:ascii="Times New Roman" w:hAnsi="Times New Roman" w:cs="Times New Roman"/>
          <w:b w:val="0"/>
          <w:i w:val="0"/>
          <w:sz w:val="22"/>
        </w:rPr>
        <w:t>- Implement loading window selection (seller + trucking).</w:t>
      </w:r>
    </w:p>
    <w:p>
      <w:pPr>
        <w:spacing w:after="80" w:line="293" w:lineRule="auto"/>
        <w:ind w:left="283"/>
        <w:jc w:val="left"/>
      </w:pPr>
      <w:r>
        <w:rPr>
          <w:rFonts w:ascii="Times New Roman" w:hAnsi="Times New Roman" w:cs="Times New Roman"/>
          <w:b w:val="0"/>
          <w:i w:val="0"/>
          <w:sz w:val="22"/>
        </w:rPr>
        <w:t>- Implement booking confirmation upload (HF Donut extraction).</w:t>
      </w:r>
    </w:p>
    <w:p>
      <w:pPr>
        <w:spacing w:after="80" w:line="293" w:lineRule="auto"/>
        <w:ind w:left="283"/>
        <w:jc w:val="left"/>
      </w:pPr>
      <w:r>
        <w:rPr>
          <w:rFonts w:ascii="Times New Roman" w:hAnsi="Times New Roman" w:cs="Times New Roman"/>
          <w:b w:val="0"/>
          <w:i w:val="0"/>
          <w:sz w:val="22"/>
        </w:rPr>
        <w:t>- Implement dynamic document requirements (RIA-driven).</w:t>
      </w:r>
    </w:p>
    <w:p>
      <w:pPr>
        <w:spacing w:after="80" w:line="293" w:lineRule="auto"/>
        <w:ind w:left="283"/>
        <w:jc w:val="left"/>
      </w:pPr>
      <w:r>
        <w:rPr>
          <w:rFonts w:ascii="Times New Roman" w:hAnsi="Times New Roman" w:cs="Times New Roman"/>
          <w:b w:val="0"/>
          <w:i w:val="0"/>
          <w:sz w:val="22"/>
        </w:rPr>
        <w:t>- Implement container release pre-advice.</w:t>
      </w:r>
    </w:p>
    <w:p>
      <w:pPr>
        <w:spacing w:after="80" w:line="293" w:lineRule="auto"/>
        <w:jc w:val="left"/>
      </w:pPr>
      <w:r>
        <w:rPr>
          <w:rFonts w:ascii="Times New Roman" w:hAnsi="Times New Roman" w:cs="Times New Roman"/>
          <w:b w:val="0"/>
          <w:i w:val="0"/>
          <w:sz w:val="22"/>
        </w:rPr>
        <w:t>Container release &amp; loading:</w:t>
      </w:r>
    </w:p>
    <w:p>
      <w:pPr>
        <w:spacing w:after="80" w:line="293" w:lineRule="auto"/>
        <w:ind w:left="283"/>
        <w:jc w:val="left"/>
      </w:pPr>
      <w:r>
        <w:rPr>
          <w:rFonts w:ascii="Times New Roman" w:hAnsi="Times New Roman" w:cs="Times New Roman"/>
          <w:b w:val="0"/>
          <w:i w:val="0"/>
          <w:sz w:val="22"/>
        </w:rPr>
        <w:t>- Implement container release confirmation (Section 12.6).</w:t>
      </w:r>
    </w:p>
    <w:p>
      <w:pPr>
        <w:spacing w:after="80" w:line="293" w:lineRule="auto"/>
        <w:ind w:left="283"/>
        <w:jc w:val="left"/>
      </w:pPr>
      <w:r>
        <w:rPr>
          <w:rFonts w:ascii="Times New Roman" w:hAnsi="Times New Roman" w:cs="Times New Roman"/>
          <w:b w:val="0"/>
          <w:i w:val="0"/>
          <w:sz w:val="22"/>
        </w:rPr>
        <w:t>- Implement pallet-level loading with non-uniform layer support.</w:t>
      </w:r>
    </w:p>
    <w:p>
      <w:pPr>
        <w:spacing w:after="80" w:line="293" w:lineRule="auto"/>
        <w:ind w:left="283"/>
        <w:jc w:val="left"/>
      </w:pPr>
      <w:r>
        <w:rPr>
          <w:rFonts w:ascii="Times New Roman" w:hAnsi="Times New Roman" w:cs="Times New Roman"/>
          <w:b w:val="0"/>
          <w:i w:val="0"/>
          <w:sz w:val="22"/>
        </w:rPr>
        <w:t>- Implement barcode scanning (SSCC) via mobile app.</w:t>
      </w:r>
    </w:p>
    <w:p>
      <w:pPr>
        <w:spacing w:after="80" w:line="293" w:lineRule="auto"/>
        <w:ind w:left="283"/>
        <w:jc w:val="left"/>
      </w:pPr>
      <w:r>
        <w:rPr>
          <w:rFonts w:ascii="Times New Roman" w:hAnsi="Times New Roman" w:cs="Times New Roman"/>
          <w:b w:val="0"/>
          <w:i w:val="0"/>
          <w:sz w:val="22"/>
        </w:rPr>
        <w:t>- Implement voice commands (Vosk + HF Mixtral).</w:t>
      </w:r>
    </w:p>
    <w:p>
      <w:pPr>
        <w:spacing w:after="80" w:line="293" w:lineRule="auto"/>
        <w:ind w:left="283"/>
        <w:jc w:val="left"/>
      </w:pPr>
      <w:r>
        <w:rPr>
          <w:rFonts w:ascii="Times New Roman" w:hAnsi="Times New Roman" w:cs="Times New Roman"/>
          <w:b w:val="0"/>
          <w:i w:val="0"/>
          <w:sz w:val="22"/>
        </w:rPr>
        <w:t>- Implement batch scan mode.</w:t>
      </w:r>
    </w:p>
    <w:p>
      <w:pPr>
        <w:spacing w:after="80" w:line="293" w:lineRule="auto"/>
        <w:ind w:left="283"/>
        <w:jc w:val="left"/>
      </w:pPr>
      <w:r>
        <w:rPr>
          <w:rFonts w:ascii="Times New Roman" w:hAnsi="Times New Roman" w:cs="Times New Roman"/>
          <w:b w:val="0"/>
          <w:i w:val="0"/>
          <w:sz w:val="22"/>
        </w:rPr>
        <w:t>- Implement multisensor consensus (A4).</w:t>
      </w:r>
    </w:p>
    <w:p>
      <w:pPr>
        <w:spacing w:after="80" w:line="293" w:lineRule="auto"/>
        <w:ind w:left="283"/>
        <w:jc w:val="left"/>
      </w:pPr>
      <w:r>
        <w:rPr>
          <w:rFonts w:ascii="Times New Roman" w:hAnsi="Times New Roman" w:cs="Times New Roman"/>
          <w:b w:val="0"/>
          <w:i w:val="0"/>
          <w:sz w:val="22"/>
        </w:rPr>
        <w:t>- Implement loading guide generation (A1, Groq).</w:t>
      </w:r>
    </w:p>
    <w:p>
      <w:pPr>
        <w:spacing w:after="80" w:line="293" w:lineRule="auto"/>
        <w:jc w:val="left"/>
      </w:pPr>
      <w:r>
        <w:rPr>
          <w:rFonts w:ascii="Times New Roman" w:hAnsi="Times New Roman" w:cs="Times New Roman"/>
          <w:b w:val="0"/>
          <w:i w:val="0"/>
          <w:sz w:val="22"/>
        </w:rPr>
        <w:t>QC inspection:</w:t>
      </w:r>
    </w:p>
    <w:p>
      <w:pPr>
        <w:spacing w:after="80" w:line="293" w:lineRule="auto"/>
        <w:ind w:left="283"/>
        <w:jc w:val="left"/>
      </w:pPr>
      <w:r>
        <w:rPr>
          <w:rFonts w:ascii="Times New Roman" w:hAnsi="Times New Roman" w:cs="Times New Roman"/>
          <w:b w:val="0"/>
          <w:i w:val="0"/>
          <w:sz w:val="22"/>
        </w:rPr>
        <w:t>- Implement the standard inspection process (PASS/FAIL).</w:t>
      </w:r>
    </w:p>
    <w:p>
      <w:pPr>
        <w:spacing w:after="80" w:line="293" w:lineRule="auto"/>
        <w:ind w:left="283"/>
        <w:jc w:val="left"/>
      </w:pPr>
      <w:r>
        <w:rPr>
          <w:rFonts w:ascii="Times New Roman" w:hAnsi="Times New Roman" w:cs="Times New Roman"/>
          <w:b w:val="0"/>
          <w:i w:val="0"/>
          <w:sz w:val="22"/>
        </w:rPr>
        <w:t>- Implement conditional pass with action plan.</w:t>
      </w:r>
    </w:p>
    <w:p>
      <w:pPr>
        <w:spacing w:after="80" w:line="293" w:lineRule="auto"/>
        <w:ind w:left="283"/>
        <w:jc w:val="left"/>
      </w:pPr>
      <w:r>
        <w:rPr>
          <w:rFonts w:ascii="Times New Roman" w:hAnsi="Times New Roman" w:cs="Times New Roman"/>
          <w:b w:val="0"/>
          <w:i w:val="0"/>
          <w:sz w:val="22"/>
        </w:rPr>
        <w:t>- Implement the re-inspection request workflow.</w:t>
      </w:r>
    </w:p>
    <w:p>
      <w:pPr>
        <w:spacing w:after="80" w:line="293" w:lineRule="auto"/>
        <w:ind w:left="283"/>
        <w:jc w:val="left"/>
      </w:pPr>
      <w:r>
        <w:rPr>
          <w:rFonts w:ascii="Times New Roman" w:hAnsi="Times New Roman" w:cs="Times New Roman"/>
          <w:b w:val="0"/>
          <w:i w:val="0"/>
          <w:sz w:val="22"/>
        </w:rPr>
        <w:t>- Implement QC override flagging (mandatory reason ≥10 chars).</w:t>
      </w:r>
    </w:p>
    <w:p>
      <w:pPr>
        <w:spacing w:after="80" w:line="293" w:lineRule="auto"/>
        <w:ind w:left="283"/>
        <w:jc w:val="left"/>
      </w:pPr>
      <w:r>
        <w:rPr>
          <w:rFonts w:ascii="Times New Roman" w:hAnsi="Times New Roman" w:cs="Times New Roman"/>
          <w:b w:val="0"/>
          <w:i w:val="0"/>
          <w:sz w:val="22"/>
        </w:rPr>
        <w:t>- Implement AQL sampling enforcement.</w:t>
      </w:r>
    </w:p>
    <w:p>
      <w:pPr>
        <w:spacing w:after="80" w:line="293" w:lineRule="auto"/>
        <w:jc w:val="left"/>
      </w:pPr>
      <w:r>
        <w:rPr>
          <w:rFonts w:ascii="Times New Roman" w:hAnsi="Times New Roman" w:cs="Times New Roman"/>
          <w:b w:val="0"/>
          <w:i w:val="0"/>
          <w:sz w:val="22"/>
        </w:rPr>
        <w:t>Port gate &amp; customs:</w:t>
      </w:r>
    </w:p>
    <w:p>
      <w:pPr>
        <w:spacing w:after="80" w:line="293" w:lineRule="auto"/>
        <w:ind w:left="283"/>
        <w:jc w:val="left"/>
      </w:pPr>
      <w:r>
        <w:rPr>
          <w:rFonts w:ascii="Times New Roman" w:hAnsi="Times New Roman" w:cs="Times New Roman"/>
          <w:b w:val="0"/>
          <w:i w:val="0"/>
          <w:sz w:val="22"/>
        </w:rPr>
        <w:t>- Implement the Gate In milestone (OCR/manual).</w:t>
      </w:r>
    </w:p>
    <w:p>
      <w:pPr>
        <w:spacing w:after="80" w:line="293" w:lineRule="auto"/>
        <w:ind w:left="283"/>
        <w:jc w:val="left"/>
      </w:pPr>
      <w:r>
        <w:rPr>
          <w:rFonts w:ascii="Times New Roman" w:hAnsi="Times New Roman" w:cs="Times New Roman"/>
          <w:b w:val="0"/>
          <w:i w:val="0"/>
          <w:sz w:val="22"/>
        </w:rPr>
        <w:t>- Implement customs clearance (Nafeza API).</w:t>
      </w:r>
    </w:p>
    <w:p>
      <w:pPr>
        <w:spacing w:after="80" w:line="293" w:lineRule="auto"/>
        <w:ind w:left="283"/>
        <w:jc w:val="left"/>
      </w:pPr>
      <w:r>
        <w:rPr>
          <w:rFonts w:ascii="Times New Roman" w:hAnsi="Times New Roman" w:cs="Times New Roman"/>
          <w:b w:val="0"/>
          <w:i w:val="0"/>
          <w:sz w:val="22"/>
        </w:rPr>
        <w:t>- Implement eBL interoperability (HF Donut extraction).</w:t>
      </w:r>
    </w:p>
    <w:p>
      <w:pPr>
        <w:spacing w:after="80" w:line="293" w:lineRule="auto"/>
        <w:jc w:val="left"/>
      </w:pPr>
      <w:r>
        <w:rPr>
          <w:rFonts w:ascii="Times New Roman" w:hAnsi="Times New Roman" w:cs="Times New Roman"/>
          <w:b w:val="0"/>
          <w:i w:val="0"/>
          <w:sz w:val="22"/>
        </w:rPr>
        <w:t>Vessel tracking &amp; cold-chain:</w:t>
      </w:r>
    </w:p>
    <w:p>
      <w:pPr>
        <w:spacing w:after="80" w:line="293" w:lineRule="auto"/>
        <w:ind w:left="283"/>
        <w:jc w:val="left"/>
      </w:pPr>
      <w:r>
        <w:rPr>
          <w:rFonts w:ascii="Times New Roman" w:hAnsi="Times New Roman" w:cs="Times New Roman"/>
          <w:b w:val="0"/>
          <w:i w:val="0"/>
          <w:sz w:val="22"/>
        </w:rPr>
        <w:t>- Implement AIS integration (vessel position).</w:t>
      </w:r>
    </w:p>
    <w:p>
      <w:pPr>
        <w:spacing w:after="80" w:line="293" w:lineRule="auto"/>
        <w:ind w:left="283"/>
        <w:jc w:val="left"/>
      </w:pPr>
      <w:r>
        <w:rPr>
          <w:rFonts w:ascii="Times New Roman" w:hAnsi="Times New Roman" w:cs="Times New Roman"/>
          <w:b w:val="0"/>
          <w:i w:val="0"/>
          <w:sz w:val="22"/>
        </w:rPr>
        <w:t>- Implement digital twin simulation (ETA predictions).</w:t>
      </w:r>
    </w:p>
    <w:p>
      <w:pPr>
        <w:spacing w:after="80" w:line="293" w:lineRule="auto"/>
        <w:ind w:left="283"/>
        <w:jc w:val="left"/>
      </w:pPr>
      <w:r>
        <w:rPr>
          <w:rFonts w:ascii="Times New Roman" w:hAnsi="Times New Roman" w:cs="Times New Roman"/>
          <w:b w:val="0"/>
          <w:i w:val="0"/>
          <w:sz w:val="22"/>
        </w:rPr>
        <w:t>- Implement cold-chain monitoring (LSTM, A2).</w:t>
      </w:r>
    </w:p>
    <w:p>
      <w:pPr>
        <w:spacing w:after="80" w:line="293" w:lineRule="auto"/>
        <w:ind w:left="283"/>
        <w:jc w:val="left"/>
      </w:pPr>
      <w:r>
        <w:rPr>
          <w:rFonts w:ascii="Times New Roman" w:hAnsi="Times New Roman" w:cs="Times New Roman"/>
          <w:b w:val="0"/>
          <w:i w:val="0"/>
          <w:sz w:val="22"/>
        </w:rPr>
        <w:t>- Implement temperature excursion alerts.</w:t>
      </w:r>
    </w:p>
    <w:p>
      <w:pPr>
        <w:spacing w:after="80" w:line="293" w:lineRule="auto"/>
        <w:jc w:val="left"/>
      </w:pPr>
      <w:r>
        <w:rPr>
          <w:rFonts w:ascii="Times New Roman" w:hAnsi="Times New Roman" w:cs="Times New Roman"/>
          <w:b w:val="0"/>
          <w:i w:val="0"/>
          <w:sz w:val="22"/>
        </w:rPr>
        <w:t>Arrival &amp; delivery:</w:t>
      </w:r>
    </w:p>
    <w:p>
      <w:pPr>
        <w:spacing w:after="80" w:line="293" w:lineRule="auto"/>
        <w:ind w:left="283"/>
        <w:jc w:val="left"/>
      </w:pPr>
      <w:r>
        <w:rPr>
          <w:rFonts w:ascii="Times New Roman" w:hAnsi="Times New Roman" w:cs="Times New Roman"/>
          <w:b w:val="0"/>
          <w:i w:val="0"/>
          <w:sz w:val="22"/>
        </w:rPr>
        <w:t>- Implement arrival milestone confirmation (shipping line).</w:t>
      </w:r>
    </w:p>
    <w:p>
      <w:pPr>
        <w:spacing w:after="80" w:line="293" w:lineRule="auto"/>
        <w:ind w:left="283"/>
        <w:jc w:val="left"/>
      </w:pPr>
      <w:r>
        <w:rPr>
          <w:rFonts w:ascii="Times New Roman" w:hAnsi="Times New Roman" w:cs="Times New Roman"/>
          <w:b w:val="0"/>
          <w:i w:val="0"/>
          <w:sz w:val="22"/>
        </w:rPr>
        <w:t>- Implement import customs clearance (buyer/broker).</w:t>
      </w:r>
    </w:p>
    <w:p>
      <w:pPr>
        <w:spacing w:after="80" w:line="293" w:lineRule="auto"/>
        <w:ind w:left="283"/>
        <w:jc w:val="left"/>
      </w:pPr>
      <w:r>
        <w:rPr>
          <w:rFonts w:ascii="Times New Roman" w:hAnsi="Times New Roman" w:cs="Times New Roman"/>
          <w:b w:val="0"/>
          <w:i w:val="0"/>
          <w:sz w:val="22"/>
        </w:rPr>
        <w:t>- Implement delivery confirmation (one click or voice).</w:t>
      </w:r>
    </w:p>
    <w:p>
      <w:pPr>
        <w:spacing w:after="80" w:line="293" w:lineRule="auto"/>
        <w:jc w:val="left"/>
      </w:pPr>
      <w:r>
        <w:rPr>
          <w:rFonts w:ascii="Times New Roman" w:hAnsi="Times New Roman" w:cs="Times New Roman"/>
          <w:b w:val="0"/>
          <w:i w:val="0"/>
          <w:sz w:val="22"/>
        </w:rPr>
        <w:t>Stuck trade recovery:</w:t>
      </w:r>
    </w:p>
    <w:p>
      <w:pPr>
        <w:spacing w:after="80" w:line="293" w:lineRule="auto"/>
        <w:ind w:left="283"/>
        <w:jc w:val="left"/>
      </w:pPr>
      <w:r>
        <w:rPr>
          <w:rFonts w:ascii="Times New Roman" w:hAnsi="Times New Roman" w:cs="Times New Roman"/>
          <w:b w:val="0"/>
          <w:i w:val="0"/>
          <w:sz w:val="22"/>
        </w:rPr>
        <w:t>- Implement stuck trade escalation (12h, 24h, 48h).</w:t>
      </w:r>
    </w:p>
    <w:p>
      <w:pPr>
        <w:spacing w:after="80" w:line="293" w:lineRule="auto"/>
        <w:ind w:left="283"/>
        <w:jc w:val="left"/>
      </w:pPr>
      <w:r>
        <w:rPr>
          <w:rFonts w:ascii="Times New Roman" w:hAnsi="Times New Roman" w:cs="Times New Roman"/>
          <w:b w:val="0"/>
          <w:i w:val="0"/>
          <w:sz w:val="22"/>
        </w:rPr>
        <w:t>- Implement Smart Inbox reminders.</w:t>
      </w:r>
    </w:p>
    <w:p>
      <w:pPr>
        <w:spacing w:after="80" w:line="293" w:lineRule="auto"/>
        <w:ind w:left="283"/>
        <w:jc w:val="left"/>
      </w:pPr>
      <w:r>
        <w:rPr>
          <w:rFonts w:ascii="Times New Roman" w:hAnsi="Times New Roman" w:cs="Times New Roman"/>
          <w:b w:val="0"/>
          <w:i w:val="0"/>
          <w:sz w:val="22"/>
        </w:rPr>
        <w:t>- Implement Admin Portal alerts.</w:t>
      </w:r>
    </w:p>
    <w:p>
      <w:pPr>
        <w:spacing w:after="80" w:line="293" w:lineRule="auto"/>
        <w:ind w:left="283"/>
        <w:jc w:val="left"/>
      </w:pPr>
      <w:r>
        <w:rPr>
          <w:rFonts w:ascii="Times New Roman" w:hAnsi="Times New Roman" w:cs="Times New Roman"/>
          <w:b w:val="0"/>
          <w:i w:val="0"/>
          <w:sz w:val="22"/>
        </w:rPr>
        <w:t>- Implement human mediator escalation (A3).</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Test the full loading workflow (pre-advice → release → scanning → auto-confirm).</w:t>
      </w:r>
    </w:p>
    <w:p>
      <w:pPr>
        <w:spacing w:after="80" w:line="293" w:lineRule="auto"/>
        <w:ind w:left="283"/>
        <w:jc w:val="left"/>
      </w:pPr>
      <w:r>
        <w:rPr>
          <w:rFonts w:ascii="Times New Roman" w:hAnsi="Times New Roman" w:cs="Times New Roman"/>
          <w:b w:val="0"/>
          <w:i w:val="0"/>
          <w:sz w:val="22"/>
        </w:rPr>
        <w:t>- Test conditional QC with action plan (hold → complete → verify).</w:t>
      </w:r>
    </w:p>
    <w:p>
      <w:pPr>
        <w:spacing w:after="80" w:line="293" w:lineRule="auto"/>
        <w:ind w:left="283"/>
        <w:jc w:val="left"/>
      </w:pPr>
      <w:r>
        <w:rPr>
          <w:rFonts w:ascii="Times New Roman" w:hAnsi="Times New Roman" w:cs="Times New Roman"/>
          <w:b w:val="0"/>
          <w:i w:val="0"/>
          <w:sz w:val="22"/>
        </w:rPr>
        <w:t>- Test re-inspection request and acceptance.</w:t>
      </w:r>
    </w:p>
    <w:p>
      <w:pPr>
        <w:spacing w:after="80" w:line="293" w:lineRule="auto"/>
        <w:ind w:left="283"/>
        <w:jc w:val="left"/>
      </w:pPr>
      <w:r>
        <w:rPr>
          <w:rFonts w:ascii="Times New Roman" w:hAnsi="Times New Roman" w:cs="Times New Roman"/>
          <w:b w:val="0"/>
          <w:i w:val="0"/>
          <w:sz w:val="22"/>
        </w:rPr>
        <w:t>- Test AIS integration and ETA predictions.</w:t>
      </w:r>
    </w:p>
    <w:p>
      <w:pPr>
        <w:spacing w:after="80" w:line="293" w:lineRule="auto"/>
        <w:ind w:left="283"/>
        <w:jc w:val="left"/>
      </w:pPr>
      <w:r>
        <w:rPr>
          <w:rFonts w:ascii="Times New Roman" w:hAnsi="Times New Roman" w:cs="Times New Roman"/>
          <w:b w:val="0"/>
          <w:i w:val="0"/>
          <w:sz w:val="22"/>
        </w:rPr>
        <w:t>- Test cold-chain anomaly detection and alerting.</w:t>
      </w:r>
    </w:p>
    <w:p>
      <w:pPr>
        <w:spacing w:after="80" w:line="293" w:lineRule="auto"/>
        <w:ind w:left="283"/>
        <w:jc w:val="left"/>
      </w:pPr>
      <w:r>
        <w:rPr>
          <w:rFonts w:ascii="Times New Roman" w:hAnsi="Times New Roman" w:cs="Times New Roman"/>
          <w:b w:val="0"/>
          <w:i w:val="0"/>
          <w:sz w:val="22"/>
        </w:rPr>
        <w:t>- Test stuck trade recovery (12h/24h/48h escalations).</w:t>
      </w:r>
    </w:p>
    <w:p>
      <w:pPr>
        <w:spacing w:after="80" w:line="293" w:lineRule="auto"/>
        <w:ind w:left="283"/>
        <w:jc w:val="left"/>
      </w:pPr>
      <w:r>
        <w:rPr>
          <w:rFonts w:ascii="Times New Roman" w:hAnsi="Times New Roman" w:cs="Times New Roman"/>
          <w:b w:val="0"/>
          <w:i w:val="0"/>
          <w:sz w:val="22"/>
        </w:rPr>
        <w:t>- Test multi-shipment independent milestones.</w:t>
      </w:r>
    </w:p>
    <w:p>
      <w:pPr>
        <w:keepNext/>
        <w:spacing w:before="180" w:after="80"/>
        <w:outlineLvl w:val="2"/>
      </w:pPr>
      <w:r>
        <w:rPr>
          <w:rFonts w:ascii="Arial" w:hAnsi="Arial" w:cs="Arial"/>
          <w:b/>
          <w:i w:val="0"/>
          <w:color w:val="333333"/>
          <w:sz w:val="23"/>
        </w:rPr>
        <w:t>12.8.3 AI Authority Summary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Authority</w:t>
            </w:r>
          </w:p>
        </w:tc>
        <w:tc>
          <w:tcPr>
            <w:tcW w:type="dxa" w:w="4819"/>
            <w:shd w:val="clear" w:fill="D9E2F3"/>
          </w:tcPr>
          <w:p>
            <w:pPr>
              <w:spacing w:after="20" w:before="20" w:line="240" w:lineRule="auto"/>
            </w:pPr>
            <w:r/>
            <w:r>
              <w:rPr>
                <w:rFonts w:ascii="Arial" w:hAnsi="Arial" w:cs="Arial"/>
                <w:b/>
                <w:i w:val="0"/>
                <w:sz w:val="18"/>
              </w:rPr>
              <w:t>Role in Phase 5</w:t>
            </w:r>
          </w:p>
        </w:tc>
      </w:tr>
      <w:tr>
        <w:tc>
          <w:tcPr>
            <w:tcW w:type="dxa" w:w="4819"/>
          </w:tcPr>
          <w:p>
            <w:pPr>
              <w:spacing w:after="20" w:before="20" w:line="240" w:lineRule="auto"/>
            </w:pPr>
            <w:r/>
            <w:r>
              <w:rPr>
                <w:rFonts w:ascii="Arial" w:hAnsi="Arial" w:cs="Arial"/>
                <w:b w:val="0"/>
                <w:i w:val="0"/>
                <w:sz w:val="17"/>
              </w:rPr>
              <w:t>A1 (advisory)</w:t>
            </w:r>
          </w:p>
        </w:tc>
        <w:tc>
          <w:tcPr>
            <w:tcW w:type="dxa" w:w="4819"/>
          </w:tcPr>
          <w:p>
            <w:pPr>
              <w:spacing w:after="20" w:before="20" w:line="240" w:lineRule="auto"/>
            </w:pPr>
            <w:r/>
            <w:r>
              <w:rPr>
                <w:rFonts w:ascii="Arial" w:hAnsi="Arial" w:cs="Arial"/>
                <w:b w:val="0"/>
                <w:i w:val="0"/>
                <w:sz w:val="17"/>
              </w:rPr>
              <w:t>Loading guide generation; Groq alerts and instructions; cold-chain alert narratives</w:t>
            </w:r>
          </w:p>
        </w:tc>
      </w:tr>
      <w:tr>
        <w:tc>
          <w:tcPr>
            <w:tcW w:type="dxa" w:w="4819"/>
          </w:tcPr>
          <w:p>
            <w:pPr>
              <w:spacing w:after="20" w:before="20" w:line="240" w:lineRule="auto"/>
            </w:pPr>
            <w:r/>
            <w:r>
              <w:rPr>
                <w:rFonts w:ascii="Arial" w:hAnsi="Arial" w:cs="Arial"/>
                <w:b w:val="0"/>
                <w:i w:val="0"/>
                <w:sz w:val="17"/>
              </w:rPr>
              <w:t>A2 (constraining)</w:t>
            </w:r>
          </w:p>
        </w:tc>
        <w:tc>
          <w:tcPr>
            <w:tcW w:type="dxa" w:w="4819"/>
          </w:tcPr>
          <w:p>
            <w:pPr>
              <w:spacing w:after="20" w:before="20" w:line="240" w:lineRule="auto"/>
            </w:pPr>
            <w:r/>
            <w:r>
              <w:rPr>
                <w:rFonts w:ascii="Arial" w:hAnsi="Arial" w:cs="Arial"/>
                <w:b w:val="0"/>
                <w:i w:val="0"/>
                <w:sz w:val="17"/>
              </w:rPr>
              <w:t>Booking confirmation extraction (HF Donut); defect detection (HF ViT) and override enforcement; MRL validation; eBL issuance extraction; digital twin ETA simulation; cold-chain LSTM; AIS anomaly monitoring; barcode reliability prediction</w:t>
            </w:r>
          </w:p>
        </w:tc>
      </w:tr>
      <w:tr>
        <w:tc>
          <w:tcPr>
            <w:tcW w:type="dxa" w:w="4819"/>
          </w:tcPr>
          <w:p>
            <w:pPr>
              <w:spacing w:after="20" w:before="20" w:line="240" w:lineRule="auto"/>
            </w:pPr>
            <w:r/>
            <w:r>
              <w:rPr>
                <w:rFonts w:ascii="Arial" w:hAnsi="Arial" w:cs="Arial"/>
                <w:b w:val="0"/>
                <w:i w:val="0"/>
                <w:sz w:val="17"/>
              </w:rPr>
              <w:t>A3 (escalation)</w:t>
            </w:r>
          </w:p>
        </w:tc>
        <w:tc>
          <w:tcPr>
            <w:tcW w:type="dxa" w:w="4819"/>
          </w:tcPr>
          <w:p>
            <w:pPr>
              <w:spacing w:after="20" w:before="20" w:line="240" w:lineRule="auto"/>
            </w:pPr>
            <w:r/>
            <w:r>
              <w:rPr>
                <w:rFonts w:ascii="Arial" w:hAnsi="Arial" w:cs="Arial"/>
                <w:b w:val="0"/>
                <w:i w:val="0"/>
                <w:sz w:val="17"/>
              </w:rPr>
              <w:t>Human mediator escalation for stuck trades; re-inspection acceptance</w:t>
            </w:r>
          </w:p>
        </w:tc>
      </w:tr>
      <w:tr>
        <w:tc>
          <w:tcPr>
            <w:tcW w:type="dxa" w:w="4819"/>
          </w:tcPr>
          <w:p>
            <w:pPr>
              <w:spacing w:after="20" w:before="20" w:line="240" w:lineRule="auto"/>
            </w:pPr>
            <w:r/>
            <w:r>
              <w:rPr>
                <w:rFonts w:ascii="Arial" w:hAnsi="Arial" w:cs="Arial"/>
                <w:b w:val="0"/>
                <w:i w:val="0"/>
                <w:sz w:val="17"/>
              </w:rPr>
              <w:t>A4 (constitutional)</w:t>
            </w:r>
          </w:p>
        </w:tc>
        <w:tc>
          <w:tcPr>
            <w:tcW w:type="dxa" w:w="4819"/>
          </w:tcPr>
          <w:p>
            <w:pPr>
              <w:spacing w:after="20" w:before="20" w:line="240" w:lineRule="auto"/>
            </w:pPr>
            <w:r/>
            <w:r>
              <w:rPr>
                <w:rFonts w:ascii="Arial" w:hAnsi="Arial" w:cs="Arial"/>
                <w:b w:val="0"/>
                <w:i w:val="0"/>
                <w:sz w:val="17"/>
              </w:rPr>
              <w:t>Milestone confirmation validation; multisensor consensus; conditional QC holds; release authorisation enforcement; stuck trade escalation gating</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12.7 Milestone-Triggered Payment Execution</w:t>
      </w:r>
    </w:p>
    <w:p>
      <w:pPr>
        <w:spacing w:after="80" w:line="293" w:lineRule="auto"/>
        <w:jc w:val="left"/>
      </w:pPr>
      <w:r>
        <w:rPr>
          <w:rFonts w:ascii="Times New Roman" w:hAnsi="Times New Roman" w:cs="Times New Roman"/>
          <w:b w:val="0"/>
          <w:i w:val="0"/>
          <w:sz w:val="22"/>
        </w:rPr>
        <w:t>Every payment leg of the USTN Multi-Leg Settlement Manifest executes when — and only when — its milestone condition is confirmed by the physical execution tracking of this phase. The milestone confirmation logic of Sections 12.1–12.6 (multisource consensus, truth triangulation, evidence quality) is therefore the payment trigger engine: a leg never fires on a planned event, only on a verified one.</w:t>
      </w:r>
    </w:p>
    <w:p>
      <w:pPr>
        <w:keepNext/>
        <w:spacing w:before="180" w:after="80"/>
        <w:outlineLvl w:val="2"/>
      </w:pPr>
      <w:r>
        <w:rPr>
          <w:rFonts w:ascii="Arial" w:hAnsi="Arial" w:cs="Arial"/>
          <w:b/>
          <w:i w:val="0"/>
          <w:color w:val="333333"/>
          <w:sz w:val="23"/>
        </w:rPr>
        <w:t>12.7.1 Container Release &amp; Loading</w:t>
      </w:r>
    </w:p>
    <w:p>
      <w:pPr>
        <w:spacing w:after="80" w:line="293" w:lineRule="auto"/>
        <w:jc w:val="left"/>
      </w:pPr>
      <w:r>
        <w:rPr>
          <w:rFonts w:ascii="Times New Roman" w:hAnsi="Times New Roman" w:cs="Times New Roman"/>
          <w:b/>
          <w:i w:val="0"/>
          <w:sz w:val="22"/>
        </w:rPr>
        <w:t>Actor:</w:t>
      </w:r>
      <w:r>
        <w:rPr>
          <w:rFonts w:ascii="Times New Roman" w:hAnsi="Times New Roman" w:cs="Times New Roman"/>
          <w:b w:val="0"/>
          <w:i w:val="0"/>
          <w:sz w:val="22"/>
        </w:rPr>
        <w:t xml:space="preserve"> LSP / Warehouse / System</w:t>
      </w:r>
    </w:p>
    <w:p>
      <w:pPr>
        <w:spacing w:after="80" w:line="293" w:lineRule="auto"/>
        <w:jc w:val="left"/>
      </w:pPr>
      <w:r>
        <w:rPr>
          <w:rFonts w:ascii="Times New Roman" w:hAnsi="Times New Roman" w:cs="Times New Roman"/>
          <w:b/>
          <w:i w:val="0"/>
          <w:sz w:val="22"/>
        </w:rPr>
        <w:t>Steps:</w:t>
      </w:r>
    </w:p>
    <w:p>
      <w:pPr>
        <w:spacing w:after="80" w:line="293" w:lineRule="auto"/>
        <w:jc w:val="left"/>
      </w:pPr>
      <w:r>
        <w:rPr>
          <w:rFonts w:ascii="Times New Roman" w:hAnsi="Times New Roman" w:cs="Times New Roman"/>
          <w:b w:val="0"/>
          <w:i w:val="0"/>
          <w:sz w:val="22"/>
        </w:rPr>
        <w:t>1. Container release pre-advice sent to terminal</w:t>
      </w:r>
    </w:p>
    <w:p>
      <w:pPr>
        <w:spacing w:after="80" w:line="293" w:lineRule="auto"/>
        <w:jc w:val="left"/>
      </w:pPr>
      <w:r>
        <w:rPr>
          <w:rFonts w:ascii="Times New Roman" w:hAnsi="Times New Roman" w:cs="Times New Roman"/>
          <w:b w:val="0"/>
          <w:i w:val="0"/>
          <w:sz w:val="22"/>
        </w:rPr>
        <w:t>2. LSP acknowledges release (token)</w:t>
      </w:r>
    </w:p>
    <w:p>
      <w:pPr>
        <w:spacing w:after="80" w:line="293" w:lineRule="auto"/>
        <w:jc w:val="left"/>
      </w:pPr>
      <w:r>
        <w:rPr>
          <w:rFonts w:ascii="Times New Roman" w:hAnsi="Times New Roman" w:cs="Times New Roman"/>
          <w:b w:val="0"/>
          <w:i w:val="0"/>
          <w:sz w:val="22"/>
        </w:rPr>
        <w:t>3. Warehouse loads pallets (barcode scanning)</w:t>
      </w:r>
    </w:p>
    <w:p>
      <w:pPr>
        <w:spacing w:after="80" w:line="293" w:lineRule="auto"/>
        <w:jc w:val="left"/>
      </w:pPr>
      <w:r>
        <w:rPr>
          <w:rFonts w:ascii="Times New Roman" w:hAnsi="Times New Roman" w:cs="Times New Roman"/>
          <w:b w:val="0"/>
          <w:i w:val="0"/>
          <w:sz w:val="22"/>
        </w:rPr>
        <w:t>4. Each scan is Loom-logged</w:t>
      </w:r>
    </w:p>
    <w:p>
      <w:pPr>
        <w:spacing w:after="80" w:line="293" w:lineRule="auto"/>
        <w:jc w:val="left"/>
      </w:pPr>
      <w:r>
        <w:rPr>
          <w:rFonts w:ascii="Times New Roman" w:hAnsi="Times New Roman" w:cs="Times New Roman"/>
          <w:b w:val="0"/>
          <w:i w:val="0"/>
          <w:sz w:val="22"/>
        </w:rPr>
        <w:t>5. System validates all pallets loaded</w:t>
      </w:r>
    </w:p>
    <w:p>
      <w:pPr>
        <w:spacing w:after="80" w:line="293" w:lineRule="auto"/>
        <w:jc w:val="left"/>
      </w:pPr>
      <w:r>
        <w:rPr>
          <w:rFonts w:ascii="Times New Roman" w:hAnsi="Times New Roman" w:cs="Times New Roman"/>
          <w:b w:val="0"/>
          <w:i w:val="0"/>
          <w:sz w:val="22"/>
        </w:rPr>
        <w:t>6. LOADED milestone confirmed (auto-consensus)</w:t>
      </w:r>
    </w:p>
    <w:p>
      <w:pPr>
        <w:spacing w:after="80" w:line="293" w:lineRule="auto"/>
        <w:jc w:val="left"/>
      </w:pPr>
      <w:r>
        <w:rPr>
          <w:rFonts w:ascii="Times New Roman" w:hAnsi="Times New Roman" w:cs="Times New Roman"/>
          <w:b/>
          <w:i w:val="0"/>
          <w:sz w:val="22"/>
        </w:rPr>
        <w:t>Payment Condition Check:</w:t>
      </w:r>
      <w:r>
        <w:rPr>
          <w:rFonts w:ascii="Times New Roman" w:hAnsi="Times New Roman" w:cs="Times New Roman"/>
          <w:b w:val="0"/>
          <w:i w:val="0"/>
          <w:sz w:val="22"/>
        </w:rPr>
        <w:t xml:space="preserve"> No payment triggered (condition: DEPARTED). The LOADED milestone confirms physical readiness; the freight leg waits for DEPARTED.</w:t>
      </w:r>
    </w:p>
    <w:p>
      <w:pPr>
        <w:keepNext/>
        <w:spacing w:before="180" w:after="80"/>
        <w:outlineLvl w:val="2"/>
      </w:pPr>
      <w:r>
        <w:rPr>
          <w:rFonts w:ascii="Arial" w:hAnsi="Arial" w:cs="Arial"/>
          <w:b/>
          <w:i w:val="0"/>
          <w:color w:val="333333"/>
          <w:sz w:val="23"/>
        </w:rPr>
        <w:t>12.7.2 CUSTOMS_SUBMITTED Milestone — Lab/Phyto Payments</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Customs declaration submitted to Nafeza</w:t>
      </w:r>
    </w:p>
    <w:p>
      <w:pPr>
        <w:spacing w:after="80" w:line="293" w:lineRule="auto"/>
        <w:jc w:val="left"/>
      </w:pPr>
      <w:r>
        <w:rPr>
          <w:rFonts w:ascii="Times New Roman" w:hAnsi="Times New Roman" w:cs="Times New Roman"/>
          <w:b/>
          <w:i w:val="0"/>
          <w:sz w:val="22"/>
        </w:rPr>
        <w:t>Payment Trigger Sequence:</w:t>
      </w:r>
    </w:p>
    <w:p>
      <w:pPr>
        <w:spacing w:after="0" w:before="0" w:line="240" w:lineRule="auto"/>
        <w:ind w:left="57"/>
        <w:jc w:val="left"/>
        <w:shd w:val="clear" w:fill="F2F2F2"/>
      </w:pPr>
      <w:r>
        <w:rPr>
          <w:rFonts w:ascii="Consolas" w:hAnsi="Consolas" w:cs="Consolas"/>
          <w:b w:val="0"/>
          <w:i w:val="0"/>
          <w:sz w:val="15"/>
        </w:rPr>
        <w:t>CUSTOMS_SUBMITTED Milestone Confirmed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sends ISO 20022 pain.001 (EGP Lab/Phyto legs)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debits Buyer's EGP account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credits GOEIC (LEG_LAB_EGP) and CAPQ (LEG_PHYTO_EGP)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sends camt.054 to SGTX (EndToEndId: SGTX-EG-26-F3A-1-LEG_LAB_EGP)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extracts EndToEndId, matches to USTN and leg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updates leg status to SETTLED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Nafeza receives payment confirmation (via bank notification)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Nafeza releases customs clearance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camt.054 Confirmation Example:</w:t>
      </w:r>
    </w:p>
    <w:p>
      <w:pPr>
        <w:spacing w:after="0" w:before="0" w:line="240" w:lineRule="auto"/>
        <w:ind w:left="57"/>
        <w:jc w:val="left"/>
        <w:shd w:val="clear" w:fill="F2F2F2"/>
      </w:pPr>
      <w:r>
        <w:rPr>
          <w:rFonts w:ascii="Consolas" w:hAnsi="Consolas" w:cs="Consolas"/>
          <w:b w:val="0"/>
          <w:i w:val="0"/>
          <w:sz w:val="16"/>
        </w:rPr>
        <w:t>&lt;camt.054.001.08&gt;</w:t>
      </w:r>
    </w:p>
    <w:p>
      <w:pPr>
        <w:spacing w:after="0" w:before="0" w:line="240" w:lineRule="auto"/>
        <w:ind w:left="57"/>
        <w:jc w:val="left"/>
        <w:shd w:val="clear" w:fill="F2F2F2"/>
      </w:pPr>
      <w:r>
        <w:rPr>
          <w:rFonts w:ascii="Consolas" w:hAnsi="Consolas" w:cs="Consolas"/>
          <w:b w:val="0"/>
          <w:i w:val="0"/>
          <w:sz w:val="16"/>
        </w:rPr>
        <w:t xml:space="preserve">  &lt;GrpHdr&gt;</w:t>
      </w:r>
    </w:p>
    <w:p>
      <w:pPr>
        <w:spacing w:after="0" w:before="0" w:line="240" w:lineRule="auto"/>
        <w:ind w:left="57"/>
        <w:jc w:val="left"/>
        <w:shd w:val="clear" w:fill="F2F2F2"/>
      </w:pPr>
      <w:r>
        <w:rPr>
          <w:rFonts w:ascii="Consolas" w:hAnsi="Consolas" w:cs="Consolas"/>
          <w:b w:val="0"/>
          <w:i w:val="0"/>
          <w:sz w:val="16"/>
        </w:rPr>
        <w:t xml:space="preserve">    &lt;MsgId&gt;BANK-MSG-001&lt;/MsgId&gt;</w:t>
      </w:r>
    </w:p>
    <w:p>
      <w:pPr>
        <w:spacing w:after="0" w:before="0" w:line="240" w:lineRule="auto"/>
        <w:ind w:left="57"/>
        <w:jc w:val="left"/>
        <w:shd w:val="clear" w:fill="F2F2F2"/>
      </w:pPr>
      <w:r>
        <w:rPr>
          <w:rFonts w:ascii="Consolas" w:hAnsi="Consolas" w:cs="Consolas"/>
          <w:b w:val="0"/>
          <w:i w:val="0"/>
          <w:sz w:val="16"/>
        </w:rPr>
        <w:t xml:space="preserve">    &lt;CreDtTm&gt;2026-09-07T10:45:00Z&lt;/CreDtTm&gt;</w:t>
      </w:r>
    </w:p>
    <w:p>
      <w:pPr>
        <w:spacing w:after="0" w:before="0" w:line="240" w:lineRule="auto"/>
        <w:ind w:left="57"/>
        <w:jc w:val="left"/>
        <w:shd w:val="clear" w:fill="F2F2F2"/>
      </w:pPr>
      <w:r>
        <w:rPr>
          <w:rFonts w:ascii="Consolas" w:hAnsi="Consolas" w:cs="Consolas"/>
          <w:b w:val="0"/>
          <w:i w:val="0"/>
          <w:sz w:val="16"/>
        </w:rPr>
        <w:t xml:space="preserve">  &lt;/GrpHdr&gt;</w:t>
      </w:r>
    </w:p>
    <w:p>
      <w:pPr>
        <w:spacing w:after="0" w:before="0" w:line="240" w:lineRule="auto"/>
        <w:ind w:left="57"/>
        <w:jc w:val="left"/>
        <w:shd w:val="clear" w:fill="F2F2F2"/>
      </w:pPr>
      <w:r>
        <w:rPr>
          <w:rFonts w:ascii="Consolas" w:hAnsi="Consolas" w:cs="Consolas"/>
          <w:b w:val="0"/>
          <w:i w:val="0"/>
          <w:sz w:val="16"/>
        </w:rPr>
        <w:t xml:space="preserve">  &lt;Ntfctn&gt;</w:t>
      </w:r>
    </w:p>
    <w:p>
      <w:pPr>
        <w:spacing w:after="0" w:before="0" w:line="240" w:lineRule="auto"/>
        <w:ind w:left="57"/>
        <w:jc w:val="left"/>
        <w:shd w:val="clear" w:fill="F2F2F2"/>
      </w:pPr>
      <w:r>
        <w:rPr>
          <w:rFonts w:ascii="Consolas" w:hAnsi="Consolas" w:cs="Consolas"/>
          <w:b w:val="0"/>
          <w:i w:val="0"/>
          <w:sz w:val="16"/>
        </w:rPr>
        <w:t xml:space="preserve">    &lt;Ntry&gt;</w:t>
      </w:r>
    </w:p>
    <w:p>
      <w:pPr>
        <w:spacing w:after="0" w:before="0" w:line="240" w:lineRule="auto"/>
        <w:ind w:left="57"/>
        <w:jc w:val="left"/>
        <w:shd w:val="clear" w:fill="F2F2F2"/>
      </w:pPr>
      <w:r>
        <w:rPr>
          <w:rFonts w:ascii="Consolas" w:hAnsi="Consolas" w:cs="Consolas"/>
          <w:b w:val="0"/>
          <w:i w:val="0"/>
          <w:sz w:val="16"/>
        </w:rPr>
        <w:t xml:space="preserve">      &lt;NtryRef&gt;ENTRY-001&lt;/NtryRef&gt;</w:t>
      </w:r>
    </w:p>
    <w:p>
      <w:pPr>
        <w:spacing w:after="0" w:before="0" w:line="240" w:lineRule="auto"/>
        <w:ind w:left="57"/>
        <w:jc w:val="left"/>
        <w:shd w:val="clear" w:fill="F2F2F2"/>
      </w:pPr>
      <w:r>
        <w:rPr>
          <w:rFonts w:ascii="Consolas" w:hAnsi="Consolas" w:cs="Consolas"/>
          <w:b w:val="0"/>
          <w:i w:val="0"/>
          <w:sz w:val="16"/>
        </w:rPr>
        <w:t xml:space="preserve">      &lt;Amt Ccy="EGP"&gt;3000.00&lt;/Amt&gt;</w:t>
      </w:r>
    </w:p>
    <w:p>
      <w:pPr>
        <w:spacing w:after="0" w:before="0" w:line="240" w:lineRule="auto"/>
        <w:ind w:left="57"/>
        <w:jc w:val="left"/>
        <w:shd w:val="clear" w:fill="F2F2F2"/>
      </w:pPr>
      <w:r>
        <w:rPr>
          <w:rFonts w:ascii="Consolas" w:hAnsi="Consolas" w:cs="Consolas"/>
          <w:b w:val="0"/>
          <w:i w:val="0"/>
          <w:sz w:val="16"/>
        </w:rPr>
        <w:t xml:space="preserve">      &lt;CdtDbtInd&gt;DBIT&lt;/CdtDbtInd&gt;</w:t>
      </w:r>
    </w:p>
    <w:p>
      <w:pPr>
        <w:spacing w:after="0" w:before="0" w:line="240" w:lineRule="auto"/>
        <w:ind w:left="57"/>
        <w:jc w:val="left"/>
        <w:shd w:val="clear" w:fill="F2F2F2"/>
      </w:pPr>
      <w:r>
        <w:rPr>
          <w:rFonts w:ascii="Consolas" w:hAnsi="Consolas" w:cs="Consolas"/>
          <w:b w:val="0"/>
          <w:i w:val="0"/>
          <w:sz w:val="16"/>
        </w:rPr>
        <w:t xml:space="preserve">      &lt;NtryDtls&gt;</w:t>
      </w:r>
    </w:p>
    <w:p>
      <w:pPr>
        <w:spacing w:after="0" w:before="0" w:line="240" w:lineRule="auto"/>
        <w:ind w:left="57"/>
        <w:jc w:val="left"/>
        <w:shd w:val="clear" w:fill="F2F2F2"/>
      </w:pPr>
      <w:r>
        <w:rPr>
          <w:rFonts w:ascii="Consolas" w:hAnsi="Consolas" w:cs="Consolas"/>
          <w:b w:val="0"/>
          <w:i w:val="0"/>
          <w:sz w:val="16"/>
        </w:rPr>
        <w:t xml:space="preserve">        &lt;TxDtls&gt;</w:t>
      </w:r>
    </w:p>
    <w:p>
      <w:pPr>
        <w:spacing w:after="0" w:before="0" w:line="240" w:lineRule="auto"/>
        <w:ind w:left="57"/>
        <w:jc w:val="left"/>
        <w:shd w:val="clear" w:fill="F2F2F2"/>
      </w:pPr>
      <w:r>
        <w:rPr>
          <w:rFonts w:ascii="Consolas" w:hAnsi="Consolas" w:cs="Consolas"/>
          <w:b w:val="0"/>
          <w:i w:val="0"/>
          <w:sz w:val="16"/>
        </w:rPr>
        <w:t xml:space="preserve">          &lt;Refs&gt;</w:t>
      </w:r>
    </w:p>
    <w:p>
      <w:pPr>
        <w:spacing w:after="0" w:before="0" w:line="240" w:lineRule="auto"/>
        <w:ind w:left="57"/>
        <w:jc w:val="left"/>
        <w:shd w:val="clear" w:fill="F2F2F2"/>
      </w:pPr>
      <w:r>
        <w:rPr>
          <w:rFonts w:ascii="Consolas" w:hAnsi="Consolas" w:cs="Consolas"/>
          <w:b w:val="0"/>
          <w:i w:val="0"/>
          <w:sz w:val="16"/>
        </w:rPr>
        <w:t xml:space="preserve">            &lt;EndToEndId&gt;SGTX-EG-26-F3A-1-LEG_LAB_EGP&lt;/EndToEndId&gt;</w:t>
      </w:r>
    </w:p>
    <w:p>
      <w:pPr>
        <w:spacing w:after="0" w:before="0" w:line="240" w:lineRule="auto"/>
        <w:ind w:left="57"/>
        <w:jc w:val="left"/>
        <w:shd w:val="clear" w:fill="F2F2F2"/>
      </w:pPr>
      <w:r>
        <w:rPr>
          <w:rFonts w:ascii="Consolas" w:hAnsi="Consolas" w:cs="Consolas"/>
          <w:b w:val="0"/>
          <w:i w:val="0"/>
          <w:sz w:val="16"/>
        </w:rPr>
        <w:t xml:space="preserve">            &lt;UETR&gt;234f5678-e89b-12d3-a456-426614174001&lt;/UETR&gt;</w:t>
      </w:r>
    </w:p>
    <w:p>
      <w:pPr>
        <w:spacing w:after="0" w:before="0" w:line="240" w:lineRule="auto"/>
        <w:ind w:left="57"/>
        <w:jc w:val="left"/>
        <w:shd w:val="clear" w:fill="F2F2F2"/>
      </w:pPr>
      <w:r>
        <w:rPr>
          <w:rFonts w:ascii="Consolas" w:hAnsi="Consolas" w:cs="Consolas"/>
          <w:b w:val="0"/>
          <w:i w:val="0"/>
          <w:sz w:val="16"/>
        </w:rPr>
        <w:t xml:space="preserve">          &lt;/Refs&gt;</w:t>
      </w:r>
    </w:p>
    <w:p>
      <w:pPr>
        <w:spacing w:after="0" w:before="0" w:line="240" w:lineRule="auto"/>
        <w:ind w:left="57"/>
        <w:jc w:val="left"/>
        <w:shd w:val="clear" w:fill="F2F2F2"/>
      </w:pPr>
      <w:r>
        <w:rPr>
          <w:rFonts w:ascii="Consolas" w:hAnsi="Consolas" w:cs="Consolas"/>
          <w:b w:val="0"/>
          <w:i w:val="0"/>
          <w:sz w:val="16"/>
        </w:rPr>
        <w:t xml:space="preserve">          &lt;AmtDtls&gt;</w:t>
      </w:r>
    </w:p>
    <w:p>
      <w:pPr>
        <w:spacing w:after="0" w:before="0" w:line="240" w:lineRule="auto"/>
        <w:ind w:left="57"/>
        <w:jc w:val="left"/>
        <w:shd w:val="clear" w:fill="F2F2F2"/>
      </w:pPr>
      <w:r>
        <w:rPr>
          <w:rFonts w:ascii="Consolas" w:hAnsi="Consolas" w:cs="Consolas"/>
          <w:b w:val="0"/>
          <w:i w:val="0"/>
          <w:sz w:val="16"/>
        </w:rPr>
        <w:t xml:space="preserve">            &lt;TxAmt&gt;</w:t>
      </w:r>
    </w:p>
    <w:p>
      <w:pPr>
        <w:spacing w:after="0" w:before="0" w:line="240" w:lineRule="auto"/>
        <w:ind w:left="57"/>
        <w:jc w:val="left"/>
        <w:shd w:val="clear" w:fill="F2F2F2"/>
      </w:pPr>
      <w:r>
        <w:rPr>
          <w:rFonts w:ascii="Consolas" w:hAnsi="Consolas" w:cs="Consolas"/>
          <w:b w:val="0"/>
          <w:i w:val="0"/>
          <w:sz w:val="16"/>
        </w:rPr>
        <w:t xml:space="preserve">              &lt;Amt Ccy="EGP"&gt;3000.00&lt;/Amt&gt;</w:t>
      </w:r>
    </w:p>
    <w:p>
      <w:pPr>
        <w:spacing w:after="0" w:before="0" w:line="240" w:lineRule="auto"/>
        <w:ind w:left="57"/>
        <w:jc w:val="left"/>
        <w:shd w:val="clear" w:fill="F2F2F2"/>
      </w:pPr>
      <w:r>
        <w:rPr>
          <w:rFonts w:ascii="Consolas" w:hAnsi="Consolas" w:cs="Consolas"/>
          <w:b w:val="0"/>
          <w:i w:val="0"/>
          <w:sz w:val="16"/>
        </w:rPr>
        <w:t xml:space="preserve">            &lt;/TxAmt&gt;</w:t>
      </w:r>
    </w:p>
    <w:p>
      <w:pPr>
        <w:spacing w:after="0" w:before="0" w:line="240" w:lineRule="auto"/>
        <w:ind w:left="57"/>
        <w:jc w:val="left"/>
        <w:shd w:val="clear" w:fill="F2F2F2"/>
      </w:pPr>
      <w:r>
        <w:rPr>
          <w:rFonts w:ascii="Consolas" w:hAnsi="Consolas" w:cs="Consolas"/>
          <w:b w:val="0"/>
          <w:i w:val="0"/>
          <w:sz w:val="16"/>
        </w:rPr>
        <w:t xml:space="preserve">          &lt;/AmtDtls&gt;</w:t>
      </w:r>
    </w:p>
    <w:p>
      <w:pPr>
        <w:spacing w:after="0" w:before="0" w:line="240" w:lineRule="auto"/>
        <w:ind w:left="57"/>
        <w:jc w:val="left"/>
        <w:shd w:val="clear" w:fill="F2F2F2"/>
      </w:pPr>
      <w:r>
        <w:rPr>
          <w:rFonts w:ascii="Consolas" w:hAnsi="Consolas" w:cs="Consolas"/>
          <w:b w:val="0"/>
          <w:i w:val="0"/>
          <w:sz w:val="16"/>
        </w:rPr>
        <w:t xml:space="preserve">          &lt;RltdPties&gt;</w:t>
      </w:r>
    </w:p>
    <w:p>
      <w:pPr>
        <w:spacing w:after="0" w:before="0" w:line="240" w:lineRule="auto"/>
        <w:ind w:left="57"/>
        <w:jc w:val="left"/>
        <w:shd w:val="clear" w:fill="F2F2F2"/>
      </w:pPr>
      <w:r>
        <w:rPr>
          <w:rFonts w:ascii="Consolas" w:hAnsi="Consolas" w:cs="Consolas"/>
          <w:b w:val="0"/>
          <w:i w:val="0"/>
          <w:sz w:val="16"/>
        </w:rPr>
        <w:t xml:space="preserve">            &lt;Dbtr&gt;</w:t>
      </w:r>
    </w:p>
    <w:p>
      <w:pPr>
        <w:spacing w:after="0" w:before="0" w:line="240" w:lineRule="auto"/>
        <w:ind w:left="57"/>
        <w:jc w:val="left"/>
        <w:shd w:val="clear" w:fill="F2F2F2"/>
      </w:pPr>
      <w:r>
        <w:rPr>
          <w:rFonts w:ascii="Consolas" w:hAnsi="Consolas" w:cs="Consolas"/>
          <w:b w:val="0"/>
          <w:i w:val="0"/>
          <w:sz w:val="16"/>
        </w:rPr>
        <w:t xml:space="preserve">              &lt;Nm&gt;Nile Foods&lt;/Nm&gt;</w:t>
      </w:r>
    </w:p>
    <w:p>
      <w:pPr>
        <w:spacing w:after="0" w:before="0" w:line="240" w:lineRule="auto"/>
        <w:ind w:left="57"/>
        <w:jc w:val="left"/>
        <w:shd w:val="clear" w:fill="F2F2F2"/>
      </w:pPr>
      <w:r>
        <w:rPr>
          <w:rFonts w:ascii="Consolas" w:hAnsi="Consolas" w:cs="Consolas"/>
          <w:b w:val="0"/>
          <w:i w:val="0"/>
          <w:sz w:val="16"/>
        </w:rPr>
        <w:t xml:space="preserve">            &lt;/Dbtr&gt;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&lt;Nm&gt;GOEIC&lt;/Nm&gt;</w:t>
      </w:r>
    </w:p>
    <w:p>
      <w:pPr>
        <w:spacing w:after="0" w:before="0" w:line="240" w:lineRule="auto"/>
        <w:ind w:left="57"/>
        <w:jc w:val="left"/>
        <w:shd w:val="clear" w:fill="F2F2F2"/>
      </w:pPr>
      <w:r>
        <w:rPr>
          <w:rFonts w:ascii="Consolas" w:hAnsi="Consolas" w:cs="Consolas"/>
          <w:b w:val="0"/>
          <w:i w:val="0"/>
          <w:sz w:val="16"/>
        </w:rPr>
        <w:t xml:space="preserve">            &lt;/Cdtr&gt;</w:t>
      </w:r>
    </w:p>
    <w:p>
      <w:pPr>
        <w:spacing w:after="0" w:before="0" w:line="240" w:lineRule="auto"/>
        <w:ind w:left="57"/>
        <w:jc w:val="left"/>
        <w:shd w:val="clear" w:fill="F2F2F2"/>
      </w:pPr>
      <w:r>
        <w:rPr>
          <w:rFonts w:ascii="Consolas" w:hAnsi="Consolas" w:cs="Consolas"/>
          <w:b w:val="0"/>
          <w:i w:val="0"/>
          <w:sz w:val="16"/>
        </w:rPr>
        <w:t xml:space="preserve">          &lt;/RltdPties&gt;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&lt;Ustrd&gt;USTN:SGTX-EG-26-F3A-1|LEG:LEG_LAB_EGP|FEE:LAB&lt;/Ustrd&gt;</w:t>
      </w:r>
    </w:p>
    <w:p>
      <w:pPr>
        <w:spacing w:after="0" w:before="0" w:line="240" w:lineRule="auto"/>
        <w:ind w:left="57"/>
        <w:jc w:val="left"/>
        <w:shd w:val="clear" w:fill="F2F2F2"/>
      </w:pPr>
      <w:r>
        <w:rPr>
          <w:rFonts w:ascii="Consolas" w:hAnsi="Consolas" w:cs="Consolas"/>
          <w:b w:val="0"/>
          <w:i w:val="0"/>
          <w:sz w:val="16"/>
        </w:rPr>
        <w:t xml:space="preserve">          &lt;/RmtInf&gt;</w:t>
      </w:r>
    </w:p>
    <w:p>
      <w:pPr>
        <w:spacing w:after="0" w:before="0" w:line="240" w:lineRule="auto"/>
        <w:ind w:left="57"/>
        <w:jc w:val="left"/>
        <w:shd w:val="clear" w:fill="F2F2F2"/>
      </w:pPr>
      <w:r>
        <w:rPr>
          <w:rFonts w:ascii="Consolas" w:hAnsi="Consolas" w:cs="Consolas"/>
          <w:b w:val="0"/>
          <w:i w:val="0"/>
          <w:sz w:val="16"/>
        </w:rPr>
        <w:t xml:space="preserve">        &lt;/TxDtls&gt;</w:t>
      </w:r>
    </w:p>
    <w:p>
      <w:pPr>
        <w:spacing w:after="0" w:before="0" w:line="240" w:lineRule="auto"/>
        <w:ind w:left="57"/>
        <w:jc w:val="left"/>
        <w:shd w:val="clear" w:fill="F2F2F2"/>
      </w:pPr>
      <w:r>
        <w:rPr>
          <w:rFonts w:ascii="Consolas" w:hAnsi="Consolas" w:cs="Consolas"/>
          <w:b w:val="0"/>
          <w:i w:val="0"/>
          <w:sz w:val="16"/>
        </w:rPr>
        <w:t xml:space="preserve">      &lt;/NtryDtls&gt;</w:t>
      </w:r>
    </w:p>
    <w:p>
      <w:pPr>
        <w:spacing w:after="0" w:before="0" w:line="240" w:lineRule="auto"/>
        <w:ind w:left="57"/>
        <w:jc w:val="left"/>
        <w:shd w:val="clear" w:fill="F2F2F2"/>
      </w:pPr>
      <w:r>
        <w:rPr>
          <w:rFonts w:ascii="Consolas" w:hAnsi="Consolas" w:cs="Consolas"/>
          <w:b w:val="0"/>
          <w:i w:val="0"/>
          <w:sz w:val="16"/>
        </w:rPr>
        <w:t xml:space="preserve">    &lt;/Ntry&gt;</w:t>
      </w:r>
    </w:p>
    <w:p>
      <w:pPr>
        <w:spacing w:after="0" w:before="0" w:line="240" w:lineRule="auto"/>
        <w:ind w:left="57"/>
        <w:jc w:val="left"/>
        <w:shd w:val="clear" w:fill="F2F2F2"/>
      </w:pPr>
      <w:r>
        <w:rPr>
          <w:rFonts w:ascii="Consolas" w:hAnsi="Consolas" w:cs="Consolas"/>
          <w:b w:val="0"/>
          <w:i w:val="0"/>
          <w:sz w:val="16"/>
        </w:rPr>
        <w:t xml:space="preserve">  &lt;/Ntfctn&gt;</w:t>
      </w:r>
    </w:p>
    <w:p>
      <w:pPr>
        <w:spacing w:after="0" w:before="0" w:line="240" w:lineRule="auto"/>
        <w:ind w:left="57"/>
        <w:jc w:val="left"/>
        <w:shd w:val="clear" w:fill="F2F2F2"/>
      </w:pPr>
      <w:r>
        <w:rPr>
          <w:rFonts w:ascii="Consolas" w:hAnsi="Consolas" w:cs="Consolas"/>
          <w:b w:val="0"/>
          <w:i w:val="0"/>
          <w:sz w:val="16"/>
        </w:rPr>
        <w:t>&lt;/camt.054.001.08&gt;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Data Model Update:</w:t>
      </w:r>
    </w:p>
    <w:p>
      <w:pPr>
        <w:spacing w:after="0" w:before="0" w:line="240" w:lineRule="auto"/>
        <w:ind w:left="57"/>
        <w:jc w:val="left"/>
        <w:shd w:val="clear" w:fill="F2F2F2"/>
      </w:pPr>
      <w:r>
        <w:rPr>
          <w:rFonts w:ascii="Consolas" w:hAnsi="Consolas" w:cs="Consolas"/>
          <w:b w:val="0"/>
          <w:i w:val="0"/>
          <w:sz w:val="16"/>
        </w:rPr>
        <w:t>UPDATE settlement_instructions</w:t>
      </w:r>
    </w:p>
    <w:p>
      <w:pPr>
        <w:spacing w:after="0" w:before="0" w:line="240" w:lineRule="auto"/>
        <w:ind w:left="57"/>
        <w:jc w:val="left"/>
        <w:shd w:val="clear" w:fill="F2F2F2"/>
      </w:pPr>
      <w:r>
        <w:rPr>
          <w:rFonts w:ascii="Consolas" w:hAnsi="Consolas" w:cs="Consolas"/>
          <w:b w:val="0"/>
          <w:i w:val="0"/>
          <w:sz w:val="16"/>
        </w:rPr>
        <w:t>SET</w:t>
      </w:r>
    </w:p>
    <w:p>
      <w:pPr>
        <w:spacing w:after="0" w:before="0" w:line="240" w:lineRule="auto"/>
        <w:ind w:left="57"/>
        <w:jc w:val="left"/>
        <w:shd w:val="clear" w:fill="F2F2F2"/>
      </w:pPr>
      <w:r>
        <w:rPr>
          <w:rFonts w:ascii="Consolas" w:hAnsi="Consolas" w:cs="Consolas"/>
          <w:b w:val="0"/>
          <w:i w:val="0"/>
          <w:sz w:val="16"/>
        </w:rPr>
        <w:t xml:space="preserve">    instruction_status = 'SETTLED',</w:t>
      </w:r>
    </w:p>
    <w:p>
      <w:pPr>
        <w:spacing w:after="0" w:before="0" w:line="240" w:lineRule="auto"/>
        <w:ind w:left="57"/>
        <w:jc w:val="left"/>
        <w:shd w:val="clear" w:fill="F2F2F2"/>
      </w:pPr>
      <w:r>
        <w:rPr>
          <w:rFonts w:ascii="Consolas" w:hAnsi="Consolas" w:cs="Consolas"/>
          <w:b w:val="0"/>
          <w:i w:val="0"/>
          <w:sz w:val="16"/>
        </w:rPr>
        <w:t xml:space="preserve">    bank_reference_id = 'BANK-REF-001',</w:t>
      </w:r>
    </w:p>
    <w:p>
      <w:pPr>
        <w:spacing w:after="0" w:before="0" w:line="240" w:lineRule="auto"/>
        <w:ind w:left="57"/>
        <w:jc w:val="left"/>
        <w:shd w:val="clear" w:fill="F2F2F2"/>
      </w:pPr>
      <w:r>
        <w:rPr>
          <w:rFonts w:ascii="Consolas" w:hAnsi="Consolas" w:cs="Consolas"/>
          <w:b w:val="0"/>
          <w:i w:val="0"/>
          <w:sz w:val="16"/>
        </w:rPr>
        <w:t xml:space="preserve">    camt054_proof_hash = 'sha256:camt054abc123...',</w:t>
      </w:r>
    </w:p>
    <w:p>
      <w:pPr>
        <w:spacing w:after="0" w:before="0" w:line="240" w:lineRule="auto"/>
        <w:ind w:left="57"/>
        <w:jc w:val="left"/>
        <w:shd w:val="clear" w:fill="F2F2F2"/>
      </w:pPr>
      <w:r>
        <w:rPr>
          <w:rFonts w:ascii="Consolas" w:hAnsi="Consolas" w:cs="Consolas"/>
          <w:b w:val="0"/>
          <w:i w:val="0"/>
          <w:sz w:val="16"/>
        </w:rPr>
        <w:t xml:space="preserve">    settled_at = NOW()</w:t>
      </w:r>
    </w:p>
    <w:p>
      <w:pPr>
        <w:spacing w:after="0" w:before="0" w:line="240" w:lineRule="auto"/>
        <w:ind w:left="57"/>
        <w:jc w:val="left"/>
        <w:shd w:val="clear" w:fill="F2F2F2"/>
      </w:pPr>
      <w:r>
        <w:rPr>
          <w:rFonts w:ascii="Consolas" w:hAnsi="Consolas" w:cs="Consolas"/>
          <w:b w:val="0"/>
          <w:i w:val="0"/>
          <w:sz w:val="16"/>
        </w:rPr>
        <w:t>WHERE end_to_end_id = 'SGTX-EG-26-F3A-1-LEG_LAB_EGP';</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Success Criteria:</w:t>
      </w:r>
    </w:p>
    <w:p>
      <w:pPr>
        <w:spacing w:after="80" w:line="293" w:lineRule="auto"/>
        <w:ind w:left="283"/>
        <w:jc w:val="left"/>
      </w:pPr>
      <w:r>
        <w:rPr>
          <w:rFonts w:ascii="Times New Roman" w:hAnsi="Times New Roman" w:cs="Times New Roman"/>
          <w:b w:val="0"/>
          <w:i w:val="0"/>
          <w:sz w:val="22"/>
        </w:rPr>
        <w:t>* Lab payment confirmed (camt.054 received and matched)</w:t>
      </w:r>
    </w:p>
    <w:p>
      <w:pPr>
        <w:spacing w:after="80" w:line="293" w:lineRule="auto"/>
        <w:ind w:left="283"/>
        <w:jc w:val="left"/>
      </w:pPr>
      <w:r>
        <w:rPr>
          <w:rFonts w:ascii="Times New Roman" w:hAnsi="Times New Roman" w:cs="Times New Roman"/>
          <w:b w:val="0"/>
          <w:i w:val="0"/>
          <w:sz w:val="22"/>
        </w:rPr>
        <w:t>* Phyto payment confirmed (camt.054 received and matched)</w:t>
      </w:r>
    </w:p>
    <w:p>
      <w:pPr>
        <w:spacing w:after="80" w:line="293" w:lineRule="auto"/>
        <w:ind w:left="283"/>
        <w:jc w:val="left"/>
      </w:pPr>
      <w:r>
        <w:rPr>
          <w:rFonts w:ascii="Times New Roman" w:hAnsi="Times New Roman" w:cs="Times New Roman"/>
          <w:b w:val="0"/>
          <w:i w:val="0"/>
          <w:sz w:val="22"/>
        </w:rPr>
        <w:t>* Customs declaration accepted</w:t>
      </w:r>
    </w:p>
    <w:p>
      <w:pPr>
        <w:spacing w:after="80" w:line="293" w:lineRule="auto"/>
        <w:ind w:left="283"/>
        <w:jc w:val="left"/>
      </w:pPr>
      <w:r>
        <w:rPr>
          <w:rFonts w:ascii="Times New Roman" w:hAnsi="Times New Roman" w:cs="Times New Roman"/>
          <w:b w:val="0"/>
          <w:i w:val="0"/>
          <w:sz w:val="22"/>
        </w:rPr>
        <w:t>* CUSTOMS_SUBMITTED milestone confirmed</w:t>
      </w:r>
    </w:p>
    <w:p>
      <w:pPr>
        <w:keepNext/>
        <w:spacing w:before="180" w:after="80"/>
        <w:outlineLvl w:val="2"/>
      </w:pPr>
      <w:r>
        <w:rPr>
          <w:rFonts w:ascii="Arial" w:hAnsi="Arial" w:cs="Arial"/>
          <w:b/>
          <w:i w:val="0"/>
          <w:color w:val="333333"/>
          <w:sz w:val="23"/>
        </w:rPr>
        <w:t>12.7.3 DEPARTED Milestone — Freight Payment</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Vessel departs port</w:t>
      </w:r>
    </w:p>
    <w:p>
      <w:pPr>
        <w:spacing w:after="80" w:line="293" w:lineRule="auto"/>
        <w:jc w:val="left"/>
      </w:pPr>
      <w:r>
        <w:rPr>
          <w:rFonts w:ascii="Times New Roman" w:hAnsi="Times New Roman" w:cs="Times New Roman"/>
          <w:b/>
          <w:i w:val="0"/>
          <w:sz w:val="22"/>
        </w:rPr>
        <w:t>Payment Trigger Sequence:</w:t>
      </w:r>
    </w:p>
    <w:p>
      <w:pPr>
        <w:spacing w:after="0" w:before="0" w:line="240" w:lineRule="auto"/>
        <w:ind w:left="57"/>
        <w:jc w:val="left"/>
        <w:shd w:val="clear" w:fill="F2F2F2"/>
      </w:pPr>
      <w:r>
        <w:rPr>
          <w:rFonts w:ascii="Consolas" w:hAnsi="Consolas" w:cs="Consolas"/>
          <w:b w:val="0"/>
          <w:i w:val="0"/>
          <w:sz w:val="15"/>
        </w:rPr>
        <w:t>DEPARTED Milestone Confirmed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sends ISO 20022 pain.001 (USD Freight leg)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debits Buyer's USD account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sends SWIFT gpi via RTGS to Shipping Line's bank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UETR: 345g6789-e89b-12d3-a456-426614174002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Shipping Line receives funds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SWIFT gpi confirms settlement to SGTX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updates leg status to SETTLED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Shipping Line issues electronic Bill of Lading (eBL)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Success Criteria:</w:t>
      </w:r>
    </w:p>
    <w:p>
      <w:pPr>
        <w:spacing w:after="80" w:line="293" w:lineRule="auto"/>
        <w:jc w:val="left"/>
      </w:pPr>
      <w:r>
        <w:rPr>
          <w:rFonts w:ascii="Times New Roman" w:hAnsi="Times New Roman" w:cs="Times New Roman"/>
          <w:b/>
          <w:i w:val="0"/>
          <w:sz w:val="22"/>
        </w:rPr>
        <w:t>Success Criteria:</w:t>
      </w:r>
    </w:p>
    <w:p>
      <w:pPr>
        <w:spacing w:after="80" w:line="293" w:lineRule="auto"/>
        <w:ind w:left="283"/>
        <w:jc w:val="left"/>
      </w:pPr>
      <w:r>
        <w:rPr>
          <w:rFonts w:ascii="Times New Roman" w:hAnsi="Times New Roman" w:cs="Times New Roman"/>
          <w:b w:val="0"/>
          <w:i w:val="0"/>
          <w:sz w:val="22"/>
        </w:rPr>
        <w:t>* Freight payment confirmed (SWIFT gpi UETR received)</w:t>
      </w:r>
    </w:p>
    <w:p>
      <w:pPr>
        <w:spacing w:after="80" w:line="293" w:lineRule="auto"/>
        <w:ind w:left="283"/>
        <w:jc w:val="left"/>
      </w:pPr>
      <w:r>
        <w:rPr>
          <w:rFonts w:ascii="Times New Roman" w:hAnsi="Times New Roman" w:cs="Times New Roman"/>
          <w:b w:val="0"/>
          <w:i w:val="0"/>
          <w:sz w:val="22"/>
        </w:rPr>
        <w:t>* eBL issued</w:t>
      </w:r>
    </w:p>
    <w:p>
      <w:pPr>
        <w:spacing w:after="80" w:line="293" w:lineRule="auto"/>
        <w:ind w:left="283"/>
        <w:jc w:val="left"/>
      </w:pPr>
      <w:r>
        <w:rPr>
          <w:rFonts w:ascii="Times New Roman" w:hAnsi="Times New Roman" w:cs="Times New Roman"/>
          <w:b w:val="0"/>
          <w:i w:val="0"/>
          <w:sz w:val="22"/>
        </w:rPr>
        <w:t>* DEPARTED milestone confirmed</w:t>
      </w:r>
    </w:p>
    <w:p>
      <w:pPr>
        <w:keepNext/>
        <w:spacing w:before="180" w:after="80"/>
        <w:outlineLvl w:val="2"/>
      </w:pPr>
      <w:r>
        <w:rPr>
          <w:rFonts w:ascii="Arial" w:hAnsi="Arial" w:cs="Arial"/>
          <w:b/>
          <w:i w:val="0"/>
          <w:color w:val="333333"/>
          <w:sz w:val="23"/>
        </w:rPr>
        <w:t>12.7.4 ARRIVED Milestone</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Vessel arrives at destination port</w:t>
      </w:r>
    </w:p>
    <w:p>
      <w:pPr>
        <w:spacing w:after="80" w:line="293" w:lineRule="auto"/>
        <w:jc w:val="left"/>
      </w:pPr>
      <w:r>
        <w:rPr>
          <w:rFonts w:ascii="Times New Roman" w:hAnsi="Times New Roman" w:cs="Times New Roman"/>
          <w:b/>
          <w:i w:val="0"/>
          <w:sz w:val="22"/>
        </w:rPr>
        <w:t>Payment Condition Check:</w:t>
      </w:r>
      <w:r>
        <w:rPr>
          <w:rFonts w:ascii="Times New Roman" w:hAnsi="Times New Roman" w:cs="Times New Roman"/>
          <w:b w:val="0"/>
          <w:i w:val="0"/>
          <w:sz w:val="22"/>
        </w:rPr>
        <w:t xml:space="preserve"> No payment triggered (condition: CUSTOMS_IMPORT)</w:t>
      </w:r>
    </w:p>
    <w:p>
      <w:pPr>
        <w:keepNext/>
        <w:spacing w:before="180" w:after="80"/>
        <w:outlineLvl w:val="2"/>
      </w:pPr>
      <w:r>
        <w:rPr>
          <w:rFonts w:ascii="Arial" w:hAnsi="Arial" w:cs="Arial"/>
          <w:b/>
          <w:i w:val="0"/>
          <w:color w:val="333333"/>
          <w:sz w:val="23"/>
        </w:rPr>
        <w:t>12.7.5 CUSTOMS_IMPORT Milestone — Customs Duty Payment</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Import customs clearance initiated</w:t>
      </w:r>
    </w:p>
    <w:p>
      <w:pPr>
        <w:spacing w:after="80" w:line="293" w:lineRule="auto"/>
        <w:jc w:val="left"/>
      </w:pPr>
      <w:r>
        <w:rPr>
          <w:rFonts w:ascii="Times New Roman" w:hAnsi="Times New Roman" w:cs="Times New Roman"/>
          <w:b/>
          <w:i w:val="0"/>
          <w:sz w:val="22"/>
        </w:rPr>
        <w:t>Payment Trigger Sequence:</w:t>
      </w:r>
    </w:p>
    <w:p>
      <w:pPr>
        <w:spacing w:after="0" w:before="0" w:line="240" w:lineRule="auto"/>
        <w:ind w:left="57"/>
        <w:jc w:val="left"/>
        <w:shd w:val="clear" w:fill="F2F2F2"/>
      </w:pPr>
      <w:r>
        <w:rPr>
          <w:rFonts w:ascii="Consolas" w:hAnsi="Consolas" w:cs="Consolas"/>
          <w:b w:val="0"/>
          <w:i w:val="0"/>
          <w:sz w:val="15"/>
        </w:rPr>
        <w:t>CUSTOMS_IMPORT Milestone Confirmed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sends ISO 20022 pain.001 (EGP Customs Duty leg)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debits Buyer's EGP account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credits Nafeza / Egypt Customs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sends camt.054 to SGTX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updates leg status to SETTLED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Nafeza receives payment confirmation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Nafeza releases goods for delivery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Success Criteria:</w:t>
      </w:r>
    </w:p>
    <w:p>
      <w:pPr>
        <w:spacing w:after="80" w:line="293" w:lineRule="auto"/>
        <w:jc w:val="left"/>
      </w:pPr>
      <w:r>
        <w:rPr>
          <w:rFonts w:ascii="Times New Roman" w:hAnsi="Times New Roman" w:cs="Times New Roman"/>
          <w:b/>
          <w:i w:val="0"/>
          <w:sz w:val="22"/>
        </w:rPr>
        <w:t>Success Criteria:</w:t>
      </w:r>
    </w:p>
    <w:p>
      <w:pPr>
        <w:spacing w:after="80" w:line="293" w:lineRule="auto"/>
        <w:ind w:left="283"/>
        <w:jc w:val="left"/>
      </w:pPr>
      <w:r>
        <w:rPr>
          <w:rFonts w:ascii="Times New Roman" w:hAnsi="Times New Roman" w:cs="Times New Roman"/>
          <w:b w:val="0"/>
          <w:i w:val="0"/>
          <w:sz w:val="22"/>
        </w:rPr>
        <w:t>* Customs duty payment confirmed</w:t>
      </w:r>
    </w:p>
    <w:p>
      <w:pPr>
        <w:spacing w:after="80" w:line="293" w:lineRule="auto"/>
        <w:ind w:left="283"/>
        <w:jc w:val="left"/>
      </w:pPr>
      <w:r>
        <w:rPr>
          <w:rFonts w:ascii="Times New Roman" w:hAnsi="Times New Roman" w:cs="Times New Roman"/>
          <w:b w:val="0"/>
          <w:i w:val="0"/>
          <w:sz w:val="22"/>
        </w:rPr>
        <w:t>* Customs clearance granted</w:t>
      </w:r>
    </w:p>
    <w:p>
      <w:pPr>
        <w:spacing w:after="80" w:line="293" w:lineRule="auto"/>
        <w:ind w:left="283"/>
        <w:jc w:val="left"/>
      </w:pPr>
      <w:r>
        <w:rPr>
          <w:rFonts w:ascii="Times New Roman" w:hAnsi="Times New Roman" w:cs="Times New Roman"/>
          <w:b w:val="0"/>
          <w:i w:val="0"/>
          <w:sz w:val="22"/>
        </w:rPr>
        <w:t>* CUSTOMS_IMPORT milestone confirmed</w:t>
      </w:r>
    </w:p>
    <w:p>
      <w:pPr>
        <w:keepNext/>
        <w:spacing w:before="180" w:after="80"/>
        <w:outlineLvl w:val="2"/>
      </w:pPr>
      <w:r>
        <w:rPr>
          <w:rFonts w:ascii="Arial" w:hAnsi="Arial" w:cs="Arial"/>
          <w:b/>
          <w:i w:val="0"/>
          <w:color w:val="333333"/>
          <w:sz w:val="23"/>
        </w:rPr>
        <w:t>12.7.6 DELIVERED Milestone — Seller Balance Payment</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Buyer confirms delivery</w:t>
      </w:r>
    </w:p>
    <w:p>
      <w:pPr>
        <w:spacing w:after="80" w:line="293" w:lineRule="auto"/>
        <w:jc w:val="left"/>
      </w:pPr>
      <w:r>
        <w:rPr>
          <w:rFonts w:ascii="Times New Roman" w:hAnsi="Times New Roman" w:cs="Times New Roman"/>
          <w:b/>
          <w:i w:val="0"/>
          <w:sz w:val="22"/>
        </w:rPr>
        <w:t>Payment Trigger Sequence:</w:t>
      </w:r>
    </w:p>
    <w:p>
      <w:pPr>
        <w:spacing w:after="0" w:before="0" w:line="240" w:lineRule="auto"/>
        <w:ind w:left="57"/>
        <w:jc w:val="left"/>
        <w:shd w:val="clear" w:fill="F2F2F2"/>
      </w:pPr>
      <w:r>
        <w:rPr>
          <w:rFonts w:ascii="Consolas" w:hAnsi="Consolas" w:cs="Consolas"/>
          <w:b w:val="0"/>
          <w:i w:val="0"/>
          <w:sz w:val="15"/>
        </w:rPr>
        <w:t>DELIVERED Milestone Confirmed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sends ISO 20022 pain.001 (USD Seller leg)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debits Buyer's USD account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sends SWIFT gpi via RTGS to Seller's bank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UETR: 456h7890-e89b-12d3-a456-426614174003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Seller receives funds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SWIFT gpi confirms settlement to SGTX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updates leg status to SETTLED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Trade settlement complete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Success Criteria:</w:t>
      </w:r>
    </w:p>
    <w:p>
      <w:pPr>
        <w:spacing w:after="80" w:line="293" w:lineRule="auto"/>
        <w:jc w:val="left"/>
      </w:pPr>
      <w:r>
        <w:rPr>
          <w:rFonts w:ascii="Times New Roman" w:hAnsi="Times New Roman" w:cs="Times New Roman"/>
          <w:b/>
          <w:i w:val="0"/>
          <w:sz w:val="22"/>
        </w:rPr>
        <w:t>Success Criteria:</w:t>
      </w:r>
    </w:p>
    <w:p>
      <w:pPr>
        <w:spacing w:after="80" w:line="293" w:lineRule="auto"/>
        <w:ind w:left="283"/>
        <w:jc w:val="left"/>
      </w:pPr>
      <w:r>
        <w:rPr>
          <w:rFonts w:ascii="Times New Roman" w:hAnsi="Times New Roman" w:cs="Times New Roman"/>
          <w:b w:val="0"/>
          <w:i w:val="0"/>
          <w:sz w:val="22"/>
        </w:rPr>
        <w:t>* Seller payment confirmed (SWIFT gpi UETR received)</w:t>
      </w:r>
    </w:p>
    <w:p>
      <w:pPr>
        <w:spacing w:after="80" w:line="293" w:lineRule="auto"/>
        <w:ind w:left="283"/>
        <w:jc w:val="left"/>
      </w:pPr>
      <w:r>
        <w:rPr>
          <w:rFonts w:ascii="Times New Roman" w:hAnsi="Times New Roman" w:cs="Times New Roman"/>
          <w:b w:val="0"/>
          <w:i w:val="0"/>
          <w:sz w:val="22"/>
        </w:rPr>
        <w:t>* Delivery confirmed</w:t>
      </w:r>
    </w:p>
    <w:p>
      <w:pPr>
        <w:spacing w:after="80" w:line="293" w:lineRule="auto"/>
        <w:ind w:left="283"/>
        <w:jc w:val="left"/>
      </w:pPr>
      <w:r>
        <w:rPr>
          <w:rFonts w:ascii="Times New Roman" w:hAnsi="Times New Roman" w:cs="Times New Roman"/>
          <w:b w:val="0"/>
          <w:i w:val="0"/>
          <w:sz w:val="22"/>
        </w:rPr>
        <w:t>* DELIVERED milestone confirmed</w:t>
      </w:r>
    </w:p>
    <w:p>
      <w:pPr>
        <w:keepNext/>
        <w:spacing w:before="240" w:after="100"/>
        <w:outlineLvl w:val="1"/>
      </w:pPr>
      <w:r>
        <w:rPr>
          <w:rFonts w:ascii="Arial" w:hAnsi="Arial" w:cs="Arial"/>
          <w:b/>
          <w:i w:val="0"/>
          <w:color w:val="2E528F"/>
          <w:sz w:val="26"/>
        </w:rPr>
        <w:t>12.8 Deferred Payment (Credit Terms) Handling</w:t>
      </w:r>
    </w:p>
    <w:p>
      <w:pPr>
        <w:spacing w:after="80" w:line="293" w:lineRule="auto"/>
        <w:jc w:val="left"/>
      </w:pPr>
      <w:r>
        <w:rPr>
          <w:rFonts w:ascii="Times New Roman" w:hAnsi="Times New Roman" w:cs="Times New Roman"/>
          <w:b/>
          <w:i w:val="0"/>
          <w:sz w:val="22"/>
        </w:rPr>
        <w:t>Deferred Payment Flow:</w:t>
      </w:r>
    </w:p>
    <w:p>
      <w:pPr>
        <w:spacing w:after="80" w:line="293" w:lineRule="auto"/>
        <w:jc w:val="left"/>
      </w:pPr>
      <w:r>
        <w:rPr>
          <w:rFonts w:ascii="Times New Roman" w:hAnsi="Times New Roman" w:cs="Times New Roman"/>
          <w:b w:val="0"/>
          <w:i w:val="0"/>
          <w:sz w:val="22"/>
        </w:rPr>
        <w:t>1. Payment leg marked terms = 'CREDIT' (e.g., ocean freight with 30-day credit)</w:t>
      </w:r>
    </w:p>
    <w:p>
      <w:pPr>
        <w:spacing w:after="80" w:line="293" w:lineRule="auto"/>
        <w:jc w:val="left"/>
      </w:pPr>
      <w:r>
        <w:rPr>
          <w:rFonts w:ascii="Times New Roman" w:hAnsi="Times New Roman" w:cs="Times New Roman"/>
          <w:b w:val="0"/>
          <w:i w:val="0"/>
          <w:sz w:val="22"/>
        </w:rPr>
        <w:t>2. Leg is registered at the bank as a future-dated instruction (pain.008)</w:t>
      </w:r>
    </w:p>
    <w:p>
      <w:pPr>
        <w:spacing w:after="80" w:line="293" w:lineRule="auto"/>
        <w:jc w:val="left"/>
      </w:pPr>
      <w:r>
        <w:rPr>
          <w:rFonts w:ascii="Times New Roman" w:hAnsi="Times New Roman" w:cs="Times New Roman"/>
          <w:b w:val="0"/>
          <w:i w:val="0"/>
          <w:sz w:val="22"/>
        </w:rPr>
        <w:t>3. Bank holds the instruction until:</w:t>
      </w:r>
    </w:p>
    <w:p>
      <w:pPr>
        <w:spacing w:after="80" w:line="293" w:lineRule="auto"/>
        <w:ind w:left="567"/>
        <w:jc w:val="left"/>
      </w:pPr>
      <w:r>
        <w:rPr>
          <w:rFonts w:ascii="Times New Roman" w:hAnsi="Times New Roman" w:cs="Times New Roman"/>
          <w:b w:val="0"/>
          <w:i w:val="0"/>
          <w:sz w:val="22"/>
        </w:rPr>
        <w:t>* Due date (time-triggered): Bank executes automatically</w:t>
      </w:r>
    </w:p>
    <w:p>
      <w:pPr>
        <w:spacing w:after="80" w:line="293" w:lineRule="auto"/>
        <w:ind w:left="567"/>
        <w:jc w:val="left"/>
      </w:pPr>
      <w:r>
        <w:rPr>
          <w:rFonts w:ascii="Times New Roman" w:hAnsi="Times New Roman" w:cs="Times New Roman"/>
          <w:b w:val="0"/>
          <w:i w:val="0"/>
          <w:sz w:val="22"/>
        </w:rPr>
        <w:t>* Milestone (event-triggered): SGTX sends release message, bank executes</w:t>
      </w:r>
    </w:p>
    <w:p>
      <w:pPr>
        <w:spacing w:after="80" w:line="293" w:lineRule="auto"/>
        <w:ind w:left="567"/>
        <w:jc w:val="left"/>
      </w:pPr>
      <w:r>
        <w:rPr>
          <w:rFonts w:ascii="Times New Roman" w:hAnsi="Times New Roman" w:cs="Times New Roman"/>
          <w:b w:val="0"/>
          <w:i w:val="0"/>
          <w:sz w:val="22"/>
        </w:rPr>
        <w:t>* Expiry (no release): Expires and is reported as EXPIRED</w:t>
      </w:r>
    </w:p>
    <w:p>
      <w:pPr>
        <w:spacing w:after="80" w:line="293" w:lineRule="auto"/>
        <w:jc w:val="left"/>
      </w:pPr>
      <w:r>
        <w:rPr>
          <w:rFonts w:ascii="Times New Roman" w:hAnsi="Times New Roman" w:cs="Times New Roman"/>
          <w:b w:val="0"/>
          <w:i w:val="0"/>
          <w:sz w:val="22"/>
        </w:rPr>
        <w:t>Each deferred leg is held at the bank as a future-dated instruction (pain.008) with its due date, trigger milestone, and release/expiry state tracked on the platform. The complete schema is defined in Section 17.20 (deferred_payment_instructions).</w:t>
      </w:r>
    </w:p>
    <w:p>
      <w:pPr>
        <w:keepNext/>
        <w:spacing w:before="240" w:after="100"/>
        <w:outlineLvl w:val="1"/>
      </w:pPr>
      <w:r>
        <w:rPr>
          <w:rFonts w:ascii="Arial" w:hAnsi="Arial" w:cs="Arial"/>
          <w:b/>
          <w:i w:val="0"/>
          <w:color w:val="2E528F"/>
          <w:sz w:val="26"/>
        </w:rPr>
        <w:t>12.9 Conditional QC Hold Impact on Payments</w:t>
      </w:r>
    </w:p>
    <w:p>
      <w:pPr>
        <w:spacing w:after="80" w:line="293" w:lineRule="auto"/>
        <w:jc w:val="left"/>
      </w:pPr>
      <w:r>
        <w:rPr>
          <w:rFonts w:ascii="Times New Roman" w:hAnsi="Times New Roman" w:cs="Times New Roman"/>
          <w:b/>
          <w:i w:val="0"/>
          <w:sz w:val="22"/>
        </w:rPr>
        <w:t>QC Hold Payment Block:</w:t>
      </w:r>
    </w:p>
    <w:p>
      <w:pPr>
        <w:spacing w:after="80" w:line="293" w:lineRule="auto"/>
        <w:jc w:val="left"/>
      </w:pPr>
      <w:r>
        <w:rPr>
          <w:rFonts w:ascii="Times New Roman" w:hAnsi="Times New Roman" w:cs="Times New Roman"/>
          <w:b w:val="0"/>
          <w:i w:val="0"/>
          <w:sz w:val="22"/>
        </w:rPr>
        <w:t>1. QC inspection returns CONDITIONAL_PASS with action plan</w:t>
      </w:r>
    </w:p>
    <w:p>
      <w:pPr>
        <w:spacing w:after="80" w:line="293" w:lineRule="auto"/>
        <w:jc w:val="left"/>
      </w:pPr>
      <w:r>
        <w:rPr>
          <w:rFonts w:ascii="Times New Roman" w:hAnsi="Times New Roman" w:cs="Times New Roman"/>
          <w:b w:val="0"/>
          <w:i w:val="0"/>
          <w:sz w:val="22"/>
        </w:rPr>
        <w:t>2. Payment legs are frozen (no payments execute)</w:t>
      </w:r>
    </w:p>
    <w:p>
      <w:pPr>
        <w:spacing w:after="80" w:line="293" w:lineRule="auto"/>
        <w:jc w:val="left"/>
      </w:pPr>
      <w:r>
        <w:rPr>
          <w:rFonts w:ascii="Times New Roman" w:hAnsi="Times New Roman" w:cs="Times New Roman"/>
          <w:b w:val="0"/>
          <w:i w:val="0"/>
          <w:sz w:val="22"/>
        </w:rPr>
        <w:t>3. System displays hold status on all payment legs</w:t>
      </w:r>
    </w:p>
    <w:p>
      <w:pPr>
        <w:spacing w:after="80" w:line="293" w:lineRule="auto"/>
        <w:jc w:val="left"/>
      </w:pPr>
      <w:r>
        <w:rPr>
          <w:rFonts w:ascii="Times New Roman" w:hAnsi="Times New Roman" w:cs="Times New Roman"/>
          <w:b w:val="0"/>
          <w:i w:val="0"/>
          <w:sz w:val="22"/>
        </w:rPr>
        <w:t>4. When action plan is completed and verified:</w:t>
      </w:r>
    </w:p>
    <w:p>
      <w:pPr>
        <w:spacing w:after="80" w:line="293" w:lineRule="auto"/>
        <w:ind w:left="567"/>
        <w:jc w:val="left"/>
      </w:pPr>
      <w:r>
        <w:rPr>
          <w:rFonts w:ascii="Times New Roman" w:hAnsi="Times New Roman" w:cs="Times New Roman"/>
          <w:b w:val="0"/>
          <w:i w:val="0"/>
          <w:sz w:val="22"/>
        </w:rPr>
        <w:t>* Hold is lifted</w:t>
      </w:r>
    </w:p>
    <w:p>
      <w:pPr>
        <w:spacing w:after="80" w:line="293" w:lineRule="auto"/>
        <w:ind w:left="567"/>
        <w:jc w:val="left"/>
      </w:pPr>
      <w:r>
        <w:rPr>
          <w:rFonts w:ascii="Times New Roman" w:hAnsi="Times New Roman" w:cs="Times New Roman"/>
          <w:b w:val="0"/>
          <w:i w:val="0"/>
          <w:sz w:val="22"/>
        </w:rPr>
        <w:t>* Payments resume</w:t>
      </w:r>
    </w:p>
    <w:p>
      <w:pPr>
        <w:spacing w:after="80" w:line="293" w:lineRule="auto"/>
        <w:ind w:left="567"/>
        <w:jc w:val="left"/>
      </w:pPr>
      <w:r>
        <w:rPr>
          <w:rFonts w:ascii="Times New Roman" w:hAnsi="Times New Roman" w:cs="Times New Roman"/>
          <w:b w:val="0"/>
          <w:i w:val="0"/>
          <w:sz w:val="22"/>
        </w:rPr>
        <w:t>* USTN payment manifest status updated</w:t>
      </w:r>
    </w:p>
    <w:p>
      <w:pPr>
        <w:spacing w:after="80" w:line="293" w:lineRule="auto"/>
        <w:jc w:val="left"/>
      </w:pPr>
      <w:r>
        <w:rPr>
          <w:rFonts w:ascii="Times New Roman" w:hAnsi="Times New Roman" w:cs="Times New Roman"/>
          <w:b/>
          <w:i w:val="0"/>
          <w:sz w:val="22"/>
        </w:rPr>
        <w:t>UI Example:</w:t>
      </w:r>
    </w:p>
    <w:p>
      <w:pPr>
        <w:spacing w:after="0" w:before="0" w:line="240" w:lineRule="auto"/>
        <w:ind w:left="57"/>
        <w:jc w:val="left"/>
        <w:shd w:val="clear" w:fill="F2F2F2"/>
      </w:pPr>
      <w:r>
        <w:rPr>
          <w:rFonts w:ascii="Consolas" w:hAnsi="Consolas" w:cs="Consolas"/>
          <w:b w:val="0"/>
          <w:i w:val="0"/>
          <w:sz w:val="15"/>
        </w:rPr>
        <w:t>QC CONDITIONAL HOLD — USTN SGTX-EG-26-F3A-1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QC Verdict: CONDITIONAL PASS                                │</w:t>
      </w:r>
    </w:p>
    <w:p>
      <w:pPr>
        <w:spacing w:after="0" w:before="0" w:line="240" w:lineRule="auto"/>
        <w:ind w:left="57"/>
        <w:jc w:val="left"/>
        <w:shd w:val="clear" w:fill="F2F2F2"/>
      </w:pPr>
      <w:r>
        <w:rPr>
          <w:rFonts w:ascii="Consolas" w:hAnsi="Consolas" w:cs="Consolas"/>
          <w:b w:val="0"/>
          <w:i w:val="0"/>
          <w:sz w:val="15"/>
        </w:rPr>
        <w:t>│ Action Plan: Replace 2 damaged cartons on pallet OR020     │</w:t>
      </w:r>
    </w:p>
    <w:p>
      <w:pPr>
        <w:spacing w:after="0" w:before="0" w:line="240" w:lineRule="auto"/>
        <w:ind w:left="57"/>
        <w:jc w:val="left"/>
        <w:shd w:val="clear" w:fill="F2F2F2"/>
      </w:pPr>
      <w:r>
        <w:rPr>
          <w:rFonts w:ascii="Consolas" w:hAnsi="Consolas" w:cs="Consolas"/>
          <w:b w:val="0"/>
          <w:i w:val="0"/>
          <w:sz w:val="15"/>
        </w:rPr>
        <w:t>│ Deadline: 2026-09-10T12:00:00Z (expires in 18h 23m)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PAYMENT STATUS: FROZEN                                     │</w:t>
      </w:r>
    </w:p>
    <w:p>
      <w:pPr>
        <w:spacing w:after="0" w:before="0" w:line="240" w:lineRule="auto"/>
        <w:ind w:left="57"/>
        <w:jc w:val="left"/>
        <w:shd w:val="clear" w:fill="F2F2F2"/>
      </w:pPr>
      <w:r>
        <w:rPr>
          <w:rFonts w:ascii="Consolas" w:hAnsi="Consolas" w:cs="Consolas"/>
          <w:b w:val="0"/>
          <w:i w:val="0"/>
          <w:sz w:val="15"/>
        </w:rPr>
        <w:t>│ All payments are blocked until action plan is completed.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Pending Payments:                                          │</w:t>
      </w:r>
    </w:p>
    <w:p>
      <w:pPr>
        <w:spacing w:after="0" w:before="0" w:line="240" w:lineRule="auto"/>
        <w:ind w:left="57"/>
        <w:jc w:val="left"/>
        <w:shd w:val="clear" w:fill="F2F2F2"/>
      </w:pPr>
      <w:r>
        <w:rPr>
          <w:rFonts w:ascii="Consolas" w:hAnsi="Consolas" w:cs="Consolas"/>
          <w:b w:val="0"/>
          <w:i w:val="0"/>
          <w:sz w:val="15"/>
        </w:rPr>
        <w:t>│ • Customs Duty: EGP 100,000.00 (CUSTOMS_IMPORT)          │</w:t>
      </w:r>
    </w:p>
    <w:p>
      <w:pPr>
        <w:spacing w:after="0" w:before="0" w:line="240" w:lineRule="auto"/>
        <w:ind w:left="57"/>
        <w:jc w:val="left"/>
        <w:shd w:val="clear" w:fill="F2F2F2"/>
      </w:pPr>
      <w:r>
        <w:rPr>
          <w:rFonts w:ascii="Consolas" w:hAnsi="Consolas" w:cs="Consolas"/>
          <w:b w:val="0"/>
          <w:i w:val="0"/>
          <w:sz w:val="15"/>
        </w:rPr>
        <w:t>│ • Lab Testing: EGP 3,000.00 (CUSTOMS_SUBMITTED)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[Mark Action Completed] [Request Extension] [Escalate]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360" w:after="160"/>
        <w:outlineLvl w:val="0"/>
      </w:pPr>
      <w:r>
        <w:rPr>
          <w:rFonts w:ascii="Arial" w:hAnsi="Arial" w:cs="Arial"/>
          <w:b/>
          <w:i w:val="0"/>
          <w:color w:val="1F3864"/>
          <w:sz w:val="32"/>
        </w:rPr>
        <w:t>13. Settlement &amp; Payment Orchestration — Phase 6</w:t>
      </w:r>
    </w:p>
    <w:p>
      <w:pPr>
        <w:keepNext/>
        <w:spacing w:before="240" w:after="100"/>
        <w:outlineLvl w:val="1"/>
      </w:pPr>
      <w:r>
        <w:rPr>
          <w:rFonts w:ascii="Arial" w:hAnsi="Arial" w:cs="Arial"/>
          <w:b/>
          <w:i w:val="0"/>
          <w:color w:val="2E528F"/>
          <w:sz w:val="26"/>
        </w:rPr>
        <w:t>13.1 Purpose</w:t>
      </w:r>
    </w:p>
    <w:p>
      <w:pPr>
        <w:spacing w:after="80" w:line="293" w:lineRule="auto"/>
        <w:jc w:val="left"/>
      </w:pPr>
      <w:r>
        <w:rPr>
          <w:rFonts w:ascii="Times New Roman" w:hAnsi="Times New Roman" w:cs="Times New Roman"/>
          <w:b w:val="0"/>
          <w:i w:val="0"/>
          <w:sz w:val="22"/>
        </w:rPr>
        <w:t>Phase 6 is the financial culmination of the trade lifecycle. After the shipment reaches its destination and the buyer confirms delivery, the platform orchestrates settlement of the trade principal from buyer to seller. The platform supports milestone-based partial settlement (for example, 30% on booking, 40% on departure, 30% on delivery), deferred government fee payment triggers, and automated reconciliation — all while maintaining strict non-custodial principles.</w:t>
      </w:r>
    </w:p>
    <w:p>
      <w:pPr>
        <w:spacing w:after="80" w:line="293" w:lineRule="auto"/>
        <w:jc w:val="left"/>
      </w:pPr>
      <w:r>
        <w:rPr>
          <w:rFonts w:ascii="Times New Roman" w:hAnsi="Times New Roman" w:cs="Times New Roman"/>
          <w:b w:val="0"/>
          <w:i w:val="0"/>
          <w:sz w:val="22"/>
        </w:rPr>
        <w:t>SGTX never holds funds; it submits ISO 20022 payment instructions to banks under the buyer's signed bank mandate and derives settlement truth exclusively from bank confirmations (pain.002, camt.054, SWIFT gpi). The platform is escrow-free: the actual movement of funds occurs bank-to-bank, and the platform requires no banking licence to operate the orchestration layer.</w:t>
      </w:r>
    </w:p>
    <w:p>
      <w:pPr>
        <w:spacing w:after="80" w:line="293" w:lineRule="auto"/>
        <w:jc w:val="left"/>
      </w:pPr>
      <w:r>
        <w:rPr>
          <w:rFonts w:ascii="Times New Roman" w:hAnsi="Times New Roman" w:cs="Times New Roman"/>
          <w:b/>
          <w:i w:val="0"/>
          <w:sz w:val="22"/>
        </w:rPr>
        <w:t>Golden Principle:</w:t>
      </w:r>
      <w:r>
        <w:rPr>
          <w:rFonts w:ascii="Times New Roman" w:hAnsi="Times New Roman" w:cs="Times New Roman"/>
          <w:b w:val="0"/>
          <w:i w:val="0"/>
          <w:sz w:val="22"/>
        </w:rPr>
        <w:t xml:space="preserve"> SGTX must never equate a payment instruction with a settled payment.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Status</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MANIFEST_GENERATED</w:t>
            </w:r>
          </w:p>
        </w:tc>
        <w:tc>
          <w:tcPr>
            <w:tcW w:type="dxa" w:w="4819"/>
          </w:tcPr>
          <w:p>
            <w:pPr>
              <w:spacing w:after="20" w:before="20" w:line="240" w:lineRule="auto"/>
            </w:pPr>
            <w:r/>
            <w:r>
              <w:rPr>
                <w:rFonts w:ascii="Arial" w:hAnsi="Arial" w:cs="Arial"/>
                <w:b w:val="0"/>
                <w:i w:val="0"/>
                <w:sz w:val="17"/>
              </w:rPr>
              <w:t>Payment leg created from the settlement manifest</w:t>
            </w:r>
          </w:p>
        </w:tc>
      </w:tr>
      <w:tr>
        <w:tc>
          <w:tcPr>
            <w:tcW w:type="dxa" w:w="4819"/>
          </w:tcPr>
          <w:p>
            <w:pPr>
              <w:spacing w:after="20" w:before="20" w:line="240" w:lineRule="auto"/>
            </w:pPr>
            <w:r/>
            <w:r>
              <w:rPr>
                <w:rFonts w:ascii="Arial" w:hAnsi="Arial" w:cs="Arial"/>
                <w:b w:val="0"/>
                <w:i w:val="0"/>
                <w:sz w:val="17"/>
              </w:rPr>
              <w:t>MANDATE_AUTHORIZED</w:t>
            </w:r>
          </w:p>
        </w:tc>
        <w:tc>
          <w:tcPr>
            <w:tcW w:type="dxa" w:w="4819"/>
          </w:tcPr>
          <w:p>
            <w:pPr>
              <w:spacing w:after="20" w:before="20" w:line="240" w:lineRule="auto"/>
            </w:pPr>
            <w:r/>
            <w:r>
              <w:rPr>
                <w:rFonts w:ascii="Arial" w:hAnsi="Arial" w:cs="Arial"/>
                <w:b w:val="0"/>
                <w:i w:val="0"/>
                <w:sz w:val="17"/>
              </w:rPr>
              <w:t>Buyer authorized the manifest (QES)</w:t>
            </w:r>
          </w:p>
        </w:tc>
      </w:tr>
      <w:tr>
        <w:tc>
          <w:tcPr>
            <w:tcW w:type="dxa" w:w="4819"/>
          </w:tcPr>
          <w:p>
            <w:pPr>
              <w:spacing w:after="20" w:before="20" w:line="240" w:lineRule="auto"/>
            </w:pPr>
            <w:r/>
            <w:r>
              <w:rPr>
                <w:rFonts w:ascii="Arial" w:hAnsi="Arial" w:cs="Arial"/>
                <w:b w:val="0"/>
                <w:i w:val="0"/>
                <w:sz w:val="17"/>
              </w:rPr>
              <w:t>DISPATCHED</w:t>
            </w:r>
          </w:p>
        </w:tc>
        <w:tc>
          <w:tcPr>
            <w:tcW w:type="dxa" w:w="4819"/>
          </w:tcPr>
          <w:p>
            <w:pPr>
              <w:spacing w:after="20" w:before="20" w:line="240" w:lineRule="auto"/>
            </w:pPr>
            <w:r/>
            <w:r>
              <w:rPr>
                <w:rFonts w:ascii="Arial" w:hAnsi="Arial" w:cs="Arial"/>
                <w:b w:val="0"/>
                <w:i w:val="0"/>
                <w:sz w:val="17"/>
              </w:rPr>
              <w:t>pain.001 submitted to the buyer's bank</w:t>
            </w:r>
          </w:p>
        </w:tc>
      </w:tr>
      <w:tr>
        <w:tc>
          <w:tcPr>
            <w:tcW w:type="dxa" w:w="4819"/>
          </w:tcPr>
          <w:p>
            <w:pPr>
              <w:spacing w:after="20" w:before="20" w:line="240" w:lineRule="auto"/>
            </w:pPr>
            <w:r/>
            <w:r>
              <w:rPr>
                <w:rFonts w:ascii="Arial" w:hAnsi="Arial" w:cs="Arial"/>
                <w:b w:val="0"/>
                <w:i w:val="0"/>
                <w:sz w:val="17"/>
              </w:rPr>
              <w:t>PROCESSING</w:t>
            </w:r>
          </w:p>
        </w:tc>
        <w:tc>
          <w:tcPr>
            <w:tcW w:type="dxa" w:w="4819"/>
          </w:tcPr>
          <w:p>
            <w:pPr>
              <w:spacing w:after="20" w:before="20" w:line="240" w:lineRule="auto"/>
            </w:pPr>
            <w:r/>
            <w:r>
              <w:rPr>
                <w:rFonts w:ascii="Arial" w:hAnsi="Arial" w:cs="Arial"/>
                <w:b w:val="0"/>
                <w:i w:val="0"/>
                <w:sz w:val="17"/>
              </w:rPr>
              <w:t>Bank executing the transfer</w:t>
            </w:r>
          </w:p>
        </w:tc>
      </w:tr>
      <w:tr>
        <w:tc>
          <w:tcPr>
            <w:tcW w:type="dxa" w:w="4819"/>
          </w:tcPr>
          <w:p>
            <w:pPr>
              <w:spacing w:after="20" w:before="20" w:line="240" w:lineRule="auto"/>
            </w:pPr>
            <w:r/>
            <w:r>
              <w:rPr>
                <w:rFonts w:ascii="Arial" w:hAnsi="Arial" w:cs="Arial"/>
                <w:b w:val="0"/>
                <w:i w:val="0"/>
                <w:sz w:val="17"/>
              </w:rPr>
              <w:t>SETTLED</w:t>
            </w:r>
          </w:p>
        </w:tc>
        <w:tc>
          <w:tcPr>
            <w:tcW w:type="dxa" w:w="4819"/>
          </w:tcPr>
          <w:p>
            <w:pPr>
              <w:spacing w:after="20" w:before="20" w:line="240" w:lineRule="auto"/>
            </w:pPr>
            <w:r/>
            <w:r>
              <w:rPr>
                <w:rFonts w:ascii="Arial" w:hAnsi="Arial" w:cs="Arial"/>
                <w:b w:val="0"/>
                <w:i w:val="0"/>
                <w:sz w:val="17"/>
              </w:rPr>
              <w:t>camt.054 / SWIFT gpi confirmation received and matched to the leg</w:t>
            </w:r>
          </w:p>
        </w:tc>
      </w:tr>
      <w:tr>
        <w:tc>
          <w:tcPr>
            <w:tcW w:type="dxa" w:w="4819"/>
          </w:tcPr>
          <w:p>
            <w:pPr>
              <w:spacing w:after="20" w:before="20" w:line="240" w:lineRule="auto"/>
            </w:pPr>
            <w:r/>
            <w:r>
              <w:rPr>
                <w:rFonts w:ascii="Arial" w:hAnsi="Arial" w:cs="Arial"/>
                <w:b w:val="0"/>
                <w:i w:val="0"/>
                <w:sz w:val="17"/>
              </w:rPr>
              <w:t>RECONCILED</w:t>
            </w:r>
          </w:p>
        </w:tc>
        <w:tc>
          <w:tcPr>
            <w:tcW w:type="dxa" w:w="4819"/>
          </w:tcPr>
          <w:p>
            <w:pPr>
              <w:spacing w:after="20" w:before="20" w:line="240" w:lineRule="auto"/>
            </w:pPr>
            <w:r/>
            <w:r>
              <w:rPr>
                <w:rFonts w:ascii="Arial" w:hAnsi="Arial" w:cs="Arial"/>
                <w:b w:val="0"/>
                <w:i w:val="0"/>
                <w:sz w:val="17"/>
              </w:rPr>
              <w:t>Leg matched in reconciliation view and statements</w:t>
            </w:r>
          </w:p>
        </w:tc>
      </w:tr>
      <w:tr>
        <w:tc>
          <w:tcPr>
            <w:tcW w:type="dxa" w:w="4819"/>
          </w:tcPr>
          <w:p>
            <w:pPr>
              <w:spacing w:after="20" w:before="20" w:line="240" w:lineRule="auto"/>
            </w:pPr>
            <w:r/>
            <w:r>
              <w:rPr>
                <w:rFonts w:ascii="Arial" w:hAnsi="Arial" w:cs="Arial"/>
                <w:b w:val="0"/>
                <w:i w:val="0"/>
                <w:sz w:val="17"/>
              </w:rPr>
              <w:t>FINAL</w:t>
            </w:r>
          </w:p>
        </w:tc>
        <w:tc>
          <w:tcPr>
            <w:tcW w:type="dxa" w:w="4819"/>
          </w:tcPr>
          <w:p>
            <w:pPr>
              <w:spacing w:after="20" w:before="20" w:line="240" w:lineRule="auto"/>
            </w:pPr>
            <w:r/>
            <w:r>
              <w:rPr>
                <w:rFonts w:ascii="Arial" w:hAnsi="Arial" w:cs="Arial"/>
                <w:b w:val="0"/>
                <w:i w:val="0"/>
                <w:sz w:val="17"/>
              </w:rPr>
              <w:t>All legs settled and reconciled; closure-eligible</w:t>
            </w:r>
          </w:p>
        </w:tc>
      </w:tr>
      <w:tr>
        <w:tc>
          <w:tcPr>
            <w:tcW w:type="dxa" w:w="4819"/>
          </w:tcPr>
          <w:p>
            <w:pPr>
              <w:spacing w:after="20" w:before="20" w:line="240" w:lineRule="auto"/>
            </w:pPr>
            <w:r/>
            <w:r>
              <w:rPr>
                <w:rFonts w:ascii="Arial" w:hAnsi="Arial" w:cs="Arial"/>
                <w:b w:val="0"/>
                <w:i w:val="0"/>
                <w:sz w:val="17"/>
              </w:rPr>
              <w:t>UNKNOWN</w:t>
            </w:r>
          </w:p>
        </w:tc>
        <w:tc>
          <w:tcPr>
            <w:tcW w:type="dxa" w:w="4819"/>
          </w:tcPr>
          <w:p>
            <w:pPr>
              <w:spacing w:after="20" w:before="20" w:line="240" w:lineRule="auto"/>
            </w:pPr>
            <w:r/>
            <w:r>
              <w:rPr>
                <w:rFonts w:ascii="Arial" w:hAnsi="Arial" w:cs="Arial"/>
                <w:b w:val="0"/>
                <w:i w:val="0"/>
                <w:sz w:val="17"/>
              </w:rPr>
              <w:t>No confirmation received within SLA — never treated as final (Point 30)</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Goal: ensure that the seller receives payment promptly and securely, government fees are settled, and all transactions are reconciled and auditable.</w:t>
      </w:r>
    </w:p>
    <w:p>
      <w:pPr>
        <w:spacing w:after="80" w:line="293" w:lineRule="auto"/>
        <w:jc w:val="left"/>
      </w:pPr>
      <w:r>
        <w:rPr>
          <w:rFonts w:ascii="Times New Roman" w:hAnsi="Times New Roman" w:cs="Times New Roman"/>
          <w:b w:val="0"/>
          <w:i w:val="0"/>
          <w:sz w:val="22"/>
        </w:rPr>
        <w:t>Phase 6 key principles:</w:t>
      </w:r>
    </w:p>
    <w:p>
      <w:pPr>
        <w:spacing w:after="80" w:line="293" w:lineRule="auto"/>
        <w:ind w:left="283"/>
        <w:jc w:val="left"/>
      </w:pPr>
      <w:r>
        <w:rPr>
          <w:rFonts w:ascii="Times New Roman" w:hAnsi="Times New Roman" w:cs="Times New Roman"/>
          <w:b w:val="0"/>
          <w:i w:val="0"/>
          <w:sz w:val="22"/>
        </w:rPr>
        <w:t>- Non-custodial — the platform never holds trade principal; it submits bank-direct settlement instructions and provides bank reconciliation files.</w:t>
      </w:r>
    </w:p>
    <w:p>
      <w:pPr>
        <w:spacing w:after="80" w:line="293" w:lineRule="auto"/>
        <w:ind w:left="283"/>
        <w:jc w:val="left"/>
      </w:pPr>
      <w:r>
        <w:rPr>
          <w:rFonts w:ascii="Times New Roman" w:hAnsi="Times New Roman" w:cs="Times New Roman"/>
          <w:b w:val="0"/>
          <w:i w:val="0"/>
          <w:sz w:val="22"/>
        </w:rPr>
        <w:t>- Milestone-based partial settlement — pre-approved instalments triggered by specific milestones.</w:t>
      </w:r>
    </w:p>
    <w:p>
      <w:pPr>
        <w:spacing w:after="80" w:line="293" w:lineRule="auto"/>
        <w:ind w:left="283"/>
        <w:jc w:val="left"/>
      </w:pPr>
      <w:r>
        <w:rPr>
          <w:rFonts w:ascii="Times New Roman" w:hAnsi="Times New Roman" w:cs="Times New Roman"/>
          <w:b w:val="0"/>
          <w:i w:val="0"/>
          <w:sz w:val="22"/>
        </w:rPr>
        <w:t>- Bank Settlement Gateway — constructs ISO 20022 pain.001 batches and submits them to the buyer's mandated bank per funding currency.</w:t>
      </w:r>
    </w:p>
    <w:p>
      <w:pPr>
        <w:spacing w:after="80" w:line="293" w:lineRule="auto"/>
        <w:ind w:left="283"/>
        <w:jc w:val="left"/>
      </w:pPr>
      <w:r>
        <w:rPr>
          <w:rFonts w:ascii="Times New Roman" w:hAnsi="Times New Roman" w:cs="Times New Roman"/>
          <w:b w:val="0"/>
          <w:i w:val="0"/>
          <w:sz w:val="22"/>
        </w:rPr>
        <w:t>- Deferred government fee payment — duties and taxes paid after customs clearance.</w:t>
      </w:r>
    </w:p>
    <w:p>
      <w:pPr>
        <w:spacing w:after="80" w:line="293" w:lineRule="auto"/>
        <w:ind w:left="283"/>
        <w:jc w:val="left"/>
      </w:pPr>
      <w:r>
        <w:rPr>
          <w:rFonts w:ascii="Times New Roman" w:hAnsi="Times New Roman" w:cs="Times New Roman"/>
          <w:b w:val="0"/>
          <w:i w:val="0"/>
          <w:sz w:val="22"/>
        </w:rPr>
        <w:t>- Reconciliation Engine (A2, HF Donut) — automatically matches camt.054 confirmations, SWIFT gpi tracking, and bank statements to settlement legs.</w:t>
      </w:r>
    </w:p>
    <w:p>
      <w:pPr>
        <w:spacing w:after="80" w:line="293" w:lineRule="auto"/>
        <w:ind w:left="283"/>
        <w:jc w:val="left"/>
      </w:pPr>
      <w:r>
        <w:rPr>
          <w:rFonts w:ascii="Times New Roman" w:hAnsi="Times New Roman" w:cs="Times New Roman"/>
          <w:b w:val="0"/>
          <w:i w:val="0"/>
          <w:sz w:val="22"/>
        </w:rPr>
        <w:t>- Voice-enabled approval — the buyer can approve settlement with a single voice command.</w:t>
      </w:r>
    </w:p>
    <w:p>
      <w:pPr>
        <w:spacing w:after="80" w:line="293" w:lineRule="auto"/>
        <w:ind w:left="283"/>
        <w:jc w:val="left"/>
      </w:pPr>
      <w:r>
        <w:rPr>
          <w:rFonts w:ascii="Times New Roman" w:hAnsi="Times New Roman" w:cs="Times New Roman"/>
          <w:b w:val="0"/>
          <w:i w:val="0"/>
          <w:sz w:val="22"/>
        </w:rPr>
        <w:t>- Monthly reconciliation statements — cryptographically signed statements for each tenant.</w:t>
      </w:r>
    </w:p>
    <w:p>
      <w:pPr>
        <w:spacing w:after="80" w:line="293" w:lineRule="auto"/>
        <w:ind w:left="283"/>
        <w:jc w:val="left"/>
      </w:pPr>
      <w:r>
        <w:rPr>
          <w:rFonts w:ascii="Times New Roman" w:hAnsi="Times New Roman" w:cs="Times New Roman"/>
          <w:b w:val="0"/>
          <w:i w:val="0"/>
          <w:sz w:val="22"/>
        </w:rPr>
        <w:t>- Full audit trail — every settlement instruction is signed, Loom-hashed, and immutable.</w:t>
      </w:r>
    </w:p>
    <w:p>
      <w:pPr>
        <w:spacing w:after="80" w:line="293" w:lineRule="auto"/>
        <w:ind w:left="283"/>
        <w:jc w:val="left"/>
      </w:pPr>
      <w:r>
        <w:rPr>
          <w:rFonts w:ascii="Times New Roman" w:hAnsi="Times New Roman" w:cs="Times New Roman"/>
          <w:b w:val="0"/>
          <w:i w:val="0"/>
          <w:sz w:val="22"/>
        </w:rPr>
        <w:t>- Multi-shipment support — each shipment settles independently.</w:t>
      </w:r>
    </w:p>
    <w:p>
      <w:pPr>
        <w:spacing w:after="80" w:line="293" w:lineRule="auto"/>
        <w:jc w:val="left"/>
      </w:pPr>
      <w:r>
        <w:rPr>
          <w:rFonts w:ascii="Times New Roman" w:hAnsi="Times New Roman" w:cs="Times New Roman"/>
          <w:b w:val="0"/>
          <w:i w:val="0"/>
          <w:sz w:val="22"/>
        </w:rPr>
        <w:t>Phase 6 timeline: day 41+ (after delivery confirmation). One-click guarantee: the buyer approves settlement with one click or a voice command; reconciliation is automatic.</w:t>
      </w:r>
    </w:p>
    <w:p>
      <w:pPr>
        <w:keepNext/>
        <w:spacing w:before="180" w:after="80"/>
        <w:outlineLvl w:val="2"/>
      </w:pPr>
      <w:r>
        <w:rPr>
          <w:rFonts w:ascii="Arial" w:hAnsi="Arial" w:cs="Arial"/>
          <w:b/>
          <w:i w:val="0"/>
          <w:color w:val="333333"/>
          <w:sz w:val="23"/>
        </w:rPr>
        <w:t>13.1.1 High-Level Workflow</w:t>
      </w:r>
    </w:p>
    <w:p>
      <w:pPr>
        <w:spacing w:after="80" w:line="293" w:lineRule="auto"/>
        <w:jc w:val="left"/>
      </w:pPr>
      <w:r>
        <w:rPr>
          <w:rFonts w:ascii="Times New Roman" w:hAnsi="Times New Roman" w:cs="Times New Roman"/>
          <w:b w:val="0"/>
          <w:i w:val="0"/>
          <w:sz w:val="22"/>
        </w:rPr>
        <w:t>Stage 1 — Settlement Instruction Generation (automatic, zero clicks): trigger is delivery confirmation (or a milestone trigger); full settlement covers the total quoted price; milestone-based partial settlement follows the pre-approved schedule; the instruction is signed by the Governor (Ed25519).</w:t>
      </w:r>
    </w:p>
    <w:p>
      <w:pPr>
        <w:spacing w:after="80" w:line="293" w:lineRule="auto"/>
        <w:jc w:val="left"/>
      </w:pPr>
      <w:r>
        <w:rPr>
          <w:rFonts w:ascii="Times New Roman" w:hAnsi="Times New Roman" w:cs="Times New Roman"/>
          <w:b w:val="0"/>
          <w:i w:val="0"/>
          <w:sz w:val="22"/>
        </w:rPr>
        <w:t>Stage 2 — Bank Selection (A2, LightGBM + Groq advisory): the Bank Settlement Gateway selects the buyer's mandated bank per funding currency from the bank capability registry; the AI advisory explains capability tier, settlement window, and cost implications.</w:t>
      </w:r>
    </w:p>
    <w:p>
      <w:pPr>
        <w:spacing w:after="80" w:line="293" w:lineRule="auto"/>
        <w:jc w:val="left"/>
      </w:pPr>
      <w:r>
        <w:rPr>
          <w:rFonts w:ascii="Times New Roman" w:hAnsi="Times New Roman" w:cs="Times New Roman"/>
          <w:b w:val="0"/>
          <w:i w:val="0"/>
          <w:sz w:val="22"/>
        </w:rPr>
        <w:t>Stage 3 — Buyer Approval (one click or voice): Smart Inbox item "Approve settlement for USTN..."; voice: "Approve settlement for USTN SGTX-..."; if milestone-based pre-approval is in force, approval is automatic (zero clicks).</w:t>
      </w:r>
    </w:p>
    <w:p>
      <w:pPr>
        <w:spacing w:after="80" w:line="293" w:lineRule="auto"/>
        <w:jc w:val="left"/>
      </w:pPr>
      <w:r>
        <w:rPr>
          <w:rFonts w:ascii="Times New Roman" w:hAnsi="Times New Roman" w:cs="Times New Roman"/>
          <w:b w:val="0"/>
          <w:i w:val="0"/>
          <w:sz w:val="22"/>
        </w:rPr>
        <w:t>Stage 4 — Bank Processing: the buyer's bank executes the multi-leg transfer; the platform monitors pain.002 acknowledgments, camt.054 notifications, and SWIFT gpi UETR tracking.</w:t>
      </w:r>
    </w:p>
    <w:p>
      <w:pPr>
        <w:spacing w:after="80" w:line="293" w:lineRule="auto"/>
        <w:jc w:val="left"/>
      </w:pPr>
      <w:r>
        <w:rPr>
          <w:rFonts w:ascii="Times New Roman" w:hAnsi="Times New Roman" w:cs="Times New Roman"/>
          <w:b w:val="0"/>
          <w:i w:val="0"/>
          <w:sz w:val="22"/>
        </w:rPr>
        <w:t>Stage 5 — Deferred Government Fee Payment Trigger (if applicable): trigger is the CUSTOMS_IMPORT milestone; the system retrieves the deferred fee amount and payee; generates the settlement instruction for the government fee; dispatches the pain.001 instruction on file (auto-charge) or alerts the payer via Smart Inbox.</w:t>
      </w:r>
    </w:p>
    <w:p>
      <w:pPr>
        <w:spacing w:after="80" w:line="293" w:lineRule="auto"/>
        <w:jc w:val="left"/>
      </w:pPr>
      <w:r>
        <w:rPr>
          <w:rFonts w:ascii="Times New Roman" w:hAnsi="Times New Roman" w:cs="Times New Roman"/>
          <w:b w:val="0"/>
          <w:i w:val="0"/>
          <w:sz w:val="22"/>
        </w:rPr>
        <w:t>Stage 6 — Reconciliation Engine (A2, HF Donut): camt.054 / gpi confirmation received → extract EndToEndId, amount, currency; match against settlement legs; confidence ≥95% auto-reconciled; confidence &lt;95% Smart Inbox alert for manual review.</w:t>
      </w:r>
    </w:p>
    <w:p>
      <w:pPr>
        <w:spacing w:after="80" w:line="293" w:lineRule="auto"/>
        <w:jc w:val="left"/>
      </w:pPr>
      <w:r>
        <w:rPr>
          <w:rFonts w:ascii="Times New Roman" w:hAnsi="Times New Roman" w:cs="Times New Roman"/>
          <w:b w:val="0"/>
          <w:i w:val="0"/>
          <w:sz w:val="22"/>
        </w:rPr>
        <w:t>Stage 7 — Monthly Reconciliation Statement (one-click download): generated at month end; all settled USTNs, amounts, dates, counterparties; Ed25519 signature and SHA-256 checksum.</w:t>
      </w:r>
    </w:p>
    <w:p>
      <w:pPr>
        <w:spacing w:after="80" w:line="293" w:lineRule="auto"/>
        <w:jc w:val="left"/>
      </w:pPr>
      <w:r>
        <w:rPr>
          <w:rFonts w:ascii="Times New Roman" w:hAnsi="Times New Roman" w:cs="Times New Roman"/>
          <w:b w:val="0"/>
          <w:i w:val="0"/>
          <w:sz w:val="22"/>
        </w:rPr>
        <w:t>The Direct Bank Settlement Architecture is the canonical payment model of the platform. It binds every financial obligation of a trade to a single USTN Multi-Leg Settlement Manifest, executes each leg directly between bank accounts over ISO 20022, and derives settlement truth exclusively from bank confirmations. This section defines the foundational concepts; the phase-by-phase execution mechanics appear in Phases 0 through 9.</w:t>
      </w:r>
    </w:p>
    <w:p>
      <w:pPr>
        <w:keepNext/>
        <w:spacing w:before="180" w:after="80"/>
        <w:outlineLvl w:val="2"/>
      </w:pPr>
      <w:r>
        <w:rPr>
          <w:rFonts w:ascii="Arial" w:hAnsi="Arial" w:cs="Arial"/>
          <w:b/>
          <w:i w:val="0"/>
          <w:color w:val="333333"/>
          <w:sz w:val="23"/>
        </w:rPr>
        <w:t>13.1.2 Architectural Principles (Direct Bank Settlement)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Principle</w:t>
            </w:r>
          </w:p>
        </w:tc>
        <w:tc>
          <w:tcPr>
            <w:tcW w:type="dxa" w:w="4819"/>
            <w:shd w:val="clear" w:fill="D9E2F3"/>
          </w:tcPr>
          <w:p>
            <w:pPr>
              <w:spacing w:after="20" w:before="20" w:line="240" w:lineRule="auto"/>
            </w:pPr>
            <w:r/>
            <w:r>
              <w:rPr>
                <w:rFonts w:ascii="Arial" w:hAnsi="Arial" w:cs="Arial"/>
                <w:b/>
                <w:i w:val="0"/>
                <w:sz w:val="18"/>
              </w:rPr>
              <w:t>Implementation</w:t>
            </w:r>
          </w:p>
        </w:tc>
      </w:tr>
      <w:tr>
        <w:tc>
          <w:tcPr>
            <w:tcW w:type="dxa" w:w="4819"/>
          </w:tcPr>
          <w:p>
            <w:pPr>
              <w:spacing w:after="20" w:before="20" w:line="240" w:lineRule="auto"/>
            </w:pPr>
            <w:r/>
            <w:r>
              <w:rPr>
                <w:rFonts w:ascii="Arial" w:hAnsi="Arial" w:cs="Arial"/>
                <w:b w:val="0"/>
                <w:i w:val="0"/>
                <w:sz w:val="17"/>
              </w:rPr>
              <w:t>Non-Custodial</w:t>
            </w:r>
          </w:p>
        </w:tc>
        <w:tc>
          <w:tcPr>
            <w:tcW w:type="dxa" w:w="4819"/>
          </w:tcPr>
          <w:p>
            <w:pPr>
              <w:spacing w:after="20" w:before="20" w:line="240" w:lineRule="auto"/>
            </w:pPr>
            <w:r/>
            <w:r>
              <w:rPr>
                <w:rFonts w:ascii="Arial" w:hAnsi="Arial" w:cs="Arial"/>
                <w:b w:val="0"/>
                <w:i w:val="0"/>
                <w:sz w:val="17"/>
              </w:rPr>
              <w:t>SGTX never holds, pools, or routes customer funds</w:t>
            </w:r>
          </w:p>
        </w:tc>
      </w:tr>
      <w:tr>
        <w:tc>
          <w:tcPr>
            <w:tcW w:type="dxa" w:w="4819"/>
          </w:tcPr>
          <w:p>
            <w:pPr>
              <w:spacing w:after="20" w:before="20" w:line="240" w:lineRule="auto"/>
            </w:pPr>
            <w:r/>
            <w:r>
              <w:rPr>
                <w:rFonts w:ascii="Arial" w:hAnsi="Arial" w:cs="Arial"/>
                <w:b w:val="0"/>
                <w:i w:val="0"/>
                <w:sz w:val="17"/>
              </w:rPr>
              <w:t>PSP-Free</w:t>
            </w:r>
          </w:p>
        </w:tc>
        <w:tc>
          <w:tcPr>
            <w:tcW w:type="dxa" w:w="4819"/>
          </w:tcPr>
          <w:p>
            <w:pPr>
              <w:spacing w:after="20" w:before="20" w:line="240" w:lineRule="auto"/>
            </w:pPr>
            <w:r/>
            <w:r>
              <w:rPr>
                <w:rFonts w:ascii="Arial" w:hAnsi="Arial" w:cs="Arial"/>
                <w:b w:val="0"/>
                <w:i w:val="0"/>
                <w:sz w:val="17"/>
              </w:rPr>
              <w:t>All payments are bank-to-bank via ISO 20022</w:t>
            </w:r>
          </w:p>
        </w:tc>
      </w:tr>
      <w:tr>
        <w:tc>
          <w:tcPr>
            <w:tcW w:type="dxa" w:w="4819"/>
          </w:tcPr>
          <w:p>
            <w:pPr>
              <w:spacing w:after="20" w:before="20" w:line="240" w:lineRule="auto"/>
            </w:pPr>
            <w:r/>
            <w:r>
              <w:rPr>
                <w:rFonts w:ascii="Arial" w:hAnsi="Arial" w:cs="Arial"/>
                <w:b w:val="0"/>
                <w:i w:val="0"/>
                <w:sz w:val="17"/>
              </w:rPr>
              <w:t>USTN-Bound</w:t>
            </w:r>
          </w:p>
        </w:tc>
        <w:tc>
          <w:tcPr>
            <w:tcW w:type="dxa" w:w="4819"/>
          </w:tcPr>
          <w:p>
            <w:pPr>
              <w:spacing w:after="20" w:before="20" w:line="240" w:lineRule="auto"/>
            </w:pPr>
            <w:r/>
            <w:r>
              <w:rPr>
                <w:rFonts w:ascii="Arial" w:hAnsi="Arial" w:cs="Arial"/>
                <w:b w:val="0"/>
                <w:i w:val="0"/>
                <w:sz w:val="17"/>
              </w:rPr>
              <w:t>Every payment references the USTN in structured remittance</w:t>
            </w:r>
          </w:p>
        </w:tc>
      </w:tr>
      <w:tr>
        <w:tc>
          <w:tcPr>
            <w:tcW w:type="dxa" w:w="4819"/>
          </w:tcPr>
          <w:p>
            <w:pPr>
              <w:spacing w:after="20" w:before="20" w:line="240" w:lineRule="auto"/>
            </w:pPr>
            <w:r/>
            <w:r>
              <w:rPr>
                <w:rFonts w:ascii="Arial" w:hAnsi="Arial" w:cs="Arial"/>
                <w:b w:val="0"/>
                <w:i w:val="0"/>
                <w:sz w:val="17"/>
              </w:rPr>
              <w:t>Multi-Currency</w:t>
            </w:r>
          </w:p>
        </w:tc>
        <w:tc>
          <w:tcPr>
            <w:tcW w:type="dxa" w:w="4819"/>
          </w:tcPr>
          <w:p>
            <w:pPr>
              <w:spacing w:after="20" w:before="20" w:line="240" w:lineRule="auto"/>
            </w:pPr>
            <w:r/>
            <w:r>
              <w:rPr>
                <w:rFonts w:ascii="Arial" w:hAnsi="Arial" w:cs="Arial"/>
                <w:b w:val="0"/>
                <w:i w:val="0"/>
                <w:sz w:val="17"/>
              </w:rPr>
              <w:t>EGP and USD legs are executed separately from segregated accounts</w:t>
            </w:r>
          </w:p>
        </w:tc>
      </w:tr>
      <w:tr>
        <w:tc>
          <w:tcPr>
            <w:tcW w:type="dxa" w:w="4819"/>
          </w:tcPr>
          <w:p>
            <w:pPr>
              <w:spacing w:after="20" w:before="20" w:line="240" w:lineRule="auto"/>
            </w:pPr>
            <w:r/>
            <w:r>
              <w:rPr>
                <w:rFonts w:ascii="Arial" w:hAnsi="Arial" w:cs="Arial"/>
                <w:b w:val="0"/>
                <w:i w:val="0"/>
                <w:sz w:val="17"/>
              </w:rPr>
              <w:t>Milestone-Triggered</w:t>
            </w:r>
          </w:p>
        </w:tc>
        <w:tc>
          <w:tcPr>
            <w:tcW w:type="dxa" w:w="4819"/>
          </w:tcPr>
          <w:p>
            <w:pPr>
              <w:spacing w:after="20" w:before="20" w:line="240" w:lineRule="auto"/>
            </w:pPr>
            <w:r/>
            <w:r>
              <w:rPr>
                <w:rFonts w:ascii="Arial" w:hAnsi="Arial" w:cs="Arial"/>
                <w:b w:val="0"/>
                <w:i w:val="0"/>
                <w:sz w:val="17"/>
              </w:rPr>
              <w:t>Each payment leg executes on a confirmed milestone (CUSTOMS_SUBMITTED, DEPARTED, CUSTOMS_IMPORT, DELIVERED)</w:t>
            </w:r>
          </w:p>
        </w:tc>
      </w:tr>
      <w:tr>
        <w:tc>
          <w:tcPr>
            <w:tcW w:type="dxa" w:w="4819"/>
          </w:tcPr>
          <w:p>
            <w:pPr>
              <w:spacing w:after="20" w:before="20" w:line="240" w:lineRule="auto"/>
            </w:pPr>
            <w:r/>
            <w:r>
              <w:rPr>
                <w:rFonts w:ascii="Arial" w:hAnsi="Arial" w:cs="Arial"/>
                <w:b w:val="0"/>
                <w:i w:val="0"/>
                <w:sz w:val="17"/>
              </w:rPr>
              <w:t>Bank-Authoritative</w:t>
            </w:r>
          </w:p>
        </w:tc>
        <w:tc>
          <w:tcPr>
            <w:tcW w:type="dxa" w:w="4819"/>
          </w:tcPr>
          <w:p>
            <w:pPr>
              <w:spacing w:after="20" w:before="20" w:line="240" w:lineRule="auto"/>
            </w:pPr>
            <w:r/>
            <w:r>
              <w:rPr>
                <w:rFonts w:ascii="Arial" w:hAnsi="Arial" w:cs="Arial"/>
                <w:b w:val="0"/>
                <w:i w:val="0"/>
                <w:sz w:val="17"/>
              </w:rPr>
              <w:t>Settlement truth is derived exclusively from bank pain.002 and camt.054 messages</w:t>
            </w:r>
          </w:p>
        </w:tc>
      </w:tr>
      <w:tr>
        <w:tc>
          <w:tcPr>
            <w:tcW w:type="dxa" w:w="4819"/>
          </w:tcPr>
          <w:p>
            <w:pPr>
              <w:spacing w:after="20" w:before="20" w:line="240" w:lineRule="auto"/>
            </w:pPr>
            <w:r/>
            <w:r>
              <w:rPr>
                <w:rFonts w:ascii="Arial" w:hAnsi="Arial" w:cs="Arial"/>
                <w:b w:val="0"/>
                <w:i w:val="0"/>
                <w:sz w:val="17"/>
              </w:rPr>
              <w:t>Immutable Audit</w:t>
            </w:r>
          </w:p>
        </w:tc>
        <w:tc>
          <w:tcPr>
            <w:tcW w:type="dxa" w:w="4819"/>
          </w:tcPr>
          <w:p>
            <w:pPr>
              <w:spacing w:after="20" w:before="20" w:line="240" w:lineRule="auto"/>
            </w:pPr>
            <w:r/>
            <w:r>
              <w:rPr>
                <w:rFonts w:ascii="Arial" w:hAnsi="Arial" w:cs="Arial"/>
                <w:b w:val="0"/>
                <w:i w:val="0"/>
                <w:sz w:val="17"/>
              </w:rPr>
              <w:t>Every transaction is recorded in the Loom hash chain</w:t>
            </w:r>
          </w:p>
        </w:tc>
      </w:tr>
      <w:tr>
        <w:tc>
          <w:tcPr>
            <w:tcW w:type="dxa" w:w="4819"/>
          </w:tcPr>
          <w:p>
            <w:pPr>
              <w:spacing w:after="20" w:before="20" w:line="240" w:lineRule="auto"/>
            </w:pPr>
            <w:r/>
            <w:r>
              <w:rPr>
                <w:rFonts w:ascii="Arial" w:hAnsi="Arial" w:cs="Arial"/>
                <w:b w:val="0"/>
                <w:i w:val="0"/>
                <w:sz w:val="17"/>
              </w:rPr>
              <w:t>Transparent</w:t>
            </w:r>
          </w:p>
        </w:tc>
        <w:tc>
          <w:tcPr>
            <w:tcW w:type="dxa" w:w="4819"/>
          </w:tcPr>
          <w:p>
            <w:pPr>
              <w:spacing w:after="20" w:before="20" w:line="240" w:lineRule="auto"/>
            </w:pPr>
            <w:r/>
            <w:r>
              <w:rPr>
                <w:rFonts w:ascii="Arial" w:hAnsi="Arial" w:cs="Arial"/>
                <w:b w:val="0"/>
                <w:i w:val="0"/>
                <w:sz w:val="17"/>
              </w:rPr>
              <w:t>Every quote comes from a verified GTID and is visible to all authorised parties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13.1.3 The USTN Multi-Leg Settlement Manifest</w:t>
      </w:r>
    </w:p>
    <w:p>
      <w:pPr>
        <w:spacing w:after="80" w:line="293" w:lineRule="auto"/>
        <w:jc w:val="left"/>
      </w:pPr>
      <w:r>
        <w:rPr>
          <w:rFonts w:ascii="Times New Roman" w:hAnsi="Times New Roman" w:cs="Times New Roman"/>
          <w:b w:val="0"/>
          <w:i w:val="0"/>
          <w:sz w:val="22"/>
        </w:rPr>
        <w:t>One USTN carries one settlement manifest. The manifest splits into currency-specific settlement legs, each debited from the buyer's segregated account in that currency and credited to a specific beneficiary account. Every customs, phytosanitary, laboratory, logistics, freight, commercial, and platform obligation of the trade appears as exactly one leg:</w:t>
      </w:r>
    </w:p>
    <w:p>
      <w:pPr>
        <w:spacing w:after="0" w:before="0" w:line="240" w:lineRule="auto"/>
        <w:ind w:left="57"/>
        <w:jc w:val="left"/>
        <w:shd w:val="clear" w:fill="F2F2F2"/>
      </w:pPr>
      <w:r>
        <w:rPr>
          <w:rFonts w:ascii="Consolas" w:hAnsi="Consolas" w:cs="Consolas"/>
          <w:b w:val="0"/>
          <w:i w:val="0"/>
          <w:sz w:val="15"/>
        </w:rPr>
        <w:t xml:space="preserve">                       [ Single USTN Multi-Leg Settlement Manifest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w:t>
      </w:r>
    </w:p>
    <w:p>
      <w:pPr>
        <w:spacing w:after="0" w:before="0" w:line="240" w:lineRule="auto"/>
        <w:ind w:left="57"/>
        <w:jc w:val="left"/>
        <w:shd w:val="clear" w:fill="F2F2F2"/>
      </w:pPr>
      <w:r>
        <w:rPr>
          <w:rFonts w:ascii="Consolas" w:hAnsi="Consolas" w:cs="Consolas"/>
          <w:b w:val="0"/>
          <w:i w:val="0"/>
          <w:sz w:val="15"/>
        </w:rPr>
        <w:t xml:space="preserve">          [ EGP Settlement Leg ]                          [ USD Settlement Leg ]</w:t>
      </w:r>
    </w:p>
    <w:p>
      <w:pPr>
        <w:spacing w:after="0" w:before="0" w:line="240" w:lineRule="auto"/>
        <w:ind w:left="57"/>
        <w:jc w:val="left"/>
        <w:shd w:val="clear" w:fill="F2F2F2"/>
      </w:pPr>
      <w:r>
        <w:rPr>
          <w:rFonts w:ascii="Consolas" w:hAnsi="Consolas" w:cs="Consolas"/>
          <w:b w:val="0"/>
          <w:i w:val="0"/>
          <w:sz w:val="15"/>
        </w:rPr>
        <w:t xml:space="preserve">     (Debited from Buyer's EGP Account)              (Debited from Buyer's USD Account)</w:t>
      </w:r>
    </w:p>
    <w:p>
      <w:pPr>
        <w:spacing w:after="0" w:before="0" w:line="240" w:lineRule="auto"/>
        <w:ind w:left="57"/>
        <w:jc w:val="left"/>
        <w:shd w:val="clear" w:fill="F2F2F2"/>
      </w:pPr>
      <w:r>
        <w:rPr>
          <w:rFonts w:ascii="Consolas" w:hAnsi="Consolas" w:cs="Consolas"/>
          <w:b w:val="0"/>
          <w:i w:val="0"/>
          <w:sz w:val="15"/>
        </w:rPr>
        <w:t xml:space="preserve">                   |                                                |</w:t>
      </w:r>
    </w:p>
    <w:p>
      <w:pPr>
        <w:spacing w:after="0" w:before="0" w:line="240" w:lineRule="auto"/>
        <w:ind w:left="57"/>
        <w:jc w:val="left"/>
        <w:shd w:val="clear" w:fill="F2F2F2"/>
      </w:pPr>
      <w:r>
        <w:rPr>
          <w:rFonts w:ascii="Consolas" w:hAnsi="Consolas" w:cs="Consolas"/>
          <w:b w:val="0"/>
          <w:i w:val="0"/>
          <w:sz w:val="15"/>
        </w:rPr>
        <w:t xml:space="preserve">  +----------------+----------------+               +----------------+----------------+</w:t>
      </w:r>
    </w:p>
    <w:p>
      <w:pPr>
        <w:spacing w:after="0" w:before="0" w:line="240" w:lineRule="auto"/>
        <w:ind w:left="57"/>
        <w:jc w:val="left"/>
        <w:shd w:val="clear" w:fill="F2F2F2"/>
      </w:pPr>
      <w:r>
        <w:rPr>
          <w:rFonts w:ascii="Consolas" w:hAnsi="Consolas" w:cs="Consolas"/>
          <w:b w:val="0"/>
          <w:i w:val="0"/>
          <w:sz w:val="15"/>
        </w:rPr>
        <w:t xml:space="preserve">  |                |                |               |                |                |</w:t>
      </w:r>
    </w:p>
    <w:p>
      <w:pPr>
        <w:spacing w:after="0" w:before="0" w:line="240" w:lineRule="auto"/>
        <w:ind w:left="57"/>
        <w:jc w:val="left"/>
        <w:shd w:val="clear" w:fill="F2F2F2"/>
      </w:pPr>
      <w:r>
        <w:rPr>
          <w:rFonts w:ascii="Consolas" w:hAnsi="Consolas" w:cs="Consolas"/>
          <w:b w:val="0"/>
          <w:i w:val="0"/>
          <w:sz w:val="15"/>
        </w:rPr>
        <w:t>[Nafeza / Customs] [CAPQ Phyto] [GOEIC Labs]    [Shipping Line]  [Seller Balance]  [SGTX USD Fee]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13.1.4 ISO 20022 USTN Identifier Binding</w:t>
      </w:r>
    </w:p>
    <w:p>
      <w:pPr>
        <w:spacing w:after="80" w:line="293" w:lineRule="auto"/>
        <w:jc w:val="left"/>
      </w:pPr>
      <w:r>
        <w:rPr>
          <w:rFonts w:ascii="Times New Roman" w:hAnsi="Times New Roman" w:cs="Times New Roman"/>
          <w:b w:val="0"/>
          <w:i w:val="0"/>
          <w:sz w:val="22"/>
        </w:rPr>
        <w:t>Every outbound and inbound ISO 20022 message binds to the USTN through structured identifiers so that each leg is individually traceable end-to-end: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ISO 20022 Field</w:t>
            </w:r>
          </w:p>
        </w:tc>
        <w:tc>
          <w:tcPr>
            <w:tcW w:type="dxa" w:w="2409"/>
            <w:shd w:val="clear" w:fill="D9E2F3"/>
          </w:tcPr>
          <w:p>
            <w:pPr>
              <w:spacing w:after="20" w:before="20" w:line="240" w:lineRule="auto"/>
            </w:pPr>
            <w:r/>
            <w:r>
              <w:rPr>
                <w:rFonts w:ascii="Arial" w:hAnsi="Arial" w:cs="Arial"/>
                <w:b/>
                <w:i w:val="0"/>
                <w:sz w:val="18"/>
              </w:rPr>
              <w:t>XML Element</w:t>
            </w:r>
          </w:p>
        </w:tc>
        <w:tc>
          <w:tcPr>
            <w:tcW w:type="dxa" w:w="2409"/>
            <w:shd w:val="clear" w:fill="D9E2F3"/>
          </w:tcPr>
          <w:p>
            <w:pPr>
              <w:spacing w:after="20" w:before="20" w:line="240" w:lineRule="auto"/>
            </w:pPr>
            <w:r/>
            <w:r>
              <w:rPr>
                <w:rFonts w:ascii="Arial" w:hAnsi="Arial" w:cs="Arial"/>
                <w:b/>
                <w:i w:val="0"/>
                <w:sz w:val="18"/>
              </w:rPr>
              <w:t>Injected Structure</w:t>
            </w:r>
          </w:p>
        </w:tc>
        <w:tc>
          <w:tcPr>
            <w:tcW w:type="dxa" w:w="2409"/>
            <w:shd w:val="clear" w:fill="D9E2F3"/>
          </w:tcPr>
          <w:p>
            <w:pPr>
              <w:spacing w:after="20" w:before="20" w:line="240" w:lineRule="auto"/>
            </w:pPr>
            <w:r/>
            <w:r>
              <w:rPr>
                <w:rFonts w:ascii="Arial" w:hAnsi="Arial" w:cs="Arial"/>
                <w:b/>
                <w:i w:val="0"/>
                <w:sz w:val="18"/>
              </w:rPr>
              <w:t>Purpose</w:t>
            </w:r>
          </w:p>
        </w:tc>
      </w:tr>
      <w:tr>
        <w:tc>
          <w:tcPr>
            <w:tcW w:type="dxa" w:w="2409"/>
          </w:tcPr>
          <w:p>
            <w:pPr>
              <w:spacing w:after="20" w:before="20" w:line="240" w:lineRule="auto"/>
            </w:pPr>
            <w:r/>
            <w:r>
              <w:rPr>
                <w:rFonts w:ascii="Arial" w:hAnsi="Arial" w:cs="Arial"/>
                <w:b w:val="0"/>
                <w:i w:val="0"/>
                <w:sz w:val="17"/>
              </w:rPr>
              <w:t>GrpHdr/MsgId</w:t>
            </w:r>
          </w:p>
        </w:tc>
        <w:tc>
          <w:tcPr>
            <w:tcW w:type="dxa" w:w="2409"/>
          </w:tcPr>
          <w:p>
            <w:pPr>
              <w:spacing w:after="20" w:before="20" w:line="240" w:lineRule="auto"/>
            </w:pPr>
            <w:r/>
            <w:r>
              <w:rPr>
                <w:rFonts w:ascii="Arial" w:hAnsi="Arial" w:cs="Arial"/>
                <w:b w:val="0"/>
                <w:i w:val="0"/>
                <w:sz w:val="17"/>
              </w:rPr>
              <w:t>Message Identifier</w:t>
            </w:r>
          </w:p>
        </w:tc>
        <w:tc>
          <w:tcPr>
            <w:tcW w:type="dxa" w:w="2409"/>
          </w:tcPr>
          <w:p>
            <w:pPr>
              <w:spacing w:after="20" w:before="20" w:line="240" w:lineRule="auto"/>
            </w:pPr>
            <w:r/>
            <w:r>
              <w:rPr>
                <w:rFonts w:ascii="Arial" w:hAnsi="Arial" w:cs="Arial"/>
                <w:b w:val="0"/>
                <w:i w:val="0"/>
                <w:sz w:val="17"/>
              </w:rPr>
              <w:t>SGTX-MSG-{USTN}-{TIMESTAMP}</w:t>
            </w:r>
          </w:p>
        </w:tc>
        <w:tc>
          <w:tcPr>
            <w:tcW w:type="dxa" w:w="2409"/>
          </w:tcPr>
          <w:p>
            <w:pPr>
              <w:spacing w:after="20" w:before="20" w:line="240" w:lineRule="auto"/>
            </w:pPr>
            <w:r/>
            <w:r>
              <w:rPr>
                <w:rFonts w:ascii="Arial" w:hAnsi="Arial" w:cs="Arial"/>
                <w:b w:val="0"/>
                <w:i w:val="0"/>
                <w:sz w:val="17"/>
              </w:rPr>
              <w:t>Batch identifier</w:t>
            </w:r>
          </w:p>
        </w:tc>
      </w:tr>
      <w:tr>
        <w:tc>
          <w:tcPr>
            <w:tcW w:type="dxa" w:w="2409"/>
          </w:tcPr>
          <w:p>
            <w:pPr>
              <w:spacing w:after="20" w:before="20" w:line="240" w:lineRule="auto"/>
            </w:pPr>
            <w:r/>
            <w:r>
              <w:rPr>
                <w:rFonts w:ascii="Arial" w:hAnsi="Arial" w:cs="Arial"/>
                <w:b w:val="0"/>
                <w:i w:val="0"/>
                <w:sz w:val="17"/>
              </w:rPr>
              <w:t>PmtInf/PmtInfId</w:t>
            </w:r>
          </w:p>
        </w:tc>
        <w:tc>
          <w:tcPr>
            <w:tcW w:type="dxa" w:w="2409"/>
          </w:tcPr>
          <w:p>
            <w:pPr>
              <w:spacing w:after="20" w:before="20" w:line="240" w:lineRule="auto"/>
            </w:pPr>
            <w:r/>
            <w:r>
              <w:rPr>
                <w:rFonts w:ascii="Arial" w:hAnsi="Arial" w:cs="Arial"/>
                <w:b w:val="0"/>
                <w:i w:val="0"/>
                <w:sz w:val="17"/>
              </w:rPr>
              <w:t>Payment Information ID</w:t>
            </w:r>
          </w:p>
        </w:tc>
        <w:tc>
          <w:tcPr>
            <w:tcW w:type="dxa" w:w="2409"/>
          </w:tcPr>
          <w:p>
            <w:pPr>
              <w:spacing w:after="20" w:before="20" w:line="240" w:lineRule="auto"/>
            </w:pPr>
            <w:r/>
            <w:r>
              <w:rPr>
                <w:rFonts w:ascii="Arial" w:hAnsi="Arial" w:cs="Arial"/>
                <w:b w:val="0"/>
                <w:i w:val="0"/>
                <w:sz w:val="17"/>
              </w:rPr>
              <w:t>SGTX-PMT-{USTN}-{LEG_ID}</w:t>
            </w:r>
          </w:p>
        </w:tc>
        <w:tc>
          <w:tcPr>
            <w:tcW w:type="dxa" w:w="2409"/>
          </w:tcPr>
          <w:p>
            <w:pPr>
              <w:spacing w:after="20" w:before="20" w:line="240" w:lineRule="auto"/>
            </w:pPr>
            <w:r/>
            <w:r>
              <w:rPr>
                <w:rFonts w:ascii="Arial" w:hAnsi="Arial" w:cs="Arial"/>
                <w:b w:val="0"/>
                <w:i w:val="0"/>
                <w:sz w:val="17"/>
              </w:rPr>
              <w:t>Leg identifier</w:t>
            </w:r>
          </w:p>
        </w:tc>
      </w:tr>
      <w:tr>
        <w:tc>
          <w:tcPr>
            <w:tcW w:type="dxa" w:w="2409"/>
          </w:tcPr>
          <w:p>
            <w:pPr>
              <w:spacing w:after="20" w:before="20" w:line="240" w:lineRule="auto"/>
            </w:pPr>
            <w:r/>
            <w:r>
              <w:rPr>
                <w:rFonts w:ascii="Arial" w:hAnsi="Arial" w:cs="Arial"/>
                <w:b w:val="0"/>
                <w:i w:val="0"/>
                <w:sz w:val="17"/>
              </w:rPr>
              <w:t>CdtTrfTxInf/PmtId/EndToEndId</w:t>
            </w:r>
          </w:p>
        </w:tc>
        <w:tc>
          <w:tcPr>
            <w:tcW w:type="dxa" w:w="2409"/>
          </w:tcPr>
          <w:p>
            <w:pPr>
              <w:spacing w:after="20" w:before="20" w:line="240" w:lineRule="auto"/>
            </w:pPr>
            <w:r/>
            <w:r>
              <w:rPr>
                <w:rFonts w:ascii="Arial" w:hAnsi="Arial" w:cs="Arial"/>
                <w:b w:val="0"/>
                <w:i w:val="0"/>
                <w:sz w:val="17"/>
              </w:rPr>
              <w:t>End-to-End Identification</w:t>
            </w:r>
          </w:p>
        </w:tc>
        <w:tc>
          <w:tcPr>
            <w:tcW w:type="dxa" w:w="2409"/>
          </w:tcPr>
          <w:p>
            <w:pPr>
              <w:spacing w:after="20" w:before="20" w:line="240" w:lineRule="auto"/>
            </w:pPr>
            <w:r/>
            <w:r>
              <w:rPr>
                <w:rFonts w:ascii="Arial" w:hAnsi="Arial" w:cs="Arial"/>
                <w:b w:val="0"/>
                <w:i w:val="0"/>
                <w:sz w:val="17"/>
              </w:rPr>
              <w:t>{USTN}-{LEG_ID}</w:t>
            </w:r>
          </w:p>
        </w:tc>
        <w:tc>
          <w:tcPr>
            <w:tcW w:type="dxa" w:w="2409"/>
          </w:tcPr>
          <w:p>
            <w:pPr>
              <w:spacing w:after="20" w:before="20" w:line="240" w:lineRule="auto"/>
            </w:pPr>
            <w:r/>
            <w:r>
              <w:rPr>
                <w:rFonts w:ascii="Arial" w:hAnsi="Arial" w:cs="Arial"/>
                <w:b w:val="0"/>
                <w:i w:val="0"/>
                <w:sz w:val="17"/>
              </w:rPr>
              <w:t>Immutable trace string</w:t>
            </w:r>
          </w:p>
        </w:tc>
      </w:tr>
      <w:tr>
        <w:tc>
          <w:tcPr>
            <w:tcW w:type="dxa" w:w="2409"/>
          </w:tcPr>
          <w:p>
            <w:pPr>
              <w:spacing w:after="20" w:before="20" w:line="240" w:lineRule="auto"/>
            </w:pPr>
            <w:r/>
            <w:r>
              <w:rPr>
                <w:rFonts w:ascii="Arial" w:hAnsi="Arial" w:cs="Arial"/>
                <w:b w:val="0"/>
                <w:i w:val="0"/>
                <w:sz w:val="17"/>
              </w:rPr>
              <w:t>CdtTrfTxInf/PmtId/UETR</w:t>
            </w:r>
          </w:p>
        </w:tc>
        <w:tc>
          <w:tcPr>
            <w:tcW w:type="dxa" w:w="2409"/>
          </w:tcPr>
          <w:p>
            <w:pPr>
              <w:spacing w:after="20" w:before="20" w:line="240" w:lineRule="auto"/>
            </w:pPr>
            <w:r/>
            <w:r>
              <w:rPr>
                <w:rFonts w:ascii="Arial" w:hAnsi="Arial" w:cs="Arial"/>
                <w:b w:val="0"/>
                <w:i w:val="0"/>
                <w:sz w:val="17"/>
              </w:rPr>
              <w:t>Unique End-to-End Transaction Ref</w:t>
            </w:r>
          </w:p>
        </w:tc>
        <w:tc>
          <w:tcPr>
            <w:tcW w:type="dxa" w:w="2409"/>
          </w:tcPr>
          <w:p>
            <w:pPr>
              <w:spacing w:after="20" w:before="20" w:line="240" w:lineRule="auto"/>
            </w:pPr>
            <w:r/>
            <w:r>
              <w:rPr>
                <w:rFonts w:ascii="Arial" w:hAnsi="Arial" w:cs="Arial"/>
                <w:b w:val="0"/>
                <w:i w:val="0"/>
                <w:sz w:val="17"/>
              </w:rPr>
              <w:t>RFC 4122 UUID v4</w:t>
            </w:r>
          </w:p>
        </w:tc>
        <w:tc>
          <w:tcPr>
            <w:tcW w:type="dxa" w:w="2409"/>
          </w:tcPr>
          <w:p>
            <w:pPr>
              <w:spacing w:after="20" w:before="20" w:line="240" w:lineRule="auto"/>
            </w:pPr>
            <w:r/>
            <w:r>
              <w:rPr>
                <w:rFonts w:ascii="Arial" w:hAnsi="Arial" w:cs="Arial"/>
                <w:b w:val="0"/>
                <w:i w:val="0"/>
                <w:sz w:val="17"/>
              </w:rPr>
              <w:t>SWIFT gpi tracking</w:t>
            </w:r>
          </w:p>
        </w:tc>
      </w:tr>
      <w:tr>
        <w:tc>
          <w:tcPr>
            <w:tcW w:type="dxa" w:w="2409"/>
          </w:tcPr>
          <w:p>
            <w:pPr>
              <w:spacing w:after="20" w:before="20" w:line="240" w:lineRule="auto"/>
            </w:pPr>
            <w:r/>
            <w:r>
              <w:rPr>
                <w:rFonts w:ascii="Arial" w:hAnsi="Arial" w:cs="Arial"/>
                <w:b w:val="0"/>
                <w:i w:val="0"/>
                <w:sz w:val="17"/>
              </w:rPr>
              <w:t>CdtTrfTxInf/RmtInf/Ustrd</w:t>
            </w:r>
          </w:p>
        </w:tc>
        <w:tc>
          <w:tcPr>
            <w:tcW w:type="dxa" w:w="2409"/>
          </w:tcPr>
          <w:p>
            <w:pPr>
              <w:spacing w:after="20" w:before="20" w:line="240" w:lineRule="auto"/>
            </w:pPr>
            <w:r/>
            <w:r>
              <w:rPr>
                <w:rFonts w:ascii="Arial" w:hAnsi="Arial" w:cs="Arial"/>
                <w:b w:val="0"/>
                <w:i w:val="0"/>
                <w:sz w:val="17"/>
              </w:rPr>
              <w:t>Remittance Information</w:t>
            </w:r>
          </w:p>
        </w:tc>
        <w:tc>
          <w:tcPr>
            <w:tcW w:type="dxa" w:w="2409"/>
          </w:tcPr>
          <w:p>
            <w:pPr>
              <w:spacing w:after="20" w:before="20" w:line="240" w:lineRule="auto"/>
            </w:pPr>
            <w:r/>
            <w:r>
              <w:rPr>
                <w:rFonts w:ascii="Arial" w:hAnsi="Arial" w:cs="Arial"/>
                <w:b w:val="0"/>
                <w:i w:val="0"/>
                <w:sz w:val="17"/>
              </w:rPr>
              <w:t>USTN:{USTN}|LEG:{LEG_ID}|FEE:{FEE_TYPE}</w:t>
            </w:r>
          </w:p>
        </w:tc>
        <w:tc>
          <w:tcPr>
            <w:tcW w:type="dxa" w:w="2409"/>
          </w:tcPr>
          <w:p>
            <w:pPr>
              <w:spacing w:after="20" w:before="20" w:line="240" w:lineRule="auto"/>
            </w:pPr>
            <w:r/>
            <w:r>
              <w:rPr>
                <w:rFonts w:ascii="Arial" w:hAnsi="Arial" w:cs="Arial"/>
                <w:b w:val="0"/>
                <w:i w:val="0"/>
                <w:sz w:val="17"/>
              </w:rPr>
              <w:t>Payment memo</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13.1.5 Quotation Transparency Principle</w:t>
      </w:r>
    </w:p>
    <w:p>
      <w:pPr>
        <w:spacing w:after="80" w:line="293" w:lineRule="auto"/>
        <w:jc w:val="left"/>
      </w:pPr>
      <w:r>
        <w:rPr>
          <w:rFonts w:ascii="Times New Roman" w:hAnsi="Times New Roman" w:cs="Times New Roman"/>
          <w:b w:val="0"/>
          <w:i w:val="0"/>
          <w:sz w:val="22"/>
        </w:rPr>
        <w:t>Every quotation is issued from a verified GTID and bound to the USTN. No fee enters a settlement manifest without a attributable quote: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Quote Type</w:t>
            </w:r>
          </w:p>
        </w:tc>
        <w:tc>
          <w:tcPr>
            <w:tcW w:type="dxa" w:w="2409"/>
            <w:shd w:val="clear" w:fill="D9E2F3"/>
          </w:tcPr>
          <w:p>
            <w:pPr>
              <w:spacing w:after="20" w:before="20" w:line="240" w:lineRule="auto"/>
            </w:pPr>
            <w:r/>
            <w:r>
              <w:rPr>
                <w:rFonts w:ascii="Arial" w:hAnsi="Arial" w:cs="Arial"/>
                <w:b/>
                <w:i w:val="0"/>
                <w:sz w:val="18"/>
              </w:rPr>
              <w:t>Provider GTID</w:t>
            </w:r>
          </w:p>
        </w:tc>
        <w:tc>
          <w:tcPr>
            <w:tcW w:type="dxa" w:w="2409"/>
            <w:shd w:val="clear" w:fill="D9E2F3"/>
          </w:tcPr>
          <w:p>
            <w:pPr>
              <w:spacing w:after="20" w:before="20" w:line="240" w:lineRule="auto"/>
            </w:pPr>
            <w:r/>
            <w:r>
              <w:rPr>
                <w:rFonts w:ascii="Arial" w:hAnsi="Arial" w:cs="Arial"/>
                <w:b/>
                <w:i w:val="0"/>
                <w:sz w:val="18"/>
              </w:rPr>
              <w:t>USTN</w:t>
            </w:r>
          </w:p>
        </w:tc>
        <w:tc>
          <w:tcPr>
            <w:tcW w:type="dxa" w:w="2409"/>
            <w:shd w:val="clear" w:fill="D9E2F3"/>
          </w:tcPr>
          <w:p>
            <w:pPr>
              <w:spacing w:after="20" w:before="20" w:line="240" w:lineRule="auto"/>
            </w:pPr>
            <w:r/>
            <w:r>
              <w:rPr>
                <w:rFonts w:ascii="Arial" w:hAnsi="Arial" w:cs="Arial"/>
                <w:b/>
                <w:i w:val="0"/>
                <w:sz w:val="18"/>
              </w:rPr>
              <w:t>Visibility</w:t>
            </w:r>
          </w:p>
        </w:tc>
      </w:tr>
      <w:tr>
        <w:tc>
          <w:tcPr>
            <w:tcW w:type="dxa" w:w="2409"/>
          </w:tcPr>
          <w:p>
            <w:pPr>
              <w:spacing w:after="20" w:before="20" w:line="240" w:lineRule="auto"/>
            </w:pPr>
            <w:r/>
            <w:r>
              <w:rPr>
                <w:rFonts w:ascii="Arial" w:hAnsi="Arial" w:cs="Arial"/>
                <w:b w:val="0"/>
                <w:i w:val="0"/>
                <w:sz w:val="17"/>
              </w:rPr>
              <w:t>Shipping Line Quote</w:t>
            </w:r>
          </w:p>
        </w:tc>
        <w:tc>
          <w:tcPr>
            <w:tcW w:type="dxa" w:w="2409"/>
          </w:tcPr>
          <w:p>
            <w:pPr>
              <w:spacing w:after="20" w:before="20" w:line="240" w:lineRule="auto"/>
            </w:pPr>
            <w:r/>
            <w:r>
              <w:rPr>
                <w:rFonts w:ascii="Arial" w:hAnsi="Arial" w:cs="Arial"/>
                <w:b w:val="0"/>
                <w:i w:val="0"/>
                <w:sz w:val="17"/>
              </w:rPr>
              <w:t>SGTX-EG-SHIP-001</w:t>
            </w:r>
          </w:p>
        </w:tc>
        <w:tc>
          <w:tcPr>
            <w:tcW w:type="dxa" w:w="2409"/>
          </w:tcPr>
          <w:p>
            <w:pPr>
              <w:spacing w:after="20" w:before="20" w:line="240" w:lineRule="auto"/>
            </w:pPr>
            <w:r/>
            <w:r>
              <w:rPr>
                <w:rFonts w:ascii="Arial" w:hAnsi="Arial" w:cs="Arial"/>
                <w:b w:val="0"/>
                <w:i w:val="0"/>
                <w:sz w:val="17"/>
              </w:rPr>
              <w:t>SGTX-EG-26-F3A-1</w:t>
            </w:r>
          </w:p>
        </w:tc>
        <w:tc>
          <w:tcPr>
            <w:tcW w:type="dxa" w:w="2409"/>
          </w:tcPr>
          <w:p>
            <w:pPr>
              <w:spacing w:after="20" w:before="20" w:line="240" w:lineRule="auto"/>
            </w:pPr>
            <w:r/>
            <w:r>
              <w:rPr>
                <w:rFonts w:ascii="Arial" w:hAnsi="Arial" w:cs="Arial"/>
                <w:b w:val="0"/>
                <w:i w:val="0"/>
                <w:sz w:val="17"/>
              </w:rPr>
              <w:t>All authorised parties</w:t>
            </w:r>
          </w:p>
        </w:tc>
      </w:tr>
      <w:tr>
        <w:tc>
          <w:tcPr>
            <w:tcW w:type="dxa" w:w="2409"/>
          </w:tcPr>
          <w:p>
            <w:pPr>
              <w:spacing w:after="20" w:before="20" w:line="240" w:lineRule="auto"/>
            </w:pPr>
            <w:r/>
            <w:r>
              <w:rPr>
                <w:rFonts w:ascii="Arial" w:hAnsi="Arial" w:cs="Arial"/>
                <w:b w:val="0"/>
                <w:i w:val="0"/>
                <w:sz w:val="17"/>
              </w:rPr>
              <w:t>Trucking Quote</w:t>
            </w:r>
          </w:p>
        </w:tc>
        <w:tc>
          <w:tcPr>
            <w:tcW w:type="dxa" w:w="2409"/>
          </w:tcPr>
          <w:p>
            <w:pPr>
              <w:spacing w:after="20" w:before="20" w:line="240" w:lineRule="auto"/>
            </w:pPr>
            <w:r/>
            <w:r>
              <w:rPr>
                <w:rFonts w:ascii="Arial" w:hAnsi="Arial" w:cs="Arial"/>
                <w:b w:val="0"/>
                <w:i w:val="0"/>
                <w:sz w:val="17"/>
              </w:rPr>
              <w:t>SGTX-EG-LSP-001</w:t>
            </w:r>
          </w:p>
        </w:tc>
        <w:tc>
          <w:tcPr>
            <w:tcW w:type="dxa" w:w="2409"/>
          </w:tcPr>
          <w:p>
            <w:pPr>
              <w:spacing w:after="20" w:before="20" w:line="240" w:lineRule="auto"/>
            </w:pPr>
            <w:r/>
            <w:r>
              <w:rPr>
                <w:rFonts w:ascii="Arial" w:hAnsi="Arial" w:cs="Arial"/>
                <w:b w:val="0"/>
                <w:i w:val="0"/>
                <w:sz w:val="17"/>
              </w:rPr>
              <w:t>SGTX-EG-26-F3A-1</w:t>
            </w:r>
          </w:p>
        </w:tc>
        <w:tc>
          <w:tcPr>
            <w:tcW w:type="dxa" w:w="2409"/>
          </w:tcPr>
          <w:p>
            <w:pPr>
              <w:spacing w:after="20" w:before="20" w:line="240" w:lineRule="auto"/>
            </w:pPr>
            <w:r/>
            <w:r>
              <w:rPr>
                <w:rFonts w:ascii="Arial" w:hAnsi="Arial" w:cs="Arial"/>
                <w:b w:val="0"/>
                <w:i w:val="0"/>
                <w:sz w:val="17"/>
              </w:rPr>
              <w:t>All authorised parties</w:t>
            </w:r>
          </w:p>
        </w:tc>
      </w:tr>
      <w:tr>
        <w:tc>
          <w:tcPr>
            <w:tcW w:type="dxa" w:w="2409"/>
          </w:tcPr>
          <w:p>
            <w:pPr>
              <w:spacing w:after="20" w:before="20" w:line="240" w:lineRule="auto"/>
            </w:pPr>
            <w:r/>
            <w:r>
              <w:rPr>
                <w:rFonts w:ascii="Arial" w:hAnsi="Arial" w:cs="Arial"/>
                <w:b w:val="0"/>
                <w:i w:val="0"/>
                <w:sz w:val="17"/>
              </w:rPr>
              <w:t>Customs Broker Quote</w:t>
            </w:r>
          </w:p>
        </w:tc>
        <w:tc>
          <w:tcPr>
            <w:tcW w:type="dxa" w:w="2409"/>
          </w:tcPr>
          <w:p>
            <w:pPr>
              <w:spacing w:after="20" w:before="20" w:line="240" w:lineRule="auto"/>
            </w:pPr>
            <w:r/>
            <w:r>
              <w:rPr>
                <w:rFonts w:ascii="Arial" w:hAnsi="Arial" w:cs="Arial"/>
                <w:b w:val="0"/>
                <w:i w:val="0"/>
                <w:sz w:val="17"/>
              </w:rPr>
              <w:t>SGTX-EG-CBR-001</w:t>
            </w:r>
          </w:p>
        </w:tc>
        <w:tc>
          <w:tcPr>
            <w:tcW w:type="dxa" w:w="2409"/>
          </w:tcPr>
          <w:p>
            <w:pPr>
              <w:spacing w:after="20" w:before="20" w:line="240" w:lineRule="auto"/>
            </w:pPr>
            <w:r/>
            <w:r>
              <w:rPr>
                <w:rFonts w:ascii="Arial" w:hAnsi="Arial" w:cs="Arial"/>
                <w:b w:val="0"/>
                <w:i w:val="0"/>
                <w:sz w:val="17"/>
              </w:rPr>
              <w:t>SGTX-EG-26-F3A-1</w:t>
            </w:r>
          </w:p>
        </w:tc>
        <w:tc>
          <w:tcPr>
            <w:tcW w:type="dxa" w:w="2409"/>
          </w:tcPr>
          <w:p>
            <w:pPr>
              <w:spacing w:after="20" w:before="20" w:line="240" w:lineRule="auto"/>
            </w:pPr>
            <w:r/>
            <w:r>
              <w:rPr>
                <w:rFonts w:ascii="Arial" w:hAnsi="Arial" w:cs="Arial"/>
                <w:b w:val="0"/>
                <w:i w:val="0"/>
                <w:sz w:val="17"/>
              </w:rPr>
              <w:t>All authorised parties</w:t>
            </w:r>
          </w:p>
        </w:tc>
      </w:tr>
      <w:tr>
        <w:tc>
          <w:tcPr>
            <w:tcW w:type="dxa" w:w="2409"/>
          </w:tcPr>
          <w:p>
            <w:pPr>
              <w:spacing w:after="20" w:before="20" w:line="240" w:lineRule="auto"/>
            </w:pPr>
            <w:r/>
            <w:r>
              <w:rPr>
                <w:rFonts w:ascii="Arial" w:hAnsi="Arial" w:cs="Arial"/>
                <w:b w:val="0"/>
                <w:i w:val="0"/>
                <w:sz w:val="17"/>
              </w:rPr>
              <w:t>Laboratory Quote</w:t>
            </w:r>
          </w:p>
        </w:tc>
        <w:tc>
          <w:tcPr>
            <w:tcW w:type="dxa" w:w="2409"/>
          </w:tcPr>
          <w:p>
            <w:pPr>
              <w:spacing w:after="20" w:before="20" w:line="240" w:lineRule="auto"/>
            </w:pPr>
            <w:r/>
            <w:r>
              <w:rPr>
                <w:rFonts w:ascii="Arial" w:hAnsi="Arial" w:cs="Arial"/>
                <w:b w:val="0"/>
                <w:i w:val="0"/>
                <w:sz w:val="17"/>
              </w:rPr>
              <w:t>SGTX-EG-LAB-001</w:t>
            </w:r>
          </w:p>
        </w:tc>
        <w:tc>
          <w:tcPr>
            <w:tcW w:type="dxa" w:w="2409"/>
          </w:tcPr>
          <w:p>
            <w:pPr>
              <w:spacing w:after="20" w:before="20" w:line="240" w:lineRule="auto"/>
            </w:pPr>
            <w:r/>
            <w:r>
              <w:rPr>
                <w:rFonts w:ascii="Arial" w:hAnsi="Arial" w:cs="Arial"/>
                <w:b w:val="0"/>
                <w:i w:val="0"/>
                <w:sz w:val="17"/>
              </w:rPr>
              <w:t>SGTX-EG-26-F3A-1</w:t>
            </w:r>
          </w:p>
        </w:tc>
        <w:tc>
          <w:tcPr>
            <w:tcW w:type="dxa" w:w="2409"/>
          </w:tcPr>
          <w:p>
            <w:pPr>
              <w:spacing w:after="20" w:before="20" w:line="240" w:lineRule="auto"/>
            </w:pPr>
            <w:r/>
            <w:r>
              <w:rPr>
                <w:rFonts w:ascii="Arial" w:hAnsi="Arial" w:cs="Arial"/>
                <w:b w:val="0"/>
                <w:i w:val="0"/>
                <w:sz w:val="17"/>
              </w:rPr>
              <w:t>All authorised parties</w:t>
            </w:r>
          </w:p>
        </w:tc>
      </w:tr>
      <w:tr>
        <w:tc>
          <w:tcPr>
            <w:tcW w:type="dxa" w:w="2409"/>
          </w:tcPr>
          <w:p>
            <w:pPr>
              <w:spacing w:after="20" w:before="20" w:line="240" w:lineRule="auto"/>
            </w:pPr>
            <w:r/>
            <w:r>
              <w:rPr>
                <w:rFonts w:ascii="Arial" w:hAnsi="Arial" w:cs="Arial"/>
                <w:b w:val="0"/>
                <w:i w:val="0"/>
                <w:sz w:val="17"/>
              </w:rPr>
              <w:t>QC Quote</w:t>
            </w:r>
          </w:p>
        </w:tc>
        <w:tc>
          <w:tcPr>
            <w:tcW w:type="dxa" w:w="2409"/>
          </w:tcPr>
          <w:p>
            <w:pPr>
              <w:spacing w:after="20" w:before="20" w:line="240" w:lineRule="auto"/>
            </w:pPr>
            <w:r/>
            <w:r>
              <w:rPr>
                <w:rFonts w:ascii="Arial" w:hAnsi="Arial" w:cs="Arial"/>
                <w:b w:val="0"/>
                <w:i w:val="0"/>
                <w:sz w:val="17"/>
              </w:rPr>
              <w:t>SGTX-EG-QC-001</w:t>
            </w:r>
          </w:p>
        </w:tc>
        <w:tc>
          <w:tcPr>
            <w:tcW w:type="dxa" w:w="2409"/>
          </w:tcPr>
          <w:p>
            <w:pPr>
              <w:spacing w:after="20" w:before="20" w:line="240" w:lineRule="auto"/>
            </w:pPr>
            <w:r/>
            <w:r>
              <w:rPr>
                <w:rFonts w:ascii="Arial" w:hAnsi="Arial" w:cs="Arial"/>
                <w:b w:val="0"/>
                <w:i w:val="0"/>
                <w:sz w:val="17"/>
              </w:rPr>
              <w:t>SGTX-EG-26-F3A-1</w:t>
            </w:r>
          </w:p>
        </w:tc>
        <w:tc>
          <w:tcPr>
            <w:tcW w:type="dxa" w:w="2409"/>
          </w:tcPr>
          <w:p>
            <w:pPr>
              <w:spacing w:after="20" w:before="20" w:line="240" w:lineRule="auto"/>
            </w:pPr>
            <w:r/>
            <w:r>
              <w:rPr>
                <w:rFonts w:ascii="Arial" w:hAnsi="Arial" w:cs="Arial"/>
                <w:b w:val="0"/>
                <w:i w:val="0"/>
                <w:sz w:val="17"/>
              </w:rPr>
              <w:t>All authorised parties</w:t>
            </w:r>
          </w:p>
        </w:tc>
      </w:tr>
      <w:tr>
        <w:tc>
          <w:tcPr>
            <w:tcW w:type="dxa" w:w="2409"/>
          </w:tcPr>
          <w:p>
            <w:pPr>
              <w:spacing w:after="20" w:before="20" w:line="240" w:lineRule="auto"/>
            </w:pPr>
            <w:r/>
            <w:r>
              <w:rPr>
                <w:rFonts w:ascii="Arial" w:hAnsi="Arial" w:cs="Arial"/>
                <w:b w:val="0"/>
                <w:i w:val="0"/>
                <w:sz w:val="17"/>
              </w:rPr>
              <w:t>Government Fee</w:t>
            </w:r>
          </w:p>
        </w:tc>
        <w:tc>
          <w:tcPr>
            <w:tcW w:type="dxa" w:w="2409"/>
          </w:tcPr>
          <w:p>
            <w:pPr>
              <w:spacing w:after="20" w:before="20" w:line="240" w:lineRule="auto"/>
            </w:pPr>
            <w:r/>
            <w:r>
              <w:rPr>
                <w:rFonts w:ascii="Arial" w:hAnsi="Arial" w:cs="Arial"/>
                <w:b w:val="0"/>
                <w:i w:val="0"/>
                <w:sz w:val="17"/>
              </w:rPr>
              <w:t>SGTX-EG-CUSTOMS-001</w:t>
            </w:r>
          </w:p>
        </w:tc>
        <w:tc>
          <w:tcPr>
            <w:tcW w:type="dxa" w:w="2409"/>
          </w:tcPr>
          <w:p>
            <w:pPr>
              <w:spacing w:after="20" w:before="20" w:line="240" w:lineRule="auto"/>
            </w:pPr>
            <w:r/>
            <w:r>
              <w:rPr>
                <w:rFonts w:ascii="Arial" w:hAnsi="Arial" w:cs="Arial"/>
                <w:b w:val="0"/>
                <w:i w:val="0"/>
                <w:sz w:val="17"/>
              </w:rPr>
              <w:t>SGTX-EG-26-F3A-1</w:t>
            </w:r>
          </w:p>
        </w:tc>
        <w:tc>
          <w:tcPr>
            <w:tcW w:type="dxa" w:w="2409"/>
          </w:tcPr>
          <w:p>
            <w:pPr>
              <w:spacing w:after="20" w:before="20" w:line="240" w:lineRule="auto"/>
            </w:pPr>
            <w:r/>
            <w:r>
              <w:rPr>
                <w:rFonts w:ascii="Arial" w:hAnsi="Arial" w:cs="Arial"/>
                <w:b w:val="0"/>
                <w:i w:val="0"/>
                <w:sz w:val="17"/>
              </w:rPr>
              <w:t>All authorised parties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13.2 Settlement Instruction Lifecycle</w:t>
      </w:r>
    </w:p>
    <w:p>
      <w:pPr>
        <w:keepNext/>
        <w:spacing w:before="180" w:after="80"/>
        <w:outlineLvl w:val="2"/>
      </w:pPr>
      <w:r>
        <w:rPr>
          <w:rFonts w:ascii="Arial" w:hAnsi="Arial" w:cs="Arial"/>
          <w:b/>
          <w:i w:val="0"/>
          <w:color w:val="333333"/>
          <w:sz w:val="23"/>
        </w:rPr>
        <w:t>13.2.1 Settlement Instruction Generation</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delivery confirmation (or milestone trigger for partial settlement). The instruction contains:</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Amount</w:t>
      </w:r>
    </w:p>
    <w:p>
      <w:pPr>
        <w:spacing w:after="80" w:line="293" w:lineRule="auto"/>
        <w:ind w:left="283"/>
        <w:jc w:val="left"/>
      </w:pPr>
      <w:r>
        <w:rPr>
          <w:rFonts w:ascii="Times New Roman" w:hAnsi="Times New Roman" w:cs="Times New Roman"/>
          <w:b w:val="0"/>
          <w:i w:val="0"/>
          <w:sz w:val="22"/>
        </w:rPr>
        <w:t>- Currency</w:t>
      </w:r>
    </w:p>
    <w:p>
      <w:pPr>
        <w:spacing w:after="80" w:line="293" w:lineRule="auto"/>
        <w:ind w:left="283"/>
        <w:jc w:val="left"/>
      </w:pPr>
      <w:r>
        <w:rPr>
          <w:rFonts w:ascii="Times New Roman" w:hAnsi="Times New Roman" w:cs="Times New Roman"/>
          <w:b w:val="0"/>
          <w:i w:val="0"/>
          <w:sz w:val="22"/>
        </w:rPr>
        <w:t>- Payer (buyer GTID, bank account)</w:t>
      </w:r>
    </w:p>
    <w:p>
      <w:pPr>
        <w:spacing w:after="80" w:line="293" w:lineRule="auto"/>
        <w:ind w:left="283"/>
        <w:jc w:val="left"/>
      </w:pPr>
      <w:r>
        <w:rPr>
          <w:rFonts w:ascii="Times New Roman" w:hAnsi="Times New Roman" w:cs="Times New Roman"/>
          <w:b w:val="0"/>
          <w:i w:val="0"/>
          <w:sz w:val="22"/>
        </w:rPr>
        <w:t>- Payee (seller GTID, bank account)</w:t>
      </w:r>
    </w:p>
    <w:p>
      <w:pPr>
        <w:spacing w:after="80" w:line="293" w:lineRule="auto"/>
        <w:ind w:left="283"/>
        <w:jc w:val="left"/>
      </w:pPr>
      <w:r>
        <w:rPr>
          <w:rFonts w:ascii="Times New Roman" w:hAnsi="Times New Roman" w:cs="Times New Roman"/>
          <w:b w:val="0"/>
          <w:i w:val="0"/>
          <w:sz w:val="22"/>
        </w:rPr>
        <w:t>- Reference (USTN)</w:t>
      </w:r>
    </w:p>
    <w:p>
      <w:pPr>
        <w:spacing w:after="80" w:line="293" w:lineRule="auto"/>
        <w:ind w:left="283"/>
        <w:jc w:val="left"/>
      </w:pPr>
      <w:r>
        <w:rPr>
          <w:rFonts w:ascii="Times New Roman" w:hAnsi="Times New Roman" w:cs="Times New Roman"/>
          <w:b w:val="0"/>
          <w:i w:val="0"/>
          <w:sz w:val="22"/>
        </w:rPr>
        <w:t>- Terms (MANDATORY, CREDIT)</w:t>
      </w:r>
    </w:p>
    <w:p>
      <w:pPr>
        <w:spacing w:after="80" w:line="293" w:lineRule="auto"/>
        <w:ind w:left="283"/>
        <w:jc w:val="left"/>
      </w:pPr>
      <w:r>
        <w:rPr>
          <w:rFonts w:ascii="Times New Roman" w:hAnsi="Times New Roman" w:cs="Times New Roman"/>
          <w:b w:val="0"/>
          <w:i w:val="0"/>
          <w:sz w:val="22"/>
        </w:rPr>
        <w:t>- Due date</w:t>
      </w:r>
    </w:p>
    <w:p>
      <w:pPr>
        <w:spacing w:after="80" w:line="293" w:lineRule="auto"/>
        <w:jc w:val="left"/>
      </w:pPr>
      <w:r>
        <w:rPr>
          <w:rFonts w:ascii="Times New Roman" w:hAnsi="Times New Roman" w:cs="Times New Roman"/>
          <w:b w:val="0"/>
          <w:i w:val="0"/>
          <w:sz w:val="22"/>
        </w:rPr>
        <w:t>The instruction is signed by the Governor (Ed25519).</w:t>
      </w:r>
    </w:p>
    <w:p>
      <w:pPr>
        <w:spacing w:after="80" w:line="293" w:lineRule="auto"/>
        <w:jc w:val="left"/>
      </w:pPr>
      <w:r>
        <w:rPr>
          <w:rFonts w:ascii="Times New Roman" w:hAnsi="Times New Roman" w:cs="Times New Roman"/>
          <w:b w:val="0"/>
          <w:i w:val="0"/>
          <w:sz w:val="22"/>
        </w:rPr>
        <w:t>Settlement Instruction Example (JSON):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"instruction_id": "SI-20260415-001",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"instruction_type": "TRADE_PRINCIPAL",</w:t>
      </w:r>
    </w:p>
    <w:p>
      <w:pPr>
        <w:spacing w:after="0" w:before="0" w:line="240" w:lineRule="auto"/>
        <w:ind w:left="57"/>
        <w:jc w:val="left"/>
        <w:shd w:val="clear" w:fill="F2F2F2"/>
      </w:pPr>
      <w:r>
        <w:rPr>
          <w:rFonts w:ascii="Consolas" w:hAnsi="Consolas" w:cs="Consolas"/>
          <w:b w:val="0"/>
          <w:i w:val="0"/>
          <w:sz w:val="15"/>
        </w:rPr>
        <w:t xml:space="preserve">    "amount": 30960.00,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"payer": {</w:t>
      </w:r>
    </w:p>
    <w:p>
      <w:pPr>
        <w:spacing w:after="0" w:before="0" w:line="240" w:lineRule="auto"/>
        <w:ind w:left="57"/>
        <w:jc w:val="left"/>
        <w:shd w:val="clear" w:fill="F2F2F2"/>
      </w:pPr>
      <w:r>
        <w:rPr>
          <w:rFonts w:ascii="Consolas" w:hAnsi="Consolas" w:cs="Consolas"/>
          <w:b w:val="0"/>
          <w:i w:val="0"/>
          <w:sz w:val="15"/>
        </w:rPr>
        <w:t xml:space="preserve">        "gtid": "SGTX-EG-TRD-001234-5B6C",</w:t>
      </w:r>
    </w:p>
    <w:p>
      <w:pPr>
        <w:spacing w:after="0" w:before="0" w:line="240" w:lineRule="auto"/>
        <w:ind w:left="57"/>
        <w:jc w:val="left"/>
        <w:shd w:val="clear" w:fill="F2F2F2"/>
      </w:pPr>
      <w:r>
        <w:rPr>
          <w:rFonts w:ascii="Consolas" w:hAnsi="Consolas" w:cs="Consolas"/>
          <w:b w:val="0"/>
          <w:i w:val="0"/>
          <w:sz w:val="15"/>
        </w:rPr>
        <w:t xml:space="preserve">        "bank_account": "EG3800100000000000123456",</w:t>
      </w:r>
    </w:p>
    <w:p>
      <w:pPr>
        <w:spacing w:after="0" w:before="0" w:line="240" w:lineRule="auto"/>
        <w:ind w:left="57"/>
        <w:jc w:val="left"/>
        <w:shd w:val="clear" w:fill="F2F2F2"/>
      </w:pPr>
      <w:r>
        <w:rPr>
          <w:rFonts w:ascii="Consolas" w:hAnsi="Consolas" w:cs="Consolas"/>
          <w:b w:val="0"/>
          <w:i w:val="0"/>
          <w:sz w:val="15"/>
        </w:rPr>
        <w:t xml:space="preserve">        "bank_name": "National Bank of Egypt"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 {</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"bank_account": "EG3800200000000000789012",</w:t>
      </w:r>
    </w:p>
    <w:p>
      <w:pPr>
        <w:spacing w:after="0" w:before="0" w:line="240" w:lineRule="auto"/>
        <w:ind w:left="57"/>
        <w:jc w:val="left"/>
        <w:shd w:val="clear" w:fill="F2F2F2"/>
      </w:pPr>
      <w:r>
        <w:rPr>
          <w:rFonts w:ascii="Consolas" w:hAnsi="Consolas" w:cs="Consolas"/>
          <w:b w:val="0"/>
          <w:i w:val="0"/>
          <w:sz w:val="15"/>
        </w:rPr>
        <w:t xml:space="preserve">        "bank_name": "Commercial International Bank"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"reference": "SGTX USTN SGTX-EG-26-F3A-1",</w:t>
      </w:r>
    </w:p>
    <w:p>
      <w:pPr>
        <w:spacing w:after="0" w:before="0" w:line="240" w:lineRule="auto"/>
        <w:ind w:left="57"/>
        <w:jc w:val="left"/>
        <w:shd w:val="clear" w:fill="F2F2F2"/>
      </w:pPr>
      <w:r>
        <w:rPr>
          <w:rFonts w:ascii="Consolas" w:hAnsi="Consolas" w:cs="Consolas"/>
          <w:b w:val="0"/>
          <w:i w:val="0"/>
          <w:sz w:val="15"/>
        </w:rPr>
        <w:t xml:space="preserve">    "terms": "MANDATORY",</w:t>
      </w:r>
    </w:p>
    <w:p>
      <w:pPr>
        <w:spacing w:after="0" w:before="0" w:line="240" w:lineRule="auto"/>
        <w:ind w:left="57"/>
        <w:jc w:val="left"/>
        <w:shd w:val="clear" w:fill="F2F2F2"/>
      </w:pPr>
      <w:r>
        <w:rPr>
          <w:rFonts w:ascii="Consolas" w:hAnsi="Consolas" w:cs="Consolas"/>
          <w:b w:val="0"/>
          <w:i w:val="0"/>
          <w:sz w:val="15"/>
        </w:rPr>
        <w:t xml:space="preserve">    "due_date": "2026-07-06",</w:t>
      </w:r>
    </w:p>
    <w:p>
      <w:pPr>
        <w:spacing w:after="0" w:before="0" w:line="240" w:lineRule="auto"/>
        <w:ind w:left="57"/>
        <w:jc w:val="left"/>
        <w:shd w:val="clear" w:fill="F2F2F2"/>
      </w:pPr>
      <w:r>
        <w:rPr>
          <w:rFonts w:ascii="Consolas" w:hAnsi="Consolas" w:cs="Consolas"/>
          <w:b w:val="0"/>
          <w:i w:val="0"/>
          <w:sz w:val="15"/>
        </w:rPr>
        <w:t xml:space="preserve">    "end_to_end_id": "SGTX-EG-26-F3A-1-LEG_SELLER_USD",</w:t>
      </w:r>
    </w:p>
    <w:p>
      <w:pPr>
        <w:spacing w:after="0" w:before="0" w:line="240" w:lineRule="auto"/>
        <w:ind w:left="57"/>
        <w:jc w:val="left"/>
        <w:shd w:val="clear" w:fill="F2F2F2"/>
      </w:pPr>
      <w:r>
        <w:rPr>
          <w:rFonts w:ascii="Consolas" w:hAnsi="Consolas" w:cs="Consolas"/>
          <w:b w:val="0"/>
          <w:i w:val="0"/>
          <w:sz w:val="15"/>
        </w:rPr>
        <w:t xml:space="preserve">    "uetr": "123e4567-e89b-12d3-a456-426614174000",</w:t>
      </w:r>
    </w:p>
    <w:p>
      <w:pPr>
        <w:spacing w:after="0" w:before="0" w:line="240" w:lineRule="auto"/>
        <w:ind w:left="57"/>
        <w:jc w:val="left"/>
        <w:shd w:val="clear" w:fill="F2F2F2"/>
      </w:pPr>
      <w:r>
        <w:rPr>
          <w:rFonts w:ascii="Consolas" w:hAnsi="Consolas" w:cs="Consolas"/>
          <w:b w:val="0"/>
          <w:i w:val="0"/>
          <w:sz w:val="15"/>
        </w:rPr>
        <w:t xml:space="preserve">    "bank_route": {</w:t>
      </w:r>
    </w:p>
    <w:p>
      <w:pPr>
        <w:spacing w:after="0" w:before="0" w:line="240" w:lineRule="auto"/>
        <w:ind w:left="57"/>
        <w:jc w:val="left"/>
        <w:shd w:val="clear" w:fill="F2F2F2"/>
      </w:pPr>
      <w:r>
        <w:rPr>
          <w:rFonts w:ascii="Consolas" w:hAnsi="Consolas" w:cs="Consolas"/>
          <w:b w:val="0"/>
          <w:i w:val="0"/>
          <w:sz w:val="15"/>
        </w:rPr>
        <w:t xml:space="preserve">        "bank_bic": "CIBEEGCX",</w:t>
      </w:r>
    </w:p>
    <w:p>
      <w:pPr>
        <w:spacing w:after="0" w:before="0" w:line="240" w:lineRule="auto"/>
        <w:ind w:left="57"/>
        <w:jc w:val="left"/>
        <w:shd w:val="clear" w:fill="F2F2F2"/>
      </w:pPr>
      <w:r>
        <w:rPr>
          <w:rFonts w:ascii="Consolas" w:hAnsi="Consolas" w:cs="Consolas"/>
          <w:b w:val="0"/>
          <w:i w:val="0"/>
          <w:sz w:val="15"/>
        </w:rPr>
        <w:t xml:space="preserve">        "capability_tier": 1,</w:t>
      </w:r>
    </w:p>
    <w:p>
      <w:pPr>
        <w:spacing w:after="0" w:before="0" w:line="240" w:lineRule="auto"/>
        <w:ind w:left="57"/>
        <w:jc w:val="left"/>
        <w:shd w:val="clear" w:fill="F2F2F2"/>
      </w:pPr>
      <w:r>
        <w:rPr>
          <w:rFonts w:ascii="Consolas" w:hAnsi="Consolas" w:cs="Consolas"/>
          <w:b w:val="0"/>
          <w:i w:val="0"/>
          <w:sz w:val="15"/>
        </w:rPr>
        <w:t xml:space="preserve">        "integration": "ISO20022_API",</w:t>
      </w:r>
    </w:p>
    <w:p>
      <w:pPr>
        <w:spacing w:after="0" w:before="0" w:line="240" w:lineRule="auto"/>
        <w:ind w:left="57"/>
        <w:jc w:val="left"/>
        <w:shd w:val="clear" w:fill="F2F2F2"/>
      </w:pPr>
      <w:r>
        <w:rPr>
          <w:rFonts w:ascii="Consolas" w:hAnsi="Consolas" w:cs="Consolas"/>
          <w:b w:val="0"/>
          <w:i w:val="0"/>
          <w:sz w:val="15"/>
        </w:rPr>
        <w:t xml:space="preserve">        "estimated_settlement": "same-day EGP / 1-2 day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"governor_decision_id": "dec-abc123",</w:t>
      </w:r>
    </w:p>
    <w:p>
      <w:pPr>
        <w:spacing w:after="0" w:before="0" w:line="240" w:lineRule="auto"/>
        <w:ind w:left="57"/>
        <w:jc w:val="left"/>
        <w:shd w:val="clear" w:fill="F2F2F2"/>
      </w:pPr>
      <w:r>
        <w:rPr>
          <w:rFonts w:ascii="Consolas" w:hAnsi="Consolas" w:cs="Consolas"/>
          <w:b w:val="0"/>
          <w:i w:val="0"/>
          <w:sz w:val="15"/>
        </w:rPr>
        <w:t xml:space="preserve">    "loom_hash": "sha256:a1b2c3..."</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Three instruction classes exist:</w:t>
      </w:r>
    </w:p>
    <w:p>
      <w:pPr>
        <w:spacing w:after="80" w:line="293" w:lineRule="auto"/>
        <w:ind w:left="283"/>
        <w:jc w:val="left"/>
      </w:pPr>
      <w:r>
        <w:rPr>
          <w:rFonts w:ascii="Times New Roman" w:hAnsi="Times New Roman" w:cs="Times New Roman"/>
          <w:b w:val="0"/>
          <w:i w:val="0"/>
          <w:sz w:val="22"/>
        </w:rPr>
        <w:t>- Full settlement (single payment). Trigger: DELIVERED milestone confirmed. Amount = total quoted price. Beneficiary = seller's bank account. Reference = USTN (mandatory). Instruction signed by the Governor (Ed25519).</w:t>
      </w:r>
    </w:p>
    <w:p>
      <w:pPr>
        <w:spacing w:after="80" w:line="293" w:lineRule="auto"/>
        <w:ind w:left="283"/>
        <w:jc w:val="left"/>
      </w:pPr>
      <w:r>
        <w:rPr>
          <w:rFonts w:ascii="Times New Roman" w:hAnsi="Times New Roman" w:cs="Times New Roman"/>
          <w:b w:val="0"/>
          <w:i w:val="0"/>
          <w:sz w:val="22"/>
        </w:rPr>
        <w:t>- Milestone-based partial settlement. Pre-approved payment schedule defined during contract negotiation. As each milestone is confirmed, the settlement service automatically generates a settlement instruction for that tranche. Example schedule: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Milestone</w:t>
            </w:r>
          </w:p>
        </w:tc>
        <w:tc>
          <w:tcPr>
            <w:tcW w:type="dxa" w:w="3213"/>
            <w:shd w:val="clear" w:fill="D9E2F3"/>
          </w:tcPr>
          <w:p>
            <w:pPr>
              <w:spacing w:after="20" w:before="20" w:line="240" w:lineRule="auto"/>
            </w:pPr>
            <w:r/>
            <w:r>
              <w:rPr>
                <w:rFonts w:ascii="Arial" w:hAnsi="Arial" w:cs="Arial"/>
                <w:b/>
                <w:i w:val="0"/>
                <w:sz w:val="18"/>
              </w:rPr>
              <w:t>Percentage</w:t>
            </w:r>
          </w:p>
        </w:tc>
        <w:tc>
          <w:tcPr>
            <w:tcW w:type="dxa" w:w="3213"/>
            <w:shd w:val="clear" w:fill="D9E2F3"/>
          </w:tcPr>
          <w:p>
            <w:pPr>
              <w:spacing w:after="20" w:before="20" w:line="240" w:lineRule="auto"/>
            </w:pPr>
            <w:r/>
            <w:r>
              <w:rPr>
                <w:rFonts w:ascii="Arial" w:hAnsi="Arial" w:cs="Arial"/>
                <w:b/>
                <w:i w:val="0"/>
                <w:sz w:val="18"/>
              </w:rPr>
              <w:t>Amount</w:t>
            </w:r>
          </w:p>
        </w:tc>
      </w:tr>
      <w:tr>
        <w:tc>
          <w:tcPr>
            <w:tcW w:type="dxa" w:w="3213"/>
          </w:tcPr>
          <w:p>
            <w:pPr>
              <w:spacing w:after="20" w:before="20" w:line="240" w:lineRule="auto"/>
            </w:pPr>
            <w:r/>
            <w:r>
              <w:rPr>
                <w:rFonts w:ascii="Arial" w:hAnsi="Arial" w:cs="Arial"/>
                <w:b w:val="0"/>
                <w:i w:val="0"/>
                <w:sz w:val="17"/>
              </w:rPr>
              <w:t>Booking confirmed</w:t>
            </w:r>
          </w:p>
        </w:tc>
        <w:tc>
          <w:tcPr>
            <w:tcW w:type="dxa" w:w="3213"/>
          </w:tcPr>
          <w:p>
            <w:pPr>
              <w:spacing w:after="20" w:before="20" w:line="240" w:lineRule="auto"/>
            </w:pPr>
            <w:r/>
            <w:r>
              <w:rPr>
                <w:rFonts w:ascii="Arial" w:hAnsi="Arial" w:cs="Arial"/>
                <w:b w:val="0"/>
                <w:i w:val="0"/>
                <w:sz w:val="17"/>
              </w:rPr>
              <w:t>30%</w:t>
            </w:r>
          </w:p>
        </w:tc>
        <w:tc>
          <w:tcPr>
            <w:tcW w:type="dxa" w:w="3213"/>
          </w:tcPr>
          <w:p>
            <w:pPr>
              <w:spacing w:after="20" w:before="20" w:line="240" w:lineRule="auto"/>
            </w:pPr>
            <w:r/>
            <w:r>
              <w:rPr>
                <w:rFonts w:ascii="Arial" w:hAnsi="Arial" w:cs="Arial"/>
                <w:b w:val="0"/>
                <w:i w:val="0"/>
                <w:sz w:val="17"/>
              </w:rPr>
              <w:t>$9,072</w:t>
            </w:r>
          </w:p>
        </w:tc>
      </w:tr>
      <w:tr>
        <w:tc>
          <w:tcPr>
            <w:tcW w:type="dxa" w:w="3213"/>
          </w:tcPr>
          <w:p>
            <w:pPr>
              <w:spacing w:after="20" w:before="20" w:line="240" w:lineRule="auto"/>
            </w:pPr>
            <w:r/>
            <w:r>
              <w:rPr>
                <w:rFonts w:ascii="Arial" w:hAnsi="Arial" w:cs="Arial"/>
                <w:b w:val="0"/>
                <w:i w:val="0"/>
                <w:sz w:val="17"/>
              </w:rPr>
              <w:t>Vessel departed</w:t>
            </w:r>
          </w:p>
        </w:tc>
        <w:tc>
          <w:tcPr>
            <w:tcW w:type="dxa" w:w="3213"/>
          </w:tcPr>
          <w:p>
            <w:pPr>
              <w:spacing w:after="20" w:before="20" w:line="240" w:lineRule="auto"/>
            </w:pPr>
            <w:r/>
            <w:r>
              <w:rPr>
                <w:rFonts w:ascii="Arial" w:hAnsi="Arial" w:cs="Arial"/>
                <w:b w:val="0"/>
                <w:i w:val="0"/>
                <w:sz w:val="17"/>
              </w:rPr>
              <w:t>40%</w:t>
            </w:r>
          </w:p>
        </w:tc>
        <w:tc>
          <w:tcPr>
            <w:tcW w:type="dxa" w:w="3213"/>
          </w:tcPr>
          <w:p>
            <w:pPr>
              <w:spacing w:after="20" w:before="20" w:line="240" w:lineRule="auto"/>
            </w:pPr>
            <w:r/>
            <w:r>
              <w:rPr>
                <w:rFonts w:ascii="Arial" w:hAnsi="Arial" w:cs="Arial"/>
                <w:b w:val="0"/>
                <w:i w:val="0"/>
                <w:sz w:val="17"/>
              </w:rPr>
              <w:t>$12,096</w:t>
            </w:r>
          </w:p>
        </w:tc>
      </w:tr>
      <w:tr>
        <w:tc>
          <w:tcPr>
            <w:tcW w:type="dxa" w:w="3213"/>
          </w:tcPr>
          <w:p>
            <w:pPr>
              <w:spacing w:after="20" w:before="20" w:line="240" w:lineRule="auto"/>
            </w:pPr>
            <w:r/>
            <w:r>
              <w:rPr>
                <w:rFonts w:ascii="Arial" w:hAnsi="Arial" w:cs="Arial"/>
                <w:b w:val="0"/>
                <w:i w:val="0"/>
                <w:sz w:val="17"/>
              </w:rPr>
              <w:t>Delivered</w:t>
            </w:r>
          </w:p>
        </w:tc>
        <w:tc>
          <w:tcPr>
            <w:tcW w:type="dxa" w:w="3213"/>
          </w:tcPr>
          <w:p>
            <w:pPr>
              <w:spacing w:after="20" w:before="20" w:line="240" w:lineRule="auto"/>
            </w:pPr>
            <w:r/>
            <w:r>
              <w:rPr>
                <w:rFonts w:ascii="Arial" w:hAnsi="Arial" w:cs="Arial"/>
                <w:b w:val="0"/>
                <w:i w:val="0"/>
                <w:sz w:val="17"/>
              </w:rPr>
              <w:t>30%</w:t>
            </w:r>
          </w:p>
        </w:tc>
        <w:tc>
          <w:tcPr>
            <w:tcW w:type="dxa" w:w="3213"/>
          </w:tcPr>
          <w:p>
            <w:pPr>
              <w:spacing w:after="20" w:before="20" w:line="240" w:lineRule="auto"/>
            </w:pPr>
            <w:r/>
            <w:r>
              <w:rPr>
                <w:rFonts w:ascii="Arial" w:hAnsi="Arial" w:cs="Arial"/>
                <w:b w:val="0"/>
                <w:i w:val="0"/>
                <w:sz w:val="17"/>
              </w:rPr>
              <w:t>$9,072</w:t>
            </w:r>
          </w:p>
        </w:tc>
      </w:tr>
    </w:tbl>
    <w:p>
      <w:pPr>
        <w:spacing w:after="120"/>
      </w:pPr>
      <w:r>
        <w:rPr>
          <w:rFonts w:ascii="Times New Roman" w:hAnsi="Times New Roman" w:cs="Times New Roman"/>
          <w:b w:val="0"/>
          <w:i w:val="0"/>
          <w:sz w:val="4"/>
        </w:rPr>
        <w:t xml:space="preserve"> </w:t>
      </w:r>
    </w:p>
    <w:p>
      <w:pPr>
        <w:spacing w:after="80" w:line="293" w:lineRule="auto"/>
        <w:ind w:left="283"/>
        <w:jc w:val="left"/>
      </w:pPr>
      <w:r>
        <w:rPr>
          <w:rFonts w:ascii="Times New Roman" w:hAnsi="Times New Roman" w:cs="Times New Roman"/>
          <w:b w:val="0"/>
          <w:i w:val="0"/>
          <w:sz w:val="22"/>
        </w:rPr>
        <w:t>- Deferred government fee settlement. Trigger: CUSTOMS_IMPORT milestone confirmed. Amount = deferred government fees (duties, VAT). Beneficiary = government agency. Reference = USTN + "DEFERRED_FEE".</w:t>
      </w:r>
    </w:p>
    <w:p>
      <w:pPr>
        <w:keepNext/>
        <w:spacing w:before="180" w:after="80"/>
        <w:outlineLvl w:val="2"/>
      </w:pPr>
      <w:r>
        <w:rPr>
          <w:rFonts w:ascii="Arial" w:hAnsi="Arial" w:cs="Arial"/>
          <w:b/>
          <w:i w:val="0"/>
          <w:color w:val="333333"/>
          <w:sz w:val="23"/>
        </w:rPr>
        <w:t>13.2.2 Canonical Lifecycle</w:t>
      </w:r>
    </w:p>
    <w:p>
      <w:pPr>
        <w:spacing w:after="80" w:line="293" w:lineRule="auto"/>
        <w:jc w:val="left"/>
      </w:pPr>
      <w:r>
        <w:rPr>
          <w:rFonts w:ascii="Times New Roman" w:hAnsi="Times New Roman" w:cs="Times New Roman"/>
          <w:b w:val="0"/>
          <w:i w:val="0"/>
          <w:sz w:val="22"/>
        </w:rPr>
        <w:t>The settlement instruction is distinct from the overall trade lifecycle. Each manifest leg advances independently through the canonical lifecycle (states defined in 13.1):</w:t>
      </w:r>
    </w:p>
    <w:p>
      <w:pPr>
        <w:spacing w:after="0" w:before="0" w:line="240" w:lineRule="auto"/>
        <w:ind w:left="57"/>
        <w:jc w:val="left"/>
        <w:shd w:val="clear" w:fill="F2F2F2"/>
      </w:pPr>
      <w:r>
        <w:rPr>
          <w:rFonts w:ascii="Consolas" w:hAnsi="Consolas" w:cs="Consolas"/>
          <w:b w:val="0"/>
          <w:i w:val="0"/>
          <w:sz w:val="15"/>
        </w:rPr>
        <w:t>MANIFEST_GENERATED → MANDATE_AUTHORIZED (QES) → DISPATCHED (pain.001) →</w:t>
      </w:r>
    </w:p>
    <w:p>
      <w:pPr>
        <w:spacing w:after="0" w:before="0" w:line="240" w:lineRule="auto"/>
        <w:ind w:left="57"/>
        <w:jc w:val="left"/>
        <w:shd w:val="clear" w:fill="F2F2F2"/>
      </w:pPr>
      <w:r>
        <w:rPr>
          <w:rFonts w:ascii="Consolas" w:hAnsi="Consolas" w:cs="Consolas"/>
          <w:b w:val="0"/>
          <w:i w:val="0"/>
          <w:sz w:val="15"/>
        </w:rPr>
        <w:t>BANK_ACCEPTED (pain.002) → PROCESSING → PARTIALLY_SETTLED (per leg) → FULLY_SETTLED (camt.054/gpi matched)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Controlled side paths:</w:t>
      </w:r>
    </w:p>
    <w:p>
      <w:pPr>
        <w:spacing w:after="0" w:before="0" w:line="240" w:lineRule="auto"/>
        <w:ind w:left="57"/>
        <w:jc w:val="left"/>
        <w:shd w:val="clear" w:fill="F2F2F2"/>
      </w:pPr>
      <w:r>
        <w:rPr>
          <w:rFonts w:ascii="Consolas" w:hAnsi="Consolas" w:cs="Consolas"/>
          <w:b w:val="0"/>
          <w:i w:val="0"/>
          <w:sz w:val="15"/>
        </w:rPr>
        <w:t>REJECTED, EXPIRED, CANCEL_REQUESTED, RETURNED, RECALLED,</w:t>
      </w:r>
    </w:p>
    <w:p>
      <w:pPr>
        <w:spacing w:after="0" w:before="0" w:line="240" w:lineRule="auto"/>
        <w:ind w:left="57"/>
        <w:jc w:val="left"/>
        <w:shd w:val="clear" w:fill="F2F2F2"/>
      </w:pPr>
      <w:r>
        <w:rPr>
          <w:rFonts w:ascii="Consolas" w:hAnsi="Consolas" w:cs="Consolas"/>
          <w:b w:val="0"/>
          <w:i w:val="0"/>
          <w:sz w:val="15"/>
        </w:rPr>
        <w:t>DISPUTED, RECONCILIATION_REQUIRED, UNKNOWN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13.2.3 Instruction Versioning</w:t>
      </w:r>
    </w:p>
    <w:p>
      <w:pPr>
        <w:spacing w:after="80" w:line="293" w:lineRule="auto"/>
        <w:jc w:val="left"/>
      </w:pPr>
      <w:r>
        <w:rPr>
          <w:rFonts w:ascii="Times New Roman" w:hAnsi="Times New Roman" w:cs="Times New Roman"/>
          <w:b w:val="0"/>
          <w:i w:val="0"/>
          <w:sz w:val="22"/>
        </w:rPr>
        <w:t>Instructions are immutable versions. A change creates a new version rather than editing the prior one:</w:t>
      </w:r>
    </w:p>
    <w:p>
      <w:pPr>
        <w:spacing w:after="0" w:before="0" w:line="240" w:lineRule="auto"/>
        <w:ind w:left="57"/>
        <w:jc w:val="left"/>
        <w:shd w:val="clear" w:fill="F2F2F2"/>
      </w:pPr>
      <w:r>
        <w:rPr>
          <w:rFonts w:ascii="Consolas" w:hAnsi="Consolas" w:cs="Consolas"/>
          <w:b w:val="0"/>
          <w:i w:val="0"/>
          <w:sz w:val="15"/>
        </w:rPr>
        <w:t>SI-001 v1 → SUPERSEDED → SI-001 v2</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 prior instruction version is deleted. Supersession is a new event.</w:t>
      </w:r>
    </w:p>
    <w:p>
      <w:pPr>
        <w:keepNext/>
        <w:spacing w:before="180" w:after="80"/>
        <w:outlineLvl w:val="2"/>
      </w:pPr>
      <w:r>
        <w:rPr>
          <w:rFonts w:ascii="Arial" w:hAnsi="Arial" w:cs="Arial"/>
          <w:b/>
          <w:i w:val="0"/>
          <w:color w:val="333333"/>
          <w:sz w:val="23"/>
        </w:rPr>
        <w:t>13.2.4 Payment Instruction Expiration</w:t>
      </w:r>
    </w:p>
    <w:p>
      <w:pPr>
        <w:spacing w:after="80" w:line="293" w:lineRule="auto"/>
        <w:jc w:val="left"/>
      </w:pPr>
      <w:r>
        <w:rPr>
          <w:rFonts w:ascii="Times New Roman" w:hAnsi="Times New Roman" w:cs="Times New Roman"/>
          <w:b w:val="0"/>
          <w:i w:val="0"/>
          <w:sz w:val="22"/>
        </w:rPr>
        <w:t>Each instruction may contain: issue time; valid-from; expiration; requested execution date; value date; cancellation rules; authorization validity. Expired instructions must not silently execute.</w:t>
      </w:r>
    </w:p>
    <w:p>
      <w:pPr>
        <w:keepNext/>
        <w:spacing w:before="180" w:after="80"/>
        <w:outlineLvl w:val="2"/>
      </w:pPr>
      <w:r>
        <w:rPr>
          <w:rFonts w:ascii="Arial" w:hAnsi="Arial" w:cs="Arial"/>
          <w:b/>
          <w:i w:val="0"/>
          <w:color w:val="333333"/>
          <w:sz w:val="23"/>
        </w:rPr>
        <w:t>13.2.5 Funds Sufficiency Snapshot</w:t>
      </w:r>
    </w:p>
    <w:p>
      <w:pPr>
        <w:spacing w:after="80" w:line="293" w:lineRule="auto"/>
        <w:jc w:val="left"/>
      </w:pPr>
      <w:r>
        <w:rPr>
          <w:rFonts w:ascii="Times New Roman" w:hAnsi="Times New Roman" w:cs="Times New Roman"/>
          <w:b w:val="0"/>
          <w:i w:val="0"/>
          <w:sz w:val="22"/>
        </w:rPr>
        <w:t>Where supported, SGTX may request a bank-side funds/availability assessment. Possible bank response:</w:t>
      </w:r>
    </w:p>
    <w:p>
      <w:pPr>
        <w:spacing w:after="0" w:before="0" w:line="240" w:lineRule="auto"/>
        <w:ind w:left="57"/>
        <w:jc w:val="left"/>
        <w:shd w:val="clear" w:fill="F2F2F2"/>
      </w:pPr>
      <w:r>
        <w:rPr>
          <w:rFonts w:ascii="Consolas" w:hAnsi="Consolas" w:cs="Consolas"/>
          <w:b w:val="0"/>
          <w:i w:val="0"/>
          <w:sz w:val="15"/>
        </w:rPr>
        <w:t>SUFFICIENT | INSUFFICIENT | RESERVED | UNKNOWN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must not independently represent bank account balances as authoritative. The bank remains authoritative.</w:t>
      </w:r>
    </w:p>
    <w:p>
      <w:pPr>
        <w:keepNext/>
        <w:spacing w:before="180" w:after="80"/>
        <w:outlineLvl w:val="2"/>
      </w:pPr>
      <w:r>
        <w:rPr>
          <w:rFonts w:ascii="Arial" w:hAnsi="Arial" w:cs="Arial"/>
          <w:b/>
          <w:i w:val="0"/>
          <w:color w:val="333333"/>
          <w:sz w:val="23"/>
        </w:rPr>
        <w:t>13.2.6 Payment Leg Model</w:t>
      </w:r>
    </w:p>
    <w:p>
      <w:pPr>
        <w:spacing w:after="80" w:line="293" w:lineRule="auto"/>
        <w:jc w:val="left"/>
      </w:pPr>
      <w:r>
        <w:rPr>
          <w:rFonts w:ascii="Times New Roman" w:hAnsi="Times New Roman" w:cs="Times New Roman"/>
          <w:b w:val="0"/>
          <w:i w:val="0"/>
          <w:sz w:val="22"/>
        </w:rPr>
        <w:t>A multi-party settlement is broken into independently identifiable payment legs:</w:t>
      </w:r>
    </w:p>
    <w:p>
      <w:pPr>
        <w:spacing w:after="0" w:before="0" w:line="240" w:lineRule="auto"/>
        <w:ind w:left="57"/>
        <w:jc w:val="left"/>
        <w:shd w:val="clear" w:fill="F2F2F2"/>
      </w:pPr>
      <w:r>
        <w:rPr>
          <w:rFonts w:ascii="Consolas" w:hAnsi="Consolas" w:cs="Consolas"/>
          <w:b w:val="0"/>
          <w:i w:val="0"/>
          <w:sz w:val="15"/>
        </w:rPr>
        <w:t>USTN → Settlement Instruction ID → Settlement Leg ID → Bank Transaction Reference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trade may contain multiple financial obligations — seller obligation, logistics obligation, customs obligation, laboratory obligation, broker obligation, and the SGTX service fee obligation. Each obligation can contain: obligation ID; beneficiary; amount; currency; authorization; contractual basis; document/evidence basis; dependency; settlement condition; reversal condition; dispute condition; recovery path; reconciliation state. Example:</w:t>
      </w:r>
    </w:p>
    <w:p>
      <w:pPr>
        <w:spacing w:after="0" w:before="0" w:line="240" w:lineRule="auto"/>
        <w:ind w:left="57"/>
        <w:jc w:val="left"/>
        <w:shd w:val="clear" w:fill="F2F2F2"/>
      </w:pPr>
      <w:r>
        <w:rPr>
          <w:rFonts w:ascii="Consolas" w:hAnsi="Consolas" w:cs="Consolas"/>
          <w:b w:val="0"/>
          <w:i w:val="0"/>
          <w:sz w:val="15"/>
        </w:rPr>
        <w:t>Parent Settlement</w:t>
      </w:r>
    </w:p>
    <w:p>
      <w:pPr>
        <w:spacing w:after="0" w:before="0" w:line="240" w:lineRule="auto"/>
        <w:ind w:left="57"/>
        <w:jc w:val="left"/>
        <w:shd w:val="clear" w:fill="F2F2F2"/>
      </w:pPr>
      <w:r>
        <w:rPr>
          <w:rFonts w:ascii="Consolas" w:hAnsi="Consolas" w:cs="Consolas"/>
          <w:b w:val="0"/>
          <w:i w:val="0"/>
          <w:sz w:val="15"/>
        </w:rPr>
        <w:t>├── Leg 1 = Seller      = SETTLED</w:t>
      </w:r>
    </w:p>
    <w:p>
      <w:pPr>
        <w:spacing w:after="0" w:before="0" w:line="240" w:lineRule="auto"/>
        <w:ind w:left="57"/>
        <w:jc w:val="left"/>
        <w:shd w:val="clear" w:fill="F2F2F2"/>
      </w:pPr>
      <w:r>
        <w:rPr>
          <w:rFonts w:ascii="Consolas" w:hAnsi="Consolas" w:cs="Consolas"/>
          <w:b w:val="0"/>
          <w:i w:val="0"/>
          <w:sz w:val="15"/>
        </w:rPr>
        <w:t>├── Leg 2 = Logistics   = SETTLED</w:t>
      </w:r>
    </w:p>
    <w:p>
      <w:pPr>
        <w:spacing w:after="0" w:before="0" w:line="240" w:lineRule="auto"/>
        <w:ind w:left="57"/>
        <w:jc w:val="left"/>
        <w:shd w:val="clear" w:fill="F2F2F2"/>
      </w:pPr>
      <w:r>
        <w:rPr>
          <w:rFonts w:ascii="Consolas" w:hAnsi="Consolas" w:cs="Consolas"/>
          <w:b w:val="0"/>
          <w:i w:val="0"/>
          <w:sz w:val="15"/>
        </w:rPr>
        <w:t>├── Leg 3 = Customs     = REJECTED</w:t>
      </w:r>
    </w:p>
    <w:p>
      <w:pPr>
        <w:spacing w:after="0" w:before="0" w:line="240" w:lineRule="auto"/>
        <w:ind w:left="57"/>
        <w:jc w:val="left"/>
        <w:shd w:val="clear" w:fill="F2F2F2"/>
      </w:pPr>
      <w:r>
        <w:rPr>
          <w:rFonts w:ascii="Consolas" w:hAnsi="Consolas" w:cs="Consolas"/>
          <w:b w:val="0"/>
          <w:i w:val="0"/>
          <w:sz w:val="15"/>
        </w:rPr>
        <w:t>├── Leg 4 = Laboratory  = PENDING</w:t>
      </w:r>
    </w:p>
    <w:p>
      <w:pPr>
        <w:spacing w:after="0" w:before="0" w:line="240" w:lineRule="auto"/>
        <w:ind w:left="57"/>
        <w:jc w:val="left"/>
        <w:shd w:val="clear" w:fill="F2F2F2"/>
      </w:pPr>
      <w:r>
        <w:rPr>
          <w:rFonts w:ascii="Consolas" w:hAnsi="Consolas" w:cs="Consolas"/>
          <w:b w:val="0"/>
          <w:i w:val="0"/>
          <w:sz w:val="15"/>
        </w:rPr>
        <w:t>└── Leg 5 = Broker      = UNKNOWN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Parent state: Settlement = PARTIALLY_SETTLED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multi-leg settlement carries an applicable Settlement Atomicity Policy (ALL_OR_NONE, PARTIAL_ALLOWED, SEQUENCED, CONDITIONAL, HUMAN_RELEASE) and a payment dependency graph. The canonical atomicity policy semantics are specified in Section 19.47 and the payment dependency graph in Section 19.48; the phase-level view here defers to those definitions.</w:t>
      </w:r>
    </w:p>
    <w:p>
      <w:pPr>
        <w:keepNext/>
        <w:spacing w:before="180" w:after="80"/>
        <w:outlineLvl w:val="2"/>
      </w:pPr>
      <w:r>
        <w:rPr>
          <w:rFonts w:ascii="Arial" w:hAnsi="Arial" w:cs="Arial"/>
          <w:b/>
          <w:i w:val="0"/>
          <w:color w:val="333333"/>
          <w:sz w:val="23"/>
        </w:rPr>
        <w:t>13.2.7 Payment Leg Certificate</w:t>
      </w:r>
    </w:p>
    <w:p>
      <w:pPr>
        <w:spacing w:after="80" w:line="293" w:lineRule="auto"/>
        <w:jc w:val="left"/>
      </w:pPr>
      <w:r>
        <w:rPr>
          <w:rFonts w:ascii="Times New Roman" w:hAnsi="Times New Roman" w:cs="Times New Roman"/>
          <w:b w:val="0"/>
          <w:i w:val="0"/>
          <w:sz w:val="22"/>
        </w:rPr>
        <w:t>Each completed financial leg is capable of producing a certificate containing: USTN; Settlement Instruction ID; Settlement Leg ID; Bank Transaction Reference; Amount; Currency; Beneficiary; Bank Status; Value Date; Execution Timestamp; Return Code (if applicable); Bank Evidence Reference; SGTX Event Hash; Policy Version; Reconciliation Status. This becomes an input to the Reconciliation Control Plane.</w:t>
      </w:r>
    </w:p>
    <w:p>
      <w:pPr>
        <w:keepNext/>
        <w:spacing w:before="180" w:after="80"/>
        <w:outlineLvl w:val="2"/>
      </w:pPr>
      <w:r>
        <w:rPr>
          <w:rFonts w:ascii="Arial" w:hAnsi="Arial" w:cs="Arial"/>
          <w:b/>
          <w:i w:val="0"/>
          <w:color w:val="333333"/>
          <w:sz w:val="23"/>
        </w:rPr>
        <w:t>13.2.8 Buyer Approval (One Click or Voice)</w:t>
      </w:r>
    </w:p>
    <w:p>
      <w:pPr>
        <w:spacing w:after="80" w:line="293" w:lineRule="auto"/>
        <w:jc w:val="left"/>
      </w:pPr>
      <w:r>
        <w:rPr>
          <w:rFonts w:ascii="Times New Roman" w:hAnsi="Times New Roman" w:cs="Times New Roman"/>
          <w:b w:val="0"/>
          <w:i w:val="0"/>
          <w:sz w:val="22"/>
        </w:rPr>
        <w:t>Approval methods: manual — click "Approve Settlement"; voice — "Approve settlement for USTN SGTX-…-V1"; or automatic (zero clicks) when a milestone-based pre-approval is in force.</w:t>
      </w:r>
    </w:p>
    <w:p>
      <w:pPr>
        <w:spacing w:after="80" w:line="293" w:lineRule="auto"/>
        <w:jc w:val="left"/>
      </w:pPr>
      <w:r>
        <w:rPr>
          <w:rFonts w:ascii="Times New Roman" w:hAnsi="Times New Roman" w:cs="Times New Roman"/>
          <w:b w:val="0"/>
          <w:i w:val="0"/>
          <w:sz w:val="22"/>
        </w:rPr>
        <w:t>Governor validation before approval executes: the buyer holds the `payment.approve` permission; delivery is confirmed; no active disputes; FeeLock ACTIVE. On approval the Governor signs the settlement instruction and it is stored in `settlement_instructions` with status AUTHORISED.</w:t>
      </w:r>
    </w:p>
    <w:p>
      <w:pPr>
        <w:spacing w:after="80" w:line="293" w:lineRule="auto"/>
        <w:jc w:val="left"/>
      </w:pPr>
      <w:r>
        <w:rPr>
          <w:rFonts w:ascii="Times New Roman" w:hAnsi="Times New Roman" w:cs="Times New Roman"/>
          <w:b w:val="0"/>
          <w:i w:val="0"/>
          <w:sz w:val="22"/>
        </w:rPr>
        <w:t>Voice approval workflow: the user speaks "Approve settlement for USTN SGTX-1397F3A-..."; Vosk transcribes offline; HF Mixtral extracts `action = approve_settlement` and the USTN; ZITADEL verifies biometrics (fingerprint/face); the Governor signs the instruction; confirmation: "Settlement for USTN SGTX-1397F3A-... approved."</w:t>
      </w:r>
    </w:p>
    <w:p>
      <w:pPr>
        <w:spacing w:after="80" w:line="293" w:lineRule="auto"/>
        <w:jc w:val="left"/>
      </w:pPr>
      <w:r>
        <w:rPr>
          <w:rFonts w:ascii="Times New Roman" w:hAnsi="Times New Roman" w:cs="Times New Roman"/>
          <w:b w:val="0"/>
          <w:i w:val="0"/>
          <w:sz w:val="22"/>
        </w:rPr>
        <w:t>Example settlement approval panel — SGTX-EG-26-F3A-1: Trade: Mekong Fresh Co. → Nile Foods; Amount: $30,553.20 (USD); Due Date: 2026-07-06. bank route (A2, LightGBM + Groq advisory): Recommended: mandated bank (tier 1); Estimated Fees: $45.00; Settlement: 2–3 days; Explanation: "Dispatching via your mandated bank (tier 1, full ISO 20022). EGP legs settle same-day via RTGS/IPN; USD legs settle in 2–3 days via SWIFT gpi with UETR tracking." Route notes: same-bank beneficiary legs settle intraday; cross-border legs carry gpi tracking; tier-3 counterparties fall back to statement reconciliation. Actions: [Approve Settlement] [View Route Details] [Reject]. Voice: "Approve settlement for USTN SGTX-1397F3A-...".</w:t>
      </w:r>
    </w:p>
    <w:p>
      <w:pPr>
        <w:keepNext/>
        <w:spacing w:before="240" w:after="100"/>
        <w:outlineLvl w:val="1"/>
      </w:pPr>
      <w:r>
        <w:rPr>
          <w:rFonts w:ascii="Arial" w:hAnsi="Arial" w:cs="Arial"/>
          <w:b/>
          <w:i w:val="0"/>
          <w:color w:val="2E528F"/>
          <w:sz w:val="26"/>
        </w:rPr>
        <w:t>13.3 Bank Settlement Gateway</w:t>
      </w:r>
    </w:p>
    <w:p>
      <w:pPr>
        <w:keepNext/>
        <w:spacing w:before="180" w:after="80"/>
        <w:outlineLvl w:val="2"/>
      </w:pPr>
      <w:r>
        <w:rPr>
          <w:rFonts w:ascii="Arial" w:hAnsi="Arial" w:cs="Arial"/>
          <w:b/>
          <w:i w:val="0"/>
          <w:color w:val="333333"/>
          <w:sz w:val="23"/>
        </w:rPr>
        <w:t>13.3.1 Definition &amp; Mandate</w:t>
      </w:r>
    </w:p>
    <w:p>
      <w:pPr>
        <w:spacing w:after="80" w:line="293" w:lineRule="auto"/>
        <w:jc w:val="left"/>
      </w:pPr>
      <w:r>
        <w:rPr>
          <w:rFonts w:ascii="Times New Roman" w:hAnsi="Times New Roman" w:cs="Times New Roman"/>
          <w:b w:val="0"/>
          <w:i w:val="0"/>
          <w:sz w:val="22"/>
        </w:rPr>
        <w:t>The SGTX Bank Settlement Gateway (BSG) is the controlled integration boundary between SGTX and participating financial institutions. It may perform:</w:t>
      </w:r>
    </w:p>
    <w:p>
      <w:pPr>
        <w:spacing w:after="80" w:line="293" w:lineRule="auto"/>
        <w:ind w:left="283"/>
        <w:jc w:val="left"/>
      </w:pPr>
      <w:r>
        <w:rPr>
          <w:rFonts w:ascii="Times New Roman" w:hAnsi="Times New Roman" w:cs="Times New Roman"/>
          <w:b w:val="0"/>
          <w:i w:val="0"/>
          <w:sz w:val="22"/>
        </w:rPr>
        <w:t>- instruction translation;</w:t>
      </w:r>
    </w:p>
    <w:p>
      <w:pPr>
        <w:spacing w:after="80" w:line="293" w:lineRule="auto"/>
        <w:ind w:left="283"/>
        <w:jc w:val="left"/>
      </w:pPr>
      <w:r>
        <w:rPr>
          <w:rFonts w:ascii="Times New Roman" w:hAnsi="Times New Roman" w:cs="Times New Roman"/>
          <w:b w:val="0"/>
          <w:i w:val="0"/>
          <w:sz w:val="22"/>
        </w:rPr>
        <w:t>- schema validation;</w:t>
      </w:r>
    </w:p>
    <w:p>
      <w:pPr>
        <w:spacing w:after="80" w:line="293" w:lineRule="auto"/>
        <w:ind w:left="283"/>
        <w:jc w:val="left"/>
      </w:pPr>
      <w:r>
        <w:rPr>
          <w:rFonts w:ascii="Times New Roman" w:hAnsi="Times New Roman" w:cs="Times New Roman"/>
          <w:b w:val="0"/>
          <w:i w:val="0"/>
          <w:sz w:val="22"/>
        </w:rPr>
        <w:t>- cryptographic/signature validation;</w:t>
      </w:r>
    </w:p>
    <w:p>
      <w:pPr>
        <w:spacing w:after="80" w:line="293" w:lineRule="auto"/>
        <w:ind w:left="283"/>
        <w:jc w:val="left"/>
      </w:pPr>
      <w:r>
        <w:rPr>
          <w:rFonts w:ascii="Times New Roman" w:hAnsi="Times New Roman" w:cs="Times New Roman"/>
          <w:b w:val="0"/>
          <w:i w:val="0"/>
          <w:sz w:val="22"/>
        </w:rPr>
        <w:t>- USTN correlation;</w:t>
      </w:r>
    </w:p>
    <w:p>
      <w:pPr>
        <w:spacing w:after="80" w:line="293" w:lineRule="auto"/>
        <w:ind w:left="283"/>
        <w:jc w:val="left"/>
      </w:pPr>
      <w:r>
        <w:rPr>
          <w:rFonts w:ascii="Times New Roman" w:hAnsi="Times New Roman" w:cs="Times New Roman"/>
          <w:b w:val="0"/>
          <w:i w:val="0"/>
          <w:sz w:val="22"/>
        </w:rPr>
        <w:t>- settlement instruction validation;</w:t>
      </w:r>
    </w:p>
    <w:p>
      <w:pPr>
        <w:spacing w:after="80" w:line="293" w:lineRule="auto"/>
        <w:ind w:left="283"/>
        <w:jc w:val="left"/>
      </w:pPr>
      <w:r>
        <w:rPr>
          <w:rFonts w:ascii="Times New Roman" w:hAnsi="Times New Roman" w:cs="Times New Roman"/>
          <w:b w:val="0"/>
          <w:i w:val="0"/>
          <w:sz w:val="22"/>
        </w:rPr>
        <w:t>- beneficiary consistency validation;</w:t>
      </w:r>
    </w:p>
    <w:p>
      <w:pPr>
        <w:spacing w:after="80" w:line="293" w:lineRule="auto"/>
        <w:ind w:left="283"/>
        <w:jc w:val="left"/>
      </w:pPr>
      <w:r>
        <w:rPr>
          <w:rFonts w:ascii="Times New Roman" w:hAnsi="Times New Roman" w:cs="Times New Roman"/>
          <w:b w:val="0"/>
          <w:i w:val="0"/>
          <w:sz w:val="22"/>
        </w:rPr>
        <w:t>- bank-side policy handoff;</w:t>
      </w:r>
    </w:p>
    <w:p>
      <w:pPr>
        <w:spacing w:after="80" w:line="293" w:lineRule="auto"/>
        <w:ind w:left="283"/>
        <w:jc w:val="left"/>
      </w:pPr>
      <w:r>
        <w:rPr>
          <w:rFonts w:ascii="Times New Roman" w:hAnsi="Times New Roman" w:cs="Times New Roman"/>
          <w:b w:val="0"/>
          <w:i w:val="0"/>
          <w:sz w:val="22"/>
        </w:rPr>
        <w:t>- payment status ingestion;</w:t>
      </w:r>
    </w:p>
    <w:p>
      <w:pPr>
        <w:spacing w:after="80" w:line="293" w:lineRule="auto"/>
        <w:ind w:left="283"/>
        <w:jc w:val="left"/>
      </w:pPr>
      <w:r>
        <w:rPr>
          <w:rFonts w:ascii="Times New Roman" w:hAnsi="Times New Roman" w:cs="Times New Roman"/>
          <w:b w:val="0"/>
          <w:i w:val="0"/>
          <w:sz w:val="22"/>
        </w:rPr>
        <w:t>- event correlation;</w:t>
      </w:r>
    </w:p>
    <w:p>
      <w:pPr>
        <w:spacing w:after="80" w:line="293" w:lineRule="auto"/>
        <w:ind w:left="283"/>
        <w:jc w:val="left"/>
      </w:pPr>
      <w:r>
        <w:rPr>
          <w:rFonts w:ascii="Times New Roman" w:hAnsi="Times New Roman" w:cs="Times New Roman"/>
          <w:b w:val="0"/>
          <w:i w:val="0"/>
          <w:sz w:val="22"/>
        </w:rPr>
        <w:t>- exception handling;</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evidence capture.</w:t>
      </w:r>
    </w:p>
    <w:p>
      <w:pPr>
        <w:spacing w:after="80" w:line="293" w:lineRule="auto"/>
        <w:jc w:val="left"/>
      </w:pPr>
      <w:r>
        <w:rPr>
          <w:rFonts w:ascii="Times New Roman" w:hAnsi="Times New Roman" w:cs="Times New Roman"/>
          <w:b w:val="0"/>
          <w:i w:val="0"/>
          <w:sz w:val="22"/>
        </w:rPr>
        <w:t>The BSG does not custody customer funds.</w:t>
      </w:r>
    </w:p>
    <w:p>
      <w:pPr>
        <w:keepNext/>
        <w:spacing w:before="180" w:after="80"/>
        <w:outlineLvl w:val="2"/>
      </w:pPr>
      <w:r>
        <w:rPr>
          <w:rFonts w:ascii="Arial" w:hAnsi="Arial" w:cs="Arial"/>
          <w:b/>
          <w:i w:val="0"/>
          <w:color w:val="333333"/>
          <w:sz w:val="23"/>
        </w:rPr>
        <w:t>13.3.2 Six-Stage Processing Pipeline</w:t>
      </w:r>
    </w:p>
    <w:p>
      <w:pPr>
        <w:spacing w:after="80" w:line="293" w:lineRule="auto"/>
        <w:jc w:val="left"/>
      </w:pPr>
      <w:r>
        <w:rPr>
          <w:rFonts w:ascii="Times New Roman" w:hAnsi="Times New Roman" w:cs="Times New Roman"/>
          <w:b w:val="0"/>
          <w:i w:val="0"/>
          <w:sz w:val="22"/>
        </w:rPr>
        <w:t>The BSG processes payment instructions through a six-stage pipeline before bank submission: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Stage</w:t>
            </w:r>
          </w:p>
        </w:tc>
        <w:tc>
          <w:tcPr>
            <w:tcW w:type="dxa" w:w="4819"/>
            <w:shd w:val="clear" w:fill="D9E2F3"/>
          </w:tcPr>
          <w:p>
            <w:pPr>
              <w:spacing w:after="20" w:before="20" w:line="240" w:lineRule="auto"/>
            </w:pPr>
            <w:r/>
            <w:r>
              <w:rPr>
                <w:rFonts w:ascii="Arial" w:hAnsi="Arial" w:cs="Arial"/>
                <w:b/>
                <w:i w:val="0"/>
                <w:sz w:val="18"/>
              </w:rPr>
              <w:t>Validation</w:t>
            </w:r>
          </w:p>
        </w:tc>
      </w:tr>
      <w:tr>
        <w:tc>
          <w:tcPr>
            <w:tcW w:type="dxa" w:w="4819"/>
          </w:tcPr>
          <w:p>
            <w:pPr>
              <w:spacing w:after="20" w:before="20" w:line="240" w:lineRule="auto"/>
            </w:pPr>
            <w:r/>
            <w:r>
              <w:rPr>
                <w:rFonts w:ascii="Arial" w:hAnsi="Arial" w:cs="Arial"/>
                <w:b w:val="0"/>
                <w:i w:val="0"/>
                <w:sz w:val="17"/>
              </w:rPr>
              <w:t>1 — Instruction translation</w:t>
            </w:r>
          </w:p>
        </w:tc>
        <w:tc>
          <w:tcPr>
            <w:tcW w:type="dxa" w:w="4819"/>
          </w:tcPr>
          <w:p>
            <w:pPr>
              <w:spacing w:after="20" w:before="20" w:line="240" w:lineRule="auto"/>
            </w:pPr>
            <w:r/>
            <w:r>
              <w:rPr>
                <w:rFonts w:ascii="Arial" w:hAnsi="Arial" w:cs="Arial"/>
                <w:b w:val="0"/>
                <w:i w:val="0"/>
                <w:sz w:val="17"/>
              </w:rPr>
              <w:t>Map the canonical instruction into the bank's required format</w:t>
            </w:r>
          </w:p>
        </w:tc>
      </w:tr>
      <w:tr>
        <w:tc>
          <w:tcPr>
            <w:tcW w:type="dxa" w:w="4819"/>
          </w:tcPr>
          <w:p>
            <w:pPr>
              <w:spacing w:after="20" w:before="20" w:line="240" w:lineRule="auto"/>
            </w:pPr>
            <w:r/>
            <w:r>
              <w:rPr>
                <w:rFonts w:ascii="Arial" w:hAnsi="Arial" w:cs="Arial"/>
                <w:b w:val="0"/>
                <w:i w:val="0"/>
                <w:sz w:val="17"/>
              </w:rPr>
              <w:t>2 — Schema validation</w:t>
            </w:r>
          </w:p>
        </w:tc>
        <w:tc>
          <w:tcPr>
            <w:tcW w:type="dxa" w:w="4819"/>
          </w:tcPr>
          <w:p>
            <w:pPr>
              <w:spacing w:after="20" w:before="20" w:line="240" w:lineRule="auto"/>
            </w:pPr>
            <w:r/>
            <w:r>
              <w:rPr>
                <w:rFonts w:ascii="Arial" w:hAnsi="Arial" w:cs="Arial"/>
                <w:b w:val="0"/>
                <w:i w:val="0"/>
                <w:sz w:val="17"/>
              </w:rPr>
              <w:t>Validate structure and required fields</w:t>
            </w:r>
          </w:p>
        </w:tc>
      </w:tr>
      <w:tr>
        <w:tc>
          <w:tcPr>
            <w:tcW w:type="dxa" w:w="4819"/>
          </w:tcPr>
          <w:p>
            <w:pPr>
              <w:spacing w:after="20" w:before="20" w:line="240" w:lineRule="auto"/>
            </w:pPr>
            <w:r/>
            <w:r>
              <w:rPr>
                <w:rFonts w:ascii="Arial" w:hAnsi="Arial" w:cs="Arial"/>
                <w:b w:val="0"/>
                <w:i w:val="0"/>
                <w:sz w:val="17"/>
              </w:rPr>
              <w:t>3 — Cryptographic/signature validation</w:t>
            </w:r>
          </w:p>
        </w:tc>
        <w:tc>
          <w:tcPr>
            <w:tcW w:type="dxa" w:w="4819"/>
          </w:tcPr>
          <w:p>
            <w:pPr>
              <w:spacing w:after="20" w:before="20" w:line="240" w:lineRule="auto"/>
            </w:pPr>
            <w:r/>
            <w:r>
              <w:rPr>
                <w:rFonts w:ascii="Arial" w:hAnsi="Arial" w:cs="Arial"/>
                <w:b w:val="0"/>
                <w:i w:val="0"/>
                <w:sz w:val="17"/>
              </w:rPr>
              <w:t>Verify the Governor (Ed25519) signature and integrity</w:t>
            </w:r>
          </w:p>
        </w:tc>
      </w:tr>
      <w:tr>
        <w:tc>
          <w:tcPr>
            <w:tcW w:type="dxa" w:w="4819"/>
          </w:tcPr>
          <w:p>
            <w:pPr>
              <w:spacing w:after="20" w:before="20" w:line="240" w:lineRule="auto"/>
            </w:pPr>
            <w:r/>
            <w:r>
              <w:rPr>
                <w:rFonts w:ascii="Arial" w:hAnsi="Arial" w:cs="Arial"/>
                <w:b w:val="0"/>
                <w:i w:val="0"/>
                <w:sz w:val="17"/>
              </w:rPr>
              <w:t>4 — USTN correlation</w:t>
            </w:r>
          </w:p>
        </w:tc>
        <w:tc>
          <w:tcPr>
            <w:tcW w:type="dxa" w:w="4819"/>
          </w:tcPr>
          <w:p>
            <w:pPr>
              <w:spacing w:after="20" w:before="20" w:line="240" w:lineRule="auto"/>
            </w:pPr>
            <w:r/>
            <w:r>
              <w:rPr>
                <w:rFonts w:ascii="Arial" w:hAnsi="Arial" w:cs="Arial"/>
                <w:b w:val="0"/>
                <w:i w:val="0"/>
                <w:sz w:val="17"/>
              </w:rPr>
              <w:t>Bind the instruction to the correct trade and obligation</w:t>
            </w:r>
          </w:p>
        </w:tc>
      </w:tr>
      <w:tr>
        <w:tc>
          <w:tcPr>
            <w:tcW w:type="dxa" w:w="4819"/>
          </w:tcPr>
          <w:p>
            <w:pPr>
              <w:spacing w:after="20" w:before="20" w:line="240" w:lineRule="auto"/>
            </w:pPr>
            <w:r/>
            <w:r>
              <w:rPr>
                <w:rFonts w:ascii="Arial" w:hAnsi="Arial" w:cs="Arial"/>
                <w:b w:val="0"/>
                <w:i w:val="0"/>
                <w:sz w:val="17"/>
              </w:rPr>
              <w:t>5 — Settlement instruction validation</w:t>
            </w:r>
          </w:p>
        </w:tc>
        <w:tc>
          <w:tcPr>
            <w:tcW w:type="dxa" w:w="4819"/>
          </w:tcPr>
          <w:p>
            <w:pPr>
              <w:spacing w:after="20" w:before="20" w:line="240" w:lineRule="auto"/>
            </w:pPr>
            <w:r/>
            <w:r>
              <w:rPr>
                <w:rFonts w:ascii="Arial" w:hAnsi="Arial" w:cs="Arial"/>
                <w:b w:val="0"/>
                <w:i w:val="0"/>
                <w:sz w:val="17"/>
              </w:rPr>
              <w:t>Verify amount, currency, terms, expiry, and version</w:t>
            </w:r>
          </w:p>
        </w:tc>
      </w:tr>
      <w:tr>
        <w:tc>
          <w:tcPr>
            <w:tcW w:type="dxa" w:w="4819"/>
          </w:tcPr>
          <w:p>
            <w:pPr>
              <w:spacing w:after="20" w:before="20" w:line="240" w:lineRule="auto"/>
            </w:pPr>
            <w:r/>
            <w:r>
              <w:rPr>
                <w:rFonts w:ascii="Arial" w:hAnsi="Arial" w:cs="Arial"/>
                <w:b w:val="0"/>
                <w:i w:val="0"/>
                <w:sz w:val="17"/>
              </w:rPr>
              <w:t>6 — Beneficiary consistency validation</w:t>
            </w:r>
          </w:p>
        </w:tc>
        <w:tc>
          <w:tcPr>
            <w:tcW w:type="dxa" w:w="4819"/>
          </w:tcPr>
          <w:p>
            <w:pPr>
              <w:spacing w:after="20" w:before="20" w:line="240" w:lineRule="auto"/>
            </w:pPr>
            <w:r/>
            <w:r>
              <w:rPr>
                <w:rFonts w:ascii="Arial" w:hAnsi="Arial" w:cs="Arial"/>
                <w:b w:val="0"/>
                <w:i w:val="0"/>
                <w:sz w:val="17"/>
              </w:rPr>
              <w:t>Match payee identity, account, and supporting evidence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After the six BSG stages, the instruction passes to bank-side processing. The full bank-side risk gateway pipeline before execution:</w:t>
      </w:r>
    </w:p>
    <w:p>
      <w:pPr>
        <w:spacing w:after="0" w:before="0" w:line="240" w:lineRule="auto"/>
        <w:ind w:left="57"/>
        <w:jc w:val="left"/>
        <w:shd w:val="clear" w:fill="F2F2F2"/>
      </w:pPr>
      <w:r>
        <w:rPr>
          <w:rFonts w:ascii="Consolas" w:hAnsi="Consolas" w:cs="Consolas"/>
          <w:b w:val="0"/>
          <w:i w:val="0"/>
          <w:sz w:val="15"/>
        </w:rPr>
        <w:t>SGTX Bank Settlement Gateway → Schema Validation → Signature Validation → USTN Validation →</w:t>
      </w:r>
    </w:p>
    <w:p>
      <w:pPr>
        <w:spacing w:after="0" w:before="0" w:line="240" w:lineRule="auto"/>
        <w:ind w:left="57"/>
        <w:jc w:val="left"/>
        <w:shd w:val="clear" w:fill="F2F2F2"/>
      </w:pPr>
      <w:r>
        <w:rPr>
          <w:rFonts w:ascii="Consolas" w:hAnsi="Consolas" w:cs="Consolas"/>
          <w:b w:val="0"/>
          <w:i w:val="0"/>
          <w:sz w:val="15"/>
        </w:rPr>
        <w:t>Instruction Version Validation → Beneficiary Consistency → Bank Policy →</w:t>
      </w:r>
    </w:p>
    <w:p>
      <w:pPr>
        <w:spacing w:after="0" w:before="0" w:line="240" w:lineRule="auto"/>
        <w:ind w:left="57"/>
        <w:jc w:val="left"/>
        <w:shd w:val="clear" w:fill="F2F2F2"/>
      </w:pPr>
      <w:r>
        <w:rPr>
          <w:rFonts w:ascii="Consolas" w:hAnsi="Consolas" w:cs="Consolas"/>
          <w:b w:val="0"/>
          <w:i w:val="0"/>
          <w:sz w:val="15"/>
        </w:rPr>
        <w:t>AML / Sanctions / Fraud Controls → Bank Authorization → Payment Execution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does not replace bank-side compliance controls.</w:t>
      </w:r>
    </w:p>
    <w:p>
      <w:pPr>
        <w:keepNext/>
        <w:spacing w:before="180" w:after="80"/>
        <w:outlineLvl w:val="2"/>
      </w:pPr>
      <w:r>
        <w:rPr>
          <w:rFonts w:ascii="Arial" w:hAnsi="Arial" w:cs="Arial"/>
          <w:b/>
          <w:i w:val="0"/>
          <w:color w:val="333333"/>
          <w:sz w:val="23"/>
        </w:rPr>
        <w:t>13.3.3 Bank Authority Boundary</w:t>
      </w:r>
    </w:p>
    <w:p>
      <w:pPr>
        <w:spacing w:after="0" w:before="0" w:line="240" w:lineRule="auto"/>
        <w:ind w:left="57"/>
        <w:jc w:val="left"/>
        <w:shd w:val="clear" w:fill="F2F2F2"/>
      </w:pPr>
      <w:r>
        <w:rPr>
          <w:rFonts w:ascii="Consolas" w:hAnsi="Consolas" w:cs="Consolas"/>
          <w:b w:val="0"/>
          <w:i w:val="0"/>
          <w:sz w:val="15"/>
        </w:rPr>
        <w:t>SGTX → Settlement Instruction → Bank Settlement Gateway → Bank Validation →</w:t>
      </w:r>
    </w:p>
    <w:p>
      <w:pPr>
        <w:spacing w:after="0" w:before="0" w:line="240" w:lineRule="auto"/>
        <w:ind w:left="57"/>
        <w:jc w:val="left"/>
        <w:shd w:val="clear" w:fill="F2F2F2"/>
      </w:pPr>
      <w:r>
        <w:rPr>
          <w:rFonts w:ascii="Consolas" w:hAnsi="Consolas" w:cs="Consolas"/>
          <w:b w:val="0"/>
          <w:i w:val="0"/>
          <w:sz w:val="15"/>
        </w:rPr>
        <w:t>Bank Authorization → Bank Execution → Bank Confirmation → SGTX Financial State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bank remains authoritative for its: funds movement; bank ledger; account status; authorization; bank-side compliance; payment execution; bank settlement confirmation.</w:t>
      </w:r>
    </w:p>
    <w:p>
      <w:pPr>
        <w:spacing w:after="80" w:line="293" w:lineRule="auto"/>
        <w:jc w:val="left"/>
      </w:pPr>
      <w:r>
        <w:rPr>
          <w:rFonts w:ascii="Times New Roman" w:hAnsi="Times New Roman" w:cs="Times New Roman"/>
          <w:b w:val="0"/>
          <w:i w:val="0"/>
          <w:sz w:val="22"/>
        </w:rPr>
        <w:t>The bank may require maker-checker authorization: SGTX instruction → bank validation → maker approval → checker approval → bank execution. The exact authorization model remains bank-specific. SGTX records relevant authorization evidence but does not replace the bank's internal authorization controls. SGTX must never assume that a signed SGTX instruction automatically authorizes movement of funds.</w:t>
      </w:r>
    </w:p>
    <w:p>
      <w:pPr>
        <w:keepNext/>
        <w:spacing w:before="180" w:after="80"/>
        <w:outlineLvl w:val="2"/>
      </w:pPr>
      <w:r>
        <w:rPr>
          <w:rFonts w:ascii="Arial" w:hAnsi="Arial" w:cs="Arial"/>
          <w:b/>
          <w:i w:val="0"/>
          <w:color w:val="333333"/>
          <w:sz w:val="23"/>
        </w:rPr>
        <w:t>13.3.4 Non-Custodial Control-Plane Principle</w:t>
      </w:r>
    </w:p>
    <w:p>
      <w:pPr>
        <w:spacing w:after="80" w:line="293" w:lineRule="auto"/>
        <w:jc w:val="left"/>
      </w:pPr>
      <w:r>
        <w:rPr>
          <w:rFonts w:ascii="Times New Roman" w:hAnsi="Times New Roman" w:cs="Times New Roman"/>
          <w:b w:val="0"/>
          <w:i w:val="0"/>
          <w:sz w:val="22"/>
        </w:rPr>
        <w:t>SGTX provides control-plane orchestration without becoming the asset custodian. SGTX can: orchestrate; coordinate; verify; observe; reconcile; notify; generate evidence; generate authenticated instructions; initiate authorized workflows. SGTX does not automatically: hold pooled customer funds; rewrite bank ledgers; independently reverse external payments; override bank authority; issue legal determinations; act as a court; act as a central bank; become the underlying payment rail.</w:t>
      </w:r>
    </w:p>
    <w:p>
      <w:pPr>
        <w:spacing w:after="80" w:line="293" w:lineRule="auto"/>
        <w:jc w:val="left"/>
      </w:pPr>
      <w:r>
        <w:rPr>
          <w:rFonts w:ascii="Times New Roman" w:hAnsi="Times New Roman" w:cs="Times New Roman"/>
          <w:b w:val="0"/>
          <w:i w:val="0"/>
          <w:sz w:val="22"/>
        </w:rPr>
        <w:t>Non-custody does not itself determine regulatory status. SGTX's regulatory treatment in any jurisdiction depends on actual functionality, technical control, customer interaction, contractual structure, payment involvement, funds movement role, authorization role, data access, regulatory perimeter, and jurisdiction. In Egypt, the Central Bank of Egypt (CBE) rules cover regulated payment activities including execution of payment transactions, transfers, payment initiation services, and other payment services. SGTX must never claim that a functionality is unregulated merely because it is non-custodial or described as "instruction-only"; actual legal/regulatory classification must be assessed before enabling the relevant functionality in each jurisdiction (Regulatory Classification Gate: SGTX functionality → regulatory classification assessment → licence/partnership/exemption/restriction → approved operating model → feature enablement).</w:t>
      </w:r>
    </w:p>
    <w:p>
      <w:pPr>
        <w:keepNext/>
        <w:spacing w:before="180" w:after="80"/>
        <w:outlineLvl w:val="2"/>
      </w:pPr>
      <w:r>
        <w:rPr>
          <w:rFonts w:ascii="Arial" w:hAnsi="Arial" w:cs="Arial"/>
          <w:b/>
          <w:i w:val="0"/>
          <w:color w:val="333333"/>
          <w:sz w:val="23"/>
        </w:rPr>
        <w:t>13.3.5 ISO 20022-First Bank Integration</w:t>
      </w:r>
    </w:p>
    <w:p>
      <w:pPr>
        <w:spacing w:after="80" w:line="293" w:lineRule="auto"/>
        <w:jc w:val="left"/>
      </w:pPr>
      <w:r>
        <w:rPr>
          <w:rFonts w:ascii="Times New Roman" w:hAnsi="Times New Roman" w:cs="Times New Roman"/>
          <w:b w:val="0"/>
          <w:i w:val="0"/>
          <w:sz w:val="22"/>
        </w:rPr>
        <w:t>ISO 20022 is a preferred banking integration standard for supported workflows; it is an external banking messaging standard, not SGTX's internal canonical state model. The architecture:</w:t>
      </w:r>
    </w:p>
    <w:p>
      <w:pPr>
        <w:spacing w:after="0" w:before="0" w:line="240" w:lineRule="auto"/>
        <w:ind w:left="57"/>
        <w:jc w:val="left"/>
        <w:shd w:val="clear" w:fill="F2F2F2"/>
      </w:pPr>
      <w:r>
        <w:rPr>
          <w:rFonts w:ascii="Consolas" w:hAnsi="Consolas" w:cs="Consolas"/>
          <w:b w:val="0"/>
          <w:i w:val="0"/>
          <w:sz w:val="15"/>
        </w:rPr>
        <w:t>SGTX Canonical Financial Model → ISO 20022 Adapter → Bank</w:t>
      </w:r>
    </w:p>
    <w:p>
      <w:pPr>
        <w:spacing w:after="0" w:before="0" w:line="240" w:lineRule="auto"/>
        <w:ind w:left="57"/>
        <w:jc w:val="left"/>
        <w:shd w:val="clear" w:fill="F2F2F2"/>
      </w:pPr>
      <w:r>
        <w:rPr>
          <w:rFonts w:ascii="Consolas" w:hAnsi="Consolas" w:cs="Consolas"/>
          <w:b w:val="0"/>
          <w:i w:val="0"/>
          <w:sz w:val="15"/>
        </w:rPr>
        <w:t>SGTX Canonical Financial Model → API Adapter → Bank</w:t>
      </w:r>
    </w:p>
    <w:p>
      <w:pPr>
        <w:spacing w:after="0" w:before="0" w:line="240" w:lineRule="auto"/>
        <w:ind w:left="57"/>
        <w:jc w:val="left"/>
        <w:shd w:val="clear" w:fill="F2F2F2"/>
      </w:pPr>
      <w:r>
        <w:rPr>
          <w:rFonts w:ascii="Consolas" w:hAnsi="Consolas" w:cs="Consolas"/>
          <w:b w:val="0"/>
          <w:i w:val="0"/>
          <w:sz w:val="15"/>
        </w:rPr>
        <w:t>SGTX Canonical Financial Model → H2H / SFTP Adapter → Bank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allows jurisdiction- and bank-specific integration. As of June 21, 2026, the CBE states that banks operating in Egypt adopted ISO 20022 for SWIFT messaging in interbank financial transfers, making an ISO 20022-first Egyptian integration strategy appropriate. A bank's terminology must not become SGTX's universal internal semantics — both the bank-native state and the SGTX canonical financial state are preserved, mapped by adapters.</w:t>
      </w:r>
    </w:p>
    <w:p>
      <w:pPr>
        <w:keepNext/>
        <w:spacing w:before="180" w:after="80"/>
        <w:outlineLvl w:val="2"/>
      </w:pPr>
      <w:r>
        <w:rPr>
          <w:rFonts w:ascii="Arial" w:hAnsi="Arial" w:cs="Arial"/>
          <w:b/>
          <w:i w:val="0"/>
          <w:color w:val="333333"/>
          <w:sz w:val="23"/>
        </w:rPr>
        <w:t>13.3.6 Direct Bank Settlement (Non-Custodial)</w:t>
      </w:r>
    </w:p>
    <w:p>
      <w:pPr>
        <w:spacing w:after="80" w:line="293" w:lineRule="auto"/>
        <w:jc w:val="left"/>
      </w:pPr>
      <w:r>
        <w:rPr>
          <w:rFonts w:ascii="Times New Roman" w:hAnsi="Times New Roman" w:cs="Times New Roman"/>
          <w:b w:val="0"/>
          <w:i w:val="0"/>
          <w:sz w:val="22"/>
        </w:rPr>
        <w:t>SGTX is not a payment service provider and never holds funds. For trade principal settlement (buyer → seller), SGTX dispatches ISO 20022 pain.001 multi-leg instructions to the buyer's mandated bank and reconciles via bank confirmations. Banks integrate with SGTX via API to receive reconciliation data, not to move funds.</w:t>
      </w:r>
    </w:p>
    <w:p>
      <w:pPr>
        <w:spacing w:after="80" w:line="293" w:lineRule="auto"/>
        <w:jc w:val="left"/>
      </w:pPr>
      <w:r>
        <w:rPr>
          <w:rFonts w:ascii="Times New Roman" w:hAnsi="Times New Roman" w:cs="Times New Roman"/>
          <w:b w:val="0"/>
          <w:i w:val="0"/>
          <w:sz w:val="22"/>
        </w:rPr>
        <w:t>How it works:</w:t>
      </w:r>
    </w:p>
    <w:p>
      <w:pPr>
        <w:spacing w:after="80" w:line="293" w:lineRule="auto"/>
        <w:jc w:val="left"/>
      </w:pPr>
      <w:r>
        <w:rPr>
          <w:rFonts w:ascii="Times New Roman" w:hAnsi="Times New Roman" w:cs="Times New Roman"/>
          <w:b w:val="0"/>
          <w:i w:val="0"/>
          <w:sz w:val="22"/>
        </w:rPr>
        <w:t>1. Buyer confirms delivery → SGTX generates a settlement instruction containing buyer IBAN, seller IBAN, amount, currency, USTN. 2. The buyer's bank (or the buyer themselves) initiates the transfer via their online banking, not via SGTX. 3. The buyer's bank confirms execution to SGTX (pain.002 status, camt.054 notification, SWIFT gpi UETR for cross-border legs). 4. SGTX reconciles each leg by matching the EndToEndId ({USTN}-{LEG_ID}) from the confirmation. 5. Settlement truth is bank-authoritative (Point 20).</w:t>
      </w:r>
    </w:p>
    <w:p>
      <w:pPr>
        <w:spacing w:after="80" w:line="293" w:lineRule="auto"/>
        <w:jc w:val="left"/>
      </w:pPr>
      <w:r>
        <w:rPr>
          <w:rFonts w:ascii="Times New Roman" w:hAnsi="Times New Roman" w:cs="Times New Roman"/>
          <w:b w:val="0"/>
          <w:i w:val="0"/>
          <w:sz w:val="22"/>
        </w:rPr>
        <w:t>Bank onboarding: any bank can register as a BANK tenant type (sub-type of FIN). They provide their IBAN prefix, BIC, and API endpoint for receiving instructions (optional). SGTX then pushes settlement instructions to the bank's system (if supported) or the bank pulls them.</w:t>
      </w:r>
    </w:p>
    <w:p>
      <w:pPr>
        <w:spacing w:after="80" w:line="293" w:lineRule="auto"/>
        <w:jc w:val="left"/>
      </w:pPr>
      <w:r>
        <w:rPr>
          <w:rFonts w:ascii="Times New Roman" w:hAnsi="Times New Roman" w:cs="Times New Roman"/>
          <w:b w:val="0"/>
          <w:i w:val="0"/>
          <w:sz w:val="22"/>
        </w:rPr>
        <w:t>Bank Settlement Instruction Endpoint (for banks).</w:t>
      </w:r>
    </w:p>
    <w:p>
      <w:pPr>
        <w:spacing w:after="0" w:before="0" w:line="240" w:lineRule="auto"/>
        <w:ind w:left="57"/>
        <w:jc w:val="left"/>
        <w:shd w:val="clear" w:fill="F2F2F2"/>
      </w:pPr>
      <w:r>
        <w:rPr>
          <w:rFonts w:ascii="Consolas" w:hAnsi="Consolas" w:cs="Consolas"/>
          <w:b w:val="0"/>
          <w:i w:val="0"/>
          <w:sz w:val="15"/>
        </w:rPr>
        <w:t>GET /v1/settlement/instructions?bank_bic=...&amp;status=PENDING</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Authentication: mTLS with the bank's certificate. Response: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"instructions":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"instruction_id": "SI-20260415-001",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"from_iban": "DE12345678901234567890",</w:t>
      </w:r>
    </w:p>
    <w:p>
      <w:pPr>
        <w:spacing w:after="0" w:before="0" w:line="240" w:lineRule="auto"/>
        <w:ind w:left="57"/>
        <w:jc w:val="left"/>
        <w:shd w:val="clear" w:fill="F2F2F2"/>
      </w:pPr>
      <w:r>
        <w:rPr>
          <w:rFonts w:ascii="Consolas" w:hAnsi="Consolas" w:cs="Consolas"/>
          <w:b w:val="0"/>
          <w:i w:val="0"/>
          <w:sz w:val="15"/>
        </w:rPr>
        <w:t xml:space="preserve">            "to_iban": "EG3800100000000000123456",</w:t>
      </w:r>
    </w:p>
    <w:p>
      <w:pPr>
        <w:spacing w:after="0" w:before="0" w:line="240" w:lineRule="auto"/>
        <w:ind w:left="57"/>
        <w:jc w:val="left"/>
        <w:shd w:val="clear" w:fill="F2F2F2"/>
      </w:pPr>
      <w:r>
        <w:rPr>
          <w:rFonts w:ascii="Consolas" w:hAnsi="Consolas" w:cs="Consolas"/>
          <w:b w:val="0"/>
          <w:i w:val="0"/>
          <w:sz w:val="15"/>
        </w:rPr>
        <w:t xml:space="preserve">            "amount": 105753.00,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"value_date": "2026-04-20",</w:t>
      </w:r>
    </w:p>
    <w:p>
      <w:pPr>
        <w:spacing w:after="0" w:before="0" w:line="240" w:lineRule="auto"/>
        <w:ind w:left="57"/>
        <w:jc w:val="left"/>
        <w:shd w:val="clear" w:fill="F2F2F2"/>
      </w:pPr>
      <w:r>
        <w:rPr>
          <w:rFonts w:ascii="Consolas" w:hAnsi="Consolas" w:cs="Consolas"/>
          <w:b w:val="0"/>
          <w:i w:val="0"/>
          <w:sz w:val="15"/>
        </w:rPr>
        <w:t xml:space="preserve">            "reference": "SGTX USTN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buyer's bank can use this information to pre-fill a payment order for the buyer. The buyer still authorizes the payment through their normal banking channel (no SGTX involvement). One-click for the bank: call GET /v1/settlement/instructions (one API call) and receive all pending instructions.</w:t>
      </w:r>
    </w:p>
    <w:p>
      <w:pPr>
        <w:spacing w:after="80" w:line="293" w:lineRule="auto"/>
        <w:jc w:val="left"/>
      </w:pPr>
      <w:r>
        <w:rPr>
          <w:rFonts w:ascii="Times New Roman" w:hAnsi="Times New Roman" w:cs="Times New Roman"/>
          <w:b w:val="0"/>
          <w:i w:val="0"/>
          <w:sz w:val="22"/>
        </w:rPr>
        <w:t>Payment Confirmation via Bank API. After the transfer is executed, the bank notifies SGTX:</w:t>
      </w:r>
    </w:p>
    <w:p>
      <w:pPr>
        <w:spacing w:after="0" w:before="0" w:line="240" w:lineRule="auto"/>
        <w:ind w:left="57"/>
        <w:jc w:val="left"/>
        <w:shd w:val="clear" w:fill="F2F2F2"/>
      </w:pPr>
      <w:r>
        <w:rPr>
          <w:rFonts w:ascii="Consolas" w:hAnsi="Consolas" w:cs="Consolas"/>
          <w:b w:val="0"/>
          <w:i w:val="0"/>
          <w:sz w:val="15"/>
        </w:rPr>
        <w:t>POST /v1/settlement/confirm</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"instruction_id": "SI-20260415-001",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"amount": 105753.00,</w:t>
      </w:r>
    </w:p>
    <w:p>
      <w:pPr>
        <w:spacing w:after="0" w:before="0" w:line="240" w:lineRule="auto"/>
        <w:ind w:left="57"/>
        <w:jc w:val="left"/>
        <w:shd w:val="clear" w:fill="F2F2F2"/>
      </w:pPr>
      <w:r>
        <w:rPr>
          <w:rFonts w:ascii="Consolas" w:hAnsi="Consolas" w:cs="Consolas"/>
          <w:b w:val="0"/>
          <w:i w:val="0"/>
          <w:sz w:val="15"/>
        </w:rPr>
        <w:t xml:space="preserve">    "transaction_reference": "MT103-REF-12345",</w:t>
      </w:r>
    </w:p>
    <w:p>
      <w:pPr>
        <w:spacing w:after="0" w:before="0" w:line="240" w:lineRule="auto"/>
        <w:ind w:left="57"/>
        <w:jc w:val="left"/>
        <w:shd w:val="clear" w:fill="F2F2F2"/>
      </w:pPr>
      <w:r>
        <w:rPr>
          <w:rFonts w:ascii="Consolas" w:hAnsi="Consolas" w:cs="Consolas"/>
          <w:b w:val="0"/>
          <w:i w:val="0"/>
          <w:sz w:val="15"/>
        </w:rPr>
        <w:t xml:space="preserve">    "settled_at": "2026-04-20T14:30:00Z",</w:t>
      </w:r>
    </w:p>
    <w:p>
      <w:pPr>
        <w:spacing w:after="0" w:before="0" w:line="240" w:lineRule="auto"/>
        <w:ind w:left="57"/>
        <w:jc w:val="left"/>
        <w:shd w:val="clear" w:fill="F2F2F2"/>
      </w:pPr>
      <w:r>
        <w:rPr>
          <w:rFonts w:ascii="Consolas" w:hAnsi="Consolas" w:cs="Consolas"/>
          <w:b w:val="0"/>
          <w:i w:val="0"/>
          <w:sz w:val="15"/>
        </w:rPr>
        <w:t xml:space="preserve">    "bank_bic": "CIBEEGCX"</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verifies that the USTN matches an open instruction and marks `settlement_instructions.status = 'SETTLED'`. SGTX never touches the funds — it only records the confirmation.</w:t>
      </w:r>
    </w:p>
    <w:p>
      <w:pPr>
        <w:spacing w:after="80" w:line="293" w:lineRule="auto"/>
        <w:jc w:val="left"/>
      </w:pPr>
      <w:r>
        <w:rPr>
          <w:rFonts w:ascii="Times New Roman" w:hAnsi="Times New Roman" w:cs="Times New Roman"/>
          <w:b w:val="0"/>
          <w:i w:val="0"/>
          <w:sz w:val="22"/>
        </w:rPr>
        <w:t>Reconciliation files for banks. Banks can download daily reconciliation files:</w:t>
      </w:r>
    </w:p>
    <w:p>
      <w:pPr>
        <w:spacing w:after="0" w:before="0" w:line="240" w:lineRule="auto"/>
        <w:ind w:left="57"/>
        <w:jc w:val="left"/>
        <w:shd w:val="clear" w:fill="F2F2F2"/>
      </w:pPr>
      <w:r>
        <w:rPr>
          <w:rFonts w:ascii="Consolas" w:hAnsi="Consolas" w:cs="Consolas"/>
          <w:b w:val="0"/>
          <w:i w:val="0"/>
          <w:sz w:val="15"/>
        </w:rPr>
        <w:t>GET /v1/settlement/reconciliation?date=2026-04-20&amp;format=mt940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Returns a standard MT940 statement file (or ISO 20022 camt.053, or CSV) containing all settlements for that date with USTN as the reference. Supported formats: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Format</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MT940</w:t>
            </w:r>
          </w:p>
        </w:tc>
        <w:tc>
          <w:tcPr>
            <w:tcW w:type="dxa" w:w="4819"/>
          </w:tcPr>
          <w:p>
            <w:pPr>
              <w:spacing w:after="20" w:before="20" w:line="240" w:lineRule="auto"/>
            </w:pPr>
            <w:r/>
            <w:r>
              <w:rPr>
                <w:rFonts w:ascii="Arial" w:hAnsi="Arial" w:cs="Arial"/>
                <w:b w:val="0"/>
                <w:i w:val="0"/>
                <w:sz w:val="17"/>
              </w:rPr>
              <w:t>SWIFT end-of-day account statement</w:t>
            </w:r>
          </w:p>
        </w:tc>
      </w:tr>
      <w:tr>
        <w:tc>
          <w:tcPr>
            <w:tcW w:type="dxa" w:w="4819"/>
          </w:tcPr>
          <w:p>
            <w:pPr>
              <w:spacing w:after="20" w:before="20" w:line="240" w:lineRule="auto"/>
            </w:pPr>
            <w:r/>
            <w:r>
              <w:rPr>
                <w:rFonts w:ascii="Arial" w:hAnsi="Arial" w:cs="Arial"/>
                <w:b w:val="0"/>
                <w:i w:val="0"/>
                <w:sz w:val="17"/>
              </w:rPr>
              <w:t>ISO 20022 camt.053</w:t>
            </w:r>
          </w:p>
        </w:tc>
        <w:tc>
          <w:tcPr>
            <w:tcW w:type="dxa" w:w="4819"/>
          </w:tcPr>
          <w:p>
            <w:pPr>
              <w:spacing w:after="20" w:before="20" w:line="240" w:lineRule="auto"/>
            </w:pPr>
            <w:r/>
            <w:r>
              <w:rPr>
                <w:rFonts w:ascii="Arial" w:hAnsi="Arial" w:cs="Arial"/>
                <w:b w:val="0"/>
                <w:i w:val="0"/>
                <w:sz w:val="17"/>
              </w:rPr>
              <w:t>XML statement of account</w:t>
            </w:r>
          </w:p>
        </w:tc>
      </w:tr>
      <w:tr>
        <w:tc>
          <w:tcPr>
            <w:tcW w:type="dxa" w:w="4819"/>
          </w:tcPr>
          <w:p>
            <w:pPr>
              <w:spacing w:after="20" w:before="20" w:line="240" w:lineRule="auto"/>
            </w:pPr>
            <w:r/>
            <w:r>
              <w:rPr>
                <w:rFonts w:ascii="Arial" w:hAnsi="Arial" w:cs="Arial"/>
                <w:b w:val="0"/>
                <w:i w:val="0"/>
                <w:sz w:val="17"/>
              </w:rPr>
              <w:t>CSV</w:t>
            </w:r>
          </w:p>
        </w:tc>
        <w:tc>
          <w:tcPr>
            <w:tcW w:type="dxa" w:w="4819"/>
          </w:tcPr>
          <w:p>
            <w:pPr>
              <w:spacing w:after="20" w:before="20" w:line="240" w:lineRule="auto"/>
            </w:pPr>
            <w:r/>
            <w:r>
              <w:rPr>
                <w:rFonts w:ascii="Arial" w:hAnsi="Arial" w:cs="Arial"/>
                <w:b w:val="0"/>
                <w:i w:val="0"/>
                <w:sz w:val="17"/>
              </w:rPr>
              <w:t>Comma-separated reconciliation table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13.3.7 Bank Reference Mapping &amp; Settlement Orchestration</w:t>
      </w:r>
    </w:p>
    <w:p>
      <w:pPr>
        <w:spacing w:after="80" w:line="293" w:lineRule="auto"/>
        <w:jc w:val="left"/>
      </w:pPr>
      <w:r>
        <w:rPr>
          <w:rFonts w:ascii="Times New Roman" w:hAnsi="Times New Roman" w:cs="Times New Roman"/>
          <w:b w:val="0"/>
          <w:i w:val="0"/>
          <w:sz w:val="22"/>
        </w:rPr>
        <w:t>Bank systems may use their own identifiers. SGTX maintains:</w:t>
      </w:r>
    </w:p>
    <w:p>
      <w:pPr>
        <w:spacing w:after="0" w:before="0" w:line="240" w:lineRule="auto"/>
        <w:ind w:left="57"/>
        <w:jc w:val="left"/>
        <w:shd w:val="clear" w:fill="F2F2F2"/>
      </w:pPr>
      <w:r>
        <w:rPr>
          <w:rFonts w:ascii="Consolas" w:hAnsi="Consolas" w:cs="Consolas"/>
          <w:b w:val="0"/>
          <w:i w:val="0"/>
          <w:sz w:val="15"/>
        </w:rPr>
        <w:t>USTN → SGTX Settlement Instruction ID → Settlement Leg ID →</w:t>
      </w:r>
    </w:p>
    <w:p>
      <w:pPr>
        <w:spacing w:after="0" w:before="0" w:line="240" w:lineRule="auto"/>
        <w:ind w:left="57"/>
        <w:jc w:val="left"/>
        <w:shd w:val="clear" w:fill="F2F2F2"/>
      </w:pPr>
      <w:r>
        <w:rPr>
          <w:rFonts w:ascii="Consolas" w:hAnsi="Consolas" w:cs="Consolas"/>
          <w:b w:val="0"/>
          <w:i w:val="0"/>
          <w:sz w:val="15"/>
        </w:rPr>
        <w:t>Bank Instruction ID → Bank Transaction Reference → External Payment Reference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ensures resilient cross-system correlation even if external systems transform, truncate, or replace references. USTN is the persistent cross-system namespace and correlation identity for a trade and its connected states, obligations, instructions, documents, logistics, regulatory references, financial events, evidence, and recovery events.</w:t>
      </w:r>
    </w:p>
    <w:p>
      <w:pPr>
        <w:spacing w:after="80" w:line="293" w:lineRule="auto"/>
        <w:jc w:val="left"/>
      </w:pPr>
      <w:r>
        <w:rPr>
          <w:rFonts w:ascii="Times New Roman" w:hAnsi="Times New Roman" w:cs="Times New Roman"/>
          <w:b w:val="0"/>
          <w:i w:val="0"/>
          <w:sz w:val="22"/>
        </w:rPr>
        <w:t>The Settlement Orchestration Control Plane is the logical bridge between the Obligation Graph and the Bank Settlement Gateway:</w:t>
      </w:r>
    </w:p>
    <w:p>
      <w:pPr>
        <w:spacing w:after="0" w:before="0" w:line="240" w:lineRule="auto"/>
        <w:ind w:left="57"/>
        <w:jc w:val="left"/>
        <w:shd w:val="clear" w:fill="F2F2F2"/>
      </w:pPr>
      <w:r>
        <w:rPr>
          <w:rFonts w:ascii="Consolas" w:hAnsi="Consolas" w:cs="Consolas"/>
          <w:b w:val="0"/>
          <w:i w:val="0"/>
          <w:sz w:val="15"/>
        </w:rPr>
        <w:t>Contract / Obligation Graph → Settlement Orchestration → Multi-Leg Settlement Instruction →</w:t>
      </w:r>
    </w:p>
    <w:p>
      <w:pPr>
        <w:spacing w:after="0" w:before="0" w:line="240" w:lineRule="auto"/>
        <w:ind w:left="57"/>
        <w:jc w:val="left"/>
        <w:shd w:val="clear" w:fill="F2F2F2"/>
      </w:pPr>
      <w:r>
        <w:rPr>
          <w:rFonts w:ascii="Consolas" w:hAnsi="Consolas" w:cs="Consolas"/>
          <w:b w:val="0"/>
          <w:i w:val="0"/>
          <w:sz w:val="15"/>
        </w:rPr>
        <w:t>Bank Settlement Gateway → Bank → Financial State → Reconciliation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It does not custody funds. The settlement graph hierarchy distinguishes: TRADE → CONTRACT → OBLIGATIONS → SETTLEMENT INSTRUCTIONS → SETTLEMENT LEG 1..N, alongside documents, logistics, customs, compliance, disputes, and recovery events. This prevents duplication and keeps parent/child relationships explicit.</w:t>
      </w:r>
    </w:p>
    <w:p>
      <w:pPr>
        <w:keepNext/>
        <w:spacing w:before="180" w:after="80"/>
        <w:outlineLvl w:val="2"/>
      </w:pPr>
      <w:r>
        <w:rPr>
          <w:rFonts w:ascii="Arial" w:hAnsi="Arial" w:cs="Arial"/>
          <w:b/>
          <w:i w:val="0"/>
          <w:color w:val="333333"/>
          <w:sz w:val="23"/>
        </w:rPr>
        <w:t>13.3.8 Technology Stack Alignment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Used For</w:t>
            </w:r>
          </w:p>
        </w:tc>
      </w:tr>
      <w:tr>
        <w:tc>
          <w:tcPr>
            <w:tcW w:type="dxa" w:w="4819"/>
          </w:tcPr>
          <w:p>
            <w:pPr>
              <w:spacing w:after="20" w:before="20" w:line="240" w:lineRule="auto"/>
            </w:pPr>
            <w:r/>
            <w:r>
              <w:rPr>
                <w:rFonts w:ascii="Arial" w:hAnsi="Arial" w:cs="Arial"/>
                <w:b w:val="0"/>
                <w:i w:val="0"/>
                <w:sz w:val="17"/>
              </w:rPr>
              <w:t>NATS JetStream</w:t>
            </w:r>
          </w:p>
        </w:tc>
        <w:tc>
          <w:tcPr>
            <w:tcW w:type="dxa" w:w="4819"/>
          </w:tcPr>
          <w:p>
            <w:pPr>
              <w:spacing w:after="20" w:before="20" w:line="240" w:lineRule="auto"/>
            </w:pPr>
            <w:r/>
            <w:r>
              <w:rPr>
                <w:rFonts w:ascii="Arial" w:hAnsi="Arial" w:cs="Arial"/>
                <w:b w:val="0"/>
                <w:i w:val="0"/>
                <w:sz w:val="17"/>
              </w:rPr>
              <w:t>Durable event streams; event propagation; integration events; asynchronous notifications; external event ingestion. NATS is transport/event infrastructure, not the ultimate historical authority by itself</w:t>
            </w:r>
          </w:p>
        </w:tc>
      </w:tr>
      <w:tr>
        <w:tc>
          <w:tcPr>
            <w:tcW w:type="dxa" w:w="4819"/>
          </w:tcPr>
          <w:p>
            <w:pPr>
              <w:spacing w:after="20" w:before="20" w:line="240" w:lineRule="auto"/>
            </w:pPr>
            <w:r/>
            <w:r>
              <w:rPr>
                <w:rFonts w:ascii="Arial" w:hAnsi="Arial" w:cs="Arial"/>
                <w:b w:val="0"/>
                <w:i w:val="0"/>
                <w:sz w:val="17"/>
              </w:rPr>
              <w:t>Temporal</w:t>
            </w:r>
          </w:p>
        </w:tc>
        <w:tc>
          <w:tcPr>
            <w:tcW w:type="dxa" w:w="4819"/>
          </w:tcPr>
          <w:p>
            <w:pPr>
              <w:spacing w:after="20" w:before="20" w:line="240" w:lineRule="auto"/>
            </w:pPr>
            <w:r/>
            <w:r>
              <w:rPr>
                <w:rFonts w:ascii="Arial" w:hAnsi="Arial" w:cs="Arial"/>
                <w:b w:val="0"/>
                <w:i w:val="0"/>
                <w:sz w:val="17"/>
              </w:rPr>
              <w:t>Long-running workflows; retries; compensation; recovery; reconciliation workflows; disputes; human approval; post-closure workflows; timeout orchestration. Temporal workflow state is not the canonical historical event record</w:t>
            </w:r>
          </w:p>
        </w:tc>
      </w:tr>
      <w:tr>
        <w:tc>
          <w:tcPr>
            <w:tcW w:type="dxa" w:w="4819"/>
          </w:tcPr>
          <w:p>
            <w:pPr>
              <w:spacing w:after="20" w:before="20" w:line="240" w:lineRule="auto"/>
            </w:pPr>
            <w:r/>
            <w:r>
              <w:rPr>
                <w:rFonts w:ascii="Arial" w:hAnsi="Arial" w:cs="Arial"/>
                <w:b w:val="0"/>
                <w:i w:val="0"/>
                <w:sz w:val="17"/>
              </w:rPr>
              <w:t>PostgreSQL</w:t>
            </w:r>
          </w:p>
        </w:tc>
        <w:tc>
          <w:tcPr>
            <w:tcW w:type="dxa" w:w="4819"/>
          </w:tcPr>
          <w:p>
            <w:pPr>
              <w:spacing w:after="20" w:before="20" w:line="240" w:lineRule="auto"/>
            </w:pPr>
            <w:r/>
            <w:r>
              <w:rPr>
                <w:rFonts w:ascii="Arial" w:hAnsi="Arial" w:cs="Arial"/>
                <w:b w:val="0"/>
                <w:i w:val="0"/>
                <w:sz w:val="17"/>
              </w:rPr>
              <w:t>Canonical relational metadata; state projections; authority mappings; policy references; obligation metadata; transaction projections; settlement instruction metadata; reconciliation cases</w:t>
            </w:r>
          </w:p>
        </w:tc>
      </w:tr>
      <w:tr>
        <w:tc>
          <w:tcPr>
            <w:tcW w:type="dxa" w:w="4819"/>
          </w:tcPr>
          <w:p>
            <w:pPr>
              <w:spacing w:after="20" w:before="20" w:line="240" w:lineRule="auto"/>
            </w:pPr>
            <w:r/>
            <w:r>
              <w:rPr>
                <w:rFonts w:ascii="Arial" w:hAnsi="Arial" w:cs="Arial"/>
                <w:b w:val="0"/>
                <w:i w:val="0"/>
                <w:sz w:val="17"/>
              </w:rPr>
              <w:t>ClickHouse</w:t>
            </w:r>
          </w:p>
        </w:tc>
        <w:tc>
          <w:tcPr>
            <w:tcW w:type="dxa" w:w="4819"/>
          </w:tcPr>
          <w:p>
            <w:pPr>
              <w:spacing w:after="20" w:before="20" w:line="240" w:lineRule="auto"/>
            </w:pPr>
            <w:r/>
            <w:r>
              <w:rPr>
                <w:rFonts w:ascii="Arial" w:hAnsi="Arial" w:cs="Arial"/>
                <w:b w:val="0"/>
                <w:i w:val="0"/>
                <w:sz w:val="17"/>
              </w:rPr>
              <w:t>Historical analytics; reconciliation analytics; exception analytics; operational intelligence; institutional reporting; trend analysis. ClickHouse is not the authoritative transactional state store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13.3.9 Dispatch Pipeline (pain.001 Construction &amp; Submission)</w:t>
      </w:r>
    </w:p>
    <w:p>
      <w:pPr>
        <w:spacing w:after="80" w:line="293" w:lineRule="auto"/>
        <w:jc w:val="left"/>
      </w:pPr>
      <w:r>
        <w:rPr>
          <w:rFonts w:ascii="Times New Roman" w:hAnsi="Times New Roman" w:cs="Times New Roman"/>
          <w:b w:val="0"/>
          <w:i w:val="0"/>
          <w:sz w:val="22"/>
        </w:rPr>
        <w:t>The Bank Settlement Gateway (BSG) replaces any payment-service-provider routing. Dispatch logic:</w:t>
      </w:r>
    </w:p>
    <w:p>
      <w:pPr>
        <w:spacing w:after="80" w:line="293" w:lineRule="auto"/>
        <w:jc w:val="left"/>
      </w:pPr>
      <w:r>
        <w:rPr>
          <w:rFonts w:ascii="Times New Roman" w:hAnsi="Times New Roman" w:cs="Times New Roman"/>
          <w:b w:val="0"/>
          <w:i w:val="0"/>
          <w:sz w:val="22"/>
        </w:rPr>
        <w:t>Select the buyer's mandated bank per funding currency (from bank_capability_registry)</w:t>
      </w:r>
    </w:p>
    <w:p>
      <w:pPr>
        <w:spacing w:after="80" w:line="293" w:lineRule="auto"/>
        <w:jc w:val="left"/>
      </w:pPr>
      <w:r>
        <w:rPr>
          <w:rFonts w:ascii="Times New Roman" w:hAnsi="Times New Roman" w:cs="Times New Roman"/>
          <w:b w:val="0"/>
          <w:i w:val="0"/>
          <w:sz w:val="22"/>
        </w:rPr>
        <w:t>Construct one pain.001 batch per currency; legs carry structured USTN remittance (Section 13.1.4)</w:t>
      </w:r>
    </w:p>
    <w:p>
      <w:pPr>
        <w:spacing w:after="80" w:line="293" w:lineRule="auto"/>
        <w:jc w:val="left"/>
      </w:pPr>
      <w:r>
        <w:rPr>
          <w:rFonts w:ascii="Times New Roman" w:hAnsi="Times New Roman" w:cs="Times New Roman"/>
          <w:b w:val="0"/>
          <w:i w:val="0"/>
          <w:sz w:val="22"/>
        </w:rPr>
        <w:t>Submit via the bank's declared integration tier (API / H2H / SFTP) with mTLS and message signing</w:t>
      </w:r>
    </w:p>
    <w:p>
      <w:pPr>
        <w:spacing w:after="80" w:line="293" w:lineRule="auto"/>
        <w:jc w:val="left"/>
      </w:pPr>
      <w:r>
        <w:rPr>
          <w:rFonts w:ascii="Times New Roman" w:hAnsi="Times New Roman" w:cs="Times New Roman"/>
          <w:b w:val="0"/>
          <w:i w:val="0"/>
          <w:sz w:val="22"/>
        </w:rPr>
        <w:t>Track bank acknowledgments (pain.002) and confirmations (camt.054; SWIFT gpi UETR for cross-border)</w:t>
      </w:r>
    </w:p>
    <w:p>
      <w:pPr>
        <w:spacing w:after="80" w:line="293" w:lineRule="auto"/>
        <w:jc w:val="left"/>
      </w:pPr>
      <w:r>
        <w:rPr>
          <w:rFonts w:ascii="Times New Roman" w:hAnsi="Times New Roman" w:cs="Times New Roman"/>
          <w:b w:val="0"/>
          <w:i w:val="0"/>
          <w:sz w:val="22"/>
        </w:rPr>
        <w:t>On tier-3 banks without camt.054 support: fall back to statement-based reconciliation (MT940 / ISO 20022 statements) with manual review where confidence &lt; 95%</w:t>
      </w:r>
    </w:p>
    <w:p>
      <w:pPr>
        <w:spacing w:after="80" w:line="293" w:lineRule="auto"/>
        <w:jc w:val="left"/>
      </w:pPr>
      <w:r>
        <w:rPr>
          <w:rFonts w:ascii="Times New Roman" w:hAnsi="Times New Roman" w:cs="Times New Roman"/>
          <w:b w:val="0"/>
          <w:i w:val="0"/>
          <w:sz w:val="22"/>
        </w:rPr>
        <w:t>AI Assistance: A1 (Groq) generates plain-language dispatch/status explanations for tenant messages. AI never dispatches or confirms payments.</w:t>
      </w:r>
    </w:p>
    <w:p>
      <w:pPr>
        <w:keepNext/>
        <w:spacing w:before="240" w:after="100"/>
        <w:outlineLvl w:val="1"/>
      </w:pPr>
      <w:r>
        <w:rPr>
          <w:rFonts w:ascii="Arial" w:hAnsi="Arial" w:cs="Arial"/>
          <w:b/>
          <w:i w:val="0"/>
          <w:color w:val="2E528F"/>
          <w:sz w:val="26"/>
        </w:rPr>
        <w:t>13.4 One-Click Payment Orchestration &amp; Multi-Leg Direct Settlement</w:t>
      </w:r>
    </w:p>
    <w:p>
      <w:pPr>
        <w:keepNext/>
        <w:spacing w:before="180" w:after="80"/>
        <w:outlineLvl w:val="2"/>
      </w:pPr>
      <w:r>
        <w:rPr>
          <w:rFonts w:ascii="Arial" w:hAnsi="Arial" w:cs="Arial"/>
          <w:b/>
          <w:i w:val="0"/>
          <w:color w:val="333333"/>
          <w:sz w:val="23"/>
        </w:rPr>
        <w:t>13.4.1 Purpose &amp; Two-Stage Model</w:t>
      </w:r>
    </w:p>
    <w:p>
      <w:pPr>
        <w:spacing w:after="80" w:line="293" w:lineRule="auto"/>
        <w:jc w:val="left"/>
      </w:pPr>
      <w:r>
        <w:rPr>
          <w:rFonts w:ascii="Times New Roman" w:hAnsi="Times New Roman" w:cs="Times New Roman"/>
          <w:b w:val="0"/>
          <w:i w:val="0"/>
          <w:sz w:val="22"/>
        </w:rPr>
        <w:t>The One-Click Payment Orchestration module is the financial engine for mandatory payments: the SGTX platform fee (Dynamic Fee Engine charge on the Canonical Fee Basis, paid by each country's side), government duties, inspection fees, certificate fees, port charges, and logistics costs. Every mandatory payment is aggregated into a single payment at the appropriate stage, then automatically split to the respective recipients (government agencies, SGTX, laboratories, customs brokers, trucking companies). The seller's side (or buyer's side depending on Incoterm) pays once; the platform dispatches a multi-leg settlement (one pain.001 batch per funding currency) under the payer's signed bank mandate, and each payee receives its net amount directly from the bank.</w:t>
      </w:r>
    </w:p>
    <w:p>
      <w:pPr>
        <w:spacing w:after="80" w:line="293" w:lineRule="auto"/>
        <w:jc w:val="left"/>
      </w:pPr>
      <w:r>
        <w:rPr>
          <w:rFonts w:ascii="Times New Roman" w:hAnsi="Times New Roman" w:cs="Times New Roman"/>
          <w:b w:val="0"/>
          <w:i w:val="0"/>
          <w:sz w:val="22"/>
        </w:rPr>
        <w:t>Two-stage model (based on the export process):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Stage</w:t>
            </w:r>
          </w:p>
        </w:tc>
        <w:tc>
          <w:tcPr>
            <w:tcW w:type="dxa" w:w="2409"/>
            <w:shd w:val="clear" w:fill="D9E2F3"/>
          </w:tcPr>
          <w:p>
            <w:pPr>
              <w:spacing w:after="20" w:before="20" w:line="240" w:lineRule="auto"/>
            </w:pPr>
            <w:r/>
            <w:r>
              <w:rPr>
                <w:rFonts w:ascii="Arial" w:hAnsi="Arial" w:cs="Arial"/>
                <w:b/>
                <w:i w:val="0"/>
                <w:sz w:val="18"/>
              </w:rPr>
              <w:t>Timing</w:t>
            </w:r>
          </w:p>
        </w:tc>
        <w:tc>
          <w:tcPr>
            <w:tcW w:type="dxa" w:w="2409"/>
            <w:shd w:val="clear" w:fill="D9E2F3"/>
          </w:tcPr>
          <w:p>
            <w:pPr>
              <w:spacing w:after="20" w:before="20" w:line="240" w:lineRule="auto"/>
            </w:pPr>
            <w:r/>
            <w:r>
              <w:rPr>
                <w:rFonts w:ascii="Arial" w:hAnsi="Arial" w:cs="Arial"/>
                <w:b/>
                <w:i w:val="0"/>
                <w:sz w:val="18"/>
              </w:rPr>
              <w:t>Payer</w:t>
            </w:r>
          </w:p>
        </w:tc>
        <w:tc>
          <w:tcPr>
            <w:tcW w:type="dxa" w:w="2409"/>
            <w:shd w:val="clear" w:fill="D9E2F3"/>
          </w:tcPr>
          <w:p>
            <w:pPr>
              <w:spacing w:after="20" w:before="20" w:line="240" w:lineRule="auto"/>
            </w:pPr>
            <w:r/>
            <w:r>
              <w:rPr>
                <w:rFonts w:ascii="Arial" w:hAnsi="Arial" w:cs="Arial"/>
                <w:b/>
                <w:i w:val="0"/>
                <w:sz w:val="18"/>
              </w:rPr>
              <w:t>Contents</w:t>
            </w:r>
          </w:p>
        </w:tc>
      </w:tr>
      <w:tr>
        <w:tc>
          <w:tcPr>
            <w:tcW w:type="dxa" w:w="2409"/>
          </w:tcPr>
          <w:p>
            <w:pPr>
              <w:spacing w:after="20" w:before="20" w:line="240" w:lineRule="auto"/>
            </w:pPr>
            <w:r/>
            <w:r>
              <w:rPr>
                <w:rFonts w:ascii="Arial" w:hAnsi="Arial" w:cs="Arial"/>
                <w:b w:val="0"/>
                <w:i w:val="0"/>
                <w:sz w:val="17"/>
              </w:rPr>
              <w:t>Stage 1</w:t>
            </w:r>
          </w:p>
        </w:tc>
        <w:tc>
          <w:tcPr>
            <w:tcW w:type="dxa" w:w="2409"/>
          </w:tcPr>
          <w:p>
            <w:pPr>
              <w:spacing w:after="20" w:before="20" w:line="240" w:lineRule="auto"/>
            </w:pPr>
            <w:r/>
            <w:r>
              <w:rPr>
                <w:rFonts w:ascii="Arial" w:hAnsi="Arial" w:cs="Arial"/>
                <w:b w:val="0"/>
                <w:i w:val="0"/>
                <w:sz w:val="17"/>
              </w:rPr>
              <w:t>Pre-shipment</w:t>
            </w:r>
          </w:p>
        </w:tc>
        <w:tc>
          <w:tcPr>
            <w:tcW w:type="dxa" w:w="2409"/>
          </w:tcPr>
          <w:p>
            <w:pPr>
              <w:spacing w:after="20" w:before="20" w:line="240" w:lineRule="auto"/>
            </w:pPr>
            <w:r/>
            <w:r>
              <w:rPr>
                <w:rFonts w:ascii="Arial" w:hAnsi="Arial" w:cs="Arial"/>
                <w:b w:val="0"/>
                <w:i w:val="0"/>
                <w:sz w:val="17"/>
              </w:rPr>
              <w:t>Seller's side</w:t>
            </w:r>
          </w:p>
        </w:tc>
        <w:tc>
          <w:tcPr>
            <w:tcW w:type="dxa" w:w="2409"/>
          </w:tcPr>
          <w:p>
            <w:pPr>
              <w:spacing w:after="20" w:before="20" w:line="240" w:lineRule="auto"/>
            </w:pPr>
            <w:r/>
            <w:r>
              <w:rPr>
                <w:rFonts w:ascii="Arial" w:hAnsi="Arial" w:cs="Arial"/>
                <w:b w:val="0"/>
                <w:i w:val="0"/>
                <w:sz w:val="17"/>
              </w:rPr>
              <w:t>SGTX fee, customs inspection, certificates, lab, broker, trucking, port charges, ACI filing, insurance</w:t>
            </w:r>
          </w:p>
        </w:tc>
      </w:tr>
      <w:tr>
        <w:tc>
          <w:tcPr>
            <w:tcW w:type="dxa" w:w="2409"/>
          </w:tcPr>
          <w:p>
            <w:pPr>
              <w:spacing w:after="20" w:before="20" w:line="240" w:lineRule="auto"/>
            </w:pPr>
            <w:r/>
            <w:r>
              <w:rPr>
                <w:rFonts w:ascii="Arial" w:hAnsi="Arial" w:cs="Arial"/>
                <w:b w:val="0"/>
                <w:i w:val="0"/>
                <w:sz w:val="17"/>
              </w:rPr>
              <w:t>Stage 2</w:t>
            </w:r>
          </w:p>
        </w:tc>
        <w:tc>
          <w:tcPr>
            <w:tcW w:type="dxa" w:w="2409"/>
          </w:tcPr>
          <w:p>
            <w:pPr>
              <w:spacing w:after="20" w:before="20" w:line="240" w:lineRule="auto"/>
            </w:pPr>
            <w:r/>
            <w:r>
              <w:rPr>
                <w:rFonts w:ascii="Arial" w:hAnsi="Arial" w:cs="Arial"/>
                <w:b w:val="0"/>
                <w:i w:val="0"/>
                <w:sz w:val="17"/>
              </w:rPr>
              <w:t>Post-departure</w:t>
            </w:r>
          </w:p>
        </w:tc>
        <w:tc>
          <w:tcPr>
            <w:tcW w:type="dxa" w:w="2409"/>
          </w:tcPr>
          <w:p>
            <w:pPr>
              <w:spacing w:after="20" w:before="20" w:line="240" w:lineRule="auto"/>
            </w:pPr>
            <w:r/>
            <w:r>
              <w:rPr>
                <w:rFonts w:ascii="Arial" w:hAnsi="Arial" w:cs="Arial"/>
                <w:b w:val="0"/>
                <w:i w:val="0"/>
                <w:sz w:val="17"/>
              </w:rPr>
              <w:t>Seller or buyer</w:t>
            </w:r>
          </w:p>
        </w:tc>
        <w:tc>
          <w:tcPr>
            <w:tcW w:type="dxa" w:w="2409"/>
          </w:tcPr>
          <w:p>
            <w:pPr>
              <w:spacing w:after="20" w:before="20" w:line="240" w:lineRule="auto"/>
            </w:pPr>
            <w:r/>
            <w:r>
              <w:rPr>
                <w:rFonts w:ascii="Arial" w:hAnsi="Arial" w:cs="Arial"/>
                <w:b w:val="0"/>
                <w:i w:val="0"/>
                <w:sz w:val="17"/>
              </w:rPr>
              <w:t>Ocean freight (often CREDIT), destination charges; the buyer's import-side batch (duties, VAT, destination THC) is a separate single payment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core principle: the user sees one payment button for Stage 1 and one for Stage 2. Behind the scenes, the system calculates the exact amounts due to each payee, generates the settlement legs, dispatches the ISO 20022 pain.001 batch to the mandated bank, and verifies all camt.054 / gpi confirmations. There are no separate payments for customs, labs, or certificates.</w:t>
      </w:r>
    </w:p>
    <w:p>
      <w:pPr>
        <w:spacing w:after="80" w:line="293" w:lineRule="auto"/>
        <w:jc w:val="left"/>
      </w:pPr>
      <w:r>
        <w:rPr>
          <w:rFonts w:ascii="Times New Roman" w:hAnsi="Times New Roman" w:cs="Times New Roman"/>
          <w:b w:val="0"/>
          <w:i w:val="0"/>
          <w:sz w:val="22"/>
        </w:rPr>
        <w:t>Non-custodial: SGTX never holds funds. The bank executes the multi-leg split directly from the payer's account, and each net amount lands in the payee's bank account; SGTX only receives and verifies bank confirmations.</w:t>
      </w:r>
    </w:p>
    <w:p>
      <w:pPr>
        <w:keepNext/>
        <w:spacing w:before="180" w:after="80"/>
        <w:outlineLvl w:val="2"/>
      </w:pPr>
      <w:r>
        <w:rPr>
          <w:rFonts w:ascii="Arial" w:hAnsi="Arial" w:cs="Arial"/>
          <w:b/>
          <w:i w:val="0"/>
          <w:color w:val="333333"/>
          <w:sz w:val="23"/>
        </w:rPr>
        <w:t>13.4.2 Stage 1 — Pre-Shipment Payment (Seller's Side Pays)</w:t>
      </w:r>
    </w:p>
    <w:p>
      <w:pPr>
        <w:spacing w:after="80" w:line="293" w:lineRule="auto"/>
        <w:jc w:val="left"/>
      </w:pPr>
      <w:r>
        <w:rPr>
          <w:rFonts w:ascii="Times New Roman" w:hAnsi="Times New Roman" w:cs="Times New Roman"/>
          <w:b w:val="0"/>
          <w:i w:val="0"/>
          <w:sz w:val="22"/>
        </w:rPr>
        <w:t>For an agricultural export, Stage 1 includes (illustrative amounts based on a $100,000 Canonical Fee Basis at an indicative engine rate of 0.144% → SGTX fee = $144.00):</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Payee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Amount</w:t>
            </w:r>
          </w:p>
        </w:tc>
      </w:tr>
      <w:tr>
        <w:tc>
          <w:tcPr>
            <w:tcW w:type="dxa" w:w="3213"/>
          </w:tcPr>
          <w:p>
            <w:pPr>
              <w:spacing w:after="20" w:before="20" w:line="240" w:lineRule="auto"/>
            </w:pPr>
            <w:r/>
            <w:r>
              <w:rPr>
                <w:rFonts w:ascii="Arial" w:hAnsi="Arial" w:cs="Arial"/>
                <w:b w:val="0"/>
                <w:i w:val="0"/>
                <w:sz w:val="17"/>
              </w:rPr>
              <w:t>SGTX-PLATFORM</w:t>
            </w:r>
          </w:p>
        </w:tc>
        <w:tc>
          <w:tcPr>
            <w:tcW w:type="dxa" w:w="3213"/>
          </w:tcPr>
          <w:p>
            <w:pPr>
              <w:spacing w:after="20" w:before="20" w:line="240" w:lineRule="auto"/>
            </w:pPr>
            <w:r/>
            <w:r>
              <w:rPr>
                <w:rFonts w:ascii="Arial" w:hAnsi="Arial" w:cs="Arial"/>
                <w:b w:val="0"/>
                <w:i w:val="0"/>
                <w:sz w:val="17"/>
              </w:rPr>
              <w:t>SGTX platform fee (engine-determined)</w:t>
            </w:r>
          </w:p>
        </w:tc>
        <w:tc>
          <w:tcPr>
            <w:tcW w:type="dxa" w:w="3213"/>
          </w:tcPr>
          <w:p>
            <w:pPr>
              <w:spacing w:after="20" w:before="20" w:line="240" w:lineRule="auto"/>
            </w:pPr>
            <w:r/>
            <w:r>
              <w:rPr>
                <w:rFonts w:ascii="Arial" w:hAnsi="Arial" w:cs="Arial"/>
                <w:b w:val="0"/>
                <w:i w:val="0"/>
                <w:sz w:val="17"/>
              </w:rPr>
              <w:t>$144.00</w:t>
            </w:r>
          </w:p>
        </w:tc>
      </w:tr>
      <w:tr>
        <w:tc>
          <w:tcPr>
            <w:tcW w:type="dxa" w:w="3213"/>
          </w:tcPr>
          <w:p>
            <w:pPr>
              <w:spacing w:after="20" w:before="20" w:line="240" w:lineRule="auto"/>
            </w:pPr>
            <w:r/>
            <w:r>
              <w:rPr>
                <w:rFonts w:ascii="Arial" w:hAnsi="Arial" w:cs="Arial"/>
                <w:b w:val="0"/>
                <w:i w:val="0"/>
                <w:sz w:val="17"/>
              </w:rPr>
              <w:t>EG-CUSTOMS</w:t>
            </w:r>
          </w:p>
        </w:tc>
        <w:tc>
          <w:tcPr>
            <w:tcW w:type="dxa" w:w="3213"/>
          </w:tcPr>
          <w:p>
            <w:pPr>
              <w:spacing w:after="20" w:before="20" w:line="240" w:lineRule="auto"/>
            </w:pPr>
            <w:r/>
            <w:r>
              <w:rPr>
                <w:rFonts w:ascii="Arial" w:hAnsi="Arial" w:cs="Arial"/>
                <w:b w:val="0"/>
                <w:i w:val="0"/>
                <w:sz w:val="17"/>
              </w:rPr>
              <w:t>Customs inspection fee</w:t>
            </w:r>
          </w:p>
        </w:tc>
        <w:tc>
          <w:tcPr>
            <w:tcW w:type="dxa" w:w="3213"/>
          </w:tcPr>
          <w:p>
            <w:pPr>
              <w:spacing w:after="20" w:before="20" w:line="240" w:lineRule="auto"/>
            </w:pPr>
            <w:r/>
            <w:r>
              <w:rPr>
                <w:rFonts w:ascii="Arial" w:hAnsi="Arial" w:cs="Arial"/>
                <w:b w:val="0"/>
                <w:i w:val="0"/>
                <w:sz w:val="17"/>
              </w:rPr>
              <w:t>$200.00</w:t>
            </w:r>
          </w:p>
        </w:tc>
      </w:tr>
      <w:tr>
        <w:tc>
          <w:tcPr>
            <w:tcW w:type="dxa" w:w="3213"/>
          </w:tcPr>
          <w:p>
            <w:pPr>
              <w:spacing w:after="20" w:before="20" w:line="240" w:lineRule="auto"/>
            </w:pPr>
            <w:r/>
            <w:r>
              <w:rPr>
                <w:rFonts w:ascii="Arial" w:hAnsi="Arial" w:cs="Arial"/>
                <w:b w:val="0"/>
                <w:i w:val="0"/>
                <w:sz w:val="17"/>
              </w:rPr>
              <w:t>EG-PLANT-QUARANTINE</w:t>
            </w:r>
          </w:p>
        </w:tc>
        <w:tc>
          <w:tcPr>
            <w:tcW w:type="dxa" w:w="3213"/>
          </w:tcPr>
          <w:p>
            <w:pPr>
              <w:spacing w:after="20" w:before="20" w:line="240" w:lineRule="auto"/>
            </w:pPr>
            <w:r/>
            <w:r>
              <w:rPr>
                <w:rFonts w:ascii="Arial" w:hAnsi="Arial" w:cs="Arial"/>
                <w:b w:val="0"/>
                <w:i w:val="0"/>
                <w:sz w:val="17"/>
              </w:rPr>
              <w:t>Phytosanitary certificate</w:t>
            </w:r>
          </w:p>
        </w:tc>
        <w:tc>
          <w:tcPr>
            <w:tcW w:type="dxa" w:w="3213"/>
          </w:tcPr>
          <w:p>
            <w:pPr>
              <w:spacing w:after="20" w:before="20" w:line="240" w:lineRule="auto"/>
            </w:pPr>
            <w:r/>
            <w:r>
              <w:rPr>
                <w:rFonts w:ascii="Arial" w:hAnsi="Arial" w:cs="Arial"/>
                <w:b w:val="0"/>
                <w:i w:val="0"/>
                <w:sz w:val="17"/>
              </w:rPr>
              <w:t>$50.00</w:t>
            </w:r>
          </w:p>
        </w:tc>
      </w:tr>
      <w:tr>
        <w:tc>
          <w:tcPr>
            <w:tcW w:type="dxa" w:w="3213"/>
          </w:tcPr>
          <w:p>
            <w:pPr>
              <w:spacing w:after="20" w:before="20" w:line="240" w:lineRule="auto"/>
            </w:pPr>
            <w:r/>
            <w:r>
              <w:rPr>
                <w:rFonts w:ascii="Arial" w:hAnsi="Arial" w:cs="Arial"/>
                <w:b w:val="0"/>
                <w:i w:val="0"/>
                <w:sz w:val="17"/>
              </w:rPr>
              <w:t>EG-NFSA</w:t>
            </w:r>
          </w:p>
        </w:tc>
        <w:tc>
          <w:tcPr>
            <w:tcW w:type="dxa" w:w="3213"/>
          </w:tcPr>
          <w:p>
            <w:pPr>
              <w:spacing w:after="20" w:before="20" w:line="240" w:lineRule="auto"/>
            </w:pPr>
            <w:r/>
            <w:r>
              <w:rPr>
                <w:rFonts w:ascii="Arial" w:hAnsi="Arial" w:cs="Arial"/>
                <w:b w:val="0"/>
                <w:i w:val="0"/>
                <w:sz w:val="17"/>
              </w:rPr>
              <w:t>Health certificate</w:t>
            </w:r>
          </w:p>
        </w:tc>
        <w:tc>
          <w:tcPr>
            <w:tcW w:type="dxa" w:w="3213"/>
          </w:tcPr>
          <w:p>
            <w:pPr>
              <w:spacing w:after="20" w:before="20" w:line="240" w:lineRule="auto"/>
            </w:pPr>
            <w:r/>
            <w:r>
              <w:rPr>
                <w:rFonts w:ascii="Arial" w:hAnsi="Arial" w:cs="Arial"/>
                <w:b w:val="0"/>
                <w:i w:val="0"/>
                <w:sz w:val="17"/>
              </w:rPr>
              <w:t>$40.00</w:t>
            </w:r>
          </w:p>
        </w:tc>
      </w:tr>
      <w:tr>
        <w:tc>
          <w:tcPr>
            <w:tcW w:type="dxa" w:w="3213"/>
          </w:tcPr>
          <w:p>
            <w:pPr>
              <w:spacing w:after="20" w:before="20" w:line="240" w:lineRule="auto"/>
            </w:pPr>
            <w:r/>
            <w:r>
              <w:rPr>
                <w:rFonts w:ascii="Arial" w:hAnsi="Arial" w:cs="Arial"/>
                <w:b w:val="0"/>
                <w:i w:val="0"/>
                <w:sz w:val="17"/>
              </w:rPr>
              <w:t>EG-CHAMBER</w:t>
            </w:r>
          </w:p>
        </w:tc>
        <w:tc>
          <w:tcPr>
            <w:tcW w:type="dxa" w:w="3213"/>
          </w:tcPr>
          <w:p>
            <w:pPr>
              <w:spacing w:after="20" w:before="20" w:line="240" w:lineRule="auto"/>
            </w:pPr>
            <w:r/>
            <w:r>
              <w:rPr>
                <w:rFonts w:ascii="Arial" w:hAnsi="Arial" w:cs="Arial"/>
                <w:b w:val="0"/>
                <w:i w:val="0"/>
                <w:sz w:val="17"/>
              </w:rPr>
              <w:t>Certificate of Origin</w:t>
            </w:r>
          </w:p>
        </w:tc>
        <w:tc>
          <w:tcPr>
            <w:tcW w:type="dxa" w:w="3213"/>
          </w:tcPr>
          <w:p>
            <w:pPr>
              <w:spacing w:after="20" w:before="20" w:line="240" w:lineRule="auto"/>
            </w:pPr>
            <w:r/>
            <w:r>
              <w:rPr>
                <w:rFonts w:ascii="Arial" w:hAnsi="Arial" w:cs="Arial"/>
                <w:b w:val="0"/>
                <w:i w:val="0"/>
                <w:sz w:val="17"/>
              </w:rPr>
              <w:t>$25.00</w:t>
            </w:r>
          </w:p>
        </w:tc>
      </w:tr>
      <w:tr>
        <w:tc>
          <w:tcPr>
            <w:tcW w:type="dxa" w:w="3213"/>
          </w:tcPr>
          <w:p>
            <w:pPr>
              <w:spacing w:after="20" w:before="20" w:line="240" w:lineRule="auto"/>
            </w:pPr>
            <w:r/>
            <w:r>
              <w:rPr>
                <w:rFonts w:ascii="Arial" w:hAnsi="Arial" w:cs="Arial"/>
                <w:b w:val="0"/>
                <w:i w:val="0"/>
                <w:sz w:val="17"/>
              </w:rPr>
              <w:t>SGTX-EG-LAB-001</w:t>
            </w:r>
          </w:p>
        </w:tc>
        <w:tc>
          <w:tcPr>
            <w:tcW w:type="dxa" w:w="3213"/>
          </w:tcPr>
          <w:p>
            <w:pPr>
              <w:spacing w:after="20" w:before="20" w:line="240" w:lineRule="auto"/>
            </w:pPr>
            <w:r/>
            <w:r>
              <w:rPr>
                <w:rFonts w:ascii="Arial" w:hAnsi="Arial" w:cs="Arial"/>
                <w:b w:val="0"/>
                <w:i w:val="0"/>
                <w:sz w:val="17"/>
              </w:rPr>
              <w:t>Laboratory test</w:t>
            </w:r>
          </w:p>
        </w:tc>
        <w:tc>
          <w:tcPr>
            <w:tcW w:type="dxa" w:w="3213"/>
          </w:tcPr>
          <w:p>
            <w:pPr>
              <w:spacing w:after="20" w:before="20" w:line="240" w:lineRule="auto"/>
            </w:pPr>
            <w:r/>
            <w:r>
              <w:rPr>
                <w:rFonts w:ascii="Arial" w:hAnsi="Arial" w:cs="Arial"/>
                <w:b w:val="0"/>
                <w:i w:val="0"/>
                <w:sz w:val="17"/>
              </w:rPr>
              <w:t>$200.00</w:t>
            </w:r>
          </w:p>
        </w:tc>
      </w:tr>
      <w:tr>
        <w:tc>
          <w:tcPr>
            <w:tcW w:type="dxa" w:w="3213"/>
          </w:tcPr>
          <w:p>
            <w:pPr>
              <w:spacing w:after="20" w:before="20" w:line="240" w:lineRule="auto"/>
            </w:pPr>
            <w:r/>
            <w:r>
              <w:rPr>
                <w:rFonts w:ascii="Arial" w:hAnsi="Arial" w:cs="Arial"/>
                <w:b w:val="0"/>
                <w:i w:val="0"/>
                <w:sz w:val="17"/>
              </w:rPr>
              <w:t>SGTX-EG-CBR-001</w:t>
            </w:r>
          </w:p>
        </w:tc>
        <w:tc>
          <w:tcPr>
            <w:tcW w:type="dxa" w:w="3213"/>
          </w:tcPr>
          <w:p>
            <w:pPr>
              <w:spacing w:after="20" w:before="20" w:line="240" w:lineRule="auto"/>
            </w:pPr>
            <w:r/>
            <w:r>
              <w:rPr>
                <w:rFonts w:ascii="Arial" w:hAnsi="Arial" w:cs="Arial"/>
                <w:b w:val="0"/>
                <w:i w:val="0"/>
                <w:sz w:val="17"/>
              </w:rPr>
              <w:t>Broker certification</w:t>
            </w:r>
          </w:p>
        </w:tc>
        <w:tc>
          <w:tcPr>
            <w:tcW w:type="dxa" w:w="3213"/>
          </w:tcPr>
          <w:p>
            <w:pPr>
              <w:spacing w:after="20" w:before="20" w:line="240" w:lineRule="auto"/>
            </w:pPr>
            <w:r/>
            <w:r>
              <w:rPr>
                <w:rFonts w:ascii="Arial" w:hAnsi="Arial" w:cs="Arial"/>
                <w:b w:val="0"/>
                <w:i w:val="0"/>
                <w:sz w:val="17"/>
              </w:rPr>
              <w:t>$150.00</w:t>
            </w:r>
          </w:p>
        </w:tc>
      </w:tr>
      <w:tr>
        <w:tc>
          <w:tcPr>
            <w:tcW w:type="dxa" w:w="3213"/>
          </w:tcPr>
          <w:p>
            <w:pPr>
              <w:spacing w:after="20" w:before="20" w:line="240" w:lineRule="auto"/>
            </w:pPr>
            <w:r/>
            <w:r>
              <w:rPr>
                <w:rFonts w:ascii="Arial" w:hAnsi="Arial" w:cs="Arial"/>
                <w:b w:val="0"/>
                <w:i w:val="0"/>
                <w:sz w:val="17"/>
              </w:rPr>
              <w:t>SGTX-EG-LSP-001</w:t>
            </w:r>
          </w:p>
        </w:tc>
        <w:tc>
          <w:tcPr>
            <w:tcW w:type="dxa" w:w="3213"/>
          </w:tcPr>
          <w:p>
            <w:pPr>
              <w:spacing w:after="20" w:before="20" w:line="240" w:lineRule="auto"/>
            </w:pPr>
            <w:r/>
            <w:r>
              <w:rPr>
                <w:rFonts w:ascii="Arial" w:hAnsi="Arial" w:cs="Arial"/>
                <w:b w:val="0"/>
                <w:i w:val="0"/>
                <w:sz w:val="17"/>
              </w:rPr>
              <w:t>Trucking</w:t>
            </w:r>
          </w:p>
        </w:tc>
        <w:tc>
          <w:tcPr>
            <w:tcW w:type="dxa" w:w="3213"/>
          </w:tcPr>
          <w:p>
            <w:pPr>
              <w:spacing w:after="20" w:before="20" w:line="240" w:lineRule="auto"/>
            </w:pPr>
            <w:r/>
            <w:r>
              <w:rPr>
                <w:rFonts w:ascii="Arial" w:hAnsi="Arial" w:cs="Arial"/>
                <w:b w:val="0"/>
                <w:i w:val="0"/>
                <w:sz w:val="17"/>
              </w:rPr>
              <w:t>$300.00</w:t>
            </w:r>
          </w:p>
        </w:tc>
      </w:tr>
      <w:tr>
        <w:tc>
          <w:tcPr>
            <w:tcW w:type="dxa" w:w="3213"/>
          </w:tcPr>
          <w:p>
            <w:pPr>
              <w:spacing w:after="20" w:before="20" w:line="240" w:lineRule="auto"/>
            </w:pPr>
            <w:r/>
            <w:r>
              <w:rPr>
                <w:rFonts w:ascii="Arial" w:hAnsi="Arial" w:cs="Arial"/>
                <w:b w:val="0"/>
                <w:i w:val="0"/>
                <w:sz w:val="17"/>
              </w:rPr>
              <w:t>EG-PORT</w:t>
            </w:r>
          </w:p>
        </w:tc>
        <w:tc>
          <w:tcPr>
            <w:tcW w:type="dxa" w:w="3213"/>
          </w:tcPr>
          <w:p>
            <w:pPr>
              <w:spacing w:after="20" w:before="20" w:line="240" w:lineRule="auto"/>
            </w:pPr>
            <w:r/>
            <w:r>
              <w:rPr>
                <w:rFonts w:ascii="Arial" w:hAnsi="Arial" w:cs="Arial"/>
                <w:b w:val="0"/>
                <w:i w:val="0"/>
                <w:sz w:val="17"/>
              </w:rPr>
              <w:t>Terminal Handling Charge</w:t>
            </w:r>
          </w:p>
        </w:tc>
        <w:tc>
          <w:tcPr>
            <w:tcW w:type="dxa" w:w="3213"/>
          </w:tcPr>
          <w:p>
            <w:pPr>
              <w:spacing w:after="20" w:before="20" w:line="240" w:lineRule="auto"/>
            </w:pPr>
            <w:r/>
            <w:r>
              <w:rPr>
                <w:rFonts w:ascii="Arial" w:hAnsi="Arial" w:cs="Arial"/>
                <w:b w:val="0"/>
                <w:i w:val="0"/>
                <w:sz w:val="17"/>
              </w:rPr>
              <w:t>$150.00</w:t>
            </w:r>
          </w:p>
        </w:tc>
      </w:tr>
      <w:tr>
        <w:tc>
          <w:tcPr>
            <w:tcW w:type="dxa" w:w="3213"/>
          </w:tcPr>
          <w:p>
            <w:pPr>
              <w:spacing w:after="20" w:before="20" w:line="240" w:lineRule="auto"/>
            </w:pPr>
            <w:r/>
            <w:r>
              <w:rPr>
                <w:rFonts w:ascii="Arial" w:hAnsi="Arial" w:cs="Arial"/>
                <w:b w:val="0"/>
                <w:i w:val="0"/>
                <w:sz w:val="17"/>
              </w:rPr>
              <w:t>CARGOX</w:t>
            </w:r>
          </w:p>
        </w:tc>
        <w:tc>
          <w:tcPr>
            <w:tcW w:type="dxa" w:w="3213"/>
          </w:tcPr>
          <w:p>
            <w:pPr>
              <w:spacing w:after="20" w:before="20" w:line="240" w:lineRule="auto"/>
            </w:pPr>
            <w:r/>
            <w:r>
              <w:rPr>
                <w:rFonts w:ascii="Arial" w:hAnsi="Arial" w:cs="Arial"/>
                <w:b w:val="0"/>
                <w:i w:val="0"/>
                <w:sz w:val="17"/>
              </w:rPr>
              <w:t>ACI filing</w:t>
            </w:r>
          </w:p>
        </w:tc>
        <w:tc>
          <w:tcPr>
            <w:tcW w:type="dxa" w:w="3213"/>
          </w:tcPr>
          <w:p>
            <w:pPr>
              <w:spacing w:after="20" w:before="20" w:line="240" w:lineRule="auto"/>
            </w:pPr>
            <w:r/>
            <w:r>
              <w:rPr>
                <w:rFonts w:ascii="Arial" w:hAnsi="Arial" w:cs="Arial"/>
                <w:b w:val="0"/>
                <w:i w:val="0"/>
                <w:sz w:val="17"/>
              </w:rPr>
              <w:t>$30.00</w:t>
            </w:r>
          </w:p>
        </w:tc>
      </w:tr>
      <w:tr>
        <w:tc>
          <w:tcPr>
            <w:tcW w:type="dxa" w:w="3213"/>
          </w:tcPr>
          <w:p>
            <w:pPr>
              <w:spacing w:after="20" w:before="20" w:line="240" w:lineRule="auto"/>
            </w:pPr>
            <w:r/>
            <w:r>
              <w:rPr>
                <w:rFonts w:ascii="Arial" w:hAnsi="Arial" w:cs="Arial"/>
                <w:b w:val="0"/>
                <w:i w:val="0"/>
                <w:sz w:val="17"/>
              </w:rPr>
              <w:t>INSURECO</w:t>
            </w:r>
          </w:p>
        </w:tc>
        <w:tc>
          <w:tcPr>
            <w:tcW w:type="dxa" w:w="3213"/>
          </w:tcPr>
          <w:p>
            <w:pPr>
              <w:spacing w:after="20" w:before="20" w:line="240" w:lineRule="auto"/>
            </w:pPr>
            <w:r/>
            <w:r>
              <w:rPr>
                <w:rFonts w:ascii="Arial" w:hAnsi="Arial" w:cs="Arial"/>
                <w:b w:val="0"/>
                <w:i w:val="0"/>
                <w:sz w:val="17"/>
              </w:rPr>
              <w:t>Cargo insurance</w:t>
            </w:r>
          </w:p>
        </w:tc>
        <w:tc>
          <w:tcPr>
            <w:tcW w:type="dxa" w:w="3213"/>
          </w:tcPr>
          <w:p>
            <w:pPr>
              <w:spacing w:after="20" w:before="20" w:line="240" w:lineRule="auto"/>
            </w:pPr>
            <w:r/>
            <w:r>
              <w:rPr>
                <w:rFonts w:ascii="Arial" w:hAnsi="Arial" w:cs="Arial"/>
                <w:b w:val="0"/>
                <w:i w:val="0"/>
                <w:sz w:val="17"/>
              </w:rPr>
              <w:t>$200.00</w:t>
            </w:r>
          </w:p>
        </w:tc>
      </w:tr>
      <w:tr>
        <w:tc>
          <w:tcPr>
            <w:tcW w:type="dxa" w:w="3213"/>
          </w:tcPr>
          <w:p>
            <w:pPr>
              <w:spacing w:after="20" w:before="20" w:line="240" w:lineRule="auto"/>
            </w:pPr>
            <w:r/>
            <w:r>
              <w:rPr>
                <w:rFonts w:ascii="Arial" w:hAnsi="Arial" w:cs="Arial"/>
                <w:b w:val="0"/>
                <w:i w:val="0"/>
                <w:sz w:val="17"/>
              </w:rPr>
              <w:t>Total Stage 1</w:t>
            </w:r>
          </w:p>
        </w:tc>
        <w:tc>
          <w:tcPr>
            <w:tcW w:type="dxa" w:w="3213"/>
          </w:tcPr>
          <w:p>
            <w:pPr>
              <w:spacing w:after="20" w:before="20" w:line="240" w:lineRule="auto"/>
            </w:pPr>
            <w:r/>
            <w:r>
              <w:rPr>
                <w:rFonts w:ascii="Arial" w:hAnsi="Arial" w:cs="Arial"/>
                <w:b w:val="0"/>
                <w:i w:val="0"/>
                <w:sz w:val="17"/>
              </w:rPr>
            </w:r>
          </w:p>
        </w:tc>
        <w:tc>
          <w:tcPr>
            <w:tcW w:type="dxa" w:w="3213"/>
          </w:tcPr>
          <w:p>
            <w:pPr>
              <w:spacing w:after="20" w:before="20" w:line="240" w:lineRule="auto"/>
            </w:pPr>
            <w:r/>
            <w:r>
              <w:rPr>
                <w:rFonts w:ascii="Arial" w:hAnsi="Arial" w:cs="Arial"/>
                <w:b w:val="0"/>
                <w:i w:val="0"/>
                <w:sz w:val="17"/>
              </w:rPr>
              <w:t>~$1,489</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All these fees are automatically calculated from the USTN data and service quotations. The seller does not need to know individual amounts; they see a single total and click "Pay Stage 1". The system then orchestrates the split and the government API calls in the correct order.</w:t>
      </w:r>
    </w:p>
    <w:p>
      <w:pPr>
        <w:keepNext/>
        <w:spacing w:before="180" w:after="80"/>
        <w:outlineLvl w:val="2"/>
      </w:pPr>
      <w:r>
        <w:rPr>
          <w:rFonts w:ascii="Arial" w:hAnsi="Arial" w:cs="Arial"/>
          <w:b/>
          <w:i w:val="0"/>
          <w:color w:val="333333"/>
          <w:sz w:val="23"/>
        </w:rPr>
        <w:t>13.4.3 Correct Order of Operations (Orchestration)</w:t>
      </w:r>
    </w:p>
    <w:p>
      <w:pPr>
        <w:spacing w:after="80" w:line="293" w:lineRule="auto"/>
        <w:jc w:val="left"/>
      </w:pPr>
      <w:r>
        <w:rPr>
          <w:rFonts w:ascii="Times New Roman" w:hAnsi="Times New Roman" w:cs="Times New Roman"/>
          <w:b w:val="0"/>
          <w:i w:val="0"/>
          <w:sz w:val="22"/>
        </w:rPr>
        <w:t>When the seller clicks "Pay Stage 1", the following sequence occurs automatically (no user intervention):</w:t>
      </w:r>
    </w:p>
    <w:p>
      <w:pPr>
        <w:spacing w:after="80" w:line="293" w:lineRule="auto"/>
        <w:jc w:val="left"/>
      </w:pPr>
      <w:r>
        <w:rPr>
          <w:rFonts w:ascii="Times New Roman" w:hAnsi="Times New Roman" w:cs="Times New Roman"/>
          <w:b w:val="0"/>
          <w:i w:val="0"/>
          <w:sz w:val="22"/>
        </w:rPr>
        <w:t>1. Governor validates that all mandatory conditions are met (contract locked, all service quotes accepted, packing plan locked). 2. The Bank Settlement Gateway selects the mandated bank per funding currency (EGP batch and USD batch) and the A2 advisory explains the route. 3. SGTX generates the multi-leg settlement instruction with the exact amounts for each payee. 4. The bank processes the pain.001 batch — the seller's funding account is debited for the total amount. 5. The bank executes the legs — each payee receives its net amount within the settlement window. 6. SGTX receives camt.054 / gpi confirmations for each leg, updating `fee_payment_requests` status to PAID. 7. Simultaneously, SGTX triggers government API calls (where fees are already covered): CargoX — submits the ACI envelope, receives the ACID; Nafeza — submits the customs declaration (SAD); because the customs inspection fee is already paid, Nafeza accepts the declaration immediately; Nafeza certificate requests — after lab results are in, Nafeza automatically issues phytosanitary and health certificates (fees already covered); ETA — submits the e-Invoice (no fee). 8. FeeLock becomes ACTIVE — container release authorisation is now possible.</w:t>
      </w:r>
    </w:p>
    <w:p>
      <w:pPr>
        <w:spacing w:after="80" w:line="293" w:lineRule="auto"/>
        <w:jc w:val="left"/>
      </w:pPr>
      <w:r>
        <w:rPr>
          <w:rFonts w:ascii="Times New Roman" w:hAnsi="Times New Roman" w:cs="Times New Roman"/>
          <w:b w:val="0"/>
          <w:i w:val="0"/>
          <w:sz w:val="22"/>
        </w:rPr>
        <w:t>The government APIs (Nafeza, CargoX) do not require a separate payment step — the fees are collected upfront via the multi-leg settlement, but the API calls are made after payment confirmation. This mirrors the real world where customs fees are paid before or at the time of declaration.</w:t>
      </w:r>
    </w:p>
    <w:p>
      <w:pPr>
        <w:keepNext/>
        <w:spacing w:before="180" w:after="80"/>
        <w:outlineLvl w:val="2"/>
      </w:pPr>
      <w:r>
        <w:rPr>
          <w:rFonts w:ascii="Arial" w:hAnsi="Arial" w:cs="Arial"/>
          <w:b/>
          <w:i w:val="0"/>
          <w:color w:val="333333"/>
          <w:sz w:val="23"/>
        </w:rPr>
        <w:t>13.4.4 Multi-Leg Split Instruction (Stage 1)</w:t>
      </w:r>
    </w:p>
    <w:p>
      <w:pPr>
        <w:spacing w:after="0" w:before="0" w:line="240" w:lineRule="auto"/>
        <w:ind w:left="57"/>
        <w:jc w:val="left"/>
        <w:shd w:val="clear" w:fill="F2F2F2"/>
      </w:pPr>
      <w:r>
        <w:rPr>
          <w:rFonts w:ascii="Consolas" w:hAnsi="Consolas" w:cs="Consolas"/>
          <w:b w:val="0"/>
          <w:i w:val="0"/>
          <w:sz w:val="15"/>
        </w:rPr>
        <w:t>POST /v1/payment/manifest/dispatch</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"stage": "STAGE1",</w:t>
      </w:r>
    </w:p>
    <w:p>
      <w:pPr>
        <w:spacing w:after="0" w:before="0" w:line="240" w:lineRule="auto"/>
        <w:ind w:left="57"/>
        <w:jc w:val="left"/>
        <w:shd w:val="clear" w:fill="F2F2F2"/>
      </w:pPr>
      <w:r>
        <w:rPr>
          <w:rFonts w:ascii="Consolas" w:hAnsi="Consolas" w:cs="Consolas"/>
          <w:b w:val="0"/>
          <w:i w:val="0"/>
          <w:sz w:val="15"/>
        </w:rPr>
        <w:t>"total_amount": 1489.00,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"payer": {</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"bank_account": "EG3800100000000000123456"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"splits": [</w:t>
      </w:r>
    </w:p>
    <w:p>
      <w:pPr>
        <w:spacing w:after="0" w:before="0" w:line="240" w:lineRule="auto"/>
        <w:ind w:left="57"/>
        <w:jc w:val="left"/>
        <w:shd w:val="clear" w:fill="F2F2F2"/>
      </w:pPr>
      <w:r>
        <w:rPr>
          <w:rFonts w:ascii="Consolas" w:hAnsi="Consolas" w:cs="Consolas"/>
          <w:b w:val="0"/>
          <w:i w:val="0"/>
          <w:sz w:val="15"/>
        </w:rPr>
        <w:t>{ "payee_gtid": "SGTX-PLATFORM", "amount": 144.00, "description": "SGTX platform fee (engine-determined)" },</w:t>
      </w:r>
    </w:p>
    <w:p>
      <w:pPr>
        <w:spacing w:after="0" w:before="0" w:line="240" w:lineRule="auto"/>
        <w:ind w:left="57"/>
        <w:jc w:val="left"/>
        <w:shd w:val="clear" w:fill="F2F2F2"/>
      </w:pPr>
      <w:r>
        <w:rPr>
          <w:rFonts w:ascii="Consolas" w:hAnsi="Consolas" w:cs="Consolas"/>
          <w:b w:val="0"/>
          <w:i w:val="0"/>
          <w:sz w:val="15"/>
        </w:rPr>
        <w:t xml:space="preserve">        { "payee_gtid": "EG-CUSTOMS", "amount": 200.00, "description": "Customs inspection fee" },</w:t>
      </w:r>
    </w:p>
    <w:p>
      <w:pPr>
        <w:spacing w:after="0" w:before="0" w:line="240" w:lineRule="auto"/>
        <w:ind w:left="57"/>
        <w:jc w:val="left"/>
        <w:shd w:val="clear" w:fill="F2F2F2"/>
      </w:pPr>
      <w:r>
        <w:rPr>
          <w:rFonts w:ascii="Consolas" w:hAnsi="Consolas" w:cs="Consolas"/>
          <w:b w:val="0"/>
          <w:i w:val="0"/>
          <w:sz w:val="15"/>
        </w:rPr>
        <w:t xml:space="preserve">        { "payee_gtid": "EG-PLANT-QUARANTINE", "amount": 50.00, "description": "Phytosanitary certificate" },</w:t>
      </w:r>
    </w:p>
    <w:p>
      <w:pPr>
        <w:spacing w:after="0" w:before="0" w:line="240" w:lineRule="auto"/>
        <w:ind w:left="57"/>
        <w:jc w:val="left"/>
        <w:shd w:val="clear" w:fill="F2F2F2"/>
      </w:pPr>
      <w:r>
        <w:rPr>
          <w:rFonts w:ascii="Consolas" w:hAnsi="Consolas" w:cs="Consolas"/>
          <w:b w:val="0"/>
          <w:i w:val="0"/>
          <w:sz w:val="15"/>
        </w:rPr>
        <w:t xml:space="preserve">        { "payee_gtid": "EG-NFSA", "amount": 40.00, "description": "Health certificate" },</w:t>
      </w:r>
    </w:p>
    <w:p>
      <w:pPr>
        <w:spacing w:after="0" w:before="0" w:line="240" w:lineRule="auto"/>
        <w:ind w:left="57"/>
        <w:jc w:val="left"/>
        <w:shd w:val="clear" w:fill="F2F2F2"/>
      </w:pPr>
      <w:r>
        <w:rPr>
          <w:rFonts w:ascii="Consolas" w:hAnsi="Consolas" w:cs="Consolas"/>
          <w:b w:val="0"/>
          <w:i w:val="0"/>
          <w:sz w:val="15"/>
        </w:rPr>
        <w:t xml:space="preserve">        { "payee_gtid": "EG-CHAMBER", "amount": 25.00, "description": "Certificate of Origin" },</w:t>
      </w:r>
    </w:p>
    <w:p>
      <w:pPr>
        <w:spacing w:after="0" w:before="0" w:line="240" w:lineRule="auto"/>
        <w:ind w:left="57"/>
        <w:jc w:val="left"/>
        <w:shd w:val="clear" w:fill="F2F2F2"/>
      </w:pPr>
      <w:r>
        <w:rPr>
          <w:rFonts w:ascii="Consolas" w:hAnsi="Consolas" w:cs="Consolas"/>
          <w:b w:val="0"/>
          <w:i w:val="0"/>
          <w:sz w:val="15"/>
        </w:rPr>
        <w:t xml:space="preserve">        { "payee_gtid": "SGTX-EG-LAB-001", "amount": 200.00, "description": "Laboratory test" },</w:t>
      </w:r>
    </w:p>
    <w:p>
      <w:pPr>
        <w:spacing w:after="0" w:before="0" w:line="240" w:lineRule="auto"/>
        <w:ind w:left="57"/>
        <w:jc w:val="left"/>
        <w:shd w:val="clear" w:fill="F2F2F2"/>
      </w:pPr>
      <w:r>
        <w:rPr>
          <w:rFonts w:ascii="Consolas" w:hAnsi="Consolas" w:cs="Consolas"/>
          <w:b w:val="0"/>
          <w:i w:val="0"/>
          <w:sz w:val="15"/>
        </w:rPr>
        <w:t xml:space="preserve">        { "payee_gtid": "SGTX-EG-CBR-001", "amount": 150.00, "description": "Broker certification" },</w:t>
      </w:r>
    </w:p>
    <w:p>
      <w:pPr>
        <w:spacing w:after="0" w:before="0" w:line="240" w:lineRule="auto"/>
        <w:ind w:left="57"/>
        <w:jc w:val="left"/>
        <w:shd w:val="clear" w:fill="F2F2F2"/>
      </w:pPr>
      <w:r>
        <w:rPr>
          <w:rFonts w:ascii="Consolas" w:hAnsi="Consolas" w:cs="Consolas"/>
          <w:b w:val="0"/>
          <w:i w:val="0"/>
          <w:sz w:val="15"/>
        </w:rPr>
        <w:t xml:space="preserve">        { "payee_gtid": "SGTX-EG-LSP-001", "amount": 300.00, "description": "Trucking" },</w:t>
      </w:r>
    </w:p>
    <w:p>
      <w:pPr>
        <w:spacing w:after="0" w:before="0" w:line="240" w:lineRule="auto"/>
        <w:ind w:left="57"/>
        <w:jc w:val="left"/>
        <w:shd w:val="clear" w:fill="F2F2F2"/>
      </w:pPr>
      <w:r>
        <w:rPr>
          <w:rFonts w:ascii="Consolas" w:hAnsi="Consolas" w:cs="Consolas"/>
          <w:b w:val="0"/>
          <w:i w:val="0"/>
          <w:sz w:val="15"/>
        </w:rPr>
        <w:t xml:space="preserve">        { "payee_gtid": "EG-PORT", "amount": 150.00, "description": "Terminal Handling Charge" },</w:t>
      </w:r>
    </w:p>
    <w:p>
      <w:pPr>
        <w:spacing w:after="0" w:before="0" w:line="240" w:lineRule="auto"/>
        <w:ind w:left="57"/>
        <w:jc w:val="left"/>
        <w:shd w:val="clear" w:fill="F2F2F2"/>
      </w:pPr>
      <w:r>
        <w:rPr>
          <w:rFonts w:ascii="Consolas" w:hAnsi="Consolas" w:cs="Consolas"/>
          <w:b w:val="0"/>
          <w:i w:val="0"/>
          <w:sz w:val="15"/>
        </w:rPr>
        <w:t xml:space="preserve">        { "payee_gtid": "CARGOX", "amount": 30.00, "description": "ACI filing" },</w:t>
      </w:r>
    </w:p>
    <w:p>
      <w:pPr>
        <w:spacing w:after="0" w:before="0" w:line="240" w:lineRule="auto"/>
        <w:ind w:left="57"/>
        <w:jc w:val="left"/>
        <w:shd w:val="clear" w:fill="F2F2F2"/>
      </w:pPr>
      <w:r>
        <w:rPr>
          <w:rFonts w:ascii="Consolas" w:hAnsi="Consolas" w:cs="Consolas"/>
          <w:b w:val="0"/>
          <w:i w:val="0"/>
          <w:sz w:val="15"/>
        </w:rPr>
        <w:t xml:space="preserve">        { "payee_gtid": "INSURECO", "amount": 200.00, "description": "Cargo insurance"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bank executes the legs of the batch; SGTX verifies the camt.054 / pain.002 confirmations for each leg and updates the status of each fee payment request.</w:t>
      </w:r>
    </w:p>
    <w:p>
      <w:pPr>
        <w:keepNext/>
        <w:spacing w:before="180" w:after="80"/>
        <w:outlineLvl w:val="2"/>
      </w:pPr>
      <w:r>
        <w:rPr>
          <w:rFonts w:ascii="Arial" w:hAnsi="Arial" w:cs="Arial"/>
          <w:b/>
          <w:i w:val="0"/>
          <w:color w:val="333333"/>
          <w:sz w:val="23"/>
        </w:rPr>
        <w:t>13.4.5 One-Click Core — Complete Sequence</w:t>
      </w:r>
    </w:p>
    <w:p>
      <w:pPr>
        <w:spacing w:after="0" w:before="0" w:line="240" w:lineRule="auto"/>
        <w:ind w:left="57"/>
        <w:jc w:val="left"/>
        <w:shd w:val="clear" w:fill="F2F2F2"/>
      </w:pPr>
      <w:r>
        <w:rPr>
          <w:rFonts w:ascii="Consolas" w:hAnsi="Consolas" w:cs="Consolas"/>
          <w:b w:val="0"/>
          <w:i w:val="0"/>
          <w:sz w:val="15"/>
        </w:rPr>
        <w:t>SELLER          SGTX                    BANK (BSG dispatch)    GOVERNMENT APIs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1. Click "Pay Stage 1"                |                        |</w:t>
      </w:r>
    </w:p>
    <w:p>
      <w:pPr>
        <w:spacing w:after="0" w:before="0" w:line="240" w:lineRule="auto"/>
        <w:ind w:left="57"/>
        <w:jc w:val="left"/>
        <w:shd w:val="clear" w:fill="F2F2F2"/>
      </w:pPr>
      <w:r>
        <w:rPr>
          <w:rFonts w:ascii="Consolas" w:hAnsi="Consolas" w:cs="Consolas"/>
          <w:b w:val="0"/>
          <w:i w:val="0"/>
          <w:sz w:val="15"/>
        </w:rPr>
        <w:t xml:space="preserve">  |--------------------------------------&gt;|                        |</w:t>
      </w:r>
    </w:p>
    <w:p>
      <w:pPr>
        <w:spacing w:after="0" w:before="0" w:line="240" w:lineRule="auto"/>
        <w:ind w:left="57"/>
        <w:jc w:val="left"/>
        <w:shd w:val="clear" w:fill="F2F2F2"/>
      </w:pPr>
      <w:r>
        <w:rPr>
          <w:rFonts w:ascii="Consolas" w:hAnsi="Consolas" w:cs="Consolas"/>
          <w:b w:val="0"/>
          <w:i w:val="0"/>
          <w:sz w:val="15"/>
        </w:rPr>
        <w:t xml:space="preserve">  |                  2. Governor validates (FeeLock not active)     |</w:t>
      </w:r>
    </w:p>
    <w:p>
      <w:pPr>
        <w:spacing w:after="0" w:before="0" w:line="240" w:lineRule="auto"/>
        <w:ind w:left="57"/>
        <w:jc w:val="left"/>
        <w:shd w:val="clear" w:fill="F2F2F2"/>
      </w:pPr>
      <w:r>
        <w:rPr>
          <w:rFonts w:ascii="Consolas" w:hAnsi="Consolas" w:cs="Consolas"/>
          <w:b w:val="0"/>
          <w:i w:val="0"/>
          <w:sz w:val="15"/>
        </w:rPr>
        <w:t xml:space="preserve">  |                  3. BSG selects mandated bank per currency     |</w:t>
      </w:r>
    </w:p>
    <w:p>
      <w:pPr>
        <w:spacing w:after="0" w:before="0" w:line="240" w:lineRule="auto"/>
        <w:ind w:left="57"/>
        <w:jc w:val="left"/>
        <w:shd w:val="clear" w:fill="F2F2F2"/>
      </w:pPr>
      <w:r>
        <w:rPr>
          <w:rFonts w:ascii="Consolas" w:hAnsi="Consolas" w:cs="Consolas"/>
          <w:b w:val="0"/>
          <w:i w:val="0"/>
          <w:sz w:val="15"/>
        </w:rPr>
        <w:t xml:space="preserve">  |                  4. Create multi-leg pain.001 batch            |</w:t>
      </w:r>
    </w:p>
    <w:p>
      <w:pPr>
        <w:spacing w:after="0" w:before="0" w:line="240" w:lineRule="auto"/>
        <w:ind w:left="57"/>
        <w:jc w:val="left"/>
        <w:shd w:val="clear" w:fill="F2F2F2"/>
      </w:pPr>
      <w:r>
        <w:rPr>
          <w:rFonts w:ascii="Consolas" w:hAnsi="Consolas" w:cs="Consolas"/>
          <w:b w:val="0"/>
          <w:i w:val="0"/>
          <w:sz w:val="15"/>
        </w:rPr>
        <w:t xml:space="preserve">  |                  5. Dispatch under bank mandate (QES)          |</w:t>
      </w:r>
    </w:p>
    <w:p>
      <w:pPr>
        <w:spacing w:after="0" w:before="0" w:line="240" w:lineRule="auto"/>
        <w:ind w:left="57"/>
        <w:jc w:val="left"/>
        <w:shd w:val="clear" w:fill="F2F2F2"/>
      </w:pPr>
      <w:r>
        <w:rPr>
          <w:rFonts w:ascii="Consolas" w:hAnsi="Consolas" w:cs="Consolas"/>
          <w:b w:val="0"/>
          <w:i w:val="0"/>
          <w:sz w:val="15"/>
        </w:rPr>
        <w:t xml:space="preserve">  |  6. Bank authorises &amp; executes         |                        |</w:t>
      </w:r>
    </w:p>
    <w:p>
      <w:pPr>
        <w:spacing w:after="0" w:before="0" w:line="240" w:lineRule="auto"/>
        <w:ind w:left="57"/>
        <w:jc w:val="left"/>
        <w:shd w:val="clear" w:fill="F2F2F2"/>
      </w:pPr>
      <w:r>
        <w:rPr>
          <w:rFonts w:ascii="Consolas" w:hAnsi="Consolas" w:cs="Consolas"/>
          <w:b w:val="0"/>
          <w:i w:val="0"/>
          <w:sz w:val="15"/>
        </w:rPr>
        <w:t xml:space="preserve">  |--------------------------------------&gt;|                        |</w:t>
      </w:r>
    </w:p>
    <w:p>
      <w:pPr>
        <w:spacing w:after="0" w:before="0" w:line="240" w:lineRule="auto"/>
        <w:ind w:left="57"/>
        <w:jc w:val="left"/>
        <w:shd w:val="clear" w:fill="F2F2F2"/>
      </w:pPr>
      <w:r>
        <w:rPr>
          <w:rFonts w:ascii="Consolas" w:hAnsi="Consolas" w:cs="Consolas"/>
          <w:b w:val="0"/>
          <w:i w:val="0"/>
          <w:sz w:val="15"/>
        </w:rPr>
        <w:t xml:space="preserve">  |                  7. Bank executes legs — Customs receives $200,</w:t>
      </w:r>
    </w:p>
    <w:p>
      <w:pPr>
        <w:spacing w:after="0" w:before="0" w:line="240" w:lineRule="auto"/>
        <w:ind w:left="57"/>
        <w:jc w:val="left"/>
        <w:shd w:val="clear" w:fill="F2F2F2"/>
      </w:pPr>
      <w:r>
        <w:rPr>
          <w:rFonts w:ascii="Consolas" w:hAnsi="Consolas" w:cs="Consolas"/>
          <w:b w:val="0"/>
          <w:i w:val="0"/>
          <w:sz w:val="15"/>
        </w:rPr>
        <w:t xml:space="preserve">  |                     Lab receives $200, SGTX receives $144, etc.</w:t>
      </w:r>
    </w:p>
    <w:p>
      <w:pPr>
        <w:spacing w:after="0" w:before="0" w:line="240" w:lineRule="auto"/>
        <w:ind w:left="57"/>
        <w:jc w:val="left"/>
        <w:shd w:val="clear" w:fill="F2F2F2"/>
      </w:pPr>
      <w:r>
        <w:rPr>
          <w:rFonts w:ascii="Consolas" w:hAnsi="Consolas" w:cs="Consolas"/>
          <w:b w:val="0"/>
          <w:i w:val="0"/>
          <w:sz w:val="15"/>
        </w:rPr>
        <w:t xml:space="preserve">  |                  8. camt.054 / gpi confirmations received     |</w:t>
      </w:r>
    </w:p>
    <w:p>
      <w:pPr>
        <w:spacing w:after="0" w:before="0" w:line="240" w:lineRule="auto"/>
        <w:ind w:left="57"/>
        <w:jc w:val="left"/>
        <w:shd w:val="clear" w:fill="F2F2F2"/>
      </w:pPr>
      <w:r>
        <w:rPr>
          <w:rFonts w:ascii="Consolas" w:hAnsi="Consolas" w:cs="Consolas"/>
          <w:b w:val="0"/>
          <w:i w:val="0"/>
          <w:sz w:val="15"/>
        </w:rPr>
        <w:t xml:space="preserve">  |                  9. Update FeeLock ACTIVE                       |</w:t>
      </w:r>
    </w:p>
    <w:p>
      <w:pPr>
        <w:spacing w:after="0" w:before="0" w:line="240" w:lineRule="auto"/>
        <w:ind w:left="57"/>
        <w:jc w:val="left"/>
        <w:shd w:val="clear" w:fill="F2F2F2"/>
      </w:pPr>
      <w:r>
        <w:rPr>
          <w:rFonts w:ascii="Consolas" w:hAnsi="Consolas" w:cs="Consolas"/>
          <w:b w:val="0"/>
          <w:i w:val="0"/>
          <w:sz w:val="15"/>
        </w:rPr>
        <w:t xml:space="preserve">  |                  10. Call CargoX API (ACI envelope)             |</w:t>
      </w:r>
    </w:p>
    <w:p>
      <w:pPr>
        <w:spacing w:after="0" w:before="0" w:line="240" w:lineRule="auto"/>
        <w:ind w:left="57"/>
        <w:jc w:val="left"/>
        <w:shd w:val="clear" w:fill="F2F2F2"/>
      </w:pPr>
      <w:r>
        <w:rPr>
          <w:rFonts w:ascii="Consolas" w:hAnsi="Consolas" w:cs="Consolas"/>
          <w:b w:val="0"/>
          <w:i w:val="0"/>
          <w:sz w:val="15"/>
        </w:rPr>
        <w:t xml:space="preserve">  |                                         |----------------------&gt;|</w:t>
      </w:r>
    </w:p>
    <w:p>
      <w:pPr>
        <w:spacing w:after="0" w:before="0" w:line="240" w:lineRule="auto"/>
        <w:ind w:left="57"/>
        <w:jc w:val="left"/>
        <w:shd w:val="clear" w:fill="F2F2F2"/>
      </w:pPr>
      <w:r>
        <w:rPr>
          <w:rFonts w:ascii="Consolas" w:hAnsi="Consolas" w:cs="Consolas"/>
          <w:b w:val="0"/>
          <w:i w:val="0"/>
          <w:sz w:val="15"/>
        </w:rPr>
        <w:t xml:space="preserve">  |                  11. Receive ACID      |&lt;----------------------|</w:t>
      </w:r>
    </w:p>
    <w:p>
      <w:pPr>
        <w:spacing w:after="0" w:before="0" w:line="240" w:lineRule="auto"/>
        <w:ind w:left="57"/>
        <w:jc w:val="left"/>
        <w:shd w:val="clear" w:fill="F2F2F2"/>
      </w:pPr>
      <w:r>
        <w:rPr>
          <w:rFonts w:ascii="Consolas" w:hAnsi="Consolas" w:cs="Consolas"/>
          <w:b w:val="0"/>
          <w:i w:val="0"/>
          <w:sz w:val="15"/>
        </w:rPr>
        <w:t xml:space="preserve">  |                  12. Call Nafeza API (SAD + certificate requests)|</w:t>
      </w:r>
    </w:p>
    <w:p>
      <w:pPr>
        <w:spacing w:after="0" w:before="0" w:line="240" w:lineRule="auto"/>
        <w:ind w:left="57"/>
        <w:jc w:val="left"/>
        <w:shd w:val="clear" w:fill="F2F2F2"/>
      </w:pPr>
      <w:r>
        <w:rPr>
          <w:rFonts w:ascii="Consolas" w:hAnsi="Consolas" w:cs="Consolas"/>
          <w:b w:val="0"/>
          <w:i w:val="0"/>
          <w:sz w:val="15"/>
        </w:rPr>
        <w:t xml:space="preserve">  |                                         |----------------------&gt;|</w:t>
      </w:r>
    </w:p>
    <w:p>
      <w:pPr>
        <w:spacing w:after="0" w:before="0" w:line="240" w:lineRule="auto"/>
        <w:ind w:left="57"/>
        <w:jc w:val="left"/>
        <w:shd w:val="clear" w:fill="F2F2F2"/>
      </w:pPr>
      <w:r>
        <w:rPr>
          <w:rFonts w:ascii="Consolas" w:hAnsi="Consolas" w:cs="Consolas"/>
          <w:b w:val="0"/>
          <w:i w:val="0"/>
          <w:sz w:val="15"/>
        </w:rPr>
        <w:t xml:space="preserve">  |                  13. Receive declaration ID, certificate refs   |</w:t>
      </w:r>
    </w:p>
    <w:p>
      <w:pPr>
        <w:spacing w:after="0" w:before="0" w:line="240" w:lineRule="auto"/>
        <w:ind w:left="57"/>
        <w:jc w:val="left"/>
        <w:shd w:val="clear" w:fill="F2F2F2"/>
      </w:pPr>
      <w:r>
        <w:rPr>
          <w:rFonts w:ascii="Consolas" w:hAnsi="Consolas" w:cs="Consolas"/>
          <w:b w:val="0"/>
          <w:i w:val="0"/>
          <w:sz w:val="15"/>
        </w:rPr>
        <w:t xml:space="preserve">  |                                         |&lt;----------------------|</w:t>
      </w:r>
    </w:p>
    <w:p>
      <w:pPr>
        <w:spacing w:after="0" w:before="0" w:line="240" w:lineRule="auto"/>
        <w:ind w:left="57"/>
        <w:jc w:val="left"/>
        <w:shd w:val="clear" w:fill="F2F2F2"/>
      </w:pPr>
      <w:r>
        <w:rPr>
          <w:rFonts w:ascii="Consolas" w:hAnsi="Consolas" w:cs="Consolas"/>
          <w:b w:val="0"/>
          <w:i w:val="0"/>
          <w:sz w:val="15"/>
        </w:rPr>
        <w:t xml:space="preserve">  | 14. Smart Inbox "Payment successful"                            |</w:t>
      </w:r>
    </w:p>
    <w:p>
      <w:pPr>
        <w:spacing w:after="0" w:before="0" w:line="240" w:lineRule="auto"/>
        <w:ind w:left="57"/>
        <w:jc w:val="left"/>
        <w:shd w:val="clear" w:fill="F2F2F2"/>
      </w:pPr>
      <w:r>
        <w:rPr>
          <w:rFonts w:ascii="Consolas" w:hAnsi="Consolas" w:cs="Consolas"/>
          <w:b w:val="0"/>
          <w:i w:val="0"/>
          <w:sz w:val="15"/>
        </w:rPr>
        <w:t xml:space="preserve">  | 15. Container release authorisation becomes available           |</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seller never needs to log into CargoX, Nafeza, or the e-Invoice system; all government interactions are triggered automatically after the single payment.</w:t>
      </w:r>
    </w:p>
    <w:p>
      <w:pPr>
        <w:keepNext/>
        <w:spacing w:before="180" w:after="80"/>
        <w:outlineLvl w:val="2"/>
      </w:pPr>
      <w:r>
        <w:rPr>
          <w:rFonts w:ascii="Arial" w:hAnsi="Arial" w:cs="Arial"/>
          <w:b/>
          <w:i w:val="0"/>
          <w:color w:val="333333"/>
          <w:sz w:val="23"/>
        </w:rPr>
        <w:t>13.4.6 Stage 2 — Post-Departure Payment (Seller or Buyer Pays)</w:t>
      </w:r>
    </w:p>
    <w:p>
      <w:pPr>
        <w:spacing w:after="80" w:line="293" w:lineRule="auto"/>
        <w:jc w:val="left"/>
      </w:pPr>
      <w:r>
        <w:rPr>
          <w:rFonts w:ascii="Times New Roman" w:hAnsi="Times New Roman" w:cs="Times New Roman"/>
          <w:b w:val="0"/>
          <w:i w:val="0"/>
          <w:sz w:val="22"/>
        </w:rPr>
        <w:t>Stage 2 occurs after the vessel has departed. It typically includes ocean freight (seller or buyer pays depending on Incoterm) and destination charges. Important distinctions: ocean freight is often on credit terms (30–60 days); the shipping line invoice is generated after departure and the seller has a due date; the container can be released at the destination even if the freight is unpaid (CREDIT condition); destination charges (import duties, VAT, destination THC) are paid by the buyer (importer) in a separate payment batch (import side), also orchestrated as a single payment.</w:t>
      </w:r>
    </w:p>
    <w:p>
      <w:pPr>
        <w:spacing w:after="80" w:line="293" w:lineRule="auto"/>
        <w:jc w:val="left"/>
      </w:pPr>
      <w:r>
        <w:rPr>
          <w:rFonts w:ascii="Times New Roman" w:hAnsi="Times New Roman" w:cs="Times New Roman"/>
          <w:b w:val="0"/>
          <w:i w:val="0"/>
          <w:sz w:val="22"/>
        </w:rPr>
        <w:t>Split instruction for Stage 2 (seller pays freight):</w:t>
      </w:r>
    </w:p>
    <w:p>
      <w:pPr>
        <w:spacing w:after="0" w:before="0" w:line="240" w:lineRule="auto"/>
        <w:ind w:left="57"/>
        <w:jc w:val="left"/>
        <w:shd w:val="clear" w:fill="F2F2F2"/>
      </w:pPr>
      <w:r>
        <w:rPr>
          <w:rFonts w:ascii="Consolas" w:hAnsi="Consolas" w:cs="Consolas"/>
          <w:b w:val="0"/>
          <w:i w:val="0"/>
          <w:sz w:val="15"/>
        </w:rPr>
        <w:t>POST /v1/payment/manifest/dispatch</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"stage": "STAGE2",</w:t>
      </w:r>
    </w:p>
    <w:p>
      <w:pPr>
        <w:spacing w:after="0" w:before="0" w:line="240" w:lineRule="auto"/>
        <w:ind w:left="57"/>
        <w:jc w:val="left"/>
        <w:shd w:val="clear" w:fill="F2F2F2"/>
      </w:pPr>
      <w:r>
        <w:rPr>
          <w:rFonts w:ascii="Consolas" w:hAnsi="Consolas" w:cs="Consolas"/>
          <w:b w:val="0"/>
          <w:i w:val="0"/>
          <w:sz w:val="15"/>
        </w:rPr>
        <w:t xml:space="preserve">    "total_amount": 4200.00,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"payer": {</w:t>
      </w:r>
    </w:p>
    <w:p>
      <w:pPr>
        <w:spacing w:after="0" w:before="0" w:line="240" w:lineRule="auto"/>
        <w:ind w:left="57"/>
        <w:jc w:val="left"/>
        <w:shd w:val="clear" w:fill="F2F2F2"/>
      </w:pPr>
      <w:r>
        <w:rPr>
          <w:rFonts w:ascii="Consolas" w:hAnsi="Consolas" w:cs="Consolas"/>
          <w:b w:val="0"/>
          <w:i w:val="0"/>
          <w:sz w:val="15"/>
        </w:rPr>
        <w:t xml:space="preserve">        "gtid": "SGTX-EG-TRD-002139-7F3A",</w:t>
      </w:r>
    </w:p>
    <w:p>
      <w:pPr>
        <w:spacing w:after="0" w:before="0" w:line="240" w:lineRule="auto"/>
        <w:ind w:left="57"/>
        <w:jc w:val="left"/>
        <w:shd w:val="clear" w:fill="F2F2F2"/>
      </w:pPr>
      <w:r>
        <w:rPr>
          <w:rFonts w:ascii="Consolas" w:hAnsi="Consolas" w:cs="Consolas"/>
          <w:b w:val="0"/>
          <w:i w:val="0"/>
          <w:sz w:val="15"/>
        </w:rPr>
        <w:t xml:space="preserve">        "bank_account":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"splits":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"payee_gtid": "SGTX-EG-SHIP-001",</w:t>
      </w:r>
    </w:p>
    <w:p>
      <w:pPr>
        <w:spacing w:after="0" w:before="0" w:line="240" w:lineRule="auto"/>
        <w:ind w:left="57"/>
        <w:jc w:val="left"/>
        <w:shd w:val="clear" w:fill="F2F2F2"/>
      </w:pPr>
      <w:r>
        <w:rPr>
          <w:rFonts w:ascii="Consolas" w:hAnsi="Consolas" w:cs="Consolas"/>
          <w:b w:val="0"/>
          <w:i w:val="0"/>
          <w:sz w:val="15"/>
        </w:rPr>
        <w:t xml:space="preserve">            "amount": 4200.00,</w:t>
      </w:r>
    </w:p>
    <w:p>
      <w:pPr>
        <w:spacing w:after="0" w:before="0" w:line="240" w:lineRule="auto"/>
        <w:ind w:left="57"/>
        <w:jc w:val="left"/>
        <w:shd w:val="clear" w:fill="F2F2F2"/>
      </w:pPr>
      <w:r>
        <w:rPr>
          <w:rFonts w:ascii="Consolas" w:hAnsi="Consolas" w:cs="Consolas"/>
          <w:b w:val="0"/>
          <w:i w:val="0"/>
          <w:sz w:val="15"/>
        </w:rPr>
        <w:t xml:space="preserve">            "description": "Ocean freight",</w:t>
      </w:r>
    </w:p>
    <w:p>
      <w:pPr>
        <w:spacing w:after="0" w:before="0" w:line="240" w:lineRule="auto"/>
        <w:ind w:left="57"/>
        <w:jc w:val="left"/>
        <w:shd w:val="clear" w:fill="F2F2F2"/>
      </w:pPr>
      <w:r>
        <w:rPr>
          <w:rFonts w:ascii="Consolas" w:hAnsi="Consolas" w:cs="Consolas"/>
          <w:b w:val="0"/>
          <w:i w:val="0"/>
          <w:sz w:val="15"/>
        </w:rPr>
        <w:t xml:space="preserve">            "terms": "CREDIT",</w:t>
      </w:r>
    </w:p>
    <w:p>
      <w:pPr>
        <w:spacing w:after="0" w:before="0" w:line="240" w:lineRule="auto"/>
        <w:ind w:left="57"/>
        <w:jc w:val="left"/>
        <w:shd w:val="clear" w:fill="F2F2F2"/>
      </w:pPr>
      <w:r>
        <w:rPr>
          <w:rFonts w:ascii="Consolas" w:hAnsi="Consolas" w:cs="Consolas"/>
          <w:b w:val="0"/>
          <w:i w:val="0"/>
          <w:sz w:val="15"/>
        </w:rPr>
        <w:t xml:space="preserve">            "due_date": "2026-05-15"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If the freight is MANDATORY (not credit), the container release API blocks until the payment webhook is verified.</w:t>
      </w:r>
    </w:p>
    <w:p>
      <w:pPr>
        <w:spacing w:after="80" w:line="293" w:lineRule="auto"/>
        <w:jc w:val="left"/>
      </w:pPr>
      <w:r>
        <w:rPr>
          <w:rFonts w:ascii="Times New Roman" w:hAnsi="Times New Roman" w:cs="Times New Roman"/>
          <w:b w:val="0"/>
          <w:i w:val="0"/>
          <w:sz w:val="22"/>
        </w:rPr>
        <w:t>Buyer's import payment batch (single payment). For the importer, the import-side Stage 1 includes duties, VAT, destination THC, and import broker fees (illustrative total $26,400). The buyer sees a single total and authorizes one multi-leg mandate; the bank executes the legs to all payees.</w:t>
      </w:r>
    </w:p>
    <w:p>
      <w:pPr>
        <w:keepNext/>
        <w:spacing w:before="180" w:after="80"/>
        <w:outlineLvl w:val="2"/>
      </w:pPr>
      <w:r>
        <w:rPr>
          <w:rFonts w:ascii="Arial" w:hAnsi="Arial" w:cs="Arial"/>
          <w:b/>
          <w:i w:val="0"/>
          <w:color w:val="333333"/>
          <w:sz w:val="23"/>
        </w:rPr>
        <w:t>13.4.7 Certificate Fee Integration</w:t>
      </w:r>
    </w:p>
    <w:p>
      <w:pPr>
        <w:spacing w:after="80" w:line="293" w:lineRule="auto"/>
        <w:jc w:val="left"/>
      </w:pPr>
      <w:r>
        <w:rPr>
          <w:rFonts w:ascii="Times New Roman" w:hAnsi="Times New Roman" w:cs="Times New Roman"/>
          <w:b w:val="0"/>
          <w:i w:val="0"/>
          <w:sz w:val="22"/>
        </w:rPr>
        <w:t>The phytosanitary and health certificates are obtained automatically after the laboratory submits compliant test results (via POST /v1/lab/results) and the Nafeza certificate request is triggered by those results. The certificate fees are part of Stage 1 (payees EG-PLANT-QUARANTINE and EG-NFSA). When the seller pays Stage 1, those fees are already transferred to the government; therefore, when SGTX requests the certificates via the Nafeza API, Nafeza can issue them immediately because the payment is already confirmed. If lab results fail: no certificate is issued; the seller must dispute or retest; the fees already paid are not refunded (consistent with government practice).</w:t>
      </w:r>
    </w:p>
    <w:p>
      <w:pPr>
        <w:keepNext/>
        <w:spacing w:before="180" w:after="80"/>
        <w:outlineLvl w:val="2"/>
      </w:pPr>
      <w:r>
        <w:rPr>
          <w:rFonts w:ascii="Arial" w:hAnsi="Arial" w:cs="Arial"/>
          <w:b/>
          <w:i w:val="0"/>
          <w:color w:val="333333"/>
          <w:sz w:val="23"/>
        </w:rPr>
        <w:t>13.4.8 Bank Dispatch &amp; Fallback</w:t>
      </w:r>
    </w:p>
    <w:p>
      <w:pPr>
        <w:spacing w:after="80" w:line="293" w:lineRule="auto"/>
        <w:jc w:val="left"/>
      </w:pPr>
      <w:r>
        <w:rPr>
          <w:rFonts w:ascii="Times New Roman" w:hAnsi="Times New Roman" w:cs="Times New Roman"/>
          <w:b w:val="0"/>
          <w:i w:val="0"/>
          <w:sz w:val="22"/>
        </w:rPr>
        <w:t>Bank dispatch logic (A2, LightGBM + Groq advisory). The Bank Settlement Gateway selects the dispatch route for each payment based on: the buyer's mandated bank per funding currency; the bank's capability tier (1: full ISO 20022, 2: pain.001 only, 3: H2H/SFTP); payee countries (mix of Egypt and international); amount and currency; real-time bank health (uptime, latency, error rate); and historical success rate. For Stage 1 (all payees have Egyptian bank accounts except SGTX which may be in USD), the gateway builds one EGP batch and one USD batch. Groq explanation (A1) displayed to the user: "Dispatching via your mandated bank (CIB, tier 1). EGP legs settle same-day; USD legs settle in 1–2 days via SWIFT gpi."</w:t>
      </w:r>
    </w:p>
    <w:p>
      <w:pPr>
        <w:spacing w:after="80" w:line="293" w:lineRule="auto"/>
        <w:jc w:val="left"/>
      </w:pPr>
      <w:r>
        <w:rPr>
          <w:rFonts w:ascii="Times New Roman" w:hAnsi="Times New Roman" w:cs="Times New Roman"/>
          <w:b w:val="0"/>
          <w:i w:val="0"/>
          <w:sz w:val="22"/>
        </w:rPr>
        <w:t>Automatic fallback. If the primary dispatch fails (pain.002 rejection, SLA timeout, bank error), the gateway retries the leg per the retry policy (Section 13.8) and, where the mandate covers a secondary bank, dispatches through the fallback bank. The user is notified via Smart Inbox but does not need to re-authorize. Banks without camt.054 support fall back to statement-based reconciliation (MT940 / ISO 20022 statements) with manual review where confidence &lt; 95%.</w:t>
      </w:r>
    </w:p>
    <w:p>
      <w:pPr>
        <w:spacing w:after="80" w:line="293" w:lineRule="auto"/>
        <w:jc w:val="left"/>
      </w:pPr>
      <w:r>
        <w:rPr>
          <w:rFonts w:ascii="Times New Roman" w:hAnsi="Times New Roman" w:cs="Times New Roman"/>
          <w:b w:val="0"/>
          <w:i w:val="0"/>
          <w:sz w:val="22"/>
        </w:rPr>
        <w:t>Health monitoring. The bank-health-monitor (Rust) checks each participating bank's capability endpoint every 30 seconds (bank_capability_registry.last_health_check). If the health score drops below 80 the bank is marked DEGRADED; below 50 it is disabled for new dispatches and fallback routing is triggered (gate G6U9).</w:t>
      </w:r>
    </w:p>
    <w:p>
      <w:pPr>
        <w:keepNext/>
        <w:spacing w:before="180" w:after="80"/>
        <w:outlineLvl w:val="2"/>
      </w:pPr>
      <w:r>
        <w:rPr>
          <w:rFonts w:ascii="Arial" w:hAnsi="Arial" w:cs="Arial"/>
          <w:b/>
          <w:i w:val="0"/>
          <w:color w:val="333333"/>
          <w:sz w:val="23"/>
        </w:rPr>
        <w:t>13.4.9 FeeLock State Machine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State</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PENDING</w:t>
            </w:r>
          </w:p>
        </w:tc>
        <w:tc>
          <w:tcPr>
            <w:tcW w:type="dxa" w:w="4819"/>
          </w:tcPr>
          <w:p>
            <w:pPr>
              <w:spacing w:after="20" w:before="20" w:line="240" w:lineRule="auto"/>
            </w:pPr>
            <w:r/>
            <w:r>
              <w:rPr>
                <w:rFonts w:ascii="Arial" w:hAnsi="Arial" w:cs="Arial"/>
                <w:b w:val="0"/>
                <w:i w:val="0"/>
                <w:sz w:val="17"/>
              </w:rPr>
              <w:t>Fees calculated, not yet paid</w:t>
            </w:r>
          </w:p>
        </w:tc>
      </w:tr>
      <w:tr>
        <w:tc>
          <w:tcPr>
            <w:tcW w:type="dxa" w:w="4819"/>
          </w:tcPr>
          <w:p>
            <w:pPr>
              <w:spacing w:after="20" w:before="20" w:line="240" w:lineRule="auto"/>
            </w:pPr>
            <w:r/>
            <w:r>
              <w:rPr>
                <w:rFonts w:ascii="Arial" w:hAnsi="Arial" w:cs="Arial"/>
                <w:b w:val="0"/>
                <w:i w:val="0"/>
                <w:sz w:val="17"/>
              </w:rPr>
              <w:t>ACTIVE</w:t>
            </w:r>
          </w:p>
        </w:tc>
        <w:tc>
          <w:tcPr>
            <w:tcW w:type="dxa" w:w="4819"/>
          </w:tcPr>
          <w:p>
            <w:pPr>
              <w:spacing w:after="20" w:before="20" w:line="240" w:lineRule="auto"/>
            </w:pPr>
            <w:r/>
            <w:r>
              <w:rPr>
                <w:rFonts w:ascii="Arial" w:hAnsi="Arial" w:cs="Arial"/>
                <w:b w:val="0"/>
                <w:i w:val="0"/>
                <w:sz w:val="17"/>
              </w:rPr>
              <w:t>All mandatory Stage 1 fees settled; release authorisation possible</w:t>
            </w:r>
          </w:p>
        </w:tc>
      </w:tr>
      <w:tr>
        <w:tc>
          <w:tcPr>
            <w:tcW w:type="dxa" w:w="4819"/>
          </w:tcPr>
          <w:p>
            <w:pPr>
              <w:spacing w:after="20" w:before="20" w:line="240" w:lineRule="auto"/>
            </w:pPr>
            <w:r/>
            <w:r>
              <w:rPr>
                <w:rFonts w:ascii="Arial" w:hAnsi="Arial" w:cs="Arial"/>
                <w:b w:val="0"/>
                <w:i w:val="0"/>
                <w:sz w:val="17"/>
              </w:rPr>
              <w:t>PARTIALLY_RELEASED</w:t>
            </w:r>
          </w:p>
        </w:tc>
        <w:tc>
          <w:tcPr>
            <w:tcW w:type="dxa" w:w="4819"/>
          </w:tcPr>
          <w:p>
            <w:pPr>
              <w:spacing w:after="20" w:before="20" w:line="240" w:lineRule="auto"/>
            </w:pPr>
            <w:r/>
            <w:r>
              <w:rPr>
                <w:rFonts w:ascii="Arial" w:hAnsi="Arial" w:cs="Arial"/>
                <w:b w:val="0"/>
                <w:i w:val="0"/>
                <w:sz w:val="17"/>
              </w:rPr>
              <w:t>Dispute covers only part of the shipment; undisputed portion released</w:t>
            </w:r>
          </w:p>
        </w:tc>
      </w:tr>
      <w:tr>
        <w:tc>
          <w:tcPr>
            <w:tcW w:type="dxa" w:w="4819"/>
          </w:tcPr>
          <w:p>
            <w:pPr>
              <w:spacing w:after="20" w:before="20" w:line="240" w:lineRule="auto"/>
            </w:pPr>
            <w:r/>
            <w:r>
              <w:rPr>
                <w:rFonts w:ascii="Arial" w:hAnsi="Arial" w:cs="Arial"/>
                <w:b w:val="0"/>
                <w:i w:val="0"/>
                <w:sz w:val="17"/>
              </w:rPr>
              <w:t>DISPUTED</w:t>
            </w:r>
          </w:p>
        </w:tc>
        <w:tc>
          <w:tcPr>
            <w:tcW w:type="dxa" w:w="4819"/>
          </w:tcPr>
          <w:p>
            <w:pPr>
              <w:spacing w:after="20" w:before="20" w:line="240" w:lineRule="auto"/>
            </w:pPr>
            <w:r/>
            <w:r>
              <w:rPr>
                <w:rFonts w:ascii="Arial" w:hAnsi="Arial" w:cs="Arial"/>
                <w:b w:val="0"/>
                <w:i w:val="0"/>
                <w:sz w:val="17"/>
              </w:rPr>
              <w:t>FeeLock frozen by dispute filing</w:t>
            </w:r>
          </w:p>
        </w:tc>
      </w:tr>
      <w:tr>
        <w:tc>
          <w:tcPr>
            <w:tcW w:type="dxa" w:w="4819"/>
          </w:tcPr>
          <w:p>
            <w:pPr>
              <w:spacing w:after="20" w:before="20" w:line="240" w:lineRule="auto"/>
            </w:pPr>
            <w:r/>
            <w:r>
              <w:rPr>
                <w:rFonts w:ascii="Arial" w:hAnsi="Arial" w:cs="Arial"/>
                <w:b w:val="0"/>
                <w:i w:val="0"/>
                <w:sz w:val="17"/>
              </w:rPr>
              <w:t>CANCELLED</w:t>
            </w:r>
          </w:p>
        </w:tc>
        <w:tc>
          <w:tcPr>
            <w:tcW w:type="dxa" w:w="4819"/>
          </w:tcPr>
          <w:p>
            <w:pPr>
              <w:spacing w:after="20" w:before="20" w:line="240" w:lineRule="auto"/>
            </w:pPr>
            <w:r/>
            <w:r>
              <w:rPr>
                <w:rFonts w:ascii="Arial" w:hAnsi="Arial" w:cs="Arial"/>
                <w:b w:val="0"/>
                <w:i w:val="0"/>
                <w:sz w:val="17"/>
              </w:rPr>
              <w:t>Contract cancelled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FeeLock is stored in NATS JetStream KV and referenced by the Container Release Authorisation API (Section 12.6). KV key and value:</w:t>
      </w:r>
    </w:p>
    <w:p>
      <w:pPr>
        <w:spacing w:after="0" w:before="0" w:line="240" w:lineRule="auto"/>
        <w:ind w:left="57"/>
        <w:jc w:val="left"/>
        <w:shd w:val="clear" w:fill="F2F2F2"/>
      </w:pPr>
      <w:r>
        <w:rPr>
          <w:rFonts w:ascii="Consolas" w:hAnsi="Consolas" w:cs="Consolas"/>
          <w:b w:val="0"/>
          <w:i w:val="0"/>
          <w:sz w:val="15"/>
        </w:rPr>
        <w:t>KV Key: feeflock:{ustn}</w:t>
      </w:r>
    </w:p>
    <w:p>
      <w:pPr>
        <w:spacing w:after="0" w:before="0" w:line="240" w:lineRule="auto"/>
        <w:ind w:left="57"/>
        <w:jc w:val="left"/>
        <w:shd w:val="clear" w:fill="F2F2F2"/>
      </w:pPr>
      <w:r>
        <w:rPr>
          <w:rFonts w:ascii="Consolas" w:hAnsi="Consolas" w:cs="Consolas"/>
          <w:b w:val="0"/>
          <w:i w:val="0"/>
          <w:sz w:val="15"/>
        </w:rPr>
        <w:t>Value: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"lock_id": "fl-abc123",</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"status": "ACTIVE",</w:t>
      </w:r>
    </w:p>
    <w:p>
      <w:pPr>
        <w:spacing w:after="0" w:before="0" w:line="240" w:lineRule="auto"/>
        <w:ind w:left="57"/>
        <w:jc w:val="left"/>
        <w:shd w:val="clear" w:fill="F2F2F2"/>
      </w:pPr>
      <w:r>
        <w:rPr>
          <w:rFonts w:ascii="Consolas" w:hAnsi="Consolas" w:cs="Consolas"/>
          <w:b w:val="0"/>
          <w:i w:val="0"/>
          <w:sz w:val="15"/>
        </w:rPr>
        <w:t xml:space="preserve">    "fee_usd": 1500.00,</w:t>
      </w:r>
    </w:p>
    <w:p>
      <w:pPr>
        <w:spacing w:after="0" w:before="0" w:line="240" w:lineRule="auto"/>
        <w:ind w:left="57"/>
        <w:jc w:val="left"/>
        <w:shd w:val="clear" w:fill="F2F2F2"/>
      </w:pPr>
      <w:r>
        <w:rPr>
          <w:rFonts w:ascii="Consolas" w:hAnsi="Consolas" w:cs="Consolas"/>
          <w:b w:val="0"/>
          <w:i w:val="0"/>
          <w:sz w:val="15"/>
        </w:rPr>
        <w:t xml:space="preserve">    "settled_at": "2026-04-15T13:00:00Z",</w:t>
      </w:r>
    </w:p>
    <w:p>
      <w:pPr>
        <w:spacing w:after="0" w:before="0" w:line="240" w:lineRule="auto"/>
        <w:ind w:left="57"/>
        <w:jc w:val="left"/>
        <w:shd w:val="clear" w:fill="F2F2F2"/>
      </w:pPr>
      <w:r>
        <w:rPr>
          <w:rFonts w:ascii="Consolas" w:hAnsi="Consolas" w:cs="Consolas"/>
          <w:b w:val="0"/>
          <w:i w:val="0"/>
          <w:sz w:val="15"/>
        </w:rPr>
        <w:t xml:space="preserve">    "version": 3</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Dispute impact on payments. If a dispute is filed: the FeeLock is frozen (no further releases); government fees already paid are not refundable; dispute resolution may result in a refund from the seller to the buyer via a separate settlement leg (dispute settlement payment, Section 14.3.17).</w:t>
      </w:r>
    </w:p>
    <w:p>
      <w:pPr>
        <w:keepNext/>
        <w:spacing w:before="180" w:after="80"/>
        <w:outlineLvl w:val="2"/>
      </w:pPr>
      <w:r>
        <w:rPr>
          <w:rFonts w:ascii="Arial" w:hAnsi="Arial" w:cs="Arial"/>
          <w:b/>
          <w:i w:val="0"/>
          <w:color w:val="333333"/>
          <w:sz w:val="23"/>
        </w:rPr>
        <w:t>13.4.10 Multi-Shipment Contracts — Per-Shipment Stage 1 &amp; Stage 2</w:t>
      </w:r>
    </w:p>
    <w:p>
      <w:pPr>
        <w:spacing w:after="80" w:line="293" w:lineRule="auto"/>
        <w:jc w:val="left"/>
      </w:pPr>
      <w:r>
        <w:rPr>
          <w:rFonts w:ascii="Times New Roman" w:hAnsi="Times New Roman" w:cs="Times New Roman"/>
          <w:b w:val="0"/>
          <w:i w:val="0"/>
          <w:sz w:val="22"/>
        </w:rPr>
        <w:t>For multi-shipment contracts the master contract is signed with no upfront payment. Each shipment activates independently: each shipment's Stage 1 is paid, its USTN generated, and it executed on its own timeline. This allows flexible scheduling — the seller does not pay for all shipments upfront. Example — three shipments: Shipment 1: Locked → Stage 1 paid → USTN generated → Executed; Shipment 2: Locked → Stage 1 paid → USTN generated → Executed; Shipment 3: Scheduled (not yet activated). Each shipment's FeeLock is independent; a delay in one shipment does not affect others.</w:t>
      </w:r>
    </w:p>
    <w:p>
      <w:pPr>
        <w:keepNext/>
        <w:spacing w:before="180" w:after="80"/>
        <w:outlineLvl w:val="2"/>
      </w:pPr>
      <w:r>
        <w:rPr>
          <w:rFonts w:ascii="Arial" w:hAnsi="Arial" w:cs="Arial"/>
          <w:b/>
          <w:i w:val="0"/>
          <w:color w:val="333333"/>
          <w:sz w:val="23"/>
        </w:rPr>
        <w:t>13.4.11 Deferred Payment Guarantee Expiry Handling</w:t>
      </w:r>
    </w:p>
    <w:p>
      <w:pPr>
        <w:spacing w:after="80" w:line="293" w:lineRule="auto"/>
        <w:jc w:val="left"/>
      </w:pPr>
      <w:r>
        <w:rPr>
          <w:rFonts w:ascii="Times New Roman" w:hAnsi="Times New Roman" w:cs="Times New Roman"/>
          <w:b w:val="0"/>
          <w:i w:val="0"/>
          <w:sz w:val="22"/>
        </w:rPr>
        <w:t>Deferred payment workflow. During Stage 1 payment, the payer toggles "Defer" for eligible fees (for example, import duties) based on jurisdiction rules (from RIA). The system creates a guarantee (bank-held deferred instruction — pain.008 future-dated — or letter of credit reference) with a defined expiry date (based on the jurisdiction's legal maximum, default 30 days). The guarantee is tracked in `fee_payment_requests` with `deferred = true` and `deferred_status = 'GUARANTEE_HELD'`.</w:t>
      </w:r>
    </w:p>
    <w:p>
      <w:pPr>
        <w:spacing w:after="80" w:line="293" w:lineRule="auto"/>
        <w:jc w:val="left"/>
      </w:pPr>
      <w:r>
        <w:rPr>
          <w:rFonts w:ascii="Times New Roman" w:hAnsi="Times New Roman" w:cs="Times New Roman"/>
          <w:b w:val="0"/>
          <w:i w:val="0"/>
          <w:sz w:val="22"/>
        </w:rPr>
        <w:t>Expiry handling — three-step escalation: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Timing</w:t>
            </w:r>
          </w:p>
        </w:tc>
        <w:tc>
          <w:tcPr>
            <w:tcW w:type="dxa" w:w="4819"/>
            <w:shd w:val="clear" w:fill="D9E2F3"/>
          </w:tcPr>
          <w:p>
            <w:pPr>
              <w:spacing w:after="20" w:before="20" w:line="240" w:lineRule="auto"/>
            </w:pPr>
            <w:r/>
            <w:r>
              <w:rPr>
                <w:rFonts w:ascii="Arial" w:hAnsi="Arial" w:cs="Arial"/>
                <w:b/>
                <w:i w:val="0"/>
                <w:sz w:val="18"/>
              </w:rPr>
              <w:t>Action</w:t>
            </w:r>
          </w:p>
        </w:tc>
      </w:tr>
      <w:tr>
        <w:tc>
          <w:tcPr>
            <w:tcW w:type="dxa" w:w="4819"/>
          </w:tcPr>
          <w:p>
            <w:pPr>
              <w:spacing w:after="20" w:before="20" w:line="240" w:lineRule="auto"/>
            </w:pPr>
            <w:r/>
            <w:r>
              <w:rPr>
                <w:rFonts w:ascii="Arial" w:hAnsi="Arial" w:cs="Arial"/>
                <w:b w:val="0"/>
                <w:i w:val="0"/>
                <w:sz w:val="17"/>
              </w:rPr>
              <w:t>7 days before expiry</w:t>
            </w:r>
          </w:p>
        </w:tc>
        <w:tc>
          <w:tcPr>
            <w:tcW w:type="dxa" w:w="4819"/>
          </w:tcPr>
          <w:p>
            <w:pPr>
              <w:spacing w:after="20" w:before="20" w:line="240" w:lineRule="auto"/>
            </w:pPr>
            <w:r/>
            <w:r>
              <w:rPr>
                <w:rFonts w:ascii="Arial" w:hAnsi="Arial" w:cs="Arial"/>
                <w:b w:val="0"/>
                <w:i w:val="0"/>
                <w:sz w:val="17"/>
              </w:rPr>
              <w:t>Reminder</w:t>
            </w:r>
          </w:p>
        </w:tc>
      </w:tr>
      <w:tr>
        <w:tc>
          <w:tcPr>
            <w:tcW w:type="dxa" w:w="4819"/>
          </w:tcPr>
          <w:p>
            <w:pPr>
              <w:spacing w:after="20" w:before="20" w:line="240" w:lineRule="auto"/>
            </w:pPr>
            <w:r/>
            <w:r>
              <w:rPr>
                <w:rFonts w:ascii="Arial" w:hAnsi="Arial" w:cs="Arial"/>
                <w:b w:val="0"/>
                <w:i w:val="0"/>
                <w:sz w:val="17"/>
              </w:rPr>
              <w:t>1 day before expiry</w:t>
            </w:r>
          </w:p>
        </w:tc>
        <w:tc>
          <w:tcPr>
            <w:tcW w:type="dxa" w:w="4819"/>
          </w:tcPr>
          <w:p>
            <w:pPr>
              <w:spacing w:after="20" w:before="20" w:line="240" w:lineRule="auto"/>
            </w:pPr>
            <w:r/>
            <w:r>
              <w:rPr>
                <w:rFonts w:ascii="Arial" w:hAnsi="Arial" w:cs="Arial"/>
                <w:b w:val="0"/>
                <w:i w:val="0"/>
                <w:sz w:val="17"/>
              </w:rPr>
              <w:t>Alert + "Pay Now" option</w:t>
            </w:r>
          </w:p>
        </w:tc>
      </w:tr>
      <w:tr>
        <w:tc>
          <w:tcPr>
            <w:tcW w:type="dxa" w:w="4819"/>
          </w:tcPr>
          <w:p>
            <w:pPr>
              <w:spacing w:after="20" w:before="20" w:line="240" w:lineRule="auto"/>
            </w:pPr>
            <w:r/>
            <w:r>
              <w:rPr>
                <w:rFonts w:ascii="Arial" w:hAnsi="Arial" w:cs="Arial"/>
                <w:b w:val="0"/>
                <w:i w:val="0"/>
                <w:sz w:val="17"/>
              </w:rPr>
              <w:t>At expiry</w:t>
            </w:r>
          </w:p>
        </w:tc>
        <w:tc>
          <w:tcPr>
            <w:tcW w:type="dxa" w:w="4819"/>
          </w:tcPr>
          <w:p>
            <w:pPr>
              <w:spacing w:after="20" w:before="20" w:line="240" w:lineRule="auto"/>
            </w:pPr>
            <w:r/>
            <w:r>
              <w:rPr>
                <w:rFonts w:ascii="Arial" w:hAnsi="Arial" w:cs="Arial"/>
                <w:b w:val="0"/>
                <w:i w:val="0"/>
                <w:sz w:val="17"/>
              </w:rPr>
              <w:t>Auto-charge (if authorised) or block</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Payment conversion option. The payer can click "Convert to Immediate Payment" on the alert (one click). The system calculates the amount, dispatches the pain.001 instruction on file to the bank, and releases the guarantee. After payment, `deferred_status` becomes PAID and the fee is marked settled. Auto-charge requires prior authorisation (checkbox during Stage 1: "Authorise automatic charge on expiry").</w:t>
      </w:r>
    </w:p>
    <w:p>
      <w:pPr>
        <w:spacing w:after="80" w:line="293" w:lineRule="auto"/>
        <w:jc w:val="left"/>
      </w:pPr>
      <w:r>
        <w:rPr>
          <w:rFonts w:ascii="Times New Roman" w:hAnsi="Times New Roman" w:cs="Times New Roman"/>
          <w:b w:val="0"/>
          <w:i w:val="0"/>
          <w:sz w:val="22"/>
        </w:rPr>
        <w:t>Database additions:</w:t>
      </w:r>
    </w:p>
    <w:p>
      <w:pPr>
        <w:spacing w:after="0" w:before="0" w:line="240" w:lineRule="auto"/>
        <w:ind w:left="57"/>
        <w:jc w:val="left"/>
        <w:shd w:val="clear" w:fill="F2F2F2"/>
      </w:pPr>
      <w:r>
        <w:rPr>
          <w:rFonts w:ascii="Consolas" w:hAnsi="Consolas" w:cs="Consolas"/>
          <w:b w:val="0"/>
          <w:i w:val="0"/>
          <w:sz w:val="15"/>
        </w:rPr>
        <w:t>ALTER TABLE fee_payment_requests ADD COLUMN deferred BOOLEAN DEFAULT false;</w:t>
      </w:r>
    </w:p>
    <w:p>
      <w:pPr>
        <w:spacing w:after="0" w:before="0" w:line="240" w:lineRule="auto"/>
        <w:ind w:left="57"/>
        <w:jc w:val="left"/>
        <w:shd w:val="clear" w:fill="F2F2F2"/>
      </w:pPr>
      <w:r>
        <w:rPr>
          <w:rFonts w:ascii="Consolas" w:hAnsi="Consolas" w:cs="Consolas"/>
          <w:b w:val="0"/>
          <w:i w:val="0"/>
          <w:sz w:val="15"/>
        </w:rPr>
        <w:t>ALTER TABLE fee_payment_requests ADD COLUMN deferred_status TEXT DEFAULT 'GUARANTEE_HELD';</w:t>
      </w:r>
    </w:p>
    <w:p>
      <w:pPr>
        <w:spacing w:after="0" w:before="0" w:line="240" w:lineRule="auto"/>
        <w:ind w:left="57"/>
        <w:jc w:val="left"/>
        <w:shd w:val="clear" w:fill="F2F2F2"/>
      </w:pPr>
      <w:r>
        <w:rPr>
          <w:rFonts w:ascii="Consolas" w:hAnsi="Consolas" w:cs="Consolas"/>
          <w:b w:val="0"/>
          <w:i w:val="0"/>
          <w:sz w:val="15"/>
        </w:rPr>
        <w:t xml:space="preserve">    -- 'GUARANTEE_HELD', 'RELEASED', 'PAID', 'EXPIRED'</w:t>
      </w:r>
    </w:p>
    <w:p>
      <w:pPr>
        <w:spacing w:after="0" w:before="0" w:line="240" w:lineRule="auto"/>
        <w:ind w:left="57"/>
        <w:jc w:val="left"/>
        <w:shd w:val="clear" w:fill="F2F2F2"/>
      </w:pPr>
      <w:r>
        <w:rPr>
          <w:rFonts w:ascii="Consolas" w:hAnsi="Consolas" w:cs="Consolas"/>
          <w:b w:val="0"/>
          <w:i w:val="0"/>
          <w:sz w:val="15"/>
        </w:rPr>
        <w:t>ALTER TABLE fee_payment_requests ADD COLUMN auto_charge_authorised BOOLEAN DEFAULT false;</w:t>
      </w:r>
    </w:p>
    <w:p>
      <w:pPr>
        <w:spacing w:after="0" w:before="0" w:line="240" w:lineRule="auto"/>
        <w:ind w:left="57"/>
        <w:jc w:val="left"/>
        <w:shd w:val="clear" w:fill="F2F2F2"/>
      </w:pPr>
      <w:r>
        <w:rPr>
          <w:rFonts w:ascii="Consolas" w:hAnsi="Consolas" w:cs="Consolas"/>
          <w:b w:val="0"/>
          <w:i w:val="0"/>
          <w:sz w:val="15"/>
        </w:rPr>
        <w:t>ALTER TABLE fee_payment_requests ADD COLUMN expiry_action_taken TEXT;</w:t>
      </w:r>
    </w:p>
    <w:p>
      <w:pPr>
        <w:spacing w:after="0" w:before="0" w:line="240" w:lineRule="auto"/>
        <w:ind w:left="57"/>
        <w:jc w:val="left"/>
        <w:shd w:val="clear" w:fill="F2F2F2"/>
      </w:pPr>
      <w:r>
        <w:rPr>
          <w:rFonts w:ascii="Consolas" w:hAnsi="Consolas" w:cs="Consolas"/>
          <w:b w:val="0"/>
          <w:i w:val="0"/>
          <w:sz w:val="15"/>
        </w:rPr>
        <w:t xml:space="preserve">    -- 'reminded', 'alerted', 'expired_charged', 'expired_blocked'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Deferred government fee trigger (CUSTOMS_IMPORT). When the customs clearance milestone is confirmed, the system retrieves all deferred fee records for the USTN. For each deferred fee it retrieves the amount, payee (government agency), and guarantee reference; generates a settlement instruction for the government fee; if auto-charge is authorised, dispatches the pain.001 instruction on file to the bank, otherwise sends a Smart Inbox alert "Deferred fees are now due. Please pay."; releases the guarantee (marked RELEASED or PAID); and removes the container release hold (if applicable).</w:t>
      </w:r>
    </w:p>
    <w:p>
      <w:pPr>
        <w:spacing w:after="80" w:line="293" w:lineRule="auto"/>
        <w:jc w:val="left"/>
      </w:pPr>
      <w:r>
        <w:rPr>
          <w:rFonts w:ascii="Times New Roman" w:hAnsi="Times New Roman" w:cs="Times New Roman"/>
          <w:b w:val="0"/>
          <w:i w:val="0"/>
          <w:sz w:val="22"/>
        </w:rPr>
        <w:t>Example deferred fee payment panel — SGTX-EG-26-F3A-1: Customs clearance completed: 2026-07-06 09:00 UTC. Deferred fees: Import Duties — $10,000 — Egyptian Customs — Paid — [View Receipt]; VAT — $14,000 — Egyptian Tax Authority — Pending — [Pay Now]. Guarantee: Bank deferred instruction — Released. AI recommendation: "VAT payment is pending. Please pay now to avoid penalties." Actions: [Pay All Deferred Fees] [View Details].</w:t>
      </w:r>
    </w:p>
    <w:p>
      <w:pPr>
        <w:keepNext/>
        <w:spacing w:before="180" w:after="80"/>
        <w:outlineLvl w:val="2"/>
      </w:pPr>
      <w:r>
        <w:rPr>
          <w:rFonts w:ascii="Arial" w:hAnsi="Arial" w:cs="Arial"/>
          <w:b/>
          <w:i w:val="0"/>
          <w:color w:val="333333"/>
          <w:sz w:val="23"/>
        </w:rPr>
        <w:t>13.4.12 Late Payment &amp; Automatic Late Fees</w:t>
      </w:r>
    </w:p>
    <w:p>
      <w:pPr>
        <w:spacing w:after="80" w:line="293" w:lineRule="auto"/>
        <w:jc w:val="left"/>
      </w:pPr>
      <w:r>
        <w:rPr>
          <w:rFonts w:ascii="Times New Roman" w:hAnsi="Times New Roman" w:cs="Times New Roman"/>
          <w:b w:val="0"/>
          <w:i w:val="0"/>
          <w:sz w:val="22"/>
        </w:rPr>
        <w:t>Commission payment terms (SGTX trade fee). Fee due within 7 days of contract lock OR within 24 hours of loading confirmation (whichever is earlier). For multi-shipment contracts, each shipment's fee follows the same rule independently.</w:t>
      </w:r>
    </w:p>
    <w:p>
      <w:pPr>
        <w:spacing w:after="80" w:line="293" w:lineRule="auto"/>
        <w:jc w:val="left"/>
      </w:pPr>
      <w:r>
        <w:rPr>
          <w:rFonts w:ascii="Times New Roman" w:hAnsi="Times New Roman" w:cs="Times New Roman"/>
          <w:b w:val="0"/>
          <w:i w:val="0"/>
          <w:sz w:val="22"/>
        </w:rPr>
        <w:t>Late fee calculation (A4). 0.1% of the unpaid fee per full day of delay, capped at 100% of the original fee. A daily cron job (late-fee-calculator, Rust) checks `fee_payment_requests` where `status = 'PENDING'` and `due_date &lt; NOW()`, updates `fee_payment_requests.late_fee_accrued`, and adds a record to `late_fee_events`. The seller receives Smart Inbox reminders (priority 90) on the first day of delay and daily reminders thereafter. The late fee is collected at the same time as the original fee (when the seller eventually pays); the settlement instruction includes both the original fee and the accrued late fee. Example: SGTX trade fee = $360, due date = 20 June, seller pays on 23 June (3 days late). Late fee = $360 × 0.1% × 3 = $1.08. Total due = $361.08.</w:t>
      </w:r>
    </w:p>
    <w:p>
      <w:pPr>
        <w:spacing w:after="80" w:line="293" w:lineRule="auto"/>
        <w:jc w:val="left"/>
      </w:pPr>
      <w:r>
        <w:rPr>
          <w:rFonts w:ascii="Times New Roman" w:hAnsi="Times New Roman" w:cs="Times New Roman"/>
          <w:b w:val="0"/>
          <w:i w:val="0"/>
          <w:sz w:val="22"/>
        </w:rPr>
        <w:t>Container loading trigger. If the container is loaded before the 7-day deadline, the loading milestone confirmation recalculates the due date = loading confirmation timestamp + 24 hours, updates `fee_payment_requests.due_date`, and sends a Smart Inbox alert: "Container loaded. SGTX fee of $43.20 is now due within 24 hours (by 22 June 14:00 UTC)." Governance (G3U7): the Governor checks that the fee payment is completed before the USTN is generated; if the due date passes without payment, the Governor blocks any further milestones (loading, departure, etc.) until payment is made.</w:t>
      </w:r>
    </w:p>
    <w:p>
      <w:pPr>
        <w:keepNext/>
        <w:spacing w:before="180" w:after="80"/>
        <w:outlineLvl w:val="2"/>
      </w:pPr>
      <w:r>
        <w:rPr>
          <w:rFonts w:ascii="Arial" w:hAnsi="Arial" w:cs="Arial"/>
          <w:b/>
          <w:i w:val="0"/>
          <w:color w:val="333333"/>
          <w:sz w:val="23"/>
        </w:rPr>
        <w:t>13.4.13 Idempotency Key Standard for External Calls</w:t>
      </w:r>
    </w:p>
    <w:p>
      <w:pPr>
        <w:spacing w:after="80" w:line="293" w:lineRule="auto"/>
        <w:jc w:val="left"/>
      </w:pPr>
      <w:r>
        <w:rPr>
          <w:rFonts w:ascii="Times New Roman" w:hAnsi="Times New Roman" w:cs="Times New Roman"/>
          <w:b w:val="0"/>
          <w:i w:val="0"/>
          <w:sz w:val="22"/>
        </w:rPr>
        <w:t>Purpose. Prevent duplicate external API calls (for example, double declaration submissions, double payment charges) by enforcing a standard idempotency key for all outgoing requests.</w:t>
      </w:r>
    </w:p>
    <w:p>
      <w:pPr>
        <w:spacing w:after="80" w:line="293" w:lineRule="auto"/>
        <w:jc w:val="left"/>
      </w:pPr>
      <w:r>
        <w:rPr>
          <w:rFonts w:ascii="Times New Roman" w:hAnsi="Times New Roman" w:cs="Times New Roman"/>
          <w:b w:val="0"/>
          <w:i w:val="0"/>
          <w:sz w:val="22"/>
        </w:rPr>
        <w:t>Format:</w:t>
      </w:r>
    </w:p>
    <w:p>
      <w:pPr>
        <w:spacing w:after="0" w:before="0" w:line="240" w:lineRule="auto"/>
        <w:ind w:left="57"/>
        <w:jc w:val="left"/>
        <w:shd w:val="clear" w:fill="F2F2F2"/>
      </w:pPr>
      <w:r>
        <w:rPr>
          <w:rFonts w:ascii="Consolas" w:hAnsi="Consolas" w:cs="Consolas"/>
          <w:b w:val="0"/>
          <w:i w:val="0"/>
          <w:sz w:val="15"/>
        </w:rPr>
        <w:t>idempotency_key = SHA256( request_body_canonical + timestamp_utc_rounded_to_second )</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`request_body_canonical` is the JSON request body serialised with JCS (RFC 8785) — the same canonicalisation used for signatures — and `timestamp_utc_rounded_to_second` is the current UTC time truncated to the nearest second (ISO 8601 format: YYYY-MM-DDTHH:MM:SSZ). Example:</w:t>
      </w:r>
    </w:p>
    <w:p>
      <w:pPr>
        <w:spacing w:after="0" w:before="0" w:line="240" w:lineRule="auto"/>
        <w:ind w:left="57"/>
        <w:jc w:val="left"/>
        <w:shd w:val="clear" w:fill="F2F2F2"/>
      </w:pPr>
      <w:r>
        <w:rPr>
          <w:rFonts w:ascii="Consolas" w:hAnsi="Consolas" w:cs="Consolas"/>
          <w:b w:val="0"/>
          <w:i w:val="0"/>
          <w:sz w:val="15"/>
        </w:rPr>
        <w:t>request_body_canonical = '{"ustn":"SGTX-EG-26-F3A-1","container":"MEDU1234567"}'</w:t>
      </w:r>
    </w:p>
    <w:p>
      <w:pPr>
        <w:spacing w:after="0" w:before="0" w:line="240" w:lineRule="auto"/>
        <w:ind w:left="57"/>
        <w:jc w:val="left"/>
        <w:shd w:val="clear" w:fill="F2F2F2"/>
      </w:pPr>
      <w:r>
        <w:rPr>
          <w:rFonts w:ascii="Consolas" w:hAnsi="Consolas" w:cs="Consolas"/>
          <w:b w:val="0"/>
          <w:i w:val="0"/>
          <w:sz w:val="15"/>
        </w:rPr>
        <w:t>timestamp              = '2026-06-10T14:35:22Z'</w:t>
      </w:r>
    </w:p>
    <w:p>
      <w:pPr>
        <w:spacing w:after="0" w:before="0" w:line="240" w:lineRule="auto"/>
        <w:ind w:left="57"/>
        <w:jc w:val="left"/>
        <w:shd w:val="clear" w:fill="F2F2F2"/>
      </w:pPr>
      <w:r>
        <w:rPr>
          <w:rFonts w:ascii="Consolas" w:hAnsi="Consolas" w:cs="Consolas"/>
          <w:b w:val="0"/>
          <w:i w:val="0"/>
          <w:sz w:val="15"/>
        </w:rPr>
        <w:t>idempotency_key        = SHA256('{"ustn":"SGTX-EG-26-F3A-1","container":"MEDU1234567"}'</w:t>
      </w:r>
    </w:p>
    <w:p>
      <w:pPr>
        <w:spacing w:after="0" w:before="0" w:line="240" w:lineRule="auto"/>
        <w:ind w:left="57"/>
        <w:jc w:val="left"/>
        <w:shd w:val="clear" w:fill="F2F2F2"/>
      </w:pPr>
      <w:r>
        <w:rPr>
          <w:rFonts w:ascii="Consolas" w:hAnsi="Consolas" w:cs="Consolas"/>
          <w:b w:val="0"/>
          <w:i w:val="0"/>
          <w:sz w:val="15"/>
        </w:rPr>
        <w:t xml:space="preserve">                            + '2026-06-10T14:35:22Z')</w:t>
      </w:r>
    </w:p>
    <w:p>
      <w:pPr>
        <w:spacing w:after="0" w:before="0" w:line="240" w:lineRule="auto"/>
        <w:ind w:left="57"/>
        <w:jc w:val="left"/>
        <w:shd w:val="clear" w:fill="F2F2F2"/>
      </w:pPr>
      <w:r>
        <w:rPr>
          <w:rFonts w:ascii="Consolas" w:hAnsi="Consolas" w:cs="Consolas"/>
          <w:b w:val="0"/>
          <w:i w:val="0"/>
          <w:sz w:val="15"/>
        </w:rPr>
        <w:t xml:space="preserve">                         = 'a1b2c3d4e5f6...'</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Usage. For every external API call (Nafeza, CargoX, ETA, banks, etc.), SGTX includes the idempotency key in the request headers:</w:t>
      </w:r>
    </w:p>
    <w:p>
      <w:pPr>
        <w:spacing w:after="0" w:before="0" w:line="240" w:lineRule="auto"/>
        <w:ind w:left="57"/>
        <w:jc w:val="left"/>
        <w:shd w:val="clear" w:fill="F2F2F2"/>
      </w:pPr>
      <w:r>
        <w:rPr>
          <w:rFonts w:ascii="Consolas" w:hAnsi="Consolas" w:cs="Consolas"/>
          <w:b w:val="0"/>
          <w:i w:val="0"/>
          <w:sz w:val="15"/>
        </w:rPr>
        <w:t>X-Idempotency-Key: a1b2c3d4e5f6...</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Retry behaviour. If the external API returns a 5xx error, SGTX retries with the same idempotency key. The external API (or SGTX's own wrapper) must store the key and response for at least 24 hours, returning the same response on duplicate keys (idempotent behaviour). For bank endpoints that do not support idempotency keys, SGTX adds a unique UUID in the payment reference field as a fallback.</w:t>
      </w:r>
    </w:p>
    <w:p>
      <w:pPr>
        <w:spacing w:after="80" w:line="293" w:lineRule="auto"/>
        <w:jc w:val="left"/>
      </w:pPr>
      <w:r>
        <w:rPr>
          <w:rFonts w:ascii="Times New Roman" w:hAnsi="Times New Roman" w:cs="Times New Roman"/>
          <w:b w:val="0"/>
          <w:i w:val="0"/>
          <w:sz w:val="22"/>
        </w:rPr>
        <w:t>Storage &amp; enforcement. Every idempotency key used is logged in `integration_connector_logs` with the request and response, for audit and debugging. The Governor rejects any attempt to replay a request with a duplicate key within 24 hours unless the original request failed with a non-retryable error.</w:t>
      </w:r>
    </w:p>
    <w:p>
      <w:pPr>
        <w:keepNext/>
        <w:spacing w:before="180" w:after="80"/>
        <w:outlineLvl w:val="2"/>
      </w:pPr>
      <w:r>
        <w:rPr>
          <w:rFonts w:ascii="Arial" w:hAnsi="Arial" w:cs="Arial"/>
          <w:b/>
          <w:i w:val="0"/>
          <w:color w:val="333333"/>
          <w:sz w:val="23"/>
        </w:rPr>
        <w:t>13.4.14 Error Handling &amp; Retry Policies</w:t>
      </w:r>
    </w:p>
    <w:p>
      <w:pPr>
        <w:spacing w:after="80" w:line="293" w:lineRule="auto"/>
        <w:jc w:val="left"/>
      </w:pPr>
      <w:r>
        <w:rPr>
          <w:rFonts w:ascii="Times New Roman" w:hAnsi="Times New Roman" w:cs="Times New Roman"/>
          <w:b w:val="0"/>
          <w:i w:val="0"/>
          <w:sz w:val="22"/>
        </w:rPr>
        <w:t>All external calls use exponential backoff retries; failures beyond the retry budget are queued and alerted. All errors are logged in `integration_connector_logs` with request/response bodies (sanitised). AI authority: A2 for error analysis; A1 for Groq-generated error summaries.</w:t>
      </w:r>
    </w:p>
    <w:p>
      <w:pPr>
        <w:keepNext/>
        <w:spacing w:before="240" w:after="100"/>
        <w:outlineLvl w:val="1"/>
      </w:pPr>
      <w:r>
        <w:rPr>
          <w:rFonts w:ascii="Arial" w:hAnsi="Arial" w:cs="Arial"/>
          <w:b/>
          <w:i w:val="0"/>
          <w:color w:val="2E528F"/>
          <w:sz w:val="26"/>
        </w:rPr>
        <w:t>13.5 Government Fee Collection &amp; Integration</w:t>
      </w:r>
    </w:p>
    <w:p>
      <w:pPr>
        <w:keepNext/>
        <w:spacing w:before="180" w:after="80"/>
        <w:outlineLvl w:val="2"/>
      </w:pPr>
      <w:r>
        <w:rPr>
          <w:rFonts w:ascii="Arial" w:hAnsi="Arial" w:cs="Arial"/>
          <w:b/>
          <w:i w:val="0"/>
          <w:color w:val="333333"/>
          <w:sz w:val="23"/>
        </w:rPr>
        <w:t>13.5.1 Orchestration Model</w:t>
      </w:r>
    </w:p>
    <w:p>
      <w:pPr>
        <w:spacing w:after="80" w:line="293" w:lineRule="auto"/>
        <w:jc w:val="left"/>
      </w:pPr>
      <w:r>
        <w:rPr>
          <w:rFonts w:ascii="Times New Roman" w:hAnsi="Times New Roman" w:cs="Times New Roman"/>
          <w:b w:val="0"/>
          <w:i w:val="0"/>
          <w:sz w:val="22"/>
        </w:rPr>
        <w:t>SGTX is not a replacement for government systems — it is an orchestration layer that automates data submission to the four mandatory government APIs: Nafeza (Customs Single Window), CargoX (ACI Blockchain Platform), ETA (Egyptian Tax Authority e-Invoice), and the Central Bank of Egypt (CBE) (payment and FX). Government integrations are one-directional orchestration: SGTX automates data submission and reconciliation; it never replaces the government system. All integrations use mutual TLS (mTLS) with Egypt Trust certificates; there is no third-party middleware.</w:t>
      </w:r>
    </w:p>
    <w:p>
      <w:pPr>
        <w:spacing w:after="80" w:line="293" w:lineRule="auto"/>
        <w:jc w:val="left"/>
      </w:pPr>
      <w:r>
        <w:rPr>
          <w:rFonts w:ascii="Times New Roman" w:hAnsi="Times New Roman" w:cs="Times New Roman"/>
          <w:b w:val="0"/>
          <w:i w:val="0"/>
          <w:sz w:val="22"/>
        </w:rPr>
        <w:t>One-click trigger map — the user never logs into Nafeza, CargoX, or ETA; all government interactions are triggered automatically after the single payment approval:</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User Action</w:t>
            </w:r>
          </w:p>
        </w:tc>
        <w:tc>
          <w:tcPr>
            <w:tcW w:type="dxa" w:w="3213"/>
            <w:shd w:val="clear" w:fill="D9E2F3"/>
          </w:tcPr>
          <w:p>
            <w:pPr>
              <w:spacing w:after="20" w:before="20" w:line="240" w:lineRule="auto"/>
            </w:pPr>
            <w:r/>
            <w:r>
              <w:rPr>
                <w:rFonts w:ascii="Arial" w:hAnsi="Arial" w:cs="Arial"/>
                <w:b/>
                <w:i w:val="0"/>
                <w:sz w:val="18"/>
              </w:rPr>
              <w:t>Payment Trigger</w:t>
            </w:r>
          </w:p>
        </w:tc>
        <w:tc>
          <w:tcPr>
            <w:tcW w:type="dxa" w:w="3213"/>
            <w:shd w:val="clear" w:fill="D9E2F3"/>
          </w:tcPr>
          <w:p>
            <w:pPr>
              <w:spacing w:after="20" w:before="20" w:line="240" w:lineRule="auto"/>
            </w:pPr>
            <w:r/>
            <w:r>
              <w:rPr>
                <w:rFonts w:ascii="Arial" w:hAnsi="Arial" w:cs="Arial"/>
                <w:b/>
                <w:i w:val="0"/>
                <w:sz w:val="18"/>
              </w:rPr>
              <w:t>Automated Government Calls</w:t>
            </w:r>
          </w:p>
        </w:tc>
      </w:tr>
      <w:tr>
        <w:tc>
          <w:tcPr>
            <w:tcW w:type="dxa" w:w="3213"/>
          </w:tcPr>
          <w:p>
            <w:pPr>
              <w:spacing w:after="20" w:before="20" w:line="240" w:lineRule="auto"/>
            </w:pPr>
            <w:r/>
            <w:r>
              <w:rPr>
                <w:rFonts w:ascii="Arial" w:hAnsi="Arial" w:cs="Arial"/>
                <w:b w:val="0"/>
                <w:i w:val="0"/>
                <w:sz w:val="17"/>
              </w:rPr>
              <w:t>Buyer accepts quote</w:t>
            </w:r>
          </w:p>
        </w:tc>
        <w:tc>
          <w:tcPr>
            <w:tcW w:type="dxa" w:w="3213"/>
          </w:tcPr>
          <w:p>
            <w:pPr>
              <w:spacing w:after="20" w:before="20" w:line="240" w:lineRule="auto"/>
            </w:pPr>
            <w:r/>
            <w:r>
              <w:rPr>
                <w:rFonts w:ascii="Arial" w:hAnsi="Arial" w:cs="Arial"/>
                <w:b w:val="0"/>
                <w:i w:val="0"/>
                <w:sz w:val="17"/>
              </w:rPr>
              <w:t>—</w:t>
            </w:r>
          </w:p>
        </w:tc>
        <w:tc>
          <w:tcPr>
            <w:tcW w:type="dxa" w:w="3213"/>
          </w:tcPr>
          <w:p>
            <w:pPr>
              <w:spacing w:after="20" w:before="20" w:line="240" w:lineRule="auto"/>
            </w:pPr>
            <w:r/>
            <w:r>
              <w:rPr>
                <w:rFonts w:ascii="Arial" w:hAnsi="Arial" w:cs="Arial"/>
                <w:b w:val="0"/>
                <w:i w:val="0"/>
                <w:sz w:val="17"/>
              </w:rPr>
              <w:t>ETA e-Invoice submission (seller signature; no fee)</w:t>
            </w:r>
          </w:p>
        </w:tc>
      </w:tr>
      <w:tr>
        <w:tc>
          <w:tcPr>
            <w:tcW w:type="dxa" w:w="3213"/>
          </w:tcPr>
          <w:p>
            <w:pPr>
              <w:spacing w:after="20" w:before="20" w:line="240" w:lineRule="auto"/>
            </w:pPr>
            <w:r/>
            <w:r>
              <w:rPr>
                <w:rFonts w:ascii="Arial" w:hAnsi="Arial" w:cs="Arial"/>
                <w:b w:val="0"/>
                <w:i w:val="0"/>
                <w:sz w:val="17"/>
              </w:rPr>
              <w:t>Seller clicks "Pay Stage 1"</w:t>
            </w:r>
          </w:p>
        </w:tc>
        <w:tc>
          <w:tcPr>
            <w:tcW w:type="dxa" w:w="3213"/>
          </w:tcPr>
          <w:p>
            <w:pPr>
              <w:spacing w:after="20" w:before="20" w:line="240" w:lineRule="auto"/>
            </w:pPr>
            <w:r/>
            <w:r>
              <w:rPr>
                <w:rFonts w:ascii="Arial" w:hAnsi="Arial" w:cs="Arial"/>
                <w:b w:val="0"/>
                <w:i w:val="0"/>
                <w:sz w:val="17"/>
              </w:rPr>
              <w:t>camt.054 settlement leg confirmed</w:t>
            </w:r>
          </w:p>
        </w:tc>
        <w:tc>
          <w:tcPr>
            <w:tcW w:type="dxa" w:w="3213"/>
          </w:tcPr>
          <w:p>
            <w:pPr>
              <w:spacing w:after="20" w:before="20" w:line="240" w:lineRule="auto"/>
            </w:pPr>
            <w:r/>
            <w:r>
              <w:rPr>
                <w:rFonts w:ascii="Arial" w:hAnsi="Arial" w:cs="Arial"/>
                <w:b w:val="0"/>
                <w:i w:val="0"/>
                <w:sz w:val="17"/>
              </w:rPr>
              <w:t>CargoX ACI envelope submission → ACID issued; Nafeza SAD submission; Nafeza certificate requests (after compliant lab results)</w:t>
            </w:r>
          </w:p>
        </w:tc>
      </w:tr>
      <w:tr>
        <w:tc>
          <w:tcPr>
            <w:tcW w:type="dxa" w:w="3213"/>
          </w:tcPr>
          <w:p>
            <w:pPr>
              <w:spacing w:after="20" w:before="20" w:line="240" w:lineRule="auto"/>
            </w:pPr>
            <w:r/>
            <w:r>
              <w:rPr>
                <w:rFonts w:ascii="Arial" w:hAnsi="Arial" w:cs="Arial"/>
                <w:b w:val="0"/>
                <w:i w:val="0"/>
                <w:sz w:val="17"/>
              </w:rPr>
              <w:t>Seller/buyer clicks "Pay Stage 2"</w:t>
            </w:r>
          </w:p>
        </w:tc>
        <w:tc>
          <w:tcPr>
            <w:tcW w:type="dxa" w:w="3213"/>
          </w:tcPr>
          <w:p>
            <w:pPr>
              <w:spacing w:after="20" w:before="20" w:line="240" w:lineRule="auto"/>
            </w:pPr>
            <w:r/>
            <w:r>
              <w:rPr>
                <w:rFonts w:ascii="Arial" w:hAnsi="Arial" w:cs="Arial"/>
                <w:b w:val="0"/>
                <w:i w:val="0"/>
                <w:sz w:val="17"/>
              </w:rPr>
              <w:t>camt.054 settlement leg confirmed</w:t>
            </w:r>
          </w:p>
        </w:tc>
        <w:tc>
          <w:tcPr>
            <w:tcW w:type="dxa" w:w="3213"/>
          </w:tcPr>
          <w:p>
            <w:pPr>
              <w:spacing w:after="20" w:before="20" w:line="240" w:lineRule="auto"/>
            </w:pPr>
            <w:r/>
            <w:r>
              <w:rPr>
                <w:rFonts w:ascii="Arial" w:hAnsi="Arial" w:cs="Arial"/>
                <w:b w:val="0"/>
                <w:i w:val="0"/>
                <w:sz w:val="17"/>
              </w:rPr>
              <w:t>Freight settlement to carrier; destination charge settlement</w:t>
            </w:r>
          </w:p>
        </w:tc>
      </w:tr>
      <w:tr>
        <w:tc>
          <w:tcPr>
            <w:tcW w:type="dxa" w:w="3213"/>
          </w:tcPr>
          <w:p>
            <w:pPr>
              <w:spacing w:after="20" w:before="20" w:line="240" w:lineRule="auto"/>
            </w:pPr>
            <w:r/>
            <w:r>
              <w:rPr>
                <w:rFonts w:ascii="Arial" w:hAnsi="Arial" w:cs="Arial"/>
                <w:b w:val="0"/>
                <w:i w:val="0"/>
                <w:sz w:val="17"/>
              </w:rPr>
              <w:t>Buyer confirms delivery / approves settlement</w:t>
            </w:r>
          </w:p>
        </w:tc>
        <w:tc>
          <w:tcPr>
            <w:tcW w:type="dxa" w:w="3213"/>
          </w:tcPr>
          <w:p>
            <w:pPr>
              <w:spacing w:after="20" w:before="20" w:line="240" w:lineRule="auto"/>
            </w:pPr>
            <w:r/>
            <w:r>
              <w:rPr>
                <w:rFonts w:ascii="Arial" w:hAnsi="Arial" w:cs="Arial"/>
                <w:b w:val="0"/>
                <w:i w:val="0"/>
                <w:sz w:val="17"/>
              </w:rPr>
              <w:t>Settlement instruction authorised</w:t>
            </w:r>
          </w:p>
        </w:tc>
        <w:tc>
          <w:tcPr>
            <w:tcW w:type="dxa" w:w="3213"/>
          </w:tcPr>
          <w:p>
            <w:pPr>
              <w:spacing w:after="20" w:before="20" w:line="240" w:lineRule="auto"/>
            </w:pPr>
            <w:r/>
            <w:r>
              <w:rPr>
                <w:rFonts w:ascii="Arial" w:hAnsi="Arial" w:cs="Arial"/>
                <w:b w:val="0"/>
                <w:i w:val="0"/>
                <w:sz w:val="17"/>
              </w:rPr>
              <w:t>bank-direct settlement instruction (pain.001); reconciliation data published; CBE reporting updated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13.5.2 Nafeza Integration (Customs Single Window)</w:t>
      </w:r>
    </w:p>
    <w:p>
      <w:pPr>
        <w:spacing w:after="80" w:line="293" w:lineRule="auto"/>
        <w:jc w:val="left"/>
      </w:pPr>
      <w:r>
        <w:rPr>
          <w:rFonts w:ascii="Times New Roman" w:hAnsi="Times New Roman" w:cs="Times New Roman"/>
          <w:b w:val="0"/>
          <w:i w:val="0"/>
          <w:sz w:val="22"/>
        </w:rPr>
        <w:t>Overview. Nafeza is the national single window for trade. SGTX submits the Single Administrative Document (SAD) and requests ancillary certificates (phytosanitary, health, certificate of origin, EUR.1). SGTX can file directly using:</w:t>
      </w:r>
    </w:p>
    <w:p>
      <w:pPr>
        <w:spacing w:after="80" w:line="293" w:lineRule="auto"/>
        <w:ind w:left="283"/>
        <w:jc w:val="left"/>
      </w:pPr>
      <w:r>
        <w:rPr>
          <w:rFonts w:ascii="Times New Roman" w:hAnsi="Times New Roman" w:cs="Times New Roman"/>
          <w:b w:val="0"/>
          <w:i w:val="0"/>
          <w:sz w:val="22"/>
        </w:rPr>
        <w:t>- Exporter's delegated authority — the exporter authorises SGTX to file on their behalf (consent stored in the tenant profile).</w:t>
      </w:r>
    </w:p>
    <w:p>
      <w:pPr>
        <w:spacing w:after="80" w:line="293" w:lineRule="auto"/>
        <w:ind w:left="283"/>
        <w:jc w:val="left"/>
      </w:pPr>
      <w:r>
        <w:rPr>
          <w:rFonts w:ascii="Times New Roman" w:hAnsi="Times New Roman" w:cs="Times New Roman"/>
          <w:b w:val="0"/>
          <w:i w:val="0"/>
          <w:sz w:val="22"/>
        </w:rPr>
        <w:t>- SGTX's own broker licence — the platform acts as a licensed customs broker.</w:t>
      </w:r>
    </w:p>
    <w:p>
      <w:pPr>
        <w:spacing w:after="80" w:line="293" w:lineRule="auto"/>
        <w:ind w:left="283"/>
        <w:jc w:val="left"/>
      </w:pPr>
      <w:r>
        <w:rPr>
          <w:rFonts w:ascii="Times New Roman" w:hAnsi="Times New Roman" w:cs="Times New Roman"/>
          <w:b w:val="0"/>
          <w:i w:val="0"/>
          <w:sz w:val="22"/>
        </w:rPr>
        <w:t>- Optional broker certification — if the seller has selected a customs broker for certification, the broker reviews the AI-generated SAD and clicks "Certify"; then SGTX submits the SAD under the broker's digital seal.</w:t>
      </w:r>
    </w:p>
    <w:p>
      <w:pPr>
        <w:spacing w:after="80" w:line="293" w:lineRule="auto"/>
        <w:jc w:val="left"/>
      </w:pPr>
      <w:r>
        <w:rPr>
          <w:rFonts w:ascii="Times New Roman" w:hAnsi="Times New Roman" w:cs="Times New Roman"/>
          <w:b w:val="0"/>
          <w:i w:val="0"/>
          <w:sz w:val="22"/>
        </w:rPr>
        <w:t>Legal basis: Egyptian Customs Law No. 207 of 2020, Article 51.</w:t>
      </w:r>
    </w:p>
    <w:p>
      <w:pPr>
        <w:spacing w:after="80" w:line="293" w:lineRule="auto"/>
        <w:jc w:val="left"/>
      </w:pPr>
      <w:r>
        <w:rPr>
          <w:rFonts w:ascii="Times New Roman" w:hAnsi="Times New Roman" w:cs="Times New Roman"/>
          <w:b w:val="0"/>
          <w:i w:val="0"/>
          <w:sz w:val="22"/>
        </w:rPr>
        <w:t>API endpoint &amp; authentication. Endpoint: POST /api/v2/declaration; authentication is mTLS with Egypt Trust certificates. One-click integration: no user action — certificate management is automatic.</w:t>
      </w:r>
    </w:p>
    <w:p>
      <w:pPr>
        <w:spacing w:after="80" w:line="293" w:lineRule="auto"/>
        <w:jc w:val="left"/>
      </w:pPr>
      <w:r>
        <w:rPr>
          <w:rFonts w:ascii="Times New Roman" w:hAnsi="Times New Roman" w:cs="Times New Roman"/>
          <w:b w:val="0"/>
          <w:i w:val="0"/>
          <w:sz w:val="22"/>
        </w:rPr>
        <w:t>Request schema (export SAD — simplified):</w:t>
      </w:r>
    </w:p>
    <w:p>
      <w:pPr>
        <w:spacing w:after="0" w:before="0" w:line="240" w:lineRule="auto"/>
        <w:ind w:left="57"/>
        <w:jc w:val="left"/>
        <w:shd w:val="clear" w:fill="F2F2F2"/>
      </w:pPr>
      <w:r>
        <w:rPr>
          <w:rFonts w:ascii="Consolas" w:hAnsi="Consolas" w:cs="Consolas"/>
          <w:b w:val="0"/>
          <w:i w:val="0"/>
          <w:sz w:val="15"/>
        </w:rPr>
        <w:t>POST /api/v2/declaration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"declaration_type": "EXPORT",</w:t>
      </w:r>
    </w:p>
    <w:p>
      <w:pPr>
        <w:spacing w:after="0" w:before="0" w:line="240" w:lineRule="auto"/>
        <w:ind w:left="57"/>
        <w:jc w:val="left"/>
        <w:shd w:val="clear" w:fill="F2F2F2"/>
      </w:pPr>
      <w:r>
        <w:rPr>
          <w:rFonts w:ascii="Consolas" w:hAnsi="Consolas" w:cs="Consolas"/>
          <w:b w:val="0"/>
          <w:i w:val="0"/>
          <w:sz w:val="15"/>
        </w:rPr>
        <w:t xml:space="preserve">    "trader_gtid": "SGTX-EG-TRD-002139-7F3A",</w:t>
      </w:r>
    </w:p>
    <w:p>
      <w:pPr>
        <w:spacing w:after="0" w:before="0" w:line="240" w:lineRule="auto"/>
        <w:ind w:left="57"/>
        <w:jc w:val="left"/>
        <w:shd w:val="clear" w:fill="F2F2F2"/>
      </w:pPr>
      <w:r>
        <w:rPr>
          <w:rFonts w:ascii="Consolas" w:hAnsi="Consolas" w:cs="Consolas"/>
          <w:b w:val="0"/>
          <w:i w:val="0"/>
          <w:sz w:val="15"/>
        </w:rPr>
        <w:t xml:space="preserve">    "broker_gtid": "SGTX-EG-CBR-001",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"acid": "ACI20260415-0001",</w:t>
      </w:r>
    </w:p>
    <w:p>
      <w:pPr>
        <w:spacing w:after="0" w:before="0" w:line="240" w:lineRule="auto"/>
        <w:ind w:left="57"/>
        <w:jc w:val="left"/>
        <w:shd w:val="clear" w:fill="F2F2F2"/>
      </w:pPr>
      <w:r>
        <w:rPr>
          <w:rFonts w:ascii="Consolas" w:hAnsi="Consolas" w:cs="Consolas"/>
          <w:b w:val="0"/>
          <w:i w:val="0"/>
          <w:sz w:val="15"/>
        </w:rPr>
        <w:t xml:space="preserve">    "invoice": {</w:t>
      </w:r>
    </w:p>
    <w:p>
      <w:pPr>
        <w:spacing w:after="0" w:before="0" w:line="240" w:lineRule="auto"/>
        <w:ind w:left="57"/>
        <w:jc w:val="left"/>
        <w:shd w:val="clear" w:fill="F2F2F2"/>
      </w:pPr>
      <w:r>
        <w:rPr>
          <w:rFonts w:ascii="Consolas" w:hAnsi="Consolas" w:cs="Consolas"/>
          <w:b w:val="0"/>
          <w:i w:val="0"/>
          <w:sz w:val="15"/>
        </w:rPr>
        <w:t xml:space="preserve">        "number": "INV-STR-2026-001",</w:t>
      </w:r>
    </w:p>
    <w:p>
      <w:pPr>
        <w:spacing w:after="0" w:before="0" w:line="240" w:lineRule="auto"/>
        <w:ind w:left="57"/>
        <w:jc w:val="left"/>
        <w:shd w:val="clear" w:fill="F2F2F2"/>
      </w:pPr>
      <w:r>
        <w:rPr>
          <w:rFonts w:ascii="Consolas" w:hAnsi="Consolas" w:cs="Consolas"/>
          <w:b w:val="0"/>
          <w:i w:val="0"/>
          <w:sz w:val="15"/>
        </w:rPr>
        <w:t xml:space="preserve">        "value": 105753.00,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"eta_uuid": "f47ac10b-58cc-4372-a567-0e02b2c3d479"</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"goods":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"hs_code": "0805.10",</w:t>
      </w:r>
    </w:p>
    <w:p>
      <w:pPr>
        <w:spacing w:after="0" w:before="0" w:line="240" w:lineRule="auto"/>
        <w:ind w:left="57"/>
        <w:jc w:val="left"/>
        <w:shd w:val="clear" w:fill="F2F2F2"/>
      </w:pPr>
      <w:r>
        <w:rPr>
          <w:rFonts w:ascii="Consolas" w:hAnsi="Consolas" w:cs="Consolas"/>
          <w:b w:val="0"/>
          <w:i w:val="0"/>
          <w:sz w:val="15"/>
        </w:rPr>
        <w:t xml:space="preserve">            "description": "Fresh oranges",</w:t>
      </w:r>
    </w:p>
    <w:p>
      <w:pPr>
        <w:spacing w:after="0" w:before="0" w:line="240" w:lineRule="auto"/>
        <w:ind w:left="57"/>
        <w:jc w:val="left"/>
        <w:shd w:val="clear" w:fill="F2F2F2"/>
      </w:pPr>
      <w:r>
        <w:rPr>
          <w:rFonts w:ascii="Consolas" w:hAnsi="Consolas" w:cs="Consolas"/>
          <w:b w:val="0"/>
          <w:i w:val="0"/>
          <w:sz w:val="15"/>
        </w:rPr>
        <w:t xml:space="preserve">            "net_weight_kg": 8800,</w:t>
      </w:r>
    </w:p>
    <w:p>
      <w:pPr>
        <w:spacing w:after="0" w:before="0" w:line="240" w:lineRule="auto"/>
        <w:ind w:left="57"/>
        <w:jc w:val="left"/>
        <w:shd w:val="clear" w:fill="F2F2F2"/>
      </w:pPr>
      <w:r>
        <w:rPr>
          <w:rFonts w:ascii="Consolas" w:hAnsi="Consolas" w:cs="Consolas"/>
          <w:b w:val="0"/>
          <w:i w:val="0"/>
          <w:sz w:val="15"/>
        </w:rPr>
        <w:t xml:space="preserve">            "gross_weight_kg": 9790,</w:t>
      </w:r>
    </w:p>
    <w:p>
      <w:pPr>
        <w:spacing w:after="0" w:before="0" w:line="240" w:lineRule="auto"/>
        <w:ind w:left="57"/>
        <w:jc w:val="left"/>
        <w:shd w:val="clear" w:fill="F2F2F2"/>
      </w:pPr>
      <w:r>
        <w:rPr>
          <w:rFonts w:ascii="Consolas" w:hAnsi="Consolas" w:cs="Consolas"/>
          <w:b w:val="0"/>
          <w:i w:val="0"/>
          <w:sz w:val="15"/>
        </w:rPr>
        <w:t xml:space="preserve">            "container_number": "MEDU1234567",</w:t>
      </w:r>
    </w:p>
    <w:p>
      <w:pPr>
        <w:spacing w:after="0" w:before="0" w:line="240" w:lineRule="auto"/>
        <w:ind w:left="57"/>
        <w:jc w:val="left"/>
        <w:shd w:val="clear" w:fill="F2F2F2"/>
      </w:pPr>
      <w:r>
        <w:rPr>
          <w:rFonts w:ascii="Consolas" w:hAnsi="Consolas" w:cs="Consolas"/>
          <w:b w:val="0"/>
          <w:i w:val="0"/>
          <w:sz w:val="15"/>
        </w:rPr>
        <w:t xml:space="preserve">            "packages": 880,</w:t>
      </w:r>
    </w:p>
    <w:p>
      <w:pPr>
        <w:spacing w:after="0" w:before="0" w:line="240" w:lineRule="auto"/>
        <w:ind w:left="57"/>
        <w:jc w:val="left"/>
        <w:shd w:val="clear" w:fill="F2F2F2"/>
      </w:pPr>
      <w:r>
        <w:rPr>
          <w:rFonts w:ascii="Consolas" w:hAnsi="Consolas" w:cs="Consolas"/>
          <w:b w:val="0"/>
          <w:i w:val="0"/>
          <w:sz w:val="15"/>
        </w:rPr>
        <w:t xml:space="preserve">            "package_type": "CARTON"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"certificate_requests": [</w:t>
      </w:r>
    </w:p>
    <w:p>
      <w:pPr>
        <w:spacing w:after="0" w:before="0" w:line="240" w:lineRule="auto"/>
        <w:ind w:left="57"/>
        <w:jc w:val="left"/>
        <w:shd w:val="clear" w:fill="F2F2F2"/>
      </w:pPr>
      <w:r>
        <w:rPr>
          <w:rFonts w:ascii="Consolas" w:hAnsi="Consolas" w:cs="Consolas"/>
          <w:b w:val="0"/>
          <w:i w:val="0"/>
          <w:sz w:val="15"/>
        </w:rPr>
        <w:t xml:space="preserve">        { "type": "PHYTOSANITARY", "ref_lab_report": "USTN:SGTX-...:LAB-001" },</w:t>
      </w:r>
    </w:p>
    <w:p>
      <w:pPr>
        <w:spacing w:after="0" w:before="0" w:line="240" w:lineRule="auto"/>
        <w:ind w:left="57"/>
        <w:jc w:val="left"/>
        <w:shd w:val="clear" w:fill="F2F2F2"/>
      </w:pPr>
      <w:r>
        <w:rPr>
          <w:rFonts w:ascii="Consolas" w:hAnsi="Consolas" w:cs="Consolas"/>
          <w:b w:val="0"/>
          <w:i w:val="0"/>
          <w:sz w:val="15"/>
        </w:rPr>
        <w:t xml:space="preserve">        { "type": "HEALTH", "ref_lab_report": "USTN:SGTX-...:LAB-001" },</w:t>
      </w:r>
    </w:p>
    <w:p>
      <w:pPr>
        <w:spacing w:after="0" w:before="0" w:line="240" w:lineRule="auto"/>
        <w:ind w:left="57"/>
        <w:jc w:val="left"/>
        <w:shd w:val="clear" w:fill="F2F2F2"/>
      </w:pPr>
      <w:r>
        <w:rPr>
          <w:rFonts w:ascii="Consolas" w:hAnsi="Consolas" w:cs="Consolas"/>
          <w:b w:val="0"/>
          <w:i w:val="0"/>
          <w:sz w:val="15"/>
        </w:rPr>
        <w:t xml:space="preserve">        { "type": "CERTIFICATE_OF_ORIGIN" },</w:t>
      </w:r>
    </w:p>
    <w:p>
      <w:pPr>
        <w:spacing w:after="0" w:before="0" w:line="240" w:lineRule="auto"/>
        <w:ind w:left="57"/>
        <w:jc w:val="left"/>
        <w:shd w:val="clear" w:fill="F2F2F2"/>
      </w:pPr>
      <w:r>
        <w:rPr>
          <w:rFonts w:ascii="Consolas" w:hAnsi="Consolas" w:cs="Consolas"/>
          <w:b w:val="0"/>
          <w:i w:val="0"/>
          <w:sz w:val="15"/>
        </w:rPr>
        <w:t xml:space="preserve">        { "type": "EUR1"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"transport": {</w:t>
      </w:r>
    </w:p>
    <w:p>
      <w:pPr>
        <w:spacing w:after="0" w:before="0" w:line="240" w:lineRule="auto"/>
        <w:ind w:left="57"/>
        <w:jc w:val="left"/>
        <w:shd w:val="clear" w:fill="F2F2F2"/>
      </w:pPr>
      <w:r>
        <w:rPr>
          <w:rFonts w:ascii="Consolas" w:hAnsi="Consolas" w:cs="Consolas"/>
          <w:b w:val="0"/>
          <w:i w:val="0"/>
          <w:sz w:val="15"/>
        </w:rPr>
        <w:t xml:space="preserve">        "incoterm": "CFR",</w:t>
      </w:r>
    </w:p>
    <w:p>
      <w:pPr>
        <w:spacing w:after="0" w:before="0" w:line="240" w:lineRule="auto"/>
        <w:ind w:left="57"/>
        <w:jc w:val="left"/>
        <w:shd w:val="clear" w:fill="F2F2F2"/>
      </w:pPr>
      <w:r>
        <w:rPr>
          <w:rFonts w:ascii="Consolas" w:hAnsi="Consolas" w:cs="Consolas"/>
          <w:b w:val="0"/>
          <w:i w:val="0"/>
          <w:sz w:val="15"/>
        </w:rPr>
        <w:t xml:space="preserve">        "port_of_loading": "EGDAM",</w:t>
      </w:r>
    </w:p>
    <w:p>
      <w:pPr>
        <w:spacing w:after="0" w:before="0" w:line="240" w:lineRule="auto"/>
        <w:ind w:left="57"/>
        <w:jc w:val="left"/>
        <w:shd w:val="clear" w:fill="F2F2F2"/>
      </w:pPr>
      <w:r>
        <w:rPr>
          <w:rFonts w:ascii="Consolas" w:hAnsi="Consolas" w:cs="Consolas"/>
          <w:b w:val="0"/>
          <w:i w:val="0"/>
          <w:sz w:val="15"/>
        </w:rPr>
        <w:t xml:space="preserve">        "port_of_discharge": "DEHAM",</w:t>
      </w:r>
    </w:p>
    <w:p>
      <w:pPr>
        <w:spacing w:after="0" w:before="0" w:line="240" w:lineRule="auto"/>
        <w:ind w:left="57"/>
        <w:jc w:val="left"/>
        <w:shd w:val="clear" w:fill="F2F2F2"/>
      </w:pPr>
      <w:r>
        <w:rPr>
          <w:rFonts w:ascii="Consolas" w:hAnsi="Consolas" w:cs="Consolas"/>
          <w:b w:val="0"/>
          <w:i w:val="0"/>
          <w:sz w:val="15"/>
        </w:rPr>
        <w:t xml:space="preserve">        "vessel_name": "MSC FIONA"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Timing: this call is made after the Stage 1 settlement confirmation is received (because customs fees are part of Stage 1). Nafeza requires proof of fee payment — the camt.054 settlement proof serves as that evidence.</w:t>
      </w:r>
    </w:p>
    <w:p>
      <w:pPr>
        <w:spacing w:after="80" w:line="293" w:lineRule="auto"/>
        <w:jc w:val="left"/>
      </w:pPr>
      <w:r>
        <w:rPr>
          <w:rFonts w:ascii="Times New Roman" w:hAnsi="Times New Roman" w:cs="Times New Roman"/>
          <w:b w:val="0"/>
          <w:i w:val="0"/>
          <w:sz w:val="22"/>
        </w:rPr>
        <w:t>Response schema. Success (202 Accepted — asynchronous processing):</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"declaration_id": "SAD20260415-000147",</w:t>
      </w:r>
    </w:p>
    <w:p>
      <w:pPr>
        <w:spacing w:after="0" w:before="0" w:line="240" w:lineRule="auto"/>
        <w:ind w:left="57"/>
        <w:jc w:val="left"/>
        <w:shd w:val="clear" w:fill="F2F2F2"/>
      </w:pPr>
      <w:r>
        <w:rPr>
          <w:rFonts w:ascii="Consolas" w:hAnsi="Consolas" w:cs="Consolas"/>
          <w:b w:val="0"/>
          <w:i w:val="0"/>
          <w:sz w:val="15"/>
        </w:rPr>
        <w:t xml:space="preserve">    "status": "ACCEPTED",</w:t>
      </w:r>
    </w:p>
    <w:p>
      <w:pPr>
        <w:spacing w:after="0" w:before="0" w:line="240" w:lineRule="auto"/>
        <w:ind w:left="57"/>
        <w:jc w:val="left"/>
        <w:shd w:val="clear" w:fill="F2F2F2"/>
      </w:pPr>
      <w:r>
        <w:rPr>
          <w:rFonts w:ascii="Consolas" w:hAnsi="Consolas" w:cs="Consolas"/>
          <w:b w:val="0"/>
          <w:i w:val="0"/>
          <w:sz w:val="15"/>
        </w:rPr>
        <w:t xml:space="preserve">    "estimated_processing_time": "4 hours",</w:t>
      </w:r>
    </w:p>
    <w:p>
      <w:pPr>
        <w:spacing w:after="0" w:before="0" w:line="240" w:lineRule="auto"/>
        <w:ind w:left="57"/>
        <w:jc w:val="left"/>
        <w:shd w:val="clear" w:fill="F2F2F2"/>
      </w:pPr>
      <w:r>
        <w:rPr>
          <w:rFonts w:ascii="Consolas" w:hAnsi="Consolas" w:cs="Consolas"/>
          <w:b w:val="0"/>
          <w:i w:val="0"/>
          <w:sz w:val="15"/>
        </w:rPr>
        <w:t xml:space="preserve">    "certificate_requests": [</w:t>
      </w:r>
    </w:p>
    <w:p>
      <w:pPr>
        <w:spacing w:after="0" w:before="0" w:line="240" w:lineRule="auto"/>
        <w:ind w:left="57"/>
        <w:jc w:val="left"/>
        <w:shd w:val="clear" w:fill="F2F2F2"/>
      </w:pPr>
      <w:r>
        <w:rPr>
          <w:rFonts w:ascii="Consolas" w:hAnsi="Consolas" w:cs="Consolas"/>
          <w:b w:val="0"/>
          <w:i w:val="0"/>
          <w:sz w:val="15"/>
        </w:rPr>
        <w:t xml:space="preserve">        { "type": "PHYTOSANITARY", "status": "PENDING", "request_id": "PHYTO-REQ-147" },</w:t>
      </w:r>
    </w:p>
    <w:p>
      <w:pPr>
        <w:spacing w:after="0" w:before="0" w:line="240" w:lineRule="auto"/>
        <w:ind w:left="57"/>
        <w:jc w:val="left"/>
        <w:shd w:val="clear" w:fill="F2F2F2"/>
      </w:pPr>
      <w:r>
        <w:rPr>
          <w:rFonts w:ascii="Consolas" w:hAnsi="Consolas" w:cs="Consolas"/>
          <w:b w:val="0"/>
          <w:i w:val="0"/>
          <w:sz w:val="15"/>
        </w:rPr>
        <w:t xml:space="preserve">        { "type": "HEALTH", "status": "PENDING", "request_id": "HEALTH-REQ-147" },</w:t>
      </w:r>
    </w:p>
    <w:p>
      <w:pPr>
        <w:spacing w:after="0" w:before="0" w:line="240" w:lineRule="auto"/>
        <w:ind w:left="57"/>
        <w:jc w:val="left"/>
        <w:shd w:val="clear" w:fill="F2F2F2"/>
      </w:pPr>
      <w:r>
        <w:rPr>
          <w:rFonts w:ascii="Consolas" w:hAnsi="Consolas" w:cs="Consolas"/>
          <w:b w:val="0"/>
          <w:i w:val="0"/>
          <w:sz w:val="15"/>
        </w:rPr>
        <w:t xml:space="preserve">        { "type": "COO", "status": "PENDING", "request_id": "COO-REQ-147"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Polling: SGTX polls GET /api/v2/declaration/{declaration_id} every 30 minutes or receives a webhook (if Nafeza supports it). When certificates are issued, SGTX downloads the PDFs and stores them in documents with a SHA-256 hash.</w:t>
      </w:r>
    </w:p>
    <w:p>
      <w:pPr>
        <w:spacing w:after="80" w:line="293" w:lineRule="auto"/>
        <w:jc w:val="left"/>
      </w:pPr>
      <w:r>
        <w:rPr>
          <w:rFonts w:ascii="Times New Roman" w:hAnsi="Times New Roman" w:cs="Times New Roman"/>
          <w:b w:val="0"/>
          <w:i w:val="0"/>
          <w:sz w:val="22"/>
        </w:rPr>
        <w:t>Certificate issuance via lab results. When a laboratory submits compliant test results, SGTX automatically triggers the certificate request:</w:t>
      </w:r>
    </w:p>
    <w:p>
      <w:pPr>
        <w:spacing w:after="0" w:before="0" w:line="240" w:lineRule="auto"/>
        <w:ind w:left="57"/>
        <w:jc w:val="left"/>
        <w:shd w:val="clear" w:fill="F2F2F2"/>
      </w:pPr>
      <w:r>
        <w:rPr>
          <w:rFonts w:ascii="Consolas" w:hAnsi="Consolas" w:cs="Consolas"/>
          <w:b w:val="0"/>
          <w:i w:val="0"/>
          <w:sz w:val="15"/>
        </w:rPr>
        <w:t>POST /api/v2/declaration/{declaration_id}/certificates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"type": "PHYTOSANITARY",</w:t>
      </w:r>
    </w:p>
    <w:p>
      <w:pPr>
        <w:spacing w:after="0" w:before="0" w:line="240" w:lineRule="auto"/>
        <w:ind w:left="57"/>
        <w:jc w:val="left"/>
        <w:shd w:val="clear" w:fill="F2F2F2"/>
      </w:pPr>
      <w:r>
        <w:rPr>
          <w:rFonts w:ascii="Consolas" w:hAnsi="Consolas" w:cs="Consolas"/>
          <w:b w:val="0"/>
          <w:i w:val="0"/>
          <w:sz w:val="15"/>
        </w:rPr>
        <w:t xml:space="preserve">    "lab_report_ref": "USTN:SGTX-...:LAB-001"</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Nafeza issues the certificate (fee already covered in Stage 1); SGTX downloads it and attaches it to the USTN.</w:t>
      </w:r>
    </w:p>
    <w:p>
      <w:pPr>
        <w:keepNext/>
        <w:spacing w:before="180" w:after="80"/>
        <w:outlineLvl w:val="2"/>
      </w:pPr>
      <w:r>
        <w:rPr>
          <w:rFonts w:ascii="Arial" w:hAnsi="Arial" w:cs="Arial"/>
          <w:b/>
          <w:i w:val="0"/>
          <w:color w:val="333333"/>
          <w:sz w:val="23"/>
        </w:rPr>
        <w:t>13.5.3 CargoX Integration (ACI Blockchain)</w:t>
      </w:r>
    </w:p>
    <w:p>
      <w:pPr>
        <w:spacing w:after="80" w:line="293" w:lineRule="auto"/>
        <w:jc w:val="left"/>
      </w:pPr>
      <w:r>
        <w:rPr>
          <w:rFonts w:ascii="Times New Roman" w:hAnsi="Times New Roman" w:cs="Times New Roman"/>
          <w:b w:val="0"/>
          <w:i w:val="0"/>
          <w:sz w:val="22"/>
        </w:rPr>
        <w:t>Overview. CargoX is mandatory for Advance Cargo Information (ACI). SGTX submits the shipment envelope and receives an ACID (Advance Cargo Information Declaration). The ACID is required for the Nafeza declaration. Legal basis: Egyptian Customs Law No. 207/2020, Article 51 (ACI requirement).</w:t>
      </w:r>
    </w:p>
    <w:p>
      <w:pPr>
        <w:spacing w:after="80" w:line="293" w:lineRule="auto"/>
        <w:jc w:val="left"/>
      </w:pPr>
      <w:r>
        <w:rPr>
          <w:rFonts w:ascii="Times New Roman" w:hAnsi="Times New Roman" w:cs="Times New Roman"/>
          <w:b w:val="0"/>
          <w:i w:val="0"/>
          <w:sz w:val="22"/>
        </w:rPr>
        <w:t>API endpoint &amp; authentication. Endpoint: POST /v3/shipments; authentication uses HMAC signing.</w:t>
      </w:r>
    </w:p>
    <w:p>
      <w:pPr>
        <w:spacing w:after="80" w:line="293" w:lineRule="auto"/>
        <w:jc w:val="left"/>
      </w:pPr>
      <w:r>
        <w:rPr>
          <w:rFonts w:ascii="Times New Roman" w:hAnsi="Times New Roman" w:cs="Times New Roman"/>
          <w:b w:val="0"/>
          <w:i w:val="0"/>
          <w:sz w:val="22"/>
        </w:rPr>
        <w:t>Request schema:</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"external_reference": "SGTX-EG-26-F3A-1",</w:t>
      </w:r>
    </w:p>
    <w:p>
      <w:pPr>
        <w:spacing w:after="0" w:before="0" w:line="240" w:lineRule="auto"/>
        <w:ind w:left="57"/>
        <w:jc w:val="left"/>
        <w:shd w:val="clear" w:fill="F2F2F2"/>
      </w:pPr>
      <w:r>
        <w:rPr>
          <w:rFonts w:ascii="Consolas" w:hAnsi="Consolas" w:cs="Consolas"/>
          <w:b w:val="0"/>
          <w:i w:val="0"/>
          <w:sz w:val="15"/>
        </w:rPr>
        <w:t xml:space="preserve">    "shipper": {</w:t>
      </w:r>
    </w:p>
    <w:p>
      <w:pPr>
        <w:spacing w:after="0" w:before="0" w:line="240" w:lineRule="auto"/>
        <w:ind w:left="57"/>
        <w:jc w:val="left"/>
        <w:shd w:val="clear" w:fill="F2F2F2"/>
      </w:pPr>
      <w:r>
        <w:rPr>
          <w:rFonts w:ascii="Consolas" w:hAnsi="Consolas" w:cs="Consolas"/>
          <w:b w:val="0"/>
          <w:i w:val="0"/>
          <w:sz w:val="15"/>
        </w:rPr>
        <w:t xml:space="preserve">        "tax_id": "123-456-789",</w:t>
      </w:r>
    </w:p>
    <w:p>
      <w:pPr>
        <w:spacing w:after="0" w:before="0" w:line="240" w:lineRule="auto"/>
        <w:ind w:left="57"/>
        <w:jc w:val="left"/>
        <w:shd w:val="clear" w:fill="F2F2F2"/>
      </w:pPr>
      <w:r>
        <w:rPr>
          <w:rFonts w:ascii="Consolas" w:hAnsi="Consolas" w:cs="Consolas"/>
          <w:b w:val="0"/>
          <w:i w:val="0"/>
          <w:sz w:val="15"/>
        </w:rPr>
        <w:t xml:space="preserve">        "name": "Strawberry Export Co.",</w:t>
      </w:r>
    </w:p>
    <w:p>
      <w:pPr>
        <w:spacing w:after="0" w:before="0" w:line="240" w:lineRule="auto"/>
        <w:ind w:left="57"/>
        <w:jc w:val="left"/>
        <w:shd w:val="clear" w:fill="F2F2F2"/>
      </w:pPr>
      <w:r>
        <w:rPr>
          <w:rFonts w:ascii="Consolas" w:hAnsi="Consolas" w:cs="Consolas"/>
          <w:b w:val="0"/>
          <w:i w:val="0"/>
          <w:sz w:val="15"/>
        </w:rPr>
        <w:t xml:space="preserve">        "country": "EG"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"consignee": {</w:t>
      </w:r>
    </w:p>
    <w:p>
      <w:pPr>
        <w:spacing w:after="0" w:before="0" w:line="240" w:lineRule="auto"/>
        <w:ind w:left="57"/>
        <w:jc w:val="left"/>
        <w:shd w:val="clear" w:fill="F2F2F2"/>
      </w:pPr>
      <w:r>
        <w:rPr>
          <w:rFonts w:ascii="Consolas" w:hAnsi="Consolas" w:cs="Consolas"/>
          <w:b w:val="0"/>
          <w:i w:val="0"/>
          <w:sz w:val="15"/>
        </w:rPr>
        <w:t xml:space="preserve">        "tax_id": "DE123456789",</w:t>
      </w:r>
    </w:p>
    <w:p>
      <w:pPr>
        <w:spacing w:after="0" w:before="0" w:line="240" w:lineRule="auto"/>
        <w:ind w:left="57"/>
        <w:jc w:val="left"/>
        <w:shd w:val="clear" w:fill="F2F2F2"/>
      </w:pPr>
      <w:r>
        <w:rPr>
          <w:rFonts w:ascii="Consolas" w:hAnsi="Consolas" w:cs="Consolas"/>
          <w:b w:val="0"/>
          <w:i w:val="0"/>
          <w:sz w:val="15"/>
        </w:rPr>
        <w:t xml:space="preserve">        "name": "European Importer GmbH",</w:t>
      </w:r>
    </w:p>
    <w:p>
      <w:pPr>
        <w:spacing w:after="0" w:before="0" w:line="240" w:lineRule="auto"/>
        <w:ind w:left="57"/>
        <w:jc w:val="left"/>
        <w:shd w:val="clear" w:fill="F2F2F2"/>
      </w:pPr>
      <w:r>
        <w:rPr>
          <w:rFonts w:ascii="Consolas" w:hAnsi="Consolas" w:cs="Consolas"/>
          <w:b w:val="0"/>
          <w:i w:val="0"/>
          <w:sz w:val="15"/>
        </w:rPr>
        <w:t xml:space="preserve">        "country": "DE"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"goods_value": { "amount": 100000.00, "currency": "USD" },</w:t>
      </w:r>
    </w:p>
    <w:p>
      <w:pPr>
        <w:spacing w:after="0" w:before="0" w:line="240" w:lineRule="auto"/>
        <w:ind w:left="57"/>
        <w:jc w:val="left"/>
        <w:shd w:val="clear" w:fill="F2F2F2"/>
      </w:pPr>
      <w:r>
        <w:rPr>
          <w:rFonts w:ascii="Consolas" w:hAnsi="Consolas" w:cs="Consolas"/>
          <w:b w:val="0"/>
          <w:i w:val="0"/>
          <w:sz w:val="15"/>
        </w:rPr>
        <w:t xml:space="preserve">    "container_numbers": ["MEDU1234567"],</w:t>
      </w:r>
    </w:p>
    <w:p>
      <w:pPr>
        <w:spacing w:after="0" w:before="0" w:line="240" w:lineRule="auto"/>
        <w:ind w:left="57"/>
        <w:jc w:val="left"/>
        <w:shd w:val="clear" w:fill="F2F2F2"/>
      </w:pPr>
      <w:r>
        <w:rPr>
          <w:rFonts w:ascii="Consolas" w:hAnsi="Consolas" w:cs="Consolas"/>
          <w:b w:val="0"/>
          <w:i w:val="0"/>
          <w:sz w:val="15"/>
        </w:rPr>
        <w:t xml:space="preserve">    "documents": [</w:t>
      </w:r>
    </w:p>
    <w:p>
      <w:pPr>
        <w:spacing w:after="0" w:before="0" w:line="240" w:lineRule="auto"/>
        <w:ind w:left="57"/>
        <w:jc w:val="left"/>
        <w:shd w:val="clear" w:fill="F2F2F2"/>
      </w:pPr>
      <w:r>
        <w:rPr>
          <w:rFonts w:ascii="Consolas" w:hAnsi="Consolas" w:cs="Consolas"/>
          <w:b w:val="0"/>
          <w:i w:val="0"/>
          <w:sz w:val="15"/>
        </w:rPr>
        <w:t xml:space="preserve">        { "type": "INVOICE", "content_base64": "...", "filename": "invoice.pdf" },</w:t>
      </w:r>
    </w:p>
    <w:p>
      <w:pPr>
        <w:spacing w:after="0" w:before="0" w:line="240" w:lineRule="auto"/>
        <w:ind w:left="57"/>
        <w:jc w:val="left"/>
        <w:shd w:val="clear" w:fill="F2F2F2"/>
      </w:pPr>
      <w:r>
        <w:rPr>
          <w:rFonts w:ascii="Consolas" w:hAnsi="Consolas" w:cs="Consolas"/>
          <w:b w:val="0"/>
          <w:i w:val="0"/>
          <w:sz w:val="15"/>
        </w:rPr>
        <w:t xml:space="preserve">        { "type": "PACKING_LIST", "content_base64": "...", "filename": "packing.pdf"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schema:</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"acid": "ACI20260415-0001",</w:t>
      </w:r>
    </w:p>
    <w:p>
      <w:pPr>
        <w:spacing w:after="0" w:before="0" w:line="240" w:lineRule="auto"/>
        <w:ind w:left="57"/>
        <w:jc w:val="left"/>
        <w:shd w:val="clear" w:fill="F2F2F2"/>
      </w:pPr>
      <w:r>
        <w:rPr>
          <w:rFonts w:ascii="Consolas" w:hAnsi="Consolas" w:cs="Consolas"/>
          <w:b w:val="0"/>
          <w:i w:val="0"/>
          <w:sz w:val="15"/>
        </w:rPr>
        <w:t xml:space="preserve">    "status": "ISSUED",</w:t>
      </w:r>
    </w:p>
    <w:p>
      <w:pPr>
        <w:spacing w:after="0" w:before="0" w:line="240" w:lineRule="auto"/>
        <w:ind w:left="57"/>
        <w:jc w:val="left"/>
        <w:shd w:val="clear" w:fill="F2F2F2"/>
      </w:pPr>
      <w:r>
        <w:rPr>
          <w:rFonts w:ascii="Consolas" w:hAnsi="Consolas" w:cs="Consolas"/>
          <w:b w:val="0"/>
          <w:i w:val="0"/>
          <w:sz w:val="15"/>
        </w:rPr>
        <w:t xml:space="preserve">    "blockchain_seal": "0xabc123..."</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ACID is stored in `documents.acid` and used in the Nafeza declaration.</w:t>
      </w:r>
    </w:p>
    <w:p>
      <w:pPr>
        <w:spacing w:after="80" w:line="293" w:lineRule="auto"/>
        <w:jc w:val="left"/>
      </w:pPr>
      <w:r>
        <w:rPr>
          <w:rFonts w:ascii="Times New Roman" w:hAnsi="Times New Roman" w:cs="Times New Roman"/>
          <w:b w:val="0"/>
          <w:i w:val="0"/>
          <w:sz w:val="22"/>
        </w:rPr>
        <w:t>Payment integration. The CargoX fee is included in the Stage 1 split (payee CARGOX). After the camt.054 confirmation verifies that CargoX has been paid, SGTX calls the CargoX API. The ACID is then used for Nafeza.</w:t>
      </w:r>
    </w:p>
    <w:p>
      <w:pPr>
        <w:keepNext/>
        <w:spacing w:before="180" w:after="80"/>
        <w:outlineLvl w:val="2"/>
      </w:pPr>
      <w:r>
        <w:rPr>
          <w:rFonts w:ascii="Arial" w:hAnsi="Arial" w:cs="Arial"/>
          <w:b/>
          <w:i w:val="0"/>
          <w:color w:val="333333"/>
          <w:sz w:val="23"/>
        </w:rPr>
        <w:t>13.5.4 ETA Integration (e-Invoice)</w:t>
      </w:r>
    </w:p>
    <w:p>
      <w:pPr>
        <w:spacing w:after="80" w:line="293" w:lineRule="auto"/>
        <w:jc w:val="left"/>
      </w:pPr>
      <w:r>
        <w:rPr>
          <w:rFonts w:ascii="Times New Roman" w:hAnsi="Times New Roman" w:cs="Times New Roman"/>
          <w:b w:val="0"/>
          <w:i w:val="0"/>
          <w:sz w:val="22"/>
        </w:rPr>
        <w:t>Overview. The Egyptian Tax Authority (ETA) e-Invoice system requires every B2B invoice to be submitted in real time. SGTX submits the UBL 2.1 XML invoice (generated at contract time, Section 9) and receives a UUID and QR code. Legal basis: Egyptian Tax Law No. 91/2005, ETA e-Invoice regulation.</w:t>
      </w:r>
    </w:p>
    <w:p>
      <w:pPr>
        <w:spacing w:after="80" w:line="293" w:lineRule="auto"/>
        <w:jc w:val="left"/>
      </w:pPr>
      <w:r>
        <w:rPr>
          <w:rFonts w:ascii="Times New Roman" w:hAnsi="Times New Roman" w:cs="Times New Roman"/>
          <w:b w:val="0"/>
          <w:i w:val="0"/>
          <w:sz w:val="22"/>
        </w:rPr>
        <w:t>API endpoint &amp; authentication. Endpoint: POST /einvoice/v1/documents; authentication uses XML signing (XAdES).</w:t>
      </w:r>
    </w:p>
    <w:p>
      <w:pPr>
        <w:spacing w:after="80" w:line="293" w:lineRule="auto"/>
        <w:jc w:val="left"/>
      </w:pPr>
      <w:r>
        <w:rPr>
          <w:rFonts w:ascii="Times New Roman" w:hAnsi="Times New Roman" w:cs="Times New Roman"/>
          <w:b w:val="0"/>
          <w:i w:val="0"/>
          <w:sz w:val="22"/>
        </w:rPr>
        <w:t>Request body. The canonicalised, signed XML invoice; no additional wrapper. Example (condensed):</w:t>
      </w:r>
    </w:p>
    <w:p>
      <w:pPr>
        <w:spacing w:after="0" w:before="0" w:line="240" w:lineRule="auto"/>
        <w:ind w:left="57"/>
        <w:jc w:val="left"/>
        <w:shd w:val="clear" w:fill="F2F2F2"/>
      </w:pPr>
      <w:r>
        <w:rPr>
          <w:rFonts w:ascii="Consolas" w:hAnsi="Consolas" w:cs="Consolas"/>
          <w:b w:val="0"/>
          <w:i w:val="0"/>
          <w:sz w:val="15"/>
        </w:rPr>
        <w:t>&lt;Invoice xmlns="urn:oasis:names:specification:ubl:schema:xsd:Invoice-2"&gt;</w:t>
      </w:r>
    </w:p>
    <w:p>
      <w:pPr>
        <w:spacing w:after="0" w:before="0" w:line="240" w:lineRule="auto"/>
        <w:ind w:left="57"/>
        <w:jc w:val="left"/>
        <w:shd w:val="clear" w:fill="F2F2F2"/>
      </w:pPr>
      <w:r>
        <w:rPr>
          <w:rFonts w:ascii="Consolas" w:hAnsi="Consolas" w:cs="Consolas"/>
          <w:b w:val="0"/>
          <w:i w:val="0"/>
          <w:sz w:val="15"/>
        </w:rPr>
        <w:t xml:space="preserve">  &lt;cbc:ID&gt;INV-STR-2026-001&lt;/cbc:ID&gt;</w:t>
      </w:r>
    </w:p>
    <w:p>
      <w:pPr>
        <w:spacing w:after="0" w:before="0" w:line="240" w:lineRule="auto"/>
        <w:ind w:left="57"/>
        <w:jc w:val="left"/>
        <w:shd w:val="clear" w:fill="F2F2F2"/>
      </w:pPr>
      <w:r>
        <w:rPr>
          <w:rFonts w:ascii="Consolas" w:hAnsi="Consolas" w:cs="Consolas"/>
          <w:b w:val="0"/>
          <w:i w:val="0"/>
          <w:sz w:val="15"/>
        </w:rPr>
        <w:t xml:space="preserve">  &lt;cbc:IssueDate&gt;2026-04-15&lt;/cbc:IssueDate&gt;</w:t>
      </w:r>
    </w:p>
    <w:p>
      <w:pPr>
        <w:spacing w:after="0" w:before="0" w:line="240" w:lineRule="auto"/>
        <w:ind w:left="57"/>
        <w:jc w:val="left"/>
        <w:shd w:val="clear" w:fill="F2F2F2"/>
      </w:pPr>
      <w:r>
        <w:rPr>
          <w:rFonts w:ascii="Consolas" w:hAnsi="Consolas" w:cs="Consolas"/>
          <w:b w:val="0"/>
          <w:i w:val="0"/>
          <w:sz w:val="15"/>
        </w:rPr>
        <w:t xml:space="preserve">  &lt;cbc:InvoiceTypeCode&gt;388&lt;/cbc:InvoiceTypeCode&gt;</w:t>
      </w:r>
    </w:p>
    <w:p>
      <w:pPr>
        <w:spacing w:after="0" w:before="0" w:line="240" w:lineRule="auto"/>
        <w:ind w:left="57"/>
        <w:jc w:val="left"/>
        <w:shd w:val="clear" w:fill="F2F2F2"/>
      </w:pPr>
      <w:r>
        <w:rPr>
          <w:rFonts w:ascii="Consolas" w:hAnsi="Consolas" w:cs="Consolas"/>
          <w:b w:val="0"/>
          <w:i w:val="0"/>
          <w:sz w:val="15"/>
        </w:rPr>
        <w:t xml:space="preserve">  &lt;!-- ... full XML structure ... --&gt;</w:t>
      </w:r>
    </w:p>
    <w:p>
      <w:pPr>
        <w:spacing w:after="0" w:before="0" w:line="240" w:lineRule="auto"/>
        <w:ind w:left="57"/>
        <w:jc w:val="left"/>
        <w:shd w:val="clear" w:fill="F2F2F2"/>
      </w:pPr>
      <w:r>
        <w:rPr>
          <w:rFonts w:ascii="Consolas" w:hAnsi="Consolas" w:cs="Consolas"/>
          <w:b w:val="0"/>
          <w:i w:val="0"/>
          <w:sz w:val="15"/>
        </w:rPr>
        <w:t>&lt;/Invoice&gt;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schema:</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"uuid": "f47ac10b-58cc-4372-a567-0e02b2c3d479",</w:t>
      </w:r>
    </w:p>
    <w:p>
      <w:pPr>
        <w:spacing w:after="0" w:before="0" w:line="240" w:lineRule="auto"/>
        <w:ind w:left="57"/>
        <w:jc w:val="left"/>
        <w:shd w:val="clear" w:fill="F2F2F2"/>
      </w:pPr>
      <w:r>
        <w:rPr>
          <w:rFonts w:ascii="Consolas" w:hAnsi="Consolas" w:cs="Consolas"/>
          <w:b w:val="0"/>
          <w:i w:val="0"/>
          <w:sz w:val="15"/>
        </w:rPr>
        <w:t xml:space="preserve">    "qrCode": "iVBORw0KGgoAAAANSUhEUgAA...",</w:t>
      </w:r>
    </w:p>
    <w:p>
      <w:pPr>
        <w:spacing w:after="0" w:before="0" w:line="240" w:lineRule="auto"/>
        <w:ind w:left="57"/>
        <w:jc w:val="left"/>
        <w:shd w:val="clear" w:fill="F2F2F2"/>
      </w:pPr>
      <w:r>
        <w:rPr>
          <w:rFonts w:ascii="Consolas" w:hAnsi="Consolas" w:cs="Consolas"/>
          <w:b w:val="0"/>
          <w:i w:val="0"/>
          <w:sz w:val="15"/>
        </w:rPr>
        <w:t xml:space="preserve">    "status": "VALID"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UUID and QR code are stored in `documents.invoice_uuid` and `documents.invoice_qr`.</w:t>
      </w:r>
    </w:p>
    <w:p>
      <w:pPr>
        <w:spacing w:after="80" w:line="293" w:lineRule="auto"/>
        <w:jc w:val="left"/>
      </w:pPr>
      <w:r>
        <w:rPr>
          <w:rFonts w:ascii="Times New Roman" w:hAnsi="Times New Roman" w:cs="Times New Roman"/>
          <w:b w:val="0"/>
          <w:i w:val="0"/>
          <w:sz w:val="22"/>
        </w:rPr>
        <w:t>Timing. The invoice is submitted immediately after the buyer accepts the quote (before Stage 1 payment). ETA does not require prepayment; it only requires the seller's digital signature.</w:t>
      </w:r>
    </w:p>
    <w:p>
      <w:pPr>
        <w:keepNext/>
        <w:spacing w:before="180" w:after="80"/>
        <w:outlineLvl w:val="2"/>
      </w:pPr>
      <w:r>
        <w:rPr>
          <w:rFonts w:ascii="Arial" w:hAnsi="Arial" w:cs="Arial"/>
          <w:b/>
          <w:i w:val="0"/>
          <w:color w:val="333333"/>
          <w:sz w:val="23"/>
        </w:rPr>
        <w:t>13.5.5 CBE Direct Reporting</w:t>
      </w:r>
    </w:p>
    <w:p>
      <w:pPr>
        <w:spacing w:after="80" w:line="293" w:lineRule="auto"/>
        <w:jc w:val="left"/>
      </w:pPr>
      <w:r>
        <w:rPr>
          <w:rFonts w:ascii="Times New Roman" w:hAnsi="Times New Roman" w:cs="Times New Roman"/>
          <w:b w:val="0"/>
          <w:i w:val="0"/>
          <w:sz w:val="22"/>
        </w:rPr>
        <w:t>SGTX fee collection and cross-border settlement are executed bank-direct under the payer's mandate; the Central Bank of Egypt receives structured reporting rather than routing the payments. Regulatory reports required: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Report</w:t>
            </w:r>
          </w:p>
        </w:tc>
        <w:tc>
          <w:tcPr>
            <w:tcW w:type="dxa" w:w="2409"/>
            <w:shd w:val="clear" w:fill="D9E2F3"/>
          </w:tcPr>
          <w:p>
            <w:pPr>
              <w:spacing w:after="20" w:before="20" w:line="240" w:lineRule="auto"/>
            </w:pPr>
            <w:r/>
            <w:r>
              <w:rPr>
                <w:rFonts w:ascii="Arial" w:hAnsi="Arial" w:cs="Arial"/>
                <w:b/>
                <w:i w:val="0"/>
                <w:sz w:val="18"/>
              </w:rPr>
              <w:t>Frequency</w:t>
            </w:r>
          </w:p>
        </w:tc>
        <w:tc>
          <w:tcPr>
            <w:tcW w:type="dxa" w:w="2409"/>
            <w:shd w:val="clear" w:fill="D9E2F3"/>
          </w:tcPr>
          <w:p>
            <w:pPr>
              <w:spacing w:after="20" w:before="20" w:line="240" w:lineRule="auto"/>
            </w:pPr>
            <w:r/>
            <w:r>
              <w:rPr>
                <w:rFonts w:ascii="Arial" w:hAnsi="Arial" w:cs="Arial"/>
                <w:b/>
                <w:i w:val="0"/>
                <w:sz w:val="18"/>
              </w:rPr>
              <w:t>Recipient</w:t>
            </w:r>
          </w:p>
        </w:tc>
        <w:tc>
          <w:tcPr>
            <w:tcW w:type="dxa" w:w="2409"/>
            <w:shd w:val="clear" w:fill="D9E2F3"/>
          </w:tcPr>
          <w:p>
            <w:pPr>
              <w:spacing w:after="20" w:before="20" w:line="240" w:lineRule="auto"/>
            </w:pPr>
            <w:r/>
            <w:r>
              <w:rPr>
                <w:rFonts w:ascii="Arial" w:hAnsi="Arial" w:cs="Arial"/>
                <w:b/>
                <w:i w:val="0"/>
                <w:sz w:val="18"/>
              </w:rPr>
              <w:t>Content</w:t>
            </w:r>
          </w:p>
        </w:tc>
      </w:tr>
      <w:tr>
        <w:tc>
          <w:tcPr>
            <w:tcW w:type="dxa" w:w="2409"/>
          </w:tcPr>
          <w:p>
            <w:pPr>
              <w:spacing w:after="20" w:before="20" w:line="240" w:lineRule="auto"/>
            </w:pPr>
            <w:r/>
            <w:r>
              <w:rPr>
                <w:rFonts w:ascii="Arial" w:hAnsi="Arial" w:cs="Arial"/>
                <w:b w:val="0"/>
                <w:i w:val="0"/>
                <w:sz w:val="17"/>
              </w:rPr>
              <w:t>CBE Monthly Remittance</w:t>
            </w:r>
          </w:p>
        </w:tc>
        <w:tc>
          <w:tcPr>
            <w:tcW w:type="dxa" w:w="2409"/>
          </w:tcPr>
          <w:p>
            <w:pPr>
              <w:spacing w:after="20" w:before="20" w:line="240" w:lineRule="auto"/>
            </w:pPr>
            <w:r/>
            <w:r>
              <w:rPr>
                <w:rFonts w:ascii="Arial" w:hAnsi="Arial" w:cs="Arial"/>
                <w:b w:val="0"/>
                <w:i w:val="0"/>
                <w:sz w:val="17"/>
              </w:rPr>
              <w:t>Monthly</w:t>
            </w:r>
          </w:p>
        </w:tc>
        <w:tc>
          <w:tcPr>
            <w:tcW w:type="dxa" w:w="2409"/>
          </w:tcPr>
          <w:p>
            <w:pPr>
              <w:spacing w:after="20" w:before="20" w:line="240" w:lineRule="auto"/>
            </w:pPr>
            <w:r/>
            <w:r>
              <w:rPr>
                <w:rFonts w:ascii="Arial" w:hAnsi="Arial" w:cs="Arial"/>
                <w:b w:val="0"/>
                <w:i w:val="0"/>
                <w:sz w:val="17"/>
              </w:rPr>
              <w:t>Central Bank of Egypt</w:t>
            </w:r>
          </w:p>
        </w:tc>
        <w:tc>
          <w:tcPr>
            <w:tcW w:type="dxa" w:w="2409"/>
          </w:tcPr>
          <w:p>
            <w:pPr>
              <w:spacing w:after="20" w:before="20" w:line="240" w:lineRule="auto"/>
            </w:pPr>
            <w:r/>
            <w:r>
              <w:rPr>
                <w:rFonts w:ascii="Arial" w:hAnsi="Arial" w:cs="Arial"/>
                <w:b w:val="0"/>
                <w:i w:val="0"/>
                <w:sz w:val="17"/>
              </w:rPr>
              <w:t>All cross-border payments</w:t>
            </w:r>
          </w:p>
        </w:tc>
      </w:tr>
      <w:tr>
        <w:tc>
          <w:tcPr>
            <w:tcW w:type="dxa" w:w="2409"/>
          </w:tcPr>
          <w:p>
            <w:pPr>
              <w:spacing w:after="20" w:before="20" w:line="240" w:lineRule="auto"/>
            </w:pPr>
            <w:r/>
            <w:r>
              <w:rPr>
                <w:rFonts w:ascii="Arial" w:hAnsi="Arial" w:cs="Arial"/>
                <w:b w:val="0"/>
                <w:i w:val="0"/>
                <w:sz w:val="17"/>
              </w:rPr>
              <w:t>ETA VAT Report</w:t>
            </w:r>
          </w:p>
        </w:tc>
        <w:tc>
          <w:tcPr>
            <w:tcW w:type="dxa" w:w="2409"/>
          </w:tcPr>
          <w:p>
            <w:pPr>
              <w:spacing w:after="20" w:before="20" w:line="240" w:lineRule="auto"/>
            </w:pPr>
            <w:r/>
            <w:r>
              <w:rPr>
                <w:rFonts w:ascii="Arial" w:hAnsi="Arial" w:cs="Arial"/>
                <w:b w:val="0"/>
                <w:i w:val="0"/>
                <w:sz w:val="17"/>
              </w:rPr>
              <w:t>Monthly</w:t>
            </w:r>
          </w:p>
        </w:tc>
        <w:tc>
          <w:tcPr>
            <w:tcW w:type="dxa" w:w="2409"/>
          </w:tcPr>
          <w:p>
            <w:pPr>
              <w:spacing w:after="20" w:before="20" w:line="240" w:lineRule="auto"/>
            </w:pPr>
            <w:r/>
            <w:r>
              <w:rPr>
                <w:rFonts w:ascii="Arial" w:hAnsi="Arial" w:cs="Arial"/>
                <w:b w:val="0"/>
                <w:i w:val="0"/>
                <w:sz w:val="17"/>
              </w:rPr>
              <w:t>Egyptian Tax Authority</w:t>
            </w:r>
          </w:p>
        </w:tc>
        <w:tc>
          <w:tcPr>
            <w:tcW w:type="dxa" w:w="2409"/>
          </w:tcPr>
          <w:p>
            <w:pPr>
              <w:spacing w:after="20" w:before="20" w:line="240" w:lineRule="auto"/>
            </w:pPr>
            <w:r/>
            <w:r>
              <w:rPr>
                <w:rFonts w:ascii="Arial" w:hAnsi="Arial" w:cs="Arial"/>
                <w:b w:val="0"/>
                <w:i w:val="0"/>
                <w:sz w:val="17"/>
              </w:rPr>
              <w:t>VAT on imported goods</w:t>
            </w:r>
          </w:p>
        </w:tc>
      </w:tr>
      <w:tr>
        <w:tc>
          <w:tcPr>
            <w:tcW w:type="dxa" w:w="2409"/>
          </w:tcPr>
          <w:p>
            <w:pPr>
              <w:spacing w:after="20" w:before="20" w:line="240" w:lineRule="auto"/>
            </w:pPr>
            <w:r/>
            <w:r>
              <w:rPr>
                <w:rFonts w:ascii="Arial" w:hAnsi="Arial" w:cs="Arial"/>
                <w:b w:val="0"/>
                <w:i w:val="0"/>
                <w:sz w:val="17"/>
              </w:rPr>
              <w:t>Customs Declaration Report</w:t>
            </w:r>
          </w:p>
        </w:tc>
        <w:tc>
          <w:tcPr>
            <w:tcW w:type="dxa" w:w="2409"/>
          </w:tcPr>
          <w:p>
            <w:pPr>
              <w:spacing w:after="20" w:before="20" w:line="240" w:lineRule="auto"/>
            </w:pPr>
            <w:r/>
            <w:r>
              <w:rPr>
                <w:rFonts w:ascii="Arial" w:hAnsi="Arial" w:cs="Arial"/>
                <w:b w:val="0"/>
                <w:i w:val="0"/>
                <w:sz w:val="17"/>
              </w:rPr>
              <w:t>Per Shipment</w:t>
            </w:r>
          </w:p>
        </w:tc>
        <w:tc>
          <w:tcPr>
            <w:tcW w:type="dxa" w:w="2409"/>
          </w:tcPr>
          <w:p>
            <w:pPr>
              <w:spacing w:after="20" w:before="20" w:line="240" w:lineRule="auto"/>
            </w:pPr>
            <w:r/>
            <w:r>
              <w:rPr>
                <w:rFonts w:ascii="Arial" w:hAnsi="Arial" w:cs="Arial"/>
                <w:b w:val="0"/>
                <w:i w:val="0"/>
                <w:sz w:val="17"/>
              </w:rPr>
              <w:t>Nafeza</w:t>
            </w:r>
          </w:p>
        </w:tc>
        <w:tc>
          <w:tcPr>
            <w:tcW w:type="dxa" w:w="2409"/>
          </w:tcPr>
          <w:p>
            <w:pPr>
              <w:spacing w:after="20" w:before="20" w:line="240" w:lineRule="auto"/>
            </w:pPr>
            <w:r/>
            <w:r>
              <w:rPr>
                <w:rFonts w:ascii="Arial" w:hAnsi="Arial" w:cs="Arial"/>
                <w:b w:val="0"/>
                <w:i w:val="0"/>
                <w:sz w:val="17"/>
              </w:rPr>
              <w:t>Duties paid per USTN</w:t>
            </w:r>
          </w:p>
        </w:tc>
      </w:tr>
      <w:tr>
        <w:tc>
          <w:tcPr>
            <w:tcW w:type="dxa" w:w="2409"/>
          </w:tcPr>
          <w:p>
            <w:pPr>
              <w:spacing w:after="20" w:before="20" w:line="240" w:lineRule="auto"/>
            </w:pPr>
            <w:r/>
            <w:r>
              <w:rPr>
                <w:rFonts w:ascii="Arial" w:hAnsi="Arial" w:cs="Arial"/>
                <w:b w:val="0"/>
                <w:i w:val="0"/>
                <w:sz w:val="17"/>
              </w:rPr>
              <w:t>SAR (Suspicious Activity Report)</w:t>
            </w:r>
          </w:p>
        </w:tc>
        <w:tc>
          <w:tcPr>
            <w:tcW w:type="dxa" w:w="2409"/>
          </w:tcPr>
          <w:p>
            <w:pPr>
              <w:spacing w:after="20" w:before="20" w:line="240" w:lineRule="auto"/>
            </w:pPr>
            <w:r/>
            <w:r>
              <w:rPr>
                <w:rFonts w:ascii="Arial" w:hAnsi="Arial" w:cs="Arial"/>
                <w:b w:val="0"/>
                <w:i w:val="0"/>
                <w:sz w:val="17"/>
              </w:rPr>
              <w:t>On Detection</w:t>
            </w:r>
          </w:p>
        </w:tc>
        <w:tc>
          <w:tcPr>
            <w:tcW w:type="dxa" w:w="2409"/>
          </w:tcPr>
          <w:p>
            <w:pPr>
              <w:spacing w:after="20" w:before="20" w:line="240" w:lineRule="auto"/>
            </w:pPr>
            <w:r/>
            <w:r>
              <w:rPr>
                <w:rFonts w:ascii="Arial" w:hAnsi="Arial" w:cs="Arial"/>
                <w:b w:val="0"/>
                <w:i w:val="0"/>
                <w:sz w:val="17"/>
              </w:rPr>
              <w:t>Financial Intelligence Unit</w:t>
            </w:r>
          </w:p>
        </w:tc>
        <w:tc>
          <w:tcPr>
            <w:tcW w:type="dxa" w:w="2409"/>
          </w:tcPr>
          <w:p>
            <w:pPr>
              <w:spacing w:after="20" w:before="20" w:line="240" w:lineRule="auto"/>
            </w:pPr>
            <w:r/>
            <w:r>
              <w:rPr>
                <w:rFonts w:ascii="Arial" w:hAnsi="Arial" w:cs="Arial"/>
                <w:b w:val="0"/>
                <w:i w:val="0"/>
                <w:sz w:val="17"/>
              </w:rPr>
              <w:t>Suspicious payment patterns</w:t>
            </w:r>
          </w:p>
        </w:tc>
      </w:tr>
    </w:tbl>
    <w:p>
      <w:pPr>
        <w:spacing w:after="12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6"/>
        </w:rPr>
        <w:t>-- CBE Remittance Report</w:t>
      </w:r>
    </w:p>
    <w:p>
      <w:pPr>
        <w:spacing w:after="0" w:before="0" w:line="240" w:lineRule="auto"/>
        <w:ind w:left="57"/>
        <w:jc w:val="left"/>
        <w:shd w:val="clear" w:fill="F2F2F2"/>
      </w:pPr>
      <w:r>
        <w:rPr>
          <w:rFonts w:ascii="Consolas" w:hAnsi="Consolas" w:cs="Consolas"/>
          <w:b w:val="0"/>
          <w:i w:val="0"/>
          <w:sz w:val="16"/>
        </w:rPr>
        <w:t>CREATE MATERIALIZED VIEW cbe_remittance_report AS</w:t>
      </w:r>
    </w:p>
    <w:p>
      <w:pPr>
        <w:spacing w:after="0" w:before="0" w:line="240" w:lineRule="auto"/>
        <w:ind w:left="57"/>
        <w:jc w:val="left"/>
        <w:shd w:val="clear" w:fill="F2F2F2"/>
      </w:pPr>
      <w:r>
        <w:rPr>
          <w:rFonts w:ascii="Consolas" w:hAnsi="Consolas" w:cs="Consolas"/>
          <w:b w:val="0"/>
          <w:i w:val="0"/>
          <w:sz w:val="16"/>
        </w:rPr>
        <w:t>SELECT</w:t>
      </w:r>
    </w:p>
    <w:p>
      <w:pPr>
        <w:spacing w:after="0" w:before="0" w:line="240" w:lineRule="auto"/>
        <w:ind w:left="57"/>
        <w:jc w:val="left"/>
        <w:shd w:val="clear" w:fill="F2F2F2"/>
      </w:pPr>
      <w:r>
        <w:rPr>
          <w:rFonts w:ascii="Consolas" w:hAnsi="Consolas" w:cs="Consolas"/>
          <w:b w:val="0"/>
          <w:i w:val="0"/>
          <w:sz w:val="16"/>
        </w:rPr>
        <w:t xml:space="preserve">    DATE_TRUNC('month', settled_at) AS report_month,</w:t>
      </w:r>
    </w:p>
    <w:p>
      <w:pPr>
        <w:spacing w:after="0" w:before="0" w:line="240" w:lineRule="auto"/>
        <w:ind w:left="57"/>
        <w:jc w:val="left"/>
        <w:shd w:val="clear" w:fill="F2F2F2"/>
      </w:pPr>
      <w:r>
        <w:rPr>
          <w:rFonts w:ascii="Consolas" w:hAnsi="Consolas" w:cs="Consolas"/>
          <w:b w:val="0"/>
          <w:i w:val="0"/>
          <w:sz w:val="16"/>
        </w:rPr>
        <w:t xml:space="preserve">    currency,</w:t>
      </w:r>
    </w:p>
    <w:p>
      <w:pPr>
        <w:spacing w:after="0" w:before="0" w:line="240" w:lineRule="auto"/>
        <w:ind w:left="57"/>
        <w:jc w:val="left"/>
        <w:shd w:val="clear" w:fill="F2F2F2"/>
      </w:pPr>
      <w:r>
        <w:rPr>
          <w:rFonts w:ascii="Consolas" w:hAnsi="Consolas" w:cs="Consolas"/>
          <w:b w:val="0"/>
          <w:i w:val="0"/>
          <w:sz w:val="16"/>
        </w:rPr>
        <w:t xml:space="preserve">    COUNT(*) AS transaction_count,</w:t>
      </w:r>
    </w:p>
    <w:p>
      <w:pPr>
        <w:spacing w:after="0" w:before="0" w:line="240" w:lineRule="auto"/>
        <w:ind w:left="57"/>
        <w:jc w:val="left"/>
        <w:shd w:val="clear" w:fill="F2F2F2"/>
      </w:pPr>
      <w:r>
        <w:rPr>
          <w:rFonts w:ascii="Consolas" w:hAnsi="Consolas" w:cs="Consolas"/>
          <w:b w:val="0"/>
          <w:i w:val="0"/>
          <w:sz w:val="16"/>
        </w:rPr>
        <w:t xml:space="preserve">    SUM(amount) AS total_amount,</w:t>
      </w:r>
    </w:p>
    <w:p>
      <w:pPr>
        <w:spacing w:after="0" w:before="0" w:line="240" w:lineRule="auto"/>
        <w:ind w:left="57"/>
        <w:jc w:val="left"/>
        <w:shd w:val="clear" w:fill="F2F2F2"/>
      </w:pPr>
      <w:r>
        <w:rPr>
          <w:rFonts w:ascii="Consolas" w:hAnsi="Consolas" w:cs="Consolas"/>
          <w:b w:val="0"/>
          <w:i w:val="0"/>
          <w:sz w:val="16"/>
        </w:rPr>
        <w:t xml:space="preserve">    COUNT(DISTINCT ustn) AS ustn_count</w:t>
      </w:r>
    </w:p>
    <w:p>
      <w:pPr>
        <w:spacing w:after="0" w:before="0" w:line="240" w:lineRule="auto"/>
        <w:ind w:left="57"/>
        <w:jc w:val="left"/>
        <w:shd w:val="clear" w:fill="F2F2F2"/>
      </w:pPr>
      <w:r>
        <w:rPr>
          <w:rFonts w:ascii="Consolas" w:hAnsi="Consolas" w:cs="Consolas"/>
          <w:b w:val="0"/>
          <w:i w:val="0"/>
          <w:sz w:val="16"/>
        </w:rPr>
        <w:t>FROM settlement_instructions</w:t>
      </w:r>
    </w:p>
    <w:p>
      <w:pPr>
        <w:spacing w:after="0" w:before="0" w:line="240" w:lineRule="auto"/>
        <w:ind w:left="57"/>
        <w:jc w:val="left"/>
        <w:shd w:val="clear" w:fill="F2F2F2"/>
      </w:pPr>
      <w:r>
        <w:rPr>
          <w:rFonts w:ascii="Consolas" w:hAnsi="Consolas" w:cs="Consolas"/>
          <w:b w:val="0"/>
          <w:i w:val="0"/>
          <w:sz w:val="16"/>
        </w:rPr>
        <w:t>WHERE instruction_status = 'SETTLED'</w:t>
      </w:r>
    </w:p>
    <w:p>
      <w:pPr>
        <w:spacing w:after="0" w:before="0" w:line="240" w:lineRule="auto"/>
        <w:ind w:left="57"/>
        <w:jc w:val="left"/>
        <w:shd w:val="clear" w:fill="F2F2F2"/>
      </w:pPr>
      <w:r>
        <w:rPr>
          <w:rFonts w:ascii="Consolas" w:hAnsi="Consolas" w:cs="Consolas"/>
          <w:b w:val="0"/>
          <w:i w:val="0"/>
          <w:sz w:val="16"/>
        </w:rPr>
        <w:t>AND currency = 'USD'</w:t>
      </w:r>
    </w:p>
    <w:p>
      <w:pPr>
        <w:spacing w:after="0" w:before="0" w:line="240" w:lineRule="auto"/>
        <w:ind w:left="57"/>
        <w:jc w:val="left"/>
        <w:shd w:val="clear" w:fill="F2F2F2"/>
      </w:pPr>
      <w:r>
        <w:rPr>
          <w:rFonts w:ascii="Consolas" w:hAnsi="Consolas" w:cs="Consolas"/>
          <w:b w:val="0"/>
          <w:i w:val="0"/>
          <w:sz w:val="16"/>
        </w:rPr>
        <w:t>GROUP BY report_month, currency;</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13.5.6 Government Payment Limitation</w:t>
      </w:r>
    </w:p>
    <w:p>
      <w:pPr>
        <w:spacing w:after="80" w:line="293" w:lineRule="auto"/>
        <w:jc w:val="left"/>
      </w:pPr>
      <w:r>
        <w:rPr>
          <w:rFonts w:ascii="Times New Roman" w:hAnsi="Times New Roman" w:cs="Times New Roman"/>
          <w:b w:val="0"/>
          <w:i w:val="0"/>
          <w:sz w:val="22"/>
        </w:rPr>
        <w:t>Government fee settlement is classified by authority type: DIRECT_SETTLEMENT_ELIGIBLE (ordinary settlement leg), BANK_MEDIATED, AUTHORITY_SPECIFIC_WORKFLOW, PAYMENT_PROOF_ONLY, and EXTERNAL_RECONCILIATION_ONLY. The canonical classification table and jurisdiction rule are specified in Section 19.61.</w:t>
      </w:r>
    </w:p>
    <w:p>
      <w:pPr>
        <w:keepNext/>
        <w:spacing w:before="180" w:after="80"/>
        <w:outlineLvl w:val="2"/>
      </w:pPr>
      <w:r>
        <w:rPr>
          <w:rFonts w:ascii="Arial" w:hAnsi="Arial" w:cs="Arial"/>
          <w:b/>
          <w:i w:val="0"/>
          <w:color w:val="333333"/>
          <w:sz w:val="23"/>
        </w:rPr>
        <w:t>13.5.7 Security &amp; Compliance</w:t>
      </w:r>
    </w:p>
    <w:p>
      <w:pPr>
        <w:spacing w:after="80" w:line="293" w:lineRule="auto"/>
        <w:jc w:val="left"/>
      </w:pPr>
      <w:r>
        <w:rPr>
          <w:rFonts w:ascii="Times New Roman" w:hAnsi="Times New Roman" w:cs="Times New Roman"/>
          <w:b w:val="0"/>
          <w:i w:val="0"/>
          <w:sz w:val="22"/>
        </w:rPr>
        <w:t>mTLS certificate management. Renewal workflow: the system detects expiry (30 days before); a Smart Inbox alert is sent to the responsible party; the new certificate is uploaded via the Admin Portal; the old certificate is revoked.</w:t>
      </w:r>
    </w:p>
    <w:p>
      <w:pPr>
        <w:spacing w:after="80" w:line="293" w:lineRule="auto"/>
        <w:jc w:val="left"/>
      </w:pPr>
      <w:r>
        <w:rPr>
          <w:rFonts w:ascii="Times New Roman" w:hAnsi="Times New Roman" w:cs="Times New Roman"/>
          <w:b w:val="0"/>
          <w:i w:val="0"/>
          <w:sz w:val="22"/>
        </w:rPr>
        <w:t>Data protection. All external calls run over mTLS; credentials are stored encrypted (`certificates.private_key_encrypted`, SoftHSM for private keys); request and response bodies are sanitised before logging.</w:t>
      </w:r>
    </w:p>
    <w:p>
      <w:pPr>
        <w:spacing w:after="80" w:line="293" w:lineRule="auto"/>
        <w:jc w:val="left"/>
      </w:pPr>
      <w:r>
        <w:rPr>
          <w:rFonts w:ascii="Times New Roman" w:hAnsi="Times New Roman" w:cs="Times New Roman"/>
          <w:b w:val="0"/>
          <w:i w:val="0"/>
          <w:sz w:val="22"/>
        </w:rPr>
        <w:t>Audit trail. All external API calls are logged immutably in `integration_connector_logs` with: timestamp; connector name; endpoint; idempotency key; request body (sanitised); response body (sanitised); status code; duration; success/failure; error message. Retention: 7 years (compliance with AML Law 80/2002).</w:t>
      </w:r>
    </w:p>
    <w:p>
      <w:pPr>
        <w:keepNext/>
        <w:spacing w:before="180" w:after="80"/>
        <w:outlineLvl w:val="2"/>
      </w:pPr>
      <w:r>
        <w:rPr>
          <w:rFonts w:ascii="Arial" w:hAnsi="Arial" w:cs="Arial"/>
          <w:b/>
          <w:i w:val="0"/>
          <w:color w:val="333333"/>
          <w:sz w:val="23"/>
        </w:rPr>
        <w:t>13.5.8 Governance Gates</w:t>
      </w:r>
    </w:p>
    <w:p>
      <w:pPr>
        <w:spacing w:after="80" w:line="293" w:lineRule="auto"/>
        <w:jc w:val="left"/>
      </w:pPr>
      <w:r>
        <w:rPr>
          <w:rFonts w:ascii="Times New Roman" w:hAnsi="Times New Roman" w:cs="Times New Roman"/>
          <w:b w:val="0"/>
          <w:i w:val="0"/>
          <w:sz w:val="22"/>
        </w:rPr>
        <w:t>Governor validation (A4) gates each orchestrated call: the Stage 1 webhook must be verified before Nafeza/CargoX submission; the ACID must exist before the SAD is submitted; the invoice must be ETA-valid before the declaration references it; every external call carries an idempotency key; and fee state transitions (PENDING → PAID) are Governor-recorded. All integration health is exposed in the integration health widget from `integration_connector_logs` (latency and status per connector).</w:t>
      </w:r>
    </w:p>
    <w:p>
      <w:pPr>
        <w:keepNext/>
        <w:spacing w:before="240" w:after="100"/>
        <w:outlineLvl w:val="1"/>
      </w:pPr>
      <w:r>
        <w:rPr>
          <w:rFonts w:ascii="Arial" w:hAnsi="Arial" w:cs="Arial"/>
          <w:b/>
          <w:i w:val="0"/>
          <w:color w:val="2E528F"/>
          <w:sz w:val="26"/>
        </w:rPr>
        <w:t>13.6 Reconciliation &amp; Completion</w:t>
      </w:r>
    </w:p>
    <w:p>
      <w:pPr>
        <w:keepNext/>
        <w:spacing w:before="180" w:after="80"/>
        <w:outlineLvl w:val="2"/>
      </w:pPr>
      <w:r>
        <w:rPr>
          <w:rFonts w:ascii="Arial" w:hAnsi="Arial" w:cs="Arial"/>
          <w:b/>
          <w:i w:val="0"/>
          <w:color w:val="333333"/>
          <w:sz w:val="23"/>
        </w:rPr>
        <w:t>13.6.1 Bank Confirmation Processing (pain.002 / camt.054 / SWIFT gpi)</w:t>
      </w:r>
    </w:p>
    <w:p>
      <w:pPr>
        <w:spacing w:after="0" w:before="0" w:line="240" w:lineRule="auto"/>
        <w:ind w:left="57"/>
        <w:jc w:val="left"/>
        <w:shd w:val="clear" w:fill="F2F2F2"/>
      </w:pPr>
      <w:r>
        <w:rPr>
          <w:rFonts w:ascii="Consolas" w:hAnsi="Consolas" w:cs="Consolas"/>
          <w:b w:val="0"/>
          <w:i w:val="0"/>
          <w:sz w:val="15"/>
        </w:rPr>
        <w:t>1. Settlement instruction dispatched (pain.001, idempotency key included)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2. Bank acknowledges (pain.002 status report)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3. Bank debits payer's funding account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4. Bank credits beneficiary account(s)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5. Bank sends camt.054 notification to SGTX (or gpi UETR status for cross-border)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6. SGTX parses EndToEndId ({USTN}-{LEG_ID}), verifies signature and amount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7. SGTX advances leg to SETTLED; proof hash stored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8. Smart Inbox notifications sent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Matching mechanics: every inbound camt.054 / SWIFT gpi confirmation is parsed, the EndToEndId is extracted and matched to the settlement instruction, the amount and currency are verified, the proof hash is stored, and the leg advances to SETTLED. Tier-3 banks without camt.054 support are reconciled from bank statements (MT940 / ISO 20022 statements) with manual review where confidence &lt; 95%.</w:t>
      </w:r>
    </w:p>
    <w:p>
      <w:pPr>
        <w:keepNext/>
        <w:spacing w:before="180" w:after="80"/>
        <w:outlineLvl w:val="2"/>
      </w:pPr>
      <w:r>
        <w:rPr>
          <w:rFonts w:ascii="Arial" w:hAnsi="Arial" w:cs="Arial"/>
          <w:b/>
          <w:i w:val="0"/>
          <w:color w:val="333333"/>
          <w:sz w:val="23"/>
        </w:rPr>
        <w:t>13.6.2 Reconciliation Engine (A2, HF Donut)</w:t>
      </w:r>
    </w:p>
    <w:p>
      <w:pPr>
        <w:spacing w:after="80" w:line="293" w:lineRule="auto"/>
        <w:jc w:val="left"/>
      </w:pPr>
      <w:r>
        <w:rPr>
          <w:rFonts w:ascii="Times New Roman" w:hAnsi="Times New Roman" w:cs="Times New Roman"/>
          <w:b w:val="0"/>
          <w:i w:val="0"/>
          <w:sz w:val="22"/>
        </w:rPr>
        <w:t>The Reconciliation Engine continuously matches incoming payment confirmations against open settlement instructions.</w:t>
      </w:r>
    </w:p>
    <w:p>
      <w:pPr>
        <w:spacing w:after="80" w:line="293" w:lineRule="auto"/>
        <w:jc w:val="left"/>
      </w:pPr>
      <w:r>
        <w:rPr>
          <w:rFonts w:ascii="Times New Roman" w:hAnsi="Times New Roman" w:cs="Times New Roman"/>
          <w:b w:val="0"/>
          <w:i w:val="0"/>
          <w:sz w:val="22"/>
        </w:rPr>
        <w:t>Reconciliation process: a bank camt.054 confirmation or statement line is received; the engine extracts amount, currency, value date, and reference (USTN pattern); compares with settlement instructions that are AUTHORISED; if match confidence is ≥95% (amount within tolerance, USTN matches, payer/payee consistent), the settlement is auto-reconciled (status → RECONCILED); if confidence is &lt;95% or no match is found, a Smart Inbox item is created for the finance team: "Unmatched payment of $X — please review and assign to USTN."</w:t>
      </w:r>
    </w:p>
    <w:p>
      <w:pPr>
        <w:spacing w:after="80" w:line="293" w:lineRule="auto"/>
        <w:jc w:val="left"/>
      </w:pPr>
      <w:r>
        <w:rPr>
          <w:rFonts w:ascii="Times New Roman" w:hAnsi="Times New Roman" w:cs="Times New Roman"/>
          <w:b w:val="0"/>
          <w:i w:val="0"/>
          <w:sz w:val="22"/>
        </w:rPr>
        <w:t>Reconciles: bank confirmations (pain.002/camt.054/gpi); OpenBanking statements; bank statements (MT940, ISO 20022).</w:t>
      </w:r>
    </w:p>
    <w:p>
      <w:pPr>
        <w:spacing w:after="80" w:line="293" w:lineRule="auto"/>
        <w:jc w:val="left"/>
      </w:pPr>
      <w:r>
        <w:rPr>
          <w:rFonts w:ascii="Times New Roman" w:hAnsi="Times New Roman" w:cs="Times New Roman"/>
          <w:b w:val="0"/>
          <w:i w:val="0"/>
          <w:sz w:val="22"/>
        </w:rPr>
        <w:t>OpenBanking integration. For banks that support PSD2 (Payment Services Directive 2) / OpenBanking APIs, the settlement-service pulls the bank statement periodically. HF Donut extracts each transaction and matches it against open settlement instructions (or open fee payment requests) using amount, reference, and date. If confidence is ≥95%, it is auto-reconciled; unmatched items trigger a Smart Inbox alert for manual review.</w:t>
      </w:r>
    </w:p>
    <w:p>
      <w:pPr>
        <w:spacing w:after="80" w:line="293" w:lineRule="auto"/>
        <w:jc w:val="left"/>
      </w:pPr>
      <w:r>
        <w:rPr>
          <w:rFonts w:ascii="Times New Roman" w:hAnsi="Times New Roman" w:cs="Times New Roman"/>
          <w:b w:val="0"/>
          <w:i w:val="0"/>
          <w:sz w:val="22"/>
        </w:rPr>
        <w:t>Reconciliation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"transaction": {</w:t>
      </w:r>
    </w:p>
    <w:p>
      <w:pPr>
        <w:spacing w:after="0" w:before="0" w:line="240" w:lineRule="auto"/>
        <w:ind w:left="57"/>
        <w:jc w:val="left"/>
        <w:shd w:val="clear" w:fill="F2F2F2"/>
      </w:pPr>
      <w:r>
        <w:rPr>
          <w:rFonts w:ascii="Consolas" w:hAnsi="Consolas" w:cs="Consolas"/>
          <w:b w:val="0"/>
          <w:i w:val="0"/>
          <w:sz w:val="15"/>
        </w:rPr>
        <w:t xml:space="preserve">        "amount": 30960.00,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"value_date": "2026-07-06",</w:t>
      </w:r>
    </w:p>
    <w:p>
      <w:pPr>
        <w:spacing w:after="0" w:before="0" w:line="240" w:lineRule="auto"/>
        <w:ind w:left="57"/>
        <w:jc w:val="left"/>
        <w:shd w:val="clear" w:fill="F2F2F2"/>
      </w:pPr>
      <w:r>
        <w:rPr>
          <w:rFonts w:ascii="Consolas" w:hAnsi="Consolas" w:cs="Consolas"/>
          <w:b w:val="0"/>
          <w:i w:val="0"/>
          <w:sz w:val="15"/>
        </w:rPr>
        <w:t xml:space="preserve">        "reference": "SGTX USTN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"match": {</w:t>
      </w:r>
    </w:p>
    <w:p>
      <w:pPr>
        <w:spacing w:after="0" w:before="0" w:line="240" w:lineRule="auto"/>
        <w:ind w:left="57"/>
        <w:jc w:val="left"/>
        <w:shd w:val="clear" w:fill="F2F2F2"/>
      </w:pPr>
      <w:r>
        <w:rPr>
          <w:rFonts w:ascii="Consolas" w:hAnsi="Consolas" w:cs="Consolas"/>
          <w:b w:val="0"/>
          <w:i w:val="0"/>
          <w:sz w:val="15"/>
        </w:rPr>
        <w:t xml:space="preserve">        "instruction_id": "SI-20260415-001",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"confidence": 0.98,</w:t>
      </w:r>
    </w:p>
    <w:p>
      <w:pPr>
        <w:spacing w:after="0" w:before="0" w:line="240" w:lineRule="auto"/>
        <w:ind w:left="57"/>
        <w:jc w:val="left"/>
        <w:shd w:val="clear" w:fill="F2F2F2"/>
      </w:pPr>
      <w:r>
        <w:rPr>
          <w:rFonts w:ascii="Consolas" w:hAnsi="Consolas" w:cs="Consolas"/>
          <w:b w:val="0"/>
          <w:i w:val="0"/>
          <w:sz w:val="15"/>
        </w:rPr>
        <w:t xml:space="preserve">        "status": "AUTO_RECONCILED"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13.6.3 Multi-Party Settlement Reconciliation</w:t>
      </w:r>
    </w:p>
    <w:p>
      <w:pPr>
        <w:spacing w:after="80" w:line="293" w:lineRule="auto"/>
        <w:jc w:val="left"/>
      </w:pPr>
      <w:r>
        <w:rPr>
          <w:rFonts w:ascii="Times New Roman" w:hAnsi="Times New Roman" w:cs="Times New Roman"/>
          <w:b w:val="0"/>
          <w:i w:val="0"/>
          <w:sz w:val="22"/>
        </w:rPr>
        <w:t>SGTX supports four reconciliation levels: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Level</w:t>
            </w:r>
          </w:p>
        </w:tc>
        <w:tc>
          <w:tcPr>
            <w:tcW w:type="dxa" w:w="4819"/>
            <w:shd w:val="clear" w:fill="D9E2F3"/>
          </w:tcPr>
          <w:p>
            <w:pPr>
              <w:spacing w:after="20" w:before="20" w:line="240" w:lineRule="auto"/>
            </w:pPr>
            <w:r/>
            <w:r>
              <w:rPr>
                <w:rFonts w:ascii="Arial" w:hAnsi="Arial" w:cs="Arial"/>
                <w:b/>
                <w:i w:val="0"/>
                <w:sz w:val="18"/>
              </w:rPr>
              <w:t>Reconciliation</w:t>
            </w:r>
          </w:p>
        </w:tc>
      </w:tr>
      <w:tr>
        <w:tc>
          <w:tcPr>
            <w:tcW w:type="dxa" w:w="4819"/>
          </w:tcPr>
          <w:p>
            <w:pPr>
              <w:spacing w:after="20" w:before="20" w:line="240" w:lineRule="auto"/>
            </w:pPr>
            <w:r/>
            <w:r>
              <w:rPr>
                <w:rFonts w:ascii="Arial" w:hAnsi="Arial" w:cs="Arial"/>
                <w:b w:val="0"/>
                <w:i w:val="0"/>
                <w:sz w:val="17"/>
              </w:rPr>
              <w:t>Leg reconciliation</w:t>
            </w:r>
          </w:p>
        </w:tc>
        <w:tc>
          <w:tcPr>
            <w:tcW w:type="dxa" w:w="4819"/>
          </w:tcPr>
          <w:p>
            <w:pPr>
              <w:spacing w:after="20" w:before="20" w:line="240" w:lineRule="auto"/>
            </w:pPr>
            <w:r/>
            <w:r>
              <w:rPr>
                <w:rFonts w:ascii="Arial" w:hAnsi="Arial" w:cs="Arial"/>
                <w:b w:val="0"/>
                <w:i w:val="0"/>
                <w:sz w:val="17"/>
              </w:rPr>
              <w:t>Instruction leg vs bank transaction vs beneficiary evidence</w:t>
            </w:r>
          </w:p>
        </w:tc>
      </w:tr>
      <w:tr>
        <w:tc>
          <w:tcPr>
            <w:tcW w:type="dxa" w:w="4819"/>
          </w:tcPr>
          <w:p>
            <w:pPr>
              <w:spacing w:after="20" w:before="20" w:line="240" w:lineRule="auto"/>
            </w:pPr>
            <w:r/>
            <w:r>
              <w:rPr>
                <w:rFonts w:ascii="Arial" w:hAnsi="Arial" w:cs="Arial"/>
                <w:b w:val="0"/>
                <w:i w:val="0"/>
                <w:sz w:val="17"/>
              </w:rPr>
              <w:t>Parent settlement reconciliation</w:t>
            </w:r>
          </w:p>
        </w:tc>
        <w:tc>
          <w:tcPr>
            <w:tcW w:type="dxa" w:w="4819"/>
          </w:tcPr>
          <w:p>
            <w:pPr>
              <w:spacing w:after="20" w:before="20" w:line="240" w:lineRule="auto"/>
            </w:pPr>
            <w:r/>
            <w:r>
              <w:rPr>
                <w:rFonts w:ascii="Arial" w:hAnsi="Arial" w:cs="Arial"/>
                <w:b w:val="0"/>
                <w:i w:val="0"/>
                <w:sz w:val="17"/>
              </w:rPr>
              <w:t>All legs vs total contractual obligation</w:t>
            </w:r>
          </w:p>
        </w:tc>
      </w:tr>
      <w:tr>
        <w:tc>
          <w:tcPr>
            <w:tcW w:type="dxa" w:w="4819"/>
          </w:tcPr>
          <w:p>
            <w:pPr>
              <w:spacing w:after="20" w:before="20" w:line="240" w:lineRule="auto"/>
            </w:pPr>
            <w:r/>
            <w:r>
              <w:rPr>
                <w:rFonts w:ascii="Arial" w:hAnsi="Arial" w:cs="Arial"/>
                <w:b w:val="0"/>
                <w:i w:val="0"/>
                <w:sz w:val="17"/>
              </w:rPr>
              <w:t>Commercial reconciliation</w:t>
            </w:r>
          </w:p>
        </w:tc>
        <w:tc>
          <w:tcPr>
            <w:tcW w:type="dxa" w:w="4819"/>
          </w:tcPr>
          <w:p>
            <w:pPr>
              <w:spacing w:after="20" w:before="20" w:line="240" w:lineRule="auto"/>
            </w:pPr>
            <w:r/>
            <w:r>
              <w:rPr>
                <w:rFonts w:ascii="Arial" w:hAnsi="Arial" w:cs="Arial"/>
                <w:b w:val="0"/>
                <w:i w:val="0"/>
                <w:sz w:val="17"/>
              </w:rPr>
              <w:t>Contract vs invoices vs payment legs</w:t>
            </w:r>
          </w:p>
        </w:tc>
      </w:tr>
      <w:tr>
        <w:tc>
          <w:tcPr>
            <w:tcW w:type="dxa" w:w="4819"/>
          </w:tcPr>
          <w:p>
            <w:pPr>
              <w:spacing w:after="20" w:before="20" w:line="240" w:lineRule="auto"/>
            </w:pPr>
            <w:r/>
            <w:r>
              <w:rPr>
                <w:rFonts w:ascii="Arial" w:hAnsi="Arial" w:cs="Arial"/>
                <w:b w:val="0"/>
                <w:i w:val="0"/>
                <w:sz w:val="17"/>
              </w:rPr>
              <w:t>Financial reconciliation</w:t>
            </w:r>
          </w:p>
        </w:tc>
        <w:tc>
          <w:tcPr>
            <w:tcW w:type="dxa" w:w="4819"/>
          </w:tcPr>
          <w:p>
            <w:pPr>
              <w:spacing w:after="20" w:before="20" w:line="240" w:lineRule="auto"/>
            </w:pPr>
            <w:r/>
            <w:r>
              <w:rPr>
                <w:rFonts w:ascii="Arial" w:hAnsi="Arial" w:cs="Arial"/>
                <w:b w:val="0"/>
                <w:i w:val="0"/>
                <w:sz w:val="17"/>
              </w:rPr>
              <w:t>Bank confirmations vs SGTX financial state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Settlement completion matrix (example):</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Leg</w:t>
            </w:r>
          </w:p>
        </w:tc>
        <w:tc>
          <w:tcPr>
            <w:tcW w:type="dxa" w:w="1606"/>
            <w:shd w:val="clear" w:fill="D9E2F3"/>
          </w:tcPr>
          <w:p>
            <w:pPr>
              <w:spacing w:after="20" w:before="20" w:line="240" w:lineRule="auto"/>
            </w:pPr>
            <w:r/>
            <w:r>
              <w:rPr>
                <w:rFonts w:ascii="Arial" w:hAnsi="Arial" w:cs="Arial"/>
                <w:b/>
                <w:i w:val="0"/>
                <w:sz w:val="18"/>
              </w:rPr>
              <w:t>Required</w:t>
            </w:r>
          </w:p>
        </w:tc>
        <w:tc>
          <w:tcPr>
            <w:tcW w:type="dxa" w:w="1606"/>
            <w:shd w:val="clear" w:fill="D9E2F3"/>
          </w:tcPr>
          <w:p>
            <w:pPr>
              <w:spacing w:after="20" w:before="20" w:line="240" w:lineRule="auto"/>
            </w:pPr>
            <w:r/>
            <w:r>
              <w:rPr>
                <w:rFonts w:ascii="Arial" w:hAnsi="Arial" w:cs="Arial"/>
                <w:b/>
                <w:i w:val="0"/>
                <w:sz w:val="18"/>
              </w:rPr>
              <w:t>Bank</w:t>
            </w:r>
          </w:p>
        </w:tc>
        <w:tc>
          <w:tcPr>
            <w:tcW w:type="dxa" w:w="1606"/>
            <w:shd w:val="clear" w:fill="D9E2F3"/>
          </w:tcPr>
          <w:p>
            <w:pPr>
              <w:spacing w:after="20" w:before="20" w:line="240" w:lineRule="auto"/>
            </w:pPr>
            <w:r/>
            <w:r>
              <w:rPr>
                <w:rFonts w:ascii="Arial" w:hAnsi="Arial" w:cs="Arial"/>
                <w:b/>
                <w:i w:val="0"/>
                <w:sz w:val="18"/>
              </w:rPr>
              <w:t>SGTX</w:t>
            </w:r>
          </w:p>
        </w:tc>
        <w:tc>
          <w:tcPr>
            <w:tcW w:type="dxa" w:w="1606"/>
            <w:shd w:val="clear" w:fill="D9E2F3"/>
          </w:tcPr>
          <w:p>
            <w:pPr>
              <w:spacing w:after="20" w:before="20" w:line="240" w:lineRule="auto"/>
            </w:pPr>
            <w:r/>
            <w:r>
              <w:rPr>
                <w:rFonts w:ascii="Arial" w:hAnsi="Arial" w:cs="Arial"/>
                <w:b/>
                <w:i w:val="0"/>
                <w:sz w:val="18"/>
              </w:rPr>
              <w:t>Evidence</w:t>
            </w:r>
          </w:p>
        </w:tc>
        <w:tc>
          <w:tcPr>
            <w:tcW w:type="dxa" w:w="1606"/>
            <w:shd w:val="clear" w:fill="D9E2F3"/>
          </w:tcPr>
          <w:p>
            <w:pPr>
              <w:spacing w:after="20" w:before="20" w:line="240" w:lineRule="auto"/>
            </w:pPr>
            <w:r/>
            <w:r>
              <w:rPr>
                <w:rFonts w:ascii="Arial" w:hAnsi="Arial" w:cs="Arial"/>
                <w:b/>
                <w:i w:val="0"/>
                <w:sz w:val="18"/>
              </w:rPr>
              <w:t>Reconciliation</w:t>
            </w:r>
          </w:p>
        </w:tc>
      </w:tr>
      <w:tr>
        <w:tc>
          <w:tcPr>
            <w:tcW w:type="dxa" w:w="1606"/>
          </w:tcPr>
          <w:p>
            <w:pPr>
              <w:spacing w:after="20" w:before="20" w:line="240" w:lineRule="auto"/>
            </w:pPr>
            <w:r/>
            <w:r>
              <w:rPr>
                <w:rFonts w:ascii="Arial" w:hAnsi="Arial" w:cs="Arial"/>
                <w:b w:val="0"/>
                <w:i w:val="0"/>
                <w:sz w:val="17"/>
              </w:rPr>
              <w:t>Seller</w:t>
            </w:r>
          </w:p>
        </w:tc>
        <w:tc>
          <w:tcPr>
            <w:tcW w:type="dxa" w:w="1606"/>
          </w:tcPr>
          <w:p>
            <w:pPr>
              <w:spacing w:after="20" w:before="20" w:line="240" w:lineRule="auto"/>
            </w:pPr>
            <w:r/>
            <w:r>
              <w:rPr>
                <w:rFonts w:ascii="Arial" w:hAnsi="Arial" w:cs="Arial"/>
                <w:b w:val="0"/>
                <w:i w:val="0"/>
                <w:sz w:val="17"/>
              </w:rPr>
              <w:t>Yes</w:t>
            </w:r>
          </w:p>
        </w:tc>
        <w:tc>
          <w:tcPr>
            <w:tcW w:type="dxa" w:w="1606"/>
          </w:tcPr>
          <w:p>
            <w:pPr>
              <w:spacing w:after="20" w:before="20" w:line="240" w:lineRule="auto"/>
            </w:pPr>
            <w:r/>
            <w:r>
              <w:rPr>
                <w:rFonts w:ascii="Arial" w:hAnsi="Arial" w:cs="Arial"/>
                <w:b w:val="0"/>
                <w:i w:val="0"/>
                <w:sz w:val="17"/>
              </w:rPr>
              <w:t>Settled</w:t>
            </w:r>
          </w:p>
        </w:tc>
        <w:tc>
          <w:tcPr>
            <w:tcW w:type="dxa" w:w="1606"/>
          </w:tcPr>
          <w:p>
            <w:pPr>
              <w:spacing w:after="20" w:before="20" w:line="240" w:lineRule="auto"/>
            </w:pPr>
            <w:r/>
            <w:r>
              <w:rPr>
                <w:rFonts w:ascii="Arial" w:hAnsi="Arial" w:cs="Arial"/>
                <w:b w:val="0"/>
                <w:i w:val="0"/>
                <w:sz w:val="17"/>
              </w:rPr>
              <w:t>Settled</w:t>
            </w:r>
          </w:p>
        </w:tc>
        <w:tc>
          <w:tcPr>
            <w:tcW w:type="dxa" w:w="1606"/>
          </w:tcPr>
          <w:p>
            <w:pPr>
              <w:spacing w:after="20" w:before="20" w:line="240" w:lineRule="auto"/>
            </w:pPr>
            <w:r/>
            <w:r>
              <w:rPr>
                <w:rFonts w:ascii="Arial" w:hAnsi="Arial" w:cs="Arial"/>
                <w:b w:val="0"/>
                <w:i w:val="0"/>
                <w:sz w:val="17"/>
              </w:rPr>
              <w:t>Verified</w:t>
            </w:r>
          </w:p>
        </w:tc>
        <w:tc>
          <w:tcPr>
            <w:tcW w:type="dxa" w:w="1606"/>
          </w:tcPr>
          <w:p>
            <w:pPr>
              <w:spacing w:after="20" w:before="20" w:line="240" w:lineRule="auto"/>
            </w:pPr>
            <w:r/>
            <w:r>
              <w:rPr>
                <w:rFonts w:ascii="Arial" w:hAnsi="Arial" w:cs="Arial"/>
                <w:b w:val="0"/>
                <w:i w:val="0"/>
                <w:sz w:val="17"/>
              </w:rPr>
              <w:t>Matched</w:t>
            </w:r>
          </w:p>
        </w:tc>
      </w:tr>
      <w:tr>
        <w:tc>
          <w:tcPr>
            <w:tcW w:type="dxa" w:w="1606"/>
          </w:tcPr>
          <w:p>
            <w:pPr>
              <w:spacing w:after="20" w:before="20" w:line="240" w:lineRule="auto"/>
            </w:pPr>
            <w:r/>
            <w:r>
              <w:rPr>
                <w:rFonts w:ascii="Arial" w:hAnsi="Arial" w:cs="Arial"/>
                <w:b w:val="0"/>
                <w:i w:val="0"/>
                <w:sz w:val="17"/>
              </w:rPr>
              <w:t>Logistics</w:t>
            </w:r>
          </w:p>
        </w:tc>
        <w:tc>
          <w:tcPr>
            <w:tcW w:type="dxa" w:w="1606"/>
          </w:tcPr>
          <w:p>
            <w:pPr>
              <w:spacing w:after="20" w:before="20" w:line="240" w:lineRule="auto"/>
            </w:pPr>
            <w:r/>
            <w:r>
              <w:rPr>
                <w:rFonts w:ascii="Arial" w:hAnsi="Arial" w:cs="Arial"/>
                <w:b w:val="0"/>
                <w:i w:val="0"/>
                <w:sz w:val="17"/>
              </w:rPr>
              <w:t>Yes</w:t>
            </w:r>
          </w:p>
        </w:tc>
        <w:tc>
          <w:tcPr>
            <w:tcW w:type="dxa" w:w="1606"/>
          </w:tcPr>
          <w:p>
            <w:pPr>
              <w:spacing w:after="20" w:before="20" w:line="240" w:lineRule="auto"/>
            </w:pPr>
            <w:r/>
            <w:r>
              <w:rPr>
                <w:rFonts w:ascii="Arial" w:hAnsi="Arial" w:cs="Arial"/>
                <w:b w:val="0"/>
                <w:i w:val="0"/>
                <w:sz w:val="17"/>
              </w:rPr>
              <w:t>Settled</w:t>
            </w:r>
          </w:p>
        </w:tc>
        <w:tc>
          <w:tcPr>
            <w:tcW w:type="dxa" w:w="1606"/>
          </w:tcPr>
          <w:p>
            <w:pPr>
              <w:spacing w:after="20" w:before="20" w:line="240" w:lineRule="auto"/>
            </w:pPr>
            <w:r/>
            <w:r>
              <w:rPr>
                <w:rFonts w:ascii="Arial" w:hAnsi="Arial" w:cs="Arial"/>
                <w:b w:val="0"/>
                <w:i w:val="0"/>
                <w:sz w:val="17"/>
              </w:rPr>
              <w:t>Settled</w:t>
            </w:r>
          </w:p>
        </w:tc>
        <w:tc>
          <w:tcPr>
            <w:tcW w:type="dxa" w:w="1606"/>
          </w:tcPr>
          <w:p>
            <w:pPr>
              <w:spacing w:after="20" w:before="20" w:line="240" w:lineRule="auto"/>
            </w:pPr>
            <w:r/>
            <w:r>
              <w:rPr>
                <w:rFonts w:ascii="Arial" w:hAnsi="Arial" w:cs="Arial"/>
                <w:b w:val="0"/>
                <w:i w:val="0"/>
                <w:sz w:val="17"/>
              </w:rPr>
              <w:t>Verified</w:t>
            </w:r>
          </w:p>
        </w:tc>
        <w:tc>
          <w:tcPr>
            <w:tcW w:type="dxa" w:w="1606"/>
          </w:tcPr>
          <w:p>
            <w:pPr>
              <w:spacing w:after="20" w:before="20" w:line="240" w:lineRule="auto"/>
            </w:pPr>
            <w:r/>
            <w:r>
              <w:rPr>
                <w:rFonts w:ascii="Arial" w:hAnsi="Arial" w:cs="Arial"/>
                <w:b w:val="0"/>
                <w:i w:val="0"/>
                <w:sz w:val="17"/>
              </w:rPr>
              <w:t>Matched</w:t>
            </w:r>
          </w:p>
        </w:tc>
      </w:tr>
      <w:tr>
        <w:tc>
          <w:tcPr>
            <w:tcW w:type="dxa" w:w="1606"/>
          </w:tcPr>
          <w:p>
            <w:pPr>
              <w:spacing w:after="20" w:before="20" w:line="240" w:lineRule="auto"/>
            </w:pPr>
            <w:r/>
            <w:r>
              <w:rPr>
                <w:rFonts w:ascii="Arial" w:hAnsi="Arial" w:cs="Arial"/>
                <w:b w:val="0"/>
                <w:i w:val="0"/>
                <w:sz w:val="17"/>
              </w:rPr>
              <w:t>Customs</w:t>
            </w:r>
          </w:p>
        </w:tc>
        <w:tc>
          <w:tcPr>
            <w:tcW w:type="dxa" w:w="1606"/>
          </w:tcPr>
          <w:p>
            <w:pPr>
              <w:spacing w:after="20" w:before="20" w:line="240" w:lineRule="auto"/>
            </w:pPr>
            <w:r/>
            <w:r>
              <w:rPr>
                <w:rFonts w:ascii="Arial" w:hAnsi="Arial" w:cs="Arial"/>
                <w:b w:val="0"/>
                <w:i w:val="0"/>
                <w:sz w:val="17"/>
              </w:rPr>
              <w:t>Yes</w:t>
            </w:r>
          </w:p>
        </w:tc>
        <w:tc>
          <w:tcPr>
            <w:tcW w:type="dxa" w:w="1606"/>
          </w:tcPr>
          <w:p>
            <w:pPr>
              <w:spacing w:after="20" w:before="20" w:line="240" w:lineRule="auto"/>
            </w:pPr>
            <w:r/>
            <w:r>
              <w:rPr>
                <w:rFonts w:ascii="Arial" w:hAnsi="Arial" w:cs="Arial"/>
                <w:b w:val="0"/>
                <w:i w:val="0"/>
                <w:sz w:val="17"/>
              </w:rPr>
              <w:t>Rejected</w:t>
            </w:r>
          </w:p>
        </w:tc>
        <w:tc>
          <w:tcPr>
            <w:tcW w:type="dxa" w:w="1606"/>
          </w:tcPr>
          <w:p>
            <w:pPr>
              <w:spacing w:after="20" w:before="20" w:line="240" w:lineRule="auto"/>
            </w:pPr>
            <w:r/>
            <w:r>
              <w:rPr>
                <w:rFonts w:ascii="Arial" w:hAnsi="Arial" w:cs="Arial"/>
                <w:b w:val="0"/>
                <w:i w:val="0"/>
                <w:sz w:val="17"/>
              </w:rPr>
              <w:t>Rejected</w:t>
            </w:r>
          </w:p>
        </w:tc>
        <w:tc>
          <w:tcPr>
            <w:tcW w:type="dxa" w:w="1606"/>
          </w:tcPr>
          <w:p>
            <w:pPr>
              <w:spacing w:after="20" w:before="20" w:line="240" w:lineRule="auto"/>
            </w:pPr>
            <w:r/>
            <w:r>
              <w:rPr>
                <w:rFonts w:ascii="Arial" w:hAnsi="Arial" w:cs="Arial"/>
                <w:b w:val="0"/>
                <w:i w:val="0"/>
                <w:sz w:val="17"/>
              </w:rPr>
              <w:t>Verified</w:t>
            </w:r>
          </w:p>
        </w:tc>
        <w:tc>
          <w:tcPr>
            <w:tcW w:type="dxa" w:w="1606"/>
          </w:tcPr>
          <w:p>
            <w:pPr>
              <w:spacing w:after="20" w:before="20" w:line="240" w:lineRule="auto"/>
            </w:pPr>
            <w:r/>
            <w:r>
              <w:rPr>
                <w:rFonts w:ascii="Arial" w:hAnsi="Arial" w:cs="Arial"/>
                <w:b w:val="0"/>
                <w:i w:val="0"/>
                <w:sz w:val="17"/>
              </w:rPr>
              <w:t>Matched</w:t>
            </w:r>
          </w:p>
        </w:tc>
      </w:tr>
      <w:tr>
        <w:tc>
          <w:tcPr>
            <w:tcW w:type="dxa" w:w="1606"/>
          </w:tcPr>
          <w:p>
            <w:pPr>
              <w:spacing w:after="20" w:before="20" w:line="240" w:lineRule="auto"/>
            </w:pPr>
            <w:r/>
            <w:r>
              <w:rPr>
                <w:rFonts w:ascii="Arial" w:hAnsi="Arial" w:cs="Arial"/>
                <w:b w:val="0"/>
                <w:i w:val="0"/>
                <w:sz w:val="17"/>
              </w:rPr>
              <w:t>Laboratory</w:t>
            </w:r>
          </w:p>
        </w:tc>
        <w:tc>
          <w:tcPr>
            <w:tcW w:type="dxa" w:w="1606"/>
          </w:tcPr>
          <w:p>
            <w:pPr>
              <w:spacing w:after="20" w:before="20" w:line="240" w:lineRule="auto"/>
            </w:pPr>
            <w:r/>
            <w:r>
              <w:rPr>
                <w:rFonts w:ascii="Arial" w:hAnsi="Arial" w:cs="Arial"/>
                <w:b w:val="0"/>
                <w:i w:val="0"/>
                <w:sz w:val="17"/>
              </w:rPr>
              <w:t>No</w:t>
            </w:r>
          </w:p>
        </w:tc>
        <w:tc>
          <w:tcPr>
            <w:tcW w:type="dxa" w:w="1606"/>
          </w:tcPr>
          <w:p>
            <w:pPr>
              <w:spacing w:after="20" w:before="20" w:line="240" w:lineRule="auto"/>
            </w:pPr>
            <w:r/>
            <w:r>
              <w:rPr>
                <w:rFonts w:ascii="Arial" w:hAnsi="Arial" w:cs="Arial"/>
                <w:b w:val="0"/>
                <w:i w:val="0"/>
                <w:sz w:val="17"/>
              </w:rPr>
              <w:t>Pending</w:t>
            </w:r>
          </w:p>
        </w:tc>
        <w:tc>
          <w:tcPr>
            <w:tcW w:type="dxa" w:w="1606"/>
          </w:tcPr>
          <w:p>
            <w:pPr>
              <w:spacing w:after="20" w:before="20" w:line="240" w:lineRule="auto"/>
            </w:pPr>
            <w:r/>
            <w:r>
              <w:rPr>
                <w:rFonts w:ascii="Arial" w:hAnsi="Arial" w:cs="Arial"/>
                <w:b w:val="0"/>
                <w:i w:val="0"/>
                <w:sz w:val="17"/>
              </w:rPr>
              <w:t>Pending</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Open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Parent transaction: PARTIALLY_SETTLED, EXCEPTION_OPEN, RECONCILIATION_OPEN.</w:t>
      </w:r>
    </w:p>
    <w:p>
      <w:pPr>
        <w:keepNext/>
        <w:spacing w:before="180" w:after="80"/>
        <w:outlineLvl w:val="2"/>
      </w:pPr>
      <w:r>
        <w:rPr>
          <w:rFonts w:ascii="Arial" w:hAnsi="Arial" w:cs="Arial"/>
          <w:b/>
          <w:i w:val="0"/>
          <w:color w:val="333333"/>
          <w:sz w:val="23"/>
        </w:rPr>
        <w:t>13.6.4 Financial Position &amp; Consequence Model</w:t>
      </w:r>
    </w:p>
    <w:p>
      <w:pPr>
        <w:spacing w:after="80" w:line="293" w:lineRule="auto"/>
        <w:jc w:val="left"/>
      </w:pPr>
      <w:r>
        <w:rPr>
          <w:rFonts w:ascii="Times New Roman" w:hAnsi="Times New Roman" w:cs="Times New Roman"/>
          <w:b w:val="0"/>
          <w:i w:val="0"/>
          <w:sz w:val="22"/>
        </w:rPr>
        <w:t>SGTX maintains a transaction-level financial consequence model, not a replacement for the customer's accounting/ERP ledger. It tracks, as applicable: gross commercial value; expected settlement; actual settlement; returned amount; disputed amount; fees; adjustments; FX consequences; penalties; compensation; recoverable amount; outstanding exposure; reopened exposure; contingent exposure.</w:t>
      </w:r>
    </w:p>
    <w:p>
      <w:pPr>
        <w:spacing w:after="80" w:line="293" w:lineRule="auto"/>
        <w:jc w:val="left"/>
      </w:pPr>
      <w:r>
        <w:rPr>
          <w:rFonts w:ascii="Times New Roman" w:hAnsi="Times New Roman" w:cs="Times New Roman"/>
          <w:b w:val="0"/>
          <w:i w:val="0"/>
          <w:sz w:val="22"/>
        </w:rPr>
        <w:t>Financial exposure engine. Example: trade value = $100,000, settlement = CONFIRMED, exposure = $0. After a financial reversal: settlement = REVERSED, exposure = $100,000, recovery status = OPEN. SGTX identifies the current economic exposure without pretending to be the enterprise accounting ledger. Economic position is distinct from transaction state: a transaction can be Execution = SETTLED while Financial = REVERSED and Exposure = REOPENED — these states are not contradictory; they represent different dimensions.</w:t>
      </w:r>
    </w:p>
    <w:p>
      <w:pPr>
        <w:keepNext/>
        <w:spacing w:before="180" w:after="80"/>
        <w:outlineLvl w:val="2"/>
      </w:pPr>
      <w:r>
        <w:rPr>
          <w:rFonts w:ascii="Arial" w:hAnsi="Arial" w:cs="Arial"/>
          <w:b/>
          <w:i w:val="0"/>
          <w:color w:val="333333"/>
          <w:sz w:val="23"/>
        </w:rPr>
        <w:t>13.6.5 Monthly Reconciliation Statement</w:t>
      </w:r>
    </w:p>
    <w:p>
      <w:pPr>
        <w:spacing w:after="80" w:line="293" w:lineRule="auto"/>
        <w:jc w:val="left"/>
      </w:pPr>
      <w:r>
        <w:rPr>
          <w:rFonts w:ascii="Times New Roman" w:hAnsi="Times New Roman" w:cs="Times New Roman"/>
          <w:b w:val="0"/>
          <w:i w:val="0"/>
          <w:sz w:val="22"/>
        </w:rPr>
        <w:t>At the end of each month, the tenant-data-export-service automatically generates a monthly reconciliation statement for each tenant.</w:t>
      </w:r>
    </w:p>
    <w:p>
      <w:pPr>
        <w:spacing w:after="80" w:line="293" w:lineRule="auto"/>
        <w:jc w:val="left"/>
      </w:pPr>
      <w:r>
        <w:rPr>
          <w:rFonts w:ascii="Times New Roman" w:hAnsi="Times New Roman" w:cs="Times New Roman"/>
          <w:b w:val="0"/>
          <w:i w:val="0"/>
          <w:sz w:val="22"/>
        </w:rPr>
        <w:t>Statement contents:</w:t>
      </w:r>
    </w:p>
    <w:p>
      <w:pPr>
        <w:spacing w:after="80" w:line="293" w:lineRule="auto"/>
        <w:ind w:left="283"/>
        <w:jc w:val="left"/>
      </w:pPr>
      <w:r>
        <w:rPr>
          <w:rFonts w:ascii="Times New Roman" w:hAnsi="Times New Roman" w:cs="Times New Roman"/>
          <w:b w:val="0"/>
          <w:i w:val="0"/>
          <w:sz w:val="22"/>
        </w:rPr>
        <w:t>- All settled USTNs, amounts, dates, counterparties</w:t>
      </w:r>
    </w:p>
    <w:p>
      <w:pPr>
        <w:spacing w:after="80" w:line="293" w:lineRule="auto"/>
        <w:ind w:left="283"/>
        <w:jc w:val="left"/>
      </w:pPr>
      <w:r>
        <w:rPr>
          <w:rFonts w:ascii="Times New Roman" w:hAnsi="Times New Roman" w:cs="Times New Roman"/>
          <w:b w:val="0"/>
          <w:i w:val="0"/>
          <w:sz w:val="22"/>
        </w:rPr>
        <w:t>- Breakdown of trade principal, SGTX fee, financing fees, deferred fees paid</w:t>
      </w:r>
    </w:p>
    <w:p>
      <w:pPr>
        <w:spacing w:after="80" w:line="293" w:lineRule="auto"/>
        <w:ind w:left="283"/>
        <w:jc w:val="left"/>
      </w:pPr>
      <w:r>
        <w:rPr>
          <w:rFonts w:ascii="Times New Roman" w:hAnsi="Times New Roman" w:cs="Times New Roman"/>
          <w:b w:val="0"/>
          <w:i w:val="0"/>
          <w:sz w:val="22"/>
        </w:rPr>
        <w:t>- Base currency conversion (ECB daily rates)</w:t>
      </w:r>
    </w:p>
    <w:p>
      <w:pPr>
        <w:spacing w:after="80" w:line="293" w:lineRule="auto"/>
        <w:ind w:left="283"/>
        <w:jc w:val="left"/>
      </w:pPr>
      <w:r>
        <w:rPr>
          <w:rFonts w:ascii="Times New Roman" w:hAnsi="Times New Roman" w:cs="Times New Roman"/>
          <w:b w:val="0"/>
          <w:i w:val="0"/>
          <w:sz w:val="22"/>
        </w:rPr>
        <w:t>- Ed25519 signature and SHA-256 checksum</w:t>
      </w:r>
    </w:p>
    <w:p>
      <w:pPr>
        <w:spacing w:after="80" w:line="293" w:lineRule="auto"/>
        <w:jc w:val="left"/>
      </w:pPr>
      <w:r>
        <w:rPr>
          <w:rFonts w:ascii="Times New Roman" w:hAnsi="Times New Roman" w:cs="Times New Roman"/>
          <w:b w:val="0"/>
          <w:i w:val="0"/>
          <w:sz w:val="22"/>
        </w:rPr>
        <w:t>One-click: the tenant admin clicks "Download Statement" in the Finance section.</w:t>
      </w:r>
    </w:p>
    <w:p>
      <w:pPr>
        <w:spacing w:after="80" w:line="293" w:lineRule="auto"/>
        <w:jc w:val="left"/>
      </w:pPr>
      <w:r>
        <w:rPr>
          <w:rFonts w:ascii="Times New Roman" w:hAnsi="Times New Roman" w:cs="Times New Roman"/>
          <w:b w:val="0"/>
          <w:i w:val="0"/>
          <w:sz w:val="22"/>
        </w:rPr>
        <w:t>Example monthly statement — June 2026, Strawberry Export Co. (SGTX-EG-TRD-002139-7F3A), base currency USD:</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Date</w:t>
            </w:r>
          </w:p>
        </w:tc>
        <w:tc>
          <w:tcPr>
            <w:tcW w:type="dxa" w:w="1606"/>
            <w:shd w:val="clear" w:fill="D9E2F3"/>
          </w:tcPr>
          <w:p>
            <w:pPr>
              <w:spacing w:after="20" w:before="20" w:line="240" w:lineRule="auto"/>
            </w:pPr>
            <w:r/>
            <w:r>
              <w:rPr>
                <w:rFonts w:ascii="Arial" w:hAnsi="Arial" w:cs="Arial"/>
                <w:b/>
                <w:i w:val="0"/>
                <w:sz w:val="18"/>
              </w:rPr>
              <w:t>USTN</w:t>
            </w:r>
          </w:p>
        </w:tc>
        <w:tc>
          <w:tcPr>
            <w:tcW w:type="dxa" w:w="1606"/>
            <w:shd w:val="clear" w:fill="D9E2F3"/>
          </w:tcPr>
          <w:p>
            <w:pPr>
              <w:spacing w:after="20" w:before="20" w:line="240" w:lineRule="auto"/>
            </w:pPr>
            <w:r/>
            <w:r>
              <w:rPr>
                <w:rFonts w:ascii="Arial" w:hAnsi="Arial" w:cs="Arial"/>
                <w:b/>
                <w:i w:val="0"/>
                <w:sz w:val="18"/>
              </w:rPr>
              <w:t>Description</w:t>
            </w:r>
          </w:p>
        </w:tc>
        <w:tc>
          <w:tcPr>
            <w:tcW w:type="dxa" w:w="1606"/>
            <w:shd w:val="clear" w:fill="D9E2F3"/>
          </w:tcPr>
          <w:p>
            <w:pPr>
              <w:spacing w:after="20" w:before="20" w:line="240" w:lineRule="auto"/>
            </w:pPr>
            <w:r/>
            <w:r>
              <w:rPr>
                <w:rFonts w:ascii="Arial" w:hAnsi="Arial" w:cs="Arial"/>
                <w:b/>
                <w:i w:val="0"/>
                <w:sz w:val="18"/>
              </w:rPr>
              <w:t>Amount</w:t>
            </w:r>
          </w:p>
        </w:tc>
        <w:tc>
          <w:tcPr>
            <w:tcW w:type="dxa" w:w="1606"/>
            <w:shd w:val="clear" w:fill="D9E2F3"/>
          </w:tcPr>
          <w:p>
            <w:pPr>
              <w:spacing w:after="20" w:before="20" w:line="240" w:lineRule="auto"/>
            </w:pPr>
            <w:r/>
            <w:r>
              <w:rPr>
                <w:rFonts w:ascii="Arial" w:hAnsi="Arial" w:cs="Arial"/>
                <w:b/>
                <w:i w:val="0"/>
                <w:sz w:val="18"/>
              </w:rPr>
              <w:t>FX</w:t>
            </w:r>
          </w:p>
        </w:tc>
        <w:tc>
          <w:tcPr>
            <w:tcW w:type="dxa" w:w="1606"/>
            <w:shd w:val="clear" w:fill="D9E2F3"/>
          </w:tcPr>
          <w:p>
            <w:pPr>
              <w:spacing w:after="20" w:before="20" w:line="240" w:lineRule="auto"/>
            </w:pPr>
            <w:r/>
            <w:r>
              <w:rPr>
                <w:rFonts w:ascii="Arial" w:hAnsi="Arial" w:cs="Arial"/>
                <w:b/>
                <w:i w:val="0"/>
                <w:sz w:val="18"/>
              </w:rPr>
              <w:t>Stage</w:t>
            </w:r>
          </w:p>
        </w:tc>
      </w:tr>
      <w:tr>
        <w:tc>
          <w:tcPr>
            <w:tcW w:type="dxa" w:w="1606"/>
          </w:tcPr>
          <w:p>
            <w:pPr>
              <w:spacing w:after="20" w:before="20" w:line="240" w:lineRule="auto"/>
            </w:pPr>
            <w:r/>
            <w:r>
              <w:rPr>
                <w:rFonts w:ascii="Arial" w:hAnsi="Arial" w:cs="Arial"/>
                <w:b w:val="0"/>
                <w:i w:val="0"/>
                <w:sz w:val="17"/>
              </w:rPr>
              <w:t>2026-06-20</w:t>
            </w:r>
          </w:p>
        </w:tc>
        <w:tc>
          <w:tcPr>
            <w:tcW w:type="dxa" w:w="1606"/>
          </w:tcPr>
          <w:p>
            <w:pPr>
              <w:spacing w:after="20" w:before="20" w:line="240" w:lineRule="auto"/>
            </w:pPr>
            <w:r/>
            <w:r>
              <w:rPr>
                <w:rFonts w:ascii="Arial" w:hAnsi="Arial" w:cs="Arial"/>
                <w:b w:val="0"/>
                <w:i w:val="0"/>
                <w:sz w:val="17"/>
              </w:rPr>
              <w:t>SGTX-1397F3A-456ABC-...</w:t>
            </w:r>
          </w:p>
        </w:tc>
        <w:tc>
          <w:tcPr>
            <w:tcW w:type="dxa" w:w="1606"/>
          </w:tcPr>
          <w:p>
            <w:pPr>
              <w:spacing w:after="20" w:before="20" w:line="240" w:lineRule="auto"/>
            </w:pPr>
            <w:r/>
            <w:r>
              <w:rPr>
                <w:rFonts w:ascii="Arial" w:hAnsi="Arial" w:cs="Arial"/>
                <w:b w:val="0"/>
                <w:i w:val="0"/>
                <w:sz w:val="17"/>
              </w:rPr>
              <w:t>SGTX trade fee paid</w:t>
            </w:r>
          </w:p>
        </w:tc>
        <w:tc>
          <w:tcPr>
            <w:tcW w:type="dxa" w:w="1606"/>
          </w:tcPr>
          <w:p>
            <w:pPr>
              <w:spacing w:after="20" w:before="20" w:line="240" w:lineRule="auto"/>
            </w:pPr>
            <w:r/>
            <w:r>
              <w:rPr>
                <w:rFonts w:ascii="Arial" w:hAnsi="Arial" w:cs="Arial"/>
                <w:b w:val="0"/>
                <w:i w:val="0"/>
                <w:sz w:val="17"/>
              </w:rPr>
              <w:t>−$43.20</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Stage 1</w:t>
            </w:r>
          </w:p>
        </w:tc>
      </w:tr>
      <w:tr>
        <w:tc>
          <w:tcPr>
            <w:tcW w:type="dxa" w:w="1606"/>
          </w:tcPr>
          <w:p>
            <w:pPr>
              <w:spacing w:after="20" w:before="20" w:line="240" w:lineRule="auto"/>
            </w:pPr>
            <w:r/>
            <w:r>
              <w:rPr>
                <w:rFonts w:ascii="Arial" w:hAnsi="Arial" w:cs="Arial"/>
                <w:b w:val="0"/>
                <w:i w:val="0"/>
                <w:sz w:val="17"/>
              </w:rPr>
              <w:t>2026-06-20</w:t>
            </w:r>
          </w:p>
        </w:tc>
        <w:tc>
          <w:tcPr>
            <w:tcW w:type="dxa" w:w="1606"/>
          </w:tcPr>
          <w:p>
            <w:pPr>
              <w:spacing w:after="20" w:before="20" w:line="240" w:lineRule="auto"/>
            </w:pPr>
            <w:r/>
            <w:r>
              <w:rPr>
                <w:rFonts w:ascii="Arial" w:hAnsi="Arial" w:cs="Arial"/>
                <w:b w:val="0"/>
                <w:i w:val="0"/>
                <w:sz w:val="17"/>
              </w:rPr>
              <w:t>SGTX-1397F3A-456ABC-...</w:t>
            </w:r>
          </w:p>
        </w:tc>
        <w:tc>
          <w:tcPr>
            <w:tcW w:type="dxa" w:w="1606"/>
          </w:tcPr>
          <w:p>
            <w:pPr>
              <w:spacing w:after="20" w:before="20" w:line="240" w:lineRule="auto"/>
            </w:pPr>
            <w:r/>
            <w:r>
              <w:rPr>
                <w:rFonts w:ascii="Arial" w:hAnsi="Arial" w:cs="Arial"/>
                <w:b w:val="0"/>
                <w:i w:val="0"/>
                <w:sz w:val="17"/>
              </w:rPr>
              <w:t>Lab testing (SGS)</w:t>
            </w:r>
          </w:p>
        </w:tc>
        <w:tc>
          <w:tcPr>
            <w:tcW w:type="dxa" w:w="1606"/>
          </w:tcPr>
          <w:p>
            <w:pPr>
              <w:spacing w:after="20" w:before="20" w:line="240" w:lineRule="auto"/>
            </w:pPr>
            <w:r/>
            <w:r>
              <w:rPr>
                <w:rFonts w:ascii="Arial" w:hAnsi="Arial" w:cs="Arial"/>
                <w:b w:val="0"/>
                <w:i w:val="0"/>
                <w:sz w:val="17"/>
              </w:rPr>
              <w:t>−$200</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Stage 1</w:t>
            </w:r>
          </w:p>
        </w:tc>
      </w:tr>
      <w:tr>
        <w:tc>
          <w:tcPr>
            <w:tcW w:type="dxa" w:w="1606"/>
          </w:tcPr>
          <w:p>
            <w:pPr>
              <w:spacing w:after="20" w:before="20" w:line="240" w:lineRule="auto"/>
            </w:pPr>
            <w:r/>
            <w:r>
              <w:rPr>
                <w:rFonts w:ascii="Arial" w:hAnsi="Arial" w:cs="Arial"/>
                <w:b w:val="0"/>
                <w:i w:val="0"/>
                <w:sz w:val="17"/>
              </w:rPr>
              <w:t>2026-07-06</w:t>
            </w:r>
          </w:p>
        </w:tc>
        <w:tc>
          <w:tcPr>
            <w:tcW w:type="dxa" w:w="1606"/>
          </w:tcPr>
          <w:p>
            <w:pPr>
              <w:spacing w:after="20" w:before="20" w:line="240" w:lineRule="auto"/>
            </w:pPr>
            <w:r/>
            <w:r>
              <w:rPr>
                <w:rFonts w:ascii="Arial" w:hAnsi="Arial" w:cs="Arial"/>
                <w:b w:val="0"/>
                <w:i w:val="0"/>
                <w:sz w:val="17"/>
              </w:rPr>
              <w:t>SGTX-1397F3A-456ABC-...</w:t>
            </w:r>
          </w:p>
        </w:tc>
        <w:tc>
          <w:tcPr>
            <w:tcW w:type="dxa" w:w="1606"/>
          </w:tcPr>
          <w:p>
            <w:pPr>
              <w:spacing w:after="20" w:before="20" w:line="240" w:lineRule="auto"/>
            </w:pPr>
            <w:r/>
            <w:r>
              <w:rPr>
                <w:rFonts w:ascii="Arial" w:hAnsi="Arial" w:cs="Arial"/>
                <w:b w:val="0"/>
                <w:i w:val="0"/>
                <w:sz w:val="17"/>
              </w:rPr>
              <w:t>Trade settlement</w:t>
            </w:r>
          </w:p>
        </w:tc>
        <w:tc>
          <w:tcPr>
            <w:tcW w:type="dxa" w:w="1606"/>
          </w:tcPr>
          <w:p>
            <w:pPr>
              <w:spacing w:after="20" w:before="20" w:line="240" w:lineRule="auto"/>
            </w:pPr>
            <w:r/>
            <w:r>
              <w:rPr>
                <w:rFonts w:ascii="Arial" w:hAnsi="Arial" w:cs="Arial"/>
                <w:b w:val="0"/>
                <w:i w:val="0"/>
                <w:sz w:val="17"/>
              </w:rPr>
              <w:t>+$30,553.20</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principal</w:t>
            </w:r>
          </w:p>
        </w:tc>
      </w:tr>
      <w:tr>
        <w:tc>
          <w:tcPr>
            <w:tcW w:type="dxa" w:w="1606"/>
          </w:tcPr>
          <w:p>
            <w:pPr>
              <w:spacing w:after="20" w:before="20" w:line="240" w:lineRule="auto"/>
            </w:pPr>
            <w:r/>
            <w:r>
              <w:rPr>
                <w:rFonts w:ascii="Arial" w:hAnsi="Arial" w:cs="Arial"/>
                <w:b w:val="0"/>
                <w:i w:val="0"/>
                <w:sz w:val="17"/>
              </w:rPr>
              <w:t>2026-07-06</w:t>
            </w:r>
          </w:p>
        </w:tc>
        <w:tc>
          <w:tcPr>
            <w:tcW w:type="dxa" w:w="1606"/>
          </w:tcPr>
          <w:p>
            <w:pPr>
              <w:spacing w:after="20" w:before="20" w:line="240" w:lineRule="auto"/>
            </w:pPr>
            <w:r/>
            <w:r>
              <w:rPr>
                <w:rFonts w:ascii="Arial" w:hAnsi="Arial" w:cs="Arial"/>
                <w:b w:val="0"/>
                <w:i w:val="0"/>
                <w:sz w:val="17"/>
              </w:rPr>
              <w:t>SGTX-1397F3A-456ABC-...</w:t>
            </w:r>
          </w:p>
        </w:tc>
        <w:tc>
          <w:tcPr>
            <w:tcW w:type="dxa" w:w="1606"/>
          </w:tcPr>
          <w:p>
            <w:pPr>
              <w:spacing w:after="20" w:before="20" w:line="240" w:lineRule="auto"/>
            </w:pPr>
            <w:r/>
            <w:r>
              <w:rPr>
                <w:rFonts w:ascii="Arial" w:hAnsi="Arial" w:cs="Arial"/>
                <w:b w:val="0"/>
                <w:i w:val="0"/>
                <w:sz w:val="17"/>
              </w:rPr>
              <w:t>Ocean freight (MSC)</w:t>
            </w:r>
          </w:p>
        </w:tc>
        <w:tc>
          <w:tcPr>
            <w:tcW w:type="dxa" w:w="1606"/>
          </w:tcPr>
          <w:p>
            <w:pPr>
              <w:spacing w:after="20" w:before="20" w:line="240" w:lineRule="auto"/>
            </w:pPr>
            <w:r/>
            <w:r>
              <w:rPr>
                <w:rFonts w:ascii="Arial" w:hAnsi="Arial" w:cs="Arial"/>
                <w:b w:val="0"/>
                <w:i w:val="0"/>
                <w:sz w:val="17"/>
              </w:rPr>
              <w:t>−$8,400</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Stage 2</w:t>
            </w:r>
          </w:p>
        </w:tc>
      </w:tr>
      <w:tr>
        <w:tc>
          <w:tcPr>
            <w:tcW w:type="dxa" w:w="1606"/>
          </w:tcPr>
          <w:p>
            <w:pPr>
              <w:spacing w:after="20" w:before="20" w:line="240" w:lineRule="auto"/>
            </w:pPr>
            <w:r/>
            <w:r>
              <w:rPr>
                <w:rFonts w:ascii="Arial" w:hAnsi="Arial" w:cs="Arial"/>
                <w:b w:val="0"/>
                <w:i w:val="0"/>
                <w:sz w:val="17"/>
              </w:rPr>
              <w:t>NET CASH FLOW</w:t>
            </w:r>
          </w:p>
        </w:tc>
        <w:tc>
          <w:tcPr>
            <w:tcW w:type="dxa" w:w="1606"/>
          </w:tcPr>
          <w:p>
            <w:pPr>
              <w:spacing w:after="20" w:before="20" w:line="240" w:lineRule="auto"/>
            </w:pPr>
            <w:r/>
            <w:r>
              <w:rPr>
                <w:rFonts w:ascii="Arial" w:hAnsi="Arial" w:cs="Arial"/>
                <w:b w:val="0"/>
                <w:i w:val="0"/>
                <w:sz w:val="17"/>
              </w:rPr>
            </w:r>
          </w:p>
        </w:tc>
        <w:tc>
          <w:tcPr>
            <w:tcW w:type="dxa" w:w="1606"/>
          </w:tcPr>
          <w:p>
            <w:pPr>
              <w:spacing w:after="20" w:before="20" w:line="240" w:lineRule="auto"/>
            </w:pPr>
            <w:r/>
            <w:r>
              <w:rPr>
                <w:rFonts w:ascii="Arial" w:hAnsi="Arial" w:cs="Arial"/>
                <w:b w:val="0"/>
                <w:i w:val="0"/>
                <w:sz w:val="17"/>
              </w:rPr>
            </w:r>
          </w:p>
        </w:tc>
        <w:tc>
          <w:tcPr>
            <w:tcW w:type="dxa" w:w="1606"/>
          </w:tcPr>
          <w:p>
            <w:pPr>
              <w:spacing w:after="20" w:before="20" w:line="240" w:lineRule="auto"/>
            </w:pPr>
            <w:r/>
            <w:r>
              <w:rPr>
                <w:rFonts w:ascii="Arial" w:hAnsi="Arial" w:cs="Arial"/>
                <w:b w:val="0"/>
                <w:i w:val="0"/>
                <w:sz w:val="17"/>
              </w:rPr>
              <w:t>+$21,910</w:t>
            </w:r>
          </w:p>
        </w:tc>
        <w:tc>
          <w:tcPr>
            <w:tcW w:type="dxa" w:w="1606"/>
          </w:tcPr>
          <w:p>
            <w:pPr>
              <w:spacing w:after="20" w:before="20" w:line="240" w:lineRule="auto"/>
            </w:pPr>
            <w:r/>
            <w:r>
              <w:rPr>
                <w:rFonts w:ascii="Arial" w:hAnsi="Arial" w:cs="Arial"/>
                <w:b w:val="0"/>
                <w:i w:val="0"/>
                <w:sz w:val="17"/>
              </w:rPr>
            </w:r>
          </w:p>
        </w:tc>
        <w:tc>
          <w:tcPr>
            <w:tcW w:type="dxa" w:w="1606"/>
          </w:tcPr>
          <w:p>
            <w:pPr>
              <w:spacing w:after="20" w:before="20" w:line="240" w:lineRule="auto"/>
            </w:pPr>
            <w:r/>
            <w:r>
              <w:rPr>
                <w:rFonts w:ascii="Arial" w:hAnsi="Arial" w:cs="Arial"/>
                <w:b w:val="0"/>
                <w:i w:val="0"/>
                <w:sz w:val="17"/>
              </w:rPr>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statement carries an Ed25519 signature and SHA-256 checksum and offers [Download PDF] [Download CSV] [Verify Signature] actions.</w:t>
      </w:r>
    </w:p>
    <w:p>
      <w:pPr>
        <w:keepNext/>
        <w:spacing w:before="180" w:after="80"/>
        <w:outlineLvl w:val="2"/>
      </w:pPr>
      <w:r>
        <w:rPr>
          <w:rFonts w:ascii="Arial" w:hAnsi="Arial" w:cs="Arial"/>
          <w:b/>
          <w:i w:val="0"/>
          <w:color w:val="333333"/>
          <w:sz w:val="23"/>
        </w:rPr>
        <w:t>13.6.6 Settlement Completion</w:t>
      </w:r>
    </w:p>
    <w:p>
      <w:pPr>
        <w:spacing w:after="80" w:line="293" w:lineRule="auto"/>
        <w:jc w:val="left"/>
      </w:pPr>
      <w:r>
        <w:rPr>
          <w:rFonts w:ascii="Times New Roman" w:hAnsi="Times New Roman" w:cs="Times New Roman"/>
          <w:b w:val="0"/>
          <w:i w:val="0"/>
          <w:sz w:val="22"/>
        </w:rPr>
        <w:t>A settlement is complete when the instruction reaches Payment Final — fully settled and reconciled. Completion requires: bank confirmation ingested and verified (pain.002/camt.054/gpi); reconciliation matched (confidence ≥95% or manually resolved); FeeLock fully released (no disputed legs); and, for the parent trade, the settlement completion matrix showing every required leg settled or explicitly excepted. Closure of the overall trade is a policy-derived condition evaluated against the USTN closure conditions (Section 5); settlement completion is one of its inputs, not a synonym for closure. Where policy permits closure despite defined non-critical unresolved matters, the trade closes with exception — preserving the exception ID, severity, outstanding obligation, financial exposure, authority, reason, required post-closure action, responsible party, and deadline.</w:t>
      </w:r>
    </w:p>
    <w:p>
      <w:pPr>
        <w:keepNext/>
        <w:spacing w:before="180" w:after="80"/>
        <w:outlineLvl w:val="2"/>
      </w:pPr>
      <w:r>
        <w:rPr>
          <w:rFonts w:ascii="Arial" w:hAnsi="Arial" w:cs="Arial"/>
          <w:b/>
          <w:i w:val="0"/>
          <w:color w:val="333333"/>
          <w:sz w:val="23"/>
        </w:rPr>
        <w:t>13.6.7 Payment Reconciliation State Model</w:t>
      </w:r>
    </w:p>
    <w:p>
      <w:pPr>
        <w:spacing w:after="80" w:line="293" w:lineRule="auto"/>
        <w:jc w:val="left"/>
      </w:pPr>
      <w:r>
        <w:rPr>
          <w:rFonts w:ascii="Times New Roman" w:hAnsi="Times New Roman" w:cs="Times New Roman"/>
          <w:b w:val="0"/>
          <w:i w:val="0"/>
          <w:sz w:val="22"/>
        </w:rPr>
        <w:t>Payment reconciliation models the full external payment lifecycle: payment intent, external reference, authorization, submission, processing, settlement, return, reversal, refund, and unknown. The bank remains authoritative for actual financial status in every one of these states. The platform's role is to orchestrate, correlate, validate, reconcile, record, and surface divergence — never to pretend that a payment occurred because an internal command was issued.</w:t>
      </w:r>
    </w:p>
    <w:p>
      <w:pPr>
        <w:spacing w:after="80" w:line="293" w:lineRule="auto"/>
        <w:jc w:val="left"/>
      </w:pPr>
      <w:r>
        <w:rPr>
          <w:rFonts w:ascii="Times New Roman" w:hAnsi="Times New Roman" w:cs="Times New Roman"/>
          <w:b w:val="0"/>
          <w:i w:val="0"/>
          <w:sz w:val="22"/>
        </w:rPr>
        <w:t>Every payment instruction record carries: the payment intent, the external transaction reference(s) returned by the bank (EndToEndId / UETR / bank reference), the authorization reference, submission and processing timestamps (occurred_at / observed_at / recorded_at, Section 19.16), the settlement confirmation evidence, and the reconciliation state. The reconciliation engine (Section 13.6.2) matches expected state against observed external state and produces reconciliation cases (Section 19.26.1) for any divergence; a divergence is resolved only by an authoritative external confirmation or a governed corrective event, never by silently overwriting the internal record. Payment confirmation updates the financial domain of the state vector (Section 19.7) without creating closure (Section 19.10) and without resolving exposure that policy keeps open (Section 19.64).</w:t>
      </w:r>
    </w:p>
    <w:p>
      <w:pPr>
        <w:keepNext/>
        <w:spacing w:before="240" w:after="100"/>
        <w:outlineLvl w:val="1"/>
      </w:pPr>
      <w:r>
        <w:rPr>
          <w:rFonts w:ascii="Arial" w:hAnsi="Arial" w:cs="Arial"/>
          <w:b/>
          <w:i w:val="0"/>
          <w:color w:val="2E528F"/>
          <w:sz w:val="26"/>
        </w:rPr>
        <w:t>13.7 Phase 6 Data Model &amp; Implementation</w:t>
      </w:r>
    </w:p>
    <w:p>
      <w:pPr>
        <w:keepNext/>
        <w:spacing w:before="180" w:after="80"/>
        <w:outlineLvl w:val="2"/>
      </w:pPr>
      <w:r>
        <w:rPr>
          <w:rFonts w:ascii="Arial" w:hAnsi="Arial" w:cs="Arial"/>
          <w:b/>
          <w:i w:val="0"/>
          <w:color w:val="333333"/>
          <w:sz w:val="23"/>
        </w:rPr>
        <w:t>13.7.1 Database Schema Additions</w:t>
      </w:r>
    </w:p>
    <w:p>
      <w:pPr>
        <w:spacing w:after="80" w:line="293" w:lineRule="auto"/>
        <w:jc w:val="left"/>
      </w:pPr>
      <w:r>
        <w:rPr>
          <w:rFonts w:ascii="Times New Roman" w:hAnsi="Times New Roman" w:cs="Times New Roman"/>
          <w:b w:val="0"/>
          <w:i w:val="0"/>
          <w:sz w:val="22"/>
        </w:rPr>
        <w:t>The complete payment and settlement schema is defined canonically in the central data model: Section 17.20 (bank capability registry, service quotations with fee conditions, settlement instructions as payment legs with EndToEndId/UETR and camt.054 proof hashes, payment manifests, ISO 20022 message logs, bank confirmation proofs, bank mandate agreements, deferred payment instructions and guarantees, payment retry logs, bank health logs, bank reconciliation files) and Section 17.10 (fee payment requests with deferred-fee state, fee locks, late fee events, fee calculations). Phase 6 implements against those tables; no separate phase-local schema exists.</w:t>
      </w:r>
    </w:p>
    <w:p>
      <w:pPr>
        <w:keepNext/>
        <w:spacing w:before="180" w:after="80"/>
        <w:outlineLvl w:val="2"/>
      </w:pPr>
      <w:r>
        <w:rPr>
          <w:rFonts w:ascii="Arial" w:hAnsi="Arial" w:cs="Arial"/>
          <w:b/>
          <w:i w:val="0"/>
          <w:color w:val="333333"/>
          <w:sz w:val="23"/>
        </w:rPr>
        <w:t>13.7.2 Implementation Checklist</w:t>
      </w:r>
    </w:p>
    <w:p>
      <w:pPr>
        <w:spacing w:after="80" w:line="293" w:lineRule="auto"/>
        <w:jc w:val="left"/>
      </w:pPr>
      <w:r>
        <w:rPr>
          <w:rFonts w:ascii="Times New Roman" w:hAnsi="Times New Roman" w:cs="Times New Roman"/>
          <w:b w:val="0"/>
          <w:i w:val="0"/>
          <w:sz w:val="22"/>
        </w:rPr>
        <w:t>Core payment infrastructure:</w:t>
      </w:r>
    </w:p>
    <w:p>
      <w:pPr>
        <w:spacing w:after="80" w:line="293" w:lineRule="auto"/>
        <w:ind w:left="283"/>
        <w:jc w:val="left"/>
      </w:pPr>
      <w:r>
        <w:rPr>
          <w:rFonts w:ascii="Times New Roman" w:hAnsi="Times New Roman" w:cs="Times New Roman"/>
          <w:b w:val="0"/>
          <w:i w:val="0"/>
          <w:sz w:val="22"/>
        </w:rPr>
        <w:t>- Implement the payment-orchestrator service (Rust).</w:t>
      </w:r>
    </w:p>
    <w:p>
      <w:pPr>
        <w:spacing w:after="80" w:line="293" w:lineRule="auto"/>
        <w:ind w:left="283"/>
        <w:jc w:val="left"/>
      </w:pPr>
      <w:r>
        <w:rPr>
          <w:rFonts w:ascii="Times New Roman" w:hAnsi="Times New Roman" w:cs="Times New Roman"/>
          <w:b w:val="0"/>
          <w:i w:val="0"/>
          <w:sz w:val="22"/>
        </w:rPr>
        <w:t>- Build the Bank Settlement Gateway with per-currency batch construction (pain.001).</w:t>
      </w:r>
    </w:p>
    <w:p>
      <w:pPr>
        <w:spacing w:after="80" w:line="293" w:lineRule="auto"/>
        <w:ind w:left="283"/>
        <w:jc w:val="left"/>
      </w:pPr>
      <w:r>
        <w:rPr>
          <w:rFonts w:ascii="Times New Roman" w:hAnsi="Times New Roman" w:cs="Times New Roman"/>
          <w:b w:val="0"/>
          <w:i w:val="0"/>
          <w:sz w:val="22"/>
        </w:rPr>
        <w:t>- Onboard banks into the bank capability registry with health scoring (A2 advisory).</w:t>
      </w:r>
    </w:p>
    <w:p>
      <w:pPr>
        <w:spacing w:after="80" w:line="293" w:lineRule="auto"/>
        <w:ind w:left="283"/>
        <w:jc w:val="left"/>
      </w:pPr>
      <w:r>
        <w:rPr>
          <w:rFonts w:ascii="Times New Roman" w:hAnsi="Times New Roman" w:cs="Times New Roman"/>
          <w:b w:val="0"/>
          <w:i w:val="0"/>
          <w:sz w:val="22"/>
        </w:rPr>
        <w:t>- Add inbound handlers for pain.002, camt.054, and SWIFT gpi UETR tracking.</w:t>
      </w:r>
    </w:p>
    <w:p>
      <w:pPr>
        <w:spacing w:after="80" w:line="293" w:lineRule="auto"/>
        <w:ind w:left="283"/>
        <w:jc w:val="left"/>
      </w:pPr>
      <w:r>
        <w:rPr>
          <w:rFonts w:ascii="Times New Roman" w:hAnsi="Times New Roman" w:cs="Times New Roman"/>
          <w:b w:val="0"/>
          <w:i w:val="0"/>
          <w:sz w:val="22"/>
        </w:rPr>
        <w:t>- Implement the FeeLock state machine in NATS JetStream KV.</w:t>
      </w:r>
    </w:p>
    <w:p>
      <w:pPr>
        <w:spacing w:after="80" w:line="293" w:lineRule="auto"/>
        <w:ind w:left="283"/>
        <w:jc w:val="left"/>
      </w:pPr>
      <w:r>
        <w:rPr>
          <w:rFonts w:ascii="Times New Roman" w:hAnsi="Times New Roman" w:cs="Times New Roman"/>
          <w:b w:val="0"/>
          <w:i w:val="0"/>
          <w:sz w:val="22"/>
        </w:rPr>
        <w:t>- Build the multi-leg settlement generator that aggregates all Stage 1 payees.</w:t>
      </w:r>
    </w:p>
    <w:p>
      <w:pPr>
        <w:spacing w:after="80" w:line="293" w:lineRule="auto"/>
        <w:ind w:left="283"/>
        <w:jc w:val="left"/>
      </w:pPr>
      <w:r>
        <w:rPr>
          <w:rFonts w:ascii="Times New Roman" w:hAnsi="Times New Roman" w:cs="Times New Roman"/>
          <w:b w:val="0"/>
          <w:i w:val="0"/>
          <w:sz w:val="22"/>
        </w:rPr>
        <w:t>- Implement gross-up calculation with AI-validated fee schedules.</w:t>
      </w:r>
    </w:p>
    <w:p>
      <w:pPr>
        <w:spacing w:after="80" w:line="293" w:lineRule="auto"/>
        <w:jc w:val="left"/>
      </w:pPr>
      <w:r>
        <w:rPr>
          <w:rFonts w:ascii="Times New Roman" w:hAnsi="Times New Roman" w:cs="Times New Roman"/>
          <w:b w:val="0"/>
          <w:i w:val="0"/>
          <w:sz w:val="22"/>
        </w:rPr>
        <w:t>Stage 1 &amp; Stage 2:</w:t>
      </w:r>
    </w:p>
    <w:p>
      <w:pPr>
        <w:spacing w:after="80" w:line="293" w:lineRule="auto"/>
        <w:ind w:left="283"/>
        <w:jc w:val="left"/>
      </w:pPr>
      <w:r>
        <w:rPr>
          <w:rFonts w:ascii="Times New Roman" w:hAnsi="Times New Roman" w:cs="Times New Roman"/>
          <w:b w:val="0"/>
          <w:i w:val="0"/>
          <w:sz w:val="22"/>
        </w:rPr>
        <w:t>- Implement the Stage 1 payment flow (aggregation, multi-leg dispatch, camt.054 verification).</w:t>
      </w:r>
    </w:p>
    <w:p>
      <w:pPr>
        <w:spacing w:after="80" w:line="293" w:lineRule="auto"/>
        <w:ind w:left="283"/>
        <w:jc w:val="left"/>
      </w:pPr>
      <w:r>
        <w:rPr>
          <w:rFonts w:ascii="Times New Roman" w:hAnsi="Times New Roman" w:cs="Times New Roman"/>
          <w:b w:val="0"/>
          <w:i w:val="0"/>
          <w:sz w:val="22"/>
        </w:rPr>
        <w:t>- Implement the Stage 2 payment flow (freight, destination charges).</w:t>
      </w:r>
    </w:p>
    <w:p>
      <w:pPr>
        <w:spacing w:after="80" w:line="293" w:lineRule="auto"/>
        <w:ind w:left="283"/>
        <w:jc w:val="left"/>
      </w:pPr>
      <w:r>
        <w:rPr>
          <w:rFonts w:ascii="Times New Roman" w:hAnsi="Times New Roman" w:cs="Times New Roman"/>
          <w:b w:val="0"/>
          <w:i w:val="0"/>
          <w:sz w:val="22"/>
        </w:rPr>
        <w:t>- Add per-shipment Stage 1/Stage 2 for multi-shipment contracts.</w:t>
      </w:r>
    </w:p>
    <w:p>
      <w:pPr>
        <w:spacing w:after="80" w:line="293" w:lineRule="auto"/>
        <w:ind w:left="283"/>
        <w:jc w:val="left"/>
      </w:pPr>
      <w:r>
        <w:rPr>
          <w:rFonts w:ascii="Times New Roman" w:hAnsi="Times New Roman" w:cs="Times New Roman"/>
          <w:b w:val="0"/>
          <w:i w:val="0"/>
          <w:sz w:val="22"/>
        </w:rPr>
        <w:t>- Implement the import payment batch (buyer side).</w:t>
      </w:r>
    </w:p>
    <w:p>
      <w:pPr>
        <w:spacing w:after="80" w:line="293" w:lineRule="auto"/>
        <w:jc w:val="left"/>
      </w:pPr>
      <w:r>
        <w:rPr>
          <w:rFonts w:ascii="Times New Roman" w:hAnsi="Times New Roman" w:cs="Times New Roman"/>
          <w:b w:val="0"/>
          <w:i w:val="0"/>
          <w:sz w:val="22"/>
        </w:rPr>
        <w:t>Government integration:</w:t>
      </w:r>
    </w:p>
    <w:p>
      <w:pPr>
        <w:spacing w:after="80" w:line="293" w:lineRule="auto"/>
        <w:ind w:left="283"/>
        <w:jc w:val="left"/>
      </w:pPr>
      <w:r>
        <w:rPr>
          <w:rFonts w:ascii="Times New Roman" w:hAnsi="Times New Roman" w:cs="Times New Roman"/>
          <w:b w:val="0"/>
          <w:i w:val="0"/>
          <w:sz w:val="22"/>
        </w:rPr>
        <w:t>- Automate CargoX API calls after payment (ACID generation).</w:t>
      </w:r>
    </w:p>
    <w:p>
      <w:pPr>
        <w:spacing w:after="80" w:line="293" w:lineRule="auto"/>
        <w:ind w:left="283"/>
        <w:jc w:val="left"/>
      </w:pPr>
      <w:r>
        <w:rPr>
          <w:rFonts w:ascii="Times New Roman" w:hAnsi="Times New Roman" w:cs="Times New Roman"/>
          <w:b w:val="0"/>
          <w:i w:val="0"/>
          <w:sz w:val="22"/>
        </w:rPr>
        <w:t>- Automate Nafeza API calls after payment (SAD submission, certificate requests).</w:t>
      </w:r>
    </w:p>
    <w:p>
      <w:pPr>
        <w:spacing w:after="80" w:line="293" w:lineRule="auto"/>
        <w:ind w:left="283"/>
        <w:jc w:val="left"/>
      </w:pPr>
      <w:r>
        <w:rPr>
          <w:rFonts w:ascii="Times New Roman" w:hAnsi="Times New Roman" w:cs="Times New Roman"/>
          <w:b w:val="0"/>
          <w:i w:val="0"/>
          <w:sz w:val="22"/>
        </w:rPr>
        <w:t>- Automate ETA API calls (invoice submission, UUID/QR retrieval).</w:t>
      </w:r>
    </w:p>
    <w:p>
      <w:pPr>
        <w:spacing w:after="80" w:line="293" w:lineRule="auto"/>
        <w:ind w:left="283"/>
        <w:jc w:val="left"/>
      </w:pPr>
      <w:r>
        <w:rPr>
          <w:rFonts w:ascii="Times New Roman" w:hAnsi="Times New Roman" w:cs="Times New Roman"/>
          <w:b w:val="0"/>
          <w:i w:val="0"/>
          <w:sz w:val="22"/>
        </w:rPr>
        <w:t>- Implement retry policies with exponential backoff.</w:t>
      </w:r>
    </w:p>
    <w:p>
      <w:pPr>
        <w:spacing w:after="80" w:line="293" w:lineRule="auto"/>
        <w:ind w:left="283"/>
        <w:jc w:val="left"/>
      </w:pPr>
      <w:r>
        <w:rPr>
          <w:rFonts w:ascii="Times New Roman" w:hAnsi="Times New Roman" w:cs="Times New Roman"/>
          <w:b w:val="0"/>
          <w:i w:val="0"/>
          <w:sz w:val="22"/>
        </w:rPr>
        <w:t>- Add the idempotency key standard for all external calls.</w:t>
      </w:r>
    </w:p>
    <w:p>
      <w:pPr>
        <w:spacing w:after="80" w:line="293" w:lineRule="auto"/>
        <w:jc w:val="left"/>
      </w:pPr>
      <w:r>
        <w:rPr>
          <w:rFonts w:ascii="Times New Roman" w:hAnsi="Times New Roman" w:cs="Times New Roman"/>
          <w:b w:val="0"/>
          <w:i w:val="0"/>
          <w:sz w:val="22"/>
        </w:rPr>
        <w:t>Settlement instruction generation:</w:t>
      </w:r>
    </w:p>
    <w:p>
      <w:pPr>
        <w:spacing w:after="80" w:line="293" w:lineRule="auto"/>
        <w:ind w:left="283"/>
        <w:jc w:val="left"/>
      </w:pPr>
      <w:r>
        <w:rPr>
          <w:rFonts w:ascii="Times New Roman" w:hAnsi="Times New Roman" w:cs="Times New Roman"/>
          <w:b w:val="0"/>
          <w:i w:val="0"/>
          <w:sz w:val="22"/>
        </w:rPr>
        <w:t>- Implement full settlement instruction generation.</w:t>
      </w:r>
    </w:p>
    <w:p>
      <w:pPr>
        <w:spacing w:after="80" w:line="293" w:lineRule="auto"/>
        <w:ind w:left="283"/>
        <w:jc w:val="left"/>
      </w:pPr>
      <w:r>
        <w:rPr>
          <w:rFonts w:ascii="Times New Roman" w:hAnsi="Times New Roman" w:cs="Times New Roman"/>
          <w:b w:val="0"/>
          <w:i w:val="0"/>
          <w:sz w:val="22"/>
        </w:rPr>
        <w:t>- Implement milestone-based partial settlement.</w:t>
      </w:r>
    </w:p>
    <w:p>
      <w:pPr>
        <w:spacing w:after="80" w:line="293" w:lineRule="auto"/>
        <w:ind w:left="283"/>
        <w:jc w:val="left"/>
      </w:pPr>
      <w:r>
        <w:rPr>
          <w:rFonts w:ascii="Times New Roman" w:hAnsi="Times New Roman" w:cs="Times New Roman"/>
          <w:b w:val="0"/>
          <w:i w:val="0"/>
          <w:sz w:val="22"/>
        </w:rPr>
        <w:t>- Implement the deferred government fee settlement trigger.</w:t>
      </w:r>
    </w:p>
    <w:p>
      <w:pPr>
        <w:spacing w:after="80" w:line="293" w:lineRule="auto"/>
        <w:ind w:left="283"/>
        <w:jc w:val="left"/>
      </w:pPr>
      <w:r>
        <w:rPr>
          <w:rFonts w:ascii="Times New Roman" w:hAnsi="Times New Roman" w:cs="Times New Roman"/>
          <w:b w:val="0"/>
          <w:i w:val="0"/>
          <w:sz w:val="22"/>
        </w:rPr>
        <w:t>- Implement Ed25519 signing of settlement instructions.</w:t>
      </w:r>
    </w:p>
    <w:p>
      <w:pPr>
        <w:spacing w:after="80" w:line="293" w:lineRule="auto"/>
        <w:ind w:left="283"/>
        <w:jc w:val="left"/>
      </w:pPr>
      <w:r>
        <w:rPr>
          <w:rFonts w:ascii="Times New Roman" w:hAnsi="Times New Roman" w:cs="Times New Roman"/>
          <w:b w:val="0"/>
          <w:i w:val="0"/>
          <w:sz w:val="22"/>
        </w:rPr>
        <w:t>- Implement Loom hashing of settlement instructions.</w:t>
      </w:r>
    </w:p>
    <w:p>
      <w:pPr>
        <w:spacing w:after="80" w:line="293" w:lineRule="auto"/>
        <w:ind w:left="283"/>
        <w:jc w:val="left"/>
      </w:pPr>
      <w:r>
        <w:rPr>
          <w:rFonts w:ascii="Times New Roman" w:hAnsi="Times New Roman" w:cs="Times New Roman"/>
          <w:b w:val="0"/>
          <w:i w:val="0"/>
          <w:sz w:val="22"/>
        </w:rPr>
        <w:t>- Implement Smart Inbox notification to the buyer.</w:t>
      </w:r>
    </w:p>
    <w:p>
      <w:pPr>
        <w:spacing w:after="80" w:line="293" w:lineRule="auto"/>
        <w:jc w:val="left"/>
      </w:pPr>
      <w:r>
        <w:rPr>
          <w:rFonts w:ascii="Times New Roman" w:hAnsi="Times New Roman" w:cs="Times New Roman"/>
          <w:b w:val="0"/>
          <w:i w:val="0"/>
          <w:sz w:val="22"/>
        </w:rPr>
        <w:t>Bank dispatch &amp; approval:</w:t>
      </w:r>
    </w:p>
    <w:p>
      <w:pPr>
        <w:spacing w:after="80" w:line="293" w:lineRule="auto"/>
        <w:ind w:left="283"/>
        <w:jc w:val="left"/>
      </w:pPr>
      <w:r>
        <w:rPr>
          <w:rFonts w:ascii="Times New Roman" w:hAnsi="Times New Roman" w:cs="Times New Roman"/>
          <w:b w:val="0"/>
          <w:i w:val="0"/>
          <w:sz w:val="22"/>
        </w:rPr>
        <w:t>- Implement real-time bank health scoring (bank_capability_registry).</w:t>
      </w:r>
    </w:p>
    <w:p>
      <w:pPr>
        <w:spacing w:after="80" w:line="293" w:lineRule="auto"/>
        <w:ind w:left="283"/>
        <w:jc w:val="left"/>
      </w:pPr>
      <w:r>
        <w:rPr>
          <w:rFonts w:ascii="Times New Roman" w:hAnsi="Times New Roman" w:cs="Times New Roman"/>
          <w:b w:val="0"/>
          <w:i w:val="0"/>
          <w:sz w:val="22"/>
        </w:rPr>
        <w:t>- Implement bank fallback routes per mandate and capability tier.</w:t>
      </w:r>
    </w:p>
    <w:p>
      <w:pPr>
        <w:spacing w:after="80" w:line="293" w:lineRule="auto"/>
        <w:ind w:left="283"/>
        <w:jc w:val="left"/>
      </w:pPr>
      <w:r>
        <w:rPr>
          <w:rFonts w:ascii="Times New Roman" w:hAnsi="Times New Roman" w:cs="Times New Roman"/>
          <w:b w:val="0"/>
          <w:i w:val="0"/>
          <w:sz w:val="22"/>
        </w:rPr>
        <w:t>- Implement bank route explanation (A1, Groq).</w:t>
      </w:r>
    </w:p>
    <w:p>
      <w:pPr>
        <w:spacing w:after="80" w:line="293" w:lineRule="auto"/>
        <w:ind w:left="283"/>
        <w:jc w:val="left"/>
      </w:pPr>
      <w:r>
        <w:rPr>
          <w:rFonts w:ascii="Times New Roman" w:hAnsi="Times New Roman" w:cs="Times New Roman"/>
          <w:b w:val="0"/>
          <w:i w:val="0"/>
          <w:sz w:val="22"/>
        </w:rPr>
        <w:t>- Implement the manual approval endpoint (POST /v1/settlement/approve).</w:t>
      </w:r>
    </w:p>
    <w:p>
      <w:pPr>
        <w:spacing w:after="80" w:line="293" w:lineRule="auto"/>
        <w:ind w:left="283"/>
        <w:jc w:val="left"/>
      </w:pPr>
      <w:r>
        <w:rPr>
          <w:rFonts w:ascii="Times New Roman" w:hAnsi="Times New Roman" w:cs="Times New Roman"/>
          <w:b w:val="0"/>
          <w:i w:val="0"/>
          <w:sz w:val="22"/>
        </w:rPr>
        <w:t>- Implement voice approval (Vosk + HF Mixtral).</w:t>
      </w:r>
    </w:p>
    <w:p>
      <w:pPr>
        <w:spacing w:after="80" w:line="293" w:lineRule="auto"/>
        <w:ind w:left="283"/>
        <w:jc w:val="left"/>
      </w:pPr>
      <w:r>
        <w:rPr>
          <w:rFonts w:ascii="Times New Roman" w:hAnsi="Times New Roman" w:cs="Times New Roman"/>
          <w:b w:val="0"/>
          <w:i w:val="0"/>
          <w:sz w:val="22"/>
        </w:rPr>
        <w:t>- Implement milestone-based pre-approval.</w:t>
      </w:r>
    </w:p>
    <w:p>
      <w:pPr>
        <w:spacing w:after="80" w:line="293" w:lineRule="auto"/>
        <w:ind w:left="283"/>
        <w:jc w:val="left"/>
      </w:pPr>
      <w:r>
        <w:rPr>
          <w:rFonts w:ascii="Times New Roman" w:hAnsi="Times New Roman" w:cs="Times New Roman"/>
          <w:b w:val="0"/>
          <w:i w:val="0"/>
          <w:sz w:val="22"/>
        </w:rPr>
        <w:t>- Implement Governor validation (permissions, FeeLock, disputes).</w:t>
      </w:r>
    </w:p>
    <w:p>
      <w:pPr>
        <w:spacing w:after="80" w:line="293" w:lineRule="auto"/>
        <w:jc w:val="left"/>
      </w:pPr>
      <w:r>
        <w:rPr>
          <w:rFonts w:ascii="Times New Roman" w:hAnsi="Times New Roman" w:cs="Times New Roman"/>
          <w:b w:val="0"/>
          <w:i w:val="0"/>
          <w:sz w:val="22"/>
        </w:rPr>
        <w:t>Bank Settlement Gateway:</w:t>
      </w:r>
    </w:p>
    <w:p>
      <w:pPr>
        <w:spacing w:after="80" w:line="293" w:lineRule="auto"/>
        <w:ind w:left="283"/>
        <w:jc w:val="left"/>
      </w:pPr>
      <w:r>
        <w:rPr>
          <w:rFonts w:ascii="Times New Roman" w:hAnsi="Times New Roman" w:cs="Times New Roman"/>
          <w:b w:val="0"/>
          <w:i w:val="0"/>
          <w:sz w:val="22"/>
        </w:rPr>
        <w:t>- Implement the bank-settlement-service (Rust) with the six-stage instruction pipeline.</w:t>
      </w:r>
    </w:p>
    <w:p>
      <w:pPr>
        <w:spacing w:after="80" w:line="293" w:lineRule="auto"/>
        <w:ind w:left="283"/>
        <w:jc w:val="left"/>
      </w:pPr>
      <w:r>
        <w:rPr>
          <w:rFonts w:ascii="Times New Roman" w:hAnsi="Times New Roman" w:cs="Times New Roman"/>
          <w:b w:val="0"/>
          <w:i w:val="0"/>
          <w:sz w:val="22"/>
        </w:rPr>
        <w:t>- Add endpoints: GET /v1/settlement/instructions (for banks to pull); POST /v1/settlement/confirm (for banks to confirm); GET /v1/settlement/reconciliation (MT940, ISO 20022, CSV).</w:t>
      </w:r>
    </w:p>
    <w:p>
      <w:pPr>
        <w:spacing w:after="80" w:line="293" w:lineRule="auto"/>
        <w:ind w:left="283"/>
        <w:jc w:val="left"/>
      </w:pPr>
      <w:r>
        <w:rPr>
          <w:rFonts w:ascii="Times New Roman" w:hAnsi="Times New Roman" w:cs="Times New Roman"/>
          <w:b w:val="0"/>
          <w:i w:val="0"/>
          <w:sz w:val="22"/>
        </w:rPr>
        <w:t>- Add bank onboarding (BANK tenant type, IBAN prefix, BIC).</w:t>
      </w:r>
    </w:p>
    <w:p>
      <w:pPr>
        <w:spacing w:after="80" w:line="293" w:lineRule="auto"/>
        <w:ind w:left="283"/>
        <w:jc w:val="left"/>
      </w:pPr>
      <w:r>
        <w:rPr>
          <w:rFonts w:ascii="Times New Roman" w:hAnsi="Times New Roman" w:cs="Times New Roman"/>
          <w:b w:val="0"/>
          <w:i w:val="0"/>
          <w:sz w:val="22"/>
        </w:rPr>
        <w:t>- Implement reconciliation file generation (Tera templates).</w:t>
      </w:r>
    </w:p>
    <w:p>
      <w:pPr>
        <w:spacing w:after="80" w:line="293" w:lineRule="auto"/>
        <w:ind w:left="283"/>
        <w:jc w:val="left"/>
      </w:pPr>
      <w:r>
        <w:rPr>
          <w:rFonts w:ascii="Times New Roman" w:hAnsi="Times New Roman" w:cs="Times New Roman"/>
          <w:b w:val="0"/>
          <w:i w:val="0"/>
          <w:sz w:val="22"/>
        </w:rPr>
        <w:t>- Implement ISO 20022 adapters and bank reference mapping.</w:t>
      </w:r>
    </w:p>
    <w:p>
      <w:pPr>
        <w:spacing w:after="80" w:line="293" w:lineRule="auto"/>
        <w:jc w:val="left"/>
      </w:pPr>
      <w:r>
        <w:rPr>
          <w:rFonts w:ascii="Times New Roman" w:hAnsi="Times New Roman" w:cs="Times New Roman"/>
          <w:b w:val="0"/>
          <w:i w:val="0"/>
          <w:sz w:val="22"/>
        </w:rPr>
        <w:t>Deferred payment:</w:t>
      </w:r>
    </w:p>
    <w:p>
      <w:pPr>
        <w:spacing w:after="80" w:line="293" w:lineRule="auto"/>
        <w:ind w:left="283"/>
        <w:jc w:val="left"/>
      </w:pPr>
      <w:r>
        <w:rPr>
          <w:rFonts w:ascii="Times New Roman" w:hAnsi="Times New Roman" w:cs="Times New Roman"/>
          <w:b w:val="0"/>
          <w:i w:val="0"/>
          <w:sz w:val="22"/>
        </w:rPr>
        <w:t>- Implement guarantee creation during Stage 1.</w:t>
      </w:r>
    </w:p>
    <w:p>
      <w:pPr>
        <w:spacing w:after="80" w:line="293" w:lineRule="auto"/>
        <w:ind w:left="283"/>
        <w:jc w:val="left"/>
      </w:pPr>
      <w:r>
        <w:rPr>
          <w:rFonts w:ascii="Times New Roman" w:hAnsi="Times New Roman" w:cs="Times New Roman"/>
          <w:b w:val="0"/>
          <w:i w:val="0"/>
          <w:sz w:val="22"/>
        </w:rPr>
        <w:t>- Build the three-step expiry escalation (reminder, alert, expiry).</w:t>
      </w:r>
    </w:p>
    <w:p>
      <w:pPr>
        <w:spacing w:after="80" w:line="293" w:lineRule="auto"/>
        <w:ind w:left="283"/>
        <w:jc w:val="left"/>
      </w:pPr>
      <w:r>
        <w:rPr>
          <w:rFonts w:ascii="Times New Roman" w:hAnsi="Times New Roman" w:cs="Times New Roman"/>
          <w:b w:val="0"/>
          <w:i w:val="0"/>
          <w:sz w:val="22"/>
        </w:rPr>
        <w:t>- Add the "Convert to Immediate Payment" one-click action.</w:t>
      </w:r>
    </w:p>
    <w:p>
      <w:pPr>
        <w:spacing w:after="80" w:line="293" w:lineRule="auto"/>
        <w:ind w:left="283"/>
        <w:jc w:val="left"/>
      </w:pPr>
      <w:r>
        <w:rPr>
          <w:rFonts w:ascii="Times New Roman" w:hAnsi="Times New Roman" w:cs="Times New Roman"/>
          <w:b w:val="0"/>
          <w:i w:val="0"/>
          <w:sz w:val="22"/>
        </w:rPr>
        <w:t>- Implement the auto-charge authorisation checkbox.</w:t>
      </w:r>
    </w:p>
    <w:p>
      <w:pPr>
        <w:spacing w:after="80" w:line="293" w:lineRule="auto"/>
        <w:jc w:val="left"/>
      </w:pPr>
      <w:r>
        <w:rPr>
          <w:rFonts w:ascii="Times New Roman" w:hAnsi="Times New Roman" w:cs="Times New Roman"/>
          <w:b w:val="0"/>
          <w:i w:val="0"/>
          <w:sz w:val="22"/>
        </w:rPr>
        <w:t>Late fees &amp; reconciliation:</w:t>
      </w:r>
    </w:p>
    <w:p>
      <w:pPr>
        <w:spacing w:after="80" w:line="293" w:lineRule="auto"/>
        <w:ind w:left="283"/>
        <w:jc w:val="left"/>
      </w:pPr>
      <w:r>
        <w:rPr>
          <w:rFonts w:ascii="Times New Roman" w:hAnsi="Times New Roman" w:cs="Times New Roman"/>
          <w:b w:val="0"/>
          <w:i w:val="0"/>
          <w:sz w:val="22"/>
        </w:rPr>
        <w:t>- Implement the late fee calculator cron job (Rust, daily).</w:t>
      </w:r>
    </w:p>
    <w:p>
      <w:pPr>
        <w:spacing w:after="80" w:line="293" w:lineRule="auto"/>
        <w:ind w:left="283"/>
        <w:jc w:val="left"/>
      </w:pPr>
      <w:r>
        <w:rPr>
          <w:rFonts w:ascii="Times New Roman" w:hAnsi="Times New Roman" w:cs="Times New Roman"/>
          <w:b w:val="0"/>
          <w:i w:val="0"/>
          <w:sz w:val="22"/>
        </w:rPr>
        <w:t>- Add Smart Inbox reminders for late fees.</w:t>
      </w:r>
    </w:p>
    <w:p>
      <w:pPr>
        <w:spacing w:after="80" w:line="293" w:lineRule="auto"/>
        <w:ind w:left="283"/>
        <w:jc w:val="left"/>
      </w:pPr>
      <w:r>
        <w:rPr>
          <w:rFonts w:ascii="Times New Roman" w:hAnsi="Times New Roman" w:cs="Times New Roman"/>
          <w:b w:val="0"/>
          <w:i w:val="0"/>
          <w:sz w:val="22"/>
        </w:rPr>
        <w:t>- Build the Reconciliation Engine (HF Donut) for bank statement extraction.</w:t>
      </w:r>
    </w:p>
    <w:p>
      <w:pPr>
        <w:spacing w:after="80" w:line="293" w:lineRule="auto"/>
        <w:ind w:left="283"/>
        <w:jc w:val="left"/>
      </w:pPr>
      <w:r>
        <w:rPr>
          <w:rFonts w:ascii="Times New Roman" w:hAnsi="Times New Roman" w:cs="Times New Roman"/>
          <w:b w:val="0"/>
          <w:i w:val="0"/>
          <w:sz w:val="22"/>
        </w:rPr>
        <w:t>- Implement OpenBanking integration (PSD2) where available.</w:t>
      </w:r>
    </w:p>
    <w:p>
      <w:pPr>
        <w:spacing w:after="80" w:line="293" w:lineRule="auto"/>
        <w:ind w:left="283"/>
        <w:jc w:val="left"/>
      </w:pPr>
      <w:r>
        <w:rPr>
          <w:rFonts w:ascii="Times New Roman" w:hAnsi="Times New Roman" w:cs="Times New Roman"/>
          <w:b w:val="0"/>
          <w:i w:val="0"/>
          <w:sz w:val="22"/>
        </w:rPr>
        <w:t>- Add auto-reconciliation for matched payments.</w:t>
      </w:r>
    </w:p>
    <w:p>
      <w:pPr>
        <w:spacing w:after="80" w:line="293" w:lineRule="auto"/>
        <w:ind w:left="283"/>
        <w:jc w:val="left"/>
      </w:pPr>
      <w:r>
        <w:rPr>
          <w:rFonts w:ascii="Times New Roman" w:hAnsi="Times New Roman" w:cs="Times New Roman"/>
          <w:b w:val="0"/>
          <w:i w:val="0"/>
          <w:sz w:val="22"/>
        </w:rPr>
        <w:t>- Create the manual reconciliation queue for unmatched items.</w:t>
      </w:r>
    </w:p>
    <w:p>
      <w:pPr>
        <w:spacing w:after="80" w:line="293" w:lineRule="auto"/>
        <w:jc w:val="left"/>
      </w:pPr>
      <w:r>
        <w:rPr>
          <w:rFonts w:ascii="Times New Roman" w:hAnsi="Times New Roman" w:cs="Times New Roman"/>
          <w:b w:val="0"/>
          <w:i w:val="0"/>
          <w:sz w:val="22"/>
        </w:rPr>
        <w:t>FeeLock &amp; dispute:</w:t>
      </w:r>
    </w:p>
    <w:p>
      <w:pPr>
        <w:spacing w:after="80" w:line="293" w:lineRule="auto"/>
        <w:ind w:left="283"/>
        <w:jc w:val="left"/>
      </w:pPr>
      <w:r>
        <w:rPr>
          <w:rFonts w:ascii="Times New Roman" w:hAnsi="Times New Roman" w:cs="Times New Roman"/>
          <w:b w:val="0"/>
          <w:i w:val="0"/>
          <w:sz w:val="22"/>
        </w:rPr>
        <w:t>- Implement FeeLock freeze on dispute filing.</w:t>
      </w:r>
    </w:p>
    <w:p>
      <w:pPr>
        <w:spacing w:after="80" w:line="293" w:lineRule="auto"/>
        <w:ind w:left="283"/>
        <w:jc w:val="left"/>
      </w:pPr>
      <w:r>
        <w:rPr>
          <w:rFonts w:ascii="Times New Roman" w:hAnsi="Times New Roman" w:cs="Times New Roman"/>
          <w:b w:val="0"/>
          <w:i w:val="0"/>
          <w:sz w:val="22"/>
        </w:rPr>
        <w:t>- Add FeeLock release on dispute resolution.</w:t>
      </w:r>
    </w:p>
    <w:p>
      <w:pPr>
        <w:spacing w:after="80" w:line="293" w:lineRule="auto"/>
        <w:ind w:left="283"/>
        <w:jc w:val="left"/>
      </w:pPr>
      <w:r>
        <w:rPr>
          <w:rFonts w:ascii="Times New Roman" w:hAnsi="Times New Roman" w:cs="Times New Roman"/>
          <w:b w:val="0"/>
          <w:i w:val="0"/>
          <w:sz w:val="22"/>
        </w:rPr>
        <w:t>- Ensure government fees are non-refundable.</w:t>
      </w:r>
    </w:p>
    <w:p>
      <w:pPr>
        <w:spacing w:after="80" w:line="293" w:lineRule="auto"/>
        <w:jc w:val="left"/>
      </w:pPr>
      <w:r>
        <w:rPr>
          <w:rFonts w:ascii="Times New Roman" w:hAnsi="Times New Roman" w:cs="Times New Roman"/>
          <w:b w:val="0"/>
          <w:i w:val="0"/>
          <w:sz w:val="22"/>
        </w:rPr>
        <w:t>Compliance &amp; legal:</w:t>
      </w:r>
    </w:p>
    <w:p>
      <w:pPr>
        <w:spacing w:after="80" w:line="293" w:lineRule="auto"/>
        <w:ind w:left="283"/>
        <w:jc w:val="left"/>
      </w:pPr>
      <w:r>
        <w:rPr>
          <w:rFonts w:ascii="Times New Roman" w:hAnsi="Times New Roman" w:cs="Times New Roman"/>
          <w:b w:val="0"/>
          <w:i w:val="0"/>
          <w:sz w:val="22"/>
        </w:rPr>
        <w:t>- Document the bank authority boundary (Section 13.3.3) for every integration point.</w:t>
      </w:r>
    </w:p>
    <w:p>
      <w:pPr>
        <w:spacing w:after="80" w:line="293" w:lineRule="auto"/>
        <w:ind w:left="283"/>
        <w:jc w:val="left"/>
      </w:pPr>
      <w:r>
        <w:rPr>
          <w:rFonts w:ascii="Times New Roman" w:hAnsi="Times New Roman" w:cs="Times New Roman"/>
          <w:b w:val="0"/>
          <w:i w:val="0"/>
          <w:sz w:val="22"/>
        </w:rPr>
        <w:t>- Display the legal disclaimer during payment setup.</w:t>
      </w:r>
    </w:p>
    <w:p>
      <w:pPr>
        <w:spacing w:after="80" w:line="293" w:lineRule="auto"/>
        <w:ind w:left="283"/>
        <w:jc w:val="left"/>
      </w:pPr>
      <w:r>
        <w:rPr>
          <w:rFonts w:ascii="Times New Roman" w:hAnsi="Times New Roman" w:cs="Times New Roman"/>
          <w:b w:val="0"/>
          <w:i w:val="0"/>
          <w:sz w:val="22"/>
        </w:rPr>
        <w:t>- Ensure CBE compliance for bank integration and remittance reporting.</w:t>
      </w:r>
    </w:p>
    <w:p>
      <w:pPr>
        <w:spacing w:after="80" w:line="293" w:lineRule="auto"/>
        <w:jc w:val="left"/>
      </w:pPr>
      <w:r>
        <w:rPr>
          <w:rFonts w:ascii="Times New Roman" w:hAnsi="Times New Roman" w:cs="Times New Roman"/>
          <w:b w:val="0"/>
          <w:i w:val="0"/>
          <w:sz w:val="22"/>
        </w:rPr>
        <w:t>Integration tests:</w:t>
      </w:r>
    </w:p>
    <w:p>
      <w:pPr>
        <w:spacing w:after="80" w:line="293" w:lineRule="auto"/>
        <w:ind w:left="283"/>
        <w:jc w:val="left"/>
      </w:pPr>
      <w:r>
        <w:rPr>
          <w:rFonts w:ascii="Times New Roman" w:hAnsi="Times New Roman" w:cs="Times New Roman"/>
          <w:b w:val="0"/>
          <w:i w:val="0"/>
          <w:sz w:val="22"/>
        </w:rPr>
        <w:t>- End-to-end: seller clicks "Pay Stage 1" → multi-leg settlement (pain.001) → camt.054 confirmation → CargoX ACID → Nafeza SAD → certificate requests.</w:t>
      </w:r>
    </w:p>
    <w:p>
      <w:pPr>
        <w:spacing w:after="80" w:line="293" w:lineRule="auto"/>
        <w:ind w:left="283"/>
        <w:jc w:val="left"/>
      </w:pPr>
      <w:r>
        <w:rPr>
          <w:rFonts w:ascii="Times New Roman" w:hAnsi="Times New Roman" w:cs="Times New Roman"/>
          <w:b w:val="0"/>
          <w:i w:val="0"/>
          <w:sz w:val="22"/>
        </w:rPr>
        <w:t>- Multi-shipment per-shipment Stage 1 payments.</w:t>
      </w:r>
    </w:p>
    <w:p>
      <w:pPr>
        <w:spacing w:after="80" w:line="293" w:lineRule="auto"/>
        <w:ind w:left="283"/>
        <w:jc w:val="left"/>
      </w:pPr>
      <w:r>
        <w:rPr>
          <w:rFonts w:ascii="Times New Roman" w:hAnsi="Times New Roman" w:cs="Times New Roman"/>
          <w:b w:val="0"/>
          <w:i w:val="0"/>
          <w:sz w:val="22"/>
        </w:rPr>
        <w:t>- Deferred payment scenario: guarantee created → customs clearance missed → expiry → auto-charge (or block).</w:t>
      </w:r>
    </w:p>
    <w:p>
      <w:pPr>
        <w:spacing w:after="80" w:line="293" w:lineRule="auto"/>
        <w:ind w:left="283"/>
        <w:jc w:val="left"/>
      </w:pPr>
      <w:r>
        <w:rPr>
          <w:rFonts w:ascii="Times New Roman" w:hAnsi="Times New Roman" w:cs="Times New Roman"/>
          <w:b w:val="0"/>
          <w:i w:val="0"/>
          <w:sz w:val="22"/>
        </w:rPr>
        <w:t>- Late fee accrual and collection.</w:t>
      </w:r>
    </w:p>
    <w:p>
      <w:pPr>
        <w:spacing w:after="80" w:line="293" w:lineRule="auto"/>
        <w:ind w:left="283"/>
        <w:jc w:val="left"/>
      </w:pPr>
      <w:r>
        <w:rPr>
          <w:rFonts w:ascii="Times New Roman" w:hAnsi="Times New Roman" w:cs="Times New Roman"/>
          <w:b w:val="0"/>
          <w:i w:val="0"/>
          <w:sz w:val="22"/>
        </w:rPr>
        <w:t>- Bank fallback (primary dispatch fails → retry policy then fallback route).</w:t>
      </w:r>
    </w:p>
    <w:p>
      <w:pPr>
        <w:spacing w:after="80" w:line="293" w:lineRule="auto"/>
        <w:ind w:left="283"/>
        <w:jc w:val="left"/>
      </w:pPr>
      <w:r>
        <w:rPr>
          <w:rFonts w:ascii="Times New Roman" w:hAnsi="Times New Roman" w:cs="Times New Roman"/>
          <w:b w:val="0"/>
          <w:i w:val="0"/>
          <w:sz w:val="22"/>
        </w:rPr>
        <w:t>- Reconciliation with an OpenBanking mock.</w:t>
      </w:r>
    </w:p>
    <w:p>
      <w:pPr>
        <w:spacing w:after="80" w:line="293" w:lineRule="auto"/>
        <w:ind w:left="283"/>
        <w:jc w:val="left"/>
      </w:pPr>
      <w:r>
        <w:rPr>
          <w:rFonts w:ascii="Times New Roman" w:hAnsi="Times New Roman" w:cs="Times New Roman"/>
          <w:b w:val="0"/>
          <w:i w:val="0"/>
          <w:sz w:val="22"/>
        </w:rPr>
        <w:t>- FeeLock freeze on dispute.</w:t>
      </w:r>
    </w:p>
    <w:p>
      <w:pPr>
        <w:spacing w:after="80" w:line="293" w:lineRule="auto"/>
        <w:ind w:left="283"/>
        <w:jc w:val="left"/>
      </w:pPr>
      <w:r>
        <w:rPr>
          <w:rFonts w:ascii="Times New Roman" w:hAnsi="Times New Roman" w:cs="Times New Roman"/>
          <w:b w:val="0"/>
          <w:i w:val="0"/>
          <w:sz w:val="22"/>
        </w:rPr>
        <w:t>- Full settlement workflow (delivery → instruction → approval → pain.001 dispatch → camt.054 → reconciliation).</w:t>
      </w:r>
    </w:p>
    <w:p>
      <w:pPr>
        <w:spacing w:after="80" w:line="293" w:lineRule="auto"/>
        <w:ind w:left="283"/>
        <w:jc w:val="left"/>
      </w:pPr>
      <w:r>
        <w:rPr>
          <w:rFonts w:ascii="Times New Roman" w:hAnsi="Times New Roman" w:cs="Times New Roman"/>
          <w:b w:val="0"/>
          <w:i w:val="0"/>
          <w:sz w:val="22"/>
        </w:rPr>
        <w:t>- Milestone-based partial settlement (3 instalments).</w:t>
      </w:r>
    </w:p>
    <w:p>
      <w:pPr>
        <w:spacing w:after="80" w:line="293" w:lineRule="auto"/>
        <w:ind w:left="283"/>
        <w:jc w:val="left"/>
      </w:pPr>
      <w:r>
        <w:rPr>
          <w:rFonts w:ascii="Times New Roman" w:hAnsi="Times New Roman" w:cs="Times New Roman"/>
          <w:b w:val="0"/>
          <w:i w:val="0"/>
          <w:sz w:val="22"/>
        </w:rPr>
        <w:t>- Voice approval.</w:t>
      </w:r>
    </w:p>
    <w:p>
      <w:pPr>
        <w:spacing w:after="80" w:line="293" w:lineRule="auto"/>
        <w:ind w:left="283"/>
        <w:jc w:val="left"/>
      </w:pPr>
      <w:r>
        <w:rPr>
          <w:rFonts w:ascii="Times New Roman" w:hAnsi="Times New Roman" w:cs="Times New Roman"/>
          <w:b w:val="0"/>
          <w:i w:val="0"/>
          <w:sz w:val="22"/>
        </w:rPr>
        <w:t>- Bank settlement flow (simulated bank API).</w:t>
      </w:r>
    </w:p>
    <w:p>
      <w:pPr>
        <w:spacing w:after="80" w:line="293" w:lineRule="auto"/>
        <w:ind w:left="283"/>
        <w:jc w:val="left"/>
      </w:pPr>
      <w:r>
        <w:rPr>
          <w:rFonts w:ascii="Times New Roman" w:hAnsi="Times New Roman" w:cs="Times New Roman"/>
          <w:b w:val="0"/>
          <w:i w:val="0"/>
          <w:sz w:val="22"/>
        </w:rPr>
        <w:t>- Idempotency with duplicate requests.</w:t>
      </w:r>
    </w:p>
    <w:p>
      <w:pPr>
        <w:keepNext/>
        <w:spacing w:before="180" w:after="80"/>
        <w:outlineLvl w:val="2"/>
      </w:pPr>
      <w:r>
        <w:rPr>
          <w:rFonts w:ascii="Arial" w:hAnsi="Arial" w:cs="Arial"/>
          <w:b/>
          <w:i w:val="0"/>
          <w:color w:val="333333"/>
          <w:sz w:val="23"/>
        </w:rPr>
        <w:t>13.7.3 AI Authority Summary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Authority</w:t>
            </w:r>
          </w:p>
        </w:tc>
        <w:tc>
          <w:tcPr>
            <w:tcW w:type="dxa" w:w="4819"/>
            <w:shd w:val="clear" w:fill="D9E2F3"/>
          </w:tcPr>
          <w:p>
            <w:pPr>
              <w:spacing w:after="20" w:before="20" w:line="240" w:lineRule="auto"/>
            </w:pPr>
            <w:r/>
            <w:r>
              <w:rPr>
                <w:rFonts w:ascii="Arial" w:hAnsi="Arial" w:cs="Arial"/>
                <w:b/>
                <w:i w:val="0"/>
                <w:sz w:val="18"/>
              </w:rPr>
              <w:t>Role in Phase 6</w:t>
            </w:r>
          </w:p>
        </w:tc>
      </w:tr>
      <w:tr>
        <w:tc>
          <w:tcPr>
            <w:tcW w:type="dxa" w:w="4819"/>
          </w:tcPr>
          <w:p>
            <w:pPr>
              <w:spacing w:after="20" w:before="20" w:line="240" w:lineRule="auto"/>
            </w:pPr>
            <w:r/>
            <w:r>
              <w:rPr>
                <w:rFonts w:ascii="Arial" w:hAnsi="Arial" w:cs="Arial"/>
                <w:b w:val="0"/>
                <w:i w:val="0"/>
                <w:sz w:val="17"/>
              </w:rPr>
              <w:t>A1 (advisory)</w:t>
            </w:r>
          </w:p>
        </w:tc>
        <w:tc>
          <w:tcPr>
            <w:tcW w:type="dxa" w:w="4819"/>
          </w:tcPr>
          <w:p>
            <w:pPr>
              <w:spacing w:after="20" w:before="20" w:line="240" w:lineRule="auto"/>
            </w:pPr>
            <w:r/>
            <w:r>
              <w:rPr>
                <w:rFonts w:ascii="Arial" w:hAnsi="Arial" w:cs="Arial"/>
                <w:b w:val="0"/>
                <w:i w:val="0"/>
                <w:sz w:val="17"/>
              </w:rPr>
              <w:t>Bank route explanations; deferred-fee recommendations; error summaries</w:t>
            </w:r>
          </w:p>
        </w:tc>
      </w:tr>
      <w:tr>
        <w:tc>
          <w:tcPr>
            <w:tcW w:type="dxa" w:w="4819"/>
          </w:tcPr>
          <w:p>
            <w:pPr>
              <w:spacing w:after="20" w:before="20" w:line="240" w:lineRule="auto"/>
            </w:pPr>
            <w:r/>
            <w:r>
              <w:rPr>
                <w:rFonts w:ascii="Arial" w:hAnsi="Arial" w:cs="Arial"/>
                <w:b w:val="0"/>
                <w:i w:val="0"/>
                <w:sz w:val="17"/>
              </w:rPr>
              <w:t>A2 (constraining)</w:t>
            </w:r>
          </w:p>
        </w:tc>
        <w:tc>
          <w:tcPr>
            <w:tcW w:type="dxa" w:w="4819"/>
          </w:tcPr>
          <w:p>
            <w:pPr>
              <w:spacing w:after="20" w:before="20" w:line="240" w:lineRule="auto"/>
            </w:pPr>
            <w:r/>
            <w:r>
              <w:rPr>
                <w:rFonts w:ascii="Arial" w:hAnsi="Arial" w:cs="Arial"/>
                <w:b w:val="0"/>
                <w:i w:val="0"/>
                <w:sz w:val="17"/>
              </w:rPr>
              <w:t>Bank dispatch routing (LightGBM + Groq); bank health scoring; reconciliation engine (HF Donut); bank statement extraction; error analysis</w:t>
            </w:r>
          </w:p>
        </w:tc>
      </w:tr>
      <w:tr>
        <w:tc>
          <w:tcPr>
            <w:tcW w:type="dxa" w:w="4819"/>
          </w:tcPr>
          <w:p>
            <w:pPr>
              <w:spacing w:after="20" w:before="20" w:line="240" w:lineRule="auto"/>
            </w:pPr>
            <w:r/>
            <w:r>
              <w:rPr>
                <w:rFonts w:ascii="Arial" w:hAnsi="Arial" w:cs="Arial"/>
                <w:b w:val="0"/>
                <w:i w:val="0"/>
                <w:sz w:val="17"/>
              </w:rPr>
              <w:t>A4 (constitutional)</w:t>
            </w:r>
          </w:p>
        </w:tc>
        <w:tc>
          <w:tcPr>
            <w:tcW w:type="dxa" w:w="4819"/>
          </w:tcPr>
          <w:p>
            <w:pPr>
              <w:spacing w:after="20" w:before="20" w:line="240" w:lineRule="auto"/>
            </w:pPr>
            <w:r/>
            <w:r>
              <w:rPr>
                <w:rFonts w:ascii="Arial" w:hAnsi="Arial" w:cs="Arial"/>
                <w:b w:val="0"/>
                <w:i w:val="0"/>
                <w:sz w:val="17"/>
              </w:rPr>
              <w:t>Settlement instruction signing and validation; buyer approval gating (permissions, FeeLock, disputes); late fee calculation; idempotency enforcement; government API call gating</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13.8 Payment Failure &amp; Retry Logic</w:t>
      </w:r>
    </w:p>
    <w:p>
      <w:pPr>
        <w:spacing w:after="80" w:line="293" w:lineRule="auto"/>
        <w:jc w:val="left"/>
      </w:pPr>
      <w:r>
        <w:rPr>
          <w:rFonts w:ascii="Times New Roman" w:hAnsi="Times New Roman" w:cs="Times New Roman"/>
          <w:b/>
          <w:i w:val="0"/>
          <w:sz w:val="22"/>
        </w:rPr>
        <w:t>Payment Failure Handling:</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Scenario</w:t>
            </w:r>
          </w:p>
        </w:tc>
        <w:tc>
          <w:tcPr>
            <w:tcW w:type="dxa" w:w="3213"/>
            <w:shd w:val="clear" w:fill="D9E2F3"/>
          </w:tcPr>
          <w:p>
            <w:pPr>
              <w:spacing w:after="20" w:before="20" w:line="240" w:lineRule="auto"/>
            </w:pPr>
            <w:r/>
            <w:r>
              <w:rPr>
                <w:rFonts w:ascii="Arial" w:hAnsi="Arial" w:cs="Arial"/>
                <w:b/>
                <w:i w:val="0"/>
                <w:sz w:val="18"/>
              </w:rPr>
              <w:t>Action</w:t>
            </w:r>
          </w:p>
        </w:tc>
        <w:tc>
          <w:tcPr>
            <w:tcW w:type="dxa" w:w="3213"/>
            <w:shd w:val="clear" w:fill="D9E2F3"/>
          </w:tcPr>
          <w:p>
            <w:pPr>
              <w:spacing w:after="20" w:before="20" w:line="240" w:lineRule="auto"/>
            </w:pPr>
            <w:r/>
            <w:r>
              <w:rPr>
                <w:rFonts w:ascii="Arial" w:hAnsi="Arial" w:cs="Arial"/>
                <w:b/>
                <w:i w:val="0"/>
                <w:sz w:val="18"/>
              </w:rPr>
              <w:t>Retry Policy</w:t>
            </w:r>
          </w:p>
        </w:tc>
      </w:tr>
      <w:tr>
        <w:tc>
          <w:tcPr>
            <w:tcW w:type="dxa" w:w="3213"/>
          </w:tcPr>
          <w:p>
            <w:pPr>
              <w:spacing w:after="20" w:before="20" w:line="240" w:lineRule="auto"/>
            </w:pPr>
            <w:r/>
            <w:r>
              <w:rPr>
                <w:rFonts w:ascii="Arial" w:hAnsi="Arial" w:cs="Arial"/>
                <w:b w:val="0"/>
                <w:i w:val="0"/>
                <w:sz w:val="17"/>
              </w:rPr>
              <w:t>Insufficient Funds</w:t>
            </w:r>
          </w:p>
        </w:tc>
        <w:tc>
          <w:tcPr>
            <w:tcW w:type="dxa" w:w="3213"/>
          </w:tcPr>
          <w:p>
            <w:pPr>
              <w:spacing w:after="20" w:before="20" w:line="240" w:lineRule="auto"/>
            </w:pPr>
            <w:r/>
            <w:r>
              <w:rPr>
                <w:rFonts w:ascii="Arial" w:hAnsi="Arial" w:cs="Arial"/>
                <w:b w:val="0"/>
                <w:i w:val="0"/>
                <w:sz w:val="17"/>
              </w:rPr>
              <w:t>Bank rejects at sufficiency check</w:t>
            </w:r>
          </w:p>
        </w:tc>
        <w:tc>
          <w:tcPr>
            <w:tcW w:type="dxa" w:w="3213"/>
          </w:tcPr>
          <w:p>
            <w:pPr>
              <w:spacing w:after="20" w:before="20" w:line="240" w:lineRule="auto"/>
            </w:pPr>
            <w:r/>
            <w:r>
              <w:rPr>
                <w:rFonts w:ascii="Arial" w:hAnsi="Arial" w:cs="Arial"/>
                <w:b w:val="0"/>
                <w:i w:val="0"/>
                <w:sz w:val="17"/>
              </w:rPr>
              <w:t>User notified, top-up required</w:t>
            </w:r>
          </w:p>
        </w:tc>
      </w:tr>
      <w:tr>
        <w:tc>
          <w:tcPr>
            <w:tcW w:type="dxa" w:w="3213"/>
          </w:tcPr>
          <w:p>
            <w:pPr>
              <w:spacing w:after="20" w:before="20" w:line="240" w:lineRule="auto"/>
            </w:pPr>
            <w:r/>
            <w:r>
              <w:rPr>
                <w:rFonts w:ascii="Arial" w:hAnsi="Arial" w:cs="Arial"/>
                <w:b w:val="0"/>
                <w:i w:val="0"/>
                <w:sz w:val="17"/>
              </w:rPr>
              <w:t>Bank API Timeout</w:t>
            </w:r>
          </w:p>
        </w:tc>
        <w:tc>
          <w:tcPr>
            <w:tcW w:type="dxa" w:w="3213"/>
          </w:tcPr>
          <w:p>
            <w:pPr>
              <w:spacing w:after="20" w:before="20" w:line="240" w:lineRule="auto"/>
            </w:pPr>
            <w:r/>
            <w:r>
              <w:rPr>
                <w:rFonts w:ascii="Arial" w:hAnsi="Arial" w:cs="Arial"/>
                <w:b w:val="0"/>
                <w:i w:val="0"/>
                <w:sz w:val="17"/>
              </w:rPr>
              <w:t>No response within SLA</w:t>
            </w:r>
          </w:p>
        </w:tc>
        <w:tc>
          <w:tcPr>
            <w:tcW w:type="dxa" w:w="3213"/>
          </w:tcPr>
          <w:p>
            <w:pPr>
              <w:spacing w:after="20" w:before="20" w:line="240" w:lineRule="auto"/>
            </w:pPr>
            <w:r/>
            <w:r>
              <w:rPr>
                <w:rFonts w:ascii="Arial" w:hAnsi="Arial" w:cs="Arial"/>
                <w:b w:val="0"/>
                <w:i w:val="0"/>
                <w:sz w:val="17"/>
              </w:rPr>
              <w:t>Retry after 5 minutes (3 attempts)</w:t>
            </w:r>
          </w:p>
        </w:tc>
      </w:tr>
      <w:tr>
        <w:tc>
          <w:tcPr>
            <w:tcW w:type="dxa" w:w="3213"/>
          </w:tcPr>
          <w:p>
            <w:pPr>
              <w:spacing w:after="20" w:before="20" w:line="240" w:lineRule="auto"/>
            </w:pPr>
            <w:r/>
            <w:r>
              <w:rPr>
                <w:rFonts w:ascii="Arial" w:hAnsi="Arial" w:cs="Arial"/>
                <w:b w:val="0"/>
                <w:i w:val="0"/>
                <w:sz w:val="17"/>
              </w:rPr>
              <w:t>Bank Rejection</w:t>
            </w:r>
          </w:p>
        </w:tc>
        <w:tc>
          <w:tcPr>
            <w:tcW w:type="dxa" w:w="3213"/>
          </w:tcPr>
          <w:p>
            <w:pPr>
              <w:spacing w:after="20" w:before="20" w:line="240" w:lineRule="auto"/>
            </w:pPr>
            <w:r/>
            <w:r>
              <w:rPr>
                <w:rFonts w:ascii="Arial" w:hAnsi="Arial" w:cs="Arial"/>
                <w:b w:val="0"/>
                <w:i w:val="0"/>
                <w:sz w:val="17"/>
              </w:rPr>
              <w:t>Bank returns error code</w:t>
            </w:r>
          </w:p>
        </w:tc>
        <w:tc>
          <w:tcPr>
            <w:tcW w:type="dxa" w:w="3213"/>
          </w:tcPr>
          <w:p>
            <w:pPr>
              <w:spacing w:after="20" w:before="20" w:line="240" w:lineRule="auto"/>
            </w:pPr>
            <w:r/>
            <w:r>
              <w:rPr>
                <w:rFonts w:ascii="Arial" w:hAnsi="Arial" w:cs="Arial"/>
                <w:b w:val="0"/>
                <w:i w:val="0"/>
                <w:sz w:val="17"/>
              </w:rPr>
              <w:t>User notified, reason provided</w:t>
            </w:r>
          </w:p>
        </w:tc>
      </w:tr>
      <w:tr>
        <w:tc>
          <w:tcPr>
            <w:tcW w:type="dxa" w:w="3213"/>
          </w:tcPr>
          <w:p>
            <w:pPr>
              <w:spacing w:after="20" w:before="20" w:line="240" w:lineRule="auto"/>
            </w:pPr>
            <w:r/>
            <w:r>
              <w:rPr>
                <w:rFonts w:ascii="Arial" w:hAnsi="Arial" w:cs="Arial"/>
                <w:b w:val="0"/>
                <w:i w:val="0"/>
                <w:sz w:val="17"/>
              </w:rPr>
              <w:t>Beneficiary Bank Failure</w:t>
            </w:r>
          </w:p>
        </w:tc>
        <w:tc>
          <w:tcPr>
            <w:tcW w:type="dxa" w:w="3213"/>
          </w:tcPr>
          <w:p>
            <w:pPr>
              <w:spacing w:after="20" w:before="20" w:line="240" w:lineRule="auto"/>
            </w:pPr>
            <w:r/>
            <w:r>
              <w:rPr>
                <w:rFonts w:ascii="Arial" w:hAnsi="Arial" w:cs="Arial"/>
                <w:b w:val="0"/>
                <w:i w:val="0"/>
                <w:sz w:val="17"/>
              </w:rPr>
              <w:t>SWIFT gpi returns error</w:t>
            </w:r>
          </w:p>
        </w:tc>
        <w:tc>
          <w:tcPr>
            <w:tcW w:type="dxa" w:w="3213"/>
          </w:tcPr>
          <w:p>
            <w:pPr>
              <w:spacing w:after="20" w:before="20" w:line="240" w:lineRule="auto"/>
            </w:pPr>
            <w:r/>
            <w:r>
              <w:rPr>
                <w:rFonts w:ascii="Arial" w:hAnsi="Arial" w:cs="Arial"/>
                <w:b w:val="0"/>
                <w:i w:val="0"/>
                <w:sz w:val="17"/>
              </w:rPr>
              <w:t>Retry after 1 hour (2 attempts)</w:t>
            </w:r>
          </w:p>
        </w:tc>
      </w:tr>
      <w:tr>
        <w:tc>
          <w:tcPr>
            <w:tcW w:type="dxa" w:w="3213"/>
          </w:tcPr>
          <w:p>
            <w:pPr>
              <w:spacing w:after="20" w:before="20" w:line="240" w:lineRule="auto"/>
            </w:pPr>
            <w:r/>
            <w:r>
              <w:rPr>
                <w:rFonts w:ascii="Arial" w:hAnsi="Arial" w:cs="Arial"/>
                <w:b w:val="0"/>
                <w:i w:val="0"/>
                <w:sz w:val="17"/>
              </w:rPr>
              <w:t>Unknown Status</w:t>
            </w:r>
          </w:p>
        </w:tc>
        <w:tc>
          <w:tcPr>
            <w:tcW w:type="dxa" w:w="3213"/>
          </w:tcPr>
          <w:p>
            <w:pPr>
              <w:spacing w:after="20" w:before="20" w:line="240" w:lineRule="auto"/>
            </w:pPr>
            <w:r/>
            <w:r>
              <w:rPr>
                <w:rFonts w:ascii="Arial" w:hAnsi="Arial" w:cs="Arial"/>
                <w:b w:val="0"/>
                <w:i w:val="0"/>
                <w:sz w:val="17"/>
              </w:rPr>
              <w:t>No confirmation received</w:t>
            </w:r>
          </w:p>
        </w:tc>
        <w:tc>
          <w:tcPr>
            <w:tcW w:type="dxa" w:w="3213"/>
          </w:tcPr>
          <w:p>
            <w:pPr>
              <w:spacing w:after="20" w:before="20" w:line="240" w:lineRule="auto"/>
            </w:pPr>
            <w:r/>
            <w:r>
              <w:rPr>
                <w:rFonts w:ascii="Arial" w:hAnsi="Arial" w:cs="Arial"/>
                <w:b w:val="0"/>
                <w:i w:val="0"/>
                <w:sz w:val="17"/>
              </w:rPr>
              <w:t>Mark UNKNOWN, reconciliation required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attempt is logged with status, error code, retry timing, and resolution state. The complete schema is defined in Section 17.20 (payment_retry_logs).</w:t>
      </w:r>
    </w:p>
    <w:p>
      <w:pPr>
        <w:keepNext/>
        <w:spacing w:before="240" w:after="100"/>
        <w:outlineLvl w:val="1"/>
      </w:pPr>
      <w:r>
        <w:rPr>
          <w:rFonts w:ascii="Arial" w:hAnsi="Arial" w:cs="Arial"/>
          <w:b/>
          <w:i w:val="0"/>
          <w:color w:val="2E528F"/>
          <w:sz w:val="26"/>
        </w:rPr>
        <w:t>13.9 Payment Health Score</w:t>
      </w:r>
    </w:p>
    <w:p>
      <w:pPr>
        <w:spacing w:after="80" w:line="293" w:lineRule="auto"/>
        <w:jc w:val="left"/>
      </w:pPr>
      <w:r>
        <w:rPr>
          <w:rFonts w:ascii="Times New Roman" w:hAnsi="Times New Roman" w:cs="Times New Roman"/>
          <w:b/>
          <w:i w:val="0"/>
          <w:sz w:val="22"/>
        </w:rPr>
        <w:t>Payment Health Score Calculation: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Weight</w:t>
            </w:r>
          </w:p>
        </w:tc>
        <w:tc>
          <w:tcPr>
            <w:tcW w:type="dxa" w:w="3213"/>
            <w:shd w:val="clear" w:fill="D9E2F3"/>
          </w:tcPr>
          <w:p>
            <w:pPr>
              <w:spacing w:after="20" w:before="20" w:line="240" w:lineRule="auto"/>
            </w:pPr>
            <w:r/>
            <w:r>
              <w:rPr>
                <w:rFonts w:ascii="Arial" w:hAnsi="Arial" w:cs="Arial"/>
                <w:b/>
                <w:i w:val="0"/>
                <w:sz w:val="18"/>
              </w:rPr>
              <w:t>Calculation</w:t>
            </w:r>
          </w:p>
        </w:tc>
      </w:tr>
      <w:tr>
        <w:tc>
          <w:tcPr>
            <w:tcW w:type="dxa" w:w="3213"/>
          </w:tcPr>
          <w:p>
            <w:pPr>
              <w:spacing w:after="20" w:before="20" w:line="240" w:lineRule="auto"/>
            </w:pPr>
            <w:r/>
            <w:r>
              <w:rPr>
                <w:rFonts w:ascii="Arial" w:hAnsi="Arial" w:cs="Arial"/>
                <w:b w:val="0"/>
                <w:i w:val="0"/>
                <w:sz w:val="17"/>
              </w:rPr>
              <w:t>Payment Legs Settled</w:t>
            </w:r>
          </w:p>
        </w:tc>
        <w:tc>
          <w:tcPr>
            <w:tcW w:type="dxa" w:w="3213"/>
          </w:tcPr>
          <w:p>
            <w:pPr>
              <w:spacing w:after="20" w:before="20" w:line="240" w:lineRule="auto"/>
            </w:pPr>
            <w:r/>
            <w:r>
              <w:rPr>
                <w:rFonts w:ascii="Arial" w:hAnsi="Arial" w:cs="Arial"/>
                <w:b w:val="0"/>
                <w:i w:val="0"/>
                <w:sz w:val="17"/>
              </w:rPr>
              <w:t>30%</w:t>
            </w:r>
          </w:p>
        </w:tc>
        <w:tc>
          <w:tcPr>
            <w:tcW w:type="dxa" w:w="3213"/>
          </w:tcPr>
          <w:p>
            <w:pPr>
              <w:spacing w:after="20" w:before="20" w:line="240" w:lineRule="auto"/>
            </w:pPr>
            <w:r/>
            <w:r>
              <w:rPr>
                <w:rFonts w:ascii="Arial" w:hAnsi="Arial" w:cs="Arial"/>
                <w:b w:val="0"/>
                <w:i w:val="0"/>
                <w:sz w:val="17"/>
              </w:rPr>
              <w:t>Settled legs / Total legs</w:t>
            </w:r>
          </w:p>
        </w:tc>
      </w:tr>
      <w:tr>
        <w:tc>
          <w:tcPr>
            <w:tcW w:type="dxa" w:w="3213"/>
          </w:tcPr>
          <w:p>
            <w:pPr>
              <w:spacing w:after="20" w:before="20" w:line="240" w:lineRule="auto"/>
            </w:pPr>
            <w:r/>
            <w:r>
              <w:rPr>
                <w:rFonts w:ascii="Arial" w:hAnsi="Arial" w:cs="Arial"/>
                <w:b w:val="0"/>
                <w:i w:val="0"/>
                <w:sz w:val="17"/>
              </w:rPr>
              <w:t>Payment Timeliness</w:t>
            </w:r>
          </w:p>
        </w:tc>
        <w:tc>
          <w:tcPr>
            <w:tcW w:type="dxa" w:w="3213"/>
          </w:tcPr>
          <w:p>
            <w:pPr>
              <w:spacing w:after="20" w:before="20" w:line="240" w:lineRule="auto"/>
            </w:pPr>
            <w:r/>
            <w:r>
              <w:rPr>
                <w:rFonts w:ascii="Arial" w:hAnsi="Arial" w:cs="Arial"/>
                <w:b w:val="0"/>
                <w:i w:val="0"/>
                <w:sz w:val="17"/>
              </w:rPr>
              <w:t>25%</w:t>
            </w:r>
          </w:p>
        </w:tc>
        <w:tc>
          <w:tcPr>
            <w:tcW w:type="dxa" w:w="3213"/>
          </w:tcPr>
          <w:p>
            <w:pPr>
              <w:spacing w:after="20" w:before="20" w:line="240" w:lineRule="auto"/>
            </w:pPr>
            <w:r/>
            <w:r>
              <w:rPr>
                <w:rFonts w:ascii="Arial" w:hAnsi="Arial" w:cs="Arial"/>
                <w:b w:val="0"/>
                <w:i w:val="0"/>
                <w:sz w:val="17"/>
              </w:rPr>
              <w:t>On-time vs. delayed payments</w:t>
            </w:r>
          </w:p>
        </w:tc>
      </w:tr>
      <w:tr>
        <w:tc>
          <w:tcPr>
            <w:tcW w:type="dxa" w:w="3213"/>
          </w:tcPr>
          <w:p>
            <w:pPr>
              <w:spacing w:after="20" w:before="20" w:line="240" w:lineRule="auto"/>
            </w:pPr>
            <w:r/>
            <w:r>
              <w:rPr>
                <w:rFonts w:ascii="Arial" w:hAnsi="Arial" w:cs="Arial"/>
                <w:b w:val="0"/>
                <w:i w:val="0"/>
                <w:sz w:val="17"/>
              </w:rPr>
              <w:t>Reconciliation Status</w:t>
            </w:r>
          </w:p>
        </w:tc>
        <w:tc>
          <w:tcPr>
            <w:tcW w:type="dxa" w:w="3213"/>
          </w:tcPr>
          <w:p>
            <w:pPr>
              <w:spacing w:after="20" w:before="20" w:line="240" w:lineRule="auto"/>
            </w:pPr>
            <w:r/>
            <w:r>
              <w:rPr>
                <w:rFonts w:ascii="Arial" w:hAnsi="Arial" w:cs="Arial"/>
                <w:b w:val="0"/>
                <w:i w:val="0"/>
                <w:sz w:val="17"/>
              </w:rPr>
              <w:t>25%</w:t>
            </w:r>
          </w:p>
        </w:tc>
        <w:tc>
          <w:tcPr>
            <w:tcW w:type="dxa" w:w="3213"/>
          </w:tcPr>
          <w:p>
            <w:pPr>
              <w:spacing w:after="20" w:before="20" w:line="240" w:lineRule="auto"/>
            </w:pPr>
            <w:r/>
            <w:r>
              <w:rPr>
                <w:rFonts w:ascii="Arial" w:hAnsi="Arial" w:cs="Arial"/>
                <w:b w:val="0"/>
                <w:i w:val="0"/>
                <w:sz w:val="17"/>
              </w:rPr>
              <w:t>Matched vs. unmatched</w:t>
            </w:r>
          </w:p>
        </w:tc>
      </w:tr>
      <w:tr>
        <w:tc>
          <w:tcPr>
            <w:tcW w:type="dxa" w:w="3213"/>
          </w:tcPr>
          <w:p>
            <w:pPr>
              <w:spacing w:after="20" w:before="20" w:line="240" w:lineRule="auto"/>
            </w:pPr>
            <w:r/>
            <w:r>
              <w:rPr>
                <w:rFonts w:ascii="Arial" w:hAnsi="Arial" w:cs="Arial"/>
                <w:b w:val="0"/>
                <w:i w:val="0"/>
                <w:sz w:val="17"/>
              </w:rPr>
              <w:t>Dispute Impact</w:t>
            </w:r>
          </w:p>
        </w:tc>
        <w:tc>
          <w:tcPr>
            <w:tcW w:type="dxa" w:w="3213"/>
          </w:tcPr>
          <w:p>
            <w:pPr>
              <w:spacing w:after="20" w:before="20" w:line="240" w:lineRule="auto"/>
            </w:pPr>
            <w:r/>
            <w:r>
              <w:rPr>
                <w:rFonts w:ascii="Arial" w:hAnsi="Arial" w:cs="Arial"/>
                <w:b w:val="0"/>
                <w:i w:val="0"/>
                <w:sz w:val="17"/>
              </w:rPr>
              <w:t>20%</w:t>
            </w:r>
          </w:p>
        </w:tc>
        <w:tc>
          <w:tcPr>
            <w:tcW w:type="dxa" w:w="3213"/>
          </w:tcPr>
          <w:p>
            <w:pPr>
              <w:spacing w:after="20" w:before="20" w:line="240" w:lineRule="auto"/>
            </w:pPr>
            <w:r/>
            <w:r>
              <w:rPr>
                <w:rFonts w:ascii="Arial" w:hAnsi="Arial" w:cs="Arial"/>
                <w:b w:val="0"/>
                <w:i w:val="0"/>
                <w:sz w:val="17"/>
              </w:rPr>
              <w:t>Disputes affecting payments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Trade Health Score Display:</w:t>
      </w:r>
    </w:p>
    <w:p>
      <w:pPr>
        <w:spacing w:after="0" w:before="0" w:line="240" w:lineRule="auto"/>
        <w:ind w:left="57"/>
        <w:jc w:val="left"/>
        <w:shd w:val="clear" w:fill="F2F2F2"/>
      </w:pPr>
      <w:r>
        <w:rPr>
          <w:rFonts w:ascii="Consolas" w:hAnsi="Consolas" w:cs="Consolas"/>
          <w:b w:val="0"/>
          <w:i w:val="0"/>
          <w:sz w:val="15"/>
        </w:rPr>
        <w:t>TRADE HEALTH SCORE — USTN SGTX-EG-26-F3A-1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Health Score: 87/100 — Healthy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Components:                                                │</w:t>
      </w:r>
    </w:p>
    <w:p>
      <w:pPr>
        <w:spacing w:after="0" w:before="0" w:line="240" w:lineRule="auto"/>
        <w:ind w:left="57"/>
        <w:jc w:val="left"/>
        <w:shd w:val="clear" w:fill="F2F2F2"/>
      </w:pPr>
      <w:r>
        <w:rPr>
          <w:rFonts w:ascii="Consolas" w:hAnsi="Consolas" w:cs="Consolas"/>
          <w:b w:val="0"/>
          <w:i w:val="0"/>
          <w:sz w:val="15"/>
        </w:rPr>
        <w:t>│ • Payment Legs Settled: 8/8 (30%) ✓                       │</w:t>
      </w:r>
    </w:p>
    <w:p>
      <w:pPr>
        <w:spacing w:after="0" w:before="0" w:line="240" w:lineRule="auto"/>
        <w:ind w:left="57"/>
        <w:jc w:val="left"/>
        <w:shd w:val="clear" w:fill="F2F2F2"/>
      </w:pPr>
      <w:r>
        <w:rPr>
          <w:rFonts w:ascii="Consolas" w:hAnsi="Consolas" w:cs="Consolas"/>
          <w:b w:val="0"/>
          <w:i w:val="0"/>
          <w:sz w:val="15"/>
        </w:rPr>
        <w:t>│ • Payment Timeliness: All on-time (25%) ✓                 │</w:t>
      </w:r>
    </w:p>
    <w:p>
      <w:pPr>
        <w:spacing w:after="0" w:before="0" w:line="240" w:lineRule="auto"/>
        <w:ind w:left="57"/>
        <w:jc w:val="left"/>
        <w:shd w:val="clear" w:fill="F2F2F2"/>
      </w:pPr>
      <w:r>
        <w:rPr>
          <w:rFonts w:ascii="Consolas" w:hAnsi="Consolas" w:cs="Consolas"/>
          <w:b w:val="0"/>
          <w:i w:val="0"/>
          <w:sz w:val="15"/>
        </w:rPr>
        <w:t>│ • Reconciliation Status: Fully matched (25%) ✓            │</w:t>
      </w:r>
    </w:p>
    <w:p>
      <w:pPr>
        <w:spacing w:after="0" w:before="0" w:line="240" w:lineRule="auto"/>
        <w:ind w:left="57"/>
        <w:jc w:val="left"/>
        <w:shd w:val="clear" w:fill="F2F2F2"/>
      </w:pPr>
      <w:r>
        <w:rPr>
          <w:rFonts w:ascii="Consolas" w:hAnsi="Consolas" w:cs="Consolas"/>
          <w:b w:val="0"/>
          <w:i w:val="0"/>
          <w:sz w:val="15"/>
        </w:rPr>
        <w:t>│ • Dispute Impact: No disputes (20%) ✓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All payments settled and reconciled.                      │</w:t>
      </w:r>
    </w:p>
    <w:p>
      <w:pPr>
        <w:spacing w:after="0" w:before="0" w:line="240" w:lineRule="auto"/>
        <w:ind w:left="57"/>
        <w:jc w:val="left"/>
        <w:shd w:val="clear" w:fill="F2F2F2"/>
      </w:pPr>
      <w:r>
        <w:rPr>
          <w:rFonts w:ascii="Consolas" w:hAnsi="Consolas" w:cs="Consolas"/>
          <w:b w:val="0"/>
          <w:i w:val="0"/>
          <w:sz w:val="15"/>
        </w:rPr>
        <w:t>│ Next payment: None pending.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13.10 Trade Memory Layer Recording</w:t>
      </w:r>
    </w:p>
    <w:p>
      <w:pPr>
        <w:spacing w:after="80" w:line="293" w:lineRule="auto"/>
        <w:jc w:val="left"/>
      </w:pPr>
      <w:r>
        <w:rPr>
          <w:rFonts w:ascii="Times New Roman" w:hAnsi="Times New Roman" w:cs="Times New Roman"/>
          <w:b/>
          <w:i w:val="0"/>
          <w:sz w:val="22"/>
        </w:rPr>
        <w:t>Payment Events Captured:</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Event Type</w:t>
            </w:r>
          </w:p>
        </w:tc>
        <w:tc>
          <w:tcPr>
            <w:tcW w:type="dxa" w:w="3213"/>
            <w:shd w:val="clear" w:fill="D9E2F3"/>
          </w:tcPr>
          <w:p>
            <w:pPr>
              <w:spacing w:after="20" w:before="20" w:line="240" w:lineRule="auto"/>
            </w:pPr>
            <w:r/>
            <w:r>
              <w:rPr>
                <w:rFonts w:ascii="Arial" w:hAnsi="Arial" w:cs="Arial"/>
                <w:b/>
                <w:i w:val="0"/>
                <w:sz w:val="18"/>
              </w:rPr>
              <w:t>Captured Data</w:t>
            </w:r>
          </w:p>
        </w:tc>
        <w:tc>
          <w:tcPr>
            <w:tcW w:type="dxa" w:w="3213"/>
            <w:shd w:val="clear" w:fill="D9E2F3"/>
          </w:tcPr>
          <w:p>
            <w:pPr>
              <w:spacing w:after="20" w:before="20" w:line="240" w:lineRule="auto"/>
            </w:pPr>
            <w:r/>
            <w:r>
              <w:rPr>
                <w:rFonts w:ascii="Arial" w:hAnsi="Arial" w:cs="Arial"/>
                <w:b/>
                <w:i w:val="0"/>
                <w:sz w:val="18"/>
              </w:rPr>
              <w:t>Purpose</w:t>
            </w:r>
          </w:p>
        </w:tc>
      </w:tr>
      <w:tr>
        <w:tc>
          <w:tcPr>
            <w:tcW w:type="dxa" w:w="3213"/>
          </w:tcPr>
          <w:p>
            <w:pPr>
              <w:spacing w:after="20" w:before="20" w:line="240" w:lineRule="auto"/>
            </w:pPr>
            <w:r/>
            <w:r>
              <w:rPr>
                <w:rFonts w:ascii="Arial" w:hAnsi="Arial" w:cs="Arial"/>
                <w:b w:val="0"/>
                <w:i w:val="0"/>
                <w:sz w:val="17"/>
              </w:rPr>
              <w:t>PAYMENT_MANIFEST_GENERATED</w:t>
            </w:r>
          </w:p>
        </w:tc>
        <w:tc>
          <w:tcPr>
            <w:tcW w:type="dxa" w:w="3213"/>
          </w:tcPr>
          <w:p>
            <w:pPr>
              <w:spacing w:after="20" w:before="20" w:line="240" w:lineRule="auto"/>
            </w:pPr>
            <w:r/>
            <w:r>
              <w:rPr>
                <w:rFonts w:ascii="Arial" w:hAnsi="Arial" w:cs="Arial"/>
                <w:b w:val="0"/>
                <w:i w:val="0"/>
                <w:sz w:val="17"/>
              </w:rPr>
              <w:t>USTN, legs, amounts, currencies</w:t>
            </w:r>
          </w:p>
        </w:tc>
        <w:tc>
          <w:tcPr>
            <w:tcW w:type="dxa" w:w="3213"/>
          </w:tcPr>
          <w:p>
            <w:pPr>
              <w:spacing w:after="20" w:before="20" w:line="240" w:lineRule="auto"/>
            </w:pPr>
            <w:r/>
            <w:r>
              <w:rPr>
                <w:rFonts w:ascii="Arial" w:hAnsi="Arial" w:cs="Arial"/>
                <w:b w:val="0"/>
                <w:i w:val="0"/>
                <w:sz w:val="17"/>
              </w:rPr>
              <w:t>Trade history</w:t>
            </w:r>
          </w:p>
        </w:tc>
      </w:tr>
      <w:tr>
        <w:tc>
          <w:tcPr>
            <w:tcW w:type="dxa" w:w="3213"/>
          </w:tcPr>
          <w:p>
            <w:pPr>
              <w:spacing w:after="20" w:before="20" w:line="240" w:lineRule="auto"/>
            </w:pPr>
            <w:r/>
            <w:r>
              <w:rPr>
                <w:rFonts w:ascii="Arial" w:hAnsi="Arial" w:cs="Arial"/>
                <w:b w:val="0"/>
                <w:i w:val="0"/>
                <w:sz w:val="17"/>
              </w:rPr>
              <w:t>PAYMENT_MANIFEST_AUTHORIZED</w:t>
            </w:r>
          </w:p>
        </w:tc>
        <w:tc>
          <w:tcPr>
            <w:tcW w:type="dxa" w:w="3213"/>
          </w:tcPr>
          <w:p>
            <w:pPr>
              <w:spacing w:after="20" w:before="20" w:line="240" w:lineRule="auto"/>
            </w:pPr>
            <w:r/>
            <w:r>
              <w:rPr>
                <w:rFonts w:ascii="Arial" w:hAnsi="Arial" w:cs="Arial"/>
                <w:b w:val="0"/>
                <w:i w:val="0"/>
                <w:sz w:val="17"/>
              </w:rPr>
              <w:t>Buyer GTID, timestamp</w:t>
            </w:r>
          </w:p>
        </w:tc>
        <w:tc>
          <w:tcPr>
            <w:tcW w:type="dxa" w:w="3213"/>
          </w:tcPr>
          <w:p>
            <w:pPr>
              <w:spacing w:after="20" w:before="20" w:line="240" w:lineRule="auto"/>
            </w:pPr>
            <w:r/>
            <w:r>
              <w:rPr>
                <w:rFonts w:ascii="Arial" w:hAnsi="Arial" w:cs="Arial"/>
                <w:b w:val="0"/>
                <w:i w:val="0"/>
                <w:sz w:val="17"/>
              </w:rPr>
              <w:t>Audit trail</w:t>
            </w:r>
          </w:p>
        </w:tc>
      </w:tr>
      <w:tr>
        <w:tc>
          <w:tcPr>
            <w:tcW w:type="dxa" w:w="3213"/>
          </w:tcPr>
          <w:p>
            <w:pPr>
              <w:spacing w:after="20" w:before="20" w:line="240" w:lineRule="auto"/>
            </w:pPr>
            <w:r/>
            <w:r>
              <w:rPr>
                <w:rFonts w:ascii="Arial" w:hAnsi="Arial" w:cs="Arial"/>
                <w:b w:val="0"/>
                <w:i w:val="0"/>
                <w:sz w:val="17"/>
              </w:rPr>
              <w:t>PAYMENT_MANIFEST_DISPATCHED</w:t>
            </w:r>
          </w:p>
        </w:tc>
        <w:tc>
          <w:tcPr>
            <w:tcW w:type="dxa" w:w="3213"/>
          </w:tcPr>
          <w:p>
            <w:pPr>
              <w:spacing w:after="20" w:before="20" w:line="240" w:lineRule="auto"/>
            </w:pPr>
            <w:r/>
            <w:r>
              <w:rPr>
                <w:rFonts w:ascii="Arial" w:hAnsi="Arial" w:cs="Arial"/>
                <w:b w:val="0"/>
                <w:i w:val="0"/>
                <w:sz w:val="17"/>
              </w:rPr>
              <w:t>Bank GTID, ISO 20022 MsgId</w:t>
            </w:r>
          </w:p>
        </w:tc>
        <w:tc>
          <w:tcPr>
            <w:tcW w:type="dxa" w:w="3213"/>
          </w:tcPr>
          <w:p>
            <w:pPr>
              <w:spacing w:after="20" w:before="20" w:line="240" w:lineRule="auto"/>
            </w:pPr>
            <w:r/>
            <w:r>
              <w:rPr>
                <w:rFonts w:ascii="Arial" w:hAnsi="Arial" w:cs="Arial"/>
                <w:b w:val="0"/>
                <w:i w:val="0"/>
                <w:sz w:val="17"/>
              </w:rPr>
              <w:t>Bank integration</w:t>
            </w:r>
          </w:p>
        </w:tc>
      </w:tr>
      <w:tr>
        <w:tc>
          <w:tcPr>
            <w:tcW w:type="dxa" w:w="3213"/>
          </w:tcPr>
          <w:p>
            <w:pPr>
              <w:spacing w:after="20" w:before="20" w:line="240" w:lineRule="auto"/>
            </w:pPr>
            <w:r/>
            <w:r>
              <w:rPr>
                <w:rFonts w:ascii="Arial" w:hAnsi="Arial" w:cs="Arial"/>
                <w:b w:val="0"/>
                <w:i w:val="0"/>
                <w:sz w:val="17"/>
              </w:rPr>
              <w:t>PAYMENT_LEG_SETTLED</w:t>
            </w:r>
          </w:p>
        </w:tc>
        <w:tc>
          <w:tcPr>
            <w:tcW w:type="dxa" w:w="3213"/>
          </w:tcPr>
          <w:p>
            <w:pPr>
              <w:spacing w:after="20" w:before="20" w:line="240" w:lineRule="auto"/>
            </w:pPr>
            <w:r/>
            <w:r>
              <w:rPr>
                <w:rFonts w:ascii="Arial" w:hAnsi="Arial" w:cs="Arial"/>
                <w:b w:val="0"/>
                <w:i w:val="0"/>
                <w:sz w:val="17"/>
              </w:rPr>
              <w:t>Leg ID, EndToEndId, amount</w:t>
            </w:r>
          </w:p>
        </w:tc>
        <w:tc>
          <w:tcPr>
            <w:tcW w:type="dxa" w:w="3213"/>
          </w:tcPr>
          <w:p>
            <w:pPr>
              <w:spacing w:after="20" w:before="20" w:line="240" w:lineRule="auto"/>
            </w:pPr>
            <w:r/>
            <w:r>
              <w:rPr>
                <w:rFonts w:ascii="Arial" w:hAnsi="Arial" w:cs="Arial"/>
                <w:b w:val="0"/>
                <w:i w:val="0"/>
                <w:sz w:val="17"/>
              </w:rPr>
              <w:t>Settlement confirmation</w:t>
            </w:r>
          </w:p>
        </w:tc>
      </w:tr>
      <w:tr>
        <w:tc>
          <w:tcPr>
            <w:tcW w:type="dxa" w:w="3213"/>
          </w:tcPr>
          <w:p>
            <w:pPr>
              <w:spacing w:after="20" w:before="20" w:line="240" w:lineRule="auto"/>
            </w:pPr>
            <w:r/>
            <w:r>
              <w:rPr>
                <w:rFonts w:ascii="Arial" w:hAnsi="Arial" w:cs="Arial"/>
                <w:b w:val="0"/>
                <w:i w:val="0"/>
                <w:sz w:val="17"/>
              </w:rPr>
              <w:t>PAYMENT_LEG_FAILED</w:t>
            </w:r>
          </w:p>
        </w:tc>
        <w:tc>
          <w:tcPr>
            <w:tcW w:type="dxa" w:w="3213"/>
          </w:tcPr>
          <w:p>
            <w:pPr>
              <w:spacing w:after="20" w:before="20" w:line="240" w:lineRule="auto"/>
            </w:pPr>
            <w:r/>
            <w:r>
              <w:rPr>
                <w:rFonts w:ascii="Arial" w:hAnsi="Arial" w:cs="Arial"/>
                <w:b w:val="0"/>
                <w:i w:val="0"/>
                <w:sz w:val="17"/>
              </w:rPr>
              <w:t>Leg ID, error, retry</w:t>
            </w:r>
          </w:p>
        </w:tc>
        <w:tc>
          <w:tcPr>
            <w:tcW w:type="dxa" w:w="3213"/>
          </w:tcPr>
          <w:p>
            <w:pPr>
              <w:spacing w:after="20" w:before="20" w:line="240" w:lineRule="auto"/>
            </w:pPr>
            <w:r/>
            <w:r>
              <w:rPr>
                <w:rFonts w:ascii="Arial" w:hAnsi="Arial" w:cs="Arial"/>
                <w:b w:val="0"/>
                <w:i w:val="0"/>
                <w:sz w:val="17"/>
              </w:rPr>
              <w:t>Failure analysis</w:t>
            </w:r>
          </w:p>
        </w:tc>
      </w:tr>
      <w:tr>
        <w:tc>
          <w:tcPr>
            <w:tcW w:type="dxa" w:w="3213"/>
          </w:tcPr>
          <w:p>
            <w:pPr>
              <w:spacing w:after="20" w:before="20" w:line="240" w:lineRule="auto"/>
            </w:pPr>
            <w:r/>
            <w:r>
              <w:rPr>
                <w:rFonts w:ascii="Arial" w:hAnsi="Arial" w:cs="Arial"/>
                <w:b w:val="0"/>
                <w:i w:val="0"/>
                <w:sz w:val="17"/>
              </w:rPr>
              <w:t>PAYMENT_RECONCILIATION_COMPLETE</w:t>
            </w:r>
          </w:p>
        </w:tc>
        <w:tc>
          <w:tcPr>
            <w:tcW w:type="dxa" w:w="3213"/>
          </w:tcPr>
          <w:p>
            <w:pPr>
              <w:spacing w:after="20" w:before="20" w:line="240" w:lineRule="auto"/>
            </w:pPr>
            <w:r/>
            <w:r>
              <w:rPr>
                <w:rFonts w:ascii="Arial" w:hAnsi="Arial" w:cs="Arial"/>
                <w:b w:val="0"/>
                <w:i w:val="0"/>
                <w:sz w:val="17"/>
              </w:rPr>
              <w:t>USTN, all legs matched</w:t>
            </w:r>
          </w:p>
        </w:tc>
        <w:tc>
          <w:tcPr>
            <w:tcW w:type="dxa" w:w="3213"/>
          </w:tcPr>
          <w:p>
            <w:pPr>
              <w:spacing w:after="20" w:before="20" w:line="240" w:lineRule="auto"/>
            </w:pPr>
            <w:r/>
            <w:r>
              <w:rPr>
                <w:rFonts w:ascii="Arial" w:hAnsi="Arial" w:cs="Arial"/>
                <w:b w:val="0"/>
                <w:i w:val="0"/>
                <w:sz w:val="17"/>
              </w:rPr>
              <w:t>Reconciliation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Data Model Addition:</w:t>
      </w:r>
    </w:p>
    <w:p>
      <w:pPr>
        <w:spacing w:after="0" w:before="0" w:line="240" w:lineRule="auto"/>
        <w:ind w:left="57"/>
        <w:jc w:val="left"/>
        <w:shd w:val="clear" w:fill="F2F2F2"/>
      </w:pPr>
      <w:r>
        <w:rPr>
          <w:rFonts w:ascii="Consolas" w:hAnsi="Consolas" w:cs="Consolas"/>
          <w:b w:val="0"/>
          <w:i w:val="0"/>
          <w:sz w:val="16"/>
        </w:rPr>
        <w:t>-- Trade Memory Event Type Extension</w:t>
      </w:r>
    </w:p>
    <w:p>
      <w:pPr>
        <w:spacing w:after="0" w:before="0" w:line="240" w:lineRule="auto"/>
        <w:ind w:left="57"/>
        <w:jc w:val="left"/>
        <w:shd w:val="clear" w:fill="F2F2F2"/>
      </w:pPr>
      <w:r>
        <w:rPr>
          <w:rFonts w:ascii="Consolas" w:hAnsi="Consolas" w:cs="Consolas"/>
          <w:b w:val="0"/>
          <w:i w:val="0"/>
          <w:sz w:val="16"/>
        </w:rPr>
        <w:t>-- Add to trade_memory_events.category values</w:t>
      </w:r>
    </w:p>
    <w:p>
      <w:pPr>
        <w:spacing w:after="0" w:before="0" w:line="240" w:lineRule="auto"/>
        <w:ind w:left="57"/>
        <w:jc w:val="left"/>
        <w:shd w:val="clear" w:fill="F2F2F2"/>
      </w:pPr>
      <w:r>
        <w:rPr>
          <w:rFonts w:ascii="Consolas" w:hAnsi="Consolas" w:cs="Consolas"/>
          <w:b w:val="0"/>
          <w:i w:val="0"/>
          <w:sz w:val="16"/>
        </w:rPr>
        <w:t>ALTER TYPE trade_memory_event_category ADD VALUE IF NOT EXISTS 'PAYMENT';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13.11 Payment SLA Monitoring</w:t>
      </w:r>
    </w:p>
    <w:p>
      <w:pPr>
        <w:spacing w:after="80" w:line="293" w:lineRule="auto"/>
        <w:jc w:val="left"/>
      </w:pPr>
      <w:r>
        <w:rPr>
          <w:rFonts w:ascii="Times New Roman" w:hAnsi="Times New Roman" w:cs="Times New Roman"/>
          <w:b w:val="0"/>
          <w:i w:val="0"/>
          <w:sz w:val="22"/>
        </w:rPr>
        <w:t>Payment SLAs and dashboard:</w:t>
      </w:r>
    </w:p>
    <w:p>
      <w:pPr>
        <w:spacing w:after="0" w:before="0" w:line="240" w:lineRule="auto"/>
        <w:ind w:left="57"/>
        <w:jc w:val="left"/>
        <w:shd w:val="clear" w:fill="F2F2F2"/>
      </w:pPr>
      <w:r>
        <w:rPr>
          <w:rFonts w:ascii="Consolas" w:hAnsi="Consolas" w:cs="Consolas"/>
          <w:b w:val="0"/>
          <w:i w:val="0"/>
          <w:sz w:val="15"/>
        </w:rPr>
        <w:t>PAYMENT SLA MONITORING — September 2026</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Metric                    | Target   | Actual   | Status   │</w:t>
      </w:r>
    </w:p>
    <w:p>
      <w:pPr>
        <w:spacing w:after="0" w:before="0" w:line="240" w:lineRule="auto"/>
        <w:ind w:left="57"/>
        <w:jc w:val="left"/>
        <w:shd w:val="clear" w:fill="F2F2F2"/>
      </w:pPr>
      <w:r>
        <w:rPr>
          <w:rFonts w:ascii="Consolas" w:hAnsi="Consolas" w:cs="Consolas"/>
          <w:b w:val="0"/>
          <w:i w:val="0"/>
          <w:sz w:val="15"/>
        </w:rPr>
        <w:t>│ Manifest Generation       | &lt; 1s     | 0.8s     | ✓        │</w:t>
      </w:r>
    </w:p>
    <w:p>
      <w:pPr>
        <w:spacing w:after="0" w:before="0" w:line="240" w:lineRule="auto"/>
        <w:ind w:left="57"/>
        <w:jc w:val="left"/>
        <w:shd w:val="clear" w:fill="F2F2F2"/>
      </w:pPr>
      <w:r>
        <w:rPr>
          <w:rFonts w:ascii="Consolas" w:hAnsi="Consolas" w:cs="Consolas"/>
          <w:b w:val="0"/>
          <w:i w:val="0"/>
          <w:sz w:val="15"/>
        </w:rPr>
        <w:t>│ Bank Dispatch             | &lt; 5s     | 3.2s     | ✓        │</w:t>
      </w:r>
    </w:p>
    <w:p>
      <w:pPr>
        <w:spacing w:after="0" w:before="0" w:line="240" w:lineRule="auto"/>
        <w:ind w:left="57"/>
        <w:jc w:val="left"/>
        <w:shd w:val="clear" w:fill="F2F2F2"/>
      </w:pPr>
      <w:r>
        <w:rPr>
          <w:rFonts w:ascii="Consolas" w:hAnsi="Consolas" w:cs="Consolas"/>
          <w:b w:val="0"/>
          <w:i w:val="0"/>
          <w:sz w:val="15"/>
        </w:rPr>
        <w:t>│ Bank Acknowledgment       | &lt; 30s    | 25s      | ✓        │</w:t>
      </w:r>
    </w:p>
    <w:p>
      <w:pPr>
        <w:spacing w:after="0" w:before="0" w:line="240" w:lineRule="auto"/>
        <w:ind w:left="57"/>
        <w:jc w:val="left"/>
        <w:shd w:val="clear" w:fill="F2F2F2"/>
      </w:pPr>
      <w:r>
        <w:rPr>
          <w:rFonts w:ascii="Consolas" w:hAnsi="Consolas" w:cs="Consolas"/>
          <w:b w:val="0"/>
          <w:i w:val="0"/>
          <w:sz w:val="15"/>
        </w:rPr>
        <w:t>│ EGP Settlement            | &lt; 2h     | 1.5h     | ✓        │</w:t>
      </w:r>
    </w:p>
    <w:p>
      <w:pPr>
        <w:spacing w:after="0" w:before="0" w:line="240" w:lineRule="auto"/>
        <w:ind w:left="57"/>
        <w:jc w:val="left"/>
        <w:shd w:val="clear" w:fill="F2F2F2"/>
      </w:pPr>
      <w:r>
        <w:rPr>
          <w:rFonts w:ascii="Consolas" w:hAnsi="Consolas" w:cs="Consolas"/>
          <w:b w:val="0"/>
          <w:i w:val="0"/>
          <w:sz w:val="15"/>
        </w:rPr>
        <w:t>│ USD Settlement            | &lt; 4h     | 3.2h     | ✓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SLA Credits this month: $0.00 (all SLAs met)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SLA breaches surface as Smart Inbox items to operations and feed the Trade Health Score (Section 13.9). SLA targets: manifest generation &lt; 1 second; bank dispatch &lt; 5 seconds; bank acknowledgment (pain.002) &lt; 30 seconds; EGP settlement &lt; 2 hours; USD settlement &lt; 4 hours — each per leg.</w:t>
      </w:r>
    </w:p>
    <w:p>
      <w:pPr>
        <w:keepNext/>
        <w:spacing w:before="360" w:after="160"/>
        <w:outlineLvl w:val="0"/>
      </w:pPr>
      <w:r>
        <w:rPr>
          <w:rFonts w:ascii="Arial" w:hAnsi="Arial" w:cs="Arial"/>
          <w:b/>
          <w:i w:val="0"/>
          <w:color w:val="1F3864"/>
          <w:sz w:val="32"/>
        </w:rPr>
        <w:t>14. Post-Trade: Distressed Cargo, Disputes &amp; Reconciliation — Phases 7–8</w:t>
      </w:r>
    </w:p>
    <w:p>
      <w:pPr>
        <w:keepNext/>
        <w:spacing w:before="240" w:after="100"/>
        <w:outlineLvl w:val="1"/>
      </w:pPr>
      <w:r>
        <w:rPr>
          <w:rFonts w:ascii="Arial" w:hAnsi="Arial" w:cs="Arial"/>
          <w:b/>
          <w:i w:val="0"/>
          <w:color w:val="2E528F"/>
          <w:sz w:val="26"/>
        </w:rPr>
        <w:t>14.1 Purpose</w:t>
      </w:r>
    </w:p>
    <w:p>
      <w:pPr>
        <w:spacing w:after="80" w:line="293" w:lineRule="auto"/>
        <w:jc w:val="left"/>
      </w:pPr>
      <w:r>
        <w:rPr>
          <w:rFonts w:ascii="Times New Roman" w:hAnsi="Times New Roman" w:cs="Times New Roman"/>
          <w:b w:val="0"/>
          <w:i w:val="0"/>
          <w:sz w:val="22"/>
        </w:rPr>
        <w:t>Phases 7 and 8 govern the trade after execution. Phase 7 resolves cargo that becomes distressed: physically damaged, abandoned, delayed beyond shelf life, or subject to demurrage. Phase 8 resolves disputes: any party that believes the executed shipment, payment, financing, or distressed sale has not met the contractual terms can file a dispute and use a structured, AI-assisted mediation process, with the option to escalate to international arbitration. Phase 8 also maintains the reputation engine — the Trade Reliability Index (TRI) — updated after every dispute resolution.</w:t>
      </w:r>
    </w:p>
    <w:p>
      <w:pPr>
        <w:spacing w:after="80" w:line="293" w:lineRule="auto"/>
        <w:jc w:val="left"/>
      </w:pPr>
      <w:r>
        <w:rPr>
          <w:rFonts w:ascii="Times New Roman" w:hAnsi="Times New Roman" w:cs="Times New Roman"/>
          <w:b w:val="0"/>
          <w:i w:val="0"/>
          <w:sz w:val="22"/>
        </w:rPr>
        <w:t>International trade disputes are inevitable: goods arrive damaged, payments are delayed, quality does not match the contract, certificates turn out to be fraudulent, or one party simply fails to perform. In the traditional paper-based trade world, resolving these disputes is slow, expensive, and often inconclusive — evidence is scattered across emails, messaging threads, PDFs from different sources, and paper files in different countries. Because every document, payment, and logistic event for a shipment is already bound to the USTN and immutably recorded, the platform can instantly surface the complete, cryptographically verifiable truth of the transaction.</w:t>
      </w:r>
    </w:p>
    <w:p>
      <w:pPr>
        <w:spacing w:after="80" w:line="293" w:lineRule="auto"/>
        <w:jc w:val="left"/>
      </w:pPr>
      <w:r>
        <w:rPr>
          <w:rFonts w:ascii="Times New Roman" w:hAnsi="Times New Roman" w:cs="Times New Roman"/>
          <w:b w:val="0"/>
          <w:i w:val="0"/>
          <w:sz w:val="22"/>
        </w:rPr>
        <w:t>Key capabilities:</w:t>
      </w:r>
    </w:p>
    <w:p>
      <w:pPr>
        <w:spacing w:after="80" w:line="293" w:lineRule="auto"/>
        <w:ind w:left="283"/>
        <w:jc w:val="left"/>
      </w:pPr>
      <w:r>
        <w:rPr>
          <w:rFonts w:ascii="Times New Roman" w:hAnsi="Times New Roman" w:cs="Times New Roman"/>
          <w:b w:val="0"/>
          <w:i w:val="0"/>
          <w:sz w:val="22"/>
        </w:rPr>
        <w:t>- Any breach can be a dispute — quality, delay, non-payment, documentation fraud, cold chain failure, service quality (broker, lab, QC) — raised by buyer, seller, logistics provider, or financier.</w:t>
      </w:r>
    </w:p>
    <w:p>
      <w:pPr>
        <w:spacing w:after="80" w:line="293" w:lineRule="auto"/>
        <w:ind w:left="283"/>
        <w:jc w:val="left"/>
      </w:pPr>
      <w:r>
        <w:rPr>
          <w:rFonts w:ascii="Times New Roman" w:hAnsi="Times New Roman" w:cs="Times New Roman"/>
          <w:b w:val="0"/>
          <w:i w:val="0"/>
          <w:sz w:val="22"/>
        </w:rPr>
        <w:t>- One-click filing — with voice or text.</w:t>
      </w:r>
    </w:p>
    <w:p>
      <w:pPr>
        <w:spacing w:after="80" w:line="293" w:lineRule="auto"/>
        <w:ind w:left="283"/>
        <w:jc w:val="left"/>
      </w:pPr>
      <w:r>
        <w:rPr>
          <w:rFonts w:ascii="Times New Roman" w:hAnsi="Times New Roman" w:cs="Times New Roman"/>
          <w:b w:val="0"/>
          <w:i w:val="0"/>
          <w:sz w:val="22"/>
        </w:rPr>
        <w:t>- Evidence autocompiler — automatically pulls all USTN data, sensor logs, QC overrides, broker certification logs, and causal analysis.</w:t>
      </w:r>
    </w:p>
    <w:p>
      <w:pPr>
        <w:spacing w:after="80" w:line="293" w:lineRule="auto"/>
        <w:ind w:left="283"/>
        <w:jc w:val="left"/>
      </w:pPr>
      <w:r>
        <w:rPr>
          <w:rFonts w:ascii="Times New Roman" w:hAnsi="Times New Roman" w:cs="Times New Roman"/>
          <w:b w:val="0"/>
          <w:i w:val="0"/>
          <w:sz w:val="22"/>
        </w:rPr>
        <w:t>- Causal inference engine — identifies root causes (for example, "68% due to temperature excursion") and suggests fair settlements.</w:t>
      </w:r>
    </w:p>
    <w:p>
      <w:pPr>
        <w:spacing w:after="80" w:line="293" w:lineRule="auto"/>
        <w:ind w:left="283"/>
        <w:jc w:val="left"/>
      </w:pPr>
      <w:r>
        <w:rPr>
          <w:rFonts w:ascii="Times New Roman" w:hAnsi="Times New Roman" w:cs="Times New Roman"/>
          <w:b w:val="0"/>
          <w:i w:val="0"/>
          <w:sz w:val="22"/>
        </w:rPr>
        <w:t>- Mediation log — structured, multi-language negotiation with AI-generated proposals.</w:t>
      </w:r>
    </w:p>
    <w:p>
      <w:pPr>
        <w:spacing w:after="80" w:line="293" w:lineRule="auto"/>
        <w:ind w:left="283"/>
        <w:jc w:val="left"/>
      </w:pPr>
      <w:r>
        <w:rPr>
          <w:rFonts w:ascii="Times New Roman" w:hAnsi="Times New Roman" w:cs="Times New Roman"/>
          <w:b w:val="0"/>
          <w:i w:val="0"/>
          <w:sz w:val="22"/>
        </w:rPr>
        <w:t>- Escalation to arbitration — auto-prepares case files for ICC, DIFC-LCIA, CRCICA.</w:t>
      </w:r>
    </w:p>
    <w:p>
      <w:pPr>
        <w:spacing w:after="80" w:line="293" w:lineRule="auto"/>
        <w:ind w:left="283"/>
        <w:jc w:val="left"/>
      </w:pPr>
      <w:r>
        <w:rPr>
          <w:rFonts w:ascii="Times New Roman" w:hAnsi="Times New Roman" w:cs="Times New Roman"/>
          <w:b w:val="0"/>
          <w:i w:val="0"/>
          <w:sz w:val="22"/>
        </w:rPr>
        <w:t>- SGTX fee dispute — separate workflow for disputing the platform's fee calculation.</w:t>
      </w:r>
    </w:p>
    <w:p>
      <w:pPr>
        <w:spacing w:after="80" w:line="293" w:lineRule="auto"/>
        <w:ind w:left="283"/>
        <w:jc w:val="left"/>
      </w:pPr>
      <w:r>
        <w:rPr>
          <w:rFonts w:ascii="Times New Roman" w:hAnsi="Times New Roman" w:cs="Times New Roman"/>
          <w:b w:val="0"/>
          <w:i w:val="0"/>
          <w:sz w:val="22"/>
        </w:rPr>
        <w:t>- Reputation score (TRI) — dynamic 0–1000 score for every tenant, updated after each dispute resolution, influencing financing rates, inspection frequency, and trading privileges. The score is private — only the tenant sees their own full breakdown; counterparties see only a summarised trust badge (for example, "Advanced Trusted").</w:t>
      </w:r>
    </w:p>
    <w:p>
      <w:pPr>
        <w:spacing w:after="80" w:line="293" w:lineRule="auto"/>
        <w:jc w:val="left"/>
      </w:pPr>
      <w:r>
        <w:rPr>
          <w:rFonts w:ascii="Times New Roman" w:hAnsi="Times New Roman" w:cs="Times New Roman"/>
          <w:b w:val="0"/>
          <w:i w:val="0"/>
          <w:sz w:val="22"/>
        </w:rPr>
        <w:t>The dispute module is not a marketplace — it never suggests alternative counterparties or service providers. It provides a neutral, structured, AI-assisted mediation environment that helps the existing parties resolve their disagreement efficiently.</w:t>
      </w:r>
    </w:p>
    <w:p>
      <w:pPr>
        <w:keepNext/>
        <w:spacing w:before="240" w:after="100"/>
        <w:outlineLvl w:val="1"/>
      </w:pPr>
      <w:r>
        <w:rPr>
          <w:rFonts w:ascii="Arial" w:hAnsi="Arial" w:cs="Arial"/>
          <w:b/>
          <w:i w:val="0"/>
          <w:color w:val="2E528F"/>
          <w:sz w:val="26"/>
        </w:rPr>
        <w:t>14.2 Distressed Cargo (Phase 7)</w:t>
      </w:r>
    </w:p>
    <w:p>
      <w:pPr>
        <w:keepNext/>
        <w:spacing w:before="180" w:after="80"/>
        <w:outlineLvl w:val="2"/>
      </w:pPr>
      <w:r>
        <w:rPr>
          <w:rFonts w:ascii="Arial" w:hAnsi="Arial" w:cs="Arial"/>
          <w:b/>
          <w:i w:val="0"/>
          <w:color w:val="333333"/>
          <w:sz w:val="23"/>
        </w:rPr>
        <w:t>14.2.1 Phase 7 Goal</w:t>
      </w:r>
    </w:p>
    <w:p>
      <w:pPr>
        <w:spacing w:after="80" w:line="293" w:lineRule="auto"/>
        <w:jc w:val="left"/>
      </w:pPr>
      <w:r>
        <w:rPr>
          <w:rFonts w:ascii="Times New Roman" w:hAnsi="Times New Roman" w:cs="Times New Roman"/>
          <w:b w:val="0"/>
          <w:i w:val="0"/>
          <w:sz w:val="22"/>
        </w:rPr>
        <w:t>When cargo becomes distressed (physically damaged, abandoned, delayed beyond shelf life, or subject to demurrage), the platform provides a structured resolution workflow. The distressed cargo owner can declare distress, receive AI-assessed condition and pricing, and resolve the lot via sale, compliant disposal, or insurance claim. The distressed marketplace mechanics operate without a marketplace: outreach goes only to the seller's own saved contacts, never to a public listing.</w:t>
      </w:r>
    </w:p>
    <w:p>
      <w:pPr>
        <w:keepNext/>
        <w:spacing w:before="180" w:after="80"/>
        <w:outlineLvl w:val="2"/>
      </w:pPr>
      <w:r>
        <w:rPr>
          <w:rFonts w:ascii="Arial" w:hAnsi="Arial" w:cs="Arial"/>
          <w:b/>
          <w:i w:val="0"/>
          <w:color w:val="333333"/>
          <w:sz w:val="23"/>
        </w:rPr>
        <w:t>14.2.2 Proactive Demurrage &amp; Delay Alert (Pre-Distress) — Advisory</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the system monitors port, customs, and container free-time data. When demurrage risk is detected (for example, free time expires in 48 hours), a Smart Inbox alert (priority 80) is sent. Example alert:</w:t>
      </w:r>
    </w:p>
    <w:p>
      <w:pPr>
        <w:spacing w:after="0" w:before="0" w:line="240" w:lineRule="auto"/>
        <w:ind w:left="57"/>
        <w:jc w:val="left"/>
        <w:shd w:val="clear" w:fill="F2F2F2"/>
      </w:pPr>
      <w:r>
        <w:rPr>
          <w:rFonts w:ascii="Consolas" w:hAnsi="Consolas" w:cs="Consolas"/>
          <w:b w:val="0"/>
          <w:i w:val="0"/>
          <w:sz w:val="15"/>
        </w:rPr>
        <w:t>Demurrage charges will start in 48h. Estimated charge $50/day.</w:t>
      </w:r>
    </w:p>
    <w:p>
      <w:pPr>
        <w:spacing w:after="0" w:before="0" w:line="240" w:lineRule="auto"/>
        <w:ind w:left="57"/>
        <w:jc w:val="left"/>
        <w:shd w:val="clear" w:fill="F2F2F2"/>
      </w:pPr>
      <w:r>
        <w:rPr>
          <w:rFonts w:ascii="Consolas" w:hAnsi="Consolas" w:cs="Consolas"/>
          <w:b w:val="0"/>
          <w:i w:val="0"/>
          <w:sz w:val="15"/>
        </w:rPr>
        <w:t>Consider releasing cargo or declaring it distressed.</w:t>
      </w:r>
    </w:p>
    <w:p>
      <w:pPr>
        <w:spacing w:after="0" w:before="0" w:line="240" w:lineRule="auto"/>
        <w:ind w:left="57"/>
        <w:jc w:val="left"/>
        <w:shd w:val="clear" w:fill="F2F2F2"/>
      </w:pPr>
      <w:r>
        <w:rPr>
          <w:rFonts w:ascii="Consolas" w:hAnsi="Consolas" w:cs="Consolas"/>
          <w:b w:val="0"/>
          <w:i w:val="0"/>
          <w:sz w:val="15"/>
        </w:rPr>
        <w:t>[View Shipment] [Declare Distressed]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14.2.3 Declaration of Distressed Cargo — One Click</w:t>
      </w:r>
    </w:p>
    <w:p>
      <w:pPr>
        <w:spacing w:after="80" w:line="293" w:lineRule="auto"/>
        <w:jc w:val="left"/>
      </w:pPr>
      <w:r>
        <w:rPr>
          <w:rFonts w:ascii="Times New Roman" w:hAnsi="Times New Roman" w:cs="Times New Roman"/>
          <w:b w:val="0"/>
          <w:i w:val="0"/>
          <w:sz w:val="22"/>
        </w:rPr>
        <w:t>Seller action: from the Distressed Cargo &amp; Notifications tab, click "Declare Distressed" — one click opens the declaration form.</w:t>
      </w:r>
    </w:p>
    <w:p>
      <w:pPr>
        <w:spacing w:after="80" w:line="293" w:lineRule="auto"/>
        <w:jc w:val="left"/>
      </w:pPr>
      <w:r>
        <w:rPr>
          <w:rFonts w:ascii="Times New Roman" w:hAnsi="Times New Roman" w:cs="Times New Roman"/>
          <w:b w:val="0"/>
          <w:i w:val="0"/>
          <w:sz w:val="22"/>
        </w:rPr>
        <w:t>Declaration form:</w:t>
      </w:r>
    </w:p>
    <w:p>
      <w:pPr>
        <w:spacing w:after="80" w:line="293" w:lineRule="auto"/>
        <w:ind w:left="283"/>
        <w:jc w:val="left"/>
      </w:pPr>
      <w:r>
        <w:rPr>
          <w:rFonts w:ascii="Times New Roman" w:hAnsi="Times New Roman" w:cs="Times New Roman"/>
          <w:b w:val="0"/>
          <w:i w:val="0"/>
          <w:sz w:val="22"/>
        </w:rPr>
        <w:t>- Select affected pallets/containers (from the packing plan, multi-select)</w:t>
      </w:r>
    </w:p>
    <w:p>
      <w:pPr>
        <w:spacing w:after="80" w:line="293" w:lineRule="auto"/>
        <w:ind w:left="283"/>
        <w:jc w:val="left"/>
      </w:pPr>
      <w:r>
        <w:rPr>
          <w:rFonts w:ascii="Times New Roman" w:hAnsi="Times New Roman" w:cs="Times New Roman"/>
          <w:b w:val="0"/>
          <w:i w:val="0"/>
          <w:sz w:val="22"/>
        </w:rPr>
        <w:t>- Describe condition (free text, minimum 10 characters)</w:t>
      </w:r>
    </w:p>
    <w:p>
      <w:pPr>
        <w:spacing w:after="80" w:line="293" w:lineRule="auto"/>
        <w:ind w:left="283"/>
        <w:jc w:val="left"/>
      </w:pPr>
      <w:r>
        <w:rPr>
          <w:rFonts w:ascii="Times New Roman" w:hAnsi="Times New Roman" w:cs="Times New Roman"/>
          <w:b w:val="0"/>
          <w:i w:val="0"/>
          <w:sz w:val="22"/>
        </w:rPr>
        <w:t>- Upload photos (optional but recommended for AI assessment)</w:t>
      </w:r>
    </w:p>
    <w:p>
      <w:pPr>
        <w:spacing w:after="80" w:line="293" w:lineRule="auto"/>
        <w:ind w:left="283"/>
        <w:jc w:val="left"/>
      </w:pPr>
      <w:r>
        <w:rPr>
          <w:rFonts w:ascii="Times New Roman" w:hAnsi="Times New Roman" w:cs="Times New Roman"/>
          <w:b w:val="0"/>
          <w:i w:val="0"/>
          <w:sz w:val="22"/>
        </w:rPr>
        <w:t>- Choose distress reason: Damage, Quality deterioration, Shelf life expired, Abandonment, Demurrage, Other</w:t>
      </w:r>
    </w:p>
    <w:p>
      <w:pPr>
        <w:spacing w:after="80" w:line="293" w:lineRule="auto"/>
        <w:jc w:val="left"/>
      </w:pPr>
      <w:r>
        <w:rPr>
          <w:rFonts w:ascii="Times New Roman" w:hAnsi="Times New Roman" w:cs="Times New Roman"/>
          <w:b w:val="0"/>
          <w:i w:val="0"/>
          <w:sz w:val="22"/>
        </w:rPr>
        <w:t>Voice command (A1): "Pallet LEM003 has mould, mark as distressed."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Endpoint</w:t>
            </w:r>
          </w:p>
        </w:tc>
        <w:tc>
          <w:tcPr>
            <w:tcW w:type="dxa" w:w="4819"/>
            <w:shd w:val="clear" w:fill="D9E2F3"/>
          </w:tcPr>
          <w:p>
            <w:pPr>
              <w:spacing w:after="20" w:before="20" w:line="240" w:lineRule="auto"/>
            </w:pPr>
            <w:r/>
            <w:r>
              <w:rPr>
                <w:rFonts w:ascii="Arial" w:hAnsi="Arial" w:cs="Arial"/>
                <w:b/>
                <w:i w:val="0"/>
                <w:sz w:val="18"/>
              </w:rPr>
              <w:t>Purpose</w:t>
            </w:r>
          </w:p>
        </w:tc>
      </w:tr>
      <w:tr>
        <w:tc>
          <w:tcPr>
            <w:tcW w:type="dxa" w:w="4819"/>
          </w:tcPr>
          <w:p>
            <w:pPr>
              <w:spacing w:after="20" w:before="20" w:line="240" w:lineRule="auto"/>
            </w:pPr>
            <w:r/>
            <w:r>
              <w:rPr>
                <w:rFonts w:ascii="Arial" w:hAnsi="Arial" w:cs="Arial"/>
                <w:b w:val="0"/>
                <w:i w:val="0"/>
                <w:sz w:val="17"/>
              </w:rPr>
              <w:t>POST /v1/distressed/declare</w:t>
            </w:r>
          </w:p>
        </w:tc>
        <w:tc>
          <w:tcPr>
            <w:tcW w:type="dxa" w:w="4819"/>
          </w:tcPr>
          <w:p>
            <w:pPr>
              <w:spacing w:after="20" w:before="20" w:line="240" w:lineRule="auto"/>
            </w:pPr>
            <w:r/>
            <w:r>
              <w:rPr>
                <w:rFonts w:ascii="Arial" w:hAnsi="Arial" w:cs="Arial"/>
                <w:b w:val="0"/>
                <w:i w:val="0"/>
                <w:sz w:val="17"/>
              </w:rPr>
              <w:t>Declare distressed cargo (condition + photos)</w:t>
            </w:r>
          </w:p>
        </w:tc>
      </w:tr>
      <w:tr>
        <w:tc>
          <w:tcPr>
            <w:tcW w:type="dxa" w:w="4819"/>
          </w:tcPr>
          <w:p>
            <w:pPr>
              <w:spacing w:after="20" w:before="20" w:line="240" w:lineRule="auto"/>
            </w:pPr>
            <w:r/>
            <w:r>
              <w:rPr>
                <w:rFonts w:ascii="Arial" w:hAnsi="Arial" w:cs="Arial"/>
                <w:b w:val="0"/>
                <w:i w:val="0"/>
                <w:sz w:val="17"/>
              </w:rPr>
              <w:t>GET /v1/distressed/listing/{id}</w:t>
            </w:r>
          </w:p>
        </w:tc>
        <w:tc>
          <w:tcPr>
            <w:tcW w:type="dxa" w:w="4819"/>
          </w:tcPr>
          <w:p>
            <w:pPr>
              <w:spacing w:after="20" w:before="20" w:line="240" w:lineRule="auto"/>
            </w:pPr>
            <w:r/>
            <w:r>
              <w:rPr>
                <w:rFonts w:ascii="Arial" w:hAnsi="Arial" w:cs="Arial"/>
                <w:b w:val="0"/>
                <w:i w:val="0"/>
                <w:sz w:val="17"/>
              </w:rPr>
              <w:t>Listing detail</w:t>
            </w:r>
          </w:p>
        </w:tc>
      </w:tr>
      <w:tr>
        <w:tc>
          <w:tcPr>
            <w:tcW w:type="dxa" w:w="4819"/>
          </w:tcPr>
          <w:p>
            <w:pPr>
              <w:spacing w:after="20" w:before="20" w:line="240" w:lineRule="auto"/>
            </w:pPr>
            <w:r/>
            <w:r>
              <w:rPr>
                <w:rFonts w:ascii="Arial" w:hAnsi="Arial" w:cs="Arial"/>
                <w:b w:val="0"/>
                <w:i w:val="0"/>
                <w:sz w:val="17"/>
              </w:rPr>
              <w:t>POST /v1/distressed/offer</w:t>
            </w:r>
          </w:p>
        </w:tc>
        <w:tc>
          <w:tcPr>
            <w:tcW w:type="dxa" w:w="4819"/>
          </w:tcPr>
          <w:p>
            <w:pPr>
              <w:spacing w:after="20" w:before="20" w:line="240" w:lineRule="auto"/>
            </w:pPr>
            <w:r/>
            <w:r>
              <w:rPr>
                <w:rFonts w:ascii="Arial" w:hAnsi="Arial" w:cs="Arial"/>
                <w:b w:val="0"/>
                <w:i w:val="0"/>
                <w:sz w:val="17"/>
              </w:rPr>
              <w:t>Submit buyer offer</w:t>
            </w:r>
          </w:p>
        </w:tc>
      </w:tr>
      <w:tr>
        <w:tc>
          <w:tcPr>
            <w:tcW w:type="dxa" w:w="4819"/>
          </w:tcPr>
          <w:p>
            <w:pPr>
              <w:spacing w:after="20" w:before="20" w:line="240" w:lineRule="auto"/>
            </w:pPr>
            <w:r/>
            <w:r>
              <w:rPr>
                <w:rFonts w:ascii="Arial" w:hAnsi="Arial" w:cs="Arial"/>
                <w:b w:val="0"/>
                <w:i w:val="0"/>
                <w:sz w:val="17"/>
              </w:rPr>
              <w:t>POST /v1/distressed/microcontract/lock</w:t>
            </w:r>
          </w:p>
        </w:tc>
        <w:tc>
          <w:tcPr>
            <w:tcW w:type="dxa" w:w="4819"/>
          </w:tcPr>
          <w:p>
            <w:pPr>
              <w:spacing w:after="20" w:before="20" w:line="240" w:lineRule="auto"/>
            </w:pPr>
            <w:r/>
            <w:r>
              <w:rPr>
                <w:rFonts w:ascii="Arial" w:hAnsi="Arial" w:cs="Arial"/>
                <w:b w:val="0"/>
                <w:i w:val="0"/>
                <w:sz w:val="17"/>
              </w:rPr>
              <w:t>Lock micro-contract (MicroUSTN)</w:t>
            </w:r>
          </w:p>
        </w:tc>
      </w:tr>
      <w:tr>
        <w:tc>
          <w:tcPr>
            <w:tcW w:type="dxa" w:w="4819"/>
          </w:tcPr>
          <w:p>
            <w:pPr>
              <w:spacing w:after="20" w:before="20" w:line="240" w:lineRule="auto"/>
            </w:pPr>
            <w:r/>
            <w:r>
              <w:rPr>
                <w:rFonts w:ascii="Arial" w:hAnsi="Arial" w:cs="Arial"/>
                <w:b w:val="0"/>
                <w:i w:val="0"/>
                <w:sz w:val="17"/>
              </w:rPr>
              <w:t>POST /v1/distressed/outreach/standard</w:t>
            </w:r>
          </w:p>
        </w:tc>
        <w:tc>
          <w:tcPr>
            <w:tcW w:type="dxa" w:w="4819"/>
          </w:tcPr>
          <w:p>
            <w:pPr>
              <w:spacing w:after="20" w:before="20" w:line="240" w:lineRule="auto"/>
            </w:pPr>
            <w:r/>
            <w:r>
              <w:rPr>
                <w:rFonts w:ascii="Arial" w:hAnsi="Arial" w:cs="Arial"/>
                <w:b w:val="0"/>
                <w:i w:val="0"/>
                <w:sz w:val="17"/>
              </w:rPr>
              <w:t>Standard outreach to saved contacts</w:t>
            </w:r>
          </w:p>
        </w:tc>
      </w:tr>
      <w:tr>
        <w:tc>
          <w:tcPr>
            <w:tcW w:type="dxa" w:w="4819"/>
          </w:tcPr>
          <w:p>
            <w:pPr>
              <w:spacing w:after="20" w:before="20" w:line="240" w:lineRule="auto"/>
            </w:pPr>
            <w:r/>
            <w:r>
              <w:rPr>
                <w:rFonts w:ascii="Arial" w:hAnsi="Arial" w:cs="Arial"/>
                <w:b w:val="0"/>
                <w:i w:val="0"/>
                <w:sz w:val="17"/>
              </w:rPr>
              <w:t>POST /v1/distressed/outreach/accelerated</w:t>
            </w:r>
          </w:p>
        </w:tc>
        <w:tc>
          <w:tcPr>
            <w:tcW w:type="dxa" w:w="4819"/>
          </w:tcPr>
          <w:p>
            <w:pPr>
              <w:spacing w:after="20" w:before="20" w:line="240" w:lineRule="auto"/>
            </w:pPr>
            <w:r/>
            <w:r>
              <w:rPr>
                <w:rFonts w:ascii="Arial" w:hAnsi="Arial" w:cs="Arial"/>
                <w:b w:val="0"/>
                <w:i w:val="0"/>
                <w:sz w:val="17"/>
              </w:rPr>
              <w:t>Accelerated outreach</w:t>
            </w:r>
          </w:p>
        </w:tc>
      </w:tr>
      <w:tr>
        <w:tc>
          <w:tcPr>
            <w:tcW w:type="dxa" w:w="4819"/>
          </w:tcPr>
          <w:p>
            <w:pPr>
              <w:spacing w:after="20" w:before="20" w:line="240" w:lineRule="auto"/>
            </w:pPr>
            <w:r/>
            <w:r>
              <w:rPr>
                <w:rFonts w:ascii="Arial" w:hAnsi="Arial" w:cs="Arial"/>
                <w:b w:val="0"/>
                <w:i w:val="0"/>
                <w:sz w:val="17"/>
              </w:rPr>
              <w:t>POST /v1/distressed/insurance/package</w:t>
            </w:r>
          </w:p>
        </w:tc>
        <w:tc>
          <w:tcPr>
            <w:tcW w:type="dxa" w:w="4819"/>
          </w:tcPr>
          <w:p>
            <w:pPr>
              <w:spacing w:after="20" w:before="20" w:line="240" w:lineRule="auto"/>
            </w:pPr>
            <w:r/>
            <w:r>
              <w:rPr>
                <w:rFonts w:ascii="Arial" w:hAnsi="Arial" w:cs="Arial"/>
                <w:b w:val="0"/>
                <w:i w:val="0"/>
                <w:sz w:val="17"/>
              </w:rPr>
              <w:t>Insurance claim evidence package</w:t>
            </w:r>
          </w:p>
        </w:tc>
      </w:tr>
      <w:tr>
        <w:tc>
          <w:tcPr>
            <w:tcW w:type="dxa" w:w="4819"/>
          </w:tcPr>
          <w:p>
            <w:pPr>
              <w:spacing w:after="20" w:before="20" w:line="240" w:lineRule="auto"/>
            </w:pPr>
            <w:r/>
            <w:r>
              <w:rPr>
                <w:rFonts w:ascii="Arial" w:hAnsi="Arial" w:cs="Arial"/>
                <w:b w:val="0"/>
                <w:i w:val="0"/>
                <w:sz w:val="17"/>
              </w:rPr>
              <w:t>GET /v1/distressed/{id}/command-center</w:t>
            </w:r>
          </w:p>
        </w:tc>
        <w:tc>
          <w:tcPr>
            <w:tcW w:type="dxa" w:w="4819"/>
          </w:tcPr>
          <w:p>
            <w:pPr>
              <w:spacing w:after="20" w:before="20" w:line="240" w:lineRule="auto"/>
            </w:pPr>
            <w:r/>
            <w:r>
              <w:rPr>
                <w:rFonts w:ascii="Arial" w:hAnsi="Arial" w:cs="Arial"/>
                <w:b w:val="0"/>
                <w:i w:val="0"/>
                <w:sz w:val="17"/>
              </w:rPr>
              <w:t>Distressed context for TCC</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14.2.4 AI Condition Assessment — Automatic (A2, HF ViT)</w:t>
      </w:r>
    </w:p>
    <w:p>
      <w:pPr>
        <w:spacing w:after="80" w:line="293" w:lineRule="auto"/>
        <w:jc w:val="left"/>
      </w:pPr>
      <w:r>
        <w:rPr>
          <w:rFonts w:ascii="Times New Roman" w:hAnsi="Times New Roman" w:cs="Times New Roman"/>
          <w:b/>
          <w:i w:val="0"/>
          <w:sz w:val="22"/>
        </w:rPr>
        <w:t>Trigger:</w:t>
      </w:r>
      <w:r>
        <w:rPr>
          <w:rFonts w:ascii="Times New Roman" w:hAnsi="Times New Roman" w:cs="Times New Roman"/>
          <w:b w:val="0"/>
          <w:i w:val="0"/>
          <w:sz w:val="22"/>
        </w:rPr>
        <w:t xml:space="preserve"> when photos are uploaded, the Condition Assessment Agent runs automatically. HF ViT (Vision Transformer) analyses photos — detecting mould, crushing, colour change, moisture stains, and insect presence. It produces a condition score (0–100) per pallet and estimates remaining shelf life (if perishable) using cold-chain data. Output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"condition_score": 35,</w:t>
      </w:r>
    </w:p>
    <w:p>
      <w:pPr>
        <w:spacing w:after="0" w:before="0" w:line="240" w:lineRule="auto"/>
        <w:ind w:left="57"/>
        <w:jc w:val="left"/>
        <w:shd w:val="clear" w:fill="F2F2F2"/>
      </w:pPr>
      <w:r>
        <w:rPr>
          <w:rFonts w:ascii="Consolas" w:hAnsi="Consolas" w:cs="Consolas"/>
          <w:b w:val="0"/>
          <w:i w:val="0"/>
          <w:sz w:val="15"/>
        </w:rPr>
        <w:t xml:space="preserve">    "tags": ["mould_detected_92%", "crushed_cartons_78%"],</w:t>
      </w:r>
    </w:p>
    <w:p>
      <w:pPr>
        <w:spacing w:after="0" w:before="0" w:line="240" w:lineRule="auto"/>
        <w:ind w:left="57"/>
        <w:jc w:val="left"/>
        <w:shd w:val="clear" w:fill="F2F2F2"/>
      </w:pPr>
      <w:r>
        <w:rPr>
          <w:rFonts w:ascii="Consolas" w:hAnsi="Consolas" w:cs="Consolas"/>
          <w:b w:val="0"/>
          <w:i w:val="0"/>
          <w:sz w:val="15"/>
        </w:rPr>
        <w:t xml:space="preserve">    "remaining_shelf_life_days": 5,</w:t>
      </w:r>
    </w:p>
    <w:p>
      <w:pPr>
        <w:spacing w:after="0" w:before="0" w:line="240" w:lineRule="auto"/>
        <w:ind w:left="57"/>
        <w:jc w:val="left"/>
        <w:shd w:val="clear" w:fill="F2F2F2"/>
      </w:pPr>
      <w:r>
        <w:rPr>
          <w:rFonts w:ascii="Consolas" w:hAnsi="Consolas" w:cs="Consolas"/>
          <w:b w:val="0"/>
          <w:i w:val="0"/>
          <w:sz w:val="15"/>
        </w:rPr>
        <w:t xml:space="preserve">    "confidence": 0.88</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14.2.5 Dynamic AI Pricing Engine — Automatic (A2, XGBoost)</w:t>
      </w:r>
    </w:p>
    <w:p>
      <w:pPr>
        <w:spacing w:after="80" w:line="293" w:lineRule="auto"/>
        <w:jc w:val="left"/>
      </w:pPr>
      <w:r>
        <w:rPr>
          <w:rFonts w:ascii="Times New Roman" w:hAnsi="Times New Roman" w:cs="Times New Roman"/>
          <w:b w:val="0"/>
          <w:i w:val="0"/>
          <w:sz w:val="22"/>
        </w:rPr>
        <w:t>Input features: original contract value of the affected goods; AI condition score; remaining shelf life; current commodity price index (FAO, scraped); destination demand; buyer urgency. Output: a suggested price range and a recommended listing price. Groq (A1) generates the business explanation.</w:t>
      </w:r>
    </w:p>
    <w:p>
      <w:pPr>
        <w:keepNext/>
        <w:spacing w:before="180" w:after="80"/>
        <w:outlineLvl w:val="2"/>
      </w:pPr>
      <w:r>
        <w:rPr>
          <w:rFonts w:ascii="Arial" w:hAnsi="Arial" w:cs="Arial"/>
          <w:b/>
          <w:i w:val="0"/>
          <w:color w:val="333333"/>
          <w:sz w:val="23"/>
        </w:rPr>
        <w:t>14.2.6 Distressed Cargo Triage Dashboard — Three Paths (One Click Each)</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Path</w:t>
            </w:r>
          </w:p>
        </w:tc>
        <w:tc>
          <w:tcPr>
            <w:tcW w:type="dxa" w:w="4819"/>
            <w:shd w:val="clear" w:fill="D9E2F3"/>
          </w:tcPr>
          <w:p>
            <w:pPr>
              <w:spacing w:after="20" w:before="20" w:line="240" w:lineRule="auto"/>
            </w:pPr>
            <w:r/>
            <w:r>
              <w:rPr>
                <w:rFonts w:ascii="Arial" w:hAnsi="Arial" w:cs="Arial"/>
                <w:b/>
                <w:i w:val="0"/>
                <w:sz w:val="18"/>
              </w:rPr>
              <w:t>Mechanism</w:t>
            </w:r>
          </w:p>
        </w:tc>
      </w:tr>
      <w:tr>
        <w:tc>
          <w:tcPr>
            <w:tcW w:type="dxa" w:w="4819"/>
          </w:tcPr>
          <w:p>
            <w:pPr>
              <w:spacing w:after="20" w:before="20" w:line="240" w:lineRule="auto"/>
            </w:pPr>
            <w:r/>
            <w:r>
              <w:rPr>
                <w:rFonts w:ascii="Arial" w:hAnsi="Arial" w:cs="Arial"/>
                <w:b w:val="0"/>
                <w:i w:val="0"/>
                <w:sz w:val="17"/>
              </w:rPr>
              <w:t>Sell Quickly</w:t>
            </w:r>
          </w:p>
        </w:tc>
        <w:tc>
          <w:tcPr>
            <w:tcW w:type="dxa" w:w="4819"/>
          </w:tcPr>
          <w:p>
            <w:pPr>
              <w:spacing w:after="20" w:before="20" w:line="240" w:lineRule="auto"/>
            </w:pPr>
            <w:r/>
            <w:r>
              <w:rPr>
                <w:rFonts w:ascii="Arial" w:hAnsi="Arial" w:cs="Arial"/>
                <w:b w:val="0"/>
                <w:i w:val="0"/>
                <w:sz w:val="17"/>
              </w:rPr>
              <w:t>Accelerated Outreach to saved contacts</w:t>
            </w:r>
          </w:p>
        </w:tc>
      </w:tr>
      <w:tr>
        <w:tc>
          <w:tcPr>
            <w:tcW w:type="dxa" w:w="4819"/>
          </w:tcPr>
          <w:p>
            <w:pPr>
              <w:spacing w:after="20" w:before="20" w:line="240" w:lineRule="auto"/>
            </w:pPr>
            <w:r/>
            <w:r>
              <w:rPr>
                <w:rFonts w:ascii="Arial" w:hAnsi="Arial" w:cs="Arial"/>
                <w:b w:val="0"/>
                <w:i w:val="0"/>
                <w:sz w:val="17"/>
              </w:rPr>
              <w:t>Comply with Local Law</w:t>
            </w:r>
          </w:p>
        </w:tc>
        <w:tc>
          <w:tcPr>
            <w:tcW w:type="dxa" w:w="4819"/>
          </w:tcPr>
          <w:p>
            <w:pPr>
              <w:spacing w:after="20" w:before="20" w:line="240" w:lineRule="auto"/>
            </w:pPr>
            <w:r/>
            <w:r>
              <w:rPr>
                <w:rFonts w:ascii="Arial" w:hAnsi="Arial" w:cs="Arial"/>
                <w:b w:val="0"/>
                <w:i w:val="0"/>
                <w:sz w:val="17"/>
              </w:rPr>
              <w:t>Jurisdiction Compliance Assistant</w:t>
            </w:r>
          </w:p>
        </w:tc>
      </w:tr>
      <w:tr>
        <w:tc>
          <w:tcPr>
            <w:tcW w:type="dxa" w:w="4819"/>
          </w:tcPr>
          <w:p>
            <w:pPr>
              <w:spacing w:after="20" w:before="20" w:line="240" w:lineRule="auto"/>
            </w:pPr>
            <w:r/>
            <w:r>
              <w:rPr>
                <w:rFonts w:ascii="Arial" w:hAnsi="Arial" w:cs="Arial"/>
                <w:b w:val="0"/>
                <w:i w:val="0"/>
                <w:sz w:val="17"/>
              </w:rPr>
              <w:t>File Insurance Claim</w:t>
            </w:r>
          </w:p>
        </w:tc>
        <w:tc>
          <w:tcPr>
            <w:tcW w:type="dxa" w:w="4819"/>
          </w:tcPr>
          <w:p>
            <w:pPr>
              <w:spacing w:after="20" w:before="20" w:line="240" w:lineRule="auto"/>
            </w:pPr>
            <w:r/>
            <w:r>
              <w:rPr>
                <w:rFonts w:ascii="Arial" w:hAnsi="Arial" w:cs="Arial"/>
                <w:b w:val="0"/>
                <w:i w:val="0"/>
                <w:sz w:val="17"/>
              </w:rPr>
              <w:t>Evidence Package Compiler</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14.2.7 "Check Buyers" Advisory — One Click (No Notifications Sent)</w:t>
      </w:r>
    </w:p>
    <w:p>
      <w:pPr>
        <w:spacing w:after="80" w:line="293" w:lineRule="auto"/>
        <w:jc w:val="left"/>
      </w:pPr>
      <w:r>
        <w:rPr>
          <w:rFonts w:ascii="Times New Roman" w:hAnsi="Times New Roman" w:cs="Times New Roman"/>
          <w:b w:val="0"/>
          <w:i w:val="0"/>
          <w:sz w:val="22"/>
        </w:rPr>
        <w:t>Seller action: before initiating any outreach, the seller clicks "Check Buyers" — one click. A modal displays eligible saved contacts, ranked by: past distressed purchase success; trust score; location proximity; response time. The ranking composite score is computed by A2 (LightGBM). The seller selects buyers manually — no notifications are sent by clicking "Check Buyers".</w:t>
      </w:r>
    </w:p>
    <w:p>
      <w:pPr>
        <w:keepNext/>
        <w:spacing w:before="180" w:after="80"/>
        <w:outlineLvl w:val="2"/>
      </w:pPr>
      <w:r>
        <w:rPr>
          <w:rFonts w:ascii="Arial" w:hAnsi="Arial" w:cs="Arial"/>
          <w:b/>
          <w:i w:val="0"/>
          <w:color w:val="333333"/>
          <w:sz w:val="23"/>
        </w:rPr>
        <w:t>14.2.8 Partial Distress &amp; USTN Splitting (MicroUSTN) — Automatic</w:t>
      </w:r>
    </w:p>
    <w:p>
      <w:pPr>
        <w:spacing w:after="80" w:line="293" w:lineRule="auto"/>
        <w:jc w:val="left"/>
      </w:pPr>
      <w:r>
        <w:rPr>
          <w:rFonts w:ascii="Times New Roman" w:hAnsi="Times New Roman" w:cs="Times New Roman"/>
          <w:b w:val="0"/>
          <w:i w:val="0"/>
          <w:sz w:val="22"/>
        </w:rPr>
        <w:t>If only part of a shipment is distressed, the system automatically generates a microUSTN for the distressed pallets. The microUSTN uses the same format as the USTN with a parent link to the original USTN and its own lifecycle (Section 5). Example:</w:t>
      </w:r>
    </w:p>
    <w:p>
      <w:pPr>
        <w:spacing w:after="0" w:before="0" w:line="240" w:lineRule="auto"/>
        <w:ind w:left="57"/>
        <w:jc w:val="left"/>
        <w:shd w:val="clear" w:fill="F2F2F2"/>
      </w:pPr>
      <w:r>
        <w:rPr>
          <w:rFonts w:ascii="Consolas" w:hAnsi="Consolas" w:cs="Consolas"/>
          <w:b w:val="0"/>
          <w:i w:val="0"/>
          <w:sz w:val="15"/>
        </w:rPr>
        <w:t>Original USTN: SGTX-EG-26-F3A-1</w:t>
      </w:r>
    </w:p>
    <w:p>
      <w:pPr>
        <w:spacing w:after="0" w:before="0" w:line="240" w:lineRule="auto"/>
        <w:ind w:left="57"/>
        <w:jc w:val="left"/>
        <w:shd w:val="clear" w:fill="F2F2F2"/>
      </w:pPr>
      <w:r>
        <w:rPr>
          <w:rFonts w:ascii="Consolas" w:hAnsi="Consolas" w:cs="Consolas"/>
          <w:b w:val="0"/>
          <w:i w:val="0"/>
          <w:sz w:val="15"/>
        </w:rPr>
        <w:t>MicroUSTN:     SGTX-1397F3A-456ABC-20260420150000-D4E5F6G7</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14.2.9 Accelerated Outreach Mode — With Privacy Notice Opt-In</w:t>
      </w:r>
    </w:p>
    <w:p>
      <w:pPr>
        <w:spacing w:after="80" w:line="293" w:lineRule="auto"/>
        <w:jc w:val="left"/>
      </w:pPr>
      <w:r>
        <w:rPr>
          <w:rFonts w:ascii="Times New Roman" w:hAnsi="Times New Roman" w:cs="Times New Roman"/>
          <w:b w:val="0"/>
          <w:i w:val="0"/>
          <w:sz w:val="22"/>
        </w:rPr>
        <w:t>Seller action: after selecting buyers, the seller clicks "Start Accelerated Outreach" — one click.</w:t>
      </w:r>
    </w:p>
    <w:p>
      <w:pPr>
        <w:spacing w:after="80" w:line="293" w:lineRule="auto"/>
        <w:jc w:val="left"/>
      </w:pPr>
      <w:r>
        <w:rPr>
          <w:rFonts w:ascii="Times New Roman" w:hAnsi="Times New Roman" w:cs="Times New Roman"/>
          <w:b w:val="0"/>
          <w:i w:val="0"/>
          <w:sz w:val="22"/>
        </w:rPr>
        <w:t>Mandatory privacy notice modal:</w:t>
      </w:r>
    </w:p>
    <w:p>
      <w:pPr>
        <w:spacing w:after="0" w:before="0" w:line="240" w:lineRule="auto"/>
        <w:ind w:left="57"/>
        <w:jc w:val="left"/>
        <w:shd w:val="clear" w:fill="F2F2F2"/>
      </w:pPr>
      <w:r>
        <w:rPr>
          <w:rFonts w:ascii="Consolas" w:hAnsi="Consolas" w:cs="Consolas"/>
          <w:b w:val="0"/>
          <w:i w:val="0"/>
          <w:sz w:val="15"/>
        </w:rPr>
        <w:t>You are about to initiate Accelerated Outreach for the distressed lot [description].</w:t>
      </w:r>
    </w:p>
    <w:p>
      <w:pPr>
        <w:spacing w:after="0" w:before="0" w:line="240" w:lineRule="auto"/>
        <w:ind w:left="57"/>
        <w:jc w:val="left"/>
        <w:shd w:val="clear" w:fill="F2F2F2"/>
      </w:pPr>
      <w:r>
        <w:rPr>
          <w:rFonts w:ascii="Consolas" w:hAnsi="Consolas" w:cs="Consolas"/>
          <w:b w:val="0"/>
          <w:i w:val="0"/>
          <w:sz w:val="15"/>
        </w:rPr>
        <w:t>The following contacts will be notified simultaneously: [list of names].</w:t>
      </w:r>
    </w:p>
    <w:p>
      <w:pPr>
        <w:spacing w:after="0" w:before="0" w:line="240" w:lineRule="auto"/>
        <w:ind w:left="57"/>
        <w:jc w:val="left"/>
        <w:shd w:val="clear" w:fill="F2F2F2"/>
      </w:pPr>
      <w:r>
        <w:rPr>
          <w:rFonts w:ascii="Consolas" w:hAnsi="Consolas" w:cs="Consolas"/>
          <w:b w:val="0"/>
          <w:i w:val="0"/>
          <w:sz w:val="15"/>
        </w:rPr>
        <w:t>The notification will include: the product, quantity, condition score, asking price,</w:t>
      </w:r>
    </w:p>
    <w:p>
      <w:pPr>
        <w:spacing w:after="0" w:before="0" w:line="240" w:lineRule="auto"/>
        <w:ind w:left="57"/>
        <w:jc w:val="left"/>
        <w:shd w:val="clear" w:fill="F2F2F2"/>
      </w:pPr>
      <w:r>
        <w:rPr>
          <w:rFonts w:ascii="Consolas" w:hAnsi="Consolas" w:cs="Consolas"/>
          <w:b w:val="0"/>
          <w:i w:val="0"/>
          <w:sz w:val="15"/>
        </w:rPr>
        <w:t>and your company name. Recipients will know your identity.</w:t>
      </w:r>
    </w:p>
    <w:p>
      <w:pPr>
        <w:spacing w:after="0" w:before="0" w:line="240" w:lineRule="auto"/>
        <w:ind w:left="57"/>
        <w:jc w:val="left"/>
        <w:shd w:val="clear" w:fill="F2F2F2"/>
      </w:pPr>
      <w:r>
        <w:rPr>
          <w:rFonts w:ascii="Consolas" w:hAnsi="Consolas" w:cs="Consolas"/>
          <w:b w:val="0"/>
          <w:i w:val="0"/>
          <w:sz w:val="15"/>
        </w:rPr>
        <w:t>Do you want to proceed?  [Yes, start outreach] [No, go back]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Outreach parameters:</w:t>
      </w:r>
    </w:p>
    <w:p>
      <w:pPr>
        <w:spacing w:after="80" w:line="293" w:lineRule="auto"/>
        <w:ind w:left="283"/>
        <w:jc w:val="left"/>
      </w:pPr>
      <w:r>
        <w:rPr>
          <w:rFonts w:ascii="Times New Roman" w:hAnsi="Times New Roman" w:cs="Times New Roman"/>
          <w:b w:val="0"/>
          <w:i w:val="0"/>
          <w:sz w:val="22"/>
        </w:rPr>
        <w:t>- Outreach window — 2–24 hours, default 6h</w:t>
      </w:r>
    </w:p>
    <w:p>
      <w:pPr>
        <w:spacing w:after="80" w:line="293" w:lineRule="auto"/>
        <w:ind w:left="283"/>
        <w:jc w:val="left"/>
      </w:pPr>
      <w:r>
        <w:rPr>
          <w:rFonts w:ascii="Times New Roman" w:hAnsi="Times New Roman" w:cs="Times New Roman"/>
          <w:b w:val="0"/>
          <w:i w:val="0"/>
          <w:sz w:val="22"/>
        </w:rPr>
        <w:t>- Floor price — hard minimum, never disclosed to recipients; default 70% of asking price</w:t>
      </w:r>
    </w:p>
    <w:p>
      <w:pPr>
        <w:spacing w:after="80" w:line="293" w:lineRule="auto"/>
        <w:ind w:left="283"/>
        <w:jc w:val="left"/>
      </w:pPr>
      <w:r>
        <w:rPr>
          <w:rFonts w:ascii="Times New Roman" w:hAnsi="Times New Roman" w:cs="Times New Roman"/>
          <w:b w:val="0"/>
          <w:i w:val="0"/>
          <w:sz w:val="22"/>
        </w:rPr>
        <w:t>- Notification method — Smart Inbox + email (co-branded: "Seller via SGTX")</w:t>
      </w:r>
    </w:p>
    <w:p>
      <w:pPr>
        <w:keepNext/>
        <w:spacing w:before="180" w:after="80"/>
        <w:outlineLvl w:val="2"/>
      </w:pPr>
      <w:r>
        <w:rPr>
          <w:rFonts w:ascii="Arial" w:hAnsi="Arial" w:cs="Arial"/>
          <w:b/>
          <w:i w:val="0"/>
          <w:color w:val="333333"/>
          <w:sz w:val="23"/>
        </w:rPr>
        <w:t>14.2.10 Microcontract &amp; Separate SGTX Fee — One Click to Lock</w:t>
      </w:r>
    </w:p>
    <w:p>
      <w:pPr>
        <w:spacing w:after="80" w:line="293" w:lineRule="auto"/>
        <w:jc w:val="left"/>
      </w:pPr>
      <w:r>
        <w:rPr>
          <w:rFonts w:ascii="Times New Roman" w:hAnsi="Times New Roman" w:cs="Times New Roman"/>
          <w:b w:val="0"/>
          <w:i w:val="0"/>
          <w:sz w:val="22"/>
        </w:rPr>
        <w:t>When an offer is accepted, the system automatically generates a microcontract with:</w:t>
      </w:r>
    </w:p>
    <w:p>
      <w:pPr>
        <w:spacing w:after="80" w:line="293" w:lineRule="auto"/>
        <w:ind w:left="283"/>
        <w:jc w:val="left"/>
      </w:pPr>
      <w:r>
        <w:rPr>
          <w:rFonts w:ascii="Times New Roman" w:hAnsi="Times New Roman" w:cs="Times New Roman"/>
          <w:b w:val="0"/>
          <w:i w:val="0"/>
          <w:sz w:val="22"/>
        </w:rPr>
        <w:t>- microUSTN</w:t>
      </w:r>
    </w:p>
    <w:p>
      <w:pPr>
        <w:spacing w:after="80" w:line="293" w:lineRule="auto"/>
        <w:ind w:left="283"/>
        <w:jc w:val="left"/>
      </w:pPr>
      <w:r>
        <w:rPr>
          <w:rFonts w:ascii="Times New Roman" w:hAnsi="Times New Roman" w:cs="Times New Roman"/>
          <w:b w:val="0"/>
          <w:i w:val="0"/>
          <w:sz w:val="22"/>
        </w:rPr>
        <w:t>- Buyer and seller (distressed cargo buyer)</w:t>
      </w:r>
    </w:p>
    <w:p>
      <w:pPr>
        <w:spacing w:after="80" w:line="293" w:lineRule="auto"/>
        <w:ind w:left="283"/>
        <w:jc w:val="left"/>
      </w:pPr>
      <w:r>
        <w:rPr>
          <w:rFonts w:ascii="Times New Roman" w:hAnsi="Times New Roman" w:cs="Times New Roman"/>
          <w:b w:val="0"/>
          <w:i w:val="0"/>
          <w:sz w:val="22"/>
        </w:rPr>
        <w:t>- Agreed price</w:t>
      </w:r>
    </w:p>
    <w:p>
      <w:pPr>
        <w:spacing w:after="80" w:line="293" w:lineRule="auto"/>
        <w:ind w:left="283"/>
        <w:jc w:val="left"/>
      </w:pPr>
      <w:r>
        <w:rPr>
          <w:rFonts w:ascii="Times New Roman" w:hAnsi="Times New Roman" w:cs="Times New Roman"/>
          <w:b w:val="0"/>
          <w:i w:val="0"/>
          <w:sz w:val="22"/>
        </w:rPr>
        <w:t>- Special distressed terms</w:t>
      </w:r>
    </w:p>
    <w:p>
      <w:pPr>
        <w:spacing w:after="80" w:line="293" w:lineRule="auto"/>
        <w:jc w:val="left"/>
      </w:pPr>
      <w:r>
        <w:rPr>
          <w:rFonts w:ascii="Times New Roman" w:hAnsi="Times New Roman" w:cs="Times New Roman"/>
          <w:b w:val="0"/>
          <w:i w:val="0"/>
          <w:sz w:val="22"/>
        </w:rPr>
        <w:t>SGTX fee for the distressed sale:</w:t>
      </w:r>
    </w:p>
    <w:p>
      <w:pPr>
        <w:spacing w:after="0" w:before="0" w:line="240" w:lineRule="auto"/>
        <w:ind w:left="57"/>
        <w:jc w:val="left"/>
        <w:shd w:val="clear" w:fill="F2F2F2"/>
      </w:pPr>
      <w:r>
        <w:rPr>
          <w:rFonts w:ascii="Consolas" w:hAnsi="Consolas" w:cs="Consolas"/>
          <w:b w:val="0"/>
          <w:i w:val="0"/>
          <w:sz w:val="15"/>
        </w:rPr>
        <w:t>Fee rate = engine-determined effective rate × distressed jurisdiction factor (from jurisdictions.distressed_country_factor)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engine effective rate 0.144% with UAE factor 0.85 → effective fee rate = 0.1224% (subject to the micro-trade policy, Section 9.27.21). The fee is paid by the seller upfront before microcontract lock.</w:t>
      </w:r>
    </w:p>
    <w:p>
      <w:pPr>
        <w:keepNext/>
        <w:spacing w:before="180" w:after="80"/>
        <w:outlineLvl w:val="2"/>
      </w:pPr>
      <w:r>
        <w:rPr>
          <w:rFonts w:ascii="Arial" w:hAnsi="Arial" w:cs="Arial"/>
          <w:b/>
          <w:i w:val="0"/>
          <w:color w:val="333333"/>
          <w:sz w:val="23"/>
        </w:rPr>
        <w:t>14.2.11 AI-Insurer Integration &amp; Claim Support (Path C)</w:t>
      </w:r>
    </w:p>
    <w:p>
      <w:pPr>
        <w:spacing w:after="80" w:line="293" w:lineRule="auto"/>
        <w:jc w:val="left"/>
      </w:pPr>
      <w:r>
        <w:rPr>
          <w:rFonts w:ascii="Times New Roman" w:hAnsi="Times New Roman" w:cs="Times New Roman"/>
          <w:b w:val="0"/>
          <w:i w:val="0"/>
          <w:sz w:val="22"/>
        </w:rPr>
        <w:t>Seller action: from the Triage Dashboard, click "File Insurance Claim" — one click. The system compiles the evidence package:</w:t>
      </w:r>
    </w:p>
    <w:p>
      <w:pPr>
        <w:spacing w:after="80" w:line="293" w:lineRule="auto"/>
        <w:ind w:left="283"/>
        <w:jc w:val="left"/>
      </w:pPr>
      <w:r>
        <w:rPr>
          <w:rFonts w:ascii="Times New Roman" w:hAnsi="Times New Roman" w:cs="Times New Roman"/>
          <w:b w:val="0"/>
          <w:i w:val="0"/>
          <w:sz w:val="22"/>
        </w:rPr>
        <w:t>- Original contract, invoice, packing list</w:t>
      </w:r>
    </w:p>
    <w:p>
      <w:pPr>
        <w:spacing w:after="80" w:line="293" w:lineRule="auto"/>
        <w:ind w:left="283"/>
        <w:jc w:val="left"/>
      </w:pPr>
      <w:r>
        <w:rPr>
          <w:rFonts w:ascii="Times New Roman" w:hAnsi="Times New Roman" w:cs="Times New Roman"/>
          <w:b w:val="0"/>
          <w:i w:val="0"/>
          <w:sz w:val="22"/>
        </w:rPr>
        <w:t>- All milestone logs</w:t>
      </w:r>
    </w:p>
    <w:p>
      <w:pPr>
        <w:spacing w:after="80" w:line="293" w:lineRule="auto"/>
        <w:ind w:left="283"/>
        <w:jc w:val="left"/>
      </w:pPr>
      <w:r>
        <w:rPr>
          <w:rFonts w:ascii="Times New Roman" w:hAnsi="Times New Roman" w:cs="Times New Roman"/>
          <w:b w:val="0"/>
          <w:i w:val="0"/>
          <w:sz w:val="22"/>
        </w:rPr>
        <w:t>- Sensor data (temperature excursions)</w:t>
      </w:r>
    </w:p>
    <w:p>
      <w:pPr>
        <w:spacing w:after="80" w:line="293" w:lineRule="auto"/>
        <w:ind w:left="283"/>
        <w:jc w:val="left"/>
      </w:pPr>
      <w:r>
        <w:rPr>
          <w:rFonts w:ascii="Times New Roman" w:hAnsi="Times New Roman" w:cs="Times New Roman"/>
          <w:b w:val="0"/>
          <w:i w:val="0"/>
          <w:sz w:val="22"/>
        </w:rPr>
        <w:t>- Photos with AI condition assessment</w:t>
      </w:r>
    </w:p>
    <w:p>
      <w:pPr>
        <w:spacing w:after="80" w:line="293" w:lineRule="auto"/>
        <w:ind w:left="283"/>
        <w:jc w:val="left"/>
      </w:pPr>
      <w:r>
        <w:rPr>
          <w:rFonts w:ascii="Times New Roman" w:hAnsi="Times New Roman" w:cs="Times New Roman"/>
          <w:b w:val="0"/>
          <w:i w:val="0"/>
          <w:sz w:val="22"/>
        </w:rPr>
        <w:t>- Distressed sale agreement (if sold) or market valuation</w:t>
      </w:r>
    </w:p>
    <w:p>
      <w:pPr>
        <w:spacing w:after="80" w:line="293" w:lineRule="auto"/>
        <w:ind w:left="283"/>
        <w:jc w:val="left"/>
      </w:pPr>
      <w:r>
        <w:rPr>
          <w:rFonts w:ascii="Times New Roman" w:hAnsi="Times New Roman" w:cs="Times New Roman"/>
          <w:b w:val="0"/>
          <w:i w:val="0"/>
          <w:sz w:val="22"/>
        </w:rPr>
        <w:t>- AI-generated claim narrative (A1, Groq)</w:t>
      </w:r>
    </w:p>
    <w:p>
      <w:pPr>
        <w:spacing w:after="80" w:line="293" w:lineRule="auto"/>
        <w:jc w:val="left"/>
      </w:pPr>
      <w:r>
        <w:rPr>
          <w:rFonts w:ascii="Times New Roman" w:hAnsi="Times New Roman" w:cs="Times New Roman"/>
          <w:b w:val="0"/>
          <w:i w:val="0"/>
          <w:sz w:val="22"/>
        </w:rPr>
        <w:t>One-click: click "Download Package" — a signed PDF ready for submission to the insurer.</w:t>
      </w:r>
    </w:p>
    <w:p>
      <w:pPr>
        <w:keepNext/>
        <w:spacing w:before="180" w:after="80"/>
        <w:outlineLvl w:val="2"/>
      </w:pPr>
      <w:r>
        <w:rPr>
          <w:rFonts w:ascii="Arial" w:hAnsi="Arial" w:cs="Arial"/>
          <w:b/>
          <w:i w:val="0"/>
          <w:color w:val="333333"/>
          <w:sz w:val="23"/>
        </w:rPr>
        <w:t>14.2.12 Distressed Cargo Implementation Checklist</w:t>
      </w:r>
    </w:p>
    <w:p>
      <w:pPr>
        <w:spacing w:after="80" w:line="293" w:lineRule="auto"/>
        <w:ind w:left="283"/>
        <w:jc w:val="left"/>
      </w:pPr>
      <w:r>
        <w:rPr>
          <w:rFonts w:ascii="Times New Roman" w:hAnsi="Times New Roman" w:cs="Times New Roman"/>
          <w:b w:val="0"/>
          <w:i w:val="0"/>
          <w:sz w:val="22"/>
        </w:rPr>
        <w:t>- Implement distressed declaration with photo upload and AI condition assessment.</w:t>
      </w:r>
    </w:p>
    <w:p>
      <w:pPr>
        <w:spacing w:after="80" w:line="293" w:lineRule="auto"/>
        <w:ind w:left="283"/>
        <w:jc w:val="left"/>
      </w:pPr>
      <w:r>
        <w:rPr>
          <w:rFonts w:ascii="Times New Roman" w:hAnsi="Times New Roman" w:cs="Times New Roman"/>
          <w:b w:val="0"/>
          <w:i w:val="0"/>
          <w:sz w:val="22"/>
        </w:rPr>
        <w:t>- Build the dynamic pricing engine (XGBoost).</w:t>
      </w:r>
    </w:p>
    <w:p>
      <w:pPr>
        <w:spacing w:after="80" w:line="293" w:lineRule="auto"/>
        <w:ind w:left="283"/>
        <w:jc w:val="left"/>
      </w:pPr>
      <w:r>
        <w:rPr>
          <w:rFonts w:ascii="Times New Roman" w:hAnsi="Times New Roman" w:cs="Times New Roman"/>
          <w:b w:val="0"/>
          <w:i w:val="0"/>
          <w:sz w:val="22"/>
        </w:rPr>
        <w:t>- Create the triage dashboard UI (three paths).</w:t>
      </w:r>
    </w:p>
    <w:p>
      <w:pPr>
        <w:spacing w:after="80" w:line="293" w:lineRule="auto"/>
        <w:ind w:left="283"/>
        <w:jc w:val="left"/>
      </w:pPr>
      <w:r>
        <w:rPr>
          <w:rFonts w:ascii="Times New Roman" w:hAnsi="Times New Roman" w:cs="Times New Roman"/>
          <w:b w:val="0"/>
          <w:i w:val="0"/>
          <w:sz w:val="22"/>
        </w:rPr>
        <w:t>- Add the "Check Buyers" advisory.</w:t>
      </w:r>
    </w:p>
    <w:p>
      <w:pPr>
        <w:spacing w:after="80" w:line="293" w:lineRule="auto"/>
        <w:ind w:left="283"/>
        <w:jc w:val="left"/>
      </w:pPr>
      <w:r>
        <w:rPr>
          <w:rFonts w:ascii="Times New Roman" w:hAnsi="Times New Roman" w:cs="Times New Roman"/>
          <w:b w:val="0"/>
          <w:i w:val="0"/>
          <w:sz w:val="22"/>
        </w:rPr>
        <w:t>- Implement accelerated outreach with the privacy notice.</w:t>
      </w:r>
    </w:p>
    <w:p>
      <w:pPr>
        <w:spacing w:after="80" w:line="293" w:lineRule="auto"/>
        <w:ind w:left="283"/>
        <w:jc w:val="left"/>
      </w:pPr>
      <w:r>
        <w:rPr>
          <w:rFonts w:ascii="Times New Roman" w:hAnsi="Times New Roman" w:cs="Times New Roman"/>
          <w:b w:val="0"/>
          <w:i w:val="0"/>
          <w:sz w:val="22"/>
        </w:rPr>
        <w:t>- Build microcontract creation with the separate SGTX fee.</w:t>
      </w:r>
    </w:p>
    <w:p>
      <w:pPr>
        <w:spacing w:after="80" w:line="293" w:lineRule="auto"/>
        <w:ind w:left="283"/>
        <w:jc w:val="left"/>
      </w:pPr>
      <w:r>
        <w:rPr>
          <w:rFonts w:ascii="Times New Roman" w:hAnsi="Times New Roman" w:cs="Times New Roman"/>
          <w:b w:val="0"/>
          <w:i w:val="0"/>
          <w:sz w:val="22"/>
        </w:rPr>
        <w:t>- Add the evidence compiler for the insurance claim path.</w:t>
      </w:r>
    </w:p>
    <w:p>
      <w:pPr>
        <w:keepNext/>
        <w:spacing w:before="240" w:after="100"/>
        <w:outlineLvl w:val="1"/>
      </w:pPr>
      <w:r>
        <w:rPr>
          <w:rFonts w:ascii="Arial" w:hAnsi="Arial" w:cs="Arial"/>
          <w:b/>
          <w:i w:val="0"/>
          <w:color w:val="2E528F"/>
          <w:sz w:val="26"/>
        </w:rPr>
        <w:t>14.3 Dispute Management (Phase 8)</w:t>
      </w:r>
    </w:p>
    <w:p>
      <w:pPr>
        <w:keepNext/>
        <w:spacing w:before="180" w:after="80"/>
        <w:outlineLvl w:val="2"/>
      </w:pPr>
      <w:r>
        <w:rPr>
          <w:rFonts w:ascii="Arial" w:hAnsi="Arial" w:cs="Arial"/>
          <w:b/>
          <w:i w:val="0"/>
          <w:color w:val="333333"/>
          <w:sz w:val="23"/>
        </w:rPr>
        <w:t>14.3.1 Dispute Categories &amp; Triggers</w:t>
      </w:r>
    </w:p>
    <w:p>
      <w:pPr>
        <w:spacing w:after="80" w:line="293" w:lineRule="auto"/>
        <w:jc w:val="left"/>
      </w:pPr>
      <w:r>
        <w:rPr>
          <w:rFonts w:ascii="Times New Roman" w:hAnsi="Times New Roman" w:cs="Times New Roman"/>
          <w:b w:val="0"/>
          <w:i w:val="0"/>
          <w:sz w:val="22"/>
        </w:rPr>
        <w:t>Categories: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Category</w:t>
            </w:r>
          </w:p>
        </w:tc>
        <w:tc>
          <w:tcPr>
            <w:tcW w:type="dxa" w:w="3213"/>
            <w:shd w:val="clear" w:fill="D9E2F3"/>
          </w:tcPr>
          <w:p>
            <w:pPr>
              <w:spacing w:after="20" w:before="20" w:line="240" w:lineRule="auto"/>
            </w:pPr>
            <w:r/>
            <w:r>
              <w:rPr>
                <w:rFonts w:ascii="Arial" w:hAnsi="Arial" w:cs="Arial"/>
                <w:b/>
                <w:i w:val="0"/>
                <w:sz w:val="18"/>
              </w:rPr>
              <w:t>Code</w:t>
            </w:r>
          </w:p>
        </w:tc>
        <w:tc>
          <w:tcPr>
            <w:tcW w:type="dxa" w:w="3213"/>
            <w:shd w:val="clear" w:fill="D9E2F3"/>
          </w:tcPr>
          <w:p>
            <w:pPr>
              <w:spacing w:after="20" w:before="20" w:line="240" w:lineRule="auto"/>
            </w:pPr>
            <w:r/>
            <w:r>
              <w:rPr>
                <w:rFonts w:ascii="Arial" w:hAnsi="Arial" w:cs="Arial"/>
                <w:b/>
                <w:i w:val="0"/>
                <w:sz w:val="18"/>
              </w:rPr>
              <w:t>Typical Trigger</w:t>
            </w:r>
          </w:p>
        </w:tc>
      </w:tr>
      <w:tr>
        <w:tc>
          <w:tcPr>
            <w:tcW w:type="dxa" w:w="3213"/>
          </w:tcPr>
          <w:p>
            <w:pPr>
              <w:spacing w:after="20" w:before="20" w:line="240" w:lineRule="auto"/>
            </w:pPr>
            <w:r/>
            <w:r>
              <w:rPr>
                <w:rFonts w:ascii="Arial" w:hAnsi="Arial" w:cs="Arial"/>
                <w:b w:val="0"/>
                <w:i w:val="0"/>
                <w:sz w:val="17"/>
              </w:rPr>
              <w:t>Quality</w:t>
            </w:r>
          </w:p>
        </w:tc>
        <w:tc>
          <w:tcPr>
            <w:tcW w:type="dxa" w:w="3213"/>
          </w:tcPr>
          <w:p>
            <w:pPr>
              <w:spacing w:after="20" w:before="20" w:line="240" w:lineRule="auto"/>
            </w:pPr>
            <w:r/>
            <w:r>
              <w:rPr>
                <w:rFonts w:ascii="Arial" w:hAnsi="Arial" w:cs="Arial"/>
                <w:b w:val="0"/>
                <w:i w:val="0"/>
                <w:sz w:val="17"/>
              </w:rPr>
              <w:t>QUALITY</w:t>
            </w:r>
          </w:p>
        </w:tc>
        <w:tc>
          <w:tcPr>
            <w:tcW w:type="dxa" w:w="3213"/>
          </w:tcPr>
          <w:p>
            <w:pPr>
              <w:spacing w:after="20" w:before="20" w:line="240" w:lineRule="auto"/>
            </w:pPr>
            <w:r/>
            <w:r>
              <w:rPr>
                <w:rFonts w:ascii="Arial" w:hAnsi="Arial" w:cs="Arial"/>
                <w:b w:val="0"/>
                <w:i w:val="0"/>
                <w:sz w:val="17"/>
              </w:rPr>
              <w:t>QC verdict FAIL or CONDITIONAL; damage at delivery</w:t>
            </w:r>
          </w:p>
        </w:tc>
      </w:tr>
      <w:tr>
        <w:tc>
          <w:tcPr>
            <w:tcW w:type="dxa" w:w="3213"/>
          </w:tcPr>
          <w:p>
            <w:pPr>
              <w:spacing w:after="20" w:before="20" w:line="240" w:lineRule="auto"/>
            </w:pPr>
            <w:r/>
            <w:r>
              <w:rPr>
                <w:rFonts w:ascii="Arial" w:hAnsi="Arial" w:cs="Arial"/>
                <w:b w:val="0"/>
                <w:i w:val="0"/>
                <w:sz w:val="17"/>
              </w:rPr>
              <w:t>Delay</w:t>
            </w:r>
          </w:p>
        </w:tc>
        <w:tc>
          <w:tcPr>
            <w:tcW w:type="dxa" w:w="3213"/>
          </w:tcPr>
          <w:p>
            <w:pPr>
              <w:spacing w:after="20" w:before="20" w:line="240" w:lineRule="auto"/>
            </w:pPr>
            <w:r/>
            <w:r>
              <w:rPr>
                <w:rFonts w:ascii="Arial" w:hAnsi="Arial" w:cs="Arial"/>
                <w:b w:val="0"/>
                <w:i w:val="0"/>
                <w:sz w:val="17"/>
              </w:rPr>
              <w:t>DELAY</w:t>
            </w:r>
          </w:p>
        </w:tc>
        <w:tc>
          <w:tcPr>
            <w:tcW w:type="dxa" w:w="3213"/>
          </w:tcPr>
          <w:p>
            <w:pPr>
              <w:spacing w:after="20" w:before="20" w:line="240" w:lineRule="auto"/>
            </w:pPr>
            <w:r/>
            <w:r>
              <w:rPr>
                <w:rFonts w:ascii="Arial" w:hAnsi="Arial" w:cs="Arial"/>
                <w:b w:val="0"/>
                <w:i w:val="0"/>
                <w:sz w:val="17"/>
              </w:rPr>
              <w:t>Milestone overdue beyond SLA</w:t>
            </w:r>
          </w:p>
        </w:tc>
      </w:tr>
      <w:tr>
        <w:tc>
          <w:tcPr>
            <w:tcW w:type="dxa" w:w="3213"/>
          </w:tcPr>
          <w:p>
            <w:pPr>
              <w:spacing w:after="20" w:before="20" w:line="240" w:lineRule="auto"/>
            </w:pPr>
            <w:r/>
            <w:r>
              <w:rPr>
                <w:rFonts w:ascii="Arial" w:hAnsi="Arial" w:cs="Arial"/>
                <w:b w:val="0"/>
                <w:i w:val="0"/>
                <w:sz w:val="17"/>
              </w:rPr>
              <w:t>Non-Payment</w:t>
            </w:r>
          </w:p>
        </w:tc>
        <w:tc>
          <w:tcPr>
            <w:tcW w:type="dxa" w:w="3213"/>
          </w:tcPr>
          <w:p>
            <w:pPr>
              <w:spacing w:after="20" w:before="20" w:line="240" w:lineRule="auto"/>
            </w:pPr>
            <w:r/>
            <w:r>
              <w:rPr>
                <w:rFonts w:ascii="Arial" w:hAnsi="Arial" w:cs="Arial"/>
                <w:b w:val="0"/>
                <w:i w:val="0"/>
                <w:sz w:val="17"/>
              </w:rPr>
              <w:t>NON_PAYMENT</w:t>
            </w:r>
          </w:p>
        </w:tc>
        <w:tc>
          <w:tcPr>
            <w:tcW w:type="dxa" w:w="3213"/>
          </w:tcPr>
          <w:p>
            <w:pPr>
              <w:spacing w:after="20" w:before="20" w:line="240" w:lineRule="auto"/>
            </w:pPr>
            <w:r/>
            <w:r>
              <w:rPr>
                <w:rFonts w:ascii="Arial" w:hAnsi="Arial" w:cs="Arial"/>
                <w:b w:val="0"/>
                <w:i w:val="0"/>
                <w:sz w:val="17"/>
              </w:rPr>
              <w:t>Settlement instruction unpaid past due date</w:t>
            </w:r>
          </w:p>
        </w:tc>
      </w:tr>
      <w:tr>
        <w:tc>
          <w:tcPr>
            <w:tcW w:type="dxa" w:w="3213"/>
          </w:tcPr>
          <w:p>
            <w:pPr>
              <w:spacing w:after="20" w:before="20" w:line="240" w:lineRule="auto"/>
            </w:pPr>
            <w:r/>
            <w:r>
              <w:rPr>
                <w:rFonts w:ascii="Arial" w:hAnsi="Arial" w:cs="Arial"/>
                <w:b w:val="0"/>
                <w:i w:val="0"/>
                <w:sz w:val="17"/>
              </w:rPr>
              <w:t>Documentation Fraud</w:t>
            </w:r>
          </w:p>
        </w:tc>
        <w:tc>
          <w:tcPr>
            <w:tcW w:type="dxa" w:w="3213"/>
          </w:tcPr>
          <w:p>
            <w:pPr>
              <w:spacing w:after="20" w:before="20" w:line="240" w:lineRule="auto"/>
            </w:pPr>
            <w:r/>
            <w:r>
              <w:rPr>
                <w:rFonts w:ascii="Arial" w:hAnsi="Arial" w:cs="Arial"/>
                <w:b w:val="0"/>
                <w:i w:val="0"/>
                <w:sz w:val="17"/>
              </w:rPr>
              <w:t>DOCUMENTATION_FRAUD</w:t>
            </w:r>
          </w:p>
        </w:tc>
        <w:tc>
          <w:tcPr>
            <w:tcW w:type="dxa" w:w="3213"/>
          </w:tcPr>
          <w:p>
            <w:pPr>
              <w:spacing w:after="20" w:before="20" w:line="240" w:lineRule="auto"/>
            </w:pPr>
            <w:r/>
            <w:r>
              <w:rPr>
                <w:rFonts w:ascii="Arial" w:hAnsi="Arial" w:cs="Arial"/>
                <w:b w:val="0"/>
                <w:i w:val="0"/>
                <w:sz w:val="17"/>
              </w:rPr>
              <w:t>Document authenticity flag raised</w:t>
            </w:r>
          </w:p>
        </w:tc>
      </w:tr>
      <w:tr>
        <w:tc>
          <w:tcPr>
            <w:tcW w:type="dxa" w:w="3213"/>
          </w:tcPr>
          <w:p>
            <w:pPr>
              <w:spacing w:after="20" w:before="20" w:line="240" w:lineRule="auto"/>
            </w:pPr>
            <w:r/>
            <w:r>
              <w:rPr>
                <w:rFonts w:ascii="Arial" w:hAnsi="Arial" w:cs="Arial"/>
                <w:b w:val="0"/>
                <w:i w:val="0"/>
                <w:sz w:val="17"/>
              </w:rPr>
              <w:t>Cold Chain Failure</w:t>
            </w:r>
          </w:p>
        </w:tc>
        <w:tc>
          <w:tcPr>
            <w:tcW w:type="dxa" w:w="3213"/>
          </w:tcPr>
          <w:p>
            <w:pPr>
              <w:spacing w:after="20" w:before="20" w:line="240" w:lineRule="auto"/>
            </w:pPr>
            <w:r/>
            <w:r>
              <w:rPr>
                <w:rFonts w:ascii="Arial" w:hAnsi="Arial" w:cs="Arial"/>
                <w:b w:val="0"/>
                <w:i w:val="0"/>
                <w:sz w:val="17"/>
              </w:rPr>
              <w:t>COLD_CHAIN</w:t>
            </w:r>
          </w:p>
        </w:tc>
        <w:tc>
          <w:tcPr>
            <w:tcW w:type="dxa" w:w="3213"/>
          </w:tcPr>
          <w:p>
            <w:pPr>
              <w:spacing w:after="20" w:before="20" w:line="240" w:lineRule="auto"/>
            </w:pPr>
            <w:r/>
            <w:r>
              <w:rPr>
                <w:rFonts w:ascii="Arial" w:hAnsi="Arial" w:cs="Arial"/>
                <w:b w:val="0"/>
                <w:i w:val="0"/>
                <w:sz w:val="17"/>
              </w:rPr>
              <w:t>Temperature deviation &gt;5°C for &gt;2 hours</w:t>
            </w:r>
          </w:p>
        </w:tc>
      </w:tr>
      <w:tr>
        <w:tc>
          <w:tcPr>
            <w:tcW w:type="dxa" w:w="3213"/>
          </w:tcPr>
          <w:p>
            <w:pPr>
              <w:spacing w:after="20" w:before="20" w:line="240" w:lineRule="auto"/>
            </w:pPr>
            <w:r/>
            <w:r>
              <w:rPr>
                <w:rFonts w:ascii="Arial" w:hAnsi="Arial" w:cs="Arial"/>
                <w:b w:val="0"/>
                <w:i w:val="0"/>
                <w:sz w:val="17"/>
              </w:rPr>
              <w:t>Weight Shortage</w:t>
            </w:r>
          </w:p>
        </w:tc>
        <w:tc>
          <w:tcPr>
            <w:tcW w:type="dxa" w:w="3213"/>
          </w:tcPr>
          <w:p>
            <w:pPr>
              <w:spacing w:after="20" w:before="20" w:line="240" w:lineRule="auto"/>
            </w:pPr>
            <w:r/>
            <w:r>
              <w:rPr>
                <w:rFonts w:ascii="Arial" w:hAnsi="Arial" w:cs="Arial"/>
                <w:b w:val="0"/>
                <w:i w:val="0"/>
                <w:sz w:val="17"/>
              </w:rPr>
              <w:t>WEIGHT_SHORTAGE</w:t>
            </w:r>
          </w:p>
        </w:tc>
        <w:tc>
          <w:tcPr>
            <w:tcW w:type="dxa" w:w="3213"/>
          </w:tcPr>
          <w:p>
            <w:pPr>
              <w:spacing w:after="20" w:before="20" w:line="240" w:lineRule="auto"/>
            </w:pPr>
            <w:r/>
            <w:r>
              <w:rPr>
                <w:rFonts w:ascii="Arial" w:hAnsi="Arial" w:cs="Arial"/>
                <w:b w:val="0"/>
                <w:i w:val="0"/>
                <w:sz w:val="17"/>
              </w:rPr>
              <w:t>Received quantity outside contractual tolerance</w:t>
            </w:r>
          </w:p>
        </w:tc>
      </w:tr>
      <w:tr>
        <w:tc>
          <w:tcPr>
            <w:tcW w:type="dxa" w:w="3213"/>
          </w:tcPr>
          <w:p>
            <w:pPr>
              <w:spacing w:after="20" w:before="20" w:line="240" w:lineRule="auto"/>
            </w:pPr>
            <w:r/>
            <w:r>
              <w:rPr>
                <w:rFonts w:ascii="Arial" w:hAnsi="Arial" w:cs="Arial"/>
                <w:b w:val="0"/>
                <w:i w:val="0"/>
                <w:sz w:val="17"/>
              </w:rPr>
              <w:t>Service Quality</w:t>
            </w:r>
          </w:p>
        </w:tc>
        <w:tc>
          <w:tcPr>
            <w:tcW w:type="dxa" w:w="3213"/>
          </w:tcPr>
          <w:p>
            <w:pPr>
              <w:spacing w:after="20" w:before="20" w:line="240" w:lineRule="auto"/>
            </w:pPr>
            <w:r/>
            <w:r>
              <w:rPr>
                <w:rFonts w:ascii="Arial" w:hAnsi="Arial" w:cs="Arial"/>
                <w:b w:val="0"/>
                <w:i w:val="0"/>
                <w:sz w:val="17"/>
              </w:rPr>
              <w:t>SERVICE_QUALITY</w:t>
            </w:r>
          </w:p>
        </w:tc>
        <w:tc>
          <w:tcPr>
            <w:tcW w:type="dxa" w:w="3213"/>
          </w:tcPr>
          <w:p>
            <w:pPr>
              <w:spacing w:after="20" w:before="20" w:line="240" w:lineRule="auto"/>
            </w:pPr>
            <w:r/>
            <w:r>
              <w:rPr>
                <w:rFonts w:ascii="Arial" w:hAnsi="Arial" w:cs="Arial"/>
                <w:b w:val="0"/>
                <w:i w:val="0"/>
                <w:sz w:val="17"/>
              </w:rPr>
              <w:t>Broker, lab, or QC service below contracted standard</w:t>
            </w:r>
          </w:p>
        </w:tc>
      </w:tr>
      <w:tr>
        <w:tc>
          <w:tcPr>
            <w:tcW w:type="dxa" w:w="3213"/>
          </w:tcPr>
          <w:p>
            <w:pPr>
              <w:spacing w:after="20" w:before="20" w:line="240" w:lineRule="auto"/>
            </w:pPr>
            <w:r/>
            <w:r>
              <w:rPr>
                <w:rFonts w:ascii="Arial" w:hAnsi="Arial" w:cs="Arial"/>
                <w:b w:val="0"/>
                <w:i w:val="0"/>
                <w:sz w:val="17"/>
              </w:rPr>
              <w:t>Financing</w:t>
            </w:r>
          </w:p>
        </w:tc>
        <w:tc>
          <w:tcPr>
            <w:tcW w:type="dxa" w:w="3213"/>
          </w:tcPr>
          <w:p>
            <w:pPr>
              <w:spacing w:after="20" w:before="20" w:line="240" w:lineRule="auto"/>
            </w:pPr>
            <w:r/>
            <w:r>
              <w:rPr>
                <w:rFonts w:ascii="Arial" w:hAnsi="Arial" w:cs="Arial"/>
                <w:b w:val="0"/>
                <w:i w:val="0"/>
                <w:sz w:val="17"/>
              </w:rPr>
              <w:t>FINANCING</w:t>
            </w:r>
          </w:p>
        </w:tc>
        <w:tc>
          <w:tcPr>
            <w:tcW w:type="dxa" w:w="3213"/>
          </w:tcPr>
          <w:p>
            <w:pPr>
              <w:spacing w:after="20" w:before="20" w:line="240" w:lineRule="auto"/>
            </w:pPr>
            <w:r/>
            <w:r>
              <w:rPr>
                <w:rFonts w:ascii="Arial" w:hAnsi="Arial" w:cs="Arial"/>
                <w:b w:val="0"/>
                <w:i w:val="0"/>
                <w:sz w:val="17"/>
              </w:rPr>
              <w:t>Financing agreement performance disagreement</w:t>
            </w:r>
          </w:p>
        </w:tc>
      </w:tr>
      <w:tr>
        <w:tc>
          <w:tcPr>
            <w:tcW w:type="dxa" w:w="3213"/>
          </w:tcPr>
          <w:p>
            <w:pPr>
              <w:spacing w:after="20" w:before="20" w:line="240" w:lineRule="auto"/>
            </w:pPr>
            <w:r/>
            <w:r>
              <w:rPr>
                <w:rFonts w:ascii="Arial" w:hAnsi="Arial" w:cs="Arial"/>
                <w:b w:val="0"/>
                <w:i w:val="0"/>
                <w:sz w:val="17"/>
              </w:rPr>
              <w:t>SGTX Fee</w:t>
            </w:r>
          </w:p>
        </w:tc>
        <w:tc>
          <w:tcPr>
            <w:tcW w:type="dxa" w:w="3213"/>
          </w:tcPr>
          <w:p>
            <w:pPr>
              <w:spacing w:after="20" w:before="20" w:line="240" w:lineRule="auto"/>
            </w:pPr>
            <w:r/>
            <w:r>
              <w:rPr>
                <w:rFonts w:ascii="Arial" w:hAnsi="Arial" w:cs="Arial"/>
                <w:b w:val="0"/>
                <w:i w:val="0"/>
                <w:sz w:val="17"/>
              </w:rPr>
              <w:t>FEE_DISPUTE</w:t>
            </w:r>
          </w:p>
        </w:tc>
        <w:tc>
          <w:tcPr>
            <w:tcW w:type="dxa" w:w="3213"/>
          </w:tcPr>
          <w:p>
            <w:pPr>
              <w:spacing w:after="20" w:before="20" w:line="240" w:lineRule="auto"/>
            </w:pPr>
            <w:r/>
            <w:r>
              <w:rPr>
                <w:rFonts w:ascii="Arial" w:hAnsi="Arial" w:cs="Arial"/>
                <w:b w:val="0"/>
                <w:i w:val="0"/>
                <w:sz w:val="17"/>
              </w:rPr>
              <w:t>Fee calculation challenge (separate workflow)</w:t>
            </w:r>
          </w:p>
        </w:tc>
      </w:tr>
      <w:tr>
        <w:tc>
          <w:tcPr>
            <w:tcW w:type="dxa" w:w="3213"/>
          </w:tcPr>
          <w:p>
            <w:pPr>
              <w:spacing w:after="20" w:before="20" w:line="240" w:lineRule="auto"/>
            </w:pPr>
            <w:r/>
            <w:r>
              <w:rPr>
                <w:rFonts w:ascii="Arial" w:hAnsi="Arial" w:cs="Arial"/>
                <w:b w:val="0"/>
                <w:i w:val="0"/>
                <w:sz w:val="17"/>
              </w:rPr>
              <w:t>TRI Dispute</w:t>
            </w:r>
          </w:p>
        </w:tc>
        <w:tc>
          <w:tcPr>
            <w:tcW w:type="dxa" w:w="3213"/>
          </w:tcPr>
          <w:p>
            <w:pPr>
              <w:spacing w:after="20" w:before="20" w:line="240" w:lineRule="auto"/>
            </w:pPr>
            <w:r/>
            <w:r>
              <w:rPr>
                <w:rFonts w:ascii="Arial" w:hAnsi="Arial" w:cs="Arial"/>
                <w:b w:val="0"/>
                <w:i w:val="0"/>
                <w:sz w:val="17"/>
              </w:rPr>
              <w:t>TRI_DISPUTE</w:t>
            </w:r>
          </w:p>
        </w:tc>
        <w:tc>
          <w:tcPr>
            <w:tcW w:type="dxa" w:w="3213"/>
          </w:tcPr>
          <w:p>
            <w:pPr>
              <w:spacing w:after="20" w:before="20" w:line="240" w:lineRule="auto"/>
            </w:pPr>
            <w:r/>
            <w:r>
              <w:rPr>
                <w:rFonts w:ascii="Arial" w:hAnsi="Arial" w:cs="Arial"/>
                <w:b w:val="0"/>
                <w:i w:val="0"/>
                <w:sz w:val="17"/>
              </w:rPr>
              <w:t>TRI score calculation challenge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category determines which evidence is auto-compiled and which parties are notified. AI authority: A2 for anomaly detection; A1 for the advisory message.</w:t>
      </w:r>
    </w:p>
    <w:p>
      <w:pPr>
        <w:keepNext/>
        <w:spacing w:before="180" w:after="80"/>
        <w:outlineLvl w:val="2"/>
      </w:pPr>
      <w:r>
        <w:rPr>
          <w:rFonts w:ascii="Arial" w:hAnsi="Arial" w:cs="Arial"/>
          <w:b/>
          <w:i w:val="0"/>
          <w:color w:val="333333"/>
          <w:sz w:val="23"/>
        </w:rPr>
        <w:t>14.3.2 Dispute Filing — Step-by-Step</w:t>
      </w:r>
    </w:p>
    <w:p>
      <w:pPr>
        <w:spacing w:after="80" w:line="293" w:lineRule="auto"/>
        <w:jc w:val="left"/>
      </w:pPr>
      <w:r>
        <w:rPr>
          <w:rFonts w:ascii="Times New Roman" w:hAnsi="Times New Roman" w:cs="Times New Roman"/>
          <w:b w:val="0"/>
          <w:i w:val="0"/>
          <w:sz w:val="22"/>
        </w:rPr>
        <w:t>Manual filing (web or mobile).</w:t>
      </w:r>
    </w:p>
    <w:p>
      <w:pPr>
        <w:spacing w:after="80" w:line="293" w:lineRule="auto"/>
        <w:jc w:val="left"/>
      </w:pPr>
      <w:r>
        <w:rPr>
          <w:rFonts w:ascii="Times New Roman" w:hAnsi="Times New Roman" w:cs="Times New Roman"/>
          <w:b w:val="0"/>
          <w:i w:val="0"/>
          <w:sz w:val="22"/>
        </w:rPr>
        <w:t>Step 1 — Access the USTN: the user navigates to the Trade Command Center for the relevant USTN (or shipment USTN for multi-shipment, or financing agreement ID, or microUSTN for distressed) and clicks "Raise Dispute".</w:t>
      </w:r>
    </w:p>
    <w:p>
      <w:pPr>
        <w:spacing w:after="80" w:line="293" w:lineRule="auto"/>
        <w:jc w:val="left"/>
      </w:pPr>
      <w:r>
        <w:rPr>
          <w:rFonts w:ascii="Times New Roman" w:hAnsi="Times New Roman" w:cs="Times New Roman"/>
          <w:b w:val="0"/>
          <w:i w:val="0"/>
          <w:sz w:val="22"/>
        </w:rPr>
        <w:t>Step 2 — Select the category from the dropdown; the category determines auto-compiled evidence and notified parties.</w:t>
      </w:r>
    </w:p>
    <w:p>
      <w:pPr>
        <w:spacing w:after="80" w:line="293" w:lineRule="auto"/>
        <w:jc w:val="left"/>
      </w:pPr>
      <w:r>
        <w:rPr>
          <w:rFonts w:ascii="Times New Roman" w:hAnsi="Times New Roman" w:cs="Times New Roman"/>
          <w:b w:val="0"/>
          <w:i w:val="0"/>
          <w:sz w:val="22"/>
        </w:rPr>
        <w:t>Step 3 — Describe the breach in free text (minimum 10 characters). The system may pre-fill the description based on detected anomalies.</w:t>
      </w:r>
    </w:p>
    <w:p>
      <w:pPr>
        <w:spacing w:after="80" w:line="293" w:lineRule="auto"/>
        <w:jc w:val="left"/>
      </w:pPr>
      <w:r>
        <w:rPr>
          <w:rFonts w:ascii="Times New Roman" w:hAnsi="Times New Roman" w:cs="Times New Roman"/>
          <w:b w:val="0"/>
          <w:i w:val="0"/>
          <w:sz w:val="22"/>
        </w:rPr>
        <w:t>Step 4 — Attach evidence: photos, PDFs, or references to external reports. The system has already auto-compiled a base evidence package; the user can add more.</w:t>
      </w:r>
    </w:p>
    <w:p>
      <w:pPr>
        <w:spacing w:after="80" w:line="293" w:lineRule="auto"/>
        <w:jc w:val="left"/>
      </w:pPr>
      <w:r>
        <w:rPr>
          <w:rFonts w:ascii="Times New Roman" w:hAnsi="Times New Roman" w:cs="Times New Roman"/>
          <w:b w:val="0"/>
          <w:i w:val="0"/>
          <w:sz w:val="22"/>
        </w:rPr>
        <w:t>Step 5 — Specify the remedy sought, for example: "Full refund of $100,000", "Partial refund of $10,000", "Replace damaged pallets", "Extend payment terms by 30 days".</w:t>
      </w:r>
    </w:p>
    <w:p>
      <w:pPr>
        <w:spacing w:after="80" w:line="293" w:lineRule="auto"/>
        <w:jc w:val="left"/>
      </w:pPr>
      <w:r>
        <w:rPr>
          <w:rFonts w:ascii="Times New Roman" w:hAnsi="Times New Roman" w:cs="Times New Roman"/>
          <w:b w:val="0"/>
          <w:i w:val="0"/>
          <w:sz w:val="22"/>
        </w:rPr>
        <w:t>Step 6 — Submit. The Governor validates that the user has permission to file a dispute for that USTN. If ALLOW, the dispute is created with a unique dispute_id; the USTN status becomes DISPUTED; all pending payments are frozen and container release (if still at port) is blocked.</w:t>
      </w:r>
    </w:p>
    <w:p>
      <w:pPr>
        <w:spacing w:after="80" w:line="293" w:lineRule="auto"/>
        <w:jc w:val="left"/>
      </w:pPr>
      <w:r>
        <w:rPr>
          <w:rFonts w:ascii="Times New Roman" w:hAnsi="Times New Roman" w:cs="Times New Roman"/>
          <w:b w:val="0"/>
          <w:i w:val="0"/>
          <w:sz w:val="22"/>
        </w:rPr>
        <w:t>One-click: click "Submit Dispute" (1) → dispute created.</w:t>
      </w:r>
    </w:p>
    <w:p>
      <w:pPr>
        <w:spacing w:after="80" w:line="293" w:lineRule="auto"/>
        <w:jc w:val="left"/>
      </w:pPr>
      <w:r>
        <w:rPr>
          <w:rFonts w:ascii="Times New Roman" w:hAnsi="Times New Roman" w:cs="Times New Roman"/>
          <w:b w:val="0"/>
          <w:i w:val="0"/>
          <w:sz w:val="22"/>
        </w:rPr>
        <w:t>Voice-initiated filing (mobile app). The user speaks: "File dispute for USTN SGTX-... The oranges arrived with mould. I want $2,000 refund." Vosk transcribes → HF Mixtral extracts the USTN, category (QUALITY), and amount → the form is pre-filled → the user confirms → the dispute is filed. AI authority: A1 for voice transcription and intent extraction; A4 for Governor validation.</w:t>
      </w:r>
    </w:p>
    <w:p>
      <w:pPr>
        <w:spacing w:after="80" w:line="293" w:lineRule="auto"/>
        <w:jc w:val="left"/>
      </w:pPr>
      <w:r>
        <w:rPr>
          <w:rFonts w:ascii="Times New Roman" w:hAnsi="Times New Roman" w:cs="Times New Roman"/>
          <w:b w:val="0"/>
          <w:i w:val="0"/>
          <w:sz w:val="22"/>
        </w:rPr>
        <w:t>Automatic advisory dispute (system-triggered). The system detects an anomaly — for example, temperature deviation &gt;5°C for &gt;2 hours — and a Smart Inbox item appears: "Potential cold chain failure detected on USTN ... Click to file a dispute proactively." The buyer can accept (pre-filled form) or ignore. The system never automatically files; it only suggests. AI authority: A2 for anomaly detection (LSTM); A1 for the advisory message.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Endpoint</w:t>
            </w:r>
          </w:p>
        </w:tc>
        <w:tc>
          <w:tcPr>
            <w:tcW w:type="dxa" w:w="4819"/>
            <w:shd w:val="clear" w:fill="D9E2F3"/>
          </w:tcPr>
          <w:p>
            <w:pPr>
              <w:spacing w:after="20" w:before="20" w:line="240" w:lineRule="auto"/>
            </w:pPr>
            <w:r/>
            <w:r>
              <w:rPr>
                <w:rFonts w:ascii="Arial" w:hAnsi="Arial" w:cs="Arial"/>
                <w:b/>
                <w:i w:val="0"/>
                <w:sz w:val="18"/>
              </w:rPr>
              <w:t>Purpose</w:t>
            </w:r>
          </w:p>
        </w:tc>
      </w:tr>
      <w:tr>
        <w:tc>
          <w:tcPr>
            <w:tcW w:type="dxa" w:w="4819"/>
          </w:tcPr>
          <w:p>
            <w:pPr>
              <w:spacing w:after="20" w:before="20" w:line="240" w:lineRule="auto"/>
            </w:pPr>
            <w:r/>
            <w:r>
              <w:rPr>
                <w:rFonts w:ascii="Arial" w:hAnsi="Arial" w:cs="Arial"/>
                <w:b w:val="0"/>
                <w:i w:val="0"/>
                <w:sz w:val="17"/>
              </w:rPr>
              <w:t>POST /v1/dispute/file</w:t>
            </w:r>
          </w:p>
        </w:tc>
        <w:tc>
          <w:tcPr>
            <w:tcW w:type="dxa" w:w="4819"/>
          </w:tcPr>
          <w:p>
            <w:pPr>
              <w:spacing w:after="20" w:before="20" w:line="240" w:lineRule="auto"/>
            </w:pPr>
            <w:r/>
            <w:r>
              <w:rPr>
                <w:rFonts w:ascii="Arial" w:hAnsi="Arial" w:cs="Arial"/>
                <w:b w:val="0"/>
                <w:i w:val="0"/>
                <w:sz w:val="17"/>
              </w:rPr>
              <w:t>File dispute (category + description + remedy)</w:t>
            </w:r>
          </w:p>
        </w:tc>
      </w:tr>
      <w:tr>
        <w:tc>
          <w:tcPr>
            <w:tcW w:type="dxa" w:w="4819"/>
          </w:tcPr>
          <w:p>
            <w:pPr>
              <w:spacing w:after="20" w:before="20" w:line="240" w:lineRule="auto"/>
            </w:pPr>
            <w:r/>
            <w:r>
              <w:rPr>
                <w:rFonts w:ascii="Arial" w:hAnsi="Arial" w:cs="Arial"/>
                <w:b w:val="0"/>
                <w:i w:val="0"/>
                <w:sz w:val="17"/>
              </w:rPr>
              <w:t>POST /v1/dispute/tri</w:t>
            </w:r>
          </w:p>
        </w:tc>
        <w:tc>
          <w:tcPr>
            <w:tcW w:type="dxa" w:w="4819"/>
          </w:tcPr>
          <w:p>
            <w:pPr>
              <w:spacing w:after="20" w:before="20" w:line="240" w:lineRule="auto"/>
            </w:pPr>
            <w:r/>
            <w:r>
              <w:rPr>
                <w:rFonts w:ascii="Arial" w:hAnsi="Arial" w:cs="Arial"/>
                <w:b w:val="0"/>
                <w:i w:val="0"/>
                <w:sz w:val="17"/>
              </w:rPr>
              <w:t>File TRI dispute</w:t>
            </w:r>
          </w:p>
        </w:tc>
      </w:tr>
      <w:tr>
        <w:tc>
          <w:tcPr>
            <w:tcW w:type="dxa" w:w="4819"/>
          </w:tcPr>
          <w:p>
            <w:pPr>
              <w:spacing w:after="20" w:before="20" w:line="240" w:lineRule="auto"/>
            </w:pPr>
            <w:r/>
            <w:r>
              <w:rPr>
                <w:rFonts w:ascii="Arial" w:hAnsi="Arial" w:cs="Arial"/>
                <w:b w:val="0"/>
                <w:i w:val="0"/>
                <w:sz w:val="17"/>
              </w:rPr>
              <w:t>POST /v1/dispute/fee</w:t>
            </w:r>
          </w:p>
        </w:tc>
        <w:tc>
          <w:tcPr>
            <w:tcW w:type="dxa" w:w="4819"/>
          </w:tcPr>
          <w:p>
            <w:pPr>
              <w:spacing w:after="20" w:before="20" w:line="240" w:lineRule="auto"/>
            </w:pPr>
            <w:r/>
            <w:r>
              <w:rPr>
                <w:rFonts w:ascii="Arial" w:hAnsi="Arial" w:cs="Arial"/>
                <w:b w:val="0"/>
                <w:i w:val="0"/>
                <w:sz w:val="17"/>
              </w:rPr>
              <w:t>File SGTX fee dispute</w:t>
            </w:r>
          </w:p>
        </w:tc>
      </w:tr>
      <w:tr>
        <w:tc>
          <w:tcPr>
            <w:tcW w:type="dxa" w:w="4819"/>
          </w:tcPr>
          <w:p>
            <w:pPr>
              <w:spacing w:after="20" w:before="20" w:line="240" w:lineRule="auto"/>
            </w:pPr>
            <w:r/>
            <w:r>
              <w:rPr>
                <w:rFonts w:ascii="Arial" w:hAnsi="Arial" w:cs="Arial"/>
                <w:b w:val="0"/>
                <w:i w:val="0"/>
                <w:sz w:val="17"/>
              </w:rPr>
              <w:t>POST /v1/evidence/package</w:t>
            </w:r>
          </w:p>
        </w:tc>
        <w:tc>
          <w:tcPr>
            <w:tcW w:type="dxa" w:w="4819"/>
          </w:tcPr>
          <w:p>
            <w:pPr>
              <w:spacing w:after="20" w:before="20" w:line="240" w:lineRule="auto"/>
            </w:pPr>
            <w:r/>
            <w:r>
              <w:rPr>
                <w:rFonts w:ascii="Arial" w:hAnsi="Arial" w:cs="Arial"/>
                <w:b w:val="0"/>
                <w:i w:val="0"/>
                <w:sz w:val="17"/>
              </w:rPr>
              <w:t>Compile evidence package (Loom-hashed)</w:t>
            </w:r>
          </w:p>
        </w:tc>
      </w:tr>
      <w:tr>
        <w:tc>
          <w:tcPr>
            <w:tcW w:type="dxa" w:w="4819"/>
          </w:tcPr>
          <w:p>
            <w:pPr>
              <w:spacing w:after="20" w:before="20" w:line="240" w:lineRule="auto"/>
            </w:pPr>
            <w:r/>
            <w:r>
              <w:rPr>
                <w:rFonts w:ascii="Arial" w:hAnsi="Arial" w:cs="Arial"/>
                <w:b w:val="0"/>
                <w:i w:val="0"/>
                <w:sz w:val="17"/>
              </w:rPr>
              <w:t>POST /v1/dispute/expert/invite</w:t>
            </w:r>
          </w:p>
        </w:tc>
        <w:tc>
          <w:tcPr>
            <w:tcW w:type="dxa" w:w="4819"/>
          </w:tcPr>
          <w:p>
            <w:pPr>
              <w:spacing w:after="20" w:before="20" w:line="240" w:lineRule="auto"/>
            </w:pPr>
            <w:r/>
            <w:r>
              <w:rPr>
                <w:rFonts w:ascii="Arial" w:hAnsi="Arial" w:cs="Arial"/>
                <w:b w:val="0"/>
                <w:i w:val="0"/>
                <w:sz w:val="17"/>
              </w:rPr>
              <w:t>Invite third-party expert</w:t>
            </w:r>
          </w:p>
        </w:tc>
      </w:tr>
      <w:tr>
        <w:tc>
          <w:tcPr>
            <w:tcW w:type="dxa" w:w="4819"/>
          </w:tcPr>
          <w:p>
            <w:pPr>
              <w:spacing w:after="20" w:before="20" w:line="240" w:lineRule="auto"/>
            </w:pPr>
            <w:r/>
            <w:r>
              <w:rPr>
                <w:rFonts w:ascii="Arial" w:hAnsi="Arial" w:cs="Arial"/>
                <w:b w:val="0"/>
                <w:i w:val="0"/>
                <w:sz w:val="17"/>
              </w:rPr>
              <w:t>POST /v1/dispute/expert/opinion</w:t>
            </w:r>
          </w:p>
        </w:tc>
        <w:tc>
          <w:tcPr>
            <w:tcW w:type="dxa" w:w="4819"/>
          </w:tcPr>
          <w:p>
            <w:pPr>
              <w:spacing w:after="20" w:before="20" w:line="240" w:lineRule="auto"/>
            </w:pPr>
            <w:r/>
            <w:r>
              <w:rPr>
                <w:rFonts w:ascii="Arial" w:hAnsi="Arial" w:cs="Arial"/>
                <w:b w:val="0"/>
                <w:i w:val="0"/>
                <w:sz w:val="17"/>
              </w:rPr>
              <w:t>Post expert opinion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All endpoints require Governor-gated authentication.</w:t>
      </w:r>
    </w:p>
    <w:p>
      <w:pPr>
        <w:keepNext/>
        <w:spacing w:before="180" w:after="80"/>
        <w:outlineLvl w:val="2"/>
      </w:pPr>
      <w:r>
        <w:rPr>
          <w:rFonts w:ascii="Arial" w:hAnsi="Arial" w:cs="Arial"/>
          <w:b/>
          <w:i w:val="0"/>
          <w:color w:val="333333"/>
          <w:sz w:val="23"/>
        </w:rPr>
        <w:t>14.3.3 Evidence Autocompiler (Immediate &amp; On-Demand)</w:t>
      </w:r>
    </w:p>
    <w:p>
      <w:pPr>
        <w:spacing w:after="80" w:line="293" w:lineRule="auto"/>
        <w:jc w:val="left"/>
      </w:pPr>
      <w:r>
        <w:rPr>
          <w:rFonts w:ascii="Times New Roman" w:hAnsi="Times New Roman" w:cs="Times New Roman"/>
          <w:b w:val="0"/>
          <w:i w:val="0"/>
          <w:sz w:val="22"/>
        </w:rPr>
        <w:t>When a dispute is filed (or on demand), the evidence-compiler service (Rust) automatically gathers:</w:t>
      </w:r>
    </w:p>
    <w:p>
      <w:pPr>
        <w:spacing w:after="80" w:line="293" w:lineRule="auto"/>
        <w:ind w:left="283"/>
        <w:jc w:val="left"/>
      </w:pPr>
      <w:r>
        <w:rPr>
          <w:rFonts w:ascii="Times New Roman" w:hAnsi="Times New Roman" w:cs="Times New Roman"/>
          <w:b w:val="0"/>
          <w:i w:val="0"/>
          <w:sz w:val="22"/>
        </w:rPr>
        <w:t>- Trade and contract data</w:t>
      </w:r>
    </w:p>
    <w:p>
      <w:pPr>
        <w:spacing w:after="80" w:line="293" w:lineRule="auto"/>
        <w:ind w:left="283"/>
        <w:jc w:val="left"/>
      </w:pPr>
      <w:r>
        <w:rPr>
          <w:rFonts w:ascii="Times New Roman" w:hAnsi="Times New Roman" w:cs="Times New Roman"/>
          <w:b w:val="0"/>
          <w:i w:val="0"/>
          <w:sz w:val="22"/>
        </w:rPr>
        <w:t>- Shipment milestones</w:t>
      </w:r>
    </w:p>
    <w:p>
      <w:pPr>
        <w:spacing w:after="80" w:line="293" w:lineRule="auto"/>
        <w:ind w:left="283"/>
        <w:jc w:val="left"/>
      </w:pPr>
      <w:r>
        <w:rPr>
          <w:rFonts w:ascii="Times New Roman" w:hAnsi="Times New Roman" w:cs="Times New Roman"/>
          <w:b w:val="0"/>
          <w:i w:val="0"/>
          <w:sz w:val="22"/>
        </w:rPr>
        <w:t>- IoT sensor data</w:t>
      </w:r>
    </w:p>
    <w:p>
      <w:pPr>
        <w:spacing w:after="80" w:line="293" w:lineRule="auto"/>
        <w:ind w:left="283"/>
        <w:jc w:val="left"/>
      </w:pPr>
      <w:r>
        <w:rPr>
          <w:rFonts w:ascii="Times New Roman" w:hAnsi="Times New Roman" w:cs="Times New Roman"/>
          <w:b w:val="0"/>
          <w:i w:val="0"/>
          <w:sz w:val="22"/>
        </w:rPr>
        <w:t>- QC report (overrides with original AI confidence and the inspector's reason)</w:t>
      </w:r>
    </w:p>
    <w:p>
      <w:pPr>
        <w:spacing w:after="80" w:line="293" w:lineRule="auto"/>
        <w:ind w:left="283"/>
        <w:jc w:val="left"/>
      </w:pPr>
      <w:r>
        <w:rPr>
          <w:rFonts w:ascii="Times New Roman" w:hAnsi="Times New Roman" w:cs="Times New Roman"/>
          <w:b w:val="0"/>
          <w:i w:val="0"/>
          <w:sz w:val="22"/>
        </w:rPr>
        <w:t>- Laboratory results</w:t>
      </w:r>
    </w:p>
    <w:p>
      <w:pPr>
        <w:spacing w:after="80" w:line="293" w:lineRule="auto"/>
        <w:ind w:left="283"/>
        <w:jc w:val="left"/>
      </w:pPr>
      <w:r>
        <w:rPr>
          <w:rFonts w:ascii="Times New Roman" w:hAnsi="Times New Roman" w:cs="Times New Roman"/>
          <w:b w:val="0"/>
          <w:i w:val="0"/>
          <w:sz w:val="22"/>
        </w:rPr>
        <w:t>- Broker certification log</w:t>
      </w:r>
    </w:p>
    <w:p>
      <w:pPr>
        <w:spacing w:after="80" w:line="293" w:lineRule="auto"/>
        <w:ind w:left="283"/>
        <w:jc w:val="left"/>
      </w:pPr>
      <w:r>
        <w:rPr>
          <w:rFonts w:ascii="Times New Roman" w:hAnsi="Times New Roman" w:cs="Times New Roman"/>
          <w:b w:val="0"/>
          <w:i w:val="0"/>
          <w:sz w:val="22"/>
        </w:rPr>
        <w:t>- All documents with SHA-256 hashes</w:t>
      </w:r>
    </w:p>
    <w:p>
      <w:pPr>
        <w:spacing w:after="80" w:line="293" w:lineRule="auto"/>
        <w:ind w:left="283"/>
        <w:jc w:val="left"/>
      </w:pPr>
      <w:r>
        <w:rPr>
          <w:rFonts w:ascii="Times New Roman" w:hAnsi="Times New Roman" w:cs="Times New Roman"/>
          <w:b w:val="0"/>
          <w:i w:val="0"/>
          <w:sz w:val="22"/>
        </w:rPr>
        <w:t>- Communications</w:t>
      </w:r>
    </w:p>
    <w:p>
      <w:pPr>
        <w:spacing w:after="80" w:line="293" w:lineRule="auto"/>
        <w:ind w:left="283"/>
        <w:jc w:val="left"/>
      </w:pPr>
      <w:r>
        <w:rPr>
          <w:rFonts w:ascii="Times New Roman" w:hAnsi="Times New Roman" w:cs="Times New Roman"/>
          <w:b w:val="0"/>
          <w:i w:val="0"/>
          <w:sz w:val="22"/>
        </w:rPr>
        <w:t>- AI decisions</w:t>
      </w:r>
    </w:p>
    <w:p>
      <w:pPr>
        <w:spacing w:after="80" w:line="293" w:lineRule="auto"/>
        <w:ind w:left="283"/>
        <w:jc w:val="left"/>
      </w:pPr>
      <w:r>
        <w:rPr>
          <w:rFonts w:ascii="Times New Roman" w:hAnsi="Times New Roman" w:cs="Times New Roman"/>
          <w:b w:val="0"/>
          <w:i w:val="0"/>
          <w:sz w:val="22"/>
        </w:rPr>
        <w:t>- Payments</w:t>
      </w:r>
    </w:p>
    <w:p>
      <w:pPr>
        <w:spacing w:after="80" w:line="293" w:lineRule="auto"/>
        <w:ind w:left="283"/>
        <w:jc w:val="left"/>
      </w:pPr>
      <w:r>
        <w:rPr>
          <w:rFonts w:ascii="Times New Roman" w:hAnsi="Times New Roman" w:cs="Times New Roman"/>
          <w:b w:val="0"/>
          <w:i w:val="0"/>
          <w:sz w:val="22"/>
        </w:rPr>
        <w:t>- Causal analysis (if triggered)</w:t>
      </w:r>
    </w:p>
    <w:p>
      <w:pPr>
        <w:spacing w:after="80" w:line="293" w:lineRule="auto"/>
        <w:jc w:val="left"/>
      </w:pPr>
      <w:r>
        <w:rPr>
          <w:rFonts w:ascii="Times New Roman" w:hAnsi="Times New Roman" w:cs="Times New Roman"/>
          <w:b w:val="0"/>
          <w:i w:val="0"/>
          <w:sz w:val="22"/>
        </w:rPr>
        <w:t>The package is Loom-hashed and stored in `evidence_packages`. A verification token is generated for external auditors (courts, arbitrators) — a one-time UUID linked to the package. The holder can view the package (after authentication) but cannot modify it.</w:t>
      </w:r>
    </w:p>
    <w:p>
      <w:pPr>
        <w:spacing w:after="80" w:line="293" w:lineRule="auto"/>
        <w:jc w:val="left"/>
      </w:pPr>
      <w:r>
        <w:rPr>
          <w:rFonts w:ascii="Times New Roman" w:hAnsi="Times New Roman" w:cs="Times New Roman"/>
          <w:b w:val="0"/>
          <w:i w:val="0"/>
          <w:sz w:val="22"/>
        </w:rPr>
        <w:t>Both parties receive a Smart Inbox item: "Evidence package compiled for dispute DSP-xxx. [View Package]" — one click to view read-only, signed evidence. AI authority: A2 for evidence compilation and QC override flagging; A4 for Loom hashing.</w:t>
      </w:r>
    </w:p>
    <w:p>
      <w:pPr>
        <w:spacing w:after="80" w:line="293" w:lineRule="auto"/>
        <w:jc w:val="left"/>
      </w:pPr>
      <w:r>
        <w:rPr>
          <w:rFonts w:ascii="Times New Roman" w:hAnsi="Times New Roman" w:cs="Times New Roman"/>
          <w:b w:val="0"/>
          <w:i w:val="0"/>
          <w:sz w:val="22"/>
        </w:rPr>
        <w:t>Example evidence package for a quality dispute (mould):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"package_id": "EP-20260415-001",</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"dispute_id": "DSP-20260415-001",</w:t>
      </w:r>
    </w:p>
    <w:p>
      <w:pPr>
        <w:spacing w:after="0" w:before="0" w:line="240" w:lineRule="auto"/>
        <w:ind w:left="57"/>
        <w:jc w:val="left"/>
        <w:shd w:val="clear" w:fill="F2F2F2"/>
      </w:pPr>
      <w:r>
        <w:rPr>
          <w:rFonts w:ascii="Consolas" w:hAnsi="Consolas" w:cs="Consolas"/>
          <w:b w:val="0"/>
          <w:i w:val="0"/>
          <w:sz w:val="15"/>
        </w:rPr>
        <w:t xml:space="preserve">    "compiled_at": "2026-04-15T15:00:00Z",</w:t>
      </w:r>
    </w:p>
    <w:p>
      <w:pPr>
        <w:spacing w:after="0" w:before="0" w:line="240" w:lineRule="auto"/>
        <w:ind w:left="57"/>
        <w:jc w:val="left"/>
        <w:shd w:val="clear" w:fill="F2F2F2"/>
      </w:pPr>
      <w:r>
        <w:rPr>
          <w:rFonts w:ascii="Consolas" w:hAnsi="Consolas" w:cs="Consolas"/>
          <w:b w:val="0"/>
          <w:i w:val="0"/>
          <w:sz w:val="15"/>
        </w:rPr>
        <w:t xml:space="preserve">    "contents": {</w:t>
      </w:r>
    </w:p>
    <w:p>
      <w:pPr>
        <w:spacing w:after="0" w:before="0" w:line="240" w:lineRule="auto"/>
        <w:ind w:left="57"/>
        <w:jc w:val="left"/>
        <w:shd w:val="clear" w:fill="F2F2F2"/>
      </w:pPr>
      <w:r>
        <w:rPr>
          <w:rFonts w:ascii="Consolas" w:hAnsi="Consolas" w:cs="Consolas"/>
          <w:b w:val="0"/>
          <w:i w:val="0"/>
          <w:sz w:val="15"/>
        </w:rPr>
        <w:t xml:space="preserve">        "temperature_log": [</w:t>
      </w:r>
    </w:p>
    <w:p>
      <w:pPr>
        <w:spacing w:after="0" w:before="0" w:line="240" w:lineRule="auto"/>
        <w:ind w:left="57"/>
        <w:jc w:val="left"/>
        <w:shd w:val="clear" w:fill="F2F2F2"/>
      </w:pPr>
      <w:r>
        <w:rPr>
          <w:rFonts w:ascii="Consolas" w:hAnsi="Consolas" w:cs="Consolas"/>
          <w:b w:val="0"/>
          <w:i w:val="0"/>
          <w:sz w:val="15"/>
        </w:rPr>
        <w:t xml:space="preserve">            { "timestamp": "2026-04-14T08:00:00Z", "temperature_c": 5.2 },</w:t>
      </w:r>
    </w:p>
    <w:p>
      <w:pPr>
        <w:spacing w:after="0" w:before="0" w:line="240" w:lineRule="auto"/>
        <w:ind w:left="57"/>
        <w:jc w:val="left"/>
        <w:shd w:val="clear" w:fill="F2F2F2"/>
      </w:pPr>
      <w:r>
        <w:rPr>
          <w:rFonts w:ascii="Consolas" w:hAnsi="Consolas" w:cs="Consolas"/>
          <w:b w:val="0"/>
          <w:i w:val="0"/>
          <w:sz w:val="15"/>
        </w:rPr>
        <w:t xml:space="preserve">            { "timestamp": "2026-04-14T10:00:00Z", "temperature_c": -8.0 },</w:t>
      </w:r>
    </w:p>
    <w:p>
      <w:pPr>
        <w:spacing w:after="0" w:before="0" w:line="240" w:lineRule="auto"/>
        <w:ind w:left="57"/>
        <w:jc w:val="left"/>
        <w:shd w:val="clear" w:fill="F2F2F2"/>
      </w:pPr>
      <w:r>
        <w:rPr>
          <w:rFonts w:ascii="Consolas" w:hAnsi="Consolas" w:cs="Consolas"/>
          <w:b w:val="0"/>
          <w:i w:val="0"/>
          <w:sz w:val="15"/>
        </w:rPr>
        <w:t xml:space="preserve">            { "timestamp": "2026-04-14T12:00:00Z", "temperature_c": -8.5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"qc_report": {</w:t>
      </w:r>
    </w:p>
    <w:p>
      <w:pPr>
        <w:spacing w:after="0" w:before="0" w:line="240" w:lineRule="auto"/>
        <w:ind w:left="57"/>
        <w:jc w:val="left"/>
        <w:shd w:val="clear" w:fill="F2F2F2"/>
      </w:pPr>
      <w:r>
        <w:rPr>
          <w:rFonts w:ascii="Consolas" w:hAnsi="Consolas" w:cs="Consolas"/>
          <w:b w:val="0"/>
          <w:i w:val="0"/>
          <w:sz w:val="15"/>
        </w:rPr>
        <w:t xml:space="preserve">            "overrides":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"pallet_id": "OR020",</w:t>
      </w:r>
    </w:p>
    <w:p>
      <w:pPr>
        <w:spacing w:after="0" w:before="0" w:line="240" w:lineRule="auto"/>
        <w:ind w:left="57"/>
        <w:jc w:val="left"/>
        <w:shd w:val="clear" w:fill="F2F2F2"/>
      </w:pPr>
      <w:r>
        <w:rPr>
          <w:rFonts w:ascii="Consolas" w:hAnsi="Consolas" w:cs="Consolas"/>
          <w:b w:val="0"/>
          <w:i w:val="0"/>
          <w:sz w:val="15"/>
        </w:rPr>
        <w:t xml:space="preserve">                    "ai_defect": "mould",</w:t>
      </w:r>
    </w:p>
    <w:p>
      <w:pPr>
        <w:spacing w:after="0" w:before="0" w:line="240" w:lineRule="auto"/>
        <w:ind w:left="57"/>
        <w:jc w:val="left"/>
        <w:shd w:val="clear" w:fill="F2F2F2"/>
      </w:pPr>
      <w:r>
        <w:rPr>
          <w:rFonts w:ascii="Consolas" w:hAnsi="Consolas" w:cs="Consolas"/>
          <w:b w:val="0"/>
          <w:i w:val="0"/>
          <w:sz w:val="15"/>
        </w:rPr>
        <w:t xml:space="preserve">                    "ai_confidence": 88,</w:t>
      </w:r>
    </w:p>
    <w:p>
      <w:pPr>
        <w:spacing w:after="0" w:before="0" w:line="240" w:lineRule="auto"/>
        <w:ind w:left="57"/>
        <w:jc w:val="left"/>
        <w:shd w:val="clear" w:fill="F2F2F2"/>
      </w:pPr>
      <w:r>
        <w:rPr>
          <w:rFonts w:ascii="Consolas" w:hAnsi="Consolas" w:cs="Consolas"/>
          <w:b w:val="0"/>
          <w:i w:val="0"/>
          <w:sz w:val="15"/>
        </w:rPr>
        <w:t xml:space="preserve">                    "inspector_override": "bruising",</w:t>
      </w:r>
    </w:p>
    <w:p>
      <w:pPr>
        <w:spacing w:after="0" w:before="0" w:line="240" w:lineRule="auto"/>
        <w:ind w:left="57"/>
        <w:jc w:val="left"/>
        <w:shd w:val="clear" w:fill="F2F2F2"/>
      </w:pPr>
      <w:r>
        <w:rPr>
          <w:rFonts w:ascii="Consolas" w:hAnsi="Consolas" w:cs="Consolas"/>
          <w:b w:val="0"/>
          <w:i w:val="0"/>
          <w:sz w:val="15"/>
        </w:rPr>
        <w:t xml:space="preserve">                    "override_reason": "Dark spot is surface bruise, no mould.",</w:t>
      </w:r>
    </w:p>
    <w:p>
      <w:pPr>
        <w:spacing w:after="0" w:before="0" w:line="240" w:lineRule="auto"/>
        <w:ind w:left="57"/>
        <w:jc w:val="left"/>
        <w:shd w:val="clear" w:fill="F2F2F2"/>
      </w:pPr>
      <w:r>
        <w:rPr>
          <w:rFonts w:ascii="Consolas" w:hAnsi="Consolas" w:cs="Consolas"/>
          <w:b w:val="0"/>
          <w:i w:val="0"/>
          <w:sz w:val="15"/>
        </w:rPr>
        <w:t xml:space="preserve">                    "timestamp": "2026-04-14T14:30:00Z"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"lab_results": {</w:t>
      </w:r>
    </w:p>
    <w:p>
      <w:pPr>
        <w:spacing w:after="0" w:before="0" w:line="240" w:lineRule="auto"/>
        <w:ind w:left="57"/>
        <w:jc w:val="left"/>
        <w:shd w:val="clear" w:fill="F2F2F2"/>
      </w:pPr>
      <w:r>
        <w:rPr>
          <w:rFonts w:ascii="Consolas" w:hAnsi="Consolas" w:cs="Consolas"/>
          <w:b w:val="0"/>
          <w:i w:val="0"/>
          <w:sz w:val="15"/>
        </w:rPr>
        <w:t xml:space="preserve">            "cypermethrin": { "value": 0.02, "limit": 0.05, "pass": true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"broker_certification": {</w:t>
      </w:r>
    </w:p>
    <w:p>
      <w:pPr>
        <w:spacing w:after="0" w:before="0" w:line="240" w:lineRule="auto"/>
        <w:ind w:left="57"/>
        <w:jc w:val="left"/>
        <w:shd w:val="clear" w:fill="F2F2F2"/>
      </w:pPr>
      <w:r>
        <w:rPr>
          <w:rFonts w:ascii="Consolas" w:hAnsi="Consolas" w:cs="Consolas"/>
          <w:b w:val="0"/>
          <w:i w:val="0"/>
          <w:sz w:val="15"/>
        </w:rPr>
        <w:t xml:space="preserve">            "certified_at": "2026-04-15T09:00:00Z",</w:t>
      </w:r>
    </w:p>
    <w:p>
      <w:pPr>
        <w:spacing w:after="0" w:before="0" w:line="240" w:lineRule="auto"/>
        <w:ind w:left="57"/>
        <w:jc w:val="left"/>
        <w:shd w:val="clear" w:fill="F2F2F2"/>
      </w:pPr>
      <w:r>
        <w:rPr>
          <w:rFonts w:ascii="Consolas" w:hAnsi="Consolas" w:cs="Consolas"/>
          <w:b w:val="0"/>
          <w:i w:val="0"/>
          <w:sz w:val="15"/>
        </w:rPr>
        <w:t xml:space="preserve">            "broker_gtid": "SGTX-EG-CBR-001",</w:t>
      </w:r>
    </w:p>
    <w:p>
      <w:pPr>
        <w:spacing w:after="0" w:before="0" w:line="240" w:lineRule="auto"/>
        <w:ind w:left="57"/>
        <w:jc w:val="left"/>
        <w:shd w:val="clear" w:fill="F2F2F2"/>
      </w:pPr>
      <w:r>
        <w:rPr>
          <w:rFonts w:ascii="Consolas" w:hAnsi="Consolas" w:cs="Consolas"/>
          <w:b w:val="0"/>
          <w:i w:val="0"/>
          <w:sz w:val="15"/>
        </w:rPr>
        <w:t xml:space="preserve">            "declaration_id": "SAD20260415-000147"</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"causal_analysis": {</w:t>
      </w:r>
    </w:p>
    <w:p>
      <w:pPr>
        <w:spacing w:after="0" w:before="0" w:line="240" w:lineRule="auto"/>
        <w:ind w:left="57"/>
        <w:jc w:val="left"/>
        <w:shd w:val="clear" w:fill="F2F2F2"/>
      </w:pPr>
      <w:r>
        <w:rPr>
          <w:rFonts w:ascii="Consolas" w:hAnsi="Consolas" w:cs="Consolas"/>
          <w:b w:val="0"/>
          <w:i w:val="0"/>
          <w:sz w:val="15"/>
        </w:rPr>
        <w:t xml:space="preserve">            "root_causes":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"temperature_excursion",</w:t>
      </w:r>
    </w:p>
    <w:p>
      <w:pPr>
        <w:spacing w:after="0" w:before="0" w:line="240" w:lineRule="auto"/>
        <w:ind w:left="57"/>
        <w:jc w:val="left"/>
        <w:shd w:val="clear" w:fill="F2F2F2"/>
      </w:pPr>
      <w:r>
        <w:rPr>
          <w:rFonts w:ascii="Consolas" w:hAnsi="Consolas" w:cs="Consolas"/>
          <w:b w:val="0"/>
          <w:i w:val="0"/>
          <w:sz w:val="15"/>
        </w:rPr>
        <w:t xml:space="preserve">                    "contribution": 0.68,</w:t>
      </w:r>
    </w:p>
    <w:p>
      <w:pPr>
        <w:spacing w:after="0" w:before="0" w:line="240" w:lineRule="auto"/>
        <w:ind w:left="57"/>
        <w:jc w:val="left"/>
        <w:shd w:val="clear" w:fill="F2F2F2"/>
      </w:pPr>
      <w:r>
        <w:rPr>
          <w:rFonts w:ascii="Consolas" w:hAnsi="Consolas" w:cs="Consolas"/>
          <w:b w:val="0"/>
          <w:i w:val="0"/>
          <w:sz w:val="15"/>
        </w:rPr>
        <w:t xml:space="preserve">                    "description": "Reefer set point drifted to -8°C for 6 hours due to compressor failure."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"loom_hash": "sha256:a1b2c3...",</w:t>
      </w:r>
    </w:p>
    <w:p>
      <w:pPr>
        <w:spacing w:after="0" w:before="0" w:line="240" w:lineRule="auto"/>
        <w:ind w:left="57"/>
        <w:jc w:val="left"/>
        <w:shd w:val="clear" w:fill="F2F2F2"/>
      </w:pPr>
      <w:r>
        <w:rPr>
          <w:rFonts w:ascii="Consolas" w:hAnsi="Consolas" w:cs="Consolas"/>
          <w:b w:val="0"/>
          <w:i w:val="0"/>
          <w:sz w:val="15"/>
        </w:rPr>
        <w:t xml:space="preserve">    "verification_token": "vt-123e4567-e89b-12d3-a456-426614174000"</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14.3.4 Causal Inference Engine — Root Cause Analysis</w:t>
      </w:r>
    </w:p>
    <w:p>
      <w:pPr>
        <w:spacing w:after="80" w:line="293" w:lineRule="auto"/>
        <w:jc w:val="left"/>
      </w:pPr>
      <w:r>
        <w:rPr>
          <w:rFonts w:ascii="Times New Roman" w:hAnsi="Times New Roman" w:cs="Times New Roman"/>
          <w:b w:val="0"/>
          <w:i w:val="0"/>
          <w:sz w:val="22"/>
        </w:rPr>
        <w:t>Trigger &amp; model. When a dispute is filed, the causal inference engine (A2, DoWhy + EconML) is triggered asynchronously. It analyses: the timeline of milestones (delays between expected and actual); sensor data (temperature, humidity, shock); weather and port congestion (from RIA); carrier performance history (on-time delivery, damage claims); QC override patterns (frequency, type of overrides); and broker certification history (accuracy, rejections).</w:t>
      </w:r>
    </w:p>
    <w:p>
      <w:pPr>
        <w:spacing w:after="80" w:line="293" w:lineRule="auto"/>
        <w:jc w:val="left"/>
      </w:pPr>
      <w:r>
        <w:rPr>
          <w:rFonts w:ascii="Times New Roman" w:hAnsi="Times New Roman" w:cs="Times New Roman"/>
          <w:b w:val="0"/>
          <w:i w:val="0"/>
          <w:sz w:val="22"/>
        </w:rPr>
        <w:t>Methodology: DoWhy builds a causal graph (DAG) based on domain knowledge; EconML estimates the Average Treatment Effect (ATE) and the contribution of each factor using double-ML.</w:t>
      </w:r>
    </w:p>
    <w:p>
      <w:pPr>
        <w:spacing w:after="80" w:line="293" w:lineRule="auto"/>
        <w:jc w:val="left"/>
      </w:pPr>
      <w:r>
        <w:rPr>
          <w:rFonts w:ascii="Times New Roman" w:hAnsi="Times New Roman" w:cs="Times New Roman"/>
          <w:b w:val="0"/>
          <w:i w:val="0"/>
          <w:sz w:val="22"/>
        </w:rPr>
        <w:t>Output. A JSON object with root causes and contribution percentages, stored in `causal_attribution`. Groq generates a plain-language summary added to the evidence package and displayed in the mediation log.</w:t>
      </w:r>
    </w:p>
    <w:p>
      <w:pPr>
        <w:spacing w:after="80" w:line="293" w:lineRule="auto"/>
        <w:jc w:val="left"/>
      </w:pPr>
      <w:r>
        <w:rPr>
          <w:rFonts w:ascii="Times New Roman" w:hAnsi="Times New Roman" w:cs="Times New Roman"/>
          <w:b w:val="0"/>
          <w:i w:val="0"/>
          <w:sz w:val="22"/>
        </w:rPr>
        <w:t>Example output for a delay dispute: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"root_causes":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"port_strike",</w:t>
      </w:r>
    </w:p>
    <w:p>
      <w:pPr>
        <w:spacing w:after="0" w:before="0" w:line="240" w:lineRule="auto"/>
        <w:ind w:left="57"/>
        <w:jc w:val="left"/>
        <w:shd w:val="clear" w:fill="F2F2F2"/>
      </w:pPr>
      <w:r>
        <w:rPr>
          <w:rFonts w:ascii="Consolas" w:hAnsi="Consolas" w:cs="Consolas"/>
          <w:b w:val="0"/>
          <w:i w:val="0"/>
          <w:sz w:val="15"/>
        </w:rPr>
        <w:t xml:space="preserve">            "contribution": 0.54,</w:t>
      </w:r>
    </w:p>
    <w:p>
      <w:pPr>
        <w:spacing w:after="0" w:before="0" w:line="240" w:lineRule="auto"/>
        <w:ind w:left="57"/>
        <w:jc w:val="left"/>
        <w:shd w:val="clear" w:fill="F2F2F2"/>
      </w:pPr>
      <w:r>
        <w:rPr>
          <w:rFonts w:ascii="Consolas" w:hAnsi="Consolas" w:cs="Consolas"/>
          <w:b w:val="0"/>
          <w:i w:val="0"/>
          <w:sz w:val="15"/>
        </w:rPr>
        <w:t xml:space="preserve">            "description": "Port closure at Alexandria added 54% of total delay.",</w:t>
      </w:r>
    </w:p>
    <w:p>
      <w:pPr>
        <w:spacing w:after="0" w:before="0" w:line="240" w:lineRule="auto"/>
        <w:ind w:left="57"/>
        <w:jc w:val="left"/>
        <w:shd w:val="clear" w:fill="F2F2F2"/>
      </w:pPr>
      <w:r>
        <w:rPr>
          <w:rFonts w:ascii="Consolas" w:hAnsi="Consolas" w:cs="Consolas"/>
          <w:b w:val="0"/>
          <w:i w:val="0"/>
          <w:sz w:val="15"/>
        </w:rPr>
        <w:t xml:space="preserve">            "confidence_interval": { "lower": 0.45, "upper": 0.62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"carrier_rerouting",</w:t>
      </w:r>
    </w:p>
    <w:p>
      <w:pPr>
        <w:spacing w:after="0" w:before="0" w:line="240" w:lineRule="auto"/>
        <w:ind w:left="57"/>
        <w:jc w:val="left"/>
        <w:shd w:val="clear" w:fill="F2F2F2"/>
      </w:pPr>
      <w:r>
        <w:rPr>
          <w:rFonts w:ascii="Consolas" w:hAnsi="Consolas" w:cs="Consolas"/>
          <w:b w:val="0"/>
          <w:i w:val="0"/>
          <w:sz w:val="15"/>
        </w:rPr>
        <w:t xml:space="preserve">            "contribution": 0.32,</w:t>
      </w:r>
    </w:p>
    <w:p>
      <w:pPr>
        <w:spacing w:after="0" w:before="0" w:line="240" w:lineRule="auto"/>
        <w:ind w:left="57"/>
        <w:jc w:val="left"/>
        <w:shd w:val="clear" w:fill="F2F2F2"/>
      </w:pPr>
      <w:r>
        <w:rPr>
          <w:rFonts w:ascii="Consolas" w:hAnsi="Consolas" w:cs="Consolas"/>
          <w:b w:val="0"/>
          <w:i w:val="0"/>
          <w:sz w:val="15"/>
        </w:rPr>
        <w:t xml:space="preserve">            "description": "Carrier rerouted due to weather, adding 32%.",</w:t>
      </w:r>
    </w:p>
    <w:p>
      <w:pPr>
        <w:spacing w:after="0" w:before="0" w:line="240" w:lineRule="auto"/>
        <w:ind w:left="57"/>
        <w:jc w:val="left"/>
        <w:shd w:val="clear" w:fill="F2F2F2"/>
      </w:pPr>
      <w:r>
        <w:rPr>
          <w:rFonts w:ascii="Consolas" w:hAnsi="Consolas" w:cs="Consolas"/>
          <w:b w:val="0"/>
          <w:i w:val="0"/>
          <w:sz w:val="15"/>
        </w:rPr>
        <w:t xml:space="preserve">            "confidence_interval": { "lower": 0.28, "upper": 0.36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"customs_hold",</w:t>
      </w:r>
    </w:p>
    <w:p>
      <w:pPr>
        <w:spacing w:after="0" w:before="0" w:line="240" w:lineRule="auto"/>
        <w:ind w:left="57"/>
        <w:jc w:val="left"/>
        <w:shd w:val="clear" w:fill="F2F2F2"/>
      </w:pPr>
      <w:r>
        <w:rPr>
          <w:rFonts w:ascii="Consolas" w:hAnsi="Consolas" w:cs="Consolas"/>
          <w:b w:val="0"/>
          <w:i w:val="0"/>
          <w:sz w:val="15"/>
        </w:rPr>
        <w:t xml:space="preserve">            "contribution": 0.14,</w:t>
      </w:r>
    </w:p>
    <w:p>
      <w:pPr>
        <w:spacing w:after="0" w:before="0" w:line="240" w:lineRule="auto"/>
        <w:ind w:left="57"/>
        <w:jc w:val="left"/>
        <w:shd w:val="clear" w:fill="F2F2F2"/>
      </w:pPr>
      <w:r>
        <w:rPr>
          <w:rFonts w:ascii="Consolas" w:hAnsi="Consolas" w:cs="Consolas"/>
          <w:b w:val="0"/>
          <w:i w:val="0"/>
          <w:sz w:val="15"/>
        </w:rPr>
        <w:t xml:space="preserve">            "description": "Missing phytosanitary certificate caused 14% delay.",</w:t>
      </w:r>
    </w:p>
    <w:p>
      <w:pPr>
        <w:spacing w:after="0" w:before="0" w:line="240" w:lineRule="auto"/>
        <w:ind w:left="57"/>
        <w:jc w:val="left"/>
        <w:shd w:val="clear" w:fill="F2F2F2"/>
      </w:pPr>
      <w:r>
        <w:rPr>
          <w:rFonts w:ascii="Consolas" w:hAnsi="Consolas" w:cs="Consolas"/>
          <w:b w:val="0"/>
          <w:i w:val="0"/>
          <w:sz w:val="15"/>
        </w:rPr>
        <w:t xml:space="preserve">            "confidence_interval": { "lower": 0.10, "upper": 0.18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"model_version": "v2.1",</w:t>
      </w:r>
    </w:p>
    <w:p>
      <w:pPr>
        <w:spacing w:after="0" w:before="0" w:line="240" w:lineRule="auto"/>
        <w:ind w:left="57"/>
        <w:jc w:val="left"/>
        <w:shd w:val="clear" w:fill="F2F2F2"/>
      </w:pPr>
      <w:r>
        <w:rPr>
          <w:rFonts w:ascii="Consolas" w:hAnsi="Consolas" w:cs="Consolas"/>
          <w:b w:val="0"/>
          <w:i w:val="0"/>
          <w:sz w:val="15"/>
        </w:rPr>
        <w:t xml:space="preserve">    "groq_summary": "The delay was caused primarily by the port strike (54%), with the carrier's rerouting as a secondary factor (32%). The missing certificate contributed 14%."</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output for a cold chain dispute: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"root_causes":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"compressor_failure",</w:t>
      </w:r>
    </w:p>
    <w:p>
      <w:pPr>
        <w:spacing w:after="0" w:before="0" w:line="240" w:lineRule="auto"/>
        <w:ind w:left="57"/>
        <w:jc w:val="left"/>
        <w:shd w:val="clear" w:fill="F2F2F2"/>
      </w:pPr>
      <w:r>
        <w:rPr>
          <w:rFonts w:ascii="Consolas" w:hAnsi="Consolas" w:cs="Consolas"/>
          <w:b w:val="0"/>
          <w:i w:val="0"/>
          <w:sz w:val="15"/>
        </w:rPr>
        <w:t xml:space="preserve">            "contribution": 0.78,</w:t>
      </w:r>
    </w:p>
    <w:p>
      <w:pPr>
        <w:spacing w:after="0" w:before="0" w:line="240" w:lineRule="auto"/>
        <w:ind w:left="57"/>
        <w:jc w:val="left"/>
        <w:shd w:val="clear" w:fill="F2F2F2"/>
      </w:pPr>
      <w:r>
        <w:rPr>
          <w:rFonts w:ascii="Consolas" w:hAnsi="Consolas" w:cs="Consolas"/>
          <w:b w:val="0"/>
          <w:i w:val="0"/>
          <w:sz w:val="15"/>
        </w:rPr>
        <w:t xml:space="preserve">            "description": "Reefer compressor failure caused temperature to rise to -8°C for 6 hours.",</w:t>
      </w:r>
    </w:p>
    <w:p>
      <w:pPr>
        <w:spacing w:after="0" w:before="0" w:line="240" w:lineRule="auto"/>
        <w:ind w:left="57"/>
        <w:jc w:val="left"/>
        <w:shd w:val="clear" w:fill="F2F2F2"/>
      </w:pPr>
      <w:r>
        <w:rPr>
          <w:rFonts w:ascii="Consolas" w:hAnsi="Consolas" w:cs="Consolas"/>
          <w:b w:val="0"/>
          <w:i w:val="0"/>
          <w:sz w:val="15"/>
        </w:rPr>
        <w:t xml:space="preserve">            "confidence_interval": { "lower": 0.70, "upper": 0.85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"pre_cooling_omission",</w:t>
      </w:r>
    </w:p>
    <w:p>
      <w:pPr>
        <w:spacing w:after="0" w:before="0" w:line="240" w:lineRule="auto"/>
        <w:ind w:left="57"/>
        <w:jc w:val="left"/>
        <w:shd w:val="clear" w:fill="F2F2F2"/>
      </w:pPr>
      <w:r>
        <w:rPr>
          <w:rFonts w:ascii="Consolas" w:hAnsi="Consolas" w:cs="Consolas"/>
          <w:b w:val="0"/>
          <w:i w:val="0"/>
          <w:sz w:val="15"/>
        </w:rPr>
        <w:t xml:space="preserve">            "contribution": 0.12,</w:t>
      </w:r>
    </w:p>
    <w:p>
      <w:pPr>
        <w:spacing w:after="0" w:before="0" w:line="240" w:lineRule="auto"/>
        <w:ind w:left="57"/>
        <w:jc w:val="left"/>
        <w:shd w:val="clear" w:fill="F2F2F2"/>
      </w:pPr>
      <w:r>
        <w:rPr>
          <w:rFonts w:ascii="Consolas" w:hAnsi="Consolas" w:cs="Consolas"/>
          <w:b w:val="0"/>
          <w:i w:val="0"/>
          <w:sz w:val="15"/>
        </w:rPr>
        <w:t xml:space="preserve">            "description": "Pre-cooling omitted before loading, contributing 12%.",</w:t>
      </w:r>
    </w:p>
    <w:p>
      <w:pPr>
        <w:spacing w:after="0" w:before="0" w:line="240" w:lineRule="auto"/>
        <w:ind w:left="57"/>
        <w:jc w:val="left"/>
        <w:shd w:val="clear" w:fill="F2F2F2"/>
      </w:pPr>
      <w:r>
        <w:rPr>
          <w:rFonts w:ascii="Consolas" w:hAnsi="Consolas" w:cs="Consolas"/>
          <w:b w:val="0"/>
          <w:i w:val="0"/>
          <w:sz w:val="15"/>
        </w:rPr>
        <w:t xml:space="preserve">            "confidence_interval": { "lower": 0.08, "upper": 0.16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"monitoring_delay",</w:t>
      </w:r>
    </w:p>
    <w:p>
      <w:pPr>
        <w:spacing w:after="0" w:before="0" w:line="240" w:lineRule="auto"/>
        <w:ind w:left="57"/>
        <w:jc w:val="left"/>
        <w:shd w:val="clear" w:fill="F2F2F2"/>
      </w:pPr>
      <w:r>
        <w:rPr>
          <w:rFonts w:ascii="Consolas" w:hAnsi="Consolas" w:cs="Consolas"/>
          <w:b w:val="0"/>
          <w:i w:val="0"/>
          <w:sz w:val="15"/>
        </w:rPr>
        <w:t xml:space="preserve">            "contribution": 0.10,</w:t>
      </w:r>
    </w:p>
    <w:p>
      <w:pPr>
        <w:spacing w:after="0" w:before="0" w:line="240" w:lineRule="auto"/>
        <w:ind w:left="57"/>
        <w:jc w:val="left"/>
        <w:shd w:val="clear" w:fill="F2F2F2"/>
      </w:pPr>
      <w:r>
        <w:rPr>
          <w:rFonts w:ascii="Consolas" w:hAnsi="Consolas" w:cs="Consolas"/>
          <w:b w:val="0"/>
          <w:i w:val="0"/>
          <w:sz w:val="15"/>
        </w:rPr>
        <w:t xml:space="preserve">            "description": "Temperature alert delayed by 2 hours, adding 10% to damage.",</w:t>
      </w:r>
    </w:p>
    <w:p>
      <w:pPr>
        <w:spacing w:after="0" w:before="0" w:line="240" w:lineRule="auto"/>
        <w:ind w:left="57"/>
        <w:jc w:val="left"/>
        <w:shd w:val="clear" w:fill="F2F2F2"/>
      </w:pPr>
      <w:r>
        <w:rPr>
          <w:rFonts w:ascii="Consolas" w:hAnsi="Consolas" w:cs="Consolas"/>
          <w:b w:val="0"/>
          <w:i w:val="0"/>
          <w:sz w:val="15"/>
        </w:rPr>
        <w:t xml:space="preserve">            "confidence_interval": { "lower": 0.06, "upper": 0.14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"groq_summary": "The cold chain failure was caused primarily by compressor failure (78%), with pre-cooling omission (12%) and monitoring delay (10%) as contributing factors."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authority: A2/A3 for causal inference (DoWhy + EconML, Python); A1 for the Groq summary.</w:t>
      </w:r>
    </w:p>
    <w:p>
      <w:pPr>
        <w:keepNext/>
        <w:spacing w:before="180" w:after="80"/>
        <w:outlineLvl w:val="2"/>
      </w:pPr>
      <w:r>
        <w:rPr>
          <w:rFonts w:ascii="Arial" w:hAnsi="Arial" w:cs="Arial"/>
          <w:b/>
          <w:i w:val="0"/>
          <w:color w:val="333333"/>
          <w:sz w:val="23"/>
        </w:rPr>
        <w:t>14.3.5 Mediation Log &amp; Multi-Language Support</w:t>
      </w:r>
    </w:p>
    <w:p>
      <w:pPr>
        <w:spacing w:after="80" w:line="293" w:lineRule="auto"/>
        <w:jc w:val="left"/>
      </w:pPr>
      <w:r>
        <w:rPr>
          <w:rFonts w:ascii="Times New Roman" w:hAnsi="Times New Roman" w:cs="Times New Roman"/>
          <w:b w:val="0"/>
          <w:i w:val="0"/>
          <w:sz w:val="22"/>
        </w:rPr>
        <w:t>Interface. After a dispute is filed, both parties enter a structured mediation log accessible from the Dispute tab in their portals. The log supports: text messages (with automatic translation via Groq into each party's preferred language); structured offers (for example, "Offer $2,000 refund"); accept / reject / counter buttons; attachment of additional evidence (new photos, third-party survey); AI-generated settlement proposals; and an escalation-to-arbitration button (after a configurable number of rounds, default 5).</w:t>
      </w:r>
    </w:p>
    <w:p>
      <w:pPr>
        <w:spacing w:after="80" w:line="293" w:lineRule="auto"/>
        <w:jc w:val="left"/>
      </w:pPr>
      <w:r>
        <w:rPr>
          <w:rFonts w:ascii="Times New Roman" w:hAnsi="Times New Roman" w:cs="Times New Roman"/>
          <w:b w:val="0"/>
          <w:i w:val="0"/>
          <w:sz w:val="22"/>
        </w:rPr>
        <w:t>Example mediation log:</w:t>
      </w:r>
    </w:p>
    <w:p>
      <w:pPr>
        <w:spacing w:after="0" w:before="0" w:line="240" w:lineRule="auto"/>
        <w:ind w:left="57"/>
        <w:jc w:val="left"/>
        <w:shd w:val="clear" w:fill="F2F2F2"/>
      </w:pPr>
      <w:r>
        <w:rPr>
          <w:rFonts w:ascii="Consolas" w:hAnsi="Consolas" w:cs="Consolas"/>
          <w:b w:val="0"/>
          <w:i w:val="0"/>
          <w:sz w:val="15"/>
        </w:rPr>
        <w:t>2026-04-16 10:00:00 — Buyer (Nile Foods)</w:t>
      </w:r>
    </w:p>
    <w:p>
      <w:pPr>
        <w:spacing w:after="0" w:before="0" w:line="240" w:lineRule="auto"/>
        <w:ind w:left="57"/>
        <w:jc w:val="left"/>
        <w:shd w:val="clear" w:fill="F2F2F2"/>
      </w:pPr>
      <w:r>
        <w:rPr>
          <w:rFonts w:ascii="Consolas" w:hAnsi="Consolas" w:cs="Consolas"/>
          <w:b w:val="0"/>
          <w:i w:val="0"/>
          <w:sz w:val="15"/>
        </w:rPr>
        <w:t xml:space="preserve">    The strawberries arrived with 10% mould. I am claiming $2,000 refund</w:t>
      </w:r>
    </w:p>
    <w:p>
      <w:pPr>
        <w:spacing w:after="0" w:before="0" w:line="240" w:lineRule="auto"/>
        <w:ind w:left="57"/>
        <w:jc w:val="left"/>
        <w:shd w:val="clear" w:fill="F2F2F2"/>
      </w:pPr>
      <w:r>
        <w:rPr>
          <w:rFonts w:ascii="Consolas" w:hAnsi="Consolas" w:cs="Consolas"/>
          <w:b w:val="0"/>
          <w:i w:val="0"/>
          <w:sz w:val="15"/>
        </w:rPr>
        <w:t xml:space="preserve">    based on photos and the temperature log.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2026-04-16 11:30:00 — Seller (Mekong Fresh)</w:t>
      </w:r>
    </w:p>
    <w:p>
      <w:pPr>
        <w:spacing w:after="0" w:before="0" w:line="240" w:lineRule="auto"/>
        <w:ind w:left="57"/>
        <w:jc w:val="left"/>
        <w:shd w:val="clear" w:fill="F2F2F2"/>
      </w:pPr>
      <w:r>
        <w:rPr>
          <w:rFonts w:ascii="Consolas" w:hAnsi="Consolas" w:cs="Consolas"/>
          <w:b w:val="0"/>
          <w:i w:val="0"/>
          <w:sz w:val="15"/>
        </w:rPr>
        <w:t xml:space="preserve">    We dispute the claim. Our reefer log shows -18°C throughout.</w:t>
      </w:r>
    </w:p>
    <w:p>
      <w:pPr>
        <w:spacing w:after="0" w:before="0" w:line="240" w:lineRule="auto"/>
        <w:ind w:left="57"/>
        <w:jc w:val="left"/>
        <w:shd w:val="clear" w:fill="F2F2F2"/>
      </w:pPr>
      <w:r>
        <w:rPr>
          <w:rFonts w:ascii="Consolas" w:hAnsi="Consolas" w:cs="Consolas"/>
          <w:b w:val="0"/>
          <w:i w:val="0"/>
          <w:sz w:val="15"/>
        </w:rPr>
        <w:t xml:space="preserve">    The damage likely occurred after delivery. We counter-offer $500 as goodwill.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2026-04-16 12:00:00 — AI Settlement Proposal (Groq)</w:t>
      </w:r>
    </w:p>
    <w:p>
      <w:pPr>
        <w:spacing w:after="0" w:before="0" w:line="240" w:lineRule="auto"/>
        <w:ind w:left="57"/>
        <w:jc w:val="left"/>
        <w:shd w:val="clear" w:fill="F2F2F2"/>
      </w:pPr>
      <w:r>
        <w:rPr>
          <w:rFonts w:ascii="Consolas" w:hAnsi="Consolas" w:cs="Consolas"/>
          <w:b w:val="0"/>
          <w:i w:val="0"/>
          <w:sz w:val="15"/>
        </w:rPr>
        <w:t xml:space="preserve">    Based on the temperature log (no deviation) and the buyer's photos (mould</w:t>
      </w:r>
    </w:p>
    <w:p>
      <w:pPr>
        <w:spacing w:after="0" w:before="0" w:line="240" w:lineRule="auto"/>
        <w:ind w:left="57"/>
        <w:jc w:val="left"/>
        <w:shd w:val="clear" w:fill="F2F2F2"/>
      </w:pPr>
      <w:r>
        <w:rPr>
          <w:rFonts w:ascii="Consolas" w:hAnsi="Consolas" w:cs="Consolas"/>
          <w:b w:val="0"/>
          <w:i w:val="0"/>
          <w:sz w:val="15"/>
        </w:rPr>
        <w:t xml:space="preserve">    present), the likely root cause is post-delivery mishandling.</w:t>
      </w:r>
    </w:p>
    <w:p>
      <w:pPr>
        <w:spacing w:after="0" w:before="0" w:line="240" w:lineRule="auto"/>
        <w:ind w:left="57"/>
        <w:jc w:val="left"/>
        <w:shd w:val="clear" w:fill="F2F2F2"/>
      </w:pPr>
      <w:r>
        <w:rPr>
          <w:rFonts w:ascii="Consolas" w:hAnsi="Consolas" w:cs="Consolas"/>
          <w:b w:val="0"/>
          <w:i w:val="0"/>
          <w:sz w:val="15"/>
        </w:rPr>
        <w:t xml:space="preserve">    Recommended settlement: $800 (4% of invoice).  [Accept] [Reject]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Sentiment analysis. A sentiment model (A2, HF) monitors messages for hostility. If detected, the system flags the mediator and suggests a cooling-off period (24h pause) — one click to accept.</w:t>
      </w:r>
    </w:p>
    <w:p>
      <w:pPr>
        <w:spacing w:after="80" w:line="293" w:lineRule="auto"/>
        <w:jc w:val="left"/>
      </w:pPr>
      <w:r>
        <w:rPr>
          <w:rFonts w:ascii="Times New Roman" w:hAnsi="Times New Roman" w:cs="Times New Roman"/>
          <w:b w:val="0"/>
          <w:i w:val="0"/>
          <w:sz w:val="22"/>
        </w:rPr>
        <w:t>One-click: each message, offer, acceptance, or rejection is one click. All actions are signed by the author's ZITADEL passkey and stored immutably. AI authority: A1 for translation; A2 for sentiment analysis; A4 for signature and storage.</w:t>
      </w:r>
    </w:p>
    <w:p>
      <w:pPr>
        <w:keepNext/>
        <w:spacing w:before="180" w:after="80"/>
        <w:outlineLvl w:val="2"/>
      </w:pPr>
      <w:r>
        <w:rPr>
          <w:rFonts w:ascii="Arial" w:hAnsi="Arial" w:cs="Arial"/>
          <w:b/>
          <w:i w:val="0"/>
          <w:color w:val="333333"/>
          <w:sz w:val="23"/>
        </w:rPr>
        <w:t>14.3.6 AI-Generated Settlement Proposal (A1/A2)</w:t>
      </w:r>
    </w:p>
    <w:p>
      <w:pPr>
        <w:spacing w:after="80" w:line="293" w:lineRule="auto"/>
        <w:jc w:val="left"/>
      </w:pPr>
      <w:r>
        <w:rPr>
          <w:rFonts w:ascii="Times New Roman" w:hAnsi="Times New Roman" w:cs="Times New Roman"/>
          <w:b w:val="0"/>
          <w:i w:val="0"/>
          <w:sz w:val="22"/>
        </w:rPr>
        <w:t>Trigger &amp; model. When the mediation log reaches an impasse (or upon request), the AI mediator (Groq + XGBoost predictor) generates a fair settlement proposal based on: contract clauses (liability, liquidated damages); predictive outcome (from historical dispute data — XGBoost model); the evidence package (including causal analysis); industry standards (scraped from arbitration awards); and party trust scores and dispute history.</w:t>
      </w:r>
    </w:p>
    <w:p>
      <w:pPr>
        <w:spacing w:after="80" w:line="293" w:lineRule="auto"/>
        <w:jc w:val="left"/>
      </w:pPr>
      <w:r>
        <w:rPr>
          <w:rFonts w:ascii="Times New Roman" w:hAnsi="Times New Roman" w:cs="Times New Roman"/>
          <w:b w:val="0"/>
          <w:i w:val="0"/>
          <w:sz w:val="22"/>
        </w:rPr>
        <w:t>Proposal structure: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"proposal_id": "SP-20260415-001",</w:t>
      </w:r>
    </w:p>
    <w:p>
      <w:pPr>
        <w:spacing w:after="0" w:before="0" w:line="240" w:lineRule="auto"/>
        <w:ind w:left="57"/>
        <w:jc w:val="left"/>
        <w:shd w:val="clear" w:fill="F2F2F2"/>
      </w:pPr>
      <w:r>
        <w:rPr>
          <w:rFonts w:ascii="Consolas" w:hAnsi="Consolas" w:cs="Consolas"/>
          <w:b w:val="0"/>
          <w:i w:val="0"/>
          <w:sz w:val="15"/>
        </w:rPr>
        <w:t xml:space="preserve">    "dispute_id": "DSP-20260415-001",</w:t>
      </w:r>
    </w:p>
    <w:p>
      <w:pPr>
        <w:spacing w:after="0" w:before="0" w:line="240" w:lineRule="auto"/>
        <w:ind w:left="57"/>
        <w:jc w:val="left"/>
        <w:shd w:val="clear" w:fill="F2F2F2"/>
      </w:pPr>
      <w:r>
        <w:rPr>
          <w:rFonts w:ascii="Consolas" w:hAnsi="Consolas" w:cs="Consolas"/>
          <w:b w:val="0"/>
          <w:i w:val="0"/>
          <w:sz w:val="15"/>
        </w:rPr>
        <w:t xml:space="preserve">    "proposed_settlement": {</w:t>
      </w:r>
    </w:p>
    <w:p>
      <w:pPr>
        <w:spacing w:after="0" w:before="0" w:line="240" w:lineRule="auto"/>
        <w:ind w:left="57"/>
        <w:jc w:val="left"/>
        <w:shd w:val="clear" w:fill="F2F2F2"/>
      </w:pPr>
      <w:r>
        <w:rPr>
          <w:rFonts w:ascii="Consolas" w:hAnsi="Consolas" w:cs="Consolas"/>
          <w:b w:val="0"/>
          <w:i w:val="0"/>
          <w:sz w:val="15"/>
        </w:rPr>
        <w:t xml:space="preserve">        "type": "PARTIAL_REFUND",</w:t>
      </w:r>
    </w:p>
    <w:p>
      <w:pPr>
        <w:spacing w:after="0" w:before="0" w:line="240" w:lineRule="auto"/>
        <w:ind w:left="57"/>
        <w:jc w:val="left"/>
        <w:shd w:val="clear" w:fill="F2F2F2"/>
      </w:pPr>
      <w:r>
        <w:rPr>
          <w:rFonts w:ascii="Consolas" w:hAnsi="Consolas" w:cs="Consolas"/>
          <w:b w:val="0"/>
          <w:i w:val="0"/>
          <w:sz w:val="15"/>
        </w:rPr>
        <w:t xml:space="preserve">        "amount": 800.00,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"Buyer releases seller from further claims",</w:t>
      </w:r>
    </w:p>
    <w:p>
      <w:pPr>
        <w:spacing w:after="0" w:before="0" w:line="240" w:lineRule="auto"/>
        <w:ind w:left="57"/>
        <w:jc w:val="left"/>
        <w:shd w:val="clear" w:fill="F2F2F2"/>
      </w:pPr>
      <w:r>
        <w:rPr>
          <w:rFonts w:ascii="Consolas" w:hAnsi="Consolas" w:cs="Consolas"/>
          <w:b w:val="0"/>
          <w:i w:val="0"/>
          <w:sz w:val="15"/>
        </w:rPr>
        <w:t xml:space="preserve">            "Both parties bear own costs"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"rationale": "The temperature log shows no deviation during transit, indicating the damage likely occurred post-delivery. However, the buyer's photos show mould presence, suggesting a pre-existing quality issue. A 4% refund is consistent with similar cases (based on 12 previous disputes).",</w:t>
      </w:r>
    </w:p>
    <w:p>
      <w:pPr>
        <w:spacing w:after="0" w:before="0" w:line="240" w:lineRule="auto"/>
        <w:ind w:left="57"/>
        <w:jc w:val="left"/>
        <w:shd w:val="clear" w:fill="F2F2F2"/>
      </w:pPr>
      <w:r>
        <w:rPr>
          <w:rFonts w:ascii="Consolas" w:hAnsi="Consolas" w:cs="Consolas"/>
          <w:b w:val="0"/>
          <w:i w:val="0"/>
          <w:sz w:val="15"/>
        </w:rPr>
        <w:t xml:space="preserve">    "confidence": 0.87,</w:t>
      </w:r>
    </w:p>
    <w:p>
      <w:pPr>
        <w:spacing w:after="0" w:before="0" w:line="240" w:lineRule="auto"/>
        <w:ind w:left="57"/>
        <w:jc w:val="left"/>
        <w:shd w:val="clear" w:fill="F2F2F2"/>
      </w:pPr>
      <w:r>
        <w:rPr>
          <w:rFonts w:ascii="Consolas" w:hAnsi="Consolas" w:cs="Consolas"/>
          <w:b w:val="0"/>
          <w:i w:val="0"/>
          <w:sz w:val="15"/>
        </w:rPr>
        <w:t xml:space="preserve">    "acceptance_deadline": "2026-04-23T23:59:59Z"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Acceptance workflow. The proposal is presented to both parties. If both accept (one click each), SGTX generates a settlement addendum, signed by both parties and the Governor. The dispute status becomes RESOLVED_SETTLED. The agreed amount is transferred via a dedicated dispute-settlement leg (Section 14.3.17, if a refund) or the original payment plan is adjusted. One-click: Request Proposal (1), Accept (1 each); if both accept, the addendum is signed automatically. AI authority: A1 for proposal generation (Groq); A2 for predictive outcome (XGBoost); A4 for addendum signing. AI proposes; humans decide.</w:t>
      </w:r>
    </w:p>
    <w:p>
      <w:pPr>
        <w:keepNext/>
        <w:spacing w:before="180" w:after="80"/>
        <w:outlineLvl w:val="2"/>
      </w:pPr>
      <w:r>
        <w:rPr>
          <w:rFonts w:ascii="Arial" w:hAnsi="Arial" w:cs="Arial"/>
          <w:b/>
          <w:i w:val="0"/>
          <w:color w:val="333333"/>
          <w:sz w:val="23"/>
        </w:rPr>
        <w:t>14.3.7 Smart FeeLock Management (Freeze &amp; Partial Release)</w:t>
      </w:r>
    </w:p>
    <w:p>
      <w:pPr>
        <w:spacing w:after="80" w:line="293" w:lineRule="auto"/>
        <w:jc w:val="left"/>
      </w:pPr>
      <w:r>
        <w:rPr>
          <w:rFonts w:ascii="Times New Roman" w:hAnsi="Times New Roman" w:cs="Times New Roman"/>
          <w:b w:val="0"/>
          <w:i w:val="0"/>
          <w:sz w:val="22"/>
        </w:rPr>
        <w:t>Dispute filing → FeeLock freeze. When a dispute is filed: the Governor freezes the affected FeeLock(s); government fees already paid are not refundable (by law); pending fee payments are frozen. If the dispute involves only part of a shipment (for example, 3 of 22 pallets), the system can partially release the undisputed portion for settlement.</w:t>
      </w:r>
    </w:p>
    <w:p>
      <w:pPr>
        <w:spacing w:after="80" w:line="293" w:lineRule="auto"/>
        <w:jc w:val="left"/>
      </w:pPr>
      <w:r>
        <w:rPr>
          <w:rFonts w:ascii="Times New Roman" w:hAnsi="Times New Roman" w:cs="Times New Roman"/>
          <w:b w:val="0"/>
          <w:i w:val="0"/>
          <w:sz w:val="22"/>
        </w:rPr>
        <w:t>Partial release criteria. Partial release is proposed when the disputed portion is separable and the undisputed portion is independently settled-ready. One-click: if partial release is proposed, the non-disputing party clicks "Approve Release" (1) and the Governor releases the portion. AI authority: A3 for partial release approval (human escalation); A4 for freeze/unfreeze.</w:t>
      </w:r>
    </w:p>
    <w:p>
      <w:pPr>
        <w:keepNext/>
        <w:spacing w:before="180" w:after="80"/>
        <w:outlineLvl w:val="2"/>
      </w:pPr>
      <w:r>
        <w:rPr>
          <w:rFonts w:ascii="Arial" w:hAnsi="Arial" w:cs="Arial"/>
          <w:b/>
          <w:i w:val="0"/>
          <w:color w:val="333333"/>
          <w:sz w:val="23"/>
        </w:rPr>
        <w:t>14.3.8 Document Authenticity Check (A2)</w:t>
      </w:r>
    </w:p>
    <w:p>
      <w:pPr>
        <w:spacing w:after="80" w:line="293" w:lineRule="auto"/>
        <w:jc w:val="left"/>
      </w:pPr>
      <w:r>
        <w:rPr>
          <w:rFonts w:ascii="Times New Roman" w:hAnsi="Times New Roman" w:cs="Times New Roman"/>
          <w:b w:val="0"/>
          <w:i w:val="0"/>
          <w:sz w:val="22"/>
        </w:rPr>
        <w:t>Purpose. If a party submits new evidence that contradicts previously uploaded documents, the document-authenticity agent (HF Donut + metadata analysis) cross-checks: metadata (dates, author, digital signatures); consistency of the issuing body with the original document; and any signs of tampering (hash comparison, pixel-level analysis).</w:t>
      </w:r>
    </w:p>
    <w:p>
      <w:pPr>
        <w:spacing w:after="80" w:line="293" w:lineRule="auto"/>
        <w:jc w:val="left"/>
      </w:pPr>
      <w:r>
        <w:rPr>
          <w:rFonts w:ascii="Times New Roman" w:hAnsi="Times New Roman" w:cs="Times New Roman"/>
          <w:b w:val="0"/>
          <w:i w:val="0"/>
          <w:sz w:val="22"/>
        </w:rPr>
        <w:t>Output. If inconsistency is detected, the flag is recorded in `dispute_recommendations.document_authenticity_flag`. The mediator sees a warning but the document is not automatically excluded. Example warning: "The inspection report submitted by the buyer appears to be from a different surveyor than the original QC booking. Confidence 88%. May require external verification." One-click: no action — automatic flagging; the mediator can click "View Details" to see the discrepancy. AI authority: A2 for the authenticity check (HF Donut + ViT).</w:t>
      </w:r>
    </w:p>
    <w:p>
      <w:pPr>
        <w:keepNext/>
        <w:spacing w:before="180" w:after="80"/>
        <w:outlineLvl w:val="2"/>
      </w:pPr>
      <w:r>
        <w:rPr>
          <w:rFonts w:ascii="Arial" w:hAnsi="Arial" w:cs="Arial"/>
          <w:b/>
          <w:i w:val="0"/>
          <w:color w:val="333333"/>
          <w:sz w:val="23"/>
        </w:rPr>
        <w:t>14.3.9 Third-Party Expert Invitation</w:t>
      </w:r>
    </w:p>
    <w:p>
      <w:pPr>
        <w:spacing w:after="80" w:line="293" w:lineRule="auto"/>
        <w:jc w:val="left"/>
      </w:pPr>
      <w:r>
        <w:rPr>
          <w:rFonts w:ascii="Times New Roman" w:hAnsi="Times New Roman" w:cs="Times New Roman"/>
          <w:b w:val="0"/>
          <w:i w:val="0"/>
          <w:sz w:val="22"/>
        </w:rPr>
        <w:t>Purpose. Disputes often benefit from independent surveyors, laboratories, or arbitrators. Any party in the mediation can click "Invite Third-Party Expert" — one click.</w:t>
      </w:r>
    </w:p>
    <w:p>
      <w:pPr>
        <w:spacing w:after="80" w:line="293" w:lineRule="auto"/>
        <w:jc w:val="left"/>
      </w:pPr>
      <w:r>
        <w:rPr>
          <w:rFonts w:ascii="Times New Roman" w:hAnsi="Times New Roman" w:cs="Times New Roman"/>
          <w:b w:val="0"/>
          <w:i w:val="0"/>
          <w:sz w:val="22"/>
        </w:rPr>
        <w:t>Workflow: click "Invite Third-Party Expert" (modal opens) → select expert type: Surveyor, Laboratory, Arbitrator, or Legal counsel → choose from the pre-approved list or enter a specific GTID → add a message to the expert (optional) → click "Send Invitation" (one click). The expert receives a secure, read-only link to the evidence package (token-based, no login required) and posts a non-binding opinion — one click.</w:t>
      </w:r>
    </w:p>
    <w:p>
      <w:pPr>
        <w:spacing w:after="80" w:line="293" w:lineRule="auto"/>
        <w:jc w:val="left"/>
      </w:pPr>
      <w:r>
        <w:rPr>
          <w:rFonts w:ascii="Times New Roman" w:hAnsi="Times New Roman" w:cs="Times New Roman"/>
          <w:b w:val="0"/>
          <w:i w:val="0"/>
          <w:sz w:val="22"/>
        </w:rPr>
        <w:t>Pre-approved expert list. The platform maintains a pre-approved list per expert type (surveyor, laboratory, arbitrator, legal); parties may alternatively invite a specific GTID from their own network. AI authority: A3 for expert invitation and opinion posting.</w:t>
      </w:r>
    </w:p>
    <w:p>
      <w:pPr>
        <w:keepNext/>
        <w:spacing w:before="180" w:after="80"/>
        <w:outlineLvl w:val="2"/>
      </w:pPr>
      <w:r>
        <w:rPr>
          <w:rFonts w:ascii="Arial" w:hAnsi="Arial" w:cs="Arial"/>
          <w:b/>
          <w:i w:val="0"/>
          <w:color w:val="333333"/>
          <w:sz w:val="23"/>
        </w:rPr>
        <w:t>14.3.10 Predictive Dispute Outcome (A2, XGBoost)</w:t>
      </w:r>
    </w:p>
    <w:p>
      <w:pPr>
        <w:spacing w:after="80" w:line="293" w:lineRule="auto"/>
        <w:jc w:val="left"/>
      </w:pPr>
      <w:r>
        <w:rPr>
          <w:rFonts w:ascii="Times New Roman" w:hAnsi="Times New Roman" w:cs="Times New Roman"/>
          <w:b w:val="0"/>
          <w:i w:val="0"/>
          <w:sz w:val="22"/>
        </w:rPr>
        <w:t>Trigger &amp; model. After the evidence is compiled, the system runs a predictive model trained on past dispute outcomes.</w:t>
      </w:r>
    </w:p>
    <w:p>
      <w:pPr>
        <w:spacing w:after="80" w:line="293" w:lineRule="auto"/>
        <w:jc w:val="left"/>
      </w:pPr>
      <w:r>
        <w:rPr>
          <w:rFonts w:ascii="Times New Roman" w:hAnsi="Times New Roman" w:cs="Times New Roman"/>
          <w:b w:val="0"/>
          <w:i w:val="0"/>
          <w:sz w:val="22"/>
        </w:rPr>
        <w:t>Input features: dispute type, commodity, Incoterm, ports; party trust scores and dispute history; existence of contradictory evidence (for example, origin QC pass vs destination damage); contractual strength of the complaining clause; QC override patterns (frequency, reasons); and causal analysis output (if available).</w:t>
      </w:r>
    </w:p>
    <w:p>
      <w:pPr>
        <w:spacing w:after="80" w:line="293" w:lineRule="auto"/>
        <w:jc w:val="left"/>
      </w:pPr>
      <w:r>
        <w:rPr>
          <w:rFonts w:ascii="Times New Roman" w:hAnsi="Times New Roman" w:cs="Times New Roman"/>
          <w:b w:val="0"/>
          <w:i w:val="0"/>
          <w:sz w:val="22"/>
        </w:rPr>
        <w:t>Output: estimated probability of the filing party winning (0–100%); predicted damage amount (range); confidence interval; and a Groq-generated neutral, plain-language summary. Example: "Estimated probability of buyer winning: 78%. Typical award range: $1,200 — $1,600."</w:t>
      </w:r>
    </w:p>
    <w:p>
      <w:pPr>
        <w:spacing w:after="80" w:line="293" w:lineRule="auto"/>
        <w:jc w:val="left"/>
      </w:pPr>
      <w:r>
        <w:rPr>
          <w:rFonts w:ascii="Times New Roman" w:hAnsi="Times New Roman" w:cs="Times New Roman"/>
          <w:b w:val="0"/>
          <w:i w:val="0"/>
          <w:sz w:val="22"/>
        </w:rPr>
        <w:t>One-click: no action — displayed in the mediation log as advisory; both parties see the same prediction. AI authority: A2 for predictive modelling (XGBoost); A1 for the Groq summary.</w:t>
      </w:r>
    </w:p>
    <w:p>
      <w:pPr>
        <w:keepNext/>
        <w:spacing w:before="180" w:after="80"/>
        <w:outlineLvl w:val="2"/>
      </w:pPr>
      <w:r>
        <w:rPr>
          <w:rFonts w:ascii="Arial" w:hAnsi="Arial" w:cs="Arial"/>
          <w:b/>
          <w:i w:val="0"/>
          <w:color w:val="333333"/>
          <w:sz w:val="23"/>
        </w:rPr>
        <w:t>14.3.11 Escalation to International Arbitration</w:t>
      </w:r>
    </w:p>
    <w:p>
      <w:pPr>
        <w:spacing w:after="80" w:line="293" w:lineRule="auto"/>
        <w:jc w:val="left"/>
      </w:pPr>
      <w:r>
        <w:rPr>
          <w:rFonts w:ascii="Times New Roman" w:hAnsi="Times New Roman" w:cs="Times New Roman"/>
          <w:b w:val="0"/>
          <w:i w:val="0"/>
          <w:sz w:val="22"/>
        </w:rPr>
        <w:t>Trigger. If mediation fails after the maximum number of rounds (default 5) or either party clicks "Escalate to Arbitration", the system prepares the case for formal arbitration.</w:t>
      </w:r>
    </w:p>
    <w:p>
      <w:pPr>
        <w:spacing w:after="80" w:line="293" w:lineRule="auto"/>
        <w:jc w:val="left"/>
      </w:pPr>
      <w:r>
        <w:rPr>
          <w:rFonts w:ascii="Times New Roman" w:hAnsi="Times New Roman" w:cs="Times New Roman"/>
          <w:b w:val="0"/>
          <w:i w:val="0"/>
          <w:sz w:val="22"/>
        </w:rPr>
        <w:t>Automated case filing (A2, A1). The system retrieves the arbitration request form template (pre-obtained from ICC, DIFC-LCIA, CRCICA, etc.); autofills it with the dispute details, parties, USTN, and contract references; Groq drafts the claim narrative in the required language; and compiles the package (form + evidence + Loom hash) as a PDF. The filing party's legal counsel reviews and submits it (outside the platform).</w:t>
      </w:r>
    </w:p>
    <w:p>
      <w:pPr>
        <w:spacing w:after="80" w:line="293" w:lineRule="auto"/>
        <w:jc w:val="left"/>
      </w:pPr>
      <w:r>
        <w:rPr>
          <w:rFonts w:ascii="Times New Roman" w:hAnsi="Times New Roman" w:cs="Times New Roman"/>
          <w:b w:val="0"/>
          <w:i w:val="0"/>
          <w:sz w:val="22"/>
        </w:rPr>
        <w:t>Supported arbitration bodies: ICC (International Chamber of Commerce), DIFC-LCIA (Dubai International Financial Centre – London Court of International Arbitration), CRCICA (Cairo Regional Centre for Commercial International Arbitration), LCIA (London Court of International Arbitration), UNCITRAL (United Nations Commission on International Trade Law).</w:t>
      </w:r>
    </w:p>
    <w:p>
      <w:pPr>
        <w:spacing w:after="80" w:line="293" w:lineRule="auto"/>
        <w:jc w:val="left"/>
      </w:pPr>
      <w:r>
        <w:rPr>
          <w:rFonts w:ascii="Times New Roman" w:hAnsi="Times New Roman" w:cs="Times New Roman"/>
          <w:b w:val="0"/>
          <w:i w:val="0"/>
          <w:sz w:val="22"/>
        </w:rPr>
        <w:t>One-click: any party clicks "Prepare Arbitration Case" (1); the system generates the PDF; download (1). AI authority: A2 for document assembly; A1 for Groq drafting.</w:t>
      </w:r>
    </w:p>
    <w:p>
      <w:pPr>
        <w:keepNext/>
        <w:spacing w:before="180" w:after="80"/>
        <w:outlineLvl w:val="2"/>
      </w:pPr>
      <w:r>
        <w:rPr>
          <w:rFonts w:ascii="Arial" w:hAnsi="Arial" w:cs="Arial"/>
          <w:b/>
          <w:i w:val="0"/>
          <w:color w:val="333333"/>
          <w:sz w:val="23"/>
        </w:rPr>
        <w:t>14.3.12 SGTX Fee Dispute (Separate Workflow)</w:t>
      </w:r>
    </w:p>
    <w:p>
      <w:pPr>
        <w:spacing w:after="80" w:line="293" w:lineRule="auto"/>
        <w:jc w:val="left"/>
      </w:pPr>
      <w:r>
        <w:rPr>
          <w:rFonts w:ascii="Times New Roman" w:hAnsi="Times New Roman" w:cs="Times New Roman"/>
          <w:b w:val="0"/>
          <w:i w:val="0"/>
          <w:sz w:val="22"/>
        </w:rPr>
        <w:t>Purpose. A tenant may dispute the SGTX trade fee calculation (for example, a wrong dynamic rate applied, or misclassification of a commodity). This is a separate dispute type (FEE_DISPUTE) filed via POST /v1/dispute/fee.</w:t>
      </w:r>
    </w:p>
    <w:p>
      <w:pPr>
        <w:spacing w:after="80" w:line="293" w:lineRule="auto"/>
        <w:jc w:val="left"/>
      </w:pPr>
      <w:r>
        <w:rPr>
          <w:rFonts w:ascii="Times New Roman" w:hAnsi="Times New Roman" w:cs="Times New Roman"/>
          <w:b w:val="0"/>
          <w:i w:val="0"/>
          <w:sz w:val="22"/>
        </w:rPr>
        <w:t>Workflow. The tenant files the fee dispute with the USTN and reason; the fee calculation is re-analysed (A2); if a refund is justified, the authority reviews and clicks "Approve Refund" (1) and the refund is processed automatically. Unresolved fee disputes escalate to multisig approval (multiple authorized signers must approve before any refund or fee adjustment is executed).</w:t>
      </w:r>
    </w:p>
    <w:p>
      <w:pPr>
        <w:spacing w:after="80" w:line="293" w:lineRule="auto"/>
        <w:jc w:val="left"/>
      </w:pPr>
      <w:r>
        <w:rPr>
          <w:rFonts w:ascii="Times New Roman" w:hAnsi="Times New Roman" w:cs="Times New Roman"/>
          <w:b w:val="0"/>
          <w:i w:val="0"/>
          <w:sz w:val="22"/>
        </w:rPr>
        <w:t>Time limit: must be filed within 90 days of fee payment. One-click: the tenant clicks "Dispute" → submit (1). AI authority: A2 for fee calculation analysis; A3 for multisig escalation.</w:t>
      </w:r>
    </w:p>
    <w:p>
      <w:pPr>
        <w:keepNext/>
        <w:spacing w:before="180" w:after="80"/>
        <w:outlineLvl w:val="2"/>
      </w:pPr>
      <w:r>
        <w:rPr>
          <w:rFonts w:ascii="Arial" w:hAnsi="Arial" w:cs="Arial"/>
          <w:b/>
          <w:i w:val="0"/>
          <w:color w:val="333333"/>
          <w:sz w:val="23"/>
        </w:rPr>
        <w:t>14.3.13 QC Dispute Fast-Track</w:t>
      </w:r>
    </w:p>
    <w:p>
      <w:pPr>
        <w:spacing w:after="80" w:line="293" w:lineRule="auto"/>
        <w:jc w:val="left"/>
      </w:pPr>
      <w:r>
        <w:rPr>
          <w:rFonts w:ascii="Times New Roman" w:hAnsi="Times New Roman" w:cs="Times New Roman"/>
          <w:b w:val="0"/>
          <w:i w:val="0"/>
          <w:sz w:val="22"/>
        </w:rPr>
        <w:t>Purpose. If the dispute involves a QC report, the evidence package automatically includes a dedicated `qc_overrides` section listing every AI finding that the inspector overrode.</w:t>
      </w:r>
    </w:p>
    <w:p>
      <w:pPr>
        <w:spacing w:after="80" w:line="293" w:lineRule="auto"/>
        <w:jc w:val="left"/>
      </w:pPr>
      <w:r>
        <w:rPr>
          <w:rFonts w:ascii="Times New Roman" w:hAnsi="Times New Roman" w:cs="Times New Roman"/>
          <w:b w:val="0"/>
          <w:i w:val="0"/>
          <w:sz w:val="22"/>
        </w:rPr>
        <w:t>Override details: original AI detection (defect type, confidence %); the inspector's classification after the override; the inspector's mandatory reason (≥10 characters); and the timestamp and photo hashes.</w:t>
      </w:r>
    </w:p>
    <w:p>
      <w:pPr>
        <w:spacing w:after="80" w:line="293" w:lineRule="auto"/>
        <w:jc w:val="left"/>
      </w:pPr>
      <w:r>
        <w:rPr>
          <w:rFonts w:ascii="Times New Roman" w:hAnsi="Times New Roman" w:cs="Times New Roman"/>
          <w:b w:val="0"/>
          <w:i w:val="0"/>
          <w:sz w:val="22"/>
        </w:rPr>
        <w:t>Example override section: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"qc_overrides":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"pallet_id": "OR020",</w:t>
      </w:r>
    </w:p>
    <w:p>
      <w:pPr>
        <w:spacing w:after="0" w:before="0" w:line="240" w:lineRule="auto"/>
        <w:ind w:left="57"/>
        <w:jc w:val="left"/>
        <w:shd w:val="clear" w:fill="F2F2F2"/>
      </w:pPr>
      <w:r>
        <w:rPr>
          <w:rFonts w:ascii="Consolas" w:hAnsi="Consolas" w:cs="Consolas"/>
          <w:b w:val="0"/>
          <w:i w:val="0"/>
          <w:sz w:val="15"/>
        </w:rPr>
        <w:t xml:space="preserve">            "original_ai": {</w:t>
      </w:r>
    </w:p>
    <w:p>
      <w:pPr>
        <w:spacing w:after="0" w:before="0" w:line="240" w:lineRule="auto"/>
        <w:ind w:left="57"/>
        <w:jc w:val="left"/>
        <w:shd w:val="clear" w:fill="F2F2F2"/>
      </w:pPr>
      <w:r>
        <w:rPr>
          <w:rFonts w:ascii="Consolas" w:hAnsi="Consolas" w:cs="Consolas"/>
          <w:b w:val="0"/>
          <w:i w:val="0"/>
          <w:sz w:val="15"/>
        </w:rPr>
        <w:t xml:space="preserve">                "defect": "mould",</w:t>
      </w:r>
    </w:p>
    <w:p>
      <w:pPr>
        <w:spacing w:after="0" w:before="0" w:line="240" w:lineRule="auto"/>
        <w:ind w:left="57"/>
        <w:jc w:val="left"/>
        <w:shd w:val="clear" w:fill="F2F2F2"/>
      </w:pPr>
      <w:r>
        <w:rPr>
          <w:rFonts w:ascii="Consolas" w:hAnsi="Consolas" w:cs="Consolas"/>
          <w:b w:val="0"/>
          <w:i w:val="0"/>
          <w:sz w:val="15"/>
        </w:rPr>
        <w:t xml:space="preserve">                "confidence": 88,</w:t>
      </w:r>
    </w:p>
    <w:p>
      <w:pPr>
        <w:spacing w:after="0" w:before="0" w:line="240" w:lineRule="auto"/>
        <w:ind w:left="57"/>
        <w:jc w:val="left"/>
        <w:shd w:val="clear" w:fill="F2F2F2"/>
      </w:pPr>
      <w:r>
        <w:rPr>
          <w:rFonts w:ascii="Consolas" w:hAnsi="Consolas" w:cs="Consolas"/>
          <w:b w:val="0"/>
          <w:i w:val="0"/>
          <w:sz w:val="15"/>
        </w:rPr>
        <w:t xml:space="preserve">                "timestamp": "2026-04-14T14:20:00Z"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"inspector_override": {</w:t>
      </w:r>
    </w:p>
    <w:p>
      <w:pPr>
        <w:spacing w:after="0" w:before="0" w:line="240" w:lineRule="auto"/>
        <w:ind w:left="57"/>
        <w:jc w:val="left"/>
        <w:shd w:val="clear" w:fill="F2F2F2"/>
      </w:pPr>
      <w:r>
        <w:rPr>
          <w:rFonts w:ascii="Consolas" w:hAnsi="Consolas" w:cs="Consolas"/>
          <w:b w:val="0"/>
          <w:i w:val="0"/>
          <w:sz w:val="15"/>
        </w:rPr>
        <w:t xml:space="preserve">                "classification": "bruising",</w:t>
      </w:r>
    </w:p>
    <w:p>
      <w:pPr>
        <w:spacing w:after="0" w:before="0" w:line="240" w:lineRule="auto"/>
        <w:ind w:left="57"/>
        <w:jc w:val="left"/>
        <w:shd w:val="clear" w:fill="F2F2F2"/>
      </w:pPr>
      <w:r>
        <w:rPr>
          <w:rFonts w:ascii="Consolas" w:hAnsi="Consolas" w:cs="Consolas"/>
          <w:b w:val="0"/>
          <w:i w:val="0"/>
          <w:sz w:val="15"/>
        </w:rPr>
        <w:t xml:space="preserve">                "reason": "Dark spot is surface bruise, no mould under magnifier.",</w:t>
      </w:r>
    </w:p>
    <w:p>
      <w:pPr>
        <w:spacing w:after="0" w:before="0" w:line="240" w:lineRule="auto"/>
        <w:ind w:left="57"/>
        <w:jc w:val="left"/>
        <w:shd w:val="clear" w:fill="F2F2F2"/>
      </w:pPr>
      <w:r>
        <w:rPr>
          <w:rFonts w:ascii="Consolas" w:hAnsi="Consolas" w:cs="Consolas"/>
          <w:b w:val="0"/>
          <w:i w:val="0"/>
          <w:sz w:val="15"/>
        </w:rPr>
        <w:t xml:space="preserve">                "timestamp": "2026-04-14T14:30:00Z"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"photo_hash": "sha256:abc123..."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no action — automatically included; the mediator sees the overrides highlighted. If patterns of bad overrides are detected, the inspector's licence can be revoked through the A3 escalation workflow. AI authority: A2 for extracting overrides; A3 for licence revocation.</w:t>
      </w:r>
    </w:p>
    <w:p>
      <w:pPr>
        <w:keepNext/>
        <w:spacing w:before="180" w:after="80"/>
        <w:outlineLvl w:val="2"/>
      </w:pPr>
      <w:r>
        <w:rPr>
          <w:rFonts w:ascii="Arial" w:hAnsi="Arial" w:cs="Arial"/>
          <w:b/>
          <w:i w:val="0"/>
          <w:color w:val="333333"/>
          <w:sz w:val="23"/>
        </w:rPr>
        <w:t>14.3.14 Dispute Data Model</w:t>
      </w:r>
    </w:p>
    <w:p>
      <w:pPr>
        <w:spacing w:after="0" w:before="0" w:line="240" w:lineRule="auto"/>
        <w:ind w:left="57"/>
        <w:jc w:val="left"/>
        <w:shd w:val="clear" w:fill="F2F2F2"/>
      </w:pPr>
      <w:r>
        <w:rPr>
          <w:rFonts w:ascii="Consolas" w:hAnsi="Consolas" w:cs="Consolas"/>
          <w:b w:val="0"/>
          <w:i w:val="0"/>
          <w:sz w:val="15"/>
        </w:rPr>
        <w:t>-- Disputes (core)</w:t>
      </w:r>
    </w:p>
    <w:p>
      <w:pPr>
        <w:spacing w:after="0" w:before="0" w:line="240" w:lineRule="auto"/>
        <w:ind w:left="57"/>
        <w:jc w:val="left"/>
        <w:shd w:val="clear" w:fill="F2F2F2"/>
      </w:pPr>
      <w:r>
        <w:rPr>
          <w:rFonts w:ascii="Consolas" w:hAnsi="Consolas" w:cs="Consolas"/>
          <w:b w:val="0"/>
          <w:i w:val="0"/>
          <w:sz w:val="15"/>
        </w:rPr>
        <w:t>-- disputes: canonical definition in Section 17.16;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Dispute recommendations (AI-generated)</w:t>
      </w:r>
    </w:p>
    <w:p>
      <w:pPr>
        <w:spacing w:after="0" w:before="0" w:line="240" w:lineRule="auto"/>
        <w:ind w:left="57"/>
        <w:jc w:val="left"/>
        <w:shd w:val="clear" w:fill="F2F2F2"/>
      </w:pPr>
      <w:r>
        <w:rPr>
          <w:rFonts w:ascii="Consolas" w:hAnsi="Consolas" w:cs="Consolas"/>
          <w:b w:val="0"/>
          <w:i w:val="0"/>
          <w:sz w:val="15"/>
        </w:rPr>
        <w:t>-- dispute_recommendations: canonical definition in Section 17.16;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Evidence packages</w:t>
      </w:r>
    </w:p>
    <w:p>
      <w:pPr>
        <w:spacing w:after="0" w:before="0" w:line="240" w:lineRule="auto"/>
        <w:ind w:left="57"/>
        <w:jc w:val="left"/>
        <w:shd w:val="clear" w:fill="F2F2F2"/>
      </w:pPr>
      <w:r>
        <w:rPr>
          <w:rFonts w:ascii="Consolas" w:hAnsi="Consolas" w:cs="Consolas"/>
          <w:b w:val="0"/>
          <w:i w:val="0"/>
          <w:sz w:val="15"/>
        </w:rPr>
        <w:t>-- evidence_packages: canonical definition in Section 17.16;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Causal attribution</w:t>
      </w:r>
    </w:p>
    <w:p>
      <w:pPr>
        <w:spacing w:after="0" w:before="0" w:line="240" w:lineRule="auto"/>
        <w:ind w:left="57"/>
        <w:jc w:val="left"/>
        <w:shd w:val="clear" w:fill="F2F2F2"/>
      </w:pPr>
      <w:r>
        <w:rPr>
          <w:rFonts w:ascii="Consolas" w:hAnsi="Consolas" w:cs="Consolas"/>
          <w:b w:val="0"/>
          <w:i w:val="0"/>
          <w:sz w:val="15"/>
        </w:rPr>
        <w:t>-- causal_attribution: canonical definition in Section 17.16;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Third-party experts</w:t>
      </w:r>
    </w:p>
    <w:p>
      <w:pPr>
        <w:spacing w:after="0" w:before="0" w:line="240" w:lineRule="auto"/>
        <w:ind w:left="57"/>
        <w:jc w:val="left"/>
        <w:shd w:val="clear" w:fill="F2F2F2"/>
      </w:pPr>
      <w:r>
        <w:rPr>
          <w:rFonts w:ascii="Consolas" w:hAnsi="Consolas" w:cs="Consolas"/>
          <w:b w:val="0"/>
          <w:i w:val="0"/>
          <w:sz w:val="15"/>
        </w:rPr>
        <w:t>-- dispute_experts: canonical definition in Section 17.16;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TRI disputes</w:t>
      </w:r>
    </w:p>
    <w:p>
      <w:pPr>
        <w:spacing w:after="0" w:before="0" w:line="240" w:lineRule="auto"/>
        <w:ind w:left="57"/>
        <w:jc w:val="left"/>
        <w:shd w:val="clear" w:fill="F2F2F2"/>
      </w:pPr>
      <w:r>
        <w:rPr>
          <w:rFonts w:ascii="Consolas" w:hAnsi="Consolas" w:cs="Consolas"/>
          <w:b w:val="0"/>
          <w:i w:val="0"/>
          <w:sz w:val="15"/>
        </w:rPr>
        <w:t>-- tri_disputes: canonical definition in Section 17.5;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idx_disputes_ustn ON disputes(ustn);</w:t>
      </w:r>
    </w:p>
    <w:p>
      <w:pPr>
        <w:spacing w:after="0" w:before="0" w:line="240" w:lineRule="auto"/>
        <w:ind w:left="57"/>
        <w:jc w:val="left"/>
        <w:shd w:val="clear" w:fill="F2F2F2"/>
      </w:pPr>
      <w:r>
        <w:rPr>
          <w:rFonts w:ascii="Consolas" w:hAnsi="Consolas" w:cs="Consolas"/>
          <w:b w:val="0"/>
          <w:i w:val="0"/>
          <w:sz w:val="15"/>
        </w:rPr>
        <w:t>CREATE INDEX idx_disputes_status ON disputes(status);</w:t>
      </w:r>
    </w:p>
    <w:p>
      <w:pPr>
        <w:spacing w:after="0" w:before="0" w:line="240" w:lineRule="auto"/>
        <w:ind w:left="57"/>
        <w:jc w:val="left"/>
        <w:shd w:val="clear" w:fill="F2F2F2"/>
      </w:pPr>
      <w:r>
        <w:rPr>
          <w:rFonts w:ascii="Consolas" w:hAnsi="Consolas" w:cs="Consolas"/>
          <w:b w:val="0"/>
          <w:i w:val="0"/>
          <w:sz w:val="15"/>
        </w:rPr>
        <w:t>CREATE INDEX idx_disputes_filing_party ON disputes(filing_party_gtid);</w:t>
      </w:r>
    </w:p>
    <w:p>
      <w:pPr>
        <w:spacing w:after="0" w:before="0" w:line="240" w:lineRule="auto"/>
        <w:ind w:left="57"/>
        <w:jc w:val="left"/>
        <w:shd w:val="clear" w:fill="F2F2F2"/>
      </w:pPr>
      <w:r>
        <w:rPr>
          <w:rFonts w:ascii="Consolas" w:hAnsi="Consolas" w:cs="Consolas"/>
          <w:b w:val="0"/>
          <w:i w:val="0"/>
          <w:sz w:val="15"/>
        </w:rPr>
        <w:t>CREATE INDEX idx_disputes_category ON disputes(dispute_category);</w:t>
      </w:r>
    </w:p>
    <w:p>
      <w:pPr>
        <w:spacing w:after="0" w:before="0" w:line="240" w:lineRule="auto"/>
        <w:ind w:left="57"/>
        <w:jc w:val="left"/>
        <w:shd w:val="clear" w:fill="F2F2F2"/>
      </w:pPr>
      <w:r>
        <w:rPr>
          <w:rFonts w:ascii="Consolas" w:hAnsi="Consolas" w:cs="Consolas"/>
          <w:b w:val="0"/>
          <w:i w:val="0"/>
          <w:sz w:val="15"/>
        </w:rPr>
        <w:t>CREATE INDEX idx_dispute_recommendations_dispute ON dispute_recommendations(dispute_id);</w:t>
      </w:r>
    </w:p>
    <w:p>
      <w:pPr>
        <w:spacing w:after="0" w:before="0" w:line="240" w:lineRule="auto"/>
        <w:ind w:left="57"/>
        <w:jc w:val="left"/>
        <w:shd w:val="clear" w:fill="F2F2F2"/>
      </w:pPr>
      <w:r>
        <w:rPr>
          <w:rFonts w:ascii="Consolas" w:hAnsi="Consolas" w:cs="Consolas"/>
          <w:b w:val="0"/>
          <w:i w:val="0"/>
          <w:sz w:val="15"/>
        </w:rPr>
        <w:t>CREATE INDEX idx_evidence_packages_dispute ON evidence_packages(dispute_id);</w:t>
      </w:r>
    </w:p>
    <w:p>
      <w:pPr>
        <w:spacing w:after="0" w:before="0" w:line="240" w:lineRule="auto"/>
        <w:ind w:left="57"/>
        <w:jc w:val="left"/>
        <w:shd w:val="clear" w:fill="F2F2F2"/>
      </w:pPr>
      <w:r>
        <w:rPr>
          <w:rFonts w:ascii="Consolas" w:hAnsi="Consolas" w:cs="Consolas"/>
          <w:b w:val="0"/>
          <w:i w:val="0"/>
          <w:sz w:val="15"/>
        </w:rPr>
        <w:t>CREATE INDEX idx_evidence_packages_token ON evidence_packages(verification_token);</w:t>
      </w:r>
    </w:p>
    <w:p>
      <w:pPr>
        <w:spacing w:after="0" w:before="0" w:line="240" w:lineRule="auto"/>
        <w:ind w:left="57"/>
        <w:jc w:val="left"/>
        <w:shd w:val="clear" w:fill="F2F2F2"/>
      </w:pPr>
      <w:r>
        <w:rPr>
          <w:rFonts w:ascii="Consolas" w:hAnsi="Consolas" w:cs="Consolas"/>
          <w:b w:val="0"/>
          <w:i w:val="0"/>
          <w:sz w:val="15"/>
        </w:rPr>
        <w:t>CREATE INDEX idx_causal_attribution_entity ON causal_attribution(entity_id, entity_type);</w:t>
      </w:r>
    </w:p>
    <w:p>
      <w:pPr>
        <w:spacing w:after="0" w:before="0" w:line="240" w:lineRule="auto"/>
        <w:ind w:left="57"/>
        <w:jc w:val="left"/>
        <w:shd w:val="clear" w:fill="F2F2F2"/>
      </w:pPr>
      <w:r>
        <w:rPr>
          <w:rFonts w:ascii="Consolas" w:hAnsi="Consolas" w:cs="Consolas"/>
          <w:b w:val="0"/>
          <w:i w:val="0"/>
          <w:sz w:val="15"/>
        </w:rPr>
        <w:t>CREATE INDEX idx_dispute_experts_dispute ON dispute_experts(dispute_id);</w:t>
      </w:r>
    </w:p>
    <w:p>
      <w:pPr>
        <w:spacing w:after="0" w:before="0" w:line="240" w:lineRule="auto"/>
        <w:ind w:left="57"/>
        <w:jc w:val="left"/>
        <w:shd w:val="clear" w:fill="F2F2F2"/>
      </w:pPr>
      <w:r>
        <w:rPr>
          <w:rFonts w:ascii="Consolas" w:hAnsi="Consolas" w:cs="Consolas"/>
          <w:b w:val="0"/>
          <w:i w:val="0"/>
          <w:sz w:val="15"/>
        </w:rPr>
        <w:t>CREATE INDEX idx_tri_disputes_tenant ON tri_disputes(tenant_gtid);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14.3.15 Dispute Implementation Checklist</w:t>
      </w:r>
    </w:p>
    <w:p>
      <w:pPr>
        <w:spacing w:after="80" w:line="293" w:lineRule="auto"/>
        <w:jc w:val="left"/>
      </w:pPr>
      <w:r>
        <w:rPr>
          <w:rFonts w:ascii="Times New Roman" w:hAnsi="Times New Roman" w:cs="Times New Roman"/>
          <w:b w:val="0"/>
          <w:i w:val="0"/>
          <w:sz w:val="22"/>
        </w:rPr>
        <w:t>Core dispute infrastructure:</w:t>
      </w:r>
    </w:p>
    <w:p>
      <w:pPr>
        <w:spacing w:after="80" w:line="293" w:lineRule="auto"/>
        <w:ind w:left="283"/>
        <w:jc w:val="left"/>
      </w:pPr>
      <w:r>
        <w:rPr>
          <w:rFonts w:ascii="Times New Roman" w:hAnsi="Times New Roman" w:cs="Times New Roman"/>
          <w:b w:val="0"/>
          <w:i w:val="0"/>
          <w:sz w:val="22"/>
        </w:rPr>
        <w:t>- Implement dispute-service (Rust, Axum).</w:t>
      </w:r>
    </w:p>
    <w:p>
      <w:pPr>
        <w:spacing w:after="80" w:line="293" w:lineRule="auto"/>
        <w:ind w:left="283"/>
        <w:jc w:val="left"/>
      </w:pPr>
      <w:r>
        <w:rPr>
          <w:rFonts w:ascii="Times New Roman" w:hAnsi="Times New Roman" w:cs="Times New Roman"/>
          <w:b w:val="0"/>
          <w:i w:val="0"/>
          <w:sz w:val="22"/>
        </w:rPr>
        <w:t>- Build the dispute filing endpoint (voice and structured) with category selection.</w:t>
      </w:r>
    </w:p>
    <w:p>
      <w:pPr>
        <w:spacing w:after="80" w:line="293" w:lineRule="auto"/>
        <w:ind w:left="283"/>
        <w:jc w:val="left"/>
      </w:pPr>
      <w:r>
        <w:rPr>
          <w:rFonts w:ascii="Times New Roman" w:hAnsi="Times New Roman" w:cs="Times New Roman"/>
          <w:b w:val="0"/>
          <w:i w:val="0"/>
          <w:sz w:val="22"/>
        </w:rPr>
        <w:t>- Create the disputes table and state machine (FILED → MEDIATION → SETTLED → etc.).</w:t>
      </w:r>
    </w:p>
    <w:p>
      <w:pPr>
        <w:spacing w:after="80" w:line="293" w:lineRule="auto"/>
        <w:ind w:left="283"/>
        <w:jc w:val="left"/>
      </w:pPr>
      <w:r>
        <w:rPr>
          <w:rFonts w:ascii="Times New Roman" w:hAnsi="Times New Roman" w:cs="Times New Roman"/>
          <w:b w:val="0"/>
          <w:i w:val="0"/>
          <w:sz w:val="22"/>
        </w:rPr>
        <w:t>- Implement FeeLock freeze on dispute filing.</w:t>
      </w:r>
    </w:p>
    <w:p>
      <w:pPr>
        <w:spacing w:after="80" w:line="293" w:lineRule="auto"/>
        <w:ind w:left="283"/>
        <w:jc w:val="left"/>
      </w:pPr>
      <w:r>
        <w:rPr>
          <w:rFonts w:ascii="Times New Roman" w:hAnsi="Times New Roman" w:cs="Times New Roman"/>
          <w:b w:val="0"/>
          <w:i w:val="0"/>
          <w:sz w:val="22"/>
        </w:rPr>
        <w:t>- Implement the partial FeeLock release workflow (A3 approval).</w:t>
      </w:r>
    </w:p>
    <w:p>
      <w:pPr>
        <w:spacing w:after="80" w:line="293" w:lineRule="auto"/>
        <w:jc w:val="left"/>
      </w:pPr>
      <w:r>
        <w:rPr>
          <w:rFonts w:ascii="Times New Roman" w:hAnsi="Times New Roman" w:cs="Times New Roman"/>
          <w:b w:val="0"/>
          <w:i w:val="0"/>
          <w:sz w:val="22"/>
        </w:rPr>
        <w:t>Evidence &amp; causation:</w:t>
      </w:r>
    </w:p>
    <w:p>
      <w:pPr>
        <w:spacing w:after="80" w:line="293" w:lineRule="auto"/>
        <w:ind w:left="283"/>
        <w:jc w:val="left"/>
      </w:pPr>
      <w:r>
        <w:rPr>
          <w:rFonts w:ascii="Times New Roman" w:hAnsi="Times New Roman" w:cs="Times New Roman"/>
          <w:b w:val="0"/>
          <w:i w:val="0"/>
          <w:sz w:val="22"/>
        </w:rPr>
        <w:t>- Build the evidence autocompiler (collects from multiple services, Loom-hashes, stores in evidence_packages).</w:t>
      </w:r>
    </w:p>
    <w:p>
      <w:pPr>
        <w:spacing w:after="80" w:line="293" w:lineRule="auto"/>
        <w:ind w:left="283"/>
        <w:jc w:val="left"/>
      </w:pPr>
      <w:r>
        <w:rPr>
          <w:rFonts w:ascii="Times New Roman" w:hAnsi="Times New Roman" w:cs="Times New Roman"/>
          <w:b w:val="0"/>
          <w:i w:val="0"/>
          <w:sz w:val="22"/>
        </w:rPr>
        <w:t>- Integrate the causal inference engine — DoWhy + EconML.</w:t>
      </w:r>
    </w:p>
    <w:p>
      <w:pPr>
        <w:spacing w:after="80" w:line="293" w:lineRule="auto"/>
        <w:ind w:left="283"/>
        <w:jc w:val="left"/>
      </w:pPr>
      <w:r>
        <w:rPr>
          <w:rFonts w:ascii="Times New Roman" w:hAnsi="Times New Roman" w:cs="Times New Roman"/>
          <w:b w:val="0"/>
          <w:i w:val="0"/>
          <w:sz w:val="22"/>
        </w:rPr>
        <w:t>- Add the document authenticity check (HF Donut + ViT).</w:t>
      </w:r>
    </w:p>
    <w:p>
      <w:pPr>
        <w:spacing w:after="80" w:line="293" w:lineRule="auto"/>
        <w:ind w:left="283"/>
        <w:jc w:val="left"/>
      </w:pPr>
      <w:r>
        <w:rPr>
          <w:rFonts w:ascii="Times New Roman" w:hAnsi="Times New Roman" w:cs="Times New Roman"/>
          <w:b w:val="0"/>
          <w:i w:val="0"/>
          <w:sz w:val="22"/>
        </w:rPr>
        <w:t>- Implement the third-party expert invitation workflow (pre-approved list, secure link, opinion posting).</w:t>
      </w:r>
    </w:p>
    <w:p>
      <w:pPr>
        <w:spacing w:after="80" w:line="293" w:lineRule="auto"/>
        <w:jc w:val="left"/>
      </w:pPr>
      <w:r>
        <w:rPr>
          <w:rFonts w:ascii="Times New Roman" w:hAnsi="Times New Roman" w:cs="Times New Roman"/>
          <w:b w:val="0"/>
          <w:i w:val="0"/>
          <w:sz w:val="22"/>
        </w:rPr>
        <w:t>Mediation &amp; settlement:</w:t>
      </w:r>
    </w:p>
    <w:p>
      <w:pPr>
        <w:spacing w:after="80" w:line="293" w:lineRule="auto"/>
        <w:ind w:left="283"/>
        <w:jc w:val="left"/>
      </w:pPr>
      <w:r>
        <w:rPr>
          <w:rFonts w:ascii="Times New Roman" w:hAnsi="Times New Roman" w:cs="Times New Roman"/>
          <w:b w:val="0"/>
          <w:i w:val="0"/>
          <w:sz w:val="22"/>
        </w:rPr>
        <w:t>- Implement the mediation log UI with Groq translation and structured offers.</w:t>
      </w:r>
    </w:p>
    <w:p>
      <w:pPr>
        <w:spacing w:after="80" w:line="293" w:lineRule="auto"/>
        <w:ind w:left="283"/>
        <w:jc w:val="left"/>
      </w:pPr>
      <w:r>
        <w:rPr>
          <w:rFonts w:ascii="Times New Roman" w:hAnsi="Times New Roman" w:cs="Times New Roman"/>
          <w:b w:val="0"/>
          <w:i w:val="0"/>
          <w:sz w:val="22"/>
        </w:rPr>
        <w:t>- Add sentiment analysis (A2) with the cooling-off period suggestion.</w:t>
      </w:r>
    </w:p>
    <w:p>
      <w:pPr>
        <w:spacing w:after="80" w:line="293" w:lineRule="auto"/>
        <w:ind w:left="283"/>
        <w:jc w:val="left"/>
      </w:pPr>
      <w:r>
        <w:rPr>
          <w:rFonts w:ascii="Times New Roman" w:hAnsi="Times New Roman" w:cs="Times New Roman"/>
          <w:b w:val="0"/>
          <w:i w:val="0"/>
          <w:sz w:val="22"/>
        </w:rPr>
        <w:t>- Build the AI settlement proposal generator (Groq + XGBoost predictor).</w:t>
      </w:r>
    </w:p>
    <w:p>
      <w:pPr>
        <w:spacing w:after="80" w:line="293" w:lineRule="auto"/>
        <w:ind w:left="283"/>
        <w:jc w:val="left"/>
      </w:pPr>
      <w:r>
        <w:rPr>
          <w:rFonts w:ascii="Times New Roman" w:hAnsi="Times New Roman" w:cs="Times New Roman"/>
          <w:b w:val="0"/>
          <w:i w:val="0"/>
          <w:sz w:val="22"/>
        </w:rPr>
        <w:t>- Implement settlement addendum generation and signature collection.</w:t>
      </w:r>
    </w:p>
    <w:p>
      <w:pPr>
        <w:spacing w:after="80" w:line="293" w:lineRule="auto"/>
        <w:jc w:val="left"/>
      </w:pPr>
      <w:r>
        <w:rPr>
          <w:rFonts w:ascii="Times New Roman" w:hAnsi="Times New Roman" w:cs="Times New Roman"/>
          <w:b w:val="0"/>
          <w:i w:val="0"/>
          <w:sz w:val="22"/>
        </w:rPr>
        <w:t>Arbitration:</w:t>
      </w:r>
    </w:p>
    <w:p>
      <w:pPr>
        <w:spacing w:after="80" w:line="293" w:lineRule="auto"/>
        <w:ind w:left="283"/>
        <w:jc w:val="left"/>
      </w:pPr>
      <w:r>
        <w:rPr>
          <w:rFonts w:ascii="Times New Roman" w:hAnsi="Times New Roman" w:cs="Times New Roman"/>
          <w:b w:val="0"/>
          <w:i w:val="0"/>
          <w:sz w:val="22"/>
        </w:rPr>
        <w:t>- Build arbitration case preparation (template filling, Groq narrative, PDF generation).</w:t>
      </w:r>
    </w:p>
    <w:p>
      <w:pPr>
        <w:spacing w:after="80" w:line="293" w:lineRule="auto"/>
        <w:ind w:left="283"/>
        <w:jc w:val="left"/>
      </w:pPr>
      <w:r>
        <w:rPr>
          <w:rFonts w:ascii="Times New Roman" w:hAnsi="Times New Roman" w:cs="Times New Roman"/>
          <w:b w:val="0"/>
          <w:i w:val="0"/>
          <w:sz w:val="22"/>
        </w:rPr>
        <w:t>- Support multiple arbitration bodies: ICC, DIFC-LCIA, CRCICA, LCIA, UNCITRAL.</w:t>
      </w:r>
    </w:p>
    <w:p>
      <w:pPr>
        <w:spacing w:after="80" w:line="293" w:lineRule="auto"/>
        <w:jc w:val="left"/>
      </w:pPr>
      <w:r>
        <w:rPr>
          <w:rFonts w:ascii="Times New Roman" w:hAnsi="Times New Roman" w:cs="Times New Roman"/>
          <w:b w:val="0"/>
          <w:i w:val="0"/>
          <w:sz w:val="22"/>
        </w:rPr>
        <w:t>Fee &amp; TRI disputes:</w:t>
      </w:r>
    </w:p>
    <w:p>
      <w:pPr>
        <w:spacing w:after="80" w:line="293" w:lineRule="auto"/>
        <w:ind w:left="283"/>
        <w:jc w:val="left"/>
      </w:pPr>
      <w:r>
        <w:rPr>
          <w:rFonts w:ascii="Times New Roman" w:hAnsi="Times New Roman" w:cs="Times New Roman"/>
          <w:b w:val="0"/>
          <w:i w:val="0"/>
          <w:sz w:val="22"/>
        </w:rPr>
        <w:t>- Implement the SGTX fee dispute workflow with escalation to multisig.</w:t>
      </w:r>
    </w:p>
    <w:p>
      <w:pPr>
        <w:spacing w:after="80" w:line="293" w:lineRule="auto"/>
        <w:ind w:left="283"/>
        <w:jc w:val="left"/>
      </w:pPr>
      <w:r>
        <w:rPr>
          <w:rFonts w:ascii="Times New Roman" w:hAnsi="Times New Roman" w:cs="Times New Roman"/>
          <w:b w:val="0"/>
          <w:i w:val="0"/>
          <w:sz w:val="22"/>
        </w:rPr>
        <w:t>- Build the TRI dispute workflow (dispute calculation → review → resolution).</w:t>
      </w:r>
    </w:p>
    <w:p>
      <w:pPr>
        <w:spacing w:after="80" w:line="293" w:lineRule="auto"/>
        <w:ind w:left="283"/>
        <w:jc w:val="left"/>
      </w:pPr>
      <w:r>
        <w:rPr>
          <w:rFonts w:ascii="Times New Roman" w:hAnsi="Times New Roman" w:cs="Times New Roman"/>
          <w:b w:val="0"/>
          <w:i w:val="0"/>
          <w:sz w:val="22"/>
        </w:rPr>
        <w:t>- Add TRI recalculation on dispute resolution.</w:t>
      </w:r>
    </w:p>
    <w:p>
      <w:pPr>
        <w:spacing w:after="80" w:line="293" w:lineRule="auto"/>
        <w:jc w:val="left"/>
      </w:pPr>
      <w:r>
        <w:rPr>
          <w:rFonts w:ascii="Times New Roman" w:hAnsi="Times New Roman" w:cs="Times New Roman"/>
          <w:b w:val="0"/>
          <w:i w:val="0"/>
          <w:sz w:val="22"/>
        </w:rPr>
        <w:t>QC fast-track:</w:t>
      </w:r>
    </w:p>
    <w:p>
      <w:pPr>
        <w:spacing w:after="80" w:line="293" w:lineRule="auto"/>
        <w:ind w:left="283"/>
        <w:jc w:val="left"/>
      </w:pPr>
      <w:r>
        <w:rPr>
          <w:rFonts w:ascii="Times New Roman" w:hAnsi="Times New Roman" w:cs="Times New Roman"/>
          <w:b w:val="0"/>
          <w:i w:val="0"/>
          <w:sz w:val="22"/>
        </w:rPr>
        <w:t>- Automatically flag QC overrides in the evidence package.</w:t>
      </w:r>
    </w:p>
    <w:p>
      <w:pPr>
        <w:spacing w:after="80" w:line="293" w:lineRule="auto"/>
        <w:ind w:left="283"/>
        <w:jc w:val="left"/>
      </w:pPr>
      <w:r>
        <w:rPr>
          <w:rFonts w:ascii="Times New Roman" w:hAnsi="Times New Roman" w:cs="Times New Roman"/>
          <w:b w:val="0"/>
          <w:i w:val="0"/>
          <w:sz w:val="22"/>
        </w:rPr>
        <w:t>- Build the QC dispute fast-track with the override comparison table.</w:t>
      </w:r>
    </w:p>
    <w:p>
      <w:pPr>
        <w:spacing w:after="80" w:line="293" w:lineRule="auto"/>
        <w:ind w:left="283"/>
        <w:jc w:val="left"/>
      </w:pPr>
      <w:r>
        <w:rPr>
          <w:rFonts w:ascii="Times New Roman" w:hAnsi="Times New Roman" w:cs="Times New Roman"/>
          <w:b w:val="0"/>
          <w:i w:val="0"/>
          <w:sz w:val="22"/>
        </w:rPr>
        <w:t>- Add the inspector licence revocation workflow (A3) for bad overrides.</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Full dispute workflow: file → evidence compiled → mediation → settlement → addendum signed → TRI updated.</w:t>
      </w:r>
    </w:p>
    <w:p>
      <w:pPr>
        <w:spacing w:after="80" w:line="293" w:lineRule="auto"/>
        <w:ind w:left="283"/>
        <w:jc w:val="left"/>
      </w:pPr>
      <w:r>
        <w:rPr>
          <w:rFonts w:ascii="Times New Roman" w:hAnsi="Times New Roman" w:cs="Times New Roman"/>
          <w:b w:val="0"/>
          <w:i w:val="0"/>
          <w:sz w:val="22"/>
        </w:rPr>
        <w:t>- QC dispute fast-track with overrides flagged.</w:t>
      </w:r>
    </w:p>
    <w:p>
      <w:pPr>
        <w:spacing w:after="80" w:line="293" w:lineRule="auto"/>
        <w:ind w:left="283"/>
        <w:jc w:val="left"/>
      </w:pPr>
      <w:r>
        <w:rPr>
          <w:rFonts w:ascii="Times New Roman" w:hAnsi="Times New Roman" w:cs="Times New Roman"/>
          <w:b w:val="0"/>
          <w:i w:val="0"/>
          <w:sz w:val="22"/>
        </w:rPr>
        <w:t>- Causal inference integration.</w:t>
      </w:r>
    </w:p>
    <w:p>
      <w:pPr>
        <w:spacing w:after="80" w:line="293" w:lineRule="auto"/>
        <w:ind w:left="283"/>
        <w:jc w:val="left"/>
      </w:pPr>
      <w:r>
        <w:rPr>
          <w:rFonts w:ascii="Times New Roman" w:hAnsi="Times New Roman" w:cs="Times New Roman"/>
          <w:b w:val="0"/>
          <w:i w:val="0"/>
          <w:sz w:val="22"/>
        </w:rPr>
        <w:t>- Third-party expert invitation and opinion posting.</w:t>
      </w:r>
    </w:p>
    <w:p>
      <w:pPr>
        <w:spacing w:after="80" w:line="293" w:lineRule="auto"/>
        <w:ind w:left="283"/>
        <w:jc w:val="left"/>
      </w:pPr>
      <w:r>
        <w:rPr>
          <w:rFonts w:ascii="Times New Roman" w:hAnsi="Times New Roman" w:cs="Times New Roman"/>
          <w:b w:val="0"/>
          <w:i w:val="0"/>
          <w:sz w:val="22"/>
        </w:rPr>
        <w:t>- Arbitration case preparation.</w:t>
      </w:r>
    </w:p>
    <w:p>
      <w:pPr>
        <w:spacing w:after="80" w:line="293" w:lineRule="auto"/>
        <w:ind w:left="283"/>
        <w:jc w:val="left"/>
      </w:pPr>
      <w:r>
        <w:rPr>
          <w:rFonts w:ascii="Times New Roman" w:hAnsi="Times New Roman" w:cs="Times New Roman"/>
          <w:b w:val="0"/>
          <w:i w:val="0"/>
          <w:sz w:val="22"/>
        </w:rPr>
        <w:t>- SGTX fee dispute and refund.</w:t>
      </w:r>
    </w:p>
    <w:p>
      <w:pPr>
        <w:spacing w:after="80" w:line="293" w:lineRule="auto"/>
        <w:ind w:left="283"/>
        <w:jc w:val="left"/>
      </w:pPr>
      <w:r>
        <w:rPr>
          <w:rFonts w:ascii="Times New Roman" w:hAnsi="Times New Roman" w:cs="Times New Roman"/>
          <w:b w:val="0"/>
          <w:i w:val="0"/>
          <w:sz w:val="22"/>
        </w:rPr>
        <w:t>- TRI calculation and update.</w:t>
      </w:r>
    </w:p>
    <w:p>
      <w:pPr>
        <w:spacing w:after="80" w:line="293" w:lineRule="auto"/>
        <w:ind w:left="283"/>
        <w:jc w:val="left"/>
      </w:pPr>
      <w:r>
        <w:rPr>
          <w:rFonts w:ascii="Times New Roman" w:hAnsi="Times New Roman" w:cs="Times New Roman"/>
          <w:b w:val="0"/>
          <w:i w:val="0"/>
          <w:sz w:val="22"/>
        </w:rPr>
        <w:t>- TRI dispute and resolution.</w:t>
      </w:r>
    </w:p>
    <w:p>
      <w:pPr>
        <w:keepNext/>
        <w:spacing w:before="180" w:after="80"/>
        <w:outlineLvl w:val="2"/>
      </w:pPr>
      <w:r>
        <w:rPr>
          <w:rFonts w:ascii="Arial" w:hAnsi="Arial" w:cs="Arial"/>
          <w:b/>
          <w:i w:val="0"/>
          <w:color w:val="333333"/>
          <w:sz w:val="23"/>
        </w:rPr>
        <w:t>14.3.16 Settlement Leg Freeze (Dispute Payment Freeze)</w:t>
      </w:r>
    </w:p>
    <w:p>
      <w:pPr>
        <w:spacing w:after="80" w:line="293" w:lineRule="auto"/>
        <w:jc w:val="left"/>
      </w:pPr>
      <w:r>
        <w:rPr>
          <w:rFonts w:ascii="Times New Roman" w:hAnsi="Times New Roman" w:cs="Times New Roman"/>
          <w:b w:val="0"/>
          <w:i w:val="0"/>
          <w:sz w:val="22"/>
        </w:rPr>
        <w:t>When any party files a dispute, the payment side of the trade freezes immediately:</w:t>
      </w:r>
    </w:p>
    <w:p>
      <w:pPr>
        <w:spacing w:after="80" w:line="293" w:lineRule="auto"/>
        <w:jc w:val="left"/>
      </w:pPr>
      <w:r>
        <w:rPr>
          <w:rFonts w:ascii="Times New Roman" w:hAnsi="Times New Roman" w:cs="Times New Roman"/>
          <w:b w:val="0"/>
          <w:i w:val="0"/>
          <w:sz w:val="22"/>
        </w:rPr>
        <w:t>1. Party files dispute (category, description, remedy sought)</w:t>
      </w:r>
    </w:p>
    <w:p>
      <w:pPr>
        <w:spacing w:after="80" w:line="293" w:lineRule="auto"/>
        <w:jc w:val="left"/>
      </w:pPr>
      <w:r>
        <w:rPr>
          <w:rFonts w:ascii="Times New Roman" w:hAnsi="Times New Roman" w:cs="Times New Roman"/>
          <w:b w:val="0"/>
          <w:i w:val="0"/>
          <w:sz w:val="22"/>
        </w:rPr>
        <w:t>2. System compiles evidence package</w:t>
      </w:r>
    </w:p>
    <w:p>
      <w:pPr>
        <w:spacing w:after="80" w:line="293" w:lineRule="auto"/>
        <w:jc w:val="left"/>
      </w:pPr>
      <w:r>
        <w:rPr>
          <w:rFonts w:ascii="Times New Roman" w:hAnsi="Times New Roman" w:cs="Times New Roman"/>
          <w:b w:val="0"/>
          <w:i w:val="0"/>
          <w:sz w:val="22"/>
        </w:rPr>
        <w:t>3. FeeLock freezes (no further payments)</w:t>
      </w:r>
    </w:p>
    <w:p>
      <w:pPr>
        <w:spacing w:after="80" w:line="293" w:lineRule="auto"/>
        <w:jc w:val="left"/>
      </w:pPr>
      <w:r>
        <w:rPr>
          <w:rFonts w:ascii="Times New Roman" w:hAnsi="Times New Roman" w:cs="Times New Roman"/>
          <w:b w:val="0"/>
          <w:i w:val="0"/>
          <w:sz w:val="22"/>
        </w:rPr>
        <w:t>Frozen semantics: no pending milestone-triggered leg executes while a dispute is active; deferred payment instructions are suspended (expiry escalation paused); the Governor records the freeze as a Loom-logged event; and any leg already dispatched continues to its bank-side completion but cannot advance the trade toward closure.</w:t>
      </w:r>
    </w:p>
    <w:p>
      <w:pPr>
        <w:keepNext/>
        <w:spacing w:before="180" w:after="80"/>
        <w:outlineLvl w:val="2"/>
      </w:pPr>
      <w:r>
        <w:rPr>
          <w:rFonts w:ascii="Arial" w:hAnsi="Arial" w:cs="Arial"/>
          <w:b/>
          <w:i w:val="0"/>
          <w:color w:val="333333"/>
          <w:sz w:val="23"/>
        </w:rPr>
        <w:t>14.3.17 Dispute Settlement Payment</w:t>
      </w:r>
    </w:p>
    <w:p>
      <w:pPr>
        <w:spacing w:after="80" w:line="293" w:lineRule="auto"/>
        <w:jc w:val="left"/>
      </w:pPr>
      <w:r>
        <w:rPr>
          <w:rFonts w:ascii="Times New Roman" w:hAnsi="Times New Roman" w:cs="Times New Roman"/>
          <w:b w:val="0"/>
          <w:i w:val="0"/>
          <w:sz w:val="22"/>
        </w:rPr>
        <w:t>When mediation or arbitration reaches a settlement, the payment executes as a dedicated dispute-settlement leg:</w:t>
      </w:r>
    </w:p>
    <w:p>
      <w:pPr>
        <w:spacing w:after="80" w:line="293" w:lineRule="auto"/>
        <w:jc w:val="left"/>
      </w:pPr>
      <w:r>
        <w:rPr>
          <w:rFonts w:ascii="Times New Roman" w:hAnsi="Times New Roman" w:cs="Times New Roman"/>
          <w:b w:val="0"/>
          <w:i w:val="0"/>
          <w:sz w:val="22"/>
        </w:rPr>
        <w:t>Payment Trigger: Settlement Payment</w:t>
      </w:r>
    </w:p>
    <w:p>
      <w:pPr>
        <w:spacing w:after="80" w:line="293" w:lineRule="auto"/>
        <w:jc w:val="left"/>
      </w:pPr>
      <w:r>
        <w:rPr>
          <w:rFonts w:ascii="Times New Roman" w:hAnsi="Times New Roman" w:cs="Times New Roman"/>
          <w:b w:val="0"/>
          <w:i w:val="0"/>
          <w:sz w:val="22"/>
        </w:rPr>
        <w:t>Dispute Settlement Payment Example:</w:t>
      </w:r>
    </w:p>
    <w:p>
      <w:pPr>
        <w:spacing w:after="0" w:before="0" w:line="240" w:lineRule="auto"/>
        <w:ind w:left="57"/>
        <w:jc w:val="left"/>
        <w:shd w:val="clear" w:fill="F2F2F2"/>
      </w:pPr>
      <w:r>
        <w:rPr>
          <w:rFonts w:ascii="Consolas" w:hAnsi="Consolas" w:cs="Consolas"/>
          <w:b w:val="0"/>
          <w:i w:val="0"/>
          <w:sz w:val="15"/>
        </w:rPr>
        <w:t>DISPUTE SETTLEMENT PAYMENT — USTN SGTX-EG-26-F3A-1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Dispute: DSP-20260415-001                                   │</w:t>
      </w:r>
    </w:p>
    <w:p>
      <w:pPr>
        <w:spacing w:after="0" w:before="0" w:line="240" w:lineRule="auto"/>
        <w:ind w:left="57"/>
        <w:jc w:val="left"/>
        <w:shd w:val="clear" w:fill="F2F2F2"/>
      </w:pPr>
      <w:r>
        <w:rPr>
          <w:rFonts w:ascii="Consolas" w:hAnsi="Consolas" w:cs="Consolas"/>
          <w:b w:val="0"/>
          <w:i w:val="0"/>
          <w:sz w:val="15"/>
        </w:rPr>
        <w:t>│ Settlement Amount: $800.00 USD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Payment will be made from:                                │</w:t>
      </w:r>
    </w:p>
    <w:p>
      <w:pPr>
        <w:spacing w:after="0" w:before="0" w:line="240" w:lineRule="auto"/>
        <w:ind w:left="57"/>
        <w:jc w:val="left"/>
        <w:shd w:val="clear" w:fill="F2F2F2"/>
      </w:pPr>
      <w:r>
        <w:rPr>
          <w:rFonts w:ascii="Consolas" w:hAnsi="Consolas" w:cs="Consolas"/>
          <w:b w:val="0"/>
          <w:i w:val="0"/>
          <w:sz w:val="15"/>
        </w:rPr>
        <w:t>│   • Buyer's USD Account: EG3800100000000000123456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Payment will be sent to:                                  │</w:t>
      </w:r>
    </w:p>
    <w:p>
      <w:pPr>
        <w:spacing w:after="0" w:before="0" w:line="240" w:lineRule="auto"/>
        <w:ind w:left="57"/>
        <w:jc w:val="left"/>
        <w:shd w:val="clear" w:fill="F2F2F2"/>
      </w:pPr>
      <w:r>
        <w:rPr>
          <w:rFonts w:ascii="Consolas" w:hAnsi="Consolas" w:cs="Consolas"/>
          <w:b w:val="0"/>
          <w:i w:val="0"/>
          <w:sz w:val="15"/>
        </w:rPr>
        <w:t>│   • Seller: Mekong Fresh                                  │</w:t>
      </w:r>
    </w:p>
    <w:p>
      <w:pPr>
        <w:spacing w:after="0" w:before="0" w:line="240" w:lineRule="auto"/>
        <w:ind w:left="57"/>
        <w:jc w:val="left"/>
        <w:shd w:val="clear" w:fill="F2F2F2"/>
      </w:pPr>
      <w:r>
        <w:rPr>
          <w:rFonts w:ascii="Consolas" w:hAnsi="Consolas" w:cs="Consolas"/>
          <w:b w:val="0"/>
          <w:i w:val="0"/>
          <w:sz w:val="15"/>
        </w:rPr>
        <w:t>│   • IBAN: VN12345678901234567890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Reference: USTN:SGTX-EG-26-F3A-1|LEG:DISPUTE_SETTLEMENT  │</w:t>
      </w:r>
    </w:p>
    <w:p>
      <w:pPr>
        <w:spacing w:after="0" w:before="0" w:line="240" w:lineRule="auto"/>
        <w:ind w:left="57"/>
        <w:jc w:val="left"/>
        <w:shd w:val="clear" w:fill="F2F2F2"/>
      </w:pPr>
      <w:r>
        <w:rPr>
          <w:rFonts w:ascii="Consolas" w:hAnsi="Consolas" w:cs="Consolas"/>
          <w:b w:val="0"/>
          <w:i w:val="0"/>
          <w:sz w:val="15"/>
        </w:rPr>
        <w:t>│                                                           │</w:t>
      </w:r>
    </w:p>
    <w:p>
      <w:pPr>
        <w:spacing w:after="0" w:before="0" w:line="240" w:lineRule="auto"/>
        <w:ind w:left="57"/>
        <w:jc w:val="left"/>
        <w:shd w:val="clear" w:fill="F2F2F2"/>
      </w:pPr>
      <w:r>
        <w:rPr>
          <w:rFonts w:ascii="Consolas" w:hAnsi="Consolas" w:cs="Consolas"/>
          <w:b w:val="0"/>
          <w:i w:val="0"/>
          <w:sz w:val="15"/>
        </w:rPr>
        <w:t>│ [Authorize Settlement Payment] [Cancel]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14.4 Reputation Engine &amp; TRI Impact</w:t>
      </w:r>
    </w:p>
    <w:p>
      <w:pPr>
        <w:keepNext/>
        <w:spacing w:before="180" w:after="80"/>
        <w:outlineLvl w:val="2"/>
      </w:pPr>
      <w:r>
        <w:rPr>
          <w:rFonts w:ascii="Arial" w:hAnsi="Arial" w:cs="Arial"/>
          <w:b/>
          <w:i w:val="0"/>
          <w:color w:val="333333"/>
          <w:sz w:val="23"/>
        </w:rPr>
        <w:t>14.4.1 Purpose</w:t>
      </w:r>
    </w:p>
    <w:p>
      <w:pPr>
        <w:spacing w:after="80" w:line="293" w:lineRule="auto"/>
        <w:jc w:val="left"/>
      </w:pPr>
      <w:r>
        <w:rPr>
          <w:rFonts w:ascii="Times New Roman" w:hAnsi="Times New Roman" w:cs="Times New Roman"/>
          <w:b w:val="0"/>
          <w:i w:val="0"/>
          <w:sz w:val="22"/>
        </w:rPr>
        <w:t>The Trade Reliability Index (TRI) is a 0–1000 score that quantifies the trustworthiness and performance of any tenant (trader, logistics provider, financier, etc.). The TRI is private — only the tenant sees their full breakdown; counterparties see only a status badge (for example, "Advanced Trusted") unless explicit consent is given for sharing the raw score.</w:t>
      </w:r>
    </w:p>
    <w:p>
      <w:pPr>
        <w:keepNext/>
        <w:spacing w:before="180" w:after="80"/>
        <w:outlineLvl w:val="2"/>
      </w:pPr>
      <w:r>
        <w:rPr>
          <w:rFonts w:ascii="Arial" w:hAnsi="Arial" w:cs="Arial"/>
          <w:b/>
          <w:i w:val="0"/>
          <w:color w:val="333333"/>
          <w:sz w:val="23"/>
        </w:rPr>
        <w:t>14.4.2 TRI Formula</w:t>
      </w:r>
    </w:p>
    <w:p>
      <w:pPr>
        <w:spacing w:after="0" w:before="0" w:line="240" w:lineRule="auto"/>
        <w:ind w:left="57"/>
        <w:jc w:val="left"/>
        <w:shd w:val="clear" w:fill="F2F2F2"/>
      </w:pPr>
      <w:r>
        <w:rPr>
          <w:rFonts w:ascii="Consolas" w:hAnsi="Consolas" w:cs="Consolas"/>
          <w:b w:val="0"/>
          <w:i w:val="0"/>
          <w:sz w:val="15"/>
        </w:rPr>
        <w:t>TRI = (Settlement Reliability × 0.25) +</w:t>
      </w:r>
    </w:p>
    <w:p>
      <w:pPr>
        <w:spacing w:after="0" w:before="0" w:line="240" w:lineRule="auto"/>
        <w:ind w:left="57"/>
        <w:jc w:val="left"/>
        <w:shd w:val="clear" w:fill="F2F2F2"/>
      </w:pPr>
      <w:r>
        <w:rPr>
          <w:rFonts w:ascii="Consolas" w:hAnsi="Consolas" w:cs="Consolas"/>
          <w:b w:val="0"/>
          <w:i w:val="0"/>
          <w:sz w:val="15"/>
        </w:rPr>
        <w:t xml:space="preserve">      (Compliance Health × 0.20) +</w:t>
      </w:r>
    </w:p>
    <w:p>
      <w:pPr>
        <w:spacing w:after="0" w:before="0" w:line="240" w:lineRule="auto"/>
        <w:ind w:left="57"/>
        <w:jc w:val="left"/>
        <w:shd w:val="clear" w:fill="F2F2F2"/>
      </w:pPr>
      <w:r>
        <w:rPr>
          <w:rFonts w:ascii="Consolas" w:hAnsi="Consolas" w:cs="Consolas"/>
          <w:b w:val="0"/>
          <w:i w:val="0"/>
          <w:sz w:val="15"/>
        </w:rPr>
        <w:t xml:space="preserve">      (Documentation Quality × 0.15) +</w:t>
      </w:r>
    </w:p>
    <w:p>
      <w:pPr>
        <w:spacing w:after="0" w:before="0" w:line="240" w:lineRule="auto"/>
        <w:ind w:left="57"/>
        <w:jc w:val="left"/>
        <w:shd w:val="clear" w:fill="F2F2F2"/>
      </w:pPr>
      <w:r>
        <w:rPr>
          <w:rFonts w:ascii="Consolas" w:hAnsi="Consolas" w:cs="Consolas"/>
          <w:b w:val="0"/>
          <w:i w:val="0"/>
          <w:sz w:val="15"/>
        </w:rPr>
        <w:t xml:space="preserve">      (Financing Performance × 0.20) +</w:t>
      </w:r>
    </w:p>
    <w:p>
      <w:pPr>
        <w:spacing w:after="0" w:before="0" w:line="240" w:lineRule="auto"/>
        <w:ind w:left="57"/>
        <w:jc w:val="left"/>
        <w:shd w:val="clear" w:fill="F2F2F2"/>
      </w:pPr>
      <w:r>
        <w:rPr>
          <w:rFonts w:ascii="Consolas" w:hAnsi="Consolas" w:cs="Consolas"/>
          <w:b w:val="0"/>
          <w:i w:val="0"/>
          <w:sz w:val="15"/>
        </w:rPr>
        <w:t xml:space="preserve">      (Dispute Resolution × 0.20)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component is a 0–1000 sub-score derived from raw metrics. The weights sum to 1.0. Recalculation occurs daily via a cron job.</w:t>
      </w:r>
    </w:p>
    <w:p>
      <w:pPr>
        <w:keepNext/>
        <w:spacing w:before="180" w:after="80"/>
        <w:outlineLvl w:val="2"/>
      </w:pPr>
      <w:r>
        <w:rPr>
          <w:rFonts w:ascii="Arial" w:hAnsi="Arial" w:cs="Arial"/>
          <w:b/>
          <w:i w:val="0"/>
          <w:color w:val="333333"/>
          <w:sz w:val="23"/>
        </w:rPr>
        <w:t>14.4.3 Component Definitions &amp; Raw Metrics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Weight</w:t>
            </w:r>
          </w:p>
        </w:tc>
        <w:tc>
          <w:tcPr>
            <w:tcW w:type="dxa" w:w="3213"/>
            <w:shd w:val="clear" w:fill="D9E2F3"/>
          </w:tcPr>
          <w:p>
            <w:pPr>
              <w:spacing w:after="20" w:before="20" w:line="240" w:lineRule="auto"/>
            </w:pPr>
            <w:r/>
            <w:r>
              <w:rPr>
                <w:rFonts w:ascii="Arial" w:hAnsi="Arial" w:cs="Arial"/>
                <w:b/>
                <w:i w:val="0"/>
                <w:sz w:val="18"/>
              </w:rPr>
              <w:t>Raw Metrics</w:t>
            </w:r>
          </w:p>
        </w:tc>
      </w:tr>
      <w:tr>
        <w:tc>
          <w:tcPr>
            <w:tcW w:type="dxa" w:w="3213"/>
          </w:tcPr>
          <w:p>
            <w:pPr>
              <w:spacing w:after="20" w:before="20" w:line="240" w:lineRule="auto"/>
            </w:pPr>
            <w:r/>
            <w:r>
              <w:rPr>
                <w:rFonts w:ascii="Arial" w:hAnsi="Arial" w:cs="Arial"/>
                <w:b w:val="0"/>
                <w:i w:val="0"/>
                <w:sz w:val="17"/>
              </w:rPr>
              <w:t>Settlement Reliability</w:t>
            </w:r>
          </w:p>
        </w:tc>
        <w:tc>
          <w:tcPr>
            <w:tcW w:type="dxa" w:w="3213"/>
          </w:tcPr>
          <w:p>
            <w:pPr>
              <w:spacing w:after="20" w:before="20" w:line="240" w:lineRule="auto"/>
            </w:pPr>
            <w:r/>
            <w:r>
              <w:rPr>
                <w:rFonts w:ascii="Arial" w:hAnsi="Arial" w:cs="Arial"/>
                <w:b w:val="0"/>
                <w:i w:val="0"/>
                <w:sz w:val="17"/>
              </w:rPr>
              <w:t>0.25</w:t>
            </w:r>
          </w:p>
        </w:tc>
        <w:tc>
          <w:tcPr>
            <w:tcW w:type="dxa" w:w="3213"/>
          </w:tcPr>
          <w:p>
            <w:pPr>
              <w:spacing w:after="20" w:before="20" w:line="240" w:lineRule="auto"/>
            </w:pPr>
            <w:r/>
            <w:r>
              <w:rPr>
                <w:rFonts w:ascii="Arial" w:hAnsi="Arial" w:cs="Arial"/>
                <w:b w:val="0"/>
                <w:i w:val="0"/>
                <w:sz w:val="17"/>
              </w:rPr>
              <w:t>On-time payment %, average payment delay</w:t>
            </w:r>
          </w:p>
        </w:tc>
      </w:tr>
      <w:tr>
        <w:tc>
          <w:tcPr>
            <w:tcW w:type="dxa" w:w="3213"/>
          </w:tcPr>
          <w:p>
            <w:pPr>
              <w:spacing w:after="20" w:before="20" w:line="240" w:lineRule="auto"/>
            </w:pPr>
            <w:r/>
            <w:r>
              <w:rPr>
                <w:rFonts w:ascii="Arial" w:hAnsi="Arial" w:cs="Arial"/>
                <w:b w:val="0"/>
                <w:i w:val="0"/>
                <w:sz w:val="17"/>
              </w:rPr>
              <w:t>Compliance Health</w:t>
            </w:r>
          </w:p>
        </w:tc>
        <w:tc>
          <w:tcPr>
            <w:tcW w:type="dxa" w:w="3213"/>
          </w:tcPr>
          <w:p>
            <w:pPr>
              <w:spacing w:after="20" w:before="20" w:line="240" w:lineRule="auto"/>
            </w:pPr>
            <w:r/>
            <w:r>
              <w:rPr>
                <w:rFonts w:ascii="Arial" w:hAnsi="Arial" w:cs="Arial"/>
                <w:b w:val="0"/>
                <w:i w:val="0"/>
                <w:sz w:val="17"/>
              </w:rPr>
              <w:t>0.20</w:t>
            </w:r>
          </w:p>
        </w:tc>
        <w:tc>
          <w:tcPr>
            <w:tcW w:type="dxa" w:w="3213"/>
          </w:tcPr>
          <w:p>
            <w:pPr>
              <w:spacing w:after="20" w:before="20" w:line="240" w:lineRule="auto"/>
            </w:pPr>
            <w:r/>
            <w:r>
              <w:rPr>
                <w:rFonts w:ascii="Arial" w:hAnsi="Arial" w:cs="Arial"/>
                <w:b w:val="0"/>
                <w:i w:val="0"/>
                <w:sz w:val="17"/>
              </w:rPr>
              <w:t>Sanctions hits, PEP hits, restricted jurisdictions, KYB tier, SAR filings</w:t>
            </w:r>
          </w:p>
        </w:tc>
      </w:tr>
      <w:tr>
        <w:tc>
          <w:tcPr>
            <w:tcW w:type="dxa" w:w="3213"/>
          </w:tcPr>
          <w:p>
            <w:pPr>
              <w:spacing w:after="20" w:before="20" w:line="240" w:lineRule="auto"/>
            </w:pPr>
            <w:r/>
            <w:r>
              <w:rPr>
                <w:rFonts w:ascii="Arial" w:hAnsi="Arial" w:cs="Arial"/>
                <w:b w:val="0"/>
                <w:i w:val="0"/>
                <w:sz w:val="17"/>
              </w:rPr>
              <w:t>Documentation Quality</w:t>
            </w:r>
          </w:p>
        </w:tc>
        <w:tc>
          <w:tcPr>
            <w:tcW w:type="dxa" w:w="3213"/>
          </w:tcPr>
          <w:p>
            <w:pPr>
              <w:spacing w:after="20" w:before="20" w:line="240" w:lineRule="auto"/>
            </w:pPr>
            <w:r/>
            <w:r>
              <w:rPr>
                <w:rFonts w:ascii="Arial" w:hAnsi="Arial" w:cs="Arial"/>
                <w:b w:val="0"/>
                <w:i w:val="0"/>
                <w:sz w:val="17"/>
              </w:rPr>
              <w:t>0.15</w:t>
            </w:r>
          </w:p>
        </w:tc>
        <w:tc>
          <w:tcPr>
            <w:tcW w:type="dxa" w:w="3213"/>
          </w:tcPr>
          <w:p>
            <w:pPr>
              <w:spacing w:after="20" w:before="20" w:line="240" w:lineRule="auto"/>
            </w:pPr>
            <w:r/>
            <w:r>
              <w:rPr>
                <w:rFonts w:ascii="Arial" w:hAnsi="Arial" w:cs="Arial"/>
                <w:b w:val="0"/>
                <w:i w:val="0"/>
                <w:sz w:val="17"/>
              </w:rPr>
              <w:t>First-time acceptance rate, missing documents per trade</w:t>
            </w:r>
          </w:p>
        </w:tc>
      </w:tr>
      <w:tr>
        <w:tc>
          <w:tcPr>
            <w:tcW w:type="dxa" w:w="3213"/>
          </w:tcPr>
          <w:p>
            <w:pPr>
              <w:spacing w:after="20" w:before="20" w:line="240" w:lineRule="auto"/>
            </w:pPr>
            <w:r/>
            <w:r>
              <w:rPr>
                <w:rFonts w:ascii="Arial" w:hAnsi="Arial" w:cs="Arial"/>
                <w:b w:val="0"/>
                <w:i w:val="0"/>
                <w:sz w:val="17"/>
              </w:rPr>
              <w:t>Financing Performance</w:t>
            </w:r>
          </w:p>
        </w:tc>
        <w:tc>
          <w:tcPr>
            <w:tcW w:type="dxa" w:w="3213"/>
          </w:tcPr>
          <w:p>
            <w:pPr>
              <w:spacing w:after="20" w:before="20" w:line="240" w:lineRule="auto"/>
            </w:pPr>
            <w:r/>
            <w:r>
              <w:rPr>
                <w:rFonts w:ascii="Arial" w:hAnsi="Arial" w:cs="Arial"/>
                <w:b w:val="0"/>
                <w:i w:val="0"/>
                <w:sz w:val="17"/>
              </w:rPr>
              <w:t>0.20</w:t>
            </w:r>
          </w:p>
        </w:tc>
        <w:tc>
          <w:tcPr>
            <w:tcW w:type="dxa" w:w="3213"/>
          </w:tcPr>
          <w:p>
            <w:pPr>
              <w:spacing w:after="20" w:before="20" w:line="240" w:lineRule="auto"/>
            </w:pPr>
            <w:r/>
            <w:r>
              <w:rPr>
                <w:rFonts w:ascii="Arial" w:hAnsi="Arial" w:cs="Arial"/>
                <w:b w:val="0"/>
                <w:i w:val="0"/>
                <w:sz w:val="17"/>
              </w:rPr>
              <w:t>Defaults, late repayment rate</w:t>
            </w:r>
          </w:p>
        </w:tc>
      </w:tr>
      <w:tr>
        <w:tc>
          <w:tcPr>
            <w:tcW w:type="dxa" w:w="3213"/>
          </w:tcPr>
          <w:p>
            <w:pPr>
              <w:spacing w:after="20" w:before="20" w:line="240" w:lineRule="auto"/>
            </w:pPr>
            <w:r/>
            <w:r>
              <w:rPr>
                <w:rFonts w:ascii="Arial" w:hAnsi="Arial" w:cs="Arial"/>
                <w:b w:val="0"/>
                <w:i w:val="0"/>
                <w:sz w:val="17"/>
              </w:rPr>
              <w:t>Dispute Resolution</w:t>
            </w:r>
          </w:p>
        </w:tc>
        <w:tc>
          <w:tcPr>
            <w:tcW w:type="dxa" w:w="3213"/>
          </w:tcPr>
          <w:p>
            <w:pPr>
              <w:spacing w:after="20" w:before="20" w:line="240" w:lineRule="auto"/>
            </w:pPr>
            <w:r/>
            <w:r>
              <w:rPr>
                <w:rFonts w:ascii="Arial" w:hAnsi="Arial" w:cs="Arial"/>
                <w:b w:val="0"/>
                <w:i w:val="0"/>
                <w:sz w:val="17"/>
              </w:rPr>
              <w:t>0.20</w:t>
            </w:r>
          </w:p>
        </w:tc>
        <w:tc>
          <w:tcPr>
            <w:tcW w:type="dxa" w:w="3213"/>
          </w:tcPr>
          <w:p>
            <w:pPr>
              <w:spacing w:after="20" w:before="20" w:line="240" w:lineRule="auto"/>
            </w:pPr>
            <w:r/>
            <w:r>
              <w:rPr>
                <w:rFonts w:ascii="Arial" w:hAnsi="Arial" w:cs="Arial"/>
                <w:b w:val="0"/>
                <w:i w:val="0"/>
                <w:sz w:val="17"/>
              </w:rPr>
              <w:t>Arbitration-free resolution rate, average resolution days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14.4.4 Sub-Score Calculation (0–1000)</w:t>
      </w:r>
    </w:p>
    <w:p>
      <w:pPr>
        <w:spacing w:after="80" w:line="293" w:lineRule="auto"/>
        <w:jc w:val="left"/>
      </w:pPr>
      <w:r>
        <w:rPr>
          <w:rFonts w:ascii="Times New Roman" w:hAnsi="Times New Roman" w:cs="Times New Roman"/>
          <w:b w:val="0"/>
          <w:i w:val="0"/>
          <w:sz w:val="22"/>
        </w:rPr>
        <w:t>Settlement Reliability:</w:t>
      </w:r>
    </w:p>
    <w:p>
      <w:pPr>
        <w:spacing w:after="0" w:before="0" w:line="240" w:lineRule="auto"/>
        <w:ind w:left="57"/>
        <w:jc w:val="left"/>
        <w:shd w:val="clear" w:fill="F2F2F2"/>
      </w:pPr>
      <w:r>
        <w:rPr>
          <w:rFonts w:ascii="Consolas" w:hAnsi="Consolas" w:cs="Consolas"/>
          <w:b w:val="0"/>
          <w:i w:val="0"/>
          <w:sz w:val="15"/>
        </w:rPr>
        <w:t>score = min(1000, (on_time_payment_percent × 8) + max(0, (500 - avg_delay_days × 20)))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`on_time_payment_percent` is 0–100 and `avg_delay_days` is the average delay capped at 25 days.</w:t>
      </w:r>
    </w:p>
    <w:p>
      <w:pPr>
        <w:spacing w:after="80" w:line="293" w:lineRule="auto"/>
        <w:jc w:val="left"/>
      </w:pPr>
      <w:r>
        <w:rPr>
          <w:rFonts w:ascii="Times New Roman" w:hAnsi="Times New Roman" w:cs="Times New Roman"/>
          <w:b w:val="0"/>
          <w:i w:val="0"/>
          <w:sz w:val="22"/>
        </w:rPr>
        <w:t>Compliance Health: start at 1000 and subtract: 200 for any sanctions hit (unless resolved and enhanced due diligence completed); 100 for any PEP (Politically Exposed Person) hit (unless explicit approval); 50 per jurisdiction in the RESTRICTED tier; 200 if KYB tier &lt; 2; 10 per SAR (Suspicious Activity Report) filed (up to 300). Minimum score 0.</w:t>
      </w:r>
    </w:p>
    <w:p>
      <w:pPr>
        <w:spacing w:after="80" w:line="293" w:lineRule="auto"/>
        <w:jc w:val="left"/>
      </w:pPr>
      <w:r>
        <w:rPr>
          <w:rFonts w:ascii="Times New Roman" w:hAnsi="Times New Roman" w:cs="Times New Roman"/>
          <w:b w:val="0"/>
          <w:i w:val="0"/>
          <w:sz w:val="22"/>
        </w:rPr>
        <w:t>Documentation Quality:</w:t>
      </w:r>
    </w:p>
    <w:p>
      <w:pPr>
        <w:spacing w:after="0" w:before="0" w:line="240" w:lineRule="auto"/>
        <w:ind w:left="57"/>
        <w:jc w:val="left"/>
        <w:shd w:val="clear" w:fill="F2F2F2"/>
      </w:pPr>
      <w:r>
        <w:rPr>
          <w:rFonts w:ascii="Consolas" w:hAnsi="Consolas" w:cs="Consolas"/>
          <w:b w:val="0"/>
          <w:i w:val="0"/>
          <w:sz w:val="15"/>
        </w:rPr>
        <w:t>score = (first_time_acceptance_rate × 8) + max(0, 200 - (missing_docs_per_trade × 40))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`first_time_acceptance_rate` is 0–100 and `missing_docs_per_trade` is the average, capped at 10.</w:t>
      </w:r>
    </w:p>
    <w:p>
      <w:pPr>
        <w:spacing w:after="80" w:line="293" w:lineRule="auto"/>
        <w:jc w:val="left"/>
      </w:pPr>
      <w:r>
        <w:rPr>
          <w:rFonts w:ascii="Times New Roman" w:hAnsi="Times New Roman" w:cs="Times New Roman"/>
          <w:b w:val="0"/>
          <w:i w:val="0"/>
          <w:sz w:val="22"/>
        </w:rPr>
        <w:t>Financing Performance:</w:t>
      </w:r>
    </w:p>
    <w:p>
      <w:pPr>
        <w:spacing w:after="0" w:before="0" w:line="240" w:lineRule="auto"/>
        <w:ind w:left="57"/>
        <w:jc w:val="left"/>
        <w:shd w:val="clear" w:fill="F2F2F2"/>
      </w:pPr>
      <w:r>
        <w:rPr>
          <w:rFonts w:ascii="Consolas" w:hAnsi="Consolas" w:cs="Consolas"/>
          <w:b w:val="0"/>
          <w:i w:val="0"/>
          <w:sz w:val="15"/>
        </w:rPr>
        <w:t>score = max(0, 1000 - (default_count × 300) - (late_repayment_rate × 500))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`late_repayment_rate` is the % of financed amount repaid more than 30 days late (capped at 100%).</w:t>
      </w:r>
    </w:p>
    <w:p>
      <w:pPr>
        <w:spacing w:after="80" w:line="293" w:lineRule="auto"/>
        <w:jc w:val="left"/>
      </w:pPr>
      <w:r>
        <w:rPr>
          <w:rFonts w:ascii="Times New Roman" w:hAnsi="Times New Roman" w:cs="Times New Roman"/>
          <w:b w:val="0"/>
          <w:i w:val="0"/>
          <w:sz w:val="22"/>
        </w:rPr>
        <w:t>Dispute Resolution:</w:t>
      </w:r>
    </w:p>
    <w:p>
      <w:pPr>
        <w:spacing w:after="0" w:before="0" w:line="240" w:lineRule="auto"/>
        <w:ind w:left="57"/>
        <w:jc w:val="left"/>
        <w:shd w:val="clear" w:fill="F2F2F2"/>
      </w:pPr>
      <w:r>
        <w:rPr>
          <w:rFonts w:ascii="Consolas" w:hAnsi="Consolas" w:cs="Consolas"/>
          <w:b w:val="0"/>
          <w:i w:val="0"/>
          <w:sz w:val="15"/>
        </w:rPr>
        <w:t>score = (no_arbitration_rate × 5) + max(0, 500 - (avg_resolution_days × 5))</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`no_arbitration_rate` is the % of disputes resolved without arbitration (0–100) and `avg_resolution_days` is capped at 100 days.</w:t>
      </w:r>
    </w:p>
    <w:p>
      <w:pPr>
        <w:keepNext/>
        <w:spacing w:before="180" w:after="80"/>
        <w:outlineLvl w:val="2"/>
      </w:pPr>
      <w:r>
        <w:rPr>
          <w:rFonts w:ascii="Arial" w:hAnsi="Arial" w:cs="Arial"/>
          <w:b/>
          <w:i w:val="0"/>
          <w:color w:val="333333"/>
          <w:sz w:val="23"/>
        </w:rPr>
        <w:t>14.4.5 TRI Classifications &amp; Privileges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Range</w:t>
            </w:r>
          </w:p>
        </w:tc>
        <w:tc>
          <w:tcPr>
            <w:tcW w:type="dxa" w:w="3213"/>
            <w:shd w:val="clear" w:fill="D9E2F3"/>
          </w:tcPr>
          <w:p>
            <w:pPr>
              <w:spacing w:after="20" w:before="20" w:line="240" w:lineRule="auto"/>
            </w:pPr>
            <w:r/>
            <w:r>
              <w:rPr>
                <w:rFonts w:ascii="Arial" w:hAnsi="Arial" w:cs="Arial"/>
                <w:b/>
                <w:i w:val="0"/>
                <w:sz w:val="18"/>
              </w:rPr>
              <w:t>Status</w:t>
            </w:r>
          </w:p>
        </w:tc>
        <w:tc>
          <w:tcPr>
            <w:tcW w:type="dxa" w:w="3213"/>
            <w:shd w:val="clear" w:fill="D9E2F3"/>
          </w:tcPr>
          <w:p>
            <w:pPr>
              <w:spacing w:after="20" w:before="20" w:line="240" w:lineRule="auto"/>
            </w:pPr>
            <w:r/>
            <w:r>
              <w:rPr>
                <w:rFonts w:ascii="Arial" w:hAnsi="Arial" w:cs="Arial"/>
                <w:b/>
                <w:i w:val="0"/>
                <w:sz w:val="18"/>
              </w:rPr>
              <w:t>Privileges</w:t>
            </w:r>
          </w:p>
        </w:tc>
      </w:tr>
      <w:tr>
        <w:tc>
          <w:tcPr>
            <w:tcW w:type="dxa" w:w="3213"/>
          </w:tcPr>
          <w:p>
            <w:pPr>
              <w:spacing w:after="20" w:before="20" w:line="240" w:lineRule="auto"/>
            </w:pPr>
            <w:r/>
            <w:r>
              <w:rPr>
                <w:rFonts w:ascii="Arial" w:hAnsi="Arial" w:cs="Arial"/>
                <w:b w:val="0"/>
                <w:i w:val="0"/>
                <w:sz w:val="17"/>
              </w:rPr>
              <w:t>900–1000</w:t>
            </w:r>
          </w:p>
        </w:tc>
        <w:tc>
          <w:tcPr>
            <w:tcW w:type="dxa" w:w="3213"/>
          </w:tcPr>
          <w:p>
            <w:pPr>
              <w:spacing w:after="20" w:before="20" w:line="240" w:lineRule="auto"/>
            </w:pPr>
            <w:r/>
            <w:r>
              <w:rPr>
                <w:rFonts w:ascii="Arial" w:hAnsi="Arial" w:cs="Arial"/>
                <w:b w:val="0"/>
                <w:i w:val="0"/>
                <w:sz w:val="17"/>
              </w:rPr>
              <w:t>Premier Trusted</w:t>
            </w:r>
          </w:p>
        </w:tc>
        <w:tc>
          <w:tcPr>
            <w:tcW w:type="dxa" w:w="3213"/>
          </w:tcPr>
          <w:p>
            <w:pPr>
              <w:spacing w:after="20" w:before="20" w:line="240" w:lineRule="auto"/>
            </w:pPr>
            <w:r/>
            <w:r>
              <w:rPr>
                <w:rFonts w:ascii="Arial" w:hAnsi="Arial" w:cs="Arial"/>
                <w:b w:val="0"/>
                <w:i w:val="0"/>
                <w:sz w:val="17"/>
              </w:rPr>
              <w:t>Green lane, −0.5% APR</w:t>
            </w:r>
          </w:p>
        </w:tc>
      </w:tr>
      <w:tr>
        <w:tc>
          <w:tcPr>
            <w:tcW w:type="dxa" w:w="3213"/>
          </w:tcPr>
          <w:p>
            <w:pPr>
              <w:spacing w:after="20" w:before="20" w:line="240" w:lineRule="auto"/>
            </w:pPr>
            <w:r/>
            <w:r>
              <w:rPr>
                <w:rFonts w:ascii="Arial" w:hAnsi="Arial" w:cs="Arial"/>
                <w:b w:val="0"/>
                <w:i w:val="0"/>
                <w:sz w:val="17"/>
              </w:rPr>
              <w:t>800–899</w:t>
            </w:r>
          </w:p>
        </w:tc>
        <w:tc>
          <w:tcPr>
            <w:tcW w:type="dxa" w:w="3213"/>
          </w:tcPr>
          <w:p>
            <w:pPr>
              <w:spacing w:after="20" w:before="20" w:line="240" w:lineRule="auto"/>
            </w:pPr>
            <w:r/>
            <w:r>
              <w:rPr>
                <w:rFonts w:ascii="Arial" w:hAnsi="Arial" w:cs="Arial"/>
                <w:b w:val="0"/>
                <w:i w:val="0"/>
                <w:sz w:val="17"/>
              </w:rPr>
              <w:t>Advanced Trusted</w:t>
            </w:r>
          </w:p>
        </w:tc>
        <w:tc>
          <w:tcPr>
            <w:tcW w:type="dxa" w:w="3213"/>
          </w:tcPr>
          <w:p>
            <w:pPr>
              <w:spacing w:after="20" w:before="20" w:line="240" w:lineRule="auto"/>
            </w:pPr>
            <w:r/>
            <w:r>
              <w:rPr>
                <w:rFonts w:ascii="Arial" w:hAnsi="Arial" w:cs="Arial"/>
                <w:b w:val="0"/>
                <w:i w:val="0"/>
                <w:sz w:val="17"/>
              </w:rPr>
              <w:t>Green lane, −0.25% APR</w:t>
            </w:r>
          </w:p>
        </w:tc>
      </w:tr>
      <w:tr>
        <w:tc>
          <w:tcPr>
            <w:tcW w:type="dxa" w:w="3213"/>
          </w:tcPr>
          <w:p>
            <w:pPr>
              <w:spacing w:after="20" w:before="20" w:line="240" w:lineRule="auto"/>
            </w:pPr>
            <w:r/>
            <w:r>
              <w:rPr>
                <w:rFonts w:ascii="Arial" w:hAnsi="Arial" w:cs="Arial"/>
                <w:b w:val="0"/>
                <w:i w:val="0"/>
                <w:sz w:val="17"/>
              </w:rPr>
              <w:t>700–799</w:t>
            </w:r>
          </w:p>
        </w:tc>
        <w:tc>
          <w:tcPr>
            <w:tcW w:type="dxa" w:w="3213"/>
          </w:tcPr>
          <w:p>
            <w:pPr>
              <w:spacing w:after="20" w:before="20" w:line="240" w:lineRule="auto"/>
            </w:pPr>
            <w:r/>
            <w:r>
              <w:rPr>
                <w:rFonts w:ascii="Arial" w:hAnsi="Arial" w:cs="Arial"/>
                <w:b w:val="0"/>
                <w:i w:val="0"/>
                <w:sz w:val="17"/>
              </w:rPr>
              <w:t>Trusted</w:t>
            </w:r>
          </w:p>
        </w:tc>
        <w:tc>
          <w:tcPr>
            <w:tcW w:type="dxa" w:w="3213"/>
          </w:tcPr>
          <w:p>
            <w:pPr>
              <w:spacing w:after="20" w:before="20" w:line="240" w:lineRule="auto"/>
            </w:pPr>
            <w:r/>
            <w:r>
              <w:rPr>
                <w:rFonts w:ascii="Arial" w:hAnsi="Arial" w:cs="Arial"/>
                <w:b w:val="0"/>
                <w:i w:val="0"/>
                <w:sz w:val="17"/>
              </w:rPr>
              <w:t>Standard processing</w:t>
            </w:r>
          </w:p>
        </w:tc>
      </w:tr>
      <w:tr>
        <w:tc>
          <w:tcPr>
            <w:tcW w:type="dxa" w:w="3213"/>
          </w:tcPr>
          <w:p>
            <w:pPr>
              <w:spacing w:after="20" w:before="20" w:line="240" w:lineRule="auto"/>
            </w:pPr>
            <w:r/>
            <w:r>
              <w:rPr>
                <w:rFonts w:ascii="Arial" w:hAnsi="Arial" w:cs="Arial"/>
                <w:b w:val="0"/>
                <w:i w:val="0"/>
                <w:sz w:val="17"/>
              </w:rPr>
              <w:t>600–699</w:t>
            </w:r>
          </w:p>
        </w:tc>
        <w:tc>
          <w:tcPr>
            <w:tcW w:type="dxa" w:w="3213"/>
          </w:tcPr>
          <w:p>
            <w:pPr>
              <w:spacing w:after="20" w:before="20" w:line="240" w:lineRule="auto"/>
            </w:pPr>
            <w:r/>
            <w:r>
              <w:rPr>
                <w:rFonts w:ascii="Arial" w:hAnsi="Arial" w:cs="Arial"/>
                <w:b w:val="0"/>
                <w:i w:val="0"/>
                <w:sz w:val="17"/>
              </w:rPr>
              <w:t>Verified</w:t>
            </w:r>
          </w:p>
        </w:tc>
        <w:tc>
          <w:tcPr>
            <w:tcW w:type="dxa" w:w="3213"/>
          </w:tcPr>
          <w:p>
            <w:pPr>
              <w:spacing w:after="20" w:before="20" w:line="240" w:lineRule="auto"/>
            </w:pPr>
            <w:r/>
            <w:r>
              <w:rPr>
                <w:rFonts w:ascii="Arial" w:hAnsi="Arial" w:cs="Arial"/>
                <w:b w:val="0"/>
                <w:i w:val="0"/>
                <w:sz w:val="17"/>
              </w:rPr>
              <w:t>Standard + occasional inspection</w:t>
            </w:r>
          </w:p>
        </w:tc>
      </w:tr>
      <w:tr>
        <w:tc>
          <w:tcPr>
            <w:tcW w:type="dxa" w:w="3213"/>
          </w:tcPr>
          <w:p>
            <w:pPr>
              <w:spacing w:after="20" w:before="20" w:line="240" w:lineRule="auto"/>
            </w:pPr>
            <w:r/>
            <w:r>
              <w:rPr>
                <w:rFonts w:ascii="Arial" w:hAnsi="Arial" w:cs="Arial"/>
                <w:b w:val="0"/>
                <w:i w:val="0"/>
                <w:sz w:val="17"/>
              </w:rPr>
              <w:t>500–599</w:t>
            </w:r>
          </w:p>
        </w:tc>
        <w:tc>
          <w:tcPr>
            <w:tcW w:type="dxa" w:w="3213"/>
          </w:tcPr>
          <w:p>
            <w:pPr>
              <w:spacing w:after="20" w:before="20" w:line="240" w:lineRule="auto"/>
            </w:pPr>
            <w:r/>
            <w:r>
              <w:rPr>
                <w:rFonts w:ascii="Arial" w:hAnsi="Arial" w:cs="Arial"/>
                <w:b w:val="0"/>
                <w:i w:val="0"/>
                <w:sz w:val="17"/>
              </w:rPr>
              <w:t>Developing</w:t>
            </w:r>
          </w:p>
        </w:tc>
        <w:tc>
          <w:tcPr>
            <w:tcW w:type="dxa" w:w="3213"/>
          </w:tcPr>
          <w:p>
            <w:pPr>
              <w:spacing w:after="20" w:before="20" w:line="240" w:lineRule="auto"/>
            </w:pPr>
            <w:r/>
            <w:r>
              <w:rPr>
                <w:rFonts w:ascii="Arial" w:hAnsi="Arial" w:cs="Arial"/>
                <w:b w:val="0"/>
                <w:i w:val="0"/>
                <w:sz w:val="17"/>
              </w:rPr>
              <w:t>Enhanced inspection (50%)</w:t>
            </w:r>
          </w:p>
        </w:tc>
      </w:tr>
      <w:tr>
        <w:tc>
          <w:tcPr>
            <w:tcW w:type="dxa" w:w="3213"/>
          </w:tcPr>
          <w:p>
            <w:pPr>
              <w:spacing w:after="20" w:before="20" w:line="240" w:lineRule="auto"/>
            </w:pPr>
            <w:r/>
            <w:r>
              <w:rPr>
                <w:rFonts w:ascii="Arial" w:hAnsi="Arial" w:cs="Arial"/>
                <w:b w:val="0"/>
                <w:i w:val="0"/>
                <w:sz w:val="17"/>
              </w:rPr>
              <w:t>&lt;500</w:t>
            </w:r>
          </w:p>
        </w:tc>
        <w:tc>
          <w:tcPr>
            <w:tcW w:type="dxa" w:w="3213"/>
          </w:tcPr>
          <w:p>
            <w:pPr>
              <w:spacing w:after="20" w:before="20" w:line="240" w:lineRule="auto"/>
            </w:pPr>
            <w:r/>
            <w:r>
              <w:rPr>
                <w:rFonts w:ascii="Arial" w:hAnsi="Arial" w:cs="Arial"/>
                <w:b w:val="0"/>
                <w:i w:val="0"/>
                <w:sz w:val="17"/>
              </w:rPr>
              <w:t>Limited History</w:t>
            </w:r>
          </w:p>
        </w:tc>
        <w:tc>
          <w:tcPr>
            <w:tcW w:type="dxa" w:w="3213"/>
          </w:tcPr>
          <w:p>
            <w:pPr>
              <w:spacing w:after="20" w:before="20" w:line="240" w:lineRule="auto"/>
            </w:pPr>
            <w:r/>
            <w:r>
              <w:rPr>
                <w:rFonts w:ascii="Arial" w:hAnsi="Arial" w:cs="Arial"/>
                <w:b w:val="0"/>
                <w:i w:val="0"/>
                <w:sz w:val="17"/>
              </w:rPr>
              <w:t>Full inspection, collateral required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Privileges are applied automatically by the Governor (A4) when evaluating trade, financing, or customs actions.</w:t>
      </w:r>
    </w:p>
    <w:p>
      <w:pPr>
        <w:keepNext/>
        <w:spacing w:before="180" w:after="80"/>
        <w:outlineLvl w:val="2"/>
      </w:pPr>
      <w:r>
        <w:rPr>
          <w:rFonts w:ascii="Arial" w:hAnsi="Arial" w:cs="Arial"/>
          <w:b/>
          <w:i w:val="0"/>
          <w:color w:val="333333"/>
          <w:sz w:val="23"/>
        </w:rPr>
        <w:t>14.4.6 Trust Confidence Score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indicates how statistically reliable the TRI is. A high TRI with low confidence means "not enough data yet".</w:t>
      </w:r>
    </w:p>
    <w:p>
      <w:pPr>
        <w:spacing w:after="0" w:before="0" w:line="240" w:lineRule="auto"/>
        <w:ind w:left="57"/>
        <w:jc w:val="left"/>
        <w:shd w:val="clear" w:fill="F2F2F2"/>
      </w:pPr>
      <w:r>
        <w:rPr>
          <w:rFonts w:ascii="Consolas" w:hAnsi="Consolas" w:cs="Consolas"/>
          <w:b w:val="0"/>
          <w:i w:val="0"/>
          <w:sz w:val="15"/>
        </w:rPr>
        <w:t>Confidence = min(100, (√(trade_count) × 5) + (√(total_volume_usd / 10000) × 3) +</w:t>
      </w:r>
    </w:p>
    <w:p>
      <w:pPr>
        <w:spacing w:after="0" w:before="0" w:line="240" w:lineRule="auto"/>
        <w:ind w:left="57"/>
        <w:jc w:val="left"/>
        <w:shd w:val="clear" w:fill="F2F2F2"/>
      </w:pPr>
      <w:r>
        <w:rPr>
          <w:rFonts w:ascii="Consolas" w:hAnsi="Consolas" w:cs="Consolas"/>
          <w:b w:val="0"/>
          <w:i w:val="0"/>
          <w:sz w:val="15"/>
        </w:rPr>
        <w:t xml:space="preserve">                    (history_months / 36 × 15) + (jurisdiction_count × 2) +</w:t>
      </w:r>
    </w:p>
    <w:p>
      <w:pPr>
        <w:spacing w:after="0" w:before="0" w:line="240" w:lineRule="auto"/>
        <w:ind w:left="57"/>
        <w:jc w:val="left"/>
        <w:shd w:val="clear" w:fill="F2F2F2"/>
      </w:pPr>
      <w:r>
        <w:rPr>
          <w:rFonts w:ascii="Consolas" w:hAnsi="Consolas" w:cs="Consolas"/>
          <w:b w:val="0"/>
          <w:i w:val="0"/>
          <w:sz w:val="15"/>
        </w:rPr>
        <w:t xml:space="preserve">                    (financier_count × 1))</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Factor caps: the volume term contributes at most 30 points. Display: shown alongside the TRI — "TRI: 874 (Confidence: 97%)". If confidence &lt; 50%, a warning appears: "Limited history — score may not be predictive."</w:t>
      </w:r>
    </w:p>
    <w:p>
      <w:pPr>
        <w:keepNext/>
        <w:spacing w:before="180" w:after="80"/>
        <w:outlineLvl w:val="2"/>
      </w:pPr>
      <w:r>
        <w:rPr>
          <w:rFonts w:ascii="Arial" w:hAnsi="Arial" w:cs="Arial"/>
          <w:b/>
          <w:i w:val="0"/>
          <w:color w:val="333333"/>
          <w:sz w:val="23"/>
        </w:rPr>
        <w:t>14.4.7 Example Calculation</w:t>
      </w:r>
    </w:p>
    <w:p>
      <w:pPr>
        <w:spacing w:after="80" w:line="293" w:lineRule="auto"/>
        <w:jc w:val="left"/>
      </w:pPr>
      <w:r>
        <w:rPr>
          <w:rFonts w:ascii="Times New Roman" w:hAnsi="Times New Roman" w:cs="Times New Roman"/>
          <w:b w:val="0"/>
          <w:i w:val="0"/>
          <w:sz w:val="22"/>
        </w:rPr>
        <w:t>Tenant: Strawberry Export Co.</w:t>
      </w:r>
    </w:p>
    <w:p>
      <w:pPr>
        <w:spacing w:after="80" w:line="293" w:lineRule="auto"/>
        <w:ind w:left="283"/>
        <w:jc w:val="left"/>
      </w:pPr>
      <w:r>
        <w:rPr>
          <w:rFonts w:ascii="Times New Roman" w:hAnsi="Times New Roman" w:cs="Times New Roman"/>
          <w:b w:val="0"/>
          <w:i w:val="0"/>
          <w:sz w:val="22"/>
        </w:rPr>
        <w:t>- Trades: 50 → √50 × 5 = 35.35 points towards confidence</w:t>
      </w:r>
    </w:p>
    <w:p>
      <w:pPr>
        <w:spacing w:after="80" w:line="293" w:lineRule="auto"/>
        <w:ind w:left="283"/>
        <w:jc w:val="left"/>
      </w:pPr>
      <w:r>
        <w:rPr>
          <w:rFonts w:ascii="Times New Roman" w:hAnsi="Times New Roman" w:cs="Times New Roman"/>
          <w:b w:val="0"/>
          <w:i w:val="0"/>
          <w:sz w:val="22"/>
        </w:rPr>
        <w:t>- Volume: $5M → √(5,000,000/10,000) × 3 = √500 × 3 = 67.08 → capped at 30</w:t>
      </w:r>
    </w:p>
    <w:p>
      <w:pPr>
        <w:spacing w:after="80" w:line="293" w:lineRule="auto"/>
        <w:ind w:left="283"/>
        <w:jc w:val="left"/>
      </w:pPr>
      <w:r>
        <w:rPr>
          <w:rFonts w:ascii="Times New Roman" w:hAnsi="Times New Roman" w:cs="Times New Roman"/>
          <w:b w:val="0"/>
          <w:i w:val="0"/>
          <w:sz w:val="22"/>
        </w:rPr>
        <w:t>- History: 18 months → 18/36 × 15 = 7.5</w:t>
      </w:r>
    </w:p>
    <w:p>
      <w:pPr>
        <w:spacing w:after="80" w:line="293" w:lineRule="auto"/>
        <w:ind w:left="283"/>
        <w:jc w:val="left"/>
      </w:pPr>
      <w:r>
        <w:rPr>
          <w:rFonts w:ascii="Times New Roman" w:hAnsi="Times New Roman" w:cs="Times New Roman"/>
          <w:b w:val="0"/>
          <w:i w:val="0"/>
          <w:sz w:val="22"/>
        </w:rPr>
        <w:t>- Jurisdictions: 3 → 3 × 2 = 6</w:t>
      </w:r>
    </w:p>
    <w:p>
      <w:pPr>
        <w:spacing w:after="80" w:line="293" w:lineRule="auto"/>
        <w:ind w:left="283"/>
        <w:jc w:val="left"/>
      </w:pPr>
      <w:r>
        <w:rPr>
          <w:rFonts w:ascii="Times New Roman" w:hAnsi="Times New Roman" w:cs="Times New Roman"/>
          <w:b w:val="0"/>
          <w:i w:val="0"/>
          <w:sz w:val="22"/>
        </w:rPr>
        <w:t>- Financiers: 2 → 2 × 1 = 2</w:t>
      </w:r>
    </w:p>
    <w:p>
      <w:pPr>
        <w:spacing w:after="80" w:line="293" w:lineRule="auto"/>
        <w:jc w:val="left"/>
      </w:pPr>
      <w:r>
        <w:rPr>
          <w:rFonts w:ascii="Times New Roman" w:hAnsi="Times New Roman" w:cs="Times New Roman"/>
          <w:b w:val="0"/>
          <w:i w:val="0"/>
          <w:sz w:val="22"/>
        </w:rPr>
        <w:t>Confidence = min(100, 35.35 + 30 + 7.5 + 6 + 2) = min(100, 80.85) = 81%.</w:t>
      </w:r>
    </w:p>
    <w:p>
      <w:pPr>
        <w:spacing w:after="80" w:line="293" w:lineRule="auto"/>
        <w:jc w:val="left"/>
      </w:pPr>
      <w:r>
        <w:rPr>
          <w:rFonts w:ascii="Times New Roman" w:hAnsi="Times New Roman" w:cs="Times New Roman"/>
          <w:b w:val="0"/>
          <w:i w:val="0"/>
          <w:sz w:val="22"/>
        </w:rPr>
        <w:t>Component scores (0–1000): Settlement: 970; Compliance: 920; Documentation: 880; Financing: 950 (no defaults, 2 late payments); Dispute: 890.</w:t>
      </w:r>
    </w:p>
    <w:p>
      <w:pPr>
        <w:spacing w:after="0" w:before="0" w:line="240" w:lineRule="auto"/>
        <w:ind w:left="57"/>
        <w:jc w:val="left"/>
        <w:shd w:val="clear" w:fill="F2F2F2"/>
      </w:pPr>
      <w:r>
        <w:rPr>
          <w:rFonts w:ascii="Consolas" w:hAnsi="Consolas" w:cs="Consolas"/>
          <w:b w:val="0"/>
          <w:i w:val="0"/>
          <w:sz w:val="15"/>
        </w:rPr>
        <w:t>TRI = (970 × 0.25) + (920 × 0.20) + (880 × 0.15) + (950 × 0.20) + (890 × 0.20)</w:t>
      </w:r>
    </w:p>
    <w:p>
      <w:pPr>
        <w:spacing w:after="0" w:before="0" w:line="240" w:lineRule="auto"/>
        <w:ind w:left="57"/>
        <w:jc w:val="left"/>
        <w:shd w:val="clear" w:fill="F2F2F2"/>
      </w:pPr>
      <w:r>
        <w:rPr>
          <w:rFonts w:ascii="Consolas" w:hAnsi="Consolas" w:cs="Consolas"/>
          <w:b w:val="0"/>
          <w:i w:val="0"/>
          <w:sz w:val="15"/>
        </w:rPr>
        <w:t xml:space="preserve">    = 242.5 + 184 + 132 + 190 + 178</w:t>
      </w:r>
    </w:p>
    <w:p>
      <w:pPr>
        <w:spacing w:after="0" w:before="0" w:line="240" w:lineRule="auto"/>
        <w:ind w:left="57"/>
        <w:jc w:val="left"/>
        <w:shd w:val="clear" w:fill="F2F2F2"/>
      </w:pPr>
      <w:r>
        <w:rPr>
          <w:rFonts w:ascii="Consolas" w:hAnsi="Consolas" w:cs="Consolas"/>
          <w:b w:val="0"/>
          <w:i w:val="0"/>
          <w:sz w:val="15"/>
        </w:rPr>
        <w:t xml:space="preserve">    = 926.5 → 927 (Premier Trusted)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Display: "TRI: 927 (Confidence: 81%) — Premier Trusted".</w:t>
      </w:r>
    </w:p>
    <w:p>
      <w:pPr>
        <w:keepNext/>
        <w:spacing w:before="180" w:after="80"/>
        <w:outlineLvl w:val="2"/>
      </w:pPr>
      <w:r>
        <w:rPr>
          <w:rFonts w:ascii="Arial" w:hAnsi="Arial" w:cs="Arial"/>
          <w:b/>
          <w:i w:val="0"/>
          <w:color w:val="333333"/>
          <w:sz w:val="23"/>
        </w:rPr>
        <w:t>14.4.8 Privacy &amp; Sharing</w:t>
      </w:r>
    </w:p>
    <w:p>
      <w:pPr>
        <w:spacing w:after="80" w:line="293" w:lineRule="auto"/>
        <w:ind w:left="283"/>
        <w:jc w:val="left"/>
      </w:pPr>
      <w:r>
        <w:rPr>
          <w:rFonts w:ascii="Times New Roman" w:hAnsi="Times New Roman" w:cs="Times New Roman"/>
          <w:b w:val="0"/>
          <w:i w:val="0"/>
          <w:sz w:val="22"/>
        </w:rPr>
        <w:t>- TRI raw score: tenant only; sharing with counterparties requires explicit consent.</w:t>
      </w:r>
    </w:p>
    <w:p>
      <w:pPr>
        <w:spacing w:after="80" w:line="293" w:lineRule="auto"/>
        <w:ind w:left="283"/>
        <w:jc w:val="left"/>
      </w:pPr>
      <w:r>
        <w:rPr>
          <w:rFonts w:ascii="Times New Roman" w:hAnsi="Times New Roman" w:cs="Times New Roman"/>
          <w:b w:val="0"/>
          <w:i w:val="0"/>
          <w:sz w:val="22"/>
        </w:rPr>
        <w:t>- TRI status badge: visible to all (no consent required).</w:t>
      </w:r>
    </w:p>
    <w:p>
      <w:pPr>
        <w:spacing w:after="80" w:line="293" w:lineRule="auto"/>
        <w:ind w:left="283"/>
        <w:jc w:val="left"/>
      </w:pPr>
      <w:r>
        <w:rPr>
          <w:rFonts w:ascii="Times New Roman" w:hAnsi="Times New Roman" w:cs="Times New Roman"/>
          <w:b w:val="0"/>
          <w:i w:val="0"/>
          <w:sz w:val="22"/>
        </w:rPr>
        <w:t>- Consent-based sharing uses a verifiable credential: the tenant grants a share (POST /v1/trust/share), can revoke it (POST /v1/trust/revoke), and third parties verify a share token (GET /v1/trust/verify/{token}). The Trust Passport endpoint (GET /v1/trust/passport/{gtid}) always returns the badge and returns the raw score only by consent.</w:t>
      </w:r>
    </w:p>
    <w:p>
      <w:pPr>
        <w:keepNext/>
        <w:spacing w:before="180" w:after="80"/>
        <w:outlineLvl w:val="2"/>
      </w:pPr>
      <w:r>
        <w:rPr>
          <w:rFonts w:ascii="Arial" w:hAnsi="Arial" w:cs="Arial"/>
          <w:b/>
          <w:i w:val="0"/>
          <w:color w:val="333333"/>
          <w:sz w:val="23"/>
        </w:rPr>
        <w:t>14.4.9 TRI Update &amp; Storage</w:t>
      </w:r>
    </w:p>
    <w:p>
      <w:pPr>
        <w:spacing w:after="80" w:line="293" w:lineRule="auto"/>
        <w:jc w:val="left"/>
      </w:pPr>
      <w:r>
        <w:rPr>
          <w:rFonts w:ascii="Times New Roman" w:hAnsi="Times New Roman" w:cs="Times New Roman"/>
          <w:b w:val="0"/>
          <w:i w:val="0"/>
          <w:sz w:val="22"/>
        </w:rPr>
        <w:t>Frequency: daily, at 02:00 UTC. Process: the cron job reads raw metrics from the past 12 months (or lifetime if &lt;12 months) and computes the sub-scores. Storage: the current score is stored in `tenants.trust_score` (INT, 0–1000) and history in `tri_history` for trend analysis. Retention: history kept for 7 years. The TRI is recalculated on dispute resolution, so outcomes feed the reputation engine.</w:t>
      </w:r>
    </w:p>
    <w:p>
      <w:pPr>
        <w:spacing w:after="0" w:before="0" w:line="240" w:lineRule="auto"/>
        <w:ind w:left="57"/>
        <w:jc w:val="left"/>
        <w:shd w:val="clear" w:fill="F2F2F2"/>
      </w:pPr>
      <w:r>
        <w:rPr>
          <w:rFonts w:ascii="Consolas" w:hAnsi="Consolas" w:cs="Consolas"/>
          <w:b w:val="0"/>
          <w:i w:val="0"/>
          <w:sz w:val="15"/>
        </w:rPr>
        <w:t>-- Trade Reliability Index (TRI) history</w:t>
      </w:r>
    </w:p>
    <w:p>
      <w:pPr>
        <w:spacing w:after="0" w:before="0" w:line="240" w:lineRule="auto"/>
        <w:ind w:left="57"/>
        <w:jc w:val="left"/>
        <w:shd w:val="clear" w:fill="F2F2F2"/>
      </w:pPr>
      <w:r>
        <w:rPr>
          <w:rFonts w:ascii="Consolas" w:hAnsi="Consolas" w:cs="Consolas"/>
          <w:b w:val="0"/>
          <w:i w:val="0"/>
          <w:sz w:val="15"/>
        </w:rPr>
        <w:t>-- tri_history: canonical definition in Section 17.5;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idx_tri_history_tenant_date ON tri_history(tenant_gtid, calculated_at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14.4.10 TRI Dispute Workflow</w:t>
      </w:r>
    </w:p>
    <w:p>
      <w:pPr>
        <w:spacing w:after="80" w:line="293" w:lineRule="auto"/>
        <w:jc w:val="left"/>
      </w:pPr>
      <w:r>
        <w:rPr>
          <w:rFonts w:ascii="Times New Roman" w:hAnsi="Times New Roman" w:cs="Times New Roman"/>
          <w:b w:val="0"/>
          <w:i w:val="0"/>
          <w:sz w:val="22"/>
        </w:rPr>
        <w:t>A tenant may challenge their TRI calculation via POST /v1/dispute/tri, supplying the dispute reason and supporting evidence. The dispute is recorded in `tri_disputes` (PENDING → UNDER_REVIEW → RESOLVED/REJECTED) with `tri_before` and `tri_after` recorded on resolution and a Governor decision attached. Successful challenges trigger recalculation.</w:t>
      </w:r>
    </w:p>
    <w:p>
      <w:pPr>
        <w:keepNext/>
        <w:spacing w:before="240" w:after="100"/>
        <w:outlineLvl w:val="1"/>
      </w:pPr>
      <w:r>
        <w:rPr>
          <w:rFonts w:ascii="Arial" w:hAnsi="Arial" w:cs="Arial"/>
          <w:b/>
          <w:i w:val="0"/>
          <w:color w:val="2E528F"/>
          <w:sz w:val="26"/>
        </w:rPr>
        <w:t>14.5 Financial Reconciliation &amp; Post-Closure</w:t>
      </w:r>
    </w:p>
    <w:p>
      <w:pPr>
        <w:keepNext/>
        <w:spacing w:before="180" w:after="80"/>
        <w:outlineLvl w:val="2"/>
      </w:pPr>
      <w:r>
        <w:rPr>
          <w:rFonts w:ascii="Arial" w:hAnsi="Arial" w:cs="Arial"/>
          <w:b/>
          <w:i w:val="0"/>
          <w:color w:val="333333"/>
          <w:sz w:val="23"/>
        </w:rPr>
        <w:t>14.5.1 Financial Reconciliation (Post-Trade)</w:t>
      </w:r>
    </w:p>
    <w:p>
      <w:pPr>
        <w:spacing w:after="80" w:line="293" w:lineRule="auto"/>
        <w:jc w:val="left"/>
      </w:pPr>
      <w:r>
        <w:rPr>
          <w:rFonts w:ascii="Times New Roman" w:hAnsi="Times New Roman" w:cs="Times New Roman"/>
          <w:b w:val="0"/>
          <w:i w:val="0"/>
          <w:sz w:val="22"/>
        </w:rPr>
        <w:t>Post-trade financial reconciliation reuses the Phase 6 machinery (Section 13.6) at trade level: bank confirmations (pain.002/camt.054/gpi), OpenBanking statements, and bank statements (MT940, ISO 20022) are matched to settlement instructions and fee payment requests with the ≥95% confidence threshold and manual queue below it. Dispute outcomes feed back into the financial position: refunds are executed as separate settlement legs (Section 14.3.17), FeeLock freezes are released (fully or partially), and the Financial Position &amp; Consequence Subledger tracks returned amounts, disputed amounts, compensation, penalties, and reopened exposure per trade. Monthly reconciliation statements (Section 13.6.5) aggregate every settled USTN for the tenant with the breakdown of trade principal, SGTX fee, financing fees, and deferred fees, signed with Ed25519 and checksummed with SHA-256.</w:t>
      </w:r>
    </w:p>
    <w:p>
      <w:pPr>
        <w:keepNext/>
        <w:spacing w:before="180" w:after="80"/>
        <w:outlineLvl w:val="2"/>
      </w:pPr>
      <w:r>
        <w:rPr>
          <w:rFonts w:ascii="Arial" w:hAnsi="Arial" w:cs="Arial"/>
          <w:b/>
          <w:i w:val="0"/>
          <w:color w:val="333333"/>
          <w:sz w:val="23"/>
        </w:rPr>
        <w:t>14.5.2 Evidence Sealing &amp; Verification</w:t>
      </w:r>
    </w:p>
    <w:p>
      <w:pPr>
        <w:spacing w:after="80" w:line="293" w:lineRule="auto"/>
        <w:jc w:val="left"/>
      </w:pPr>
      <w:r>
        <w:rPr>
          <w:rFonts w:ascii="Times New Roman" w:hAnsi="Times New Roman" w:cs="Times New Roman"/>
          <w:b w:val="0"/>
          <w:i w:val="0"/>
          <w:sz w:val="22"/>
        </w:rPr>
        <w:t>Dispute evidence packages and trade evidence are sealed with Loom hashes and verifiable tokens:</w:t>
      </w:r>
    </w:p>
    <w:p>
      <w:pPr>
        <w:spacing w:after="0" w:before="0" w:line="240" w:lineRule="auto"/>
        <w:ind w:left="57"/>
        <w:jc w:val="left"/>
        <w:shd w:val="clear" w:fill="F2F2F2"/>
      </w:pPr>
      <w:r>
        <w:rPr>
          <w:rFonts w:ascii="Consolas" w:hAnsi="Consolas" w:cs="Consolas"/>
          <w:b w:val="0"/>
          <w:i w:val="0"/>
          <w:sz w:val="15"/>
        </w:rPr>
        <w:t>-- USTN verification tokens</w:t>
      </w:r>
    </w:p>
    <w:p>
      <w:pPr>
        <w:spacing w:after="0" w:before="0" w:line="240" w:lineRule="auto"/>
        <w:ind w:left="57"/>
        <w:jc w:val="left"/>
        <w:shd w:val="clear" w:fill="F2F2F2"/>
      </w:pPr>
      <w:r>
        <w:rPr>
          <w:rFonts w:ascii="Consolas" w:hAnsi="Consolas" w:cs="Consolas"/>
          <w:b w:val="0"/>
          <w:i w:val="0"/>
          <w:sz w:val="15"/>
        </w:rPr>
        <w:t>-- loom_verification_tokens: canonical definition in Section 17.17;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idx_ustn_verification_tokens_token ON loom_verification_tokens(token);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verification token grants read-only, authenticated access to the sealed evidence for external auditors, courts, arbitrators, and insurers; the holder can view but not modify. Tokens expire after 90 days and can be revoked.</w:t>
      </w:r>
    </w:p>
    <w:p>
      <w:pPr>
        <w:keepNext/>
        <w:spacing w:before="180" w:after="80"/>
        <w:outlineLvl w:val="2"/>
      </w:pPr>
      <w:r>
        <w:rPr>
          <w:rFonts w:ascii="Arial" w:hAnsi="Arial" w:cs="Arial"/>
          <w:b/>
          <w:i w:val="0"/>
          <w:color w:val="333333"/>
          <w:sz w:val="23"/>
        </w:rPr>
        <w:t>14.5.3 Trade Memory Layer &amp; Predictive Trade Insights</w:t>
      </w:r>
    </w:p>
    <w:p>
      <w:pPr>
        <w:spacing w:after="80" w:line="293" w:lineRule="auto"/>
        <w:jc w:val="left"/>
      </w:pPr>
      <w:r>
        <w:rPr>
          <w:rFonts w:ascii="Times New Roman" w:hAnsi="Times New Roman" w:cs="Times New Roman"/>
          <w:b w:val="0"/>
          <w:i w:val="0"/>
          <w:sz w:val="22"/>
        </w:rPr>
        <w:t>The Trade Memory Layer is the long-term, structured, anonymised knowledge base of trade events used exclusively for pattern detection, predictive analytics, federated model training, and consented strategic advisory. It is never used to recommend counterparties, rank service providers, or violate non-marketplace principles.</w:t>
      </w:r>
    </w:p>
    <w:p>
      <w:pPr>
        <w:spacing w:after="80" w:line="293" w:lineRule="auto"/>
        <w:jc w:val="left"/>
      </w:pPr>
      <w:r>
        <w:rPr>
          <w:rFonts w:ascii="Times New Roman" w:hAnsi="Times New Roman" w:cs="Times New Roman"/>
          <w:b w:val="0"/>
          <w:i w:val="0"/>
          <w:sz w:val="22"/>
        </w:rPr>
        <w:t>Core principles:</w:t>
      </w:r>
    </w:p>
    <w:p>
      <w:pPr>
        <w:spacing w:after="80" w:line="293" w:lineRule="auto"/>
        <w:ind w:left="283"/>
        <w:jc w:val="left"/>
      </w:pPr>
      <w:r>
        <w:rPr>
          <w:rFonts w:ascii="Times New Roman" w:hAnsi="Times New Roman" w:cs="Times New Roman"/>
          <w:b w:val="0"/>
          <w:i w:val="0"/>
          <w:sz w:val="22"/>
        </w:rPr>
        <w:t>- Anonymisation first — original GTIDs are replaced with persistent, non-reversible anonymous identifiers (peppered SHA-256 with a 90-day pepper rotation); exact amounts and volumes are reduced to bands; free text and document content are excluded.</w:t>
      </w:r>
    </w:p>
    <w:p>
      <w:pPr>
        <w:spacing w:after="80" w:line="293" w:lineRule="auto"/>
        <w:ind w:left="283"/>
        <w:jc w:val="left"/>
      </w:pPr>
      <w:r>
        <w:rPr>
          <w:rFonts w:ascii="Times New Roman" w:hAnsi="Times New Roman" w:cs="Times New Roman"/>
          <w:b w:val="0"/>
          <w:i w:val="0"/>
          <w:sz w:val="22"/>
        </w:rPr>
        <w:t>- Opt-in contribution controlled by tenants.</w:t>
      </w:r>
    </w:p>
    <w:p>
      <w:pPr>
        <w:spacing w:after="80" w:line="293" w:lineRule="auto"/>
        <w:ind w:left="283"/>
        <w:jc w:val="left"/>
      </w:pPr>
      <w:r>
        <w:rPr>
          <w:rFonts w:ascii="Times New Roman" w:hAnsi="Times New Roman" w:cs="Times New Roman"/>
          <w:b w:val="0"/>
          <w:i w:val="0"/>
          <w:sz w:val="22"/>
        </w:rPr>
        <w:t>- Differential privacy on all aggregates (ε = 0.1).</w:t>
      </w:r>
    </w:p>
    <w:p>
      <w:pPr>
        <w:spacing w:after="80" w:line="293" w:lineRule="auto"/>
        <w:ind w:left="283"/>
        <w:jc w:val="left"/>
      </w:pPr>
      <w:r>
        <w:rPr>
          <w:rFonts w:ascii="Times New Roman" w:hAnsi="Times New Roman" w:cs="Times New Roman"/>
          <w:b w:val="0"/>
          <w:i w:val="0"/>
          <w:sz w:val="22"/>
        </w:rPr>
        <w:t>- Federated-learning ready.</w:t>
      </w:r>
    </w:p>
    <w:p>
      <w:pPr>
        <w:spacing w:after="80" w:line="293" w:lineRule="auto"/>
        <w:ind w:left="283"/>
        <w:jc w:val="left"/>
      </w:pPr>
      <w:r>
        <w:rPr>
          <w:rFonts w:ascii="Times New Roman" w:hAnsi="Times New Roman" w:cs="Times New Roman"/>
          <w:b w:val="0"/>
          <w:i w:val="0"/>
          <w:sz w:val="22"/>
        </w:rPr>
        <w:t>- Insights advisory only.</w:t>
      </w:r>
    </w:p>
    <w:p>
      <w:pPr>
        <w:spacing w:after="80" w:line="293" w:lineRule="auto"/>
        <w:jc w:val="left"/>
      </w:pPr>
      <w:r>
        <w:rPr>
          <w:rFonts w:ascii="Times New Roman" w:hAnsi="Times New Roman" w:cs="Times New Roman"/>
          <w:b w:val="0"/>
          <w:i w:val="0"/>
          <w:sz w:val="22"/>
        </w:rPr>
        <w:t>Event categories captured: TRADE, DELAY, DOCUMENTATION, DISPUTE, FINANCING, LOGISTICS, COMPLIANCE — stored as a TimescaleDB hypertable partitioned by occurred week, with compression after six months. Derived insights power daily tenant dashboards (advisory) and anomaly detection, with storage in the `tri_history` and trust passport families (Section 17).</w:t>
      </w:r>
    </w:p>
    <w:p>
      <w:pPr>
        <w:spacing w:after="0" w:before="0" w:line="240" w:lineRule="auto"/>
        <w:ind w:left="57"/>
        <w:jc w:val="left"/>
        <w:shd w:val="clear" w:fill="F2F2F2"/>
      </w:pPr>
      <w:r>
        <w:rPr>
          <w:rFonts w:ascii="Consolas" w:hAnsi="Consolas" w:cs="Consolas"/>
          <w:b w:val="0"/>
          <w:i w:val="0"/>
          <w:sz w:val="15"/>
        </w:rPr>
        <w:t>-- Trade Memory Events</w:t>
      </w:r>
    </w:p>
    <w:p>
      <w:pPr>
        <w:spacing w:after="0" w:before="0" w:line="240" w:lineRule="auto"/>
        <w:ind w:left="57"/>
        <w:jc w:val="left"/>
        <w:shd w:val="clear" w:fill="F2F2F2"/>
      </w:pPr>
      <w:r>
        <w:rPr>
          <w:rFonts w:ascii="Consolas" w:hAnsi="Consolas" w:cs="Consolas"/>
          <w:b w:val="0"/>
          <w:i w:val="0"/>
          <w:sz w:val="15"/>
        </w:rPr>
        <w:t>CREATE TABLE trade_memory_events (</w:t>
      </w:r>
    </w:p>
    <w:p>
      <w:pPr>
        <w:spacing w:after="0" w:before="0" w:line="240" w:lineRule="auto"/>
        <w:ind w:left="57"/>
        <w:jc w:val="left"/>
        <w:shd w:val="clear" w:fill="F2F2F2"/>
      </w:pPr>
      <w:r>
        <w:rPr>
          <w:rFonts w:ascii="Consolas" w:hAnsi="Consolas" w:cs="Consolas"/>
          <w:b w:val="0"/>
          <w:i w:val="0"/>
          <w:sz w:val="15"/>
        </w:rPr>
        <w:t xml:space="preserve">    id BIGSERIAL,</w:t>
      </w:r>
    </w:p>
    <w:p>
      <w:pPr>
        <w:spacing w:after="0" w:before="0" w:line="240" w:lineRule="auto"/>
        <w:ind w:left="57"/>
        <w:jc w:val="left"/>
        <w:shd w:val="clear" w:fill="F2F2F2"/>
      </w:pPr>
      <w:r>
        <w:rPr>
          <w:rFonts w:ascii="Consolas" w:hAnsi="Consolas" w:cs="Consolas"/>
          <w:b w:val="0"/>
          <w:i w:val="0"/>
          <w:sz w:val="15"/>
        </w:rPr>
        <w:t xml:space="preserve">    event_type TEXT NOT NULL,</w:t>
      </w:r>
    </w:p>
    <w:p>
      <w:pPr>
        <w:spacing w:after="0" w:before="0" w:line="240" w:lineRule="auto"/>
        <w:ind w:left="57"/>
        <w:jc w:val="left"/>
        <w:shd w:val="clear" w:fill="F2F2F2"/>
      </w:pPr>
      <w:r>
        <w:rPr>
          <w:rFonts w:ascii="Consolas" w:hAnsi="Consolas" w:cs="Consolas"/>
          <w:b w:val="0"/>
          <w:i w:val="0"/>
          <w:sz w:val="15"/>
        </w:rPr>
        <w:t xml:space="preserve">    category TEXT NOT NULL,              -- 'DELAY', 'DISPUTE', 'FINANCING', etc.</w:t>
      </w:r>
    </w:p>
    <w:p>
      <w:pPr>
        <w:spacing w:after="0" w:before="0" w:line="240" w:lineRule="auto"/>
        <w:ind w:left="57"/>
        <w:jc w:val="left"/>
        <w:shd w:val="clear" w:fill="F2F2F2"/>
      </w:pPr>
      <w:r>
        <w:rPr>
          <w:rFonts w:ascii="Consolas" w:hAnsi="Consolas" w:cs="Consolas"/>
          <w:b w:val="0"/>
          <w:i w:val="0"/>
          <w:sz w:val="15"/>
        </w:rPr>
        <w:t xml:space="preserve">    anonymous_entity_id TEXT,</w:t>
      </w:r>
    </w:p>
    <w:p>
      <w:pPr>
        <w:spacing w:after="0" w:before="0" w:line="240" w:lineRule="auto"/>
        <w:ind w:left="57"/>
        <w:jc w:val="left"/>
        <w:shd w:val="clear" w:fill="F2F2F2"/>
      </w:pPr>
      <w:r>
        <w:rPr>
          <w:rFonts w:ascii="Consolas" w:hAnsi="Consolas" w:cs="Consolas"/>
          <w:b w:val="0"/>
          <w:i w:val="0"/>
          <w:sz w:val="15"/>
        </w:rPr>
        <w:t xml:space="preserve">    hs_chapter CHAR(2),</w:t>
      </w:r>
    </w:p>
    <w:p>
      <w:pPr>
        <w:spacing w:after="0" w:before="0" w:line="240" w:lineRule="auto"/>
        <w:ind w:left="57"/>
        <w:jc w:val="left"/>
        <w:shd w:val="clear" w:fill="F2F2F2"/>
      </w:pPr>
      <w:r>
        <w:rPr>
          <w:rFonts w:ascii="Consolas" w:hAnsi="Consolas" w:cs="Consolas"/>
          <w:b w:val="0"/>
          <w:i w:val="0"/>
          <w:sz w:val="15"/>
        </w:rPr>
        <w:t xml:space="preserve">    origin_country CHAR(2),</w:t>
      </w:r>
    </w:p>
    <w:p>
      <w:pPr>
        <w:spacing w:after="0" w:before="0" w:line="240" w:lineRule="auto"/>
        <w:ind w:left="57"/>
        <w:jc w:val="left"/>
        <w:shd w:val="clear" w:fill="F2F2F2"/>
      </w:pPr>
      <w:r>
        <w:rPr>
          <w:rFonts w:ascii="Consolas" w:hAnsi="Consolas" w:cs="Consolas"/>
          <w:b w:val="0"/>
          <w:i w:val="0"/>
          <w:sz w:val="15"/>
        </w:rPr>
        <w:t xml:space="preserve">    destination_country CHAR(2),</w:t>
      </w:r>
    </w:p>
    <w:p>
      <w:pPr>
        <w:spacing w:after="0" w:before="0" w:line="240" w:lineRule="auto"/>
        <w:ind w:left="57"/>
        <w:jc w:val="left"/>
        <w:shd w:val="clear" w:fill="F2F2F2"/>
      </w:pPr>
      <w:r>
        <w:rPr>
          <w:rFonts w:ascii="Consolas" w:hAnsi="Consolas" w:cs="Consolas"/>
          <w:b w:val="0"/>
          <w:i w:val="0"/>
          <w:sz w:val="15"/>
        </w:rPr>
        <w:t xml:space="preserve">    incoterm TEXT,</w:t>
      </w:r>
    </w:p>
    <w:p>
      <w:pPr>
        <w:spacing w:after="0" w:before="0" w:line="240" w:lineRule="auto"/>
        <w:ind w:left="57"/>
        <w:jc w:val="left"/>
        <w:shd w:val="clear" w:fill="F2F2F2"/>
      </w:pPr>
      <w:r>
        <w:rPr>
          <w:rFonts w:ascii="Consolas" w:hAnsi="Consolas" w:cs="Consolas"/>
          <w:b w:val="0"/>
          <w:i w:val="0"/>
          <w:sz w:val="15"/>
        </w:rPr>
        <w:t xml:space="preserve">    volume_band TEXT,                    -- 'SMALL', 'MEDIUM', 'LARGE'</w:t>
      </w:r>
    </w:p>
    <w:p>
      <w:pPr>
        <w:spacing w:after="0" w:before="0" w:line="240" w:lineRule="auto"/>
        <w:ind w:left="57"/>
        <w:jc w:val="left"/>
        <w:shd w:val="clear" w:fill="F2F2F2"/>
      </w:pPr>
      <w:r>
        <w:rPr>
          <w:rFonts w:ascii="Consolas" w:hAnsi="Consolas" w:cs="Consolas"/>
          <w:b w:val="0"/>
          <w:i w:val="0"/>
          <w:sz w:val="15"/>
        </w:rPr>
        <w:t xml:space="preserve">    value_band TEXT,</w:t>
      </w:r>
    </w:p>
    <w:p>
      <w:pPr>
        <w:spacing w:after="0" w:before="0" w:line="240" w:lineRule="auto"/>
        <w:ind w:left="57"/>
        <w:jc w:val="left"/>
        <w:shd w:val="clear" w:fill="F2F2F2"/>
      </w:pPr>
      <w:r>
        <w:rPr>
          <w:rFonts w:ascii="Consolas" w:hAnsi="Consolas" w:cs="Consolas"/>
          <w:b w:val="0"/>
          <w:i w:val="0"/>
          <w:sz w:val="15"/>
        </w:rPr>
        <w:t xml:space="preserve">    delay_days INTEGER,</w:t>
      </w:r>
    </w:p>
    <w:p>
      <w:pPr>
        <w:spacing w:after="0" w:before="0" w:line="240" w:lineRule="auto"/>
        <w:ind w:left="57"/>
        <w:jc w:val="left"/>
        <w:shd w:val="clear" w:fill="F2F2F2"/>
      </w:pPr>
      <w:r>
        <w:rPr>
          <w:rFonts w:ascii="Consolas" w:hAnsi="Consolas" w:cs="Consolas"/>
          <w:b w:val="0"/>
          <w:i w:val="0"/>
          <w:sz w:val="15"/>
        </w:rPr>
        <w:t xml:space="preserve">    dispute_category TEXT,</w:t>
      </w:r>
    </w:p>
    <w:p>
      <w:pPr>
        <w:spacing w:after="0" w:before="0" w:line="240" w:lineRule="auto"/>
        <w:ind w:left="57"/>
        <w:jc w:val="left"/>
        <w:shd w:val="clear" w:fill="F2F2F2"/>
      </w:pPr>
      <w:r>
        <w:rPr>
          <w:rFonts w:ascii="Consolas" w:hAnsi="Consolas" w:cs="Consolas"/>
          <w:b w:val="0"/>
          <w:i w:val="0"/>
          <w:sz w:val="15"/>
        </w:rPr>
        <w:t xml:space="preserve">    resolution_days INTEGER,</w:t>
      </w:r>
    </w:p>
    <w:p>
      <w:pPr>
        <w:spacing w:after="0" w:before="0" w:line="240" w:lineRule="auto"/>
        <w:ind w:left="57"/>
        <w:jc w:val="left"/>
        <w:shd w:val="clear" w:fill="F2F2F2"/>
      </w:pPr>
      <w:r>
        <w:rPr>
          <w:rFonts w:ascii="Consolas" w:hAnsi="Consolas" w:cs="Consolas"/>
          <w:b w:val="0"/>
          <w:i w:val="0"/>
          <w:sz w:val="15"/>
        </w:rPr>
        <w:t xml:space="preserve">    payload JSONB,</w:t>
      </w:r>
    </w:p>
    <w:p>
      <w:pPr>
        <w:spacing w:after="0" w:before="0" w:line="240" w:lineRule="auto"/>
        <w:ind w:left="57"/>
        <w:jc w:val="left"/>
        <w:shd w:val="clear" w:fill="F2F2F2"/>
      </w:pPr>
      <w:r>
        <w:rPr>
          <w:rFonts w:ascii="Consolas" w:hAnsi="Consolas" w:cs="Consolas"/>
          <w:b w:val="0"/>
          <w:i w:val="0"/>
          <w:sz w:val="15"/>
        </w:rPr>
        <w:t xml:space="preserve">    occurred_week DATE,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PARTITION BY RANGE (occurred_week);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SELECT create_hypertable('trade_memory_events', 'occurred_week');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Predictive insights (Trade Memory Layer)</w:t>
      </w:r>
    </w:p>
    <w:p>
      <w:pPr>
        <w:spacing w:after="0" w:before="0" w:line="240" w:lineRule="auto"/>
        <w:ind w:left="57"/>
        <w:jc w:val="left"/>
        <w:shd w:val="clear" w:fill="F2F2F2"/>
      </w:pPr>
      <w:r>
        <w:rPr>
          <w:rFonts w:ascii="Consolas" w:hAnsi="Consolas" w:cs="Consolas"/>
          <w:b w:val="0"/>
          <w:i w:val="0"/>
          <w:sz w:val="15"/>
        </w:rPr>
        <w:t>CREATE TABLE predictive_insights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insight_type TEXT NOT NULL,</w:t>
      </w:r>
    </w:p>
    <w:p>
      <w:pPr>
        <w:spacing w:after="0" w:before="0" w:line="240" w:lineRule="auto"/>
        <w:ind w:left="57"/>
        <w:jc w:val="left"/>
        <w:shd w:val="clear" w:fill="F2F2F2"/>
      </w:pPr>
      <w:r>
        <w:rPr>
          <w:rFonts w:ascii="Consolas" w:hAnsi="Consolas" w:cs="Consolas"/>
          <w:b w:val="0"/>
          <w:i w:val="0"/>
          <w:sz w:val="15"/>
        </w:rPr>
        <w:t xml:space="preserve">    target_entity TEXT,                  -- USTN, GTID, or NULL for general</w:t>
      </w:r>
    </w:p>
    <w:p>
      <w:pPr>
        <w:spacing w:after="0" w:before="0" w:line="240" w:lineRule="auto"/>
        <w:ind w:left="57"/>
        <w:jc w:val="left"/>
        <w:shd w:val="clear" w:fill="F2F2F2"/>
      </w:pPr>
      <w:r>
        <w:rPr>
          <w:rFonts w:ascii="Consolas" w:hAnsi="Consolas" w:cs="Consolas"/>
          <w:b w:val="0"/>
          <w:i w:val="0"/>
          <w:sz w:val="15"/>
        </w:rPr>
        <w:t xml:space="preserve">    probability DECIMAL(5,2),</w:t>
      </w:r>
    </w:p>
    <w:p>
      <w:pPr>
        <w:spacing w:after="0" w:before="0" w:line="240" w:lineRule="auto"/>
        <w:ind w:left="57"/>
        <w:jc w:val="left"/>
        <w:shd w:val="clear" w:fill="F2F2F2"/>
      </w:pPr>
      <w:r>
        <w:rPr>
          <w:rFonts w:ascii="Consolas" w:hAnsi="Consolas" w:cs="Consolas"/>
          <w:b w:val="0"/>
          <w:i w:val="0"/>
          <w:sz w:val="15"/>
        </w:rPr>
        <w:t xml:space="preserve">    confidence_interval JSONB,</w:t>
      </w:r>
    </w:p>
    <w:p>
      <w:pPr>
        <w:spacing w:after="0" w:before="0" w:line="240" w:lineRule="auto"/>
        <w:ind w:left="57"/>
        <w:jc w:val="left"/>
        <w:shd w:val="clear" w:fill="F2F2F2"/>
      </w:pPr>
      <w:r>
        <w:rPr>
          <w:rFonts w:ascii="Consolas" w:hAnsi="Consolas" w:cs="Consolas"/>
          <w:b w:val="0"/>
          <w:i w:val="0"/>
          <w:sz w:val="15"/>
        </w:rPr>
        <w:t xml:space="preserve">    recommendation TEXT,</w:t>
      </w:r>
    </w:p>
    <w:p>
      <w:pPr>
        <w:spacing w:after="0" w:before="0" w:line="240" w:lineRule="auto"/>
        <w:ind w:left="57"/>
        <w:jc w:val="left"/>
        <w:shd w:val="clear" w:fill="F2F2F2"/>
      </w:pPr>
      <w:r>
        <w:rPr>
          <w:rFonts w:ascii="Consolas" w:hAnsi="Consolas" w:cs="Consolas"/>
          <w:b w:val="0"/>
          <w:i w:val="0"/>
          <w:sz w:val="15"/>
        </w:rPr>
        <w:t xml:space="preserve">    payload JSONB,</w:t>
      </w:r>
    </w:p>
    <w:p>
      <w:pPr>
        <w:spacing w:after="0" w:before="0" w:line="240" w:lineRule="auto"/>
        <w:ind w:left="57"/>
        <w:jc w:val="left"/>
        <w:shd w:val="clear" w:fill="F2F2F2"/>
      </w:pPr>
      <w:r>
        <w:rPr>
          <w:rFonts w:ascii="Consolas" w:hAnsi="Consolas" w:cs="Consolas"/>
          <w:b w:val="0"/>
          <w:i w:val="0"/>
          <w:sz w:val="15"/>
        </w:rPr>
        <w:t xml:space="preserve">    valid_until TIMESTAMPTZ,</w:t>
      </w:r>
    </w:p>
    <w:p>
      <w:pPr>
        <w:spacing w:after="0" w:before="0" w:line="240" w:lineRule="auto"/>
        <w:ind w:left="57"/>
        <w:jc w:val="left"/>
        <w:shd w:val="clear" w:fill="F2F2F2"/>
      </w:pPr>
      <w:r>
        <w:rPr>
          <w:rFonts w:ascii="Consolas" w:hAnsi="Consolas" w:cs="Consolas"/>
          <w:b w:val="0"/>
          <w:i w:val="0"/>
          <w:sz w:val="15"/>
        </w:rPr>
        <w:t xml:space="preserve">    acknowledged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idx_trade_memory_events_week ON trade_memory_events(occurred_week);</w:t>
      </w:r>
    </w:p>
    <w:p>
      <w:pPr>
        <w:spacing w:after="0" w:before="0" w:line="240" w:lineRule="auto"/>
        <w:ind w:left="57"/>
        <w:jc w:val="left"/>
        <w:shd w:val="clear" w:fill="F2F2F2"/>
      </w:pPr>
      <w:r>
        <w:rPr>
          <w:rFonts w:ascii="Consolas" w:hAnsi="Consolas" w:cs="Consolas"/>
          <w:b w:val="0"/>
          <w:i w:val="0"/>
          <w:sz w:val="15"/>
        </w:rPr>
        <w:t>CREATE INDEX idx_trade_memory_events_category ON trade_memory_events(category);</w:t>
      </w:r>
    </w:p>
    <w:p>
      <w:pPr>
        <w:spacing w:after="0" w:before="0" w:line="240" w:lineRule="auto"/>
        <w:ind w:left="57"/>
        <w:jc w:val="left"/>
        <w:shd w:val="clear" w:fill="F2F2F2"/>
      </w:pPr>
      <w:r>
        <w:rPr>
          <w:rFonts w:ascii="Consolas" w:hAnsi="Consolas" w:cs="Consolas"/>
          <w:b w:val="0"/>
          <w:i w:val="0"/>
          <w:sz w:val="15"/>
        </w:rPr>
        <w:t>CREATE INDEX idx_predictive_insights_type ON predictive_insights(insight_type);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14.5.4 Trade Digital Twin (Scenario Simulation)</w:t>
      </w:r>
    </w:p>
    <w:p>
      <w:pPr>
        <w:spacing w:after="80" w:line="293" w:lineRule="auto"/>
        <w:jc w:val="left"/>
      </w:pPr>
      <w:r>
        <w:rPr>
          <w:rFonts w:ascii="Times New Roman" w:hAnsi="Times New Roman" w:cs="Times New Roman"/>
          <w:b w:val="0"/>
          <w:i w:val="0"/>
          <w:sz w:val="22"/>
        </w:rPr>
        <w:t>Purpose. Simulate external shocks on active and planned trades — tariff changes, currency shocks, regulatory changes, logistics disruptions, financing impacts. Advisory only — it never blocks or executes trades.</w:t>
      </w:r>
    </w:p>
    <w:p>
      <w:pPr>
        <w:spacing w:after="80" w:line="293" w:lineRule="auto"/>
        <w:jc w:val="left"/>
      </w:pPr>
      <w:r>
        <w:rPr>
          <w:rFonts w:ascii="Times New Roman" w:hAnsi="Times New Roman" w:cs="Times New Roman"/>
          <w:b w:val="0"/>
          <w:i w:val="0"/>
          <w:sz w:val="22"/>
        </w:rPr>
        <w:t>Scenario types: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Scenario</w:t>
            </w:r>
          </w:p>
        </w:tc>
        <w:tc>
          <w:tcPr>
            <w:tcW w:type="dxa" w:w="4819"/>
            <w:shd w:val="clear" w:fill="D9E2F3"/>
          </w:tcPr>
          <w:p>
            <w:pPr>
              <w:spacing w:after="20" w:before="20" w:line="240" w:lineRule="auto"/>
            </w:pPr>
            <w:r/>
            <w:r>
              <w:rPr>
                <w:rFonts w:ascii="Arial" w:hAnsi="Arial" w:cs="Arial"/>
                <w:b/>
                <w:i w:val="0"/>
                <w:sz w:val="18"/>
              </w:rPr>
              <w:t>Example</w:t>
            </w:r>
          </w:p>
        </w:tc>
      </w:tr>
      <w:tr>
        <w:tc>
          <w:tcPr>
            <w:tcW w:type="dxa" w:w="4819"/>
          </w:tcPr>
          <w:p>
            <w:pPr>
              <w:spacing w:after="20" w:before="20" w:line="240" w:lineRule="auto"/>
            </w:pPr>
            <w:r/>
            <w:r>
              <w:rPr>
                <w:rFonts w:ascii="Arial" w:hAnsi="Arial" w:cs="Arial"/>
                <w:b w:val="0"/>
                <w:i w:val="0"/>
                <w:sz w:val="17"/>
              </w:rPr>
              <w:t>Tariff change</w:t>
            </w:r>
          </w:p>
        </w:tc>
        <w:tc>
          <w:tcPr>
            <w:tcW w:type="dxa" w:w="4819"/>
          </w:tcPr>
          <w:p>
            <w:pPr>
              <w:spacing w:after="20" w:before="20" w:line="240" w:lineRule="auto"/>
            </w:pPr>
            <w:r/>
            <w:r>
              <w:rPr>
                <w:rFonts w:ascii="Arial" w:hAnsi="Arial" w:cs="Arial"/>
                <w:b w:val="0"/>
                <w:i w:val="0"/>
                <w:sz w:val="17"/>
              </w:rPr>
              <w:t>Tariff +15% on citrus (HS 0805)</w:t>
            </w:r>
          </w:p>
        </w:tc>
      </w:tr>
      <w:tr>
        <w:tc>
          <w:tcPr>
            <w:tcW w:type="dxa" w:w="4819"/>
          </w:tcPr>
          <w:p>
            <w:pPr>
              <w:spacing w:after="20" w:before="20" w:line="240" w:lineRule="auto"/>
            </w:pPr>
            <w:r/>
            <w:r>
              <w:rPr>
                <w:rFonts w:ascii="Arial" w:hAnsi="Arial" w:cs="Arial"/>
                <w:b w:val="0"/>
                <w:i w:val="0"/>
                <w:sz w:val="17"/>
              </w:rPr>
              <w:t>Currency shock</w:t>
            </w:r>
          </w:p>
        </w:tc>
        <w:tc>
          <w:tcPr>
            <w:tcW w:type="dxa" w:w="4819"/>
          </w:tcPr>
          <w:p>
            <w:pPr>
              <w:spacing w:after="20" w:before="20" w:line="240" w:lineRule="auto"/>
            </w:pPr>
            <w:r/>
            <w:r>
              <w:rPr>
                <w:rFonts w:ascii="Arial" w:hAnsi="Arial" w:cs="Arial"/>
                <w:b w:val="0"/>
                <w:i w:val="0"/>
                <w:sz w:val="17"/>
              </w:rPr>
              <w:t>EGP/USD movement beyond a defined band</w:t>
            </w:r>
          </w:p>
        </w:tc>
      </w:tr>
      <w:tr>
        <w:tc>
          <w:tcPr>
            <w:tcW w:type="dxa" w:w="4819"/>
          </w:tcPr>
          <w:p>
            <w:pPr>
              <w:spacing w:after="20" w:before="20" w:line="240" w:lineRule="auto"/>
            </w:pPr>
            <w:r/>
            <w:r>
              <w:rPr>
                <w:rFonts w:ascii="Arial" w:hAnsi="Arial" w:cs="Arial"/>
                <w:b w:val="0"/>
                <w:i w:val="0"/>
                <w:sz w:val="17"/>
              </w:rPr>
              <w:t>Regulatory change</w:t>
            </w:r>
          </w:p>
        </w:tc>
        <w:tc>
          <w:tcPr>
            <w:tcW w:type="dxa" w:w="4819"/>
          </w:tcPr>
          <w:p>
            <w:pPr>
              <w:spacing w:after="20" w:before="20" w:line="240" w:lineRule="auto"/>
            </w:pPr>
            <w:r/>
            <w:r>
              <w:rPr>
                <w:rFonts w:ascii="Arial" w:hAnsi="Arial" w:cs="Arial"/>
                <w:b w:val="0"/>
                <w:i w:val="0"/>
                <w:sz w:val="17"/>
              </w:rPr>
              <w:t>New import requirement in the destination country</w:t>
            </w:r>
          </w:p>
        </w:tc>
      </w:tr>
      <w:tr>
        <w:tc>
          <w:tcPr>
            <w:tcW w:type="dxa" w:w="4819"/>
          </w:tcPr>
          <w:p>
            <w:pPr>
              <w:spacing w:after="20" w:before="20" w:line="240" w:lineRule="auto"/>
            </w:pPr>
            <w:r/>
            <w:r>
              <w:rPr>
                <w:rFonts w:ascii="Arial" w:hAnsi="Arial" w:cs="Arial"/>
                <w:b w:val="0"/>
                <w:i w:val="0"/>
                <w:sz w:val="17"/>
              </w:rPr>
              <w:t>Logistics disruption</w:t>
            </w:r>
          </w:p>
        </w:tc>
        <w:tc>
          <w:tcPr>
            <w:tcW w:type="dxa" w:w="4819"/>
          </w:tcPr>
          <w:p>
            <w:pPr>
              <w:spacing w:after="20" w:before="20" w:line="240" w:lineRule="auto"/>
            </w:pPr>
            <w:r/>
            <w:r>
              <w:rPr>
                <w:rFonts w:ascii="Arial" w:hAnsi="Arial" w:cs="Arial"/>
                <w:b w:val="0"/>
                <w:i w:val="0"/>
                <w:sz w:val="17"/>
              </w:rPr>
              <w:t>Port closure, congestion, carrier failure</w:t>
            </w:r>
          </w:p>
        </w:tc>
      </w:tr>
      <w:tr>
        <w:tc>
          <w:tcPr>
            <w:tcW w:type="dxa" w:w="4819"/>
          </w:tcPr>
          <w:p>
            <w:pPr>
              <w:spacing w:after="20" w:before="20" w:line="240" w:lineRule="auto"/>
            </w:pPr>
            <w:r/>
            <w:r>
              <w:rPr>
                <w:rFonts w:ascii="Arial" w:hAnsi="Arial" w:cs="Arial"/>
                <w:b w:val="0"/>
                <w:i w:val="0"/>
                <w:sz w:val="17"/>
              </w:rPr>
              <w:t>Financing impact</w:t>
            </w:r>
          </w:p>
        </w:tc>
        <w:tc>
          <w:tcPr>
            <w:tcW w:type="dxa" w:w="4819"/>
          </w:tcPr>
          <w:p>
            <w:pPr>
              <w:spacing w:after="20" w:before="20" w:line="240" w:lineRule="auto"/>
            </w:pPr>
            <w:r/>
            <w:r>
              <w:rPr>
                <w:rFonts w:ascii="Arial" w:hAnsi="Arial" w:cs="Arial"/>
                <w:b w:val="0"/>
                <w:i w:val="0"/>
                <w:sz w:val="17"/>
              </w:rPr>
              <w:t>Rate change on an active financing agreement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Output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"scenario": "Tariff +15% on citrus (HS 0805)",</w:t>
      </w:r>
    </w:p>
    <w:p>
      <w:pPr>
        <w:spacing w:after="0" w:before="0" w:line="240" w:lineRule="auto"/>
        <w:ind w:left="57"/>
        <w:jc w:val="left"/>
        <w:shd w:val="clear" w:fill="F2F2F2"/>
      </w:pPr>
      <w:r>
        <w:rPr>
          <w:rFonts w:ascii="Consolas" w:hAnsi="Consolas" w:cs="Consolas"/>
          <w:b w:val="0"/>
          <w:i w:val="0"/>
          <w:sz w:val="15"/>
        </w:rPr>
        <w:t xml:space="preserve">    "affected_trades": ["USTN-EG-001", "USTN-EG-002"],</w:t>
      </w:r>
    </w:p>
    <w:p>
      <w:pPr>
        <w:spacing w:after="0" w:before="0" w:line="240" w:lineRule="auto"/>
        <w:ind w:left="57"/>
        <w:jc w:val="left"/>
        <w:shd w:val="clear" w:fill="F2F2F2"/>
      </w:pPr>
      <w:r>
        <w:rPr>
          <w:rFonts w:ascii="Consolas" w:hAnsi="Consolas" w:cs="Consolas"/>
          <w:b w:val="0"/>
          <w:i w:val="0"/>
          <w:sz w:val="15"/>
        </w:rPr>
        <w:t xml:space="preserve">    "impact_forecast": {</w:t>
      </w:r>
    </w:p>
    <w:p>
      <w:pPr>
        <w:spacing w:after="0" w:before="0" w:line="240" w:lineRule="auto"/>
        <w:ind w:left="57"/>
        <w:jc w:val="left"/>
        <w:shd w:val="clear" w:fill="F2F2F2"/>
      </w:pPr>
      <w:r>
        <w:rPr>
          <w:rFonts w:ascii="Consolas" w:hAnsi="Consolas" w:cs="Consolas"/>
          <w:b w:val="0"/>
          <w:i w:val="0"/>
          <w:sz w:val="15"/>
        </w:rPr>
        <w:t xml:space="preserve">        "total_landed_cost_increase_percent": 12.3,</w:t>
      </w:r>
    </w:p>
    <w:p>
      <w:pPr>
        <w:spacing w:after="0" w:before="0" w:line="240" w:lineRule="auto"/>
        <w:ind w:left="57"/>
        <w:jc w:val="left"/>
        <w:shd w:val="clear" w:fill="F2F2F2"/>
      </w:pPr>
      <w:r>
        <w:rPr>
          <w:rFonts w:ascii="Consolas" w:hAnsi="Consolas" w:cs="Consolas"/>
          <w:b w:val="0"/>
          <w:i w:val="0"/>
          <w:sz w:val="15"/>
        </w:rPr>
        <w:t xml:space="preserve">        "demand_elasticity_estimate": -0.4,</w:t>
      </w:r>
    </w:p>
    <w:p>
      <w:pPr>
        <w:spacing w:after="0" w:before="0" w:line="240" w:lineRule="auto"/>
        <w:ind w:left="57"/>
        <w:jc w:val="left"/>
        <w:shd w:val="clear" w:fill="F2F2F2"/>
      </w:pPr>
      <w:r>
        <w:rPr>
          <w:rFonts w:ascii="Consolas" w:hAnsi="Consolas" w:cs="Consolas"/>
          <w:b w:val="0"/>
          <w:i w:val="0"/>
          <w:sz w:val="15"/>
        </w:rPr>
        <w:t xml:space="preserve">        "recommendation": "Accelerate shipments before effective date of 2026-09-01"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"confidence": 0.87,</w:t>
      </w:r>
    </w:p>
    <w:p>
      <w:pPr>
        <w:spacing w:after="0" w:before="0" w:line="240" w:lineRule="auto"/>
        <w:ind w:left="57"/>
        <w:jc w:val="left"/>
        <w:shd w:val="clear" w:fill="F2F2F2"/>
      </w:pPr>
      <w:r>
        <w:rPr>
          <w:rFonts w:ascii="Consolas" w:hAnsi="Consolas" w:cs="Consolas"/>
          <w:b w:val="0"/>
          <w:i w:val="0"/>
          <w:sz w:val="15"/>
        </w:rPr>
        <w:t xml:space="preserve">    "disclaimer": "Advisory only -- not a guarantee."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actions. Run Scenario (1 click) — select scenario type and parameters, execute. Apply Recommendation (1 click) — for example, pre-fill a hedging instrument or adjust the shipping route. The capability is exposed from the Trade Command Center as a "Scenario Analysis" action.</w:t>
      </w:r>
    </w:p>
    <w:p>
      <w:pPr>
        <w:keepNext/>
        <w:spacing w:before="180" w:after="80"/>
        <w:outlineLvl w:val="2"/>
      </w:pPr>
      <w:r>
        <w:rPr>
          <w:rFonts w:ascii="Arial" w:hAnsi="Arial" w:cs="Arial"/>
          <w:b/>
          <w:i w:val="0"/>
          <w:color w:val="333333"/>
          <w:sz w:val="23"/>
        </w:rPr>
        <w:t>14.5.5 Post-Closure</w:t>
      </w:r>
    </w:p>
    <w:p>
      <w:pPr>
        <w:spacing w:after="80" w:line="293" w:lineRule="auto"/>
        <w:jc w:val="left"/>
      </w:pPr>
      <w:r>
        <w:rPr>
          <w:rFonts w:ascii="Times New Roman" w:hAnsi="Times New Roman" w:cs="Times New Roman"/>
          <w:b w:val="0"/>
          <w:i w:val="0"/>
          <w:sz w:val="22"/>
        </w:rPr>
        <w:t>After a dispute is resolved or a distressed sale is completed, the trade re-enters the standard completion path: settlement completion matrix (Section 13.6.3) verified, FeeLock fully released, evidence sealed, and the TRI updated. Closure of the USTN itself is a policy-derived condition evaluated against the canonical closure conditions — delivery accepted; settlement complete; financial reconciliation complete; customs complete; post-clearance complete; disputes/claims satisfied per the closure policy; and evidence sealed (Section 5). Where policy permits closure despite defined non-critical unresolved matters, the trade closes with exception, preserving the exception ID, severity, outstanding obligation, financial exposure, authority, reason, required post-closure action, responsible party, and deadline. Late evidence or authority events after closure follow the post-closure event path: authenticity/authority check → impact assessment → dependency analysis → reconciliation → current state update → recovery/correction if required — historical events remain immutable.</w:t>
      </w:r>
    </w:p>
    <w:p>
      <w:pPr>
        <w:keepNext/>
        <w:spacing w:before="180" w:after="80"/>
        <w:outlineLvl w:val="2"/>
      </w:pPr>
      <w:r>
        <w:rPr>
          <w:rFonts w:ascii="Arial" w:hAnsi="Arial" w:cs="Arial"/>
          <w:b/>
          <w:i w:val="0"/>
          <w:color w:val="333333"/>
          <w:sz w:val="23"/>
        </w:rPr>
        <w:t>14.5.6 Post-Trade Implementation Checklist</w:t>
      </w:r>
    </w:p>
    <w:p>
      <w:pPr>
        <w:spacing w:after="80" w:line="293" w:lineRule="auto"/>
        <w:ind w:left="283"/>
        <w:jc w:val="left"/>
      </w:pPr>
      <w:r>
        <w:rPr>
          <w:rFonts w:ascii="Times New Roman" w:hAnsi="Times New Roman" w:cs="Times New Roman"/>
          <w:b w:val="0"/>
          <w:i w:val="0"/>
          <w:sz w:val="22"/>
        </w:rPr>
        <w:t>- Implement distressed declaration with photo upload and AI condition assessment (Phase 7).</w:t>
      </w:r>
    </w:p>
    <w:p>
      <w:pPr>
        <w:spacing w:after="80" w:line="293" w:lineRule="auto"/>
        <w:ind w:left="283"/>
        <w:jc w:val="left"/>
      </w:pPr>
      <w:r>
        <w:rPr>
          <w:rFonts w:ascii="Times New Roman" w:hAnsi="Times New Roman" w:cs="Times New Roman"/>
          <w:b w:val="0"/>
          <w:i w:val="0"/>
          <w:sz w:val="22"/>
        </w:rPr>
        <w:t>- Build the dynamic pricing engine (XGBoost) and triage dashboard UI (three paths).</w:t>
      </w:r>
    </w:p>
    <w:p>
      <w:pPr>
        <w:spacing w:after="80" w:line="293" w:lineRule="auto"/>
        <w:ind w:left="283"/>
        <w:jc w:val="left"/>
      </w:pPr>
      <w:r>
        <w:rPr>
          <w:rFonts w:ascii="Times New Roman" w:hAnsi="Times New Roman" w:cs="Times New Roman"/>
          <w:b w:val="0"/>
          <w:i w:val="0"/>
          <w:sz w:val="22"/>
        </w:rPr>
        <w:t>- Add the "Check Buyers" advisory and accelerated outreach with privacy notice.</w:t>
      </w:r>
    </w:p>
    <w:p>
      <w:pPr>
        <w:spacing w:after="80" w:line="293" w:lineRule="auto"/>
        <w:ind w:left="283"/>
        <w:jc w:val="left"/>
      </w:pPr>
      <w:r>
        <w:rPr>
          <w:rFonts w:ascii="Times New Roman" w:hAnsi="Times New Roman" w:cs="Times New Roman"/>
          <w:b w:val="0"/>
          <w:i w:val="0"/>
          <w:sz w:val="22"/>
        </w:rPr>
        <w:t>- Build microcontract creation with the separate SGTX fee and the evidence compiler for insurance claims.</w:t>
      </w:r>
    </w:p>
    <w:p>
      <w:pPr>
        <w:spacing w:after="80" w:line="293" w:lineRule="auto"/>
        <w:ind w:left="283"/>
        <w:jc w:val="left"/>
      </w:pPr>
      <w:r>
        <w:rPr>
          <w:rFonts w:ascii="Times New Roman" w:hAnsi="Times New Roman" w:cs="Times New Roman"/>
          <w:b w:val="0"/>
          <w:i w:val="0"/>
          <w:sz w:val="22"/>
        </w:rPr>
        <w:t>- Implement the dispute filing endpoint (voice and structured) with evidence autocompiler, causal inference, and FeeLock freeze.</w:t>
      </w:r>
    </w:p>
    <w:p>
      <w:pPr>
        <w:spacing w:after="80" w:line="293" w:lineRule="auto"/>
        <w:ind w:left="283"/>
        <w:jc w:val="left"/>
      </w:pPr>
      <w:r>
        <w:rPr>
          <w:rFonts w:ascii="Times New Roman" w:hAnsi="Times New Roman" w:cs="Times New Roman"/>
          <w:b w:val="0"/>
          <w:i w:val="0"/>
          <w:sz w:val="22"/>
        </w:rPr>
        <w:t>- Implement the mediation log with Groq translation, third-party expert invitations, the AI settlement proposal generator, and arbitration case preparation.</w:t>
      </w:r>
    </w:p>
    <w:p>
      <w:pPr>
        <w:spacing w:after="80" w:line="293" w:lineRule="auto"/>
        <w:ind w:left="283"/>
        <w:jc w:val="left"/>
      </w:pPr>
      <w:r>
        <w:rPr>
          <w:rFonts w:ascii="Times New Roman" w:hAnsi="Times New Roman" w:cs="Times New Roman"/>
          <w:b w:val="0"/>
          <w:i w:val="0"/>
          <w:sz w:val="22"/>
        </w:rPr>
        <w:t>- Implement the SGTX fee dispute workflow with escalation to multisig, the TRI dispute workflow, and TRI recalculation on dispute resolution.</w:t>
      </w:r>
    </w:p>
    <w:p>
      <w:pPr>
        <w:spacing w:after="80" w:line="293" w:lineRule="auto"/>
        <w:ind w:left="283"/>
        <w:jc w:val="left"/>
      </w:pPr>
      <w:r>
        <w:rPr>
          <w:rFonts w:ascii="Times New Roman" w:hAnsi="Times New Roman" w:cs="Times New Roman"/>
          <w:b w:val="0"/>
          <w:i w:val="0"/>
          <w:sz w:val="22"/>
        </w:rPr>
        <w:t>- Implement evidence sealing with Loom verification tokens.</w:t>
      </w:r>
    </w:p>
    <w:p>
      <w:pPr>
        <w:spacing w:after="80" w:line="293" w:lineRule="auto"/>
        <w:ind w:left="283"/>
        <w:jc w:val="left"/>
      </w:pPr>
      <w:r>
        <w:rPr>
          <w:rFonts w:ascii="Times New Roman" w:hAnsi="Times New Roman" w:cs="Times New Roman"/>
          <w:b w:val="0"/>
          <w:i w:val="0"/>
          <w:sz w:val="22"/>
        </w:rPr>
        <w:t>- Implement the Trade Memory Layer (anonymised hypertable, differential privacy, predictive insights).</w:t>
      </w:r>
    </w:p>
    <w:p>
      <w:pPr>
        <w:spacing w:after="80" w:line="293" w:lineRule="auto"/>
        <w:ind w:left="283"/>
        <w:jc w:val="left"/>
      </w:pPr>
      <w:r>
        <w:rPr>
          <w:rFonts w:ascii="Times New Roman" w:hAnsi="Times New Roman" w:cs="Times New Roman"/>
          <w:b w:val="0"/>
          <w:i w:val="0"/>
          <w:sz w:val="22"/>
        </w:rPr>
        <w:t>- Implement the digital-twin scenario simulation service (Rust + Python) with the scenario endpoint, the "Scenario Analysis" button in the TCC, and the "Apply Recommendation" one-click action.</w:t>
      </w:r>
    </w:p>
    <w:p>
      <w:pPr>
        <w:keepNext/>
        <w:spacing w:before="180" w:after="80"/>
        <w:outlineLvl w:val="2"/>
      </w:pPr>
      <w:r>
        <w:rPr>
          <w:rFonts w:ascii="Arial" w:hAnsi="Arial" w:cs="Arial"/>
          <w:b/>
          <w:i w:val="0"/>
          <w:color w:val="333333"/>
          <w:sz w:val="23"/>
        </w:rPr>
        <w:t>14.5.7 AI Authority Summary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Authority</w:t>
            </w:r>
          </w:p>
        </w:tc>
        <w:tc>
          <w:tcPr>
            <w:tcW w:type="dxa" w:w="4819"/>
            <w:shd w:val="clear" w:fill="D9E2F3"/>
          </w:tcPr>
          <w:p>
            <w:pPr>
              <w:spacing w:after="20" w:before="20" w:line="240" w:lineRule="auto"/>
            </w:pPr>
            <w:r/>
            <w:r>
              <w:rPr>
                <w:rFonts w:ascii="Arial" w:hAnsi="Arial" w:cs="Arial"/>
                <w:b/>
                <w:i w:val="0"/>
                <w:sz w:val="18"/>
              </w:rPr>
              <w:t>Role in Phases 7–8</w:t>
            </w:r>
          </w:p>
        </w:tc>
      </w:tr>
      <w:tr>
        <w:tc>
          <w:tcPr>
            <w:tcW w:type="dxa" w:w="4819"/>
          </w:tcPr>
          <w:p>
            <w:pPr>
              <w:spacing w:after="20" w:before="20" w:line="240" w:lineRule="auto"/>
            </w:pPr>
            <w:r/>
            <w:r>
              <w:rPr>
                <w:rFonts w:ascii="Arial" w:hAnsi="Arial" w:cs="Arial"/>
                <w:b w:val="0"/>
                <w:i w:val="0"/>
                <w:sz w:val="17"/>
              </w:rPr>
              <w:t>A1 (advisory)</w:t>
            </w:r>
          </w:p>
        </w:tc>
        <w:tc>
          <w:tcPr>
            <w:tcW w:type="dxa" w:w="4819"/>
          </w:tcPr>
          <w:p>
            <w:pPr>
              <w:spacing w:after="20" w:before="20" w:line="240" w:lineRule="auto"/>
            </w:pPr>
            <w:r/>
            <w:r>
              <w:rPr>
                <w:rFonts w:ascii="Arial" w:hAnsi="Arial" w:cs="Arial"/>
                <w:b w:val="0"/>
                <w:i w:val="0"/>
                <w:sz w:val="17"/>
              </w:rPr>
              <w:t>Voice filing transcription and pre-fill; claim narratives; mediation translation; settlement proposals (Groq); performance summaries; condition-assessment narratives</w:t>
            </w:r>
          </w:p>
        </w:tc>
      </w:tr>
      <w:tr>
        <w:tc>
          <w:tcPr>
            <w:tcW w:type="dxa" w:w="4819"/>
          </w:tcPr>
          <w:p>
            <w:pPr>
              <w:spacing w:after="20" w:before="20" w:line="240" w:lineRule="auto"/>
            </w:pPr>
            <w:r/>
            <w:r>
              <w:rPr>
                <w:rFonts w:ascii="Arial" w:hAnsi="Arial" w:cs="Arial"/>
                <w:b w:val="0"/>
                <w:i w:val="0"/>
                <w:sz w:val="17"/>
              </w:rPr>
              <w:t>A2 (constraining)</w:t>
            </w:r>
          </w:p>
        </w:tc>
        <w:tc>
          <w:tcPr>
            <w:tcW w:type="dxa" w:w="4819"/>
          </w:tcPr>
          <w:p>
            <w:pPr>
              <w:spacing w:after="20" w:before="20" w:line="240" w:lineRule="auto"/>
            </w:pPr>
            <w:r/>
            <w:r>
              <w:rPr>
                <w:rFonts w:ascii="Arial" w:hAnsi="Arial" w:cs="Arial"/>
                <w:b w:val="0"/>
                <w:i w:val="0"/>
                <w:sz w:val="17"/>
              </w:rPr>
              <w:t>Condition assessment (HF ViT); dynamic pricing (XGBoost); buyer ranking (LightGBM); evidence compilation and QC override flagging; causal inference (DoWhy + EconML); sentiment analysis; document authenticity (HF Donut + ViT); predictive dispute outcome (XGBoost); TRI component computation</w:t>
            </w:r>
          </w:p>
        </w:tc>
      </w:tr>
      <w:tr>
        <w:tc>
          <w:tcPr>
            <w:tcW w:type="dxa" w:w="4819"/>
          </w:tcPr>
          <w:p>
            <w:pPr>
              <w:spacing w:after="20" w:before="20" w:line="240" w:lineRule="auto"/>
            </w:pPr>
            <w:r/>
            <w:r>
              <w:rPr>
                <w:rFonts w:ascii="Arial" w:hAnsi="Arial" w:cs="Arial"/>
                <w:b w:val="0"/>
                <w:i w:val="0"/>
                <w:sz w:val="17"/>
              </w:rPr>
              <w:t>A3 (escalation)</w:t>
            </w:r>
          </w:p>
        </w:tc>
        <w:tc>
          <w:tcPr>
            <w:tcW w:type="dxa" w:w="4819"/>
          </w:tcPr>
          <w:p>
            <w:pPr>
              <w:spacing w:after="20" w:before="20" w:line="240" w:lineRule="auto"/>
            </w:pPr>
            <w:r/>
            <w:r>
              <w:rPr>
                <w:rFonts w:ascii="Arial" w:hAnsi="Arial" w:cs="Arial"/>
                <w:b w:val="0"/>
                <w:i w:val="0"/>
                <w:sz w:val="17"/>
              </w:rPr>
              <w:t>Human mediator escalation; partial FeeLock release approval; expert invitation and opinion posting; inspector licence revocation; multisig escalation for fee disputes</w:t>
            </w:r>
          </w:p>
        </w:tc>
      </w:tr>
      <w:tr>
        <w:tc>
          <w:tcPr>
            <w:tcW w:type="dxa" w:w="4819"/>
          </w:tcPr>
          <w:p>
            <w:pPr>
              <w:spacing w:after="20" w:before="20" w:line="240" w:lineRule="auto"/>
            </w:pPr>
            <w:r/>
            <w:r>
              <w:rPr>
                <w:rFonts w:ascii="Arial" w:hAnsi="Arial" w:cs="Arial"/>
                <w:b w:val="0"/>
                <w:i w:val="0"/>
                <w:sz w:val="17"/>
              </w:rPr>
              <w:t>A4 (constitutional)</w:t>
            </w:r>
          </w:p>
        </w:tc>
        <w:tc>
          <w:tcPr>
            <w:tcW w:type="dxa" w:w="4819"/>
          </w:tcPr>
          <w:p>
            <w:pPr>
              <w:spacing w:after="20" w:before="20" w:line="240" w:lineRule="auto"/>
            </w:pPr>
            <w:r/>
            <w:r>
              <w:rPr>
                <w:rFonts w:ascii="Arial" w:hAnsi="Arial" w:cs="Arial"/>
                <w:b w:val="0"/>
                <w:i w:val="0"/>
                <w:sz w:val="17"/>
              </w:rPr>
              <w:t>Dispute filing validation; FeeLock freeze/unfreeze; evidence Loom hashing; settlement addendum signing; dispute state machine enforcement</w:t>
            </w:r>
          </w:p>
        </w:tc>
      </w:tr>
    </w:tbl>
    <w:p>
      <w:pPr>
        <w:spacing w:after="120"/>
      </w:pPr>
      <w:r>
        <w:rPr>
          <w:rFonts w:ascii="Times New Roman" w:hAnsi="Times New Roman" w:cs="Times New Roman"/>
          <w:b w:val="0"/>
          <w:i w:val="0"/>
          <w:sz w:val="4"/>
        </w:rPr>
        <w:t xml:space="preserve"> </w:t>
      </w:r>
    </w:p>
    <w:p>
      <w:pPr>
        <w:keepNext/>
        <w:spacing w:before="360" w:after="160"/>
        <w:outlineLvl w:val="0"/>
      </w:pPr>
      <w:r>
        <w:rPr>
          <w:rFonts w:ascii="Arial" w:hAnsi="Arial" w:cs="Arial"/>
          <w:b/>
          <w:i w:val="0"/>
          <w:color w:val="1F3864"/>
          <w:sz w:val="32"/>
        </w:rPr>
        <w:t>15. Governor Gates &amp; Constitutional Enforcement — Complete Matrix</w:t>
      </w:r>
    </w:p>
    <w:p>
      <w:pPr>
        <w:spacing w:after="80" w:line="293" w:lineRule="auto"/>
        <w:jc w:val="left"/>
      </w:pPr>
      <w:r>
        <w:rPr>
          <w:rFonts w:ascii="Times New Roman" w:hAnsi="Times New Roman" w:cs="Times New Roman"/>
          <w:b w:val="0"/>
          <w:i w:val="0"/>
          <w:sz w:val="22"/>
        </w:rPr>
        <w:t>This section is the complete, authoritative enumeration of every Governor gate enforced across the trade lifecycle, together with the pre-screen and submission validation machinery, the decision logging and verification discipline, and the implementation checklist for the enforcement layer. The constitutional foundation the gates enforce — the Governor principles G1–G7, the 29-Point Transaction Constitution, the AI Authority Ladder A0–A5, and the enforcement stack itself — is specified in Section 3. Phase workflow context for each gate family is specified in Sections 6 through 14.</w:t>
      </w:r>
    </w:p>
    <w:p>
      <w:pPr>
        <w:keepNext/>
        <w:spacing w:before="240" w:after="100"/>
        <w:outlineLvl w:val="1"/>
      </w:pPr>
      <w:r>
        <w:rPr>
          <w:rFonts w:ascii="Arial" w:hAnsi="Arial" w:cs="Arial"/>
          <w:b/>
          <w:i w:val="0"/>
          <w:color w:val="2E528F"/>
          <w:sz w:val="26"/>
        </w:rPr>
        <w:t>15.1 Gate Taxonomy &amp; Enforcement Model</w:t>
      </w:r>
    </w:p>
    <w:p>
      <w:pPr>
        <w:keepNext/>
        <w:spacing w:before="180" w:after="80"/>
        <w:outlineLvl w:val="2"/>
      </w:pPr>
      <w:r>
        <w:rPr>
          <w:rFonts w:ascii="Arial" w:hAnsi="Arial" w:cs="Arial"/>
          <w:b/>
          <w:i w:val="0"/>
          <w:color w:val="333333"/>
          <w:sz w:val="23"/>
        </w:rPr>
        <w:t>15.1.1 Gate Identifiers</w:t>
      </w:r>
    </w:p>
    <w:p>
      <w:pPr>
        <w:spacing w:after="80" w:line="293" w:lineRule="auto"/>
        <w:jc w:val="left"/>
      </w:pPr>
      <w:r>
        <w:rPr>
          <w:rFonts w:ascii="Times New Roman" w:hAnsi="Times New Roman" w:cs="Times New Roman"/>
          <w:b w:val="0"/>
          <w:i w:val="0"/>
          <w:sz w:val="22"/>
        </w:rPr>
        <w:t>Every gate carries a permanent identifier of the form G{phase}U{n}, where the phase number matches the trade phase at which the gate runs and *n* is the gate's ordinal within that phase: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Prefix</w:t>
            </w:r>
          </w:p>
        </w:tc>
        <w:tc>
          <w:tcPr>
            <w:tcW w:type="dxa" w:w="3213"/>
            <w:shd w:val="clear" w:fill="D9E2F3"/>
          </w:tcPr>
          <w:p>
            <w:pPr>
              <w:spacing w:after="20" w:before="20" w:line="240" w:lineRule="auto"/>
            </w:pPr>
            <w:r/>
            <w:r>
              <w:rPr>
                <w:rFonts w:ascii="Arial" w:hAnsi="Arial" w:cs="Arial"/>
                <w:b/>
                <w:i w:val="0"/>
                <w:sz w:val="18"/>
              </w:rPr>
              <w:t>Phase</w:t>
            </w:r>
          </w:p>
        </w:tc>
        <w:tc>
          <w:tcPr>
            <w:tcW w:type="dxa" w:w="3213"/>
            <w:shd w:val="clear" w:fill="D9E2F3"/>
          </w:tcPr>
          <w:p>
            <w:pPr>
              <w:spacing w:after="20" w:before="20" w:line="240" w:lineRule="auto"/>
            </w:pPr>
            <w:r/>
            <w:r>
              <w:rPr>
                <w:rFonts w:ascii="Arial" w:hAnsi="Arial" w:cs="Arial"/>
                <w:b/>
                <w:i w:val="0"/>
                <w:sz w:val="18"/>
              </w:rPr>
              <w:t>Context</w:t>
            </w:r>
          </w:p>
        </w:tc>
      </w:tr>
      <w:tr>
        <w:tc>
          <w:tcPr>
            <w:tcW w:type="dxa" w:w="3213"/>
          </w:tcPr>
          <w:p>
            <w:pPr>
              <w:spacing w:after="20" w:before="20" w:line="240" w:lineRule="auto"/>
            </w:pPr>
            <w:r/>
            <w:r>
              <w:rPr>
                <w:rFonts w:ascii="Arial" w:hAnsi="Arial" w:cs="Arial"/>
                <w:b w:val="0"/>
                <w:i w:val="0"/>
                <w:sz w:val="17"/>
              </w:rPr>
              <w:t>G1U*</w:t>
            </w:r>
          </w:p>
        </w:tc>
        <w:tc>
          <w:tcPr>
            <w:tcW w:type="dxa" w:w="3213"/>
          </w:tcPr>
          <w:p>
            <w:pPr>
              <w:spacing w:after="20" w:before="20" w:line="240" w:lineRule="auto"/>
            </w:pPr>
            <w:r/>
            <w:r>
              <w:rPr>
                <w:rFonts w:ascii="Arial" w:hAnsi="Arial" w:cs="Arial"/>
                <w:b w:val="0"/>
                <w:i w:val="0"/>
                <w:sz w:val="17"/>
              </w:rPr>
              <w:t>Phase 1 — Buyer Submission</w:t>
            </w:r>
          </w:p>
        </w:tc>
        <w:tc>
          <w:tcPr>
            <w:tcW w:type="dxa" w:w="3213"/>
          </w:tcPr>
          <w:p>
            <w:pPr>
              <w:spacing w:after="20" w:before="20" w:line="240" w:lineRule="auto"/>
            </w:pPr>
            <w:r/>
            <w:r>
              <w:rPr>
                <w:rFonts w:ascii="Arial" w:hAnsi="Arial" w:cs="Arial"/>
                <w:b w:val="0"/>
                <w:i w:val="0"/>
                <w:sz w:val="17"/>
              </w:rPr>
              <w:t>Trade request creation and submission (Section 6)</w:t>
            </w:r>
          </w:p>
        </w:tc>
      </w:tr>
      <w:tr>
        <w:tc>
          <w:tcPr>
            <w:tcW w:type="dxa" w:w="3213"/>
          </w:tcPr>
          <w:p>
            <w:pPr>
              <w:spacing w:after="20" w:before="20" w:line="240" w:lineRule="auto"/>
            </w:pPr>
            <w:r/>
            <w:r>
              <w:rPr>
                <w:rFonts w:ascii="Arial" w:hAnsi="Arial" w:cs="Arial"/>
                <w:b w:val="0"/>
                <w:i w:val="0"/>
                <w:sz w:val="17"/>
              </w:rPr>
              <w:t>G2U*</w:t>
            </w:r>
          </w:p>
        </w:tc>
        <w:tc>
          <w:tcPr>
            <w:tcW w:type="dxa" w:w="3213"/>
          </w:tcPr>
          <w:p>
            <w:pPr>
              <w:spacing w:after="20" w:before="20" w:line="240" w:lineRule="auto"/>
            </w:pPr>
            <w:r/>
            <w:r>
              <w:rPr>
                <w:rFonts w:ascii="Arial" w:hAnsi="Arial" w:cs="Arial"/>
                <w:b w:val="0"/>
                <w:i w:val="0"/>
                <w:sz w:val="17"/>
              </w:rPr>
              <w:t>Phase 2 — Seller Quote</w:t>
            </w:r>
          </w:p>
        </w:tc>
        <w:tc>
          <w:tcPr>
            <w:tcW w:type="dxa" w:w="3213"/>
          </w:tcPr>
          <w:p>
            <w:pPr>
              <w:spacing w:after="20" w:before="20" w:line="240" w:lineRule="auto"/>
            </w:pPr>
            <w:r/>
            <w:r>
              <w:rPr>
                <w:rFonts w:ascii="Arial" w:hAnsi="Arial" w:cs="Arial"/>
                <w:b w:val="0"/>
                <w:i w:val="0"/>
                <w:sz w:val="17"/>
              </w:rPr>
              <w:t>Living quote, logistics, and quote publication (Section 8)</w:t>
            </w:r>
          </w:p>
        </w:tc>
      </w:tr>
      <w:tr>
        <w:tc>
          <w:tcPr>
            <w:tcW w:type="dxa" w:w="3213"/>
          </w:tcPr>
          <w:p>
            <w:pPr>
              <w:spacing w:after="20" w:before="20" w:line="240" w:lineRule="auto"/>
            </w:pPr>
            <w:r/>
            <w:r>
              <w:rPr>
                <w:rFonts w:ascii="Arial" w:hAnsi="Arial" w:cs="Arial"/>
                <w:b w:val="0"/>
                <w:i w:val="0"/>
                <w:sz w:val="17"/>
              </w:rPr>
              <w:t>G3U*</w:t>
            </w:r>
          </w:p>
        </w:tc>
        <w:tc>
          <w:tcPr>
            <w:tcW w:type="dxa" w:w="3213"/>
          </w:tcPr>
          <w:p>
            <w:pPr>
              <w:spacing w:after="20" w:before="20" w:line="240" w:lineRule="auto"/>
            </w:pPr>
            <w:r/>
            <w:r>
              <w:rPr>
                <w:rFonts w:ascii="Arial" w:hAnsi="Arial" w:cs="Arial"/>
                <w:b w:val="0"/>
                <w:i w:val="0"/>
                <w:sz w:val="17"/>
              </w:rPr>
              <w:t>Phase 3 — Contract, Fee, Lock</w:t>
            </w:r>
          </w:p>
        </w:tc>
        <w:tc>
          <w:tcPr>
            <w:tcW w:type="dxa" w:w="3213"/>
          </w:tcPr>
          <w:p>
            <w:pPr>
              <w:spacing w:after="20" w:before="20" w:line="240" w:lineRule="auto"/>
            </w:pPr>
            <w:r/>
            <w:r>
              <w:rPr>
                <w:rFonts w:ascii="Arial" w:hAnsi="Arial" w:cs="Arial"/>
                <w:b w:val="0"/>
                <w:i w:val="0"/>
                <w:sz w:val="17"/>
              </w:rPr>
              <w:t>Negotiation, contracting, fee payment, and lock (Section 9)</w:t>
            </w:r>
          </w:p>
        </w:tc>
      </w:tr>
      <w:tr>
        <w:tc>
          <w:tcPr>
            <w:tcW w:type="dxa" w:w="3213"/>
          </w:tcPr>
          <w:p>
            <w:pPr>
              <w:spacing w:after="20" w:before="20" w:line="240" w:lineRule="auto"/>
            </w:pPr>
            <w:r/>
            <w:r>
              <w:rPr>
                <w:rFonts w:ascii="Arial" w:hAnsi="Arial" w:cs="Arial"/>
                <w:b w:val="0"/>
                <w:i w:val="0"/>
                <w:sz w:val="17"/>
              </w:rPr>
              <w:t>G5U*</w:t>
            </w:r>
          </w:p>
        </w:tc>
        <w:tc>
          <w:tcPr>
            <w:tcW w:type="dxa" w:w="3213"/>
          </w:tcPr>
          <w:p>
            <w:pPr>
              <w:spacing w:after="20" w:before="20" w:line="240" w:lineRule="auto"/>
            </w:pPr>
            <w:r/>
            <w:r>
              <w:rPr>
                <w:rFonts w:ascii="Arial" w:hAnsi="Arial" w:cs="Arial"/>
                <w:b w:val="0"/>
                <w:i w:val="0"/>
                <w:sz w:val="17"/>
              </w:rPr>
              <w:t>Phase 5 — Physical Execution</w:t>
            </w:r>
          </w:p>
        </w:tc>
        <w:tc>
          <w:tcPr>
            <w:tcW w:type="dxa" w:w="3213"/>
          </w:tcPr>
          <w:p>
            <w:pPr>
              <w:spacing w:after="20" w:before="20" w:line="240" w:lineRule="auto"/>
            </w:pPr>
            <w:r/>
            <w:r>
              <w:rPr>
                <w:rFonts w:ascii="Arial" w:hAnsi="Arial" w:cs="Arial"/>
                <w:b w:val="0"/>
                <w:i w:val="0"/>
                <w:sz w:val="17"/>
              </w:rPr>
              <w:t>Milestones, monitoring, and exception handling (Section 12)</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Lettered and suffixed identifiers (for example G1U11a, G1U20b, G2UA1, G2U3b, G5UA1) are refined sub-checks and additional checks within their phase family. Gate identifiers are canonical: condition IDs, tenant messages, and decision logs reference them verbatim. Each gate defines exactly four attributes — identifier, check, enforcer, and failure action.</w:t>
      </w:r>
    </w:p>
    <w:p>
      <w:pPr>
        <w:keepNext/>
        <w:spacing w:before="180" w:after="80"/>
        <w:outlineLvl w:val="2"/>
      </w:pPr>
      <w:r>
        <w:rPr>
          <w:rFonts w:ascii="Arial" w:hAnsi="Arial" w:cs="Arial"/>
          <w:b/>
          <w:i w:val="0"/>
          <w:color w:val="333333"/>
          <w:sz w:val="23"/>
        </w:rPr>
        <w:t>15.1.2 Enforcers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Enforcer</w:t>
            </w:r>
          </w:p>
        </w:tc>
        <w:tc>
          <w:tcPr>
            <w:tcW w:type="dxa" w:w="4819"/>
            <w:shd w:val="clear" w:fill="D9E2F3"/>
          </w:tcPr>
          <w:p>
            <w:pPr>
              <w:spacing w:after="20" w:before="20" w:line="240" w:lineRule="auto"/>
            </w:pPr>
            <w:r/>
            <w:r>
              <w:rPr>
                <w:rFonts w:ascii="Arial" w:hAnsi="Arial" w:cs="Arial"/>
                <w:b/>
                <w:i w:val="0"/>
                <w:sz w:val="18"/>
              </w:rPr>
              <w:t>Role</w:t>
            </w:r>
          </w:p>
        </w:tc>
      </w:tr>
      <w:tr>
        <w:tc>
          <w:tcPr>
            <w:tcW w:type="dxa" w:w="4819"/>
          </w:tcPr>
          <w:p>
            <w:pPr>
              <w:spacing w:after="20" w:before="20" w:line="240" w:lineRule="auto"/>
            </w:pPr>
            <w:r/>
            <w:r>
              <w:rPr>
                <w:rFonts w:ascii="Arial" w:hAnsi="Arial" w:cs="Arial"/>
                <w:b w:val="0"/>
                <w:i w:val="0"/>
                <w:sz w:val="17"/>
              </w:rPr>
              <w:t>OPA (A4)</w:t>
            </w:r>
          </w:p>
        </w:tc>
        <w:tc>
          <w:tcPr>
            <w:tcW w:type="dxa" w:w="4819"/>
          </w:tcPr>
          <w:p>
            <w:pPr>
              <w:spacing w:after="20" w:before="20" w:line="240" w:lineRule="auto"/>
            </w:pPr>
            <w:r/>
            <w:r>
              <w:rPr>
                <w:rFonts w:ascii="Arial" w:hAnsi="Arial" w:cs="Arial"/>
                <w:b w:val="0"/>
                <w:i w:val="0"/>
                <w:sz w:val="17"/>
              </w:rPr>
              <w:t>Business rules, permissions, dual-mode context, data scopes (Rego policies)</w:t>
            </w:r>
          </w:p>
        </w:tc>
      </w:tr>
      <w:tr>
        <w:tc>
          <w:tcPr>
            <w:tcW w:type="dxa" w:w="4819"/>
          </w:tcPr>
          <w:p>
            <w:pPr>
              <w:spacing w:after="20" w:before="20" w:line="240" w:lineRule="auto"/>
            </w:pPr>
            <w:r/>
            <w:r>
              <w:rPr>
                <w:rFonts w:ascii="Arial" w:hAnsi="Arial" w:cs="Arial"/>
                <w:b w:val="0"/>
                <w:i w:val="0"/>
                <w:sz w:val="17"/>
              </w:rPr>
              <w:t>WasmEdge (A4)</w:t>
            </w:r>
          </w:p>
        </w:tc>
        <w:tc>
          <w:tcPr>
            <w:tcW w:type="dxa" w:w="4819"/>
          </w:tcPr>
          <w:p>
            <w:pPr>
              <w:spacing w:after="20" w:before="20" w:line="240" w:lineRule="auto"/>
            </w:pPr>
            <w:r/>
            <w:r>
              <w:rPr>
                <w:rFonts w:ascii="Arial" w:hAnsi="Arial" w:cs="Arial"/>
                <w:b w:val="0"/>
                <w:i w:val="0"/>
                <w:sz w:val="17"/>
              </w:rPr>
              <w:t>Constitutional determinism — jurisdiction, incoterm, equipment, fee, capability rules</w:t>
            </w:r>
          </w:p>
        </w:tc>
      </w:tr>
      <w:tr>
        <w:tc>
          <w:tcPr>
            <w:tcW w:type="dxa" w:w="4819"/>
          </w:tcPr>
          <w:p>
            <w:pPr>
              <w:spacing w:after="20" w:before="20" w:line="240" w:lineRule="auto"/>
            </w:pPr>
            <w:r/>
            <w:r>
              <w:rPr>
                <w:rFonts w:ascii="Arial" w:hAnsi="Arial" w:cs="Arial"/>
                <w:b w:val="0"/>
                <w:i w:val="0"/>
                <w:sz w:val="17"/>
              </w:rPr>
              <w:t>Governor (A3/A4)</w:t>
            </w:r>
          </w:p>
        </w:tc>
        <w:tc>
          <w:tcPr>
            <w:tcW w:type="dxa" w:w="4819"/>
          </w:tcPr>
          <w:p>
            <w:pPr>
              <w:spacing w:after="20" w:before="20" w:line="240" w:lineRule="auto"/>
            </w:pPr>
            <w:r/>
            <w:r>
              <w:rPr>
                <w:rFonts w:ascii="Arial" w:hAnsi="Arial" w:cs="Arial"/>
                <w:b w:val="0"/>
                <w:i w:val="0"/>
                <w:sz w:val="17"/>
              </w:rPr>
              <w:t>Orchestration, lock semantics, milestone confirmation, Loom logging</w:t>
            </w:r>
          </w:p>
        </w:tc>
      </w:tr>
      <w:tr>
        <w:tc>
          <w:tcPr>
            <w:tcW w:type="dxa" w:w="4819"/>
          </w:tcPr>
          <w:p>
            <w:pPr>
              <w:spacing w:after="20" w:before="20" w:line="240" w:lineRule="auto"/>
            </w:pPr>
            <w:r/>
            <w:r>
              <w:rPr>
                <w:rFonts w:ascii="Arial" w:hAnsi="Arial" w:cs="Arial"/>
                <w:b w:val="0"/>
                <w:i w:val="0"/>
                <w:sz w:val="17"/>
              </w:rPr>
              <w:t>RIA (A2)</w:t>
            </w:r>
          </w:p>
        </w:tc>
        <w:tc>
          <w:tcPr>
            <w:tcW w:type="dxa" w:w="4819"/>
          </w:tcPr>
          <w:p>
            <w:pPr>
              <w:spacing w:after="20" w:before="20" w:line="240" w:lineRule="auto"/>
            </w:pPr>
            <w:r/>
            <w:r>
              <w:rPr>
                <w:rFonts w:ascii="Arial" w:hAnsi="Arial" w:cs="Arial"/>
                <w:b w:val="0"/>
                <w:i w:val="0"/>
                <w:sz w:val="17"/>
              </w:rPr>
              <w:t>Regulatory intelligence — lab test requirements, treatment data, jurisdiction updates</w:t>
            </w:r>
          </w:p>
        </w:tc>
      </w:tr>
      <w:tr>
        <w:tc>
          <w:tcPr>
            <w:tcW w:type="dxa" w:w="4819"/>
          </w:tcPr>
          <w:p>
            <w:pPr>
              <w:spacing w:after="20" w:before="20" w:line="240" w:lineRule="auto"/>
            </w:pPr>
            <w:r/>
            <w:r>
              <w:rPr>
                <w:rFonts w:ascii="Arial" w:hAnsi="Arial" w:cs="Arial"/>
                <w:b w:val="0"/>
                <w:i w:val="0"/>
                <w:sz w:val="17"/>
              </w:rPr>
              <w:t>GNN (A2)</w:t>
            </w:r>
          </w:p>
        </w:tc>
        <w:tc>
          <w:tcPr>
            <w:tcW w:type="dxa" w:w="4819"/>
          </w:tcPr>
          <w:p>
            <w:pPr>
              <w:spacing w:after="20" w:before="20" w:line="240" w:lineRule="auto"/>
            </w:pPr>
            <w:r/>
            <w:r>
              <w:rPr>
                <w:rFonts w:ascii="Arial" w:hAnsi="Arial" w:cs="Arial"/>
                <w:b w:val="0"/>
                <w:i w:val="0"/>
                <w:sz w:val="17"/>
              </w:rPr>
              <w:t>Graph Neural Network trust analytics for known parties (sanctions proximity)</w:t>
            </w:r>
          </w:p>
        </w:tc>
      </w:tr>
      <w:tr>
        <w:tc>
          <w:tcPr>
            <w:tcW w:type="dxa" w:w="4819"/>
          </w:tcPr>
          <w:p>
            <w:pPr>
              <w:spacing w:after="20" w:before="20" w:line="240" w:lineRule="auto"/>
            </w:pPr>
            <w:r/>
            <w:r>
              <w:rPr>
                <w:rFonts w:ascii="Arial" w:hAnsi="Arial" w:cs="Arial"/>
                <w:b w:val="0"/>
                <w:i w:val="0"/>
                <w:sz w:val="17"/>
              </w:rPr>
              <w:t>HF local models (A2)</w:t>
            </w:r>
          </w:p>
        </w:tc>
        <w:tc>
          <w:tcPr>
            <w:tcW w:type="dxa" w:w="4819"/>
          </w:tcPr>
          <w:p>
            <w:pPr>
              <w:spacing w:after="20" w:before="20" w:line="240" w:lineRule="auto"/>
            </w:pPr>
            <w:r/>
            <w:r>
              <w:rPr>
                <w:rFonts w:ascii="Arial" w:hAnsi="Arial" w:cs="Arial"/>
                <w:b w:val="0"/>
                <w:i w:val="0"/>
                <w:sz w:val="17"/>
              </w:rPr>
              <w:t>Hugging Face locally hosted inference — dual-use screening, commodity compatibility, lot mixing</w:t>
            </w:r>
          </w:p>
        </w:tc>
      </w:tr>
      <w:tr>
        <w:tc>
          <w:tcPr>
            <w:tcW w:type="dxa" w:w="4819"/>
          </w:tcPr>
          <w:p>
            <w:pPr>
              <w:spacing w:after="20" w:before="20" w:line="240" w:lineRule="auto"/>
            </w:pPr>
            <w:r/>
            <w:r>
              <w:rPr>
                <w:rFonts w:ascii="Arial" w:hAnsi="Arial" w:cs="Arial"/>
                <w:b w:val="0"/>
                <w:i w:val="0"/>
                <w:sz w:val="17"/>
              </w:rPr>
              <w:t>Route Oracle (A2)</w:t>
            </w:r>
          </w:p>
        </w:tc>
        <w:tc>
          <w:tcPr>
            <w:tcW w:type="dxa" w:w="4819"/>
          </w:tcPr>
          <w:p>
            <w:pPr>
              <w:spacing w:after="20" w:before="20" w:line="240" w:lineRule="auto"/>
            </w:pPr>
            <w:r/>
            <w:r>
              <w:rPr>
                <w:rFonts w:ascii="Arial" w:hAnsi="Arial" w:cs="Arial"/>
                <w:b w:val="0"/>
                <w:i w:val="0"/>
                <w:sz w:val="17"/>
              </w:rPr>
              <w:t>Route validity and optimisation</w:t>
            </w:r>
          </w:p>
        </w:tc>
      </w:tr>
      <w:tr>
        <w:tc>
          <w:tcPr>
            <w:tcW w:type="dxa" w:w="4819"/>
          </w:tcPr>
          <w:p>
            <w:pPr>
              <w:spacing w:after="20" w:before="20" w:line="240" w:lineRule="auto"/>
            </w:pPr>
            <w:r/>
            <w:r>
              <w:rPr>
                <w:rFonts w:ascii="Arial" w:hAnsi="Arial" w:cs="Arial"/>
                <w:b w:val="0"/>
                <w:i w:val="0"/>
                <w:sz w:val="17"/>
              </w:rPr>
              <w:t>Risk Radar (A2)</w:t>
            </w:r>
          </w:p>
        </w:tc>
        <w:tc>
          <w:tcPr>
            <w:tcW w:type="dxa" w:w="4819"/>
          </w:tcPr>
          <w:p>
            <w:pPr>
              <w:spacing w:after="20" w:before="20" w:line="240" w:lineRule="auto"/>
            </w:pPr>
            <w:r/>
            <w:r>
              <w:rPr>
                <w:rFonts w:ascii="Arial" w:hAnsi="Arial" w:cs="Arial"/>
                <w:b w:val="0"/>
                <w:i w:val="0"/>
                <w:sz w:val="17"/>
              </w:rPr>
              <w:t>Carrier risk, disruption probability, contingency requirements</w:t>
            </w:r>
          </w:p>
        </w:tc>
      </w:tr>
      <w:tr>
        <w:tc>
          <w:tcPr>
            <w:tcW w:type="dxa" w:w="4819"/>
          </w:tcPr>
          <w:p>
            <w:pPr>
              <w:spacing w:after="20" w:before="20" w:line="240" w:lineRule="auto"/>
            </w:pPr>
            <w:r/>
            <w:r>
              <w:rPr>
                <w:rFonts w:ascii="Arial" w:hAnsi="Arial" w:cs="Arial"/>
                <w:b w:val="0"/>
                <w:i w:val="0"/>
                <w:sz w:val="17"/>
              </w:rPr>
              <w:t>Pricing Dynamics (A2)</w:t>
            </w:r>
          </w:p>
        </w:tc>
        <w:tc>
          <w:tcPr>
            <w:tcW w:type="dxa" w:w="4819"/>
          </w:tcPr>
          <w:p>
            <w:pPr>
              <w:spacing w:after="20" w:before="20" w:line="240" w:lineRule="auto"/>
            </w:pPr>
            <w:r/>
            <w:r>
              <w:rPr>
                <w:rFonts w:ascii="Arial" w:hAnsi="Arial" w:cs="Arial"/>
                <w:b w:val="0"/>
                <w:i w:val="0"/>
                <w:sz w:val="17"/>
              </w:rPr>
              <w:t>Market-band pricing checks</w:t>
            </w:r>
          </w:p>
        </w:tc>
      </w:tr>
      <w:tr>
        <w:tc>
          <w:tcPr>
            <w:tcW w:type="dxa" w:w="4819"/>
          </w:tcPr>
          <w:p>
            <w:pPr>
              <w:spacing w:after="20" w:before="20" w:line="240" w:lineRule="auto"/>
            </w:pPr>
            <w:r/>
            <w:r>
              <w:rPr>
                <w:rFonts w:ascii="Arial" w:hAnsi="Arial" w:cs="Arial"/>
                <w:b w:val="0"/>
                <w:i w:val="0"/>
                <w:sz w:val="17"/>
              </w:rPr>
              <w:t>Packing Solver (A2) / OR-Tools</w:t>
            </w:r>
          </w:p>
        </w:tc>
        <w:tc>
          <w:tcPr>
            <w:tcW w:type="dxa" w:w="4819"/>
          </w:tcPr>
          <w:p>
            <w:pPr>
              <w:spacing w:after="20" w:before="20" w:line="240" w:lineRule="auto"/>
            </w:pPr>
            <w:r/>
            <w:r>
              <w:rPr>
                <w:rFonts w:ascii="Arial" w:hAnsi="Arial" w:cs="Arial"/>
                <w:b w:val="0"/>
                <w:i w:val="0"/>
                <w:sz w:val="17"/>
              </w:rPr>
              <w:t>Palletisation feasibility and load configuration (constraint solving)</w:t>
            </w:r>
          </w:p>
        </w:tc>
      </w:tr>
      <w:tr>
        <w:tc>
          <w:tcPr>
            <w:tcW w:type="dxa" w:w="4819"/>
          </w:tcPr>
          <w:p>
            <w:pPr>
              <w:spacing w:after="20" w:before="20" w:line="240" w:lineRule="auto"/>
            </w:pPr>
            <w:r/>
            <w:r>
              <w:rPr>
                <w:rFonts w:ascii="Arial" w:hAnsi="Arial" w:cs="Arial"/>
                <w:b w:val="0"/>
                <w:i w:val="0"/>
                <w:sz w:val="17"/>
              </w:rPr>
              <w:t>Price Check (A2)</w:t>
            </w:r>
          </w:p>
        </w:tc>
        <w:tc>
          <w:tcPr>
            <w:tcW w:type="dxa" w:w="4819"/>
          </w:tcPr>
          <w:p>
            <w:pPr>
              <w:spacing w:after="20" w:before="20" w:line="240" w:lineRule="auto"/>
            </w:pPr>
            <w:r/>
            <w:r>
              <w:rPr>
                <w:rFonts w:ascii="Arial" w:hAnsi="Arial" w:cs="Arial"/>
                <w:b w:val="0"/>
                <w:i w:val="0"/>
                <w:sz w:val="17"/>
              </w:rPr>
              <w:t>EXW deviation validation</w:t>
            </w:r>
          </w:p>
        </w:tc>
      </w:tr>
      <w:tr>
        <w:tc>
          <w:tcPr>
            <w:tcW w:type="dxa" w:w="4819"/>
          </w:tcPr>
          <w:p>
            <w:pPr>
              <w:spacing w:after="20" w:before="20" w:line="240" w:lineRule="auto"/>
            </w:pPr>
            <w:r/>
            <w:r>
              <w:rPr>
                <w:rFonts w:ascii="Arial" w:hAnsi="Arial" w:cs="Arial"/>
                <w:b w:val="0"/>
                <w:i w:val="0"/>
                <w:sz w:val="17"/>
              </w:rPr>
              <w:t>Compliance Validator</w:t>
            </w:r>
          </w:p>
        </w:tc>
        <w:tc>
          <w:tcPr>
            <w:tcW w:type="dxa" w:w="4819"/>
          </w:tcPr>
          <w:p>
            <w:pPr>
              <w:spacing w:after="20" w:before="20" w:line="240" w:lineRule="auto"/>
            </w:pPr>
            <w:r/>
            <w:r>
              <w:rPr>
                <w:rFonts w:ascii="Arial" w:hAnsi="Arial" w:cs="Arial"/>
                <w:b w:val="0"/>
                <w:i w:val="0"/>
                <w:sz w:val="17"/>
              </w:rPr>
              <w:t>Carrier sanctions screening</w:t>
            </w:r>
          </w:p>
        </w:tc>
      </w:tr>
      <w:tr>
        <w:tc>
          <w:tcPr>
            <w:tcW w:type="dxa" w:w="4819"/>
          </w:tcPr>
          <w:p>
            <w:pPr>
              <w:spacing w:after="20" w:before="20" w:line="240" w:lineRule="auto"/>
            </w:pPr>
            <w:r/>
            <w:r>
              <w:rPr>
                <w:rFonts w:ascii="Arial" w:hAnsi="Arial" w:cs="Arial"/>
                <w:b w:val="0"/>
                <w:i w:val="0"/>
                <w:sz w:val="17"/>
              </w:rPr>
              <w:t>Sustainability Scorer (A1)</w:t>
            </w:r>
          </w:p>
        </w:tc>
        <w:tc>
          <w:tcPr>
            <w:tcW w:type="dxa" w:w="4819"/>
          </w:tcPr>
          <w:p>
            <w:pPr>
              <w:spacing w:after="20" w:before="20" w:line="240" w:lineRule="auto"/>
            </w:pPr>
            <w:r/>
            <w:r>
              <w:rPr>
                <w:rFonts w:ascii="Arial" w:hAnsi="Arial" w:cs="Arial"/>
                <w:b w:val="0"/>
                <w:i w:val="0"/>
                <w:sz w:val="17"/>
              </w:rPr>
              <w:t>Carbon calculation validation</w:t>
            </w:r>
          </w:p>
        </w:tc>
      </w:tr>
      <w:tr>
        <w:tc>
          <w:tcPr>
            <w:tcW w:type="dxa" w:w="4819"/>
          </w:tcPr>
          <w:p>
            <w:pPr>
              <w:spacing w:after="20" w:before="20" w:line="240" w:lineRule="auto"/>
            </w:pPr>
            <w:r/>
            <w:r>
              <w:rPr>
                <w:rFonts w:ascii="Arial" w:hAnsi="Arial" w:cs="Arial"/>
                <w:b w:val="0"/>
                <w:i w:val="0"/>
                <w:sz w:val="17"/>
              </w:rPr>
              <w:t>Milestone Verifier (A2/A3)</w:t>
            </w:r>
          </w:p>
        </w:tc>
        <w:tc>
          <w:tcPr>
            <w:tcW w:type="dxa" w:w="4819"/>
          </w:tcPr>
          <w:p>
            <w:pPr>
              <w:spacing w:after="20" w:before="20" w:line="240" w:lineRule="auto"/>
            </w:pPr>
            <w:r/>
            <w:r>
              <w:rPr>
                <w:rFonts w:ascii="Arial" w:hAnsi="Arial" w:cs="Arial"/>
                <w:b w:val="0"/>
                <w:i w:val="0"/>
                <w:sz w:val="17"/>
              </w:rPr>
              <w:t>Multisource consensus and Byzantine fault tolerance</w:t>
            </w:r>
          </w:p>
        </w:tc>
      </w:tr>
      <w:tr>
        <w:tc>
          <w:tcPr>
            <w:tcW w:type="dxa" w:w="4819"/>
          </w:tcPr>
          <w:p>
            <w:pPr>
              <w:spacing w:after="20" w:before="20" w:line="240" w:lineRule="auto"/>
            </w:pPr>
            <w:r/>
            <w:r>
              <w:rPr>
                <w:rFonts w:ascii="Arial" w:hAnsi="Arial" w:cs="Arial"/>
                <w:b w:val="0"/>
                <w:i w:val="0"/>
                <w:sz w:val="17"/>
              </w:rPr>
              <w:t>Vision Verifier (A2)</w:t>
            </w:r>
          </w:p>
        </w:tc>
        <w:tc>
          <w:tcPr>
            <w:tcW w:type="dxa" w:w="4819"/>
          </w:tcPr>
          <w:p>
            <w:pPr>
              <w:spacing w:after="20" w:before="20" w:line="240" w:lineRule="auto"/>
            </w:pPr>
            <w:r/>
            <w:r>
              <w:rPr>
                <w:rFonts w:ascii="Arial" w:hAnsi="Arial" w:cs="Arial"/>
                <w:b w:val="0"/>
                <w:i w:val="0"/>
                <w:sz w:val="17"/>
              </w:rPr>
              <w:t>Document verification confidence</w:t>
            </w:r>
          </w:p>
        </w:tc>
      </w:tr>
      <w:tr>
        <w:tc>
          <w:tcPr>
            <w:tcW w:type="dxa" w:w="4819"/>
          </w:tcPr>
          <w:p>
            <w:pPr>
              <w:spacing w:after="20" w:before="20" w:line="240" w:lineRule="auto"/>
            </w:pPr>
            <w:r/>
            <w:r>
              <w:rPr>
                <w:rFonts w:ascii="Arial" w:hAnsi="Arial" w:cs="Arial"/>
                <w:b w:val="0"/>
                <w:i w:val="0"/>
                <w:sz w:val="17"/>
              </w:rPr>
              <w:t>Disruption Predictor (A2)</w:t>
            </w:r>
          </w:p>
        </w:tc>
        <w:tc>
          <w:tcPr>
            <w:tcW w:type="dxa" w:w="4819"/>
          </w:tcPr>
          <w:p>
            <w:pPr>
              <w:spacing w:after="20" w:before="20" w:line="240" w:lineRule="auto"/>
            </w:pPr>
            <w:r/>
            <w:r>
              <w:rPr>
                <w:rFonts w:ascii="Arial" w:hAnsi="Arial" w:cs="Arial"/>
                <w:b w:val="0"/>
                <w:i w:val="0"/>
                <w:sz w:val="17"/>
              </w:rPr>
              <w:t>Disruption prediction confidence</w:t>
            </w:r>
          </w:p>
        </w:tc>
      </w:tr>
      <w:tr>
        <w:tc>
          <w:tcPr>
            <w:tcW w:type="dxa" w:w="4819"/>
          </w:tcPr>
          <w:p>
            <w:pPr>
              <w:spacing w:after="20" w:before="20" w:line="240" w:lineRule="auto"/>
            </w:pPr>
            <w:r/>
            <w:r>
              <w:rPr>
                <w:rFonts w:ascii="Arial" w:hAnsi="Arial" w:cs="Arial"/>
                <w:b w:val="0"/>
                <w:i w:val="0"/>
                <w:sz w:val="17"/>
              </w:rPr>
              <w:t>FeeLock Releaser (A2/A3)</w:t>
            </w:r>
          </w:p>
        </w:tc>
        <w:tc>
          <w:tcPr>
            <w:tcW w:type="dxa" w:w="4819"/>
          </w:tcPr>
          <w:p>
            <w:pPr>
              <w:spacing w:after="20" w:before="20" w:line="240" w:lineRule="auto"/>
            </w:pPr>
            <w:r/>
            <w:r>
              <w:rPr>
                <w:rFonts w:ascii="Arial" w:hAnsi="Arial" w:cs="Arial"/>
                <w:b w:val="0"/>
                <w:i w:val="0"/>
                <w:sz w:val="17"/>
              </w:rPr>
              <w:t>FeeLock release condition verification</w:t>
            </w:r>
          </w:p>
        </w:tc>
      </w:tr>
      <w:tr>
        <w:tc>
          <w:tcPr>
            <w:tcW w:type="dxa" w:w="4819"/>
          </w:tcPr>
          <w:p>
            <w:pPr>
              <w:spacing w:after="20" w:before="20" w:line="240" w:lineRule="auto"/>
            </w:pPr>
            <w:r/>
            <w:r>
              <w:rPr>
                <w:rFonts w:ascii="Arial" w:hAnsi="Arial" w:cs="Arial"/>
                <w:b w:val="0"/>
                <w:i w:val="0"/>
                <w:sz w:val="17"/>
              </w:rPr>
              <w:t>Quality Predictor (A2)</w:t>
            </w:r>
          </w:p>
        </w:tc>
        <w:tc>
          <w:tcPr>
            <w:tcW w:type="dxa" w:w="4819"/>
          </w:tcPr>
          <w:p>
            <w:pPr>
              <w:spacing w:after="20" w:before="20" w:line="240" w:lineRule="auto"/>
            </w:pPr>
            <w:r/>
            <w:r>
              <w:rPr>
                <w:rFonts w:ascii="Arial" w:hAnsi="Arial" w:cs="Arial"/>
                <w:b w:val="0"/>
                <w:i w:val="0"/>
                <w:sz w:val="17"/>
              </w:rPr>
              <w:t>Cold chain anomaly detection</w:t>
            </w:r>
          </w:p>
        </w:tc>
      </w:tr>
      <w:tr>
        <w:tc>
          <w:tcPr>
            <w:tcW w:type="dxa" w:w="4819"/>
          </w:tcPr>
          <w:p>
            <w:pPr>
              <w:spacing w:after="20" w:before="20" w:line="240" w:lineRule="auto"/>
            </w:pPr>
            <w:r/>
            <w:r>
              <w:rPr>
                <w:rFonts w:ascii="Arial" w:hAnsi="Arial" w:cs="Arial"/>
                <w:b w:val="0"/>
                <w:i w:val="0"/>
                <w:sz w:val="17"/>
              </w:rPr>
              <w:t>Recovery Service (A4)</w:t>
            </w:r>
          </w:p>
        </w:tc>
        <w:tc>
          <w:tcPr>
            <w:tcW w:type="dxa" w:w="4819"/>
          </w:tcPr>
          <w:p>
            <w:pPr>
              <w:spacing w:after="20" w:before="20" w:line="240" w:lineRule="auto"/>
            </w:pPr>
            <w:r/>
            <w:r>
              <w:rPr>
                <w:rFonts w:ascii="Arial" w:hAnsi="Arial" w:cs="Arial"/>
                <w:b w:val="0"/>
                <w:i w:val="0"/>
                <w:sz w:val="17"/>
              </w:rPr>
              <w:t>Stuck Trade Recovery auto-escalation</w:t>
            </w:r>
          </w:p>
        </w:tc>
      </w:tr>
      <w:tr>
        <w:tc>
          <w:tcPr>
            <w:tcW w:type="dxa" w:w="4819"/>
          </w:tcPr>
          <w:p>
            <w:pPr>
              <w:spacing w:after="20" w:before="20" w:line="240" w:lineRule="auto"/>
            </w:pPr>
            <w:r/>
            <w:r>
              <w:rPr>
                <w:rFonts w:ascii="Arial" w:hAnsi="Arial" w:cs="Arial"/>
                <w:b w:val="0"/>
                <w:i w:val="0"/>
                <w:sz w:val="17"/>
              </w:rPr>
              <w:t>Application (A2)</w:t>
            </w:r>
          </w:p>
        </w:tc>
        <w:tc>
          <w:tcPr>
            <w:tcW w:type="dxa" w:w="4819"/>
          </w:tcPr>
          <w:p>
            <w:pPr>
              <w:spacing w:after="20" w:before="20" w:line="240" w:lineRule="auto"/>
            </w:pPr>
            <w:r/>
            <w:r>
              <w:rPr>
                <w:rFonts w:ascii="Arial" w:hAnsi="Arial" w:cs="Arial"/>
                <w:b w:val="0"/>
                <w:i w:val="0"/>
                <w:sz w:val="17"/>
              </w:rPr>
              <w:t>In-form validation such as override reason length</w:t>
            </w:r>
          </w:p>
        </w:tc>
      </w:tr>
      <w:tr>
        <w:tc>
          <w:tcPr>
            <w:tcW w:type="dxa" w:w="4819"/>
          </w:tcPr>
          <w:p>
            <w:pPr>
              <w:spacing w:after="20" w:before="20" w:line="240" w:lineRule="auto"/>
            </w:pPr>
            <w:r/>
            <w:r>
              <w:rPr>
                <w:rFonts w:ascii="Arial" w:hAnsi="Arial" w:cs="Arial"/>
                <w:b w:val="0"/>
                <w:i w:val="0"/>
                <w:sz w:val="17"/>
              </w:rPr>
              <w:t>Groq (A1)</w:t>
            </w:r>
          </w:p>
        </w:tc>
        <w:tc>
          <w:tcPr>
            <w:tcW w:type="dxa" w:w="4819"/>
          </w:tcPr>
          <w:p>
            <w:pPr>
              <w:spacing w:after="20" w:before="20" w:line="240" w:lineRule="auto"/>
            </w:pPr>
            <w:r/>
            <w:r>
              <w:rPr>
                <w:rFonts w:ascii="Arial" w:hAnsi="Arial" w:cs="Arial"/>
                <w:b w:val="0"/>
                <w:i w:val="0"/>
                <w:sz w:val="17"/>
              </w:rPr>
              <w:t>Plain-language tenant message generation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AI enforcer operates within its AI Authority Ladder level (see Section 3.3): A1 agents advise, A2 agents constrain, A3 agents escalate, and A4 evaluation is deterministic.</w:t>
      </w:r>
    </w:p>
    <w:p>
      <w:pPr>
        <w:keepNext/>
        <w:spacing w:before="180" w:after="80"/>
        <w:outlineLvl w:val="2"/>
      </w:pPr>
      <w:r>
        <w:rPr>
          <w:rFonts w:ascii="Arial" w:hAnsi="Arial" w:cs="Arial"/>
          <w:b/>
          <w:i w:val="0"/>
          <w:color w:val="333333"/>
          <w:sz w:val="23"/>
        </w:rPr>
        <w:t>15.1.3 Failure Actions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Failure Action</w:t>
            </w:r>
          </w:p>
        </w:tc>
        <w:tc>
          <w:tcPr>
            <w:tcW w:type="dxa" w:w="4819"/>
            <w:shd w:val="clear" w:fill="D9E2F3"/>
          </w:tcPr>
          <w:p>
            <w:pPr>
              <w:spacing w:after="20" w:before="20" w:line="240" w:lineRule="auto"/>
            </w:pPr>
            <w:r/>
            <w:r>
              <w:rPr>
                <w:rFonts w:ascii="Arial" w:hAnsi="Arial" w:cs="Arial"/>
                <w:b/>
                <w:i w:val="0"/>
                <w:sz w:val="18"/>
              </w:rPr>
              <w:t>Semantics</w:t>
            </w:r>
          </w:p>
        </w:tc>
      </w:tr>
      <w:tr>
        <w:tc>
          <w:tcPr>
            <w:tcW w:type="dxa" w:w="4819"/>
          </w:tcPr>
          <w:p>
            <w:pPr>
              <w:spacing w:after="20" w:before="20" w:line="240" w:lineRule="auto"/>
            </w:pPr>
            <w:r/>
            <w:r>
              <w:rPr>
                <w:rFonts w:ascii="Arial" w:hAnsi="Arial" w:cs="Arial"/>
                <w:b w:val="0"/>
                <w:i w:val="0"/>
                <w:sz w:val="17"/>
              </w:rPr>
              <w:t>DENY</w:t>
            </w:r>
          </w:p>
        </w:tc>
        <w:tc>
          <w:tcPr>
            <w:tcW w:type="dxa" w:w="4819"/>
          </w:tcPr>
          <w:p>
            <w:pPr>
              <w:spacing w:after="20" w:before="20" w:line="240" w:lineRule="auto"/>
            </w:pPr>
            <w:r/>
            <w:r>
              <w:rPr>
                <w:rFonts w:ascii="Arial" w:hAnsi="Arial" w:cs="Arial"/>
                <w:b w:val="0"/>
                <w:i w:val="0"/>
                <w:sz w:val="17"/>
              </w:rPr>
              <w:t>Hard constitutional or permission block; the action cannot proceed</w:t>
            </w:r>
          </w:p>
        </w:tc>
      </w:tr>
      <w:tr>
        <w:tc>
          <w:tcPr>
            <w:tcW w:type="dxa" w:w="4819"/>
          </w:tcPr>
          <w:p>
            <w:pPr>
              <w:spacing w:after="20" w:before="20" w:line="240" w:lineRule="auto"/>
            </w:pPr>
            <w:r/>
            <w:r>
              <w:rPr>
                <w:rFonts w:ascii="Arial" w:hAnsi="Arial" w:cs="Arial"/>
                <w:b w:val="0"/>
                <w:i w:val="0"/>
                <w:sz w:val="17"/>
              </w:rPr>
              <w:t>CONDITIONAL</w:t>
            </w:r>
          </w:p>
        </w:tc>
        <w:tc>
          <w:tcPr>
            <w:tcW w:type="dxa" w:w="4819"/>
          </w:tcPr>
          <w:p>
            <w:pPr>
              <w:spacing w:after="20" w:before="20" w:line="240" w:lineRule="auto"/>
            </w:pPr>
            <w:r/>
            <w:r>
              <w:rPr>
                <w:rFonts w:ascii="Arial" w:hAnsi="Arial" w:cs="Arial"/>
                <w:b w:val="0"/>
                <w:i w:val="0"/>
                <w:sz w:val="17"/>
              </w:rPr>
              <w:t>Action held until the named condition is resolved; plain-language message with remediation</w:t>
            </w:r>
          </w:p>
        </w:tc>
      </w:tr>
      <w:tr>
        <w:tc>
          <w:tcPr>
            <w:tcW w:type="dxa" w:w="4819"/>
          </w:tcPr>
          <w:p>
            <w:pPr>
              <w:spacing w:after="20" w:before="20" w:line="240" w:lineRule="auto"/>
            </w:pPr>
            <w:r/>
            <w:r>
              <w:rPr>
                <w:rFonts w:ascii="Arial" w:hAnsi="Arial" w:cs="Arial"/>
                <w:b w:val="0"/>
                <w:i w:val="0"/>
                <w:sz w:val="17"/>
              </w:rPr>
              <w:t>WARNING</w:t>
            </w:r>
          </w:p>
        </w:tc>
        <w:tc>
          <w:tcPr>
            <w:tcW w:type="dxa" w:w="4819"/>
          </w:tcPr>
          <w:p>
            <w:pPr>
              <w:spacing w:after="20" w:before="20" w:line="240" w:lineRule="auto"/>
            </w:pPr>
            <w:r/>
            <w:r>
              <w:rPr>
                <w:rFonts w:ascii="Arial" w:hAnsi="Arial" w:cs="Arial"/>
                <w:b w:val="0"/>
                <w:i w:val="0"/>
                <w:sz w:val="17"/>
              </w:rPr>
              <w:t>Action proceeds with an explicit caution recorded in the decision log</w:t>
            </w:r>
          </w:p>
        </w:tc>
      </w:tr>
      <w:tr>
        <w:tc>
          <w:tcPr>
            <w:tcW w:type="dxa" w:w="4819"/>
          </w:tcPr>
          <w:p>
            <w:pPr>
              <w:spacing w:after="20" w:before="20" w:line="240" w:lineRule="auto"/>
            </w:pPr>
            <w:r/>
            <w:r>
              <w:rPr>
                <w:rFonts w:ascii="Arial" w:hAnsi="Arial" w:cs="Arial"/>
                <w:b w:val="0"/>
                <w:i w:val="0"/>
                <w:sz w:val="17"/>
              </w:rPr>
              <w:t>Block (publication / lock / milestone / carrier / submission)</w:t>
            </w:r>
          </w:p>
        </w:tc>
        <w:tc>
          <w:tcPr>
            <w:tcW w:type="dxa" w:w="4819"/>
          </w:tcPr>
          <w:p>
            <w:pPr>
              <w:spacing w:after="20" w:before="20" w:line="240" w:lineRule="auto"/>
            </w:pPr>
            <w:r/>
            <w:r>
              <w:rPr>
                <w:rFonts w:ascii="Arial" w:hAnsi="Arial" w:cs="Arial"/>
                <w:b w:val="0"/>
                <w:i w:val="0"/>
                <w:sz w:val="17"/>
              </w:rPr>
              <w:t>Phase-specific hard stop preventing the next irreversible step</w:t>
            </w:r>
          </w:p>
        </w:tc>
      </w:tr>
      <w:tr>
        <w:tc>
          <w:tcPr>
            <w:tcW w:type="dxa" w:w="4819"/>
          </w:tcPr>
          <w:p>
            <w:pPr>
              <w:spacing w:after="20" w:before="20" w:line="240" w:lineRule="auto"/>
            </w:pPr>
            <w:r/>
            <w:r>
              <w:rPr>
                <w:rFonts w:ascii="Arial" w:hAnsi="Arial" w:cs="Arial"/>
                <w:b w:val="0"/>
                <w:i w:val="0"/>
                <w:sz w:val="17"/>
              </w:rPr>
              <w:t>Require justification / waiver / contingency / correction</w:t>
            </w:r>
          </w:p>
        </w:tc>
        <w:tc>
          <w:tcPr>
            <w:tcW w:type="dxa" w:w="4819"/>
          </w:tcPr>
          <w:p>
            <w:pPr>
              <w:spacing w:after="20" w:before="20" w:line="240" w:lineRule="auto"/>
            </w:pPr>
            <w:r/>
            <w:r>
              <w:rPr>
                <w:rFonts w:ascii="Arial" w:hAnsi="Arial" w:cs="Arial"/>
                <w:b w:val="0"/>
                <w:i w:val="0"/>
                <w:sz w:val="17"/>
              </w:rPr>
              <w:t>CONDITIONAL-class hold requiring user input before proceeding</w:t>
            </w:r>
          </w:p>
        </w:tc>
      </w:tr>
      <w:tr>
        <w:tc>
          <w:tcPr>
            <w:tcW w:type="dxa" w:w="4819"/>
          </w:tcPr>
          <w:p>
            <w:pPr>
              <w:spacing w:after="20" w:before="20" w:line="240" w:lineRule="auto"/>
            </w:pPr>
            <w:r/>
            <w:r>
              <w:rPr>
                <w:rFonts w:ascii="Arial" w:hAnsi="Arial" w:cs="Arial"/>
                <w:b w:val="0"/>
                <w:i w:val="0"/>
                <w:sz w:val="17"/>
              </w:rPr>
              <w:t>Flag for review / advisory / alert</w:t>
            </w:r>
          </w:p>
        </w:tc>
        <w:tc>
          <w:tcPr>
            <w:tcW w:type="dxa" w:w="4819"/>
          </w:tcPr>
          <w:p>
            <w:pPr>
              <w:spacing w:after="20" w:before="20" w:line="240" w:lineRule="auto"/>
            </w:pPr>
            <w:r/>
            <w:r>
              <w:rPr>
                <w:rFonts w:ascii="Arial" w:hAnsi="Arial" w:cs="Arial"/>
                <w:b w:val="0"/>
                <w:i w:val="0"/>
                <w:sz w:val="17"/>
              </w:rPr>
              <w:t>AI-advisory outcome surfaced for human attention without blocking</w:t>
            </w:r>
          </w:p>
        </w:tc>
      </w:tr>
      <w:tr>
        <w:tc>
          <w:tcPr>
            <w:tcW w:type="dxa" w:w="4819"/>
          </w:tcPr>
          <w:p>
            <w:pPr>
              <w:spacing w:after="20" w:before="20" w:line="240" w:lineRule="auto"/>
            </w:pPr>
            <w:r/>
            <w:r>
              <w:rPr>
                <w:rFonts w:ascii="Arial" w:hAnsi="Arial" w:cs="Arial"/>
                <w:b w:val="0"/>
                <w:i w:val="0"/>
                <w:sz w:val="17"/>
              </w:rPr>
              <w:t>Degrade / override / escalate</w:t>
            </w:r>
          </w:p>
        </w:tc>
        <w:tc>
          <w:tcPr>
            <w:tcW w:type="dxa" w:w="4819"/>
          </w:tcPr>
          <w:p>
            <w:pPr>
              <w:spacing w:after="20" w:before="20" w:line="240" w:lineRule="auto"/>
            </w:pPr>
            <w:r/>
            <w:r>
              <w:rPr>
                <w:rFonts w:ascii="Arial" w:hAnsi="Arial" w:cs="Arial"/>
                <w:b w:val="0"/>
                <w:i w:val="0"/>
                <w:sz w:val="17"/>
              </w:rPr>
              <w:t>Controlled fallback — degrade to static behaviour, override with conservative default, or escalate to human review</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15.1.4 Design Principles</w:t>
      </w:r>
    </w:p>
    <w:p>
      <w:pPr>
        <w:spacing w:after="80" w:line="293" w:lineRule="auto"/>
        <w:jc w:val="left"/>
      </w:pPr>
      <w:r>
        <w:rPr>
          <w:rFonts w:ascii="Times New Roman" w:hAnsi="Times New Roman" w:cs="Times New Roman"/>
          <w:b w:val="0"/>
          <w:i w:val="0"/>
          <w:sz w:val="22"/>
        </w:rPr>
        <w:t>The gate model is built on six principles:</w:t>
      </w:r>
    </w:p>
    <w:p>
      <w:pPr>
        <w:spacing w:after="80" w:line="293" w:lineRule="auto"/>
        <w:ind w:left="283"/>
        <w:jc w:val="left"/>
      </w:pPr>
      <w:r>
        <w:rPr>
          <w:rFonts w:ascii="Times New Roman" w:hAnsi="Times New Roman" w:cs="Times New Roman"/>
          <w:b w:val="0"/>
          <w:i w:val="0"/>
          <w:sz w:val="22"/>
        </w:rPr>
        <w:t>- Constitutional supremacy — WasmEdge modules enforce non-negotiable rules (fee bounds, jurisdiction supremacy, A5 prohibition).</w:t>
      </w:r>
    </w:p>
    <w:p>
      <w:pPr>
        <w:spacing w:after="80" w:line="293" w:lineRule="auto"/>
        <w:ind w:left="283"/>
        <w:jc w:val="left"/>
      </w:pPr>
      <w:r>
        <w:rPr>
          <w:rFonts w:ascii="Times New Roman" w:hAnsi="Times New Roman" w:cs="Times New Roman"/>
          <w:b w:val="0"/>
          <w:i w:val="0"/>
          <w:sz w:val="22"/>
        </w:rPr>
        <w:t>- Business logic — OPA policies enforce RBAC, permissions, dual-mode context, and data scopes.</w:t>
      </w:r>
    </w:p>
    <w:p>
      <w:pPr>
        <w:spacing w:after="80" w:line="293" w:lineRule="auto"/>
        <w:ind w:left="283"/>
        <w:jc w:val="left"/>
      </w:pPr>
      <w:r>
        <w:rPr>
          <w:rFonts w:ascii="Times New Roman" w:hAnsi="Times New Roman" w:cs="Times New Roman"/>
          <w:b w:val="0"/>
          <w:i w:val="0"/>
          <w:sz w:val="22"/>
        </w:rPr>
        <w:t>- AI consult (advisory) — AI (A1–A3) provides recommendations and flags risks but never executes.</w:t>
      </w:r>
    </w:p>
    <w:p>
      <w:pPr>
        <w:spacing w:after="80" w:line="293" w:lineRule="auto"/>
        <w:ind w:left="283"/>
        <w:jc w:val="left"/>
      </w:pPr>
      <w:r>
        <w:rPr>
          <w:rFonts w:ascii="Times New Roman" w:hAnsi="Times New Roman" w:cs="Times New Roman"/>
          <w:b w:val="0"/>
          <w:i w:val="0"/>
          <w:sz w:val="22"/>
        </w:rPr>
        <w:t>- Plain-language explanations — every DENY or CONDITIONAL verdict includes a human-readable explanation with remediation links.</w:t>
      </w:r>
    </w:p>
    <w:p>
      <w:pPr>
        <w:spacing w:after="80" w:line="293" w:lineRule="auto"/>
        <w:ind w:left="283"/>
        <w:jc w:val="left"/>
      </w:pPr>
      <w:r>
        <w:rPr>
          <w:rFonts w:ascii="Times New Roman" w:hAnsi="Times New Roman" w:cs="Times New Roman"/>
          <w:b w:val="0"/>
          <w:i w:val="0"/>
          <w:sz w:val="22"/>
        </w:rPr>
        <w:t>- One-click submission — after all conditions are resolved, the user submits with a single click.</w:t>
      </w:r>
    </w:p>
    <w:p>
      <w:pPr>
        <w:spacing w:after="80" w:line="293" w:lineRule="auto"/>
        <w:ind w:left="283"/>
        <w:jc w:val="left"/>
      </w:pPr>
      <w:r>
        <w:rPr>
          <w:rFonts w:ascii="Times New Roman" w:hAnsi="Times New Roman" w:cs="Times New Roman"/>
          <w:b w:val="0"/>
          <w:i w:val="0"/>
          <w:sz w:val="22"/>
        </w:rPr>
        <w:t>- Immutable audit — every decision is logged via Loom (deterministic hash chain) and signed with Ed25519.</w:t>
      </w:r>
    </w:p>
    <w:p>
      <w:pPr>
        <w:keepNext/>
        <w:spacing w:before="180" w:after="80"/>
        <w:outlineLvl w:val="2"/>
      </w:pPr>
      <w:r>
        <w:rPr>
          <w:rFonts w:ascii="Arial" w:hAnsi="Arial" w:cs="Arial"/>
          <w:b/>
          <w:i w:val="0"/>
          <w:color w:val="333333"/>
          <w:sz w:val="23"/>
        </w:rPr>
        <w:t>15.1.5 Enforcement Pipeline</w:t>
      </w:r>
    </w:p>
    <w:p>
      <w:pPr>
        <w:spacing w:after="80" w:line="293" w:lineRule="auto"/>
        <w:jc w:val="left"/>
      </w:pPr>
      <w:r>
        <w:rPr>
          <w:rFonts w:ascii="Times New Roman" w:hAnsi="Times New Roman" w:cs="Times New Roman"/>
          <w:b w:val="0"/>
          <w:i w:val="0"/>
          <w:sz w:val="22"/>
        </w:rPr>
        <w:t>Every mutating API endpoint calls `governorDecide()` with the actor, action, and full transactional context. The Governor pipeline evaluates OPA policies (Rego) against the request, executes applicable WasmEdge constitutional modules deterministically, consults AI advisory layers (A1–A3) where configured, and returns one of: ALLOW, DENY, CONDITIONAL, ESCALATE, PENDING. Every decision is appended to the Loom hash chain with the policy versions used, and DENY/CONDITIONAL outcomes are rendered to users through the plain-language Governor Decision Panel with remediation links. Constitutional WASM modules are signed, hashed, sandboxed (no network or filesystem access, per-module timeout), and cannot be overridden by application code.</w:t>
      </w:r>
    </w:p>
    <w:p>
      <w:pPr>
        <w:keepNext/>
        <w:spacing w:before="240" w:after="100"/>
        <w:outlineLvl w:val="1"/>
      </w:pPr>
      <w:r>
        <w:rPr>
          <w:rFonts w:ascii="Arial" w:hAnsi="Arial" w:cs="Arial"/>
          <w:b/>
          <w:i w:val="0"/>
          <w:color w:val="2E528F"/>
          <w:sz w:val="26"/>
        </w:rPr>
        <w:t>15.2 Complete Governor Gate Matrix</w:t>
      </w:r>
    </w:p>
    <w:p>
      <w:pPr>
        <w:spacing w:after="80" w:line="293" w:lineRule="auto"/>
        <w:jc w:val="left"/>
      </w:pPr>
      <w:r>
        <w:rPr>
          <w:rFonts w:ascii="Times New Roman" w:hAnsi="Times New Roman" w:cs="Times New Roman"/>
          <w:b w:val="0"/>
          <w:i w:val="0"/>
          <w:sz w:val="22"/>
        </w:rPr>
        <w:t>The four tables below are the authoritative gate matrix. Every row is canonical: the identifier, check, enforcer, and failure action are reproduced exactly as enforced.</w:t>
      </w:r>
    </w:p>
    <w:p>
      <w:pPr>
        <w:keepNext/>
        <w:spacing w:before="180" w:after="80"/>
        <w:outlineLvl w:val="2"/>
      </w:pPr>
      <w:r>
        <w:rPr>
          <w:rFonts w:ascii="Arial" w:hAnsi="Arial" w:cs="Arial"/>
          <w:b/>
          <w:i w:val="0"/>
          <w:color w:val="333333"/>
          <w:sz w:val="23"/>
        </w:rPr>
        <w:t>15.2.1 Phase 1 Gates (Buyer Submission)</w:t>
      </w:r>
    </w:p>
    <w:p>
      <w:pPr>
        <w:spacing w:after="80" w:line="293" w:lineRule="auto"/>
        <w:jc w:val="left"/>
      </w:pPr>
      <w:r>
        <w:rPr>
          <w:rFonts w:ascii="Times New Roman" w:hAnsi="Times New Roman" w:cs="Times New Roman"/>
          <w:b w:val="0"/>
          <w:i w:val="0"/>
          <w:sz w:val="22"/>
        </w:rPr>
        <w:t>Evaluated when a buyer creates and submits a trade request (see Section 6). These gates constitute the complete pre-submission validation matrix referenced in Section 15.3.</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Gate</w:t>
            </w:r>
          </w:p>
        </w:tc>
        <w:tc>
          <w:tcPr>
            <w:tcW w:type="dxa" w:w="2409"/>
            <w:shd w:val="clear" w:fill="D9E2F3"/>
          </w:tcPr>
          <w:p>
            <w:pPr>
              <w:spacing w:after="20" w:before="20" w:line="240" w:lineRule="auto"/>
            </w:pPr>
            <w:r/>
            <w:r>
              <w:rPr>
                <w:rFonts w:ascii="Arial" w:hAnsi="Arial" w:cs="Arial"/>
                <w:b/>
                <w:i w:val="0"/>
                <w:sz w:val="18"/>
              </w:rPr>
              <w:t>Check</w:t>
            </w:r>
          </w:p>
        </w:tc>
        <w:tc>
          <w:tcPr>
            <w:tcW w:type="dxa" w:w="2409"/>
            <w:shd w:val="clear" w:fill="D9E2F3"/>
          </w:tcPr>
          <w:p>
            <w:pPr>
              <w:spacing w:after="20" w:before="20" w:line="240" w:lineRule="auto"/>
            </w:pPr>
            <w:r/>
            <w:r>
              <w:rPr>
                <w:rFonts w:ascii="Arial" w:hAnsi="Arial" w:cs="Arial"/>
                <w:b/>
                <w:i w:val="0"/>
                <w:sz w:val="18"/>
              </w:rPr>
              <w:t>Enforcer</w:t>
            </w:r>
          </w:p>
        </w:tc>
        <w:tc>
          <w:tcPr>
            <w:tcW w:type="dxa" w:w="2409"/>
            <w:shd w:val="clear" w:fill="D9E2F3"/>
          </w:tcPr>
          <w:p>
            <w:pPr>
              <w:spacing w:after="20" w:before="20" w:line="240" w:lineRule="auto"/>
            </w:pPr>
            <w:r/>
            <w:r>
              <w:rPr>
                <w:rFonts w:ascii="Arial" w:hAnsi="Arial" w:cs="Arial"/>
                <w:b/>
                <w:i w:val="0"/>
                <w:sz w:val="18"/>
              </w:rPr>
              <w:t>Failure Action</w:t>
            </w:r>
          </w:p>
        </w:tc>
      </w:tr>
      <w:tr>
        <w:tc>
          <w:tcPr>
            <w:tcW w:type="dxa" w:w="2409"/>
          </w:tcPr>
          <w:p>
            <w:pPr>
              <w:spacing w:after="20" w:before="20" w:line="240" w:lineRule="auto"/>
            </w:pPr>
            <w:r/>
            <w:r>
              <w:rPr>
                <w:rFonts w:ascii="Arial" w:hAnsi="Arial" w:cs="Arial"/>
                <w:b w:val="0"/>
                <w:i w:val="0"/>
                <w:sz w:val="17"/>
              </w:rPr>
              <w:t>G1U1</w:t>
            </w:r>
          </w:p>
        </w:tc>
        <w:tc>
          <w:tcPr>
            <w:tcW w:type="dxa" w:w="2409"/>
          </w:tcPr>
          <w:p>
            <w:pPr>
              <w:spacing w:after="20" w:before="20" w:line="240" w:lineRule="auto"/>
            </w:pPr>
            <w:r/>
            <w:r>
              <w:rPr>
                <w:rFonts w:ascii="Arial" w:hAnsi="Arial" w:cs="Arial"/>
                <w:b w:val="0"/>
                <w:i w:val="0"/>
                <w:sz w:val="17"/>
              </w:rPr>
              <w:t>Permission: trade.request.create</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DENY</w:t>
            </w:r>
          </w:p>
        </w:tc>
      </w:tr>
      <w:tr>
        <w:tc>
          <w:tcPr>
            <w:tcW w:type="dxa" w:w="2409"/>
          </w:tcPr>
          <w:p>
            <w:pPr>
              <w:spacing w:after="20" w:before="20" w:line="240" w:lineRule="auto"/>
            </w:pPr>
            <w:r/>
            <w:r>
              <w:rPr>
                <w:rFonts w:ascii="Arial" w:hAnsi="Arial" w:cs="Arial"/>
                <w:b w:val="0"/>
                <w:i w:val="0"/>
                <w:sz w:val="17"/>
              </w:rPr>
              <w:t>G1U2</w:t>
            </w:r>
          </w:p>
        </w:tc>
        <w:tc>
          <w:tcPr>
            <w:tcW w:type="dxa" w:w="2409"/>
          </w:tcPr>
          <w:p>
            <w:pPr>
              <w:spacing w:after="20" w:before="20" w:line="240" w:lineRule="auto"/>
            </w:pPr>
            <w:r/>
            <w:r>
              <w:rPr>
                <w:rFonts w:ascii="Arial" w:hAnsi="Arial" w:cs="Arial"/>
                <w:b w:val="0"/>
                <w:i w:val="0"/>
                <w:sz w:val="17"/>
              </w:rPr>
              <w:t>Active trader mode: context = BUY</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DENY</w:t>
            </w:r>
          </w:p>
        </w:tc>
      </w:tr>
      <w:tr>
        <w:tc>
          <w:tcPr>
            <w:tcW w:type="dxa" w:w="2409"/>
          </w:tcPr>
          <w:p>
            <w:pPr>
              <w:spacing w:after="20" w:before="20" w:line="240" w:lineRule="auto"/>
            </w:pPr>
            <w:r/>
            <w:r>
              <w:rPr>
                <w:rFonts w:ascii="Arial" w:hAnsi="Arial" w:cs="Arial"/>
                <w:b w:val="0"/>
                <w:i w:val="0"/>
                <w:sz w:val="17"/>
              </w:rPr>
              <w:t>G1U3</w:t>
            </w:r>
          </w:p>
        </w:tc>
        <w:tc>
          <w:tcPr>
            <w:tcW w:type="dxa" w:w="2409"/>
          </w:tcPr>
          <w:p>
            <w:pPr>
              <w:spacing w:after="20" w:before="20" w:line="240" w:lineRule="auto"/>
            </w:pPr>
            <w:r/>
            <w:r>
              <w:rPr>
                <w:rFonts w:ascii="Arial" w:hAnsi="Arial" w:cs="Arial"/>
                <w:b w:val="0"/>
                <w:i w:val="0"/>
                <w:sz w:val="17"/>
              </w:rPr>
              <w:t>Jurisdiction: buyer/seller/ports not autoblocked</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G1U4</w:t>
            </w:r>
          </w:p>
        </w:tc>
        <w:tc>
          <w:tcPr>
            <w:tcW w:type="dxa" w:w="2409"/>
          </w:tcPr>
          <w:p>
            <w:pPr>
              <w:spacing w:after="20" w:before="20" w:line="240" w:lineRule="auto"/>
            </w:pPr>
            <w:r/>
            <w:r>
              <w:rPr>
                <w:rFonts w:ascii="Arial" w:hAnsi="Arial" w:cs="Arial"/>
                <w:b w:val="0"/>
                <w:i w:val="0"/>
                <w:sz w:val="17"/>
              </w:rPr>
              <w:t>All mandatory lab tests selected</w:t>
            </w:r>
          </w:p>
        </w:tc>
        <w:tc>
          <w:tcPr>
            <w:tcW w:type="dxa" w:w="2409"/>
          </w:tcPr>
          <w:p>
            <w:pPr>
              <w:spacing w:after="20" w:before="20" w:line="240" w:lineRule="auto"/>
            </w:pPr>
            <w:r/>
            <w:r>
              <w:rPr>
                <w:rFonts w:ascii="Arial" w:hAnsi="Arial" w:cs="Arial"/>
                <w:b w:val="0"/>
                <w:i w:val="0"/>
                <w:sz w:val="17"/>
              </w:rPr>
              <w:t>RIA (A2) + Governor (A4)</w:t>
            </w:r>
          </w:p>
        </w:tc>
        <w:tc>
          <w:tcPr>
            <w:tcW w:type="dxa" w:w="2409"/>
          </w:tcPr>
          <w:p>
            <w:pPr>
              <w:spacing w:after="20" w:before="20" w:line="240" w:lineRule="auto"/>
            </w:pPr>
            <w:r/>
            <w:r>
              <w:rPr>
                <w:rFonts w:ascii="Arial" w:hAnsi="Arial" w:cs="Arial"/>
                <w:b w:val="0"/>
                <w:i w:val="0"/>
                <w:sz w:val="17"/>
              </w:rPr>
              <w:t>CONDITIONAL — "Destination country requires [Test X]. Please add it."</w:t>
            </w:r>
          </w:p>
        </w:tc>
      </w:tr>
      <w:tr>
        <w:tc>
          <w:tcPr>
            <w:tcW w:type="dxa" w:w="2409"/>
          </w:tcPr>
          <w:p>
            <w:pPr>
              <w:spacing w:after="20" w:before="20" w:line="240" w:lineRule="auto"/>
            </w:pPr>
            <w:r/>
            <w:r>
              <w:rPr>
                <w:rFonts w:ascii="Arial" w:hAnsi="Arial" w:cs="Arial"/>
                <w:b w:val="0"/>
                <w:i w:val="0"/>
                <w:sz w:val="17"/>
              </w:rPr>
              <w:t>G1U5</w:t>
            </w:r>
          </w:p>
        </w:tc>
        <w:tc>
          <w:tcPr>
            <w:tcW w:type="dxa" w:w="2409"/>
          </w:tcPr>
          <w:p>
            <w:pPr>
              <w:spacing w:after="20" w:before="20" w:line="240" w:lineRule="auto"/>
            </w:pPr>
            <w:r/>
            <w:r>
              <w:rPr>
                <w:rFonts w:ascii="Arial" w:hAnsi="Arial" w:cs="Arial"/>
                <w:b w:val="0"/>
                <w:i w:val="0"/>
                <w:sz w:val="17"/>
              </w:rPr>
              <w:t>If QC requested: active provider exists in port</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CONDITIONAL — "No active QC providers found in [Port]."</w:t>
            </w:r>
          </w:p>
        </w:tc>
      </w:tr>
      <w:tr>
        <w:tc>
          <w:tcPr>
            <w:tcW w:type="dxa" w:w="2409"/>
          </w:tcPr>
          <w:p>
            <w:pPr>
              <w:spacing w:after="20" w:before="20" w:line="240" w:lineRule="auto"/>
            </w:pPr>
            <w:r/>
            <w:r>
              <w:rPr>
                <w:rFonts w:ascii="Arial" w:hAnsi="Arial" w:cs="Arial"/>
                <w:b w:val="0"/>
                <w:i w:val="0"/>
                <w:sz w:val="17"/>
              </w:rPr>
              <w:t>G1U6</w:t>
            </w:r>
          </w:p>
        </w:tc>
        <w:tc>
          <w:tcPr>
            <w:tcW w:type="dxa" w:w="2409"/>
          </w:tcPr>
          <w:p>
            <w:pPr>
              <w:spacing w:after="20" w:before="20" w:line="240" w:lineRule="auto"/>
            </w:pPr>
            <w:r/>
            <w:r>
              <w:rPr>
                <w:rFonts w:ascii="Arial" w:hAnsi="Arial" w:cs="Arial"/>
                <w:b w:val="0"/>
                <w:i w:val="0"/>
                <w:sz w:val="17"/>
              </w:rPr>
              <w:t>If QC requested and seller has no saved QC contacts in country</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WARNING — "Seller has no saved QC contacts in [Country]. This may add 24–48 hours."</w:t>
            </w:r>
          </w:p>
        </w:tc>
      </w:tr>
      <w:tr>
        <w:tc>
          <w:tcPr>
            <w:tcW w:type="dxa" w:w="2409"/>
          </w:tcPr>
          <w:p>
            <w:pPr>
              <w:spacing w:after="20" w:before="20" w:line="240" w:lineRule="auto"/>
            </w:pPr>
            <w:r/>
            <w:r>
              <w:rPr>
                <w:rFonts w:ascii="Arial" w:hAnsi="Arial" w:cs="Arial"/>
                <w:b w:val="0"/>
                <w:i w:val="0"/>
                <w:sz w:val="17"/>
              </w:rPr>
              <w:t>G1U7</w:t>
            </w:r>
          </w:p>
        </w:tc>
        <w:tc>
          <w:tcPr>
            <w:tcW w:type="dxa" w:w="2409"/>
          </w:tcPr>
          <w:p>
            <w:pPr>
              <w:spacing w:after="20" w:before="20" w:line="240" w:lineRule="auto"/>
            </w:pPr>
            <w:r/>
            <w:r>
              <w:rPr>
                <w:rFonts w:ascii="Arial" w:hAnsi="Arial" w:cs="Arial"/>
                <w:b w:val="0"/>
                <w:i w:val="0"/>
                <w:sz w:val="17"/>
              </w:rPr>
              <w:t>Readiness Score ≥ 70%</w:t>
            </w:r>
          </w:p>
        </w:tc>
        <w:tc>
          <w:tcPr>
            <w:tcW w:type="dxa" w:w="2409"/>
          </w:tcPr>
          <w:p>
            <w:pPr>
              <w:spacing w:after="20" w:before="20" w:line="240" w:lineRule="auto"/>
            </w:pPr>
            <w:r/>
            <w:r>
              <w:rPr>
                <w:rFonts w:ascii="Arial" w:hAnsi="Arial" w:cs="Arial"/>
                <w:b w:val="0"/>
                <w:i w:val="0"/>
                <w:sz w:val="17"/>
              </w:rPr>
              <w:t>Readiness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G1U8</w:t>
            </w:r>
          </w:p>
        </w:tc>
        <w:tc>
          <w:tcPr>
            <w:tcW w:type="dxa" w:w="2409"/>
          </w:tcPr>
          <w:p>
            <w:pPr>
              <w:spacing w:after="20" w:before="20" w:line="240" w:lineRule="auto"/>
            </w:pPr>
            <w:r/>
            <w:r>
              <w:rPr>
                <w:rFonts w:ascii="Arial" w:hAnsi="Arial" w:cs="Arial"/>
                <w:b w:val="0"/>
                <w:i w:val="0"/>
                <w:sz w:val="17"/>
              </w:rPr>
              <w:t>Executive approval complete</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G1U9</w:t>
            </w:r>
          </w:p>
        </w:tc>
        <w:tc>
          <w:tcPr>
            <w:tcW w:type="dxa" w:w="2409"/>
          </w:tcPr>
          <w:p>
            <w:pPr>
              <w:spacing w:after="20" w:before="20" w:line="240" w:lineRule="auto"/>
            </w:pPr>
            <w:r/>
            <w:r>
              <w:rPr>
                <w:rFonts w:ascii="Arial" w:hAnsi="Arial" w:cs="Arial"/>
                <w:b w:val="0"/>
                <w:i w:val="0"/>
                <w:sz w:val="17"/>
              </w:rPr>
              <w:t>Settlement structure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G1U10</w:t>
            </w:r>
          </w:p>
        </w:tc>
        <w:tc>
          <w:tcPr>
            <w:tcW w:type="dxa" w:w="2409"/>
          </w:tcPr>
          <w:p>
            <w:pPr>
              <w:spacing w:after="20" w:before="20" w:line="240" w:lineRule="auto"/>
            </w:pPr>
            <w:r/>
            <w:r>
              <w:rPr>
                <w:rFonts w:ascii="Arial" w:hAnsi="Arial" w:cs="Arial"/>
                <w:b w:val="0"/>
                <w:i w:val="0"/>
                <w:sz w:val="17"/>
              </w:rPr>
              <w:t>Payment timing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G1U11</w:t>
            </w:r>
          </w:p>
        </w:tc>
        <w:tc>
          <w:tcPr>
            <w:tcW w:type="dxa" w:w="2409"/>
          </w:tcPr>
          <w:p>
            <w:pPr>
              <w:spacing w:after="20" w:before="20" w:line="240" w:lineRule="auto"/>
            </w:pPr>
            <w:r/>
            <w:r>
              <w:rPr>
                <w:rFonts w:ascii="Arial" w:hAnsi="Arial" w:cs="Arial"/>
                <w:b w:val="0"/>
                <w:i w:val="0"/>
                <w:sz w:val="17"/>
              </w:rPr>
              <w:t>Credit period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G1U11a</w:t>
            </w:r>
          </w:p>
        </w:tc>
        <w:tc>
          <w:tcPr>
            <w:tcW w:type="dxa" w:w="2409"/>
          </w:tcPr>
          <w:p>
            <w:pPr>
              <w:spacing w:after="20" w:before="20" w:line="240" w:lineRule="auto"/>
            </w:pPr>
            <w:r/>
            <w:r>
              <w:rPr>
                <w:rFonts w:ascii="Arial" w:hAnsi="Arial" w:cs="Arial"/>
                <w:b w:val="0"/>
                <w:i w:val="0"/>
                <w:sz w:val="17"/>
              </w:rPr>
              <w:t>Trade criticality selected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G1U11b</w:t>
            </w:r>
          </w:p>
        </w:tc>
        <w:tc>
          <w:tcPr>
            <w:tcW w:type="dxa" w:w="2409"/>
          </w:tcPr>
          <w:p>
            <w:pPr>
              <w:spacing w:after="20" w:before="20" w:line="240" w:lineRule="auto"/>
            </w:pPr>
            <w:r/>
            <w:r>
              <w:rPr>
                <w:rFonts w:ascii="Arial" w:hAnsi="Arial" w:cs="Arial"/>
                <w:b w:val="0"/>
                <w:i w:val="0"/>
                <w:sz w:val="17"/>
              </w:rPr>
              <w:t>Criticality appropriate for Incoterm</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G1U12</w:t>
            </w:r>
          </w:p>
        </w:tc>
        <w:tc>
          <w:tcPr>
            <w:tcW w:type="dxa" w:w="2409"/>
          </w:tcPr>
          <w:p>
            <w:pPr>
              <w:spacing w:after="20" w:before="20" w:line="240" w:lineRule="auto"/>
            </w:pPr>
            <w:r/>
            <w:r>
              <w:rPr>
                <w:rFonts w:ascii="Arial" w:hAnsi="Arial" w:cs="Arial"/>
                <w:b w:val="0"/>
                <w:i w:val="0"/>
                <w:sz w:val="17"/>
              </w:rPr>
              <w:t>Currency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G1U13</w:t>
            </w:r>
          </w:p>
        </w:tc>
        <w:tc>
          <w:tcPr>
            <w:tcW w:type="dxa" w:w="2409"/>
          </w:tcPr>
          <w:p>
            <w:pPr>
              <w:spacing w:after="20" w:before="20" w:line="240" w:lineRule="auto"/>
            </w:pPr>
            <w:r/>
            <w:r>
              <w:rPr>
                <w:rFonts w:ascii="Arial" w:hAnsi="Arial" w:cs="Arial"/>
                <w:b w:val="0"/>
                <w:i w:val="0"/>
                <w:sz w:val="17"/>
              </w:rPr>
              <w:t>Financing interest valid (buyer only)</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G1U14</w:t>
            </w:r>
          </w:p>
        </w:tc>
        <w:tc>
          <w:tcPr>
            <w:tcW w:type="dxa" w:w="2409"/>
          </w:tcPr>
          <w:p>
            <w:pPr>
              <w:spacing w:after="20" w:before="20" w:line="240" w:lineRule="auto"/>
            </w:pPr>
            <w:r/>
            <w:r>
              <w:rPr>
                <w:rFonts w:ascii="Arial" w:hAnsi="Arial" w:cs="Arial"/>
                <w:b w:val="0"/>
                <w:i w:val="0"/>
                <w:sz w:val="17"/>
              </w:rPr>
              <w:t>Bank instrument complete (if LC)</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G1U15</w:t>
            </w:r>
          </w:p>
        </w:tc>
        <w:tc>
          <w:tcPr>
            <w:tcW w:type="dxa" w:w="2409"/>
          </w:tcPr>
          <w:p>
            <w:pPr>
              <w:spacing w:after="20" w:before="20" w:line="240" w:lineRule="auto"/>
            </w:pPr>
            <w:r/>
            <w:r>
              <w:rPr>
                <w:rFonts w:ascii="Arial" w:hAnsi="Arial" w:cs="Arial"/>
                <w:b w:val="0"/>
                <w:i w:val="0"/>
                <w:sz w:val="17"/>
              </w:rPr>
              <w:t>Settlement flexibility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G1U16</w:t>
            </w:r>
          </w:p>
        </w:tc>
        <w:tc>
          <w:tcPr>
            <w:tcW w:type="dxa" w:w="2409"/>
          </w:tcPr>
          <w:p>
            <w:pPr>
              <w:spacing w:after="20" w:before="20" w:line="240" w:lineRule="auto"/>
            </w:pPr>
            <w:r/>
            <w:r>
              <w:rPr>
                <w:rFonts w:ascii="Arial" w:hAnsi="Arial" w:cs="Arial"/>
                <w:b w:val="0"/>
                <w:i w:val="0"/>
                <w:sz w:val="17"/>
              </w:rPr>
              <w:t>Settlement documents selected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G1U17</w:t>
            </w:r>
          </w:p>
        </w:tc>
        <w:tc>
          <w:tcPr>
            <w:tcW w:type="dxa" w:w="2409"/>
          </w:tcPr>
          <w:p>
            <w:pPr>
              <w:spacing w:after="20" w:before="20" w:line="240" w:lineRule="auto"/>
            </w:pPr>
            <w:r/>
            <w:r>
              <w:rPr>
                <w:rFonts w:ascii="Arial" w:hAnsi="Arial" w:cs="Arial"/>
                <w:b w:val="0"/>
                <w:i w:val="0"/>
                <w:sz w:val="17"/>
              </w:rPr>
              <w:t>Commercial priority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G1U18</w:t>
            </w:r>
          </w:p>
        </w:tc>
        <w:tc>
          <w:tcPr>
            <w:tcW w:type="dxa" w:w="2409"/>
          </w:tcPr>
          <w:p>
            <w:pPr>
              <w:spacing w:after="20" w:before="20" w:line="240" w:lineRule="auto"/>
            </w:pPr>
            <w:r/>
            <w:r>
              <w:rPr>
                <w:rFonts w:ascii="Arial" w:hAnsi="Arial" w:cs="Arial"/>
                <w:b w:val="0"/>
                <w:i w:val="0"/>
                <w:sz w:val="17"/>
              </w:rPr>
              <w:t>Transport mode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G1U19</w:t>
            </w:r>
          </w:p>
        </w:tc>
        <w:tc>
          <w:tcPr>
            <w:tcW w:type="dxa" w:w="2409"/>
          </w:tcPr>
          <w:p>
            <w:pPr>
              <w:spacing w:after="20" w:before="20" w:line="240" w:lineRule="auto"/>
            </w:pPr>
            <w:r/>
            <w:r>
              <w:rPr>
                <w:rFonts w:ascii="Arial" w:hAnsi="Arial" w:cs="Arial"/>
                <w:b w:val="0"/>
                <w:i w:val="0"/>
                <w:sz w:val="17"/>
              </w:rPr>
              <w:t>Equipment compatible with mode</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G1U20</w:t>
            </w:r>
          </w:p>
        </w:tc>
        <w:tc>
          <w:tcPr>
            <w:tcW w:type="dxa" w:w="2409"/>
          </w:tcPr>
          <w:p>
            <w:pPr>
              <w:spacing w:after="20" w:before="20" w:line="240" w:lineRule="auto"/>
            </w:pPr>
            <w:r/>
            <w:r>
              <w:rPr>
                <w:rFonts w:ascii="Arial" w:hAnsi="Arial" w:cs="Arial"/>
                <w:b w:val="0"/>
                <w:i w:val="0"/>
                <w:sz w:val="17"/>
              </w:rPr>
              <w:t>Equipment available for route</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G1U20a</w:t>
            </w:r>
          </w:p>
        </w:tc>
        <w:tc>
          <w:tcPr>
            <w:tcW w:type="dxa" w:w="2409"/>
          </w:tcPr>
          <w:p>
            <w:pPr>
              <w:spacing w:after="20" w:before="20" w:line="240" w:lineRule="auto"/>
            </w:pPr>
            <w:r/>
            <w:r>
              <w:rPr>
                <w:rFonts w:ascii="Arial" w:hAnsi="Arial" w:cs="Arial"/>
                <w:b w:val="0"/>
                <w:i w:val="0"/>
                <w:sz w:val="17"/>
              </w:rPr>
              <w:t>Insurance requirement selected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G1U20b</w:t>
            </w:r>
          </w:p>
        </w:tc>
        <w:tc>
          <w:tcPr>
            <w:tcW w:type="dxa" w:w="2409"/>
          </w:tcPr>
          <w:p>
            <w:pPr>
              <w:spacing w:after="20" w:before="20" w:line="240" w:lineRule="auto"/>
            </w:pPr>
            <w:r/>
            <w:r>
              <w:rPr>
                <w:rFonts w:ascii="Arial" w:hAnsi="Arial" w:cs="Arial"/>
                <w:b w:val="0"/>
                <w:i w:val="0"/>
                <w:sz w:val="17"/>
              </w:rPr>
              <w:t>If Required: insurance type selected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G1U20c</w:t>
            </w:r>
          </w:p>
        </w:tc>
        <w:tc>
          <w:tcPr>
            <w:tcW w:type="dxa" w:w="2409"/>
          </w:tcPr>
          <w:p>
            <w:pPr>
              <w:spacing w:after="20" w:before="20" w:line="240" w:lineRule="auto"/>
            </w:pPr>
            <w:r/>
            <w:r>
              <w:rPr>
                <w:rFonts w:ascii="Arial" w:hAnsi="Arial" w:cs="Arial"/>
                <w:b w:val="0"/>
                <w:i w:val="0"/>
                <w:sz w:val="17"/>
              </w:rPr>
              <w:t>If Required: coverage ≥ 100%</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G1U20d</w:t>
            </w:r>
          </w:p>
        </w:tc>
        <w:tc>
          <w:tcPr>
            <w:tcW w:type="dxa" w:w="2409"/>
          </w:tcPr>
          <w:p>
            <w:pPr>
              <w:spacing w:after="20" w:before="20" w:line="240" w:lineRule="auto"/>
            </w:pPr>
            <w:r/>
            <w:r>
              <w:rPr>
                <w:rFonts w:ascii="Arial" w:hAnsi="Arial" w:cs="Arial"/>
                <w:b w:val="0"/>
                <w:i w:val="0"/>
                <w:sz w:val="17"/>
              </w:rPr>
              <w:t>CIF/CIP require insurance</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G1U21</w:t>
            </w:r>
          </w:p>
        </w:tc>
        <w:tc>
          <w:tcPr>
            <w:tcW w:type="dxa" w:w="2409"/>
          </w:tcPr>
          <w:p>
            <w:pPr>
              <w:spacing w:after="20" w:before="20" w:line="240" w:lineRule="auto"/>
            </w:pPr>
            <w:r/>
            <w:r>
              <w:rPr>
                <w:rFonts w:ascii="Arial" w:hAnsi="Arial" w:cs="Arial"/>
                <w:b w:val="0"/>
                <w:i w:val="0"/>
                <w:sz w:val="17"/>
              </w:rPr>
              <w:t>Required documents selected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G1U22</w:t>
            </w:r>
          </w:p>
        </w:tc>
        <w:tc>
          <w:tcPr>
            <w:tcW w:type="dxa" w:w="2409"/>
          </w:tcPr>
          <w:p>
            <w:pPr>
              <w:spacing w:after="20" w:before="20" w:line="240" w:lineRule="auto"/>
            </w:pPr>
            <w:r/>
            <w:r>
              <w:rPr>
                <w:rFonts w:ascii="Arial" w:hAnsi="Arial" w:cs="Arial"/>
                <w:b w:val="0"/>
                <w:i w:val="0"/>
                <w:sz w:val="17"/>
              </w:rPr>
              <w:t>Document format valid</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G1U23</w:t>
            </w:r>
          </w:p>
        </w:tc>
        <w:tc>
          <w:tcPr>
            <w:tcW w:type="dxa" w:w="2409"/>
          </w:tcPr>
          <w:p>
            <w:pPr>
              <w:spacing w:after="20" w:before="20" w:line="240" w:lineRule="auto"/>
            </w:pPr>
            <w:r/>
            <w:r>
              <w:rPr>
                <w:rFonts w:ascii="Arial" w:hAnsi="Arial" w:cs="Arial"/>
                <w:b w:val="0"/>
                <w:i w:val="0"/>
                <w:sz w:val="17"/>
              </w:rPr>
              <w:t>Multi-shipment: each shipment future date</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G1U24</w:t>
            </w:r>
          </w:p>
        </w:tc>
        <w:tc>
          <w:tcPr>
            <w:tcW w:type="dxa" w:w="2409"/>
          </w:tcPr>
          <w:p>
            <w:pPr>
              <w:spacing w:after="20" w:before="20" w:line="240" w:lineRule="auto"/>
            </w:pPr>
            <w:r/>
            <w:r>
              <w:rPr>
                <w:rFonts w:ascii="Arial" w:hAnsi="Arial" w:cs="Arial"/>
                <w:b w:val="0"/>
                <w:i w:val="0"/>
                <w:sz w:val="17"/>
              </w:rPr>
              <w:t>Multi-shipment: each shipment valid port</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G1U25</w:t>
            </w:r>
          </w:p>
        </w:tc>
        <w:tc>
          <w:tcPr>
            <w:tcW w:type="dxa" w:w="2409"/>
          </w:tcPr>
          <w:p>
            <w:pPr>
              <w:spacing w:after="20" w:before="20" w:line="240" w:lineRule="auto"/>
            </w:pPr>
            <w:r/>
            <w:r>
              <w:rPr>
                <w:rFonts w:ascii="Arial" w:hAnsi="Arial" w:cs="Arial"/>
                <w:b w:val="0"/>
                <w:i w:val="0"/>
                <w:sz w:val="17"/>
              </w:rPr>
              <w:t>Multi-shipment: each shipment ≥ 1 container</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G1U26</w:t>
            </w:r>
          </w:p>
        </w:tc>
        <w:tc>
          <w:tcPr>
            <w:tcW w:type="dxa" w:w="2409"/>
          </w:tcPr>
          <w:p>
            <w:pPr>
              <w:spacing w:after="20" w:before="20" w:line="240" w:lineRule="auto"/>
            </w:pPr>
            <w:r/>
            <w:r>
              <w:rPr>
                <w:rFonts w:ascii="Arial" w:hAnsi="Arial" w:cs="Arial"/>
                <w:b w:val="0"/>
                <w:i w:val="0"/>
                <w:sz w:val="17"/>
              </w:rPr>
              <w:t>Per-container data consistent</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G1U27</w:t>
            </w:r>
          </w:p>
        </w:tc>
        <w:tc>
          <w:tcPr>
            <w:tcW w:type="dxa" w:w="2409"/>
          </w:tcPr>
          <w:p>
            <w:pPr>
              <w:spacing w:after="20" w:before="20" w:line="240" w:lineRule="auto"/>
            </w:pPr>
            <w:r/>
            <w:r>
              <w:rPr>
                <w:rFonts w:ascii="Arial" w:hAnsi="Arial" w:cs="Arial"/>
                <w:b w:val="0"/>
                <w:i w:val="0"/>
                <w:sz w:val="17"/>
              </w:rPr>
              <w:t>Packing weight matches declared total</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G1U28</w:t>
            </w:r>
          </w:p>
        </w:tc>
        <w:tc>
          <w:tcPr>
            <w:tcW w:type="dxa" w:w="2409"/>
          </w:tcPr>
          <w:p>
            <w:pPr>
              <w:spacing w:after="20" w:before="20" w:line="240" w:lineRule="auto"/>
            </w:pPr>
            <w:r/>
            <w:r>
              <w:rPr>
                <w:rFonts w:ascii="Arial" w:hAnsi="Arial" w:cs="Arial"/>
                <w:b w:val="0"/>
                <w:i w:val="0"/>
                <w:sz w:val="17"/>
              </w:rPr>
              <w:t>Gross weight ≤ max payload</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G1U29</w:t>
            </w:r>
          </w:p>
        </w:tc>
        <w:tc>
          <w:tcPr>
            <w:tcW w:type="dxa" w:w="2409"/>
          </w:tcPr>
          <w:p>
            <w:pPr>
              <w:spacing w:after="20" w:before="20" w:line="240" w:lineRule="auto"/>
            </w:pPr>
            <w:r/>
            <w:r>
              <w:rPr>
                <w:rFonts w:ascii="Arial" w:hAnsi="Arial" w:cs="Arial"/>
                <w:b w:val="0"/>
                <w:i w:val="0"/>
                <w:sz w:val="17"/>
              </w:rPr>
              <w:t>GNN sanctions proximity ≤ 2</w:t>
            </w:r>
          </w:p>
        </w:tc>
        <w:tc>
          <w:tcPr>
            <w:tcW w:type="dxa" w:w="2409"/>
          </w:tcPr>
          <w:p>
            <w:pPr>
              <w:spacing w:after="20" w:before="20" w:line="240" w:lineRule="auto"/>
            </w:pPr>
            <w:r/>
            <w:r>
              <w:rPr>
                <w:rFonts w:ascii="Arial" w:hAnsi="Arial" w:cs="Arial"/>
                <w:b w:val="0"/>
                <w:i w:val="0"/>
                <w:sz w:val="17"/>
              </w:rPr>
              <w:t>GNN (A2)</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G1U30</w:t>
            </w:r>
          </w:p>
        </w:tc>
        <w:tc>
          <w:tcPr>
            <w:tcW w:type="dxa" w:w="2409"/>
          </w:tcPr>
          <w:p>
            <w:pPr>
              <w:spacing w:after="20" w:before="20" w:line="240" w:lineRule="auto"/>
            </w:pPr>
            <w:r/>
            <w:r>
              <w:rPr>
                <w:rFonts w:ascii="Arial" w:hAnsi="Arial" w:cs="Arial"/>
                <w:b w:val="0"/>
                <w:i w:val="0"/>
                <w:sz w:val="17"/>
              </w:rPr>
              <w:t>Dual-use goods screening</w:t>
            </w:r>
          </w:p>
        </w:tc>
        <w:tc>
          <w:tcPr>
            <w:tcW w:type="dxa" w:w="2409"/>
          </w:tcPr>
          <w:p>
            <w:pPr>
              <w:spacing w:after="20" w:before="20" w:line="240" w:lineRule="auto"/>
            </w:pPr>
            <w:r/>
            <w:r>
              <w:rPr>
                <w:rFonts w:ascii="Arial" w:hAnsi="Arial" w:cs="Arial"/>
                <w:b w:val="0"/>
                <w:i w:val="0"/>
                <w:sz w:val="17"/>
              </w:rPr>
              <w:t>A2 (HF)</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G1U31</w:t>
            </w:r>
          </w:p>
        </w:tc>
        <w:tc>
          <w:tcPr>
            <w:tcW w:type="dxa" w:w="2409"/>
          </w:tcPr>
          <w:p>
            <w:pPr>
              <w:spacing w:after="20" w:before="20" w:line="240" w:lineRule="auto"/>
            </w:pPr>
            <w:r/>
            <w:r>
              <w:rPr>
                <w:rFonts w:ascii="Arial" w:hAnsi="Arial" w:cs="Arial"/>
                <w:b w:val="0"/>
                <w:i w:val="0"/>
                <w:sz w:val="17"/>
              </w:rPr>
              <w:t>Incompatible commodity mixing</w:t>
            </w:r>
          </w:p>
        </w:tc>
        <w:tc>
          <w:tcPr>
            <w:tcW w:type="dxa" w:w="2409"/>
          </w:tcPr>
          <w:p>
            <w:pPr>
              <w:spacing w:after="20" w:before="20" w:line="240" w:lineRule="auto"/>
            </w:pPr>
            <w:r/>
            <w:r>
              <w:rPr>
                <w:rFonts w:ascii="Arial" w:hAnsi="Arial" w:cs="Arial"/>
                <w:b w:val="0"/>
                <w:i w:val="0"/>
                <w:sz w:val="17"/>
              </w:rPr>
              <w:t>A2 (HF)</w:t>
            </w:r>
          </w:p>
        </w:tc>
        <w:tc>
          <w:tcPr>
            <w:tcW w:type="dxa" w:w="2409"/>
          </w:tcPr>
          <w:p>
            <w:pPr>
              <w:spacing w:after="20" w:before="20" w:line="240" w:lineRule="auto"/>
            </w:pPr>
            <w:r/>
            <w:r>
              <w:rPr>
                <w:rFonts w:ascii="Arial" w:hAnsi="Arial" w:cs="Arial"/>
                <w:b w:val="0"/>
                <w:i w:val="0"/>
                <w:sz w:val="17"/>
              </w:rPr>
              <w:t>WARNING</w:t>
            </w:r>
          </w:p>
        </w:tc>
      </w:tr>
      <w:tr>
        <w:tc>
          <w:tcPr>
            <w:tcW w:type="dxa" w:w="2409"/>
          </w:tcPr>
          <w:p>
            <w:pPr>
              <w:spacing w:after="20" w:before="20" w:line="240" w:lineRule="auto"/>
            </w:pPr>
            <w:r/>
            <w:r>
              <w:rPr>
                <w:rFonts w:ascii="Arial" w:hAnsi="Arial" w:cs="Arial"/>
                <w:b w:val="0"/>
                <w:i w:val="0"/>
                <w:sz w:val="17"/>
              </w:rPr>
              <w:t>G1U32</w:t>
            </w:r>
          </w:p>
        </w:tc>
        <w:tc>
          <w:tcPr>
            <w:tcW w:type="dxa" w:w="2409"/>
          </w:tcPr>
          <w:p>
            <w:pPr>
              <w:spacing w:after="20" w:before="20" w:line="240" w:lineRule="auto"/>
            </w:pPr>
            <w:r/>
            <w:r>
              <w:rPr>
                <w:rFonts w:ascii="Arial" w:hAnsi="Arial" w:cs="Arial"/>
                <w:b w:val="0"/>
                <w:i w:val="0"/>
                <w:sz w:val="17"/>
              </w:rPr>
              <w:t>Missing treatment data</w:t>
            </w:r>
          </w:p>
        </w:tc>
        <w:tc>
          <w:tcPr>
            <w:tcW w:type="dxa" w:w="2409"/>
          </w:tcPr>
          <w:p>
            <w:pPr>
              <w:spacing w:after="20" w:before="20" w:line="240" w:lineRule="auto"/>
            </w:pPr>
            <w:r/>
            <w:r>
              <w:rPr>
                <w:rFonts w:ascii="Arial" w:hAnsi="Arial" w:cs="Arial"/>
                <w:b w:val="0"/>
                <w:i w:val="0"/>
                <w:sz w:val="17"/>
              </w:rPr>
              <w:t>A2 (RIA)</w:t>
            </w:r>
          </w:p>
        </w:tc>
        <w:tc>
          <w:tcPr>
            <w:tcW w:type="dxa" w:w="2409"/>
          </w:tcPr>
          <w:p>
            <w:pPr>
              <w:spacing w:after="20" w:before="20" w:line="240" w:lineRule="auto"/>
            </w:pPr>
            <w:r/>
            <w:r>
              <w:rPr>
                <w:rFonts w:ascii="Arial" w:hAnsi="Arial" w:cs="Arial"/>
                <w:b w:val="0"/>
                <w:i w:val="0"/>
                <w:sz w:val="17"/>
              </w:rPr>
              <w:t>CONDITIONAL</w:t>
            </w:r>
          </w:p>
        </w:tc>
      </w:tr>
      <w:tr>
        <w:tc>
          <w:tcPr>
            <w:tcW w:type="dxa" w:w="2409"/>
          </w:tcPr>
          <w:p>
            <w:pPr>
              <w:spacing w:after="20" w:before="20" w:line="240" w:lineRule="auto"/>
            </w:pPr>
            <w:r/>
            <w:r>
              <w:rPr>
                <w:rFonts w:ascii="Arial" w:hAnsi="Arial" w:cs="Arial"/>
                <w:b w:val="0"/>
                <w:i w:val="0"/>
                <w:sz w:val="17"/>
              </w:rPr>
              <w:t>G1U33</w:t>
            </w:r>
          </w:p>
        </w:tc>
        <w:tc>
          <w:tcPr>
            <w:tcW w:type="dxa" w:w="2409"/>
          </w:tcPr>
          <w:p>
            <w:pPr>
              <w:spacing w:after="20" w:before="20" w:line="240" w:lineRule="auto"/>
            </w:pPr>
            <w:r/>
            <w:r>
              <w:rPr>
                <w:rFonts w:ascii="Arial" w:hAnsi="Arial" w:cs="Arial"/>
                <w:b w:val="0"/>
                <w:i w:val="0"/>
                <w:sz w:val="17"/>
              </w:rPr>
              <w:t>Draft not expired</w:t>
            </w:r>
          </w:p>
        </w:tc>
        <w:tc>
          <w:tcPr>
            <w:tcW w:type="dxa" w:w="2409"/>
          </w:tcPr>
          <w:p>
            <w:pPr>
              <w:spacing w:after="20" w:before="20" w:line="240" w:lineRule="auto"/>
            </w:pPr>
            <w:r/>
            <w:r>
              <w:rPr>
                <w:rFonts w:ascii="Arial" w:hAnsi="Arial" w:cs="Arial"/>
                <w:b w:val="0"/>
                <w:i w:val="0"/>
                <w:sz w:val="17"/>
              </w:rPr>
              <w:t>A4</w:t>
            </w:r>
          </w:p>
        </w:tc>
        <w:tc>
          <w:tcPr>
            <w:tcW w:type="dxa" w:w="2409"/>
          </w:tcPr>
          <w:p>
            <w:pPr>
              <w:spacing w:after="20" w:before="20" w:line="240" w:lineRule="auto"/>
            </w:pPr>
            <w:r/>
            <w:r>
              <w:rPr>
                <w:rFonts w:ascii="Arial" w:hAnsi="Arial" w:cs="Arial"/>
                <w:b w:val="0"/>
                <w:i w:val="0"/>
                <w:sz w:val="17"/>
              </w:rPr>
              <w:t>CONDITIONAL</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15.2.2 Phase 2 Gates (Seller Quote)</w:t>
      </w:r>
    </w:p>
    <w:p>
      <w:pPr>
        <w:spacing w:after="80" w:line="293" w:lineRule="auto"/>
        <w:jc w:val="left"/>
      </w:pPr>
      <w:r>
        <w:rPr>
          <w:rFonts w:ascii="Times New Roman" w:hAnsi="Times New Roman" w:cs="Times New Roman"/>
          <w:b w:val="0"/>
          <w:i w:val="0"/>
          <w:sz w:val="22"/>
        </w:rPr>
        <w:t>Evaluated while the seller builds the living quote, selects logistics providers, and publishes (see Section 8).</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Gate</w:t>
            </w:r>
          </w:p>
        </w:tc>
        <w:tc>
          <w:tcPr>
            <w:tcW w:type="dxa" w:w="2409"/>
            <w:shd w:val="clear" w:fill="D9E2F3"/>
          </w:tcPr>
          <w:p>
            <w:pPr>
              <w:spacing w:after="20" w:before="20" w:line="240" w:lineRule="auto"/>
            </w:pPr>
            <w:r/>
            <w:r>
              <w:rPr>
                <w:rFonts w:ascii="Arial" w:hAnsi="Arial" w:cs="Arial"/>
                <w:b/>
                <w:i w:val="0"/>
                <w:sz w:val="18"/>
              </w:rPr>
              <w:t>Check</w:t>
            </w:r>
          </w:p>
        </w:tc>
        <w:tc>
          <w:tcPr>
            <w:tcW w:type="dxa" w:w="2409"/>
            <w:shd w:val="clear" w:fill="D9E2F3"/>
          </w:tcPr>
          <w:p>
            <w:pPr>
              <w:spacing w:after="20" w:before="20" w:line="240" w:lineRule="auto"/>
            </w:pPr>
            <w:r/>
            <w:r>
              <w:rPr>
                <w:rFonts w:ascii="Arial" w:hAnsi="Arial" w:cs="Arial"/>
                <w:b/>
                <w:i w:val="0"/>
                <w:sz w:val="18"/>
              </w:rPr>
              <w:t>Enforcer</w:t>
            </w:r>
          </w:p>
        </w:tc>
        <w:tc>
          <w:tcPr>
            <w:tcW w:type="dxa" w:w="2409"/>
            <w:shd w:val="clear" w:fill="D9E2F3"/>
          </w:tcPr>
          <w:p>
            <w:pPr>
              <w:spacing w:after="20" w:before="20" w:line="240" w:lineRule="auto"/>
            </w:pPr>
            <w:r/>
            <w:r>
              <w:rPr>
                <w:rFonts w:ascii="Arial" w:hAnsi="Arial" w:cs="Arial"/>
                <w:b/>
                <w:i w:val="0"/>
                <w:sz w:val="18"/>
              </w:rPr>
              <w:t>Failure Action</w:t>
            </w:r>
          </w:p>
        </w:tc>
      </w:tr>
      <w:tr>
        <w:tc>
          <w:tcPr>
            <w:tcW w:type="dxa" w:w="2409"/>
          </w:tcPr>
          <w:p>
            <w:pPr>
              <w:spacing w:after="20" w:before="20" w:line="240" w:lineRule="auto"/>
            </w:pPr>
            <w:r/>
            <w:r>
              <w:rPr>
                <w:rFonts w:ascii="Arial" w:hAnsi="Arial" w:cs="Arial"/>
                <w:b w:val="0"/>
                <w:i w:val="0"/>
                <w:sz w:val="17"/>
              </w:rPr>
              <w:t>G2U1</w:t>
            </w:r>
          </w:p>
        </w:tc>
        <w:tc>
          <w:tcPr>
            <w:tcW w:type="dxa" w:w="2409"/>
          </w:tcPr>
          <w:p>
            <w:pPr>
              <w:spacing w:after="20" w:before="20" w:line="240" w:lineRule="auto"/>
            </w:pPr>
            <w:r/>
            <w:r>
              <w:rPr>
                <w:rFonts w:ascii="Arial" w:hAnsi="Arial" w:cs="Arial"/>
                <w:b w:val="0"/>
                <w:i w:val="0"/>
                <w:sz w:val="17"/>
              </w:rPr>
              <w:t>Living quote initialised</w:t>
            </w:r>
          </w:p>
        </w:tc>
        <w:tc>
          <w:tcPr>
            <w:tcW w:type="dxa" w:w="2409"/>
          </w:tcPr>
          <w:p>
            <w:pPr>
              <w:spacing w:after="20" w:before="20" w:line="240" w:lineRule="auto"/>
            </w:pPr>
            <w:r/>
            <w:r>
              <w:rPr>
                <w:rFonts w:ascii="Arial" w:hAnsi="Arial" w:cs="Arial"/>
                <w:b w:val="0"/>
                <w:i w:val="0"/>
                <w:sz w:val="17"/>
              </w:rPr>
              <w:t>Governor</w:t>
            </w:r>
          </w:p>
        </w:tc>
        <w:tc>
          <w:tcPr>
            <w:tcW w:type="dxa" w:w="2409"/>
          </w:tcPr>
          <w:p>
            <w:pPr>
              <w:spacing w:after="20" w:before="20" w:line="240" w:lineRule="auto"/>
            </w:pPr>
            <w:r/>
            <w:r>
              <w:rPr>
                <w:rFonts w:ascii="Arial" w:hAnsi="Arial" w:cs="Arial"/>
                <w:b w:val="0"/>
                <w:i w:val="0"/>
                <w:sz w:val="17"/>
              </w:rPr>
              <w:t>Block publication</w:t>
            </w:r>
          </w:p>
        </w:tc>
      </w:tr>
      <w:tr>
        <w:tc>
          <w:tcPr>
            <w:tcW w:type="dxa" w:w="2409"/>
          </w:tcPr>
          <w:p>
            <w:pPr>
              <w:spacing w:after="20" w:before="20" w:line="240" w:lineRule="auto"/>
            </w:pPr>
            <w:r/>
            <w:r>
              <w:rPr>
                <w:rFonts w:ascii="Arial" w:hAnsi="Arial" w:cs="Arial"/>
                <w:b w:val="0"/>
                <w:i w:val="0"/>
                <w:sz w:val="17"/>
              </w:rPr>
              <w:t>G2UA1</w:t>
            </w:r>
          </w:p>
        </w:tc>
        <w:tc>
          <w:tcPr>
            <w:tcW w:type="dxa" w:w="2409"/>
          </w:tcPr>
          <w:p>
            <w:pPr>
              <w:spacing w:after="20" w:before="20" w:line="240" w:lineRule="auto"/>
            </w:pPr>
            <w:r/>
            <w:r>
              <w:rPr>
                <w:rFonts w:ascii="Arial" w:hAnsi="Arial" w:cs="Arial"/>
                <w:b w:val="0"/>
                <w:i w:val="0"/>
                <w:sz w:val="17"/>
              </w:rPr>
              <w:t>EXW deviation ≤ 30% or justified</w:t>
            </w:r>
          </w:p>
        </w:tc>
        <w:tc>
          <w:tcPr>
            <w:tcW w:type="dxa" w:w="2409"/>
          </w:tcPr>
          <w:p>
            <w:pPr>
              <w:spacing w:after="20" w:before="20" w:line="240" w:lineRule="auto"/>
            </w:pPr>
            <w:r/>
            <w:r>
              <w:rPr>
                <w:rFonts w:ascii="Arial" w:hAnsi="Arial" w:cs="Arial"/>
                <w:b w:val="0"/>
                <w:i w:val="0"/>
                <w:sz w:val="17"/>
              </w:rPr>
              <w:t>Price Check (A2)</w:t>
            </w:r>
          </w:p>
        </w:tc>
        <w:tc>
          <w:tcPr>
            <w:tcW w:type="dxa" w:w="2409"/>
          </w:tcPr>
          <w:p>
            <w:pPr>
              <w:spacing w:after="20" w:before="20" w:line="240" w:lineRule="auto"/>
            </w:pPr>
            <w:r/>
            <w:r>
              <w:rPr>
                <w:rFonts w:ascii="Arial" w:hAnsi="Arial" w:cs="Arial"/>
                <w:b w:val="0"/>
                <w:i w:val="0"/>
                <w:sz w:val="17"/>
              </w:rPr>
              <w:t>Block / require justification</w:t>
            </w:r>
          </w:p>
        </w:tc>
      </w:tr>
      <w:tr>
        <w:tc>
          <w:tcPr>
            <w:tcW w:type="dxa" w:w="2409"/>
          </w:tcPr>
          <w:p>
            <w:pPr>
              <w:spacing w:after="20" w:before="20" w:line="240" w:lineRule="auto"/>
            </w:pPr>
            <w:r/>
            <w:r>
              <w:rPr>
                <w:rFonts w:ascii="Arial" w:hAnsi="Arial" w:cs="Arial"/>
                <w:b w:val="0"/>
                <w:i w:val="0"/>
                <w:sz w:val="17"/>
              </w:rPr>
              <w:t>G2U2</w:t>
            </w:r>
          </w:p>
        </w:tc>
        <w:tc>
          <w:tcPr>
            <w:tcW w:type="dxa" w:w="2409"/>
          </w:tcPr>
          <w:p>
            <w:pPr>
              <w:spacing w:after="20" w:before="20" w:line="240" w:lineRule="auto"/>
            </w:pPr>
            <w:r/>
            <w:r>
              <w:rPr>
                <w:rFonts w:ascii="Arial" w:hAnsi="Arial" w:cs="Arial"/>
                <w:b w:val="0"/>
                <w:i w:val="0"/>
                <w:sz w:val="17"/>
              </w:rPr>
              <w:t>Route Oracle validation</w:t>
            </w:r>
          </w:p>
        </w:tc>
        <w:tc>
          <w:tcPr>
            <w:tcW w:type="dxa" w:w="2409"/>
          </w:tcPr>
          <w:p>
            <w:pPr>
              <w:spacing w:after="20" w:before="20" w:line="240" w:lineRule="auto"/>
            </w:pPr>
            <w:r/>
            <w:r>
              <w:rPr>
                <w:rFonts w:ascii="Arial" w:hAnsi="Arial" w:cs="Arial"/>
                <w:b w:val="0"/>
                <w:i w:val="0"/>
                <w:sz w:val="17"/>
              </w:rPr>
              <w:t>Route Oracle (A2)</w:t>
            </w:r>
          </w:p>
        </w:tc>
        <w:tc>
          <w:tcPr>
            <w:tcW w:type="dxa" w:w="2409"/>
          </w:tcPr>
          <w:p>
            <w:pPr>
              <w:spacing w:after="20" w:before="20" w:line="240" w:lineRule="auto"/>
            </w:pPr>
            <w:r/>
            <w:r>
              <w:rPr>
                <w:rFonts w:ascii="Arial" w:hAnsi="Arial" w:cs="Arial"/>
                <w:b w:val="0"/>
                <w:i w:val="0"/>
                <w:sz w:val="17"/>
              </w:rPr>
              <w:t>Reject route</w:t>
            </w:r>
          </w:p>
        </w:tc>
      </w:tr>
      <w:tr>
        <w:tc>
          <w:tcPr>
            <w:tcW w:type="dxa" w:w="2409"/>
          </w:tcPr>
          <w:p>
            <w:pPr>
              <w:spacing w:after="20" w:before="20" w:line="240" w:lineRule="auto"/>
            </w:pPr>
            <w:r/>
            <w:r>
              <w:rPr>
                <w:rFonts w:ascii="Arial" w:hAnsi="Arial" w:cs="Arial"/>
                <w:b w:val="0"/>
                <w:i w:val="0"/>
                <w:sz w:val="17"/>
              </w:rPr>
              <w:t>G2U3</w:t>
            </w:r>
          </w:p>
        </w:tc>
        <w:tc>
          <w:tcPr>
            <w:tcW w:type="dxa" w:w="2409"/>
          </w:tcPr>
          <w:p>
            <w:pPr>
              <w:spacing w:after="20" w:before="20" w:line="240" w:lineRule="auto"/>
            </w:pPr>
            <w:r/>
            <w:r>
              <w:rPr>
                <w:rFonts w:ascii="Arial" w:hAnsi="Arial" w:cs="Arial"/>
                <w:b w:val="0"/>
                <w:i w:val="0"/>
                <w:sz w:val="17"/>
              </w:rPr>
              <w:t>Carrier sanctions screening</w:t>
            </w:r>
          </w:p>
        </w:tc>
        <w:tc>
          <w:tcPr>
            <w:tcW w:type="dxa" w:w="2409"/>
          </w:tcPr>
          <w:p>
            <w:pPr>
              <w:spacing w:after="20" w:before="20" w:line="240" w:lineRule="auto"/>
            </w:pPr>
            <w:r/>
            <w:r>
              <w:rPr>
                <w:rFonts w:ascii="Arial" w:hAnsi="Arial" w:cs="Arial"/>
                <w:b w:val="0"/>
                <w:i w:val="0"/>
                <w:sz w:val="17"/>
              </w:rPr>
              <w:t>Compliance Validator</w:t>
            </w:r>
          </w:p>
        </w:tc>
        <w:tc>
          <w:tcPr>
            <w:tcW w:type="dxa" w:w="2409"/>
          </w:tcPr>
          <w:p>
            <w:pPr>
              <w:spacing w:after="20" w:before="20" w:line="240" w:lineRule="auto"/>
            </w:pPr>
            <w:r/>
            <w:r>
              <w:rPr>
                <w:rFonts w:ascii="Arial" w:hAnsi="Arial" w:cs="Arial"/>
                <w:b w:val="0"/>
                <w:i w:val="0"/>
                <w:sz w:val="17"/>
              </w:rPr>
              <w:t>Block carrier</w:t>
            </w:r>
          </w:p>
        </w:tc>
      </w:tr>
      <w:tr>
        <w:tc>
          <w:tcPr>
            <w:tcW w:type="dxa" w:w="2409"/>
          </w:tcPr>
          <w:p>
            <w:pPr>
              <w:spacing w:after="20" w:before="20" w:line="240" w:lineRule="auto"/>
            </w:pPr>
            <w:r/>
            <w:r>
              <w:rPr>
                <w:rFonts w:ascii="Arial" w:hAnsi="Arial" w:cs="Arial"/>
                <w:b w:val="0"/>
                <w:i w:val="0"/>
                <w:sz w:val="17"/>
              </w:rPr>
              <w:t>G2U3b</w:t>
            </w:r>
          </w:p>
        </w:tc>
        <w:tc>
          <w:tcPr>
            <w:tcW w:type="dxa" w:w="2409"/>
          </w:tcPr>
          <w:p>
            <w:pPr>
              <w:spacing w:after="20" w:before="20" w:line="240" w:lineRule="auto"/>
            </w:pPr>
            <w:r/>
            <w:r>
              <w:rPr>
                <w:rFonts w:ascii="Arial" w:hAnsi="Arial" w:cs="Arial"/>
                <w:b w:val="0"/>
                <w:i w:val="0"/>
                <w:sz w:val="17"/>
              </w:rPr>
              <w:t>Carrier risk score ≥ 40</w:t>
            </w:r>
          </w:p>
        </w:tc>
        <w:tc>
          <w:tcPr>
            <w:tcW w:type="dxa" w:w="2409"/>
          </w:tcPr>
          <w:p>
            <w:pPr>
              <w:spacing w:after="20" w:before="20" w:line="240" w:lineRule="auto"/>
            </w:pPr>
            <w:r/>
            <w:r>
              <w:rPr>
                <w:rFonts w:ascii="Arial" w:hAnsi="Arial" w:cs="Arial"/>
                <w:b w:val="0"/>
                <w:i w:val="0"/>
                <w:sz w:val="17"/>
              </w:rPr>
              <w:t>Risk Radar (A2)</w:t>
            </w:r>
          </w:p>
        </w:tc>
        <w:tc>
          <w:tcPr>
            <w:tcW w:type="dxa" w:w="2409"/>
          </w:tcPr>
          <w:p>
            <w:pPr>
              <w:spacing w:after="20" w:before="20" w:line="240" w:lineRule="auto"/>
            </w:pPr>
            <w:r/>
            <w:r>
              <w:rPr>
                <w:rFonts w:ascii="Arial" w:hAnsi="Arial" w:cs="Arial"/>
                <w:b w:val="0"/>
                <w:i w:val="0"/>
                <w:sz w:val="17"/>
              </w:rPr>
              <w:t>Block / warn</w:t>
            </w:r>
          </w:p>
        </w:tc>
      </w:tr>
      <w:tr>
        <w:tc>
          <w:tcPr>
            <w:tcW w:type="dxa" w:w="2409"/>
          </w:tcPr>
          <w:p>
            <w:pPr>
              <w:spacing w:after="20" w:before="20" w:line="240" w:lineRule="auto"/>
            </w:pPr>
            <w:r/>
            <w:r>
              <w:rPr>
                <w:rFonts w:ascii="Arial" w:hAnsi="Arial" w:cs="Arial"/>
                <w:b w:val="0"/>
                <w:i w:val="0"/>
                <w:sz w:val="17"/>
              </w:rPr>
              <w:t>G2U4</w:t>
            </w:r>
          </w:p>
        </w:tc>
        <w:tc>
          <w:tcPr>
            <w:tcW w:type="dxa" w:w="2409"/>
          </w:tcPr>
          <w:p>
            <w:pPr>
              <w:spacing w:after="20" w:before="20" w:line="240" w:lineRule="auto"/>
            </w:pPr>
            <w:r/>
            <w:r>
              <w:rPr>
                <w:rFonts w:ascii="Arial" w:hAnsi="Arial" w:cs="Arial"/>
                <w:b w:val="0"/>
                <w:i w:val="0"/>
                <w:sz w:val="17"/>
              </w:rPr>
              <w:t>Pricing within market bands (±30%)</w:t>
            </w:r>
          </w:p>
        </w:tc>
        <w:tc>
          <w:tcPr>
            <w:tcW w:type="dxa" w:w="2409"/>
          </w:tcPr>
          <w:p>
            <w:pPr>
              <w:spacing w:after="20" w:before="20" w:line="240" w:lineRule="auto"/>
            </w:pPr>
            <w:r/>
            <w:r>
              <w:rPr>
                <w:rFonts w:ascii="Arial" w:hAnsi="Arial" w:cs="Arial"/>
                <w:b w:val="0"/>
                <w:i w:val="0"/>
                <w:sz w:val="17"/>
              </w:rPr>
              <w:t>Pricing Dynamics (A2)</w:t>
            </w:r>
          </w:p>
        </w:tc>
        <w:tc>
          <w:tcPr>
            <w:tcW w:type="dxa" w:w="2409"/>
          </w:tcPr>
          <w:p>
            <w:pPr>
              <w:spacing w:after="20" w:before="20" w:line="240" w:lineRule="auto"/>
            </w:pPr>
            <w:r/>
            <w:r>
              <w:rPr>
                <w:rFonts w:ascii="Arial" w:hAnsi="Arial" w:cs="Arial"/>
                <w:b w:val="0"/>
                <w:i w:val="0"/>
                <w:sz w:val="17"/>
              </w:rPr>
              <w:t>Flag for review</w:t>
            </w:r>
          </w:p>
        </w:tc>
      </w:tr>
      <w:tr>
        <w:tc>
          <w:tcPr>
            <w:tcW w:type="dxa" w:w="2409"/>
          </w:tcPr>
          <w:p>
            <w:pPr>
              <w:spacing w:after="20" w:before="20" w:line="240" w:lineRule="auto"/>
            </w:pPr>
            <w:r/>
            <w:r>
              <w:rPr>
                <w:rFonts w:ascii="Arial" w:hAnsi="Arial" w:cs="Arial"/>
                <w:b w:val="0"/>
                <w:i w:val="0"/>
                <w:sz w:val="17"/>
              </w:rPr>
              <w:t>G2U5</w:t>
            </w:r>
          </w:p>
        </w:tc>
        <w:tc>
          <w:tcPr>
            <w:tcW w:type="dxa" w:w="2409"/>
          </w:tcPr>
          <w:p>
            <w:pPr>
              <w:spacing w:after="20" w:before="20" w:line="240" w:lineRule="auto"/>
            </w:pPr>
            <w:r/>
            <w:r>
              <w:rPr>
                <w:rFonts w:ascii="Arial" w:hAnsi="Arial" w:cs="Arial"/>
                <w:b w:val="0"/>
                <w:i w:val="0"/>
                <w:sz w:val="17"/>
              </w:rPr>
              <w:t>Contingency route if primary risk &gt; 0.3</w:t>
            </w:r>
          </w:p>
        </w:tc>
        <w:tc>
          <w:tcPr>
            <w:tcW w:type="dxa" w:w="2409"/>
          </w:tcPr>
          <w:p>
            <w:pPr>
              <w:spacing w:after="20" w:before="20" w:line="240" w:lineRule="auto"/>
            </w:pPr>
            <w:r/>
            <w:r>
              <w:rPr>
                <w:rFonts w:ascii="Arial" w:hAnsi="Arial" w:cs="Arial"/>
                <w:b w:val="0"/>
                <w:i w:val="0"/>
                <w:sz w:val="17"/>
              </w:rPr>
              <w:t>Risk Radar (A2)</w:t>
            </w:r>
          </w:p>
        </w:tc>
        <w:tc>
          <w:tcPr>
            <w:tcW w:type="dxa" w:w="2409"/>
          </w:tcPr>
          <w:p>
            <w:pPr>
              <w:spacing w:after="20" w:before="20" w:line="240" w:lineRule="auto"/>
            </w:pPr>
            <w:r/>
            <w:r>
              <w:rPr>
                <w:rFonts w:ascii="Arial" w:hAnsi="Arial" w:cs="Arial"/>
                <w:b w:val="0"/>
                <w:i w:val="0"/>
                <w:sz w:val="17"/>
              </w:rPr>
              <w:t>Require contingency</w:t>
            </w:r>
          </w:p>
        </w:tc>
      </w:tr>
      <w:tr>
        <w:tc>
          <w:tcPr>
            <w:tcW w:type="dxa" w:w="2409"/>
          </w:tcPr>
          <w:p>
            <w:pPr>
              <w:spacing w:after="20" w:before="20" w:line="240" w:lineRule="auto"/>
            </w:pPr>
            <w:r/>
            <w:r>
              <w:rPr>
                <w:rFonts w:ascii="Arial" w:hAnsi="Arial" w:cs="Arial"/>
                <w:b w:val="0"/>
                <w:i w:val="0"/>
                <w:sz w:val="17"/>
              </w:rPr>
              <w:t>G2U6</w:t>
            </w:r>
          </w:p>
        </w:tc>
        <w:tc>
          <w:tcPr>
            <w:tcW w:type="dxa" w:w="2409"/>
          </w:tcPr>
          <w:p>
            <w:pPr>
              <w:spacing w:after="20" w:before="20" w:line="240" w:lineRule="auto"/>
            </w:pPr>
            <w:r/>
            <w:r>
              <w:rPr>
                <w:rFonts w:ascii="Arial" w:hAnsi="Arial" w:cs="Arial"/>
                <w:b w:val="0"/>
                <w:i w:val="0"/>
                <w:sz w:val="17"/>
              </w:rPr>
              <w:t>Autonegotiation parameters within policy</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Reject autoaccept</w:t>
            </w:r>
          </w:p>
        </w:tc>
      </w:tr>
      <w:tr>
        <w:tc>
          <w:tcPr>
            <w:tcW w:type="dxa" w:w="2409"/>
          </w:tcPr>
          <w:p>
            <w:pPr>
              <w:spacing w:after="20" w:before="20" w:line="240" w:lineRule="auto"/>
            </w:pPr>
            <w:r/>
            <w:r>
              <w:rPr>
                <w:rFonts w:ascii="Arial" w:hAnsi="Arial" w:cs="Arial"/>
                <w:b w:val="0"/>
                <w:i w:val="0"/>
                <w:sz w:val="17"/>
              </w:rPr>
              <w:t>G2U7</w:t>
            </w:r>
          </w:p>
        </w:tc>
        <w:tc>
          <w:tcPr>
            <w:tcW w:type="dxa" w:w="2409"/>
          </w:tcPr>
          <w:p>
            <w:pPr>
              <w:spacing w:after="20" w:before="20" w:line="240" w:lineRule="auto"/>
            </w:pPr>
            <w:r/>
            <w:r>
              <w:rPr>
                <w:rFonts w:ascii="Arial" w:hAnsi="Arial" w:cs="Arial"/>
                <w:b w:val="0"/>
                <w:i w:val="0"/>
                <w:sz w:val="17"/>
              </w:rPr>
              <w:t>Carbon calculation valid</w:t>
            </w:r>
          </w:p>
        </w:tc>
        <w:tc>
          <w:tcPr>
            <w:tcW w:type="dxa" w:w="2409"/>
          </w:tcPr>
          <w:p>
            <w:pPr>
              <w:spacing w:after="20" w:before="20" w:line="240" w:lineRule="auto"/>
            </w:pPr>
            <w:r/>
            <w:r>
              <w:rPr>
                <w:rFonts w:ascii="Arial" w:hAnsi="Arial" w:cs="Arial"/>
                <w:b w:val="0"/>
                <w:i w:val="0"/>
                <w:sz w:val="17"/>
              </w:rPr>
              <w:t>Sustainability Scorer (A1)</w:t>
            </w:r>
          </w:p>
        </w:tc>
        <w:tc>
          <w:tcPr>
            <w:tcW w:type="dxa" w:w="2409"/>
          </w:tcPr>
          <w:p>
            <w:pPr>
              <w:spacing w:after="20" w:before="20" w:line="240" w:lineRule="auto"/>
            </w:pPr>
            <w:r/>
            <w:r>
              <w:rPr>
                <w:rFonts w:ascii="Arial" w:hAnsi="Arial" w:cs="Arial"/>
                <w:b w:val="0"/>
                <w:i w:val="0"/>
                <w:sz w:val="17"/>
              </w:rPr>
              <w:t>Flag correction</w:t>
            </w:r>
          </w:p>
        </w:tc>
      </w:tr>
      <w:tr>
        <w:tc>
          <w:tcPr>
            <w:tcW w:type="dxa" w:w="2409"/>
          </w:tcPr>
          <w:p>
            <w:pPr>
              <w:spacing w:after="20" w:before="20" w:line="240" w:lineRule="auto"/>
            </w:pPr>
            <w:r/>
            <w:r>
              <w:rPr>
                <w:rFonts w:ascii="Arial" w:hAnsi="Arial" w:cs="Arial"/>
                <w:b w:val="0"/>
                <w:i w:val="0"/>
                <w:sz w:val="17"/>
              </w:rPr>
              <w:t>G2U8</w:t>
            </w:r>
          </w:p>
        </w:tc>
        <w:tc>
          <w:tcPr>
            <w:tcW w:type="dxa" w:w="2409"/>
          </w:tcPr>
          <w:p>
            <w:pPr>
              <w:spacing w:after="20" w:before="20" w:line="240" w:lineRule="auto"/>
            </w:pPr>
            <w:r/>
            <w:r>
              <w:rPr>
                <w:rFonts w:ascii="Arial" w:hAnsi="Arial" w:cs="Arial"/>
                <w:b w:val="0"/>
                <w:i w:val="0"/>
                <w:sz w:val="17"/>
              </w:rPr>
              <w:t>Disruption monitoring active</w:t>
            </w:r>
          </w:p>
        </w:tc>
        <w:tc>
          <w:tcPr>
            <w:tcW w:type="dxa" w:w="2409"/>
          </w:tcPr>
          <w:p>
            <w:pPr>
              <w:spacing w:after="20" w:before="20" w:line="240" w:lineRule="auto"/>
            </w:pPr>
            <w:r/>
            <w:r>
              <w:rPr>
                <w:rFonts w:ascii="Arial" w:hAnsi="Arial" w:cs="Arial"/>
                <w:b w:val="0"/>
                <w:i w:val="0"/>
                <w:sz w:val="17"/>
              </w:rPr>
              <w:t>Risk Radar (A2)</w:t>
            </w:r>
          </w:p>
        </w:tc>
        <w:tc>
          <w:tcPr>
            <w:tcW w:type="dxa" w:w="2409"/>
          </w:tcPr>
          <w:p>
            <w:pPr>
              <w:spacing w:after="20" w:before="20" w:line="240" w:lineRule="auto"/>
            </w:pPr>
            <w:r/>
            <w:r>
              <w:rPr>
                <w:rFonts w:ascii="Arial" w:hAnsi="Arial" w:cs="Arial"/>
                <w:b w:val="0"/>
                <w:i w:val="0"/>
                <w:sz w:val="17"/>
              </w:rPr>
              <w:t>Degrade to static quote</w:t>
            </w:r>
          </w:p>
        </w:tc>
      </w:tr>
      <w:tr>
        <w:tc>
          <w:tcPr>
            <w:tcW w:type="dxa" w:w="2409"/>
          </w:tcPr>
          <w:p>
            <w:pPr>
              <w:spacing w:after="20" w:before="20" w:line="240" w:lineRule="auto"/>
            </w:pPr>
            <w:r/>
            <w:r>
              <w:rPr>
                <w:rFonts w:ascii="Arial" w:hAnsi="Arial" w:cs="Arial"/>
                <w:b w:val="0"/>
                <w:i w:val="0"/>
                <w:sz w:val="17"/>
              </w:rPr>
              <w:t>G2U9</w:t>
            </w:r>
          </w:p>
        </w:tc>
        <w:tc>
          <w:tcPr>
            <w:tcW w:type="dxa" w:w="2409"/>
          </w:tcPr>
          <w:p>
            <w:pPr>
              <w:spacing w:after="20" w:before="20" w:line="240" w:lineRule="auto"/>
            </w:pPr>
            <w:r/>
            <w:r>
              <w:rPr>
                <w:rFonts w:ascii="Arial" w:hAnsi="Arial" w:cs="Arial"/>
                <w:b w:val="0"/>
                <w:i w:val="0"/>
                <w:sz w:val="17"/>
              </w:rPr>
              <w:t>Freeze decision logged</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Cannot proceed</w:t>
            </w:r>
          </w:p>
        </w:tc>
      </w:tr>
      <w:tr>
        <w:tc>
          <w:tcPr>
            <w:tcW w:type="dxa" w:w="2409"/>
          </w:tcPr>
          <w:p>
            <w:pPr>
              <w:spacing w:after="20" w:before="20" w:line="240" w:lineRule="auto"/>
            </w:pPr>
            <w:r/>
            <w:r>
              <w:rPr>
                <w:rFonts w:ascii="Arial" w:hAnsi="Arial" w:cs="Arial"/>
                <w:b w:val="0"/>
                <w:i w:val="0"/>
                <w:sz w:val="17"/>
              </w:rPr>
              <w:t>G2U10</w:t>
            </w:r>
          </w:p>
        </w:tc>
        <w:tc>
          <w:tcPr>
            <w:tcW w:type="dxa" w:w="2409"/>
          </w:tcPr>
          <w:p>
            <w:pPr>
              <w:spacing w:after="20" w:before="20" w:line="240" w:lineRule="auto"/>
            </w:pPr>
            <w:r/>
            <w:r>
              <w:rPr>
                <w:rFonts w:ascii="Arial" w:hAnsi="Arial" w:cs="Arial"/>
                <w:b w:val="0"/>
                <w:i w:val="0"/>
                <w:sz w:val="17"/>
              </w:rPr>
              <w:t>Palletisation feasible</w:t>
            </w:r>
          </w:p>
        </w:tc>
        <w:tc>
          <w:tcPr>
            <w:tcW w:type="dxa" w:w="2409"/>
          </w:tcPr>
          <w:p>
            <w:pPr>
              <w:spacing w:after="20" w:before="20" w:line="240" w:lineRule="auto"/>
            </w:pPr>
            <w:r/>
            <w:r>
              <w:rPr>
                <w:rFonts w:ascii="Arial" w:hAnsi="Arial" w:cs="Arial"/>
                <w:b w:val="0"/>
                <w:i w:val="0"/>
                <w:sz w:val="17"/>
              </w:rPr>
              <w:t>Packing Solver (A2)</w:t>
            </w:r>
          </w:p>
        </w:tc>
        <w:tc>
          <w:tcPr>
            <w:tcW w:type="dxa" w:w="2409"/>
          </w:tcPr>
          <w:p>
            <w:pPr>
              <w:spacing w:after="20" w:before="20" w:line="240" w:lineRule="auto"/>
            </w:pPr>
            <w:r/>
            <w:r>
              <w:rPr>
                <w:rFonts w:ascii="Arial" w:hAnsi="Arial" w:cs="Arial"/>
                <w:b w:val="0"/>
                <w:i w:val="0"/>
                <w:sz w:val="17"/>
              </w:rPr>
              <w:t>Require manual adjustment</w:t>
            </w:r>
          </w:p>
        </w:tc>
      </w:tr>
      <w:tr>
        <w:tc>
          <w:tcPr>
            <w:tcW w:type="dxa" w:w="2409"/>
          </w:tcPr>
          <w:p>
            <w:pPr>
              <w:spacing w:after="20" w:before="20" w:line="240" w:lineRule="auto"/>
            </w:pPr>
            <w:r/>
            <w:r>
              <w:rPr>
                <w:rFonts w:ascii="Arial" w:hAnsi="Arial" w:cs="Arial"/>
                <w:b w:val="0"/>
                <w:i w:val="0"/>
                <w:sz w:val="17"/>
              </w:rPr>
              <w:t>G2U11</w:t>
            </w:r>
          </w:p>
        </w:tc>
        <w:tc>
          <w:tcPr>
            <w:tcW w:type="dxa" w:w="2409"/>
          </w:tcPr>
          <w:p>
            <w:pPr>
              <w:spacing w:after="20" w:before="20" w:line="240" w:lineRule="auto"/>
            </w:pPr>
            <w:r/>
            <w:r>
              <w:rPr>
                <w:rFonts w:ascii="Arial" w:hAnsi="Arial" w:cs="Arial"/>
                <w:b w:val="0"/>
                <w:i w:val="0"/>
                <w:sz w:val="17"/>
              </w:rPr>
              <w:t>Container type legal for commodity</w:t>
            </w:r>
          </w:p>
        </w:tc>
        <w:tc>
          <w:tcPr>
            <w:tcW w:type="dxa" w:w="2409"/>
          </w:tcPr>
          <w:p>
            <w:pPr>
              <w:spacing w:after="20" w:before="20" w:line="240" w:lineRule="auto"/>
            </w:pPr>
            <w:r/>
            <w:r>
              <w:rPr>
                <w:rFonts w:ascii="Arial" w:hAnsi="Arial" w:cs="Arial"/>
                <w:b w:val="0"/>
                <w:i w:val="0"/>
                <w:sz w:val="17"/>
              </w:rPr>
              <w:t>WasmEdge</w:t>
            </w:r>
          </w:p>
        </w:tc>
        <w:tc>
          <w:tcPr>
            <w:tcW w:type="dxa" w:w="2409"/>
          </w:tcPr>
          <w:p>
            <w:pPr>
              <w:spacing w:after="20" w:before="20" w:line="240" w:lineRule="auto"/>
            </w:pPr>
            <w:r/>
            <w:r>
              <w:rPr>
                <w:rFonts w:ascii="Arial" w:hAnsi="Arial" w:cs="Arial"/>
                <w:b w:val="0"/>
                <w:i w:val="0"/>
                <w:sz w:val="17"/>
              </w:rPr>
              <w:t>Block illegal container</w:t>
            </w:r>
          </w:p>
        </w:tc>
      </w:tr>
      <w:tr>
        <w:tc>
          <w:tcPr>
            <w:tcW w:type="dxa" w:w="2409"/>
          </w:tcPr>
          <w:p>
            <w:pPr>
              <w:spacing w:after="20" w:before="20" w:line="240" w:lineRule="auto"/>
            </w:pPr>
            <w:r/>
            <w:r>
              <w:rPr>
                <w:rFonts w:ascii="Arial" w:hAnsi="Arial" w:cs="Arial"/>
                <w:b w:val="0"/>
                <w:i w:val="0"/>
                <w:sz w:val="17"/>
              </w:rPr>
              <w:t>G2U12</w:t>
            </w:r>
          </w:p>
        </w:tc>
        <w:tc>
          <w:tcPr>
            <w:tcW w:type="dxa" w:w="2409"/>
          </w:tcPr>
          <w:p>
            <w:pPr>
              <w:spacing w:after="20" w:before="20" w:line="240" w:lineRule="auto"/>
            </w:pPr>
            <w:r/>
            <w:r>
              <w:rPr>
                <w:rFonts w:ascii="Arial" w:hAnsi="Arial" w:cs="Arial"/>
                <w:b w:val="0"/>
                <w:i w:val="0"/>
                <w:sz w:val="17"/>
              </w:rPr>
              <w:t>Lot mixing allowed by importing country</w:t>
            </w:r>
          </w:p>
        </w:tc>
        <w:tc>
          <w:tcPr>
            <w:tcW w:type="dxa" w:w="2409"/>
          </w:tcPr>
          <w:p>
            <w:pPr>
              <w:spacing w:after="20" w:before="20" w:line="240" w:lineRule="auto"/>
            </w:pPr>
            <w:r/>
            <w:r>
              <w:rPr>
                <w:rFonts w:ascii="Arial" w:hAnsi="Arial" w:cs="Arial"/>
                <w:b w:val="0"/>
                <w:i w:val="0"/>
                <w:sz w:val="17"/>
              </w:rPr>
              <w:t>HF (A2)</w:t>
            </w:r>
          </w:p>
        </w:tc>
        <w:tc>
          <w:tcPr>
            <w:tcW w:type="dxa" w:w="2409"/>
          </w:tcPr>
          <w:p>
            <w:pPr>
              <w:spacing w:after="20" w:before="20" w:line="240" w:lineRule="auto"/>
            </w:pPr>
            <w:r/>
            <w:r>
              <w:rPr>
                <w:rFonts w:ascii="Arial" w:hAnsi="Arial" w:cs="Arial"/>
                <w:b w:val="0"/>
                <w:i w:val="0"/>
                <w:sz w:val="17"/>
              </w:rPr>
              <w:t>Require waiver</w:t>
            </w:r>
          </w:p>
        </w:tc>
      </w:tr>
      <w:tr>
        <w:tc>
          <w:tcPr>
            <w:tcW w:type="dxa" w:w="2409"/>
          </w:tcPr>
          <w:p>
            <w:pPr>
              <w:spacing w:after="20" w:before="20" w:line="240" w:lineRule="auto"/>
            </w:pPr>
            <w:r/>
            <w:r>
              <w:rPr>
                <w:rFonts w:ascii="Arial" w:hAnsi="Arial" w:cs="Arial"/>
                <w:b w:val="0"/>
                <w:i w:val="0"/>
                <w:sz w:val="17"/>
              </w:rPr>
              <w:t>G2U13</w:t>
            </w:r>
          </w:p>
        </w:tc>
        <w:tc>
          <w:tcPr>
            <w:tcW w:type="dxa" w:w="2409"/>
          </w:tcPr>
          <w:p>
            <w:pPr>
              <w:spacing w:after="20" w:before="20" w:line="240" w:lineRule="auto"/>
            </w:pPr>
            <w:r/>
            <w:r>
              <w:rPr>
                <w:rFonts w:ascii="Arial" w:hAnsi="Arial" w:cs="Arial"/>
                <w:b w:val="0"/>
                <w:i w:val="0"/>
                <w:sz w:val="17"/>
              </w:rPr>
              <w:t>Gross weight within limit</w:t>
            </w:r>
          </w:p>
        </w:tc>
        <w:tc>
          <w:tcPr>
            <w:tcW w:type="dxa" w:w="2409"/>
          </w:tcPr>
          <w:p>
            <w:pPr>
              <w:spacing w:after="20" w:before="20" w:line="240" w:lineRule="auto"/>
            </w:pPr>
            <w:r/>
            <w:r>
              <w:rPr>
                <w:rFonts w:ascii="Arial" w:hAnsi="Arial" w:cs="Arial"/>
                <w:b w:val="0"/>
                <w:i w:val="0"/>
                <w:sz w:val="17"/>
              </w:rPr>
              <w:t>OR-Tools</w:t>
            </w:r>
          </w:p>
        </w:tc>
        <w:tc>
          <w:tcPr>
            <w:tcW w:type="dxa" w:w="2409"/>
          </w:tcPr>
          <w:p>
            <w:pPr>
              <w:spacing w:after="20" w:before="20" w:line="240" w:lineRule="auto"/>
            </w:pPr>
            <w:r/>
            <w:r>
              <w:rPr>
                <w:rFonts w:ascii="Arial" w:hAnsi="Arial" w:cs="Arial"/>
                <w:b w:val="0"/>
                <w:i w:val="0"/>
                <w:sz w:val="17"/>
              </w:rPr>
              <w:t>Reconfigure load</w:t>
            </w:r>
          </w:p>
        </w:tc>
      </w:tr>
      <w:tr>
        <w:tc>
          <w:tcPr>
            <w:tcW w:type="dxa" w:w="2409"/>
          </w:tcPr>
          <w:p>
            <w:pPr>
              <w:spacing w:after="20" w:before="20" w:line="240" w:lineRule="auto"/>
            </w:pPr>
            <w:r/>
            <w:r>
              <w:rPr>
                <w:rFonts w:ascii="Arial" w:hAnsi="Arial" w:cs="Arial"/>
                <w:b w:val="0"/>
                <w:i w:val="0"/>
                <w:sz w:val="17"/>
              </w:rPr>
              <w:t>G2U14</w:t>
            </w:r>
          </w:p>
        </w:tc>
        <w:tc>
          <w:tcPr>
            <w:tcW w:type="dxa" w:w="2409"/>
          </w:tcPr>
          <w:p>
            <w:pPr>
              <w:spacing w:after="20" w:before="20" w:line="240" w:lineRule="auto"/>
            </w:pPr>
            <w:r/>
            <w:r>
              <w:rPr>
                <w:rFonts w:ascii="Arial" w:hAnsi="Arial" w:cs="Arial"/>
                <w:b w:val="0"/>
                <w:i w:val="0"/>
                <w:sz w:val="17"/>
              </w:rPr>
              <w:t>Packing plan lock creates Loom hash</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Cannot lock</w:t>
            </w:r>
          </w:p>
        </w:tc>
      </w:tr>
      <w:tr>
        <w:tc>
          <w:tcPr>
            <w:tcW w:type="dxa" w:w="2409"/>
          </w:tcPr>
          <w:p>
            <w:pPr>
              <w:spacing w:after="20" w:before="20" w:line="240" w:lineRule="auto"/>
            </w:pPr>
            <w:r/>
            <w:r>
              <w:rPr>
                <w:rFonts w:ascii="Arial" w:hAnsi="Arial" w:cs="Arial"/>
                <w:b w:val="0"/>
                <w:i w:val="0"/>
                <w:sz w:val="17"/>
              </w:rPr>
              <w:t>G2U15</w:t>
            </w:r>
          </w:p>
        </w:tc>
        <w:tc>
          <w:tcPr>
            <w:tcW w:type="dxa" w:w="2409"/>
          </w:tcPr>
          <w:p>
            <w:pPr>
              <w:spacing w:after="20" w:before="20" w:line="240" w:lineRule="auto"/>
            </w:pPr>
            <w:r/>
            <w:r>
              <w:rPr>
                <w:rFonts w:ascii="Arial" w:hAnsi="Arial" w:cs="Arial"/>
                <w:b w:val="0"/>
                <w:i w:val="0"/>
                <w:sz w:val="17"/>
              </w:rPr>
              <w:t>AI loading instructions generated (advisory)</w:t>
            </w:r>
          </w:p>
        </w:tc>
        <w:tc>
          <w:tcPr>
            <w:tcW w:type="dxa" w:w="2409"/>
          </w:tcPr>
          <w:p>
            <w:pPr>
              <w:spacing w:after="20" w:before="20" w:line="240" w:lineRule="auto"/>
            </w:pPr>
            <w:r/>
            <w:r>
              <w:rPr>
                <w:rFonts w:ascii="Arial" w:hAnsi="Arial" w:cs="Arial"/>
                <w:b w:val="0"/>
                <w:i w:val="0"/>
                <w:sz w:val="17"/>
              </w:rPr>
              <w:t>Groq (A1)</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G2U16</w:t>
            </w:r>
          </w:p>
        </w:tc>
        <w:tc>
          <w:tcPr>
            <w:tcW w:type="dxa" w:w="2409"/>
          </w:tcPr>
          <w:p>
            <w:pPr>
              <w:spacing w:after="20" w:before="20" w:line="240" w:lineRule="auto"/>
            </w:pPr>
            <w:r/>
            <w:r>
              <w:rPr>
                <w:rFonts w:ascii="Arial" w:hAnsi="Arial" w:cs="Arial"/>
                <w:b w:val="0"/>
                <w:i w:val="0"/>
                <w:sz w:val="17"/>
              </w:rPr>
              <w:t>Logistics bundle optimiser recommendation (advisory)</w:t>
            </w:r>
          </w:p>
        </w:tc>
        <w:tc>
          <w:tcPr>
            <w:tcW w:type="dxa" w:w="2409"/>
          </w:tcPr>
          <w:p>
            <w:pPr>
              <w:spacing w:after="20" w:before="20" w:line="240" w:lineRule="auto"/>
            </w:pPr>
            <w:r/>
            <w:r>
              <w:rPr>
                <w:rFonts w:ascii="Arial" w:hAnsi="Arial" w:cs="Arial"/>
                <w:b w:val="0"/>
                <w:i w:val="0"/>
                <w:sz w:val="17"/>
              </w:rPr>
              <w:t>Bundle Optimiser (A2)</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G2U17</w:t>
            </w:r>
          </w:p>
        </w:tc>
        <w:tc>
          <w:tcPr>
            <w:tcW w:type="dxa" w:w="2409"/>
          </w:tcPr>
          <w:p>
            <w:pPr>
              <w:spacing w:after="20" w:before="20" w:line="240" w:lineRule="auto"/>
            </w:pPr>
            <w:r/>
            <w:r>
              <w:rPr>
                <w:rFonts w:ascii="Arial" w:hAnsi="Arial" w:cs="Arial"/>
                <w:b w:val="0"/>
                <w:i w:val="0"/>
                <w:sz w:val="17"/>
              </w:rPr>
              <w:t>Loading origin specified</w:t>
            </w:r>
          </w:p>
        </w:tc>
        <w:tc>
          <w:tcPr>
            <w:tcW w:type="dxa" w:w="2409"/>
          </w:tcPr>
          <w:p>
            <w:pPr>
              <w:spacing w:after="20" w:before="20" w:line="240" w:lineRule="auto"/>
            </w:pPr>
            <w:r/>
            <w:r>
              <w:rPr>
                <w:rFonts w:ascii="Arial" w:hAnsi="Arial" w:cs="Arial"/>
                <w:b w:val="0"/>
                <w:i w:val="0"/>
                <w:sz w:val="17"/>
              </w:rPr>
              <w:t>Governor (WasmEdge)</w:t>
            </w:r>
          </w:p>
        </w:tc>
        <w:tc>
          <w:tcPr>
            <w:tcW w:type="dxa" w:w="2409"/>
          </w:tcPr>
          <w:p>
            <w:pPr>
              <w:spacing w:after="20" w:before="20" w:line="240" w:lineRule="auto"/>
            </w:pPr>
            <w:r/>
            <w:r>
              <w:rPr>
                <w:rFonts w:ascii="Arial" w:hAnsi="Arial" w:cs="Arial"/>
                <w:b w:val="0"/>
                <w:i w:val="0"/>
                <w:sz w:val="17"/>
              </w:rPr>
              <w:t>Block quote submission</w:t>
            </w:r>
          </w:p>
        </w:tc>
      </w:tr>
      <w:tr>
        <w:tc>
          <w:tcPr>
            <w:tcW w:type="dxa" w:w="2409"/>
          </w:tcPr>
          <w:p>
            <w:pPr>
              <w:spacing w:after="20" w:before="20" w:line="240" w:lineRule="auto"/>
            </w:pPr>
            <w:r/>
            <w:r>
              <w:rPr>
                <w:rFonts w:ascii="Arial" w:hAnsi="Arial" w:cs="Arial"/>
                <w:b w:val="0"/>
                <w:i w:val="0"/>
                <w:sz w:val="17"/>
              </w:rPr>
              <w:t>G2U18</w:t>
            </w:r>
          </w:p>
        </w:tc>
        <w:tc>
          <w:tcPr>
            <w:tcW w:type="dxa" w:w="2409"/>
          </w:tcPr>
          <w:p>
            <w:pPr>
              <w:spacing w:after="20" w:before="20" w:line="240" w:lineRule="auto"/>
            </w:pPr>
            <w:r/>
            <w:r>
              <w:rPr>
                <w:rFonts w:ascii="Arial" w:hAnsi="Arial" w:cs="Arial"/>
                <w:b w:val="0"/>
                <w:i w:val="0"/>
                <w:sz w:val="17"/>
              </w:rPr>
              <w:t>Mandatory logistics costs present (per Incoterm)</w:t>
            </w:r>
          </w:p>
        </w:tc>
        <w:tc>
          <w:tcPr>
            <w:tcW w:type="dxa" w:w="2409"/>
          </w:tcPr>
          <w:p>
            <w:pPr>
              <w:spacing w:after="20" w:before="20" w:line="240" w:lineRule="auto"/>
            </w:pPr>
            <w:r/>
            <w:r>
              <w:rPr>
                <w:rFonts w:ascii="Arial" w:hAnsi="Arial" w:cs="Arial"/>
                <w:b w:val="0"/>
                <w:i w:val="0"/>
                <w:sz w:val="17"/>
              </w:rPr>
              <w:t>Governor (WasmEdge)</w:t>
            </w:r>
          </w:p>
        </w:tc>
        <w:tc>
          <w:tcPr>
            <w:tcW w:type="dxa" w:w="2409"/>
          </w:tcPr>
          <w:p>
            <w:pPr>
              <w:spacing w:after="20" w:before="20" w:line="240" w:lineRule="auto"/>
            </w:pPr>
            <w:r/>
            <w:r>
              <w:rPr>
                <w:rFonts w:ascii="Arial" w:hAnsi="Arial" w:cs="Arial"/>
                <w:b w:val="0"/>
                <w:i w:val="0"/>
                <w:sz w:val="17"/>
              </w:rPr>
              <w:t>Block; show missing</w:t>
            </w:r>
          </w:p>
        </w:tc>
      </w:tr>
      <w:tr>
        <w:tc>
          <w:tcPr>
            <w:tcW w:type="dxa" w:w="2409"/>
          </w:tcPr>
          <w:p>
            <w:pPr>
              <w:spacing w:after="20" w:before="20" w:line="240" w:lineRule="auto"/>
            </w:pPr>
            <w:r/>
            <w:r>
              <w:rPr>
                <w:rFonts w:ascii="Arial" w:hAnsi="Arial" w:cs="Arial"/>
                <w:b w:val="0"/>
                <w:i w:val="0"/>
                <w:sz w:val="17"/>
              </w:rPr>
              <w:t>G2U19</w:t>
            </w:r>
          </w:p>
        </w:tc>
        <w:tc>
          <w:tcPr>
            <w:tcW w:type="dxa" w:w="2409"/>
          </w:tcPr>
          <w:p>
            <w:pPr>
              <w:spacing w:after="20" w:before="20" w:line="240" w:lineRule="auto"/>
            </w:pPr>
            <w:r/>
            <w:r>
              <w:rPr>
                <w:rFonts w:ascii="Arial" w:hAnsi="Arial" w:cs="Arial"/>
                <w:b w:val="0"/>
                <w:i w:val="0"/>
                <w:sz w:val="17"/>
              </w:rPr>
              <w:t>Alternative delivery port valid</w:t>
            </w:r>
          </w:p>
        </w:tc>
        <w:tc>
          <w:tcPr>
            <w:tcW w:type="dxa" w:w="2409"/>
          </w:tcPr>
          <w:p>
            <w:pPr>
              <w:spacing w:after="20" w:before="20" w:line="240" w:lineRule="auto"/>
            </w:pPr>
            <w:r/>
            <w:r>
              <w:rPr>
                <w:rFonts w:ascii="Arial" w:hAnsi="Arial" w:cs="Arial"/>
                <w:b w:val="0"/>
                <w:i w:val="0"/>
                <w:sz w:val="17"/>
              </w:rPr>
              <w:t>Governor (WasmEdge)</w:t>
            </w:r>
          </w:p>
        </w:tc>
        <w:tc>
          <w:tcPr>
            <w:tcW w:type="dxa" w:w="2409"/>
          </w:tcPr>
          <w:p>
            <w:pPr>
              <w:spacing w:after="20" w:before="20" w:line="240" w:lineRule="auto"/>
            </w:pPr>
            <w:r/>
            <w:r>
              <w:rPr>
                <w:rFonts w:ascii="Arial" w:hAnsi="Arial" w:cs="Arial"/>
                <w:b w:val="0"/>
                <w:i w:val="0"/>
                <w:sz w:val="17"/>
              </w:rPr>
              <w:t>Block; reject option</w:t>
            </w:r>
          </w:p>
        </w:tc>
      </w:tr>
      <w:tr>
        <w:tc>
          <w:tcPr>
            <w:tcW w:type="dxa" w:w="2409"/>
          </w:tcPr>
          <w:p>
            <w:pPr>
              <w:spacing w:after="20" w:before="20" w:line="240" w:lineRule="auto"/>
            </w:pPr>
            <w:r/>
            <w:r>
              <w:rPr>
                <w:rFonts w:ascii="Arial" w:hAnsi="Arial" w:cs="Arial"/>
                <w:b w:val="0"/>
                <w:i w:val="0"/>
                <w:sz w:val="17"/>
              </w:rPr>
              <w:t>G2U20</w:t>
            </w:r>
          </w:p>
        </w:tc>
        <w:tc>
          <w:tcPr>
            <w:tcW w:type="dxa" w:w="2409"/>
          </w:tcPr>
          <w:p>
            <w:pPr>
              <w:spacing w:after="20" w:before="20" w:line="240" w:lineRule="auto"/>
            </w:pPr>
            <w:r/>
            <w:r>
              <w:rPr>
                <w:rFonts w:ascii="Arial" w:hAnsi="Arial" w:cs="Arial"/>
                <w:b w:val="0"/>
                <w:i w:val="0"/>
                <w:sz w:val="17"/>
              </w:rPr>
              <w:t>Multi-shipment schedule valid (each shipment)</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Block; require correction</w:t>
            </w:r>
          </w:p>
        </w:tc>
      </w:tr>
      <w:tr>
        <w:tc>
          <w:tcPr>
            <w:tcW w:type="dxa" w:w="2409"/>
          </w:tcPr>
          <w:p>
            <w:pPr>
              <w:spacing w:after="20" w:before="20" w:line="240" w:lineRule="auto"/>
            </w:pPr>
            <w:r/>
            <w:r>
              <w:rPr>
                <w:rFonts w:ascii="Arial" w:hAnsi="Arial" w:cs="Arial"/>
                <w:b w:val="0"/>
                <w:i w:val="0"/>
                <w:sz w:val="17"/>
              </w:rPr>
              <w:t>G2U21</w:t>
            </w:r>
          </w:p>
        </w:tc>
        <w:tc>
          <w:tcPr>
            <w:tcW w:type="dxa" w:w="2409"/>
          </w:tcPr>
          <w:p>
            <w:pPr>
              <w:spacing w:after="20" w:before="20" w:line="240" w:lineRule="auto"/>
            </w:pPr>
            <w:r/>
            <w:r>
              <w:rPr>
                <w:rFonts w:ascii="Arial" w:hAnsi="Arial" w:cs="Arial"/>
                <w:b w:val="0"/>
                <w:i w:val="0"/>
                <w:sz w:val="17"/>
              </w:rPr>
              <w:t>Price visibility respected</w:t>
            </w:r>
          </w:p>
        </w:tc>
        <w:tc>
          <w:tcPr>
            <w:tcW w:type="dxa" w:w="2409"/>
          </w:tcPr>
          <w:p>
            <w:pPr>
              <w:spacing w:after="20" w:before="20" w:line="240" w:lineRule="auto"/>
            </w:pPr>
            <w:r/>
            <w:r>
              <w:rPr>
                <w:rFonts w:ascii="Arial" w:hAnsi="Arial" w:cs="Arial"/>
                <w:b w:val="0"/>
                <w:i w:val="0"/>
                <w:sz w:val="17"/>
              </w:rPr>
              <w:t>Governor (OPA)</w:t>
            </w:r>
          </w:p>
        </w:tc>
        <w:tc>
          <w:tcPr>
            <w:tcW w:type="dxa" w:w="2409"/>
          </w:tcPr>
          <w:p>
            <w:pPr>
              <w:spacing w:after="20" w:before="20" w:line="240" w:lineRule="auto"/>
            </w:pPr>
            <w:r/>
            <w:r>
              <w:rPr>
                <w:rFonts w:ascii="Arial" w:hAnsi="Arial" w:cs="Arial"/>
                <w:b w:val="0"/>
                <w:i w:val="0"/>
                <w:sz w:val="17"/>
              </w:rPr>
              <w:t>Enforced at API level</w:t>
            </w:r>
          </w:p>
        </w:tc>
      </w:tr>
      <w:tr>
        <w:tc>
          <w:tcPr>
            <w:tcW w:type="dxa" w:w="2409"/>
          </w:tcPr>
          <w:p>
            <w:pPr>
              <w:spacing w:after="20" w:before="20" w:line="240" w:lineRule="auto"/>
            </w:pPr>
            <w:r/>
            <w:r>
              <w:rPr>
                <w:rFonts w:ascii="Arial" w:hAnsi="Arial" w:cs="Arial"/>
                <w:b w:val="0"/>
                <w:i w:val="0"/>
                <w:sz w:val="17"/>
              </w:rPr>
              <w:t>G2U22</w:t>
            </w:r>
          </w:p>
        </w:tc>
        <w:tc>
          <w:tcPr>
            <w:tcW w:type="dxa" w:w="2409"/>
          </w:tcPr>
          <w:p>
            <w:pPr>
              <w:spacing w:after="20" w:before="20" w:line="240" w:lineRule="auto"/>
            </w:pPr>
            <w:r/>
            <w:r>
              <w:rPr>
                <w:rFonts w:ascii="Arial" w:hAnsi="Arial" w:cs="Arial"/>
                <w:b w:val="0"/>
                <w:i w:val="0"/>
                <w:sz w:val="17"/>
              </w:rPr>
              <w:t>Selected provider has matching service_capability</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 — "[Provider X] does not offer [Service Y]"</w:t>
            </w:r>
          </w:p>
        </w:tc>
      </w:tr>
      <w:tr>
        <w:tc>
          <w:tcPr>
            <w:tcW w:type="dxa" w:w="2409"/>
          </w:tcPr>
          <w:p>
            <w:pPr>
              <w:spacing w:after="20" w:before="20" w:line="240" w:lineRule="auto"/>
            </w:pPr>
            <w:r/>
            <w:r>
              <w:rPr>
                <w:rFonts w:ascii="Arial" w:hAnsi="Arial" w:cs="Arial"/>
                <w:b w:val="0"/>
                <w:i w:val="0"/>
                <w:sz w:val="17"/>
              </w:rPr>
              <w:t>G2U23</w:t>
            </w:r>
          </w:p>
        </w:tc>
        <w:tc>
          <w:tcPr>
            <w:tcW w:type="dxa" w:w="2409"/>
          </w:tcPr>
          <w:p>
            <w:pPr>
              <w:spacing w:after="20" w:before="20" w:line="240" w:lineRule="auto"/>
            </w:pPr>
            <w:r/>
            <w:r>
              <w:rPr>
                <w:rFonts w:ascii="Arial" w:hAnsi="Arial" w:cs="Arial"/>
                <w:b w:val="0"/>
                <w:i w:val="0"/>
                <w:sz w:val="17"/>
              </w:rPr>
              <w:t>Single GTID for multiple services has all required capabilities</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 — "[Provider X] does not offer both [Service A] and [Service B]"</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15.2.3 Phase 3 Gates (Contract, Fee, Lock)</w:t>
      </w:r>
    </w:p>
    <w:p>
      <w:pPr>
        <w:spacing w:after="80" w:line="293" w:lineRule="auto"/>
        <w:jc w:val="left"/>
      </w:pPr>
      <w:r>
        <w:rPr>
          <w:rFonts w:ascii="Times New Roman" w:hAnsi="Times New Roman" w:cs="Times New Roman"/>
          <w:b w:val="0"/>
          <w:i w:val="0"/>
          <w:sz w:val="22"/>
        </w:rPr>
        <w:t>Evaluated during negotiation, contract assembly, fee payment, and the authoritative lock at which the USTN is generated (see Section 9).</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Gate</w:t>
            </w:r>
          </w:p>
        </w:tc>
        <w:tc>
          <w:tcPr>
            <w:tcW w:type="dxa" w:w="2409"/>
            <w:shd w:val="clear" w:fill="D9E2F3"/>
          </w:tcPr>
          <w:p>
            <w:pPr>
              <w:spacing w:after="20" w:before="20" w:line="240" w:lineRule="auto"/>
            </w:pPr>
            <w:r/>
            <w:r>
              <w:rPr>
                <w:rFonts w:ascii="Arial" w:hAnsi="Arial" w:cs="Arial"/>
                <w:b/>
                <w:i w:val="0"/>
                <w:sz w:val="18"/>
              </w:rPr>
              <w:t>Check</w:t>
            </w:r>
          </w:p>
        </w:tc>
        <w:tc>
          <w:tcPr>
            <w:tcW w:type="dxa" w:w="2409"/>
            <w:shd w:val="clear" w:fill="D9E2F3"/>
          </w:tcPr>
          <w:p>
            <w:pPr>
              <w:spacing w:after="20" w:before="20" w:line="240" w:lineRule="auto"/>
            </w:pPr>
            <w:r/>
            <w:r>
              <w:rPr>
                <w:rFonts w:ascii="Arial" w:hAnsi="Arial" w:cs="Arial"/>
                <w:b/>
                <w:i w:val="0"/>
                <w:sz w:val="18"/>
              </w:rPr>
              <w:t>Enforcer</w:t>
            </w:r>
          </w:p>
        </w:tc>
        <w:tc>
          <w:tcPr>
            <w:tcW w:type="dxa" w:w="2409"/>
            <w:shd w:val="clear" w:fill="D9E2F3"/>
          </w:tcPr>
          <w:p>
            <w:pPr>
              <w:spacing w:after="20" w:before="20" w:line="240" w:lineRule="auto"/>
            </w:pPr>
            <w:r/>
            <w:r>
              <w:rPr>
                <w:rFonts w:ascii="Arial" w:hAnsi="Arial" w:cs="Arial"/>
                <w:b/>
                <w:i w:val="0"/>
                <w:sz w:val="18"/>
              </w:rPr>
              <w:t>Failure Action</w:t>
            </w:r>
          </w:p>
        </w:tc>
      </w:tr>
      <w:tr>
        <w:tc>
          <w:tcPr>
            <w:tcW w:type="dxa" w:w="2409"/>
          </w:tcPr>
          <w:p>
            <w:pPr>
              <w:spacing w:after="20" w:before="20" w:line="240" w:lineRule="auto"/>
            </w:pPr>
            <w:r/>
            <w:r>
              <w:rPr>
                <w:rFonts w:ascii="Arial" w:hAnsi="Arial" w:cs="Arial"/>
                <w:b w:val="0"/>
                <w:i w:val="0"/>
                <w:sz w:val="17"/>
              </w:rPr>
              <w:t>G3U1</w:t>
            </w:r>
          </w:p>
        </w:tc>
        <w:tc>
          <w:tcPr>
            <w:tcW w:type="dxa" w:w="2409"/>
          </w:tcPr>
          <w:p>
            <w:pPr>
              <w:spacing w:after="20" w:before="20" w:line="240" w:lineRule="auto"/>
            </w:pPr>
            <w:r/>
            <w:r>
              <w:rPr>
                <w:rFonts w:ascii="Arial" w:hAnsi="Arial" w:cs="Arial"/>
                <w:b w:val="0"/>
                <w:i w:val="0"/>
                <w:sz w:val="17"/>
              </w:rPr>
              <w:t>Amendment request within allowed ranges</w:t>
            </w:r>
          </w:p>
        </w:tc>
        <w:tc>
          <w:tcPr>
            <w:tcW w:type="dxa" w:w="2409"/>
          </w:tcPr>
          <w:p>
            <w:pPr>
              <w:spacing w:after="20" w:before="20" w:line="240" w:lineRule="auto"/>
            </w:pPr>
            <w:r/>
            <w:r>
              <w:rPr>
                <w:rFonts w:ascii="Arial" w:hAnsi="Arial" w:cs="Arial"/>
                <w:b w:val="0"/>
                <w:i w:val="0"/>
                <w:sz w:val="17"/>
              </w:rPr>
              <w:t>Governor (WasmEdge)</w:t>
            </w:r>
          </w:p>
        </w:tc>
        <w:tc>
          <w:tcPr>
            <w:tcW w:type="dxa" w:w="2409"/>
          </w:tcPr>
          <w:p>
            <w:pPr>
              <w:spacing w:after="20" w:before="20" w:line="240" w:lineRule="auto"/>
            </w:pPr>
            <w:r/>
            <w:r>
              <w:rPr>
                <w:rFonts w:ascii="Arial" w:hAnsi="Arial" w:cs="Arial"/>
                <w:b w:val="0"/>
                <w:i w:val="0"/>
                <w:sz w:val="17"/>
              </w:rPr>
              <w:t>DENY</w:t>
            </w:r>
          </w:p>
        </w:tc>
      </w:tr>
      <w:tr>
        <w:tc>
          <w:tcPr>
            <w:tcW w:type="dxa" w:w="2409"/>
          </w:tcPr>
          <w:p>
            <w:pPr>
              <w:spacing w:after="20" w:before="20" w:line="240" w:lineRule="auto"/>
            </w:pPr>
            <w:r/>
            <w:r>
              <w:rPr>
                <w:rFonts w:ascii="Arial" w:hAnsi="Arial" w:cs="Arial"/>
                <w:b w:val="0"/>
                <w:i w:val="0"/>
                <w:sz w:val="17"/>
              </w:rPr>
              <w:t>G3U2</w:t>
            </w:r>
          </w:p>
        </w:tc>
        <w:tc>
          <w:tcPr>
            <w:tcW w:type="dxa" w:w="2409"/>
          </w:tcPr>
          <w:p>
            <w:pPr>
              <w:spacing w:after="20" w:before="20" w:line="240" w:lineRule="auto"/>
            </w:pPr>
            <w:r/>
            <w:r>
              <w:rPr>
                <w:rFonts w:ascii="Arial" w:hAnsi="Arial" w:cs="Arial"/>
                <w:b w:val="0"/>
                <w:i w:val="0"/>
                <w:sz w:val="17"/>
              </w:rPr>
              <w:t>Negotiation messages signed and logged</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Block progression</w:t>
            </w:r>
          </w:p>
        </w:tc>
      </w:tr>
      <w:tr>
        <w:tc>
          <w:tcPr>
            <w:tcW w:type="dxa" w:w="2409"/>
          </w:tcPr>
          <w:p>
            <w:pPr>
              <w:spacing w:after="20" w:before="20" w:line="240" w:lineRule="auto"/>
            </w:pPr>
            <w:r/>
            <w:r>
              <w:rPr>
                <w:rFonts w:ascii="Arial" w:hAnsi="Arial" w:cs="Arial"/>
                <w:b w:val="0"/>
                <w:i w:val="0"/>
                <w:sz w:val="17"/>
              </w:rPr>
              <w:t>G3U3</w:t>
            </w:r>
          </w:p>
        </w:tc>
        <w:tc>
          <w:tcPr>
            <w:tcW w:type="dxa" w:w="2409"/>
          </w:tcPr>
          <w:p>
            <w:pPr>
              <w:spacing w:after="20" w:before="20" w:line="240" w:lineRule="auto"/>
            </w:pPr>
            <w:r/>
            <w:r>
              <w:rPr>
                <w:rFonts w:ascii="Arial" w:hAnsi="Arial" w:cs="Arial"/>
                <w:b w:val="0"/>
                <w:i w:val="0"/>
                <w:sz w:val="17"/>
              </w:rPr>
              <w:t>Mutual confirmation from both parties recorded</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Cannot proceed to contract</w:t>
            </w:r>
          </w:p>
        </w:tc>
      </w:tr>
      <w:tr>
        <w:tc>
          <w:tcPr>
            <w:tcW w:type="dxa" w:w="2409"/>
          </w:tcPr>
          <w:p>
            <w:pPr>
              <w:spacing w:after="20" w:before="20" w:line="240" w:lineRule="auto"/>
            </w:pPr>
            <w:r/>
            <w:r>
              <w:rPr>
                <w:rFonts w:ascii="Arial" w:hAnsi="Arial" w:cs="Arial"/>
                <w:b w:val="0"/>
                <w:i w:val="0"/>
                <w:sz w:val="17"/>
              </w:rPr>
              <w:t>G3U4</w:t>
            </w:r>
          </w:p>
        </w:tc>
        <w:tc>
          <w:tcPr>
            <w:tcW w:type="dxa" w:w="2409"/>
          </w:tcPr>
          <w:p>
            <w:pPr>
              <w:spacing w:after="20" w:before="20" w:line="240" w:lineRule="auto"/>
            </w:pPr>
            <w:r/>
            <w:r>
              <w:rPr>
                <w:rFonts w:ascii="Arial" w:hAnsi="Arial" w:cs="Arial"/>
                <w:b w:val="0"/>
                <w:i w:val="0"/>
                <w:sz w:val="17"/>
              </w:rPr>
              <w:t>Clause Forge confidence ≥ 0.90 for critical clauses</w:t>
            </w:r>
          </w:p>
        </w:tc>
        <w:tc>
          <w:tcPr>
            <w:tcW w:type="dxa" w:w="2409"/>
          </w:tcPr>
          <w:p>
            <w:pPr>
              <w:spacing w:after="20" w:before="20" w:line="240" w:lineRule="auto"/>
            </w:pPr>
            <w:r/>
            <w:r>
              <w:rPr>
                <w:rFonts w:ascii="Arial" w:hAnsi="Arial" w:cs="Arial"/>
                <w:b w:val="0"/>
                <w:i w:val="0"/>
                <w:sz w:val="17"/>
              </w:rPr>
              <w:t>Clause Forge (A2/A3)</w:t>
            </w:r>
          </w:p>
        </w:tc>
        <w:tc>
          <w:tcPr>
            <w:tcW w:type="dxa" w:w="2409"/>
          </w:tcPr>
          <w:p>
            <w:pPr>
              <w:spacing w:after="20" w:before="20" w:line="240" w:lineRule="auto"/>
            </w:pPr>
            <w:r/>
            <w:r>
              <w:rPr>
                <w:rFonts w:ascii="Arial" w:hAnsi="Arial" w:cs="Arial"/>
                <w:b w:val="0"/>
                <w:i w:val="0"/>
                <w:sz w:val="17"/>
              </w:rPr>
              <w:t>Require human legal review</w:t>
            </w:r>
          </w:p>
        </w:tc>
      </w:tr>
      <w:tr>
        <w:tc>
          <w:tcPr>
            <w:tcW w:type="dxa" w:w="2409"/>
          </w:tcPr>
          <w:p>
            <w:pPr>
              <w:spacing w:after="20" w:before="20" w:line="240" w:lineRule="auto"/>
            </w:pPr>
            <w:r/>
            <w:r>
              <w:rPr>
                <w:rFonts w:ascii="Arial" w:hAnsi="Arial" w:cs="Arial"/>
                <w:b w:val="0"/>
                <w:i w:val="0"/>
                <w:sz w:val="17"/>
              </w:rPr>
              <w:t>G3U5</w:t>
            </w:r>
          </w:p>
        </w:tc>
        <w:tc>
          <w:tcPr>
            <w:tcW w:type="dxa" w:w="2409"/>
          </w:tcPr>
          <w:p>
            <w:pPr>
              <w:spacing w:after="20" w:before="20" w:line="240" w:lineRule="auto"/>
            </w:pPr>
            <w:r/>
            <w:r>
              <w:rPr>
                <w:rFonts w:ascii="Arial" w:hAnsi="Arial" w:cs="Arial"/>
                <w:b w:val="0"/>
                <w:i w:val="0"/>
                <w:sz w:val="17"/>
              </w:rPr>
              <w:t>Uploaded contract consistent with SGTX terms</w:t>
            </w:r>
          </w:p>
        </w:tc>
        <w:tc>
          <w:tcPr>
            <w:tcW w:type="dxa" w:w="2409"/>
          </w:tcPr>
          <w:p>
            <w:pPr>
              <w:spacing w:after="20" w:before="20" w:line="240" w:lineRule="auto"/>
            </w:pPr>
            <w:r/>
            <w:r>
              <w:rPr>
                <w:rFonts w:ascii="Arial" w:hAnsi="Arial" w:cs="Arial"/>
                <w:b w:val="0"/>
                <w:i w:val="0"/>
                <w:sz w:val="17"/>
              </w:rPr>
              <w:t>Document Authenticity (A2)</w:t>
            </w:r>
          </w:p>
        </w:tc>
        <w:tc>
          <w:tcPr>
            <w:tcW w:type="dxa" w:w="2409"/>
          </w:tcPr>
          <w:p>
            <w:pPr>
              <w:spacing w:after="20" w:before="20" w:line="240" w:lineRule="auto"/>
            </w:pPr>
            <w:r/>
            <w:r>
              <w:rPr>
                <w:rFonts w:ascii="Arial" w:hAnsi="Arial" w:cs="Arial"/>
                <w:b w:val="0"/>
                <w:i w:val="0"/>
                <w:sz w:val="17"/>
              </w:rPr>
              <w:t>Block; require addendum</w:t>
            </w:r>
          </w:p>
        </w:tc>
      </w:tr>
      <w:tr>
        <w:tc>
          <w:tcPr>
            <w:tcW w:type="dxa" w:w="2409"/>
          </w:tcPr>
          <w:p>
            <w:pPr>
              <w:spacing w:after="20" w:before="20" w:line="240" w:lineRule="auto"/>
            </w:pPr>
            <w:r/>
            <w:r>
              <w:rPr>
                <w:rFonts w:ascii="Arial" w:hAnsi="Arial" w:cs="Arial"/>
                <w:b w:val="0"/>
                <w:i w:val="0"/>
                <w:sz w:val="17"/>
              </w:rPr>
              <w:t>G3U6</w:t>
            </w:r>
          </w:p>
        </w:tc>
        <w:tc>
          <w:tcPr>
            <w:tcW w:type="dxa" w:w="2409"/>
          </w:tcPr>
          <w:p>
            <w:pPr>
              <w:spacing w:after="20" w:before="20" w:line="240" w:lineRule="auto"/>
            </w:pPr>
            <w:r/>
            <w:r>
              <w:rPr>
                <w:rFonts w:ascii="Arial" w:hAnsi="Arial" w:cs="Arial"/>
                <w:b w:val="0"/>
                <w:i w:val="0"/>
                <w:sz w:val="17"/>
              </w:rPr>
              <w:t>All mandatory logistics addenda signed</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Block lock; notify missing</w:t>
            </w:r>
          </w:p>
        </w:tc>
      </w:tr>
      <w:tr>
        <w:tc>
          <w:tcPr>
            <w:tcW w:type="dxa" w:w="2409"/>
          </w:tcPr>
          <w:p>
            <w:pPr>
              <w:spacing w:after="20" w:before="20" w:line="240" w:lineRule="auto"/>
            </w:pPr>
            <w:r/>
            <w:r>
              <w:rPr>
                <w:rFonts w:ascii="Arial" w:hAnsi="Arial" w:cs="Arial"/>
                <w:b w:val="0"/>
                <w:i w:val="0"/>
                <w:sz w:val="17"/>
              </w:rPr>
              <w:t>G3U7</w:t>
            </w:r>
          </w:p>
        </w:tc>
        <w:tc>
          <w:tcPr>
            <w:tcW w:type="dxa" w:w="2409"/>
          </w:tcPr>
          <w:p>
            <w:pPr>
              <w:spacing w:after="20" w:before="20" w:line="240" w:lineRule="auto"/>
            </w:pPr>
            <w:r/>
            <w:r>
              <w:rPr>
                <w:rFonts w:ascii="Arial" w:hAnsi="Arial" w:cs="Arial"/>
                <w:b w:val="0"/>
                <w:i w:val="0"/>
                <w:sz w:val="17"/>
              </w:rPr>
              <w:t>SGTX fee paid (single-shipment upfront; multi-shipment per-shipment)</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Cannot generate USTN</w:t>
            </w:r>
          </w:p>
        </w:tc>
      </w:tr>
      <w:tr>
        <w:tc>
          <w:tcPr>
            <w:tcW w:type="dxa" w:w="2409"/>
          </w:tcPr>
          <w:p>
            <w:pPr>
              <w:spacing w:after="20" w:before="20" w:line="240" w:lineRule="auto"/>
            </w:pPr>
            <w:r/>
            <w:r>
              <w:rPr>
                <w:rFonts w:ascii="Arial" w:hAnsi="Arial" w:cs="Arial"/>
                <w:b w:val="0"/>
                <w:i w:val="0"/>
                <w:sz w:val="17"/>
              </w:rPr>
              <w:t>G3U8</w:t>
            </w:r>
          </w:p>
        </w:tc>
        <w:tc>
          <w:tcPr>
            <w:tcW w:type="dxa" w:w="2409"/>
          </w:tcPr>
          <w:p>
            <w:pPr>
              <w:spacing w:after="20" w:before="20" w:line="240" w:lineRule="auto"/>
            </w:pPr>
            <w:r/>
            <w:r>
              <w:rPr>
                <w:rFonts w:ascii="Arial" w:hAnsi="Arial" w:cs="Arial"/>
                <w:b w:val="0"/>
                <w:i w:val="0"/>
                <w:sz w:val="17"/>
              </w:rPr>
              <w:t>Container release confirmation acknowledged</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Block milestone confirmation</w:t>
            </w:r>
          </w:p>
        </w:tc>
      </w:tr>
      <w:tr>
        <w:tc>
          <w:tcPr>
            <w:tcW w:type="dxa" w:w="2409"/>
          </w:tcPr>
          <w:p>
            <w:pPr>
              <w:spacing w:after="20" w:before="20" w:line="240" w:lineRule="auto"/>
            </w:pPr>
            <w:r/>
            <w:r>
              <w:rPr>
                <w:rFonts w:ascii="Arial" w:hAnsi="Arial" w:cs="Arial"/>
                <w:b w:val="0"/>
                <w:i w:val="0"/>
                <w:sz w:val="17"/>
              </w:rPr>
              <w:t>G3U9</w:t>
            </w:r>
          </w:p>
        </w:tc>
        <w:tc>
          <w:tcPr>
            <w:tcW w:type="dxa" w:w="2409"/>
          </w:tcPr>
          <w:p>
            <w:pPr>
              <w:spacing w:after="20" w:before="20" w:line="240" w:lineRule="auto"/>
            </w:pPr>
            <w:r/>
            <w:r>
              <w:rPr>
                <w:rFonts w:ascii="Arial" w:hAnsi="Arial" w:cs="Arial"/>
                <w:b w:val="0"/>
                <w:i w:val="0"/>
                <w:sz w:val="17"/>
              </w:rPr>
              <w:t>All signatures collected, FeeLock ACTIVE</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Cannot lock</w:t>
            </w:r>
          </w:p>
        </w:tc>
      </w:tr>
      <w:tr>
        <w:tc>
          <w:tcPr>
            <w:tcW w:type="dxa" w:w="2409"/>
          </w:tcPr>
          <w:p>
            <w:pPr>
              <w:spacing w:after="20" w:before="20" w:line="240" w:lineRule="auto"/>
            </w:pPr>
            <w:r/>
            <w:r>
              <w:rPr>
                <w:rFonts w:ascii="Arial" w:hAnsi="Arial" w:cs="Arial"/>
                <w:b w:val="0"/>
                <w:i w:val="0"/>
                <w:sz w:val="17"/>
              </w:rPr>
              <w:t>G3U12</w:t>
            </w:r>
          </w:p>
        </w:tc>
        <w:tc>
          <w:tcPr>
            <w:tcW w:type="dxa" w:w="2409"/>
          </w:tcPr>
          <w:p>
            <w:pPr>
              <w:spacing w:after="20" w:before="20" w:line="240" w:lineRule="auto"/>
            </w:pPr>
            <w:r/>
            <w:r>
              <w:rPr>
                <w:rFonts w:ascii="Arial" w:hAnsi="Arial" w:cs="Arial"/>
                <w:b w:val="0"/>
                <w:i w:val="0"/>
                <w:sz w:val="17"/>
              </w:rPr>
              <w:t>If financing_required = true: valid CFR exists</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CONDITIONAL — "Please obtain a Conditional Financing Reference (CFR) before locking."</w:t>
            </w:r>
          </w:p>
        </w:tc>
      </w:tr>
      <w:tr>
        <w:tc>
          <w:tcPr>
            <w:tcW w:type="dxa" w:w="2409"/>
          </w:tcPr>
          <w:p>
            <w:pPr>
              <w:spacing w:after="20" w:before="20" w:line="240" w:lineRule="auto"/>
            </w:pPr>
            <w:r/>
            <w:r>
              <w:rPr>
                <w:rFonts w:ascii="Arial" w:hAnsi="Arial" w:cs="Arial"/>
                <w:b w:val="0"/>
                <w:i w:val="0"/>
                <w:sz w:val="17"/>
              </w:rPr>
              <w:t>G3U13</w:t>
            </w:r>
          </w:p>
        </w:tc>
        <w:tc>
          <w:tcPr>
            <w:tcW w:type="dxa" w:w="2409"/>
          </w:tcPr>
          <w:p>
            <w:pPr>
              <w:spacing w:after="20" w:before="20" w:line="240" w:lineRule="auto"/>
            </w:pPr>
            <w:r/>
            <w:r>
              <w:rPr>
                <w:rFonts w:ascii="Arial" w:hAnsi="Arial" w:cs="Arial"/>
                <w:b w:val="0"/>
                <w:i w:val="0"/>
                <w:sz w:val="17"/>
              </w:rPr>
              <w:t>CFR issued by valid financier with matching jurisdiction/corridor coverage</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CONDITIONAL — "Selected financier does not operate in this corridor."</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15.2.4 Phase 5 Gates (Physical Execution)</w:t>
      </w:r>
    </w:p>
    <w:p>
      <w:pPr>
        <w:spacing w:after="80" w:line="293" w:lineRule="auto"/>
        <w:jc w:val="left"/>
      </w:pPr>
      <w:r>
        <w:rPr>
          <w:rFonts w:ascii="Times New Roman" w:hAnsi="Times New Roman" w:cs="Times New Roman"/>
          <w:b w:val="0"/>
          <w:i w:val="0"/>
          <w:sz w:val="22"/>
        </w:rPr>
        <w:t>Evaluated during container release, milestone confirmation, transit monitoring, and exception handling (see Section 12).</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Gate</w:t>
            </w:r>
          </w:p>
        </w:tc>
        <w:tc>
          <w:tcPr>
            <w:tcW w:type="dxa" w:w="2409"/>
            <w:shd w:val="clear" w:fill="D9E2F3"/>
          </w:tcPr>
          <w:p>
            <w:pPr>
              <w:spacing w:after="20" w:before="20" w:line="240" w:lineRule="auto"/>
            </w:pPr>
            <w:r/>
            <w:r>
              <w:rPr>
                <w:rFonts w:ascii="Arial" w:hAnsi="Arial" w:cs="Arial"/>
                <w:b/>
                <w:i w:val="0"/>
                <w:sz w:val="18"/>
              </w:rPr>
              <w:t>Check</w:t>
            </w:r>
          </w:p>
        </w:tc>
        <w:tc>
          <w:tcPr>
            <w:tcW w:type="dxa" w:w="2409"/>
            <w:shd w:val="clear" w:fill="D9E2F3"/>
          </w:tcPr>
          <w:p>
            <w:pPr>
              <w:spacing w:after="20" w:before="20" w:line="240" w:lineRule="auto"/>
            </w:pPr>
            <w:r/>
            <w:r>
              <w:rPr>
                <w:rFonts w:ascii="Arial" w:hAnsi="Arial" w:cs="Arial"/>
                <w:b/>
                <w:i w:val="0"/>
                <w:sz w:val="18"/>
              </w:rPr>
              <w:t>Enforcer</w:t>
            </w:r>
          </w:p>
        </w:tc>
        <w:tc>
          <w:tcPr>
            <w:tcW w:type="dxa" w:w="2409"/>
            <w:shd w:val="clear" w:fill="D9E2F3"/>
          </w:tcPr>
          <w:p>
            <w:pPr>
              <w:spacing w:after="20" w:before="20" w:line="240" w:lineRule="auto"/>
            </w:pPr>
            <w:r/>
            <w:r>
              <w:rPr>
                <w:rFonts w:ascii="Arial" w:hAnsi="Arial" w:cs="Arial"/>
                <w:b/>
                <w:i w:val="0"/>
                <w:sz w:val="18"/>
              </w:rPr>
              <w:t>Failure Action</w:t>
            </w:r>
          </w:p>
        </w:tc>
      </w:tr>
      <w:tr>
        <w:tc>
          <w:tcPr>
            <w:tcW w:type="dxa" w:w="2409"/>
          </w:tcPr>
          <w:p>
            <w:pPr>
              <w:spacing w:after="20" w:before="20" w:line="240" w:lineRule="auto"/>
            </w:pPr>
            <w:r/>
            <w:r>
              <w:rPr>
                <w:rFonts w:ascii="Arial" w:hAnsi="Arial" w:cs="Arial"/>
                <w:b w:val="0"/>
                <w:i w:val="0"/>
                <w:sz w:val="17"/>
              </w:rPr>
              <w:t>G5U1</w:t>
            </w:r>
          </w:p>
        </w:tc>
        <w:tc>
          <w:tcPr>
            <w:tcW w:type="dxa" w:w="2409"/>
          </w:tcPr>
          <w:p>
            <w:pPr>
              <w:spacing w:after="20" w:before="20" w:line="240" w:lineRule="auto"/>
            </w:pPr>
            <w:r/>
            <w:r>
              <w:rPr>
                <w:rFonts w:ascii="Arial" w:hAnsi="Arial" w:cs="Arial"/>
                <w:b w:val="0"/>
                <w:i w:val="0"/>
                <w:sz w:val="17"/>
              </w:rPr>
              <w:t>Multisource consensus ≥ threshold</w:t>
            </w:r>
          </w:p>
        </w:tc>
        <w:tc>
          <w:tcPr>
            <w:tcW w:type="dxa" w:w="2409"/>
          </w:tcPr>
          <w:p>
            <w:pPr>
              <w:spacing w:after="20" w:before="20" w:line="240" w:lineRule="auto"/>
            </w:pPr>
            <w:r/>
            <w:r>
              <w:rPr>
                <w:rFonts w:ascii="Arial" w:hAnsi="Arial" w:cs="Arial"/>
                <w:b w:val="0"/>
                <w:i w:val="0"/>
                <w:sz w:val="17"/>
              </w:rPr>
              <w:t>Milestone Verifier (A2/A3)</w:t>
            </w:r>
          </w:p>
        </w:tc>
        <w:tc>
          <w:tcPr>
            <w:tcW w:type="dxa" w:w="2409"/>
          </w:tcPr>
          <w:p>
            <w:pPr>
              <w:spacing w:after="20" w:before="20" w:line="240" w:lineRule="auto"/>
            </w:pPr>
            <w:r/>
            <w:r>
              <w:rPr>
                <w:rFonts w:ascii="Arial" w:hAnsi="Arial" w:cs="Arial"/>
                <w:b w:val="0"/>
                <w:i w:val="0"/>
                <w:sz w:val="17"/>
              </w:rPr>
              <w:t>Degrade to human verification</w:t>
            </w:r>
          </w:p>
        </w:tc>
      </w:tr>
      <w:tr>
        <w:tc>
          <w:tcPr>
            <w:tcW w:type="dxa" w:w="2409"/>
          </w:tcPr>
          <w:p>
            <w:pPr>
              <w:spacing w:after="20" w:before="20" w:line="240" w:lineRule="auto"/>
            </w:pPr>
            <w:r/>
            <w:r>
              <w:rPr>
                <w:rFonts w:ascii="Arial" w:hAnsi="Arial" w:cs="Arial"/>
                <w:b w:val="0"/>
                <w:i w:val="0"/>
                <w:sz w:val="17"/>
              </w:rPr>
              <w:t>G5U2</w:t>
            </w:r>
          </w:p>
        </w:tc>
        <w:tc>
          <w:tcPr>
            <w:tcW w:type="dxa" w:w="2409"/>
          </w:tcPr>
          <w:p>
            <w:pPr>
              <w:spacing w:after="20" w:before="20" w:line="240" w:lineRule="auto"/>
            </w:pPr>
            <w:r/>
            <w:r>
              <w:rPr>
                <w:rFonts w:ascii="Arial" w:hAnsi="Arial" w:cs="Arial"/>
                <w:b w:val="0"/>
                <w:i w:val="0"/>
                <w:sz w:val="17"/>
              </w:rPr>
              <w:t>Byzantine fault tolerance met</w:t>
            </w:r>
          </w:p>
        </w:tc>
        <w:tc>
          <w:tcPr>
            <w:tcW w:type="dxa" w:w="2409"/>
          </w:tcPr>
          <w:p>
            <w:pPr>
              <w:spacing w:after="20" w:before="20" w:line="240" w:lineRule="auto"/>
            </w:pPr>
            <w:r/>
            <w:r>
              <w:rPr>
                <w:rFonts w:ascii="Arial" w:hAnsi="Arial" w:cs="Arial"/>
                <w:b w:val="0"/>
                <w:i w:val="0"/>
                <w:sz w:val="17"/>
              </w:rPr>
              <w:t>Milestone Verifier (A3)</w:t>
            </w:r>
          </w:p>
        </w:tc>
        <w:tc>
          <w:tcPr>
            <w:tcW w:type="dxa" w:w="2409"/>
          </w:tcPr>
          <w:p>
            <w:pPr>
              <w:spacing w:after="20" w:before="20" w:line="240" w:lineRule="auto"/>
            </w:pPr>
            <w:r/>
            <w:r>
              <w:rPr>
                <w:rFonts w:ascii="Arial" w:hAnsi="Arial" w:cs="Arial"/>
                <w:b w:val="0"/>
                <w:i w:val="0"/>
                <w:sz w:val="17"/>
              </w:rPr>
              <w:t>Escalate to investigation</w:t>
            </w:r>
          </w:p>
        </w:tc>
      </w:tr>
      <w:tr>
        <w:tc>
          <w:tcPr>
            <w:tcW w:type="dxa" w:w="2409"/>
          </w:tcPr>
          <w:p>
            <w:pPr>
              <w:spacing w:after="20" w:before="20" w:line="240" w:lineRule="auto"/>
            </w:pPr>
            <w:r/>
            <w:r>
              <w:rPr>
                <w:rFonts w:ascii="Arial" w:hAnsi="Arial" w:cs="Arial"/>
                <w:b w:val="0"/>
                <w:i w:val="0"/>
                <w:sz w:val="17"/>
              </w:rPr>
              <w:t>G5U3</w:t>
            </w:r>
          </w:p>
        </w:tc>
        <w:tc>
          <w:tcPr>
            <w:tcW w:type="dxa" w:w="2409"/>
          </w:tcPr>
          <w:p>
            <w:pPr>
              <w:spacing w:after="20" w:before="20" w:line="240" w:lineRule="auto"/>
            </w:pPr>
            <w:r/>
            <w:r>
              <w:rPr>
                <w:rFonts w:ascii="Arial" w:hAnsi="Arial" w:cs="Arial"/>
                <w:b w:val="0"/>
                <w:i w:val="0"/>
                <w:sz w:val="17"/>
              </w:rPr>
              <w:t>Document verification confidence ≥ 0.95</w:t>
            </w:r>
          </w:p>
        </w:tc>
        <w:tc>
          <w:tcPr>
            <w:tcW w:type="dxa" w:w="2409"/>
          </w:tcPr>
          <w:p>
            <w:pPr>
              <w:spacing w:after="20" w:before="20" w:line="240" w:lineRule="auto"/>
            </w:pPr>
            <w:r/>
            <w:r>
              <w:rPr>
                <w:rFonts w:ascii="Arial" w:hAnsi="Arial" w:cs="Arial"/>
                <w:b w:val="0"/>
                <w:i w:val="0"/>
                <w:sz w:val="17"/>
              </w:rPr>
              <w:t>Vision Verifier (A2)</w:t>
            </w:r>
          </w:p>
        </w:tc>
        <w:tc>
          <w:tcPr>
            <w:tcW w:type="dxa" w:w="2409"/>
          </w:tcPr>
          <w:p>
            <w:pPr>
              <w:spacing w:after="20" w:before="20" w:line="240" w:lineRule="auto"/>
            </w:pPr>
            <w:r/>
            <w:r>
              <w:rPr>
                <w:rFonts w:ascii="Arial" w:hAnsi="Arial" w:cs="Arial"/>
                <w:b w:val="0"/>
                <w:i w:val="0"/>
                <w:sz w:val="17"/>
              </w:rPr>
              <w:t>Require human review</w:t>
            </w:r>
          </w:p>
        </w:tc>
      </w:tr>
      <w:tr>
        <w:tc>
          <w:tcPr>
            <w:tcW w:type="dxa" w:w="2409"/>
          </w:tcPr>
          <w:p>
            <w:pPr>
              <w:spacing w:after="20" w:before="20" w:line="240" w:lineRule="auto"/>
            </w:pPr>
            <w:r/>
            <w:r>
              <w:rPr>
                <w:rFonts w:ascii="Arial" w:hAnsi="Arial" w:cs="Arial"/>
                <w:b w:val="0"/>
                <w:i w:val="0"/>
                <w:sz w:val="17"/>
              </w:rPr>
              <w:t>G5U4</w:t>
            </w:r>
          </w:p>
        </w:tc>
        <w:tc>
          <w:tcPr>
            <w:tcW w:type="dxa" w:w="2409"/>
          </w:tcPr>
          <w:p>
            <w:pPr>
              <w:spacing w:after="20" w:before="20" w:line="240" w:lineRule="auto"/>
            </w:pPr>
            <w:r/>
            <w:r>
              <w:rPr>
                <w:rFonts w:ascii="Arial" w:hAnsi="Arial" w:cs="Arial"/>
                <w:b w:val="0"/>
                <w:i w:val="0"/>
                <w:sz w:val="17"/>
              </w:rPr>
              <w:t>Disruption prediction confidence ≥ 0.70</w:t>
            </w:r>
          </w:p>
        </w:tc>
        <w:tc>
          <w:tcPr>
            <w:tcW w:type="dxa" w:w="2409"/>
          </w:tcPr>
          <w:p>
            <w:pPr>
              <w:spacing w:after="20" w:before="20" w:line="240" w:lineRule="auto"/>
            </w:pPr>
            <w:r/>
            <w:r>
              <w:rPr>
                <w:rFonts w:ascii="Arial" w:hAnsi="Arial" w:cs="Arial"/>
                <w:b w:val="0"/>
                <w:i w:val="0"/>
                <w:sz w:val="17"/>
              </w:rPr>
              <w:t>Disruption Predictor (A2)</w:t>
            </w:r>
          </w:p>
        </w:tc>
        <w:tc>
          <w:tcPr>
            <w:tcW w:type="dxa" w:w="2409"/>
          </w:tcPr>
          <w:p>
            <w:pPr>
              <w:spacing w:after="20" w:before="20" w:line="240" w:lineRule="auto"/>
            </w:pPr>
            <w:r/>
            <w:r>
              <w:rPr>
                <w:rFonts w:ascii="Arial" w:hAnsi="Arial" w:cs="Arial"/>
                <w:b w:val="0"/>
                <w:i w:val="0"/>
                <w:sz w:val="17"/>
              </w:rPr>
              <w:t>Alert only, no auto-action</w:t>
            </w:r>
          </w:p>
        </w:tc>
      </w:tr>
      <w:tr>
        <w:tc>
          <w:tcPr>
            <w:tcW w:type="dxa" w:w="2409"/>
          </w:tcPr>
          <w:p>
            <w:pPr>
              <w:spacing w:after="20" w:before="20" w:line="240" w:lineRule="auto"/>
            </w:pPr>
            <w:r/>
            <w:r>
              <w:rPr>
                <w:rFonts w:ascii="Arial" w:hAnsi="Arial" w:cs="Arial"/>
                <w:b w:val="0"/>
                <w:i w:val="0"/>
                <w:sz w:val="17"/>
              </w:rPr>
              <w:t>G5U5</w:t>
            </w:r>
          </w:p>
        </w:tc>
        <w:tc>
          <w:tcPr>
            <w:tcW w:type="dxa" w:w="2409"/>
          </w:tcPr>
          <w:p>
            <w:pPr>
              <w:spacing w:after="20" w:before="20" w:line="240" w:lineRule="auto"/>
            </w:pPr>
            <w:r/>
            <w:r>
              <w:rPr>
                <w:rFonts w:ascii="Arial" w:hAnsi="Arial" w:cs="Arial"/>
                <w:b w:val="0"/>
                <w:i w:val="0"/>
                <w:sz w:val="17"/>
              </w:rPr>
              <w:t>Recovery action cost ≤ threshold</w:t>
            </w:r>
          </w:p>
        </w:tc>
        <w:tc>
          <w:tcPr>
            <w:tcW w:type="dxa" w:w="2409"/>
          </w:tcPr>
          <w:p>
            <w:pPr>
              <w:spacing w:after="20" w:before="20" w:line="240" w:lineRule="auto"/>
            </w:pPr>
            <w:r/>
            <w:r>
              <w:rPr>
                <w:rFonts w:ascii="Arial" w:hAnsi="Arial" w:cs="Arial"/>
                <w:b w:val="0"/>
                <w:i w:val="0"/>
                <w:sz w:val="17"/>
              </w:rPr>
              <w:t>Route Optimiser (A2/A3)</w:t>
            </w:r>
          </w:p>
        </w:tc>
        <w:tc>
          <w:tcPr>
            <w:tcW w:type="dxa" w:w="2409"/>
          </w:tcPr>
          <w:p>
            <w:pPr>
              <w:spacing w:after="20" w:before="20" w:line="240" w:lineRule="auto"/>
            </w:pPr>
            <w:r/>
            <w:r>
              <w:rPr>
                <w:rFonts w:ascii="Arial" w:hAnsi="Arial" w:cs="Arial"/>
                <w:b w:val="0"/>
                <w:i w:val="0"/>
                <w:sz w:val="17"/>
              </w:rPr>
              <w:t>Require human approval</w:t>
            </w:r>
          </w:p>
        </w:tc>
      </w:tr>
      <w:tr>
        <w:tc>
          <w:tcPr>
            <w:tcW w:type="dxa" w:w="2409"/>
          </w:tcPr>
          <w:p>
            <w:pPr>
              <w:spacing w:after="20" w:before="20" w:line="240" w:lineRule="auto"/>
            </w:pPr>
            <w:r/>
            <w:r>
              <w:rPr>
                <w:rFonts w:ascii="Arial" w:hAnsi="Arial" w:cs="Arial"/>
                <w:b w:val="0"/>
                <w:i w:val="0"/>
                <w:sz w:val="17"/>
              </w:rPr>
              <w:t>G5U6</w:t>
            </w:r>
          </w:p>
        </w:tc>
        <w:tc>
          <w:tcPr>
            <w:tcW w:type="dxa" w:w="2409"/>
          </w:tcPr>
          <w:p>
            <w:pPr>
              <w:spacing w:after="20" w:before="20" w:line="240" w:lineRule="auto"/>
            </w:pPr>
            <w:r/>
            <w:r>
              <w:rPr>
                <w:rFonts w:ascii="Arial" w:hAnsi="Arial" w:cs="Arial"/>
                <w:b w:val="0"/>
                <w:i w:val="0"/>
                <w:sz w:val="17"/>
              </w:rPr>
              <w:t>Smart container decision within safety parameters</w:t>
            </w:r>
          </w:p>
        </w:tc>
        <w:tc>
          <w:tcPr>
            <w:tcW w:type="dxa" w:w="2409"/>
          </w:tcPr>
          <w:p>
            <w:pPr>
              <w:spacing w:after="20" w:before="20" w:line="240" w:lineRule="auto"/>
            </w:pPr>
            <w:r/>
            <w:r>
              <w:rPr>
                <w:rFonts w:ascii="Arial" w:hAnsi="Arial" w:cs="Arial"/>
                <w:b w:val="0"/>
                <w:i w:val="0"/>
                <w:sz w:val="17"/>
              </w:rPr>
              <w:t>Smart Container Agent (A2)</w:t>
            </w:r>
          </w:p>
        </w:tc>
        <w:tc>
          <w:tcPr>
            <w:tcW w:type="dxa" w:w="2409"/>
          </w:tcPr>
          <w:p>
            <w:pPr>
              <w:spacing w:after="20" w:before="20" w:line="240" w:lineRule="auto"/>
            </w:pPr>
            <w:r/>
            <w:r>
              <w:rPr>
                <w:rFonts w:ascii="Arial" w:hAnsi="Arial" w:cs="Arial"/>
                <w:b w:val="0"/>
                <w:i w:val="0"/>
                <w:sz w:val="17"/>
              </w:rPr>
              <w:t>Override with conservative default</w:t>
            </w:r>
          </w:p>
        </w:tc>
      </w:tr>
      <w:tr>
        <w:tc>
          <w:tcPr>
            <w:tcW w:type="dxa" w:w="2409"/>
          </w:tcPr>
          <w:p>
            <w:pPr>
              <w:spacing w:after="20" w:before="20" w:line="240" w:lineRule="auto"/>
            </w:pPr>
            <w:r/>
            <w:r>
              <w:rPr>
                <w:rFonts w:ascii="Arial" w:hAnsi="Arial" w:cs="Arial"/>
                <w:b w:val="0"/>
                <w:i w:val="0"/>
                <w:sz w:val="17"/>
              </w:rPr>
              <w:t>G5U7</w:t>
            </w:r>
          </w:p>
        </w:tc>
        <w:tc>
          <w:tcPr>
            <w:tcW w:type="dxa" w:w="2409"/>
          </w:tcPr>
          <w:p>
            <w:pPr>
              <w:spacing w:after="20" w:before="20" w:line="240" w:lineRule="auto"/>
            </w:pPr>
            <w:r/>
            <w:r>
              <w:rPr>
                <w:rFonts w:ascii="Arial" w:hAnsi="Arial" w:cs="Arial"/>
                <w:b w:val="0"/>
                <w:i w:val="0"/>
                <w:sz w:val="17"/>
              </w:rPr>
              <w:t>FeeLock release condition verified by ≥ 3 sources</w:t>
            </w:r>
          </w:p>
        </w:tc>
        <w:tc>
          <w:tcPr>
            <w:tcW w:type="dxa" w:w="2409"/>
          </w:tcPr>
          <w:p>
            <w:pPr>
              <w:spacing w:after="20" w:before="20" w:line="240" w:lineRule="auto"/>
            </w:pPr>
            <w:r/>
            <w:r>
              <w:rPr>
                <w:rFonts w:ascii="Arial" w:hAnsi="Arial" w:cs="Arial"/>
                <w:b w:val="0"/>
                <w:i w:val="0"/>
                <w:sz w:val="17"/>
              </w:rPr>
              <w:t>FeeLock Releaser (A2/A3)</w:t>
            </w:r>
          </w:p>
        </w:tc>
        <w:tc>
          <w:tcPr>
            <w:tcW w:type="dxa" w:w="2409"/>
          </w:tcPr>
          <w:p>
            <w:pPr>
              <w:spacing w:after="20" w:before="20" w:line="240" w:lineRule="auto"/>
            </w:pPr>
            <w:r/>
            <w:r>
              <w:rPr>
                <w:rFonts w:ascii="Arial" w:hAnsi="Arial" w:cs="Arial"/>
                <w:b w:val="0"/>
                <w:i w:val="0"/>
                <w:sz w:val="17"/>
              </w:rPr>
              <w:t>Hold release, escalate</w:t>
            </w:r>
          </w:p>
        </w:tc>
      </w:tr>
      <w:tr>
        <w:tc>
          <w:tcPr>
            <w:tcW w:type="dxa" w:w="2409"/>
          </w:tcPr>
          <w:p>
            <w:pPr>
              <w:spacing w:after="20" w:before="20" w:line="240" w:lineRule="auto"/>
            </w:pPr>
            <w:r/>
            <w:r>
              <w:rPr>
                <w:rFonts w:ascii="Arial" w:hAnsi="Arial" w:cs="Arial"/>
                <w:b w:val="0"/>
                <w:i w:val="0"/>
                <w:sz w:val="17"/>
              </w:rPr>
              <w:t>G5U8</w:t>
            </w:r>
          </w:p>
        </w:tc>
        <w:tc>
          <w:tcPr>
            <w:tcW w:type="dxa" w:w="2409"/>
          </w:tcPr>
          <w:p>
            <w:pPr>
              <w:spacing w:after="20" w:before="20" w:line="240" w:lineRule="auto"/>
            </w:pPr>
            <w:r/>
            <w:r>
              <w:rPr>
                <w:rFonts w:ascii="Arial" w:hAnsi="Arial" w:cs="Arial"/>
                <w:b w:val="0"/>
                <w:i w:val="0"/>
                <w:sz w:val="17"/>
              </w:rPr>
              <w:t>All sensor data sources logged via Loom</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Block milestone confirmation</w:t>
            </w:r>
          </w:p>
        </w:tc>
      </w:tr>
      <w:tr>
        <w:tc>
          <w:tcPr>
            <w:tcW w:type="dxa" w:w="2409"/>
          </w:tcPr>
          <w:p>
            <w:pPr>
              <w:spacing w:after="20" w:before="20" w:line="240" w:lineRule="auto"/>
            </w:pPr>
            <w:r/>
            <w:r>
              <w:rPr>
                <w:rFonts w:ascii="Arial" w:hAnsi="Arial" w:cs="Arial"/>
                <w:b w:val="0"/>
                <w:i w:val="0"/>
                <w:sz w:val="17"/>
              </w:rPr>
              <w:t>G5U9</w:t>
            </w:r>
          </w:p>
        </w:tc>
        <w:tc>
          <w:tcPr>
            <w:tcW w:type="dxa" w:w="2409"/>
          </w:tcPr>
          <w:p>
            <w:pPr>
              <w:spacing w:after="20" w:before="20" w:line="240" w:lineRule="auto"/>
            </w:pPr>
            <w:r/>
            <w:r>
              <w:rPr>
                <w:rFonts w:ascii="Arial" w:hAnsi="Arial" w:cs="Arial"/>
                <w:b w:val="0"/>
                <w:i w:val="0"/>
                <w:sz w:val="17"/>
              </w:rPr>
              <w:t>Pallet scan events originate from authenticated device</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Reject scan, log anomaly</w:t>
            </w:r>
          </w:p>
        </w:tc>
      </w:tr>
      <w:tr>
        <w:tc>
          <w:tcPr>
            <w:tcW w:type="dxa" w:w="2409"/>
          </w:tcPr>
          <w:p>
            <w:pPr>
              <w:spacing w:after="20" w:before="20" w:line="240" w:lineRule="auto"/>
            </w:pPr>
            <w:r/>
            <w:r>
              <w:rPr>
                <w:rFonts w:ascii="Arial" w:hAnsi="Arial" w:cs="Arial"/>
                <w:b w:val="0"/>
                <w:i w:val="0"/>
                <w:sz w:val="17"/>
              </w:rPr>
              <w:t>G5UA1</w:t>
            </w:r>
          </w:p>
        </w:tc>
        <w:tc>
          <w:tcPr>
            <w:tcW w:type="dxa" w:w="2409"/>
          </w:tcPr>
          <w:p>
            <w:pPr>
              <w:spacing w:after="20" w:before="20" w:line="240" w:lineRule="auto"/>
            </w:pPr>
            <w:r/>
            <w:r>
              <w:rPr>
                <w:rFonts w:ascii="Arial" w:hAnsi="Arial" w:cs="Arial"/>
                <w:b w:val="0"/>
                <w:i w:val="0"/>
                <w:sz w:val="17"/>
              </w:rPr>
              <w:t>Document mismatch flagged</w:t>
            </w:r>
          </w:p>
        </w:tc>
        <w:tc>
          <w:tcPr>
            <w:tcW w:type="dxa" w:w="2409"/>
          </w:tcPr>
          <w:p>
            <w:pPr>
              <w:spacing w:after="20" w:before="20" w:line="240" w:lineRule="auto"/>
            </w:pPr>
            <w:r/>
            <w:r>
              <w:rPr>
                <w:rFonts w:ascii="Arial" w:hAnsi="Arial" w:cs="Arial"/>
                <w:b w:val="0"/>
                <w:i w:val="0"/>
                <w:sz w:val="17"/>
              </w:rPr>
              <w:t>Doc Validator (A2)</w:t>
            </w:r>
          </w:p>
        </w:tc>
        <w:tc>
          <w:tcPr>
            <w:tcW w:type="dxa" w:w="2409"/>
          </w:tcPr>
          <w:p>
            <w:pPr>
              <w:spacing w:after="20" w:before="20" w:line="240" w:lineRule="auto"/>
            </w:pPr>
            <w:r/>
            <w:r>
              <w:rPr>
                <w:rFonts w:ascii="Arial" w:hAnsi="Arial" w:cs="Arial"/>
                <w:b w:val="0"/>
                <w:i w:val="0"/>
                <w:sz w:val="17"/>
              </w:rPr>
              <w:t>Block document acceptance</w:t>
            </w:r>
          </w:p>
        </w:tc>
      </w:tr>
      <w:tr>
        <w:tc>
          <w:tcPr>
            <w:tcW w:type="dxa" w:w="2409"/>
          </w:tcPr>
          <w:p>
            <w:pPr>
              <w:spacing w:after="20" w:before="20" w:line="240" w:lineRule="auto"/>
            </w:pPr>
            <w:r/>
            <w:r>
              <w:rPr>
                <w:rFonts w:ascii="Arial" w:hAnsi="Arial" w:cs="Arial"/>
                <w:b w:val="0"/>
                <w:i w:val="0"/>
                <w:sz w:val="17"/>
              </w:rPr>
              <w:t>G5UA2</w:t>
            </w:r>
          </w:p>
        </w:tc>
        <w:tc>
          <w:tcPr>
            <w:tcW w:type="dxa" w:w="2409"/>
          </w:tcPr>
          <w:p>
            <w:pPr>
              <w:spacing w:after="20" w:before="20" w:line="240" w:lineRule="auto"/>
            </w:pPr>
            <w:r/>
            <w:r>
              <w:rPr>
                <w:rFonts w:ascii="Arial" w:hAnsi="Arial" w:cs="Arial"/>
                <w:b w:val="0"/>
                <w:i w:val="0"/>
                <w:sz w:val="17"/>
              </w:rPr>
              <w:t>Cold chain anomaly detected</w:t>
            </w:r>
          </w:p>
        </w:tc>
        <w:tc>
          <w:tcPr>
            <w:tcW w:type="dxa" w:w="2409"/>
          </w:tcPr>
          <w:p>
            <w:pPr>
              <w:spacing w:after="20" w:before="20" w:line="240" w:lineRule="auto"/>
            </w:pPr>
            <w:r/>
            <w:r>
              <w:rPr>
                <w:rFonts w:ascii="Arial" w:hAnsi="Arial" w:cs="Arial"/>
                <w:b w:val="0"/>
                <w:i w:val="0"/>
                <w:sz w:val="17"/>
              </w:rPr>
              <w:t>Quality Predictor (A2)</w:t>
            </w:r>
          </w:p>
        </w:tc>
        <w:tc>
          <w:tcPr>
            <w:tcW w:type="dxa" w:w="2409"/>
          </w:tcPr>
          <w:p>
            <w:pPr>
              <w:spacing w:after="20" w:before="20" w:line="240" w:lineRule="auto"/>
            </w:pPr>
            <w:r/>
            <w:r>
              <w:rPr>
                <w:rFonts w:ascii="Arial" w:hAnsi="Arial" w:cs="Arial"/>
                <w:b w:val="0"/>
                <w:i w:val="0"/>
                <w:sz w:val="17"/>
              </w:rPr>
              <w:t>Notify responsible parties</w:t>
            </w:r>
          </w:p>
        </w:tc>
      </w:tr>
      <w:tr>
        <w:tc>
          <w:tcPr>
            <w:tcW w:type="dxa" w:w="2409"/>
          </w:tcPr>
          <w:p>
            <w:pPr>
              <w:spacing w:after="20" w:before="20" w:line="240" w:lineRule="auto"/>
            </w:pPr>
            <w:r/>
            <w:r>
              <w:rPr>
                <w:rFonts w:ascii="Arial" w:hAnsi="Arial" w:cs="Arial"/>
                <w:b w:val="0"/>
                <w:i w:val="0"/>
                <w:sz w:val="17"/>
              </w:rPr>
              <w:t>G5UA3</w:t>
            </w:r>
          </w:p>
        </w:tc>
        <w:tc>
          <w:tcPr>
            <w:tcW w:type="dxa" w:w="2409"/>
          </w:tcPr>
          <w:p>
            <w:pPr>
              <w:spacing w:after="20" w:before="20" w:line="240" w:lineRule="auto"/>
            </w:pPr>
            <w:r/>
            <w:r>
              <w:rPr>
                <w:rFonts w:ascii="Arial" w:hAnsi="Arial" w:cs="Arial"/>
                <w:b w:val="0"/>
                <w:i w:val="0"/>
                <w:sz w:val="17"/>
              </w:rPr>
              <w:t>Autocompiled dispute evidence package complete</w:t>
            </w:r>
          </w:p>
        </w:tc>
        <w:tc>
          <w:tcPr>
            <w:tcW w:type="dxa" w:w="2409"/>
          </w:tcPr>
          <w:p>
            <w:pPr>
              <w:spacing w:after="20" w:before="20" w:line="240" w:lineRule="auto"/>
            </w:pPr>
            <w:r/>
            <w:r>
              <w:rPr>
                <w:rFonts w:ascii="Arial" w:hAnsi="Arial" w:cs="Arial"/>
                <w:b w:val="0"/>
                <w:i w:val="0"/>
                <w:sz w:val="17"/>
              </w:rPr>
              <w:t>Evidence Agent (A2)</w:t>
            </w:r>
          </w:p>
        </w:tc>
        <w:tc>
          <w:tcPr>
            <w:tcW w:type="dxa" w:w="2409"/>
          </w:tcPr>
          <w:p>
            <w:pPr>
              <w:spacing w:after="20" w:before="20" w:line="240" w:lineRule="auto"/>
            </w:pPr>
            <w:r/>
            <w:r>
              <w:rPr>
                <w:rFonts w:ascii="Arial" w:hAnsi="Arial" w:cs="Arial"/>
                <w:b w:val="0"/>
                <w:i w:val="0"/>
                <w:sz w:val="17"/>
              </w:rPr>
              <w:t>Advisory</w:t>
            </w:r>
          </w:p>
        </w:tc>
      </w:tr>
      <w:tr>
        <w:tc>
          <w:tcPr>
            <w:tcW w:type="dxa" w:w="2409"/>
          </w:tcPr>
          <w:p>
            <w:pPr>
              <w:spacing w:after="20" w:before="20" w:line="240" w:lineRule="auto"/>
            </w:pPr>
            <w:r/>
            <w:r>
              <w:rPr>
                <w:rFonts w:ascii="Arial" w:hAnsi="Arial" w:cs="Arial"/>
                <w:b w:val="0"/>
                <w:i w:val="0"/>
                <w:sz w:val="17"/>
              </w:rPr>
              <w:t>G5UA4</w:t>
            </w:r>
          </w:p>
        </w:tc>
        <w:tc>
          <w:tcPr>
            <w:tcW w:type="dxa" w:w="2409"/>
          </w:tcPr>
          <w:p>
            <w:pPr>
              <w:spacing w:after="20" w:before="20" w:line="240" w:lineRule="auto"/>
            </w:pPr>
            <w:r/>
            <w:r>
              <w:rPr>
                <w:rFonts w:ascii="Arial" w:hAnsi="Arial" w:cs="Arial"/>
                <w:b w:val="0"/>
                <w:i w:val="0"/>
                <w:sz w:val="17"/>
              </w:rPr>
              <w:t>AR inspection findings logged</w:t>
            </w:r>
          </w:p>
        </w:tc>
        <w:tc>
          <w:tcPr>
            <w:tcW w:type="dxa" w:w="2409"/>
          </w:tcPr>
          <w:p>
            <w:pPr>
              <w:spacing w:after="20" w:before="20" w:line="240" w:lineRule="auto"/>
            </w:pPr>
            <w:r/>
            <w:r>
              <w:rPr>
                <w:rFonts w:ascii="Arial" w:hAnsi="Arial" w:cs="Arial"/>
                <w:b w:val="0"/>
                <w:i w:val="0"/>
                <w:sz w:val="17"/>
              </w:rPr>
              <w:t>Vision Agent (A2)</w:t>
            </w:r>
          </w:p>
        </w:tc>
        <w:tc>
          <w:tcPr>
            <w:tcW w:type="dxa" w:w="2409"/>
          </w:tcPr>
          <w:p>
            <w:pPr>
              <w:spacing w:after="20" w:before="20" w:line="240" w:lineRule="auto"/>
            </w:pPr>
            <w:r/>
            <w:r>
              <w:rPr>
                <w:rFonts w:ascii="Arial" w:hAnsi="Arial" w:cs="Arial"/>
                <w:b w:val="0"/>
                <w:i w:val="0"/>
                <w:sz w:val="17"/>
              </w:rPr>
              <w:t>Advisory</w:t>
            </w:r>
          </w:p>
        </w:tc>
      </w:tr>
      <w:tr>
        <w:tc>
          <w:tcPr>
            <w:tcW w:type="dxa" w:w="2409"/>
          </w:tcPr>
          <w:p>
            <w:pPr>
              <w:spacing w:after="20" w:before="20" w:line="240" w:lineRule="auto"/>
            </w:pPr>
            <w:r/>
            <w:r>
              <w:rPr>
                <w:rFonts w:ascii="Arial" w:hAnsi="Arial" w:cs="Arial"/>
                <w:b w:val="0"/>
                <w:i w:val="0"/>
                <w:sz w:val="17"/>
              </w:rPr>
              <w:t>G5UA5</w:t>
            </w:r>
          </w:p>
        </w:tc>
        <w:tc>
          <w:tcPr>
            <w:tcW w:type="dxa" w:w="2409"/>
          </w:tcPr>
          <w:p>
            <w:pPr>
              <w:spacing w:after="20" w:before="20" w:line="240" w:lineRule="auto"/>
            </w:pPr>
            <w:r/>
            <w:r>
              <w:rPr>
                <w:rFonts w:ascii="Arial" w:hAnsi="Arial" w:cs="Arial"/>
                <w:b w:val="0"/>
                <w:i w:val="0"/>
                <w:sz w:val="17"/>
              </w:rPr>
              <w:t>Demurrage prediction above threshold</w:t>
            </w:r>
          </w:p>
        </w:tc>
        <w:tc>
          <w:tcPr>
            <w:tcW w:type="dxa" w:w="2409"/>
          </w:tcPr>
          <w:p>
            <w:pPr>
              <w:spacing w:after="20" w:before="20" w:line="240" w:lineRule="auto"/>
            </w:pPr>
            <w:r/>
            <w:r>
              <w:rPr>
                <w:rFonts w:ascii="Arial" w:hAnsi="Arial" w:cs="Arial"/>
                <w:b w:val="0"/>
                <w:i w:val="0"/>
                <w:sz w:val="17"/>
              </w:rPr>
              <w:t>Risk Agent (A2)</w:t>
            </w:r>
          </w:p>
        </w:tc>
        <w:tc>
          <w:tcPr>
            <w:tcW w:type="dxa" w:w="2409"/>
          </w:tcPr>
          <w:p>
            <w:pPr>
              <w:spacing w:after="20" w:before="20" w:line="240" w:lineRule="auto"/>
            </w:pPr>
            <w:r/>
            <w:r>
              <w:rPr>
                <w:rFonts w:ascii="Arial" w:hAnsi="Arial" w:cs="Arial"/>
                <w:b w:val="0"/>
                <w:i w:val="0"/>
                <w:sz w:val="17"/>
              </w:rPr>
              <w:t>Advisory only</w:t>
            </w:r>
          </w:p>
        </w:tc>
      </w:tr>
      <w:tr>
        <w:tc>
          <w:tcPr>
            <w:tcW w:type="dxa" w:w="2409"/>
          </w:tcPr>
          <w:p>
            <w:pPr>
              <w:spacing w:after="20" w:before="20" w:line="240" w:lineRule="auto"/>
            </w:pPr>
            <w:r/>
            <w:r>
              <w:rPr>
                <w:rFonts w:ascii="Arial" w:hAnsi="Arial" w:cs="Arial"/>
                <w:b w:val="0"/>
                <w:i w:val="0"/>
                <w:sz w:val="17"/>
              </w:rPr>
              <w:t>G5UA6</w:t>
            </w:r>
          </w:p>
        </w:tc>
        <w:tc>
          <w:tcPr>
            <w:tcW w:type="dxa" w:w="2409"/>
          </w:tcPr>
          <w:p>
            <w:pPr>
              <w:spacing w:after="20" w:before="20" w:line="240" w:lineRule="auto"/>
            </w:pPr>
            <w:r/>
            <w:r>
              <w:rPr>
                <w:rFonts w:ascii="Arial" w:hAnsi="Arial" w:cs="Arial"/>
                <w:b w:val="0"/>
                <w:i w:val="0"/>
                <w:sz w:val="17"/>
              </w:rPr>
              <w:t>Blocked actions display plain-language Governor Decision Panel</w:t>
            </w:r>
          </w:p>
        </w:tc>
        <w:tc>
          <w:tcPr>
            <w:tcW w:type="dxa" w:w="2409"/>
          </w:tcPr>
          <w:p>
            <w:pPr>
              <w:spacing w:after="20" w:before="20" w:line="240" w:lineRule="auto"/>
            </w:pPr>
            <w:r/>
            <w:r>
              <w:rPr>
                <w:rFonts w:ascii="Arial" w:hAnsi="Arial" w:cs="Arial"/>
                <w:b w:val="0"/>
                <w:i w:val="0"/>
                <w:sz w:val="17"/>
              </w:rPr>
              <w:t>Governor (A3) + Groq</w:t>
            </w:r>
          </w:p>
        </w:tc>
        <w:tc>
          <w:tcPr>
            <w:tcW w:type="dxa" w:w="2409"/>
          </w:tcPr>
          <w:p>
            <w:pPr>
              <w:spacing w:after="20" w:before="20" w:line="240" w:lineRule="auto"/>
            </w:pPr>
            <w:r/>
            <w:r>
              <w:rPr>
                <w:rFonts w:ascii="Arial" w:hAnsi="Arial" w:cs="Arial"/>
                <w:b w:val="0"/>
                <w:i w:val="0"/>
                <w:sz w:val="17"/>
              </w:rPr>
              <w:t>User sees jargon-free explanation</w:t>
            </w:r>
          </w:p>
        </w:tc>
      </w:tr>
      <w:tr>
        <w:tc>
          <w:tcPr>
            <w:tcW w:type="dxa" w:w="2409"/>
          </w:tcPr>
          <w:p>
            <w:pPr>
              <w:spacing w:after="20" w:before="20" w:line="240" w:lineRule="auto"/>
            </w:pPr>
            <w:r/>
            <w:r>
              <w:rPr>
                <w:rFonts w:ascii="Arial" w:hAnsi="Arial" w:cs="Arial"/>
                <w:b w:val="0"/>
                <w:i w:val="0"/>
                <w:sz w:val="17"/>
              </w:rPr>
              <w:t>G5UA7</w:t>
            </w:r>
          </w:p>
        </w:tc>
        <w:tc>
          <w:tcPr>
            <w:tcW w:type="dxa" w:w="2409"/>
          </w:tcPr>
          <w:p>
            <w:pPr>
              <w:spacing w:after="20" w:before="20" w:line="240" w:lineRule="auto"/>
            </w:pPr>
            <w:r/>
            <w:r>
              <w:rPr>
                <w:rFonts w:ascii="Arial" w:hAnsi="Arial" w:cs="Arial"/>
                <w:b w:val="0"/>
                <w:i w:val="0"/>
                <w:sz w:val="17"/>
              </w:rPr>
              <w:t>QC inspector override requires reason ≥ 10 chars</w:t>
            </w:r>
          </w:p>
        </w:tc>
        <w:tc>
          <w:tcPr>
            <w:tcW w:type="dxa" w:w="2409"/>
          </w:tcPr>
          <w:p>
            <w:pPr>
              <w:spacing w:after="20" w:before="20" w:line="240" w:lineRule="auto"/>
            </w:pPr>
            <w:r/>
            <w:r>
              <w:rPr>
                <w:rFonts w:ascii="Arial" w:hAnsi="Arial" w:cs="Arial"/>
                <w:b w:val="0"/>
                <w:i w:val="0"/>
                <w:sz w:val="17"/>
              </w:rPr>
              <w:t>Application (A2)</w:t>
            </w:r>
          </w:p>
        </w:tc>
        <w:tc>
          <w:tcPr>
            <w:tcW w:type="dxa" w:w="2409"/>
          </w:tcPr>
          <w:p>
            <w:pPr>
              <w:spacing w:after="20" w:before="20" w:line="240" w:lineRule="auto"/>
            </w:pPr>
            <w:r/>
            <w:r>
              <w:rPr>
                <w:rFonts w:ascii="Arial" w:hAnsi="Arial" w:cs="Arial"/>
                <w:b w:val="0"/>
                <w:i w:val="0"/>
                <w:sz w:val="17"/>
              </w:rPr>
              <w:t>Override rejected</w:t>
            </w:r>
          </w:p>
        </w:tc>
      </w:tr>
      <w:tr>
        <w:tc>
          <w:tcPr>
            <w:tcW w:type="dxa" w:w="2409"/>
          </w:tcPr>
          <w:p>
            <w:pPr>
              <w:spacing w:after="20" w:before="20" w:line="240" w:lineRule="auto"/>
            </w:pPr>
            <w:r/>
            <w:r>
              <w:rPr>
                <w:rFonts w:ascii="Arial" w:hAnsi="Arial" w:cs="Arial"/>
                <w:b w:val="0"/>
                <w:i w:val="0"/>
                <w:sz w:val="17"/>
              </w:rPr>
              <w:t>G5UA8</w:t>
            </w:r>
          </w:p>
        </w:tc>
        <w:tc>
          <w:tcPr>
            <w:tcW w:type="dxa" w:w="2409"/>
          </w:tcPr>
          <w:p>
            <w:pPr>
              <w:spacing w:after="20" w:before="20" w:line="240" w:lineRule="auto"/>
            </w:pPr>
            <w:r/>
            <w:r>
              <w:rPr>
                <w:rFonts w:ascii="Arial" w:hAnsi="Arial" w:cs="Arial"/>
                <w:b w:val="0"/>
                <w:i w:val="0"/>
                <w:sz w:val="17"/>
              </w:rPr>
              <w:t>Milestone overdue &gt; SLA: Stuck Trade Recovery activated</w:t>
            </w:r>
          </w:p>
        </w:tc>
        <w:tc>
          <w:tcPr>
            <w:tcW w:type="dxa" w:w="2409"/>
          </w:tcPr>
          <w:p>
            <w:pPr>
              <w:spacing w:after="20" w:before="20" w:line="240" w:lineRule="auto"/>
            </w:pPr>
            <w:r/>
            <w:r>
              <w:rPr>
                <w:rFonts w:ascii="Arial" w:hAnsi="Arial" w:cs="Arial"/>
                <w:b w:val="0"/>
                <w:i w:val="0"/>
                <w:sz w:val="17"/>
              </w:rPr>
              <w:t>Recovery Service (A4)</w:t>
            </w:r>
          </w:p>
        </w:tc>
        <w:tc>
          <w:tcPr>
            <w:tcW w:type="dxa" w:w="2409"/>
          </w:tcPr>
          <w:p>
            <w:pPr>
              <w:spacing w:after="20" w:before="20" w:line="240" w:lineRule="auto"/>
            </w:pPr>
            <w:r/>
            <w:r>
              <w:rPr>
                <w:rFonts w:ascii="Arial" w:hAnsi="Arial" w:cs="Arial"/>
                <w:b w:val="0"/>
                <w:i w:val="0"/>
                <w:sz w:val="17"/>
              </w:rPr>
              <w:t>Auto-escalation</w:t>
            </w:r>
          </w:p>
        </w:tc>
      </w:tr>
      <w:tr>
        <w:tc>
          <w:tcPr>
            <w:tcW w:type="dxa" w:w="2409"/>
          </w:tcPr>
          <w:p>
            <w:pPr>
              <w:spacing w:after="20" w:before="20" w:line="240" w:lineRule="auto"/>
            </w:pPr>
            <w:r/>
            <w:r>
              <w:rPr>
                <w:rFonts w:ascii="Arial" w:hAnsi="Arial" w:cs="Arial"/>
                <w:b w:val="0"/>
                <w:i w:val="0"/>
                <w:sz w:val="17"/>
              </w:rPr>
              <w:t>G5UA9</w:t>
            </w:r>
          </w:p>
        </w:tc>
        <w:tc>
          <w:tcPr>
            <w:tcW w:type="dxa" w:w="2409"/>
          </w:tcPr>
          <w:p>
            <w:pPr>
              <w:spacing w:after="20" w:before="20" w:line="240" w:lineRule="auto"/>
            </w:pPr>
            <w:r/>
            <w:r>
              <w:rPr>
                <w:rFonts w:ascii="Arial" w:hAnsi="Arial" w:cs="Arial"/>
                <w:b w:val="0"/>
                <w:i w:val="0"/>
                <w:sz w:val="17"/>
              </w:rPr>
              <w:t>Multi-shipment milestones independent</w:t>
            </w:r>
          </w:p>
        </w:tc>
        <w:tc>
          <w:tcPr>
            <w:tcW w:type="dxa" w:w="2409"/>
          </w:tcPr>
          <w:p>
            <w:pPr>
              <w:spacing w:after="20" w:before="20" w:line="240" w:lineRule="auto"/>
            </w:pPr>
            <w:r/>
            <w:r>
              <w:rPr>
                <w:rFonts w:ascii="Arial" w:hAnsi="Arial" w:cs="Arial"/>
                <w:b w:val="0"/>
                <w:i w:val="0"/>
                <w:sz w:val="17"/>
              </w:rPr>
              <w:t>Governor (A3)</w:t>
            </w:r>
          </w:p>
        </w:tc>
        <w:tc>
          <w:tcPr>
            <w:tcW w:type="dxa" w:w="2409"/>
          </w:tcPr>
          <w:p>
            <w:pPr>
              <w:spacing w:after="20" w:before="20" w:line="240" w:lineRule="auto"/>
            </w:pPr>
            <w:r/>
            <w:r>
              <w:rPr>
                <w:rFonts w:ascii="Arial" w:hAnsi="Arial" w:cs="Arial"/>
                <w:b w:val="0"/>
                <w:i w:val="0"/>
                <w:sz w:val="17"/>
              </w:rPr>
              <w:t>Delay in one does not block others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15.2.5 Lifecycle Coverage</w:t>
      </w:r>
    </w:p>
    <w:p>
      <w:pPr>
        <w:spacing w:after="80" w:line="293" w:lineRule="auto"/>
        <w:jc w:val="left"/>
      </w:pPr>
      <w:r>
        <w:rPr>
          <w:rFonts w:ascii="Times New Roman" w:hAnsi="Times New Roman" w:cs="Times New Roman"/>
          <w:b w:val="0"/>
          <w:i w:val="0"/>
          <w:sz w:val="22"/>
        </w:rPr>
        <w:t>Phase 4 (formal trade finance execution) and Phase 6 (settlement and payment orchestration) gates run through the identical enforcement pipeline and are specified within their phase sections (Sections 10 and 13), including the financing gates that operate on the Conditional Financing Reference (Section 7). The verdict semantics, signing, and logging discipline are identical for every gate in every phase: one decision per gate evaluation, signed with Ed25519, appended to Loom, and rendered through the Governor Decision Panel whenever the outcome is DENY or CONDITIONAL.</w:t>
      </w:r>
    </w:p>
    <w:p>
      <w:pPr>
        <w:keepNext/>
        <w:spacing w:before="180" w:after="80"/>
        <w:outlineLvl w:val="2"/>
      </w:pPr>
      <w:r>
        <w:rPr>
          <w:rFonts w:ascii="Arial" w:hAnsi="Arial" w:cs="Arial"/>
          <w:b/>
          <w:i w:val="0"/>
          <w:color w:val="333333"/>
          <w:sz w:val="23"/>
        </w:rPr>
        <w:t>15.2.6 Phase 6 Gates (Payment &amp; Settlement)</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Gate ID Check</w:t>
            </w:r>
          </w:p>
        </w:tc>
        <w:tc>
          <w:tcPr>
            <w:tcW w:type="dxa" w:w="2409"/>
            <w:shd w:val="clear" w:fill="D9E2F3"/>
          </w:tcPr>
          <w:p>
            <w:pPr>
              <w:spacing w:after="20" w:before="20" w:line="240" w:lineRule="auto"/>
            </w:pPr>
            <w:r/>
            <w:r>
              <w:rPr>
                <w:rFonts w:ascii="Arial" w:hAnsi="Arial" w:cs="Arial"/>
                <w:b/>
                <w:i w:val="0"/>
                <w:sz w:val="18"/>
              </w:rPr>
              <w:t>Enforcer</w:t>
            </w:r>
          </w:p>
        </w:tc>
        <w:tc>
          <w:tcPr>
            <w:tcW w:type="dxa" w:w="2409"/>
            <w:shd w:val="clear" w:fill="D9E2F3"/>
          </w:tcPr>
          <w:p>
            <w:pPr>
              <w:spacing w:after="20" w:before="20" w:line="240" w:lineRule="auto"/>
            </w:pPr>
            <w:r/>
            <w:r>
              <w:rPr>
                <w:rFonts w:ascii="Arial" w:hAnsi="Arial" w:cs="Arial"/>
                <w:b/>
                <w:i w:val="0"/>
                <w:sz w:val="18"/>
              </w:rPr>
              <w:t>Failure Action</w:t>
            </w:r>
          </w:p>
        </w:tc>
        <w:tc>
          <w:tcPr>
            <w:tcW w:type="dxa" w:w="2409"/>
            <w:shd w:val="clear" w:fill="D9E2F3"/>
          </w:tcPr>
          <w:p>
            <w:pPr>
              <w:spacing w:after="20" w:before="20" w:line="240" w:lineRule="auto"/>
            </w:pPr>
            <w:r/>
            <w:r>
              <w:rPr>
                <w:rFonts w:ascii="Arial" w:hAnsi="Arial" w:cs="Arial"/>
                <w:b/>
                <w:i w:val="0"/>
                <w:sz w:val="18"/>
              </w:rPr>
            </w:r>
          </w:p>
        </w:tc>
      </w:tr>
      <w:tr>
        <w:tc>
          <w:tcPr>
            <w:tcW w:type="dxa" w:w="2409"/>
          </w:tcPr>
          <w:p>
            <w:pPr>
              <w:spacing w:after="20" w:before="20" w:line="240" w:lineRule="auto"/>
            </w:pPr>
            <w:r/>
            <w:r>
              <w:rPr>
                <w:rFonts w:ascii="Arial" w:hAnsi="Arial" w:cs="Arial"/>
                <w:b w:val="0"/>
                <w:i w:val="0"/>
                <w:sz w:val="17"/>
              </w:rPr>
              <w:t>G6U1</w:t>
            </w:r>
          </w:p>
        </w:tc>
        <w:tc>
          <w:tcPr>
            <w:tcW w:type="dxa" w:w="2409"/>
          </w:tcPr>
          <w:p>
            <w:pPr>
              <w:spacing w:after="20" w:before="20" w:line="240" w:lineRule="auto"/>
            </w:pPr>
            <w:r/>
            <w:r>
              <w:rPr>
                <w:rFonts w:ascii="Arial" w:hAnsi="Arial" w:cs="Arial"/>
                <w:b w:val="0"/>
                <w:i w:val="0"/>
                <w:sz w:val="17"/>
              </w:rPr>
              <w:t>Settlement method is DIRECT_BANK_TRANSFER with valid, non-expired bank mandate</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 — "Bank mandate missing or expired. Re-authorize before dispatch."</w:t>
            </w:r>
          </w:p>
        </w:tc>
      </w:tr>
      <w:tr>
        <w:tc>
          <w:tcPr>
            <w:tcW w:type="dxa" w:w="2409"/>
          </w:tcPr>
          <w:p>
            <w:pPr>
              <w:spacing w:after="20" w:before="20" w:line="240" w:lineRule="auto"/>
            </w:pPr>
            <w:r/>
            <w:r>
              <w:rPr>
                <w:rFonts w:ascii="Arial" w:hAnsi="Arial" w:cs="Arial"/>
                <w:b w:val="0"/>
                <w:i w:val="0"/>
                <w:sz w:val="17"/>
              </w:rPr>
              <w:t>G6U2</w:t>
            </w:r>
          </w:p>
        </w:tc>
        <w:tc>
          <w:tcPr>
            <w:tcW w:type="dxa" w:w="2409"/>
          </w:tcPr>
          <w:p>
            <w:pPr>
              <w:spacing w:after="20" w:before="20" w:line="240" w:lineRule="auto"/>
            </w:pPr>
            <w:r/>
            <w:r>
              <w:rPr>
                <w:rFonts w:ascii="Arial" w:hAnsi="Arial" w:cs="Arial"/>
                <w:b w:val="0"/>
                <w:i w:val="0"/>
                <w:sz w:val="17"/>
              </w:rPr>
              <w:t>Payment manifest authorized by buyer via QES</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DENY — dispatch blocked until QES mandate confirmation</w:t>
            </w:r>
          </w:p>
        </w:tc>
      </w:tr>
      <w:tr>
        <w:tc>
          <w:tcPr>
            <w:tcW w:type="dxa" w:w="2409"/>
          </w:tcPr>
          <w:p>
            <w:pPr>
              <w:spacing w:after="20" w:before="20" w:line="240" w:lineRule="auto"/>
            </w:pPr>
            <w:r/>
            <w:r>
              <w:rPr>
                <w:rFonts w:ascii="Arial" w:hAnsi="Arial" w:cs="Arial"/>
                <w:b w:val="0"/>
                <w:i w:val="0"/>
                <w:sz w:val="17"/>
              </w:rPr>
              <w:t>G6U3</w:t>
            </w:r>
          </w:p>
        </w:tc>
        <w:tc>
          <w:tcPr>
            <w:tcW w:type="dxa" w:w="2409"/>
          </w:tcPr>
          <w:p>
            <w:pPr>
              <w:spacing w:after="20" w:before="20" w:line="240" w:lineRule="auto"/>
            </w:pPr>
            <w:r/>
            <w:r>
              <w:rPr>
                <w:rFonts w:ascii="Arial" w:hAnsi="Arial" w:cs="Arial"/>
                <w:b w:val="0"/>
                <w:i w:val="0"/>
                <w:sz w:val="17"/>
              </w:rPr>
              <w:t>Every leg references an accepted quote bound to the USTN and issued from a verified GTID</w:t>
            </w:r>
          </w:p>
        </w:tc>
        <w:tc>
          <w:tcPr>
            <w:tcW w:type="dxa" w:w="2409"/>
          </w:tcPr>
          <w:p>
            <w:pPr>
              <w:spacing w:after="20" w:before="20" w:line="240" w:lineRule="auto"/>
            </w:pPr>
            <w:r/>
            <w:r>
              <w:rPr>
                <w:rFonts w:ascii="Arial" w:hAnsi="Arial" w:cs="Arial"/>
                <w:b w:val="0"/>
                <w:i w:val="0"/>
                <w:sz w:val="17"/>
              </w:rPr>
              <w:t>WasmEdge (A4)</w:t>
            </w:r>
          </w:p>
        </w:tc>
        <w:tc>
          <w:tcPr>
            <w:tcW w:type="dxa" w:w="2409"/>
          </w:tcPr>
          <w:p>
            <w:pPr>
              <w:spacing w:after="20" w:before="20" w:line="240" w:lineRule="auto"/>
            </w:pPr>
            <w:r/>
            <w:r>
              <w:rPr>
                <w:rFonts w:ascii="Arial" w:hAnsi="Arial" w:cs="Arial"/>
                <w:b w:val="0"/>
                <w:i w:val="0"/>
                <w:sz w:val="17"/>
              </w:rPr>
              <w:t>CONDITIONAL — unquoted legs rejected from manifest</w:t>
            </w:r>
          </w:p>
        </w:tc>
      </w:tr>
      <w:tr>
        <w:tc>
          <w:tcPr>
            <w:tcW w:type="dxa" w:w="2409"/>
          </w:tcPr>
          <w:p>
            <w:pPr>
              <w:spacing w:after="20" w:before="20" w:line="240" w:lineRule="auto"/>
            </w:pPr>
            <w:r/>
            <w:r>
              <w:rPr>
                <w:rFonts w:ascii="Arial" w:hAnsi="Arial" w:cs="Arial"/>
                <w:b w:val="0"/>
                <w:i w:val="0"/>
                <w:sz w:val="17"/>
              </w:rPr>
              <w:t>G6U4</w:t>
            </w:r>
          </w:p>
        </w:tc>
        <w:tc>
          <w:tcPr>
            <w:tcW w:type="dxa" w:w="2409"/>
          </w:tcPr>
          <w:p>
            <w:pPr>
              <w:spacing w:after="20" w:before="20" w:line="240" w:lineRule="auto"/>
            </w:pPr>
            <w:r/>
            <w:r>
              <w:rPr>
                <w:rFonts w:ascii="Arial" w:hAnsi="Arial" w:cs="Arial"/>
                <w:b w:val="0"/>
                <w:i w:val="0"/>
                <w:sz w:val="17"/>
              </w:rPr>
              <w:t>Milestone condition confirmed (multisource consensus) before leg execution</w:t>
            </w:r>
          </w:p>
        </w:tc>
        <w:tc>
          <w:tcPr>
            <w:tcW w:type="dxa" w:w="2409"/>
          </w:tcPr>
          <w:p>
            <w:pPr>
              <w:spacing w:after="20" w:before="20" w:line="240" w:lineRule="auto"/>
            </w:pPr>
            <w:r/>
            <w:r>
              <w:rPr>
                <w:rFonts w:ascii="Arial" w:hAnsi="Arial" w:cs="Arial"/>
                <w:b w:val="0"/>
                <w:i w:val="0"/>
                <w:sz w:val="17"/>
              </w:rPr>
              <w:t>Milestone Verifier (A2/A3)</w:t>
            </w:r>
          </w:p>
        </w:tc>
        <w:tc>
          <w:tcPr>
            <w:tcW w:type="dxa" w:w="2409"/>
          </w:tcPr>
          <w:p>
            <w:pPr>
              <w:spacing w:after="20" w:before="20" w:line="240" w:lineRule="auto"/>
            </w:pPr>
            <w:r/>
            <w:r>
              <w:rPr>
                <w:rFonts w:ascii="Arial" w:hAnsi="Arial" w:cs="Arial"/>
                <w:b w:val="0"/>
                <w:i w:val="0"/>
                <w:sz w:val="17"/>
              </w:rPr>
              <w:t>Degrade to human verification; leg held</w:t>
            </w:r>
          </w:p>
        </w:tc>
      </w:tr>
      <w:tr>
        <w:tc>
          <w:tcPr>
            <w:tcW w:type="dxa" w:w="2409"/>
          </w:tcPr>
          <w:p>
            <w:pPr>
              <w:spacing w:after="20" w:before="20" w:line="240" w:lineRule="auto"/>
            </w:pPr>
            <w:r/>
            <w:r>
              <w:rPr>
                <w:rFonts w:ascii="Arial" w:hAnsi="Arial" w:cs="Arial"/>
                <w:b w:val="0"/>
                <w:i w:val="0"/>
                <w:sz w:val="17"/>
              </w:rPr>
              <w:t>G6U5</w:t>
            </w:r>
          </w:p>
        </w:tc>
        <w:tc>
          <w:tcPr>
            <w:tcW w:type="dxa" w:w="2409"/>
          </w:tcPr>
          <w:p>
            <w:pPr>
              <w:spacing w:after="20" w:before="20" w:line="240" w:lineRule="auto"/>
            </w:pPr>
            <w:r/>
            <w:r>
              <w:rPr>
                <w:rFonts w:ascii="Arial" w:hAnsi="Arial" w:cs="Arial"/>
                <w:b w:val="0"/>
                <w:i w:val="0"/>
                <w:sz w:val="17"/>
              </w:rPr>
              <w:t>pain.002 / camt.054 / SWIFT gpi proof matched to leg before SETTLED</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UNKNOWN state preserved; reconciliation required</w:t>
            </w:r>
          </w:p>
        </w:tc>
      </w:tr>
      <w:tr>
        <w:tc>
          <w:tcPr>
            <w:tcW w:type="dxa" w:w="2409"/>
          </w:tcPr>
          <w:p>
            <w:pPr>
              <w:spacing w:after="20" w:before="20" w:line="240" w:lineRule="auto"/>
            </w:pPr>
            <w:r/>
            <w:r>
              <w:rPr>
                <w:rFonts w:ascii="Arial" w:hAnsi="Arial" w:cs="Arial"/>
                <w:b w:val="0"/>
                <w:i w:val="0"/>
                <w:sz w:val="17"/>
              </w:rPr>
              <w:t>G6U6</w:t>
            </w:r>
          </w:p>
        </w:tc>
        <w:tc>
          <w:tcPr>
            <w:tcW w:type="dxa" w:w="2409"/>
          </w:tcPr>
          <w:p>
            <w:pPr>
              <w:spacing w:after="20" w:before="20" w:line="240" w:lineRule="auto"/>
            </w:pPr>
            <w:r/>
            <w:r>
              <w:rPr>
                <w:rFonts w:ascii="Arial" w:hAnsi="Arial" w:cs="Arial"/>
                <w:b w:val="0"/>
                <w:i w:val="0"/>
                <w:sz w:val="17"/>
              </w:rPr>
              <w:t>All legs SETTLED and reconciled before closure eligibility</w:t>
            </w:r>
          </w:p>
        </w:tc>
        <w:tc>
          <w:tcPr>
            <w:tcW w:type="dxa" w:w="2409"/>
          </w:tcPr>
          <w:p>
            <w:pPr>
              <w:spacing w:after="20" w:before="20" w:line="240" w:lineRule="auto"/>
            </w:pPr>
            <w:r/>
            <w:r>
              <w:rPr>
                <w:rFonts w:ascii="Arial" w:hAnsi="Arial" w:cs="Arial"/>
                <w:b w:val="0"/>
                <w:i w:val="0"/>
                <w:sz w:val="17"/>
              </w:rPr>
              <w:t>Reconciliation Engine (A4)</w:t>
            </w:r>
          </w:p>
        </w:tc>
        <w:tc>
          <w:tcPr>
            <w:tcW w:type="dxa" w:w="2409"/>
          </w:tcPr>
          <w:p>
            <w:pPr>
              <w:spacing w:after="20" w:before="20" w:line="240" w:lineRule="auto"/>
            </w:pPr>
            <w:r/>
            <w:r>
              <w:rPr>
                <w:rFonts w:ascii="Arial" w:hAnsi="Arial" w:cs="Arial"/>
                <w:b w:val="0"/>
                <w:i w:val="0"/>
                <w:sz w:val="17"/>
              </w:rPr>
              <w:t>CONDITIONAL — closure blocked</w:t>
            </w:r>
          </w:p>
        </w:tc>
      </w:tr>
      <w:tr>
        <w:tc>
          <w:tcPr>
            <w:tcW w:type="dxa" w:w="2409"/>
          </w:tcPr>
          <w:p>
            <w:pPr>
              <w:spacing w:after="20" w:before="20" w:line="240" w:lineRule="auto"/>
            </w:pPr>
            <w:r/>
            <w:r>
              <w:rPr>
                <w:rFonts w:ascii="Arial" w:hAnsi="Arial" w:cs="Arial"/>
                <w:b w:val="0"/>
                <w:i w:val="0"/>
                <w:sz w:val="17"/>
              </w:rPr>
              <w:t>G6U7</w:t>
            </w:r>
          </w:p>
        </w:tc>
        <w:tc>
          <w:tcPr>
            <w:tcW w:type="dxa" w:w="2409"/>
          </w:tcPr>
          <w:p>
            <w:pPr>
              <w:spacing w:after="20" w:before="20" w:line="240" w:lineRule="auto"/>
            </w:pPr>
            <w:r/>
            <w:r>
              <w:rPr>
                <w:rFonts w:ascii="Arial" w:hAnsi="Arial" w:cs="Arial"/>
                <w:b w:val="0"/>
                <w:i w:val="0"/>
                <w:sz w:val="17"/>
              </w:rPr>
              <w:t>No active dispute freeze on the USTN</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DENY — pending legs suspended</w:t>
            </w:r>
          </w:p>
        </w:tc>
      </w:tr>
      <w:tr>
        <w:tc>
          <w:tcPr>
            <w:tcW w:type="dxa" w:w="2409"/>
          </w:tcPr>
          <w:p>
            <w:pPr>
              <w:spacing w:after="20" w:before="20" w:line="240" w:lineRule="auto"/>
            </w:pPr>
            <w:r/>
            <w:r>
              <w:rPr>
                <w:rFonts w:ascii="Arial" w:hAnsi="Arial" w:cs="Arial"/>
                <w:b w:val="0"/>
                <w:i w:val="0"/>
                <w:sz w:val="17"/>
              </w:rPr>
              <w:t>G6U8</w:t>
            </w:r>
          </w:p>
        </w:tc>
        <w:tc>
          <w:tcPr>
            <w:tcW w:type="dxa" w:w="2409"/>
          </w:tcPr>
          <w:p>
            <w:pPr>
              <w:spacing w:after="20" w:before="20" w:line="240" w:lineRule="auto"/>
            </w:pPr>
            <w:r/>
            <w:r>
              <w:rPr>
                <w:rFonts w:ascii="Arial" w:hAnsi="Arial" w:cs="Arial"/>
                <w:b w:val="0"/>
                <w:i w:val="0"/>
                <w:sz w:val="17"/>
              </w:rPr>
              <w:t>CBE / regulatory reports generated for settled cross-border legs</w:t>
            </w:r>
          </w:p>
        </w:tc>
        <w:tc>
          <w:tcPr>
            <w:tcW w:type="dxa" w:w="2409"/>
          </w:tcPr>
          <w:p>
            <w:pPr>
              <w:spacing w:after="20" w:before="20" w:line="240" w:lineRule="auto"/>
            </w:pPr>
            <w:r/>
            <w:r>
              <w:rPr>
                <w:rFonts w:ascii="Arial" w:hAnsi="Arial" w:cs="Arial"/>
                <w:b w:val="0"/>
                <w:i w:val="0"/>
                <w:sz w:val="17"/>
              </w:rPr>
              <w:t>Compliance (A4) Warning — reporting queue escalated</w:t>
            </w:r>
          </w:p>
        </w:tc>
        <w:tc>
          <w:tcPr>
            <w:tcW w:type="dxa" w:w="2409"/>
          </w:tcPr>
          <w:p>
            <w:pPr>
              <w:spacing w:after="20" w:before="20" w:line="240" w:lineRule="auto"/>
            </w:pPr>
            <w:r/>
            <w:r>
              <w:rPr>
                <w:rFonts w:ascii="Arial" w:hAnsi="Arial" w:cs="Arial"/>
                <w:b w:val="0"/>
                <w:i w:val="0"/>
                <w:sz w:val="17"/>
              </w:rPr>
            </w:r>
          </w:p>
        </w:tc>
      </w:tr>
      <w:tr>
        <w:tc>
          <w:tcPr>
            <w:tcW w:type="dxa" w:w="2409"/>
          </w:tcPr>
          <w:p>
            <w:pPr>
              <w:spacing w:after="20" w:before="20" w:line="240" w:lineRule="auto"/>
            </w:pPr>
            <w:r/>
            <w:r>
              <w:rPr>
                <w:rFonts w:ascii="Arial" w:hAnsi="Arial" w:cs="Arial"/>
                <w:b w:val="0"/>
                <w:i w:val="0"/>
                <w:sz w:val="17"/>
              </w:rPr>
              <w:t>G6U9</w:t>
            </w:r>
          </w:p>
        </w:tc>
        <w:tc>
          <w:tcPr>
            <w:tcW w:type="dxa" w:w="2409"/>
          </w:tcPr>
          <w:p>
            <w:pPr>
              <w:spacing w:after="20" w:before="20" w:line="240" w:lineRule="auto"/>
            </w:pPr>
            <w:r/>
            <w:r>
              <w:rPr>
                <w:rFonts w:ascii="Arial" w:hAnsi="Arial" w:cs="Arial"/>
                <w:b w:val="0"/>
                <w:i w:val="0"/>
                <w:sz w:val="17"/>
              </w:rPr>
              <w:t>Bank health check current for every dispatch bank</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CONDITIONAL — fallback to statement reconciliation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15.3 Trade Request Prescreen &amp; Submission Validation</w:t>
      </w:r>
    </w:p>
    <w:p>
      <w:pPr>
        <w:keepNext/>
        <w:spacing w:before="180" w:after="80"/>
        <w:outlineLvl w:val="2"/>
      </w:pPr>
      <w:r>
        <w:rPr>
          <w:rFonts w:ascii="Arial" w:hAnsi="Arial" w:cs="Arial"/>
          <w:b/>
          <w:i w:val="0"/>
          <w:color w:val="333333"/>
          <w:sz w:val="23"/>
        </w:rPr>
        <w:t>15.3.1 Purpose &amp; Design Philosophy</w:t>
      </w:r>
    </w:p>
    <w:p>
      <w:pPr>
        <w:spacing w:after="80" w:line="293" w:lineRule="auto"/>
        <w:jc w:val="left"/>
      </w:pPr>
      <w:r>
        <w:rPr>
          <w:rFonts w:ascii="Times New Roman" w:hAnsi="Times New Roman" w:cs="Times New Roman"/>
          <w:b w:val="0"/>
          <w:i w:val="0"/>
          <w:sz w:val="22"/>
        </w:rPr>
        <w:t>The Governor PreScreen &amp; Submission is the final validation gate before a trade request is submitted to the seller. It is the authoritative decision engine that evaluates every aspect of the trade request against constitutional rules, business policies, regulatory requirements, and AI-driven risk assessments. No irreversible action bypasses this layer. Key principles:</w:t>
      </w:r>
    </w:p>
    <w:p>
      <w:pPr>
        <w:spacing w:after="80" w:line="293" w:lineRule="auto"/>
        <w:ind w:left="283"/>
        <w:jc w:val="left"/>
      </w:pPr>
      <w:r>
        <w:rPr>
          <w:rFonts w:ascii="Times New Roman" w:hAnsi="Times New Roman" w:cs="Times New Roman"/>
          <w:b w:val="0"/>
          <w:i w:val="0"/>
          <w:sz w:val="22"/>
        </w:rPr>
        <w:t>- Constitutional supremacy — WasmEdge modules enforce non-negotiable rules (fee bounds, jurisdiction supremacy, A5 prohibition).</w:t>
      </w:r>
    </w:p>
    <w:p>
      <w:pPr>
        <w:spacing w:after="80" w:line="293" w:lineRule="auto"/>
        <w:ind w:left="283"/>
        <w:jc w:val="left"/>
      </w:pPr>
      <w:r>
        <w:rPr>
          <w:rFonts w:ascii="Times New Roman" w:hAnsi="Times New Roman" w:cs="Times New Roman"/>
          <w:b w:val="0"/>
          <w:i w:val="0"/>
          <w:sz w:val="22"/>
        </w:rPr>
        <w:t>- Business logic — OPA policies enforce RBAC, permissions, dual-mode context, data scopes.</w:t>
      </w:r>
    </w:p>
    <w:p>
      <w:pPr>
        <w:spacing w:after="80" w:line="293" w:lineRule="auto"/>
        <w:ind w:left="283"/>
        <w:jc w:val="left"/>
      </w:pPr>
      <w:r>
        <w:rPr>
          <w:rFonts w:ascii="Times New Roman" w:hAnsi="Times New Roman" w:cs="Times New Roman"/>
          <w:b w:val="0"/>
          <w:i w:val="0"/>
          <w:sz w:val="22"/>
        </w:rPr>
        <w:t>- AI consult (advisory) — AI (A1–A3) provides recommendations and flags risks but never executes.</w:t>
      </w:r>
    </w:p>
    <w:p>
      <w:pPr>
        <w:spacing w:after="80" w:line="293" w:lineRule="auto"/>
        <w:ind w:left="283"/>
        <w:jc w:val="left"/>
      </w:pPr>
      <w:r>
        <w:rPr>
          <w:rFonts w:ascii="Times New Roman" w:hAnsi="Times New Roman" w:cs="Times New Roman"/>
          <w:b w:val="0"/>
          <w:i w:val="0"/>
          <w:sz w:val="22"/>
        </w:rPr>
        <w:t>- Plain-language explanations — every DENY or CONDITIONAL verdict includes a human-readable explanation with remediation links.</w:t>
      </w:r>
    </w:p>
    <w:p>
      <w:pPr>
        <w:spacing w:after="80" w:line="293" w:lineRule="auto"/>
        <w:ind w:left="283"/>
        <w:jc w:val="left"/>
      </w:pPr>
      <w:r>
        <w:rPr>
          <w:rFonts w:ascii="Times New Roman" w:hAnsi="Times New Roman" w:cs="Times New Roman"/>
          <w:b w:val="0"/>
          <w:i w:val="0"/>
          <w:sz w:val="22"/>
        </w:rPr>
        <w:t>- One-click submission — after all conditions are resolved, the buyer submits with a single click.</w:t>
      </w:r>
    </w:p>
    <w:p>
      <w:pPr>
        <w:spacing w:after="80" w:line="293" w:lineRule="auto"/>
        <w:ind w:left="283"/>
        <w:jc w:val="left"/>
      </w:pPr>
      <w:r>
        <w:rPr>
          <w:rFonts w:ascii="Times New Roman" w:hAnsi="Times New Roman" w:cs="Times New Roman"/>
          <w:b w:val="0"/>
          <w:i w:val="0"/>
          <w:sz w:val="22"/>
        </w:rPr>
        <w:t>- Immutable audit — every decision is logged via Loom (deterministic hash chain) and signed with Ed25519.</w:t>
      </w:r>
    </w:p>
    <w:p>
      <w:pPr>
        <w:keepNext/>
        <w:spacing w:before="180" w:after="80"/>
        <w:outlineLvl w:val="2"/>
      </w:pPr>
      <w:r>
        <w:rPr>
          <w:rFonts w:ascii="Arial" w:hAnsi="Arial" w:cs="Arial"/>
          <w:b/>
          <w:i w:val="0"/>
          <w:color w:val="333333"/>
          <w:sz w:val="23"/>
        </w:rPr>
        <w:t>15.3.2 Pre-Screen Check Families</w:t>
      </w:r>
    </w:p>
    <w:p>
      <w:pPr>
        <w:spacing w:after="80" w:line="293" w:lineRule="auto"/>
        <w:jc w:val="left"/>
      </w:pPr>
      <w:r>
        <w:rPr>
          <w:rFonts w:ascii="Times New Roman" w:hAnsi="Times New Roman" w:cs="Times New Roman"/>
          <w:b w:val="0"/>
          <w:i w:val="0"/>
          <w:sz w:val="22"/>
        </w:rPr>
        <w:t>The Governor evaluates the trade request against all of the following check families. Together with the complete Phase 1 gate matrix (Section 15.2.1, G1U1–G1U33), this is the authoritative source for all pre-submission validation: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Check Family</w:t>
            </w:r>
          </w:p>
        </w:tc>
        <w:tc>
          <w:tcPr>
            <w:tcW w:type="dxa" w:w="3213"/>
            <w:shd w:val="clear" w:fill="D9E2F3"/>
          </w:tcPr>
          <w:p>
            <w:pPr>
              <w:spacing w:after="20" w:before="20" w:line="240" w:lineRule="auto"/>
            </w:pPr>
            <w:r/>
            <w:r>
              <w:rPr>
                <w:rFonts w:ascii="Arial" w:hAnsi="Arial" w:cs="Arial"/>
                <w:b/>
                <w:i w:val="0"/>
                <w:sz w:val="18"/>
              </w:rPr>
              <w:t>Checks</w:t>
            </w:r>
          </w:p>
        </w:tc>
        <w:tc>
          <w:tcPr>
            <w:tcW w:type="dxa" w:w="3213"/>
            <w:shd w:val="clear" w:fill="D9E2F3"/>
          </w:tcPr>
          <w:p>
            <w:pPr>
              <w:spacing w:after="20" w:before="20" w:line="240" w:lineRule="auto"/>
            </w:pPr>
            <w:r/>
            <w:r>
              <w:rPr>
                <w:rFonts w:ascii="Arial" w:hAnsi="Arial" w:cs="Arial"/>
                <w:b/>
                <w:i w:val="0"/>
                <w:sz w:val="18"/>
              </w:rPr>
              <w:t>Enforcer</w:t>
            </w:r>
          </w:p>
        </w:tc>
      </w:tr>
      <w:tr>
        <w:tc>
          <w:tcPr>
            <w:tcW w:type="dxa" w:w="3213"/>
          </w:tcPr>
          <w:p>
            <w:pPr>
              <w:spacing w:after="20" w:before="20" w:line="240" w:lineRule="auto"/>
            </w:pPr>
            <w:r/>
            <w:r>
              <w:rPr>
                <w:rFonts w:ascii="Arial" w:hAnsi="Arial" w:cs="Arial"/>
                <w:b w:val="0"/>
                <w:i w:val="0"/>
                <w:sz w:val="17"/>
              </w:rPr>
              <w:t>Permission</w:t>
            </w:r>
          </w:p>
        </w:tc>
        <w:tc>
          <w:tcPr>
            <w:tcW w:type="dxa" w:w="3213"/>
          </w:tcPr>
          <w:p>
            <w:pPr>
              <w:spacing w:after="20" w:before="20" w:line="240" w:lineRule="auto"/>
            </w:pPr>
            <w:r/>
            <w:r>
              <w:rPr>
                <w:rFonts w:ascii="Arial" w:hAnsi="Arial" w:cs="Arial"/>
                <w:b w:val="0"/>
                <w:i w:val="0"/>
                <w:sz w:val="17"/>
              </w:rPr>
              <w:t>trade.request.create permission; active mode = BUY</w:t>
            </w:r>
          </w:p>
        </w:tc>
        <w:tc>
          <w:tcPr>
            <w:tcW w:type="dxa" w:w="3213"/>
          </w:tcPr>
          <w:p>
            <w:pPr>
              <w:spacing w:after="20" w:before="20" w:line="240" w:lineRule="auto"/>
            </w:pPr>
            <w:r/>
            <w:r>
              <w:rPr>
                <w:rFonts w:ascii="Arial" w:hAnsi="Arial" w:cs="Arial"/>
                <w:b w:val="0"/>
                <w:i w:val="0"/>
                <w:sz w:val="17"/>
              </w:rPr>
              <w:t>OPA (A4)</w:t>
            </w:r>
          </w:p>
        </w:tc>
      </w:tr>
      <w:tr>
        <w:tc>
          <w:tcPr>
            <w:tcW w:type="dxa" w:w="3213"/>
          </w:tcPr>
          <w:p>
            <w:pPr>
              <w:spacing w:after="20" w:before="20" w:line="240" w:lineRule="auto"/>
            </w:pPr>
            <w:r/>
            <w:r>
              <w:rPr>
                <w:rFonts w:ascii="Arial" w:hAnsi="Arial" w:cs="Arial"/>
                <w:b w:val="0"/>
                <w:i w:val="0"/>
                <w:sz w:val="17"/>
              </w:rPr>
              <w:t>Constitutional (WasmEdge)</w:t>
            </w:r>
          </w:p>
        </w:tc>
        <w:tc>
          <w:tcPr>
            <w:tcW w:type="dxa" w:w="3213"/>
          </w:tcPr>
          <w:p>
            <w:pPr>
              <w:spacing w:after="20" w:before="20" w:line="240" w:lineRule="auto"/>
            </w:pPr>
            <w:r/>
            <w:r>
              <w:rPr>
                <w:rFonts w:ascii="Arial" w:hAnsi="Arial" w:cs="Arial"/>
                <w:b w:val="0"/>
                <w:i w:val="0"/>
                <w:sz w:val="17"/>
              </w:rPr>
              <w:t>Jurisdiction validation; port validation; incoterm validation; fee bounds validation; A5 prohibition check</w:t>
            </w:r>
          </w:p>
        </w:tc>
        <w:tc>
          <w:tcPr>
            <w:tcW w:type="dxa" w:w="3213"/>
          </w:tcPr>
          <w:p>
            <w:pPr>
              <w:spacing w:after="20" w:before="20" w:line="240" w:lineRule="auto"/>
            </w:pPr>
            <w:r/>
            <w:r>
              <w:rPr>
                <w:rFonts w:ascii="Arial" w:hAnsi="Arial" w:cs="Arial"/>
                <w:b w:val="0"/>
                <w:i w:val="0"/>
                <w:sz w:val="17"/>
              </w:rPr>
              <w:t>WasmEdge (A4)</w:t>
            </w:r>
          </w:p>
        </w:tc>
      </w:tr>
      <w:tr>
        <w:tc>
          <w:tcPr>
            <w:tcW w:type="dxa" w:w="3213"/>
          </w:tcPr>
          <w:p>
            <w:pPr>
              <w:spacing w:after="20" w:before="20" w:line="240" w:lineRule="auto"/>
            </w:pPr>
            <w:r/>
            <w:r>
              <w:rPr>
                <w:rFonts w:ascii="Arial" w:hAnsi="Arial" w:cs="Arial"/>
                <w:b w:val="0"/>
                <w:i w:val="0"/>
                <w:sz w:val="17"/>
              </w:rPr>
              <w:t>OPA policy</w:t>
            </w:r>
          </w:p>
        </w:tc>
        <w:tc>
          <w:tcPr>
            <w:tcW w:type="dxa" w:w="3213"/>
          </w:tcPr>
          <w:p>
            <w:pPr>
              <w:spacing w:after="20" w:before="20" w:line="240" w:lineRule="auto"/>
            </w:pPr>
            <w:r/>
            <w:r>
              <w:rPr>
                <w:rFonts w:ascii="Arial" w:hAnsi="Arial" w:cs="Arial"/>
                <w:b w:val="0"/>
                <w:i w:val="0"/>
                <w:sz w:val="17"/>
              </w:rPr>
              <w:t>RBAC; data scopes; dual-mode context; approval workflow; readiness score</w:t>
            </w:r>
          </w:p>
        </w:tc>
        <w:tc>
          <w:tcPr>
            <w:tcW w:type="dxa" w:w="3213"/>
          </w:tcPr>
          <w:p>
            <w:pPr>
              <w:spacing w:after="20" w:before="20" w:line="240" w:lineRule="auto"/>
            </w:pPr>
            <w:r/>
            <w:r>
              <w:rPr>
                <w:rFonts w:ascii="Arial" w:hAnsi="Arial" w:cs="Arial"/>
                <w:b w:val="0"/>
                <w:i w:val="0"/>
                <w:sz w:val="17"/>
              </w:rPr>
              <w:t>OPA (A4)</w:t>
            </w:r>
          </w:p>
        </w:tc>
      </w:tr>
      <w:tr>
        <w:tc>
          <w:tcPr>
            <w:tcW w:type="dxa" w:w="3213"/>
          </w:tcPr>
          <w:p>
            <w:pPr>
              <w:spacing w:after="20" w:before="20" w:line="240" w:lineRule="auto"/>
            </w:pPr>
            <w:r/>
            <w:r>
              <w:rPr>
                <w:rFonts w:ascii="Arial" w:hAnsi="Arial" w:cs="Arial"/>
                <w:b w:val="0"/>
                <w:i w:val="0"/>
                <w:sz w:val="17"/>
              </w:rPr>
              <w:t>AI advisory</w:t>
            </w:r>
          </w:p>
        </w:tc>
        <w:tc>
          <w:tcPr>
            <w:tcW w:type="dxa" w:w="3213"/>
          </w:tcPr>
          <w:p>
            <w:pPr>
              <w:spacing w:after="20" w:before="20" w:line="240" w:lineRule="auto"/>
            </w:pPr>
            <w:r/>
            <w:r>
              <w:rPr>
                <w:rFonts w:ascii="Arial" w:hAnsi="Arial" w:cs="Arial"/>
                <w:b w:val="0"/>
                <w:i w:val="0"/>
                <w:sz w:val="17"/>
              </w:rPr>
              <w:t>Dual-use screening (A2); commodity compatibility (A2); treatment data check (A2); GNN risk check (A2); tenant message generation (A1)</w:t>
            </w:r>
          </w:p>
        </w:tc>
        <w:tc>
          <w:tcPr>
            <w:tcW w:type="dxa" w:w="3213"/>
          </w:tcPr>
          <w:p>
            <w:pPr>
              <w:spacing w:after="20" w:before="20" w:line="240" w:lineRule="auto"/>
            </w:pPr>
            <w:r/>
            <w:r>
              <w:rPr>
                <w:rFonts w:ascii="Arial" w:hAnsi="Arial" w:cs="Arial"/>
                <w:b w:val="0"/>
                <w:i w:val="0"/>
                <w:sz w:val="17"/>
              </w:rPr>
              <w:t>AI Orchestrator</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Validation results are cached for performance in `prescreen_validation_cache` with a 5-minute expiry (Section 15.3.6); on expiry the full validation matrix is re-evaluated.</w:t>
      </w:r>
    </w:p>
    <w:p>
      <w:pPr>
        <w:keepNext/>
        <w:spacing w:before="180" w:after="80"/>
        <w:outlineLvl w:val="2"/>
      </w:pPr>
      <w:r>
        <w:rPr>
          <w:rFonts w:ascii="Arial" w:hAnsi="Arial" w:cs="Arial"/>
          <w:b/>
          <w:i w:val="0"/>
          <w:color w:val="333333"/>
          <w:sz w:val="23"/>
        </w:rPr>
        <w:t>15.3.3 Submission Flow</w:t>
      </w:r>
    </w:p>
    <w:p>
      <w:pPr>
        <w:spacing w:after="0" w:before="0" w:line="240" w:lineRule="auto"/>
        <w:ind w:left="57"/>
        <w:jc w:val="left"/>
        <w:shd w:val="clear" w:fill="F2F2F2"/>
      </w:pPr>
      <w:r>
        <w:rPr>
          <w:rFonts w:ascii="Consolas" w:hAnsi="Consolas" w:cs="Consolas"/>
          <w:b w:val="0"/>
          <w:i w:val="0"/>
          <w:sz w:val="15"/>
        </w:rPr>
        <w:t>1. USER CLICKS "SUBMIT TRADE REQUEST"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2. GOVERNOR PRE-SCREEN (A4)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+-- 2a. Permission checks</w:t>
      </w:r>
    </w:p>
    <w:p>
      <w:pPr>
        <w:spacing w:after="0" w:before="0" w:line="240" w:lineRule="auto"/>
        <w:ind w:left="57"/>
        <w:jc w:val="left"/>
        <w:shd w:val="clear" w:fill="F2F2F2"/>
      </w:pPr>
      <w:r>
        <w:rPr>
          <w:rFonts w:ascii="Consolas" w:hAnsi="Consolas" w:cs="Consolas"/>
          <w:b w:val="0"/>
          <w:i w:val="0"/>
          <w:sz w:val="15"/>
        </w:rPr>
        <w:t xml:space="preserve">   |       - trade.request.create permission</w:t>
      </w:r>
    </w:p>
    <w:p>
      <w:pPr>
        <w:spacing w:after="0" w:before="0" w:line="240" w:lineRule="auto"/>
        <w:ind w:left="57"/>
        <w:jc w:val="left"/>
        <w:shd w:val="clear" w:fill="F2F2F2"/>
      </w:pPr>
      <w:r>
        <w:rPr>
          <w:rFonts w:ascii="Consolas" w:hAnsi="Consolas" w:cs="Consolas"/>
          <w:b w:val="0"/>
          <w:i w:val="0"/>
          <w:sz w:val="15"/>
        </w:rPr>
        <w:t xml:space="preserve">   |       - Active mode = BUY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+-- 2b. Constitutional checks (WasmEdge)</w:t>
      </w:r>
    </w:p>
    <w:p>
      <w:pPr>
        <w:spacing w:after="0" w:before="0" w:line="240" w:lineRule="auto"/>
        <w:ind w:left="57"/>
        <w:jc w:val="left"/>
        <w:shd w:val="clear" w:fill="F2F2F2"/>
      </w:pPr>
      <w:r>
        <w:rPr>
          <w:rFonts w:ascii="Consolas" w:hAnsi="Consolas" w:cs="Consolas"/>
          <w:b w:val="0"/>
          <w:i w:val="0"/>
          <w:sz w:val="15"/>
        </w:rPr>
        <w:t xml:space="preserve">   |       - Jurisdiction validation</w:t>
      </w:r>
    </w:p>
    <w:p>
      <w:pPr>
        <w:spacing w:after="0" w:before="0" w:line="240" w:lineRule="auto"/>
        <w:ind w:left="57"/>
        <w:jc w:val="left"/>
        <w:shd w:val="clear" w:fill="F2F2F2"/>
      </w:pPr>
      <w:r>
        <w:rPr>
          <w:rFonts w:ascii="Consolas" w:hAnsi="Consolas" w:cs="Consolas"/>
          <w:b w:val="0"/>
          <w:i w:val="0"/>
          <w:sz w:val="15"/>
        </w:rPr>
        <w:t xml:space="preserve">   |       - Port validation</w:t>
      </w:r>
    </w:p>
    <w:p>
      <w:pPr>
        <w:spacing w:after="0" w:before="0" w:line="240" w:lineRule="auto"/>
        <w:ind w:left="57"/>
        <w:jc w:val="left"/>
        <w:shd w:val="clear" w:fill="F2F2F2"/>
      </w:pPr>
      <w:r>
        <w:rPr>
          <w:rFonts w:ascii="Consolas" w:hAnsi="Consolas" w:cs="Consolas"/>
          <w:b w:val="0"/>
          <w:i w:val="0"/>
          <w:sz w:val="15"/>
        </w:rPr>
        <w:t xml:space="preserve">   |       - Incoterm validation</w:t>
      </w:r>
    </w:p>
    <w:p>
      <w:pPr>
        <w:spacing w:after="0" w:before="0" w:line="240" w:lineRule="auto"/>
        <w:ind w:left="57"/>
        <w:jc w:val="left"/>
        <w:shd w:val="clear" w:fill="F2F2F2"/>
      </w:pPr>
      <w:r>
        <w:rPr>
          <w:rFonts w:ascii="Consolas" w:hAnsi="Consolas" w:cs="Consolas"/>
          <w:b w:val="0"/>
          <w:i w:val="0"/>
          <w:sz w:val="15"/>
        </w:rPr>
        <w:t xml:space="preserve">   |       - Fee bounds validation</w:t>
      </w:r>
    </w:p>
    <w:p>
      <w:pPr>
        <w:spacing w:after="0" w:before="0" w:line="240" w:lineRule="auto"/>
        <w:ind w:left="57"/>
        <w:jc w:val="left"/>
        <w:shd w:val="clear" w:fill="F2F2F2"/>
      </w:pPr>
      <w:r>
        <w:rPr>
          <w:rFonts w:ascii="Consolas" w:hAnsi="Consolas" w:cs="Consolas"/>
          <w:b w:val="0"/>
          <w:i w:val="0"/>
          <w:sz w:val="15"/>
        </w:rPr>
        <w:t xml:space="preserve">   |       - A5 prohibition check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+-- 2c. OPA policy checks</w:t>
      </w:r>
    </w:p>
    <w:p>
      <w:pPr>
        <w:spacing w:after="0" w:before="0" w:line="240" w:lineRule="auto"/>
        <w:ind w:left="57"/>
        <w:jc w:val="left"/>
        <w:shd w:val="clear" w:fill="F2F2F2"/>
      </w:pPr>
      <w:r>
        <w:rPr>
          <w:rFonts w:ascii="Consolas" w:hAnsi="Consolas" w:cs="Consolas"/>
          <w:b w:val="0"/>
          <w:i w:val="0"/>
          <w:sz w:val="15"/>
        </w:rPr>
        <w:t xml:space="preserve">   |       - RBAC</w:t>
      </w:r>
    </w:p>
    <w:p>
      <w:pPr>
        <w:spacing w:after="0" w:before="0" w:line="240" w:lineRule="auto"/>
        <w:ind w:left="57"/>
        <w:jc w:val="left"/>
        <w:shd w:val="clear" w:fill="F2F2F2"/>
      </w:pPr>
      <w:r>
        <w:rPr>
          <w:rFonts w:ascii="Consolas" w:hAnsi="Consolas" w:cs="Consolas"/>
          <w:b w:val="0"/>
          <w:i w:val="0"/>
          <w:sz w:val="15"/>
        </w:rPr>
        <w:t xml:space="preserve">   |       - Data scopes</w:t>
      </w:r>
    </w:p>
    <w:p>
      <w:pPr>
        <w:spacing w:after="0" w:before="0" w:line="240" w:lineRule="auto"/>
        <w:ind w:left="57"/>
        <w:jc w:val="left"/>
        <w:shd w:val="clear" w:fill="F2F2F2"/>
      </w:pPr>
      <w:r>
        <w:rPr>
          <w:rFonts w:ascii="Consolas" w:hAnsi="Consolas" w:cs="Consolas"/>
          <w:b w:val="0"/>
          <w:i w:val="0"/>
          <w:sz w:val="15"/>
        </w:rPr>
        <w:t xml:space="preserve">   |       - Dual-mode context</w:t>
      </w:r>
    </w:p>
    <w:p>
      <w:pPr>
        <w:spacing w:after="0" w:before="0" w:line="240" w:lineRule="auto"/>
        <w:ind w:left="57"/>
        <w:jc w:val="left"/>
        <w:shd w:val="clear" w:fill="F2F2F2"/>
      </w:pPr>
      <w:r>
        <w:rPr>
          <w:rFonts w:ascii="Consolas" w:hAnsi="Consolas" w:cs="Consolas"/>
          <w:b w:val="0"/>
          <w:i w:val="0"/>
          <w:sz w:val="15"/>
        </w:rPr>
        <w:t xml:space="preserve">   |       - Approval workflow</w:t>
      </w:r>
    </w:p>
    <w:p>
      <w:pPr>
        <w:spacing w:after="0" w:before="0" w:line="240" w:lineRule="auto"/>
        <w:ind w:left="57"/>
        <w:jc w:val="left"/>
        <w:shd w:val="clear" w:fill="F2F2F2"/>
      </w:pPr>
      <w:r>
        <w:rPr>
          <w:rFonts w:ascii="Consolas" w:hAnsi="Consolas" w:cs="Consolas"/>
          <w:b w:val="0"/>
          <w:i w:val="0"/>
          <w:sz w:val="15"/>
        </w:rPr>
        <w:t xml:space="preserve">   |       - Readiness score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+-- 2d. AI advisory checks (A1-A3)</w:t>
      </w:r>
    </w:p>
    <w:p>
      <w:pPr>
        <w:spacing w:after="0" w:before="0" w:line="240" w:lineRule="auto"/>
        <w:ind w:left="57"/>
        <w:jc w:val="left"/>
        <w:shd w:val="clear" w:fill="F2F2F2"/>
      </w:pPr>
      <w:r>
        <w:rPr>
          <w:rFonts w:ascii="Consolas" w:hAnsi="Consolas" w:cs="Consolas"/>
          <w:b w:val="0"/>
          <w:i w:val="0"/>
          <w:sz w:val="15"/>
        </w:rPr>
        <w:t xml:space="preserve">           - Dual-use screening (A2)</w:t>
      </w:r>
    </w:p>
    <w:p>
      <w:pPr>
        <w:spacing w:after="0" w:before="0" w:line="240" w:lineRule="auto"/>
        <w:ind w:left="57"/>
        <w:jc w:val="left"/>
        <w:shd w:val="clear" w:fill="F2F2F2"/>
      </w:pPr>
      <w:r>
        <w:rPr>
          <w:rFonts w:ascii="Consolas" w:hAnsi="Consolas" w:cs="Consolas"/>
          <w:b w:val="0"/>
          <w:i w:val="0"/>
          <w:sz w:val="15"/>
        </w:rPr>
        <w:t xml:space="preserve">           - Commodity compatibility (A2)</w:t>
      </w:r>
    </w:p>
    <w:p>
      <w:pPr>
        <w:spacing w:after="0" w:before="0" w:line="240" w:lineRule="auto"/>
        <w:ind w:left="57"/>
        <w:jc w:val="left"/>
        <w:shd w:val="clear" w:fill="F2F2F2"/>
      </w:pPr>
      <w:r>
        <w:rPr>
          <w:rFonts w:ascii="Consolas" w:hAnsi="Consolas" w:cs="Consolas"/>
          <w:b w:val="0"/>
          <w:i w:val="0"/>
          <w:sz w:val="15"/>
        </w:rPr>
        <w:t xml:space="preserve">           - Treatment data check (A2)</w:t>
      </w:r>
    </w:p>
    <w:p>
      <w:pPr>
        <w:spacing w:after="0" w:before="0" w:line="240" w:lineRule="auto"/>
        <w:ind w:left="57"/>
        <w:jc w:val="left"/>
        <w:shd w:val="clear" w:fill="F2F2F2"/>
      </w:pPr>
      <w:r>
        <w:rPr>
          <w:rFonts w:ascii="Consolas" w:hAnsi="Consolas" w:cs="Consolas"/>
          <w:b w:val="0"/>
          <w:i w:val="0"/>
          <w:sz w:val="15"/>
        </w:rPr>
        <w:t xml:space="preserve">           - GNN risk check (A2)</w:t>
      </w:r>
    </w:p>
    <w:p>
      <w:pPr>
        <w:spacing w:after="0" w:before="0" w:line="240" w:lineRule="auto"/>
        <w:ind w:left="57"/>
        <w:jc w:val="left"/>
        <w:shd w:val="clear" w:fill="F2F2F2"/>
      </w:pPr>
      <w:r>
        <w:rPr>
          <w:rFonts w:ascii="Consolas" w:hAnsi="Consolas" w:cs="Consolas"/>
          <w:b w:val="0"/>
          <w:i w:val="0"/>
          <w:sz w:val="15"/>
        </w:rPr>
        <w:t xml:space="preserve">           - Tenant message generation (A1)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3. DECISION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ALLOW        -&gt; Trade Request Created -&gt; Seller Notified -&gt; Logged in Loom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CONDITIONAL  -&gt; Decision Panel (explanation + conditions</w:t>
      </w:r>
    </w:p>
    <w:p>
      <w:pPr>
        <w:spacing w:after="0" w:before="0" w:line="240" w:lineRule="auto"/>
        <w:ind w:left="57"/>
        <w:jc w:val="left"/>
        <w:shd w:val="clear" w:fill="F2F2F2"/>
      </w:pPr>
      <w:r>
        <w:rPr>
          <w:rFonts w:ascii="Consolas" w:hAnsi="Consolas" w:cs="Consolas"/>
          <w:b w:val="0"/>
          <w:i w:val="0"/>
          <w:sz w:val="15"/>
        </w:rPr>
        <w:t xml:space="preserve">   |                   + remediation links) -&gt; Logged in Loom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DENY         -&gt; Decision Panel (explanation + remediation)</w:t>
      </w:r>
    </w:p>
    <w:p>
      <w:pPr>
        <w:spacing w:after="0" w:before="0" w:line="240" w:lineRule="auto"/>
        <w:ind w:left="57"/>
        <w:jc w:val="left"/>
        <w:shd w:val="clear" w:fill="F2F2F2"/>
      </w:pPr>
      <w:r>
        <w:rPr>
          <w:rFonts w:ascii="Consolas" w:hAnsi="Consolas" w:cs="Consolas"/>
          <w:b w:val="0"/>
          <w:i w:val="0"/>
          <w:sz w:val="15"/>
        </w:rPr>
        <w:t xml:space="preserve">                       -&gt; Logged in Loom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w:t>
      </w:r>
    </w:p>
    <w:p>
      <w:pPr>
        <w:spacing w:after="0" w:before="0" w:line="240" w:lineRule="auto"/>
        <w:ind w:left="57"/>
        <w:jc w:val="left"/>
        <w:shd w:val="clear" w:fill="F2F2F2"/>
      </w:pPr>
      <w:r>
        <w:rPr>
          <w:rFonts w:ascii="Consolas" w:hAnsi="Consolas" w:cs="Consolas"/>
          <w:b w:val="0"/>
          <w:i w:val="0"/>
          <w:sz w:val="15"/>
        </w:rPr>
        <w:t>4. POST-SUBMISSION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+-- 4a. Trade Request Created</w:t>
      </w:r>
    </w:p>
    <w:p>
      <w:pPr>
        <w:spacing w:after="0" w:before="0" w:line="240" w:lineRule="auto"/>
        <w:ind w:left="57"/>
        <w:jc w:val="left"/>
        <w:shd w:val="clear" w:fill="F2F2F2"/>
      </w:pPr>
      <w:r>
        <w:rPr>
          <w:rFonts w:ascii="Consolas" w:hAnsi="Consolas" w:cs="Consolas"/>
          <w:b w:val="0"/>
          <w:i w:val="0"/>
          <w:sz w:val="15"/>
        </w:rPr>
        <w:t xml:space="preserve">   |       - Status: PENDING_SELLER_RESPONSE</w:t>
      </w:r>
    </w:p>
    <w:p>
      <w:pPr>
        <w:spacing w:after="0" w:before="0" w:line="240" w:lineRule="auto"/>
        <w:ind w:left="57"/>
        <w:jc w:val="left"/>
        <w:shd w:val="clear" w:fill="F2F2F2"/>
      </w:pPr>
      <w:r>
        <w:rPr>
          <w:rFonts w:ascii="Consolas" w:hAnsi="Consolas" w:cs="Consolas"/>
          <w:b w:val="0"/>
          <w:i w:val="0"/>
          <w:sz w:val="15"/>
        </w:rPr>
        <w:t xml:space="preserve">   |       - USTN: not yet generated (generated at contract lock)</w:t>
      </w:r>
    </w:p>
    <w:p>
      <w:pPr>
        <w:spacing w:after="0" w:before="0" w:line="240" w:lineRule="auto"/>
        <w:ind w:left="57"/>
        <w:jc w:val="left"/>
        <w:shd w:val="clear" w:fill="F2F2F2"/>
      </w:pPr>
      <w:r>
        <w:rPr>
          <w:rFonts w:ascii="Consolas" w:hAnsi="Consolas" w:cs="Consolas"/>
          <w:b w:val="0"/>
          <w:i w:val="0"/>
          <w:sz w:val="15"/>
        </w:rPr>
        <w:t xml:space="preserve">   |       - Seller Smart Inbox: Priority 75</w:t>
      </w:r>
    </w:p>
    <w:p>
      <w:pPr>
        <w:spacing w:after="0" w:before="0" w:line="240" w:lineRule="auto"/>
        <w:ind w:left="57"/>
        <w:jc w:val="left"/>
        <w:shd w:val="clear" w:fill="F2F2F2"/>
      </w:pPr>
      <w:r>
        <w:rPr>
          <w:rFonts w:ascii="Consolas" w:hAnsi="Consolas" w:cs="Consolas"/>
          <w:b w:val="0"/>
          <w:i w:val="0"/>
          <w:sz w:val="15"/>
        </w:rPr>
        <w:t xml:space="preserve">   |       - Buyer Smart Inbox: Confirmation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+-- 4b. Background Processing</w:t>
      </w:r>
    </w:p>
    <w:p>
      <w:pPr>
        <w:spacing w:after="0" w:before="0" w:line="240" w:lineRule="auto"/>
        <w:ind w:left="57"/>
        <w:jc w:val="left"/>
        <w:shd w:val="clear" w:fill="F2F2F2"/>
      </w:pPr>
      <w:r>
        <w:rPr>
          <w:rFonts w:ascii="Consolas" w:hAnsi="Consolas" w:cs="Consolas"/>
          <w:b w:val="0"/>
          <w:i w:val="0"/>
          <w:sz w:val="15"/>
        </w:rPr>
        <w:t xml:space="preserve">           - RIA pre-selection for documents</w:t>
      </w:r>
    </w:p>
    <w:p>
      <w:pPr>
        <w:spacing w:after="0" w:before="0" w:line="240" w:lineRule="auto"/>
        <w:ind w:left="57"/>
        <w:jc w:val="left"/>
        <w:shd w:val="clear" w:fill="F2F2F2"/>
      </w:pPr>
      <w:r>
        <w:rPr>
          <w:rFonts w:ascii="Consolas" w:hAnsi="Consolas" w:cs="Consolas"/>
          <w:b w:val="0"/>
          <w:i w:val="0"/>
          <w:sz w:val="15"/>
        </w:rPr>
        <w:t xml:space="preserve">           - AI readiness score calculation</w:t>
      </w:r>
    </w:p>
    <w:p>
      <w:pPr>
        <w:spacing w:after="0" w:before="0" w:line="240" w:lineRule="auto"/>
        <w:ind w:left="57"/>
        <w:jc w:val="left"/>
        <w:shd w:val="clear" w:fill="F2F2F2"/>
      </w:pPr>
      <w:r>
        <w:rPr>
          <w:rFonts w:ascii="Consolas" w:hAnsi="Consolas" w:cs="Consolas"/>
          <w:b w:val="0"/>
          <w:i w:val="0"/>
          <w:sz w:val="15"/>
        </w:rPr>
        <w:t xml:space="preserve">           - Historical pattern matching (Trade Memory Layer)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FeeLock remains in PENDING status throughout the request phase; it becomes ACTIVE only at contract lock, when all signatures are collected (see Section 9).</w:t>
      </w:r>
    </w:p>
    <w:p>
      <w:pPr>
        <w:keepNext/>
        <w:spacing w:before="180" w:after="80"/>
        <w:outlineLvl w:val="2"/>
      </w:pPr>
      <w:r>
        <w:rPr>
          <w:rFonts w:ascii="Arial" w:hAnsi="Arial" w:cs="Arial"/>
          <w:b/>
          <w:i w:val="0"/>
          <w:color w:val="333333"/>
          <w:sz w:val="23"/>
        </w:rPr>
        <w:t>15.3.4 Submission Endpoint</w:t>
      </w:r>
    </w:p>
    <w:p>
      <w:pPr>
        <w:spacing w:after="80" w:line="293" w:lineRule="auto"/>
        <w:jc w:val="left"/>
      </w:pPr>
      <w:r>
        <w:rPr>
          <w:rFonts w:ascii="Times New Roman" w:hAnsi="Times New Roman" w:cs="Times New Roman"/>
          <w:b w:val="0"/>
          <w:i w:val="0"/>
          <w:sz w:val="22"/>
        </w:rPr>
        <w:t>Endpoint: `POST /v1/trade/request/submit`.</w:t>
      </w:r>
    </w:p>
    <w:p>
      <w:pPr>
        <w:spacing w:after="80" w:line="293" w:lineRule="auto"/>
        <w:jc w:val="left"/>
      </w:pPr>
      <w:r>
        <w:rPr>
          <w:rFonts w:ascii="Times New Roman" w:hAnsi="Times New Roman" w:cs="Times New Roman"/>
          <w:b w:val="0"/>
          <w:i w:val="0"/>
          <w:sz w:val="22"/>
        </w:rPr>
        <w:t>Request: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"trade_request_id": "TR-2026-001",</w:t>
      </w:r>
    </w:p>
    <w:p>
      <w:pPr>
        <w:spacing w:after="0" w:before="0" w:line="240" w:lineRule="auto"/>
        <w:ind w:left="57"/>
        <w:jc w:val="left"/>
        <w:shd w:val="clear" w:fill="F2F2F2"/>
      </w:pPr>
      <w:r>
        <w:rPr>
          <w:rFonts w:ascii="Consolas" w:hAnsi="Consolas" w:cs="Consolas"/>
          <w:b w:val="0"/>
          <w:i w:val="0"/>
          <w:sz w:val="15"/>
        </w:rPr>
        <w:t xml:space="preserve">    "submitter_employee_id": "emp-001",</w:t>
      </w:r>
    </w:p>
    <w:p>
      <w:pPr>
        <w:spacing w:after="0" w:before="0" w:line="240" w:lineRule="auto"/>
        <w:ind w:left="57"/>
        <w:jc w:val="left"/>
        <w:shd w:val="clear" w:fill="F2F2F2"/>
      </w:pPr>
      <w:r>
        <w:rPr>
          <w:rFonts w:ascii="Consolas" w:hAnsi="Consolas" w:cs="Consolas"/>
          <w:b w:val="0"/>
          <w:i w:val="0"/>
          <w:sz w:val="15"/>
        </w:rPr>
        <w:t xml:space="preserve">    "submitter_gtid": "SGTX-EG-TRD-001234",</w:t>
      </w:r>
    </w:p>
    <w:p>
      <w:pPr>
        <w:spacing w:after="0" w:before="0" w:line="240" w:lineRule="auto"/>
        <w:ind w:left="57"/>
        <w:jc w:val="left"/>
        <w:shd w:val="clear" w:fill="F2F2F2"/>
      </w:pPr>
      <w:r>
        <w:rPr>
          <w:rFonts w:ascii="Consolas" w:hAnsi="Consolas" w:cs="Consolas"/>
          <w:b w:val="0"/>
          <w:i w:val="0"/>
          <w:sz w:val="15"/>
        </w:rPr>
        <w:t xml:space="preserve">    "submitter_signature": "ed25519:..."</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(ALLOW):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"trade_request_id": "TR-2026-001",</w:t>
      </w:r>
    </w:p>
    <w:p>
      <w:pPr>
        <w:spacing w:after="0" w:before="0" w:line="240" w:lineRule="auto"/>
        <w:ind w:left="57"/>
        <w:jc w:val="left"/>
        <w:shd w:val="clear" w:fill="F2F2F2"/>
      </w:pPr>
      <w:r>
        <w:rPr>
          <w:rFonts w:ascii="Consolas" w:hAnsi="Consolas" w:cs="Consolas"/>
          <w:b w:val="0"/>
          <w:i w:val="0"/>
          <w:sz w:val="15"/>
        </w:rPr>
        <w:t xml:space="preserve">    "status": "PENDING_SELLER_RESPONSE",</w:t>
      </w:r>
    </w:p>
    <w:p>
      <w:pPr>
        <w:spacing w:after="0" w:before="0" w:line="240" w:lineRule="auto"/>
        <w:ind w:left="57"/>
        <w:jc w:val="left"/>
        <w:shd w:val="clear" w:fill="F2F2F2"/>
      </w:pPr>
      <w:r>
        <w:rPr>
          <w:rFonts w:ascii="Consolas" w:hAnsi="Consolas" w:cs="Consolas"/>
          <w:b w:val="0"/>
          <w:i w:val="0"/>
          <w:sz w:val="15"/>
        </w:rPr>
        <w:t xml:space="preserve">    "submitted_at": "2026-06-20T10:30:00Z",</w:t>
      </w:r>
    </w:p>
    <w:p>
      <w:pPr>
        <w:spacing w:after="0" w:before="0" w:line="240" w:lineRule="auto"/>
        <w:ind w:left="57"/>
        <w:jc w:val="left"/>
        <w:shd w:val="clear" w:fill="F2F2F2"/>
      </w:pPr>
      <w:r>
        <w:rPr>
          <w:rFonts w:ascii="Consolas" w:hAnsi="Consolas" w:cs="Consolas"/>
          <w:b w:val="0"/>
          <w:i w:val="0"/>
          <w:sz w:val="15"/>
        </w:rPr>
        <w:t xml:space="preserve">    "decision_id": "dec-abc123",</w:t>
      </w:r>
    </w:p>
    <w:p>
      <w:pPr>
        <w:spacing w:after="0" w:before="0" w:line="240" w:lineRule="auto"/>
        <w:ind w:left="57"/>
        <w:jc w:val="left"/>
        <w:shd w:val="clear" w:fill="F2F2F2"/>
      </w:pPr>
      <w:r>
        <w:rPr>
          <w:rFonts w:ascii="Consolas" w:hAnsi="Consolas" w:cs="Consolas"/>
          <w:b w:val="0"/>
          <w:i w:val="0"/>
          <w:sz w:val="15"/>
        </w:rPr>
        <w:t xml:space="preserve">    "loom_hash": "sha256:a1b2c3...",</w:t>
      </w:r>
    </w:p>
    <w:p>
      <w:pPr>
        <w:spacing w:after="0" w:before="0" w:line="240" w:lineRule="auto"/>
        <w:ind w:left="57"/>
        <w:jc w:val="left"/>
        <w:shd w:val="clear" w:fill="F2F2F2"/>
      </w:pPr>
      <w:r>
        <w:rPr>
          <w:rFonts w:ascii="Consolas" w:hAnsi="Consolas" w:cs="Consolas"/>
          <w:b w:val="0"/>
          <w:i w:val="0"/>
          <w:sz w:val="15"/>
        </w:rPr>
        <w:t xml:space="preserve">    "seller_notification": {</w:t>
      </w:r>
    </w:p>
    <w:p>
      <w:pPr>
        <w:spacing w:after="0" w:before="0" w:line="240" w:lineRule="auto"/>
        <w:ind w:left="57"/>
        <w:jc w:val="left"/>
        <w:shd w:val="clear" w:fill="F2F2F2"/>
      </w:pPr>
      <w:r>
        <w:rPr>
          <w:rFonts w:ascii="Consolas" w:hAnsi="Consolas" w:cs="Consolas"/>
          <w:b w:val="0"/>
          <w:i w:val="0"/>
          <w:sz w:val="15"/>
        </w:rPr>
        <w:t xml:space="preserve">        "sent_at": "2026-06-20T10:30:00Z",</w:t>
      </w:r>
    </w:p>
    <w:p>
      <w:pPr>
        <w:spacing w:after="0" w:before="0" w:line="240" w:lineRule="auto"/>
        <w:ind w:left="57"/>
        <w:jc w:val="left"/>
        <w:shd w:val="clear" w:fill="F2F2F2"/>
      </w:pPr>
      <w:r>
        <w:rPr>
          <w:rFonts w:ascii="Consolas" w:hAnsi="Consolas" w:cs="Consolas"/>
          <w:b w:val="0"/>
          <w:i w:val="0"/>
          <w:sz w:val="15"/>
        </w:rPr>
        <w:t xml:space="preserve">        "method": "SMART_INBOX",</w:t>
      </w:r>
    </w:p>
    <w:p>
      <w:pPr>
        <w:spacing w:after="0" w:before="0" w:line="240" w:lineRule="auto"/>
        <w:ind w:left="57"/>
        <w:jc w:val="left"/>
        <w:shd w:val="clear" w:fill="F2F2F2"/>
      </w:pPr>
      <w:r>
        <w:rPr>
          <w:rFonts w:ascii="Consolas" w:hAnsi="Consolas" w:cs="Consolas"/>
          <w:b w:val="0"/>
          <w:i w:val="0"/>
          <w:sz w:val="15"/>
        </w:rPr>
        <w:t xml:space="preserve">        "priority": 75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"readiness_score": 96,</w:t>
      </w:r>
    </w:p>
    <w:p>
      <w:pPr>
        <w:spacing w:after="0" w:before="0" w:line="240" w:lineRule="auto"/>
        <w:ind w:left="57"/>
        <w:jc w:val="left"/>
        <w:shd w:val="clear" w:fill="F2F2F2"/>
      </w:pPr>
      <w:r>
        <w:rPr>
          <w:rFonts w:ascii="Consolas" w:hAnsi="Consolas" w:cs="Consolas"/>
          <w:b w:val="0"/>
          <w:i w:val="0"/>
          <w:sz w:val="15"/>
        </w:rPr>
        <w:t xml:space="preserve">    "estimated_seller_response_probability": 87</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(CONDITIONAL):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"status": "CONDITIONAL",</w:t>
      </w:r>
    </w:p>
    <w:p>
      <w:pPr>
        <w:spacing w:after="0" w:before="0" w:line="240" w:lineRule="auto"/>
        <w:ind w:left="57"/>
        <w:jc w:val="left"/>
        <w:shd w:val="clear" w:fill="F2F2F2"/>
      </w:pPr>
      <w:r>
        <w:rPr>
          <w:rFonts w:ascii="Consolas" w:hAnsi="Consolas" w:cs="Consolas"/>
          <w:b w:val="0"/>
          <w:i w:val="0"/>
          <w:sz w:val="15"/>
        </w:rPr>
        <w:t xml:space="preserve">    "decision_id": "dec-def456",</w:t>
      </w:r>
    </w:p>
    <w:p>
      <w:pPr>
        <w:spacing w:after="0" w:before="0" w:line="240" w:lineRule="auto"/>
        <w:ind w:left="57"/>
        <w:jc w:val="left"/>
        <w:shd w:val="clear" w:fill="F2F2F2"/>
      </w:pPr>
      <w:r>
        <w:rPr>
          <w:rFonts w:ascii="Consolas" w:hAnsi="Consolas" w:cs="Consolas"/>
          <w:b w:val="0"/>
          <w:i w:val="0"/>
          <w:sz w:val="15"/>
        </w:rPr>
        <w:t xml:space="preserve">    "loom_hash": "sha256:d4e5f6...",</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is on hold because several conditions need to be resolved.",</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"settlement_flexibility",</w:t>
      </w:r>
    </w:p>
    <w:p>
      <w:pPr>
        <w:spacing w:after="0" w:before="0" w:line="240" w:lineRule="auto"/>
        <w:ind w:left="57"/>
        <w:jc w:val="left"/>
        <w:shd w:val="clear" w:fill="F2F2F2"/>
      </w:pPr>
      <w:r>
        <w:rPr>
          <w:rFonts w:ascii="Consolas" w:hAnsi="Consolas" w:cs="Consolas"/>
          <w:b w:val="0"/>
          <w:i w:val="0"/>
          <w:sz w:val="15"/>
        </w:rPr>
        <w:t xml:space="preserve">                "label": "Select Settlement Flexibility",</w:t>
      </w:r>
    </w:p>
    <w:p>
      <w:pPr>
        <w:spacing w:after="0" w:before="0" w:line="240" w:lineRule="auto"/>
        <w:ind w:left="57"/>
        <w:jc w:val="left"/>
        <w:shd w:val="clear" w:fill="F2F2F2"/>
      </w:pPr>
      <w:r>
        <w:rPr>
          <w:rFonts w:ascii="Consolas" w:hAnsi="Consolas" w:cs="Consolas"/>
          <w:b w:val="0"/>
          <w:i w:val="0"/>
          <w:sz w:val="15"/>
        </w:rPr>
        <w:t xml:space="preserve">                "status": "unmet",</w:t>
      </w:r>
    </w:p>
    <w:p>
      <w:pPr>
        <w:spacing w:after="0" w:before="0" w:line="240" w:lineRule="auto"/>
        <w:ind w:left="57"/>
        <w:jc w:val="left"/>
        <w:shd w:val="clear" w:fill="F2F2F2"/>
      </w:pPr>
      <w:r>
        <w:rPr>
          <w:rFonts w:ascii="Consolas" w:hAnsi="Consolas" w:cs="Consolas"/>
          <w:b w:val="0"/>
          <w:i w:val="0"/>
          <w:sz w:val="15"/>
        </w:rPr>
        <w:t xml:space="preserve">                "action_url": "/v1/trade/request/draft?trade_id=TR-2026-001&amp;section=settlement"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"insurance_required",</w:t>
      </w:r>
    </w:p>
    <w:p>
      <w:pPr>
        <w:spacing w:after="0" w:before="0" w:line="240" w:lineRule="auto"/>
        <w:ind w:left="57"/>
        <w:jc w:val="left"/>
        <w:shd w:val="clear" w:fill="F2F2F2"/>
      </w:pPr>
      <w:r>
        <w:rPr>
          <w:rFonts w:ascii="Consolas" w:hAnsi="Consolas" w:cs="Consolas"/>
          <w:b w:val="0"/>
          <w:i w:val="0"/>
          <w:sz w:val="15"/>
        </w:rPr>
        <w:t xml:space="preserve">                "label": "Specify Insurance Requirements",</w:t>
      </w:r>
    </w:p>
    <w:p>
      <w:pPr>
        <w:spacing w:after="0" w:before="0" w:line="240" w:lineRule="auto"/>
        <w:ind w:left="57"/>
        <w:jc w:val="left"/>
        <w:shd w:val="clear" w:fill="F2F2F2"/>
      </w:pPr>
      <w:r>
        <w:rPr>
          <w:rFonts w:ascii="Consolas" w:hAnsi="Consolas" w:cs="Consolas"/>
          <w:b w:val="0"/>
          <w:i w:val="0"/>
          <w:sz w:val="15"/>
        </w:rPr>
        <w:t xml:space="preserve">                "status": "unmet",</w:t>
      </w:r>
    </w:p>
    <w:p>
      <w:pPr>
        <w:spacing w:after="0" w:before="0" w:line="240" w:lineRule="auto"/>
        <w:ind w:left="57"/>
        <w:jc w:val="left"/>
        <w:shd w:val="clear" w:fill="F2F2F2"/>
      </w:pPr>
      <w:r>
        <w:rPr>
          <w:rFonts w:ascii="Consolas" w:hAnsi="Consolas" w:cs="Consolas"/>
          <w:b w:val="0"/>
          <w:i w:val="0"/>
          <w:sz w:val="15"/>
        </w:rPr>
        <w:t xml:space="preserve">                "action_url": "/v1/trade/request/draft?trade_id=TR-2026-001&amp;section=insurance"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human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15.3.5 Governor Decision Panel</w:t>
      </w:r>
    </w:p>
    <w:p>
      <w:pPr>
        <w:spacing w:after="80" w:line="293" w:lineRule="auto"/>
        <w:jc w:val="left"/>
      </w:pPr>
      <w:r>
        <w:rPr>
          <w:rFonts w:ascii="Times New Roman" w:hAnsi="Times New Roman" w:cs="Times New Roman"/>
          <w:b w:val="0"/>
          <w:i w:val="0"/>
          <w:sz w:val="22"/>
        </w:rPr>
        <w:t>The Decision Panel renders every CONDITIONAL and DENY verdict. It never displays OPA rule IDs, WasmEdge error codes, or Loom hashes — only plain-language explanation, the conditions to resolve, action buttons, and the human-review escalation path.</w:t>
      </w:r>
    </w:p>
    <w:p>
      <w:pPr>
        <w:spacing w:after="80" w:line="293" w:lineRule="auto"/>
        <w:jc w:val="left"/>
      </w:pPr>
      <w:r>
        <w:rPr>
          <w:rFonts w:ascii="Times New Roman" w:hAnsi="Times New Roman" w:cs="Times New Roman"/>
          <w:b w:val="0"/>
          <w:i w:val="0"/>
          <w:sz w:val="22"/>
        </w:rPr>
        <w:t>UI example — CONDITIONAL:</w:t>
      </w:r>
    </w:p>
    <w:p>
      <w:pPr>
        <w:spacing w:after="0" w:before="0" w:line="240" w:lineRule="auto"/>
        <w:ind w:left="57"/>
        <w:jc w:val="left"/>
        <w:shd w:val="clear" w:fill="F2F2F2"/>
      </w:pPr>
      <w:r>
        <w:rPr>
          <w:rFonts w:ascii="Consolas" w:hAnsi="Consolas" w:cs="Consolas"/>
          <w:b w:val="0"/>
          <w:i w:val="0"/>
          <w:sz w:val="15"/>
        </w:rPr>
        <w:t>ADDITIONAL STEPS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Action:         Submit Trade Request</w:t>
      </w:r>
    </w:p>
    <w:p>
      <w:pPr>
        <w:spacing w:after="0" w:before="0" w:line="240" w:lineRule="auto"/>
        <w:ind w:left="57"/>
        <w:jc w:val="left"/>
        <w:shd w:val="clear" w:fill="F2F2F2"/>
      </w:pPr>
      <w:r>
        <w:rPr>
          <w:rFonts w:ascii="Consolas" w:hAnsi="Consolas" w:cs="Consolas"/>
          <w:b w:val="0"/>
          <w:i w:val="0"/>
          <w:sz w:val="15"/>
        </w:rPr>
        <w:t>USTN:           (not yet generated)</w:t>
      </w:r>
    </w:p>
    <w:p>
      <w:pPr>
        <w:spacing w:after="0" w:before="0" w:line="240" w:lineRule="auto"/>
        <w:ind w:left="57"/>
        <w:jc w:val="left"/>
        <w:shd w:val="clear" w:fill="F2F2F2"/>
      </w:pPr>
      <w:r>
        <w:rPr>
          <w:rFonts w:ascii="Consolas" w:hAnsi="Consolas" w:cs="Consolas"/>
          <w:b w:val="0"/>
          <w:i w:val="0"/>
          <w:sz w:val="15"/>
        </w:rPr>
        <w:t>Trade Request:  TR-2026-001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Why this happened:</w:t>
      </w:r>
    </w:p>
    <w:p>
      <w:pPr>
        <w:spacing w:after="0" w:before="0" w:line="240" w:lineRule="auto"/>
        <w:ind w:left="57"/>
        <w:jc w:val="left"/>
        <w:shd w:val="clear" w:fill="F2F2F2"/>
      </w:pPr>
      <w:r>
        <w:rPr>
          <w:rFonts w:ascii="Consolas" w:hAnsi="Consolas" w:cs="Consolas"/>
          <w:b w:val="0"/>
          <w:i w:val="0"/>
          <w:sz w:val="15"/>
        </w:rPr>
        <w:t xml:space="preserve">  Your trade request is on hold because several conditions</w:t>
      </w:r>
    </w:p>
    <w:p>
      <w:pPr>
        <w:spacing w:after="0" w:before="0" w:line="240" w:lineRule="auto"/>
        <w:ind w:left="57"/>
        <w:jc w:val="left"/>
        <w:shd w:val="clear" w:fill="F2F2F2"/>
      </w:pPr>
      <w:r>
        <w:rPr>
          <w:rFonts w:ascii="Consolas" w:hAnsi="Consolas" w:cs="Consolas"/>
          <w:b w:val="0"/>
          <w:i w:val="0"/>
          <w:sz w:val="15"/>
        </w:rPr>
        <w:t xml:space="preserve">  need to be resolved. Our compliance and business rules have</w:t>
      </w:r>
    </w:p>
    <w:p>
      <w:pPr>
        <w:spacing w:after="0" w:before="0" w:line="240" w:lineRule="auto"/>
        <w:ind w:left="57"/>
        <w:jc w:val="left"/>
        <w:shd w:val="clear" w:fill="F2F2F2"/>
      </w:pPr>
      <w:r>
        <w:rPr>
          <w:rFonts w:ascii="Consolas" w:hAnsi="Consolas" w:cs="Consolas"/>
          <w:b w:val="0"/>
          <w:i w:val="0"/>
          <w:sz w:val="15"/>
        </w:rPr>
        <w:t xml:space="preserve">  identified missing or incomplete fields.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What's needed:</w:t>
      </w:r>
    </w:p>
    <w:p>
      <w:pPr>
        <w:spacing w:after="0" w:before="0" w:line="240" w:lineRule="auto"/>
        <w:ind w:left="57"/>
        <w:jc w:val="left"/>
        <w:shd w:val="clear" w:fill="F2F2F2"/>
      </w:pPr>
      <w:r>
        <w:rPr>
          <w:rFonts w:ascii="Consolas" w:hAnsi="Consolas" w:cs="Consolas"/>
          <w:b w:val="0"/>
          <w:i w:val="0"/>
          <w:sz w:val="15"/>
        </w:rPr>
        <w:t xml:space="preserve">  1. Select Settlement Flexibility</w:t>
      </w:r>
    </w:p>
    <w:p>
      <w:pPr>
        <w:spacing w:after="0" w:before="0" w:line="240" w:lineRule="auto"/>
        <w:ind w:left="57"/>
        <w:jc w:val="left"/>
        <w:shd w:val="clear" w:fill="F2F2F2"/>
      </w:pPr>
      <w:r>
        <w:rPr>
          <w:rFonts w:ascii="Consolas" w:hAnsi="Consolas" w:cs="Consolas"/>
          <w:b w:val="0"/>
          <w:i w:val="0"/>
          <w:sz w:val="15"/>
        </w:rPr>
        <w:t xml:space="preserve">     Please indicate whether the settlement terms are Fixed,</w:t>
      </w:r>
    </w:p>
    <w:p>
      <w:pPr>
        <w:spacing w:after="0" w:before="0" w:line="240" w:lineRule="auto"/>
        <w:ind w:left="57"/>
        <w:jc w:val="left"/>
        <w:shd w:val="clear" w:fill="F2F2F2"/>
      </w:pPr>
      <w:r>
        <w:rPr>
          <w:rFonts w:ascii="Consolas" w:hAnsi="Consolas" w:cs="Consolas"/>
          <w:b w:val="0"/>
          <w:i w:val="0"/>
          <w:sz w:val="15"/>
        </w:rPr>
        <w:t xml:space="preserve">     Flexible, or Open To Alternatives.</w:t>
      </w:r>
    </w:p>
    <w:p>
      <w:pPr>
        <w:spacing w:after="0" w:before="0" w:line="240" w:lineRule="auto"/>
        <w:ind w:left="57"/>
        <w:jc w:val="left"/>
        <w:shd w:val="clear" w:fill="F2F2F2"/>
      </w:pPr>
      <w:r>
        <w:rPr>
          <w:rFonts w:ascii="Consolas" w:hAnsi="Consolas" w:cs="Consolas"/>
          <w:b w:val="0"/>
          <w:i w:val="0"/>
          <w:sz w:val="15"/>
        </w:rPr>
        <w:t xml:space="preserve">     [Switch to Settlement Section]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2. Specify Insurance Requirements</w:t>
      </w:r>
    </w:p>
    <w:p>
      <w:pPr>
        <w:spacing w:after="0" w:before="0" w:line="240" w:lineRule="auto"/>
        <w:ind w:left="57"/>
        <w:jc w:val="left"/>
        <w:shd w:val="clear" w:fill="F2F2F2"/>
      </w:pPr>
      <w:r>
        <w:rPr>
          <w:rFonts w:ascii="Consolas" w:hAnsi="Consolas" w:cs="Consolas"/>
          <w:b w:val="0"/>
          <w:i w:val="0"/>
          <w:sz w:val="15"/>
        </w:rPr>
        <w:t xml:space="preserve">     Insurance is required for CIF incoterm. Please specify</w:t>
      </w:r>
    </w:p>
    <w:p>
      <w:pPr>
        <w:spacing w:after="0" w:before="0" w:line="240" w:lineRule="auto"/>
        <w:ind w:left="57"/>
        <w:jc w:val="left"/>
        <w:shd w:val="clear" w:fill="F2F2F2"/>
      </w:pPr>
      <w:r>
        <w:rPr>
          <w:rFonts w:ascii="Consolas" w:hAnsi="Consolas" w:cs="Consolas"/>
          <w:b w:val="0"/>
          <w:i w:val="0"/>
          <w:sz w:val="15"/>
        </w:rPr>
        <w:t xml:space="preserve">     the insurance requirements.</w:t>
      </w:r>
    </w:p>
    <w:p>
      <w:pPr>
        <w:spacing w:after="0" w:before="0" w:line="240" w:lineRule="auto"/>
        <w:ind w:left="57"/>
        <w:jc w:val="left"/>
        <w:shd w:val="clear" w:fill="F2F2F2"/>
      </w:pPr>
      <w:r>
        <w:rPr>
          <w:rFonts w:ascii="Consolas" w:hAnsi="Consolas" w:cs="Consolas"/>
          <w:b w:val="0"/>
          <w:i w:val="0"/>
          <w:sz w:val="15"/>
        </w:rPr>
        <w:t xml:space="preserve">     [Switch to Insurance Section]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 happens next:</w:t>
      </w:r>
    </w:p>
    <w:p>
      <w:pPr>
        <w:spacing w:after="0" w:before="0" w:line="240" w:lineRule="auto"/>
        <w:ind w:left="57"/>
        <w:jc w:val="left"/>
        <w:shd w:val="clear" w:fill="F2F2F2"/>
      </w:pPr>
      <w:r>
        <w:rPr>
          <w:rFonts w:ascii="Consolas" w:hAnsi="Consolas" w:cs="Consolas"/>
          <w:b w:val="0"/>
          <w:i w:val="0"/>
          <w:sz w:val="15"/>
        </w:rPr>
        <w:t xml:space="preserve">  Once you complete these items, your trade request will be</w:t>
      </w:r>
    </w:p>
    <w:p>
      <w:pPr>
        <w:spacing w:after="0" w:before="0" w:line="240" w:lineRule="auto"/>
        <w:ind w:left="57"/>
        <w:jc w:val="left"/>
        <w:shd w:val="clear" w:fill="F2F2F2"/>
      </w:pPr>
      <w:r>
        <w:rPr>
          <w:rFonts w:ascii="Consolas" w:hAnsi="Consolas" w:cs="Consolas"/>
          <w:b w:val="0"/>
          <w:i w:val="0"/>
          <w:sz w:val="15"/>
        </w:rPr>
        <w:t xml:space="preserve">  submitted automatically. You will receive a confirmation and</w:t>
      </w:r>
    </w:p>
    <w:p>
      <w:pPr>
        <w:spacing w:after="0" w:before="0" w:line="240" w:lineRule="auto"/>
        <w:ind w:left="57"/>
        <w:jc w:val="left"/>
        <w:shd w:val="clear" w:fill="F2F2F2"/>
      </w:pPr>
      <w:r>
        <w:rPr>
          <w:rFonts w:ascii="Consolas" w:hAnsi="Consolas" w:cs="Consolas"/>
          <w:b w:val="0"/>
          <w:i w:val="0"/>
          <w:sz w:val="15"/>
        </w:rPr>
        <w:t xml:space="preserve">  the seller will be notified.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If you believe this is incorrect:</w:t>
      </w:r>
    </w:p>
    <w:p>
      <w:pPr>
        <w:spacing w:after="0" w:before="0" w:line="240" w:lineRule="auto"/>
        <w:ind w:left="57"/>
        <w:jc w:val="left"/>
        <w:shd w:val="clear" w:fill="F2F2F2"/>
      </w:pPr>
      <w:r>
        <w:rPr>
          <w:rFonts w:ascii="Consolas" w:hAnsi="Consolas" w:cs="Consolas"/>
          <w:b w:val="0"/>
          <w:i w:val="0"/>
          <w:sz w:val="15"/>
        </w:rPr>
        <w:t xml:space="preserve">  [Request Human Review] - a compliance officer will respond</w:t>
      </w:r>
    </w:p>
    <w:p>
      <w:pPr>
        <w:spacing w:after="0" w:before="0" w:line="240" w:lineRule="auto"/>
        <w:ind w:left="57"/>
        <w:jc w:val="left"/>
        <w:shd w:val="clear" w:fill="F2F2F2"/>
      </w:pPr>
      <w:r>
        <w:rPr>
          <w:rFonts w:ascii="Consolas" w:hAnsi="Consolas" w:cs="Consolas"/>
          <w:b w:val="0"/>
          <w:i w:val="0"/>
          <w:sz w:val="15"/>
        </w:rPr>
        <w:t xml:space="preserve">  within 24h</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UI example — DENY:</w:t>
      </w:r>
    </w:p>
    <w:p>
      <w:pPr>
        <w:spacing w:after="0" w:before="0" w:line="240" w:lineRule="auto"/>
        <w:ind w:left="57"/>
        <w:jc w:val="left"/>
        <w:shd w:val="clear" w:fill="F2F2F2"/>
      </w:pPr>
      <w:r>
        <w:rPr>
          <w:rFonts w:ascii="Consolas" w:hAnsi="Consolas" w:cs="Consolas"/>
          <w:b w:val="0"/>
          <w:i w:val="0"/>
          <w:sz w:val="15"/>
        </w:rPr>
        <w:t>ACTION BLOCKED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Action:         Submit Trade Request</w:t>
      </w:r>
    </w:p>
    <w:p>
      <w:pPr>
        <w:spacing w:after="0" w:before="0" w:line="240" w:lineRule="auto"/>
        <w:ind w:left="57"/>
        <w:jc w:val="left"/>
        <w:shd w:val="clear" w:fill="F2F2F2"/>
      </w:pPr>
      <w:r>
        <w:rPr>
          <w:rFonts w:ascii="Consolas" w:hAnsi="Consolas" w:cs="Consolas"/>
          <w:b w:val="0"/>
          <w:i w:val="0"/>
          <w:sz w:val="15"/>
        </w:rPr>
        <w:t>USTN:           (not yet generated)</w:t>
      </w:r>
    </w:p>
    <w:p>
      <w:pPr>
        <w:spacing w:after="0" w:before="0" w:line="240" w:lineRule="auto"/>
        <w:ind w:left="57"/>
        <w:jc w:val="left"/>
        <w:shd w:val="clear" w:fill="F2F2F2"/>
      </w:pPr>
      <w:r>
        <w:rPr>
          <w:rFonts w:ascii="Consolas" w:hAnsi="Consolas" w:cs="Consolas"/>
          <w:b w:val="0"/>
          <w:i w:val="0"/>
          <w:sz w:val="15"/>
        </w:rPr>
        <w:t>Trade Request:  TR-2026-001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Why this happened:</w:t>
      </w:r>
    </w:p>
    <w:p>
      <w:pPr>
        <w:spacing w:after="0" w:before="0" w:line="240" w:lineRule="auto"/>
        <w:ind w:left="57"/>
        <w:jc w:val="left"/>
        <w:shd w:val="clear" w:fill="F2F2F2"/>
      </w:pPr>
      <w:r>
        <w:rPr>
          <w:rFonts w:ascii="Consolas" w:hAnsi="Consolas" w:cs="Consolas"/>
          <w:b w:val="0"/>
          <w:i w:val="0"/>
          <w:sz w:val="15"/>
        </w:rPr>
        <w:t xml:space="preserve">  Your trade request cannot be submitted because the seller's</w:t>
      </w:r>
    </w:p>
    <w:p>
      <w:pPr>
        <w:spacing w:after="0" w:before="0" w:line="240" w:lineRule="auto"/>
        <w:ind w:left="57"/>
        <w:jc w:val="left"/>
        <w:shd w:val="clear" w:fill="F2F2F2"/>
      </w:pPr>
      <w:r>
        <w:rPr>
          <w:rFonts w:ascii="Consolas" w:hAnsi="Consolas" w:cs="Consolas"/>
          <w:b w:val="0"/>
          <w:i w:val="0"/>
          <w:sz w:val="15"/>
        </w:rPr>
        <w:t xml:space="preserve">  country (Yemen) is on our autoblock list. SGTX cannot</w:t>
      </w:r>
    </w:p>
    <w:p>
      <w:pPr>
        <w:spacing w:after="0" w:before="0" w:line="240" w:lineRule="auto"/>
        <w:ind w:left="57"/>
        <w:jc w:val="left"/>
        <w:shd w:val="clear" w:fill="F2F2F2"/>
      </w:pPr>
      <w:r>
        <w:rPr>
          <w:rFonts w:ascii="Consolas" w:hAnsi="Consolas" w:cs="Consolas"/>
          <w:b w:val="0"/>
          <w:i w:val="0"/>
          <w:sz w:val="15"/>
        </w:rPr>
        <w:t xml:space="preserve">  facilitate trades with entities from fully sanctioned</w:t>
      </w:r>
    </w:p>
    <w:p>
      <w:pPr>
        <w:spacing w:after="0" w:before="0" w:line="240" w:lineRule="auto"/>
        <w:ind w:left="57"/>
        <w:jc w:val="left"/>
        <w:shd w:val="clear" w:fill="F2F2F2"/>
      </w:pPr>
      <w:r>
        <w:rPr>
          <w:rFonts w:ascii="Consolas" w:hAnsi="Consolas" w:cs="Consolas"/>
          <w:b w:val="0"/>
          <w:i w:val="0"/>
          <w:sz w:val="15"/>
        </w:rPr>
        <w:t xml:space="preserve">  jurisdictions.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What's needed:</w:t>
      </w:r>
    </w:p>
    <w:p>
      <w:pPr>
        <w:spacing w:after="0" w:before="0" w:line="240" w:lineRule="auto"/>
        <w:ind w:left="57"/>
        <w:jc w:val="left"/>
        <w:shd w:val="clear" w:fill="F2F2F2"/>
      </w:pPr>
      <w:r>
        <w:rPr>
          <w:rFonts w:ascii="Consolas" w:hAnsi="Consolas" w:cs="Consolas"/>
          <w:b w:val="0"/>
          <w:i w:val="0"/>
          <w:sz w:val="15"/>
        </w:rPr>
        <w:t xml:space="preserve">  Select a seller from a non-sanctioned jurisdiction</w:t>
      </w:r>
    </w:p>
    <w:p>
      <w:pPr>
        <w:spacing w:after="0" w:before="0" w:line="240" w:lineRule="auto"/>
        <w:ind w:left="57"/>
        <w:jc w:val="left"/>
        <w:shd w:val="clear" w:fill="F2F2F2"/>
      </w:pPr>
      <w:r>
        <w:rPr>
          <w:rFonts w:ascii="Consolas" w:hAnsi="Consolas" w:cs="Consolas"/>
          <w:b w:val="0"/>
          <w:i w:val="0"/>
          <w:sz w:val="15"/>
        </w:rPr>
        <w:t xml:space="preserve">  [Switch to Seller Selection]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 happens next:</w:t>
      </w:r>
    </w:p>
    <w:p>
      <w:pPr>
        <w:spacing w:after="0" w:before="0" w:line="240" w:lineRule="auto"/>
        <w:ind w:left="57"/>
        <w:jc w:val="left"/>
        <w:shd w:val="clear" w:fill="F2F2F2"/>
      </w:pPr>
      <w:r>
        <w:rPr>
          <w:rFonts w:ascii="Consolas" w:hAnsi="Consolas" w:cs="Consolas"/>
          <w:b w:val="0"/>
          <w:i w:val="0"/>
          <w:sz w:val="15"/>
        </w:rPr>
        <w:t xml:space="preserve">  This trade cannot proceed. Please select an eligible seller</w:t>
      </w:r>
    </w:p>
    <w:p>
      <w:pPr>
        <w:spacing w:after="0" w:before="0" w:line="240" w:lineRule="auto"/>
        <w:ind w:left="57"/>
        <w:jc w:val="left"/>
        <w:shd w:val="clear" w:fill="F2F2F2"/>
      </w:pPr>
      <w:r>
        <w:rPr>
          <w:rFonts w:ascii="Consolas" w:hAnsi="Consolas" w:cs="Consolas"/>
          <w:b w:val="0"/>
          <w:i w:val="0"/>
          <w:sz w:val="15"/>
        </w:rPr>
        <w:t xml:space="preserve">  or contact compliance for assistance.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If you believe this is incorrect:</w:t>
      </w:r>
    </w:p>
    <w:p>
      <w:pPr>
        <w:spacing w:after="0" w:before="0" w:line="240" w:lineRule="auto"/>
        <w:ind w:left="57"/>
        <w:jc w:val="left"/>
        <w:shd w:val="clear" w:fill="F2F2F2"/>
      </w:pPr>
      <w:r>
        <w:rPr>
          <w:rFonts w:ascii="Consolas" w:hAnsi="Consolas" w:cs="Consolas"/>
          <w:b w:val="0"/>
          <w:i w:val="0"/>
          <w:sz w:val="15"/>
        </w:rPr>
        <w:t xml:space="preserve">  [Request Human Review] - a compliance officer will respond</w:t>
      </w:r>
    </w:p>
    <w:p>
      <w:pPr>
        <w:spacing w:after="0" w:before="0" w:line="240" w:lineRule="auto"/>
        <w:ind w:left="57"/>
        <w:jc w:val="left"/>
        <w:shd w:val="clear" w:fill="F2F2F2"/>
      </w:pPr>
      <w:r>
        <w:rPr>
          <w:rFonts w:ascii="Consolas" w:hAnsi="Consolas" w:cs="Consolas"/>
          <w:b w:val="0"/>
          <w:i w:val="0"/>
          <w:sz w:val="15"/>
        </w:rPr>
        <w:t xml:space="preserve">  within 24h</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Decision Panel component behaviour:</w:t>
      </w:r>
    </w:p>
    <w:p>
      <w:pPr>
        <w:spacing w:after="80" w:line="293" w:lineRule="auto"/>
        <w:ind w:left="283"/>
        <w:jc w:val="left"/>
      </w:pPr>
      <w:r>
        <w:rPr>
          <w:rFonts w:ascii="Times New Roman" w:hAnsi="Times New Roman" w:cs="Times New Roman"/>
          <w:b w:val="0"/>
          <w:i w:val="0"/>
          <w:sz w:val="22"/>
        </w:rPr>
        <w:t>- The "Switch to Seller/Buyer Mode" button lets the user change dual-mode context when appropriate.</w:t>
      </w:r>
    </w:p>
    <w:p>
      <w:pPr>
        <w:spacing w:after="80" w:line="293" w:lineRule="auto"/>
        <w:ind w:left="283"/>
        <w:jc w:val="left"/>
      </w:pPr>
      <w:r>
        <w:rPr>
          <w:rFonts w:ascii="Times New Roman" w:hAnsi="Times New Roman" w:cs="Times New Roman"/>
          <w:b w:val="0"/>
          <w:i w:val="0"/>
          <w:sz w:val="22"/>
        </w:rPr>
        <w:t>- The "Request Human Review" escalation (A3) routes the case to a compliance officer.</w:t>
      </w:r>
    </w:p>
    <w:p>
      <w:pPr>
        <w:spacing w:after="80" w:line="293" w:lineRule="auto"/>
        <w:ind w:left="283"/>
        <w:jc w:val="left"/>
      </w:pPr>
      <w:r>
        <w:rPr>
          <w:rFonts w:ascii="Times New Roman" w:hAnsi="Times New Roman" w:cs="Times New Roman"/>
          <w:b w:val="0"/>
          <w:i w:val="0"/>
          <w:sz w:val="22"/>
        </w:rPr>
        <w:t>- A resolution timer drives auto-escalation when conditions remain unresolved.</w:t>
      </w:r>
    </w:p>
    <w:p>
      <w:pPr>
        <w:spacing w:after="80" w:line="293" w:lineRule="auto"/>
        <w:ind w:left="283"/>
        <w:jc w:val="left"/>
      </w:pPr>
      <w:r>
        <w:rPr>
          <w:rFonts w:ascii="Times New Roman" w:hAnsi="Times New Roman" w:cs="Times New Roman"/>
          <w:b w:val="0"/>
          <w:i w:val="0"/>
          <w:sz w:val="22"/>
        </w:rPr>
        <w:t>- A confidence/evidence expandable section shows the advisory basis without exposing internal rule identifiers.</w:t>
      </w:r>
    </w:p>
    <w:p>
      <w:pPr>
        <w:spacing w:after="80" w:line="293" w:lineRule="auto"/>
        <w:ind w:left="283"/>
        <w:jc w:val="left"/>
      </w:pPr>
      <w:r>
        <w:rPr>
          <w:rFonts w:ascii="Times New Roman" w:hAnsi="Times New Roman" w:cs="Times New Roman"/>
          <w:b w:val="0"/>
          <w:i w:val="0"/>
          <w:sz w:val="22"/>
        </w:rPr>
        <w:t>- If AI message generation fails (Groq and Ollama both unavailable), the panel renders the static template fallback.</w:t>
      </w:r>
    </w:p>
    <w:p>
      <w:pPr>
        <w:keepNext/>
        <w:spacing w:before="180" w:after="80"/>
        <w:outlineLvl w:val="2"/>
      </w:pPr>
      <w:r>
        <w:rPr>
          <w:rFonts w:ascii="Arial" w:hAnsi="Arial" w:cs="Arial"/>
          <w:b/>
          <w:i w:val="0"/>
          <w:color w:val="333333"/>
          <w:sz w:val="23"/>
        </w:rPr>
        <w:t>15.3.6 Database Schema</w:t>
      </w:r>
    </w:p>
    <w:p>
      <w:pPr>
        <w:spacing w:after="0" w:before="0" w:line="240" w:lineRule="auto"/>
        <w:ind w:left="57"/>
        <w:jc w:val="left"/>
        <w:shd w:val="clear" w:fill="F2F2F2"/>
      </w:pPr>
      <w:r>
        <w:rPr>
          <w:rFonts w:ascii="Consolas" w:hAnsi="Consolas" w:cs="Consolas"/>
          <w:b w:val="0"/>
          <w:i w:val="0"/>
          <w:sz w:val="15"/>
        </w:rPr>
        <w:t>-- Governor decisions (extended for submission validation)</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 xml:space="preserve">    ADD COLUMN trade_request_id UUID REFERENCES trade_requests(id)</w:t>
      </w:r>
    </w:p>
    <w:p>
      <w:pPr>
        <w:spacing w:after="0" w:before="0" w:line="240" w:lineRule="auto"/>
        <w:ind w:left="57"/>
        <w:jc w:val="left"/>
        <w:shd w:val="clear" w:fill="F2F2F2"/>
      </w:pPr>
      <w:r>
        <w:rPr>
          <w:rFonts w:ascii="Consolas" w:hAnsi="Consolas" w:cs="Consolas"/>
          <w:b w:val="0"/>
          <w:i w:val="0"/>
          <w:sz w:val="15"/>
        </w:rPr>
        <w:t xml:space="preserve">    ON DELETE SET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 xml:space="preserve">    ADD COLUMN decision_type TEXT NOT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 xml:space="preserve">    ADD COLUMN actor_employee_id UUID REFERENCES employees(id)</w:t>
      </w:r>
    </w:p>
    <w:p>
      <w:pPr>
        <w:spacing w:after="0" w:before="0" w:line="240" w:lineRule="auto"/>
        <w:ind w:left="57"/>
        <w:jc w:val="left"/>
        <w:shd w:val="clear" w:fill="F2F2F2"/>
      </w:pPr>
      <w:r>
        <w:rPr>
          <w:rFonts w:ascii="Consolas" w:hAnsi="Consolas" w:cs="Consolas"/>
          <w:b w:val="0"/>
          <w:i w:val="0"/>
          <w:sz w:val="15"/>
        </w:rPr>
        <w:t xml:space="preserve">    ON DELETE SET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 xml:space="preserve">    ADD COLUMN conditions JSONB;</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 xml:space="preserve">    ADD COLUMN escalation_hint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Submission logs</w:t>
      </w:r>
    </w:p>
    <w:p>
      <w:pPr>
        <w:spacing w:after="0" w:before="0" w:line="240" w:lineRule="auto"/>
        <w:ind w:left="57"/>
        <w:jc w:val="left"/>
        <w:shd w:val="clear" w:fill="F2F2F2"/>
      </w:pPr>
      <w:r>
        <w:rPr>
          <w:rFonts w:ascii="Consolas" w:hAnsi="Consolas" w:cs="Consolas"/>
          <w:b w:val="0"/>
          <w:i w:val="0"/>
          <w:sz w:val="15"/>
        </w:rPr>
        <w:t>CREATE TABLE submission_logs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w:t>
      </w:r>
    </w:p>
    <w:p>
      <w:pPr>
        <w:spacing w:after="0" w:before="0" w:line="240" w:lineRule="auto"/>
        <w:ind w:left="57"/>
        <w:jc w:val="left"/>
        <w:shd w:val="clear" w:fill="F2F2F2"/>
      </w:pPr>
      <w:r>
        <w:rPr>
          <w:rFonts w:ascii="Consolas" w:hAnsi="Consolas" w:cs="Consolas"/>
          <w:b w:val="0"/>
          <w:i w:val="0"/>
          <w:sz w:val="15"/>
        </w:rPr>
        <w:t xml:space="preserve">        ON DELETE CASCADE,</w:t>
      </w:r>
    </w:p>
    <w:p>
      <w:pPr>
        <w:spacing w:after="0" w:before="0" w:line="240" w:lineRule="auto"/>
        <w:ind w:left="57"/>
        <w:jc w:val="left"/>
        <w:shd w:val="clear" w:fill="F2F2F2"/>
      </w:pPr>
      <w:r>
        <w:rPr>
          <w:rFonts w:ascii="Consolas" w:hAnsi="Consolas" w:cs="Consolas"/>
          <w:b w:val="0"/>
          <w:i w:val="0"/>
          <w:sz w:val="15"/>
        </w:rPr>
        <w:t xml:space="preserve">    submitted_by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submitted_at TIMESTAMPTZ DEFAULT NOW(),</w:t>
      </w:r>
    </w:p>
    <w:p>
      <w:pPr>
        <w:spacing w:after="0" w:before="0" w:line="240" w:lineRule="auto"/>
        <w:ind w:left="57"/>
        <w:jc w:val="left"/>
        <w:shd w:val="clear" w:fill="F2F2F2"/>
      </w:pPr>
      <w:r>
        <w:rPr>
          <w:rFonts w:ascii="Consolas" w:hAnsi="Consolas" w:cs="Consolas"/>
          <w:b w:val="0"/>
          <w:i w:val="0"/>
          <w:sz w:val="15"/>
        </w:rPr>
        <w:t xml:space="preserve">    decision_id UUID REFERENCES governor_decisions(decision_id)</w:t>
      </w:r>
    </w:p>
    <w:p>
      <w:pPr>
        <w:spacing w:after="0" w:before="0" w:line="240" w:lineRule="auto"/>
        <w:ind w:left="57"/>
        <w:jc w:val="left"/>
        <w:shd w:val="clear" w:fill="F2F2F2"/>
      </w:pPr>
      <w:r>
        <w:rPr>
          <w:rFonts w:ascii="Consolas" w:hAnsi="Consolas" w:cs="Consolas"/>
          <w:b w:val="0"/>
          <w:i w:val="0"/>
          <w:sz w:val="15"/>
        </w:rPr>
        <w:t xml:space="preserve">        ON DELETE SET NULL,</w:t>
      </w:r>
    </w:p>
    <w:p>
      <w:pPr>
        <w:spacing w:after="0" w:before="0" w:line="240" w:lineRule="auto"/>
        <w:ind w:left="57"/>
        <w:jc w:val="left"/>
        <w:shd w:val="clear" w:fill="F2F2F2"/>
      </w:pPr>
      <w:r>
        <w:rPr>
          <w:rFonts w:ascii="Consolas" w:hAnsi="Consolas" w:cs="Consolas"/>
          <w:b w:val="0"/>
          <w:i w:val="0"/>
          <w:sz w:val="15"/>
        </w:rPr>
        <w:t xml:space="preserve">    verdict TEXT NOT NULL,                    -- 'ALLOW', 'CONDITIONAL', 'DENY'</w:t>
      </w:r>
    </w:p>
    <w:p>
      <w:pPr>
        <w:spacing w:after="0" w:before="0" w:line="240" w:lineRule="auto"/>
        <w:ind w:left="57"/>
        <w:jc w:val="left"/>
        <w:shd w:val="clear" w:fill="F2F2F2"/>
      </w:pPr>
      <w:r>
        <w:rPr>
          <w:rFonts w:ascii="Consolas" w:hAnsi="Consolas" w:cs="Consolas"/>
          <w:b w:val="0"/>
          <w:i w:val="0"/>
          <w:sz w:val="15"/>
        </w:rPr>
        <w:t xml:space="preserve">    conditions_resolved BOOLEAN DEFAULT false,</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Pre-screen validation cache (for performance)</w:t>
      </w:r>
    </w:p>
    <w:p>
      <w:pPr>
        <w:spacing w:after="0" w:before="0" w:line="240" w:lineRule="auto"/>
        <w:ind w:left="57"/>
        <w:jc w:val="left"/>
        <w:shd w:val="clear" w:fill="F2F2F2"/>
      </w:pPr>
      <w:r>
        <w:rPr>
          <w:rFonts w:ascii="Consolas" w:hAnsi="Consolas" w:cs="Consolas"/>
          <w:b w:val="0"/>
          <w:i w:val="0"/>
          <w:sz w:val="15"/>
        </w:rPr>
        <w:t>CREATE TABLE prescreen_validation_cache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w:t>
      </w:r>
    </w:p>
    <w:p>
      <w:pPr>
        <w:spacing w:after="0" w:before="0" w:line="240" w:lineRule="auto"/>
        <w:ind w:left="57"/>
        <w:jc w:val="left"/>
        <w:shd w:val="clear" w:fill="F2F2F2"/>
      </w:pPr>
      <w:r>
        <w:rPr>
          <w:rFonts w:ascii="Consolas" w:hAnsi="Consolas" w:cs="Consolas"/>
          <w:b w:val="0"/>
          <w:i w:val="0"/>
          <w:sz w:val="15"/>
        </w:rPr>
        <w:t xml:space="preserve">        ON DELETE CASCADE,</w:t>
      </w:r>
    </w:p>
    <w:p>
      <w:pPr>
        <w:spacing w:after="0" w:before="0" w:line="240" w:lineRule="auto"/>
        <w:ind w:left="57"/>
        <w:jc w:val="left"/>
        <w:shd w:val="clear" w:fill="F2F2F2"/>
      </w:pPr>
      <w:r>
        <w:rPr>
          <w:rFonts w:ascii="Consolas" w:hAnsi="Consolas" w:cs="Consolas"/>
          <w:b w:val="0"/>
          <w:i w:val="0"/>
          <w:sz w:val="15"/>
        </w:rPr>
        <w:t xml:space="preserve">    validation_type TEXT NOT NULL,</w:t>
      </w:r>
    </w:p>
    <w:p>
      <w:pPr>
        <w:spacing w:after="0" w:before="0" w:line="240" w:lineRule="auto"/>
        <w:ind w:left="57"/>
        <w:jc w:val="left"/>
        <w:shd w:val="clear" w:fill="F2F2F2"/>
      </w:pPr>
      <w:r>
        <w:rPr>
          <w:rFonts w:ascii="Consolas" w:hAnsi="Consolas" w:cs="Consolas"/>
          <w:b w:val="0"/>
          <w:i w:val="0"/>
          <w:sz w:val="15"/>
        </w:rPr>
        <w:t xml:space="preserve">    validation_result JSONB NOT NULL,</w:t>
      </w:r>
    </w:p>
    <w:p>
      <w:pPr>
        <w:spacing w:after="0" w:before="0" w:line="240" w:lineRule="auto"/>
        <w:ind w:left="57"/>
        <w:jc w:val="left"/>
        <w:shd w:val="clear" w:fill="F2F2F2"/>
      </w:pPr>
      <w:r>
        <w:rPr>
          <w:rFonts w:ascii="Consolas" w:hAnsi="Consolas" w:cs="Consolas"/>
          <w:b w:val="0"/>
          <w:i w:val="0"/>
          <w:sz w:val="15"/>
        </w:rPr>
        <w:t xml:space="preserve">    validated_at TIMESTAMPTZ DEFAULT NOW(),</w:t>
      </w:r>
    </w:p>
    <w:p>
      <w:pPr>
        <w:spacing w:after="0" w:before="0" w:line="240" w:lineRule="auto"/>
        <w:ind w:left="57"/>
        <w:jc w:val="left"/>
        <w:shd w:val="clear" w:fill="F2F2F2"/>
      </w:pPr>
      <w:r>
        <w:rPr>
          <w:rFonts w:ascii="Consolas" w:hAnsi="Consolas" w:cs="Consolas"/>
          <w:b w:val="0"/>
          <w:i w:val="0"/>
          <w:sz w:val="15"/>
        </w:rPr>
        <w:t xml:space="preserve">    expires_at TIMESTAMPTZ DEFAULT NOW() + INTERVAL '5 minutes'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idx_governor_decisions_trade_request</w:t>
      </w:r>
    </w:p>
    <w:p>
      <w:pPr>
        <w:spacing w:after="0" w:before="0" w:line="240" w:lineRule="auto"/>
        <w:ind w:left="57"/>
        <w:jc w:val="left"/>
        <w:shd w:val="clear" w:fill="F2F2F2"/>
      </w:pPr>
      <w:r>
        <w:rPr>
          <w:rFonts w:ascii="Consolas" w:hAnsi="Consolas" w:cs="Consolas"/>
          <w:b w:val="0"/>
          <w:i w:val="0"/>
          <w:sz w:val="15"/>
        </w:rPr>
        <w:t xml:space="preserve">    ON governor_decisions(trade_request_id);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idx_governor_decisions_decision_type</w:t>
      </w:r>
    </w:p>
    <w:p>
      <w:pPr>
        <w:spacing w:after="0" w:before="0" w:line="240" w:lineRule="auto"/>
        <w:ind w:left="57"/>
        <w:jc w:val="left"/>
        <w:shd w:val="clear" w:fill="F2F2F2"/>
      </w:pPr>
      <w:r>
        <w:rPr>
          <w:rFonts w:ascii="Consolas" w:hAnsi="Consolas" w:cs="Consolas"/>
          <w:b w:val="0"/>
          <w:i w:val="0"/>
          <w:sz w:val="15"/>
        </w:rPr>
        <w:t xml:space="preserve">    ON governor_decisions(decision_type);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idx_governor_decisions_created</w:t>
      </w:r>
    </w:p>
    <w:p>
      <w:pPr>
        <w:spacing w:after="0" w:before="0" w:line="240" w:lineRule="auto"/>
        <w:ind w:left="57"/>
        <w:jc w:val="left"/>
        <w:shd w:val="clear" w:fill="F2F2F2"/>
      </w:pPr>
      <w:r>
        <w:rPr>
          <w:rFonts w:ascii="Consolas" w:hAnsi="Consolas" w:cs="Consolas"/>
          <w:b w:val="0"/>
          <w:i w:val="0"/>
          <w:sz w:val="15"/>
        </w:rPr>
        <w:t xml:space="preserve">    ON governor_decisions(created_at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idx_submission_logs_trade_request</w:t>
      </w:r>
    </w:p>
    <w:p>
      <w:pPr>
        <w:spacing w:after="0" w:before="0" w:line="240" w:lineRule="auto"/>
        <w:ind w:left="57"/>
        <w:jc w:val="left"/>
        <w:shd w:val="clear" w:fill="F2F2F2"/>
      </w:pPr>
      <w:r>
        <w:rPr>
          <w:rFonts w:ascii="Consolas" w:hAnsi="Consolas" w:cs="Consolas"/>
          <w:b w:val="0"/>
          <w:i w:val="0"/>
          <w:sz w:val="15"/>
        </w:rPr>
        <w:t xml:space="preserve">    ON submission_logs(trade_request_id);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idx_submission_logs_verdict</w:t>
      </w:r>
    </w:p>
    <w:p>
      <w:pPr>
        <w:spacing w:after="0" w:before="0" w:line="240" w:lineRule="auto"/>
        <w:ind w:left="57"/>
        <w:jc w:val="left"/>
        <w:shd w:val="clear" w:fill="F2F2F2"/>
      </w:pPr>
      <w:r>
        <w:rPr>
          <w:rFonts w:ascii="Consolas" w:hAnsi="Consolas" w:cs="Consolas"/>
          <w:b w:val="0"/>
          <w:i w:val="0"/>
          <w:sz w:val="15"/>
        </w:rPr>
        <w:t xml:space="preserve">    ON submission_logs(verdict);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idx_prescreen_validation_cache_trade</w:t>
      </w:r>
    </w:p>
    <w:p>
      <w:pPr>
        <w:spacing w:after="0" w:before="0" w:line="240" w:lineRule="auto"/>
        <w:ind w:left="57"/>
        <w:jc w:val="left"/>
        <w:shd w:val="clear" w:fill="F2F2F2"/>
      </w:pPr>
      <w:r>
        <w:rPr>
          <w:rFonts w:ascii="Consolas" w:hAnsi="Consolas" w:cs="Consolas"/>
          <w:b w:val="0"/>
          <w:i w:val="0"/>
          <w:sz w:val="15"/>
        </w:rPr>
        <w:t xml:space="preserve">    ON prescreen_validation_cache(trade_request_id);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`submission_logs` records every submission attempt with its verdict, whether the conditions were subsequently resolved, and the Loom hash of the decision. `prescreen_validation_cache` holds validation results for five minutes to keep pre-screen checks fast while the buyer edits the draft.</w:t>
      </w:r>
    </w:p>
    <w:p>
      <w:pPr>
        <w:keepNext/>
        <w:spacing w:before="240" w:after="100"/>
        <w:outlineLvl w:val="1"/>
      </w:pPr>
      <w:r>
        <w:rPr>
          <w:rFonts w:ascii="Arial" w:hAnsi="Arial" w:cs="Arial"/>
          <w:b/>
          <w:i w:val="0"/>
          <w:color w:val="2E528F"/>
          <w:sz w:val="26"/>
        </w:rPr>
        <w:t>15.4 Decision Logging, Signing &amp; Verification</w:t>
      </w:r>
    </w:p>
    <w:p>
      <w:pPr>
        <w:keepNext/>
        <w:spacing w:before="180" w:after="80"/>
        <w:outlineLvl w:val="2"/>
      </w:pPr>
      <w:r>
        <w:rPr>
          <w:rFonts w:ascii="Arial" w:hAnsi="Arial" w:cs="Arial"/>
          <w:b/>
          <w:i w:val="0"/>
          <w:color w:val="333333"/>
          <w:sz w:val="23"/>
        </w:rPr>
        <w:t>15.4.1 Decision Logging in Loom</w:t>
      </w:r>
    </w:p>
    <w:p>
      <w:pPr>
        <w:spacing w:after="80" w:line="293" w:lineRule="auto"/>
        <w:jc w:val="left"/>
      </w:pPr>
      <w:r>
        <w:rPr>
          <w:rFonts w:ascii="Times New Roman" w:hAnsi="Times New Roman" w:cs="Times New Roman"/>
          <w:b w:val="0"/>
          <w:i w:val="0"/>
          <w:sz w:val="22"/>
        </w:rPr>
        <w:t>Every Governor decision — for submissions, phase gates, and every other gated action — is logged via Loom, the deterministic immutable hash chain (architecture and chain mechanics in Section 3.5.6). The Loom entry structure for a submission decision: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"decision_id": "dec-abc123",</w:t>
      </w:r>
    </w:p>
    <w:p>
      <w:pPr>
        <w:spacing w:after="0" w:before="0" w:line="240" w:lineRule="auto"/>
        <w:ind w:left="57"/>
        <w:jc w:val="left"/>
        <w:shd w:val="clear" w:fill="F2F2F2"/>
      </w:pPr>
      <w:r>
        <w:rPr>
          <w:rFonts w:ascii="Consolas" w:hAnsi="Consolas" w:cs="Consolas"/>
          <w:b w:val="0"/>
          <w:i w:val="0"/>
          <w:sz w:val="15"/>
        </w:rPr>
        <w:t xml:space="preserve">    "decision_type": "trade_request_submit",</w:t>
      </w:r>
    </w:p>
    <w:p>
      <w:pPr>
        <w:spacing w:after="0" w:before="0" w:line="240" w:lineRule="auto"/>
        <w:ind w:left="57"/>
        <w:jc w:val="left"/>
        <w:shd w:val="clear" w:fill="F2F2F2"/>
      </w:pPr>
      <w:r>
        <w:rPr>
          <w:rFonts w:ascii="Consolas" w:hAnsi="Consolas" w:cs="Consolas"/>
          <w:b w:val="0"/>
          <w:i w:val="0"/>
          <w:sz w:val="15"/>
        </w:rPr>
        <w:t xml:space="preserve">    "actor_gtid": "SGTX-EG-TRD-001234",</w:t>
      </w:r>
    </w:p>
    <w:p>
      <w:pPr>
        <w:spacing w:after="0" w:before="0" w:line="240" w:lineRule="auto"/>
        <w:ind w:left="57"/>
        <w:jc w:val="left"/>
        <w:shd w:val="clear" w:fill="F2F2F2"/>
      </w:pPr>
      <w:r>
        <w:rPr>
          <w:rFonts w:ascii="Consolas" w:hAnsi="Consolas" w:cs="Consolas"/>
          <w:b w:val="0"/>
          <w:i w:val="0"/>
          <w:sz w:val="15"/>
        </w:rPr>
        <w:t xml:space="preserve">    "actor_employee_id": "emp-001",</w:t>
      </w:r>
    </w:p>
    <w:p>
      <w:pPr>
        <w:spacing w:after="0" w:before="0" w:line="240" w:lineRule="auto"/>
        <w:ind w:left="57"/>
        <w:jc w:val="left"/>
        <w:shd w:val="clear" w:fill="F2F2F2"/>
      </w:pPr>
      <w:r>
        <w:rPr>
          <w:rFonts w:ascii="Consolas" w:hAnsi="Consolas" w:cs="Consolas"/>
          <w:b w:val="0"/>
          <w:i w:val="0"/>
          <w:sz w:val="15"/>
        </w:rPr>
        <w:t xml:space="preserve">    "trade_request_id": "TR-2026-001",</w:t>
      </w:r>
    </w:p>
    <w:p>
      <w:pPr>
        <w:spacing w:after="0" w:before="0" w:line="240" w:lineRule="auto"/>
        <w:ind w:left="57"/>
        <w:jc w:val="left"/>
        <w:shd w:val="clear" w:fill="F2F2F2"/>
      </w:pPr>
      <w:r>
        <w:rPr>
          <w:rFonts w:ascii="Consolas" w:hAnsi="Consolas" w:cs="Consolas"/>
          <w:b w:val="0"/>
          <w:i w:val="0"/>
          <w:sz w:val="15"/>
        </w:rPr>
        <w:t xml:space="preserve">    "verdict": "ALLOW",</w:t>
      </w:r>
    </w:p>
    <w:p>
      <w:pPr>
        <w:spacing w:after="0" w:before="0" w:line="240" w:lineRule="auto"/>
        <w:ind w:left="57"/>
        <w:jc w:val="left"/>
        <w:shd w:val="clear" w:fill="F2F2F2"/>
      </w:pPr>
      <w:r>
        <w:rPr>
          <w:rFonts w:ascii="Consolas" w:hAnsi="Consolas" w:cs="Consolas"/>
          <w:b w:val="0"/>
          <w:i w:val="0"/>
          <w:sz w:val="15"/>
        </w:rPr>
        <w:t xml:space="preserve">    "tenant_message": null,</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"timestamp": "2026-06-20T10:30:00Z",</w:t>
      </w:r>
    </w:p>
    <w:p>
      <w:pPr>
        <w:spacing w:after="0" w:before="0" w:line="240" w:lineRule="auto"/>
        <w:ind w:left="57"/>
        <w:jc w:val="left"/>
        <w:shd w:val="clear" w:fill="F2F2F2"/>
      </w:pPr>
      <w:r>
        <w:rPr>
          <w:rFonts w:ascii="Consolas" w:hAnsi="Consolas" w:cs="Consolas"/>
          <w:b w:val="0"/>
          <w:i w:val="0"/>
          <w:sz w:val="15"/>
        </w:rPr>
        <w:t xml:space="preserve">    "previous_loom_hash": "sha256:prev123...",</w:t>
      </w:r>
    </w:p>
    <w:p>
      <w:pPr>
        <w:spacing w:after="0" w:before="0" w:line="240" w:lineRule="auto"/>
        <w:ind w:left="57"/>
        <w:jc w:val="left"/>
        <w:shd w:val="clear" w:fill="F2F2F2"/>
      </w:pPr>
      <w:r>
        <w:rPr>
          <w:rFonts w:ascii="Consolas" w:hAnsi="Consolas" w:cs="Consolas"/>
          <w:b w:val="0"/>
          <w:i w:val="0"/>
          <w:sz w:val="15"/>
        </w:rPr>
        <w:t xml:space="preserve">    "loom_hash": "sha256:a1b2c3..."</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entry chains to its predecessor: `loom_hash = SHA256(previous_loom_hash || decision_json || cryptographic_signature)`. The entry records the policy versions used, so any decision can be re-evaluated against the exact policy and module state that produced it.</w:t>
      </w:r>
    </w:p>
    <w:p>
      <w:pPr>
        <w:keepNext/>
        <w:spacing w:before="180" w:after="80"/>
        <w:outlineLvl w:val="2"/>
      </w:pPr>
      <w:r>
        <w:rPr>
          <w:rFonts w:ascii="Arial" w:hAnsi="Arial" w:cs="Arial"/>
          <w:b/>
          <w:i w:val="0"/>
          <w:color w:val="333333"/>
          <w:sz w:val="23"/>
        </w:rPr>
        <w:t>15.4.2 Ed25519 Signing</w:t>
      </w:r>
    </w:p>
    <w:p>
      <w:pPr>
        <w:spacing w:after="80" w:line="293" w:lineRule="auto"/>
        <w:jc w:val="left"/>
      </w:pPr>
      <w:r>
        <w:rPr>
          <w:rFonts w:ascii="Times New Roman" w:hAnsi="Times New Roman" w:cs="Times New Roman"/>
          <w:b w:val="0"/>
          <w:i w:val="0"/>
          <w:sz w:val="22"/>
        </w:rPr>
        <w:t>Every decision is signed with the platform's Ed25519 key before hashing:</w:t>
      </w:r>
    </w:p>
    <w:p>
      <w:pPr>
        <w:spacing w:after="0" w:before="0" w:line="240" w:lineRule="auto"/>
        <w:ind w:left="57"/>
        <w:jc w:val="left"/>
        <w:shd w:val="clear" w:fill="F2F2F2"/>
      </w:pPr>
      <w:r>
        <w:rPr>
          <w:rFonts w:ascii="Consolas" w:hAnsi="Consolas" w:cs="Consolas"/>
          <w:b w:val="0"/>
          <w:i w:val="0"/>
          <w:sz w:val="15"/>
        </w:rPr>
        <w:t>// Decision signing</w:t>
      </w:r>
    </w:p>
    <w:p>
      <w:pPr>
        <w:spacing w:after="0" w:before="0" w:line="240" w:lineRule="auto"/>
        <w:ind w:left="57"/>
        <w:jc w:val="left"/>
        <w:shd w:val="clear" w:fill="F2F2F2"/>
      </w:pPr>
      <w:r>
        <w:rPr>
          <w:rFonts w:ascii="Consolas" w:hAnsi="Consolas" w:cs="Consolas"/>
          <w:b w:val="0"/>
          <w:i w:val="0"/>
          <w:sz w:val="15"/>
        </w:rPr>
        <w:t>let decision_json = serde_json::to_string(&amp;decision).unwrap();</w:t>
      </w:r>
    </w:p>
    <w:p>
      <w:pPr>
        <w:spacing w:after="0" w:before="0" w:line="240" w:lineRule="auto"/>
        <w:ind w:left="57"/>
        <w:jc w:val="left"/>
        <w:shd w:val="clear" w:fill="F2F2F2"/>
      </w:pPr>
      <w:r>
        <w:rPr>
          <w:rFonts w:ascii="Consolas" w:hAnsi="Consolas" w:cs="Consolas"/>
          <w:b w:val="0"/>
          <w:i w:val="0"/>
          <w:sz w:val="15"/>
        </w:rPr>
        <w:t>let signature = sign_with_ed25519(&amp;decision_json);</w:t>
      </w:r>
    </w:p>
    <w:p>
      <w:pPr>
        <w:spacing w:after="0" w:before="0" w:line="240" w:lineRule="auto"/>
        <w:ind w:left="57"/>
        <w:jc w:val="left"/>
        <w:shd w:val="clear" w:fill="F2F2F2"/>
      </w:pPr>
      <w:r>
        <w:rPr>
          <w:rFonts w:ascii="Consolas" w:hAnsi="Consolas" w:cs="Consolas"/>
          <w:b w:val="0"/>
          <w:i w:val="0"/>
          <w:sz w:val="15"/>
        </w:rPr>
        <w:t>let loom_hash = sha256(format!("{}{}{}",</w:t>
      </w:r>
    </w:p>
    <w:p>
      <w:pPr>
        <w:spacing w:after="0" w:before="0" w:line="240" w:lineRule="auto"/>
        <w:ind w:left="57"/>
        <w:jc w:val="left"/>
        <w:shd w:val="clear" w:fill="F2F2F2"/>
      </w:pPr>
      <w:r>
        <w:rPr>
          <w:rFonts w:ascii="Consolas" w:hAnsi="Consolas" w:cs="Consolas"/>
          <w:b w:val="0"/>
          <w:i w:val="0"/>
          <w:sz w:val="15"/>
        </w:rPr>
        <w:t xml:space="preserve">    previous_hash, decision_json, signature));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Legally binding documents additionally carry a Qualified Electronic Signature through the Trust Service Provider integration (Section 3.5.10); archival records may carry a Dilithium3 post-quantum signature (see Section 22).</w:t>
      </w:r>
    </w:p>
    <w:p>
      <w:pPr>
        <w:keepNext/>
        <w:spacing w:before="180" w:after="80"/>
        <w:outlineLvl w:val="2"/>
      </w:pPr>
      <w:r>
        <w:rPr>
          <w:rFonts w:ascii="Arial" w:hAnsi="Arial" w:cs="Arial"/>
          <w:b/>
          <w:i w:val="0"/>
          <w:color w:val="333333"/>
          <w:sz w:val="23"/>
        </w:rPr>
        <w:t>15.4.3 Hourly Chain Verification</w:t>
      </w:r>
    </w:p>
    <w:p>
      <w:pPr>
        <w:spacing w:after="80" w:line="293" w:lineRule="auto"/>
        <w:jc w:val="left"/>
      </w:pPr>
      <w:r>
        <w:rPr>
          <w:rFonts w:ascii="Times New Roman" w:hAnsi="Times New Roman" w:cs="Times New Roman"/>
          <w:b w:val="0"/>
          <w:i w:val="0"/>
          <w:sz w:val="22"/>
        </w:rPr>
        <w:t>A background job (`audit-chain-verifier`) recalculates every hash from genesis and compares the results with the stored values. Any mismatch triggers a P0 incident. The verification job runs hourly; its findings are alertable in the platform monitoring stack (Section 21).</w:t>
      </w:r>
    </w:p>
    <w:p>
      <w:pPr>
        <w:keepNext/>
        <w:spacing w:before="180" w:after="80"/>
        <w:outlineLvl w:val="2"/>
      </w:pPr>
      <w:r>
        <w:rPr>
          <w:rFonts w:ascii="Arial" w:hAnsi="Arial" w:cs="Arial"/>
          <w:b/>
          <w:i w:val="0"/>
          <w:color w:val="333333"/>
          <w:sz w:val="23"/>
        </w:rPr>
        <w:t>15.4.4 Decision Storage</w:t>
      </w:r>
    </w:p>
    <w:p>
      <w:pPr>
        <w:spacing w:after="80" w:line="293" w:lineRule="auto"/>
        <w:jc w:val="left"/>
      </w:pPr>
      <w:r>
        <w:rPr>
          <w:rFonts w:ascii="Times New Roman" w:hAnsi="Times New Roman" w:cs="Times New Roman"/>
          <w:b w:val="0"/>
          <w:i w:val="0"/>
          <w:sz w:val="22"/>
        </w:rPr>
        <w:t>Decisions persist in the `governor_decisions` table (PostgreSQL) with the decision type, the trade request reference, the actor employee, the conditions JSONB, the escalation hint, the Ed25519 signature, the Loom hash, and the tenant message. `submission_logs` links each submission attempt to its decision and tracks condition resolution over time. The full column set and indexes are specified in Section 15.3.6 and in the canonical data model (Section 17).</w:t>
      </w:r>
    </w:p>
    <w:p>
      <w:pPr>
        <w:keepNext/>
        <w:spacing w:before="180" w:after="80"/>
        <w:outlineLvl w:val="2"/>
      </w:pPr>
      <w:r>
        <w:rPr>
          <w:rFonts w:ascii="Arial" w:hAnsi="Arial" w:cs="Arial"/>
          <w:b/>
          <w:i w:val="0"/>
          <w:color w:val="333333"/>
          <w:sz w:val="23"/>
        </w:rPr>
        <w:t>15.4.5 External Verification</w:t>
      </w:r>
    </w:p>
    <w:p>
      <w:pPr>
        <w:spacing w:after="80" w:line="293" w:lineRule="auto"/>
        <w:jc w:val="left"/>
      </w:pPr>
      <w:r>
        <w:rPr>
          <w:rFonts w:ascii="Times New Roman" w:hAnsi="Times New Roman" w:cs="Times New Roman"/>
          <w:b w:val="0"/>
          <w:i w:val="0"/>
          <w:sz w:val="22"/>
        </w:rPr>
        <w:t>Government auditors and external verifiers verify a specific trade's chain through the public endpoint `GET /v1/verify/loom` with a verification token, without accessing the full platform or viewing sensitive trade data (full specification in Section 3.5.15). Tenants download the chain for their own USTNs through the tenant API and verify it with the open-source `loom-verify` tool.</w:t>
      </w:r>
    </w:p>
    <w:p>
      <w:pPr>
        <w:keepNext/>
        <w:spacing w:before="240" w:after="100"/>
        <w:outlineLvl w:val="1"/>
      </w:pPr>
      <w:r>
        <w:rPr>
          <w:rFonts w:ascii="Arial" w:hAnsi="Arial" w:cs="Arial"/>
          <w:b/>
          <w:i w:val="0"/>
          <w:color w:val="2E528F"/>
          <w:sz w:val="26"/>
        </w:rPr>
        <w:t>15.5 Implementation Checklist</w:t>
      </w:r>
    </w:p>
    <w:p>
      <w:pPr>
        <w:spacing w:after="80" w:line="293" w:lineRule="auto"/>
        <w:jc w:val="left"/>
      </w:pPr>
      <w:r>
        <w:rPr>
          <w:rFonts w:ascii="Times New Roman" w:hAnsi="Times New Roman" w:cs="Times New Roman"/>
          <w:b w:val="0"/>
          <w:i w:val="0"/>
          <w:sz w:val="22"/>
        </w:rPr>
        <w:t>The checklist below covers the full enforcement layer: the backend services, the OPA policies, the WasmEdge constitutional modules, the Decision Panel, Loom and audit infrastructure, signatures and QES, device trust and session security, the court evidence package, compliance intelligence and SAR, and testing.</w:t>
      </w:r>
    </w:p>
    <w:p>
      <w:pPr>
        <w:keepNext/>
        <w:spacing w:before="180" w:after="80"/>
        <w:outlineLvl w:val="2"/>
      </w:pPr>
      <w:r>
        <w:rPr>
          <w:rFonts w:ascii="Arial" w:hAnsi="Arial" w:cs="Arial"/>
          <w:b/>
          <w:i w:val="0"/>
          <w:color w:val="333333"/>
          <w:sz w:val="23"/>
        </w:rPr>
        <w:t>15.5.1 Backend Services</w:t>
      </w:r>
    </w:p>
    <w:p>
      <w:pPr>
        <w:spacing w:after="80" w:line="293" w:lineRule="auto"/>
        <w:ind w:left="283"/>
        <w:jc w:val="left"/>
      </w:pPr>
      <w:r>
        <w:rPr>
          <w:rFonts w:ascii="Times New Roman" w:hAnsi="Times New Roman" w:cs="Times New Roman"/>
          <w:b w:val="0"/>
          <w:i w:val="0"/>
          <w:sz w:val="22"/>
        </w:rPr>
        <w:t>- Implement the Governor service (Rust + Axum) with the OPA evaluator.</w:t>
      </w:r>
    </w:p>
    <w:p>
      <w:pPr>
        <w:spacing w:after="80" w:line="293" w:lineRule="auto"/>
        <w:ind w:left="283"/>
        <w:jc w:val="left"/>
      </w:pPr>
      <w:r>
        <w:rPr>
          <w:rFonts w:ascii="Times New Roman" w:hAnsi="Times New Roman" w:cs="Times New Roman"/>
          <w:b w:val="0"/>
          <w:i w:val="0"/>
          <w:sz w:val="22"/>
        </w:rPr>
        <w:t>- Implement the OPA evaluator with all policies.</w:t>
      </w:r>
    </w:p>
    <w:p>
      <w:pPr>
        <w:spacing w:after="80" w:line="293" w:lineRule="auto"/>
        <w:ind w:left="283"/>
        <w:jc w:val="left"/>
      </w:pPr>
      <w:r>
        <w:rPr>
          <w:rFonts w:ascii="Times New Roman" w:hAnsi="Times New Roman" w:cs="Times New Roman"/>
          <w:b w:val="0"/>
          <w:i w:val="0"/>
          <w:sz w:val="22"/>
        </w:rPr>
        <w:t>- Implement the WasmEdge constitutional engine with all modules.</w:t>
      </w:r>
    </w:p>
    <w:p>
      <w:pPr>
        <w:spacing w:after="80" w:line="293" w:lineRule="auto"/>
        <w:ind w:left="283"/>
        <w:jc w:val="left"/>
      </w:pPr>
      <w:r>
        <w:rPr>
          <w:rFonts w:ascii="Times New Roman" w:hAnsi="Times New Roman" w:cs="Times New Roman"/>
          <w:b w:val="0"/>
          <w:i w:val="0"/>
          <w:sz w:val="22"/>
        </w:rPr>
        <w:t>- Implement the AI consult integration (A1–A3).</w:t>
      </w:r>
    </w:p>
    <w:p>
      <w:pPr>
        <w:spacing w:after="80" w:line="293" w:lineRule="auto"/>
        <w:ind w:left="283"/>
        <w:jc w:val="left"/>
      </w:pPr>
      <w:r>
        <w:rPr>
          <w:rFonts w:ascii="Times New Roman" w:hAnsi="Times New Roman" w:cs="Times New Roman"/>
          <w:b w:val="0"/>
          <w:i w:val="0"/>
          <w:sz w:val="22"/>
        </w:rPr>
        <w:t>- Implement the decision merger (OPA + WasmEdge + AI).</w:t>
      </w:r>
    </w:p>
    <w:p>
      <w:pPr>
        <w:spacing w:after="80" w:line="293" w:lineRule="auto"/>
        <w:ind w:left="283"/>
        <w:jc w:val="left"/>
      </w:pPr>
      <w:r>
        <w:rPr>
          <w:rFonts w:ascii="Times New Roman" w:hAnsi="Times New Roman" w:cs="Times New Roman"/>
          <w:b w:val="0"/>
          <w:i w:val="0"/>
          <w:sz w:val="22"/>
        </w:rPr>
        <w:t>- Implement Loom hash chain logging.</w:t>
      </w:r>
    </w:p>
    <w:p>
      <w:pPr>
        <w:spacing w:after="80" w:line="293" w:lineRule="auto"/>
        <w:ind w:left="283"/>
        <w:jc w:val="left"/>
      </w:pPr>
      <w:r>
        <w:rPr>
          <w:rFonts w:ascii="Times New Roman" w:hAnsi="Times New Roman" w:cs="Times New Roman"/>
          <w:b w:val="0"/>
          <w:i w:val="0"/>
          <w:sz w:val="22"/>
        </w:rPr>
        <w:t>- Implement Ed25519 signing.</w:t>
      </w:r>
    </w:p>
    <w:p>
      <w:pPr>
        <w:spacing w:after="80" w:line="293" w:lineRule="auto"/>
        <w:ind w:left="283"/>
        <w:jc w:val="left"/>
      </w:pPr>
      <w:r>
        <w:rPr>
          <w:rFonts w:ascii="Times New Roman" w:hAnsi="Times New Roman" w:cs="Times New Roman"/>
          <w:b w:val="0"/>
          <w:i w:val="0"/>
          <w:sz w:val="22"/>
        </w:rPr>
        <w:t>- Implement tenant message generation (A1, Groq → Ollama).</w:t>
      </w:r>
    </w:p>
    <w:p>
      <w:pPr>
        <w:spacing w:after="80" w:line="293" w:lineRule="auto"/>
        <w:ind w:left="283"/>
        <w:jc w:val="left"/>
      </w:pPr>
      <w:r>
        <w:rPr>
          <w:rFonts w:ascii="Times New Roman" w:hAnsi="Times New Roman" w:cs="Times New Roman"/>
          <w:b w:val="0"/>
          <w:i w:val="0"/>
          <w:sz w:val="22"/>
        </w:rPr>
        <w:t>- Implement the submission endpoint (`POST /v1/trade/request/submit`).</w:t>
      </w:r>
    </w:p>
    <w:p>
      <w:pPr>
        <w:spacing w:after="80" w:line="293" w:lineRule="auto"/>
        <w:ind w:left="283"/>
        <w:jc w:val="left"/>
      </w:pPr>
      <w:r>
        <w:rPr>
          <w:rFonts w:ascii="Times New Roman" w:hAnsi="Times New Roman" w:cs="Times New Roman"/>
          <w:b w:val="0"/>
          <w:i w:val="0"/>
          <w:sz w:val="22"/>
        </w:rPr>
        <w:t>- Implement the `audit-chain-verifier` cron job (hourly).</w:t>
      </w:r>
    </w:p>
    <w:p>
      <w:pPr>
        <w:spacing w:after="80" w:line="293" w:lineRule="auto"/>
        <w:ind w:left="283"/>
        <w:jc w:val="left"/>
      </w:pPr>
      <w:r>
        <w:rPr>
          <w:rFonts w:ascii="Times New Roman" w:hAnsi="Times New Roman" w:cs="Times New Roman"/>
          <w:b w:val="0"/>
          <w:i w:val="0"/>
          <w:sz w:val="22"/>
        </w:rPr>
        <w:t>- Add the hot-reload mechanism for OPA policies (NATS subscriber).</w:t>
      </w:r>
    </w:p>
    <w:p>
      <w:pPr>
        <w:spacing w:after="80" w:line="293" w:lineRule="auto"/>
        <w:ind w:left="283"/>
        <w:jc w:val="left"/>
      </w:pPr>
      <w:r>
        <w:rPr>
          <w:rFonts w:ascii="Times New Roman" w:hAnsi="Times New Roman" w:cs="Times New Roman"/>
          <w:b w:val="0"/>
          <w:i w:val="0"/>
          <w:sz w:val="22"/>
        </w:rPr>
        <w:t>- Add impact simulation for policy changes (Admin Portal).</w:t>
      </w:r>
    </w:p>
    <w:p>
      <w:pPr>
        <w:spacing w:after="80" w:line="293" w:lineRule="auto"/>
        <w:ind w:left="283"/>
        <w:jc w:val="left"/>
      </w:pPr>
      <w:r>
        <w:rPr>
          <w:rFonts w:ascii="Times New Roman" w:hAnsi="Times New Roman" w:cs="Times New Roman"/>
          <w:b w:val="0"/>
          <w:i w:val="0"/>
          <w:sz w:val="22"/>
        </w:rPr>
        <w:t>- Write unit tests for all policies (`opa test`).</w:t>
      </w:r>
    </w:p>
    <w:p>
      <w:pPr>
        <w:keepNext/>
        <w:spacing w:before="180" w:after="80"/>
        <w:outlineLvl w:val="2"/>
      </w:pPr>
      <w:r>
        <w:rPr>
          <w:rFonts w:ascii="Arial" w:hAnsi="Arial" w:cs="Arial"/>
          <w:b/>
          <w:i w:val="0"/>
          <w:color w:val="333333"/>
          <w:sz w:val="23"/>
        </w:rPr>
        <w:t>15.5.2 OPA Policies</w:t>
      </w:r>
    </w:p>
    <w:p>
      <w:pPr>
        <w:spacing w:after="80" w:line="293" w:lineRule="auto"/>
        <w:ind w:left="283"/>
        <w:jc w:val="left"/>
      </w:pPr>
      <w:r>
        <w:rPr>
          <w:rFonts w:ascii="Times New Roman" w:hAnsi="Times New Roman" w:cs="Times New Roman"/>
          <w:b w:val="0"/>
          <w:i w:val="0"/>
          <w:sz w:val="22"/>
        </w:rPr>
        <w:t>- Implement `permissions.rego` (RBAC, dual-mode context, data scopes).</w:t>
      </w:r>
    </w:p>
    <w:p>
      <w:pPr>
        <w:spacing w:after="80" w:line="293" w:lineRule="auto"/>
        <w:ind w:left="283"/>
        <w:jc w:val="left"/>
      </w:pPr>
      <w:r>
        <w:rPr>
          <w:rFonts w:ascii="Times New Roman" w:hAnsi="Times New Roman" w:cs="Times New Roman"/>
          <w:b w:val="0"/>
          <w:i w:val="0"/>
          <w:sz w:val="22"/>
        </w:rPr>
        <w:t>- Implement `fee.rego` (fee rate validation).</w:t>
      </w:r>
    </w:p>
    <w:p>
      <w:pPr>
        <w:spacing w:after="80" w:line="293" w:lineRule="auto"/>
        <w:ind w:left="283"/>
        <w:jc w:val="left"/>
      </w:pPr>
      <w:r>
        <w:rPr>
          <w:rFonts w:ascii="Times New Roman" w:hAnsi="Times New Roman" w:cs="Times New Roman"/>
          <w:b w:val="0"/>
          <w:i w:val="0"/>
          <w:sz w:val="22"/>
        </w:rPr>
        <w:t>- Implement `financing.rego` (financing validation).</w:t>
      </w:r>
    </w:p>
    <w:p>
      <w:pPr>
        <w:spacing w:after="80" w:line="293" w:lineRule="auto"/>
        <w:ind w:left="283"/>
        <w:jc w:val="left"/>
      </w:pPr>
      <w:r>
        <w:rPr>
          <w:rFonts w:ascii="Times New Roman" w:hAnsi="Times New Roman" w:cs="Times New Roman"/>
          <w:b w:val="0"/>
          <w:i w:val="0"/>
          <w:sz w:val="22"/>
        </w:rPr>
        <w:t>- Implement `distressed.rego` (distressed validation).</w:t>
      </w:r>
    </w:p>
    <w:p>
      <w:pPr>
        <w:spacing w:after="80" w:line="293" w:lineRule="auto"/>
        <w:ind w:left="283"/>
        <w:jc w:val="left"/>
      </w:pPr>
      <w:r>
        <w:rPr>
          <w:rFonts w:ascii="Times New Roman" w:hAnsi="Times New Roman" w:cs="Times New Roman"/>
          <w:b w:val="0"/>
          <w:i w:val="0"/>
          <w:sz w:val="22"/>
        </w:rPr>
        <w:t>- Implement `multiship.rego` (multi-shipment validation).</w:t>
      </w:r>
    </w:p>
    <w:p>
      <w:pPr>
        <w:spacing w:after="80" w:line="293" w:lineRule="auto"/>
        <w:ind w:left="283"/>
        <w:jc w:val="left"/>
      </w:pPr>
      <w:r>
        <w:rPr>
          <w:rFonts w:ascii="Times New Roman" w:hAnsi="Times New Roman" w:cs="Times New Roman"/>
          <w:b w:val="0"/>
          <w:i w:val="0"/>
          <w:sz w:val="22"/>
        </w:rPr>
        <w:t>- Implement `logistics.rego` (logistics validation).</w:t>
      </w:r>
    </w:p>
    <w:p>
      <w:pPr>
        <w:spacing w:after="80" w:line="293" w:lineRule="auto"/>
        <w:ind w:left="283"/>
        <w:jc w:val="left"/>
      </w:pPr>
      <w:r>
        <w:rPr>
          <w:rFonts w:ascii="Times New Roman" w:hAnsi="Times New Roman" w:cs="Times New Roman"/>
          <w:b w:val="0"/>
          <w:i w:val="0"/>
          <w:sz w:val="22"/>
        </w:rPr>
        <w:t>- Implement `broker.rego` (broker validation).</w:t>
      </w:r>
    </w:p>
    <w:p>
      <w:pPr>
        <w:keepNext/>
        <w:spacing w:before="180" w:after="80"/>
        <w:outlineLvl w:val="2"/>
      </w:pPr>
      <w:r>
        <w:rPr>
          <w:rFonts w:ascii="Arial" w:hAnsi="Arial" w:cs="Arial"/>
          <w:b/>
          <w:i w:val="0"/>
          <w:color w:val="333333"/>
          <w:sz w:val="23"/>
        </w:rPr>
        <w:t>15.5.3 WasmEdge Modules</w:t>
      </w:r>
    </w:p>
    <w:p>
      <w:pPr>
        <w:spacing w:after="80" w:line="293" w:lineRule="auto"/>
        <w:ind w:left="283"/>
        <w:jc w:val="left"/>
      </w:pPr>
      <w:r>
        <w:rPr>
          <w:rFonts w:ascii="Times New Roman" w:hAnsi="Times New Roman" w:cs="Times New Roman"/>
          <w:b w:val="0"/>
          <w:i w:val="0"/>
          <w:sz w:val="22"/>
        </w:rPr>
        <w:t>- Implement `constitutional_rules.wasm` (fee bounds, A5 prohibition, multisig).</w:t>
      </w:r>
    </w:p>
    <w:p>
      <w:pPr>
        <w:spacing w:after="80" w:line="293" w:lineRule="auto"/>
        <w:ind w:left="283"/>
        <w:jc w:val="left"/>
      </w:pPr>
      <w:r>
        <w:rPr>
          <w:rFonts w:ascii="Times New Roman" w:hAnsi="Times New Roman" w:cs="Times New Roman"/>
          <w:b w:val="0"/>
          <w:i w:val="0"/>
          <w:sz w:val="22"/>
        </w:rPr>
        <w:t>- Implement `jurisdiction_matrix.wasm` (RIA-updated).</w:t>
      </w:r>
    </w:p>
    <w:p>
      <w:pPr>
        <w:spacing w:after="80" w:line="293" w:lineRule="auto"/>
        <w:ind w:left="283"/>
        <w:jc w:val="left"/>
      </w:pPr>
      <w:r>
        <w:rPr>
          <w:rFonts w:ascii="Times New Roman" w:hAnsi="Times New Roman" w:cs="Times New Roman"/>
          <w:b w:val="0"/>
          <w:i w:val="0"/>
          <w:sz w:val="22"/>
        </w:rPr>
        <w:t>- Implement `incoterms_engine.wasm` (incoterm validation).</w:t>
      </w:r>
    </w:p>
    <w:p>
      <w:pPr>
        <w:spacing w:after="80" w:line="293" w:lineRule="auto"/>
        <w:ind w:left="283"/>
        <w:jc w:val="left"/>
      </w:pPr>
      <w:r>
        <w:rPr>
          <w:rFonts w:ascii="Times New Roman" w:hAnsi="Times New Roman" w:cs="Times New Roman"/>
          <w:b w:val="0"/>
          <w:i w:val="0"/>
          <w:sz w:val="22"/>
        </w:rPr>
        <w:t>- Implement `fee_gate.wasm` (gross-up, split instructions).</w:t>
      </w:r>
    </w:p>
    <w:p>
      <w:pPr>
        <w:spacing w:after="80" w:line="293" w:lineRule="auto"/>
        <w:ind w:left="283"/>
        <w:jc w:val="left"/>
      </w:pPr>
      <w:r>
        <w:rPr>
          <w:rFonts w:ascii="Times New Roman" w:hAnsi="Times New Roman" w:cs="Times New Roman"/>
          <w:b w:val="0"/>
          <w:i w:val="0"/>
          <w:sz w:val="22"/>
        </w:rPr>
        <w:t>- Implement `distressed_country_gate.wasm` (country factor).</w:t>
      </w:r>
    </w:p>
    <w:p>
      <w:pPr>
        <w:spacing w:after="80" w:line="293" w:lineRule="auto"/>
        <w:ind w:left="283"/>
        <w:jc w:val="left"/>
      </w:pPr>
      <w:r>
        <w:rPr>
          <w:rFonts w:ascii="Times New Roman" w:hAnsi="Times New Roman" w:cs="Times New Roman"/>
          <w:b w:val="0"/>
          <w:i w:val="0"/>
          <w:sz w:val="22"/>
        </w:rPr>
        <w:t>- Implement `dual_mode_gate.wasm` (context enforcement).</w:t>
      </w:r>
    </w:p>
    <w:p>
      <w:pPr>
        <w:spacing w:after="80" w:line="293" w:lineRule="auto"/>
        <w:ind w:left="283"/>
        <w:jc w:val="left"/>
      </w:pPr>
      <w:r>
        <w:rPr>
          <w:rFonts w:ascii="Times New Roman" w:hAnsi="Times New Roman" w:cs="Times New Roman"/>
          <w:b w:val="0"/>
          <w:i w:val="0"/>
          <w:sz w:val="22"/>
        </w:rPr>
        <w:t>- Add the hot-reload mechanism (NATS, signature verification, Loom logging).</w:t>
      </w:r>
    </w:p>
    <w:p>
      <w:pPr>
        <w:spacing w:after="80" w:line="293" w:lineRule="auto"/>
        <w:ind w:left="283"/>
        <w:jc w:val="left"/>
      </w:pPr>
      <w:r>
        <w:rPr>
          <w:rFonts w:ascii="Times New Roman" w:hAnsi="Times New Roman" w:cs="Times New Roman"/>
          <w:b w:val="0"/>
          <w:i w:val="0"/>
          <w:sz w:val="22"/>
        </w:rPr>
        <w:t>- Write unit tests for each module (`wasmtime test`).</w:t>
      </w:r>
    </w:p>
    <w:p>
      <w:pPr>
        <w:keepNext/>
        <w:spacing w:before="180" w:after="80"/>
        <w:outlineLvl w:val="2"/>
      </w:pPr>
      <w:r>
        <w:rPr>
          <w:rFonts w:ascii="Arial" w:hAnsi="Arial" w:cs="Arial"/>
          <w:b/>
          <w:i w:val="0"/>
          <w:color w:val="333333"/>
          <w:sz w:val="23"/>
        </w:rPr>
        <w:t>15.5.4 Decision Panel</w:t>
      </w:r>
    </w:p>
    <w:p>
      <w:pPr>
        <w:spacing w:after="80" w:line="293" w:lineRule="auto"/>
        <w:ind w:left="283"/>
        <w:jc w:val="left"/>
      </w:pPr>
      <w:r>
        <w:rPr>
          <w:rFonts w:ascii="Times New Roman" w:hAnsi="Times New Roman" w:cs="Times New Roman"/>
          <w:b w:val="0"/>
          <w:i w:val="0"/>
          <w:sz w:val="22"/>
        </w:rPr>
        <w:t>- Implement the PlainLanguage Governor Decision Panel UI component (React).</w:t>
      </w:r>
    </w:p>
    <w:p>
      <w:pPr>
        <w:spacing w:after="80" w:line="293" w:lineRule="auto"/>
        <w:ind w:left="283"/>
        <w:jc w:val="left"/>
      </w:pPr>
      <w:r>
        <w:rPr>
          <w:rFonts w:ascii="Times New Roman" w:hAnsi="Times New Roman" w:cs="Times New Roman"/>
          <w:b w:val="0"/>
          <w:i w:val="0"/>
          <w:sz w:val="22"/>
        </w:rPr>
        <w:t>- Implement tenant message generation (A1, Groq → Ollama).</w:t>
      </w:r>
    </w:p>
    <w:p>
      <w:pPr>
        <w:spacing w:after="80" w:line="293" w:lineRule="auto"/>
        <w:ind w:left="283"/>
        <w:jc w:val="left"/>
      </w:pPr>
      <w:r>
        <w:rPr>
          <w:rFonts w:ascii="Times New Roman" w:hAnsi="Times New Roman" w:cs="Times New Roman"/>
          <w:b w:val="0"/>
          <w:i w:val="0"/>
          <w:sz w:val="22"/>
        </w:rPr>
        <w:t>- Implement the static template fallback.</w:t>
      </w:r>
    </w:p>
    <w:p>
      <w:pPr>
        <w:spacing w:after="80" w:line="293" w:lineRule="auto"/>
        <w:ind w:left="283"/>
        <w:jc w:val="left"/>
      </w:pPr>
      <w:r>
        <w:rPr>
          <w:rFonts w:ascii="Times New Roman" w:hAnsi="Times New Roman" w:cs="Times New Roman"/>
          <w:b w:val="0"/>
          <w:i w:val="0"/>
          <w:sz w:val="22"/>
        </w:rPr>
        <w:t>- Implement the "Switch to Seller/Buyer Mode" button.</w:t>
      </w:r>
    </w:p>
    <w:p>
      <w:pPr>
        <w:spacing w:after="80" w:line="293" w:lineRule="auto"/>
        <w:ind w:left="283"/>
        <w:jc w:val="left"/>
      </w:pPr>
      <w:r>
        <w:rPr>
          <w:rFonts w:ascii="Times New Roman" w:hAnsi="Times New Roman" w:cs="Times New Roman"/>
          <w:b w:val="0"/>
          <w:i w:val="0"/>
          <w:sz w:val="22"/>
        </w:rPr>
        <w:t>- Implement the "Request Human Review" escalation (A3).</w:t>
      </w:r>
    </w:p>
    <w:p>
      <w:pPr>
        <w:spacing w:after="80" w:line="293" w:lineRule="auto"/>
        <w:ind w:left="283"/>
        <w:jc w:val="left"/>
      </w:pPr>
      <w:r>
        <w:rPr>
          <w:rFonts w:ascii="Times New Roman" w:hAnsi="Times New Roman" w:cs="Times New Roman"/>
          <w:b w:val="0"/>
          <w:i w:val="0"/>
          <w:sz w:val="22"/>
        </w:rPr>
        <w:t>- Implement the resolution timer and auto-escalation.</w:t>
      </w:r>
    </w:p>
    <w:p>
      <w:pPr>
        <w:spacing w:after="80" w:line="293" w:lineRule="auto"/>
        <w:ind w:left="283"/>
        <w:jc w:val="left"/>
      </w:pPr>
      <w:r>
        <w:rPr>
          <w:rFonts w:ascii="Times New Roman" w:hAnsi="Times New Roman" w:cs="Times New Roman"/>
          <w:b w:val="0"/>
          <w:i w:val="0"/>
          <w:sz w:val="22"/>
        </w:rPr>
        <w:t>- Implement the confidence/evidence expandable section.</w:t>
      </w:r>
    </w:p>
    <w:p>
      <w:pPr>
        <w:keepNext/>
        <w:spacing w:before="180" w:after="80"/>
        <w:outlineLvl w:val="2"/>
      </w:pPr>
      <w:r>
        <w:rPr>
          <w:rFonts w:ascii="Arial" w:hAnsi="Arial" w:cs="Arial"/>
          <w:b/>
          <w:i w:val="0"/>
          <w:color w:val="333333"/>
          <w:sz w:val="23"/>
        </w:rPr>
        <w:t>15.5.5 Loom &amp; Audit</w:t>
      </w:r>
    </w:p>
    <w:p>
      <w:pPr>
        <w:spacing w:after="80" w:line="293" w:lineRule="auto"/>
        <w:ind w:left="283"/>
        <w:jc w:val="left"/>
      </w:pPr>
      <w:r>
        <w:rPr>
          <w:rFonts w:ascii="Times New Roman" w:hAnsi="Times New Roman" w:cs="Times New Roman"/>
          <w:b w:val="0"/>
          <w:i w:val="0"/>
          <w:sz w:val="22"/>
        </w:rPr>
        <w:t>- Implement the Loom hash chain library (Rust).</w:t>
      </w:r>
    </w:p>
    <w:p>
      <w:pPr>
        <w:spacing w:after="80" w:line="293" w:lineRule="auto"/>
        <w:ind w:left="283"/>
        <w:jc w:val="left"/>
      </w:pPr>
      <w:r>
        <w:rPr>
          <w:rFonts w:ascii="Times New Roman" w:hAnsi="Times New Roman" w:cs="Times New Roman"/>
          <w:b w:val="0"/>
          <w:i w:val="0"/>
          <w:sz w:val="22"/>
        </w:rPr>
        <w:t>- Add the hourly `audit-chain-verifier` cron job.</w:t>
      </w:r>
    </w:p>
    <w:p>
      <w:pPr>
        <w:spacing w:after="80" w:line="293" w:lineRule="auto"/>
        <w:ind w:left="283"/>
        <w:jc w:val="left"/>
      </w:pPr>
      <w:r>
        <w:rPr>
          <w:rFonts w:ascii="Times New Roman" w:hAnsi="Times New Roman" w:cs="Times New Roman"/>
          <w:b w:val="0"/>
          <w:i w:val="0"/>
          <w:sz w:val="22"/>
        </w:rPr>
        <w:t>- Build the public Loom verification endpoint (`/v1/verify/loom`).</w:t>
      </w:r>
    </w:p>
    <w:p>
      <w:pPr>
        <w:spacing w:after="80" w:line="293" w:lineRule="auto"/>
        <w:ind w:left="283"/>
        <w:jc w:val="left"/>
      </w:pPr>
      <w:r>
        <w:rPr>
          <w:rFonts w:ascii="Times New Roman" w:hAnsi="Times New Roman" w:cs="Times New Roman"/>
          <w:b w:val="0"/>
          <w:i w:val="0"/>
          <w:sz w:val="22"/>
        </w:rPr>
        <w:t>- Create the `loom_verification_tokens` table.</w:t>
      </w:r>
    </w:p>
    <w:p>
      <w:pPr>
        <w:keepNext/>
        <w:spacing w:before="180" w:after="80"/>
        <w:outlineLvl w:val="2"/>
      </w:pPr>
      <w:r>
        <w:rPr>
          <w:rFonts w:ascii="Arial" w:hAnsi="Arial" w:cs="Arial"/>
          <w:b/>
          <w:i w:val="0"/>
          <w:color w:val="333333"/>
          <w:sz w:val="23"/>
        </w:rPr>
        <w:t>15.5.6 Cryptographic Signatures &amp; QES</w:t>
      </w:r>
    </w:p>
    <w:p>
      <w:pPr>
        <w:spacing w:after="80" w:line="293" w:lineRule="auto"/>
        <w:ind w:left="283"/>
        <w:jc w:val="left"/>
      </w:pPr>
      <w:r>
        <w:rPr>
          <w:rFonts w:ascii="Times New Roman" w:hAnsi="Times New Roman" w:cs="Times New Roman"/>
          <w:b w:val="0"/>
          <w:i w:val="0"/>
          <w:sz w:val="22"/>
        </w:rPr>
        <w:t>- Implement Ed25519 signing for all Governor decisions.</w:t>
      </w:r>
    </w:p>
    <w:p>
      <w:pPr>
        <w:spacing w:after="80" w:line="293" w:lineRule="auto"/>
        <w:ind w:left="283"/>
        <w:jc w:val="left"/>
      </w:pPr>
      <w:r>
        <w:rPr>
          <w:rFonts w:ascii="Times New Roman" w:hAnsi="Times New Roman" w:cs="Times New Roman"/>
          <w:b w:val="0"/>
          <w:i w:val="0"/>
          <w:sz w:val="22"/>
        </w:rPr>
        <w:t>- Set up SoftHSMv2 for the platform Ed25519 key.</w:t>
      </w:r>
    </w:p>
    <w:p>
      <w:pPr>
        <w:spacing w:after="80" w:line="293" w:lineRule="auto"/>
        <w:ind w:left="283"/>
        <w:jc w:val="left"/>
      </w:pPr>
      <w:r>
        <w:rPr>
          <w:rFonts w:ascii="Times New Roman" w:hAnsi="Times New Roman" w:cs="Times New Roman"/>
          <w:b w:val="0"/>
          <w:i w:val="0"/>
          <w:sz w:val="22"/>
        </w:rPr>
        <w:t>- Integrate Dilithium3 for archival records (blockchain-anchoring add-on).</w:t>
      </w:r>
    </w:p>
    <w:p>
      <w:pPr>
        <w:spacing w:after="80" w:line="293" w:lineRule="auto"/>
        <w:ind w:left="283"/>
        <w:jc w:val="left"/>
      </w:pPr>
      <w:r>
        <w:rPr>
          <w:rFonts w:ascii="Times New Roman" w:hAnsi="Times New Roman" w:cs="Times New Roman"/>
          <w:b w:val="0"/>
          <w:i w:val="0"/>
          <w:sz w:val="22"/>
        </w:rPr>
        <w:t>- Implement the QES layer (Egypt Trust API integration).</w:t>
      </w:r>
    </w:p>
    <w:p>
      <w:pPr>
        <w:spacing w:after="80" w:line="293" w:lineRule="auto"/>
        <w:ind w:left="283"/>
        <w:jc w:val="left"/>
      </w:pPr>
      <w:r>
        <w:rPr>
          <w:rFonts w:ascii="Times New Roman" w:hAnsi="Times New Roman" w:cs="Times New Roman"/>
          <w:b w:val="0"/>
          <w:i w:val="0"/>
          <w:sz w:val="22"/>
        </w:rPr>
        <w:t>- Add the QES API endpoints (`/v1/signature/qes/*`).</w:t>
      </w:r>
    </w:p>
    <w:p>
      <w:pPr>
        <w:spacing w:after="80" w:line="293" w:lineRule="auto"/>
        <w:ind w:left="283"/>
        <w:jc w:val="left"/>
      </w:pPr>
      <w:r>
        <w:rPr>
          <w:rFonts w:ascii="Times New Roman" w:hAnsi="Times New Roman" w:cs="Times New Roman"/>
          <w:b w:val="0"/>
          <w:i w:val="0"/>
          <w:sz w:val="22"/>
        </w:rPr>
        <w:t>- Create the user enrollment flow for QES during onboarding.</w:t>
      </w:r>
    </w:p>
    <w:p>
      <w:pPr>
        <w:keepNext/>
        <w:spacing w:before="180" w:after="80"/>
        <w:outlineLvl w:val="2"/>
      </w:pPr>
      <w:r>
        <w:rPr>
          <w:rFonts w:ascii="Arial" w:hAnsi="Arial" w:cs="Arial"/>
          <w:b/>
          <w:i w:val="0"/>
          <w:color w:val="333333"/>
          <w:sz w:val="23"/>
        </w:rPr>
        <w:t>15.5.7 Device Trust &amp; Session Security</w:t>
      </w:r>
    </w:p>
    <w:p>
      <w:pPr>
        <w:spacing w:after="80" w:line="293" w:lineRule="auto"/>
        <w:ind w:left="283"/>
        <w:jc w:val="left"/>
      </w:pPr>
      <w:r>
        <w:rPr>
          <w:rFonts w:ascii="Times New Roman" w:hAnsi="Times New Roman" w:cs="Times New Roman"/>
          <w:b w:val="0"/>
          <w:i w:val="0"/>
          <w:sz w:val="22"/>
        </w:rPr>
        <w:t>- Create the `device_registry` table.</w:t>
      </w:r>
    </w:p>
    <w:p>
      <w:pPr>
        <w:spacing w:after="80" w:line="293" w:lineRule="auto"/>
        <w:ind w:left="283"/>
        <w:jc w:val="left"/>
      </w:pPr>
      <w:r>
        <w:rPr>
          <w:rFonts w:ascii="Times New Roman" w:hAnsi="Times New Roman" w:cs="Times New Roman"/>
          <w:b w:val="0"/>
          <w:i w:val="0"/>
          <w:sz w:val="22"/>
        </w:rPr>
        <w:t>- Implement device trust rules (NEW, TRUSTED, ELEVATED_RISK, BLOCKED, REVOKED).</w:t>
      </w:r>
    </w:p>
    <w:p>
      <w:pPr>
        <w:spacing w:after="80" w:line="293" w:lineRule="auto"/>
        <w:ind w:left="283"/>
        <w:jc w:val="left"/>
      </w:pPr>
      <w:r>
        <w:rPr>
          <w:rFonts w:ascii="Times New Roman" w:hAnsi="Times New Roman" w:cs="Times New Roman"/>
          <w:b w:val="0"/>
          <w:i w:val="0"/>
          <w:sz w:val="22"/>
        </w:rPr>
        <w:t>- Add the Device Management Center to Company Admin.</w:t>
      </w:r>
    </w:p>
    <w:p>
      <w:pPr>
        <w:spacing w:after="80" w:line="293" w:lineRule="auto"/>
        <w:ind w:left="283"/>
        <w:jc w:val="left"/>
      </w:pPr>
      <w:r>
        <w:rPr>
          <w:rFonts w:ascii="Times New Roman" w:hAnsi="Times New Roman" w:cs="Times New Roman"/>
          <w:b w:val="0"/>
          <w:i w:val="0"/>
          <w:sz w:val="22"/>
        </w:rPr>
        <w:t>- Implement Step-Up Authentication for high-value actions.</w:t>
      </w:r>
    </w:p>
    <w:p>
      <w:pPr>
        <w:spacing w:after="80" w:line="293" w:lineRule="auto"/>
        <w:ind w:left="283"/>
        <w:jc w:val="left"/>
      </w:pPr>
      <w:r>
        <w:rPr>
          <w:rFonts w:ascii="Times New Roman" w:hAnsi="Times New Roman" w:cs="Times New Roman"/>
          <w:b w:val="0"/>
          <w:i w:val="0"/>
          <w:sz w:val="22"/>
        </w:rPr>
        <w:t>- Create the `session_risk_events` table.</w:t>
      </w:r>
    </w:p>
    <w:p>
      <w:pPr>
        <w:spacing w:after="80" w:line="293" w:lineRule="auto"/>
        <w:ind w:left="283"/>
        <w:jc w:val="left"/>
      </w:pPr>
      <w:r>
        <w:rPr>
          <w:rFonts w:ascii="Times New Roman" w:hAnsi="Times New Roman" w:cs="Times New Roman"/>
          <w:b w:val="0"/>
          <w:i w:val="0"/>
          <w:sz w:val="22"/>
        </w:rPr>
        <w:t>- Add the Session Risk Engine (A2 anomaly detection).</w:t>
      </w:r>
    </w:p>
    <w:p>
      <w:pPr>
        <w:spacing w:after="80" w:line="293" w:lineRule="auto"/>
        <w:ind w:left="283"/>
        <w:jc w:val="left"/>
      </w:pPr>
      <w:r>
        <w:rPr>
          <w:rFonts w:ascii="Times New Roman" w:hAnsi="Times New Roman" w:cs="Times New Roman"/>
          <w:b w:val="0"/>
          <w:i w:val="0"/>
          <w:sz w:val="22"/>
        </w:rPr>
        <w:t>- Implement the legal recovery flow for lost passkeys.</w:t>
      </w:r>
    </w:p>
    <w:p>
      <w:pPr>
        <w:keepNext/>
        <w:spacing w:before="180" w:after="80"/>
        <w:outlineLvl w:val="2"/>
      </w:pPr>
      <w:r>
        <w:rPr>
          <w:rFonts w:ascii="Arial" w:hAnsi="Arial" w:cs="Arial"/>
          <w:b/>
          <w:i w:val="0"/>
          <w:color w:val="333333"/>
          <w:sz w:val="23"/>
        </w:rPr>
        <w:t>15.5.8 Court Evidence Package</w:t>
      </w:r>
    </w:p>
    <w:p>
      <w:pPr>
        <w:spacing w:after="80" w:line="293" w:lineRule="auto"/>
        <w:ind w:left="283"/>
        <w:jc w:val="left"/>
      </w:pPr>
      <w:r>
        <w:rPr>
          <w:rFonts w:ascii="Times New Roman" w:hAnsi="Times New Roman" w:cs="Times New Roman"/>
          <w:b w:val="0"/>
          <w:i w:val="0"/>
          <w:sz w:val="22"/>
        </w:rPr>
        <w:t>- Implement the evidence-compiler service (Rust).</w:t>
      </w:r>
    </w:p>
    <w:p>
      <w:pPr>
        <w:spacing w:after="80" w:line="293" w:lineRule="auto"/>
        <w:ind w:left="283"/>
        <w:jc w:val="left"/>
      </w:pPr>
      <w:r>
        <w:rPr>
          <w:rFonts w:ascii="Times New Roman" w:hAnsi="Times New Roman" w:cs="Times New Roman"/>
          <w:b w:val="0"/>
          <w:i w:val="0"/>
          <w:sz w:val="22"/>
        </w:rPr>
        <w:t>- Build the evidence package generation endpoint (`POST /v1/evidence/package`).</w:t>
      </w:r>
    </w:p>
    <w:p>
      <w:pPr>
        <w:spacing w:after="80" w:line="293" w:lineRule="auto"/>
        <w:ind w:left="283"/>
        <w:jc w:val="left"/>
      </w:pPr>
      <w:r>
        <w:rPr>
          <w:rFonts w:ascii="Times New Roman" w:hAnsi="Times New Roman" w:cs="Times New Roman"/>
          <w:b w:val="0"/>
          <w:i w:val="0"/>
          <w:sz w:val="22"/>
        </w:rPr>
        <w:t>- Support formats: PDF, ZIP, Court Bundle, Arbitration Bundle.</w:t>
      </w:r>
    </w:p>
    <w:p>
      <w:pPr>
        <w:spacing w:after="80" w:line="293" w:lineRule="auto"/>
        <w:ind w:left="283"/>
        <w:jc w:val="left"/>
      </w:pPr>
      <w:r>
        <w:rPr>
          <w:rFonts w:ascii="Times New Roman" w:hAnsi="Times New Roman" w:cs="Times New Roman"/>
          <w:b w:val="0"/>
          <w:i w:val="0"/>
          <w:sz w:val="22"/>
        </w:rPr>
        <w:t>- Add Loom-hashing and one-time password encryption.</w:t>
      </w:r>
    </w:p>
    <w:p>
      <w:pPr>
        <w:keepNext/>
        <w:spacing w:before="180" w:after="80"/>
        <w:outlineLvl w:val="2"/>
      </w:pPr>
      <w:r>
        <w:rPr>
          <w:rFonts w:ascii="Arial" w:hAnsi="Arial" w:cs="Arial"/>
          <w:b/>
          <w:i w:val="0"/>
          <w:color w:val="333333"/>
          <w:sz w:val="23"/>
        </w:rPr>
        <w:t>15.5.9 Compliance Intelligence &amp; SAR</w:t>
      </w:r>
    </w:p>
    <w:p>
      <w:pPr>
        <w:spacing w:after="80" w:line="293" w:lineRule="auto"/>
        <w:ind w:left="283"/>
        <w:jc w:val="left"/>
      </w:pPr>
      <w:r>
        <w:rPr>
          <w:rFonts w:ascii="Times New Roman" w:hAnsi="Times New Roman" w:cs="Times New Roman"/>
          <w:b w:val="0"/>
          <w:i w:val="0"/>
          <w:sz w:val="22"/>
        </w:rPr>
        <w:t>- Implement the Unified Screening Gateway (`/v1/compliance/screen`).</w:t>
      </w:r>
    </w:p>
    <w:p>
      <w:pPr>
        <w:spacing w:after="80" w:line="293" w:lineRule="auto"/>
        <w:ind w:left="283"/>
        <w:jc w:val="left"/>
      </w:pPr>
      <w:r>
        <w:rPr>
          <w:rFonts w:ascii="Times New Roman" w:hAnsi="Times New Roman" w:cs="Times New Roman"/>
          <w:b w:val="0"/>
          <w:i w:val="0"/>
          <w:sz w:val="22"/>
        </w:rPr>
        <w:t>- Build the SAR detection triggers (Isolation Forest + rule-based).</w:t>
      </w:r>
    </w:p>
    <w:p>
      <w:pPr>
        <w:spacing w:after="80" w:line="293" w:lineRule="auto"/>
        <w:ind w:left="283"/>
        <w:jc w:val="left"/>
      </w:pPr>
      <w:r>
        <w:rPr>
          <w:rFonts w:ascii="Times New Roman" w:hAnsi="Times New Roman" w:cs="Times New Roman"/>
          <w:b w:val="0"/>
          <w:i w:val="0"/>
          <w:sz w:val="22"/>
        </w:rPr>
        <w:t>- Implement SAR draft generation (A1 Groq narrative).</w:t>
      </w:r>
    </w:p>
    <w:p>
      <w:pPr>
        <w:spacing w:after="80" w:line="293" w:lineRule="auto"/>
        <w:ind w:left="283"/>
        <w:jc w:val="left"/>
      </w:pPr>
      <w:r>
        <w:rPr>
          <w:rFonts w:ascii="Times New Roman" w:hAnsi="Times New Roman" w:cs="Times New Roman"/>
          <w:b w:val="0"/>
          <w:i w:val="0"/>
          <w:sz w:val="22"/>
        </w:rPr>
        <w:t>- Create the `suspicious_activity_reports` table.</w:t>
      </w:r>
    </w:p>
    <w:p>
      <w:pPr>
        <w:spacing w:after="80" w:line="293" w:lineRule="auto"/>
        <w:ind w:left="283"/>
        <w:jc w:val="left"/>
      </w:pPr>
      <w:r>
        <w:rPr>
          <w:rFonts w:ascii="Times New Roman" w:hAnsi="Times New Roman" w:cs="Times New Roman"/>
          <w:b w:val="0"/>
          <w:i w:val="0"/>
          <w:sz w:val="22"/>
        </w:rPr>
        <w:t>- Build the compliance officer review workflow (Smart Inbox).</w:t>
      </w:r>
    </w:p>
    <w:p>
      <w:pPr>
        <w:spacing w:after="80" w:line="293" w:lineRule="auto"/>
        <w:ind w:left="283"/>
        <w:jc w:val="left"/>
      </w:pPr>
      <w:r>
        <w:rPr>
          <w:rFonts w:ascii="Times New Roman" w:hAnsi="Times New Roman" w:cs="Times New Roman"/>
          <w:b w:val="0"/>
          <w:i w:val="0"/>
          <w:sz w:val="22"/>
        </w:rPr>
        <w:t>- Implement FIU filing integration (API or PDF).</w:t>
      </w:r>
    </w:p>
    <w:p>
      <w:pPr>
        <w:keepNext/>
        <w:spacing w:before="180" w:after="80"/>
        <w:outlineLvl w:val="2"/>
      </w:pPr>
      <w:r>
        <w:rPr>
          <w:rFonts w:ascii="Arial" w:hAnsi="Arial" w:cs="Arial"/>
          <w:b/>
          <w:i w:val="0"/>
          <w:color w:val="333333"/>
          <w:sz w:val="23"/>
        </w:rPr>
        <w:t>15.5.10 Testing &amp; Validation</w:t>
      </w:r>
    </w:p>
    <w:p>
      <w:pPr>
        <w:spacing w:after="80" w:line="293" w:lineRule="auto"/>
        <w:jc w:val="left"/>
      </w:pPr>
      <w:r>
        <w:rPr>
          <w:rFonts w:ascii="Times New Roman" w:hAnsi="Times New Roman" w:cs="Times New Roman"/>
          <w:b w:val="0"/>
          <w:i w:val="0"/>
          <w:sz w:val="22"/>
        </w:rPr>
        <w:t>Unit tests:</w:t>
      </w:r>
    </w:p>
    <w:p>
      <w:pPr>
        <w:spacing w:after="80" w:line="293" w:lineRule="auto"/>
        <w:ind w:left="283"/>
        <w:jc w:val="left"/>
      </w:pPr>
      <w:r>
        <w:rPr>
          <w:rFonts w:ascii="Times New Roman" w:hAnsi="Times New Roman" w:cs="Times New Roman"/>
          <w:b w:val="0"/>
          <w:i w:val="0"/>
          <w:sz w:val="22"/>
        </w:rPr>
        <w:t>- OPA policy evaluation.</w:t>
      </w:r>
    </w:p>
    <w:p>
      <w:pPr>
        <w:spacing w:after="80" w:line="293" w:lineRule="auto"/>
        <w:ind w:left="283"/>
        <w:jc w:val="left"/>
      </w:pPr>
      <w:r>
        <w:rPr>
          <w:rFonts w:ascii="Times New Roman" w:hAnsi="Times New Roman" w:cs="Times New Roman"/>
          <w:b w:val="0"/>
          <w:i w:val="0"/>
          <w:sz w:val="22"/>
        </w:rPr>
        <w:t>- WasmEdge module evaluation.</w:t>
      </w:r>
    </w:p>
    <w:p>
      <w:pPr>
        <w:spacing w:after="80" w:line="293" w:lineRule="auto"/>
        <w:ind w:left="283"/>
        <w:jc w:val="left"/>
      </w:pPr>
      <w:r>
        <w:rPr>
          <w:rFonts w:ascii="Times New Roman" w:hAnsi="Times New Roman" w:cs="Times New Roman"/>
          <w:b w:val="0"/>
          <w:i w:val="0"/>
          <w:sz w:val="22"/>
        </w:rPr>
        <w:t>- Decision merger logic.</w:t>
      </w:r>
    </w:p>
    <w:p>
      <w:pPr>
        <w:spacing w:after="80" w:line="293" w:lineRule="auto"/>
        <w:jc w:val="left"/>
      </w:pPr>
      <w:r>
        <w:rPr>
          <w:rFonts w:ascii="Times New Roman" w:hAnsi="Times New Roman" w:cs="Times New Roman"/>
          <w:b w:val="0"/>
          <w:i w:val="0"/>
          <w:sz w:val="22"/>
        </w:rPr>
        <w:t>Integration tests:</w:t>
      </w:r>
    </w:p>
    <w:p>
      <w:pPr>
        <w:spacing w:after="80" w:line="293" w:lineRule="auto"/>
        <w:ind w:left="283"/>
        <w:jc w:val="left"/>
      </w:pPr>
      <w:r>
        <w:rPr>
          <w:rFonts w:ascii="Times New Roman" w:hAnsi="Times New Roman" w:cs="Times New Roman"/>
          <w:b w:val="0"/>
          <w:i w:val="0"/>
          <w:sz w:val="22"/>
        </w:rPr>
        <w:t>- ALLOW → trade request created.</w:t>
      </w:r>
    </w:p>
    <w:p>
      <w:pPr>
        <w:spacing w:after="80" w:line="293" w:lineRule="auto"/>
        <w:ind w:left="283"/>
        <w:jc w:val="left"/>
      </w:pPr>
      <w:r>
        <w:rPr>
          <w:rFonts w:ascii="Times New Roman" w:hAnsi="Times New Roman" w:cs="Times New Roman"/>
          <w:b w:val="0"/>
          <w:i w:val="0"/>
          <w:sz w:val="22"/>
        </w:rPr>
        <w:t>- CONDITIONAL → Decision Panel displayed.</w:t>
      </w:r>
    </w:p>
    <w:p>
      <w:pPr>
        <w:spacing w:after="80" w:line="293" w:lineRule="auto"/>
        <w:ind w:left="283"/>
        <w:jc w:val="left"/>
      </w:pPr>
      <w:r>
        <w:rPr>
          <w:rFonts w:ascii="Times New Roman" w:hAnsi="Times New Roman" w:cs="Times New Roman"/>
          <w:b w:val="0"/>
          <w:i w:val="0"/>
          <w:sz w:val="22"/>
        </w:rPr>
        <w:t>- DENY → Decision Panel displayed.</w:t>
      </w:r>
    </w:p>
    <w:p>
      <w:pPr>
        <w:spacing w:after="80" w:line="293" w:lineRule="auto"/>
        <w:ind w:left="283"/>
        <w:jc w:val="left"/>
      </w:pPr>
      <w:r>
        <w:rPr>
          <w:rFonts w:ascii="Times New Roman" w:hAnsi="Times New Roman" w:cs="Times New Roman"/>
          <w:b w:val="0"/>
          <w:i w:val="0"/>
          <w:sz w:val="22"/>
        </w:rPr>
        <w:t>- Loom chain logging.</w:t>
      </w:r>
    </w:p>
    <w:p>
      <w:pPr>
        <w:spacing w:after="80" w:line="293" w:lineRule="auto"/>
        <w:ind w:left="283"/>
        <w:jc w:val="left"/>
      </w:pPr>
      <w:r>
        <w:rPr>
          <w:rFonts w:ascii="Times New Roman" w:hAnsi="Times New Roman" w:cs="Times New Roman"/>
          <w:b w:val="0"/>
          <w:i w:val="0"/>
          <w:sz w:val="22"/>
        </w:rPr>
        <w:t>- Tenant message generation.</w:t>
      </w:r>
    </w:p>
    <w:p>
      <w:pPr>
        <w:spacing w:after="80" w:line="293" w:lineRule="auto"/>
        <w:ind w:left="283"/>
        <w:jc w:val="left"/>
      </w:pPr>
      <w:r>
        <w:rPr>
          <w:rFonts w:ascii="Times New Roman" w:hAnsi="Times New Roman" w:cs="Times New Roman"/>
          <w:b w:val="0"/>
          <w:i w:val="0"/>
          <w:sz w:val="22"/>
        </w:rPr>
        <w:t>- Governor → OPA → WasmEdge → AI → Loom → storage, end to end.</w:t>
      </w:r>
    </w:p>
    <w:p>
      <w:pPr>
        <w:spacing w:after="80" w:line="293" w:lineRule="auto"/>
        <w:ind w:left="283"/>
        <w:jc w:val="left"/>
      </w:pPr>
      <w:r>
        <w:rPr>
          <w:rFonts w:ascii="Times New Roman" w:hAnsi="Times New Roman" w:cs="Times New Roman"/>
          <w:b w:val="0"/>
          <w:i w:val="0"/>
          <w:sz w:val="22"/>
        </w:rPr>
        <w:t>- QES hybrid fallback (TSP unavailable → advanced signature).</w:t>
      </w:r>
    </w:p>
    <w:p>
      <w:pPr>
        <w:spacing w:after="80" w:line="293" w:lineRule="auto"/>
        <w:ind w:left="283"/>
        <w:jc w:val="left"/>
      </w:pPr>
      <w:r>
        <w:rPr>
          <w:rFonts w:ascii="Times New Roman" w:hAnsi="Times New Roman" w:cs="Times New Roman"/>
          <w:b w:val="0"/>
          <w:i w:val="0"/>
          <w:sz w:val="22"/>
        </w:rPr>
        <w:t>- Device trust: new device registration, step-up authentication.</w:t>
      </w:r>
    </w:p>
    <w:p>
      <w:pPr>
        <w:spacing w:after="80" w:line="293" w:lineRule="auto"/>
        <w:ind w:left="283"/>
        <w:jc w:val="left"/>
      </w:pPr>
      <w:r>
        <w:rPr>
          <w:rFonts w:ascii="Times New Roman" w:hAnsi="Times New Roman" w:cs="Times New Roman"/>
          <w:b w:val="0"/>
          <w:i w:val="0"/>
          <w:sz w:val="22"/>
        </w:rPr>
        <w:t>- SAR detection and filing workflow.</w:t>
      </w:r>
    </w:p>
    <w:p>
      <w:pPr>
        <w:spacing w:after="80" w:line="293" w:lineRule="auto"/>
        <w:ind w:left="283"/>
        <w:jc w:val="left"/>
      </w:pPr>
      <w:r>
        <w:rPr>
          <w:rFonts w:ascii="Times New Roman" w:hAnsi="Times New Roman" w:cs="Times New Roman"/>
          <w:b w:val="0"/>
          <w:i w:val="0"/>
          <w:sz w:val="22"/>
        </w:rPr>
        <w:t>- Public Loom verification endpoint.</w:t>
      </w:r>
    </w:p>
    <w:p>
      <w:pPr>
        <w:spacing w:after="80" w:line="293" w:lineRule="auto"/>
        <w:jc w:val="left"/>
      </w:pPr>
      <w:r>
        <w:rPr>
          <w:rFonts w:ascii="Times New Roman" w:hAnsi="Times New Roman" w:cs="Times New Roman"/>
          <w:b w:val="0"/>
          <w:i w:val="0"/>
          <w:sz w:val="22"/>
        </w:rPr>
        <w:t>End-to-end tests:</w:t>
      </w:r>
    </w:p>
    <w:p>
      <w:pPr>
        <w:spacing w:after="80" w:line="293" w:lineRule="auto"/>
        <w:ind w:left="283"/>
        <w:jc w:val="left"/>
      </w:pPr>
      <w:r>
        <w:rPr>
          <w:rFonts w:ascii="Times New Roman" w:hAnsi="Times New Roman" w:cs="Times New Roman"/>
          <w:b w:val="0"/>
          <w:i w:val="0"/>
          <w:sz w:val="22"/>
        </w:rPr>
        <w:t>- Full submission workflow, from draft to PENDING_SELLER_RESPONSE.</w:t>
      </w:r>
    </w:p>
    <w:p>
      <w:pPr>
        <w:keepNext/>
        <w:spacing w:before="360" w:after="160"/>
        <w:outlineLvl w:val="0"/>
      </w:pPr>
      <w:r>
        <w:rPr>
          <w:rFonts w:ascii="Arial" w:hAnsi="Arial" w:cs="Arial"/>
          <w:b/>
          <w:i w:val="0"/>
          <w:color w:val="1F3864"/>
          <w:sz w:val="32"/>
        </w:rPr>
        <w:t>16. Portal Architecture &amp; Universal Command Center</w:t>
      </w:r>
    </w:p>
    <w:p>
      <w:pPr>
        <w:spacing w:after="80" w:line="293" w:lineRule="auto"/>
        <w:jc w:val="left"/>
      </w:pPr>
      <w:r>
        <w:rPr>
          <w:rFonts w:ascii="Times New Roman" w:hAnsi="Times New Roman" w:cs="Times New Roman"/>
          <w:b w:val="0"/>
          <w:i w:val="0"/>
          <w:sz w:val="22"/>
        </w:rPr>
        <w:t>This section specifies the complete portal layer of the platform: the twelve role-specific portals, the device strategy that keeps every role fully functional on web and mobile, the shared interaction components (Smart Inbox, Trade Command Center, PlainLanguage Governor Decision Panel, Shared Shipments Vault, VoiceCommandButton, Customer Care Chatbot), the Universal Command Center, and the navigation and quick-reference system that binds them together. Every portal inherits the non-marketplace boundary (see Section 2): no portal, inbox, command center, or AI assistant ever suggests an unknown counterparty, ranks providers, or surfaces an unsolicited trade. All trade relationships originate from explicit invitations between parties who already know each other, expressed through saved contacts and explicit GTID references.</w:t>
      </w:r>
    </w:p>
    <w:p>
      <w:pPr>
        <w:spacing w:after="80" w:line="293" w:lineRule="auto"/>
        <w:jc w:val="left"/>
      </w:pPr>
      <w:r>
        <w:rPr>
          <w:rFonts w:ascii="Times New Roman" w:hAnsi="Times New Roman" w:cs="Times New Roman"/>
          <w:b w:val="0"/>
          <w:i w:val="0"/>
          <w:sz w:val="22"/>
        </w:rPr>
        <w:t>Cross-references used throughout this section: identity and tenancy (Section 4), USTN namespace (Section 5), buyer workflow (Section 6), financing pre-clearance (Section 7), seller workflow (Section 8), negotiation and contracting (Section 9), trade finance execution (Section 10), service provider capability model (Section 11), physical execution (Section 12), settlement (Section 13), post-trade operations (Section 14), Governor gate matrix (Section 15), data model (Section 17), and API index (Section 18).</w:t>
      </w:r>
    </w:p>
    <w:p>
      <w:pPr>
        <w:keepNext/>
        <w:spacing w:before="240" w:after="100"/>
        <w:outlineLvl w:val="1"/>
      </w:pPr>
      <w:r>
        <w:rPr>
          <w:rFonts w:ascii="Arial" w:hAnsi="Arial" w:cs="Arial"/>
          <w:b/>
          <w:i w:val="0"/>
          <w:color w:val="2E528F"/>
          <w:sz w:val="26"/>
        </w:rPr>
        <w:t>16.1 Portal Architecture Overview</w:t>
      </w:r>
    </w:p>
    <w:p>
      <w:pPr>
        <w:keepNext/>
        <w:spacing w:before="180" w:after="80"/>
        <w:outlineLvl w:val="2"/>
      </w:pPr>
      <w:r>
        <w:rPr>
          <w:rFonts w:ascii="Arial" w:hAnsi="Arial" w:cs="Arial"/>
          <w:b/>
          <w:i w:val="0"/>
          <w:color w:val="333333"/>
          <w:sz w:val="23"/>
        </w:rPr>
        <w:t>16.1.1 Purpose &amp; Design Philosophy</w:t>
      </w:r>
    </w:p>
    <w:p>
      <w:pPr>
        <w:spacing w:after="80" w:line="293" w:lineRule="auto"/>
        <w:jc w:val="left"/>
      </w:pPr>
      <w:r>
        <w:rPr>
          <w:rFonts w:ascii="Times New Roman" w:hAnsi="Times New Roman" w:cs="Times New Roman"/>
          <w:b w:val="0"/>
          <w:i w:val="0"/>
          <w:sz w:val="22"/>
        </w:rPr>
        <w:t>The platform is designed to be accessible from any device — desktop, laptop, tablet, or smartphone — while optimising the user experience for the specific context in which each role operates. A trade manager working from a desktop requires different interaction patterns than a truck driver using a mobile app in a warehouse, or a QC inspector performing on-site inspections with intermittent connectivity. This subsection defines the device priority for each portal, the mobile/web parity expectations, the offline capabilities required for field operations, and the unified navigation structure that ensures consistency across all portals while allowing role-specific customisation.</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Device parity — every role that has a mobile companion app also has a fully functional web</w:t>
      </w:r>
    </w:p>
    <w:p>
      <w:pPr>
        <w:spacing w:after="80" w:line="293" w:lineRule="auto"/>
        <w:jc w:val="left"/>
      </w:pPr>
      <w:r>
        <w:rPr>
          <w:rFonts w:ascii="Times New Roman" w:hAnsi="Times New Roman" w:cs="Times New Roman"/>
          <w:b w:val="0"/>
          <w:i w:val="0"/>
          <w:sz w:val="22"/>
        </w:rPr>
        <w:t>portal; all trade-critical actions can be performed from any web browser.</w:t>
      </w:r>
    </w:p>
    <w:p>
      <w:pPr>
        <w:spacing w:after="80" w:line="293" w:lineRule="auto"/>
        <w:ind w:left="283"/>
        <w:jc w:val="left"/>
      </w:pPr>
      <w:r>
        <w:rPr>
          <w:rFonts w:ascii="Times New Roman" w:hAnsi="Times New Roman" w:cs="Times New Roman"/>
          <w:b w:val="0"/>
          <w:i w:val="0"/>
          <w:sz w:val="22"/>
        </w:rPr>
        <w:t>- Role-optimised layouts — field roles (drivers, inspectors, document runners) receive</w:t>
      </w:r>
    </w:p>
    <w:p>
      <w:pPr>
        <w:spacing w:after="80" w:line="293" w:lineRule="auto"/>
        <w:jc w:val="left"/>
      </w:pPr>
      <w:r>
        <w:rPr>
          <w:rFonts w:ascii="Times New Roman" w:hAnsi="Times New Roman" w:cs="Times New Roman"/>
          <w:b w:val="0"/>
          <w:i w:val="0"/>
          <w:sz w:val="22"/>
        </w:rPr>
        <w:t>offline-first mobile apps; office roles receive desktop-optimised web portals.</w:t>
      </w:r>
    </w:p>
    <w:p>
      <w:pPr>
        <w:spacing w:after="80" w:line="293" w:lineRule="auto"/>
        <w:ind w:left="283"/>
        <w:jc w:val="left"/>
      </w:pPr>
      <w:r>
        <w:rPr>
          <w:rFonts w:ascii="Times New Roman" w:hAnsi="Times New Roman" w:cs="Times New Roman"/>
          <w:b w:val="0"/>
          <w:i w:val="0"/>
          <w:sz w:val="22"/>
        </w:rPr>
        <w:t>- Unified navigation — all portals share a common global header, a common sidebar pattern, and a</w:t>
      </w:r>
    </w:p>
    <w:p>
      <w:pPr>
        <w:spacing w:after="80" w:line="293" w:lineRule="auto"/>
        <w:jc w:val="left"/>
      </w:pPr>
      <w:r>
        <w:rPr>
          <w:rFonts w:ascii="Times New Roman" w:hAnsi="Times New Roman" w:cs="Times New Roman"/>
          <w:b w:val="0"/>
          <w:i w:val="0"/>
          <w:sz w:val="22"/>
        </w:rPr>
        <w:t>common set of cross-portal components, so that a user who learns one portal can navigate any other.</w:t>
      </w:r>
    </w:p>
    <w:p>
      <w:pPr>
        <w:spacing w:after="80" w:line="293" w:lineRule="auto"/>
        <w:ind w:left="283"/>
        <w:jc w:val="left"/>
      </w:pPr>
      <w:r>
        <w:rPr>
          <w:rFonts w:ascii="Times New Roman" w:hAnsi="Times New Roman" w:cs="Times New Roman"/>
          <w:b w:val="0"/>
          <w:i w:val="0"/>
          <w:sz w:val="22"/>
        </w:rPr>
        <w:t>- Offline-first field operations — mobile apps queue actions locally and synchronise on</w:t>
      </w:r>
    </w:p>
    <w:p>
      <w:pPr>
        <w:spacing w:after="80" w:line="293" w:lineRule="auto"/>
        <w:jc w:val="left"/>
      </w:pPr>
      <w:r>
        <w:rPr>
          <w:rFonts w:ascii="Times New Roman" w:hAnsi="Times New Roman" w:cs="Times New Roman"/>
          <w:b w:val="0"/>
          <w:i w:val="0"/>
          <w:sz w:val="22"/>
        </w:rPr>
        <w:t>reconnection; the platform never loses a scan, a milestone, or an inspection record.</w:t>
      </w:r>
    </w:p>
    <w:p>
      <w:pPr>
        <w:keepNext/>
        <w:spacing w:before="180" w:after="80"/>
        <w:outlineLvl w:val="2"/>
      </w:pPr>
      <w:r>
        <w:rPr>
          <w:rFonts w:ascii="Arial" w:hAnsi="Arial" w:cs="Arial"/>
          <w:b/>
          <w:i w:val="0"/>
          <w:color w:val="333333"/>
          <w:sz w:val="23"/>
        </w:rPr>
        <w:t>16.1.2 The Twelve Portals</w:t>
      </w:r>
    </w:p>
    <w:p>
      <w:pPr>
        <w:spacing w:after="80" w:line="293" w:lineRule="auto"/>
        <w:jc w:val="left"/>
      </w:pPr>
      <w:r>
        <w:rPr>
          <w:rFonts w:ascii="Times New Roman" w:hAnsi="Times New Roman" w:cs="Times New Roman"/>
          <w:b w:val="0"/>
          <w:i w:val="0"/>
          <w:sz w:val="22"/>
        </w:rPr>
        <w:t>The platform operates twelve portals. Each portal is a workspace for one operating role; tenant accounts, employees, permissions, and data scopes are defined in Section 4.</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w:t>
            </w:r>
          </w:p>
        </w:tc>
        <w:tc>
          <w:tcPr>
            <w:tcW w:type="dxa" w:w="3213"/>
            <w:shd w:val="clear" w:fill="D9E2F3"/>
          </w:tcPr>
          <w:p>
            <w:pPr>
              <w:spacing w:after="20" w:before="20" w:line="240" w:lineRule="auto"/>
            </w:pPr>
            <w:r/>
            <w:r>
              <w:rPr>
                <w:rFonts w:ascii="Arial" w:hAnsi="Arial" w:cs="Arial"/>
                <w:b/>
                <w:i w:val="0"/>
                <w:sz w:val="18"/>
              </w:rPr>
              <w:t>Portal</w:t>
            </w:r>
          </w:p>
        </w:tc>
        <w:tc>
          <w:tcPr>
            <w:tcW w:type="dxa" w:w="3213"/>
            <w:shd w:val="clear" w:fill="D9E2F3"/>
          </w:tcPr>
          <w:p>
            <w:pPr>
              <w:spacing w:after="20" w:before="20" w:line="240" w:lineRule="auto"/>
            </w:pPr>
            <w:r/>
            <w:r>
              <w:rPr>
                <w:rFonts w:ascii="Arial" w:hAnsi="Arial" w:cs="Arial"/>
                <w:b/>
                <w:i w:val="0"/>
                <w:sz w:val="18"/>
              </w:rPr>
              <w:t>Primary Role</w:t>
            </w:r>
          </w:p>
        </w:tc>
      </w:tr>
      <w:tr>
        <w:tc>
          <w:tcPr>
            <w:tcW w:type="dxa" w:w="3213"/>
          </w:tcPr>
          <w:p>
            <w:pPr>
              <w:spacing w:after="20" w:before="20" w:line="240" w:lineRule="auto"/>
            </w:pPr>
            <w:r/>
            <w:r>
              <w:rPr>
                <w:rFonts w:ascii="Arial" w:hAnsi="Arial" w:cs="Arial"/>
                <w:b w:val="0"/>
                <w:i w:val="0"/>
                <w:sz w:val="17"/>
              </w:rPr>
              <w:t>1</w:t>
            </w:r>
          </w:p>
        </w:tc>
        <w:tc>
          <w:tcPr>
            <w:tcW w:type="dxa" w:w="3213"/>
          </w:tcPr>
          <w:p>
            <w:pPr>
              <w:spacing w:after="20" w:before="20" w:line="240" w:lineRule="auto"/>
            </w:pPr>
            <w:r/>
            <w:r>
              <w:rPr>
                <w:rFonts w:ascii="Arial" w:hAnsi="Arial" w:cs="Arial"/>
                <w:b w:val="0"/>
                <w:i w:val="0"/>
                <w:sz w:val="17"/>
              </w:rPr>
              <w:t>Trader Portal — Buyer Mode</w:t>
            </w:r>
          </w:p>
        </w:tc>
        <w:tc>
          <w:tcPr>
            <w:tcW w:type="dxa" w:w="3213"/>
          </w:tcPr>
          <w:p>
            <w:pPr>
              <w:spacing w:after="20" w:before="20" w:line="240" w:lineRule="auto"/>
            </w:pPr>
            <w:r/>
            <w:r>
              <w:rPr>
                <w:rFonts w:ascii="Arial" w:hAnsi="Arial" w:cs="Arial"/>
                <w:b w:val="0"/>
                <w:i w:val="0"/>
                <w:sz w:val="17"/>
              </w:rPr>
              <w:t>Importers and procurement (tenants with type TRD, mode BUY)</w:t>
            </w:r>
          </w:p>
        </w:tc>
      </w:tr>
      <w:tr>
        <w:tc>
          <w:tcPr>
            <w:tcW w:type="dxa" w:w="3213"/>
          </w:tcPr>
          <w:p>
            <w:pPr>
              <w:spacing w:after="20" w:before="20" w:line="240" w:lineRule="auto"/>
            </w:pPr>
            <w:r/>
            <w:r>
              <w:rPr>
                <w:rFonts w:ascii="Arial" w:hAnsi="Arial" w:cs="Arial"/>
                <w:b w:val="0"/>
                <w:i w:val="0"/>
                <w:sz w:val="17"/>
              </w:rPr>
              <w:t>2</w:t>
            </w:r>
          </w:p>
        </w:tc>
        <w:tc>
          <w:tcPr>
            <w:tcW w:type="dxa" w:w="3213"/>
          </w:tcPr>
          <w:p>
            <w:pPr>
              <w:spacing w:after="20" w:before="20" w:line="240" w:lineRule="auto"/>
            </w:pPr>
            <w:r/>
            <w:r>
              <w:rPr>
                <w:rFonts w:ascii="Arial" w:hAnsi="Arial" w:cs="Arial"/>
                <w:b w:val="0"/>
                <w:i w:val="0"/>
                <w:sz w:val="17"/>
              </w:rPr>
              <w:t>Trader Portal — Seller Mode</w:t>
            </w:r>
          </w:p>
        </w:tc>
        <w:tc>
          <w:tcPr>
            <w:tcW w:type="dxa" w:w="3213"/>
          </w:tcPr>
          <w:p>
            <w:pPr>
              <w:spacing w:after="20" w:before="20" w:line="240" w:lineRule="auto"/>
            </w:pPr>
            <w:r/>
            <w:r>
              <w:rPr>
                <w:rFonts w:ascii="Arial" w:hAnsi="Arial" w:cs="Arial"/>
                <w:b w:val="0"/>
                <w:i w:val="0"/>
                <w:sz w:val="17"/>
              </w:rPr>
              <w:t>Exporters and sales (tenants with type TRD, mode SELL)</w:t>
            </w:r>
          </w:p>
        </w:tc>
      </w:tr>
      <w:tr>
        <w:tc>
          <w:tcPr>
            <w:tcW w:type="dxa" w:w="3213"/>
          </w:tcPr>
          <w:p>
            <w:pPr>
              <w:spacing w:after="20" w:before="20" w:line="240" w:lineRule="auto"/>
            </w:pPr>
            <w:r/>
            <w:r>
              <w:rPr>
                <w:rFonts w:ascii="Arial" w:hAnsi="Arial" w:cs="Arial"/>
                <w:b w:val="0"/>
                <w:i w:val="0"/>
                <w:sz w:val="17"/>
              </w:rPr>
              <w:t>3</w:t>
            </w:r>
          </w:p>
        </w:tc>
        <w:tc>
          <w:tcPr>
            <w:tcW w:type="dxa" w:w="3213"/>
          </w:tcPr>
          <w:p>
            <w:pPr>
              <w:spacing w:after="20" w:before="20" w:line="240" w:lineRule="auto"/>
            </w:pPr>
            <w:r/>
            <w:r>
              <w:rPr>
                <w:rFonts w:ascii="Arial" w:hAnsi="Arial" w:cs="Arial"/>
                <w:b w:val="0"/>
                <w:i w:val="0"/>
                <w:sz w:val="17"/>
              </w:rPr>
              <w:t>Logistics Provider (LSP) Portal</w:t>
            </w:r>
          </w:p>
        </w:tc>
        <w:tc>
          <w:tcPr>
            <w:tcW w:type="dxa" w:w="3213"/>
          </w:tcPr>
          <w:p>
            <w:pPr>
              <w:spacing w:after="20" w:before="20" w:line="240" w:lineRule="auto"/>
            </w:pPr>
            <w:r/>
            <w:r>
              <w:rPr>
                <w:rFonts w:ascii="Arial" w:hAnsi="Arial" w:cs="Arial"/>
                <w:b w:val="0"/>
                <w:i w:val="0"/>
                <w:sz w:val="17"/>
              </w:rPr>
              <w:t>Trucking, forwarding, warehousing providers</w:t>
            </w:r>
          </w:p>
        </w:tc>
      </w:tr>
      <w:tr>
        <w:tc>
          <w:tcPr>
            <w:tcW w:type="dxa" w:w="3213"/>
          </w:tcPr>
          <w:p>
            <w:pPr>
              <w:spacing w:after="20" w:before="20" w:line="240" w:lineRule="auto"/>
            </w:pPr>
            <w:r/>
            <w:r>
              <w:rPr>
                <w:rFonts w:ascii="Arial" w:hAnsi="Arial" w:cs="Arial"/>
                <w:b w:val="0"/>
                <w:i w:val="0"/>
                <w:sz w:val="17"/>
              </w:rPr>
              <w:t>4</w:t>
            </w:r>
          </w:p>
        </w:tc>
        <w:tc>
          <w:tcPr>
            <w:tcW w:type="dxa" w:w="3213"/>
          </w:tcPr>
          <w:p>
            <w:pPr>
              <w:spacing w:after="20" w:before="20" w:line="240" w:lineRule="auto"/>
            </w:pPr>
            <w:r/>
            <w:r>
              <w:rPr>
                <w:rFonts w:ascii="Arial" w:hAnsi="Arial" w:cs="Arial"/>
                <w:b w:val="0"/>
                <w:i w:val="0"/>
                <w:sz w:val="17"/>
              </w:rPr>
              <w:t>Shipping Line (SHIP) Portal</w:t>
            </w:r>
          </w:p>
        </w:tc>
        <w:tc>
          <w:tcPr>
            <w:tcW w:type="dxa" w:w="3213"/>
          </w:tcPr>
          <w:p>
            <w:pPr>
              <w:spacing w:after="20" w:before="20" w:line="240" w:lineRule="auto"/>
            </w:pPr>
            <w:r/>
            <w:r>
              <w:rPr>
                <w:rFonts w:ascii="Arial" w:hAnsi="Arial" w:cs="Arial"/>
                <w:b w:val="0"/>
                <w:i w:val="0"/>
                <w:sz w:val="17"/>
              </w:rPr>
              <w:t>Ocean carriers, NVOCCs, vessel operators</w:t>
            </w:r>
          </w:p>
        </w:tc>
      </w:tr>
      <w:tr>
        <w:tc>
          <w:tcPr>
            <w:tcW w:type="dxa" w:w="3213"/>
          </w:tcPr>
          <w:p>
            <w:pPr>
              <w:spacing w:after="20" w:before="20" w:line="240" w:lineRule="auto"/>
            </w:pPr>
            <w:r/>
            <w:r>
              <w:rPr>
                <w:rFonts w:ascii="Arial" w:hAnsi="Arial" w:cs="Arial"/>
                <w:b w:val="0"/>
                <w:i w:val="0"/>
                <w:sz w:val="17"/>
              </w:rPr>
              <w:t>5</w:t>
            </w:r>
          </w:p>
        </w:tc>
        <w:tc>
          <w:tcPr>
            <w:tcW w:type="dxa" w:w="3213"/>
          </w:tcPr>
          <w:p>
            <w:pPr>
              <w:spacing w:after="20" w:before="20" w:line="240" w:lineRule="auto"/>
            </w:pPr>
            <w:r/>
            <w:r>
              <w:rPr>
                <w:rFonts w:ascii="Arial" w:hAnsi="Arial" w:cs="Arial"/>
                <w:b w:val="0"/>
                <w:i w:val="0"/>
                <w:sz w:val="17"/>
              </w:rPr>
              <w:t>Laboratory (LAB) Portal</w:t>
            </w:r>
          </w:p>
        </w:tc>
        <w:tc>
          <w:tcPr>
            <w:tcW w:type="dxa" w:w="3213"/>
          </w:tcPr>
          <w:p>
            <w:pPr>
              <w:spacing w:after="20" w:before="20" w:line="240" w:lineRule="auto"/>
            </w:pPr>
            <w:r/>
            <w:r>
              <w:rPr>
                <w:rFonts w:ascii="Arial" w:hAnsi="Arial" w:cs="Arial"/>
                <w:b w:val="0"/>
                <w:i w:val="0"/>
                <w:sz w:val="17"/>
              </w:rPr>
              <w:t>ISO 17025 accredited testing laboratories</w:t>
            </w:r>
          </w:p>
        </w:tc>
      </w:tr>
      <w:tr>
        <w:tc>
          <w:tcPr>
            <w:tcW w:type="dxa" w:w="3213"/>
          </w:tcPr>
          <w:p>
            <w:pPr>
              <w:spacing w:after="20" w:before="20" w:line="240" w:lineRule="auto"/>
            </w:pPr>
            <w:r/>
            <w:r>
              <w:rPr>
                <w:rFonts w:ascii="Arial" w:hAnsi="Arial" w:cs="Arial"/>
                <w:b w:val="0"/>
                <w:i w:val="0"/>
                <w:sz w:val="17"/>
              </w:rPr>
              <w:t>6</w:t>
            </w:r>
          </w:p>
        </w:tc>
        <w:tc>
          <w:tcPr>
            <w:tcW w:type="dxa" w:w="3213"/>
          </w:tcPr>
          <w:p>
            <w:pPr>
              <w:spacing w:after="20" w:before="20" w:line="240" w:lineRule="auto"/>
            </w:pPr>
            <w:r/>
            <w:r>
              <w:rPr>
                <w:rFonts w:ascii="Arial" w:hAnsi="Arial" w:cs="Arial"/>
                <w:b w:val="0"/>
                <w:i w:val="0"/>
                <w:sz w:val="17"/>
              </w:rPr>
              <w:t>QC Inspection Portal</w:t>
            </w:r>
          </w:p>
        </w:tc>
        <w:tc>
          <w:tcPr>
            <w:tcW w:type="dxa" w:w="3213"/>
          </w:tcPr>
          <w:p>
            <w:pPr>
              <w:spacing w:after="20" w:before="20" w:line="240" w:lineRule="auto"/>
            </w:pPr>
            <w:r/>
            <w:r>
              <w:rPr>
                <w:rFonts w:ascii="Arial" w:hAnsi="Arial" w:cs="Arial"/>
                <w:b w:val="0"/>
                <w:i w:val="0"/>
                <w:sz w:val="17"/>
              </w:rPr>
              <w:t>ISO 17020 accredited inspection providers</w:t>
            </w:r>
          </w:p>
        </w:tc>
      </w:tr>
      <w:tr>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Customs Broker (CBR) Portal</w:t>
            </w:r>
          </w:p>
        </w:tc>
        <w:tc>
          <w:tcPr>
            <w:tcW w:type="dxa" w:w="3213"/>
          </w:tcPr>
          <w:p>
            <w:pPr>
              <w:spacing w:after="20" w:before="20" w:line="240" w:lineRule="auto"/>
            </w:pPr>
            <w:r/>
            <w:r>
              <w:rPr>
                <w:rFonts w:ascii="Arial" w:hAnsi="Arial" w:cs="Arial"/>
                <w:b w:val="0"/>
                <w:i w:val="0"/>
                <w:sz w:val="17"/>
              </w:rPr>
              <w:t>Licensed customs brokers</w:t>
            </w:r>
          </w:p>
        </w:tc>
      </w:tr>
      <w:tr>
        <w:tc>
          <w:tcPr>
            <w:tcW w:type="dxa" w:w="3213"/>
          </w:tcPr>
          <w:p>
            <w:pPr>
              <w:spacing w:after="20" w:before="20" w:line="240" w:lineRule="auto"/>
            </w:pPr>
            <w:r/>
            <w:r>
              <w:rPr>
                <w:rFonts w:ascii="Arial" w:hAnsi="Arial" w:cs="Arial"/>
                <w:b w:val="0"/>
                <w:i w:val="0"/>
                <w:sz w:val="17"/>
              </w:rPr>
              <w:t>8</w:t>
            </w:r>
          </w:p>
        </w:tc>
        <w:tc>
          <w:tcPr>
            <w:tcW w:type="dxa" w:w="3213"/>
          </w:tcPr>
          <w:p>
            <w:pPr>
              <w:spacing w:after="20" w:before="20" w:line="240" w:lineRule="auto"/>
            </w:pPr>
            <w:r/>
            <w:r>
              <w:rPr>
                <w:rFonts w:ascii="Arial" w:hAnsi="Arial" w:cs="Arial"/>
                <w:b w:val="0"/>
                <w:i w:val="0"/>
                <w:sz w:val="17"/>
              </w:rPr>
              <w:t>Financier (Bank) Portal</w:t>
            </w:r>
          </w:p>
        </w:tc>
        <w:tc>
          <w:tcPr>
            <w:tcW w:type="dxa" w:w="3213"/>
          </w:tcPr>
          <w:p>
            <w:pPr>
              <w:spacing w:after="20" w:before="20" w:line="240" w:lineRule="auto"/>
            </w:pPr>
            <w:r/>
            <w:r>
              <w:rPr>
                <w:rFonts w:ascii="Arial" w:hAnsi="Arial" w:cs="Arial"/>
                <w:b w:val="0"/>
                <w:i w:val="0"/>
                <w:sz w:val="17"/>
              </w:rPr>
              <w:t>Banks (type FIN, sub_type BANK)</w:t>
            </w:r>
          </w:p>
        </w:tc>
      </w:tr>
      <w:tr>
        <w:tc>
          <w:tcPr>
            <w:tcW w:type="dxa" w:w="3213"/>
          </w:tcPr>
          <w:p>
            <w:pPr>
              <w:spacing w:after="20" w:before="20" w:line="240" w:lineRule="auto"/>
            </w:pPr>
            <w:r/>
            <w:r>
              <w:rPr>
                <w:rFonts w:ascii="Arial" w:hAnsi="Arial" w:cs="Arial"/>
                <w:b w:val="0"/>
                <w:i w:val="0"/>
                <w:sz w:val="17"/>
              </w:rPr>
              <w:t>9</w:t>
            </w:r>
          </w:p>
        </w:tc>
        <w:tc>
          <w:tcPr>
            <w:tcW w:type="dxa" w:w="3213"/>
          </w:tcPr>
          <w:p>
            <w:pPr>
              <w:spacing w:after="20" w:before="20" w:line="240" w:lineRule="auto"/>
            </w:pPr>
            <w:r/>
            <w:r>
              <w:rPr>
                <w:rFonts w:ascii="Arial" w:hAnsi="Arial" w:cs="Arial"/>
                <w:b w:val="0"/>
                <w:i w:val="0"/>
                <w:sz w:val="17"/>
              </w:rPr>
              <w:t>Financier (PFI) Portal</w:t>
            </w:r>
          </w:p>
        </w:tc>
        <w:tc>
          <w:tcPr>
            <w:tcW w:type="dxa" w:w="3213"/>
          </w:tcPr>
          <w:p>
            <w:pPr>
              <w:spacing w:after="20" w:before="20" w:line="240" w:lineRule="auto"/>
            </w:pPr>
            <w:r/>
            <w:r>
              <w:rPr>
                <w:rFonts w:ascii="Arial" w:hAnsi="Arial" w:cs="Arial"/>
                <w:b w:val="0"/>
                <w:i w:val="0"/>
                <w:sz w:val="17"/>
              </w:rPr>
              <w:t>Private financiers (type FIN, sub_type PRIVATE)</w:t>
            </w:r>
          </w:p>
        </w:tc>
      </w:tr>
      <w:tr>
        <w:tc>
          <w:tcPr>
            <w:tcW w:type="dxa" w:w="3213"/>
          </w:tcPr>
          <w:p>
            <w:pPr>
              <w:spacing w:after="20" w:before="20" w:line="240" w:lineRule="auto"/>
            </w:pPr>
            <w:r/>
            <w:r>
              <w:rPr>
                <w:rFonts w:ascii="Arial" w:hAnsi="Arial" w:cs="Arial"/>
                <w:b w:val="0"/>
                <w:i w:val="0"/>
                <w:sz w:val="17"/>
              </w:rPr>
              <w:t>10</w:t>
            </w:r>
          </w:p>
        </w:tc>
        <w:tc>
          <w:tcPr>
            <w:tcW w:type="dxa" w:w="3213"/>
          </w:tcPr>
          <w:p>
            <w:pPr>
              <w:spacing w:after="20" w:before="20" w:line="240" w:lineRule="auto"/>
            </w:pPr>
            <w:r/>
            <w:r>
              <w:rPr>
                <w:rFonts w:ascii="Arial" w:hAnsi="Arial" w:cs="Arial"/>
                <w:b w:val="0"/>
                <w:i w:val="0"/>
                <w:sz w:val="17"/>
              </w:rPr>
              <w:t>Government Portal</w:t>
            </w:r>
          </w:p>
        </w:tc>
        <w:tc>
          <w:tcPr>
            <w:tcW w:type="dxa" w:w="3213"/>
          </w:tcPr>
          <w:p>
            <w:pPr>
              <w:spacing w:after="20" w:before="20" w:line="240" w:lineRule="auto"/>
            </w:pPr>
            <w:r/>
            <w:r>
              <w:rPr>
                <w:rFonts w:ascii="Arial" w:hAnsi="Arial" w:cs="Arial"/>
                <w:b w:val="0"/>
                <w:i w:val="0"/>
                <w:sz w:val="17"/>
              </w:rPr>
              <w:t>Customs, port authorities, trade ministries (type GOV)</w:t>
            </w:r>
          </w:p>
        </w:tc>
      </w:tr>
      <w:tr>
        <w:tc>
          <w:tcPr>
            <w:tcW w:type="dxa" w:w="3213"/>
          </w:tcPr>
          <w:p>
            <w:pPr>
              <w:spacing w:after="20" w:before="20" w:line="240" w:lineRule="auto"/>
            </w:pPr>
            <w:r/>
            <w:r>
              <w:rPr>
                <w:rFonts w:ascii="Arial" w:hAnsi="Arial" w:cs="Arial"/>
                <w:b w:val="0"/>
                <w:i w:val="0"/>
                <w:sz w:val="17"/>
              </w:rPr>
              <w:t>11</w:t>
            </w:r>
          </w:p>
        </w:tc>
        <w:tc>
          <w:tcPr>
            <w:tcW w:type="dxa" w:w="3213"/>
          </w:tcPr>
          <w:p>
            <w:pPr>
              <w:spacing w:after="20" w:before="20" w:line="240" w:lineRule="auto"/>
            </w:pPr>
            <w:r/>
            <w:r>
              <w:rPr>
                <w:rFonts w:ascii="Arial" w:hAnsi="Arial" w:cs="Arial"/>
                <w:b w:val="0"/>
                <w:i w:val="0"/>
                <w:sz w:val="17"/>
              </w:rPr>
              <w:t>Admin Portal</w:t>
            </w:r>
          </w:p>
        </w:tc>
        <w:tc>
          <w:tcPr>
            <w:tcW w:type="dxa" w:w="3213"/>
          </w:tcPr>
          <w:p>
            <w:pPr>
              <w:spacing w:after="20" w:before="20" w:line="240" w:lineRule="auto"/>
            </w:pPr>
            <w:r/>
            <w:r>
              <w:rPr>
                <w:rFonts w:ascii="Arial" w:hAnsi="Arial" w:cs="Arial"/>
                <w:b w:val="0"/>
                <w:i w:val="0"/>
                <w:sz w:val="17"/>
              </w:rPr>
              <w:t>Platform Governance Authority multisig members</w:t>
            </w:r>
          </w:p>
        </w:tc>
      </w:tr>
      <w:tr>
        <w:tc>
          <w:tcPr>
            <w:tcW w:type="dxa" w:w="3213"/>
          </w:tcPr>
          <w:p>
            <w:pPr>
              <w:spacing w:after="20" w:before="20" w:line="240" w:lineRule="auto"/>
            </w:pPr>
            <w:r/>
            <w:r>
              <w:rPr>
                <w:rFonts w:ascii="Arial" w:hAnsi="Arial" w:cs="Arial"/>
                <w:b w:val="0"/>
                <w:i w:val="0"/>
                <w:sz w:val="17"/>
              </w:rPr>
              <w:t>12</w:t>
            </w:r>
          </w:p>
        </w:tc>
        <w:tc>
          <w:tcPr>
            <w:tcW w:type="dxa" w:w="3213"/>
          </w:tcPr>
          <w:p>
            <w:pPr>
              <w:spacing w:after="20" w:before="20" w:line="240" w:lineRule="auto"/>
            </w:pPr>
            <w:r/>
            <w:r>
              <w:rPr>
                <w:rFonts w:ascii="Arial" w:hAnsi="Arial" w:cs="Arial"/>
                <w:b w:val="0"/>
                <w:i w:val="0"/>
                <w:sz w:val="17"/>
              </w:rPr>
              <w:t>Marketplace Partner Portal</w:t>
            </w:r>
          </w:p>
        </w:tc>
        <w:tc>
          <w:tcPr>
            <w:tcW w:type="dxa" w:w="3213"/>
          </w:tcPr>
          <w:p>
            <w:pPr>
              <w:spacing w:after="20" w:before="20" w:line="240" w:lineRule="auto"/>
            </w:pPr>
            <w:r/>
            <w:r>
              <w:rPr>
                <w:rFonts w:ascii="Arial" w:hAnsi="Arial" w:cs="Arial"/>
                <w:b w:val="0"/>
                <w:i w:val="0"/>
                <w:sz w:val="17"/>
              </w:rPr>
              <w:t>External platforms integrating via the Marketplace API (type MP)</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Trader Portal Buyer and Seller dashboards are specified in 16.9 and 16.10; the LSP and SHIP portals in 16.11 and 16.12; the remaining eight portals in 16.8.7 through 16.8.14.</w:t>
      </w:r>
    </w:p>
    <w:p>
      <w:pPr>
        <w:keepNext/>
        <w:spacing w:before="180" w:after="80"/>
        <w:outlineLvl w:val="2"/>
      </w:pPr>
      <w:r>
        <w:rPr>
          <w:rFonts w:ascii="Arial" w:hAnsi="Arial" w:cs="Arial"/>
          <w:b/>
          <w:i w:val="0"/>
          <w:color w:val="333333"/>
          <w:sz w:val="23"/>
        </w:rPr>
        <w:t>16.1.3 Device Priority &amp; Mobile/Web Parity</w:t>
      </w:r>
    </w:p>
    <w:p>
      <w:pPr>
        <w:spacing w:after="80" w:line="293" w:lineRule="auto"/>
        <w:jc w:val="left"/>
      </w:pPr>
      <w:r>
        <w:rPr>
          <w:rFonts w:ascii="Times New Roman" w:hAnsi="Times New Roman" w:cs="Times New Roman"/>
          <w:b w:val="0"/>
          <w:i w:val="0"/>
          <w:sz w:val="22"/>
        </w:rPr>
        <w:t>Each portal is categorised as Mobile-First, Web-First, or Hybrid. Mobile-first portals have dedicated companion mobile apps with offline capabilities. Web-first portals are fully responsive but optimised for desktop use. Every role that has a mobile companion app also has a fully functional web portal. Mobile apps are optional and designed for field workers; all trade-critical actions can be performed from any web browser.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Portal</w:t>
            </w:r>
          </w:p>
        </w:tc>
        <w:tc>
          <w:tcPr>
            <w:tcW w:type="dxa" w:w="3213"/>
            <w:shd w:val="clear" w:fill="D9E2F3"/>
          </w:tcPr>
          <w:p>
            <w:pPr>
              <w:spacing w:after="20" w:before="20" w:line="240" w:lineRule="auto"/>
            </w:pPr>
            <w:r/>
            <w:r>
              <w:rPr>
                <w:rFonts w:ascii="Arial" w:hAnsi="Arial" w:cs="Arial"/>
                <w:b/>
                <w:i w:val="0"/>
                <w:sz w:val="18"/>
              </w:rPr>
              <w:t>Device Priority</w:t>
            </w:r>
          </w:p>
        </w:tc>
        <w:tc>
          <w:tcPr>
            <w:tcW w:type="dxa" w:w="3213"/>
            <w:shd w:val="clear" w:fill="D9E2F3"/>
          </w:tcPr>
          <w:p>
            <w:pPr>
              <w:spacing w:after="20" w:before="20" w:line="240" w:lineRule="auto"/>
            </w:pPr>
            <w:r/>
            <w:r>
              <w:rPr>
                <w:rFonts w:ascii="Arial" w:hAnsi="Arial" w:cs="Arial"/>
                <w:b/>
                <w:i w:val="0"/>
                <w:sz w:val="18"/>
              </w:rPr>
              <w:t>Companion Mobile App</w:t>
            </w:r>
          </w:p>
        </w:tc>
      </w:tr>
      <w:tr>
        <w:tc>
          <w:tcPr>
            <w:tcW w:type="dxa" w:w="3213"/>
          </w:tcPr>
          <w:p>
            <w:pPr>
              <w:spacing w:after="20" w:before="20" w:line="240" w:lineRule="auto"/>
            </w:pPr>
            <w:r/>
            <w:r>
              <w:rPr>
                <w:rFonts w:ascii="Arial" w:hAnsi="Arial" w:cs="Arial"/>
                <w:b w:val="0"/>
                <w:i w:val="0"/>
                <w:sz w:val="17"/>
              </w:rPr>
              <w:t>Trader Portal (Buyer / Seller)</w:t>
            </w:r>
          </w:p>
        </w:tc>
        <w:tc>
          <w:tcPr>
            <w:tcW w:type="dxa" w:w="3213"/>
          </w:tcPr>
          <w:p>
            <w:pPr>
              <w:spacing w:after="20" w:before="20" w:line="240" w:lineRule="auto"/>
            </w:pPr>
            <w:r/>
            <w:r>
              <w:rPr>
                <w:rFonts w:ascii="Arial" w:hAnsi="Arial" w:cs="Arial"/>
                <w:b w:val="0"/>
                <w:i w:val="0"/>
                <w:sz w:val="17"/>
              </w:rPr>
              <w:t>Hybrid</w:t>
            </w:r>
          </w:p>
        </w:tc>
        <w:tc>
          <w:tcPr>
            <w:tcW w:type="dxa" w:w="3213"/>
          </w:tcPr>
          <w:p>
            <w:pPr>
              <w:spacing w:after="20" w:before="20" w:line="240" w:lineRule="auto"/>
            </w:pPr>
            <w:r/>
            <w:r>
              <w:rPr>
                <w:rFonts w:ascii="Arial" w:hAnsi="Arial" w:cs="Arial"/>
                <w:b w:val="0"/>
                <w:i w:val="0"/>
                <w:sz w:val="17"/>
              </w:rPr>
              <w:t>Yes (React Native companion; Smart Inbox, approvals, voice settlement)</w:t>
            </w:r>
          </w:p>
        </w:tc>
      </w:tr>
      <w:tr>
        <w:tc>
          <w:tcPr>
            <w:tcW w:type="dxa" w:w="3213"/>
          </w:tcPr>
          <w:p>
            <w:pPr>
              <w:spacing w:after="20" w:before="20" w:line="240" w:lineRule="auto"/>
            </w:pPr>
            <w:r/>
            <w:r>
              <w:rPr>
                <w:rFonts w:ascii="Arial" w:hAnsi="Arial" w:cs="Arial"/>
                <w:b w:val="0"/>
                <w:i w:val="0"/>
                <w:sz w:val="17"/>
              </w:rPr>
              <w:t>LSP Portal</w:t>
            </w:r>
          </w:p>
        </w:tc>
        <w:tc>
          <w:tcPr>
            <w:tcW w:type="dxa" w:w="3213"/>
          </w:tcPr>
          <w:p>
            <w:pPr>
              <w:spacing w:after="20" w:before="20" w:line="240" w:lineRule="auto"/>
            </w:pPr>
            <w:r/>
            <w:r>
              <w:rPr>
                <w:rFonts w:ascii="Arial" w:hAnsi="Arial" w:cs="Arial"/>
                <w:b w:val="0"/>
                <w:i w:val="0"/>
                <w:sz w:val="17"/>
              </w:rPr>
              <w:t>Hybrid (web for dispatch, mobile for drivers)</w:t>
            </w:r>
          </w:p>
        </w:tc>
        <w:tc>
          <w:tcPr>
            <w:tcW w:type="dxa" w:w="3213"/>
          </w:tcPr>
          <w:p>
            <w:pPr>
              <w:spacing w:after="20" w:before="20" w:line="240" w:lineRule="auto"/>
            </w:pPr>
            <w:r/>
            <w:r>
              <w:rPr>
                <w:rFonts w:ascii="Arial" w:hAnsi="Arial" w:cs="Arial"/>
                <w:b w:val="0"/>
                <w:i w:val="0"/>
                <w:sz w:val="17"/>
              </w:rPr>
              <w:t>Yes — LSP Driver App (trucking)</w:t>
            </w:r>
          </w:p>
        </w:tc>
      </w:tr>
      <w:tr>
        <w:tc>
          <w:tcPr>
            <w:tcW w:type="dxa" w:w="3213"/>
          </w:tcPr>
          <w:p>
            <w:pPr>
              <w:spacing w:after="20" w:before="20" w:line="240" w:lineRule="auto"/>
            </w:pPr>
            <w:r/>
            <w:r>
              <w:rPr>
                <w:rFonts w:ascii="Arial" w:hAnsi="Arial" w:cs="Arial"/>
                <w:b w:val="0"/>
                <w:i w:val="0"/>
                <w:sz w:val="17"/>
              </w:rPr>
              <w:t>SHIP Portal</w:t>
            </w:r>
          </w:p>
        </w:tc>
        <w:tc>
          <w:tcPr>
            <w:tcW w:type="dxa" w:w="3213"/>
          </w:tcPr>
          <w:p>
            <w:pPr>
              <w:spacing w:after="20" w:before="20" w:line="240" w:lineRule="auto"/>
            </w:pPr>
            <w:r/>
            <w:r>
              <w:rPr>
                <w:rFonts w:ascii="Arial" w:hAnsi="Arial" w:cs="Arial"/>
                <w:b w:val="0"/>
                <w:i w:val="0"/>
                <w:sz w:val="17"/>
              </w:rPr>
              <w:t>Web-First</w:t>
            </w:r>
          </w:p>
        </w:tc>
        <w:tc>
          <w:tcPr>
            <w:tcW w:type="dxa" w:w="3213"/>
          </w:tcPr>
          <w:p>
            <w:pPr>
              <w:spacing w:after="20" w:before="20" w:line="240" w:lineRule="auto"/>
            </w:pPr>
            <w:r/>
            <w:r>
              <w:rPr>
                <w:rFonts w:ascii="Arial" w:hAnsi="Arial" w:cs="Arial"/>
                <w:b w:val="0"/>
                <w:i w:val="0"/>
                <w:sz w:val="17"/>
              </w:rPr>
              <w:t>No dedicated app (responsive web; milestone updates via API or portal)</w:t>
            </w:r>
          </w:p>
        </w:tc>
      </w:tr>
      <w:tr>
        <w:tc>
          <w:tcPr>
            <w:tcW w:type="dxa" w:w="3213"/>
          </w:tcPr>
          <w:p>
            <w:pPr>
              <w:spacing w:after="20" w:before="20" w:line="240" w:lineRule="auto"/>
            </w:pPr>
            <w:r/>
            <w:r>
              <w:rPr>
                <w:rFonts w:ascii="Arial" w:hAnsi="Arial" w:cs="Arial"/>
                <w:b w:val="0"/>
                <w:i w:val="0"/>
                <w:sz w:val="17"/>
              </w:rPr>
              <w:t>LAB Portal</w:t>
            </w:r>
          </w:p>
        </w:tc>
        <w:tc>
          <w:tcPr>
            <w:tcW w:type="dxa" w:w="3213"/>
          </w:tcPr>
          <w:p>
            <w:pPr>
              <w:spacing w:after="20" w:before="20" w:line="240" w:lineRule="auto"/>
            </w:pPr>
            <w:r/>
            <w:r>
              <w:rPr>
                <w:rFonts w:ascii="Arial" w:hAnsi="Arial" w:cs="Arial"/>
                <w:b w:val="0"/>
                <w:i w:val="0"/>
                <w:sz w:val="17"/>
              </w:rPr>
              <w:t>Web-First</w:t>
            </w:r>
          </w:p>
        </w:tc>
        <w:tc>
          <w:tcPr>
            <w:tcW w:type="dxa" w:w="3213"/>
          </w:tcPr>
          <w:p>
            <w:pPr>
              <w:spacing w:after="20" w:before="20" w:line="240" w:lineRule="auto"/>
            </w:pPr>
            <w:r/>
            <w:r>
              <w:rPr>
                <w:rFonts w:ascii="Arial" w:hAnsi="Arial" w:cs="Arial"/>
                <w:b w:val="0"/>
                <w:i w:val="0"/>
                <w:sz w:val="17"/>
              </w:rPr>
              <w:t>No dedicated app</w:t>
            </w:r>
          </w:p>
        </w:tc>
      </w:tr>
      <w:tr>
        <w:tc>
          <w:tcPr>
            <w:tcW w:type="dxa" w:w="3213"/>
          </w:tcPr>
          <w:p>
            <w:pPr>
              <w:spacing w:after="20" w:before="20" w:line="240" w:lineRule="auto"/>
            </w:pPr>
            <w:r/>
            <w:r>
              <w:rPr>
                <w:rFonts w:ascii="Arial" w:hAnsi="Arial" w:cs="Arial"/>
                <w:b w:val="0"/>
                <w:i w:val="0"/>
                <w:sz w:val="17"/>
              </w:rPr>
              <w:t>QC Inspection Portal</w:t>
            </w:r>
          </w:p>
        </w:tc>
        <w:tc>
          <w:tcPr>
            <w:tcW w:type="dxa" w:w="3213"/>
          </w:tcPr>
          <w:p>
            <w:pPr>
              <w:spacing w:after="20" w:before="20" w:line="240" w:lineRule="auto"/>
            </w:pPr>
            <w:r/>
            <w:r>
              <w:rPr>
                <w:rFonts w:ascii="Arial" w:hAnsi="Arial" w:cs="Arial"/>
                <w:b w:val="0"/>
                <w:i w:val="0"/>
                <w:sz w:val="17"/>
              </w:rPr>
              <w:t>Hybrid</w:t>
            </w:r>
          </w:p>
        </w:tc>
        <w:tc>
          <w:tcPr>
            <w:tcW w:type="dxa" w:w="3213"/>
          </w:tcPr>
          <w:p>
            <w:pPr>
              <w:spacing w:after="20" w:before="20" w:line="240" w:lineRule="auto"/>
            </w:pPr>
            <w:r/>
            <w:r>
              <w:rPr>
                <w:rFonts w:ascii="Arial" w:hAnsi="Arial" w:cs="Arial"/>
                <w:b w:val="0"/>
                <w:i w:val="0"/>
                <w:sz w:val="17"/>
              </w:rPr>
              <w:t>Yes — QC Inspector App (offline-first, AR, defect detection)</w:t>
            </w:r>
          </w:p>
        </w:tc>
      </w:tr>
      <w:tr>
        <w:tc>
          <w:tcPr>
            <w:tcW w:type="dxa" w:w="3213"/>
          </w:tcPr>
          <w:p>
            <w:pPr>
              <w:spacing w:after="20" w:before="20" w:line="240" w:lineRule="auto"/>
            </w:pPr>
            <w:r/>
            <w:r>
              <w:rPr>
                <w:rFonts w:ascii="Arial" w:hAnsi="Arial" w:cs="Arial"/>
                <w:b w:val="0"/>
                <w:i w:val="0"/>
                <w:sz w:val="17"/>
              </w:rPr>
              <w:t>CBR Portal</w:t>
            </w:r>
          </w:p>
        </w:tc>
        <w:tc>
          <w:tcPr>
            <w:tcW w:type="dxa" w:w="3213"/>
          </w:tcPr>
          <w:p>
            <w:pPr>
              <w:spacing w:after="20" w:before="20" w:line="240" w:lineRule="auto"/>
            </w:pPr>
            <w:r/>
            <w:r>
              <w:rPr>
                <w:rFonts w:ascii="Arial" w:hAnsi="Arial" w:cs="Arial"/>
                <w:b w:val="0"/>
                <w:i w:val="0"/>
                <w:sz w:val="17"/>
              </w:rPr>
              <w:t>Hybrid</w:t>
            </w:r>
          </w:p>
        </w:tc>
        <w:tc>
          <w:tcPr>
            <w:tcW w:type="dxa" w:w="3213"/>
          </w:tcPr>
          <w:p>
            <w:pPr>
              <w:spacing w:after="20" w:before="20" w:line="240" w:lineRule="auto"/>
            </w:pPr>
            <w:r/>
            <w:r>
              <w:rPr>
                <w:rFonts w:ascii="Arial" w:hAnsi="Arial" w:cs="Arial"/>
                <w:b w:val="0"/>
                <w:i w:val="0"/>
                <w:sz w:val="17"/>
              </w:rPr>
              <w:t>Yes — CBR Document Receipt App (QR scanning, GPS stamp)</w:t>
            </w:r>
          </w:p>
        </w:tc>
      </w:tr>
      <w:tr>
        <w:tc>
          <w:tcPr>
            <w:tcW w:type="dxa" w:w="3213"/>
          </w:tcPr>
          <w:p>
            <w:pPr>
              <w:spacing w:after="20" w:before="20" w:line="240" w:lineRule="auto"/>
            </w:pPr>
            <w:r/>
            <w:r>
              <w:rPr>
                <w:rFonts w:ascii="Arial" w:hAnsi="Arial" w:cs="Arial"/>
                <w:b w:val="0"/>
                <w:i w:val="0"/>
                <w:sz w:val="17"/>
              </w:rPr>
              <w:t>Financier (Bank / PFI) Portal</w:t>
            </w:r>
          </w:p>
        </w:tc>
        <w:tc>
          <w:tcPr>
            <w:tcW w:type="dxa" w:w="3213"/>
          </w:tcPr>
          <w:p>
            <w:pPr>
              <w:spacing w:after="20" w:before="20" w:line="240" w:lineRule="auto"/>
            </w:pPr>
            <w:r/>
            <w:r>
              <w:rPr>
                <w:rFonts w:ascii="Arial" w:hAnsi="Arial" w:cs="Arial"/>
                <w:b w:val="0"/>
                <w:i w:val="0"/>
                <w:sz w:val="17"/>
              </w:rPr>
              <w:t>Web-First</w:t>
            </w:r>
          </w:p>
        </w:tc>
        <w:tc>
          <w:tcPr>
            <w:tcW w:type="dxa" w:w="3213"/>
          </w:tcPr>
          <w:p>
            <w:pPr>
              <w:spacing w:after="20" w:before="20" w:line="240" w:lineRule="auto"/>
            </w:pPr>
            <w:r/>
            <w:r>
              <w:rPr>
                <w:rFonts w:ascii="Arial" w:hAnsi="Arial" w:cs="Arial"/>
                <w:b w:val="0"/>
                <w:i w:val="0"/>
                <w:sz w:val="17"/>
              </w:rPr>
              <w:t>No dedicated app</w:t>
            </w:r>
          </w:p>
        </w:tc>
      </w:tr>
      <w:tr>
        <w:tc>
          <w:tcPr>
            <w:tcW w:type="dxa" w:w="3213"/>
          </w:tcPr>
          <w:p>
            <w:pPr>
              <w:spacing w:after="20" w:before="20" w:line="240" w:lineRule="auto"/>
            </w:pPr>
            <w:r/>
            <w:r>
              <w:rPr>
                <w:rFonts w:ascii="Arial" w:hAnsi="Arial" w:cs="Arial"/>
                <w:b w:val="0"/>
                <w:i w:val="0"/>
                <w:sz w:val="17"/>
              </w:rPr>
              <w:t>Government Portal</w:t>
            </w:r>
          </w:p>
        </w:tc>
        <w:tc>
          <w:tcPr>
            <w:tcW w:type="dxa" w:w="3213"/>
          </w:tcPr>
          <w:p>
            <w:pPr>
              <w:spacing w:after="20" w:before="20" w:line="240" w:lineRule="auto"/>
            </w:pPr>
            <w:r/>
            <w:r>
              <w:rPr>
                <w:rFonts w:ascii="Arial" w:hAnsi="Arial" w:cs="Arial"/>
                <w:b w:val="0"/>
                <w:i w:val="0"/>
                <w:sz w:val="17"/>
              </w:rPr>
              <w:t>Web-First</w:t>
            </w:r>
          </w:p>
        </w:tc>
        <w:tc>
          <w:tcPr>
            <w:tcW w:type="dxa" w:w="3213"/>
          </w:tcPr>
          <w:p>
            <w:pPr>
              <w:spacing w:after="20" w:before="20" w:line="240" w:lineRule="auto"/>
            </w:pPr>
            <w:r/>
            <w:r>
              <w:rPr>
                <w:rFonts w:ascii="Arial" w:hAnsi="Arial" w:cs="Arial"/>
                <w:b w:val="0"/>
                <w:i w:val="0"/>
                <w:sz w:val="17"/>
              </w:rPr>
              <w:t>No dedicated app</w:t>
            </w:r>
          </w:p>
        </w:tc>
      </w:tr>
      <w:tr>
        <w:tc>
          <w:tcPr>
            <w:tcW w:type="dxa" w:w="3213"/>
          </w:tcPr>
          <w:p>
            <w:pPr>
              <w:spacing w:after="20" w:before="20" w:line="240" w:lineRule="auto"/>
            </w:pPr>
            <w:r/>
            <w:r>
              <w:rPr>
                <w:rFonts w:ascii="Arial" w:hAnsi="Arial" w:cs="Arial"/>
                <w:b w:val="0"/>
                <w:i w:val="0"/>
                <w:sz w:val="17"/>
              </w:rPr>
              <w:t>Admin Portal</w:t>
            </w:r>
          </w:p>
        </w:tc>
        <w:tc>
          <w:tcPr>
            <w:tcW w:type="dxa" w:w="3213"/>
          </w:tcPr>
          <w:p>
            <w:pPr>
              <w:spacing w:after="20" w:before="20" w:line="240" w:lineRule="auto"/>
            </w:pPr>
            <w:r/>
            <w:r>
              <w:rPr>
                <w:rFonts w:ascii="Arial" w:hAnsi="Arial" w:cs="Arial"/>
                <w:b w:val="0"/>
                <w:i w:val="0"/>
                <w:sz w:val="17"/>
              </w:rPr>
              <w:t>Web-First</w:t>
            </w:r>
          </w:p>
        </w:tc>
        <w:tc>
          <w:tcPr>
            <w:tcW w:type="dxa" w:w="3213"/>
          </w:tcPr>
          <w:p>
            <w:pPr>
              <w:spacing w:after="20" w:before="20" w:line="240" w:lineRule="auto"/>
            </w:pPr>
            <w:r/>
            <w:r>
              <w:rPr>
                <w:rFonts w:ascii="Arial" w:hAnsi="Arial" w:cs="Arial"/>
                <w:b w:val="0"/>
                <w:i w:val="0"/>
                <w:sz w:val="17"/>
              </w:rPr>
              <w:t>No dedicated app</w:t>
            </w:r>
          </w:p>
        </w:tc>
      </w:tr>
      <w:tr>
        <w:tc>
          <w:tcPr>
            <w:tcW w:type="dxa" w:w="3213"/>
          </w:tcPr>
          <w:p>
            <w:pPr>
              <w:spacing w:after="20" w:before="20" w:line="240" w:lineRule="auto"/>
            </w:pPr>
            <w:r/>
            <w:r>
              <w:rPr>
                <w:rFonts w:ascii="Arial" w:hAnsi="Arial" w:cs="Arial"/>
                <w:b w:val="0"/>
                <w:i w:val="0"/>
                <w:sz w:val="17"/>
              </w:rPr>
              <w:t>Marketplace Partner Portal</w:t>
            </w:r>
          </w:p>
        </w:tc>
        <w:tc>
          <w:tcPr>
            <w:tcW w:type="dxa" w:w="3213"/>
          </w:tcPr>
          <w:p>
            <w:pPr>
              <w:spacing w:after="20" w:before="20" w:line="240" w:lineRule="auto"/>
            </w:pPr>
            <w:r/>
            <w:r>
              <w:rPr>
                <w:rFonts w:ascii="Arial" w:hAnsi="Arial" w:cs="Arial"/>
                <w:b w:val="0"/>
                <w:i w:val="0"/>
                <w:sz w:val="17"/>
              </w:rPr>
              <w:t>Web-First</w:t>
            </w:r>
          </w:p>
        </w:tc>
        <w:tc>
          <w:tcPr>
            <w:tcW w:type="dxa" w:w="3213"/>
          </w:tcPr>
          <w:p>
            <w:pPr>
              <w:spacing w:after="20" w:before="20" w:line="240" w:lineRule="auto"/>
            </w:pPr>
            <w:r/>
            <w:r>
              <w:rPr>
                <w:rFonts w:ascii="Arial" w:hAnsi="Arial" w:cs="Arial"/>
                <w:b w:val="0"/>
                <w:i w:val="0"/>
                <w:sz w:val="17"/>
              </w:rPr>
              <w:t>No dedicated app</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16.1.4 Mobile App Specifications (By Portal)</w:t>
      </w:r>
    </w:p>
    <w:p>
      <w:pPr>
        <w:keepNext/>
        <w:spacing w:before="140" w:after="60"/>
        <w:outlineLvl w:val="3"/>
      </w:pPr>
      <w:r>
        <w:rPr>
          <w:rFonts w:ascii="Arial" w:hAnsi="Arial" w:cs="Arial"/>
          <w:b/>
          <w:i/>
          <w:color w:val="333333"/>
          <w:sz w:val="22"/>
        </w:rPr>
        <w:t>16.1.4.1 LSP Driver App (Trucking)</w:t>
      </w:r>
    </w:p>
    <w:p>
      <w:pPr>
        <w:spacing w:after="80" w:line="293" w:lineRule="auto"/>
        <w:jc w:val="left"/>
      </w:pPr>
      <w:r>
        <w:rPr>
          <w:rFonts w:ascii="Times New Roman" w:hAnsi="Times New Roman" w:cs="Times New Roman"/>
          <w:b w:val="0"/>
          <w:i w:val="0"/>
          <w:sz w:val="22"/>
        </w:rPr>
        <w:t>Technology Stack: React Native + Expo, WatermelonDB (offline), ZXingC++ (barcode scanning), Vosk (offline speech-to-text), OSRM (offline navigation).</w:t>
      </w:r>
    </w:p>
    <w:p>
      <w:pPr>
        <w:spacing w:after="80" w:line="293" w:lineRule="auto"/>
        <w:jc w:val="left"/>
      </w:pPr>
      <w:r>
        <w:rPr>
          <w:rFonts w:ascii="Times New Roman" w:hAnsi="Times New Roman" w:cs="Times New Roman"/>
          <w:b w:val="0"/>
          <w:i w:val="0"/>
          <w:sz w:val="22"/>
        </w:rPr>
        <w:t>Key Features:</w:t>
      </w:r>
    </w:p>
    <w:p>
      <w:pPr>
        <w:spacing w:after="80" w:line="293" w:lineRule="auto"/>
        <w:ind w:left="283"/>
        <w:jc w:val="left"/>
      </w:pPr>
      <w:r>
        <w:rPr>
          <w:rFonts w:ascii="Times New Roman" w:hAnsi="Times New Roman" w:cs="Times New Roman"/>
          <w:b w:val="0"/>
          <w:i w:val="0"/>
          <w:sz w:val="22"/>
        </w:rPr>
        <w:t>- Offline Sync Indicator — banner when offline: "Offline mode — actions will sync when connection</w:t>
      </w:r>
    </w:p>
    <w:p>
      <w:pPr>
        <w:spacing w:after="80" w:line="293" w:lineRule="auto"/>
        <w:jc w:val="left"/>
      </w:pPr>
      <w:r>
        <w:rPr>
          <w:rFonts w:ascii="Times New Roman" w:hAnsi="Times New Roman" w:cs="Times New Roman"/>
          <w:b w:val="0"/>
          <w:i w:val="0"/>
          <w:sz w:val="22"/>
        </w:rPr>
        <w:t>resumes."</w:t>
      </w:r>
    </w:p>
    <w:p>
      <w:pPr>
        <w:spacing w:after="80" w:line="293" w:lineRule="auto"/>
        <w:ind w:left="283"/>
        <w:jc w:val="left"/>
      </w:pPr>
      <w:r>
        <w:rPr>
          <w:rFonts w:ascii="Times New Roman" w:hAnsi="Times New Roman" w:cs="Times New Roman"/>
          <w:b w:val="0"/>
          <w:i w:val="0"/>
          <w:sz w:val="22"/>
        </w:rPr>
        <w:t>- Auto-retry — exponential backoff (starting at 1s, doubling up to 60s, maximum 5 retries).</w:t>
      </w:r>
    </w:p>
    <w:p>
      <w:pPr>
        <w:spacing w:after="80" w:line="293" w:lineRule="auto"/>
        <w:ind w:left="283"/>
        <w:jc w:val="left"/>
      </w:pPr>
      <w:r>
        <w:rPr>
          <w:rFonts w:ascii="Times New Roman" w:hAnsi="Times New Roman" w:cs="Times New Roman"/>
          <w:b w:val="0"/>
          <w:i w:val="0"/>
          <w:sz w:val="22"/>
        </w:rPr>
        <w:t>- Manual sync via "Sync Now" button.</w:t>
      </w:r>
    </w:p>
    <w:p>
      <w:pPr>
        <w:spacing w:after="80" w:line="293" w:lineRule="auto"/>
        <w:ind w:left="283"/>
        <w:jc w:val="left"/>
      </w:pPr>
      <w:r>
        <w:rPr>
          <w:rFonts w:ascii="Times New Roman" w:hAnsi="Times New Roman" w:cs="Times New Roman"/>
          <w:b w:val="0"/>
          <w:i w:val="0"/>
          <w:sz w:val="22"/>
        </w:rPr>
        <w:t>- Barcode scanning of SSCC pallet labels (see 23.3).</w:t>
      </w:r>
    </w:p>
    <w:p>
      <w:pPr>
        <w:spacing w:after="80" w:line="293" w:lineRule="auto"/>
        <w:ind w:left="283"/>
        <w:jc w:val="left"/>
      </w:pPr>
      <w:r>
        <w:rPr>
          <w:rFonts w:ascii="Times New Roman" w:hAnsi="Times New Roman" w:cs="Times New Roman"/>
          <w:b w:val="0"/>
          <w:i w:val="0"/>
          <w:sz w:val="22"/>
        </w:rPr>
        <w:t>- Offline turn-by-turn navigation (OSRM).</w:t>
      </w:r>
    </w:p>
    <w:p>
      <w:pPr>
        <w:spacing w:after="80" w:line="293" w:lineRule="auto"/>
        <w:ind w:left="283"/>
        <w:jc w:val="left"/>
      </w:pPr>
      <w:r>
        <w:rPr>
          <w:rFonts w:ascii="Times New Roman" w:hAnsi="Times New Roman" w:cs="Times New Roman"/>
          <w:b w:val="0"/>
          <w:i w:val="0"/>
          <w:sz w:val="22"/>
        </w:rPr>
        <w:t>- Geofence alerts (GPS + geofence detection).</w:t>
      </w:r>
    </w:p>
    <w:p>
      <w:pPr>
        <w:spacing w:after="80" w:line="293" w:lineRule="auto"/>
        <w:ind w:left="283"/>
        <w:jc w:val="left"/>
      </w:pPr>
      <w:r>
        <w:rPr>
          <w:rFonts w:ascii="Times New Roman" w:hAnsi="Times New Roman" w:cs="Times New Roman"/>
          <w:b w:val="0"/>
          <w:i w:val="0"/>
          <w:sz w:val="22"/>
        </w:rPr>
        <w:t>- Push-to-talk communication with dispatch (WebRTC).</w:t>
      </w:r>
    </w:p>
    <w:p>
      <w:pPr>
        <w:keepNext/>
        <w:spacing w:before="140" w:after="60"/>
        <w:outlineLvl w:val="3"/>
      </w:pPr>
      <w:r>
        <w:rPr>
          <w:rFonts w:ascii="Arial" w:hAnsi="Arial" w:cs="Arial"/>
          <w:b/>
          <w:i/>
          <w:color w:val="333333"/>
          <w:sz w:val="22"/>
        </w:rPr>
        <w:t>16.1.4.2 QC Inspector App</w:t>
      </w:r>
    </w:p>
    <w:p>
      <w:pPr>
        <w:spacing w:after="80" w:line="293" w:lineRule="auto"/>
        <w:jc w:val="left"/>
      </w:pPr>
      <w:r>
        <w:rPr>
          <w:rFonts w:ascii="Times New Roman" w:hAnsi="Times New Roman" w:cs="Times New Roman"/>
          <w:b w:val="0"/>
          <w:i w:val="0"/>
          <w:sz w:val="22"/>
        </w:rPr>
        <w:t>Technology Stack: React Native + Expo, WatermelonDB, HF ViT (on-device defect detection), ZXingC++, Vosk, AR.js (augmented reality overlay).</w:t>
      </w:r>
    </w:p>
    <w:p>
      <w:pPr>
        <w:spacing w:after="80" w:line="293" w:lineRule="auto"/>
        <w:jc w:val="left"/>
      </w:pPr>
      <w:r>
        <w:rPr>
          <w:rFonts w:ascii="Times New Roman" w:hAnsi="Times New Roman" w:cs="Times New Roman"/>
          <w:b w:val="0"/>
          <w:i w:val="0"/>
          <w:sz w:val="22"/>
        </w:rPr>
        <w:t>Key Features:</w:t>
      </w:r>
    </w:p>
    <w:p>
      <w:pPr>
        <w:spacing w:after="80" w:line="293" w:lineRule="auto"/>
        <w:ind w:left="283"/>
        <w:jc w:val="left"/>
      </w:pPr>
      <w:r>
        <w:rPr>
          <w:rFonts w:ascii="Times New Roman" w:hAnsi="Times New Roman" w:cs="Times New Roman"/>
          <w:b w:val="0"/>
          <w:i w:val="0"/>
          <w:sz w:val="22"/>
        </w:rPr>
        <w:t>- Offline Sync Indicator — same pattern as the LSP Driver App; banner when offline: "Offline mode —</w:t>
      </w:r>
    </w:p>
    <w:p>
      <w:pPr>
        <w:spacing w:after="80" w:line="293" w:lineRule="auto"/>
        <w:jc w:val="left"/>
      </w:pPr>
      <w:r>
        <w:rPr>
          <w:rFonts w:ascii="Times New Roman" w:hAnsi="Times New Roman" w:cs="Times New Roman"/>
          <w:b w:val="0"/>
          <w:i w:val="0"/>
          <w:sz w:val="22"/>
        </w:rPr>
        <w:t>inspection data saved locally. Report will sync when connection resumes."</w:t>
      </w:r>
    </w:p>
    <w:p>
      <w:pPr>
        <w:spacing w:after="80" w:line="293" w:lineRule="auto"/>
        <w:ind w:left="283"/>
        <w:jc w:val="left"/>
      </w:pPr>
      <w:r>
        <w:rPr>
          <w:rFonts w:ascii="Times New Roman" w:hAnsi="Times New Roman" w:cs="Times New Roman"/>
          <w:b w:val="0"/>
          <w:i w:val="0"/>
          <w:sz w:val="22"/>
        </w:rPr>
        <w:t>- On-device defect detection (HF ViT) with mandatory override accountability (override reason</w:t>
      </w:r>
    </w:p>
    <w:p>
      <w:pPr>
        <w:spacing w:after="80" w:line="293" w:lineRule="auto"/>
        <w:jc w:val="left"/>
      </w:pPr>
      <w:r>
        <w:rPr>
          <w:rFonts w:ascii="Times New Roman" w:hAnsi="Times New Roman" w:cs="Times New Roman"/>
          <w:b w:val="0"/>
          <w:i w:val="0"/>
          <w:sz w:val="22"/>
        </w:rPr>
        <w:t>≥ 10 characters).</w:t>
      </w:r>
    </w:p>
    <w:p>
      <w:pPr>
        <w:spacing w:after="80" w:line="293" w:lineRule="auto"/>
        <w:ind w:left="283"/>
        <w:jc w:val="left"/>
      </w:pPr>
      <w:r>
        <w:rPr>
          <w:rFonts w:ascii="Times New Roman" w:hAnsi="Times New Roman" w:cs="Times New Roman"/>
          <w:b w:val="0"/>
          <w:i w:val="0"/>
          <w:sz w:val="22"/>
        </w:rPr>
        <w:t>- AQL sampling plan enforcement on device.</w:t>
      </w:r>
    </w:p>
    <w:p>
      <w:pPr>
        <w:spacing w:after="80" w:line="293" w:lineRule="auto"/>
        <w:ind w:left="283"/>
        <w:jc w:val="left"/>
      </w:pPr>
      <w:r>
        <w:rPr>
          <w:rFonts w:ascii="Times New Roman" w:hAnsi="Times New Roman" w:cs="Times New Roman"/>
          <w:b w:val="0"/>
          <w:i w:val="0"/>
          <w:sz w:val="22"/>
        </w:rPr>
        <w:t>- AR overlay of expected pallet positions.</w:t>
      </w:r>
    </w:p>
    <w:p>
      <w:pPr>
        <w:spacing w:after="80" w:line="293" w:lineRule="auto"/>
        <w:ind w:left="283"/>
        <w:jc w:val="left"/>
      </w:pPr>
      <w:r>
        <w:rPr>
          <w:rFonts w:ascii="Times New Roman" w:hAnsi="Times New Roman" w:cs="Times New Roman"/>
          <w:b w:val="0"/>
          <w:i w:val="0"/>
          <w:sz w:val="22"/>
        </w:rPr>
        <w:t>- Batch scan mode for high-volume inspections (see 16.8.8).</w:t>
      </w:r>
    </w:p>
    <w:p>
      <w:pPr>
        <w:keepNext/>
        <w:spacing w:before="140" w:after="60"/>
        <w:outlineLvl w:val="3"/>
      </w:pPr>
      <w:r>
        <w:rPr>
          <w:rFonts w:ascii="Arial" w:hAnsi="Arial" w:cs="Arial"/>
          <w:b/>
          <w:i/>
          <w:color w:val="333333"/>
          <w:sz w:val="22"/>
        </w:rPr>
        <w:t>16.1.4.3 CBR Document Receipt App</w:t>
      </w:r>
    </w:p>
    <w:p>
      <w:pPr>
        <w:spacing w:after="80" w:line="293" w:lineRule="auto"/>
        <w:jc w:val="left"/>
      </w:pPr>
      <w:r>
        <w:rPr>
          <w:rFonts w:ascii="Times New Roman" w:hAnsi="Times New Roman" w:cs="Times New Roman"/>
          <w:b w:val="0"/>
          <w:i w:val="0"/>
          <w:sz w:val="22"/>
        </w:rPr>
        <w:t>Technology Stack: React Native + Expo, ZXingC++, GPS (location stamp).</w:t>
      </w:r>
    </w:p>
    <w:p>
      <w:pPr>
        <w:spacing w:after="80" w:line="293" w:lineRule="auto"/>
        <w:jc w:val="left"/>
      </w:pPr>
      <w:r>
        <w:rPr>
          <w:rFonts w:ascii="Times New Roman" w:hAnsi="Times New Roman" w:cs="Times New Roman"/>
          <w:b w:val="0"/>
          <w:i w:val="0"/>
          <w:sz w:val="22"/>
        </w:rPr>
        <w:t>Key Features:</w:t>
      </w:r>
    </w:p>
    <w:p>
      <w:pPr>
        <w:spacing w:after="80" w:line="293" w:lineRule="auto"/>
        <w:ind w:left="283"/>
        <w:jc w:val="left"/>
      </w:pPr>
      <w:r>
        <w:rPr>
          <w:rFonts w:ascii="Times New Roman" w:hAnsi="Times New Roman" w:cs="Times New Roman"/>
          <w:b w:val="0"/>
          <w:i w:val="0"/>
          <w:sz w:val="22"/>
        </w:rPr>
        <w:t>- QR code scanning of courier package labels.</w:t>
      </w:r>
    </w:p>
    <w:p>
      <w:pPr>
        <w:spacing w:after="80" w:line="293" w:lineRule="auto"/>
        <w:ind w:left="283"/>
        <w:jc w:val="left"/>
      </w:pPr>
      <w:r>
        <w:rPr>
          <w:rFonts w:ascii="Times New Roman" w:hAnsi="Times New Roman" w:cs="Times New Roman"/>
          <w:b w:val="0"/>
          <w:i w:val="0"/>
          <w:sz w:val="22"/>
        </w:rPr>
        <w:t>- GPS location stamping on receipt.</w:t>
      </w:r>
    </w:p>
    <w:p>
      <w:pPr>
        <w:spacing w:after="80" w:line="293" w:lineRule="auto"/>
        <w:ind w:left="283"/>
        <w:jc w:val="left"/>
      </w:pPr>
      <w:r>
        <w:rPr>
          <w:rFonts w:ascii="Times New Roman" w:hAnsi="Times New Roman" w:cs="Times New Roman"/>
          <w:b w:val="0"/>
          <w:i w:val="0"/>
          <w:sz w:val="22"/>
        </w:rPr>
        <w:t>- Offline queue for status updates.</w:t>
      </w:r>
    </w:p>
    <w:p>
      <w:pPr>
        <w:spacing w:after="80" w:line="293" w:lineRule="auto"/>
        <w:ind w:left="283"/>
        <w:jc w:val="left"/>
      </w:pPr>
      <w:r>
        <w:rPr>
          <w:rFonts w:ascii="Times New Roman" w:hAnsi="Times New Roman" w:cs="Times New Roman"/>
          <w:b w:val="0"/>
          <w:i w:val="0"/>
          <w:sz w:val="22"/>
        </w:rPr>
        <w:t>- Photo capture for stamped documents.</w:t>
      </w:r>
    </w:p>
    <w:p>
      <w:pPr>
        <w:keepNext/>
        <w:spacing w:before="180" w:after="80"/>
        <w:outlineLvl w:val="2"/>
      </w:pPr>
      <w:r>
        <w:rPr>
          <w:rFonts w:ascii="Arial" w:hAnsi="Arial" w:cs="Arial"/>
          <w:b/>
          <w:i w:val="0"/>
          <w:color w:val="333333"/>
          <w:sz w:val="23"/>
        </w:rPr>
        <w:t>16.1.5 Persistent Offline Sync Indicator (All Mobile Apps)</w:t>
      </w:r>
    </w:p>
    <w:p>
      <w:pPr>
        <w:spacing w:after="80" w:line="293" w:lineRule="auto"/>
        <w:jc w:val="left"/>
      </w:pPr>
      <w:r>
        <w:rPr>
          <w:rFonts w:ascii="Times New Roman" w:hAnsi="Times New Roman" w:cs="Times New Roman"/>
          <w:b w:val="0"/>
          <w:i w:val="0"/>
          <w:sz w:val="22"/>
        </w:rPr>
        <w:t>For the LSP Driver App, QC Inspector App, and CBR Document Receipt App, the mobile app displays a persistent status indicator at the top of every screen: the app title, the current screen, the count of queued items ("Queue: 0 pending"), and a "Sync Now" button.</w:t>
      </w:r>
    </w:p>
    <w:p>
      <w:pPr>
        <w:spacing w:after="80" w:line="293" w:lineRule="auto"/>
        <w:jc w:val="left"/>
      </w:pPr>
      <w:r>
        <w:rPr>
          <w:rFonts w:ascii="Times New Roman" w:hAnsi="Times New Roman" w:cs="Times New Roman"/>
          <w:b w:val="0"/>
          <w:i w:val="0"/>
          <w:sz w:val="22"/>
        </w:rPr>
        <w:t>Offline behaviour details:</w:t>
      </w:r>
    </w:p>
    <w:p>
      <w:pPr>
        <w:spacing w:after="80" w:line="293" w:lineRule="auto"/>
        <w:ind w:left="283"/>
        <w:jc w:val="left"/>
      </w:pPr>
      <w:r>
        <w:rPr>
          <w:rFonts w:ascii="Times New Roman" w:hAnsi="Times New Roman" w:cs="Times New Roman"/>
          <w:b w:val="0"/>
          <w:i w:val="0"/>
          <w:sz w:val="22"/>
        </w:rPr>
        <w:t>- All actions performed offline are queued in WatermelonDB.</w:t>
      </w:r>
    </w:p>
    <w:p>
      <w:pPr>
        <w:spacing w:after="80" w:line="293" w:lineRule="auto"/>
        <w:ind w:left="283"/>
        <w:jc w:val="left"/>
      </w:pPr>
      <w:r>
        <w:rPr>
          <w:rFonts w:ascii="Times New Roman" w:hAnsi="Times New Roman" w:cs="Times New Roman"/>
          <w:b w:val="0"/>
          <w:i w:val="0"/>
          <w:sz w:val="22"/>
        </w:rPr>
        <w:t>- The queue count updates in real time as actions are recorded.</w:t>
      </w:r>
    </w:p>
    <w:p>
      <w:pPr>
        <w:spacing w:after="80" w:line="293" w:lineRule="auto"/>
        <w:ind w:left="283"/>
        <w:jc w:val="left"/>
      </w:pPr>
      <w:r>
        <w:rPr>
          <w:rFonts w:ascii="Times New Roman" w:hAnsi="Times New Roman" w:cs="Times New Roman"/>
          <w:b w:val="0"/>
          <w:i w:val="0"/>
          <w:sz w:val="22"/>
        </w:rPr>
        <w:t>- Automatic retry uses exponential backoff (1s → 2s → 4s … capped at 60s, maximum 5 retries).</w:t>
      </w:r>
    </w:p>
    <w:p>
      <w:pPr>
        <w:spacing w:after="80" w:line="293" w:lineRule="auto"/>
        <w:ind w:left="283"/>
        <w:jc w:val="left"/>
      </w:pPr>
      <w:r>
        <w:rPr>
          <w:rFonts w:ascii="Times New Roman" w:hAnsi="Times New Roman" w:cs="Times New Roman"/>
          <w:b w:val="0"/>
          <w:i w:val="0"/>
          <w:sz w:val="22"/>
        </w:rPr>
        <w:t>- Conflict resolution on sync: the server wins; the local losing write is preserved in the local</w:t>
      </w:r>
    </w:p>
    <w:p>
      <w:pPr>
        <w:spacing w:after="80" w:line="293" w:lineRule="auto"/>
        <w:jc w:val="left"/>
      </w:pPr>
      <w:r>
        <w:rPr>
          <w:rFonts w:ascii="Times New Roman" w:hAnsi="Times New Roman" w:cs="Times New Roman"/>
          <w:b w:val="0"/>
          <w:i w:val="0"/>
          <w:sz w:val="22"/>
        </w:rPr>
        <w:t>audit log and surfaced to the user.</w:t>
      </w:r>
    </w:p>
    <w:p>
      <w:pPr>
        <w:spacing w:after="80" w:line="293" w:lineRule="auto"/>
        <w:ind w:left="283"/>
        <w:jc w:val="left"/>
      </w:pPr>
      <w:r>
        <w:rPr>
          <w:rFonts w:ascii="Times New Roman" w:hAnsi="Times New Roman" w:cs="Times New Roman"/>
          <w:b w:val="0"/>
          <w:i w:val="0"/>
          <w:sz w:val="22"/>
        </w:rPr>
        <w:t>- The indicator turns amber while a sync is in flight and returns to green (0 pending) when the queue</w:t>
      </w:r>
    </w:p>
    <w:p>
      <w:pPr>
        <w:spacing w:after="80" w:line="293" w:lineRule="auto"/>
        <w:jc w:val="left"/>
      </w:pPr>
      <w:r>
        <w:rPr>
          <w:rFonts w:ascii="Times New Roman" w:hAnsi="Times New Roman" w:cs="Times New Roman"/>
          <w:b w:val="0"/>
          <w:i w:val="0"/>
          <w:sz w:val="22"/>
        </w:rPr>
        <w:t>drains.</w:t>
      </w:r>
    </w:p>
    <w:p>
      <w:pPr>
        <w:keepNext/>
        <w:spacing w:before="180" w:after="80"/>
        <w:outlineLvl w:val="2"/>
      </w:pPr>
      <w:r>
        <w:rPr>
          <w:rFonts w:ascii="Arial" w:hAnsi="Arial" w:cs="Arial"/>
          <w:b/>
          <w:i w:val="0"/>
          <w:color w:val="333333"/>
          <w:sz w:val="23"/>
        </w:rPr>
        <w:t>16.1.6 Unified Portal Navigation Structure</w:t>
      </w:r>
    </w:p>
    <w:p>
      <w:pPr>
        <w:spacing w:after="80" w:line="293" w:lineRule="auto"/>
        <w:jc w:val="left"/>
      </w:pPr>
      <w:r>
        <w:rPr>
          <w:rFonts w:ascii="Times New Roman" w:hAnsi="Times New Roman" w:cs="Times New Roman"/>
          <w:b w:val="0"/>
          <w:i w:val="0"/>
          <w:sz w:val="22"/>
        </w:rPr>
        <w:t>All portals share a common navigation structure, with role-specific tabs appearing in the sidebar. The navigation is consistent across web, desktop, and mobile (where applicable).</w:t>
      </w:r>
    </w:p>
    <w:p>
      <w:pPr>
        <w:keepNext/>
        <w:spacing w:before="140" w:after="60"/>
        <w:outlineLvl w:val="3"/>
      </w:pPr>
      <w:r>
        <w:rPr>
          <w:rFonts w:ascii="Arial" w:hAnsi="Arial" w:cs="Arial"/>
          <w:b/>
          <w:i/>
          <w:color w:val="333333"/>
          <w:sz w:val="22"/>
        </w:rPr>
        <w:t>16.1.6.1 Global Header (All Portals)</w:t>
      </w:r>
    </w:p>
    <w:p>
      <w:pPr>
        <w:spacing w:after="80" w:line="293" w:lineRule="auto"/>
        <w:jc w:val="left"/>
      </w:pPr>
      <w:r>
        <w:rPr>
          <w:rFonts w:ascii="Times New Roman" w:hAnsi="Times New Roman" w:cs="Times New Roman"/>
          <w:b w:val="0"/>
          <w:i w:val="0"/>
          <w:sz w:val="22"/>
        </w:rPr>
        <w:t>The global header is identical in every portal and contains, left to right:</w:t>
      </w:r>
    </w:p>
    <w:p>
      <w:pPr>
        <w:spacing w:after="80" w:line="293" w:lineRule="auto"/>
        <w:ind w:left="283"/>
        <w:jc w:val="left"/>
      </w:pPr>
      <w:r>
        <w:rPr>
          <w:rFonts w:ascii="Times New Roman" w:hAnsi="Times New Roman" w:cs="Times New Roman"/>
          <w:b w:val="0"/>
          <w:i w:val="0"/>
          <w:sz w:val="22"/>
        </w:rPr>
        <w:t>- [SGTX Logo]</w:t>
      </w:r>
    </w:p>
    <w:p>
      <w:pPr>
        <w:spacing w:after="80" w:line="293" w:lineRule="auto"/>
        <w:ind w:left="283"/>
        <w:jc w:val="left"/>
      </w:pPr>
      <w:r>
        <w:rPr>
          <w:rFonts w:ascii="Times New Roman" w:hAnsi="Times New Roman" w:cs="Times New Roman"/>
          <w:b w:val="0"/>
          <w:i w:val="0"/>
          <w:sz w:val="22"/>
        </w:rPr>
        <w:t>- [Search] — universal search and USTN resolution (see 16.13.10)</w:t>
      </w:r>
    </w:p>
    <w:p>
      <w:pPr>
        <w:spacing w:after="80" w:line="293" w:lineRule="auto"/>
        <w:ind w:left="283"/>
        <w:jc w:val="left"/>
      </w:pPr>
      <w:r>
        <w:rPr>
          <w:rFonts w:ascii="Times New Roman" w:hAnsi="Times New Roman" w:cs="Times New Roman"/>
          <w:b w:val="0"/>
          <w:i w:val="0"/>
          <w:sz w:val="22"/>
        </w:rPr>
        <w:t>- [Notifications] — bell with badge (unread Smart Inbox and notification items)</w:t>
      </w:r>
    </w:p>
    <w:p>
      <w:pPr>
        <w:spacing w:after="80" w:line="293" w:lineRule="auto"/>
        <w:ind w:left="283"/>
        <w:jc w:val="left"/>
      </w:pPr>
      <w:r>
        <w:rPr>
          <w:rFonts w:ascii="Times New Roman" w:hAnsi="Times New Roman" w:cs="Times New Roman"/>
          <w:b w:val="0"/>
          <w:i w:val="0"/>
          <w:sz w:val="22"/>
        </w:rPr>
        <w:t>- [Dual-Mode Toggle] — Trader portals only (see 16.14.8)</w:t>
      </w:r>
    </w:p>
    <w:p>
      <w:pPr>
        <w:spacing w:after="80" w:line="293" w:lineRule="auto"/>
        <w:ind w:left="283"/>
        <w:jc w:val="left"/>
      </w:pPr>
      <w:r>
        <w:rPr>
          <w:rFonts w:ascii="Times New Roman" w:hAnsi="Times New Roman" w:cs="Times New Roman"/>
          <w:b w:val="0"/>
          <w:i w:val="0"/>
          <w:sz w:val="22"/>
        </w:rPr>
        <w:t>- [Avatar] — profile menu, logout, mode preferences</w:t>
      </w:r>
    </w:p>
    <w:p>
      <w:pPr>
        <w:keepNext/>
        <w:spacing w:before="140" w:after="60"/>
        <w:outlineLvl w:val="3"/>
      </w:pPr>
      <w:r>
        <w:rPr>
          <w:rFonts w:ascii="Arial" w:hAnsi="Arial" w:cs="Arial"/>
          <w:b/>
          <w:i/>
          <w:color w:val="333333"/>
          <w:sz w:val="22"/>
        </w:rPr>
        <w:t>16.1.6.2 Sidebar Navigation (All Portals)</w:t>
      </w:r>
    </w:p>
    <w:p>
      <w:pPr>
        <w:spacing w:after="80" w:line="293" w:lineRule="auto"/>
        <w:jc w:val="left"/>
      </w:pPr>
      <w:r>
        <w:rPr>
          <w:rFonts w:ascii="Times New Roman" w:hAnsi="Times New Roman" w:cs="Times New Roman"/>
          <w:b w:val="0"/>
          <w:i w:val="0"/>
          <w:sz w:val="22"/>
        </w:rPr>
        <w:t>The sidebar is collapsible (on desktop) and hidden behind a hamburger menu (on mobile). Tabs are ordered by workflow priority. Common tabs appear in all portals; role-specific tabs are added below the common tabs.</w:t>
      </w:r>
    </w:p>
    <w:p>
      <w:pPr>
        <w:spacing w:after="80" w:line="293" w:lineRule="auto"/>
        <w:jc w:val="left"/>
      </w:pPr>
      <w:r>
        <w:rPr>
          <w:rFonts w:ascii="Times New Roman" w:hAnsi="Times New Roman" w:cs="Times New Roman"/>
          <w:b w:val="0"/>
          <w:i w:val="0"/>
          <w:sz w:val="22"/>
        </w:rPr>
        <w:t>Common tabs (all portals):</w:t>
      </w:r>
    </w:p>
    <w:p>
      <w:pPr>
        <w:spacing w:after="80" w:line="293" w:lineRule="auto"/>
        <w:ind w:left="283"/>
        <w:jc w:val="left"/>
      </w:pPr>
      <w:r>
        <w:rPr>
          <w:rFonts w:ascii="Times New Roman" w:hAnsi="Times New Roman" w:cs="Times New Roman"/>
          <w:b w:val="0"/>
          <w:i w:val="0"/>
          <w:sz w:val="22"/>
        </w:rPr>
        <w:t>- Smart Inbox (default landing tab — see 16.2)</w:t>
      </w:r>
    </w:p>
    <w:p>
      <w:pPr>
        <w:spacing w:after="80" w:line="293" w:lineRule="auto"/>
        <w:ind w:left="283"/>
        <w:jc w:val="left"/>
      </w:pPr>
      <w:r>
        <w:rPr>
          <w:rFonts w:ascii="Times New Roman" w:hAnsi="Times New Roman" w:cs="Times New Roman"/>
          <w:b w:val="0"/>
          <w:i w:val="0"/>
          <w:sz w:val="22"/>
        </w:rPr>
        <w:t>- Shipments (Shared Shipments Vault, role-filtered — see 16.5)</w:t>
      </w:r>
    </w:p>
    <w:p>
      <w:pPr>
        <w:spacing w:after="80" w:line="293" w:lineRule="auto"/>
        <w:ind w:left="283"/>
        <w:jc w:val="left"/>
      </w:pPr>
      <w:r>
        <w:rPr>
          <w:rFonts w:ascii="Times New Roman" w:hAnsi="Times New Roman" w:cs="Times New Roman"/>
          <w:b w:val="0"/>
          <w:i w:val="0"/>
          <w:sz w:val="22"/>
        </w:rPr>
        <w:t>- Disputes (role-filtered)</w:t>
      </w:r>
    </w:p>
    <w:p>
      <w:pPr>
        <w:spacing w:after="80" w:line="293" w:lineRule="auto"/>
        <w:ind w:left="283"/>
        <w:jc w:val="left"/>
      </w:pPr>
      <w:r>
        <w:rPr>
          <w:rFonts w:ascii="Times New Roman" w:hAnsi="Times New Roman" w:cs="Times New Roman"/>
          <w:b w:val="0"/>
          <w:i w:val="0"/>
          <w:sz w:val="22"/>
        </w:rPr>
        <w:t>- Notifications (see 16.14.12)</w:t>
      </w:r>
    </w:p>
    <w:p>
      <w:pPr>
        <w:spacing w:after="80" w:line="293" w:lineRule="auto"/>
        <w:ind w:left="283"/>
        <w:jc w:val="left"/>
      </w:pPr>
      <w:r>
        <w:rPr>
          <w:rFonts w:ascii="Times New Roman" w:hAnsi="Times New Roman" w:cs="Times New Roman"/>
          <w:b w:val="0"/>
          <w:i w:val="0"/>
          <w:sz w:val="22"/>
        </w:rPr>
        <w:t>- Task Center (see 16.14.11)</w:t>
      </w:r>
    </w:p>
    <w:p>
      <w:pPr>
        <w:spacing w:after="80" w:line="293" w:lineRule="auto"/>
        <w:ind w:left="283"/>
        <w:jc w:val="left"/>
      </w:pPr>
      <w:r>
        <w:rPr>
          <w:rFonts w:ascii="Times New Roman" w:hAnsi="Times New Roman" w:cs="Times New Roman"/>
          <w:b w:val="0"/>
          <w:i w:val="0"/>
          <w:sz w:val="22"/>
        </w:rPr>
        <w:t>- Help Center (see 16.14.14)</w:t>
      </w:r>
    </w:p>
    <w:p>
      <w:pPr>
        <w:spacing w:after="80" w:line="293" w:lineRule="auto"/>
        <w:ind w:left="283"/>
        <w:jc w:val="left"/>
      </w:pPr>
      <w:r>
        <w:rPr>
          <w:rFonts w:ascii="Times New Roman" w:hAnsi="Times New Roman" w:cs="Times New Roman"/>
          <w:b w:val="0"/>
          <w:i w:val="0"/>
          <w:sz w:val="22"/>
        </w:rPr>
        <w:t>- Company Admin</w:t>
      </w:r>
    </w:p>
    <w:p>
      <w:pPr>
        <w:spacing w:after="80" w:line="293" w:lineRule="auto"/>
        <w:jc w:val="left"/>
      </w:pPr>
      <w:r>
        <w:rPr>
          <w:rFonts w:ascii="Times New Roman" w:hAnsi="Times New Roman" w:cs="Times New Roman"/>
          <w:b w:val="0"/>
          <w:i w:val="0"/>
          <w:sz w:val="22"/>
        </w:rPr>
        <w:t>Role-specific tabs are defined per portal in 16.8 through 16.12.</w:t>
      </w:r>
    </w:p>
    <w:p>
      <w:pPr>
        <w:keepNext/>
        <w:spacing w:before="140" w:after="60"/>
        <w:outlineLvl w:val="3"/>
      </w:pPr>
      <w:r>
        <w:rPr>
          <w:rFonts w:ascii="Arial" w:hAnsi="Arial" w:cs="Arial"/>
          <w:b/>
          <w:i/>
          <w:color w:val="333333"/>
          <w:sz w:val="22"/>
        </w:rPr>
        <w:t>16.1.6.3 Mobile Navigation (Bottom Tab Bar)</w:t>
      </w:r>
    </w:p>
    <w:p>
      <w:pPr>
        <w:spacing w:after="80" w:line="293" w:lineRule="auto"/>
        <w:jc w:val="left"/>
      </w:pPr>
      <w:r>
        <w:rPr>
          <w:rFonts w:ascii="Times New Roman" w:hAnsi="Times New Roman" w:cs="Times New Roman"/>
          <w:b w:val="0"/>
          <w:i w:val="0"/>
          <w:sz w:val="22"/>
        </w:rPr>
        <w:t>On mobile devices (screen width &lt; 768px), the sidebar is replaced by a bottom tab bar with the 4–5 most frequently used tabs for that role. "More" expands to reveal the full sidebar menu as an overlay.</w:t>
      </w:r>
    </w:p>
    <w:p>
      <w:pPr>
        <w:keepNext/>
        <w:spacing w:before="180" w:after="80"/>
        <w:outlineLvl w:val="2"/>
      </w:pPr>
      <w:r>
        <w:rPr>
          <w:rFonts w:ascii="Arial" w:hAnsi="Arial" w:cs="Arial"/>
          <w:b/>
          <w:i w:val="0"/>
          <w:color w:val="333333"/>
          <w:sz w:val="23"/>
        </w:rPr>
        <w:t>16.1.7 Responsive Design Breakpoints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Breakpoint</w:t>
            </w:r>
          </w:p>
        </w:tc>
        <w:tc>
          <w:tcPr>
            <w:tcW w:type="dxa" w:w="3213"/>
            <w:shd w:val="clear" w:fill="D9E2F3"/>
          </w:tcPr>
          <w:p>
            <w:pPr>
              <w:spacing w:after="20" w:before="20" w:line="240" w:lineRule="auto"/>
            </w:pPr>
            <w:r/>
            <w:r>
              <w:rPr>
                <w:rFonts w:ascii="Arial" w:hAnsi="Arial" w:cs="Arial"/>
                <w:b/>
                <w:i w:val="0"/>
                <w:sz w:val="18"/>
              </w:rPr>
              <w:t>Width</w:t>
            </w:r>
          </w:p>
        </w:tc>
        <w:tc>
          <w:tcPr>
            <w:tcW w:type="dxa" w:w="3213"/>
            <w:shd w:val="clear" w:fill="D9E2F3"/>
          </w:tcPr>
          <w:p>
            <w:pPr>
              <w:spacing w:after="20" w:before="20" w:line="240" w:lineRule="auto"/>
            </w:pPr>
            <w:r/>
            <w:r>
              <w:rPr>
                <w:rFonts w:ascii="Arial" w:hAnsi="Arial" w:cs="Arial"/>
                <w:b/>
                <w:i w:val="0"/>
                <w:sz w:val="18"/>
              </w:rPr>
              <w:t>Layout</w:t>
            </w:r>
          </w:p>
        </w:tc>
      </w:tr>
      <w:tr>
        <w:tc>
          <w:tcPr>
            <w:tcW w:type="dxa" w:w="3213"/>
          </w:tcPr>
          <w:p>
            <w:pPr>
              <w:spacing w:after="20" w:before="20" w:line="240" w:lineRule="auto"/>
            </w:pPr>
            <w:r/>
            <w:r>
              <w:rPr>
                <w:rFonts w:ascii="Arial" w:hAnsi="Arial" w:cs="Arial"/>
                <w:b w:val="0"/>
                <w:i w:val="0"/>
                <w:sz w:val="17"/>
              </w:rPr>
              <w:t>Desktop</w:t>
            </w:r>
          </w:p>
        </w:tc>
        <w:tc>
          <w:tcPr>
            <w:tcW w:type="dxa" w:w="3213"/>
          </w:tcPr>
          <w:p>
            <w:pPr>
              <w:spacing w:after="20" w:before="20" w:line="240" w:lineRule="auto"/>
            </w:pPr>
            <w:r/>
            <w:r>
              <w:rPr>
                <w:rFonts w:ascii="Arial" w:hAnsi="Arial" w:cs="Arial"/>
                <w:b w:val="0"/>
                <w:i w:val="0"/>
                <w:sz w:val="17"/>
              </w:rPr>
              <w:t>≥ 1280px</w:t>
            </w:r>
          </w:p>
        </w:tc>
        <w:tc>
          <w:tcPr>
            <w:tcW w:type="dxa" w:w="3213"/>
          </w:tcPr>
          <w:p>
            <w:pPr>
              <w:spacing w:after="20" w:before="20" w:line="240" w:lineRule="auto"/>
            </w:pPr>
            <w:r/>
            <w:r>
              <w:rPr>
                <w:rFonts w:ascii="Arial" w:hAnsi="Arial" w:cs="Arial"/>
                <w:b w:val="0"/>
                <w:i w:val="0"/>
                <w:sz w:val="17"/>
              </w:rPr>
              <w:t>Full sidebar + multi-column grids</w:t>
            </w:r>
          </w:p>
        </w:tc>
      </w:tr>
      <w:tr>
        <w:tc>
          <w:tcPr>
            <w:tcW w:type="dxa" w:w="3213"/>
          </w:tcPr>
          <w:p>
            <w:pPr>
              <w:spacing w:after="20" w:before="20" w:line="240" w:lineRule="auto"/>
            </w:pPr>
            <w:r/>
            <w:r>
              <w:rPr>
                <w:rFonts w:ascii="Arial" w:hAnsi="Arial" w:cs="Arial"/>
                <w:b w:val="0"/>
                <w:i w:val="0"/>
                <w:sz w:val="17"/>
              </w:rPr>
              <w:t>Laptop</w:t>
            </w:r>
          </w:p>
        </w:tc>
        <w:tc>
          <w:tcPr>
            <w:tcW w:type="dxa" w:w="3213"/>
          </w:tcPr>
          <w:p>
            <w:pPr>
              <w:spacing w:after="20" w:before="20" w:line="240" w:lineRule="auto"/>
            </w:pPr>
            <w:r/>
            <w:r>
              <w:rPr>
                <w:rFonts w:ascii="Arial" w:hAnsi="Arial" w:cs="Arial"/>
                <w:b w:val="0"/>
                <w:i w:val="0"/>
                <w:sz w:val="17"/>
              </w:rPr>
              <w:t>768–1279px</w:t>
            </w:r>
          </w:p>
        </w:tc>
        <w:tc>
          <w:tcPr>
            <w:tcW w:type="dxa" w:w="3213"/>
          </w:tcPr>
          <w:p>
            <w:pPr>
              <w:spacing w:after="20" w:before="20" w:line="240" w:lineRule="auto"/>
            </w:pPr>
            <w:r/>
            <w:r>
              <w:rPr>
                <w:rFonts w:ascii="Arial" w:hAnsi="Arial" w:cs="Arial"/>
                <w:b w:val="0"/>
                <w:i w:val="0"/>
                <w:sz w:val="17"/>
              </w:rPr>
              <w:t>Collapsible sidebar + 2-column grids</w:t>
            </w:r>
          </w:p>
        </w:tc>
      </w:tr>
      <w:tr>
        <w:tc>
          <w:tcPr>
            <w:tcW w:type="dxa" w:w="3213"/>
          </w:tcPr>
          <w:p>
            <w:pPr>
              <w:spacing w:after="20" w:before="20" w:line="240" w:lineRule="auto"/>
            </w:pPr>
            <w:r/>
            <w:r>
              <w:rPr>
                <w:rFonts w:ascii="Arial" w:hAnsi="Arial" w:cs="Arial"/>
                <w:b w:val="0"/>
                <w:i w:val="0"/>
                <w:sz w:val="17"/>
              </w:rPr>
              <w:t>Tablet</w:t>
            </w:r>
          </w:p>
        </w:tc>
        <w:tc>
          <w:tcPr>
            <w:tcW w:type="dxa" w:w="3213"/>
          </w:tcPr>
          <w:p>
            <w:pPr>
              <w:spacing w:after="20" w:before="20" w:line="240" w:lineRule="auto"/>
            </w:pPr>
            <w:r/>
            <w:r>
              <w:rPr>
                <w:rFonts w:ascii="Arial" w:hAnsi="Arial" w:cs="Arial"/>
                <w:b w:val="0"/>
                <w:i w:val="0"/>
                <w:sz w:val="17"/>
              </w:rPr>
              <w:t>768–1023px (portrait)</w:t>
            </w:r>
          </w:p>
        </w:tc>
        <w:tc>
          <w:tcPr>
            <w:tcW w:type="dxa" w:w="3213"/>
          </w:tcPr>
          <w:p>
            <w:pPr>
              <w:spacing w:after="20" w:before="20" w:line="240" w:lineRule="auto"/>
            </w:pPr>
            <w:r/>
            <w:r>
              <w:rPr>
                <w:rFonts w:ascii="Arial" w:hAnsi="Arial" w:cs="Arial"/>
                <w:b w:val="0"/>
                <w:i w:val="0"/>
                <w:sz w:val="17"/>
              </w:rPr>
              <w:t>Collapsed sidebar + 1–2 column grids</w:t>
            </w:r>
          </w:p>
        </w:tc>
      </w:tr>
      <w:tr>
        <w:tc>
          <w:tcPr>
            <w:tcW w:type="dxa" w:w="3213"/>
          </w:tcPr>
          <w:p>
            <w:pPr>
              <w:spacing w:after="20" w:before="20" w:line="240" w:lineRule="auto"/>
            </w:pPr>
            <w:r/>
            <w:r>
              <w:rPr>
                <w:rFonts w:ascii="Arial" w:hAnsi="Arial" w:cs="Arial"/>
                <w:b w:val="0"/>
                <w:i w:val="0"/>
                <w:sz w:val="17"/>
              </w:rPr>
              <w:t>Mobile</w:t>
            </w:r>
          </w:p>
        </w:tc>
        <w:tc>
          <w:tcPr>
            <w:tcW w:type="dxa" w:w="3213"/>
          </w:tcPr>
          <w:p>
            <w:pPr>
              <w:spacing w:after="20" w:before="20" w:line="240" w:lineRule="auto"/>
            </w:pPr>
            <w:r/>
            <w:r>
              <w:rPr>
                <w:rFonts w:ascii="Arial" w:hAnsi="Arial" w:cs="Arial"/>
                <w:b w:val="0"/>
                <w:i w:val="0"/>
                <w:sz w:val="17"/>
              </w:rPr>
              <w:t>&lt; 768px</w:t>
            </w:r>
          </w:p>
        </w:tc>
        <w:tc>
          <w:tcPr>
            <w:tcW w:type="dxa" w:w="3213"/>
          </w:tcPr>
          <w:p>
            <w:pPr>
              <w:spacing w:after="20" w:before="20" w:line="240" w:lineRule="auto"/>
            </w:pPr>
            <w:r/>
            <w:r>
              <w:rPr>
                <w:rFonts w:ascii="Arial" w:hAnsi="Arial" w:cs="Arial"/>
                <w:b w:val="0"/>
                <w:i w:val="0"/>
                <w:sz w:val="17"/>
              </w:rPr>
              <w:t>Bottom tab bar, single column, swipe gestures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16.1.8 Common Features Across All Portals (Mobile &amp; Web)</w:t>
      </w:r>
    </w:p>
    <w:p>
      <w:pPr>
        <w:spacing w:after="80" w:line="293" w:lineRule="auto"/>
        <w:jc w:val="left"/>
      </w:pPr>
      <w:r>
        <w:rPr>
          <w:rFonts w:ascii="Times New Roman" w:hAnsi="Times New Roman" w:cs="Times New Roman"/>
          <w:b w:val="0"/>
          <w:i w:val="0"/>
          <w:sz w:val="22"/>
        </w:rPr>
        <w:t>Every portal, on every device class, provides:</w:t>
      </w:r>
    </w:p>
    <w:p>
      <w:pPr>
        <w:spacing w:after="80" w:line="293" w:lineRule="auto"/>
        <w:ind w:left="283"/>
        <w:jc w:val="left"/>
      </w:pPr>
      <w:r>
        <w:rPr>
          <w:rFonts w:ascii="Times New Roman" w:hAnsi="Times New Roman" w:cs="Times New Roman"/>
          <w:b w:val="0"/>
          <w:i w:val="0"/>
          <w:sz w:val="22"/>
        </w:rPr>
        <w:t>- Smart Inbox as the default landing surface.</w:t>
      </w:r>
    </w:p>
    <w:p>
      <w:pPr>
        <w:spacing w:after="80" w:line="293" w:lineRule="auto"/>
        <w:ind w:left="283"/>
        <w:jc w:val="left"/>
      </w:pPr>
      <w:r>
        <w:rPr>
          <w:rFonts w:ascii="Times New Roman" w:hAnsi="Times New Roman" w:cs="Times New Roman"/>
          <w:b w:val="0"/>
          <w:i w:val="0"/>
          <w:sz w:val="22"/>
        </w:rPr>
        <w:t>- The Shared Shipments Vault with role-specific columns.</w:t>
      </w:r>
    </w:p>
    <w:p>
      <w:pPr>
        <w:spacing w:after="80" w:line="293" w:lineRule="auto"/>
        <w:ind w:left="283"/>
        <w:jc w:val="left"/>
      </w:pPr>
      <w:r>
        <w:rPr>
          <w:rFonts w:ascii="Times New Roman" w:hAnsi="Times New Roman" w:cs="Times New Roman"/>
          <w:b w:val="0"/>
          <w:i w:val="0"/>
          <w:sz w:val="22"/>
        </w:rPr>
        <w:t>- The Trade Command Center on every USTN click.</w:t>
      </w:r>
    </w:p>
    <w:p>
      <w:pPr>
        <w:spacing w:after="80" w:line="293" w:lineRule="auto"/>
        <w:ind w:left="283"/>
        <w:jc w:val="left"/>
      </w:pPr>
      <w:r>
        <w:rPr>
          <w:rFonts w:ascii="Times New Roman" w:hAnsi="Times New Roman" w:cs="Times New Roman"/>
          <w:b w:val="0"/>
          <w:i w:val="0"/>
          <w:sz w:val="22"/>
        </w:rPr>
        <w:t>- The PlainLanguage Governor Decision Panel on every DENY/CONDITIONAL.</w:t>
      </w:r>
    </w:p>
    <w:p>
      <w:pPr>
        <w:spacing w:after="80" w:line="293" w:lineRule="auto"/>
        <w:ind w:left="283"/>
        <w:jc w:val="left"/>
      </w:pPr>
      <w:r>
        <w:rPr>
          <w:rFonts w:ascii="Times New Roman" w:hAnsi="Times New Roman" w:cs="Times New Roman"/>
          <w:b w:val="0"/>
          <w:i w:val="0"/>
          <w:sz w:val="22"/>
        </w:rPr>
        <w:t>- One-click execution of every irreversible action (voice counts as zero clicks).</w:t>
      </w:r>
    </w:p>
    <w:p>
      <w:pPr>
        <w:spacing w:after="80" w:line="293" w:lineRule="auto"/>
        <w:ind w:left="283"/>
        <w:jc w:val="left"/>
      </w:pPr>
      <w:r>
        <w:rPr>
          <w:rFonts w:ascii="Times New Roman" w:hAnsi="Times New Roman" w:cs="Times New Roman"/>
          <w:b w:val="0"/>
          <w:i w:val="0"/>
          <w:sz w:val="22"/>
        </w:rPr>
        <w:t>- Real-time updates via NATS WebSocket.</w:t>
      </w:r>
    </w:p>
    <w:p>
      <w:pPr>
        <w:spacing w:after="80" w:line="293" w:lineRule="auto"/>
        <w:ind w:left="283"/>
        <w:jc w:val="left"/>
      </w:pPr>
      <w:r>
        <w:rPr>
          <w:rFonts w:ascii="Times New Roman" w:hAnsi="Times New Roman" w:cs="Times New Roman"/>
          <w:b w:val="0"/>
          <w:i w:val="0"/>
          <w:sz w:val="22"/>
        </w:rPr>
        <w:t>- WCAG 2.2 Level AA accessibility.</w:t>
      </w:r>
    </w:p>
    <w:p>
      <w:pPr>
        <w:spacing w:after="80" w:line="293" w:lineRule="auto"/>
        <w:ind w:left="283"/>
        <w:jc w:val="left"/>
      </w:pPr>
      <w:r>
        <w:rPr>
          <w:rFonts w:ascii="Times New Roman" w:hAnsi="Times New Roman" w:cs="Times New Roman"/>
          <w:b w:val="0"/>
          <w:i w:val="0"/>
          <w:sz w:val="22"/>
        </w:rPr>
        <w:t>- Full keyboard navigation and screen-reader labels.</w:t>
      </w:r>
    </w:p>
    <w:p>
      <w:pPr>
        <w:keepNext/>
        <w:spacing w:before="180" w:after="80"/>
        <w:outlineLvl w:val="2"/>
      </w:pPr>
      <w:r>
        <w:rPr>
          <w:rFonts w:ascii="Arial" w:hAnsi="Arial" w:cs="Arial"/>
          <w:b/>
          <w:i w:val="0"/>
          <w:color w:val="333333"/>
          <w:sz w:val="23"/>
        </w:rPr>
        <w:t>16.1.9 Dual Trader-Mode Context (Platform-Wide Rule)</w:t>
      </w:r>
    </w:p>
    <w:p>
      <w:pPr>
        <w:spacing w:after="80" w:line="293" w:lineRule="auto"/>
        <w:jc w:val="left"/>
      </w:pPr>
      <w:r>
        <w:rPr>
          <w:rFonts w:ascii="Times New Roman" w:hAnsi="Times New Roman" w:cs="Times New Roman"/>
          <w:b w:val="0"/>
          <w:i w:val="0"/>
          <w:sz w:val="22"/>
        </w:rPr>
        <w:t>Tenants operate in BUY, SELL, or DUAL trader mode. Every session carries an active trader-mode context as a JWT claim; the context switch is an explicit, audited action (`POST /v1/employee/switch-context`). OPA policies prevent cross-mode actions, and the Smart Inbox, Command Center, and workflows all filter on the active context. A DUAL tenant sees a combined view with an always-visible mode toggle (see 16.14.8).</w:t>
      </w:r>
    </w:p>
    <w:p>
      <w:pPr>
        <w:keepNext/>
        <w:spacing w:before="180" w:after="80"/>
        <w:outlineLvl w:val="2"/>
      </w:pPr>
      <w:r>
        <w:rPr>
          <w:rFonts w:ascii="Arial" w:hAnsi="Arial" w:cs="Arial"/>
          <w:b/>
          <w:i w:val="0"/>
          <w:color w:val="333333"/>
          <w:sz w:val="23"/>
        </w:rPr>
        <w:t>16.1.10 Implementation Checklist — Portal Foundation</w:t>
      </w:r>
    </w:p>
    <w:p>
      <w:pPr>
        <w:keepNext/>
        <w:spacing w:before="140" w:after="60"/>
        <w:outlineLvl w:val="3"/>
      </w:pPr>
      <w:r>
        <w:rPr>
          <w:rFonts w:ascii="Arial" w:hAnsi="Arial" w:cs="Arial"/>
          <w:b/>
          <w:i/>
          <w:color w:val="333333"/>
          <w:sz w:val="22"/>
        </w:rPr>
        <w:t>16.1.10.1 Device Detection &amp; Responsive Layout</w:t>
      </w:r>
    </w:p>
    <w:p>
      <w:pPr>
        <w:spacing w:after="80" w:line="293" w:lineRule="auto"/>
        <w:ind w:left="283"/>
        <w:jc w:val="left"/>
      </w:pPr>
      <w:r>
        <w:rPr>
          <w:rFonts w:ascii="Times New Roman" w:hAnsi="Times New Roman" w:cs="Times New Roman"/>
          <w:b w:val="0"/>
          <w:i w:val="0"/>
          <w:sz w:val="22"/>
        </w:rPr>
        <w:t>- Implement device detection (user agent, screen width) in Next.js middleware.</w:t>
      </w:r>
    </w:p>
    <w:p>
      <w:pPr>
        <w:spacing w:after="80" w:line="293" w:lineRule="auto"/>
        <w:ind w:left="283"/>
        <w:jc w:val="left"/>
      </w:pPr>
      <w:r>
        <w:rPr>
          <w:rFonts w:ascii="Times New Roman" w:hAnsi="Times New Roman" w:cs="Times New Roman"/>
          <w:b w:val="0"/>
          <w:i w:val="0"/>
          <w:sz w:val="22"/>
        </w:rPr>
        <w:t>- Build responsive layout with Tailwind CSS breakpoints.</w:t>
      </w:r>
    </w:p>
    <w:p>
      <w:pPr>
        <w:spacing w:after="80" w:line="293" w:lineRule="auto"/>
        <w:ind w:left="283"/>
        <w:jc w:val="left"/>
      </w:pPr>
      <w:r>
        <w:rPr>
          <w:rFonts w:ascii="Times New Roman" w:hAnsi="Times New Roman" w:cs="Times New Roman"/>
          <w:b w:val="0"/>
          <w:i w:val="0"/>
          <w:sz w:val="22"/>
        </w:rPr>
        <w:t>- Create collapsible sidebar component (desktop).</w:t>
      </w:r>
    </w:p>
    <w:p>
      <w:pPr>
        <w:spacing w:after="80" w:line="293" w:lineRule="auto"/>
        <w:ind w:left="283"/>
        <w:jc w:val="left"/>
      </w:pPr>
      <w:r>
        <w:rPr>
          <w:rFonts w:ascii="Times New Roman" w:hAnsi="Times New Roman" w:cs="Times New Roman"/>
          <w:b w:val="0"/>
          <w:i w:val="0"/>
          <w:sz w:val="22"/>
        </w:rPr>
        <w:t>- Create bottom tab bar component (mobile).</w:t>
      </w:r>
    </w:p>
    <w:p>
      <w:pPr>
        <w:spacing w:after="80" w:line="293" w:lineRule="auto"/>
        <w:ind w:left="283"/>
        <w:jc w:val="left"/>
      </w:pPr>
      <w:r>
        <w:rPr>
          <w:rFonts w:ascii="Times New Roman" w:hAnsi="Times New Roman" w:cs="Times New Roman"/>
          <w:b w:val="0"/>
          <w:i w:val="0"/>
          <w:sz w:val="22"/>
        </w:rPr>
        <w:t>- Implement hamburger menu overlay for mobile.</w:t>
      </w:r>
    </w:p>
    <w:p>
      <w:pPr>
        <w:keepNext/>
        <w:spacing w:before="140" w:after="60"/>
        <w:outlineLvl w:val="3"/>
      </w:pPr>
      <w:r>
        <w:rPr>
          <w:rFonts w:ascii="Arial" w:hAnsi="Arial" w:cs="Arial"/>
          <w:b/>
          <w:i/>
          <w:color w:val="333333"/>
          <w:sz w:val="22"/>
        </w:rPr>
        <w:t>16.1.10.2 Mobile App Infrastructure</w:t>
      </w:r>
    </w:p>
    <w:p>
      <w:pPr>
        <w:spacing w:after="80" w:line="293" w:lineRule="auto"/>
        <w:ind w:left="283"/>
        <w:jc w:val="left"/>
      </w:pPr>
      <w:r>
        <w:rPr>
          <w:rFonts w:ascii="Times New Roman" w:hAnsi="Times New Roman" w:cs="Times New Roman"/>
          <w:b w:val="0"/>
          <w:i w:val="0"/>
          <w:sz w:val="22"/>
        </w:rPr>
        <w:t>- Set up React Native + Expo project.</w:t>
      </w:r>
    </w:p>
    <w:p>
      <w:pPr>
        <w:spacing w:after="80" w:line="293" w:lineRule="auto"/>
        <w:ind w:left="283"/>
        <w:jc w:val="left"/>
      </w:pPr>
      <w:r>
        <w:rPr>
          <w:rFonts w:ascii="Times New Roman" w:hAnsi="Times New Roman" w:cs="Times New Roman"/>
          <w:b w:val="0"/>
          <w:i w:val="0"/>
          <w:sz w:val="22"/>
        </w:rPr>
        <w:t>- Integrate WatermelonDB for offline storage.</w:t>
      </w:r>
    </w:p>
    <w:p>
      <w:pPr>
        <w:spacing w:after="80" w:line="293" w:lineRule="auto"/>
        <w:ind w:left="283"/>
        <w:jc w:val="left"/>
      </w:pPr>
      <w:r>
        <w:rPr>
          <w:rFonts w:ascii="Times New Roman" w:hAnsi="Times New Roman" w:cs="Times New Roman"/>
          <w:b w:val="0"/>
          <w:i w:val="0"/>
          <w:sz w:val="22"/>
        </w:rPr>
        <w:t>- Implement offline sync engine (queue, retry, conflict resolution).</w:t>
      </w:r>
    </w:p>
    <w:p>
      <w:pPr>
        <w:spacing w:after="80" w:line="293" w:lineRule="auto"/>
        <w:ind w:left="283"/>
        <w:jc w:val="left"/>
      </w:pPr>
      <w:r>
        <w:rPr>
          <w:rFonts w:ascii="Times New Roman" w:hAnsi="Times New Roman" w:cs="Times New Roman"/>
          <w:b w:val="0"/>
          <w:i w:val="0"/>
          <w:sz w:val="22"/>
        </w:rPr>
        <w:t>- Add persistent offline sync indicator (dot + queue count).</w:t>
      </w:r>
    </w:p>
    <w:p>
      <w:pPr>
        <w:spacing w:after="80" w:line="293" w:lineRule="auto"/>
        <w:ind w:left="283"/>
        <w:jc w:val="left"/>
      </w:pPr>
      <w:r>
        <w:rPr>
          <w:rFonts w:ascii="Times New Roman" w:hAnsi="Times New Roman" w:cs="Times New Roman"/>
          <w:b w:val="0"/>
          <w:i w:val="0"/>
          <w:sz w:val="22"/>
        </w:rPr>
        <w:t>- Implement automatic retry with exponential backoff.</w:t>
      </w:r>
    </w:p>
    <w:p>
      <w:pPr>
        <w:spacing w:after="80" w:line="293" w:lineRule="auto"/>
        <w:ind w:left="283"/>
        <w:jc w:val="left"/>
      </w:pPr>
      <w:r>
        <w:rPr>
          <w:rFonts w:ascii="Times New Roman" w:hAnsi="Times New Roman" w:cs="Times New Roman"/>
          <w:b w:val="0"/>
          <w:i w:val="0"/>
          <w:sz w:val="22"/>
        </w:rPr>
        <w:t>- Add manual "Sync Now" button.</w:t>
      </w:r>
    </w:p>
    <w:p>
      <w:pPr>
        <w:keepNext/>
        <w:spacing w:before="140" w:after="60"/>
        <w:outlineLvl w:val="3"/>
      </w:pPr>
      <w:r>
        <w:rPr>
          <w:rFonts w:ascii="Arial" w:hAnsi="Arial" w:cs="Arial"/>
          <w:b/>
          <w:i/>
          <w:color w:val="333333"/>
          <w:sz w:val="22"/>
        </w:rPr>
        <w:t>16.1.10.3 LSP Driver App</w:t>
      </w:r>
    </w:p>
    <w:p>
      <w:pPr>
        <w:spacing w:after="80" w:line="293" w:lineRule="auto"/>
        <w:ind w:left="283"/>
        <w:jc w:val="left"/>
      </w:pPr>
      <w:r>
        <w:rPr>
          <w:rFonts w:ascii="Times New Roman" w:hAnsi="Times New Roman" w:cs="Times New Roman"/>
          <w:b w:val="0"/>
          <w:i w:val="0"/>
          <w:sz w:val="22"/>
        </w:rPr>
        <w:t>- Integrate ZXingC++ for barcode scanning.</w:t>
      </w:r>
    </w:p>
    <w:p>
      <w:pPr>
        <w:spacing w:after="80" w:line="293" w:lineRule="auto"/>
        <w:ind w:left="283"/>
        <w:jc w:val="left"/>
      </w:pPr>
      <w:r>
        <w:rPr>
          <w:rFonts w:ascii="Times New Roman" w:hAnsi="Times New Roman" w:cs="Times New Roman"/>
          <w:b w:val="0"/>
          <w:i w:val="0"/>
          <w:sz w:val="22"/>
        </w:rPr>
        <w:t>- Integrate Vosk for offline voice commands.</w:t>
      </w:r>
    </w:p>
    <w:p>
      <w:pPr>
        <w:spacing w:after="80" w:line="293" w:lineRule="auto"/>
        <w:ind w:left="283"/>
        <w:jc w:val="left"/>
      </w:pPr>
      <w:r>
        <w:rPr>
          <w:rFonts w:ascii="Times New Roman" w:hAnsi="Times New Roman" w:cs="Times New Roman"/>
          <w:b w:val="0"/>
          <w:i w:val="0"/>
          <w:sz w:val="22"/>
        </w:rPr>
        <w:t>- Integrate OSRM for offline turn-by-turn navigation.</w:t>
      </w:r>
    </w:p>
    <w:p>
      <w:pPr>
        <w:spacing w:after="80" w:line="293" w:lineRule="auto"/>
        <w:ind w:left="283"/>
        <w:jc w:val="left"/>
      </w:pPr>
      <w:r>
        <w:rPr>
          <w:rFonts w:ascii="Times New Roman" w:hAnsi="Times New Roman" w:cs="Times New Roman"/>
          <w:b w:val="0"/>
          <w:i w:val="0"/>
          <w:sz w:val="22"/>
        </w:rPr>
        <w:t>- Implement geofence alerts (GPS + geofence detection).</w:t>
      </w:r>
    </w:p>
    <w:p>
      <w:pPr>
        <w:spacing w:after="80" w:line="293" w:lineRule="auto"/>
        <w:ind w:left="283"/>
        <w:jc w:val="left"/>
      </w:pPr>
      <w:r>
        <w:rPr>
          <w:rFonts w:ascii="Times New Roman" w:hAnsi="Times New Roman" w:cs="Times New Roman"/>
          <w:b w:val="0"/>
          <w:i w:val="0"/>
          <w:sz w:val="22"/>
        </w:rPr>
        <w:t>- Build offline queue for scans and milestones.</w:t>
      </w:r>
    </w:p>
    <w:p>
      <w:pPr>
        <w:spacing w:after="80" w:line="293" w:lineRule="auto"/>
        <w:ind w:left="283"/>
        <w:jc w:val="left"/>
      </w:pPr>
      <w:r>
        <w:rPr>
          <w:rFonts w:ascii="Times New Roman" w:hAnsi="Times New Roman" w:cs="Times New Roman"/>
          <w:b w:val="0"/>
          <w:i w:val="0"/>
          <w:sz w:val="22"/>
        </w:rPr>
        <w:t>- Add push-to-talk communication (WebRTC).</w:t>
      </w:r>
    </w:p>
    <w:p>
      <w:pPr>
        <w:keepNext/>
        <w:spacing w:before="140" w:after="60"/>
        <w:outlineLvl w:val="3"/>
      </w:pPr>
      <w:r>
        <w:rPr>
          <w:rFonts w:ascii="Arial" w:hAnsi="Arial" w:cs="Arial"/>
          <w:b/>
          <w:i/>
          <w:color w:val="333333"/>
          <w:sz w:val="22"/>
        </w:rPr>
        <w:t>16.1.10.4 QC Inspector App</w:t>
      </w:r>
    </w:p>
    <w:p>
      <w:pPr>
        <w:spacing w:after="80" w:line="293" w:lineRule="auto"/>
        <w:ind w:left="283"/>
        <w:jc w:val="left"/>
      </w:pPr>
      <w:r>
        <w:rPr>
          <w:rFonts w:ascii="Times New Roman" w:hAnsi="Times New Roman" w:cs="Times New Roman"/>
          <w:b w:val="0"/>
          <w:i w:val="0"/>
          <w:sz w:val="22"/>
        </w:rPr>
        <w:t>- Integrate HF ViT for on-device defect detection.</w:t>
      </w:r>
    </w:p>
    <w:p>
      <w:pPr>
        <w:spacing w:after="80" w:line="293" w:lineRule="auto"/>
        <w:ind w:left="283"/>
        <w:jc w:val="left"/>
      </w:pPr>
      <w:r>
        <w:rPr>
          <w:rFonts w:ascii="Times New Roman" w:hAnsi="Times New Roman" w:cs="Times New Roman"/>
          <w:b w:val="0"/>
          <w:i w:val="0"/>
          <w:sz w:val="22"/>
        </w:rPr>
        <w:t>- Integrate AR.js for AR overlay.</w:t>
      </w:r>
    </w:p>
    <w:p>
      <w:pPr>
        <w:spacing w:after="80" w:line="293" w:lineRule="auto"/>
        <w:ind w:left="283"/>
        <w:jc w:val="left"/>
      </w:pPr>
      <w:r>
        <w:rPr>
          <w:rFonts w:ascii="Times New Roman" w:hAnsi="Times New Roman" w:cs="Times New Roman"/>
          <w:b w:val="0"/>
          <w:i w:val="0"/>
          <w:sz w:val="22"/>
        </w:rPr>
        <w:t>- Implement mandatory override reason (≥10 chars).</w:t>
      </w:r>
    </w:p>
    <w:p>
      <w:pPr>
        <w:spacing w:after="80" w:line="293" w:lineRule="auto"/>
        <w:ind w:left="283"/>
        <w:jc w:val="left"/>
      </w:pPr>
      <w:r>
        <w:rPr>
          <w:rFonts w:ascii="Times New Roman" w:hAnsi="Times New Roman" w:cs="Times New Roman"/>
          <w:b w:val="0"/>
          <w:i w:val="0"/>
          <w:sz w:val="22"/>
        </w:rPr>
        <w:t>- Implement AQL sampling enforcement.</w:t>
      </w:r>
    </w:p>
    <w:p>
      <w:pPr>
        <w:spacing w:after="80" w:line="293" w:lineRule="auto"/>
        <w:ind w:left="283"/>
        <w:jc w:val="left"/>
      </w:pPr>
      <w:r>
        <w:rPr>
          <w:rFonts w:ascii="Times New Roman" w:hAnsi="Times New Roman" w:cs="Times New Roman"/>
          <w:b w:val="0"/>
          <w:i w:val="0"/>
          <w:sz w:val="22"/>
        </w:rPr>
        <w:t>- Build offline queue for inspection data.</w:t>
      </w:r>
    </w:p>
    <w:p>
      <w:pPr>
        <w:spacing w:after="80" w:line="293" w:lineRule="auto"/>
        <w:ind w:left="283"/>
        <w:jc w:val="left"/>
      </w:pPr>
      <w:r>
        <w:rPr>
          <w:rFonts w:ascii="Times New Roman" w:hAnsi="Times New Roman" w:cs="Times New Roman"/>
          <w:b w:val="0"/>
          <w:i w:val="0"/>
          <w:sz w:val="22"/>
        </w:rPr>
        <w:t>- Add report submission with offline sync.</w:t>
      </w:r>
    </w:p>
    <w:p>
      <w:pPr>
        <w:keepNext/>
        <w:spacing w:before="140" w:after="60"/>
        <w:outlineLvl w:val="3"/>
      </w:pPr>
      <w:r>
        <w:rPr>
          <w:rFonts w:ascii="Arial" w:hAnsi="Arial" w:cs="Arial"/>
          <w:b/>
          <w:i/>
          <w:color w:val="333333"/>
          <w:sz w:val="22"/>
        </w:rPr>
        <w:t>16.1.10.5 CBR Document Receipt App</w:t>
      </w:r>
    </w:p>
    <w:p>
      <w:pPr>
        <w:spacing w:after="80" w:line="293" w:lineRule="auto"/>
        <w:ind w:left="283"/>
        <w:jc w:val="left"/>
      </w:pPr>
      <w:r>
        <w:rPr>
          <w:rFonts w:ascii="Times New Roman" w:hAnsi="Times New Roman" w:cs="Times New Roman"/>
          <w:b w:val="0"/>
          <w:i w:val="0"/>
          <w:sz w:val="22"/>
        </w:rPr>
        <w:t>- Integrate QR code scanning.</w:t>
      </w:r>
    </w:p>
    <w:p>
      <w:pPr>
        <w:spacing w:after="80" w:line="293" w:lineRule="auto"/>
        <w:ind w:left="283"/>
        <w:jc w:val="left"/>
      </w:pPr>
      <w:r>
        <w:rPr>
          <w:rFonts w:ascii="Times New Roman" w:hAnsi="Times New Roman" w:cs="Times New Roman"/>
          <w:b w:val="0"/>
          <w:i w:val="0"/>
          <w:sz w:val="22"/>
        </w:rPr>
        <w:t>- Implement GPS location stamping.</w:t>
      </w:r>
    </w:p>
    <w:p>
      <w:pPr>
        <w:spacing w:after="80" w:line="293" w:lineRule="auto"/>
        <w:ind w:left="283"/>
        <w:jc w:val="left"/>
      </w:pPr>
      <w:r>
        <w:rPr>
          <w:rFonts w:ascii="Times New Roman" w:hAnsi="Times New Roman" w:cs="Times New Roman"/>
          <w:b w:val="0"/>
          <w:i w:val="0"/>
          <w:sz w:val="22"/>
        </w:rPr>
        <w:t>- Build offline queue for status updates.</w:t>
      </w:r>
    </w:p>
    <w:p>
      <w:pPr>
        <w:spacing w:after="80" w:line="293" w:lineRule="auto"/>
        <w:ind w:left="283"/>
        <w:jc w:val="left"/>
      </w:pPr>
      <w:r>
        <w:rPr>
          <w:rFonts w:ascii="Times New Roman" w:hAnsi="Times New Roman" w:cs="Times New Roman"/>
          <w:b w:val="0"/>
          <w:i w:val="0"/>
          <w:sz w:val="22"/>
        </w:rPr>
        <w:t>- Add photo capture for stamped documents.</w:t>
      </w:r>
    </w:p>
    <w:p>
      <w:pPr>
        <w:keepNext/>
        <w:spacing w:before="140" w:after="60"/>
        <w:outlineLvl w:val="3"/>
      </w:pPr>
      <w:r>
        <w:rPr>
          <w:rFonts w:ascii="Arial" w:hAnsi="Arial" w:cs="Arial"/>
          <w:b/>
          <w:i/>
          <w:color w:val="333333"/>
          <w:sz w:val="22"/>
        </w:rPr>
        <w:t>16.1.10.6 Testing</w:t>
      </w:r>
    </w:p>
    <w:p>
      <w:pPr>
        <w:spacing w:after="80" w:line="293" w:lineRule="auto"/>
        <w:ind w:left="283"/>
        <w:jc w:val="left"/>
      </w:pPr>
      <w:r>
        <w:rPr>
          <w:rFonts w:ascii="Times New Roman" w:hAnsi="Times New Roman" w:cs="Times New Roman"/>
          <w:b w:val="0"/>
          <w:i w:val="0"/>
          <w:sz w:val="22"/>
        </w:rPr>
        <w:t>- Test all portals on desktop (Chrome, Firefox, Safari).</w:t>
      </w:r>
    </w:p>
    <w:p>
      <w:pPr>
        <w:spacing w:after="80" w:line="293" w:lineRule="auto"/>
        <w:ind w:left="283"/>
        <w:jc w:val="left"/>
      </w:pPr>
      <w:r>
        <w:rPr>
          <w:rFonts w:ascii="Times New Roman" w:hAnsi="Times New Roman" w:cs="Times New Roman"/>
          <w:b w:val="0"/>
          <w:i w:val="0"/>
          <w:sz w:val="22"/>
        </w:rPr>
        <w:t>- Test all portals on mobile browsers (iOS Safari, Android Chrome).</w:t>
      </w:r>
    </w:p>
    <w:p>
      <w:pPr>
        <w:spacing w:after="80" w:line="293" w:lineRule="auto"/>
        <w:ind w:left="283"/>
        <w:jc w:val="left"/>
      </w:pPr>
      <w:r>
        <w:rPr>
          <w:rFonts w:ascii="Times New Roman" w:hAnsi="Times New Roman" w:cs="Times New Roman"/>
          <w:b w:val="0"/>
          <w:i w:val="0"/>
          <w:sz w:val="22"/>
        </w:rPr>
        <w:t>- Test LSP Driver App offline (airplane mode) → scan → sync when online.</w:t>
      </w:r>
    </w:p>
    <w:p>
      <w:pPr>
        <w:spacing w:after="80" w:line="293" w:lineRule="auto"/>
        <w:ind w:left="283"/>
        <w:jc w:val="left"/>
      </w:pPr>
      <w:r>
        <w:rPr>
          <w:rFonts w:ascii="Times New Roman" w:hAnsi="Times New Roman" w:cs="Times New Roman"/>
          <w:b w:val="0"/>
          <w:i w:val="0"/>
          <w:sz w:val="22"/>
        </w:rPr>
        <w:t>- Test QC Inspector App offline → defect detection → override → submit → sync.</w:t>
      </w:r>
    </w:p>
    <w:p>
      <w:pPr>
        <w:spacing w:after="80" w:line="293" w:lineRule="auto"/>
        <w:ind w:left="283"/>
        <w:jc w:val="left"/>
      </w:pPr>
      <w:r>
        <w:rPr>
          <w:rFonts w:ascii="Times New Roman" w:hAnsi="Times New Roman" w:cs="Times New Roman"/>
          <w:b w:val="0"/>
          <w:i w:val="0"/>
          <w:sz w:val="22"/>
        </w:rPr>
        <w:t>- Test CBR Document Receipt App offline → receive package → sync.</w:t>
      </w:r>
    </w:p>
    <w:p>
      <w:pPr>
        <w:spacing w:after="80" w:line="293" w:lineRule="auto"/>
        <w:ind w:left="283"/>
        <w:jc w:val="left"/>
      </w:pPr>
      <w:r>
        <w:rPr>
          <w:rFonts w:ascii="Times New Roman" w:hAnsi="Times New Roman" w:cs="Times New Roman"/>
          <w:b w:val="0"/>
          <w:i w:val="0"/>
          <w:sz w:val="22"/>
        </w:rPr>
        <w:t>- Test offline sync conflict resolution (server wins).</w:t>
      </w:r>
    </w:p>
    <w:p>
      <w:pPr>
        <w:keepNext/>
        <w:spacing w:before="180" w:after="80"/>
        <w:outlineLvl w:val="2"/>
      </w:pPr>
      <w:r>
        <w:rPr>
          <w:rFonts w:ascii="Arial" w:hAnsi="Arial" w:cs="Arial"/>
          <w:b/>
          <w:i w:val="0"/>
          <w:color w:val="333333"/>
          <w:sz w:val="23"/>
        </w:rPr>
        <w:t>16.1.11 AI Authority Summary</w:t>
      </w:r>
    </w:p>
    <w:p>
      <w:pPr>
        <w:spacing w:after="80" w:line="293" w:lineRule="auto"/>
        <w:jc w:val="left"/>
      </w:pPr>
      <w:r>
        <w:rPr>
          <w:rFonts w:ascii="Times New Roman" w:hAnsi="Times New Roman" w:cs="Times New Roman"/>
          <w:b w:val="0"/>
          <w:i w:val="0"/>
          <w:sz w:val="22"/>
        </w:rPr>
        <w:t>Portal-layer AI usage is advisory (A1) and constraining (A2) only: A1 (Groq → Ollama → static templates) generates inbox titles, summaries, and assistant chat; A2 (local models) performs on-device defect detection and intent extraction; all irreversible actions pass through the Governor (A4) — see Section 15. No portal component holds autonomous execution authority.</w:t>
      </w:r>
    </w:p>
    <w:p>
      <w:pPr>
        <w:keepNext/>
        <w:spacing w:before="240" w:after="100"/>
        <w:outlineLvl w:val="1"/>
      </w:pPr>
      <w:r>
        <w:rPr>
          <w:rFonts w:ascii="Arial" w:hAnsi="Arial" w:cs="Arial"/>
          <w:b/>
          <w:i w:val="0"/>
          <w:color w:val="2E528F"/>
          <w:sz w:val="26"/>
        </w:rPr>
        <w:t>16.2 Smart Inbox</w:t>
      </w:r>
    </w:p>
    <w:p>
      <w:pPr>
        <w:keepNext/>
        <w:spacing w:before="180" w:after="80"/>
        <w:outlineLvl w:val="2"/>
      </w:pPr>
      <w:r>
        <w:rPr>
          <w:rFonts w:ascii="Arial" w:hAnsi="Arial" w:cs="Arial"/>
          <w:b/>
          <w:i w:val="0"/>
          <w:color w:val="333333"/>
          <w:sz w:val="23"/>
        </w:rPr>
        <w:t>16.2.1 Purpose &amp; Design Principles</w:t>
      </w:r>
    </w:p>
    <w:p>
      <w:pPr>
        <w:spacing w:after="80" w:line="293" w:lineRule="auto"/>
        <w:jc w:val="left"/>
      </w:pPr>
      <w:r>
        <w:rPr>
          <w:rFonts w:ascii="Times New Roman" w:hAnsi="Times New Roman" w:cs="Times New Roman"/>
          <w:b w:val="0"/>
          <w:i w:val="0"/>
          <w:sz w:val="22"/>
        </w:rPr>
        <w:t>The Smart Inbox is the default landing page for every authenticated user across all portals. It shows a prioritised action feed that tells the user exactly what to do next, with a Recommended Actions Widget at the top for one-click execution of the single most important task.</w:t>
      </w:r>
    </w:p>
    <w:p>
      <w:pPr>
        <w:spacing w:after="80" w:line="293" w:lineRule="auto"/>
        <w:jc w:val="left"/>
      </w:pPr>
      <w:r>
        <w:rPr>
          <w:rFonts w:ascii="Times New Roman" w:hAnsi="Times New Roman" w:cs="Times New Roman"/>
          <w:b w:val="0"/>
          <w:i w:val="0"/>
          <w:sz w:val="22"/>
        </w:rPr>
        <w:t>Core principles:</w:t>
      </w:r>
    </w:p>
    <w:p>
      <w:pPr>
        <w:spacing w:after="80" w:line="293" w:lineRule="auto"/>
        <w:ind w:left="283"/>
        <w:jc w:val="left"/>
      </w:pPr>
      <w:r>
        <w:rPr>
          <w:rFonts w:ascii="Times New Roman" w:hAnsi="Times New Roman" w:cs="Times New Roman"/>
          <w:b w:val="0"/>
          <w:i w:val="0"/>
          <w:sz w:val="22"/>
        </w:rPr>
        <w:t>- Action-first, never information-first — users see only what requires immediate attention.</w:t>
      </w:r>
    </w:p>
    <w:p>
      <w:pPr>
        <w:spacing w:after="80" w:line="293" w:lineRule="auto"/>
        <w:ind w:left="283"/>
        <w:jc w:val="left"/>
      </w:pPr>
      <w:r>
        <w:rPr>
          <w:rFonts w:ascii="Times New Roman" w:hAnsi="Times New Roman" w:cs="Times New Roman"/>
          <w:b w:val="0"/>
          <w:i w:val="0"/>
          <w:sz w:val="22"/>
        </w:rPr>
        <w:t>- Trade-centric — items link to USTNs, financing agreements, or distressed lots.</w:t>
      </w:r>
    </w:p>
    <w:p>
      <w:pPr>
        <w:spacing w:after="80" w:line="293" w:lineRule="auto"/>
        <w:ind w:left="283"/>
        <w:jc w:val="left"/>
      </w:pPr>
      <w:r>
        <w:rPr>
          <w:rFonts w:ascii="Times New Roman" w:hAnsi="Times New Roman" w:cs="Times New Roman"/>
          <w:b w:val="0"/>
          <w:i w:val="0"/>
          <w:sz w:val="22"/>
        </w:rPr>
        <w:t>- Role-adaptive — items are derived from the user's permissions, trader mode (and active</w:t>
      </w:r>
    </w:p>
    <w:p>
      <w:pPr>
        <w:spacing w:after="80" w:line="293" w:lineRule="auto"/>
        <w:jc w:val="left"/>
      </w:pPr>
      <w:r>
        <w:rPr>
          <w:rFonts w:ascii="Times New Roman" w:hAnsi="Times New Roman" w:cs="Times New Roman"/>
          <w:b w:val="0"/>
          <w:i w:val="0"/>
          <w:sz w:val="22"/>
        </w:rPr>
        <w:t>dual-mode context: Buyer or Seller), and open obligations.</w:t>
      </w:r>
    </w:p>
    <w:p>
      <w:pPr>
        <w:spacing w:after="80" w:line="293" w:lineRule="auto"/>
        <w:ind w:left="283"/>
        <w:jc w:val="left"/>
      </w:pPr>
      <w:r>
        <w:rPr>
          <w:rFonts w:ascii="Times New Roman" w:hAnsi="Times New Roman" w:cs="Times New Roman"/>
          <w:b w:val="0"/>
          <w:i w:val="0"/>
          <w:sz w:val="22"/>
        </w:rPr>
        <w:t>- Prioritised — the urgency score is computed deterministically (A4) using rules that incorporate</w:t>
      </w:r>
    </w:p>
    <w:p>
      <w:pPr>
        <w:spacing w:after="80" w:line="293" w:lineRule="auto"/>
        <w:jc w:val="left"/>
      </w:pPr>
      <w:r>
        <w:rPr>
          <w:rFonts w:ascii="Times New Roman" w:hAnsi="Times New Roman" w:cs="Times New Roman"/>
          <w:b w:val="0"/>
          <w:i w:val="0"/>
          <w:sz w:val="22"/>
        </w:rPr>
        <w:t>deadlines, SLAs, and risk signals. AI (Groq/Ollama) generates the title and description after the score is known — AI never sets the priority.</w:t>
      </w:r>
    </w:p>
    <w:p>
      <w:pPr>
        <w:spacing w:after="80" w:line="293" w:lineRule="auto"/>
        <w:ind w:left="283"/>
        <w:jc w:val="left"/>
      </w:pPr>
      <w:r>
        <w:rPr>
          <w:rFonts w:ascii="Times New Roman" w:hAnsi="Times New Roman" w:cs="Times New Roman"/>
          <w:b w:val="0"/>
          <w:i w:val="0"/>
          <w:sz w:val="22"/>
        </w:rPr>
        <w:t>- Dismissable &amp; snoozable — users can snooze (2h, 4h, 8h, 24h) or permanently dismiss items;</w:t>
      </w:r>
    </w:p>
    <w:p>
      <w:pPr>
        <w:spacing w:after="80" w:line="293" w:lineRule="auto"/>
        <w:jc w:val="left"/>
      </w:pPr>
      <w:r>
        <w:rPr>
          <w:rFonts w:ascii="Times New Roman" w:hAnsi="Times New Roman" w:cs="Times New Roman"/>
          <w:b w:val="0"/>
          <w:i w:val="0"/>
          <w:sz w:val="22"/>
        </w:rPr>
        <w:t>actions sync across devices via NATS.</w:t>
      </w:r>
    </w:p>
    <w:p>
      <w:pPr>
        <w:spacing w:after="80" w:line="293" w:lineRule="auto"/>
        <w:ind w:left="283"/>
        <w:jc w:val="left"/>
      </w:pPr>
      <w:r>
        <w:rPr>
          <w:rFonts w:ascii="Times New Roman" w:hAnsi="Times New Roman" w:cs="Times New Roman"/>
          <w:b w:val="0"/>
          <w:i w:val="0"/>
          <w:sz w:val="22"/>
        </w:rPr>
        <w:t>- Non-marketplace — the inbox never suggests unknown counterparties or unsolicited trades.</w:t>
      </w:r>
    </w:p>
    <w:p>
      <w:pPr>
        <w:spacing w:after="80" w:line="293" w:lineRule="auto"/>
        <w:ind w:left="283"/>
        <w:jc w:val="left"/>
      </w:pPr>
      <w:r>
        <w:rPr>
          <w:rFonts w:ascii="Times New Roman" w:hAnsi="Times New Roman" w:cs="Times New Roman"/>
          <w:b w:val="0"/>
          <w:i w:val="0"/>
          <w:sz w:val="22"/>
        </w:rPr>
        <w:t>- Multi-shipment aware — items for multi-shipment contracts appear per shipment when that</w:t>
      </w:r>
    </w:p>
    <w:p>
      <w:pPr>
        <w:spacing w:after="80" w:line="293" w:lineRule="auto"/>
        <w:jc w:val="left"/>
      </w:pPr>
      <w:r>
        <w:rPr>
          <w:rFonts w:ascii="Times New Roman" w:hAnsi="Times New Roman" w:cs="Times New Roman"/>
          <w:b w:val="0"/>
          <w:i w:val="0"/>
          <w:sz w:val="22"/>
        </w:rPr>
        <w:t>specific shipment is pending action.</w:t>
      </w:r>
    </w:p>
    <w:p>
      <w:pPr>
        <w:spacing w:after="80" w:line="293" w:lineRule="auto"/>
        <w:ind w:left="283"/>
        <w:jc w:val="left"/>
      </w:pPr>
      <w:r>
        <w:rPr>
          <w:rFonts w:ascii="Times New Roman" w:hAnsi="Times New Roman" w:cs="Times New Roman"/>
          <w:b w:val="0"/>
          <w:i w:val="0"/>
          <w:sz w:val="22"/>
        </w:rPr>
        <w:t>- Financing aware — financiers see bids pending, margin calls, repayment reminders, and</w:t>
      </w:r>
    </w:p>
    <w:p>
      <w:pPr>
        <w:spacing w:after="80" w:line="293" w:lineRule="auto"/>
        <w:jc w:val="left"/>
      </w:pPr>
      <w:r>
        <w:rPr>
          <w:rFonts w:ascii="Times New Roman" w:hAnsi="Times New Roman" w:cs="Times New Roman"/>
          <w:b w:val="0"/>
          <w:i w:val="0"/>
          <w:sz w:val="22"/>
        </w:rPr>
        <w:t>co-financing opportunities.</w:t>
      </w:r>
    </w:p>
    <w:p>
      <w:pPr>
        <w:spacing w:after="80" w:line="293" w:lineRule="auto"/>
        <w:ind w:left="283"/>
        <w:jc w:val="left"/>
      </w:pPr>
      <w:r>
        <w:rPr>
          <w:rFonts w:ascii="Times New Roman" w:hAnsi="Times New Roman" w:cs="Times New Roman"/>
          <w:b w:val="0"/>
          <w:i w:val="0"/>
          <w:sz w:val="22"/>
        </w:rPr>
        <w:t>- Distressed aware — sellers see outreach responses and buyer offers; buyers see distressed</w:t>
      </w:r>
    </w:p>
    <w:p>
      <w:pPr>
        <w:spacing w:after="80" w:line="293" w:lineRule="auto"/>
        <w:jc w:val="left"/>
      </w:pPr>
      <w:r>
        <w:rPr>
          <w:rFonts w:ascii="Times New Roman" w:hAnsi="Times New Roman" w:cs="Times New Roman"/>
          <w:b w:val="0"/>
          <w:i w:val="0"/>
          <w:sz w:val="22"/>
        </w:rPr>
        <w:t>listings from saved contacts.</w:t>
      </w:r>
    </w:p>
    <w:p>
      <w:pPr>
        <w:spacing w:after="80" w:line="293" w:lineRule="auto"/>
        <w:ind w:left="283"/>
        <w:jc w:val="left"/>
      </w:pPr>
      <w:r>
        <w:rPr>
          <w:rFonts w:ascii="Times New Roman" w:hAnsi="Times New Roman" w:cs="Times New Roman"/>
          <w:b w:val="0"/>
          <w:i w:val="0"/>
          <w:sz w:val="22"/>
        </w:rPr>
        <w:t>- Dual-mode aware — when the toggle is set to Buyer, the inbox shows only buyer-centric items;</w:t>
      </w:r>
    </w:p>
    <w:p>
      <w:pPr>
        <w:spacing w:after="80" w:line="293" w:lineRule="auto"/>
        <w:jc w:val="left"/>
      </w:pPr>
      <w:r>
        <w:rPr>
          <w:rFonts w:ascii="Times New Roman" w:hAnsi="Times New Roman" w:cs="Times New Roman"/>
          <w:b w:val="0"/>
          <w:i w:val="0"/>
          <w:sz w:val="22"/>
        </w:rPr>
        <w:t>switching to Seller immediately refreshes and shows seller-centric items.</w:t>
      </w:r>
    </w:p>
    <w:p>
      <w:pPr>
        <w:spacing w:after="80" w:line="293" w:lineRule="auto"/>
        <w:jc w:val="left"/>
      </w:pPr>
      <w:r>
        <w:rPr>
          <w:rFonts w:ascii="Times New Roman" w:hAnsi="Times New Roman" w:cs="Times New Roman"/>
          <w:b w:val="0"/>
          <w:i w:val="0"/>
          <w:sz w:val="22"/>
        </w:rPr>
        <w:t>AI integration: A1 (Groq, with Ollama fallback) generates item titles, descriptions, and the AI Summary Card after the deterministic score is computed; A4 (OPA + WasmEdge) computes the score.</w:t>
      </w:r>
    </w:p>
    <w:p>
      <w:pPr>
        <w:keepNext/>
        <w:spacing w:before="180" w:after="80"/>
        <w:outlineLvl w:val="2"/>
      </w:pPr>
      <w:r>
        <w:rPr>
          <w:rFonts w:ascii="Arial" w:hAnsi="Arial" w:cs="Arial"/>
          <w:b/>
          <w:i w:val="0"/>
          <w:color w:val="333333"/>
          <w:sz w:val="23"/>
        </w:rPr>
        <w:t>16.2.2 Inbox Item Structure</w:t>
      </w:r>
    </w:p>
    <w:p>
      <w:pPr>
        <w:spacing w:after="80" w:line="293" w:lineRule="auto"/>
        <w:jc w:val="left"/>
      </w:pPr>
      <w:r>
        <w:rPr>
          <w:rFonts w:ascii="Times New Roman" w:hAnsi="Times New Roman" w:cs="Times New Roman"/>
          <w:b w:val="0"/>
          <w:i w:val="0"/>
          <w:sz w:val="22"/>
        </w:rPr>
        <w:t>Each item is a governed instruction rendered in a fixed four-part structure — WHAT, WHY, DEADLINE, ACTION — persisted in `inbox_items` (Section 17):</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Part</w:t>
            </w:r>
          </w:p>
        </w:tc>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Example</w:t>
            </w:r>
          </w:p>
        </w:tc>
      </w:tr>
      <w:tr>
        <w:tc>
          <w:tcPr>
            <w:tcW w:type="dxa" w:w="3213"/>
          </w:tcPr>
          <w:p>
            <w:pPr>
              <w:spacing w:after="20" w:before="20" w:line="240" w:lineRule="auto"/>
            </w:pPr>
            <w:r/>
            <w:r>
              <w:rPr>
                <w:rFonts w:ascii="Arial" w:hAnsi="Arial" w:cs="Arial"/>
                <w:b w:val="0"/>
                <w:i w:val="0"/>
                <w:sz w:val="17"/>
              </w:rPr>
              <w:t>WHAT</w:t>
            </w:r>
          </w:p>
        </w:tc>
        <w:tc>
          <w:tcPr>
            <w:tcW w:type="dxa" w:w="3213"/>
          </w:tcPr>
          <w:p>
            <w:pPr>
              <w:spacing w:after="20" w:before="20" w:line="240" w:lineRule="auto"/>
            </w:pPr>
            <w:r/>
            <w:r>
              <w:rPr>
                <w:rFonts w:ascii="Arial" w:hAnsi="Arial" w:cs="Arial"/>
                <w:b w:val="0"/>
                <w:i w:val="0"/>
                <w:sz w:val="17"/>
              </w:rPr>
              <w:t>`title`</w:t>
            </w:r>
          </w:p>
        </w:tc>
        <w:tc>
          <w:tcPr>
            <w:tcW w:type="dxa" w:w="3213"/>
          </w:tcPr>
          <w:p>
            <w:pPr>
              <w:spacing w:after="20" w:before="20" w:line="240" w:lineRule="auto"/>
            </w:pPr>
            <w:r/>
            <w:r>
              <w:rPr>
                <w:rFonts w:ascii="Arial" w:hAnsi="Arial" w:cs="Arial"/>
                <w:b w:val="0"/>
                <w:i w:val="0"/>
                <w:sz w:val="17"/>
              </w:rPr>
              <w:t>"Sign contract before 14:00 UTC"</w:t>
            </w:r>
          </w:p>
        </w:tc>
      </w:tr>
      <w:tr>
        <w:tc>
          <w:tcPr>
            <w:tcW w:type="dxa" w:w="3213"/>
          </w:tcPr>
          <w:p>
            <w:pPr>
              <w:spacing w:after="20" w:before="20" w:line="240" w:lineRule="auto"/>
            </w:pPr>
            <w:r/>
            <w:r>
              <w:rPr>
                <w:rFonts w:ascii="Arial" w:hAnsi="Arial" w:cs="Arial"/>
                <w:b w:val="0"/>
                <w:i w:val="0"/>
                <w:sz w:val="17"/>
              </w:rPr>
              <w:t>WHY</w:t>
            </w:r>
          </w:p>
        </w:tc>
        <w:tc>
          <w:tcPr>
            <w:tcW w:type="dxa" w:w="3213"/>
          </w:tcPr>
          <w:p>
            <w:pPr>
              <w:spacing w:after="20" w:before="20" w:line="240" w:lineRule="auto"/>
            </w:pPr>
            <w:r/>
            <w:r>
              <w:rPr>
                <w:rFonts w:ascii="Arial" w:hAnsi="Arial" w:cs="Arial"/>
                <w:b w:val="0"/>
                <w:i w:val="0"/>
                <w:sz w:val="17"/>
              </w:rPr>
              <w:t>`description`</w:t>
            </w:r>
          </w:p>
        </w:tc>
        <w:tc>
          <w:tcPr>
            <w:tcW w:type="dxa" w:w="3213"/>
          </w:tcPr>
          <w:p>
            <w:pPr>
              <w:spacing w:after="20" w:before="20" w:line="240" w:lineRule="auto"/>
            </w:pPr>
            <w:r/>
            <w:r>
              <w:rPr>
                <w:rFonts w:ascii="Arial" w:hAnsi="Arial" w:cs="Arial"/>
                <w:b w:val="0"/>
                <w:i w:val="0"/>
                <w:sz w:val="17"/>
              </w:rPr>
              <w:t>"The seller has paid the SGTX fee. Your signature will lock the trade."</w:t>
            </w:r>
          </w:p>
        </w:tc>
      </w:tr>
      <w:tr>
        <w:tc>
          <w:tcPr>
            <w:tcW w:type="dxa" w:w="3213"/>
          </w:tcPr>
          <w:p>
            <w:pPr>
              <w:spacing w:after="20" w:before="20" w:line="240" w:lineRule="auto"/>
            </w:pPr>
            <w:r/>
            <w:r>
              <w:rPr>
                <w:rFonts w:ascii="Arial" w:hAnsi="Arial" w:cs="Arial"/>
                <w:b w:val="0"/>
                <w:i w:val="0"/>
                <w:sz w:val="17"/>
              </w:rPr>
              <w:t>DEADLINE</w:t>
            </w:r>
          </w:p>
        </w:tc>
        <w:tc>
          <w:tcPr>
            <w:tcW w:type="dxa" w:w="3213"/>
          </w:tcPr>
          <w:p>
            <w:pPr>
              <w:spacing w:after="20" w:before="20" w:line="240" w:lineRule="auto"/>
            </w:pPr>
            <w:r/>
            <w:r>
              <w:rPr>
                <w:rFonts w:ascii="Arial" w:hAnsi="Arial" w:cs="Arial"/>
                <w:b w:val="0"/>
                <w:i w:val="0"/>
                <w:sz w:val="17"/>
              </w:rPr>
              <w:t>`deadline`</w:t>
            </w:r>
          </w:p>
        </w:tc>
        <w:tc>
          <w:tcPr>
            <w:tcW w:type="dxa" w:w="3213"/>
          </w:tcPr>
          <w:p>
            <w:pPr>
              <w:spacing w:after="20" w:before="20" w:line="240" w:lineRule="auto"/>
            </w:pPr>
            <w:r/>
            <w:r>
              <w:rPr>
                <w:rFonts w:ascii="Arial" w:hAnsi="Arial" w:cs="Arial"/>
                <w:b w:val="0"/>
                <w:i w:val="0"/>
                <w:sz w:val="17"/>
              </w:rPr>
              <w:t>2026-06-14T14:00:00Z</w:t>
            </w:r>
          </w:p>
        </w:tc>
      </w:tr>
      <w:tr>
        <w:tc>
          <w:tcPr>
            <w:tcW w:type="dxa" w:w="3213"/>
          </w:tcPr>
          <w:p>
            <w:pPr>
              <w:spacing w:after="20" w:before="20" w:line="240" w:lineRule="auto"/>
            </w:pPr>
            <w:r/>
            <w:r>
              <w:rPr>
                <w:rFonts w:ascii="Arial" w:hAnsi="Arial" w:cs="Arial"/>
                <w:b w:val="0"/>
                <w:i w:val="0"/>
                <w:sz w:val="17"/>
              </w:rPr>
              <w:t>ACTION</w:t>
            </w:r>
          </w:p>
        </w:tc>
        <w:tc>
          <w:tcPr>
            <w:tcW w:type="dxa" w:w="3213"/>
          </w:tcPr>
          <w:p>
            <w:pPr>
              <w:spacing w:after="20" w:before="20" w:line="240" w:lineRule="auto"/>
            </w:pPr>
            <w:r/>
            <w:r>
              <w:rPr>
                <w:rFonts w:ascii="Arial" w:hAnsi="Arial" w:cs="Arial"/>
                <w:b w:val="0"/>
                <w:i w:val="0"/>
                <w:sz w:val="17"/>
              </w:rPr>
              <w:t>`action_link` (plus `action_label` in the API response)</w:t>
            </w:r>
          </w:p>
        </w:tc>
        <w:tc>
          <w:tcPr>
            <w:tcW w:type="dxa" w:w="3213"/>
          </w:tcPr>
          <w:p>
            <w:pPr>
              <w:spacing w:after="20" w:before="20" w:line="240" w:lineRule="auto"/>
            </w:pPr>
            <w:r/>
            <w:r>
              <w:rPr>
                <w:rFonts w:ascii="Arial" w:hAnsi="Arial" w:cs="Arial"/>
                <w:b w:val="0"/>
                <w:i w:val="0"/>
                <w:sz w:val="17"/>
              </w:rPr>
              <w:t>`/trade/{id}/contract/sign`</w:t>
            </w:r>
          </w:p>
        </w:tc>
      </w:tr>
    </w:tbl>
    <w:p>
      <w:pPr>
        <w:spacing w:after="12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inbox_items: canonical definition in Section 17.17;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inbox_history: canonical definition in Section 17.17;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inbox_preferences: canonical definition in Section 17.17;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16.2.3 Urgency Scoring Model (Deterministic, A4)</w:t>
      </w:r>
    </w:p>
    <w:p>
      <w:pPr>
        <w:spacing w:after="80" w:line="293" w:lineRule="auto"/>
        <w:jc w:val="left"/>
      </w:pPr>
      <w:r>
        <w:rPr>
          <w:rFonts w:ascii="Times New Roman" w:hAnsi="Times New Roman" w:cs="Times New Roman"/>
          <w:b w:val="0"/>
          <w:i w:val="0"/>
          <w:sz w:val="22"/>
        </w:rPr>
        <w:t>The inbox-service computes a base score using rules and then applies role-specific modifiers. Scores are recalculated whenever the underlying state changes (e.g., deadline approaches, new offer received). The scoring rules are hot-reloadable via OPA policy snippets.</w:t>
      </w:r>
    </w:p>
    <w:p>
      <w:pPr>
        <w:spacing w:after="80" w:line="293" w:lineRule="auto"/>
        <w:jc w:val="left"/>
      </w:pPr>
      <w:r>
        <w:rPr>
          <w:rFonts w:ascii="Times New Roman" w:hAnsi="Times New Roman" w:cs="Times New Roman"/>
          <w:b w:val="0"/>
          <w:i w:val="0"/>
          <w:sz w:val="22"/>
        </w:rPr>
        <w:t>Priority bands: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Band</w:t>
            </w:r>
          </w:p>
        </w:tc>
        <w:tc>
          <w:tcPr>
            <w:tcW w:type="dxa" w:w="3213"/>
            <w:shd w:val="clear" w:fill="D9E2F3"/>
          </w:tcPr>
          <w:p>
            <w:pPr>
              <w:spacing w:after="20" w:before="20" w:line="240" w:lineRule="auto"/>
            </w:pPr>
            <w:r/>
            <w:r>
              <w:rPr>
                <w:rFonts w:ascii="Arial" w:hAnsi="Arial" w:cs="Arial"/>
                <w:b/>
                <w:i w:val="0"/>
                <w:sz w:val="18"/>
              </w:rPr>
              <w:t>Score Range</w:t>
            </w:r>
          </w:p>
        </w:tc>
        <w:tc>
          <w:tcPr>
            <w:tcW w:type="dxa" w:w="3213"/>
            <w:shd w:val="clear" w:fill="D9E2F3"/>
          </w:tcPr>
          <w:p>
            <w:pPr>
              <w:spacing w:after="20" w:before="20" w:line="240" w:lineRule="auto"/>
            </w:pPr>
            <w:r/>
            <w:r>
              <w:rPr>
                <w:rFonts w:ascii="Arial" w:hAnsi="Arial" w:cs="Arial"/>
                <w:b/>
                <w:i w:val="0"/>
                <w:sz w:val="18"/>
              </w:rPr>
              <w:t>Rendering</w:t>
            </w:r>
          </w:p>
        </w:tc>
      </w:tr>
      <w:tr>
        <w:tc>
          <w:tcPr>
            <w:tcW w:type="dxa" w:w="3213"/>
          </w:tcPr>
          <w:p>
            <w:pPr>
              <w:spacing w:after="20" w:before="20" w:line="240" w:lineRule="auto"/>
            </w:pPr>
            <w:r/>
            <w:r>
              <w:rPr>
                <w:rFonts w:ascii="Arial" w:hAnsi="Arial" w:cs="Arial"/>
                <w:b w:val="0"/>
                <w:i w:val="0"/>
                <w:sz w:val="17"/>
              </w:rPr>
              <w:t>HIGH</w:t>
            </w:r>
          </w:p>
        </w:tc>
        <w:tc>
          <w:tcPr>
            <w:tcW w:type="dxa" w:w="3213"/>
          </w:tcPr>
          <w:p>
            <w:pPr>
              <w:spacing w:after="20" w:before="20" w:line="240" w:lineRule="auto"/>
            </w:pPr>
            <w:r/>
            <w:r>
              <w:rPr>
                <w:rFonts w:ascii="Arial" w:hAnsi="Arial" w:cs="Arial"/>
                <w:b w:val="0"/>
                <w:i w:val="0"/>
                <w:sz w:val="17"/>
              </w:rPr>
              <w:t>80–100</w:t>
            </w:r>
          </w:p>
        </w:tc>
        <w:tc>
          <w:tcPr>
            <w:tcW w:type="dxa" w:w="3213"/>
          </w:tcPr>
          <w:p>
            <w:pPr>
              <w:spacing w:after="20" w:before="20" w:line="240" w:lineRule="auto"/>
            </w:pPr>
            <w:r/>
            <w:r>
              <w:rPr>
                <w:rFonts w:ascii="Arial" w:hAnsi="Arial" w:cs="Arial"/>
                <w:b w:val="0"/>
                <w:i w:val="0"/>
                <w:sz w:val="17"/>
              </w:rPr>
              <w:t>Red-accented band, expanded by default</w:t>
            </w:r>
          </w:p>
        </w:tc>
      </w:tr>
      <w:tr>
        <w:tc>
          <w:tcPr>
            <w:tcW w:type="dxa" w:w="3213"/>
          </w:tcPr>
          <w:p>
            <w:pPr>
              <w:spacing w:after="20" w:before="20" w:line="240" w:lineRule="auto"/>
            </w:pPr>
            <w:r/>
            <w:r>
              <w:rPr>
                <w:rFonts w:ascii="Arial" w:hAnsi="Arial" w:cs="Arial"/>
                <w:b w:val="0"/>
                <w:i w:val="0"/>
                <w:sz w:val="17"/>
              </w:rPr>
              <w:t>MEDIUM</w:t>
            </w:r>
          </w:p>
        </w:tc>
        <w:tc>
          <w:tcPr>
            <w:tcW w:type="dxa" w:w="3213"/>
          </w:tcPr>
          <w:p>
            <w:pPr>
              <w:spacing w:after="20" w:before="20" w:line="240" w:lineRule="auto"/>
            </w:pPr>
            <w:r/>
            <w:r>
              <w:rPr>
                <w:rFonts w:ascii="Arial" w:hAnsi="Arial" w:cs="Arial"/>
                <w:b w:val="0"/>
                <w:i w:val="0"/>
                <w:sz w:val="17"/>
              </w:rPr>
              <w:t>50–79</w:t>
            </w:r>
          </w:p>
        </w:tc>
        <w:tc>
          <w:tcPr>
            <w:tcW w:type="dxa" w:w="3213"/>
          </w:tcPr>
          <w:p>
            <w:pPr>
              <w:spacing w:after="20" w:before="20" w:line="240" w:lineRule="auto"/>
            </w:pPr>
            <w:r/>
            <w:r>
              <w:rPr>
                <w:rFonts w:ascii="Arial" w:hAnsi="Arial" w:cs="Arial"/>
                <w:b w:val="0"/>
                <w:i w:val="0"/>
                <w:sz w:val="17"/>
              </w:rPr>
              <w:t>Standard band, expanded by default</w:t>
            </w:r>
          </w:p>
        </w:tc>
      </w:tr>
      <w:tr>
        <w:tc>
          <w:tcPr>
            <w:tcW w:type="dxa" w:w="3213"/>
          </w:tcPr>
          <w:p>
            <w:pPr>
              <w:spacing w:after="20" w:before="20" w:line="240" w:lineRule="auto"/>
            </w:pPr>
            <w:r/>
            <w:r>
              <w:rPr>
                <w:rFonts w:ascii="Arial" w:hAnsi="Arial" w:cs="Arial"/>
                <w:b w:val="0"/>
                <w:i w:val="0"/>
                <w:sz w:val="17"/>
              </w:rPr>
              <w:t>LOW</w:t>
            </w:r>
          </w:p>
        </w:tc>
        <w:tc>
          <w:tcPr>
            <w:tcW w:type="dxa" w:w="3213"/>
          </w:tcPr>
          <w:p>
            <w:pPr>
              <w:spacing w:after="20" w:before="20" w:line="240" w:lineRule="auto"/>
            </w:pPr>
            <w:r/>
            <w:r>
              <w:rPr>
                <w:rFonts w:ascii="Arial" w:hAnsi="Arial" w:cs="Arial"/>
                <w:b w:val="0"/>
                <w:i w:val="0"/>
                <w:sz w:val="17"/>
              </w:rPr>
              <w:t>0–49</w:t>
            </w:r>
          </w:p>
        </w:tc>
        <w:tc>
          <w:tcPr>
            <w:tcW w:type="dxa" w:w="3213"/>
          </w:tcPr>
          <w:p>
            <w:pPr>
              <w:spacing w:after="20" w:before="20" w:line="240" w:lineRule="auto"/>
            </w:pPr>
            <w:r/>
            <w:r>
              <w:rPr>
                <w:rFonts w:ascii="Arial" w:hAnsi="Arial" w:cs="Arial"/>
                <w:b w:val="0"/>
                <w:i w:val="0"/>
                <w:sz w:val="17"/>
              </w:rPr>
              <w:t>Muted band, collapsed by default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Known canonical scores (deterministic outputs of the rule set):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Item</w:t>
            </w:r>
          </w:p>
        </w:tc>
        <w:tc>
          <w:tcPr>
            <w:tcW w:type="dxa" w:w="3213"/>
            <w:shd w:val="clear" w:fill="D9E2F3"/>
          </w:tcPr>
          <w:p>
            <w:pPr>
              <w:spacing w:after="20" w:before="20" w:line="240" w:lineRule="auto"/>
            </w:pPr>
            <w:r/>
            <w:r>
              <w:rPr>
                <w:rFonts w:ascii="Arial" w:hAnsi="Arial" w:cs="Arial"/>
                <w:b/>
                <w:i w:val="0"/>
                <w:sz w:val="18"/>
              </w:rPr>
              <w:t>Priority Score</w:t>
            </w:r>
          </w:p>
        </w:tc>
        <w:tc>
          <w:tcPr>
            <w:tcW w:type="dxa" w:w="3213"/>
            <w:shd w:val="clear" w:fill="D9E2F3"/>
          </w:tcPr>
          <w:p>
            <w:pPr>
              <w:spacing w:after="20" w:before="20" w:line="240" w:lineRule="auto"/>
            </w:pPr>
            <w:r/>
            <w:r>
              <w:rPr>
                <w:rFonts w:ascii="Arial" w:hAnsi="Arial" w:cs="Arial"/>
                <w:b/>
                <w:i w:val="0"/>
                <w:sz w:val="18"/>
              </w:rPr>
              <w:t>Band</w:t>
            </w:r>
          </w:p>
        </w:tc>
      </w:tr>
      <w:tr>
        <w:tc>
          <w:tcPr>
            <w:tcW w:type="dxa" w:w="3213"/>
          </w:tcPr>
          <w:p>
            <w:pPr>
              <w:spacing w:after="20" w:before="20" w:line="240" w:lineRule="auto"/>
            </w:pPr>
            <w:r/>
            <w:r>
              <w:rPr>
                <w:rFonts w:ascii="Arial" w:hAnsi="Arial" w:cs="Arial"/>
                <w:b w:val="0"/>
                <w:i w:val="0"/>
                <w:sz w:val="17"/>
              </w:rPr>
              <w:t>Draft recovery ("Continue draft trade request from [date]")</w:t>
            </w:r>
          </w:p>
        </w:tc>
        <w:tc>
          <w:tcPr>
            <w:tcW w:type="dxa" w:w="3213"/>
          </w:tcPr>
          <w:p>
            <w:pPr>
              <w:spacing w:after="20" w:before="20" w:line="240" w:lineRule="auto"/>
            </w:pPr>
            <w:r/>
            <w:r>
              <w:rPr>
                <w:rFonts w:ascii="Arial" w:hAnsi="Arial" w:cs="Arial"/>
                <w:b w:val="0"/>
                <w:i w:val="0"/>
                <w:sz w:val="17"/>
              </w:rPr>
              <w:t>30</w:t>
            </w:r>
          </w:p>
        </w:tc>
        <w:tc>
          <w:tcPr>
            <w:tcW w:type="dxa" w:w="3213"/>
          </w:tcPr>
          <w:p>
            <w:pPr>
              <w:spacing w:after="20" w:before="20" w:line="240" w:lineRule="auto"/>
            </w:pPr>
            <w:r/>
            <w:r>
              <w:rPr>
                <w:rFonts w:ascii="Arial" w:hAnsi="Arial" w:cs="Arial"/>
                <w:b w:val="0"/>
                <w:i w:val="0"/>
                <w:sz w:val="17"/>
              </w:rPr>
              <w:t>Low</w:t>
            </w:r>
          </w:p>
        </w:tc>
      </w:tr>
      <w:tr>
        <w:tc>
          <w:tcPr>
            <w:tcW w:type="dxa" w:w="3213"/>
          </w:tcPr>
          <w:p>
            <w:pPr>
              <w:spacing w:after="20" w:before="20" w:line="240" w:lineRule="auto"/>
            </w:pPr>
            <w:r/>
            <w:r>
              <w:rPr>
                <w:rFonts w:ascii="Arial" w:hAnsi="Arial" w:cs="Arial"/>
                <w:b w:val="0"/>
                <w:i w:val="0"/>
                <w:sz w:val="17"/>
              </w:rPr>
              <w:t>Predictive trade insight (Trade Memory Layer, daily 02:00 UTC)</w:t>
            </w:r>
          </w:p>
        </w:tc>
        <w:tc>
          <w:tcPr>
            <w:tcW w:type="dxa" w:w="3213"/>
          </w:tcPr>
          <w:p>
            <w:pPr>
              <w:spacing w:after="20" w:before="20" w:line="240" w:lineRule="auto"/>
            </w:pPr>
            <w:r/>
            <w:r>
              <w:rPr>
                <w:rFonts w:ascii="Arial" w:hAnsi="Arial" w:cs="Arial"/>
                <w:b w:val="0"/>
                <w:i w:val="0"/>
                <w:sz w:val="17"/>
              </w:rPr>
              <w:t>40</w:t>
            </w:r>
          </w:p>
        </w:tc>
        <w:tc>
          <w:tcPr>
            <w:tcW w:type="dxa" w:w="3213"/>
          </w:tcPr>
          <w:p>
            <w:pPr>
              <w:spacing w:after="20" w:before="20" w:line="240" w:lineRule="auto"/>
            </w:pPr>
            <w:r/>
            <w:r>
              <w:rPr>
                <w:rFonts w:ascii="Arial" w:hAnsi="Arial" w:cs="Arial"/>
                <w:b w:val="0"/>
                <w:i w:val="0"/>
                <w:sz w:val="17"/>
              </w:rPr>
              <w:t>Low</w:t>
            </w:r>
          </w:p>
        </w:tc>
      </w:tr>
      <w:tr>
        <w:tc>
          <w:tcPr>
            <w:tcW w:type="dxa" w:w="3213"/>
          </w:tcPr>
          <w:p>
            <w:pPr>
              <w:spacing w:after="20" w:before="20" w:line="240" w:lineRule="auto"/>
            </w:pPr>
            <w:r/>
            <w:r>
              <w:rPr>
                <w:rFonts w:ascii="Arial" w:hAnsi="Arial" w:cs="Arial"/>
                <w:b w:val="0"/>
                <w:i w:val="0"/>
                <w:sz w:val="17"/>
              </w:rPr>
              <w:t>Threat-intel summary (Admin)</w:t>
            </w:r>
          </w:p>
        </w:tc>
        <w:tc>
          <w:tcPr>
            <w:tcW w:type="dxa" w:w="3213"/>
          </w:tcPr>
          <w:p>
            <w:pPr>
              <w:spacing w:after="20" w:before="20" w:line="240" w:lineRule="auto"/>
            </w:pPr>
            <w:r/>
            <w:r>
              <w:rPr>
                <w:rFonts w:ascii="Arial" w:hAnsi="Arial" w:cs="Arial"/>
                <w:b w:val="0"/>
                <w:i w:val="0"/>
                <w:sz w:val="17"/>
              </w:rPr>
              <w:t>60</w:t>
            </w:r>
          </w:p>
        </w:tc>
        <w:tc>
          <w:tcPr>
            <w:tcW w:type="dxa" w:w="3213"/>
          </w:tcPr>
          <w:p>
            <w:pPr>
              <w:spacing w:after="20" w:before="20" w:line="240" w:lineRule="auto"/>
            </w:pPr>
            <w:r/>
            <w:r>
              <w:rPr>
                <w:rFonts w:ascii="Arial" w:hAnsi="Arial" w:cs="Arial"/>
                <w:b w:val="0"/>
                <w:i w:val="0"/>
                <w:sz w:val="17"/>
              </w:rPr>
              <w:t>Medium</w:t>
            </w:r>
          </w:p>
        </w:tc>
      </w:tr>
      <w:tr>
        <w:tc>
          <w:tcPr>
            <w:tcW w:type="dxa" w:w="3213"/>
          </w:tcPr>
          <w:p>
            <w:pPr>
              <w:spacing w:after="20" w:before="20" w:line="240" w:lineRule="auto"/>
            </w:pPr>
            <w:r/>
            <w:r>
              <w:rPr>
                <w:rFonts w:ascii="Arial" w:hAnsi="Arial" w:cs="Arial"/>
                <w:b w:val="0"/>
                <w:i w:val="0"/>
                <w:sz w:val="17"/>
              </w:rPr>
              <w:t>Pending trade request to seller</w:t>
            </w:r>
          </w:p>
        </w:tc>
        <w:tc>
          <w:tcPr>
            <w:tcW w:type="dxa" w:w="3213"/>
          </w:tcPr>
          <w:p>
            <w:pPr>
              <w:spacing w:after="20" w:before="20" w:line="240" w:lineRule="auto"/>
            </w:pPr>
            <w:r/>
            <w:r>
              <w:rPr>
                <w:rFonts w:ascii="Arial" w:hAnsi="Arial" w:cs="Arial"/>
                <w:b w:val="0"/>
                <w:i w:val="0"/>
                <w:sz w:val="17"/>
              </w:rPr>
              <w:t>75</w:t>
            </w:r>
          </w:p>
        </w:tc>
        <w:tc>
          <w:tcPr>
            <w:tcW w:type="dxa" w:w="3213"/>
          </w:tcPr>
          <w:p>
            <w:pPr>
              <w:spacing w:after="20" w:before="20" w:line="240" w:lineRule="auto"/>
            </w:pPr>
            <w:r/>
            <w:r>
              <w:rPr>
                <w:rFonts w:ascii="Arial" w:hAnsi="Arial" w:cs="Arial"/>
                <w:b w:val="0"/>
                <w:i w:val="0"/>
                <w:sz w:val="17"/>
              </w:rPr>
              <w:t>Medium</w:t>
            </w:r>
          </w:p>
        </w:tc>
      </w:tr>
      <w:tr>
        <w:tc>
          <w:tcPr>
            <w:tcW w:type="dxa" w:w="3213"/>
          </w:tcPr>
          <w:p>
            <w:pPr>
              <w:spacing w:after="20" w:before="20" w:line="240" w:lineRule="auto"/>
            </w:pPr>
            <w:r/>
            <w:r>
              <w:rPr>
                <w:rFonts w:ascii="Arial" w:hAnsi="Arial" w:cs="Arial"/>
                <w:b w:val="0"/>
                <w:i w:val="0"/>
                <w:sz w:val="17"/>
              </w:rPr>
              <w:t>Quote received by buyer</w:t>
            </w:r>
          </w:p>
        </w:tc>
        <w:tc>
          <w:tcPr>
            <w:tcW w:type="dxa" w:w="3213"/>
          </w:tcPr>
          <w:p>
            <w:pPr>
              <w:spacing w:after="20" w:before="20" w:line="240" w:lineRule="auto"/>
            </w:pPr>
            <w:r/>
            <w:r>
              <w:rPr>
                <w:rFonts w:ascii="Arial" w:hAnsi="Arial" w:cs="Arial"/>
                <w:b w:val="0"/>
                <w:i w:val="0"/>
                <w:sz w:val="17"/>
              </w:rPr>
              <w:t>75</w:t>
            </w:r>
          </w:p>
        </w:tc>
        <w:tc>
          <w:tcPr>
            <w:tcW w:type="dxa" w:w="3213"/>
          </w:tcPr>
          <w:p>
            <w:pPr>
              <w:spacing w:after="20" w:before="20" w:line="240" w:lineRule="auto"/>
            </w:pPr>
            <w:r/>
            <w:r>
              <w:rPr>
                <w:rFonts w:ascii="Arial" w:hAnsi="Arial" w:cs="Arial"/>
                <w:b w:val="0"/>
                <w:i w:val="0"/>
                <w:sz w:val="17"/>
              </w:rPr>
              <w:t>Medium</w:t>
            </w:r>
          </w:p>
        </w:tc>
      </w:tr>
      <w:tr>
        <w:tc>
          <w:tcPr>
            <w:tcW w:type="dxa" w:w="3213"/>
          </w:tcPr>
          <w:p>
            <w:pPr>
              <w:spacing w:after="20" w:before="20" w:line="240" w:lineRule="auto"/>
            </w:pPr>
            <w:r/>
            <w:r>
              <w:rPr>
                <w:rFonts w:ascii="Arial" w:hAnsi="Arial" w:cs="Arial"/>
                <w:b w:val="0"/>
                <w:i w:val="0"/>
                <w:sz w:val="17"/>
              </w:rPr>
              <w:t>Free-time expiry alert</w:t>
            </w:r>
          </w:p>
        </w:tc>
        <w:tc>
          <w:tcPr>
            <w:tcW w:type="dxa" w:w="3213"/>
          </w:tcPr>
          <w:p>
            <w:pPr>
              <w:spacing w:after="20" w:before="20" w:line="240" w:lineRule="auto"/>
            </w:pPr>
            <w:r/>
            <w:r>
              <w:rPr>
                <w:rFonts w:ascii="Arial" w:hAnsi="Arial" w:cs="Arial"/>
                <w:b w:val="0"/>
                <w:i w:val="0"/>
                <w:sz w:val="17"/>
              </w:rPr>
              <w:t>80</w:t>
            </w:r>
          </w:p>
        </w:tc>
        <w:tc>
          <w:tcPr>
            <w:tcW w:type="dxa" w:w="3213"/>
          </w:tcPr>
          <w:p>
            <w:pPr>
              <w:spacing w:after="20" w:before="20" w:line="240" w:lineRule="auto"/>
            </w:pPr>
            <w:r/>
            <w:r>
              <w:rPr>
                <w:rFonts w:ascii="Arial" w:hAnsi="Arial" w:cs="Arial"/>
                <w:b w:val="0"/>
                <w:i w:val="0"/>
                <w:sz w:val="17"/>
              </w:rPr>
              <w:t>High</w:t>
            </w:r>
          </w:p>
        </w:tc>
      </w:tr>
      <w:tr>
        <w:tc>
          <w:tcPr>
            <w:tcW w:type="dxa" w:w="3213"/>
          </w:tcPr>
          <w:p>
            <w:pPr>
              <w:spacing w:after="20" w:before="20" w:line="240" w:lineRule="auto"/>
            </w:pPr>
            <w:r/>
            <w:r>
              <w:rPr>
                <w:rFonts w:ascii="Arial" w:hAnsi="Arial" w:cs="Arial"/>
                <w:b w:val="0"/>
                <w:i w:val="0"/>
                <w:sz w:val="17"/>
              </w:rPr>
              <w:t>SLA incident credit notification</w:t>
            </w:r>
          </w:p>
        </w:tc>
        <w:tc>
          <w:tcPr>
            <w:tcW w:type="dxa" w:w="3213"/>
          </w:tcPr>
          <w:p>
            <w:pPr>
              <w:spacing w:after="20" w:before="20" w:line="240" w:lineRule="auto"/>
            </w:pPr>
            <w:r/>
            <w:r>
              <w:rPr>
                <w:rFonts w:ascii="Arial" w:hAnsi="Arial" w:cs="Arial"/>
                <w:b w:val="0"/>
                <w:i w:val="0"/>
                <w:sz w:val="17"/>
              </w:rPr>
              <w:t>85</w:t>
            </w:r>
          </w:p>
        </w:tc>
        <w:tc>
          <w:tcPr>
            <w:tcW w:type="dxa" w:w="3213"/>
          </w:tcPr>
          <w:p>
            <w:pPr>
              <w:spacing w:after="20" w:before="20" w:line="240" w:lineRule="auto"/>
            </w:pPr>
            <w:r/>
            <w:r>
              <w:rPr>
                <w:rFonts w:ascii="Arial" w:hAnsi="Arial" w:cs="Arial"/>
                <w:b w:val="0"/>
                <w:i w:val="0"/>
                <w:sz w:val="17"/>
              </w:rPr>
              <w:t>High</w:t>
            </w:r>
          </w:p>
        </w:tc>
      </w:tr>
      <w:tr>
        <w:tc>
          <w:tcPr>
            <w:tcW w:type="dxa" w:w="3213"/>
          </w:tcPr>
          <w:p>
            <w:pPr>
              <w:spacing w:after="20" w:before="20" w:line="240" w:lineRule="auto"/>
            </w:pPr>
            <w:r/>
            <w:r>
              <w:rPr>
                <w:rFonts w:ascii="Arial" w:hAnsi="Arial" w:cs="Arial"/>
                <w:b w:val="0"/>
                <w:i w:val="0"/>
                <w:sz w:val="17"/>
              </w:rPr>
              <w:t>Declassification of anonymous trade (government notification)</w:t>
            </w:r>
          </w:p>
        </w:tc>
        <w:tc>
          <w:tcPr>
            <w:tcW w:type="dxa" w:w="3213"/>
          </w:tcPr>
          <w:p>
            <w:pPr>
              <w:spacing w:after="20" w:before="20" w:line="240" w:lineRule="auto"/>
            </w:pPr>
            <w:r/>
            <w:r>
              <w:rPr>
                <w:rFonts w:ascii="Arial" w:hAnsi="Arial" w:cs="Arial"/>
                <w:b w:val="0"/>
                <w:i w:val="0"/>
                <w:sz w:val="17"/>
              </w:rPr>
              <w:t>85</w:t>
            </w:r>
          </w:p>
        </w:tc>
        <w:tc>
          <w:tcPr>
            <w:tcW w:type="dxa" w:w="3213"/>
          </w:tcPr>
          <w:p>
            <w:pPr>
              <w:spacing w:after="20" w:before="20" w:line="240" w:lineRule="auto"/>
            </w:pPr>
            <w:r/>
            <w:r>
              <w:rPr>
                <w:rFonts w:ascii="Arial" w:hAnsi="Arial" w:cs="Arial"/>
                <w:b w:val="0"/>
                <w:i w:val="0"/>
                <w:sz w:val="17"/>
              </w:rPr>
              <w:t>High</w:t>
            </w:r>
          </w:p>
        </w:tc>
      </w:tr>
      <w:tr>
        <w:tc>
          <w:tcPr>
            <w:tcW w:type="dxa" w:w="3213"/>
          </w:tcPr>
          <w:p>
            <w:pPr>
              <w:spacing w:after="20" w:before="20" w:line="240" w:lineRule="auto"/>
            </w:pPr>
            <w:r/>
            <w:r>
              <w:rPr>
                <w:rFonts w:ascii="Arial" w:hAnsi="Arial" w:cs="Arial"/>
                <w:b w:val="0"/>
                <w:i w:val="0"/>
                <w:sz w:val="17"/>
              </w:rPr>
              <w:t>KYB / compliance high-priority alert</w:t>
            </w:r>
          </w:p>
        </w:tc>
        <w:tc>
          <w:tcPr>
            <w:tcW w:type="dxa" w:w="3213"/>
          </w:tcPr>
          <w:p>
            <w:pPr>
              <w:spacing w:after="20" w:before="20" w:line="240" w:lineRule="auto"/>
            </w:pPr>
            <w:r/>
            <w:r>
              <w:rPr>
                <w:rFonts w:ascii="Arial" w:hAnsi="Arial" w:cs="Arial"/>
                <w:b w:val="0"/>
                <w:i w:val="0"/>
                <w:sz w:val="17"/>
              </w:rPr>
              <w:t>95</w:t>
            </w:r>
          </w:p>
        </w:tc>
        <w:tc>
          <w:tcPr>
            <w:tcW w:type="dxa" w:w="3213"/>
          </w:tcPr>
          <w:p>
            <w:pPr>
              <w:spacing w:after="20" w:before="20" w:line="240" w:lineRule="auto"/>
            </w:pPr>
            <w:r/>
            <w:r>
              <w:rPr>
                <w:rFonts w:ascii="Arial" w:hAnsi="Arial" w:cs="Arial"/>
                <w:b w:val="0"/>
                <w:i w:val="0"/>
                <w:sz w:val="17"/>
              </w:rPr>
              <w:t>High</w:t>
            </w:r>
          </w:p>
        </w:tc>
      </w:tr>
      <w:tr>
        <w:tc>
          <w:tcPr>
            <w:tcW w:type="dxa" w:w="3213"/>
          </w:tcPr>
          <w:p>
            <w:pPr>
              <w:spacing w:after="20" w:before="20" w:line="240" w:lineRule="auto"/>
            </w:pPr>
            <w:r/>
            <w:r>
              <w:rPr>
                <w:rFonts w:ascii="Arial" w:hAnsi="Arial" w:cs="Arial"/>
                <w:b w:val="0"/>
                <w:i w:val="0"/>
                <w:sz w:val="17"/>
              </w:rPr>
              <w:t>Multisig request (Admin, e.g. new jurisdiction matrix entry)</w:t>
            </w:r>
          </w:p>
        </w:tc>
        <w:tc>
          <w:tcPr>
            <w:tcW w:type="dxa" w:w="3213"/>
          </w:tcPr>
          <w:p>
            <w:pPr>
              <w:spacing w:after="20" w:before="20" w:line="240" w:lineRule="auto"/>
            </w:pPr>
            <w:r/>
            <w:r>
              <w:rPr>
                <w:rFonts w:ascii="Arial" w:hAnsi="Arial" w:cs="Arial"/>
                <w:b w:val="0"/>
                <w:i w:val="0"/>
                <w:sz w:val="17"/>
              </w:rPr>
              <w:t>100</w:t>
            </w:r>
          </w:p>
        </w:tc>
        <w:tc>
          <w:tcPr>
            <w:tcW w:type="dxa" w:w="3213"/>
          </w:tcPr>
          <w:p>
            <w:pPr>
              <w:spacing w:after="20" w:before="20" w:line="240" w:lineRule="auto"/>
            </w:pPr>
            <w:r/>
            <w:r>
              <w:rPr>
                <w:rFonts w:ascii="Arial" w:hAnsi="Arial" w:cs="Arial"/>
                <w:b w:val="0"/>
                <w:i w:val="0"/>
                <w:sz w:val="17"/>
              </w:rPr>
              <w:t>High</w:t>
            </w:r>
          </w:p>
        </w:tc>
      </w:tr>
      <w:tr>
        <w:tc>
          <w:tcPr>
            <w:tcW w:type="dxa" w:w="3213"/>
          </w:tcPr>
          <w:p>
            <w:pPr>
              <w:spacing w:after="20" w:before="20" w:line="240" w:lineRule="auto"/>
            </w:pPr>
            <w:r/>
            <w:r>
              <w:rPr>
                <w:rFonts w:ascii="Arial" w:hAnsi="Arial" w:cs="Arial"/>
                <w:b w:val="0"/>
                <w:i w:val="0"/>
                <w:sz w:val="17"/>
              </w:rPr>
              <w:t>Financing opportunity item</w:t>
            </w:r>
          </w:p>
        </w:tc>
        <w:tc>
          <w:tcPr>
            <w:tcW w:type="dxa" w:w="3213"/>
          </w:tcPr>
          <w:p>
            <w:pPr>
              <w:spacing w:after="20" w:before="20" w:line="240" w:lineRule="auto"/>
            </w:pPr>
            <w:r/>
            <w:r>
              <w:rPr>
                <w:rFonts w:ascii="Arial" w:hAnsi="Arial" w:cs="Arial"/>
                <w:b w:val="0"/>
                <w:i w:val="0"/>
                <w:sz w:val="17"/>
              </w:rPr>
              <w:t>Based on match score</w:t>
            </w:r>
          </w:p>
        </w:tc>
        <w:tc>
          <w:tcPr>
            <w:tcW w:type="dxa" w:w="3213"/>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Role-specific modifiers are added to the baseline score and recalculate on state change; the full rule set lives in the OPA policy bundle (`inbox-scoring.rego`) and is hot-reloadable.</w:t>
      </w:r>
    </w:p>
    <w:p>
      <w:pPr>
        <w:keepNext/>
        <w:spacing w:before="140" w:after="60"/>
        <w:outlineLvl w:val="3"/>
      </w:pPr>
      <w:r>
        <w:rPr>
          <w:rFonts w:ascii="Arial" w:hAnsi="Arial" w:cs="Arial"/>
          <w:b/>
          <w:i/>
          <w:color w:val="333333"/>
          <w:sz w:val="22"/>
        </w:rPr>
        <w:t>16.2.3.1 Snooze &amp; Dismiss</w:t>
      </w:r>
    </w:p>
    <w:p>
      <w:pPr>
        <w:spacing w:after="80" w:line="293" w:lineRule="auto"/>
        <w:ind w:left="283"/>
        <w:jc w:val="left"/>
      </w:pPr>
      <w:r>
        <w:rPr>
          <w:rFonts w:ascii="Times New Roman" w:hAnsi="Times New Roman" w:cs="Times New Roman"/>
          <w:b w:val="0"/>
          <w:i w:val="0"/>
          <w:sz w:val="22"/>
        </w:rPr>
        <w:t>- Users can snooze an item for 2h, 4h, 8h, or 24h.</w:t>
      </w:r>
    </w:p>
    <w:p>
      <w:pPr>
        <w:spacing w:after="80" w:line="293" w:lineRule="auto"/>
        <w:ind w:left="283"/>
        <w:jc w:val="left"/>
      </w:pPr>
      <w:r>
        <w:rPr>
          <w:rFonts w:ascii="Times New Roman" w:hAnsi="Times New Roman" w:cs="Times New Roman"/>
          <w:b w:val="0"/>
          <w:i w:val="0"/>
          <w:sz w:val="22"/>
        </w:rPr>
        <w:t>- The item disappears and reappears after the snooze period unless the underlying urgency score</w:t>
      </w:r>
    </w:p>
    <w:p>
      <w:pPr>
        <w:spacing w:after="80" w:line="293" w:lineRule="auto"/>
        <w:jc w:val="left"/>
      </w:pPr>
      <w:r>
        <w:rPr>
          <w:rFonts w:ascii="Times New Roman" w:hAnsi="Times New Roman" w:cs="Times New Roman"/>
          <w:b w:val="0"/>
          <w:i w:val="0"/>
          <w:sz w:val="22"/>
        </w:rPr>
        <w:t>increases by ≥10 points (in which case it reappears immediately).</w:t>
      </w:r>
    </w:p>
    <w:p>
      <w:pPr>
        <w:spacing w:after="80" w:line="293" w:lineRule="auto"/>
        <w:ind w:left="283"/>
        <w:jc w:val="left"/>
      </w:pPr>
      <w:r>
        <w:rPr>
          <w:rFonts w:ascii="Times New Roman" w:hAnsi="Times New Roman" w:cs="Times New Roman"/>
          <w:b w:val="0"/>
          <w:i w:val="0"/>
          <w:sz w:val="22"/>
        </w:rPr>
        <w:t>- Dismissed items move to history but are never deleted.</w:t>
      </w:r>
    </w:p>
    <w:p>
      <w:pPr>
        <w:spacing w:after="80" w:line="293" w:lineRule="auto"/>
        <w:ind w:left="283"/>
        <w:jc w:val="left"/>
      </w:pPr>
      <w:r>
        <w:rPr>
          <w:rFonts w:ascii="Times New Roman" w:hAnsi="Times New Roman" w:cs="Times New Roman"/>
          <w:b w:val="0"/>
          <w:i w:val="0"/>
          <w:sz w:val="22"/>
        </w:rPr>
        <w:t>- Cross-device sync — snooze/dismiss actions publish a NATS event `inbox.item.state_changed`. All</w:t>
      </w:r>
    </w:p>
    <w:p>
      <w:pPr>
        <w:spacing w:after="80" w:line="293" w:lineRule="auto"/>
        <w:jc w:val="left"/>
      </w:pPr>
      <w:r>
        <w:rPr>
          <w:rFonts w:ascii="Times New Roman" w:hAnsi="Times New Roman" w:cs="Times New Roman"/>
          <w:b w:val="0"/>
          <w:i w:val="0"/>
          <w:sz w:val="22"/>
        </w:rPr>
        <w:t>active client sessions receive the event and update the local Zustand store immediately.</w:t>
      </w:r>
    </w:p>
    <w:p>
      <w:pPr>
        <w:spacing w:after="80" w:line="293" w:lineRule="auto"/>
        <w:ind w:left="283"/>
        <w:jc w:val="left"/>
      </w:pPr>
      <w:r>
        <w:rPr>
          <w:rFonts w:ascii="Times New Roman" w:hAnsi="Times New Roman" w:cs="Times New Roman"/>
          <w:b w:val="0"/>
          <w:i w:val="0"/>
          <w:sz w:val="22"/>
        </w:rPr>
        <w:t>- Conflict resolution — last write wins; the losing write is logged in `inbox_history` with</w:t>
      </w:r>
    </w:p>
    <w:p>
      <w:pPr>
        <w:spacing w:after="80" w:line="293" w:lineRule="auto"/>
        <w:jc w:val="left"/>
      </w:pPr>
      <w:r>
        <w:rPr>
          <w:rFonts w:ascii="Times New Roman" w:hAnsi="Times New Roman" w:cs="Times New Roman"/>
          <w:b w:val="0"/>
          <w:i w:val="0"/>
          <w:sz w:val="22"/>
        </w:rPr>
        <w:t>`action_taken = 'OVERWRITTEN'`.</w:t>
      </w:r>
    </w:p>
    <w:p>
      <w:pPr>
        <w:keepNext/>
        <w:spacing w:before="180" w:after="80"/>
        <w:outlineLvl w:val="2"/>
      </w:pPr>
      <w:r>
        <w:rPr>
          <w:rFonts w:ascii="Arial" w:hAnsi="Arial" w:cs="Arial"/>
          <w:b/>
          <w:i w:val="0"/>
          <w:color w:val="333333"/>
          <w:sz w:val="23"/>
        </w:rPr>
        <w:t>16.2.4 Smart Inbox UI Layout (Web, Desktop, Mobile)</w:t>
      </w:r>
    </w:p>
    <w:p>
      <w:pPr>
        <w:keepNext/>
        <w:spacing w:before="140" w:after="60"/>
        <w:outlineLvl w:val="3"/>
      </w:pPr>
      <w:r>
        <w:rPr>
          <w:rFonts w:ascii="Arial" w:hAnsi="Arial" w:cs="Arial"/>
          <w:b/>
          <w:i/>
          <w:color w:val="333333"/>
          <w:sz w:val="22"/>
        </w:rPr>
        <w:t>16.2.4.1 Web / Desktop (Next.js + Tailwind)</w:t>
      </w:r>
    </w:p>
    <w:p>
      <w:pPr>
        <w:spacing w:after="80" w:line="293" w:lineRule="auto"/>
        <w:jc w:val="left"/>
      </w:pPr>
      <w:r>
        <w:rPr>
          <w:rFonts w:ascii="Times New Roman" w:hAnsi="Times New Roman" w:cs="Times New Roman"/>
          <w:b w:val="0"/>
          <w:i w:val="0"/>
          <w:sz w:val="22"/>
        </w:rPr>
        <w:t>The inbox is a scrollable list grouped by priority band (High: 80–100, Medium: 50–79, Low: 0–49). Each priority band is collapsible. The global header (GTID badge, notifications, dual-mode toggle, avatar) and a [Customise] button sit above the list.</w:t>
      </w:r>
    </w:p>
    <w:p>
      <w:pPr>
        <w:spacing w:after="80" w:line="293" w:lineRule="auto"/>
        <w:jc w:val="left"/>
      </w:pPr>
      <w:r>
        <w:rPr>
          <w:rFonts w:ascii="Times New Roman" w:hAnsi="Times New Roman" w:cs="Times New Roman"/>
          <w:b w:val="0"/>
          <w:i w:val="0"/>
          <w:sz w:val="22"/>
        </w:rPr>
        <w:t>Example rendering:</w:t>
      </w:r>
    </w:p>
    <w:p>
      <w:pPr>
        <w:spacing w:after="0" w:before="0" w:line="240" w:lineRule="auto"/>
        <w:ind w:left="57"/>
        <w:jc w:val="left"/>
        <w:shd w:val="clear" w:fill="F2F2F2"/>
      </w:pPr>
      <w:r>
        <w:rPr>
          <w:rFonts w:ascii="Consolas" w:hAnsi="Consolas" w:cs="Consolas"/>
          <w:b w:val="0"/>
          <w:i w:val="0"/>
          <w:sz w:val="15"/>
        </w:rPr>
        <w:t>HIGH PRIORITY (2)</w:t>
      </w:r>
    </w:p>
    <w:p>
      <w:pPr>
        <w:spacing w:after="0" w:before="0" w:line="240" w:lineRule="auto"/>
        <w:ind w:left="57"/>
        <w:jc w:val="left"/>
        <w:shd w:val="clear" w:fill="F2F2F2"/>
      </w:pPr>
      <w:r>
        <w:rPr>
          <w:rFonts w:ascii="Consolas" w:hAnsi="Consolas" w:cs="Consolas"/>
          <w:b w:val="0"/>
          <w:i w:val="0"/>
          <w:sz w:val="15"/>
        </w:rPr>
        <w:t>• USTN SGTX-EG-...-V1 — Sign contract before 14:00 UTC (2h 15min)</w:t>
      </w:r>
    </w:p>
    <w:p>
      <w:pPr>
        <w:spacing w:after="0" w:before="0" w:line="240" w:lineRule="auto"/>
        <w:ind w:left="57"/>
        <w:jc w:val="left"/>
        <w:shd w:val="clear" w:fill="F2F2F2"/>
      </w:pPr>
      <w:r>
        <w:rPr>
          <w:rFonts w:ascii="Consolas" w:hAnsi="Consolas" w:cs="Consolas"/>
          <w:b w:val="0"/>
          <w:i w:val="0"/>
          <w:sz w:val="15"/>
        </w:rPr>
        <w:t xml:space="preserve">  "The seller has paid the SGTX fee. Your signature will lock the trade."</w:t>
      </w:r>
    </w:p>
    <w:p>
      <w:pPr>
        <w:spacing w:after="0" w:before="0" w:line="240" w:lineRule="auto"/>
        <w:ind w:left="57"/>
        <w:jc w:val="left"/>
        <w:shd w:val="clear" w:fill="F2F2F2"/>
      </w:pPr>
      <w:r>
        <w:rPr>
          <w:rFonts w:ascii="Consolas" w:hAnsi="Consolas" w:cs="Consolas"/>
          <w:b w:val="0"/>
          <w:i w:val="0"/>
          <w:sz w:val="15"/>
        </w:rPr>
        <w:t xml:space="preserve">  [ Sign Contract ] [ Snooze 2h ]  (Deadline: 14:00 UTC)</w:t>
      </w:r>
    </w:p>
    <w:p>
      <w:pPr>
        <w:spacing w:after="0" w:before="0" w:line="240" w:lineRule="auto"/>
        <w:ind w:left="57"/>
        <w:jc w:val="left"/>
        <w:shd w:val="clear" w:fill="F2F2F2"/>
      </w:pPr>
      <w:r>
        <w:rPr>
          <w:rFonts w:ascii="Consolas" w:hAnsi="Consolas" w:cs="Consolas"/>
          <w:b w:val="0"/>
          <w:i w:val="0"/>
          <w:sz w:val="15"/>
        </w:rPr>
        <w:t>• USTN SGTX-EG-...-V2 — Phytosanitary certificate missing — 38h to ETA</w:t>
      </w:r>
    </w:p>
    <w:p>
      <w:pPr>
        <w:spacing w:after="0" w:before="0" w:line="240" w:lineRule="auto"/>
        <w:ind w:left="57"/>
        <w:jc w:val="left"/>
        <w:shd w:val="clear" w:fill="F2F2F2"/>
      </w:pPr>
      <w:r>
        <w:rPr>
          <w:rFonts w:ascii="Consolas" w:hAnsi="Consolas" w:cs="Consolas"/>
          <w:b w:val="0"/>
          <w:i w:val="0"/>
          <w:sz w:val="15"/>
        </w:rPr>
        <w:t xml:space="preserve">  "Customs clearance will be blocked."</w:t>
      </w:r>
    </w:p>
    <w:p>
      <w:pPr>
        <w:spacing w:after="0" w:before="0" w:line="240" w:lineRule="auto"/>
        <w:ind w:left="57"/>
        <w:jc w:val="left"/>
        <w:shd w:val="clear" w:fill="F2F2F2"/>
      </w:pPr>
      <w:r>
        <w:rPr>
          <w:rFonts w:ascii="Consolas" w:hAnsi="Consolas" w:cs="Consolas"/>
          <w:b w:val="0"/>
          <w:i w:val="0"/>
          <w:sz w:val="15"/>
        </w:rPr>
        <w:t xml:space="preserve">  [ Upload Certificate ] [ Request from Seller ] [ Snooze 4h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MEDIUM PRIORITY (3)</w:t>
      </w:r>
    </w:p>
    <w:p>
      <w:pPr>
        <w:spacing w:after="0" w:before="0" w:line="240" w:lineRule="auto"/>
        <w:ind w:left="57"/>
        <w:jc w:val="left"/>
        <w:shd w:val="clear" w:fill="F2F2F2"/>
      </w:pPr>
      <w:r>
        <w:rPr>
          <w:rFonts w:ascii="Consolas" w:hAnsi="Consolas" w:cs="Consolas"/>
          <w:b w:val="0"/>
          <w:i w:val="0"/>
          <w:sz w:val="15"/>
        </w:rPr>
        <w:t>• Shipment 2 of 3 — Confirm readiness</w:t>
      </w:r>
    </w:p>
    <w:p>
      <w:pPr>
        <w:spacing w:after="0" w:before="0" w:line="240" w:lineRule="auto"/>
        <w:ind w:left="57"/>
        <w:jc w:val="left"/>
        <w:shd w:val="clear" w:fill="F2F2F2"/>
      </w:pPr>
      <w:r>
        <w:rPr>
          <w:rFonts w:ascii="Consolas" w:hAnsi="Consolas" w:cs="Consolas"/>
          <w:b w:val="0"/>
          <w:i w:val="0"/>
          <w:sz w:val="15"/>
        </w:rPr>
        <w:t xml:space="preserve">  "Multi-shipment contract #MC001 — shipment due 15 Aug."</w:t>
      </w:r>
    </w:p>
    <w:p>
      <w:pPr>
        <w:spacing w:after="0" w:before="0" w:line="240" w:lineRule="auto"/>
        <w:ind w:left="57"/>
        <w:jc w:val="left"/>
        <w:shd w:val="clear" w:fill="F2F2F2"/>
      </w:pPr>
      <w:r>
        <w:rPr>
          <w:rFonts w:ascii="Consolas" w:hAnsi="Consolas" w:cs="Consolas"/>
          <w:b w:val="0"/>
          <w:i w:val="0"/>
          <w:sz w:val="15"/>
        </w:rPr>
        <w:t xml:space="preserve">  [ Confirm Shipment ] [ Request Changes ]</w:t>
      </w:r>
    </w:p>
    <w:p>
      <w:pPr>
        <w:spacing w:after="0" w:before="0" w:line="240" w:lineRule="auto"/>
        <w:ind w:left="57"/>
        <w:jc w:val="left"/>
        <w:shd w:val="clear" w:fill="F2F2F2"/>
      </w:pPr>
      <w:r>
        <w:rPr>
          <w:rFonts w:ascii="Consolas" w:hAnsi="Consolas" w:cs="Consolas"/>
          <w:b w:val="0"/>
          <w:i w:val="0"/>
          <w:sz w:val="15"/>
        </w:rPr>
        <w:t>• Financing request #FR001 — Bidding window closes in 2h</w:t>
      </w:r>
    </w:p>
    <w:p>
      <w:pPr>
        <w:spacing w:after="0" w:before="0" w:line="240" w:lineRule="auto"/>
        <w:ind w:left="57"/>
        <w:jc w:val="left"/>
        <w:shd w:val="clear" w:fill="F2F2F2"/>
      </w:pPr>
      <w:r>
        <w:rPr>
          <w:rFonts w:ascii="Consolas" w:hAnsi="Consolas" w:cs="Consolas"/>
          <w:b w:val="0"/>
          <w:i w:val="0"/>
          <w:sz w:val="15"/>
        </w:rPr>
        <w:t xml:space="preserve">  "Seller Mekong Fresh, $100,000, 60 days. Match score 94."</w:t>
      </w:r>
    </w:p>
    <w:p>
      <w:pPr>
        <w:spacing w:after="0" w:before="0" w:line="240" w:lineRule="auto"/>
        <w:ind w:left="57"/>
        <w:jc w:val="left"/>
        <w:shd w:val="clear" w:fill="F2F2F2"/>
      </w:pPr>
      <w:r>
        <w:rPr>
          <w:rFonts w:ascii="Consolas" w:hAnsi="Consolas" w:cs="Consolas"/>
          <w:b w:val="0"/>
          <w:i w:val="0"/>
          <w:sz w:val="15"/>
        </w:rPr>
        <w:t xml:space="preserve">  [ Submit Bid ] [ View Details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LOW PRIORITY (4)</w:t>
      </w:r>
    </w:p>
    <w:p>
      <w:pPr>
        <w:spacing w:after="0" w:before="0" w:line="240" w:lineRule="auto"/>
        <w:ind w:left="57"/>
        <w:jc w:val="left"/>
        <w:shd w:val="clear" w:fill="F2F2F2"/>
      </w:pPr>
      <w:r>
        <w:rPr>
          <w:rFonts w:ascii="Consolas" w:hAnsi="Consolas" w:cs="Consolas"/>
          <w:b w:val="0"/>
          <w:i w:val="0"/>
          <w:sz w:val="15"/>
        </w:rPr>
        <w:t>• USTN SGTX-EG-...-V3 — Shipment departed</w:t>
      </w:r>
    </w:p>
    <w:p>
      <w:pPr>
        <w:spacing w:after="0" w:before="0" w:line="240" w:lineRule="auto"/>
        <w:ind w:left="57"/>
        <w:jc w:val="left"/>
        <w:shd w:val="clear" w:fill="F2F2F2"/>
      </w:pPr>
      <w:r>
        <w:rPr>
          <w:rFonts w:ascii="Consolas" w:hAnsi="Consolas" w:cs="Consolas"/>
          <w:b w:val="0"/>
          <w:i w:val="0"/>
          <w:sz w:val="15"/>
        </w:rPr>
        <w:t xml:space="preserve">  "MSC Alessia has departed Saigon. ETA Alexandria 20 Jun."</w:t>
      </w:r>
    </w:p>
    <w:p>
      <w:pPr>
        <w:spacing w:after="0" w:before="0" w:line="240" w:lineRule="auto"/>
        <w:ind w:left="57"/>
        <w:jc w:val="left"/>
        <w:shd w:val="clear" w:fill="F2F2F2"/>
      </w:pPr>
      <w:r>
        <w:rPr>
          <w:rFonts w:ascii="Consolas" w:hAnsi="Consolas" w:cs="Consolas"/>
          <w:b w:val="0"/>
          <w:i w:val="0"/>
          <w:sz w:val="15"/>
        </w:rPr>
        <w:t xml:space="preserve">  [ Track Vessel ] [ Dismiss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Summary: "You have 2 high-priority items. Signing the contract for V1 will keep</w:t>
      </w:r>
    </w:p>
    <w:p>
      <w:pPr>
        <w:spacing w:after="0" w:before="0" w:line="240" w:lineRule="auto"/>
        <w:ind w:left="57"/>
        <w:jc w:val="left"/>
        <w:shd w:val="clear" w:fill="F2F2F2"/>
      </w:pPr>
      <w:r>
        <w:rPr>
          <w:rFonts w:ascii="Consolas" w:hAnsi="Consolas" w:cs="Consolas"/>
          <w:b w:val="0"/>
          <w:i w:val="0"/>
          <w:sz w:val="15"/>
        </w:rPr>
        <w:t>your shipment on schedule. The missing certificate for V2 must be uploaded soon to</w:t>
      </w:r>
    </w:p>
    <w:p>
      <w:pPr>
        <w:spacing w:after="0" w:before="0" w:line="240" w:lineRule="auto"/>
        <w:ind w:left="57"/>
        <w:jc w:val="left"/>
        <w:shd w:val="clear" w:fill="F2F2F2"/>
      </w:pPr>
      <w:r>
        <w:rPr>
          <w:rFonts w:ascii="Consolas" w:hAnsi="Consolas" w:cs="Consolas"/>
          <w:b w:val="0"/>
          <w:i w:val="0"/>
          <w:sz w:val="15"/>
        </w:rPr>
        <w:t>avoid customs delays."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16.2.4.2 Mobile (React Native)</w:t>
      </w:r>
    </w:p>
    <w:p>
      <w:pPr>
        <w:spacing w:after="80" w:line="293" w:lineRule="auto"/>
        <w:ind w:left="283"/>
        <w:jc w:val="left"/>
      </w:pPr>
      <w:r>
        <w:rPr>
          <w:rFonts w:ascii="Times New Roman" w:hAnsi="Times New Roman" w:cs="Times New Roman"/>
          <w:b w:val="0"/>
          <w:i w:val="0"/>
          <w:sz w:val="22"/>
        </w:rPr>
        <w:t>- The inbox is the first tab in the bottom navigation.</w:t>
      </w:r>
    </w:p>
    <w:p>
      <w:pPr>
        <w:spacing w:after="80" w:line="293" w:lineRule="auto"/>
        <w:ind w:left="283"/>
        <w:jc w:val="left"/>
      </w:pPr>
      <w:r>
        <w:rPr>
          <w:rFonts w:ascii="Times New Roman" w:hAnsi="Times New Roman" w:cs="Times New Roman"/>
          <w:b w:val="0"/>
          <w:i w:val="0"/>
          <w:sz w:val="22"/>
        </w:rPr>
        <w:t>- Items appear as a flat list sorted by score.</w:t>
      </w:r>
    </w:p>
    <w:p>
      <w:pPr>
        <w:spacing w:after="80" w:line="293" w:lineRule="auto"/>
        <w:ind w:left="283"/>
        <w:jc w:val="left"/>
      </w:pPr>
      <w:r>
        <w:rPr>
          <w:rFonts w:ascii="Times New Roman" w:hAnsi="Times New Roman" w:cs="Times New Roman"/>
          <w:b w:val="0"/>
          <w:i w:val="0"/>
          <w:sz w:val="22"/>
        </w:rPr>
        <w:t>- Swipe left reveals "Snooze" and "Dismiss".</w:t>
      </w:r>
    </w:p>
    <w:p>
      <w:pPr>
        <w:spacing w:after="80" w:line="293" w:lineRule="auto"/>
        <w:ind w:left="283"/>
        <w:jc w:val="left"/>
      </w:pPr>
      <w:r>
        <w:rPr>
          <w:rFonts w:ascii="Times New Roman" w:hAnsi="Times New Roman" w:cs="Times New Roman"/>
          <w:b w:val="0"/>
          <w:i w:val="0"/>
          <w:sz w:val="22"/>
        </w:rPr>
        <w:t>- The AI summary card is a collapsible banner at the top.</w:t>
      </w:r>
    </w:p>
    <w:p>
      <w:pPr>
        <w:spacing w:after="80" w:line="293" w:lineRule="auto"/>
        <w:ind w:left="283"/>
        <w:jc w:val="left"/>
      </w:pPr>
      <w:r>
        <w:rPr>
          <w:rFonts w:ascii="Times New Roman" w:hAnsi="Times New Roman" w:cs="Times New Roman"/>
          <w:b w:val="0"/>
          <w:i w:val="0"/>
          <w:sz w:val="22"/>
        </w:rPr>
        <w:t>- Offline mode: cached items stored in WatermelonDB; snooze/dismiss actions queued and synced when</w:t>
      </w:r>
    </w:p>
    <w:p>
      <w:pPr>
        <w:spacing w:after="80" w:line="293" w:lineRule="auto"/>
        <w:jc w:val="left"/>
      </w:pPr>
      <w:r>
        <w:rPr>
          <w:rFonts w:ascii="Times New Roman" w:hAnsi="Times New Roman" w:cs="Times New Roman"/>
          <w:b w:val="0"/>
          <w:i w:val="0"/>
          <w:sz w:val="22"/>
        </w:rPr>
        <w:t>online.</w:t>
      </w:r>
    </w:p>
    <w:p>
      <w:pPr>
        <w:keepNext/>
        <w:spacing w:before="180" w:after="80"/>
        <w:outlineLvl w:val="2"/>
      </w:pPr>
      <w:r>
        <w:rPr>
          <w:rFonts w:ascii="Arial" w:hAnsi="Arial" w:cs="Arial"/>
          <w:b/>
          <w:i w:val="0"/>
          <w:color w:val="333333"/>
          <w:sz w:val="23"/>
        </w:rPr>
        <w:t>16.2.5 Recommended Actions Widget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 compact box at the top of the Smart Inbox that displays the single next click for each active trade / financing / distressed entity. The widget is generated by AI (A1, Groq) based on the user's highest-priority pending actions.</w:t>
      </w:r>
    </w:p>
    <w:p>
      <w:pPr>
        <w:spacing w:after="80" w:line="293" w:lineRule="auto"/>
        <w:jc w:val="left"/>
      </w:pPr>
      <w:r>
        <w:rPr>
          <w:rFonts w:ascii="Times New Roman" w:hAnsi="Times New Roman" w:cs="Times New Roman"/>
          <w:b w:val="0"/>
          <w:i w:val="0"/>
          <w:sz w:val="22"/>
        </w:rPr>
        <w:t>Example content:</w:t>
      </w:r>
    </w:p>
    <w:p>
      <w:pPr>
        <w:spacing w:after="0" w:before="0" w:line="240" w:lineRule="auto"/>
        <w:ind w:left="57"/>
        <w:jc w:val="left"/>
        <w:shd w:val="clear" w:fill="F2F2F2"/>
      </w:pPr>
      <w:r>
        <w:rPr>
          <w:rFonts w:ascii="Consolas" w:hAnsi="Consolas" w:cs="Consolas"/>
          <w:b w:val="0"/>
          <w:i w:val="0"/>
          <w:sz w:val="15"/>
        </w:rPr>
        <w:t>Recommended Actions (1 click each)</w:t>
      </w:r>
    </w:p>
    <w:p>
      <w:pPr>
        <w:spacing w:after="0" w:before="0" w:line="240" w:lineRule="auto"/>
        <w:ind w:left="57"/>
        <w:jc w:val="left"/>
        <w:shd w:val="clear" w:fill="F2F2F2"/>
      </w:pPr>
      <w:r>
        <w:rPr>
          <w:rFonts w:ascii="Consolas" w:hAnsi="Consolas" w:cs="Consolas"/>
          <w:b w:val="0"/>
          <w:i w:val="0"/>
          <w:sz w:val="15"/>
        </w:rPr>
        <w:t>• USTN SGTX-EG-...-V1: Sign contract (deadline 14:00 UTC)</w:t>
      </w:r>
    </w:p>
    <w:p>
      <w:pPr>
        <w:spacing w:after="0" w:before="0" w:line="240" w:lineRule="auto"/>
        <w:ind w:left="57"/>
        <w:jc w:val="left"/>
        <w:shd w:val="clear" w:fill="F2F2F2"/>
      </w:pPr>
      <w:r>
        <w:rPr>
          <w:rFonts w:ascii="Consolas" w:hAnsi="Consolas" w:cs="Consolas"/>
          <w:b w:val="0"/>
          <w:i w:val="0"/>
          <w:sz w:val="15"/>
        </w:rPr>
        <w:t>• Financing #FR001: Submit bid (window closes in 2h)</w:t>
      </w:r>
    </w:p>
    <w:p>
      <w:pPr>
        <w:spacing w:after="0" w:before="0" w:line="240" w:lineRule="auto"/>
        <w:ind w:left="57"/>
        <w:jc w:val="left"/>
        <w:shd w:val="clear" w:fill="F2F2F2"/>
      </w:pPr>
      <w:r>
        <w:rPr>
          <w:rFonts w:ascii="Consolas" w:hAnsi="Consolas" w:cs="Consolas"/>
          <w:b w:val="0"/>
          <w:i w:val="0"/>
          <w:sz w:val="15"/>
        </w:rPr>
        <w:t>• Distressed listing #DST001: Accept offer from Juice Factory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Behaviour:</w:t>
      </w:r>
    </w:p>
    <w:p>
      <w:pPr>
        <w:spacing w:after="80" w:line="293" w:lineRule="auto"/>
        <w:ind w:left="283"/>
        <w:jc w:val="left"/>
      </w:pPr>
      <w:r>
        <w:rPr>
          <w:rFonts w:ascii="Times New Roman" w:hAnsi="Times New Roman" w:cs="Times New Roman"/>
          <w:b w:val="0"/>
          <w:i w:val="0"/>
          <w:sz w:val="22"/>
        </w:rPr>
        <w:t>- The widget shows up to 3 items (configurable).</w:t>
      </w:r>
    </w:p>
    <w:p>
      <w:pPr>
        <w:spacing w:after="80" w:line="293" w:lineRule="auto"/>
        <w:ind w:left="283"/>
        <w:jc w:val="left"/>
      </w:pPr>
      <w:r>
        <w:rPr>
          <w:rFonts w:ascii="Times New Roman" w:hAnsi="Times New Roman" w:cs="Times New Roman"/>
          <w:b w:val="0"/>
          <w:i w:val="0"/>
          <w:sz w:val="22"/>
        </w:rPr>
        <w:t>- Items are the highest-priority inbox items with `action_link` and `action_label`.</w:t>
      </w:r>
    </w:p>
    <w:p>
      <w:pPr>
        <w:spacing w:after="80" w:line="293" w:lineRule="auto"/>
        <w:ind w:left="283"/>
        <w:jc w:val="left"/>
      </w:pPr>
      <w:r>
        <w:rPr>
          <w:rFonts w:ascii="Times New Roman" w:hAnsi="Times New Roman" w:cs="Times New Roman"/>
          <w:b w:val="0"/>
          <w:i w:val="0"/>
          <w:sz w:val="22"/>
        </w:rPr>
        <w:t>- Clicking any action button directly executes the irreversible action (after Governor validation).</w:t>
      </w:r>
    </w:p>
    <w:p>
      <w:pPr>
        <w:spacing w:after="80" w:line="293" w:lineRule="auto"/>
        <w:jc w:val="left"/>
      </w:pPr>
      <w:r>
        <w:rPr>
          <w:rFonts w:ascii="Times New Roman" w:hAnsi="Times New Roman" w:cs="Times New Roman"/>
          <w:b w:val="0"/>
          <w:i w:val="0"/>
          <w:sz w:val="22"/>
        </w:rPr>
        <w:t>No intermediate screens.</w:t>
      </w:r>
    </w:p>
    <w:p>
      <w:pPr>
        <w:spacing w:after="80" w:line="293" w:lineRule="auto"/>
        <w:ind w:left="283"/>
        <w:jc w:val="left"/>
      </w:pPr>
      <w:r>
        <w:rPr>
          <w:rFonts w:ascii="Times New Roman" w:hAnsi="Times New Roman" w:cs="Times New Roman"/>
          <w:b w:val="0"/>
          <w:i w:val="0"/>
          <w:sz w:val="22"/>
        </w:rPr>
        <w:t>- The widget auto-refreshes as items are completed or new ones arrive.</w:t>
      </w:r>
    </w:p>
    <w:p>
      <w:pPr>
        <w:spacing w:after="80" w:line="293" w:lineRule="auto"/>
        <w:ind w:left="283"/>
        <w:jc w:val="left"/>
      </w:pPr>
      <w:r>
        <w:rPr>
          <w:rFonts w:ascii="Times New Roman" w:hAnsi="Times New Roman" w:cs="Times New Roman"/>
          <w:b w:val="0"/>
          <w:i w:val="0"/>
          <w:sz w:val="22"/>
        </w:rPr>
        <w:t>- One-click guarantee: click any action button in the widget → the action executes.</w:t>
      </w:r>
    </w:p>
    <w:p>
      <w:pPr>
        <w:keepNext/>
        <w:spacing w:before="180" w:after="80"/>
        <w:outlineLvl w:val="2"/>
      </w:pPr>
      <w:r>
        <w:rPr>
          <w:rFonts w:ascii="Arial" w:hAnsi="Arial" w:cs="Arial"/>
          <w:b/>
          <w:i w:val="0"/>
          <w:color w:val="333333"/>
          <w:sz w:val="23"/>
        </w:rPr>
        <w:t>16.2.6 AI Summary Card (A1, Groq → Ollama)</w:t>
      </w:r>
    </w:p>
    <w:p>
      <w:pPr>
        <w:spacing w:after="80" w:line="293" w:lineRule="auto"/>
        <w:jc w:val="left"/>
      </w:pPr>
      <w:r>
        <w:rPr>
          <w:rFonts w:ascii="Times New Roman" w:hAnsi="Times New Roman" w:cs="Times New Roman"/>
          <w:b w:val="0"/>
          <w:i w:val="0"/>
          <w:sz w:val="22"/>
        </w:rPr>
        <w:t>The card is updated after each inbox load or when items are added/removed. The prompt template incorporates the user's active mode (Buyer or Seller) and preferred language.</w:t>
      </w:r>
    </w:p>
    <w:p>
      <w:pPr>
        <w:spacing w:after="80" w:line="293" w:lineRule="auto"/>
        <w:jc w:val="left"/>
      </w:pPr>
      <w:r>
        <w:rPr>
          <w:rFonts w:ascii="Times New Roman" w:hAnsi="Times New Roman" w:cs="Times New Roman"/>
          <w:b w:val="0"/>
          <w:i w:val="0"/>
          <w:sz w:val="22"/>
        </w:rPr>
        <w:t>Prompt template:</w:t>
      </w:r>
    </w:p>
    <w:p>
      <w:pPr>
        <w:spacing w:after="0" w:before="0" w:line="240" w:lineRule="auto"/>
        <w:ind w:left="57"/>
        <w:jc w:val="left"/>
        <w:shd w:val="clear" w:fill="F2F2F2"/>
      </w:pPr>
      <w:r>
        <w:rPr>
          <w:rFonts w:ascii="Consolas" w:hAnsi="Consolas" w:cs="Consolas"/>
          <w:b w:val="0"/>
          <w:i w:val="0"/>
          <w:sz w:val="15"/>
        </w:rPr>
        <w:t>"The user is currently in {Buyer/Seller} mode. You have {high_count} high-priority items,</w:t>
      </w:r>
    </w:p>
    <w:p>
      <w:pPr>
        <w:spacing w:after="0" w:before="0" w:line="240" w:lineRule="auto"/>
        <w:ind w:left="57"/>
        <w:jc w:val="left"/>
        <w:shd w:val="clear" w:fill="F2F2F2"/>
      </w:pPr>
      <w:r>
        <w:rPr>
          <w:rFonts w:ascii="Consolas" w:hAnsi="Consolas" w:cs="Consolas"/>
          <w:b w:val="0"/>
          <w:i w:val="0"/>
          <w:sz w:val="15"/>
        </w:rPr>
        <w:t>{medium_count} medium, {low_count} low. High items: [{titles}]. Summarise in 2 sentences</w:t>
      </w:r>
    </w:p>
    <w:p>
      <w:pPr>
        <w:spacing w:after="0" w:before="0" w:line="240" w:lineRule="auto"/>
        <w:ind w:left="57"/>
        <w:jc w:val="left"/>
        <w:shd w:val="clear" w:fill="F2F2F2"/>
      </w:pPr>
      <w:r>
        <w:rPr>
          <w:rFonts w:ascii="Consolas" w:hAnsi="Consolas" w:cs="Consolas"/>
          <w:b w:val="0"/>
          <w:i w:val="0"/>
          <w:sz w:val="15"/>
        </w:rPr>
        <w:t>what the user should focus on today, in their preferred language. Do not mention API names</w:t>
      </w:r>
    </w:p>
    <w:p>
      <w:pPr>
        <w:spacing w:after="0" w:before="0" w:line="240" w:lineRule="auto"/>
        <w:ind w:left="57"/>
        <w:jc w:val="left"/>
        <w:shd w:val="clear" w:fill="F2F2F2"/>
      </w:pPr>
      <w:r>
        <w:rPr>
          <w:rFonts w:ascii="Consolas" w:hAnsi="Consolas" w:cs="Consolas"/>
          <w:b w:val="0"/>
          <w:i w:val="0"/>
          <w:sz w:val="15"/>
        </w:rPr>
        <w:t>or technical terms."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Fallback: if Groq and Ollama both fail, a static template is used: "You have {N} high-priority items. Please attend to them to keep your trades moving."</w:t>
      </w:r>
    </w:p>
    <w:p>
      <w:pPr>
        <w:keepNext/>
        <w:spacing w:before="180" w:after="80"/>
        <w:outlineLvl w:val="2"/>
      </w:pPr>
      <w:r>
        <w:rPr>
          <w:rFonts w:ascii="Arial" w:hAnsi="Arial" w:cs="Arial"/>
          <w:b/>
          <w:i w:val="0"/>
          <w:color w:val="333333"/>
          <w:sz w:val="23"/>
        </w:rPr>
        <w:t>16.2.7 Integration with Workflow</w:t>
      </w:r>
    </w:p>
    <w:p>
      <w:pPr>
        <w:spacing w:after="80" w:line="293" w:lineRule="auto"/>
        <w:jc w:val="left"/>
      </w:pPr>
      <w:r>
        <w:rPr>
          <w:rFonts w:ascii="Times New Roman" w:hAnsi="Times New Roman" w:cs="Times New Roman"/>
          <w:b w:val="0"/>
          <w:i w:val="0"/>
          <w:sz w:val="22"/>
        </w:rPr>
        <w:t>The inbox is populated by the inbox-service listening to NATS events emitted by other services across phases 3, 4, 5, 7, 8, and 10 of the trade lifecycle (Sections 9, 10, 12, 14). Event sources include: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Source Service</w:t>
            </w:r>
          </w:p>
        </w:tc>
        <w:tc>
          <w:tcPr>
            <w:tcW w:type="dxa" w:w="3213"/>
            <w:shd w:val="clear" w:fill="D9E2F3"/>
          </w:tcPr>
          <w:p>
            <w:pPr>
              <w:spacing w:after="20" w:before="20" w:line="240" w:lineRule="auto"/>
            </w:pPr>
            <w:r/>
            <w:r>
              <w:rPr>
                <w:rFonts w:ascii="Arial" w:hAnsi="Arial" w:cs="Arial"/>
                <w:b/>
                <w:i w:val="0"/>
                <w:sz w:val="18"/>
              </w:rPr>
              <w:t>Representative Events</w:t>
            </w:r>
          </w:p>
        </w:tc>
        <w:tc>
          <w:tcPr>
            <w:tcW w:type="dxa" w:w="3213"/>
            <w:shd w:val="clear" w:fill="D9E2F3"/>
          </w:tcPr>
          <w:p>
            <w:pPr>
              <w:spacing w:after="20" w:before="20" w:line="240" w:lineRule="auto"/>
            </w:pPr>
            <w:r/>
            <w:r>
              <w:rPr>
                <w:rFonts w:ascii="Arial" w:hAnsi="Arial" w:cs="Arial"/>
                <w:b/>
                <w:i w:val="0"/>
                <w:sz w:val="18"/>
              </w:rPr>
              <w:t>Inbox Item Produced</w:t>
            </w:r>
          </w:p>
        </w:tc>
      </w:tr>
      <w:tr>
        <w:tc>
          <w:tcPr>
            <w:tcW w:type="dxa" w:w="3213"/>
          </w:tcPr>
          <w:p>
            <w:pPr>
              <w:spacing w:after="20" w:before="20" w:line="240" w:lineRule="auto"/>
            </w:pPr>
            <w:r/>
            <w:r>
              <w:rPr>
                <w:rFonts w:ascii="Arial" w:hAnsi="Arial" w:cs="Arial"/>
                <w:b w:val="0"/>
                <w:i w:val="0"/>
                <w:sz w:val="17"/>
              </w:rPr>
              <w:t>contract-service</w:t>
            </w:r>
          </w:p>
        </w:tc>
        <w:tc>
          <w:tcPr>
            <w:tcW w:type="dxa" w:w="3213"/>
          </w:tcPr>
          <w:p>
            <w:pPr>
              <w:spacing w:after="20" w:before="20" w:line="240" w:lineRule="auto"/>
            </w:pPr>
            <w:r/>
            <w:r>
              <w:rPr>
                <w:rFonts w:ascii="Arial" w:hAnsi="Arial" w:cs="Arial"/>
                <w:b w:val="0"/>
                <w:i w:val="0"/>
                <w:sz w:val="17"/>
              </w:rPr>
              <w:t>contract.signed, contract.locked, addendum.pending</w:t>
            </w:r>
          </w:p>
        </w:tc>
        <w:tc>
          <w:tcPr>
            <w:tcW w:type="dxa" w:w="3213"/>
          </w:tcPr>
          <w:p>
            <w:pPr>
              <w:spacing w:after="20" w:before="20" w:line="240" w:lineRule="auto"/>
            </w:pPr>
            <w:r/>
            <w:r>
              <w:rPr>
                <w:rFonts w:ascii="Arial" w:hAnsi="Arial" w:cs="Arial"/>
                <w:b w:val="0"/>
                <w:i w:val="0"/>
                <w:sz w:val="17"/>
              </w:rPr>
              <w:t>NEEDS_SIGNATURE (buyer sign deadline), provider addendum reminders</w:t>
            </w:r>
          </w:p>
        </w:tc>
      </w:tr>
      <w:tr>
        <w:tc>
          <w:tcPr>
            <w:tcW w:type="dxa" w:w="3213"/>
          </w:tcPr>
          <w:p>
            <w:pPr>
              <w:spacing w:after="20" w:before="20" w:line="240" w:lineRule="auto"/>
            </w:pPr>
            <w:r/>
            <w:r>
              <w:rPr>
                <w:rFonts w:ascii="Arial" w:hAnsi="Arial" w:cs="Arial"/>
                <w:b w:val="0"/>
                <w:i w:val="0"/>
                <w:sz w:val="17"/>
              </w:rPr>
              <w:t>quote-service</w:t>
            </w:r>
          </w:p>
        </w:tc>
        <w:tc>
          <w:tcPr>
            <w:tcW w:type="dxa" w:w="3213"/>
          </w:tcPr>
          <w:p>
            <w:pPr>
              <w:spacing w:after="20" w:before="20" w:line="240" w:lineRule="auto"/>
            </w:pPr>
            <w:r/>
            <w:r>
              <w:rPr>
                <w:rFonts w:ascii="Arial" w:hAnsi="Arial" w:cs="Arial"/>
                <w:b w:val="0"/>
                <w:i w:val="0"/>
                <w:sz w:val="17"/>
              </w:rPr>
              <w:t>quote.submitted, quote.expires_soon, quote.countered</w:t>
            </w:r>
          </w:p>
        </w:tc>
        <w:tc>
          <w:tcPr>
            <w:tcW w:type="dxa" w:w="3213"/>
          </w:tcPr>
          <w:p>
            <w:pPr>
              <w:spacing w:after="20" w:before="20" w:line="240" w:lineRule="auto"/>
            </w:pPr>
            <w:r/>
            <w:r>
              <w:rPr>
                <w:rFonts w:ascii="Arial" w:hAnsi="Arial" w:cs="Arial"/>
                <w:b w:val="0"/>
                <w:i w:val="0"/>
                <w:sz w:val="17"/>
              </w:rPr>
              <w:t>Quote received by buyer (priority 75), offer expiry timers</w:t>
            </w:r>
          </w:p>
        </w:tc>
      </w:tr>
      <w:tr>
        <w:tc>
          <w:tcPr>
            <w:tcW w:type="dxa" w:w="3213"/>
          </w:tcPr>
          <w:p>
            <w:pPr>
              <w:spacing w:after="20" w:before="20" w:line="240" w:lineRule="auto"/>
            </w:pPr>
            <w:r/>
            <w:r>
              <w:rPr>
                <w:rFonts w:ascii="Arial" w:hAnsi="Arial" w:cs="Arial"/>
                <w:b w:val="0"/>
                <w:i w:val="0"/>
                <w:sz w:val="17"/>
              </w:rPr>
              <w:t>trade-service</w:t>
            </w:r>
          </w:p>
        </w:tc>
        <w:tc>
          <w:tcPr>
            <w:tcW w:type="dxa" w:w="3213"/>
          </w:tcPr>
          <w:p>
            <w:pPr>
              <w:spacing w:after="20" w:before="20" w:line="240" w:lineRule="auto"/>
            </w:pPr>
            <w:r/>
            <w:r>
              <w:rPr>
                <w:rFonts w:ascii="Arial" w:hAnsi="Arial" w:cs="Arial"/>
                <w:b w:val="0"/>
                <w:i w:val="0"/>
                <w:sz w:val="17"/>
              </w:rPr>
              <w:t>request.created, request.accepted</w:t>
            </w:r>
          </w:p>
        </w:tc>
        <w:tc>
          <w:tcPr>
            <w:tcW w:type="dxa" w:w="3213"/>
          </w:tcPr>
          <w:p>
            <w:pPr>
              <w:spacing w:after="20" w:before="20" w:line="240" w:lineRule="auto"/>
            </w:pPr>
            <w:r/>
            <w:r>
              <w:rPr>
                <w:rFonts w:ascii="Arial" w:hAnsi="Arial" w:cs="Arial"/>
                <w:b w:val="0"/>
                <w:i w:val="0"/>
                <w:sz w:val="17"/>
              </w:rPr>
              <w:t>Pending trade request to seller (priority 75)</w:t>
            </w:r>
          </w:p>
        </w:tc>
      </w:tr>
      <w:tr>
        <w:tc>
          <w:tcPr>
            <w:tcW w:type="dxa" w:w="3213"/>
          </w:tcPr>
          <w:p>
            <w:pPr>
              <w:spacing w:after="20" w:before="20" w:line="240" w:lineRule="auto"/>
            </w:pPr>
            <w:r/>
            <w:r>
              <w:rPr>
                <w:rFonts w:ascii="Arial" w:hAnsi="Arial" w:cs="Arial"/>
                <w:b w:val="0"/>
                <w:i w:val="0"/>
                <w:sz w:val="17"/>
              </w:rPr>
              <w:t>shipment-service</w:t>
            </w:r>
          </w:p>
        </w:tc>
        <w:tc>
          <w:tcPr>
            <w:tcW w:type="dxa" w:w="3213"/>
          </w:tcPr>
          <w:p>
            <w:pPr>
              <w:spacing w:after="20" w:before="20" w:line="240" w:lineRule="auto"/>
            </w:pPr>
            <w:r/>
            <w:r>
              <w:rPr>
                <w:rFonts w:ascii="Arial" w:hAnsi="Arial" w:cs="Arial"/>
                <w:b w:val="0"/>
                <w:i w:val="0"/>
                <w:sz w:val="17"/>
              </w:rPr>
              <w:t>milestone.confirmed, shipment.delayed, free_time.expiring</w:t>
            </w:r>
          </w:p>
        </w:tc>
        <w:tc>
          <w:tcPr>
            <w:tcW w:type="dxa" w:w="3213"/>
          </w:tcPr>
          <w:p>
            <w:pPr>
              <w:spacing w:after="20" w:before="20" w:line="240" w:lineRule="auto"/>
            </w:pPr>
            <w:r/>
            <w:r>
              <w:rPr>
                <w:rFonts w:ascii="Arial" w:hAnsi="Arial" w:cs="Arial"/>
                <w:b w:val="0"/>
                <w:i w:val="0"/>
                <w:sz w:val="17"/>
              </w:rPr>
              <w:t>SHIPMENT_ALERT, free-time expiry (priority 80)</w:t>
            </w:r>
          </w:p>
        </w:tc>
      </w:tr>
      <w:tr>
        <w:tc>
          <w:tcPr>
            <w:tcW w:type="dxa" w:w="3213"/>
          </w:tcPr>
          <w:p>
            <w:pPr>
              <w:spacing w:after="20" w:before="20" w:line="240" w:lineRule="auto"/>
            </w:pPr>
            <w:r/>
            <w:r>
              <w:rPr>
                <w:rFonts w:ascii="Arial" w:hAnsi="Arial" w:cs="Arial"/>
                <w:b w:val="0"/>
                <w:i w:val="0"/>
                <w:sz w:val="17"/>
              </w:rPr>
              <w:t>document-service</w:t>
            </w:r>
          </w:p>
        </w:tc>
        <w:tc>
          <w:tcPr>
            <w:tcW w:type="dxa" w:w="3213"/>
          </w:tcPr>
          <w:p>
            <w:pPr>
              <w:spacing w:after="20" w:before="20" w:line="240" w:lineRule="auto"/>
            </w:pPr>
            <w:r/>
            <w:r>
              <w:rPr>
                <w:rFonts w:ascii="Arial" w:hAnsi="Arial" w:cs="Arial"/>
                <w:b w:val="0"/>
                <w:i w:val="0"/>
                <w:sz w:val="17"/>
              </w:rPr>
              <w:t>document.missing, document.expires, document.verified</w:t>
            </w:r>
          </w:p>
        </w:tc>
        <w:tc>
          <w:tcPr>
            <w:tcW w:type="dxa" w:w="3213"/>
          </w:tcPr>
          <w:p>
            <w:pPr>
              <w:spacing w:after="20" w:before="20" w:line="240" w:lineRule="auto"/>
            </w:pPr>
            <w:r/>
            <w:r>
              <w:rPr>
                <w:rFonts w:ascii="Arial" w:hAnsi="Arial" w:cs="Arial"/>
                <w:b w:val="0"/>
                <w:i w:val="0"/>
                <w:sz w:val="17"/>
              </w:rPr>
              <w:t>NEEDS_DOCUMENT with upload/request action links</w:t>
            </w:r>
          </w:p>
        </w:tc>
      </w:tr>
      <w:tr>
        <w:tc>
          <w:tcPr>
            <w:tcW w:type="dxa" w:w="3213"/>
          </w:tcPr>
          <w:p>
            <w:pPr>
              <w:spacing w:after="20" w:before="20" w:line="240" w:lineRule="auto"/>
            </w:pPr>
            <w:r/>
            <w:r>
              <w:rPr>
                <w:rFonts w:ascii="Arial" w:hAnsi="Arial" w:cs="Arial"/>
                <w:b w:val="0"/>
                <w:i w:val="0"/>
                <w:sz w:val="17"/>
              </w:rPr>
              <w:t>finance-service</w:t>
            </w:r>
          </w:p>
        </w:tc>
        <w:tc>
          <w:tcPr>
            <w:tcW w:type="dxa" w:w="3213"/>
          </w:tcPr>
          <w:p>
            <w:pPr>
              <w:spacing w:after="20" w:before="20" w:line="240" w:lineRule="auto"/>
            </w:pPr>
            <w:r/>
            <w:r>
              <w:rPr>
                <w:rFonts w:ascii="Arial" w:hAnsi="Arial" w:cs="Arial"/>
                <w:b w:val="0"/>
                <w:i w:val="0"/>
                <w:sz w:val="17"/>
              </w:rPr>
              <w:t>financing.request.open, bid.window_closing, margin.call, repayment.due</w:t>
            </w:r>
          </w:p>
        </w:tc>
        <w:tc>
          <w:tcPr>
            <w:tcW w:type="dxa" w:w="3213"/>
          </w:tcPr>
          <w:p>
            <w:pPr>
              <w:spacing w:after="20" w:before="20" w:line="240" w:lineRule="auto"/>
            </w:pPr>
            <w:r/>
            <w:r>
              <w:rPr>
                <w:rFonts w:ascii="Arial" w:hAnsi="Arial" w:cs="Arial"/>
                <w:b w:val="0"/>
                <w:i w:val="0"/>
                <w:sz w:val="17"/>
              </w:rPr>
              <w:t>Financing items for financiers and borrowers</w:t>
            </w:r>
          </w:p>
        </w:tc>
      </w:tr>
      <w:tr>
        <w:tc>
          <w:tcPr>
            <w:tcW w:type="dxa" w:w="3213"/>
          </w:tcPr>
          <w:p>
            <w:pPr>
              <w:spacing w:after="20" w:before="20" w:line="240" w:lineRule="auto"/>
            </w:pPr>
            <w:r/>
            <w:r>
              <w:rPr>
                <w:rFonts w:ascii="Arial" w:hAnsi="Arial" w:cs="Arial"/>
                <w:b w:val="0"/>
                <w:i w:val="0"/>
                <w:sz w:val="17"/>
              </w:rPr>
              <w:t>distressed-service</w:t>
            </w:r>
          </w:p>
        </w:tc>
        <w:tc>
          <w:tcPr>
            <w:tcW w:type="dxa" w:w="3213"/>
          </w:tcPr>
          <w:p>
            <w:pPr>
              <w:spacing w:after="20" w:before="20" w:line="240" w:lineRule="auto"/>
            </w:pPr>
            <w:r/>
            <w:r>
              <w:rPr>
                <w:rFonts w:ascii="Arial" w:hAnsi="Arial" w:cs="Arial"/>
                <w:b w:val="0"/>
                <w:i w:val="0"/>
                <w:sz w:val="17"/>
              </w:rPr>
              <w:t>listing.created, offer.received, outreach.response</w:t>
            </w:r>
          </w:p>
        </w:tc>
        <w:tc>
          <w:tcPr>
            <w:tcW w:type="dxa" w:w="3213"/>
          </w:tcPr>
          <w:p>
            <w:pPr>
              <w:spacing w:after="20" w:before="20" w:line="240" w:lineRule="auto"/>
            </w:pPr>
            <w:r/>
            <w:r>
              <w:rPr>
                <w:rFonts w:ascii="Arial" w:hAnsi="Arial" w:cs="Arial"/>
                <w:b w:val="0"/>
                <w:i w:val="0"/>
                <w:sz w:val="17"/>
              </w:rPr>
              <w:t>Distressed items (sellers: responses and offers; buyers: listings from saved contacts)</w:t>
            </w:r>
          </w:p>
        </w:tc>
      </w:tr>
      <w:tr>
        <w:tc>
          <w:tcPr>
            <w:tcW w:type="dxa" w:w="3213"/>
          </w:tcPr>
          <w:p>
            <w:pPr>
              <w:spacing w:after="20" w:before="20" w:line="240" w:lineRule="auto"/>
            </w:pPr>
            <w:r/>
            <w:r>
              <w:rPr>
                <w:rFonts w:ascii="Arial" w:hAnsi="Arial" w:cs="Arial"/>
                <w:b w:val="0"/>
                <w:i w:val="0"/>
                <w:sz w:val="17"/>
              </w:rPr>
              <w:t>dispute-service</w:t>
            </w:r>
          </w:p>
        </w:tc>
        <w:tc>
          <w:tcPr>
            <w:tcW w:type="dxa" w:w="3213"/>
          </w:tcPr>
          <w:p>
            <w:pPr>
              <w:spacing w:after="20" w:before="20" w:line="240" w:lineRule="auto"/>
            </w:pPr>
            <w:r/>
            <w:r>
              <w:rPr>
                <w:rFonts w:ascii="Arial" w:hAnsi="Arial" w:cs="Arial"/>
                <w:b w:val="0"/>
                <w:i w:val="0"/>
                <w:sz w:val="17"/>
              </w:rPr>
              <w:t>dispute.filed, proposal.received, expert.opinion</w:t>
            </w:r>
          </w:p>
        </w:tc>
        <w:tc>
          <w:tcPr>
            <w:tcW w:type="dxa" w:w="3213"/>
          </w:tcPr>
          <w:p>
            <w:pPr>
              <w:spacing w:after="20" w:before="20" w:line="240" w:lineRule="auto"/>
            </w:pPr>
            <w:r/>
            <w:r>
              <w:rPr>
                <w:rFonts w:ascii="Arial" w:hAnsi="Arial" w:cs="Arial"/>
                <w:b w:val="0"/>
                <w:i w:val="0"/>
                <w:sz w:val="17"/>
              </w:rPr>
              <w:t>Dispute response deadlines</w:t>
            </w:r>
          </w:p>
        </w:tc>
      </w:tr>
      <w:tr>
        <w:tc>
          <w:tcPr>
            <w:tcW w:type="dxa" w:w="3213"/>
          </w:tcPr>
          <w:p>
            <w:pPr>
              <w:spacing w:after="20" w:before="20" w:line="240" w:lineRule="auto"/>
            </w:pPr>
            <w:r/>
            <w:r>
              <w:rPr>
                <w:rFonts w:ascii="Arial" w:hAnsi="Arial" w:cs="Arial"/>
                <w:b w:val="0"/>
                <w:i w:val="0"/>
                <w:sz w:val="17"/>
              </w:rPr>
              <w:t>qc-service</w:t>
            </w:r>
          </w:p>
        </w:tc>
        <w:tc>
          <w:tcPr>
            <w:tcW w:type="dxa" w:w="3213"/>
          </w:tcPr>
          <w:p>
            <w:pPr>
              <w:spacing w:after="20" w:before="20" w:line="240" w:lineRule="auto"/>
            </w:pPr>
            <w:r/>
            <w:r>
              <w:rPr>
                <w:rFonts w:ascii="Arial" w:hAnsi="Arial" w:cs="Arial"/>
                <w:b w:val="0"/>
                <w:i w:val="0"/>
                <w:sz w:val="17"/>
              </w:rPr>
              <w:t>inspection.report.ready, conditional.deadline</w:t>
            </w:r>
          </w:p>
        </w:tc>
        <w:tc>
          <w:tcPr>
            <w:tcW w:type="dxa" w:w="3213"/>
          </w:tcPr>
          <w:p>
            <w:pPr>
              <w:spacing w:after="20" w:before="20" w:line="240" w:lineRule="auto"/>
            </w:pPr>
            <w:r/>
            <w:r>
              <w:rPr>
                <w:rFonts w:ascii="Arial" w:hAnsi="Arial" w:cs="Arial"/>
                <w:b w:val="0"/>
                <w:i w:val="0"/>
                <w:sz w:val="17"/>
              </w:rPr>
              <w:t>QC report review, conditional-pass action plan timers</w:t>
            </w:r>
          </w:p>
        </w:tc>
      </w:tr>
      <w:tr>
        <w:tc>
          <w:tcPr>
            <w:tcW w:type="dxa" w:w="3213"/>
          </w:tcPr>
          <w:p>
            <w:pPr>
              <w:spacing w:after="20" w:before="20" w:line="240" w:lineRule="auto"/>
            </w:pPr>
            <w:r/>
            <w:r>
              <w:rPr>
                <w:rFonts w:ascii="Arial" w:hAnsi="Arial" w:cs="Arial"/>
                <w:b w:val="0"/>
                <w:i w:val="0"/>
                <w:sz w:val="17"/>
              </w:rPr>
              <w:t>notification-service</w:t>
            </w:r>
          </w:p>
        </w:tc>
        <w:tc>
          <w:tcPr>
            <w:tcW w:type="dxa" w:w="3213"/>
          </w:tcPr>
          <w:p>
            <w:pPr>
              <w:spacing w:after="20" w:before="20" w:line="240" w:lineRule="auto"/>
            </w:pPr>
            <w:r/>
            <w:r>
              <w:rPr>
                <w:rFonts w:ascii="Arial" w:hAnsi="Arial" w:cs="Arial"/>
                <w:b w:val="0"/>
                <w:i w:val="0"/>
                <w:sz w:val="17"/>
              </w:rPr>
              <w:t>sla.credit.due</w:t>
            </w:r>
          </w:p>
        </w:tc>
        <w:tc>
          <w:tcPr>
            <w:tcW w:type="dxa" w:w="3213"/>
          </w:tcPr>
          <w:p>
            <w:pPr>
              <w:spacing w:after="20" w:before="20" w:line="240" w:lineRule="auto"/>
            </w:pPr>
            <w:r/>
            <w:r>
              <w:rPr>
                <w:rFonts w:ascii="Arial" w:hAnsi="Arial" w:cs="Arial"/>
                <w:b w:val="0"/>
                <w:i w:val="0"/>
                <w:sz w:val="17"/>
              </w:rPr>
              <w:t>SLA incident credit notification (priority 85)</w:t>
            </w:r>
          </w:p>
        </w:tc>
      </w:tr>
      <w:tr>
        <w:tc>
          <w:tcPr>
            <w:tcW w:type="dxa" w:w="3213"/>
          </w:tcPr>
          <w:p>
            <w:pPr>
              <w:spacing w:after="20" w:before="20" w:line="240" w:lineRule="auto"/>
            </w:pPr>
            <w:r/>
            <w:r>
              <w:rPr>
                <w:rFonts w:ascii="Arial" w:hAnsi="Arial" w:cs="Arial"/>
                <w:b w:val="0"/>
                <w:i w:val="0"/>
                <w:sz w:val="17"/>
              </w:rPr>
              <w:t>compliance-service</w:t>
            </w:r>
          </w:p>
        </w:tc>
        <w:tc>
          <w:tcPr>
            <w:tcW w:type="dxa" w:w="3213"/>
          </w:tcPr>
          <w:p>
            <w:pPr>
              <w:spacing w:after="20" w:before="20" w:line="240" w:lineRule="auto"/>
            </w:pPr>
            <w:r/>
            <w:r>
              <w:rPr>
                <w:rFonts w:ascii="Arial" w:hAnsi="Arial" w:cs="Arial"/>
                <w:b w:val="0"/>
                <w:i w:val="0"/>
                <w:sz w:val="17"/>
              </w:rPr>
              <w:t>kyb.alert, sanctions.alert</w:t>
            </w:r>
          </w:p>
        </w:tc>
        <w:tc>
          <w:tcPr>
            <w:tcW w:type="dxa" w:w="3213"/>
          </w:tcPr>
          <w:p>
            <w:pPr>
              <w:spacing w:after="20" w:before="20" w:line="240" w:lineRule="auto"/>
            </w:pPr>
            <w:r/>
            <w:r>
              <w:rPr>
                <w:rFonts w:ascii="Arial" w:hAnsi="Arial" w:cs="Arial"/>
                <w:b w:val="0"/>
                <w:i w:val="0"/>
                <w:sz w:val="17"/>
              </w:rPr>
              <w:t>KYB/compliance high-priority alert (priority 95)</w:t>
            </w:r>
          </w:p>
        </w:tc>
      </w:tr>
      <w:tr>
        <w:tc>
          <w:tcPr>
            <w:tcW w:type="dxa" w:w="3213"/>
          </w:tcPr>
          <w:p>
            <w:pPr>
              <w:spacing w:after="20" w:before="20" w:line="240" w:lineRule="auto"/>
            </w:pPr>
            <w:r/>
            <w:r>
              <w:rPr>
                <w:rFonts w:ascii="Arial" w:hAnsi="Arial" w:cs="Arial"/>
                <w:b w:val="0"/>
                <w:i w:val="0"/>
                <w:sz w:val="17"/>
              </w:rPr>
              <w:t>workflow-recovery-service</w:t>
            </w:r>
          </w:p>
        </w:tc>
        <w:tc>
          <w:tcPr>
            <w:tcW w:type="dxa" w:w="3213"/>
          </w:tcPr>
          <w:p>
            <w:pPr>
              <w:spacing w:after="20" w:before="20" w:line="240" w:lineRule="auto"/>
            </w:pPr>
            <w:r/>
            <w:r>
              <w:rPr>
                <w:rFonts w:ascii="Arial" w:hAnsi="Arial" w:cs="Arial"/>
                <w:b w:val="0"/>
                <w:i w:val="0"/>
                <w:sz w:val="17"/>
              </w:rPr>
              <w:t>escalation.triggered</w:t>
            </w:r>
          </w:p>
        </w:tc>
        <w:tc>
          <w:tcPr>
            <w:tcW w:type="dxa" w:w="3213"/>
          </w:tcPr>
          <w:p>
            <w:pPr>
              <w:spacing w:after="20" w:before="20" w:line="240" w:lineRule="auto"/>
            </w:pPr>
            <w:r/>
            <w:r>
              <w:rPr>
                <w:rFonts w:ascii="Arial" w:hAnsi="Arial" w:cs="Arial"/>
                <w:b w:val="0"/>
                <w:i w:val="0"/>
                <w:sz w:val="17"/>
              </w:rPr>
              <w:t>Stuck-trade escalation notices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16.2.8 Configuration &amp; Customisation</w:t>
      </w:r>
    </w:p>
    <w:p>
      <w:pPr>
        <w:spacing w:after="80" w:line="293" w:lineRule="auto"/>
        <w:jc w:val="left"/>
      </w:pPr>
      <w:r>
        <w:rPr>
          <w:rFonts w:ascii="Times New Roman" w:hAnsi="Times New Roman" w:cs="Times New Roman"/>
          <w:b w:val="0"/>
          <w:i w:val="0"/>
          <w:sz w:val="22"/>
        </w:rPr>
        <w:t>Each user can, via the [Customise] button:</w:t>
      </w:r>
    </w:p>
    <w:p>
      <w:pPr>
        <w:spacing w:after="80" w:line="293" w:lineRule="auto"/>
        <w:ind w:left="283"/>
        <w:jc w:val="left"/>
      </w:pPr>
      <w:r>
        <w:rPr>
          <w:rFonts w:ascii="Times New Roman" w:hAnsi="Times New Roman" w:cs="Times New Roman"/>
          <w:b w:val="0"/>
          <w:i w:val="0"/>
          <w:sz w:val="22"/>
        </w:rPr>
        <w:t>- Set the minimum score threshold (`min_score`, default 30) — items below the threshold are hidden.</w:t>
      </w:r>
    </w:p>
    <w:p>
      <w:pPr>
        <w:spacing w:after="80" w:line="293" w:lineRule="auto"/>
        <w:ind w:left="283"/>
        <w:jc w:val="left"/>
      </w:pPr>
      <w:r>
        <w:rPr>
          <w:rFonts w:ascii="Times New Roman" w:hAnsi="Times New Roman" w:cs="Times New Roman"/>
          <w:b w:val="0"/>
          <w:i w:val="0"/>
          <w:sz w:val="22"/>
        </w:rPr>
        <w:t>- Mute entire categories (`muted_categories`).</w:t>
      </w:r>
    </w:p>
    <w:p>
      <w:pPr>
        <w:spacing w:after="80" w:line="293" w:lineRule="auto"/>
        <w:ind w:left="283"/>
        <w:jc w:val="left"/>
      </w:pPr>
      <w:r>
        <w:rPr>
          <w:rFonts w:ascii="Times New Roman" w:hAnsi="Times New Roman" w:cs="Times New Roman"/>
          <w:b w:val="0"/>
          <w:i w:val="0"/>
          <w:sz w:val="22"/>
        </w:rPr>
        <w:t>- Set the preferred language for AI-generated titles and summaries (`preferred_language`).</w:t>
      </w:r>
    </w:p>
    <w:p>
      <w:pPr>
        <w:spacing w:after="80" w:line="293" w:lineRule="auto"/>
        <w:jc w:val="left"/>
      </w:pPr>
      <w:r>
        <w:rPr>
          <w:rFonts w:ascii="Times New Roman" w:hAnsi="Times New Roman" w:cs="Times New Roman"/>
          <w:b w:val="0"/>
          <w:i w:val="0"/>
          <w:sz w:val="22"/>
        </w:rPr>
        <w:t>Preferences are stored in `inbox_preferences` and applied on every inbox load.</w:t>
      </w:r>
    </w:p>
    <w:p>
      <w:pPr>
        <w:keepNext/>
        <w:spacing w:before="180" w:after="80"/>
        <w:outlineLvl w:val="2"/>
      </w:pPr>
      <w:r>
        <w:rPr>
          <w:rFonts w:ascii="Arial" w:hAnsi="Arial" w:cs="Arial"/>
          <w:b/>
          <w:i w:val="0"/>
          <w:color w:val="333333"/>
          <w:sz w:val="23"/>
        </w:rPr>
        <w:t>16.2.9 API Endpoints (Used by Frontend)</w:t>
      </w:r>
    </w:p>
    <w:p>
      <w:pPr>
        <w:spacing w:after="80" w:line="293" w:lineRule="auto"/>
        <w:jc w:val="left"/>
      </w:pPr>
      <w:r>
        <w:rPr>
          <w:rFonts w:ascii="Times New Roman" w:hAnsi="Times New Roman" w:cs="Times New Roman"/>
          <w:b w:val="0"/>
          <w:i w:val="0"/>
          <w:sz w:val="22"/>
        </w:rPr>
        <w:t>All endpoints are under `/v1/inbox` and require a valid JWT: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/v1/inbox</w:t>
            </w:r>
          </w:p>
        </w:tc>
        <w:tc>
          <w:tcPr>
            <w:tcW w:type="dxa" w:w="3213"/>
          </w:tcPr>
          <w:p>
            <w:pPr>
              <w:spacing w:after="20" w:before="20" w:line="240" w:lineRule="auto"/>
            </w:pPr>
            <w:r/>
            <w:r>
              <w:rPr>
                <w:rFonts w:ascii="Arial" w:hAnsi="Arial" w:cs="Arial"/>
                <w:b w:val="0"/>
                <w:i w:val="0"/>
                <w:sz w:val="17"/>
              </w:rPr>
              <w:t>Fetch grouped inbox (high/medium/low) plus AI summary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/v1/inbox/{item_id}/snooze</w:t>
            </w:r>
          </w:p>
        </w:tc>
        <w:tc>
          <w:tcPr>
            <w:tcW w:type="dxa" w:w="3213"/>
          </w:tcPr>
          <w:p>
            <w:pPr>
              <w:spacing w:after="20" w:before="20" w:line="240" w:lineRule="auto"/>
            </w:pPr>
            <w:r/>
            <w:r>
              <w:rPr>
                <w:rFonts w:ascii="Arial" w:hAnsi="Arial" w:cs="Arial"/>
                <w:b w:val="0"/>
                <w:i w:val="0"/>
                <w:sz w:val="17"/>
              </w:rPr>
              <w:t>Snooze an item (2h/4h/8h/24h)</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/v1/inbox/{item_id}/dismiss</w:t>
            </w:r>
          </w:p>
        </w:tc>
        <w:tc>
          <w:tcPr>
            <w:tcW w:type="dxa" w:w="3213"/>
          </w:tcPr>
          <w:p>
            <w:pPr>
              <w:spacing w:after="20" w:before="20" w:line="240" w:lineRule="auto"/>
            </w:pPr>
            <w:r/>
            <w:r>
              <w:rPr>
                <w:rFonts w:ascii="Arial" w:hAnsi="Arial" w:cs="Arial"/>
                <w:b w:val="0"/>
                <w:i w:val="0"/>
                <w:sz w:val="17"/>
              </w:rPr>
              <w:t>Dismiss an item (moves to history)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/v1/inbox/history</w:t>
            </w:r>
          </w:p>
        </w:tc>
        <w:tc>
          <w:tcPr>
            <w:tcW w:type="dxa" w:w="3213"/>
          </w:tcPr>
          <w:p>
            <w:pPr>
              <w:spacing w:after="20" w:before="20" w:line="240" w:lineRule="auto"/>
            </w:pPr>
            <w:r/>
            <w:r>
              <w:rPr>
                <w:rFonts w:ascii="Arial" w:hAnsi="Arial" w:cs="Arial"/>
                <w:b w:val="0"/>
                <w:i w:val="0"/>
                <w:sz w:val="17"/>
              </w:rPr>
              <w:t>Fetch dismissed and completed items</w:t>
            </w:r>
          </w:p>
        </w:tc>
      </w:tr>
      <w:tr>
        <w:tc>
          <w:tcPr>
            <w:tcW w:type="dxa" w:w="3213"/>
          </w:tcPr>
          <w:p>
            <w:pPr>
              <w:spacing w:after="20" w:before="20" w:line="240" w:lineRule="auto"/>
            </w:pPr>
            <w:r/>
            <w:r>
              <w:rPr>
                <w:rFonts w:ascii="Arial" w:hAnsi="Arial" w:cs="Arial"/>
                <w:b w:val="0"/>
                <w:i w:val="0"/>
                <w:sz w:val="17"/>
              </w:rPr>
              <w:t>PUT</w:t>
            </w:r>
          </w:p>
        </w:tc>
        <w:tc>
          <w:tcPr>
            <w:tcW w:type="dxa" w:w="3213"/>
          </w:tcPr>
          <w:p>
            <w:pPr>
              <w:spacing w:after="20" w:before="20" w:line="240" w:lineRule="auto"/>
            </w:pPr>
            <w:r/>
            <w:r>
              <w:rPr>
                <w:rFonts w:ascii="Arial" w:hAnsi="Arial" w:cs="Arial"/>
                <w:b w:val="0"/>
                <w:i w:val="0"/>
                <w:sz w:val="17"/>
              </w:rPr>
              <w:t>/v1/inbox/preferences</w:t>
            </w:r>
          </w:p>
        </w:tc>
        <w:tc>
          <w:tcPr>
            <w:tcW w:type="dxa" w:w="3213"/>
          </w:tcPr>
          <w:p>
            <w:pPr>
              <w:spacing w:after="20" w:before="20" w:line="240" w:lineRule="auto"/>
            </w:pPr>
            <w:r/>
            <w:r>
              <w:rPr>
                <w:rFonts w:ascii="Arial" w:hAnsi="Arial" w:cs="Arial"/>
                <w:b w:val="0"/>
                <w:i w:val="0"/>
                <w:sz w:val="17"/>
              </w:rPr>
              <w:t>Update min_score, muted_categories, preferred_language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format for GET /v1/inbox (simplified):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"high_priority":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"item_id": "...",</w:t>
      </w:r>
    </w:p>
    <w:p>
      <w:pPr>
        <w:spacing w:after="0" w:before="0" w:line="240" w:lineRule="auto"/>
        <w:ind w:left="57"/>
        <w:jc w:val="left"/>
        <w:shd w:val="clear" w:fill="F2F2F2"/>
      </w:pPr>
      <w:r>
        <w:rPr>
          <w:rFonts w:ascii="Consolas" w:hAnsi="Consolas" w:cs="Consolas"/>
          <w:b w:val="0"/>
          <w:i w:val="0"/>
          <w:sz w:val="15"/>
        </w:rPr>
        <w:t xml:space="preserve">      "ustn": "SGTX-EG-...-V1",</w:t>
      </w:r>
    </w:p>
    <w:p>
      <w:pPr>
        <w:spacing w:after="0" w:before="0" w:line="240" w:lineRule="auto"/>
        <w:ind w:left="57"/>
        <w:jc w:val="left"/>
        <w:shd w:val="clear" w:fill="F2F2F2"/>
      </w:pPr>
      <w:r>
        <w:rPr>
          <w:rFonts w:ascii="Consolas" w:hAnsi="Consolas" w:cs="Consolas"/>
          <w:b w:val="0"/>
          <w:i w:val="0"/>
          <w:sz w:val="15"/>
        </w:rPr>
        <w:t xml:space="preserve">      "category": "NEEDS_SIGNATURE",</w:t>
      </w:r>
    </w:p>
    <w:p>
      <w:pPr>
        <w:spacing w:after="0" w:before="0" w:line="240" w:lineRule="auto"/>
        <w:ind w:left="57"/>
        <w:jc w:val="left"/>
        <w:shd w:val="clear" w:fill="F2F2F2"/>
      </w:pPr>
      <w:r>
        <w:rPr>
          <w:rFonts w:ascii="Consolas" w:hAnsi="Consolas" w:cs="Consolas"/>
          <w:b w:val="0"/>
          <w:i w:val="0"/>
          <w:sz w:val="15"/>
        </w:rPr>
        <w:t xml:space="preserve">      "priority_score": 100,</w:t>
      </w:r>
    </w:p>
    <w:p>
      <w:pPr>
        <w:spacing w:after="0" w:before="0" w:line="240" w:lineRule="auto"/>
        <w:ind w:left="57"/>
        <w:jc w:val="left"/>
        <w:shd w:val="clear" w:fill="F2F2F2"/>
      </w:pPr>
      <w:r>
        <w:rPr>
          <w:rFonts w:ascii="Consolas" w:hAnsi="Consolas" w:cs="Consolas"/>
          <w:b w:val="0"/>
          <w:i w:val="0"/>
          <w:sz w:val="15"/>
        </w:rPr>
        <w:t xml:space="preserve">      "title": "Sign contract before 14:00 UTC",</w:t>
      </w:r>
    </w:p>
    <w:p>
      <w:pPr>
        <w:spacing w:after="0" w:before="0" w:line="240" w:lineRule="auto"/>
        <w:ind w:left="57"/>
        <w:jc w:val="left"/>
        <w:shd w:val="clear" w:fill="F2F2F2"/>
      </w:pPr>
      <w:r>
        <w:rPr>
          <w:rFonts w:ascii="Consolas" w:hAnsi="Consolas" w:cs="Consolas"/>
          <w:b w:val="0"/>
          <w:i w:val="0"/>
          <w:sz w:val="15"/>
        </w:rPr>
        <w:t xml:space="preserve">      "description": "Your trade with Mekong Fresh will be cancelled if not signed within 3h.",</w:t>
      </w:r>
    </w:p>
    <w:p>
      <w:pPr>
        <w:spacing w:after="0" w:before="0" w:line="240" w:lineRule="auto"/>
        <w:ind w:left="57"/>
        <w:jc w:val="left"/>
        <w:shd w:val="clear" w:fill="F2F2F2"/>
      </w:pPr>
      <w:r>
        <w:rPr>
          <w:rFonts w:ascii="Consolas" w:hAnsi="Consolas" w:cs="Consolas"/>
          <w:b w:val="0"/>
          <w:i w:val="0"/>
          <w:sz w:val="15"/>
        </w:rPr>
        <w:t xml:space="preserve">      "deadline": "2026-06-14T14:00:00Z",</w:t>
      </w:r>
    </w:p>
    <w:p>
      <w:pPr>
        <w:spacing w:after="0" w:before="0" w:line="240" w:lineRule="auto"/>
        <w:ind w:left="57"/>
        <w:jc w:val="left"/>
        <w:shd w:val="clear" w:fill="F2F2F2"/>
      </w:pPr>
      <w:r>
        <w:rPr>
          <w:rFonts w:ascii="Consolas" w:hAnsi="Consolas" w:cs="Consolas"/>
          <w:b w:val="0"/>
          <w:i w:val="0"/>
          <w:sz w:val="15"/>
        </w:rPr>
        <w:t xml:space="preserve">      "action_link": "/trade/.../contract/sign",</w:t>
      </w:r>
    </w:p>
    <w:p>
      <w:pPr>
        <w:spacing w:after="0" w:before="0" w:line="240" w:lineRule="auto"/>
        <w:ind w:left="57"/>
        <w:jc w:val="left"/>
        <w:shd w:val="clear" w:fill="F2F2F2"/>
      </w:pPr>
      <w:r>
        <w:rPr>
          <w:rFonts w:ascii="Consolas" w:hAnsi="Consolas" w:cs="Consolas"/>
          <w:b w:val="0"/>
          <w:i w:val="0"/>
          <w:sz w:val="15"/>
        </w:rPr>
        <w:t xml:space="preserve">      "snoozed_until": null,</w:t>
      </w:r>
    </w:p>
    <w:p>
      <w:pPr>
        <w:spacing w:after="0" w:before="0" w:line="240" w:lineRule="auto"/>
        <w:ind w:left="57"/>
        <w:jc w:val="left"/>
        <w:shd w:val="clear" w:fill="F2F2F2"/>
      </w:pPr>
      <w:r>
        <w:rPr>
          <w:rFonts w:ascii="Consolas" w:hAnsi="Consolas" w:cs="Consolas"/>
          <w:b w:val="0"/>
          <w:i w:val="0"/>
          <w:sz w:val="15"/>
        </w:rPr>
        <w:t xml:space="preserve">      "dismissed": false,</w:t>
      </w:r>
    </w:p>
    <w:p>
      <w:pPr>
        <w:spacing w:after="0" w:before="0" w:line="240" w:lineRule="auto"/>
        <w:ind w:left="57"/>
        <w:jc w:val="left"/>
        <w:shd w:val="clear" w:fill="F2F2F2"/>
      </w:pPr>
      <w:r>
        <w:rPr>
          <w:rFonts w:ascii="Consolas" w:hAnsi="Consolas" w:cs="Consolas"/>
          <w:b w:val="0"/>
          <w:i w:val="0"/>
          <w:sz w:val="15"/>
        </w:rPr>
        <w:t xml:space="preserve">      "created_at": "2026-06-14T10:20:00Z"</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"medium_priority": [ ],</w:t>
      </w:r>
    </w:p>
    <w:p>
      <w:pPr>
        <w:spacing w:after="0" w:before="0" w:line="240" w:lineRule="auto"/>
        <w:ind w:left="57"/>
        <w:jc w:val="left"/>
        <w:shd w:val="clear" w:fill="F2F2F2"/>
      </w:pPr>
      <w:r>
        <w:rPr>
          <w:rFonts w:ascii="Consolas" w:hAnsi="Consolas" w:cs="Consolas"/>
          <w:b w:val="0"/>
          <w:i w:val="0"/>
          <w:sz w:val="15"/>
        </w:rPr>
        <w:t xml:space="preserve">  "low_priority": [ ],</w:t>
      </w:r>
    </w:p>
    <w:p>
      <w:pPr>
        <w:spacing w:after="0" w:before="0" w:line="240" w:lineRule="auto"/>
        <w:ind w:left="57"/>
        <w:jc w:val="left"/>
        <w:shd w:val="clear" w:fill="F2F2F2"/>
      </w:pPr>
      <w:r>
        <w:rPr>
          <w:rFonts w:ascii="Consolas" w:hAnsi="Consolas" w:cs="Consolas"/>
          <w:b w:val="0"/>
          <w:i w:val="0"/>
          <w:sz w:val="15"/>
        </w:rPr>
        <w:t xml:space="preserve">  "ai_summary": "You have 2 high-priority items..."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16.2.10 Companion Rules</w:t>
      </w:r>
    </w:p>
    <w:p>
      <w:pPr>
        <w:spacing w:after="80" w:line="293" w:lineRule="auto"/>
        <w:jc w:val="left"/>
      </w:pPr>
      <w:r>
        <w:rPr>
          <w:rFonts w:ascii="Times New Roman" w:hAnsi="Times New Roman" w:cs="Times New Roman"/>
          <w:b w:val="0"/>
          <w:i w:val="0"/>
          <w:sz w:val="22"/>
        </w:rPr>
        <w:t>The Smart Inbox participates in the following platform-wide behaviours:</w:t>
      </w:r>
    </w:p>
    <w:p>
      <w:pPr>
        <w:spacing w:after="80" w:line="293" w:lineRule="auto"/>
        <w:ind w:left="283"/>
        <w:jc w:val="left"/>
      </w:pPr>
      <w:r>
        <w:rPr>
          <w:rFonts w:ascii="Times New Roman" w:hAnsi="Times New Roman" w:cs="Times New Roman"/>
          <w:b w:val="0"/>
          <w:i w:val="0"/>
          <w:sz w:val="22"/>
        </w:rPr>
        <w:t>- Notification channels — In-App (Smart Inbox), Email, SMS, Push, with per-user preferences,</w:t>
      </w:r>
    </w:p>
    <w:p>
      <w:pPr>
        <w:spacing w:after="80" w:line="293" w:lineRule="auto"/>
        <w:jc w:val="left"/>
      </w:pPr>
      <w:r>
        <w:rPr>
          <w:rFonts w:ascii="Times New Roman" w:hAnsi="Times New Roman" w:cs="Times New Roman"/>
          <w:b w:val="0"/>
          <w:i w:val="0"/>
          <w:sz w:val="22"/>
        </w:rPr>
        <w:t>quiet hours, digest settings, and Focus Mode (see 16.14.12).</w:t>
      </w:r>
    </w:p>
    <w:p>
      <w:pPr>
        <w:spacing w:after="80" w:line="293" w:lineRule="auto"/>
        <w:ind w:left="283"/>
        <w:jc w:val="left"/>
      </w:pPr>
      <w:r>
        <w:rPr>
          <w:rFonts w:ascii="Times New Roman" w:hAnsi="Times New Roman" w:cs="Times New Roman"/>
          <w:b w:val="0"/>
          <w:i w:val="0"/>
          <w:sz w:val="22"/>
        </w:rPr>
        <w:t>- Tenant state alerts — Smart Inbox items are created on tenant state changes (AT_RISK,</w:t>
      </w:r>
    </w:p>
    <w:p>
      <w:pPr>
        <w:spacing w:after="80" w:line="293" w:lineRule="auto"/>
        <w:jc w:val="left"/>
      </w:pPr>
      <w:r>
        <w:rPr>
          <w:rFonts w:ascii="Times New Roman" w:hAnsi="Times New Roman" w:cs="Times New Roman"/>
          <w:b w:val="0"/>
          <w:i w:val="0"/>
          <w:sz w:val="22"/>
        </w:rPr>
        <w:t>SUSPENDED → VERIFIED) with AI-generated explanations (A1 Groq); the inbox shows the estimated SLA during KYB_PENDING review.</w:t>
      </w:r>
    </w:p>
    <w:p>
      <w:pPr>
        <w:spacing w:after="80" w:line="293" w:lineRule="auto"/>
        <w:ind w:left="283"/>
        <w:jc w:val="left"/>
      </w:pPr>
      <w:r>
        <w:rPr>
          <w:rFonts w:ascii="Times New Roman" w:hAnsi="Times New Roman" w:cs="Times New Roman"/>
          <w:b w:val="0"/>
          <w:i w:val="0"/>
          <w:sz w:val="22"/>
        </w:rPr>
        <w:t>- Draft recovery — drafts auto-save every 30 seconds; the Smart Inbox shows a low-priority</w:t>
      </w:r>
    </w:p>
    <w:p>
      <w:pPr>
        <w:spacing w:after="80" w:line="293" w:lineRule="auto"/>
        <w:jc w:val="left"/>
      </w:pPr>
      <w:r>
        <w:rPr>
          <w:rFonts w:ascii="Times New Roman" w:hAnsi="Times New Roman" w:cs="Times New Roman"/>
          <w:b w:val="0"/>
          <w:i w:val="0"/>
          <w:sz w:val="22"/>
        </w:rPr>
        <w:t>recovery item (score 30): "Continue draft trade request from [date]"; drafts expire after 14 days of inactivity; reminders are sent at 11 and 13 days; expired drafts are restorable via Company Admin → Drafts (admin only).</w:t>
      </w:r>
    </w:p>
    <w:p>
      <w:pPr>
        <w:spacing w:after="80" w:line="293" w:lineRule="auto"/>
        <w:ind w:left="283"/>
        <w:jc w:val="left"/>
      </w:pPr>
      <w:r>
        <w:rPr>
          <w:rFonts w:ascii="Times New Roman" w:hAnsi="Times New Roman" w:cs="Times New Roman"/>
          <w:b w:val="0"/>
          <w:i w:val="0"/>
          <w:sz w:val="22"/>
        </w:rPr>
        <w:t>- Dual-mode refresh — switching Buyer/Seller soft-reloads the Smart Inbox, Shipments Vault, TCC,</w:t>
      </w:r>
    </w:p>
    <w:p>
      <w:pPr>
        <w:spacing w:after="80" w:line="293" w:lineRule="auto"/>
        <w:jc w:val="left"/>
      </w:pPr>
      <w:r>
        <w:rPr>
          <w:rFonts w:ascii="Times New Roman" w:hAnsi="Times New Roman" w:cs="Times New Roman"/>
          <w:b w:val="0"/>
          <w:i w:val="0"/>
          <w:sz w:val="22"/>
        </w:rPr>
        <w:t>and sidebar; OPA filters items by `active_trader_mode_context`.</w:t>
      </w:r>
    </w:p>
    <w:p>
      <w:pPr>
        <w:keepNext/>
        <w:spacing w:before="180" w:after="80"/>
        <w:outlineLvl w:val="2"/>
      </w:pPr>
      <w:r>
        <w:rPr>
          <w:rFonts w:ascii="Arial" w:hAnsi="Arial" w:cs="Arial"/>
          <w:b/>
          <w:i w:val="0"/>
          <w:color w:val="333333"/>
          <w:sz w:val="23"/>
        </w:rPr>
        <w:t>16.2.11 Implementation Notes for Developers</w:t>
      </w:r>
    </w:p>
    <w:p>
      <w:pPr>
        <w:spacing w:after="80" w:line="293" w:lineRule="auto"/>
        <w:ind w:left="283"/>
        <w:jc w:val="left"/>
      </w:pPr>
      <w:r>
        <w:rPr>
          <w:rFonts w:ascii="Times New Roman" w:hAnsi="Times New Roman" w:cs="Times New Roman"/>
          <w:b w:val="0"/>
          <w:i w:val="0"/>
          <w:sz w:val="22"/>
        </w:rPr>
        <w:t>- Implement the inbox-service in Rust (Axum), subscribing to NATS for all workflow events.</w:t>
      </w:r>
    </w:p>
    <w:p>
      <w:pPr>
        <w:spacing w:after="80" w:line="293" w:lineRule="auto"/>
        <w:ind w:left="283"/>
        <w:jc w:val="left"/>
      </w:pPr>
      <w:r>
        <w:rPr>
          <w:rFonts w:ascii="Times New Roman" w:hAnsi="Times New Roman" w:cs="Times New Roman"/>
          <w:b w:val="0"/>
          <w:i w:val="0"/>
          <w:sz w:val="22"/>
        </w:rPr>
        <w:t>- Urgency scoring runs as OPA policy (A4); AI title/description generation runs after scoring (A1,</w:t>
      </w:r>
    </w:p>
    <w:p>
      <w:pPr>
        <w:spacing w:after="80" w:line="293" w:lineRule="auto"/>
        <w:jc w:val="left"/>
      </w:pPr>
      <w:r>
        <w:rPr>
          <w:rFonts w:ascii="Times New Roman" w:hAnsi="Times New Roman" w:cs="Times New Roman"/>
          <w:b w:val="0"/>
          <w:i w:val="0"/>
          <w:sz w:val="22"/>
        </w:rPr>
        <w:t>Groq → Ollama → static template).</w:t>
      </w:r>
    </w:p>
    <w:p>
      <w:pPr>
        <w:spacing w:after="80" w:line="293" w:lineRule="auto"/>
        <w:ind w:left="283"/>
        <w:jc w:val="left"/>
      </w:pPr>
      <w:r>
        <w:rPr>
          <w:rFonts w:ascii="Times New Roman" w:hAnsi="Times New Roman" w:cs="Times New Roman"/>
          <w:b w:val="0"/>
          <w:i w:val="0"/>
          <w:sz w:val="22"/>
        </w:rPr>
        <w:t>- All snooze/dismiss state transitions publish `inbox.item.state_changed` and write `inbox_history`.</w:t>
      </w:r>
    </w:p>
    <w:p>
      <w:pPr>
        <w:spacing w:after="80" w:line="293" w:lineRule="auto"/>
        <w:ind w:left="283"/>
        <w:jc w:val="left"/>
      </w:pPr>
      <w:r>
        <w:rPr>
          <w:rFonts w:ascii="Times New Roman" w:hAnsi="Times New Roman" w:cs="Times New Roman"/>
          <w:b w:val="0"/>
          <w:i w:val="0"/>
          <w:sz w:val="22"/>
        </w:rPr>
        <w:t>- The Recommended Actions Widget and AI Summary Card must degrade to static templates when both Groq</w:t>
      </w:r>
    </w:p>
    <w:p>
      <w:pPr>
        <w:spacing w:after="80" w:line="293" w:lineRule="auto"/>
        <w:jc w:val="left"/>
      </w:pPr>
      <w:r>
        <w:rPr>
          <w:rFonts w:ascii="Times New Roman" w:hAnsi="Times New Roman" w:cs="Times New Roman"/>
          <w:b w:val="0"/>
          <w:i w:val="0"/>
          <w:sz w:val="22"/>
        </w:rPr>
        <w:t>and Ollama are unavailable.</w:t>
      </w:r>
    </w:p>
    <w:p>
      <w:pPr>
        <w:keepNext/>
        <w:spacing w:before="240" w:after="100"/>
        <w:outlineLvl w:val="1"/>
      </w:pPr>
      <w:r>
        <w:rPr>
          <w:rFonts w:ascii="Arial" w:hAnsi="Arial" w:cs="Arial"/>
          <w:b/>
          <w:i w:val="0"/>
          <w:color w:val="2E528F"/>
          <w:sz w:val="26"/>
        </w:rPr>
        <w:t>16.3 Trade Command Center (TCC)</w:t>
      </w:r>
    </w:p>
    <w:p>
      <w:pPr>
        <w:keepNext/>
        <w:spacing w:before="180" w:after="80"/>
        <w:outlineLvl w:val="2"/>
      </w:pPr>
      <w:r>
        <w:rPr>
          <w:rFonts w:ascii="Arial" w:hAnsi="Arial" w:cs="Arial"/>
          <w:b/>
          <w:i w:val="0"/>
          <w:color w:val="333333"/>
          <w:sz w:val="23"/>
        </w:rPr>
        <w:t>16.3.1 Purpose &amp; Design Principles</w:t>
      </w:r>
    </w:p>
    <w:p>
      <w:pPr>
        <w:spacing w:after="80" w:line="293" w:lineRule="auto"/>
        <w:jc w:val="left"/>
      </w:pPr>
      <w:r>
        <w:rPr>
          <w:rFonts w:ascii="Times New Roman" w:hAnsi="Times New Roman" w:cs="Times New Roman"/>
          <w:b w:val="0"/>
          <w:i w:val="0"/>
          <w:sz w:val="22"/>
        </w:rPr>
        <w:t>The Trade Command Center (TCC) is a single, real-time page that consolidates everything about a specific trade — or a specific shipment within a multi-shipment contract, or a financing agreement, or a distressed micro-contract — into one scrollable, context-rich view. It is accessible from any USTN badge, financing agreement ID, or distressed microUSTN link (from Smart Inbox, Shipments Vault, notifications, or emails).</w:t>
      </w:r>
    </w:p>
    <w:p>
      <w:pPr>
        <w:spacing w:after="80" w:line="293" w:lineRule="auto"/>
        <w:jc w:val="left"/>
      </w:pPr>
      <w:r>
        <w:rPr>
          <w:rFonts w:ascii="Times New Roman" w:hAnsi="Times New Roman" w:cs="Times New Roman"/>
          <w:b w:val="0"/>
          <w:i w:val="0"/>
          <w:sz w:val="22"/>
        </w:rPr>
        <w:t>Core principles:</w:t>
      </w:r>
    </w:p>
    <w:p>
      <w:pPr>
        <w:spacing w:after="80" w:line="293" w:lineRule="auto"/>
        <w:ind w:left="283"/>
        <w:jc w:val="left"/>
      </w:pPr>
      <w:r>
        <w:rPr>
          <w:rFonts w:ascii="Times New Roman" w:hAnsi="Times New Roman" w:cs="Times New Roman"/>
          <w:b w:val="0"/>
          <w:i w:val="0"/>
          <w:sz w:val="22"/>
        </w:rPr>
        <w:t>- One page, one entity — all dimensions (trade, shipment, financing, distressed) are available</w:t>
      </w:r>
    </w:p>
    <w:p>
      <w:pPr>
        <w:spacing w:after="80" w:line="293" w:lineRule="auto"/>
        <w:jc w:val="left"/>
      </w:pPr>
      <w:r>
        <w:rPr>
          <w:rFonts w:ascii="Times New Roman" w:hAnsi="Times New Roman" w:cs="Times New Roman"/>
          <w:b w:val="0"/>
          <w:i w:val="0"/>
          <w:sz w:val="22"/>
        </w:rPr>
        <w:t>via anchored sections and collapsible panels.</w:t>
      </w:r>
    </w:p>
    <w:p>
      <w:pPr>
        <w:spacing w:after="80" w:line="293" w:lineRule="auto"/>
        <w:ind w:left="283"/>
        <w:jc w:val="left"/>
      </w:pPr>
      <w:r>
        <w:rPr>
          <w:rFonts w:ascii="Times New Roman" w:hAnsi="Times New Roman" w:cs="Times New Roman"/>
          <w:b w:val="0"/>
          <w:i w:val="0"/>
          <w:sz w:val="22"/>
        </w:rPr>
        <w:t>- Timeline-driven — a horizontal timeline shows the entity's journey from initiation to</w:t>
      </w:r>
    </w:p>
    <w:p>
      <w:pPr>
        <w:spacing w:after="80" w:line="293" w:lineRule="auto"/>
        <w:jc w:val="left"/>
      </w:pPr>
      <w:r>
        <w:rPr>
          <w:rFonts w:ascii="Times New Roman" w:hAnsi="Times New Roman" w:cs="Times New Roman"/>
          <w:b w:val="0"/>
          <w:i w:val="0"/>
          <w:sz w:val="22"/>
        </w:rPr>
        <w:t>completion.</w:t>
      </w:r>
    </w:p>
    <w:p>
      <w:pPr>
        <w:spacing w:after="80" w:line="293" w:lineRule="auto"/>
        <w:ind w:left="283"/>
        <w:jc w:val="left"/>
      </w:pPr>
      <w:r>
        <w:rPr>
          <w:rFonts w:ascii="Times New Roman" w:hAnsi="Times New Roman" w:cs="Times New Roman"/>
          <w:b w:val="0"/>
          <w:i w:val="0"/>
          <w:sz w:val="22"/>
        </w:rPr>
        <w:t>- Action-oriented — a prominent pending action panel with a clear call-to-action button, always</w:t>
      </w:r>
    </w:p>
    <w:p>
      <w:pPr>
        <w:spacing w:after="80" w:line="293" w:lineRule="auto"/>
        <w:jc w:val="left"/>
      </w:pPr>
      <w:r>
        <w:rPr>
          <w:rFonts w:ascii="Times New Roman" w:hAnsi="Times New Roman" w:cs="Times New Roman"/>
          <w:b w:val="0"/>
          <w:i w:val="0"/>
          <w:sz w:val="22"/>
        </w:rPr>
        <w:t>passing through the Governor.</w:t>
      </w:r>
    </w:p>
    <w:p>
      <w:pPr>
        <w:spacing w:after="80" w:line="293" w:lineRule="auto"/>
        <w:ind w:left="283"/>
        <w:jc w:val="left"/>
      </w:pPr>
      <w:r>
        <w:rPr>
          <w:rFonts w:ascii="Times New Roman" w:hAnsi="Times New Roman" w:cs="Times New Roman"/>
          <w:b w:val="0"/>
          <w:i w:val="0"/>
          <w:sz w:val="22"/>
        </w:rPr>
        <w:t>- Privacy-respecting visibility — displayed data is filtered by the logged-in tenant's</w:t>
      </w:r>
    </w:p>
    <w:p>
      <w:pPr>
        <w:spacing w:after="80" w:line="293" w:lineRule="auto"/>
        <w:jc w:val="left"/>
      </w:pPr>
      <w:r>
        <w:rPr>
          <w:rFonts w:ascii="Times New Roman" w:hAnsi="Times New Roman" w:cs="Times New Roman"/>
          <w:b w:val="0"/>
          <w:i w:val="0"/>
          <w:sz w:val="22"/>
        </w:rPr>
        <w:t>permissions, trader mode context (Buyer or Seller), and financing roles.</w:t>
      </w:r>
    </w:p>
    <w:p>
      <w:pPr>
        <w:spacing w:after="80" w:line="293" w:lineRule="auto"/>
        <w:ind w:left="283"/>
        <w:jc w:val="left"/>
      </w:pPr>
      <w:r>
        <w:rPr>
          <w:rFonts w:ascii="Times New Roman" w:hAnsi="Times New Roman" w:cs="Times New Roman"/>
          <w:b w:val="0"/>
          <w:i w:val="0"/>
          <w:sz w:val="22"/>
        </w:rPr>
        <w:t>- Multi-entity aware — supports trade, financing, distressed, and multi-shipment sub-entities.</w:t>
      </w:r>
    </w:p>
    <w:p>
      <w:pPr>
        <w:spacing w:after="80" w:line="293" w:lineRule="auto"/>
        <w:jc w:val="left"/>
      </w:pPr>
      <w:r>
        <w:rPr>
          <w:rFonts w:ascii="Times New Roman" w:hAnsi="Times New Roman" w:cs="Times New Roman"/>
          <w:b w:val="0"/>
          <w:i w:val="0"/>
          <w:sz w:val="22"/>
        </w:rPr>
        <w:t>All data is fetched from a single endpoint — `GET /v1/trade/{ustn}/command-center` (or the financing and distressed equivalents) — which returns aggregated, permission-filtered JSON.</w:t>
      </w:r>
    </w:p>
    <w:p>
      <w:pPr>
        <w:spacing w:after="80" w:line="293" w:lineRule="auto"/>
        <w:jc w:val="left"/>
      </w:pPr>
      <w:r>
        <w:rPr>
          <w:rFonts w:ascii="Times New Roman" w:hAnsi="Times New Roman" w:cs="Times New Roman"/>
          <w:b w:val="0"/>
          <w:i w:val="0"/>
          <w:sz w:val="22"/>
        </w:rPr>
        <w:t>AI integration: A1 (Groq → Ollama) generates the "why this matters" text, activity summaries, and assistant answers; A4 governs every action executed from the page.</w:t>
      </w:r>
    </w:p>
    <w:p>
      <w:pPr>
        <w:keepNext/>
        <w:spacing w:before="180" w:after="80"/>
        <w:outlineLvl w:val="2"/>
      </w:pPr>
      <w:r>
        <w:rPr>
          <w:rFonts w:ascii="Arial" w:hAnsi="Arial" w:cs="Arial"/>
          <w:b/>
          <w:i w:val="0"/>
          <w:color w:val="333333"/>
          <w:sz w:val="23"/>
        </w:rPr>
        <w:t>16.3.2 Layout &amp; Sections (for a Trade / Shipment)</w:t>
      </w:r>
    </w:p>
    <w:p>
      <w:pPr>
        <w:spacing w:after="80" w:line="293" w:lineRule="auto"/>
        <w:jc w:val="left"/>
      </w:pPr>
      <w:r>
        <w:rPr>
          <w:rFonts w:ascii="Times New Roman" w:hAnsi="Times New Roman" w:cs="Times New Roman"/>
          <w:b w:val="0"/>
          <w:i w:val="0"/>
          <w:sz w:val="22"/>
        </w:rPr>
        <w:t>The TCC is organised into anchored sections on a single page. The exact sections shown vary based on the entity type (trade, financing, distressed) and the user's active mode (Buyer, Seller, Financier, Logistics).</w:t>
      </w:r>
    </w:p>
    <w:p>
      <w:pPr>
        <w:keepNext/>
        <w:spacing w:before="140" w:after="60"/>
        <w:outlineLvl w:val="3"/>
      </w:pPr>
      <w:r>
        <w:rPr>
          <w:rFonts w:ascii="Arial" w:hAnsi="Arial" w:cs="Arial"/>
          <w:b/>
          <w:i/>
          <w:color w:val="333333"/>
          <w:sz w:val="22"/>
        </w:rPr>
        <w:t>A. Persistent Header</w:t>
      </w:r>
    </w:p>
    <w:p>
      <w:pPr>
        <w:spacing w:after="80" w:line="293" w:lineRule="auto"/>
        <w:jc w:val="left"/>
      </w:pPr>
      <w:r>
        <w:rPr>
          <w:rFonts w:ascii="Times New Roman" w:hAnsi="Times New Roman" w:cs="Times New Roman"/>
          <w:b w:val="0"/>
          <w:i w:val="0"/>
          <w:sz w:val="22"/>
        </w:rPr>
        <w:t>The USTN badge, entity status chip, phase indicator, quick actions (Raise Dispute, View Documents, Export), and the pending-action shortcut.</w:t>
      </w:r>
    </w:p>
    <w:p>
      <w:pPr>
        <w:keepNext/>
        <w:spacing w:before="140" w:after="60"/>
        <w:outlineLvl w:val="3"/>
      </w:pPr>
      <w:r>
        <w:rPr>
          <w:rFonts w:ascii="Arial" w:hAnsi="Arial" w:cs="Arial"/>
          <w:b/>
          <w:i/>
          <w:color w:val="333333"/>
          <w:sz w:val="22"/>
        </w:rPr>
        <w:t>B. Trade Progress Timeline (Horizontal)</w:t>
      </w:r>
    </w:p>
    <w:p>
      <w:pPr>
        <w:spacing w:after="80" w:line="293" w:lineRule="auto"/>
        <w:jc w:val="left"/>
      </w:pPr>
      <w:r>
        <w:rPr>
          <w:rFonts w:ascii="Times New Roman" w:hAnsi="Times New Roman" w:cs="Times New Roman"/>
          <w:b w:val="0"/>
          <w:i w:val="0"/>
          <w:sz w:val="22"/>
        </w:rPr>
        <w:t>A horizontal, colour-coded bar displays the classic trade phases:</w:t>
      </w:r>
    </w:p>
    <w:p>
      <w:pPr>
        <w:spacing w:after="0" w:before="0" w:line="240" w:lineRule="auto"/>
        <w:ind w:left="57"/>
        <w:jc w:val="left"/>
        <w:shd w:val="clear" w:fill="F2F2F2"/>
      </w:pPr>
      <w:r>
        <w:rPr>
          <w:rFonts w:ascii="Consolas" w:hAnsi="Consolas" w:cs="Consolas"/>
          <w:b w:val="0"/>
          <w:i w:val="0"/>
          <w:sz w:val="15"/>
        </w:rPr>
        <w:t>INITIATED → QUOTED → NEGOTIATED → CONTRACT_SIGNED → LOCKED (USTN) → IN_EXECUTION</w:t>
      </w:r>
    </w:p>
    <w:p>
      <w:pPr>
        <w:spacing w:after="0" w:before="0" w:line="240" w:lineRule="auto"/>
        <w:ind w:left="57"/>
        <w:jc w:val="left"/>
        <w:shd w:val="clear" w:fill="F2F2F2"/>
      </w:pPr>
      <w:r>
        <w:rPr>
          <w:rFonts w:ascii="Consolas" w:hAnsi="Consolas" w:cs="Consolas"/>
          <w:b w:val="0"/>
          <w:i w:val="0"/>
          <w:sz w:val="15"/>
        </w:rPr>
        <w:t>→ CUSTOMS → DELIVERED → SETTLED → RECONCILED → CLOSED</w:t>
      </w:r>
    </w:p>
    <w:p>
      <w:pPr>
        <w:spacing w:after="120" w:before="0"/>
      </w:pPr>
      <w:r>
        <w:rPr>
          <w:rFonts w:ascii="Times New Roman" w:hAnsi="Times New Roman" w:cs="Times New Roman"/>
          <w:b w:val="0"/>
          <w:i w:val="0"/>
          <w:sz w:val="4"/>
        </w:rPr>
        <w:t xml:space="preserve"> </w:t>
      </w:r>
    </w:p>
    <w:p>
      <w:pPr>
        <w:spacing w:after="80" w:line="293" w:lineRule="auto"/>
        <w:ind w:left="283"/>
        <w:jc w:val="left"/>
      </w:pPr>
      <w:r>
        <w:rPr>
          <w:rFonts w:ascii="Times New Roman" w:hAnsi="Times New Roman" w:cs="Times New Roman"/>
          <w:b w:val="0"/>
          <w:i w:val="0"/>
          <w:sz w:val="22"/>
        </w:rPr>
        <w:t>- For multi-shipment contracts: each shipment has its own mini-timeline below the master timeline.</w:t>
      </w:r>
    </w:p>
    <w:p>
      <w:pPr>
        <w:spacing w:after="80" w:line="293" w:lineRule="auto"/>
        <w:jc w:val="left"/>
      </w:pPr>
      <w:r>
        <w:rPr>
          <w:rFonts w:ascii="Times New Roman" w:hAnsi="Times New Roman" w:cs="Times New Roman"/>
          <w:b w:val="0"/>
          <w:i w:val="0"/>
          <w:sz w:val="22"/>
        </w:rPr>
        <w:t>Clicking a shipment's timeline segment opens that shipment's detailed view.</w:t>
      </w:r>
    </w:p>
    <w:p>
      <w:pPr>
        <w:spacing w:after="80" w:line="293" w:lineRule="auto"/>
        <w:ind w:left="283"/>
        <w:jc w:val="left"/>
      </w:pPr>
      <w:r>
        <w:rPr>
          <w:rFonts w:ascii="Times New Roman" w:hAnsi="Times New Roman" w:cs="Times New Roman"/>
          <w:b w:val="0"/>
          <w:i w:val="0"/>
          <w:sz w:val="22"/>
        </w:rPr>
        <w:t>- For financing entities: Requested → Bidding → Awarded → Active → Repaid.</w:t>
      </w:r>
    </w:p>
    <w:p>
      <w:pPr>
        <w:spacing w:after="80" w:line="293" w:lineRule="auto"/>
        <w:ind w:left="283"/>
        <w:jc w:val="left"/>
      </w:pPr>
      <w:r>
        <w:rPr>
          <w:rFonts w:ascii="Times New Roman" w:hAnsi="Times New Roman" w:cs="Times New Roman"/>
          <w:b w:val="0"/>
          <w:i w:val="0"/>
          <w:sz w:val="22"/>
        </w:rPr>
        <w:t>- For distressed entities: Declared → Assessed → Listed → Outreach → Offer Accepted →</w:t>
      </w:r>
    </w:p>
    <w:p>
      <w:pPr>
        <w:spacing w:after="80" w:line="293" w:lineRule="auto"/>
        <w:jc w:val="left"/>
      </w:pPr>
      <w:r>
        <w:rPr>
          <w:rFonts w:ascii="Times New Roman" w:hAnsi="Times New Roman" w:cs="Times New Roman"/>
          <w:b w:val="0"/>
          <w:i w:val="0"/>
          <w:sz w:val="22"/>
        </w:rPr>
        <w:t>Microcontract Locked → Completed.</w:t>
      </w:r>
    </w:p>
    <w:p>
      <w:pPr>
        <w:keepNext/>
        <w:spacing w:before="140" w:after="60"/>
        <w:outlineLvl w:val="3"/>
      </w:pPr>
      <w:r>
        <w:rPr>
          <w:rFonts w:ascii="Arial" w:hAnsi="Arial" w:cs="Arial"/>
          <w:b/>
          <w:i/>
          <w:color w:val="333333"/>
          <w:sz w:val="22"/>
        </w:rPr>
        <w:t>C. Pending Action Panel (Most Visually Prominent)</w:t>
      </w:r>
    </w:p>
    <w:p>
      <w:pPr>
        <w:spacing w:after="80" w:line="293" w:lineRule="auto"/>
        <w:jc w:val="left"/>
      </w:pPr>
      <w:r>
        <w:rPr>
          <w:rFonts w:ascii="Times New Roman" w:hAnsi="Times New Roman" w:cs="Times New Roman"/>
          <w:b w:val="0"/>
          <w:i w:val="0"/>
          <w:sz w:val="22"/>
        </w:rPr>
        <w:t>A coloured card (amber for standard actions, red for urgent) that displays:</w:t>
      </w:r>
    </w:p>
    <w:p>
      <w:pPr>
        <w:spacing w:after="80" w:line="293" w:lineRule="auto"/>
        <w:ind w:left="283"/>
        <w:jc w:val="left"/>
      </w:pPr>
      <w:r>
        <w:rPr>
          <w:rFonts w:ascii="Times New Roman" w:hAnsi="Times New Roman" w:cs="Times New Roman"/>
          <w:b w:val="0"/>
          <w:i w:val="0"/>
          <w:sz w:val="22"/>
        </w:rPr>
        <w:t>- The action label and one-click action button.</w:t>
      </w:r>
    </w:p>
    <w:p>
      <w:pPr>
        <w:spacing w:after="80" w:line="293" w:lineRule="auto"/>
        <w:ind w:left="283"/>
        <w:jc w:val="left"/>
      </w:pPr>
      <w:r>
        <w:rPr>
          <w:rFonts w:ascii="Times New Roman" w:hAnsi="Times New Roman" w:cs="Times New Roman"/>
          <w:b w:val="0"/>
          <w:i w:val="0"/>
          <w:sz w:val="22"/>
        </w:rPr>
        <w:t>- The deadline (with live countdown).</w:t>
      </w:r>
    </w:p>
    <w:p>
      <w:pPr>
        <w:spacing w:after="80" w:line="293" w:lineRule="auto"/>
        <w:ind w:left="283"/>
        <w:jc w:val="left"/>
      </w:pPr>
      <w:r>
        <w:rPr>
          <w:rFonts w:ascii="Times New Roman" w:hAnsi="Times New Roman" w:cs="Times New Roman"/>
          <w:b w:val="0"/>
          <w:i w:val="0"/>
          <w:sz w:val="22"/>
        </w:rPr>
        <w:t>- "Why this matters" — an A1-generated plain-language consequence statement.</w:t>
      </w:r>
    </w:p>
    <w:p>
      <w:pPr>
        <w:spacing w:after="80" w:line="293" w:lineRule="auto"/>
        <w:ind w:left="283"/>
        <w:jc w:val="left"/>
      </w:pPr>
      <w:r>
        <w:rPr>
          <w:rFonts w:ascii="Times New Roman" w:hAnsi="Times New Roman" w:cs="Times New Roman"/>
          <w:b w:val="0"/>
          <w:i w:val="0"/>
          <w:sz w:val="22"/>
        </w:rPr>
        <w:t>- The action link (executed through the Governor).</w:t>
      </w:r>
    </w:p>
    <w:p>
      <w:pPr>
        <w:keepNext/>
        <w:spacing w:before="140" w:after="60"/>
        <w:outlineLvl w:val="3"/>
      </w:pPr>
      <w:r>
        <w:rPr>
          <w:rFonts w:ascii="Arial" w:hAnsi="Arial" w:cs="Arial"/>
          <w:b/>
          <w:i/>
          <w:color w:val="333333"/>
          <w:sz w:val="22"/>
        </w:rPr>
        <w:t>D. Summary Cards (Grid of Expandable Cards)</w:t>
      </w:r>
    </w:p>
    <w:p>
      <w:pPr>
        <w:spacing w:after="80" w:line="293" w:lineRule="auto"/>
        <w:jc w:val="left"/>
      </w:pPr>
      <w:r>
        <w:rPr>
          <w:rFonts w:ascii="Times New Roman" w:hAnsi="Times New Roman" w:cs="Times New Roman"/>
          <w:b w:val="0"/>
          <w:i w:val="0"/>
          <w:sz w:val="22"/>
        </w:rPr>
        <w:t>A responsive grid (2–3 columns) of expandable cards, each representing a key dimension. Cards are greyed out if the user lacks permission.</w:t>
      </w:r>
    </w:p>
    <w:p>
      <w:pPr>
        <w:spacing w:after="80" w:line="293" w:lineRule="auto"/>
        <w:jc w:val="left"/>
      </w:pPr>
      <w:r>
        <w:rPr>
          <w:rFonts w:ascii="Times New Roman" w:hAnsi="Times New Roman" w:cs="Times New Roman"/>
          <w:b w:val="0"/>
          <w:i w:val="0"/>
          <w:sz w:val="22"/>
        </w:rPr>
        <w:t>D1. Commercial Terms Card — incoterm, total price, currency, payment timing, SGTX fee amount and payer, per-shipment pricing for multi-shipment contracts.</w:t>
      </w:r>
    </w:p>
    <w:p>
      <w:pPr>
        <w:spacing w:after="80" w:line="293" w:lineRule="auto"/>
        <w:jc w:val="left"/>
      </w:pPr>
      <w:r>
        <w:rPr>
          <w:rFonts w:ascii="Times New Roman" w:hAnsi="Times New Roman" w:cs="Times New Roman"/>
          <w:b w:val="0"/>
          <w:i w:val="0"/>
          <w:sz w:val="22"/>
        </w:rPr>
        <w:t>D2. Parties Card — buyer and seller legal names, GTIDs, trust scores, jurisdictions, KYB status.</w:t>
      </w:r>
    </w:p>
    <w:p>
      <w:pPr>
        <w:spacing w:after="80" w:line="293" w:lineRule="auto"/>
        <w:jc w:val="left"/>
      </w:pPr>
      <w:r>
        <w:rPr>
          <w:rFonts w:ascii="Times New Roman" w:hAnsi="Times New Roman" w:cs="Times New Roman"/>
          <w:b w:val="0"/>
          <w:i w:val="0"/>
          <w:sz w:val="22"/>
        </w:rPr>
        <w:t>D3. Shipment Status Card — vessel, voyage, container list, ETD/ETA, current milestone, delay status, AIS position link.</w:t>
      </w:r>
    </w:p>
    <w:p>
      <w:pPr>
        <w:spacing w:after="80" w:line="293" w:lineRule="auto"/>
        <w:jc w:val="left"/>
      </w:pPr>
      <w:r>
        <w:rPr>
          <w:rFonts w:ascii="Times New Roman" w:hAnsi="Times New Roman" w:cs="Times New Roman"/>
          <w:b w:val="0"/>
          <w:i w:val="0"/>
          <w:sz w:val="22"/>
        </w:rPr>
        <w:t>D4. Documents Card — verified / missing / pending counts, expiry warnings, one-click upload and request buttons, download-all.</w:t>
      </w:r>
    </w:p>
    <w:p>
      <w:pPr>
        <w:spacing w:after="80" w:line="293" w:lineRule="auto"/>
        <w:jc w:val="left"/>
      </w:pPr>
      <w:r>
        <w:rPr>
          <w:rFonts w:ascii="Times New Roman" w:hAnsi="Times New Roman" w:cs="Times New Roman"/>
          <w:b w:val="0"/>
          <w:i w:val="0"/>
          <w:sz w:val="22"/>
        </w:rPr>
        <w:t>D5. Finances Card — settlement status, SGTX fee paid flag, financing status (if any), outstanding invoices, deferred fees.</w:t>
      </w:r>
    </w:p>
    <w:p>
      <w:pPr>
        <w:spacing w:after="80" w:line="293" w:lineRule="auto"/>
        <w:jc w:val="left"/>
      </w:pPr>
      <w:r>
        <w:rPr>
          <w:rFonts w:ascii="Times New Roman" w:hAnsi="Times New Roman" w:cs="Times New Roman"/>
          <w:b w:val="0"/>
          <w:i w:val="0"/>
          <w:sz w:val="22"/>
        </w:rPr>
        <w:t>D6. Risk &amp; Compliance Card — risk score, sanctions clearance, jurisdiction matrix verdict, GNN risk flags.</w:t>
      </w:r>
    </w:p>
    <w:p>
      <w:pPr>
        <w:spacing w:after="80" w:line="293" w:lineRule="auto"/>
        <w:jc w:val="left"/>
      </w:pPr>
      <w:r>
        <w:rPr>
          <w:rFonts w:ascii="Times New Roman" w:hAnsi="Times New Roman" w:cs="Times New Roman"/>
          <w:b w:val="0"/>
          <w:i w:val="0"/>
          <w:sz w:val="22"/>
        </w:rPr>
        <w:t>D7. Logistics Card — engaged providers by service, addendum signature status, container release status, dispatch state.</w:t>
      </w:r>
    </w:p>
    <w:p>
      <w:pPr>
        <w:spacing w:after="80" w:line="293" w:lineRule="auto"/>
        <w:jc w:val="left"/>
      </w:pPr>
      <w:r>
        <w:rPr>
          <w:rFonts w:ascii="Times New Roman" w:hAnsi="Times New Roman" w:cs="Times New Roman"/>
          <w:b w:val="0"/>
          <w:i w:val="0"/>
          <w:sz w:val="22"/>
        </w:rPr>
        <w:t>D8. QC Card (if applicable) — inspection status, verdict (PASS / FAIL / CONDITIONAL), override count, conditional-pass action plan deadline.</w:t>
      </w:r>
    </w:p>
    <w:p>
      <w:pPr>
        <w:spacing w:after="80" w:line="293" w:lineRule="auto"/>
        <w:jc w:val="left"/>
      </w:pPr>
      <w:r>
        <w:rPr>
          <w:rFonts w:ascii="Times New Roman" w:hAnsi="Times New Roman" w:cs="Times New Roman"/>
          <w:b w:val="0"/>
          <w:i w:val="0"/>
          <w:sz w:val="22"/>
        </w:rPr>
        <w:t>D9. Multi-shipment Schedule Card — shipment list with dates, ports, status, per-shipment USTNs, progress bar, modification request entry point.</w:t>
      </w:r>
    </w:p>
    <w:p>
      <w:pPr>
        <w:spacing w:after="80" w:line="293" w:lineRule="auto"/>
        <w:jc w:val="left"/>
      </w:pPr>
      <w:r>
        <w:rPr>
          <w:rFonts w:ascii="Times New Roman" w:hAnsi="Times New Roman" w:cs="Times New Roman"/>
          <w:b w:val="0"/>
          <w:i w:val="0"/>
          <w:sz w:val="22"/>
        </w:rPr>
        <w:t>D10. Distressed Information Card — microUSTN, condition score, asking price, outreach window, buyer responses (when the trade has a distressed split).</w:t>
      </w:r>
    </w:p>
    <w:p>
      <w:pPr>
        <w:keepNext/>
        <w:spacing w:before="140" w:after="60"/>
        <w:outlineLvl w:val="3"/>
      </w:pPr>
      <w:r>
        <w:rPr>
          <w:rFonts w:ascii="Arial" w:hAnsi="Arial" w:cs="Arial"/>
          <w:b/>
          <w:i/>
          <w:color w:val="333333"/>
          <w:sz w:val="22"/>
        </w:rPr>
        <w:t>E. Activity Feed (Vertical Timeline)</w:t>
      </w:r>
    </w:p>
    <w:p>
      <w:pPr>
        <w:spacing w:after="80" w:line="293" w:lineRule="auto"/>
        <w:jc w:val="left"/>
      </w:pPr>
      <w:r>
        <w:rPr>
          <w:rFonts w:ascii="Times New Roman" w:hAnsi="Times New Roman" w:cs="Times New Roman"/>
          <w:b w:val="0"/>
          <w:i w:val="0"/>
          <w:sz w:val="22"/>
        </w:rPr>
        <w:t>A vertically scrolling, chronologically ordered list of every significant event in the entity's lifecycle. Example:</w:t>
      </w:r>
    </w:p>
    <w:p>
      <w:pPr>
        <w:spacing w:after="0" w:before="0" w:line="240" w:lineRule="auto"/>
        <w:ind w:left="57"/>
        <w:jc w:val="left"/>
        <w:shd w:val="clear" w:fill="F2F2F2"/>
      </w:pPr>
      <w:r>
        <w:rPr>
          <w:rFonts w:ascii="Consolas" w:hAnsi="Consolas" w:cs="Consolas"/>
          <w:b w:val="0"/>
          <w:i w:val="0"/>
          <w:sz w:val="15"/>
        </w:rPr>
        <w:t>2026-06-10 08:30 — Buyer created trade request</w:t>
      </w:r>
    </w:p>
    <w:p>
      <w:pPr>
        <w:spacing w:after="0" w:before="0" w:line="240" w:lineRule="auto"/>
        <w:ind w:left="57"/>
        <w:jc w:val="left"/>
        <w:shd w:val="clear" w:fill="F2F2F2"/>
      </w:pPr>
      <w:r>
        <w:rPr>
          <w:rFonts w:ascii="Consolas" w:hAnsi="Consolas" w:cs="Consolas"/>
          <w:b w:val="0"/>
          <w:i w:val="0"/>
          <w:sz w:val="15"/>
        </w:rPr>
        <w:t>2026-06-10 09:15 — Seller accepted request</w:t>
      </w:r>
    </w:p>
    <w:p>
      <w:pPr>
        <w:spacing w:after="0" w:before="0" w:line="240" w:lineRule="auto"/>
        <w:ind w:left="57"/>
        <w:jc w:val="left"/>
        <w:shd w:val="clear" w:fill="F2F2F2"/>
      </w:pPr>
      <w:r>
        <w:rPr>
          <w:rFonts w:ascii="Consolas" w:hAnsi="Consolas" w:cs="Consolas"/>
          <w:b w:val="0"/>
          <w:i w:val="0"/>
          <w:sz w:val="15"/>
        </w:rPr>
        <w:t>2026-06-11 14:20 — Seller submitted quote ($29,923.03, including SGTX fee $43.03)</w:t>
      </w:r>
    </w:p>
    <w:p>
      <w:pPr>
        <w:spacing w:after="0" w:before="0" w:line="240" w:lineRule="auto"/>
        <w:ind w:left="57"/>
        <w:jc w:val="left"/>
        <w:shd w:val="clear" w:fill="F2F2F2"/>
      </w:pPr>
      <w:r>
        <w:rPr>
          <w:rFonts w:ascii="Consolas" w:hAnsi="Consolas" w:cs="Consolas"/>
          <w:b w:val="0"/>
          <w:i w:val="0"/>
          <w:sz w:val="15"/>
        </w:rPr>
        <w:t>2026-06-12 10:00 — Buyer accepted quote</w:t>
      </w:r>
    </w:p>
    <w:p>
      <w:pPr>
        <w:spacing w:after="0" w:before="0" w:line="240" w:lineRule="auto"/>
        <w:ind w:left="57"/>
        <w:jc w:val="left"/>
        <w:shd w:val="clear" w:fill="F2F2F2"/>
      </w:pPr>
      <w:r>
        <w:rPr>
          <w:rFonts w:ascii="Consolas" w:hAnsi="Consolas" w:cs="Consolas"/>
          <w:b w:val="0"/>
          <w:i w:val="0"/>
          <w:sz w:val="15"/>
        </w:rPr>
        <w:t>2026-06-12 10:05 — Contract signed by seller (SGTX fee paid)</w:t>
      </w:r>
    </w:p>
    <w:p>
      <w:pPr>
        <w:spacing w:after="0" w:before="0" w:line="240" w:lineRule="auto"/>
        <w:ind w:left="57"/>
        <w:jc w:val="left"/>
        <w:shd w:val="clear" w:fill="F2F2F2"/>
      </w:pPr>
      <w:r>
        <w:rPr>
          <w:rFonts w:ascii="Consolas" w:hAnsi="Consolas" w:cs="Consolas"/>
          <w:b w:val="0"/>
          <w:i w:val="0"/>
          <w:sz w:val="15"/>
        </w:rPr>
        <w:t>2026-06-12 10:06 — Contract locked, USTN generated</w:t>
      </w:r>
    </w:p>
    <w:p>
      <w:pPr>
        <w:spacing w:after="0" w:before="0" w:line="240" w:lineRule="auto"/>
        <w:ind w:left="57"/>
        <w:jc w:val="left"/>
        <w:shd w:val="clear" w:fill="F2F2F2"/>
      </w:pPr>
      <w:r>
        <w:rPr>
          <w:rFonts w:ascii="Consolas" w:hAnsi="Consolas" w:cs="Consolas"/>
          <w:b w:val="0"/>
          <w:i w:val="0"/>
          <w:sz w:val="15"/>
        </w:rPr>
        <w:t>2026-06-13 08:00 — Loading window confirmed</w:t>
      </w:r>
    </w:p>
    <w:p>
      <w:pPr>
        <w:spacing w:after="0" w:before="0" w:line="240" w:lineRule="auto"/>
        <w:ind w:left="57"/>
        <w:jc w:val="left"/>
        <w:shd w:val="clear" w:fill="F2F2F2"/>
      </w:pPr>
      <w:r>
        <w:rPr>
          <w:rFonts w:ascii="Consolas" w:hAnsi="Consolas" w:cs="Consolas"/>
          <w:b w:val="0"/>
          <w:i w:val="0"/>
          <w:sz w:val="15"/>
        </w:rPr>
        <w:t>2026-06-14 06:30 — All pallets scanned, container loaded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entry includes: timestamp, actor (employee name and tenant), and link to the associated document or Governor decision.</w:t>
      </w:r>
    </w:p>
    <w:p>
      <w:pPr>
        <w:keepNext/>
        <w:spacing w:before="140" w:after="60"/>
        <w:outlineLvl w:val="3"/>
      </w:pPr>
      <w:r>
        <w:rPr>
          <w:rFonts w:ascii="Arial" w:hAnsi="Arial" w:cs="Arial"/>
          <w:b/>
          <w:i/>
          <w:color w:val="333333"/>
          <w:sz w:val="22"/>
        </w:rPr>
        <w:t>F. Collaborative Trade Room (Expandable Panel)</w:t>
      </w:r>
    </w:p>
    <w:p>
      <w:pPr>
        <w:spacing w:after="80" w:line="293" w:lineRule="auto"/>
        <w:jc w:val="left"/>
      </w:pPr>
      <w:r>
        <w:rPr>
          <w:rFonts w:ascii="Times New Roman" w:hAnsi="Times New Roman" w:cs="Times New Roman"/>
          <w:b w:val="0"/>
          <w:i w:val="0"/>
          <w:sz w:val="22"/>
        </w:rPr>
        <w:t>A collapsible panel at the bottom of the TCC that provides real-time chat and a shared task board. Built on NATS for chat and Yjs for the task board.</w:t>
      </w:r>
    </w:p>
    <w:p>
      <w:pPr>
        <w:spacing w:after="80" w:line="293" w:lineRule="auto"/>
        <w:ind w:left="283"/>
        <w:jc w:val="left"/>
      </w:pPr>
      <w:r>
        <w:rPr>
          <w:rFonts w:ascii="Times New Roman" w:hAnsi="Times New Roman" w:cs="Times New Roman"/>
          <w:b w:val="0"/>
          <w:i w:val="0"/>
          <w:sz w:val="22"/>
        </w:rPr>
        <w:t>- Messages can be tagged with offer IDs (for negotiation) or shipment numbers (for multi-shipment).</w:t>
      </w:r>
    </w:p>
    <w:p>
      <w:pPr>
        <w:spacing w:after="80" w:line="293" w:lineRule="auto"/>
        <w:ind w:left="283"/>
        <w:jc w:val="left"/>
      </w:pPr>
      <w:r>
        <w:rPr>
          <w:rFonts w:ascii="Times New Roman" w:hAnsi="Times New Roman" w:cs="Times New Roman"/>
          <w:b w:val="0"/>
          <w:i w:val="0"/>
          <w:sz w:val="22"/>
        </w:rPr>
        <w:t>- The AI assistant (A1) can answer questions about the trade.</w:t>
      </w:r>
    </w:p>
    <w:p>
      <w:pPr>
        <w:spacing w:after="80" w:line="293" w:lineRule="auto"/>
        <w:ind w:left="283"/>
        <w:jc w:val="left"/>
      </w:pPr>
      <w:r>
        <w:rPr>
          <w:rFonts w:ascii="Times New Roman" w:hAnsi="Times New Roman" w:cs="Times New Roman"/>
          <w:b w:val="0"/>
          <w:i w:val="0"/>
          <w:sz w:val="22"/>
        </w:rPr>
        <w:t>- Permissions-filtered: logistics providers see only the logistics-related channel.</w:t>
      </w:r>
    </w:p>
    <w:p>
      <w:pPr>
        <w:keepNext/>
        <w:spacing w:before="180" w:after="80"/>
        <w:outlineLvl w:val="2"/>
      </w:pPr>
      <w:r>
        <w:rPr>
          <w:rFonts w:ascii="Arial" w:hAnsi="Arial" w:cs="Arial"/>
          <w:b/>
          <w:i w:val="0"/>
          <w:color w:val="333333"/>
          <w:sz w:val="23"/>
        </w:rPr>
        <w:t>16.3.3 Backend Integration</w:t>
      </w:r>
    </w:p>
    <w:p>
      <w:pPr>
        <w:spacing w:after="80" w:line="293" w:lineRule="auto"/>
        <w:jc w:val="left"/>
      </w:pPr>
      <w:r>
        <w:rPr>
          <w:rFonts w:ascii="Times New Roman" w:hAnsi="Times New Roman" w:cs="Times New Roman"/>
          <w:b w:val="0"/>
          <w:i w:val="0"/>
          <w:sz w:val="22"/>
        </w:rPr>
        <w:t>Endpoints: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Entity</w:t>
            </w:r>
          </w:p>
        </w:tc>
        <w:tc>
          <w:tcPr>
            <w:tcW w:type="dxa" w:w="4819"/>
            <w:shd w:val="clear" w:fill="D9E2F3"/>
          </w:tcPr>
          <w:p>
            <w:pPr>
              <w:spacing w:after="20" w:before="20" w:line="240" w:lineRule="auto"/>
            </w:pPr>
            <w:r/>
            <w:r>
              <w:rPr>
                <w:rFonts w:ascii="Arial" w:hAnsi="Arial" w:cs="Arial"/>
                <w:b/>
                <w:i w:val="0"/>
                <w:sz w:val="18"/>
              </w:rPr>
              <w:t>Endpoint</w:t>
            </w:r>
          </w:p>
        </w:tc>
      </w:tr>
      <w:tr>
        <w:tc>
          <w:tcPr>
            <w:tcW w:type="dxa" w:w="4819"/>
          </w:tcPr>
          <w:p>
            <w:pPr>
              <w:spacing w:after="20" w:before="20" w:line="240" w:lineRule="auto"/>
            </w:pPr>
            <w:r/>
            <w:r>
              <w:rPr>
                <w:rFonts w:ascii="Arial" w:hAnsi="Arial" w:cs="Arial"/>
                <w:b w:val="0"/>
                <w:i w:val="0"/>
                <w:sz w:val="17"/>
              </w:rPr>
              <w:t>Trade / shipment</w:t>
            </w:r>
          </w:p>
        </w:tc>
        <w:tc>
          <w:tcPr>
            <w:tcW w:type="dxa" w:w="4819"/>
          </w:tcPr>
          <w:p>
            <w:pPr>
              <w:spacing w:after="20" w:before="20" w:line="240" w:lineRule="auto"/>
            </w:pPr>
            <w:r/>
            <w:r>
              <w:rPr>
                <w:rFonts w:ascii="Arial" w:hAnsi="Arial" w:cs="Arial"/>
                <w:b w:val="0"/>
                <w:i w:val="0"/>
                <w:sz w:val="17"/>
              </w:rPr>
              <w:t>GET /v1/trade/{ustn}/command-center</w:t>
            </w:r>
          </w:p>
        </w:tc>
      </w:tr>
      <w:tr>
        <w:tc>
          <w:tcPr>
            <w:tcW w:type="dxa" w:w="4819"/>
          </w:tcPr>
          <w:p>
            <w:pPr>
              <w:spacing w:after="20" w:before="20" w:line="240" w:lineRule="auto"/>
            </w:pPr>
            <w:r/>
            <w:r>
              <w:rPr>
                <w:rFonts w:ascii="Arial" w:hAnsi="Arial" w:cs="Arial"/>
                <w:b w:val="0"/>
                <w:i w:val="0"/>
                <w:sz w:val="17"/>
              </w:rPr>
              <w:t>Financing agreement</w:t>
            </w:r>
          </w:p>
        </w:tc>
        <w:tc>
          <w:tcPr>
            <w:tcW w:type="dxa" w:w="4819"/>
          </w:tcPr>
          <w:p>
            <w:pPr>
              <w:spacing w:after="20" w:before="20" w:line="240" w:lineRule="auto"/>
            </w:pPr>
            <w:r/>
            <w:r>
              <w:rPr>
                <w:rFonts w:ascii="Arial" w:hAnsi="Arial" w:cs="Arial"/>
                <w:b w:val="0"/>
                <w:i w:val="0"/>
                <w:sz w:val="17"/>
              </w:rPr>
              <w:t>GET /v1/financing/{id}/command-center</w:t>
            </w:r>
          </w:p>
        </w:tc>
      </w:tr>
      <w:tr>
        <w:tc>
          <w:tcPr>
            <w:tcW w:type="dxa" w:w="4819"/>
          </w:tcPr>
          <w:p>
            <w:pPr>
              <w:spacing w:after="20" w:before="20" w:line="240" w:lineRule="auto"/>
            </w:pPr>
            <w:r/>
            <w:r>
              <w:rPr>
                <w:rFonts w:ascii="Arial" w:hAnsi="Arial" w:cs="Arial"/>
                <w:b w:val="0"/>
                <w:i w:val="0"/>
                <w:sz w:val="17"/>
              </w:rPr>
              <w:t>Distressed micro-contract</w:t>
            </w:r>
          </w:p>
        </w:tc>
        <w:tc>
          <w:tcPr>
            <w:tcW w:type="dxa" w:w="4819"/>
          </w:tcPr>
          <w:p>
            <w:pPr>
              <w:spacing w:after="20" w:before="20" w:line="240" w:lineRule="auto"/>
            </w:pPr>
            <w:r/>
            <w:r>
              <w:rPr>
                <w:rFonts w:ascii="Arial" w:hAnsi="Arial" w:cs="Arial"/>
                <w:b w:val="0"/>
                <w:i w:val="0"/>
                <w:sz w:val="17"/>
              </w:rPr>
              <w:t>GET /v1/distressed/{id}/command-center</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Response structure: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"trade_status": "LOCKED",</w:t>
      </w:r>
    </w:p>
    <w:p>
      <w:pPr>
        <w:spacing w:after="0" w:before="0" w:line="240" w:lineRule="auto"/>
        <w:ind w:left="57"/>
        <w:jc w:val="left"/>
        <w:shd w:val="clear" w:fill="F2F2F2"/>
      </w:pPr>
      <w:r>
        <w:rPr>
          <w:rFonts w:ascii="Consolas" w:hAnsi="Consolas" w:cs="Consolas"/>
          <w:b w:val="0"/>
          <w:i w:val="0"/>
          <w:sz w:val="15"/>
        </w:rPr>
        <w:t xml:space="preserve">  "phase_progress": {</w:t>
      </w:r>
    </w:p>
    <w:p>
      <w:pPr>
        <w:spacing w:after="0" w:before="0" w:line="240" w:lineRule="auto"/>
        <w:ind w:left="57"/>
        <w:jc w:val="left"/>
        <w:shd w:val="clear" w:fill="F2F2F2"/>
      </w:pPr>
      <w:r>
        <w:rPr>
          <w:rFonts w:ascii="Consolas" w:hAnsi="Consolas" w:cs="Consolas"/>
          <w:b w:val="0"/>
          <w:i w:val="0"/>
          <w:sz w:val="15"/>
        </w:rPr>
        <w:t xml:space="preserve">    "current": "CONTRACT_SIGNED",</w:t>
      </w:r>
    </w:p>
    <w:p>
      <w:pPr>
        <w:spacing w:after="0" w:before="0" w:line="240" w:lineRule="auto"/>
        <w:ind w:left="57"/>
        <w:jc w:val="left"/>
        <w:shd w:val="clear" w:fill="F2F2F2"/>
      </w:pPr>
      <w:r>
        <w:rPr>
          <w:rFonts w:ascii="Consolas" w:hAnsi="Consolas" w:cs="Consolas"/>
          <w:b w:val="0"/>
          <w:i w:val="0"/>
          <w:sz w:val="15"/>
        </w:rPr>
        <w:t xml:space="preserve">    "completed": ["INITIATED", "QUOTED"],</w:t>
      </w:r>
    </w:p>
    <w:p>
      <w:pPr>
        <w:spacing w:after="0" w:before="0" w:line="240" w:lineRule="auto"/>
        <w:ind w:left="57"/>
        <w:jc w:val="left"/>
        <w:shd w:val="clear" w:fill="F2F2F2"/>
      </w:pPr>
      <w:r>
        <w:rPr>
          <w:rFonts w:ascii="Consolas" w:hAnsi="Consolas" w:cs="Consolas"/>
          <w:b w:val="0"/>
          <w:i w:val="0"/>
          <w:sz w:val="15"/>
        </w:rPr>
        <w:t xml:space="preserve">    "upcoming": ["IN_EXECUTION"]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"pending_action": {</w:t>
      </w:r>
    </w:p>
    <w:p>
      <w:pPr>
        <w:spacing w:after="0" w:before="0" w:line="240" w:lineRule="auto"/>
        <w:ind w:left="57"/>
        <w:jc w:val="left"/>
        <w:shd w:val="clear" w:fill="F2F2F2"/>
      </w:pPr>
      <w:r>
        <w:rPr>
          <w:rFonts w:ascii="Consolas" w:hAnsi="Consolas" w:cs="Consolas"/>
          <w:b w:val="0"/>
          <w:i w:val="0"/>
          <w:sz w:val="15"/>
        </w:rPr>
        <w:t xml:space="preserve">    "action": "Sign contract",</w:t>
      </w:r>
    </w:p>
    <w:p>
      <w:pPr>
        <w:spacing w:after="0" w:before="0" w:line="240" w:lineRule="auto"/>
        <w:ind w:left="57"/>
        <w:jc w:val="left"/>
        <w:shd w:val="clear" w:fill="F2F2F2"/>
      </w:pPr>
      <w:r>
        <w:rPr>
          <w:rFonts w:ascii="Consolas" w:hAnsi="Consolas" w:cs="Consolas"/>
          <w:b w:val="0"/>
          <w:i w:val="0"/>
          <w:sz w:val="15"/>
        </w:rPr>
        <w:t xml:space="preserve">    "deadline": "2026-06-14T14:00:00Z",</w:t>
      </w:r>
    </w:p>
    <w:p>
      <w:pPr>
        <w:spacing w:after="0" w:before="0" w:line="240" w:lineRule="auto"/>
        <w:ind w:left="57"/>
        <w:jc w:val="left"/>
        <w:shd w:val="clear" w:fill="F2F2F2"/>
      </w:pPr>
      <w:r>
        <w:rPr>
          <w:rFonts w:ascii="Consolas" w:hAnsi="Consolas" w:cs="Consolas"/>
          <w:b w:val="0"/>
          <w:i w:val="0"/>
          <w:sz w:val="15"/>
        </w:rPr>
        <w:t xml:space="preserve">    "why_it_matters": "Your signature will lock the contract and generate the USTN.",</w:t>
      </w:r>
    </w:p>
    <w:p>
      <w:pPr>
        <w:spacing w:after="0" w:before="0" w:line="240" w:lineRule="auto"/>
        <w:ind w:left="57"/>
        <w:jc w:val="left"/>
        <w:shd w:val="clear" w:fill="F2F2F2"/>
      </w:pPr>
      <w:r>
        <w:rPr>
          <w:rFonts w:ascii="Consolas" w:hAnsi="Consolas" w:cs="Consolas"/>
          <w:b w:val="0"/>
          <w:i w:val="0"/>
          <w:sz w:val="15"/>
        </w:rPr>
        <w:t xml:space="preserve">    "action_link": "/contract/sign",</w:t>
      </w:r>
    </w:p>
    <w:p>
      <w:pPr>
        <w:spacing w:after="0" w:before="0" w:line="240" w:lineRule="auto"/>
        <w:ind w:left="57"/>
        <w:jc w:val="left"/>
        <w:shd w:val="clear" w:fill="F2F2F2"/>
      </w:pPr>
      <w:r>
        <w:rPr>
          <w:rFonts w:ascii="Consolas" w:hAnsi="Consolas" w:cs="Consolas"/>
          <w:b w:val="0"/>
          <w:i w:val="0"/>
          <w:sz w:val="15"/>
        </w:rPr>
        <w:t xml:space="preserve">    "action_label": "Sign Now"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"summary_cards": {</w:t>
      </w:r>
    </w:p>
    <w:p>
      <w:pPr>
        <w:spacing w:after="0" w:before="0" w:line="240" w:lineRule="auto"/>
        <w:ind w:left="57"/>
        <w:jc w:val="left"/>
        <w:shd w:val="clear" w:fill="F2F2F2"/>
      </w:pPr>
      <w:r>
        <w:rPr>
          <w:rFonts w:ascii="Consolas" w:hAnsi="Consolas" w:cs="Consolas"/>
          <w:b w:val="0"/>
          <w:i w:val="0"/>
          <w:sz w:val="15"/>
        </w:rPr>
        <w:t xml:space="preserve">    "commercial": { "incoterm": "CFR", "total_price": 30240 },</w:t>
      </w:r>
    </w:p>
    <w:p>
      <w:pPr>
        <w:spacing w:after="0" w:before="0" w:line="240" w:lineRule="auto"/>
        <w:ind w:left="57"/>
        <w:jc w:val="left"/>
        <w:shd w:val="clear" w:fill="F2F2F2"/>
      </w:pPr>
      <w:r>
        <w:rPr>
          <w:rFonts w:ascii="Consolas" w:hAnsi="Consolas" w:cs="Consolas"/>
          <w:b w:val="0"/>
          <w:i w:val="0"/>
          <w:sz w:val="15"/>
        </w:rPr>
        <w:t xml:space="preserve">    "parties": { "buyer": {}, "seller": {} },</w:t>
      </w:r>
    </w:p>
    <w:p>
      <w:pPr>
        <w:spacing w:after="0" w:before="0" w:line="240" w:lineRule="auto"/>
        <w:ind w:left="57"/>
        <w:jc w:val="left"/>
        <w:shd w:val="clear" w:fill="F2F2F2"/>
      </w:pPr>
      <w:r>
        <w:rPr>
          <w:rFonts w:ascii="Consolas" w:hAnsi="Consolas" w:cs="Consolas"/>
          <w:b w:val="0"/>
          <w:i w:val="0"/>
          <w:sz w:val="15"/>
        </w:rPr>
        <w:t xml:space="preserve">    "shipment_status": { "vessel": "MSC FIONA", "eta": "2026-06-20T14:00:00Z" },</w:t>
      </w:r>
    </w:p>
    <w:p>
      <w:pPr>
        <w:spacing w:after="0" w:before="0" w:line="240" w:lineRule="auto"/>
        <w:ind w:left="57"/>
        <w:jc w:val="left"/>
        <w:shd w:val="clear" w:fill="F2F2F2"/>
      </w:pPr>
      <w:r>
        <w:rPr>
          <w:rFonts w:ascii="Consolas" w:hAnsi="Consolas" w:cs="Consolas"/>
          <w:b w:val="0"/>
          <w:i w:val="0"/>
          <w:sz w:val="15"/>
        </w:rPr>
        <w:t xml:space="preserve">    "documents": { "verified": 5, "missing": 1, "items": [] },</w:t>
      </w:r>
    </w:p>
    <w:p>
      <w:pPr>
        <w:spacing w:after="0" w:before="0" w:line="240" w:lineRule="auto"/>
        <w:ind w:left="57"/>
        <w:jc w:val="left"/>
        <w:shd w:val="clear" w:fill="F2F2F2"/>
      </w:pPr>
      <w:r>
        <w:rPr>
          <w:rFonts w:ascii="Consolas" w:hAnsi="Consolas" w:cs="Consolas"/>
          <w:b w:val="0"/>
          <w:i w:val="0"/>
          <w:sz w:val="15"/>
        </w:rPr>
        <w:t xml:space="preserve">    "finances": { "settlement_status": "PENDING", "sgtx_fee_paid": true },</w:t>
      </w:r>
    </w:p>
    <w:p>
      <w:pPr>
        <w:spacing w:after="0" w:before="0" w:line="240" w:lineRule="auto"/>
        <w:ind w:left="57"/>
        <w:jc w:val="left"/>
        <w:shd w:val="clear" w:fill="F2F2F2"/>
      </w:pPr>
      <w:r>
        <w:rPr>
          <w:rFonts w:ascii="Consolas" w:hAnsi="Consolas" w:cs="Consolas"/>
          <w:b w:val="0"/>
          <w:i w:val="0"/>
          <w:sz w:val="15"/>
        </w:rPr>
        <w:t xml:space="preserve">    "risk_compliance": { "risk_score": 12, "sanctions_cleared": true },</w:t>
      </w:r>
    </w:p>
    <w:p>
      <w:pPr>
        <w:spacing w:after="0" w:before="0" w:line="240" w:lineRule="auto"/>
        <w:ind w:left="57"/>
        <w:jc w:val="left"/>
        <w:shd w:val="clear" w:fill="F2F2F2"/>
      </w:pPr>
      <w:r>
        <w:rPr>
          <w:rFonts w:ascii="Consolas" w:hAnsi="Consolas" w:cs="Consolas"/>
          <w:b w:val="0"/>
          <w:i w:val="0"/>
          <w:sz w:val="15"/>
        </w:rPr>
        <w:t xml:space="preserve">    "logistics": { "providers": [], "release_status": "AUTHORISED" },</w:t>
      </w:r>
    </w:p>
    <w:p>
      <w:pPr>
        <w:spacing w:after="0" w:before="0" w:line="240" w:lineRule="auto"/>
        <w:ind w:left="57"/>
        <w:jc w:val="left"/>
        <w:shd w:val="clear" w:fill="F2F2F2"/>
      </w:pPr>
      <w:r>
        <w:rPr>
          <w:rFonts w:ascii="Consolas" w:hAnsi="Consolas" w:cs="Consolas"/>
          <w:b w:val="0"/>
          <w:i w:val="0"/>
          <w:sz w:val="15"/>
        </w:rPr>
        <w:t xml:space="preserve">    "qc": { "status": "COMPLETED", "verdict": "CONDITIONAL_PASS", "overrides": 1 },</w:t>
      </w:r>
    </w:p>
    <w:p>
      <w:pPr>
        <w:spacing w:after="0" w:before="0" w:line="240" w:lineRule="auto"/>
        <w:ind w:left="57"/>
        <w:jc w:val="left"/>
        <w:shd w:val="clear" w:fill="F2F2F2"/>
      </w:pPr>
      <w:r>
        <w:rPr>
          <w:rFonts w:ascii="Consolas" w:hAnsi="Consolas" w:cs="Consolas"/>
          <w:b w:val="0"/>
          <w:i w:val="0"/>
          <w:sz w:val="15"/>
        </w:rPr>
        <w:t xml:space="preserve">    "multi_shipment": { "shipments": [], "progress": 2 },</w:t>
      </w:r>
    </w:p>
    <w:p>
      <w:pPr>
        <w:spacing w:after="0" w:before="0" w:line="240" w:lineRule="auto"/>
        <w:ind w:left="57"/>
        <w:jc w:val="left"/>
        <w:shd w:val="clear" w:fill="F2F2F2"/>
      </w:pPr>
      <w:r>
        <w:rPr>
          <w:rFonts w:ascii="Consolas" w:hAnsi="Consolas" w:cs="Consolas"/>
          <w:b w:val="0"/>
          <w:i w:val="0"/>
          <w:sz w:val="15"/>
        </w:rPr>
        <w:t xml:space="preserve">    "distressed": { "micro_ustn": null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"activity_feed": [],</w:t>
      </w:r>
    </w:p>
    <w:p>
      <w:pPr>
        <w:spacing w:after="0" w:before="0" w:line="240" w:lineRule="auto"/>
        <w:ind w:left="57"/>
        <w:jc w:val="left"/>
        <w:shd w:val="clear" w:fill="F2F2F2"/>
      </w:pPr>
      <w:r>
        <w:rPr>
          <w:rFonts w:ascii="Consolas" w:hAnsi="Consolas" w:cs="Consolas"/>
          <w:b w:val="0"/>
          <w:i w:val="0"/>
          <w:sz w:val="15"/>
        </w:rPr>
        <w:t xml:space="preserve">  "trade_room": { "messages": [], "tasks": [] },</w:t>
      </w:r>
    </w:p>
    <w:p>
      <w:pPr>
        <w:spacing w:after="0" w:before="0" w:line="240" w:lineRule="auto"/>
        <w:ind w:left="57"/>
        <w:jc w:val="left"/>
        <w:shd w:val="clear" w:fill="F2F2F2"/>
      </w:pPr>
      <w:r>
        <w:rPr>
          <w:rFonts w:ascii="Consolas" w:hAnsi="Consolas" w:cs="Consolas"/>
          <w:b w:val="0"/>
          <w:i w:val="0"/>
          <w:sz w:val="15"/>
        </w:rPr>
        <w:t xml:space="preserve">  "permissions_map": {</w:t>
      </w:r>
    </w:p>
    <w:p>
      <w:pPr>
        <w:spacing w:after="0" w:before="0" w:line="240" w:lineRule="auto"/>
        <w:ind w:left="57"/>
        <w:jc w:val="left"/>
        <w:shd w:val="clear" w:fill="F2F2F2"/>
      </w:pPr>
      <w:r>
        <w:rPr>
          <w:rFonts w:ascii="Consolas" w:hAnsi="Consolas" w:cs="Consolas"/>
          <w:b w:val="0"/>
          <w:i w:val="0"/>
          <w:sz w:val="15"/>
        </w:rPr>
        <w:t xml:space="preserve">    "can_view_commercial": true,</w:t>
      </w:r>
    </w:p>
    <w:p>
      <w:pPr>
        <w:spacing w:after="0" w:before="0" w:line="240" w:lineRule="auto"/>
        <w:ind w:left="57"/>
        <w:jc w:val="left"/>
        <w:shd w:val="clear" w:fill="F2F2F2"/>
      </w:pPr>
      <w:r>
        <w:rPr>
          <w:rFonts w:ascii="Consolas" w:hAnsi="Consolas" w:cs="Consolas"/>
          <w:b w:val="0"/>
          <w:i w:val="0"/>
          <w:sz w:val="15"/>
        </w:rPr>
        <w:t xml:space="preserve">    "can_edit_logistics":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Real-time updates: the frontend subscribes to NATS topics (`trade.{ustn}.*`). When an event arrives, the tenant-experience-service sends a partial update via WebSocket; the TCC patches only the affected cards and the activity feed.</w:t>
      </w:r>
    </w:p>
    <w:p>
      <w:pPr>
        <w:keepNext/>
        <w:spacing w:before="240" w:after="100"/>
        <w:outlineLvl w:val="1"/>
      </w:pPr>
      <w:r>
        <w:rPr>
          <w:rFonts w:ascii="Arial" w:hAnsi="Arial" w:cs="Arial"/>
          <w:b/>
          <w:i w:val="0"/>
          <w:color w:val="2E528F"/>
          <w:sz w:val="26"/>
        </w:rPr>
        <w:t>16.4 PlainLanguage Governor Decision Panel</w:t>
      </w:r>
    </w:p>
    <w:p>
      <w:pPr>
        <w:keepNext/>
        <w:spacing w:before="180" w:after="80"/>
        <w:outlineLvl w:val="2"/>
      </w:pPr>
      <w:r>
        <w:rPr>
          <w:rFonts w:ascii="Arial" w:hAnsi="Arial" w:cs="Arial"/>
          <w:b/>
          <w:i w:val="0"/>
          <w:color w:val="333333"/>
          <w:sz w:val="23"/>
        </w:rPr>
        <w:t>16.4.1 Purpose &amp; Design Principles</w:t>
      </w:r>
    </w:p>
    <w:p>
      <w:pPr>
        <w:spacing w:after="80" w:line="293" w:lineRule="auto"/>
        <w:jc w:val="left"/>
      </w:pPr>
      <w:r>
        <w:rPr>
          <w:rFonts w:ascii="Times New Roman" w:hAnsi="Times New Roman" w:cs="Times New Roman"/>
          <w:b w:val="0"/>
          <w:i w:val="0"/>
          <w:sz w:val="22"/>
        </w:rPr>
        <w:t>Every Governor verdict that is not ALLOW must be translated instantly into a clear, human-readable message that explains why the action was blocked and what the tenant must do next. The PlainLanguage Governor Decision Panel is the universal, zero-jargon interface between the platform's constitutional enforcement layer and the human user. The panel appears automatically whenever a tenant attempts an irreversible action and the Governor returns DENY or CONDITIONAL. It can also be opened on demand via a "What's blocking me?" button found in the TCC, Smart Inbox, and any workflow screen.</w:t>
      </w:r>
    </w:p>
    <w:p>
      <w:pPr>
        <w:spacing w:after="80" w:line="293" w:lineRule="auto"/>
        <w:jc w:val="left"/>
      </w:pPr>
      <w:r>
        <w:rPr>
          <w:rFonts w:ascii="Times New Roman" w:hAnsi="Times New Roman" w:cs="Times New Roman"/>
          <w:b w:val="0"/>
          <w:i w:val="0"/>
          <w:sz w:val="22"/>
        </w:rPr>
        <w:t>Core principles:</w:t>
      </w:r>
    </w:p>
    <w:p>
      <w:pPr>
        <w:spacing w:after="80" w:line="293" w:lineRule="auto"/>
        <w:ind w:left="283"/>
        <w:jc w:val="left"/>
      </w:pPr>
      <w:r>
        <w:rPr>
          <w:rFonts w:ascii="Times New Roman" w:hAnsi="Times New Roman" w:cs="Times New Roman"/>
          <w:b w:val="0"/>
          <w:i w:val="0"/>
          <w:sz w:val="22"/>
        </w:rPr>
        <w:t>- Zero jargon — the tenant never sees "Governor", "OPA", "WasmEdge", "Loom", or "A2". Phrases</w:t>
      </w:r>
    </w:p>
    <w:p>
      <w:pPr>
        <w:spacing w:after="80" w:line="293" w:lineRule="auto"/>
        <w:jc w:val="left"/>
      </w:pPr>
      <w:r>
        <w:rPr>
          <w:rFonts w:ascii="Times New Roman" w:hAnsi="Times New Roman" w:cs="Times New Roman"/>
          <w:b w:val="0"/>
          <w:i w:val="0"/>
          <w:sz w:val="22"/>
        </w:rPr>
        <w:t>like "Your trade is on hold because…" are used.</w:t>
      </w:r>
    </w:p>
    <w:p>
      <w:pPr>
        <w:spacing w:after="80" w:line="293" w:lineRule="auto"/>
        <w:ind w:left="283"/>
        <w:jc w:val="left"/>
      </w:pPr>
      <w:r>
        <w:rPr>
          <w:rFonts w:ascii="Times New Roman" w:hAnsi="Times New Roman" w:cs="Times New Roman"/>
          <w:b w:val="0"/>
          <w:i w:val="0"/>
          <w:sz w:val="22"/>
        </w:rPr>
        <w:t>- Explain, then guide — three parts: a plain-language summary, a bullet list of specific unmet</w:t>
      </w:r>
    </w:p>
    <w:p>
      <w:pPr>
        <w:spacing w:after="80" w:line="293" w:lineRule="auto"/>
        <w:jc w:val="left"/>
      </w:pPr>
      <w:r>
        <w:rPr>
          <w:rFonts w:ascii="Times New Roman" w:hAnsi="Times New Roman" w:cs="Times New Roman"/>
          <w:b w:val="0"/>
          <w:i w:val="0"/>
          <w:sz w:val="22"/>
        </w:rPr>
        <w:t>conditions each with a status icon and clickable action, and a clear statement of what happens next.</w:t>
      </w:r>
    </w:p>
    <w:p>
      <w:pPr>
        <w:spacing w:after="80" w:line="293" w:lineRule="auto"/>
        <w:ind w:left="283"/>
        <w:jc w:val="left"/>
      </w:pPr>
      <w:r>
        <w:rPr>
          <w:rFonts w:ascii="Times New Roman" w:hAnsi="Times New Roman" w:cs="Times New Roman"/>
          <w:b w:val="0"/>
          <w:i w:val="0"/>
          <w:sz w:val="22"/>
        </w:rPr>
        <w:t>- Transparent authority — the panel may indicate "automated compliance rules" or "human reviewer</w:t>
      </w:r>
    </w:p>
    <w:p>
      <w:pPr>
        <w:spacing w:after="80" w:line="293" w:lineRule="auto"/>
        <w:jc w:val="left"/>
      </w:pPr>
      <w:r>
        <w:rPr>
          <w:rFonts w:ascii="Times New Roman" w:hAnsi="Times New Roman" w:cs="Times New Roman"/>
          <w:b w:val="0"/>
          <w:i w:val="0"/>
          <w:sz w:val="22"/>
        </w:rPr>
        <w:t>required", without revealing AI authority levels.</w:t>
      </w:r>
    </w:p>
    <w:p>
      <w:pPr>
        <w:spacing w:after="80" w:line="293" w:lineRule="auto"/>
        <w:ind w:left="283"/>
        <w:jc w:val="left"/>
      </w:pPr>
      <w:r>
        <w:rPr>
          <w:rFonts w:ascii="Times New Roman" w:hAnsi="Times New Roman" w:cs="Times New Roman"/>
          <w:b w:val="0"/>
          <w:i w:val="0"/>
          <w:sz w:val="22"/>
        </w:rPr>
        <w:t>- Real-time updates — if conditions are later resolved, the panel automatically refreshes via</w:t>
      </w:r>
    </w:p>
    <w:p>
      <w:pPr>
        <w:spacing w:after="80" w:line="293" w:lineRule="auto"/>
        <w:jc w:val="left"/>
      </w:pPr>
      <w:r>
        <w:rPr>
          <w:rFonts w:ascii="Times New Roman" w:hAnsi="Times New Roman" w:cs="Times New Roman"/>
          <w:b w:val="0"/>
          <w:i w:val="0"/>
          <w:sz w:val="22"/>
        </w:rPr>
        <w:t>NATS events.</w:t>
      </w:r>
    </w:p>
    <w:p>
      <w:pPr>
        <w:spacing w:after="80" w:line="293" w:lineRule="auto"/>
        <w:ind w:left="283"/>
        <w:jc w:val="left"/>
      </w:pPr>
      <w:r>
        <w:rPr>
          <w:rFonts w:ascii="Times New Roman" w:hAnsi="Times New Roman" w:cs="Times New Roman"/>
          <w:b w:val="0"/>
          <w:i w:val="0"/>
          <w:sz w:val="22"/>
        </w:rPr>
        <w:t>- Dual-mode context — if the user's active trader mode is the reason for the block, the panel</w:t>
      </w:r>
    </w:p>
    <w:p>
      <w:pPr>
        <w:spacing w:after="80" w:line="293" w:lineRule="auto"/>
        <w:jc w:val="left"/>
      </w:pPr>
      <w:r>
        <w:rPr>
          <w:rFonts w:ascii="Times New Roman" w:hAnsi="Times New Roman" w:cs="Times New Roman"/>
          <w:b w:val="0"/>
          <w:i w:val="0"/>
          <w:sz w:val="22"/>
        </w:rPr>
        <w:t>offers a single-click mode switch.</w:t>
      </w:r>
    </w:p>
    <w:p>
      <w:pPr>
        <w:keepNext/>
        <w:spacing w:before="180" w:after="80"/>
        <w:outlineLvl w:val="2"/>
      </w:pPr>
      <w:r>
        <w:rPr>
          <w:rFonts w:ascii="Arial" w:hAnsi="Arial" w:cs="Arial"/>
          <w:b/>
          <w:i w:val="0"/>
          <w:color w:val="333333"/>
          <w:sz w:val="23"/>
        </w:rPr>
        <w:t>16.4.2 Panel Structure</w:t>
      </w:r>
    </w:p>
    <w:p>
      <w:pPr>
        <w:spacing w:after="80" w:line="293" w:lineRule="auto"/>
        <w:jc w:val="left"/>
      </w:pPr>
      <w:r>
        <w:rPr>
          <w:rFonts w:ascii="Times New Roman" w:hAnsi="Times New Roman" w:cs="Times New Roman"/>
          <w:b w:val="0"/>
          <w:i w:val="0"/>
          <w:sz w:val="22"/>
        </w:rPr>
        <w:t>A. Header — action name that was blocked, USTN reference, verdict badge.</w:t>
      </w:r>
    </w:p>
    <w:p>
      <w:pPr>
        <w:spacing w:after="80" w:line="293" w:lineRule="auto"/>
        <w:jc w:val="left"/>
      </w:pPr>
      <w:r>
        <w:rPr>
          <w:rFonts w:ascii="Times New Roman" w:hAnsi="Times New Roman" w:cs="Times New Roman"/>
          <w:b w:val="0"/>
          <w:i w:val="0"/>
          <w:sz w:val="22"/>
        </w:rPr>
        <w:t>B. PlainLanguage explanation — a 2–3 sentence summary stored in `governor_decisions.tenant_message`, generated by A1 (Groq → Ollama) at decision time.</w:t>
      </w:r>
    </w:p>
    <w:p>
      <w:pPr>
        <w:spacing w:after="80" w:line="293" w:lineRule="auto"/>
        <w:jc w:val="left"/>
      </w:pPr>
      <w:r>
        <w:rPr>
          <w:rFonts w:ascii="Times New Roman" w:hAnsi="Times New Roman" w:cs="Times New Roman"/>
          <w:b w:val="0"/>
          <w:i w:val="0"/>
          <w:sz w:val="22"/>
        </w:rPr>
        <w:t>C. Condition checklist — a bullet list of specific unmet conditions from the `conditions` JSONB and `tenant_message.conditions`. Each condition row shows a status icon, the label, and a one-click remediation action. Example checklist:</w:t>
      </w:r>
    </w:p>
    <w:p>
      <w:pPr>
        <w:spacing w:after="80" w:line="293" w:lineRule="auto"/>
        <w:ind w:left="283"/>
        <w:jc w:val="left"/>
      </w:pPr>
      <w:r>
        <w:rPr>
          <w:rFonts w:ascii="Times New Roman" w:hAnsi="Times New Roman" w:cs="Times New Roman"/>
          <w:b w:val="0"/>
          <w:i w:val="0"/>
          <w:sz w:val="22"/>
        </w:rPr>
        <w:t>- ☐ Upload a valid business registration certificate from the seller. [Upload Now]</w:t>
      </w:r>
    </w:p>
    <w:p>
      <w:pPr>
        <w:spacing w:after="80" w:line="293" w:lineRule="auto"/>
        <w:ind w:left="283"/>
        <w:jc w:val="left"/>
      </w:pPr>
      <w:r>
        <w:rPr>
          <w:rFonts w:ascii="Times New Roman" w:hAnsi="Times New Roman" w:cs="Times New Roman"/>
          <w:b w:val="0"/>
          <w:i w:val="0"/>
          <w:sz w:val="22"/>
        </w:rPr>
        <w:t>- ☐ Provide a letter of credit from a recognised bank. [Contact Seller]</w:t>
      </w:r>
    </w:p>
    <w:p>
      <w:pPr>
        <w:spacing w:after="80" w:line="293" w:lineRule="auto"/>
        <w:ind w:left="283"/>
        <w:jc w:val="left"/>
      </w:pPr>
      <w:r>
        <w:rPr>
          <w:rFonts w:ascii="Times New Roman" w:hAnsi="Times New Roman" w:cs="Times New Roman"/>
          <w:b w:val="0"/>
          <w:i w:val="0"/>
          <w:sz w:val="22"/>
        </w:rPr>
        <w:t>- ☑ Buyer sanctions check passed.</w:t>
      </w:r>
    </w:p>
    <w:p>
      <w:pPr>
        <w:spacing w:after="80" w:line="293" w:lineRule="auto"/>
        <w:jc w:val="left"/>
      </w:pPr>
      <w:r>
        <w:rPr>
          <w:rFonts w:ascii="Times New Roman" w:hAnsi="Times New Roman" w:cs="Times New Roman"/>
          <w:b w:val="0"/>
          <w:i w:val="0"/>
          <w:sz w:val="22"/>
        </w:rPr>
        <w:t>D. Next step &amp; escalation — a clear statement of what happens once conditions are resolved, and a [Request Human Review] button that escalates to A3 (compliance officer responds within 24h).</w:t>
      </w:r>
    </w:p>
    <w:p>
      <w:pPr>
        <w:spacing w:after="80" w:line="293" w:lineRule="auto"/>
        <w:jc w:val="left"/>
      </w:pPr>
      <w:r>
        <w:rPr>
          <w:rFonts w:ascii="Times New Roman" w:hAnsi="Times New Roman" w:cs="Times New Roman"/>
          <w:b w:val="0"/>
          <w:i w:val="0"/>
          <w:sz w:val="22"/>
        </w:rPr>
        <w:t>E. Resolution timer &amp; escalation fallback — if a CONDITIONAL verdict remains unresolved for more than 12 hours, a countdown timer appears: "This hold will be automatically escalated to a human reviewer in 23h 12m if not resolved." When the timer expires, the workflow-recovery-service auto-escalates to A3.</w:t>
      </w:r>
    </w:p>
    <w:p>
      <w:pPr>
        <w:spacing w:after="80" w:line="293" w:lineRule="auto"/>
        <w:jc w:val="left"/>
      </w:pPr>
      <w:r>
        <w:rPr>
          <w:rFonts w:ascii="Times New Roman" w:hAnsi="Times New Roman" w:cs="Times New Roman"/>
          <w:b w:val="0"/>
          <w:i w:val="0"/>
          <w:sz w:val="22"/>
        </w:rPr>
        <w:t>F. Confidence &amp; evidence — if the decision involved an AI model (A2 or A3), the panel displays the model confidence (e.g., "Confidence: High (94%)") and an expandable evidence section listing the contributing signals with per-signal confidence (e.g., "UN Sanctions list update (2026-06-10) — confidence 98%", "Seller jurisdiction risk model — confidence 91%").</w:t>
      </w:r>
    </w:p>
    <w:p>
      <w:pPr>
        <w:keepNext/>
        <w:spacing w:before="180" w:after="80"/>
        <w:outlineLvl w:val="2"/>
      </w:pPr>
      <w:r>
        <w:rPr>
          <w:rFonts w:ascii="Arial" w:hAnsi="Arial" w:cs="Arial"/>
          <w:b/>
          <w:i w:val="0"/>
          <w:color w:val="333333"/>
          <w:sz w:val="23"/>
        </w:rPr>
        <w:t>16.4.3 Panel Example</w:t>
      </w:r>
    </w:p>
    <w:p>
      <w:pPr>
        <w:spacing w:after="80" w:line="293" w:lineRule="auto"/>
        <w:jc w:val="left"/>
      </w:pPr>
      <w:r>
        <w:rPr>
          <w:rFonts w:ascii="Times New Roman" w:hAnsi="Times New Roman" w:cs="Times New Roman"/>
          <w:b w:val="0"/>
          <w:i w:val="0"/>
          <w:sz w:val="22"/>
        </w:rPr>
        <w:t>Structured example (rendered from the canonical wireframe):</w:t>
      </w:r>
    </w:p>
    <w:p>
      <w:pPr>
        <w:spacing w:after="0" w:before="0" w:line="240" w:lineRule="auto"/>
        <w:ind w:left="57"/>
        <w:jc w:val="left"/>
        <w:shd w:val="clear" w:fill="F2F2F2"/>
      </w:pPr>
      <w:r>
        <w:rPr>
          <w:rFonts w:ascii="Consolas" w:hAnsi="Consolas" w:cs="Consolas"/>
          <w:b w:val="0"/>
          <w:i w:val="0"/>
          <w:sz w:val="15"/>
        </w:rPr>
        <w:t>Action Blocked: Contract Signing</w:t>
      </w:r>
    </w:p>
    <w:p>
      <w:pPr>
        <w:spacing w:after="0" w:before="0" w:line="240" w:lineRule="auto"/>
        <w:ind w:left="57"/>
        <w:jc w:val="left"/>
        <w:shd w:val="clear" w:fill="F2F2F2"/>
      </w:pPr>
      <w:r>
        <w:rPr>
          <w:rFonts w:ascii="Consolas" w:hAnsi="Consolas" w:cs="Consolas"/>
          <w:b w:val="0"/>
          <w:i w:val="0"/>
          <w:sz w:val="15"/>
        </w:rPr>
        <w:t>USTN: SGTX-EG-2026...-V1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Why this happened:</w:t>
      </w:r>
    </w:p>
    <w:p>
      <w:pPr>
        <w:spacing w:after="0" w:before="0" w:line="240" w:lineRule="auto"/>
        <w:ind w:left="57"/>
        <w:jc w:val="left"/>
        <w:shd w:val="clear" w:fill="F2F2F2"/>
      </w:pPr>
      <w:r>
        <w:rPr>
          <w:rFonts w:ascii="Consolas" w:hAnsi="Consolas" w:cs="Consolas"/>
          <w:b w:val="0"/>
          <w:i w:val="0"/>
          <w:sz w:val="15"/>
        </w:rPr>
        <w:t>The seller's jurisdiction (Yemen) requires enhanced due-diligence documentation.</w:t>
      </w:r>
    </w:p>
    <w:p>
      <w:pPr>
        <w:spacing w:after="0" w:before="0" w:line="240" w:lineRule="auto"/>
        <w:ind w:left="57"/>
        <w:jc w:val="left"/>
        <w:shd w:val="clear" w:fill="F2F2F2"/>
      </w:pPr>
      <w:r>
        <w:rPr>
          <w:rFonts w:ascii="Consolas" w:hAnsi="Consolas" w:cs="Consolas"/>
          <w:b w:val="0"/>
          <w:i w:val="0"/>
          <w:sz w:val="15"/>
        </w:rPr>
        <w:t>Our compliance system paused the process to protect both parties from regulatory risk.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What's needed:</w:t>
      </w:r>
    </w:p>
    <w:p>
      <w:pPr>
        <w:spacing w:after="0" w:before="0" w:line="240" w:lineRule="auto"/>
        <w:ind w:left="57"/>
        <w:jc w:val="left"/>
        <w:shd w:val="clear" w:fill="F2F2F2"/>
      </w:pPr>
      <w:r>
        <w:rPr>
          <w:rFonts w:ascii="Consolas" w:hAnsi="Consolas" w:cs="Consolas"/>
          <w:b w:val="0"/>
          <w:i w:val="0"/>
          <w:sz w:val="15"/>
        </w:rPr>
        <w:t>• Upload a valid business registration certificate from the seller. [Upload Now]</w:t>
      </w:r>
    </w:p>
    <w:p>
      <w:pPr>
        <w:spacing w:after="0" w:before="0" w:line="240" w:lineRule="auto"/>
        <w:ind w:left="57"/>
        <w:jc w:val="left"/>
        <w:shd w:val="clear" w:fill="F2F2F2"/>
      </w:pPr>
      <w:r>
        <w:rPr>
          <w:rFonts w:ascii="Consolas" w:hAnsi="Consolas" w:cs="Consolas"/>
          <w:b w:val="0"/>
          <w:i w:val="0"/>
          <w:sz w:val="15"/>
        </w:rPr>
        <w:t>• Provide a letter of credit from a recognised bank. [Contact Seller]</w:t>
      </w:r>
    </w:p>
    <w:p>
      <w:pPr>
        <w:spacing w:after="0" w:before="0" w:line="240" w:lineRule="auto"/>
        <w:ind w:left="57"/>
        <w:jc w:val="left"/>
        <w:shd w:val="clear" w:fill="F2F2F2"/>
      </w:pPr>
      <w:r>
        <w:rPr>
          <w:rFonts w:ascii="Consolas" w:hAnsi="Consolas" w:cs="Consolas"/>
          <w:b w:val="0"/>
          <w:i w:val="0"/>
          <w:sz w:val="15"/>
        </w:rPr>
        <w:t>• Buyer sanctions check passed.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Confidence: High (94%)</w:t>
      </w:r>
    </w:p>
    <w:p>
      <w:pPr>
        <w:spacing w:after="0" w:before="0" w:line="240" w:lineRule="auto"/>
        <w:ind w:left="57"/>
        <w:jc w:val="left"/>
        <w:shd w:val="clear" w:fill="F2F2F2"/>
      </w:pPr>
      <w:r>
        <w:rPr>
          <w:rFonts w:ascii="Consolas" w:hAnsi="Consolas" w:cs="Consolas"/>
          <w:b w:val="0"/>
          <w:i w:val="0"/>
          <w:sz w:val="15"/>
        </w:rPr>
        <w:t>Show evidence:</w:t>
      </w:r>
    </w:p>
    <w:p>
      <w:pPr>
        <w:spacing w:after="0" w:before="0" w:line="240" w:lineRule="auto"/>
        <w:ind w:left="57"/>
        <w:jc w:val="left"/>
        <w:shd w:val="clear" w:fill="F2F2F2"/>
      </w:pPr>
      <w:r>
        <w:rPr>
          <w:rFonts w:ascii="Consolas" w:hAnsi="Consolas" w:cs="Consolas"/>
          <w:b w:val="0"/>
          <w:i w:val="0"/>
          <w:sz w:val="15"/>
        </w:rPr>
        <w:t>• UN Sanctions list update (2026-06-10) — confidence 98%</w:t>
      </w:r>
    </w:p>
    <w:p>
      <w:pPr>
        <w:spacing w:after="0" w:before="0" w:line="240" w:lineRule="auto"/>
        <w:ind w:left="57"/>
        <w:jc w:val="left"/>
        <w:shd w:val="clear" w:fill="F2F2F2"/>
      </w:pPr>
      <w:r>
        <w:rPr>
          <w:rFonts w:ascii="Consolas" w:hAnsi="Consolas" w:cs="Consolas"/>
          <w:b w:val="0"/>
          <w:i w:val="0"/>
          <w:sz w:val="15"/>
        </w:rPr>
        <w:t>• Seller jurisdiction risk model — confidence 91%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What happens next:</w:t>
      </w:r>
    </w:p>
    <w:p>
      <w:pPr>
        <w:spacing w:after="0" w:before="0" w:line="240" w:lineRule="auto"/>
        <w:ind w:left="57"/>
        <w:jc w:val="left"/>
        <w:shd w:val="clear" w:fill="F2F2F2"/>
      </w:pPr>
      <w:r>
        <w:rPr>
          <w:rFonts w:ascii="Consolas" w:hAnsi="Consolas" w:cs="Consolas"/>
          <w:b w:val="0"/>
          <w:i w:val="0"/>
          <w:sz w:val="15"/>
        </w:rPr>
        <w:t>Once these documents are verified (usually within 2 hours), your contract will</w:t>
      </w:r>
    </w:p>
    <w:p>
      <w:pPr>
        <w:spacing w:after="0" w:before="0" w:line="240" w:lineRule="auto"/>
        <w:ind w:left="57"/>
        <w:jc w:val="left"/>
        <w:shd w:val="clear" w:fill="F2F2F2"/>
      </w:pPr>
      <w:r>
        <w:rPr>
          <w:rFonts w:ascii="Consolas" w:hAnsi="Consolas" w:cs="Consolas"/>
          <w:b w:val="0"/>
          <w:i w:val="0"/>
          <w:sz w:val="15"/>
        </w:rPr>
        <w:t>automatically proceed.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If you believe this decision is incorrect:</w:t>
      </w:r>
    </w:p>
    <w:p>
      <w:pPr>
        <w:spacing w:after="0" w:before="0" w:line="240" w:lineRule="auto"/>
        <w:ind w:left="57"/>
        <w:jc w:val="left"/>
        <w:shd w:val="clear" w:fill="F2F2F2"/>
      </w:pPr>
      <w:r>
        <w:rPr>
          <w:rFonts w:ascii="Consolas" w:hAnsi="Consolas" w:cs="Consolas"/>
          <w:b w:val="0"/>
          <w:i w:val="0"/>
          <w:sz w:val="15"/>
        </w:rPr>
        <w:t>[Request Human Review] — a compliance officer will respond within 24h.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This hold will auto-escalate in 23h 12m if unresolved.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16.4.4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/v1/governor/decisions/{decision_id}</w:t>
            </w:r>
          </w:p>
        </w:tc>
        <w:tc>
          <w:tcPr>
            <w:tcW w:type="dxa" w:w="3213"/>
          </w:tcPr>
          <w:p>
            <w:pPr>
              <w:spacing w:after="20" w:before="20" w:line="240" w:lineRule="auto"/>
            </w:pPr>
            <w:r/>
            <w:r>
              <w:rPr>
                <w:rFonts w:ascii="Arial" w:hAnsi="Arial" w:cs="Arial"/>
                <w:b w:val="0"/>
                <w:i w:val="0"/>
                <w:sz w:val="17"/>
              </w:rPr>
              <w:t>Fetch decision with tenant_message and conditions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/v1/governor/decisions/{decision_id}/human-review</w:t>
            </w:r>
          </w:p>
        </w:tc>
        <w:tc>
          <w:tcPr>
            <w:tcW w:type="dxa" w:w="3213"/>
          </w:tcPr>
          <w:p>
            <w:pPr>
              <w:spacing w:after="20" w:before="20" w:line="240" w:lineRule="auto"/>
            </w:pPr>
            <w:r/>
            <w:r>
              <w:rPr>
                <w:rFonts w:ascii="Arial" w:hAnsi="Arial" w:cs="Arial"/>
                <w:b w:val="0"/>
                <w:i w:val="0"/>
                <w:sz w:val="17"/>
              </w:rPr>
              <w:t>Request A3 human review</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/v1/governor/decisions/{decision_id}/evidence</w:t>
            </w:r>
          </w:p>
        </w:tc>
        <w:tc>
          <w:tcPr>
            <w:tcW w:type="dxa" w:w="3213"/>
          </w:tcPr>
          <w:p>
            <w:pPr>
              <w:spacing w:after="20" w:before="20" w:line="240" w:lineRule="auto"/>
            </w:pPr>
            <w:r/>
            <w:r>
              <w:rPr>
                <w:rFonts w:ascii="Arial" w:hAnsi="Arial" w:cs="Arial"/>
                <w:b w:val="0"/>
                <w:i w:val="0"/>
                <w:sz w:val="17"/>
              </w:rPr>
              <w:t>Fetch confidence and evidence signals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16.4.5 Blocker Model &amp; Auditable Explanations</w:t>
      </w:r>
    </w:p>
    <w:p>
      <w:pPr>
        <w:spacing w:after="80" w:line="293" w:lineRule="auto"/>
        <w:jc w:val="left"/>
      </w:pPr>
      <w:r>
        <w:rPr>
          <w:rFonts w:ascii="Times New Roman" w:hAnsi="Times New Roman" w:cs="Times New Roman"/>
          <w:b w:val="0"/>
          <w:i w:val="0"/>
          <w:sz w:val="22"/>
        </w:rPr>
        <w:t>Every blocker surfaced anywhere in the UI is a first-class object with complete, auditable semantics. The blocker record contains:</w:t>
      </w:r>
    </w:p>
    <w:p>
      <w:pPr>
        <w:spacing w:after="0" w:before="0" w:line="240" w:lineRule="auto"/>
        <w:ind w:left="57"/>
        <w:jc w:val="left"/>
        <w:shd w:val="clear" w:fill="F2F2F2"/>
      </w:pPr>
      <w:r>
        <w:rPr>
          <w:rFonts w:ascii="Consolas" w:hAnsi="Consolas" w:cs="Consolas"/>
          <w:b w:val="0"/>
          <w:i w:val="0"/>
          <w:sz w:val="15"/>
        </w:rPr>
        <w:t>blocker_id             unique identifier of the blocking condition</w:t>
      </w:r>
    </w:p>
    <w:p>
      <w:pPr>
        <w:spacing w:after="0" w:before="0" w:line="240" w:lineRule="auto"/>
        <w:ind w:left="57"/>
        <w:jc w:val="left"/>
        <w:shd w:val="clear" w:fill="F2F2F2"/>
      </w:pPr>
      <w:r>
        <w:rPr>
          <w:rFonts w:ascii="Consolas" w:hAnsi="Consolas" w:cs="Consolas"/>
          <w:b w:val="0"/>
          <w:i w:val="0"/>
          <w:sz w:val="15"/>
        </w:rPr>
        <w:t>domain                 state-vector domain the blocker belongs to</w:t>
      </w:r>
    </w:p>
    <w:p>
      <w:pPr>
        <w:spacing w:after="0" w:before="0" w:line="240" w:lineRule="auto"/>
        <w:ind w:left="57"/>
        <w:jc w:val="left"/>
        <w:shd w:val="clear" w:fill="F2F2F2"/>
      </w:pPr>
      <w:r>
        <w:rPr>
          <w:rFonts w:ascii="Consolas" w:hAnsi="Consolas" w:cs="Consolas"/>
          <w:b w:val="0"/>
          <w:i w:val="0"/>
          <w:sz w:val="15"/>
        </w:rPr>
        <w:t>reason                 plain-language reason the action is blocked</w:t>
      </w:r>
    </w:p>
    <w:p>
      <w:pPr>
        <w:spacing w:after="0" w:before="0" w:line="240" w:lineRule="auto"/>
        <w:ind w:left="57"/>
        <w:jc w:val="left"/>
        <w:shd w:val="clear" w:fill="F2F2F2"/>
      </w:pPr>
      <w:r>
        <w:rPr>
          <w:rFonts w:ascii="Consolas" w:hAnsi="Consolas" w:cs="Consolas"/>
          <w:b w:val="0"/>
          <w:i w:val="0"/>
          <w:sz w:val="15"/>
        </w:rPr>
        <w:t>authority              the authoritative system or policy that owns the condition</w:t>
      </w:r>
    </w:p>
    <w:p>
      <w:pPr>
        <w:spacing w:after="0" w:before="0" w:line="240" w:lineRule="auto"/>
        <w:ind w:left="57"/>
        <w:jc w:val="left"/>
        <w:shd w:val="clear" w:fill="F2F2F2"/>
      </w:pPr>
      <w:r>
        <w:rPr>
          <w:rFonts w:ascii="Consolas" w:hAnsi="Consolas" w:cs="Consolas"/>
          <w:b w:val="0"/>
          <w:i w:val="0"/>
          <w:sz w:val="15"/>
        </w:rPr>
        <w:t>evidence               evidence references supporting the blocker</w:t>
      </w:r>
    </w:p>
    <w:p>
      <w:pPr>
        <w:spacing w:after="0" w:before="0" w:line="240" w:lineRule="auto"/>
        <w:ind w:left="57"/>
        <w:jc w:val="left"/>
        <w:shd w:val="clear" w:fill="F2F2F2"/>
      </w:pPr>
      <w:r>
        <w:rPr>
          <w:rFonts w:ascii="Consolas" w:hAnsi="Consolas" w:cs="Consolas"/>
          <w:b w:val="0"/>
          <w:i w:val="0"/>
          <w:sz w:val="15"/>
        </w:rPr>
        <w:t>required_action        the action that resolves the blocker, if any</w:t>
      </w:r>
    </w:p>
    <w:p>
      <w:pPr>
        <w:spacing w:after="0" w:before="0" w:line="240" w:lineRule="auto"/>
        <w:ind w:left="57"/>
        <w:jc w:val="left"/>
        <w:shd w:val="clear" w:fill="F2F2F2"/>
      </w:pPr>
      <w:r>
        <w:rPr>
          <w:rFonts w:ascii="Consolas" w:hAnsi="Consolas" w:cs="Consolas"/>
          <w:b w:val="0"/>
          <w:i w:val="0"/>
          <w:sz w:val="15"/>
        </w:rPr>
        <w:t>responsible_party      the party responsible for that action, if any</w:t>
      </w:r>
    </w:p>
    <w:p>
      <w:pPr>
        <w:spacing w:after="0" w:before="0" w:line="240" w:lineRule="auto"/>
        <w:ind w:left="57"/>
        <w:jc w:val="left"/>
        <w:shd w:val="clear" w:fill="F2F2F2"/>
      </w:pPr>
      <w:r>
        <w:rPr>
          <w:rFonts w:ascii="Consolas" w:hAnsi="Consolas" w:cs="Consolas"/>
          <w:b w:val="0"/>
          <w:i w:val="0"/>
          <w:sz w:val="15"/>
        </w:rPr>
        <w:t>policy                 policy and version under which the condition blocks</w:t>
      </w:r>
    </w:p>
    <w:p>
      <w:pPr>
        <w:spacing w:after="0" w:before="0" w:line="240" w:lineRule="auto"/>
        <w:ind w:left="57"/>
        <w:jc w:val="left"/>
        <w:shd w:val="clear" w:fill="F2F2F2"/>
      </w:pPr>
      <w:r>
        <w:rPr>
          <w:rFonts w:ascii="Consolas" w:hAnsi="Consolas" w:cs="Consolas"/>
          <w:b w:val="0"/>
          <w:i w:val="0"/>
          <w:sz w:val="15"/>
        </w:rPr>
        <w:t>severity               blocker severity band</w:t>
      </w:r>
    </w:p>
    <w:p>
      <w:pPr>
        <w:spacing w:after="0" w:before="0" w:line="240" w:lineRule="auto"/>
        <w:ind w:left="57"/>
        <w:jc w:val="left"/>
        <w:shd w:val="clear" w:fill="F2F2F2"/>
      </w:pPr>
      <w:r>
        <w:rPr>
          <w:rFonts w:ascii="Consolas" w:hAnsi="Consolas" w:cs="Consolas"/>
          <w:b w:val="0"/>
          <w:i w:val="0"/>
          <w:sz w:val="15"/>
        </w:rPr>
        <w:t>created_at             when the blocking condition was evaluated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Worked example, rendered in the Simple presentation mode (Section 16.4.6):</w:t>
      </w:r>
    </w:p>
    <w:p>
      <w:pPr>
        <w:spacing w:after="0" w:before="0" w:line="240" w:lineRule="auto"/>
        <w:ind w:left="57"/>
        <w:jc w:val="left"/>
        <w:shd w:val="clear" w:fill="F2F2F2"/>
      </w:pPr>
      <w:r>
        <w:rPr>
          <w:rFonts w:ascii="Consolas" w:hAnsi="Consolas" w:cs="Consolas"/>
          <w:b w:val="0"/>
          <w:i w:val="0"/>
          <w:sz w:val="15"/>
        </w:rPr>
        <w:t>BLOCKED</w:t>
      </w:r>
    </w:p>
    <w:p>
      <w:pPr>
        <w:spacing w:after="0" w:before="0" w:line="240" w:lineRule="auto"/>
        <w:ind w:left="57"/>
        <w:jc w:val="left"/>
        <w:shd w:val="clear" w:fill="F2F2F2"/>
      </w:pPr>
      <w:r>
        <w:rPr>
          <w:rFonts w:ascii="Consolas" w:hAnsi="Consolas" w:cs="Consolas"/>
          <w:b w:val="0"/>
          <w:i w:val="0"/>
          <w:sz w:val="15"/>
        </w:rPr>
        <w:t xml:space="preserve">  Reason:   Export customs confirmation not received.</w:t>
      </w:r>
    </w:p>
    <w:p>
      <w:pPr>
        <w:spacing w:after="0" w:before="0" w:line="240" w:lineRule="auto"/>
        <w:ind w:left="57"/>
        <w:jc w:val="left"/>
        <w:shd w:val="clear" w:fill="F2F2F2"/>
      </w:pPr>
      <w:r>
        <w:rPr>
          <w:rFonts w:ascii="Consolas" w:hAnsi="Consolas" w:cs="Consolas"/>
          <w:b w:val="0"/>
          <w:i w:val="0"/>
          <w:sz w:val="15"/>
        </w:rPr>
        <w:t xml:space="preserve">  Authority: Nafeza</w:t>
      </w:r>
    </w:p>
    <w:p>
      <w:pPr>
        <w:spacing w:after="0" w:before="0" w:line="240" w:lineRule="auto"/>
        <w:ind w:left="57"/>
        <w:jc w:val="left"/>
        <w:shd w:val="clear" w:fill="F2F2F2"/>
      </w:pPr>
      <w:r>
        <w:rPr>
          <w:rFonts w:ascii="Consolas" w:hAnsi="Consolas" w:cs="Consolas"/>
          <w:b w:val="0"/>
          <w:i w:val="0"/>
          <w:sz w:val="15"/>
        </w:rPr>
        <w:t xml:space="preserve">  Status:   Pending external confirmation</w:t>
      </w:r>
    </w:p>
    <w:p>
      <w:pPr>
        <w:spacing w:after="0" w:before="0" w:line="240" w:lineRule="auto"/>
        <w:ind w:left="57"/>
        <w:jc w:val="left"/>
        <w:shd w:val="clear" w:fill="F2F2F2"/>
      </w:pPr>
      <w:r>
        <w:rPr>
          <w:rFonts w:ascii="Consolas" w:hAnsi="Consolas" w:cs="Consolas"/>
          <w:b w:val="0"/>
          <w:i w:val="0"/>
          <w:sz w:val="15"/>
        </w:rPr>
        <w:t xml:space="preserve">  Action:   No action required from you.</w:t>
      </w:r>
    </w:p>
    <w:p>
      <w:pPr>
        <w:spacing w:after="0" w:before="0" w:line="240" w:lineRule="auto"/>
        <w:ind w:left="57"/>
        <w:jc w:val="left"/>
        <w:shd w:val="clear" w:fill="F2F2F2"/>
      </w:pPr>
      <w:r>
        <w:rPr>
          <w:rFonts w:ascii="Consolas" w:hAnsi="Consolas" w:cs="Consolas"/>
          <w:b w:val="0"/>
          <w:i w:val="0"/>
          <w:sz w:val="15"/>
        </w:rPr>
        <w:t xml:space="preserve">  Next expected event: Customs confirmation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user is never told that an AI blocked them. The canonical message when AI analysis contributes to identifying a condition is: a policy or authority requirement is blocking this action; AI identified and explained the issue. Blocking authority always belongs to policy, the Governor, or an external authority — never to an AI subsystem (Section 19.79.1).</w:t>
      </w:r>
    </w:p>
    <w:p>
      <w:pPr>
        <w:spacing w:after="80" w:line="293" w:lineRule="auto"/>
        <w:jc w:val="left"/>
      </w:pPr>
      <w:r>
        <w:rPr>
          <w:rFonts w:ascii="Times New Roman" w:hAnsi="Times New Roman" w:cs="Times New Roman"/>
          <w:b w:val="0"/>
          <w:i w:val="0"/>
          <w:sz w:val="22"/>
        </w:rPr>
        <w:t>Every important decision is auditable as a complete explanation. The canonical explanation composition is:</w:t>
      </w:r>
    </w:p>
    <w:p>
      <w:pPr>
        <w:spacing w:after="0" w:before="0" w:line="240" w:lineRule="auto"/>
        <w:ind w:left="57"/>
        <w:jc w:val="left"/>
        <w:shd w:val="clear" w:fill="F2F2F2"/>
      </w:pPr>
      <w:r>
        <w:rPr>
          <w:rFonts w:ascii="Consolas" w:hAnsi="Consolas" w:cs="Consolas"/>
          <w:b w:val="0"/>
          <w:i w:val="0"/>
          <w:sz w:val="15"/>
        </w:rPr>
        <w:t>Human Intent</w:t>
      </w:r>
    </w:p>
    <w:p>
      <w:pPr>
        <w:spacing w:after="0" w:before="0" w:line="240" w:lineRule="auto"/>
        <w:ind w:left="57"/>
        <w:jc w:val="left"/>
        <w:shd w:val="clear" w:fill="F2F2F2"/>
      </w:pPr>
      <w:r>
        <w:rPr>
          <w:rFonts w:ascii="Consolas" w:hAnsi="Consolas" w:cs="Consolas"/>
          <w:b w:val="0"/>
          <w:i w:val="0"/>
          <w:sz w:val="15"/>
        </w:rPr>
        <w:t>+ Policy (policy_version)</w:t>
      </w:r>
    </w:p>
    <w:p>
      <w:pPr>
        <w:spacing w:after="0" w:before="0" w:line="240" w:lineRule="auto"/>
        <w:ind w:left="57"/>
        <w:jc w:val="left"/>
        <w:shd w:val="clear" w:fill="F2F2F2"/>
      </w:pPr>
      <w:r>
        <w:rPr>
          <w:rFonts w:ascii="Consolas" w:hAnsi="Consolas" w:cs="Consolas"/>
          <w:b w:val="0"/>
          <w:i w:val="0"/>
          <w:sz w:val="15"/>
        </w:rPr>
        <w:t>+ Constitution (Layer 0)</w:t>
      </w:r>
    </w:p>
    <w:p>
      <w:pPr>
        <w:spacing w:after="0" w:before="0" w:line="240" w:lineRule="auto"/>
        <w:ind w:left="57"/>
        <w:jc w:val="left"/>
        <w:shd w:val="clear" w:fill="F2F2F2"/>
      </w:pPr>
      <w:r>
        <w:rPr>
          <w:rFonts w:ascii="Consolas" w:hAnsi="Consolas" w:cs="Consolas"/>
          <w:b w:val="0"/>
          <w:i w:val="0"/>
          <w:sz w:val="15"/>
        </w:rPr>
        <w:t>+ Authoritative Evidence</w:t>
      </w:r>
    </w:p>
    <w:p>
      <w:pPr>
        <w:spacing w:after="0" w:before="0" w:line="240" w:lineRule="auto"/>
        <w:ind w:left="57"/>
        <w:jc w:val="left"/>
        <w:shd w:val="clear" w:fill="F2F2F2"/>
      </w:pPr>
      <w:r>
        <w:rPr>
          <w:rFonts w:ascii="Consolas" w:hAnsi="Consolas" w:cs="Consolas"/>
          <w:b w:val="0"/>
          <w:i w:val="0"/>
          <w:sz w:val="15"/>
        </w:rPr>
        <w:t>+ External State</w:t>
      </w:r>
    </w:p>
    <w:p>
      <w:pPr>
        <w:spacing w:after="0" w:before="0" w:line="240" w:lineRule="auto"/>
        <w:ind w:left="57"/>
        <w:jc w:val="left"/>
        <w:shd w:val="clear" w:fill="F2F2F2"/>
      </w:pPr>
      <w:r>
        <w:rPr>
          <w:rFonts w:ascii="Consolas" w:hAnsi="Consolas" w:cs="Consolas"/>
          <w:b w:val="0"/>
          <w:i w:val="0"/>
          <w:sz w:val="15"/>
        </w:rPr>
        <w:t>+ AI Advisory Context (model, version, provider, timestamp, confidence)</w:t>
      </w:r>
    </w:p>
    <w:p>
      <w:pPr>
        <w:spacing w:after="0" w:before="0" w:line="240" w:lineRule="auto"/>
        <w:ind w:left="57"/>
        <w:jc w:val="left"/>
        <w:shd w:val="clear" w:fill="F2F2F2"/>
      </w:pPr>
      <w:r>
        <w:rPr>
          <w:rFonts w:ascii="Consolas" w:hAnsi="Consolas" w:cs="Consolas"/>
          <w:b w:val="0"/>
          <w:i w:val="0"/>
          <w:sz w:val="15"/>
        </w:rPr>
        <w:t>= Governor Decision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must never be the black-box reason for an irreversible action: the decision record (Section 15.4) always decomposes into these components, and the tenant-facing message (Section 3.5.8) renders the composition in plain language without exposing internal rule identifiers.</w:t>
      </w:r>
    </w:p>
    <w:p>
      <w:pPr>
        <w:keepNext/>
        <w:spacing w:before="180" w:after="80"/>
        <w:outlineLvl w:val="2"/>
      </w:pPr>
      <w:r>
        <w:rPr>
          <w:rFonts w:ascii="Arial" w:hAnsi="Arial" w:cs="Arial"/>
          <w:b/>
          <w:i w:val="0"/>
          <w:color w:val="333333"/>
          <w:sz w:val="23"/>
        </w:rPr>
        <w:t>16.4.6 State-Vector Presentation Modes (Simple &amp; Expert)</w:t>
      </w:r>
    </w:p>
    <w:p>
      <w:pPr>
        <w:spacing w:after="80" w:line="293" w:lineRule="auto"/>
        <w:jc w:val="left"/>
      </w:pPr>
      <w:r>
        <w:rPr>
          <w:rFonts w:ascii="Times New Roman" w:hAnsi="Times New Roman" w:cs="Times New Roman"/>
          <w:b w:val="0"/>
          <w:i w:val="0"/>
          <w:sz w:val="22"/>
        </w:rPr>
        <w:t>The UI reflects the state-vector model (Section 19.7) without overwhelming normal users, through two presentation modes. Simple mode is the default and answers the six operational questions every user has: What happened; What is blocking me; What needs my action; What is waiting on another party; What is confirmed; What is only estimated. Simple mode renders the blocker model of Section 16.4.5, the milestone and settlement confirmations, and estimated-versus-confirmed distinctions, without exposing the underlying state machinery.</w:t>
      </w:r>
    </w:p>
    <w:p>
      <w:pPr>
        <w:spacing w:after="80" w:line="293" w:lineRule="auto"/>
        <w:jc w:val="left"/>
      </w:pPr>
      <w:r>
        <w:rPr>
          <w:rFonts w:ascii="Times New Roman" w:hAnsi="Times New Roman" w:cs="Times New Roman"/>
          <w:b w:val="0"/>
          <w:i w:val="0"/>
          <w:sz w:val="22"/>
        </w:rPr>
        <w:t>Expert mode may expose the full canonical machinery: the state vector per domain, the dependency graph, economic exposure, reconciliation cases, authority sources, event history, and policy versions. Expert mode is intended for power users, compliance officers, auditors, and internal operators; it renders exactly the canonical objects defined in Section 19 and never a local reinterpretation of them. Raw technical complexity — OPA rule IDs, WasmEdge error codes, and Loom hashes — is not exposed to tenants in either mode (Section 3.5.8); those identifiers appear only in the decision log and court evidence package (Section 3.5.12).</w:t>
      </w:r>
    </w:p>
    <w:p>
      <w:pPr>
        <w:keepNext/>
        <w:spacing w:before="240" w:after="100"/>
        <w:outlineLvl w:val="1"/>
      </w:pPr>
      <w:r>
        <w:rPr>
          <w:rFonts w:ascii="Arial" w:hAnsi="Arial" w:cs="Arial"/>
          <w:b/>
          <w:i w:val="0"/>
          <w:color w:val="2E528F"/>
          <w:sz w:val="26"/>
        </w:rPr>
        <w:t>16.5 Shared Shipments Vault</w:t>
      </w:r>
    </w:p>
    <w:p>
      <w:pPr>
        <w:keepNext/>
        <w:spacing w:before="180" w:after="80"/>
        <w:outlineLvl w:val="2"/>
      </w:pPr>
      <w:r>
        <w:rPr>
          <w:rFonts w:ascii="Arial" w:hAnsi="Arial" w:cs="Arial"/>
          <w:b/>
          <w:i w:val="0"/>
          <w:color w:val="333333"/>
          <w:sz w:val="23"/>
        </w:rPr>
        <w:t>16.5.1 Purpose &amp; Design</w:t>
      </w:r>
    </w:p>
    <w:p>
      <w:pPr>
        <w:spacing w:after="80" w:line="293" w:lineRule="auto"/>
        <w:jc w:val="left"/>
      </w:pPr>
      <w:r>
        <w:rPr>
          <w:rFonts w:ascii="Times New Roman" w:hAnsi="Times New Roman" w:cs="Times New Roman"/>
          <w:b w:val="0"/>
          <w:i w:val="0"/>
          <w:sz w:val="22"/>
        </w:rPr>
        <w:t>The Shared Shipments Vault is a universal, reusable component that displays a paginated, filterable, sortable table of shipments (or financing agreements / distressed lots) across all portals. It is not a standalone page; it is embedded into the Buyer and Seller dashboards of the Trader Portal, as well as into the Logistics, QC, Financier, Government, and Admin portals.</w:t>
      </w:r>
    </w:p>
    <w:p>
      <w:pPr>
        <w:spacing w:after="80" w:line="293" w:lineRule="auto"/>
        <w:jc w:val="left"/>
      </w:pPr>
      <w:r>
        <w:rPr>
          <w:rFonts w:ascii="Times New Roman" w:hAnsi="Times New Roman" w:cs="Times New Roman"/>
          <w:b w:val="0"/>
          <w:i w:val="0"/>
          <w:sz w:val="22"/>
        </w:rPr>
        <w:t>Design principle: one component, many configurations. The vault is built once as a React component (with a companion Rust aggregation service), and each portal instantiates it with a configuration object.</w:t>
      </w:r>
    </w:p>
    <w:p>
      <w:pPr>
        <w:spacing w:after="80" w:line="293" w:lineRule="auto"/>
        <w:jc w:val="left"/>
      </w:pPr>
      <w:r>
        <w:rPr>
          <w:rFonts w:ascii="Times New Roman" w:hAnsi="Times New Roman" w:cs="Times New Roman"/>
          <w:b w:val="0"/>
          <w:i w:val="0"/>
          <w:sz w:val="22"/>
        </w:rPr>
        <w:t>Features:</w:t>
      </w:r>
    </w:p>
    <w:p>
      <w:pPr>
        <w:spacing w:after="80" w:line="293" w:lineRule="auto"/>
        <w:ind w:left="283"/>
        <w:jc w:val="left"/>
      </w:pPr>
      <w:r>
        <w:rPr>
          <w:rFonts w:ascii="Times New Roman" w:hAnsi="Times New Roman" w:cs="Times New Roman"/>
          <w:b w:val="0"/>
          <w:i w:val="0"/>
          <w:sz w:val="22"/>
        </w:rPr>
        <w:t>- Virtual scrolling for thousands of rows.</w:t>
      </w:r>
    </w:p>
    <w:p>
      <w:pPr>
        <w:spacing w:after="80" w:line="293" w:lineRule="auto"/>
        <w:ind w:left="283"/>
        <w:jc w:val="left"/>
      </w:pPr>
      <w:r>
        <w:rPr>
          <w:rFonts w:ascii="Times New Roman" w:hAnsi="Times New Roman" w:cs="Times New Roman"/>
          <w:b w:val="0"/>
          <w:i w:val="0"/>
          <w:sz w:val="22"/>
        </w:rPr>
        <w:t>- Role-specific columns.</w:t>
      </w:r>
    </w:p>
    <w:p>
      <w:pPr>
        <w:spacing w:after="80" w:line="293" w:lineRule="auto"/>
        <w:ind w:left="283"/>
        <w:jc w:val="left"/>
      </w:pPr>
      <w:r>
        <w:rPr>
          <w:rFonts w:ascii="Times New Roman" w:hAnsi="Times New Roman" w:cs="Times New Roman"/>
          <w:b w:val="0"/>
          <w:i w:val="0"/>
          <w:sz w:val="22"/>
        </w:rPr>
        <w:t>- Global search.</w:t>
      </w:r>
    </w:p>
    <w:p>
      <w:pPr>
        <w:spacing w:after="80" w:line="293" w:lineRule="auto"/>
        <w:ind w:left="283"/>
        <w:jc w:val="left"/>
      </w:pPr>
      <w:r>
        <w:rPr>
          <w:rFonts w:ascii="Times New Roman" w:hAnsi="Times New Roman" w:cs="Times New Roman"/>
          <w:b w:val="0"/>
          <w:i w:val="0"/>
          <w:sz w:val="22"/>
        </w:rPr>
        <w:t>- Filter chips (Status, Commodity, Port, Date Range, Risk Score).</w:t>
      </w:r>
    </w:p>
    <w:p>
      <w:pPr>
        <w:spacing w:after="80" w:line="293" w:lineRule="auto"/>
        <w:ind w:left="283"/>
        <w:jc w:val="left"/>
      </w:pPr>
      <w:r>
        <w:rPr>
          <w:rFonts w:ascii="Times New Roman" w:hAnsi="Times New Roman" w:cs="Times New Roman"/>
          <w:b w:val="0"/>
          <w:i w:val="0"/>
          <w:sz w:val="22"/>
        </w:rPr>
        <w:t>- Map view (vessel positions).</w:t>
      </w:r>
    </w:p>
    <w:p>
      <w:pPr>
        <w:spacing w:after="80" w:line="293" w:lineRule="auto"/>
        <w:ind w:left="283"/>
        <w:jc w:val="left"/>
      </w:pPr>
      <w:r>
        <w:rPr>
          <w:rFonts w:ascii="Times New Roman" w:hAnsi="Times New Roman" w:cs="Times New Roman"/>
          <w:b w:val="0"/>
          <w:i w:val="0"/>
          <w:sz w:val="22"/>
        </w:rPr>
        <w:t>- Export (CSV/PDF).</w:t>
      </w:r>
    </w:p>
    <w:p>
      <w:pPr>
        <w:spacing w:after="80" w:line="293" w:lineRule="auto"/>
        <w:ind w:left="283"/>
        <w:jc w:val="left"/>
      </w:pPr>
      <w:r>
        <w:rPr>
          <w:rFonts w:ascii="Times New Roman" w:hAnsi="Times New Roman" w:cs="Times New Roman"/>
          <w:b w:val="0"/>
          <w:i w:val="0"/>
          <w:sz w:val="22"/>
        </w:rPr>
        <w:t>- Real-time updates via NATS.</w:t>
      </w:r>
    </w:p>
    <w:p>
      <w:pPr>
        <w:spacing w:after="80" w:line="293" w:lineRule="auto"/>
        <w:ind w:left="283"/>
        <w:jc w:val="left"/>
      </w:pPr>
      <w:r>
        <w:rPr>
          <w:rFonts w:ascii="Times New Roman" w:hAnsi="Times New Roman" w:cs="Times New Roman"/>
          <w:b w:val="0"/>
          <w:i w:val="0"/>
          <w:sz w:val="22"/>
        </w:rPr>
        <w:t>- Saved filter sets.</w:t>
      </w:r>
    </w:p>
    <w:p>
      <w:pPr>
        <w:spacing w:after="80" w:line="293" w:lineRule="auto"/>
        <w:ind w:left="283"/>
        <w:jc w:val="left"/>
      </w:pPr>
      <w:r>
        <w:rPr>
          <w:rFonts w:ascii="Times New Roman" w:hAnsi="Times New Roman" w:cs="Times New Roman"/>
          <w:b w:val="0"/>
          <w:i w:val="0"/>
          <w:sz w:val="22"/>
        </w:rPr>
        <w:t>- Bulk actions.</w:t>
      </w:r>
    </w:p>
    <w:p>
      <w:pPr>
        <w:keepNext/>
        <w:spacing w:before="180" w:after="80"/>
        <w:outlineLvl w:val="2"/>
      </w:pPr>
      <w:r>
        <w:rPr>
          <w:rFonts w:ascii="Arial" w:hAnsi="Arial" w:cs="Arial"/>
          <w:b/>
          <w:i w:val="0"/>
          <w:color w:val="333333"/>
          <w:sz w:val="23"/>
        </w:rPr>
        <w:t>16.5.2 Toolbar</w:t>
      </w:r>
    </w:p>
    <w:p>
      <w:pPr>
        <w:spacing w:after="80" w:line="293" w:lineRule="auto"/>
        <w:jc w:val="left"/>
      </w:pPr>
      <w:r>
        <w:rPr>
          <w:rFonts w:ascii="Times New Roman" w:hAnsi="Times New Roman" w:cs="Times New Roman"/>
          <w:b w:val="0"/>
          <w:i w:val="0"/>
          <w:sz w:val="22"/>
        </w:rPr>
        <w:t>The toolbar sits above the table and contains: global search input, active filter chips, view toggle (Table / Map), saved-views dropdown, export button, bulk-action dropdown (enabled when rows are selected), and column-configuration menu.</w:t>
      </w:r>
    </w:p>
    <w:p>
      <w:pPr>
        <w:keepNext/>
        <w:spacing w:before="180" w:after="80"/>
        <w:outlineLvl w:val="2"/>
      </w:pPr>
      <w:r>
        <w:rPr>
          <w:rFonts w:ascii="Arial" w:hAnsi="Arial" w:cs="Arial"/>
          <w:b/>
          <w:i w:val="0"/>
          <w:color w:val="333333"/>
          <w:sz w:val="23"/>
        </w:rPr>
        <w:t>16.5.3 Filter Chips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Chip</w:t>
            </w:r>
          </w:p>
        </w:tc>
        <w:tc>
          <w:tcPr>
            <w:tcW w:type="dxa" w:w="3213"/>
            <w:shd w:val="clear" w:fill="D9E2F3"/>
          </w:tcPr>
          <w:p>
            <w:pPr>
              <w:spacing w:after="20" w:before="20" w:line="240" w:lineRule="auto"/>
            </w:pPr>
            <w:r/>
            <w:r>
              <w:rPr>
                <w:rFonts w:ascii="Arial" w:hAnsi="Arial" w:cs="Arial"/>
                <w:b/>
                <w:i w:val="0"/>
                <w:sz w:val="18"/>
              </w:rPr>
              <w:t>Values</w:t>
            </w:r>
          </w:p>
        </w:tc>
        <w:tc>
          <w:tcPr>
            <w:tcW w:type="dxa" w:w="3213"/>
            <w:shd w:val="clear" w:fill="D9E2F3"/>
          </w:tcPr>
          <w:p>
            <w:pPr>
              <w:spacing w:after="20" w:before="20" w:line="240" w:lineRule="auto"/>
            </w:pPr>
            <w:r/>
            <w:r>
              <w:rPr>
                <w:rFonts w:ascii="Arial" w:hAnsi="Arial" w:cs="Arial"/>
                <w:b/>
                <w:i w:val="0"/>
                <w:sz w:val="18"/>
              </w:rPr>
              <w:t>Behaviour</w:t>
            </w:r>
          </w:p>
        </w:tc>
      </w:tr>
      <w:tr>
        <w:tc>
          <w:tcPr>
            <w:tcW w:type="dxa" w:w="3213"/>
          </w:tcPr>
          <w:p>
            <w:pPr>
              <w:spacing w:after="20" w:before="20" w:line="240" w:lineRule="auto"/>
            </w:pPr>
            <w:r/>
            <w:r>
              <w:rPr>
                <w:rFonts w:ascii="Arial" w:hAnsi="Arial" w:cs="Arial"/>
                <w:b w:val="0"/>
                <w:i w:val="0"/>
                <w:sz w:val="17"/>
              </w:rPr>
              <w:t>Status</w:t>
            </w:r>
          </w:p>
        </w:tc>
        <w:tc>
          <w:tcPr>
            <w:tcW w:type="dxa" w:w="3213"/>
          </w:tcPr>
          <w:p>
            <w:pPr>
              <w:spacing w:after="20" w:before="20" w:line="240" w:lineRule="auto"/>
            </w:pPr>
            <w:r/>
            <w:r>
              <w:rPr>
                <w:rFonts w:ascii="Arial" w:hAnsi="Arial" w:cs="Arial"/>
                <w:b w:val="0"/>
                <w:i w:val="0"/>
                <w:sz w:val="17"/>
              </w:rPr>
              <w:t>Active, Delayed, Arrived, In Transit, Completed, Disputed, Distressed</w:t>
            </w:r>
          </w:p>
        </w:tc>
        <w:tc>
          <w:tcPr>
            <w:tcW w:type="dxa" w:w="3213"/>
          </w:tcPr>
          <w:p>
            <w:pPr>
              <w:spacing w:after="20" w:before="20" w:line="240" w:lineRule="auto"/>
            </w:pPr>
            <w:r/>
            <w:r>
              <w:rPr>
                <w:rFonts w:ascii="Arial" w:hAnsi="Arial" w:cs="Arial"/>
                <w:b w:val="0"/>
                <w:i w:val="0"/>
                <w:sz w:val="17"/>
              </w:rPr>
              <w:t>Multi-select; combines as OR within chip, AND across chips</w:t>
            </w:r>
          </w:p>
        </w:tc>
      </w:tr>
      <w:tr>
        <w:tc>
          <w:tcPr>
            <w:tcW w:type="dxa" w:w="3213"/>
          </w:tcPr>
          <w:p>
            <w:pPr>
              <w:spacing w:after="20" w:before="20" w:line="240" w:lineRule="auto"/>
            </w:pPr>
            <w:r/>
            <w:r>
              <w:rPr>
                <w:rFonts w:ascii="Arial" w:hAnsi="Arial" w:cs="Arial"/>
                <w:b w:val="0"/>
                <w:i w:val="0"/>
                <w:sz w:val="17"/>
              </w:rPr>
              <w:t>Commodity</w:t>
            </w:r>
          </w:p>
        </w:tc>
        <w:tc>
          <w:tcPr>
            <w:tcW w:type="dxa" w:w="3213"/>
          </w:tcPr>
          <w:p>
            <w:pPr>
              <w:spacing w:after="20" w:before="20" w:line="240" w:lineRule="auto"/>
            </w:pPr>
            <w:r/>
            <w:r>
              <w:rPr>
                <w:rFonts w:ascii="Arial" w:hAnsi="Arial" w:cs="Arial"/>
                <w:b w:val="0"/>
                <w:i w:val="0"/>
                <w:sz w:val="17"/>
              </w:rPr>
              <w:t>HS chapter / product type from the user's authorised universe</w:t>
            </w:r>
          </w:p>
        </w:tc>
        <w:tc>
          <w:tcPr>
            <w:tcW w:type="dxa" w:w="3213"/>
          </w:tcPr>
          <w:p>
            <w:pPr>
              <w:spacing w:after="20" w:before="20" w:line="240" w:lineRule="auto"/>
            </w:pPr>
            <w:r/>
            <w:r>
              <w:rPr>
                <w:rFonts w:ascii="Arial" w:hAnsi="Arial" w:cs="Arial"/>
                <w:b w:val="0"/>
                <w:i w:val="0"/>
                <w:sz w:val="17"/>
              </w:rPr>
              <w:t>Multi-select</w:t>
            </w:r>
          </w:p>
        </w:tc>
      </w:tr>
      <w:tr>
        <w:tc>
          <w:tcPr>
            <w:tcW w:type="dxa" w:w="3213"/>
          </w:tcPr>
          <w:p>
            <w:pPr>
              <w:spacing w:after="20" w:before="20" w:line="240" w:lineRule="auto"/>
            </w:pPr>
            <w:r/>
            <w:r>
              <w:rPr>
                <w:rFonts w:ascii="Arial" w:hAnsi="Arial" w:cs="Arial"/>
                <w:b w:val="0"/>
                <w:i w:val="0"/>
                <w:sz w:val="17"/>
              </w:rPr>
              <w:t>Port</w:t>
            </w:r>
          </w:p>
        </w:tc>
        <w:tc>
          <w:tcPr>
            <w:tcW w:type="dxa" w:w="3213"/>
          </w:tcPr>
          <w:p>
            <w:pPr>
              <w:spacing w:after="20" w:before="20" w:line="240" w:lineRule="auto"/>
            </w:pPr>
            <w:r/>
            <w:r>
              <w:rPr>
                <w:rFonts w:ascii="Arial" w:hAnsi="Arial" w:cs="Arial"/>
                <w:b w:val="0"/>
                <w:i w:val="0"/>
                <w:sz w:val="17"/>
              </w:rPr>
              <w:t>Any port in the user's shipments (origin, discharge, transit)</w:t>
            </w:r>
          </w:p>
        </w:tc>
        <w:tc>
          <w:tcPr>
            <w:tcW w:type="dxa" w:w="3213"/>
          </w:tcPr>
          <w:p>
            <w:pPr>
              <w:spacing w:after="20" w:before="20" w:line="240" w:lineRule="auto"/>
            </w:pPr>
            <w:r/>
            <w:r>
              <w:rPr>
                <w:rFonts w:ascii="Arial" w:hAnsi="Arial" w:cs="Arial"/>
                <w:b w:val="0"/>
                <w:i w:val="0"/>
                <w:sz w:val="17"/>
              </w:rPr>
              <w:t>Multi-select</w:t>
            </w:r>
          </w:p>
        </w:tc>
      </w:tr>
      <w:tr>
        <w:tc>
          <w:tcPr>
            <w:tcW w:type="dxa" w:w="3213"/>
          </w:tcPr>
          <w:p>
            <w:pPr>
              <w:spacing w:after="20" w:before="20" w:line="240" w:lineRule="auto"/>
            </w:pPr>
            <w:r/>
            <w:r>
              <w:rPr>
                <w:rFonts w:ascii="Arial" w:hAnsi="Arial" w:cs="Arial"/>
                <w:b w:val="0"/>
                <w:i w:val="0"/>
                <w:sz w:val="17"/>
              </w:rPr>
              <w:t>Date Range</w:t>
            </w:r>
          </w:p>
        </w:tc>
        <w:tc>
          <w:tcPr>
            <w:tcW w:type="dxa" w:w="3213"/>
          </w:tcPr>
          <w:p>
            <w:pPr>
              <w:spacing w:after="20" w:before="20" w:line="240" w:lineRule="auto"/>
            </w:pPr>
            <w:r/>
            <w:r>
              <w:rPr>
                <w:rFonts w:ascii="Arial" w:hAnsi="Arial" w:cs="Arial"/>
                <w:b w:val="0"/>
                <w:i w:val="0"/>
                <w:sz w:val="17"/>
              </w:rPr>
              <w:t>ETD/ETA presets (Next 7 days, Next 30 days, Custom)</w:t>
            </w:r>
          </w:p>
        </w:tc>
        <w:tc>
          <w:tcPr>
            <w:tcW w:type="dxa" w:w="3213"/>
          </w:tcPr>
          <w:p>
            <w:pPr>
              <w:spacing w:after="20" w:before="20" w:line="240" w:lineRule="auto"/>
            </w:pPr>
            <w:r/>
            <w:r>
              <w:rPr>
                <w:rFonts w:ascii="Arial" w:hAnsi="Arial" w:cs="Arial"/>
                <w:b w:val="0"/>
                <w:i w:val="0"/>
                <w:sz w:val="17"/>
              </w:rPr>
              <w:t>ETD or ETA selector</w:t>
            </w:r>
          </w:p>
        </w:tc>
      </w:tr>
      <w:tr>
        <w:tc>
          <w:tcPr>
            <w:tcW w:type="dxa" w:w="3213"/>
          </w:tcPr>
          <w:p>
            <w:pPr>
              <w:spacing w:after="20" w:before="20" w:line="240" w:lineRule="auto"/>
            </w:pPr>
            <w:r/>
            <w:r>
              <w:rPr>
                <w:rFonts w:ascii="Arial" w:hAnsi="Arial" w:cs="Arial"/>
                <w:b w:val="0"/>
                <w:i w:val="0"/>
                <w:sz w:val="17"/>
              </w:rPr>
              <w:t>Risk Score</w:t>
            </w:r>
          </w:p>
        </w:tc>
        <w:tc>
          <w:tcPr>
            <w:tcW w:type="dxa" w:w="3213"/>
          </w:tcPr>
          <w:p>
            <w:pPr>
              <w:spacing w:after="20" w:before="20" w:line="240" w:lineRule="auto"/>
            </w:pPr>
            <w:r/>
            <w:r>
              <w:rPr>
                <w:rFonts w:ascii="Arial" w:hAnsi="Arial" w:cs="Arial"/>
                <w:b w:val="0"/>
                <w:i w:val="0"/>
                <w:sz w:val="17"/>
              </w:rPr>
              <w:t>0–100 range slider (government and financier configurations)</w:t>
            </w:r>
          </w:p>
        </w:tc>
        <w:tc>
          <w:tcPr>
            <w:tcW w:type="dxa" w:w="3213"/>
          </w:tcPr>
          <w:p>
            <w:pPr>
              <w:spacing w:after="20" w:before="20" w:line="240" w:lineRule="auto"/>
            </w:pPr>
            <w:r/>
            <w:r>
              <w:rPr>
                <w:rFonts w:ascii="Arial" w:hAnsi="Arial" w:cs="Arial"/>
                <w:b w:val="0"/>
                <w:i w:val="0"/>
                <w:sz w:val="17"/>
              </w:rPr>
              <w:t>Minimum/maximum bounds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16.5.4 Data Table (Virtual Scrolling)</w:t>
      </w:r>
    </w:p>
    <w:p>
      <w:pPr>
        <w:spacing w:after="80" w:line="293" w:lineRule="auto"/>
        <w:jc w:val="left"/>
      </w:pPr>
      <w:r>
        <w:rPr>
          <w:rFonts w:ascii="Times New Roman" w:hAnsi="Times New Roman" w:cs="Times New Roman"/>
          <w:b w:val="0"/>
          <w:i w:val="0"/>
          <w:sz w:val="22"/>
        </w:rPr>
        <w:t>The table renders only visible rows (windowed rendering) and supports:</w:t>
      </w:r>
    </w:p>
    <w:p>
      <w:pPr>
        <w:spacing w:after="80" w:line="293" w:lineRule="auto"/>
        <w:ind w:left="283"/>
        <w:jc w:val="left"/>
      </w:pPr>
      <w:r>
        <w:rPr>
          <w:rFonts w:ascii="Times New Roman" w:hAnsi="Times New Roman" w:cs="Times New Roman"/>
          <w:b w:val="0"/>
          <w:i w:val="0"/>
          <w:sz w:val="22"/>
        </w:rPr>
        <w:t>- Click on any USTN → opens the Trade Command Center.</w:t>
      </w:r>
    </w:p>
    <w:p>
      <w:pPr>
        <w:spacing w:after="80" w:line="293" w:lineRule="auto"/>
        <w:ind w:left="283"/>
        <w:jc w:val="left"/>
      </w:pPr>
      <w:r>
        <w:rPr>
          <w:rFonts w:ascii="Times New Roman" w:hAnsi="Times New Roman" w:cs="Times New Roman"/>
          <w:b w:val="0"/>
          <w:i w:val="0"/>
          <w:sz w:val="22"/>
        </w:rPr>
        <w:t>- Column sorting (click header).</w:t>
      </w:r>
    </w:p>
    <w:p>
      <w:pPr>
        <w:spacing w:after="80" w:line="293" w:lineRule="auto"/>
        <w:ind w:left="283"/>
        <w:jc w:val="left"/>
      </w:pPr>
      <w:r>
        <w:rPr>
          <w:rFonts w:ascii="Times New Roman" w:hAnsi="Times New Roman" w:cs="Times New Roman"/>
          <w:b w:val="0"/>
          <w:i w:val="0"/>
          <w:sz w:val="22"/>
        </w:rPr>
        <w:t>- Row selection checkboxes (for bulk actions).</w:t>
      </w:r>
    </w:p>
    <w:p>
      <w:pPr>
        <w:spacing w:after="80" w:line="293" w:lineRule="auto"/>
        <w:ind w:left="283"/>
        <w:jc w:val="left"/>
      </w:pPr>
      <w:r>
        <w:rPr>
          <w:rFonts w:ascii="Times New Roman" w:hAnsi="Times New Roman" w:cs="Times New Roman"/>
          <w:b w:val="0"/>
          <w:i w:val="0"/>
          <w:sz w:val="22"/>
        </w:rPr>
        <w:t>- Inline status chips and delay badges.</w:t>
      </w:r>
    </w:p>
    <w:p>
      <w:pPr>
        <w:spacing w:after="80" w:line="293" w:lineRule="auto"/>
        <w:ind w:left="283"/>
        <w:jc w:val="left"/>
      </w:pPr>
      <w:r>
        <w:rPr>
          <w:rFonts w:ascii="Times New Roman" w:hAnsi="Times New Roman" w:cs="Times New Roman"/>
          <w:b w:val="0"/>
          <w:i w:val="0"/>
          <w:sz w:val="22"/>
        </w:rPr>
        <w:t>- Real-time patching: NATS shipment events update rows in place without refetch.</w:t>
      </w:r>
    </w:p>
    <w:p>
      <w:pPr>
        <w:keepNext/>
        <w:spacing w:before="180" w:after="80"/>
        <w:outlineLvl w:val="2"/>
      </w:pPr>
      <w:r>
        <w:rPr>
          <w:rFonts w:ascii="Arial" w:hAnsi="Arial" w:cs="Arial"/>
          <w:b/>
          <w:i w:val="0"/>
          <w:color w:val="333333"/>
          <w:sz w:val="23"/>
        </w:rPr>
        <w:t>16.5.5 Slide-Out Detail Panel</w:t>
      </w:r>
    </w:p>
    <w:p>
      <w:pPr>
        <w:spacing w:after="80" w:line="293" w:lineRule="auto"/>
        <w:jc w:val="left"/>
      </w:pPr>
      <w:r>
        <w:rPr>
          <w:rFonts w:ascii="Times New Roman" w:hAnsi="Times New Roman" w:cs="Times New Roman"/>
          <w:b w:val="0"/>
          <w:i w:val="0"/>
          <w:sz w:val="22"/>
        </w:rPr>
        <w:t>Triggered by clicking a row. Tabs:</w:t>
      </w:r>
    </w:p>
    <w:p>
      <w:pPr>
        <w:spacing w:after="80" w:line="293" w:lineRule="auto"/>
        <w:ind w:left="283"/>
        <w:jc w:val="left"/>
      </w:pPr>
      <w:r>
        <w:rPr>
          <w:rFonts w:ascii="Times New Roman" w:hAnsi="Times New Roman" w:cs="Times New Roman"/>
          <w:b w:val="0"/>
          <w:i w:val="0"/>
          <w:sz w:val="22"/>
        </w:rPr>
        <w:t>- Summary — key information: parties, ports, vessel, container list, pending action.</w:t>
      </w:r>
    </w:p>
    <w:p>
      <w:pPr>
        <w:spacing w:after="80" w:line="293" w:lineRule="auto"/>
        <w:ind w:left="283"/>
        <w:jc w:val="left"/>
      </w:pPr>
      <w:r>
        <w:rPr>
          <w:rFonts w:ascii="Times New Roman" w:hAnsi="Times New Roman" w:cs="Times New Roman"/>
          <w:b w:val="0"/>
          <w:i w:val="0"/>
          <w:sz w:val="22"/>
        </w:rPr>
        <w:t>- Documents — checklist of required documents with upload/request buttons.</w:t>
      </w:r>
    </w:p>
    <w:p>
      <w:pPr>
        <w:spacing w:after="80" w:line="293" w:lineRule="auto"/>
        <w:ind w:left="283"/>
        <w:jc w:val="left"/>
      </w:pPr>
      <w:r>
        <w:rPr>
          <w:rFonts w:ascii="Times New Roman" w:hAnsi="Times New Roman" w:cs="Times New Roman"/>
          <w:b w:val="0"/>
          <w:i w:val="0"/>
          <w:sz w:val="22"/>
        </w:rPr>
        <w:t>- Containers — visual representation of the loading plan (if packing plan locked).</w:t>
      </w:r>
    </w:p>
    <w:p>
      <w:pPr>
        <w:spacing w:after="80" w:line="293" w:lineRule="auto"/>
        <w:ind w:left="283"/>
        <w:jc w:val="left"/>
      </w:pPr>
      <w:r>
        <w:rPr>
          <w:rFonts w:ascii="Times New Roman" w:hAnsi="Times New Roman" w:cs="Times New Roman"/>
          <w:b w:val="0"/>
          <w:i w:val="0"/>
          <w:sz w:val="22"/>
        </w:rPr>
        <w:t>- Timeline — vertical stepper of all milestones.</w:t>
      </w:r>
    </w:p>
    <w:p>
      <w:pPr>
        <w:spacing w:after="80" w:line="293" w:lineRule="auto"/>
        <w:ind w:left="283"/>
        <w:jc w:val="left"/>
      </w:pPr>
      <w:r>
        <w:rPr>
          <w:rFonts w:ascii="Times New Roman" w:hAnsi="Times New Roman" w:cs="Times New Roman"/>
          <w:b w:val="0"/>
          <w:i w:val="0"/>
          <w:sz w:val="22"/>
        </w:rPr>
        <w:t>- Role-specific extra tabs — Customs Readiness (Buyer), Cost Breakdown (Seller), Dispatch State</w:t>
      </w:r>
    </w:p>
    <w:p>
      <w:pPr>
        <w:spacing w:after="80" w:line="293" w:lineRule="auto"/>
        <w:jc w:val="left"/>
      </w:pPr>
      <w:r>
        <w:rPr>
          <w:rFonts w:ascii="Times New Roman" w:hAnsi="Times New Roman" w:cs="Times New Roman"/>
          <w:b w:val="0"/>
          <w:i w:val="0"/>
          <w:sz w:val="22"/>
        </w:rPr>
        <w:t>(LSP), eBL Status (SHIP), etc.</w:t>
      </w:r>
    </w:p>
    <w:p>
      <w:pPr>
        <w:keepNext/>
        <w:spacing w:before="180" w:after="80"/>
        <w:outlineLvl w:val="2"/>
      </w:pPr>
      <w:r>
        <w:rPr>
          <w:rFonts w:ascii="Arial" w:hAnsi="Arial" w:cs="Arial"/>
          <w:b/>
          <w:i w:val="0"/>
          <w:color w:val="333333"/>
          <w:sz w:val="23"/>
        </w:rPr>
        <w:t>16.5.6 Map View</w:t>
      </w:r>
    </w:p>
    <w:p>
      <w:pPr>
        <w:spacing w:after="80" w:line="293" w:lineRule="auto"/>
        <w:jc w:val="left"/>
      </w:pPr>
      <w:r>
        <w:rPr>
          <w:rFonts w:ascii="Times New Roman" w:hAnsi="Times New Roman" w:cs="Times New Roman"/>
          <w:b w:val="0"/>
          <w:i w:val="0"/>
          <w:sz w:val="22"/>
        </w:rPr>
        <w:t>When the view toggle is set to "Map", the table area is replaced by a Leaflet map showing vessel positions (AIS), ports, and shipment routes for the currently filtered set. Clicking a vessel marker opens the shipment's slide-out panel.</w:t>
      </w:r>
    </w:p>
    <w:p>
      <w:pPr>
        <w:keepNext/>
        <w:spacing w:before="180" w:after="80"/>
        <w:outlineLvl w:val="2"/>
      </w:pPr>
      <w:r>
        <w:rPr>
          <w:rFonts w:ascii="Arial" w:hAnsi="Arial" w:cs="Arial"/>
          <w:b/>
          <w:i w:val="0"/>
          <w:color w:val="333333"/>
          <w:sz w:val="23"/>
        </w:rPr>
        <w:t>16.5.7 Bulk Actions</w:t>
      </w:r>
    </w:p>
    <w:p>
      <w:pPr>
        <w:spacing w:after="80" w:line="293" w:lineRule="auto"/>
        <w:jc w:val="left"/>
      </w:pPr>
      <w:r>
        <w:rPr>
          <w:rFonts w:ascii="Times New Roman" w:hAnsi="Times New Roman" w:cs="Times New Roman"/>
          <w:b w:val="0"/>
          <w:i w:val="0"/>
          <w:sz w:val="22"/>
        </w:rPr>
        <w:t>Available when at least one row is selected:</w:t>
      </w:r>
    </w:p>
    <w:p>
      <w:pPr>
        <w:spacing w:after="80" w:line="293" w:lineRule="auto"/>
        <w:ind w:left="283"/>
        <w:jc w:val="left"/>
      </w:pPr>
      <w:r>
        <w:rPr>
          <w:rFonts w:ascii="Times New Roman" w:hAnsi="Times New Roman" w:cs="Times New Roman"/>
          <w:b w:val="0"/>
          <w:i w:val="0"/>
          <w:sz w:val="22"/>
        </w:rPr>
        <w:t>- Export selected (CSV/PDF).</w:t>
      </w:r>
    </w:p>
    <w:p>
      <w:pPr>
        <w:spacing w:after="80" w:line="293" w:lineRule="auto"/>
        <w:ind w:left="283"/>
        <w:jc w:val="left"/>
      </w:pPr>
      <w:r>
        <w:rPr>
          <w:rFonts w:ascii="Times New Roman" w:hAnsi="Times New Roman" w:cs="Times New Roman"/>
          <w:b w:val="0"/>
          <w:i w:val="0"/>
          <w:sz w:val="22"/>
        </w:rPr>
        <w:t>- Request documents (sends document requests to the responsible parties).</w:t>
      </w:r>
    </w:p>
    <w:p>
      <w:pPr>
        <w:spacing w:after="80" w:line="293" w:lineRule="auto"/>
        <w:ind w:left="283"/>
        <w:jc w:val="left"/>
      </w:pPr>
      <w:r>
        <w:rPr>
          <w:rFonts w:ascii="Times New Roman" w:hAnsi="Times New Roman" w:cs="Times New Roman"/>
          <w:b w:val="0"/>
          <w:i w:val="0"/>
          <w:sz w:val="22"/>
        </w:rPr>
        <w:t>- Acknowledge container releases (LSP/SHIP configurations).</w:t>
      </w:r>
    </w:p>
    <w:p>
      <w:pPr>
        <w:spacing w:after="80" w:line="293" w:lineRule="auto"/>
        <w:ind w:left="283"/>
        <w:jc w:val="left"/>
      </w:pPr>
      <w:r>
        <w:rPr>
          <w:rFonts w:ascii="Times New Roman" w:hAnsi="Times New Roman" w:cs="Times New Roman"/>
          <w:b w:val="0"/>
          <w:i w:val="0"/>
          <w:sz w:val="22"/>
        </w:rPr>
        <w:t>- Assign to task / delegate (internal).</w:t>
      </w:r>
    </w:p>
    <w:p>
      <w:pPr>
        <w:spacing w:after="80" w:line="293" w:lineRule="auto"/>
        <w:ind w:left="283"/>
        <w:jc w:val="left"/>
      </w:pPr>
      <w:r>
        <w:rPr>
          <w:rFonts w:ascii="Times New Roman" w:hAnsi="Times New Roman" w:cs="Times New Roman"/>
          <w:b w:val="0"/>
          <w:i w:val="0"/>
          <w:sz w:val="22"/>
        </w:rPr>
        <w:t>- Generate status report (signed PDF).</w:t>
      </w:r>
    </w:p>
    <w:p>
      <w:pPr>
        <w:keepNext/>
        <w:spacing w:before="180" w:after="80"/>
        <w:outlineLvl w:val="2"/>
      </w:pPr>
      <w:r>
        <w:rPr>
          <w:rFonts w:ascii="Arial" w:hAnsi="Arial" w:cs="Arial"/>
          <w:b/>
          <w:i w:val="0"/>
          <w:color w:val="333333"/>
          <w:sz w:val="23"/>
        </w:rPr>
        <w:t>16.5.8 Saved Filter Sets</w:t>
      </w:r>
    </w:p>
    <w:p>
      <w:pPr>
        <w:spacing w:after="80" w:line="293" w:lineRule="auto"/>
        <w:jc w:val="left"/>
      </w:pPr>
      <w:r>
        <w:rPr>
          <w:rFonts w:ascii="Times New Roman" w:hAnsi="Times New Roman" w:cs="Times New Roman"/>
          <w:b w:val="0"/>
          <w:i w:val="0"/>
          <w:sz w:val="22"/>
        </w:rPr>
        <w:t>Users can save the current combination of filters, sort column, sort order, and visible columns as a named view. Saved views appear in the toolbar dropdown and are per-user (stored with user preferences, see 16.13.12).</w:t>
      </w:r>
    </w:p>
    <w:p>
      <w:pPr>
        <w:keepNext/>
        <w:spacing w:before="180" w:after="80"/>
        <w:outlineLvl w:val="2"/>
      </w:pPr>
      <w:r>
        <w:rPr>
          <w:rFonts w:ascii="Arial" w:hAnsi="Arial" w:cs="Arial"/>
          <w:b/>
          <w:i w:val="0"/>
          <w:color w:val="333333"/>
          <w:sz w:val="23"/>
        </w:rPr>
        <w:t>16.5.9 Role-Specific Column Configurations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Role Configuration</w:t>
            </w:r>
          </w:p>
        </w:tc>
        <w:tc>
          <w:tcPr>
            <w:tcW w:type="dxa" w:w="4819"/>
            <w:shd w:val="clear" w:fill="D9E2F3"/>
          </w:tcPr>
          <w:p>
            <w:pPr>
              <w:spacing w:after="20" w:before="20" w:line="240" w:lineRule="auto"/>
            </w:pPr>
            <w:r/>
            <w:r>
              <w:rPr>
                <w:rFonts w:ascii="Arial" w:hAnsi="Arial" w:cs="Arial"/>
                <w:b/>
                <w:i w:val="0"/>
                <w:sz w:val="18"/>
              </w:rPr>
              <w:t>Additional Columns</w:t>
            </w:r>
          </w:p>
        </w:tc>
      </w:tr>
      <w:tr>
        <w:tc>
          <w:tcPr>
            <w:tcW w:type="dxa" w:w="4819"/>
          </w:tcPr>
          <w:p>
            <w:pPr>
              <w:spacing w:after="20" w:before="20" w:line="240" w:lineRule="auto"/>
            </w:pPr>
            <w:r/>
            <w:r>
              <w:rPr>
                <w:rFonts w:ascii="Arial" w:hAnsi="Arial" w:cs="Arial"/>
                <w:b w:val="0"/>
                <w:i w:val="0"/>
                <w:sz w:val="17"/>
              </w:rPr>
              <w:t>Buyer</w:t>
            </w:r>
          </w:p>
        </w:tc>
        <w:tc>
          <w:tcPr>
            <w:tcW w:type="dxa" w:w="4819"/>
          </w:tcPr>
          <w:p>
            <w:pPr>
              <w:spacing w:after="20" w:before="20" w:line="240" w:lineRule="auto"/>
            </w:pPr>
            <w:r/>
            <w:r>
              <w:rPr>
                <w:rFonts w:ascii="Arial" w:hAnsi="Arial" w:cs="Arial"/>
                <w:b w:val="0"/>
                <w:i w:val="0"/>
                <w:sz w:val="17"/>
              </w:rPr>
              <w:t>Seller Name, Customs Readiness, Documents Missing</w:t>
            </w:r>
          </w:p>
        </w:tc>
      </w:tr>
      <w:tr>
        <w:tc>
          <w:tcPr>
            <w:tcW w:type="dxa" w:w="4819"/>
          </w:tcPr>
          <w:p>
            <w:pPr>
              <w:spacing w:after="20" w:before="20" w:line="240" w:lineRule="auto"/>
            </w:pPr>
            <w:r/>
            <w:r>
              <w:rPr>
                <w:rFonts w:ascii="Arial" w:hAnsi="Arial" w:cs="Arial"/>
                <w:b w:val="0"/>
                <w:i w:val="0"/>
                <w:sz w:val="17"/>
              </w:rPr>
              <w:t>Seller</w:t>
            </w:r>
          </w:p>
        </w:tc>
        <w:tc>
          <w:tcPr>
            <w:tcW w:type="dxa" w:w="4819"/>
          </w:tcPr>
          <w:p>
            <w:pPr>
              <w:spacing w:after="20" w:before="20" w:line="240" w:lineRule="auto"/>
            </w:pPr>
            <w:r/>
            <w:r>
              <w:rPr>
                <w:rFonts w:ascii="Arial" w:hAnsi="Arial" w:cs="Arial"/>
                <w:b w:val="0"/>
                <w:i w:val="0"/>
                <w:sz w:val="17"/>
              </w:rPr>
              <w:t>Buyer Name, Fee Status, Cost Breakdown access</w:t>
            </w:r>
          </w:p>
        </w:tc>
      </w:tr>
      <w:tr>
        <w:tc>
          <w:tcPr>
            <w:tcW w:type="dxa" w:w="4819"/>
          </w:tcPr>
          <w:p>
            <w:pPr>
              <w:spacing w:after="20" w:before="20" w:line="240" w:lineRule="auto"/>
            </w:pPr>
            <w:r/>
            <w:r>
              <w:rPr>
                <w:rFonts w:ascii="Arial" w:hAnsi="Arial" w:cs="Arial"/>
                <w:b w:val="0"/>
                <w:i w:val="0"/>
                <w:sz w:val="17"/>
              </w:rPr>
              <w:t>LSP</w:t>
            </w:r>
          </w:p>
        </w:tc>
        <w:tc>
          <w:tcPr>
            <w:tcW w:type="dxa" w:w="4819"/>
          </w:tcPr>
          <w:p>
            <w:pPr>
              <w:spacing w:after="20" w:before="20" w:line="240" w:lineRule="auto"/>
            </w:pPr>
            <w:r/>
            <w:r>
              <w:rPr>
                <w:rFonts w:ascii="Arial" w:hAnsi="Arial" w:cs="Arial"/>
                <w:b w:val="0"/>
                <w:i w:val="0"/>
                <w:sz w:val="17"/>
              </w:rPr>
              <w:t>Service Type, Pickup Window, Payment Status, Release Status</w:t>
            </w:r>
          </w:p>
        </w:tc>
      </w:tr>
      <w:tr>
        <w:tc>
          <w:tcPr>
            <w:tcW w:type="dxa" w:w="4819"/>
          </w:tcPr>
          <w:p>
            <w:pPr>
              <w:spacing w:after="20" w:before="20" w:line="240" w:lineRule="auto"/>
            </w:pPr>
            <w:r/>
            <w:r>
              <w:rPr>
                <w:rFonts w:ascii="Arial" w:hAnsi="Arial" w:cs="Arial"/>
                <w:b w:val="0"/>
                <w:i w:val="0"/>
                <w:sz w:val="17"/>
              </w:rPr>
              <w:t>SHIP</w:t>
            </w:r>
          </w:p>
        </w:tc>
        <w:tc>
          <w:tcPr>
            <w:tcW w:type="dxa" w:w="4819"/>
          </w:tcPr>
          <w:p>
            <w:pPr>
              <w:spacing w:after="20" w:before="20" w:line="240" w:lineRule="auto"/>
            </w:pPr>
            <w:r/>
            <w:r>
              <w:rPr>
                <w:rFonts w:ascii="Arial" w:hAnsi="Arial" w:cs="Arial"/>
                <w:b w:val="0"/>
                <w:i w:val="0"/>
                <w:sz w:val="17"/>
              </w:rPr>
              <w:t>Vessel, Voyage, eBL Status, Freight Invoice Status</w:t>
            </w:r>
          </w:p>
        </w:tc>
      </w:tr>
      <w:tr>
        <w:tc>
          <w:tcPr>
            <w:tcW w:type="dxa" w:w="4819"/>
          </w:tcPr>
          <w:p>
            <w:pPr>
              <w:spacing w:after="20" w:before="20" w:line="240" w:lineRule="auto"/>
            </w:pPr>
            <w:r/>
            <w:r>
              <w:rPr>
                <w:rFonts w:ascii="Arial" w:hAnsi="Arial" w:cs="Arial"/>
                <w:b w:val="0"/>
                <w:i w:val="0"/>
                <w:sz w:val="17"/>
              </w:rPr>
              <w:t>Financier</w:t>
            </w:r>
          </w:p>
        </w:tc>
        <w:tc>
          <w:tcPr>
            <w:tcW w:type="dxa" w:w="4819"/>
          </w:tcPr>
          <w:p>
            <w:pPr>
              <w:spacing w:after="20" w:before="20" w:line="240" w:lineRule="auto"/>
            </w:pPr>
            <w:r/>
            <w:r>
              <w:rPr>
                <w:rFonts w:ascii="Arial" w:hAnsi="Arial" w:cs="Arial"/>
                <w:b w:val="0"/>
                <w:i w:val="0"/>
                <w:sz w:val="17"/>
              </w:rPr>
              <w:t>LTV, Collateral Status, Repayment Health</w:t>
            </w:r>
          </w:p>
        </w:tc>
      </w:tr>
      <w:tr>
        <w:tc>
          <w:tcPr>
            <w:tcW w:type="dxa" w:w="4819"/>
          </w:tcPr>
          <w:p>
            <w:pPr>
              <w:spacing w:after="20" w:before="20" w:line="240" w:lineRule="auto"/>
            </w:pPr>
            <w:r/>
            <w:r>
              <w:rPr>
                <w:rFonts w:ascii="Arial" w:hAnsi="Arial" w:cs="Arial"/>
                <w:b w:val="0"/>
                <w:i w:val="0"/>
                <w:sz w:val="17"/>
              </w:rPr>
              <w:t>Government</w:t>
            </w:r>
          </w:p>
        </w:tc>
        <w:tc>
          <w:tcPr>
            <w:tcW w:type="dxa" w:w="4819"/>
          </w:tcPr>
          <w:p>
            <w:pPr>
              <w:spacing w:after="20" w:before="20" w:line="240" w:lineRule="auto"/>
            </w:pPr>
            <w:r/>
            <w:r>
              <w:rPr>
                <w:rFonts w:ascii="Arial" w:hAnsi="Arial" w:cs="Arial"/>
                <w:b w:val="0"/>
                <w:i w:val="0"/>
                <w:sz w:val="17"/>
              </w:rPr>
              <w:t>Risk Score, Document Readiness, Declaration Status, Integration Badge</w:t>
            </w:r>
          </w:p>
        </w:tc>
      </w:tr>
      <w:tr>
        <w:tc>
          <w:tcPr>
            <w:tcW w:type="dxa" w:w="4819"/>
          </w:tcPr>
          <w:p>
            <w:pPr>
              <w:spacing w:after="20" w:before="20" w:line="240" w:lineRule="auto"/>
            </w:pPr>
            <w:r/>
            <w:r>
              <w:rPr>
                <w:rFonts w:ascii="Arial" w:hAnsi="Arial" w:cs="Arial"/>
                <w:b w:val="0"/>
                <w:i w:val="0"/>
                <w:sz w:val="17"/>
              </w:rPr>
              <w:t>Admin</w:t>
            </w:r>
          </w:p>
        </w:tc>
        <w:tc>
          <w:tcPr>
            <w:tcW w:type="dxa" w:w="4819"/>
          </w:tcPr>
          <w:p>
            <w:pPr>
              <w:spacing w:after="20" w:before="20" w:line="240" w:lineRule="auto"/>
            </w:pPr>
            <w:r/>
            <w:r>
              <w:rPr>
                <w:rFonts w:ascii="Arial" w:hAnsi="Arial" w:cs="Arial"/>
                <w:b w:val="0"/>
                <w:i w:val="0"/>
                <w:sz w:val="17"/>
              </w:rPr>
              <w:t>Tenant, KYB Status, Governor Flags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16.5.10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/v1/shipments-vault</w:t>
            </w:r>
          </w:p>
        </w:tc>
        <w:tc>
          <w:tcPr>
            <w:tcW w:type="dxa" w:w="3213"/>
          </w:tcPr>
          <w:p>
            <w:pPr>
              <w:spacing w:after="20" w:before="20" w:line="240" w:lineRule="auto"/>
            </w:pPr>
            <w:r/>
            <w:r>
              <w:rPr>
                <w:rFonts w:ascii="Arial" w:hAnsi="Arial" w:cs="Arial"/>
                <w:b w:val="0"/>
                <w:i w:val="0"/>
                <w:sz w:val="17"/>
              </w:rPr>
              <w:t>Paginated, filtered, sorted vault rows (role-filtered)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/v1/shipments-vault/map</w:t>
            </w:r>
          </w:p>
        </w:tc>
        <w:tc>
          <w:tcPr>
            <w:tcW w:type="dxa" w:w="3213"/>
          </w:tcPr>
          <w:p>
            <w:pPr>
              <w:spacing w:after="20" w:before="20" w:line="240" w:lineRule="auto"/>
            </w:pPr>
            <w:r/>
            <w:r>
              <w:rPr>
                <w:rFonts w:ascii="Arial" w:hAnsi="Arial" w:cs="Arial"/>
                <w:b w:val="0"/>
                <w:i w:val="0"/>
                <w:sz w:val="17"/>
              </w:rPr>
              <w:t>Geo positions for the filtered set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/v1/shipments-vault/export</w:t>
            </w:r>
          </w:p>
        </w:tc>
        <w:tc>
          <w:tcPr>
            <w:tcW w:type="dxa" w:w="3213"/>
          </w:tcPr>
          <w:p>
            <w:pPr>
              <w:spacing w:after="20" w:before="20" w:line="240" w:lineRule="auto"/>
            </w:pPr>
            <w:r/>
            <w:r>
              <w:rPr>
                <w:rFonts w:ascii="Arial" w:hAnsi="Arial" w:cs="Arial"/>
                <w:b w:val="0"/>
                <w:i w:val="0"/>
                <w:sz w:val="17"/>
              </w:rPr>
              <w:t>Generate CSV/PDF export of the current filter set</w:t>
            </w:r>
          </w:p>
        </w:tc>
      </w:tr>
      <w:tr>
        <w:tc>
          <w:tcPr>
            <w:tcW w:type="dxa" w:w="3213"/>
          </w:tcPr>
          <w:p>
            <w:pPr>
              <w:spacing w:after="20" w:before="20" w:line="240" w:lineRule="auto"/>
            </w:pPr>
            <w:r/>
            <w:r>
              <w:rPr>
                <w:rFonts w:ascii="Arial" w:hAnsi="Arial" w:cs="Arial"/>
                <w:b w:val="0"/>
                <w:i w:val="0"/>
                <w:sz w:val="17"/>
              </w:rPr>
              <w:t>PUT</w:t>
            </w:r>
          </w:p>
        </w:tc>
        <w:tc>
          <w:tcPr>
            <w:tcW w:type="dxa" w:w="3213"/>
          </w:tcPr>
          <w:p>
            <w:pPr>
              <w:spacing w:after="20" w:before="20" w:line="240" w:lineRule="auto"/>
            </w:pPr>
            <w:r/>
            <w:r>
              <w:rPr>
                <w:rFonts w:ascii="Arial" w:hAnsi="Arial" w:cs="Arial"/>
                <w:b w:val="0"/>
                <w:i w:val="0"/>
                <w:sz w:val="17"/>
              </w:rPr>
              <w:t>/v1/shipments-vault/views</w:t>
            </w:r>
          </w:p>
        </w:tc>
        <w:tc>
          <w:tcPr>
            <w:tcW w:type="dxa" w:w="3213"/>
          </w:tcPr>
          <w:p>
            <w:pPr>
              <w:spacing w:after="20" w:before="20" w:line="240" w:lineRule="auto"/>
            </w:pPr>
            <w:r/>
            <w:r>
              <w:rPr>
                <w:rFonts w:ascii="Arial" w:hAnsi="Arial" w:cs="Arial"/>
                <w:b w:val="0"/>
                <w:i w:val="0"/>
                <w:sz w:val="17"/>
              </w:rPr>
              <w:t>Save / update a named filter view</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16.6 Voice Interface — VoiceCommandButton</w:t>
      </w:r>
    </w:p>
    <w:p>
      <w:pPr>
        <w:keepNext/>
        <w:spacing w:before="180" w:after="80"/>
        <w:outlineLvl w:val="2"/>
      </w:pPr>
      <w:r>
        <w:rPr>
          <w:rFonts w:ascii="Arial" w:hAnsi="Arial" w:cs="Arial"/>
          <w:b/>
          <w:i w:val="0"/>
          <w:color w:val="333333"/>
          <w:sz w:val="23"/>
        </w:rPr>
        <w:t>16.6.1 Purpose &amp; Capabilities</w:t>
      </w:r>
    </w:p>
    <w:p>
      <w:pPr>
        <w:spacing w:after="80" w:line="293" w:lineRule="auto"/>
        <w:jc w:val="left"/>
      </w:pPr>
      <w:r>
        <w:rPr>
          <w:rFonts w:ascii="Times New Roman" w:hAnsi="Times New Roman" w:cs="Times New Roman"/>
          <w:b w:val="0"/>
          <w:i w:val="0"/>
          <w:sz w:val="22"/>
        </w:rPr>
        <w:t>Hands-free operation for milestone confirmations, navigation, and approvals — works offline. The VoiceCommandButton is a UI component with offline speech recognition (Vosk) plus intent extraction (HF Mixtral, local).</w:t>
      </w:r>
    </w:p>
    <w:p>
      <w:pPr>
        <w:spacing w:after="80" w:line="293" w:lineRule="auto"/>
        <w:jc w:val="left"/>
      </w:pPr>
      <w:r>
        <w:rPr>
          <w:rFonts w:ascii="Times New Roman" w:hAnsi="Times New Roman" w:cs="Times New Roman"/>
          <w:b/>
          <w:i w:val="0"/>
          <w:sz w:val="22"/>
        </w:rPr>
        <w:t>Capabilities:</w:t>
      </w:r>
    </w:p>
    <w:p>
      <w:pPr>
        <w:spacing w:after="80" w:line="293" w:lineRule="auto"/>
        <w:ind w:left="283"/>
        <w:jc w:val="left"/>
      </w:pPr>
      <w:r>
        <w:rPr>
          <w:rFonts w:ascii="Times New Roman" w:hAnsi="Times New Roman" w:cs="Times New Roman"/>
          <w:b w:val="0"/>
          <w:i w:val="0"/>
          <w:sz w:val="22"/>
        </w:rPr>
        <w:t>- Speech-to-text — Vosk offline models for English, Arabic, Vietnamese, and German; fallback to</w:t>
      </w:r>
    </w:p>
    <w:p>
      <w:pPr>
        <w:spacing w:after="80" w:line="293" w:lineRule="auto"/>
        <w:jc w:val="left"/>
      </w:pPr>
      <w:r>
        <w:rPr>
          <w:rFonts w:ascii="Times New Roman" w:hAnsi="Times New Roman" w:cs="Times New Roman"/>
          <w:b w:val="0"/>
          <w:i w:val="0"/>
          <w:sz w:val="22"/>
        </w:rPr>
        <w:t>the Web Speech API when online.</w:t>
      </w:r>
    </w:p>
    <w:p>
      <w:pPr>
        <w:spacing w:after="80" w:line="293" w:lineRule="auto"/>
        <w:ind w:left="283"/>
        <w:jc w:val="left"/>
      </w:pPr>
      <w:r>
        <w:rPr>
          <w:rFonts w:ascii="Times New Roman" w:hAnsi="Times New Roman" w:cs="Times New Roman"/>
          <w:b w:val="0"/>
          <w:i w:val="0"/>
          <w:sz w:val="22"/>
        </w:rPr>
        <w:t>- Intent extraction — A2 (HF Mixtral, local) extracts action, entity, and parameters from the</w:t>
      </w:r>
    </w:p>
    <w:p>
      <w:pPr>
        <w:spacing w:after="80" w:line="293" w:lineRule="auto"/>
        <w:jc w:val="left"/>
      </w:pPr>
      <w:r>
        <w:rPr>
          <w:rFonts w:ascii="Times New Roman" w:hAnsi="Times New Roman" w:cs="Times New Roman"/>
          <w:b w:val="0"/>
          <w:i w:val="0"/>
          <w:sz w:val="22"/>
        </w:rPr>
        <w:t>transcript.</w:t>
      </w:r>
    </w:p>
    <w:p>
      <w:pPr>
        <w:spacing w:after="80" w:line="293" w:lineRule="auto"/>
        <w:ind w:left="283"/>
        <w:jc w:val="left"/>
      </w:pPr>
      <w:r>
        <w:rPr>
          <w:rFonts w:ascii="Times New Roman" w:hAnsi="Times New Roman" w:cs="Times New Roman"/>
          <w:b w:val="0"/>
          <w:i w:val="0"/>
          <w:sz w:val="22"/>
        </w:rPr>
        <w:t>- Biometric verification — ZITADEL passkey (fingerprint/face) for high-value actions.</w:t>
      </w:r>
    </w:p>
    <w:p>
      <w:pPr>
        <w:keepNext/>
        <w:spacing w:before="180" w:after="80"/>
        <w:outlineLvl w:val="2"/>
      </w:pPr>
      <w:r>
        <w:rPr>
          <w:rFonts w:ascii="Arial" w:hAnsi="Arial" w:cs="Arial"/>
          <w:b/>
          <w:i w:val="0"/>
          <w:color w:val="333333"/>
          <w:sz w:val="23"/>
        </w:rPr>
        <w:t>16.6.2 Voice Commands Catalogue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Command Pattern</w:t>
            </w:r>
          </w:p>
        </w:tc>
        <w:tc>
          <w:tcPr>
            <w:tcW w:type="dxa" w:w="3213"/>
            <w:shd w:val="clear" w:fill="D9E2F3"/>
          </w:tcPr>
          <w:p>
            <w:pPr>
              <w:spacing w:after="20" w:before="20" w:line="240" w:lineRule="auto"/>
            </w:pPr>
            <w:r/>
            <w:r>
              <w:rPr>
                <w:rFonts w:ascii="Arial" w:hAnsi="Arial" w:cs="Arial"/>
                <w:b/>
                <w:i w:val="0"/>
                <w:sz w:val="18"/>
              </w:rPr>
              <w:t>Extracted Intent</w:t>
            </w:r>
          </w:p>
        </w:tc>
        <w:tc>
          <w:tcPr>
            <w:tcW w:type="dxa" w:w="3213"/>
            <w:shd w:val="clear" w:fill="D9E2F3"/>
          </w:tcPr>
          <w:p>
            <w:pPr>
              <w:spacing w:after="20" w:before="20" w:line="240" w:lineRule="auto"/>
            </w:pPr>
            <w:r/>
            <w:r>
              <w:rPr>
                <w:rFonts w:ascii="Arial" w:hAnsi="Arial" w:cs="Arial"/>
                <w:b/>
                <w:i w:val="0"/>
                <w:sz w:val="18"/>
              </w:rPr>
              <w:t>Execution</w:t>
            </w:r>
          </w:p>
        </w:tc>
      </w:tr>
      <w:tr>
        <w:tc>
          <w:tcPr>
            <w:tcW w:type="dxa" w:w="3213"/>
          </w:tcPr>
          <w:p>
            <w:pPr>
              <w:spacing w:after="20" w:before="20" w:line="240" w:lineRule="auto"/>
            </w:pPr>
            <w:r/>
            <w:r>
              <w:rPr>
                <w:rFonts w:ascii="Arial" w:hAnsi="Arial" w:cs="Arial"/>
                <w:b w:val="0"/>
                <w:i w:val="0"/>
                <w:sz w:val="17"/>
              </w:rPr>
              <w:t>"Confirm departed for USTN SGTX-EG-001"</w:t>
            </w:r>
          </w:p>
        </w:tc>
        <w:tc>
          <w:tcPr>
            <w:tcW w:type="dxa" w:w="3213"/>
          </w:tcPr>
          <w:p>
            <w:pPr>
              <w:spacing w:after="20" w:before="20" w:line="240" w:lineRule="auto"/>
            </w:pPr>
            <w:r/>
            <w:r>
              <w:rPr>
                <w:rFonts w:ascii="Arial" w:hAnsi="Arial" w:cs="Arial"/>
                <w:b w:val="0"/>
                <w:i w:val="0"/>
                <w:sz w:val="17"/>
              </w:rPr>
              <w:t>milestone.confirm(DEPARTED, USTN)</w:t>
            </w:r>
          </w:p>
        </w:tc>
        <w:tc>
          <w:tcPr>
            <w:tcW w:type="dxa" w:w="3213"/>
          </w:tcPr>
          <w:p>
            <w:pPr>
              <w:spacing w:after="20" w:before="20" w:line="240" w:lineRule="auto"/>
            </w:pPr>
            <w:r/>
            <w:r>
              <w:rPr>
                <w:rFonts w:ascii="Arial" w:hAnsi="Arial" w:cs="Arial"/>
                <w:b w:val="0"/>
                <w:i w:val="0"/>
                <w:sz w:val="17"/>
              </w:rPr>
              <w:t>Governor-gated milestone confirmation</w:t>
            </w:r>
          </w:p>
        </w:tc>
      </w:tr>
      <w:tr>
        <w:tc>
          <w:tcPr>
            <w:tcW w:type="dxa" w:w="3213"/>
          </w:tcPr>
          <w:p>
            <w:pPr>
              <w:spacing w:after="20" w:before="20" w:line="240" w:lineRule="auto"/>
            </w:pPr>
            <w:r/>
            <w:r>
              <w:rPr>
                <w:rFonts w:ascii="Arial" w:hAnsi="Arial" w:cs="Arial"/>
                <w:b w:val="0"/>
                <w:i w:val="0"/>
                <w:sz w:val="17"/>
              </w:rPr>
              <w:t>"Depart MSC FIONA for USTN SGTX-EG-001"</w:t>
            </w:r>
          </w:p>
        </w:tc>
        <w:tc>
          <w:tcPr>
            <w:tcW w:type="dxa" w:w="3213"/>
          </w:tcPr>
          <w:p>
            <w:pPr>
              <w:spacing w:after="20" w:before="20" w:line="240" w:lineRule="auto"/>
            </w:pPr>
            <w:r/>
            <w:r>
              <w:rPr>
                <w:rFonts w:ascii="Arial" w:hAnsi="Arial" w:cs="Arial"/>
                <w:b w:val="0"/>
                <w:i w:val="0"/>
                <w:sz w:val="17"/>
              </w:rPr>
              <w:t>milestone.confirm(DEPARTED, vessel, USTN)</w:t>
            </w:r>
          </w:p>
        </w:tc>
        <w:tc>
          <w:tcPr>
            <w:tcW w:type="dxa" w:w="3213"/>
          </w:tcPr>
          <w:p>
            <w:pPr>
              <w:spacing w:after="20" w:before="20" w:line="240" w:lineRule="auto"/>
            </w:pPr>
            <w:r/>
            <w:r>
              <w:rPr>
                <w:rFonts w:ascii="Arial" w:hAnsi="Arial" w:cs="Arial"/>
                <w:b w:val="0"/>
                <w:i w:val="0"/>
                <w:sz w:val="17"/>
              </w:rPr>
              <w:t>SHIP milestone update</w:t>
            </w:r>
          </w:p>
        </w:tc>
      </w:tr>
      <w:tr>
        <w:tc>
          <w:tcPr>
            <w:tcW w:type="dxa" w:w="3213"/>
          </w:tcPr>
          <w:p>
            <w:pPr>
              <w:spacing w:after="20" w:before="20" w:line="240" w:lineRule="auto"/>
            </w:pPr>
            <w:r/>
            <w:r>
              <w:rPr>
                <w:rFonts w:ascii="Arial" w:hAnsi="Arial" w:cs="Arial"/>
                <w:b w:val="0"/>
                <w:i w:val="0"/>
                <w:sz w:val="17"/>
              </w:rPr>
              <w:t>"Approve settlement for USTN SGTX-EG-001"</w:t>
            </w:r>
          </w:p>
        </w:tc>
        <w:tc>
          <w:tcPr>
            <w:tcW w:type="dxa" w:w="3213"/>
          </w:tcPr>
          <w:p>
            <w:pPr>
              <w:spacing w:after="20" w:before="20" w:line="240" w:lineRule="auto"/>
            </w:pPr>
            <w:r/>
            <w:r>
              <w:rPr>
                <w:rFonts w:ascii="Arial" w:hAnsi="Arial" w:cs="Arial"/>
                <w:b w:val="0"/>
                <w:i w:val="0"/>
                <w:sz w:val="17"/>
              </w:rPr>
              <w:t>settlement.approve(USTN)</w:t>
            </w:r>
          </w:p>
        </w:tc>
        <w:tc>
          <w:tcPr>
            <w:tcW w:type="dxa" w:w="3213"/>
          </w:tcPr>
          <w:p>
            <w:pPr>
              <w:spacing w:after="20" w:before="20" w:line="240" w:lineRule="auto"/>
            </w:pPr>
            <w:r/>
            <w:r>
              <w:rPr>
                <w:rFonts w:ascii="Arial" w:hAnsi="Arial" w:cs="Arial"/>
                <w:b w:val="0"/>
                <w:i w:val="0"/>
                <w:sz w:val="17"/>
              </w:rPr>
              <w:t>Biometric (passkey) required; then one-click execution</w:t>
            </w:r>
          </w:p>
        </w:tc>
      </w:tr>
      <w:tr>
        <w:tc>
          <w:tcPr>
            <w:tcW w:type="dxa" w:w="3213"/>
          </w:tcPr>
          <w:p>
            <w:pPr>
              <w:spacing w:after="20" w:before="20" w:line="240" w:lineRule="auto"/>
            </w:pPr>
            <w:r/>
            <w:r>
              <w:rPr>
                <w:rFonts w:ascii="Arial" w:hAnsi="Arial" w:cs="Arial"/>
                <w:b w:val="0"/>
                <w:i w:val="0"/>
                <w:sz w:val="17"/>
              </w:rPr>
              <w:t>"Show delayed shipments"</w:t>
            </w:r>
          </w:p>
        </w:tc>
        <w:tc>
          <w:tcPr>
            <w:tcW w:type="dxa" w:w="3213"/>
          </w:tcPr>
          <w:p>
            <w:pPr>
              <w:spacing w:after="20" w:before="20" w:line="240" w:lineRule="auto"/>
            </w:pPr>
            <w:r/>
            <w:r>
              <w:rPr>
                <w:rFonts w:ascii="Arial" w:hAnsi="Arial" w:cs="Arial"/>
                <w:b w:val="0"/>
                <w:i w:val="0"/>
                <w:sz w:val="17"/>
              </w:rPr>
              <w:t>query.shipments(delayed=true)</w:t>
            </w:r>
          </w:p>
        </w:tc>
        <w:tc>
          <w:tcPr>
            <w:tcW w:type="dxa" w:w="3213"/>
          </w:tcPr>
          <w:p>
            <w:pPr>
              <w:spacing w:after="20" w:before="20" w:line="240" w:lineRule="auto"/>
            </w:pPr>
            <w:r/>
            <w:r>
              <w:rPr>
                <w:rFonts w:ascii="Arial" w:hAnsi="Arial" w:cs="Arial"/>
                <w:b w:val="0"/>
                <w:i w:val="0"/>
                <w:sz w:val="17"/>
              </w:rPr>
              <w:t>Opens filtered Shipments Vault</w:t>
            </w:r>
          </w:p>
        </w:tc>
      </w:tr>
      <w:tr>
        <w:tc>
          <w:tcPr>
            <w:tcW w:type="dxa" w:w="3213"/>
          </w:tcPr>
          <w:p>
            <w:pPr>
              <w:spacing w:after="20" w:before="20" w:line="240" w:lineRule="auto"/>
            </w:pPr>
            <w:r/>
            <w:r>
              <w:rPr>
                <w:rFonts w:ascii="Arial" w:hAnsi="Arial" w:cs="Arial"/>
                <w:b w:val="0"/>
                <w:i w:val="0"/>
                <w:sz w:val="17"/>
              </w:rPr>
              <w:t>"Sign contract for USTN SGTX-EG-001"</w:t>
            </w:r>
          </w:p>
        </w:tc>
        <w:tc>
          <w:tcPr>
            <w:tcW w:type="dxa" w:w="3213"/>
          </w:tcPr>
          <w:p>
            <w:pPr>
              <w:spacing w:after="20" w:before="20" w:line="240" w:lineRule="auto"/>
            </w:pPr>
            <w:r/>
            <w:r>
              <w:rPr>
                <w:rFonts w:ascii="Arial" w:hAnsi="Arial" w:cs="Arial"/>
                <w:b w:val="0"/>
                <w:i w:val="0"/>
                <w:sz w:val="17"/>
              </w:rPr>
              <w:t>contract.sign(USTN)</w:t>
            </w:r>
          </w:p>
        </w:tc>
        <w:tc>
          <w:tcPr>
            <w:tcW w:type="dxa" w:w="3213"/>
          </w:tcPr>
          <w:p>
            <w:pPr>
              <w:spacing w:after="20" w:before="20" w:line="240" w:lineRule="auto"/>
            </w:pPr>
            <w:r/>
            <w:r>
              <w:rPr>
                <w:rFonts w:ascii="Arial" w:hAnsi="Arial" w:cs="Arial"/>
                <w:b w:val="0"/>
                <w:i w:val="0"/>
                <w:sz w:val="17"/>
              </w:rPr>
              <w:t>Biometric required; opens signature flow pre-filled</w:t>
            </w:r>
          </w:p>
        </w:tc>
      </w:tr>
      <w:tr>
        <w:tc>
          <w:tcPr>
            <w:tcW w:type="dxa" w:w="3213"/>
          </w:tcPr>
          <w:p>
            <w:pPr>
              <w:spacing w:after="20" w:before="20" w:line="240" w:lineRule="auto"/>
            </w:pPr>
            <w:r/>
            <w:r>
              <w:rPr>
                <w:rFonts w:ascii="Arial" w:hAnsi="Arial" w:cs="Arial"/>
                <w:b w:val="0"/>
                <w:i w:val="0"/>
                <w:sz w:val="17"/>
              </w:rPr>
              <w:t>"Pallet OR005 loaded into container TCNU1234567"</w:t>
            </w:r>
          </w:p>
        </w:tc>
        <w:tc>
          <w:tcPr>
            <w:tcW w:type="dxa" w:w="3213"/>
          </w:tcPr>
          <w:p>
            <w:pPr>
              <w:spacing w:after="20" w:before="20" w:line="240" w:lineRule="auto"/>
            </w:pPr>
            <w:r/>
            <w:r>
              <w:rPr>
                <w:rFonts w:ascii="Arial" w:hAnsi="Arial" w:cs="Arial"/>
                <w:b w:val="0"/>
                <w:i w:val="0"/>
                <w:sz w:val="17"/>
              </w:rPr>
              <w:t>pallet.load(pallet, container)</w:t>
            </w:r>
          </w:p>
        </w:tc>
        <w:tc>
          <w:tcPr>
            <w:tcW w:type="dxa" w:w="3213"/>
          </w:tcPr>
          <w:p>
            <w:pPr>
              <w:spacing w:after="20" w:before="20" w:line="240" w:lineRule="auto"/>
            </w:pPr>
            <w:r/>
            <w:r>
              <w:rPr>
                <w:rFonts w:ascii="Arial" w:hAnsi="Arial" w:cs="Arial"/>
                <w:b w:val="0"/>
                <w:i w:val="0"/>
                <w:sz w:val="17"/>
              </w:rPr>
              <w:t>Barcode-equivalent scan event (see 23.3)</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16.6.3 Implementation</w:t>
      </w:r>
    </w:p>
    <w:p>
      <w:pPr>
        <w:spacing w:after="80" w:line="293" w:lineRule="auto"/>
        <w:ind w:left="283"/>
        <w:jc w:val="left"/>
      </w:pPr>
      <w:r>
        <w:rPr>
          <w:rFonts w:ascii="Times New Roman" w:hAnsi="Times New Roman" w:cs="Times New Roman"/>
          <w:b w:val="0"/>
          <w:i w:val="0"/>
          <w:sz w:val="22"/>
        </w:rPr>
        <w:t>- The component is available in the global header of every portal and inside milestone modals.</w:t>
      </w:r>
    </w:p>
    <w:p>
      <w:pPr>
        <w:spacing w:after="80" w:line="293" w:lineRule="auto"/>
        <w:ind w:left="283"/>
        <w:jc w:val="left"/>
      </w:pPr>
      <w:r>
        <w:rPr>
          <w:rFonts w:ascii="Times New Roman" w:hAnsi="Times New Roman" w:cs="Times New Roman"/>
          <w:b w:val="0"/>
          <w:i w:val="0"/>
          <w:sz w:val="22"/>
        </w:rPr>
        <w:t>- Recognition confidence below 80% falls back to manual entry/confirmation.</w:t>
      </w:r>
    </w:p>
    <w:p>
      <w:pPr>
        <w:spacing w:after="80" w:line="293" w:lineRule="auto"/>
        <w:ind w:left="283"/>
        <w:jc w:val="left"/>
      </w:pPr>
      <w:r>
        <w:rPr>
          <w:rFonts w:ascii="Times New Roman" w:hAnsi="Times New Roman" w:cs="Times New Roman"/>
          <w:b w:val="0"/>
          <w:i w:val="0"/>
          <w:sz w:val="22"/>
        </w:rPr>
        <w:t>- After voice command and biometric confirmation, the action executes — zero clicks.</w:t>
      </w:r>
    </w:p>
    <w:p>
      <w:pPr>
        <w:spacing w:after="80" w:line="293" w:lineRule="auto"/>
        <w:ind w:left="283"/>
        <w:jc w:val="left"/>
      </w:pPr>
      <w:r>
        <w:rPr>
          <w:rFonts w:ascii="Times New Roman" w:hAnsi="Times New Roman" w:cs="Times New Roman"/>
          <w:b w:val="0"/>
          <w:i w:val="0"/>
          <w:sz w:val="22"/>
        </w:rPr>
        <w:t>- Every executed voice command is logged as a Governor decision with the transcript hash (no raw</w:t>
      </w:r>
    </w:p>
    <w:p>
      <w:pPr>
        <w:spacing w:after="80" w:line="293" w:lineRule="auto"/>
        <w:jc w:val="left"/>
      </w:pPr>
      <w:r>
        <w:rPr>
          <w:rFonts w:ascii="Times New Roman" w:hAnsi="Times New Roman" w:cs="Times New Roman"/>
          <w:b w:val="0"/>
          <w:i w:val="0"/>
          <w:sz w:val="22"/>
        </w:rPr>
        <w:t>audio stored).</w:t>
      </w:r>
    </w:p>
    <w:p>
      <w:pPr>
        <w:keepNext/>
        <w:spacing w:before="240" w:after="100"/>
        <w:outlineLvl w:val="1"/>
      </w:pPr>
      <w:r>
        <w:rPr>
          <w:rFonts w:ascii="Arial" w:hAnsi="Arial" w:cs="Arial"/>
          <w:b/>
          <w:i w:val="0"/>
          <w:color w:val="2E528F"/>
          <w:sz w:val="26"/>
        </w:rPr>
        <w:t>16.7 Customer Care Chatbot</w:t>
      </w:r>
    </w:p>
    <w:p>
      <w:pPr>
        <w:keepNext/>
        <w:spacing w:before="180" w:after="80"/>
        <w:outlineLvl w:val="2"/>
      </w:pPr>
      <w:r>
        <w:rPr>
          <w:rFonts w:ascii="Arial" w:hAnsi="Arial" w:cs="Arial"/>
          <w:b/>
          <w:i w:val="0"/>
          <w:color w:val="333333"/>
          <w:sz w:val="23"/>
        </w:rPr>
        <w:t>16.7.1 Purpose &amp; Features</w:t>
      </w:r>
    </w:p>
    <w:p>
      <w:pPr>
        <w:spacing w:after="80" w:line="293" w:lineRule="auto"/>
        <w:jc w:val="left"/>
      </w:pPr>
      <w:r>
        <w:rPr>
          <w:rFonts w:ascii="Times New Roman" w:hAnsi="Times New Roman" w:cs="Times New Roman"/>
          <w:b w:val="0"/>
          <w:i w:val="0"/>
          <w:sz w:val="22"/>
        </w:rPr>
        <w:t>AI-powered support accessible from any portal. It can answer questions, perform actions on the user's behalf (with PIN-based impersonation), and escalate to human support.</w:t>
      </w:r>
    </w:p>
    <w:p>
      <w:pPr>
        <w:spacing w:after="80" w:line="293" w:lineRule="auto"/>
        <w:jc w:val="left"/>
      </w:pPr>
      <w:r>
        <w:rPr>
          <w:rFonts w:ascii="Times New Roman" w:hAnsi="Times New Roman" w:cs="Times New Roman"/>
          <w:b w:val="0"/>
          <w:i w:val="0"/>
          <w:sz w:val="22"/>
        </w:rPr>
        <w:t>Features:</w:t>
      </w:r>
    </w:p>
    <w:p>
      <w:pPr>
        <w:spacing w:after="80" w:line="293" w:lineRule="auto"/>
        <w:ind w:left="283"/>
        <w:jc w:val="left"/>
      </w:pPr>
      <w:r>
        <w:rPr>
          <w:rFonts w:ascii="Times New Roman" w:hAnsi="Times New Roman" w:cs="Times New Roman"/>
          <w:b w:val="0"/>
          <w:i w:val="0"/>
          <w:sz w:val="22"/>
        </w:rPr>
        <w:t>- Conversational AI — A1 (Groq) for natural language responses; A2 (HF Mixtral) for intent</w:t>
      </w:r>
    </w:p>
    <w:p>
      <w:pPr>
        <w:spacing w:after="80" w:line="293" w:lineRule="auto"/>
        <w:jc w:val="left"/>
      </w:pPr>
      <w:r>
        <w:rPr>
          <w:rFonts w:ascii="Times New Roman" w:hAnsi="Times New Roman" w:cs="Times New Roman"/>
          <w:b w:val="0"/>
          <w:i w:val="0"/>
          <w:sz w:val="22"/>
        </w:rPr>
        <w:t>extraction.</w:t>
      </w:r>
    </w:p>
    <w:p>
      <w:pPr>
        <w:spacing w:after="80" w:line="293" w:lineRule="auto"/>
        <w:ind w:left="283"/>
        <w:jc w:val="left"/>
      </w:pPr>
      <w:r>
        <w:rPr>
          <w:rFonts w:ascii="Times New Roman" w:hAnsi="Times New Roman" w:cs="Times New Roman"/>
          <w:b w:val="0"/>
          <w:i w:val="0"/>
          <w:sz w:val="22"/>
        </w:rPr>
        <w:t>- Knowledge base — public documentation plus user-specific data (with permission).</w:t>
      </w:r>
    </w:p>
    <w:p>
      <w:pPr>
        <w:spacing w:after="80" w:line="293" w:lineRule="auto"/>
        <w:ind w:left="283"/>
        <w:jc w:val="left"/>
      </w:pPr>
      <w:r>
        <w:rPr>
          <w:rFonts w:ascii="Times New Roman" w:hAnsi="Times New Roman" w:cs="Times New Roman"/>
          <w:b w:val="0"/>
          <w:i w:val="0"/>
          <w:sz w:val="22"/>
        </w:rPr>
        <w:t>- PIN-based impersonation — for actions requiring state modification, the bot requests the</w:t>
      </w:r>
    </w:p>
    <w:p>
      <w:pPr>
        <w:spacing w:after="80" w:line="293" w:lineRule="auto"/>
        <w:jc w:val="left"/>
      </w:pPr>
      <w:r>
        <w:rPr>
          <w:rFonts w:ascii="Times New Roman" w:hAnsi="Times New Roman" w:cs="Times New Roman"/>
          <w:b w:val="0"/>
          <w:i w:val="0"/>
          <w:sz w:val="22"/>
        </w:rPr>
        <w:t>user's support PIN (set in Company Admin). The PIN is verified via bcrypt; if correct, the bot obtains a short-lived, scope-limited JWT.</w:t>
      </w:r>
    </w:p>
    <w:p>
      <w:pPr>
        <w:spacing w:after="80" w:line="293" w:lineRule="auto"/>
        <w:ind w:left="283"/>
        <w:jc w:val="left"/>
      </w:pPr>
      <w:r>
        <w:rPr>
          <w:rFonts w:ascii="Times New Roman" w:hAnsi="Times New Roman" w:cs="Times New Roman"/>
          <w:b w:val="0"/>
          <w:i w:val="0"/>
          <w:sz w:val="22"/>
        </w:rPr>
        <w:t>- Escalation to human — if the bot fails after three attempts, or the user types "talk to a</w:t>
      </w:r>
    </w:p>
    <w:p>
      <w:pPr>
        <w:spacing w:after="80" w:line="293" w:lineRule="auto"/>
        <w:jc w:val="left"/>
      </w:pPr>
      <w:r>
        <w:rPr>
          <w:rFonts w:ascii="Times New Roman" w:hAnsi="Times New Roman" w:cs="Times New Roman"/>
          <w:b w:val="0"/>
          <w:i w:val="0"/>
          <w:sz w:val="22"/>
        </w:rPr>
        <w:t>human", the bot offers to escalate. The system initiates a VoIP callback via self-hosted Janus Gateway.</w:t>
      </w:r>
    </w:p>
    <w:p>
      <w:pPr>
        <w:spacing w:after="80" w:line="293" w:lineRule="auto"/>
        <w:ind w:left="283"/>
        <w:jc w:val="left"/>
      </w:pPr>
      <w:r>
        <w:rPr>
          <w:rFonts w:ascii="Times New Roman" w:hAnsi="Times New Roman" w:cs="Times New Roman"/>
          <w:b w:val="0"/>
          <w:i w:val="0"/>
          <w:sz w:val="22"/>
        </w:rPr>
        <w:t>- Impersonation logging — all impersonated actions are logged as Governor decisions</w:t>
      </w:r>
    </w:p>
    <w:p>
      <w:pPr>
        <w:spacing w:after="80" w:line="293" w:lineRule="auto"/>
        <w:jc w:val="left"/>
      </w:pPr>
      <w:r>
        <w:rPr>
          <w:rFonts w:ascii="Times New Roman" w:hAnsi="Times New Roman" w:cs="Times New Roman"/>
          <w:b w:val="0"/>
          <w:i w:val="0"/>
          <w:sz w:val="22"/>
        </w:rPr>
        <w:t>(`decision_type = 'customer_care_bot_impersonation'`).</w:t>
      </w:r>
    </w:p>
    <w:p>
      <w:pPr>
        <w:keepNext/>
        <w:spacing w:before="180" w:after="80"/>
        <w:outlineLvl w:val="2"/>
      </w:pPr>
      <w:r>
        <w:rPr>
          <w:rFonts w:ascii="Arial" w:hAnsi="Arial" w:cs="Arial"/>
          <w:b/>
          <w:i w:val="0"/>
          <w:color w:val="333333"/>
          <w:sz w:val="23"/>
        </w:rPr>
        <w:t>16.7.2 Example Interaction</w:t>
      </w:r>
    </w:p>
    <w:p>
      <w:pPr>
        <w:spacing w:after="0" w:before="0" w:line="240" w:lineRule="auto"/>
        <w:ind w:left="57"/>
        <w:jc w:val="left"/>
        <w:shd w:val="clear" w:fill="F2F2F2"/>
      </w:pPr>
      <w:r>
        <w:rPr>
          <w:rFonts w:ascii="Consolas" w:hAnsi="Consolas" w:cs="Consolas"/>
          <w:b w:val="0"/>
          <w:i w:val="0"/>
          <w:sz w:val="15"/>
        </w:rPr>
        <w:t>User: "My shipment is stuck at customs. What do I do?"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I see USTN-EG-00491 has status CUSTOMS_HOLD. Missing document: Certificate</w:t>
      </w:r>
    </w:p>
    <w:p>
      <w:pPr>
        <w:spacing w:after="0" w:before="0" w:line="240" w:lineRule="auto"/>
        <w:ind w:left="57"/>
        <w:jc w:val="left"/>
        <w:shd w:val="clear" w:fill="F2F2F2"/>
      </w:pPr>
      <w:r>
        <w:rPr>
          <w:rFonts w:ascii="Consolas" w:hAnsi="Consolas" w:cs="Consolas"/>
          <w:b w:val="0"/>
          <w:i w:val="0"/>
          <w:sz w:val="15"/>
        </w:rPr>
        <w:t>of Origin. Quick fix: [Upload Certificate of Origin]</w:t>
      </w:r>
    </w:p>
    <w:p>
      <w:pPr>
        <w:spacing w:after="0" w:before="0" w:line="240" w:lineRule="auto"/>
        <w:ind w:left="57"/>
        <w:jc w:val="left"/>
        <w:shd w:val="clear" w:fill="F2F2F2"/>
      </w:pPr>
      <w:r>
        <w:rPr>
          <w:rFonts w:ascii="Consolas" w:hAnsi="Consolas" w:cs="Consolas"/>
          <w:b w:val="0"/>
          <w:i w:val="0"/>
          <w:sz w:val="15"/>
        </w:rPr>
        <w:t>If you've already uploaded it, the hold should clear within 2 hours.</w:t>
      </w:r>
    </w:p>
    <w:p>
      <w:pPr>
        <w:spacing w:after="0" w:before="0" w:line="240" w:lineRule="auto"/>
        <w:ind w:left="57"/>
        <w:jc w:val="left"/>
        <w:shd w:val="clear" w:fill="F2F2F2"/>
      </w:pPr>
      <w:r>
        <w:rPr>
          <w:rFonts w:ascii="Consolas" w:hAnsi="Consolas" w:cs="Consolas"/>
          <w:b w:val="0"/>
          <w:i w:val="0"/>
          <w:sz w:val="15"/>
        </w:rPr>
        <w:t>Need to escalate? [Contact Support]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User: "Escalate"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Creating support ticket #T-12345. A compliance officer will respond within</w:t>
      </w:r>
    </w:p>
    <w:p>
      <w:pPr>
        <w:spacing w:after="0" w:before="0" w:line="240" w:lineRule="auto"/>
        <w:ind w:left="57"/>
        <w:jc w:val="left"/>
        <w:shd w:val="clear" w:fill="F2F2F2"/>
      </w:pPr>
      <w:r>
        <w:rPr>
          <w:rFonts w:ascii="Consolas" w:hAnsi="Consolas" w:cs="Consolas"/>
          <w:b w:val="0"/>
          <w:i w:val="0"/>
          <w:sz w:val="15"/>
        </w:rPr>
        <w:t>4 hours. Reference this ticket in any follow-up. [View Ticket]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16.7.3 One-Click &amp; Non-Marketplace Guarantees</w:t>
      </w:r>
    </w:p>
    <w:p>
      <w:pPr>
        <w:spacing w:after="80" w:line="293" w:lineRule="auto"/>
        <w:ind w:left="283"/>
        <w:jc w:val="left"/>
      </w:pPr>
      <w:r>
        <w:rPr>
          <w:rFonts w:ascii="Times New Roman" w:hAnsi="Times New Roman" w:cs="Times New Roman"/>
          <w:b w:val="0"/>
          <w:i w:val="0"/>
          <w:sz w:val="22"/>
        </w:rPr>
        <w:t>- One-click: click chat icon → bot opens. User types or speaks; the bot executes actions with one</w:t>
      </w:r>
    </w:p>
    <w:p>
      <w:pPr>
        <w:spacing w:after="80" w:line="293" w:lineRule="auto"/>
        <w:jc w:val="left"/>
      </w:pPr>
      <w:r>
        <w:rPr>
          <w:rFonts w:ascii="Times New Roman" w:hAnsi="Times New Roman" w:cs="Times New Roman"/>
          <w:b w:val="0"/>
          <w:i w:val="0"/>
          <w:sz w:val="22"/>
        </w:rPr>
        <w:t>confirmation.</w:t>
      </w:r>
    </w:p>
    <w:p>
      <w:pPr>
        <w:spacing w:after="80" w:line="293" w:lineRule="auto"/>
        <w:ind w:left="283"/>
        <w:jc w:val="left"/>
      </w:pPr>
      <w:r>
        <w:rPr>
          <w:rFonts w:ascii="Times New Roman" w:hAnsi="Times New Roman" w:cs="Times New Roman"/>
          <w:b w:val="0"/>
          <w:i w:val="0"/>
          <w:sz w:val="22"/>
        </w:rPr>
        <w:t>- Non-marketplace: the bot never suggests alternative counterparties; it only assists with existing</w:t>
      </w:r>
    </w:p>
    <w:p>
      <w:pPr>
        <w:spacing w:after="80" w:line="293" w:lineRule="auto"/>
        <w:jc w:val="left"/>
      </w:pPr>
      <w:r>
        <w:rPr>
          <w:rFonts w:ascii="Times New Roman" w:hAnsi="Times New Roman" w:cs="Times New Roman"/>
          <w:b w:val="0"/>
          <w:i w:val="0"/>
          <w:sz w:val="22"/>
        </w:rPr>
        <w:t>relationships.</w:t>
      </w:r>
    </w:p>
    <w:p>
      <w:pPr>
        <w:keepNext/>
        <w:spacing w:before="240" w:after="100"/>
        <w:outlineLvl w:val="1"/>
      </w:pPr>
      <w:r>
        <w:rPr>
          <w:rFonts w:ascii="Arial" w:hAnsi="Arial" w:cs="Arial"/>
          <w:b/>
          <w:i w:val="0"/>
          <w:color w:val="2E528F"/>
          <w:sz w:val="26"/>
        </w:rPr>
        <w:t>16.8 Portal Feature Matrix &amp; Remaining Portal Specifications</w:t>
      </w:r>
    </w:p>
    <w:p>
      <w:pPr>
        <w:keepNext/>
        <w:spacing w:before="180" w:after="80"/>
        <w:outlineLvl w:val="2"/>
      </w:pPr>
      <w:r>
        <w:rPr>
          <w:rFonts w:ascii="Arial" w:hAnsi="Arial" w:cs="Arial"/>
          <w:b/>
          <w:i w:val="0"/>
          <w:color w:val="333333"/>
          <w:sz w:val="23"/>
        </w:rPr>
        <w:t>16.8.1 Purpose</w:t>
      </w:r>
    </w:p>
    <w:p>
      <w:pPr>
        <w:spacing w:after="80" w:line="293" w:lineRule="auto"/>
        <w:jc w:val="left"/>
      </w:pPr>
      <w:r>
        <w:rPr>
          <w:rFonts w:ascii="Times New Roman" w:hAnsi="Times New Roman" w:cs="Times New Roman"/>
          <w:b w:val="0"/>
          <w:i w:val="0"/>
          <w:sz w:val="22"/>
        </w:rPr>
        <w:t>This matrix provides a high-level, at-a-glance comparison of all portals. Use it to quickly identify which portal a user needs, what key features are available, and which shared components are integrated. Subsections 16.8.2 through 16.8.6 give the platform-wide rules and the per-portal feature lists; 16.8.7 through 16.8.14 give the full specifications of the eight portals not covered by 16.9–16.12 (Trader Buyer, Trader Seller, LSP, SHIP).</w:t>
      </w:r>
    </w:p>
    <w:p>
      <w:pPr>
        <w:keepNext/>
        <w:spacing w:before="180" w:after="80"/>
        <w:outlineLvl w:val="2"/>
      </w:pPr>
      <w:r>
        <w:rPr>
          <w:rFonts w:ascii="Arial" w:hAnsi="Arial" w:cs="Arial"/>
          <w:b/>
          <w:i w:val="0"/>
          <w:color w:val="333333"/>
          <w:sz w:val="23"/>
        </w:rPr>
        <w:t>16.8.2 One-Click Action Counting Rule</w:t>
      </w:r>
    </w:p>
    <w:p>
      <w:pPr>
        <w:spacing w:after="80" w:line="293" w:lineRule="auto"/>
        <w:jc w:val="left"/>
      </w:pPr>
      <w:r>
        <w:rPr>
          <w:rFonts w:ascii="Times New Roman" w:hAnsi="Times New Roman" w:cs="Times New Roman"/>
          <w:b w:val="0"/>
          <w:i w:val="0"/>
          <w:sz w:val="22"/>
        </w:rPr>
        <w:t>All one-click counts across this document exclude data entry clicks (filling forms) and include only irreversible action clicks. Voice commands count as zero clicks.</w:t>
      </w:r>
    </w:p>
    <w:p>
      <w:pPr>
        <w:keepNext/>
        <w:spacing w:before="180" w:after="80"/>
        <w:outlineLvl w:val="2"/>
      </w:pPr>
      <w:r>
        <w:rPr>
          <w:rFonts w:ascii="Arial" w:hAnsi="Arial" w:cs="Arial"/>
          <w:b/>
          <w:i w:val="0"/>
          <w:color w:val="333333"/>
          <w:sz w:val="23"/>
        </w:rPr>
        <w:t>16.8.3 The Twelve Portals</w:t>
      </w:r>
    </w:p>
    <w:p>
      <w:pPr>
        <w:spacing w:after="80" w:line="293" w:lineRule="auto"/>
        <w:jc w:val="left"/>
      </w:pPr>
      <w:r>
        <w:rPr>
          <w:rFonts w:ascii="Times New Roman" w:hAnsi="Times New Roman" w:cs="Times New Roman"/>
          <w:b w:val="0"/>
          <w:i w:val="0"/>
          <w:sz w:val="22"/>
        </w:rPr>
        <w:t>The twelve portals are listed in 16.1.2. Every portal is a separate workspace with its own tab set, but all portals share the Smart Inbox landing tab, the Shared Shipments Vault, the Trade Command Center, the PlainLanguage Governor Decision Panel, and the Universal Command Center (16.13).</w:t>
      </w:r>
    </w:p>
    <w:p>
      <w:pPr>
        <w:keepNext/>
        <w:spacing w:before="180" w:after="80"/>
        <w:outlineLvl w:val="2"/>
      </w:pPr>
      <w:r>
        <w:rPr>
          <w:rFonts w:ascii="Arial" w:hAnsi="Arial" w:cs="Arial"/>
          <w:b/>
          <w:i w:val="0"/>
          <w:color w:val="333333"/>
          <w:sz w:val="23"/>
        </w:rPr>
        <w:t>16.8.4 Device Priority &amp; Mobile/Web Parity</w:t>
      </w:r>
    </w:p>
    <w:p>
      <w:pPr>
        <w:spacing w:after="80" w:line="293" w:lineRule="auto"/>
        <w:jc w:val="left"/>
      </w:pPr>
      <w:r>
        <w:rPr>
          <w:rFonts w:ascii="Times New Roman" w:hAnsi="Times New Roman" w:cs="Times New Roman"/>
          <w:b w:val="0"/>
          <w:i w:val="0"/>
          <w:sz w:val="22"/>
        </w:rPr>
        <w:t>Important rule: every role that has a mobile companion app also has a fully functional web portal. Mobile apps are optional and designed for field workers; all trade-critical actions can be performed from any web browser. The device priority matrix is specified in 16.1.3.</w:t>
      </w:r>
    </w:p>
    <w:p>
      <w:pPr>
        <w:keepNext/>
        <w:spacing w:before="180" w:after="80"/>
        <w:outlineLvl w:val="2"/>
      </w:pPr>
      <w:r>
        <w:rPr>
          <w:rFonts w:ascii="Arial" w:hAnsi="Arial" w:cs="Arial"/>
          <w:b/>
          <w:i w:val="0"/>
          <w:color w:val="333333"/>
          <w:sz w:val="23"/>
        </w:rPr>
        <w:t>16.8.5 Shared Components Across All Portals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Shared Component</w:t>
            </w:r>
          </w:p>
        </w:tc>
        <w:tc>
          <w:tcPr>
            <w:tcW w:type="dxa" w:w="4819"/>
            <w:shd w:val="clear" w:fill="D9E2F3"/>
          </w:tcPr>
          <w:p>
            <w:pPr>
              <w:spacing w:after="20" w:before="20" w:line="240" w:lineRule="auto"/>
            </w:pPr>
            <w:r/>
            <w:r>
              <w:rPr>
                <w:rFonts w:ascii="Arial" w:hAnsi="Arial" w:cs="Arial"/>
                <w:b/>
                <w:i w:val="0"/>
                <w:sz w:val="18"/>
              </w:rPr>
              <w:t>Section</w:t>
            </w:r>
          </w:p>
        </w:tc>
      </w:tr>
      <w:tr>
        <w:tc>
          <w:tcPr>
            <w:tcW w:type="dxa" w:w="4819"/>
          </w:tcPr>
          <w:p>
            <w:pPr>
              <w:spacing w:after="20" w:before="20" w:line="240" w:lineRule="auto"/>
            </w:pPr>
            <w:r/>
            <w:r>
              <w:rPr>
                <w:rFonts w:ascii="Arial" w:hAnsi="Arial" w:cs="Arial"/>
                <w:b w:val="0"/>
                <w:i w:val="0"/>
                <w:sz w:val="17"/>
              </w:rPr>
              <w:t>Smart Inbox with Recommended Actions Widget</w:t>
            </w:r>
          </w:p>
        </w:tc>
        <w:tc>
          <w:tcPr>
            <w:tcW w:type="dxa" w:w="4819"/>
          </w:tcPr>
          <w:p>
            <w:pPr>
              <w:spacing w:after="20" w:before="20" w:line="240" w:lineRule="auto"/>
            </w:pPr>
            <w:r/>
            <w:r>
              <w:rPr>
                <w:rFonts w:ascii="Arial" w:hAnsi="Arial" w:cs="Arial"/>
                <w:b w:val="0"/>
                <w:i w:val="0"/>
                <w:sz w:val="17"/>
              </w:rPr>
              <w:t>16.2</w:t>
            </w:r>
          </w:p>
        </w:tc>
      </w:tr>
      <w:tr>
        <w:tc>
          <w:tcPr>
            <w:tcW w:type="dxa" w:w="4819"/>
          </w:tcPr>
          <w:p>
            <w:pPr>
              <w:spacing w:after="20" w:before="20" w:line="240" w:lineRule="auto"/>
            </w:pPr>
            <w:r/>
            <w:r>
              <w:rPr>
                <w:rFonts w:ascii="Arial" w:hAnsi="Arial" w:cs="Arial"/>
                <w:b w:val="0"/>
                <w:i w:val="0"/>
                <w:sz w:val="17"/>
              </w:rPr>
              <w:t>Trade Command Center</w:t>
            </w:r>
          </w:p>
        </w:tc>
        <w:tc>
          <w:tcPr>
            <w:tcW w:type="dxa" w:w="4819"/>
          </w:tcPr>
          <w:p>
            <w:pPr>
              <w:spacing w:after="20" w:before="20" w:line="240" w:lineRule="auto"/>
            </w:pPr>
            <w:r/>
            <w:r>
              <w:rPr>
                <w:rFonts w:ascii="Arial" w:hAnsi="Arial" w:cs="Arial"/>
                <w:b w:val="0"/>
                <w:i w:val="0"/>
                <w:sz w:val="17"/>
              </w:rPr>
              <w:t>16.3</w:t>
            </w:r>
          </w:p>
        </w:tc>
      </w:tr>
      <w:tr>
        <w:tc>
          <w:tcPr>
            <w:tcW w:type="dxa" w:w="4819"/>
          </w:tcPr>
          <w:p>
            <w:pPr>
              <w:spacing w:after="20" w:before="20" w:line="240" w:lineRule="auto"/>
            </w:pPr>
            <w:r/>
            <w:r>
              <w:rPr>
                <w:rFonts w:ascii="Arial" w:hAnsi="Arial" w:cs="Arial"/>
                <w:b w:val="0"/>
                <w:i w:val="0"/>
                <w:sz w:val="17"/>
              </w:rPr>
              <w:t>PlainLanguage Governor Decision Panel</w:t>
            </w:r>
          </w:p>
        </w:tc>
        <w:tc>
          <w:tcPr>
            <w:tcW w:type="dxa" w:w="4819"/>
          </w:tcPr>
          <w:p>
            <w:pPr>
              <w:spacing w:after="20" w:before="20" w:line="240" w:lineRule="auto"/>
            </w:pPr>
            <w:r/>
            <w:r>
              <w:rPr>
                <w:rFonts w:ascii="Arial" w:hAnsi="Arial" w:cs="Arial"/>
                <w:b w:val="0"/>
                <w:i w:val="0"/>
                <w:sz w:val="17"/>
              </w:rPr>
              <w:t>16.4</w:t>
            </w:r>
          </w:p>
        </w:tc>
      </w:tr>
      <w:tr>
        <w:tc>
          <w:tcPr>
            <w:tcW w:type="dxa" w:w="4819"/>
          </w:tcPr>
          <w:p>
            <w:pPr>
              <w:spacing w:after="20" w:before="20" w:line="240" w:lineRule="auto"/>
            </w:pPr>
            <w:r/>
            <w:r>
              <w:rPr>
                <w:rFonts w:ascii="Arial" w:hAnsi="Arial" w:cs="Arial"/>
                <w:b w:val="0"/>
                <w:i w:val="0"/>
                <w:sz w:val="17"/>
              </w:rPr>
              <w:t>Shared Shipments Vault</w:t>
            </w:r>
          </w:p>
        </w:tc>
        <w:tc>
          <w:tcPr>
            <w:tcW w:type="dxa" w:w="4819"/>
          </w:tcPr>
          <w:p>
            <w:pPr>
              <w:spacing w:after="20" w:before="20" w:line="240" w:lineRule="auto"/>
            </w:pPr>
            <w:r/>
            <w:r>
              <w:rPr>
                <w:rFonts w:ascii="Arial" w:hAnsi="Arial" w:cs="Arial"/>
                <w:b w:val="0"/>
                <w:i w:val="0"/>
                <w:sz w:val="17"/>
              </w:rPr>
              <w:t>16.5</w:t>
            </w:r>
          </w:p>
        </w:tc>
      </w:tr>
      <w:tr>
        <w:tc>
          <w:tcPr>
            <w:tcW w:type="dxa" w:w="4819"/>
          </w:tcPr>
          <w:p>
            <w:pPr>
              <w:spacing w:after="20" w:before="20" w:line="240" w:lineRule="auto"/>
            </w:pPr>
            <w:r/>
            <w:r>
              <w:rPr>
                <w:rFonts w:ascii="Arial" w:hAnsi="Arial" w:cs="Arial"/>
                <w:b w:val="0"/>
                <w:i w:val="0"/>
                <w:sz w:val="17"/>
              </w:rPr>
              <w:t>VoiceCommandButton</w:t>
            </w:r>
          </w:p>
        </w:tc>
        <w:tc>
          <w:tcPr>
            <w:tcW w:type="dxa" w:w="4819"/>
          </w:tcPr>
          <w:p>
            <w:pPr>
              <w:spacing w:after="20" w:before="20" w:line="240" w:lineRule="auto"/>
            </w:pPr>
            <w:r/>
            <w:r>
              <w:rPr>
                <w:rFonts w:ascii="Arial" w:hAnsi="Arial" w:cs="Arial"/>
                <w:b w:val="0"/>
                <w:i w:val="0"/>
                <w:sz w:val="17"/>
              </w:rPr>
              <w:t>16.6</w:t>
            </w:r>
          </w:p>
        </w:tc>
      </w:tr>
      <w:tr>
        <w:tc>
          <w:tcPr>
            <w:tcW w:type="dxa" w:w="4819"/>
          </w:tcPr>
          <w:p>
            <w:pPr>
              <w:spacing w:after="20" w:before="20" w:line="240" w:lineRule="auto"/>
            </w:pPr>
            <w:r/>
            <w:r>
              <w:rPr>
                <w:rFonts w:ascii="Arial" w:hAnsi="Arial" w:cs="Arial"/>
                <w:b w:val="0"/>
                <w:i w:val="0"/>
                <w:sz w:val="17"/>
              </w:rPr>
              <w:t>Customer Care Chatbot</w:t>
            </w:r>
          </w:p>
        </w:tc>
        <w:tc>
          <w:tcPr>
            <w:tcW w:type="dxa" w:w="4819"/>
          </w:tcPr>
          <w:p>
            <w:pPr>
              <w:spacing w:after="20" w:before="20" w:line="240" w:lineRule="auto"/>
            </w:pPr>
            <w:r/>
            <w:r>
              <w:rPr>
                <w:rFonts w:ascii="Arial" w:hAnsi="Arial" w:cs="Arial"/>
                <w:b w:val="0"/>
                <w:i w:val="0"/>
                <w:sz w:val="17"/>
              </w:rPr>
              <w:t>16.7</w:t>
            </w:r>
          </w:p>
        </w:tc>
      </w:tr>
      <w:tr>
        <w:tc>
          <w:tcPr>
            <w:tcW w:type="dxa" w:w="4819"/>
          </w:tcPr>
          <w:p>
            <w:pPr>
              <w:spacing w:after="20" w:before="20" w:line="240" w:lineRule="auto"/>
            </w:pPr>
            <w:r/>
            <w:r>
              <w:rPr>
                <w:rFonts w:ascii="Arial" w:hAnsi="Arial" w:cs="Arial"/>
                <w:b w:val="0"/>
                <w:i w:val="0"/>
                <w:sz w:val="17"/>
              </w:rPr>
              <w:t>Universal Command Center</w:t>
            </w:r>
          </w:p>
        </w:tc>
        <w:tc>
          <w:tcPr>
            <w:tcW w:type="dxa" w:w="4819"/>
          </w:tcPr>
          <w:p>
            <w:pPr>
              <w:spacing w:after="20" w:before="20" w:line="240" w:lineRule="auto"/>
            </w:pPr>
            <w:r/>
            <w:r>
              <w:rPr>
                <w:rFonts w:ascii="Arial" w:hAnsi="Arial" w:cs="Arial"/>
                <w:b w:val="0"/>
                <w:i w:val="0"/>
                <w:sz w:val="17"/>
              </w:rPr>
              <w:t>16.13</w:t>
            </w:r>
          </w:p>
        </w:tc>
      </w:tr>
      <w:tr>
        <w:tc>
          <w:tcPr>
            <w:tcW w:type="dxa" w:w="4819"/>
          </w:tcPr>
          <w:p>
            <w:pPr>
              <w:spacing w:after="20" w:before="20" w:line="240" w:lineRule="auto"/>
            </w:pPr>
            <w:r/>
            <w:r>
              <w:rPr>
                <w:rFonts w:ascii="Arial" w:hAnsi="Arial" w:cs="Arial"/>
                <w:b w:val="0"/>
                <w:i w:val="0"/>
                <w:sz w:val="17"/>
              </w:rPr>
              <w:t>Dual-Mode Toggle (Trader portals only)</w:t>
            </w:r>
          </w:p>
        </w:tc>
        <w:tc>
          <w:tcPr>
            <w:tcW w:type="dxa" w:w="4819"/>
          </w:tcPr>
          <w:p>
            <w:pPr>
              <w:spacing w:after="20" w:before="20" w:line="240" w:lineRule="auto"/>
            </w:pPr>
            <w:r/>
            <w:r>
              <w:rPr>
                <w:rFonts w:ascii="Arial" w:hAnsi="Arial" w:cs="Arial"/>
                <w:b w:val="0"/>
                <w:i w:val="0"/>
                <w:sz w:val="17"/>
              </w:rPr>
              <w:t>16.14.8</w:t>
            </w:r>
          </w:p>
        </w:tc>
      </w:tr>
      <w:tr>
        <w:tc>
          <w:tcPr>
            <w:tcW w:type="dxa" w:w="4819"/>
          </w:tcPr>
          <w:p>
            <w:pPr>
              <w:spacing w:after="20" w:before="20" w:line="240" w:lineRule="auto"/>
            </w:pPr>
            <w:r/>
            <w:r>
              <w:rPr>
                <w:rFonts w:ascii="Arial" w:hAnsi="Arial" w:cs="Arial"/>
                <w:b w:val="0"/>
                <w:i w:val="0"/>
                <w:sz w:val="17"/>
              </w:rPr>
              <w:t>Feedback &amp; Help system</w:t>
            </w:r>
          </w:p>
        </w:tc>
        <w:tc>
          <w:tcPr>
            <w:tcW w:type="dxa" w:w="4819"/>
          </w:tcPr>
          <w:p>
            <w:pPr>
              <w:spacing w:after="20" w:before="20" w:line="240" w:lineRule="auto"/>
            </w:pPr>
            <w:r/>
            <w:r>
              <w:rPr>
                <w:rFonts w:ascii="Arial" w:hAnsi="Arial" w:cs="Arial"/>
                <w:b w:val="0"/>
                <w:i w:val="0"/>
                <w:sz w:val="17"/>
              </w:rPr>
              <w:t>16.14.9</w:t>
            </w:r>
          </w:p>
        </w:tc>
      </w:tr>
      <w:tr>
        <w:tc>
          <w:tcPr>
            <w:tcW w:type="dxa" w:w="4819"/>
          </w:tcPr>
          <w:p>
            <w:pPr>
              <w:spacing w:after="20" w:before="20" w:line="240" w:lineRule="auto"/>
            </w:pPr>
            <w:r/>
            <w:r>
              <w:rPr>
                <w:rFonts w:ascii="Arial" w:hAnsi="Arial" w:cs="Arial"/>
                <w:b w:val="0"/>
                <w:i w:val="0"/>
                <w:sz w:val="17"/>
              </w:rPr>
              <w:t>Adaptive Experience Engine (Guided / Expert)</w:t>
            </w:r>
          </w:p>
        </w:tc>
        <w:tc>
          <w:tcPr>
            <w:tcW w:type="dxa" w:w="4819"/>
          </w:tcPr>
          <w:p>
            <w:pPr>
              <w:spacing w:after="20" w:before="20" w:line="240" w:lineRule="auto"/>
            </w:pPr>
            <w:r/>
            <w:r>
              <w:rPr>
                <w:rFonts w:ascii="Arial" w:hAnsi="Arial" w:cs="Arial"/>
                <w:b w:val="0"/>
                <w:i w:val="0"/>
                <w:sz w:val="17"/>
              </w:rPr>
              <w:t>16.14.10</w:t>
            </w:r>
          </w:p>
        </w:tc>
      </w:tr>
      <w:tr>
        <w:tc>
          <w:tcPr>
            <w:tcW w:type="dxa" w:w="4819"/>
          </w:tcPr>
          <w:p>
            <w:pPr>
              <w:spacing w:after="20" w:before="20" w:line="240" w:lineRule="auto"/>
            </w:pPr>
            <w:r/>
            <w:r>
              <w:rPr>
                <w:rFonts w:ascii="Arial" w:hAnsi="Arial" w:cs="Arial"/>
                <w:b w:val="0"/>
                <w:i w:val="0"/>
                <w:sz w:val="17"/>
              </w:rPr>
              <w:t>Task Center</w:t>
            </w:r>
          </w:p>
        </w:tc>
        <w:tc>
          <w:tcPr>
            <w:tcW w:type="dxa" w:w="4819"/>
          </w:tcPr>
          <w:p>
            <w:pPr>
              <w:spacing w:after="20" w:before="20" w:line="240" w:lineRule="auto"/>
            </w:pPr>
            <w:r/>
            <w:r>
              <w:rPr>
                <w:rFonts w:ascii="Arial" w:hAnsi="Arial" w:cs="Arial"/>
                <w:b w:val="0"/>
                <w:i w:val="0"/>
                <w:sz w:val="17"/>
              </w:rPr>
              <w:t>16.14.11</w:t>
            </w:r>
          </w:p>
        </w:tc>
      </w:tr>
      <w:tr>
        <w:tc>
          <w:tcPr>
            <w:tcW w:type="dxa" w:w="4819"/>
          </w:tcPr>
          <w:p>
            <w:pPr>
              <w:spacing w:after="20" w:before="20" w:line="240" w:lineRule="auto"/>
            </w:pPr>
            <w:r/>
            <w:r>
              <w:rPr>
                <w:rFonts w:ascii="Arial" w:hAnsi="Arial" w:cs="Arial"/>
                <w:b w:val="0"/>
                <w:i w:val="0"/>
                <w:sz w:val="17"/>
              </w:rPr>
              <w:t>Notification &amp; Alert Center</w:t>
            </w:r>
          </w:p>
        </w:tc>
        <w:tc>
          <w:tcPr>
            <w:tcW w:type="dxa" w:w="4819"/>
          </w:tcPr>
          <w:p>
            <w:pPr>
              <w:spacing w:after="20" w:before="20" w:line="240" w:lineRule="auto"/>
            </w:pPr>
            <w:r/>
            <w:r>
              <w:rPr>
                <w:rFonts w:ascii="Arial" w:hAnsi="Arial" w:cs="Arial"/>
                <w:b w:val="0"/>
                <w:i w:val="0"/>
                <w:sz w:val="17"/>
              </w:rPr>
              <w:t>16.14.12</w:t>
            </w:r>
          </w:p>
        </w:tc>
      </w:tr>
      <w:tr>
        <w:tc>
          <w:tcPr>
            <w:tcW w:type="dxa" w:w="4819"/>
          </w:tcPr>
          <w:p>
            <w:pPr>
              <w:spacing w:after="20" w:before="20" w:line="240" w:lineRule="auto"/>
            </w:pPr>
            <w:r/>
            <w:r>
              <w:rPr>
                <w:rFonts w:ascii="Arial" w:hAnsi="Arial" w:cs="Arial"/>
                <w:b w:val="0"/>
                <w:i w:val="0"/>
                <w:sz w:val="17"/>
              </w:rPr>
              <w:t>Focus Mode</w:t>
            </w:r>
          </w:p>
        </w:tc>
        <w:tc>
          <w:tcPr>
            <w:tcW w:type="dxa" w:w="4819"/>
          </w:tcPr>
          <w:p>
            <w:pPr>
              <w:spacing w:after="20" w:before="20" w:line="240" w:lineRule="auto"/>
            </w:pPr>
            <w:r/>
            <w:r>
              <w:rPr>
                <w:rFonts w:ascii="Arial" w:hAnsi="Arial" w:cs="Arial"/>
                <w:b w:val="0"/>
                <w:i w:val="0"/>
                <w:sz w:val="17"/>
              </w:rPr>
              <w:t>16.14.13</w:t>
            </w:r>
          </w:p>
        </w:tc>
      </w:tr>
      <w:tr>
        <w:tc>
          <w:tcPr>
            <w:tcW w:type="dxa" w:w="4819"/>
          </w:tcPr>
          <w:p>
            <w:pPr>
              <w:spacing w:after="20" w:before="20" w:line="240" w:lineRule="auto"/>
            </w:pPr>
            <w:r/>
            <w:r>
              <w:rPr>
                <w:rFonts w:ascii="Arial" w:hAnsi="Arial" w:cs="Arial"/>
                <w:b w:val="0"/>
                <w:i w:val="0"/>
                <w:sz w:val="17"/>
              </w:rPr>
              <w:t>Help Center</w:t>
            </w:r>
          </w:p>
        </w:tc>
        <w:tc>
          <w:tcPr>
            <w:tcW w:type="dxa" w:w="4819"/>
          </w:tcPr>
          <w:p>
            <w:pPr>
              <w:spacing w:after="20" w:before="20" w:line="240" w:lineRule="auto"/>
            </w:pPr>
            <w:r/>
            <w:r>
              <w:rPr>
                <w:rFonts w:ascii="Arial" w:hAnsi="Arial" w:cs="Arial"/>
                <w:b w:val="0"/>
                <w:i w:val="0"/>
                <w:sz w:val="17"/>
              </w:rPr>
              <w:t>16.14.14</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16.8.6 Portal Feature Lists (Per Portal)</w:t>
      </w:r>
    </w:p>
    <w:p>
      <w:pPr>
        <w:keepNext/>
        <w:spacing w:before="140" w:after="60"/>
        <w:outlineLvl w:val="3"/>
      </w:pPr>
      <w:r>
        <w:rPr>
          <w:rFonts w:ascii="Arial" w:hAnsi="Arial" w:cs="Arial"/>
          <w:b/>
          <w:i/>
          <w:color w:val="333333"/>
          <w:sz w:val="22"/>
        </w:rPr>
        <w:t>16.8.6.1 Trader Portal (Buyer)</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Smart Inbox</w:t>
            </w:r>
          </w:p>
        </w:tc>
        <w:tc>
          <w:tcPr>
            <w:tcW w:type="dxa" w:w="4819"/>
          </w:tcPr>
          <w:p>
            <w:pPr>
              <w:spacing w:after="20" w:before="20" w:line="240" w:lineRule="auto"/>
            </w:pPr>
            <w:r/>
            <w:r>
              <w:rPr>
                <w:rFonts w:ascii="Arial" w:hAnsi="Arial" w:cs="Arial"/>
                <w:b w:val="0"/>
                <w:i w:val="0"/>
                <w:sz w:val="17"/>
              </w:rPr>
              <w:t>Buyer-specific items</w:t>
            </w:r>
          </w:p>
        </w:tc>
      </w:tr>
      <w:tr>
        <w:tc>
          <w:tcPr>
            <w:tcW w:type="dxa" w:w="4819"/>
          </w:tcPr>
          <w:p>
            <w:pPr>
              <w:spacing w:after="20" w:before="20" w:line="240" w:lineRule="auto"/>
            </w:pPr>
            <w:r/>
            <w:r>
              <w:rPr>
                <w:rFonts w:ascii="Arial" w:hAnsi="Arial" w:cs="Arial"/>
                <w:b w:val="0"/>
                <w:i w:val="0"/>
                <w:sz w:val="17"/>
              </w:rPr>
              <w:t>New Trade Request</w:t>
            </w:r>
          </w:p>
        </w:tc>
        <w:tc>
          <w:tcPr>
            <w:tcW w:type="dxa" w:w="4819"/>
          </w:tcPr>
          <w:p>
            <w:pPr>
              <w:spacing w:after="20" w:before="20" w:line="240" w:lineRule="auto"/>
            </w:pPr>
            <w:r/>
            <w:r>
              <w:rPr>
                <w:rFonts w:ascii="Arial" w:hAnsi="Arial" w:cs="Arial"/>
                <w:b w:val="0"/>
                <w:i w:val="0"/>
                <w:sz w:val="17"/>
              </w:rPr>
              <w:t>Structured container form, multi-shipment request</w:t>
            </w:r>
          </w:p>
        </w:tc>
      </w:tr>
      <w:tr>
        <w:tc>
          <w:tcPr>
            <w:tcW w:type="dxa" w:w="4819"/>
          </w:tcPr>
          <w:p>
            <w:pPr>
              <w:spacing w:after="20" w:before="20" w:line="240" w:lineRule="auto"/>
            </w:pPr>
            <w:r/>
            <w:r>
              <w:rPr>
                <w:rFonts w:ascii="Arial" w:hAnsi="Arial" w:cs="Arial"/>
                <w:b w:val="0"/>
                <w:i w:val="0"/>
                <w:sz w:val="17"/>
              </w:rPr>
              <w:t>Quote Review &amp; Negotiation</w:t>
            </w:r>
          </w:p>
        </w:tc>
        <w:tc>
          <w:tcPr>
            <w:tcW w:type="dxa" w:w="4819"/>
          </w:tcPr>
          <w:p>
            <w:pPr>
              <w:spacing w:after="20" w:before="20" w:line="240" w:lineRule="auto"/>
            </w:pPr>
            <w:r/>
            <w:r>
              <w:rPr>
                <w:rFonts w:ascii="Arial" w:hAnsi="Arial" w:cs="Arial"/>
                <w:b w:val="0"/>
                <w:i w:val="0"/>
                <w:sz w:val="17"/>
              </w:rPr>
              <w:t>Comparison table, partial acceptance, counter-offers, deadline extensions</w:t>
            </w:r>
          </w:p>
        </w:tc>
      </w:tr>
      <w:tr>
        <w:tc>
          <w:tcPr>
            <w:tcW w:type="dxa" w:w="4819"/>
          </w:tcPr>
          <w:p>
            <w:pPr>
              <w:spacing w:after="20" w:before="20" w:line="240" w:lineRule="auto"/>
            </w:pPr>
            <w:r/>
            <w:r>
              <w:rPr>
                <w:rFonts w:ascii="Arial" w:hAnsi="Arial" w:cs="Arial"/>
                <w:b w:val="0"/>
                <w:i w:val="0"/>
                <w:sz w:val="17"/>
              </w:rPr>
              <w:t>Contract Signing</w:t>
            </w:r>
          </w:p>
        </w:tc>
        <w:tc>
          <w:tcPr>
            <w:tcW w:type="dxa" w:w="4819"/>
          </w:tcPr>
          <w:p>
            <w:pPr>
              <w:spacing w:after="20" w:before="20" w:line="240" w:lineRule="auto"/>
            </w:pPr>
            <w:r/>
            <w:r>
              <w:rPr>
                <w:rFonts w:ascii="Arial" w:hAnsi="Arial" w:cs="Arial"/>
                <w:b w:val="0"/>
                <w:i w:val="0"/>
                <w:sz w:val="17"/>
              </w:rPr>
              <w:t>Clause Forge integration, SGTX Witness Clause, own-contract upload</w:t>
            </w:r>
          </w:p>
        </w:tc>
      </w:tr>
      <w:tr>
        <w:tc>
          <w:tcPr>
            <w:tcW w:type="dxa" w:w="4819"/>
          </w:tcPr>
          <w:p>
            <w:pPr>
              <w:spacing w:after="20" w:before="20" w:line="240" w:lineRule="auto"/>
            </w:pPr>
            <w:r/>
            <w:r>
              <w:rPr>
                <w:rFonts w:ascii="Arial" w:hAnsi="Arial" w:cs="Arial"/>
                <w:b w:val="0"/>
                <w:i w:val="0"/>
                <w:sz w:val="17"/>
              </w:rPr>
              <w:t>Customs Readiness</w:t>
            </w:r>
          </w:p>
        </w:tc>
        <w:tc>
          <w:tcPr>
            <w:tcW w:type="dxa" w:w="4819"/>
          </w:tcPr>
          <w:p>
            <w:pPr>
              <w:spacing w:after="20" w:before="20" w:line="240" w:lineRule="auto"/>
            </w:pPr>
            <w:r/>
            <w:r>
              <w:rPr>
                <w:rFonts w:ascii="Arial" w:hAnsi="Arial" w:cs="Arial"/>
                <w:b w:val="0"/>
                <w:i w:val="0"/>
                <w:sz w:val="17"/>
              </w:rPr>
              <w:t>Dynamic document checklist</w:t>
            </w:r>
          </w:p>
        </w:tc>
      </w:tr>
      <w:tr>
        <w:tc>
          <w:tcPr>
            <w:tcW w:type="dxa" w:w="4819"/>
          </w:tcPr>
          <w:p>
            <w:pPr>
              <w:spacing w:after="20" w:before="20" w:line="240" w:lineRule="auto"/>
            </w:pPr>
            <w:r/>
            <w:r>
              <w:rPr>
                <w:rFonts w:ascii="Arial" w:hAnsi="Arial" w:cs="Arial"/>
                <w:b w:val="0"/>
                <w:i w:val="0"/>
                <w:sz w:val="17"/>
              </w:rPr>
              <w:t>Distressed Cargo</w:t>
            </w:r>
          </w:p>
        </w:tc>
        <w:tc>
          <w:tcPr>
            <w:tcW w:type="dxa" w:w="4819"/>
          </w:tcPr>
          <w:p>
            <w:pPr>
              <w:spacing w:after="20" w:before="20" w:line="240" w:lineRule="auto"/>
            </w:pPr>
            <w:r/>
            <w:r>
              <w:rPr>
                <w:rFonts w:ascii="Arial" w:hAnsi="Arial" w:cs="Arial"/>
                <w:b w:val="0"/>
                <w:i w:val="0"/>
                <w:sz w:val="17"/>
              </w:rPr>
              <w:t>Buyer view of listings from saved contacts</w:t>
            </w:r>
          </w:p>
        </w:tc>
      </w:tr>
      <w:tr>
        <w:tc>
          <w:tcPr>
            <w:tcW w:type="dxa" w:w="4819"/>
          </w:tcPr>
          <w:p>
            <w:pPr>
              <w:spacing w:after="20" w:before="20" w:line="240" w:lineRule="auto"/>
            </w:pPr>
            <w:r/>
            <w:r>
              <w:rPr>
                <w:rFonts w:ascii="Arial" w:hAnsi="Arial" w:cs="Arial"/>
                <w:b w:val="0"/>
                <w:i w:val="0"/>
                <w:sz w:val="17"/>
              </w:rPr>
              <w:t>Disputes</w:t>
            </w:r>
          </w:p>
        </w:tc>
        <w:tc>
          <w:tcPr>
            <w:tcW w:type="dxa" w:w="4819"/>
          </w:tcPr>
          <w:p>
            <w:pPr>
              <w:spacing w:after="20" w:before="20" w:line="240" w:lineRule="auto"/>
            </w:pPr>
            <w:r/>
            <w:r>
              <w:rPr>
                <w:rFonts w:ascii="Arial" w:hAnsi="Arial" w:cs="Arial"/>
                <w:b w:val="0"/>
                <w:i w:val="0"/>
                <w:sz w:val="17"/>
              </w:rPr>
              <w:t>Evidence autocompiler, mediation, arbitration preparation</w:t>
            </w:r>
          </w:p>
        </w:tc>
      </w:tr>
      <w:tr>
        <w:tc>
          <w:tcPr>
            <w:tcW w:type="dxa" w:w="4819"/>
          </w:tcPr>
          <w:p>
            <w:pPr>
              <w:spacing w:after="20" w:before="20" w:line="240" w:lineRule="auto"/>
            </w:pPr>
            <w:r/>
            <w:r>
              <w:rPr>
                <w:rFonts w:ascii="Arial" w:hAnsi="Arial" w:cs="Arial"/>
                <w:b w:val="0"/>
                <w:i w:val="0"/>
                <w:sz w:val="17"/>
              </w:rPr>
              <w:t>Saved Contacts</w:t>
            </w:r>
          </w:p>
        </w:tc>
        <w:tc>
          <w:tcPr>
            <w:tcW w:type="dxa" w:w="4819"/>
          </w:tcPr>
          <w:p>
            <w:pPr>
              <w:spacing w:after="20" w:before="20" w:line="240" w:lineRule="auto"/>
            </w:pPr>
            <w:r/>
            <w:r>
              <w:rPr>
                <w:rFonts w:ascii="Arial" w:hAnsi="Arial" w:cs="Arial"/>
                <w:b w:val="0"/>
                <w:i w:val="0"/>
                <w:sz w:val="17"/>
              </w:rPr>
              <w:t>Trust portraits</w:t>
            </w:r>
          </w:p>
        </w:tc>
      </w:tr>
      <w:tr>
        <w:tc>
          <w:tcPr>
            <w:tcW w:type="dxa" w:w="4819"/>
          </w:tcPr>
          <w:p>
            <w:pPr>
              <w:spacing w:after="20" w:before="20" w:line="240" w:lineRule="auto"/>
            </w:pPr>
            <w:r/>
            <w:r>
              <w:rPr>
                <w:rFonts w:ascii="Arial" w:hAnsi="Arial" w:cs="Arial"/>
                <w:b w:val="0"/>
                <w:i w:val="0"/>
                <w:sz w:val="17"/>
              </w:rPr>
              <w:t>Financing</w:t>
            </w:r>
          </w:p>
        </w:tc>
        <w:tc>
          <w:tcPr>
            <w:tcW w:type="dxa" w:w="4819"/>
          </w:tcPr>
          <w:p>
            <w:pPr>
              <w:spacing w:after="20" w:before="20" w:line="240" w:lineRule="auto"/>
            </w:pPr>
            <w:r/>
            <w:r>
              <w:rPr>
                <w:rFonts w:ascii="Arial" w:hAnsi="Arial" w:cs="Arial"/>
                <w:b w:val="0"/>
                <w:i w:val="0"/>
                <w:sz w:val="17"/>
              </w:rPr>
              <w:t>Borrower view</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Role templates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16.8.6.2 Trader Portal (Seller)</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Smart Inbox</w:t>
            </w:r>
          </w:p>
        </w:tc>
        <w:tc>
          <w:tcPr>
            <w:tcW w:type="dxa" w:w="4819"/>
          </w:tcPr>
          <w:p>
            <w:pPr>
              <w:spacing w:after="20" w:before="20" w:line="240" w:lineRule="auto"/>
            </w:pPr>
            <w:r/>
            <w:r>
              <w:rPr>
                <w:rFonts w:ascii="Arial" w:hAnsi="Arial" w:cs="Arial"/>
                <w:b w:val="0"/>
                <w:i w:val="0"/>
                <w:sz w:val="17"/>
              </w:rPr>
              <w:t>Seller-specific items</w:t>
            </w:r>
          </w:p>
        </w:tc>
      </w:tr>
      <w:tr>
        <w:tc>
          <w:tcPr>
            <w:tcW w:type="dxa" w:w="4819"/>
          </w:tcPr>
          <w:p>
            <w:pPr>
              <w:spacing w:after="20" w:before="20" w:line="240" w:lineRule="auto"/>
            </w:pPr>
            <w:r/>
            <w:r>
              <w:rPr>
                <w:rFonts w:ascii="Arial" w:hAnsi="Arial" w:cs="Arial"/>
                <w:b w:val="0"/>
                <w:i w:val="0"/>
                <w:sz w:val="17"/>
              </w:rPr>
              <w:t>Pending Requests</w:t>
            </w:r>
          </w:p>
        </w:tc>
        <w:tc>
          <w:tcPr>
            <w:tcW w:type="dxa" w:w="4819"/>
          </w:tcPr>
          <w:p>
            <w:pPr>
              <w:spacing w:after="20" w:before="20" w:line="240" w:lineRule="auto"/>
            </w:pPr>
            <w:r/>
            <w:r>
              <w:rPr>
                <w:rFonts w:ascii="Arial" w:hAnsi="Arial" w:cs="Arial"/>
                <w:b w:val="0"/>
                <w:i w:val="0"/>
                <w:sz w:val="17"/>
              </w:rPr>
              <w:t>Accept / decline / counter</w:t>
            </w:r>
          </w:p>
        </w:tc>
      </w:tr>
      <w:tr>
        <w:tc>
          <w:tcPr>
            <w:tcW w:type="dxa" w:w="4819"/>
          </w:tcPr>
          <w:p>
            <w:pPr>
              <w:spacing w:after="20" w:before="20" w:line="240" w:lineRule="auto"/>
            </w:pPr>
            <w:r/>
            <w:r>
              <w:rPr>
                <w:rFonts w:ascii="Arial" w:hAnsi="Arial" w:cs="Arial"/>
                <w:b w:val="0"/>
                <w:i w:val="0"/>
                <w:sz w:val="17"/>
              </w:rPr>
              <w:t>EXW Price Lock</w:t>
            </w:r>
          </w:p>
        </w:tc>
        <w:tc>
          <w:tcPr>
            <w:tcW w:type="dxa" w:w="4819"/>
          </w:tcPr>
          <w:p>
            <w:pPr>
              <w:spacing w:after="20" w:before="20" w:line="240" w:lineRule="auto"/>
            </w:pPr>
            <w:r/>
            <w:r>
              <w:rPr>
                <w:rFonts w:ascii="Arial" w:hAnsi="Arial" w:cs="Arial"/>
                <w:b w:val="0"/>
                <w:i w:val="0"/>
                <w:sz w:val="17"/>
              </w:rPr>
              <w:t>Live market chart and fair price</w:t>
            </w:r>
          </w:p>
        </w:tc>
      </w:tr>
      <w:tr>
        <w:tc>
          <w:tcPr>
            <w:tcW w:type="dxa" w:w="4819"/>
          </w:tcPr>
          <w:p>
            <w:pPr>
              <w:spacing w:after="20" w:before="20" w:line="240" w:lineRule="auto"/>
            </w:pPr>
            <w:r/>
            <w:r>
              <w:rPr>
                <w:rFonts w:ascii="Arial" w:hAnsi="Arial" w:cs="Arial"/>
                <w:b w:val="0"/>
                <w:i w:val="0"/>
                <w:sz w:val="17"/>
              </w:rPr>
              <w:t>Containerisation &amp; Packing</w:t>
            </w:r>
          </w:p>
        </w:tc>
        <w:tc>
          <w:tcPr>
            <w:tcW w:type="dxa" w:w="4819"/>
          </w:tcPr>
          <w:p>
            <w:pPr>
              <w:spacing w:after="20" w:before="20" w:line="240" w:lineRule="auto"/>
            </w:pPr>
            <w:r/>
            <w:r>
              <w:rPr>
                <w:rFonts w:ascii="Arial" w:hAnsi="Arial" w:cs="Arial"/>
                <w:b w:val="0"/>
                <w:i w:val="0"/>
                <w:sz w:val="17"/>
              </w:rPr>
              <w:t>Non-uniform layers, 3D viewer, collaborative editing</w:t>
            </w:r>
          </w:p>
        </w:tc>
      </w:tr>
      <w:tr>
        <w:tc>
          <w:tcPr>
            <w:tcW w:type="dxa" w:w="4819"/>
          </w:tcPr>
          <w:p>
            <w:pPr>
              <w:spacing w:after="20" w:before="20" w:line="240" w:lineRule="auto"/>
            </w:pPr>
            <w:r/>
            <w:r>
              <w:rPr>
                <w:rFonts w:ascii="Arial" w:hAnsi="Arial" w:cs="Arial"/>
                <w:b w:val="0"/>
                <w:i w:val="0"/>
                <w:sz w:val="17"/>
              </w:rPr>
              <w:t>Logistics Builder</w:t>
            </w:r>
          </w:p>
        </w:tc>
        <w:tc>
          <w:tcPr>
            <w:tcW w:type="dxa" w:w="4819"/>
          </w:tcPr>
          <w:p>
            <w:pPr>
              <w:spacing w:after="20" w:before="20" w:line="240" w:lineRule="auto"/>
            </w:pPr>
            <w:r/>
            <w:r>
              <w:rPr>
                <w:rFonts w:ascii="Arial" w:hAnsi="Arial" w:cs="Arial"/>
                <w:b w:val="0"/>
                <w:i w:val="0"/>
                <w:sz w:val="17"/>
              </w:rPr>
              <w:t>Modes A, B, C with alternative ports</w:t>
            </w:r>
          </w:p>
        </w:tc>
      </w:tr>
      <w:tr>
        <w:tc>
          <w:tcPr>
            <w:tcW w:type="dxa" w:w="4819"/>
          </w:tcPr>
          <w:p>
            <w:pPr>
              <w:spacing w:after="20" w:before="20" w:line="240" w:lineRule="auto"/>
            </w:pPr>
            <w:r/>
            <w:r>
              <w:rPr>
                <w:rFonts w:ascii="Arial" w:hAnsi="Arial" w:cs="Arial"/>
                <w:b w:val="0"/>
                <w:i w:val="0"/>
                <w:sz w:val="17"/>
              </w:rPr>
              <w:t>Quote Submission</w:t>
            </w:r>
          </w:p>
        </w:tc>
        <w:tc>
          <w:tcPr>
            <w:tcW w:type="dxa" w:w="4819"/>
          </w:tcPr>
          <w:p>
            <w:pPr>
              <w:spacing w:after="20" w:before="20" w:line="240" w:lineRule="auto"/>
            </w:pPr>
            <w:r/>
            <w:r>
              <w:rPr>
                <w:rFonts w:ascii="Arial" w:hAnsi="Arial" w:cs="Arial"/>
                <w:b w:val="0"/>
                <w:i w:val="0"/>
                <w:sz w:val="17"/>
              </w:rPr>
              <w:t>SGTX fee calculation</w:t>
            </w:r>
          </w:p>
        </w:tc>
      </w:tr>
      <w:tr>
        <w:tc>
          <w:tcPr>
            <w:tcW w:type="dxa" w:w="4819"/>
          </w:tcPr>
          <w:p>
            <w:pPr>
              <w:spacing w:after="20" w:before="20" w:line="240" w:lineRule="auto"/>
            </w:pPr>
            <w:r/>
            <w:r>
              <w:rPr>
                <w:rFonts w:ascii="Arial" w:hAnsi="Arial" w:cs="Arial"/>
                <w:b w:val="0"/>
                <w:i w:val="0"/>
                <w:sz w:val="17"/>
              </w:rPr>
              <w:t>Laboratory Selection</w:t>
            </w:r>
          </w:p>
        </w:tc>
        <w:tc>
          <w:tcPr>
            <w:tcW w:type="dxa" w:w="4819"/>
          </w:tcPr>
          <w:p>
            <w:pPr>
              <w:spacing w:after="20" w:before="20" w:line="240" w:lineRule="auto"/>
            </w:pPr>
            <w:r/>
            <w:r>
              <w:rPr>
                <w:rFonts w:ascii="Arial" w:hAnsi="Arial" w:cs="Arial"/>
                <w:b w:val="0"/>
                <w:i w:val="0"/>
                <w:sz w:val="17"/>
              </w:rPr>
              <w:t>Accredited labs, quotations, results, certificates</w:t>
            </w:r>
          </w:p>
        </w:tc>
      </w:tr>
      <w:tr>
        <w:tc>
          <w:tcPr>
            <w:tcW w:type="dxa" w:w="4819"/>
          </w:tcPr>
          <w:p>
            <w:pPr>
              <w:spacing w:after="20" w:before="20" w:line="240" w:lineRule="auto"/>
            </w:pPr>
            <w:r/>
            <w:r>
              <w:rPr>
                <w:rFonts w:ascii="Arial" w:hAnsi="Arial" w:cs="Arial"/>
                <w:b w:val="0"/>
                <w:i w:val="0"/>
                <w:sz w:val="17"/>
              </w:rPr>
              <w:t>QC Booking</w:t>
            </w:r>
          </w:p>
        </w:tc>
        <w:tc>
          <w:tcPr>
            <w:tcW w:type="dxa" w:w="4819"/>
          </w:tcPr>
          <w:p>
            <w:pPr>
              <w:spacing w:after="20" w:before="20" w:line="240" w:lineRule="auto"/>
            </w:pPr>
            <w:r/>
            <w:r>
              <w:rPr>
                <w:rFonts w:ascii="Arial" w:hAnsi="Arial" w:cs="Arial"/>
                <w:b w:val="0"/>
                <w:i w:val="0"/>
                <w:sz w:val="17"/>
              </w:rPr>
              <w:t>AI-recommended inspection points</w:t>
            </w:r>
          </w:p>
        </w:tc>
      </w:tr>
      <w:tr>
        <w:tc>
          <w:tcPr>
            <w:tcW w:type="dxa" w:w="4819"/>
          </w:tcPr>
          <w:p>
            <w:pPr>
              <w:spacing w:after="20" w:before="20" w:line="240" w:lineRule="auto"/>
            </w:pPr>
            <w:r/>
            <w:r>
              <w:rPr>
                <w:rFonts w:ascii="Arial" w:hAnsi="Arial" w:cs="Arial"/>
                <w:b w:val="0"/>
                <w:i w:val="0"/>
                <w:sz w:val="17"/>
              </w:rPr>
              <w:t>Document Finalisation</w:t>
            </w:r>
          </w:p>
        </w:tc>
        <w:tc>
          <w:tcPr>
            <w:tcW w:type="dxa" w:w="4819"/>
          </w:tcPr>
          <w:p>
            <w:pPr>
              <w:spacing w:after="20" w:before="20" w:line="240" w:lineRule="auto"/>
            </w:pPr>
            <w:r/>
            <w:r>
              <w:rPr>
                <w:rFonts w:ascii="Arial" w:hAnsi="Arial" w:cs="Arial"/>
                <w:b w:val="0"/>
                <w:i w:val="0"/>
                <w:sz w:val="17"/>
              </w:rPr>
              <w:t>Digital signature, ETA/Nafeza auto-submission</w:t>
            </w:r>
          </w:p>
        </w:tc>
      </w:tr>
      <w:tr>
        <w:tc>
          <w:tcPr>
            <w:tcW w:type="dxa" w:w="4819"/>
          </w:tcPr>
          <w:p>
            <w:pPr>
              <w:spacing w:after="20" w:before="20" w:line="240" w:lineRule="auto"/>
            </w:pPr>
            <w:r/>
            <w:r>
              <w:rPr>
                <w:rFonts w:ascii="Arial" w:hAnsi="Arial" w:cs="Arial"/>
                <w:b w:val="0"/>
                <w:i w:val="0"/>
                <w:sz w:val="17"/>
              </w:rPr>
              <w:t>Barcode Print</w:t>
            </w:r>
          </w:p>
        </w:tc>
        <w:tc>
          <w:tcPr>
            <w:tcW w:type="dxa" w:w="4819"/>
          </w:tcPr>
          <w:p>
            <w:pPr>
              <w:spacing w:after="20" w:before="20" w:line="240" w:lineRule="auto"/>
            </w:pPr>
            <w:r/>
            <w:r>
              <w:rPr>
                <w:rFonts w:ascii="Arial" w:hAnsi="Arial" w:cs="Arial"/>
                <w:b w:val="0"/>
                <w:i w:val="0"/>
                <w:sz w:val="17"/>
              </w:rPr>
              <w:t>ZPL/PDF generation</w:t>
            </w:r>
          </w:p>
        </w:tc>
      </w:tr>
      <w:tr>
        <w:tc>
          <w:tcPr>
            <w:tcW w:type="dxa" w:w="4819"/>
          </w:tcPr>
          <w:p>
            <w:pPr>
              <w:spacing w:after="20" w:before="20" w:line="240" w:lineRule="auto"/>
            </w:pPr>
            <w:r/>
            <w:r>
              <w:rPr>
                <w:rFonts w:ascii="Arial" w:hAnsi="Arial" w:cs="Arial"/>
                <w:b w:val="0"/>
                <w:i w:val="0"/>
                <w:sz w:val="17"/>
              </w:rPr>
              <w:t>Distressed Cargo &amp; Notifications</w:t>
            </w:r>
          </w:p>
        </w:tc>
        <w:tc>
          <w:tcPr>
            <w:tcW w:type="dxa" w:w="4819"/>
          </w:tcPr>
          <w:p>
            <w:pPr>
              <w:spacing w:after="20" w:before="20" w:line="240" w:lineRule="auto"/>
            </w:pPr>
            <w:r/>
            <w:r>
              <w:rPr>
                <w:rFonts w:ascii="Arial" w:hAnsi="Arial" w:cs="Arial"/>
                <w:b w:val="0"/>
                <w:i w:val="0"/>
                <w:sz w:val="17"/>
              </w:rPr>
              <w:t>Declaration, triage, accelerated outreach</w:t>
            </w:r>
          </w:p>
        </w:tc>
      </w:tr>
      <w:tr>
        <w:tc>
          <w:tcPr>
            <w:tcW w:type="dxa" w:w="4819"/>
          </w:tcPr>
          <w:p>
            <w:pPr>
              <w:spacing w:after="20" w:before="20" w:line="240" w:lineRule="auto"/>
            </w:pPr>
            <w:r/>
            <w:r>
              <w:rPr>
                <w:rFonts w:ascii="Arial" w:hAnsi="Arial" w:cs="Arial"/>
                <w:b w:val="0"/>
                <w:i w:val="0"/>
                <w:sz w:val="17"/>
              </w:rPr>
              <w:t>Cash Position</w:t>
            </w:r>
          </w:p>
        </w:tc>
        <w:tc>
          <w:tcPr>
            <w:tcW w:type="dxa" w:w="4819"/>
          </w:tcPr>
          <w:p>
            <w:pPr>
              <w:spacing w:after="20" w:before="20" w:line="240" w:lineRule="auto"/>
            </w:pPr>
            <w:r/>
            <w:r>
              <w:rPr>
                <w:rFonts w:ascii="Arial" w:hAnsi="Arial" w:cs="Arial"/>
                <w:b w:val="0"/>
                <w:i w:val="0"/>
                <w:sz w:val="17"/>
              </w:rPr>
              <w:t>Rolling forecast</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Data scopes (hidden cost components)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16.8.6.3 LSP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RFQ Inbox</w:t>
            </w:r>
          </w:p>
        </w:tc>
        <w:tc>
          <w:tcPr>
            <w:tcW w:type="dxa" w:w="4819"/>
          </w:tcPr>
          <w:p>
            <w:pPr>
              <w:spacing w:after="20" w:before="20" w:line="240" w:lineRule="auto"/>
            </w:pPr>
            <w:r/>
            <w:r>
              <w:rPr>
                <w:rFonts w:ascii="Arial" w:hAnsi="Arial" w:cs="Arial"/>
                <w:b w:val="0"/>
                <w:i w:val="0"/>
                <w:sz w:val="17"/>
              </w:rPr>
              <w:t>Directed and anonymous broadcast</w:t>
            </w:r>
          </w:p>
        </w:tc>
      </w:tr>
      <w:tr>
        <w:tc>
          <w:tcPr>
            <w:tcW w:type="dxa" w:w="4819"/>
          </w:tcPr>
          <w:p>
            <w:pPr>
              <w:spacing w:after="20" w:before="20" w:line="240" w:lineRule="auto"/>
            </w:pPr>
            <w:r/>
            <w:r>
              <w:rPr>
                <w:rFonts w:ascii="Arial" w:hAnsi="Arial" w:cs="Arial"/>
                <w:b w:val="0"/>
                <w:i w:val="0"/>
                <w:sz w:val="17"/>
              </w:rPr>
              <w:t>Clarification request workflow</w:t>
            </w:r>
          </w:p>
        </w:tc>
        <w:tc>
          <w:tcPr>
            <w:tcW w:type="dxa" w:w="4819"/>
          </w:tcPr>
          <w:p>
            <w:pPr>
              <w:spacing w:after="20" w:before="20" w:line="240" w:lineRule="auto"/>
            </w:pPr>
            <w:r/>
            <w:r>
              <w:rPr>
                <w:rFonts w:ascii="Arial" w:hAnsi="Arial" w:cs="Arial"/>
                <w:b w:val="0"/>
                <w:i w:val="0"/>
                <w:sz w:val="17"/>
              </w:rPr>
              <w:t>Structured Q&amp;A with the seller</w:t>
            </w:r>
          </w:p>
        </w:tc>
      </w:tr>
      <w:tr>
        <w:tc>
          <w:tcPr>
            <w:tcW w:type="dxa" w:w="4819"/>
          </w:tcPr>
          <w:p>
            <w:pPr>
              <w:spacing w:after="20" w:before="20" w:line="240" w:lineRule="auto"/>
            </w:pPr>
            <w:r/>
            <w:r>
              <w:rPr>
                <w:rFonts w:ascii="Arial" w:hAnsi="Arial" w:cs="Arial"/>
                <w:b w:val="0"/>
                <w:i w:val="0"/>
                <w:sz w:val="17"/>
              </w:rPr>
              <w:t>Dispatch Planner</w:t>
            </w:r>
          </w:p>
        </w:tc>
        <w:tc>
          <w:tcPr>
            <w:tcW w:type="dxa" w:w="4819"/>
          </w:tcPr>
          <w:p>
            <w:pPr>
              <w:spacing w:after="20" w:before="20" w:line="240" w:lineRule="auto"/>
            </w:pPr>
            <w:r/>
            <w:r>
              <w:rPr>
                <w:rFonts w:ascii="Arial" w:hAnsi="Arial" w:cs="Arial"/>
                <w:b w:val="0"/>
                <w:i w:val="0"/>
                <w:sz w:val="17"/>
              </w:rPr>
              <w:t>ORTools VRP with driver assignment</w:t>
            </w:r>
          </w:p>
        </w:tc>
      </w:tr>
      <w:tr>
        <w:tc>
          <w:tcPr>
            <w:tcW w:type="dxa" w:w="4819"/>
          </w:tcPr>
          <w:p>
            <w:pPr>
              <w:spacing w:after="20" w:before="20" w:line="240" w:lineRule="auto"/>
            </w:pPr>
            <w:r/>
            <w:r>
              <w:rPr>
                <w:rFonts w:ascii="Arial" w:hAnsi="Arial" w:cs="Arial"/>
                <w:b w:val="0"/>
                <w:i w:val="0"/>
                <w:sz w:val="17"/>
              </w:rPr>
              <w:t>Warehouse Dashboard</w:t>
            </w:r>
          </w:p>
        </w:tc>
        <w:tc>
          <w:tcPr>
            <w:tcW w:type="dxa" w:w="4819"/>
          </w:tcPr>
          <w:p>
            <w:pPr>
              <w:spacing w:after="20" w:before="20" w:line="240" w:lineRule="auto"/>
            </w:pPr>
            <w:r/>
            <w:r>
              <w:rPr>
                <w:rFonts w:ascii="Arial" w:hAnsi="Arial" w:cs="Arial"/>
                <w:b w:val="0"/>
                <w:i w:val="0"/>
                <w:sz w:val="17"/>
              </w:rPr>
              <w:t>Warehousing only</w:t>
            </w:r>
          </w:p>
        </w:tc>
      </w:tr>
      <w:tr>
        <w:tc>
          <w:tcPr>
            <w:tcW w:type="dxa" w:w="4819"/>
          </w:tcPr>
          <w:p>
            <w:pPr>
              <w:spacing w:after="20" w:before="20" w:line="240" w:lineRule="auto"/>
            </w:pPr>
            <w:r/>
            <w:r>
              <w:rPr>
                <w:rFonts w:ascii="Arial" w:hAnsi="Arial" w:cs="Arial"/>
                <w:b w:val="0"/>
                <w:i w:val="0"/>
                <w:sz w:val="17"/>
              </w:rPr>
              <w:t>Forwarder Console</w:t>
            </w:r>
          </w:p>
        </w:tc>
        <w:tc>
          <w:tcPr>
            <w:tcW w:type="dxa" w:w="4819"/>
          </w:tcPr>
          <w:p>
            <w:pPr>
              <w:spacing w:after="20" w:before="20" w:line="240" w:lineRule="auto"/>
            </w:pPr>
            <w:r/>
            <w:r>
              <w:rPr>
                <w:rFonts w:ascii="Arial" w:hAnsi="Arial" w:cs="Arial"/>
                <w:b w:val="0"/>
                <w:i w:val="0"/>
                <w:sz w:val="17"/>
              </w:rPr>
              <w:t>Forwarding only</w:t>
            </w:r>
          </w:p>
        </w:tc>
      </w:tr>
      <w:tr>
        <w:tc>
          <w:tcPr>
            <w:tcW w:type="dxa" w:w="4819"/>
          </w:tcPr>
          <w:p>
            <w:pPr>
              <w:spacing w:after="20" w:before="20" w:line="240" w:lineRule="auto"/>
            </w:pPr>
            <w:r/>
            <w:r>
              <w:rPr>
                <w:rFonts w:ascii="Arial" w:hAnsi="Arial" w:cs="Arial"/>
                <w:b w:val="0"/>
                <w:i w:val="0"/>
                <w:sz w:val="17"/>
              </w:rPr>
              <w:t>Driver Mobile App management</w:t>
            </w:r>
          </w:p>
        </w:tc>
        <w:tc>
          <w:tcPr>
            <w:tcW w:type="dxa" w:w="4819"/>
          </w:tcPr>
          <w:p>
            <w:pPr>
              <w:spacing w:after="20" w:before="20" w:line="240" w:lineRule="auto"/>
            </w:pPr>
            <w:r/>
            <w:r>
              <w:rPr>
                <w:rFonts w:ascii="Arial" w:hAnsi="Arial" w:cs="Arial"/>
                <w:b w:val="0"/>
                <w:i w:val="0"/>
                <w:sz w:val="17"/>
              </w:rPr>
              <w:t>QR pairing, offline queue</w:t>
            </w:r>
          </w:p>
        </w:tc>
      </w:tr>
      <w:tr>
        <w:tc>
          <w:tcPr>
            <w:tcW w:type="dxa" w:w="4819"/>
          </w:tcPr>
          <w:p>
            <w:pPr>
              <w:spacing w:after="20" w:before="20" w:line="240" w:lineRule="auto"/>
            </w:pPr>
            <w:r/>
            <w:r>
              <w:rPr>
                <w:rFonts w:ascii="Arial" w:hAnsi="Arial" w:cs="Arial"/>
                <w:b w:val="0"/>
                <w:i w:val="0"/>
                <w:sz w:val="17"/>
              </w:rPr>
              <w:t>Performance dashboard</w:t>
            </w:r>
          </w:p>
        </w:tc>
        <w:tc>
          <w:tcPr>
            <w:tcW w:type="dxa" w:w="4819"/>
          </w:tcPr>
          <w:p>
            <w:pPr>
              <w:spacing w:after="20" w:before="20" w:line="240" w:lineRule="auto"/>
            </w:pPr>
            <w:r/>
            <w:r>
              <w:rPr>
                <w:rFonts w:ascii="Arial" w:hAnsi="Arial" w:cs="Arial"/>
                <w:b w:val="0"/>
                <w:i w:val="0"/>
                <w:sz w:val="17"/>
              </w:rPr>
              <w:t>On-time, disputes, invoice accuracy, anonymous benchmark</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Anonymous RFQ opt-out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16.8.6.4 SHIP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Booking Requests</w:t>
            </w:r>
          </w:p>
        </w:tc>
        <w:tc>
          <w:tcPr>
            <w:tcW w:type="dxa" w:w="4819"/>
          </w:tcPr>
          <w:p>
            <w:pPr>
              <w:spacing w:after="20" w:before="20" w:line="240" w:lineRule="auto"/>
            </w:pPr>
            <w:r/>
            <w:r>
              <w:rPr>
                <w:rFonts w:ascii="Arial" w:hAnsi="Arial" w:cs="Arial"/>
                <w:b w:val="0"/>
                <w:i w:val="0"/>
                <w:sz w:val="17"/>
              </w:rPr>
              <w:t>Quote submission with contract-rate auto-application</w:t>
            </w:r>
          </w:p>
        </w:tc>
      </w:tr>
      <w:tr>
        <w:tc>
          <w:tcPr>
            <w:tcW w:type="dxa" w:w="4819"/>
          </w:tcPr>
          <w:p>
            <w:pPr>
              <w:spacing w:after="20" w:before="20" w:line="240" w:lineRule="auto"/>
            </w:pPr>
            <w:r/>
            <w:r>
              <w:rPr>
                <w:rFonts w:ascii="Arial" w:hAnsi="Arial" w:cs="Arial"/>
                <w:b w:val="0"/>
                <w:i w:val="0"/>
                <w:sz w:val="17"/>
              </w:rPr>
              <w:t>eBL Management</w:t>
            </w:r>
          </w:p>
        </w:tc>
        <w:tc>
          <w:tcPr>
            <w:tcW w:type="dxa" w:w="4819"/>
          </w:tcPr>
          <w:p>
            <w:pPr>
              <w:spacing w:after="20" w:before="20" w:line="240" w:lineRule="auto"/>
            </w:pPr>
            <w:r/>
            <w:r>
              <w:rPr>
                <w:rFonts w:ascii="Arial" w:hAnsi="Arial" w:cs="Arial"/>
                <w:b w:val="0"/>
                <w:i w:val="0"/>
                <w:sz w:val="17"/>
              </w:rPr>
              <w:t>Webhook integration</w:t>
            </w:r>
          </w:p>
        </w:tc>
      </w:tr>
      <w:tr>
        <w:tc>
          <w:tcPr>
            <w:tcW w:type="dxa" w:w="4819"/>
          </w:tcPr>
          <w:p>
            <w:pPr>
              <w:spacing w:after="20" w:before="20" w:line="240" w:lineRule="auto"/>
            </w:pPr>
            <w:r/>
            <w:r>
              <w:rPr>
                <w:rFonts w:ascii="Arial" w:hAnsi="Arial" w:cs="Arial"/>
                <w:b w:val="0"/>
                <w:i w:val="0"/>
                <w:sz w:val="17"/>
              </w:rPr>
              <w:t>Vessel Schedule</w:t>
            </w:r>
          </w:p>
        </w:tc>
        <w:tc>
          <w:tcPr>
            <w:tcW w:type="dxa" w:w="4819"/>
          </w:tcPr>
          <w:p>
            <w:pPr>
              <w:spacing w:after="20" w:before="20" w:line="240" w:lineRule="auto"/>
            </w:pPr>
            <w:r/>
            <w:r>
              <w:rPr>
                <w:rFonts w:ascii="Arial" w:hAnsi="Arial" w:cs="Arial"/>
                <w:b w:val="0"/>
                <w:i w:val="0"/>
                <w:sz w:val="17"/>
              </w:rPr>
              <w:t>ETD/ETA propagation</w:t>
            </w:r>
          </w:p>
        </w:tc>
      </w:tr>
      <w:tr>
        <w:tc>
          <w:tcPr>
            <w:tcW w:type="dxa" w:w="4819"/>
          </w:tcPr>
          <w:p>
            <w:pPr>
              <w:spacing w:after="20" w:before="20" w:line="240" w:lineRule="auto"/>
            </w:pPr>
            <w:r/>
            <w:r>
              <w:rPr>
                <w:rFonts w:ascii="Arial" w:hAnsi="Arial" w:cs="Arial"/>
                <w:b w:val="0"/>
                <w:i w:val="0"/>
                <w:sz w:val="17"/>
              </w:rPr>
              <w:t>Freight Invoices</w:t>
            </w:r>
          </w:p>
        </w:tc>
        <w:tc>
          <w:tcPr>
            <w:tcW w:type="dxa" w:w="4819"/>
          </w:tcPr>
          <w:p>
            <w:pPr>
              <w:spacing w:after="20" w:before="20" w:line="240" w:lineRule="auto"/>
            </w:pPr>
            <w:r/>
            <w:r>
              <w:rPr>
                <w:rFonts w:ascii="Arial" w:hAnsi="Arial" w:cs="Arial"/>
                <w:b w:val="0"/>
                <w:i w:val="0"/>
                <w:sz w:val="17"/>
              </w:rPr>
              <w:t>Credit/mandatory terms</w:t>
            </w:r>
          </w:p>
        </w:tc>
      </w:tr>
      <w:tr>
        <w:tc>
          <w:tcPr>
            <w:tcW w:type="dxa" w:w="4819"/>
          </w:tcPr>
          <w:p>
            <w:pPr>
              <w:spacing w:after="20" w:before="20" w:line="240" w:lineRule="auto"/>
            </w:pPr>
            <w:r/>
            <w:r>
              <w:rPr>
                <w:rFonts w:ascii="Arial" w:hAnsi="Arial" w:cs="Arial"/>
                <w:b w:val="0"/>
                <w:i w:val="0"/>
                <w:sz w:val="17"/>
              </w:rPr>
              <w:t>Contract Rate Manager</w:t>
            </w:r>
          </w:p>
        </w:tc>
        <w:tc>
          <w:tcPr>
            <w:tcW w:type="dxa" w:w="4819"/>
          </w:tcPr>
          <w:p>
            <w:pPr>
              <w:spacing w:after="20" w:before="20" w:line="240" w:lineRule="auto"/>
            </w:pPr>
            <w:r/>
            <w:r>
              <w:rPr>
                <w:rFonts w:ascii="Arial" w:hAnsi="Arial" w:cs="Arial"/>
                <w:b w:val="0"/>
                <w:i w:val="0"/>
                <w:sz w:val="17"/>
              </w:rPr>
              <w:t>Private rates per seller</w:t>
            </w:r>
          </w:p>
        </w:tc>
      </w:tr>
      <w:tr>
        <w:tc>
          <w:tcPr>
            <w:tcW w:type="dxa" w:w="4819"/>
          </w:tcPr>
          <w:p>
            <w:pPr>
              <w:spacing w:after="20" w:before="20" w:line="240" w:lineRule="auto"/>
            </w:pPr>
            <w:r/>
            <w:r>
              <w:rPr>
                <w:rFonts w:ascii="Arial" w:hAnsi="Arial" w:cs="Arial"/>
                <w:b w:val="0"/>
                <w:i w:val="0"/>
                <w:sz w:val="17"/>
              </w:rPr>
              <w:t>Performance dashboard</w:t>
            </w:r>
          </w:p>
        </w:tc>
        <w:tc>
          <w:tcPr>
            <w:tcW w:type="dxa" w:w="4819"/>
          </w:tcPr>
          <w:p>
            <w:pPr>
              <w:spacing w:after="20" w:before="20" w:line="240" w:lineRule="auto"/>
            </w:pPr>
            <w:r/>
            <w:r>
              <w:rPr>
                <w:rFonts w:ascii="Arial" w:hAnsi="Arial" w:cs="Arial"/>
                <w:b w:val="0"/>
                <w:i w:val="0"/>
                <w:sz w:val="17"/>
              </w:rPr>
              <w:t>On-time departure, eBL latency</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Ports, eBL credentials, webhooks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16.8.6.5 LAB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Testing Jobs</w:t>
            </w:r>
          </w:p>
        </w:tc>
        <w:tc>
          <w:tcPr>
            <w:tcW w:type="dxa" w:w="4819"/>
          </w:tcPr>
          <w:p>
            <w:pPr>
              <w:spacing w:after="20" w:before="20" w:line="240" w:lineRule="auto"/>
            </w:pPr>
            <w:r/>
            <w:r>
              <w:rPr>
                <w:rFonts w:ascii="Arial" w:hAnsi="Arial" w:cs="Arial"/>
                <w:b w:val="0"/>
                <w:i w:val="0"/>
                <w:sz w:val="17"/>
              </w:rPr>
              <w:t>Sample tracking</w:t>
            </w:r>
          </w:p>
        </w:tc>
      </w:tr>
      <w:tr>
        <w:tc>
          <w:tcPr>
            <w:tcW w:type="dxa" w:w="4819"/>
          </w:tcPr>
          <w:p>
            <w:pPr>
              <w:spacing w:after="20" w:before="20" w:line="240" w:lineRule="auto"/>
            </w:pPr>
            <w:r/>
            <w:r>
              <w:rPr>
                <w:rFonts w:ascii="Arial" w:hAnsi="Arial" w:cs="Arial"/>
                <w:b w:val="0"/>
                <w:i w:val="0"/>
                <w:sz w:val="17"/>
              </w:rPr>
              <w:t>Result Submission</w:t>
            </w:r>
          </w:p>
        </w:tc>
        <w:tc>
          <w:tcPr>
            <w:tcW w:type="dxa" w:w="4819"/>
          </w:tcPr>
          <w:p>
            <w:pPr>
              <w:spacing w:after="20" w:before="20" w:line="240" w:lineRule="auto"/>
            </w:pPr>
            <w:r/>
            <w:r>
              <w:rPr>
                <w:rFonts w:ascii="Arial" w:hAnsi="Arial" w:cs="Arial"/>
                <w:b w:val="0"/>
                <w:i w:val="0"/>
                <w:sz w:val="17"/>
              </w:rPr>
              <w:t>MRL validation</w:t>
            </w:r>
          </w:p>
        </w:tc>
      </w:tr>
      <w:tr>
        <w:tc>
          <w:tcPr>
            <w:tcW w:type="dxa" w:w="4819"/>
          </w:tcPr>
          <w:p>
            <w:pPr>
              <w:spacing w:after="20" w:before="20" w:line="240" w:lineRule="auto"/>
            </w:pPr>
            <w:r/>
            <w:r>
              <w:rPr>
                <w:rFonts w:ascii="Arial" w:hAnsi="Arial" w:cs="Arial"/>
                <w:b w:val="0"/>
                <w:i w:val="0"/>
                <w:sz w:val="17"/>
              </w:rPr>
              <w:t>Certificates</w:t>
            </w:r>
          </w:p>
        </w:tc>
        <w:tc>
          <w:tcPr>
            <w:tcW w:type="dxa" w:w="4819"/>
          </w:tcPr>
          <w:p>
            <w:pPr>
              <w:spacing w:after="20" w:before="20" w:line="240" w:lineRule="auto"/>
            </w:pPr>
            <w:r/>
            <w:r>
              <w:rPr>
                <w:rFonts w:ascii="Arial" w:hAnsi="Arial" w:cs="Arial"/>
                <w:b w:val="0"/>
                <w:i w:val="0"/>
                <w:sz w:val="17"/>
              </w:rPr>
              <w:t>Auto-trigger via Nafeza</w:t>
            </w:r>
          </w:p>
        </w:tc>
      </w:tr>
      <w:tr>
        <w:tc>
          <w:tcPr>
            <w:tcW w:type="dxa" w:w="4819"/>
          </w:tcPr>
          <w:p>
            <w:pPr>
              <w:spacing w:after="20" w:before="20" w:line="240" w:lineRule="auto"/>
            </w:pPr>
            <w:r/>
            <w:r>
              <w:rPr>
                <w:rFonts w:ascii="Arial" w:hAnsi="Arial" w:cs="Arial"/>
                <w:b w:val="0"/>
                <w:i w:val="0"/>
                <w:sz w:val="17"/>
              </w:rPr>
              <w:t>Performance dashboard</w:t>
            </w:r>
          </w:p>
        </w:tc>
        <w:tc>
          <w:tcPr>
            <w:tcW w:type="dxa" w:w="4819"/>
          </w:tcPr>
          <w:p>
            <w:pPr>
              <w:spacing w:after="20" w:before="20" w:line="240" w:lineRule="auto"/>
            </w:pPr>
            <w:r/>
            <w:r>
              <w:rPr>
                <w:rFonts w:ascii="Arial" w:hAnsi="Arial" w:cs="Arial"/>
                <w:b w:val="0"/>
                <w:i w:val="0"/>
                <w:sz w:val="17"/>
              </w:rPr>
              <w:t>Turnaround, accuracy</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Accreditations, fee schedules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16.8.6.6 QC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Inspection Jobs</w:t>
            </w:r>
          </w:p>
        </w:tc>
        <w:tc>
          <w:tcPr>
            <w:tcW w:type="dxa" w:w="4819"/>
          </w:tcPr>
          <w:p>
            <w:pPr>
              <w:spacing w:after="20" w:before="20" w:line="240" w:lineRule="auto"/>
            </w:pPr>
            <w:r/>
            <w:r>
              <w:rPr>
                <w:rFonts w:ascii="Arial" w:hAnsi="Arial" w:cs="Arial"/>
                <w:b w:val="0"/>
                <w:i w:val="0"/>
                <w:sz w:val="17"/>
              </w:rPr>
              <w:t>AQL sampling enforcement</w:t>
            </w:r>
          </w:p>
        </w:tc>
      </w:tr>
      <w:tr>
        <w:tc>
          <w:tcPr>
            <w:tcW w:type="dxa" w:w="4819"/>
          </w:tcPr>
          <w:p>
            <w:pPr>
              <w:spacing w:after="20" w:before="20" w:line="240" w:lineRule="auto"/>
            </w:pPr>
            <w:r/>
            <w:r>
              <w:rPr>
                <w:rFonts w:ascii="Arial" w:hAnsi="Arial" w:cs="Arial"/>
                <w:b w:val="0"/>
                <w:i w:val="0"/>
                <w:sz w:val="17"/>
              </w:rPr>
              <w:t>Mobile App Integration</w:t>
            </w:r>
          </w:p>
        </w:tc>
        <w:tc>
          <w:tcPr>
            <w:tcW w:type="dxa" w:w="4819"/>
          </w:tcPr>
          <w:p>
            <w:pPr>
              <w:spacing w:after="20" w:before="20" w:line="240" w:lineRule="auto"/>
            </w:pPr>
            <w:r/>
            <w:r>
              <w:rPr>
                <w:rFonts w:ascii="Arial" w:hAnsi="Arial" w:cs="Arial"/>
                <w:b w:val="0"/>
                <w:i w:val="0"/>
                <w:sz w:val="17"/>
              </w:rPr>
              <w:t>Offline-first, AR, defect detection</w:t>
            </w:r>
          </w:p>
        </w:tc>
      </w:tr>
      <w:tr>
        <w:tc>
          <w:tcPr>
            <w:tcW w:type="dxa" w:w="4819"/>
          </w:tcPr>
          <w:p>
            <w:pPr>
              <w:spacing w:after="20" w:before="20" w:line="240" w:lineRule="auto"/>
            </w:pPr>
            <w:r/>
            <w:r>
              <w:rPr>
                <w:rFonts w:ascii="Arial" w:hAnsi="Arial" w:cs="Arial"/>
                <w:b w:val="0"/>
                <w:i w:val="0"/>
                <w:sz w:val="17"/>
              </w:rPr>
              <w:t>Report Submission</w:t>
            </w:r>
          </w:p>
        </w:tc>
        <w:tc>
          <w:tcPr>
            <w:tcW w:type="dxa" w:w="4819"/>
          </w:tcPr>
          <w:p>
            <w:pPr>
              <w:spacing w:after="20" w:before="20" w:line="240" w:lineRule="auto"/>
            </w:pPr>
            <w:r/>
            <w:r>
              <w:rPr>
                <w:rFonts w:ascii="Arial" w:hAnsi="Arial" w:cs="Arial"/>
                <w:b w:val="0"/>
                <w:i w:val="0"/>
                <w:sz w:val="17"/>
              </w:rPr>
              <w:t>PASS/FAIL/CONDITIONAL</w:t>
            </w:r>
          </w:p>
        </w:tc>
      </w:tr>
      <w:tr>
        <w:tc>
          <w:tcPr>
            <w:tcW w:type="dxa" w:w="4819"/>
          </w:tcPr>
          <w:p>
            <w:pPr>
              <w:spacing w:after="20" w:before="20" w:line="240" w:lineRule="auto"/>
            </w:pPr>
            <w:r/>
            <w:r>
              <w:rPr>
                <w:rFonts w:ascii="Arial" w:hAnsi="Arial" w:cs="Arial"/>
                <w:b w:val="0"/>
                <w:i w:val="0"/>
                <w:sz w:val="17"/>
              </w:rPr>
              <w:t>Conditional Pass</w:t>
            </w:r>
          </w:p>
        </w:tc>
        <w:tc>
          <w:tcPr>
            <w:tcW w:type="dxa" w:w="4819"/>
          </w:tcPr>
          <w:p>
            <w:pPr>
              <w:spacing w:after="20" w:before="20" w:line="240" w:lineRule="auto"/>
            </w:pPr>
            <w:r/>
            <w:r>
              <w:rPr>
                <w:rFonts w:ascii="Arial" w:hAnsi="Arial" w:cs="Arial"/>
                <w:b w:val="0"/>
                <w:i w:val="0"/>
                <w:sz w:val="17"/>
              </w:rPr>
              <w:t>Action plan and hold flag</w:t>
            </w:r>
          </w:p>
        </w:tc>
      </w:tr>
      <w:tr>
        <w:tc>
          <w:tcPr>
            <w:tcW w:type="dxa" w:w="4819"/>
          </w:tcPr>
          <w:p>
            <w:pPr>
              <w:spacing w:after="20" w:before="20" w:line="240" w:lineRule="auto"/>
            </w:pPr>
            <w:r/>
            <w:r>
              <w:rPr>
                <w:rFonts w:ascii="Arial" w:hAnsi="Arial" w:cs="Arial"/>
                <w:b w:val="0"/>
                <w:i w:val="0"/>
                <w:sz w:val="17"/>
              </w:rPr>
              <w:t>Re-inspection Request</w:t>
            </w:r>
          </w:p>
        </w:tc>
        <w:tc>
          <w:tcPr>
            <w:tcW w:type="dxa" w:w="4819"/>
          </w:tcPr>
          <w:p>
            <w:pPr>
              <w:spacing w:after="20" w:before="20" w:line="240" w:lineRule="auto"/>
            </w:pPr>
            <w:r/>
            <w:r>
              <w:rPr>
                <w:rFonts w:ascii="Arial" w:hAnsi="Arial" w:cs="Arial"/>
                <w:b w:val="0"/>
                <w:i w:val="0"/>
                <w:sz w:val="17"/>
              </w:rPr>
              <w:t>Workflow for disputed verdicts</w:t>
            </w:r>
          </w:p>
        </w:tc>
      </w:tr>
      <w:tr>
        <w:tc>
          <w:tcPr>
            <w:tcW w:type="dxa" w:w="4819"/>
          </w:tcPr>
          <w:p>
            <w:pPr>
              <w:spacing w:after="20" w:before="20" w:line="240" w:lineRule="auto"/>
            </w:pPr>
            <w:r/>
            <w:r>
              <w:rPr>
                <w:rFonts w:ascii="Arial" w:hAnsi="Arial" w:cs="Arial"/>
                <w:b w:val="0"/>
                <w:i w:val="0"/>
                <w:sz w:val="17"/>
              </w:rPr>
              <w:t>Dispute Fast-Track</w:t>
            </w:r>
          </w:p>
        </w:tc>
        <w:tc>
          <w:tcPr>
            <w:tcW w:type="dxa" w:w="4819"/>
          </w:tcPr>
          <w:p>
            <w:pPr>
              <w:spacing w:after="20" w:before="20" w:line="240" w:lineRule="auto"/>
            </w:pPr>
            <w:r/>
            <w:r>
              <w:rPr>
                <w:rFonts w:ascii="Arial" w:hAnsi="Arial" w:cs="Arial"/>
                <w:b w:val="0"/>
                <w:i w:val="0"/>
                <w:sz w:val="17"/>
              </w:rPr>
              <w:t>Override flagging</w:t>
            </w:r>
          </w:p>
        </w:tc>
      </w:tr>
      <w:tr>
        <w:tc>
          <w:tcPr>
            <w:tcW w:type="dxa" w:w="4819"/>
          </w:tcPr>
          <w:p>
            <w:pPr>
              <w:spacing w:after="20" w:before="20" w:line="240" w:lineRule="auto"/>
            </w:pPr>
            <w:r/>
            <w:r>
              <w:rPr>
                <w:rFonts w:ascii="Arial" w:hAnsi="Arial" w:cs="Arial"/>
                <w:b w:val="0"/>
                <w:i w:val="0"/>
                <w:sz w:val="17"/>
              </w:rPr>
              <w:t>Performance dashboard</w:t>
            </w:r>
          </w:p>
        </w:tc>
        <w:tc>
          <w:tcPr>
            <w:tcW w:type="dxa" w:w="4819"/>
          </w:tcPr>
          <w:p>
            <w:pPr>
              <w:spacing w:after="20" w:before="20" w:line="240" w:lineRule="auto"/>
            </w:pPr>
            <w:r/>
            <w:r>
              <w:rPr>
                <w:rFonts w:ascii="Arial" w:hAnsi="Arial" w:cs="Arial"/>
                <w:b w:val="0"/>
                <w:i w:val="0"/>
                <w:sz w:val="17"/>
              </w:rPr>
              <w:t>Override rate, dispute rate</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Service catalogue, methods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16.8.6.7 CBR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Certification Requests</w:t>
            </w:r>
          </w:p>
        </w:tc>
        <w:tc>
          <w:tcPr>
            <w:tcW w:type="dxa" w:w="4819"/>
          </w:tcPr>
          <w:p>
            <w:pPr>
              <w:spacing w:after="20" w:before="20" w:line="240" w:lineRule="auto"/>
            </w:pPr>
            <w:r/>
            <w:r>
              <w:rPr>
                <w:rFonts w:ascii="Arial" w:hAnsi="Arial" w:cs="Arial"/>
                <w:b w:val="0"/>
                <w:i w:val="0"/>
                <w:sz w:val="17"/>
              </w:rPr>
              <w:t>Declaration preview</w:t>
            </w:r>
          </w:p>
        </w:tc>
      </w:tr>
      <w:tr>
        <w:tc>
          <w:tcPr>
            <w:tcW w:type="dxa" w:w="4819"/>
          </w:tcPr>
          <w:p>
            <w:pPr>
              <w:spacing w:after="20" w:before="20" w:line="240" w:lineRule="auto"/>
            </w:pPr>
            <w:r/>
            <w:r>
              <w:rPr>
                <w:rFonts w:ascii="Arial" w:hAnsi="Arial" w:cs="Arial"/>
                <w:b w:val="0"/>
                <w:i w:val="0"/>
                <w:sz w:val="17"/>
              </w:rPr>
              <w:t>Physical Document Jobs</w:t>
            </w:r>
          </w:p>
        </w:tc>
        <w:tc>
          <w:tcPr>
            <w:tcW w:type="dxa" w:w="4819"/>
          </w:tcPr>
          <w:p>
            <w:pPr>
              <w:spacing w:after="20" w:before="20" w:line="240" w:lineRule="auto"/>
            </w:pPr>
            <w:r/>
            <w:r>
              <w:rPr>
                <w:rFonts w:ascii="Arial" w:hAnsi="Arial" w:cs="Arial"/>
                <w:b w:val="0"/>
                <w:i w:val="0"/>
                <w:sz w:val="17"/>
              </w:rPr>
              <w:t>QR scanning and GPS tracking</w:t>
            </w:r>
          </w:p>
        </w:tc>
      </w:tr>
      <w:tr>
        <w:tc>
          <w:tcPr>
            <w:tcW w:type="dxa" w:w="4819"/>
          </w:tcPr>
          <w:p>
            <w:pPr>
              <w:spacing w:after="20" w:before="20" w:line="240" w:lineRule="auto"/>
            </w:pPr>
            <w:r/>
            <w:r>
              <w:rPr>
                <w:rFonts w:ascii="Arial" w:hAnsi="Arial" w:cs="Arial"/>
                <w:b w:val="0"/>
                <w:i w:val="0"/>
                <w:sz w:val="17"/>
              </w:rPr>
              <w:t>Storage</w:t>
            </w:r>
          </w:p>
        </w:tc>
        <w:tc>
          <w:tcPr>
            <w:tcW w:type="dxa" w:w="4819"/>
          </w:tcPr>
          <w:p>
            <w:pPr>
              <w:spacing w:after="20" w:before="20" w:line="240" w:lineRule="auto"/>
            </w:pPr>
            <w:r/>
            <w:r>
              <w:rPr>
                <w:rFonts w:ascii="Arial" w:hAnsi="Arial" w:cs="Arial"/>
                <w:b w:val="0"/>
                <w:i w:val="0"/>
                <w:sz w:val="17"/>
              </w:rPr>
              <w:t>Retention expiry</w:t>
            </w:r>
          </w:p>
        </w:tc>
      </w:tr>
      <w:tr>
        <w:tc>
          <w:tcPr>
            <w:tcW w:type="dxa" w:w="4819"/>
          </w:tcPr>
          <w:p>
            <w:pPr>
              <w:spacing w:after="20" w:before="20" w:line="240" w:lineRule="auto"/>
            </w:pPr>
            <w:r/>
            <w:r>
              <w:rPr>
                <w:rFonts w:ascii="Arial" w:hAnsi="Arial" w:cs="Arial"/>
                <w:b w:val="0"/>
                <w:i w:val="0"/>
                <w:sz w:val="17"/>
              </w:rPr>
              <w:t>Audit Representation</w:t>
            </w:r>
          </w:p>
        </w:tc>
        <w:tc>
          <w:tcPr>
            <w:tcW w:type="dxa" w:w="4819"/>
          </w:tcPr>
          <w:p>
            <w:pPr>
              <w:spacing w:after="20" w:before="20" w:line="240" w:lineRule="auto"/>
            </w:pPr>
            <w:r/>
            <w:r>
              <w:rPr>
                <w:rFonts w:ascii="Arial" w:hAnsi="Arial" w:cs="Arial"/>
                <w:b w:val="0"/>
                <w:i w:val="0"/>
                <w:sz w:val="17"/>
              </w:rPr>
              <w:t>Legal point of contact</w:t>
            </w:r>
          </w:p>
        </w:tc>
      </w:tr>
      <w:tr>
        <w:tc>
          <w:tcPr>
            <w:tcW w:type="dxa" w:w="4819"/>
          </w:tcPr>
          <w:p>
            <w:pPr>
              <w:spacing w:after="20" w:before="20" w:line="240" w:lineRule="auto"/>
            </w:pPr>
            <w:r/>
            <w:r>
              <w:rPr>
                <w:rFonts w:ascii="Arial" w:hAnsi="Arial" w:cs="Arial"/>
                <w:b w:val="0"/>
                <w:i w:val="0"/>
                <w:sz w:val="17"/>
              </w:rPr>
              <w:t>Performance dashboard</w:t>
            </w:r>
          </w:p>
        </w:tc>
        <w:tc>
          <w:tcPr>
            <w:tcW w:type="dxa" w:w="4819"/>
          </w:tcPr>
          <w:p>
            <w:pPr>
              <w:spacing w:after="20" w:before="20" w:line="240" w:lineRule="auto"/>
            </w:pPr>
            <w:r/>
            <w:r>
              <w:rPr>
                <w:rFonts w:ascii="Arial" w:hAnsi="Arial" w:cs="Arial"/>
                <w:b w:val="0"/>
                <w:i w:val="0"/>
                <w:sz w:val="17"/>
              </w:rPr>
              <w:t>Certification accuracy</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Digital seal management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16.8.6.8 Financier (Bank)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Financing Opportunities</w:t>
            </w:r>
          </w:p>
        </w:tc>
        <w:tc>
          <w:tcPr>
            <w:tcW w:type="dxa" w:w="4819"/>
          </w:tcPr>
          <w:p>
            <w:pPr>
              <w:spacing w:after="20" w:before="20" w:line="240" w:lineRule="auto"/>
            </w:pPr>
            <w:r/>
            <w:r>
              <w:rPr>
                <w:rFonts w:ascii="Arial" w:hAnsi="Arial" w:cs="Arial"/>
                <w:b w:val="0"/>
                <w:i w:val="0"/>
                <w:sz w:val="17"/>
              </w:rPr>
              <w:t>Auto-RFQ and full disclosure</w:t>
            </w:r>
          </w:p>
        </w:tc>
      </w:tr>
      <w:tr>
        <w:tc>
          <w:tcPr>
            <w:tcW w:type="dxa" w:w="4819"/>
          </w:tcPr>
          <w:p>
            <w:pPr>
              <w:spacing w:after="20" w:before="20" w:line="240" w:lineRule="auto"/>
            </w:pPr>
            <w:r/>
            <w:r>
              <w:rPr>
                <w:rFonts w:ascii="Arial" w:hAnsi="Arial" w:cs="Arial"/>
                <w:b w:val="0"/>
                <w:i w:val="0"/>
                <w:sz w:val="17"/>
              </w:rPr>
              <w:t>My Bids &amp; Active Loans</w:t>
            </w:r>
          </w:p>
        </w:tc>
        <w:tc>
          <w:tcPr>
            <w:tcW w:type="dxa" w:w="4819"/>
          </w:tcPr>
          <w:p>
            <w:pPr>
              <w:spacing w:after="20" w:before="20" w:line="240" w:lineRule="auto"/>
            </w:pPr>
            <w:r/>
            <w:r>
              <w:rPr>
                <w:rFonts w:ascii="Arial" w:hAnsi="Arial" w:cs="Arial"/>
                <w:b w:val="0"/>
                <w:i w:val="0"/>
                <w:sz w:val="17"/>
              </w:rPr>
              <w:t>Collateral monitoring dashboard</w:t>
            </w:r>
          </w:p>
        </w:tc>
      </w:tr>
      <w:tr>
        <w:tc>
          <w:tcPr>
            <w:tcW w:type="dxa" w:w="4819"/>
          </w:tcPr>
          <w:p>
            <w:pPr>
              <w:spacing w:after="20" w:before="20" w:line="240" w:lineRule="auto"/>
            </w:pPr>
            <w:r/>
            <w:r>
              <w:rPr>
                <w:rFonts w:ascii="Arial" w:hAnsi="Arial" w:cs="Arial"/>
                <w:b w:val="0"/>
                <w:i w:val="0"/>
                <w:sz w:val="17"/>
              </w:rPr>
              <w:t>Portfolio &amp; Compliance</w:t>
            </w:r>
          </w:p>
        </w:tc>
        <w:tc>
          <w:tcPr>
            <w:tcW w:type="dxa" w:w="4819"/>
          </w:tcPr>
          <w:p>
            <w:pPr>
              <w:spacing w:after="20" w:before="20" w:line="240" w:lineRule="auto"/>
            </w:pPr>
            <w:r/>
            <w:r>
              <w:rPr>
                <w:rFonts w:ascii="Arial" w:hAnsi="Arial" w:cs="Arial"/>
                <w:b w:val="0"/>
                <w:i w:val="0"/>
                <w:sz w:val="17"/>
              </w:rPr>
              <w:t>Regulatory report generation</w:t>
            </w:r>
          </w:p>
        </w:tc>
      </w:tr>
      <w:tr>
        <w:tc>
          <w:tcPr>
            <w:tcW w:type="dxa" w:w="4819"/>
          </w:tcPr>
          <w:p>
            <w:pPr>
              <w:spacing w:after="20" w:before="20" w:line="240" w:lineRule="auto"/>
            </w:pPr>
            <w:r/>
            <w:r>
              <w:rPr>
                <w:rFonts w:ascii="Arial" w:hAnsi="Arial" w:cs="Arial"/>
                <w:b w:val="0"/>
                <w:i w:val="0"/>
                <w:sz w:val="17"/>
              </w:rPr>
              <w:t>Financed Companies</w:t>
            </w:r>
          </w:p>
        </w:tc>
        <w:tc>
          <w:tcPr>
            <w:tcW w:type="dxa" w:w="4819"/>
          </w:tcPr>
          <w:p>
            <w:pPr>
              <w:spacing w:after="20" w:before="20" w:line="240" w:lineRule="auto"/>
            </w:pPr>
            <w:r/>
            <w:r>
              <w:rPr>
                <w:rFonts w:ascii="Arial" w:hAnsi="Arial" w:cs="Arial"/>
                <w:b w:val="0"/>
                <w:i w:val="0"/>
                <w:sz w:val="17"/>
              </w:rPr>
              <w:t>Private, audit-traced</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Preferences and exposure limits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16.8.6.9 Financier (PFI)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Financing Opportunities</w:t>
            </w:r>
          </w:p>
        </w:tc>
        <w:tc>
          <w:tcPr>
            <w:tcW w:type="dxa" w:w="4819"/>
          </w:tcPr>
          <w:p>
            <w:pPr>
              <w:spacing w:after="20" w:before="20" w:line="240" w:lineRule="auto"/>
            </w:pPr>
            <w:r/>
            <w:r>
              <w:rPr>
                <w:rFonts w:ascii="Arial" w:hAnsi="Arial" w:cs="Arial"/>
                <w:b w:val="0"/>
                <w:i w:val="0"/>
                <w:sz w:val="17"/>
              </w:rPr>
              <w:t>Auto-RFQ and full disclosure</w:t>
            </w:r>
          </w:p>
        </w:tc>
      </w:tr>
      <w:tr>
        <w:tc>
          <w:tcPr>
            <w:tcW w:type="dxa" w:w="4819"/>
          </w:tcPr>
          <w:p>
            <w:pPr>
              <w:spacing w:after="20" w:before="20" w:line="240" w:lineRule="auto"/>
            </w:pPr>
            <w:r/>
            <w:r>
              <w:rPr>
                <w:rFonts w:ascii="Arial" w:hAnsi="Arial" w:cs="Arial"/>
                <w:b w:val="0"/>
                <w:i w:val="0"/>
                <w:sz w:val="17"/>
              </w:rPr>
              <w:t>My Bids &amp; Active Loans</w:t>
            </w:r>
          </w:p>
        </w:tc>
        <w:tc>
          <w:tcPr>
            <w:tcW w:type="dxa" w:w="4819"/>
          </w:tcPr>
          <w:p>
            <w:pPr>
              <w:spacing w:after="20" w:before="20" w:line="240" w:lineRule="auto"/>
            </w:pPr>
            <w:r/>
            <w:r>
              <w:rPr>
                <w:rFonts w:ascii="Arial" w:hAnsi="Arial" w:cs="Arial"/>
                <w:b w:val="0"/>
                <w:i w:val="0"/>
                <w:sz w:val="17"/>
              </w:rPr>
              <w:t>Collateral monitoring dashboard</w:t>
            </w:r>
          </w:p>
        </w:tc>
      </w:tr>
      <w:tr>
        <w:tc>
          <w:tcPr>
            <w:tcW w:type="dxa" w:w="4819"/>
          </w:tcPr>
          <w:p>
            <w:pPr>
              <w:spacing w:after="20" w:before="20" w:line="240" w:lineRule="auto"/>
            </w:pPr>
            <w:r/>
            <w:r>
              <w:rPr>
                <w:rFonts w:ascii="Arial" w:hAnsi="Arial" w:cs="Arial"/>
                <w:b w:val="0"/>
                <w:i w:val="0"/>
                <w:sz w:val="17"/>
              </w:rPr>
              <w:t>Portfolio &amp; Performance</w:t>
            </w:r>
          </w:p>
        </w:tc>
        <w:tc>
          <w:tcPr>
            <w:tcW w:type="dxa" w:w="4819"/>
          </w:tcPr>
          <w:p>
            <w:pPr>
              <w:spacing w:after="20" w:before="20" w:line="240" w:lineRule="auto"/>
            </w:pPr>
            <w:r/>
            <w:r>
              <w:rPr>
                <w:rFonts w:ascii="Arial" w:hAnsi="Arial" w:cs="Arial"/>
                <w:b w:val="0"/>
                <w:i w:val="0"/>
                <w:sz w:val="17"/>
              </w:rPr>
              <w:t>CSV export</w:t>
            </w:r>
          </w:p>
        </w:tc>
      </w:tr>
      <w:tr>
        <w:tc>
          <w:tcPr>
            <w:tcW w:type="dxa" w:w="4819"/>
          </w:tcPr>
          <w:p>
            <w:pPr>
              <w:spacing w:after="20" w:before="20" w:line="240" w:lineRule="auto"/>
            </w:pPr>
            <w:r/>
            <w:r>
              <w:rPr>
                <w:rFonts w:ascii="Arial" w:hAnsi="Arial" w:cs="Arial"/>
                <w:b w:val="0"/>
                <w:i w:val="0"/>
                <w:sz w:val="17"/>
              </w:rPr>
              <w:t>Financed Companies</w:t>
            </w:r>
          </w:p>
        </w:tc>
        <w:tc>
          <w:tcPr>
            <w:tcW w:type="dxa" w:w="4819"/>
          </w:tcPr>
          <w:p>
            <w:pPr>
              <w:spacing w:after="20" w:before="20" w:line="240" w:lineRule="auto"/>
            </w:pPr>
            <w:r/>
            <w:r>
              <w:rPr>
                <w:rFonts w:ascii="Arial" w:hAnsi="Arial" w:cs="Arial"/>
                <w:b w:val="0"/>
                <w:i w:val="0"/>
                <w:sz w:val="17"/>
              </w:rPr>
              <w:t>Private, audit-traced</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Simplified preferences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16.8.6.10 Government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Live Trade Monitor</w:t>
            </w:r>
          </w:p>
        </w:tc>
        <w:tc>
          <w:tcPr>
            <w:tcW w:type="dxa" w:w="4819"/>
          </w:tcPr>
          <w:p>
            <w:pPr>
              <w:spacing w:after="20" w:before="20" w:line="240" w:lineRule="auto"/>
            </w:pPr>
            <w:r/>
            <w:r>
              <w:rPr>
                <w:rFonts w:ascii="Arial" w:hAnsi="Arial" w:cs="Arial"/>
                <w:b w:val="0"/>
                <w:i w:val="0"/>
                <w:sz w:val="17"/>
              </w:rPr>
              <w:t>Risk scores and clearance status</w:t>
            </w:r>
          </w:p>
        </w:tc>
      </w:tr>
      <w:tr>
        <w:tc>
          <w:tcPr>
            <w:tcW w:type="dxa" w:w="4819"/>
          </w:tcPr>
          <w:p>
            <w:pPr>
              <w:spacing w:after="20" w:before="20" w:line="240" w:lineRule="auto"/>
            </w:pPr>
            <w:r/>
            <w:r>
              <w:rPr>
                <w:rFonts w:ascii="Arial" w:hAnsi="Arial" w:cs="Arial"/>
                <w:b w:val="0"/>
                <w:i w:val="0"/>
                <w:sz w:val="17"/>
              </w:rPr>
              <w:t>Clearance Workflow</w:t>
            </w:r>
          </w:p>
        </w:tc>
        <w:tc>
          <w:tcPr>
            <w:tcW w:type="dxa" w:w="4819"/>
          </w:tcPr>
          <w:p>
            <w:pPr>
              <w:spacing w:after="20" w:before="20" w:line="240" w:lineRule="auto"/>
            </w:pPr>
            <w:r/>
            <w:r>
              <w:rPr>
                <w:rFonts w:ascii="Arial" w:hAnsi="Arial" w:cs="Arial"/>
                <w:b w:val="0"/>
                <w:i w:val="0"/>
                <w:sz w:val="17"/>
              </w:rPr>
              <w:t>Auto-clearance recommendation</w:t>
            </w:r>
          </w:p>
        </w:tc>
      </w:tr>
      <w:tr>
        <w:tc>
          <w:tcPr>
            <w:tcW w:type="dxa" w:w="4819"/>
          </w:tcPr>
          <w:p>
            <w:pPr>
              <w:spacing w:after="20" w:before="20" w:line="240" w:lineRule="auto"/>
            </w:pPr>
            <w:r/>
            <w:r>
              <w:rPr>
                <w:rFonts w:ascii="Arial" w:hAnsi="Arial" w:cs="Arial"/>
                <w:b w:val="0"/>
                <w:i w:val="0"/>
                <w:sz w:val="17"/>
              </w:rPr>
              <w:t>Document Verification</w:t>
            </w:r>
          </w:p>
        </w:tc>
        <w:tc>
          <w:tcPr>
            <w:tcW w:type="dxa" w:w="4819"/>
          </w:tcPr>
          <w:p>
            <w:pPr>
              <w:spacing w:after="20" w:before="20" w:line="240" w:lineRule="auto"/>
            </w:pPr>
            <w:r/>
            <w:r>
              <w:rPr>
                <w:rFonts w:ascii="Arial" w:hAnsi="Arial" w:cs="Arial"/>
                <w:b w:val="0"/>
                <w:i w:val="0"/>
                <w:sz w:val="17"/>
              </w:rPr>
              <w:t>AI-flagged discrepancies</w:t>
            </w:r>
          </w:p>
        </w:tc>
      </w:tr>
      <w:tr>
        <w:tc>
          <w:tcPr>
            <w:tcW w:type="dxa" w:w="4819"/>
          </w:tcPr>
          <w:p>
            <w:pPr>
              <w:spacing w:after="20" w:before="20" w:line="240" w:lineRule="auto"/>
            </w:pPr>
            <w:r/>
            <w:r>
              <w:rPr>
                <w:rFonts w:ascii="Arial" w:hAnsi="Arial" w:cs="Arial"/>
                <w:b w:val="0"/>
                <w:i w:val="0"/>
                <w:sz w:val="17"/>
              </w:rPr>
              <w:t>Multi-Agency Workflow</w:t>
            </w:r>
          </w:p>
        </w:tc>
        <w:tc>
          <w:tcPr>
            <w:tcW w:type="dxa" w:w="4819"/>
          </w:tcPr>
          <w:p>
            <w:pPr>
              <w:spacing w:after="20" w:before="20" w:line="240" w:lineRule="auto"/>
            </w:pPr>
            <w:r/>
            <w:r>
              <w:rPr>
                <w:rFonts w:ascii="Arial" w:hAnsi="Arial" w:cs="Arial"/>
                <w:b w:val="0"/>
                <w:i w:val="0"/>
                <w:sz w:val="17"/>
              </w:rPr>
              <w:t>Visual stepper</w:t>
            </w:r>
          </w:p>
        </w:tc>
      </w:tr>
      <w:tr>
        <w:tc>
          <w:tcPr>
            <w:tcW w:type="dxa" w:w="4819"/>
          </w:tcPr>
          <w:p>
            <w:pPr>
              <w:spacing w:after="20" w:before="20" w:line="240" w:lineRule="auto"/>
            </w:pPr>
            <w:r/>
            <w:r>
              <w:rPr>
                <w:rFonts w:ascii="Arial" w:hAnsi="Arial" w:cs="Arial"/>
                <w:b w:val="0"/>
                <w:i w:val="0"/>
                <w:sz w:val="17"/>
              </w:rPr>
              <w:t>Anonymous Trade Management</w:t>
            </w:r>
          </w:p>
        </w:tc>
        <w:tc>
          <w:tcPr>
            <w:tcW w:type="dxa" w:w="4819"/>
          </w:tcPr>
          <w:p>
            <w:pPr>
              <w:spacing w:after="20" w:before="20" w:line="240" w:lineRule="auto"/>
            </w:pPr>
            <w:r/>
            <w:r>
              <w:rPr>
                <w:rFonts w:ascii="Arial" w:hAnsi="Arial" w:cs="Arial"/>
                <w:b w:val="0"/>
                <w:i w:val="0"/>
                <w:sz w:val="17"/>
              </w:rPr>
              <w:t>Declassification audit log</w:t>
            </w:r>
          </w:p>
        </w:tc>
      </w:tr>
      <w:tr>
        <w:tc>
          <w:tcPr>
            <w:tcW w:type="dxa" w:w="4819"/>
          </w:tcPr>
          <w:p>
            <w:pPr>
              <w:spacing w:after="20" w:before="20" w:line="240" w:lineRule="auto"/>
            </w:pPr>
            <w:r/>
            <w:r>
              <w:rPr>
                <w:rFonts w:ascii="Arial" w:hAnsi="Arial" w:cs="Arial"/>
                <w:b w:val="0"/>
                <w:i w:val="0"/>
                <w:sz w:val="17"/>
              </w:rPr>
              <w:t>Integrations</w:t>
            </w:r>
          </w:p>
        </w:tc>
        <w:tc>
          <w:tcPr>
            <w:tcW w:type="dxa" w:w="4819"/>
          </w:tcPr>
          <w:p>
            <w:pPr>
              <w:spacing w:after="20" w:before="20" w:line="240" w:lineRule="auto"/>
            </w:pPr>
            <w:r/>
            <w:r>
              <w:rPr>
                <w:rFonts w:ascii="Arial" w:hAnsi="Arial" w:cs="Arial"/>
                <w:b w:val="0"/>
                <w:i w:val="0"/>
                <w:sz w:val="17"/>
              </w:rPr>
              <w:t>Connector management</w:t>
            </w:r>
          </w:p>
        </w:tc>
      </w:tr>
      <w:tr>
        <w:tc>
          <w:tcPr>
            <w:tcW w:type="dxa" w:w="4819"/>
          </w:tcPr>
          <w:p>
            <w:pPr>
              <w:spacing w:after="20" w:before="20" w:line="240" w:lineRule="auto"/>
            </w:pPr>
            <w:r/>
            <w:r>
              <w:rPr>
                <w:rFonts w:ascii="Arial" w:hAnsi="Arial" w:cs="Arial"/>
                <w:b w:val="0"/>
                <w:i w:val="0"/>
                <w:sz w:val="17"/>
              </w:rPr>
              <w:t>Permit Issuance</w:t>
            </w:r>
          </w:p>
        </w:tc>
        <w:tc>
          <w:tcPr>
            <w:tcW w:type="dxa" w:w="4819"/>
          </w:tcPr>
          <w:p>
            <w:pPr>
              <w:spacing w:after="20" w:before="20" w:line="240" w:lineRule="auto"/>
            </w:pPr>
            <w:r/>
            <w:r>
              <w:rPr>
                <w:rFonts w:ascii="Arial" w:hAnsi="Arial" w:cs="Arial"/>
                <w:b w:val="0"/>
                <w:i w:val="0"/>
                <w:sz w:val="17"/>
              </w:rPr>
              <w:t>Digital seal</w:t>
            </w:r>
          </w:p>
        </w:tc>
      </w:tr>
      <w:tr>
        <w:tc>
          <w:tcPr>
            <w:tcW w:type="dxa" w:w="4819"/>
          </w:tcPr>
          <w:p>
            <w:pPr>
              <w:spacing w:after="20" w:before="20" w:line="240" w:lineRule="auto"/>
            </w:pPr>
            <w:r/>
            <w:r>
              <w:rPr>
                <w:rFonts w:ascii="Arial" w:hAnsi="Arial" w:cs="Arial"/>
                <w:b w:val="0"/>
                <w:i w:val="0"/>
                <w:sz w:val="17"/>
              </w:rPr>
              <w:t>Audits &amp; Reports</w:t>
            </w:r>
          </w:p>
        </w:tc>
        <w:tc>
          <w:tcPr>
            <w:tcW w:type="dxa" w:w="4819"/>
          </w:tcPr>
          <w:p>
            <w:pPr>
              <w:spacing w:after="20" w:before="20" w:line="240" w:lineRule="auto"/>
            </w:pPr>
            <w:r/>
            <w:r>
              <w:rPr>
                <w:rFonts w:ascii="Arial" w:hAnsi="Arial" w:cs="Arial"/>
                <w:b w:val="0"/>
                <w:i w:val="0"/>
                <w:sz w:val="17"/>
              </w:rPr>
              <w:t>Loom chain verification</w:t>
            </w:r>
          </w:p>
        </w:tc>
      </w:tr>
      <w:tr>
        <w:tc>
          <w:tcPr>
            <w:tcW w:type="dxa" w:w="4819"/>
          </w:tcPr>
          <w:p>
            <w:pPr>
              <w:spacing w:after="20" w:before="20" w:line="240" w:lineRule="auto"/>
            </w:pPr>
            <w:r/>
            <w:r>
              <w:rPr>
                <w:rFonts w:ascii="Arial" w:hAnsi="Arial" w:cs="Arial"/>
                <w:b w:val="0"/>
                <w:i w:val="0"/>
                <w:sz w:val="17"/>
              </w:rPr>
              <w:t>Compliance Monitor</w:t>
            </w:r>
          </w:p>
        </w:tc>
        <w:tc>
          <w:tcPr>
            <w:tcW w:type="dxa" w:w="4819"/>
          </w:tcPr>
          <w:p>
            <w:pPr>
              <w:spacing w:after="20" w:before="20" w:line="240" w:lineRule="auto"/>
            </w:pPr>
            <w:r/>
            <w:r>
              <w:rPr>
                <w:rFonts w:ascii="Arial" w:hAnsi="Arial" w:cs="Arial"/>
                <w:b w:val="0"/>
                <w:i w:val="0"/>
                <w:sz w:val="17"/>
              </w:rPr>
              <w:t>Real-time metrics</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Dynamic module configuration</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16.8.6.11 Admin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Platform Health</w:t>
            </w:r>
          </w:p>
        </w:tc>
        <w:tc>
          <w:tcPr>
            <w:tcW w:type="dxa" w:w="4819"/>
          </w:tcPr>
          <w:p>
            <w:pPr>
              <w:spacing w:after="20" w:before="20" w:line="240" w:lineRule="auto"/>
            </w:pPr>
            <w:r/>
            <w:r>
              <w:rPr>
                <w:rFonts w:ascii="Arial" w:hAnsi="Arial" w:cs="Arial"/>
                <w:b w:val="0"/>
                <w:i w:val="0"/>
                <w:sz w:val="17"/>
              </w:rPr>
              <w:t>Real-time metrics and predictive alerts</w:t>
            </w:r>
          </w:p>
        </w:tc>
      </w:tr>
      <w:tr>
        <w:tc>
          <w:tcPr>
            <w:tcW w:type="dxa" w:w="4819"/>
          </w:tcPr>
          <w:p>
            <w:pPr>
              <w:spacing w:after="20" w:before="20" w:line="240" w:lineRule="auto"/>
            </w:pPr>
            <w:r/>
            <w:r>
              <w:rPr>
                <w:rFonts w:ascii="Arial" w:hAnsi="Arial" w:cs="Arial"/>
                <w:b w:val="0"/>
                <w:i w:val="0"/>
                <w:sz w:val="17"/>
              </w:rPr>
              <w:t>Constitutional Policies</w:t>
            </w:r>
          </w:p>
        </w:tc>
        <w:tc>
          <w:tcPr>
            <w:tcW w:type="dxa" w:w="4819"/>
          </w:tcPr>
          <w:p>
            <w:pPr>
              <w:spacing w:after="20" w:before="20" w:line="240" w:lineRule="auto"/>
            </w:pPr>
            <w:r/>
            <w:r>
              <w:rPr>
                <w:rFonts w:ascii="Arial" w:hAnsi="Arial" w:cs="Arial"/>
                <w:b w:val="0"/>
                <w:i w:val="0"/>
                <w:sz w:val="17"/>
              </w:rPr>
              <w:t>Impact simulation</w:t>
            </w:r>
          </w:p>
        </w:tc>
      </w:tr>
      <w:tr>
        <w:tc>
          <w:tcPr>
            <w:tcW w:type="dxa" w:w="4819"/>
          </w:tcPr>
          <w:p>
            <w:pPr>
              <w:spacing w:after="20" w:before="20" w:line="240" w:lineRule="auto"/>
            </w:pPr>
            <w:r/>
            <w:r>
              <w:rPr>
                <w:rFonts w:ascii="Arial" w:hAnsi="Arial" w:cs="Arial"/>
                <w:b w:val="0"/>
                <w:i w:val="0"/>
                <w:sz w:val="17"/>
              </w:rPr>
              <w:t>Governor Log &amp; Audit</w:t>
            </w:r>
          </w:p>
        </w:tc>
        <w:tc>
          <w:tcPr>
            <w:tcW w:type="dxa" w:w="4819"/>
          </w:tcPr>
          <w:p>
            <w:pPr>
              <w:spacing w:after="20" w:before="20" w:line="240" w:lineRule="auto"/>
            </w:pPr>
            <w:r/>
            <w:r>
              <w:rPr>
                <w:rFonts w:ascii="Arial" w:hAnsi="Arial" w:cs="Arial"/>
                <w:b w:val="0"/>
                <w:i w:val="0"/>
                <w:sz w:val="17"/>
              </w:rPr>
              <w:t>Natural language query</w:t>
            </w:r>
          </w:p>
        </w:tc>
      </w:tr>
      <w:tr>
        <w:tc>
          <w:tcPr>
            <w:tcW w:type="dxa" w:w="4819"/>
          </w:tcPr>
          <w:p>
            <w:pPr>
              <w:spacing w:after="20" w:before="20" w:line="240" w:lineRule="auto"/>
            </w:pPr>
            <w:r/>
            <w:r>
              <w:rPr>
                <w:rFonts w:ascii="Arial" w:hAnsi="Arial" w:cs="Arial"/>
                <w:b w:val="0"/>
                <w:i w:val="0"/>
                <w:sz w:val="17"/>
              </w:rPr>
              <w:t>Jurisdiction Matrix</w:t>
            </w:r>
          </w:p>
        </w:tc>
        <w:tc>
          <w:tcPr>
            <w:tcW w:type="dxa" w:w="4819"/>
          </w:tcPr>
          <w:p>
            <w:pPr>
              <w:spacing w:after="20" w:before="20" w:line="240" w:lineRule="auto"/>
            </w:pPr>
            <w:r/>
            <w:r>
              <w:rPr>
                <w:rFonts w:ascii="Arial" w:hAnsi="Arial" w:cs="Arial"/>
                <w:b w:val="0"/>
                <w:i w:val="0"/>
                <w:sz w:val="17"/>
              </w:rPr>
              <w:t>Conflict detection</w:t>
            </w:r>
          </w:p>
        </w:tc>
      </w:tr>
      <w:tr>
        <w:tc>
          <w:tcPr>
            <w:tcW w:type="dxa" w:w="4819"/>
          </w:tcPr>
          <w:p>
            <w:pPr>
              <w:spacing w:after="20" w:before="20" w:line="240" w:lineRule="auto"/>
            </w:pPr>
            <w:r/>
            <w:r>
              <w:rPr>
                <w:rFonts w:ascii="Arial" w:hAnsi="Arial" w:cs="Arial"/>
                <w:b w:val="0"/>
                <w:i w:val="0"/>
                <w:sz w:val="17"/>
              </w:rPr>
              <w:t>Bank Manager</w:t>
            </w:r>
          </w:p>
        </w:tc>
        <w:tc>
          <w:tcPr>
            <w:tcW w:type="dxa" w:w="4819"/>
          </w:tcPr>
          <w:p>
            <w:pPr>
              <w:spacing w:after="20" w:before="20" w:line="240" w:lineRule="auto"/>
            </w:pPr>
            <w:r/>
            <w:r>
              <w:rPr>
                <w:rFonts w:ascii="Arial" w:hAnsi="Arial" w:cs="Arial"/>
                <w:b w:val="0"/>
                <w:i w:val="0"/>
                <w:sz w:val="17"/>
              </w:rPr>
              <w:t>Fallback routes</w:t>
            </w:r>
          </w:p>
        </w:tc>
      </w:tr>
      <w:tr>
        <w:tc>
          <w:tcPr>
            <w:tcW w:type="dxa" w:w="4819"/>
          </w:tcPr>
          <w:p>
            <w:pPr>
              <w:spacing w:after="20" w:before="20" w:line="240" w:lineRule="auto"/>
            </w:pPr>
            <w:r/>
            <w:r>
              <w:rPr>
                <w:rFonts w:ascii="Arial" w:hAnsi="Arial" w:cs="Arial"/>
                <w:b w:val="0"/>
                <w:i w:val="0"/>
                <w:sz w:val="17"/>
              </w:rPr>
              <w:t>Special Rate Manager</w:t>
            </w:r>
          </w:p>
        </w:tc>
        <w:tc>
          <w:tcPr>
            <w:tcW w:type="dxa" w:w="4819"/>
          </w:tcPr>
          <w:p>
            <w:pPr>
              <w:spacing w:after="20" w:before="20" w:line="240" w:lineRule="auto"/>
            </w:pPr>
            <w:r/>
            <w:r>
              <w:rPr>
                <w:rFonts w:ascii="Arial" w:hAnsi="Arial" w:cs="Arial"/>
                <w:b w:val="0"/>
                <w:i w:val="0"/>
                <w:sz w:val="17"/>
              </w:rPr>
              <w:t>Multisig approval</w:t>
            </w:r>
          </w:p>
        </w:tc>
      </w:tr>
      <w:tr>
        <w:tc>
          <w:tcPr>
            <w:tcW w:type="dxa" w:w="4819"/>
          </w:tcPr>
          <w:p>
            <w:pPr>
              <w:spacing w:after="20" w:before="20" w:line="240" w:lineRule="auto"/>
            </w:pPr>
            <w:r/>
            <w:r>
              <w:rPr>
                <w:rFonts w:ascii="Arial" w:hAnsi="Arial" w:cs="Arial"/>
                <w:b w:val="0"/>
                <w:i w:val="0"/>
                <w:sz w:val="17"/>
              </w:rPr>
              <w:t>Incidents</w:t>
            </w:r>
          </w:p>
        </w:tc>
        <w:tc>
          <w:tcPr>
            <w:tcW w:type="dxa" w:w="4819"/>
          </w:tcPr>
          <w:p>
            <w:pPr>
              <w:spacing w:after="20" w:before="20" w:line="240" w:lineRule="auto"/>
            </w:pPr>
            <w:r/>
            <w:r>
              <w:rPr>
                <w:rFonts w:ascii="Arial" w:hAnsi="Arial" w:cs="Arial"/>
                <w:b w:val="0"/>
                <w:i w:val="0"/>
                <w:sz w:val="17"/>
              </w:rPr>
              <w:t>Automated post-mortem</w:t>
            </w:r>
          </w:p>
        </w:tc>
      </w:tr>
      <w:tr>
        <w:tc>
          <w:tcPr>
            <w:tcW w:type="dxa" w:w="4819"/>
          </w:tcPr>
          <w:p>
            <w:pPr>
              <w:spacing w:after="20" w:before="20" w:line="240" w:lineRule="auto"/>
            </w:pPr>
            <w:r/>
            <w:r>
              <w:rPr>
                <w:rFonts w:ascii="Arial" w:hAnsi="Arial" w:cs="Arial"/>
                <w:b w:val="0"/>
                <w:i w:val="0"/>
                <w:sz w:val="17"/>
              </w:rPr>
              <w:t>Marketplace Partners</w:t>
            </w:r>
          </w:p>
        </w:tc>
        <w:tc>
          <w:tcPr>
            <w:tcW w:type="dxa" w:w="4819"/>
          </w:tcPr>
          <w:p>
            <w:pPr>
              <w:spacing w:after="20" w:before="20" w:line="240" w:lineRule="auto"/>
            </w:pPr>
            <w:r/>
            <w:r>
              <w:rPr>
                <w:rFonts w:ascii="Arial" w:hAnsi="Arial" w:cs="Arial"/>
                <w:b w:val="0"/>
                <w:i w:val="0"/>
                <w:sz w:val="17"/>
              </w:rPr>
              <w:t>Revenue share agreements</w:t>
            </w:r>
          </w:p>
        </w:tc>
      </w:tr>
      <w:tr>
        <w:tc>
          <w:tcPr>
            <w:tcW w:type="dxa" w:w="4819"/>
          </w:tcPr>
          <w:p>
            <w:pPr>
              <w:spacing w:after="20" w:before="20" w:line="240" w:lineRule="auto"/>
            </w:pPr>
            <w:r/>
            <w:r>
              <w:rPr>
                <w:rFonts w:ascii="Arial" w:hAnsi="Arial" w:cs="Arial"/>
                <w:b w:val="0"/>
                <w:i w:val="0"/>
                <w:sz w:val="17"/>
              </w:rPr>
              <w:t>Tenant Management</w:t>
            </w:r>
          </w:p>
        </w:tc>
        <w:tc>
          <w:tcPr>
            <w:tcW w:type="dxa" w:w="4819"/>
          </w:tcPr>
          <w:p>
            <w:pPr>
              <w:spacing w:after="20" w:before="20" w:line="240" w:lineRule="auto"/>
            </w:pPr>
            <w:r/>
            <w:r>
              <w:rPr>
                <w:rFonts w:ascii="Arial" w:hAnsi="Arial" w:cs="Arial"/>
                <w:b w:val="0"/>
                <w:i w:val="0"/>
                <w:sz w:val="17"/>
              </w:rPr>
              <w:t>Impersonation (readonly)</w:t>
            </w:r>
          </w:p>
        </w:tc>
      </w:tr>
      <w:tr>
        <w:tc>
          <w:tcPr>
            <w:tcW w:type="dxa" w:w="4819"/>
          </w:tcPr>
          <w:p>
            <w:pPr>
              <w:spacing w:after="20" w:before="20" w:line="240" w:lineRule="auto"/>
            </w:pPr>
            <w:r/>
            <w:r>
              <w:rPr>
                <w:rFonts w:ascii="Arial" w:hAnsi="Arial" w:cs="Arial"/>
                <w:b w:val="0"/>
                <w:i w:val="0"/>
                <w:sz w:val="17"/>
              </w:rPr>
              <w:t>Customer Care Hub</w:t>
            </w:r>
          </w:p>
        </w:tc>
        <w:tc>
          <w:tcPr>
            <w:tcW w:type="dxa" w:w="4819"/>
          </w:tcPr>
          <w:p>
            <w:pPr>
              <w:spacing w:after="20" w:before="20" w:line="240" w:lineRule="auto"/>
            </w:pPr>
            <w:r/>
            <w:r>
              <w:rPr>
                <w:rFonts w:ascii="Arial" w:hAnsi="Arial" w:cs="Arial"/>
                <w:b w:val="0"/>
                <w:i w:val="0"/>
                <w:sz w:val="17"/>
              </w:rPr>
              <w:t>Chatbot dashboard</w:t>
            </w:r>
          </w:p>
        </w:tc>
      </w:tr>
      <w:tr>
        <w:tc>
          <w:tcPr>
            <w:tcW w:type="dxa" w:w="4819"/>
          </w:tcPr>
          <w:p>
            <w:pPr>
              <w:spacing w:after="20" w:before="20" w:line="240" w:lineRule="auto"/>
            </w:pPr>
            <w:r/>
            <w:r>
              <w:rPr>
                <w:rFonts w:ascii="Arial" w:hAnsi="Arial" w:cs="Arial"/>
                <w:b w:val="0"/>
                <w:i w:val="0"/>
                <w:sz w:val="17"/>
              </w:rPr>
              <w:t>Configuration History</w:t>
            </w:r>
          </w:p>
        </w:tc>
        <w:tc>
          <w:tcPr>
            <w:tcW w:type="dxa" w:w="4819"/>
          </w:tcPr>
          <w:p>
            <w:pPr>
              <w:spacing w:after="20" w:before="20" w:line="240" w:lineRule="auto"/>
            </w:pPr>
            <w:r/>
            <w:r>
              <w:rPr>
                <w:rFonts w:ascii="Arial" w:hAnsi="Arial" w:cs="Arial"/>
                <w:b w:val="0"/>
                <w:i w:val="0"/>
                <w:sz w:val="17"/>
              </w:rPr>
              <w:t>Diff and rollback</w:t>
            </w:r>
          </w:p>
        </w:tc>
      </w:tr>
      <w:tr>
        <w:tc>
          <w:tcPr>
            <w:tcW w:type="dxa" w:w="4819"/>
          </w:tcPr>
          <w:p>
            <w:pPr>
              <w:spacing w:after="20" w:before="20" w:line="240" w:lineRule="auto"/>
            </w:pPr>
            <w:r/>
            <w:r>
              <w:rPr>
                <w:rFonts w:ascii="Arial" w:hAnsi="Arial" w:cs="Arial"/>
                <w:b w:val="0"/>
                <w:i w:val="0"/>
                <w:sz w:val="17"/>
              </w:rPr>
              <w:t>Internal Admin</w:t>
            </w:r>
          </w:p>
        </w:tc>
        <w:tc>
          <w:tcPr>
            <w:tcW w:type="dxa" w:w="4819"/>
          </w:tcPr>
          <w:p>
            <w:pPr>
              <w:spacing w:after="20" w:before="20" w:line="240" w:lineRule="auto"/>
            </w:pPr>
            <w:r/>
            <w:r>
              <w:rPr>
                <w:rFonts w:ascii="Arial" w:hAnsi="Arial" w:cs="Arial"/>
                <w:b w:val="0"/>
                <w:i w:val="0"/>
                <w:sz w:val="17"/>
              </w:rPr>
              <w:t>Multisig member management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16.8.6.12 Marketplace Partner Portal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Dashboard</w:t>
            </w:r>
          </w:p>
        </w:tc>
        <w:tc>
          <w:tcPr>
            <w:tcW w:type="dxa" w:w="4819"/>
          </w:tcPr>
          <w:p>
            <w:pPr>
              <w:spacing w:after="20" w:before="20" w:line="240" w:lineRule="auto"/>
            </w:pPr>
            <w:r/>
            <w:r>
              <w:rPr>
                <w:rFonts w:ascii="Arial" w:hAnsi="Arial" w:cs="Arial"/>
                <w:b w:val="0"/>
                <w:i w:val="0"/>
                <w:sz w:val="17"/>
              </w:rPr>
              <w:t>Real-time metrics</w:t>
            </w:r>
          </w:p>
        </w:tc>
      </w:tr>
      <w:tr>
        <w:tc>
          <w:tcPr>
            <w:tcW w:type="dxa" w:w="4819"/>
          </w:tcPr>
          <w:p>
            <w:pPr>
              <w:spacing w:after="20" w:before="20" w:line="240" w:lineRule="auto"/>
            </w:pPr>
            <w:r/>
            <w:r>
              <w:rPr>
                <w:rFonts w:ascii="Arial" w:hAnsi="Arial" w:cs="Arial"/>
                <w:b w:val="0"/>
                <w:i w:val="0"/>
                <w:sz w:val="17"/>
              </w:rPr>
              <w:t>Leads Management</w:t>
            </w:r>
          </w:p>
        </w:tc>
        <w:tc>
          <w:tcPr>
            <w:tcW w:type="dxa" w:w="4819"/>
          </w:tcPr>
          <w:p>
            <w:pPr>
              <w:spacing w:after="20" w:before="20" w:line="240" w:lineRule="auto"/>
            </w:pPr>
            <w:r/>
            <w:r>
              <w:rPr>
                <w:rFonts w:ascii="Arial" w:hAnsi="Arial" w:cs="Arial"/>
                <w:b w:val="0"/>
                <w:i w:val="0"/>
                <w:sz w:val="17"/>
              </w:rPr>
              <w:t>Intent inbox</w:t>
            </w:r>
          </w:p>
        </w:tc>
      </w:tr>
      <w:tr>
        <w:tc>
          <w:tcPr>
            <w:tcW w:type="dxa" w:w="4819"/>
          </w:tcPr>
          <w:p>
            <w:pPr>
              <w:spacing w:after="20" w:before="20" w:line="240" w:lineRule="auto"/>
            </w:pPr>
            <w:r/>
            <w:r>
              <w:rPr>
                <w:rFonts w:ascii="Arial" w:hAnsi="Arial" w:cs="Arial"/>
                <w:b w:val="0"/>
                <w:i w:val="0"/>
                <w:sz w:val="17"/>
              </w:rPr>
              <w:t>Webhook Management</w:t>
            </w:r>
          </w:p>
        </w:tc>
        <w:tc>
          <w:tcPr>
            <w:tcW w:type="dxa" w:w="4819"/>
          </w:tcPr>
          <w:p>
            <w:pPr>
              <w:spacing w:after="20" w:before="20" w:line="240" w:lineRule="auto"/>
            </w:pPr>
            <w:r/>
            <w:r>
              <w:rPr>
                <w:rFonts w:ascii="Arial" w:hAnsi="Arial" w:cs="Arial"/>
                <w:b w:val="0"/>
                <w:i w:val="0"/>
                <w:sz w:val="17"/>
              </w:rPr>
              <w:t>Delivery logs</w:t>
            </w:r>
          </w:p>
        </w:tc>
      </w:tr>
      <w:tr>
        <w:tc>
          <w:tcPr>
            <w:tcW w:type="dxa" w:w="4819"/>
          </w:tcPr>
          <w:p>
            <w:pPr>
              <w:spacing w:after="20" w:before="20" w:line="240" w:lineRule="auto"/>
            </w:pPr>
            <w:r/>
            <w:r>
              <w:rPr>
                <w:rFonts w:ascii="Arial" w:hAnsi="Arial" w:cs="Arial"/>
                <w:b w:val="0"/>
                <w:i w:val="0"/>
                <w:sz w:val="17"/>
              </w:rPr>
              <w:t>Revenue Attribution Disputes</w:t>
            </w:r>
          </w:p>
        </w:tc>
        <w:tc>
          <w:tcPr>
            <w:tcW w:type="dxa" w:w="4819"/>
          </w:tcPr>
          <w:p>
            <w:pPr>
              <w:spacing w:after="20" w:before="20" w:line="240" w:lineRule="auto"/>
            </w:pPr>
            <w:r/>
            <w:r>
              <w:rPr>
                <w:rFonts w:ascii="Arial" w:hAnsi="Arial" w:cs="Arial"/>
                <w:b w:val="0"/>
                <w:i w:val="0"/>
                <w:sz w:val="17"/>
              </w:rPr>
              <w:t>Evidence submission and tracking</w:t>
            </w:r>
          </w:p>
        </w:tc>
      </w:tr>
      <w:tr>
        <w:tc>
          <w:tcPr>
            <w:tcW w:type="dxa" w:w="4819"/>
          </w:tcPr>
          <w:p>
            <w:pPr>
              <w:spacing w:after="20" w:before="20" w:line="240" w:lineRule="auto"/>
            </w:pPr>
            <w:r/>
            <w:r>
              <w:rPr>
                <w:rFonts w:ascii="Arial" w:hAnsi="Arial" w:cs="Arial"/>
                <w:b w:val="0"/>
                <w:i w:val="0"/>
                <w:sz w:val="17"/>
              </w:rPr>
              <w:t>API Key Management</w:t>
            </w:r>
          </w:p>
        </w:tc>
        <w:tc>
          <w:tcPr>
            <w:tcW w:type="dxa" w:w="4819"/>
          </w:tcPr>
          <w:p>
            <w:pPr>
              <w:spacing w:after="20" w:before="20" w:line="240" w:lineRule="auto"/>
            </w:pPr>
            <w:r/>
            <w:r>
              <w:rPr>
                <w:rFonts w:ascii="Arial" w:hAnsi="Arial" w:cs="Arial"/>
                <w:b w:val="0"/>
                <w:i w:val="0"/>
                <w:sz w:val="17"/>
              </w:rPr>
              <w:t>Usage analytics</w:t>
            </w:r>
          </w:p>
        </w:tc>
      </w:tr>
      <w:tr>
        <w:tc>
          <w:tcPr>
            <w:tcW w:type="dxa" w:w="4819"/>
          </w:tcPr>
          <w:p>
            <w:pPr>
              <w:spacing w:after="20" w:before="20" w:line="240" w:lineRule="auto"/>
            </w:pPr>
            <w:r/>
            <w:r>
              <w:rPr>
                <w:rFonts w:ascii="Arial" w:hAnsi="Arial" w:cs="Arial"/>
                <w:b w:val="0"/>
                <w:i w:val="0"/>
                <w:sz w:val="17"/>
              </w:rPr>
              <w:t>Sandbox</w:t>
            </w:r>
          </w:p>
        </w:tc>
        <w:tc>
          <w:tcPr>
            <w:tcW w:type="dxa" w:w="4819"/>
          </w:tcPr>
          <w:p>
            <w:pPr>
              <w:spacing w:after="20" w:before="20" w:line="240" w:lineRule="auto"/>
            </w:pPr>
            <w:r/>
            <w:r>
              <w:rPr>
                <w:rFonts w:ascii="Arial" w:hAnsi="Arial" w:cs="Arial"/>
                <w:b w:val="0"/>
                <w:i w:val="0"/>
                <w:sz w:val="17"/>
              </w:rPr>
              <w:t>Synthetic data</w:t>
            </w:r>
          </w:p>
        </w:tc>
      </w:tr>
      <w:tr>
        <w:tc>
          <w:tcPr>
            <w:tcW w:type="dxa" w:w="4819"/>
          </w:tcPr>
          <w:p>
            <w:pPr>
              <w:spacing w:after="20" w:before="20" w:line="240" w:lineRule="auto"/>
            </w:pPr>
            <w:r/>
            <w:r>
              <w:rPr>
                <w:rFonts w:ascii="Arial" w:hAnsi="Arial" w:cs="Arial"/>
                <w:b w:val="0"/>
                <w:i w:val="0"/>
                <w:sz w:val="17"/>
              </w:rPr>
              <w:t>Agreement</w:t>
            </w:r>
          </w:p>
        </w:tc>
        <w:tc>
          <w:tcPr>
            <w:tcW w:type="dxa" w:w="4819"/>
          </w:tcPr>
          <w:p>
            <w:pPr>
              <w:spacing w:after="20" w:before="20" w:line="240" w:lineRule="auto"/>
            </w:pPr>
            <w:r/>
            <w:r>
              <w:rPr>
                <w:rFonts w:ascii="Arial" w:hAnsi="Arial" w:cs="Arial"/>
                <w:b w:val="0"/>
                <w:i w:val="0"/>
                <w:sz w:val="17"/>
              </w:rPr>
              <w:t>Revenue share proposals</w:t>
            </w:r>
          </w:p>
        </w:tc>
      </w:tr>
      <w:tr>
        <w:tc>
          <w:tcPr>
            <w:tcW w:type="dxa" w:w="4819"/>
          </w:tcPr>
          <w:p>
            <w:pPr>
              <w:spacing w:after="20" w:before="20" w:line="240" w:lineRule="auto"/>
            </w:pPr>
            <w:r/>
            <w:r>
              <w:rPr>
                <w:rFonts w:ascii="Arial" w:hAnsi="Arial" w:cs="Arial"/>
                <w:b w:val="0"/>
                <w:i w:val="0"/>
                <w:sz w:val="17"/>
              </w:rPr>
              <w:t>Company Admin</w:t>
            </w:r>
          </w:p>
        </w:tc>
        <w:tc>
          <w:tcPr>
            <w:tcW w:type="dxa" w:w="4819"/>
          </w:tcPr>
          <w:p>
            <w:pPr>
              <w:spacing w:after="20" w:before="20" w:line="240" w:lineRule="auto"/>
            </w:pPr>
            <w:r/>
            <w:r>
              <w:rPr>
                <w:rFonts w:ascii="Arial" w:hAnsi="Arial" w:cs="Arial"/>
                <w:b w:val="0"/>
                <w:i w:val="0"/>
                <w:sz w:val="17"/>
              </w:rPr>
              <w:t>IP whitelisting</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16.8.7 Laboratory (LAB) Portal</w:t>
      </w:r>
    </w:p>
    <w:p>
      <w:pPr>
        <w:keepNext/>
        <w:spacing w:before="140" w:after="60"/>
        <w:outlineLvl w:val="3"/>
      </w:pPr>
      <w:r>
        <w:rPr>
          <w:rFonts w:ascii="Arial" w:hAnsi="Arial" w:cs="Arial"/>
          <w:b/>
          <w:i/>
          <w:color w:val="333333"/>
          <w:sz w:val="22"/>
        </w:rPr>
        <w:t>16.8.7.1 Access &amp; Purpose</w:t>
      </w:r>
    </w:p>
    <w:p>
      <w:pPr>
        <w:spacing w:after="80" w:line="293" w:lineRule="auto"/>
        <w:jc w:val="left"/>
      </w:pPr>
      <w:r>
        <w:rPr>
          <w:rFonts w:ascii="Times New Roman" w:hAnsi="Times New Roman" w:cs="Times New Roman"/>
          <w:b w:val="0"/>
          <w:i w:val="0"/>
          <w:sz w:val="22"/>
        </w:rPr>
        <w:t>Access: tenants with type = LAB (ISO 17025 accredited testing laboratories). Employees must have completed KYB Tier 2 verification (ISO 17025 certificate, list of accredited tests/analytes, fee schedule, sample shipment instructions). Dual-mode toggle: not applicable (laboratories do not trade as buyers/sellers).</w:t>
      </w:r>
    </w:p>
    <w:p>
      <w:pPr>
        <w:spacing w:after="80" w:line="293" w:lineRule="auto"/>
        <w:jc w:val="left"/>
      </w:pPr>
      <w:r>
        <w:rPr>
          <w:rFonts w:ascii="Times New Roman" w:hAnsi="Times New Roman" w:cs="Times New Roman"/>
          <w:b w:val="0"/>
          <w:i w:val="0"/>
          <w:sz w:val="22"/>
        </w:rPr>
        <w:t>Landing page (configurable): default is the Universal Command Center (16.13) — showing pending testing jobs, result submission deadlines, payment confirmations, and dispute alerts. Users can set a preference to land directly on Testing Jobs.</w:t>
      </w:r>
    </w:p>
    <w:p>
      <w:pPr>
        <w:spacing w:after="80" w:line="293" w:lineRule="auto"/>
        <w:jc w:val="left"/>
      </w:pPr>
      <w:r>
        <w:rPr>
          <w:rFonts w:ascii="Times New Roman" w:hAnsi="Times New Roman" w:cs="Times New Roman"/>
          <w:b w:val="0"/>
          <w:i w:val="0"/>
          <w:sz w:val="22"/>
        </w:rPr>
        <w:t>Portal philosophy: laboratories only see testing jobs for which they have been invited by a seller (or buyer) via Mode B — RFQ to LSPs (Section 8) or directly from the seller's Laboratory Selection tab (16.10, Tab 7). No discovery of other traders; all relationships originate from trader invitations (only from saved contacts). Test results are automatically validated against MRLs (Maximum Residue Limits) from the RIA (Section 20). Compliant results trigger automatic certificate issuance via Nafeza.</w:t>
      </w:r>
    </w:p>
    <w:p>
      <w:pPr>
        <w:keepNext/>
        <w:spacing w:before="140" w:after="60"/>
        <w:outlineLvl w:val="3"/>
      </w:pPr>
      <w:r>
        <w:rPr>
          <w:rFonts w:ascii="Arial" w:hAnsi="Arial" w:cs="Arial"/>
          <w:b/>
          <w:i/>
          <w:color w:val="333333"/>
          <w:sz w:val="22"/>
        </w:rPr>
        <w:t>16.8.7.2 Full Tab Specification (Workflow Order)</w:t>
      </w:r>
    </w:p>
    <w:p>
      <w:pPr>
        <w:spacing w:after="80" w:line="293" w:lineRule="auto"/>
        <w:jc w:val="left"/>
      </w:pPr>
      <w:r>
        <w:rPr>
          <w:rFonts w:ascii="Times New Roman" w:hAnsi="Times New Roman" w:cs="Times New Roman"/>
          <w:b w:val="0"/>
          <w:i w:val="0"/>
          <w:sz w:val="22"/>
        </w:rPr>
        <w:t>Tab 1: Universal Command Center (Home). Primary landing page (full specification in 16.13). Shows executive summary cards: Pending Testing Jobs (count), Results Due (deadlines), Payment Confirmations Received, Disputes (where the lab is a party). LAB-specific quick actions: "Submit Results", "View Pending Jobs", "Update Service Catalogue". AI: A1 (Groq) for assistant chat and activity summarisation.</w:t>
      </w:r>
    </w:p>
    <w:p>
      <w:pPr>
        <w:spacing w:after="80" w:line="293" w:lineRule="auto"/>
        <w:jc w:val="left"/>
      </w:pPr>
      <w:r>
        <w:rPr>
          <w:rFonts w:ascii="Times New Roman" w:hAnsi="Times New Roman" w:cs="Times New Roman"/>
          <w:b w:val="0"/>
          <w:i w:val="0"/>
          <w:sz w:val="22"/>
        </w:rPr>
        <w:t>Tab 2: Testing Jobs. Receive and manage testing job requests from sellers (or buyers). View required tests, sample tracking, and submission deadlines. One-click guarantee: Confirm Receipt (1), Submit Results (1). Integration: testing jobs originate from the seller's Laboratory Selection (16.10, Tab 7), which uses Mode B — RFQ to LSPs or direct quote request. After results are submitted, the system triggers the certificate workflow.</w:t>
      </w:r>
    </w:p>
    <w:p>
      <w:pPr>
        <w:spacing w:after="80" w:line="293" w:lineRule="auto"/>
        <w:jc w:val="left"/>
      </w:pPr>
      <w:r>
        <w:rPr>
          <w:rFonts w:ascii="Times New Roman" w:hAnsi="Times New Roman" w:cs="Times New Roman"/>
          <w:b w:val="0"/>
          <w:i w:val="0"/>
          <w:sz w:val="22"/>
        </w:rPr>
        <w:t>Tab 3: Result Submission (Detailed). Structured form for entering test results per analyte. The system validates against MRLs in real time. One-click guarantee: Submit Results (1) after all values are entered. Governance: if any analyte exceeds the MRL and the lab does not override, the submission is blocked with a Decision Panel: "Results non-compliant. Please retest or provide override reason." Compliant results automatically trigger certificate issuance.</w:t>
      </w:r>
    </w:p>
    <w:p>
      <w:pPr>
        <w:spacing w:after="80" w:line="293" w:lineRule="auto"/>
        <w:jc w:val="left"/>
      </w:pPr>
      <w:r>
        <w:rPr>
          <w:rFonts w:ascii="Times New Roman" w:hAnsi="Times New Roman" w:cs="Times New Roman"/>
          <w:b w:val="0"/>
          <w:i w:val="0"/>
          <w:sz w:val="22"/>
        </w:rPr>
        <w:t>Tab 4: Certificates (Auto-Triggered). After compliant results are submitted, the platform automatically requests certificates from Nafeza. The lab can view issued certificates. One-click guarantee: download certificate (1).</w:t>
      </w:r>
    </w:p>
    <w:p>
      <w:pPr>
        <w:spacing w:after="80" w:line="293" w:lineRule="auto"/>
        <w:jc w:val="left"/>
      </w:pPr>
      <w:r>
        <w:rPr>
          <w:rFonts w:ascii="Times New Roman" w:hAnsi="Times New Roman" w:cs="Times New Roman"/>
          <w:b w:val="0"/>
          <w:i w:val="0"/>
          <w:sz w:val="22"/>
        </w:rPr>
        <w:t>Tab 5: Performance. View turnaround time, dispute rate, and anonymised accuracy benchmarks, aligned with the provider performance model (Section 11).</w:t>
      </w:r>
    </w:p>
    <w:p>
      <w:pPr>
        <w:spacing w:after="80" w:line="293" w:lineRule="auto"/>
        <w:jc w:val="left"/>
      </w:pPr>
      <w:r>
        <w:rPr>
          <w:rFonts w:ascii="Times New Roman" w:hAnsi="Times New Roman" w:cs="Times New Roman"/>
          <w:b w:val="0"/>
          <w:i w:val="0"/>
          <w:sz w:val="22"/>
        </w:rPr>
        <w:t>Tab 6: Invoices &amp; Payments. View invoices issued to sellers for testing services; track payment status (via Stage 1 settlement legs). One-click guarantee: download invoice (1).</w:t>
      </w:r>
    </w:p>
    <w:p>
      <w:pPr>
        <w:spacing w:after="80" w:line="293" w:lineRule="auto"/>
        <w:jc w:val="left"/>
      </w:pPr>
      <w:r>
        <w:rPr>
          <w:rFonts w:ascii="Times New Roman" w:hAnsi="Times New Roman" w:cs="Times New Roman"/>
          <w:b w:val="0"/>
          <w:i w:val="0"/>
          <w:sz w:val="22"/>
        </w:rPr>
        <w:t>Tab 7: Company Admin. Manage employees, serviceable commodities, accreditations, fee schedules, and sample instructions.</w:t>
      </w:r>
    </w:p>
    <w:p>
      <w:pPr>
        <w:keepNext/>
        <w:spacing w:before="140" w:after="60"/>
        <w:outlineLvl w:val="3"/>
      </w:pPr>
      <w:r>
        <w:rPr>
          <w:rFonts w:ascii="Arial" w:hAnsi="Arial" w:cs="Arial"/>
          <w:b/>
          <w:i/>
          <w:color w:val="333333"/>
          <w:sz w:val="22"/>
        </w:rPr>
        <w:t>16.8.7.3 Smart Inbox Integration (LAB)</w:t>
      </w:r>
    </w:p>
    <w:p>
      <w:pPr>
        <w:spacing w:after="80" w:line="293" w:lineRule="auto"/>
        <w:jc w:val="left"/>
      </w:pPr>
      <w:r>
        <w:rPr>
          <w:rFonts w:ascii="Times New Roman" w:hAnsi="Times New Roman" w:cs="Times New Roman"/>
          <w:b w:val="0"/>
          <w:i w:val="0"/>
          <w:sz w:val="22"/>
        </w:rPr>
        <w:t>The LAB Smart Inbox surfaces: new testing jobs (accept/decline), result submission deadlines, certificate issuance confirmations, payment confirmations, and dispute alerts where the lab is a party. All items use the standard four-part structure and priority bands (16.2).</w:t>
      </w:r>
    </w:p>
    <w:p>
      <w:pPr>
        <w:keepNext/>
        <w:spacing w:before="140" w:after="60"/>
        <w:outlineLvl w:val="3"/>
      </w:pPr>
      <w:r>
        <w:rPr>
          <w:rFonts w:ascii="Arial" w:hAnsi="Arial" w:cs="Arial"/>
          <w:b/>
          <w:i/>
          <w:color w:val="333333"/>
          <w:sz w:val="22"/>
        </w:rPr>
        <w:t>16.8.7.4 One-Click Count Summary (LAB)</w:t>
      </w:r>
    </w:p>
    <w:p>
      <w:pPr>
        <w:spacing w:after="80" w:line="293" w:lineRule="auto"/>
        <w:jc w:val="left"/>
      </w:pPr>
      <w:r>
        <w:rPr>
          <w:rFonts w:ascii="Times New Roman" w:hAnsi="Times New Roman" w:cs="Times New Roman"/>
          <w:b w:val="0"/>
          <w:i w:val="0"/>
          <w:sz w:val="22"/>
        </w:rPr>
        <w:t>Confirm receipt (1), submit results (1), download certificate (1), download invoice (1). The certificate request itself is automatic (zero clicks).</w:t>
      </w:r>
    </w:p>
    <w:p>
      <w:pPr>
        <w:keepNext/>
        <w:spacing w:before="140" w:after="60"/>
        <w:outlineLvl w:val="3"/>
      </w:pPr>
      <w:r>
        <w:rPr>
          <w:rFonts w:ascii="Arial" w:hAnsi="Arial" w:cs="Arial"/>
          <w:b/>
          <w:i/>
          <w:color w:val="333333"/>
          <w:sz w:val="22"/>
        </w:rPr>
        <w:t>16.8.7.5 Implementation Checklist (LAB Portal)</w:t>
      </w:r>
    </w:p>
    <w:p>
      <w:pPr>
        <w:spacing w:after="80" w:line="293" w:lineRule="auto"/>
        <w:ind w:left="283"/>
        <w:jc w:val="left"/>
      </w:pPr>
      <w:r>
        <w:rPr>
          <w:rFonts w:ascii="Times New Roman" w:hAnsi="Times New Roman" w:cs="Times New Roman"/>
          <w:b w:val="0"/>
          <w:i w:val="0"/>
          <w:sz w:val="22"/>
        </w:rPr>
        <w:t>- Universal Command Center: LAB-specific cards (pending jobs, due results, payments).</w:t>
      </w:r>
    </w:p>
    <w:p>
      <w:pPr>
        <w:spacing w:after="80" w:line="293" w:lineRule="auto"/>
        <w:ind w:left="283"/>
        <w:jc w:val="left"/>
      </w:pPr>
      <w:r>
        <w:rPr>
          <w:rFonts w:ascii="Times New Roman" w:hAnsi="Times New Roman" w:cs="Times New Roman"/>
          <w:b w:val="0"/>
          <w:i w:val="0"/>
          <w:sz w:val="22"/>
        </w:rPr>
        <w:t>- Testing Jobs: list with USTN, seller, required test panel, sample tracking, status, due date;</w:t>
      </w:r>
    </w:p>
    <w:p>
      <w:pPr>
        <w:spacing w:after="80" w:line="293" w:lineRule="auto"/>
        <w:jc w:val="left"/>
      </w:pPr>
      <w:r>
        <w:rPr>
          <w:rFonts w:ascii="Times New Roman" w:hAnsi="Times New Roman" w:cs="Times New Roman"/>
          <w:b w:val="0"/>
          <w:i w:val="0"/>
          <w:sz w:val="22"/>
        </w:rPr>
        <w:t>quote acceptance (if not already quoted); sample receipt confirmation; testing start (optional).</w:t>
      </w:r>
    </w:p>
    <w:p>
      <w:pPr>
        <w:spacing w:after="80" w:line="293" w:lineRule="auto"/>
        <w:ind w:left="283"/>
        <w:jc w:val="left"/>
      </w:pPr>
      <w:r>
        <w:rPr>
          <w:rFonts w:ascii="Times New Roman" w:hAnsi="Times New Roman" w:cs="Times New Roman"/>
          <w:b w:val="0"/>
          <w:i w:val="0"/>
          <w:sz w:val="22"/>
        </w:rPr>
        <w:t>- Result Submission: dynamic table of required analytes (from RIA); real-time MRL validation (A2);</w:t>
      </w:r>
    </w:p>
    <w:p>
      <w:pPr>
        <w:spacing w:after="80" w:line="293" w:lineRule="auto"/>
        <w:jc w:val="left"/>
      </w:pPr>
      <w:r>
        <w:rPr>
          <w:rFonts w:ascii="Times New Roman" w:hAnsi="Times New Roman" w:cs="Times New Roman"/>
          <w:b w:val="0"/>
          <w:i w:val="0"/>
          <w:sz w:val="22"/>
        </w:rPr>
        <w:t>override with mandatory reason; compliance conclusion auto-generation; one-click submit, Loom-hashed storage.</w:t>
      </w:r>
    </w:p>
    <w:p>
      <w:pPr>
        <w:spacing w:after="80" w:line="293" w:lineRule="auto"/>
        <w:ind w:left="283"/>
        <w:jc w:val="left"/>
      </w:pPr>
      <w:r>
        <w:rPr>
          <w:rFonts w:ascii="Times New Roman" w:hAnsi="Times New Roman" w:cs="Times New Roman"/>
          <w:b w:val="0"/>
          <w:i w:val="0"/>
          <w:sz w:val="22"/>
        </w:rPr>
        <w:t>- Certificates: display of requested certificates with status; auto-trigger Nafeza certificate</w:t>
      </w:r>
    </w:p>
    <w:p>
      <w:pPr>
        <w:spacing w:after="80" w:line="293" w:lineRule="auto"/>
        <w:jc w:val="left"/>
      </w:pPr>
      <w:r>
        <w:rPr>
          <w:rFonts w:ascii="Times New Roman" w:hAnsi="Times New Roman" w:cs="Times New Roman"/>
          <w:b w:val="0"/>
          <w:i w:val="0"/>
          <w:sz w:val="22"/>
        </w:rPr>
        <w:t>request after compliant results; download PDF certificates; failure handling and re-request.</w:t>
      </w:r>
    </w:p>
    <w:p>
      <w:pPr>
        <w:spacing w:after="80" w:line="293" w:lineRule="auto"/>
        <w:ind w:left="283"/>
        <w:jc w:val="left"/>
      </w:pPr>
      <w:r>
        <w:rPr>
          <w:rFonts w:ascii="Times New Roman" w:hAnsi="Times New Roman" w:cs="Times New Roman"/>
          <w:b w:val="0"/>
          <w:i w:val="0"/>
          <w:sz w:val="22"/>
        </w:rPr>
        <w:t>- Performance: turnaround time, dispute rate, anonymous benchmark, Groq summary.</w:t>
      </w:r>
    </w:p>
    <w:p>
      <w:pPr>
        <w:spacing w:after="80" w:line="293" w:lineRule="auto"/>
        <w:ind w:left="283"/>
        <w:jc w:val="left"/>
      </w:pPr>
      <w:r>
        <w:rPr>
          <w:rFonts w:ascii="Times New Roman" w:hAnsi="Times New Roman" w:cs="Times New Roman"/>
          <w:b w:val="0"/>
          <w:i w:val="0"/>
          <w:sz w:val="22"/>
        </w:rPr>
        <w:t>- Invoices &amp; Payments: invoice list, payment status (bank confirmation), dispute link.</w:t>
      </w:r>
    </w:p>
    <w:p>
      <w:pPr>
        <w:spacing w:after="80" w:line="293" w:lineRule="auto"/>
        <w:ind w:left="283"/>
        <w:jc w:val="left"/>
      </w:pPr>
      <w:r>
        <w:rPr>
          <w:rFonts w:ascii="Times New Roman" w:hAnsi="Times New Roman" w:cs="Times New Roman"/>
          <w:b w:val="0"/>
          <w:i w:val="0"/>
          <w:sz w:val="22"/>
        </w:rPr>
        <w:t>- Company Admin: employee management, service catalogue (test panels, fees, analytes), sample</w:t>
      </w:r>
    </w:p>
    <w:p>
      <w:pPr>
        <w:spacing w:after="80" w:line="293" w:lineRule="auto"/>
        <w:jc w:val="left"/>
      </w:pPr>
      <w:r>
        <w:rPr>
          <w:rFonts w:ascii="Times New Roman" w:hAnsi="Times New Roman" w:cs="Times New Roman"/>
          <w:b w:val="0"/>
          <w:i w:val="0"/>
          <w:sz w:val="22"/>
        </w:rPr>
        <w:t>instructions, accreditation upload, branding.</w:t>
      </w:r>
    </w:p>
    <w:p>
      <w:pPr>
        <w:keepNext/>
        <w:spacing w:before="180" w:after="80"/>
        <w:outlineLvl w:val="2"/>
      </w:pPr>
      <w:r>
        <w:rPr>
          <w:rFonts w:ascii="Arial" w:hAnsi="Arial" w:cs="Arial"/>
          <w:b/>
          <w:i w:val="0"/>
          <w:color w:val="333333"/>
          <w:sz w:val="23"/>
        </w:rPr>
        <w:t>16.8.8 QC Inspection Portal</w:t>
      </w:r>
    </w:p>
    <w:p>
      <w:pPr>
        <w:keepNext/>
        <w:spacing w:before="140" w:after="60"/>
        <w:outlineLvl w:val="3"/>
      </w:pPr>
      <w:r>
        <w:rPr>
          <w:rFonts w:ascii="Arial" w:hAnsi="Arial" w:cs="Arial"/>
          <w:b/>
          <w:i/>
          <w:color w:val="333333"/>
          <w:sz w:val="22"/>
        </w:rPr>
        <w:t>16.8.8.1 Access &amp; Purpose</w:t>
      </w:r>
    </w:p>
    <w:p>
      <w:pPr>
        <w:spacing w:after="80" w:line="293" w:lineRule="auto"/>
        <w:jc w:val="left"/>
      </w:pPr>
      <w:r>
        <w:rPr>
          <w:rFonts w:ascii="Times New Roman" w:hAnsi="Times New Roman" w:cs="Times New Roman"/>
          <w:b w:val="0"/>
          <w:i w:val="0"/>
          <w:sz w:val="22"/>
        </w:rPr>
        <w:t>Access: tenants with type = QC (ISO 17020 accredited inspection providers). Employees must have completed KYB Tier 2 verification (ISO 17020 certificate, list of serviceable commodities, fee schedule, geographic coverage). Dual-mode toggle: not applicable (QC inspectors do not trade as buyers/sellers).</w:t>
      </w:r>
    </w:p>
    <w:p>
      <w:pPr>
        <w:spacing w:after="80" w:line="293" w:lineRule="auto"/>
        <w:jc w:val="left"/>
      </w:pPr>
      <w:r>
        <w:rPr>
          <w:rFonts w:ascii="Times New Roman" w:hAnsi="Times New Roman" w:cs="Times New Roman"/>
          <w:b w:val="0"/>
          <w:i w:val="0"/>
          <w:sz w:val="22"/>
        </w:rPr>
        <w:t>Landing page (configurable): default is the Universal Command Center — showing pending inspection jobs, due dates, dispute alerts, and payment confirmations. Users can set a preference to land directly on Inspection Jobs.</w:t>
      </w:r>
    </w:p>
    <w:p>
      <w:pPr>
        <w:spacing w:after="80" w:line="293" w:lineRule="auto"/>
        <w:jc w:val="left"/>
      </w:pPr>
      <w:r>
        <w:rPr>
          <w:rFonts w:ascii="Times New Roman" w:hAnsi="Times New Roman" w:cs="Times New Roman"/>
          <w:b w:val="0"/>
          <w:i w:val="0"/>
          <w:sz w:val="22"/>
        </w:rPr>
        <w:t>Portal philosophy: QC providers only receive inspection requests from buyers (or sellers) who have explicitly added them as contacts. No discovery or ranking; all relationships originate from trader invitations. Inspectors use a mobile app (offline capable) with AR overlay, AI defect detection (HF ViT), and mandatory override accountability. Conditional Pass allows loading to proceed with a hold pending action-plan completion. Re-inspection can be requested by either party if the initial verdict is disputed. Dispute fast-track automatically flags inspector overrides in evidence packages (Section 14).</w:t>
      </w:r>
    </w:p>
    <w:p>
      <w:pPr>
        <w:keepNext/>
        <w:spacing w:before="140" w:after="60"/>
        <w:outlineLvl w:val="3"/>
      </w:pPr>
      <w:r>
        <w:rPr>
          <w:rFonts w:ascii="Arial" w:hAnsi="Arial" w:cs="Arial"/>
          <w:b/>
          <w:i/>
          <w:color w:val="333333"/>
          <w:sz w:val="22"/>
        </w:rPr>
        <w:t>16.8.8.2 Full Tab Specification (Workflow Order)</w:t>
      </w:r>
    </w:p>
    <w:p>
      <w:pPr>
        <w:spacing w:after="80" w:line="293" w:lineRule="auto"/>
        <w:jc w:val="left"/>
      </w:pPr>
      <w:r>
        <w:rPr>
          <w:rFonts w:ascii="Times New Roman" w:hAnsi="Times New Roman" w:cs="Times New Roman"/>
          <w:b w:val="0"/>
          <w:i w:val="0"/>
          <w:sz w:val="22"/>
        </w:rPr>
        <w:t>Tab 1: Universal Command Center (Home). Primary landing page (full specification in 16.13). Shows executive summary cards: Pending Inspection Jobs (count), Due Today / Overdue, Payment Confirmations Received, Disputes (where the QC inspector is a party). QC-specific quick actions: "Start Inspection", "Submit Report", "View Disputes". AI: A1 (Groq) for assistant chat and activity summarisation.</w:t>
      </w:r>
    </w:p>
    <w:p>
      <w:pPr>
        <w:spacing w:after="80" w:line="293" w:lineRule="auto"/>
        <w:jc w:val="left"/>
      </w:pPr>
      <w:r>
        <w:rPr>
          <w:rFonts w:ascii="Times New Roman" w:hAnsi="Times New Roman" w:cs="Times New Roman"/>
          <w:b w:val="0"/>
          <w:i w:val="0"/>
          <w:sz w:val="22"/>
        </w:rPr>
        <w:t>Tab 2: Inspection Jobs. Receive and manage inspection job requests from buyers (or sellers). View the sampling plan, due dates, and job status. One-click guarantee: Accept Job (1), Start Inspection (1). Integration: inspection jobs originate from the buyer's QC Booking (16.9, Tab 8) or the seller's QC Booking (16.10, Tab 8). The buyer/seller selects a QC provider from saved contacts, sends a quote request, and upon acceptance the job appears here.</w:t>
      </w:r>
    </w:p>
    <w:p>
      <w:pPr>
        <w:spacing w:after="80" w:line="293" w:lineRule="auto"/>
        <w:jc w:val="left"/>
      </w:pPr>
      <w:r>
        <w:rPr>
          <w:rFonts w:ascii="Times New Roman" w:hAnsi="Times New Roman" w:cs="Times New Roman"/>
          <w:b w:val="0"/>
          <w:i w:val="0"/>
          <w:sz w:val="22"/>
        </w:rPr>
        <w:t>Tab 3: Mobile App Integration &amp; Offline Inspection. Enable inspectors to perform on-site inspections using the mobile app (React Native + Expo, offline-first). The app supports barcode scanning, AR overlay, AI defect detection, and override accountability. One-click guarantee: scan pallet (1 per pallet, or batch mode), Override (1 + reason), Submit (1). For high-volume inspections, batch scan mode allows scanning multiple pallets without intervening clicks; the system groups them and confirms after a short pause (Section 12).</w:t>
      </w:r>
    </w:p>
    <w:p>
      <w:pPr>
        <w:spacing w:after="80" w:line="293" w:lineRule="auto"/>
        <w:jc w:val="left"/>
      </w:pPr>
      <w:r>
        <w:rPr>
          <w:rFonts w:ascii="Times New Roman" w:hAnsi="Times New Roman" w:cs="Times New Roman"/>
          <w:b w:val="0"/>
          <w:i w:val="0"/>
          <w:sz w:val="22"/>
        </w:rPr>
        <w:t>Tab 4: Report Submission &amp; Verdicts. After inspection (via mobile app), the inspector submits a final report with one of three verdicts: PASS, FAIL, or CONDITIONAL. One-click guarantee: select verdict (1), Submit (1). For CONDITIONAL: fill plan (data entry) + Submit (1). Governance: if the verdict is FAIL, the loading milestone is blocked; the buyer/seller can request re-inspection. If the verdict is CONDITIONAL, the action-plan deadline is tracked; if missed, the system escalates via stuck-trade recovery (Section 12).</w:t>
      </w:r>
    </w:p>
    <w:p>
      <w:pPr>
        <w:spacing w:after="80" w:line="293" w:lineRule="auto"/>
        <w:jc w:val="left"/>
      </w:pPr>
      <w:r>
        <w:rPr>
          <w:rFonts w:ascii="Times New Roman" w:hAnsi="Times New Roman" w:cs="Times New Roman"/>
          <w:b w:val="0"/>
          <w:i w:val="0"/>
          <w:sz w:val="22"/>
        </w:rPr>
        <w:t>Tab 5: Re-inspection Requests. Handle requests for a second inspection when the initial report is disputed (FAIL verdict, or buyer disputes a PASS/CONDITIONAL).</w:t>
      </w:r>
    </w:p>
    <w:p>
      <w:pPr>
        <w:spacing w:after="80" w:line="293" w:lineRule="auto"/>
        <w:jc w:val="left"/>
      </w:pPr>
      <w:r>
        <w:rPr>
          <w:rFonts w:ascii="Times New Roman" w:hAnsi="Times New Roman" w:cs="Times New Roman"/>
          <w:b w:val="0"/>
          <w:i w:val="0"/>
          <w:sz w:val="22"/>
        </w:rPr>
        <w:t>Tab 6: Dispute Fast-Track &amp; Override Flagging. When a dispute involves a QC report, the evidence package automatically includes all overrides with original AI confidence and the inspector's reason (Section 14). This tab allows QC providers to view ongoing disputes and respond.</w:t>
      </w:r>
    </w:p>
    <w:p>
      <w:pPr>
        <w:spacing w:after="80" w:line="293" w:lineRule="auto"/>
        <w:jc w:val="left"/>
      </w:pPr>
      <w:r>
        <w:rPr>
          <w:rFonts w:ascii="Times New Roman" w:hAnsi="Times New Roman" w:cs="Times New Roman"/>
          <w:b w:val="0"/>
          <w:i w:val="0"/>
          <w:sz w:val="22"/>
        </w:rPr>
        <w:t>Tab 7: Performance. View override rate, dispute rate, average turnaround time, and anonymous benchmark (differential privacy) — aligned with the provider performance model (Section 11).</w:t>
      </w:r>
    </w:p>
    <w:p>
      <w:pPr>
        <w:spacing w:after="80" w:line="293" w:lineRule="auto"/>
        <w:jc w:val="left"/>
      </w:pPr>
      <w:r>
        <w:rPr>
          <w:rFonts w:ascii="Times New Roman" w:hAnsi="Times New Roman" w:cs="Times New Roman"/>
          <w:b w:val="0"/>
          <w:i w:val="0"/>
          <w:sz w:val="22"/>
        </w:rPr>
        <w:t>Tab 8: Invoices &amp; Payments. View invoices issued to buyers (or sellers) for inspection services; track payment status (via settlement legs).</w:t>
      </w:r>
    </w:p>
    <w:p>
      <w:pPr>
        <w:spacing w:after="80" w:line="293" w:lineRule="auto"/>
        <w:jc w:val="left"/>
      </w:pPr>
      <w:r>
        <w:rPr>
          <w:rFonts w:ascii="Times New Roman" w:hAnsi="Times New Roman" w:cs="Times New Roman"/>
          <w:b w:val="0"/>
          <w:i w:val="0"/>
          <w:sz w:val="22"/>
        </w:rPr>
        <w:t>Tab 9: Company Admin. Manage employees, serviceable commodities, regions, fee schedules, inspection methods, and mobile app configuration.</w:t>
      </w:r>
    </w:p>
    <w:p>
      <w:pPr>
        <w:keepNext/>
        <w:spacing w:before="140" w:after="60"/>
        <w:outlineLvl w:val="3"/>
      </w:pPr>
      <w:r>
        <w:rPr>
          <w:rFonts w:ascii="Arial" w:hAnsi="Arial" w:cs="Arial"/>
          <w:b/>
          <w:i/>
          <w:color w:val="333333"/>
          <w:sz w:val="22"/>
        </w:rPr>
        <w:t>16.8.8.3 Smart Inbox Integration (QC)</w:t>
      </w:r>
    </w:p>
    <w:p>
      <w:pPr>
        <w:spacing w:after="80" w:line="293" w:lineRule="auto"/>
        <w:jc w:val="left"/>
      </w:pPr>
      <w:r>
        <w:rPr>
          <w:rFonts w:ascii="Times New Roman" w:hAnsi="Times New Roman" w:cs="Times New Roman"/>
          <w:b w:val="0"/>
          <w:i w:val="0"/>
          <w:sz w:val="22"/>
        </w:rPr>
        <w:t>The QC Smart Inbox surfaces: new inspection jobs, due-today and overdue alerts, re-inspection requests, dispute notifications, and payment confirmations.</w:t>
      </w:r>
    </w:p>
    <w:p>
      <w:pPr>
        <w:keepNext/>
        <w:spacing w:before="140" w:after="60"/>
        <w:outlineLvl w:val="3"/>
      </w:pPr>
      <w:r>
        <w:rPr>
          <w:rFonts w:ascii="Arial" w:hAnsi="Arial" w:cs="Arial"/>
          <w:b/>
          <w:i/>
          <w:color w:val="333333"/>
          <w:sz w:val="22"/>
        </w:rPr>
        <w:t>16.8.8.4 One-Click Count Summary (QC)</w:t>
      </w:r>
    </w:p>
    <w:p>
      <w:pPr>
        <w:spacing w:after="80" w:line="293" w:lineRule="auto"/>
        <w:jc w:val="left"/>
      </w:pPr>
      <w:r>
        <w:rPr>
          <w:rFonts w:ascii="Times New Roman" w:hAnsi="Times New Roman" w:cs="Times New Roman"/>
          <w:b w:val="0"/>
          <w:i w:val="0"/>
          <w:sz w:val="22"/>
        </w:rPr>
        <w:t>Accept job (1), start inspection (1), scan pallet (1 per pallet or batch), override (1 + reason), select verdict (1), submit (1).</w:t>
      </w:r>
    </w:p>
    <w:p>
      <w:pPr>
        <w:keepNext/>
        <w:spacing w:before="140" w:after="60"/>
        <w:outlineLvl w:val="3"/>
      </w:pPr>
      <w:r>
        <w:rPr>
          <w:rFonts w:ascii="Arial" w:hAnsi="Arial" w:cs="Arial"/>
          <w:b/>
          <w:i/>
          <w:color w:val="333333"/>
          <w:sz w:val="22"/>
        </w:rPr>
        <w:t>16.8.8.5 Implementation Checklist (QC Portal)</w:t>
      </w:r>
    </w:p>
    <w:p>
      <w:pPr>
        <w:spacing w:after="80" w:line="293" w:lineRule="auto"/>
        <w:ind w:left="283"/>
        <w:jc w:val="left"/>
      </w:pPr>
      <w:r>
        <w:rPr>
          <w:rFonts w:ascii="Times New Roman" w:hAnsi="Times New Roman" w:cs="Times New Roman"/>
          <w:b w:val="0"/>
          <w:i w:val="0"/>
          <w:sz w:val="22"/>
        </w:rPr>
        <w:t>- Universal Command Center: QC-specific cards (pending jobs, due dates, payments, disputes).</w:t>
      </w:r>
    </w:p>
    <w:p>
      <w:pPr>
        <w:spacing w:after="80" w:line="293" w:lineRule="auto"/>
        <w:ind w:left="283"/>
        <w:jc w:val="left"/>
      </w:pPr>
      <w:r>
        <w:rPr>
          <w:rFonts w:ascii="Times New Roman" w:hAnsi="Times New Roman" w:cs="Times New Roman"/>
          <w:b w:val="0"/>
          <w:i w:val="0"/>
          <w:sz w:val="22"/>
        </w:rPr>
        <w:t>- Inspection Jobs: list with USTN, buyer/seller, commodity, AQL plan, location, due date; quote</w:t>
      </w:r>
    </w:p>
    <w:p>
      <w:pPr>
        <w:spacing w:after="80" w:line="293" w:lineRule="auto"/>
        <w:jc w:val="left"/>
      </w:pPr>
      <w:r>
        <w:rPr>
          <w:rFonts w:ascii="Times New Roman" w:hAnsi="Times New Roman" w:cs="Times New Roman"/>
          <w:b w:val="0"/>
          <w:i w:val="0"/>
          <w:sz w:val="22"/>
        </w:rPr>
        <w:t>acceptance (if not already quoted); accept job, start inspection; mobile app pairing (QR code generation).</w:t>
      </w:r>
    </w:p>
    <w:p>
      <w:pPr>
        <w:spacing w:after="80" w:line="293" w:lineRule="auto"/>
        <w:ind w:left="283"/>
        <w:jc w:val="left"/>
      </w:pPr>
      <w:r>
        <w:rPr>
          <w:rFonts w:ascii="Times New Roman" w:hAnsi="Times New Roman" w:cs="Times New Roman"/>
          <w:b w:val="0"/>
          <w:i w:val="0"/>
          <w:sz w:val="22"/>
        </w:rPr>
        <w:t>- Mobile App Integration: offline-first inspection (WatermelonDB); barcode scanning (SSCC) with</w:t>
      </w:r>
    </w:p>
    <w:p>
      <w:pPr>
        <w:spacing w:after="80" w:line="293" w:lineRule="auto"/>
        <w:jc w:val="left"/>
      </w:pPr>
      <w:r>
        <w:rPr>
          <w:rFonts w:ascii="Times New Roman" w:hAnsi="Times New Roman" w:cs="Times New Roman"/>
          <w:b w:val="0"/>
          <w:i w:val="0"/>
          <w:sz w:val="22"/>
        </w:rPr>
        <w:t>validation; AR overlay (expected pallet positions); AI defect detection (HF ViT) on device; override with mandatory reason (≥10 chars); AQL sampling enforcement; batch scan mode.</w:t>
      </w:r>
    </w:p>
    <w:p>
      <w:pPr>
        <w:spacing w:after="80" w:line="293" w:lineRule="auto"/>
        <w:ind w:left="283"/>
        <w:jc w:val="left"/>
      </w:pPr>
      <w:r>
        <w:rPr>
          <w:rFonts w:ascii="Times New Roman" w:hAnsi="Times New Roman" w:cs="Times New Roman"/>
          <w:b w:val="0"/>
          <w:i w:val="0"/>
          <w:sz w:val="22"/>
        </w:rPr>
        <w:t>- Report Submission &amp; Verdicts: verdict selection (PASS/FAIL/CONDITIONAL); conditional pass action</w:t>
      </w:r>
    </w:p>
    <w:p>
      <w:pPr>
        <w:spacing w:after="80" w:line="293" w:lineRule="auto"/>
        <w:jc w:val="left"/>
      </w:pPr>
      <w:r>
        <w:rPr>
          <w:rFonts w:ascii="Times New Roman" w:hAnsi="Times New Roman" w:cs="Times New Roman"/>
          <w:b w:val="0"/>
          <w:i w:val="0"/>
          <w:sz w:val="22"/>
        </w:rPr>
        <w:t>plan (description, deadline, escalation terms); hold flag enforcement (Governor A4); digital signature (ZITADEL passkey); Loom-hashed storage.</w:t>
      </w:r>
    </w:p>
    <w:p>
      <w:pPr>
        <w:spacing w:after="80" w:line="293" w:lineRule="auto"/>
        <w:ind w:left="283"/>
        <w:jc w:val="left"/>
      </w:pPr>
      <w:r>
        <w:rPr>
          <w:rFonts w:ascii="Times New Roman" w:hAnsi="Times New Roman" w:cs="Times New Roman"/>
          <w:b w:val="0"/>
          <w:i w:val="0"/>
          <w:sz w:val="22"/>
        </w:rPr>
        <w:t>- Re-inspection Requests: list of pending requests; accept/decline with reason; second inspection</w:t>
      </w:r>
    </w:p>
    <w:p>
      <w:pPr>
        <w:spacing w:after="80" w:line="293" w:lineRule="auto"/>
        <w:jc w:val="left"/>
      </w:pPr>
      <w:r>
        <w:rPr>
          <w:rFonts w:ascii="Times New Roman" w:hAnsi="Times New Roman" w:cs="Times New Roman"/>
          <w:b w:val="0"/>
          <w:i w:val="0"/>
          <w:sz w:val="22"/>
        </w:rPr>
        <w:t>workflow; fee handling (dispute resolution may reassign cost).</w:t>
      </w:r>
    </w:p>
    <w:p>
      <w:pPr>
        <w:spacing w:after="80" w:line="293" w:lineRule="auto"/>
        <w:ind w:left="283"/>
        <w:jc w:val="left"/>
      </w:pPr>
      <w:r>
        <w:rPr>
          <w:rFonts w:ascii="Times New Roman" w:hAnsi="Times New Roman" w:cs="Times New Roman"/>
          <w:b w:val="0"/>
          <w:i w:val="0"/>
          <w:sz w:val="22"/>
        </w:rPr>
        <w:t>- Dispute Fast-Track: override evidence display (original AI confidence, inspector reason); QC</w:t>
      </w:r>
    </w:p>
    <w:p>
      <w:pPr>
        <w:spacing w:after="80" w:line="293" w:lineRule="auto"/>
        <w:jc w:val="left"/>
      </w:pPr>
      <w:r>
        <w:rPr>
          <w:rFonts w:ascii="Times New Roman" w:hAnsi="Times New Roman" w:cs="Times New Roman"/>
          <w:b w:val="0"/>
          <w:i w:val="0"/>
          <w:sz w:val="22"/>
        </w:rPr>
        <w:t>response submission; mediation invitation handling; licence revocation risk monitoring (A3).</w:t>
      </w:r>
    </w:p>
    <w:p>
      <w:pPr>
        <w:spacing w:after="80" w:line="293" w:lineRule="auto"/>
        <w:ind w:left="283"/>
        <w:jc w:val="left"/>
      </w:pPr>
      <w:r>
        <w:rPr>
          <w:rFonts w:ascii="Times New Roman" w:hAnsi="Times New Roman" w:cs="Times New Roman"/>
          <w:b w:val="0"/>
          <w:i w:val="0"/>
          <w:sz w:val="22"/>
        </w:rPr>
        <w:t>- Performance: override rate, dispute rate, turnaround time, anonymous benchmark, Groq summary.</w:t>
      </w:r>
    </w:p>
    <w:p>
      <w:pPr>
        <w:spacing w:after="80" w:line="293" w:lineRule="auto"/>
        <w:ind w:left="283"/>
        <w:jc w:val="left"/>
      </w:pPr>
      <w:r>
        <w:rPr>
          <w:rFonts w:ascii="Times New Roman" w:hAnsi="Times New Roman" w:cs="Times New Roman"/>
          <w:b w:val="0"/>
          <w:i w:val="0"/>
          <w:sz w:val="22"/>
        </w:rPr>
        <w:t>- Invoices &amp; Payments: invoice list, payment status (bank confirmation), dispute link.</w:t>
      </w:r>
    </w:p>
    <w:p>
      <w:pPr>
        <w:spacing w:after="80" w:line="293" w:lineRule="auto"/>
        <w:ind w:left="283"/>
        <w:jc w:val="left"/>
      </w:pPr>
      <w:r>
        <w:rPr>
          <w:rFonts w:ascii="Times New Roman" w:hAnsi="Times New Roman" w:cs="Times New Roman"/>
          <w:b w:val="0"/>
          <w:i w:val="0"/>
          <w:sz w:val="22"/>
        </w:rPr>
        <w:t>- Company Admin: employee management, service catalogue (commodities, AQL plans, fees, regions),</w:t>
      </w:r>
    </w:p>
    <w:p>
      <w:pPr>
        <w:spacing w:after="80" w:line="293" w:lineRule="auto"/>
        <w:jc w:val="left"/>
      </w:pPr>
      <w:r>
        <w:rPr>
          <w:rFonts w:ascii="Times New Roman" w:hAnsi="Times New Roman" w:cs="Times New Roman"/>
          <w:b w:val="0"/>
          <w:i w:val="0"/>
          <w:sz w:val="22"/>
        </w:rPr>
        <w:t>mobile app config, ISO 17020 certificate upload, branding.</w:t>
      </w:r>
    </w:p>
    <w:p>
      <w:pPr>
        <w:keepNext/>
        <w:spacing w:before="180" w:after="80"/>
        <w:outlineLvl w:val="2"/>
      </w:pPr>
      <w:r>
        <w:rPr>
          <w:rFonts w:ascii="Arial" w:hAnsi="Arial" w:cs="Arial"/>
          <w:b/>
          <w:i w:val="0"/>
          <w:color w:val="333333"/>
          <w:sz w:val="23"/>
        </w:rPr>
        <w:t>16.8.9 Customs Broker (CBR) Portal</w:t>
      </w:r>
    </w:p>
    <w:p>
      <w:pPr>
        <w:keepNext/>
        <w:spacing w:before="140" w:after="60"/>
        <w:outlineLvl w:val="3"/>
      </w:pPr>
      <w:r>
        <w:rPr>
          <w:rFonts w:ascii="Arial" w:hAnsi="Arial" w:cs="Arial"/>
          <w:b/>
          <w:i/>
          <w:color w:val="333333"/>
          <w:sz w:val="22"/>
        </w:rPr>
        <w:t>16.8.9.1 Access &amp; Purpose</w:t>
      </w:r>
    </w:p>
    <w:p>
      <w:pPr>
        <w:spacing w:after="80" w:line="293" w:lineRule="auto"/>
        <w:jc w:val="left"/>
      </w:pPr>
      <w:r>
        <w:rPr>
          <w:rFonts w:ascii="Times New Roman" w:hAnsi="Times New Roman" w:cs="Times New Roman"/>
          <w:b w:val="0"/>
          <w:i w:val="0"/>
          <w:sz w:val="22"/>
        </w:rPr>
        <w:t>Access: tenants with type = CBR (licensed customs brokers). Employees must have completed KYB Tier 2 verification (broker licence, bond, professional indemnity insurance, office address for physical document receipt). Dual-mode toggle: not applicable (customs brokers do not trade as buyers/sellers).</w:t>
      </w:r>
    </w:p>
    <w:p>
      <w:pPr>
        <w:spacing w:after="80" w:line="293" w:lineRule="auto"/>
        <w:jc w:val="left"/>
      </w:pPr>
      <w:r>
        <w:rPr>
          <w:rFonts w:ascii="Times New Roman" w:hAnsi="Times New Roman" w:cs="Times New Roman"/>
          <w:b w:val="0"/>
          <w:i w:val="0"/>
          <w:sz w:val="22"/>
        </w:rPr>
        <w:t>Landing page (configurable): default is the Universal Command Center — showing pending certification requests, physical document jobs, storage reminders, audit invitations, and payment confirmations. Users can set a preference to land directly on Certification Requests.</w:t>
      </w:r>
    </w:p>
    <w:p>
      <w:pPr>
        <w:spacing w:after="80" w:line="293" w:lineRule="auto"/>
        <w:jc w:val="left"/>
      </w:pPr>
      <w:r>
        <w:rPr>
          <w:rFonts w:ascii="Times New Roman" w:hAnsi="Times New Roman" w:cs="Times New Roman"/>
          <w:b w:val="0"/>
          <w:i w:val="0"/>
          <w:sz w:val="22"/>
        </w:rPr>
        <w:t>Portal philosophy: customs brokers are optional service providers. Sellers (or buyers) select a broker from their saved contacts. Legal clarification (Egyptian Customs Law No. 207 of 2020, Article 51): the platform does not hold a customs broker licence; it only orchestrates data submission; the licensed broker uses their own digital seal and assumes liability. Brokers offer four service types:</w:t>
      </w:r>
    </w:p>
    <w:p>
      <w:pPr>
        <w:spacing w:after="80" w:line="293" w:lineRule="auto"/>
        <w:ind w:left="283"/>
        <w:jc w:val="left"/>
      </w:pPr>
      <w:r>
        <w:rPr>
          <w:rFonts w:ascii="Times New Roman" w:hAnsi="Times New Roman" w:cs="Times New Roman"/>
          <w:b w:val="0"/>
          <w:i w:val="0"/>
          <w:sz w:val="22"/>
        </w:rPr>
        <w:t>- Certification — review the AI-generated declaration, apply the digital seal, submit under the</w:t>
      </w:r>
    </w:p>
    <w:p>
      <w:pPr>
        <w:spacing w:after="80" w:line="293" w:lineRule="auto"/>
        <w:jc w:val="left"/>
      </w:pPr>
      <w:r>
        <w:rPr>
          <w:rFonts w:ascii="Times New Roman" w:hAnsi="Times New Roman" w:cs="Times New Roman"/>
          <w:b w:val="0"/>
          <w:i w:val="0"/>
          <w:sz w:val="22"/>
        </w:rPr>
        <w:t>broker's licence.</w:t>
      </w:r>
    </w:p>
    <w:p>
      <w:pPr>
        <w:spacing w:after="80" w:line="293" w:lineRule="auto"/>
        <w:ind w:left="283"/>
        <w:jc w:val="left"/>
      </w:pPr>
      <w:r>
        <w:rPr>
          <w:rFonts w:ascii="Times New Roman" w:hAnsi="Times New Roman" w:cs="Times New Roman"/>
          <w:b w:val="0"/>
          <w:i w:val="0"/>
          <w:sz w:val="22"/>
        </w:rPr>
        <w:t>- Physical handling — receive couriered original documents, present them to customs, upload</w:t>
      </w:r>
    </w:p>
    <w:p>
      <w:pPr>
        <w:spacing w:after="80" w:line="293" w:lineRule="auto"/>
        <w:jc w:val="left"/>
      </w:pPr>
      <w:r>
        <w:rPr>
          <w:rFonts w:ascii="Times New Roman" w:hAnsi="Times New Roman" w:cs="Times New Roman"/>
          <w:b w:val="0"/>
          <w:i w:val="0"/>
          <w:sz w:val="22"/>
        </w:rPr>
        <w:t>stamped copies.</w:t>
      </w:r>
    </w:p>
    <w:p>
      <w:pPr>
        <w:spacing w:after="80" w:line="293" w:lineRule="auto"/>
        <w:ind w:left="283"/>
        <w:jc w:val="left"/>
      </w:pPr>
      <w:r>
        <w:rPr>
          <w:rFonts w:ascii="Times New Roman" w:hAnsi="Times New Roman" w:cs="Times New Roman"/>
          <w:b w:val="0"/>
          <w:i w:val="0"/>
          <w:sz w:val="22"/>
        </w:rPr>
        <w:t>- Storage — store original documents after clearance, manage retention and destruction.</w:t>
      </w:r>
    </w:p>
    <w:p>
      <w:pPr>
        <w:spacing w:after="80" w:line="293" w:lineRule="auto"/>
        <w:ind w:left="283"/>
        <w:jc w:val="left"/>
      </w:pPr>
      <w:r>
        <w:rPr>
          <w:rFonts w:ascii="Times New Roman" w:hAnsi="Times New Roman" w:cs="Times New Roman"/>
          <w:b w:val="0"/>
          <w:i w:val="0"/>
          <w:sz w:val="22"/>
        </w:rPr>
        <w:t>- Audit representation — act as legal point of contact for customs audits.</w:t>
      </w:r>
    </w:p>
    <w:p>
      <w:pPr>
        <w:spacing w:after="80" w:line="293" w:lineRule="auto"/>
        <w:jc w:val="left"/>
      </w:pPr>
      <w:r>
        <w:rPr>
          <w:rFonts w:ascii="Times New Roman" w:hAnsi="Times New Roman" w:cs="Times New Roman"/>
          <w:b w:val="0"/>
          <w:i w:val="0"/>
          <w:sz w:val="22"/>
        </w:rPr>
        <w:t>All services are quotation-driven; fees are added to the Stage 1 payment plan (seller's side) or the buyer's local payment batch.</w:t>
      </w:r>
    </w:p>
    <w:p>
      <w:pPr>
        <w:keepNext/>
        <w:spacing w:before="140" w:after="60"/>
        <w:outlineLvl w:val="3"/>
      </w:pPr>
      <w:r>
        <w:rPr>
          <w:rFonts w:ascii="Arial" w:hAnsi="Arial" w:cs="Arial"/>
          <w:b/>
          <w:i/>
          <w:color w:val="333333"/>
          <w:sz w:val="22"/>
        </w:rPr>
        <w:t>16.8.9.2 Full Tab Specification (Workflow Order)</w:t>
      </w:r>
    </w:p>
    <w:p>
      <w:pPr>
        <w:spacing w:after="80" w:line="293" w:lineRule="auto"/>
        <w:jc w:val="left"/>
      </w:pPr>
      <w:r>
        <w:rPr>
          <w:rFonts w:ascii="Times New Roman" w:hAnsi="Times New Roman" w:cs="Times New Roman"/>
          <w:b w:val="0"/>
          <w:i w:val="0"/>
          <w:sz w:val="22"/>
        </w:rPr>
        <w:t>Tab 1: Universal Command Center (Home). Primary landing page (full specification in 16.13). Shows executive summary cards: Pending Certification Requests (count), Physical Document Jobs (by status), Storage Retention Expiry Alerts, Audit Invitations, Payment Confirmations. CBR-specific quick actions: "Review Certification", "Receive Package", "Issue Storage Reminder". AI: A1 (Groq) for assistant chat and activity summarisation.</w:t>
      </w:r>
    </w:p>
    <w:p>
      <w:pPr>
        <w:spacing w:after="80" w:line="293" w:lineRule="auto"/>
        <w:jc w:val="left"/>
      </w:pPr>
      <w:r>
        <w:rPr>
          <w:rFonts w:ascii="Times New Roman" w:hAnsi="Times New Roman" w:cs="Times New Roman"/>
          <w:b w:val="0"/>
          <w:i w:val="0"/>
          <w:sz w:val="22"/>
        </w:rPr>
        <w:t>Tab 2: Certification Requests. Review AI-generated customs declarations (SAD) from sellers who have selected the broker for certification. Apply the digital seal and submit to Nafeza under the broker's licence. One-click guarantee: Certify (1), Reject (1). Integration: certification requests originate from the Seller Dashboard — Logistics Builder (16.10, Tab 5) where the seller checks "Certification" and selects a broker from saved contacts. The broker's fee is added to Stage 1 payment. After certification, Nafeza submission follows the government integration flow (Section 20).</w:t>
      </w:r>
    </w:p>
    <w:p>
      <w:pPr>
        <w:spacing w:after="80" w:line="293" w:lineRule="auto"/>
        <w:jc w:val="left"/>
      </w:pPr>
      <w:r>
        <w:rPr>
          <w:rFonts w:ascii="Times New Roman" w:hAnsi="Times New Roman" w:cs="Times New Roman"/>
          <w:b w:val="0"/>
          <w:i w:val="0"/>
          <w:sz w:val="22"/>
        </w:rPr>
        <w:t>Tab 3: Physical Document Jobs. Handle physical document handling for destinations that require original paper documents (e.g., Nigeria and some other African countries). The RIA detects these requirements automatically. One-click guarantee: Receive (1), Mark Presented (1), Upload (1), Confirm (1).</w:t>
      </w:r>
    </w:p>
    <w:p>
      <w:pPr>
        <w:spacing w:after="80" w:line="293" w:lineRule="auto"/>
        <w:jc w:val="left"/>
      </w:pPr>
      <w:r>
        <w:rPr>
          <w:rFonts w:ascii="Times New Roman" w:hAnsi="Times New Roman" w:cs="Times New Roman"/>
          <w:b w:val="0"/>
          <w:i w:val="0"/>
          <w:sz w:val="22"/>
        </w:rPr>
        <w:t>Tab 4: Storage. Store original documents after customs clearance for the required retention period (e.g., 5 years for tax, 7 years for AML). Manage shelf tracking, return, or destruction.</w:t>
      </w:r>
    </w:p>
    <w:p>
      <w:pPr>
        <w:spacing w:after="80" w:line="293" w:lineRule="auto"/>
        <w:jc w:val="left"/>
      </w:pPr>
      <w:r>
        <w:rPr>
          <w:rFonts w:ascii="Times New Roman" w:hAnsi="Times New Roman" w:cs="Times New Roman"/>
          <w:b w:val="0"/>
          <w:i w:val="0"/>
          <w:sz w:val="22"/>
        </w:rPr>
        <w:t>Tab 5: Audit Representation. Act as legal point of contact for customs audits. The broker receives audit invitations, accesses relevant documents, and communicates with the client.</w:t>
      </w:r>
    </w:p>
    <w:p>
      <w:pPr>
        <w:spacing w:after="80" w:line="293" w:lineRule="auto"/>
        <w:jc w:val="left"/>
      </w:pPr>
      <w:r>
        <w:rPr>
          <w:rFonts w:ascii="Times New Roman" w:hAnsi="Times New Roman" w:cs="Times New Roman"/>
          <w:b w:val="0"/>
          <w:i w:val="0"/>
          <w:sz w:val="22"/>
        </w:rPr>
        <w:t>Tab 6: Performance. View certification accuracy (measured by customs rejections), handling time, and client ratings — aligned with the provider performance model (Section 11).</w:t>
      </w:r>
    </w:p>
    <w:p>
      <w:pPr>
        <w:spacing w:after="80" w:line="293" w:lineRule="auto"/>
        <w:jc w:val="left"/>
      </w:pPr>
      <w:r>
        <w:rPr>
          <w:rFonts w:ascii="Times New Roman" w:hAnsi="Times New Roman" w:cs="Times New Roman"/>
          <w:b w:val="0"/>
          <w:i w:val="0"/>
          <w:sz w:val="22"/>
        </w:rPr>
        <w:t>Tab 7: Invoices &amp; Payments. View invoices issued to sellers (or buyers) for brokerage services; track payment status (via Stage 1 settlement legs).</w:t>
      </w:r>
    </w:p>
    <w:p>
      <w:pPr>
        <w:spacing w:after="80" w:line="293" w:lineRule="auto"/>
        <w:jc w:val="left"/>
      </w:pPr>
      <w:r>
        <w:rPr>
          <w:rFonts w:ascii="Times New Roman" w:hAnsi="Times New Roman" w:cs="Times New Roman"/>
          <w:b w:val="0"/>
          <w:i w:val="0"/>
          <w:sz w:val="22"/>
        </w:rPr>
        <w:t>Tab 8: Company Admin. Manage employees, office address, insurance certificate, service catalogue, fees, and digital seal credentials.</w:t>
      </w:r>
    </w:p>
    <w:p>
      <w:pPr>
        <w:keepNext/>
        <w:spacing w:before="140" w:after="60"/>
        <w:outlineLvl w:val="3"/>
      </w:pPr>
      <w:r>
        <w:rPr>
          <w:rFonts w:ascii="Arial" w:hAnsi="Arial" w:cs="Arial"/>
          <w:b/>
          <w:i/>
          <w:color w:val="333333"/>
          <w:sz w:val="22"/>
        </w:rPr>
        <w:t>16.8.9.3 Smart Inbox Integration (CBR)</w:t>
      </w:r>
    </w:p>
    <w:p>
      <w:pPr>
        <w:spacing w:after="80" w:line="293" w:lineRule="auto"/>
        <w:jc w:val="left"/>
      </w:pPr>
      <w:r>
        <w:rPr>
          <w:rFonts w:ascii="Times New Roman" w:hAnsi="Times New Roman" w:cs="Times New Roman"/>
          <w:b w:val="0"/>
          <w:i w:val="0"/>
          <w:sz w:val="22"/>
        </w:rPr>
        <w:t>The CBR Smart Inbox surfaces: new certification requests (with AI confidence score), physical document arrivals (courier tracking), storage retention expiry reminders, audit invitations, and payment confirmations.</w:t>
      </w:r>
    </w:p>
    <w:p>
      <w:pPr>
        <w:keepNext/>
        <w:spacing w:before="140" w:after="60"/>
        <w:outlineLvl w:val="3"/>
      </w:pPr>
      <w:r>
        <w:rPr>
          <w:rFonts w:ascii="Arial" w:hAnsi="Arial" w:cs="Arial"/>
          <w:b/>
          <w:i/>
          <w:color w:val="333333"/>
          <w:sz w:val="22"/>
        </w:rPr>
        <w:t>16.8.9.4 One-Click Count Summary (CBR)</w:t>
      </w:r>
    </w:p>
    <w:p>
      <w:pPr>
        <w:spacing w:after="80" w:line="293" w:lineRule="auto"/>
        <w:jc w:val="left"/>
      </w:pPr>
      <w:r>
        <w:rPr>
          <w:rFonts w:ascii="Times New Roman" w:hAnsi="Times New Roman" w:cs="Times New Roman"/>
          <w:b w:val="0"/>
          <w:i w:val="0"/>
          <w:sz w:val="22"/>
        </w:rPr>
        <w:t>Certify (1), reject (1), receive package (1), mark presented (1), upload stamped copy (1), confirm submission (1).</w:t>
      </w:r>
    </w:p>
    <w:p>
      <w:pPr>
        <w:keepNext/>
        <w:spacing w:before="140" w:after="60"/>
        <w:outlineLvl w:val="3"/>
      </w:pPr>
      <w:r>
        <w:rPr>
          <w:rFonts w:ascii="Arial" w:hAnsi="Arial" w:cs="Arial"/>
          <w:b/>
          <w:i/>
          <w:color w:val="333333"/>
          <w:sz w:val="22"/>
        </w:rPr>
        <w:t>16.8.9.5 Implementation Checklist (CBR Portal)</w:t>
      </w:r>
    </w:p>
    <w:p>
      <w:pPr>
        <w:spacing w:after="80" w:line="293" w:lineRule="auto"/>
        <w:ind w:left="283"/>
        <w:jc w:val="left"/>
      </w:pPr>
      <w:r>
        <w:rPr>
          <w:rFonts w:ascii="Times New Roman" w:hAnsi="Times New Roman" w:cs="Times New Roman"/>
          <w:b w:val="0"/>
          <w:i w:val="0"/>
          <w:sz w:val="22"/>
        </w:rPr>
        <w:t>- Universal Command Center: CBR-specific cards (certification requests, physical jobs, storage</w:t>
      </w:r>
    </w:p>
    <w:p>
      <w:pPr>
        <w:spacing w:after="80" w:line="293" w:lineRule="auto"/>
        <w:jc w:val="left"/>
      </w:pPr>
      <w:r>
        <w:rPr>
          <w:rFonts w:ascii="Times New Roman" w:hAnsi="Times New Roman" w:cs="Times New Roman"/>
          <w:b w:val="0"/>
          <w:i w:val="0"/>
          <w:sz w:val="22"/>
        </w:rPr>
        <w:t>alerts, audit invites, payments).</w:t>
      </w:r>
    </w:p>
    <w:p>
      <w:pPr>
        <w:spacing w:after="80" w:line="293" w:lineRule="auto"/>
        <w:ind w:left="283"/>
        <w:jc w:val="left"/>
      </w:pPr>
      <w:r>
        <w:rPr>
          <w:rFonts w:ascii="Times New Roman" w:hAnsi="Times New Roman" w:cs="Times New Roman"/>
          <w:b w:val="0"/>
          <w:i w:val="0"/>
          <w:sz w:val="22"/>
        </w:rPr>
        <w:t>- Certification Requests: list with USTN, seller, AI confidence score; declaration preview with</w:t>
      </w:r>
    </w:p>
    <w:p>
      <w:pPr>
        <w:spacing w:after="80" w:line="293" w:lineRule="auto"/>
        <w:jc w:val="left"/>
      </w:pPr>
      <w:r>
        <w:rPr>
          <w:rFonts w:ascii="Times New Roman" w:hAnsi="Times New Roman" w:cs="Times New Roman"/>
          <w:b w:val="0"/>
          <w:i w:val="0"/>
          <w:sz w:val="22"/>
        </w:rPr>
        <w:t>low-confidence highlighting; quote acceptance (if not already); one-click "Certify" with digital seal (mTLS); Nafeza submission integration; reject / request amendment with reason.</w:t>
      </w:r>
    </w:p>
    <w:p>
      <w:pPr>
        <w:spacing w:after="80" w:line="293" w:lineRule="auto"/>
        <w:ind w:left="283"/>
        <w:jc w:val="left"/>
      </w:pPr>
      <w:r>
        <w:rPr>
          <w:rFonts w:ascii="Times New Roman" w:hAnsi="Times New Roman" w:cs="Times New Roman"/>
          <w:b w:val="0"/>
          <w:i w:val="0"/>
          <w:sz w:val="22"/>
        </w:rPr>
        <w:t>- Physical Document Jobs: job list with courier tracking, status; QR code scanning via mobile app;</w:t>
      </w:r>
    </w:p>
    <w:p>
      <w:pPr>
        <w:spacing w:after="80" w:line="293" w:lineRule="auto"/>
        <w:jc w:val="left"/>
      </w:pPr>
      <w:r>
        <w:rPr>
          <w:rFonts w:ascii="Times New Roman" w:hAnsi="Times New Roman" w:cs="Times New Roman"/>
          <w:b w:val="0"/>
          <w:i w:val="0"/>
          <w:sz w:val="22"/>
        </w:rPr>
        <w:t>"Receive Package" with GPS timestamp; "Mark Presented" to customs; upload stamped copy (AI extraction); "Submission Confirmed" milestone.</w:t>
      </w:r>
    </w:p>
    <w:p>
      <w:pPr>
        <w:spacing w:after="80" w:line="293" w:lineRule="auto"/>
        <w:ind w:left="283"/>
        <w:jc w:val="left"/>
      </w:pPr>
      <w:r>
        <w:rPr>
          <w:rFonts w:ascii="Times New Roman" w:hAnsi="Times New Roman" w:cs="Times New Roman"/>
          <w:b w:val="0"/>
          <w:i w:val="0"/>
          <w:sz w:val="22"/>
        </w:rPr>
        <w:t>- Storage: storage list with shelf location, retention expiry; update shelf location; retention</w:t>
      </w:r>
    </w:p>
    <w:p>
      <w:pPr>
        <w:spacing w:after="80" w:line="293" w:lineRule="auto"/>
        <w:jc w:val="left"/>
      </w:pPr>
      <w:r>
        <w:rPr>
          <w:rFonts w:ascii="Times New Roman" w:hAnsi="Times New Roman" w:cs="Times New Roman"/>
          <w:b w:val="0"/>
          <w:i w:val="0"/>
          <w:sz w:val="22"/>
        </w:rPr>
        <w:t>reminders (automated); notify client, extend storage, destroy, return workflows.</w:t>
      </w:r>
    </w:p>
    <w:p>
      <w:pPr>
        <w:spacing w:after="80" w:line="293" w:lineRule="auto"/>
        <w:ind w:left="283"/>
        <w:jc w:val="left"/>
      </w:pPr>
      <w:r>
        <w:rPr>
          <w:rFonts w:ascii="Times New Roman" w:hAnsi="Times New Roman" w:cs="Times New Roman"/>
          <w:b w:val="0"/>
          <w:i w:val="0"/>
          <w:sz w:val="22"/>
        </w:rPr>
        <w:t>- Audit Representation: audit invitations list; accept / decline representation; document access</w:t>
      </w:r>
    </w:p>
    <w:p>
      <w:pPr>
        <w:spacing w:after="80" w:line="293" w:lineRule="auto"/>
        <w:jc w:val="left"/>
      </w:pPr>
      <w:r>
        <w:rPr>
          <w:rFonts w:ascii="Times New Roman" w:hAnsi="Times New Roman" w:cs="Times New Roman"/>
          <w:b w:val="0"/>
          <w:i w:val="0"/>
          <w:sz w:val="22"/>
        </w:rPr>
        <w:t>(read-only); communication log; record audit outcome.</w:t>
      </w:r>
    </w:p>
    <w:p>
      <w:pPr>
        <w:spacing w:after="80" w:line="293" w:lineRule="auto"/>
        <w:ind w:left="283"/>
        <w:jc w:val="left"/>
      </w:pPr>
      <w:r>
        <w:rPr>
          <w:rFonts w:ascii="Times New Roman" w:hAnsi="Times New Roman" w:cs="Times New Roman"/>
          <w:b w:val="0"/>
          <w:i w:val="0"/>
          <w:sz w:val="22"/>
        </w:rPr>
        <w:t>- Performance: certification accuracy, handling time, client ratings, Groq summary.</w:t>
      </w:r>
    </w:p>
    <w:p>
      <w:pPr>
        <w:spacing w:after="80" w:line="293" w:lineRule="auto"/>
        <w:ind w:left="283"/>
        <w:jc w:val="left"/>
      </w:pPr>
      <w:r>
        <w:rPr>
          <w:rFonts w:ascii="Times New Roman" w:hAnsi="Times New Roman" w:cs="Times New Roman"/>
          <w:b w:val="0"/>
          <w:i w:val="0"/>
          <w:sz w:val="22"/>
        </w:rPr>
        <w:t>- Invoices &amp; Payments: invoice list, payment status (bank confirmation), dispute link.</w:t>
      </w:r>
    </w:p>
    <w:p>
      <w:pPr>
        <w:spacing w:after="80" w:line="293" w:lineRule="auto"/>
        <w:ind w:left="283"/>
        <w:jc w:val="left"/>
      </w:pPr>
      <w:r>
        <w:rPr>
          <w:rFonts w:ascii="Times New Roman" w:hAnsi="Times New Roman" w:cs="Times New Roman"/>
          <w:b w:val="0"/>
          <w:i w:val="0"/>
          <w:sz w:val="22"/>
        </w:rPr>
        <w:t>- Company Admin: employee management, service catalogue (fees), office address, insurance/bond</w:t>
      </w:r>
    </w:p>
    <w:p>
      <w:pPr>
        <w:spacing w:after="80" w:line="293" w:lineRule="auto"/>
        <w:jc w:val="left"/>
      </w:pPr>
      <w:r>
        <w:rPr>
          <w:rFonts w:ascii="Times New Roman" w:hAnsi="Times New Roman" w:cs="Times New Roman"/>
          <w:b w:val="0"/>
          <w:i w:val="0"/>
          <w:sz w:val="22"/>
        </w:rPr>
        <w:t>upload, digital seal management, branding.</w:t>
      </w:r>
    </w:p>
    <w:p>
      <w:pPr>
        <w:keepNext/>
        <w:spacing w:before="180" w:after="80"/>
        <w:outlineLvl w:val="2"/>
      </w:pPr>
      <w:r>
        <w:rPr>
          <w:rFonts w:ascii="Arial" w:hAnsi="Arial" w:cs="Arial"/>
          <w:b/>
          <w:i w:val="0"/>
          <w:color w:val="333333"/>
          <w:sz w:val="23"/>
        </w:rPr>
        <w:t>16.8.10 Financier (Bank) Portal</w:t>
      </w:r>
    </w:p>
    <w:p>
      <w:pPr>
        <w:keepNext/>
        <w:spacing w:before="140" w:after="60"/>
        <w:outlineLvl w:val="3"/>
      </w:pPr>
      <w:r>
        <w:rPr>
          <w:rFonts w:ascii="Arial" w:hAnsi="Arial" w:cs="Arial"/>
          <w:b/>
          <w:i/>
          <w:color w:val="333333"/>
          <w:sz w:val="22"/>
        </w:rPr>
        <w:t>16.8.10.1 Access &amp; Purpose</w:t>
      </w:r>
    </w:p>
    <w:p>
      <w:pPr>
        <w:spacing w:after="80" w:line="293" w:lineRule="auto"/>
        <w:jc w:val="left"/>
      </w:pPr>
      <w:r>
        <w:rPr>
          <w:rFonts w:ascii="Times New Roman" w:hAnsi="Times New Roman" w:cs="Times New Roman"/>
          <w:b w:val="0"/>
          <w:i w:val="0"/>
          <w:sz w:val="22"/>
        </w:rPr>
        <w:t>Access: tenants with type = FIN and sub_type = BANK. Employees must have completed KYB Tier 3 verification (CBE accreditation for Egyptian banks; equivalent local regulatory approval for other jurisdictions). Dual-mode toggle: not applicable (financiers do not trade as buyers/sellers).</w:t>
      </w:r>
    </w:p>
    <w:p>
      <w:pPr>
        <w:spacing w:after="80" w:line="293" w:lineRule="auto"/>
        <w:jc w:val="left"/>
      </w:pPr>
      <w:r>
        <w:rPr>
          <w:rFonts w:ascii="Times New Roman" w:hAnsi="Times New Roman" w:cs="Times New Roman"/>
          <w:b w:val="0"/>
          <w:i w:val="0"/>
          <w:sz w:val="22"/>
        </w:rPr>
        <w:t>Landing page (configurable): default is the Universal Command Center — showing financing opportunities, active loans, margin call alerts, repayment reminders, and regulatory report deadlines. Users can set a preference to land directly on Financing Opportunities.</w:t>
      </w:r>
    </w:p>
    <w:p>
      <w:pPr>
        <w:spacing w:after="80" w:line="293" w:lineRule="auto"/>
        <w:jc w:val="left"/>
      </w:pPr>
      <w:r>
        <w:rPr>
          <w:rFonts w:ascii="Times New Roman" w:hAnsi="Times New Roman" w:cs="Times New Roman"/>
          <w:b w:val="0"/>
          <w:i w:val="0"/>
          <w:sz w:val="22"/>
        </w:rPr>
        <w:t>Portal philosophy:</w:t>
      </w:r>
    </w:p>
    <w:p>
      <w:pPr>
        <w:spacing w:after="80" w:line="293" w:lineRule="auto"/>
        <w:ind w:left="283"/>
        <w:jc w:val="left"/>
      </w:pPr>
      <w:r>
        <w:rPr>
          <w:rFonts w:ascii="Times New Roman" w:hAnsi="Times New Roman" w:cs="Times New Roman"/>
          <w:b w:val="0"/>
          <w:i w:val="0"/>
          <w:sz w:val="22"/>
        </w:rPr>
        <w:t>- Auto-RFQ broadcasts — banks receive financing requests that match their pre-set preferences.</w:t>
      </w:r>
    </w:p>
    <w:p>
      <w:pPr>
        <w:spacing w:after="80" w:line="293" w:lineRule="auto"/>
        <w:ind w:left="283"/>
        <w:jc w:val="left"/>
      </w:pPr>
      <w:r>
        <w:rPr>
          <w:rFonts w:ascii="Times New Roman" w:hAnsi="Times New Roman" w:cs="Times New Roman"/>
          <w:b w:val="0"/>
          <w:i w:val="0"/>
          <w:sz w:val="22"/>
        </w:rPr>
        <w:t>- Full disclosure — banks see complete trade details (buyer/seller names, documents, historical</w:t>
      </w:r>
    </w:p>
    <w:p>
      <w:pPr>
        <w:spacing w:after="80" w:line="293" w:lineRule="auto"/>
        <w:jc w:val="left"/>
      </w:pPr>
      <w:r>
        <w:rPr>
          <w:rFonts w:ascii="Times New Roman" w:hAnsi="Times New Roman" w:cs="Times New Roman"/>
          <w:b w:val="0"/>
          <w:i w:val="0"/>
          <w:sz w:val="22"/>
        </w:rPr>
        <w:t>performance, previous financing history) before bidding. This is the key trust advantage of the platform's trade finance model.</w:t>
      </w:r>
    </w:p>
    <w:p>
      <w:pPr>
        <w:spacing w:after="80" w:line="293" w:lineRule="auto"/>
        <w:ind w:left="283"/>
        <w:jc w:val="left"/>
      </w:pPr>
      <w:r>
        <w:rPr>
          <w:rFonts w:ascii="Times New Roman" w:hAnsi="Times New Roman" w:cs="Times New Roman"/>
          <w:b w:val="0"/>
          <w:i w:val="0"/>
          <w:sz w:val="22"/>
        </w:rPr>
        <w:t>- Co-financing — multiple banks can each finance a portion of the same request.</w:t>
      </w:r>
    </w:p>
    <w:p>
      <w:pPr>
        <w:spacing w:after="80" w:line="293" w:lineRule="auto"/>
        <w:ind w:left="283"/>
        <w:jc w:val="left"/>
      </w:pPr>
      <w:r>
        <w:rPr>
          <w:rFonts w:ascii="Times New Roman" w:hAnsi="Times New Roman" w:cs="Times New Roman"/>
          <w:b w:val="0"/>
          <w:i w:val="0"/>
          <w:sz w:val="22"/>
        </w:rPr>
        <w:t>- Collateral monitoring — real-time LTV tracking, margin calls, liquidation risk prediction.</w:t>
      </w:r>
    </w:p>
    <w:p>
      <w:pPr>
        <w:spacing w:after="80" w:line="293" w:lineRule="auto"/>
        <w:ind w:left="283"/>
        <w:jc w:val="left"/>
      </w:pPr>
      <w:r>
        <w:rPr>
          <w:rFonts w:ascii="Times New Roman" w:hAnsi="Times New Roman" w:cs="Times New Roman"/>
          <w:b w:val="0"/>
          <w:i w:val="0"/>
          <w:sz w:val="22"/>
        </w:rPr>
        <w:t>- Regulatory reporting — automated generation of CBE monthly remittance reports (Egypt), ECB</w:t>
      </w:r>
    </w:p>
    <w:p>
      <w:pPr>
        <w:spacing w:after="80" w:line="293" w:lineRule="auto"/>
        <w:jc w:val="left"/>
      </w:pPr>
      <w:r>
        <w:rPr>
          <w:rFonts w:ascii="Times New Roman" w:hAnsi="Times New Roman" w:cs="Times New Roman"/>
          <w:b w:val="0"/>
          <w:i w:val="0"/>
          <w:sz w:val="22"/>
        </w:rPr>
        <w:t>statistical returns (EU), FinCEN SAR (USA), and equivalents.</w:t>
      </w:r>
    </w:p>
    <w:p>
      <w:pPr>
        <w:keepNext/>
        <w:spacing w:before="140" w:after="60"/>
        <w:outlineLvl w:val="3"/>
      </w:pPr>
      <w:r>
        <w:rPr>
          <w:rFonts w:ascii="Arial" w:hAnsi="Arial" w:cs="Arial"/>
          <w:b/>
          <w:i/>
          <w:color w:val="333333"/>
          <w:sz w:val="22"/>
        </w:rPr>
        <w:t>16.8.10.2 Full Tab Specification (Workflow Order)</w:t>
      </w:r>
    </w:p>
    <w:p>
      <w:pPr>
        <w:spacing w:after="80" w:line="293" w:lineRule="auto"/>
        <w:jc w:val="left"/>
      </w:pPr>
      <w:r>
        <w:rPr>
          <w:rFonts w:ascii="Times New Roman" w:hAnsi="Times New Roman" w:cs="Times New Roman"/>
          <w:b w:val="0"/>
          <w:i w:val="0"/>
          <w:sz w:val="22"/>
        </w:rPr>
        <w:t>Tab 1: Universal Command Center (Home). Primary landing page (full specification in 16.13). Shows executive summary cards: Financing Opportunities (match score &gt; 80) — count; Active Loans (outstanding principal); Margin Calls Pending; Repayments Due (next 7 days); Regulatory Report Deadlines. Bank-specific quick actions: "View Opportunities", "Submit Bid", "Generate CBE Report", "Issue Margin Call". AI: A1 (Groq) for assistant chat, portfolio summary, and activity summarisation.</w:t>
      </w:r>
    </w:p>
    <w:p>
      <w:pPr>
        <w:spacing w:after="80" w:line="293" w:lineRule="auto"/>
        <w:jc w:val="left"/>
      </w:pPr>
      <w:r>
        <w:rPr>
          <w:rFonts w:ascii="Times New Roman" w:hAnsi="Times New Roman" w:cs="Times New Roman"/>
          <w:b w:val="0"/>
          <w:i w:val="0"/>
          <w:sz w:val="22"/>
        </w:rPr>
        <w:t>Tab 2: Financing Opportunities (Auto-RFQ Inbox). Receive financing requests that match the bank's pre-set preferences. Each request includes full disclosure of trade details, counterparty performance, and AI credit intelligence. One-click guarantee: Submit Bid (1) after filling the form. Integration: financing requests originate from the Seller Dashboard — Financing tab (16.10) or the Buyer Dashboard — Financing tab (16.9). The borrower clicks "Request Financing" → credit intelligence is computed → the auto-RFQ is broadcast to matching financiers (Section 10). Banks receive the opportunities in this tab.</w:t>
      </w:r>
    </w:p>
    <w:p>
      <w:pPr>
        <w:spacing w:after="80" w:line="293" w:lineRule="auto"/>
        <w:jc w:val="left"/>
      </w:pPr>
      <w:r>
        <w:rPr>
          <w:rFonts w:ascii="Times New Roman" w:hAnsi="Times New Roman" w:cs="Times New Roman"/>
          <w:b w:val="0"/>
          <w:i w:val="0"/>
          <w:sz w:val="22"/>
        </w:rPr>
        <w:t>Tab 3: My Bids &amp; Active Loans. Track submitted bids (active, outbid, expired) and manage active loans (collateral monitoring, margin calls, repayments). One-click guarantee: Increase Bid (1), Withdraw (1), Issue Margin Call (1), View Dashboard (1). Integration: active loans are created after the borrower accepts bids and the financing agreement is signed (Section 10). Disbursement follows — the dedicated settlement leg deducts a 0.25% fee. Repayment monitoring is automatic via bank confirmations (camt.054).</w:t>
      </w:r>
    </w:p>
    <w:p>
      <w:pPr>
        <w:spacing w:after="80" w:line="293" w:lineRule="auto"/>
        <w:jc w:val="left"/>
      </w:pPr>
      <w:r>
        <w:rPr>
          <w:rFonts w:ascii="Times New Roman" w:hAnsi="Times New Roman" w:cs="Times New Roman"/>
          <w:b w:val="0"/>
          <w:i w:val="0"/>
          <w:sz w:val="22"/>
        </w:rPr>
        <w:t>Tab 4: Portfolio &amp; Compliance. Portfolio summary, exposure breakdown, regulatory report generation (CBE monthly remittance, ECB, FinCEN SAR, etc.), and continuous compliance alerts.</w:t>
      </w:r>
    </w:p>
    <w:p>
      <w:pPr>
        <w:spacing w:after="80" w:line="293" w:lineRule="auto"/>
        <w:jc w:val="left"/>
      </w:pPr>
      <w:r>
        <w:rPr>
          <w:rFonts w:ascii="Times New Roman" w:hAnsi="Times New Roman" w:cs="Times New Roman"/>
          <w:b w:val="0"/>
          <w:i w:val="0"/>
          <w:sz w:val="22"/>
        </w:rPr>
        <w:t>Tab 5: Financed Companies. Private, read-only, audit-traced directory of every borrower the bank has ever financed. This data is never shared with other financiers.</w:t>
      </w:r>
    </w:p>
    <w:p>
      <w:pPr>
        <w:spacing w:after="80" w:line="293" w:lineRule="auto"/>
        <w:jc w:val="left"/>
      </w:pPr>
      <w:r>
        <w:rPr>
          <w:rFonts w:ascii="Times New Roman" w:hAnsi="Times New Roman" w:cs="Times New Roman"/>
          <w:b w:val="0"/>
          <w:i w:val="0"/>
          <w:sz w:val="22"/>
        </w:rPr>
        <w:t>Tab 6: Company Admin. Financier-specific configuration: preferences, risk appetite, exposure limits, notification settings, API key management, and team management.</w:t>
      </w:r>
    </w:p>
    <w:p>
      <w:pPr>
        <w:keepNext/>
        <w:spacing w:before="140" w:after="60"/>
        <w:outlineLvl w:val="3"/>
      </w:pPr>
      <w:r>
        <w:rPr>
          <w:rFonts w:ascii="Arial" w:hAnsi="Arial" w:cs="Arial"/>
          <w:b/>
          <w:i/>
          <w:color w:val="333333"/>
          <w:sz w:val="22"/>
        </w:rPr>
        <w:t>16.8.10.3 Smart Inbox Integration (Bank)</w:t>
      </w:r>
    </w:p>
    <w:p>
      <w:pPr>
        <w:spacing w:after="80" w:line="293" w:lineRule="auto"/>
        <w:jc w:val="left"/>
      </w:pPr>
      <w:r>
        <w:rPr>
          <w:rFonts w:ascii="Times New Roman" w:hAnsi="Times New Roman" w:cs="Times New Roman"/>
          <w:b w:val="0"/>
          <w:i w:val="0"/>
          <w:sz w:val="22"/>
        </w:rPr>
        <w:t>The Bank Smart Inbox surfaces: new financing opportunities (with match score), outbid alerts, margin call triggers, repayment overdue alerts, regulatory report deadlines, and compliance alerts.</w:t>
      </w:r>
    </w:p>
    <w:p>
      <w:pPr>
        <w:keepNext/>
        <w:spacing w:before="140" w:after="60"/>
        <w:outlineLvl w:val="3"/>
      </w:pPr>
      <w:r>
        <w:rPr>
          <w:rFonts w:ascii="Arial" w:hAnsi="Arial" w:cs="Arial"/>
          <w:b/>
          <w:i/>
          <w:color w:val="333333"/>
          <w:sz w:val="22"/>
        </w:rPr>
        <w:t>16.8.10.4 One-Click Count Summary (Bank)</w:t>
      </w:r>
    </w:p>
    <w:p>
      <w:pPr>
        <w:spacing w:after="80" w:line="293" w:lineRule="auto"/>
        <w:jc w:val="left"/>
      </w:pPr>
      <w:r>
        <w:rPr>
          <w:rFonts w:ascii="Times New Roman" w:hAnsi="Times New Roman" w:cs="Times New Roman"/>
          <w:b w:val="0"/>
          <w:i w:val="0"/>
          <w:sz w:val="22"/>
        </w:rPr>
        <w:t>Submit bid (1), increase bid (1), withdraw (1), issue margin call (1), generate regulatory report (1).</w:t>
      </w:r>
    </w:p>
    <w:p>
      <w:pPr>
        <w:keepNext/>
        <w:spacing w:before="140" w:after="60"/>
        <w:outlineLvl w:val="3"/>
      </w:pPr>
      <w:r>
        <w:rPr>
          <w:rFonts w:ascii="Arial" w:hAnsi="Arial" w:cs="Arial"/>
          <w:b/>
          <w:i/>
          <w:color w:val="333333"/>
          <w:sz w:val="22"/>
        </w:rPr>
        <w:t>16.8.10.5 Implementation Checklist (Bank Portal)</w:t>
      </w:r>
    </w:p>
    <w:p>
      <w:pPr>
        <w:spacing w:after="80" w:line="293" w:lineRule="auto"/>
        <w:ind w:left="283"/>
        <w:jc w:val="left"/>
      </w:pPr>
      <w:r>
        <w:rPr>
          <w:rFonts w:ascii="Times New Roman" w:hAnsi="Times New Roman" w:cs="Times New Roman"/>
          <w:b w:val="0"/>
          <w:i w:val="0"/>
          <w:sz w:val="22"/>
        </w:rPr>
        <w:t>- Universal Command Center: bank-specific cards (opportunities, active loans, margin calls, report</w:t>
      </w:r>
    </w:p>
    <w:p>
      <w:pPr>
        <w:spacing w:after="80" w:line="293" w:lineRule="auto"/>
        <w:jc w:val="left"/>
      </w:pPr>
      <w:r>
        <w:rPr>
          <w:rFonts w:ascii="Times New Roman" w:hAnsi="Times New Roman" w:cs="Times New Roman"/>
          <w:b w:val="0"/>
          <w:i w:val="0"/>
          <w:sz w:val="22"/>
        </w:rPr>
        <w:t>deadlines).</w:t>
      </w:r>
    </w:p>
    <w:p>
      <w:pPr>
        <w:spacing w:after="80" w:line="293" w:lineRule="auto"/>
        <w:ind w:left="283"/>
        <w:jc w:val="left"/>
      </w:pPr>
      <w:r>
        <w:rPr>
          <w:rFonts w:ascii="Times New Roman" w:hAnsi="Times New Roman" w:cs="Times New Roman"/>
          <w:b w:val="0"/>
          <w:i w:val="0"/>
          <w:sz w:val="22"/>
        </w:rPr>
        <w:t>- Financing Opportunities: auto-RFQ list with match score, credit intelligence, deadline; full</w:t>
      </w:r>
    </w:p>
    <w:p>
      <w:pPr>
        <w:spacing w:after="80" w:line="293" w:lineRule="auto"/>
        <w:jc w:val="left"/>
      </w:pPr>
      <w:r>
        <w:rPr>
          <w:rFonts w:ascii="Times New Roman" w:hAnsi="Times New Roman" w:cs="Times New Roman"/>
          <w:b w:val="0"/>
          <w:i w:val="0"/>
          <w:sz w:val="22"/>
        </w:rPr>
        <w:t>disclosure page (trade details, counterparty performance, previous financing history, documents); bid submission form (encrypted, co-financing capable).</w:t>
      </w:r>
    </w:p>
    <w:p>
      <w:pPr>
        <w:spacing w:after="80" w:line="293" w:lineRule="auto"/>
        <w:ind w:left="283"/>
        <w:jc w:val="left"/>
      </w:pPr>
      <w:r>
        <w:rPr>
          <w:rFonts w:ascii="Times New Roman" w:hAnsi="Times New Roman" w:cs="Times New Roman"/>
          <w:b w:val="0"/>
          <w:i w:val="0"/>
          <w:sz w:val="22"/>
        </w:rPr>
        <w:t>- My Bids &amp; Active Loans: Active Bids sub-view (increase, withdraw, outbid alerts); Won Agreements</w:t>
      </w:r>
    </w:p>
    <w:p>
      <w:pPr>
        <w:spacing w:after="80" w:line="293" w:lineRule="auto"/>
        <w:jc w:val="left"/>
      </w:pPr>
      <w:r>
        <w:rPr>
          <w:rFonts w:ascii="Times New Roman" w:hAnsi="Times New Roman" w:cs="Times New Roman"/>
          <w:b w:val="0"/>
          <w:i w:val="0"/>
          <w:sz w:val="22"/>
        </w:rPr>
        <w:t>sub-view (active loans with LTV, repayment health); Collateral Monitoring Dashboard (LTV gauge, history chart, liquidation risk meter, margin call log, price drop simulator); issue margin call (one-click, pre-filled modal).</w:t>
      </w:r>
    </w:p>
    <w:p>
      <w:pPr>
        <w:spacing w:after="80" w:line="293" w:lineRule="auto"/>
        <w:ind w:left="283"/>
        <w:jc w:val="left"/>
      </w:pPr>
      <w:r>
        <w:rPr>
          <w:rFonts w:ascii="Times New Roman" w:hAnsi="Times New Roman" w:cs="Times New Roman"/>
          <w:b w:val="0"/>
          <w:i w:val="0"/>
          <w:sz w:val="22"/>
        </w:rPr>
        <w:t>- Portfolio &amp; Compliance: AI portfolio summary (A1); exposure breakdown charts; risk appetite</w:t>
      </w:r>
    </w:p>
    <w:p>
      <w:pPr>
        <w:spacing w:after="80" w:line="293" w:lineRule="auto"/>
        <w:jc w:val="left"/>
      </w:pPr>
      <w:r>
        <w:rPr>
          <w:rFonts w:ascii="Times New Roman" w:hAnsi="Times New Roman" w:cs="Times New Roman"/>
          <w:b w:val="0"/>
          <w:i w:val="0"/>
          <w:sz w:val="22"/>
        </w:rPr>
        <w:t>validation; regulatory report generation (CBE, ECB, FinCEN SAR, VAT/GST); continuous compliance alerts.</w:t>
      </w:r>
    </w:p>
    <w:p>
      <w:pPr>
        <w:spacing w:after="80" w:line="293" w:lineRule="auto"/>
        <w:ind w:left="283"/>
        <w:jc w:val="left"/>
      </w:pPr>
      <w:r>
        <w:rPr>
          <w:rFonts w:ascii="Times New Roman" w:hAnsi="Times New Roman" w:cs="Times New Roman"/>
          <w:b w:val="0"/>
          <w:i w:val="0"/>
          <w:sz w:val="22"/>
        </w:rPr>
        <w:t>- Financed Companies: company list (private, audit-traced); company profile with credit score trend,</w:t>
      </w:r>
    </w:p>
    <w:p>
      <w:pPr>
        <w:spacing w:after="80" w:line="293" w:lineRule="auto"/>
        <w:jc w:val="left"/>
      </w:pPr>
      <w:r>
        <w:rPr>
          <w:rFonts w:ascii="Times New Roman" w:hAnsi="Times New Roman" w:cs="Times New Roman"/>
          <w:b w:val="0"/>
          <w:i w:val="0"/>
          <w:sz w:val="22"/>
        </w:rPr>
        <w:t>financing history, refresh assessment.</w:t>
      </w:r>
    </w:p>
    <w:p>
      <w:pPr>
        <w:spacing w:after="80" w:line="293" w:lineRule="auto"/>
        <w:ind w:left="283"/>
        <w:jc w:val="left"/>
      </w:pPr>
      <w:r>
        <w:rPr>
          <w:rFonts w:ascii="Times New Roman" w:hAnsi="Times New Roman" w:cs="Times New Roman"/>
          <w:b w:val="0"/>
          <w:i w:val="0"/>
          <w:sz w:val="22"/>
        </w:rPr>
        <w:t>- Company Admin: role templates (credit_analyst, trader, compliance, risk_manager, viewer); natural</w:t>
      </w:r>
    </w:p>
    <w:p>
      <w:pPr>
        <w:spacing w:after="80" w:line="293" w:lineRule="auto"/>
        <w:jc w:val="left"/>
      </w:pPr>
      <w:r>
        <w:rPr>
          <w:rFonts w:ascii="Times New Roman" w:hAnsi="Times New Roman" w:cs="Times New Roman"/>
          <w:b w:val="0"/>
          <w:i w:val="0"/>
          <w:sz w:val="22"/>
        </w:rPr>
        <w:t>language risk appetite parsing (A2); preferences configuration (countries, trust score, amount, financing types, settlement methods, excluded commodities); exposure limits (per commodity, per country); notification preferences; API key management.</w:t>
      </w:r>
    </w:p>
    <w:p>
      <w:pPr>
        <w:keepNext/>
        <w:spacing w:before="180" w:after="80"/>
        <w:outlineLvl w:val="2"/>
      </w:pPr>
      <w:r>
        <w:rPr>
          <w:rFonts w:ascii="Arial" w:hAnsi="Arial" w:cs="Arial"/>
          <w:b/>
          <w:i w:val="0"/>
          <w:color w:val="333333"/>
          <w:sz w:val="23"/>
        </w:rPr>
        <w:t>16.8.11 Financier (PFI) Portal</w:t>
      </w:r>
    </w:p>
    <w:p>
      <w:pPr>
        <w:keepNext/>
        <w:spacing w:before="140" w:after="60"/>
        <w:outlineLvl w:val="3"/>
      </w:pPr>
      <w:r>
        <w:rPr>
          <w:rFonts w:ascii="Arial" w:hAnsi="Arial" w:cs="Arial"/>
          <w:b/>
          <w:i/>
          <w:color w:val="333333"/>
          <w:sz w:val="22"/>
        </w:rPr>
        <w:t>16.8.11.1 Access &amp; Purpose</w:t>
      </w:r>
    </w:p>
    <w:p>
      <w:pPr>
        <w:spacing w:after="80" w:line="293" w:lineRule="auto"/>
        <w:jc w:val="left"/>
      </w:pPr>
      <w:r>
        <w:rPr>
          <w:rFonts w:ascii="Times New Roman" w:hAnsi="Times New Roman" w:cs="Times New Roman"/>
          <w:b w:val="0"/>
          <w:i w:val="0"/>
          <w:sz w:val="22"/>
        </w:rPr>
        <w:t>Access: tenants with type = FIN and sub_type = PRIVATE (family offices, private credit funds, factoring companies, peer-to-peer lenders). Onboarding requires: proof of registration or regulatory exemption in their jurisdiction (dynamic check by RIA); legal basis explanation (e.g., "private lending exemption"); list of authorised signatories. No CBE accreditation required (but activity may be restricted in certain jurisdictions). Dual-mode toggle: not applicable.</w:t>
      </w:r>
    </w:p>
    <w:p>
      <w:pPr>
        <w:spacing w:after="80" w:line="293" w:lineRule="auto"/>
        <w:jc w:val="left"/>
      </w:pPr>
      <w:r>
        <w:rPr>
          <w:rFonts w:ascii="Times New Roman" w:hAnsi="Times New Roman" w:cs="Times New Roman"/>
          <w:b w:val="0"/>
          <w:i w:val="0"/>
          <w:sz w:val="22"/>
        </w:rPr>
        <w:t>Landing page (configurable): default is the Universal Command Center — showing financing opportunities, active loans, repayment reminders, and portfolio performance. Users can set a preference to land directly on Financing Opportunities.</w:t>
      </w:r>
    </w:p>
    <w:p>
      <w:pPr>
        <w:spacing w:after="80" w:line="293" w:lineRule="auto"/>
        <w:jc w:val="left"/>
      </w:pPr>
      <w:r>
        <w:rPr>
          <w:rFonts w:ascii="Times New Roman" w:hAnsi="Times New Roman" w:cs="Times New Roman"/>
          <w:b w:val="0"/>
          <w:i w:val="0"/>
          <w:sz w:val="22"/>
        </w:rPr>
        <w:t>Portal philosophy: private financiers receive auto-RFQ broadcasts similarly to banks, but with simplified compliance (no CBE reporting). Full disclosure — PFIs see complete trade details before bidding. Co-financing — multiple PFIs can co-finance a single request. Collateral monitoring — the same LTV tracking, margin calls, and liquidation risk prediction as banks (but no regulatory reporting). No CBE/ECB/FinCEN reporting — instead, the PFI can download a portfolio CSV for internal reporting.</w:t>
      </w:r>
    </w:p>
    <w:p>
      <w:pPr>
        <w:keepNext/>
        <w:spacing w:before="140" w:after="60"/>
        <w:outlineLvl w:val="3"/>
      </w:pPr>
      <w:r>
        <w:rPr>
          <w:rFonts w:ascii="Arial" w:hAnsi="Arial" w:cs="Arial"/>
          <w:b/>
          <w:i/>
          <w:color w:val="333333"/>
          <w:sz w:val="22"/>
        </w:rPr>
        <w:t>16.8.11.2 Full Tab Specification (Workflow Order)</w:t>
      </w:r>
    </w:p>
    <w:p>
      <w:pPr>
        <w:spacing w:after="80" w:line="293" w:lineRule="auto"/>
        <w:jc w:val="left"/>
      </w:pPr>
      <w:r>
        <w:rPr>
          <w:rFonts w:ascii="Times New Roman" w:hAnsi="Times New Roman" w:cs="Times New Roman"/>
          <w:b w:val="0"/>
          <w:i w:val="0"/>
          <w:sz w:val="22"/>
        </w:rPr>
        <w:t>Tab 1: Universal Command Center (Home). Primary landing page (full specification in 16.13). Shows executive summary cards: Financing Opportunities (match score &gt; 80) — count; Active Loans (outstanding principal); Margin Calls Pending; Repayments Due (next 7 days); Portfolio Return (annualised). PFI-specific quick actions: "View Opportunities", "Submit Bid", "Download Portfolio CSV", "Issue Margin Call". AI: A1 (Groq) for assistant chat, portfolio summary, and activity summarisation.</w:t>
      </w:r>
    </w:p>
    <w:p>
      <w:pPr>
        <w:spacing w:after="80" w:line="293" w:lineRule="auto"/>
        <w:jc w:val="left"/>
      </w:pPr>
      <w:r>
        <w:rPr>
          <w:rFonts w:ascii="Times New Roman" w:hAnsi="Times New Roman" w:cs="Times New Roman"/>
          <w:b w:val="0"/>
          <w:i w:val="0"/>
          <w:sz w:val="22"/>
        </w:rPr>
        <w:t>Tab 2: Financing Opportunities (Auto-RFQ Inbox). Receive financing requests that match the PFI's pre-set preferences. Identical to the bank portal — full disclosure of trade details, counterparty performance, and AI credit intelligence. One-click guarantee: Submit Bid (1). No minimum bid count is required; a PFI can bid alone. Blended rate is not applicable for a single financier.</w:t>
      </w:r>
    </w:p>
    <w:p>
      <w:pPr>
        <w:spacing w:after="80" w:line="293" w:lineRule="auto"/>
        <w:jc w:val="left"/>
      </w:pPr>
      <w:r>
        <w:rPr>
          <w:rFonts w:ascii="Times New Roman" w:hAnsi="Times New Roman" w:cs="Times New Roman"/>
          <w:b w:val="0"/>
          <w:i w:val="0"/>
          <w:sz w:val="22"/>
        </w:rPr>
        <w:t>Tab 3: My Bids &amp; Active Loans. Track submitted bids and manage active loans with collateral monitoring (simplified — no regulatory reporting).</w:t>
      </w:r>
    </w:p>
    <w:p>
      <w:pPr>
        <w:spacing w:after="80" w:line="293" w:lineRule="auto"/>
        <w:jc w:val="left"/>
      </w:pPr>
      <w:r>
        <w:rPr>
          <w:rFonts w:ascii="Times New Roman" w:hAnsi="Times New Roman" w:cs="Times New Roman"/>
          <w:b w:val="0"/>
          <w:i w:val="0"/>
          <w:sz w:val="22"/>
        </w:rPr>
        <w:t>Tab 4: Portfolio &amp; Performance. Portfolio summary, return on capital, default rate, exposure breakdown. No CBE/ECB/FinCEN reporting.</w:t>
      </w:r>
    </w:p>
    <w:p>
      <w:pPr>
        <w:spacing w:after="80" w:line="293" w:lineRule="auto"/>
        <w:jc w:val="left"/>
      </w:pPr>
      <w:r>
        <w:rPr>
          <w:rFonts w:ascii="Times New Roman" w:hAnsi="Times New Roman" w:cs="Times New Roman"/>
          <w:b w:val="0"/>
          <w:i w:val="0"/>
          <w:sz w:val="22"/>
        </w:rPr>
        <w:t>Tab 5: Financed Companies. Private, read-only, audit-traced directory of every borrower the PFI has ever financed. Identical to the bank portal but with a simplified compliance view.</w:t>
      </w:r>
    </w:p>
    <w:p>
      <w:pPr>
        <w:spacing w:after="80" w:line="293" w:lineRule="auto"/>
        <w:jc w:val="left"/>
      </w:pPr>
      <w:r>
        <w:rPr>
          <w:rFonts w:ascii="Times New Roman" w:hAnsi="Times New Roman" w:cs="Times New Roman"/>
          <w:b w:val="0"/>
          <w:i w:val="0"/>
          <w:sz w:val="22"/>
        </w:rPr>
        <w:t>Tab 6: Company Admin. PFI-specific configuration (simplified compared to the bank): preferences, risk appetite, exposure limits, notification settings, API key management (optional).</w:t>
      </w:r>
    </w:p>
    <w:p>
      <w:pPr>
        <w:keepNext/>
        <w:spacing w:before="140" w:after="60"/>
        <w:outlineLvl w:val="3"/>
      </w:pPr>
      <w:r>
        <w:rPr>
          <w:rFonts w:ascii="Arial" w:hAnsi="Arial" w:cs="Arial"/>
          <w:b/>
          <w:i/>
          <w:color w:val="333333"/>
          <w:sz w:val="22"/>
        </w:rPr>
        <w:t>16.8.11.3 Smart Inbox Integration (PFI)</w:t>
      </w:r>
    </w:p>
    <w:p>
      <w:pPr>
        <w:spacing w:after="80" w:line="293" w:lineRule="auto"/>
        <w:jc w:val="left"/>
      </w:pPr>
      <w:r>
        <w:rPr>
          <w:rFonts w:ascii="Times New Roman" w:hAnsi="Times New Roman" w:cs="Times New Roman"/>
          <w:b w:val="0"/>
          <w:i w:val="0"/>
          <w:sz w:val="22"/>
        </w:rPr>
        <w:t>The PFI Smart Inbox surfaces: new financing opportunities, outbid alerts, margin call triggers, repayment reminders, and KYB expiry / sanctions compliance alerts.</w:t>
      </w:r>
    </w:p>
    <w:p>
      <w:pPr>
        <w:keepNext/>
        <w:spacing w:before="140" w:after="60"/>
        <w:outlineLvl w:val="3"/>
      </w:pPr>
      <w:r>
        <w:rPr>
          <w:rFonts w:ascii="Arial" w:hAnsi="Arial" w:cs="Arial"/>
          <w:b/>
          <w:i/>
          <w:color w:val="333333"/>
          <w:sz w:val="22"/>
        </w:rPr>
        <w:t>16.8.11.4 One-Click Count Summary (PFI)</w:t>
      </w:r>
    </w:p>
    <w:p>
      <w:pPr>
        <w:spacing w:after="80" w:line="293" w:lineRule="auto"/>
        <w:jc w:val="left"/>
      </w:pPr>
      <w:r>
        <w:rPr>
          <w:rFonts w:ascii="Times New Roman" w:hAnsi="Times New Roman" w:cs="Times New Roman"/>
          <w:b w:val="0"/>
          <w:i w:val="0"/>
          <w:sz w:val="22"/>
        </w:rPr>
        <w:t>Submit bid (1), increase bid (1), withdraw (1), issue margin call (1), download portfolio CSV (1).</w:t>
      </w:r>
    </w:p>
    <w:p>
      <w:pPr>
        <w:keepNext/>
        <w:spacing w:before="140" w:after="60"/>
        <w:outlineLvl w:val="3"/>
      </w:pPr>
      <w:r>
        <w:rPr>
          <w:rFonts w:ascii="Arial" w:hAnsi="Arial" w:cs="Arial"/>
          <w:b/>
          <w:i/>
          <w:color w:val="333333"/>
          <w:sz w:val="22"/>
        </w:rPr>
        <w:t>16.8.11.5 Implementation Checklist (PFI Portal)</w:t>
      </w:r>
    </w:p>
    <w:p>
      <w:pPr>
        <w:spacing w:after="80" w:line="293" w:lineRule="auto"/>
        <w:ind w:left="283"/>
        <w:jc w:val="left"/>
      </w:pPr>
      <w:r>
        <w:rPr>
          <w:rFonts w:ascii="Times New Roman" w:hAnsi="Times New Roman" w:cs="Times New Roman"/>
          <w:b w:val="0"/>
          <w:i w:val="0"/>
          <w:sz w:val="22"/>
        </w:rPr>
        <w:t>- Universal Command Center: PFI-specific cards (opportunities, active loans, margin calls, portfolio</w:t>
      </w:r>
    </w:p>
    <w:p>
      <w:pPr>
        <w:spacing w:after="80" w:line="293" w:lineRule="auto"/>
        <w:jc w:val="left"/>
      </w:pPr>
      <w:r>
        <w:rPr>
          <w:rFonts w:ascii="Times New Roman" w:hAnsi="Times New Roman" w:cs="Times New Roman"/>
          <w:b w:val="0"/>
          <w:i w:val="0"/>
          <w:sz w:val="22"/>
        </w:rPr>
        <w:t>return).</w:t>
      </w:r>
    </w:p>
    <w:p>
      <w:pPr>
        <w:spacing w:after="80" w:line="293" w:lineRule="auto"/>
        <w:ind w:left="283"/>
        <w:jc w:val="left"/>
      </w:pPr>
      <w:r>
        <w:rPr>
          <w:rFonts w:ascii="Times New Roman" w:hAnsi="Times New Roman" w:cs="Times New Roman"/>
          <w:b w:val="0"/>
          <w:i w:val="0"/>
          <w:sz w:val="22"/>
        </w:rPr>
        <w:t>- Financing Opportunities: as specified for the Bank Portal checklist (Section 16.8.10.5) — auto-RFQ list with match score, full disclosure page, and encrypted co-financing-capable bid form.</w:t>
      </w:r>
    </w:p>
    <w:p>
      <w:pPr>
        <w:spacing w:after="80" w:line="293" w:lineRule="auto"/>
        <w:ind w:left="283"/>
        <w:jc w:val="left"/>
      </w:pPr>
      <w:r>
        <w:rPr>
          <w:rFonts w:ascii="Times New Roman" w:hAnsi="Times New Roman" w:cs="Times New Roman"/>
          <w:b w:val="0"/>
          <w:i w:val="0"/>
          <w:sz w:val="22"/>
        </w:rPr>
        <w:t>- My Bids &amp; Active Loans: as specified for the Bank Portal checklist (Section 16.8.10.5) — active bids, won agreements, collateral monitoring, and one-click margin call.</w:t>
      </w:r>
    </w:p>
    <w:p>
      <w:pPr>
        <w:spacing w:after="80" w:line="293" w:lineRule="auto"/>
        <w:ind w:left="283"/>
        <w:jc w:val="left"/>
      </w:pPr>
      <w:r>
        <w:rPr>
          <w:rFonts w:ascii="Times New Roman" w:hAnsi="Times New Roman" w:cs="Times New Roman"/>
          <w:b w:val="0"/>
          <w:i w:val="0"/>
          <w:sz w:val="22"/>
        </w:rPr>
        <w:t>- Portfolio &amp; Performance: AI portfolio summary (A1); exposure breakdown charts; return on capital;</w:t>
      </w:r>
    </w:p>
    <w:p>
      <w:pPr>
        <w:spacing w:after="80" w:line="293" w:lineRule="auto"/>
        <w:jc w:val="left"/>
      </w:pPr>
      <w:r>
        <w:rPr>
          <w:rFonts w:ascii="Times New Roman" w:hAnsi="Times New Roman" w:cs="Times New Roman"/>
          <w:b w:val="0"/>
          <w:i w:val="0"/>
          <w:sz w:val="22"/>
        </w:rPr>
        <w:t>default rate; download Portfolio CSV (one-click); continuous compliance alerts (KYB expiry, sanctions).</w:t>
      </w:r>
    </w:p>
    <w:p>
      <w:pPr>
        <w:spacing w:after="80" w:line="293" w:lineRule="auto"/>
        <w:ind w:left="283"/>
        <w:jc w:val="left"/>
      </w:pPr>
      <w:r>
        <w:rPr>
          <w:rFonts w:ascii="Times New Roman" w:hAnsi="Times New Roman" w:cs="Times New Roman"/>
          <w:b w:val="0"/>
          <w:i w:val="0"/>
          <w:sz w:val="22"/>
        </w:rPr>
        <w:t>- Financed Companies: company list (private, audit-traced); company profile with credit score trend,</w:t>
      </w:r>
    </w:p>
    <w:p>
      <w:pPr>
        <w:spacing w:after="80" w:line="293" w:lineRule="auto"/>
        <w:jc w:val="left"/>
      </w:pPr>
      <w:r>
        <w:rPr>
          <w:rFonts w:ascii="Times New Roman" w:hAnsi="Times New Roman" w:cs="Times New Roman"/>
          <w:b w:val="0"/>
          <w:i w:val="0"/>
          <w:sz w:val="22"/>
        </w:rPr>
        <w:t>financing history, refresh assessment.</w:t>
      </w:r>
    </w:p>
    <w:p>
      <w:pPr>
        <w:spacing w:after="80" w:line="293" w:lineRule="auto"/>
        <w:ind w:left="283"/>
        <w:jc w:val="left"/>
      </w:pPr>
      <w:r>
        <w:rPr>
          <w:rFonts w:ascii="Times New Roman" w:hAnsi="Times New Roman" w:cs="Times New Roman"/>
          <w:b w:val="0"/>
          <w:i w:val="0"/>
          <w:sz w:val="22"/>
        </w:rPr>
        <w:t>- Company Admin: role templates (investor, admin, viewer); natural language risk appetite parsing</w:t>
      </w:r>
    </w:p>
    <w:p>
      <w:pPr>
        <w:spacing w:after="80" w:line="293" w:lineRule="auto"/>
        <w:jc w:val="left"/>
      </w:pPr>
      <w:r>
        <w:rPr>
          <w:rFonts w:ascii="Times New Roman" w:hAnsi="Times New Roman" w:cs="Times New Roman"/>
          <w:b w:val="0"/>
          <w:i w:val="0"/>
          <w:sz w:val="22"/>
        </w:rPr>
        <w:t>(A2); preferences configuration; exposure limits (optional — advisory warnings); notification preferences; API key management (optional).</w:t>
      </w:r>
    </w:p>
    <w:p>
      <w:pPr>
        <w:keepNext/>
        <w:spacing w:before="180" w:after="80"/>
        <w:outlineLvl w:val="2"/>
      </w:pPr>
      <w:r>
        <w:rPr>
          <w:rFonts w:ascii="Arial" w:hAnsi="Arial" w:cs="Arial"/>
          <w:b/>
          <w:i w:val="0"/>
          <w:color w:val="333333"/>
          <w:sz w:val="23"/>
        </w:rPr>
        <w:t>16.8.12 Government Portal</w:t>
      </w:r>
    </w:p>
    <w:p>
      <w:pPr>
        <w:keepNext/>
        <w:spacing w:before="140" w:after="60"/>
        <w:outlineLvl w:val="3"/>
      </w:pPr>
      <w:r>
        <w:rPr>
          <w:rFonts w:ascii="Arial" w:hAnsi="Arial" w:cs="Arial"/>
          <w:b/>
          <w:i/>
          <w:color w:val="333333"/>
          <w:sz w:val="22"/>
        </w:rPr>
        <w:t>16.8.12.1 Access &amp; Purpose</w:t>
      </w:r>
    </w:p>
    <w:p>
      <w:pPr>
        <w:spacing w:after="80" w:line="293" w:lineRule="auto"/>
        <w:jc w:val="left"/>
      </w:pPr>
      <w:r>
        <w:rPr>
          <w:rFonts w:ascii="Times New Roman" w:hAnsi="Times New Roman" w:cs="Times New Roman"/>
          <w:b w:val="0"/>
          <w:i w:val="0"/>
          <w:sz w:val="22"/>
        </w:rPr>
        <w:t>Access: employees of tenants with type = GOV (customs, port authority, trade ministry). Modules are dynamically configured per agency. Dual-mode toggle: not applicable.</w:t>
      </w:r>
    </w:p>
    <w:p>
      <w:pPr>
        <w:spacing w:after="80" w:line="293" w:lineRule="auto"/>
        <w:jc w:val="left"/>
      </w:pPr>
      <w:r>
        <w:rPr>
          <w:rFonts w:ascii="Times New Roman" w:hAnsi="Times New Roman" w:cs="Times New Roman"/>
          <w:b w:val="0"/>
          <w:i w:val="0"/>
          <w:sz w:val="22"/>
        </w:rPr>
        <w:t>Landing page: Smart Inbox (clearance holds, missing document alerts, anonymous trade approvals, integration health warnings).</w:t>
      </w:r>
    </w:p>
    <w:p>
      <w:pPr>
        <w:keepNext/>
        <w:spacing w:before="140" w:after="60"/>
        <w:outlineLvl w:val="3"/>
      </w:pPr>
      <w:r>
        <w:rPr>
          <w:rFonts w:ascii="Arial" w:hAnsi="Arial" w:cs="Arial"/>
          <w:b/>
          <w:i/>
          <w:color w:val="333333"/>
          <w:sz w:val="22"/>
        </w:rPr>
        <w:t>16.8.12.2 Smart Inbox Examples (Government)</w:t>
      </w:r>
    </w:p>
    <w:p>
      <w:pPr>
        <w:spacing w:after="80" w:line="293" w:lineRule="auto"/>
        <w:ind w:left="283"/>
        <w:jc w:val="left"/>
      </w:pPr>
      <w:r>
        <w:rPr>
          <w:rFonts w:ascii="Times New Roman" w:hAnsi="Times New Roman" w:cs="Times New Roman"/>
          <w:b w:val="0"/>
          <w:i w:val="0"/>
          <w:sz w:val="22"/>
        </w:rPr>
        <w:t>- High — "Clearance hold — missing phytosanitary certificate, vessel arrived 2h ago" (95)</w:t>
      </w:r>
    </w:p>
    <w:p>
      <w:pPr>
        <w:spacing w:after="80" w:line="293" w:lineRule="auto"/>
        <w:ind w:left="283"/>
        <w:jc w:val="left"/>
      </w:pPr>
      <w:r>
        <w:rPr>
          <w:rFonts w:ascii="Times New Roman" w:hAnsi="Times New Roman" w:cs="Times New Roman"/>
          <w:b w:val="0"/>
          <w:i w:val="0"/>
          <w:sz w:val="22"/>
        </w:rPr>
        <w:t>- Medium — "AI risk score 68, manual inspection recommended" (75)</w:t>
      </w:r>
    </w:p>
    <w:p>
      <w:pPr>
        <w:spacing w:after="80" w:line="293" w:lineRule="auto"/>
        <w:ind w:left="283"/>
        <w:jc w:val="left"/>
      </w:pPr>
      <w:r>
        <w:rPr>
          <w:rFonts w:ascii="Times New Roman" w:hAnsi="Times New Roman" w:cs="Times New Roman"/>
          <w:b w:val="0"/>
          <w:i w:val="0"/>
          <w:sz w:val="22"/>
        </w:rPr>
        <w:t>- Low — "Monthly CBE report generated" (20)</w:t>
      </w:r>
    </w:p>
    <w:p>
      <w:pPr>
        <w:keepNext/>
        <w:spacing w:before="140" w:after="60"/>
        <w:outlineLvl w:val="3"/>
      </w:pPr>
      <w:r>
        <w:rPr>
          <w:rFonts w:ascii="Arial" w:hAnsi="Arial" w:cs="Arial"/>
          <w:b/>
          <w:i/>
          <w:color w:val="333333"/>
          <w:sz w:val="22"/>
        </w:rPr>
        <w:t>16.8.12.3 Detailed Tab Specifications</w:t>
      </w:r>
    </w:p>
    <w:p>
      <w:pPr>
        <w:spacing w:after="80" w:line="293" w:lineRule="auto"/>
        <w:jc w:val="left"/>
      </w:pPr>
      <w:r>
        <w:rPr>
          <w:rFonts w:ascii="Times New Roman" w:hAnsi="Times New Roman" w:cs="Times New Roman"/>
          <w:b w:val="0"/>
          <w:i w:val="0"/>
          <w:sz w:val="22"/>
        </w:rPr>
        <w:t>Tab 1: Inbox. The common Smart Inbox (16.2), filtered to government-relevant items: clearance holds, missing phytosanitary certificates, anonymous trade approvals, integration health warnings.</w:t>
      </w:r>
    </w:p>
    <w:p>
      <w:pPr>
        <w:spacing w:after="80" w:line="293" w:lineRule="auto"/>
        <w:jc w:val="left"/>
      </w:pPr>
      <w:r>
        <w:rPr>
          <w:rFonts w:ascii="Times New Roman" w:hAnsi="Times New Roman" w:cs="Times New Roman"/>
          <w:b w:val="0"/>
          <w:i w:val="0"/>
          <w:sz w:val="22"/>
        </w:rPr>
        <w:t>Tab 2: Live Trade Monitor. Renders the Shared Shipments Vault (16.5) with a filter preset to the government's jurisdiction (all shipments where destination, origin, or transit country equals the agency's country code). Additional columns visible to government users:</w:t>
      </w:r>
    </w:p>
    <w:p>
      <w:pPr>
        <w:spacing w:after="80" w:line="293" w:lineRule="auto"/>
        <w:ind w:left="283"/>
        <w:jc w:val="left"/>
      </w:pPr>
      <w:r>
        <w:rPr>
          <w:rFonts w:ascii="Times New Roman" w:hAnsi="Times New Roman" w:cs="Times New Roman"/>
          <w:b w:val="0"/>
          <w:i w:val="0"/>
          <w:sz w:val="22"/>
        </w:rPr>
        <w:t>- Risk Score — platform AI-computed risk (0–100), colour-coded.</w:t>
      </w:r>
    </w:p>
    <w:p>
      <w:pPr>
        <w:spacing w:after="80" w:line="293" w:lineRule="auto"/>
        <w:ind w:left="283"/>
        <w:jc w:val="left"/>
      </w:pPr>
      <w:r>
        <w:rPr>
          <w:rFonts w:ascii="Times New Roman" w:hAnsi="Times New Roman" w:cs="Times New Roman"/>
          <w:b w:val="0"/>
          <w:i w:val="0"/>
          <w:sz w:val="22"/>
        </w:rPr>
        <w:t>- Document Readiness — traffic light (green = all docs verified, amber = some pending, red =</w:t>
      </w:r>
    </w:p>
    <w:p>
      <w:pPr>
        <w:spacing w:after="80" w:line="293" w:lineRule="auto"/>
        <w:jc w:val="left"/>
      </w:pPr>
      <w:r>
        <w:rPr>
          <w:rFonts w:ascii="Times New Roman" w:hAnsi="Times New Roman" w:cs="Times New Roman"/>
          <w:b w:val="0"/>
          <w:i w:val="0"/>
          <w:sz w:val="22"/>
        </w:rPr>
        <w:t>critical missing).</w:t>
      </w:r>
    </w:p>
    <w:p>
      <w:pPr>
        <w:spacing w:after="80" w:line="293" w:lineRule="auto"/>
        <w:ind w:left="283"/>
        <w:jc w:val="left"/>
      </w:pPr>
      <w:r>
        <w:rPr>
          <w:rFonts w:ascii="Times New Roman" w:hAnsi="Times New Roman" w:cs="Times New Roman"/>
          <w:b w:val="0"/>
          <w:i w:val="0"/>
          <w:sz w:val="22"/>
        </w:rPr>
        <w:t>- Declaration Status — where the customs integration is active (e.g., Nafeza), the status of the</w:t>
      </w:r>
    </w:p>
    <w:p>
      <w:pPr>
        <w:spacing w:after="80" w:line="293" w:lineRule="auto"/>
        <w:jc w:val="left"/>
      </w:pPr>
      <w:r>
        <w:rPr>
          <w:rFonts w:ascii="Times New Roman" w:hAnsi="Times New Roman" w:cs="Times New Roman"/>
          <w:b w:val="0"/>
          <w:i w:val="0"/>
          <w:sz w:val="22"/>
        </w:rPr>
        <w:t>auto-submitted declaration.</w:t>
      </w:r>
    </w:p>
    <w:p>
      <w:pPr>
        <w:spacing w:after="80" w:line="293" w:lineRule="auto"/>
        <w:ind w:left="283"/>
        <w:jc w:val="left"/>
      </w:pPr>
      <w:r>
        <w:rPr>
          <w:rFonts w:ascii="Times New Roman" w:hAnsi="Times New Roman" w:cs="Times New Roman"/>
          <w:b w:val="0"/>
          <w:i w:val="0"/>
          <w:sz w:val="22"/>
        </w:rPr>
        <w:t>- Integration Badge — icon indicating whether the shipment's data has been successfully pushed to</w:t>
      </w:r>
    </w:p>
    <w:p>
      <w:pPr>
        <w:spacing w:after="80" w:line="293" w:lineRule="auto"/>
        <w:jc w:val="left"/>
      </w:pPr>
      <w:r>
        <w:rPr>
          <w:rFonts w:ascii="Times New Roman" w:hAnsi="Times New Roman" w:cs="Times New Roman"/>
          <w:b w:val="0"/>
          <w:i w:val="0"/>
          <w:sz w:val="22"/>
        </w:rPr>
        <w:t>the national system.</w:t>
      </w:r>
    </w:p>
    <w:p>
      <w:pPr>
        <w:spacing w:after="80" w:line="293" w:lineRule="auto"/>
        <w:jc w:val="left"/>
      </w:pPr>
      <w:r>
        <w:rPr>
          <w:rFonts w:ascii="Times New Roman" w:hAnsi="Times New Roman" w:cs="Times New Roman"/>
          <w:b w:val="0"/>
          <w:i w:val="0"/>
          <w:sz w:val="22"/>
        </w:rPr>
        <w:t>Clicking any USTN opens the Trade Command Center with full shipment details (commercial data hidden, compliance data prominent). Filters: risk score range, commodity, port, vessel, document completeness.</w:t>
      </w:r>
    </w:p>
    <w:p>
      <w:pPr>
        <w:spacing w:after="80" w:line="293" w:lineRule="auto"/>
        <w:jc w:val="left"/>
      </w:pPr>
      <w:r>
        <w:rPr>
          <w:rFonts w:ascii="Times New Roman" w:hAnsi="Times New Roman" w:cs="Times New Roman"/>
          <w:b w:val="0"/>
          <w:i w:val="0"/>
          <w:sz w:val="22"/>
        </w:rPr>
        <w:t>Tab 3: Clearance Workflow. The core operational tab for customs. Displays a queue of shipments that have arrived at the border or are approaching the port. AI Clearance Recommendation Card (per shipment):</w:t>
      </w:r>
    </w:p>
    <w:p>
      <w:pPr>
        <w:spacing w:after="0" w:before="0" w:line="240" w:lineRule="auto"/>
        <w:ind w:left="57"/>
        <w:jc w:val="left"/>
        <w:shd w:val="clear" w:fill="F2F2F2"/>
      </w:pPr>
      <w:r>
        <w:rPr>
          <w:rFonts w:ascii="Consolas" w:hAnsi="Consolas" w:cs="Consolas"/>
          <w:b w:val="0"/>
          <w:i w:val="0"/>
          <w:sz w:val="15"/>
        </w:rPr>
        <w:t>USTN: SGTX-EG-20260415120000-ABC12345-V1</w:t>
      </w:r>
    </w:p>
    <w:p>
      <w:pPr>
        <w:spacing w:after="0" w:before="0" w:line="240" w:lineRule="auto"/>
        <w:ind w:left="57"/>
        <w:jc w:val="left"/>
        <w:shd w:val="clear" w:fill="F2F2F2"/>
      </w:pPr>
      <w:r>
        <w:rPr>
          <w:rFonts w:ascii="Consolas" w:hAnsi="Consolas" w:cs="Consolas"/>
          <w:b w:val="0"/>
          <w:i w:val="0"/>
          <w:sz w:val="15"/>
        </w:rPr>
        <w:t>Vessel: MSC Alessia — Arrived Alexandria, 10 Jul 2026</w:t>
      </w:r>
    </w:p>
    <w:p>
      <w:pPr>
        <w:spacing w:after="0" w:before="0" w:line="240" w:lineRule="auto"/>
        <w:ind w:left="57"/>
        <w:jc w:val="left"/>
        <w:shd w:val="clear" w:fill="F2F2F2"/>
      </w:pPr>
      <w:r>
        <w:rPr>
          <w:rFonts w:ascii="Consolas" w:hAnsi="Consolas" w:cs="Consolas"/>
          <w:b w:val="0"/>
          <w:i w:val="0"/>
          <w:sz w:val="15"/>
        </w:rPr>
        <w:t>Risk Score: 22 (Low)</w:t>
      </w:r>
    </w:p>
    <w:p>
      <w:pPr>
        <w:spacing w:after="0" w:before="0" w:line="240" w:lineRule="auto"/>
        <w:ind w:left="57"/>
        <w:jc w:val="left"/>
        <w:shd w:val="clear" w:fill="F2F2F2"/>
      </w:pPr>
      <w:r>
        <w:rPr>
          <w:rFonts w:ascii="Consolas" w:hAnsi="Consolas" w:cs="Consolas"/>
          <w:b w:val="0"/>
          <w:i w:val="0"/>
          <w:sz w:val="15"/>
        </w:rPr>
        <w:t>Documents: 5/5 verified</w:t>
      </w:r>
    </w:p>
    <w:p>
      <w:pPr>
        <w:spacing w:after="0" w:before="0" w:line="240" w:lineRule="auto"/>
        <w:ind w:left="57"/>
        <w:jc w:val="left"/>
        <w:shd w:val="clear" w:fill="F2F2F2"/>
      </w:pPr>
      <w:r>
        <w:rPr>
          <w:rFonts w:ascii="Consolas" w:hAnsi="Consolas" w:cs="Consolas"/>
          <w:b w:val="0"/>
          <w:i w:val="0"/>
          <w:sz w:val="15"/>
        </w:rPr>
        <w:t>Recommendation: AUTOCLEAR (eligible under current autoclearance threshold of 30)</w:t>
      </w:r>
    </w:p>
    <w:p>
      <w:pPr>
        <w:spacing w:after="0" w:before="0" w:line="240" w:lineRule="auto"/>
        <w:ind w:left="57"/>
        <w:jc w:val="left"/>
        <w:shd w:val="clear" w:fill="F2F2F2"/>
      </w:pPr>
      <w:r>
        <w:rPr>
          <w:rFonts w:ascii="Consolas" w:hAnsi="Consolas" w:cs="Consolas"/>
          <w:b w:val="0"/>
          <w:i w:val="0"/>
          <w:sz w:val="15"/>
        </w:rPr>
        <w:t>[Approve Clearance] [Override → Manual Review] [Hold for Inspection]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If the auto_clearance module is enabled and the risk score is at or below the threshold, the system automatically marks the shipment as "Cleared" and pushes the status to seller/buyer; the officer sees a log entry. If the risk score is above the threshold, the officer must manually review. Options: Approve Clearance (release), Hold (pause, wait for missing document or physical inspection), Reject (block with required reason). Every decision is logged as a Governor decision (`decision_type = 'customs_clearance'`) with the officer's GTID and a Loom hash.</w:t>
      </w:r>
    </w:p>
    <w:p>
      <w:pPr>
        <w:spacing w:after="80" w:line="293" w:lineRule="auto"/>
        <w:jc w:val="left"/>
      </w:pPr>
      <w:r>
        <w:rPr>
          <w:rFonts w:ascii="Times New Roman" w:hAnsi="Times New Roman" w:cs="Times New Roman"/>
          <w:b w:val="0"/>
          <w:i w:val="0"/>
          <w:sz w:val="22"/>
        </w:rPr>
        <w:t>Integration with national systems: if the customs API connector is active, clicking "Approve Clearance" automatically sends the final declaration status to the national system and stores the reference. If the connector fails, a manual fallback PDF is generated.</w:t>
      </w:r>
    </w:p>
    <w:p>
      <w:pPr>
        <w:spacing w:after="80" w:line="293" w:lineRule="auto"/>
        <w:jc w:val="left"/>
      </w:pPr>
      <w:r>
        <w:rPr>
          <w:rFonts w:ascii="Times New Roman" w:hAnsi="Times New Roman" w:cs="Times New Roman"/>
          <w:b w:val="0"/>
          <w:i w:val="0"/>
          <w:sz w:val="22"/>
        </w:rPr>
        <w:t>Tab 4: Document Verification. Lists all documents required for shipments in the jurisdiction, focusing on those pending or flagged by AI. Actions: Accept (override AI, mark verified); Reject (send back with note); Request Amendment (pre-filled message). All actions are logged.</w:t>
      </w:r>
    </w:p>
    <w:p>
      <w:pPr>
        <w:spacing w:after="80" w:line="293" w:lineRule="auto"/>
        <w:jc w:val="left"/>
      </w:pPr>
      <w:r>
        <w:rPr>
          <w:rFonts w:ascii="Times New Roman" w:hAnsi="Times New Roman" w:cs="Times New Roman"/>
          <w:b w:val="0"/>
          <w:i w:val="0"/>
          <w:sz w:val="22"/>
        </w:rPr>
        <w:t>Tab 5: Multi-Agency Workflow. For shipments requiring approvals from multiple government bodies (e.g., Customs + Agriculture + Health). The RIA determines which agencies must approve based on HS code, commodity, and destination country rules. Each step has a responsible agency, a deadline, and a status. The Smart Inbox of each agency shows pending steps. Approvals/rejections are recorded with the official's GTID and timestamp. Once all steps are approved, the shipment automatically moves to "Cleared" (or the next step). For anonymous trades, each agency sees only the minimum data needed (e.g., HS code, weight, phytosanitary status); party identities are redacted unless the agency is explicitly authorised. Example sequential workflow display:</w:t>
      </w:r>
    </w:p>
    <w:p>
      <w:pPr>
        <w:spacing w:after="0" w:before="0" w:line="240" w:lineRule="auto"/>
        <w:ind w:left="57"/>
        <w:jc w:val="left"/>
        <w:shd w:val="clear" w:fill="F2F2F2"/>
      </w:pPr>
      <w:r>
        <w:rPr>
          <w:rFonts w:ascii="Consolas" w:hAnsi="Consolas" w:cs="Consolas"/>
          <w:b w:val="0"/>
          <w:i w:val="0"/>
          <w:sz w:val="15"/>
        </w:rPr>
        <w:t>Shipment USTN: SGTX-EG-...-V1</w:t>
      </w:r>
    </w:p>
    <w:p>
      <w:pPr>
        <w:spacing w:after="0" w:before="0" w:line="240" w:lineRule="auto"/>
        <w:ind w:left="57"/>
        <w:jc w:val="left"/>
        <w:shd w:val="clear" w:fill="F2F2F2"/>
      </w:pPr>
      <w:r>
        <w:rPr>
          <w:rFonts w:ascii="Consolas" w:hAnsi="Consolas" w:cs="Consolas"/>
          <w:b w:val="0"/>
          <w:i w:val="0"/>
          <w:sz w:val="15"/>
        </w:rPr>
        <w:t>Current step: Agriculture Ministry (PHYTO approval) — deadline 15 Jun 2026</w:t>
      </w:r>
    </w:p>
    <w:p>
      <w:pPr>
        <w:spacing w:after="0" w:before="0" w:line="240" w:lineRule="auto"/>
        <w:ind w:left="57"/>
        <w:jc w:val="left"/>
        <w:shd w:val="clear" w:fill="F2F2F2"/>
      </w:pPr>
      <w:r>
        <w:rPr>
          <w:rFonts w:ascii="Consolas" w:hAnsi="Consolas" w:cs="Consolas"/>
          <w:b w:val="0"/>
          <w:i w:val="0"/>
          <w:sz w:val="15"/>
        </w:rPr>
        <w:t>Previous: Customs — approved</w:t>
      </w:r>
    </w:p>
    <w:p>
      <w:pPr>
        <w:spacing w:after="0" w:before="0" w:line="240" w:lineRule="auto"/>
        <w:ind w:left="57"/>
        <w:jc w:val="left"/>
        <w:shd w:val="clear" w:fill="F2F2F2"/>
      </w:pPr>
      <w:r>
        <w:rPr>
          <w:rFonts w:ascii="Consolas" w:hAnsi="Consolas" w:cs="Consolas"/>
          <w:b w:val="0"/>
          <w:i w:val="0"/>
          <w:sz w:val="15"/>
        </w:rPr>
        <w:t>Next: Health Ministry — pending</w:t>
      </w:r>
    </w:p>
    <w:p>
      <w:pPr>
        <w:spacing w:after="0" w:before="0" w:line="240" w:lineRule="auto"/>
        <w:ind w:left="57"/>
        <w:jc w:val="left"/>
        <w:shd w:val="clear" w:fill="F2F2F2"/>
      </w:pPr>
      <w:r>
        <w:rPr>
          <w:rFonts w:ascii="Consolas" w:hAnsi="Consolas" w:cs="Consolas"/>
          <w:b w:val="0"/>
          <w:i w:val="0"/>
          <w:sz w:val="15"/>
        </w:rPr>
        <w:t>[Approve] [Reject] [Add Comments]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Tab 6: Anonymous Trade Management. Handles government-to-government and highly sensitive commodity trades where buyer/seller identities are protected.</w:t>
      </w:r>
    </w:p>
    <w:p>
      <w:pPr>
        <w:spacing w:after="80" w:line="293" w:lineRule="auto"/>
        <w:jc w:val="left"/>
      </w:pPr>
      <w:r>
        <w:rPr>
          <w:rFonts w:ascii="Times New Roman" w:hAnsi="Times New Roman" w:cs="Times New Roman"/>
          <w:b w:val="0"/>
          <w:i w:val="0"/>
          <w:sz w:val="22"/>
        </w:rPr>
        <w:t>Anonymous Trade Lifecycle:</w:t>
      </w:r>
    </w:p>
    <w:p>
      <w:pPr>
        <w:spacing w:after="80" w:line="293" w:lineRule="auto"/>
        <w:ind w:left="283"/>
        <w:jc w:val="left"/>
      </w:pPr>
      <w:r>
        <w:rPr>
          <w:rFonts w:ascii="Times New Roman" w:hAnsi="Times New Roman" w:cs="Times New Roman"/>
          <w:b w:val="0"/>
          <w:i w:val="0"/>
          <w:sz w:val="22"/>
        </w:rPr>
        <w:t>- Initiation — a government tenant creates a trade request with `is_anonymous = true`. The</w:t>
      </w:r>
    </w:p>
    <w:p>
      <w:pPr>
        <w:spacing w:after="80" w:line="293" w:lineRule="auto"/>
        <w:jc w:val="left"/>
      </w:pPr>
      <w:r>
        <w:rPr>
          <w:rFonts w:ascii="Times New Roman" w:hAnsi="Times New Roman" w:cs="Times New Roman"/>
          <w:b w:val="0"/>
          <w:i w:val="0"/>
          <w:sz w:val="22"/>
        </w:rPr>
        <w:t>counterparty must also be a government tenant with `anonymous_trade_enabled = true`. The platform generates an anonymous USTN (e.g., SGTX-ANON-20260415120000-ABC12345-V1). The real USTN is stored in `anonymous_trade_mappings` and is visible only to the two governments and the Platform Governance Authority.</w:t>
      </w:r>
    </w:p>
    <w:p>
      <w:pPr>
        <w:spacing w:after="80" w:line="293" w:lineRule="auto"/>
        <w:ind w:left="283"/>
        <w:jc w:val="left"/>
      </w:pPr>
      <w:r>
        <w:rPr>
          <w:rFonts w:ascii="Times New Roman" w:hAnsi="Times New Roman" w:cs="Times New Roman"/>
          <w:b w:val="0"/>
          <w:i w:val="0"/>
          <w:sz w:val="22"/>
        </w:rPr>
        <w:t>- Document Redaction — for all logistics providers, carriers, and non-government parties,</w:t>
      </w:r>
    </w:p>
    <w:p>
      <w:pPr>
        <w:spacing w:after="80" w:line="293" w:lineRule="auto"/>
        <w:jc w:val="left"/>
      </w:pPr>
      <w:r>
        <w:rPr>
          <w:rFonts w:ascii="Times New Roman" w:hAnsi="Times New Roman" w:cs="Times New Roman"/>
          <w:b w:val="0"/>
          <w:i w:val="0"/>
          <w:sz w:val="22"/>
        </w:rPr>
        <w:t>consignee/shipper names are replaced with "Government Agency — [Country]". Invoices and packing lists are automatically redacted.</w:t>
      </w:r>
    </w:p>
    <w:p>
      <w:pPr>
        <w:spacing w:after="80" w:line="293" w:lineRule="auto"/>
        <w:ind w:left="283"/>
        <w:jc w:val="left"/>
      </w:pPr>
      <w:r>
        <w:rPr>
          <w:rFonts w:ascii="Times New Roman" w:hAnsi="Times New Roman" w:cs="Times New Roman"/>
          <w:b w:val="0"/>
          <w:i w:val="0"/>
          <w:sz w:val="22"/>
        </w:rPr>
        <w:t>- Multi-Agency Approvals — each approving agency sees only the data it needs (e.g., Ministry of</w:t>
      </w:r>
    </w:p>
    <w:p>
      <w:pPr>
        <w:spacing w:after="80" w:line="293" w:lineRule="auto"/>
        <w:jc w:val="left"/>
      </w:pPr>
      <w:r>
        <w:rPr>
          <w:rFonts w:ascii="Times New Roman" w:hAnsi="Times New Roman" w:cs="Times New Roman"/>
          <w:b w:val="0"/>
          <w:i w:val="0"/>
          <w:sz w:val="22"/>
        </w:rPr>
        <w:t>Agriculture sees "Live animals, 50 head, from Country X to Country Y" without knowing the specific ministries involved).</w:t>
      </w:r>
    </w:p>
    <w:p>
      <w:pPr>
        <w:spacing w:after="80" w:line="293" w:lineRule="auto"/>
        <w:ind w:left="283"/>
        <w:jc w:val="left"/>
      </w:pPr>
      <w:r>
        <w:rPr>
          <w:rFonts w:ascii="Times New Roman" w:hAnsi="Times New Roman" w:cs="Times New Roman"/>
          <w:b w:val="0"/>
          <w:i w:val="0"/>
          <w:sz w:val="22"/>
        </w:rPr>
        <w:t>- Delivery &amp; Closure — the trade executes normally. All redacted documents carry the watermark</w:t>
      </w:r>
    </w:p>
    <w:p>
      <w:pPr>
        <w:spacing w:after="80" w:line="293" w:lineRule="auto"/>
        <w:jc w:val="left"/>
      </w:pPr>
      <w:r>
        <w:rPr>
          <w:rFonts w:ascii="Times New Roman" w:hAnsi="Times New Roman" w:cs="Times New Roman"/>
          <w:b w:val="0"/>
          <w:i w:val="0"/>
          <w:sz w:val="22"/>
        </w:rPr>
        <w:t>"ANONYMOUS TRADE". The full audit log is encrypted.</w:t>
      </w:r>
    </w:p>
    <w:p>
      <w:pPr>
        <w:spacing w:after="80" w:line="293" w:lineRule="auto"/>
        <w:jc w:val="left"/>
      </w:pPr>
      <w:r>
        <w:rPr>
          <w:rFonts w:ascii="Times New Roman" w:hAnsi="Times New Roman" w:cs="Times New Roman"/>
          <w:b w:val="0"/>
          <w:i w:val="0"/>
          <w:sz w:val="22"/>
        </w:rPr>
        <w:t>Declassification Audit Log. Provides a transparent, immutable record of all declassification actions for anonymous trades, visible to all involved governments but not to unauthorised parties. For each anonymous trade row, a "View Declassification Log" button is visible only to users with the `anonymous_trade.declassification` permission (typically senior customs officers and the Platform Governance Authority). Log entries include:</w:t>
      </w:r>
    </w:p>
    <w:p>
      <w:pPr>
        <w:spacing w:after="80" w:line="293" w:lineRule="auto"/>
        <w:ind w:left="283"/>
        <w:jc w:val="left"/>
      </w:pPr>
      <w:r>
        <w:rPr>
          <w:rFonts w:ascii="Times New Roman" w:hAnsi="Times New Roman" w:cs="Times New Roman"/>
          <w:b w:val="0"/>
          <w:i w:val="0"/>
          <w:sz w:val="22"/>
        </w:rPr>
        <w:t>- Requestor (GTID and legal name of the official who initiated declassification).</w:t>
      </w:r>
    </w:p>
    <w:p>
      <w:pPr>
        <w:spacing w:after="80" w:line="293" w:lineRule="auto"/>
        <w:ind w:left="283"/>
        <w:jc w:val="left"/>
      </w:pPr>
      <w:r>
        <w:rPr>
          <w:rFonts w:ascii="Times New Roman" w:hAnsi="Times New Roman" w:cs="Times New Roman"/>
          <w:b w:val="0"/>
          <w:i w:val="0"/>
          <w:sz w:val="22"/>
        </w:rPr>
        <w:t>- Multisig approvers (list of GTIDs and names who approved, with timestamps of each approval).</w:t>
      </w:r>
    </w:p>
    <w:p>
      <w:pPr>
        <w:spacing w:after="80" w:line="293" w:lineRule="auto"/>
        <w:ind w:left="283"/>
        <w:jc w:val="left"/>
      </w:pPr>
      <w:r>
        <w:rPr>
          <w:rFonts w:ascii="Times New Roman" w:hAnsi="Times New Roman" w:cs="Times New Roman"/>
          <w:b w:val="0"/>
          <w:i w:val="0"/>
          <w:sz w:val="22"/>
        </w:rPr>
        <w:t>- Declassification timestamp (when the last approval was received and the trade was declassified).</w:t>
      </w:r>
    </w:p>
    <w:p>
      <w:pPr>
        <w:spacing w:after="80" w:line="293" w:lineRule="auto"/>
        <w:ind w:left="283"/>
        <w:jc w:val="left"/>
      </w:pPr>
      <w:r>
        <w:rPr>
          <w:rFonts w:ascii="Times New Roman" w:hAnsi="Times New Roman" w:cs="Times New Roman"/>
          <w:b w:val="0"/>
          <w:i w:val="0"/>
          <w:sz w:val="22"/>
        </w:rPr>
        <w:t>- Reason (free text, mandatory, minimum 20 characters).</w:t>
      </w:r>
    </w:p>
    <w:p>
      <w:pPr>
        <w:spacing w:after="80" w:line="293" w:lineRule="auto"/>
        <w:ind w:left="283"/>
        <w:jc w:val="left"/>
      </w:pPr>
      <w:r>
        <w:rPr>
          <w:rFonts w:ascii="Times New Roman" w:hAnsi="Times New Roman" w:cs="Times New Roman"/>
          <w:b w:val="0"/>
          <w:i w:val="0"/>
          <w:sz w:val="22"/>
        </w:rPr>
        <w:t>- Hash of original redacted data (SHA256 of the anonymised trade record before declassification) —</w:t>
      </w:r>
    </w:p>
    <w:p>
      <w:pPr>
        <w:spacing w:after="80" w:line="293" w:lineRule="auto"/>
        <w:jc w:val="left"/>
      </w:pPr>
      <w:r>
        <w:rPr>
          <w:rFonts w:ascii="Times New Roman" w:hAnsi="Times New Roman" w:cs="Times New Roman"/>
          <w:b w:val="0"/>
          <w:i w:val="0"/>
          <w:sz w:val="22"/>
        </w:rPr>
        <w:t>for comparison after declassification.</w:t>
      </w:r>
    </w:p>
    <w:p>
      <w:pPr>
        <w:spacing w:after="80" w:line="293" w:lineRule="auto"/>
        <w:ind w:left="283"/>
        <w:jc w:val="left"/>
      </w:pPr>
      <w:r>
        <w:rPr>
          <w:rFonts w:ascii="Times New Roman" w:hAnsi="Times New Roman" w:cs="Times New Roman"/>
          <w:b w:val="0"/>
          <w:i w:val="0"/>
          <w:sz w:val="22"/>
        </w:rPr>
        <w:t>- Governor decision ID linking to the Loom chain.</w:t>
      </w:r>
    </w:p>
    <w:p>
      <w:pPr>
        <w:spacing w:after="80" w:line="293" w:lineRule="auto"/>
        <w:jc w:val="left"/>
      </w:pPr>
      <w:r>
        <w:rPr>
          <w:rFonts w:ascii="Times New Roman" w:hAnsi="Times New Roman" w:cs="Times New Roman"/>
          <w:b w:val="0"/>
          <w:i w:val="0"/>
          <w:sz w:val="22"/>
        </w:rPr>
        <w:t>Immutability: entries are stored in a dedicated table `anonymous_trade_declassification_log` and are Loom-chained; no deletion or modification is possible. Notification: when a declassification occurs, all involved governments (buyer's and seller's jurisdictions) receive a Smart Inbox notification (priority 85) with a link to the audit log. One-click: "View Log" — one click; no action is required to log — recording is automatic.</w:t>
      </w:r>
    </w:p>
    <w:p>
      <w:pPr>
        <w:spacing w:after="80" w:line="293" w:lineRule="auto"/>
        <w:jc w:val="left"/>
      </w:pPr>
      <w:r>
        <w:rPr>
          <w:rFonts w:ascii="Times New Roman" w:hAnsi="Times New Roman" w:cs="Times New Roman"/>
          <w:b w:val="0"/>
          <w:i w:val="0"/>
          <w:sz w:val="22"/>
        </w:rPr>
        <w:t>Tab 7: Integrations. Allows the government admin to manage connectors to national systems. The RIA continuously updates a library of available connectors based on scraped APIs, EDIFACT standards, and open data. Connector examples: Customs Declaration API (Nafeza, VNACCS, ICS2, ACE); Phytosanitary Certificate Verification (TRACES); Certificate of Origin Verification; Vessel Arrival Notification (AISHub); Permit Issuance (Return API); Single Window Integration (TradeNet); Sanctions List Sync. Setup: the admin selects a connector from the library, enters credentials (API key, client certificate, SFTP address), and clicks "Test Connection". If successful, the integration is activated and appears as a badge in Live Trade Monitor. All connector calls are logged in `integration_connector_logs`.</w:t>
      </w:r>
    </w:p>
    <w:p>
      <w:pPr>
        <w:spacing w:after="80" w:line="293" w:lineRule="auto"/>
        <w:jc w:val="left"/>
      </w:pPr>
      <w:r>
        <w:rPr>
          <w:rFonts w:ascii="Times New Roman" w:hAnsi="Times New Roman" w:cs="Times New Roman"/>
          <w:b w:val="0"/>
          <w:i w:val="0"/>
          <w:sz w:val="22"/>
        </w:rPr>
        <w:t>Example — Egypt Customs with Nafeza: when a shipment arrives and documents are verified, the system auto-populates the XML declaration, signs it with the broker's certificate (or the customs officer's), and submits to `https://nafeza.gov.eg/api/v1/declaration`. The response (reference number, status) is stored. The officer sees "Declaration NFZ12345 submitted — Accepted." If Nafeza is down, the connector health degrades and the Smart Inbox alerts the officer.</w:t>
      </w:r>
    </w:p>
    <w:p>
      <w:pPr>
        <w:spacing w:after="80" w:line="293" w:lineRule="auto"/>
        <w:jc w:val="left"/>
      </w:pPr>
      <w:r>
        <w:rPr>
          <w:rFonts w:ascii="Times New Roman" w:hAnsi="Times New Roman" w:cs="Times New Roman"/>
          <w:b w:val="0"/>
          <w:i w:val="0"/>
          <w:sz w:val="22"/>
        </w:rPr>
        <w:t>Tab 8: Permit Issuance. For agencies such as Agriculture or Health that issue import/export permits. Officials review applications (auto-filled with trade data), check AI-verified documents, and click "Issue Permit". The system generates a digitally signed permit (PDF), stores it in documents, and updates the shipment's document checklist. If the API integration is active, the permit is simultaneously pushed to the national system. One-click: click "Issue Permit" — permit generated and stored.</w:t>
      </w:r>
    </w:p>
    <w:p>
      <w:pPr>
        <w:spacing w:after="80" w:line="293" w:lineRule="auto"/>
        <w:jc w:val="left"/>
      </w:pPr>
      <w:r>
        <w:rPr>
          <w:rFonts w:ascii="Times New Roman" w:hAnsi="Times New Roman" w:cs="Times New Roman"/>
          <w:b w:val="0"/>
          <w:i w:val="0"/>
          <w:sz w:val="22"/>
        </w:rPr>
        <w:t>Tab 9: Audits &amp; Reports. Government audit teams can:</w:t>
      </w:r>
    </w:p>
    <w:p>
      <w:pPr>
        <w:spacing w:after="80" w:line="293" w:lineRule="auto"/>
        <w:ind w:left="283"/>
        <w:jc w:val="left"/>
      </w:pPr>
      <w:r>
        <w:rPr>
          <w:rFonts w:ascii="Times New Roman" w:hAnsi="Times New Roman" w:cs="Times New Roman"/>
          <w:b w:val="0"/>
          <w:i w:val="0"/>
          <w:sz w:val="22"/>
        </w:rPr>
        <w:t>- Search the full Governor decision log for their jurisdiction.</w:t>
      </w:r>
    </w:p>
    <w:p>
      <w:pPr>
        <w:spacing w:after="80" w:line="293" w:lineRule="auto"/>
        <w:ind w:left="283"/>
        <w:jc w:val="left"/>
      </w:pPr>
      <w:r>
        <w:rPr>
          <w:rFonts w:ascii="Times New Roman" w:hAnsi="Times New Roman" w:cs="Times New Roman"/>
          <w:b w:val="0"/>
          <w:i w:val="0"/>
          <w:sz w:val="22"/>
        </w:rPr>
        <w:t>- View the Loom-chained audit trail of any USTN.</w:t>
      </w:r>
    </w:p>
    <w:p>
      <w:pPr>
        <w:spacing w:after="80" w:line="293" w:lineRule="auto"/>
        <w:ind w:left="283"/>
        <w:jc w:val="left"/>
      </w:pPr>
      <w:r>
        <w:rPr>
          <w:rFonts w:ascii="Times New Roman" w:hAnsi="Times New Roman" w:cs="Times New Roman"/>
          <w:b w:val="0"/>
          <w:i w:val="0"/>
          <w:sz w:val="22"/>
        </w:rPr>
        <w:t>- Verify data integrity by clicking "Verify Loom Chain", which recalculates hashes client-side.</w:t>
      </w:r>
    </w:p>
    <w:p>
      <w:pPr>
        <w:spacing w:after="80" w:line="293" w:lineRule="auto"/>
        <w:ind w:left="283"/>
        <w:jc w:val="left"/>
      </w:pPr>
      <w:r>
        <w:rPr>
          <w:rFonts w:ascii="Times New Roman" w:hAnsi="Times New Roman" w:cs="Times New Roman"/>
          <w:b w:val="0"/>
          <w:i w:val="0"/>
          <w:sz w:val="22"/>
        </w:rPr>
        <w:t>- Generate jurisdictional regulatory reports (e.g., CBE monthly remittance, trade statistics) with</w:t>
      </w:r>
    </w:p>
    <w:p>
      <w:pPr>
        <w:spacing w:after="80" w:line="293" w:lineRule="auto"/>
        <w:jc w:val="left"/>
      </w:pPr>
      <w:r>
        <w:rPr>
          <w:rFonts w:ascii="Times New Roman" w:hAnsi="Times New Roman" w:cs="Times New Roman"/>
          <w:b w:val="0"/>
          <w:i w:val="0"/>
          <w:sz w:val="22"/>
        </w:rPr>
        <w:t>one click; Groq drafts the narrative.</w:t>
      </w:r>
    </w:p>
    <w:p>
      <w:pPr>
        <w:spacing w:after="80" w:line="293" w:lineRule="auto"/>
        <w:ind w:left="283"/>
        <w:jc w:val="left"/>
      </w:pPr>
      <w:r>
        <w:rPr>
          <w:rFonts w:ascii="Times New Roman" w:hAnsi="Times New Roman" w:cs="Times New Roman"/>
          <w:b w:val="0"/>
          <w:i w:val="0"/>
          <w:sz w:val="22"/>
        </w:rPr>
        <w:t>- Access the Suspicious Activity Report (SAR) drafting and filing interface.</w:t>
      </w:r>
    </w:p>
    <w:p>
      <w:pPr>
        <w:spacing w:after="80" w:line="293" w:lineRule="auto"/>
        <w:jc w:val="left"/>
      </w:pPr>
      <w:r>
        <w:rPr>
          <w:rFonts w:ascii="Times New Roman" w:hAnsi="Times New Roman" w:cs="Times New Roman"/>
          <w:b w:val="0"/>
          <w:i w:val="0"/>
          <w:sz w:val="22"/>
        </w:rPr>
        <w:t>One-click: click "Generate Report" — PDF ready; click "Verify Loom Chain" — integrity check performed.</w:t>
      </w:r>
    </w:p>
    <w:p>
      <w:pPr>
        <w:spacing w:after="80" w:line="293" w:lineRule="auto"/>
        <w:jc w:val="left"/>
      </w:pPr>
      <w:r>
        <w:rPr>
          <w:rFonts w:ascii="Times New Roman" w:hAnsi="Times New Roman" w:cs="Times New Roman"/>
          <w:b w:val="0"/>
          <w:i w:val="0"/>
          <w:sz w:val="22"/>
        </w:rPr>
        <w:t>Tab 10: Compliance Monitor. Provides government officials with a single dashboard view of platform-wide compliance metrics relevant to their jurisdiction. Access: any government user with the `compliance_monitor.view` permission (default for customs officers and senior auditors). The dashboard is real-time, auto-refreshing every 60 seconds, and covers: sanctions alerts, deferred payment expiries, dispute volume, fee collection success, auto-clearance statistics, and unusual trade patterns. Drill-down capability: clicking any item opens a filtered view of the Shared Shipments Vault or Disputes tab pre-filtered to the relevant items. One-click actions: "Send Reminder" on deferred payment expiries; "Generate Report" (exports the current dashboard view as a signed PDF); "Investigate" on an anomaly (opens the filtered Shipments Vault). AI assistance: the "Unusual Trade Patterns" widget uses A2 (Isolation Forest) to detect anomalies; Groq generates a plain-language explanation (A1). Governance: all data is jurisdiction-filtered (the government only sees shipments where their country is origin, destination, or transit). The dashboard is read-only; no actions modify trade state except "Send Reminder" (which triggers a Smart Inbox notification). Refresh: manual refresh button available; auto-refresh every 60 seconds can be toggled.</w:t>
      </w:r>
    </w:p>
    <w:p>
      <w:pPr>
        <w:spacing w:after="80" w:line="293" w:lineRule="auto"/>
        <w:jc w:val="left"/>
      </w:pPr>
      <w:r>
        <w:rPr>
          <w:rFonts w:ascii="Times New Roman" w:hAnsi="Times New Roman" w:cs="Times New Roman"/>
          <w:b w:val="0"/>
          <w:i w:val="0"/>
          <w:sz w:val="22"/>
        </w:rPr>
        <w:t>Tab 11: Company Admin. Standard multitenant administration with government-specific module configuration (enable/disable features such as auto_clearance, multi_agency_workflow, anonymous_trade). Admins can also configure connector credentials and agency branding.</w:t>
      </w:r>
    </w:p>
    <w:p>
      <w:pPr>
        <w:keepNext/>
        <w:spacing w:before="140" w:after="60"/>
        <w:outlineLvl w:val="3"/>
      </w:pPr>
      <w:r>
        <w:rPr>
          <w:rFonts w:ascii="Arial" w:hAnsi="Arial" w:cs="Arial"/>
          <w:b/>
          <w:i/>
          <w:color w:val="333333"/>
          <w:sz w:val="22"/>
        </w:rPr>
        <w:t>16.8.12.4 Declassification Database Schema</w:t>
      </w:r>
    </w:p>
    <w:p>
      <w:pPr>
        <w:spacing w:after="0" w:before="0" w:line="240" w:lineRule="auto"/>
        <w:ind w:left="57"/>
        <w:jc w:val="left"/>
        <w:shd w:val="clear" w:fill="F2F2F2"/>
      </w:pPr>
      <w:r>
        <w:rPr>
          <w:rFonts w:ascii="Consolas" w:hAnsi="Consolas" w:cs="Consolas"/>
          <w:b w:val="0"/>
          <w:i w:val="0"/>
          <w:sz w:val="15"/>
        </w:rPr>
        <w:t>CREATE TABLE anonymous_trade_declassification_log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anonymous_ustn TEXT NOT NULL,</w:t>
      </w:r>
    </w:p>
    <w:p>
      <w:pPr>
        <w:spacing w:after="0" w:before="0" w:line="240" w:lineRule="auto"/>
        <w:ind w:left="57"/>
        <w:jc w:val="left"/>
        <w:shd w:val="clear" w:fill="F2F2F2"/>
      </w:pPr>
      <w:r>
        <w:rPr>
          <w:rFonts w:ascii="Consolas" w:hAnsi="Consolas" w:cs="Consolas"/>
          <w:b w:val="0"/>
          <w:i w:val="0"/>
          <w:sz w:val="15"/>
        </w:rPr>
        <w:t xml:space="preserve">  requestor_gtid TEXT NOT NULL,</w:t>
      </w:r>
    </w:p>
    <w:p>
      <w:pPr>
        <w:spacing w:after="0" w:before="0" w:line="240" w:lineRule="auto"/>
        <w:ind w:left="57"/>
        <w:jc w:val="left"/>
        <w:shd w:val="clear" w:fill="F2F2F2"/>
      </w:pPr>
      <w:r>
        <w:rPr>
          <w:rFonts w:ascii="Consolas" w:hAnsi="Consolas" w:cs="Consolas"/>
          <w:b w:val="0"/>
          <w:i w:val="0"/>
          <w:sz w:val="15"/>
        </w:rPr>
        <w:t xml:space="preserve">  approver_gtids TEXT[],</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redacted_data_hash TEXT,</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16.8.12.5 Implementation Checklist (Government Portal)</w:t>
      </w:r>
    </w:p>
    <w:p>
      <w:pPr>
        <w:spacing w:after="80" w:line="293" w:lineRule="auto"/>
        <w:ind w:left="283"/>
        <w:jc w:val="left"/>
      </w:pPr>
      <w:r>
        <w:rPr>
          <w:rFonts w:ascii="Times New Roman" w:hAnsi="Times New Roman" w:cs="Times New Roman"/>
          <w:b w:val="0"/>
          <w:i w:val="0"/>
          <w:sz w:val="22"/>
        </w:rPr>
        <w:t>- Universal Command Center: government-specific cards (clearance holds, auto-clearance stats,</w:t>
      </w:r>
    </w:p>
    <w:p>
      <w:pPr>
        <w:spacing w:after="80" w:line="293" w:lineRule="auto"/>
        <w:jc w:val="left"/>
      </w:pPr>
      <w:r>
        <w:rPr>
          <w:rFonts w:ascii="Times New Roman" w:hAnsi="Times New Roman" w:cs="Times New Roman"/>
          <w:b w:val="0"/>
          <w:i w:val="0"/>
          <w:sz w:val="22"/>
        </w:rPr>
        <w:t>pending multi-agency approvals).</w:t>
      </w:r>
    </w:p>
    <w:p>
      <w:pPr>
        <w:spacing w:after="80" w:line="293" w:lineRule="auto"/>
        <w:ind w:left="283"/>
        <w:jc w:val="left"/>
      </w:pPr>
      <w:r>
        <w:rPr>
          <w:rFonts w:ascii="Times New Roman" w:hAnsi="Times New Roman" w:cs="Times New Roman"/>
          <w:b w:val="0"/>
          <w:i w:val="0"/>
          <w:sz w:val="22"/>
        </w:rPr>
        <w:t>- Live Trade Monitor: Shared Shipments Vault filtered to jurisdiction, with risk scores, clearance</w:t>
      </w:r>
    </w:p>
    <w:p>
      <w:pPr>
        <w:spacing w:after="80" w:line="293" w:lineRule="auto"/>
        <w:jc w:val="left"/>
      </w:pPr>
      <w:r>
        <w:rPr>
          <w:rFonts w:ascii="Times New Roman" w:hAnsi="Times New Roman" w:cs="Times New Roman"/>
          <w:b w:val="0"/>
          <w:i w:val="0"/>
          <w:sz w:val="22"/>
        </w:rPr>
        <w:t>status, integration badges.</w:t>
      </w:r>
    </w:p>
    <w:p>
      <w:pPr>
        <w:spacing w:after="80" w:line="293" w:lineRule="auto"/>
        <w:ind w:left="283"/>
        <w:jc w:val="left"/>
      </w:pPr>
      <w:r>
        <w:rPr>
          <w:rFonts w:ascii="Times New Roman" w:hAnsi="Times New Roman" w:cs="Times New Roman"/>
          <w:b w:val="0"/>
          <w:i w:val="0"/>
          <w:sz w:val="22"/>
        </w:rPr>
        <w:t>- Clearance Workflow: queue of shipments awaiting clearance; AI clearance recommendation (risk</w:t>
      </w:r>
    </w:p>
    <w:p>
      <w:pPr>
        <w:spacing w:after="80" w:line="293" w:lineRule="auto"/>
        <w:jc w:val="left"/>
      </w:pPr>
      <w:r>
        <w:rPr>
          <w:rFonts w:ascii="Times New Roman" w:hAnsi="Times New Roman" w:cs="Times New Roman"/>
          <w:b w:val="0"/>
          <w:i w:val="0"/>
          <w:sz w:val="22"/>
        </w:rPr>
        <w:t>score, auto-clearance threshold); actions: Approve Clearance, Hold, Reject.</w:t>
      </w:r>
    </w:p>
    <w:p>
      <w:pPr>
        <w:spacing w:after="80" w:line="293" w:lineRule="auto"/>
        <w:ind w:left="283"/>
        <w:jc w:val="left"/>
      </w:pPr>
      <w:r>
        <w:rPr>
          <w:rFonts w:ascii="Times New Roman" w:hAnsi="Times New Roman" w:cs="Times New Roman"/>
          <w:b w:val="0"/>
          <w:i w:val="0"/>
          <w:sz w:val="22"/>
        </w:rPr>
        <w:t>- Document Verification: list of flagged documents, AI-extracted fields, discrepancies; actions:</w:t>
      </w:r>
    </w:p>
    <w:p>
      <w:pPr>
        <w:spacing w:after="80" w:line="293" w:lineRule="auto"/>
        <w:jc w:val="left"/>
      </w:pPr>
      <w:r>
        <w:rPr>
          <w:rFonts w:ascii="Times New Roman" w:hAnsi="Times New Roman" w:cs="Times New Roman"/>
          <w:b w:val="0"/>
          <w:i w:val="0"/>
          <w:sz w:val="22"/>
        </w:rPr>
        <w:t>Accept, Reject, Request Amendment.</w:t>
      </w:r>
    </w:p>
    <w:p>
      <w:pPr>
        <w:spacing w:after="80" w:line="293" w:lineRule="auto"/>
        <w:ind w:left="283"/>
        <w:jc w:val="left"/>
      </w:pPr>
      <w:r>
        <w:rPr>
          <w:rFonts w:ascii="Times New Roman" w:hAnsi="Times New Roman" w:cs="Times New Roman"/>
          <w:b w:val="0"/>
          <w:i w:val="0"/>
          <w:sz w:val="22"/>
        </w:rPr>
        <w:t>- Multi-Agency Workflow: sequential/parallel approvals with other ministries, visual stepper,</w:t>
      </w:r>
    </w:p>
    <w:p>
      <w:pPr>
        <w:spacing w:after="80" w:line="293" w:lineRule="auto"/>
        <w:jc w:val="left"/>
      </w:pPr>
      <w:r>
        <w:rPr>
          <w:rFonts w:ascii="Times New Roman" w:hAnsi="Times New Roman" w:cs="Times New Roman"/>
          <w:b w:val="0"/>
          <w:i w:val="0"/>
          <w:sz w:val="22"/>
        </w:rPr>
        <w:t>approve/reject actions.</w:t>
      </w:r>
    </w:p>
    <w:p>
      <w:pPr>
        <w:spacing w:after="80" w:line="293" w:lineRule="auto"/>
        <w:ind w:left="283"/>
        <w:jc w:val="left"/>
      </w:pPr>
      <w:r>
        <w:rPr>
          <w:rFonts w:ascii="Times New Roman" w:hAnsi="Times New Roman" w:cs="Times New Roman"/>
          <w:b w:val="0"/>
          <w:i w:val="0"/>
          <w:sz w:val="22"/>
        </w:rPr>
        <w:t>- Anonymous Trade Management: redacted government-to-government trades, declassification with</w:t>
      </w:r>
    </w:p>
    <w:p>
      <w:pPr>
        <w:spacing w:after="80" w:line="293" w:lineRule="auto"/>
        <w:jc w:val="left"/>
      </w:pPr>
      <w:r>
        <w:rPr>
          <w:rFonts w:ascii="Times New Roman" w:hAnsi="Times New Roman" w:cs="Times New Roman"/>
          <w:b w:val="0"/>
          <w:i w:val="0"/>
          <w:sz w:val="22"/>
        </w:rPr>
        <w:t>multisig approval, declassification audit log.</w:t>
      </w:r>
    </w:p>
    <w:p>
      <w:pPr>
        <w:spacing w:after="80" w:line="293" w:lineRule="auto"/>
        <w:ind w:left="283"/>
        <w:jc w:val="left"/>
      </w:pPr>
      <w:r>
        <w:rPr>
          <w:rFonts w:ascii="Times New Roman" w:hAnsi="Times New Roman" w:cs="Times New Roman"/>
          <w:b w:val="0"/>
          <w:i w:val="0"/>
          <w:sz w:val="22"/>
        </w:rPr>
        <w:t>- Integrations: connector management (Nafeza, VNACCS, etc.), test connection, view logs, configure</w:t>
      </w:r>
    </w:p>
    <w:p>
      <w:pPr>
        <w:spacing w:after="80" w:line="293" w:lineRule="auto"/>
        <w:jc w:val="left"/>
      </w:pPr>
      <w:r>
        <w:rPr>
          <w:rFonts w:ascii="Times New Roman" w:hAnsi="Times New Roman" w:cs="Times New Roman"/>
          <w:b w:val="0"/>
          <w:i w:val="0"/>
          <w:sz w:val="22"/>
        </w:rPr>
        <w:t>credentials.</w:t>
      </w:r>
    </w:p>
    <w:p>
      <w:pPr>
        <w:spacing w:after="80" w:line="293" w:lineRule="auto"/>
        <w:ind w:left="283"/>
        <w:jc w:val="left"/>
      </w:pPr>
      <w:r>
        <w:rPr>
          <w:rFonts w:ascii="Times New Roman" w:hAnsi="Times New Roman" w:cs="Times New Roman"/>
          <w:b w:val="0"/>
          <w:i w:val="0"/>
          <w:sz w:val="22"/>
        </w:rPr>
        <w:t>- Permit Issuance: issue digital import/export permits linked to USTN, auto-fill from trade data,</w:t>
      </w:r>
    </w:p>
    <w:p>
      <w:pPr>
        <w:spacing w:after="80" w:line="293" w:lineRule="auto"/>
        <w:jc w:val="left"/>
      </w:pPr>
      <w:r>
        <w:rPr>
          <w:rFonts w:ascii="Times New Roman" w:hAnsi="Times New Roman" w:cs="Times New Roman"/>
          <w:b w:val="0"/>
          <w:i w:val="0"/>
          <w:sz w:val="22"/>
        </w:rPr>
        <w:t>sign with digital seal.</w:t>
      </w:r>
    </w:p>
    <w:p>
      <w:pPr>
        <w:spacing w:after="80" w:line="293" w:lineRule="auto"/>
        <w:ind w:left="283"/>
        <w:jc w:val="left"/>
      </w:pPr>
      <w:r>
        <w:rPr>
          <w:rFonts w:ascii="Times New Roman" w:hAnsi="Times New Roman" w:cs="Times New Roman"/>
          <w:b w:val="0"/>
          <w:i w:val="0"/>
          <w:sz w:val="22"/>
        </w:rPr>
        <w:t>- Audits &amp; Reports: Loom chain verification, regulatory reports (CBE, ECB, etc.).</w:t>
      </w:r>
    </w:p>
    <w:p>
      <w:pPr>
        <w:spacing w:after="80" w:line="293" w:lineRule="auto"/>
        <w:ind w:left="283"/>
        <w:jc w:val="left"/>
      </w:pPr>
      <w:r>
        <w:rPr>
          <w:rFonts w:ascii="Times New Roman" w:hAnsi="Times New Roman" w:cs="Times New Roman"/>
          <w:b w:val="0"/>
          <w:i w:val="0"/>
          <w:sz w:val="22"/>
        </w:rPr>
        <w:t>- Compliance Monitor: real-time dashboard of platform-wide compliance metrics (sanctions alerts,</w:t>
      </w:r>
    </w:p>
    <w:p>
      <w:pPr>
        <w:spacing w:after="80" w:line="293" w:lineRule="auto"/>
        <w:jc w:val="left"/>
      </w:pPr>
      <w:r>
        <w:rPr>
          <w:rFonts w:ascii="Times New Roman" w:hAnsi="Times New Roman" w:cs="Times New Roman"/>
          <w:b w:val="0"/>
          <w:i w:val="0"/>
          <w:sz w:val="22"/>
        </w:rPr>
        <w:t>deferred payment expiries, dispute volume, fee collection success, auto-clearance stats, unusual trade patterns).</w:t>
      </w:r>
    </w:p>
    <w:p>
      <w:pPr>
        <w:spacing w:after="80" w:line="293" w:lineRule="auto"/>
        <w:ind w:left="283"/>
        <w:jc w:val="left"/>
      </w:pPr>
      <w:r>
        <w:rPr>
          <w:rFonts w:ascii="Times New Roman" w:hAnsi="Times New Roman" w:cs="Times New Roman"/>
          <w:b w:val="0"/>
          <w:i w:val="0"/>
          <w:sz w:val="22"/>
        </w:rPr>
        <w:t>- Company Admin: dynamic module configuration (enable/disable features), agency profile, contact</w:t>
      </w:r>
    </w:p>
    <w:p>
      <w:pPr>
        <w:spacing w:after="80" w:line="293" w:lineRule="auto"/>
        <w:jc w:val="left"/>
      </w:pPr>
      <w:r>
        <w:rPr>
          <w:rFonts w:ascii="Times New Roman" w:hAnsi="Times New Roman" w:cs="Times New Roman"/>
          <w:b w:val="0"/>
          <w:i w:val="0"/>
          <w:sz w:val="22"/>
        </w:rPr>
        <w:t>information.</w:t>
      </w:r>
    </w:p>
    <w:p>
      <w:pPr>
        <w:keepNext/>
        <w:spacing w:before="180" w:after="80"/>
        <w:outlineLvl w:val="2"/>
      </w:pPr>
      <w:r>
        <w:rPr>
          <w:rFonts w:ascii="Arial" w:hAnsi="Arial" w:cs="Arial"/>
          <w:b/>
          <w:i w:val="0"/>
          <w:color w:val="333333"/>
          <w:sz w:val="23"/>
        </w:rPr>
        <w:t>16.8.13 Admin Portal (Platform Governance Authority)</w:t>
      </w:r>
    </w:p>
    <w:p>
      <w:pPr>
        <w:keepNext/>
        <w:spacing w:before="140" w:after="60"/>
        <w:outlineLvl w:val="3"/>
      </w:pPr>
      <w:r>
        <w:rPr>
          <w:rFonts w:ascii="Arial" w:hAnsi="Arial" w:cs="Arial"/>
          <w:b/>
          <w:i/>
          <w:color w:val="333333"/>
          <w:sz w:val="22"/>
        </w:rPr>
        <w:t>16.8.13.1 Access &amp; Purpose</w:t>
      </w:r>
    </w:p>
    <w:p>
      <w:pPr>
        <w:spacing w:after="80" w:line="293" w:lineRule="auto"/>
        <w:jc w:val="left"/>
      </w:pPr>
      <w:r>
        <w:rPr>
          <w:rFonts w:ascii="Times New Roman" w:hAnsi="Times New Roman" w:cs="Times New Roman"/>
          <w:b w:val="0"/>
          <w:i w:val="0"/>
          <w:sz w:val="22"/>
        </w:rPr>
        <w:t>Access: multisig members (3 of 5). Authentication requires a ZITADEL passkey (WebAuthn) with mandatory biometric verification. Every irreversible action requires multisig approval collected asynchronously through the portal's approval queue. Dual-mode toggle: not applicable.</w:t>
      </w:r>
    </w:p>
    <w:p>
      <w:pPr>
        <w:spacing w:after="80" w:line="293" w:lineRule="auto"/>
        <w:jc w:val="left"/>
      </w:pPr>
      <w:r>
        <w:rPr>
          <w:rFonts w:ascii="Times New Roman" w:hAnsi="Times New Roman" w:cs="Times New Roman"/>
          <w:b w:val="0"/>
          <w:i w:val="0"/>
          <w:sz w:val="22"/>
        </w:rPr>
        <w:t>Landing page: Smart Inbox (multisig requests, system alerts, policy drift warnings).</w:t>
      </w:r>
    </w:p>
    <w:p>
      <w:pPr>
        <w:keepNext/>
        <w:spacing w:before="140" w:after="60"/>
        <w:outlineLvl w:val="3"/>
      </w:pPr>
      <w:r>
        <w:rPr>
          <w:rFonts w:ascii="Arial" w:hAnsi="Arial" w:cs="Arial"/>
          <w:b/>
          <w:i/>
          <w:color w:val="333333"/>
          <w:sz w:val="22"/>
        </w:rPr>
        <w:t>16.8.13.2 Smart Inbox Examples (Admin)</w:t>
      </w:r>
    </w:p>
    <w:p>
      <w:pPr>
        <w:spacing w:after="80" w:line="293" w:lineRule="auto"/>
        <w:ind w:left="283"/>
        <w:jc w:val="left"/>
      </w:pPr>
      <w:r>
        <w:rPr>
          <w:rFonts w:ascii="Times New Roman" w:hAnsi="Times New Roman" w:cs="Times New Roman"/>
          <w:b w:val="0"/>
          <w:i w:val="0"/>
          <w:sz w:val="22"/>
        </w:rPr>
        <w:t>- High — "Multisig request #MS042: approve new jurisdiction matrix entry for Nigeria" (100)</w:t>
      </w:r>
    </w:p>
    <w:p>
      <w:pPr>
        <w:spacing w:after="80" w:line="293" w:lineRule="auto"/>
        <w:ind w:left="283"/>
        <w:jc w:val="left"/>
      </w:pPr>
      <w:r>
        <w:rPr>
          <w:rFonts w:ascii="Times New Roman" w:hAnsi="Times New Roman" w:cs="Times New Roman"/>
          <w:b w:val="0"/>
          <w:i w:val="0"/>
          <w:sz w:val="22"/>
        </w:rPr>
        <w:t>- Medium — "Bank health alert: mandated bank degraded (score 42), fallback route activated" (85)</w:t>
      </w:r>
    </w:p>
    <w:p>
      <w:pPr>
        <w:spacing w:after="80" w:line="293" w:lineRule="auto"/>
        <w:ind w:left="283"/>
        <w:jc w:val="left"/>
      </w:pPr>
      <w:r>
        <w:rPr>
          <w:rFonts w:ascii="Times New Roman" w:hAnsi="Times New Roman" w:cs="Times New Roman"/>
          <w:b w:val="0"/>
          <w:i w:val="0"/>
          <w:sz w:val="22"/>
        </w:rPr>
        <w:t>- Low — "Configuration change — version 127 applied" (30)</w:t>
      </w:r>
    </w:p>
    <w:p>
      <w:pPr>
        <w:keepNext/>
        <w:spacing w:before="140" w:after="60"/>
        <w:outlineLvl w:val="3"/>
      </w:pPr>
      <w:r>
        <w:rPr>
          <w:rFonts w:ascii="Arial" w:hAnsi="Arial" w:cs="Arial"/>
          <w:b/>
          <w:i/>
          <w:color w:val="333333"/>
          <w:sz w:val="22"/>
        </w:rPr>
        <w:t>16.8.13.3 Detailed Tab Specifications</w:t>
      </w:r>
    </w:p>
    <w:p>
      <w:pPr>
        <w:spacing w:after="80" w:line="293" w:lineRule="auto"/>
        <w:jc w:val="left"/>
      </w:pPr>
      <w:r>
        <w:rPr>
          <w:rFonts w:ascii="Times New Roman" w:hAnsi="Times New Roman" w:cs="Times New Roman"/>
          <w:b w:val="0"/>
          <w:i w:val="0"/>
          <w:sz w:val="22"/>
        </w:rPr>
        <w:t>Tab 1: Inbox. The common Smart Inbox, filtered to admin-relevant items: multisig requests, system alerts, policy drift warnings.</w:t>
      </w:r>
    </w:p>
    <w:p>
      <w:pPr>
        <w:spacing w:after="80" w:line="293" w:lineRule="auto"/>
        <w:jc w:val="left"/>
      </w:pPr>
      <w:r>
        <w:rPr>
          <w:rFonts w:ascii="Times New Roman" w:hAnsi="Times New Roman" w:cs="Times New Roman"/>
          <w:b w:val="0"/>
          <w:i w:val="0"/>
          <w:sz w:val="22"/>
        </w:rPr>
        <w:t>Tab 2: Platform Health. The command centre for real-time operational awareness. Renders four collapsible zones: real-time service metrics, predictive node-failure dashboard, bank health, and an A1-generated operational summary.</w:t>
      </w:r>
    </w:p>
    <w:p>
      <w:pPr>
        <w:spacing w:after="80" w:line="293" w:lineRule="auto"/>
        <w:jc w:val="left"/>
      </w:pPr>
      <w:r>
        <w:rPr>
          <w:rFonts w:ascii="Times New Roman" w:hAnsi="Times New Roman" w:cs="Times New Roman"/>
          <w:b w:val="0"/>
          <w:i w:val="0"/>
          <w:sz w:val="22"/>
        </w:rPr>
        <w:t>Tab 3: Constitutional Policies. Allows the multisig to edit the platform's Rego policies and recompile the WASM constitutional modules, with impact simulation before submission.</w:t>
      </w:r>
    </w:p>
    <w:p>
      <w:pPr>
        <w:spacing w:after="80" w:line="293" w:lineRule="auto"/>
        <w:jc w:val="left"/>
      </w:pPr>
      <w:r>
        <w:rPr>
          <w:rFonts w:ascii="Times New Roman" w:hAnsi="Times New Roman" w:cs="Times New Roman"/>
          <w:b w:val="0"/>
          <w:i w:val="0"/>
          <w:sz w:val="22"/>
        </w:rPr>
        <w:t>Tab 4: Governor Log &amp; Audit. Immutable decision explorer with natural-language querying powered by Groq converting plain English to ClickHouse SQL. Admins can ask: "Show all decisions where fee release was blocked in the last week," or "List trades where the buyer was from Egypt and a dispute was filed." Results are paginated and exportable to CSV. Clicking a row shows the full decision JSON, including the tenant_message displayed to the user. A "Verify Loom Chain" button recalculates all hashes from genesis to the selected decision; any mismatch triggers a P0 incident.</w:t>
      </w:r>
    </w:p>
    <w:p>
      <w:pPr>
        <w:spacing w:after="80" w:line="293" w:lineRule="auto"/>
        <w:jc w:val="left"/>
      </w:pPr>
      <w:r>
        <w:rPr>
          <w:rFonts w:ascii="Times New Roman" w:hAnsi="Times New Roman" w:cs="Times New Roman"/>
          <w:b w:val="0"/>
          <w:i w:val="0"/>
          <w:sz w:val="22"/>
        </w:rPr>
        <w:t>Tab 5: Jurisdiction Matrix Editor. Editable table of all 195+ jurisdictions with fields: country code, name, sanctions level, distressed sale allowed, reporting requirements, etc.</w:t>
      </w:r>
    </w:p>
    <w:p>
      <w:pPr>
        <w:spacing w:after="80" w:line="293" w:lineRule="auto"/>
        <w:jc w:val="left"/>
      </w:pPr>
      <w:r>
        <w:rPr>
          <w:rFonts w:ascii="Times New Roman" w:hAnsi="Times New Roman" w:cs="Times New Roman"/>
          <w:b w:val="0"/>
          <w:i w:val="0"/>
          <w:sz w:val="22"/>
        </w:rPr>
        <w:t>Tab 6: Bank Manager. Monitor and manage all participating banks (bank_capability_registry). Table with bank GTID, capability tier, countries served, health score, latency, failure rate, status. Actions: "Force Fallback", "Restore", "View Fallback Routes". The Fallback Route Editor per mandate and currency allows reordering priority; changes require multisig approval. An "Add New Bank" form, manually or from RIA discovery, allows admins to onboard new banks; the system tests connectivity (test ISO 20022 message) and, if successful, adds it to the live routing table.</w:t>
      </w:r>
    </w:p>
    <w:p>
      <w:pPr>
        <w:spacing w:after="80" w:line="293" w:lineRule="auto"/>
        <w:jc w:val="left"/>
      </w:pPr>
      <w:r>
        <w:rPr>
          <w:rFonts w:ascii="Times New Roman" w:hAnsi="Times New Roman" w:cs="Times New Roman"/>
          <w:b w:val="0"/>
          <w:i w:val="0"/>
          <w:sz w:val="22"/>
        </w:rPr>
        <w:t>Tab 7: Special Rate Manager. Provides the interface for the Platform Governance Authority to define special platform fee policies for specific pairs of GTIDs through the constitutional fee engine (Section 9.27.30). A special rate never overrides the engine: the proposal selects a policy-defined special pricing type (strategic corridor, anchor institution, government program, essential program, bulk program, launch/pilot, or institutional volume rate) with its bounded parameters, and every resulting fee still passes the constitutional band (0.03%-1.50%), the affordability guard, and the fee sanity gate. Workflow to create a special rate: an admin clicks "Propose Special Rate"; a form prompts for Seller GTID, Buyer GTID, special pricing type, target rate or policy profile (constrained to the constitutional band), effective date range, and a mandatory reason (free text); the proposal is submitted as a multisig request; all other multisig members receive a Smart Inbox item: "Special rate proposal: [Seller] → [Buyer] under [type]. Review." Upon 3-of-5 approval, the Governor records a `special_rate_override` decision and inserts a row into the `special_sgtx_fee_rates` table. Special rates can be edited or revoked before expiry via the same multisig process. All actions are permanently logged and visible in Configuration History.</w:t>
      </w:r>
    </w:p>
    <w:p>
      <w:pPr>
        <w:spacing w:after="80" w:line="293" w:lineRule="auto"/>
        <w:jc w:val="left"/>
      </w:pPr>
      <w:r>
        <w:rPr>
          <w:rFonts w:ascii="Times New Roman" w:hAnsi="Times New Roman" w:cs="Times New Roman"/>
          <w:b w:val="0"/>
          <w:i w:val="0"/>
          <w:sz w:val="22"/>
        </w:rPr>
        <w:t>Tab 8: Incidents. Manages the lifecycle of platform incidents, with AI-assisted post-mortem drafting.</w:t>
      </w:r>
    </w:p>
    <w:p>
      <w:pPr>
        <w:spacing w:after="80" w:line="293" w:lineRule="auto"/>
        <w:jc w:val="left"/>
      </w:pPr>
      <w:r>
        <w:rPr>
          <w:rFonts w:ascii="Times New Roman" w:hAnsi="Times New Roman" w:cs="Times New Roman"/>
          <w:b w:val="0"/>
          <w:i w:val="0"/>
          <w:sz w:val="22"/>
        </w:rPr>
        <w:t>Tab 9: Marketplace Partners. Onboard and manage marketplace partners that connect via the Marketplace API.</w:t>
      </w:r>
    </w:p>
    <w:p>
      <w:pPr>
        <w:spacing w:after="80" w:line="293" w:lineRule="auto"/>
        <w:jc w:val="left"/>
      </w:pPr>
      <w:r>
        <w:rPr>
          <w:rFonts w:ascii="Times New Roman" w:hAnsi="Times New Roman" w:cs="Times New Roman"/>
          <w:b w:val="0"/>
          <w:i w:val="0"/>
          <w:sz w:val="22"/>
        </w:rPr>
        <w:t>Tab 10: Tenant Management. Provides oversight and support tools for all tenants (search, KYB status, readonly impersonation with multisig approval, time-limited and logged, break-glass audit view).</w:t>
      </w:r>
    </w:p>
    <w:p>
      <w:pPr>
        <w:spacing w:after="80" w:line="293" w:lineRule="auto"/>
        <w:jc w:val="left"/>
      </w:pPr>
      <w:r>
        <w:rPr>
          <w:rFonts w:ascii="Times New Roman" w:hAnsi="Times New Roman" w:cs="Times New Roman"/>
          <w:b w:val="0"/>
          <w:i w:val="0"/>
          <w:sz w:val="22"/>
        </w:rPr>
        <w:t>Tab 11: Customer Care Hub. Provides the oversight interface for the platform's AI-powered customer support system and the human escalation queue (chatbot performance dashboard, human support queue, chat transcripts, escalation rules configuration).</w:t>
      </w:r>
    </w:p>
    <w:p>
      <w:pPr>
        <w:spacing w:after="80" w:line="293" w:lineRule="auto"/>
        <w:jc w:val="left"/>
      </w:pPr>
      <w:r>
        <w:rPr>
          <w:rFonts w:ascii="Times New Roman" w:hAnsi="Times New Roman" w:cs="Times New Roman"/>
          <w:b w:val="0"/>
          <w:i w:val="0"/>
          <w:sz w:val="22"/>
        </w:rPr>
        <w:t>Tab 12: Configuration History. All platform-wide configuration is treated as a versioned manifest. This tab provides Git-like history and rollback capability (diff view, rollback).</w:t>
      </w:r>
    </w:p>
    <w:p>
      <w:pPr>
        <w:spacing w:after="80" w:line="293" w:lineRule="auto"/>
        <w:jc w:val="left"/>
      </w:pPr>
      <w:r>
        <w:rPr>
          <w:rFonts w:ascii="Times New Roman" w:hAnsi="Times New Roman" w:cs="Times New Roman"/>
          <w:b w:val="0"/>
          <w:i w:val="0"/>
          <w:sz w:val="22"/>
        </w:rPr>
        <w:t>Tab 13: Internal Admin. Manages the Platform Governance Authority's own membership and internal roles.</w:t>
      </w:r>
    </w:p>
    <w:p>
      <w:pPr>
        <w:keepNext/>
        <w:spacing w:before="140" w:after="60"/>
        <w:outlineLvl w:val="3"/>
      </w:pPr>
      <w:r>
        <w:rPr>
          <w:rFonts w:ascii="Arial" w:hAnsi="Arial" w:cs="Arial"/>
          <w:b/>
          <w:i/>
          <w:color w:val="333333"/>
          <w:sz w:val="22"/>
        </w:rPr>
        <w:t>16.8.13.4 Implementation Checklist (Admin Portal)</w:t>
      </w:r>
    </w:p>
    <w:p>
      <w:pPr>
        <w:spacing w:after="80" w:line="293" w:lineRule="auto"/>
        <w:ind w:left="283"/>
        <w:jc w:val="left"/>
      </w:pPr>
      <w:r>
        <w:rPr>
          <w:rFonts w:ascii="Times New Roman" w:hAnsi="Times New Roman" w:cs="Times New Roman"/>
          <w:b w:val="0"/>
          <w:i w:val="0"/>
          <w:sz w:val="22"/>
        </w:rPr>
        <w:t>- Universal Command Center: admin-specific cards (multisig requests, system alerts, bank health).</w:t>
      </w:r>
    </w:p>
    <w:p>
      <w:pPr>
        <w:spacing w:after="80" w:line="293" w:lineRule="auto"/>
        <w:ind w:left="283"/>
        <w:jc w:val="left"/>
      </w:pPr>
      <w:r>
        <w:rPr>
          <w:rFonts w:ascii="Times New Roman" w:hAnsi="Times New Roman" w:cs="Times New Roman"/>
          <w:b w:val="0"/>
          <w:i w:val="0"/>
          <w:sz w:val="22"/>
        </w:rPr>
        <w:t>- Platform Health: real-time metrics, predictive node failure dashboard, bank health, operational</w:t>
      </w:r>
    </w:p>
    <w:p>
      <w:pPr>
        <w:spacing w:after="80" w:line="293" w:lineRule="auto"/>
        <w:jc w:val="left"/>
      </w:pPr>
      <w:r>
        <w:rPr>
          <w:rFonts w:ascii="Times New Roman" w:hAnsi="Times New Roman" w:cs="Times New Roman"/>
          <w:b w:val="0"/>
          <w:i w:val="0"/>
          <w:sz w:val="22"/>
        </w:rPr>
        <w:t>summary (A1).</w:t>
      </w:r>
    </w:p>
    <w:p>
      <w:pPr>
        <w:spacing w:after="80" w:line="293" w:lineRule="auto"/>
        <w:ind w:left="283"/>
        <w:jc w:val="left"/>
      </w:pPr>
      <w:r>
        <w:rPr>
          <w:rFonts w:ascii="Times New Roman" w:hAnsi="Times New Roman" w:cs="Times New Roman"/>
          <w:b w:val="0"/>
          <w:i w:val="0"/>
          <w:sz w:val="22"/>
        </w:rPr>
        <w:t>- Constitutional Policies: policy editor (Rego), impact simulation, submit for multisig approval.</w:t>
      </w:r>
    </w:p>
    <w:p>
      <w:pPr>
        <w:spacing w:after="80" w:line="293" w:lineRule="auto"/>
        <w:ind w:left="283"/>
        <w:jc w:val="left"/>
      </w:pPr>
      <w:r>
        <w:rPr>
          <w:rFonts w:ascii="Times New Roman" w:hAnsi="Times New Roman" w:cs="Times New Roman"/>
          <w:b w:val="0"/>
          <w:i w:val="0"/>
          <w:sz w:val="22"/>
        </w:rPr>
        <w:t>- Governor Log &amp; Audit: natural language query over Governor decisions, Loom chain integrity</w:t>
      </w:r>
    </w:p>
    <w:p>
      <w:pPr>
        <w:spacing w:after="80" w:line="293" w:lineRule="auto"/>
        <w:jc w:val="left"/>
      </w:pPr>
      <w:r>
        <w:rPr>
          <w:rFonts w:ascii="Times New Roman" w:hAnsi="Times New Roman" w:cs="Times New Roman"/>
          <w:b w:val="0"/>
          <w:i w:val="0"/>
          <w:sz w:val="22"/>
        </w:rPr>
        <w:t>verification.</w:t>
      </w:r>
    </w:p>
    <w:p>
      <w:pPr>
        <w:spacing w:after="80" w:line="293" w:lineRule="auto"/>
        <w:ind w:left="283"/>
        <w:jc w:val="left"/>
      </w:pPr>
      <w:r>
        <w:rPr>
          <w:rFonts w:ascii="Times New Roman" w:hAnsi="Times New Roman" w:cs="Times New Roman"/>
          <w:b w:val="0"/>
          <w:i w:val="0"/>
          <w:sz w:val="22"/>
        </w:rPr>
        <w:t>- Jurisdiction Matrix: editable table with conflict detection, revert to RIA values, mass update.</w:t>
      </w:r>
    </w:p>
    <w:p>
      <w:pPr>
        <w:spacing w:after="80" w:line="293" w:lineRule="auto"/>
        <w:ind w:left="283"/>
        <w:jc w:val="left"/>
      </w:pPr>
      <w:r>
        <w:rPr>
          <w:rFonts w:ascii="Times New Roman" w:hAnsi="Times New Roman" w:cs="Times New Roman"/>
          <w:b w:val="0"/>
          <w:i w:val="0"/>
          <w:sz w:val="22"/>
        </w:rPr>
        <w:t>- Bank Manager: health scores, fallback routes, onboard new banks.</w:t>
      </w:r>
    </w:p>
    <w:p>
      <w:pPr>
        <w:spacing w:after="80" w:line="293" w:lineRule="auto"/>
        <w:ind w:left="283"/>
        <w:jc w:val="left"/>
      </w:pPr>
      <w:r>
        <w:rPr>
          <w:rFonts w:ascii="Times New Roman" w:hAnsi="Times New Roman" w:cs="Times New Roman"/>
          <w:b w:val="0"/>
          <w:i w:val="0"/>
          <w:sz w:val="22"/>
        </w:rPr>
        <w:t>- Special Rate Manager: propose, approve, edit, revoke special rates.</w:t>
      </w:r>
    </w:p>
    <w:p>
      <w:pPr>
        <w:spacing w:after="80" w:line="293" w:lineRule="auto"/>
        <w:ind w:left="283"/>
        <w:jc w:val="left"/>
      </w:pPr>
      <w:r>
        <w:rPr>
          <w:rFonts w:ascii="Times New Roman" w:hAnsi="Times New Roman" w:cs="Times New Roman"/>
          <w:b w:val="0"/>
          <w:i w:val="0"/>
          <w:sz w:val="22"/>
        </w:rPr>
        <w:t>- Incidents: incident lifecycle, automated post-mortem generation (Groq).</w:t>
      </w:r>
    </w:p>
    <w:p>
      <w:pPr>
        <w:spacing w:after="80" w:line="293" w:lineRule="auto"/>
        <w:ind w:left="283"/>
        <w:jc w:val="left"/>
      </w:pPr>
      <w:r>
        <w:rPr>
          <w:rFonts w:ascii="Times New Roman" w:hAnsi="Times New Roman" w:cs="Times New Roman"/>
          <w:b w:val="0"/>
          <w:i w:val="0"/>
          <w:sz w:val="22"/>
        </w:rPr>
        <w:t>- Marketplace Partners: onboard new partners, manage disputes, view attribution logs.</w:t>
      </w:r>
    </w:p>
    <w:p>
      <w:pPr>
        <w:spacing w:after="80" w:line="293" w:lineRule="auto"/>
        <w:ind w:left="283"/>
        <w:jc w:val="left"/>
      </w:pPr>
      <w:r>
        <w:rPr>
          <w:rFonts w:ascii="Times New Roman" w:hAnsi="Times New Roman" w:cs="Times New Roman"/>
          <w:b w:val="0"/>
          <w:i w:val="0"/>
          <w:sz w:val="22"/>
        </w:rPr>
        <w:t>- Tenant Management: search tenants, view KYB status, impersonate tenant (readonly, multisig</w:t>
      </w:r>
    </w:p>
    <w:p>
      <w:pPr>
        <w:spacing w:after="80" w:line="293" w:lineRule="auto"/>
        <w:jc w:val="left"/>
      </w:pPr>
      <w:r>
        <w:rPr>
          <w:rFonts w:ascii="Times New Roman" w:hAnsi="Times New Roman" w:cs="Times New Roman"/>
          <w:b w:val="0"/>
          <w:i w:val="0"/>
          <w:sz w:val="22"/>
        </w:rPr>
        <w:t>approval, time-limited, logged), break-glass audit view.</w:t>
      </w:r>
    </w:p>
    <w:p>
      <w:pPr>
        <w:spacing w:after="80" w:line="293" w:lineRule="auto"/>
        <w:ind w:left="283"/>
        <w:jc w:val="left"/>
      </w:pPr>
      <w:r>
        <w:rPr>
          <w:rFonts w:ascii="Times New Roman" w:hAnsi="Times New Roman" w:cs="Times New Roman"/>
          <w:b w:val="0"/>
          <w:i w:val="0"/>
          <w:sz w:val="22"/>
        </w:rPr>
        <w:t>- Customer Care Hub: chatbot performance dashboard, human support queue, chat transcripts,</w:t>
      </w:r>
    </w:p>
    <w:p>
      <w:pPr>
        <w:spacing w:after="80" w:line="293" w:lineRule="auto"/>
        <w:jc w:val="left"/>
      </w:pPr>
      <w:r>
        <w:rPr>
          <w:rFonts w:ascii="Times New Roman" w:hAnsi="Times New Roman" w:cs="Times New Roman"/>
          <w:b w:val="0"/>
          <w:i w:val="0"/>
          <w:sz w:val="22"/>
        </w:rPr>
        <w:t>escalation rules configuration.</w:t>
      </w:r>
    </w:p>
    <w:p>
      <w:pPr>
        <w:spacing w:after="80" w:line="293" w:lineRule="auto"/>
        <w:ind w:left="283"/>
        <w:jc w:val="left"/>
      </w:pPr>
      <w:r>
        <w:rPr>
          <w:rFonts w:ascii="Times New Roman" w:hAnsi="Times New Roman" w:cs="Times New Roman"/>
          <w:b w:val="0"/>
          <w:i w:val="0"/>
          <w:sz w:val="22"/>
        </w:rPr>
        <w:t>- Configuration History: versioned manifest, diff view, rollback.</w:t>
      </w:r>
    </w:p>
    <w:p>
      <w:pPr>
        <w:spacing w:after="80" w:line="293" w:lineRule="auto"/>
        <w:ind w:left="283"/>
        <w:jc w:val="left"/>
      </w:pPr>
      <w:r>
        <w:rPr>
          <w:rFonts w:ascii="Times New Roman" w:hAnsi="Times New Roman" w:cs="Times New Roman"/>
          <w:b w:val="0"/>
          <w:i w:val="0"/>
          <w:sz w:val="22"/>
        </w:rPr>
        <w:t>- Internal Admin: manage multisig members, internal roles, API keys.</w:t>
      </w:r>
    </w:p>
    <w:p>
      <w:pPr>
        <w:keepNext/>
        <w:spacing w:before="180" w:after="80"/>
        <w:outlineLvl w:val="2"/>
      </w:pPr>
      <w:r>
        <w:rPr>
          <w:rFonts w:ascii="Arial" w:hAnsi="Arial" w:cs="Arial"/>
          <w:b/>
          <w:i w:val="0"/>
          <w:color w:val="333333"/>
          <w:sz w:val="23"/>
        </w:rPr>
        <w:t>16.8.14 Marketplace Partner Portal (MP)</w:t>
      </w:r>
    </w:p>
    <w:p>
      <w:pPr>
        <w:keepNext/>
        <w:spacing w:before="140" w:after="60"/>
        <w:outlineLvl w:val="3"/>
      </w:pPr>
      <w:r>
        <w:rPr>
          <w:rFonts w:ascii="Arial" w:hAnsi="Arial" w:cs="Arial"/>
          <w:b/>
          <w:i/>
          <w:color w:val="333333"/>
          <w:sz w:val="22"/>
        </w:rPr>
        <w:t>16.8.14.1 Access &amp; Purpose</w:t>
      </w:r>
    </w:p>
    <w:p>
      <w:pPr>
        <w:spacing w:after="80" w:line="293" w:lineRule="auto"/>
        <w:jc w:val="left"/>
      </w:pPr>
      <w:r>
        <w:rPr>
          <w:rFonts w:ascii="Times New Roman" w:hAnsi="Times New Roman" w:cs="Times New Roman"/>
          <w:b w:val="0"/>
          <w:i w:val="0"/>
          <w:sz w:val="22"/>
        </w:rPr>
        <w:t>Access: tenants with type = MP (external platforms integrating via API). Onboarding requires a signed revenue-share agreement. Dual-mode toggle: not applicable.</w:t>
      </w:r>
    </w:p>
    <w:p>
      <w:pPr>
        <w:spacing w:after="80" w:line="293" w:lineRule="auto"/>
        <w:jc w:val="left"/>
      </w:pPr>
      <w:r>
        <w:rPr>
          <w:rFonts w:ascii="Times New Roman" w:hAnsi="Times New Roman" w:cs="Times New Roman"/>
          <w:b w:val="0"/>
          <w:i w:val="0"/>
          <w:sz w:val="22"/>
        </w:rPr>
        <w:t>Landing page: Dashboard (key metrics, conversion rate, top corridors, total platform fees earned).</w:t>
      </w:r>
    </w:p>
    <w:p>
      <w:pPr>
        <w:keepNext/>
        <w:spacing w:before="140" w:after="60"/>
        <w:outlineLvl w:val="3"/>
      </w:pPr>
      <w:r>
        <w:rPr>
          <w:rFonts w:ascii="Arial" w:hAnsi="Arial" w:cs="Arial"/>
          <w:b/>
          <w:i/>
          <w:color w:val="333333"/>
          <w:sz w:val="22"/>
        </w:rPr>
        <w:t>16.8.14.2 Dashboard — Key Metrics &amp; AI Recommendations</w:t>
      </w:r>
    </w:p>
    <w:p>
      <w:pPr>
        <w:spacing w:after="80" w:line="293" w:lineRule="auto"/>
        <w:jc w:val="left"/>
      </w:pPr>
      <w:r>
        <w:rPr>
          <w:rFonts w:ascii="Times New Roman" w:hAnsi="Times New Roman" w:cs="Times New Roman"/>
          <w:b w:val="0"/>
          <w:i w:val="0"/>
          <w:sz w:val="22"/>
        </w:rPr>
        <w:t>Real-time metrics: leads submitted, conversion rate, revenue share earned, top corridors. An AI Summary Card (A1) explains trends and recommends next actions (e.g., which corridor to promote next).</w:t>
      </w:r>
    </w:p>
    <w:p>
      <w:pPr>
        <w:keepNext/>
        <w:spacing w:before="140" w:after="60"/>
        <w:outlineLvl w:val="3"/>
      </w:pPr>
      <w:r>
        <w:rPr>
          <w:rFonts w:ascii="Arial" w:hAnsi="Arial" w:cs="Arial"/>
          <w:b/>
          <w:i/>
          <w:color w:val="333333"/>
          <w:sz w:val="22"/>
        </w:rPr>
        <w:t>16.8.14.3 Leads Management (Intent Inbox)</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review all intents submitted via the API, their status, and take action. Table columns: intent ID, submitted date, raw text snippet, parsed specs, viability score, status, actions.</w:t>
      </w:r>
    </w:p>
    <w:p>
      <w:pPr>
        <w:spacing w:after="80" w:line="293" w:lineRule="auto"/>
        <w:jc w:val="left"/>
      </w:pPr>
      <w:r>
        <w:rPr>
          <w:rFonts w:ascii="Times New Roman" w:hAnsi="Times New Roman" w:cs="Times New Roman"/>
          <w:b w:val="0"/>
          <w:i w:val="0"/>
          <w:sz w:val="22"/>
        </w:rPr>
        <w:t>Status meanings:</w:t>
      </w:r>
    </w:p>
    <w:p>
      <w:pPr>
        <w:spacing w:after="80" w:line="293" w:lineRule="auto"/>
        <w:ind w:left="283"/>
        <w:jc w:val="left"/>
      </w:pPr>
      <w:r>
        <w:rPr>
          <w:rFonts w:ascii="Times New Roman" w:hAnsi="Times New Roman" w:cs="Times New Roman"/>
          <w:b w:val="0"/>
          <w:i w:val="0"/>
          <w:sz w:val="22"/>
        </w:rPr>
        <w:t>- ACCEPTED — lead is viable; the partner can proceed to redirect the buyer to the platform for</w:t>
      </w:r>
    </w:p>
    <w:p>
      <w:pPr>
        <w:spacing w:after="80" w:line="293" w:lineRule="auto"/>
        <w:jc w:val="left"/>
      </w:pPr>
      <w:r>
        <w:rPr>
          <w:rFonts w:ascii="Times New Roman" w:hAnsi="Times New Roman" w:cs="Times New Roman"/>
          <w:b w:val="0"/>
          <w:i w:val="0"/>
          <w:sz w:val="22"/>
        </w:rPr>
        <w:t>full trade creation.</w:t>
      </w:r>
    </w:p>
    <w:p>
      <w:pPr>
        <w:spacing w:after="80" w:line="293" w:lineRule="auto"/>
        <w:ind w:left="283"/>
        <w:jc w:val="left"/>
      </w:pPr>
      <w:r>
        <w:rPr>
          <w:rFonts w:ascii="Times New Roman" w:hAnsi="Times New Roman" w:cs="Times New Roman"/>
          <w:b w:val="0"/>
          <w:i w:val="0"/>
          <w:sz w:val="22"/>
        </w:rPr>
        <w:t>- REJECTED — lead is not viable (sanctions, jurisdiction block, unsupported commodity). Reason</w:t>
      </w:r>
    </w:p>
    <w:p>
      <w:pPr>
        <w:spacing w:after="80" w:line="293" w:lineRule="auto"/>
        <w:jc w:val="left"/>
      </w:pPr>
      <w:r>
        <w:rPr>
          <w:rFonts w:ascii="Times New Roman" w:hAnsi="Times New Roman" w:cs="Times New Roman"/>
          <w:b w:val="0"/>
          <w:i w:val="0"/>
          <w:sz w:val="22"/>
        </w:rPr>
        <w:t>shown in a tooltip.</w:t>
      </w:r>
    </w:p>
    <w:p>
      <w:pPr>
        <w:spacing w:after="80" w:line="293" w:lineRule="auto"/>
        <w:ind w:left="283"/>
        <w:jc w:val="left"/>
      </w:pPr>
      <w:r>
        <w:rPr>
          <w:rFonts w:ascii="Times New Roman" w:hAnsi="Times New Roman" w:cs="Times New Roman"/>
          <w:b w:val="0"/>
          <w:i w:val="0"/>
          <w:sz w:val="22"/>
        </w:rPr>
        <w:t>- CONDITIONAL — lead has low confidence; the partner must collect more information (e.g.,</w:t>
      </w:r>
    </w:p>
    <w:p>
      <w:pPr>
        <w:spacing w:after="80" w:line="293" w:lineRule="auto"/>
        <w:jc w:val="left"/>
      </w:pPr>
      <w:r>
        <w:rPr>
          <w:rFonts w:ascii="Times New Roman" w:hAnsi="Times New Roman" w:cs="Times New Roman"/>
          <w:b w:val="0"/>
          <w:i w:val="0"/>
          <w:sz w:val="22"/>
        </w:rPr>
        <w:t>quantity) before retrying.</w:t>
      </w:r>
    </w:p>
    <w:p>
      <w:pPr>
        <w:spacing w:after="80" w:line="293" w:lineRule="auto"/>
        <w:jc w:val="left"/>
      </w:pPr>
      <w:r>
        <w:rPr>
          <w:rFonts w:ascii="Times New Roman" w:hAnsi="Times New Roman" w:cs="Times New Roman"/>
          <w:b w:val="0"/>
          <w:i w:val="0"/>
          <w:sz w:val="22"/>
        </w:rPr>
        <w:t>Actions: View (opens a modal with the complete intent response, parsed specs, recommendations, next action, and the AI-generated explanation if rejected/conditional); Resolve — for conditional intents, allows the partner to edit raw text or fill missing fields and resubmit (creates a new intent via API).</w:t>
      </w:r>
    </w:p>
    <w:p>
      <w:pPr>
        <w:keepNext/>
        <w:spacing w:before="140" w:after="60"/>
        <w:outlineLvl w:val="3"/>
      </w:pPr>
      <w:r>
        <w:rPr>
          <w:rFonts w:ascii="Arial" w:hAnsi="Arial" w:cs="Arial"/>
          <w:b/>
          <w:i/>
          <w:color w:val="333333"/>
          <w:sz w:val="22"/>
        </w:rPr>
        <w:t>16.8.14.4 Webhook Management &amp; Event Logs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configure webhook endpoints to receive real-time events (trade locked, platform fee settled, dispute filed), test and monitor delivery.</w:t>
      </w:r>
    </w:p>
    <w:p>
      <w:pPr>
        <w:spacing w:after="80" w:line="293" w:lineRule="auto"/>
        <w:jc w:val="left"/>
      </w:pPr>
      <w:r>
        <w:rPr>
          <w:rFonts w:ascii="Times New Roman" w:hAnsi="Times New Roman" w:cs="Times New Roman"/>
          <w:b w:val="0"/>
          <w:i w:val="0"/>
          <w:sz w:val="22"/>
        </w:rPr>
        <w:t>Webhook Endpoints:</w:t>
      </w:r>
    </w:p>
    <w:p>
      <w:pPr>
        <w:spacing w:after="80" w:line="293" w:lineRule="auto"/>
        <w:ind w:left="283"/>
        <w:jc w:val="left"/>
      </w:pPr>
      <w:r>
        <w:rPr>
          <w:rFonts w:ascii="Times New Roman" w:hAnsi="Times New Roman" w:cs="Times New Roman"/>
          <w:b w:val="0"/>
          <w:i w:val="0"/>
          <w:sz w:val="22"/>
        </w:rPr>
        <w:t>- List of registered endpoints (URL, events subscribed, status (active/inactive), created date).</w:t>
      </w:r>
    </w:p>
    <w:p>
      <w:pPr>
        <w:spacing w:after="80" w:line="293" w:lineRule="auto"/>
        <w:ind w:left="283"/>
        <w:jc w:val="left"/>
      </w:pPr>
      <w:r>
        <w:rPr>
          <w:rFonts w:ascii="Times New Roman" w:hAnsi="Times New Roman" w:cs="Times New Roman"/>
          <w:b w:val="0"/>
          <w:i w:val="0"/>
          <w:sz w:val="22"/>
        </w:rPr>
        <w:t>- Add Endpoint — form: URL, select events via checkboxes (trade.locked, sgtx_fee.settled,</w:t>
      </w:r>
    </w:p>
    <w:p>
      <w:pPr>
        <w:spacing w:after="80" w:line="293" w:lineRule="auto"/>
        <w:jc w:val="left"/>
      </w:pPr>
      <w:r>
        <w:rPr>
          <w:rFonts w:ascii="Times New Roman" w:hAnsi="Times New Roman" w:cs="Times New Roman"/>
          <w:b w:val="0"/>
          <w:i w:val="0"/>
          <w:sz w:val="22"/>
        </w:rPr>
        <w:t>dispute.filed, lead.rejected), optional secret rotation policy.</w:t>
      </w:r>
    </w:p>
    <w:p>
      <w:pPr>
        <w:spacing w:after="80" w:line="293" w:lineRule="auto"/>
        <w:ind w:left="283"/>
        <w:jc w:val="left"/>
      </w:pPr>
      <w:r>
        <w:rPr>
          <w:rFonts w:ascii="Times New Roman" w:hAnsi="Times New Roman" w:cs="Times New Roman"/>
          <w:b w:val="0"/>
          <w:i w:val="0"/>
          <w:sz w:val="22"/>
        </w:rPr>
        <w:t>- Edit — change URL or events, regenerate secret.</w:t>
      </w:r>
    </w:p>
    <w:p>
      <w:pPr>
        <w:spacing w:after="80" w:line="293" w:lineRule="auto"/>
        <w:ind w:left="283"/>
        <w:jc w:val="left"/>
      </w:pPr>
      <w:r>
        <w:rPr>
          <w:rFonts w:ascii="Times New Roman" w:hAnsi="Times New Roman" w:cs="Times New Roman"/>
          <w:b w:val="0"/>
          <w:i w:val="0"/>
          <w:sz w:val="22"/>
        </w:rPr>
        <w:t>- Delete — remove endpoint.</w:t>
      </w:r>
    </w:p>
    <w:p>
      <w:pPr>
        <w:spacing w:after="80" w:line="293" w:lineRule="auto"/>
        <w:ind w:left="283"/>
        <w:jc w:val="left"/>
      </w:pPr>
      <w:r>
        <w:rPr>
          <w:rFonts w:ascii="Times New Roman" w:hAnsi="Times New Roman" w:cs="Times New Roman"/>
          <w:b w:val="0"/>
          <w:i w:val="0"/>
          <w:sz w:val="22"/>
        </w:rPr>
        <w:t>- Test — sends a test.ping event to the endpoint and shows the delivery result (success/failure,</w:t>
      </w:r>
    </w:p>
    <w:p>
      <w:pPr>
        <w:spacing w:after="80" w:line="293" w:lineRule="auto"/>
        <w:jc w:val="left"/>
      </w:pPr>
      <w:r>
        <w:rPr>
          <w:rFonts w:ascii="Times New Roman" w:hAnsi="Times New Roman" w:cs="Times New Roman"/>
          <w:b w:val="0"/>
          <w:i w:val="0"/>
          <w:sz w:val="22"/>
        </w:rPr>
        <w:t>response body, latency).</w:t>
      </w:r>
    </w:p>
    <w:p>
      <w:pPr>
        <w:spacing w:after="80" w:line="293" w:lineRule="auto"/>
        <w:jc w:val="left"/>
      </w:pPr>
      <w:r>
        <w:rPr>
          <w:rFonts w:ascii="Times New Roman" w:hAnsi="Times New Roman" w:cs="Times New Roman"/>
          <w:b w:val="0"/>
          <w:i w:val="0"/>
          <w:sz w:val="22"/>
        </w:rPr>
        <w:t>Event Delivery Logs: table showing recent deliveries: timestamp, event type, endpoint URL, HTTP status, duration, error message (if any). Retry button for failed deliveries (manually resend the event). Download logs as CSV for debugging.</w:t>
      </w:r>
    </w:p>
    <w:p>
      <w:pPr>
        <w:spacing w:after="80" w:line="293" w:lineRule="auto"/>
        <w:jc w:val="left"/>
      </w:pPr>
      <w:r>
        <w:rPr>
          <w:rFonts w:ascii="Times New Roman" w:hAnsi="Times New Roman" w:cs="Times New Roman"/>
          <w:b w:val="0"/>
          <w:i w:val="0"/>
          <w:sz w:val="22"/>
        </w:rPr>
        <w:t>Security: webhook signatures are verified using the partner's Ed25519 public key (stored in `marketplace_partners`). The portal displays the current public key and allows rotation. Note shown to partners: "Your public key is used to sign all webhook payloads; you should use your private key to verify them on your server. Rotating the key invalidates the old one after a 24-hour grace period."</w:t>
      </w:r>
    </w:p>
    <w:p>
      <w:pPr>
        <w:keepNext/>
        <w:spacing w:before="140" w:after="60"/>
        <w:outlineLvl w:val="3"/>
      </w:pPr>
      <w:r>
        <w:rPr>
          <w:rFonts w:ascii="Arial" w:hAnsi="Arial" w:cs="Arial"/>
          <w:b/>
          <w:i/>
          <w:color w:val="333333"/>
          <w:sz w:val="22"/>
        </w:rPr>
        <w:t>16.8.14.5 Revenue Attribution Dispute Management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allow partners to dispute automatically attributed trades and track resolution.</w:t>
      </w:r>
    </w:p>
    <w:p>
      <w:pPr>
        <w:spacing w:after="80" w:line="293" w:lineRule="auto"/>
        <w:jc w:val="left"/>
      </w:pPr>
      <w:r>
        <w:rPr>
          <w:rFonts w:ascii="Times New Roman" w:hAnsi="Times New Roman" w:cs="Times New Roman"/>
          <w:b w:val="0"/>
          <w:i w:val="0"/>
          <w:sz w:val="22"/>
        </w:rPr>
        <w:t>Dispute workflow:</w:t>
      </w:r>
    </w:p>
    <w:p>
      <w:pPr>
        <w:spacing w:after="80" w:line="293" w:lineRule="auto"/>
        <w:jc w:val="left"/>
      </w:pPr>
      <w:r>
        <w:rPr>
          <w:rFonts w:ascii="Times New Roman" w:hAnsi="Times New Roman" w:cs="Times New Roman"/>
          <w:b w:val="0"/>
          <w:i w:val="0"/>
          <w:sz w:val="22"/>
        </w:rPr>
        <w:t>1. The partner sees an attributed trade in the "Attributed Trades" list (on the dashboard) that they believe is incorrect. 2. They click "Dispute" — a modal opens asking for reason (free text) and optional evidence upload (PDF, image). 3. The dispute is created in the disputes table (type = REVENUE_ATTRIBUTION) and assigned a unique ID. 4. The Platform Governance Authority (multisig) receives a notification. 5. The AI (HF Mixtral) analyses the dispute and the partner's history, generating a recommendation visible to the Platform Governance Authority in the Admin Portal. 6. The partner can track the dispute status in the "Disputed Attributions" tab. 7. Once resolved (by multisig), the partner sees the outcome (attribution upheld, reversed, or adjusted). If reversed, the revenue share is removed from the partner's account and the trade is reattributed (or marked as unattributed). The partner receives a Smart Inbox notification.</w:t>
      </w:r>
    </w:p>
    <w:p>
      <w:pPr>
        <w:keepNext/>
        <w:spacing w:before="140" w:after="60"/>
        <w:outlineLvl w:val="3"/>
      </w:pPr>
      <w:r>
        <w:rPr>
          <w:rFonts w:ascii="Arial" w:hAnsi="Arial" w:cs="Arial"/>
          <w:b/>
          <w:i/>
          <w:color w:val="333333"/>
          <w:sz w:val="22"/>
        </w:rPr>
        <w:t>16.8.14.6 API Key Management &amp; Usage Analytics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self-service management of API keys, monitoring of API usage, and real-time rate limit visibility. Partners can view and rotate API keys, see requests per endpoint, rate limit utilisation, and request a rate limit increase.</w:t>
      </w:r>
    </w:p>
    <w:p>
      <w:pPr>
        <w:keepNext/>
        <w:spacing w:before="140" w:after="60"/>
        <w:outlineLvl w:val="3"/>
      </w:pPr>
      <w:r>
        <w:rPr>
          <w:rFonts w:ascii="Arial" w:hAnsi="Arial" w:cs="Arial"/>
          <w:b/>
          <w:i/>
          <w:color w:val="333333"/>
          <w:sz w:val="22"/>
        </w:rPr>
        <w:t>16.8.14.7 Integration Guide &amp; Test Sandbox</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provide a self-service sandbox environment for partners to test their integration before going live. Data isolation: sandbox data is stored in a separate PostgreSQL schema (`sandbox_*` tables) and is completely isolated from production; no real trades are affected; all sandbox data is automatically purged every 24 hours.</w:t>
      </w:r>
    </w:p>
    <w:p>
      <w:pPr>
        <w:keepNext/>
        <w:spacing w:before="140" w:after="60"/>
        <w:outlineLvl w:val="3"/>
      </w:pPr>
      <w:r>
        <w:rPr>
          <w:rFonts w:ascii="Arial" w:hAnsi="Arial" w:cs="Arial"/>
          <w:b/>
          <w:i/>
          <w:color w:val="333333"/>
          <w:sz w:val="22"/>
        </w:rPr>
        <w:t>16.8.14.8 Revenue Share Agreement Management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download, and propose amendments to the revenue share agreement between the partner and the platform.</w:t>
      </w:r>
    </w:p>
    <w:p>
      <w:pPr>
        <w:keepNext/>
        <w:spacing w:before="140" w:after="60"/>
        <w:outlineLvl w:val="3"/>
      </w:pPr>
      <w:r>
        <w:rPr>
          <w:rFonts w:ascii="Arial" w:hAnsi="Arial" w:cs="Arial"/>
          <w:b/>
          <w:i/>
          <w:color w:val="333333"/>
          <w:sz w:val="22"/>
        </w:rPr>
        <w:t>16.8.14.9 Implementation Checklist (Marketplace Partner Portal)</w:t>
      </w:r>
    </w:p>
    <w:p>
      <w:pPr>
        <w:spacing w:after="80" w:line="293" w:lineRule="auto"/>
        <w:ind w:left="283"/>
        <w:jc w:val="left"/>
      </w:pPr>
      <w:r>
        <w:rPr>
          <w:rFonts w:ascii="Times New Roman" w:hAnsi="Times New Roman" w:cs="Times New Roman"/>
          <w:b w:val="0"/>
          <w:i w:val="0"/>
          <w:sz w:val="22"/>
        </w:rPr>
        <w:t>- Dashboard: real-time metrics (leads, conversion rate, revenue share earned, top corridors), AI</w:t>
      </w:r>
    </w:p>
    <w:p>
      <w:pPr>
        <w:spacing w:after="80" w:line="293" w:lineRule="auto"/>
        <w:jc w:val="left"/>
      </w:pPr>
      <w:r>
        <w:rPr>
          <w:rFonts w:ascii="Times New Roman" w:hAnsi="Times New Roman" w:cs="Times New Roman"/>
          <w:b w:val="0"/>
          <w:i w:val="0"/>
          <w:sz w:val="22"/>
        </w:rPr>
        <w:t>Summary Card (A1).</w:t>
      </w:r>
    </w:p>
    <w:p>
      <w:pPr>
        <w:spacing w:after="80" w:line="293" w:lineRule="auto"/>
        <w:ind w:left="283"/>
        <w:jc w:val="left"/>
      </w:pPr>
      <w:r>
        <w:rPr>
          <w:rFonts w:ascii="Times New Roman" w:hAnsi="Times New Roman" w:cs="Times New Roman"/>
          <w:b w:val="0"/>
          <w:i w:val="0"/>
          <w:sz w:val="22"/>
        </w:rPr>
        <w:t>- Leads Management: intent inbox with viability score, status (ACCEPTED, REJECTED, CONDITIONAL);</w:t>
      </w:r>
    </w:p>
    <w:p>
      <w:pPr>
        <w:spacing w:after="80" w:line="293" w:lineRule="auto"/>
        <w:jc w:val="left"/>
      </w:pPr>
      <w:r>
        <w:rPr>
          <w:rFonts w:ascii="Times New Roman" w:hAnsi="Times New Roman" w:cs="Times New Roman"/>
          <w:b w:val="0"/>
          <w:i w:val="0"/>
          <w:sz w:val="22"/>
        </w:rPr>
        <w:t>actions: View Details, Resolve.</w:t>
      </w:r>
    </w:p>
    <w:p>
      <w:pPr>
        <w:spacing w:after="80" w:line="293" w:lineRule="auto"/>
        <w:ind w:left="283"/>
        <w:jc w:val="left"/>
      </w:pPr>
      <w:r>
        <w:rPr>
          <w:rFonts w:ascii="Times New Roman" w:hAnsi="Times New Roman" w:cs="Times New Roman"/>
          <w:b w:val="0"/>
          <w:i w:val="0"/>
          <w:sz w:val="22"/>
        </w:rPr>
        <w:t>- Webhook Management: register webhook endpoints (URL, events subscribed), test ping, view delivery</w:t>
      </w:r>
    </w:p>
    <w:p>
      <w:pPr>
        <w:spacing w:after="80" w:line="293" w:lineRule="auto"/>
        <w:jc w:val="left"/>
      </w:pPr>
      <w:r>
        <w:rPr>
          <w:rFonts w:ascii="Times New Roman" w:hAnsi="Times New Roman" w:cs="Times New Roman"/>
          <w:b w:val="0"/>
          <w:i w:val="0"/>
          <w:sz w:val="22"/>
        </w:rPr>
        <w:t>logs, retry failed deliveries.</w:t>
      </w:r>
    </w:p>
    <w:p>
      <w:pPr>
        <w:spacing w:after="80" w:line="293" w:lineRule="auto"/>
        <w:ind w:left="283"/>
        <w:jc w:val="left"/>
      </w:pPr>
      <w:r>
        <w:rPr>
          <w:rFonts w:ascii="Times New Roman" w:hAnsi="Times New Roman" w:cs="Times New Roman"/>
          <w:b w:val="0"/>
          <w:i w:val="0"/>
          <w:sz w:val="22"/>
        </w:rPr>
        <w:t>- Revenue Attribution Disputes: list of disputed attributed trades, status, AI recommendation,</w:t>
      </w:r>
    </w:p>
    <w:p>
      <w:pPr>
        <w:spacing w:after="80" w:line="293" w:lineRule="auto"/>
        <w:jc w:val="left"/>
      </w:pPr>
      <w:r>
        <w:rPr>
          <w:rFonts w:ascii="Times New Roman" w:hAnsi="Times New Roman" w:cs="Times New Roman"/>
          <w:b w:val="0"/>
          <w:i w:val="0"/>
          <w:sz w:val="22"/>
        </w:rPr>
        <w:t>partner evidence submission.</w:t>
      </w:r>
    </w:p>
    <w:p>
      <w:pPr>
        <w:spacing w:after="80" w:line="293" w:lineRule="auto"/>
        <w:ind w:left="283"/>
        <w:jc w:val="left"/>
      </w:pPr>
      <w:r>
        <w:rPr>
          <w:rFonts w:ascii="Times New Roman" w:hAnsi="Times New Roman" w:cs="Times New Roman"/>
          <w:b w:val="0"/>
          <w:i w:val="0"/>
          <w:sz w:val="22"/>
        </w:rPr>
        <w:t>- API Key Management: view/rotate API keys, usage analytics (requests per endpoint, rate limit</w:t>
      </w:r>
    </w:p>
    <w:p>
      <w:pPr>
        <w:spacing w:after="80" w:line="293" w:lineRule="auto"/>
        <w:jc w:val="left"/>
      </w:pPr>
      <w:r>
        <w:rPr>
          <w:rFonts w:ascii="Times New Roman" w:hAnsi="Times New Roman" w:cs="Times New Roman"/>
          <w:b w:val="0"/>
          <w:i w:val="0"/>
          <w:sz w:val="22"/>
        </w:rPr>
        <w:t>utilisation), request rate limit increase.</w:t>
      </w:r>
    </w:p>
    <w:p>
      <w:pPr>
        <w:spacing w:after="80" w:line="293" w:lineRule="auto"/>
        <w:ind w:left="283"/>
        <w:jc w:val="left"/>
      </w:pPr>
      <w:r>
        <w:rPr>
          <w:rFonts w:ascii="Times New Roman" w:hAnsi="Times New Roman" w:cs="Times New Roman"/>
          <w:b w:val="0"/>
          <w:i w:val="0"/>
          <w:sz w:val="22"/>
        </w:rPr>
        <w:t>- Sandbox: test environment with synthetic data, intent analysis, trade initiation simulation, test</w:t>
      </w:r>
    </w:p>
    <w:p>
      <w:pPr>
        <w:spacing w:after="80" w:line="293" w:lineRule="auto"/>
        <w:jc w:val="left"/>
      </w:pPr>
      <w:r>
        <w:rPr>
          <w:rFonts w:ascii="Times New Roman" w:hAnsi="Times New Roman" w:cs="Times New Roman"/>
          <w:b w:val="0"/>
          <w:i w:val="0"/>
          <w:sz w:val="22"/>
        </w:rPr>
        <w:t>webhook endpoints.</w:t>
      </w:r>
    </w:p>
    <w:p>
      <w:pPr>
        <w:spacing w:after="80" w:line="293" w:lineRule="auto"/>
        <w:ind w:left="283"/>
        <w:jc w:val="left"/>
      </w:pPr>
      <w:r>
        <w:rPr>
          <w:rFonts w:ascii="Times New Roman" w:hAnsi="Times New Roman" w:cs="Times New Roman"/>
          <w:b w:val="0"/>
          <w:i w:val="0"/>
          <w:sz w:val="22"/>
        </w:rPr>
        <w:t>- Agreement: view current revenue share agreement (PDF), propose amendments, track approval status.</w:t>
      </w:r>
    </w:p>
    <w:p>
      <w:pPr>
        <w:spacing w:after="80" w:line="293" w:lineRule="auto"/>
        <w:ind w:left="283"/>
        <w:jc w:val="left"/>
      </w:pPr>
      <w:r>
        <w:rPr>
          <w:rFonts w:ascii="Times New Roman" w:hAnsi="Times New Roman" w:cs="Times New Roman"/>
          <w:b w:val="0"/>
          <w:i w:val="0"/>
          <w:sz w:val="22"/>
        </w:rPr>
        <w:t>- Company Admin: rate limit increase requests, IP whitelisting, notification settings.</w:t>
      </w:r>
    </w:p>
    <w:p>
      <w:pPr>
        <w:keepNext/>
        <w:spacing w:before="240" w:after="100"/>
        <w:outlineLvl w:val="1"/>
      </w:pPr>
      <w:r>
        <w:rPr>
          <w:rFonts w:ascii="Arial" w:hAnsi="Arial" w:cs="Arial"/>
          <w:b/>
          <w:i w:val="0"/>
          <w:color w:val="2E528F"/>
          <w:sz w:val="26"/>
        </w:rPr>
        <w:t>16.9 Trader Portal — Buyer Dashboard</w:t>
      </w:r>
    </w:p>
    <w:p>
      <w:pPr>
        <w:keepNext/>
        <w:spacing w:before="180" w:after="80"/>
        <w:outlineLvl w:val="2"/>
      </w:pPr>
      <w:r>
        <w:rPr>
          <w:rFonts w:ascii="Arial" w:hAnsi="Arial" w:cs="Arial"/>
          <w:b/>
          <w:i w:val="0"/>
          <w:color w:val="333333"/>
          <w:sz w:val="23"/>
        </w:rPr>
        <w:t>16.9.1 Access &amp; Purpose</w:t>
      </w:r>
    </w:p>
    <w:p>
      <w:pPr>
        <w:keepNext/>
        <w:spacing w:before="140" w:after="60"/>
        <w:outlineLvl w:val="3"/>
      </w:pPr>
      <w:r>
        <w:rPr>
          <w:rFonts w:ascii="Arial" w:hAnsi="Arial" w:cs="Arial"/>
          <w:b/>
          <w:i/>
          <w:color w:val="333333"/>
          <w:sz w:val="22"/>
        </w:rPr>
        <w:t>16.9.1.1 Access Requirements</w:t>
      </w:r>
    </w:p>
    <w:p>
      <w:pPr>
        <w:spacing w:after="80" w:line="293" w:lineRule="auto"/>
        <w:jc w:val="left"/>
      </w:pPr>
      <w:r>
        <w:rPr>
          <w:rFonts w:ascii="Times New Roman" w:hAnsi="Times New Roman" w:cs="Times New Roman"/>
          <w:b w:val="0"/>
          <w:i w:val="0"/>
          <w:sz w:val="22"/>
        </w:rPr>
        <w:t>Access: tenants with type = TRD AND active trader mode = BUY (if `default_trader_mode` = BUY or DUAL with context switched to BUY).</w:t>
      </w:r>
    </w:p>
    <w:p>
      <w:pPr>
        <w:spacing w:after="80" w:line="293" w:lineRule="auto"/>
        <w:jc w:val="left"/>
      </w:pPr>
      <w:r>
        <w:rPr>
          <w:rFonts w:ascii="Times New Roman" w:hAnsi="Times New Roman" w:cs="Times New Roman"/>
          <w:b w:val="0"/>
          <w:i w:val="0"/>
          <w:sz w:val="22"/>
        </w:rPr>
        <w:t>Role clarification:</w:t>
      </w:r>
    </w:p>
    <w:p>
      <w:pPr>
        <w:spacing w:after="80" w:line="293" w:lineRule="auto"/>
        <w:ind w:left="283"/>
        <w:jc w:val="left"/>
      </w:pPr>
      <w:r>
        <w:rPr>
          <w:rFonts w:ascii="Times New Roman" w:hAnsi="Times New Roman" w:cs="Times New Roman"/>
          <w:b w:val="0"/>
          <w:i w:val="0"/>
          <w:sz w:val="22"/>
        </w:rPr>
        <w:t>- A pure Buyer (mode = BUY) only sees inbound shipments and never acts as seller.</w:t>
      </w:r>
    </w:p>
    <w:p>
      <w:pPr>
        <w:spacing w:after="80" w:line="293" w:lineRule="auto"/>
        <w:ind w:left="283"/>
        <w:jc w:val="left"/>
      </w:pPr>
      <w:r>
        <w:rPr>
          <w:rFonts w:ascii="Times New Roman" w:hAnsi="Times New Roman" w:cs="Times New Roman"/>
          <w:b w:val="0"/>
          <w:i w:val="0"/>
          <w:sz w:val="22"/>
        </w:rPr>
        <w:t>- A dual-mode trader (mode = DUAL) can toggle to the Buyer view via the global header toggle</w:t>
      </w:r>
    </w:p>
    <w:p>
      <w:pPr>
        <w:spacing w:after="80" w:line="293" w:lineRule="auto"/>
        <w:jc w:val="left"/>
      </w:pPr>
      <w:r>
        <w:rPr>
          <w:rFonts w:ascii="Times New Roman" w:hAnsi="Times New Roman" w:cs="Times New Roman"/>
          <w:b w:val="0"/>
          <w:i w:val="0"/>
          <w:sz w:val="22"/>
        </w:rPr>
        <w:t>(16.14.8). When in Buyer view, the dashboard is identical to a pure Buyer's.</w:t>
      </w:r>
    </w:p>
    <w:p>
      <w:pPr>
        <w:spacing w:after="80" w:line="293" w:lineRule="auto"/>
        <w:ind w:left="283"/>
        <w:jc w:val="left"/>
      </w:pPr>
      <w:r>
        <w:rPr>
          <w:rFonts w:ascii="Times New Roman" w:hAnsi="Times New Roman" w:cs="Times New Roman"/>
          <w:b w:val="0"/>
          <w:i w:val="0"/>
          <w:sz w:val="22"/>
        </w:rPr>
        <w:t>- OPA policies enforce that any attempt to perform a seller action while in Buyer mode returns a DENY</w:t>
      </w:r>
    </w:p>
    <w:p>
      <w:pPr>
        <w:spacing w:after="80" w:line="293" w:lineRule="auto"/>
        <w:jc w:val="left"/>
      </w:pPr>
      <w:r>
        <w:rPr>
          <w:rFonts w:ascii="Times New Roman" w:hAnsi="Times New Roman" w:cs="Times New Roman"/>
          <w:b w:val="0"/>
          <w:i w:val="0"/>
          <w:sz w:val="22"/>
        </w:rPr>
        <w:t>with a Decision Panel offering to switch mode.</w:t>
      </w:r>
    </w:p>
    <w:p>
      <w:pPr>
        <w:spacing w:after="80" w:line="293" w:lineRule="auto"/>
        <w:jc w:val="left"/>
      </w:pPr>
      <w:r>
        <w:rPr>
          <w:rFonts w:ascii="Times New Roman" w:hAnsi="Times New Roman" w:cs="Times New Roman"/>
          <w:b w:val="0"/>
          <w:i w:val="0"/>
          <w:sz w:val="22"/>
        </w:rPr>
        <w:t>Landing page (configurable): default is the Universal Command Center (16.13) — executive summary, quick actions, AI assistant. The user can set a preference to land directly on any tab (e.g., New Trade Request). Dual-mode toggle: visible if the tenant has DUAL mode; when toggled to BUY, the sidebar shows buyer-specific tabs.</w:t>
      </w:r>
    </w:p>
    <w:p>
      <w:pPr>
        <w:keepNext/>
        <w:spacing w:before="140" w:after="60"/>
        <w:outlineLvl w:val="3"/>
      </w:pPr>
      <w:r>
        <w:rPr>
          <w:rFonts w:ascii="Arial" w:hAnsi="Arial" w:cs="Arial"/>
          <w:b/>
          <w:i/>
          <w:color w:val="333333"/>
          <w:sz w:val="22"/>
        </w:rPr>
        <w:t>16.9.1.2 Buyer Dashboard Purpose</w:t>
      </w:r>
    </w:p>
    <w:p>
      <w:pPr>
        <w:spacing w:after="80" w:line="293" w:lineRule="auto"/>
        <w:jc w:val="left"/>
      </w:pPr>
      <w:r>
        <w:rPr>
          <w:rFonts w:ascii="Times New Roman" w:hAnsi="Times New Roman" w:cs="Times New Roman"/>
          <w:b w:val="0"/>
          <w:i w:val="0"/>
          <w:sz w:val="22"/>
        </w:rPr>
        <w:t>The Buyer Dashboard is the complete workspace for importers and procurement professionals. It enables:</w:t>
      </w:r>
    </w:p>
    <w:p>
      <w:pPr>
        <w:spacing w:after="80" w:line="293" w:lineRule="auto"/>
        <w:ind w:left="283"/>
        <w:jc w:val="left"/>
      </w:pPr>
      <w:r>
        <w:rPr>
          <w:rFonts w:ascii="Times New Roman" w:hAnsi="Times New Roman" w:cs="Times New Roman"/>
          <w:b w:val="0"/>
          <w:i w:val="0"/>
          <w:sz w:val="22"/>
        </w:rPr>
        <w:t>- Trade initiation — create structured, container-level trade requests with AI-assisted product</w:t>
      </w:r>
    </w:p>
    <w:p>
      <w:pPr>
        <w:spacing w:after="80" w:line="293" w:lineRule="auto"/>
        <w:jc w:val="left"/>
      </w:pPr>
      <w:r>
        <w:rPr>
          <w:rFonts w:ascii="Times New Roman" w:hAnsi="Times New Roman" w:cs="Times New Roman"/>
          <w:b w:val="0"/>
          <w:i w:val="0"/>
          <w:sz w:val="22"/>
        </w:rPr>
        <w:t>specifications, incoterm selection, and optional multi-shipment scheduling.</w:t>
      </w:r>
    </w:p>
    <w:p>
      <w:pPr>
        <w:spacing w:after="80" w:line="293" w:lineRule="auto"/>
        <w:ind w:left="283"/>
        <w:jc w:val="left"/>
      </w:pPr>
      <w:r>
        <w:rPr>
          <w:rFonts w:ascii="Times New Roman" w:hAnsi="Times New Roman" w:cs="Times New Roman"/>
          <w:b w:val="0"/>
          <w:i w:val="0"/>
          <w:sz w:val="22"/>
        </w:rPr>
        <w:t>- Quote evaluation — review and compare seller quotes, including multiple delivery options</w:t>
      </w:r>
    </w:p>
    <w:p>
      <w:pPr>
        <w:spacing w:after="80" w:line="293" w:lineRule="auto"/>
        <w:jc w:val="left"/>
      </w:pPr>
      <w:r>
        <w:rPr>
          <w:rFonts w:ascii="Times New Roman" w:hAnsi="Times New Roman" w:cs="Times New Roman"/>
          <w:b w:val="0"/>
          <w:i w:val="0"/>
          <w:sz w:val="22"/>
        </w:rPr>
        <w:t>(primary and alternative ports), with full landed cost transparency.</w:t>
      </w:r>
    </w:p>
    <w:p>
      <w:pPr>
        <w:spacing w:after="80" w:line="293" w:lineRule="auto"/>
        <w:ind w:left="283"/>
        <w:jc w:val="left"/>
      </w:pPr>
      <w:r>
        <w:rPr>
          <w:rFonts w:ascii="Times New Roman" w:hAnsi="Times New Roman" w:cs="Times New Roman"/>
          <w:b w:val="0"/>
          <w:i w:val="0"/>
          <w:sz w:val="22"/>
        </w:rPr>
        <w:t>- Negotiation — negotiate price and terms with AI-assisted counter-offers, partial acceptance,</w:t>
      </w:r>
    </w:p>
    <w:p>
      <w:pPr>
        <w:spacing w:after="80" w:line="293" w:lineRule="auto"/>
        <w:jc w:val="left"/>
      </w:pPr>
      <w:r>
        <w:rPr>
          <w:rFonts w:ascii="Times New Roman" w:hAnsi="Times New Roman" w:cs="Times New Roman"/>
          <w:b w:val="0"/>
          <w:i w:val="0"/>
          <w:sz w:val="22"/>
        </w:rPr>
        <w:t>deadline extensions, and real-time trade room chat.</w:t>
      </w:r>
    </w:p>
    <w:p>
      <w:pPr>
        <w:spacing w:after="80" w:line="293" w:lineRule="auto"/>
        <w:ind w:left="283"/>
        <w:jc w:val="left"/>
      </w:pPr>
      <w:r>
        <w:rPr>
          <w:rFonts w:ascii="Times New Roman" w:hAnsi="Times New Roman" w:cs="Times New Roman"/>
          <w:b w:val="0"/>
          <w:i w:val="0"/>
          <w:sz w:val="22"/>
        </w:rPr>
        <w:t>- Contract execution — digitally sign contracts (including the mandatory SGTX Witness Clause),</w:t>
      </w:r>
    </w:p>
    <w:p>
      <w:pPr>
        <w:spacing w:after="80" w:line="293" w:lineRule="auto"/>
        <w:jc w:val="left"/>
      </w:pPr>
      <w:r>
        <w:rPr>
          <w:rFonts w:ascii="Times New Roman" w:hAnsi="Times New Roman" w:cs="Times New Roman"/>
          <w:b w:val="0"/>
          <w:i w:val="0"/>
          <w:sz w:val="22"/>
        </w:rPr>
        <w:t>track logistics addenda, and manage fee payment (where the buyer is responsible per incoterm).</w:t>
      </w:r>
    </w:p>
    <w:p>
      <w:pPr>
        <w:spacing w:after="80" w:line="293" w:lineRule="auto"/>
        <w:ind w:left="283"/>
        <w:jc w:val="left"/>
      </w:pPr>
      <w:r>
        <w:rPr>
          <w:rFonts w:ascii="Times New Roman" w:hAnsi="Times New Roman" w:cs="Times New Roman"/>
          <w:b w:val="0"/>
          <w:i w:val="0"/>
          <w:sz w:val="22"/>
        </w:rPr>
        <w:t>- Shipment tracking — monitor inbound shipments with real-time milestone updates, AIS vessel</w:t>
      </w:r>
    </w:p>
    <w:p>
      <w:pPr>
        <w:spacing w:after="80" w:line="293" w:lineRule="auto"/>
        <w:jc w:val="left"/>
      </w:pPr>
      <w:r>
        <w:rPr>
          <w:rFonts w:ascii="Times New Roman" w:hAnsi="Times New Roman" w:cs="Times New Roman"/>
          <w:b w:val="0"/>
          <w:i w:val="0"/>
          <w:sz w:val="22"/>
        </w:rPr>
        <w:t>tracking, and cold-chain monitoring.</w:t>
      </w:r>
    </w:p>
    <w:p>
      <w:pPr>
        <w:spacing w:after="80" w:line="293" w:lineRule="auto"/>
        <w:ind w:left="283"/>
        <w:jc w:val="left"/>
      </w:pPr>
      <w:r>
        <w:rPr>
          <w:rFonts w:ascii="Times New Roman" w:hAnsi="Times New Roman" w:cs="Times New Roman"/>
          <w:b w:val="0"/>
          <w:i w:val="0"/>
          <w:sz w:val="22"/>
        </w:rPr>
        <w:t>- Customs readiness — manage import documentation with dynamic, RIA-driven checklists and</w:t>
      </w:r>
    </w:p>
    <w:p>
      <w:pPr>
        <w:spacing w:after="80" w:line="293" w:lineRule="auto"/>
        <w:jc w:val="left"/>
      </w:pPr>
      <w:r>
        <w:rPr>
          <w:rFonts w:ascii="Times New Roman" w:hAnsi="Times New Roman" w:cs="Times New Roman"/>
          <w:b w:val="0"/>
          <w:i w:val="0"/>
          <w:sz w:val="22"/>
        </w:rPr>
        <w:t>one-click document requests.</w:t>
      </w:r>
    </w:p>
    <w:p>
      <w:pPr>
        <w:spacing w:after="80" w:line="293" w:lineRule="auto"/>
        <w:ind w:left="283"/>
        <w:jc w:val="left"/>
      </w:pPr>
      <w:r>
        <w:rPr>
          <w:rFonts w:ascii="Times New Roman" w:hAnsi="Times New Roman" w:cs="Times New Roman"/>
          <w:b w:val="0"/>
          <w:i w:val="0"/>
          <w:sz w:val="22"/>
        </w:rPr>
        <w:t>- Distressed cargo — view distressed cargo listings from saved contacts, make offers, and</w:t>
      </w:r>
    </w:p>
    <w:p>
      <w:pPr>
        <w:spacing w:after="80" w:line="293" w:lineRule="auto"/>
        <w:jc w:val="left"/>
      </w:pPr>
      <w:r>
        <w:rPr>
          <w:rFonts w:ascii="Times New Roman" w:hAnsi="Times New Roman" w:cs="Times New Roman"/>
          <w:b w:val="0"/>
          <w:i w:val="0"/>
          <w:sz w:val="22"/>
        </w:rPr>
        <w:t>complete microcontracts.</w:t>
      </w:r>
    </w:p>
    <w:p>
      <w:pPr>
        <w:spacing w:after="80" w:line="293" w:lineRule="auto"/>
        <w:ind w:left="283"/>
        <w:jc w:val="left"/>
      </w:pPr>
      <w:r>
        <w:rPr>
          <w:rFonts w:ascii="Times New Roman" w:hAnsi="Times New Roman" w:cs="Times New Roman"/>
          <w:b w:val="0"/>
          <w:i w:val="0"/>
          <w:sz w:val="22"/>
        </w:rPr>
        <w:t>- Financing — request financing for locked trades, view bids, accept co-financing, and manage</w:t>
      </w:r>
    </w:p>
    <w:p>
      <w:pPr>
        <w:spacing w:after="80" w:line="293" w:lineRule="auto"/>
        <w:jc w:val="left"/>
      </w:pPr>
      <w:r>
        <w:rPr>
          <w:rFonts w:ascii="Times New Roman" w:hAnsi="Times New Roman" w:cs="Times New Roman"/>
          <w:b w:val="0"/>
          <w:i w:val="0"/>
          <w:sz w:val="22"/>
        </w:rPr>
        <w:t>active loans.</w:t>
      </w:r>
    </w:p>
    <w:p>
      <w:pPr>
        <w:spacing w:after="80" w:line="293" w:lineRule="auto"/>
        <w:ind w:left="283"/>
        <w:jc w:val="left"/>
      </w:pPr>
      <w:r>
        <w:rPr>
          <w:rFonts w:ascii="Times New Roman" w:hAnsi="Times New Roman" w:cs="Times New Roman"/>
          <w:b w:val="0"/>
          <w:i w:val="0"/>
          <w:sz w:val="22"/>
        </w:rPr>
        <w:t>- Dispute resolution — file and manage disputes with AI-compiled evidence, mediation,</w:t>
      </w:r>
    </w:p>
    <w:p>
      <w:pPr>
        <w:spacing w:after="80" w:line="293" w:lineRule="auto"/>
        <w:jc w:val="left"/>
      </w:pPr>
      <w:r>
        <w:rPr>
          <w:rFonts w:ascii="Times New Roman" w:hAnsi="Times New Roman" w:cs="Times New Roman"/>
          <w:b w:val="0"/>
          <w:i w:val="0"/>
          <w:sz w:val="22"/>
        </w:rPr>
        <w:t>third-party expert invitation, and arbitration preparation.</w:t>
      </w:r>
    </w:p>
    <w:p>
      <w:pPr>
        <w:spacing w:after="80" w:line="293" w:lineRule="auto"/>
        <w:ind w:left="283"/>
        <w:jc w:val="left"/>
      </w:pPr>
      <w:r>
        <w:rPr>
          <w:rFonts w:ascii="Times New Roman" w:hAnsi="Times New Roman" w:cs="Times New Roman"/>
          <w:b w:val="0"/>
          <w:i w:val="0"/>
          <w:sz w:val="22"/>
        </w:rPr>
        <w:t>- Financial management — view invoices, approve settlements (voice-enabled), and download monthly</w:t>
      </w:r>
    </w:p>
    <w:p>
      <w:pPr>
        <w:spacing w:after="80" w:line="293" w:lineRule="auto"/>
        <w:jc w:val="left"/>
      </w:pPr>
      <w:r>
        <w:rPr>
          <w:rFonts w:ascii="Times New Roman" w:hAnsi="Times New Roman" w:cs="Times New Roman"/>
          <w:b w:val="0"/>
          <w:i w:val="0"/>
          <w:sz w:val="22"/>
        </w:rPr>
        <w:t>reconciliation statements.</w:t>
      </w:r>
    </w:p>
    <w:p>
      <w:pPr>
        <w:spacing w:after="80" w:line="293" w:lineRule="auto"/>
        <w:ind w:left="283"/>
        <w:jc w:val="left"/>
      </w:pPr>
      <w:r>
        <w:rPr>
          <w:rFonts w:ascii="Times New Roman" w:hAnsi="Times New Roman" w:cs="Times New Roman"/>
          <w:b w:val="0"/>
          <w:i w:val="0"/>
          <w:sz w:val="22"/>
        </w:rPr>
        <w:t>- Compliance &amp; reporting — monitor KYB/KYC status, sanctions alerts, and regulatory obligations.</w:t>
      </w:r>
    </w:p>
    <w:p>
      <w:pPr>
        <w:spacing w:after="80" w:line="293" w:lineRule="auto"/>
        <w:ind w:left="283"/>
        <w:jc w:val="left"/>
      </w:pPr>
      <w:r>
        <w:rPr>
          <w:rFonts w:ascii="Times New Roman" w:hAnsi="Times New Roman" w:cs="Times New Roman"/>
          <w:b w:val="0"/>
          <w:i w:val="0"/>
          <w:sz w:val="22"/>
        </w:rPr>
        <w:t>- Administration — manage employees, roles, data scopes, approval chains, branding, and tenant</w:t>
      </w:r>
    </w:p>
    <w:p>
      <w:pPr>
        <w:spacing w:after="80" w:line="293" w:lineRule="auto"/>
        <w:jc w:val="left"/>
      </w:pPr>
      <w:r>
        <w:rPr>
          <w:rFonts w:ascii="Times New Roman" w:hAnsi="Times New Roman" w:cs="Times New Roman"/>
          <w:b w:val="0"/>
          <w:i w:val="0"/>
          <w:sz w:val="22"/>
        </w:rPr>
        <w:t>exit.</w:t>
      </w:r>
    </w:p>
    <w:p>
      <w:pPr>
        <w:keepNext/>
        <w:spacing w:before="140" w:after="60"/>
        <w:outlineLvl w:val="3"/>
      </w:pPr>
      <w:r>
        <w:rPr>
          <w:rFonts w:ascii="Arial" w:hAnsi="Arial" w:cs="Arial"/>
          <w:b/>
          <w:i/>
          <w:color w:val="333333"/>
          <w:sz w:val="22"/>
        </w:rPr>
        <w:t>16.9.1.3 Buyer Dashboard — High-Level Workflow</w:t>
      </w:r>
    </w:p>
    <w:p>
      <w:pPr>
        <w:spacing w:after="0" w:before="0" w:line="240" w:lineRule="auto"/>
        <w:ind w:left="57"/>
        <w:jc w:val="left"/>
        <w:shd w:val="clear" w:fill="F2F2F2"/>
      </w:pPr>
      <w:r>
        <w:rPr>
          <w:rFonts w:ascii="Consolas" w:hAnsi="Consolas" w:cs="Consolas"/>
          <w:b w:val="0"/>
          <w:i w:val="0"/>
          <w:sz w:val="15"/>
        </w:rPr>
        <w:t>1. Trade          2. Quote           3. Contract        4. Customs</w:t>
      </w:r>
    </w:p>
    <w:p>
      <w:pPr>
        <w:spacing w:after="0" w:before="0" w:line="240" w:lineRule="auto"/>
        <w:ind w:left="57"/>
        <w:jc w:val="left"/>
        <w:shd w:val="clear" w:fill="F2F2F2"/>
      </w:pPr>
      <w:r>
        <w:rPr>
          <w:rFonts w:ascii="Consolas" w:hAnsi="Consolas" w:cs="Consolas"/>
          <w:b w:val="0"/>
          <w:i w:val="0"/>
          <w:sz w:val="15"/>
        </w:rPr>
        <w:t xml:space="preserve">   Initiation       Review &amp;           Signing            Readiness</w:t>
      </w:r>
    </w:p>
    <w:p>
      <w:pPr>
        <w:spacing w:after="0" w:before="0" w:line="240" w:lineRule="auto"/>
        <w:ind w:left="57"/>
        <w:jc w:val="left"/>
        <w:shd w:val="clear" w:fill="F2F2F2"/>
      </w:pPr>
      <w:r>
        <w:rPr>
          <w:rFonts w:ascii="Consolas" w:hAnsi="Consolas" w:cs="Consolas"/>
          <w:b w:val="0"/>
          <w:i w:val="0"/>
          <w:sz w:val="15"/>
        </w:rPr>
        <w:t xml:space="preserve">                   Negotiation</w:t>
      </w:r>
    </w:p>
    <w:p>
      <w:pPr>
        <w:spacing w:after="0" w:before="0" w:line="240" w:lineRule="auto"/>
        <w:ind w:left="57"/>
        <w:jc w:val="left"/>
        <w:shd w:val="clear" w:fill="F2F2F2"/>
      </w:pPr>
      <w:r>
        <w:rPr>
          <w:rFonts w:ascii="Consolas" w:hAnsi="Consolas" w:cs="Consolas"/>
          <w:b w:val="0"/>
          <w:i w:val="0"/>
          <w:sz w:val="15"/>
        </w:rPr>
        <w:t>5. Shipment       6. Invoice         7. Settlement      8. Dispute</w:t>
      </w:r>
    </w:p>
    <w:p>
      <w:pPr>
        <w:spacing w:after="0" w:before="0" w:line="240" w:lineRule="auto"/>
        <w:ind w:left="57"/>
        <w:jc w:val="left"/>
        <w:shd w:val="clear" w:fill="F2F2F2"/>
      </w:pPr>
      <w:r>
        <w:rPr>
          <w:rFonts w:ascii="Consolas" w:hAnsi="Consolas" w:cs="Consolas"/>
          <w:b w:val="0"/>
          <w:i w:val="0"/>
          <w:sz w:val="15"/>
        </w:rPr>
        <w:t xml:space="preserve">   Tracking         &amp; Payment          &amp; Reconciliation   Resolution</w:t>
      </w:r>
    </w:p>
    <w:p>
      <w:pPr>
        <w:spacing w:after="0" w:before="0" w:line="240" w:lineRule="auto"/>
        <w:ind w:left="57"/>
        <w:jc w:val="left"/>
        <w:shd w:val="clear" w:fill="F2F2F2"/>
      </w:pPr>
      <w:r>
        <w:rPr>
          <w:rFonts w:ascii="Consolas" w:hAnsi="Consolas" w:cs="Consolas"/>
          <w:b w:val="0"/>
          <w:i w:val="0"/>
          <w:sz w:val="15"/>
        </w:rPr>
        <w:t>9. Distressed     10. Financing      11. Saved          12. Company</w:t>
      </w:r>
    </w:p>
    <w:p>
      <w:pPr>
        <w:spacing w:after="0" w:before="0" w:line="240" w:lineRule="auto"/>
        <w:ind w:left="57"/>
        <w:jc w:val="left"/>
        <w:shd w:val="clear" w:fill="F2F2F2"/>
      </w:pPr>
      <w:r>
        <w:rPr>
          <w:rFonts w:ascii="Consolas" w:hAnsi="Consolas" w:cs="Consolas"/>
          <w:b w:val="0"/>
          <w:i w:val="0"/>
          <w:sz w:val="15"/>
        </w:rPr>
        <w:t xml:space="preserve">   Cargo            (borrower)         Contacts           Admin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16.9.2 Buyer Role Verification &amp; Security</w:t>
      </w:r>
    </w:p>
    <w:p>
      <w:pPr>
        <w:keepNext/>
        <w:spacing w:before="140" w:after="60"/>
        <w:outlineLvl w:val="3"/>
      </w:pPr>
      <w:r>
        <w:rPr>
          <w:rFonts w:ascii="Arial" w:hAnsi="Arial" w:cs="Arial"/>
          <w:b/>
          <w:i/>
          <w:color w:val="333333"/>
          <w:sz w:val="22"/>
        </w:rPr>
        <w:t>16.9.2.1 Authentication &amp; Session Checks</w:t>
      </w:r>
    </w:p>
    <w:p>
      <w:pPr>
        <w:spacing w:after="80" w:line="293" w:lineRule="auto"/>
        <w:jc w:val="left"/>
      </w:pPr>
      <w:r>
        <w:rPr>
          <w:rFonts w:ascii="Times New Roman" w:hAnsi="Times New Roman" w:cs="Times New Roman"/>
          <w:b w:val="0"/>
          <w:i w:val="0"/>
          <w:sz w:val="22"/>
        </w:rPr>
        <w:t>Every request is authenticated with a ZITADEL-issued JWT carrying `tenant_gtid`, `employee_id`, `active_trader_mode_context`, and permissions. Session checks verify: tenant type = TRD, active mode = BUY, employee has portal access, tenant is not SUSPENDED, and session has not exceeded the idle timeout.</w:t>
      </w:r>
    </w:p>
    <w:p>
      <w:pPr>
        <w:keepNext/>
        <w:spacing w:before="140" w:after="60"/>
        <w:outlineLvl w:val="3"/>
      </w:pPr>
      <w:r>
        <w:rPr>
          <w:rFonts w:ascii="Arial" w:hAnsi="Arial" w:cs="Arial"/>
          <w:b/>
          <w:i/>
          <w:color w:val="333333"/>
          <w:sz w:val="22"/>
        </w:rPr>
        <w:t>16.9.2.2 Permission Checks (Action-Based)</w:t>
      </w:r>
    </w:p>
    <w:p>
      <w:pPr>
        <w:spacing w:after="80" w:line="293" w:lineRule="auto"/>
        <w:jc w:val="left"/>
      </w:pPr>
      <w:r>
        <w:rPr>
          <w:rFonts w:ascii="Times New Roman" w:hAnsi="Times New Roman" w:cs="Times New Roman"/>
          <w:b w:val="0"/>
          <w:i w:val="0"/>
          <w:sz w:val="22"/>
        </w:rPr>
        <w:t>Actions are permission-gated per employee role: create trade request, accept quote, negotiate, sign contract, upload document, approve settlement, request financing, file dispute, manage employees. OPA evaluates the action against the employee's permissions and the active mode context.</w:t>
      </w:r>
    </w:p>
    <w:p>
      <w:pPr>
        <w:keepNext/>
        <w:spacing w:before="140" w:after="60"/>
        <w:outlineLvl w:val="3"/>
      </w:pPr>
      <w:r>
        <w:rPr>
          <w:rFonts w:ascii="Arial" w:hAnsi="Arial" w:cs="Arial"/>
          <w:b/>
          <w:i/>
          <w:color w:val="333333"/>
          <w:sz w:val="22"/>
        </w:rPr>
        <w:t>16.9.2.3 Compliance &amp; Risk Checks</w:t>
      </w:r>
    </w:p>
    <w:p>
      <w:pPr>
        <w:spacing w:after="80" w:line="293" w:lineRule="auto"/>
        <w:jc w:val="left"/>
      </w:pPr>
      <w:r>
        <w:rPr>
          <w:rFonts w:ascii="Times New Roman" w:hAnsi="Times New Roman" w:cs="Times New Roman"/>
          <w:b w:val="0"/>
          <w:i w:val="0"/>
          <w:sz w:val="22"/>
        </w:rPr>
        <w:t>Continuous checks run at each irreversible action: buyer KYB status (VERIFIED required for contract signing), sanctions screening (buyer and counterparty), jurisdiction matrix verdict for the trade's corridor, and deferred-fee guarantees where applicable. Failed checks route to the PlainLanguage Governor Decision Panel (16.4).</w:t>
      </w:r>
    </w:p>
    <w:p>
      <w:pPr>
        <w:keepNext/>
        <w:spacing w:before="180" w:after="80"/>
        <w:outlineLvl w:val="2"/>
      </w:pPr>
      <w:r>
        <w:rPr>
          <w:rFonts w:ascii="Arial" w:hAnsi="Arial" w:cs="Arial"/>
          <w:b/>
          <w:i w:val="0"/>
          <w:color w:val="333333"/>
          <w:sz w:val="23"/>
        </w:rPr>
        <w:t>16.9.3 Full Tab Specification (Workflow Order)</w:t>
      </w:r>
    </w:p>
    <w:p>
      <w:pPr>
        <w:keepNext/>
        <w:spacing w:before="140" w:after="60"/>
        <w:outlineLvl w:val="3"/>
      </w:pPr>
      <w:r>
        <w:rPr>
          <w:rFonts w:ascii="Arial" w:hAnsi="Arial" w:cs="Arial"/>
          <w:b/>
          <w:i/>
          <w:color w:val="333333"/>
          <w:sz w:val="22"/>
        </w:rPr>
        <w:t>Tab 1: Universal Command Center (Home)</w:t>
      </w:r>
    </w:p>
    <w:p>
      <w:pPr>
        <w:spacing w:after="80" w:line="293" w:lineRule="auto"/>
        <w:jc w:val="left"/>
      </w:pPr>
      <w:r>
        <w:rPr>
          <w:rFonts w:ascii="Times New Roman" w:hAnsi="Times New Roman" w:cs="Times New Roman"/>
          <w:b w:val="0"/>
          <w:i w:val="0"/>
          <w:sz w:val="22"/>
        </w:rPr>
        <w:t>Full specification in 16.13. Purpose: primary landing page — executive summary cards, quick actions grid, AI Operations Assistant, recent activity feed.</w:t>
      </w:r>
    </w:p>
    <w:p>
      <w:pPr>
        <w:spacing w:after="80" w:line="293" w:lineRule="auto"/>
        <w:jc w:val="left"/>
      </w:pPr>
      <w:r>
        <w:rPr>
          <w:rFonts w:ascii="Times New Roman" w:hAnsi="Times New Roman" w:cs="Times New Roman"/>
          <w:b w:val="0"/>
          <w:i w:val="0"/>
          <w:sz w:val="22"/>
        </w:rPr>
        <w:t>Buyer-specific cards: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Card</w:t>
            </w:r>
          </w:p>
        </w:tc>
        <w:tc>
          <w:tcPr>
            <w:tcW w:type="dxa" w:w="4819"/>
            <w:shd w:val="clear" w:fill="D9E2F3"/>
          </w:tcPr>
          <w:p>
            <w:pPr>
              <w:spacing w:after="20" w:before="20" w:line="240" w:lineRule="auto"/>
            </w:pPr>
            <w:r/>
            <w:r>
              <w:rPr>
                <w:rFonts w:ascii="Arial" w:hAnsi="Arial" w:cs="Arial"/>
                <w:b/>
                <w:i w:val="0"/>
                <w:sz w:val="18"/>
              </w:rPr>
              <w:t>Metric</w:t>
            </w:r>
          </w:p>
        </w:tc>
      </w:tr>
      <w:tr>
        <w:tc>
          <w:tcPr>
            <w:tcW w:type="dxa" w:w="4819"/>
          </w:tcPr>
          <w:p>
            <w:pPr>
              <w:spacing w:after="20" w:before="20" w:line="240" w:lineRule="auto"/>
            </w:pPr>
            <w:r/>
            <w:r>
              <w:rPr>
                <w:rFonts w:ascii="Arial" w:hAnsi="Arial" w:cs="Arial"/>
                <w:b w:val="0"/>
                <w:i w:val="0"/>
                <w:sz w:val="17"/>
              </w:rPr>
              <w:t>Open Trades</w:t>
            </w:r>
          </w:p>
        </w:tc>
        <w:tc>
          <w:tcPr>
            <w:tcW w:type="dxa" w:w="4819"/>
          </w:tcPr>
          <w:p>
            <w:pPr>
              <w:spacing w:after="20" w:before="20" w:line="240" w:lineRule="auto"/>
            </w:pPr>
            <w:r/>
            <w:r>
              <w:rPr>
                <w:rFonts w:ascii="Arial" w:hAnsi="Arial" w:cs="Arial"/>
                <w:b w:val="0"/>
                <w:i w:val="0"/>
                <w:sz w:val="17"/>
              </w:rPr>
              <w:t>Count of requests and quotes in progress</w:t>
            </w:r>
          </w:p>
        </w:tc>
      </w:tr>
      <w:tr>
        <w:tc>
          <w:tcPr>
            <w:tcW w:type="dxa" w:w="4819"/>
          </w:tcPr>
          <w:p>
            <w:pPr>
              <w:spacing w:after="20" w:before="20" w:line="240" w:lineRule="auto"/>
            </w:pPr>
            <w:r/>
            <w:r>
              <w:rPr>
                <w:rFonts w:ascii="Arial" w:hAnsi="Arial" w:cs="Arial"/>
                <w:b w:val="0"/>
                <w:i w:val="0"/>
                <w:sz w:val="17"/>
              </w:rPr>
              <w:t>Active Shipments</w:t>
            </w:r>
          </w:p>
        </w:tc>
        <w:tc>
          <w:tcPr>
            <w:tcW w:type="dxa" w:w="4819"/>
          </w:tcPr>
          <w:p>
            <w:pPr>
              <w:spacing w:after="20" w:before="20" w:line="240" w:lineRule="auto"/>
            </w:pPr>
            <w:r/>
            <w:r>
              <w:rPr>
                <w:rFonts w:ascii="Arial" w:hAnsi="Arial" w:cs="Arial"/>
                <w:b w:val="0"/>
                <w:i w:val="0"/>
                <w:sz w:val="17"/>
              </w:rPr>
              <w:t>Count of inbound shipments in execution</w:t>
            </w:r>
          </w:p>
        </w:tc>
      </w:tr>
      <w:tr>
        <w:tc>
          <w:tcPr>
            <w:tcW w:type="dxa" w:w="4819"/>
          </w:tcPr>
          <w:p>
            <w:pPr>
              <w:spacing w:after="20" w:before="20" w:line="240" w:lineRule="auto"/>
            </w:pPr>
            <w:r/>
            <w:r>
              <w:rPr>
                <w:rFonts w:ascii="Arial" w:hAnsi="Arial" w:cs="Arial"/>
                <w:b w:val="0"/>
                <w:i w:val="0"/>
                <w:sz w:val="17"/>
              </w:rPr>
              <w:t>Pending Approvals</w:t>
            </w:r>
          </w:p>
        </w:tc>
        <w:tc>
          <w:tcPr>
            <w:tcW w:type="dxa" w:w="4819"/>
          </w:tcPr>
          <w:p>
            <w:pPr>
              <w:spacing w:after="20" w:before="20" w:line="240" w:lineRule="auto"/>
            </w:pPr>
            <w:r/>
            <w:r>
              <w:rPr>
                <w:rFonts w:ascii="Arial" w:hAnsi="Arial" w:cs="Arial"/>
                <w:b w:val="0"/>
                <w:i w:val="0"/>
                <w:sz w:val="17"/>
              </w:rPr>
              <w:t>Internal approval-chain items awaiting buyer action</w:t>
            </w:r>
          </w:p>
        </w:tc>
      </w:tr>
      <w:tr>
        <w:tc>
          <w:tcPr>
            <w:tcW w:type="dxa" w:w="4819"/>
          </w:tcPr>
          <w:p>
            <w:pPr>
              <w:spacing w:after="20" w:before="20" w:line="240" w:lineRule="auto"/>
            </w:pPr>
            <w:r/>
            <w:r>
              <w:rPr>
                <w:rFonts w:ascii="Arial" w:hAnsi="Arial" w:cs="Arial"/>
                <w:b w:val="0"/>
                <w:i w:val="0"/>
                <w:sz w:val="17"/>
              </w:rPr>
              <w:t>Compliance Alerts</w:t>
            </w:r>
          </w:p>
        </w:tc>
        <w:tc>
          <w:tcPr>
            <w:tcW w:type="dxa" w:w="4819"/>
          </w:tcPr>
          <w:p>
            <w:pPr>
              <w:spacing w:after="20" w:before="20" w:line="240" w:lineRule="auto"/>
            </w:pPr>
            <w:r/>
            <w:r>
              <w:rPr>
                <w:rFonts w:ascii="Arial" w:hAnsi="Arial" w:cs="Arial"/>
                <w:b w:val="0"/>
                <w:i w:val="0"/>
                <w:sz w:val="17"/>
              </w:rPr>
              <w:t>KYB/KYC and sanctions alerts</w:t>
            </w:r>
          </w:p>
        </w:tc>
      </w:tr>
      <w:tr>
        <w:tc>
          <w:tcPr>
            <w:tcW w:type="dxa" w:w="4819"/>
          </w:tcPr>
          <w:p>
            <w:pPr>
              <w:spacing w:after="20" w:before="20" w:line="240" w:lineRule="auto"/>
            </w:pPr>
            <w:r/>
            <w:r>
              <w:rPr>
                <w:rFonts w:ascii="Arial" w:hAnsi="Arial" w:cs="Arial"/>
                <w:b w:val="0"/>
                <w:i w:val="0"/>
                <w:sz w:val="17"/>
              </w:rPr>
              <w:t>Outstanding Payments</w:t>
            </w:r>
          </w:p>
        </w:tc>
        <w:tc>
          <w:tcPr>
            <w:tcW w:type="dxa" w:w="4819"/>
          </w:tcPr>
          <w:p>
            <w:pPr>
              <w:spacing w:after="20" w:before="20" w:line="240" w:lineRule="auto"/>
            </w:pPr>
            <w:r/>
            <w:r>
              <w:rPr>
                <w:rFonts w:ascii="Arial" w:hAnsi="Arial" w:cs="Arial"/>
                <w:b w:val="0"/>
                <w:i w:val="0"/>
                <w:sz w:val="17"/>
              </w:rPr>
              <w:t>Invoices awaiting buyer payment or settlement approval</w:t>
            </w:r>
          </w:p>
        </w:tc>
      </w:tr>
      <w:tr>
        <w:tc>
          <w:tcPr>
            <w:tcW w:type="dxa" w:w="4819"/>
          </w:tcPr>
          <w:p>
            <w:pPr>
              <w:spacing w:after="20" w:before="20" w:line="240" w:lineRule="auto"/>
            </w:pPr>
            <w:r/>
            <w:r>
              <w:rPr>
                <w:rFonts w:ascii="Arial" w:hAnsi="Arial" w:cs="Arial"/>
                <w:b w:val="0"/>
                <w:i w:val="0"/>
                <w:sz w:val="17"/>
              </w:rPr>
              <w:t>Disputes</w:t>
            </w:r>
          </w:p>
        </w:tc>
        <w:tc>
          <w:tcPr>
            <w:tcW w:type="dxa" w:w="4819"/>
          </w:tcPr>
          <w:p>
            <w:pPr>
              <w:spacing w:after="20" w:before="20" w:line="240" w:lineRule="auto"/>
            </w:pPr>
            <w:r/>
            <w:r>
              <w:rPr>
                <w:rFonts w:ascii="Arial" w:hAnsi="Arial" w:cs="Arial"/>
                <w:b w:val="0"/>
                <w:i w:val="0"/>
                <w:sz w:val="17"/>
              </w:rPr>
              <w:t>Active disputes where the buyer is a party</w:t>
            </w:r>
          </w:p>
        </w:tc>
      </w:tr>
      <w:tr>
        <w:tc>
          <w:tcPr>
            <w:tcW w:type="dxa" w:w="4819"/>
          </w:tcPr>
          <w:p>
            <w:pPr>
              <w:spacing w:after="20" w:before="20" w:line="240" w:lineRule="auto"/>
            </w:pPr>
            <w:r/>
            <w:r>
              <w:rPr>
                <w:rFonts w:ascii="Arial" w:hAnsi="Arial" w:cs="Arial"/>
                <w:b w:val="0"/>
                <w:i w:val="0"/>
                <w:sz w:val="17"/>
              </w:rPr>
              <w:t>Customs Readiness</w:t>
            </w:r>
          </w:p>
        </w:tc>
        <w:tc>
          <w:tcPr>
            <w:tcW w:type="dxa" w:w="4819"/>
          </w:tcPr>
          <w:p>
            <w:pPr>
              <w:spacing w:after="20" w:before="20" w:line="240" w:lineRule="auto"/>
            </w:pPr>
            <w:r/>
            <w:r>
              <w:rPr>
                <w:rFonts w:ascii="Arial" w:hAnsi="Arial" w:cs="Arial"/>
                <w:b w:val="0"/>
                <w:i w:val="0"/>
                <w:sz w:val="17"/>
              </w:rPr>
              <w:t>Inbound shipments with missing import documents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Buyer-specific quick actions: Create Trade Request, Upload Document, Request Financing, Invite Employee, Generate Report, Contact Support.</w:t>
      </w:r>
    </w:p>
    <w:p>
      <w:pPr>
        <w:spacing w:after="80" w:line="293" w:lineRule="auto"/>
        <w:jc w:val="left"/>
      </w:pPr>
      <w:r>
        <w:rPr>
          <w:rFonts w:ascii="Times New Roman" w:hAnsi="Times New Roman" w:cs="Times New Roman"/>
          <w:b w:val="0"/>
          <w:i w:val="0"/>
          <w:sz w:val="22"/>
        </w:rPr>
        <w:t>One-click: click any card → navigates to the relevant tab.</w:t>
      </w:r>
    </w:p>
    <w:p>
      <w:pPr>
        <w:keepNext/>
        <w:spacing w:before="140" w:after="60"/>
        <w:outlineLvl w:val="3"/>
      </w:pPr>
      <w:r>
        <w:rPr>
          <w:rFonts w:ascii="Arial" w:hAnsi="Arial" w:cs="Arial"/>
          <w:b/>
          <w:i/>
          <w:color w:val="333333"/>
          <w:sz w:val="22"/>
        </w:rPr>
        <w:t>Tab 2: New Trade Request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create a structured trade request that initiates the entire trade workflow. All data is stored in `trade_requests.parsed_specs` and reused across phases (Section 6).</w:t>
      </w:r>
    </w:p>
    <w:p>
      <w:pPr>
        <w:spacing w:after="80" w:line="293" w:lineRule="auto"/>
        <w:jc w:val="left"/>
      </w:pPr>
      <w:r>
        <w:rPr>
          <w:rFonts w:ascii="Times New Roman" w:hAnsi="Times New Roman" w:cs="Times New Roman"/>
          <w:b w:val="0"/>
          <w:i w:val="0"/>
          <w:sz w:val="22"/>
        </w:rPr>
        <w:t>Step 2.1 — Select Seller. Example UI:</w:t>
      </w:r>
    </w:p>
    <w:p>
      <w:pPr>
        <w:spacing w:after="0" w:before="0" w:line="240" w:lineRule="auto"/>
        <w:ind w:left="57"/>
        <w:jc w:val="left"/>
        <w:shd w:val="clear" w:fill="F2F2F2"/>
      </w:pPr>
      <w:r>
        <w:rPr>
          <w:rFonts w:ascii="Consolas" w:hAnsi="Consolas" w:cs="Consolas"/>
          <w:b w:val="0"/>
          <w:i w:val="0"/>
          <w:sz w:val="15"/>
        </w:rPr>
        <w:t>Select Seller</w:t>
      </w:r>
    </w:p>
    <w:p>
      <w:pPr>
        <w:spacing w:after="0" w:before="0" w:line="240" w:lineRule="auto"/>
        <w:ind w:left="57"/>
        <w:jc w:val="left"/>
        <w:shd w:val="clear" w:fill="F2F2F2"/>
      </w:pPr>
      <w:r>
        <w:rPr>
          <w:rFonts w:ascii="Consolas" w:hAnsi="Consolas" w:cs="Consolas"/>
          <w:b w:val="0"/>
          <w:i w:val="0"/>
          <w:sz w:val="15"/>
        </w:rPr>
        <w:t>Search by GTID or Company Name...  [Enter GTID or search saved contacts]</w:t>
      </w:r>
    </w:p>
    <w:p>
      <w:pPr>
        <w:spacing w:after="0" w:before="0" w:line="240" w:lineRule="auto"/>
        <w:ind w:left="57"/>
        <w:jc w:val="left"/>
        <w:shd w:val="clear" w:fill="F2F2F2"/>
      </w:pPr>
      <w:r>
        <w:rPr>
          <w:rFonts w:ascii="Consolas" w:hAnsi="Consolas" w:cs="Consolas"/>
          <w:b w:val="0"/>
          <w:i w:val="0"/>
          <w:sz w:val="15"/>
        </w:rPr>
        <w:t>Saved Contacts:</w:t>
      </w:r>
    </w:p>
    <w:p>
      <w:pPr>
        <w:spacing w:after="0" w:before="0" w:line="240" w:lineRule="auto"/>
        <w:ind w:left="57"/>
        <w:jc w:val="left"/>
        <w:shd w:val="clear" w:fill="F2F2F2"/>
      </w:pPr>
      <w:r>
        <w:rPr>
          <w:rFonts w:ascii="Consolas" w:hAnsi="Consolas" w:cs="Consolas"/>
          <w:b w:val="0"/>
          <w:i w:val="0"/>
          <w:sz w:val="15"/>
        </w:rPr>
        <w:t xml:space="preserve">  SGTX-VN-TRD-002139-7F3A   Mekong Fresh Co.       Trust: 92   Vietnam   12 trades</w:t>
      </w:r>
    </w:p>
    <w:p>
      <w:pPr>
        <w:spacing w:after="0" w:before="0" w:line="240" w:lineRule="auto"/>
        <w:ind w:left="57"/>
        <w:jc w:val="left"/>
        <w:shd w:val="clear" w:fill="F2F2F2"/>
      </w:pPr>
      <w:r>
        <w:rPr>
          <w:rFonts w:ascii="Consolas" w:hAnsi="Consolas" w:cs="Consolas"/>
          <w:b w:val="0"/>
          <w:i w:val="0"/>
          <w:sz w:val="15"/>
        </w:rPr>
        <w:t xml:space="preserve">                            Sanctions: clear       Last trade: 15 May 2026</w:t>
      </w:r>
    </w:p>
    <w:p>
      <w:pPr>
        <w:spacing w:after="0" w:before="0" w:line="240" w:lineRule="auto"/>
        <w:ind w:left="57"/>
        <w:jc w:val="left"/>
        <w:shd w:val="clear" w:fill="F2F2F2"/>
      </w:pPr>
      <w:r>
        <w:rPr>
          <w:rFonts w:ascii="Consolas" w:hAnsi="Consolas" w:cs="Consolas"/>
          <w:b w:val="0"/>
          <w:i w:val="0"/>
          <w:sz w:val="15"/>
        </w:rPr>
        <w:t xml:space="preserve">  SGTX-EG-TRD-001234-5B6C   Nile Foods             Trust: 88   Egypt     8 trades</w:t>
      </w:r>
    </w:p>
    <w:p>
      <w:pPr>
        <w:spacing w:after="0" w:before="0" w:line="240" w:lineRule="auto"/>
        <w:ind w:left="57"/>
        <w:jc w:val="left"/>
        <w:shd w:val="clear" w:fill="F2F2F2"/>
      </w:pPr>
      <w:r>
        <w:rPr>
          <w:rFonts w:ascii="Consolas" w:hAnsi="Consolas" w:cs="Consolas"/>
          <w:b w:val="0"/>
          <w:i w:val="0"/>
          <w:sz w:val="15"/>
        </w:rPr>
        <w:t xml:space="preserve">                            Sanctions: clear       Last trade: 10 Jun 2026</w:t>
      </w:r>
    </w:p>
    <w:p>
      <w:pPr>
        <w:spacing w:after="0" w:before="0" w:line="240" w:lineRule="auto"/>
        <w:ind w:left="57"/>
        <w:jc w:val="left"/>
        <w:shd w:val="clear" w:fill="F2F2F2"/>
      </w:pPr>
      <w:r>
        <w:rPr>
          <w:rFonts w:ascii="Consolas" w:hAnsi="Consolas" w:cs="Consolas"/>
          <w:b w:val="0"/>
          <w:i w:val="0"/>
          <w:sz w:val="15"/>
        </w:rPr>
        <w:t>[Enter GTID manually]  [Cancel]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2.2 — Select Incoterm. Incoterm Reference Table (displayed as tooltip/helper). Auto-configuration triggered immediately after selection:</w:t>
      </w:r>
    </w:p>
    <w:p>
      <w:pPr>
        <w:spacing w:after="80" w:line="293" w:lineRule="auto"/>
        <w:ind w:left="283"/>
        <w:jc w:val="left"/>
      </w:pPr>
      <w:r>
        <w:rPr>
          <w:rFonts w:ascii="Times New Roman" w:hAnsi="Times New Roman" w:cs="Times New Roman"/>
          <w:b w:val="0"/>
          <w:i w:val="0"/>
          <w:sz w:val="22"/>
        </w:rPr>
        <w:t>- The system stores the incoterm in `trade_requests.parsed_specs.incoterm`.</w:t>
      </w:r>
    </w:p>
    <w:p>
      <w:pPr>
        <w:spacing w:after="80" w:line="293" w:lineRule="auto"/>
        <w:ind w:left="283"/>
        <w:jc w:val="left"/>
      </w:pPr>
      <w:r>
        <w:rPr>
          <w:rFonts w:ascii="Times New Roman" w:hAnsi="Times New Roman" w:cs="Times New Roman"/>
          <w:b w:val="0"/>
          <w:i w:val="0"/>
          <w:sz w:val="22"/>
        </w:rPr>
        <w:t>- Pre-populates the seller's mandatory logistics services list (visible later in Phase 2).</w:t>
      </w:r>
    </w:p>
    <w:p>
      <w:pPr>
        <w:spacing w:after="80" w:line="293" w:lineRule="auto"/>
        <w:ind w:left="283"/>
        <w:jc w:val="left"/>
      </w:pPr>
      <w:r>
        <w:rPr>
          <w:rFonts w:ascii="Times New Roman" w:hAnsi="Times New Roman" w:cs="Times New Roman"/>
          <w:b w:val="0"/>
          <w:i w:val="0"/>
          <w:sz w:val="22"/>
        </w:rPr>
        <w:t>- A plain-language summary of responsibilities (A1, Groq) is shown to both buyer and seller.</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Select Incoterm [CFR ▼]</w:t>
      </w:r>
    </w:p>
    <w:p>
      <w:pPr>
        <w:spacing w:after="0" w:before="0" w:line="240" w:lineRule="auto"/>
        <w:ind w:left="57"/>
        <w:jc w:val="left"/>
        <w:shd w:val="clear" w:fill="F2F2F2"/>
      </w:pPr>
      <w:r>
        <w:rPr>
          <w:rFonts w:ascii="Consolas" w:hAnsi="Consolas" w:cs="Consolas"/>
          <w:b w:val="0"/>
          <w:i w:val="0"/>
          <w:sz w:val="15"/>
        </w:rPr>
        <w:t>CFR — Cost and Freight</w:t>
      </w:r>
    </w:p>
    <w:p>
      <w:pPr>
        <w:spacing w:after="0" w:before="0" w:line="240" w:lineRule="auto"/>
        <w:ind w:left="57"/>
        <w:jc w:val="left"/>
        <w:shd w:val="clear" w:fill="F2F2F2"/>
      </w:pPr>
      <w:r>
        <w:rPr>
          <w:rFonts w:ascii="Consolas" w:hAnsi="Consolas" w:cs="Consolas"/>
          <w:b w:val="0"/>
          <w:i w:val="0"/>
          <w:sz w:val="15"/>
        </w:rPr>
        <w:t>Seller is responsible for:</w:t>
      </w:r>
    </w:p>
    <w:p>
      <w:pPr>
        <w:spacing w:after="0" w:before="0" w:line="240" w:lineRule="auto"/>
        <w:ind w:left="57"/>
        <w:jc w:val="left"/>
        <w:shd w:val="clear" w:fill="F2F2F2"/>
      </w:pPr>
      <w:r>
        <w:rPr>
          <w:rFonts w:ascii="Consolas" w:hAnsi="Consolas" w:cs="Consolas"/>
          <w:b w:val="0"/>
          <w:i w:val="0"/>
          <w:sz w:val="15"/>
        </w:rPr>
        <w:t xml:space="preserve">  • Export customs clearance</w:t>
      </w:r>
    </w:p>
    <w:p>
      <w:pPr>
        <w:spacing w:after="0" w:before="0" w:line="240" w:lineRule="auto"/>
        <w:ind w:left="57"/>
        <w:jc w:val="left"/>
        <w:shd w:val="clear" w:fill="F2F2F2"/>
      </w:pPr>
      <w:r>
        <w:rPr>
          <w:rFonts w:ascii="Consolas" w:hAnsi="Consolas" w:cs="Consolas"/>
          <w:b w:val="0"/>
          <w:i w:val="0"/>
          <w:sz w:val="15"/>
        </w:rPr>
        <w:t xml:space="preserve">  • Trucking to port of loading</w:t>
      </w:r>
    </w:p>
    <w:p>
      <w:pPr>
        <w:spacing w:after="0" w:before="0" w:line="240" w:lineRule="auto"/>
        <w:ind w:left="57"/>
        <w:jc w:val="left"/>
        <w:shd w:val="clear" w:fill="F2F2F2"/>
      </w:pPr>
      <w:r>
        <w:rPr>
          <w:rFonts w:ascii="Consolas" w:hAnsi="Consolas" w:cs="Consolas"/>
          <w:b w:val="0"/>
          <w:i w:val="0"/>
          <w:sz w:val="15"/>
        </w:rPr>
        <w:t xml:space="preserve">  • Ocean freight to destination port</w:t>
      </w:r>
    </w:p>
    <w:p>
      <w:pPr>
        <w:spacing w:after="0" w:before="0" w:line="240" w:lineRule="auto"/>
        <w:ind w:left="57"/>
        <w:jc w:val="left"/>
        <w:shd w:val="clear" w:fill="F2F2F2"/>
      </w:pPr>
      <w:r>
        <w:rPr>
          <w:rFonts w:ascii="Consolas" w:hAnsi="Consolas" w:cs="Consolas"/>
          <w:b w:val="0"/>
          <w:i w:val="0"/>
          <w:sz w:val="15"/>
        </w:rPr>
        <w:t>Buyer is responsible for:</w:t>
      </w:r>
    </w:p>
    <w:p>
      <w:pPr>
        <w:spacing w:after="0" w:before="0" w:line="240" w:lineRule="auto"/>
        <w:ind w:left="57"/>
        <w:jc w:val="left"/>
        <w:shd w:val="clear" w:fill="F2F2F2"/>
      </w:pPr>
      <w:r>
        <w:rPr>
          <w:rFonts w:ascii="Consolas" w:hAnsi="Consolas" w:cs="Consolas"/>
          <w:b w:val="0"/>
          <w:i w:val="0"/>
          <w:sz w:val="15"/>
        </w:rPr>
        <w:t xml:space="preserve">  • Import customs clearance</w:t>
      </w:r>
    </w:p>
    <w:p>
      <w:pPr>
        <w:spacing w:after="0" w:before="0" w:line="240" w:lineRule="auto"/>
        <w:ind w:left="57"/>
        <w:jc w:val="left"/>
        <w:shd w:val="clear" w:fill="F2F2F2"/>
      </w:pPr>
      <w:r>
        <w:rPr>
          <w:rFonts w:ascii="Consolas" w:hAnsi="Consolas" w:cs="Consolas"/>
          <w:b w:val="0"/>
          <w:i w:val="0"/>
          <w:sz w:val="15"/>
        </w:rPr>
        <w:t xml:space="preserve">  • Destination charges</w:t>
      </w:r>
    </w:p>
    <w:p>
      <w:pPr>
        <w:spacing w:after="0" w:before="0" w:line="240" w:lineRule="auto"/>
        <w:ind w:left="57"/>
        <w:jc w:val="left"/>
        <w:shd w:val="clear" w:fill="F2F2F2"/>
      </w:pPr>
      <w:r>
        <w:rPr>
          <w:rFonts w:ascii="Consolas" w:hAnsi="Consolas" w:cs="Consolas"/>
          <w:b w:val="0"/>
          <w:i w:val="0"/>
          <w:sz w:val="15"/>
        </w:rPr>
        <w:t xml:space="preserve">  • Insurance (optional)</w:t>
      </w:r>
    </w:p>
    <w:p>
      <w:pPr>
        <w:spacing w:after="0" w:before="0" w:line="240" w:lineRule="auto"/>
        <w:ind w:left="57"/>
        <w:jc w:val="left"/>
        <w:shd w:val="clear" w:fill="F2F2F2"/>
      </w:pPr>
      <w:r>
        <w:rPr>
          <w:rFonts w:ascii="Consolas" w:hAnsi="Consolas" w:cs="Consolas"/>
          <w:b w:val="0"/>
          <w:i w:val="0"/>
          <w:sz w:val="15"/>
        </w:rPr>
        <w:t>[View full Incoterms 2020 reference]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 2.3 — Configure Containers. Example UI: Number of Containers: [3] [+ Add Container] [Clone Container] [Bulk Edit]. Each container card captures: Country of Origin, Destination Country, Port of Discharge (filtered by destination), Palletized (Yes/No), Pallet Size (e.g., EUR 800×1200 mm), Destination Override (e.g., Alexandria Free Zone), [Clone Container] [Remove Container].</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Container 1 — Vietnam → Egypt, Port of Discharge Alexandria, destination override Alexandria Free Zone; Container 2 — Port of Discharge Port Said, override Port Said Free Zone; Container 3 — Port of Discharge Damietta, override Damietta Port; all EUR 800×1200 mm pallets.</w:t>
      </w:r>
    </w:p>
    <w:p>
      <w:pPr>
        <w:spacing w:after="80" w:line="293" w:lineRule="auto"/>
        <w:jc w:val="left"/>
      </w:pPr>
      <w:r>
        <w:rPr>
          <w:rFonts w:ascii="Times New Roman" w:hAnsi="Times New Roman" w:cs="Times New Roman"/>
          <w:b w:val="0"/>
          <w:i w:val="0"/>
          <w:sz w:val="22"/>
        </w:rPr>
        <w:t>UI enhancements: flag icons next to country dropdowns; inline validation — port must exist and not be sanctioned; drag-and-drop reordering of container tabs; progress indicator showing how many containers are fully configured; Clone Container — one click to copy all data to a new container; Bulk Edit — apply commodity to all containers, copy settings to a range.</w:t>
      </w:r>
    </w:p>
    <w:p>
      <w:pPr>
        <w:spacing w:after="80" w:line="293" w:lineRule="auto"/>
        <w:jc w:val="left"/>
      </w:pPr>
      <w:r>
        <w:rPr>
          <w:rFonts w:ascii="Times New Roman" w:hAnsi="Times New Roman" w:cs="Times New Roman"/>
          <w:b w:val="0"/>
          <w:i w:val="0"/>
          <w:sz w:val="22"/>
        </w:rPr>
        <w:t>Step 2.4 — Add Commodities Per Container. Base per-commodity fields: commodity type, product, HS code, quantity, packing. Two-way auto-synchronisation workflow:</w:t>
      </w:r>
    </w:p>
    <w:p>
      <w:pPr>
        <w:spacing w:after="80" w:line="293" w:lineRule="auto"/>
        <w:ind w:left="283"/>
        <w:jc w:val="left"/>
      </w:pPr>
      <w:r>
        <w:rPr>
          <w:rFonts w:ascii="Times New Roman" w:hAnsi="Times New Roman" w:cs="Times New Roman"/>
          <w:b w:val="0"/>
          <w:i w:val="0"/>
          <w:sz w:val="22"/>
        </w:rPr>
        <w:t>- Buyer selects Commodity Type → the system fetches a filtered dropdown of all products belonging</w:t>
      </w:r>
    </w:p>
    <w:p>
      <w:pPr>
        <w:spacing w:after="80" w:line="293" w:lineRule="auto"/>
        <w:jc w:val="left"/>
      </w:pPr>
      <w:r>
        <w:rPr>
          <w:rFonts w:ascii="Times New Roman" w:hAnsi="Times New Roman" w:cs="Times New Roman"/>
          <w:b w:val="0"/>
          <w:i w:val="0"/>
          <w:sz w:val="22"/>
        </w:rPr>
        <w:t>to that type.</w:t>
      </w:r>
    </w:p>
    <w:p>
      <w:pPr>
        <w:spacing w:after="80" w:line="293" w:lineRule="auto"/>
        <w:ind w:left="283"/>
        <w:jc w:val="left"/>
      </w:pPr>
      <w:r>
        <w:rPr>
          <w:rFonts w:ascii="Times New Roman" w:hAnsi="Times New Roman" w:cs="Times New Roman"/>
          <w:b w:val="0"/>
          <w:i w:val="0"/>
          <w:sz w:val="22"/>
        </w:rPr>
        <w:t>- Buyer selects product from dropdown → the system automatically fills the HS code (6 or 10 digits)</w:t>
      </w:r>
    </w:p>
    <w:p>
      <w:pPr>
        <w:spacing w:after="80" w:line="293" w:lineRule="auto"/>
        <w:jc w:val="left"/>
      </w:pPr>
      <w:r>
        <w:rPr>
          <w:rFonts w:ascii="Times New Roman" w:hAnsi="Times New Roman" w:cs="Times New Roman"/>
          <w:b w:val="0"/>
          <w:i w:val="0"/>
          <w:sz w:val="22"/>
        </w:rPr>
        <w:t>and triggers the Product Form Agent (A2) to generate dynamic specifications.</w:t>
      </w:r>
    </w:p>
    <w:p>
      <w:pPr>
        <w:spacing w:after="80" w:line="293" w:lineRule="auto"/>
        <w:ind w:left="283"/>
        <w:jc w:val="left"/>
      </w:pPr>
      <w:r>
        <w:rPr>
          <w:rFonts w:ascii="Times New Roman" w:hAnsi="Times New Roman" w:cs="Times New Roman"/>
          <w:b w:val="0"/>
          <w:i w:val="0"/>
          <w:sz w:val="22"/>
        </w:rPr>
        <w:t>- Buyer types HS code directly → upon selection, the system fills the product name and triggers the</w:t>
      </w:r>
    </w:p>
    <w:p>
      <w:pPr>
        <w:spacing w:after="80" w:line="293" w:lineRule="auto"/>
        <w:jc w:val="left"/>
      </w:pPr>
      <w:r>
        <w:rPr>
          <w:rFonts w:ascii="Times New Roman" w:hAnsi="Times New Roman" w:cs="Times New Roman"/>
          <w:b w:val="0"/>
          <w:i w:val="0"/>
          <w:sz w:val="22"/>
        </w:rPr>
        <w:t>Product Form Agent.</w:t>
      </w:r>
    </w:p>
    <w:p>
      <w:pPr>
        <w:spacing w:after="80" w:line="293" w:lineRule="auto"/>
        <w:ind w:left="283"/>
        <w:jc w:val="left"/>
      </w:pPr>
      <w:r>
        <w:rPr>
          <w:rFonts w:ascii="Times New Roman" w:hAnsi="Times New Roman" w:cs="Times New Roman"/>
          <w:b w:val="0"/>
          <w:i w:val="0"/>
          <w:sz w:val="22"/>
        </w:rPr>
        <w:t>- Buyer types free-text product name → the system attempts to match it to an HS code via AI (A2).</w:t>
      </w:r>
    </w:p>
    <w:p>
      <w:pPr>
        <w:spacing w:after="80" w:line="293" w:lineRule="auto"/>
        <w:ind w:left="283"/>
        <w:jc w:val="left"/>
      </w:pPr>
      <w:r>
        <w:rPr>
          <w:rFonts w:ascii="Times New Roman" w:hAnsi="Times New Roman" w:cs="Times New Roman"/>
          <w:b w:val="0"/>
          <w:i w:val="0"/>
          <w:sz w:val="22"/>
        </w:rPr>
        <w:t>- AI suggestion from buyer's history — shows previously used products with a "recent" badge.</w:t>
      </w:r>
    </w:p>
    <w:p>
      <w:pPr>
        <w:spacing w:after="80" w:line="293" w:lineRule="auto"/>
        <w:jc w:val="left"/>
      </w:pPr>
      <w:r>
        <w:rPr>
          <w:rFonts w:ascii="Times New Roman" w:hAnsi="Times New Roman" w:cs="Times New Roman"/>
          <w:b w:val="0"/>
          <w:i w:val="0"/>
          <w:sz w:val="22"/>
        </w:rPr>
        <w:t>Non-marketplace safeguard: never suggests "popular" or "other buyers" products.</w:t>
      </w:r>
    </w:p>
    <w:p>
      <w:pPr>
        <w:spacing w:after="80" w:line="293" w:lineRule="auto"/>
        <w:jc w:val="left"/>
      </w:pPr>
      <w:r>
        <w:rPr>
          <w:rFonts w:ascii="Times New Roman" w:hAnsi="Times New Roman" w:cs="Times New Roman"/>
          <w:b w:val="0"/>
          <w:i w:val="0"/>
          <w:sz w:val="22"/>
        </w:rPr>
        <w:t>Step 2.5 — Dynamic Product Specification (A2, HF local + Groq). When the buyer selects a product, the Product Form Agent queries the RIA vector database and returns a JSON schema that dynamically adds specification fields.</w:t>
      </w:r>
    </w:p>
    <w:p>
      <w:pPr>
        <w:spacing w:after="80" w:line="293" w:lineRule="auto"/>
        <w:jc w:val="left"/>
      </w:pPr>
      <w:r>
        <w:rPr>
          <w:rFonts w:ascii="Times New Roman" w:hAnsi="Times New Roman" w:cs="Times New Roman"/>
          <w:b w:val="0"/>
          <w:i w:val="0"/>
          <w:sz w:val="22"/>
        </w:rPr>
        <w:t>Example — Fresh Oranges:</w:t>
      </w:r>
    </w:p>
    <w:p>
      <w:pPr>
        <w:spacing w:after="0" w:before="0" w:line="240" w:lineRule="auto"/>
        <w:ind w:left="57"/>
        <w:jc w:val="left"/>
        <w:shd w:val="clear" w:fill="F2F2F2"/>
      </w:pPr>
      <w:r>
        <w:rPr>
          <w:rFonts w:ascii="Consolas" w:hAnsi="Consolas" w:cs="Consolas"/>
          <w:b w:val="0"/>
          <w:i w:val="0"/>
          <w:sz w:val="15"/>
        </w:rPr>
        <w:t>Commodity Details — Oranges (HS 0805.10)</w:t>
      </w:r>
    </w:p>
    <w:p>
      <w:pPr>
        <w:spacing w:after="0" w:before="0" w:line="240" w:lineRule="auto"/>
        <w:ind w:left="57"/>
        <w:jc w:val="left"/>
        <w:shd w:val="clear" w:fill="F2F2F2"/>
      </w:pPr>
      <w:r>
        <w:rPr>
          <w:rFonts w:ascii="Consolas" w:hAnsi="Consolas" w:cs="Consolas"/>
          <w:b w:val="0"/>
          <w:i w:val="0"/>
          <w:sz w:val="15"/>
        </w:rPr>
        <w:t>Variety: [Valencia ▼]          Grade: [Grade A ▼]        Brix: [11.5] °Bx</w:t>
      </w:r>
    </w:p>
    <w:p>
      <w:pPr>
        <w:spacing w:after="0" w:before="0" w:line="240" w:lineRule="auto"/>
        <w:ind w:left="57"/>
        <w:jc w:val="left"/>
        <w:shd w:val="clear" w:fill="F2F2F2"/>
      </w:pPr>
      <w:r>
        <w:rPr>
          <w:rFonts w:ascii="Consolas" w:hAnsi="Consolas" w:cs="Consolas"/>
          <w:b w:val="0"/>
          <w:i w:val="0"/>
          <w:sz w:val="15"/>
        </w:rPr>
        <w:t>Size range: [72] to [80] mm</w:t>
      </w:r>
    </w:p>
    <w:p>
      <w:pPr>
        <w:spacing w:after="0" w:before="0" w:line="240" w:lineRule="auto"/>
        <w:ind w:left="57"/>
        <w:jc w:val="left"/>
        <w:shd w:val="clear" w:fill="F2F2F2"/>
      </w:pPr>
      <w:r>
        <w:rPr>
          <w:rFonts w:ascii="Consolas" w:hAnsi="Consolas" w:cs="Consolas"/>
          <w:b w:val="0"/>
          <w:i w:val="0"/>
          <w:sz w:val="15"/>
        </w:rPr>
        <w:t>Packing:</w:t>
      </w:r>
    </w:p>
    <w:p>
      <w:pPr>
        <w:spacing w:after="0" w:before="0" w:line="240" w:lineRule="auto"/>
        <w:ind w:left="57"/>
        <w:jc w:val="left"/>
        <w:shd w:val="clear" w:fill="F2F2F2"/>
      </w:pPr>
      <w:r>
        <w:rPr>
          <w:rFonts w:ascii="Consolas" w:hAnsi="Consolas" w:cs="Consolas"/>
          <w:b w:val="0"/>
          <w:i w:val="0"/>
          <w:sz w:val="15"/>
        </w:rPr>
        <w:t xml:space="preserve">  Pallet type: [EUR (800×1200 mm) ▼]</w:t>
      </w:r>
    </w:p>
    <w:p>
      <w:pPr>
        <w:spacing w:after="0" w:before="0" w:line="240" w:lineRule="auto"/>
        <w:ind w:left="57"/>
        <w:jc w:val="left"/>
        <w:shd w:val="clear" w:fill="F2F2F2"/>
      </w:pPr>
      <w:r>
        <w:rPr>
          <w:rFonts w:ascii="Consolas" w:hAnsi="Consolas" w:cs="Consolas"/>
          <w:b w:val="0"/>
          <w:i w:val="0"/>
          <w:sz w:val="15"/>
        </w:rPr>
        <w:t xml:space="preserve">  Cartons per pallet: [40]</w:t>
      </w:r>
    </w:p>
    <w:p>
      <w:pPr>
        <w:spacing w:after="0" w:before="0" w:line="240" w:lineRule="auto"/>
        <w:ind w:left="57"/>
        <w:jc w:val="left"/>
        <w:shd w:val="clear" w:fill="F2F2F2"/>
      </w:pPr>
      <w:r>
        <w:rPr>
          <w:rFonts w:ascii="Consolas" w:hAnsi="Consolas" w:cs="Consolas"/>
          <w:b w:val="0"/>
          <w:i w:val="0"/>
          <w:sz w:val="15"/>
        </w:rPr>
        <w:t xml:space="preserve">  Net weight per carton (kg): [10]</w:t>
      </w:r>
    </w:p>
    <w:p>
      <w:pPr>
        <w:spacing w:after="0" w:before="0" w:line="240" w:lineRule="auto"/>
        <w:ind w:left="57"/>
        <w:jc w:val="left"/>
        <w:shd w:val="clear" w:fill="F2F2F2"/>
      </w:pPr>
      <w:r>
        <w:rPr>
          <w:rFonts w:ascii="Consolas" w:hAnsi="Consolas" w:cs="Consolas"/>
          <w:b w:val="0"/>
          <w:i w:val="0"/>
          <w:sz w:val="15"/>
        </w:rPr>
        <w:t xml:space="preserve">  Stacking layers: [5]</w:t>
      </w:r>
    </w:p>
    <w:p>
      <w:pPr>
        <w:spacing w:after="0" w:before="0" w:line="240" w:lineRule="auto"/>
        <w:ind w:left="57"/>
        <w:jc w:val="left"/>
        <w:shd w:val="clear" w:fill="F2F2F2"/>
      </w:pPr>
      <w:r>
        <w:rPr>
          <w:rFonts w:ascii="Consolas" w:hAnsi="Consolas" w:cs="Consolas"/>
          <w:b w:val="0"/>
          <w:i w:val="0"/>
          <w:sz w:val="15"/>
        </w:rPr>
        <w:t xml:space="preserve">  Total pallets: [22]</w:t>
      </w:r>
    </w:p>
    <w:p>
      <w:pPr>
        <w:spacing w:after="0" w:before="0" w:line="240" w:lineRule="auto"/>
        <w:ind w:left="57"/>
        <w:jc w:val="left"/>
        <w:shd w:val="clear" w:fill="F2F2F2"/>
      </w:pPr>
      <w:r>
        <w:rPr>
          <w:rFonts w:ascii="Consolas" w:hAnsi="Consolas" w:cs="Consolas"/>
          <w:b w:val="0"/>
          <w:i w:val="0"/>
          <w:sz w:val="15"/>
        </w:rPr>
        <w:t xml:space="preserve">  Packaging type: [Cartons 10kg ▼]</w:t>
      </w:r>
    </w:p>
    <w:p>
      <w:pPr>
        <w:spacing w:after="0" w:before="0" w:line="240" w:lineRule="auto"/>
        <w:ind w:left="57"/>
        <w:jc w:val="left"/>
        <w:shd w:val="clear" w:fill="F2F2F2"/>
      </w:pPr>
      <w:r>
        <w:rPr>
          <w:rFonts w:ascii="Consolas" w:hAnsi="Consolas" w:cs="Consolas"/>
          <w:b w:val="0"/>
          <w:i w:val="0"/>
          <w:sz w:val="15"/>
        </w:rPr>
        <w:t>Calculated total net weight: 8,800 kg</w:t>
      </w:r>
    </w:p>
    <w:p>
      <w:pPr>
        <w:spacing w:after="0" w:before="0" w:line="240" w:lineRule="auto"/>
        <w:ind w:left="57"/>
        <w:jc w:val="left"/>
        <w:shd w:val="clear" w:fill="F2F2F2"/>
      </w:pPr>
      <w:r>
        <w:rPr>
          <w:rFonts w:ascii="Consolas" w:hAnsi="Consolas" w:cs="Consolas"/>
          <w:b w:val="0"/>
          <w:i w:val="0"/>
          <w:sz w:val="15"/>
        </w:rPr>
        <w:t>Estimated gross weight (+5% tare): 9,240 kg</w:t>
      </w:r>
    </w:p>
    <w:p>
      <w:pPr>
        <w:spacing w:after="0" w:before="0" w:line="240" w:lineRule="auto"/>
        <w:ind w:left="57"/>
        <w:jc w:val="left"/>
        <w:shd w:val="clear" w:fill="F2F2F2"/>
      </w:pPr>
      <w:r>
        <w:rPr>
          <w:rFonts w:ascii="Consolas" w:hAnsi="Consolas" w:cs="Consolas"/>
          <w:b w:val="0"/>
          <w:i w:val="0"/>
          <w:sz w:val="15"/>
        </w:rPr>
        <w:t>Special Procedure Required: Cold Treatment</w:t>
      </w:r>
    </w:p>
    <w:p>
      <w:pPr>
        <w:spacing w:after="0" w:before="0" w:line="240" w:lineRule="auto"/>
        <w:ind w:left="57"/>
        <w:jc w:val="left"/>
        <w:shd w:val="clear" w:fill="F2F2F2"/>
      </w:pPr>
      <w:r>
        <w:rPr>
          <w:rFonts w:ascii="Consolas" w:hAnsi="Consolas" w:cs="Consolas"/>
          <w:b w:val="0"/>
          <w:i w:val="0"/>
          <w:sz w:val="15"/>
        </w:rPr>
        <w:t xml:space="preserve">  Temperature: -0.5°C for 14 days</w:t>
      </w:r>
    </w:p>
    <w:p>
      <w:pPr>
        <w:spacing w:after="0" w:before="0" w:line="240" w:lineRule="auto"/>
        <w:ind w:left="57"/>
        <w:jc w:val="left"/>
        <w:shd w:val="clear" w:fill="F2F2F2"/>
      </w:pPr>
      <w:r>
        <w:rPr>
          <w:rFonts w:ascii="Consolas" w:hAnsi="Consolas" w:cs="Consolas"/>
          <w:b w:val="0"/>
          <w:i w:val="0"/>
          <w:sz w:val="15"/>
        </w:rPr>
        <w:t xml:space="preserve">  Start date: [2026-07-01]   Completion date: [2026-07-15]</w:t>
      </w:r>
    </w:p>
    <w:p>
      <w:pPr>
        <w:spacing w:after="0" w:before="0" w:line="240" w:lineRule="auto"/>
        <w:ind w:left="57"/>
        <w:jc w:val="left"/>
        <w:shd w:val="clear" w:fill="F2F2F2"/>
      </w:pPr>
      <w:r>
        <w:rPr>
          <w:rFonts w:ascii="Consolas" w:hAnsi="Consolas" w:cs="Consolas"/>
          <w:b w:val="0"/>
          <w:i w:val="0"/>
          <w:sz w:val="15"/>
        </w:rPr>
        <w:t xml:space="preserve">  Accepted facilities: [Egyptian Cold Treatment Center ▼]</w:t>
      </w:r>
    </w:p>
    <w:p>
      <w:pPr>
        <w:spacing w:after="0" w:before="0" w:line="240" w:lineRule="auto"/>
        <w:ind w:left="57"/>
        <w:jc w:val="left"/>
        <w:shd w:val="clear" w:fill="F2F2F2"/>
      </w:pPr>
      <w:r>
        <w:rPr>
          <w:rFonts w:ascii="Consolas" w:hAnsi="Consolas" w:cs="Consolas"/>
          <w:b w:val="0"/>
          <w:i w:val="0"/>
          <w:sz w:val="15"/>
        </w:rPr>
        <w:t xml:space="preserve">  I will upload the cold treatment certificate after completion</w:t>
      </w:r>
    </w:p>
    <w:p>
      <w:pPr>
        <w:spacing w:after="0" w:before="0" w:line="240" w:lineRule="auto"/>
        <w:ind w:left="57"/>
        <w:jc w:val="left"/>
        <w:shd w:val="clear" w:fill="F2F2F2"/>
      </w:pPr>
      <w:r>
        <w:rPr>
          <w:rFonts w:ascii="Consolas" w:hAnsi="Consolas" w:cs="Consolas"/>
          <w:b w:val="0"/>
          <w:i w:val="0"/>
          <w:sz w:val="15"/>
        </w:rPr>
        <w:t>[Remove commodity]  [Add another commodity]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 Frozen Strawberries: Variety: Festival, Camarosa, Albion, Sweet Charlie, Other; Grade: Grade A (whole), Grade B (sliced), Grade C (puree); Sugar added: Yes/No toggle, if Yes percentage; Packaging: Polypags, Cartons, Bulk boxes; Temperature requirement: -18°C (advisory).</w:t>
      </w:r>
    </w:p>
    <w:p>
      <w:pPr>
        <w:spacing w:after="80" w:line="293" w:lineRule="auto"/>
        <w:jc w:val="left"/>
      </w:pPr>
      <w:r>
        <w:rPr>
          <w:rFonts w:ascii="Times New Roman" w:hAnsi="Times New Roman" w:cs="Times New Roman"/>
          <w:b w:val="0"/>
          <w:i w:val="0"/>
          <w:sz w:val="22"/>
        </w:rPr>
        <w:t>Example — Textiles (Cotton Fabric): Weave type: Plain, Twill, Satin, Jersey; Thread count: 100–1000 (default 200); Width: 50–400 cm (default 150); Weight: 50–500 gsm (default 180); Colour: free text; Roll length: 10–500 m (default 100); Number of rolls: 1–1000.</w:t>
      </w:r>
    </w:p>
    <w:p>
      <w:pPr>
        <w:spacing w:after="80" w:line="293" w:lineRule="auto"/>
        <w:jc w:val="left"/>
      </w:pPr>
      <w:r>
        <w:rPr>
          <w:rFonts w:ascii="Times New Roman" w:hAnsi="Times New Roman" w:cs="Times New Roman"/>
          <w:b w:val="0"/>
          <w:i w:val="0"/>
          <w:sz w:val="22"/>
        </w:rPr>
        <w:t>Step 2.6 — AI Container Advisor (A1 — advisory only). Example banner:</w:t>
      </w:r>
    </w:p>
    <w:p>
      <w:pPr>
        <w:spacing w:after="0" w:before="0" w:line="240" w:lineRule="auto"/>
        <w:ind w:left="57"/>
        <w:jc w:val="left"/>
        <w:shd w:val="clear" w:fill="F2F2F2"/>
      </w:pPr>
      <w:r>
        <w:rPr>
          <w:rFonts w:ascii="Consolas" w:hAnsi="Consolas" w:cs="Consolas"/>
          <w:b w:val="0"/>
          <w:i w:val="0"/>
          <w:sz w:val="15"/>
        </w:rPr>
        <w:t>AI Container Advisor (Advisory)</w:t>
      </w:r>
    </w:p>
    <w:p>
      <w:pPr>
        <w:spacing w:after="0" w:before="0" w:line="240" w:lineRule="auto"/>
        <w:ind w:left="57"/>
        <w:jc w:val="left"/>
        <w:shd w:val="clear" w:fill="F2F2F2"/>
      </w:pPr>
      <w:r>
        <w:rPr>
          <w:rFonts w:ascii="Consolas" w:hAnsi="Consolas" w:cs="Consolas"/>
          <w:b w:val="0"/>
          <w:i w:val="0"/>
          <w:sz w:val="15"/>
        </w:rPr>
        <w:t>Based on your 22 EUR pallets (800×1200 mm), we suggest 1 × 40ft High-Cube reefer.</w:t>
      </w:r>
    </w:p>
    <w:p>
      <w:pPr>
        <w:spacing w:after="0" w:before="0" w:line="240" w:lineRule="auto"/>
        <w:ind w:left="57"/>
        <w:jc w:val="left"/>
        <w:shd w:val="clear" w:fill="F2F2F2"/>
      </w:pPr>
      <w:r>
        <w:rPr>
          <w:rFonts w:ascii="Consolas" w:hAnsi="Consolas" w:cs="Consolas"/>
          <w:b w:val="0"/>
          <w:i w:val="0"/>
          <w:sz w:val="15"/>
        </w:rPr>
        <w:t>Your current entry shows 1 container. No adjustment needed.</w:t>
      </w:r>
    </w:p>
    <w:p>
      <w:pPr>
        <w:spacing w:after="0" w:before="0" w:line="240" w:lineRule="auto"/>
        <w:ind w:left="57"/>
        <w:jc w:val="left"/>
        <w:shd w:val="clear" w:fill="F2F2F2"/>
      </w:pPr>
      <w:r>
        <w:rPr>
          <w:rFonts w:ascii="Consolas" w:hAnsi="Consolas" w:cs="Consolas"/>
          <w:b w:val="0"/>
          <w:i w:val="0"/>
          <w:sz w:val="15"/>
        </w:rPr>
        <w:t>[Adjust to 1 × 40HC]  [Ignore]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Non-marketplace safeguard: never says "other buyers used 3 containers" — uses anonymised aggregates with differential privacy.</w:t>
      </w:r>
    </w:p>
    <w:p>
      <w:pPr>
        <w:spacing w:after="80" w:line="293" w:lineRule="auto"/>
        <w:jc w:val="left"/>
      </w:pPr>
      <w:r>
        <w:rPr>
          <w:rFonts w:ascii="Times New Roman" w:hAnsi="Times New Roman" w:cs="Times New Roman"/>
          <w:b w:val="0"/>
          <w:i w:val="0"/>
          <w:sz w:val="22"/>
        </w:rPr>
        <w:t>Step 2.7 — Optional: Multi-Shipment Request. Schedule builder fields (per shipment): delivery date (date picker), port (dropdown), containers (count), commodities (inherit from main or edit). Example: Shipment 1 — 2026-07-15, Tokyo, 1 container, inherit; Shipment 2 — 2026-08-15, Osaka, 1 container, inherit; [Add Shipment] [Remove Shipment].</w:t>
      </w:r>
    </w:p>
    <w:p>
      <w:pPr>
        <w:spacing w:after="80" w:line="293" w:lineRule="auto"/>
        <w:jc w:val="left"/>
      </w:pPr>
      <w:r>
        <w:rPr>
          <w:rFonts w:ascii="Times New Roman" w:hAnsi="Times New Roman" w:cs="Times New Roman"/>
          <w:b w:val="0"/>
          <w:i w:val="0"/>
          <w:sz w:val="22"/>
        </w:rPr>
        <w:t>Governance: the Governor validates that each shipment's delivery date is in the future, the port is valid and not sanctioned, and the container count ≥ 1.</w:t>
      </w:r>
    </w:p>
    <w:p>
      <w:pPr>
        <w:spacing w:after="80" w:line="293" w:lineRule="auto"/>
        <w:jc w:val="left"/>
      </w:pPr>
      <w:r>
        <w:rPr>
          <w:rFonts w:ascii="Times New Roman" w:hAnsi="Times New Roman" w:cs="Times New Roman"/>
          <w:b w:val="0"/>
          <w:i w:val="0"/>
          <w:sz w:val="22"/>
        </w:rPr>
        <w:t>Step 2.8 — Marketplace Relationship Detection (Auto-Attribution). Example banner:</w:t>
      </w:r>
    </w:p>
    <w:p>
      <w:pPr>
        <w:spacing w:after="0" w:before="0" w:line="240" w:lineRule="auto"/>
        <w:ind w:left="57"/>
        <w:jc w:val="left"/>
        <w:shd w:val="clear" w:fill="F2F2F2"/>
      </w:pPr>
      <w:r>
        <w:rPr>
          <w:rFonts w:ascii="Consolas" w:hAnsi="Consolas" w:cs="Consolas"/>
          <w:b w:val="0"/>
          <w:i w:val="0"/>
          <w:sz w:val="15"/>
        </w:rPr>
        <w:t>Marketplace Attribution</w:t>
      </w:r>
    </w:p>
    <w:p>
      <w:pPr>
        <w:spacing w:after="0" w:before="0" w:line="240" w:lineRule="auto"/>
        <w:ind w:left="57"/>
        <w:jc w:val="left"/>
        <w:shd w:val="clear" w:fill="F2F2F2"/>
      </w:pPr>
      <w:r>
        <w:rPr>
          <w:rFonts w:ascii="Consolas" w:hAnsi="Consolas" w:cs="Consolas"/>
          <w:b w:val="0"/>
          <w:i w:val="0"/>
          <w:sz w:val="15"/>
        </w:rPr>
        <w:t>This trade will be attributed to [TradeBridge] because you first connected through</w:t>
      </w:r>
    </w:p>
    <w:p>
      <w:pPr>
        <w:spacing w:after="0" w:before="0" w:line="240" w:lineRule="auto"/>
        <w:ind w:left="57"/>
        <w:jc w:val="left"/>
        <w:shd w:val="clear" w:fill="F2F2F2"/>
      </w:pPr>
      <w:r>
        <w:rPr>
          <w:rFonts w:ascii="Consolas" w:hAnsi="Consolas" w:cs="Consolas"/>
          <w:b w:val="0"/>
          <w:i w:val="0"/>
          <w:sz w:val="15"/>
        </w:rPr>
        <w:t>them on [2025-12-01]. The standard revenue share of [0.5%] will be applied.</w:t>
      </w:r>
    </w:p>
    <w:p>
      <w:pPr>
        <w:spacing w:after="0" w:before="0" w:line="240" w:lineRule="auto"/>
        <w:ind w:left="57"/>
        <w:jc w:val="left"/>
        <w:shd w:val="clear" w:fill="F2F2F2"/>
      </w:pPr>
      <w:r>
        <w:rPr>
          <w:rFonts w:ascii="Consolas" w:hAnsi="Consolas" w:cs="Consolas"/>
          <w:b w:val="0"/>
          <w:i w:val="0"/>
          <w:sz w:val="15"/>
        </w:rPr>
        <w:t>If you believe this is incorrect, you have 72 hours to dispute.</w:t>
      </w:r>
    </w:p>
    <w:p>
      <w:pPr>
        <w:spacing w:after="0" w:before="0" w:line="240" w:lineRule="auto"/>
        <w:ind w:left="57"/>
        <w:jc w:val="left"/>
        <w:shd w:val="clear" w:fill="F2F2F2"/>
      </w:pPr>
      <w:r>
        <w:rPr>
          <w:rFonts w:ascii="Consolas" w:hAnsi="Consolas" w:cs="Consolas"/>
          <w:b w:val="0"/>
          <w:i w:val="0"/>
          <w:sz w:val="15"/>
        </w:rPr>
        <w:t>[Dispute Attribution]  [Continue]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Dispute workflow: if the buyer clicks "Dispute Attribution", a form opens to provide the reason; the dispute is analysed by AI (A2) and escalated to the Platform Governance Authority if needed; attribution becomes final after 72 hours if no dispute is filed.</w:t>
      </w:r>
    </w:p>
    <w:p>
      <w:pPr>
        <w:spacing w:after="80" w:line="293" w:lineRule="auto"/>
        <w:jc w:val="left"/>
      </w:pPr>
      <w:r>
        <w:rPr>
          <w:rFonts w:ascii="Times New Roman" w:hAnsi="Times New Roman" w:cs="Times New Roman"/>
          <w:b w:val="0"/>
          <w:i w:val="0"/>
          <w:sz w:val="22"/>
        </w:rPr>
        <w:t>Step 2.9 — Draft Auto-Save (zero clicks). Drafts auto-save every 30 seconds in the background; one click to resume a draft (Smart Inbox recovery item, priority 30).</w:t>
      </w:r>
    </w:p>
    <w:p>
      <w:pPr>
        <w:spacing w:after="80" w:line="293" w:lineRule="auto"/>
        <w:jc w:val="left"/>
      </w:pPr>
      <w:r>
        <w:rPr>
          <w:rFonts w:ascii="Times New Roman" w:hAnsi="Times New Roman" w:cs="Times New Roman"/>
          <w:b w:val="0"/>
          <w:i w:val="0"/>
          <w:sz w:val="22"/>
        </w:rPr>
        <w:t>Step 2.10 — Submit Trade Request (one click). Governor validation (A4 + A2). If ALLOW: the trade request is created with status = 'PENDING_SELLER_RESPONSE'; the USTN is not yet generated (it will be generated at contract lock); the seller receives a Smart Inbox item (priority 75); the buyer receives confirmation. If CONDITIONAL or DENY: the Governor generates a plain-language tenant_message (A1, Groq → Ollama) listing unmet conditions; the buyer sees the PlainLanguage Governor Decision Panel and cannot proceed until conditions are resolved.</w:t>
      </w:r>
    </w:p>
    <w:p>
      <w:pPr>
        <w:spacing w:after="80" w:line="293" w:lineRule="auto"/>
        <w:jc w:val="left"/>
      </w:pPr>
      <w:r>
        <w:rPr>
          <w:rFonts w:ascii="Times New Roman" w:hAnsi="Times New Roman" w:cs="Times New Roman"/>
          <w:b w:val="0"/>
          <w:i w:val="0"/>
          <w:sz w:val="22"/>
        </w:rPr>
        <w:t>Example CONDITIONAL response (missing cold treatment certificate):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"Your trade request cannot be submitted because cold treatment is required</w:t>
      </w:r>
    </w:p>
    <w:p>
      <w:pPr>
        <w:spacing w:after="0" w:before="0" w:line="240" w:lineRule="auto"/>
        <w:ind w:left="57"/>
        <w:jc w:val="left"/>
        <w:shd w:val="clear" w:fill="F2F2F2"/>
      </w:pPr>
      <w:r>
        <w:rPr>
          <w:rFonts w:ascii="Consolas" w:hAnsi="Consolas" w:cs="Consolas"/>
          <w:b w:val="0"/>
          <w:i w:val="0"/>
          <w:sz w:val="15"/>
        </w:rPr>
        <w:t xml:space="preserve">                for fresh oranges to Japan, and you have not indicated that you will</w:t>
      </w:r>
    </w:p>
    <w:p>
      <w:pPr>
        <w:spacing w:after="0" w:before="0" w:line="240" w:lineRule="auto"/>
        <w:ind w:left="57"/>
        <w:jc w:val="left"/>
        <w:shd w:val="clear" w:fill="F2F2F2"/>
      </w:pPr>
      <w:r>
        <w:rPr>
          <w:rFonts w:ascii="Consolas" w:hAnsi="Consolas" w:cs="Consolas"/>
          <w:b w:val="0"/>
          <w:i w:val="0"/>
          <w:sz w:val="15"/>
        </w:rPr>
        <w:t xml:space="preserve">                provide a certificate.",</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"cold_treatment_cert",</w:t>
      </w:r>
    </w:p>
    <w:p>
      <w:pPr>
        <w:spacing w:after="0" w:before="0" w:line="240" w:lineRule="auto"/>
        <w:ind w:left="57"/>
        <w:jc w:val="left"/>
        <w:shd w:val="clear" w:fill="F2F2F2"/>
      </w:pPr>
      <w:r>
        <w:rPr>
          <w:rFonts w:ascii="Consolas" w:hAnsi="Consolas" w:cs="Consolas"/>
          <w:b w:val="0"/>
          <w:i w:val="0"/>
          <w:sz w:val="15"/>
        </w:rPr>
        <w:t xml:space="preserve">        "label": "Upload cold treatment certificate after completion",</w:t>
      </w:r>
    </w:p>
    <w:p>
      <w:pPr>
        <w:spacing w:after="0" w:before="0" w:line="240" w:lineRule="auto"/>
        <w:ind w:left="57"/>
        <w:jc w:val="left"/>
        <w:shd w:val="clear" w:fill="F2F2F2"/>
      </w:pPr>
      <w:r>
        <w:rPr>
          <w:rFonts w:ascii="Consolas" w:hAnsi="Consolas" w:cs="Consolas"/>
          <w:b w:val="0"/>
          <w:i w:val="0"/>
          <w:sz w:val="15"/>
        </w:rPr>
        <w:t xml:space="preserve">        "action_url": "/v1/documents/upload?ustn=..."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cold treatment is not required, request a</w:t>
      </w:r>
    </w:p>
    <w:p>
      <w:pPr>
        <w:spacing w:after="0" w:before="0" w:line="240" w:lineRule="auto"/>
        <w:ind w:left="57"/>
        <w:jc w:val="left"/>
        <w:shd w:val="clear" w:fill="F2F2F2"/>
      </w:pPr>
      <w:r>
        <w:rPr>
          <w:rFonts w:ascii="Consolas" w:hAnsi="Consolas" w:cs="Consolas"/>
          <w:b w:val="0"/>
          <w:i w:val="0"/>
          <w:sz w:val="15"/>
        </w:rPr>
        <w:t xml:space="preserve">                        compliance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CONDITIONAL response (packing consistency):</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"verdict": "CONDITIONAL",</w:t>
      </w:r>
    </w:p>
    <w:p>
      <w:pPr>
        <w:spacing w:after="0" w:before="0" w:line="240" w:lineRule="auto"/>
        <w:ind w:left="57"/>
        <w:jc w:val="left"/>
        <w:shd w:val="clear" w:fill="F2F2F2"/>
      </w:pPr>
      <w:r>
        <w:rPr>
          <w:rFonts w:ascii="Consolas" w:hAnsi="Consolas" w:cs="Consolas"/>
          <w:b w:val="0"/>
          <w:i w:val="0"/>
          <w:sz w:val="15"/>
        </w:rPr>
        <w:t xml:space="preserve">  "tenant_message": {</w:t>
      </w:r>
    </w:p>
    <w:p>
      <w:pPr>
        <w:spacing w:after="0" w:before="0" w:line="240" w:lineRule="auto"/>
        <w:ind w:left="57"/>
        <w:jc w:val="left"/>
        <w:shd w:val="clear" w:fill="F2F2F2"/>
      </w:pPr>
      <w:r>
        <w:rPr>
          <w:rFonts w:ascii="Consolas" w:hAnsi="Consolas" w:cs="Consolas"/>
          <w:b w:val="0"/>
          <w:i w:val="0"/>
          <w:sz w:val="15"/>
        </w:rPr>
        <w:t xml:space="preserve">    "summary": "The calculated total net weight (8,800 kg) does not match the declared</w:t>
      </w:r>
    </w:p>
    <w:p>
      <w:pPr>
        <w:spacing w:after="0" w:before="0" w:line="240" w:lineRule="auto"/>
        <w:ind w:left="57"/>
        <w:jc w:val="left"/>
        <w:shd w:val="clear" w:fill="F2F2F2"/>
      </w:pPr>
      <w:r>
        <w:rPr>
          <w:rFonts w:ascii="Consolas" w:hAnsi="Consolas" w:cs="Consolas"/>
          <w:b w:val="0"/>
          <w:i w:val="0"/>
          <w:sz w:val="15"/>
        </w:rPr>
        <w:t xml:space="preserve">                total (10,000 kg). Please correct the packing details or the declared</w:t>
      </w:r>
    </w:p>
    <w:p>
      <w:pPr>
        <w:spacing w:after="0" w:before="0" w:line="240" w:lineRule="auto"/>
        <w:ind w:left="57"/>
        <w:jc w:val="left"/>
        <w:shd w:val="clear" w:fill="F2F2F2"/>
      </w:pPr>
      <w:r>
        <w:rPr>
          <w:rFonts w:ascii="Consolas" w:hAnsi="Consolas" w:cs="Consolas"/>
          <w:b w:val="0"/>
          <w:i w:val="0"/>
          <w:sz w:val="15"/>
        </w:rPr>
        <w:t xml:space="preserve">                total.",</w:t>
      </w:r>
    </w:p>
    <w:p>
      <w:pPr>
        <w:spacing w:after="0" w:before="0" w:line="240" w:lineRule="auto"/>
        <w:ind w:left="57"/>
        <w:jc w:val="left"/>
        <w:shd w:val="clear" w:fill="F2F2F2"/>
      </w:pPr>
      <w:r>
        <w:rPr>
          <w:rFonts w:ascii="Consolas" w:hAnsi="Consolas" w:cs="Consolas"/>
          <w:b w:val="0"/>
          <w:i w:val="0"/>
          <w:sz w:val="15"/>
        </w:rPr>
        <w:t xml:space="preserve">    "conditions":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"condition_id": "packing_weight_mismatch",</w:t>
      </w:r>
    </w:p>
    <w:p>
      <w:pPr>
        <w:spacing w:after="0" w:before="0" w:line="240" w:lineRule="auto"/>
        <w:ind w:left="57"/>
        <w:jc w:val="left"/>
        <w:shd w:val="clear" w:fill="F2F2F2"/>
      </w:pPr>
      <w:r>
        <w:rPr>
          <w:rFonts w:ascii="Consolas" w:hAnsi="Consolas" w:cs="Consolas"/>
          <w:b w:val="0"/>
          <w:i w:val="0"/>
          <w:sz w:val="15"/>
        </w:rPr>
        <w:t xml:space="preserve">        "label": "Adjust packing details or declared total weight",</w:t>
      </w:r>
    </w:p>
    <w:p>
      <w:pPr>
        <w:spacing w:after="0" w:before="0" w:line="240" w:lineRule="auto"/>
        <w:ind w:left="57"/>
        <w:jc w:val="left"/>
        <w:shd w:val="clear" w:fill="F2F2F2"/>
      </w:pPr>
      <w:r>
        <w:rPr>
          <w:rFonts w:ascii="Consolas" w:hAnsi="Consolas" w:cs="Consolas"/>
          <w:b w:val="0"/>
          <w:i w:val="0"/>
          <w:sz w:val="15"/>
        </w:rPr>
        <w:t xml:space="preserve">        "action_url": "/v1/trade/request/draft?trade_id=..."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"escalation_hint": "If you believe this is an error, request a compliance 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guarantee: the buyer clicks "Submit Trade Request" once; if blocked, each condition has a one-click remediation link; after fixing, the buyer clicks "Retry" — one click to resubmit.</w:t>
      </w:r>
    </w:p>
    <w:p>
      <w:pPr>
        <w:keepNext/>
        <w:spacing w:before="140" w:after="60"/>
        <w:outlineLvl w:val="3"/>
      </w:pPr>
      <w:r>
        <w:rPr>
          <w:rFonts w:ascii="Arial" w:hAnsi="Arial" w:cs="Arial"/>
          <w:b/>
          <w:i/>
          <w:color w:val="333333"/>
          <w:sz w:val="22"/>
        </w:rPr>
        <w:t>Tab 3: Quote Review &amp; Negotiation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and compare the seller's quote(s), negotiate terms, and accept.</w:t>
      </w:r>
    </w:p>
    <w:p>
      <w:pPr>
        <w:keepNext/>
        <w:spacing w:before="240" w:after="100"/>
        <w:outlineLvl w:val="1"/>
      </w:pPr>
      <w:r>
        <w:rPr>
          <w:rFonts w:ascii="Arial" w:hAnsi="Arial" w:cs="Arial"/>
          <w:b/>
          <w:i w:val="0"/>
          <w:color w:val="2E528F"/>
          <w:sz w:val="26"/>
        </w:rPr>
        <w:t>3.1 Comparison Table. Example: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Port</w:t>
            </w:r>
          </w:p>
        </w:tc>
        <w:tc>
          <w:tcPr>
            <w:tcW w:type="dxa" w:w="1928"/>
            <w:shd w:val="clear" w:fill="D9E2F3"/>
          </w:tcPr>
          <w:p>
            <w:pPr>
              <w:spacing w:after="20" w:before="20" w:line="240" w:lineRule="auto"/>
            </w:pPr>
            <w:r/>
            <w:r>
              <w:rPr>
                <w:rFonts w:ascii="Arial" w:hAnsi="Arial" w:cs="Arial"/>
                <w:b/>
                <w:i w:val="0"/>
                <w:sz w:val="18"/>
              </w:rPr>
              <w:t>Transit Time</w:t>
            </w:r>
          </w:p>
        </w:tc>
        <w:tc>
          <w:tcPr>
            <w:tcW w:type="dxa" w:w="1928"/>
            <w:shd w:val="clear" w:fill="D9E2F3"/>
          </w:tcPr>
          <w:p>
            <w:pPr>
              <w:spacing w:after="20" w:before="20" w:line="240" w:lineRule="auto"/>
            </w:pPr>
            <w:r/>
            <w:r>
              <w:rPr>
                <w:rFonts w:ascii="Arial" w:hAnsi="Arial" w:cs="Arial"/>
                <w:b/>
                <w:i w:val="0"/>
                <w:sz w:val="18"/>
              </w:rPr>
              <w:t>Total Price</w:t>
            </w:r>
          </w:p>
        </w:tc>
        <w:tc>
          <w:tcPr>
            <w:tcW w:type="dxa" w:w="1928"/>
            <w:shd w:val="clear" w:fill="D9E2F3"/>
          </w:tcPr>
          <w:p>
            <w:pPr>
              <w:spacing w:after="20" w:before="20" w:line="240" w:lineRule="auto"/>
            </w:pPr>
            <w:r/>
            <w:r>
              <w:rPr>
                <w:rFonts w:ascii="Arial" w:hAnsi="Arial" w:cs="Arial"/>
                <w:b/>
                <w:i w:val="0"/>
                <w:sz w:val="18"/>
              </w:rPr>
              <w:t>SGTX Fee</w:t>
            </w:r>
          </w:p>
        </w:tc>
        <w:tc>
          <w:tcPr>
            <w:tcW w:type="dxa" w:w="1928"/>
            <w:shd w:val="clear" w:fill="D9E2F3"/>
          </w:tcPr>
          <w:p>
            <w:pPr>
              <w:spacing w:after="20" w:before="20" w:line="240" w:lineRule="auto"/>
            </w:pPr>
            <w:r/>
            <w:r>
              <w:rPr>
                <w:rFonts w:ascii="Arial" w:hAnsi="Arial" w:cs="Arial"/>
                <w:b/>
                <w:i w:val="0"/>
                <w:sz w:val="18"/>
              </w:rPr>
              <w:t>Actions</w:t>
            </w:r>
          </w:p>
        </w:tc>
      </w:tr>
      <w:tr>
        <w:tc>
          <w:tcPr>
            <w:tcW w:type="dxa" w:w="1928"/>
          </w:tcPr>
          <w:p>
            <w:pPr>
              <w:spacing w:after="20" w:before="20" w:line="240" w:lineRule="auto"/>
            </w:pPr>
            <w:r/>
            <w:r>
              <w:rPr>
                <w:rFonts w:ascii="Arial" w:hAnsi="Arial" w:cs="Arial"/>
                <w:b w:val="0"/>
                <w:i w:val="0"/>
                <w:sz w:val="17"/>
              </w:rPr>
              <w:t>Alexandria (primary)</w:t>
            </w:r>
          </w:p>
        </w:tc>
        <w:tc>
          <w:tcPr>
            <w:tcW w:type="dxa" w:w="1928"/>
          </w:tcPr>
          <w:p>
            <w:pPr>
              <w:spacing w:after="20" w:before="20" w:line="240" w:lineRule="auto"/>
            </w:pPr>
            <w:r/>
            <w:r>
              <w:rPr>
                <w:rFonts w:ascii="Arial" w:hAnsi="Arial" w:cs="Arial"/>
                <w:b w:val="0"/>
                <w:i w:val="0"/>
                <w:sz w:val="17"/>
              </w:rPr>
              <w:t>14 days</w:t>
            </w:r>
          </w:p>
        </w:tc>
        <w:tc>
          <w:tcPr>
            <w:tcW w:type="dxa" w:w="1928"/>
          </w:tcPr>
          <w:p>
            <w:pPr>
              <w:spacing w:after="20" w:before="20" w:line="240" w:lineRule="auto"/>
            </w:pPr>
            <w:r/>
            <w:r>
              <w:rPr>
                <w:rFonts w:ascii="Arial" w:hAnsi="Arial" w:cs="Arial"/>
                <w:b w:val="0"/>
                <w:i w:val="0"/>
                <w:sz w:val="17"/>
              </w:rPr>
              <w:t>$30,043.20</w:t>
            </w:r>
          </w:p>
        </w:tc>
        <w:tc>
          <w:tcPr>
            <w:tcW w:type="dxa" w:w="1928"/>
          </w:tcPr>
          <w:p>
            <w:pPr>
              <w:spacing w:after="20" w:before="20" w:line="240" w:lineRule="auto"/>
            </w:pPr>
            <w:r/>
            <w:r>
              <w:rPr>
                <w:rFonts w:ascii="Arial" w:hAnsi="Arial" w:cs="Arial"/>
                <w:b w:val="0"/>
                <w:i w:val="0"/>
                <w:sz w:val="17"/>
              </w:rPr>
              <w:t>$43.20</w:t>
            </w:r>
          </w:p>
        </w:tc>
        <w:tc>
          <w:tcPr>
            <w:tcW w:type="dxa" w:w="1928"/>
          </w:tcPr>
          <w:p>
            <w:pPr>
              <w:spacing w:after="20" w:before="20" w:line="240" w:lineRule="auto"/>
            </w:pPr>
            <w:r/>
            <w:r>
              <w:rPr>
                <w:rFonts w:ascii="Arial" w:hAnsi="Arial" w:cs="Arial"/>
                <w:b w:val="0"/>
                <w:i w:val="0"/>
                <w:sz w:val="17"/>
              </w:rPr>
              <w:t>[Accept] [Negotiate] [Amend]</w:t>
            </w:r>
          </w:p>
        </w:tc>
      </w:tr>
      <w:tr>
        <w:tc>
          <w:tcPr>
            <w:tcW w:type="dxa" w:w="1928"/>
          </w:tcPr>
          <w:p>
            <w:pPr>
              <w:spacing w:after="20" w:before="20" w:line="240" w:lineRule="auto"/>
            </w:pPr>
            <w:r/>
            <w:r>
              <w:rPr>
                <w:rFonts w:ascii="Arial" w:hAnsi="Arial" w:cs="Arial"/>
                <w:b w:val="0"/>
                <w:i w:val="0"/>
                <w:sz w:val="17"/>
              </w:rPr>
              <w:t>Damietta</w:t>
            </w:r>
          </w:p>
        </w:tc>
        <w:tc>
          <w:tcPr>
            <w:tcW w:type="dxa" w:w="1928"/>
          </w:tcPr>
          <w:p>
            <w:pPr>
              <w:spacing w:after="20" w:before="20" w:line="240" w:lineRule="auto"/>
            </w:pPr>
            <w:r/>
            <w:r>
              <w:rPr>
                <w:rFonts w:ascii="Arial" w:hAnsi="Arial" w:cs="Arial"/>
                <w:b w:val="0"/>
                <w:i w:val="0"/>
                <w:sz w:val="17"/>
              </w:rPr>
              <w:t>16 days</w:t>
            </w:r>
          </w:p>
        </w:tc>
        <w:tc>
          <w:tcPr>
            <w:tcW w:type="dxa" w:w="1928"/>
          </w:tcPr>
          <w:p>
            <w:pPr>
              <w:spacing w:after="20" w:before="20" w:line="240" w:lineRule="auto"/>
            </w:pPr>
            <w:r/>
            <w:r>
              <w:rPr>
                <w:rFonts w:ascii="Arial" w:hAnsi="Arial" w:cs="Arial"/>
                <w:b w:val="0"/>
                <w:i w:val="0"/>
                <w:sz w:val="17"/>
              </w:rPr>
              <w:t>$29,538.47</w:t>
            </w:r>
          </w:p>
        </w:tc>
        <w:tc>
          <w:tcPr>
            <w:tcW w:type="dxa" w:w="1928"/>
          </w:tcPr>
          <w:p>
            <w:pPr>
              <w:spacing w:after="20" w:before="20" w:line="240" w:lineRule="auto"/>
            </w:pPr>
            <w:r/>
            <w:r>
              <w:rPr>
                <w:rFonts w:ascii="Arial" w:hAnsi="Arial" w:cs="Arial"/>
                <w:b w:val="0"/>
                <w:i w:val="0"/>
                <w:sz w:val="17"/>
              </w:rPr>
              <w:t>$42.47</w:t>
            </w:r>
          </w:p>
        </w:tc>
        <w:tc>
          <w:tcPr>
            <w:tcW w:type="dxa" w:w="1928"/>
          </w:tcPr>
          <w:p>
            <w:pPr>
              <w:spacing w:after="20" w:before="20" w:line="240" w:lineRule="auto"/>
            </w:pPr>
            <w:r/>
            <w:r>
              <w:rPr>
                <w:rFonts w:ascii="Arial" w:hAnsi="Arial" w:cs="Arial"/>
                <w:b w:val="0"/>
                <w:i w:val="0"/>
                <w:sz w:val="17"/>
              </w:rPr>
              <w:t>[Accept] [Negotiate] [Amend]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Summary (A1, Groq): "Damietta saves $510 but adds 2 days transit. Recommended: Alexandria for faster delivery." [Expand Landed Cost Breakdown]</w:t>
      </w:r>
    </w:p>
    <w:p>
      <w:pPr>
        <w:keepNext/>
        <w:spacing w:before="240" w:after="100"/>
        <w:outlineLvl w:val="1"/>
      </w:pPr>
      <w:r>
        <w:rPr>
          <w:rFonts w:ascii="Arial" w:hAnsi="Arial" w:cs="Arial"/>
          <w:b/>
          <w:i w:val="0"/>
          <w:color w:val="2E528F"/>
          <w:sz w:val="26"/>
        </w:rPr>
        <w:t>3.2 Negotiation Panel (real-time, three columns). Columns: Offer History | Current Offer | Trade Room (chat).</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NEGOTIATION — USTN SGTX-EG-20260415120000-A1B2C3D4</w:t>
      </w:r>
    </w:p>
    <w:p>
      <w:pPr>
        <w:spacing w:after="0" w:before="0" w:line="240" w:lineRule="auto"/>
        <w:ind w:left="57"/>
        <w:jc w:val="left"/>
        <w:shd w:val="clear" w:fill="F2F2F2"/>
      </w:pPr>
      <w:r>
        <w:rPr>
          <w:rFonts w:ascii="Consolas" w:hAnsi="Consolas" w:cs="Consolas"/>
          <w:b w:val="0"/>
          <w:i w:val="0"/>
          <w:sz w:val="15"/>
        </w:rPr>
        <w:t>OFFER HISTORY                      CURRENT OFFER              TRADE ROOM</w:t>
      </w:r>
    </w:p>
    <w:p>
      <w:pPr>
        <w:spacing w:after="0" w:before="0" w:line="240" w:lineRule="auto"/>
        <w:ind w:left="57"/>
        <w:jc w:val="left"/>
        <w:shd w:val="clear" w:fill="F2F2F2"/>
      </w:pPr>
      <w:r>
        <w:rPr>
          <w:rFonts w:ascii="Consolas" w:hAnsi="Consolas" w:cs="Consolas"/>
          <w:b w:val="0"/>
          <w:i w:val="0"/>
          <w:sz w:val="15"/>
        </w:rPr>
        <w:t>14 Jun 09:00 — Buyer               Price: $30,000             [Chat]</w:t>
      </w:r>
    </w:p>
    <w:p>
      <w:pPr>
        <w:spacing w:after="0" w:before="0" w:line="240" w:lineRule="auto"/>
        <w:ind w:left="57"/>
        <w:jc w:val="left"/>
        <w:shd w:val="clear" w:fill="F2F2F2"/>
      </w:pPr>
      <w:r>
        <w:rPr>
          <w:rFonts w:ascii="Consolas" w:hAnsi="Consolas" w:cs="Consolas"/>
          <w:b w:val="0"/>
          <w:i w:val="0"/>
          <w:sz w:val="15"/>
        </w:rPr>
        <w:t xml:space="preserve">  proposed $30,240                 (CFR Alexandria)           Buyer: Can you reduce price?</w:t>
      </w:r>
    </w:p>
    <w:p>
      <w:pPr>
        <w:spacing w:after="0" w:before="0" w:line="240" w:lineRule="auto"/>
        <w:ind w:left="57"/>
        <w:jc w:val="left"/>
        <w:shd w:val="clear" w:fill="F2F2F2"/>
      </w:pPr>
      <w:r>
        <w:rPr>
          <w:rFonts w:ascii="Consolas" w:hAnsi="Consolas" w:cs="Consolas"/>
          <w:b w:val="0"/>
          <w:i w:val="0"/>
          <w:sz w:val="15"/>
        </w:rPr>
        <w:t xml:space="preserve">  (original quote)                 Delivery: 15 Jul 2026      Seller: We can do $30,000.</w:t>
      </w:r>
    </w:p>
    <w:p>
      <w:pPr>
        <w:spacing w:after="0" w:before="0" w:line="240" w:lineRule="auto"/>
        <w:ind w:left="57"/>
        <w:jc w:val="left"/>
        <w:shd w:val="clear" w:fill="F2F2F2"/>
      </w:pPr>
      <w:r>
        <w:rPr>
          <w:rFonts w:ascii="Consolas" w:hAnsi="Consolas" w:cs="Consolas"/>
          <w:b w:val="0"/>
          <w:i w:val="0"/>
          <w:sz w:val="15"/>
        </w:rPr>
        <w:t>14 Jun 11:30 — Seller              Port: Alexandria           [Send]</w:t>
      </w:r>
    </w:p>
    <w:p>
      <w:pPr>
        <w:spacing w:after="0" w:before="0" w:line="240" w:lineRule="auto"/>
        <w:ind w:left="57"/>
        <w:jc w:val="left"/>
        <w:shd w:val="clear" w:fill="F2F2F2"/>
      </w:pPr>
      <w:r>
        <w:rPr>
          <w:rFonts w:ascii="Consolas" w:hAnsi="Consolas" w:cs="Consolas"/>
          <w:b w:val="0"/>
          <w:i w:val="0"/>
          <w:sz w:val="15"/>
        </w:rPr>
        <w:t xml:space="preserve">  counter-offer $30,000            (pending)</w:t>
      </w:r>
    </w:p>
    <w:p>
      <w:pPr>
        <w:spacing w:after="0" w:before="0" w:line="240" w:lineRule="auto"/>
        <w:ind w:left="57"/>
        <w:jc w:val="left"/>
        <w:shd w:val="clear" w:fill="F2F2F2"/>
      </w:pPr>
      <w:r>
        <w:rPr>
          <w:rFonts w:ascii="Consolas" w:hAnsi="Consolas" w:cs="Consolas"/>
          <w:b w:val="0"/>
          <w:i w:val="0"/>
          <w:sz w:val="15"/>
        </w:rPr>
        <w:t xml:space="preserve">                                   [Accept] [Counter] [Reject] [Request Info]</w:t>
      </w:r>
    </w:p>
    <w:p>
      <w:pPr>
        <w:spacing w:after="0" w:before="0" w:line="240" w:lineRule="auto"/>
        <w:ind w:left="57"/>
        <w:jc w:val="left"/>
        <w:shd w:val="clear" w:fill="F2F2F2"/>
      </w:pPr>
      <w:r>
        <w:rPr>
          <w:rFonts w:ascii="Consolas" w:hAnsi="Consolas" w:cs="Consolas"/>
          <w:b w:val="0"/>
          <w:i w:val="0"/>
          <w:sz w:val="15"/>
        </w:rPr>
        <w:t>Bot transparency: Not active.</w:t>
      </w:r>
    </w:p>
    <w:p>
      <w:pPr>
        <w:spacing w:after="0" w:before="0" w:line="240" w:lineRule="auto"/>
        <w:ind w:left="57"/>
        <w:jc w:val="left"/>
        <w:shd w:val="clear" w:fill="F2F2F2"/>
      </w:pPr>
      <w:r>
        <w:rPr>
          <w:rFonts w:ascii="Consolas" w:hAnsi="Consolas" w:cs="Consolas"/>
          <w:b w:val="0"/>
          <w:i w:val="0"/>
          <w:sz w:val="15"/>
        </w:rPr>
        <w:t>Timer: Quote expires in 23h 45m</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3.3 Partial Acceptance. The buyer can click "Partial Acceptance" and specify:</w:t>
      </w:r>
    </w:p>
    <w:p>
      <w:pPr>
        <w:spacing w:after="80" w:line="293" w:lineRule="auto"/>
        <w:ind w:left="283"/>
        <w:jc w:val="left"/>
      </w:pPr>
      <w:r>
        <w:rPr>
          <w:rFonts w:ascii="Times New Roman" w:hAnsi="Times New Roman" w:cs="Times New Roman"/>
          <w:b w:val="0"/>
          <w:i w:val="0"/>
          <w:sz w:val="22"/>
        </w:rPr>
        <w:t>- For multi-shipment: select which shipment(s) to accept, which to continue negotiating, and which to</w:t>
      </w:r>
    </w:p>
    <w:p>
      <w:pPr>
        <w:spacing w:after="80" w:line="293" w:lineRule="auto"/>
        <w:jc w:val="left"/>
      </w:pPr>
      <w:r>
        <w:rPr>
          <w:rFonts w:ascii="Times New Roman" w:hAnsi="Times New Roman" w:cs="Times New Roman"/>
          <w:b w:val="0"/>
          <w:i w:val="0"/>
          <w:sz w:val="22"/>
        </w:rPr>
        <w:t>cancel.</w:t>
      </w:r>
    </w:p>
    <w:p>
      <w:pPr>
        <w:spacing w:after="80" w:line="293" w:lineRule="auto"/>
        <w:ind w:left="283"/>
        <w:jc w:val="left"/>
      </w:pPr>
      <w:r>
        <w:rPr>
          <w:rFonts w:ascii="Times New Roman" w:hAnsi="Times New Roman" w:cs="Times New Roman"/>
          <w:b w:val="0"/>
          <w:i w:val="0"/>
          <w:sz w:val="22"/>
        </w:rPr>
        <w:t>- For single shipment: adjust quantity (e.g., from 20 pallets to 16 pallets).</w:t>
      </w:r>
    </w:p>
    <w:p>
      <w:pPr>
        <w:spacing w:after="80" w:line="293" w:lineRule="auto"/>
        <w:ind w:left="283"/>
        <w:jc w:val="left"/>
      </w:pPr>
      <w:r>
        <w:rPr>
          <w:rFonts w:ascii="Times New Roman" w:hAnsi="Times New Roman" w:cs="Times New Roman"/>
          <w:b w:val="0"/>
          <w:i w:val="0"/>
          <w:sz w:val="22"/>
        </w:rPr>
        <w:t>- The system automatically recalculates price and logistics proportionally.</w:t>
      </w:r>
    </w:p>
    <w:p>
      <w:pPr>
        <w:spacing w:after="80" w:line="293" w:lineRule="auto"/>
        <w:jc w:val="left"/>
      </w:pPr>
      <w:r>
        <w:rPr>
          <w:rFonts w:ascii="Times New Roman" w:hAnsi="Times New Roman" w:cs="Times New Roman"/>
          <w:b w:val="0"/>
          <w:i w:val="0"/>
          <w:sz w:val="22"/>
        </w:rPr>
        <w:t>Workflow: buyer clicks "Partial Acceptance"; a modal opens with sliders or checkboxes; the buyer adds a mandatory reason for partial acceptance (≥ 20 characters); the system generates a counter-proposal; the seller can accept, reject, or counter. One-click: select options → click "Submit Counter" (1).</w:t>
      </w:r>
    </w:p>
    <w:p>
      <w:pPr>
        <w:spacing w:after="80" w:line="293" w:lineRule="auto"/>
        <w:jc w:val="left"/>
      </w:pPr>
      <w:r>
        <w:rPr>
          <w:rFonts w:ascii="Times New Roman" w:hAnsi="Times New Roman" w:cs="Times New Roman"/>
          <w:b w:val="0"/>
          <w:i w:val="0"/>
          <w:sz w:val="22"/>
        </w:rPr>
        <w:t>3.4 Counter-Offer with Reason. When proposing a new price or amended term, the party must provide a mandatory reason (≥ 20 characters) stored in the negotiation log. Example: seller counters $29,000 (instead of $30,043.20). Reason: "We can reduce ocean freight by using a slower vessel; delivery date shifts +3 days." One-click: after typing the reason, click "Send Counter" (1).</w:t>
      </w:r>
    </w:p>
    <w:p>
      <w:pPr>
        <w:spacing w:after="80" w:line="293" w:lineRule="auto"/>
        <w:jc w:val="left"/>
      </w:pPr>
      <w:r>
        <w:rPr>
          <w:rFonts w:ascii="Times New Roman" w:hAnsi="Times New Roman" w:cs="Times New Roman"/>
          <w:b w:val="0"/>
          <w:i w:val="0"/>
          <w:sz w:val="22"/>
        </w:rPr>
        <w:t>3.5 Deadline Extension Request. Either party can click "Request Extension" on an active offer: proposed new deadline (default +24h, +48h, +7 days); reason (optional but recommended); the counterparty receives a Smart Inbox item and can Approve (one click) or Reject (with reason). One-click: click "Request Extension" → select duration → "Send"; counterparty clicks "Approve" (1).</w:t>
      </w:r>
    </w:p>
    <w:p>
      <w:pPr>
        <w:spacing w:after="80" w:line="293" w:lineRule="auto"/>
        <w:jc w:val="left"/>
      </w:pPr>
      <w:r>
        <w:rPr>
          <w:rFonts w:ascii="Times New Roman" w:hAnsi="Times New Roman" w:cs="Times New Roman"/>
          <w:b w:val="0"/>
          <w:i w:val="0"/>
          <w:sz w:val="22"/>
        </w:rPr>
        <w:t>3.6 Visual Diff for Amendments. When a party proposes amendments (e.g., change port from Alexandria to Damietta, adjust delivery date), the system shows a side-by-side diff view:</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Field</w:t>
            </w:r>
          </w:p>
        </w:tc>
        <w:tc>
          <w:tcPr>
            <w:tcW w:type="dxa" w:w="3213"/>
            <w:shd w:val="clear" w:fill="D9E2F3"/>
          </w:tcPr>
          <w:p>
            <w:pPr>
              <w:spacing w:after="20" w:before="20" w:line="240" w:lineRule="auto"/>
            </w:pPr>
            <w:r/>
            <w:r>
              <w:rPr>
                <w:rFonts w:ascii="Arial" w:hAnsi="Arial" w:cs="Arial"/>
                <w:b/>
                <w:i w:val="0"/>
                <w:sz w:val="18"/>
              </w:rPr>
              <w:t>Current</w:t>
            </w:r>
          </w:p>
        </w:tc>
        <w:tc>
          <w:tcPr>
            <w:tcW w:type="dxa" w:w="3213"/>
            <w:shd w:val="clear" w:fill="D9E2F3"/>
          </w:tcPr>
          <w:p>
            <w:pPr>
              <w:spacing w:after="20" w:before="20" w:line="240" w:lineRule="auto"/>
            </w:pPr>
            <w:r/>
            <w:r>
              <w:rPr>
                <w:rFonts w:ascii="Arial" w:hAnsi="Arial" w:cs="Arial"/>
                <w:b/>
                <w:i w:val="0"/>
                <w:sz w:val="18"/>
              </w:rPr>
              <w:t>Proposed</w:t>
            </w:r>
          </w:p>
        </w:tc>
      </w:tr>
      <w:tr>
        <w:tc>
          <w:tcPr>
            <w:tcW w:type="dxa" w:w="3213"/>
          </w:tcPr>
          <w:p>
            <w:pPr>
              <w:spacing w:after="20" w:before="20" w:line="240" w:lineRule="auto"/>
            </w:pPr>
            <w:r/>
            <w:r>
              <w:rPr>
                <w:rFonts w:ascii="Arial" w:hAnsi="Arial" w:cs="Arial"/>
                <w:b w:val="0"/>
                <w:i w:val="0"/>
                <w:sz w:val="17"/>
              </w:rPr>
              <w:t>Port</w:t>
            </w:r>
          </w:p>
        </w:tc>
        <w:tc>
          <w:tcPr>
            <w:tcW w:type="dxa" w:w="3213"/>
          </w:tcPr>
          <w:p>
            <w:pPr>
              <w:spacing w:after="20" w:before="20" w:line="240" w:lineRule="auto"/>
            </w:pPr>
            <w:r/>
            <w:r>
              <w:rPr>
                <w:rFonts w:ascii="Arial" w:hAnsi="Arial" w:cs="Arial"/>
                <w:b w:val="0"/>
                <w:i w:val="0"/>
                <w:sz w:val="17"/>
              </w:rPr>
              <w:t>Alexandria</w:t>
            </w:r>
          </w:p>
        </w:tc>
        <w:tc>
          <w:tcPr>
            <w:tcW w:type="dxa" w:w="3213"/>
          </w:tcPr>
          <w:p>
            <w:pPr>
              <w:spacing w:after="20" w:before="20" w:line="240" w:lineRule="auto"/>
            </w:pPr>
            <w:r/>
            <w:r>
              <w:rPr>
                <w:rFonts w:ascii="Arial" w:hAnsi="Arial" w:cs="Arial"/>
                <w:b w:val="0"/>
                <w:i w:val="0"/>
                <w:sz w:val="17"/>
              </w:rPr>
              <w:t>Damietta</w:t>
            </w:r>
          </w:p>
        </w:tc>
      </w:tr>
      <w:tr>
        <w:tc>
          <w:tcPr>
            <w:tcW w:type="dxa" w:w="3213"/>
          </w:tcPr>
          <w:p>
            <w:pPr>
              <w:spacing w:after="20" w:before="20" w:line="240" w:lineRule="auto"/>
            </w:pPr>
            <w:r/>
            <w:r>
              <w:rPr>
                <w:rFonts w:ascii="Arial" w:hAnsi="Arial" w:cs="Arial"/>
                <w:b w:val="0"/>
                <w:i w:val="0"/>
                <w:sz w:val="17"/>
              </w:rPr>
              <w:t>Delivery</w:t>
            </w:r>
          </w:p>
        </w:tc>
        <w:tc>
          <w:tcPr>
            <w:tcW w:type="dxa" w:w="3213"/>
          </w:tcPr>
          <w:p>
            <w:pPr>
              <w:spacing w:after="20" w:before="20" w:line="240" w:lineRule="auto"/>
            </w:pPr>
            <w:r/>
            <w:r>
              <w:rPr>
                <w:rFonts w:ascii="Arial" w:hAnsi="Arial" w:cs="Arial"/>
                <w:b w:val="0"/>
                <w:i w:val="0"/>
                <w:sz w:val="17"/>
              </w:rPr>
              <w:t>15 Jul 2026</w:t>
            </w:r>
          </w:p>
        </w:tc>
        <w:tc>
          <w:tcPr>
            <w:tcW w:type="dxa" w:w="3213"/>
          </w:tcPr>
          <w:p>
            <w:pPr>
              <w:spacing w:after="20" w:before="20" w:line="240" w:lineRule="auto"/>
            </w:pPr>
            <w:r/>
            <w:r>
              <w:rPr>
                <w:rFonts w:ascii="Arial" w:hAnsi="Arial" w:cs="Arial"/>
                <w:b w:val="0"/>
                <w:i w:val="0"/>
                <w:sz w:val="17"/>
              </w:rPr>
              <w:t>20 Jul 2026</w:t>
            </w:r>
          </w:p>
        </w:tc>
      </w:tr>
      <w:tr>
        <w:tc>
          <w:tcPr>
            <w:tcW w:type="dxa" w:w="3213"/>
          </w:tcPr>
          <w:p>
            <w:pPr>
              <w:spacing w:after="20" w:before="20" w:line="240" w:lineRule="auto"/>
            </w:pPr>
            <w:r/>
            <w:r>
              <w:rPr>
                <w:rFonts w:ascii="Arial" w:hAnsi="Arial" w:cs="Arial"/>
                <w:b w:val="0"/>
                <w:i w:val="0"/>
                <w:sz w:val="17"/>
              </w:rPr>
              <w:t>Packaging</w:t>
            </w:r>
          </w:p>
        </w:tc>
        <w:tc>
          <w:tcPr>
            <w:tcW w:type="dxa" w:w="3213"/>
          </w:tcPr>
          <w:p>
            <w:pPr>
              <w:spacing w:after="20" w:before="20" w:line="240" w:lineRule="auto"/>
            </w:pPr>
            <w:r/>
            <w:r>
              <w:rPr>
                <w:rFonts w:ascii="Arial" w:hAnsi="Arial" w:cs="Arial"/>
                <w:b w:val="0"/>
                <w:i w:val="0"/>
                <w:sz w:val="17"/>
              </w:rPr>
              <w:t>Boxes (10 kg)</w:t>
            </w:r>
          </w:p>
        </w:tc>
        <w:tc>
          <w:tcPr>
            <w:tcW w:type="dxa" w:w="3213"/>
          </w:tcPr>
          <w:p>
            <w:pPr>
              <w:spacing w:after="20" w:before="20" w:line="240" w:lineRule="auto"/>
            </w:pPr>
            <w:r/>
            <w:r>
              <w:rPr>
                <w:rFonts w:ascii="Arial" w:hAnsi="Arial" w:cs="Arial"/>
                <w:b w:val="0"/>
                <w:i w:val="0"/>
                <w:sz w:val="17"/>
              </w:rPr>
              <w:t>Mesh bags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click "Apply Diff" to accept all changes, or check individual changes.</w:t>
      </w:r>
    </w:p>
    <w:p>
      <w:pPr>
        <w:spacing w:after="80" w:line="293" w:lineRule="auto"/>
        <w:jc w:val="left"/>
      </w:pPr>
      <w:r>
        <w:rPr>
          <w:rFonts w:ascii="Times New Roman" w:hAnsi="Times New Roman" w:cs="Times New Roman"/>
          <w:b w:val="0"/>
          <w:i w:val="0"/>
          <w:sz w:val="22"/>
        </w:rPr>
        <w:t>3.7 Mutual Confirmation. After both parties agree on a final set of terms, each clicks "Confirm Agreement" in their respective portals. One-click: click "Confirm Agreement" (1) — the system records the mutual confirmation timestamp and creates a pre-contract snapshot (immutable JSONB).</w:t>
      </w:r>
    </w:p>
    <w:p>
      <w:pPr>
        <w:keepNext/>
        <w:spacing w:before="140" w:after="60"/>
        <w:outlineLvl w:val="3"/>
      </w:pPr>
      <w:r>
        <w:rPr>
          <w:rFonts w:ascii="Arial" w:hAnsi="Arial" w:cs="Arial"/>
          <w:b/>
          <w:i/>
          <w:color w:val="333333"/>
          <w:sz w:val="22"/>
        </w:rPr>
        <w:t>Tab 4: Contract Signing</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review the final contract, sign digitally, and ensure all logistics addenda are signed.</w:t>
      </w:r>
    </w:p>
    <w:p>
      <w:pPr>
        <w:spacing w:after="80" w:line="293" w:lineRule="auto"/>
        <w:jc w:val="left"/>
      </w:pPr>
      <w:r>
        <w:rPr>
          <w:rFonts w:ascii="Times New Roman" w:hAnsi="Times New Roman" w:cs="Times New Roman"/>
          <w:b w:val="0"/>
          <w:i w:val="0"/>
          <w:sz w:val="22"/>
        </w:rPr>
        <w:t>Example contract display:</w:t>
      </w:r>
    </w:p>
    <w:p>
      <w:pPr>
        <w:spacing w:after="0" w:before="0" w:line="240" w:lineRule="auto"/>
        <w:ind w:left="57"/>
        <w:jc w:val="left"/>
        <w:shd w:val="clear" w:fill="F2F2F2"/>
      </w:pPr>
      <w:r>
        <w:rPr>
          <w:rFonts w:ascii="Consolas" w:hAnsi="Consolas" w:cs="Consolas"/>
          <w:b w:val="0"/>
          <w:i w:val="0"/>
          <w:sz w:val="15"/>
        </w:rPr>
        <w:t>Contract — USTN SGTX-EG-20260415120000-A1B2C3D4</w:t>
      </w:r>
    </w:p>
    <w:p>
      <w:pPr>
        <w:spacing w:after="0" w:before="0" w:line="240" w:lineRule="auto"/>
        <w:ind w:left="57"/>
        <w:jc w:val="left"/>
        <w:shd w:val="clear" w:fill="F2F2F2"/>
      </w:pPr>
      <w:r>
        <w:rPr>
          <w:rFonts w:ascii="Consolas" w:hAnsi="Consolas" w:cs="Consolas"/>
          <w:b w:val="0"/>
          <w:i w:val="0"/>
          <w:sz w:val="15"/>
        </w:rPr>
        <w:t>Seller: Mekong Fresh Co. (SGTX-VN-TRD-002139-7F3A)</w:t>
      </w:r>
    </w:p>
    <w:p>
      <w:pPr>
        <w:spacing w:after="0" w:before="0" w:line="240" w:lineRule="auto"/>
        <w:ind w:left="57"/>
        <w:jc w:val="left"/>
        <w:shd w:val="clear" w:fill="F2F2F2"/>
      </w:pPr>
      <w:r>
        <w:rPr>
          <w:rFonts w:ascii="Consolas" w:hAnsi="Consolas" w:cs="Consolas"/>
          <w:b w:val="0"/>
          <w:i w:val="0"/>
          <w:sz w:val="15"/>
        </w:rPr>
        <w:t>Buyer: Nile Foods (SGTX-EG-TRD-001234-5B6C)</w:t>
      </w:r>
    </w:p>
    <w:p>
      <w:pPr>
        <w:spacing w:after="0" w:before="0" w:line="240" w:lineRule="auto"/>
        <w:ind w:left="57"/>
        <w:jc w:val="left"/>
        <w:shd w:val="clear" w:fill="F2F2F2"/>
      </w:pPr>
      <w:r>
        <w:rPr>
          <w:rFonts w:ascii="Consolas" w:hAnsi="Consolas" w:cs="Consolas"/>
          <w:b w:val="0"/>
          <w:i w:val="0"/>
          <w:sz w:val="15"/>
        </w:rPr>
        <w:t>Commodity: Fresh Oranges, 20,000 kg</w:t>
      </w:r>
    </w:p>
    <w:p>
      <w:pPr>
        <w:spacing w:after="0" w:before="0" w:line="240" w:lineRule="auto"/>
        <w:ind w:left="57"/>
        <w:jc w:val="left"/>
        <w:shd w:val="clear" w:fill="F2F2F2"/>
      </w:pPr>
      <w:r>
        <w:rPr>
          <w:rFonts w:ascii="Consolas" w:hAnsi="Consolas" w:cs="Consolas"/>
          <w:b w:val="0"/>
          <w:i w:val="0"/>
          <w:sz w:val="15"/>
        </w:rPr>
        <w:t>Incoterm: CFR</w:t>
      </w:r>
    </w:p>
    <w:p>
      <w:pPr>
        <w:spacing w:after="0" w:before="0" w:line="240" w:lineRule="auto"/>
        <w:ind w:left="57"/>
        <w:jc w:val="left"/>
        <w:shd w:val="clear" w:fill="F2F2F2"/>
      </w:pPr>
      <w:r>
        <w:rPr>
          <w:rFonts w:ascii="Consolas" w:hAnsi="Consolas" w:cs="Consolas"/>
          <w:b w:val="0"/>
          <w:i w:val="0"/>
          <w:sz w:val="15"/>
        </w:rPr>
        <w:t>Total Price: $30,043.20 (including SGTX platform fee of $43.20, engine-determined, paid by seller)</w:t>
      </w:r>
    </w:p>
    <w:p>
      <w:pPr>
        <w:spacing w:after="0" w:before="0" w:line="240" w:lineRule="auto"/>
        <w:ind w:left="57"/>
        <w:jc w:val="left"/>
        <w:shd w:val="clear" w:fill="F2F2F2"/>
      </w:pPr>
      <w:r>
        <w:rPr>
          <w:rFonts w:ascii="Consolas" w:hAnsi="Consolas" w:cs="Consolas"/>
          <w:b w:val="0"/>
          <w:i w:val="0"/>
          <w:sz w:val="15"/>
        </w:rPr>
        <w:t>[Full Contract Preview — PDF]</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Mandatory SGTX Witness Clause:</w:t>
      </w:r>
    </w:p>
    <w:p>
      <w:pPr>
        <w:spacing w:after="0" w:before="0" w:line="240" w:lineRule="auto"/>
        <w:ind w:left="57"/>
        <w:jc w:val="left"/>
        <w:shd w:val="clear" w:fill="F2F2F2"/>
      </w:pPr>
      <w:r>
        <w:rPr>
          <w:rFonts w:ascii="Consolas" w:hAnsi="Consolas" w:cs="Consolas"/>
          <w:b w:val="0"/>
          <w:i w:val="0"/>
          <w:sz w:val="15"/>
        </w:rPr>
        <w:t>"The parties acknowledge that SGTX Platform has facilitated the execution of this</w:t>
      </w:r>
    </w:p>
    <w:p>
      <w:pPr>
        <w:spacing w:after="0" w:before="0" w:line="240" w:lineRule="auto"/>
        <w:ind w:left="57"/>
        <w:jc w:val="left"/>
        <w:shd w:val="clear" w:fill="F2F2F2"/>
      </w:pPr>
      <w:r>
        <w:rPr>
          <w:rFonts w:ascii="Consolas" w:hAnsi="Consolas" w:cs="Consolas"/>
          <w:b w:val="0"/>
          <w:i w:val="0"/>
          <w:sz w:val="15"/>
        </w:rPr>
        <w:t>contract as a non-custodial witness. SGTX is not a party to the underlying trade but</w:t>
      </w:r>
    </w:p>
    <w:p>
      <w:pPr>
        <w:spacing w:after="0" w:before="0" w:line="240" w:lineRule="auto"/>
        <w:ind w:left="57"/>
        <w:jc w:val="left"/>
        <w:shd w:val="clear" w:fill="F2F2F2"/>
      </w:pPr>
      <w:r>
        <w:rPr>
          <w:rFonts w:ascii="Consolas" w:hAnsi="Consolas" w:cs="Consolas"/>
          <w:b w:val="0"/>
          <w:i w:val="0"/>
          <w:sz w:val="15"/>
        </w:rPr>
        <w:t>provides cryptographic milestone tracking, AI-assisted logistics, and settlement</w:t>
      </w:r>
    </w:p>
    <w:p>
      <w:pPr>
        <w:spacing w:after="0" w:before="0" w:line="240" w:lineRule="auto"/>
        <w:ind w:left="57"/>
        <w:jc w:val="left"/>
        <w:shd w:val="clear" w:fill="F2F2F2"/>
      </w:pPr>
      <w:r>
        <w:rPr>
          <w:rFonts w:ascii="Consolas" w:hAnsi="Consolas" w:cs="Consolas"/>
          <w:b w:val="0"/>
          <w:i w:val="0"/>
          <w:sz w:val="15"/>
        </w:rPr>
        <w:t>instructions. The platform's fee of $43.20 (calculated by the Dynamic Fee Engine on the Canonical Fee Basis; Section 9.27) is due</w:t>
      </w:r>
    </w:p>
    <w:p>
      <w:pPr>
        <w:spacing w:after="0" w:before="0" w:line="240" w:lineRule="auto"/>
        <w:ind w:left="57"/>
        <w:jc w:val="left"/>
        <w:shd w:val="clear" w:fill="F2F2F2"/>
      </w:pPr>
      <w:r>
        <w:rPr>
          <w:rFonts w:ascii="Consolas" w:hAnsi="Consolas" w:cs="Consolas"/>
          <w:b w:val="0"/>
          <w:i w:val="0"/>
          <w:sz w:val="15"/>
        </w:rPr>
        <w:t>as follows: for single-shipment contracts, the fee is payable upfront before contract</w:t>
      </w:r>
    </w:p>
    <w:p>
      <w:pPr>
        <w:spacing w:after="0" w:before="0" w:line="240" w:lineRule="auto"/>
        <w:ind w:left="57"/>
        <w:jc w:val="left"/>
        <w:shd w:val="clear" w:fill="F2F2F2"/>
      </w:pPr>
      <w:r>
        <w:rPr>
          <w:rFonts w:ascii="Consolas" w:hAnsi="Consolas" w:cs="Consolas"/>
          <w:b w:val="0"/>
          <w:i w:val="0"/>
          <w:sz w:val="15"/>
        </w:rPr>
        <w:t>lock."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Logistics Addenda:</w:t>
      </w:r>
    </w:p>
    <w:p>
      <w:pPr>
        <w:spacing w:after="0" w:before="0" w:line="240" w:lineRule="auto"/>
        <w:ind w:left="57"/>
        <w:jc w:val="left"/>
        <w:shd w:val="clear" w:fill="F2F2F2"/>
      </w:pPr>
      <w:r>
        <w:rPr>
          <w:rFonts w:ascii="Consolas" w:hAnsi="Consolas" w:cs="Consolas"/>
          <w:b w:val="0"/>
          <w:i w:val="0"/>
          <w:sz w:val="15"/>
        </w:rPr>
        <w:t xml:space="preserve">  Fast Trucking Co. (LSP) — Signed</w:t>
      </w:r>
    </w:p>
    <w:p>
      <w:pPr>
        <w:spacing w:after="0" w:before="0" w:line="240" w:lineRule="auto"/>
        <w:ind w:left="57"/>
        <w:jc w:val="left"/>
        <w:shd w:val="clear" w:fill="F2F2F2"/>
      </w:pPr>
      <w:r>
        <w:rPr>
          <w:rFonts w:ascii="Consolas" w:hAnsi="Consolas" w:cs="Consolas"/>
          <w:b w:val="0"/>
          <w:i w:val="0"/>
          <w:sz w:val="15"/>
        </w:rPr>
        <w:t xml:space="preserve">  MSC Egypt (SHIP) — Signed</w:t>
      </w:r>
    </w:p>
    <w:p>
      <w:pPr>
        <w:spacing w:after="0" w:before="0" w:line="240" w:lineRule="auto"/>
        <w:ind w:left="57"/>
        <w:jc w:val="left"/>
        <w:shd w:val="clear" w:fill="F2F2F2"/>
      </w:pPr>
      <w:r>
        <w:rPr>
          <w:rFonts w:ascii="Consolas" w:hAnsi="Consolas" w:cs="Consolas"/>
          <w:b w:val="0"/>
          <w:i w:val="0"/>
          <w:sz w:val="15"/>
        </w:rPr>
        <w:t xml:space="preserve">  SGS Egypt (CBR) — Pending signature [Remind Provider]</w:t>
      </w:r>
    </w:p>
    <w:p>
      <w:pPr>
        <w:spacing w:after="0" w:before="0" w:line="240" w:lineRule="auto"/>
        <w:ind w:left="57"/>
        <w:jc w:val="left"/>
        <w:shd w:val="clear" w:fill="F2F2F2"/>
      </w:pPr>
      <w:r>
        <w:rPr>
          <w:rFonts w:ascii="Consolas" w:hAnsi="Consolas" w:cs="Consolas"/>
          <w:b w:val="0"/>
          <w:i w:val="0"/>
          <w:sz w:val="15"/>
        </w:rPr>
        <w:t>[Sign Contract with Passkey]  [Upload Own Contract]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Governance: the Governor validates that an uploaded contract does not contradict the SGTX fee clause. If there is a contradiction, the Decision Panel appears.</w:t>
      </w:r>
    </w:p>
    <w:p>
      <w:pPr>
        <w:keepNext/>
        <w:spacing w:before="140" w:after="60"/>
        <w:outlineLvl w:val="3"/>
      </w:pPr>
      <w:r>
        <w:rPr>
          <w:rFonts w:ascii="Arial" w:hAnsi="Arial" w:cs="Arial"/>
          <w:b/>
          <w:i/>
          <w:color w:val="333333"/>
          <w:sz w:val="22"/>
        </w:rPr>
        <w:t>Tab 5: Shipments (Shared Shipments Vault — Buyer View)</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all USTNs where the buyer is the importer/consignee. Click any USTN to open the Trade Command Center (16.3). Buyer-specific columns: Seller Name, Customs Readiness, Documents Missing.</w:t>
      </w:r>
    </w:p>
    <w:p>
      <w:pPr>
        <w:spacing w:after="80" w:line="293" w:lineRule="auto"/>
        <w:jc w:val="left"/>
      </w:pPr>
      <w:r>
        <w:rPr>
          <w:rFonts w:ascii="Times New Roman" w:hAnsi="Times New Roman" w:cs="Times New Roman"/>
          <w:b/>
          <w:i w:val="0"/>
          <w:sz w:val="22"/>
        </w:rPr>
        <w:t>Example:</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USTN</w:t>
            </w:r>
          </w:p>
        </w:tc>
        <w:tc>
          <w:tcPr>
            <w:tcW w:type="dxa" w:w="1377"/>
            <w:shd w:val="clear" w:fill="D9E2F3"/>
          </w:tcPr>
          <w:p>
            <w:pPr>
              <w:spacing w:after="20" w:before="20" w:line="240" w:lineRule="auto"/>
            </w:pPr>
            <w:r/>
            <w:r>
              <w:rPr>
                <w:rFonts w:ascii="Arial" w:hAnsi="Arial" w:cs="Arial"/>
                <w:b/>
                <w:i w:val="0"/>
                <w:sz w:val="18"/>
              </w:rPr>
              <w:t>Status</w:t>
            </w:r>
          </w:p>
        </w:tc>
        <w:tc>
          <w:tcPr>
            <w:tcW w:type="dxa" w:w="1377"/>
            <w:shd w:val="clear" w:fill="D9E2F3"/>
          </w:tcPr>
          <w:p>
            <w:pPr>
              <w:spacing w:after="20" w:before="20" w:line="240" w:lineRule="auto"/>
            </w:pPr>
            <w:r/>
            <w:r>
              <w:rPr>
                <w:rFonts w:ascii="Arial" w:hAnsi="Arial" w:cs="Arial"/>
                <w:b/>
                <w:i w:val="0"/>
                <w:sz w:val="18"/>
              </w:rPr>
              <w:t>Vessel</w:t>
            </w:r>
          </w:p>
        </w:tc>
        <w:tc>
          <w:tcPr>
            <w:tcW w:type="dxa" w:w="1377"/>
            <w:shd w:val="clear" w:fill="D9E2F3"/>
          </w:tcPr>
          <w:p>
            <w:pPr>
              <w:spacing w:after="20" w:before="20" w:line="240" w:lineRule="auto"/>
            </w:pPr>
            <w:r/>
            <w:r>
              <w:rPr>
                <w:rFonts w:ascii="Arial" w:hAnsi="Arial" w:cs="Arial"/>
                <w:b/>
                <w:i w:val="0"/>
                <w:sz w:val="18"/>
              </w:rPr>
              <w:t>ETD/ETA</w:t>
            </w:r>
          </w:p>
        </w:tc>
        <w:tc>
          <w:tcPr>
            <w:tcW w:type="dxa" w:w="1377"/>
            <w:shd w:val="clear" w:fill="D9E2F3"/>
          </w:tcPr>
          <w:p>
            <w:pPr>
              <w:spacing w:after="20" w:before="20" w:line="240" w:lineRule="auto"/>
            </w:pPr>
            <w:r/>
            <w:r>
              <w:rPr>
                <w:rFonts w:ascii="Arial" w:hAnsi="Arial" w:cs="Arial"/>
                <w:b/>
                <w:i w:val="0"/>
                <w:sz w:val="18"/>
              </w:rPr>
              <w:t>Seller</w:t>
            </w:r>
          </w:p>
        </w:tc>
        <w:tc>
          <w:tcPr>
            <w:tcW w:type="dxa" w:w="1377"/>
            <w:shd w:val="clear" w:fill="D9E2F3"/>
          </w:tcPr>
          <w:p>
            <w:pPr>
              <w:spacing w:after="20" w:before="20" w:line="240" w:lineRule="auto"/>
            </w:pPr>
            <w:r/>
            <w:r>
              <w:rPr>
                <w:rFonts w:ascii="Arial" w:hAnsi="Arial" w:cs="Arial"/>
                <w:b/>
                <w:i w:val="0"/>
                <w:sz w:val="18"/>
              </w:rPr>
              <w:t>Customs Docs</w:t>
            </w:r>
          </w:p>
        </w:tc>
        <w:tc>
          <w:tcPr>
            <w:tcW w:type="dxa" w:w="1377"/>
            <w:shd w:val="clear" w:fill="D9E2F3"/>
          </w:tcPr>
          <w:p>
            <w:pPr>
              <w:spacing w:after="20" w:before="20" w:line="240" w:lineRule="auto"/>
            </w:pPr>
            <w:r/>
            <w:r>
              <w:rPr>
                <w:rFonts w:ascii="Arial" w:hAnsi="Arial" w:cs="Arial"/>
                <w:b/>
                <w:i w:val="0"/>
                <w:sz w:val="18"/>
              </w:rPr>
              <w:t>Actions</w:t>
            </w:r>
          </w:p>
        </w:tc>
      </w:tr>
      <w:tr>
        <w:tc>
          <w:tcPr>
            <w:tcW w:type="dxa" w:w="1377"/>
          </w:tcPr>
          <w:p>
            <w:pPr>
              <w:spacing w:after="20" w:before="20" w:line="240" w:lineRule="auto"/>
            </w:pPr>
            <w:r/>
            <w:r>
              <w:rPr>
                <w:rFonts w:ascii="Arial" w:hAnsi="Arial" w:cs="Arial"/>
                <w:b w:val="0"/>
                <w:i w:val="0"/>
                <w:sz w:val="17"/>
              </w:rPr>
              <w:t>SGTX-... (delayed)</w:t>
            </w:r>
          </w:p>
        </w:tc>
        <w:tc>
          <w:tcPr>
            <w:tcW w:type="dxa" w:w="1377"/>
          </w:tcPr>
          <w:p>
            <w:pPr>
              <w:spacing w:after="20" w:before="20" w:line="240" w:lineRule="auto"/>
            </w:pPr>
            <w:r/>
            <w:r>
              <w:rPr>
                <w:rFonts w:ascii="Arial" w:hAnsi="Arial" w:cs="Arial"/>
                <w:b w:val="0"/>
                <w:i w:val="0"/>
                <w:sz w:val="17"/>
              </w:rPr>
              <w:t>Arrived</w:t>
            </w:r>
          </w:p>
        </w:tc>
        <w:tc>
          <w:tcPr>
            <w:tcW w:type="dxa" w:w="1377"/>
          </w:tcPr>
          <w:p>
            <w:pPr>
              <w:spacing w:after="20" w:before="20" w:line="240" w:lineRule="auto"/>
            </w:pPr>
            <w:r/>
            <w:r>
              <w:rPr>
                <w:rFonts w:ascii="Arial" w:hAnsi="Arial" w:cs="Arial"/>
                <w:b w:val="0"/>
                <w:i w:val="0"/>
                <w:sz w:val="17"/>
              </w:rPr>
              <w:t>MSC FIONA</w:t>
            </w:r>
          </w:p>
        </w:tc>
        <w:tc>
          <w:tcPr>
            <w:tcW w:type="dxa" w:w="1377"/>
          </w:tcPr>
          <w:p>
            <w:pPr>
              <w:spacing w:after="20" w:before="20" w:line="240" w:lineRule="auto"/>
            </w:pPr>
            <w:r/>
            <w:r>
              <w:rPr>
                <w:rFonts w:ascii="Arial" w:hAnsi="Arial" w:cs="Arial"/>
                <w:b w:val="0"/>
                <w:i w:val="0"/>
                <w:sz w:val="17"/>
              </w:rPr>
              <w:t>ETD: 14 Jun / ETA: 20 Jun (act. 24 Jun)</w:t>
            </w:r>
          </w:p>
        </w:tc>
        <w:tc>
          <w:tcPr>
            <w:tcW w:type="dxa" w:w="1377"/>
          </w:tcPr>
          <w:p>
            <w:pPr>
              <w:spacing w:after="20" w:before="20" w:line="240" w:lineRule="auto"/>
            </w:pPr>
            <w:r/>
            <w:r>
              <w:rPr>
                <w:rFonts w:ascii="Arial" w:hAnsi="Arial" w:cs="Arial"/>
                <w:b w:val="0"/>
                <w:i w:val="0"/>
                <w:sz w:val="17"/>
              </w:rPr>
              <w:t>Mekong Fresh</w:t>
            </w:r>
          </w:p>
        </w:tc>
        <w:tc>
          <w:tcPr>
            <w:tcW w:type="dxa" w:w="1377"/>
          </w:tcPr>
          <w:p>
            <w:pPr>
              <w:spacing w:after="20" w:before="20" w:line="240" w:lineRule="auto"/>
            </w:pPr>
            <w:r/>
            <w:r>
              <w:rPr>
                <w:rFonts w:ascii="Arial" w:hAnsi="Arial" w:cs="Arial"/>
                <w:b w:val="0"/>
                <w:i w:val="0"/>
                <w:sz w:val="17"/>
              </w:rPr>
              <w:t>5 missing (Phyto)</w:t>
            </w:r>
          </w:p>
        </w:tc>
        <w:tc>
          <w:tcPr>
            <w:tcW w:type="dxa" w:w="1377"/>
          </w:tcPr>
          <w:p>
            <w:pPr>
              <w:spacing w:after="20" w:before="20" w:line="240" w:lineRule="auto"/>
            </w:pPr>
            <w:r/>
            <w:r>
              <w:rPr>
                <w:rFonts w:ascii="Arial" w:hAnsi="Arial" w:cs="Arial"/>
                <w:b w:val="0"/>
                <w:i w:val="0"/>
                <w:sz w:val="17"/>
              </w:rPr>
              <w:t>[View] [Req Doc] [Dispute]</w:t>
            </w:r>
          </w:p>
        </w:tc>
      </w:tr>
      <w:tr>
        <w:tc>
          <w:tcPr>
            <w:tcW w:type="dxa" w:w="1377"/>
          </w:tcPr>
          <w:p>
            <w:pPr>
              <w:spacing w:after="20" w:before="20" w:line="240" w:lineRule="auto"/>
            </w:pPr>
            <w:r/>
            <w:r>
              <w:rPr>
                <w:rFonts w:ascii="Arial" w:hAnsi="Arial" w:cs="Arial"/>
                <w:b w:val="0"/>
                <w:i w:val="0"/>
                <w:sz w:val="17"/>
              </w:rPr>
              <w:t>SGTX-...</w:t>
            </w:r>
          </w:p>
        </w:tc>
        <w:tc>
          <w:tcPr>
            <w:tcW w:type="dxa" w:w="1377"/>
          </w:tcPr>
          <w:p>
            <w:pPr>
              <w:spacing w:after="20" w:before="20" w:line="240" w:lineRule="auto"/>
            </w:pPr>
            <w:r/>
            <w:r>
              <w:rPr>
                <w:rFonts w:ascii="Arial" w:hAnsi="Arial" w:cs="Arial"/>
                <w:b w:val="0"/>
                <w:i w:val="0"/>
                <w:sz w:val="17"/>
              </w:rPr>
              <w:t>In Transit</w:t>
            </w:r>
          </w:p>
        </w:tc>
        <w:tc>
          <w:tcPr>
            <w:tcW w:type="dxa" w:w="1377"/>
          </w:tcPr>
          <w:p>
            <w:pPr>
              <w:spacing w:after="20" w:before="20" w:line="240" w:lineRule="auto"/>
            </w:pPr>
            <w:r/>
            <w:r>
              <w:rPr>
                <w:rFonts w:ascii="Arial" w:hAnsi="Arial" w:cs="Arial"/>
                <w:b w:val="0"/>
                <w:i w:val="0"/>
                <w:sz w:val="17"/>
              </w:rPr>
              <w:t>MSC FIONA</w:t>
            </w:r>
          </w:p>
        </w:tc>
        <w:tc>
          <w:tcPr>
            <w:tcW w:type="dxa" w:w="1377"/>
          </w:tcPr>
          <w:p>
            <w:pPr>
              <w:spacing w:after="20" w:before="20" w:line="240" w:lineRule="auto"/>
            </w:pPr>
            <w:r/>
            <w:r>
              <w:rPr>
                <w:rFonts w:ascii="Arial" w:hAnsi="Arial" w:cs="Arial"/>
                <w:b w:val="0"/>
                <w:i w:val="0"/>
                <w:sz w:val="17"/>
              </w:rPr>
              <w:t>ETD: 20 Jun / ETA: 05 Jul</w:t>
            </w:r>
          </w:p>
        </w:tc>
        <w:tc>
          <w:tcPr>
            <w:tcW w:type="dxa" w:w="1377"/>
          </w:tcPr>
          <w:p>
            <w:pPr>
              <w:spacing w:after="20" w:before="20" w:line="240" w:lineRule="auto"/>
            </w:pPr>
            <w:r/>
            <w:r>
              <w:rPr>
                <w:rFonts w:ascii="Arial" w:hAnsi="Arial" w:cs="Arial"/>
                <w:b w:val="0"/>
                <w:i w:val="0"/>
                <w:sz w:val="17"/>
              </w:rPr>
              <w:t>Global Exports</w:t>
            </w:r>
          </w:p>
        </w:tc>
        <w:tc>
          <w:tcPr>
            <w:tcW w:type="dxa" w:w="1377"/>
          </w:tcPr>
          <w:p>
            <w:pPr>
              <w:spacing w:after="20" w:before="20" w:line="240" w:lineRule="auto"/>
            </w:pPr>
            <w:r/>
            <w:r>
              <w:rPr>
                <w:rFonts w:ascii="Arial" w:hAnsi="Arial" w:cs="Arial"/>
                <w:b w:val="0"/>
                <w:i w:val="0"/>
                <w:sz w:val="17"/>
              </w:rPr>
              <w:t>All verified</w:t>
            </w:r>
          </w:p>
        </w:tc>
        <w:tc>
          <w:tcPr>
            <w:tcW w:type="dxa" w:w="1377"/>
          </w:tcPr>
          <w:p>
            <w:pPr>
              <w:spacing w:after="20" w:before="20" w:line="240" w:lineRule="auto"/>
            </w:pPr>
            <w:r/>
            <w:r>
              <w:rPr>
                <w:rFonts w:ascii="Arial" w:hAnsi="Arial" w:cs="Arial"/>
                <w:b w:val="0"/>
                <w:i w:val="0"/>
                <w:sz w:val="17"/>
              </w:rPr>
              <w:t>[View] [Track]</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click any USTN → opens TCC; export CSV/PDF (1 click); filter chips (1 click each).</w:t>
      </w:r>
    </w:p>
    <w:p>
      <w:pPr>
        <w:keepNext/>
        <w:spacing w:before="140" w:after="60"/>
        <w:outlineLvl w:val="3"/>
      </w:pPr>
      <w:r>
        <w:rPr>
          <w:rFonts w:ascii="Arial" w:hAnsi="Arial" w:cs="Arial"/>
          <w:b/>
          <w:i/>
          <w:color w:val="333333"/>
          <w:sz w:val="22"/>
        </w:rPr>
        <w:t>Tab 6: Documents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manage all trade-related documents: upload, request, verify, download.</w:t>
      </w:r>
    </w:p>
    <w:p>
      <w:pPr>
        <w:spacing w:after="80" w:line="293" w:lineRule="auto"/>
        <w:jc w:val="left"/>
      </w:pPr>
      <w:r>
        <w:rPr>
          <w:rFonts w:ascii="Times New Roman" w:hAnsi="Times New Roman" w:cs="Times New Roman"/>
          <w:b w:val="0"/>
          <w:i w:val="0"/>
          <w:sz w:val="22"/>
        </w:rPr>
        <w:t>Example document checklist:</w:t>
      </w:r>
    </w:p>
    <w:p>
      <w:pPr>
        <w:spacing w:after="0" w:before="0" w:line="240" w:lineRule="auto"/>
        <w:ind w:left="57"/>
        <w:jc w:val="left"/>
        <w:shd w:val="clear" w:fill="F2F2F2"/>
      </w:pPr>
      <w:r>
        <w:rPr>
          <w:rFonts w:ascii="Consolas" w:hAnsi="Consolas" w:cs="Consolas"/>
          <w:b w:val="0"/>
          <w:i w:val="0"/>
          <w:sz w:val="15"/>
        </w:rPr>
        <w:t>Documents — USTN SGTX-EG-20260415120000-A1B2C3D4</w:t>
      </w:r>
    </w:p>
    <w:p>
      <w:pPr>
        <w:spacing w:after="0" w:before="0" w:line="240" w:lineRule="auto"/>
        <w:ind w:left="57"/>
        <w:jc w:val="left"/>
        <w:shd w:val="clear" w:fill="F2F2F2"/>
      </w:pPr>
      <w:r>
        <w:rPr>
          <w:rFonts w:ascii="Consolas" w:hAnsi="Consolas" w:cs="Consolas"/>
          <w:b w:val="0"/>
          <w:i w:val="0"/>
          <w:sz w:val="15"/>
        </w:rPr>
        <w:t>✓ Commercial Invoice.pdf (uploaded 10 Jun) [Download]</w:t>
      </w:r>
    </w:p>
    <w:p>
      <w:pPr>
        <w:spacing w:after="0" w:before="0" w:line="240" w:lineRule="auto"/>
        <w:ind w:left="57"/>
        <w:jc w:val="left"/>
        <w:shd w:val="clear" w:fill="F2F2F2"/>
      </w:pPr>
      <w:r>
        <w:rPr>
          <w:rFonts w:ascii="Consolas" w:hAnsi="Consolas" w:cs="Consolas"/>
          <w:b w:val="0"/>
          <w:i w:val="0"/>
          <w:sz w:val="15"/>
        </w:rPr>
        <w:t>✓ Packing List.pdf (uploaded 10 Jun) [Download]</w:t>
      </w:r>
    </w:p>
    <w:p>
      <w:pPr>
        <w:spacing w:after="0" w:before="0" w:line="240" w:lineRule="auto"/>
        <w:ind w:left="57"/>
        <w:jc w:val="left"/>
        <w:shd w:val="clear" w:fill="F2F2F2"/>
      </w:pPr>
      <w:r>
        <w:rPr>
          <w:rFonts w:ascii="Consolas" w:hAnsi="Consolas" w:cs="Consolas"/>
          <w:b w:val="0"/>
          <w:i w:val="0"/>
          <w:sz w:val="15"/>
        </w:rPr>
        <w:t>✓ Bill of Lading.pdf (uploaded 12 Jun) [Download]</w:t>
      </w:r>
    </w:p>
    <w:p>
      <w:pPr>
        <w:spacing w:after="0" w:before="0" w:line="240" w:lineRule="auto"/>
        <w:ind w:left="57"/>
        <w:jc w:val="left"/>
        <w:shd w:val="clear" w:fill="F2F2F2"/>
      </w:pPr>
      <w:r>
        <w:rPr>
          <w:rFonts w:ascii="Consolas" w:hAnsi="Consolas" w:cs="Consolas"/>
          <w:b w:val="0"/>
          <w:i w:val="0"/>
          <w:sz w:val="15"/>
        </w:rPr>
        <w:t>✗ Phytosanitary Certificate (expires 30 Jun) [Upload] [Request from Seller]</w:t>
      </w:r>
    </w:p>
    <w:p>
      <w:pPr>
        <w:spacing w:after="0" w:before="0" w:line="240" w:lineRule="auto"/>
        <w:ind w:left="57"/>
        <w:jc w:val="left"/>
        <w:shd w:val="clear" w:fill="F2F2F2"/>
      </w:pPr>
      <w:r>
        <w:rPr>
          <w:rFonts w:ascii="Consolas" w:hAnsi="Consolas" w:cs="Consolas"/>
          <w:b w:val="0"/>
          <w:i w:val="0"/>
          <w:sz w:val="15"/>
        </w:rPr>
        <w:t>✓ Certificate of Origin.pdf (uploaded 9 Jun) [Download]</w:t>
      </w:r>
    </w:p>
    <w:p>
      <w:pPr>
        <w:spacing w:after="0" w:before="0" w:line="240" w:lineRule="auto"/>
        <w:ind w:left="57"/>
        <w:jc w:val="left"/>
        <w:shd w:val="clear" w:fill="F2F2F2"/>
      </w:pPr>
      <w:r>
        <w:rPr>
          <w:rFonts w:ascii="Consolas" w:hAnsi="Consolas" w:cs="Consolas"/>
          <w:b w:val="0"/>
          <w:i w:val="0"/>
          <w:sz w:val="15"/>
        </w:rPr>
        <w:t>✗ Cold Treatment Certificate (pending) [Upload] [Request from Seller]</w:t>
      </w:r>
    </w:p>
    <w:p>
      <w:pPr>
        <w:spacing w:after="0" w:before="0" w:line="240" w:lineRule="auto"/>
        <w:ind w:left="57"/>
        <w:jc w:val="left"/>
        <w:shd w:val="clear" w:fill="F2F2F2"/>
      </w:pPr>
      <w:r>
        <w:rPr>
          <w:rFonts w:ascii="Consolas" w:hAnsi="Consolas" w:cs="Consolas"/>
          <w:b w:val="0"/>
          <w:i w:val="0"/>
          <w:sz w:val="15"/>
        </w:rPr>
        <w:t>[Download All]  [Request All Missing]</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7: Distressed Cargo</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distressed cargo listings from saved contacts, make offers, and track microcontracts.</w:t>
      </w:r>
    </w:p>
    <w:p>
      <w:pPr>
        <w:spacing w:after="80" w:line="293" w:lineRule="auto"/>
        <w:jc w:val="left"/>
      </w:pPr>
      <w:r>
        <w:rPr>
          <w:rFonts w:ascii="Times New Roman" w:hAnsi="Times New Roman" w:cs="Times New Roman"/>
          <w:b w:val="0"/>
          <w:i w:val="0"/>
          <w:sz w:val="22"/>
        </w:rPr>
        <w:t>Example distressed listings:</w:t>
      </w:r>
    </w:p>
    <w:p>
      <w:pPr>
        <w:spacing w:after="0" w:before="0" w:line="240" w:lineRule="auto"/>
        <w:ind w:left="57"/>
        <w:jc w:val="left"/>
        <w:shd w:val="clear" w:fill="F2F2F2"/>
      </w:pPr>
      <w:r>
        <w:rPr>
          <w:rFonts w:ascii="Consolas" w:hAnsi="Consolas" w:cs="Consolas"/>
          <w:b w:val="0"/>
          <w:i w:val="0"/>
          <w:sz w:val="15"/>
        </w:rPr>
        <w:t>Distressed Cargo — Available Lots from Saved Contacts</w:t>
      </w:r>
    </w:p>
    <w:p>
      <w:pPr>
        <w:spacing w:after="0" w:before="0" w:line="240" w:lineRule="auto"/>
        <w:ind w:left="57"/>
        <w:jc w:val="left"/>
        <w:shd w:val="clear" w:fill="F2F2F2"/>
      </w:pPr>
      <w:r>
        <w:rPr>
          <w:rFonts w:ascii="Consolas" w:hAnsi="Consolas" w:cs="Consolas"/>
          <w:b w:val="0"/>
          <w:i w:val="0"/>
          <w:sz w:val="15"/>
        </w:rPr>
        <w:t>Lemons — 1,344 kg</w:t>
      </w:r>
    </w:p>
    <w:p>
      <w:pPr>
        <w:spacing w:after="0" w:before="0" w:line="240" w:lineRule="auto"/>
        <w:ind w:left="57"/>
        <w:jc w:val="left"/>
        <w:shd w:val="clear" w:fill="F2F2F2"/>
      </w:pPr>
      <w:r>
        <w:rPr>
          <w:rFonts w:ascii="Consolas" w:hAnsi="Consolas" w:cs="Consolas"/>
          <w:b w:val="0"/>
          <w:i w:val="0"/>
          <w:sz w:val="15"/>
        </w:rPr>
        <w:t xml:space="preserve">  Condition: 35/100 (mould detected)   Seller: Mekong Fresh Co.</w:t>
      </w:r>
    </w:p>
    <w:p>
      <w:pPr>
        <w:spacing w:after="0" w:before="0" w:line="240" w:lineRule="auto"/>
        <w:ind w:left="57"/>
        <w:jc w:val="left"/>
        <w:shd w:val="clear" w:fill="F2F2F2"/>
      </w:pPr>
      <w:r>
        <w:rPr>
          <w:rFonts w:ascii="Consolas" w:hAnsi="Consolas" w:cs="Consolas"/>
          <w:b w:val="0"/>
          <w:i w:val="0"/>
          <w:sz w:val="15"/>
        </w:rPr>
        <w:t xml:space="preserve">  Shelf life: 5 days                   Trust: 91</w:t>
      </w:r>
    </w:p>
    <w:p>
      <w:pPr>
        <w:spacing w:after="0" w:before="0" w:line="240" w:lineRule="auto"/>
        <w:ind w:left="57"/>
        <w:jc w:val="left"/>
        <w:shd w:val="clear" w:fill="F2F2F2"/>
      </w:pPr>
      <w:r>
        <w:rPr>
          <w:rFonts w:ascii="Consolas" w:hAnsi="Consolas" w:cs="Consolas"/>
          <w:b w:val="0"/>
          <w:i w:val="0"/>
          <w:sz w:val="15"/>
        </w:rPr>
        <w:t xml:space="preserve">  Asking price: $900                   [Make Offer] [View Details]</w:t>
      </w:r>
    </w:p>
    <w:p>
      <w:pPr>
        <w:spacing w:after="0" w:before="0" w:line="240" w:lineRule="auto"/>
        <w:ind w:left="57"/>
        <w:jc w:val="left"/>
        <w:shd w:val="clear" w:fill="F2F2F2"/>
      </w:pPr>
      <w:r>
        <w:rPr>
          <w:rFonts w:ascii="Consolas" w:hAnsi="Consolas" w:cs="Consolas"/>
          <w:b w:val="0"/>
          <w:i w:val="0"/>
          <w:sz w:val="15"/>
        </w:rPr>
        <w:t>Strawberries — 800 kg</w:t>
      </w:r>
    </w:p>
    <w:p>
      <w:pPr>
        <w:spacing w:after="0" w:before="0" w:line="240" w:lineRule="auto"/>
        <w:ind w:left="57"/>
        <w:jc w:val="left"/>
        <w:shd w:val="clear" w:fill="F2F2F2"/>
      </w:pPr>
      <w:r>
        <w:rPr>
          <w:rFonts w:ascii="Consolas" w:hAnsi="Consolas" w:cs="Consolas"/>
          <w:b w:val="0"/>
          <w:i w:val="0"/>
          <w:sz w:val="15"/>
        </w:rPr>
        <w:t xml:space="preserve">  Condition: 55/100 (bruising)         Seller: Global Exports</w:t>
      </w:r>
    </w:p>
    <w:p>
      <w:pPr>
        <w:spacing w:after="0" w:before="0" w:line="240" w:lineRule="auto"/>
        <w:ind w:left="57"/>
        <w:jc w:val="left"/>
        <w:shd w:val="clear" w:fill="F2F2F2"/>
      </w:pPr>
      <w:r>
        <w:rPr>
          <w:rFonts w:ascii="Consolas" w:hAnsi="Consolas" w:cs="Consolas"/>
          <w:b w:val="0"/>
          <w:i w:val="0"/>
          <w:sz w:val="15"/>
        </w:rPr>
        <w:t xml:space="preserve">  Shelf life: 12 days                  Trust: 83</w:t>
      </w:r>
    </w:p>
    <w:p>
      <w:pPr>
        <w:spacing w:after="0" w:before="0" w:line="240" w:lineRule="auto"/>
        <w:ind w:left="57"/>
        <w:jc w:val="left"/>
        <w:shd w:val="clear" w:fill="F2F2F2"/>
      </w:pPr>
      <w:r>
        <w:rPr>
          <w:rFonts w:ascii="Consolas" w:hAnsi="Consolas" w:cs="Consolas"/>
          <w:b w:val="0"/>
          <w:i w:val="0"/>
          <w:sz w:val="15"/>
        </w:rPr>
        <w:t xml:space="preserve">  Asking price: $1,200                 [Make Offer] [View Details]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8: Financing (Borrower View)</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request financing for a locked trade (or a specific shipment), view bids, accept co-financing, and manage active loans.</w:t>
      </w:r>
    </w:p>
    <w:p>
      <w:pPr>
        <w:spacing w:after="80" w:line="293" w:lineRule="auto"/>
        <w:jc w:val="left"/>
      </w:pPr>
      <w:r>
        <w:rPr>
          <w:rFonts w:ascii="Times New Roman" w:hAnsi="Times New Roman" w:cs="Times New Roman"/>
          <w:b w:val="0"/>
          <w:i w:val="0"/>
          <w:sz w:val="22"/>
        </w:rPr>
        <w:t>Example bid comparison table: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Financier</w:t>
            </w:r>
          </w:p>
        </w:tc>
        <w:tc>
          <w:tcPr>
            <w:tcW w:type="dxa" w:w="1928"/>
            <w:shd w:val="clear" w:fill="D9E2F3"/>
          </w:tcPr>
          <w:p>
            <w:pPr>
              <w:spacing w:after="20" w:before="20" w:line="240" w:lineRule="auto"/>
            </w:pPr>
            <w:r/>
            <w:r>
              <w:rPr>
                <w:rFonts w:ascii="Arial" w:hAnsi="Arial" w:cs="Arial"/>
                <w:b/>
                <w:i w:val="0"/>
                <w:sz w:val="18"/>
              </w:rPr>
              <w:t>Amount</w:t>
            </w:r>
          </w:p>
        </w:tc>
        <w:tc>
          <w:tcPr>
            <w:tcW w:type="dxa" w:w="1928"/>
            <w:shd w:val="clear" w:fill="D9E2F3"/>
          </w:tcPr>
          <w:p>
            <w:pPr>
              <w:spacing w:after="20" w:before="20" w:line="240" w:lineRule="auto"/>
            </w:pPr>
            <w:r/>
            <w:r>
              <w:rPr>
                <w:rFonts w:ascii="Arial" w:hAnsi="Arial" w:cs="Arial"/>
                <w:b/>
                <w:i w:val="0"/>
                <w:sz w:val="18"/>
              </w:rPr>
              <w:t>APR</w:t>
            </w:r>
          </w:p>
        </w:tc>
        <w:tc>
          <w:tcPr>
            <w:tcW w:type="dxa" w:w="1928"/>
            <w:shd w:val="clear" w:fill="D9E2F3"/>
          </w:tcPr>
          <w:p>
            <w:pPr>
              <w:spacing w:after="20" w:before="20" w:line="240" w:lineRule="auto"/>
            </w:pPr>
            <w:r/>
            <w:r>
              <w:rPr>
                <w:rFonts w:ascii="Arial" w:hAnsi="Arial" w:cs="Arial"/>
                <w:b/>
                <w:i w:val="0"/>
                <w:sz w:val="18"/>
              </w:rPr>
              <w:t>Settlement Method</w:t>
            </w:r>
          </w:p>
        </w:tc>
        <w:tc>
          <w:tcPr>
            <w:tcW w:type="dxa" w:w="1928"/>
            <w:shd w:val="clear" w:fill="D9E2F3"/>
          </w:tcPr>
          <w:p>
            <w:pPr>
              <w:spacing w:after="20" w:before="20" w:line="240" w:lineRule="auto"/>
            </w:pPr>
            <w:r/>
            <w:r>
              <w:rPr>
                <w:rFonts w:ascii="Arial" w:hAnsi="Arial" w:cs="Arial"/>
                <w:b/>
                <w:i w:val="0"/>
                <w:sz w:val="18"/>
              </w:rPr>
              <w:t>Select</w:t>
            </w:r>
          </w:p>
        </w:tc>
      </w:tr>
      <w:tr>
        <w:tc>
          <w:tcPr>
            <w:tcW w:type="dxa" w:w="1928"/>
          </w:tcPr>
          <w:p>
            <w:pPr>
              <w:spacing w:after="20" w:before="20" w:line="240" w:lineRule="auto"/>
            </w:pPr>
            <w:r/>
            <w:r>
              <w:rPr>
                <w:rFonts w:ascii="Arial" w:hAnsi="Arial" w:cs="Arial"/>
                <w:b w:val="0"/>
                <w:i w:val="0"/>
                <w:sz w:val="17"/>
              </w:rPr>
              <w:t>Bank X</w:t>
            </w:r>
          </w:p>
        </w:tc>
        <w:tc>
          <w:tcPr>
            <w:tcW w:type="dxa" w:w="1928"/>
          </w:tcPr>
          <w:p>
            <w:pPr>
              <w:spacing w:after="20" w:before="20" w:line="240" w:lineRule="auto"/>
            </w:pPr>
            <w:r/>
            <w:r>
              <w:rPr>
                <w:rFonts w:ascii="Arial" w:hAnsi="Arial" w:cs="Arial"/>
                <w:b w:val="0"/>
                <w:i w:val="0"/>
                <w:sz w:val="17"/>
              </w:rPr>
              <w:t>$60,000</w:t>
            </w:r>
          </w:p>
        </w:tc>
        <w:tc>
          <w:tcPr>
            <w:tcW w:type="dxa" w:w="1928"/>
          </w:tcPr>
          <w:p>
            <w:pPr>
              <w:spacing w:after="20" w:before="20" w:line="240" w:lineRule="auto"/>
            </w:pPr>
            <w:r/>
            <w:r>
              <w:rPr>
                <w:rFonts w:ascii="Arial" w:hAnsi="Arial" w:cs="Arial"/>
                <w:b w:val="0"/>
                <w:i w:val="0"/>
                <w:sz w:val="17"/>
              </w:rPr>
              <w:t>4.8%</w:t>
            </w:r>
          </w:p>
        </w:tc>
        <w:tc>
          <w:tcPr>
            <w:tcW w:type="dxa" w:w="1928"/>
          </w:tcPr>
          <w:p>
            <w:pPr>
              <w:spacing w:after="20" w:before="20" w:line="240" w:lineRule="auto"/>
            </w:pPr>
            <w:r/>
            <w:r>
              <w:rPr>
                <w:rFonts w:ascii="Arial" w:hAnsi="Arial" w:cs="Arial"/>
                <w:b w:val="0"/>
                <w:i w:val="0"/>
                <w:sz w:val="17"/>
              </w:rPr>
              <w:t>Bank transfer</w:t>
            </w:r>
          </w:p>
        </w:tc>
        <w:tc>
          <w:tcPr>
            <w:tcW w:type="dxa" w:w="1928"/>
          </w:tcPr>
          <w:p>
            <w:pPr>
              <w:spacing w:after="20" w:before="20" w:line="240" w:lineRule="auto"/>
            </w:pPr>
            <w:r/>
            <w:r>
              <w:rPr>
                <w:rFonts w:ascii="Arial" w:hAnsi="Arial" w:cs="Arial"/>
                <w:b w:val="0"/>
                <w:i w:val="0"/>
                <w:sz w:val="17"/>
              </w:rPr>
              <w:t>☑ Selected</w:t>
            </w:r>
          </w:p>
        </w:tc>
      </w:tr>
      <w:tr>
        <w:tc>
          <w:tcPr>
            <w:tcW w:type="dxa" w:w="1928"/>
          </w:tcPr>
          <w:p>
            <w:pPr>
              <w:spacing w:after="20" w:before="20" w:line="240" w:lineRule="auto"/>
            </w:pPr>
            <w:r/>
            <w:r>
              <w:rPr>
                <w:rFonts w:ascii="Arial" w:hAnsi="Arial" w:cs="Arial"/>
                <w:b w:val="0"/>
                <w:i w:val="0"/>
                <w:sz w:val="17"/>
              </w:rPr>
              <w:t>PFI Y</w:t>
            </w:r>
          </w:p>
        </w:tc>
        <w:tc>
          <w:tcPr>
            <w:tcW w:type="dxa" w:w="1928"/>
          </w:tcPr>
          <w:p>
            <w:pPr>
              <w:spacing w:after="20" w:before="20" w:line="240" w:lineRule="auto"/>
            </w:pPr>
            <w:r/>
            <w:r>
              <w:rPr>
                <w:rFonts w:ascii="Arial" w:hAnsi="Arial" w:cs="Arial"/>
                <w:b w:val="0"/>
                <w:i w:val="0"/>
                <w:sz w:val="17"/>
              </w:rPr>
              <w:t>$40,000</w:t>
            </w:r>
          </w:p>
        </w:tc>
        <w:tc>
          <w:tcPr>
            <w:tcW w:type="dxa" w:w="1928"/>
          </w:tcPr>
          <w:p>
            <w:pPr>
              <w:spacing w:after="20" w:before="20" w:line="240" w:lineRule="auto"/>
            </w:pPr>
            <w:r/>
            <w:r>
              <w:rPr>
                <w:rFonts w:ascii="Arial" w:hAnsi="Arial" w:cs="Arial"/>
                <w:b w:val="0"/>
                <w:i w:val="0"/>
                <w:sz w:val="17"/>
              </w:rPr>
              <w:t>5.2%</w:t>
            </w:r>
          </w:p>
        </w:tc>
        <w:tc>
          <w:tcPr>
            <w:tcW w:type="dxa" w:w="1928"/>
          </w:tcPr>
          <w:p>
            <w:pPr>
              <w:spacing w:after="20" w:before="20" w:line="240" w:lineRule="auto"/>
            </w:pPr>
            <w:r/>
            <w:r>
              <w:rPr>
                <w:rFonts w:ascii="Arial" w:hAnsi="Arial" w:cs="Arial"/>
                <w:b w:val="0"/>
                <w:i w:val="0"/>
                <w:sz w:val="17"/>
              </w:rPr>
              <w:t>Bank transfer</w:t>
            </w:r>
          </w:p>
        </w:tc>
        <w:tc>
          <w:tcPr>
            <w:tcW w:type="dxa" w:w="1928"/>
          </w:tcPr>
          <w:p>
            <w:pPr>
              <w:spacing w:after="20" w:before="20" w:line="240" w:lineRule="auto"/>
            </w:pPr>
            <w:r/>
            <w:r>
              <w:rPr>
                <w:rFonts w:ascii="Arial" w:hAnsi="Arial" w:cs="Arial"/>
                <w:b w:val="0"/>
                <w:i w:val="0"/>
                <w:sz w:val="17"/>
              </w:rPr>
              <w:t>☑ Selected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Total Selected: $100,000 of $100,000 · Blended APR: 4.96% · [Accept Selected]</w:t>
      </w:r>
    </w:p>
    <w:p>
      <w:pPr>
        <w:keepNext/>
        <w:spacing w:before="140" w:after="60"/>
        <w:outlineLvl w:val="3"/>
      </w:pPr>
      <w:r>
        <w:rPr>
          <w:rFonts w:ascii="Arial" w:hAnsi="Arial" w:cs="Arial"/>
          <w:b/>
          <w:i/>
          <w:color w:val="333333"/>
          <w:sz w:val="22"/>
        </w:rPr>
        <w:t>Tab 9: Invoices &amp; Payments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all invoices (commercial, logistics, SGTX fee), track payment status, and approve settlement.</w:t>
      </w:r>
    </w:p>
    <w:p>
      <w:pPr>
        <w:spacing w:after="80" w:line="293" w:lineRule="auto"/>
        <w:jc w:val="left"/>
      </w:pPr>
      <w:r>
        <w:rPr>
          <w:rFonts w:ascii="Times New Roman" w:hAnsi="Times New Roman" w:cs="Times New Roman"/>
          <w:b w:val="0"/>
          <w:i w:val="0"/>
          <w:sz w:val="22"/>
        </w:rPr>
        <w:t>Example invoice list:</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Invoice</w:t>
            </w:r>
          </w:p>
        </w:tc>
        <w:tc>
          <w:tcPr>
            <w:tcW w:type="dxa" w:w="1928"/>
            <w:shd w:val="clear" w:fill="D9E2F3"/>
          </w:tcPr>
          <w:p>
            <w:pPr>
              <w:spacing w:after="20" w:before="20" w:line="240" w:lineRule="auto"/>
            </w:pPr>
            <w:r/>
            <w:r>
              <w:rPr>
                <w:rFonts w:ascii="Arial" w:hAnsi="Arial" w:cs="Arial"/>
                <w:b/>
                <w:i w:val="0"/>
                <w:sz w:val="18"/>
              </w:rPr>
              <w:t>USTN</w:t>
            </w:r>
          </w:p>
        </w:tc>
        <w:tc>
          <w:tcPr>
            <w:tcW w:type="dxa" w:w="1928"/>
            <w:shd w:val="clear" w:fill="D9E2F3"/>
          </w:tcPr>
          <w:p>
            <w:pPr>
              <w:spacing w:after="20" w:before="20" w:line="240" w:lineRule="auto"/>
            </w:pPr>
            <w:r/>
            <w:r>
              <w:rPr>
                <w:rFonts w:ascii="Arial" w:hAnsi="Arial" w:cs="Arial"/>
                <w:b/>
                <w:i w:val="0"/>
                <w:sz w:val="18"/>
              </w:rPr>
              <w:t>Type</w:t>
            </w:r>
          </w:p>
        </w:tc>
        <w:tc>
          <w:tcPr>
            <w:tcW w:type="dxa" w:w="1928"/>
            <w:shd w:val="clear" w:fill="D9E2F3"/>
          </w:tcPr>
          <w:p>
            <w:pPr>
              <w:spacing w:after="20" w:before="20" w:line="240" w:lineRule="auto"/>
            </w:pPr>
            <w:r/>
            <w:r>
              <w:rPr>
                <w:rFonts w:ascii="Arial" w:hAnsi="Arial" w:cs="Arial"/>
                <w:b/>
                <w:i w:val="0"/>
                <w:sz w:val="18"/>
              </w:rPr>
              <w:t>Amount</w:t>
            </w:r>
          </w:p>
        </w:tc>
        <w:tc>
          <w:tcPr>
            <w:tcW w:type="dxa" w:w="1928"/>
            <w:shd w:val="clear" w:fill="D9E2F3"/>
          </w:tcPr>
          <w:p>
            <w:pPr>
              <w:spacing w:after="20" w:before="20" w:line="240" w:lineRule="auto"/>
            </w:pPr>
            <w:r/>
            <w:r>
              <w:rPr>
                <w:rFonts w:ascii="Arial" w:hAnsi="Arial" w:cs="Arial"/>
                <w:b/>
                <w:i w:val="0"/>
                <w:sz w:val="18"/>
              </w:rPr>
              <w:t>Status</w:t>
            </w:r>
          </w:p>
        </w:tc>
      </w:tr>
      <w:tr>
        <w:tc>
          <w:tcPr>
            <w:tcW w:type="dxa" w:w="1928"/>
          </w:tcPr>
          <w:p>
            <w:pPr>
              <w:spacing w:after="20" w:before="20" w:line="240" w:lineRule="auto"/>
            </w:pPr>
            <w:r/>
            <w:r>
              <w:rPr>
                <w:rFonts w:ascii="Arial" w:hAnsi="Arial" w:cs="Arial"/>
                <w:b w:val="0"/>
                <w:i w:val="0"/>
                <w:sz w:val="17"/>
              </w:rPr>
              <w:t>INV-001</w:t>
            </w:r>
          </w:p>
        </w:tc>
        <w:tc>
          <w:tcPr>
            <w:tcW w:type="dxa" w:w="1928"/>
          </w:tcPr>
          <w:p>
            <w:pPr>
              <w:spacing w:after="20" w:before="20" w:line="240" w:lineRule="auto"/>
            </w:pPr>
            <w:r/>
            <w:r>
              <w:rPr>
                <w:rFonts w:ascii="Arial" w:hAnsi="Arial" w:cs="Arial"/>
                <w:b w:val="0"/>
                <w:i w:val="0"/>
                <w:sz w:val="17"/>
              </w:rPr>
              <w:t>SGTX-EG-001</w:t>
            </w:r>
          </w:p>
        </w:tc>
        <w:tc>
          <w:tcPr>
            <w:tcW w:type="dxa" w:w="1928"/>
          </w:tcPr>
          <w:p>
            <w:pPr>
              <w:spacing w:after="20" w:before="20" w:line="240" w:lineRule="auto"/>
            </w:pPr>
            <w:r/>
            <w:r>
              <w:rPr>
                <w:rFonts w:ascii="Arial" w:hAnsi="Arial" w:cs="Arial"/>
                <w:b w:val="0"/>
                <w:i w:val="0"/>
                <w:sz w:val="17"/>
              </w:rPr>
              <w:t>Commercial</w:t>
            </w:r>
          </w:p>
        </w:tc>
        <w:tc>
          <w:tcPr>
            <w:tcW w:type="dxa" w:w="1928"/>
          </w:tcPr>
          <w:p>
            <w:pPr>
              <w:spacing w:after="20" w:before="20" w:line="240" w:lineRule="auto"/>
            </w:pPr>
            <w:r/>
            <w:r>
              <w:rPr>
                <w:rFonts w:ascii="Arial" w:hAnsi="Arial" w:cs="Arial"/>
                <w:b w:val="0"/>
                <w:i w:val="0"/>
                <w:sz w:val="17"/>
              </w:rPr>
              <w:t>$30,043.20</w:t>
            </w:r>
          </w:p>
        </w:tc>
        <w:tc>
          <w:tcPr>
            <w:tcW w:type="dxa" w:w="1928"/>
          </w:tcPr>
          <w:p>
            <w:pPr>
              <w:spacing w:after="20" w:before="20" w:line="240" w:lineRule="auto"/>
            </w:pPr>
            <w:r/>
            <w:r>
              <w:rPr>
                <w:rFonts w:ascii="Arial" w:hAnsi="Arial" w:cs="Arial"/>
                <w:b w:val="0"/>
                <w:i w:val="0"/>
                <w:sz w:val="17"/>
              </w:rPr>
              <w:t>Paid</w:t>
            </w:r>
          </w:p>
        </w:tc>
      </w:tr>
      <w:tr>
        <w:tc>
          <w:tcPr>
            <w:tcW w:type="dxa" w:w="1928"/>
          </w:tcPr>
          <w:p>
            <w:pPr>
              <w:spacing w:after="20" w:before="20" w:line="240" w:lineRule="auto"/>
            </w:pPr>
            <w:r/>
            <w:r>
              <w:rPr>
                <w:rFonts w:ascii="Arial" w:hAnsi="Arial" w:cs="Arial"/>
                <w:b w:val="0"/>
                <w:i w:val="0"/>
                <w:sz w:val="17"/>
              </w:rPr>
              <w:t>INV-002</w:t>
            </w:r>
          </w:p>
        </w:tc>
        <w:tc>
          <w:tcPr>
            <w:tcW w:type="dxa" w:w="1928"/>
          </w:tcPr>
          <w:p>
            <w:pPr>
              <w:spacing w:after="20" w:before="20" w:line="240" w:lineRule="auto"/>
            </w:pPr>
            <w:r/>
            <w:r>
              <w:rPr>
                <w:rFonts w:ascii="Arial" w:hAnsi="Arial" w:cs="Arial"/>
                <w:b w:val="0"/>
                <w:i w:val="0"/>
                <w:sz w:val="17"/>
              </w:rPr>
              <w:t>SGTX-EG-002</w:t>
            </w:r>
          </w:p>
        </w:tc>
        <w:tc>
          <w:tcPr>
            <w:tcW w:type="dxa" w:w="1928"/>
          </w:tcPr>
          <w:p>
            <w:pPr>
              <w:spacing w:after="20" w:before="20" w:line="240" w:lineRule="auto"/>
            </w:pPr>
            <w:r/>
            <w:r>
              <w:rPr>
                <w:rFonts w:ascii="Arial" w:hAnsi="Arial" w:cs="Arial"/>
                <w:b w:val="0"/>
                <w:i w:val="0"/>
                <w:sz w:val="17"/>
              </w:rPr>
              <w:t>Import Duties</w:t>
            </w:r>
          </w:p>
        </w:tc>
        <w:tc>
          <w:tcPr>
            <w:tcW w:type="dxa" w:w="1928"/>
          </w:tcPr>
          <w:p>
            <w:pPr>
              <w:spacing w:after="20" w:before="20" w:line="240" w:lineRule="auto"/>
            </w:pPr>
            <w:r/>
            <w:r>
              <w:rPr>
                <w:rFonts w:ascii="Arial" w:hAnsi="Arial" w:cs="Arial"/>
                <w:b w:val="0"/>
                <w:i w:val="0"/>
                <w:sz w:val="17"/>
              </w:rPr>
              <w:t>$10,000</w:t>
            </w:r>
          </w:p>
        </w:tc>
        <w:tc>
          <w:tcPr>
            <w:tcW w:type="dxa" w:w="1928"/>
          </w:tcPr>
          <w:p>
            <w:pPr>
              <w:spacing w:after="20" w:before="20" w:line="240" w:lineRule="auto"/>
            </w:pPr>
            <w:r/>
            <w:r>
              <w:rPr>
                <w:rFonts w:ascii="Arial" w:hAnsi="Arial" w:cs="Arial"/>
                <w:b w:val="0"/>
                <w:i w:val="0"/>
                <w:sz w:val="17"/>
              </w:rPr>
              <w:t>Pending [Pay Now]</w:t>
            </w:r>
          </w:p>
        </w:tc>
      </w:tr>
      <w:tr>
        <w:tc>
          <w:tcPr>
            <w:tcW w:type="dxa" w:w="1928"/>
          </w:tcPr>
          <w:p>
            <w:pPr>
              <w:spacing w:after="20" w:before="20" w:line="240" w:lineRule="auto"/>
            </w:pPr>
            <w:r/>
            <w:r>
              <w:rPr>
                <w:rFonts w:ascii="Arial" w:hAnsi="Arial" w:cs="Arial"/>
                <w:b w:val="0"/>
                <w:i w:val="0"/>
                <w:sz w:val="17"/>
              </w:rPr>
              <w:t>INV-003</w:t>
            </w:r>
          </w:p>
        </w:tc>
        <w:tc>
          <w:tcPr>
            <w:tcW w:type="dxa" w:w="1928"/>
          </w:tcPr>
          <w:p>
            <w:pPr>
              <w:spacing w:after="20" w:before="20" w:line="240" w:lineRule="auto"/>
            </w:pPr>
            <w:r/>
            <w:r>
              <w:rPr>
                <w:rFonts w:ascii="Arial" w:hAnsi="Arial" w:cs="Arial"/>
                <w:b w:val="0"/>
                <w:i w:val="0"/>
                <w:sz w:val="17"/>
              </w:rPr>
              <w:t>SGTX-EG-003</w:t>
            </w:r>
          </w:p>
        </w:tc>
        <w:tc>
          <w:tcPr>
            <w:tcW w:type="dxa" w:w="1928"/>
          </w:tcPr>
          <w:p>
            <w:pPr>
              <w:spacing w:after="20" w:before="20" w:line="240" w:lineRule="auto"/>
            </w:pPr>
            <w:r/>
            <w:r>
              <w:rPr>
                <w:rFonts w:ascii="Arial" w:hAnsi="Arial" w:cs="Arial"/>
                <w:b w:val="0"/>
                <w:i w:val="0"/>
                <w:sz w:val="17"/>
              </w:rPr>
              <w:t>Destination Charges</w:t>
            </w:r>
          </w:p>
        </w:tc>
        <w:tc>
          <w:tcPr>
            <w:tcW w:type="dxa" w:w="1928"/>
          </w:tcPr>
          <w:p>
            <w:pPr>
              <w:spacing w:after="20" w:before="20" w:line="240" w:lineRule="auto"/>
            </w:pPr>
            <w:r/>
            <w:r>
              <w:rPr>
                <w:rFonts w:ascii="Arial" w:hAnsi="Arial" w:cs="Arial"/>
                <w:b w:val="0"/>
                <w:i w:val="0"/>
                <w:sz w:val="17"/>
              </w:rPr>
              <w:t>$500</w:t>
            </w:r>
          </w:p>
        </w:tc>
        <w:tc>
          <w:tcPr>
            <w:tcW w:type="dxa" w:w="1928"/>
          </w:tcPr>
          <w:p>
            <w:pPr>
              <w:spacing w:after="20" w:before="20" w:line="240" w:lineRule="auto"/>
            </w:pPr>
            <w:r/>
            <w:r>
              <w:rPr>
                <w:rFonts w:ascii="Arial" w:hAnsi="Arial" w:cs="Arial"/>
                <w:b w:val="0"/>
                <w:i w:val="0"/>
                <w:sz w:val="17"/>
              </w:rPr>
              <w:t>Overdue [Pay Now]</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10: Disputes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file and manage disputes (quality, delay, non-payment, documentation fraud, cold chain, service quality, financing, SGTX fee).</w:t>
      </w:r>
    </w:p>
    <w:p>
      <w:pPr>
        <w:spacing w:after="80" w:line="293" w:lineRule="auto"/>
        <w:jc w:val="left"/>
      </w:pPr>
      <w:r>
        <w:rPr>
          <w:rFonts w:ascii="Times New Roman" w:hAnsi="Times New Roman" w:cs="Times New Roman"/>
          <w:b w:val="0"/>
          <w:i w:val="0"/>
          <w:sz w:val="22"/>
        </w:rPr>
        <w:t>Example mediation log:</w:t>
      </w:r>
    </w:p>
    <w:p>
      <w:pPr>
        <w:spacing w:after="0" w:before="0" w:line="240" w:lineRule="auto"/>
        <w:ind w:left="57"/>
        <w:jc w:val="left"/>
        <w:shd w:val="clear" w:fill="F2F2F2"/>
      </w:pPr>
      <w:r>
        <w:rPr>
          <w:rFonts w:ascii="Consolas" w:hAnsi="Consolas" w:cs="Consolas"/>
          <w:b w:val="0"/>
          <w:i w:val="0"/>
          <w:sz w:val="15"/>
        </w:rPr>
        <w:t>2026-04-16 10:00:00 — Buyer (Nile Foods)</w:t>
      </w:r>
    </w:p>
    <w:p>
      <w:pPr>
        <w:spacing w:after="0" w:before="0" w:line="240" w:lineRule="auto"/>
        <w:ind w:left="57"/>
        <w:jc w:val="left"/>
        <w:shd w:val="clear" w:fill="F2F2F2"/>
      </w:pPr>
      <w:r>
        <w:rPr>
          <w:rFonts w:ascii="Consolas" w:hAnsi="Consolas" w:cs="Consolas"/>
          <w:b w:val="0"/>
          <w:i w:val="0"/>
          <w:sz w:val="15"/>
        </w:rPr>
        <w:t xml:space="preserve">  The strawberries arrived with 10% mould. I am claiming $2,000 refund based on</w:t>
      </w:r>
    </w:p>
    <w:p>
      <w:pPr>
        <w:spacing w:after="0" w:before="0" w:line="240" w:lineRule="auto"/>
        <w:ind w:left="57"/>
        <w:jc w:val="left"/>
        <w:shd w:val="clear" w:fill="F2F2F2"/>
      </w:pPr>
      <w:r>
        <w:rPr>
          <w:rFonts w:ascii="Consolas" w:hAnsi="Consolas" w:cs="Consolas"/>
          <w:b w:val="0"/>
          <w:i w:val="0"/>
          <w:sz w:val="15"/>
        </w:rPr>
        <w:t xml:space="preserve">  photos and temperature log.</w:t>
      </w:r>
    </w:p>
    <w:p>
      <w:pPr>
        <w:spacing w:after="0" w:before="0" w:line="240" w:lineRule="auto"/>
        <w:ind w:left="57"/>
        <w:jc w:val="left"/>
        <w:shd w:val="clear" w:fill="F2F2F2"/>
      </w:pPr>
      <w:r>
        <w:rPr>
          <w:rFonts w:ascii="Consolas" w:hAnsi="Consolas" w:cs="Consolas"/>
          <w:b w:val="0"/>
          <w:i w:val="0"/>
          <w:sz w:val="15"/>
        </w:rPr>
        <w:t>2026-04-16 11:30:00 — Seller (Mekong Fresh)</w:t>
      </w:r>
    </w:p>
    <w:p>
      <w:pPr>
        <w:spacing w:after="0" w:before="0" w:line="240" w:lineRule="auto"/>
        <w:ind w:left="57"/>
        <w:jc w:val="left"/>
        <w:shd w:val="clear" w:fill="F2F2F2"/>
      </w:pPr>
      <w:r>
        <w:rPr>
          <w:rFonts w:ascii="Consolas" w:hAnsi="Consolas" w:cs="Consolas"/>
          <w:b w:val="0"/>
          <w:i w:val="0"/>
          <w:sz w:val="15"/>
        </w:rPr>
        <w:t xml:space="preserve">  We dispute the claim. Our reefer log shows -18°C throughout. The damage likely</w:t>
      </w:r>
    </w:p>
    <w:p>
      <w:pPr>
        <w:spacing w:after="0" w:before="0" w:line="240" w:lineRule="auto"/>
        <w:ind w:left="57"/>
        <w:jc w:val="left"/>
        <w:shd w:val="clear" w:fill="F2F2F2"/>
      </w:pPr>
      <w:r>
        <w:rPr>
          <w:rFonts w:ascii="Consolas" w:hAnsi="Consolas" w:cs="Consolas"/>
          <w:b w:val="0"/>
          <w:i w:val="0"/>
          <w:sz w:val="15"/>
        </w:rPr>
        <w:t xml:space="preserve">  occurred after delivery. We counter-offer $500 as goodwill.</w:t>
      </w:r>
    </w:p>
    <w:p>
      <w:pPr>
        <w:spacing w:after="0" w:before="0" w:line="240" w:lineRule="auto"/>
        <w:ind w:left="57"/>
        <w:jc w:val="left"/>
        <w:shd w:val="clear" w:fill="F2F2F2"/>
      </w:pPr>
      <w:r>
        <w:rPr>
          <w:rFonts w:ascii="Consolas" w:hAnsi="Consolas" w:cs="Consolas"/>
          <w:b w:val="0"/>
          <w:i w:val="0"/>
          <w:sz w:val="15"/>
        </w:rPr>
        <w:t>2026-04-16 12:00:00 — AI Settlement Proposal (Groq)</w:t>
      </w:r>
    </w:p>
    <w:p>
      <w:pPr>
        <w:spacing w:after="0" w:before="0" w:line="240" w:lineRule="auto"/>
        <w:ind w:left="57"/>
        <w:jc w:val="left"/>
        <w:shd w:val="clear" w:fill="F2F2F2"/>
      </w:pPr>
      <w:r>
        <w:rPr>
          <w:rFonts w:ascii="Consolas" w:hAnsi="Consolas" w:cs="Consolas"/>
          <w:b w:val="0"/>
          <w:i w:val="0"/>
          <w:sz w:val="15"/>
        </w:rPr>
        <w:t xml:space="preserve">  Based on the temperature log (no deviation) and the buyer's photos (mould</w:t>
      </w:r>
    </w:p>
    <w:p>
      <w:pPr>
        <w:spacing w:after="0" w:before="0" w:line="240" w:lineRule="auto"/>
        <w:ind w:left="57"/>
        <w:jc w:val="left"/>
        <w:shd w:val="clear" w:fill="F2F2F2"/>
      </w:pPr>
      <w:r>
        <w:rPr>
          <w:rFonts w:ascii="Consolas" w:hAnsi="Consolas" w:cs="Consolas"/>
          <w:b w:val="0"/>
          <w:i w:val="0"/>
          <w:sz w:val="15"/>
        </w:rPr>
        <w:t xml:space="preserve">  present), the likely root cause is post-delivery mishandling.</w:t>
      </w:r>
    </w:p>
    <w:p>
      <w:pPr>
        <w:spacing w:after="0" w:before="0" w:line="240" w:lineRule="auto"/>
        <w:ind w:left="57"/>
        <w:jc w:val="left"/>
        <w:shd w:val="clear" w:fill="F2F2F2"/>
      </w:pPr>
      <w:r>
        <w:rPr>
          <w:rFonts w:ascii="Consolas" w:hAnsi="Consolas" w:cs="Consolas"/>
          <w:b w:val="0"/>
          <w:i w:val="0"/>
          <w:sz w:val="15"/>
        </w:rPr>
        <w:t xml:space="preserve">  Recommended settlement: $800 (4% of invoice). Accept / Reject.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11: Compliance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KYB/KYC status, sanctions alerts, and regulatory reporting obligations.</w:t>
      </w:r>
    </w:p>
    <w:p>
      <w:pPr>
        <w:keepNext/>
        <w:spacing w:before="140" w:after="60"/>
        <w:outlineLvl w:val="3"/>
      </w:pPr>
      <w:r>
        <w:rPr>
          <w:rFonts w:ascii="Arial" w:hAnsi="Arial" w:cs="Arial"/>
          <w:b/>
          <w:i/>
          <w:color w:val="333333"/>
          <w:sz w:val="22"/>
        </w:rPr>
        <w:t>Tab 12: Approvals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and act on pending tasks that require the buyer's approval (internal approval chains or multi-signature contracts).</w:t>
      </w:r>
    </w:p>
    <w:p>
      <w:pPr>
        <w:keepNext/>
        <w:spacing w:before="140" w:after="60"/>
        <w:outlineLvl w:val="3"/>
      </w:pPr>
      <w:r>
        <w:rPr>
          <w:rFonts w:ascii="Arial" w:hAnsi="Arial" w:cs="Arial"/>
          <w:b/>
          <w:i/>
          <w:color w:val="333333"/>
          <w:sz w:val="22"/>
        </w:rPr>
        <w:t>Tab 13: Audit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a user-friendly activity timeline and the raw Loom chain for technical users.</w:t>
      </w:r>
    </w:p>
    <w:p>
      <w:pPr>
        <w:keepNext/>
        <w:spacing w:before="140" w:after="60"/>
        <w:outlineLvl w:val="3"/>
      </w:pPr>
      <w:r>
        <w:rPr>
          <w:rFonts w:ascii="Arial" w:hAnsi="Arial" w:cs="Arial"/>
          <w:b/>
          <w:i/>
          <w:color w:val="333333"/>
          <w:sz w:val="22"/>
        </w:rPr>
        <w:t>Tab 14: Company Admin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tenant administration (employees, roles, data scopes, approval chains, branding, exit centre). See Sections 4 and 16.1.</w:t>
      </w:r>
    </w:p>
    <w:p>
      <w:pPr>
        <w:keepNext/>
        <w:spacing w:before="180" w:after="80"/>
        <w:outlineLvl w:val="2"/>
      </w:pPr>
      <w:r>
        <w:rPr>
          <w:rFonts w:ascii="Arial" w:hAnsi="Arial" w:cs="Arial"/>
          <w:b/>
          <w:i w:val="0"/>
          <w:color w:val="333333"/>
          <w:sz w:val="23"/>
        </w:rPr>
        <w:t>16.9.4 Smart Inbox Integration (Buyer)</w:t>
      </w:r>
    </w:p>
    <w:p>
      <w:pPr>
        <w:spacing w:after="80" w:line="293" w:lineRule="auto"/>
        <w:jc w:val="left"/>
      </w:pPr>
      <w:r>
        <w:rPr>
          <w:rFonts w:ascii="Times New Roman" w:hAnsi="Times New Roman" w:cs="Times New Roman"/>
          <w:b w:val="0"/>
          <w:i w:val="0"/>
          <w:sz w:val="22"/>
        </w:rPr>
        <w:t>The Buyer Smart Inbox surfaces: pending trade requests awaiting response, quotes received (priority 75), contract signature deadlines (high), missing import documents (high near ETA), distressed listings from saved contacts (medium), financing bid windows closing (medium), invoice due dates, dispute responses, and settlement approval requests. All items follow the standard structure and scoring model (16.2).</w:t>
      </w:r>
    </w:p>
    <w:p>
      <w:pPr>
        <w:keepNext/>
        <w:spacing w:before="180" w:after="80"/>
        <w:outlineLvl w:val="2"/>
      </w:pPr>
      <w:r>
        <w:rPr>
          <w:rFonts w:ascii="Arial" w:hAnsi="Arial" w:cs="Arial"/>
          <w:b/>
          <w:i w:val="0"/>
          <w:color w:val="333333"/>
          <w:sz w:val="23"/>
        </w:rPr>
        <w:t>16.9.5 One-Click Count Summary (Buyer)</w:t>
      </w:r>
    </w:p>
    <w:p>
      <w:pPr>
        <w:spacing w:after="80" w:line="293" w:lineRule="auto"/>
        <w:jc w:val="left"/>
      </w:pPr>
      <w:r>
        <w:rPr>
          <w:rFonts w:ascii="Times New Roman" w:hAnsi="Times New Roman" w:cs="Times New Roman"/>
          <w:b w:val="0"/>
          <w:i w:val="0"/>
          <w:sz w:val="22"/>
        </w:rPr>
        <w:t>Submit trade request (1), accept quote (1), submit counter (1), request extension (1), approve extension (1), confirm agreement (1), sign contract (1), request document (1), upload document (1), make distressed offer (1), accept selected financing bids (1), pay invoice (1), approve settlement (1 or voice = 0), file dispute (1), accept settlement proposal (1).</w:t>
      </w:r>
    </w:p>
    <w:p>
      <w:pPr>
        <w:keepNext/>
        <w:spacing w:before="180" w:after="80"/>
        <w:outlineLvl w:val="2"/>
      </w:pPr>
      <w:r>
        <w:rPr>
          <w:rFonts w:ascii="Arial" w:hAnsi="Arial" w:cs="Arial"/>
          <w:b/>
          <w:i w:val="0"/>
          <w:color w:val="333333"/>
          <w:sz w:val="23"/>
        </w:rPr>
        <w:t>16.9.6 Integration with Other Parts</w:t>
      </w:r>
    </w:p>
    <w:p>
      <w:pPr>
        <w:spacing w:after="80" w:line="293" w:lineRule="auto"/>
        <w:ind w:left="283"/>
        <w:jc w:val="left"/>
      </w:pPr>
      <w:r>
        <w:rPr>
          <w:rFonts w:ascii="Times New Roman" w:hAnsi="Times New Roman" w:cs="Times New Roman"/>
          <w:b w:val="0"/>
          <w:i w:val="0"/>
          <w:sz w:val="22"/>
        </w:rPr>
        <w:t>- Trade request fields feed Phase 1 execution (Section 6) and are reused in Phase 2 seller workflows</w:t>
      </w:r>
    </w:p>
    <w:p>
      <w:pPr>
        <w:spacing w:after="80" w:line="293" w:lineRule="auto"/>
        <w:jc w:val="left"/>
      </w:pPr>
      <w:r>
        <w:rPr>
          <w:rFonts w:ascii="Times New Roman" w:hAnsi="Times New Roman" w:cs="Times New Roman"/>
          <w:b w:val="0"/>
          <w:i w:val="0"/>
          <w:sz w:val="22"/>
        </w:rPr>
        <w:t>(Section 8).</w:t>
      </w:r>
    </w:p>
    <w:p>
      <w:pPr>
        <w:spacing w:after="80" w:line="293" w:lineRule="auto"/>
        <w:ind w:left="283"/>
        <w:jc w:val="left"/>
      </w:pPr>
      <w:r>
        <w:rPr>
          <w:rFonts w:ascii="Times New Roman" w:hAnsi="Times New Roman" w:cs="Times New Roman"/>
          <w:b w:val="0"/>
          <w:i w:val="0"/>
          <w:sz w:val="22"/>
        </w:rPr>
        <w:t>- Quote comparison and negotiation write to the negotiation log and pre-contract snapshot</w:t>
      </w:r>
    </w:p>
    <w:p>
      <w:pPr>
        <w:spacing w:after="80" w:line="293" w:lineRule="auto"/>
        <w:jc w:val="left"/>
      </w:pPr>
      <w:r>
        <w:rPr>
          <w:rFonts w:ascii="Times New Roman" w:hAnsi="Times New Roman" w:cs="Times New Roman"/>
          <w:b w:val="0"/>
          <w:i w:val="0"/>
          <w:sz w:val="22"/>
        </w:rPr>
        <w:t>(Section 9).</w:t>
      </w:r>
    </w:p>
    <w:p>
      <w:pPr>
        <w:spacing w:after="80" w:line="293" w:lineRule="auto"/>
        <w:ind w:left="283"/>
        <w:jc w:val="left"/>
      </w:pPr>
      <w:r>
        <w:rPr>
          <w:rFonts w:ascii="Times New Roman" w:hAnsi="Times New Roman" w:cs="Times New Roman"/>
          <w:b w:val="0"/>
          <w:i w:val="0"/>
          <w:sz w:val="22"/>
        </w:rPr>
        <w:t>- Contract signing triggers fee payment and contract lock (Section 9); the USTN is generated at lock</w:t>
      </w:r>
    </w:p>
    <w:p>
      <w:pPr>
        <w:spacing w:after="80" w:line="293" w:lineRule="auto"/>
        <w:jc w:val="left"/>
      </w:pPr>
      <w:r>
        <w:rPr>
          <w:rFonts w:ascii="Times New Roman" w:hAnsi="Times New Roman" w:cs="Times New Roman"/>
          <w:b w:val="0"/>
          <w:i w:val="0"/>
          <w:sz w:val="22"/>
        </w:rPr>
        <w:t>(Section 5).</w:t>
      </w:r>
    </w:p>
    <w:p>
      <w:pPr>
        <w:spacing w:after="80" w:line="293" w:lineRule="auto"/>
        <w:ind w:left="283"/>
        <w:jc w:val="left"/>
      </w:pPr>
      <w:r>
        <w:rPr>
          <w:rFonts w:ascii="Times New Roman" w:hAnsi="Times New Roman" w:cs="Times New Roman"/>
          <w:b w:val="0"/>
          <w:i w:val="0"/>
          <w:sz w:val="22"/>
        </w:rPr>
        <w:t>- Financing requests originate from this dashboard and execute through the financing workflow</w:t>
      </w:r>
    </w:p>
    <w:p>
      <w:pPr>
        <w:spacing w:after="80" w:line="293" w:lineRule="auto"/>
        <w:jc w:val="left"/>
      </w:pPr>
      <w:r>
        <w:rPr>
          <w:rFonts w:ascii="Times New Roman" w:hAnsi="Times New Roman" w:cs="Times New Roman"/>
          <w:b w:val="0"/>
          <w:i w:val="0"/>
          <w:sz w:val="22"/>
        </w:rPr>
        <w:t>(Sections 7 and 10).</w:t>
      </w:r>
    </w:p>
    <w:p>
      <w:pPr>
        <w:spacing w:after="80" w:line="293" w:lineRule="auto"/>
        <w:ind w:left="283"/>
        <w:jc w:val="left"/>
      </w:pPr>
      <w:r>
        <w:rPr>
          <w:rFonts w:ascii="Times New Roman" w:hAnsi="Times New Roman" w:cs="Times New Roman"/>
          <w:b w:val="0"/>
          <w:i w:val="0"/>
          <w:sz w:val="22"/>
        </w:rPr>
        <w:t>- Shipment tracking consumes milestone events from physical execution (Section 12).</w:t>
      </w:r>
    </w:p>
    <w:p>
      <w:pPr>
        <w:spacing w:after="80" w:line="293" w:lineRule="auto"/>
        <w:ind w:left="283"/>
        <w:jc w:val="left"/>
      </w:pPr>
      <w:r>
        <w:rPr>
          <w:rFonts w:ascii="Times New Roman" w:hAnsi="Times New Roman" w:cs="Times New Roman"/>
          <w:b w:val="0"/>
          <w:i w:val="0"/>
          <w:sz w:val="22"/>
        </w:rPr>
        <w:t>- Settlement approval triggers payment orchestration (Section 13).</w:t>
      </w:r>
    </w:p>
    <w:p>
      <w:pPr>
        <w:spacing w:after="80" w:line="293" w:lineRule="auto"/>
        <w:ind w:left="283"/>
        <w:jc w:val="left"/>
      </w:pPr>
      <w:r>
        <w:rPr>
          <w:rFonts w:ascii="Times New Roman" w:hAnsi="Times New Roman" w:cs="Times New Roman"/>
          <w:b w:val="0"/>
          <w:i w:val="0"/>
          <w:sz w:val="22"/>
        </w:rPr>
        <w:t>- Disputes feed the post-trade workflows (Section 14).</w:t>
      </w:r>
    </w:p>
    <w:p>
      <w:pPr>
        <w:keepNext/>
        <w:spacing w:before="180" w:after="80"/>
        <w:outlineLvl w:val="2"/>
      </w:pPr>
      <w:r>
        <w:rPr>
          <w:rFonts w:ascii="Arial" w:hAnsi="Arial" w:cs="Arial"/>
          <w:b/>
          <w:i w:val="0"/>
          <w:color w:val="333333"/>
          <w:sz w:val="23"/>
        </w:rPr>
        <w:t>16.9.7 Implementation Checklist (Buyer Dashboard)</w:t>
      </w:r>
    </w:p>
    <w:p>
      <w:pPr>
        <w:keepNext/>
        <w:spacing w:before="140" w:after="60"/>
        <w:outlineLvl w:val="3"/>
      </w:pPr>
      <w:r>
        <w:rPr>
          <w:rFonts w:ascii="Arial" w:hAnsi="Arial" w:cs="Arial"/>
          <w:b/>
          <w:i/>
          <w:color w:val="333333"/>
          <w:sz w:val="22"/>
        </w:rPr>
        <w:t>16.9.7.1 Universal Command Center</w:t>
      </w:r>
    </w:p>
    <w:p>
      <w:pPr>
        <w:spacing w:after="80" w:line="293" w:lineRule="auto"/>
        <w:jc w:val="left"/>
      </w:pPr>
      <w:r>
        <w:rPr>
          <w:rFonts w:ascii="Times New Roman" w:hAnsi="Times New Roman" w:cs="Times New Roman"/>
          <w:b w:val="0"/>
          <w:i w:val="0"/>
          <w:sz w:val="22"/>
        </w:rPr>
        <w:t>Build the Universal Command Center (16.13) with buyer-specific cards (Open Trades, Active Shipments, Pending Approvals, Compliance Alerts, Outstanding Payments, Disputes, Customs Readiness). Add quick actions (Create Trade Request, Upload Document, Request Financing, Invite Employee, Generate Report, Contact Support). Integrate the AI Operations Assistant (A1, Groq).</w:t>
      </w:r>
    </w:p>
    <w:p>
      <w:pPr>
        <w:keepNext/>
        <w:spacing w:before="140" w:after="60"/>
        <w:outlineLvl w:val="3"/>
      </w:pPr>
      <w:r>
        <w:rPr>
          <w:rFonts w:ascii="Arial" w:hAnsi="Arial" w:cs="Arial"/>
          <w:b/>
          <w:i/>
          <w:color w:val="333333"/>
          <w:sz w:val="22"/>
        </w:rPr>
        <w:t>16.9.7.2 New Trade Request</w:t>
      </w:r>
    </w:p>
    <w:p>
      <w:pPr>
        <w:spacing w:after="80" w:line="293" w:lineRule="auto"/>
        <w:ind w:left="283"/>
        <w:jc w:val="left"/>
      </w:pPr>
      <w:r>
        <w:rPr>
          <w:rFonts w:ascii="Times New Roman" w:hAnsi="Times New Roman" w:cs="Times New Roman"/>
          <w:b w:val="0"/>
          <w:i w:val="0"/>
          <w:sz w:val="22"/>
        </w:rPr>
        <w:t>- Seller selection with GTID autocomplete and saved contacts.</w:t>
      </w:r>
    </w:p>
    <w:p>
      <w:pPr>
        <w:spacing w:after="80" w:line="293" w:lineRule="auto"/>
        <w:ind w:left="283"/>
        <w:jc w:val="left"/>
      </w:pPr>
      <w:r>
        <w:rPr>
          <w:rFonts w:ascii="Times New Roman" w:hAnsi="Times New Roman" w:cs="Times New Roman"/>
          <w:b w:val="0"/>
          <w:i w:val="0"/>
          <w:sz w:val="22"/>
        </w:rPr>
        <w:t>- Incoterm dropdown with auto-configuration.</w:t>
      </w:r>
    </w:p>
    <w:p>
      <w:pPr>
        <w:spacing w:after="80" w:line="293" w:lineRule="auto"/>
        <w:ind w:left="283"/>
        <w:jc w:val="left"/>
      </w:pPr>
      <w:r>
        <w:rPr>
          <w:rFonts w:ascii="Times New Roman" w:hAnsi="Times New Roman" w:cs="Times New Roman"/>
          <w:b w:val="0"/>
          <w:i w:val="0"/>
          <w:sz w:val="22"/>
        </w:rPr>
        <w:t>- Structured container form with cloning, bulk edit, drag-and-drop.</w:t>
      </w:r>
    </w:p>
    <w:p>
      <w:pPr>
        <w:spacing w:after="80" w:line="293" w:lineRule="auto"/>
        <w:ind w:left="283"/>
        <w:jc w:val="left"/>
      </w:pPr>
      <w:r>
        <w:rPr>
          <w:rFonts w:ascii="Times New Roman" w:hAnsi="Times New Roman" w:cs="Times New Roman"/>
          <w:b w:val="0"/>
          <w:i w:val="0"/>
          <w:sz w:val="22"/>
        </w:rPr>
        <w:t>- Commodity Type dropdown with filtered product dropdown.</w:t>
      </w:r>
    </w:p>
    <w:p>
      <w:pPr>
        <w:spacing w:after="80" w:line="293" w:lineRule="auto"/>
        <w:ind w:left="283"/>
        <w:jc w:val="left"/>
      </w:pPr>
      <w:r>
        <w:rPr>
          <w:rFonts w:ascii="Times New Roman" w:hAnsi="Times New Roman" w:cs="Times New Roman"/>
          <w:b w:val="0"/>
          <w:i w:val="0"/>
          <w:sz w:val="22"/>
        </w:rPr>
        <w:t>- Two-way smart product/HS code input.</w:t>
      </w:r>
    </w:p>
    <w:p>
      <w:pPr>
        <w:spacing w:after="80" w:line="293" w:lineRule="auto"/>
        <w:ind w:left="283"/>
        <w:jc w:val="left"/>
      </w:pPr>
      <w:r>
        <w:rPr>
          <w:rFonts w:ascii="Times New Roman" w:hAnsi="Times New Roman" w:cs="Times New Roman"/>
          <w:b w:val="0"/>
          <w:i w:val="0"/>
          <w:sz w:val="22"/>
        </w:rPr>
        <w:t>- Product Form Agent integration (A2) for dynamic specifications.</w:t>
      </w:r>
    </w:p>
    <w:p>
      <w:pPr>
        <w:spacing w:after="80" w:line="293" w:lineRule="auto"/>
        <w:ind w:left="283"/>
        <w:jc w:val="left"/>
      </w:pPr>
      <w:r>
        <w:rPr>
          <w:rFonts w:ascii="Times New Roman" w:hAnsi="Times New Roman" w:cs="Times New Roman"/>
          <w:b w:val="0"/>
          <w:i w:val="0"/>
          <w:sz w:val="22"/>
        </w:rPr>
        <w:t>- AI Container Advisor (A1, advisory).</w:t>
      </w:r>
    </w:p>
    <w:p>
      <w:pPr>
        <w:spacing w:after="80" w:line="293" w:lineRule="auto"/>
        <w:ind w:left="283"/>
        <w:jc w:val="left"/>
      </w:pPr>
      <w:r>
        <w:rPr>
          <w:rFonts w:ascii="Times New Roman" w:hAnsi="Times New Roman" w:cs="Times New Roman"/>
          <w:b w:val="0"/>
          <w:i w:val="0"/>
          <w:sz w:val="22"/>
        </w:rPr>
        <w:t>- Multi-shipment schedule builder.</w:t>
      </w:r>
    </w:p>
    <w:p>
      <w:pPr>
        <w:spacing w:after="80" w:line="293" w:lineRule="auto"/>
        <w:ind w:left="283"/>
        <w:jc w:val="left"/>
      </w:pPr>
      <w:r>
        <w:rPr>
          <w:rFonts w:ascii="Times New Roman" w:hAnsi="Times New Roman" w:cs="Times New Roman"/>
          <w:b w:val="0"/>
          <w:i w:val="0"/>
          <w:sz w:val="22"/>
        </w:rPr>
        <w:t>- Marketplace attribution detection and dispute workflow.</w:t>
      </w:r>
    </w:p>
    <w:p>
      <w:pPr>
        <w:spacing w:after="80" w:line="293" w:lineRule="auto"/>
        <w:ind w:left="283"/>
        <w:jc w:val="left"/>
      </w:pPr>
      <w:r>
        <w:rPr>
          <w:rFonts w:ascii="Times New Roman" w:hAnsi="Times New Roman" w:cs="Times New Roman"/>
          <w:b w:val="0"/>
          <w:i w:val="0"/>
          <w:sz w:val="22"/>
        </w:rPr>
        <w:t>- Draft auto-save (every 30s) and recovery.</w:t>
      </w:r>
    </w:p>
    <w:p>
      <w:pPr>
        <w:spacing w:after="80" w:line="293" w:lineRule="auto"/>
        <w:ind w:left="283"/>
        <w:jc w:val="left"/>
      </w:pPr>
      <w:r>
        <w:rPr>
          <w:rFonts w:ascii="Times New Roman" w:hAnsi="Times New Roman" w:cs="Times New Roman"/>
          <w:b w:val="0"/>
          <w:i w:val="0"/>
          <w:sz w:val="22"/>
        </w:rPr>
        <w:t>- Governor pre-screen integration (A4 + A2).</w:t>
      </w:r>
    </w:p>
    <w:p>
      <w:pPr>
        <w:spacing w:after="80" w:line="293" w:lineRule="auto"/>
        <w:ind w:left="283"/>
        <w:jc w:val="left"/>
      </w:pPr>
      <w:r>
        <w:rPr>
          <w:rFonts w:ascii="Times New Roman" w:hAnsi="Times New Roman" w:cs="Times New Roman"/>
          <w:b w:val="0"/>
          <w:i w:val="0"/>
          <w:sz w:val="22"/>
        </w:rPr>
        <w:t>- Decision Panel integration for CONDITIONAL/DENY.</w:t>
      </w:r>
    </w:p>
    <w:p>
      <w:pPr>
        <w:keepNext/>
        <w:spacing w:before="140" w:after="60"/>
        <w:outlineLvl w:val="3"/>
      </w:pPr>
      <w:r>
        <w:rPr>
          <w:rFonts w:ascii="Arial" w:hAnsi="Arial" w:cs="Arial"/>
          <w:b/>
          <w:i/>
          <w:color w:val="333333"/>
          <w:sz w:val="22"/>
        </w:rPr>
        <w:t>16.9.7.3 Quote Review &amp; Negotiation</w:t>
      </w:r>
    </w:p>
    <w:p>
      <w:pPr>
        <w:spacing w:after="80" w:line="293" w:lineRule="auto"/>
        <w:ind w:left="283"/>
        <w:jc w:val="left"/>
      </w:pPr>
      <w:r>
        <w:rPr>
          <w:rFonts w:ascii="Times New Roman" w:hAnsi="Times New Roman" w:cs="Times New Roman"/>
          <w:b w:val="0"/>
          <w:i w:val="0"/>
          <w:sz w:val="22"/>
        </w:rPr>
        <w:t>- Comparison table for primary/alternative ports.</w:t>
      </w:r>
    </w:p>
    <w:p>
      <w:pPr>
        <w:spacing w:after="80" w:line="293" w:lineRule="auto"/>
        <w:ind w:left="283"/>
        <w:jc w:val="left"/>
      </w:pPr>
      <w:r>
        <w:rPr>
          <w:rFonts w:ascii="Times New Roman" w:hAnsi="Times New Roman" w:cs="Times New Roman"/>
          <w:b w:val="0"/>
          <w:i w:val="0"/>
          <w:sz w:val="22"/>
        </w:rPr>
        <w:t>- Landed Cost Breakdown expandable.</w:t>
      </w:r>
    </w:p>
    <w:p>
      <w:pPr>
        <w:spacing w:after="80" w:line="293" w:lineRule="auto"/>
        <w:ind w:left="283"/>
        <w:jc w:val="left"/>
      </w:pPr>
      <w:r>
        <w:rPr>
          <w:rFonts w:ascii="Times New Roman" w:hAnsi="Times New Roman" w:cs="Times New Roman"/>
          <w:b w:val="0"/>
          <w:i w:val="0"/>
          <w:sz w:val="22"/>
        </w:rPr>
        <w:t>- Negotiation panel with three columns (history, current offer, chat).</w:t>
      </w:r>
    </w:p>
    <w:p>
      <w:pPr>
        <w:spacing w:after="80" w:line="293" w:lineRule="auto"/>
        <w:ind w:left="283"/>
        <w:jc w:val="left"/>
      </w:pPr>
      <w:r>
        <w:rPr>
          <w:rFonts w:ascii="Times New Roman" w:hAnsi="Times New Roman" w:cs="Times New Roman"/>
          <w:b w:val="0"/>
          <w:i w:val="0"/>
          <w:sz w:val="22"/>
        </w:rPr>
        <w:t>- Partial acceptance.</w:t>
      </w:r>
    </w:p>
    <w:p>
      <w:pPr>
        <w:spacing w:after="80" w:line="293" w:lineRule="auto"/>
        <w:ind w:left="283"/>
        <w:jc w:val="left"/>
      </w:pPr>
      <w:r>
        <w:rPr>
          <w:rFonts w:ascii="Times New Roman" w:hAnsi="Times New Roman" w:cs="Times New Roman"/>
          <w:b w:val="0"/>
          <w:i w:val="0"/>
          <w:sz w:val="22"/>
        </w:rPr>
        <w:t>- Counter-offer with reason.</w:t>
      </w:r>
    </w:p>
    <w:p>
      <w:pPr>
        <w:spacing w:after="80" w:line="293" w:lineRule="auto"/>
        <w:ind w:left="283"/>
        <w:jc w:val="left"/>
      </w:pPr>
      <w:r>
        <w:rPr>
          <w:rFonts w:ascii="Times New Roman" w:hAnsi="Times New Roman" w:cs="Times New Roman"/>
          <w:b w:val="0"/>
          <w:i w:val="0"/>
          <w:sz w:val="22"/>
        </w:rPr>
        <w:t>- Deadline extension request.</w:t>
      </w:r>
    </w:p>
    <w:p>
      <w:pPr>
        <w:spacing w:after="80" w:line="293" w:lineRule="auto"/>
        <w:ind w:left="283"/>
        <w:jc w:val="left"/>
      </w:pPr>
      <w:r>
        <w:rPr>
          <w:rFonts w:ascii="Times New Roman" w:hAnsi="Times New Roman" w:cs="Times New Roman"/>
          <w:b w:val="0"/>
          <w:i w:val="0"/>
          <w:sz w:val="22"/>
        </w:rPr>
        <w:t>- Visual diff for amendments.</w:t>
      </w:r>
    </w:p>
    <w:p>
      <w:pPr>
        <w:spacing w:after="80" w:line="293" w:lineRule="auto"/>
        <w:ind w:left="283"/>
        <w:jc w:val="left"/>
      </w:pPr>
      <w:r>
        <w:rPr>
          <w:rFonts w:ascii="Times New Roman" w:hAnsi="Times New Roman" w:cs="Times New Roman"/>
          <w:b w:val="0"/>
          <w:i w:val="0"/>
          <w:sz w:val="22"/>
        </w:rPr>
        <w:t>- Mutual confirmation endpoint.</w:t>
      </w:r>
    </w:p>
    <w:p>
      <w:pPr>
        <w:keepNext/>
        <w:spacing w:before="140" w:after="60"/>
        <w:outlineLvl w:val="3"/>
      </w:pPr>
      <w:r>
        <w:rPr>
          <w:rFonts w:ascii="Arial" w:hAnsi="Arial" w:cs="Arial"/>
          <w:b/>
          <w:i/>
          <w:color w:val="333333"/>
          <w:sz w:val="22"/>
        </w:rPr>
        <w:t>16.9.7.4 Contract Signing</w:t>
      </w:r>
    </w:p>
    <w:p>
      <w:pPr>
        <w:spacing w:after="80" w:line="293" w:lineRule="auto"/>
        <w:ind w:left="283"/>
        <w:jc w:val="left"/>
      </w:pPr>
      <w:r>
        <w:rPr>
          <w:rFonts w:ascii="Times New Roman" w:hAnsi="Times New Roman" w:cs="Times New Roman"/>
          <w:b w:val="0"/>
          <w:i w:val="0"/>
          <w:sz w:val="22"/>
        </w:rPr>
        <w:t>- Clause Forge integration (A2) for contract generation.</w:t>
      </w:r>
    </w:p>
    <w:p>
      <w:pPr>
        <w:spacing w:after="80" w:line="293" w:lineRule="auto"/>
        <w:ind w:left="283"/>
        <w:jc w:val="left"/>
      </w:pPr>
      <w:r>
        <w:rPr>
          <w:rFonts w:ascii="Times New Roman" w:hAnsi="Times New Roman" w:cs="Times New Roman"/>
          <w:b w:val="0"/>
          <w:i w:val="0"/>
          <w:sz w:val="22"/>
        </w:rPr>
        <w:t>- Mandatory SGTX Witness Clause insertion.</w:t>
      </w:r>
    </w:p>
    <w:p>
      <w:pPr>
        <w:spacing w:after="80" w:line="293" w:lineRule="auto"/>
        <w:ind w:left="283"/>
        <w:jc w:val="left"/>
      </w:pPr>
      <w:r>
        <w:rPr>
          <w:rFonts w:ascii="Times New Roman" w:hAnsi="Times New Roman" w:cs="Times New Roman"/>
          <w:b w:val="0"/>
          <w:i w:val="0"/>
          <w:sz w:val="22"/>
        </w:rPr>
        <w:t>- Own-contract upload with HF Donut extraction.</w:t>
      </w:r>
    </w:p>
    <w:p>
      <w:pPr>
        <w:spacing w:after="80" w:line="293" w:lineRule="auto"/>
        <w:ind w:left="283"/>
        <w:jc w:val="left"/>
      </w:pPr>
      <w:r>
        <w:rPr>
          <w:rFonts w:ascii="Times New Roman" w:hAnsi="Times New Roman" w:cs="Times New Roman"/>
          <w:b w:val="0"/>
          <w:i w:val="0"/>
          <w:sz w:val="22"/>
        </w:rPr>
        <w:t>- SGTX FEES Addendum for own-contract uploads.</w:t>
      </w:r>
    </w:p>
    <w:p>
      <w:pPr>
        <w:spacing w:after="80" w:line="293" w:lineRule="auto"/>
        <w:ind w:left="283"/>
        <w:jc w:val="left"/>
      </w:pPr>
      <w:r>
        <w:rPr>
          <w:rFonts w:ascii="Times New Roman" w:hAnsi="Times New Roman" w:cs="Times New Roman"/>
          <w:b w:val="0"/>
          <w:i w:val="0"/>
          <w:sz w:val="22"/>
        </w:rPr>
        <w:t>- ZITADEL passkey signature.</w:t>
      </w:r>
    </w:p>
    <w:p>
      <w:pPr>
        <w:spacing w:after="80" w:line="293" w:lineRule="auto"/>
        <w:ind w:left="283"/>
        <w:jc w:val="left"/>
      </w:pPr>
      <w:r>
        <w:rPr>
          <w:rFonts w:ascii="Times New Roman" w:hAnsi="Times New Roman" w:cs="Times New Roman"/>
          <w:b w:val="0"/>
          <w:i w:val="0"/>
          <w:sz w:val="22"/>
        </w:rPr>
        <w:t>- Logistics addenda tracking and reminder.</w:t>
      </w:r>
    </w:p>
    <w:p>
      <w:pPr>
        <w:spacing w:after="80" w:line="293" w:lineRule="auto"/>
        <w:ind w:left="283"/>
        <w:jc w:val="left"/>
      </w:pPr>
      <w:r>
        <w:rPr>
          <w:rFonts w:ascii="Times New Roman" w:hAnsi="Times New Roman" w:cs="Times New Roman"/>
          <w:b w:val="0"/>
          <w:i w:val="0"/>
          <w:sz w:val="22"/>
        </w:rPr>
        <w:t>- Governor validation for contract consistency.</w:t>
      </w:r>
    </w:p>
    <w:p>
      <w:pPr>
        <w:keepNext/>
        <w:spacing w:before="140" w:after="60"/>
        <w:outlineLvl w:val="3"/>
      </w:pPr>
      <w:r>
        <w:rPr>
          <w:rFonts w:ascii="Arial" w:hAnsi="Arial" w:cs="Arial"/>
          <w:b/>
          <w:i/>
          <w:color w:val="333333"/>
          <w:sz w:val="22"/>
        </w:rPr>
        <w:t>16.9.7.5 Shipments (Shared Vault)</w:t>
      </w:r>
    </w:p>
    <w:p>
      <w:pPr>
        <w:spacing w:after="80" w:line="293" w:lineRule="auto"/>
        <w:ind w:left="283"/>
        <w:jc w:val="left"/>
      </w:pPr>
      <w:r>
        <w:rPr>
          <w:rFonts w:ascii="Times New Roman" w:hAnsi="Times New Roman" w:cs="Times New Roman"/>
          <w:b w:val="0"/>
          <w:i w:val="0"/>
          <w:sz w:val="22"/>
        </w:rPr>
        <w:t>- Shared Shipments Vault with buyer-specific columns (Seller Name, Customs Readiness, Documents</w:t>
      </w:r>
    </w:p>
    <w:p>
      <w:pPr>
        <w:spacing w:after="80" w:line="293" w:lineRule="auto"/>
        <w:jc w:val="left"/>
      </w:pPr>
      <w:r>
        <w:rPr>
          <w:rFonts w:ascii="Times New Roman" w:hAnsi="Times New Roman" w:cs="Times New Roman"/>
          <w:b w:val="0"/>
          <w:i w:val="0"/>
          <w:sz w:val="22"/>
        </w:rPr>
        <w:t>Missing).</w:t>
      </w:r>
    </w:p>
    <w:p>
      <w:pPr>
        <w:spacing w:after="80" w:line="293" w:lineRule="auto"/>
        <w:ind w:left="283"/>
        <w:jc w:val="left"/>
      </w:pPr>
      <w:r>
        <w:rPr>
          <w:rFonts w:ascii="Times New Roman" w:hAnsi="Times New Roman" w:cs="Times New Roman"/>
          <w:b w:val="0"/>
          <w:i w:val="0"/>
          <w:sz w:val="22"/>
        </w:rPr>
        <w:t>- Filter chips (Status, Commodity, Port, Date Range).</w:t>
      </w:r>
    </w:p>
    <w:p>
      <w:pPr>
        <w:spacing w:after="80" w:line="293" w:lineRule="auto"/>
        <w:ind w:left="283"/>
        <w:jc w:val="left"/>
      </w:pPr>
      <w:r>
        <w:rPr>
          <w:rFonts w:ascii="Times New Roman" w:hAnsi="Times New Roman" w:cs="Times New Roman"/>
          <w:b w:val="0"/>
          <w:i w:val="0"/>
          <w:sz w:val="22"/>
        </w:rPr>
        <w:t>- Map view for vessel tracking.</w:t>
      </w:r>
    </w:p>
    <w:p>
      <w:pPr>
        <w:spacing w:after="80" w:line="293" w:lineRule="auto"/>
        <w:ind w:left="283"/>
        <w:jc w:val="left"/>
      </w:pPr>
      <w:r>
        <w:rPr>
          <w:rFonts w:ascii="Times New Roman" w:hAnsi="Times New Roman" w:cs="Times New Roman"/>
          <w:b w:val="0"/>
          <w:i w:val="0"/>
          <w:sz w:val="22"/>
        </w:rPr>
        <w:t>- Export functionality (CSV/PDF).</w:t>
      </w:r>
    </w:p>
    <w:p>
      <w:pPr>
        <w:spacing w:after="80" w:line="293" w:lineRule="auto"/>
        <w:ind w:left="283"/>
        <w:jc w:val="left"/>
      </w:pPr>
      <w:r>
        <w:rPr>
          <w:rFonts w:ascii="Times New Roman" w:hAnsi="Times New Roman" w:cs="Times New Roman"/>
          <w:b w:val="0"/>
          <w:i w:val="0"/>
          <w:sz w:val="22"/>
        </w:rPr>
        <w:t>- Slide-out detail panel with Customs Readiness tab.</w:t>
      </w:r>
    </w:p>
    <w:p>
      <w:pPr>
        <w:keepNext/>
        <w:spacing w:before="140" w:after="60"/>
        <w:outlineLvl w:val="3"/>
      </w:pPr>
      <w:r>
        <w:rPr>
          <w:rFonts w:ascii="Arial" w:hAnsi="Arial" w:cs="Arial"/>
          <w:b/>
          <w:i/>
          <w:color w:val="333333"/>
          <w:sz w:val="22"/>
        </w:rPr>
        <w:t>16.9.7.6 Documents</w:t>
      </w:r>
    </w:p>
    <w:p>
      <w:pPr>
        <w:spacing w:after="80" w:line="293" w:lineRule="auto"/>
        <w:ind w:left="283"/>
        <w:jc w:val="left"/>
      </w:pPr>
      <w:r>
        <w:rPr>
          <w:rFonts w:ascii="Times New Roman" w:hAnsi="Times New Roman" w:cs="Times New Roman"/>
          <w:b w:val="0"/>
          <w:i w:val="0"/>
          <w:sz w:val="22"/>
        </w:rPr>
        <w:t>- RIA-driven document checklist.</w:t>
      </w:r>
    </w:p>
    <w:p>
      <w:pPr>
        <w:spacing w:after="80" w:line="293" w:lineRule="auto"/>
        <w:ind w:left="283"/>
        <w:jc w:val="left"/>
      </w:pPr>
      <w:r>
        <w:rPr>
          <w:rFonts w:ascii="Times New Roman" w:hAnsi="Times New Roman" w:cs="Times New Roman"/>
          <w:b w:val="0"/>
          <w:i w:val="0"/>
          <w:sz w:val="22"/>
        </w:rPr>
        <w:t>- Document upload with HF Donut extraction.</w:t>
      </w:r>
    </w:p>
    <w:p>
      <w:pPr>
        <w:spacing w:after="80" w:line="293" w:lineRule="auto"/>
        <w:ind w:left="283"/>
        <w:jc w:val="left"/>
      </w:pPr>
      <w:r>
        <w:rPr>
          <w:rFonts w:ascii="Times New Roman" w:hAnsi="Times New Roman" w:cs="Times New Roman"/>
          <w:b w:val="0"/>
          <w:i w:val="0"/>
          <w:sz w:val="22"/>
        </w:rPr>
        <w:t>- Document request (one-click to counterparty).</w:t>
      </w:r>
    </w:p>
    <w:p>
      <w:pPr>
        <w:spacing w:after="80" w:line="293" w:lineRule="auto"/>
        <w:ind w:left="283"/>
        <w:jc w:val="left"/>
      </w:pPr>
      <w:r>
        <w:rPr>
          <w:rFonts w:ascii="Times New Roman" w:hAnsi="Times New Roman" w:cs="Times New Roman"/>
          <w:b w:val="0"/>
          <w:i w:val="0"/>
          <w:sz w:val="22"/>
        </w:rPr>
        <w:t>- Document verification with discrepancy flagging.</w:t>
      </w:r>
    </w:p>
    <w:p>
      <w:pPr>
        <w:spacing w:after="80" w:line="293" w:lineRule="auto"/>
        <w:ind w:left="283"/>
        <w:jc w:val="left"/>
      </w:pPr>
      <w:r>
        <w:rPr>
          <w:rFonts w:ascii="Times New Roman" w:hAnsi="Times New Roman" w:cs="Times New Roman"/>
          <w:b w:val="0"/>
          <w:i w:val="0"/>
          <w:sz w:val="22"/>
        </w:rPr>
        <w:t>- Document expiry alerts.</w:t>
      </w:r>
    </w:p>
    <w:p>
      <w:pPr>
        <w:spacing w:after="80" w:line="293" w:lineRule="auto"/>
        <w:ind w:left="283"/>
        <w:jc w:val="left"/>
      </w:pPr>
      <w:r>
        <w:rPr>
          <w:rFonts w:ascii="Times New Roman" w:hAnsi="Times New Roman" w:cs="Times New Roman"/>
          <w:b w:val="0"/>
          <w:i w:val="0"/>
          <w:sz w:val="22"/>
        </w:rPr>
        <w:t>- PDF viewer with SHA256 hash.</w:t>
      </w:r>
    </w:p>
    <w:p>
      <w:pPr>
        <w:keepNext/>
        <w:spacing w:before="140" w:after="60"/>
        <w:outlineLvl w:val="3"/>
      </w:pPr>
      <w:r>
        <w:rPr>
          <w:rFonts w:ascii="Arial" w:hAnsi="Arial" w:cs="Arial"/>
          <w:b/>
          <w:i/>
          <w:color w:val="333333"/>
          <w:sz w:val="22"/>
        </w:rPr>
        <w:t>16.9.7.7 Distressed Cargo</w:t>
      </w:r>
    </w:p>
    <w:p>
      <w:pPr>
        <w:spacing w:after="80" w:line="293" w:lineRule="auto"/>
        <w:ind w:left="283"/>
        <w:jc w:val="left"/>
      </w:pPr>
      <w:r>
        <w:rPr>
          <w:rFonts w:ascii="Times New Roman" w:hAnsi="Times New Roman" w:cs="Times New Roman"/>
          <w:b w:val="0"/>
          <w:i w:val="0"/>
          <w:sz w:val="22"/>
        </w:rPr>
        <w:t>- Distressed listings list (filtered to saved contacts).</w:t>
      </w:r>
    </w:p>
    <w:p>
      <w:pPr>
        <w:spacing w:after="80" w:line="293" w:lineRule="auto"/>
        <w:ind w:left="283"/>
        <w:jc w:val="left"/>
      </w:pPr>
      <w:r>
        <w:rPr>
          <w:rFonts w:ascii="Times New Roman" w:hAnsi="Times New Roman" w:cs="Times New Roman"/>
          <w:b w:val="0"/>
          <w:i w:val="0"/>
          <w:sz w:val="22"/>
        </w:rPr>
        <w:t>- Listing detail view with AI condition report.</w:t>
      </w:r>
    </w:p>
    <w:p>
      <w:pPr>
        <w:spacing w:after="80" w:line="293" w:lineRule="auto"/>
        <w:ind w:left="283"/>
        <w:jc w:val="left"/>
      </w:pPr>
      <w:r>
        <w:rPr>
          <w:rFonts w:ascii="Times New Roman" w:hAnsi="Times New Roman" w:cs="Times New Roman"/>
          <w:b w:val="0"/>
          <w:i w:val="0"/>
          <w:sz w:val="22"/>
        </w:rPr>
        <w:t>- Offer submission with express negotiation bot.</w:t>
      </w:r>
    </w:p>
    <w:p>
      <w:pPr>
        <w:spacing w:after="80" w:line="293" w:lineRule="auto"/>
        <w:ind w:left="283"/>
        <w:jc w:val="left"/>
      </w:pPr>
      <w:r>
        <w:rPr>
          <w:rFonts w:ascii="Times New Roman" w:hAnsi="Times New Roman" w:cs="Times New Roman"/>
          <w:b w:val="0"/>
          <w:i w:val="0"/>
          <w:sz w:val="22"/>
        </w:rPr>
        <w:t>- Counter-offer workflow.</w:t>
      </w:r>
    </w:p>
    <w:p>
      <w:pPr>
        <w:spacing w:after="80" w:line="293" w:lineRule="auto"/>
        <w:ind w:left="283"/>
        <w:jc w:val="left"/>
      </w:pPr>
      <w:r>
        <w:rPr>
          <w:rFonts w:ascii="Times New Roman" w:hAnsi="Times New Roman" w:cs="Times New Roman"/>
          <w:b w:val="0"/>
          <w:i w:val="0"/>
          <w:sz w:val="22"/>
        </w:rPr>
        <w:t>- Microcontract signing and tracking.</w:t>
      </w:r>
    </w:p>
    <w:p>
      <w:pPr>
        <w:keepNext/>
        <w:spacing w:before="140" w:after="60"/>
        <w:outlineLvl w:val="3"/>
      </w:pPr>
      <w:r>
        <w:rPr>
          <w:rFonts w:ascii="Arial" w:hAnsi="Arial" w:cs="Arial"/>
          <w:b/>
          <w:i/>
          <w:color w:val="333333"/>
          <w:sz w:val="22"/>
        </w:rPr>
        <w:t>16.9.7.8 Financing (Borrower)</w:t>
      </w:r>
    </w:p>
    <w:p>
      <w:pPr>
        <w:spacing w:after="80" w:line="293" w:lineRule="auto"/>
        <w:ind w:left="283"/>
        <w:jc w:val="left"/>
      </w:pPr>
      <w:r>
        <w:rPr>
          <w:rFonts w:ascii="Times New Roman" w:hAnsi="Times New Roman" w:cs="Times New Roman"/>
          <w:b w:val="0"/>
          <w:i w:val="0"/>
          <w:sz w:val="22"/>
        </w:rPr>
        <w:t>- Financing request form with AI LTV recommendation.</w:t>
      </w:r>
    </w:p>
    <w:p>
      <w:pPr>
        <w:spacing w:after="80" w:line="293" w:lineRule="auto"/>
        <w:ind w:left="283"/>
        <w:jc w:val="left"/>
      </w:pPr>
      <w:r>
        <w:rPr>
          <w:rFonts w:ascii="Times New Roman" w:hAnsi="Times New Roman" w:cs="Times New Roman"/>
          <w:b w:val="0"/>
          <w:i w:val="0"/>
          <w:sz w:val="22"/>
        </w:rPr>
        <w:t>- Credit intelligence display (A2).</w:t>
      </w:r>
    </w:p>
    <w:p>
      <w:pPr>
        <w:spacing w:after="80" w:line="293" w:lineRule="auto"/>
        <w:ind w:left="283"/>
        <w:jc w:val="left"/>
      </w:pPr>
      <w:r>
        <w:rPr>
          <w:rFonts w:ascii="Times New Roman" w:hAnsi="Times New Roman" w:cs="Times New Roman"/>
          <w:b w:val="0"/>
          <w:i w:val="0"/>
          <w:sz w:val="22"/>
        </w:rPr>
        <w:t>- Auto-RFQ broadcast (background).</w:t>
      </w:r>
    </w:p>
    <w:p>
      <w:pPr>
        <w:spacing w:after="80" w:line="293" w:lineRule="auto"/>
        <w:ind w:left="283"/>
        <w:jc w:val="left"/>
      </w:pPr>
      <w:r>
        <w:rPr>
          <w:rFonts w:ascii="Times New Roman" w:hAnsi="Times New Roman" w:cs="Times New Roman"/>
          <w:b w:val="0"/>
          <w:i w:val="0"/>
          <w:sz w:val="22"/>
        </w:rPr>
        <w:t>- Bid comparison table with co-financing.</w:t>
      </w:r>
    </w:p>
    <w:p>
      <w:pPr>
        <w:spacing w:after="80" w:line="293" w:lineRule="auto"/>
        <w:ind w:left="283"/>
        <w:jc w:val="left"/>
      </w:pPr>
      <w:r>
        <w:rPr>
          <w:rFonts w:ascii="Times New Roman" w:hAnsi="Times New Roman" w:cs="Times New Roman"/>
          <w:b w:val="0"/>
          <w:i w:val="0"/>
          <w:sz w:val="22"/>
        </w:rPr>
        <w:t>- Financing agreement signing.</w:t>
      </w:r>
    </w:p>
    <w:p>
      <w:pPr>
        <w:spacing w:after="80" w:line="293" w:lineRule="auto"/>
        <w:ind w:left="283"/>
        <w:jc w:val="left"/>
      </w:pPr>
      <w:r>
        <w:rPr>
          <w:rFonts w:ascii="Times New Roman" w:hAnsi="Times New Roman" w:cs="Times New Roman"/>
          <w:b w:val="0"/>
          <w:i w:val="0"/>
          <w:sz w:val="22"/>
        </w:rPr>
        <w:t>- Disbursement monitoring.</w:t>
      </w:r>
    </w:p>
    <w:p>
      <w:pPr>
        <w:spacing w:after="80" w:line="293" w:lineRule="auto"/>
        <w:ind w:left="283"/>
        <w:jc w:val="left"/>
      </w:pPr>
      <w:r>
        <w:rPr>
          <w:rFonts w:ascii="Times New Roman" w:hAnsi="Times New Roman" w:cs="Times New Roman"/>
          <w:b w:val="0"/>
          <w:i w:val="0"/>
          <w:sz w:val="22"/>
        </w:rPr>
        <w:t>- Repayment monitoring.</w:t>
      </w:r>
    </w:p>
    <w:p>
      <w:pPr>
        <w:spacing w:after="80" w:line="293" w:lineRule="auto"/>
        <w:ind w:left="283"/>
        <w:jc w:val="left"/>
      </w:pPr>
      <w:r>
        <w:rPr>
          <w:rFonts w:ascii="Times New Roman" w:hAnsi="Times New Roman" w:cs="Times New Roman"/>
          <w:b w:val="0"/>
          <w:i w:val="0"/>
          <w:sz w:val="22"/>
        </w:rPr>
        <w:t>- Active loans dashboard.</w:t>
      </w:r>
    </w:p>
    <w:p>
      <w:pPr>
        <w:keepNext/>
        <w:spacing w:before="140" w:after="60"/>
        <w:outlineLvl w:val="3"/>
      </w:pPr>
      <w:r>
        <w:rPr>
          <w:rFonts w:ascii="Arial" w:hAnsi="Arial" w:cs="Arial"/>
          <w:b/>
          <w:i/>
          <w:color w:val="333333"/>
          <w:sz w:val="22"/>
        </w:rPr>
        <w:t>16.9.7.9 Invoices &amp; Payments</w:t>
      </w:r>
    </w:p>
    <w:p>
      <w:pPr>
        <w:spacing w:after="80" w:line="293" w:lineRule="auto"/>
        <w:ind w:left="283"/>
        <w:jc w:val="left"/>
      </w:pPr>
      <w:r>
        <w:rPr>
          <w:rFonts w:ascii="Times New Roman" w:hAnsi="Times New Roman" w:cs="Times New Roman"/>
          <w:b w:val="0"/>
          <w:i w:val="0"/>
          <w:sz w:val="22"/>
        </w:rPr>
        <w:t>- Invoice list with status filtering.</w:t>
      </w:r>
    </w:p>
    <w:p>
      <w:pPr>
        <w:spacing w:after="80" w:line="293" w:lineRule="auto"/>
        <w:ind w:left="283"/>
        <w:jc w:val="left"/>
      </w:pPr>
      <w:r>
        <w:rPr>
          <w:rFonts w:ascii="Times New Roman" w:hAnsi="Times New Roman" w:cs="Times New Roman"/>
          <w:b w:val="0"/>
          <w:i w:val="0"/>
          <w:sz w:val="22"/>
        </w:rPr>
        <w:t>- Invoice detail view with PDF download.</w:t>
      </w:r>
    </w:p>
    <w:p>
      <w:pPr>
        <w:spacing w:after="80" w:line="293" w:lineRule="auto"/>
        <w:ind w:left="283"/>
        <w:jc w:val="left"/>
      </w:pPr>
      <w:r>
        <w:rPr>
          <w:rFonts w:ascii="Times New Roman" w:hAnsi="Times New Roman" w:cs="Times New Roman"/>
          <w:b w:val="0"/>
          <w:i w:val="0"/>
          <w:sz w:val="22"/>
        </w:rPr>
        <w:t>- Payment buttons for buyer-responsible invoices.</w:t>
      </w:r>
    </w:p>
    <w:p>
      <w:pPr>
        <w:spacing w:after="80" w:line="293" w:lineRule="auto"/>
        <w:ind w:left="283"/>
        <w:jc w:val="left"/>
      </w:pPr>
      <w:r>
        <w:rPr>
          <w:rFonts w:ascii="Times New Roman" w:hAnsi="Times New Roman" w:cs="Times New Roman"/>
          <w:b w:val="0"/>
          <w:i w:val="0"/>
          <w:sz w:val="22"/>
        </w:rPr>
        <w:t>- Settlement approval (one click or voice).</w:t>
      </w:r>
    </w:p>
    <w:p>
      <w:pPr>
        <w:spacing w:after="80" w:line="293" w:lineRule="auto"/>
        <w:ind w:left="283"/>
        <w:jc w:val="left"/>
      </w:pPr>
      <w:r>
        <w:rPr>
          <w:rFonts w:ascii="Times New Roman" w:hAnsi="Times New Roman" w:cs="Times New Roman"/>
          <w:b w:val="0"/>
          <w:i w:val="0"/>
          <w:sz w:val="22"/>
        </w:rPr>
        <w:t>- Milestone-based pre-approval.</w:t>
      </w:r>
    </w:p>
    <w:p>
      <w:pPr>
        <w:spacing w:after="80" w:line="293" w:lineRule="auto"/>
        <w:ind w:left="283"/>
        <w:jc w:val="left"/>
      </w:pPr>
      <w:r>
        <w:rPr>
          <w:rFonts w:ascii="Times New Roman" w:hAnsi="Times New Roman" w:cs="Times New Roman"/>
          <w:b w:val="0"/>
          <w:i w:val="0"/>
          <w:sz w:val="22"/>
        </w:rPr>
        <w:t>- Payment history.</w:t>
      </w:r>
    </w:p>
    <w:p>
      <w:pPr>
        <w:keepNext/>
        <w:spacing w:before="140" w:after="60"/>
        <w:outlineLvl w:val="3"/>
      </w:pPr>
      <w:r>
        <w:rPr>
          <w:rFonts w:ascii="Arial" w:hAnsi="Arial" w:cs="Arial"/>
          <w:b/>
          <w:i/>
          <w:color w:val="333333"/>
          <w:sz w:val="22"/>
        </w:rPr>
        <w:t>16.9.7.10 Disputes</w:t>
      </w:r>
    </w:p>
    <w:p>
      <w:pPr>
        <w:spacing w:after="80" w:line="293" w:lineRule="auto"/>
        <w:ind w:left="283"/>
        <w:jc w:val="left"/>
      </w:pPr>
      <w:r>
        <w:rPr>
          <w:rFonts w:ascii="Times New Roman" w:hAnsi="Times New Roman" w:cs="Times New Roman"/>
          <w:b w:val="0"/>
          <w:i w:val="0"/>
          <w:sz w:val="22"/>
        </w:rPr>
        <w:t>- Dispute filing with category selection.</w:t>
      </w:r>
    </w:p>
    <w:p>
      <w:pPr>
        <w:spacing w:after="80" w:line="293" w:lineRule="auto"/>
        <w:ind w:left="283"/>
        <w:jc w:val="left"/>
      </w:pPr>
      <w:r>
        <w:rPr>
          <w:rFonts w:ascii="Times New Roman" w:hAnsi="Times New Roman" w:cs="Times New Roman"/>
          <w:b w:val="0"/>
          <w:i w:val="0"/>
          <w:sz w:val="22"/>
        </w:rPr>
        <w:t>- Evidence autocompiler (A2).</w:t>
      </w:r>
    </w:p>
    <w:p>
      <w:pPr>
        <w:spacing w:after="80" w:line="293" w:lineRule="auto"/>
        <w:ind w:left="283"/>
        <w:jc w:val="left"/>
      </w:pPr>
      <w:r>
        <w:rPr>
          <w:rFonts w:ascii="Times New Roman" w:hAnsi="Times New Roman" w:cs="Times New Roman"/>
          <w:b w:val="0"/>
          <w:i w:val="0"/>
          <w:sz w:val="22"/>
        </w:rPr>
        <w:t>- Mediation log with Groq translation.</w:t>
      </w:r>
    </w:p>
    <w:p>
      <w:pPr>
        <w:spacing w:after="80" w:line="293" w:lineRule="auto"/>
        <w:ind w:left="283"/>
        <w:jc w:val="left"/>
      </w:pPr>
      <w:r>
        <w:rPr>
          <w:rFonts w:ascii="Times New Roman" w:hAnsi="Times New Roman" w:cs="Times New Roman"/>
          <w:b w:val="0"/>
          <w:i w:val="0"/>
          <w:sz w:val="22"/>
        </w:rPr>
        <w:t>- Third-party expert invitation (A3).</w:t>
      </w:r>
    </w:p>
    <w:p>
      <w:pPr>
        <w:spacing w:after="80" w:line="293" w:lineRule="auto"/>
        <w:ind w:left="283"/>
        <w:jc w:val="left"/>
      </w:pPr>
      <w:r>
        <w:rPr>
          <w:rFonts w:ascii="Times New Roman" w:hAnsi="Times New Roman" w:cs="Times New Roman"/>
          <w:b w:val="0"/>
          <w:i w:val="0"/>
          <w:sz w:val="22"/>
        </w:rPr>
        <w:t>- AI settlement proposal (A1/A2).</w:t>
      </w:r>
    </w:p>
    <w:p>
      <w:pPr>
        <w:spacing w:after="80" w:line="293" w:lineRule="auto"/>
        <w:ind w:left="283"/>
        <w:jc w:val="left"/>
      </w:pPr>
      <w:r>
        <w:rPr>
          <w:rFonts w:ascii="Times New Roman" w:hAnsi="Times New Roman" w:cs="Times New Roman"/>
          <w:b w:val="0"/>
          <w:i w:val="0"/>
          <w:sz w:val="22"/>
        </w:rPr>
        <w:t>- Predictive outcome display (A2).</w:t>
      </w:r>
    </w:p>
    <w:p>
      <w:pPr>
        <w:spacing w:after="80" w:line="293" w:lineRule="auto"/>
        <w:ind w:left="283"/>
        <w:jc w:val="left"/>
      </w:pPr>
      <w:r>
        <w:rPr>
          <w:rFonts w:ascii="Times New Roman" w:hAnsi="Times New Roman" w:cs="Times New Roman"/>
          <w:b w:val="0"/>
          <w:i w:val="0"/>
          <w:sz w:val="22"/>
        </w:rPr>
        <w:t>- Arbitration case preparation.</w:t>
      </w:r>
    </w:p>
    <w:p>
      <w:pPr>
        <w:spacing w:after="80" w:line="293" w:lineRule="auto"/>
        <w:ind w:left="283"/>
        <w:jc w:val="left"/>
      </w:pPr>
      <w:r>
        <w:rPr>
          <w:rFonts w:ascii="Times New Roman" w:hAnsi="Times New Roman" w:cs="Times New Roman"/>
          <w:b w:val="0"/>
          <w:i w:val="0"/>
          <w:sz w:val="22"/>
        </w:rPr>
        <w:t>- SGTX fee dispute workflow.</w:t>
      </w:r>
    </w:p>
    <w:p>
      <w:pPr>
        <w:keepNext/>
        <w:spacing w:before="140" w:after="60"/>
        <w:outlineLvl w:val="3"/>
      </w:pPr>
      <w:r>
        <w:rPr>
          <w:rFonts w:ascii="Arial" w:hAnsi="Arial" w:cs="Arial"/>
          <w:b/>
          <w:i/>
          <w:color w:val="333333"/>
          <w:sz w:val="22"/>
        </w:rPr>
        <w:t>16.9.7.11 Compliance</w:t>
      </w:r>
    </w:p>
    <w:p>
      <w:pPr>
        <w:spacing w:after="80" w:line="293" w:lineRule="auto"/>
        <w:ind w:left="283"/>
        <w:jc w:val="left"/>
      </w:pPr>
      <w:r>
        <w:rPr>
          <w:rFonts w:ascii="Times New Roman" w:hAnsi="Times New Roman" w:cs="Times New Roman"/>
          <w:b w:val="0"/>
          <w:i w:val="0"/>
          <w:sz w:val="22"/>
        </w:rPr>
        <w:t>- KYB status display.</w:t>
      </w:r>
    </w:p>
    <w:p>
      <w:pPr>
        <w:spacing w:after="80" w:line="293" w:lineRule="auto"/>
        <w:ind w:left="283"/>
        <w:jc w:val="left"/>
      </w:pPr>
      <w:r>
        <w:rPr>
          <w:rFonts w:ascii="Times New Roman" w:hAnsi="Times New Roman" w:cs="Times New Roman"/>
          <w:b w:val="0"/>
          <w:i w:val="0"/>
          <w:sz w:val="22"/>
        </w:rPr>
        <w:t>- Sanctions alerts with enhanced due-diligence requirements.</w:t>
      </w:r>
    </w:p>
    <w:p>
      <w:pPr>
        <w:spacing w:after="80" w:line="293" w:lineRule="auto"/>
        <w:ind w:left="283"/>
        <w:jc w:val="left"/>
      </w:pPr>
      <w:r>
        <w:rPr>
          <w:rFonts w:ascii="Times New Roman" w:hAnsi="Times New Roman" w:cs="Times New Roman"/>
          <w:b w:val="0"/>
          <w:i w:val="0"/>
          <w:sz w:val="22"/>
        </w:rPr>
        <w:t>- Regulatory reports (downloadable).</w:t>
      </w:r>
    </w:p>
    <w:p>
      <w:pPr>
        <w:spacing w:after="80" w:line="293" w:lineRule="auto"/>
        <w:ind w:left="283"/>
        <w:jc w:val="left"/>
      </w:pPr>
      <w:r>
        <w:rPr>
          <w:rFonts w:ascii="Times New Roman" w:hAnsi="Times New Roman" w:cs="Times New Roman"/>
          <w:b w:val="0"/>
          <w:i w:val="0"/>
          <w:sz w:val="22"/>
        </w:rPr>
        <w:t>- Consent management with granular options.</w:t>
      </w:r>
    </w:p>
    <w:p>
      <w:pPr>
        <w:keepNext/>
        <w:spacing w:before="140" w:after="60"/>
        <w:outlineLvl w:val="3"/>
      </w:pPr>
      <w:r>
        <w:rPr>
          <w:rFonts w:ascii="Arial" w:hAnsi="Arial" w:cs="Arial"/>
          <w:b/>
          <w:i/>
          <w:color w:val="333333"/>
          <w:sz w:val="22"/>
        </w:rPr>
        <w:t>16.9.7.12 Approvals</w:t>
      </w:r>
    </w:p>
    <w:p>
      <w:pPr>
        <w:spacing w:after="80" w:line="293" w:lineRule="auto"/>
        <w:ind w:left="283"/>
        <w:jc w:val="left"/>
      </w:pPr>
      <w:r>
        <w:rPr>
          <w:rFonts w:ascii="Times New Roman" w:hAnsi="Times New Roman" w:cs="Times New Roman"/>
          <w:b w:val="0"/>
          <w:i w:val="0"/>
          <w:sz w:val="22"/>
        </w:rPr>
        <w:t>- Task list from the tasks table.</w:t>
      </w:r>
    </w:p>
    <w:p>
      <w:pPr>
        <w:spacing w:after="80" w:line="293" w:lineRule="auto"/>
        <w:ind w:left="283"/>
        <w:jc w:val="left"/>
      </w:pPr>
      <w:r>
        <w:rPr>
          <w:rFonts w:ascii="Times New Roman" w:hAnsi="Times New Roman" w:cs="Times New Roman"/>
          <w:b w:val="0"/>
          <w:i w:val="0"/>
          <w:sz w:val="22"/>
        </w:rPr>
        <w:t>- Task detail with approval history.</w:t>
      </w:r>
    </w:p>
    <w:p>
      <w:pPr>
        <w:spacing w:after="80" w:line="293" w:lineRule="auto"/>
        <w:ind w:left="283"/>
        <w:jc w:val="left"/>
      </w:pPr>
      <w:r>
        <w:rPr>
          <w:rFonts w:ascii="Times New Roman" w:hAnsi="Times New Roman" w:cs="Times New Roman"/>
          <w:b w:val="0"/>
          <w:i w:val="0"/>
          <w:sz w:val="22"/>
        </w:rPr>
        <w:t>- Approve/Reject/Delegate buttons.</w:t>
      </w:r>
    </w:p>
    <w:p>
      <w:pPr>
        <w:spacing w:after="80" w:line="293" w:lineRule="auto"/>
        <w:ind w:left="283"/>
        <w:jc w:val="left"/>
      </w:pPr>
      <w:r>
        <w:rPr>
          <w:rFonts w:ascii="Times New Roman" w:hAnsi="Times New Roman" w:cs="Times New Roman"/>
          <w:b w:val="0"/>
          <w:i w:val="0"/>
          <w:sz w:val="22"/>
        </w:rPr>
        <w:t>- Bulk approval (Expert Mode).</w:t>
      </w:r>
    </w:p>
    <w:p>
      <w:pPr>
        <w:keepNext/>
        <w:spacing w:before="140" w:after="60"/>
        <w:outlineLvl w:val="3"/>
      </w:pPr>
      <w:r>
        <w:rPr>
          <w:rFonts w:ascii="Arial" w:hAnsi="Arial" w:cs="Arial"/>
          <w:b/>
          <w:i/>
          <w:color w:val="333333"/>
          <w:sz w:val="22"/>
        </w:rPr>
        <w:t>16.9.7.13 Audit</w:t>
      </w:r>
    </w:p>
    <w:p>
      <w:pPr>
        <w:spacing w:after="80" w:line="293" w:lineRule="auto"/>
        <w:ind w:left="283"/>
        <w:jc w:val="left"/>
      </w:pPr>
      <w:r>
        <w:rPr>
          <w:rFonts w:ascii="Times New Roman" w:hAnsi="Times New Roman" w:cs="Times New Roman"/>
          <w:b w:val="0"/>
          <w:i w:val="0"/>
          <w:sz w:val="22"/>
        </w:rPr>
        <w:t>- Activity Center integration.</w:t>
      </w:r>
    </w:p>
    <w:p>
      <w:pPr>
        <w:spacing w:after="80" w:line="293" w:lineRule="auto"/>
        <w:ind w:left="283"/>
        <w:jc w:val="left"/>
      </w:pPr>
      <w:r>
        <w:rPr>
          <w:rFonts w:ascii="Times New Roman" w:hAnsi="Times New Roman" w:cs="Times New Roman"/>
          <w:b w:val="0"/>
          <w:i w:val="0"/>
          <w:sz w:val="22"/>
        </w:rPr>
        <w:t>- Loom chain viewer with verification.</w:t>
      </w:r>
    </w:p>
    <w:p>
      <w:pPr>
        <w:keepNext/>
        <w:spacing w:before="140" w:after="60"/>
        <w:outlineLvl w:val="3"/>
      </w:pPr>
      <w:r>
        <w:rPr>
          <w:rFonts w:ascii="Arial" w:hAnsi="Arial" w:cs="Arial"/>
          <w:b/>
          <w:i/>
          <w:color w:val="333333"/>
          <w:sz w:val="22"/>
        </w:rPr>
        <w:t>16.9.7.14 Company Admin</w:t>
      </w:r>
    </w:p>
    <w:p>
      <w:pPr>
        <w:spacing w:after="80" w:line="293" w:lineRule="auto"/>
        <w:ind w:left="283"/>
        <w:jc w:val="left"/>
      </w:pPr>
      <w:r>
        <w:rPr>
          <w:rFonts w:ascii="Times New Roman" w:hAnsi="Times New Roman" w:cs="Times New Roman"/>
          <w:b w:val="0"/>
          <w:i w:val="0"/>
          <w:sz w:val="22"/>
        </w:rPr>
        <w:t>- Users &amp; Roles (invite, assign, edit permissions).</w:t>
      </w:r>
    </w:p>
    <w:p>
      <w:pPr>
        <w:spacing w:after="80" w:line="293" w:lineRule="auto"/>
        <w:ind w:left="283"/>
        <w:jc w:val="left"/>
      </w:pPr>
      <w:r>
        <w:rPr>
          <w:rFonts w:ascii="Times New Roman" w:hAnsi="Times New Roman" w:cs="Times New Roman"/>
          <w:b w:val="0"/>
          <w:i w:val="0"/>
          <w:sz w:val="22"/>
        </w:rPr>
        <w:t>- Workspaces (multi-company).</w:t>
      </w:r>
    </w:p>
    <w:p>
      <w:pPr>
        <w:spacing w:after="80" w:line="293" w:lineRule="auto"/>
        <w:ind w:left="283"/>
        <w:jc w:val="left"/>
      </w:pPr>
      <w:r>
        <w:rPr>
          <w:rFonts w:ascii="Times New Roman" w:hAnsi="Times New Roman" w:cs="Times New Roman"/>
          <w:b w:val="0"/>
          <w:i w:val="0"/>
          <w:sz w:val="22"/>
        </w:rPr>
        <w:t>- Settings (profile, branding, notifications).</w:t>
      </w:r>
    </w:p>
    <w:p>
      <w:pPr>
        <w:spacing w:after="80" w:line="293" w:lineRule="auto"/>
        <w:ind w:left="283"/>
        <w:jc w:val="left"/>
      </w:pPr>
      <w:r>
        <w:rPr>
          <w:rFonts w:ascii="Times New Roman" w:hAnsi="Times New Roman" w:cs="Times New Roman"/>
          <w:b w:val="0"/>
          <w:i w:val="0"/>
          <w:sz w:val="22"/>
        </w:rPr>
        <w:t>- Integrations (API keys).</w:t>
      </w:r>
    </w:p>
    <w:p>
      <w:pPr>
        <w:spacing w:after="80" w:line="293" w:lineRule="auto"/>
        <w:ind w:left="283"/>
        <w:jc w:val="left"/>
      </w:pPr>
      <w:r>
        <w:rPr>
          <w:rFonts w:ascii="Times New Roman" w:hAnsi="Times New Roman" w:cs="Times New Roman"/>
          <w:b w:val="0"/>
          <w:i w:val="0"/>
          <w:sz w:val="22"/>
        </w:rPr>
        <w:t>- Exit Centre (data export, account closure).</w:t>
      </w:r>
    </w:p>
    <w:p>
      <w:pPr>
        <w:keepNext/>
        <w:spacing w:before="140" w:after="60"/>
        <w:outlineLvl w:val="3"/>
      </w:pPr>
      <w:r>
        <w:rPr>
          <w:rFonts w:ascii="Arial" w:hAnsi="Arial" w:cs="Arial"/>
          <w:b/>
          <w:i/>
          <w:color w:val="333333"/>
          <w:sz w:val="22"/>
        </w:rPr>
        <w:t>16.9.7.15 Testing</w:t>
      </w:r>
    </w:p>
    <w:p>
      <w:pPr>
        <w:spacing w:after="80" w:line="293" w:lineRule="auto"/>
        <w:ind w:left="283"/>
        <w:jc w:val="left"/>
      </w:pPr>
      <w:r>
        <w:rPr>
          <w:rFonts w:ascii="Times New Roman" w:hAnsi="Times New Roman" w:cs="Times New Roman"/>
          <w:b w:val="0"/>
          <w:i w:val="0"/>
          <w:sz w:val="22"/>
        </w:rPr>
        <w:t>- Full buyer journey (trade request → settlement → dispute).</w:t>
      </w:r>
    </w:p>
    <w:p>
      <w:pPr>
        <w:spacing w:after="80" w:line="293" w:lineRule="auto"/>
        <w:ind w:left="283"/>
        <w:jc w:val="left"/>
      </w:pPr>
      <w:r>
        <w:rPr>
          <w:rFonts w:ascii="Times New Roman" w:hAnsi="Times New Roman" w:cs="Times New Roman"/>
          <w:b w:val="0"/>
          <w:i w:val="0"/>
          <w:sz w:val="22"/>
        </w:rPr>
        <w:t>- Dual-mode context switching (Buyer ↔ Seller).</w:t>
      </w:r>
    </w:p>
    <w:p>
      <w:pPr>
        <w:spacing w:after="80" w:line="293" w:lineRule="auto"/>
        <w:ind w:left="283"/>
        <w:jc w:val="left"/>
      </w:pPr>
      <w:r>
        <w:rPr>
          <w:rFonts w:ascii="Times New Roman" w:hAnsi="Times New Roman" w:cs="Times New Roman"/>
          <w:b w:val="0"/>
          <w:i w:val="0"/>
          <w:sz w:val="22"/>
        </w:rPr>
        <w:t>- Multi-shipment request and schedule.</w:t>
      </w:r>
    </w:p>
    <w:p>
      <w:pPr>
        <w:spacing w:after="80" w:line="293" w:lineRule="auto"/>
        <w:ind w:left="283"/>
        <w:jc w:val="left"/>
      </w:pPr>
      <w:r>
        <w:rPr>
          <w:rFonts w:ascii="Times New Roman" w:hAnsi="Times New Roman" w:cs="Times New Roman"/>
          <w:b w:val="0"/>
          <w:i w:val="0"/>
          <w:sz w:val="22"/>
        </w:rPr>
        <w:t>- Partial acceptance and counter-offer with reason.</w:t>
      </w:r>
    </w:p>
    <w:p>
      <w:pPr>
        <w:spacing w:after="80" w:line="293" w:lineRule="auto"/>
        <w:ind w:left="283"/>
        <w:jc w:val="left"/>
      </w:pPr>
      <w:r>
        <w:rPr>
          <w:rFonts w:ascii="Times New Roman" w:hAnsi="Times New Roman" w:cs="Times New Roman"/>
          <w:b w:val="0"/>
          <w:i w:val="0"/>
          <w:sz w:val="22"/>
        </w:rPr>
        <w:t>- Deadline extension request.</w:t>
      </w:r>
    </w:p>
    <w:p>
      <w:pPr>
        <w:spacing w:after="80" w:line="293" w:lineRule="auto"/>
        <w:ind w:left="283"/>
        <w:jc w:val="left"/>
      </w:pPr>
      <w:r>
        <w:rPr>
          <w:rFonts w:ascii="Times New Roman" w:hAnsi="Times New Roman" w:cs="Times New Roman"/>
          <w:b w:val="0"/>
          <w:i w:val="0"/>
          <w:sz w:val="22"/>
        </w:rPr>
        <w:t>- Own-contract upload with mandatory addendum.</w:t>
      </w:r>
    </w:p>
    <w:p>
      <w:pPr>
        <w:spacing w:after="80" w:line="293" w:lineRule="auto"/>
        <w:ind w:left="283"/>
        <w:jc w:val="left"/>
      </w:pPr>
      <w:r>
        <w:rPr>
          <w:rFonts w:ascii="Times New Roman" w:hAnsi="Times New Roman" w:cs="Times New Roman"/>
          <w:b w:val="0"/>
          <w:i w:val="0"/>
          <w:sz w:val="22"/>
        </w:rPr>
        <w:t>- Distressed cargo offer and microcontract.</w:t>
      </w:r>
    </w:p>
    <w:p>
      <w:pPr>
        <w:spacing w:after="80" w:line="293" w:lineRule="auto"/>
        <w:ind w:left="283"/>
        <w:jc w:val="left"/>
      </w:pPr>
      <w:r>
        <w:rPr>
          <w:rFonts w:ascii="Times New Roman" w:hAnsi="Times New Roman" w:cs="Times New Roman"/>
          <w:b w:val="0"/>
          <w:i w:val="0"/>
          <w:sz w:val="22"/>
        </w:rPr>
        <w:t>- Financing request and co-financing acceptance.</w:t>
      </w:r>
    </w:p>
    <w:p>
      <w:pPr>
        <w:spacing w:after="80" w:line="293" w:lineRule="auto"/>
        <w:ind w:left="283"/>
        <w:jc w:val="left"/>
      </w:pPr>
      <w:r>
        <w:rPr>
          <w:rFonts w:ascii="Times New Roman" w:hAnsi="Times New Roman" w:cs="Times New Roman"/>
          <w:b w:val="0"/>
          <w:i w:val="0"/>
          <w:sz w:val="22"/>
        </w:rPr>
        <w:t>- Dispute filing with evidence autocompiler.</w:t>
      </w:r>
    </w:p>
    <w:p>
      <w:pPr>
        <w:spacing w:after="80" w:line="293" w:lineRule="auto"/>
        <w:ind w:left="283"/>
        <w:jc w:val="left"/>
      </w:pPr>
      <w:r>
        <w:rPr>
          <w:rFonts w:ascii="Times New Roman" w:hAnsi="Times New Roman" w:cs="Times New Roman"/>
          <w:b w:val="0"/>
          <w:i w:val="0"/>
          <w:sz w:val="22"/>
        </w:rPr>
        <w:t>- Voice-activated settlement approval.</w:t>
      </w:r>
    </w:p>
    <w:p>
      <w:pPr>
        <w:keepNext/>
        <w:spacing w:before="180" w:after="80"/>
        <w:outlineLvl w:val="2"/>
      </w:pPr>
      <w:r>
        <w:rPr>
          <w:rFonts w:ascii="Arial" w:hAnsi="Arial" w:cs="Arial"/>
          <w:b/>
          <w:i w:val="0"/>
          <w:color w:val="333333"/>
          <w:sz w:val="23"/>
        </w:rPr>
        <w:t>16.9.8 AI Authority Summary</w:t>
      </w:r>
    </w:p>
    <w:p>
      <w:pPr>
        <w:spacing w:after="80" w:line="293" w:lineRule="auto"/>
        <w:jc w:val="left"/>
      </w:pPr>
      <w:r>
        <w:rPr>
          <w:rFonts w:ascii="Times New Roman" w:hAnsi="Times New Roman" w:cs="Times New Roman"/>
          <w:b w:val="0"/>
          <w:i w:val="0"/>
          <w:sz w:val="22"/>
        </w:rPr>
        <w:t>A1 (Groq → Ollama): Container Advisor, incoterm plain-language summaries, negotiation explanations, quote AI summaries. A2 (HF local): Product Form Agent, free-text/HS matching, evidence autocompiler. A3 (HF + Groq): third-party expert invitation. A4 (OPA + WasmEdge): all irreversible-action gates. No A5 functions exist anywhere in the buyer dashboard.</w:t>
      </w:r>
    </w:p>
    <w:p>
      <w:pPr>
        <w:keepNext/>
        <w:spacing w:before="240" w:after="100"/>
        <w:outlineLvl w:val="1"/>
      </w:pPr>
      <w:r>
        <w:rPr>
          <w:rFonts w:ascii="Arial" w:hAnsi="Arial" w:cs="Arial"/>
          <w:b/>
          <w:i w:val="0"/>
          <w:color w:val="2E528F"/>
          <w:sz w:val="26"/>
        </w:rPr>
        <w:t>16.10 Trader Portal — Seller Dashboard</w:t>
      </w:r>
    </w:p>
    <w:p>
      <w:pPr>
        <w:keepNext/>
        <w:spacing w:before="180" w:after="80"/>
        <w:outlineLvl w:val="2"/>
      </w:pPr>
      <w:r>
        <w:rPr>
          <w:rFonts w:ascii="Arial" w:hAnsi="Arial" w:cs="Arial"/>
          <w:b/>
          <w:i w:val="0"/>
          <w:color w:val="333333"/>
          <w:sz w:val="23"/>
        </w:rPr>
        <w:t>16.10.1 Access &amp; Purpose</w:t>
      </w:r>
    </w:p>
    <w:p>
      <w:pPr>
        <w:keepNext/>
        <w:spacing w:before="140" w:after="60"/>
        <w:outlineLvl w:val="3"/>
      </w:pPr>
      <w:r>
        <w:rPr>
          <w:rFonts w:ascii="Arial" w:hAnsi="Arial" w:cs="Arial"/>
          <w:b/>
          <w:i/>
          <w:color w:val="333333"/>
          <w:sz w:val="22"/>
        </w:rPr>
        <w:t>16.10.1.1 Access Requirements</w:t>
      </w:r>
    </w:p>
    <w:p>
      <w:pPr>
        <w:spacing w:after="80" w:line="293" w:lineRule="auto"/>
        <w:jc w:val="left"/>
      </w:pPr>
      <w:r>
        <w:rPr>
          <w:rFonts w:ascii="Times New Roman" w:hAnsi="Times New Roman" w:cs="Times New Roman"/>
          <w:b w:val="0"/>
          <w:i w:val="0"/>
          <w:sz w:val="22"/>
        </w:rPr>
        <w:t>Access: tenants with type = TRD AND active trader mode = SELL (if `default_trader_mode` = SELL or DUAL with context switched to SELL).</w:t>
      </w:r>
    </w:p>
    <w:p>
      <w:pPr>
        <w:spacing w:after="80" w:line="293" w:lineRule="auto"/>
        <w:jc w:val="left"/>
      </w:pPr>
      <w:r>
        <w:rPr>
          <w:rFonts w:ascii="Times New Roman" w:hAnsi="Times New Roman" w:cs="Times New Roman"/>
          <w:b w:val="0"/>
          <w:i w:val="0"/>
          <w:sz w:val="22"/>
        </w:rPr>
        <w:t>Role clarification:</w:t>
      </w:r>
    </w:p>
    <w:p>
      <w:pPr>
        <w:spacing w:after="80" w:line="293" w:lineRule="auto"/>
        <w:ind w:left="283"/>
        <w:jc w:val="left"/>
      </w:pPr>
      <w:r>
        <w:rPr>
          <w:rFonts w:ascii="Times New Roman" w:hAnsi="Times New Roman" w:cs="Times New Roman"/>
          <w:b w:val="0"/>
          <w:i w:val="0"/>
          <w:sz w:val="22"/>
        </w:rPr>
        <w:t>- A pure Seller (mode = SELL) only sees outbound shipments and never acts as buyer.</w:t>
      </w:r>
    </w:p>
    <w:p>
      <w:pPr>
        <w:spacing w:after="80" w:line="293" w:lineRule="auto"/>
        <w:ind w:left="283"/>
        <w:jc w:val="left"/>
      </w:pPr>
      <w:r>
        <w:rPr>
          <w:rFonts w:ascii="Times New Roman" w:hAnsi="Times New Roman" w:cs="Times New Roman"/>
          <w:b w:val="0"/>
          <w:i w:val="0"/>
          <w:sz w:val="22"/>
        </w:rPr>
        <w:t>- A dual-mode trader (mode = DUAL) can toggle to the Seller view via the global header toggle</w:t>
      </w:r>
    </w:p>
    <w:p>
      <w:pPr>
        <w:spacing w:after="80" w:line="293" w:lineRule="auto"/>
        <w:jc w:val="left"/>
      </w:pPr>
      <w:r>
        <w:rPr>
          <w:rFonts w:ascii="Times New Roman" w:hAnsi="Times New Roman" w:cs="Times New Roman"/>
          <w:b w:val="0"/>
          <w:i w:val="0"/>
          <w:sz w:val="22"/>
        </w:rPr>
        <w:t>(16.14.8). When in Seller view, the dashboard is identical to a pure Seller's.</w:t>
      </w:r>
    </w:p>
    <w:p>
      <w:pPr>
        <w:spacing w:after="80" w:line="293" w:lineRule="auto"/>
        <w:ind w:left="283"/>
        <w:jc w:val="left"/>
      </w:pPr>
      <w:r>
        <w:rPr>
          <w:rFonts w:ascii="Times New Roman" w:hAnsi="Times New Roman" w:cs="Times New Roman"/>
          <w:b w:val="0"/>
          <w:i w:val="0"/>
          <w:sz w:val="22"/>
        </w:rPr>
        <w:t>- OPA policies enforce that any attempt to perform a buyer action while in Seller mode returns a DENY</w:t>
      </w:r>
    </w:p>
    <w:p>
      <w:pPr>
        <w:spacing w:after="80" w:line="293" w:lineRule="auto"/>
        <w:jc w:val="left"/>
      </w:pPr>
      <w:r>
        <w:rPr>
          <w:rFonts w:ascii="Times New Roman" w:hAnsi="Times New Roman" w:cs="Times New Roman"/>
          <w:b w:val="0"/>
          <w:i w:val="0"/>
          <w:sz w:val="22"/>
        </w:rPr>
        <w:t>with a Decision Panel offering to switch mode.</w:t>
      </w:r>
    </w:p>
    <w:p>
      <w:pPr>
        <w:spacing w:after="80" w:line="293" w:lineRule="auto"/>
        <w:jc w:val="left"/>
      </w:pPr>
      <w:r>
        <w:rPr>
          <w:rFonts w:ascii="Times New Roman" w:hAnsi="Times New Roman" w:cs="Times New Roman"/>
          <w:b w:val="0"/>
          <w:i w:val="0"/>
          <w:sz w:val="22"/>
        </w:rPr>
        <w:t>Landing page (configurable): default is the Universal Command Center (16.13). The user can set a preference to land directly on any tab (e.g., Pending Requests). Dual-mode toggle: visible if the tenant has DUAL mode; when toggled to SELL, the sidebar shows seller-specific tabs.</w:t>
      </w:r>
    </w:p>
    <w:p>
      <w:pPr>
        <w:keepNext/>
        <w:spacing w:before="140" w:after="60"/>
        <w:outlineLvl w:val="3"/>
      </w:pPr>
      <w:r>
        <w:rPr>
          <w:rFonts w:ascii="Arial" w:hAnsi="Arial" w:cs="Arial"/>
          <w:b/>
          <w:i/>
          <w:color w:val="333333"/>
          <w:sz w:val="22"/>
        </w:rPr>
        <w:t>16.10.1.2 Seller Dashboard Purpose</w:t>
      </w:r>
    </w:p>
    <w:p>
      <w:pPr>
        <w:spacing w:after="80" w:line="293" w:lineRule="auto"/>
        <w:jc w:val="left"/>
      </w:pPr>
      <w:r>
        <w:rPr>
          <w:rFonts w:ascii="Times New Roman" w:hAnsi="Times New Roman" w:cs="Times New Roman"/>
          <w:b w:val="0"/>
          <w:i w:val="0"/>
          <w:sz w:val="22"/>
        </w:rPr>
        <w:t>The Seller Dashboard is the complete workspace for exporters and sales professionals. It enables:</w:t>
      </w:r>
    </w:p>
    <w:p>
      <w:pPr>
        <w:spacing w:after="80" w:line="293" w:lineRule="auto"/>
        <w:ind w:left="283"/>
        <w:jc w:val="left"/>
      </w:pPr>
      <w:r>
        <w:rPr>
          <w:rFonts w:ascii="Times New Roman" w:hAnsi="Times New Roman" w:cs="Times New Roman"/>
          <w:b w:val="0"/>
          <w:i w:val="0"/>
          <w:sz w:val="22"/>
        </w:rPr>
        <w:t>- Trade response — receive and respond to buyer trade requests (including multi-shipment</w:t>
      </w:r>
    </w:p>
    <w:p>
      <w:pPr>
        <w:spacing w:after="80" w:line="293" w:lineRule="auto"/>
        <w:jc w:val="left"/>
      </w:pPr>
      <w:r>
        <w:rPr>
          <w:rFonts w:ascii="Times New Roman" w:hAnsi="Times New Roman" w:cs="Times New Roman"/>
          <w:b w:val="0"/>
          <w:i w:val="0"/>
          <w:sz w:val="22"/>
        </w:rPr>
        <w:t>proposals): accept, decline, or propose modifications.</w:t>
      </w:r>
    </w:p>
    <w:p>
      <w:pPr>
        <w:spacing w:after="80" w:line="293" w:lineRule="auto"/>
        <w:ind w:left="283"/>
        <w:jc w:val="left"/>
      </w:pPr>
      <w:r>
        <w:rPr>
          <w:rFonts w:ascii="Times New Roman" w:hAnsi="Times New Roman" w:cs="Times New Roman"/>
          <w:b w:val="0"/>
          <w:i w:val="0"/>
          <w:sz w:val="22"/>
        </w:rPr>
        <w:t>- Pricing — lock EXW prices with AI-recommended bands, live market charts, and post-lock price</w:t>
      </w:r>
    </w:p>
    <w:p>
      <w:pPr>
        <w:spacing w:after="80" w:line="293" w:lineRule="auto"/>
        <w:jc w:val="left"/>
      </w:pPr>
      <w:r>
        <w:rPr>
          <w:rFonts w:ascii="Times New Roman" w:hAnsi="Times New Roman" w:cs="Times New Roman"/>
          <w:b w:val="0"/>
          <w:i w:val="0"/>
          <w:sz w:val="22"/>
        </w:rPr>
        <w:t>watch.</w:t>
      </w:r>
    </w:p>
    <w:p>
      <w:pPr>
        <w:spacing w:after="80" w:line="293" w:lineRule="auto"/>
        <w:ind w:left="283"/>
        <w:jc w:val="left"/>
      </w:pPr>
      <w:r>
        <w:rPr>
          <w:rFonts w:ascii="Times New Roman" w:hAnsi="Times New Roman" w:cs="Times New Roman"/>
          <w:b w:val="0"/>
          <w:i w:val="0"/>
          <w:sz w:val="22"/>
        </w:rPr>
        <w:t>- Packing &amp; containerisation — design physical packing plans with non-uniform layer stacking,</w:t>
      </w:r>
    </w:p>
    <w:p>
      <w:pPr>
        <w:spacing w:after="80" w:line="293" w:lineRule="auto"/>
        <w:jc w:val="left"/>
      </w:pPr>
      <w:r>
        <w:rPr>
          <w:rFonts w:ascii="Times New Roman" w:hAnsi="Times New Roman" w:cs="Times New Roman"/>
          <w:b w:val="0"/>
          <w:i w:val="0"/>
          <w:sz w:val="22"/>
        </w:rPr>
        <w:t>palletisation optimisation, collaborative editing, and 3D container viewing.</w:t>
      </w:r>
    </w:p>
    <w:p>
      <w:pPr>
        <w:spacing w:after="80" w:line="293" w:lineRule="auto"/>
        <w:ind w:left="283"/>
        <w:jc w:val="left"/>
      </w:pPr>
      <w:r>
        <w:rPr>
          <w:rFonts w:ascii="Times New Roman" w:hAnsi="Times New Roman" w:cs="Times New Roman"/>
          <w:b w:val="0"/>
          <w:i w:val="0"/>
          <w:sz w:val="22"/>
        </w:rPr>
        <w:t>- Logistics procurement — determine logistics costs using three flexible modes (Manual, RFQ to</w:t>
      </w:r>
    </w:p>
    <w:p>
      <w:pPr>
        <w:spacing w:after="80" w:line="293" w:lineRule="auto"/>
        <w:jc w:val="left"/>
      </w:pPr>
      <w:r>
        <w:rPr>
          <w:rFonts w:ascii="Times New Roman" w:hAnsi="Times New Roman" w:cs="Times New Roman"/>
          <w:b w:val="0"/>
          <w:i w:val="0"/>
          <w:sz w:val="22"/>
        </w:rPr>
        <w:t>LSPs, Direct to SHIP with add-on services), with incoterm-based filtering and alternative delivery ports.</w:t>
      </w:r>
    </w:p>
    <w:p>
      <w:pPr>
        <w:spacing w:after="80" w:line="293" w:lineRule="auto"/>
        <w:ind w:left="283"/>
        <w:jc w:val="left"/>
      </w:pPr>
      <w:r>
        <w:rPr>
          <w:rFonts w:ascii="Times New Roman" w:hAnsi="Times New Roman" w:cs="Times New Roman"/>
          <w:b w:val="0"/>
          <w:i w:val="0"/>
          <w:sz w:val="22"/>
        </w:rPr>
        <w:t>- Quote submission — assemble the final price (EXW + logistics + SGTX fee, paid by seller, added</w:t>
      </w:r>
    </w:p>
    <w:p>
      <w:pPr>
        <w:spacing w:after="80" w:line="293" w:lineRule="auto"/>
        <w:jc w:val="left"/>
      </w:pPr>
      <w:r>
        <w:rPr>
          <w:rFonts w:ascii="Times New Roman" w:hAnsi="Times New Roman" w:cs="Times New Roman"/>
          <w:b w:val="0"/>
          <w:i w:val="0"/>
          <w:sz w:val="22"/>
        </w:rPr>
        <w:t>to the quote) and submit to the buyer.</w:t>
      </w:r>
    </w:p>
    <w:p>
      <w:pPr>
        <w:spacing w:after="80" w:line="293" w:lineRule="auto"/>
        <w:ind w:left="283"/>
        <w:jc w:val="left"/>
      </w:pPr>
      <w:r>
        <w:rPr>
          <w:rFonts w:ascii="Times New Roman" w:hAnsi="Times New Roman" w:cs="Times New Roman"/>
          <w:b w:val="0"/>
          <w:i w:val="0"/>
          <w:sz w:val="22"/>
        </w:rPr>
        <w:t>- QC booking — select QC providers, receive AI-recommended inspection points, and manage</w:t>
      </w:r>
    </w:p>
    <w:p>
      <w:pPr>
        <w:spacing w:after="80" w:line="293" w:lineRule="auto"/>
        <w:jc w:val="left"/>
      </w:pPr>
      <w:r>
        <w:rPr>
          <w:rFonts w:ascii="Times New Roman" w:hAnsi="Times New Roman" w:cs="Times New Roman"/>
          <w:b w:val="0"/>
          <w:i w:val="0"/>
          <w:sz w:val="22"/>
        </w:rPr>
        <w:t>inspection reports (including conditional pass and re-inspection).</w:t>
      </w:r>
    </w:p>
    <w:p>
      <w:pPr>
        <w:spacing w:after="80" w:line="293" w:lineRule="auto"/>
        <w:ind w:left="283"/>
        <w:jc w:val="left"/>
      </w:pPr>
      <w:r>
        <w:rPr>
          <w:rFonts w:ascii="Times New Roman" w:hAnsi="Times New Roman" w:cs="Times New Roman"/>
          <w:b w:val="0"/>
          <w:i w:val="0"/>
          <w:sz w:val="22"/>
        </w:rPr>
        <w:t>- Document finalisation — digitally sign packing lists and commercial invoices, auto-submit to</w:t>
      </w:r>
    </w:p>
    <w:p>
      <w:pPr>
        <w:spacing w:after="80" w:line="293" w:lineRule="auto"/>
        <w:jc w:val="left"/>
      </w:pPr>
      <w:r>
        <w:rPr>
          <w:rFonts w:ascii="Times New Roman" w:hAnsi="Times New Roman" w:cs="Times New Roman"/>
          <w:b w:val="0"/>
          <w:i w:val="0"/>
          <w:sz w:val="22"/>
        </w:rPr>
        <w:t>ETA and Nafeza.</w:t>
      </w:r>
    </w:p>
    <w:p>
      <w:pPr>
        <w:spacing w:after="80" w:line="293" w:lineRule="auto"/>
        <w:ind w:left="283"/>
        <w:jc w:val="left"/>
      </w:pPr>
      <w:r>
        <w:rPr>
          <w:rFonts w:ascii="Times New Roman" w:hAnsi="Times New Roman" w:cs="Times New Roman"/>
          <w:b w:val="0"/>
          <w:i w:val="0"/>
          <w:sz w:val="22"/>
        </w:rPr>
        <w:t>- Barcode printing — generate SSCC-18 barcode labels (ZPL or PDF) with reprint governance.</w:t>
      </w:r>
    </w:p>
    <w:p>
      <w:pPr>
        <w:spacing w:after="80" w:line="293" w:lineRule="auto"/>
        <w:ind w:left="283"/>
        <w:jc w:val="left"/>
      </w:pPr>
      <w:r>
        <w:rPr>
          <w:rFonts w:ascii="Times New Roman" w:hAnsi="Times New Roman" w:cs="Times New Roman"/>
          <w:b w:val="0"/>
          <w:i w:val="0"/>
          <w:sz w:val="22"/>
        </w:rPr>
        <w:t>- Distressed cargo — declare distressed cargo, receive AI condition assessment and pricing,</w:t>
      </w:r>
    </w:p>
    <w:p>
      <w:pPr>
        <w:spacing w:after="80" w:line="293" w:lineRule="auto"/>
        <w:jc w:val="left"/>
      </w:pPr>
      <w:r>
        <w:rPr>
          <w:rFonts w:ascii="Times New Roman" w:hAnsi="Times New Roman" w:cs="Times New Roman"/>
          <w:b w:val="0"/>
          <w:i w:val="0"/>
          <w:sz w:val="22"/>
        </w:rPr>
        <w:t>triage (sell quickly / comply / insurance), and execute accelerated outreach.</w:t>
      </w:r>
    </w:p>
    <w:p>
      <w:pPr>
        <w:spacing w:after="80" w:line="293" w:lineRule="auto"/>
        <w:ind w:left="283"/>
        <w:jc w:val="left"/>
      </w:pPr>
      <w:r>
        <w:rPr>
          <w:rFonts w:ascii="Times New Roman" w:hAnsi="Times New Roman" w:cs="Times New Roman"/>
          <w:b w:val="0"/>
          <w:i w:val="0"/>
          <w:sz w:val="22"/>
        </w:rPr>
        <w:t>- Dispute resolution — respond to disputes, participate in mediation, accept settlement</w:t>
      </w:r>
    </w:p>
    <w:p>
      <w:pPr>
        <w:spacing w:after="80" w:line="293" w:lineRule="auto"/>
        <w:jc w:val="left"/>
      </w:pPr>
      <w:r>
        <w:rPr>
          <w:rFonts w:ascii="Times New Roman" w:hAnsi="Times New Roman" w:cs="Times New Roman"/>
          <w:b w:val="0"/>
          <w:i w:val="0"/>
          <w:sz w:val="22"/>
        </w:rPr>
        <w:t>proposals, prepare arbitration.</w:t>
      </w:r>
    </w:p>
    <w:p>
      <w:pPr>
        <w:spacing w:after="80" w:line="293" w:lineRule="auto"/>
        <w:ind w:left="283"/>
        <w:jc w:val="left"/>
      </w:pPr>
      <w:r>
        <w:rPr>
          <w:rFonts w:ascii="Times New Roman" w:hAnsi="Times New Roman" w:cs="Times New Roman"/>
          <w:b w:val="0"/>
          <w:i w:val="0"/>
          <w:sz w:val="22"/>
        </w:rPr>
        <w:t>- Relationship management — manage buyer profiles with trust portraits, relationship health</w:t>
      </w:r>
    </w:p>
    <w:p>
      <w:pPr>
        <w:spacing w:after="80" w:line="293" w:lineRule="auto"/>
        <w:jc w:val="left"/>
      </w:pPr>
      <w:r>
        <w:rPr>
          <w:rFonts w:ascii="Times New Roman" w:hAnsi="Times New Roman" w:cs="Times New Roman"/>
          <w:b w:val="0"/>
          <w:i w:val="0"/>
          <w:sz w:val="22"/>
        </w:rPr>
        <w:t>scores, and performance dashboards.</w:t>
      </w:r>
    </w:p>
    <w:p>
      <w:pPr>
        <w:spacing w:after="80" w:line="293" w:lineRule="auto"/>
        <w:ind w:left="283"/>
        <w:jc w:val="left"/>
      </w:pPr>
      <w:r>
        <w:rPr>
          <w:rFonts w:ascii="Times New Roman" w:hAnsi="Times New Roman" w:cs="Times New Roman"/>
          <w:b w:val="0"/>
          <w:i w:val="0"/>
          <w:sz w:val="22"/>
        </w:rPr>
        <w:t>- Financial management — view the 90-day rolling cash forecast, detailed ledger, and monthly</w:t>
      </w:r>
    </w:p>
    <w:p>
      <w:pPr>
        <w:spacing w:after="80" w:line="293" w:lineRule="auto"/>
        <w:jc w:val="left"/>
      </w:pPr>
      <w:r>
        <w:rPr>
          <w:rFonts w:ascii="Times New Roman" w:hAnsi="Times New Roman" w:cs="Times New Roman"/>
          <w:b w:val="0"/>
          <w:i w:val="0"/>
          <w:sz w:val="22"/>
        </w:rPr>
        <w:t>reconciliation statements.</w:t>
      </w:r>
    </w:p>
    <w:p>
      <w:pPr>
        <w:spacing w:after="80" w:line="293" w:lineRule="auto"/>
        <w:ind w:left="283"/>
        <w:jc w:val="left"/>
      </w:pPr>
      <w:r>
        <w:rPr>
          <w:rFonts w:ascii="Times New Roman" w:hAnsi="Times New Roman" w:cs="Times New Roman"/>
          <w:b w:val="0"/>
          <w:i w:val="0"/>
          <w:sz w:val="22"/>
        </w:rPr>
        <w:t>- Administration — manage employees, roles, data scopes (including hidden cost components),</w:t>
      </w:r>
    </w:p>
    <w:p>
      <w:pPr>
        <w:spacing w:after="80" w:line="293" w:lineRule="auto"/>
        <w:jc w:val="left"/>
      </w:pPr>
      <w:r>
        <w:rPr>
          <w:rFonts w:ascii="Times New Roman" w:hAnsi="Times New Roman" w:cs="Times New Roman"/>
          <w:b w:val="0"/>
          <w:i w:val="0"/>
          <w:sz w:val="22"/>
        </w:rPr>
        <w:t>approval chains, branding, and tenant exit.</w:t>
      </w:r>
    </w:p>
    <w:p>
      <w:pPr>
        <w:keepNext/>
        <w:spacing w:before="140" w:after="60"/>
        <w:outlineLvl w:val="3"/>
      </w:pPr>
      <w:r>
        <w:rPr>
          <w:rFonts w:ascii="Arial" w:hAnsi="Arial" w:cs="Arial"/>
          <w:b/>
          <w:i/>
          <w:color w:val="333333"/>
          <w:sz w:val="22"/>
        </w:rPr>
        <w:t>16.10.1.3 Seller Dashboard — High-Level Workflow</w:t>
      </w:r>
    </w:p>
    <w:p>
      <w:pPr>
        <w:spacing w:after="0" w:before="0" w:line="240" w:lineRule="auto"/>
        <w:ind w:left="57"/>
        <w:jc w:val="left"/>
        <w:shd w:val="clear" w:fill="F2F2F2"/>
      </w:pPr>
      <w:r>
        <w:rPr>
          <w:rFonts w:ascii="Consolas" w:hAnsi="Consolas" w:cs="Consolas"/>
          <w:b w:val="0"/>
          <w:i w:val="0"/>
          <w:sz w:val="15"/>
        </w:rPr>
        <w:t>1. Pending      2. EXW          3. Packing       4. Logistics</w:t>
      </w:r>
    </w:p>
    <w:p>
      <w:pPr>
        <w:spacing w:after="0" w:before="0" w:line="240" w:lineRule="auto"/>
        <w:ind w:left="57"/>
        <w:jc w:val="left"/>
        <w:shd w:val="clear" w:fill="F2F2F2"/>
      </w:pPr>
      <w:r>
        <w:rPr>
          <w:rFonts w:ascii="Consolas" w:hAnsi="Consolas" w:cs="Consolas"/>
          <w:b w:val="0"/>
          <w:i w:val="0"/>
          <w:sz w:val="15"/>
        </w:rPr>
        <w:t xml:space="preserve">   Requests        Price Lock      &amp; Container-     Builder (3 Modes)</w:t>
      </w:r>
    </w:p>
    <w:p>
      <w:pPr>
        <w:spacing w:after="0" w:before="0" w:line="240" w:lineRule="auto"/>
        <w:ind w:left="57"/>
        <w:jc w:val="left"/>
        <w:shd w:val="clear" w:fill="F2F2F2"/>
      </w:pPr>
      <w:r>
        <w:rPr>
          <w:rFonts w:ascii="Consolas" w:hAnsi="Consolas" w:cs="Consolas"/>
          <w:b w:val="0"/>
          <w:i w:val="0"/>
          <w:sz w:val="15"/>
        </w:rPr>
        <w:t xml:space="preserve">                                  isation</w:t>
      </w:r>
    </w:p>
    <w:p>
      <w:pPr>
        <w:spacing w:after="0" w:before="0" w:line="240" w:lineRule="auto"/>
        <w:ind w:left="57"/>
        <w:jc w:val="left"/>
        <w:shd w:val="clear" w:fill="F2F2F2"/>
      </w:pPr>
      <w:r>
        <w:rPr>
          <w:rFonts w:ascii="Consolas" w:hAnsi="Consolas" w:cs="Consolas"/>
          <w:b w:val="0"/>
          <w:i w:val="0"/>
          <w:sz w:val="15"/>
        </w:rPr>
        <w:t>5. Quote        6. QC           7. Document      8. Barcode</w:t>
      </w:r>
    </w:p>
    <w:p>
      <w:pPr>
        <w:spacing w:after="0" w:before="0" w:line="240" w:lineRule="auto"/>
        <w:ind w:left="57"/>
        <w:jc w:val="left"/>
        <w:shd w:val="clear" w:fill="F2F2F2"/>
      </w:pPr>
      <w:r>
        <w:rPr>
          <w:rFonts w:ascii="Consolas" w:hAnsi="Consolas" w:cs="Consolas"/>
          <w:b w:val="0"/>
          <w:i w:val="0"/>
          <w:sz w:val="15"/>
        </w:rPr>
        <w:t xml:space="preserve">   Submission      Booking         Finalisation     Print</w:t>
      </w:r>
    </w:p>
    <w:p>
      <w:pPr>
        <w:spacing w:after="0" w:before="0" w:line="240" w:lineRule="auto"/>
        <w:ind w:left="57"/>
        <w:jc w:val="left"/>
        <w:shd w:val="clear" w:fill="F2F2F2"/>
      </w:pPr>
      <w:r>
        <w:rPr>
          <w:rFonts w:ascii="Consolas" w:hAnsi="Consolas" w:cs="Consolas"/>
          <w:b w:val="0"/>
          <w:i w:val="0"/>
          <w:sz w:val="15"/>
        </w:rPr>
        <w:t>9. Distressed   10. Disputes    11. Saved        12. Cash</w:t>
      </w:r>
    </w:p>
    <w:p>
      <w:pPr>
        <w:spacing w:after="0" w:before="0" w:line="240" w:lineRule="auto"/>
        <w:ind w:left="57"/>
        <w:jc w:val="left"/>
        <w:shd w:val="clear" w:fill="F2F2F2"/>
      </w:pPr>
      <w:r>
        <w:rPr>
          <w:rFonts w:ascii="Consolas" w:hAnsi="Consolas" w:cs="Consolas"/>
          <w:b w:val="0"/>
          <w:i w:val="0"/>
          <w:sz w:val="15"/>
        </w:rPr>
        <w:t xml:space="preserve">   Cargo &amp;         &amp;               Contacts         Position</w:t>
      </w:r>
    </w:p>
    <w:p>
      <w:pPr>
        <w:spacing w:after="0" w:before="0" w:line="240" w:lineRule="auto"/>
        <w:ind w:left="57"/>
        <w:jc w:val="left"/>
        <w:shd w:val="clear" w:fill="F2F2F2"/>
      </w:pPr>
      <w:r>
        <w:rPr>
          <w:rFonts w:ascii="Consolas" w:hAnsi="Consolas" w:cs="Consolas"/>
          <w:b w:val="0"/>
          <w:i w:val="0"/>
          <w:sz w:val="15"/>
        </w:rPr>
        <w:t xml:space="preserve">   Notifications</w:t>
      </w:r>
    </w:p>
    <w:p>
      <w:pPr>
        <w:spacing w:after="0" w:before="0" w:line="240" w:lineRule="auto"/>
        <w:ind w:left="57"/>
        <w:jc w:val="left"/>
        <w:shd w:val="clear" w:fill="F2F2F2"/>
      </w:pPr>
      <w:r>
        <w:rPr>
          <w:rFonts w:ascii="Consolas" w:hAnsi="Consolas" w:cs="Consolas"/>
          <w:b w:val="0"/>
          <w:i w:val="0"/>
          <w:sz w:val="15"/>
        </w:rPr>
        <w:t>13. Company Admin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16.10.2 Seller Role Verification &amp; Security</w:t>
      </w:r>
    </w:p>
    <w:p>
      <w:pPr>
        <w:keepNext/>
        <w:spacing w:before="140" w:after="60"/>
        <w:outlineLvl w:val="3"/>
      </w:pPr>
      <w:r>
        <w:rPr>
          <w:rFonts w:ascii="Arial" w:hAnsi="Arial" w:cs="Arial"/>
          <w:b/>
          <w:i/>
          <w:color w:val="333333"/>
          <w:sz w:val="22"/>
        </w:rPr>
        <w:t>16.10.2.1 Authentication &amp; Session Checks</w:t>
      </w:r>
    </w:p>
    <w:p>
      <w:pPr>
        <w:spacing w:after="80" w:line="293" w:lineRule="auto"/>
        <w:jc w:val="left"/>
      </w:pPr>
      <w:r>
        <w:rPr>
          <w:rFonts w:ascii="Times New Roman" w:hAnsi="Times New Roman" w:cs="Times New Roman"/>
          <w:b w:val="0"/>
          <w:i w:val="0"/>
          <w:sz w:val="22"/>
        </w:rPr>
        <w:t>Every request is authenticated with a ZITADEL-issued JWT carrying `tenant_gtid`, `employee_id`, `active_trader_mode_context`, and permissions. Session checks verify: tenant type = TRD, active mode = SELL, employee portal access, tenant not SUSPENDED.</w:t>
      </w:r>
    </w:p>
    <w:p>
      <w:pPr>
        <w:keepNext/>
        <w:spacing w:before="140" w:after="60"/>
        <w:outlineLvl w:val="3"/>
      </w:pPr>
      <w:r>
        <w:rPr>
          <w:rFonts w:ascii="Arial" w:hAnsi="Arial" w:cs="Arial"/>
          <w:b/>
          <w:i/>
          <w:color w:val="333333"/>
          <w:sz w:val="22"/>
        </w:rPr>
        <w:t>16.10.2.2 Permission Checks (Action-Based)</w:t>
      </w:r>
    </w:p>
    <w:p>
      <w:pPr>
        <w:spacing w:after="80" w:line="293" w:lineRule="auto"/>
        <w:jc w:val="left"/>
      </w:pPr>
      <w:r>
        <w:rPr>
          <w:rFonts w:ascii="Times New Roman" w:hAnsi="Times New Roman" w:cs="Times New Roman"/>
          <w:b w:val="0"/>
          <w:i w:val="0"/>
          <w:sz w:val="22"/>
        </w:rPr>
        <w:t>Actions are permission-gated per employee role: accept request, lock EXW price, lock packing plan, send RFQ, submit quote, pay fee, declare distressed, sign documents, print barcodes, manage data scopes.</w:t>
      </w:r>
    </w:p>
    <w:p>
      <w:pPr>
        <w:keepNext/>
        <w:spacing w:before="140" w:after="60"/>
        <w:outlineLvl w:val="3"/>
      </w:pPr>
      <w:r>
        <w:rPr>
          <w:rFonts w:ascii="Arial" w:hAnsi="Arial" w:cs="Arial"/>
          <w:b/>
          <w:i/>
          <w:color w:val="333333"/>
          <w:sz w:val="22"/>
        </w:rPr>
        <w:t>16.10.2.3 Data Scopes (Seller-Specific)</w:t>
      </w:r>
    </w:p>
    <w:p>
      <w:pPr>
        <w:spacing w:after="80" w:line="293" w:lineRule="auto"/>
        <w:jc w:val="left"/>
      </w:pPr>
      <w:r>
        <w:rPr>
          <w:rFonts w:ascii="Times New Roman" w:hAnsi="Times New Roman" w:cs="Times New Roman"/>
          <w:b w:val="0"/>
          <w:i w:val="0"/>
          <w:sz w:val="22"/>
        </w:rPr>
        <w:t>Seller data scopes can hide cost components from specific employee roles (see Company Admin, 16.10.7.15): freight costs, SGTX fee, margin, logistics provider costs can be hidden while quantity and EXW price remain visible; maximum transaction value, country access, and commodity access can be bounded.</w:t>
      </w:r>
    </w:p>
    <w:p>
      <w:pPr>
        <w:keepNext/>
        <w:spacing w:before="140" w:after="60"/>
        <w:outlineLvl w:val="3"/>
      </w:pPr>
      <w:r>
        <w:rPr>
          <w:rFonts w:ascii="Arial" w:hAnsi="Arial" w:cs="Arial"/>
          <w:b/>
          <w:i/>
          <w:color w:val="333333"/>
          <w:sz w:val="22"/>
        </w:rPr>
        <w:t>16.10.2.4 Compliance &amp; Risk Checks</w:t>
      </w:r>
    </w:p>
    <w:p>
      <w:pPr>
        <w:spacing w:after="80" w:line="293" w:lineRule="auto"/>
        <w:jc w:val="left"/>
      </w:pPr>
      <w:r>
        <w:rPr>
          <w:rFonts w:ascii="Times New Roman" w:hAnsi="Times New Roman" w:cs="Times New Roman"/>
          <w:b w:val="0"/>
          <w:i w:val="0"/>
          <w:sz w:val="22"/>
        </w:rPr>
        <w:t>Continuous checks run at each irreversible action: seller KYB status, sanctions screening, jurisdiction verdicts, licence validity for special procedures (e.g., cold treatment facilities), and export restrictions from the RIA.</w:t>
      </w:r>
    </w:p>
    <w:p>
      <w:pPr>
        <w:keepNext/>
        <w:spacing w:before="180" w:after="80"/>
        <w:outlineLvl w:val="2"/>
      </w:pPr>
      <w:r>
        <w:rPr>
          <w:rFonts w:ascii="Arial" w:hAnsi="Arial" w:cs="Arial"/>
          <w:b/>
          <w:i w:val="0"/>
          <w:color w:val="333333"/>
          <w:sz w:val="23"/>
        </w:rPr>
        <w:t>16.10.3 Full Tab Specification (Workflow Order)</w:t>
      </w:r>
    </w:p>
    <w:p>
      <w:pPr>
        <w:keepNext/>
        <w:spacing w:before="140" w:after="60"/>
        <w:outlineLvl w:val="3"/>
      </w:pPr>
      <w:r>
        <w:rPr>
          <w:rFonts w:ascii="Arial" w:hAnsi="Arial" w:cs="Arial"/>
          <w:b/>
          <w:i/>
          <w:color w:val="333333"/>
          <w:sz w:val="22"/>
        </w:rPr>
        <w:t>Tab 1: Universal Command Center (Home)</w:t>
      </w:r>
    </w:p>
    <w:p>
      <w:pPr>
        <w:spacing w:after="80" w:line="293" w:lineRule="auto"/>
        <w:jc w:val="left"/>
      </w:pPr>
      <w:r>
        <w:rPr>
          <w:rFonts w:ascii="Times New Roman" w:hAnsi="Times New Roman" w:cs="Times New Roman"/>
          <w:b w:val="0"/>
          <w:i w:val="0"/>
          <w:sz w:val="22"/>
        </w:rPr>
        <w:t>The same Universal Command Center shell as the Buyer Dashboard (Section 16.9): primary landing page with executive summary cards, quick actions grid, AI Operations Assistant, and recent activity feed; full specification in 16.13. The seller dashboard renders seller-specific cards:</w:t>
      </w:r>
    </w:p>
    <w:p>
      <w:pPr>
        <w:spacing w:after="80" w:line="293" w:lineRule="auto"/>
        <w:jc w:val="left"/>
      </w:pPr>
      <w:r>
        <w:rPr>
          <w:rFonts w:ascii="Times New Roman" w:hAnsi="Times New Roman" w:cs="Times New Roman"/>
          <w:b w:val="0"/>
          <w:i w:val="0"/>
          <w:sz w:val="22"/>
        </w:rPr>
        <w:t>Seller-specific cards: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Card</w:t>
            </w:r>
          </w:p>
        </w:tc>
        <w:tc>
          <w:tcPr>
            <w:tcW w:type="dxa" w:w="4819"/>
            <w:shd w:val="clear" w:fill="D9E2F3"/>
          </w:tcPr>
          <w:p>
            <w:pPr>
              <w:spacing w:after="20" w:before="20" w:line="240" w:lineRule="auto"/>
            </w:pPr>
            <w:r/>
            <w:r>
              <w:rPr>
                <w:rFonts w:ascii="Arial" w:hAnsi="Arial" w:cs="Arial"/>
                <w:b/>
                <w:i w:val="0"/>
                <w:sz w:val="18"/>
              </w:rPr>
              <w:t>Metric</w:t>
            </w:r>
          </w:p>
        </w:tc>
      </w:tr>
      <w:tr>
        <w:tc>
          <w:tcPr>
            <w:tcW w:type="dxa" w:w="4819"/>
          </w:tcPr>
          <w:p>
            <w:pPr>
              <w:spacing w:after="20" w:before="20" w:line="240" w:lineRule="auto"/>
            </w:pPr>
            <w:r/>
            <w:r>
              <w:rPr>
                <w:rFonts w:ascii="Arial" w:hAnsi="Arial" w:cs="Arial"/>
                <w:b w:val="0"/>
                <w:i w:val="0"/>
                <w:sz w:val="17"/>
              </w:rPr>
              <w:t>Open Quotes</w:t>
            </w:r>
          </w:p>
        </w:tc>
        <w:tc>
          <w:tcPr>
            <w:tcW w:type="dxa" w:w="4819"/>
          </w:tcPr>
          <w:p>
            <w:pPr>
              <w:spacing w:after="20" w:before="20" w:line="240" w:lineRule="auto"/>
            </w:pPr>
            <w:r/>
            <w:r>
              <w:rPr>
                <w:rFonts w:ascii="Arial" w:hAnsi="Arial" w:cs="Arial"/>
                <w:b w:val="0"/>
                <w:i w:val="0"/>
                <w:sz w:val="17"/>
              </w:rPr>
              <w:t>Quotes submitted and awaiting buyer response</w:t>
            </w:r>
          </w:p>
        </w:tc>
      </w:tr>
      <w:tr>
        <w:tc>
          <w:tcPr>
            <w:tcW w:type="dxa" w:w="4819"/>
          </w:tcPr>
          <w:p>
            <w:pPr>
              <w:spacing w:after="20" w:before="20" w:line="240" w:lineRule="auto"/>
            </w:pPr>
            <w:r/>
            <w:r>
              <w:rPr>
                <w:rFonts w:ascii="Arial" w:hAnsi="Arial" w:cs="Arial"/>
                <w:b w:val="0"/>
                <w:i w:val="0"/>
                <w:sz w:val="17"/>
              </w:rPr>
              <w:t>Pending Shipments</w:t>
            </w:r>
          </w:p>
        </w:tc>
        <w:tc>
          <w:tcPr>
            <w:tcW w:type="dxa" w:w="4819"/>
          </w:tcPr>
          <w:p>
            <w:pPr>
              <w:spacing w:after="20" w:before="20" w:line="240" w:lineRule="auto"/>
            </w:pPr>
            <w:r/>
            <w:r>
              <w:rPr>
                <w:rFonts w:ascii="Arial" w:hAnsi="Arial" w:cs="Arial"/>
                <w:b w:val="0"/>
                <w:i w:val="0"/>
                <w:sz w:val="17"/>
              </w:rPr>
              <w:t>Outbound shipments in preparation or execution</w:t>
            </w:r>
          </w:p>
        </w:tc>
      </w:tr>
      <w:tr>
        <w:tc>
          <w:tcPr>
            <w:tcW w:type="dxa" w:w="4819"/>
          </w:tcPr>
          <w:p>
            <w:pPr>
              <w:spacing w:after="20" w:before="20" w:line="240" w:lineRule="auto"/>
            </w:pPr>
            <w:r/>
            <w:r>
              <w:rPr>
                <w:rFonts w:ascii="Arial" w:hAnsi="Arial" w:cs="Arial"/>
                <w:b w:val="0"/>
                <w:i w:val="0"/>
                <w:sz w:val="17"/>
              </w:rPr>
              <w:t>Pending Approvals</w:t>
            </w:r>
          </w:p>
        </w:tc>
        <w:tc>
          <w:tcPr>
            <w:tcW w:type="dxa" w:w="4819"/>
          </w:tcPr>
          <w:p>
            <w:pPr>
              <w:spacing w:after="20" w:before="20" w:line="240" w:lineRule="auto"/>
            </w:pPr>
            <w:r/>
            <w:r>
              <w:rPr>
                <w:rFonts w:ascii="Arial" w:hAnsi="Arial" w:cs="Arial"/>
                <w:b w:val="0"/>
                <w:i w:val="0"/>
                <w:sz w:val="17"/>
              </w:rPr>
              <w:t>Internal approval-chain items</w:t>
            </w:r>
          </w:p>
        </w:tc>
      </w:tr>
      <w:tr>
        <w:tc>
          <w:tcPr>
            <w:tcW w:type="dxa" w:w="4819"/>
          </w:tcPr>
          <w:p>
            <w:pPr>
              <w:spacing w:after="20" w:before="20" w:line="240" w:lineRule="auto"/>
            </w:pPr>
            <w:r/>
            <w:r>
              <w:rPr>
                <w:rFonts w:ascii="Arial" w:hAnsi="Arial" w:cs="Arial"/>
                <w:b w:val="0"/>
                <w:i w:val="0"/>
                <w:sz w:val="17"/>
              </w:rPr>
              <w:t>Compliance Alerts</w:t>
            </w:r>
          </w:p>
        </w:tc>
        <w:tc>
          <w:tcPr>
            <w:tcW w:type="dxa" w:w="4819"/>
          </w:tcPr>
          <w:p>
            <w:pPr>
              <w:spacing w:after="20" w:before="20" w:line="240" w:lineRule="auto"/>
            </w:pPr>
            <w:r/>
            <w:r>
              <w:rPr>
                <w:rFonts w:ascii="Arial" w:hAnsi="Arial" w:cs="Arial"/>
                <w:b w:val="0"/>
                <w:i w:val="0"/>
                <w:sz w:val="17"/>
              </w:rPr>
              <w:t>KYB/KYC and sanctions alerts</w:t>
            </w:r>
          </w:p>
        </w:tc>
      </w:tr>
      <w:tr>
        <w:tc>
          <w:tcPr>
            <w:tcW w:type="dxa" w:w="4819"/>
          </w:tcPr>
          <w:p>
            <w:pPr>
              <w:spacing w:after="20" w:before="20" w:line="240" w:lineRule="auto"/>
            </w:pPr>
            <w:r/>
            <w:r>
              <w:rPr>
                <w:rFonts w:ascii="Arial" w:hAnsi="Arial" w:cs="Arial"/>
                <w:b w:val="0"/>
                <w:i w:val="0"/>
                <w:sz w:val="17"/>
              </w:rPr>
              <w:t>Outstanding Payments</w:t>
            </w:r>
          </w:p>
        </w:tc>
        <w:tc>
          <w:tcPr>
            <w:tcW w:type="dxa" w:w="4819"/>
          </w:tcPr>
          <w:p>
            <w:pPr>
              <w:spacing w:after="20" w:before="20" w:line="240" w:lineRule="auto"/>
            </w:pPr>
            <w:r/>
            <w:r>
              <w:rPr>
                <w:rFonts w:ascii="Arial" w:hAnsi="Arial" w:cs="Arial"/>
                <w:b w:val="0"/>
                <w:i w:val="0"/>
                <w:sz w:val="17"/>
              </w:rPr>
              <w:t>Receivables and fee obligations</w:t>
            </w:r>
          </w:p>
        </w:tc>
      </w:tr>
      <w:tr>
        <w:tc>
          <w:tcPr>
            <w:tcW w:type="dxa" w:w="4819"/>
          </w:tcPr>
          <w:p>
            <w:pPr>
              <w:spacing w:after="20" w:before="20" w:line="240" w:lineRule="auto"/>
            </w:pPr>
            <w:r/>
            <w:r>
              <w:rPr>
                <w:rFonts w:ascii="Arial" w:hAnsi="Arial" w:cs="Arial"/>
                <w:b w:val="0"/>
                <w:i w:val="0"/>
                <w:sz w:val="17"/>
              </w:rPr>
              <w:t>Distressed Alerts</w:t>
            </w:r>
          </w:p>
        </w:tc>
        <w:tc>
          <w:tcPr>
            <w:tcW w:type="dxa" w:w="4819"/>
          </w:tcPr>
          <w:p>
            <w:pPr>
              <w:spacing w:after="20" w:before="20" w:line="240" w:lineRule="auto"/>
            </w:pPr>
            <w:r/>
            <w:r>
              <w:rPr>
                <w:rFonts w:ascii="Arial" w:hAnsi="Arial" w:cs="Arial"/>
                <w:b w:val="0"/>
                <w:i w:val="0"/>
                <w:sz w:val="17"/>
              </w:rPr>
              <w:t>Active distressed lots and outreach responses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Seller-specific quick actions: Create Shipment, Lock EXW Price, Send RFQ, Print Barcodes, Declare Distressed, Invite Employee, Generate Report, Contact Support.</w:t>
      </w:r>
    </w:p>
    <w:p>
      <w:pPr>
        <w:spacing w:after="80" w:line="293" w:lineRule="auto"/>
        <w:jc w:val="left"/>
      </w:pPr>
      <w:r>
        <w:rPr>
          <w:rFonts w:ascii="Times New Roman" w:hAnsi="Times New Roman" w:cs="Times New Roman"/>
          <w:b w:val="0"/>
          <w:i w:val="0"/>
          <w:sz w:val="22"/>
        </w:rPr>
        <w:t>One-click: click any card → navigates to the relevant tab.</w:t>
      </w:r>
    </w:p>
    <w:p>
      <w:pPr>
        <w:keepNext/>
        <w:spacing w:before="140" w:after="60"/>
        <w:outlineLvl w:val="3"/>
      </w:pPr>
      <w:r>
        <w:rPr>
          <w:rFonts w:ascii="Arial" w:hAnsi="Arial" w:cs="Arial"/>
          <w:b/>
          <w:i/>
          <w:color w:val="333333"/>
          <w:sz w:val="22"/>
        </w:rPr>
        <w:t>Tab 2: Pending Requests (RFQ Inbox)</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receive and respond to buyer trade requests — accept, decline, or request modifications.</w:t>
      </w:r>
    </w:p>
    <w:p>
      <w:pPr>
        <w:keepNext/>
        <w:spacing w:before="240" w:after="100"/>
        <w:outlineLvl w:val="1"/>
      </w:pPr>
      <w:r>
        <w:rPr>
          <w:rFonts w:ascii="Arial" w:hAnsi="Arial" w:cs="Arial"/>
          <w:b/>
          <w:i w:val="0"/>
          <w:color w:val="2E528F"/>
          <w:sz w:val="26"/>
        </w:rPr>
        <w:t>2.1 View Pending Requests. Example UI:</w:t>
      </w:r>
    </w:p>
    <w:p>
      <w:pPr>
        <w:spacing w:after="0" w:before="0" w:line="240" w:lineRule="auto"/>
        <w:ind w:left="57"/>
        <w:jc w:val="left"/>
        <w:shd w:val="clear" w:fill="F2F2F2"/>
      </w:pPr>
      <w:r>
        <w:rPr>
          <w:rFonts w:ascii="Consolas" w:hAnsi="Consolas" w:cs="Consolas"/>
          <w:b w:val="0"/>
          <w:i w:val="0"/>
          <w:sz w:val="15"/>
        </w:rPr>
        <w:t>PENDING REQUESTS (3)</w:t>
      </w:r>
    </w:p>
    <w:p>
      <w:pPr>
        <w:spacing w:after="0" w:before="0" w:line="240" w:lineRule="auto"/>
        <w:ind w:left="57"/>
        <w:jc w:val="left"/>
        <w:shd w:val="clear" w:fill="F2F2F2"/>
      </w:pPr>
      <w:r>
        <w:rPr>
          <w:rFonts w:ascii="Consolas" w:hAnsi="Consolas" w:cs="Consolas"/>
          <w:b w:val="0"/>
          <w:i w:val="0"/>
          <w:sz w:val="15"/>
        </w:rPr>
        <w:t>Filters: [Status: All ▼] [Commodity: All ▼] [Date: Last 7 days ▼] [Search: ___]</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Oranges — 20,000 kg</w:t>
      </w:r>
    </w:p>
    <w:p>
      <w:pPr>
        <w:spacing w:after="0" w:before="0" w:line="240" w:lineRule="auto"/>
        <w:ind w:left="57"/>
        <w:jc w:val="left"/>
        <w:shd w:val="clear" w:fill="F2F2F2"/>
      </w:pPr>
      <w:r>
        <w:rPr>
          <w:rFonts w:ascii="Consolas" w:hAnsi="Consolas" w:cs="Consolas"/>
          <w:b w:val="0"/>
          <w:i w:val="0"/>
          <w:sz w:val="15"/>
        </w:rPr>
        <w:t xml:space="preserve">  Buyer: Nile Foods (Egypt)    Incoterm: CFR    Requested: 15 Jul 2026</w:t>
      </w:r>
    </w:p>
    <w:p>
      <w:pPr>
        <w:spacing w:after="0" w:before="0" w:line="240" w:lineRule="auto"/>
        <w:ind w:left="57"/>
        <w:jc w:val="left"/>
        <w:shd w:val="clear" w:fill="F2F2F2"/>
      </w:pPr>
      <w:r>
        <w:rPr>
          <w:rFonts w:ascii="Consolas" w:hAnsi="Consolas" w:cs="Consolas"/>
          <w:b w:val="0"/>
          <w:i w:val="0"/>
          <w:sz w:val="15"/>
        </w:rPr>
        <w:t xml:space="preserve">  Multi-shipment: 2 shipments  Trust: 88        Match Score: 94 (high)</w:t>
      </w:r>
    </w:p>
    <w:p>
      <w:pPr>
        <w:spacing w:after="0" w:before="0" w:line="240" w:lineRule="auto"/>
        <w:ind w:left="57"/>
        <w:jc w:val="left"/>
        <w:shd w:val="clear" w:fill="F2F2F2"/>
      </w:pPr>
      <w:r>
        <w:rPr>
          <w:rFonts w:ascii="Consolas" w:hAnsi="Consolas" w:cs="Consolas"/>
          <w:b w:val="0"/>
          <w:i w:val="0"/>
          <w:sz w:val="15"/>
        </w:rPr>
        <w:t xml:space="preserve">  [Accept] [Decline] [Propose Modifications]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Lemons — 5,376 kg</w:t>
      </w:r>
    </w:p>
    <w:p>
      <w:pPr>
        <w:spacing w:after="0" w:before="0" w:line="240" w:lineRule="auto"/>
        <w:ind w:left="57"/>
        <w:jc w:val="left"/>
        <w:shd w:val="clear" w:fill="F2F2F2"/>
      </w:pPr>
      <w:r>
        <w:rPr>
          <w:rFonts w:ascii="Consolas" w:hAnsi="Consolas" w:cs="Consolas"/>
          <w:b w:val="0"/>
          <w:i w:val="0"/>
          <w:sz w:val="15"/>
        </w:rPr>
        <w:t xml:space="preserve">  Buyer: Cairo Imports (Egypt) Incoterm: FOB    Requested: 20 Aug 2026</w:t>
      </w:r>
    </w:p>
    <w:p>
      <w:pPr>
        <w:spacing w:after="0" w:before="0" w:line="240" w:lineRule="auto"/>
        <w:ind w:left="57"/>
        <w:jc w:val="left"/>
        <w:shd w:val="clear" w:fill="F2F2F2"/>
      </w:pPr>
      <w:r>
        <w:rPr>
          <w:rFonts w:ascii="Consolas" w:hAnsi="Consolas" w:cs="Consolas"/>
          <w:b w:val="0"/>
          <w:i w:val="0"/>
          <w:sz w:val="15"/>
        </w:rPr>
        <w:t xml:space="preserve">  Match Score: 76 (medium)</w:t>
      </w:r>
    </w:p>
    <w:p>
      <w:pPr>
        <w:spacing w:after="0" w:before="0" w:line="240" w:lineRule="auto"/>
        <w:ind w:left="57"/>
        <w:jc w:val="left"/>
        <w:shd w:val="clear" w:fill="F2F2F2"/>
      </w:pPr>
      <w:r>
        <w:rPr>
          <w:rFonts w:ascii="Consolas" w:hAnsi="Consolas" w:cs="Consolas"/>
          <w:b w:val="0"/>
          <w:i w:val="0"/>
          <w:sz w:val="15"/>
        </w:rPr>
        <w:t xml:space="preserve">  [Accept] [Decline] [Propose Modifications]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Strawberries — 8,800 kg</w:t>
      </w:r>
    </w:p>
    <w:p>
      <w:pPr>
        <w:spacing w:after="0" w:before="0" w:line="240" w:lineRule="auto"/>
        <w:ind w:left="57"/>
        <w:jc w:val="left"/>
        <w:shd w:val="clear" w:fill="F2F2F2"/>
      </w:pPr>
      <w:r>
        <w:rPr>
          <w:rFonts w:ascii="Consolas" w:hAnsi="Consolas" w:cs="Consolas"/>
          <w:b w:val="0"/>
          <w:i w:val="0"/>
          <w:sz w:val="15"/>
        </w:rPr>
        <w:t xml:space="preserve">  Buyer: German Imports (Germany) Incoterm: CIF  Requested: 10 Sep 2026</w:t>
      </w:r>
    </w:p>
    <w:p>
      <w:pPr>
        <w:spacing w:after="0" w:before="0" w:line="240" w:lineRule="auto"/>
        <w:ind w:left="57"/>
        <w:jc w:val="left"/>
        <w:shd w:val="clear" w:fill="F2F2F2"/>
      </w:pPr>
      <w:r>
        <w:rPr>
          <w:rFonts w:ascii="Consolas" w:hAnsi="Consolas" w:cs="Consolas"/>
          <w:b w:val="0"/>
          <w:i w:val="0"/>
          <w:sz w:val="15"/>
        </w:rPr>
        <w:t xml:space="preserve">  Multi-shipment: 3 shipments  Trust: 92         Match Score: 82 (good)</w:t>
      </w:r>
    </w:p>
    <w:p>
      <w:pPr>
        <w:spacing w:after="0" w:before="0" w:line="240" w:lineRule="auto"/>
        <w:ind w:left="57"/>
        <w:jc w:val="left"/>
        <w:shd w:val="clear" w:fill="F2F2F2"/>
      </w:pPr>
      <w:r>
        <w:rPr>
          <w:rFonts w:ascii="Consolas" w:hAnsi="Consolas" w:cs="Consolas"/>
          <w:b w:val="0"/>
          <w:i w:val="0"/>
          <w:sz w:val="15"/>
        </w:rPr>
        <w:t xml:space="preserve">  [Accept] [Decline] [Propose Modifications]</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2.2 Review Buyer's Parsed Specs. Example:</w:t>
      </w:r>
    </w:p>
    <w:p>
      <w:pPr>
        <w:spacing w:after="0" w:before="0" w:line="240" w:lineRule="auto"/>
        <w:ind w:left="57"/>
        <w:jc w:val="left"/>
        <w:shd w:val="clear" w:fill="F2F2F2"/>
      </w:pPr>
      <w:r>
        <w:rPr>
          <w:rFonts w:ascii="Consolas" w:hAnsi="Consolas" w:cs="Consolas"/>
          <w:b w:val="0"/>
          <w:i w:val="0"/>
          <w:sz w:val="15"/>
        </w:rPr>
        <w:t>Trade Request Details — USTN (not yet generated)</w:t>
      </w:r>
    </w:p>
    <w:p>
      <w:pPr>
        <w:spacing w:after="0" w:before="0" w:line="240" w:lineRule="auto"/>
        <w:ind w:left="57"/>
        <w:jc w:val="left"/>
        <w:shd w:val="clear" w:fill="F2F2F2"/>
      </w:pPr>
      <w:r>
        <w:rPr>
          <w:rFonts w:ascii="Consolas" w:hAnsi="Consolas" w:cs="Consolas"/>
          <w:b w:val="0"/>
          <w:i w:val="0"/>
          <w:sz w:val="15"/>
        </w:rPr>
        <w:t>Buyer: Nile Foods (Egypt)</w:t>
      </w:r>
    </w:p>
    <w:p>
      <w:pPr>
        <w:spacing w:after="0" w:before="0" w:line="240" w:lineRule="auto"/>
        <w:ind w:left="57"/>
        <w:jc w:val="left"/>
        <w:shd w:val="clear" w:fill="F2F2F2"/>
      </w:pPr>
      <w:r>
        <w:rPr>
          <w:rFonts w:ascii="Consolas" w:hAnsi="Consolas" w:cs="Consolas"/>
          <w:b w:val="0"/>
          <w:i w:val="0"/>
          <w:sz w:val="15"/>
        </w:rPr>
        <w:t>Commodity: Fresh Oranges, 20,000 kg    Incoterm: CFR</w:t>
      </w:r>
    </w:p>
    <w:p>
      <w:pPr>
        <w:spacing w:after="0" w:before="0" w:line="240" w:lineRule="auto"/>
        <w:ind w:left="57"/>
        <w:jc w:val="left"/>
        <w:shd w:val="clear" w:fill="F2F2F2"/>
      </w:pPr>
      <w:r>
        <w:rPr>
          <w:rFonts w:ascii="Consolas" w:hAnsi="Consolas" w:cs="Consolas"/>
          <w:b w:val="0"/>
          <w:i w:val="0"/>
          <w:sz w:val="15"/>
        </w:rPr>
        <w:t>Containers: 2</w:t>
      </w:r>
    </w:p>
    <w:p>
      <w:pPr>
        <w:spacing w:after="0" w:before="0" w:line="240" w:lineRule="auto"/>
        <w:ind w:left="57"/>
        <w:jc w:val="left"/>
        <w:shd w:val="clear" w:fill="F2F2F2"/>
      </w:pPr>
      <w:r>
        <w:rPr>
          <w:rFonts w:ascii="Consolas" w:hAnsi="Consolas" w:cs="Consolas"/>
          <w:b w:val="0"/>
          <w:i w:val="0"/>
          <w:sz w:val="15"/>
        </w:rPr>
        <w:t xml:space="preserve">  Container 1 — Origin: Vietnam, Destination: Egypt, Port: Alexandria,</w:t>
      </w:r>
    </w:p>
    <w:p>
      <w:pPr>
        <w:spacing w:after="0" w:before="0" w:line="240" w:lineRule="auto"/>
        <w:ind w:left="57"/>
        <w:jc w:val="left"/>
        <w:shd w:val="clear" w:fill="F2F2F2"/>
      </w:pPr>
      <w:r>
        <w:rPr>
          <w:rFonts w:ascii="Consolas" w:hAnsi="Consolas" w:cs="Consolas"/>
          <w:b w:val="0"/>
          <w:i w:val="0"/>
          <w:sz w:val="15"/>
        </w:rPr>
        <w:t xml:space="preserve">    Pallet: EUR 800×1200 mm</w:t>
      </w:r>
    </w:p>
    <w:p>
      <w:pPr>
        <w:spacing w:after="0" w:before="0" w:line="240" w:lineRule="auto"/>
        <w:ind w:left="57"/>
        <w:jc w:val="left"/>
        <w:shd w:val="clear" w:fill="F2F2F2"/>
      </w:pPr>
      <w:r>
        <w:rPr>
          <w:rFonts w:ascii="Consolas" w:hAnsi="Consolas" w:cs="Consolas"/>
          <w:b w:val="0"/>
          <w:i w:val="0"/>
          <w:sz w:val="15"/>
        </w:rPr>
        <w:t xml:space="preserve">    Commodities: Oranges 22 pallets × 40 cartons/pallet × 10 kg/carton;</w:t>
      </w:r>
    </w:p>
    <w:p>
      <w:pPr>
        <w:spacing w:after="0" w:before="0" w:line="240" w:lineRule="auto"/>
        <w:ind w:left="57"/>
        <w:jc w:val="left"/>
        <w:shd w:val="clear" w:fill="F2F2F2"/>
      </w:pPr>
      <w:r>
        <w:rPr>
          <w:rFonts w:ascii="Consolas" w:hAnsi="Consolas" w:cs="Consolas"/>
          <w:b w:val="0"/>
          <w:i w:val="0"/>
          <w:sz w:val="15"/>
        </w:rPr>
        <w:t xml:space="preserve">                 Lemons  14 pallets × 48 cartons/pallet × 8 kg/carton</w:t>
      </w:r>
    </w:p>
    <w:p>
      <w:pPr>
        <w:spacing w:after="0" w:before="0" w:line="240" w:lineRule="auto"/>
        <w:ind w:left="57"/>
        <w:jc w:val="left"/>
        <w:shd w:val="clear" w:fill="F2F2F2"/>
      </w:pPr>
      <w:r>
        <w:rPr>
          <w:rFonts w:ascii="Consolas" w:hAnsi="Consolas" w:cs="Consolas"/>
          <w:b w:val="0"/>
          <w:i w:val="0"/>
          <w:sz w:val="15"/>
        </w:rPr>
        <w:t xml:space="preserve">  Container 2 — Origin: Vietnam, Destination: Egypt, Port: Port Said,</w:t>
      </w:r>
    </w:p>
    <w:p>
      <w:pPr>
        <w:spacing w:after="0" w:before="0" w:line="240" w:lineRule="auto"/>
        <w:ind w:left="57"/>
        <w:jc w:val="left"/>
        <w:shd w:val="clear" w:fill="F2F2F2"/>
      </w:pPr>
      <w:r>
        <w:rPr>
          <w:rFonts w:ascii="Consolas" w:hAnsi="Consolas" w:cs="Consolas"/>
          <w:b w:val="0"/>
          <w:i w:val="0"/>
          <w:sz w:val="15"/>
        </w:rPr>
        <w:t xml:space="preserve">    Pallet: EUR 800×1200 mm (same commodity mix)</w:t>
      </w:r>
    </w:p>
    <w:p>
      <w:pPr>
        <w:spacing w:after="0" w:before="0" w:line="240" w:lineRule="auto"/>
        <w:ind w:left="57"/>
        <w:jc w:val="left"/>
        <w:shd w:val="clear" w:fill="F2F2F2"/>
      </w:pPr>
      <w:r>
        <w:rPr>
          <w:rFonts w:ascii="Consolas" w:hAnsi="Consolas" w:cs="Consolas"/>
          <w:b w:val="0"/>
          <w:i w:val="0"/>
          <w:sz w:val="15"/>
        </w:rPr>
        <w:t>Special Procedures: Cold treatment required (-0.5°C, 14 days)</w:t>
      </w:r>
    </w:p>
    <w:p>
      <w:pPr>
        <w:spacing w:after="0" w:before="0" w:line="240" w:lineRule="auto"/>
        <w:ind w:left="57"/>
        <w:jc w:val="left"/>
        <w:shd w:val="clear" w:fill="F2F2F2"/>
      </w:pPr>
      <w:r>
        <w:rPr>
          <w:rFonts w:ascii="Consolas" w:hAnsi="Consolas" w:cs="Consolas"/>
          <w:b w:val="0"/>
          <w:i w:val="0"/>
          <w:sz w:val="15"/>
        </w:rPr>
        <w:t>Multi-shipment: 2 shipments (15 Jul, 15 Aug)</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2.3 Accept / Decline / Counter. Accept (1) — the seller moves to EXW Price Lock. Decline (1) — mandatory reason (≥ 10 characters). Propose Modifications (1 + form) — propose changes to delivery date, port, container count, or commodities; the buyer reviews a diff view.</w:t>
      </w:r>
    </w:p>
    <w:p>
      <w:pPr>
        <w:spacing w:after="80" w:line="293" w:lineRule="auto"/>
        <w:jc w:val="left"/>
      </w:pPr>
      <w:r>
        <w:rPr>
          <w:rFonts w:ascii="Times New Roman" w:hAnsi="Times New Roman" w:cs="Times New Roman"/>
          <w:b w:val="0"/>
          <w:i w:val="0"/>
          <w:sz w:val="22"/>
        </w:rPr>
        <w:t>One-click guarantee: from list to response, maximum 3 clicks.</w:t>
      </w:r>
    </w:p>
    <w:p>
      <w:pPr>
        <w:spacing w:after="80" w:line="293" w:lineRule="auto"/>
        <w:jc w:val="left"/>
      </w:pPr>
      <w:r>
        <w:rPr>
          <w:rFonts w:ascii="Times New Roman" w:hAnsi="Times New Roman" w:cs="Times New Roman"/>
          <w:b w:val="0"/>
          <w:i w:val="0"/>
          <w:sz w:val="22"/>
        </w:rPr>
        <w:t>2.4 Propose Modifications (If Needed). Modification form: delivery date, port, container count, commodity adjustments, reason (mandatory). The buyer receives a Smart Inbox item with the diff view and can accept/reject/counter.</w:t>
      </w:r>
    </w:p>
    <w:p>
      <w:pPr>
        <w:keepNext/>
        <w:spacing w:before="140" w:after="60"/>
        <w:outlineLvl w:val="3"/>
      </w:pPr>
      <w:r>
        <w:rPr>
          <w:rFonts w:ascii="Arial" w:hAnsi="Arial" w:cs="Arial"/>
          <w:b/>
          <w:i/>
          <w:color w:val="333333"/>
          <w:sz w:val="22"/>
        </w:rPr>
        <w:t>Tab 3: EXW Price Lock</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lock the EXW price per commodity with AI market intelligence.</w:t>
      </w:r>
    </w:p>
    <w:p>
      <w:pPr>
        <w:spacing w:after="80" w:line="293" w:lineRule="auto"/>
        <w:jc w:val="left"/>
      </w:pPr>
      <w:r>
        <w:rPr>
          <w:rFonts w:ascii="Times New Roman" w:hAnsi="Times New Roman" w:cs="Times New Roman"/>
          <w:b w:val="0"/>
          <w:i w:val="0"/>
          <w:sz w:val="22"/>
        </w:rPr>
        <w:t>3.1 Loading Origin (Mandatory). Select loading country and port. Governance: the Governor validates that the loading port is not sanctioned and is compatible with the incoterm; if the incoterm is FOB, the loading port must be in the seller's country.</w:t>
      </w:r>
    </w:p>
    <w:p>
      <w:pPr>
        <w:keepNext/>
        <w:spacing w:before="240" w:after="100"/>
        <w:outlineLvl w:val="1"/>
      </w:pPr>
      <w:r>
        <w:rPr>
          <w:rFonts w:ascii="Arial" w:hAnsi="Arial" w:cs="Arial"/>
          <w:b/>
          <w:i w:val="0"/>
          <w:color w:val="2E528F"/>
          <w:sz w:val="26"/>
        </w:rPr>
        <w:t>3.2 Live Market Chart &amp; AI Fair Price (A1, Groq). Example chart:</w:t>
      </w:r>
    </w:p>
    <w:p>
      <w:pPr>
        <w:spacing w:after="0" w:before="0" w:line="240" w:lineRule="auto"/>
        <w:ind w:left="57"/>
        <w:jc w:val="left"/>
        <w:shd w:val="clear" w:fill="F2F2F2"/>
      </w:pPr>
      <w:r>
        <w:rPr>
          <w:rFonts w:ascii="Consolas" w:hAnsi="Consolas" w:cs="Consolas"/>
          <w:b w:val="0"/>
          <w:i w:val="0"/>
          <w:sz w:val="15"/>
        </w:rPr>
        <w:t>LIVE MARKET CHART — Fresh Oranges (HS 0805.10) — Vietnam → Egypt</w:t>
      </w:r>
    </w:p>
    <w:p>
      <w:pPr>
        <w:spacing w:after="0" w:before="0" w:line="240" w:lineRule="auto"/>
        <w:ind w:left="57"/>
        <w:jc w:val="left"/>
        <w:shd w:val="clear" w:fill="F2F2F2"/>
      </w:pPr>
      <w:r>
        <w:rPr>
          <w:rFonts w:ascii="Consolas" w:hAnsi="Consolas" w:cs="Consolas"/>
          <w:b w:val="0"/>
          <w:i w:val="0"/>
          <w:sz w:val="15"/>
        </w:rPr>
        <w:t>Price (USD/kg)</w:t>
      </w:r>
    </w:p>
    <w:p>
      <w:pPr>
        <w:spacing w:after="0" w:before="0" w:line="240" w:lineRule="auto"/>
        <w:ind w:left="57"/>
        <w:jc w:val="left"/>
        <w:shd w:val="clear" w:fill="F2F2F2"/>
      </w:pPr>
      <w:r>
        <w:rPr>
          <w:rFonts w:ascii="Consolas" w:hAnsi="Consolas" w:cs="Consolas"/>
          <w:b w:val="0"/>
          <w:i w:val="0"/>
          <w:sz w:val="15"/>
        </w:rPr>
        <w:t>1.80 |</w:t>
      </w:r>
    </w:p>
    <w:p>
      <w:pPr>
        <w:spacing w:after="0" w:before="0" w:line="240" w:lineRule="auto"/>
        <w:ind w:left="57"/>
        <w:jc w:val="left"/>
        <w:shd w:val="clear" w:fill="F2F2F2"/>
      </w:pPr>
      <w:r>
        <w:rPr>
          <w:rFonts w:ascii="Consolas" w:hAnsi="Consolas" w:cs="Consolas"/>
          <w:b w:val="0"/>
          <w:i w:val="0"/>
          <w:sz w:val="15"/>
        </w:rPr>
        <w:t>1.70 |</w:t>
      </w:r>
    </w:p>
    <w:p>
      <w:pPr>
        <w:spacing w:after="0" w:before="0" w:line="240" w:lineRule="auto"/>
        <w:ind w:left="57"/>
        <w:jc w:val="left"/>
        <w:shd w:val="clear" w:fill="F2F2F2"/>
      </w:pPr>
      <w:r>
        <w:rPr>
          <w:rFonts w:ascii="Consolas" w:hAnsi="Consolas" w:cs="Consolas"/>
          <w:b w:val="0"/>
          <w:i w:val="0"/>
          <w:sz w:val="15"/>
        </w:rPr>
        <w:t>1.60 |            AI Band (1.45 — 1.65)</w:t>
      </w:r>
    </w:p>
    <w:p>
      <w:pPr>
        <w:spacing w:after="0" w:before="0" w:line="240" w:lineRule="auto"/>
        <w:ind w:left="57"/>
        <w:jc w:val="left"/>
        <w:shd w:val="clear" w:fill="F2F2F2"/>
      </w:pPr>
      <w:r>
        <w:rPr>
          <w:rFonts w:ascii="Consolas" w:hAnsi="Consolas" w:cs="Consolas"/>
          <w:b w:val="0"/>
          <w:i w:val="0"/>
          <w:sz w:val="15"/>
        </w:rPr>
        <w:t>1.50 | ────────────╳───────────────</w:t>
      </w:r>
    </w:p>
    <w:p>
      <w:pPr>
        <w:spacing w:after="0" w:before="0" w:line="240" w:lineRule="auto"/>
        <w:ind w:left="57"/>
        <w:jc w:val="left"/>
        <w:shd w:val="clear" w:fill="F2F2F2"/>
      </w:pPr>
      <w:r>
        <w:rPr>
          <w:rFonts w:ascii="Consolas" w:hAnsi="Consolas" w:cs="Consolas"/>
          <w:b w:val="0"/>
          <w:i w:val="0"/>
          <w:sz w:val="15"/>
        </w:rPr>
        <w:t>1.40 |</w:t>
      </w:r>
    </w:p>
    <w:p>
      <w:pPr>
        <w:spacing w:after="0" w:before="0" w:line="240" w:lineRule="auto"/>
        <w:ind w:left="57"/>
        <w:jc w:val="left"/>
        <w:shd w:val="clear" w:fill="F2F2F2"/>
      </w:pPr>
      <w:r>
        <w:rPr>
          <w:rFonts w:ascii="Consolas" w:hAnsi="Consolas" w:cs="Consolas"/>
          <w:b w:val="0"/>
          <w:i w:val="0"/>
          <w:sz w:val="15"/>
        </w:rPr>
        <w:t>1.30 |________________________________</w:t>
      </w:r>
    </w:p>
    <w:p>
      <w:pPr>
        <w:spacing w:after="0" w:before="0" w:line="240" w:lineRule="auto"/>
        <w:ind w:left="57"/>
        <w:jc w:val="left"/>
        <w:shd w:val="clear" w:fill="F2F2F2"/>
      </w:pPr>
      <w:r>
        <w:rPr>
          <w:rFonts w:ascii="Consolas" w:hAnsi="Consolas" w:cs="Consolas"/>
          <w:b w:val="0"/>
          <w:i w:val="0"/>
          <w:sz w:val="15"/>
        </w:rPr>
        <w:t xml:space="preserve">      15 May  22 May  29 May  5 Jun  12 Jun  19 Jun</w:t>
      </w:r>
    </w:p>
    <w:p>
      <w:pPr>
        <w:spacing w:after="0" w:before="0" w:line="240" w:lineRule="auto"/>
        <w:ind w:left="57"/>
        <w:jc w:val="left"/>
        <w:shd w:val="clear" w:fill="F2F2F2"/>
      </w:pPr>
      <w:r>
        <w:rPr>
          <w:rFonts w:ascii="Consolas" w:hAnsi="Consolas" w:cs="Consolas"/>
          <w:b w:val="0"/>
          <w:i w:val="0"/>
          <w:sz w:val="15"/>
        </w:rPr>
        <w:t>AI Fair Price: $1.52/kg [Use Fair Price]</w:t>
      </w:r>
    </w:p>
    <w:p>
      <w:pPr>
        <w:spacing w:after="0" w:before="0" w:line="240" w:lineRule="auto"/>
        <w:ind w:left="57"/>
        <w:jc w:val="left"/>
        <w:shd w:val="clear" w:fill="F2F2F2"/>
      </w:pPr>
      <w:r>
        <w:rPr>
          <w:rFonts w:ascii="Consolas" w:hAnsi="Consolas" w:cs="Consolas"/>
          <w:b w:val="0"/>
          <w:i w:val="0"/>
          <w:sz w:val="15"/>
        </w:rPr>
        <w:t>Current Market: $1.50/kg  (+0.02 vs 7 days ago)</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3.3 Dynamic Price Input with Smart Unit Conversion.</w:t>
      </w:r>
    </w:p>
    <w:p>
      <w:pPr>
        <w:spacing w:after="0" w:before="0" w:line="240" w:lineRule="auto"/>
        <w:ind w:left="57"/>
        <w:jc w:val="left"/>
        <w:shd w:val="clear" w:fill="F2F2F2"/>
      </w:pPr>
      <w:r>
        <w:rPr>
          <w:rFonts w:ascii="Consolas" w:hAnsi="Consolas" w:cs="Consolas"/>
          <w:b w:val="0"/>
          <w:i w:val="0"/>
          <w:sz w:val="15"/>
        </w:rPr>
        <w:t>EXW PRICE — Commodity: Valencia Oranges (HS 0805.10)</w:t>
      </w:r>
    </w:p>
    <w:p>
      <w:pPr>
        <w:spacing w:after="0" w:before="0" w:line="240" w:lineRule="auto"/>
        <w:ind w:left="57"/>
        <w:jc w:val="left"/>
        <w:shd w:val="clear" w:fill="F2F2F2"/>
      </w:pPr>
      <w:r>
        <w:rPr>
          <w:rFonts w:ascii="Consolas" w:hAnsi="Consolas" w:cs="Consolas"/>
          <w:b w:val="0"/>
          <w:i w:val="0"/>
          <w:sz w:val="15"/>
        </w:rPr>
        <w:t>Price entry:   [ Per Ton ] [ Per Kilo ] [ Per Unit (10 kg box) ]</w:t>
      </w:r>
    </w:p>
    <w:p>
      <w:pPr>
        <w:spacing w:after="0" w:before="0" w:line="240" w:lineRule="auto"/>
        <w:ind w:left="57"/>
        <w:jc w:val="left"/>
        <w:shd w:val="clear" w:fill="F2F2F2"/>
      </w:pPr>
      <w:r>
        <w:rPr>
          <w:rFonts w:ascii="Consolas" w:hAnsi="Consolas" w:cs="Consolas"/>
          <w:b w:val="0"/>
          <w:i w:val="0"/>
          <w:sz w:val="15"/>
        </w:rPr>
        <w:t>EXW price:     [1.50] [USD] per kg</w:t>
      </w:r>
    </w:p>
    <w:p>
      <w:pPr>
        <w:spacing w:after="0" w:before="0" w:line="240" w:lineRule="auto"/>
        <w:ind w:left="57"/>
        <w:jc w:val="left"/>
        <w:shd w:val="clear" w:fill="F2F2F2"/>
      </w:pPr>
      <w:r>
        <w:rPr>
          <w:rFonts w:ascii="Consolas" w:hAnsi="Consolas" w:cs="Consolas"/>
          <w:b w:val="0"/>
          <w:i w:val="0"/>
          <w:sz w:val="15"/>
        </w:rPr>
        <w:t>Equivalent:    $1,500.00 per ton  |  $15.00 per box (10 kg box)</w:t>
      </w:r>
    </w:p>
    <w:p>
      <w:pPr>
        <w:spacing w:after="0" w:before="0" w:line="240" w:lineRule="auto"/>
        <w:ind w:left="57"/>
        <w:jc w:val="left"/>
        <w:shd w:val="clear" w:fill="F2F2F2"/>
      </w:pPr>
      <w:r>
        <w:rPr>
          <w:rFonts w:ascii="Consolas" w:hAnsi="Consolas" w:cs="Consolas"/>
          <w:b w:val="0"/>
          <w:i w:val="0"/>
          <w:sz w:val="15"/>
        </w:rPr>
        <w:t>Currency:      [USD ▼]</w:t>
      </w:r>
    </w:p>
    <w:p>
      <w:pPr>
        <w:spacing w:after="0" w:before="0" w:line="240" w:lineRule="auto"/>
        <w:ind w:left="57"/>
        <w:jc w:val="left"/>
        <w:shd w:val="clear" w:fill="F2F2F2"/>
      </w:pPr>
      <w:r>
        <w:rPr>
          <w:rFonts w:ascii="Consolas" w:hAnsi="Consolas" w:cs="Consolas"/>
          <w:b w:val="0"/>
          <w:i w:val="0"/>
          <w:sz w:val="15"/>
        </w:rPr>
        <w:t>Weight unit toggle: [Metric tons] [Pounds]</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3.4 Total EXW Value Calculation (Real-Time).</w:t>
      </w:r>
    </w:p>
    <w:p>
      <w:pPr>
        <w:spacing w:after="0" w:before="0" w:line="240" w:lineRule="auto"/>
        <w:ind w:left="57"/>
        <w:jc w:val="left"/>
        <w:shd w:val="clear" w:fill="F2F2F2"/>
      </w:pPr>
      <w:r>
        <w:rPr>
          <w:rFonts w:ascii="Consolas" w:hAnsi="Consolas" w:cs="Consolas"/>
          <w:b w:val="0"/>
          <w:i w:val="0"/>
          <w:sz w:val="15"/>
        </w:rPr>
        <w:t>EXW SUMMARY</w:t>
      </w:r>
    </w:p>
    <w:p>
      <w:pPr>
        <w:spacing w:after="0" w:before="0" w:line="240" w:lineRule="auto"/>
        <w:ind w:left="57"/>
        <w:jc w:val="left"/>
        <w:shd w:val="clear" w:fill="F2F2F2"/>
      </w:pPr>
      <w:r>
        <w:rPr>
          <w:rFonts w:ascii="Consolas" w:hAnsi="Consolas" w:cs="Consolas"/>
          <w:b w:val="0"/>
          <w:i w:val="0"/>
          <w:sz w:val="15"/>
        </w:rPr>
        <w:t>Commodity A (Oranges): 20,000 kg × $1.50 = $30,000</w:t>
      </w:r>
    </w:p>
    <w:p>
      <w:pPr>
        <w:spacing w:after="0" w:before="0" w:line="240" w:lineRule="auto"/>
        <w:ind w:left="57"/>
        <w:jc w:val="left"/>
        <w:shd w:val="clear" w:fill="F2F2F2"/>
      </w:pPr>
      <w:r>
        <w:rPr>
          <w:rFonts w:ascii="Consolas" w:hAnsi="Consolas" w:cs="Consolas"/>
          <w:b w:val="0"/>
          <w:i w:val="0"/>
          <w:sz w:val="15"/>
        </w:rPr>
        <w:t>Commodity B (Lemons):  5,376 kg × $2.10 = $11,289.60</w:t>
      </w:r>
    </w:p>
    <w:p>
      <w:pPr>
        <w:spacing w:after="0" w:before="0" w:line="240" w:lineRule="auto"/>
        <w:ind w:left="57"/>
        <w:jc w:val="left"/>
        <w:shd w:val="clear" w:fill="F2F2F2"/>
      </w:pPr>
      <w:r>
        <w:rPr>
          <w:rFonts w:ascii="Consolas" w:hAnsi="Consolas" w:cs="Consolas"/>
          <w:b w:val="0"/>
          <w:i w:val="0"/>
          <w:sz w:val="15"/>
        </w:rPr>
        <w:t>Total EXW: $41,289.60</w:t>
      </w:r>
    </w:p>
    <w:p>
      <w:pPr>
        <w:spacing w:after="0" w:before="0" w:line="240" w:lineRule="auto"/>
        <w:ind w:left="57"/>
        <w:jc w:val="left"/>
        <w:shd w:val="clear" w:fill="F2F2F2"/>
      </w:pPr>
      <w:r>
        <w:rPr>
          <w:rFonts w:ascii="Consolas" w:hAnsi="Consolas" w:cs="Consolas"/>
          <w:b w:val="0"/>
          <w:i w:val="0"/>
          <w:sz w:val="15"/>
        </w:rPr>
        <w:t xml:space="preserve">  Container 1 subtotal: $20,644.80</w:t>
      </w:r>
    </w:p>
    <w:p>
      <w:pPr>
        <w:spacing w:after="0" w:before="0" w:line="240" w:lineRule="auto"/>
        <w:ind w:left="57"/>
        <w:jc w:val="left"/>
        <w:shd w:val="clear" w:fill="F2F2F2"/>
      </w:pPr>
      <w:r>
        <w:rPr>
          <w:rFonts w:ascii="Consolas" w:hAnsi="Consolas" w:cs="Consolas"/>
          <w:b w:val="0"/>
          <w:i w:val="0"/>
          <w:sz w:val="15"/>
        </w:rPr>
        <w:t xml:space="preserve">  Container 2 subtotal: $20,644.80</w:t>
      </w:r>
    </w:p>
    <w:p>
      <w:pPr>
        <w:spacing w:after="0" w:before="0" w:line="240" w:lineRule="auto"/>
        <w:ind w:left="57"/>
        <w:jc w:val="left"/>
        <w:shd w:val="clear" w:fill="F2F2F2"/>
      </w:pPr>
      <w:r>
        <w:rPr>
          <w:rFonts w:ascii="Consolas" w:hAnsi="Consolas" w:cs="Consolas"/>
          <w:b w:val="0"/>
          <w:i w:val="0"/>
          <w:sz w:val="15"/>
        </w:rPr>
        <w:t>Grand total EXW (all containers): $41,289.60</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3.5 Price Deviation Justification (A2, if triggered). Example (above band):</w:t>
      </w:r>
    </w:p>
    <w:p>
      <w:pPr>
        <w:spacing w:after="0" w:before="0" w:line="240" w:lineRule="auto"/>
        <w:ind w:left="57"/>
        <w:jc w:val="left"/>
        <w:shd w:val="clear" w:fill="F2F2F2"/>
      </w:pPr>
      <w:r>
        <w:rPr>
          <w:rFonts w:ascii="Consolas" w:hAnsi="Consolas" w:cs="Consolas"/>
          <w:b w:val="0"/>
          <w:i w:val="0"/>
          <w:sz w:val="15"/>
        </w:rPr>
        <w:t>Price Deviation Warning</w:t>
      </w:r>
    </w:p>
    <w:p>
      <w:pPr>
        <w:spacing w:after="0" w:before="0" w:line="240" w:lineRule="auto"/>
        <w:ind w:left="57"/>
        <w:jc w:val="left"/>
        <w:shd w:val="clear" w:fill="F2F2F2"/>
      </w:pPr>
      <w:r>
        <w:rPr>
          <w:rFonts w:ascii="Consolas" w:hAnsi="Consolas" w:cs="Consolas"/>
          <w:b w:val="0"/>
          <w:i w:val="0"/>
          <w:sz w:val="15"/>
        </w:rPr>
        <w:t>Your entered price ($2.00/kg) is 32% above the AI band (max $1.65/kg).</w:t>
      </w:r>
    </w:p>
    <w:p>
      <w:pPr>
        <w:spacing w:after="0" w:before="0" w:line="240" w:lineRule="auto"/>
        <w:ind w:left="57"/>
        <w:jc w:val="left"/>
        <w:shd w:val="clear" w:fill="F2F2F2"/>
      </w:pPr>
      <w:r>
        <w:rPr>
          <w:rFonts w:ascii="Consolas" w:hAnsi="Consolas" w:cs="Consolas"/>
          <w:b w:val="0"/>
          <w:i w:val="0"/>
          <w:sz w:val="15"/>
        </w:rPr>
        <w:t>Justification required:</w:t>
      </w:r>
    </w:p>
    <w:p>
      <w:pPr>
        <w:spacing w:after="0" w:before="0" w:line="240" w:lineRule="auto"/>
        <w:ind w:left="57"/>
        <w:jc w:val="left"/>
        <w:shd w:val="clear" w:fill="F2F2F2"/>
      </w:pPr>
      <w:r>
        <w:rPr>
          <w:rFonts w:ascii="Consolas" w:hAnsi="Consolas" w:cs="Consolas"/>
          <w:b w:val="0"/>
          <w:i w:val="0"/>
          <w:sz w:val="15"/>
        </w:rPr>
        <w:t>[ Organic certification, premium quality, high demand in EU. ] (min 20 chars)</w:t>
      </w:r>
    </w:p>
    <w:p>
      <w:pPr>
        <w:spacing w:after="0" w:before="0" w:line="240" w:lineRule="auto"/>
        <w:ind w:left="57"/>
        <w:jc w:val="left"/>
        <w:shd w:val="clear" w:fill="F2F2F2"/>
      </w:pPr>
      <w:r>
        <w:rPr>
          <w:rFonts w:ascii="Consolas" w:hAnsi="Consolas" w:cs="Consolas"/>
          <w:b w:val="0"/>
          <w:i w:val="0"/>
          <w:sz w:val="15"/>
        </w:rPr>
        <w:t>[Submit Justification] [Cancel]</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3.6 Post-Lock Price Watch (Background, A2). Example Smart Inbox alert:</w:t>
      </w:r>
    </w:p>
    <w:p>
      <w:pPr>
        <w:spacing w:after="0" w:before="0" w:line="240" w:lineRule="auto"/>
        <w:ind w:left="57"/>
        <w:jc w:val="left"/>
        <w:shd w:val="clear" w:fill="F2F2F2"/>
      </w:pPr>
      <w:r>
        <w:rPr>
          <w:rFonts w:ascii="Consolas" w:hAnsi="Consolas" w:cs="Consolas"/>
          <w:b w:val="0"/>
          <w:i w:val="0"/>
          <w:sz w:val="15"/>
        </w:rPr>
        <w:t>Market Price Watch Alert</w:t>
      </w:r>
    </w:p>
    <w:p>
      <w:pPr>
        <w:spacing w:after="0" w:before="0" w:line="240" w:lineRule="auto"/>
        <w:ind w:left="57"/>
        <w:jc w:val="left"/>
        <w:shd w:val="clear" w:fill="F2F2F2"/>
      </w:pPr>
      <w:r>
        <w:rPr>
          <w:rFonts w:ascii="Consolas" w:hAnsi="Consolas" w:cs="Consolas"/>
          <w:b w:val="0"/>
          <w:i w:val="0"/>
          <w:sz w:val="15"/>
        </w:rPr>
        <w:t>Market price moved +12% since you locked your EXW price at $1.50/kg.</w:t>
      </w:r>
    </w:p>
    <w:p>
      <w:pPr>
        <w:spacing w:after="0" w:before="0" w:line="240" w:lineRule="auto"/>
        <w:ind w:left="57"/>
        <w:jc w:val="left"/>
        <w:shd w:val="clear" w:fill="F2F2F2"/>
      </w:pPr>
      <w:r>
        <w:rPr>
          <w:rFonts w:ascii="Consolas" w:hAnsi="Consolas" w:cs="Consolas"/>
          <w:b w:val="0"/>
          <w:i w:val="0"/>
          <w:sz w:val="15"/>
        </w:rPr>
        <w:t>Your locked price stands. Would you like to reopen pricing and notify the buyer?</w:t>
      </w:r>
    </w:p>
    <w:p>
      <w:pPr>
        <w:spacing w:after="0" w:before="0" w:line="240" w:lineRule="auto"/>
        <w:ind w:left="57"/>
        <w:jc w:val="left"/>
        <w:shd w:val="clear" w:fill="F2F2F2"/>
      </w:pPr>
      <w:r>
        <w:rPr>
          <w:rFonts w:ascii="Consolas" w:hAnsi="Consolas" w:cs="Consolas"/>
          <w:b w:val="0"/>
          <w:i w:val="0"/>
          <w:sz w:val="15"/>
        </w:rPr>
        <w:t>[Reopen Pricing] [Dismiss]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3.7 Five High-End Critical Add-Ons (zero-cost, self-hosted). Volume-tiered pricing, dynamic currency conversion, historical price comparison, lock &amp; hold, admin-controlled floor/ceiling (see Section 22).</w:t>
      </w:r>
    </w:p>
    <w:p>
      <w:pPr>
        <w:keepNext/>
        <w:spacing w:before="140" w:after="60"/>
        <w:outlineLvl w:val="3"/>
      </w:pPr>
      <w:r>
        <w:rPr>
          <w:rFonts w:ascii="Arial" w:hAnsi="Arial" w:cs="Arial"/>
          <w:b/>
          <w:i/>
          <w:color w:val="333333"/>
          <w:sz w:val="22"/>
        </w:rPr>
        <w:t>Tab 4: Containerisation &amp; Packing</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design the physical packing plan based on the buyer's structured data, including non-uniform layer stacking, palletisation optimisation, and collaborative editing.</w:t>
      </w:r>
    </w:p>
    <w:p>
      <w:pPr>
        <w:keepNext/>
        <w:spacing w:before="240" w:after="100"/>
        <w:outlineLvl w:val="1"/>
      </w:pPr>
      <w:r>
        <w:rPr>
          <w:rFonts w:ascii="Arial" w:hAnsi="Arial" w:cs="Arial"/>
          <w:b/>
          <w:i w:val="0"/>
          <w:color w:val="2E528F"/>
          <w:sz w:val="26"/>
        </w:rPr>
        <w:t>4.1 Weight Calculation Engine. Formulas:</w:t>
      </w:r>
    </w:p>
    <w:p>
      <w:pPr>
        <w:spacing w:after="0" w:before="0" w:line="240" w:lineRule="auto"/>
        <w:ind w:left="57"/>
        <w:jc w:val="left"/>
        <w:shd w:val="clear" w:fill="F2F2F2"/>
      </w:pPr>
      <w:r>
        <w:rPr>
          <w:rFonts w:ascii="Consolas" w:hAnsi="Consolas" w:cs="Consolas"/>
          <w:b w:val="0"/>
          <w:i w:val="0"/>
          <w:sz w:val="15"/>
        </w:rPr>
        <w:t>Total cartons        = Σ (pallets × cartons_per_pallet)</w:t>
      </w:r>
    </w:p>
    <w:p>
      <w:pPr>
        <w:spacing w:after="0" w:before="0" w:line="240" w:lineRule="auto"/>
        <w:ind w:left="57"/>
        <w:jc w:val="left"/>
        <w:shd w:val="clear" w:fill="F2F2F2"/>
      </w:pPr>
      <w:r>
        <w:rPr>
          <w:rFonts w:ascii="Consolas" w:hAnsi="Consolas" w:cs="Consolas"/>
          <w:b w:val="0"/>
          <w:i w:val="0"/>
          <w:sz w:val="15"/>
        </w:rPr>
        <w:t>Total net weight     = Σ (total cartons × net_per_carton)</w:t>
      </w:r>
    </w:p>
    <w:p>
      <w:pPr>
        <w:spacing w:after="0" w:before="0" w:line="240" w:lineRule="auto"/>
        <w:ind w:left="57"/>
        <w:jc w:val="left"/>
        <w:shd w:val="clear" w:fill="F2F2F2"/>
      </w:pPr>
      <w:r>
        <w:rPr>
          <w:rFonts w:ascii="Consolas" w:hAnsi="Consolas" w:cs="Consolas"/>
          <w:b w:val="0"/>
          <w:i w:val="0"/>
          <w:sz w:val="15"/>
        </w:rPr>
        <w:t>Gross (cartons only) = Σ (total cartons × (net_per_carton + tare_per_carton))</w:t>
      </w:r>
    </w:p>
    <w:p>
      <w:pPr>
        <w:spacing w:after="0" w:before="0" w:line="240" w:lineRule="auto"/>
        <w:ind w:left="57"/>
        <w:jc w:val="left"/>
        <w:shd w:val="clear" w:fill="F2F2F2"/>
      </w:pPr>
      <w:r>
        <w:rPr>
          <w:rFonts w:ascii="Consolas" w:hAnsi="Consolas" w:cs="Consolas"/>
          <w:b w:val="0"/>
          <w:i w:val="0"/>
          <w:sz w:val="15"/>
        </w:rPr>
        <w:t>Total gross weight   = gross_cartons_only + Σ (pallets × pallet_tare)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display:</w:t>
      </w:r>
    </w:p>
    <w:p>
      <w:pPr>
        <w:spacing w:after="0" w:before="0" w:line="240" w:lineRule="auto"/>
        <w:ind w:left="57"/>
        <w:jc w:val="left"/>
        <w:shd w:val="clear" w:fill="F2F2F2"/>
      </w:pPr>
      <w:r>
        <w:rPr>
          <w:rFonts w:ascii="Consolas" w:hAnsi="Consolas" w:cs="Consolas"/>
          <w:b w:val="0"/>
          <w:i w:val="0"/>
          <w:sz w:val="15"/>
        </w:rPr>
        <w:t>WEIGHT SUMMARY — Container 1</w:t>
      </w:r>
    </w:p>
    <w:p>
      <w:pPr>
        <w:spacing w:after="0" w:before="0" w:line="240" w:lineRule="auto"/>
        <w:ind w:left="57"/>
        <w:jc w:val="left"/>
        <w:shd w:val="clear" w:fill="F2F2F2"/>
      </w:pPr>
      <w:r>
        <w:rPr>
          <w:rFonts w:ascii="Consolas" w:hAnsi="Consolas" w:cs="Consolas"/>
          <w:b w:val="0"/>
          <w:i w:val="0"/>
          <w:sz w:val="15"/>
        </w:rPr>
        <w:t>Commodity A (Oranges): 22 pallets × 40 cartons = 880 cartons</w:t>
      </w:r>
    </w:p>
    <w:p>
      <w:pPr>
        <w:spacing w:after="0" w:before="0" w:line="240" w:lineRule="auto"/>
        <w:ind w:left="57"/>
        <w:jc w:val="left"/>
        <w:shd w:val="clear" w:fill="F2F2F2"/>
      </w:pPr>
      <w:r>
        <w:rPr>
          <w:rFonts w:ascii="Consolas" w:hAnsi="Consolas" w:cs="Consolas"/>
          <w:b w:val="0"/>
          <w:i w:val="0"/>
          <w:sz w:val="15"/>
        </w:rPr>
        <w:t xml:space="preserve">  Net weight: 8,800 kg    Gross weight (with tare): 9,240 kg</w:t>
      </w:r>
    </w:p>
    <w:p>
      <w:pPr>
        <w:spacing w:after="0" w:before="0" w:line="240" w:lineRule="auto"/>
        <w:ind w:left="57"/>
        <w:jc w:val="left"/>
        <w:shd w:val="clear" w:fill="F2F2F2"/>
      </w:pPr>
      <w:r>
        <w:rPr>
          <w:rFonts w:ascii="Consolas" w:hAnsi="Consolas" w:cs="Consolas"/>
          <w:b w:val="0"/>
          <w:i w:val="0"/>
          <w:sz w:val="15"/>
        </w:rPr>
        <w:t>Commodity B (Lemons): 14 pallets × 48 cartons = 672 cartons</w:t>
      </w:r>
    </w:p>
    <w:p>
      <w:pPr>
        <w:spacing w:after="0" w:before="0" w:line="240" w:lineRule="auto"/>
        <w:ind w:left="57"/>
        <w:jc w:val="left"/>
        <w:shd w:val="clear" w:fill="F2F2F2"/>
      </w:pPr>
      <w:r>
        <w:rPr>
          <w:rFonts w:ascii="Consolas" w:hAnsi="Consolas" w:cs="Consolas"/>
          <w:b w:val="0"/>
          <w:i w:val="0"/>
          <w:sz w:val="15"/>
        </w:rPr>
        <w:t xml:space="preserve">  Net weight: 5,376 kg    Gross weight (with tare): 5,644.8 kg</w:t>
      </w:r>
    </w:p>
    <w:p>
      <w:pPr>
        <w:spacing w:after="0" w:before="0" w:line="240" w:lineRule="auto"/>
        <w:ind w:left="57"/>
        <w:jc w:val="left"/>
        <w:shd w:val="clear" w:fill="F2F2F2"/>
      </w:pPr>
      <w:r>
        <w:rPr>
          <w:rFonts w:ascii="Consolas" w:hAnsi="Consolas" w:cs="Consolas"/>
          <w:b w:val="0"/>
          <w:i w:val="0"/>
          <w:sz w:val="15"/>
        </w:rPr>
        <w:t>Total net weight: 14,176 kg</w:t>
      </w:r>
    </w:p>
    <w:p>
      <w:pPr>
        <w:spacing w:after="0" w:before="0" w:line="240" w:lineRule="auto"/>
        <w:ind w:left="57"/>
        <w:jc w:val="left"/>
        <w:shd w:val="clear" w:fill="F2F2F2"/>
      </w:pPr>
      <w:r>
        <w:rPr>
          <w:rFonts w:ascii="Consolas" w:hAnsi="Consolas" w:cs="Consolas"/>
          <w:b w:val="0"/>
          <w:i w:val="0"/>
          <w:sz w:val="15"/>
        </w:rPr>
        <w:t>Total gross weight (cartons + tare): 14,884.8 kg</w:t>
      </w:r>
    </w:p>
    <w:p>
      <w:pPr>
        <w:spacing w:after="0" w:before="0" w:line="240" w:lineRule="auto"/>
        <w:ind w:left="57"/>
        <w:jc w:val="left"/>
        <w:shd w:val="clear" w:fill="F2F2F2"/>
      </w:pPr>
      <w:r>
        <w:rPr>
          <w:rFonts w:ascii="Consolas" w:hAnsi="Consolas" w:cs="Consolas"/>
          <w:b w:val="0"/>
          <w:i w:val="0"/>
          <w:sz w:val="15"/>
        </w:rPr>
        <w:t>Pallet tare: 900 kg</w:t>
      </w:r>
    </w:p>
    <w:p>
      <w:pPr>
        <w:spacing w:after="0" w:before="0" w:line="240" w:lineRule="auto"/>
        <w:ind w:left="57"/>
        <w:jc w:val="left"/>
        <w:shd w:val="clear" w:fill="F2F2F2"/>
      </w:pPr>
      <w:r>
        <w:rPr>
          <w:rFonts w:ascii="Consolas" w:hAnsi="Consolas" w:cs="Consolas"/>
          <w:b w:val="0"/>
          <w:i w:val="0"/>
          <w:sz w:val="15"/>
        </w:rPr>
        <w:t>Total gross weight (including pallets): 15,784.8 kg</w:t>
      </w:r>
    </w:p>
    <w:p>
      <w:pPr>
        <w:spacing w:after="0" w:before="0" w:line="240" w:lineRule="auto"/>
        <w:ind w:left="57"/>
        <w:jc w:val="left"/>
        <w:shd w:val="clear" w:fill="F2F2F2"/>
      </w:pPr>
      <w:r>
        <w:rPr>
          <w:rFonts w:ascii="Consolas" w:hAnsi="Consolas" w:cs="Consolas"/>
          <w:b w:val="0"/>
          <w:i w:val="0"/>
          <w:sz w:val="15"/>
        </w:rPr>
        <w:t>Within container limit (≤ 28,000 kg for 40ft container)</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4.2 Palletisation Optimiser (ORTools) — with Non-Uniform Layer Stacking.</w:t>
      </w:r>
    </w:p>
    <w:p>
      <w:pPr>
        <w:spacing w:after="80" w:line="293" w:lineRule="auto"/>
        <w:jc w:val="left"/>
      </w:pPr>
      <w:r>
        <w:rPr>
          <w:rFonts w:ascii="Times New Roman" w:hAnsi="Times New Roman" w:cs="Times New Roman"/>
          <w:b w:val="0"/>
          <w:i w:val="0"/>
          <w:sz w:val="22"/>
        </w:rPr>
        <w:t>Core solver: ORTools CP-SAT computes carton placement per pallet and per container.</w:t>
      </w:r>
    </w:p>
    <w:p>
      <w:pPr>
        <w:spacing w:after="80" w:line="293" w:lineRule="auto"/>
        <w:jc w:val="left"/>
      </w:pPr>
      <w:r>
        <w:rPr>
          <w:rFonts w:ascii="Times New Roman" w:hAnsi="Times New Roman" w:cs="Times New Roman"/>
          <w:b w:val="0"/>
          <w:i w:val="0"/>
          <w:sz w:val="22"/>
        </w:rPr>
        <w:t>Non-uniform layer stacking (mixed layer configurations): real-world packing often requires different layer configurations on the same pallet — e.g., 11 layers of 10 cartons each plus 1 top layer with only 1 carton. Interface example:</w:t>
      </w:r>
    </w:p>
    <w:p>
      <w:pPr>
        <w:spacing w:after="0" w:before="0" w:line="240" w:lineRule="auto"/>
        <w:ind w:left="57"/>
        <w:jc w:val="left"/>
        <w:shd w:val="clear" w:fill="F2F2F2"/>
      </w:pPr>
      <w:r>
        <w:rPr>
          <w:rFonts w:ascii="Consolas" w:hAnsi="Consolas" w:cs="Consolas"/>
          <w:b w:val="0"/>
          <w:i w:val="0"/>
          <w:sz w:val="15"/>
        </w:rPr>
        <w:t>Pallet Layer Configuration — Valencia Oranges (HS 0805.10)</w:t>
      </w:r>
    </w:p>
    <w:p>
      <w:pPr>
        <w:spacing w:after="0" w:before="0" w:line="240" w:lineRule="auto"/>
        <w:ind w:left="57"/>
        <w:jc w:val="left"/>
        <w:shd w:val="clear" w:fill="F2F2F2"/>
      </w:pPr>
      <w:r>
        <w:rPr>
          <w:rFonts w:ascii="Consolas" w:hAnsi="Consolas" w:cs="Consolas"/>
          <w:b w:val="0"/>
          <w:i w:val="0"/>
          <w:sz w:val="15"/>
        </w:rPr>
        <w:t>Carton dimensions: 400×300×200 mm</w:t>
      </w:r>
    </w:p>
    <w:p>
      <w:pPr>
        <w:spacing w:after="0" w:before="0" w:line="240" w:lineRule="auto"/>
        <w:ind w:left="57"/>
        <w:jc w:val="left"/>
        <w:shd w:val="clear" w:fill="F2F2F2"/>
      </w:pPr>
      <w:r>
        <w:rPr>
          <w:rFonts w:ascii="Consolas" w:hAnsi="Consolas" w:cs="Consolas"/>
          <w:b w:val="0"/>
          <w:i w:val="0"/>
          <w:sz w:val="15"/>
        </w:rPr>
        <w:t>Pallet: EUR (800×1200 mm) — max stacking height 1600 mm</w:t>
      </w:r>
    </w:p>
    <w:p>
      <w:pPr>
        <w:spacing w:after="0" w:before="0" w:line="240" w:lineRule="auto"/>
        <w:ind w:left="57"/>
        <w:jc w:val="left"/>
        <w:shd w:val="clear" w:fill="F2F2F2"/>
      </w:pPr>
      <w:r>
        <w:rPr>
          <w:rFonts w:ascii="Consolas" w:hAnsi="Consolas" w:cs="Consolas"/>
          <w:b w:val="0"/>
          <w:i w:val="0"/>
          <w:sz w:val="15"/>
        </w:rPr>
        <w:t>Layer patterns:</w:t>
      </w:r>
    </w:p>
    <w:p>
      <w:pPr>
        <w:spacing w:after="0" w:before="0" w:line="240" w:lineRule="auto"/>
        <w:ind w:left="57"/>
        <w:jc w:val="left"/>
        <w:shd w:val="clear" w:fill="F2F2F2"/>
      </w:pPr>
      <w:r>
        <w:rPr>
          <w:rFonts w:ascii="Consolas" w:hAnsi="Consolas" w:cs="Consolas"/>
          <w:b w:val="0"/>
          <w:i w:val="0"/>
          <w:sz w:val="15"/>
        </w:rPr>
        <w:t xml:space="preserve">  Layer pattern 1</w:t>
      </w:r>
    </w:p>
    <w:p>
      <w:pPr>
        <w:spacing w:after="0" w:before="0" w:line="240" w:lineRule="auto"/>
        <w:ind w:left="57"/>
        <w:jc w:val="left"/>
        <w:shd w:val="clear" w:fill="F2F2F2"/>
      </w:pPr>
      <w:r>
        <w:rPr>
          <w:rFonts w:ascii="Consolas" w:hAnsi="Consolas" w:cs="Consolas"/>
          <w:b w:val="0"/>
          <w:i w:val="0"/>
          <w:sz w:val="15"/>
        </w:rPr>
        <w:t xml:space="preserve">    Cartons per layer: [10] (2 wide × 5 deep = 10 cartons)</w:t>
      </w:r>
    </w:p>
    <w:p>
      <w:pPr>
        <w:spacing w:after="0" w:before="0" w:line="240" w:lineRule="auto"/>
        <w:ind w:left="57"/>
        <w:jc w:val="left"/>
        <w:shd w:val="clear" w:fill="F2F2F2"/>
      </w:pPr>
      <w:r>
        <w:rPr>
          <w:rFonts w:ascii="Consolas" w:hAnsi="Consolas" w:cs="Consolas"/>
          <w:b w:val="0"/>
          <w:i w:val="0"/>
          <w:sz w:val="15"/>
        </w:rPr>
        <w:t xml:space="preserve">    Number of layers of this pattern: [11]</w:t>
      </w:r>
    </w:p>
    <w:p>
      <w:pPr>
        <w:spacing w:after="0" w:before="0" w:line="240" w:lineRule="auto"/>
        <w:ind w:left="57"/>
        <w:jc w:val="left"/>
        <w:shd w:val="clear" w:fill="F2F2F2"/>
      </w:pPr>
      <w:r>
        <w:rPr>
          <w:rFonts w:ascii="Consolas" w:hAnsi="Consolas" w:cs="Consolas"/>
          <w:b w:val="0"/>
          <w:i w:val="0"/>
          <w:sz w:val="15"/>
        </w:rPr>
        <w:t xml:space="preserve">    Layer height (override): [200] mm (or auto from carton height)</w:t>
      </w:r>
    </w:p>
    <w:p>
      <w:pPr>
        <w:spacing w:after="0" w:before="0" w:line="240" w:lineRule="auto"/>
        <w:ind w:left="57"/>
        <w:jc w:val="left"/>
        <w:shd w:val="clear" w:fill="F2F2F2"/>
      </w:pPr>
      <w:r>
        <w:rPr>
          <w:rFonts w:ascii="Consolas" w:hAnsi="Consolas" w:cs="Consolas"/>
          <w:b w:val="0"/>
          <w:i w:val="0"/>
          <w:sz w:val="15"/>
        </w:rPr>
        <w:t xml:space="preserve">    Stacking orientation: [Standard ▼]          [Remove]</w:t>
      </w:r>
    </w:p>
    <w:p>
      <w:pPr>
        <w:spacing w:after="0" w:before="0" w:line="240" w:lineRule="auto"/>
        <w:ind w:left="57"/>
        <w:jc w:val="left"/>
        <w:shd w:val="clear" w:fill="F2F2F2"/>
      </w:pPr>
      <w:r>
        <w:rPr>
          <w:rFonts w:ascii="Consolas" w:hAnsi="Consolas" w:cs="Consolas"/>
          <w:b w:val="0"/>
          <w:i w:val="0"/>
          <w:sz w:val="15"/>
        </w:rPr>
        <w:t xml:space="preserve">  Layer pattern 2 (top layer)</w:t>
      </w:r>
    </w:p>
    <w:p>
      <w:pPr>
        <w:spacing w:after="0" w:before="0" w:line="240" w:lineRule="auto"/>
        <w:ind w:left="57"/>
        <w:jc w:val="left"/>
        <w:shd w:val="clear" w:fill="F2F2F2"/>
      </w:pPr>
      <w:r>
        <w:rPr>
          <w:rFonts w:ascii="Consolas" w:hAnsi="Consolas" w:cs="Consolas"/>
          <w:b w:val="0"/>
          <w:i w:val="0"/>
          <w:sz w:val="15"/>
        </w:rPr>
        <w:t xml:space="preserve">    Cartons per layer: [1]</w:t>
      </w:r>
    </w:p>
    <w:p>
      <w:pPr>
        <w:spacing w:after="0" w:before="0" w:line="240" w:lineRule="auto"/>
        <w:ind w:left="57"/>
        <w:jc w:val="left"/>
        <w:shd w:val="clear" w:fill="F2F2F2"/>
      </w:pPr>
      <w:r>
        <w:rPr>
          <w:rFonts w:ascii="Consolas" w:hAnsi="Consolas" w:cs="Consolas"/>
          <w:b w:val="0"/>
          <w:i w:val="0"/>
          <w:sz w:val="15"/>
        </w:rPr>
        <w:t xml:space="preserve">    Number of layers of this pattern: [1]</w:t>
      </w:r>
    </w:p>
    <w:p>
      <w:pPr>
        <w:spacing w:after="0" w:before="0" w:line="240" w:lineRule="auto"/>
        <w:ind w:left="57"/>
        <w:jc w:val="left"/>
        <w:shd w:val="clear" w:fill="F2F2F2"/>
      </w:pPr>
      <w:r>
        <w:rPr>
          <w:rFonts w:ascii="Consolas" w:hAnsi="Consolas" w:cs="Consolas"/>
          <w:b w:val="0"/>
          <w:i w:val="0"/>
          <w:sz w:val="15"/>
        </w:rPr>
        <w:t xml:space="preserve">    Layer height (override): [200] mm</w:t>
      </w:r>
    </w:p>
    <w:p>
      <w:pPr>
        <w:spacing w:after="0" w:before="0" w:line="240" w:lineRule="auto"/>
        <w:ind w:left="57"/>
        <w:jc w:val="left"/>
        <w:shd w:val="clear" w:fill="F2F2F2"/>
      </w:pPr>
      <w:r>
        <w:rPr>
          <w:rFonts w:ascii="Consolas" w:hAnsi="Consolas" w:cs="Consolas"/>
          <w:b w:val="0"/>
          <w:i w:val="0"/>
          <w:sz w:val="15"/>
        </w:rPr>
        <w:t xml:space="preserve">    Stacking orientation: [Centered ▼] (positions the single carton)  [Remove]</w:t>
      </w:r>
    </w:p>
    <w:p>
      <w:pPr>
        <w:spacing w:after="0" w:before="0" w:line="240" w:lineRule="auto"/>
        <w:ind w:left="57"/>
        <w:jc w:val="left"/>
        <w:shd w:val="clear" w:fill="F2F2F2"/>
      </w:pPr>
      <w:r>
        <w:rPr>
          <w:rFonts w:ascii="Consolas" w:hAnsi="Consolas" w:cs="Consolas"/>
          <w:b w:val="0"/>
          <w:i w:val="0"/>
          <w:sz w:val="15"/>
        </w:rPr>
        <w:t xml:space="preserve">  [+ Add another layer pattern]</w:t>
      </w:r>
    </w:p>
    <w:p>
      <w:pPr>
        <w:spacing w:after="0" w:before="0" w:line="240" w:lineRule="auto"/>
        <w:ind w:left="57"/>
        <w:jc w:val="left"/>
        <w:shd w:val="clear" w:fill="F2F2F2"/>
      </w:pPr>
      <w:r>
        <w:rPr>
          <w:rFonts w:ascii="Consolas" w:hAnsi="Consolas" w:cs="Consolas"/>
          <w:b w:val="0"/>
          <w:i w:val="0"/>
          <w:sz w:val="15"/>
        </w:rPr>
        <w:t>Total layers: 12</w:t>
      </w:r>
    </w:p>
    <w:p>
      <w:pPr>
        <w:spacing w:after="0" w:before="0" w:line="240" w:lineRule="auto"/>
        <w:ind w:left="57"/>
        <w:jc w:val="left"/>
        <w:shd w:val="clear" w:fill="F2F2F2"/>
      </w:pPr>
      <w:r>
        <w:rPr>
          <w:rFonts w:ascii="Consolas" w:hAnsi="Consolas" w:cs="Consolas"/>
          <w:b w:val="0"/>
          <w:i w:val="0"/>
          <w:sz w:val="15"/>
        </w:rPr>
        <w:t>Total cartons per pallet: (11 × 10) + (1 × 1) = 111 cartons</w:t>
      </w:r>
    </w:p>
    <w:p>
      <w:pPr>
        <w:spacing w:after="0" w:before="0" w:line="240" w:lineRule="auto"/>
        <w:ind w:left="57"/>
        <w:jc w:val="left"/>
        <w:shd w:val="clear" w:fill="F2F2F2"/>
      </w:pPr>
      <w:r>
        <w:rPr>
          <w:rFonts w:ascii="Consolas" w:hAnsi="Consolas" w:cs="Consolas"/>
          <w:b w:val="0"/>
          <w:i w:val="0"/>
          <w:sz w:val="15"/>
        </w:rPr>
        <w:t>Estimated pallet height: 12 × 200 mm = 2400 mm → exceeds max 1600 mm!</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Calculation &amp; validation (Governor, A4):</w:t>
      </w:r>
    </w:p>
    <w:p>
      <w:pPr>
        <w:spacing w:after="80" w:line="293" w:lineRule="auto"/>
        <w:ind w:left="283"/>
        <w:jc w:val="left"/>
      </w:pPr>
      <w:r>
        <w:rPr>
          <w:rFonts w:ascii="Times New Roman" w:hAnsi="Times New Roman" w:cs="Times New Roman"/>
          <w:b w:val="0"/>
          <w:i w:val="0"/>
          <w:sz w:val="22"/>
        </w:rPr>
        <w:t>- Total cartons per pallet = Σ (layers_of_type × cartons_per_layer).</w:t>
      </w:r>
    </w:p>
    <w:p>
      <w:pPr>
        <w:spacing w:after="80" w:line="293" w:lineRule="auto"/>
        <w:ind w:left="283"/>
        <w:jc w:val="left"/>
      </w:pPr>
      <w:r>
        <w:rPr>
          <w:rFonts w:ascii="Times New Roman" w:hAnsi="Times New Roman" w:cs="Times New Roman"/>
          <w:b w:val="0"/>
          <w:i w:val="0"/>
          <w:sz w:val="22"/>
        </w:rPr>
        <w:t>- Pallet height = Σ (layers_of_type × layer_height) + pallet deck height.</w:t>
      </w:r>
    </w:p>
    <w:p>
      <w:pPr>
        <w:spacing w:after="80" w:line="293" w:lineRule="auto"/>
        <w:ind w:left="283"/>
        <w:jc w:val="left"/>
      </w:pPr>
      <w:r>
        <w:rPr>
          <w:rFonts w:ascii="Times New Roman" w:hAnsi="Times New Roman" w:cs="Times New Roman"/>
          <w:b w:val="0"/>
          <w:i w:val="0"/>
          <w:sz w:val="22"/>
        </w:rPr>
        <w:t>- Weight per pallet = total cartons × (net weight per carton + tare per carton).</w:t>
      </w:r>
    </w:p>
    <w:p>
      <w:pPr>
        <w:spacing w:after="80" w:line="293" w:lineRule="auto"/>
        <w:ind w:left="283"/>
        <w:jc w:val="left"/>
      </w:pPr>
      <w:r>
        <w:rPr>
          <w:rFonts w:ascii="Times New Roman" w:hAnsi="Times New Roman" w:cs="Times New Roman"/>
          <w:b w:val="0"/>
          <w:i w:val="0"/>
          <w:sz w:val="22"/>
        </w:rPr>
        <w:t>- Validation rules: total height ≤ commodity-specific max stacking height (from RIA or contract);</w:t>
      </w:r>
    </w:p>
    <w:p>
      <w:pPr>
        <w:spacing w:after="80" w:line="293" w:lineRule="auto"/>
        <w:jc w:val="left"/>
      </w:pPr>
      <w:r>
        <w:rPr>
          <w:rFonts w:ascii="Times New Roman" w:hAnsi="Times New Roman" w:cs="Times New Roman"/>
          <w:b w:val="0"/>
          <w:i w:val="0"/>
          <w:sz w:val="22"/>
        </w:rPr>
        <w:t>weight ≤ pallet max payload (e.g., 1000 kg for EUR pallet); cartons_per_layer must fit within pallet dimensions (ORTools placement solver); "Centered" orientation → centre of gravity within safe limits.</w:t>
      </w:r>
    </w:p>
    <w:p>
      <w:pPr>
        <w:keepNext/>
        <w:spacing w:before="240" w:after="100"/>
        <w:outlineLvl w:val="1"/>
      </w:pPr>
      <w:r>
        <w:rPr>
          <w:rFonts w:ascii="Arial" w:hAnsi="Arial" w:cs="Arial"/>
          <w:b/>
          <w:i w:val="0"/>
          <w:color w:val="2E528F"/>
          <w:sz w:val="26"/>
        </w:rPr>
        <w:t>4.3 Collaborative Packing Plan Editing. Example:</w:t>
      </w:r>
    </w:p>
    <w:p>
      <w:pPr>
        <w:spacing w:after="0" w:before="0" w:line="240" w:lineRule="auto"/>
        <w:ind w:left="57"/>
        <w:jc w:val="left"/>
        <w:shd w:val="clear" w:fill="F2F2F2"/>
      </w:pPr>
      <w:r>
        <w:rPr>
          <w:rFonts w:ascii="Consolas" w:hAnsi="Consolas" w:cs="Consolas"/>
          <w:b w:val="0"/>
          <w:i w:val="0"/>
          <w:sz w:val="15"/>
        </w:rPr>
        <w:t>Packing Plan Editor — SGTX-EG-26-F3A-1</w:t>
      </w:r>
    </w:p>
    <w:p>
      <w:pPr>
        <w:spacing w:after="0" w:before="0" w:line="240" w:lineRule="auto"/>
        <w:ind w:left="57"/>
        <w:jc w:val="left"/>
        <w:shd w:val="clear" w:fill="F2F2F2"/>
      </w:pPr>
      <w:r>
        <w:rPr>
          <w:rFonts w:ascii="Consolas" w:hAnsi="Consolas" w:cs="Consolas"/>
          <w:b w:val="0"/>
          <w:i w:val="0"/>
          <w:sz w:val="15"/>
        </w:rPr>
        <w:t>Collaborators: Ahmed (editing), Sara (viewing), Mohamed (viewing)</w:t>
      </w:r>
    </w:p>
    <w:p>
      <w:pPr>
        <w:spacing w:after="0" w:before="0" w:line="240" w:lineRule="auto"/>
        <w:ind w:left="57"/>
        <w:jc w:val="left"/>
        <w:shd w:val="clear" w:fill="F2F2F2"/>
      </w:pPr>
      <w:r>
        <w:rPr>
          <w:rFonts w:ascii="Consolas" w:hAnsi="Consolas" w:cs="Consolas"/>
          <w:b w:val="0"/>
          <w:i w:val="0"/>
          <w:sz w:val="15"/>
        </w:rPr>
        <w:t>Container 1  [3D Container Viewer]</w:t>
      </w:r>
    </w:p>
    <w:p>
      <w:pPr>
        <w:spacing w:after="0" w:before="0" w:line="240" w:lineRule="auto"/>
        <w:ind w:left="57"/>
        <w:jc w:val="left"/>
        <w:shd w:val="clear" w:fill="F2F2F2"/>
      </w:pPr>
      <w:r>
        <w:rPr>
          <w:rFonts w:ascii="Consolas" w:hAnsi="Consolas" w:cs="Consolas"/>
          <w:b w:val="0"/>
          <w:i w:val="0"/>
          <w:sz w:val="15"/>
        </w:rPr>
        <w:t>P1 P2 P3 P4 P5   ← Ahmed is repositioning P3</w:t>
      </w:r>
    </w:p>
    <w:p>
      <w:pPr>
        <w:spacing w:after="0" w:before="0" w:line="240" w:lineRule="auto"/>
        <w:ind w:left="57"/>
        <w:jc w:val="left"/>
        <w:shd w:val="clear" w:fill="F2F2F2"/>
      </w:pPr>
      <w:r>
        <w:rPr>
          <w:rFonts w:ascii="Consolas" w:hAnsi="Consolas" w:cs="Consolas"/>
          <w:b w:val="0"/>
          <w:i w:val="0"/>
          <w:sz w:val="15"/>
        </w:rPr>
        <w:t>P6 P7 P8 P9 P10</w:t>
      </w:r>
    </w:p>
    <w:p>
      <w:pPr>
        <w:spacing w:after="0" w:before="0" w:line="240" w:lineRule="auto"/>
        <w:ind w:left="57"/>
        <w:jc w:val="left"/>
        <w:shd w:val="clear" w:fill="F2F2F2"/>
      </w:pPr>
      <w:r>
        <w:rPr>
          <w:rFonts w:ascii="Consolas" w:hAnsi="Consolas" w:cs="Consolas"/>
          <w:b w:val="0"/>
          <w:i w:val="0"/>
          <w:sz w:val="15"/>
        </w:rPr>
        <w:t>Pallet P3 — 111 cartons (11×10 + 1×1)   SSCC: 106141411234567890   Weight: 1,165 kg</w:t>
      </w:r>
    </w:p>
    <w:p>
      <w:pPr>
        <w:spacing w:after="0" w:before="0" w:line="240" w:lineRule="auto"/>
        <w:ind w:left="57"/>
        <w:jc w:val="left"/>
        <w:shd w:val="clear" w:fill="F2F2F2"/>
      </w:pPr>
      <w:r>
        <w:rPr>
          <w:rFonts w:ascii="Consolas" w:hAnsi="Consolas" w:cs="Consolas"/>
          <w:b w:val="0"/>
          <w:i w:val="0"/>
          <w:sz w:val="15"/>
        </w:rPr>
        <w:t>Chat:</w:t>
      </w:r>
    </w:p>
    <w:p>
      <w:pPr>
        <w:spacing w:after="0" w:before="0" w:line="240" w:lineRule="auto"/>
        <w:ind w:left="57"/>
        <w:jc w:val="left"/>
        <w:shd w:val="clear" w:fill="F2F2F2"/>
      </w:pPr>
      <w:r>
        <w:rPr>
          <w:rFonts w:ascii="Consolas" w:hAnsi="Consolas" w:cs="Consolas"/>
          <w:b w:val="0"/>
          <w:i w:val="0"/>
          <w:sz w:val="15"/>
        </w:rPr>
        <w:t xml:space="preserve">  Ahmed: "Moving P3 to front for easier access"</w:t>
      </w:r>
    </w:p>
    <w:p>
      <w:pPr>
        <w:spacing w:after="0" w:before="0" w:line="240" w:lineRule="auto"/>
        <w:ind w:left="57"/>
        <w:jc w:val="left"/>
        <w:shd w:val="clear" w:fill="F2F2F2"/>
      </w:pPr>
      <w:r>
        <w:rPr>
          <w:rFonts w:ascii="Consolas" w:hAnsi="Consolas" w:cs="Consolas"/>
          <w:b w:val="0"/>
          <w:i w:val="0"/>
          <w:sz w:val="15"/>
        </w:rPr>
        <w:t xml:space="preserve">  Sara:  "Good idea, the rear pallets are heavier"</w:t>
      </w:r>
    </w:p>
    <w:p>
      <w:pPr>
        <w:spacing w:after="0" w:before="0" w:line="240" w:lineRule="auto"/>
        <w:ind w:left="57"/>
        <w:jc w:val="left"/>
        <w:shd w:val="clear" w:fill="F2F2F2"/>
      </w:pPr>
      <w:r>
        <w:rPr>
          <w:rFonts w:ascii="Consolas" w:hAnsi="Consolas" w:cs="Consolas"/>
          <w:b w:val="0"/>
          <w:i w:val="0"/>
          <w:sz w:val="15"/>
        </w:rPr>
        <w:t>[Lock Packing Plan] [Save Draft] [Export PDF]</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Edge cases: race condition on lock — first request to lock wins; subsequent requests get CONDITIONAL with a Decision Panel. Offline editing — local changes queued; on reconnect, Yjs automatically merges. Large teams — maximum 10 concurrent editors per packing plan; beyond that, read-only.</w:t>
      </w:r>
    </w:p>
    <w:p>
      <w:pPr>
        <w:spacing w:after="80" w:line="293" w:lineRule="auto"/>
        <w:jc w:val="left"/>
      </w:pPr>
      <w:r>
        <w:rPr>
          <w:rFonts w:ascii="Times New Roman" w:hAnsi="Times New Roman" w:cs="Times New Roman"/>
          <w:b w:val="0"/>
          <w:i w:val="0"/>
          <w:sz w:val="22"/>
        </w:rPr>
        <w:t>4.4 3D Container Viewer &amp; Capacity Heatmap. Three.js 3D view of container loading; capacity heatmap is opt-in and anonymised with differential privacy.</w:t>
      </w:r>
    </w:p>
    <w:p>
      <w:pPr>
        <w:keepNext/>
        <w:spacing w:before="240" w:after="100"/>
        <w:outlineLvl w:val="1"/>
      </w:pPr>
      <w:r>
        <w:rPr>
          <w:rFonts w:ascii="Arial" w:hAnsi="Arial" w:cs="Arial"/>
          <w:b/>
          <w:i w:val="0"/>
          <w:color w:val="2E528F"/>
          <w:sz w:val="26"/>
        </w:rPr>
        <w:t>4.5 Ecological Packaging Advisor (A1, Groq). Example:</w:t>
      </w:r>
    </w:p>
    <w:p>
      <w:pPr>
        <w:spacing w:after="0" w:before="0" w:line="240" w:lineRule="auto"/>
        <w:ind w:left="57"/>
        <w:jc w:val="left"/>
        <w:shd w:val="clear" w:fill="F2F2F2"/>
      </w:pPr>
      <w:r>
        <w:rPr>
          <w:rFonts w:ascii="Consolas" w:hAnsi="Consolas" w:cs="Consolas"/>
          <w:b w:val="0"/>
          <w:i w:val="0"/>
          <w:sz w:val="15"/>
        </w:rPr>
        <w:t>Ecological Packaging Suggestion</w:t>
      </w:r>
    </w:p>
    <w:p>
      <w:pPr>
        <w:spacing w:after="0" w:before="0" w:line="240" w:lineRule="auto"/>
        <w:ind w:left="57"/>
        <w:jc w:val="left"/>
        <w:shd w:val="clear" w:fill="F2F2F2"/>
      </w:pPr>
      <w:r>
        <w:rPr>
          <w:rFonts w:ascii="Consolas" w:hAnsi="Consolas" w:cs="Consolas"/>
          <w:b w:val="0"/>
          <w:i w:val="0"/>
          <w:sz w:val="15"/>
        </w:rPr>
        <w:t>Switching from virgin plastic strapping to recycled PET strapping reduces your</w:t>
      </w:r>
    </w:p>
    <w:p>
      <w:pPr>
        <w:spacing w:after="0" w:before="0" w:line="240" w:lineRule="auto"/>
        <w:ind w:left="57"/>
        <w:jc w:val="left"/>
        <w:shd w:val="clear" w:fill="F2F2F2"/>
      </w:pPr>
      <w:r>
        <w:rPr>
          <w:rFonts w:ascii="Consolas" w:hAnsi="Consolas" w:cs="Consolas"/>
          <w:b w:val="0"/>
          <w:i w:val="0"/>
          <w:sz w:val="15"/>
        </w:rPr>
        <w:t>carbon footprint by 12 kg CO₂e per container and saves approximately €45 in</w:t>
      </w:r>
    </w:p>
    <w:p>
      <w:pPr>
        <w:spacing w:after="0" w:before="0" w:line="240" w:lineRule="auto"/>
        <w:ind w:left="57"/>
        <w:jc w:val="left"/>
        <w:shd w:val="clear" w:fill="F2F2F2"/>
      </w:pPr>
      <w:r>
        <w:rPr>
          <w:rFonts w:ascii="Consolas" w:hAnsi="Consolas" w:cs="Consolas"/>
          <w:b w:val="0"/>
          <w:i w:val="0"/>
          <w:sz w:val="15"/>
        </w:rPr>
        <w:t>packaging tax in Germany. The alternative meets all strength requirements for</w:t>
      </w:r>
    </w:p>
    <w:p>
      <w:pPr>
        <w:spacing w:after="0" w:before="0" w:line="240" w:lineRule="auto"/>
        <w:ind w:left="57"/>
        <w:jc w:val="left"/>
        <w:shd w:val="clear" w:fill="F2F2F2"/>
      </w:pPr>
      <w:r>
        <w:rPr>
          <w:rFonts w:ascii="Consolas" w:hAnsi="Consolas" w:cs="Consolas"/>
          <w:b w:val="0"/>
          <w:i w:val="0"/>
          <w:sz w:val="15"/>
        </w:rPr>
        <w:t>this route (validated).</w:t>
      </w:r>
    </w:p>
    <w:p>
      <w:pPr>
        <w:spacing w:after="0" w:before="0" w:line="240" w:lineRule="auto"/>
        <w:ind w:left="57"/>
        <w:jc w:val="left"/>
        <w:shd w:val="clear" w:fill="F2F2F2"/>
      </w:pPr>
      <w:r>
        <w:rPr>
          <w:rFonts w:ascii="Consolas" w:hAnsi="Consolas" w:cs="Consolas"/>
          <w:b w:val="0"/>
          <w:i w:val="0"/>
          <w:sz w:val="15"/>
        </w:rPr>
        <w:t>[Apply to all containers] [Apply to container 1 only] [Dismiss]</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4.6 Carbon Footprint Calculation (A2, ISO 14067). Example:</w:t>
      </w:r>
    </w:p>
    <w:p>
      <w:pPr>
        <w:spacing w:after="0" w:before="0" w:line="240" w:lineRule="auto"/>
        <w:ind w:left="57"/>
        <w:jc w:val="left"/>
        <w:shd w:val="clear" w:fill="F2F2F2"/>
      </w:pPr>
      <w:r>
        <w:rPr>
          <w:rFonts w:ascii="Consolas" w:hAnsi="Consolas" w:cs="Consolas"/>
          <w:b w:val="0"/>
          <w:i w:val="0"/>
          <w:sz w:val="15"/>
        </w:rPr>
        <w:t>CARBON FOOTPRINT — SGTX-EG-26-F3A-1</w:t>
      </w:r>
    </w:p>
    <w:p>
      <w:pPr>
        <w:spacing w:after="0" w:before="0" w:line="240" w:lineRule="auto"/>
        <w:ind w:left="57"/>
        <w:jc w:val="left"/>
        <w:shd w:val="clear" w:fill="F2F2F2"/>
      </w:pPr>
      <w:r>
        <w:rPr>
          <w:rFonts w:ascii="Consolas" w:hAnsi="Consolas" w:cs="Consolas"/>
          <w:b w:val="0"/>
          <w:i w:val="0"/>
          <w:sz w:val="15"/>
        </w:rPr>
        <w:t>Transport (vessel):     3,000 kg CO₂e</w:t>
      </w:r>
    </w:p>
    <w:p>
      <w:pPr>
        <w:spacing w:after="0" w:before="0" w:line="240" w:lineRule="auto"/>
        <w:ind w:left="57"/>
        <w:jc w:val="left"/>
        <w:shd w:val="clear" w:fill="F2F2F2"/>
      </w:pPr>
      <w:r>
        <w:rPr>
          <w:rFonts w:ascii="Consolas" w:hAnsi="Consolas" w:cs="Consolas"/>
          <w:b w:val="0"/>
          <w:i w:val="0"/>
          <w:sz w:val="15"/>
        </w:rPr>
        <w:t>Trucking (farm to port):  120 kg CO₂e</w:t>
      </w:r>
    </w:p>
    <w:p>
      <w:pPr>
        <w:spacing w:after="0" w:before="0" w:line="240" w:lineRule="auto"/>
        <w:ind w:left="57"/>
        <w:jc w:val="left"/>
        <w:shd w:val="clear" w:fill="F2F2F2"/>
      </w:pPr>
      <w:r>
        <w:rPr>
          <w:rFonts w:ascii="Consolas" w:hAnsi="Consolas" w:cs="Consolas"/>
          <w:b w:val="0"/>
          <w:i w:val="0"/>
          <w:sz w:val="15"/>
        </w:rPr>
        <w:t>Reefer electricity:       600 kg CO₂e</w:t>
      </w:r>
    </w:p>
    <w:p>
      <w:pPr>
        <w:spacing w:after="0" w:before="0" w:line="240" w:lineRule="auto"/>
        <w:ind w:left="57"/>
        <w:jc w:val="left"/>
        <w:shd w:val="clear" w:fill="F2F2F2"/>
      </w:pPr>
      <w:r>
        <w:rPr>
          <w:rFonts w:ascii="Consolas" w:hAnsi="Consolas" w:cs="Consolas"/>
          <w:b w:val="0"/>
          <w:i w:val="0"/>
          <w:sz w:val="15"/>
        </w:rPr>
        <w:t>Packaging:                800 kg CO₂e</w:t>
      </w:r>
    </w:p>
    <w:p>
      <w:pPr>
        <w:spacing w:after="0" w:before="0" w:line="240" w:lineRule="auto"/>
        <w:ind w:left="57"/>
        <w:jc w:val="left"/>
        <w:shd w:val="clear" w:fill="F2F2F2"/>
      </w:pPr>
      <w:r>
        <w:rPr>
          <w:rFonts w:ascii="Consolas" w:hAnsi="Consolas" w:cs="Consolas"/>
          <w:b w:val="0"/>
          <w:i w:val="0"/>
          <w:sz w:val="15"/>
        </w:rPr>
        <w:t>Port handling:            200 kg CO₂e</w:t>
      </w:r>
    </w:p>
    <w:p>
      <w:pPr>
        <w:spacing w:after="0" w:before="0" w:line="240" w:lineRule="auto"/>
        <w:ind w:left="57"/>
        <w:jc w:val="left"/>
        <w:shd w:val="clear" w:fill="F2F2F2"/>
      </w:pPr>
      <w:r>
        <w:rPr>
          <w:rFonts w:ascii="Consolas" w:hAnsi="Consolas" w:cs="Consolas"/>
          <w:b w:val="0"/>
          <w:i w:val="0"/>
          <w:sz w:val="15"/>
        </w:rPr>
        <w:t>Total:                  4,720 kg CO₂e</w:t>
      </w:r>
    </w:p>
    <w:p>
      <w:pPr>
        <w:spacing w:after="0" w:before="0" w:line="240" w:lineRule="auto"/>
        <w:ind w:left="57"/>
        <w:jc w:val="left"/>
        <w:shd w:val="clear" w:fill="F2F2F2"/>
      </w:pPr>
      <w:r>
        <w:rPr>
          <w:rFonts w:ascii="Consolas" w:hAnsi="Consolas" w:cs="Consolas"/>
          <w:b w:val="0"/>
          <w:i w:val="0"/>
          <w:sz w:val="15"/>
        </w:rPr>
        <w:t>CBAM embedded emissions: 1,800 kg CO₂e</w:t>
      </w:r>
    </w:p>
    <w:p>
      <w:pPr>
        <w:spacing w:after="0" w:before="0" w:line="240" w:lineRule="auto"/>
        <w:ind w:left="57"/>
        <w:jc w:val="left"/>
        <w:shd w:val="clear" w:fill="F2F2F2"/>
      </w:pPr>
      <w:r>
        <w:rPr>
          <w:rFonts w:ascii="Consolas" w:hAnsi="Consolas" w:cs="Consolas"/>
          <w:b w:val="0"/>
          <w:i w:val="0"/>
          <w:sz w:val="15"/>
        </w:rPr>
        <w:t>[Download CBAM Report] [View Methodology]</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4.7 Lock Packing Plan (One Click). Governor validation (A4):</w:t>
      </w:r>
    </w:p>
    <w:p>
      <w:pPr>
        <w:spacing w:after="80" w:line="293" w:lineRule="auto"/>
        <w:ind w:left="283"/>
        <w:jc w:val="left"/>
      </w:pPr>
      <w:r>
        <w:rPr>
          <w:rFonts w:ascii="Times New Roman" w:hAnsi="Times New Roman" w:cs="Times New Roman"/>
          <w:b w:val="0"/>
          <w:i w:val="0"/>
          <w:sz w:val="22"/>
        </w:rPr>
        <w:t>- Container gross weight ≤ max payload (e.g., 28,000 kg for a 40ft container).</w:t>
      </w:r>
    </w:p>
    <w:p>
      <w:pPr>
        <w:spacing w:after="80" w:line="293" w:lineRule="auto"/>
        <w:ind w:left="283"/>
        <w:jc w:val="left"/>
      </w:pPr>
      <w:r>
        <w:rPr>
          <w:rFonts w:ascii="Times New Roman" w:hAnsi="Times New Roman" w:cs="Times New Roman"/>
          <w:b w:val="0"/>
          <w:i w:val="0"/>
          <w:sz w:val="22"/>
        </w:rPr>
        <w:t>- Pallet stacking heights (including non-uniform layers) ≤ commodity-specific limits.</w:t>
      </w:r>
    </w:p>
    <w:p>
      <w:pPr>
        <w:spacing w:after="80" w:line="293" w:lineRule="auto"/>
        <w:ind w:left="283"/>
        <w:jc w:val="left"/>
      </w:pPr>
      <w:r>
        <w:rPr>
          <w:rFonts w:ascii="Times New Roman" w:hAnsi="Times New Roman" w:cs="Times New Roman"/>
          <w:b w:val="0"/>
          <w:i w:val="0"/>
          <w:sz w:val="22"/>
        </w:rPr>
        <w:t>- No incompatible commodities mixed — checked by the WasmEdge commodity compatibility rule.</w:t>
      </w:r>
    </w:p>
    <w:p>
      <w:pPr>
        <w:spacing w:after="80" w:line="293" w:lineRule="auto"/>
        <w:ind w:left="283"/>
        <w:jc w:val="left"/>
      </w:pPr>
      <w:r>
        <w:rPr>
          <w:rFonts w:ascii="Times New Roman" w:hAnsi="Times New Roman" w:cs="Times New Roman"/>
          <w:b w:val="0"/>
          <w:i w:val="0"/>
          <w:sz w:val="22"/>
        </w:rPr>
        <w:t>- For shipments requiring cold treatment, the treatment certificate must be uploaded or planned.</w:t>
      </w:r>
    </w:p>
    <w:p>
      <w:pPr>
        <w:spacing w:after="80" w:line="293" w:lineRule="auto"/>
        <w:jc w:val="left"/>
      </w:pPr>
      <w:r>
        <w:rPr>
          <w:rFonts w:ascii="Times New Roman" w:hAnsi="Times New Roman" w:cs="Times New Roman"/>
          <w:b w:val="0"/>
          <w:i w:val="0"/>
          <w:sz w:val="22"/>
        </w:rPr>
        <w:t>If valid: SSCC-18 codes are generated, QR codes with verifiable credentials are issued, the Loom hash of the packing plan is recorded, and `packing_plans.locked_at = NOW()`. If invalid: a Decision Panel appears with remediation links.</w:t>
      </w:r>
    </w:p>
    <w:p>
      <w:pPr>
        <w:keepNext/>
        <w:spacing w:before="140" w:after="60"/>
        <w:outlineLvl w:val="3"/>
      </w:pPr>
      <w:r>
        <w:rPr>
          <w:rFonts w:ascii="Arial" w:hAnsi="Arial" w:cs="Arial"/>
          <w:b/>
          <w:i/>
          <w:color w:val="333333"/>
          <w:sz w:val="22"/>
        </w:rPr>
        <w:t>Tab 5: Logistics Builder</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determine logistics costs using three flexible modes (A, B, C), which can be combined per service. Incoterm-based service filtering ensures mandatory services are included. Mode selection UI:</w:t>
      </w:r>
    </w:p>
    <w:p>
      <w:pPr>
        <w:spacing w:after="0" w:before="0" w:line="240" w:lineRule="auto"/>
        <w:ind w:left="57"/>
        <w:jc w:val="left"/>
        <w:shd w:val="clear" w:fill="F2F2F2"/>
      </w:pPr>
      <w:r>
        <w:rPr>
          <w:rFonts w:ascii="Consolas" w:hAnsi="Consolas" w:cs="Consolas"/>
          <w:b w:val="0"/>
          <w:i w:val="0"/>
          <w:sz w:val="15"/>
        </w:rPr>
        <w:t>LOGISTICS BUILDER — SGTX-EG-26-F3A-1       Incoterm: CFR</w:t>
      </w:r>
    </w:p>
    <w:p>
      <w:pPr>
        <w:spacing w:after="0" w:before="0" w:line="240" w:lineRule="auto"/>
        <w:ind w:left="57"/>
        <w:jc w:val="left"/>
        <w:shd w:val="clear" w:fill="F2F2F2"/>
      </w:pPr>
      <w:r>
        <w:rPr>
          <w:rFonts w:ascii="Consolas" w:hAnsi="Consolas" w:cs="Consolas"/>
          <w:b w:val="0"/>
          <w:i w:val="0"/>
          <w:sz w:val="15"/>
        </w:rPr>
        <w:t>Mode selection per service:</w:t>
      </w:r>
    </w:p>
    <w:p>
      <w:pPr>
        <w:spacing w:after="0" w:before="0" w:line="240" w:lineRule="auto"/>
        <w:ind w:left="57"/>
        <w:jc w:val="left"/>
        <w:shd w:val="clear" w:fill="F2F2F2"/>
      </w:pPr>
      <w:r>
        <w:rPr>
          <w:rFonts w:ascii="Consolas" w:hAnsi="Consolas" w:cs="Consolas"/>
          <w:b w:val="0"/>
          <w:i w:val="0"/>
          <w:sz w:val="15"/>
        </w:rPr>
        <w:t xml:space="preserve">  Trucking          [Mode A — Manual] [Mode B — RFQ]  [Mode C — Direct]</w:t>
      </w:r>
    </w:p>
    <w:p>
      <w:pPr>
        <w:spacing w:after="0" w:before="0" w:line="240" w:lineRule="auto"/>
        <w:ind w:left="57"/>
        <w:jc w:val="left"/>
        <w:shd w:val="clear" w:fill="F2F2F2"/>
      </w:pPr>
      <w:r>
        <w:rPr>
          <w:rFonts w:ascii="Consolas" w:hAnsi="Consolas" w:cs="Consolas"/>
          <w:b w:val="0"/>
          <w:i w:val="0"/>
          <w:sz w:val="15"/>
        </w:rPr>
        <w:t xml:space="preserve">  Ocean Freight     [Mode A — Manual] [Mode B — RFQ]  [Mode C — Direct]</w:t>
      </w:r>
    </w:p>
    <w:p>
      <w:pPr>
        <w:spacing w:after="0" w:before="0" w:line="240" w:lineRule="auto"/>
        <w:ind w:left="57"/>
        <w:jc w:val="left"/>
        <w:shd w:val="clear" w:fill="F2F2F2"/>
      </w:pPr>
      <w:r>
        <w:rPr>
          <w:rFonts w:ascii="Consolas" w:hAnsi="Consolas" w:cs="Consolas"/>
          <w:b w:val="0"/>
          <w:i w:val="0"/>
          <w:sz w:val="15"/>
        </w:rPr>
        <w:t xml:space="preserve">  Customs Brokerage [Mode A — Manual] [Mode B — RFQ]  [Mode C — Direct]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5.1 Mode A — Manual Entry (Fixed Prices). The seller types known cost amounts directly; costs are stored with the quote. One-click: seller types amount → cost stored.</w:t>
      </w:r>
    </w:p>
    <w:p>
      <w:pPr>
        <w:keepNext/>
        <w:spacing w:before="240" w:after="100"/>
        <w:outlineLvl w:val="1"/>
      </w:pPr>
      <w:r>
        <w:rPr>
          <w:rFonts w:ascii="Arial" w:hAnsi="Arial" w:cs="Arial"/>
          <w:b/>
          <w:i w:val="0"/>
          <w:color w:val="2E528F"/>
          <w:sz w:val="26"/>
        </w:rPr>
        <w:t>5.2 Mode B — RFQ to Logistics Providers (LSPs). Sends RFQs to saved-contact LSPs.</w:t>
      </w:r>
    </w:p>
    <w:p>
      <w:pPr>
        <w:spacing w:after="80" w:line="293" w:lineRule="auto"/>
        <w:jc w:val="left"/>
      </w:pPr>
      <w:r>
        <w:rPr>
          <w:rFonts w:ascii="Times New Roman" w:hAnsi="Times New Roman" w:cs="Times New Roman"/>
          <w:b w:val="0"/>
          <w:i w:val="0"/>
          <w:sz w:val="22"/>
        </w:rPr>
        <w:t>Clarification request (structured Q&amp;A). Example:</w:t>
      </w:r>
    </w:p>
    <w:p>
      <w:pPr>
        <w:spacing w:after="0" w:before="0" w:line="240" w:lineRule="auto"/>
        <w:ind w:left="57"/>
        <w:jc w:val="left"/>
        <w:shd w:val="clear" w:fill="F2F2F2"/>
      </w:pPr>
      <w:r>
        <w:rPr>
          <w:rFonts w:ascii="Consolas" w:hAnsi="Consolas" w:cs="Consolas"/>
          <w:b w:val="0"/>
          <w:i w:val="0"/>
          <w:sz w:val="15"/>
        </w:rPr>
        <w:t>Clarification Request — Trucking RFQ #RFQ-001</w:t>
      </w:r>
    </w:p>
    <w:p>
      <w:pPr>
        <w:spacing w:after="0" w:before="0" w:line="240" w:lineRule="auto"/>
        <w:ind w:left="57"/>
        <w:jc w:val="left"/>
        <w:shd w:val="clear" w:fill="F2F2F2"/>
      </w:pPr>
      <w:r>
        <w:rPr>
          <w:rFonts w:ascii="Consolas" w:hAnsi="Consolas" w:cs="Consolas"/>
          <w:b w:val="0"/>
          <w:i w:val="0"/>
          <w:sz w:val="15"/>
        </w:rPr>
        <w:t>Provider: Fast Trucking Co.</w:t>
      </w:r>
    </w:p>
    <w:p>
      <w:pPr>
        <w:spacing w:after="0" w:before="0" w:line="240" w:lineRule="auto"/>
        <w:ind w:left="57"/>
        <w:jc w:val="left"/>
        <w:shd w:val="clear" w:fill="F2F2F2"/>
      </w:pPr>
      <w:r>
        <w:rPr>
          <w:rFonts w:ascii="Consolas" w:hAnsi="Consolas" w:cs="Consolas"/>
          <w:b w:val="0"/>
          <w:i w:val="0"/>
          <w:sz w:val="15"/>
        </w:rPr>
        <w:t>Question: "Are there any access restrictions at the pickup location?"</w:t>
      </w:r>
    </w:p>
    <w:p>
      <w:pPr>
        <w:spacing w:after="0" w:before="0" w:line="240" w:lineRule="auto"/>
        <w:ind w:left="57"/>
        <w:jc w:val="left"/>
        <w:shd w:val="clear" w:fill="F2F2F2"/>
      </w:pPr>
      <w:r>
        <w:rPr>
          <w:rFonts w:ascii="Consolas" w:hAnsi="Consolas" w:cs="Consolas"/>
          <w:b w:val="0"/>
          <w:i w:val="0"/>
          <w:sz w:val="15"/>
        </w:rPr>
        <w:t>Answer: [No, standard 40ft truck access available]</w:t>
      </w:r>
    </w:p>
    <w:p>
      <w:pPr>
        <w:spacing w:after="0" w:before="0" w:line="240" w:lineRule="auto"/>
        <w:ind w:left="57"/>
        <w:jc w:val="left"/>
        <w:shd w:val="clear" w:fill="F2F2F2"/>
      </w:pPr>
      <w:r>
        <w:rPr>
          <w:rFonts w:ascii="Consolas" w:hAnsi="Consolas" w:cs="Consolas"/>
          <w:b w:val="0"/>
          <w:i w:val="0"/>
          <w:sz w:val="15"/>
        </w:rPr>
        <w:t>[Submit Answer] [Skip]</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Compare Quotes panel:</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Provider</w:t>
            </w:r>
          </w:p>
        </w:tc>
        <w:tc>
          <w:tcPr>
            <w:tcW w:type="dxa" w:w="1928"/>
            <w:shd w:val="clear" w:fill="D9E2F3"/>
          </w:tcPr>
          <w:p>
            <w:pPr>
              <w:spacing w:after="20" w:before="20" w:line="240" w:lineRule="auto"/>
            </w:pPr>
            <w:r/>
            <w:r>
              <w:rPr>
                <w:rFonts w:ascii="Arial" w:hAnsi="Arial" w:cs="Arial"/>
                <w:b/>
                <w:i w:val="0"/>
                <w:sz w:val="18"/>
              </w:rPr>
              <w:t>Fee</w:t>
            </w:r>
          </w:p>
        </w:tc>
        <w:tc>
          <w:tcPr>
            <w:tcW w:type="dxa" w:w="1928"/>
            <w:shd w:val="clear" w:fill="D9E2F3"/>
          </w:tcPr>
          <w:p>
            <w:pPr>
              <w:spacing w:after="20" w:before="20" w:line="240" w:lineRule="auto"/>
            </w:pPr>
            <w:r/>
            <w:r>
              <w:rPr>
                <w:rFonts w:ascii="Arial" w:hAnsi="Arial" w:cs="Arial"/>
                <w:b/>
                <w:i w:val="0"/>
                <w:sz w:val="18"/>
              </w:rPr>
              <w:t>Transit Time</w:t>
            </w:r>
          </w:p>
        </w:tc>
        <w:tc>
          <w:tcPr>
            <w:tcW w:type="dxa" w:w="1928"/>
            <w:shd w:val="clear" w:fill="D9E2F3"/>
          </w:tcPr>
          <w:p>
            <w:pPr>
              <w:spacing w:after="20" w:before="20" w:line="240" w:lineRule="auto"/>
            </w:pPr>
            <w:r/>
            <w:r>
              <w:rPr>
                <w:rFonts w:ascii="Arial" w:hAnsi="Arial" w:cs="Arial"/>
                <w:b/>
                <w:i w:val="0"/>
                <w:sz w:val="18"/>
              </w:rPr>
              <w:t>Match Score</w:t>
            </w:r>
          </w:p>
        </w:tc>
        <w:tc>
          <w:tcPr>
            <w:tcW w:type="dxa" w:w="1928"/>
            <w:shd w:val="clear" w:fill="D9E2F3"/>
          </w:tcPr>
          <w:p>
            <w:pPr>
              <w:spacing w:after="20" w:before="20" w:line="240" w:lineRule="auto"/>
            </w:pPr>
            <w:r/>
            <w:r>
              <w:rPr>
                <w:rFonts w:ascii="Arial" w:hAnsi="Arial" w:cs="Arial"/>
                <w:b/>
                <w:i w:val="0"/>
                <w:sz w:val="18"/>
              </w:rPr>
              <w:t>Select</w:t>
            </w:r>
          </w:p>
        </w:tc>
      </w:tr>
      <w:tr>
        <w:tc>
          <w:tcPr>
            <w:tcW w:type="dxa" w:w="1928"/>
          </w:tcPr>
          <w:p>
            <w:pPr>
              <w:spacing w:after="20" w:before="20" w:line="240" w:lineRule="auto"/>
            </w:pPr>
            <w:r/>
            <w:r>
              <w:rPr>
                <w:rFonts w:ascii="Arial" w:hAnsi="Arial" w:cs="Arial"/>
                <w:b w:val="0"/>
                <w:i w:val="0"/>
                <w:sz w:val="17"/>
              </w:rPr>
              <w:t>Fast Trucking</w:t>
            </w:r>
          </w:p>
        </w:tc>
        <w:tc>
          <w:tcPr>
            <w:tcW w:type="dxa" w:w="1928"/>
          </w:tcPr>
          <w:p>
            <w:pPr>
              <w:spacing w:after="20" w:before="20" w:line="240" w:lineRule="auto"/>
            </w:pPr>
            <w:r/>
            <w:r>
              <w:rPr>
                <w:rFonts w:ascii="Arial" w:hAnsi="Arial" w:cs="Arial"/>
                <w:b w:val="0"/>
                <w:i w:val="0"/>
                <w:sz w:val="17"/>
              </w:rPr>
              <w:t>$127.50</w:t>
            </w:r>
          </w:p>
        </w:tc>
        <w:tc>
          <w:tcPr>
            <w:tcW w:type="dxa" w:w="1928"/>
          </w:tcPr>
          <w:p>
            <w:pPr>
              <w:spacing w:after="20" w:before="20" w:line="240" w:lineRule="auto"/>
            </w:pPr>
            <w:r/>
            <w:r>
              <w:rPr>
                <w:rFonts w:ascii="Arial" w:hAnsi="Arial" w:cs="Arial"/>
                <w:b w:val="0"/>
                <w:i w:val="0"/>
                <w:sz w:val="17"/>
              </w:rPr>
              <w:t>4h</w:t>
            </w:r>
          </w:p>
        </w:tc>
        <w:tc>
          <w:tcPr>
            <w:tcW w:type="dxa" w:w="1928"/>
          </w:tcPr>
          <w:p>
            <w:pPr>
              <w:spacing w:after="20" w:before="20" w:line="240" w:lineRule="auto"/>
            </w:pPr>
            <w:r/>
            <w:r>
              <w:rPr>
                <w:rFonts w:ascii="Arial" w:hAnsi="Arial" w:cs="Arial"/>
                <w:b w:val="0"/>
                <w:i w:val="0"/>
                <w:sz w:val="17"/>
              </w:rPr>
              <w:t>94 (high)</w:t>
            </w:r>
          </w:p>
        </w:tc>
        <w:tc>
          <w:tcPr>
            <w:tcW w:type="dxa" w:w="1928"/>
          </w:tcPr>
          <w:p>
            <w:pPr>
              <w:spacing w:after="20" w:before="20" w:line="240" w:lineRule="auto"/>
            </w:pPr>
            <w:r/>
            <w:r>
              <w:rPr>
                <w:rFonts w:ascii="Arial" w:hAnsi="Arial" w:cs="Arial"/>
                <w:b w:val="0"/>
                <w:i w:val="0"/>
                <w:sz w:val="17"/>
              </w:rPr>
              <w:t>[Select]</w:t>
            </w:r>
          </w:p>
        </w:tc>
      </w:tr>
      <w:tr>
        <w:tc>
          <w:tcPr>
            <w:tcW w:type="dxa" w:w="1928"/>
          </w:tcPr>
          <w:p>
            <w:pPr>
              <w:spacing w:after="20" w:before="20" w:line="240" w:lineRule="auto"/>
            </w:pPr>
            <w:r/>
            <w:r>
              <w:rPr>
                <w:rFonts w:ascii="Arial" w:hAnsi="Arial" w:cs="Arial"/>
                <w:b w:val="0"/>
                <w:i w:val="0"/>
                <w:sz w:val="17"/>
              </w:rPr>
              <w:t>Green Haul</w:t>
            </w:r>
          </w:p>
        </w:tc>
        <w:tc>
          <w:tcPr>
            <w:tcW w:type="dxa" w:w="1928"/>
          </w:tcPr>
          <w:p>
            <w:pPr>
              <w:spacing w:after="20" w:before="20" w:line="240" w:lineRule="auto"/>
            </w:pPr>
            <w:r/>
            <w:r>
              <w:rPr>
                <w:rFonts w:ascii="Arial" w:hAnsi="Arial" w:cs="Arial"/>
                <w:b w:val="0"/>
                <w:i w:val="0"/>
                <w:sz w:val="17"/>
              </w:rPr>
              <w:t>$135.00</w:t>
            </w:r>
          </w:p>
        </w:tc>
        <w:tc>
          <w:tcPr>
            <w:tcW w:type="dxa" w:w="1928"/>
          </w:tcPr>
          <w:p>
            <w:pPr>
              <w:spacing w:after="20" w:before="20" w:line="240" w:lineRule="auto"/>
            </w:pPr>
            <w:r/>
            <w:r>
              <w:rPr>
                <w:rFonts w:ascii="Arial" w:hAnsi="Arial" w:cs="Arial"/>
                <w:b w:val="0"/>
                <w:i w:val="0"/>
                <w:sz w:val="17"/>
              </w:rPr>
              <w:t>3.5h</w:t>
            </w:r>
          </w:p>
        </w:tc>
        <w:tc>
          <w:tcPr>
            <w:tcW w:type="dxa" w:w="1928"/>
          </w:tcPr>
          <w:p>
            <w:pPr>
              <w:spacing w:after="20" w:before="20" w:line="240" w:lineRule="auto"/>
            </w:pPr>
            <w:r/>
            <w:r>
              <w:rPr>
                <w:rFonts w:ascii="Arial" w:hAnsi="Arial" w:cs="Arial"/>
                <w:b w:val="0"/>
                <w:i w:val="0"/>
                <w:sz w:val="17"/>
              </w:rPr>
              <w:t>82 (good)</w:t>
            </w:r>
          </w:p>
        </w:tc>
        <w:tc>
          <w:tcPr>
            <w:tcW w:type="dxa" w:w="1928"/>
          </w:tcPr>
          <w:p>
            <w:pPr>
              <w:spacing w:after="20" w:before="20" w:line="240" w:lineRule="auto"/>
            </w:pPr>
            <w:r/>
            <w:r>
              <w:rPr>
                <w:rFonts w:ascii="Arial" w:hAnsi="Arial" w:cs="Arial"/>
                <w:b w:val="0"/>
                <w:i w:val="0"/>
                <w:sz w:val="17"/>
              </w:rPr>
              <w:t>[Select]</w:t>
            </w:r>
          </w:p>
        </w:tc>
      </w:tr>
      <w:tr>
        <w:tc>
          <w:tcPr>
            <w:tcW w:type="dxa" w:w="1928"/>
          </w:tcPr>
          <w:p>
            <w:pPr>
              <w:spacing w:after="20" w:before="20" w:line="240" w:lineRule="auto"/>
            </w:pPr>
            <w:r/>
            <w:r>
              <w:rPr>
                <w:rFonts w:ascii="Arial" w:hAnsi="Arial" w:cs="Arial"/>
                <w:b w:val="0"/>
                <w:i w:val="0"/>
                <w:sz w:val="17"/>
              </w:rPr>
              <w:t>Express Cargo</w:t>
            </w:r>
          </w:p>
        </w:tc>
        <w:tc>
          <w:tcPr>
            <w:tcW w:type="dxa" w:w="1928"/>
          </w:tcPr>
          <w:p>
            <w:pPr>
              <w:spacing w:after="20" w:before="20" w:line="240" w:lineRule="auto"/>
            </w:pPr>
            <w:r/>
            <w:r>
              <w:rPr>
                <w:rFonts w:ascii="Arial" w:hAnsi="Arial" w:cs="Arial"/>
                <w:b w:val="0"/>
                <w:i w:val="0"/>
                <w:sz w:val="17"/>
              </w:rPr>
              <w:t>$118.00</w:t>
            </w:r>
          </w:p>
        </w:tc>
        <w:tc>
          <w:tcPr>
            <w:tcW w:type="dxa" w:w="1928"/>
          </w:tcPr>
          <w:p>
            <w:pPr>
              <w:spacing w:after="20" w:before="20" w:line="240" w:lineRule="auto"/>
            </w:pPr>
            <w:r/>
            <w:r>
              <w:rPr>
                <w:rFonts w:ascii="Arial" w:hAnsi="Arial" w:cs="Arial"/>
                <w:b w:val="0"/>
                <w:i w:val="0"/>
                <w:sz w:val="17"/>
              </w:rPr>
              <w:t>5h</w:t>
            </w:r>
          </w:p>
        </w:tc>
        <w:tc>
          <w:tcPr>
            <w:tcW w:type="dxa" w:w="1928"/>
          </w:tcPr>
          <w:p>
            <w:pPr>
              <w:spacing w:after="20" w:before="20" w:line="240" w:lineRule="auto"/>
            </w:pPr>
            <w:r/>
            <w:r>
              <w:rPr>
                <w:rFonts w:ascii="Arial" w:hAnsi="Arial" w:cs="Arial"/>
                <w:b w:val="0"/>
                <w:i w:val="0"/>
                <w:sz w:val="17"/>
              </w:rPr>
              <w:t>76 (medium)</w:t>
            </w:r>
          </w:p>
        </w:tc>
        <w:tc>
          <w:tcPr>
            <w:tcW w:type="dxa" w:w="1928"/>
          </w:tcPr>
          <w:p>
            <w:pPr>
              <w:spacing w:after="20" w:before="20" w:line="240" w:lineRule="auto"/>
            </w:pPr>
            <w:r/>
            <w:r>
              <w:rPr>
                <w:rFonts w:ascii="Arial" w:hAnsi="Arial" w:cs="Arial"/>
                <w:b w:val="0"/>
                <w:i w:val="0"/>
                <w:sz w:val="17"/>
              </w:rPr>
              <w:t>[Select]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Recommendation: "Fast Trucking Co. offers the best balance of price and reliability. They have a 94% on-time delivery rate on this route."</w:t>
      </w:r>
    </w:p>
    <w:p>
      <w:pPr>
        <w:keepNext/>
        <w:spacing w:before="240" w:after="100"/>
        <w:outlineLvl w:val="1"/>
      </w:pPr>
      <w:r>
        <w:rPr>
          <w:rFonts w:ascii="Arial" w:hAnsi="Arial" w:cs="Arial"/>
          <w:b/>
          <w:i w:val="0"/>
          <w:color w:val="2E528F"/>
          <w:sz w:val="26"/>
        </w:rPr>
        <w:t>5.3 Mode C — Direct Request to Shipping Lines (SHIP) with Optional Add-on Services. Example request:</w:t>
      </w:r>
    </w:p>
    <w:p>
      <w:pPr>
        <w:spacing w:after="0" w:before="0" w:line="240" w:lineRule="auto"/>
        <w:ind w:left="57"/>
        <w:jc w:val="left"/>
        <w:shd w:val="clear" w:fill="F2F2F2"/>
      </w:pPr>
      <w:r>
        <w:rPr>
          <w:rFonts w:ascii="Consolas" w:hAnsi="Consolas" w:cs="Consolas"/>
          <w:b w:val="0"/>
          <w:i w:val="0"/>
          <w:sz w:val="15"/>
        </w:rPr>
        <w:t>Direct Request to Shipping Lines</w:t>
      </w:r>
    </w:p>
    <w:p>
      <w:pPr>
        <w:spacing w:after="0" w:before="0" w:line="240" w:lineRule="auto"/>
        <w:ind w:left="57"/>
        <w:jc w:val="left"/>
        <w:shd w:val="clear" w:fill="F2F2F2"/>
      </w:pPr>
      <w:r>
        <w:rPr>
          <w:rFonts w:ascii="Consolas" w:hAnsi="Consolas" w:cs="Consolas"/>
          <w:b w:val="0"/>
          <w:i w:val="0"/>
          <w:sz w:val="15"/>
        </w:rPr>
        <w:t>Target Shipping Lines: [MSC Egypt ▼] [Maersk Egypt ▼] [+ Add]</w:t>
      </w:r>
    </w:p>
    <w:p>
      <w:pPr>
        <w:spacing w:after="0" w:before="0" w:line="240" w:lineRule="auto"/>
        <w:ind w:left="57"/>
        <w:jc w:val="left"/>
        <w:shd w:val="clear" w:fill="F2F2F2"/>
      </w:pPr>
      <w:r>
        <w:rPr>
          <w:rFonts w:ascii="Consolas" w:hAnsi="Consolas" w:cs="Consolas"/>
          <w:b w:val="0"/>
          <w:i w:val="0"/>
          <w:sz w:val="15"/>
        </w:rPr>
        <w:t>Base Service: Ocean Freight</w:t>
      </w:r>
    </w:p>
    <w:p>
      <w:pPr>
        <w:spacing w:after="0" w:before="0" w:line="240" w:lineRule="auto"/>
        <w:ind w:left="57"/>
        <w:jc w:val="left"/>
        <w:shd w:val="clear" w:fill="F2F2F2"/>
      </w:pPr>
      <w:r>
        <w:rPr>
          <w:rFonts w:ascii="Consolas" w:hAnsi="Consolas" w:cs="Consolas"/>
          <w:b w:val="0"/>
          <w:i w:val="0"/>
          <w:sz w:val="15"/>
        </w:rPr>
        <w:t xml:space="preserve">  Container Type: [40ft Reefer ▼]   Quantity: [2]</w:t>
      </w:r>
    </w:p>
    <w:p>
      <w:pPr>
        <w:spacing w:after="0" w:before="0" w:line="240" w:lineRule="auto"/>
        <w:ind w:left="57"/>
        <w:jc w:val="left"/>
        <w:shd w:val="clear" w:fill="F2F2F2"/>
      </w:pPr>
      <w:r>
        <w:rPr>
          <w:rFonts w:ascii="Consolas" w:hAnsi="Consolas" w:cs="Consolas"/>
          <w:b w:val="0"/>
          <w:i w:val="0"/>
          <w:sz w:val="15"/>
        </w:rPr>
        <w:t xml:space="preserve">  Sailing Window: [20 Jun 2026]     Temperature: [-18°C]</w:t>
      </w:r>
    </w:p>
    <w:p>
      <w:pPr>
        <w:spacing w:after="0" w:before="0" w:line="240" w:lineRule="auto"/>
        <w:ind w:left="57"/>
        <w:jc w:val="left"/>
        <w:shd w:val="clear" w:fill="F2F2F2"/>
      </w:pPr>
      <w:r>
        <w:rPr>
          <w:rFonts w:ascii="Consolas" w:hAnsi="Consolas" w:cs="Consolas"/>
          <w:b w:val="0"/>
          <w:i w:val="0"/>
          <w:sz w:val="15"/>
        </w:rPr>
        <w:t>Add-on Services:</w:t>
      </w:r>
    </w:p>
    <w:p>
      <w:pPr>
        <w:spacing w:after="0" w:before="0" w:line="240" w:lineRule="auto"/>
        <w:ind w:left="57"/>
        <w:jc w:val="left"/>
        <w:shd w:val="clear" w:fill="F2F2F2"/>
      </w:pPr>
      <w:r>
        <w:rPr>
          <w:rFonts w:ascii="Consolas" w:hAnsi="Consolas" w:cs="Consolas"/>
          <w:b w:val="0"/>
          <w:i w:val="0"/>
          <w:sz w:val="15"/>
        </w:rPr>
        <w:t xml:space="preserve">  ☑ Trucking (origin to port)</w:t>
      </w:r>
    </w:p>
    <w:p>
      <w:pPr>
        <w:spacing w:after="0" w:before="0" w:line="240" w:lineRule="auto"/>
        <w:ind w:left="57"/>
        <w:jc w:val="left"/>
        <w:shd w:val="clear" w:fill="F2F2F2"/>
      </w:pPr>
      <w:r>
        <w:rPr>
          <w:rFonts w:ascii="Consolas" w:hAnsi="Consolas" w:cs="Consolas"/>
          <w:b w:val="0"/>
          <w:i w:val="0"/>
          <w:sz w:val="15"/>
        </w:rPr>
        <w:t xml:space="preserve">  ☑ Customs Broker (export clearance)</w:t>
      </w:r>
    </w:p>
    <w:p>
      <w:pPr>
        <w:spacing w:after="0" w:before="0" w:line="240" w:lineRule="auto"/>
        <w:ind w:left="57"/>
        <w:jc w:val="left"/>
        <w:shd w:val="clear" w:fill="F2F2F2"/>
      </w:pPr>
      <w:r>
        <w:rPr>
          <w:rFonts w:ascii="Consolas" w:hAnsi="Consolas" w:cs="Consolas"/>
          <w:b w:val="0"/>
          <w:i w:val="0"/>
          <w:sz w:val="15"/>
        </w:rPr>
        <w:t xml:space="preserve">  ☐ Insurance</w:t>
      </w:r>
    </w:p>
    <w:p>
      <w:pPr>
        <w:spacing w:after="0" w:before="0" w:line="240" w:lineRule="auto"/>
        <w:ind w:left="57"/>
        <w:jc w:val="left"/>
        <w:shd w:val="clear" w:fill="F2F2F2"/>
      </w:pPr>
      <w:r>
        <w:rPr>
          <w:rFonts w:ascii="Consolas" w:hAnsi="Consolas" w:cs="Consolas"/>
          <w:b w:val="0"/>
          <w:i w:val="0"/>
          <w:sz w:val="15"/>
        </w:rPr>
        <w:t xml:space="preserve">  ☐ Destination handling</w:t>
      </w:r>
    </w:p>
    <w:p>
      <w:pPr>
        <w:spacing w:after="0" w:before="0" w:line="240" w:lineRule="auto"/>
        <w:ind w:left="57"/>
        <w:jc w:val="left"/>
        <w:shd w:val="clear" w:fill="F2F2F2"/>
      </w:pPr>
      <w:r>
        <w:rPr>
          <w:rFonts w:ascii="Consolas" w:hAnsi="Consolas" w:cs="Consolas"/>
          <w:b w:val="0"/>
          <w:i w:val="0"/>
          <w:sz w:val="15"/>
        </w:rPr>
        <w:t>[Send Request]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5.4 Combining Modes B and C. The seller can select ocean freight from Mode C and trucking from Mode B; the comparison panel aggregates all quotes: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Service</w:t>
            </w:r>
          </w:p>
        </w:tc>
        <w:tc>
          <w:tcPr>
            <w:tcW w:type="dxa" w:w="2409"/>
            <w:shd w:val="clear" w:fill="D9E2F3"/>
          </w:tcPr>
          <w:p>
            <w:pPr>
              <w:spacing w:after="20" w:before="20" w:line="240" w:lineRule="auto"/>
            </w:pPr>
            <w:r/>
            <w:r>
              <w:rPr>
                <w:rFonts w:ascii="Arial" w:hAnsi="Arial" w:cs="Arial"/>
                <w:b/>
                <w:i w:val="0"/>
                <w:sz w:val="18"/>
              </w:rPr>
              <w:t>Selected Provider</w:t>
            </w:r>
          </w:p>
        </w:tc>
        <w:tc>
          <w:tcPr>
            <w:tcW w:type="dxa" w:w="2409"/>
            <w:shd w:val="clear" w:fill="D9E2F3"/>
          </w:tcPr>
          <w:p>
            <w:pPr>
              <w:spacing w:after="20" w:before="20" w:line="240" w:lineRule="auto"/>
            </w:pPr>
            <w:r/>
            <w:r>
              <w:rPr>
                <w:rFonts w:ascii="Arial" w:hAnsi="Arial" w:cs="Arial"/>
                <w:b/>
                <w:i w:val="0"/>
                <w:sz w:val="18"/>
              </w:rPr>
              <w:t>Fee</w:t>
            </w:r>
          </w:p>
        </w:tc>
        <w:tc>
          <w:tcPr>
            <w:tcW w:type="dxa" w:w="2409"/>
            <w:shd w:val="clear" w:fill="D9E2F3"/>
          </w:tcPr>
          <w:p>
            <w:pPr>
              <w:spacing w:after="20" w:before="20" w:line="240" w:lineRule="auto"/>
            </w:pPr>
            <w:r/>
            <w:r>
              <w:rPr>
                <w:rFonts w:ascii="Arial" w:hAnsi="Arial" w:cs="Arial"/>
                <w:b/>
                <w:i w:val="0"/>
                <w:sz w:val="18"/>
              </w:rPr>
              <w:t>Mode</w:t>
            </w:r>
          </w:p>
        </w:tc>
      </w:tr>
      <w:tr>
        <w:tc>
          <w:tcPr>
            <w:tcW w:type="dxa" w:w="2409"/>
          </w:tcPr>
          <w:p>
            <w:pPr>
              <w:spacing w:after="20" w:before="20" w:line="240" w:lineRule="auto"/>
            </w:pPr>
            <w:r/>
            <w:r>
              <w:rPr>
                <w:rFonts w:ascii="Arial" w:hAnsi="Arial" w:cs="Arial"/>
                <w:b w:val="0"/>
                <w:i w:val="0"/>
                <w:sz w:val="17"/>
              </w:rPr>
              <w:t>Trucking</w:t>
            </w:r>
          </w:p>
        </w:tc>
        <w:tc>
          <w:tcPr>
            <w:tcW w:type="dxa" w:w="2409"/>
          </w:tcPr>
          <w:p>
            <w:pPr>
              <w:spacing w:after="20" w:before="20" w:line="240" w:lineRule="auto"/>
            </w:pPr>
            <w:r/>
            <w:r>
              <w:rPr>
                <w:rFonts w:ascii="Arial" w:hAnsi="Arial" w:cs="Arial"/>
                <w:b w:val="0"/>
                <w:i w:val="0"/>
                <w:sz w:val="17"/>
              </w:rPr>
              <w:t>Fast Trucking Co.</w:t>
            </w:r>
          </w:p>
        </w:tc>
        <w:tc>
          <w:tcPr>
            <w:tcW w:type="dxa" w:w="2409"/>
          </w:tcPr>
          <w:p>
            <w:pPr>
              <w:spacing w:after="20" w:before="20" w:line="240" w:lineRule="auto"/>
            </w:pPr>
            <w:r/>
            <w:r>
              <w:rPr>
                <w:rFonts w:ascii="Arial" w:hAnsi="Arial" w:cs="Arial"/>
                <w:b w:val="0"/>
                <w:i w:val="0"/>
                <w:sz w:val="17"/>
              </w:rPr>
              <w:t>$127.50</w:t>
            </w:r>
          </w:p>
        </w:tc>
        <w:tc>
          <w:tcPr>
            <w:tcW w:type="dxa" w:w="2409"/>
          </w:tcPr>
          <w:p>
            <w:pPr>
              <w:spacing w:after="20" w:before="20" w:line="240" w:lineRule="auto"/>
            </w:pPr>
            <w:r/>
            <w:r>
              <w:rPr>
                <w:rFonts w:ascii="Arial" w:hAnsi="Arial" w:cs="Arial"/>
                <w:b w:val="0"/>
                <w:i w:val="0"/>
                <w:sz w:val="17"/>
              </w:rPr>
              <w:t>Mode B (LSP RFQ)</w:t>
            </w:r>
          </w:p>
        </w:tc>
      </w:tr>
      <w:tr>
        <w:tc>
          <w:tcPr>
            <w:tcW w:type="dxa" w:w="2409"/>
          </w:tcPr>
          <w:p>
            <w:pPr>
              <w:spacing w:after="20" w:before="20" w:line="240" w:lineRule="auto"/>
            </w:pPr>
            <w:r/>
            <w:r>
              <w:rPr>
                <w:rFonts w:ascii="Arial" w:hAnsi="Arial" w:cs="Arial"/>
                <w:b w:val="0"/>
                <w:i w:val="0"/>
                <w:sz w:val="17"/>
              </w:rPr>
              <w:t>Ocean Freight</w:t>
            </w:r>
          </w:p>
        </w:tc>
        <w:tc>
          <w:tcPr>
            <w:tcW w:type="dxa" w:w="2409"/>
          </w:tcPr>
          <w:p>
            <w:pPr>
              <w:spacing w:after="20" w:before="20" w:line="240" w:lineRule="auto"/>
            </w:pPr>
            <w:r/>
            <w:r>
              <w:rPr>
                <w:rFonts w:ascii="Arial" w:hAnsi="Arial" w:cs="Arial"/>
                <w:b w:val="0"/>
                <w:i w:val="0"/>
                <w:sz w:val="17"/>
              </w:rPr>
              <w:t>MSC Egypt</w:t>
            </w:r>
          </w:p>
        </w:tc>
        <w:tc>
          <w:tcPr>
            <w:tcW w:type="dxa" w:w="2409"/>
          </w:tcPr>
          <w:p>
            <w:pPr>
              <w:spacing w:after="20" w:before="20" w:line="240" w:lineRule="auto"/>
            </w:pPr>
            <w:r/>
            <w:r>
              <w:rPr>
                <w:rFonts w:ascii="Arial" w:hAnsi="Arial" w:cs="Arial"/>
                <w:b w:val="0"/>
                <w:i w:val="0"/>
                <w:sz w:val="17"/>
              </w:rPr>
              <w:t>$4,200.00</w:t>
            </w:r>
          </w:p>
        </w:tc>
        <w:tc>
          <w:tcPr>
            <w:tcW w:type="dxa" w:w="2409"/>
          </w:tcPr>
          <w:p>
            <w:pPr>
              <w:spacing w:after="20" w:before="20" w:line="240" w:lineRule="auto"/>
            </w:pPr>
            <w:r/>
            <w:r>
              <w:rPr>
                <w:rFonts w:ascii="Arial" w:hAnsi="Arial" w:cs="Arial"/>
                <w:b w:val="0"/>
                <w:i w:val="0"/>
                <w:sz w:val="17"/>
              </w:rPr>
              <w:t>Mode C (Direct SHIP)</w:t>
            </w:r>
          </w:p>
        </w:tc>
      </w:tr>
      <w:tr>
        <w:tc>
          <w:tcPr>
            <w:tcW w:type="dxa" w:w="2409"/>
          </w:tcPr>
          <w:p>
            <w:pPr>
              <w:spacing w:after="20" w:before="20" w:line="240" w:lineRule="auto"/>
            </w:pPr>
            <w:r/>
            <w:r>
              <w:rPr>
                <w:rFonts w:ascii="Arial" w:hAnsi="Arial" w:cs="Arial"/>
                <w:b w:val="0"/>
                <w:i w:val="0"/>
                <w:sz w:val="17"/>
              </w:rPr>
              <w:t>Customs Brokerage</w:t>
            </w:r>
          </w:p>
        </w:tc>
        <w:tc>
          <w:tcPr>
            <w:tcW w:type="dxa" w:w="2409"/>
          </w:tcPr>
          <w:p>
            <w:pPr>
              <w:spacing w:after="20" w:before="20" w:line="240" w:lineRule="auto"/>
            </w:pPr>
            <w:r/>
            <w:r>
              <w:rPr>
                <w:rFonts w:ascii="Arial" w:hAnsi="Arial" w:cs="Arial"/>
                <w:b w:val="0"/>
                <w:i w:val="0"/>
                <w:sz w:val="17"/>
              </w:rPr>
              <w:t>SGS Egypt</w:t>
            </w:r>
          </w:p>
        </w:tc>
        <w:tc>
          <w:tcPr>
            <w:tcW w:type="dxa" w:w="2409"/>
          </w:tcPr>
          <w:p>
            <w:pPr>
              <w:spacing w:after="20" w:before="20" w:line="240" w:lineRule="auto"/>
            </w:pPr>
            <w:r/>
            <w:r>
              <w:rPr>
                <w:rFonts w:ascii="Arial" w:hAnsi="Arial" w:cs="Arial"/>
                <w:b w:val="0"/>
                <w:i w:val="0"/>
                <w:sz w:val="17"/>
              </w:rPr>
              <w:t>$150.00</w:t>
            </w:r>
          </w:p>
        </w:tc>
        <w:tc>
          <w:tcPr>
            <w:tcW w:type="dxa" w:w="2409"/>
          </w:tcPr>
          <w:p>
            <w:pPr>
              <w:spacing w:after="20" w:before="20" w:line="240" w:lineRule="auto"/>
            </w:pPr>
            <w:r/>
            <w:r>
              <w:rPr>
                <w:rFonts w:ascii="Arial" w:hAnsi="Arial" w:cs="Arial"/>
                <w:b w:val="0"/>
                <w:i w:val="0"/>
                <w:sz w:val="17"/>
              </w:rPr>
              <w:t>Mode B (LSP RFQ)</w:t>
            </w:r>
          </w:p>
        </w:tc>
      </w:tr>
      <w:tr>
        <w:tc>
          <w:tcPr>
            <w:tcW w:type="dxa" w:w="2409"/>
          </w:tcPr>
          <w:p>
            <w:pPr>
              <w:spacing w:after="20" w:before="20" w:line="240" w:lineRule="auto"/>
            </w:pPr>
            <w:r/>
            <w:r>
              <w:rPr>
                <w:rFonts w:ascii="Arial" w:hAnsi="Arial" w:cs="Arial"/>
                <w:b w:val="0"/>
                <w:i w:val="0"/>
                <w:sz w:val="17"/>
              </w:rPr>
              <w:t>Total Logistics:</w:t>
            </w:r>
          </w:p>
        </w:tc>
        <w:tc>
          <w:tcPr>
            <w:tcW w:type="dxa" w:w="2409"/>
          </w:tcPr>
          <w:p>
            <w:pPr>
              <w:spacing w:after="20" w:before="20" w:line="240" w:lineRule="auto"/>
            </w:pPr>
            <w:r/>
            <w:r>
              <w:rPr>
                <w:rFonts w:ascii="Arial" w:hAnsi="Arial" w:cs="Arial"/>
                <w:b w:val="0"/>
                <w:i w:val="0"/>
                <w:sz w:val="17"/>
              </w:rPr>
            </w:r>
          </w:p>
        </w:tc>
        <w:tc>
          <w:tcPr>
            <w:tcW w:type="dxa" w:w="2409"/>
          </w:tcPr>
          <w:p>
            <w:pPr>
              <w:spacing w:after="20" w:before="20" w:line="240" w:lineRule="auto"/>
            </w:pPr>
            <w:r/>
            <w:r>
              <w:rPr>
                <w:rFonts w:ascii="Arial" w:hAnsi="Arial" w:cs="Arial"/>
                <w:b w:val="0"/>
                <w:i w:val="0"/>
                <w:sz w:val="17"/>
              </w:rPr>
              <w:t>$4,477.50</w:t>
            </w:r>
          </w:p>
        </w:tc>
        <w:tc>
          <w:tcPr>
            <w:tcW w:type="dxa" w:w="2409"/>
          </w:tcPr>
          <w:p>
            <w:pPr>
              <w:spacing w:after="20" w:before="20" w:line="240" w:lineRule="auto"/>
            </w:pPr>
            <w:r/>
            <w:r>
              <w:rPr>
                <w:rFonts w:ascii="Arial" w:hAnsi="Arial" w:cs="Arial"/>
                <w:b w:val="0"/>
                <w:i w:val="0"/>
                <w:sz w:val="17"/>
              </w:rPr>
              <w:t>[Confirm Bundle] [Reoptimise]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5.5 Alternative Delivery Ports. Example:</w:t>
      </w:r>
    </w:p>
    <w:p>
      <w:pPr>
        <w:spacing w:after="0" w:before="0" w:line="240" w:lineRule="auto"/>
        <w:ind w:left="57"/>
        <w:jc w:val="left"/>
        <w:shd w:val="clear" w:fill="F2F2F2"/>
      </w:pPr>
      <w:r>
        <w:rPr>
          <w:rFonts w:ascii="Consolas" w:hAnsi="Consolas" w:cs="Consolas"/>
          <w:b w:val="0"/>
          <w:i w:val="0"/>
          <w:sz w:val="15"/>
        </w:rPr>
        <w:t>ALTERNATIVE DELIVERY PORTS</w:t>
      </w:r>
    </w:p>
    <w:p>
      <w:pPr>
        <w:spacing w:after="0" w:before="0" w:line="240" w:lineRule="auto"/>
        <w:ind w:left="57"/>
        <w:jc w:val="left"/>
        <w:shd w:val="clear" w:fill="F2F2F2"/>
      </w:pPr>
      <w:r>
        <w:rPr>
          <w:rFonts w:ascii="Consolas" w:hAnsi="Consolas" w:cs="Consolas"/>
          <w:b w:val="0"/>
          <w:i w:val="0"/>
          <w:sz w:val="15"/>
        </w:rPr>
        <w:t>AI Suggestions — based on similar trades, consider:</w:t>
      </w:r>
    </w:p>
    <w:p>
      <w:pPr>
        <w:spacing w:after="0" w:before="0" w:line="240" w:lineRule="auto"/>
        <w:ind w:left="57"/>
        <w:jc w:val="left"/>
        <w:shd w:val="clear" w:fill="F2F2F2"/>
      </w:pPr>
      <w:r>
        <w:rPr>
          <w:rFonts w:ascii="Consolas" w:hAnsi="Consolas" w:cs="Consolas"/>
          <w:b w:val="0"/>
          <w:i w:val="0"/>
          <w:sz w:val="15"/>
        </w:rPr>
        <w:t xml:space="preserve">  • Damietta — avg saving $150, +2 days transit [Use]</w:t>
      </w:r>
    </w:p>
    <w:p>
      <w:pPr>
        <w:spacing w:after="0" w:before="0" w:line="240" w:lineRule="auto"/>
        <w:ind w:left="57"/>
        <w:jc w:val="left"/>
        <w:shd w:val="clear" w:fill="F2F2F2"/>
      </w:pPr>
      <w:r>
        <w:rPr>
          <w:rFonts w:ascii="Consolas" w:hAnsi="Consolas" w:cs="Consolas"/>
          <w:b w:val="0"/>
          <w:i w:val="0"/>
          <w:sz w:val="15"/>
        </w:rPr>
        <w:t xml:space="preserve">  • Port Said — avg +$50, -1 day transit [Use]</w:t>
      </w:r>
    </w:p>
    <w:p>
      <w:pPr>
        <w:spacing w:after="0" w:before="0" w:line="240" w:lineRule="auto"/>
        <w:ind w:left="57"/>
        <w:jc w:val="left"/>
        <w:shd w:val="clear" w:fill="F2F2F2"/>
      </w:pPr>
      <w:r>
        <w:rPr>
          <w:rFonts w:ascii="Consolas" w:hAnsi="Consolas" w:cs="Consolas"/>
          <w:b w:val="0"/>
          <w:i w:val="0"/>
          <w:sz w:val="15"/>
        </w:rPr>
        <w:t>Alternative Port 1</w:t>
      </w:r>
    </w:p>
    <w:p>
      <w:pPr>
        <w:spacing w:after="0" w:before="0" w:line="240" w:lineRule="auto"/>
        <w:ind w:left="57"/>
        <w:jc w:val="left"/>
        <w:shd w:val="clear" w:fill="F2F2F2"/>
      </w:pPr>
      <w:r>
        <w:rPr>
          <w:rFonts w:ascii="Consolas" w:hAnsi="Consolas" w:cs="Consolas"/>
          <w:b w:val="0"/>
          <w:i w:val="0"/>
          <w:sz w:val="15"/>
        </w:rPr>
        <w:t xml:space="preserve">  Port of Delivery: [Damietta ▼] (Egypt)</w:t>
      </w:r>
    </w:p>
    <w:p>
      <w:pPr>
        <w:spacing w:after="0" w:before="0" w:line="240" w:lineRule="auto"/>
        <w:ind w:left="57"/>
        <w:jc w:val="left"/>
        <w:shd w:val="clear" w:fill="F2F2F2"/>
      </w:pPr>
      <w:r>
        <w:rPr>
          <w:rFonts w:ascii="Consolas" w:hAnsi="Consolas" w:cs="Consolas"/>
          <w:b w:val="0"/>
          <w:i w:val="0"/>
          <w:sz w:val="15"/>
        </w:rPr>
        <w:t xml:space="preserve">  Expected Transit Time: [16] days (AI suggestion: 15–17)</w:t>
      </w:r>
    </w:p>
    <w:p>
      <w:pPr>
        <w:spacing w:after="0" w:before="0" w:line="240" w:lineRule="auto"/>
        <w:ind w:left="57"/>
        <w:jc w:val="left"/>
        <w:shd w:val="clear" w:fill="F2F2F2"/>
      </w:pPr>
      <w:r>
        <w:rPr>
          <w:rFonts w:ascii="Consolas" w:hAnsi="Consolas" w:cs="Consolas"/>
          <w:b w:val="0"/>
          <w:i w:val="0"/>
          <w:sz w:val="15"/>
        </w:rPr>
        <w:t xml:space="preserve">  Additional Logistics Cost: [-150] USD (or [Run RFQ for this port])</w:t>
      </w:r>
    </w:p>
    <w:p>
      <w:pPr>
        <w:spacing w:after="0" w:before="0" w:line="240" w:lineRule="auto"/>
        <w:ind w:left="57"/>
        <w:jc w:val="left"/>
        <w:shd w:val="clear" w:fill="F2F2F2"/>
      </w:pPr>
      <w:r>
        <w:rPr>
          <w:rFonts w:ascii="Consolas" w:hAnsi="Consolas" w:cs="Consolas"/>
          <w:b w:val="0"/>
          <w:i w:val="0"/>
          <w:sz w:val="15"/>
        </w:rPr>
        <w:t xml:space="preserve">  Cost Breakdown: Primary logistics $2,000 + extra -$150 = $1,850</w:t>
      </w:r>
    </w:p>
    <w:p>
      <w:pPr>
        <w:spacing w:after="0" w:before="0" w:line="240" w:lineRule="auto"/>
        <w:ind w:left="57"/>
        <w:jc w:val="left"/>
        <w:shd w:val="clear" w:fill="F2F2F2"/>
      </w:pPr>
      <w:r>
        <w:rPr>
          <w:rFonts w:ascii="Consolas" w:hAnsi="Consolas" w:cs="Consolas"/>
          <w:b w:val="0"/>
          <w:i w:val="0"/>
          <w:sz w:val="15"/>
        </w:rPr>
        <w:t xml:space="preserve">  Total Delivered Price (before SGTX fee): $31,850</w:t>
      </w:r>
    </w:p>
    <w:p>
      <w:pPr>
        <w:spacing w:after="0" w:before="0" w:line="240" w:lineRule="auto"/>
        <w:ind w:left="57"/>
        <w:jc w:val="left"/>
        <w:shd w:val="clear" w:fill="F2F2F2"/>
      </w:pPr>
      <w:r>
        <w:rPr>
          <w:rFonts w:ascii="Consolas" w:hAnsi="Consolas" w:cs="Consolas"/>
          <w:b w:val="0"/>
          <w:i w:val="0"/>
          <w:sz w:val="15"/>
        </w:rPr>
        <w:t xml:space="preserve">  Notes: [Lower port charges, good road connectivity]</w:t>
      </w:r>
    </w:p>
    <w:p>
      <w:pPr>
        <w:spacing w:after="0" w:before="0" w:line="240" w:lineRule="auto"/>
        <w:ind w:left="57"/>
        <w:jc w:val="left"/>
        <w:shd w:val="clear" w:fill="F2F2F2"/>
      </w:pPr>
      <w:r>
        <w:rPr>
          <w:rFonts w:ascii="Consolas" w:hAnsi="Consolas" w:cs="Consolas"/>
          <w:b w:val="0"/>
          <w:i w:val="0"/>
          <w:sz w:val="15"/>
        </w:rPr>
        <w:t xml:space="preserve">  [Save] [Cancel] [Remove]</w:t>
      </w:r>
    </w:p>
    <w:p>
      <w:pPr>
        <w:spacing w:after="0" w:before="0" w:line="240" w:lineRule="auto"/>
        <w:ind w:left="57"/>
        <w:jc w:val="left"/>
        <w:shd w:val="clear" w:fill="F2F2F2"/>
      </w:pPr>
      <w:r>
        <w:rPr>
          <w:rFonts w:ascii="Consolas" w:hAnsi="Consolas" w:cs="Consolas"/>
          <w:b w:val="0"/>
          <w:i w:val="0"/>
          <w:sz w:val="15"/>
        </w:rPr>
        <w:t>[+ Add Alternative Delivery 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DELIVERY OPTIONS COMPARISON</w:t>
      </w:r>
    </w:p>
    <w:p>
      <w:pPr>
        <w:spacing w:after="0" w:before="0" w:line="240" w:lineRule="auto"/>
        <w:ind w:left="57"/>
        <w:jc w:val="left"/>
        <w:shd w:val="clear" w:fill="F2F2F2"/>
      </w:pPr>
      <w:r>
        <w:rPr>
          <w:rFonts w:ascii="Consolas" w:hAnsi="Consolas" w:cs="Consolas"/>
          <w:b w:val="0"/>
          <w:i w:val="0"/>
          <w:sz w:val="15"/>
        </w:rPr>
        <w:t>Port        Transit Time  Extra Cost  Total Log   Total Deliv</w:t>
      </w:r>
    </w:p>
    <w:p>
      <w:pPr>
        <w:spacing w:after="0" w:before="0" w:line="240" w:lineRule="auto"/>
        <w:ind w:left="57"/>
        <w:jc w:val="left"/>
        <w:shd w:val="clear" w:fill="F2F2F2"/>
      </w:pPr>
      <w:r>
        <w:rPr>
          <w:rFonts w:ascii="Consolas" w:hAnsi="Consolas" w:cs="Consolas"/>
          <w:b w:val="0"/>
          <w:i w:val="0"/>
          <w:sz w:val="15"/>
        </w:rPr>
        <w:t>Alexandria  14 days       —           $2,000      $32,000 (primary)</w:t>
      </w:r>
    </w:p>
    <w:p>
      <w:pPr>
        <w:spacing w:after="0" w:before="0" w:line="240" w:lineRule="auto"/>
        <w:ind w:left="57"/>
        <w:jc w:val="left"/>
        <w:shd w:val="clear" w:fill="F2F2F2"/>
      </w:pPr>
      <w:r>
        <w:rPr>
          <w:rFonts w:ascii="Consolas" w:hAnsi="Consolas" w:cs="Consolas"/>
          <w:b w:val="0"/>
          <w:i w:val="0"/>
          <w:sz w:val="15"/>
        </w:rPr>
        <w:t>Damietta    16 days       -$150       $1,850      $31,850</w:t>
      </w:r>
    </w:p>
    <w:p>
      <w:pPr>
        <w:spacing w:after="0" w:before="0" w:line="240" w:lineRule="auto"/>
        <w:ind w:left="57"/>
        <w:jc w:val="left"/>
        <w:shd w:val="clear" w:fill="F2F2F2"/>
      </w:pPr>
      <w:r>
        <w:rPr>
          <w:rFonts w:ascii="Consolas" w:hAnsi="Consolas" w:cs="Consolas"/>
          <w:b w:val="0"/>
          <w:i w:val="0"/>
          <w:sz w:val="15"/>
        </w:rPr>
        <w:t>Port Said   13 days       +$100       $2,100      $32,100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5.6 Incoterm-Based Service Filtering (A4, WasmEdge). The system automatically shows only services mandatory or optional for the buyer's selected incoterm. Missing mandatory services block quote submission with a Decision Panel.</w:t>
      </w:r>
    </w:p>
    <w:p>
      <w:pPr>
        <w:keepNext/>
        <w:spacing w:before="140" w:after="60"/>
        <w:outlineLvl w:val="3"/>
      </w:pPr>
      <w:r>
        <w:rPr>
          <w:rFonts w:ascii="Arial" w:hAnsi="Arial" w:cs="Arial"/>
          <w:b/>
          <w:i/>
          <w:color w:val="333333"/>
          <w:sz w:val="22"/>
        </w:rPr>
        <w:t>Tab 6: Quote Submission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assemble the final price (EXW + logistics + SGTX fee) and submit to the buyer.</w:t>
      </w:r>
    </w:p>
    <w:p>
      <w:pPr>
        <w:keepNext/>
        <w:spacing w:before="240" w:after="100"/>
        <w:outlineLvl w:val="1"/>
      </w:pPr>
      <w:r>
        <w:rPr>
          <w:rFonts w:ascii="Arial" w:hAnsi="Arial" w:cs="Arial"/>
          <w:b/>
          <w:i w:val="0"/>
          <w:color w:val="2E528F"/>
          <w:sz w:val="26"/>
        </w:rPr>
        <w:t>6.1 Price Breakdown Display. Example:</w:t>
      </w:r>
    </w:p>
    <w:p>
      <w:pPr>
        <w:spacing w:after="0" w:before="0" w:line="240" w:lineRule="auto"/>
        <w:ind w:left="57"/>
        <w:jc w:val="left"/>
        <w:shd w:val="clear" w:fill="F2F2F2"/>
      </w:pPr>
      <w:r>
        <w:rPr>
          <w:rFonts w:ascii="Consolas" w:hAnsi="Consolas" w:cs="Consolas"/>
          <w:b w:val="0"/>
          <w:i w:val="0"/>
          <w:sz w:val="15"/>
        </w:rPr>
        <w:t>QUOTE SUBMISSION — SGTX-EG-26-F3A-1</w:t>
      </w:r>
    </w:p>
    <w:p>
      <w:pPr>
        <w:spacing w:after="0" w:before="0" w:line="240" w:lineRule="auto"/>
        <w:ind w:left="57"/>
        <w:jc w:val="left"/>
        <w:shd w:val="clear" w:fill="F2F2F2"/>
      </w:pPr>
      <w:r>
        <w:rPr>
          <w:rFonts w:ascii="Consolas" w:hAnsi="Consolas" w:cs="Consolas"/>
          <w:b w:val="0"/>
          <w:i w:val="0"/>
          <w:sz w:val="15"/>
        </w:rPr>
        <w:t>Seller: Mekong Fresh Co. (SGTX-VN-TRD-002139-7F3A)</w:t>
      </w:r>
    </w:p>
    <w:p>
      <w:pPr>
        <w:spacing w:after="0" w:before="0" w:line="240" w:lineRule="auto"/>
        <w:ind w:left="57"/>
        <w:jc w:val="left"/>
        <w:shd w:val="clear" w:fill="F2F2F2"/>
      </w:pPr>
      <w:r>
        <w:rPr>
          <w:rFonts w:ascii="Consolas" w:hAnsi="Consolas" w:cs="Consolas"/>
          <w:b w:val="0"/>
          <w:i w:val="0"/>
          <w:sz w:val="15"/>
        </w:rPr>
        <w:t>Buyer:  Nile Foods (SGTX-EG-TRD-001234-5B6C)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EXW Price:</w:t>
      </w:r>
    </w:p>
    <w:p>
      <w:pPr>
        <w:spacing w:after="0" w:before="0" w:line="240" w:lineRule="auto"/>
        <w:ind w:left="57"/>
        <w:jc w:val="left"/>
        <w:shd w:val="clear" w:fill="F2F2F2"/>
      </w:pPr>
      <w:r>
        <w:rPr>
          <w:rFonts w:ascii="Consolas" w:hAnsi="Consolas" w:cs="Consolas"/>
          <w:b w:val="0"/>
          <w:i w:val="0"/>
          <w:sz w:val="15"/>
        </w:rPr>
        <w:t xml:space="preserve">  • Oranges: 20,000 kg × $1.50 = $30,000</w:t>
      </w:r>
    </w:p>
    <w:p>
      <w:pPr>
        <w:spacing w:after="0" w:before="0" w:line="240" w:lineRule="auto"/>
        <w:ind w:left="57"/>
        <w:jc w:val="left"/>
        <w:shd w:val="clear" w:fill="F2F2F2"/>
      </w:pPr>
      <w:r>
        <w:rPr>
          <w:rFonts w:ascii="Consolas" w:hAnsi="Consolas" w:cs="Consolas"/>
          <w:b w:val="0"/>
          <w:i w:val="0"/>
          <w:sz w:val="15"/>
        </w:rPr>
        <w:t xml:space="preserve">  • Lemons:  5,376 kg × $2.10  = $11,289.60</w:t>
      </w:r>
    </w:p>
    <w:p>
      <w:pPr>
        <w:spacing w:after="0" w:before="0" w:line="240" w:lineRule="auto"/>
        <w:ind w:left="57"/>
        <w:jc w:val="left"/>
        <w:shd w:val="clear" w:fill="F2F2F2"/>
      </w:pPr>
      <w:r>
        <w:rPr>
          <w:rFonts w:ascii="Consolas" w:hAnsi="Consolas" w:cs="Consolas"/>
          <w:b w:val="0"/>
          <w:i w:val="0"/>
          <w:sz w:val="15"/>
        </w:rPr>
        <w:t xml:space="preserve">  EXW Total: $41,289.60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Logistics Costs:</w:t>
      </w:r>
    </w:p>
    <w:p>
      <w:pPr>
        <w:spacing w:after="0" w:before="0" w:line="240" w:lineRule="auto"/>
        <w:ind w:left="57"/>
        <w:jc w:val="left"/>
        <w:shd w:val="clear" w:fill="F2F2F2"/>
      </w:pPr>
      <w:r>
        <w:rPr>
          <w:rFonts w:ascii="Consolas" w:hAnsi="Consolas" w:cs="Consolas"/>
          <w:b w:val="0"/>
          <w:i w:val="0"/>
          <w:sz w:val="15"/>
        </w:rPr>
        <w:t xml:space="preserve">  • Trucking:          $127.50  (Mode B — Fast Trucking Co.)</w:t>
      </w:r>
    </w:p>
    <w:p>
      <w:pPr>
        <w:spacing w:after="0" w:before="0" w:line="240" w:lineRule="auto"/>
        <w:ind w:left="57"/>
        <w:jc w:val="left"/>
        <w:shd w:val="clear" w:fill="F2F2F2"/>
      </w:pPr>
      <w:r>
        <w:rPr>
          <w:rFonts w:ascii="Consolas" w:hAnsi="Consolas" w:cs="Consolas"/>
          <w:b w:val="0"/>
          <w:i w:val="0"/>
          <w:sz w:val="15"/>
        </w:rPr>
        <w:t xml:space="preserve">  • Ocean Freight:     $4,200.00 (Mode C — MSC Egypt)</w:t>
      </w:r>
    </w:p>
    <w:p>
      <w:pPr>
        <w:spacing w:after="0" w:before="0" w:line="240" w:lineRule="auto"/>
        <w:ind w:left="57"/>
        <w:jc w:val="left"/>
        <w:shd w:val="clear" w:fill="F2F2F2"/>
      </w:pPr>
      <w:r>
        <w:rPr>
          <w:rFonts w:ascii="Consolas" w:hAnsi="Consolas" w:cs="Consolas"/>
          <w:b w:val="0"/>
          <w:i w:val="0"/>
          <w:sz w:val="15"/>
        </w:rPr>
        <w:t xml:space="preserve">  • Customs Brokerage: $150.00  (Mode B — SGS Egypt)</w:t>
      </w:r>
    </w:p>
    <w:p>
      <w:pPr>
        <w:spacing w:after="0" w:before="0" w:line="240" w:lineRule="auto"/>
        <w:ind w:left="57"/>
        <w:jc w:val="left"/>
        <w:shd w:val="clear" w:fill="F2F2F2"/>
      </w:pPr>
      <w:r>
        <w:rPr>
          <w:rFonts w:ascii="Consolas" w:hAnsi="Consolas" w:cs="Consolas"/>
          <w:b w:val="0"/>
          <w:i w:val="0"/>
          <w:sz w:val="15"/>
        </w:rPr>
        <w:t xml:space="preserve">  Logistics Total: $4,477.50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Canonical Fee Basis (EXW + Logistics): $45,767.10</w:t>
      </w:r>
    </w:p>
    <w:p>
      <w:pPr>
        <w:spacing w:after="0" w:before="0" w:line="240" w:lineRule="auto"/>
        <w:ind w:left="57"/>
        <w:jc w:val="left"/>
        <w:shd w:val="clear" w:fill="F2F2F2"/>
      </w:pPr>
      <w:r>
        <w:rPr>
          <w:rFonts w:ascii="Consolas" w:hAnsi="Consolas" w:cs="Consolas"/>
          <w:b w:val="0"/>
          <w:i w:val="0"/>
          <w:sz w:val="15"/>
        </w:rPr>
        <w:t>SGTX Platform Fee: 0.144% × $45,767.10 = $65.90 (engine-determined; paid by seller, added to quote)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FINAL QUOTED PRICE TO BUYER: $45,833.00</w:t>
      </w:r>
    </w:p>
    <w:p>
      <w:pPr>
        <w:spacing w:after="0" w:before="0" w:line="240" w:lineRule="auto"/>
        <w:ind w:left="57"/>
        <w:jc w:val="left"/>
        <w:shd w:val="clear" w:fill="F2F2F2"/>
      </w:pPr>
      <w:r>
        <w:rPr>
          <w:rFonts w:ascii="Consolas" w:hAnsi="Consolas" w:cs="Consolas"/>
          <w:b w:val="0"/>
          <w:i w:val="0"/>
          <w:sz w:val="15"/>
        </w:rPr>
        <w:t xml:space="preserve">  (includes SGTX platform fee of $65.90, paid by seller)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Alternative Delivery Options:</w:t>
      </w:r>
    </w:p>
    <w:p>
      <w:pPr>
        <w:spacing w:after="0" w:before="0" w:line="240" w:lineRule="auto"/>
        <w:ind w:left="57"/>
        <w:jc w:val="left"/>
        <w:shd w:val="clear" w:fill="F2F2F2"/>
      </w:pPr>
      <w:r>
        <w:rPr>
          <w:rFonts w:ascii="Consolas" w:hAnsi="Consolas" w:cs="Consolas"/>
          <w:b w:val="0"/>
          <w:i w:val="0"/>
          <w:sz w:val="15"/>
        </w:rPr>
        <w:t xml:space="preserve">  • Alexandria (primary):  $45,833.00</w:t>
      </w:r>
    </w:p>
    <w:p>
      <w:pPr>
        <w:spacing w:after="0" w:before="0" w:line="240" w:lineRule="auto"/>
        <w:ind w:left="57"/>
        <w:jc w:val="left"/>
        <w:shd w:val="clear" w:fill="F2F2F2"/>
      </w:pPr>
      <w:r>
        <w:rPr>
          <w:rFonts w:ascii="Consolas" w:hAnsi="Consolas" w:cs="Consolas"/>
          <w:b w:val="0"/>
          <w:i w:val="0"/>
          <w:sz w:val="15"/>
        </w:rPr>
        <w:t xml:space="preserve">  • Damietta (alternative): $45,683.00</w:t>
      </w:r>
    </w:p>
    <w:p>
      <w:pPr>
        <w:spacing w:after="0" w:before="0" w:line="240" w:lineRule="auto"/>
        <w:ind w:left="57"/>
        <w:jc w:val="left"/>
        <w:shd w:val="clear" w:fill="F2F2F2"/>
      </w:pPr>
      <w:r>
        <w:rPr>
          <w:rFonts w:ascii="Consolas" w:hAnsi="Consolas" w:cs="Consolas"/>
          <w:b w:val="0"/>
          <w:i w:val="0"/>
          <w:sz w:val="15"/>
        </w:rPr>
        <w:t xml:space="preserve">  • Port Said (alternative): $45,933.00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Multi-shipment: 2 shipments</w:t>
      </w:r>
    </w:p>
    <w:p>
      <w:pPr>
        <w:spacing w:after="0" w:before="0" w:line="240" w:lineRule="auto"/>
        <w:ind w:left="57"/>
        <w:jc w:val="left"/>
        <w:shd w:val="clear" w:fill="F2F2F2"/>
      </w:pPr>
      <w:r>
        <w:rPr>
          <w:rFonts w:ascii="Consolas" w:hAnsi="Consolas" w:cs="Consolas"/>
          <w:b w:val="0"/>
          <w:i w:val="0"/>
          <w:sz w:val="15"/>
        </w:rPr>
        <w:t xml:space="preserve">  • Shipment 1 (15 Jul): $22,916.50</w:t>
      </w:r>
    </w:p>
    <w:p>
      <w:pPr>
        <w:spacing w:after="0" w:before="0" w:line="240" w:lineRule="auto"/>
        <w:ind w:left="57"/>
        <w:jc w:val="left"/>
        <w:shd w:val="clear" w:fill="F2F2F2"/>
      </w:pPr>
      <w:r>
        <w:rPr>
          <w:rFonts w:ascii="Consolas" w:hAnsi="Consolas" w:cs="Consolas"/>
          <w:b w:val="0"/>
          <w:i w:val="0"/>
          <w:sz w:val="15"/>
        </w:rPr>
        <w:t xml:space="preserve">  • Shipment 2 (15 Aug): $22,916.50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[Submit Quote] [Save Draft] [Back]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6.2 Governor Validation (A4). Quote submission runs the full Governor validation specified in Section 8.2.26 — mandatory fields present, packing plan locked (including non-uniform layers), fully defined multi-shipment schedule, valid alternative ports, correctly calculated SGTX fee, and a selected quote for every Incoterm-mandatory service (Mode A, B, or C). On ALLOW the trade moves to QUOTED and the buyer receives the Smart Inbox comparison item (priority 75); on CONDITIONAL or DENY the seller receives the plain-language remediation message and one-click retry.</w:t>
      </w:r>
    </w:p>
    <w:p>
      <w:pPr>
        <w:keepNext/>
        <w:spacing w:before="140" w:after="60"/>
        <w:outlineLvl w:val="3"/>
      </w:pPr>
      <w:r>
        <w:rPr>
          <w:rFonts w:ascii="Arial" w:hAnsi="Arial" w:cs="Arial"/>
          <w:b/>
          <w:i/>
          <w:color w:val="333333"/>
          <w:sz w:val="22"/>
        </w:rPr>
        <w:t>Tab 7: Laboratory Selection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choose an accredited lab, accept the quotation, view test results, and trigger certificates. Example lab list:</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Lab</w:t>
            </w:r>
          </w:p>
        </w:tc>
        <w:tc>
          <w:tcPr>
            <w:tcW w:type="dxa" w:w="1928"/>
            <w:shd w:val="clear" w:fill="D9E2F3"/>
          </w:tcPr>
          <w:p>
            <w:pPr>
              <w:spacing w:after="20" w:before="20" w:line="240" w:lineRule="auto"/>
            </w:pPr>
            <w:r/>
            <w:r>
              <w:rPr>
                <w:rFonts w:ascii="Arial" w:hAnsi="Arial" w:cs="Arial"/>
                <w:b/>
                <w:i w:val="0"/>
                <w:sz w:val="18"/>
              </w:rPr>
              <w:t>Test Panel</w:t>
            </w:r>
          </w:p>
        </w:tc>
        <w:tc>
          <w:tcPr>
            <w:tcW w:type="dxa" w:w="1928"/>
            <w:shd w:val="clear" w:fill="D9E2F3"/>
          </w:tcPr>
          <w:p>
            <w:pPr>
              <w:spacing w:after="20" w:before="20" w:line="240" w:lineRule="auto"/>
            </w:pPr>
            <w:r/>
            <w:r>
              <w:rPr>
                <w:rFonts w:ascii="Arial" w:hAnsi="Arial" w:cs="Arial"/>
                <w:b/>
                <w:i w:val="0"/>
                <w:sz w:val="18"/>
              </w:rPr>
              <w:t>Fee</w:t>
            </w:r>
          </w:p>
        </w:tc>
        <w:tc>
          <w:tcPr>
            <w:tcW w:type="dxa" w:w="1928"/>
            <w:shd w:val="clear" w:fill="D9E2F3"/>
          </w:tcPr>
          <w:p>
            <w:pPr>
              <w:spacing w:after="20" w:before="20" w:line="240" w:lineRule="auto"/>
            </w:pPr>
            <w:r/>
            <w:r>
              <w:rPr>
                <w:rFonts w:ascii="Arial" w:hAnsi="Arial" w:cs="Arial"/>
                <w:b/>
                <w:i w:val="0"/>
                <w:sz w:val="18"/>
              </w:rPr>
              <w:t>Turnaround</w:t>
            </w:r>
          </w:p>
        </w:tc>
        <w:tc>
          <w:tcPr>
            <w:tcW w:type="dxa" w:w="1928"/>
            <w:shd w:val="clear" w:fill="D9E2F3"/>
          </w:tcPr>
          <w:p>
            <w:pPr>
              <w:spacing w:after="20" w:before="20" w:line="240" w:lineRule="auto"/>
            </w:pPr>
            <w:r/>
            <w:r>
              <w:rPr>
                <w:rFonts w:ascii="Arial" w:hAnsi="Arial" w:cs="Arial"/>
                <w:b/>
                <w:i w:val="0"/>
                <w:sz w:val="18"/>
              </w:rPr>
              <w:t>Select</w:t>
            </w:r>
          </w:p>
        </w:tc>
      </w:tr>
      <w:tr>
        <w:tc>
          <w:tcPr>
            <w:tcW w:type="dxa" w:w="1928"/>
          </w:tcPr>
          <w:p>
            <w:pPr>
              <w:spacing w:after="20" w:before="20" w:line="240" w:lineRule="auto"/>
            </w:pPr>
            <w:r/>
            <w:r>
              <w:rPr>
                <w:rFonts w:ascii="Arial" w:hAnsi="Arial" w:cs="Arial"/>
                <w:b w:val="0"/>
                <w:i w:val="0"/>
                <w:sz w:val="17"/>
              </w:rPr>
              <w:t>SGS Egypt</w:t>
            </w:r>
          </w:p>
        </w:tc>
        <w:tc>
          <w:tcPr>
            <w:tcW w:type="dxa" w:w="1928"/>
          </w:tcPr>
          <w:p>
            <w:pPr>
              <w:spacing w:after="20" w:before="20" w:line="240" w:lineRule="auto"/>
            </w:pPr>
            <w:r/>
            <w:r>
              <w:rPr>
                <w:rFonts w:ascii="Arial" w:hAnsi="Arial" w:cs="Arial"/>
                <w:b w:val="0"/>
                <w:i w:val="0"/>
                <w:sz w:val="17"/>
              </w:rPr>
              <w:t>Pesticide (basic)</w:t>
            </w:r>
          </w:p>
        </w:tc>
        <w:tc>
          <w:tcPr>
            <w:tcW w:type="dxa" w:w="1928"/>
          </w:tcPr>
          <w:p>
            <w:pPr>
              <w:spacing w:after="20" w:before="20" w:line="240" w:lineRule="auto"/>
            </w:pPr>
            <w:r/>
            <w:r>
              <w:rPr>
                <w:rFonts w:ascii="Arial" w:hAnsi="Arial" w:cs="Arial"/>
                <w:b w:val="0"/>
                <w:i w:val="0"/>
                <w:sz w:val="17"/>
              </w:rPr>
              <w:t>$200</w:t>
            </w:r>
          </w:p>
        </w:tc>
        <w:tc>
          <w:tcPr>
            <w:tcW w:type="dxa" w:w="1928"/>
          </w:tcPr>
          <w:p>
            <w:pPr>
              <w:spacing w:after="20" w:before="20" w:line="240" w:lineRule="auto"/>
            </w:pPr>
            <w:r/>
            <w:r>
              <w:rPr>
                <w:rFonts w:ascii="Arial" w:hAnsi="Arial" w:cs="Arial"/>
                <w:b w:val="0"/>
                <w:i w:val="0"/>
                <w:sz w:val="17"/>
              </w:rPr>
              <w:t>48h</w:t>
            </w:r>
          </w:p>
        </w:tc>
        <w:tc>
          <w:tcPr>
            <w:tcW w:type="dxa" w:w="1928"/>
          </w:tcPr>
          <w:p>
            <w:pPr>
              <w:spacing w:after="20" w:before="20" w:line="240" w:lineRule="auto"/>
            </w:pPr>
            <w:r/>
            <w:r>
              <w:rPr>
                <w:rFonts w:ascii="Arial" w:hAnsi="Arial" w:cs="Arial"/>
                <w:b w:val="0"/>
                <w:i w:val="0"/>
                <w:sz w:val="17"/>
              </w:rPr>
              <w:t>[Select]</w:t>
            </w:r>
          </w:p>
        </w:tc>
      </w:tr>
      <w:tr>
        <w:tc>
          <w:tcPr>
            <w:tcW w:type="dxa" w:w="1928"/>
          </w:tcPr>
          <w:p>
            <w:pPr>
              <w:spacing w:after="20" w:before="20" w:line="240" w:lineRule="auto"/>
            </w:pPr>
            <w:r/>
            <w:r>
              <w:rPr>
                <w:rFonts w:ascii="Arial" w:hAnsi="Arial" w:cs="Arial"/>
                <w:b w:val="0"/>
                <w:i w:val="0"/>
                <w:sz w:val="17"/>
              </w:rPr>
              <w:t>Eurofins</w:t>
            </w:r>
          </w:p>
        </w:tc>
        <w:tc>
          <w:tcPr>
            <w:tcW w:type="dxa" w:w="1928"/>
          </w:tcPr>
          <w:p>
            <w:pPr>
              <w:spacing w:after="20" w:before="20" w:line="240" w:lineRule="auto"/>
            </w:pPr>
            <w:r/>
            <w:r>
              <w:rPr>
                <w:rFonts w:ascii="Arial" w:hAnsi="Arial" w:cs="Arial"/>
                <w:b w:val="0"/>
                <w:i w:val="0"/>
                <w:sz w:val="17"/>
              </w:rPr>
              <w:t>Pesticide (full)</w:t>
            </w:r>
          </w:p>
        </w:tc>
        <w:tc>
          <w:tcPr>
            <w:tcW w:type="dxa" w:w="1928"/>
          </w:tcPr>
          <w:p>
            <w:pPr>
              <w:spacing w:after="20" w:before="20" w:line="240" w:lineRule="auto"/>
            </w:pPr>
            <w:r/>
            <w:r>
              <w:rPr>
                <w:rFonts w:ascii="Arial" w:hAnsi="Arial" w:cs="Arial"/>
                <w:b w:val="0"/>
                <w:i w:val="0"/>
                <w:sz w:val="17"/>
              </w:rPr>
              <w:t>$250</w:t>
            </w:r>
          </w:p>
        </w:tc>
        <w:tc>
          <w:tcPr>
            <w:tcW w:type="dxa" w:w="1928"/>
          </w:tcPr>
          <w:p>
            <w:pPr>
              <w:spacing w:after="20" w:before="20" w:line="240" w:lineRule="auto"/>
            </w:pPr>
            <w:r/>
            <w:r>
              <w:rPr>
                <w:rFonts w:ascii="Arial" w:hAnsi="Arial" w:cs="Arial"/>
                <w:b w:val="0"/>
                <w:i w:val="0"/>
                <w:sz w:val="17"/>
              </w:rPr>
              <w:t>36h</w:t>
            </w:r>
          </w:p>
        </w:tc>
        <w:tc>
          <w:tcPr>
            <w:tcW w:type="dxa" w:w="1928"/>
          </w:tcPr>
          <w:p>
            <w:pPr>
              <w:spacing w:after="20" w:before="20" w:line="240" w:lineRule="auto"/>
            </w:pPr>
            <w:r/>
            <w:r>
              <w:rPr>
                <w:rFonts w:ascii="Arial" w:hAnsi="Arial" w:cs="Arial"/>
                <w:b w:val="0"/>
                <w:i w:val="0"/>
                <w:sz w:val="17"/>
              </w:rPr>
              <w:t>[Select]</w:t>
            </w:r>
          </w:p>
        </w:tc>
      </w:tr>
      <w:tr>
        <w:tc>
          <w:tcPr>
            <w:tcW w:type="dxa" w:w="1928"/>
          </w:tcPr>
          <w:p>
            <w:pPr>
              <w:spacing w:after="20" w:before="20" w:line="240" w:lineRule="auto"/>
            </w:pPr>
            <w:r/>
            <w:r>
              <w:rPr>
                <w:rFonts w:ascii="Arial" w:hAnsi="Arial" w:cs="Arial"/>
                <w:b w:val="0"/>
                <w:i w:val="0"/>
                <w:sz w:val="17"/>
              </w:rPr>
              <w:t>Intertek</w:t>
            </w:r>
          </w:p>
        </w:tc>
        <w:tc>
          <w:tcPr>
            <w:tcW w:type="dxa" w:w="1928"/>
          </w:tcPr>
          <w:p>
            <w:pPr>
              <w:spacing w:after="20" w:before="20" w:line="240" w:lineRule="auto"/>
            </w:pPr>
            <w:r/>
            <w:r>
              <w:rPr>
                <w:rFonts w:ascii="Arial" w:hAnsi="Arial" w:cs="Arial"/>
                <w:b w:val="0"/>
                <w:i w:val="0"/>
                <w:sz w:val="17"/>
              </w:rPr>
              <w:t>Pesticide (basic)</w:t>
            </w:r>
          </w:p>
        </w:tc>
        <w:tc>
          <w:tcPr>
            <w:tcW w:type="dxa" w:w="1928"/>
          </w:tcPr>
          <w:p>
            <w:pPr>
              <w:spacing w:after="20" w:before="20" w:line="240" w:lineRule="auto"/>
            </w:pPr>
            <w:r/>
            <w:r>
              <w:rPr>
                <w:rFonts w:ascii="Arial" w:hAnsi="Arial" w:cs="Arial"/>
                <w:b w:val="0"/>
                <w:i w:val="0"/>
                <w:sz w:val="17"/>
              </w:rPr>
              <w:t>$180</w:t>
            </w:r>
          </w:p>
        </w:tc>
        <w:tc>
          <w:tcPr>
            <w:tcW w:type="dxa" w:w="1928"/>
          </w:tcPr>
          <w:p>
            <w:pPr>
              <w:spacing w:after="20" w:before="20" w:line="240" w:lineRule="auto"/>
            </w:pPr>
            <w:r/>
            <w:r>
              <w:rPr>
                <w:rFonts w:ascii="Arial" w:hAnsi="Arial" w:cs="Arial"/>
                <w:b w:val="0"/>
                <w:i w:val="0"/>
                <w:sz w:val="17"/>
              </w:rPr>
              <w:t>72h</w:t>
            </w:r>
          </w:p>
        </w:tc>
        <w:tc>
          <w:tcPr>
            <w:tcW w:type="dxa" w:w="1928"/>
          </w:tcPr>
          <w:p>
            <w:pPr>
              <w:spacing w:after="20" w:before="20" w:line="240" w:lineRule="auto"/>
            </w:pPr>
            <w:r/>
            <w:r>
              <w:rPr>
                <w:rFonts w:ascii="Arial" w:hAnsi="Arial" w:cs="Arial"/>
                <w:b w:val="0"/>
                <w:i w:val="0"/>
                <w:sz w:val="17"/>
              </w:rPr>
              <w:t>[Select]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Required Tests for the example commodity: Pesticide Panel (Cypermethrin, Chlorpyrifos, Thiabendazole). One-click guarantee: accept quote (1). Results are automatic.</w:t>
      </w:r>
    </w:p>
    <w:p>
      <w:pPr>
        <w:keepNext/>
        <w:spacing w:before="140" w:after="60"/>
        <w:outlineLvl w:val="3"/>
      </w:pPr>
      <w:r>
        <w:rPr>
          <w:rFonts w:ascii="Arial" w:hAnsi="Arial" w:cs="Arial"/>
          <w:b/>
          <w:i/>
          <w:color w:val="333333"/>
          <w:sz w:val="22"/>
        </w:rPr>
        <w:t>Tab 8: QC Booking</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select a QC provider, receive AI-recommended inspection points, and manage inspection reports. Example:</w:t>
      </w:r>
    </w:p>
    <w:p>
      <w:pPr>
        <w:spacing w:after="0" w:before="0" w:line="240" w:lineRule="auto"/>
        <w:ind w:left="57"/>
        <w:jc w:val="left"/>
        <w:shd w:val="clear" w:fill="F2F2F2"/>
      </w:pPr>
      <w:r>
        <w:rPr>
          <w:rFonts w:ascii="Consolas" w:hAnsi="Consolas" w:cs="Consolas"/>
          <w:b w:val="0"/>
          <w:i w:val="0"/>
          <w:sz w:val="15"/>
        </w:rPr>
        <w:t>QC BOOKING — SGTX-EG-26-F3A-1</w:t>
      </w:r>
    </w:p>
    <w:p>
      <w:pPr>
        <w:spacing w:after="0" w:before="0" w:line="240" w:lineRule="auto"/>
        <w:ind w:left="57"/>
        <w:jc w:val="left"/>
        <w:shd w:val="clear" w:fill="F2F2F2"/>
      </w:pPr>
      <w:r>
        <w:rPr>
          <w:rFonts w:ascii="Consolas" w:hAnsi="Consolas" w:cs="Consolas"/>
          <w:b w:val="0"/>
          <w:i w:val="0"/>
          <w:sz w:val="15"/>
        </w:rPr>
        <w:t>Commodity: Fresh Oranges, 20,000 kg</w:t>
      </w:r>
    </w:p>
    <w:p>
      <w:pPr>
        <w:spacing w:after="0" w:before="0" w:line="240" w:lineRule="auto"/>
        <w:ind w:left="57"/>
        <w:jc w:val="left"/>
        <w:shd w:val="clear" w:fill="F2F2F2"/>
      </w:pPr>
      <w:r>
        <w:rPr>
          <w:rFonts w:ascii="Consolas" w:hAnsi="Consolas" w:cs="Consolas"/>
          <w:b w:val="0"/>
          <w:i w:val="0"/>
          <w:sz w:val="15"/>
        </w:rPr>
        <w:t>AQL Sampling Plan: General Level II (5 pallets random)</w:t>
      </w:r>
    </w:p>
    <w:p>
      <w:pPr>
        <w:spacing w:after="0" w:before="0" w:line="240" w:lineRule="auto"/>
        <w:ind w:left="57"/>
        <w:jc w:val="left"/>
        <w:shd w:val="clear" w:fill="F2F2F2"/>
      </w:pPr>
      <w:r>
        <w:rPr>
          <w:rFonts w:ascii="Consolas" w:hAnsi="Consolas" w:cs="Consolas"/>
          <w:b w:val="0"/>
          <w:i w:val="0"/>
          <w:sz w:val="15"/>
        </w:rPr>
        <w:t>Provider        Fee    AQL Plan        Location         Select</w:t>
      </w:r>
    </w:p>
    <w:p>
      <w:pPr>
        <w:spacing w:after="0" w:before="0" w:line="240" w:lineRule="auto"/>
        <w:ind w:left="57"/>
        <w:jc w:val="left"/>
        <w:shd w:val="clear" w:fill="F2F2F2"/>
      </w:pPr>
      <w:r>
        <w:rPr>
          <w:rFonts w:ascii="Consolas" w:hAnsi="Consolas" w:cs="Consolas"/>
          <w:b w:val="0"/>
          <w:i w:val="0"/>
          <w:sz w:val="15"/>
        </w:rPr>
        <w:t>SGS             $500   General Lvl II  Alexandria Port  [Select]</w:t>
      </w:r>
    </w:p>
    <w:p>
      <w:pPr>
        <w:spacing w:after="0" w:before="0" w:line="240" w:lineRule="auto"/>
        <w:ind w:left="57"/>
        <w:jc w:val="left"/>
        <w:shd w:val="clear" w:fill="F2F2F2"/>
      </w:pPr>
      <w:r>
        <w:rPr>
          <w:rFonts w:ascii="Consolas" w:hAnsi="Consolas" w:cs="Consolas"/>
          <w:b w:val="0"/>
          <w:i w:val="0"/>
          <w:sz w:val="15"/>
        </w:rPr>
        <w:t>Bureau Veritas  $450   General Lvl II  Damietta Port    [Select]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AI-Recommended Inspection Points (A2):</w:t>
      </w:r>
    </w:p>
    <w:p>
      <w:pPr>
        <w:spacing w:after="0" w:before="0" w:line="240" w:lineRule="auto"/>
        <w:ind w:left="57"/>
        <w:jc w:val="left"/>
        <w:shd w:val="clear" w:fill="F2F2F2"/>
      </w:pPr>
      <w:r>
        <w:rPr>
          <w:rFonts w:ascii="Consolas" w:hAnsi="Consolas" w:cs="Consolas"/>
          <w:b w:val="0"/>
          <w:i w:val="0"/>
          <w:sz w:val="15"/>
        </w:rPr>
        <w:t xml:space="preserve">  • OR-019 (high priority — end of lot)</w:t>
      </w:r>
    </w:p>
    <w:p>
      <w:pPr>
        <w:spacing w:after="0" w:before="0" w:line="240" w:lineRule="auto"/>
        <w:ind w:left="57"/>
        <w:jc w:val="left"/>
        <w:shd w:val="clear" w:fill="F2F2F2"/>
      </w:pPr>
      <w:r>
        <w:rPr>
          <w:rFonts w:ascii="Consolas" w:hAnsi="Consolas" w:cs="Consolas"/>
          <w:b w:val="0"/>
          <w:i w:val="0"/>
          <w:sz w:val="15"/>
        </w:rPr>
        <w:t xml:space="preserve">  • OR-020 (high priority — end of lot)</w:t>
      </w:r>
    </w:p>
    <w:p>
      <w:pPr>
        <w:spacing w:after="0" w:before="0" w:line="240" w:lineRule="auto"/>
        <w:ind w:left="57"/>
        <w:jc w:val="left"/>
        <w:shd w:val="clear" w:fill="F2F2F2"/>
      </w:pPr>
      <w:r>
        <w:rPr>
          <w:rFonts w:ascii="Consolas" w:hAnsi="Consolas" w:cs="Consolas"/>
          <w:b w:val="0"/>
          <w:i w:val="0"/>
          <w:sz w:val="15"/>
        </w:rPr>
        <w:t xml:space="preserve">  • OR-003 (random sample)</w:t>
      </w:r>
    </w:p>
    <w:p>
      <w:pPr>
        <w:spacing w:after="0" w:before="0" w:line="240" w:lineRule="auto"/>
        <w:ind w:left="57"/>
        <w:jc w:val="left"/>
        <w:shd w:val="clear" w:fill="F2F2F2"/>
      </w:pPr>
      <w:r>
        <w:rPr>
          <w:rFonts w:ascii="Consolas" w:hAnsi="Consolas" w:cs="Consolas"/>
          <w:b w:val="0"/>
          <w:i w:val="0"/>
          <w:sz w:val="15"/>
        </w:rPr>
        <w:t xml:space="preserve">  • OR-007 (random sample)</w:t>
      </w:r>
    </w:p>
    <w:p>
      <w:pPr>
        <w:spacing w:after="0" w:before="0" w:line="240" w:lineRule="auto"/>
        <w:ind w:left="57"/>
        <w:jc w:val="left"/>
        <w:shd w:val="clear" w:fill="F2F2F2"/>
      </w:pPr>
      <w:r>
        <w:rPr>
          <w:rFonts w:ascii="Consolas" w:hAnsi="Consolas" w:cs="Consolas"/>
          <w:b w:val="0"/>
          <w:i w:val="0"/>
          <w:sz w:val="15"/>
        </w:rPr>
        <w:t xml:space="preserve">  • OR-011 (random sample)</w:t>
      </w:r>
    </w:p>
    <w:p>
      <w:pPr>
        <w:spacing w:after="0" w:before="0" w:line="240" w:lineRule="auto"/>
        <w:ind w:left="57"/>
        <w:jc w:val="left"/>
        <w:shd w:val="clear" w:fill="F2F2F2"/>
      </w:pPr>
      <w:r>
        <w:rPr>
          <w:rFonts w:ascii="Consolas" w:hAnsi="Consolas" w:cs="Consolas"/>
          <w:b w:val="0"/>
          <w:i w:val="0"/>
          <w:sz w:val="15"/>
        </w:rPr>
        <w:t xml:space="preserve">  • OR-015 (random sample)</w:t>
      </w:r>
    </w:p>
    <w:p>
      <w:pPr>
        <w:spacing w:after="0" w:before="0" w:line="240" w:lineRule="auto"/>
        <w:ind w:left="57"/>
        <w:jc w:val="left"/>
        <w:shd w:val="clear" w:fill="F2F2F2"/>
      </w:pPr>
      <w:r>
        <w:rPr>
          <w:rFonts w:ascii="Consolas" w:hAnsi="Consolas" w:cs="Consolas"/>
          <w:b w:val="0"/>
          <w:i w:val="0"/>
          <w:sz w:val="15"/>
        </w:rPr>
        <w:t>[Accept Suggestions]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9: Document Finalisation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sign the packing list and commercial invoice (ZITADEL passkey) before submission to ETA and Nafeza. Example:</w:t>
      </w:r>
    </w:p>
    <w:p>
      <w:pPr>
        <w:spacing w:after="0" w:before="0" w:line="240" w:lineRule="auto"/>
        <w:ind w:left="57"/>
        <w:jc w:val="left"/>
        <w:shd w:val="clear" w:fill="F2F2F2"/>
      </w:pPr>
      <w:r>
        <w:rPr>
          <w:rFonts w:ascii="Consolas" w:hAnsi="Consolas" w:cs="Consolas"/>
          <w:b w:val="0"/>
          <w:i w:val="0"/>
          <w:sz w:val="15"/>
        </w:rPr>
        <w:t>DOCUMENT FINALISATION — SGTX-EG-26-F3A-1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Packing List (PDF)</w:t>
      </w:r>
    </w:p>
    <w:p>
      <w:pPr>
        <w:spacing w:after="0" w:before="0" w:line="240" w:lineRule="auto"/>
        <w:ind w:left="57"/>
        <w:jc w:val="left"/>
        <w:shd w:val="clear" w:fill="F2F2F2"/>
      </w:pPr>
      <w:r>
        <w:rPr>
          <w:rFonts w:ascii="Consolas" w:hAnsi="Consolas" w:cs="Consolas"/>
          <w:b w:val="0"/>
          <w:i w:val="0"/>
          <w:sz w:val="15"/>
        </w:rPr>
        <w:t xml:space="preserve">  • Generated: 15 Jun 2026</w:t>
      </w:r>
    </w:p>
    <w:p>
      <w:pPr>
        <w:spacing w:after="0" w:before="0" w:line="240" w:lineRule="auto"/>
        <w:ind w:left="57"/>
        <w:jc w:val="left"/>
        <w:shd w:val="clear" w:fill="F2F2F2"/>
      </w:pPr>
      <w:r>
        <w:rPr>
          <w:rFonts w:ascii="Consolas" w:hAnsi="Consolas" w:cs="Consolas"/>
          <w:b w:val="0"/>
          <w:i w:val="0"/>
          <w:sz w:val="15"/>
        </w:rPr>
        <w:t xml:space="preserve">  • Pallet count: 36</w:t>
      </w:r>
    </w:p>
    <w:p>
      <w:pPr>
        <w:spacing w:after="0" w:before="0" w:line="240" w:lineRule="auto"/>
        <w:ind w:left="57"/>
        <w:jc w:val="left"/>
        <w:shd w:val="clear" w:fill="F2F2F2"/>
      </w:pPr>
      <w:r>
        <w:rPr>
          <w:rFonts w:ascii="Consolas" w:hAnsi="Consolas" w:cs="Consolas"/>
          <w:b w:val="0"/>
          <w:i w:val="0"/>
          <w:sz w:val="15"/>
        </w:rPr>
        <w:t xml:space="preserve">  • SSCC barcodes: 36 generated</w:t>
      </w:r>
    </w:p>
    <w:p>
      <w:pPr>
        <w:spacing w:after="0" w:before="0" w:line="240" w:lineRule="auto"/>
        <w:ind w:left="57"/>
        <w:jc w:val="left"/>
        <w:shd w:val="clear" w:fill="F2F2F2"/>
      </w:pPr>
      <w:r>
        <w:rPr>
          <w:rFonts w:ascii="Consolas" w:hAnsi="Consolas" w:cs="Consolas"/>
          <w:b w:val="0"/>
          <w:i w:val="0"/>
          <w:sz w:val="15"/>
        </w:rPr>
        <w:t xml:space="preserve">  [Download] [Preview]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Commercial Invoice (UBL 2.1)</w:t>
      </w:r>
    </w:p>
    <w:p>
      <w:pPr>
        <w:spacing w:after="0" w:before="0" w:line="240" w:lineRule="auto"/>
        <w:ind w:left="57"/>
        <w:jc w:val="left"/>
        <w:shd w:val="clear" w:fill="F2F2F2"/>
      </w:pPr>
      <w:r>
        <w:rPr>
          <w:rFonts w:ascii="Consolas" w:hAnsi="Consolas" w:cs="Consolas"/>
          <w:b w:val="0"/>
          <w:i w:val="0"/>
          <w:sz w:val="15"/>
        </w:rPr>
        <w:t xml:space="preserve">  • Invoice Number: INV-STR-2026-001</w:t>
      </w:r>
    </w:p>
    <w:p>
      <w:pPr>
        <w:spacing w:after="0" w:before="0" w:line="240" w:lineRule="auto"/>
        <w:ind w:left="57"/>
        <w:jc w:val="left"/>
        <w:shd w:val="clear" w:fill="F2F2F2"/>
      </w:pPr>
      <w:r>
        <w:rPr>
          <w:rFonts w:ascii="Consolas" w:hAnsi="Consolas" w:cs="Consolas"/>
          <w:b w:val="0"/>
          <w:i w:val="0"/>
          <w:sz w:val="15"/>
        </w:rPr>
        <w:t xml:space="preserve">  • Amount: $45,833.00</w:t>
      </w:r>
    </w:p>
    <w:p>
      <w:pPr>
        <w:spacing w:after="0" w:before="0" w:line="240" w:lineRule="auto"/>
        <w:ind w:left="57"/>
        <w:jc w:val="left"/>
        <w:shd w:val="clear" w:fill="F2F2F2"/>
      </w:pPr>
      <w:r>
        <w:rPr>
          <w:rFonts w:ascii="Consolas" w:hAnsi="Consolas" w:cs="Consolas"/>
          <w:b w:val="0"/>
          <w:i w:val="0"/>
          <w:sz w:val="15"/>
        </w:rPr>
        <w:t xml:space="preserve">  • ETA-compliant</w:t>
      </w:r>
    </w:p>
    <w:p>
      <w:pPr>
        <w:spacing w:after="0" w:before="0" w:line="240" w:lineRule="auto"/>
        <w:ind w:left="57"/>
        <w:jc w:val="left"/>
        <w:shd w:val="clear" w:fill="F2F2F2"/>
      </w:pPr>
      <w:r>
        <w:rPr>
          <w:rFonts w:ascii="Consolas" w:hAnsi="Consolas" w:cs="Consolas"/>
          <w:b w:val="0"/>
          <w:i w:val="0"/>
          <w:sz w:val="15"/>
        </w:rPr>
        <w:t xml:space="preserve">  [Download] [Preview]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Digital Signature</w:t>
      </w:r>
    </w:p>
    <w:p>
      <w:pPr>
        <w:spacing w:after="0" w:before="0" w:line="240" w:lineRule="auto"/>
        <w:ind w:left="57"/>
        <w:jc w:val="left"/>
        <w:shd w:val="clear" w:fill="F2F2F2"/>
      </w:pPr>
      <w:r>
        <w:rPr>
          <w:rFonts w:ascii="Consolas" w:hAnsi="Consolas" w:cs="Consolas"/>
          <w:b w:val="0"/>
          <w:i w:val="0"/>
          <w:sz w:val="15"/>
        </w:rPr>
        <w:t xml:space="preserve">  Sign with ZITADEL passkey (fingerprint/face)</w:t>
      </w:r>
    </w:p>
    <w:p>
      <w:pPr>
        <w:spacing w:after="0" w:before="0" w:line="240" w:lineRule="auto"/>
        <w:ind w:left="57"/>
        <w:jc w:val="left"/>
        <w:shd w:val="clear" w:fill="F2F2F2"/>
      </w:pPr>
      <w:r>
        <w:rPr>
          <w:rFonts w:ascii="Consolas" w:hAnsi="Consolas" w:cs="Consolas"/>
          <w:b w:val="0"/>
          <w:i w:val="0"/>
          <w:sz w:val="15"/>
        </w:rPr>
        <w:t xml:space="preserve">  [Sign Now]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After signing, the system will auto-submit to:</w:t>
      </w:r>
    </w:p>
    <w:p>
      <w:pPr>
        <w:spacing w:after="0" w:before="0" w:line="240" w:lineRule="auto"/>
        <w:ind w:left="57"/>
        <w:jc w:val="left"/>
        <w:shd w:val="clear" w:fill="F2F2F2"/>
      </w:pPr>
      <w:r>
        <w:rPr>
          <w:rFonts w:ascii="Consolas" w:hAnsi="Consolas" w:cs="Consolas"/>
          <w:b w:val="0"/>
          <w:i w:val="0"/>
          <w:sz w:val="15"/>
        </w:rPr>
        <w:t xml:space="preserve">  • ETA e-Invoice API</w:t>
      </w:r>
    </w:p>
    <w:p>
      <w:pPr>
        <w:spacing w:after="0" w:before="0" w:line="240" w:lineRule="auto"/>
        <w:ind w:left="57"/>
        <w:jc w:val="left"/>
        <w:shd w:val="clear" w:fill="F2F2F2"/>
      </w:pPr>
      <w:r>
        <w:rPr>
          <w:rFonts w:ascii="Consolas" w:hAnsi="Consolas" w:cs="Consolas"/>
          <w:b w:val="0"/>
          <w:i w:val="0"/>
          <w:sz w:val="15"/>
        </w:rPr>
        <w:t xml:space="preserve">  • Nafeza Customs API</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10: Barcode Print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generate SSCC-18 barcode labels (ZPL or PDF) for each pallet; reprint with reason after loading. Example: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Pallet ID</w:t>
            </w:r>
          </w:p>
        </w:tc>
        <w:tc>
          <w:tcPr>
            <w:tcW w:type="dxa" w:w="2409"/>
            <w:shd w:val="clear" w:fill="D9E2F3"/>
          </w:tcPr>
          <w:p>
            <w:pPr>
              <w:spacing w:after="20" w:before="20" w:line="240" w:lineRule="auto"/>
            </w:pPr>
            <w:r/>
            <w:r>
              <w:rPr>
                <w:rFonts w:ascii="Arial" w:hAnsi="Arial" w:cs="Arial"/>
                <w:b/>
                <w:i w:val="0"/>
                <w:sz w:val="18"/>
              </w:rPr>
              <w:t>SSCC</w:t>
            </w:r>
          </w:p>
        </w:tc>
        <w:tc>
          <w:tcPr>
            <w:tcW w:type="dxa" w:w="2409"/>
            <w:shd w:val="clear" w:fill="D9E2F3"/>
          </w:tcPr>
          <w:p>
            <w:pPr>
              <w:spacing w:after="20" w:before="20" w:line="240" w:lineRule="auto"/>
            </w:pPr>
            <w:r/>
            <w:r>
              <w:rPr>
                <w:rFonts w:ascii="Arial" w:hAnsi="Arial" w:cs="Arial"/>
                <w:b/>
                <w:i w:val="0"/>
                <w:sz w:val="18"/>
              </w:rPr>
              <w:t>Product</w:t>
            </w:r>
          </w:p>
        </w:tc>
        <w:tc>
          <w:tcPr>
            <w:tcW w:type="dxa" w:w="2409"/>
            <w:shd w:val="clear" w:fill="D9E2F3"/>
          </w:tcPr>
          <w:p>
            <w:pPr>
              <w:spacing w:after="20" w:before="20" w:line="240" w:lineRule="auto"/>
            </w:pPr>
            <w:r/>
            <w:r>
              <w:rPr>
                <w:rFonts w:ascii="Arial" w:hAnsi="Arial" w:cs="Arial"/>
                <w:b/>
                <w:i w:val="0"/>
                <w:sz w:val="18"/>
              </w:rPr>
              <w:t>Status</w:t>
            </w:r>
          </w:p>
        </w:tc>
      </w:tr>
      <w:tr>
        <w:tc>
          <w:tcPr>
            <w:tcW w:type="dxa" w:w="2409"/>
          </w:tcPr>
          <w:p>
            <w:pPr>
              <w:spacing w:after="20" w:before="20" w:line="240" w:lineRule="auto"/>
            </w:pPr>
            <w:r/>
            <w:r>
              <w:rPr>
                <w:rFonts w:ascii="Arial" w:hAnsi="Arial" w:cs="Arial"/>
                <w:b w:val="0"/>
                <w:i w:val="0"/>
                <w:sz w:val="17"/>
              </w:rPr>
              <w:t>PAL-001</w:t>
            </w:r>
          </w:p>
        </w:tc>
        <w:tc>
          <w:tcPr>
            <w:tcW w:type="dxa" w:w="2409"/>
          </w:tcPr>
          <w:p>
            <w:pPr>
              <w:spacing w:after="20" w:before="20" w:line="240" w:lineRule="auto"/>
            </w:pPr>
            <w:r/>
            <w:r>
              <w:rPr>
                <w:rFonts w:ascii="Arial" w:hAnsi="Arial" w:cs="Arial"/>
                <w:b w:val="0"/>
                <w:i w:val="0"/>
                <w:sz w:val="17"/>
              </w:rPr>
              <w:t>106141411234567890</w:t>
            </w:r>
          </w:p>
        </w:tc>
        <w:tc>
          <w:tcPr>
            <w:tcW w:type="dxa" w:w="2409"/>
          </w:tcPr>
          <w:p>
            <w:pPr>
              <w:spacing w:after="20" w:before="20" w:line="240" w:lineRule="auto"/>
            </w:pPr>
            <w:r/>
            <w:r>
              <w:rPr>
                <w:rFonts w:ascii="Arial" w:hAnsi="Arial" w:cs="Arial"/>
                <w:b w:val="0"/>
                <w:i w:val="0"/>
                <w:sz w:val="17"/>
              </w:rPr>
              <w:t>Oranges</w:t>
            </w:r>
          </w:p>
        </w:tc>
        <w:tc>
          <w:tcPr>
            <w:tcW w:type="dxa" w:w="2409"/>
          </w:tcPr>
          <w:p>
            <w:pPr>
              <w:spacing w:after="20" w:before="20" w:line="240" w:lineRule="auto"/>
            </w:pPr>
            <w:r/>
            <w:r>
              <w:rPr>
                <w:rFonts w:ascii="Arial" w:hAnsi="Arial" w:cs="Arial"/>
                <w:b w:val="0"/>
                <w:i w:val="0"/>
                <w:sz w:val="17"/>
              </w:rPr>
              <w:t>Printed</w:t>
            </w:r>
          </w:p>
        </w:tc>
      </w:tr>
      <w:tr>
        <w:tc>
          <w:tcPr>
            <w:tcW w:type="dxa" w:w="2409"/>
          </w:tcPr>
          <w:p>
            <w:pPr>
              <w:spacing w:after="20" w:before="20" w:line="240" w:lineRule="auto"/>
            </w:pPr>
            <w:r/>
            <w:r>
              <w:rPr>
                <w:rFonts w:ascii="Arial" w:hAnsi="Arial" w:cs="Arial"/>
                <w:b w:val="0"/>
                <w:i w:val="0"/>
                <w:sz w:val="17"/>
              </w:rPr>
              <w:t>PAL-002</w:t>
            </w:r>
          </w:p>
        </w:tc>
        <w:tc>
          <w:tcPr>
            <w:tcW w:type="dxa" w:w="2409"/>
          </w:tcPr>
          <w:p>
            <w:pPr>
              <w:spacing w:after="20" w:before="20" w:line="240" w:lineRule="auto"/>
            </w:pPr>
            <w:r/>
            <w:r>
              <w:rPr>
                <w:rFonts w:ascii="Arial" w:hAnsi="Arial" w:cs="Arial"/>
                <w:b w:val="0"/>
                <w:i w:val="0"/>
                <w:sz w:val="17"/>
              </w:rPr>
              <w:t>106141411234567891</w:t>
            </w:r>
          </w:p>
        </w:tc>
        <w:tc>
          <w:tcPr>
            <w:tcW w:type="dxa" w:w="2409"/>
          </w:tcPr>
          <w:p>
            <w:pPr>
              <w:spacing w:after="20" w:before="20" w:line="240" w:lineRule="auto"/>
            </w:pPr>
            <w:r/>
            <w:r>
              <w:rPr>
                <w:rFonts w:ascii="Arial" w:hAnsi="Arial" w:cs="Arial"/>
                <w:b w:val="0"/>
                <w:i w:val="0"/>
                <w:sz w:val="17"/>
              </w:rPr>
              <w:t>Oranges</w:t>
            </w:r>
          </w:p>
        </w:tc>
        <w:tc>
          <w:tcPr>
            <w:tcW w:type="dxa" w:w="2409"/>
          </w:tcPr>
          <w:p>
            <w:pPr>
              <w:spacing w:after="20" w:before="20" w:line="240" w:lineRule="auto"/>
            </w:pPr>
            <w:r/>
            <w:r>
              <w:rPr>
                <w:rFonts w:ascii="Arial" w:hAnsi="Arial" w:cs="Arial"/>
                <w:b w:val="0"/>
                <w:i w:val="0"/>
                <w:sz w:val="17"/>
              </w:rPr>
              <w:t>Printed</w:t>
            </w:r>
          </w:p>
        </w:tc>
      </w:tr>
      <w:tr>
        <w:tc>
          <w:tcPr>
            <w:tcW w:type="dxa" w:w="2409"/>
          </w:tcPr>
          <w:p>
            <w:pPr>
              <w:spacing w:after="20" w:before="20" w:line="240" w:lineRule="auto"/>
            </w:pPr>
            <w:r/>
            <w:r>
              <w:rPr>
                <w:rFonts w:ascii="Arial" w:hAnsi="Arial" w:cs="Arial"/>
                <w:b w:val="0"/>
                <w:i w:val="0"/>
                <w:sz w:val="17"/>
              </w:rPr>
              <w:t>PAL-003</w:t>
            </w:r>
          </w:p>
        </w:tc>
        <w:tc>
          <w:tcPr>
            <w:tcW w:type="dxa" w:w="2409"/>
          </w:tcPr>
          <w:p>
            <w:pPr>
              <w:spacing w:after="20" w:before="20" w:line="240" w:lineRule="auto"/>
            </w:pPr>
            <w:r/>
            <w:r>
              <w:rPr>
                <w:rFonts w:ascii="Arial" w:hAnsi="Arial" w:cs="Arial"/>
                <w:b w:val="0"/>
                <w:i w:val="0"/>
                <w:sz w:val="17"/>
              </w:rPr>
              <w:t>106141411234567892</w:t>
            </w:r>
          </w:p>
        </w:tc>
        <w:tc>
          <w:tcPr>
            <w:tcW w:type="dxa" w:w="2409"/>
          </w:tcPr>
          <w:p>
            <w:pPr>
              <w:spacing w:after="20" w:before="20" w:line="240" w:lineRule="auto"/>
            </w:pPr>
            <w:r/>
            <w:r>
              <w:rPr>
                <w:rFonts w:ascii="Arial" w:hAnsi="Arial" w:cs="Arial"/>
                <w:b w:val="0"/>
                <w:i w:val="0"/>
                <w:sz w:val="17"/>
              </w:rPr>
              <w:t>Oranges</w:t>
            </w:r>
          </w:p>
        </w:tc>
        <w:tc>
          <w:tcPr>
            <w:tcW w:type="dxa" w:w="2409"/>
          </w:tcPr>
          <w:p>
            <w:pPr>
              <w:spacing w:after="20" w:before="20" w:line="240" w:lineRule="auto"/>
            </w:pPr>
            <w:r/>
            <w:r>
              <w:rPr>
                <w:rFonts w:ascii="Arial" w:hAnsi="Arial" w:cs="Arial"/>
                <w:b w:val="0"/>
                <w:i w:val="0"/>
                <w:sz w:val="17"/>
              </w:rPr>
              <w:t>Pending</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Label Template: [Customs-Ready ▼] · Language: [Arabic ▼] · Print Options: [Print ZPL (Zebra)] [Print PDF (A4)].</w:t>
      </w:r>
    </w:p>
    <w:p>
      <w:pPr>
        <w:spacing w:after="80" w:line="293" w:lineRule="auto"/>
        <w:jc w:val="left"/>
      </w:pPr>
      <w:r>
        <w:rPr>
          <w:rFonts w:ascii="Times New Roman" w:hAnsi="Times New Roman" w:cs="Times New Roman"/>
          <w:b w:val="0"/>
          <w:i w:val="0"/>
          <w:sz w:val="22"/>
        </w:rPr>
        <w:t>Post-loading reprint: "Pallet PAL-001 was already loaded. Request reprint with reason: [Label was damaged during transit] (min 10 chars) [Request Reprint]". One-click guarantee: print (1); reprint request (1) → Governor approval (if auto-approved) → reprint. Full barcode specification is in 23.3.</w:t>
      </w:r>
    </w:p>
    <w:p>
      <w:pPr>
        <w:keepNext/>
        <w:spacing w:before="140" w:after="60"/>
        <w:outlineLvl w:val="3"/>
      </w:pPr>
      <w:r>
        <w:rPr>
          <w:rFonts w:ascii="Arial" w:hAnsi="Arial" w:cs="Arial"/>
          <w:b/>
          <w:i/>
          <w:color w:val="333333"/>
          <w:sz w:val="22"/>
        </w:rPr>
        <w:t>Tab 11: Distressed Cargo &amp; Notifications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declare distressed cargo, receive AI condition assessment and pricing, triage (sell quickly / comply with local law / file insurance claim), and execute accelerated outreach.</w:t>
      </w:r>
    </w:p>
    <w:p>
      <w:pPr>
        <w:spacing w:after="80" w:line="293" w:lineRule="auto"/>
        <w:jc w:val="left"/>
      </w:pPr>
      <w:r>
        <w:rPr>
          <w:rFonts w:ascii="Times New Roman" w:hAnsi="Times New Roman" w:cs="Times New Roman"/>
          <w:b w:val="0"/>
          <w:i w:val="0"/>
          <w:sz w:val="22"/>
        </w:rPr>
        <w:t>Example declaration:</w:t>
      </w:r>
    </w:p>
    <w:p>
      <w:pPr>
        <w:spacing w:after="0" w:before="0" w:line="240" w:lineRule="auto"/>
        <w:ind w:left="57"/>
        <w:jc w:val="left"/>
        <w:shd w:val="clear" w:fill="F2F2F2"/>
      </w:pPr>
      <w:r>
        <w:rPr>
          <w:rFonts w:ascii="Consolas" w:hAnsi="Consolas" w:cs="Consolas"/>
          <w:b w:val="0"/>
          <w:i w:val="0"/>
          <w:sz w:val="15"/>
        </w:rPr>
        <w:t>DECLARE DISTRESSED CARGO — SGTX-EG-26-F3A-1</w:t>
      </w:r>
    </w:p>
    <w:p>
      <w:pPr>
        <w:spacing w:after="0" w:before="0" w:line="240" w:lineRule="auto"/>
        <w:ind w:left="57"/>
        <w:jc w:val="left"/>
        <w:shd w:val="clear" w:fill="F2F2F2"/>
      </w:pPr>
      <w:r>
        <w:rPr>
          <w:rFonts w:ascii="Consolas" w:hAnsi="Consolas" w:cs="Consolas"/>
          <w:b w:val="0"/>
          <w:i w:val="0"/>
          <w:sz w:val="15"/>
        </w:rPr>
        <w:t>Select Affected Pallets: LEM003 LEM004 LEM005 LEM006 LEM007</w:t>
      </w:r>
    </w:p>
    <w:p>
      <w:pPr>
        <w:spacing w:after="0" w:before="0" w:line="240" w:lineRule="auto"/>
        <w:ind w:left="57"/>
        <w:jc w:val="left"/>
        <w:shd w:val="clear" w:fill="F2F2F2"/>
      </w:pPr>
      <w:r>
        <w:rPr>
          <w:rFonts w:ascii="Consolas" w:hAnsi="Consolas" w:cs="Consolas"/>
          <w:b w:val="0"/>
          <w:i w:val="0"/>
          <w:sz w:val="15"/>
        </w:rPr>
        <w:t>Condition Description:</w:t>
      </w:r>
    </w:p>
    <w:p>
      <w:pPr>
        <w:spacing w:after="0" w:before="0" w:line="240" w:lineRule="auto"/>
        <w:ind w:left="57"/>
        <w:jc w:val="left"/>
        <w:shd w:val="clear" w:fill="F2F2F2"/>
      </w:pPr>
      <w:r>
        <w:rPr>
          <w:rFonts w:ascii="Consolas" w:hAnsi="Consolas" w:cs="Consolas"/>
          <w:b w:val="0"/>
          <w:i w:val="0"/>
          <w:sz w:val="15"/>
        </w:rPr>
        <w:t xml:space="preserve">  [Temperature excursion caused mould on 3 pallets of lemons. Shelf life reduced.]</w:t>
      </w:r>
    </w:p>
    <w:p>
      <w:pPr>
        <w:spacing w:after="0" w:before="0" w:line="240" w:lineRule="auto"/>
        <w:ind w:left="57"/>
        <w:jc w:val="left"/>
        <w:shd w:val="clear" w:fill="F2F2F2"/>
      </w:pPr>
      <w:r>
        <w:rPr>
          <w:rFonts w:ascii="Consolas" w:hAnsi="Consolas" w:cs="Consolas"/>
          <w:b w:val="0"/>
          <w:i w:val="0"/>
          <w:sz w:val="15"/>
        </w:rPr>
        <w:t>Distress Reason: [Quality Deterioration ▼]</w:t>
      </w:r>
    </w:p>
    <w:p>
      <w:pPr>
        <w:spacing w:after="0" w:before="0" w:line="240" w:lineRule="auto"/>
        <w:ind w:left="57"/>
        <w:jc w:val="left"/>
        <w:shd w:val="clear" w:fill="F2F2F2"/>
      </w:pPr>
      <w:r>
        <w:rPr>
          <w:rFonts w:ascii="Consolas" w:hAnsi="Consolas" w:cs="Consolas"/>
          <w:b w:val="0"/>
          <w:i w:val="0"/>
          <w:sz w:val="15"/>
        </w:rPr>
        <w:t>Upload Photos: [Choose Files] (3 photos uploaded)</w:t>
      </w:r>
    </w:p>
    <w:p>
      <w:pPr>
        <w:spacing w:after="0" w:before="0" w:line="240" w:lineRule="auto"/>
        <w:ind w:left="57"/>
        <w:jc w:val="left"/>
        <w:shd w:val="clear" w:fill="F2F2F2"/>
      </w:pPr>
      <w:r>
        <w:rPr>
          <w:rFonts w:ascii="Consolas" w:hAnsi="Consolas" w:cs="Consolas"/>
          <w:b w:val="0"/>
          <w:i w:val="0"/>
          <w:sz w:val="15"/>
        </w:rPr>
        <w:t>[Submit Declaration] [Cancel]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condition assessment:</w:t>
      </w:r>
    </w:p>
    <w:p>
      <w:pPr>
        <w:spacing w:after="0" w:before="0" w:line="240" w:lineRule="auto"/>
        <w:ind w:left="57"/>
        <w:jc w:val="left"/>
        <w:shd w:val="clear" w:fill="F2F2F2"/>
      </w:pPr>
      <w:r>
        <w:rPr>
          <w:rFonts w:ascii="Consolas" w:hAnsi="Consolas" w:cs="Consolas"/>
          <w:b w:val="0"/>
          <w:i w:val="0"/>
          <w:sz w:val="15"/>
        </w:rPr>
        <w:t>AI CONDITION ASSESSMENT</w:t>
      </w:r>
    </w:p>
    <w:p>
      <w:pPr>
        <w:spacing w:after="0" w:before="0" w:line="240" w:lineRule="auto"/>
        <w:ind w:left="57"/>
        <w:jc w:val="left"/>
        <w:shd w:val="clear" w:fill="F2F2F2"/>
      </w:pPr>
      <w:r>
        <w:rPr>
          <w:rFonts w:ascii="Consolas" w:hAnsi="Consolas" w:cs="Consolas"/>
          <w:b w:val="0"/>
          <w:i w:val="0"/>
          <w:sz w:val="15"/>
        </w:rPr>
        <w:t>Condition Score: 35/100</w:t>
      </w:r>
    </w:p>
    <w:p>
      <w:pPr>
        <w:spacing w:after="0" w:before="0" w:line="240" w:lineRule="auto"/>
        <w:ind w:left="57"/>
        <w:jc w:val="left"/>
        <w:shd w:val="clear" w:fill="F2F2F2"/>
      </w:pPr>
      <w:r>
        <w:rPr>
          <w:rFonts w:ascii="Consolas" w:hAnsi="Consolas" w:cs="Consolas"/>
          <w:b w:val="0"/>
          <w:i w:val="0"/>
          <w:sz w:val="15"/>
        </w:rPr>
        <w:t>Tags: mould_detected_92%, crushed_cartons_78%</w:t>
      </w:r>
    </w:p>
    <w:p>
      <w:pPr>
        <w:spacing w:after="0" w:before="0" w:line="240" w:lineRule="auto"/>
        <w:ind w:left="57"/>
        <w:jc w:val="left"/>
        <w:shd w:val="clear" w:fill="F2F2F2"/>
      </w:pPr>
      <w:r>
        <w:rPr>
          <w:rFonts w:ascii="Consolas" w:hAnsi="Consolas" w:cs="Consolas"/>
          <w:b w:val="0"/>
          <w:i w:val="0"/>
          <w:sz w:val="15"/>
        </w:rPr>
        <w:t>Remaining Shelf Life: 5 days</w:t>
      </w:r>
    </w:p>
    <w:p>
      <w:pPr>
        <w:spacing w:after="0" w:before="0" w:line="240" w:lineRule="auto"/>
        <w:ind w:left="57"/>
        <w:jc w:val="left"/>
        <w:shd w:val="clear" w:fill="F2F2F2"/>
      </w:pPr>
      <w:r>
        <w:rPr>
          <w:rFonts w:ascii="Consolas" w:hAnsi="Consolas" w:cs="Consolas"/>
          <w:b w:val="0"/>
          <w:i w:val="0"/>
          <w:sz w:val="15"/>
        </w:rPr>
        <w:t>Confidence: 0.88</w:t>
      </w:r>
    </w:p>
    <w:p>
      <w:pPr>
        <w:spacing w:after="0" w:before="0" w:line="240" w:lineRule="auto"/>
        <w:ind w:left="57"/>
        <w:jc w:val="left"/>
        <w:shd w:val="clear" w:fill="F2F2F2"/>
      </w:pPr>
      <w:r>
        <w:rPr>
          <w:rFonts w:ascii="Consolas" w:hAnsi="Consolas" w:cs="Consolas"/>
          <w:b w:val="0"/>
          <w:i w:val="0"/>
          <w:sz w:val="15"/>
        </w:rPr>
        <w:t>[Accept Assessment] [Override with Reason]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Triage dashboard:</w:t>
      </w:r>
    </w:p>
    <w:p>
      <w:pPr>
        <w:spacing w:after="0" w:before="0" w:line="240" w:lineRule="auto"/>
        <w:ind w:left="57"/>
        <w:jc w:val="left"/>
        <w:shd w:val="clear" w:fill="F2F2F2"/>
      </w:pPr>
      <w:r>
        <w:rPr>
          <w:rFonts w:ascii="Consolas" w:hAnsi="Consolas" w:cs="Consolas"/>
          <w:b w:val="0"/>
          <w:i w:val="0"/>
          <w:sz w:val="15"/>
        </w:rPr>
        <w:t>TRIAGE DASHBOARD</w:t>
      </w:r>
    </w:p>
    <w:p>
      <w:pPr>
        <w:spacing w:after="0" w:before="0" w:line="240" w:lineRule="auto"/>
        <w:ind w:left="57"/>
        <w:jc w:val="left"/>
        <w:shd w:val="clear" w:fill="F2F2F2"/>
      </w:pPr>
      <w:r>
        <w:rPr>
          <w:rFonts w:ascii="Consolas" w:hAnsi="Consolas" w:cs="Consolas"/>
          <w:b w:val="0"/>
          <w:i w:val="0"/>
          <w:sz w:val="15"/>
        </w:rPr>
        <w:t>Path A — Sell Quickly</w:t>
      </w:r>
    </w:p>
    <w:p>
      <w:pPr>
        <w:spacing w:after="0" w:before="0" w:line="240" w:lineRule="auto"/>
        <w:ind w:left="57"/>
        <w:jc w:val="left"/>
        <w:shd w:val="clear" w:fill="F2F2F2"/>
      </w:pPr>
      <w:r>
        <w:rPr>
          <w:rFonts w:ascii="Consolas" w:hAnsi="Consolas" w:cs="Consolas"/>
          <w:b w:val="0"/>
          <w:i w:val="0"/>
          <w:sz w:val="15"/>
        </w:rPr>
        <w:t xml:space="preserve">  Maximise speed of recovery. Sets price to the AI-recommended quick-sale price.</w:t>
      </w:r>
    </w:p>
    <w:p>
      <w:pPr>
        <w:spacing w:after="0" w:before="0" w:line="240" w:lineRule="auto"/>
        <w:ind w:left="57"/>
        <w:jc w:val="left"/>
        <w:shd w:val="clear" w:fill="F2F2F2"/>
      </w:pPr>
      <w:r>
        <w:rPr>
          <w:rFonts w:ascii="Consolas" w:hAnsi="Consolas" w:cs="Consolas"/>
          <w:b w:val="0"/>
          <w:i w:val="0"/>
          <w:sz w:val="15"/>
        </w:rPr>
        <w:t xml:space="preserve">  Prepares Accelerated Outreach (but does not send until you opt in).</w:t>
      </w:r>
    </w:p>
    <w:p>
      <w:pPr>
        <w:spacing w:after="0" w:before="0" w:line="240" w:lineRule="auto"/>
        <w:ind w:left="57"/>
        <w:jc w:val="left"/>
        <w:shd w:val="clear" w:fill="F2F2F2"/>
      </w:pPr>
      <w:r>
        <w:rPr>
          <w:rFonts w:ascii="Consolas" w:hAnsi="Consolas" w:cs="Consolas"/>
          <w:b w:val="0"/>
          <w:i w:val="0"/>
          <w:sz w:val="15"/>
        </w:rPr>
        <w:t xml:space="preserve">  [Sell Quickly]</w:t>
      </w:r>
    </w:p>
    <w:p>
      <w:pPr>
        <w:spacing w:after="0" w:before="0" w:line="240" w:lineRule="auto"/>
        <w:ind w:left="57"/>
        <w:jc w:val="left"/>
        <w:shd w:val="clear" w:fill="F2F2F2"/>
      </w:pPr>
      <w:r>
        <w:rPr>
          <w:rFonts w:ascii="Consolas" w:hAnsi="Consolas" w:cs="Consolas"/>
          <w:b w:val="0"/>
          <w:i w:val="0"/>
          <w:sz w:val="15"/>
        </w:rPr>
        <w:t>Path B — Comply with Local Law</w:t>
      </w:r>
    </w:p>
    <w:p>
      <w:pPr>
        <w:spacing w:after="0" w:before="0" w:line="240" w:lineRule="auto"/>
        <w:ind w:left="57"/>
        <w:jc w:val="left"/>
        <w:shd w:val="clear" w:fill="F2F2F2"/>
      </w:pPr>
      <w:r>
        <w:rPr>
          <w:rFonts w:ascii="Consolas" w:hAnsi="Consolas" w:cs="Consolas"/>
          <w:b w:val="0"/>
          <w:i w:val="0"/>
          <w:sz w:val="15"/>
        </w:rPr>
        <w:t xml:space="preserve">  Runs the Jurisdiction Compliance Assistant. Scans jurisdiction rules for</w:t>
      </w:r>
    </w:p>
    <w:p>
      <w:pPr>
        <w:spacing w:after="0" w:before="0" w:line="240" w:lineRule="auto"/>
        <w:ind w:left="57"/>
        <w:jc w:val="left"/>
        <w:shd w:val="clear" w:fill="F2F2F2"/>
      </w:pPr>
      <w:r>
        <w:rPr>
          <w:rFonts w:ascii="Consolas" w:hAnsi="Consolas" w:cs="Consolas"/>
          <w:b w:val="0"/>
          <w:i w:val="0"/>
          <w:sz w:val="15"/>
        </w:rPr>
        <w:t xml:space="preserve">  distressed sale rules (e.g., mandatory liquidator, CBE notification).</w:t>
      </w:r>
    </w:p>
    <w:p>
      <w:pPr>
        <w:spacing w:after="0" w:before="0" w:line="240" w:lineRule="auto"/>
        <w:ind w:left="57"/>
        <w:jc w:val="left"/>
        <w:shd w:val="clear" w:fill="F2F2F2"/>
      </w:pPr>
      <w:r>
        <w:rPr>
          <w:rFonts w:ascii="Consolas" w:hAnsi="Consolas" w:cs="Consolas"/>
          <w:b w:val="0"/>
          <w:i w:val="0"/>
          <w:sz w:val="15"/>
        </w:rPr>
        <w:t xml:space="preserve">  [Comply with Local Law]</w:t>
      </w:r>
    </w:p>
    <w:p>
      <w:pPr>
        <w:spacing w:after="0" w:before="0" w:line="240" w:lineRule="auto"/>
        <w:ind w:left="57"/>
        <w:jc w:val="left"/>
        <w:shd w:val="clear" w:fill="F2F2F2"/>
      </w:pPr>
      <w:r>
        <w:rPr>
          <w:rFonts w:ascii="Consolas" w:hAnsi="Consolas" w:cs="Consolas"/>
          <w:b w:val="0"/>
          <w:i w:val="0"/>
          <w:sz w:val="15"/>
        </w:rPr>
        <w:t>Path C — File Insurance Claim</w:t>
      </w:r>
    </w:p>
    <w:p>
      <w:pPr>
        <w:spacing w:after="0" w:before="0" w:line="240" w:lineRule="auto"/>
        <w:ind w:left="57"/>
        <w:jc w:val="left"/>
        <w:shd w:val="clear" w:fill="F2F2F2"/>
      </w:pPr>
      <w:r>
        <w:rPr>
          <w:rFonts w:ascii="Consolas" w:hAnsi="Consolas" w:cs="Consolas"/>
          <w:b w:val="0"/>
          <w:i w:val="0"/>
          <w:sz w:val="15"/>
        </w:rPr>
        <w:t xml:space="preserve">  Runs the Evidence Package Compiler with sensor logs, photos, AI condition</w:t>
      </w:r>
    </w:p>
    <w:p>
      <w:pPr>
        <w:spacing w:after="0" w:before="0" w:line="240" w:lineRule="auto"/>
        <w:ind w:left="57"/>
        <w:jc w:val="left"/>
        <w:shd w:val="clear" w:fill="F2F2F2"/>
      </w:pPr>
      <w:r>
        <w:rPr>
          <w:rFonts w:ascii="Consolas" w:hAnsi="Consolas" w:cs="Consolas"/>
          <w:b w:val="0"/>
          <w:i w:val="0"/>
          <w:sz w:val="15"/>
        </w:rPr>
        <w:t xml:space="preserve">  assessment, market valuation. Outputs a downloadable PDF and a Groq claim</w:t>
      </w:r>
    </w:p>
    <w:p>
      <w:pPr>
        <w:spacing w:after="0" w:before="0" w:line="240" w:lineRule="auto"/>
        <w:ind w:left="57"/>
        <w:jc w:val="left"/>
        <w:shd w:val="clear" w:fill="F2F2F2"/>
      </w:pPr>
      <w:r>
        <w:rPr>
          <w:rFonts w:ascii="Consolas" w:hAnsi="Consolas" w:cs="Consolas"/>
          <w:b w:val="0"/>
          <w:i w:val="0"/>
          <w:sz w:val="15"/>
        </w:rPr>
        <w:t xml:space="preserve">  narrative.</w:t>
      </w:r>
    </w:p>
    <w:p>
      <w:pPr>
        <w:spacing w:after="0" w:before="0" w:line="240" w:lineRule="auto"/>
        <w:ind w:left="57"/>
        <w:jc w:val="left"/>
        <w:shd w:val="clear" w:fill="F2F2F2"/>
      </w:pPr>
      <w:r>
        <w:rPr>
          <w:rFonts w:ascii="Consolas" w:hAnsi="Consolas" w:cs="Consolas"/>
          <w:b w:val="0"/>
          <w:i w:val="0"/>
          <w:sz w:val="15"/>
        </w:rPr>
        <w:t xml:space="preserve">  [File Insurance Claim]</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"Check Buyers" advisory:</w:t>
      </w:r>
    </w:p>
    <w:p>
      <w:pPr>
        <w:spacing w:after="0" w:before="0" w:line="240" w:lineRule="auto"/>
        <w:ind w:left="57"/>
        <w:jc w:val="left"/>
        <w:shd w:val="clear" w:fill="F2F2F2"/>
      </w:pPr>
      <w:r>
        <w:rPr>
          <w:rFonts w:ascii="Consolas" w:hAnsi="Consolas" w:cs="Consolas"/>
          <w:b w:val="0"/>
          <w:i w:val="0"/>
          <w:sz w:val="15"/>
        </w:rPr>
        <w:t>CHECK BUYERS — Distressed Lemons (1,344 kg)</w:t>
      </w:r>
    </w:p>
    <w:p>
      <w:pPr>
        <w:spacing w:after="0" w:before="0" w:line="240" w:lineRule="auto"/>
        <w:ind w:left="57"/>
        <w:jc w:val="left"/>
        <w:shd w:val="clear" w:fill="F2F2F2"/>
      </w:pPr>
      <w:r>
        <w:rPr>
          <w:rFonts w:ascii="Consolas" w:hAnsi="Consolas" w:cs="Consolas"/>
          <w:b w:val="0"/>
          <w:i w:val="0"/>
          <w:sz w:val="15"/>
        </w:rPr>
        <w:t>Eligible Saved Contacts (ranked):</w:t>
      </w:r>
    </w:p>
    <w:p>
      <w:pPr>
        <w:spacing w:after="0" w:before="0" w:line="240" w:lineRule="auto"/>
        <w:ind w:left="57"/>
        <w:jc w:val="left"/>
        <w:shd w:val="clear" w:fill="F2F2F2"/>
      </w:pPr>
      <w:r>
        <w:rPr>
          <w:rFonts w:ascii="Consolas" w:hAnsi="Consolas" w:cs="Consolas"/>
          <w:b w:val="0"/>
          <w:i w:val="0"/>
          <w:sz w:val="15"/>
        </w:rPr>
        <w:t>Buyer Name             Trust  Past Distressed Purchases        Select</w:t>
      </w:r>
    </w:p>
    <w:p>
      <w:pPr>
        <w:spacing w:after="0" w:before="0" w:line="240" w:lineRule="auto"/>
        <w:ind w:left="57"/>
        <w:jc w:val="left"/>
        <w:shd w:val="clear" w:fill="F2F2F2"/>
      </w:pPr>
      <w:r>
        <w:rPr>
          <w:rFonts w:ascii="Consolas" w:hAnsi="Consolas" w:cs="Consolas"/>
          <w:b w:val="0"/>
          <w:i w:val="0"/>
          <w:sz w:val="15"/>
        </w:rPr>
        <w:t>Juice Factory Ltd.     91     3 (100% completion)             [Select]</w:t>
      </w:r>
    </w:p>
    <w:p>
      <w:pPr>
        <w:spacing w:after="0" w:before="0" w:line="240" w:lineRule="auto"/>
        <w:ind w:left="57"/>
        <w:jc w:val="left"/>
        <w:shd w:val="clear" w:fill="F2F2F2"/>
      </w:pPr>
      <w:r>
        <w:rPr>
          <w:rFonts w:ascii="Consolas" w:hAnsi="Consolas" w:cs="Consolas"/>
          <w:b w:val="0"/>
          <w:i w:val="0"/>
          <w:sz w:val="15"/>
        </w:rPr>
        <w:t>Cairo Processors       83     1 (50% completion)              [Select]</w:t>
      </w:r>
    </w:p>
    <w:p>
      <w:pPr>
        <w:spacing w:after="0" w:before="0" w:line="240" w:lineRule="auto"/>
        <w:ind w:left="57"/>
        <w:jc w:val="left"/>
        <w:shd w:val="clear" w:fill="F2F2F2"/>
      </w:pPr>
      <w:r>
        <w:rPr>
          <w:rFonts w:ascii="Consolas" w:hAnsi="Consolas" w:cs="Consolas"/>
          <w:b w:val="0"/>
          <w:i w:val="0"/>
          <w:sz w:val="15"/>
        </w:rPr>
        <w:t>Alexandria Trading     76     0                               [Select]</w:t>
      </w:r>
    </w:p>
    <w:p>
      <w:pPr>
        <w:spacing w:after="0" w:before="0" w:line="240" w:lineRule="auto"/>
        <w:ind w:left="57"/>
        <w:jc w:val="left"/>
        <w:shd w:val="clear" w:fill="F2F2F2"/>
      </w:pPr>
      <w:r>
        <w:rPr>
          <w:rFonts w:ascii="Consolas" w:hAnsi="Consolas" w:cs="Consolas"/>
          <w:b w:val="0"/>
          <w:i w:val="0"/>
          <w:sz w:val="15"/>
        </w:rPr>
        <w:t>[Continue to Outreach] [Cancel]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Privacy notice (mandatory):</w:t>
      </w:r>
    </w:p>
    <w:p>
      <w:pPr>
        <w:spacing w:after="0" w:before="0" w:line="240" w:lineRule="auto"/>
        <w:ind w:left="57"/>
        <w:jc w:val="left"/>
        <w:shd w:val="clear" w:fill="F2F2F2"/>
      </w:pPr>
      <w:r>
        <w:rPr>
          <w:rFonts w:ascii="Consolas" w:hAnsi="Consolas" w:cs="Consolas"/>
          <w:b w:val="0"/>
          <w:i w:val="0"/>
          <w:sz w:val="15"/>
        </w:rPr>
        <w:t>PRIVACY NOTICE — Accelerated Outreach</w:t>
      </w:r>
    </w:p>
    <w:p>
      <w:pPr>
        <w:spacing w:after="0" w:before="0" w:line="240" w:lineRule="auto"/>
        <w:ind w:left="57"/>
        <w:jc w:val="left"/>
        <w:shd w:val="clear" w:fill="F2F2F2"/>
      </w:pPr>
      <w:r>
        <w:rPr>
          <w:rFonts w:ascii="Consolas" w:hAnsi="Consolas" w:cs="Consolas"/>
          <w:b w:val="0"/>
          <w:i w:val="0"/>
          <w:sz w:val="15"/>
        </w:rPr>
        <w:t>You are about to initiate Accelerated Outreach for the distressed lot:</w:t>
      </w:r>
    </w:p>
    <w:p>
      <w:pPr>
        <w:spacing w:after="0" w:before="0" w:line="240" w:lineRule="auto"/>
        <w:ind w:left="57"/>
        <w:jc w:val="left"/>
        <w:shd w:val="clear" w:fill="F2F2F2"/>
      </w:pPr>
      <w:r>
        <w:rPr>
          <w:rFonts w:ascii="Consolas" w:hAnsi="Consolas" w:cs="Consolas"/>
          <w:b w:val="0"/>
          <w:i w:val="0"/>
          <w:sz w:val="15"/>
        </w:rPr>
        <w:t xml:space="preserve">  • Product: Lemons, 1,344 kg</w:t>
      </w:r>
    </w:p>
    <w:p>
      <w:pPr>
        <w:spacing w:after="0" w:before="0" w:line="240" w:lineRule="auto"/>
        <w:ind w:left="57"/>
        <w:jc w:val="left"/>
        <w:shd w:val="clear" w:fill="F2F2F2"/>
      </w:pPr>
      <w:r>
        <w:rPr>
          <w:rFonts w:ascii="Consolas" w:hAnsi="Consolas" w:cs="Consolas"/>
          <w:b w:val="0"/>
          <w:i w:val="0"/>
          <w:sz w:val="15"/>
        </w:rPr>
        <w:t xml:space="preserve">  • Condition score: 35/100</w:t>
      </w:r>
    </w:p>
    <w:p>
      <w:pPr>
        <w:spacing w:after="0" w:before="0" w:line="240" w:lineRule="auto"/>
        <w:ind w:left="57"/>
        <w:jc w:val="left"/>
        <w:shd w:val="clear" w:fill="F2F2F2"/>
      </w:pPr>
      <w:r>
        <w:rPr>
          <w:rFonts w:ascii="Consolas" w:hAnsi="Consolas" w:cs="Consolas"/>
          <w:b w:val="0"/>
          <w:i w:val="0"/>
          <w:sz w:val="15"/>
        </w:rPr>
        <w:t xml:space="preserve">  • Asking price: $900</w:t>
      </w:r>
    </w:p>
    <w:p>
      <w:pPr>
        <w:spacing w:after="0" w:before="0" w:line="240" w:lineRule="auto"/>
        <w:ind w:left="57"/>
        <w:jc w:val="left"/>
        <w:shd w:val="clear" w:fill="F2F2F2"/>
      </w:pPr>
      <w:r>
        <w:rPr>
          <w:rFonts w:ascii="Consolas" w:hAnsi="Consolas" w:cs="Consolas"/>
          <w:b w:val="0"/>
          <w:i w:val="0"/>
          <w:sz w:val="15"/>
        </w:rPr>
        <w:t>The following contacts will be notified simultaneously:</w:t>
      </w:r>
    </w:p>
    <w:p>
      <w:pPr>
        <w:spacing w:after="0" w:before="0" w:line="240" w:lineRule="auto"/>
        <w:ind w:left="57"/>
        <w:jc w:val="left"/>
        <w:shd w:val="clear" w:fill="F2F2F2"/>
      </w:pPr>
      <w:r>
        <w:rPr>
          <w:rFonts w:ascii="Consolas" w:hAnsi="Consolas" w:cs="Consolas"/>
          <w:b w:val="0"/>
          <w:i w:val="0"/>
          <w:sz w:val="15"/>
        </w:rPr>
        <w:t xml:space="preserve">  • Juice Factory Ltd.  • Cairo Processors  • Alexandria Trading</w:t>
      </w:r>
    </w:p>
    <w:p>
      <w:pPr>
        <w:spacing w:after="0" w:before="0" w:line="240" w:lineRule="auto"/>
        <w:ind w:left="57"/>
        <w:jc w:val="left"/>
        <w:shd w:val="clear" w:fill="F2F2F2"/>
      </w:pPr>
      <w:r>
        <w:rPr>
          <w:rFonts w:ascii="Consolas" w:hAnsi="Consolas" w:cs="Consolas"/>
          <w:b w:val="0"/>
          <w:i w:val="0"/>
          <w:sz w:val="15"/>
        </w:rPr>
        <w:t>Recipients will know your identity (Mekong Fresh Co.).</w:t>
      </w:r>
    </w:p>
    <w:p>
      <w:pPr>
        <w:spacing w:after="0" w:before="0" w:line="240" w:lineRule="auto"/>
        <w:ind w:left="57"/>
        <w:jc w:val="left"/>
        <w:shd w:val="clear" w:fill="F2F2F2"/>
      </w:pPr>
      <w:r>
        <w:rPr>
          <w:rFonts w:ascii="Consolas" w:hAnsi="Consolas" w:cs="Consolas"/>
          <w:b w:val="0"/>
          <w:i w:val="0"/>
          <w:sz w:val="15"/>
        </w:rPr>
        <w:t>[Yes, start outreach] [No, go back]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guarantee: from declaration to lock, approximately 6 clicks for the seller. Full distressed workflow specification is in Section 14 and 23.4.3.</w:t>
      </w:r>
    </w:p>
    <w:p>
      <w:pPr>
        <w:keepNext/>
        <w:spacing w:before="140" w:after="60"/>
        <w:outlineLvl w:val="3"/>
      </w:pPr>
      <w:r>
        <w:rPr>
          <w:rFonts w:ascii="Arial" w:hAnsi="Arial" w:cs="Arial"/>
          <w:b/>
          <w:i/>
          <w:color w:val="333333"/>
          <w:sz w:val="22"/>
        </w:rPr>
        <w:t>Tab 12: Disputes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respond to buyer disputes, participate in mediation, accept settlement proposals, or prepare arbitration. One-click guarantee: response (1), accept proposal (1).</w:t>
      </w:r>
    </w:p>
    <w:p>
      <w:pPr>
        <w:keepNext/>
        <w:spacing w:before="140" w:after="60"/>
        <w:outlineLvl w:val="3"/>
      </w:pPr>
      <w:r>
        <w:rPr>
          <w:rFonts w:ascii="Arial" w:hAnsi="Arial" w:cs="Arial"/>
          <w:b/>
          <w:i/>
          <w:color w:val="333333"/>
          <w:sz w:val="22"/>
        </w:rPr>
        <w:t>Tab 13: Saved Contacts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manage buyer profiles, view trust portraits, relationship health scores, and delivery performance dashboards. Non-marketplace: never displays "top rated" or "recommended" buyers — only existing or manually added contacts.</w:t>
      </w:r>
    </w:p>
    <w:p>
      <w:pPr>
        <w:keepNext/>
        <w:spacing w:before="140" w:after="60"/>
        <w:outlineLvl w:val="3"/>
      </w:pPr>
      <w:r>
        <w:rPr>
          <w:rFonts w:ascii="Arial" w:hAnsi="Arial" w:cs="Arial"/>
          <w:b/>
          <w:i/>
          <w:color w:val="333333"/>
          <w:sz w:val="22"/>
        </w:rPr>
        <w:t>Tab 14: Cash Position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90-day rolling forecast of expected incoming payments (trade principal) and outgoing fees (platform, logistics, financing); currency normalisation. Example:</w:t>
      </w:r>
    </w:p>
    <w:p>
      <w:pPr>
        <w:spacing w:after="0" w:before="0" w:line="240" w:lineRule="auto"/>
        <w:ind w:left="57"/>
        <w:jc w:val="left"/>
        <w:shd w:val="clear" w:fill="F2F2F2"/>
      </w:pPr>
      <w:r>
        <w:rPr>
          <w:rFonts w:ascii="Consolas" w:hAnsi="Consolas" w:cs="Consolas"/>
          <w:b w:val="0"/>
          <w:i w:val="0"/>
          <w:sz w:val="15"/>
        </w:rPr>
        <w:t>CASH POSITION — 90-Day Rolling Forecast</w:t>
      </w:r>
    </w:p>
    <w:p>
      <w:pPr>
        <w:spacing w:after="0" w:before="0" w:line="240" w:lineRule="auto"/>
        <w:ind w:left="57"/>
        <w:jc w:val="left"/>
        <w:shd w:val="clear" w:fill="F2F2F2"/>
      </w:pPr>
      <w:r>
        <w:rPr>
          <w:rFonts w:ascii="Consolas" w:hAnsi="Consolas" w:cs="Consolas"/>
          <w:b w:val="0"/>
          <w:i w:val="0"/>
          <w:sz w:val="15"/>
        </w:rPr>
        <w:t>Cash Flow (USD)</w:t>
      </w:r>
    </w:p>
    <w:p>
      <w:pPr>
        <w:spacing w:after="0" w:before="0" w:line="240" w:lineRule="auto"/>
        <w:ind w:left="57"/>
        <w:jc w:val="left"/>
        <w:shd w:val="clear" w:fill="F2F2F2"/>
      </w:pPr>
      <w:r>
        <w:rPr>
          <w:rFonts w:ascii="Consolas" w:hAnsi="Consolas" w:cs="Consolas"/>
          <w:b w:val="0"/>
          <w:i w:val="0"/>
          <w:sz w:val="15"/>
        </w:rPr>
        <w:t>50,000 |</w:t>
      </w:r>
    </w:p>
    <w:p>
      <w:pPr>
        <w:spacing w:after="0" w:before="0" w:line="240" w:lineRule="auto"/>
        <w:ind w:left="57"/>
        <w:jc w:val="left"/>
        <w:shd w:val="clear" w:fill="F2F2F2"/>
      </w:pPr>
      <w:r>
        <w:rPr>
          <w:rFonts w:ascii="Consolas" w:hAnsi="Consolas" w:cs="Consolas"/>
          <w:b w:val="0"/>
          <w:i w:val="0"/>
          <w:sz w:val="15"/>
        </w:rPr>
        <w:t>40,000 |</w:t>
      </w:r>
    </w:p>
    <w:p>
      <w:pPr>
        <w:spacing w:after="0" w:before="0" w:line="240" w:lineRule="auto"/>
        <w:ind w:left="57"/>
        <w:jc w:val="left"/>
        <w:shd w:val="clear" w:fill="F2F2F2"/>
      </w:pPr>
      <w:r>
        <w:rPr>
          <w:rFonts w:ascii="Consolas" w:hAnsi="Consolas" w:cs="Consolas"/>
          <w:b w:val="0"/>
          <w:i w:val="0"/>
          <w:sz w:val="15"/>
        </w:rPr>
        <w:t>30,000 |   ╭──╮</w:t>
      </w:r>
    </w:p>
    <w:p>
      <w:pPr>
        <w:spacing w:after="0" w:before="0" w:line="240" w:lineRule="auto"/>
        <w:ind w:left="57"/>
        <w:jc w:val="left"/>
        <w:shd w:val="clear" w:fill="F2F2F2"/>
      </w:pPr>
      <w:r>
        <w:rPr>
          <w:rFonts w:ascii="Consolas" w:hAnsi="Consolas" w:cs="Consolas"/>
          <w:b w:val="0"/>
          <w:i w:val="0"/>
          <w:sz w:val="15"/>
        </w:rPr>
        <w:t>20,000 | ──╯  ╰──╮            ╭──╮</w:t>
      </w:r>
    </w:p>
    <w:p>
      <w:pPr>
        <w:spacing w:after="0" w:before="0" w:line="240" w:lineRule="auto"/>
        <w:ind w:left="57"/>
        <w:jc w:val="left"/>
        <w:shd w:val="clear" w:fill="F2F2F2"/>
      </w:pPr>
      <w:r>
        <w:rPr>
          <w:rFonts w:ascii="Consolas" w:hAnsi="Consolas" w:cs="Consolas"/>
          <w:b w:val="0"/>
          <w:i w:val="0"/>
          <w:sz w:val="15"/>
        </w:rPr>
        <w:t>10,000 |          ╰──────────╯  ╰──</w:t>
      </w:r>
    </w:p>
    <w:p>
      <w:pPr>
        <w:spacing w:after="0" w:before="0" w:line="240" w:lineRule="auto"/>
        <w:ind w:left="57"/>
        <w:jc w:val="left"/>
        <w:shd w:val="clear" w:fill="F2F2F2"/>
      </w:pPr>
      <w:r>
        <w:rPr>
          <w:rFonts w:ascii="Consolas" w:hAnsi="Consolas" w:cs="Consolas"/>
          <w:b w:val="0"/>
          <w:i w:val="0"/>
          <w:sz w:val="15"/>
        </w:rPr>
        <w:t xml:space="preserve">      0 |________________________________</w:t>
      </w:r>
    </w:p>
    <w:p>
      <w:pPr>
        <w:spacing w:after="0" w:before="0" w:line="240" w:lineRule="auto"/>
        <w:ind w:left="57"/>
        <w:jc w:val="left"/>
        <w:shd w:val="clear" w:fill="F2F2F2"/>
      </w:pPr>
      <w:r>
        <w:rPr>
          <w:rFonts w:ascii="Consolas" w:hAnsi="Consolas" w:cs="Consolas"/>
          <w:b w:val="0"/>
          <w:i w:val="0"/>
          <w:sz w:val="15"/>
        </w:rPr>
        <w:t xml:space="preserve">        Week1 … Week5 … Week10</w:t>
      </w:r>
    </w:p>
    <w:p>
      <w:pPr>
        <w:spacing w:after="0" w:before="0" w:line="240" w:lineRule="auto"/>
        <w:ind w:left="57"/>
        <w:jc w:val="left"/>
        <w:shd w:val="clear" w:fill="F2F2F2"/>
      </w:pPr>
      <w:r>
        <w:rPr>
          <w:rFonts w:ascii="Consolas" w:hAnsi="Consolas" w:cs="Consolas"/>
          <w:b w:val="0"/>
          <w:i w:val="0"/>
          <w:sz w:val="15"/>
        </w:rPr>
        <w:t>Expected Inflows:  $45,200</w:t>
      </w:r>
    </w:p>
    <w:p>
      <w:pPr>
        <w:spacing w:after="0" w:before="0" w:line="240" w:lineRule="auto"/>
        <w:ind w:left="57"/>
        <w:jc w:val="left"/>
        <w:shd w:val="clear" w:fill="F2F2F2"/>
      </w:pPr>
      <w:r>
        <w:rPr>
          <w:rFonts w:ascii="Consolas" w:hAnsi="Consolas" w:cs="Consolas"/>
          <w:b w:val="0"/>
          <w:i w:val="0"/>
          <w:sz w:val="15"/>
        </w:rPr>
        <w:t>Expected Outflows: $12,300</w:t>
      </w:r>
    </w:p>
    <w:p>
      <w:pPr>
        <w:spacing w:after="0" w:before="0" w:line="240" w:lineRule="auto"/>
        <w:ind w:left="57"/>
        <w:jc w:val="left"/>
        <w:shd w:val="clear" w:fill="F2F2F2"/>
      </w:pPr>
      <w:r>
        <w:rPr>
          <w:rFonts w:ascii="Consolas" w:hAnsi="Consolas" w:cs="Consolas"/>
          <w:b w:val="0"/>
          <w:i w:val="0"/>
          <w:sz w:val="15"/>
        </w:rPr>
        <w:t>Net Cash Flow:     +$32,900</w:t>
      </w:r>
    </w:p>
    <w:p>
      <w:pPr>
        <w:spacing w:after="0" w:before="0" w:line="240" w:lineRule="auto"/>
        <w:ind w:left="57"/>
        <w:jc w:val="left"/>
        <w:shd w:val="clear" w:fill="F2F2F2"/>
      </w:pPr>
      <w:r>
        <w:rPr>
          <w:rFonts w:ascii="Consolas" w:hAnsi="Consolas" w:cs="Consolas"/>
          <w:b w:val="0"/>
          <w:i w:val="0"/>
          <w:sz w:val="15"/>
        </w:rPr>
        <w:t>AI Summary: "Your cash position is strong. You have $32,900 net inflow over the</w:t>
      </w:r>
    </w:p>
    <w:p>
      <w:pPr>
        <w:spacing w:after="0" w:before="0" w:line="240" w:lineRule="auto"/>
        <w:ind w:left="57"/>
        <w:jc w:val="left"/>
        <w:shd w:val="clear" w:fill="F2F2F2"/>
      </w:pPr>
      <w:r>
        <w:rPr>
          <w:rFonts w:ascii="Consolas" w:hAnsi="Consolas" w:cs="Consolas"/>
          <w:b w:val="0"/>
          <w:i w:val="0"/>
          <w:sz w:val="15"/>
        </w:rPr>
        <w:t>next 90 days. Consider investing surplus in short-term financing."</w:t>
      </w:r>
    </w:p>
    <w:p>
      <w:pPr>
        <w:spacing w:after="0" w:before="0" w:line="240" w:lineRule="auto"/>
        <w:ind w:left="57"/>
        <w:jc w:val="left"/>
        <w:shd w:val="clear" w:fill="F2F2F2"/>
      </w:pPr>
      <w:r>
        <w:rPr>
          <w:rFonts w:ascii="Consolas" w:hAnsi="Consolas" w:cs="Consolas"/>
          <w:b w:val="0"/>
          <w:i w:val="0"/>
          <w:sz w:val="15"/>
        </w:rPr>
        <w:t>[Export Ledger CSV] [View Details]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guarantee: export (1).</w:t>
      </w:r>
    </w:p>
    <w:p>
      <w:pPr>
        <w:keepNext/>
        <w:spacing w:before="140" w:after="60"/>
        <w:outlineLvl w:val="3"/>
      </w:pPr>
      <w:r>
        <w:rPr>
          <w:rFonts w:ascii="Arial" w:hAnsi="Arial" w:cs="Arial"/>
          <w:b/>
          <w:i/>
          <w:color w:val="333333"/>
          <w:sz w:val="22"/>
        </w:rPr>
        <w:t>Tab 15: Company Admin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tenant administration (employees, roles, data scopes including hidden cost components, approval chains, branding, exit centre). Sub-tabs are identical to the Buyer's, plus seller-specific options. Data scopes example:</w:t>
      </w:r>
    </w:p>
    <w:p>
      <w:pPr>
        <w:spacing w:after="0" w:before="0" w:line="240" w:lineRule="auto"/>
        <w:ind w:left="57"/>
        <w:jc w:val="left"/>
        <w:shd w:val="clear" w:fill="F2F2F2"/>
      </w:pPr>
      <w:r>
        <w:rPr>
          <w:rFonts w:ascii="Consolas" w:hAnsi="Consolas" w:cs="Consolas"/>
          <w:b w:val="0"/>
          <w:i w:val="0"/>
          <w:sz w:val="15"/>
        </w:rPr>
        <w:t>DATA SCOPES — Warehouse Operator Role</w:t>
      </w:r>
    </w:p>
    <w:p>
      <w:pPr>
        <w:spacing w:after="0" w:before="0" w:line="240" w:lineRule="auto"/>
        <w:ind w:left="57"/>
        <w:jc w:val="left"/>
        <w:shd w:val="clear" w:fill="F2F2F2"/>
      </w:pPr>
      <w:r>
        <w:rPr>
          <w:rFonts w:ascii="Consolas" w:hAnsi="Consolas" w:cs="Consolas"/>
          <w:b w:val="0"/>
          <w:i w:val="0"/>
          <w:sz w:val="15"/>
        </w:rPr>
        <w:t>Hidden Cost Components:</w:t>
      </w:r>
    </w:p>
    <w:p>
      <w:pPr>
        <w:spacing w:after="0" w:before="0" w:line="240" w:lineRule="auto"/>
        <w:ind w:left="57"/>
        <w:jc w:val="left"/>
        <w:shd w:val="clear" w:fill="F2F2F2"/>
      </w:pPr>
      <w:r>
        <w:rPr>
          <w:rFonts w:ascii="Consolas" w:hAnsi="Consolas" w:cs="Consolas"/>
          <w:b w:val="0"/>
          <w:i w:val="0"/>
          <w:sz w:val="15"/>
        </w:rPr>
        <w:t xml:space="preserve">  ☑ Freight costs   ☑ SGTX fee   ☑ Margin   ☑ Logistics provider costs</w:t>
      </w:r>
    </w:p>
    <w:p>
      <w:pPr>
        <w:spacing w:after="0" w:before="0" w:line="240" w:lineRule="auto"/>
        <w:ind w:left="57"/>
        <w:jc w:val="left"/>
        <w:shd w:val="clear" w:fill="F2F2F2"/>
      </w:pPr>
      <w:r>
        <w:rPr>
          <w:rFonts w:ascii="Consolas" w:hAnsi="Consolas" w:cs="Consolas"/>
          <w:b w:val="0"/>
          <w:i w:val="0"/>
          <w:sz w:val="15"/>
        </w:rPr>
        <w:t xml:space="preserve">  ☐ EXW price (visible)   ☐ Quantity (visible)</w:t>
      </w:r>
    </w:p>
    <w:p>
      <w:pPr>
        <w:spacing w:after="0" w:before="0" w:line="240" w:lineRule="auto"/>
        <w:ind w:left="57"/>
        <w:jc w:val="left"/>
        <w:shd w:val="clear" w:fill="F2F2F2"/>
      </w:pPr>
      <w:r>
        <w:rPr>
          <w:rFonts w:ascii="Consolas" w:hAnsi="Consolas" w:cs="Consolas"/>
          <w:b w:val="0"/>
          <w:i w:val="0"/>
          <w:sz w:val="15"/>
        </w:rPr>
        <w:t>Max Transaction Value: [$50,000]</w:t>
      </w:r>
    </w:p>
    <w:p>
      <w:pPr>
        <w:spacing w:after="0" w:before="0" w:line="240" w:lineRule="auto"/>
        <w:ind w:left="57"/>
        <w:jc w:val="left"/>
        <w:shd w:val="clear" w:fill="F2F2F2"/>
      </w:pPr>
      <w:r>
        <w:rPr>
          <w:rFonts w:ascii="Consolas" w:hAnsi="Consolas" w:cs="Consolas"/>
          <w:b w:val="0"/>
          <w:i w:val="0"/>
          <w:sz w:val="15"/>
        </w:rPr>
        <w:t>Country Access: [All ▼]      Commodity Access: [All ▼]</w:t>
      </w:r>
    </w:p>
    <w:p>
      <w:pPr>
        <w:spacing w:after="0" w:before="0" w:line="240" w:lineRule="auto"/>
        <w:ind w:left="57"/>
        <w:jc w:val="left"/>
        <w:shd w:val="clear" w:fill="F2F2F2"/>
      </w:pPr>
      <w:r>
        <w:rPr>
          <w:rFonts w:ascii="Consolas" w:hAnsi="Consolas" w:cs="Consolas"/>
          <w:b w:val="0"/>
          <w:i w:val="0"/>
          <w:sz w:val="15"/>
        </w:rPr>
        <w:t>[Save] [Reset to Defaults]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16.10.4 Smart Inbox Integration (Seller)</w:t>
      </w:r>
    </w:p>
    <w:p>
      <w:pPr>
        <w:spacing w:after="80" w:line="293" w:lineRule="auto"/>
        <w:jc w:val="left"/>
      </w:pPr>
      <w:r>
        <w:rPr>
          <w:rFonts w:ascii="Times New Roman" w:hAnsi="Times New Roman" w:cs="Times New Roman"/>
          <w:b w:val="0"/>
          <w:i w:val="0"/>
          <w:sz w:val="22"/>
        </w:rPr>
        <w:t>The Seller Smart Inbox surfaces: new buyer requests (priority 75), quote expiry timers, market price watch alerts, packing plan lock reminders, RFQ responses, QC report availability, distressed outreach responses and offers, payment confirmations, dispute notifications, and fee payment deadlines.</w:t>
      </w:r>
    </w:p>
    <w:p>
      <w:pPr>
        <w:keepNext/>
        <w:spacing w:before="180" w:after="80"/>
        <w:outlineLvl w:val="2"/>
      </w:pPr>
      <w:r>
        <w:rPr>
          <w:rFonts w:ascii="Arial" w:hAnsi="Arial" w:cs="Arial"/>
          <w:b/>
          <w:i w:val="0"/>
          <w:color w:val="333333"/>
          <w:sz w:val="23"/>
        </w:rPr>
        <w:t>16.10.5 One-Click Count Summary (Seller)</w:t>
      </w:r>
    </w:p>
    <w:p>
      <w:pPr>
        <w:spacing w:after="80" w:line="293" w:lineRule="auto"/>
        <w:jc w:val="left"/>
      </w:pPr>
      <w:r>
        <w:rPr>
          <w:rFonts w:ascii="Times New Roman" w:hAnsi="Times New Roman" w:cs="Times New Roman"/>
          <w:b w:val="0"/>
          <w:i w:val="0"/>
          <w:sz w:val="22"/>
        </w:rPr>
        <w:t>Accept request (1), lock EXW price (1), lock packing plan (1), send RFQ (1), select quote (1), submit quote (1), accept lab quote (1), accept QC suggestions (1), sign documents (1), print barcodes (1), declare distressed (1), accept assessment (1), start outreach (1), accept offer (1), pay distressed fee (1), dispute response (1).</w:t>
      </w:r>
    </w:p>
    <w:p>
      <w:pPr>
        <w:keepNext/>
        <w:spacing w:before="180" w:after="80"/>
        <w:outlineLvl w:val="2"/>
      </w:pPr>
      <w:r>
        <w:rPr>
          <w:rFonts w:ascii="Arial" w:hAnsi="Arial" w:cs="Arial"/>
          <w:b/>
          <w:i w:val="0"/>
          <w:color w:val="333333"/>
          <w:sz w:val="23"/>
        </w:rPr>
        <w:t>16.10.6 Integration with Other Parts</w:t>
      </w:r>
    </w:p>
    <w:p>
      <w:pPr>
        <w:spacing w:after="80" w:line="293" w:lineRule="auto"/>
        <w:ind w:left="283"/>
        <w:jc w:val="left"/>
      </w:pPr>
      <w:r>
        <w:rPr>
          <w:rFonts w:ascii="Times New Roman" w:hAnsi="Times New Roman" w:cs="Times New Roman"/>
          <w:b w:val="0"/>
          <w:i w:val="0"/>
          <w:sz w:val="22"/>
        </w:rPr>
        <w:t>- Pending Requests read trade requests created in the Buyer Dashboard (Section 6).</w:t>
      </w:r>
    </w:p>
    <w:p>
      <w:pPr>
        <w:spacing w:after="80" w:line="293" w:lineRule="auto"/>
        <w:ind w:left="283"/>
        <w:jc w:val="left"/>
      </w:pPr>
      <w:r>
        <w:rPr>
          <w:rFonts w:ascii="Times New Roman" w:hAnsi="Times New Roman" w:cs="Times New Roman"/>
          <w:b w:val="0"/>
          <w:i w:val="0"/>
          <w:sz w:val="22"/>
        </w:rPr>
        <w:t>- EXW Price Lock and market intelligence use the Trade Memory Layer and market data feeds</w:t>
      </w:r>
    </w:p>
    <w:p>
      <w:pPr>
        <w:spacing w:after="80" w:line="293" w:lineRule="auto"/>
        <w:jc w:val="left"/>
      </w:pPr>
      <w:r>
        <w:rPr>
          <w:rFonts w:ascii="Times New Roman" w:hAnsi="Times New Roman" w:cs="Times New Roman"/>
          <w:b w:val="0"/>
          <w:i w:val="0"/>
          <w:sz w:val="22"/>
        </w:rPr>
        <w:t>(Section 20).</w:t>
      </w:r>
    </w:p>
    <w:p>
      <w:pPr>
        <w:spacing w:after="80" w:line="293" w:lineRule="auto"/>
        <w:ind w:left="283"/>
        <w:jc w:val="left"/>
      </w:pPr>
      <w:r>
        <w:rPr>
          <w:rFonts w:ascii="Times New Roman" w:hAnsi="Times New Roman" w:cs="Times New Roman"/>
          <w:b w:val="0"/>
          <w:i w:val="0"/>
          <w:sz w:val="22"/>
        </w:rPr>
        <w:t>- Packing plan lock feeds barcode generation (23.3) and physical execution (Section 12).</w:t>
      </w:r>
    </w:p>
    <w:p>
      <w:pPr>
        <w:spacing w:after="80" w:line="293" w:lineRule="auto"/>
        <w:ind w:left="283"/>
        <w:jc w:val="left"/>
      </w:pPr>
      <w:r>
        <w:rPr>
          <w:rFonts w:ascii="Times New Roman" w:hAnsi="Times New Roman" w:cs="Times New Roman"/>
          <w:b w:val="0"/>
          <w:i w:val="0"/>
          <w:sz w:val="22"/>
        </w:rPr>
        <w:t>- Logistics Builder RFQs feed the LSP Portal (16.11) and SHIP Portal (16.12); Mode C maps to the</w:t>
      </w:r>
    </w:p>
    <w:p>
      <w:pPr>
        <w:spacing w:after="80" w:line="293" w:lineRule="auto"/>
        <w:jc w:val="left"/>
      </w:pPr>
      <w:r>
        <w:rPr>
          <w:rFonts w:ascii="Times New Roman" w:hAnsi="Times New Roman" w:cs="Times New Roman"/>
          <w:b w:val="0"/>
          <w:i w:val="0"/>
          <w:sz w:val="22"/>
        </w:rPr>
        <w:t>direct booking flow (Section 8).</w:t>
      </w:r>
    </w:p>
    <w:p>
      <w:pPr>
        <w:spacing w:after="80" w:line="293" w:lineRule="auto"/>
        <w:ind w:left="283"/>
        <w:jc w:val="left"/>
      </w:pPr>
      <w:r>
        <w:rPr>
          <w:rFonts w:ascii="Times New Roman" w:hAnsi="Times New Roman" w:cs="Times New Roman"/>
          <w:b w:val="0"/>
          <w:i w:val="0"/>
          <w:sz w:val="22"/>
        </w:rPr>
        <w:t>- Quote submission triggers buyer-side quote review (16.9) and Phase 3 contracting (Section 9).</w:t>
      </w:r>
    </w:p>
    <w:p>
      <w:pPr>
        <w:spacing w:after="80" w:line="293" w:lineRule="auto"/>
        <w:ind w:left="283"/>
        <w:jc w:val="left"/>
      </w:pPr>
      <w:r>
        <w:rPr>
          <w:rFonts w:ascii="Times New Roman" w:hAnsi="Times New Roman" w:cs="Times New Roman"/>
          <w:b w:val="0"/>
          <w:i w:val="0"/>
          <w:sz w:val="22"/>
        </w:rPr>
        <w:t>- Document finalisation auto-submits to ETA and Nafeza (Section 20).</w:t>
      </w:r>
    </w:p>
    <w:p>
      <w:pPr>
        <w:spacing w:after="80" w:line="293" w:lineRule="auto"/>
        <w:ind w:left="283"/>
        <w:jc w:val="left"/>
      </w:pPr>
      <w:r>
        <w:rPr>
          <w:rFonts w:ascii="Times New Roman" w:hAnsi="Times New Roman" w:cs="Times New Roman"/>
          <w:b w:val="0"/>
          <w:i w:val="0"/>
          <w:sz w:val="22"/>
        </w:rPr>
        <w:t>- Distressed declaration feeds the distressed workflow (Section 14 and 23.4.3).</w:t>
      </w:r>
    </w:p>
    <w:p>
      <w:pPr>
        <w:keepNext/>
        <w:spacing w:before="180" w:after="80"/>
        <w:outlineLvl w:val="2"/>
      </w:pPr>
      <w:r>
        <w:rPr>
          <w:rFonts w:ascii="Arial" w:hAnsi="Arial" w:cs="Arial"/>
          <w:b/>
          <w:i w:val="0"/>
          <w:color w:val="333333"/>
          <w:sz w:val="23"/>
        </w:rPr>
        <w:t>16.10.7 Implementation Checklist (Seller Dashboard)</w:t>
      </w:r>
    </w:p>
    <w:p>
      <w:pPr>
        <w:keepNext/>
        <w:spacing w:before="140" w:after="60"/>
        <w:outlineLvl w:val="3"/>
      </w:pPr>
      <w:r>
        <w:rPr>
          <w:rFonts w:ascii="Arial" w:hAnsi="Arial" w:cs="Arial"/>
          <w:b/>
          <w:i/>
          <w:color w:val="333333"/>
          <w:sz w:val="22"/>
        </w:rPr>
        <w:t>16.10.7.1 Universal Command Center</w:t>
      </w:r>
    </w:p>
    <w:p>
      <w:pPr>
        <w:spacing w:after="80" w:line="293" w:lineRule="auto"/>
        <w:jc w:val="left"/>
      </w:pPr>
      <w:r>
        <w:rPr>
          <w:rFonts w:ascii="Times New Roman" w:hAnsi="Times New Roman" w:cs="Times New Roman"/>
          <w:b w:val="0"/>
          <w:i w:val="0"/>
          <w:sz w:val="22"/>
        </w:rPr>
        <w:t>Build the Universal Command Center (16.13) with seller-specific cards (Open Quotes, Pending Shipments, Pending Approvals, Compliance Alerts, Outstanding Payments, Distressed Alerts). Add quick actions (Create Shipment, Lock EXW Price, Send RFQ, Print Barcodes, Declare Distressed, Invite Employee, Generate Report, Contact Support). Integrate the AI Operations Assistant (A1, Groq).</w:t>
      </w:r>
    </w:p>
    <w:p>
      <w:pPr>
        <w:keepNext/>
        <w:spacing w:before="140" w:after="60"/>
        <w:outlineLvl w:val="3"/>
      </w:pPr>
      <w:r>
        <w:rPr>
          <w:rFonts w:ascii="Arial" w:hAnsi="Arial" w:cs="Arial"/>
          <w:b/>
          <w:i/>
          <w:color w:val="333333"/>
          <w:sz w:val="22"/>
        </w:rPr>
        <w:t>16.10.7.2 Pending Requests</w:t>
      </w:r>
    </w:p>
    <w:p>
      <w:pPr>
        <w:spacing w:after="80" w:line="293" w:lineRule="auto"/>
        <w:ind w:left="283"/>
        <w:jc w:val="left"/>
      </w:pPr>
      <w:r>
        <w:rPr>
          <w:rFonts w:ascii="Times New Roman" w:hAnsi="Times New Roman" w:cs="Times New Roman"/>
          <w:b w:val="0"/>
          <w:i w:val="0"/>
          <w:sz w:val="22"/>
        </w:rPr>
        <w:t>- List with buyer name, commodity, volume, incoterm, match score.</w:t>
      </w:r>
    </w:p>
    <w:p>
      <w:pPr>
        <w:spacing w:after="80" w:line="293" w:lineRule="auto"/>
        <w:ind w:left="283"/>
        <w:jc w:val="left"/>
      </w:pPr>
      <w:r>
        <w:rPr>
          <w:rFonts w:ascii="Times New Roman" w:hAnsi="Times New Roman" w:cs="Times New Roman"/>
          <w:b w:val="0"/>
          <w:i w:val="0"/>
          <w:sz w:val="22"/>
        </w:rPr>
        <w:t>- Read-only view of the buyer's parsed specs.</w:t>
      </w:r>
    </w:p>
    <w:p>
      <w:pPr>
        <w:spacing w:after="80" w:line="293" w:lineRule="auto"/>
        <w:ind w:left="283"/>
        <w:jc w:val="left"/>
      </w:pPr>
      <w:r>
        <w:rPr>
          <w:rFonts w:ascii="Times New Roman" w:hAnsi="Times New Roman" w:cs="Times New Roman"/>
          <w:b w:val="0"/>
          <w:i w:val="0"/>
          <w:sz w:val="22"/>
        </w:rPr>
        <w:t>- Accept/decline with mandatory reason.</w:t>
      </w:r>
    </w:p>
    <w:p>
      <w:pPr>
        <w:spacing w:after="80" w:line="293" w:lineRule="auto"/>
        <w:ind w:left="283"/>
        <w:jc w:val="left"/>
      </w:pPr>
      <w:r>
        <w:rPr>
          <w:rFonts w:ascii="Times New Roman" w:hAnsi="Times New Roman" w:cs="Times New Roman"/>
          <w:b w:val="0"/>
          <w:i w:val="0"/>
          <w:sz w:val="22"/>
        </w:rPr>
        <w:t>- Propose modifications (delivery date, port, container count, commodities).</w:t>
      </w:r>
    </w:p>
    <w:p>
      <w:pPr>
        <w:spacing w:after="80" w:line="293" w:lineRule="auto"/>
        <w:ind w:left="283"/>
        <w:jc w:val="left"/>
      </w:pPr>
      <w:r>
        <w:rPr>
          <w:rFonts w:ascii="Times New Roman" w:hAnsi="Times New Roman" w:cs="Times New Roman"/>
          <w:b w:val="0"/>
          <w:i w:val="0"/>
          <w:sz w:val="22"/>
        </w:rPr>
        <w:t>- Multi-shipment schedule acceptance/modification.</w:t>
      </w:r>
    </w:p>
    <w:p>
      <w:pPr>
        <w:keepNext/>
        <w:spacing w:before="140" w:after="60"/>
        <w:outlineLvl w:val="3"/>
      </w:pPr>
      <w:r>
        <w:rPr>
          <w:rFonts w:ascii="Arial" w:hAnsi="Arial" w:cs="Arial"/>
          <w:b/>
          <w:i/>
          <w:color w:val="333333"/>
          <w:sz w:val="22"/>
        </w:rPr>
        <w:t>16.10.7.3 EXW Price Lock</w:t>
      </w:r>
    </w:p>
    <w:p>
      <w:pPr>
        <w:spacing w:after="80" w:line="293" w:lineRule="auto"/>
        <w:ind w:left="283"/>
        <w:jc w:val="left"/>
      </w:pPr>
      <w:r>
        <w:rPr>
          <w:rFonts w:ascii="Times New Roman" w:hAnsi="Times New Roman" w:cs="Times New Roman"/>
          <w:b w:val="0"/>
          <w:i w:val="0"/>
          <w:sz w:val="22"/>
        </w:rPr>
        <w:t>- Loading origin selection with geocoding.</w:t>
      </w:r>
    </w:p>
    <w:p>
      <w:pPr>
        <w:spacing w:after="80" w:line="293" w:lineRule="auto"/>
        <w:ind w:left="283"/>
        <w:jc w:val="left"/>
      </w:pPr>
      <w:r>
        <w:rPr>
          <w:rFonts w:ascii="Times New Roman" w:hAnsi="Times New Roman" w:cs="Times New Roman"/>
          <w:b w:val="0"/>
          <w:i w:val="0"/>
          <w:sz w:val="22"/>
        </w:rPr>
        <w:t>- Live market chart (FAO, USDA, World Bank).</w:t>
      </w:r>
    </w:p>
    <w:p>
      <w:pPr>
        <w:spacing w:after="80" w:line="293" w:lineRule="auto"/>
        <w:ind w:left="283"/>
        <w:jc w:val="left"/>
      </w:pPr>
      <w:r>
        <w:rPr>
          <w:rFonts w:ascii="Times New Roman" w:hAnsi="Times New Roman" w:cs="Times New Roman"/>
          <w:b w:val="0"/>
          <w:i w:val="0"/>
          <w:sz w:val="22"/>
        </w:rPr>
        <w:t>- AI fair price badge with "Use fair price" button.</w:t>
      </w:r>
    </w:p>
    <w:p>
      <w:pPr>
        <w:spacing w:after="80" w:line="293" w:lineRule="auto"/>
        <w:ind w:left="283"/>
        <w:jc w:val="left"/>
      </w:pPr>
      <w:r>
        <w:rPr>
          <w:rFonts w:ascii="Times New Roman" w:hAnsi="Times New Roman" w:cs="Times New Roman"/>
          <w:b w:val="0"/>
          <w:i w:val="0"/>
          <w:sz w:val="22"/>
        </w:rPr>
        <w:t>- Dynamic unit conversion (per ton / per kilo / per unit).</w:t>
      </w:r>
    </w:p>
    <w:p>
      <w:pPr>
        <w:spacing w:after="80" w:line="293" w:lineRule="auto"/>
        <w:ind w:left="283"/>
        <w:jc w:val="left"/>
      </w:pPr>
      <w:r>
        <w:rPr>
          <w:rFonts w:ascii="Times New Roman" w:hAnsi="Times New Roman" w:cs="Times New Roman"/>
          <w:b w:val="0"/>
          <w:i w:val="0"/>
          <w:sz w:val="22"/>
        </w:rPr>
        <w:t>- Global weight unit toggle (metric tons / pounds).</w:t>
      </w:r>
    </w:p>
    <w:p>
      <w:pPr>
        <w:spacing w:after="80" w:line="293" w:lineRule="auto"/>
        <w:ind w:left="283"/>
        <w:jc w:val="left"/>
      </w:pPr>
      <w:r>
        <w:rPr>
          <w:rFonts w:ascii="Times New Roman" w:hAnsi="Times New Roman" w:cs="Times New Roman"/>
          <w:b w:val="0"/>
          <w:i w:val="0"/>
          <w:sz w:val="22"/>
        </w:rPr>
        <w:t>- Total EXW value calculation (real-time).</w:t>
      </w:r>
    </w:p>
    <w:p>
      <w:pPr>
        <w:spacing w:after="80" w:line="293" w:lineRule="auto"/>
        <w:ind w:left="283"/>
        <w:jc w:val="left"/>
      </w:pPr>
      <w:r>
        <w:rPr>
          <w:rFonts w:ascii="Times New Roman" w:hAnsi="Times New Roman" w:cs="Times New Roman"/>
          <w:b w:val="0"/>
          <w:i w:val="0"/>
          <w:sz w:val="22"/>
        </w:rPr>
        <w:t>- Price deviation justification (&gt; 30% above AI band).</w:t>
      </w:r>
    </w:p>
    <w:p>
      <w:pPr>
        <w:spacing w:after="80" w:line="293" w:lineRule="auto"/>
        <w:ind w:left="283"/>
        <w:jc w:val="left"/>
      </w:pPr>
      <w:r>
        <w:rPr>
          <w:rFonts w:ascii="Times New Roman" w:hAnsi="Times New Roman" w:cs="Times New Roman"/>
          <w:b w:val="0"/>
          <w:i w:val="0"/>
          <w:sz w:val="22"/>
        </w:rPr>
        <w:t>- Post-lock price watch (NATS subscription, &gt; 10% move alert).</w:t>
      </w:r>
    </w:p>
    <w:p>
      <w:pPr>
        <w:spacing w:after="80" w:line="293" w:lineRule="auto"/>
        <w:ind w:left="283"/>
        <w:jc w:val="left"/>
      </w:pPr>
      <w:r>
        <w:rPr>
          <w:rFonts w:ascii="Times New Roman" w:hAnsi="Times New Roman" w:cs="Times New Roman"/>
          <w:b w:val="0"/>
          <w:i w:val="0"/>
          <w:sz w:val="22"/>
        </w:rPr>
        <w:t>- Five add-ons: volume-tiered pricing, dynamic currency conversion, historical price comparison,</w:t>
      </w:r>
    </w:p>
    <w:p>
      <w:pPr>
        <w:spacing w:after="80" w:line="293" w:lineRule="auto"/>
        <w:jc w:val="left"/>
      </w:pPr>
      <w:r>
        <w:rPr>
          <w:rFonts w:ascii="Times New Roman" w:hAnsi="Times New Roman" w:cs="Times New Roman"/>
          <w:b w:val="0"/>
          <w:i w:val="0"/>
          <w:sz w:val="22"/>
        </w:rPr>
        <w:t>lock &amp; hold, admin-controlled floor/ceiling.</w:t>
      </w:r>
    </w:p>
    <w:p>
      <w:pPr>
        <w:keepNext/>
        <w:spacing w:before="140" w:after="60"/>
        <w:outlineLvl w:val="3"/>
      </w:pPr>
      <w:r>
        <w:rPr>
          <w:rFonts w:ascii="Arial" w:hAnsi="Arial" w:cs="Arial"/>
          <w:b/>
          <w:i/>
          <w:color w:val="333333"/>
          <w:sz w:val="22"/>
        </w:rPr>
        <w:t>16.10.7.4 Containerisation &amp; Packing</w:t>
      </w:r>
    </w:p>
    <w:p>
      <w:pPr>
        <w:spacing w:after="80" w:line="293" w:lineRule="auto"/>
        <w:ind w:left="283"/>
        <w:jc w:val="left"/>
      </w:pPr>
      <w:r>
        <w:rPr>
          <w:rFonts w:ascii="Times New Roman" w:hAnsi="Times New Roman" w:cs="Times New Roman"/>
          <w:b w:val="0"/>
          <w:i w:val="0"/>
          <w:sz w:val="22"/>
        </w:rPr>
        <w:t>- Weight calculation engine (total cartons, net, gross).</w:t>
      </w:r>
    </w:p>
    <w:p>
      <w:pPr>
        <w:spacing w:after="80" w:line="293" w:lineRule="auto"/>
        <w:ind w:left="283"/>
        <w:jc w:val="left"/>
      </w:pPr>
      <w:r>
        <w:rPr>
          <w:rFonts w:ascii="Times New Roman" w:hAnsi="Times New Roman" w:cs="Times New Roman"/>
          <w:b w:val="0"/>
          <w:i w:val="0"/>
          <w:sz w:val="22"/>
        </w:rPr>
        <w:t>- ORTools palletisation solver.</w:t>
      </w:r>
    </w:p>
    <w:p>
      <w:pPr>
        <w:spacing w:after="80" w:line="293" w:lineRule="auto"/>
        <w:ind w:left="283"/>
        <w:jc w:val="left"/>
      </w:pPr>
      <w:r>
        <w:rPr>
          <w:rFonts w:ascii="Times New Roman" w:hAnsi="Times New Roman" w:cs="Times New Roman"/>
          <w:b w:val="0"/>
          <w:i w:val="0"/>
          <w:sz w:val="22"/>
        </w:rPr>
        <w:t>- Non-uniform layer stacking (multiple layer patterns per pallet).</w:t>
      </w:r>
    </w:p>
    <w:p>
      <w:pPr>
        <w:spacing w:after="80" w:line="293" w:lineRule="auto"/>
        <w:ind w:left="283"/>
        <w:jc w:val="left"/>
      </w:pPr>
      <w:r>
        <w:rPr>
          <w:rFonts w:ascii="Times New Roman" w:hAnsi="Times New Roman" w:cs="Times New Roman"/>
          <w:b w:val="0"/>
          <w:i w:val="0"/>
          <w:sz w:val="22"/>
        </w:rPr>
        <w:t>- Collaborative editing (Yjs + WebRTC).</w:t>
      </w:r>
    </w:p>
    <w:p>
      <w:pPr>
        <w:spacing w:after="80" w:line="293" w:lineRule="auto"/>
        <w:ind w:left="283"/>
        <w:jc w:val="left"/>
      </w:pPr>
      <w:r>
        <w:rPr>
          <w:rFonts w:ascii="Times New Roman" w:hAnsi="Times New Roman" w:cs="Times New Roman"/>
          <w:b w:val="0"/>
          <w:i w:val="0"/>
          <w:sz w:val="22"/>
        </w:rPr>
        <w:t>- 3D container viewer (Three.js).</w:t>
      </w:r>
    </w:p>
    <w:p>
      <w:pPr>
        <w:spacing w:after="80" w:line="293" w:lineRule="auto"/>
        <w:ind w:left="283"/>
        <w:jc w:val="left"/>
      </w:pPr>
      <w:r>
        <w:rPr>
          <w:rFonts w:ascii="Times New Roman" w:hAnsi="Times New Roman" w:cs="Times New Roman"/>
          <w:b w:val="0"/>
          <w:i w:val="0"/>
          <w:sz w:val="22"/>
        </w:rPr>
        <w:t>- Capacity heatmap (opt-in, differential privacy).</w:t>
      </w:r>
    </w:p>
    <w:p>
      <w:pPr>
        <w:spacing w:after="80" w:line="293" w:lineRule="auto"/>
        <w:ind w:left="283"/>
        <w:jc w:val="left"/>
      </w:pPr>
      <w:r>
        <w:rPr>
          <w:rFonts w:ascii="Times New Roman" w:hAnsi="Times New Roman" w:cs="Times New Roman"/>
          <w:b w:val="0"/>
          <w:i w:val="0"/>
          <w:sz w:val="22"/>
        </w:rPr>
        <w:t>- Ecological packaging advisor (A1, Groq).</w:t>
      </w:r>
    </w:p>
    <w:p>
      <w:pPr>
        <w:spacing w:after="80" w:line="293" w:lineRule="auto"/>
        <w:ind w:left="283"/>
        <w:jc w:val="left"/>
      </w:pPr>
      <w:r>
        <w:rPr>
          <w:rFonts w:ascii="Times New Roman" w:hAnsi="Times New Roman" w:cs="Times New Roman"/>
          <w:b w:val="0"/>
          <w:i w:val="0"/>
          <w:sz w:val="22"/>
        </w:rPr>
        <w:t>- Carbon footprint calculation (ISO 14067, CBAM-ready).</w:t>
      </w:r>
    </w:p>
    <w:p>
      <w:pPr>
        <w:spacing w:after="80" w:line="293" w:lineRule="auto"/>
        <w:ind w:left="283"/>
        <w:jc w:val="left"/>
      </w:pPr>
      <w:r>
        <w:rPr>
          <w:rFonts w:ascii="Times New Roman" w:hAnsi="Times New Roman" w:cs="Times New Roman"/>
          <w:b w:val="0"/>
          <w:i w:val="0"/>
          <w:sz w:val="22"/>
        </w:rPr>
        <w:t>- Lock packing plan with Governor validation.</w:t>
      </w:r>
    </w:p>
    <w:p>
      <w:pPr>
        <w:keepNext/>
        <w:spacing w:before="140" w:after="60"/>
        <w:outlineLvl w:val="3"/>
      </w:pPr>
      <w:r>
        <w:rPr>
          <w:rFonts w:ascii="Arial" w:hAnsi="Arial" w:cs="Arial"/>
          <w:b/>
          <w:i/>
          <w:color w:val="333333"/>
          <w:sz w:val="22"/>
        </w:rPr>
        <w:t>16.10.7.5 Logistics Builder</w:t>
      </w:r>
    </w:p>
    <w:p>
      <w:pPr>
        <w:spacing w:after="80" w:line="293" w:lineRule="auto"/>
        <w:ind w:left="283"/>
        <w:jc w:val="left"/>
      </w:pPr>
      <w:r>
        <w:rPr>
          <w:rFonts w:ascii="Times New Roman" w:hAnsi="Times New Roman" w:cs="Times New Roman"/>
          <w:b w:val="0"/>
          <w:i w:val="0"/>
          <w:sz w:val="22"/>
        </w:rPr>
        <w:t>- Mode A — manual entry with incoterm-based filtering.</w:t>
      </w:r>
    </w:p>
    <w:p>
      <w:pPr>
        <w:spacing w:after="80" w:line="293" w:lineRule="auto"/>
        <w:ind w:left="283"/>
        <w:jc w:val="left"/>
      </w:pPr>
      <w:r>
        <w:rPr>
          <w:rFonts w:ascii="Times New Roman" w:hAnsi="Times New Roman" w:cs="Times New Roman"/>
          <w:b w:val="0"/>
          <w:i w:val="0"/>
          <w:sz w:val="22"/>
        </w:rPr>
        <w:t>- Mode B — RFQ to LSPs with clarification requests (structured Q&amp;A).</w:t>
      </w:r>
    </w:p>
    <w:p>
      <w:pPr>
        <w:spacing w:after="80" w:line="293" w:lineRule="auto"/>
        <w:ind w:left="283"/>
        <w:jc w:val="left"/>
      </w:pPr>
      <w:r>
        <w:rPr>
          <w:rFonts w:ascii="Times New Roman" w:hAnsi="Times New Roman" w:cs="Times New Roman"/>
          <w:b w:val="0"/>
          <w:i w:val="0"/>
          <w:sz w:val="22"/>
        </w:rPr>
        <w:t>- Mode C — direct to SHIP with add-on services.</w:t>
      </w:r>
    </w:p>
    <w:p>
      <w:pPr>
        <w:spacing w:after="80" w:line="293" w:lineRule="auto"/>
        <w:ind w:left="283"/>
        <w:jc w:val="left"/>
      </w:pPr>
      <w:r>
        <w:rPr>
          <w:rFonts w:ascii="Times New Roman" w:hAnsi="Times New Roman" w:cs="Times New Roman"/>
          <w:b w:val="0"/>
          <w:i w:val="0"/>
          <w:sz w:val="22"/>
        </w:rPr>
        <w:t>- Combined mode selection and comparison panel.</w:t>
      </w:r>
    </w:p>
    <w:p>
      <w:pPr>
        <w:spacing w:after="80" w:line="293" w:lineRule="auto"/>
        <w:ind w:left="283"/>
        <w:jc w:val="left"/>
      </w:pPr>
      <w:r>
        <w:rPr>
          <w:rFonts w:ascii="Times New Roman" w:hAnsi="Times New Roman" w:cs="Times New Roman"/>
          <w:b w:val="0"/>
          <w:i w:val="0"/>
          <w:sz w:val="22"/>
        </w:rPr>
        <w:t>- Alternative delivery ports with AI suggestions.</w:t>
      </w:r>
    </w:p>
    <w:p>
      <w:pPr>
        <w:keepNext/>
        <w:spacing w:before="140" w:after="60"/>
        <w:outlineLvl w:val="3"/>
      </w:pPr>
      <w:r>
        <w:rPr>
          <w:rFonts w:ascii="Arial" w:hAnsi="Arial" w:cs="Arial"/>
          <w:b/>
          <w:i/>
          <w:color w:val="333333"/>
          <w:sz w:val="22"/>
        </w:rPr>
        <w:t>16.10.7.6 Quote Submission</w:t>
      </w:r>
    </w:p>
    <w:p>
      <w:pPr>
        <w:spacing w:after="80" w:line="293" w:lineRule="auto"/>
        <w:ind w:left="283"/>
        <w:jc w:val="left"/>
      </w:pPr>
      <w:r>
        <w:rPr>
          <w:rFonts w:ascii="Times New Roman" w:hAnsi="Times New Roman" w:cs="Times New Roman"/>
          <w:b w:val="0"/>
          <w:i w:val="0"/>
          <w:sz w:val="22"/>
        </w:rPr>
        <w:t>- Price breakdown display (EXW + logistics + SGTX fee).</w:t>
      </w:r>
    </w:p>
    <w:p>
      <w:pPr>
        <w:spacing w:after="80" w:line="293" w:lineRule="auto"/>
        <w:ind w:left="283"/>
        <w:jc w:val="left"/>
      </w:pPr>
      <w:r>
        <w:rPr>
          <w:rFonts w:ascii="Times New Roman" w:hAnsi="Times New Roman" w:cs="Times New Roman"/>
          <w:b w:val="0"/>
          <w:i w:val="0"/>
          <w:sz w:val="22"/>
        </w:rPr>
        <w:t>- Multi-shipment per-shipment pricing.</w:t>
      </w:r>
    </w:p>
    <w:p>
      <w:pPr>
        <w:spacing w:after="80" w:line="293" w:lineRule="auto"/>
        <w:ind w:left="283"/>
        <w:jc w:val="left"/>
      </w:pPr>
      <w:r>
        <w:rPr>
          <w:rFonts w:ascii="Times New Roman" w:hAnsi="Times New Roman" w:cs="Times New Roman"/>
          <w:b w:val="0"/>
          <w:i w:val="0"/>
          <w:sz w:val="22"/>
        </w:rPr>
        <w:t>- Governor validation (all mandatory conditions).</w:t>
      </w:r>
    </w:p>
    <w:p>
      <w:pPr>
        <w:spacing w:after="80" w:line="293" w:lineRule="auto"/>
        <w:ind w:left="283"/>
        <w:jc w:val="left"/>
      </w:pPr>
      <w:r>
        <w:rPr>
          <w:rFonts w:ascii="Times New Roman" w:hAnsi="Times New Roman" w:cs="Times New Roman"/>
          <w:b w:val="0"/>
          <w:i w:val="0"/>
          <w:sz w:val="22"/>
        </w:rPr>
        <w:t>- Submit quote with Decision Panel on failure.</w:t>
      </w:r>
    </w:p>
    <w:p>
      <w:pPr>
        <w:keepNext/>
        <w:spacing w:before="140" w:after="60"/>
        <w:outlineLvl w:val="3"/>
      </w:pPr>
      <w:r>
        <w:rPr>
          <w:rFonts w:ascii="Arial" w:hAnsi="Arial" w:cs="Arial"/>
          <w:b/>
          <w:i/>
          <w:color w:val="333333"/>
          <w:sz w:val="22"/>
        </w:rPr>
        <w:t>16.10.7.7 Laboratory Selection</w:t>
      </w:r>
    </w:p>
    <w:p>
      <w:pPr>
        <w:spacing w:after="80" w:line="293" w:lineRule="auto"/>
        <w:ind w:left="283"/>
        <w:jc w:val="left"/>
      </w:pPr>
      <w:r>
        <w:rPr>
          <w:rFonts w:ascii="Times New Roman" w:hAnsi="Times New Roman" w:cs="Times New Roman"/>
          <w:b w:val="0"/>
          <w:i w:val="0"/>
          <w:sz w:val="22"/>
        </w:rPr>
        <w:t>- Lab list from saved contacts.</w:t>
      </w:r>
    </w:p>
    <w:p>
      <w:pPr>
        <w:spacing w:after="80" w:line="293" w:lineRule="auto"/>
        <w:ind w:left="283"/>
        <w:jc w:val="left"/>
      </w:pPr>
      <w:r>
        <w:rPr>
          <w:rFonts w:ascii="Times New Roman" w:hAnsi="Times New Roman" w:cs="Times New Roman"/>
          <w:b w:val="0"/>
          <w:i w:val="0"/>
          <w:sz w:val="22"/>
        </w:rPr>
        <w:t>- Quotation acceptance.</w:t>
      </w:r>
    </w:p>
    <w:p>
      <w:pPr>
        <w:spacing w:after="80" w:line="293" w:lineRule="auto"/>
        <w:ind w:left="283"/>
        <w:jc w:val="left"/>
      </w:pPr>
      <w:r>
        <w:rPr>
          <w:rFonts w:ascii="Times New Roman" w:hAnsi="Times New Roman" w:cs="Times New Roman"/>
          <w:b w:val="0"/>
          <w:i w:val="0"/>
          <w:sz w:val="22"/>
        </w:rPr>
        <w:t>- Results viewing with MRL validation (A2).</w:t>
      </w:r>
    </w:p>
    <w:p>
      <w:pPr>
        <w:spacing w:after="80" w:line="293" w:lineRule="auto"/>
        <w:ind w:left="283"/>
        <w:jc w:val="left"/>
      </w:pPr>
      <w:r>
        <w:rPr>
          <w:rFonts w:ascii="Times New Roman" w:hAnsi="Times New Roman" w:cs="Times New Roman"/>
          <w:b w:val="0"/>
          <w:i w:val="0"/>
          <w:sz w:val="22"/>
        </w:rPr>
        <w:t>- Certificate trigger (A4).</w:t>
      </w:r>
    </w:p>
    <w:p>
      <w:pPr>
        <w:keepNext/>
        <w:spacing w:before="140" w:after="60"/>
        <w:outlineLvl w:val="3"/>
      </w:pPr>
      <w:r>
        <w:rPr>
          <w:rFonts w:ascii="Arial" w:hAnsi="Arial" w:cs="Arial"/>
          <w:b/>
          <w:i/>
          <w:color w:val="333333"/>
          <w:sz w:val="22"/>
        </w:rPr>
        <w:t>16.10.7.8 QC Booking</w:t>
      </w:r>
    </w:p>
    <w:p>
      <w:pPr>
        <w:spacing w:after="80" w:line="293" w:lineRule="auto"/>
        <w:ind w:left="283"/>
        <w:jc w:val="left"/>
      </w:pPr>
      <w:r>
        <w:rPr>
          <w:rFonts w:ascii="Times New Roman" w:hAnsi="Times New Roman" w:cs="Times New Roman"/>
          <w:b w:val="0"/>
          <w:i w:val="0"/>
          <w:sz w:val="22"/>
        </w:rPr>
        <w:t>- QC provider list from saved contacts.</w:t>
      </w:r>
    </w:p>
    <w:p>
      <w:pPr>
        <w:spacing w:after="80" w:line="293" w:lineRule="auto"/>
        <w:ind w:left="283"/>
        <w:jc w:val="left"/>
      </w:pPr>
      <w:r>
        <w:rPr>
          <w:rFonts w:ascii="Times New Roman" w:hAnsi="Times New Roman" w:cs="Times New Roman"/>
          <w:b w:val="0"/>
          <w:i w:val="0"/>
          <w:sz w:val="22"/>
        </w:rPr>
        <w:t>- AI-recommended inspection points (A2).</w:t>
      </w:r>
    </w:p>
    <w:p>
      <w:pPr>
        <w:spacing w:after="80" w:line="293" w:lineRule="auto"/>
        <w:ind w:left="283"/>
        <w:jc w:val="left"/>
      </w:pPr>
      <w:r>
        <w:rPr>
          <w:rFonts w:ascii="Times New Roman" w:hAnsi="Times New Roman" w:cs="Times New Roman"/>
          <w:b w:val="0"/>
          <w:i w:val="0"/>
          <w:sz w:val="22"/>
        </w:rPr>
        <w:t>- Quotation acceptance.</w:t>
      </w:r>
    </w:p>
    <w:p>
      <w:pPr>
        <w:spacing w:after="80" w:line="293" w:lineRule="auto"/>
        <w:ind w:left="283"/>
        <w:jc w:val="left"/>
      </w:pPr>
      <w:r>
        <w:rPr>
          <w:rFonts w:ascii="Times New Roman" w:hAnsi="Times New Roman" w:cs="Times New Roman"/>
          <w:b w:val="0"/>
          <w:i w:val="0"/>
          <w:sz w:val="22"/>
        </w:rPr>
        <w:t>- Report viewing (PASS/FAIL/CONDITIONAL).</w:t>
      </w:r>
    </w:p>
    <w:p>
      <w:pPr>
        <w:spacing w:after="80" w:line="293" w:lineRule="auto"/>
        <w:ind w:left="283"/>
        <w:jc w:val="left"/>
      </w:pPr>
      <w:r>
        <w:rPr>
          <w:rFonts w:ascii="Times New Roman" w:hAnsi="Times New Roman" w:cs="Times New Roman"/>
          <w:b w:val="0"/>
          <w:i w:val="0"/>
          <w:sz w:val="22"/>
        </w:rPr>
        <w:t>- Conditional pass action plan.</w:t>
      </w:r>
    </w:p>
    <w:p>
      <w:pPr>
        <w:spacing w:after="80" w:line="293" w:lineRule="auto"/>
        <w:ind w:left="283"/>
        <w:jc w:val="left"/>
      </w:pPr>
      <w:r>
        <w:rPr>
          <w:rFonts w:ascii="Times New Roman" w:hAnsi="Times New Roman" w:cs="Times New Roman"/>
          <w:b w:val="0"/>
          <w:i w:val="0"/>
          <w:sz w:val="22"/>
        </w:rPr>
        <w:t>- Re-inspection request.</w:t>
      </w:r>
    </w:p>
    <w:p>
      <w:pPr>
        <w:keepNext/>
        <w:spacing w:before="140" w:after="60"/>
        <w:outlineLvl w:val="3"/>
      </w:pPr>
      <w:r>
        <w:rPr>
          <w:rFonts w:ascii="Arial" w:hAnsi="Arial" w:cs="Arial"/>
          <w:b/>
          <w:i/>
          <w:color w:val="333333"/>
          <w:sz w:val="22"/>
        </w:rPr>
        <w:t>16.10.7.9 Document Finalisation</w:t>
      </w:r>
    </w:p>
    <w:p>
      <w:pPr>
        <w:spacing w:after="80" w:line="293" w:lineRule="auto"/>
        <w:ind w:left="283"/>
        <w:jc w:val="left"/>
      </w:pPr>
      <w:r>
        <w:rPr>
          <w:rFonts w:ascii="Times New Roman" w:hAnsi="Times New Roman" w:cs="Times New Roman"/>
          <w:b w:val="0"/>
          <w:i w:val="0"/>
          <w:sz w:val="22"/>
        </w:rPr>
        <w:t>- Packing list PDF generation.</w:t>
      </w:r>
    </w:p>
    <w:p>
      <w:pPr>
        <w:spacing w:after="80" w:line="293" w:lineRule="auto"/>
        <w:ind w:left="283"/>
        <w:jc w:val="left"/>
      </w:pPr>
      <w:r>
        <w:rPr>
          <w:rFonts w:ascii="Times New Roman" w:hAnsi="Times New Roman" w:cs="Times New Roman"/>
          <w:b w:val="0"/>
          <w:i w:val="0"/>
          <w:sz w:val="22"/>
        </w:rPr>
        <w:t>- Commercial invoice XML/PDF generation (UBL 2.1, ETA-compliant).</w:t>
      </w:r>
    </w:p>
    <w:p>
      <w:pPr>
        <w:spacing w:after="80" w:line="293" w:lineRule="auto"/>
        <w:ind w:left="283"/>
        <w:jc w:val="left"/>
      </w:pPr>
      <w:r>
        <w:rPr>
          <w:rFonts w:ascii="Times New Roman" w:hAnsi="Times New Roman" w:cs="Times New Roman"/>
          <w:b w:val="0"/>
          <w:i w:val="0"/>
          <w:sz w:val="22"/>
        </w:rPr>
        <w:t>- Digital signature (ZITADEL passkey).</w:t>
      </w:r>
    </w:p>
    <w:p>
      <w:pPr>
        <w:spacing w:after="80" w:line="293" w:lineRule="auto"/>
        <w:ind w:left="283"/>
        <w:jc w:val="left"/>
      </w:pPr>
      <w:r>
        <w:rPr>
          <w:rFonts w:ascii="Times New Roman" w:hAnsi="Times New Roman" w:cs="Times New Roman"/>
          <w:b w:val="0"/>
          <w:i w:val="0"/>
          <w:sz w:val="22"/>
        </w:rPr>
        <w:t>- Auto-submission to ETA and Nafeza.</w:t>
      </w:r>
    </w:p>
    <w:p>
      <w:pPr>
        <w:keepNext/>
        <w:spacing w:before="140" w:after="60"/>
        <w:outlineLvl w:val="3"/>
      </w:pPr>
      <w:r>
        <w:rPr>
          <w:rFonts w:ascii="Arial" w:hAnsi="Arial" w:cs="Arial"/>
          <w:b/>
          <w:i/>
          <w:color w:val="333333"/>
          <w:sz w:val="22"/>
        </w:rPr>
        <w:t>16.10.7.10 Barcode Print</w:t>
      </w:r>
    </w:p>
    <w:p>
      <w:pPr>
        <w:spacing w:after="80" w:line="293" w:lineRule="auto"/>
        <w:ind w:left="283"/>
        <w:jc w:val="left"/>
      </w:pPr>
      <w:r>
        <w:rPr>
          <w:rFonts w:ascii="Times New Roman" w:hAnsi="Times New Roman" w:cs="Times New Roman"/>
          <w:b w:val="0"/>
          <w:i w:val="0"/>
          <w:sz w:val="22"/>
        </w:rPr>
        <w:t>- Label templates (Standard, Customs-Ready, Consignee).</w:t>
      </w:r>
    </w:p>
    <w:p>
      <w:pPr>
        <w:spacing w:after="80" w:line="293" w:lineRule="auto"/>
        <w:ind w:left="283"/>
        <w:jc w:val="left"/>
      </w:pPr>
      <w:r>
        <w:rPr>
          <w:rFonts w:ascii="Times New Roman" w:hAnsi="Times New Roman" w:cs="Times New Roman"/>
          <w:b w:val="0"/>
          <w:i w:val="0"/>
          <w:sz w:val="22"/>
        </w:rPr>
        <w:t>- ZPL generation (direct TCP/IP).</w:t>
      </w:r>
    </w:p>
    <w:p>
      <w:pPr>
        <w:spacing w:after="80" w:line="293" w:lineRule="auto"/>
        <w:ind w:left="283"/>
        <w:jc w:val="left"/>
      </w:pPr>
      <w:r>
        <w:rPr>
          <w:rFonts w:ascii="Times New Roman" w:hAnsi="Times New Roman" w:cs="Times New Roman"/>
          <w:b w:val="0"/>
          <w:i w:val="0"/>
          <w:sz w:val="22"/>
        </w:rPr>
        <w:t>- PDF generation (A4 label sheets).</w:t>
      </w:r>
    </w:p>
    <w:p>
      <w:pPr>
        <w:spacing w:after="80" w:line="293" w:lineRule="auto"/>
        <w:ind w:left="283"/>
        <w:jc w:val="left"/>
      </w:pPr>
      <w:r>
        <w:rPr>
          <w:rFonts w:ascii="Times New Roman" w:hAnsi="Times New Roman" w:cs="Times New Roman"/>
          <w:b w:val="0"/>
          <w:i w:val="0"/>
          <w:sz w:val="22"/>
        </w:rPr>
        <w:t>- Reprint request (post-loading) with Governor decision.</w:t>
      </w:r>
    </w:p>
    <w:p>
      <w:pPr>
        <w:keepNext/>
        <w:spacing w:before="140" w:after="60"/>
        <w:outlineLvl w:val="3"/>
      </w:pPr>
      <w:r>
        <w:rPr>
          <w:rFonts w:ascii="Arial" w:hAnsi="Arial" w:cs="Arial"/>
          <w:b/>
          <w:i/>
          <w:color w:val="333333"/>
          <w:sz w:val="22"/>
        </w:rPr>
        <w:t>16.10.7.11 Distressed Cargo &amp; Notifications</w:t>
      </w:r>
    </w:p>
    <w:p>
      <w:pPr>
        <w:spacing w:after="80" w:line="293" w:lineRule="auto"/>
        <w:ind w:left="283"/>
        <w:jc w:val="left"/>
      </w:pPr>
      <w:r>
        <w:rPr>
          <w:rFonts w:ascii="Times New Roman" w:hAnsi="Times New Roman" w:cs="Times New Roman"/>
          <w:b w:val="0"/>
          <w:i w:val="0"/>
          <w:sz w:val="22"/>
        </w:rPr>
        <w:t>- Declaration with photo upload.</w:t>
      </w:r>
    </w:p>
    <w:p>
      <w:pPr>
        <w:spacing w:after="80" w:line="293" w:lineRule="auto"/>
        <w:ind w:left="283"/>
        <w:jc w:val="left"/>
      </w:pPr>
      <w:r>
        <w:rPr>
          <w:rFonts w:ascii="Times New Roman" w:hAnsi="Times New Roman" w:cs="Times New Roman"/>
          <w:b w:val="0"/>
          <w:i w:val="0"/>
          <w:sz w:val="22"/>
        </w:rPr>
        <w:t>- AI condition assessment (HF ViT, A2).</w:t>
      </w:r>
    </w:p>
    <w:p>
      <w:pPr>
        <w:spacing w:after="80" w:line="293" w:lineRule="auto"/>
        <w:ind w:left="283"/>
        <w:jc w:val="left"/>
      </w:pPr>
      <w:r>
        <w:rPr>
          <w:rFonts w:ascii="Times New Roman" w:hAnsi="Times New Roman" w:cs="Times New Roman"/>
          <w:b w:val="0"/>
          <w:i w:val="0"/>
          <w:sz w:val="22"/>
        </w:rPr>
        <w:t>- Dynamic AI pricing (XGBoost, A2).</w:t>
      </w:r>
    </w:p>
    <w:p>
      <w:pPr>
        <w:spacing w:after="80" w:line="293" w:lineRule="auto"/>
        <w:ind w:left="283"/>
        <w:jc w:val="left"/>
      </w:pPr>
      <w:r>
        <w:rPr>
          <w:rFonts w:ascii="Times New Roman" w:hAnsi="Times New Roman" w:cs="Times New Roman"/>
          <w:b w:val="0"/>
          <w:i w:val="0"/>
          <w:sz w:val="22"/>
        </w:rPr>
        <w:t>- Triage dashboard (three paths).</w:t>
      </w:r>
    </w:p>
    <w:p>
      <w:pPr>
        <w:spacing w:after="80" w:line="293" w:lineRule="auto"/>
        <w:ind w:left="283"/>
        <w:jc w:val="left"/>
      </w:pPr>
      <w:r>
        <w:rPr>
          <w:rFonts w:ascii="Times New Roman" w:hAnsi="Times New Roman" w:cs="Times New Roman"/>
          <w:b w:val="0"/>
          <w:i w:val="0"/>
          <w:sz w:val="22"/>
        </w:rPr>
        <w:t>- "Check Buyers" advisory (A2 LightGBM ranking).</w:t>
      </w:r>
    </w:p>
    <w:p>
      <w:pPr>
        <w:spacing w:after="80" w:line="293" w:lineRule="auto"/>
        <w:ind w:left="283"/>
        <w:jc w:val="left"/>
      </w:pPr>
      <w:r>
        <w:rPr>
          <w:rFonts w:ascii="Times New Roman" w:hAnsi="Times New Roman" w:cs="Times New Roman"/>
          <w:b w:val="0"/>
          <w:i w:val="0"/>
          <w:sz w:val="22"/>
        </w:rPr>
        <w:t>- Accelerated outreach with privacy notice.</w:t>
      </w:r>
    </w:p>
    <w:p>
      <w:pPr>
        <w:spacing w:after="80" w:line="293" w:lineRule="auto"/>
        <w:ind w:left="283"/>
        <w:jc w:val="left"/>
      </w:pPr>
      <w:r>
        <w:rPr>
          <w:rFonts w:ascii="Times New Roman" w:hAnsi="Times New Roman" w:cs="Times New Roman"/>
          <w:b w:val="0"/>
          <w:i w:val="0"/>
          <w:sz w:val="22"/>
        </w:rPr>
        <w:t>- Express negotiation (maximum 3 rounds).</w:t>
      </w:r>
    </w:p>
    <w:p>
      <w:pPr>
        <w:spacing w:after="80" w:line="293" w:lineRule="auto"/>
        <w:ind w:left="283"/>
        <w:jc w:val="left"/>
      </w:pPr>
      <w:r>
        <w:rPr>
          <w:rFonts w:ascii="Times New Roman" w:hAnsi="Times New Roman" w:cs="Times New Roman"/>
          <w:b w:val="0"/>
          <w:i w:val="0"/>
          <w:sz w:val="22"/>
        </w:rPr>
        <w:t>- Microcontract lock with distressed fee.</w:t>
      </w:r>
    </w:p>
    <w:p>
      <w:pPr>
        <w:keepNext/>
        <w:spacing w:before="140" w:after="60"/>
        <w:outlineLvl w:val="3"/>
      </w:pPr>
      <w:r>
        <w:rPr>
          <w:rFonts w:ascii="Arial" w:hAnsi="Arial" w:cs="Arial"/>
          <w:b/>
          <w:i/>
          <w:color w:val="333333"/>
          <w:sz w:val="22"/>
        </w:rPr>
        <w:t>16.10.7.12 Disputes</w:t>
      </w:r>
    </w:p>
    <w:p>
      <w:pPr>
        <w:spacing w:after="80" w:line="293" w:lineRule="auto"/>
        <w:ind w:left="283"/>
        <w:jc w:val="left"/>
      </w:pPr>
      <w:r>
        <w:rPr>
          <w:rFonts w:ascii="Times New Roman" w:hAnsi="Times New Roman" w:cs="Times New Roman"/>
          <w:b w:val="0"/>
          <w:i w:val="0"/>
          <w:sz w:val="22"/>
        </w:rPr>
        <w:t>- Dispute list (active where seller is respondent).</w:t>
      </w:r>
    </w:p>
    <w:p>
      <w:pPr>
        <w:spacing w:after="80" w:line="293" w:lineRule="auto"/>
        <w:ind w:left="283"/>
        <w:jc w:val="left"/>
      </w:pPr>
      <w:r>
        <w:rPr>
          <w:rFonts w:ascii="Times New Roman" w:hAnsi="Times New Roman" w:cs="Times New Roman"/>
          <w:b w:val="0"/>
          <w:i w:val="0"/>
          <w:sz w:val="22"/>
        </w:rPr>
        <w:t>- Response filing (accept/reject/counter).</w:t>
      </w:r>
    </w:p>
    <w:p>
      <w:pPr>
        <w:spacing w:after="80" w:line="293" w:lineRule="auto"/>
        <w:ind w:left="283"/>
        <w:jc w:val="left"/>
      </w:pPr>
      <w:r>
        <w:rPr>
          <w:rFonts w:ascii="Times New Roman" w:hAnsi="Times New Roman" w:cs="Times New Roman"/>
          <w:b w:val="0"/>
          <w:i w:val="0"/>
          <w:sz w:val="22"/>
        </w:rPr>
        <w:t>- Mediation log with Groq translation.</w:t>
      </w:r>
    </w:p>
    <w:p>
      <w:pPr>
        <w:spacing w:after="80" w:line="293" w:lineRule="auto"/>
        <w:ind w:left="283"/>
        <w:jc w:val="left"/>
      </w:pPr>
      <w:r>
        <w:rPr>
          <w:rFonts w:ascii="Times New Roman" w:hAnsi="Times New Roman" w:cs="Times New Roman"/>
          <w:b w:val="0"/>
          <w:i w:val="0"/>
          <w:sz w:val="22"/>
        </w:rPr>
        <w:t>- Evidence package (auto-compiled + manual upload).</w:t>
      </w:r>
    </w:p>
    <w:p>
      <w:pPr>
        <w:spacing w:after="80" w:line="293" w:lineRule="auto"/>
        <w:ind w:left="283"/>
        <w:jc w:val="left"/>
      </w:pPr>
      <w:r>
        <w:rPr>
          <w:rFonts w:ascii="Times New Roman" w:hAnsi="Times New Roman" w:cs="Times New Roman"/>
          <w:b w:val="0"/>
          <w:i w:val="0"/>
          <w:sz w:val="22"/>
        </w:rPr>
        <w:t>- Third-party expert invitation.</w:t>
      </w:r>
    </w:p>
    <w:p>
      <w:pPr>
        <w:spacing w:after="80" w:line="293" w:lineRule="auto"/>
        <w:ind w:left="283"/>
        <w:jc w:val="left"/>
      </w:pPr>
      <w:r>
        <w:rPr>
          <w:rFonts w:ascii="Times New Roman" w:hAnsi="Times New Roman" w:cs="Times New Roman"/>
          <w:b w:val="0"/>
          <w:i w:val="0"/>
          <w:sz w:val="22"/>
        </w:rPr>
        <w:t>- AI settlement proposal.</w:t>
      </w:r>
    </w:p>
    <w:p>
      <w:pPr>
        <w:spacing w:after="80" w:line="293" w:lineRule="auto"/>
        <w:ind w:left="283"/>
        <w:jc w:val="left"/>
      </w:pPr>
      <w:r>
        <w:rPr>
          <w:rFonts w:ascii="Times New Roman" w:hAnsi="Times New Roman" w:cs="Times New Roman"/>
          <w:b w:val="0"/>
          <w:i w:val="0"/>
          <w:sz w:val="22"/>
        </w:rPr>
        <w:t>- Arbitration case preparation.</w:t>
      </w:r>
    </w:p>
    <w:p>
      <w:pPr>
        <w:keepNext/>
        <w:spacing w:before="140" w:after="60"/>
        <w:outlineLvl w:val="3"/>
      </w:pPr>
      <w:r>
        <w:rPr>
          <w:rFonts w:ascii="Arial" w:hAnsi="Arial" w:cs="Arial"/>
          <w:b/>
          <w:i/>
          <w:color w:val="333333"/>
          <w:sz w:val="22"/>
        </w:rPr>
        <w:t>16.10.7.13 Saved Contacts</w:t>
      </w:r>
    </w:p>
    <w:p>
      <w:pPr>
        <w:spacing w:after="80" w:line="293" w:lineRule="auto"/>
        <w:ind w:left="283"/>
        <w:jc w:val="left"/>
      </w:pPr>
      <w:r>
        <w:rPr>
          <w:rFonts w:ascii="Times New Roman" w:hAnsi="Times New Roman" w:cs="Times New Roman"/>
          <w:b w:val="0"/>
          <w:i w:val="0"/>
          <w:sz w:val="22"/>
        </w:rPr>
        <w:t>- Contact list (buyers).</w:t>
      </w:r>
    </w:p>
    <w:p>
      <w:pPr>
        <w:spacing w:after="80" w:line="293" w:lineRule="auto"/>
        <w:ind w:left="283"/>
        <w:jc w:val="left"/>
      </w:pPr>
      <w:r>
        <w:rPr>
          <w:rFonts w:ascii="Times New Roman" w:hAnsi="Times New Roman" w:cs="Times New Roman"/>
          <w:b w:val="0"/>
          <w:i w:val="0"/>
          <w:sz w:val="22"/>
        </w:rPr>
        <w:t>- Trust portrait (A1 Groq).</w:t>
      </w:r>
    </w:p>
    <w:p>
      <w:pPr>
        <w:spacing w:after="80" w:line="293" w:lineRule="auto"/>
        <w:ind w:left="283"/>
        <w:jc w:val="left"/>
      </w:pPr>
      <w:r>
        <w:rPr>
          <w:rFonts w:ascii="Times New Roman" w:hAnsi="Times New Roman" w:cs="Times New Roman"/>
          <w:b w:val="0"/>
          <w:i w:val="0"/>
          <w:sz w:val="22"/>
        </w:rPr>
        <w:t>- Relationship health score (LSTM, A2).</w:t>
      </w:r>
    </w:p>
    <w:p>
      <w:pPr>
        <w:spacing w:after="80" w:line="293" w:lineRule="auto"/>
        <w:ind w:left="283"/>
        <w:jc w:val="left"/>
      </w:pPr>
      <w:r>
        <w:rPr>
          <w:rFonts w:ascii="Times New Roman" w:hAnsi="Times New Roman" w:cs="Times New Roman"/>
          <w:b w:val="0"/>
          <w:i w:val="0"/>
          <w:sz w:val="22"/>
        </w:rPr>
        <w:t>- Block/flag functionality.</w:t>
      </w:r>
    </w:p>
    <w:p>
      <w:pPr>
        <w:spacing w:after="80" w:line="293" w:lineRule="auto"/>
        <w:ind w:left="283"/>
        <w:jc w:val="left"/>
      </w:pPr>
      <w:r>
        <w:rPr>
          <w:rFonts w:ascii="Times New Roman" w:hAnsi="Times New Roman" w:cs="Times New Roman"/>
          <w:b w:val="0"/>
          <w:i w:val="0"/>
          <w:sz w:val="22"/>
        </w:rPr>
        <w:t>- Manual addition by GTID.</w:t>
      </w:r>
    </w:p>
    <w:p>
      <w:pPr>
        <w:keepNext/>
        <w:spacing w:before="140" w:after="60"/>
        <w:outlineLvl w:val="3"/>
      </w:pPr>
      <w:r>
        <w:rPr>
          <w:rFonts w:ascii="Arial" w:hAnsi="Arial" w:cs="Arial"/>
          <w:b/>
          <w:i/>
          <w:color w:val="333333"/>
          <w:sz w:val="22"/>
        </w:rPr>
        <w:t>16.10.7.14 Cash Position</w:t>
      </w:r>
    </w:p>
    <w:p>
      <w:pPr>
        <w:spacing w:after="80" w:line="293" w:lineRule="auto"/>
        <w:ind w:left="283"/>
        <w:jc w:val="left"/>
      </w:pPr>
      <w:r>
        <w:rPr>
          <w:rFonts w:ascii="Times New Roman" w:hAnsi="Times New Roman" w:cs="Times New Roman"/>
          <w:b w:val="0"/>
          <w:i w:val="0"/>
          <w:sz w:val="22"/>
        </w:rPr>
        <w:t>- 90-day rolling forecast chart.</w:t>
      </w:r>
    </w:p>
    <w:p>
      <w:pPr>
        <w:spacing w:after="80" w:line="293" w:lineRule="auto"/>
        <w:ind w:left="283"/>
        <w:jc w:val="left"/>
      </w:pPr>
      <w:r>
        <w:rPr>
          <w:rFonts w:ascii="Times New Roman" w:hAnsi="Times New Roman" w:cs="Times New Roman"/>
          <w:b w:val="0"/>
          <w:i w:val="0"/>
          <w:sz w:val="22"/>
        </w:rPr>
        <w:t>- Detailed ledger with due dates.</w:t>
      </w:r>
    </w:p>
    <w:p>
      <w:pPr>
        <w:spacing w:after="80" w:line="293" w:lineRule="auto"/>
        <w:ind w:left="283"/>
        <w:jc w:val="left"/>
      </w:pPr>
      <w:r>
        <w:rPr>
          <w:rFonts w:ascii="Times New Roman" w:hAnsi="Times New Roman" w:cs="Times New Roman"/>
          <w:b w:val="0"/>
          <w:i w:val="0"/>
          <w:sz w:val="22"/>
        </w:rPr>
        <w:t>- Currency normalisation (ECB rates).</w:t>
      </w:r>
    </w:p>
    <w:p>
      <w:pPr>
        <w:spacing w:after="80" w:line="293" w:lineRule="auto"/>
        <w:ind w:left="283"/>
        <w:jc w:val="left"/>
      </w:pPr>
      <w:r>
        <w:rPr>
          <w:rFonts w:ascii="Times New Roman" w:hAnsi="Times New Roman" w:cs="Times New Roman"/>
          <w:b w:val="0"/>
          <w:i w:val="0"/>
          <w:sz w:val="22"/>
        </w:rPr>
        <w:t>- Export functionality.</w:t>
      </w:r>
    </w:p>
    <w:p>
      <w:pPr>
        <w:keepNext/>
        <w:spacing w:before="140" w:after="60"/>
        <w:outlineLvl w:val="3"/>
      </w:pPr>
      <w:r>
        <w:rPr>
          <w:rFonts w:ascii="Arial" w:hAnsi="Arial" w:cs="Arial"/>
          <w:b/>
          <w:i/>
          <w:color w:val="333333"/>
          <w:sz w:val="22"/>
        </w:rPr>
        <w:t>16.10.7.15 Company Admin</w:t>
      </w:r>
    </w:p>
    <w:p>
      <w:pPr>
        <w:spacing w:after="80" w:line="293" w:lineRule="auto"/>
        <w:ind w:left="283"/>
        <w:jc w:val="left"/>
      </w:pPr>
      <w:r>
        <w:rPr>
          <w:rFonts w:ascii="Times New Roman" w:hAnsi="Times New Roman" w:cs="Times New Roman"/>
          <w:b w:val="0"/>
          <w:i w:val="0"/>
          <w:sz w:val="22"/>
        </w:rPr>
        <w:t>- Users &amp; Roles with seller-specific role templates.</w:t>
      </w:r>
    </w:p>
    <w:p>
      <w:pPr>
        <w:spacing w:after="80" w:line="293" w:lineRule="auto"/>
        <w:ind w:left="283"/>
        <w:jc w:val="left"/>
      </w:pPr>
      <w:r>
        <w:rPr>
          <w:rFonts w:ascii="Times New Roman" w:hAnsi="Times New Roman" w:cs="Times New Roman"/>
          <w:b w:val="0"/>
          <w:i w:val="0"/>
          <w:sz w:val="22"/>
        </w:rPr>
        <w:t>- Data Scopes with hidden_cost_components.</w:t>
      </w:r>
    </w:p>
    <w:p>
      <w:pPr>
        <w:spacing w:after="80" w:line="293" w:lineRule="auto"/>
        <w:ind w:left="283"/>
        <w:jc w:val="left"/>
      </w:pPr>
      <w:r>
        <w:rPr>
          <w:rFonts w:ascii="Times New Roman" w:hAnsi="Times New Roman" w:cs="Times New Roman"/>
          <w:b w:val="0"/>
          <w:i w:val="0"/>
          <w:sz w:val="22"/>
        </w:rPr>
        <w:t>- Workspaces (multi-company).</w:t>
      </w:r>
    </w:p>
    <w:p>
      <w:pPr>
        <w:spacing w:after="80" w:line="293" w:lineRule="auto"/>
        <w:ind w:left="283"/>
        <w:jc w:val="left"/>
      </w:pPr>
      <w:r>
        <w:rPr>
          <w:rFonts w:ascii="Times New Roman" w:hAnsi="Times New Roman" w:cs="Times New Roman"/>
          <w:b w:val="0"/>
          <w:i w:val="0"/>
          <w:sz w:val="22"/>
        </w:rPr>
        <w:t>- Settings (profile, branding, notifications).</w:t>
      </w:r>
    </w:p>
    <w:p>
      <w:pPr>
        <w:spacing w:after="80" w:line="293" w:lineRule="auto"/>
        <w:ind w:left="283"/>
        <w:jc w:val="left"/>
      </w:pPr>
      <w:r>
        <w:rPr>
          <w:rFonts w:ascii="Times New Roman" w:hAnsi="Times New Roman" w:cs="Times New Roman"/>
          <w:b w:val="0"/>
          <w:i w:val="0"/>
          <w:sz w:val="22"/>
        </w:rPr>
        <w:t>- Logistics Provider Catalogues (pre-configured rates).</w:t>
      </w:r>
    </w:p>
    <w:p>
      <w:pPr>
        <w:spacing w:after="80" w:line="293" w:lineRule="auto"/>
        <w:ind w:left="283"/>
        <w:jc w:val="left"/>
      </w:pPr>
      <w:r>
        <w:rPr>
          <w:rFonts w:ascii="Times New Roman" w:hAnsi="Times New Roman" w:cs="Times New Roman"/>
          <w:b w:val="0"/>
          <w:i w:val="0"/>
          <w:sz w:val="22"/>
        </w:rPr>
        <w:t>- Integrations (API keys).</w:t>
      </w:r>
    </w:p>
    <w:p>
      <w:pPr>
        <w:spacing w:after="80" w:line="293" w:lineRule="auto"/>
        <w:ind w:left="283"/>
        <w:jc w:val="left"/>
      </w:pPr>
      <w:r>
        <w:rPr>
          <w:rFonts w:ascii="Times New Roman" w:hAnsi="Times New Roman" w:cs="Times New Roman"/>
          <w:b w:val="0"/>
          <w:i w:val="0"/>
          <w:sz w:val="22"/>
        </w:rPr>
        <w:t>- Exit Centre (data export, account closure).</w:t>
      </w:r>
    </w:p>
    <w:p>
      <w:pPr>
        <w:keepNext/>
        <w:spacing w:before="140" w:after="60"/>
        <w:outlineLvl w:val="3"/>
      </w:pPr>
      <w:r>
        <w:rPr>
          <w:rFonts w:ascii="Arial" w:hAnsi="Arial" w:cs="Arial"/>
          <w:b/>
          <w:i/>
          <w:color w:val="333333"/>
          <w:sz w:val="22"/>
        </w:rPr>
        <w:t>16.10.7.16 Testing</w:t>
      </w:r>
    </w:p>
    <w:p>
      <w:pPr>
        <w:spacing w:after="80" w:line="293" w:lineRule="auto"/>
        <w:ind w:left="283"/>
        <w:jc w:val="left"/>
      </w:pPr>
      <w:r>
        <w:rPr>
          <w:rFonts w:ascii="Times New Roman" w:hAnsi="Times New Roman" w:cs="Times New Roman"/>
          <w:b w:val="0"/>
          <w:i w:val="0"/>
          <w:sz w:val="22"/>
        </w:rPr>
        <w:t>- Full seller journey (accept request → lock price → pack → get logistics → submit quote → pay fee</w:t>
      </w:r>
    </w:p>
    <w:p>
      <w:pPr>
        <w:spacing w:after="80" w:line="293" w:lineRule="auto"/>
        <w:jc w:val="left"/>
      </w:pPr>
      <w:r>
        <w:rPr>
          <w:rFonts w:ascii="Times New Roman" w:hAnsi="Times New Roman" w:cs="Times New Roman"/>
          <w:b w:val="0"/>
          <w:i w:val="0"/>
          <w:sz w:val="22"/>
        </w:rPr>
        <w:t>→ acknowledge release → handle distressed if needed → dispute response).</w:t>
      </w:r>
    </w:p>
    <w:p>
      <w:pPr>
        <w:spacing w:after="80" w:line="293" w:lineRule="auto"/>
        <w:ind w:left="283"/>
        <w:jc w:val="left"/>
      </w:pPr>
      <w:r>
        <w:rPr>
          <w:rFonts w:ascii="Times New Roman" w:hAnsi="Times New Roman" w:cs="Times New Roman"/>
          <w:b w:val="0"/>
          <w:i w:val="0"/>
          <w:sz w:val="22"/>
        </w:rPr>
        <w:t>- Dual-mode context switching (Seller ↔ Buyer).</w:t>
      </w:r>
    </w:p>
    <w:p>
      <w:pPr>
        <w:spacing w:after="80" w:line="293" w:lineRule="auto"/>
        <w:ind w:left="283"/>
        <w:jc w:val="left"/>
      </w:pPr>
      <w:r>
        <w:rPr>
          <w:rFonts w:ascii="Times New Roman" w:hAnsi="Times New Roman" w:cs="Times New Roman"/>
          <w:b w:val="0"/>
          <w:i w:val="0"/>
          <w:sz w:val="22"/>
        </w:rPr>
        <w:t>- Multi-shipment request and schedule modification.</w:t>
      </w:r>
    </w:p>
    <w:p>
      <w:pPr>
        <w:spacing w:after="80" w:line="293" w:lineRule="auto"/>
        <w:ind w:left="283"/>
        <w:jc w:val="left"/>
      </w:pPr>
      <w:r>
        <w:rPr>
          <w:rFonts w:ascii="Times New Roman" w:hAnsi="Times New Roman" w:cs="Times New Roman"/>
          <w:b w:val="0"/>
          <w:i w:val="0"/>
          <w:sz w:val="22"/>
        </w:rPr>
        <w:t>- Non-uniform layer stacking and validation.</w:t>
      </w:r>
    </w:p>
    <w:p>
      <w:pPr>
        <w:spacing w:after="80" w:line="293" w:lineRule="auto"/>
        <w:ind w:left="283"/>
        <w:jc w:val="left"/>
      </w:pPr>
      <w:r>
        <w:rPr>
          <w:rFonts w:ascii="Times New Roman" w:hAnsi="Times New Roman" w:cs="Times New Roman"/>
          <w:b w:val="0"/>
          <w:i w:val="0"/>
          <w:sz w:val="22"/>
        </w:rPr>
        <w:t>- All three logistics modes (A, B, C) and combined.</w:t>
      </w:r>
    </w:p>
    <w:p>
      <w:pPr>
        <w:spacing w:after="80" w:line="293" w:lineRule="auto"/>
        <w:ind w:left="283"/>
        <w:jc w:val="left"/>
      </w:pPr>
      <w:r>
        <w:rPr>
          <w:rFonts w:ascii="Times New Roman" w:hAnsi="Times New Roman" w:cs="Times New Roman"/>
          <w:b w:val="0"/>
          <w:i w:val="0"/>
          <w:sz w:val="22"/>
        </w:rPr>
        <w:t>- Conditional QC with action plan and hold removal.</w:t>
      </w:r>
    </w:p>
    <w:p>
      <w:pPr>
        <w:spacing w:after="80" w:line="293" w:lineRule="auto"/>
        <w:ind w:left="283"/>
        <w:jc w:val="left"/>
      </w:pPr>
      <w:r>
        <w:rPr>
          <w:rFonts w:ascii="Times New Roman" w:hAnsi="Times New Roman" w:cs="Times New Roman"/>
          <w:b w:val="0"/>
          <w:i w:val="0"/>
          <w:sz w:val="22"/>
        </w:rPr>
        <w:t>- Re-inspection request and acceptance.</w:t>
      </w:r>
    </w:p>
    <w:p>
      <w:pPr>
        <w:spacing w:after="80" w:line="293" w:lineRule="auto"/>
        <w:ind w:left="283"/>
        <w:jc w:val="left"/>
      </w:pPr>
      <w:r>
        <w:rPr>
          <w:rFonts w:ascii="Times New Roman" w:hAnsi="Times New Roman" w:cs="Times New Roman"/>
          <w:b w:val="0"/>
          <w:i w:val="0"/>
          <w:sz w:val="22"/>
        </w:rPr>
        <w:t>- Distressed cargo declaration and accelerated outreach.</w:t>
      </w:r>
    </w:p>
    <w:p>
      <w:pPr>
        <w:spacing w:after="80" w:line="293" w:lineRule="auto"/>
        <w:ind w:left="283"/>
        <w:jc w:val="left"/>
      </w:pPr>
      <w:r>
        <w:rPr>
          <w:rFonts w:ascii="Times New Roman" w:hAnsi="Times New Roman" w:cs="Times New Roman"/>
          <w:b w:val="0"/>
          <w:i w:val="0"/>
          <w:sz w:val="22"/>
        </w:rPr>
        <w:t>- EXW price deviation justification.</w:t>
      </w:r>
    </w:p>
    <w:p>
      <w:pPr>
        <w:spacing w:after="80" w:line="293" w:lineRule="auto"/>
        <w:ind w:left="283"/>
        <w:jc w:val="left"/>
      </w:pPr>
      <w:r>
        <w:rPr>
          <w:rFonts w:ascii="Times New Roman" w:hAnsi="Times New Roman" w:cs="Times New Roman"/>
          <w:b w:val="0"/>
          <w:i w:val="0"/>
          <w:sz w:val="22"/>
        </w:rPr>
        <w:t>- Post-lock price watch alert.</w:t>
      </w:r>
    </w:p>
    <w:p>
      <w:pPr>
        <w:spacing w:after="80" w:line="293" w:lineRule="auto"/>
        <w:ind w:left="283"/>
        <w:jc w:val="left"/>
      </w:pPr>
      <w:r>
        <w:rPr>
          <w:rFonts w:ascii="Times New Roman" w:hAnsi="Times New Roman" w:cs="Times New Roman"/>
          <w:b w:val="0"/>
          <w:i w:val="0"/>
          <w:sz w:val="22"/>
        </w:rPr>
        <w:t>- Voice-activated milestone confirmation.</w:t>
      </w:r>
    </w:p>
    <w:p>
      <w:pPr>
        <w:keepNext/>
        <w:spacing w:before="180" w:after="80"/>
        <w:outlineLvl w:val="2"/>
      </w:pPr>
      <w:r>
        <w:rPr>
          <w:rFonts w:ascii="Arial" w:hAnsi="Arial" w:cs="Arial"/>
          <w:b/>
          <w:i w:val="0"/>
          <w:color w:val="333333"/>
          <w:sz w:val="23"/>
        </w:rPr>
        <w:t>16.10.8 AI Authority Summary</w:t>
      </w:r>
    </w:p>
    <w:p>
      <w:pPr>
        <w:spacing w:after="80" w:line="293" w:lineRule="auto"/>
        <w:jc w:val="left"/>
      </w:pPr>
      <w:r>
        <w:rPr>
          <w:rFonts w:ascii="Times New Roman" w:hAnsi="Times New Roman" w:cs="Times New Roman"/>
          <w:b w:val="0"/>
          <w:i w:val="0"/>
          <w:sz w:val="22"/>
        </w:rPr>
        <w:t>A1 (Groq → Ollama): market intelligence summaries, ecological packaging advisor, AI operations assistant, trust portraits. A2 (HF local): condition assessment, pricing models, inspection-point recommendation, LSTM relationship scores, price deviation triggers. A3 (HF + Groq): escalation for dispute deadlock and compliance review. A4 (OPA + WasmEdge): packing plan lock, quote submission gate, fee calculation, reprint policy.</w:t>
      </w:r>
    </w:p>
    <w:p>
      <w:pPr>
        <w:keepNext/>
        <w:spacing w:before="240" w:after="100"/>
        <w:outlineLvl w:val="1"/>
      </w:pPr>
      <w:r>
        <w:rPr>
          <w:rFonts w:ascii="Arial" w:hAnsi="Arial" w:cs="Arial"/>
          <w:b/>
          <w:i w:val="0"/>
          <w:color w:val="2E528F"/>
          <w:sz w:val="26"/>
        </w:rPr>
        <w:t>16.11 Logistics Service Provider (LSP) Portal</w:t>
      </w:r>
    </w:p>
    <w:p>
      <w:pPr>
        <w:keepNext/>
        <w:spacing w:before="180" w:after="80"/>
        <w:outlineLvl w:val="2"/>
      </w:pPr>
      <w:r>
        <w:rPr>
          <w:rFonts w:ascii="Arial" w:hAnsi="Arial" w:cs="Arial"/>
          <w:b/>
          <w:i w:val="0"/>
          <w:color w:val="333333"/>
          <w:sz w:val="23"/>
        </w:rPr>
        <w:t>16.11.1 Access &amp; Purpose</w:t>
      </w:r>
    </w:p>
    <w:p>
      <w:pPr>
        <w:keepNext/>
        <w:spacing w:before="140" w:after="60"/>
        <w:outlineLvl w:val="3"/>
      </w:pPr>
      <w:r>
        <w:rPr>
          <w:rFonts w:ascii="Arial" w:hAnsi="Arial" w:cs="Arial"/>
          <w:b/>
          <w:i/>
          <w:color w:val="333333"/>
          <w:sz w:val="22"/>
        </w:rPr>
        <w:t>16.11.1.1 Access Requirements</w:t>
      </w:r>
    </w:p>
    <w:p>
      <w:pPr>
        <w:spacing w:after="80" w:line="293" w:lineRule="auto"/>
        <w:jc w:val="left"/>
      </w:pPr>
      <w:r>
        <w:rPr>
          <w:rFonts w:ascii="Times New Roman" w:hAnsi="Times New Roman" w:cs="Times New Roman"/>
          <w:b w:val="0"/>
          <w:i w:val="0"/>
          <w:sz w:val="22"/>
        </w:rPr>
        <w:t>Access: tenants with type = LSP (sub-types: TRUCKING, FORWARDER, WAREHOUSING). Employees must have completed KYB Tier 2 verification (business licence, insurance, fleet list for trucking, etc.).</w:t>
      </w:r>
    </w:p>
    <w:p>
      <w:pPr>
        <w:spacing w:after="80" w:line="293" w:lineRule="auto"/>
        <w:jc w:val="left"/>
      </w:pPr>
      <w:r>
        <w:rPr>
          <w:rFonts w:ascii="Times New Roman" w:hAnsi="Times New Roman" w:cs="Times New Roman"/>
          <w:b w:val="0"/>
          <w:i w:val="0"/>
          <w:sz w:val="22"/>
        </w:rPr>
        <w:t>Role clarification:</w:t>
      </w:r>
    </w:p>
    <w:p>
      <w:pPr>
        <w:spacing w:after="80" w:line="293" w:lineRule="auto"/>
        <w:ind w:left="283"/>
        <w:jc w:val="left"/>
      </w:pPr>
      <w:r>
        <w:rPr>
          <w:rFonts w:ascii="Times New Roman" w:hAnsi="Times New Roman" w:cs="Times New Roman"/>
          <w:b w:val="0"/>
          <w:i w:val="0"/>
          <w:sz w:val="22"/>
        </w:rPr>
        <w:t>- TRUCKING — road transport provider; manages fleet, drivers, and pickups/deliveries.</w:t>
      </w:r>
    </w:p>
    <w:p>
      <w:pPr>
        <w:spacing w:after="80" w:line="293" w:lineRule="auto"/>
        <w:ind w:left="283"/>
        <w:jc w:val="left"/>
      </w:pPr>
      <w:r>
        <w:rPr>
          <w:rFonts w:ascii="Times New Roman" w:hAnsi="Times New Roman" w:cs="Times New Roman"/>
          <w:b w:val="0"/>
          <w:i w:val="0"/>
          <w:sz w:val="22"/>
        </w:rPr>
        <w:t>- FORWARDER — freight forwarder; consolidates shipments, manages subcontractor networks, and</w:t>
      </w:r>
    </w:p>
    <w:p>
      <w:pPr>
        <w:spacing w:after="80" w:line="293" w:lineRule="auto"/>
        <w:jc w:val="left"/>
      </w:pPr>
      <w:r>
        <w:rPr>
          <w:rFonts w:ascii="Times New Roman" w:hAnsi="Times New Roman" w:cs="Times New Roman"/>
          <w:b w:val="0"/>
          <w:i w:val="0"/>
          <w:sz w:val="22"/>
        </w:rPr>
        <w:t>builds bundled quotes.</w:t>
      </w:r>
    </w:p>
    <w:p>
      <w:pPr>
        <w:spacing w:after="80" w:line="293" w:lineRule="auto"/>
        <w:ind w:left="283"/>
        <w:jc w:val="left"/>
      </w:pPr>
      <w:r>
        <w:rPr>
          <w:rFonts w:ascii="Times New Roman" w:hAnsi="Times New Roman" w:cs="Times New Roman"/>
          <w:b w:val="0"/>
          <w:i w:val="0"/>
          <w:sz w:val="22"/>
        </w:rPr>
        <w:t>- WAREHOUSING — warehouse operator; manages storage, inventory, and temperature-controlled</w:t>
      </w:r>
    </w:p>
    <w:p>
      <w:pPr>
        <w:spacing w:after="80" w:line="293" w:lineRule="auto"/>
        <w:jc w:val="left"/>
      </w:pPr>
      <w:r>
        <w:rPr>
          <w:rFonts w:ascii="Times New Roman" w:hAnsi="Times New Roman" w:cs="Times New Roman"/>
          <w:b w:val="0"/>
          <w:i w:val="0"/>
          <w:sz w:val="22"/>
        </w:rPr>
        <w:t>facilities.</w:t>
      </w:r>
    </w:p>
    <w:p>
      <w:pPr>
        <w:spacing w:after="80" w:line="293" w:lineRule="auto"/>
        <w:jc w:val="left"/>
      </w:pPr>
      <w:r>
        <w:rPr>
          <w:rFonts w:ascii="Times New Roman" w:hAnsi="Times New Roman" w:cs="Times New Roman"/>
          <w:b w:val="0"/>
          <w:i w:val="0"/>
          <w:sz w:val="22"/>
        </w:rPr>
        <w:t>Dual-mode toggle: not applicable (LSPs do not trade as buyers/sellers).</w:t>
      </w:r>
    </w:p>
    <w:p>
      <w:pPr>
        <w:spacing w:after="80" w:line="293" w:lineRule="auto"/>
        <w:jc w:val="left"/>
      </w:pPr>
      <w:r>
        <w:rPr>
          <w:rFonts w:ascii="Times New Roman" w:hAnsi="Times New Roman" w:cs="Times New Roman"/>
          <w:b w:val="0"/>
          <w:i w:val="0"/>
          <w:sz w:val="22"/>
        </w:rPr>
        <w:t>Landing page (configurable): default is the Universal Command Center (16.13) — showing pending RFQs, active shipments, compliance alerts, and outstanding payments. Users can set a preference to land directly on the RFQ Inbox.</w:t>
      </w:r>
    </w:p>
    <w:p>
      <w:pPr>
        <w:spacing w:after="80" w:line="293" w:lineRule="auto"/>
        <w:jc w:val="left"/>
      </w:pPr>
      <w:r>
        <w:rPr>
          <w:rFonts w:ascii="Times New Roman" w:hAnsi="Times New Roman" w:cs="Times New Roman"/>
          <w:b w:val="0"/>
          <w:i w:val="0"/>
          <w:sz w:val="22"/>
        </w:rPr>
        <w:t>Portal philosophy:</w:t>
      </w:r>
    </w:p>
    <w:p>
      <w:pPr>
        <w:spacing w:after="80" w:line="293" w:lineRule="auto"/>
        <w:ind w:left="283"/>
        <w:jc w:val="left"/>
      </w:pPr>
      <w:r>
        <w:rPr>
          <w:rFonts w:ascii="Times New Roman" w:hAnsi="Times New Roman" w:cs="Times New Roman"/>
          <w:b w:val="0"/>
          <w:i w:val="0"/>
          <w:sz w:val="22"/>
        </w:rPr>
        <w:t>- LSPs only see data for shipments where they have been invited to quote or have accepted a service</w:t>
      </w:r>
    </w:p>
    <w:p>
      <w:pPr>
        <w:spacing w:after="80" w:line="293" w:lineRule="auto"/>
        <w:jc w:val="left"/>
      </w:pPr>
      <w:r>
        <w:rPr>
          <w:rFonts w:ascii="Times New Roman" w:hAnsi="Times New Roman" w:cs="Times New Roman"/>
          <w:b w:val="0"/>
          <w:i w:val="0"/>
          <w:sz w:val="22"/>
        </w:rPr>
        <w:t>agreement.</w:t>
      </w:r>
    </w:p>
    <w:p>
      <w:pPr>
        <w:spacing w:after="80" w:line="293" w:lineRule="auto"/>
        <w:ind w:left="283"/>
        <w:jc w:val="left"/>
      </w:pPr>
      <w:r>
        <w:rPr>
          <w:rFonts w:ascii="Times New Roman" w:hAnsi="Times New Roman" w:cs="Times New Roman"/>
          <w:b w:val="0"/>
          <w:i w:val="0"/>
          <w:sz w:val="22"/>
        </w:rPr>
        <w:t>- No discovery of other traders; all relationships originate from seller/buyer invitations.</w:t>
      </w:r>
    </w:p>
    <w:p>
      <w:pPr>
        <w:spacing w:after="80" w:line="293" w:lineRule="auto"/>
        <w:ind w:left="283"/>
        <w:jc w:val="left"/>
      </w:pPr>
      <w:r>
        <w:rPr>
          <w:rFonts w:ascii="Times New Roman" w:hAnsi="Times New Roman" w:cs="Times New Roman"/>
          <w:b w:val="0"/>
          <w:i w:val="0"/>
          <w:sz w:val="22"/>
        </w:rPr>
        <w:t>- Anonymous RFQs (opt-out per LSP) show only HS chapter, volume, origin/destination, loading window,</w:t>
      </w:r>
    </w:p>
    <w:p>
      <w:pPr>
        <w:spacing w:after="80" w:line="293" w:lineRule="auto"/>
        <w:jc w:val="left"/>
      </w:pPr>
      <w:r>
        <w:rPr>
          <w:rFonts w:ascii="Times New Roman" w:hAnsi="Times New Roman" w:cs="Times New Roman"/>
          <w:b w:val="0"/>
          <w:i w:val="0"/>
          <w:sz w:val="22"/>
        </w:rPr>
        <w:t>and match score — no counterparty identity until quote acceptance.</w:t>
      </w:r>
    </w:p>
    <w:p>
      <w:pPr>
        <w:spacing w:after="80" w:line="293" w:lineRule="auto"/>
        <w:ind w:left="283"/>
        <w:jc w:val="left"/>
      </w:pPr>
      <w:r>
        <w:rPr>
          <w:rFonts w:ascii="Times New Roman" w:hAnsi="Times New Roman" w:cs="Times New Roman"/>
          <w:b w:val="0"/>
          <w:i w:val="0"/>
          <w:sz w:val="22"/>
        </w:rPr>
        <w:t>- The platform never ranks LSPs or suggests "top rated" providers to traders.</w:t>
      </w:r>
    </w:p>
    <w:p>
      <w:pPr>
        <w:spacing w:after="80" w:line="293" w:lineRule="auto"/>
        <w:ind w:left="283"/>
        <w:jc w:val="left"/>
      </w:pPr>
      <w:r>
        <w:rPr>
          <w:rFonts w:ascii="Times New Roman" w:hAnsi="Times New Roman" w:cs="Times New Roman"/>
          <w:b w:val="0"/>
          <w:i w:val="0"/>
          <w:sz w:val="22"/>
        </w:rPr>
        <w:t>- LSPs can maintain private service catalogues with their own rates.</w:t>
      </w:r>
    </w:p>
    <w:p>
      <w:pPr>
        <w:keepNext/>
        <w:spacing w:before="140" w:after="60"/>
        <w:outlineLvl w:val="3"/>
      </w:pPr>
      <w:r>
        <w:rPr>
          <w:rFonts w:ascii="Arial" w:hAnsi="Arial" w:cs="Arial"/>
          <w:b/>
          <w:i/>
          <w:color w:val="333333"/>
          <w:sz w:val="22"/>
        </w:rPr>
        <w:t>16.11.1.2 LSP Portal Purpose</w:t>
      </w:r>
    </w:p>
    <w:p>
      <w:pPr>
        <w:spacing w:after="80" w:line="293" w:lineRule="auto"/>
        <w:jc w:val="left"/>
      </w:pPr>
      <w:r>
        <w:rPr>
          <w:rFonts w:ascii="Times New Roman" w:hAnsi="Times New Roman" w:cs="Times New Roman"/>
          <w:b w:val="0"/>
          <w:i w:val="0"/>
          <w:sz w:val="22"/>
        </w:rPr>
        <w:t>The LSP Portal is the complete workspace for logistics service providers. It enables:</w:t>
      </w:r>
    </w:p>
    <w:p>
      <w:pPr>
        <w:spacing w:after="80" w:line="293" w:lineRule="auto"/>
        <w:ind w:left="283"/>
        <w:jc w:val="left"/>
      </w:pPr>
      <w:r>
        <w:rPr>
          <w:rFonts w:ascii="Times New Roman" w:hAnsi="Times New Roman" w:cs="Times New Roman"/>
          <w:b w:val="0"/>
          <w:i w:val="0"/>
          <w:sz w:val="22"/>
        </w:rPr>
        <w:t>- RFQ management — receive and respond to requests for quotation (directed or anonymous</w:t>
      </w:r>
    </w:p>
    <w:p>
      <w:pPr>
        <w:spacing w:after="80" w:line="293" w:lineRule="auto"/>
        <w:jc w:val="left"/>
      </w:pPr>
      <w:r>
        <w:rPr>
          <w:rFonts w:ascii="Times New Roman" w:hAnsi="Times New Roman" w:cs="Times New Roman"/>
          <w:b w:val="0"/>
          <w:i w:val="0"/>
          <w:sz w:val="22"/>
        </w:rPr>
        <w:t>broadcast), with structured clarification requests.</w:t>
      </w:r>
    </w:p>
    <w:p>
      <w:pPr>
        <w:spacing w:after="80" w:line="293" w:lineRule="auto"/>
        <w:ind w:left="283"/>
        <w:jc w:val="left"/>
      </w:pPr>
      <w:r>
        <w:rPr>
          <w:rFonts w:ascii="Times New Roman" w:hAnsi="Times New Roman" w:cs="Times New Roman"/>
          <w:b w:val="0"/>
          <w:i w:val="0"/>
          <w:sz w:val="22"/>
        </w:rPr>
        <w:t>- Quote submission — submit competitive quotes with AI-assisted pricing suggestions.</w:t>
      </w:r>
    </w:p>
    <w:p>
      <w:pPr>
        <w:spacing w:after="80" w:line="293" w:lineRule="auto"/>
        <w:ind w:left="283"/>
        <w:jc w:val="left"/>
      </w:pPr>
      <w:r>
        <w:rPr>
          <w:rFonts w:ascii="Times New Roman" w:hAnsi="Times New Roman" w:cs="Times New Roman"/>
          <w:b w:val="0"/>
          <w:i w:val="0"/>
          <w:sz w:val="22"/>
        </w:rPr>
        <w:t>- Job execution — track active shipments, confirm milestones (voice-enabled), and manage</w:t>
      </w:r>
    </w:p>
    <w:p>
      <w:pPr>
        <w:spacing w:after="80" w:line="293" w:lineRule="auto"/>
        <w:jc w:val="left"/>
      </w:pPr>
      <w:r>
        <w:rPr>
          <w:rFonts w:ascii="Times New Roman" w:hAnsi="Times New Roman" w:cs="Times New Roman"/>
          <w:b w:val="0"/>
          <w:i w:val="0"/>
          <w:sz w:val="22"/>
        </w:rPr>
        <w:t>addendum signing.</w:t>
      </w:r>
    </w:p>
    <w:p>
      <w:pPr>
        <w:spacing w:after="80" w:line="293" w:lineRule="auto"/>
        <w:ind w:left="283"/>
        <w:jc w:val="left"/>
      </w:pPr>
      <w:r>
        <w:rPr>
          <w:rFonts w:ascii="Times New Roman" w:hAnsi="Times New Roman" w:cs="Times New Roman"/>
          <w:b w:val="0"/>
          <w:i w:val="0"/>
          <w:sz w:val="22"/>
        </w:rPr>
        <w:t>- Dispatch planning (trucking) — optimise daily routes with ORTools VRP, assign drivers, and</w:t>
      </w:r>
    </w:p>
    <w:p>
      <w:pPr>
        <w:spacing w:after="80" w:line="293" w:lineRule="auto"/>
        <w:jc w:val="left"/>
      </w:pPr>
      <w:r>
        <w:rPr>
          <w:rFonts w:ascii="Times New Roman" w:hAnsi="Times New Roman" w:cs="Times New Roman"/>
          <w:b w:val="0"/>
          <w:i w:val="0"/>
          <w:sz w:val="22"/>
        </w:rPr>
        <w:t>manage geofence alerts.</w:t>
      </w:r>
    </w:p>
    <w:p>
      <w:pPr>
        <w:spacing w:after="80" w:line="293" w:lineRule="auto"/>
        <w:ind w:left="283"/>
        <w:jc w:val="left"/>
      </w:pPr>
      <w:r>
        <w:rPr>
          <w:rFonts w:ascii="Times New Roman" w:hAnsi="Times New Roman" w:cs="Times New Roman"/>
          <w:b w:val="0"/>
          <w:i w:val="0"/>
          <w:sz w:val="22"/>
        </w:rPr>
        <w:t>- Warehouse management (warehousing) — manage inbound/outbound shipments, storage utilisation,</w:t>
      </w:r>
    </w:p>
    <w:p>
      <w:pPr>
        <w:spacing w:after="80" w:line="293" w:lineRule="auto"/>
        <w:jc w:val="left"/>
      </w:pPr>
      <w:r>
        <w:rPr>
          <w:rFonts w:ascii="Times New Roman" w:hAnsi="Times New Roman" w:cs="Times New Roman"/>
          <w:b w:val="0"/>
          <w:i w:val="0"/>
          <w:sz w:val="22"/>
        </w:rPr>
        <w:t>and temperature logs.</w:t>
      </w:r>
    </w:p>
    <w:p>
      <w:pPr>
        <w:spacing w:after="80" w:line="293" w:lineRule="auto"/>
        <w:ind w:left="283"/>
        <w:jc w:val="left"/>
      </w:pPr>
      <w:r>
        <w:rPr>
          <w:rFonts w:ascii="Times New Roman" w:hAnsi="Times New Roman" w:cs="Times New Roman"/>
          <w:b w:val="0"/>
          <w:i w:val="0"/>
          <w:sz w:val="22"/>
        </w:rPr>
        <w:t>- Consolidation (forwarding) — manage subcontractor networks, LCL consolidation, and bundled</w:t>
      </w:r>
    </w:p>
    <w:p>
      <w:pPr>
        <w:spacing w:after="80" w:line="293" w:lineRule="auto"/>
        <w:jc w:val="left"/>
      </w:pPr>
      <w:r>
        <w:rPr>
          <w:rFonts w:ascii="Times New Roman" w:hAnsi="Times New Roman" w:cs="Times New Roman"/>
          <w:b w:val="0"/>
          <w:i w:val="0"/>
          <w:sz w:val="22"/>
        </w:rPr>
        <w:t>quote building.</w:t>
      </w:r>
    </w:p>
    <w:p>
      <w:pPr>
        <w:spacing w:after="80" w:line="293" w:lineRule="auto"/>
        <w:ind w:left="283"/>
        <w:jc w:val="left"/>
      </w:pPr>
      <w:r>
        <w:rPr>
          <w:rFonts w:ascii="Times New Roman" w:hAnsi="Times New Roman" w:cs="Times New Roman"/>
          <w:b w:val="0"/>
          <w:i w:val="0"/>
          <w:sz w:val="22"/>
        </w:rPr>
        <w:t>- Mobile fleet management — manage driver mobile app connectivity, offline scanning, and route</w:t>
      </w:r>
    </w:p>
    <w:p>
      <w:pPr>
        <w:spacing w:after="80" w:line="293" w:lineRule="auto"/>
        <w:jc w:val="left"/>
      </w:pPr>
      <w:r>
        <w:rPr>
          <w:rFonts w:ascii="Times New Roman" w:hAnsi="Times New Roman" w:cs="Times New Roman"/>
          <w:b w:val="0"/>
          <w:i w:val="0"/>
          <w:sz w:val="22"/>
        </w:rPr>
        <w:t>pushing.</w:t>
      </w:r>
    </w:p>
    <w:p>
      <w:pPr>
        <w:spacing w:after="80" w:line="293" w:lineRule="auto"/>
        <w:ind w:left="283"/>
        <w:jc w:val="left"/>
      </w:pPr>
      <w:r>
        <w:rPr>
          <w:rFonts w:ascii="Times New Roman" w:hAnsi="Times New Roman" w:cs="Times New Roman"/>
          <w:b w:val="0"/>
          <w:i w:val="0"/>
          <w:sz w:val="22"/>
        </w:rPr>
        <w:t>- Performance monitoring — view on-time delivery, dispute rate, invoice accuracy, and anonymous</w:t>
      </w:r>
    </w:p>
    <w:p>
      <w:pPr>
        <w:spacing w:after="80" w:line="293" w:lineRule="auto"/>
        <w:jc w:val="left"/>
      </w:pPr>
      <w:r>
        <w:rPr>
          <w:rFonts w:ascii="Times New Roman" w:hAnsi="Times New Roman" w:cs="Times New Roman"/>
          <w:b w:val="0"/>
          <w:i w:val="0"/>
          <w:sz w:val="22"/>
        </w:rPr>
        <w:t>benchmarks.</w:t>
      </w:r>
    </w:p>
    <w:p>
      <w:pPr>
        <w:spacing w:after="80" w:line="293" w:lineRule="auto"/>
        <w:ind w:left="283"/>
        <w:jc w:val="left"/>
      </w:pPr>
      <w:r>
        <w:rPr>
          <w:rFonts w:ascii="Times New Roman" w:hAnsi="Times New Roman" w:cs="Times New Roman"/>
          <w:b w:val="0"/>
          <w:i w:val="0"/>
          <w:sz w:val="22"/>
        </w:rPr>
        <w:t>- Financial management — track invoices, payments, and settlement leg confirmations (camt.054).</w:t>
      </w:r>
    </w:p>
    <w:p>
      <w:pPr>
        <w:spacing w:after="80" w:line="293" w:lineRule="auto"/>
        <w:ind w:left="283"/>
        <w:jc w:val="left"/>
      </w:pPr>
      <w:r>
        <w:rPr>
          <w:rFonts w:ascii="Times New Roman" w:hAnsi="Times New Roman" w:cs="Times New Roman"/>
          <w:b w:val="0"/>
          <w:i w:val="0"/>
          <w:sz w:val="22"/>
        </w:rPr>
        <w:t>- Administration — manage employees, service catalogues, fee schedules, and notification</w:t>
      </w:r>
    </w:p>
    <w:p>
      <w:pPr>
        <w:spacing w:after="80" w:line="293" w:lineRule="auto"/>
        <w:jc w:val="left"/>
      </w:pPr>
      <w:r>
        <w:rPr>
          <w:rFonts w:ascii="Times New Roman" w:hAnsi="Times New Roman" w:cs="Times New Roman"/>
          <w:b w:val="0"/>
          <w:i w:val="0"/>
          <w:sz w:val="22"/>
        </w:rPr>
        <w:t>preferences (including anonymous RFQ opt-out).</w:t>
      </w:r>
    </w:p>
    <w:p>
      <w:pPr>
        <w:keepNext/>
        <w:spacing w:before="140" w:after="60"/>
        <w:outlineLvl w:val="3"/>
      </w:pPr>
      <w:r>
        <w:rPr>
          <w:rFonts w:ascii="Arial" w:hAnsi="Arial" w:cs="Arial"/>
          <w:b/>
          <w:i/>
          <w:color w:val="333333"/>
          <w:sz w:val="22"/>
        </w:rPr>
        <w:t>16.11.1.3 LSP Portal — High-Level Workflow</w:t>
      </w:r>
    </w:p>
    <w:p>
      <w:pPr>
        <w:spacing w:after="0" w:before="0" w:line="240" w:lineRule="auto"/>
        <w:ind w:left="57"/>
        <w:jc w:val="left"/>
        <w:shd w:val="clear" w:fill="F2F2F2"/>
      </w:pPr>
      <w:r>
        <w:rPr>
          <w:rFonts w:ascii="Consolas" w:hAnsi="Consolas" w:cs="Consolas"/>
          <w:b w:val="0"/>
          <w:i w:val="0"/>
          <w:sz w:val="15"/>
        </w:rPr>
        <w:t>1. RFQ Inbox        2. Quote Submission   3. Active Shipments</w:t>
      </w:r>
    </w:p>
    <w:p>
      <w:pPr>
        <w:spacing w:after="0" w:before="0" w:line="240" w:lineRule="auto"/>
        <w:ind w:left="57"/>
        <w:jc w:val="left"/>
        <w:shd w:val="clear" w:fill="F2F2F2"/>
      </w:pPr>
      <w:r>
        <w:rPr>
          <w:rFonts w:ascii="Consolas" w:hAnsi="Consolas" w:cs="Consolas"/>
          <w:b w:val="0"/>
          <w:i w:val="0"/>
          <w:sz w:val="15"/>
        </w:rPr>
        <w:t>4. Milestone Confirmation</w:t>
      </w:r>
    </w:p>
    <w:p>
      <w:pPr>
        <w:spacing w:after="0" w:before="0" w:line="240" w:lineRule="auto"/>
        <w:ind w:left="57"/>
        <w:jc w:val="left"/>
        <w:shd w:val="clear" w:fill="F2F2F2"/>
      </w:pPr>
      <w:r>
        <w:rPr>
          <w:rFonts w:ascii="Consolas" w:hAnsi="Consolas" w:cs="Consolas"/>
          <w:b w:val="0"/>
          <w:i w:val="0"/>
          <w:sz w:val="15"/>
        </w:rPr>
        <w:t>5. Dispatch Planner (Trucking)    6. Warehouse Dashboard (Warehousing)</w:t>
      </w:r>
    </w:p>
    <w:p>
      <w:pPr>
        <w:spacing w:after="0" w:before="0" w:line="240" w:lineRule="auto"/>
        <w:ind w:left="57"/>
        <w:jc w:val="left"/>
        <w:shd w:val="clear" w:fill="F2F2F2"/>
      </w:pPr>
      <w:r>
        <w:rPr>
          <w:rFonts w:ascii="Consolas" w:hAnsi="Consolas" w:cs="Consolas"/>
          <w:b w:val="0"/>
          <w:i w:val="0"/>
          <w:sz w:val="15"/>
        </w:rPr>
        <w:t>7. Forwarder Console (Forwarding) 8. Driver Mobile App Management</w:t>
      </w:r>
    </w:p>
    <w:p>
      <w:pPr>
        <w:spacing w:after="0" w:before="0" w:line="240" w:lineRule="auto"/>
        <w:ind w:left="57"/>
        <w:jc w:val="left"/>
        <w:shd w:val="clear" w:fill="F2F2F2"/>
      </w:pPr>
      <w:r>
        <w:rPr>
          <w:rFonts w:ascii="Consolas" w:hAnsi="Consolas" w:cs="Consolas"/>
          <w:b w:val="0"/>
          <w:i w:val="0"/>
          <w:sz w:val="15"/>
        </w:rPr>
        <w:t>9. Invoices &amp; Payments           10. Performance           11. Company Admin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16.11.2 LSP Role Verification &amp; Security</w:t>
      </w:r>
    </w:p>
    <w:p>
      <w:pPr>
        <w:keepNext/>
        <w:spacing w:before="140" w:after="60"/>
        <w:outlineLvl w:val="3"/>
      </w:pPr>
      <w:r>
        <w:rPr>
          <w:rFonts w:ascii="Arial" w:hAnsi="Arial" w:cs="Arial"/>
          <w:b/>
          <w:i/>
          <w:color w:val="333333"/>
          <w:sz w:val="22"/>
        </w:rPr>
        <w:t>16.11.2.1 Authentication &amp; Session Checks</w:t>
      </w:r>
    </w:p>
    <w:p>
      <w:pPr>
        <w:spacing w:after="80" w:line="293" w:lineRule="auto"/>
        <w:jc w:val="left"/>
      </w:pPr>
      <w:r>
        <w:rPr>
          <w:rFonts w:ascii="Times New Roman" w:hAnsi="Times New Roman" w:cs="Times New Roman"/>
          <w:b w:val="0"/>
          <w:i w:val="0"/>
          <w:sz w:val="22"/>
        </w:rPr>
        <w:t>JWT-based session (ZITADEL) with tenant type = LSP and sub-type checks; employees must have the relevant role (Dispatcher, Driver, Operator, Admin); tenant must be KYB Tier 2 verified and not suspended.</w:t>
      </w:r>
    </w:p>
    <w:p>
      <w:pPr>
        <w:keepNext/>
        <w:spacing w:before="140" w:after="60"/>
        <w:outlineLvl w:val="3"/>
      </w:pPr>
      <w:r>
        <w:rPr>
          <w:rFonts w:ascii="Arial" w:hAnsi="Arial" w:cs="Arial"/>
          <w:b/>
          <w:i/>
          <w:color w:val="333333"/>
          <w:sz w:val="22"/>
        </w:rPr>
        <w:t>16.11.2.2 Permission Checks (Action-Based)</w:t>
      </w:r>
    </w:p>
    <w:p>
      <w:pPr>
        <w:spacing w:after="80" w:line="293" w:lineRule="auto"/>
        <w:jc w:val="left"/>
      </w:pPr>
      <w:r>
        <w:rPr>
          <w:rFonts w:ascii="Times New Roman" w:hAnsi="Times New Roman" w:cs="Times New Roman"/>
          <w:b w:val="0"/>
          <w:i w:val="0"/>
          <w:sz w:val="22"/>
        </w:rPr>
        <w:t>Action permissions include: send quote, ask clarification, decline RFQ, confirm milestone, acknowledge container release, sign addendum, assign driver, generate invoice, manage catalogue, configure geofences.</w:t>
      </w:r>
    </w:p>
    <w:p>
      <w:pPr>
        <w:keepNext/>
        <w:spacing w:before="140" w:after="60"/>
        <w:outlineLvl w:val="3"/>
      </w:pPr>
      <w:r>
        <w:rPr>
          <w:rFonts w:ascii="Arial" w:hAnsi="Arial" w:cs="Arial"/>
          <w:b/>
          <w:i/>
          <w:color w:val="333333"/>
          <w:sz w:val="22"/>
        </w:rPr>
        <w:t>16.11.2.3 Compliance &amp; Risk Checks</w:t>
      </w:r>
    </w:p>
    <w:p>
      <w:pPr>
        <w:spacing w:after="80" w:line="293" w:lineRule="auto"/>
        <w:jc w:val="left"/>
      </w:pPr>
      <w:r>
        <w:rPr>
          <w:rFonts w:ascii="Times New Roman" w:hAnsi="Times New Roman" w:cs="Times New Roman"/>
          <w:b w:val="0"/>
          <w:i w:val="0"/>
          <w:sz w:val="22"/>
        </w:rPr>
        <w:t>Continuous checks: licence and insurance validity (RIA), sanctions screening, jurisdiction rules for cross-border trucking, and vehicle/cargo compatibility rules.</w:t>
      </w:r>
    </w:p>
    <w:p>
      <w:pPr>
        <w:keepNext/>
        <w:spacing w:before="180" w:after="80"/>
        <w:outlineLvl w:val="2"/>
      </w:pPr>
      <w:r>
        <w:rPr>
          <w:rFonts w:ascii="Arial" w:hAnsi="Arial" w:cs="Arial"/>
          <w:b/>
          <w:i w:val="0"/>
          <w:color w:val="333333"/>
          <w:sz w:val="23"/>
        </w:rPr>
        <w:t>16.11.3 Full Tab Specification (Workflow Order)</w:t>
      </w:r>
    </w:p>
    <w:p>
      <w:pPr>
        <w:keepNext/>
        <w:spacing w:before="140" w:after="60"/>
        <w:outlineLvl w:val="3"/>
      </w:pPr>
      <w:r>
        <w:rPr>
          <w:rFonts w:ascii="Arial" w:hAnsi="Arial" w:cs="Arial"/>
          <w:b/>
          <w:i/>
          <w:color w:val="333333"/>
          <w:sz w:val="22"/>
        </w:rPr>
        <w:t>Tab 1: Universal Command Center (Home)</w:t>
      </w:r>
    </w:p>
    <w:p>
      <w:pPr>
        <w:spacing w:after="80" w:line="293" w:lineRule="auto"/>
        <w:jc w:val="left"/>
      </w:pPr>
      <w:r>
        <w:rPr>
          <w:rFonts w:ascii="Times New Roman" w:hAnsi="Times New Roman" w:cs="Times New Roman"/>
          <w:b w:val="0"/>
          <w:i w:val="0"/>
          <w:sz w:val="22"/>
        </w:rPr>
        <w:t>Full specification in 16.13. LSP-specific cards: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Card</w:t>
            </w:r>
          </w:p>
        </w:tc>
        <w:tc>
          <w:tcPr>
            <w:tcW w:type="dxa" w:w="4819"/>
            <w:shd w:val="clear" w:fill="D9E2F3"/>
          </w:tcPr>
          <w:p>
            <w:pPr>
              <w:spacing w:after="20" w:before="20" w:line="240" w:lineRule="auto"/>
            </w:pPr>
            <w:r/>
            <w:r>
              <w:rPr>
                <w:rFonts w:ascii="Arial" w:hAnsi="Arial" w:cs="Arial"/>
                <w:b/>
                <w:i w:val="0"/>
                <w:sz w:val="18"/>
              </w:rPr>
              <w:t>Metric</w:t>
            </w:r>
          </w:p>
        </w:tc>
      </w:tr>
      <w:tr>
        <w:tc>
          <w:tcPr>
            <w:tcW w:type="dxa" w:w="4819"/>
          </w:tcPr>
          <w:p>
            <w:pPr>
              <w:spacing w:after="20" w:before="20" w:line="240" w:lineRule="auto"/>
            </w:pPr>
            <w:r/>
            <w:r>
              <w:rPr>
                <w:rFonts w:ascii="Arial" w:hAnsi="Arial" w:cs="Arial"/>
                <w:b w:val="0"/>
                <w:i w:val="0"/>
                <w:sz w:val="17"/>
              </w:rPr>
              <w:t>Open RFQs</w:t>
            </w:r>
          </w:p>
        </w:tc>
        <w:tc>
          <w:tcPr>
            <w:tcW w:type="dxa" w:w="4819"/>
          </w:tcPr>
          <w:p>
            <w:pPr>
              <w:spacing w:after="20" w:before="20" w:line="240" w:lineRule="auto"/>
            </w:pPr>
            <w:r/>
            <w:r>
              <w:rPr>
                <w:rFonts w:ascii="Arial" w:hAnsi="Arial" w:cs="Arial"/>
                <w:b w:val="0"/>
                <w:i w:val="0"/>
                <w:sz w:val="17"/>
              </w:rPr>
              <w:t>Pending RFQs awaiting response</w:t>
            </w:r>
          </w:p>
        </w:tc>
      </w:tr>
      <w:tr>
        <w:tc>
          <w:tcPr>
            <w:tcW w:type="dxa" w:w="4819"/>
          </w:tcPr>
          <w:p>
            <w:pPr>
              <w:spacing w:after="20" w:before="20" w:line="240" w:lineRule="auto"/>
            </w:pPr>
            <w:r/>
            <w:r>
              <w:rPr>
                <w:rFonts w:ascii="Arial" w:hAnsi="Arial" w:cs="Arial"/>
                <w:b w:val="0"/>
                <w:i w:val="0"/>
                <w:sz w:val="17"/>
              </w:rPr>
              <w:t>Active Shipments</w:t>
            </w:r>
          </w:p>
        </w:tc>
        <w:tc>
          <w:tcPr>
            <w:tcW w:type="dxa" w:w="4819"/>
          </w:tcPr>
          <w:p>
            <w:pPr>
              <w:spacing w:after="20" w:before="20" w:line="240" w:lineRule="auto"/>
            </w:pPr>
            <w:r/>
            <w:r>
              <w:rPr>
                <w:rFonts w:ascii="Arial" w:hAnsi="Arial" w:cs="Arial"/>
                <w:b w:val="0"/>
                <w:i w:val="0"/>
                <w:sz w:val="17"/>
              </w:rPr>
              <w:t>Accepted jobs in execution</w:t>
            </w:r>
          </w:p>
        </w:tc>
      </w:tr>
      <w:tr>
        <w:tc>
          <w:tcPr>
            <w:tcW w:type="dxa" w:w="4819"/>
          </w:tcPr>
          <w:p>
            <w:pPr>
              <w:spacing w:after="20" w:before="20" w:line="240" w:lineRule="auto"/>
            </w:pPr>
            <w:r/>
            <w:r>
              <w:rPr>
                <w:rFonts w:ascii="Arial" w:hAnsi="Arial" w:cs="Arial"/>
                <w:b w:val="0"/>
                <w:i w:val="0"/>
                <w:sz w:val="17"/>
              </w:rPr>
              <w:t>Pending Payments</w:t>
            </w:r>
          </w:p>
        </w:tc>
        <w:tc>
          <w:tcPr>
            <w:tcW w:type="dxa" w:w="4819"/>
          </w:tcPr>
          <w:p>
            <w:pPr>
              <w:spacing w:after="20" w:before="20" w:line="240" w:lineRule="auto"/>
            </w:pPr>
            <w:r/>
            <w:r>
              <w:rPr>
                <w:rFonts w:ascii="Arial" w:hAnsi="Arial" w:cs="Arial"/>
                <w:b w:val="0"/>
                <w:i w:val="0"/>
                <w:sz w:val="17"/>
              </w:rPr>
              <w:t>Invoices awaiting payer action</w:t>
            </w:r>
          </w:p>
        </w:tc>
      </w:tr>
      <w:tr>
        <w:tc>
          <w:tcPr>
            <w:tcW w:type="dxa" w:w="4819"/>
          </w:tcPr>
          <w:p>
            <w:pPr>
              <w:spacing w:after="20" w:before="20" w:line="240" w:lineRule="auto"/>
            </w:pPr>
            <w:r/>
            <w:r>
              <w:rPr>
                <w:rFonts w:ascii="Arial" w:hAnsi="Arial" w:cs="Arial"/>
                <w:b w:val="0"/>
                <w:i w:val="0"/>
                <w:sz w:val="17"/>
              </w:rPr>
              <w:t>Compliance Alerts</w:t>
            </w:r>
          </w:p>
        </w:tc>
        <w:tc>
          <w:tcPr>
            <w:tcW w:type="dxa" w:w="4819"/>
          </w:tcPr>
          <w:p>
            <w:pPr>
              <w:spacing w:after="20" w:before="20" w:line="240" w:lineRule="auto"/>
            </w:pPr>
            <w:r/>
            <w:r>
              <w:rPr>
                <w:rFonts w:ascii="Arial" w:hAnsi="Arial" w:cs="Arial"/>
                <w:b w:val="0"/>
                <w:i w:val="0"/>
                <w:sz w:val="17"/>
              </w:rPr>
              <w:t>Licence, insurance, sanctions alerts</w:t>
            </w:r>
          </w:p>
        </w:tc>
      </w:tr>
      <w:tr>
        <w:tc>
          <w:tcPr>
            <w:tcW w:type="dxa" w:w="4819"/>
          </w:tcPr>
          <w:p>
            <w:pPr>
              <w:spacing w:after="20" w:before="20" w:line="240" w:lineRule="auto"/>
            </w:pPr>
            <w:r/>
            <w:r>
              <w:rPr>
                <w:rFonts w:ascii="Arial" w:hAnsi="Arial" w:cs="Arial"/>
                <w:b w:val="0"/>
                <w:i w:val="0"/>
                <w:sz w:val="17"/>
              </w:rPr>
              <w:t>Performance Summary</w:t>
            </w:r>
          </w:p>
        </w:tc>
        <w:tc>
          <w:tcPr>
            <w:tcW w:type="dxa" w:w="4819"/>
          </w:tcPr>
          <w:p>
            <w:pPr>
              <w:spacing w:after="20" w:before="20" w:line="240" w:lineRule="auto"/>
            </w:pPr>
            <w:r/>
            <w:r>
              <w:rPr>
                <w:rFonts w:ascii="Arial" w:hAnsi="Arial" w:cs="Arial"/>
                <w:b w:val="0"/>
                <w:i w:val="0"/>
                <w:sz w:val="17"/>
              </w:rPr>
              <w:t>On-time delivery and dispute-rate snapshot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LSP-specific quick actions: Respond to RFQ, View Dispatch Planner, Generate Invoice, Pair Driver App, Update Service Catalogue, Contact Support.</w:t>
      </w:r>
    </w:p>
    <w:p>
      <w:pPr>
        <w:spacing w:after="80" w:line="293" w:lineRule="auto"/>
        <w:jc w:val="left"/>
      </w:pPr>
      <w:r>
        <w:rPr>
          <w:rFonts w:ascii="Times New Roman" w:hAnsi="Times New Roman" w:cs="Times New Roman"/>
          <w:b w:val="0"/>
          <w:i w:val="0"/>
          <w:sz w:val="22"/>
        </w:rPr>
        <w:t>One-click: click any card → navigates to the relevant tab.</w:t>
      </w:r>
    </w:p>
    <w:p>
      <w:pPr>
        <w:keepNext/>
        <w:spacing w:before="140" w:after="60"/>
        <w:outlineLvl w:val="3"/>
      </w:pPr>
      <w:r>
        <w:rPr>
          <w:rFonts w:ascii="Arial" w:hAnsi="Arial" w:cs="Arial"/>
          <w:b/>
          <w:i/>
          <w:color w:val="333333"/>
          <w:sz w:val="22"/>
        </w:rPr>
        <w:t>Tab 2: RFQ Inbox</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receive and respond to requests for quotation from sellers (directed or anonymous broadcast).</w:t>
      </w:r>
    </w:p>
    <w:p>
      <w:pPr>
        <w:keepNext/>
        <w:spacing w:before="240" w:after="100"/>
        <w:outlineLvl w:val="1"/>
      </w:pPr>
      <w:r>
        <w:rPr>
          <w:rFonts w:ascii="Arial" w:hAnsi="Arial" w:cs="Arial"/>
          <w:b/>
          <w:i w:val="0"/>
          <w:color w:val="2E528F"/>
          <w:sz w:val="26"/>
        </w:rPr>
        <w:t>2.1 RFQ List. Example:</w:t>
      </w:r>
    </w:p>
    <w:p>
      <w:pPr>
        <w:spacing w:after="0" w:before="0" w:line="240" w:lineRule="auto"/>
        <w:ind w:left="57"/>
        <w:jc w:val="left"/>
        <w:shd w:val="clear" w:fill="F2F2F2"/>
      </w:pPr>
      <w:r>
        <w:rPr>
          <w:rFonts w:ascii="Consolas" w:hAnsi="Consolas" w:cs="Consolas"/>
          <w:b w:val="0"/>
          <w:i w:val="0"/>
          <w:sz w:val="15"/>
        </w:rPr>
        <w:t>RFQ INBOX (5)</w:t>
      </w:r>
    </w:p>
    <w:p>
      <w:pPr>
        <w:spacing w:after="0" w:before="0" w:line="240" w:lineRule="auto"/>
        <w:ind w:left="57"/>
        <w:jc w:val="left"/>
        <w:shd w:val="clear" w:fill="F2F2F2"/>
      </w:pPr>
      <w:r>
        <w:rPr>
          <w:rFonts w:ascii="Consolas" w:hAnsi="Consolas" w:cs="Consolas"/>
          <w:b w:val="0"/>
          <w:i w:val="0"/>
          <w:sz w:val="15"/>
        </w:rPr>
        <w:t>Filters: [Status: Pending ▼] [Service: Trucking ▼] [Route: All ▼] [Search: ___]</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Match: 94 (high)</w:t>
      </w:r>
    </w:p>
    <w:p>
      <w:pPr>
        <w:spacing w:after="0" w:before="0" w:line="240" w:lineRule="auto"/>
        <w:ind w:left="57"/>
        <w:jc w:val="left"/>
        <w:shd w:val="clear" w:fill="F2F2F2"/>
      </w:pPr>
      <w:r>
        <w:rPr>
          <w:rFonts w:ascii="Consolas" w:hAnsi="Consolas" w:cs="Consolas"/>
          <w:b w:val="0"/>
          <w:i w:val="0"/>
          <w:sz w:val="15"/>
        </w:rPr>
        <w:t>Service: Trucking     Route: Beheira → Damietta</w:t>
      </w:r>
    </w:p>
    <w:p>
      <w:pPr>
        <w:spacing w:after="0" w:before="0" w:line="240" w:lineRule="auto"/>
        <w:ind w:left="57"/>
        <w:jc w:val="left"/>
        <w:shd w:val="clear" w:fill="F2F2F2"/>
      </w:pPr>
      <w:r>
        <w:rPr>
          <w:rFonts w:ascii="Consolas" w:hAnsi="Consolas" w:cs="Consolas"/>
          <w:b w:val="0"/>
          <w:i w:val="0"/>
          <w:sz w:val="15"/>
        </w:rPr>
        <w:t>Commodity: Frozen strawberries (HS 0811)    Volume: 20,000 kg</w:t>
      </w:r>
    </w:p>
    <w:p>
      <w:pPr>
        <w:spacing w:after="0" w:before="0" w:line="240" w:lineRule="auto"/>
        <w:ind w:left="57"/>
        <w:jc w:val="left"/>
        <w:shd w:val="clear" w:fill="F2F2F2"/>
      </w:pPr>
      <w:r>
        <w:rPr>
          <w:rFonts w:ascii="Consolas" w:hAnsi="Consolas" w:cs="Consolas"/>
          <w:b w:val="0"/>
          <w:i w:val="0"/>
          <w:sz w:val="15"/>
        </w:rPr>
        <w:t>Loading Window: 14 Jun 08:00–12:00    Validity: 12h remaining</w:t>
      </w:r>
    </w:p>
    <w:p>
      <w:pPr>
        <w:spacing w:after="0" w:before="0" w:line="240" w:lineRule="auto"/>
        <w:ind w:left="57"/>
        <w:jc w:val="left"/>
        <w:shd w:val="clear" w:fill="F2F2F2"/>
      </w:pPr>
      <w:r>
        <w:rPr>
          <w:rFonts w:ascii="Consolas" w:hAnsi="Consolas" w:cs="Consolas"/>
          <w:b w:val="0"/>
          <w:i w:val="0"/>
          <w:sz w:val="15"/>
        </w:rPr>
        <w:t>Type: Directed (seller: Mekong Fresh)</w:t>
      </w:r>
    </w:p>
    <w:p>
      <w:pPr>
        <w:spacing w:after="0" w:before="0" w:line="240" w:lineRule="auto"/>
        <w:ind w:left="57"/>
        <w:jc w:val="left"/>
        <w:shd w:val="clear" w:fill="F2F2F2"/>
      </w:pPr>
      <w:r>
        <w:rPr>
          <w:rFonts w:ascii="Consolas" w:hAnsi="Consolas" w:cs="Consolas"/>
          <w:b w:val="0"/>
          <w:i w:val="0"/>
          <w:sz w:val="15"/>
        </w:rPr>
        <w:t>[Send Quote] [Ask Clarification] [Decline]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Match: 88 (good)</w:t>
      </w:r>
    </w:p>
    <w:p>
      <w:pPr>
        <w:spacing w:after="0" w:before="0" w:line="240" w:lineRule="auto"/>
        <w:ind w:left="57"/>
        <w:jc w:val="left"/>
        <w:shd w:val="clear" w:fill="F2F2F2"/>
      </w:pPr>
      <w:r>
        <w:rPr>
          <w:rFonts w:ascii="Consolas" w:hAnsi="Consolas" w:cs="Consolas"/>
          <w:b w:val="0"/>
          <w:i w:val="0"/>
          <w:sz w:val="15"/>
        </w:rPr>
        <w:t>Service: Trucking     Route: Cairo → Alexandria</w:t>
      </w:r>
    </w:p>
    <w:p>
      <w:pPr>
        <w:spacing w:after="0" w:before="0" w:line="240" w:lineRule="auto"/>
        <w:ind w:left="57"/>
        <w:jc w:val="left"/>
        <w:shd w:val="clear" w:fill="F2F2F2"/>
      </w:pPr>
      <w:r>
        <w:rPr>
          <w:rFonts w:ascii="Consolas" w:hAnsi="Consolas" w:cs="Consolas"/>
          <w:b w:val="0"/>
          <w:i w:val="0"/>
          <w:sz w:val="15"/>
        </w:rPr>
        <w:t>Commodity: Fresh vegetables (HS 07)         Volume: 10,000 kg</w:t>
      </w:r>
    </w:p>
    <w:p>
      <w:pPr>
        <w:spacing w:after="0" w:before="0" w:line="240" w:lineRule="auto"/>
        <w:ind w:left="57"/>
        <w:jc w:val="left"/>
        <w:shd w:val="clear" w:fill="F2F2F2"/>
      </w:pPr>
      <w:r>
        <w:rPr>
          <w:rFonts w:ascii="Consolas" w:hAnsi="Consolas" w:cs="Consolas"/>
          <w:b w:val="0"/>
          <w:i w:val="0"/>
          <w:sz w:val="15"/>
        </w:rPr>
        <w:t>Loading Window: 15 Jun 10:00–14:00    Validity: 18h remaining</w:t>
      </w:r>
    </w:p>
    <w:p>
      <w:pPr>
        <w:spacing w:after="0" w:before="0" w:line="240" w:lineRule="auto"/>
        <w:ind w:left="57"/>
        <w:jc w:val="left"/>
        <w:shd w:val="clear" w:fill="F2F2F2"/>
      </w:pPr>
      <w:r>
        <w:rPr>
          <w:rFonts w:ascii="Consolas" w:hAnsi="Consolas" w:cs="Consolas"/>
          <w:b w:val="0"/>
          <w:i w:val="0"/>
          <w:sz w:val="15"/>
        </w:rPr>
        <w:t>Type: Anonymous (seller hidden)</w:t>
      </w:r>
    </w:p>
    <w:p>
      <w:pPr>
        <w:spacing w:after="0" w:before="0" w:line="240" w:lineRule="auto"/>
        <w:ind w:left="57"/>
        <w:jc w:val="left"/>
        <w:shd w:val="clear" w:fill="F2F2F2"/>
      </w:pPr>
      <w:r>
        <w:rPr>
          <w:rFonts w:ascii="Consolas" w:hAnsi="Consolas" w:cs="Consolas"/>
          <w:b w:val="0"/>
          <w:i w:val="0"/>
          <w:sz w:val="15"/>
        </w:rPr>
        <w:t>[Send Quote] [Ask Clarification] [Decline]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Match: 92 (high)</w:t>
      </w:r>
    </w:p>
    <w:p>
      <w:pPr>
        <w:spacing w:after="0" w:before="0" w:line="240" w:lineRule="auto"/>
        <w:ind w:left="57"/>
        <w:jc w:val="left"/>
        <w:shd w:val="clear" w:fill="F2F2F2"/>
      </w:pPr>
      <w:r>
        <w:rPr>
          <w:rFonts w:ascii="Consolas" w:hAnsi="Consolas" w:cs="Consolas"/>
          <w:b w:val="0"/>
          <w:i w:val="0"/>
          <w:sz w:val="15"/>
        </w:rPr>
        <w:t>Service: Ocean Freight   Route: Alexandria → Hamburg</w:t>
      </w:r>
    </w:p>
    <w:p>
      <w:pPr>
        <w:spacing w:after="0" w:before="0" w:line="240" w:lineRule="auto"/>
        <w:ind w:left="57"/>
        <w:jc w:val="left"/>
        <w:shd w:val="clear" w:fill="F2F2F2"/>
      </w:pPr>
      <w:r>
        <w:rPr>
          <w:rFonts w:ascii="Consolas" w:hAnsi="Consolas" w:cs="Consolas"/>
          <w:b w:val="0"/>
          <w:i w:val="0"/>
          <w:sz w:val="15"/>
        </w:rPr>
        <w:t>Commodity: Citrus (HS 0805)    Volume: 2 × 40ft</w:t>
      </w:r>
    </w:p>
    <w:p>
      <w:pPr>
        <w:spacing w:after="0" w:before="0" w:line="240" w:lineRule="auto"/>
        <w:ind w:left="57"/>
        <w:jc w:val="left"/>
        <w:shd w:val="clear" w:fill="F2F2F2"/>
      </w:pPr>
      <w:r>
        <w:rPr>
          <w:rFonts w:ascii="Consolas" w:hAnsi="Consolas" w:cs="Consolas"/>
          <w:b w:val="0"/>
          <w:i w:val="0"/>
          <w:sz w:val="15"/>
        </w:rPr>
        <w:t>Loading Window: 20 Jun 08:00–18:00    Validity: 6h remaining</w:t>
      </w:r>
    </w:p>
    <w:p>
      <w:pPr>
        <w:spacing w:after="0" w:before="0" w:line="240" w:lineRule="auto"/>
        <w:ind w:left="57"/>
        <w:jc w:val="left"/>
        <w:shd w:val="clear" w:fill="F2F2F2"/>
      </w:pPr>
      <w:r>
        <w:rPr>
          <w:rFonts w:ascii="Consolas" w:hAnsi="Consolas" w:cs="Consolas"/>
          <w:b w:val="0"/>
          <w:i w:val="0"/>
          <w:sz w:val="15"/>
        </w:rPr>
        <w:t>Type: Directed (seller: Nile Foods)</w:t>
      </w:r>
    </w:p>
    <w:p>
      <w:pPr>
        <w:spacing w:after="0" w:before="0" w:line="240" w:lineRule="auto"/>
        <w:ind w:left="57"/>
        <w:jc w:val="left"/>
        <w:shd w:val="clear" w:fill="F2F2F2"/>
      </w:pPr>
      <w:r>
        <w:rPr>
          <w:rFonts w:ascii="Consolas" w:hAnsi="Consolas" w:cs="Consolas"/>
          <w:b w:val="0"/>
          <w:i w:val="0"/>
          <w:sz w:val="15"/>
        </w:rPr>
        <w:t>[Send Quote] [Ask Clarification] [Decline]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Match Score Explanation (A1):</w:t>
      </w:r>
    </w:p>
    <w:p>
      <w:pPr>
        <w:spacing w:after="0" w:before="0" w:line="240" w:lineRule="auto"/>
        <w:ind w:left="57"/>
        <w:jc w:val="left"/>
        <w:shd w:val="clear" w:fill="F2F2F2"/>
      </w:pPr>
      <w:r>
        <w:rPr>
          <w:rFonts w:ascii="Consolas" w:hAnsi="Consolas" w:cs="Consolas"/>
          <w:b w:val="0"/>
          <w:i w:val="0"/>
          <w:sz w:val="15"/>
        </w:rPr>
        <w:t>Match Score: 94 (high)</w:t>
      </w:r>
    </w:p>
    <w:p>
      <w:pPr>
        <w:spacing w:after="0" w:before="0" w:line="240" w:lineRule="auto"/>
        <w:ind w:left="57"/>
        <w:jc w:val="left"/>
        <w:shd w:val="clear" w:fill="F2F2F2"/>
      </w:pPr>
      <w:r>
        <w:rPr>
          <w:rFonts w:ascii="Consolas" w:hAnsi="Consolas" w:cs="Consolas"/>
          <w:b w:val="0"/>
          <w:i w:val="0"/>
          <w:sz w:val="15"/>
        </w:rPr>
        <w:t>You are seeing this because:</w:t>
      </w:r>
    </w:p>
    <w:p>
      <w:pPr>
        <w:spacing w:after="0" w:before="0" w:line="240" w:lineRule="auto"/>
        <w:ind w:left="57"/>
        <w:jc w:val="left"/>
        <w:shd w:val="clear" w:fill="F2F2F2"/>
      </w:pPr>
      <w:r>
        <w:rPr>
          <w:rFonts w:ascii="Consolas" w:hAnsi="Consolas" w:cs="Consolas"/>
          <w:b w:val="0"/>
          <w:i w:val="0"/>
          <w:sz w:val="15"/>
        </w:rPr>
        <w:t xml:space="preserve">  • Your route network covers Beheira → Damietta (94% match)</w:t>
      </w:r>
    </w:p>
    <w:p>
      <w:pPr>
        <w:spacing w:after="0" w:before="0" w:line="240" w:lineRule="auto"/>
        <w:ind w:left="57"/>
        <w:jc w:val="left"/>
        <w:shd w:val="clear" w:fill="F2F2F2"/>
      </w:pPr>
      <w:r>
        <w:rPr>
          <w:rFonts w:ascii="Consolas" w:hAnsi="Consolas" w:cs="Consolas"/>
          <w:b w:val="0"/>
          <w:i w:val="0"/>
          <w:sz w:val="15"/>
        </w:rPr>
        <w:t xml:space="preserve">  • You have a strong on-time performance rating (92%) on this route</w:t>
      </w:r>
    </w:p>
    <w:p>
      <w:pPr>
        <w:spacing w:after="0" w:before="0" w:line="240" w:lineRule="auto"/>
        <w:ind w:left="57"/>
        <w:jc w:val="left"/>
        <w:shd w:val="clear" w:fill="F2F2F2"/>
      </w:pPr>
      <w:r>
        <w:rPr>
          <w:rFonts w:ascii="Consolas" w:hAnsi="Consolas" w:cs="Consolas"/>
          <w:b w:val="0"/>
          <w:i w:val="0"/>
          <w:sz w:val="15"/>
        </w:rPr>
        <w:t xml:space="preserve">  • You have completed 12 similar shipments in the last 6 months</w:t>
      </w:r>
    </w:p>
    <w:p>
      <w:pPr>
        <w:spacing w:after="0" w:before="0" w:line="240" w:lineRule="auto"/>
        <w:ind w:left="57"/>
        <w:jc w:val="left"/>
        <w:shd w:val="clear" w:fill="F2F2F2"/>
      </w:pPr>
      <w:r>
        <w:rPr>
          <w:rFonts w:ascii="Consolas" w:hAnsi="Consolas" w:cs="Consolas"/>
          <w:b w:val="0"/>
          <w:i w:val="0"/>
          <w:sz w:val="15"/>
        </w:rPr>
        <w:t xml:space="preserve">  • Your response time to RFQs on this route is 80% faster than average</w:t>
      </w:r>
    </w:p>
    <w:p>
      <w:pPr>
        <w:spacing w:after="0" w:before="0" w:line="240" w:lineRule="auto"/>
        <w:ind w:left="57"/>
        <w:jc w:val="left"/>
        <w:shd w:val="clear" w:fill="F2F2F2"/>
      </w:pPr>
      <w:r>
        <w:rPr>
          <w:rFonts w:ascii="Consolas" w:hAnsi="Consolas" w:cs="Consolas"/>
          <w:b w:val="0"/>
          <w:i w:val="0"/>
          <w:sz w:val="15"/>
        </w:rPr>
        <w:t>[Show details] [Dismiss]</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2.2 Directed vs Anonymous RFQ. Anonymous RFQ example:</w:t>
      </w:r>
    </w:p>
    <w:p>
      <w:pPr>
        <w:spacing w:after="0" w:before="0" w:line="240" w:lineRule="auto"/>
        <w:ind w:left="57"/>
        <w:jc w:val="left"/>
        <w:shd w:val="clear" w:fill="F2F2F2"/>
      </w:pPr>
      <w:r>
        <w:rPr>
          <w:rFonts w:ascii="Consolas" w:hAnsi="Consolas" w:cs="Consolas"/>
          <w:b w:val="0"/>
          <w:i w:val="0"/>
          <w:sz w:val="15"/>
        </w:rPr>
        <w:t>Anonymous Broadcast RFQ</w:t>
      </w:r>
    </w:p>
    <w:p>
      <w:pPr>
        <w:spacing w:after="0" w:before="0" w:line="240" w:lineRule="auto"/>
        <w:ind w:left="57"/>
        <w:jc w:val="left"/>
        <w:shd w:val="clear" w:fill="F2F2F2"/>
      </w:pPr>
      <w:r>
        <w:rPr>
          <w:rFonts w:ascii="Consolas" w:hAnsi="Consolas" w:cs="Consolas"/>
          <w:b w:val="0"/>
          <w:i w:val="0"/>
          <w:sz w:val="15"/>
        </w:rPr>
        <w:t>Service: Trucking     Route: Region A → Region B</w:t>
      </w:r>
    </w:p>
    <w:p>
      <w:pPr>
        <w:spacing w:after="0" w:before="0" w:line="240" w:lineRule="auto"/>
        <w:ind w:left="57"/>
        <w:jc w:val="left"/>
        <w:shd w:val="clear" w:fill="F2F2F2"/>
      </w:pPr>
      <w:r>
        <w:rPr>
          <w:rFonts w:ascii="Consolas" w:hAnsi="Consolas" w:cs="Consolas"/>
          <w:b w:val="0"/>
          <w:i w:val="0"/>
          <w:sz w:val="15"/>
        </w:rPr>
        <w:t>Commodity: HS Chapter 08 (Fruit)    Volume: 20,000 kg</w:t>
      </w:r>
    </w:p>
    <w:p>
      <w:pPr>
        <w:spacing w:after="0" w:before="0" w:line="240" w:lineRule="auto"/>
        <w:ind w:left="57"/>
        <w:jc w:val="left"/>
        <w:shd w:val="clear" w:fill="F2F2F2"/>
      </w:pPr>
      <w:r>
        <w:rPr>
          <w:rFonts w:ascii="Consolas" w:hAnsi="Consolas" w:cs="Consolas"/>
          <w:b w:val="0"/>
          <w:i w:val="0"/>
          <w:sz w:val="15"/>
        </w:rPr>
        <w:t>Loading Window: 14 Jun 08:00–12:00    Match Score: 88 (good)</w:t>
      </w:r>
    </w:p>
    <w:p>
      <w:pPr>
        <w:spacing w:after="0" w:before="0" w:line="240" w:lineRule="auto"/>
        <w:ind w:left="57"/>
        <w:jc w:val="left"/>
        <w:shd w:val="clear" w:fill="F2F2F2"/>
      </w:pPr>
      <w:r>
        <w:rPr>
          <w:rFonts w:ascii="Consolas" w:hAnsi="Consolas" w:cs="Consolas"/>
          <w:b w:val="0"/>
          <w:i w:val="0"/>
          <w:sz w:val="15"/>
        </w:rPr>
        <w:t>Seller identity is hidden until you accept the quote.</w:t>
      </w:r>
    </w:p>
    <w:p>
      <w:pPr>
        <w:spacing w:after="0" w:before="0" w:line="240" w:lineRule="auto"/>
        <w:ind w:left="57"/>
        <w:jc w:val="left"/>
        <w:shd w:val="clear" w:fill="F2F2F2"/>
      </w:pPr>
      <w:r>
        <w:rPr>
          <w:rFonts w:ascii="Consolas" w:hAnsi="Consolas" w:cs="Consolas"/>
          <w:b w:val="0"/>
          <w:i w:val="0"/>
          <w:sz w:val="15"/>
        </w:rPr>
        <w:t>[Send Quote] [Ask Clarification] [Decline]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2.3 Clarification Request (Structured Q&amp;A). Example form and answers:</w:t>
      </w:r>
    </w:p>
    <w:p>
      <w:pPr>
        <w:spacing w:after="0" w:before="0" w:line="240" w:lineRule="auto"/>
        <w:ind w:left="57"/>
        <w:jc w:val="left"/>
        <w:shd w:val="clear" w:fill="F2F2F2"/>
      </w:pPr>
      <w:r>
        <w:rPr>
          <w:rFonts w:ascii="Consolas" w:hAnsi="Consolas" w:cs="Consolas"/>
          <w:b w:val="0"/>
          <w:i w:val="0"/>
          <w:sz w:val="15"/>
        </w:rPr>
        <w:t>ASK CLARIFICATION — RFQ #RFQ-001</w:t>
      </w:r>
    </w:p>
    <w:p>
      <w:pPr>
        <w:spacing w:after="0" w:before="0" w:line="240" w:lineRule="auto"/>
        <w:ind w:left="57"/>
        <w:jc w:val="left"/>
        <w:shd w:val="clear" w:fill="F2F2F2"/>
      </w:pPr>
      <w:r>
        <w:rPr>
          <w:rFonts w:ascii="Consolas" w:hAnsi="Consolas" w:cs="Consolas"/>
          <w:b w:val="0"/>
          <w:i w:val="0"/>
          <w:sz w:val="15"/>
        </w:rPr>
        <w:t>Questions for Seller (Mekong Fresh):</w:t>
      </w:r>
    </w:p>
    <w:p>
      <w:pPr>
        <w:spacing w:after="0" w:before="0" w:line="240" w:lineRule="auto"/>
        <w:ind w:left="57"/>
        <w:jc w:val="left"/>
        <w:shd w:val="clear" w:fill="F2F2F2"/>
      </w:pPr>
      <w:r>
        <w:rPr>
          <w:rFonts w:ascii="Consolas" w:hAnsi="Consolas" w:cs="Consolas"/>
          <w:b w:val="0"/>
          <w:i w:val="0"/>
          <w:sz w:val="15"/>
        </w:rPr>
        <w:t>1. Are there any access restrictions at the pickup location?</w:t>
      </w:r>
    </w:p>
    <w:p>
      <w:pPr>
        <w:spacing w:after="0" w:before="0" w:line="240" w:lineRule="auto"/>
        <w:ind w:left="57"/>
        <w:jc w:val="left"/>
        <w:shd w:val="clear" w:fill="F2F2F2"/>
      </w:pPr>
      <w:r>
        <w:rPr>
          <w:rFonts w:ascii="Consolas" w:hAnsi="Consolas" w:cs="Consolas"/>
          <w:b w:val="0"/>
          <w:i w:val="0"/>
          <w:sz w:val="15"/>
        </w:rPr>
        <w:t xml:space="preserve">   [ No, standard 40ft truck access available ]</w:t>
      </w:r>
    </w:p>
    <w:p>
      <w:pPr>
        <w:spacing w:after="0" w:before="0" w:line="240" w:lineRule="auto"/>
        <w:ind w:left="57"/>
        <w:jc w:val="left"/>
        <w:shd w:val="clear" w:fill="F2F2F2"/>
      </w:pPr>
      <w:r>
        <w:rPr>
          <w:rFonts w:ascii="Consolas" w:hAnsi="Consolas" w:cs="Consolas"/>
          <w:b w:val="0"/>
          <w:i w:val="0"/>
          <w:sz w:val="15"/>
        </w:rPr>
        <w:t>2. Is the cargo temperature-sensitive?</w:t>
      </w:r>
    </w:p>
    <w:p>
      <w:pPr>
        <w:spacing w:after="0" w:before="0" w:line="240" w:lineRule="auto"/>
        <w:ind w:left="57"/>
        <w:jc w:val="left"/>
        <w:shd w:val="clear" w:fill="F2F2F2"/>
      </w:pPr>
      <w:r>
        <w:rPr>
          <w:rFonts w:ascii="Consolas" w:hAnsi="Consolas" w:cs="Consolas"/>
          <w:b w:val="0"/>
          <w:i w:val="0"/>
          <w:sz w:val="15"/>
        </w:rPr>
        <w:t xml:space="preserve">   [ Yes, frozen strawberries require -18°C ]</w:t>
      </w:r>
    </w:p>
    <w:p>
      <w:pPr>
        <w:spacing w:after="0" w:before="0" w:line="240" w:lineRule="auto"/>
        <w:ind w:left="57"/>
        <w:jc w:val="left"/>
        <w:shd w:val="clear" w:fill="F2F2F2"/>
      </w:pPr>
      <w:r>
        <w:rPr>
          <w:rFonts w:ascii="Consolas" w:hAnsi="Consolas" w:cs="Consolas"/>
          <w:b w:val="0"/>
          <w:i w:val="0"/>
          <w:sz w:val="15"/>
        </w:rPr>
        <w:t>3. Are there special handling requirements?</w:t>
      </w:r>
    </w:p>
    <w:p>
      <w:pPr>
        <w:spacing w:after="0" w:before="0" w:line="240" w:lineRule="auto"/>
        <w:ind w:left="57"/>
        <w:jc w:val="left"/>
        <w:shd w:val="clear" w:fill="F2F2F2"/>
      </w:pPr>
      <w:r>
        <w:rPr>
          <w:rFonts w:ascii="Consolas" w:hAnsi="Consolas" w:cs="Consolas"/>
          <w:b w:val="0"/>
          <w:i w:val="0"/>
          <w:sz w:val="15"/>
        </w:rPr>
        <w:t xml:space="preserve">   [ Pre-cooling certificate required before loading ]</w:t>
      </w:r>
    </w:p>
    <w:p>
      <w:pPr>
        <w:spacing w:after="0" w:before="0" w:line="240" w:lineRule="auto"/>
        <w:ind w:left="57"/>
        <w:jc w:val="left"/>
        <w:shd w:val="clear" w:fill="F2F2F2"/>
      </w:pPr>
      <w:r>
        <w:rPr>
          <w:rFonts w:ascii="Consolas" w:hAnsi="Consolas" w:cs="Consolas"/>
          <w:b w:val="0"/>
          <w:i w:val="0"/>
          <w:sz w:val="15"/>
        </w:rPr>
        <w:t>[Submit Questions] [Cancel]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Clarification Answers — RFQ #RFQ-001 (delivered to seller's Smart Inbox)</w:t>
      </w:r>
    </w:p>
    <w:p>
      <w:pPr>
        <w:spacing w:after="0" w:before="0" w:line="240" w:lineRule="auto"/>
        <w:ind w:left="57"/>
        <w:jc w:val="left"/>
        <w:shd w:val="clear" w:fill="F2F2F2"/>
      </w:pPr>
      <w:r>
        <w:rPr>
          <w:rFonts w:ascii="Consolas" w:hAnsi="Consolas" w:cs="Consolas"/>
          <w:b w:val="0"/>
          <w:i w:val="0"/>
          <w:sz w:val="15"/>
        </w:rPr>
        <w:t>Seller Mekong Fresh responded:</w:t>
      </w:r>
    </w:p>
    <w:p>
      <w:pPr>
        <w:spacing w:after="0" w:before="0" w:line="240" w:lineRule="auto"/>
        <w:ind w:left="57"/>
        <w:jc w:val="left"/>
        <w:shd w:val="clear" w:fill="F2F2F2"/>
      </w:pPr>
      <w:r>
        <w:rPr>
          <w:rFonts w:ascii="Consolas" w:hAnsi="Consolas" w:cs="Consolas"/>
          <w:b w:val="0"/>
          <w:i w:val="0"/>
          <w:sz w:val="15"/>
        </w:rPr>
        <w:t>1. "No, standard 40ft truck access is available. Loading dock is at Gate 3."</w:t>
      </w:r>
    </w:p>
    <w:p>
      <w:pPr>
        <w:spacing w:after="0" w:before="0" w:line="240" w:lineRule="auto"/>
        <w:ind w:left="57"/>
        <w:jc w:val="left"/>
        <w:shd w:val="clear" w:fill="F2F2F2"/>
      </w:pPr>
      <w:r>
        <w:rPr>
          <w:rFonts w:ascii="Consolas" w:hAnsi="Consolas" w:cs="Consolas"/>
          <w:b w:val="0"/>
          <w:i w:val="0"/>
          <w:sz w:val="15"/>
        </w:rPr>
        <w:t>2. "Yes, frozen strawberries must be kept at -18°C. Reefer required."</w:t>
      </w:r>
    </w:p>
    <w:p>
      <w:pPr>
        <w:spacing w:after="0" w:before="0" w:line="240" w:lineRule="auto"/>
        <w:ind w:left="57"/>
        <w:jc w:val="left"/>
        <w:shd w:val="clear" w:fill="F2F2F2"/>
      </w:pPr>
      <w:r>
        <w:rPr>
          <w:rFonts w:ascii="Consolas" w:hAnsi="Consolas" w:cs="Consolas"/>
          <w:b w:val="0"/>
          <w:i w:val="0"/>
          <w:sz w:val="15"/>
        </w:rPr>
        <w:t>3. "Pre-cooling certificate provided by our lab."</w:t>
      </w:r>
    </w:p>
    <w:p>
      <w:pPr>
        <w:spacing w:after="0" w:before="0" w:line="240" w:lineRule="auto"/>
        <w:ind w:left="57"/>
        <w:jc w:val="left"/>
        <w:shd w:val="clear" w:fill="F2F2F2"/>
      </w:pPr>
      <w:r>
        <w:rPr>
          <w:rFonts w:ascii="Consolas" w:hAnsi="Consolas" w:cs="Consolas"/>
          <w:b w:val="0"/>
          <w:i w:val="0"/>
          <w:sz w:val="15"/>
        </w:rPr>
        <w:t>[Send Quote] [Decline]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2.4 Quote Submission. Example form:</w:t>
      </w:r>
    </w:p>
    <w:p>
      <w:pPr>
        <w:spacing w:after="0" w:before="0" w:line="240" w:lineRule="auto"/>
        <w:ind w:left="57"/>
        <w:jc w:val="left"/>
        <w:shd w:val="clear" w:fill="F2F2F2"/>
      </w:pPr>
      <w:r>
        <w:rPr>
          <w:rFonts w:ascii="Consolas" w:hAnsi="Consolas" w:cs="Consolas"/>
          <w:b w:val="0"/>
          <w:i w:val="0"/>
          <w:sz w:val="15"/>
        </w:rPr>
        <w:t>SEND QUOTE — RFQ #RFQ-001</w:t>
      </w:r>
    </w:p>
    <w:p>
      <w:pPr>
        <w:spacing w:after="0" w:before="0" w:line="240" w:lineRule="auto"/>
        <w:ind w:left="57"/>
        <w:jc w:val="left"/>
        <w:shd w:val="clear" w:fill="F2F2F2"/>
      </w:pPr>
      <w:r>
        <w:rPr>
          <w:rFonts w:ascii="Consolas" w:hAnsi="Consolas" w:cs="Consolas"/>
          <w:b w:val="0"/>
          <w:i w:val="0"/>
          <w:sz w:val="15"/>
        </w:rPr>
        <w:t>Service: Trucking — Beheira → Damietta (150 km)</w:t>
      </w:r>
    </w:p>
    <w:p>
      <w:pPr>
        <w:spacing w:after="0" w:before="0" w:line="240" w:lineRule="auto"/>
        <w:ind w:left="57"/>
        <w:jc w:val="left"/>
        <w:shd w:val="clear" w:fill="F2F2F2"/>
      </w:pPr>
      <w:r>
        <w:rPr>
          <w:rFonts w:ascii="Consolas" w:hAnsi="Consolas" w:cs="Consolas"/>
          <w:b w:val="0"/>
          <w:i w:val="0"/>
          <w:sz w:val="15"/>
        </w:rPr>
        <w:t>Vehicle Type: Reefer      Estimated Distance: 150 km</w:t>
      </w:r>
    </w:p>
    <w:p>
      <w:pPr>
        <w:spacing w:after="0" w:before="0" w:line="240" w:lineRule="auto"/>
        <w:ind w:left="57"/>
        <w:jc w:val="left"/>
        <w:shd w:val="clear" w:fill="F2F2F2"/>
      </w:pPr>
      <w:r>
        <w:rPr>
          <w:rFonts w:ascii="Consolas" w:hAnsi="Consolas" w:cs="Consolas"/>
          <w:b w:val="0"/>
          <w:i w:val="0"/>
          <w:sz w:val="15"/>
        </w:rPr>
        <w:t>Fee Calculation:</w:t>
      </w:r>
    </w:p>
    <w:p>
      <w:pPr>
        <w:spacing w:after="0" w:before="0" w:line="240" w:lineRule="auto"/>
        <w:ind w:left="57"/>
        <w:jc w:val="left"/>
        <w:shd w:val="clear" w:fill="F2F2F2"/>
      </w:pPr>
      <w:r>
        <w:rPr>
          <w:rFonts w:ascii="Consolas" w:hAnsi="Consolas" w:cs="Consolas"/>
          <w:b w:val="0"/>
          <w:i w:val="0"/>
          <w:sz w:val="15"/>
        </w:rPr>
        <w:t xml:space="preserve">  Base Rate: $0.85/km</w:t>
      </w:r>
    </w:p>
    <w:p>
      <w:pPr>
        <w:spacing w:after="0" w:before="0" w:line="240" w:lineRule="auto"/>
        <w:ind w:left="57"/>
        <w:jc w:val="left"/>
        <w:shd w:val="clear" w:fill="F2F2F2"/>
      </w:pPr>
      <w:r>
        <w:rPr>
          <w:rFonts w:ascii="Consolas" w:hAnsi="Consolas" w:cs="Consolas"/>
          <w:b w:val="0"/>
          <w:i w:val="0"/>
          <w:sz w:val="15"/>
        </w:rPr>
        <w:t xml:space="preserve">  Distance:  150 km</w:t>
      </w:r>
    </w:p>
    <w:p>
      <w:pPr>
        <w:spacing w:after="0" w:before="0" w:line="240" w:lineRule="auto"/>
        <w:ind w:left="57"/>
        <w:jc w:val="left"/>
        <w:shd w:val="clear" w:fill="F2F2F2"/>
      </w:pPr>
      <w:r>
        <w:rPr>
          <w:rFonts w:ascii="Consolas" w:hAnsi="Consolas" w:cs="Consolas"/>
          <w:b w:val="0"/>
          <w:i w:val="0"/>
          <w:sz w:val="15"/>
        </w:rPr>
        <w:t xml:space="preserve">  Subtotal:  $127.50</w:t>
      </w:r>
    </w:p>
    <w:p>
      <w:pPr>
        <w:spacing w:after="0" w:before="0" w:line="240" w:lineRule="auto"/>
        <w:ind w:left="57"/>
        <w:jc w:val="left"/>
        <w:shd w:val="clear" w:fill="F2F2F2"/>
      </w:pPr>
      <w:r>
        <w:rPr>
          <w:rFonts w:ascii="Consolas" w:hAnsi="Consolas" w:cs="Consolas"/>
          <w:b w:val="0"/>
          <w:i w:val="0"/>
          <w:sz w:val="15"/>
        </w:rPr>
        <w:t xml:space="preserve">  Surcharge (Reefer): +$20.00</w:t>
      </w:r>
    </w:p>
    <w:p>
      <w:pPr>
        <w:spacing w:after="0" w:before="0" w:line="240" w:lineRule="auto"/>
        <w:ind w:left="57"/>
        <w:jc w:val="left"/>
        <w:shd w:val="clear" w:fill="F2F2F2"/>
      </w:pPr>
      <w:r>
        <w:rPr>
          <w:rFonts w:ascii="Consolas" w:hAnsi="Consolas" w:cs="Consolas"/>
          <w:b w:val="0"/>
          <w:i w:val="0"/>
          <w:sz w:val="15"/>
        </w:rPr>
        <w:t xml:space="preserve">  Total Fee: $147.50</w:t>
      </w:r>
    </w:p>
    <w:p>
      <w:pPr>
        <w:spacing w:after="0" w:before="0" w:line="240" w:lineRule="auto"/>
        <w:ind w:left="57"/>
        <w:jc w:val="left"/>
        <w:shd w:val="clear" w:fill="F2F2F2"/>
      </w:pPr>
      <w:r>
        <w:rPr>
          <w:rFonts w:ascii="Consolas" w:hAnsi="Consolas" w:cs="Consolas"/>
          <w:b w:val="0"/>
          <w:i w:val="0"/>
          <w:sz w:val="15"/>
        </w:rPr>
        <w:t>AI Quote Assistant (A1): "Suggested range: $130 — $160 based on historical</w:t>
      </w:r>
    </w:p>
    <w:p>
      <w:pPr>
        <w:spacing w:after="0" w:before="0" w:line="240" w:lineRule="auto"/>
        <w:ind w:left="57"/>
        <w:jc w:val="left"/>
        <w:shd w:val="clear" w:fill="F2F2F2"/>
      </w:pPr>
      <w:r>
        <w:rPr>
          <w:rFonts w:ascii="Consolas" w:hAnsi="Consolas" w:cs="Consolas"/>
          <w:b w:val="0"/>
          <w:i w:val="0"/>
          <w:sz w:val="15"/>
        </w:rPr>
        <w:t>quotes for this route. Your quote is competitive."</w:t>
      </w:r>
    </w:p>
    <w:p>
      <w:pPr>
        <w:spacing w:after="0" w:before="0" w:line="240" w:lineRule="auto"/>
        <w:ind w:left="57"/>
        <w:jc w:val="left"/>
        <w:shd w:val="clear" w:fill="F2F2F2"/>
      </w:pPr>
      <w:r>
        <w:rPr>
          <w:rFonts w:ascii="Consolas" w:hAnsi="Consolas" w:cs="Consolas"/>
          <w:b w:val="0"/>
          <w:i w:val="0"/>
          <w:sz w:val="15"/>
        </w:rPr>
        <w:t>Validity Period: [48] hours</w:t>
      </w:r>
    </w:p>
    <w:p>
      <w:pPr>
        <w:spacing w:after="0" w:before="0" w:line="240" w:lineRule="auto"/>
        <w:ind w:left="57"/>
        <w:jc w:val="left"/>
        <w:shd w:val="clear" w:fill="F2F2F2"/>
      </w:pPr>
      <w:r>
        <w:rPr>
          <w:rFonts w:ascii="Consolas" w:hAnsi="Consolas" w:cs="Consolas"/>
          <w:b w:val="0"/>
          <w:i w:val="0"/>
          <w:sz w:val="15"/>
        </w:rPr>
        <w:t>Notes: [Includes fuel, driver, insurance up to $50k. Reefer pre-cooled.]</w:t>
      </w:r>
    </w:p>
    <w:p>
      <w:pPr>
        <w:spacing w:after="0" w:before="0" w:line="240" w:lineRule="auto"/>
        <w:ind w:left="57"/>
        <w:jc w:val="left"/>
        <w:shd w:val="clear" w:fill="F2F2F2"/>
      </w:pPr>
      <w:r>
        <w:rPr>
          <w:rFonts w:ascii="Consolas" w:hAnsi="Consolas" w:cs="Consolas"/>
          <w:b w:val="0"/>
          <w:i w:val="0"/>
          <w:sz w:val="15"/>
        </w:rPr>
        <w:t>[Send Quote] [Cancel]</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2.5 Decline RFQ. Decline reason is mandatory (≥ 10 characters):</w:t>
      </w:r>
    </w:p>
    <w:p>
      <w:pPr>
        <w:spacing w:after="0" w:before="0" w:line="240" w:lineRule="auto"/>
        <w:ind w:left="57"/>
        <w:jc w:val="left"/>
        <w:shd w:val="clear" w:fill="F2F2F2"/>
      </w:pPr>
      <w:r>
        <w:rPr>
          <w:rFonts w:ascii="Consolas" w:hAnsi="Consolas" w:cs="Consolas"/>
          <w:b w:val="0"/>
          <w:i w:val="0"/>
          <w:sz w:val="15"/>
        </w:rPr>
        <w:t>DECLINE RFQ — RFQ #RFQ-001</w:t>
      </w:r>
    </w:p>
    <w:p>
      <w:pPr>
        <w:spacing w:after="0" w:before="0" w:line="240" w:lineRule="auto"/>
        <w:ind w:left="57"/>
        <w:jc w:val="left"/>
        <w:shd w:val="clear" w:fill="F2F2F2"/>
      </w:pPr>
      <w:r>
        <w:rPr>
          <w:rFonts w:ascii="Consolas" w:hAnsi="Consolas" w:cs="Consolas"/>
          <w:b w:val="0"/>
          <w:i w:val="0"/>
          <w:sz w:val="15"/>
        </w:rPr>
        <w:t>Reason for Declining: [We do not have reefer capacity available on that date.]</w:t>
      </w:r>
    </w:p>
    <w:p>
      <w:pPr>
        <w:spacing w:after="0" w:before="0" w:line="240" w:lineRule="auto"/>
        <w:ind w:left="57"/>
        <w:jc w:val="left"/>
        <w:shd w:val="clear" w:fill="F2F2F2"/>
      </w:pPr>
      <w:r>
        <w:rPr>
          <w:rFonts w:ascii="Consolas" w:hAnsi="Consolas" w:cs="Consolas"/>
          <w:b w:val="0"/>
          <w:i w:val="0"/>
          <w:sz w:val="15"/>
        </w:rPr>
        <w:t>[Submit] [Cancel]</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3: Active Shipments (Accepted Jobs)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all shipments where the LSP has been selected by the seller and has signed the logistics addendum (Section 9).</w:t>
      </w:r>
    </w:p>
    <w:p>
      <w:pPr>
        <w:keepNext/>
        <w:spacing w:before="240" w:after="100"/>
        <w:outlineLvl w:val="1"/>
      </w:pPr>
      <w:r>
        <w:rPr>
          <w:rFonts w:ascii="Arial" w:hAnsi="Arial" w:cs="Arial"/>
          <w:b/>
          <w:i w:val="0"/>
          <w:color w:val="2E528F"/>
          <w:sz w:val="26"/>
        </w:rPr>
        <w:t>3.1 Shipments List. Example:</w:t>
      </w:r>
    </w:p>
    <w:p>
      <w:pPr>
        <w:spacing w:after="0" w:before="0" w:line="240" w:lineRule="auto"/>
        <w:ind w:left="57"/>
        <w:jc w:val="left"/>
        <w:shd w:val="clear" w:fill="F2F2F2"/>
      </w:pPr>
      <w:r>
        <w:rPr>
          <w:rFonts w:ascii="Consolas" w:hAnsi="Consolas" w:cs="Consolas"/>
          <w:b w:val="0"/>
          <w:i w:val="0"/>
          <w:sz w:val="15"/>
        </w:rPr>
        <w:t>ACTIVE SHIPMENTS (3)</w:t>
      </w:r>
    </w:p>
    <w:p>
      <w:pPr>
        <w:spacing w:after="0" w:before="0" w:line="240" w:lineRule="auto"/>
        <w:ind w:left="57"/>
        <w:jc w:val="left"/>
        <w:shd w:val="clear" w:fill="F2F2F2"/>
      </w:pPr>
      <w:r>
        <w:rPr>
          <w:rFonts w:ascii="Consolas" w:hAnsi="Consolas" w:cs="Consolas"/>
          <w:b w:val="0"/>
          <w:i w:val="0"/>
          <w:sz w:val="15"/>
        </w:rPr>
        <w:t>Filters: [Status: All ▼] [Service: All ▼] [Date: Next 7 days ▼] [Search: ___]</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SGTX-EG-001</w:t>
      </w:r>
    </w:p>
    <w:p>
      <w:pPr>
        <w:spacing w:after="0" w:before="0" w:line="240" w:lineRule="auto"/>
        <w:ind w:left="57"/>
        <w:jc w:val="left"/>
        <w:shd w:val="clear" w:fill="F2F2F2"/>
      </w:pPr>
      <w:r>
        <w:rPr>
          <w:rFonts w:ascii="Consolas" w:hAnsi="Consolas" w:cs="Consolas"/>
          <w:b w:val="0"/>
          <w:i w:val="0"/>
          <w:sz w:val="15"/>
        </w:rPr>
        <w:t>Service: Trucking    Pickup: Beheira → Damietta</w:t>
      </w:r>
    </w:p>
    <w:p>
      <w:pPr>
        <w:spacing w:after="0" w:before="0" w:line="240" w:lineRule="auto"/>
        <w:ind w:left="57"/>
        <w:jc w:val="left"/>
        <w:shd w:val="clear" w:fill="F2F2F2"/>
      </w:pPr>
      <w:r>
        <w:rPr>
          <w:rFonts w:ascii="Consolas" w:hAnsi="Consolas" w:cs="Consolas"/>
          <w:b w:val="0"/>
          <w:i w:val="0"/>
          <w:sz w:val="15"/>
        </w:rPr>
        <w:t>Pickup Window: 14 Jun 08:00–12:00    Status: LOADED</w:t>
      </w:r>
    </w:p>
    <w:p>
      <w:pPr>
        <w:spacing w:after="0" w:before="0" w:line="240" w:lineRule="auto"/>
        <w:ind w:left="57"/>
        <w:jc w:val="left"/>
        <w:shd w:val="clear" w:fill="F2F2F2"/>
      </w:pPr>
      <w:r>
        <w:rPr>
          <w:rFonts w:ascii="Consolas" w:hAnsi="Consolas" w:cs="Consolas"/>
          <w:b w:val="0"/>
          <w:i w:val="0"/>
          <w:sz w:val="15"/>
        </w:rPr>
        <w:t>Payment: $147.50 (Paid)    Container Release: Acknowledged</w:t>
      </w:r>
    </w:p>
    <w:p>
      <w:pPr>
        <w:spacing w:after="0" w:before="0" w:line="240" w:lineRule="auto"/>
        <w:ind w:left="57"/>
        <w:jc w:val="left"/>
        <w:shd w:val="clear" w:fill="F2F2F2"/>
      </w:pPr>
      <w:r>
        <w:rPr>
          <w:rFonts w:ascii="Consolas" w:hAnsi="Consolas" w:cs="Consolas"/>
          <w:b w:val="0"/>
          <w:i w:val="0"/>
          <w:sz w:val="15"/>
        </w:rPr>
        <w:t>[Confirm Pickup] [Confirm Delivery] [View TCC] [Dispute]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SGTX-EG-002</w:t>
      </w:r>
    </w:p>
    <w:p>
      <w:pPr>
        <w:spacing w:after="0" w:before="0" w:line="240" w:lineRule="auto"/>
        <w:ind w:left="57"/>
        <w:jc w:val="left"/>
        <w:shd w:val="clear" w:fill="F2F2F2"/>
      </w:pPr>
      <w:r>
        <w:rPr>
          <w:rFonts w:ascii="Consolas" w:hAnsi="Consolas" w:cs="Consolas"/>
          <w:b w:val="0"/>
          <w:i w:val="0"/>
          <w:sz w:val="15"/>
        </w:rPr>
        <w:t>Service: Trucking    Pickup: Cairo → Alexandria</w:t>
      </w:r>
    </w:p>
    <w:p>
      <w:pPr>
        <w:spacing w:after="0" w:before="0" w:line="240" w:lineRule="auto"/>
        <w:ind w:left="57"/>
        <w:jc w:val="left"/>
        <w:shd w:val="clear" w:fill="F2F2F2"/>
      </w:pPr>
      <w:r>
        <w:rPr>
          <w:rFonts w:ascii="Consolas" w:hAnsi="Consolas" w:cs="Consolas"/>
          <w:b w:val="0"/>
          <w:i w:val="0"/>
          <w:sz w:val="15"/>
        </w:rPr>
        <w:t>Pickup Window: 15 Jun 10:00–14:00    Status: IN_TRANSIT</w:t>
      </w:r>
    </w:p>
    <w:p>
      <w:pPr>
        <w:spacing w:after="0" w:before="0" w:line="240" w:lineRule="auto"/>
        <w:ind w:left="57"/>
        <w:jc w:val="left"/>
        <w:shd w:val="clear" w:fill="F2F2F2"/>
      </w:pPr>
      <w:r>
        <w:rPr>
          <w:rFonts w:ascii="Consolas" w:hAnsi="Consolas" w:cs="Consolas"/>
          <w:b w:val="0"/>
          <w:i w:val="0"/>
          <w:sz w:val="15"/>
        </w:rPr>
        <w:t>Payment: $200.00 (Pending)    Container Release: Acknowledged</w:t>
      </w:r>
    </w:p>
    <w:p>
      <w:pPr>
        <w:spacing w:after="0" w:before="0" w:line="240" w:lineRule="auto"/>
        <w:ind w:left="57"/>
        <w:jc w:val="left"/>
        <w:shd w:val="clear" w:fill="F2F2F2"/>
      </w:pPr>
      <w:r>
        <w:rPr>
          <w:rFonts w:ascii="Consolas" w:hAnsi="Consolas" w:cs="Consolas"/>
          <w:b w:val="0"/>
          <w:i w:val="0"/>
          <w:sz w:val="15"/>
        </w:rPr>
        <w:t>[Confirm Delivery] [View TCC]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SGTX-EG-003</w:t>
      </w:r>
    </w:p>
    <w:p>
      <w:pPr>
        <w:spacing w:after="0" w:before="0" w:line="240" w:lineRule="auto"/>
        <w:ind w:left="57"/>
        <w:jc w:val="left"/>
        <w:shd w:val="clear" w:fill="F2F2F2"/>
      </w:pPr>
      <w:r>
        <w:rPr>
          <w:rFonts w:ascii="Consolas" w:hAnsi="Consolas" w:cs="Consolas"/>
          <w:b w:val="0"/>
          <w:i w:val="0"/>
          <w:sz w:val="15"/>
        </w:rPr>
        <w:t>Service: Trucking    Pickup: Port Said → Alexandria</w:t>
      </w:r>
    </w:p>
    <w:p>
      <w:pPr>
        <w:spacing w:after="0" w:before="0" w:line="240" w:lineRule="auto"/>
        <w:ind w:left="57"/>
        <w:jc w:val="left"/>
        <w:shd w:val="clear" w:fill="F2F2F2"/>
      </w:pPr>
      <w:r>
        <w:rPr>
          <w:rFonts w:ascii="Consolas" w:hAnsi="Consolas" w:cs="Consolas"/>
          <w:b w:val="0"/>
          <w:i w:val="0"/>
          <w:sz w:val="15"/>
        </w:rPr>
        <w:t>Pickup Window: 16 Jun 09:00–13:00    Status: BOOKED</w:t>
      </w:r>
    </w:p>
    <w:p>
      <w:pPr>
        <w:spacing w:after="0" w:before="0" w:line="240" w:lineRule="auto"/>
        <w:ind w:left="57"/>
        <w:jc w:val="left"/>
        <w:shd w:val="clear" w:fill="F2F2F2"/>
      </w:pPr>
      <w:r>
        <w:rPr>
          <w:rFonts w:ascii="Consolas" w:hAnsi="Consolas" w:cs="Consolas"/>
          <w:b w:val="0"/>
          <w:i w:val="0"/>
          <w:sz w:val="15"/>
        </w:rPr>
        <w:t>Payment: $130.00 (Pending)    Container Release: Pending Acknowledgment</w:t>
      </w:r>
    </w:p>
    <w:p>
      <w:pPr>
        <w:spacing w:after="0" w:before="0" w:line="240" w:lineRule="auto"/>
        <w:ind w:left="57"/>
        <w:jc w:val="left"/>
        <w:shd w:val="clear" w:fill="F2F2F2"/>
      </w:pPr>
      <w:r>
        <w:rPr>
          <w:rFonts w:ascii="Consolas" w:hAnsi="Consolas" w:cs="Consolas"/>
          <w:b w:val="0"/>
          <w:i w:val="0"/>
          <w:sz w:val="15"/>
        </w:rPr>
        <w:t>[Acknowledge Release] [View TCC]</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3.2 Milestone Confirmation (Voice-Enabled). Example modal:</w:t>
      </w:r>
    </w:p>
    <w:p>
      <w:pPr>
        <w:spacing w:after="0" w:before="0" w:line="240" w:lineRule="auto"/>
        <w:ind w:left="57"/>
        <w:jc w:val="left"/>
        <w:shd w:val="clear" w:fill="F2F2F2"/>
      </w:pPr>
      <w:r>
        <w:rPr>
          <w:rFonts w:ascii="Consolas" w:hAnsi="Consolas" w:cs="Consolas"/>
          <w:b w:val="0"/>
          <w:i w:val="0"/>
          <w:sz w:val="15"/>
        </w:rPr>
        <w:t>CONFIRM MILESTONE — USTN SGTX-EG-001</w:t>
      </w:r>
    </w:p>
    <w:p>
      <w:pPr>
        <w:spacing w:after="0" w:before="0" w:line="240" w:lineRule="auto"/>
        <w:ind w:left="57"/>
        <w:jc w:val="left"/>
        <w:shd w:val="clear" w:fill="F2F2F2"/>
      </w:pPr>
      <w:r>
        <w:rPr>
          <w:rFonts w:ascii="Consolas" w:hAnsi="Consolas" w:cs="Consolas"/>
          <w:b w:val="0"/>
          <w:i w:val="0"/>
          <w:sz w:val="15"/>
        </w:rPr>
        <w:t>Shipment: USTN SGTX-EG-001 — Trucking — Beheira → Damietta</w:t>
      </w:r>
    </w:p>
    <w:p>
      <w:pPr>
        <w:spacing w:after="0" w:before="0" w:line="240" w:lineRule="auto"/>
        <w:ind w:left="57"/>
        <w:jc w:val="left"/>
        <w:shd w:val="clear" w:fill="F2F2F2"/>
      </w:pPr>
      <w:r>
        <w:rPr>
          <w:rFonts w:ascii="Consolas" w:hAnsi="Consolas" w:cs="Consolas"/>
          <w:b w:val="0"/>
          <w:i w:val="0"/>
          <w:sz w:val="15"/>
        </w:rPr>
        <w:t>Current Milestone: LOADED</w:t>
      </w:r>
    </w:p>
    <w:p>
      <w:pPr>
        <w:spacing w:after="0" w:before="0" w:line="240" w:lineRule="auto"/>
        <w:ind w:left="57"/>
        <w:jc w:val="left"/>
        <w:shd w:val="clear" w:fill="F2F2F2"/>
      </w:pPr>
      <w:r>
        <w:rPr>
          <w:rFonts w:ascii="Consolas" w:hAnsi="Consolas" w:cs="Consolas"/>
          <w:b w:val="0"/>
          <w:i w:val="0"/>
          <w:sz w:val="15"/>
        </w:rPr>
        <w:t>Next Milestone: DEPARTED</w:t>
      </w:r>
    </w:p>
    <w:p>
      <w:pPr>
        <w:spacing w:after="0" w:before="0" w:line="240" w:lineRule="auto"/>
        <w:ind w:left="57"/>
        <w:jc w:val="left"/>
        <w:shd w:val="clear" w:fill="F2F2F2"/>
      </w:pPr>
      <w:r>
        <w:rPr>
          <w:rFonts w:ascii="Consolas" w:hAnsi="Consolas" w:cs="Consolas"/>
          <w:b w:val="0"/>
          <w:i w:val="0"/>
          <w:sz w:val="15"/>
        </w:rPr>
        <w:t>Scheduled Departure: 14 Jun 14:00</w:t>
      </w:r>
    </w:p>
    <w:p>
      <w:pPr>
        <w:spacing w:after="0" w:before="0" w:line="240" w:lineRule="auto"/>
        <w:ind w:left="57"/>
        <w:jc w:val="left"/>
        <w:shd w:val="clear" w:fill="F2F2F2"/>
      </w:pPr>
      <w:r>
        <w:rPr>
          <w:rFonts w:ascii="Consolas" w:hAnsi="Consolas" w:cs="Consolas"/>
          <w:b w:val="0"/>
          <w:i w:val="0"/>
          <w:sz w:val="15"/>
        </w:rPr>
        <w:t>GPS Location: 30.1234°N, 31.5678°E (Verified at pickup location)</w:t>
      </w:r>
    </w:p>
    <w:p>
      <w:pPr>
        <w:spacing w:after="0" w:before="0" w:line="240" w:lineRule="auto"/>
        <w:ind w:left="57"/>
        <w:jc w:val="left"/>
        <w:shd w:val="clear" w:fill="F2F2F2"/>
      </w:pPr>
      <w:r>
        <w:rPr>
          <w:rFonts w:ascii="Consolas" w:hAnsi="Consolas" w:cs="Consolas"/>
          <w:b w:val="0"/>
          <w:i w:val="0"/>
          <w:sz w:val="15"/>
        </w:rPr>
        <w:t>[Confirm DEPARTED] [Add Note] [Cancel]</w:t>
      </w:r>
    </w:p>
    <w:p>
      <w:pPr>
        <w:spacing w:after="0" w:before="0" w:line="240" w:lineRule="auto"/>
        <w:ind w:left="57"/>
        <w:jc w:val="left"/>
        <w:shd w:val="clear" w:fill="F2F2F2"/>
      </w:pPr>
      <w:r>
        <w:rPr>
          <w:rFonts w:ascii="Consolas" w:hAnsi="Consolas" w:cs="Consolas"/>
          <w:b w:val="0"/>
          <w:i w:val="0"/>
          <w:sz w:val="15"/>
        </w:rPr>
        <w:t>Voice: "Confirm departed for USTN SGTX-EG-001"</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3.3 Container Release Acknowledgment. Release token example:</w:t>
      </w:r>
    </w:p>
    <w:p>
      <w:pPr>
        <w:spacing w:after="0" w:before="0" w:line="240" w:lineRule="auto"/>
        <w:ind w:left="57"/>
        <w:jc w:val="left"/>
        <w:shd w:val="clear" w:fill="F2F2F2"/>
      </w:pPr>
      <w:r>
        <w:rPr>
          <w:rFonts w:ascii="Consolas" w:hAnsi="Consolas" w:cs="Consolas"/>
          <w:b w:val="0"/>
          <w:i w:val="0"/>
          <w:sz w:val="15"/>
        </w:rPr>
        <w:t>CONTAINER RELEASE ACKNOWLEDGMENT</w:t>
      </w:r>
    </w:p>
    <w:p>
      <w:pPr>
        <w:spacing w:after="0" w:before="0" w:line="240" w:lineRule="auto"/>
        <w:ind w:left="57"/>
        <w:jc w:val="left"/>
        <w:shd w:val="clear" w:fill="F2F2F2"/>
      </w:pPr>
      <w:r>
        <w:rPr>
          <w:rFonts w:ascii="Consolas" w:hAnsi="Consolas" w:cs="Consolas"/>
          <w:b w:val="0"/>
          <w:i w:val="0"/>
          <w:sz w:val="15"/>
        </w:rPr>
        <w:t>USTN: SGTX-EG-001</w:t>
      </w:r>
    </w:p>
    <w:p>
      <w:pPr>
        <w:spacing w:after="0" w:before="0" w:line="240" w:lineRule="auto"/>
        <w:ind w:left="57"/>
        <w:jc w:val="left"/>
        <w:shd w:val="clear" w:fill="F2F2F2"/>
      </w:pPr>
      <w:r>
        <w:rPr>
          <w:rFonts w:ascii="Consolas" w:hAnsi="Consolas" w:cs="Consolas"/>
          <w:b w:val="0"/>
          <w:i w:val="0"/>
          <w:sz w:val="15"/>
        </w:rPr>
        <w:t>Container: MEDU1234567</w:t>
      </w:r>
    </w:p>
    <w:p>
      <w:pPr>
        <w:spacing w:after="0" w:before="0" w:line="240" w:lineRule="auto"/>
        <w:ind w:left="57"/>
        <w:jc w:val="left"/>
        <w:shd w:val="clear" w:fill="F2F2F2"/>
      </w:pPr>
      <w:r>
        <w:rPr>
          <w:rFonts w:ascii="Consolas" w:hAnsi="Consolas" w:cs="Consolas"/>
          <w:b w:val="0"/>
          <w:i w:val="0"/>
          <w:sz w:val="15"/>
        </w:rPr>
        <w:t>Release Token: REL-20260415-147-001</w:t>
      </w:r>
    </w:p>
    <w:p>
      <w:pPr>
        <w:spacing w:after="0" w:before="0" w:line="240" w:lineRule="auto"/>
        <w:ind w:left="57"/>
        <w:jc w:val="left"/>
        <w:shd w:val="clear" w:fill="F2F2F2"/>
      </w:pPr>
      <w:r>
        <w:rPr>
          <w:rFonts w:ascii="Consolas" w:hAnsi="Consolas" w:cs="Consolas"/>
          <w:b w:val="0"/>
          <w:i w:val="0"/>
          <w:sz w:val="15"/>
        </w:rPr>
        <w:t>Valid Until: 2026-04-16T14:31:00Z (72h)</w:t>
      </w:r>
    </w:p>
    <w:p>
      <w:pPr>
        <w:spacing w:after="0" w:before="0" w:line="240" w:lineRule="auto"/>
        <w:ind w:left="57"/>
        <w:jc w:val="left"/>
        <w:shd w:val="clear" w:fill="F2F2F2"/>
      </w:pPr>
      <w:r>
        <w:rPr>
          <w:rFonts w:ascii="Consolas" w:hAnsi="Consolas" w:cs="Consolas"/>
          <w:b w:val="0"/>
          <w:i w:val="0"/>
          <w:sz w:val="15"/>
        </w:rPr>
        <w:t>You must acknowledge this release before loading the container.</w:t>
      </w:r>
    </w:p>
    <w:p>
      <w:pPr>
        <w:spacing w:after="0" w:before="0" w:line="240" w:lineRule="auto"/>
        <w:ind w:left="57"/>
        <w:jc w:val="left"/>
        <w:shd w:val="clear" w:fill="F2F2F2"/>
      </w:pPr>
      <w:r>
        <w:rPr>
          <w:rFonts w:ascii="Consolas" w:hAnsi="Consolas" w:cs="Consolas"/>
          <w:b w:val="0"/>
          <w:i w:val="0"/>
          <w:sz w:val="15"/>
        </w:rPr>
        <w:t>[Acknowledge Release] [View Details]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4: Dispatch Planner (Trucking-only)</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optimise the daily route plan for the trucking fleet using the ORTools VRP solver. Assign drivers, manage geofence alerts, and integrate voice navigation.</w:t>
      </w:r>
    </w:p>
    <w:p>
      <w:pPr>
        <w:keepNext/>
        <w:spacing w:before="240" w:after="100"/>
        <w:outlineLvl w:val="1"/>
      </w:pPr>
      <w:r>
        <w:rPr>
          <w:rFonts w:ascii="Arial" w:hAnsi="Arial" w:cs="Arial"/>
          <w:b/>
          <w:i w:val="0"/>
          <w:color w:val="2E528F"/>
          <w:sz w:val="26"/>
        </w:rPr>
        <w:t>4.1 Route Optimisation Solver (ORTools VRP). Example:</w:t>
      </w:r>
    </w:p>
    <w:p>
      <w:pPr>
        <w:spacing w:after="0" w:before="0" w:line="240" w:lineRule="auto"/>
        <w:ind w:left="57"/>
        <w:jc w:val="left"/>
        <w:shd w:val="clear" w:fill="F2F2F2"/>
      </w:pPr>
      <w:r>
        <w:rPr>
          <w:rFonts w:ascii="Consolas" w:hAnsi="Consolas" w:cs="Consolas"/>
          <w:b w:val="0"/>
          <w:i w:val="0"/>
          <w:sz w:val="15"/>
        </w:rPr>
        <w:t>DISPATCH PLANNER — 14 Jun 2026</w:t>
      </w:r>
    </w:p>
    <w:p>
      <w:pPr>
        <w:spacing w:after="0" w:before="0" w:line="240" w:lineRule="auto"/>
        <w:ind w:left="57"/>
        <w:jc w:val="left"/>
        <w:shd w:val="clear" w:fill="F2F2F2"/>
      </w:pPr>
      <w:r>
        <w:rPr>
          <w:rFonts w:ascii="Consolas" w:hAnsi="Consolas" w:cs="Consolas"/>
          <w:b w:val="0"/>
          <w:i w:val="0"/>
          <w:sz w:val="15"/>
        </w:rPr>
        <w:t>[Optimise Routes] [Assign Drivers] [Send to Driver App] [View All Routes]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Route 1 — Truck FL772 (Driver: Ahmed)</w:t>
      </w:r>
    </w:p>
    <w:p>
      <w:pPr>
        <w:spacing w:after="0" w:before="0" w:line="240" w:lineRule="auto"/>
        <w:ind w:left="57"/>
        <w:jc w:val="left"/>
        <w:shd w:val="clear" w:fill="F2F2F2"/>
      </w:pPr>
      <w:r>
        <w:rPr>
          <w:rFonts w:ascii="Consolas" w:hAnsi="Consolas" w:cs="Consolas"/>
          <w:b w:val="0"/>
          <w:i w:val="0"/>
          <w:sz w:val="15"/>
        </w:rPr>
        <w:t>Total Distance: 320 km    Estimated Time: 6.5h    Empty Miles: 0 km</w:t>
      </w:r>
    </w:p>
    <w:p>
      <w:pPr>
        <w:spacing w:after="0" w:before="0" w:line="240" w:lineRule="auto"/>
        <w:ind w:left="57"/>
        <w:jc w:val="left"/>
        <w:shd w:val="clear" w:fill="F2F2F2"/>
      </w:pPr>
      <w:r>
        <w:rPr>
          <w:rFonts w:ascii="Consolas" w:hAnsi="Consolas" w:cs="Consolas"/>
          <w:b w:val="0"/>
          <w:i w:val="0"/>
          <w:sz w:val="15"/>
        </w:rPr>
        <w:t xml:space="preserve">  Stop 1: 08:00 — Pickup Container TCNU123 — Beheira Warehouse</w:t>
      </w:r>
    </w:p>
    <w:p>
      <w:pPr>
        <w:spacing w:after="0" w:before="0" w:line="240" w:lineRule="auto"/>
        <w:ind w:left="57"/>
        <w:jc w:val="left"/>
        <w:shd w:val="clear" w:fill="F2F2F2"/>
      </w:pPr>
      <w:r>
        <w:rPr>
          <w:rFonts w:ascii="Consolas" w:hAnsi="Consolas" w:cs="Consolas"/>
          <w:b w:val="0"/>
          <w:i w:val="0"/>
          <w:sz w:val="15"/>
        </w:rPr>
        <w:t xml:space="preserve">  Stop 2: 10:30 — Pickup Container TCNU456 — Saigon Port</w:t>
      </w:r>
    </w:p>
    <w:p>
      <w:pPr>
        <w:spacing w:after="0" w:before="0" w:line="240" w:lineRule="auto"/>
        <w:ind w:left="57"/>
        <w:jc w:val="left"/>
        <w:shd w:val="clear" w:fill="F2F2F2"/>
      </w:pPr>
      <w:r>
        <w:rPr>
          <w:rFonts w:ascii="Consolas" w:hAnsi="Consolas" w:cs="Consolas"/>
          <w:b w:val="0"/>
          <w:i w:val="0"/>
          <w:sz w:val="15"/>
        </w:rPr>
        <w:t xml:space="preserve">  Stop 3: 14:00 — Deliver Container TCNU123 — Damietta Port</w:t>
      </w:r>
    </w:p>
    <w:p>
      <w:pPr>
        <w:spacing w:after="0" w:before="0" w:line="240" w:lineRule="auto"/>
        <w:ind w:left="57"/>
        <w:jc w:val="left"/>
        <w:shd w:val="clear" w:fill="F2F2F2"/>
      </w:pPr>
      <w:r>
        <w:rPr>
          <w:rFonts w:ascii="Consolas" w:hAnsi="Consolas" w:cs="Consolas"/>
          <w:b w:val="0"/>
          <w:i w:val="0"/>
          <w:sz w:val="15"/>
        </w:rPr>
        <w:t xml:space="preserve">  Stop 4: 16:30 — Deliver Container TCNU456 — Port Said</w:t>
      </w:r>
    </w:p>
    <w:p>
      <w:pPr>
        <w:spacing w:after="0" w:before="0" w:line="240" w:lineRule="auto"/>
        <w:ind w:left="57"/>
        <w:jc w:val="left"/>
        <w:shd w:val="clear" w:fill="F2F2F2"/>
      </w:pPr>
      <w:r>
        <w:rPr>
          <w:rFonts w:ascii="Consolas" w:hAnsi="Consolas" w:cs="Consolas"/>
          <w:b w:val="0"/>
          <w:i w:val="0"/>
          <w:sz w:val="15"/>
        </w:rPr>
        <w:t xml:space="preserve">  [Edit Route] [Assign Driver] [View Map]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Route 2 — Truck FL773 (Driver: Mohamed)</w:t>
      </w:r>
    </w:p>
    <w:p>
      <w:pPr>
        <w:spacing w:after="0" w:before="0" w:line="240" w:lineRule="auto"/>
        <w:ind w:left="57"/>
        <w:jc w:val="left"/>
        <w:shd w:val="clear" w:fill="F2F2F2"/>
      </w:pPr>
      <w:r>
        <w:rPr>
          <w:rFonts w:ascii="Consolas" w:hAnsi="Consolas" w:cs="Consolas"/>
          <w:b w:val="0"/>
          <w:i w:val="0"/>
          <w:sz w:val="15"/>
        </w:rPr>
        <w:t>Total Distance: 180 km    Estimated Time: 4.0h    Empty Miles: 15 km</w:t>
      </w:r>
    </w:p>
    <w:p>
      <w:pPr>
        <w:spacing w:after="0" w:before="0" w:line="240" w:lineRule="auto"/>
        <w:ind w:left="57"/>
        <w:jc w:val="left"/>
        <w:shd w:val="clear" w:fill="F2F2F2"/>
      </w:pPr>
      <w:r>
        <w:rPr>
          <w:rFonts w:ascii="Consolas" w:hAnsi="Consolas" w:cs="Consolas"/>
          <w:b w:val="0"/>
          <w:i w:val="0"/>
          <w:sz w:val="15"/>
        </w:rPr>
        <w:t xml:space="preserve">  Stop 1: 09:00 — Pickup Container TCNU789 — Cairo Logistics Hub</w:t>
      </w:r>
    </w:p>
    <w:p>
      <w:pPr>
        <w:spacing w:after="0" w:before="0" w:line="240" w:lineRule="auto"/>
        <w:ind w:left="57"/>
        <w:jc w:val="left"/>
        <w:shd w:val="clear" w:fill="F2F2F2"/>
      </w:pPr>
      <w:r>
        <w:rPr>
          <w:rFonts w:ascii="Consolas" w:hAnsi="Consolas" w:cs="Consolas"/>
          <w:b w:val="0"/>
          <w:i w:val="0"/>
          <w:sz w:val="15"/>
        </w:rPr>
        <w:t xml:space="preserve">  Stop 2: 11:30 — Deliver Container TCNU789 — Alexandria Port</w:t>
      </w:r>
    </w:p>
    <w:p>
      <w:pPr>
        <w:spacing w:after="0" w:before="0" w:line="240" w:lineRule="auto"/>
        <w:ind w:left="57"/>
        <w:jc w:val="left"/>
        <w:shd w:val="clear" w:fill="F2F2F2"/>
      </w:pPr>
      <w:r>
        <w:rPr>
          <w:rFonts w:ascii="Consolas" w:hAnsi="Consolas" w:cs="Consolas"/>
          <w:b w:val="0"/>
          <w:i w:val="0"/>
          <w:sz w:val="15"/>
        </w:rPr>
        <w:t xml:space="preserve">  [Edit Route] [Assign Driver] [View Map]</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4.2 Driver Assignment. Example:</w:t>
      </w:r>
    </w:p>
    <w:p>
      <w:pPr>
        <w:spacing w:after="0" w:before="0" w:line="240" w:lineRule="auto"/>
        <w:ind w:left="57"/>
        <w:jc w:val="left"/>
        <w:shd w:val="clear" w:fill="F2F2F2"/>
      </w:pPr>
      <w:r>
        <w:rPr>
          <w:rFonts w:ascii="Consolas" w:hAnsi="Consolas" w:cs="Consolas"/>
          <w:b w:val="0"/>
          <w:i w:val="0"/>
          <w:sz w:val="15"/>
        </w:rPr>
        <w:t>ASSIGN DRIVERS — 14 Jun 2026</w:t>
      </w:r>
    </w:p>
    <w:p>
      <w:pPr>
        <w:spacing w:after="0" w:before="0" w:line="240" w:lineRule="auto"/>
        <w:ind w:left="57"/>
        <w:jc w:val="left"/>
        <w:shd w:val="clear" w:fill="F2F2F2"/>
      </w:pPr>
      <w:r>
        <w:rPr>
          <w:rFonts w:ascii="Consolas" w:hAnsi="Consolas" w:cs="Consolas"/>
          <w:b w:val="0"/>
          <w:i w:val="0"/>
          <w:sz w:val="15"/>
        </w:rPr>
        <w:t>Available Drivers:</w:t>
      </w:r>
    </w:p>
    <w:p>
      <w:pPr>
        <w:spacing w:after="0" w:before="0" w:line="240" w:lineRule="auto"/>
        <w:ind w:left="57"/>
        <w:jc w:val="left"/>
        <w:shd w:val="clear" w:fill="F2F2F2"/>
      </w:pPr>
      <w:r>
        <w:rPr>
          <w:rFonts w:ascii="Consolas" w:hAnsi="Consolas" w:cs="Consolas"/>
          <w:b w:val="0"/>
          <w:i w:val="0"/>
          <w:sz w:val="15"/>
        </w:rPr>
        <w:t>Driver   Vehicle  Hours Available  Actions</w:t>
      </w:r>
    </w:p>
    <w:p>
      <w:pPr>
        <w:spacing w:after="0" w:before="0" w:line="240" w:lineRule="auto"/>
        <w:ind w:left="57"/>
        <w:jc w:val="left"/>
        <w:shd w:val="clear" w:fill="F2F2F2"/>
      </w:pPr>
      <w:r>
        <w:rPr>
          <w:rFonts w:ascii="Consolas" w:hAnsi="Consolas" w:cs="Consolas"/>
          <w:b w:val="0"/>
          <w:i w:val="0"/>
          <w:sz w:val="15"/>
        </w:rPr>
        <w:t>Ahmed    FL772    8h               [Assign to Route 1]</w:t>
      </w:r>
    </w:p>
    <w:p>
      <w:pPr>
        <w:spacing w:after="0" w:before="0" w:line="240" w:lineRule="auto"/>
        <w:ind w:left="57"/>
        <w:jc w:val="left"/>
        <w:shd w:val="clear" w:fill="F2F2F2"/>
      </w:pPr>
      <w:r>
        <w:rPr>
          <w:rFonts w:ascii="Consolas" w:hAnsi="Consolas" w:cs="Consolas"/>
          <w:b w:val="0"/>
          <w:i w:val="0"/>
          <w:sz w:val="15"/>
        </w:rPr>
        <w:t>Mohamed  FL773    6h               [Assign to Route 2]</w:t>
      </w:r>
    </w:p>
    <w:p>
      <w:pPr>
        <w:spacing w:after="0" w:before="0" w:line="240" w:lineRule="auto"/>
        <w:ind w:left="57"/>
        <w:jc w:val="left"/>
        <w:shd w:val="clear" w:fill="F2F2F2"/>
      </w:pPr>
      <w:r>
        <w:rPr>
          <w:rFonts w:ascii="Consolas" w:hAnsi="Consolas" w:cs="Consolas"/>
          <w:b w:val="0"/>
          <w:i w:val="0"/>
          <w:sz w:val="15"/>
        </w:rPr>
        <w:t>Khalid   FL774    10h              [Assign to Route 3]</w:t>
      </w:r>
    </w:p>
    <w:p>
      <w:pPr>
        <w:spacing w:after="0" w:before="0" w:line="240" w:lineRule="auto"/>
        <w:ind w:left="57"/>
        <w:jc w:val="left"/>
        <w:shd w:val="clear" w:fill="F2F2F2"/>
      </w:pPr>
      <w:r>
        <w:rPr>
          <w:rFonts w:ascii="Consolas" w:hAnsi="Consolas" w:cs="Consolas"/>
          <w:b w:val="0"/>
          <w:i w:val="0"/>
          <w:sz w:val="15"/>
        </w:rPr>
        <w:t>Hassan   FL775    4h               [Unassigned]</w:t>
      </w:r>
    </w:p>
    <w:p>
      <w:pPr>
        <w:spacing w:after="0" w:before="0" w:line="240" w:lineRule="auto"/>
        <w:ind w:left="57"/>
        <w:jc w:val="left"/>
        <w:shd w:val="clear" w:fill="F2F2F2"/>
      </w:pPr>
      <w:r>
        <w:rPr>
          <w:rFonts w:ascii="Consolas" w:hAnsi="Consolas" w:cs="Consolas"/>
          <w:b w:val="0"/>
          <w:i w:val="0"/>
          <w:sz w:val="15"/>
        </w:rPr>
        <w:t>Assigned: Route 1 → Ahmed (FL772)   Route 2 → Mohamed (FL773)</w:t>
      </w:r>
    </w:p>
    <w:p>
      <w:pPr>
        <w:spacing w:after="0" w:before="0" w:line="240" w:lineRule="auto"/>
        <w:ind w:left="57"/>
        <w:jc w:val="left"/>
        <w:shd w:val="clear" w:fill="F2F2F2"/>
      </w:pPr>
      <w:r>
        <w:rPr>
          <w:rFonts w:ascii="Consolas" w:hAnsi="Consolas" w:cs="Consolas"/>
          <w:b w:val="0"/>
          <w:i w:val="0"/>
          <w:sz w:val="15"/>
        </w:rPr>
        <w:t>[Confirm Assignments] [Cancel]</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4.3 Geofence Alerts. Example:</w:t>
      </w:r>
    </w:p>
    <w:p>
      <w:pPr>
        <w:spacing w:after="0" w:before="0" w:line="240" w:lineRule="auto"/>
        <w:ind w:left="57"/>
        <w:jc w:val="left"/>
        <w:shd w:val="clear" w:fill="F2F2F2"/>
      </w:pPr>
      <w:r>
        <w:rPr>
          <w:rFonts w:ascii="Consolas" w:hAnsi="Consolas" w:cs="Consolas"/>
          <w:b w:val="0"/>
          <w:i w:val="0"/>
          <w:sz w:val="15"/>
        </w:rPr>
        <w:t>GEOFENCE ALERT</w:t>
      </w:r>
    </w:p>
    <w:p>
      <w:pPr>
        <w:spacing w:after="0" w:before="0" w:line="240" w:lineRule="auto"/>
        <w:ind w:left="57"/>
        <w:jc w:val="left"/>
        <w:shd w:val="clear" w:fill="F2F2F2"/>
      </w:pPr>
      <w:r>
        <w:rPr>
          <w:rFonts w:ascii="Consolas" w:hAnsi="Consolas" w:cs="Consolas"/>
          <w:b w:val="0"/>
          <w:i w:val="0"/>
          <w:sz w:val="15"/>
        </w:rPr>
        <w:t>Truck FL772 (Driver: Ahmed) has entered Damietta Port geofence.</w:t>
      </w:r>
    </w:p>
    <w:p>
      <w:pPr>
        <w:spacing w:after="0" w:before="0" w:line="240" w:lineRule="auto"/>
        <w:ind w:left="57"/>
        <w:jc w:val="left"/>
        <w:shd w:val="clear" w:fill="F2F2F2"/>
      </w:pPr>
      <w:r>
        <w:rPr>
          <w:rFonts w:ascii="Consolas" w:hAnsi="Consolas" w:cs="Consolas"/>
          <w:b w:val="0"/>
          <w:i w:val="0"/>
          <w:sz w:val="15"/>
        </w:rPr>
        <w:t>Container: TCNU123 — USTN SGTX-EG-001</w:t>
      </w:r>
    </w:p>
    <w:p>
      <w:pPr>
        <w:spacing w:after="0" w:before="0" w:line="240" w:lineRule="auto"/>
        <w:ind w:left="57"/>
        <w:jc w:val="left"/>
        <w:shd w:val="clear" w:fill="F2F2F2"/>
      </w:pPr>
      <w:r>
        <w:rPr>
          <w:rFonts w:ascii="Consolas" w:hAnsi="Consolas" w:cs="Consolas"/>
          <w:b w:val="0"/>
          <w:i w:val="0"/>
          <w:sz w:val="15"/>
        </w:rPr>
        <w:t>Time: 14 Jun 2026 13:45:00</w:t>
      </w:r>
    </w:p>
    <w:p>
      <w:pPr>
        <w:spacing w:after="0" w:before="0" w:line="240" w:lineRule="auto"/>
        <w:ind w:left="57"/>
        <w:jc w:val="left"/>
        <w:shd w:val="clear" w:fill="F2F2F2"/>
      </w:pPr>
      <w:r>
        <w:rPr>
          <w:rFonts w:ascii="Consolas" w:hAnsi="Consolas" w:cs="Consolas"/>
          <w:b w:val="0"/>
          <w:i w:val="0"/>
          <w:sz w:val="15"/>
        </w:rPr>
        <w:t>Automatic milestone "Arrived at Port" will be confirmed in 5 minutes.</w:t>
      </w:r>
    </w:p>
    <w:p>
      <w:pPr>
        <w:spacing w:after="0" w:before="0" w:line="240" w:lineRule="auto"/>
        <w:ind w:left="57"/>
        <w:jc w:val="left"/>
        <w:shd w:val="clear" w:fill="F2F2F2"/>
      </w:pPr>
      <w:r>
        <w:rPr>
          <w:rFonts w:ascii="Consolas" w:hAnsi="Consolas" w:cs="Consolas"/>
          <w:b w:val="0"/>
          <w:i w:val="0"/>
          <w:sz w:val="15"/>
        </w:rPr>
        <w:t>[View Tracking] [Message Driver]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4.4 Voice Navigation Integration. Routes pushed to the Driver App include OSRM offline turn-by-turn navigation; push-to-talk communication with dispatch (WebRTC) is available in-app.</w:t>
      </w:r>
    </w:p>
    <w:p>
      <w:pPr>
        <w:keepNext/>
        <w:spacing w:before="140" w:after="60"/>
        <w:outlineLvl w:val="3"/>
      </w:pPr>
      <w:r>
        <w:rPr>
          <w:rFonts w:ascii="Arial" w:hAnsi="Arial" w:cs="Arial"/>
          <w:b/>
          <w:i/>
          <w:color w:val="333333"/>
          <w:sz w:val="22"/>
        </w:rPr>
        <w:t>Tab 5: Warehouse Dashboard (Warehousing-only)</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manage inbound/outbound shipments, storage utilisation, temperature logs (if cold storage), and packing supervision. Example:</w:t>
      </w:r>
    </w:p>
    <w:p>
      <w:pPr>
        <w:spacing w:after="0" w:before="0" w:line="240" w:lineRule="auto"/>
        <w:ind w:left="57"/>
        <w:jc w:val="left"/>
        <w:shd w:val="clear" w:fill="F2F2F2"/>
      </w:pPr>
      <w:r>
        <w:rPr>
          <w:rFonts w:ascii="Consolas" w:hAnsi="Consolas" w:cs="Consolas"/>
          <w:b w:val="0"/>
          <w:i w:val="0"/>
          <w:sz w:val="15"/>
        </w:rPr>
        <w:t>WAREHOUSE DASHBOARD — Alexandria Cold Storage</w:t>
      </w:r>
    </w:p>
    <w:p>
      <w:pPr>
        <w:spacing w:after="0" w:before="0" w:line="240" w:lineRule="auto"/>
        <w:ind w:left="57"/>
        <w:jc w:val="left"/>
        <w:shd w:val="clear" w:fill="F2F2F2"/>
      </w:pPr>
      <w:r>
        <w:rPr>
          <w:rFonts w:ascii="Consolas" w:hAnsi="Consolas" w:cs="Consolas"/>
          <w:b w:val="0"/>
          <w:i w:val="0"/>
          <w:sz w:val="15"/>
        </w:rPr>
        <w:t>Storage Utilisation: 78% (3,900 / 5,000 pallet positions)  [ 78% ]</w:t>
      </w:r>
    </w:p>
    <w:p>
      <w:pPr>
        <w:spacing w:after="0" w:before="0" w:line="240" w:lineRule="auto"/>
        <w:ind w:left="57"/>
        <w:jc w:val="left"/>
        <w:shd w:val="clear" w:fill="F2F2F2"/>
      </w:pPr>
      <w:r>
        <w:rPr>
          <w:rFonts w:ascii="Consolas" w:hAnsi="Consolas" w:cs="Consolas"/>
          <w:b w:val="0"/>
          <w:i w:val="0"/>
          <w:sz w:val="15"/>
        </w:rPr>
        <w:t>Temperature Monitoring:</w:t>
      </w:r>
    </w:p>
    <w:p>
      <w:pPr>
        <w:spacing w:after="0" w:before="0" w:line="240" w:lineRule="auto"/>
        <w:ind w:left="57"/>
        <w:jc w:val="left"/>
        <w:shd w:val="clear" w:fill="F2F2F2"/>
      </w:pPr>
      <w:r>
        <w:rPr>
          <w:rFonts w:ascii="Consolas" w:hAnsi="Consolas" w:cs="Consolas"/>
          <w:b w:val="0"/>
          <w:i w:val="0"/>
          <w:sz w:val="15"/>
        </w:rPr>
        <w:t xml:space="preserve">  Zone A (Freezer): -18.2°C</w:t>
      </w:r>
    </w:p>
    <w:p>
      <w:pPr>
        <w:spacing w:after="0" w:before="0" w:line="240" w:lineRule="auto"/>
        <w:ind w:left="57"/>
        <w:jc w:val="left"/>
        <w:shd w:val="clear" w:fill="F2F2F2"/>
      </w:pPr>
      <w:r>
        <w:rPr>
          <w:rFonts w:ascii="Consolas" w:hAnsi="Consolas" w:cs="Consolas"/>
          <w:b w:val="0"/>
          <w:i w:val="0"/>
          <w:sz w:val="15"/>
        </w:rPr>
        <w:t xml:space="preserve">  Zone B (Chilled):   4.1°C</w:t>
      </w:r>
    </w:p>
    <w:p>
      <w:pPr>
        <w:spacing w:after="0" w:before="0" w:line="240" w:lineRule="auto"/>
        <w:ind w:left="57"/>
        <w:jc w:val="left"/>
        <w:shd w:val="clear" w:fill="F2F2F2"/>
      </w:pPr>
      <w:r>
        <w:rPr>
          <w:rFonts w:ascii="Consolas" w:hAnsi="Consolas" w:cs="Consolas"/>
          <w:b w:val="0"/>
          <w:i w:val="0"/>
          <w:sz w:val="15"/>
        </w:rPr>
        <w:t xml:space="preserve">  Zone C (Ambient):  21°C</w:t>
      </w:r>
    </w:p>
    <w:p>
      <w:pPr>
        <w:spacing w:after="0" w:before="0" w:line="240" w:lineRule="auto"/>
        <w:ind w:left="57"/>
        <w:jc w:val="left"/>
        <w:shd w:val="clear" w:fill="F2F2F2"/>
      </w:pPr>
      <w:r>
        <w:rPr>
          <w:rFonts w:ascii="Consolas" w:hAnsi="Consolas" w:cs="Consolas"/>
          <w:b w:val="0"/>
          <w:i w:val="0"/>
          <w:sz w:val="15"/>
        </w:rPr>
        <w:t>INBOUND LOG</w:t>
      </w:r>
    </w:p>
    <w:p>
      <w:pPr>
        <w:spacing w:after="0" w:before="0" w:line="240" w:lineRule="auto"/>
        <w:ind w:left="57"/>
        <w:jc w:val="left"/>
        <w:shd w:val="clear" w:fill="F2F2F2"/>
      </w:pPr>
      <w:r>
        <w:rPr>
          <w:rFonts w:ascii="Consolas" w:hAnsi="Consolas" w:cs="Consolas"/>
          <w:b w:val="0"/>
          <w:i w:val="0"/>
          <w:sz w:val="15"/>
        </w:rPr>
        <w:t>USTN         Container     ETA            Status    Action</w:t>
      </w:r>
    </w:p>
    <w:p>
      <w:pPr>
        <w:spacing w:after="0" w:before="0" w:line="240" w:lineRule="auto"/>
        <w:ind w:left="57"/>
        <w:jc w:val="left"/>
        <w:shd w:val="clear" w:fill="F2F2F2"/>
      </w:pPr>
      <w:r>
        <w:rPr>
          <w:rFonts w:ascii="Consolas" w:hAnsi="Consolas" w:cs="Consolas"/>
          <w:b w:val="0"/>
          <w:i w:val="0"/>
          <w:sz w:val="15"/>
        </w:rPr>
        <w:t>SGTX-EG-001  MEDU1234567   14 Jun 14:00   Expected  [Mark Received]</w:t>
      </w:r>
    </w:p>
    <w:p>
      <w:pPr>
        <w:spacing w:after="0" w:before="0" w:line="240" w:lineRule="auto"/>
        <w:ind w:left="57"/>
        <w:jc w:val="left"/>
        <w:shd w:val="clear" w:fill="F2F2F2"/>
      </w:pPr>
      <w:r>
        <w:rPr>
          <w:rFonts w:ascii="Consolas" w:hAnsi="Consolas" w:cs="Consolas"/>
          <w:b w:val="0"/>
          <w:i w:val="0"/>
          <w:sz w:val="15"/>
        </w:rPr>
        <w:t>SGTX-EG-002  MEDU1234568   15 Jun 10:00   Expected  [Mark Received]</w:t>
      </w:r>
    </w:p>
    <w:p>
      <w:pPr>
        <w:spacing w:after="0" w:before="0" w:line="240" w:lineRule="auto"/>
        <w:ind w:left="57"/>
        <w:jc w:val="left"/>
        <w:shd w:val="clear" w:fill="F2F2F2"/>
      </w:pPr>
      <w:r>
        <w:rPr>
          <w:rFonts w:ascii="Consolas" w:hAnsi="Consolas" w:cs="Consolas"/>
          <w:b w:val="0"/>
          <w:i w:val="0"/>
          <w:sz w:val="15"/>
        </w:rPr>
        <w:t>OUTBOUND LOG</w:t>
      </w:r>
    </w:p>
    <w:p>
      <w:pPr>
        <w:spacing w:after="0" w:before="0" w:line="240" w:lineRule="auto"/>
        <w:ind w:left="57"/>
        <w:jc w:val="left"/>
        <w:shd w:val="clear" w:fill="F2F2F2"/>
      </w:pPr>
      <w:r>
        <w:rPr>
          <w:rFonts w:ascii="Consolas" w:hAnsi="Consolas" w:cs="Consolas"/>
          <w:b w:val="0"/>
          <w:i w:val="0"/>
          <w:sz w:val="15"/>
        </w:rPr>
        <w:t>USTN         Container     Ready Since    Status  Action</w:t>
      </w:r>
    </w:p>
    <w:p>
      <w:pPr>
        <w:spacing w:after="0" w:before="0" w:line="240" w:lineRule="auto"/>
        <w:ind w:left="57"/>
        <w:jc w:val="left"/>
        <w:shd w:val="clear" w:fill="F2F2F2"/>
      </w:pPr>
      <w:r>
        <w:rPr>
          <w:rFonts w:ascii="Consolas" w:hAnsi="Consolas" w:cs="Consolas"/>
          <w:b w:val="0"/>
          <w:i w:val="0"/>
          <w:sz w:val="15"/>
        </w:rPr>
        <w:t>SGTX-EG-003  MEDU1234569   13 Jun 16:00   Ready   [Mark Loaded]</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6: Forwarder Console (Forwarding-only)</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manage the subcontractor network, LCL consolidation, and bundled quote building. Example:</w:t>
      </w:r>
    </w:p>
    <w:p>
      <w:pPr>
        <w:spacing w:after="0" w:before="0" w:line="240" w:lineRule="auto"/>
        <w:ind w:left="57"/>
        <w:jc w:val="left"/>
        <w:shd w:val="clear" w:fill="F2F2F2"/>
      </w:pPr>
      <w:r>
        <w:rPr>
          <w:rFonts w:ascii="Consolas" w:hAnsi="Consolas" w:cs="Consolas"/>
          <w:b w:val="0"/>
          <w:i w:val="0"/>
          <w:sz w:val="15"/>
        </w:rPr>
        <w:t>FORWARDER CONSOLE — Global Freight Solutions</w:t>
      </w:r>
    </w:p>
    <w:p>
      <w:pPr>
        <w:spacing w:after="0" w:before="0" w:line="240" w:lineRule="auto"/>
        <w:ind w:left="57"/>
        <w:jc w:val="left"/>
        <w:shd w:val="clear" w:fill="F2F2F2"/>
      </w:pPr>
      <w:r>
        <w:rPr>
          <w:rFonts w:ascii="Consolas" w:hAnsi="Consolas" w:cs="Consolas"/>
          <w:b w:val="0"/>
          <w:i w:val="0"/>
          <w:sz w:val="15"/>
        </w:rPr>
        <w:t>Subcontractor Network:</w:t>
      </w:r>
    </w:p>
    <w:p>
      <w:pPr>
        <w:spacing w:after="0" w:before="0" w:line="240" w:lineRule="auto"/>
        <w:ind w:left="57"/>
        <w:jc w:val="left"/>
        <w:shd w:val="clear" w:fill="F2F2F2"/>
      </w:pPr>
      <w:r>
        <w:rPr>
          <w:rFonts w:ascii="Consolas" w:hAnsi="Consolas" w:cs="Consolas"/>
          <w:b w:val="0"/>
          <w:i w:val="0"/>
          <w:sz w:val="15"/>
        </w:rPr>
        <w:t>Partner         Service   Rate       Availability  Actions</w:t>
      </w:r>
    </w:p>
    <w:p>
      <w:pPr>
        <w:spacing w:after="0" w:before="0" w:line="240" w:lineRule="auto"/>
        <w:ind w:left="57"/>
        <w:jc w:val="left"/>
        <w:shd w:val="clear" w:fill="F2F2F2"/>
      </w:pPr>
      <w:r>
        <w:rPr>
          <w:rFonts w:ascii="Consolas" w:hAnsi="Consolas" w:cs="Consolas"/>
          <w:b w:val="0"/>
          <w:i w:val="0"/>
          <w:sz w:val="15"/>
        </w:rPr>
        <w:t>Fast Trucking   Trucking  $0.85/km   Available     [Select]</w:t>
      </w:r>
    </w:p>
    <w:p>
      <w:pPr>
        <w:spacing w:after="0" w:before="0" w:line="240" w:lineRule="auto"/>
        <w:ind w:left="57"/>
        <w:jc w:val="left"/>
        <w:shd w:val="clear" w:fill="F2F2F2"/>
      </w:pPr>
      <w:r>
        <w:rPr>
          <w:rFonts w:ascii="Consolas" w:hAnsi="Consolas" w:cs="Consolas"/>
          <w:b w:val="0"/>
          <w:i w:val="0"/>
          <w:sz w:val="15"/>
        </w:rPr>
        <w:t>Green Haul      Trucking  $0.90/km   Available     [Select]</w:t>
      </w:r>
    </w:p>
    <w:p>
      <w:pPr>
        <w:spacing w:after="0" w:before="0" w:line="240" w:lineRule="auto"/>
        <w:ind w:left="57"/>
        <w:jc w:val="left"/>
        <w:shd w:val="clear" w:fill="F2F2F2"/>
      </w:pPr>
      <w:r>
        <w:rPr>
          <w:rFonts w:ascii="Consolas" w:hAnsi="Consolas" w:cs="Consolas"/>
          <w:b w:val="0"/>
          <w:i w:val="0"/>
          <w:sz w:val="15"/>
        </w:rPr>
        <w:t>Express Cargo   Trucking  $0.78/km   Full          [Select]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LCL Consolidation Planner:</w:t>
      </w:r>
    </w:p>
    <w:p>
      <w:pPr>
        <w:spacing w:after="0" w:before="0" w:line="240" w:lineRule="auto"/>
        <w:ind w:left="57"/>
        <w:jc w:val="left"/>
        <w:shd w:val="clear" w:fill="F2F2F2"/>
      </w:pPr>
      <w:r>
        <w:rPr>
          <w:rFonts w:ascii="Consolas" w:hAnsi="Consolas" w:cs="Consolas"/>
          <w:b w:val="0"/>
          <w:i w:val="0"/>
          <w:sz w:val="15"/>
        </w:rPr>
        <w:t>Consolidation Opportunity for USTN-EG-001 and USTN-EG-002</w:t>
      </w:r>
    </w:p>
    <w:p>
      <w:pPr>
        <w:spacing w:after="0" w:before="0" w:line="240" w:lineRule="auto"/>
        <w:ind w:left="57"/>
        <w:jc w:val="left"/>
        <w:shd w:val="clear" w:fill="F2F2F2"/>
      </w:pPr>
      <w:r>
        <w:rPr>
          <w:rFonts w:ascii="Consolas" w:hAnsi="Consolas" w:cs="Consolas"/>
          <w:b w:val="0"/>
          <w:i w:val="0"/>
          <w:sz w:val="15"/>
        </w:rPr>
        <w:t>Both shipments can be consolidated into one 40ft container.</w:t>
      </w:r>
    </w:p>
    <w:p>
      <w:pPr>
        <w:spacing w:after="0" w:before="0" w:line="240" w:lineRule="auto"/>
        <w:ind w:left="57"/>
        <w:jc w:val="left"/>
        <w:shd w:val="clear" w:fill="F2F2F2"/>
      </w:pPr>
      <w:r>
        <w:rPr>
          <w:rFonts w:ascii="Consolas" w:hAnsi="Consolas" w:cs="Consolas"/>
          <w:b w:val="0"/>
          <w:i w:val="0"/>
          <w:sz w:val="15"/>
        </w:rPr>
        <w:t>Estimated savings: $850</w:t>
      </w:r>
    </w:p>
    <w:p>
      <w:pPr>
        <w:spacing w:after="0" w:before="0" w:line="240" w:lineRule="auto"/>
        <w:ind w:left="57"/>
        <w:jc w:val="left"/>
        <w:shd w:val="clear" w:fill="F2F2F2"/>
      </w:pPr>
      <w:r>
        <w:rPr>
          <w:rFonts w:ascii="Consolas" w:hAnsi="Consolas" w:cs="Consolas"/>
          <w:b w:val="0"/>
          <w:i w:val="0"/>
          <w:sz w:val="15"/>
        </w:rPr>
        <w:t>[Suggest Consolidation]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Bundled Quote Builder:</w:t>
      </w:r>
    </w:p>
    <w:p>
      <w:pPr>
        <w:spacing w:after="0" w:before="0" w:line="240" w:lineRule="auto"/>
        <w:ind w:left="57"/>
        <w:jc w:val="left"/>
        <w:shd w:val="clear" w:fill="F2F2F2"/>
      </w:pPr>
      <w:r>
        <w:rPr>
          <w:rFonts w:ascii="Consolas" w:hAnsi="Consolas" w:cs="Consolas"/>
          <w:b w:val="0"/>
          <w:i w:val="0"/>
          <w:sz w:val="15"/>
        </w:rPr>
        <w:t>Services Selected: Ocean Freight, Trucking, Customs Brokerage</w:t>
      </w:r>
    </w:p>
    <w:p>
      <w:pPr>
        <w:spacing w:after="0" w:before="0" w:line="240" w:lineRule="auto"/>
        <w:ind w:left="57"/>
        <w:jc w:val="left"/>
        <w:shd w:val="clear" w:fill="F2F2F2"/>
      </w:pPr>
      <w:r>
        <w:rPr>
          <w:rFonts w:ascii="Consolas" w:hAnsi="Consolas" w:cs="Consolas"/>
          <w:b w:val="0"/>
          <w:i w:val="0"/>
          <w:sz w:val="15"/>
        </w:rPr>
        <w:t xml:space="preserve">  Ocean Freight:      $4,200.00 (MSC)</w:t>
      </w:r>
    </w:p>
    <w:p>
      <w:pPr>
        <w:spacing w:after="0" w:before="0" w:line="240" w:lineRule="auto"/>
        <w:ind w:left="57"/>
        <w:jc w:val="left"/>
        <w:shd w:val="clear" w:fill="F2F2F2"/>
      </w:pPr>
      <w:r>
        <w:rPr>
          <w:rFonts w:ascii="Consolas" w:hAnsi="Consolas" w:cs="Consolas"/>
          <w:b w:val="0"/>
          <w:i w:val="0"/>
          <w:sz w:val="15"/>
        </w:rPr>
        <w:t xml:space="preserve">  Trucking:           $147.50   (Fast Trucking)</w:t>
      </w:r>
    </w:p>
    <w:p>
      <w:pPr>
        <w:spacing w:after="0" w:before="0" w:line="240" w:lineRule="auto"/>
        <w:ind w:left="57"/>
        <w:jc w:val="left"/>
        <w:shd w:val="clear" w:fill="F2F2F2"/>
      </w:pPr>
      <w:r>
        <w:rPr>
          <w:rFonts w:ascii="Consolas" w:hAnsi="Consolas" w:cs="Consolas"/>
          <w:b w:val="0"/>
          <w:i w:val="0"/>
          <w:sz w:val="15"/>
        </w:rPr>
        <w:t xml:space="preserve">  Customs Brokerage:  $150.00   (SGS)</w:t>
      </w:r>
    </w:p>
    <w:p>
      <w:pPr>
        <w:spacing w:after="0" w:before="0" w:line="240" w:lineRule="auto"/>
        <w:ind w:left="57"/>
        <w:jc w:val="left"/>
        <w:shd w:val="clear" w:fill="F2F2F2"/>
      </w:pPr>
      <w:r>
        <w:rPr>
          <w:rFonts w:ascii="Consolas" w:hAnsi="Consolas" w:cs="Consolas"/>
          <w:b w:val="0"/>
          <w:i w:val="0"/>
          <w:sz w:val="15"/>
        </w:rPr>
        <w:t xml:space="preserve">  Total Bundled Quote: $4,497.50</w:t>
      </w:r>
    </w:p>
    <w:p>
      <w:pPr>
        <w:spacing w:after="0" w:before="0" w:line="240" w:lineRule="auto"/>
        <w:ind w:left="57"/>
        <w:jc w:val="left"/>
        <w:shd w:val="clear" w:fill="F2F2F2"/>
      </w:pPr>
      <w:r>
        <w:rPr>
          <w:rFonts w:ascii="Consolas" w:hAnsi="Consolas" w:cs="Consolas"/>
          <w:b w:val="0"/>
          <w:i w:val="0"/>
          <w:sz w:val="15"/>
        </w:rPr>
        <w:t>[Build Bundle] [Send Quote]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7: Driver Mobile App (Informational &amp; Management)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provide LSP administrators with tools to manage driver mobile app connectivity and offline capabilities. Example:</w:t>
      </w:r>
    </w:p>
    <w:p>
      <w:pPr>
        <w:spacing w:after="0" w:before="0" w:line="240" w:lineRule="auto"/>
        <w:ind w:left="57"/>
        <w:jc w:val="left"/>
        <w:shd w:val="clear" w:fill="F2F2F2"/>
      </w:pPr>
      <w:r>
        <w:rPr>
          <w:rFonts w:ascii="Consolas" w:hAnsi="Consolas" w:cs="Consolas"/>
          <w:b w:val="0"/>
          <w:i w:val="0"/>
          <w:sz w:val="15"/>
        </w:rPr>
        <w:t>DRIVER MOBILE APP MANAGEMENT</w:t>
      </w:r>
    </w:p>
    <w:p>
      <w:pPr>
        <w:spacing w:after="0" w:before="0" w:line="240" w:lineRule="auto"/>
        <w:ind w:left="57"/>
        <w:jc w:val="left"/>
        <w:shd w:val="clear" w:fill="F2F2F2"/>
      </w:pPr>
      <w:r>
        <w:rPr>
          <w:rFonts w:ascii="Consolas" w:hAnsi="Consolas" w:cs="Consolas"/>
          <w:b w:val="0"/>
          <w:i w:val="0"/>
          <w:sz w:val="15"/>
        </w:rPr>
        <w:t>QR Code Pairing: [QR Code]</w:t>
      </w:r>
    </w:p>
    <w:p>
      <w:pPr>
        <w:spacing w:after="0" w:before="0" w:line="240" w:lineRule="auto"/>
        <w:ind w:left="57"/>
        <w:jc w:val="left"/>
        <w:shd w:val="clear" w:fill="F2F2F2"/>
      </w:pPr>
      <w:r>
        <w:rPr>
          <w:rFonts w:ascii="Consolas" w:hAnsi="Consolas" w:cs="Consolas"/>
          <w:b w:val="0"/>
          <w:i w:val="0"/>
          <w:sz w:val="15"/>
        </w:rPr>
        <w:t xml:space="preserve">  Scan this QR code with the SGTX Driver App to pair your device.</w:t>
      </w:r>
    </w:p>
    <w:p>
      <w:pPr>
        <w:spacing w:after="0" w:before="0" w:line="240" w:lineRule="auto"/>
        <w:ind w:left="57"/>
        <w:jc w:val="left"/>
        <w:shd w:val="clear" w:fill="F2F2F2"/>
      </w:pPr>
      <w:r>
        <w:rPr>
          <w:rFonts w:ascii="Consolas" w:hAnsi="Consolas" w:cs="Consolas"/>
          <w:b w:val="0"/>
          <w:i w:val="0"/>
          <w:sz w:val="15"/>
        </w:rPr>
        <w:t xml:space="preserve">  [Generate New QR]</w:t>
      </w:r>
    </w:p>
    <w:p>
      <w:pPr>
        <w:spacing w:after="0" w:before="0" w:line="240" w:lineRule="auto"/>
        <w:ind w:left="57"/>
        <w:jc w:val="left"/>
        <w:shd w:val="clear" w:fill="F2F2F2"/>
      </w:pPr>
      <w:r>
        <w:rPr>
          <w:rFonts w:ascii="Consolas" w:hAnsi="Consolas" w:cs="Consolas"/>
          <w:b w:val="0"/>
          <w:i w:val="0"/>
          <w:sz w:val="15"/>
        </w:rPr>
        <w:t>Offline Scanning Queue:</w:t>
      </w:r>
    </w:p>
    <w:p>
      <w:pPr>
        <w:spacing w:after="0" w:before="0" w:line="240" w:lineRule="auto"/>
        <w:ind w:left="57"/>
        <w:jc w:val="left"/>
        <w:shd w:val="clear" w:fill="F2F2F2"/>
      </w:pPr>
      <w:r>
        <w:rPr>
          <w:rFonts w:ascii="Consolas" w:hAnsi="Consolas" w:cs="Consolas"/>
          <w:b w:val="0"/>
          <w:i w:val="0"/>
          <w:sz w:val="15"/>
        </w:rPr>
        <w:t>USTN         Pallet ID  Scanned At        Status        Action</w:t>
      </w:r>
    </w:p>
    <w:p>
      <w:pPr>
        <w:spacing w:after="0" w:before="0" w:line="240" w:lineRule="auto"/>
        <w:ind w:left="57"/>
        <w:jc w:val="left"/>
        <w:shd w:val="clear" w:fill="F2F2F2"/>
      </w:pPr>
      <w:r>
        <w:rPr>
          <w:rFonts w:ascii="Consolas" w:hAnsi="Consolas" w:cs="Consolas"/>
          <w:b w:val="0"/>
          <w:i w:val="0"/>
          <w:sz w:val="15"/>
        </w:rPr>
        <w:t>SGTX-EG-001  PAL-005    13 Jun 14:23      Pending Sync  [Retry Sync]</w:t>
      </w:r>
    </w:p>
    <w:p>
      <w:pPr>
        <w:spacing w:after="0" w:before="0" w:line="240" w:lineRule="auto"/>
        <w:ind w:left="57"/>
        <w:jc w:val="left"/>
        <w:shd w:val="clear" w:fill="F2F2F2"/>
      </w:pPr>
      <w:r>
        <w:rPr>
          <w:rFonts w:ascii="Consolas" w:hAnsi="Consolas" w:cs="Consolas"/>
          <w:b w:val="0"/>
          <w:i w:val="0"/>
          <w:sz w:val="15"/>
        </w:rPr>
        <w:t>SGTX-EG-001  PAL-006    13 Jun 14:25      Pending Sync  [Retry Sync]</w:t>
      </w:r>
    </w:p>
    <w:p>
      <w:pPr>
        <w:spacing w:after="0" w:before="0" w:line="240" w:lineRule="auto"/>
        <w:ind w:left="57"/>
        <w:jc w:val="left"/>
        <w:shd w:val="clear" w:fill="F2F2F2"/>
      </w:pPr>
      <w:r>
        <w:rPr>
          <w:rFonts w:ascii="Consolas" w:hAnsi="Consolas" w:cs="Consolas"/>
          <w:b w:val="0"/>
          <w:i w:val="0"/>
          <w:sz w:val="15"/>
        </w:rPr>
        <w:t>Driver Assignment:</w:t>
      </w:r>
    </w:p>
    <w:p>
      <w:pPr>
        <w:spacing w:after="0" w:before="0" w:line="240" w:lineRule="auto"/>
        <w:ind w:left="57"/>
        <w:jc w:val="left"/>
        <w:shd w:val="clear" w:fill="F2F2F2"/>
      </w:pPr>
      <w:r>
        <w:rPr>
          <w:rFonts w:ascii="Consolas" w:hAnsi="Consolas" w:cs="Consolas"/>
          <w:b w:val="0"/>
          <w:i w:val="0"/>
          <w:sz w:val="15"/>
        </w:rPr>
        <w:t>Driver   Vehicle  Route    Status   Action</w:t>
      </w:r>
    </w:p>
    <w:p>
      <w:pPr>
        <w:spacing w:after="0" w:before="0" w:line="240" w:lineRule="auto"/>
        <w:ind w:left="57"/>
        <w:jc w:val="left"/>
        <w:shd w:val="clear" w:fill="F2F2F2"/>
      </w:pPr>
      <w:r>
        <w:rPr>
          <w:rFonts w:ascii="Consolas" w:hAnsi="Consolas" w:cs="Consolas"/>
          <w:b w:val="0"/>
          <w:i w:val="0"/>
          <w:sz w:val="15"/>
        </w:rPr>
        <w:t>Ahmed    FL772    Route 1  Pushed   [Push Again]</w:t>
      </w:r>
    </w:p>
    <w:p>
      <w:pPr>
        <w:spacing w:after="0" w:before="0" w:line="240" w:lineRule="auto"/>
        <w:ind w:left="57"/>
        <w:jc w:val="left"/>
        <w:shd w:val="clear" w:fill="F2F2F2"/>
      </w:pPr>
      <w:r>
        <w:rPr>
          <w:rFonts w:ascii="Consolas" w:hAnsi="Consolas" w:cs="Consolas"/>
          <w:b w:val="0"/>
          <w:i w:val="0"/>
          <w:sz w:val="15"/>
        </w:rPr>
        <w:t>Mohamed  FL773    Route 2  Pending  [Push]</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8: Performance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on-time delivery percentage, dispute rate, invoice accuracy, and anonymous benchmark against other LSPs in the same category and region (differential privacy). Example: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Metric</w:t>
            </w:r>
          </w:p>
        </w:tc>
        <w:tc>
          <w:tcPr>
            <w:tcW w:type="dxa" w:w="1928"/>
            <w:shd w:val="clear" w:fill="D9E2F3"/>
          </w:tcPr>
          <w:p>
            <w:pPr>
              <w:spacing w:after="20" w:before="20" w:line="240" w:lineRule="auto"/>
            </w:pPr>
            <w:r/>
            <w:r>
              <w:rPr>
                <w:rFonts w:ascii="Arial" w:hAnsi="Arial" w:cs="Arial"/>
                <w:b/>
                <w:i w:val="0"/>
                <w:sz w:val="18"/>
              </w:rPr>
              <w:t>30 Days</w:t>
            </w:r>
          </w:p>
        </w:tc>
        <w:tc>
          <w:tcPr>
            <w:tcW w:type="dxa" w:w="1928"/>
            <w:shd w:val="clear" w:fill="D9E2F3"/>
          </w:tcPr>
          <w:p>
            <w:pPr>
              <w:spacing w:after="20" w:before="20" w:line="240" w:lineRule="auto"/>
            </w:pPr>
            <w:r/>
            <w:r>
              <w:rPr>
                <w:rFonts w:ascii="Arial" w:hAnsi="Arial" w:cs="Arial"/>
                <w:b/>
                <w:i w:val="0"/>
                <w:sz w:val="18"/>
              </w:rPr>
              <w:t>60 Days</w:t>
            </w:r>
          </w:p>
        </w:tc>
        <w:tc>
          <w:tcPr>
            <w:tcW w:type="dxa" w:w="1928"/>
            <w:shd w:val="clear" w:fill="D9E2F3"/>
          </w:tcPr>
          <w:p>
            <w:pPr>
              <w:spacing w:after="20" w:before="20" w:line="240" w:lineRule="auto"/>
            </w:pPr>
            <w:r/>
            <w:r>
              <w:rPr>
                <w:rFonts w:ascii="Arial" w:hAnsi="Arial" w:cs="Arial"/>
                <w:b/>
                <w:i w:val="0"/>
                <w:sz w:val="18"/>
              </w:rPr>
              <w:t>90 Days</w:t>
            </w:r>
          </w:p>
        </w:tc>
        <w:tc>
          <w:tcPr>
            <w:tcW w:type="dxa" w:w="1928"/>
            <w:shd w:val="clear" w:fill="D9E2F3"/>
          </w:tcPr>
          <w:p>
            <w:pPr>
              <w:spacing w:after="20" w:before="20" w:line="240" w:lineRule="auto"/>
            </w:pPr>
            <w:r/>
            <w:r>
              <w:rPr>
                <w:rFonts w:ascii="Arial" w:hAnsi="Arial" w:cs="Arial"/>
                <w:b/>
                <w:i w:val="0"/>
                <w:sz w:val="18"/>
              </w:rPr>
              <w:t>Benchmark</w:t>
            </w:r>
          </w:p>
        </w:tc>
      </w:tr>
      <w:tr>
        <w:tc>
          <w:tcPr>
            <w:tcW w:type="dxa" w:w="1928"/>
          </w:tcPr>
          <w:p>
            <w:pPr>
              <w:spacing w:after="20" w:before="20" w:line="240" w:lineRule="auto"/>
            </w:pPr>
            <w:r/>
            <w:r>
              <w:rPr>
                <w:rFonts w:ascii="Arial" w:hAnsi="Arial" w:cs="Arial"/>
                <w:b w:val="0"/>
                <w:i w:val="0"/>
                <w:sz w:val="17"/>
              </w:rPr>
              <w:t>On-time Delivery</w:t>
            </w:r>
          </w:p>
        </w:tc>
        <w:tc>
          <w:tcPr>
            <w:tcW w:type="dxa" w:w="1928"/>
          </w:tcPr>
          <w:p>
            <w:pPr>
              <w:spacing w:after="20" w:before="20" w:line="240" w:lineRule="auto"/>
            </w:pPr>
            <w:r/>
            <w:r>
              <w:rPr>
                <w:rFonts w:ascii="Arial" w:hAnsi="Arial" w:cs="Arial"/>
                <w:b w:val="0"/>
                <w:i w:val="0"/>
                <w:sz w:val="17"/>
              </w:rPr>
              <w:t>89%</w:t>
            </w:r>
          </w:p>
        </w:tc>
        <w:tc>
          <w:tcPr>
            <w:tcW w:type="dxa" w:w="1928"/>
          </w:tcPr>
          <w:p>
            <w:pPr>
              <w:spacing w:after="20" w:before="20" w:line="240" w:lineRule="auto"/>
            </w:pPr>
            <w:r/>
            <w:r>
              <w:rPr>
                <w:rFonts w:ascii="Arial" w:hAnsi="Arial" w:cs="Arial"/>
                <w:b w:val="0"/>
                <w:i w:val="0"/>
                <w:sz w:val="17"/>
              </w:rPr>
              <w:t>87%</w:t>
            </w:r>
          </w:p>
        </w:tc>
        <w:tc>
          <w:tcPr>
            <w:tcW w:type="dxa" w:w="1928"/>
          </w:tcPr>
          <w:p>
            <w:pPr>
              <w:spacing w:after="20" w:before="20" w:line="240" w:lineRule="auto"/>
            </w:pPr>
            <w:r/>
            <w:r>
              <w:rPr>
                <w:rFonts w:ascii="Arial" w:hAnsi="Arial" w:cs="Arial"/>
                <w:b w:val="0"/>
                <w:i w:val="0"/>
                <w:sz w:val="17"/>
              </w:rPr>
              <w:t>85%</w:t>
            </w:r>
          </w:p>
        </w:tc>
        <w:tc>
          <w:tcPr>
            <w:tcW w:type="dxa" w:w="1928"/>
          </w:tcPr>
          <w:p>
            <w:pPr>
              <w:spacing w:after="20" w:before="20" w:line="240" w:lineRule="auto"/>
            </w:pPr>
            <w:r/>
            <w:r>
              <w:rPr>
                <w:rFonts w:ascii="Arial" w:hAnsi="Arial" w:cs="Arial"/>
                <w:b w:val="0"/>
                <w:i w:val="0"/>
                <w:sz w:val="17"/>
              </w:rPr>
              <w:t>82% (avg)</w:t>
            </w:r>
          </w:p>
        </w:tc>
      </w:tr>
      <w:tr>
        <w:tc>
          <w:tcPr>
            <w:tcW w:type="dxa" w:w="1928"/>
          </w:tcPr>
          <w:p>
            <w:pPr>
              <w:spacing w:after="20" w:before="20" w:line="240" w:lineRule="auto"/>
            </w:pPr>
            <w:r/>
            <w:r>
              <w:rPr>
                <w:rFonts w:ascii="Arial" w:hAnsi="Arial" w:cs="Arial"/>
                <w:b w:val="0"/>
                <w:i w:val="0"/>
                <w:sz w:val="17"/>
              </w:rPr>
              <w:t>Dispute Rate</w:t>
            </w:r>
          </w:p>
        </w:tc>
        <w:tc>
          <w:tcPr>
            <w:tcW w:type="dxa" w:w="1928"/>
          </w:tcPr>
          <w:p>
            <w:pPr>
              <w:spacing w:after="20" w:before="20" w:line="240" w:lineRule="auto"/>
            </w:pPr>
            <w:r/>
            <w:r>
              <w:rPr>
                <w:rFonts w:ascii="Arial" w:hAnsi="Arial" w:cs="Arial"/>
                <w:b w:val="0"/>
                <w:i w:val="0"/>
                <w:sz w:val="17"/>
              </w:rPr>
              <w:t>2%</w:t>
            </w:r>
          </w:p>
        </w:tc>
        <w:tc>
          <w:tcPr>
            <w:tcW w:type="dxa" w:w="1928"/>
          </w:tcPr>
          <w:p>
            <w:pPr>
              <w:spacing w:after="20" w:before="20" w:line="240" w:lineRule="auto"/>
            </w:pPr>
            <w:r/>
            <w:r>
              <w:rPr>
                <w:rFonts w:ascii="Arial" w:hAnsi="Arial" w:cs="Arial"/>
                <w:b w:val="0"/>
                <w:i w:val="0"/>
                <w:sz w:val="17"/>
              </w:rPr>
              <w:t>3%</w:t>
            </w:r>
          </w:p>
        </w:tc>
        <w:tc>
          <w:tcPr>
            <w:tcW w:type="dxa" w:w="1928"/>
          </w:tcPr>
          <w:p>
            <w:pPr>
              <w:spacing w:after="20" w:before="20" w:line="240" w:lineRule="auto"/>
            </w:pPr>
            <w:r/>
            <w:r>
              <w:rPr>
                <w:rFonts w:ascii="Arial" w:hAnsi="Arial" w:cs="Arial"/>
                <w:b w:val="0"/>
                <w:i w:val="0"/>
                <w:sz w:val="17"/>
              </w:rPr>
              <w:t>3%</w:t>
            </w:r>
          </w:p>
        </w:tc>
        <w:tc>
          <w:tcPr>
            <w:tcW w:type="dxa" w:w="1928"/>
          </w:tcPr>
          <w:p>
            <w:pPr>
              <w:spacing w:after="20" w:before="20" w:line="240" w:lineRule="auto"/>
            </w:pPr>
            <w:r/>
            <w:r>
              <w:rPr>
                <w:rFonts w:ascii="Arial" w:hAnsi="Arial" w:cs="Arial"/>
                <w:b w:val="0"/>
                <w:i w:val="0"/>
                <w:sz w:val="17"/>
              </w:rPr>
              <w:t>5% (avg)</w:t>
            </w:r>
          </w:p>
        </w:tc>
      </w:tr>
      <w:tr>
        <w:tc>
          <w:tcPr>
            <w:tcW w:type="dxa" w:w="1928"/>
          </w:tcPr>
          <w:p>
            <w:pPr>
              <w:spacing w:after="20" w:before="20" w:line="240" w:lineRule="auto"/>
            </w:pPr>
            <w:r/>
            <w:r>
              <w:rPr>
                <w:rFonts w:ascii="Arial" w:hAnsi="Arial" w:cs="Arial"/>
                <w:b w:val="0"/>
                <w:i w:val="0"/>
                <w:sz w:val="17"/>
              </w:rPr>
              <w:t>Invoice Accuracy</w:t>
            </w:r>
          </w:p>
        </w:tc>
        <w:tc>
          <w:tcPr>
            <w:tcW w:type="dxa" w:w="1928"/>
          </w:tcPr>
          <w:p>
            <w:pPr>
              <w:spacing w:after="20" w:before="20" w:line="240" w:lineRule="auto"/>
            </w:pPr>
            <w:r/>
            <w:r>
              <w:rPr>
                <w:rFonts w:ascii="Arial" w:hAnsi="Arial" w:cs="Arial"/>
                <w:b w:val="0"/>
                <w:i w:val="0"/>
                <w:sz w:val="17"/>
              </w:rPr>
              <w:t>98%</w:t>
            </w:r>
          </w:p>
        </w:tc>
        <w:tc>
          <w:tcPr>
            <w:tcW w:type="dxa" w:w="1928"/>
          </w:tcPr>
          <w:p>
            <w:pPr>
              <w:spacing w:after="20" w:before="20" w:line="240" w:lineRule="auto"/>
            </w:pPr>
            <w:r/>
            <w:r>
              <w:rPr>
                <w:rFonts w:ascii="Arial" w:hAnsi="Arial" w:cs="Arial"/>
                <w:b w:val="0"/>
                <w:i w:val="0"/>
                <w:sz w:val="17"/>
              </w:rPr>
              <w:t>97%</w:t>
            </w:r>
          </w:p>
        </w:tc>
        <w:tc>
          <w:tcPr>
            <w:tcW w:type="dxa" w:w="1928"/>
          </w:tcPr>
          <w:p>
            <w:pPr>
              <w:spacing w:after="20" w:before="20" w:line="240" w:lineRule="auto"/>
            </w:pPr>
            <w:r/>
            <w:r>
              <w:rPr>
                <w:rFonts w:ascii="Arial" w:hAnsi="Arial" w:cs="Arial"/>
                <w:b w:val="0"/>
                <w:i w:val="0"/>
                <w:sz w:val="17"/>
              </w:rPr>
              <w:t>96%</w:t>
            </w:r>
          </w:p>
        </w:tc>
        <w:tc>
          <w:tcPr>
            <w:tcW w:type="dxa" w:w="1928"/>
          </w:tcPr>
          <w:p>
            <w:pPr>
              <w:spacing w:after="20" w:before="20" w:line="240" w:lineRule="auto"/>
            </w:pPr>
            <w:r/>
            <w:r>
              <w:rPr>
                <w:rFonts w:ascii="Arial" w:hAnsi="Arial" w:cs="Arial"/>
                <w:b w:val="0"/>
                <w:i w:val="0"/>
                <w:sz w:val="17"/>
              </w:rPr>
              <w:t>94% (avg)</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Groq Performance Summary (A1): "Your on-time performance has improved to 89% (up from 85% last quarter). You are in the top quartile for document accuracy (98%). Your dispute rate (2%) is below the regional average (5%). Recommendation: maintain current performance levels." [Download Report] [View Details]</w:t>
      </w:r>
    </w:p>
    <w:p>
      <w:pPr>
        <w:keepNext/>
        <w:spacing w:before="140" w:after="60"/>
        <w:outlineLvl w:val="3"/>
      </w:pPr>
      <w:r>
        <w:rPr>
          <w:rFonts w:ascii="Arial" w:hAnsi="Arial" w:cs="Arial"/>
          <w:b/>
          <w:i/>
          <w:color w:val="333333"/>
          <w:sz w:val="22"/>
        </w:rPr>
        <w:t>Tab 9: Invoices &amp; Payments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invoices issued to sellers (or buyers) for services rendered, track payment status, and receive settlement leg confirmations (camt.054). Example: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Invoice</w:t>
            </w:r>
          </w:p>
        </w:tc>
        <w:tc>
          <w:tcPr>
            <w:tcW w:type="dxa" w:w="1928"/>
            <w:shd w:val="clear" w:fill="D9E2F3"/>
          </w:tcPr>
          <w:p>
            <w:pPr>
              <w:spacing w:after="20" w:before="20" w:line="240" w:lineRule="auto"/>
            </w:pPr>
            <w:r/>
            <w:r>
              <w:rPr>
                <w:rFonts w:ascii="Arial" w:hAnsi="Arial" w:cs="Arial"/>
                <w:b/>
                <w:i w:val="0"/>
                <w:sz w:val="18"/>
              </w:rPr>
              <w:t>USTN</w:t>
            </w:r>
          </w:p>
        </w:tc>
        <w:tc>
          <w:tcPr>
            <w:tcW w:type="dxa" w:w="1928"/>
            <w:shd w:val="clear" w:fill="D9E2F3"/>
          </w:tcPr>
          <w:p>
            <w:pPr>
              <w:spacing w:after="20" w:before="20" w:line="240" w:lineRule="auto"/>
            </w:pPr>
            <w:r/>
            <w:r>
              <w:rPr>
                <w:rFonts w:ascii="Arial" w:hAnsi="Arial" w:cs="Arial"/>
                <w:b/>
                <w:i w:val="0"/>
                <w:sz w:val="18"/>
              </w:rPr>
              <w:t>Service</w:t>
            </w:r>
          </w:p>
        </w:tc>
        <w:tc>
          <w:tcPr>
            <w:tcW w:type="dxa" w:w="1928"/>
            <w:shd w:val="clear" w:fill="D9E2F3"/>
          </w:tcPr>
          <w:p>
            <w:pPr>
              <w:spacing w:after="20" w:before="20" w:line="240" w:lineRule="auto"/>
            </w:pPr>
            <w:r/>
            <w:r>
              <w:rPr>
                <w:rFonts w:ascii="Arial" w:hAnsi="Arial" w:cs="Arial"/>
                <w:b/>
                <w:i w:val="0"/>
                <w:sz w:val="18"/>
              </w:rPr>
              <w:t>Amount</w:t>
            </w:r>
          </w:p>
        </w:tc>
        <w:tc>
          <w:tcPr>
            <w:tcW w:type="dxa" w:w="1928"/>
            <w:shd w:val="clear" w:fill="D9E2F3"/>
          </w:tcPr>
          <w:p>
            <w:pPr>
              <w:spacing w:after="20" w:before="20" w:line="240" w:lineRule="auto"/>
            </w:pPr>
            <w:r/>
            <w:r>
              <w:rPr>
                <w:rFonts w:ascii="Arial" w:hAnsi="Arial" w:cs="Arial"/>
                <w:b/>
                <w:i w:val="0"/>
                <w:sz w:val="18"/>
              </w:rPr>
              <w:t>Status</w:t>
            </w:r>
          </w:p>
        </w:tc>
      </w:tr>
      <w:tr>
        <w:tc>
          <w:tcPr>
            <w:tcW w:type="dxa" w:w="1928"/>
          </w:tcPr>
          <w:p>
            <w:pPr>
              <w:spacing w:after="20" w:before="20" w:line="240" w:lineRule="auto"/>
            </w:pPr>
            <w:r/>
            <w:r>
              <w:rPr>
                <w:rFonts w:ascii="Arial" w:hAnsi="Arial" w:cs="Arial"/>
                <w:b w:val="0"/>
                <w:i w:val="0"/>
                <w:sz w:val="17"/>
              </w:rPr>
              <w:t>INV-TRK-001</w:t>
            </w:r>
          </w:p>
        </w:tc>
        <w:tc>
          <w:tcPr>
            <w:tcW w:type="dxa" w:w="1928"/>
          </w:tcPr>
          <w:p>
            <w:pPr>
              <w:spacing w:after="20" w:before="20" w:line="240" w:lineRule="auto"/>
            </w:pPr>
            <w:r/>
            <w:r>
              <w:rPr>
                <w:rFonts w:ascii="Arial" w:hAnsi="Arial" w:cs="Arial"/>
                <w:b w:val="0"/>
                <w:i w:val="0"/>
                <w:sz w:val="17"/>
              </w:rPr>
              <w:t>SGTX-EG-001</w:t>
            </w:r>
          </w:p>
        </w:tc>
        <w:tc>
          <w:tcPr>
            <w:tcW w:type="dxa" w:w="1928"/>
          </w:tcPr>
          <w:p>
            <w:pPr>
              <w:spacing w:after="20" w:before="20" w:line="240" w:lineRule="auto"/>
            </w:pPr>
            <w:r/>
            <w:r>
              <w:rPr>
                <w:rFonts w:ascii="Arial" w:hAnsi="Arial" w:cs="Arial"/>
                <w:b w:val="0"/>
                <w:i w:val="0"/>
                <w:sz w:val="17"/>
              </w:rPr>
              <w:t>Trucking</w:t>
            </w:r>
          </w:p>
        </w:tc>
        <w:tc>
          <w:tcPr>
            <w:tcW w:type="dxa" w:w="1928"/>
          </w:tcPr>
          <w:p>
            <w:pPr>
              <w:spacing w:after="20" w:before="20" w:line="240" w:lineRule="auto"/>
            </w:pPr>
            <w:r/>
            <w:r>
              <w:rPr>
                <w:rFonts w:ascii="Arial" w:hAnsi="Arial" w:cs="Arial"/>
                <w:b w:val="0"/>
                <w:i w:val="0"/>
                <w:sz w:val="17"/>
              </w:rPr>
              <w:t>$147.50</w:t>
            </w:r>
          </w:p>
        </w:tc>
        <w:tc>
          <w:tcPr>
            <w:tcW w:type="dxa" w:w="1928"/>
          </w:tcPr>
          <w:p>
            <w:pPr>
              <w:spacing w:after="20" w:before="20" w:line="240" w:lineRule="auto"/>
            </w:pPr>
            <w:r/>
            <w:r>
              <w:rPr>
                <w:rFonts w:ascii="Arial" w:hAnsi="Arial" w:cs="Arial"/>
                <w:b w:val="0"/>
                <w:i w:val="0"/>
                <w:sz w:val="17"/>
              </w:rPr>
              <w:t>Paid</w:t>
            </w:r>
          </w:p>
        </w:tc>
      </w:tr>
      <w:tr>
        <w:tc>
          <w:tcPr>
            <w:tcW w:type="dxa" w:w="1928"/>
          </w:tcPr>
          <w:p>
            <w:pPr>
              <w:spacing w:after="20" w:before="20" w:line="240" w:lineRule="auto"/>
            </w:pPr>
            <w:r/>
            <w:r>
              <w:rPr>
                <w:rFonts w:ascii="Arial" w:hAnsi="Arial" w:cs="Arial"/>
                <w:b w:val="0"/>
                <w:i w:val="0"/>
                <w:sz w:val="17"/>
              </w:rPr>
              <w:t>INV-TRK-002</w:t>
            </w:r>
          </w:p>
        </w:tc>
        <w:tc>
          <w:tcPr>
            <w:tcW w:type="dxa" w:w="1928"/>
          </w:tcPr>
          <w:p>
            <w:pPr>
              <w:spacing w:after="20" w:before="20" w:line="240" w:lineRule="auto"/>
            </w:pPr>
            <w:r/>
            <w:r>
              <w:rPr>
                <w:rFonts w:ascii="Arial" w:hAnsi="Arial" w:cs="Arial"/>
                <w:b w:val="0"/>
                <w:i w:val="0"/>
                <w:sz w:val="17"/>
              </w:rPr>
              <w:t>SGTX-EG-002</w:t>
            </w:r>
          </w:p>
        </w:tc>
        <w:tc>
          <w:tcPr>
            <w:tcW w:type="dxa" w:w="1928"/>
          </w:tcPr>
          <w:p>
            <w:pPr>
              <w:spacing w:after="20" w:before="20" w:line="240" w:lineRule="auto"/>
            </w:pPr>
            <w:r/>
            <w:r>
              <w:rPr>
                <w:rFonts w:ascii="Arial" w:hAnsi="Arial" w:cs="Arial"/>
                <w:b w:val="0"/>
                <w:i w:val="0"/>
                <w:sz w:val="17"/>
              </w:rPr>
              <w:t>Trucking</w:t>
            </w:r>
          </w:p>
        </w:tc>
        <w:tc>
          <w:tcPr>
            <w:tcW w:type="dxa" w:w="1928"/>
          </w:tcPr>
          <w:p>
            <w:pPr>
              <w:spacing w:after="20" w:before="20" w:line="240" w:lineRule="auto"/>
            </w:pPr>
            <w:r/>
            <w:r>
              <w:rPr>
                <w:rFonts w:ascii="Arial" w:hAnsi="Arial" w:cs="Arial"/>
                <w:b w:val="0"/>
                <w:i w:val="0"/>
                <w:sz w:val="17"/>
              </w:rPr>
              <w:t>$200.00</w:t>
            </w:r>
          </w:p>
        </w:tc>
        <w:tc>
          <w:tcPr>
            <w:tcW w:type="dxa" w:w="1928"/>
          </w:tcPr>
          <w:p>
            <w:pPr>
              <w:spacing w:after="20" w:before="20" w:line="240" w:lineRule="auto"/>
            </w:pPr>
            <w:r/>
            <w:r>
              <w:rPr>
                <w:rFonts w:ascii="Arial" w:hAnsi="Arial" w:cs="Arial"/>
                <w:b w:val="0"/>
                <w:i w:val="0"/>
                <w:sz w:val="17"/>
              </w:rPr>
              <w:t>Pending</w:t>
            </w:r>
          </w:p>
        </w:tc>
      </w:tr>
      <w:tr>
        <w:tc>
          <w:tcPr>
            <w:tcW w:type="dxa" w:w="1928"/>
          </w:tcPr>
          <w:p>
            <w:pPr>
              <w:spacing w:after="20" w:before="20" w:line="240" w:lineRule="auto"/>
            </w:pPr>
            <w:r/>
            <w:r>
              <w:rPr>
                <w:rFonts w:ascii="Arial" w:hAnsi="Arial" w:cs="Arial"/>
                <w:b w:val="0"/>
                <w:i w:val="0"/>
                <w:sz w:val="17"/>
              </w:rPr>
              <w:t>INV-TRK-003</w:t>
            </w:r>
          </w:p>
        </w:tc>
        <w:tc>
          <w:tcPr>
            <w:tcW w:type="dxa" w:w="1928"/>
          </w:tcPr>
          <w:p>
            <w:pPr>
              <w:spacing w:after="20" w:before="20" w:line="240" w:lineRule="auto"/>
            </w:pPr>
            <w:r/>
            <w:r>
              <w:rPr>
                <w:rFonts w:ascii="Arial" w:hAnsi="Arial" w:cs="Arial"/>
                <w:b w:val="0"/>
                <w:i w:val="0"/>
                <w:sz w:val="17"/>
              </w:rPr>
              <w:t>SGTX-EG-003</w:t>
            </w:r>
          </w:p>
        </w:tc>
        <w:tc>
          <w:tcPr>
            <w:tcW w:type="dxa" w:w="1928"/>
          </w:tcPr>
          <w:p>
            <w:pPr>
              <w:spacing w:after="20" w:before="20" w:line="240" w:lineRule="auto"/>
            </w:pPr>
            <w:r/>
            <w:r>
              <w:rPr>
                <w:rFonts w:ascii="Arial" w:hAnsi="Arial" w:cs="Arial"/>
                <w:b w:val="0"/>
                <w:i w:val="0"/>
                <w:sz w:val="17"/>
              </w:rPr>
              <w:t>Trucking</w:t>
            </w:r>
          </w:p>
        </w:tc>
        <w:tc>
          <w:tcPr>
            <w:tcW w:type="dxa" w:w="1928"/>
          </w:tcPr>
          <w:p>
            <w:pPr>
              <w:spacing w:after="20" w:before="20" w:line="240" w:lineRule="auto"/>
            </w:pPr>
            <w:r/>
            <w:r>
              <w:rPr>
                <w:rFonts w:ascii="Arial" w:hAnsi="Arial" w:cs="Arial"/>
                <w:b w:val="0"/>
                <w:i w:val="0"/>
                <w:sz w:val="17"/>
              </w:rPr>
              <w:t>$130.00</w:t>
            </w:r>
          </w:p>
        </w:tc>
        <w:tc>
          <w:tcPr>
            <w:tcW w:type="dxa" w:w="1928"/>
          </w:tcPr>
          <w:p>
            <w:pPr>
              <w:spacing w:after="20" w:before="20" w:line="240" w:lineRule="auto"/>
            </w:pPr>
            <w:r/>
            <w:r>
              <w:rPr>
                <w:rFonts w:ascii="Arial" w:hAnsi="Arial" w:cs="Arial"/>
                <w:b w:val="0"/>
                <w:i w:val="0"/>
                <w:sz w:val="17"/>
              </w:rPr>
              <w:t>Overdue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[Download All] [View Details]</w:t>
      </w:r>
    </w:p>
    <w:p>
      <w:pPr>
        <w:keepNext/>
        <w:spacing w:before="140" w:after="60"/>
        <w:outlineLvl w:val="3"/>
      </w:pPr>
      <w:r>
        <w:rPr>
          <w:rFonts w:ascii="Arial" w:hAnsi="Arial" w:cs="Arial"/>
          <w:b/>
          <w:i/>
          <w:color w:val="333333"/>
          <w:sz w:val="22"/>
        </w:rPr>
        <w:t>Tab 10: Company Admin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manage employees, serviceable routes, fee schedules, mobile app integration, and opt-out from anonymous RFQs. Example service catalogue:</w:t>
      </w:r>
    </w:p>
    <w:p>
      <w:pPr>
        <w:spacing w:after="0" w:before="0" w:line="240" w:lineRule="auto"/>
        <w:ind w:left="57"/>
        <w:jc w:val="left"/>
        <w:shd w:val="clear" w:fill="F2F2F2"/>
      </w:pPr>
      <w:r>
        <w:rPr>
          <w:rFonts w:ascii="Consolas" w:hAnsi="Consolas" w:cs="Consolas"/>
          <w:b w:val="0"/>
          <w:i w:val="0"/>
          <w:sz w:val="15"/>
        </w:rPr>
        <w:t>SERVICE CATALOGUE — Fast Trucking Co.</w:t>
      </w:r>
    </w:p>
    <w:p>
      <w:pPr>
        <w:spacing w:after="0" w:before="0" w:line="240" w:lineRule="auto"/>
        <w:ind w:left="57"/>
        <w:jc w:val="left"/>
        <w:shd w:val="clear" w:fill="F2F2F2"/>
      </w:pPr>
      <w:r>
        <w:rPr>
          <w:rFonts w:ascii="Consolas" w:hAnsi="Consolas" w:cs="Consolas"/>
          <w:b w:val="0"/>
          <w:i w:val="0"/>
          <w:sz w:val="15"/>
        </w:rPr>
        <w:t>Routes:</w:t>
      </w:r>
    </w:p>
    <w:p>
      <w:pPr>
        <w:spacing w:after="0" w:before="0" w:line="240" w:lineRule="auto"/>
        <w:ind w:left="57"/>
        <w:jc w:val="left"/>
        <w:shd w:val="clear" w:fill="F2F2F2"/>
      </w:pPr>
      <w:r>
        <w:rPr>
          <w:rFonts w:ascii="Consolas" w:hAnsi="Consolas" w:cs="Consolas"/>
          <w:b w:val="0"/>
          <w:i w:val="0"/>
          <w:sz w:val="15"/>
        </w:rPr>
        <w:t>Route                  Vehicle Type  Fee (USD/km)  Est. Transit  Actions</w:t>
      </w:r>
    </w:p>
    <w:p>
      <w:pPr>
        <w:spacing w:after="0" w:before="0" w:line="240" w:lineRule="auto"/>
        <w:ind w:left="57"/>
        <w:jc w:val="left"/>
        <w:shd w:val="clear" w:fill="F2F2F2"/>
      </w:pPr>
      <w:r>
        <w:rPr>
          <w:rFonts w:ascii="Consolas" w:hAnsi="Consolas" w:cs="Consolas"/>
          <w:b w:val="0"/>
          <w:i w:val="0"/>
          <w:sz w:val="15"/>
        </w:rPr>
        <w:t>Beheira → Damietta     Reefer        $0.85         4h            [Edit] [Remove]</w:t>
      </w:r>
    </w:p>
    <w:p>
      <w:pPr>
        <w:spacing w:after="0" w:before="0" w:line="240" w:lineRule="auto"/>
        <w:ind w:left="57"/>
        <w:jc w:val="left"/>
        <w:shd w:val="clear" w:fill="F2F2F2"/>
      </w:pPr>
      <w:r>
        <w:rPr>
          <w:rFonts w:ascii="Consolas" w:hAnsi="Consolas" w:cs="Consolas"/>
          <w:b w:val="0"/>
          <w:i w:val="0"/>
          <w:sz w:val="15"/>
        </w:rPr>
        <w:t>Cairo → Alexandria     Dry van       $0.65         3h            [Edit] [Remove]</w:t>
      </w:r>
    </w:p>
    <w:p>
      <w:pPr>
        <w:spacing w:after="0" w:before="0" w:line="240" w:lineRule="auto"/>
        <w:ind w:left="57"/>
        <w:jc w:val="left"/>
        <w:shd w:val="clear" w:fill="F2F2F2"/>
      </w:pPr>
      <w:r>
        <w:rPr>
          <w:rFonts w:ascii="Consolas" w:hAnsi="Consolas" w:cs="Consolas"/>
          <w:b w:val="0"/>
          <w:i w:val="0"/>
          <w:sz w:val="15"/>
        </w:rPr>
        <w:t>Alexandria → Port Said Flatbed       $0.90         2.5h          [Edit] [Remove]</w:t>
      </w:r>
    </w:p>
    <w:p>
      <w:pPr>
        <w:spacing w:after="0" w:before="0" w:line="240" w:lineRule="auto"/>
        <w:ind w:left="57"/>
        <w:jc w:val="left"/>
        <w:shd w:val="clear" w:fill="F2F2F2"/>
      </w:pPr>
      <w:r>
        <w:rPr>
          <w:rFonts w:ascii="Consolas" w:hAnsi="Consolas" w:cs="Consolas"/>
          <w:b w:val="0"/>
          <w:i w:val="0"/>
          <w:sz w:val="15"/>
        </w:rPr>
        <w:t>[Add Route] [Save]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16.11.4 Smart Inbox Integration (LSP)</w:t>
      </w:r>
    </w:p>
    <w:p>
      <w:pPr>
        <w:spacing w:after="80" w:line="293" w:lineRule="auto"/>
        <w:jc w:val="left"/>
      </w:pPr>
      <w:r>
        <w:rPr>
          <w:rFonts w:ascii="Times New Roman" w:hAnsi="Times New Roman" w:cs="Times New Roman"/>
          <w:b w:val="0"/>
          <w:i w:val="0"/>
          <w:sz w:val="22"/>
        </w:rPr>
        <w:t>The LSP Smart Inbox surfaces: new RFQs (with match score), RFQ validity expiry warnings, clarification answers received, quote acceptance notifications, container release tokens pending acknowledgment, milestone confirmation reminders, dispatch schedule pushes, payment confirmations, and dispute notifications.</w:t>
      </w:r>
    </w:p>
    <w:p>
      <w:pPr>
        <w:keepNext/>
        <w:spacing w:before="180" w:after="80"/>
        <w:outlineLvl w:val="2"/>
      </w:pPr>
      <w:r>
        <w:rPr>
          <w:rFonts w:ascii="Arial" w:hAnsi="Arial" w:cs="Arial"/>
          <w:b/>
          <w:i w:val="0"/>
          <w:color w:val="333333"/>
          <w:sz w:val="23"/>
        </w:rPr>
        <w:t>16.11.5 Shipments Vault — LSP Columns</w:t>
      </w:r>
    </w:p>
    <w:p>
      <w:pPr>
        <w:spacing w:after="80" w:line="293" w:lineRule="auto"/>
        <w:jc w:val="left"/>
      </w:pPr>
      <w:r>
        <w:rPr>
          <w:rFonts w:ascii="Times New Roman" w:hAnsi="Times New Roman" w:cs="Times New Roman"/>
          <w:b w:val="0"/>
          <w:i w:val="0"/>
          <w:sz w:val="22"/>
        </w:rPr>
        <w:t>The Shared Shipments Vault in the LSP configuration adds columns: Service Type, Pickup Window, Payment Status, Container Release Status, Dispatch State.</w:t>
      </w:r>
    </w:p>
    <w:p>
      <w:pPr>
        <w:keepNext/>
        <w:spacing w:before="180" w:after="80"/>
        <w:outlineLvl w:val="2"/>
      </w:pPr>
      <w:r>
        <w:rPr>
          <w:rFonts w:ascii="Arial" w:hAnsi="Arial" w:cs="Arial"/>
          <w:b/>
          <w:i w:val="0"/>
          <w:color w:val="333333"/>
          <w:sz w:val="23"/>
        </w:rPr>
        <w:t>16.11.6 One-Click Count Summary (LSP)</w:t>
      </w:r>
    </w:p>
    <w:p>
      <w:pPr>
        <w:spacing w:after="80" w:line="293" w:lineRule="auto"/>
        <w:jc w:val="left"/>
      </w:pPr>
      <w:r>
        <w:rPr>
          <w:rFonts w:ascii="Times New Roman" w:hAnsi="Times New Roman" w:cs="Times New Roman"/>
          <w:b w:val="0"/>
          <w:i w:val="0"/>
          <w:sz w:val="22"/>
        </w:rPr>
        <w:t>Send quote (1), ask clarification (1), decline (1), confirm milestone (1 or voice = 0), acknowledge release (1), assign driver (1), push route (1), generate invoice (1), mark received (1), mark loaded (1).</w:t>
      </w:r>
    </w:p>
    <w:p>
      <w:pPr>
        <w:keepNext/>
        <w:spacing w:before="180" w:after="80"/>
        <w:outlineLvl w:val="2"/>
      </w:pPr>
      <w:r>
        <w:rPr>
          <w:rFonts w:ascii="Arial" w:hAnsi="Arial" w:cs="Arial"/>
          <w:b/>
          <w:i w:val="0"/>
          <w:color w:val="333333"/>
          <w:sz w:val="23"/>
        </w:rPr>
        <w:t>16.11.7 Integration with Other Parts</w:t>
      </w:r>
    </w:p>
    <w:p>
      <w:pPr>
        <w:spacing w:after="80" w:line="293" w:lineRule="auto"/>
        <w:ind w:left="283"/>
        <w:jc w:val="left"/>
      </w:pPr>
      <w:r>
        <w:rPr>
          <w:rFonts w:ascii="Times New Roman" w:hAnsi="Times New Roman" w:cs="Times New Roman"/>
          <w:b w:val="0"/>
          <w:i w:val="0"/>
          <w:sz w:val="22"/>
        </w:rPr>
        <w:t>- RFQ Inbox receives requests from the Seller Dashboard's Logistics Builder Mode B (16.10) and the</w:t>
      </w:r>
    </w:p>
    <w:p>
      <w:pPr>
        <w:spacing w:after="80" w:line="293" w:lineRule="auto"/>
        <w:jc w:val="left"/>
      </w:pPr>
      <w:r>
        <w:rPr>
          <w:rFonts w:ascii="Times New Roman" w:hAnsi="Times New Roman" w:cs="Times New Roman"/>
          <w:b w:val="0"/>
          <w:i w:val="0"/>
          <w:sz w:val="22"/>
        </w:rPr>
        <w:t>unified capability model (Section 11).</w:t>
      </w:r>
    </w:p>
    <w:p>
      <w:pPr>
        <w:spacing w:after="80" w:line="293" w:lineRule="auto"/>
        <w:ind w:left="283"/>
        <w:jc w:val="left"/>
      </w:pPr>
      <w:r>
        <w:rPr>
          <w:rFonts w:ascii="Times New Roman" w:hAnsi="Times New Roman" w:cs="Times New Roman"/>
          <w:b w:val="0"/>
          <w:i w:val="0"/>
          <w:sz w:val="22"/>
        </w:rPr>
        <w:t>- Active Shipments consume container release tokens from physical execution (Section 12).</w:t>
      </w:r>
    </w:p>
    <w:p>
      <w:pPr>
        <w:spacing w:after="80" w:line="293" w:lineRule="auto"/>
        <w:ind w:left="283"/>
        <w:jc w:val="left"/>
      </w:pPr>
      <w:r>
        <w:rPr>
          <w:rFonts w:ascii="Times New Roman" w:hAnsi="Times New Roman" w:cs="Times New Roman"/>
          <w:b w:val="0"/>
          <w:i w:val="0"/>
          <w:sz w:val="22"/>
        </w:rPr>
        <w:t>- Milestone confirmations write to the shipment event spine and fee/settlement orchestration</w:t>
      </w:r>
    </w:p>
    <w:p>
      <w:pPr>
        <w:spacing w:after="80" w:line="293" w:lineRule="auto"/>
        <w:jc w:val="left"/>
      </w:pPr>
      <w:r>
        <w:rPr>
          <w:rFonts w:ascii="Times New Roman" w:hAnsi="Times New Roman" w:cs="Times New Roman"/>
          <w:b w:val="0"/>
          <w:i w:val="0"/>
          <w:sz w:val="22"/>
        </w:rPr>
        <w:t>(Sections 12 and 13).</w:t>
      </w:r>
    </w:p>
    <w:p>
      <w:pPr>
        <w:spacing w:after="80" w:line="293" w:lineRule="auto"/>
        <w:ind w:left="283"/>
        <w:jc w:val="left"/>
      </w:pPr>
      <w:r>
        <w:rPr>
          <w:rFonts w:ascii="Times New Roman" w:hAnsi="Times New Roman" w:cs="Times New Roman"/>
          <w:b w:val="0"/>
          <w:i w:val="0"/>
          <w:sz w:val="22"/>
        </w:rPr>
        <w:t>- Performance metrics feed the provider performance model (Section 11) and anonymised benchmarks</w:t>
      </w:r>
    </w:p>
    <w:p>
      <w:pPr>
        <w:spacing w:after="80" w:line="293" w:lineRule="auto"/>
        <w:jc w:val="left"/>
      </w:pPr>
      <w:r>
        <w:rPr>
          <w:rFonts w:ascii="Times New Roman" w:hAnsi="Times New Roman" w:cs="Times New Roman"/>
          <w:b w:val="0"/>
          <w:i w:val="0"/>
          <w:sz w:val="22"/>
        </w:rPr>
        <w:t>(Trade Memory, Section 20).</w:t>
      </w:r>
    </w:p>
    <w:p>
      <w:pPr>
        <w:spacing w:after="80" w:line="293" w:lineRule="auto"/>
        <w:ind w:left="283"/>
        <w:jc w:val="left"/>
      </w:pPr>
      <w:r>
        <w:rPr>
          <w:rFonts w:ascii="Times New Roman" w:hAnsi="Times New Roman" w:cs="Times New Roman"/>
          <w:b w:val="0"/>
          <w:i w:val="0"/>
          <w:sz w:val="22"/>
        </w:rPr>
        <w:t>- Payments settle through the multi-leg settlement (Section 13).</w:t>
      </w:r>
    </w:p>
    <w:p>
      <w:pPr>
        <w:keepNext/>
        <w:spacing w:before="180" w:after="80"/>
        <w:outlineLvl w:val="2"/>
      </w:pPr>
      <w:r>
        <w:rPr>
          <w:rFonts w:ascii="Arial" w:hAnsi="Arial" w:cs="Arial"/>
          <w:b/>
          <w:i w:val="0"/>
          <w:color w:val="333333"/>
          <w:sz w:val="23"/>
        </w:rPr>
        <w:t>16.11.8 Implementation Checklist (LSP Portal)</w:t>
      </w:r>
    </w:p>
    <w:p>
      <w:pPr>
        <w:keepNext/>
        <w:spacing w:before="140" w:after="60"/>
        <w:outlineLvl w:val="3"/>
      </w:pPr>
      <w:r>
        <w:rPr>
          <w:rFonts w:ascii="Arial" w:hAnsi="Arial" w:cs="Arial"/>
          <w:b/>
          <w:i/>
          <w:color w:val="333333"/>
          <w:sz w:val="22"/>
        </w:rPr>
        <w:t>16.11.8.1 Universal Command Center</w:t>
      </w:r>
    </w:p>
    <w:p>
      <w:pPr>
        <w:spacing w:after="80" w:line="293" w:lineRule="auto"/>
        <w:jc w:val="left"/>
      </w:pPr>
      <w:r>
        <w:rPr>
          <w:rFonts w:ascii="Times New Roman" w:hAnsi="Times New Roman" w:cs="Times New Roman"/>
          <w:b w:val="0"/>
          <w:i w:val="0"/>
          <w:sz w:val="22"/>
        </w:rPr>
        <w:t>Build the Universal Command Center (16.13) with LSP-specific cards (Open RFQs, Active Shipments, Pending Payments, Compliance Alerts, Performance Summary). Add quick actions (Respond to RFQ, View Dispatch Planner, Generate Invoice, Pair Driver App, Update Service Catalogue, Contact Support). Integrate the AI Operations Assistant (A1, Groq).</w:t>
      </w:r>
    </w:p>
    <w:p>
      <w:pPr>
        <w:keepNext/>
        <w:spacing w:before="140" w:after="60"/>
        <w:outlineLvl w:val="3"/>
      </w:pPr>
      <w:r>
        <w:rPr>
          <w:rFonts w:ascii="Arial" w:hAnsi="Arial" w:cs="Arial"/>
          <w:b/>
          <w:i/>
          <w:color w:val="333333"/>
          <w:sz w:val="22"/>
        </w:rPr>
        <w:t>16.11.8.2 RFQ Inbox</w:t>
      </w:r>
    </w:p>
    <w:p>
      <w:pPr>
        <w:spacing w:after="80" w:line="293" w:lineRule="auto"/>
        <w:ind w:left="283"/>
        <w:jc w:val="left"/>
      </w:pPr>
      <w:r>
        <w:rPr>
          <w:rFonts w:ascii="Times New Roman" w:hAnsi="Times New Roman" w:cs="Times New Roman"/>
          <w:b w:val="0"/>
          <w:i w:val="0"/>
          <w:sz w:val="22"/>
        </w:rPr>
        <w:t>- RFQ list with match score (A1), service type, route, commodity, volume, loading window.</w:t>
      </w:r>
    </w:p>
    <w:p>
      <w:pPr>
        <w:spacing w:after="80" w:line="293" w:lineRule="auto"/>
        <w:ind w:left="283"/>
        <w:jc w:val="left"/>
      </w:pPr>
      <w:r>
        <w:rPr>
          <w:rFonts w:ascii="Times New Roman" w:hAnsi="Times New Roman" w:cs="Times New Roman"/>
          <w:b w:val="0"/>
          <w:i w:val="0"/>
          <w:sz w:val="22"/>
        </w:rPr>
        <w:t>- Directed vs anonymous RFQ visibility.</w:t>
      </w:r>
    </w:p>
    <w:p>
      <w:pPr>
        <w:spacing w:after="80" w:line="293" w:lineRule="auto"/>
        <w:ind w:left="283"/>
        <w:jc w:val="left"/>
      </w:pPr>
      <w:r>
        <w:rPr>
          <w:rFonts w:ascii="Times New Roman" w:hAnsi="Times New Roman" w:cs="Times New Roman"/>
          <w:b w:val="0"/>
          <w:i w:val="0"/>
          <w:sz w:val="22"/>
        </w:rPr>
        <w:t>- Clarification request workflow — structured Q&amp;A.</w:t>
      </w:r>
    </w:p>
    <w:p>
      <w:pPr>
        <w:spacing w:after="80" w:line="293" w:lineRule="auto"/>
        <w:ind w:left="283"/>
        <w:jc w:val="left"/>
      </w:pPr>
      <w:r>
        <w:rPr>
          <w:rFonts w:ascii="Times New Roman" w:hAnsi="Times New Roman" w:cs="Times New Roman"/>
          <w:b w:val="0"/>
          <w:i w:val="0"/>
          <w:sz w:val="22"/>
        </w:rPr>
        <w:t>- Quote submission with pre-filled catalogue and AI Quote Assistant (A1).</w:t>
      </w:r>
    </w:p>
    <w:p>
      <w:pPr>
        <w:spacing w:after="80" w:line="293" w:lineRule="auto"/>
        <w:ind w:left="283"/>
        <w:jc w:val="left"/>
      </w:pPr>
      <w:r>
        <w:rPr>
          <w:rFonts w:ascii="Times New Roman" w:hAnsi="Times New Roman" w:cs="Times New Roman"/>
          <w:b w:val="0"/>
          <w:i w:val="0"/>
          <w:sz w:val="22"/>
        </w:rPr>
        <w:t>- Decline with mandatory reason.</w:t>
      </w:r>
    </w:p>
    <w:p>
      <w:pPr>
        <w:keepNext/>
        <w:spacing w:before="140" w:after="60"/>
        <w:outlineLvl w:val="3"/>
      </w:pPr>
      <w:r>
        <w:rPr>
          <w:rFonts w:ascii="Arial" w:hAnsi="Arial" w:cs="Arial"/>
          <w:b/>
          <w:i/>
          <w:color w:val="333333"/>
          <w:sz w:val="22"/>
        </w:rPr>
        <w:t>16.11.8.3 Active Shipments</w:t>
      </w:r>
    </w:p>
    <w:p>
      <w:pPr>
        <w:spacing w:after="80" w:line="293" w:lineRule="auto"/>
        <w:ind w:left="283"/>
        <w:jc w:val="left"/>
      </w:pPr>
      <w:r>
        <w:rPr>
          <w:rFonts w:ascii="Times New Roman" w:hAnsi="Times New Roman" w:cs="Times New Roman"/>
          <w:b w:val="0"/>
          <w:i w:val="0"/>
          <w:sz w:val="22"/>
        </w:rPr>
        <w:t>- Shared Shipments Vault filtered to LSP-accepted jobs.</w:t>
      </w:r>
    </w:p>
    <w:p>
      <w:pPr>
        <w:spacing w:after="80" w:line="293" w:lineRule="auto"/>
        <w:ind w:left="283"/>
        <w:jc w:val="left"/>
      </w:pPr>
      <w:r>
        <w:rPr>
          <w:rFonts w:ascii="Times New Roman" w:hAnsi="Times New Roman" w:cs="Times New Roman"/>
          <w:b w:val="0"/>
          <w:i w:val="0"/>
          <w:sz w:val="22"/>
        </w:rPr>
        <w:t>- Milestone confirmation (voice-enabled, A1).</w:t>
      </w:r>
    </w:p>
    <w:p>
      <w:pPr>
        <w:spacing w:after="80" w:line="293" w:lineRule="auto"/>
        <w:ind w:left="283"/>
        <w:jc w:val="left"/>
      </w:pPr>
      <w:r>
        <w:rPr>
          <w:rFonts w:ascii="Times New Roman" w:hAnsi="Times New Roman" w:cs="Times New Roman"/>
          <w:b w:val="0"/>
          <w:i w:val="0"/>
          <w:sz w:val="22"/>
        </w:rPr>
        <w:t>- Container release acknowledgment.</w:t>
      </w:r>
    </w:p>
    <w:p>
      <w:pPr>
        <w:spacing w:after="80" w:line="293" w:lineRule="auto"/>
        <w:ind w:left="283"/>
        <w:jc w:val="left"/>
      </w:pPr>
      <w:r>
        <w:rPr>
          <w:rFonts w:ascii="Times New Roman" w:hAnsi="Times New Roman" w:cs="Times New Roman"/>
          <w:b w:val="0"/>
          <w:i w:val="0"/>
          <w:sz w:val="22"/>
        </w:rPr>
        <w:t>- Addendum signing.</w:t>
      </w:r>
    </w:p>
    <w:p>
      <w:pPr>
        <w:keepNext/>
        <w:spacing w:before="140" w:after="60"/>
        <w:outlineLvl w:val="3"/>
      </w:pPr>
      <w:r>
        <w:rPr>
          <w:rFonts w:ascii="Arial" w:hAnsi="Arial" w:cs="Arial"/>
          <w:b/>
          <w:i/>
          <w:color w:val="333333"/>
          <w:sz w:val="22"/>
        </w:rPr>
        <w:t>16.11.8.4 Dispatch Planner (Trucking-only)</w:t>
      </w:r>
    </w:p>
    <w:p>
      <w:pPr>
        <w:spacing w:after="80" w:line="293" w:lineRule="auto"/>
        <w:ind w:left="283"/>
        <w:jc w:val="left"/>
      </w:pPr>
      <w:r>
        <w:rPr>
          <w:rFonts w:ascii="Times New Roman" w:hAnsi="Times New Roman" w:cs="Times New Roman"/>
          <w:b w:val="0"/>
          <w:i w:val="0"/>
          <w:sz w:val="22"/>
        </w:rPr>
        <w:t>- ORTools VRP route optimisation (A2).</w:t>
      </w:r>
    </w:p>
    <w:p>
      <w:pPr>
        <w:spacing w:after="80" w:line="293" w:lineRule="auto"/>
        <w:ind w:left="283"/>
        <w:jc w:val="left"/>
      </w:pPr>
      <w:r>
        <w:rPr>
          <w:rFonts w:ascii="Times New Roman" w:hAnsi="Times New Roman" w:cs="Times New Roman"/>
          <w:b w:val="0"/>
          <w:i w:val="0"/>
          <w:sz w:val="22"/>
        </w:rPr>
        <w:t>- Driver assignment (drag-and-drop).</w:t>
      </w:r>
    </w:p>
    <w:p>
      <w:pPr>
        <w:spacing w:after="80" w:line="293" w:lineRule="auto"/>
        <w:ind w:left="283"/>
        <w:jc w:val="left"/>
      </w:pPr>
      <w:r>
        <w:rPr>
          <w:rFonts w:ascii="Times New Roman" w:hAnsi="Times New Roman" w:cs="Times New Roman"/>
          <w:b w:val="0"/>
          <w:i w:val="0"/>
          <w:sz w:val="22"/>
        </w:rPr>
        <w:t>- Geofence alerts.</w:t>
      </w:r>
    </w:p>
    <w:p>
      <w:pPr>
        <w:spacing w:after="80" w:line="293" w:lineRule="auto"/>
        <w:ind w:left="283"/>
        <w:jc w:val="left"/>
      </w:pPr>
      <w:r>
        <w:rPr>
          <w:rFonts w:ascii="Times New Roman" w:hAnsi="Times New Roman" w:cs="Times New Roman"/>
          <w:b w:val="0"/>
          <w:i w:val="0"/>
          <w:sz w:val="22"/>
        </w:rPr>
        <w:t>- Voice navigation integration (push to driver app).</w:t>
      </w:r>
    </w:p>
    <w:p>
      <w:pPr>
        <w:keepNext/>
        <w:spacing w:before="140" w:after="60"/>
        <w:outlineLvl w:val="3"/>
      </w:pPr>
      <w:r>
        <w:rPr>
          <w:rFonts w:ascii="Arial" w:hAnsi="Arial" w:cs="Arial"/>
          <w:b/>
          <w:i/>
          <w:color w:val="333333"/>
          <w:sz w:val="22"/>
        </w:rPr>
        <w:t>16.11.8.5 Warehouse Dashboard (Warehousing-only)</w:t>
      </w:r>
    </w:p>
    <w:p>
      <w:pPr>
        <w:spacing w:after="80" w:line="293" w:lineRule="auto"/>
        <w:ind w:left="283"/>
        <w:jc w:val="left"/>
      </w:pPr>
      <w:r>
        <w:rPr>
          <w:rFonts w:ascii="Times New Roman" w:hAnsi="Times New Roman" w:cs="Times New Roman"/>
          <w:b w:val="0"/>
          <w:i w:val="0"/>
          <w:sz w:val="22"/>
        </w:rPr>
        <w:t>- Inbound log with "Mark Received".</w:t>
      </w:r>
    </w:p>
    <w:p>
      <w:pPr>
        <w:spacing w:after="80" w:line="293" w:lineRule="auto"/>
        <w:ind w:left="283"/>
        <w:jc w:val="left"/>
      </w:pPr>
      <w:r>
        <w:rPr>
          <w:rFonts w:ascii="Times New Roman" w:hAnsi="Times New Roman" w:cs="Times New Roman"/>
          <w:b w:val="0"/>
          <w:i w:val="0"/>
          <w:sz w:val="22"/>
        </w:rPr>
        <w:t>- Outbound log with "Mark Loaded".</w:t>
      </w:r>
    </w:p>
    <w:p>
      <w:pPr>
        <w:spacing w:after="80" w:line="293" w:lineRule="auto"/>
        <w:ind w:left="283"/>
        <w:jc w:val="left"/>
      </w:pPr>
      <w:r>
        <w:rPr>
          <w:rFonts w:ascii="Times New Roman" w:hAnsi="Times New Roman" w:cs="Times New Roman"/>
          <w:b w:val="0"/>
          <w:i w:val="0"/>
          <w:sz w:val="22"/>
        </w:rPr>
        <w:t>- Storage utilisation chart.</w:t>
      </w:r>
    </w:p>
    <w:p>
      <w:pPr>
        <w:spacing w:after="80" w:line="293" w:lineRule="auto"/>
        <w:ind w:left="283"/>
        <w:jc w:val="left"/>
      </w:pPr>
      <w:r>
        <w:rPr>
          <w:rFonts w:ascii="Times New Roman" w:hAnsi="Times New Roman" w:cs="Times New Roman"/>
          <w:b w:val="0"/>
          <w:i w:val="0"/>
          <w:sz w:val="22"/>
        </w:rPr>
        <w:t>- Temperature logs with anomaly detection (A2).</w:t>
      </w:r>
    </w:p>
    <w:p>
      <w:pPr>
        <w:spacing w:after="80" w:line="293" w:lineRule="auto"/>
        <w:ind w:left="283"/>
        <w:jc w:val="left"/>
      </w:pPr>
      <w:r>
        <w:rPr>
          <w:rFonts w:ascii="Times New Roman" w:hAnsi="Times New Roman" w:cs="Times New Roman"/>
          <w:b w:val="0"/>
          <w:i w:val="0"/>
          <w:sz w:val="22"/>
        </w:rPr>
        <w:t>- Packing supervision.</w:t>
      </w:r>
    </w:p>
    <w:p>
      <w:pPr>
        <w:keepNext/>
        <w:spacing w:before="140" w:after="60"/>
        <w:outlineLvl w:val="3"/>
      </w:pPr>
      <w:r>
        <w:rPr>
          <w:rFonts w:ascii="Arial" w:hAnsi="Arial" w:cs="Arial"/>
          <w:b/>
          <w:i/>
          <w:color w:val="333333"/>
          <w:sz w:val="22"/>
        </w:rPr>
        <w:t>16.11.8.6 Forwarder Console (Forwarding-only)</w:t>
      </w:r>
    </w:p>
    <w:p>
      <w:pPr>
        <w:spacing w:after="80" w:line="293" w:lineRule="auto"/>
        <w:ind w:left="283"/>
        <w:jc w:val="left"/>
      </w:pPr>
      <w:r>
        <w:rPr>
          <w:rFonts w:ascii="Times New Roman" w:hAnsi="Times New Roman" w:cs="Times New Roman"/>
          <w:b w:val="0"/>
          <w:i w:val="0"/>
          <w:sz w:val="22"/>
        </w:rPr>
        <w:t>- Subcontractor network (only saved contacts).</w:t>
      </w:r>
    </w:p>
    <w:p>
      <w:pPr>
        <w:spacing w:after="80" w:line="293" w:lineRule="auto"/>
        <w:ind w:left="283"/>
        <w:jc w:val="left"/>
      </w:pPr>
      <w:r>
        <w:rPr>
          <w:rFonts w:ascii="Times New Roman" w:hAnsi="Times New Roman" w:cs="Times New Roman"/>
          <w:b w:val="0"/>
          <w:i w:val="0"/>
          <w:sz w:val="22"/>
        </w:rPr>
        <w:t>- LCL consolidation planner (ORTools, A2).</w:t>
      </w:r>
    </w:p>
    <w:p>
      <w:pPr>
        <w:spacing w:after="80" w:line="293" w:lineRule="auto"/>
        <w:ind w:left="283"/>
        <w:jc w:val="left"/>
      </w:pPr>
      <w:r>
        <w:rPr>
          <w:rFonts w:ascii="Times New Roman" w:hAnsi="Times New Roman" w:cs="Times New Roman"/>
          <w:b w:val="0"/>
          <w:i w:val="0"/>
          <w:sz w:val="22"/>
        </w:rPr>
        <w:t>- Bundled quote builder.</w:t>
      </w:r>
    </w:p>
    <w:p>
      <w:pPr>
        <w:keepNext/>
        <w:spacing w:before="140" w:after="60"/>
        <w:outlineLvl w:val="3"/>
      </w:pPr>
      <w:r>
        <w:rPr>
          <w:rFonts w:ascii="Arial" w:hAnsi="Arial" w:cs="Arial"/>
          <w:b/>
          <w:i/>
          <w:color w:val="333333"/>
          <w:sz w:val="22"/>
        </w:rPr>
        <w:t>16.11.8.7 Driver Mobile App Management</w:t>
      </w:r>
    </w:p>
    <w:p>
      <w:pPr>
        <w:spacing w:after="80" w:line="293" w:lineRule="auto"/>
        <w:ind w:left="283"/>
        <w:jc w:val="left"/>
      </w:pPr>
      <w:r>
        <w:rPr>
          <w:rFonts w:ascii="Times New Roman" w:hAnsi="Times New Roman" w:cs="Times New Roman"/>
          <w:b w:val="0"/>
          <w:i w:val="0"/>
          <w:sz w:val="22"/>
        </w:rPr>
        <w:t>- QR code pairing (generate, revoke).</w:t>
      </w:r>
    </w:p>
    <w:p>
      <w:pPr>
        <w:spacing w:after="80" w:line="293" w:lineRule="auto"/>
        <w:ind w:left="283"/>
        <w:jc w:val="left"/>
      </w:pPr>
      <w:r>
        <w:rPr>
          <w:rFonts w:ascii="Times New Roman" w:hAnsi="Times New Roman" w:cs="Times New Roman"/>
          <w:b w:val="0"/>
          <w:i w:val="0"/>
          <w:sz w:val="22"/>
        </w:rPr>
        <w:t>- Offline scanning queue (view, retry sync).</w:t>
      </w:r>
    </w:p>
    <w:p>
      <w:pPr>
        <w:spacing w:after="80" w:line="293" w:lineRule="auto"/>
        <w:ind w:left="283"/>
        <w:jc w:val="left"/>
      </w:pPr>
      <w:r>
        <w:rPr>
          <w:rFonts w:ascii="Times New Roman" w:hAnsi="Times New Roman" w:cs="Times New Roman"/>
          <w:b w:val="0"/>
          <w:i w:val="0"/>
          <w:sz w:val="22"/>
        </w:rPr>
        <w:t>- Driver assignment list (assign, push).</w:t>
      </w:r>
    </w:p>
    <w:p>
      <w:pPr>
        <w:spacing w:after="80" w:line="293" w:lineRule="auto"/>
        <w:ind w:left="283"/>
        <w:jc w:val="left"/>
      </w:pPr>
      <w:r>
        <w:rPr>
          <w:rFonts w:ascii="Times New Roman" w:hAnsi="Times New Roman" w:cs="Times New Roman"/>
          <w:b w:val="0"/>
          <w:i w:val="0"/>
          <w:sz w:val="22"/>
        </w:rPr>
        <w:t>- Geofence configuration (add, edit, delete).</w:t>
      </w:r>
    </w:p>
    <w:p>
      <w:pPr>
        <w:keepNext/>
        <w:spacing w:before="140" w:after="60"/>
        <w:outlineLvl w:val="3"/>
      </w:pPr>
      <w:r>
        <w:rPr>
          <w:rFonts w:ascii="Arial" w:hAnsi="Arial" w:cs="Arial"/>
          <w:b/>
          <w:i/>
          <w:color w:val="333333"/>
          <w:sz w:val="22"/>
        </w:rPr>
        <w:t>16.11.8.8 Performance</w:t>
      </w:r>
    </w:p>
    <w:p>
      <w:pPr>
        <w:spacing w:after="80" w:line="293" w:lineRule="auto"/>
        <w:ind w:left="283"/>
        <w:jc w:val="left"/>
      </w:pPr>
      <w:r>
        <w:rPr>
          <w:rFonts w:ascii="Times New Roman" w:hAnsi="Times New Roman" w:cs="Times New Roman"/>
          <w:b w:val="0"/>
          <w:i w:val="0"/>
          <w:sz w:val="22"/>
        </w:rPr>
        <w:t>- On-time delivery % (per trade lane, rolling periods).</w:t>
      </w:r>
    </w:p>
    <w:p>
      <w:pPr>
        <w:spacing w:after="80" w:line="293" w:lineRule="auto"/>
        <w:ind w:left="283"/>
        <w:jc w:val="left"/>
      </w:pPr>
      <w:r>
        <w:rPr>
          <w:rFonts w:ascii="Times New Roman" w:hAnsi="Times New Roman" w:cs="Times New Roman"/>
          <w:b w:val="0"/>
          <w:i w:val="0"/>
          <w:sz w:val="22"/>
        </w:rPr>
        <w:t>- Dispute rate (with breakdown).</w:t>
      </w:r>
    </w:p>
    <w:p>
      <w:pPr>
        <w:spacing w:after="80" w:line="293" w:lineRule="auto"/>
        <w:ind w:left="283"/>
        <w:jc w:val="left"/>
      </w:pPr>
      <w:r>
        <w:rPr>
          <w:rFonts w:ascii="Times New Roman" w:hAnsi="Times New Roman" w:cs="Times New Roman"/>
          <w:b w:val="0"/>
          <w:i w:val="0"/>
          <w:sz w:val="22"/>
        </w:rPr>
        <w:t>- Invoice accuracy.</w:t>
      </w:r>
    </w:p>
    <w:p>
      <w:pPr>
        <w:spacing w:after="80" w:line="293" w:lineRule="auto"/>
        <w:ind w:left="283"/>
        <w:jc w:val="left"/>
      </w:pPr>
      <w:r>
        <w:rPr>
          <w:rFonts w:ascii="Times New Roman" w:hAnsi="Times New Roman" w:cs="Times New Roman"/>
          <w:b w:val="0"/>
          <w:i w:val="0"/>
          <w:sz w:val="22"/>
        </w:rPr>
        <w:t>- Anonymous benchmark (differential privacy, ε = 0.1, A2).</w:t>
      </w:r>
    </w:p>
    <w:p>
      <w:pPr>
        <w:spacing w:after="80" w:line="293" w:lineRule="auto"/>
        <w:ind w:left="283"/>
        <w:jc w:val="left"/>
      </w:pPr>
      <w:r>
        <w:rPr>
          <w:rFonts w:ascii="Times New Roman" w:hAnsi="Times New Roman" w:cs="Times New Roman"/>
          <w:b w:val="0"/>
          <w:i w:val="0"/>
          <w:sz w:val="22"/>
        </w:rPr>
        <w:t>- Groq performance summary (A1).</w:t>
      </w:r>
    </w:p>
    <w:p>
      <w:pPr>
        <w:spacing w:after="80" w:line="293" w:lineRule="auto"/>
        <w:ind w:left="283"/>
        <w:jc w:val="left"/>
      </w:pPr>
      <w:r>
        <w:rPr>
          <w:rFonts w:ascii="Times New Roman" w:hAnsi="Times New Roman" w:cs="Times New Roman"/>
          <w:b w:val="0"/>
          <w:i w:val="0"/>
          <w:sz w:val="22"/>
        </w:rPr>
        <w:t>- Download report.</w:t>
      </w:r>
    </w:p>
    <w:p>
      <w:pPr>
        <w:keepNext/>
        <w:spacing w:before="140" w:after="60"/>
        <w:outlineLvl w:val="3"/>
      </w:pPr>
      <w:r>
        <w:rPr>
          <w:rFonts w:ascii="Arial" w:hAnsi="Arial" w:cs="Arial"/>
          <w:b/>
          <w:i/>
          <w:color w:val="333333"/>
          <w:sz w:val="22"/>
        </w:rPr>
        <w:t>16.11.8.9 Invoices &amp; Payments</w:t>
      </w:r>
    </w:p>
    <w:p>
      <w:pPr>
        <w:spacing w:after="80" w:line="293" w:lineRule="auto"/>
        <w:ind w:left="283"/>
        <w:jc w:val="left"/>
      </w:pPr>
      <w:r>
        <w:rPr>
          <w:rFonts w:ascii="Times New Roman" w:hAnsi="Times New Roman" w:cs="Times New Roman"/>
          <w:b w:val="0"/>
          <w:i w:val="0"/>
          <w:sz w:val="22"/>
        </w:rPr>
        <w:t>- Invoice list with status filtering.</w:t>
      </w:r>
    </w:p>
    <w:p>
      <w:pPr>
        <w:spacing w:after="80" w:line="293" w:lineRule="auto"/>
        <w:ind w:left="283"/>
        <w:jc w:val="left"/>
      </w:pPr>
      <w:r>
        <w:rPr>
          <w:rFonts w:ascii="Times New Roman" w:hAnsi="Times New Roman" w:cs="Times New Roman"/>
          <w:b w:val="0"/>
          <w:i w:val="0"/>
          <w:sz w:val="22"/>
        </w:rPr>
        <w:t>- Invoice detail with PDF download.</w:t>
      </w:r>
    </w:p>
    <w:p>
      <w:pPr>
        <w:spacing w:after="80" w:line="293" w:lineRule="auto"/>
        <w:ind w:left="283"/>
        <w:jc w:val="left"/>
      </w:pPr>
      <w:r>
        <w:rPr>
          <w:rFonts w:ascii="Times New Roman" w:hAnsi="Times New Roman" w:cs="Times New Roman"/>
          <w:b w:val="0"/>
          <w:i w:val="0"/>
          <w:sz w:val="22"/>
        </w:rPr>
        <w:t>- Payment confirmation (bank camt.054).</w:t>
      </w:r>
    </w:p>
    <w:p>
      <w:pPr>
        <w:spacing w:after="80" w:line="293" w:lineRule="auto"/>
        <w:ind w:left="283"/>
        <w:jc w:val="left"/>
      </w:pPr>
      <w:r>
        <w:rPr>
          <w:rFonts w:ascii="Times New Roman" w:hAnsi="Times New Roman" w:cs="Times New Roman"/>
          <w:b w:val="0"/>
          <w:i w:val="0"/>
          <w:sz w:val="22"/>
        </w:rPr>
        <w:t>- Dispute link.</w:t>
      </w:r>
    </w:p>
    <w:p>
      <w:pPr>
        <w:keepNext/>
        <w:spacing w:before="140" w:after="60"/>
        <w:outlineLvl w:val="3"/>
      </w:pPr>
      <w:r>
        <w:rPr>
          <w:rFonts w:ascii="Arial" w:hAnsi="Arial" w:cs="Arial"/>
          <w:b/>
          <w:i/>
          <w:color w:val="333333"/>
          <w:sz w:val="22"/>
        </w:rPr>
        <w:t>16.11.8.10 Company Admin</w:t>
      </w:r>
    </w:p>
    <w:p>
      <w:pPr>
        <w:spacing w:after="80" w:line="293" w:lineRule="auto"/>
        <w:ind w:left="283"/>
        <w:jc w:val="left"/>
      </w:pPr>
      <w:r>
        <w:rPr>
          <w:rFonts w:ascii="Times New Roman" w:hAnsi="Times New Roman" w:cs="Times New Roman"/>
          <w:b w:val="0"/>
          <w:i w:val="0"/>
          <w:sz w:val="22"/>
        </w:rPr>
        <w:t>- Employee management (invite, roles: Dispatcher, Driver, Viewer, Admin).</w:t>
      </w:r>
    </w:p>
    <w:p>
      <w:pPr>
        <w:spacing w:after="80" w:line="293" w:lineRule="auto"/>
        <w:ind w:left="283"/>
        <w:jc w:val="left"/>
      </w:pPr>
      <w:r>
        <w:rPr>
          <w:rFonts w:ascii="Times New Roman" w:hAnsi="Times New Roman" w:cs="Times New Roman"/>
          <w:b w:val="0"/>
          <w:i w:val="0"/>
          <w:sz w:val="22"/>
        </w:rPr>
        <w:t>- Service catalogue (routes, vehicle types, fees, validity periods).</w:t>
      </w:r>
    </w:p>
    <w:p>
      <w:pPr>
        <w:spacing w:after="80" w:line="293" w:lineRule="auto"/>
        <w:ind w:left="283"/>
        <w:jc w:val="left"/>
      </w:pPr>
      <w:r>
        <w:rPr>
          <w:rFonts w:ascii="Times New Roman" w:hAnsi="Times New Roman" w:cs="Times New Roman"/>
          <w:b w:val="0"/>
          <w:i w:val="0"/>
          <w:sz w:val="22"/>
        </w:rPr>
        <w:t>- Fleet list upload (trucking) / warehouse capacity (warehousing).</w:t>
      </w:r>
    </w:p>
    <w:p>
      <w:pPr>
        <w:spacing w:after="80" w:line="293" w:lineRule="auto"/>
        <w:ind w:left="283"/>
        <w:jc w:val="left"/>
      </w:pPr>
      <w:r>
        <w:rPr>
          <w:rFonts w:ascii="Times New Roman" w:hAnsi="Times New Roman" w:cs="Times New Roman"/>
          <w:b w:val="0"/>
          <w:i w:val="0"/>
          <w:sz w:val="22"/>
        </w:rPr>
        <w:t>- Mobile app integration (QR pairing, offline sync).</w:t>
      </w:r>
    </w:p>
    <w:p>
      <w:pPr>
        <w:spacing w:after="80" w:line="293" w:lineRule="auto"/>
        <w:ind w:left="283"/>
        <w:jc w:val="left"/>
      </w:pPr>
      <w:r>
        <w:rPr>
          <w:rFonts w:ascii="Times New Roman" w:hAnsi="Times New Roman" w:cs="Times New Roman"/>
          <w:b w:val="0"/>
          <w:i w:val="0"/>
          <w:sz w:val="22"/>
        </w:rPr>
        <w:t>- Anonymous RFQ opt-out toggle.</w:t>
      </w:r>
    </w:p>
    <w:p>
      <w:pPr>
        <w:spacing w:after="80" w:line="293" w:lineRule="auto"/>
        <w:ind w:left="283"/>
        <w:jc w:val="left"/>
      </w:pPr>
      <w:r>
        <w:rPr>
          <w:rFonts w:ascii="Times New Roman" w:hAnsi="Times New Roman" w:cs="Times New Roman"/>
          <w:b w:val="0"/>
          <w:i w:val="0"/>
          <w:sz w:val="22"/>
        </w:rPr>
        <w:t>- Licences &amp; insurance upload (RIA validation).</w:t>
      </w:r>
    </w:p>
    <w:p>
      <w:pPr>
        <w:spacing w:after="80" w:line="293" w:lineRule="auto"/>
        <w:ind w:left="283"/>
        <w:jc w:val="left"/>
      </w:pPr>
      <w:r>
        <w:rPr>
          <w:rFonts w:ascii="Times New Roman" w:hAnsi="Times New Roman" w:cs="Times New Roman"/>
          <w:b w:val="0"/>
          <w:i w:val="0"/>
          <w:sz w:val="22"/>
        </w:rPr>
        <w:t>- Branding (logo, colour scheme).</w:t>
      </w:r>
    </w:p>
    <w:p>
      <w:pPr>
        <w:keepNext/>
        <w:spacing w:before="140" w:after="60"/>
        <w:outlineLvl w:val="3"/>
      </w:pPr>
      <w:r>
        <w:rPr>
          <w:rFonts w:ascii="Arial" w:hAnsi="Arial" w:cs="Arial"/>
          <w:b/>
          <w:i/>
          <w:color w:val="333333"/>
          <w:sz w:val="22"/>
        </w:rPr>
        <w:t>16.11.8.11 Testing</w:t>
      </w:r>
    </w:p>
    <w:p>
      <w:pPr>
        <w:spacing w:after="80" w:line="293" w:lineRule="auto"/>
        <w:ind w:left="283"/>
        <w:jc w:val="left"/>
      </w:pPr>
      <w:r>
        <w:rPr>
          <w:rFonts w:ascii="Times New Roman" w:hAnsi="Times New Roman" w:cs="Times New Roman"/>
          <w:b w:val="0"/>
          <w:i w:val="0"/>
          <w:sz w:val="22"/>
        </w:rPr>
        <w:t>- Test LSP RFQ flow: receive RFQ → ask clarification → send quote → quote accepted → sign addendum</w:t>
      </w:r>
    </w:p>
    <w:p>
      <w:pPr>
        <w:spacing w:after="80" w:line="293" w:lineRule="auto"/>
        <w:jc w:val="left"/>
      </w:pPr>
      <w:r>
        <w:rPr>
          <w:rFonts w:ascii="Times New Roman" w:hAnsi="Times New Roman" w:cs="Times New Roman"/>
          <w:b w:val="0"/>
          <w:i w:val="0"/>
          <w:sz w:val="22"/>
        </w:rPr>
        <w:t>→ acknowledge release → confirm milestones → receive payment.</w:t>
      </w:r>
    </w:p>
    <w:p>
      <w:pPr>
        <w:spacing w:after="80" w:line="293" w:lineRule="auto"/>
        <w:ind w:left="283"/>
        <w:jc w:val="left"/>
      </w:pPr>
      <w:r>
        <w:rPr>
          <w:rFonts w:ascii="Times New Roman" w:hAnsi="Times New Roman" w:cs="Times New Roman"/>
          <w:b w:val="0"/>
          <w:i w:val="0"/>
          <w:sz w:val="22"/>
        </w:rPr>
        <w:t>- Test directed vs anonymous RFQ visibility.</w:t>
      </w:r>
    </w:p>
    <w:p>
      <w:pPr>
        <w:spacing w:after="80" w:line="293" w:lineRule="auto"/>
        <w:ind w:left="283"/>
        <w:jc w:val="left"/>
      </w:pPr>
      <w:r>
        <w:rPr>
          <w:rFonts w:ascii="Times New Roman" w:hAnsi="Times New Roman" w:cs="Times New Roman"/>
          <w:b w:val="0"/>
          <w:i w:val="0"/>
          <w:sz w:val="22"/>
        </w:rPr>
        <w:t>- Test offline sync (driver app → queue → sync).</w:t>
      </w:r>
    </w:p>
    <w:p>
      <w:pPr>
        <w:spacing w:after="80" w:line="293" w:lineRule="auto"/>
        <w:ind w:left="283"/>
        <w:jc w:val="left"/>
      </w:pPr>
      <w:r>
        <w:rPr>
          <w:rFonts w:ascii="Times New Roman" w:hAnsi="Times New Roman" w:cs="Times New Roman"/>
          <w:b w:val="0"/>
          <w:i w:val="0"/>
          <w:sz w:val="22"/>
        </w:rPr>
        <w:t>- Test dispatch planner (optimise → assign → push).</w:t>
      </w:r>
    </w:p>
    <w:p>
      <w:pPr>
        <w:spacing w:after="80" w:line="293" w:lineRule="auto"/>
        <w:ind w:left="283"/>
        <w:jc w:val="left"/>
      </w:pPr>
      <w:r>
        <w:rPr>
          <w:rFonts w:ascii="Times New Roman" w:hAnsi="Times New Roman" w:cs="Times New Roman"/>
          <w:b w:val="0"/>
          <w:i w:val="0"/>
          <w:sz w:val="22"/>
        </w:rPr>
        <w:t>- Test warehouse dashboard (receive → store → load out).</w:t>
      </w:r>
    </w:p>
    <w:p>
      <w:pPr>
        <w:spacing w:after="80" w:line="293" w:lineRule="auto"/>
        <w:ind w:left="283"/>
        <w:jc w:val="left"/>
      </w:pPr>
      <w:r>
        <w:rPr>
          <w:rFonts w:ascii="Times New Roman" w:hAnsi="Times New Roman" w:cs="Times New Roman"/>
          <w:b w:val="0"/>
          <w:i w:val="0"/>
          <w:sz w:val="22"/>
        </w:rPr>
        <w:t>- Test forwarder console (subcontractor selection → consolidation → bundle quote).</w:t>
      </w:r>
    </w:p>
    <w:p>
      <w:pPr>
        <w:spacing w:after="80" w:line="293" w:lineRule="auto"/>
        <w:ind w:left="283"/>
        <w:jc w:val="left"/>
      </w:pPr>
      <w:r>
        <w:rPr>
          <w:rFonts w:ascii="Times New Roman" w:hAnsi="Times New Roman" w:cs="Times New Roman"/>
          <w:b w:val="0"/>
          <w:i w:val="0"/>
          <w:sz w:val="22"/>
        </w:rPr>
        <w:t>- Test anonymous RFQ opt-out (LSP preference).</w:t>
      </w:r>
    </w:p>
    <w:p>
      <w:pPr>
        <w:spacing w:after="80" w:line="293" w:lineRule="auto"/>
        <w:ind w:left="283"/>
        <w:jc w:val="left"/>
      </w:pPr>
      <w:r>
        <w:rPr>
          <w:rFonts w:ascii="Times New Roman" w:hAnsi="Times New Roman" w:cs="Times New Roman"/>
          <w:b w:val="0"/>
          <w:i w:val="0"/>
          <w:sz w:val="22"/>
        </w:rPr>
        <w:t>- Test performance dashboard (metrics, benchmark, Groq summary).</w:t>
      </w:r>
    </w:p>
    <w:p>
      <w:pPr>
        <w:keepNext/>
        <w:spacing w:before="180" w:after="80"/>
        <w:outlineLvl w:val="2"/>
      </w:pPr>
      <w:r>
        <w:rPr>
          <w:rFonts w:ascii="Arial" w:hAnsi="Arial" w:cs="Arial"/>
          <w:b/>
          <w:i w:val="0"/>
          <w:color w:val="333333"/>
          <w:sz w:val="23"/>
        </w:rPr>
        <w:t>16.11.9 AI Authority Summary</w:t>
      </w:r>
    </w:p>
    <w:p>
      <w:pPr>
        <w:spacing w:after="80" w:line="293" w:lineRule="auto"/>
        <w:jc w:val="left"/>
      </w:pPr>
      <w:r>
        <w:rPr>
          <w:rFonts w:ascii="Times New Roman" w:hAnsi="Times New Roman" w:cs="Times New Roman"/>
          <w:b w:val="0"/>
          <w:i w:val="0"/>
          <w:sz w:val="22"/>
        </w:rPr>
        <w:t>A1 (Groq → Ollama): match score explanations, AI Quote Assistant, performance summaries, operations assistant. A2 (HF local): VRP/consolidation optimisation, temperature anomaly detection, anonymous benchmarking. A4 (OPA + WasmEdge): addendum signing gates, release acknowledgment validation, milestone confirmation authority.</w:t>
      </w:r>
    </w:p>
    <w:p>
      <w:pPr>
        <w:keepNext/>
        <w:spacing w:before="240" w:after="100"/>
        <w:outlineLvl w:val="1"/>
      </w:pPr>
      <w:r>
        <w:rPr>
          <w:rFonts w:ascii="Arial" w:hAnsi="Arial" w:cs="Arial"/>
          <w:b/>
          <w:i w:val="0"/>
          <w:color w:val="2E528F"/>
          <w:sz w:val="26"/>
        </w:rPr>
        <w:t>16.12 Shipping Line (SHIP) Portal</w:t>
      </w:r>
    </w:p>
    <w:p>
      <w:pPr>
        <w:keepNext/>
        <w:spacing w:before="180" w:after="80"/>
        <w:outlineLvl w:val="2"/>
      </w:pPr>
      <w:r>
        <w:rPr>
          <w:rFonts w:ascii="Arial" w:hAnsi="Arial" w:cs="Arial"/>
          <w:b/>
          <w:i w:val="0"/>
          <w:color w:val="333333"/>
          <w:sz w:val="23"/>
        </w:rPr>
        <w:t>16.12.1 Access &amp; Purpose</w:t>
      </w:r>
    </w:p>
    <w:p>
      <w:pPr>
        <w:keepNext/>
        <w:spacing w:before="140" w:after="60"/>
        <w:outlineLvl w:val="3"/>
      </w:pPr>
      <w:r>
        <w:rPr>
          <w:rFonts w:ascii="Arial" w:hAnsi="Arial" w:cs="Arial"/>
          <w:b/>
          <w:i/>
          <w:color w:val="333333"/>
          <w:sz w:val="22"/>
        </w:rPr>
        <w:t>16.12.1.1 Access Requirements</w:t>
      </w:r>
    </w:p>
    <w:p>
      <w:pPr>
        <w:spacing w:after="80" w:line="293" w:lineRule="auto"/>
        <w:jc w:val="left"/>
      </w:pPr>
      <w:r>
        <w:rPr>
          <w:rFonts w:ascii="Times New Roman" w:hAnsi="Times New Roman" w:cs="Times New Roman"/>
          <w:b w:val="0"/>
          <w:i w:val="0"/>
          <w:sz w:val="22"/>
        </w:rPr>
        <w:t>Access: tenants with type = SHIP (ocean carriers, NVOCCs, vessel operators). Employees must have completed KYB Tier 2 verification (IMO number, vessel registry, eBL platform details, etc.).</w:t>
      </w:r>
    </w:p>
    <w:p>
      <w:pPr>
        <w:spacing w:after="80" w:line="293" w:lineRule="auto"/>
        <w:jc w:val="left"/>
      </w:pPr>
      <w:r>
        <w:rPr>
          <w:rFonts w:ascii="Times New Roman" w:hAnsi="Times New Roman" w:cs="Times New Roman"/>
          <w:b w:val="0"/>
          <w:i w:val="0"/>
          <w:sz w:val="22"/>
        </w:rPr>
        <w:t>Role clarification: SHIP — ocean carriers, NVOCCs, and vessel operators that provide maritime freight services. Responsible for booking confirmations, vessel schedules, eBL issuance, and milestone updates (departure/arrival). Shipping lines can maintain private contract rates with specific sellers; these rates are never visible to other tenants.</w:t>
      </w:r>
    </w:p>
    <w:p>
      <w:pPr>
        <w:spacing w:after="80" w:line="293" w:lineRule="auto"/>
        <w:jc w:val="left"/>
      </w:pPr>
      <w:r>
        <w:rPr>
          <w:rFonts w:ascii="Times New Roman" w:hAnsi="Times New Roman" w:cs="Times New Roman"/>
          <w:b w:val="0"/>
          <w:i w:val="0"/>
          <w:sz w:val="22"/>
        </w:rPr>
        <w:t>Dual-mode toggle: not applicable (shipping lines do not trade as buyers/sellers).</w:t>
      </w:r>
    </w:p>
    <w:p>
      <w:pPr>
        <w:spacing w:after="80" w:line="293" w:lineRule="auto"/>
        <w:jc w:val="left"/>
      </w:pPr>
      <w:r>
        <w:rPr>
          <w:rFonts w:ascii="Times New Roman" w:hAnsi="Times New Roman" w:cs="Times New Roman"/>
          <w:b w:val="0"/>
          <w:i w:val="0"/>
          <w:sz w:val="22"/>
        </w:rPr>
        <w:t>Landing page (configurable): default is the Universal Command Center (16.13) — showing pending booking requests, active shipments, eBL signature reminders, and outstanding freight invoices. Users can set a preference to land directly on Booking Requests.</w:t>
      </w:r>
    </w:p>
    <w:p>
      <w:pPr>
        <w:spacing w:after="80" w:line="293" w:lineRule="auto"/>
        <w:jc w:val="left"/>
      </w:pPr>
      <w:r>
        <w:rPr>
          <w:rFonts w:ascii="Times New Roman" w:hAnsi="Times New Roman" w:cs="Times New Roman"/>
          <w:b w:val="0"/>
          <w:i w:val="0"/>
          <w:sz w:val="22"/>
        </w:rPr>
        <w:t>Portal philosophy:</w:t>
      </w:r>
    </w:p>
    <w:p>
      <w:pPr>
        <w:spacing w:after="80" w:line="293" w:lineRule="auto"/>
        <w:ind w:left="283"/>
        <w:jc w:val="left"/>
      </w:pPr>
      <w:r>
        <w:rPr>
          <w:rFonts w:ascii="Times New Roman" w:hAnsi="Times New Roman" w:cs="Times New Roman"/>
          <w:b w:val="0"/>
          <w:i w:val="0"/>
          <w:sz w:val="22"/>
        </w:rPr>
        <w:t>- Shipping lines only see bookings where they have been invited to quote or have been selected by</w:t>
      </w:r>
    </w:p>
    <w:p>
      <w:pPr>
        <w:spacing w:after="80" w:line="293" w:lineRule="auto"/>
        <w:jc w:val="left"/>
      </w:pPr>
      <w:r>
        <w:rPr>
          <w:rFonts w:ascii="Times New Roman" w:hAnsi="Times New Roman" w:cs="Times New Roman"/>
          <w:b w:val="0"/>
          <w:i w:val="0"/>
          <w:sz w:val="22"/>
        </w:rPr>
        <w:t>the seller (via Mode C — Direct to SHIP in the seller's Logistics Builder, 16.10).</w:t>
      </w:r>
    </w:p>
    <w:p>
      <w:pPr>
        <w:spacing w:after="80" w:line="293" w:lineRule="auto"/>
        <w:ind w:left="283"/>
        <w:jc w:val="left"/>
      </w:pPr>
      <w:r>
        <w:rPr>
          <w:rFonts w:ascii="Times New Roman" w:hAnsi="Times New Roman" w:cs="Times New Roman"/>
          <w:b w:val="0"/>
          <w:i w:val="0"/>
          <w:sz w:val="22"/>
        </w:rPr>
        <w:t>- No discovery of other traders; all relationships originate from seller invitations.</w:t>
      </w:r>
    </w:p>
    <w:p>
      <w:pPr>
        <w:spacing w:after="80" w:line="293" w:lineRule="auto"/>
        <w:ind w:left="283"/>
        <w:jc w:val="left"/>
      </w:pPr>
      <w:r>
        <w:rPr>
          <w:rFonts w:ascii="Times New Roman" w:hAnsi="Times New Roman" w:cs="Times New Roman"/>
          <w:b w:val="0"/>
          <w:i w:val="0"/>
          <w:sz w:val="22"/>
        </w:rPr>
        <w:t>- Shipping lines can maintain private contract rates with specific sellers; these rates are never</w:t>
      </w:r>
    </w:p>
    <w:p>
      <w:pPr>
        <w:spacing w:after="80" w:line="293" w:lineRule="auto"/>
        <w:jc w:val="left"/>
      </w:pPr>
      <w:r>
        <w:rPr>
          <w:rFonts w:ascii="Times New Roman" w:hAnsi="Times New Roman" w:cs="Times New Roman"/>
          <w:b w:val="0"/>
          <w:i w:val="0"/>
          <w:sz w:val="22"/>
        </w:rPr>
        <w:t>visible to other tenants.</w:t>
      </w:r>
    </w:p>
    <w:p>
      <w:pPr>
        <w:spacing w:after="80" w:line="293" w:lineRule="auto"/>
        <w:ind w:left="283"/>
        <w:jc w:val="left"/>
      </w:pPr>
      <w:r>
        <w:rPr>
          <w:rFonts w:ascii="Times New Roman" w:hAnsi="Times New Roman" w:cs="Times New Roman"/>
          <w:b w:val="0"/>
          <w:i w:val="0"/>
          <w:sz w:val="22"/>
        </w:rPr>
        <w:t>- For multi-shipment contracts, each shipment has its own USTN and booking; SHIP may receive</w:t>
      </w:r>
    </w:p>
    <w:p>
      <w:pPr>
        <w:spacing w:after="80" w:line="293" w:lineRule="auto"/>
        <w:jc w:val="left"/>
      </w:pPr>
      <w:r>
        <w:rPr>
          <w:rFonts w:ascii="Times New Roman" w:hAnsi="Times New Roman" w:cs="Times New Roman"/>
          <w:b w:val="0"/>
          <w:i w:val="0"/>
          <w:sz w:val="22"/>
        </w:rPr>
        <w:t>separate booking requests per shipment under the same master contract.</w:t>
      </w:r>
    </w:p>
    <w:p>
      <w:pPr>
        <w:spacing w:after="80" w:line="293" w:lineRule="auto"/>
        <w:ind w:left="283"/>
        <w:jc w:val="left"/>
      </w:pPr>
      <w:r>
        <w:rPr>
          <w:rFonts w:ascii="Times New Roman" w:hAnsi="Times New Roman" w:cs="Times New Roman"/>
          <w:b w:val="0"/>
          <w:i w:val="0"/>
          <w:sz w:val="22"/>
        </w:rPr>
        <w:t>- The platform never ranks shipping lines or suggests "top rated" carriers to traders.</w:t>
      </w:r>
    </w:p>
    <w:p>
      <w:pPr>
        <w:spacing w:after="80" w:line="293" w:lineRule="auto"/>
        <w:ind w:left="283"/>
        <w:jc w:val="left"/>
      </w:pPr>
      <w:r>
        <w:rPr>
          <w:rFonts w:ascii="Times New Roman" w:hAnsi="Times New Roman" w:cs="Times New Roman"/>
          <w:b w:val="0"/>
          <w:i w:val="0"/>
          <w:sz w:val="22"/>
        </w:rPr>
        <w:t>- eBL issuance can be automated via webhook integration or manual upload.</w:t>
      </w:r>
    </w:p>
    <w:p>
      <w:pPr>
        <w:keepNext/>
        <w:spacing w:before="140" w:after="60"/>
        <w:outlineLvl w:val="3"/>
      </w:pPr>
      <w:r>
        <w:rPr>
          <w:rFonts w:ascii="Arial" w:hAnsi="Arial" w:cs="Arial"/>
          <w:b/>
          <w:i/>
          <w:color w:val="333333"/>
          <w:sz w:val="22"/>
        </w:rPr>
        <w:t>16.12.1.2 SHIP Portal Purpose</w:t>
      </w:r>
    </w:p>
    <w:p>
      <w:pPr>
        <w:spacing w:after="80" w:line="293" w:lineRule="auto"/>
        <w:jc w:val="left"/>
      </w:pPr>
      <w:r>
        <w:rPr>
          <w:rFonts w:ascii="Times New Roman" w:hAnsi="Times New Roman" w:cs="Times New Roman"/>
          <w:b w:val="0"/>
          <w:i w:val="0"/>
          <w:sz w:val="22"/>
        </w:rPr>
        <w:t>The SHIP Portal is the complete workspace for shipping lines and ocean carriers. It enables:</w:t>
      </w:r>
    </w:p>
    <w:p>
      <w:pPr>
        <w:spacing w:after="80" w:line="293" w:lineRule="auto"/>
        <w:ind w:left="283"/>
        <w:jc w:val="left"/>
      </w:pPr>
      <w:r>
        <w:rPr>
          <w:rFonts w:ascii="Times New Roman" w:hAnsi="Times New Roman" w:cs="Times New Roman"/>
          <w:b w:val="0"/>
          <w:i w:val="0"/>
          <w:sz w:val="22"/>
        </w:rPr>
        <w:t>- Booking management — receive and respond to booking requests from sellers, with optional</w:t>
      </w:r>
    </w:p>
    <w:p>
      <w:pPr>
        <w:spacing w:after="80" w:line="293" w:lineRule="auto"/>
        <w:jc w:val="left"/>
      </w:pPr>
      <w:r>
        <w:rPr>
          <w:rFonts w:ascii="Times New Roman" w:hAnsi="Times New Roman" w:cs="Times New Roman"/>
          <w:b w:val="0"/>
          <w:i w:val="0"/>
          <w:sz w:val="22"/>
        </w:rPr>
        <w:t>add-on services (trucking, customs broker, insurance).</w:t>
      </w:r>
    </w:p>
    <w:p>
      <w:pPr>
        <w:spacing w:after="80" w:line="293" w:lineRule="auto"/>
        <w:ind w:left="283"/>
        <w:jc w:val="left"/>
      </w:pPr>
      <w:r>
        <w:rPr>
          <w:rFonts w:ascii="Times New Roman" w:hAnsi="Times New Roman" w:cs="Times New Roman"/>
          <w:b w:val="0"/>
          <w:i w:val="0"/>
          <w:sz w:val="22"/>
        </w:rPr>
        <w:t>- Quote submission — submit ocean freight quotes with contract rate auto-application,</w:t>
      </w:r>
    </w:p>
    <w:p>
      <w:pPr>
        <w:spacing w:after="80" w:line="293" w:lineRule="auto"/>
        <w:jc w:val="left"/>
      </w:pPr>
      <w:r>
        <w:rPr>
          <w:rFonts w:ascii="Times New Roman" w:hAnsi="Times New Roman" w:cs="Times New Roman"/>
          <w:b w:val="0"/>
          <w:i w:val="0"/>
          <w:sz w:val="22"/>
        </w:rPr>
        <w:t>surcharges, and bundled add-on pricing.</w:t>
      </w:r>
    </w:p>
    <w:p>
      <w:pPr>
        <w:spacing w:after="80" w:line="293" w:lineRule="auto"/>
        <w:ind w:left="283"/>
        <w:jc w:val="left"/>
      </w:pPr>
      <w:r>
        <w:rPr>
          <w:rFonts w:ascii="Times New Roman" w:hAnsi="Times New Roman" w:cs="Times New Roman"/>
          <w:b w:val="0"/>
          <w:i w:val="0"/>
          <w:sz w:val="22"/>
        </w:rPr>
        <w:t>- Booking confirmation — confirm bookings, generate booking references, and update shipment</w:t>
      </w:r>
    </w:p>
    <w:p>
      <w:pPr>
        <w:spacing w:after="80" w:line="293" w:lineRule="auto"/>
        <w:jc w:val="left"/>
      </w:pPr>
      <w:r>
        <w:rPr>
          <w:rFonts w:ascii="Times New Roman" w:hAnsi="Times New Roman" w:cs="Times New Roman"/>
          <w:b w:val="0"/>
          <w:i w:val="0"/>
          <w:sz w:val="22"/>
        </w:rPr>
        <w:t>status.</w:t>
      </w:r>
    </w:p>
    <w:p>
      <w:pPr>
        <w:spacing w:after="80" w:line="293" w:lineRule="auto"/>
        <w:ind w:left="283"/>
        <w:jc w:val="left"/>
      </w:pPr>
      <w:r>
        <w:rPr>
          <w:rFonts w:ascii="Times New Roman" w:hAnsi="Times New Roman" w:cs="Times New Roman"/>
          <w:b w:val="0"/>
          <w:i w:val="0"/>
          <w:sz w:val="22"/>
        </w:rPr>
        <w:t>- eBL management — issue electronic Bills of Lading via webhook integration or manual upload,</w:t>
      </w:r>
    </w:p>
    <w:p>
      <w:pPr>
        <w:spacing w:after="80" w:line="293" w:lineRule="auto"/>
        <w:jc w:val="left"/>
      </w:pPr>
      <w:r>
        <w:rPr>
          <w:rFonts w:ascii="Times New Roman" w:hAnsi="Times New Roman" w:cs="Times New Roman"/>
          <w:b w:val="0"/>
          <w:i w:val="0"/>
          <w:sz w:val="22"/>
        </w:rPr>
        <w:t>with digital signatures.</w:t>
      </w:r>
    </w:p>
    <w:p>
      <w:pPr>
        <w:spacing w:after="80" w:line="293" w:lineRule="auto"/>
        <w:ind w:left="283"/>
        <w:jc w:val="left"/>
      </w:pPr>
      <w:r>
        <w:rPr>
          <w:rFonts w:ascii="Times New Roman" w:hAnsi="Times New Roman" w:cs="Times New Roman"/>
          <w:b w:val="0"/>
          <w:i w:val="0"/>
          <w:sz w:val="22"/>
        </w:rPr>
        <w:t>- Vessel schedule management — maintain vessel rotations, update ETD/ETA, and propagate changes</w:t>
      </w:r>
    </w:p>
    <w:p>
      <w:pPr>
        <w:spacing w:after="80" w:line="293" w:lineRule="auto"/>
        <w:jc w:val="left"/>
      </w:pPr>
      <w:r>
        <w:rPr>
          <w:rFonts w:ascii="Times New Roman" w:hAnsi="Times New Roman" w:cs="Times New Roman"/>
          <w:b w:val="0"/>
          <w:i w:val="0"/>
          <w:sz w:val="22"/>
        </w:rPr>
        <w:t>to all affected USTNs via Smart Inbox.</w:t>
      </w:r>
    </w:p>
    <w:p>
      <w:pPr>
        <w:spacing w:after="80" w:line="293" w:lineRule="auto"/>
        <w:ind w:left="283"/>
        <w:jc w:val="left"/>
      </w:pPr>
      <w:r>
        <w:rPr>
          <w:rFonts w:ascii="Times New Roman" w:hAnsi="Times New Roman" w:cs="Times New Roman"/>
          <w:b w:val="0"/>
          <w:i w:val="0"/>
          <w:sz w:val="22"/>
        </w:rPr>
        <w:t>- Freight invoicing — generate freight invoices (credit or mandatory terms), track payment</w:t>
      </w:r>
    </w:p>
    <w:p>
      <w:pPr>
        <w:spacing w:after="80" w:line="293" w:lineRule="auto"/>
        <w:jc w:val="left"/>
      </w:pPr>
      <w:r>
        <w:rPr>
          <w:rFonts w:ascii="Times New Roman" w:hAnsi="Times New Roman" w:cs="Times New Roman"/>
          <w:b w:val="0"/>
          <w:i w:val="0"/>
          <w:sz w:val="22"/>
        </w:rPr>
        <w:t>status via bank confirmations (camt.054).</w:t>
      </w:r>
    </w:p>
    <w:p>
      <w:pPr>
        <w:spacing w:after="80" w:line="293" w:lineRule="auto"/>
        <w:ind w:left="283"/>
        <w:jc w:val="left"/>
      </w:pPr>
      <w:r>
        <w:rPr>
          <w:rFonts w:ascii="Times New Roman" w:hAnsi="Times New Roman" w:cs="Times New Roman"/>
          <w:b w:val="0"/>
          <w:i w:val="0"/>
          <w:sz w:val="22"/>
        </w:rPr>
        <w:t>- Contract rate management — store private contract rates per seller, auto-apply during</w:t>
      </w:r>
    </w:p>
    <w:p>
      <w:pPr>
        <w:spacing w:after="80" w:line="293" w:lineRule="auto"/>
        <w:jc w:val="left"/>
      </w:pPr>
      <w:r>
        <w:rPr>
          <w:rFonts w:ascii="Times New Roman" w:hAnsi="Times New Roman" w:cs="Times New Roman"/>
          <w:b w:val="0"/>
          <w:i w:val="0"/>
          <w:sz w:val="22"/>
        </w:rPr>
        <w:t>quoting.</w:t>
      </w:r>
    </w:p>
    <w:p>
      <w:pPr>
        <w:spacing w:after="80" w:line="293" w:lineRule="auto"/>
        <w:ind w:left="283"/>
        <w:jc w:val="left"/>
      </w:pPr>
      <w:r>
        <w:rPr>
          <w:rFonts w:ascii="Times New Roman" w:hAnsi="Times New Roman" w:cs="Times New Roman"/>
          <w:b w:val="0"/>
          <w:i w:val="0"/>
          <w:sz w:val="22"/>
        </w:rPr>
        <w:t>- AIS integration — provide an AIS feed for vessel tracking (optional; fallback to public AIS).</w:t>
      </w:r>
    </w:p>
    <w:p>
      <w:pPr>
        <w:spacing w:after="80" w:line="293" w:lineRule="auto"/>
        <w:ind w:left="283"/>
        <w:jc w:val="left"/>
      </w:pPr>
      <w:r>
        <w:rPr>
          <w:rFonts w:ascii="Times New Roman" w:hAnsi="Times New Roman" w:cs="Times New Roman"/>
          <w:b w:val="0"/>
          <w:i w:val="0"/>
          <w:sz w:val="22"/>
        </w:rPr>
        <w:t>- Performance monitoring — view on-time departure, eBL issuance latency, dispute rate, and</w:t>
      </w:r>
    </w:p>
    <w:p>
      <w:pPr>
        <w:spacing w:after="80" w:line="293" w:lineRule="auto"/>
        <w:jc w:val="left"/>
      </w:pPr>
      <w:r>
        <w:rPr>
          <w:rFonts w:ascii="Times New Roman" w:hAnsi="Times New Roman" w:cs="Times New Roman"/>
          <w:b w:val="0"/>
          <w:i w:val="0"/>
          <w:sz w:val="22"/>
        </w:rPr>
        <w:t>anonymous benchmarks.</w:t>
      </w:r>
    </w:p>
    <w:p>
      <w:pPr>
        <w:spacing w:after="80" w:line="293" w:lineRule="auto"/>
        <w:ind w:left="283"/>
        <w:jc w:val="left"/>
      </w:pPr>
      <w:r>
        <w:rPr>
          <w:rFonts w:ascii="Times New Roman" w:hAnsi="Times New Roman" w:cs="Times New Roman"/>
          <w:b w:val="0"/>
          <w:i w:val="0"/>
          <w:sz w:val="22"/>
        </w:rPr>
        <w:t>- Administration — manage employees, serviceable ports, eBL platform credentials, webhook</w:t>
      </w:r>
    </w:p>
    <w:p>
      <w:pPr>
        <w:spacing w:after="80" w:line="293" w:lineRule="auto"/>
        <w:jc w:val="left"/>
      </w:pPr>
      <w:r>
        <w:rPr>
          <w:rFonts w:ascii="Times New Roman" w:hAnsi="Times New Roman" w:cs="Times New Roman"/>
          <w:b w:val="0"/>
          <w:i w:val="0"/>
          <w:sz w:val="22"/>
        </w:rPr>
        <w:t>configuration, and branding.</w:t>
      </w:r>
    </w:p>
    <w:p>
      <w:pPr>
        <w:keepNext/>
        <w:spacing w:before="140" w:after="60"/>
        <w:outlineLvl w:val="3"/>
      </w:pPr>
      <w:r>
        <w:rPr>
          <w:rFonts w:ascii="Arial" w:hAnsi="Arial" w:cs="Arial"/>
          <w:b/>
          <w:i/>
          <w:color w:val="333333"/>
          <w:sz w:val="22"/>
        </w:rPr>
        <w:t>16.12.1.3 SHIP Portal — High-Level Workflow</w:t>
      </w:r>
    </w:p>
    <w:p>
      <w:pPr>
        <w:spacing w:after="0" w:before="0" w:line="240" w:lineRule="auto"/>
        <w:ind w:left="57"/>
        <w:jc w:val="left"/>
        <w:shd w:val="clear" w:fill="F2F2F2"/>
      </w:pPr>
      <w:r>
        <w:rPr>
          <w:rFonts w:ascii="Consolas" w:hAnsi="Consolas" w:cs="Consolas"/>
          <w:b w:val="0"/>
          <w:i w:val="0"/>
          <w:sz w:val="15"/>
        </w:rPr>
        <w:t>1. Booking Requests → 2. Quote Submission → 3. Active Bookings</w:t>
      </w:r>
    </w:p>
    <w:p>
      <w:pPr>
        <w:spacing w:after="0" w:before="0" w:line="240" w:lineRule="auto"/>
        <w:ind w:left="57"/>
        <w:jc w:val="left"/>
        <w:shd w:val="clear" w:fill="F2F2F2"/>
      </w:pPr>
      <w:r>
        <w:rPr>
          <w:rFonts w:ascii="Consolas" w:hAnsi="Consolas" w:cs="Consolas"/>
          <w:b w:val="0"/>
          <w:i w:val="0"/>
          <w:sz w:val="15"/>
        </w:rPr>
        <w:t>→ 4. eBL Management → 5. Vessel Schedule → 6. Freight Invoices</w:t>
      </w:r>
    </w:p>
    <w:p>
      <w:pPr>
        <w:spacing w:after="0" w:before="0" w:line="240" w:lineRule="auto"/>
        <w:ind w:left="57"/>
        <w:jc w:val="left"/>
        <w:shd w:val="clear" w:fill="F2F2F2"/>
      </w:pPr>
      <w:r>
        <w:rPr>
          <w:rFonts w:ascii="Consolas" w:hAnsi="Consolas" w:cs="Consolas"/>
          <w:b w:val="0"/>
          <w:i w:val="0"/>
          <w:sz w:val="15"/>
        </w:rPr>
        <w:t>→ 7. Contract Rate Manager → 8. Performance → 9. Company Admin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16.12.2 SHIP Role Verification &amp; Security</w:t>
      </w:r>
    </w:p>
    <w:p>
      <w:pPr>
        <w:keepNext/>
        <w:spacing w:before="140" w:after="60"/>
        <w:outlineLvl w:val="3"/>
      </w:pPr>
      <w:r>
        <w:rPr>
          <w:rFonts w:ascii="Arial" w:hAnsi="Arial" w:cs="Arial"/>
          <w:b/>
          <w:i/>
          <w:color w:val="333333"/>
          <w:sz w:val="22"/>
        </w:rPr>
        <w:t>16.12.2.1 Authentication &amp; Session Checks</w:t>
      </w:r>
    </w:p>
    <w:p>
      <w:pPr>
        <w:spacing w:after="80" w:line="293" w:lineRule="auto"/>
        <w:jc w:val="left"/>
      </w:pPr>
      <w:r>
        <w:rPr>
          <w:rFonts w:ascii="Times New Roman" w:hAnsi="Times New Roman" w:cs="Times New Roman"/>
          <w:b w:val="0"/>
          <w:i w:val="0"/>
          <w:sz w:val="22"/>
        </w:rPr>
        <w:t>JWT-based session (ZITADEL) with tenant type = SHIP; IMO number and vessel registry verified at KYB Tier 2; eBL platform credentials stored encrypted and tested on change.</w:t>
      </w:r>
    </w:p>
    <w:p>
      <w:pPr>
        <w:keepNext/>
        <w:spacing w:before="140" w:after="60"/>
        <w:outlineLvl w:val="3"/>
      </w:pPr>
      <w:r>
        <w:rPr>
          <w:rFonts w:ascii="Arial" w:hAnsi="Arial" w:cs="Arial"/>
          <w:b/>
          <w:i/>
          <w:color w:val="333333"/>
          <w:sz w:val="22"/>
        </w:rPr>
        <w:t>16.12.2.2 Permission Checks (Action-Based)</w:t>
      </w:r>
    </w:p>
    <w:p>
      <w:pPr>
        <w:spacing w:after="80" w:line="293" w:lineRule="auto"/>
        <w:jc w:val="left"/>
      </w:pPr>
      <w:r>
        <w:rPr>
          <w:rFonts w:ascii="Times New Roman" w:hAnsi="Times New Roman" w:cs="Times New Roman"/>
          <w:b w:val="0"/>
          <w:i w:val="0"/>
          <w:sz w:val="22"/>
        </w:rPr>
        <w:t>Action permissions include: send quote, decline request, confirm booking, issue eBL, update milestone, edit vessel schedule, generate invoice, add contract rate, configure AIS feed, configure webhooks.</w:t>
      </w:r>
    </w:p>
    <w:p>
      <w:pPr>
        <w:keepNext/>
        <w:spacing w:before="140" w:after="60"/>
        <w:outlineLvl w:val="3"/>
      </w:pPr>
      <w:r>
        <w:rPr>
          <w:rFonts w:ascii="Arial" w:hAnsi="Arial" w:cs="Arial"/>
          <w:b/>
          <w:i/>
          <w:color w:val="333333"/>
          <w:sz w:val="22"/>
        </w:rPr>
        <w:t>16.12.2.3 Compliance &amp; Risk Checks</w:t>
      </w:r>
    </w:p>
    <w:p>
      <w:pPr>
        <w:spacing w:after="80" w:line="293" w:lineRule="auto"/>
        <w:jc w:val="left"/>
      </w:pPr>
      <w:r>
        <w:rPr>
          <w:rFonts w:ascii="Times New Roman" w:hAnsi="Times New Roman" w:cs="Times New Roman"/>
          <w:b w:val="0"/>
          <w:i w:val="0"/>
          <w:sz w:val="22"/>
        </w:rPr>
        <w:t>Continuous checks: sanctions screening of trade parties before booking confirmation, vessel registry validity, ISM Code compliance attestation for RoRo corridors, and port call restrictions from the RIA.</w:t>
      </w:r>
    </w:p>
    <w:p>
      <w:pPr>
        <w:keepNext/>
        <w:spacing w:before="180" w:after="80"/>
        <w:outlineLvl w:val="2"/>
      </w:pPr>
      <w:r>
        <w:rPr>
          <w:rFonts w:ascii="Arial" w:hAnsi="Arial" w:cs="Arial"/>
          <w:b/>
          <w:i w:val="0"/>
          <w:color w:val="333333"/>
          <w:sz w:val="23"/>
        </w:rPr>
        <w:t>16.12.3 Full Tab Specification (Workflow Order)</w:t>
      </w:r>
    </w:p>
    <w:p>
      <w:pPr>
        <w:keepNext/>
        <w:spacing w:before="140" w:after="60"/>
        <w:outlineLvl w:val="3"/>
      </w:pPr>
      <w:r>
        <w:rPr>
          <w:rFonts w:ascii="Arial" w:hAnsi="Arial" w:cs="Arial"/>
          <w:b/>
          <w:i/>
          <w:color w:val="333333"/>
          <w:sz w:val="22"/>
        </w:rPr>
        <w:t>Tab 1: Universal Command Center (Home)</w:t>
      </w:r>
    </w:p>
    <w:p>
      <w:pPr>
        <w:spacing w:after="80" w:line="293" w:lineRule="auto"/>
        <w:jc w:val="left"/>
      </w:pPr>
      <w:r>
        <w:rPr>
          <w:rFonts w:ascii="Times New Roman" w:hAnsi="Times New Roman" w:cs="Times New Roman"/>
          <w:b w:val="0"/>
          <w:i w:val="0"/>
          <w:sz w:val="22"/>
        </w:rPr>
        <w:t>Full specification in 16.13. SHIP-specific cards: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Card</w:t>
            </w:r>
          </w:p>
        </w:tc>
        <w:tc>
          <w:tcPr>
            <w:tcW w:type="dxa" w:w="4819"/>
            <w:shd w:val="clear" w:fill="D9E2F3"/>
          </w:tcPr>
          <w:p>
            <w:pPr>
              <w:spacing w:after="20" w:before="20" w:line="240" w:lineRule="auto"/>
            </w:pPr>
            <w:r/>
            <w:r>
              <w:rPr>
                <w:rFonts w:ascii="Arial" w:hAnsi="Arial" w:cs="Arial"/>
                <w:b/>
                <w:i w:val="0"/>
                <w:sz w:val="18"/>
              </w:rPr>
              <w:t>Metric</w:t>
            </w:r>
          </w:p>
        </w:tc>
      </w:tr>
      <w:tr>
        <w:tc>
          <w:tcPr>
            <w:tcW w:type="dxa" w:w="4819"/>
          </w:tcPr>
          <w:p>
            <w:pPr>
              <w:spacing w:after="20" w:before="20" w:line="240" w:lineRule="auto"/>
            </w:pPr>
            <w:r/>
            <w:r>
              <w:rPr>
                <w:rFonts w:ascii="Arial" w:hAnsi="Arial" w:cs="Arial"/>
                <w:b w:val="0"/>
                <w:i w:val="0"/>
                <w:sz w:val="17"/>
              </w:rPr>
              <w:t>Pending Booking Requests</w:t>
            </w:r>
          </w:p>
        </w:tc>
        <w:tc>
          <w:tcPr>
            <w:tcW w:type="dxa" w:w="4819"/>
          </w:tcPr>
          <w:p>
            <w:pPr>
              <w:spacing w:after="20" w:before="20" w:line="240" w:lineRule="auto"/>
            </w:pPr>
            <w:r/>
            <w:r>
              <w:rPr>
                <w:rFonts w:ascii="Arial" w:hAnsi="Arial" w:cs="Arial"/>
                <w:b w:val="0"/>
                <w:i w:val="0"/>
                <w:sz w:val="17"/>
              </w:rPr>
              <w:t>Requests awaiting quote</w:t>
            </w:r>
          </w:p>
        </w:tc>
      </w:tr>
      <w:tr>
        <w:tc>
          <w:tcPr>
            <w:tcW w:type="dxa" w:w="4819"/>
          </w:tcPr>
          <w:p>
            <w:pPr>
              <w:spacing w:after="20" w:before="20" w:line="240" w:lineRule="auto"/>
            </w:pPr>
            <w:r/>
            <w:r>
              <w:rPr>
                <w:rFonts w:ascii="Arial" w:hAnsi="Arial" w:cs="Arial"/>
                <w:b w:val="0"/>
                <w:i w:val="0"/>
                <w:sz w:val="17"/>
              </w:rPr>
              <w:t>Active Bookings</w:t>
            </w:r>
          </w:p>
        </w:tc>
        <w:tc>
          <w:tcPr>
            <w:tcW w:type="dxa" w:w="4819"/>
          </w:tcPr>
          <w:p>
            <w:pPr>
              <w:spacing w:after="20" w:before="20" w:line="240" w:lineRule="auto"/>
            </w:pPr>
            <w:r/>
            <w:r>
              <w:rPr>
                <w:rFonts w:ascii="Arial" w:hAnsi="Arial" w:cs="Arial"/>
                <w:b w:val="0"/>
                <w:i w:val="0"/>
                <w:sz w:val="17"/>
              </w:rPr>
              <w:t>Confirmed bookings in progress</w:t>
            </w:r>
          </w:p>
        </w:tc>
      </w:tr>
      <w:tr>
        <w:tc>
          <w:tcPr>
            <w:tcW w:type="dxa" w:w="4819"/>
          </w:tcPr>
          <w:p>
            <w:pPr>
              <w:spacing w:after="20" w:before="20" w:line="240" w:lineRule="auto"/>
            </w:pPr>
            <w:r/>
            <w:r>
              <w:rPr>
                <w:rFonts w:ascii="Arial" w:hAnsi="Arial" w:cs="Arial"/>
                <w:b w:val="0"/>
                <w:i w:val="0"/>
                <w:sz w:val="17"/>
              </w:rPr>
              <w:t>eBL Signatures Pending</w:t>
            </w:r>
          </w:p>
        </w:tc>
        <w:tc>
          <w:tcPr>
            <w:tcW w:type="dxa" w:w="4819"/>
          </w:tcPr>
          <w:p>
            <w:pPr>
              <w:spacing w:after="20" w:before="20" w:line="240" w:lineRule="auto"/>
            </w:pPr>
            <w:r/>
            <w:r>
              <w:rPr>
                <w:rFonts w:ascii="Arial" w:hAnsi="Arial" w:cs="Arial"/>
                <w:b w:val="0"/>
                <w:i w:val="0"/>
                <w:sz w:val="17"/>
              </w:rPr>
              <w:t>eBL issuance obligations</w:t>
            </w:r>
          </w:p>
        </w:tc>
      </w:tr>
      <w:tr>
        <w:tc>
          <w:tcPr>
            <w:tcW w:type="dxa" w:w="4819"/>
          </w:tcPr>
          <w:p>
            <w:pPr>
              <w:spacing w:after="20" w:before="20" w:line="240" w:lineRule="auto"/>
            </w:pPr>
            <w:r/>
            <w:r>
              <w:rPr>
                <w:rFonts w:ascii="Arial" w:hAnsi="Arial" w:cs="Arial"/>
                <w:b w:val="0"/>
                <w:i w:val="0"/>
                <w:sz w:val="17"/>
              </w:rPr>
              <w:t>Outstanding Freight Invoices</w:t>
            </w:r>
          </w:p>
        </w:tc>
        <w:tc>
          <w:tcPr>
            <w:tcW w:type="dxa" w:w="4819"/>
          </w:tcPr>
          <w:p>
            <w:pPr>
              <w:spacing w:after="20" w:before="20" w:line="240" w:lineRule="auto"/>
            </w:pPr>
            <w:r/>
            <w:r>
              <w:rPr>
                <w:rFonts w:ascii="Arial" w:hAnsi="Arial" w:cs="Arial"/>
                <w:b w:val="0"/>
                <w:i w:val="0"/>
                <w:sz w:val="17"/>
              </w:rPr>
              <w:t>Unpaid freight invoices</w:t>
            </w:r>
          </w:p>
        </w:tc>
      </w:tr>
      <w:tr>
        <w:tc>
          <w:tcPr>
            <w:tcW w:type="dxa" w:w="4819"/>
          </w:tcPr>
          <w:p>
            <w:pPr>
              <w:spacing w:after="20" w:before="20" w:line="240" w:lineRule="auto"/>
            </w:pPr>
            <w:r/>
            <w:r>
              <w:rPr>
                <w:rFonts w:ascii="Arial" w:hAnsi="Arial" w:cs="Arial"/>
                <w:b w:val="0"/>
                <w:i w:val="0"/>
                <w:sz w:val="17"/>
              </w:rPr>
              <w:t>Performance Summary</w:t>
            </w:r>
          </w:p>
        </w:tc>
        <w:tc>
          <w:tcPr>
            <w:tcW w:type="dxa" w:w="4819"/>
          </w:tcPr>
          <w:p>
            <w:pPr>
              <w:spacing w:after="20" w:before="20" w:line="240" w:lineRule="auto"/>
            </w:pPr>
            <w:r/>
            <w:r>
              <w:rPr>
                <w:rFonts w:ascii="Arial" w:hAnsi="Arial" w:cs="Arial"/>
                <w:b w:val="0"/>
                <w:i w:val="0"/>
                <w:sz w:val="17"/>
              </w:rPr>
              <w:t>On-time departure and eBL latency snapshot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SHIP-specific quick actions: View Booking Requests, Issue eBL, Update Vessel Schedule, Generate Invoice, Add Contract Rate, Configure AIS Feed, Contact Support.</w:t>
      </w:r>
    </w:p>
    <w:p>
      <w:pPr>
        <w:spacing w:after="80" w:line="293" w:lineRule="auto"/>
        <w:jc w:val="left"/>
      </w:pPr>
      <w:r>
        <w:rPr>
          <w:rFonts w:ascii="Times New Roman" w:hAnsi="Times New Roman" w:cs="Times New Roman"/>
          <w:b w:val="0"/>
          <w:i w:val="0"/>
          <w:sz w:val="22"/>
        </w:rPr>
        <w:t>One-click: click any card → navigates to the relevant tab.</w:t>
      </w:r>
    </w:p>
    <w:p>
      <w:pPr>
        <w:keepNext/>
        <w:spacing w:before="140" w:after="60"/>
        <w:outlineLvl w:val="3"/>
      </w:pPr>
      <w:r>
        <w:rPr>
          <w:rFonts w:ascii="Arial" w:hAnsi="Arial" w:cs="Arial"/>
          <w:b/>
          <w:i/>
          <w:color w:val="333333"/>
          <w:sz w:val="22"/>
        </w:rPr>
        <w:t>Tab 2: Booking Requests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receive and respond to booking requests from sellers (via Mode C in the seller's Logistics Builder, 16.10). Sellers may also request optional add-on services (trucking, customs broker, insurance).</w:t>
      </w:r>
    </w:p>
    <w:p>
      <w:pPr>
        <w:keepNext/>
        <w:spacing w:before="240" w:after="100"/>
        <w:outlineLvl w:val="1"/>
      </w:pPr>
      <w:r>
        <w:rPr>
          <w:rFonts w:ascii="Arial" w:hAnsi="Arial" w:cs="Arial"/>
          <w:b/>
          <w:i w:val="0"/>
          <w:color w:val="2E528F"/>
          <w:sz w:val="26"/>
        </w:rPr>
        <w:t>2.1 Booking Requests List. Example:</w:t>
      </w:r>
    </w:p>
    <w:p>
      <w:pPr>
        <w:spacing w:after="0" w:before="0" w:line="240" w:lineRule="auto"/>
        <w:ind w:left="57"/>
        <w:jc w:val="left"/>
        <w:shd w:val="clear" w:fill="F2F2F2"/>
      </w:pPr>
      <w:r>
        <w:rPr>
          <w:rFonts w:ascii="Consolas" w:hAnsi="Consolas" w:cs="Consolas"/>
          <w:b w:val="0"/>
          <w:i w:val="0"/>
          <w:sz w:val="15"/>
        </w:rPr>
        <w:t>BOOKING REQUESTS (3)</w:t>
      </w:r>
    </w:p>
    <w:p>
      <w:pPr>
        <w:spacing w:after="0" w:before="0" w:line="240" w:lineRule="auto"/>
        <w:ind w:left="57"/>
        <w:jc w:val="left"/>
        <w:shd w:val="clear" w:fill="F2F2F2"/>
      </w:pPr>
      <w:r>
        <w:rPr>
          <w:rFonts w:ascii="Consolas" w:hAnsi="Consolas" w:cs="Consolas"/>
          <w:b w:val="0"/>
          <w:i w:val="0"/>
          <w:sz w:val="15"/>
        </w:rPr>
        <w:t>Filters: [Status: Pending ▼] [Route: All ▼] [Sailing: Next 7 days ▼] [Search: ___]</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SGTX-EG-001</w:t>
      </w:r>
    </w:p>
    <w:p>
      <w:pPr>
        <w:spacing w:after="0" w:before="0" w:line="240" w:lineRule="auto"/>
        <w:ind w:left="57"/>
        <w:jc w:val="left"/>
        <w:shd w:val="clear" w:fill="F2F2F2"/>
      </w:pPr>
      <w:r>
        <w:rPr>
          <w:rFonts w:ascii="Consolas" w:hAnsi="Consolas" w:cs="Consolas"/>
          <w:b w:val="0"/>
          <w:i w:val="0"/>
          <w:sz w:val="15"/>
        </w:rPr>
        <w:t>Seller: Mekong Fresh Co.    Commodity: Frozen strawberries (0811)</w:t>
      </w:r>
    </w:p>
    <w:p>
      <w:pPr>
        <w:spacing w:after="0" w:before="0" w:line="240" w:lineRule="auto"/>
        <w:ind w:left="57"/>
        <w:jc w:val="left"/>
        <w:shd w:val="clear" w:fill="F2F2F2"/>
      </w:pPr>
      <w:r>
        <w:rPr>
          <w:rFonts w:ascii="Consolas" w:hAnsi="Consolas" w:cs="Consolas"/>
          <w:b w:val="0"/>
          <w:i w:val="0"/>
          <w:sz w:val="15"/>
        </w:rPr>
        <w:t>Container: 2 × 40ft Reefer  Route: Damietta → Hamburg</w:t>
      </w:r>
    </w:p>
    <w:p>
      <w:pPr>
        <w:spacing w:after="0" w:before="0" w:line="240" w:lineRule="auto"/>
        <w:ind w:left="57"/>
        <w:jc w:val="left"/>
        <w:shd w:val="clear" w:fill="F2F2F2"/>
      </w:pPr>
      <w:r>
        <w:rPr>
          <w:rFonts w:ascii="Consolas" w:hAnsi="Consolas" w:cs="Consolas"/>
          <w:b w:val="0"/>
          <w:i w:val="0"/>
          <w:sz w:val="15"/>
        </w:rPr>
        <w:t>Sailing: 20 Jun 2026        Add-ons: Trucking, Customs, Insurance</w:t>
      </w:r>
    </w:p>
    <w:p>
      <w:pPr>
        <w:spacing w:after="0" w:before="0" w:line="240" w:lineRule="auto"/>
        <w:ind w:left="57"/>
        <w:jc w:val="left"/>
        <w:shd w:val="clear" w:fill="F2F2F2"/>
      </w:pPr>
      <w:r>
        <w:rPr>
          <w:rFonts w:ascii="Consolas" w:hAnsi="Consolas" w:cs="Consolas"/>
          <w:b w:val="0"/>
          <w:i w:val="0"/>
          <w:sz w:val="15"/>
        </w:rPr>
        <w:t>Status: PENDING             Validity: 12h remaining</w:t>
      </w:r>
    </w:p>
    <w:p>
      <w:pPr>
        <w:spacing w:after="0" w:before="0" w:line="240" w:lineRule="auto"/>
        <w:ind w:left="57"/>
        <w:jc w:val="left"/>
        <w:shd w:val="clear" w:fill="F2F2F2"/>
      </w:pPr>
      <w:r>
        <w:rPr>
          <w:rFonts w:ascii="Consolas" w:hAnsi="Consolas" w:cs="Consolas"/>
          <w:b w:val="0"/>
          <w:i w:val="0"/>
          <w:sz w:val="15"/>
        </w:rPr>
        <w:t>[Send Quote] [Decline] [View Details]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SGTX-EG-002</w:t>
      </w:r>
    </w:p>
    <w:p>
      <w:pPr>
        <w:spacing w:after="0" w:before="0" w:line="240" w:lineRule="auto"/>
        <w:ind w:left="57"/>
        <w:jc w:val="left"/>
        <w:shd w:val="clear" w:fill="F2F2F2"/>
      </w:pPr>
      <w:r>
        <w:rPr>
          <w:rFonts w:ascii="Consolas" w:hAnsi="Consolas" w:cs="Consolas"/>
          <w:b w:val="0"/>
          <w:i w:val="0"/>
          <w:sz w:val="15"/>
        </w:rPr>
        <w:t>Seller: Nile Foods          Commodity: Fresh oranges (0805)</w:t>
      </w:r>
    </w:p>
    <w:p>
      <w:pPr>
        <w:spacing w:after="0" w:before="0" w:line="240" w:lineRule="auto"/>
        <w:ind w:left="57"/>
        <w:jc w:val="left"/>
        <w:shd w:val="clear" w:fill="F2F2F2"/>
      </w:pPr>
      <w:r>
        <w:rPr>
          <w:rFonts w:ascii="Consolas" w:hAnsi="Consolas" w:cs="Consolas"/>
          <w:b w:val="0"/>
          <w:i w:val="0"/>
          <w:sz w:val="15"/>
        </w:rPr>
        <w:t>Container: 1 × 40ft Reefer  Route: Alexandria → Rotterdam</w:t>
      </w:r>
    </w:p>
    <w:p>
      <w:pPr>
        <w:spacing w:after="0" w:before="0" w:line="240" w:lineRule="auto"/>
        <w:ind w:left="57"/>
        <w:jc w:val="left"/>
        <w:shd w:val="clear" w:fill="F2F2F2"/>
      </w:pPr>
      <w:r>
        <w:rPr>
          <w:rFonts w:ascii="Consolas" w:hAnsi="Consolas" w:cs="Consolas"/>
          <w:b w:val="0"/>
          <w:i w:val="0"/>
          <w:sz w:val="15"/>
        </w:rPr>
        <w:t>Sailing: 25 Jun 2026        Add-ons: Trucking</w:t>
      </w:r>
    </w:p>
    <w:p>
      <w:pPr>
        <w:spacing w:after="0" w:before="0" w:line="240" w:lineRule="auto"/>
        <w:ind w:left="57"/>
        <w:jc w:val="left"/>
        <w:shd w:val="clear" w:fill="F2F2F2"/>
      </w:pPr>
      <w:r>
        <w:rPr>
          <w:rFonts w:ascii="Consolas" w:hAnsi="Consolas" w:cs="Consolas"/>
          <w:b w:val="0"/>
          <w:i w:val="0"/>
          <w:sz w:val="15"/>
        </w:rPr>
        <w:t>Status: PENDING             Validity: 24h remaining</w:t>
      </w:r>
    </w:p>
    <w:p>
      <w:pPr>
        <w:spacing w:after="0" w:before="0" w:line="240" w:lineRule="auto"/>
        <w:ind w:left="57"/>
        <w:jc w:val="left"/>
        <w:shd w:val="clear" w:fill="F2F2F2"/>
      </w:pPr>
      <w:r>
        <w:rPr>
          <w:rFonts w:ascii="Consolas" w:hAnsi="Consolas" w:cs="Consolas"/>
          <w:b w:val="0"/>
          <w:i w:val="0"/>
          <w:sz w:val="15"/>
        </w:rPr>
        <w:t>[Send Quote] [Decline] [View Details]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SGTX-EG-003</w:t>
      </w:r>
    </w:p>
    <w:p>
      <w:pPr>
        <w:spacing w:after="0" w:before="0" w:line="240" w:lineRule="auto"/>
        <w:ind w:left="57"/>
        <w:jc w:val="left"/>
        <w:shd w:val="clear" w:fill="F2F2F2"/>
      </w:pPr>
      <w:r>
        <w:rPr>
          <w:rFonts w:ascii="Consolas" w:hAnsi="Consolas" w:cs="Consolas"/>
          <w:b w:val="0"/>
          <w:i w:val="0"/>
          <w:sz w:val="15"/>
        </w:rPr>
        <w:t>Seller: Global Exports      Commodity: Textiles (62)</w:t>
      </w:r>
    </w:p>
    <w:p>
      <w:pPr>
        <w:spacing w:after="0" w:before="0" w:line="240" w:lineRule="auto"/>
        <w:ind w:left="57"/>
        <w:jc w:val="left"/>
        <w:shd w:val="clear" w:fill="F2F2F2"/>
      </w:pPr>
      <w:r>
        <w:rPr>
          <w:rFonts w:ascii="Consolas" w:hAnsi="Consolas" w:cs="Consolas"/>
          <w:b w:val="0"/>
          <w:i w:val="0"/>
          <w:sz w:val="15"/>
        </w:rPr>
        <w:t>Container: 3 × 20ft Dry     Route: Port Said → Jebel Ali</w:t>
      </w:r>
    </w:p>
    <w:p>
      <w:pPr>
        <w:spacing w:after="0" w:before="0" w:line="240" w:lineRule="auto"/>
        <w:ind w:left="57"/>
        <w:jc w:val="left"/>
        <w:shd w:val="clear" w:fill="F2F2F2"/>
      </w:pPr>
      <w:r>
        <w:rPr>
          <w:rFonts w:ascii="Consolas" w:hAnsi="Consolas" w:cs="Consolas"/>
          <w:b w:val="0"/>
          <w:i w:val="0"/>
          <w:sz w:val="15"/>
        </w:rPr>
        <w:t>Sailing: 30 Jun 2026        Add-ons: None</w:t>
      </w:r>
    </w:p>
    <w:p>
      <w:pPr>
        <w:spacing w:after="0" w:before="0" w:line="240" w:lineRule="auto"/>
        <w:ind w:left="57"/>
        <w:jc w:val="left"/>
        <w:shd w:val="clear" w:fill="F2F2F2"/>
      </w:pPr>
      <w:r>
        <w:rPr>
          <w:rFonts w:ascii="Consolas" w:hAnsi="Consolas" w:cs="Consolas"/>
          <w:b w:val="0"/>
          <w:i w:val="0"/>
          <w:sz w:val="15"/>
        </w:rPr>
        <w:t>Status: PENDING             Validity: 36h remaining</w:t>
      </w:r>
    </w:p>
    <w:p>
      <w:pPr>
        <w:spacing w:after="0" w:before="0" w:line="240" w:lineRule="auto"/>
        <w:ind w:left="57"/>
        <w:jc w:val="left"/>
        <w:shd w:val="clear" w:fill="F2F2F2"/>
      </w:pPr>
      <w:r>
        <w:rPr>
          <w:rFonts w:ascii="Consolas" w:hAnsi="Consolas" w:cs="Consolas"/>
          <w:b w:val="0"/>
          <w:i w:val="0"/>
          <w:sz w:val="15"/>
        </w:rPr>
        <w:t>[Send Quote] [Decline] [View Details]</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2.2 Request Details View. Example:</w:t>
      </w:r>
    </w:p>
    <w:p>
      <w:pPr>
        <w:spacing w:after="0" w:before="0" w:line="240" w:lineRule="auto"/>
        <w:ind w:left="57"/>
        <w:jc w:val="left"/>
        <w:shd w:val="clear" w:fill="F2F2F2"/>
      </w:pPr>
      <w:r>
        <w:rPr>
          <w:rFonts w:ascii="Consolas" w:hAnsi="Consolas" w:cs="Consolas"/>
          <w:b w:val="0"/>
          <w:i w:val="0"/>
          <w:sz w:val="15"/>
        </w:rPr>
        <w:t>BOOKING REQUEST DETAILS — USTN SGTX-EG-001</w:t>
      </w:r>
    </w:p>
    <w:p>
      <w:pPr>
        <w:spacing w:after="0" w:before="0" w:line="240" w:lineRule="auto"/>
        <w:ind w:left="57"/>
        <w:jc w:val="left"/>
        <w:shd w:val="clear" w:fill="F2F2F2"/>
      </w:pPr>
      <w:r>
        <w:rPr>
          <w:rFonts w:ascii="Consolas" w:hAnsi="Consolas" w:cs="Consolas"/>
          <w:b w:val="0"/>
          <w:i w:val="0"/>
          <w:sz w:val="15"/>
        </w:rPr>
        <w:t>Seller: Mekong Fresh Co. (SGTX-VN-TRD-002139-7F3A)</w:t>
      </w:r>
    </w:p>
    <w:p>
      <w:pPr>
        <w:spacing w:after="0" w:before="0" w:line="240" w:lineRule="auto"/>
        <w:ind w:left="57"/>
        <w:jc w:val="left"/>
        <w:shd w:val="clear" w:fill="F2F2F2"/>
      </w:pPr>
      <w:r>
        <w:rPr>
          <w:rFonts w:ascii="Consolas" w:hAnsi="Consolas" w:cs="Consolas"/>
          <w:b w:val="0"/>
          <w:i w:val="0"/>
          <w:sz w:val="15"/>
        </w:rPr>
        <w:t>Buyer:  Nile Foods (SGTX-EG-TRD-001234-5B6C)</w:t>
      </w:r>
    </w:p>
    <w:p>
      <w:pPr>
        <w:spacing w:after="0" w:before="0" w:line="240" w:lineRule="auto"/>
        <w:ind w:left="57"/>
        <w:jc w:val="left"/>
        <w:shd w:val="clear" w:fill="F2F2F2"/>
      </w:pPr>
      <w:r>
        <w:rPr>
          <w:rFonts w:ascii="Consolas" w:hAnsi="Consolas" w:cs="Consolas"/>
          <w:b w:val="0"/>
          <w:i w:val="0"/>
          <w:sz w:val="15"/>
        </w:rPr>
        <w:t>Commodity: Frozen strawberries (HS 0811.10.90)</w:t>
      </w:r>
    </w:p>
    <w:p>
      <w:pPr>
        <w:spacing w:after="0" w:before="0" w:line="240" w:lineRule="auto"/>
        <w:ind w:left="57"/>
        <w:jc w:val="left"/>
        <w:shd w:val="clear" w:fill="F2F2F2"/>
      </w:pPr>
      <w:r>
        <w:rPr>
          <w:rFonts w:ascii="Consolas" w:hAnsi="Consolas" w:cs="Consolas"/>
          <w:b w:val="0"/>
          <w:i w:val="0"/>
          <w:sz w:val="15"/>
        </w:rPr>
        <w:t>Quantity: 20,000 kg          Temperature: -18°C (reefer required)</w:t>
      </w:r>
    </w:p>
    <w:p>
      <w:pPr>
        <w:spacing w:after="0" w:before="0" w:line="240" w:lineRule="auto"/>
        <w:ind w:left="57"/>
        <w:jc w:val="left"/>
        <w:shd w:val="clear" w:fill="F2F2F2"/>
      </w:pPr>
      <w:r>
        <w:rPr>
          <w:rFonts w:ascii="Consolas" w:hAnsi="Consolas" w:cs="Consolas"/>
          <w:b w:val="0"/>
          <w:i w:val="0"/>
          <w:sz w:val="15"/>
        </w:rPr>
        <w:t>Container: 2 × 40ft Reefer   Route: Damietta → Hamburg</w:t>
      </w:r>
    </w:p>
    <w:p>
      <w:pPr>
        <w:spacing w:after="0" w:before="0" w:line="240" w:lineRule="auto"/>
        <w:ind w:left="57"/>
        <w:jc w:val="left"/>
        <w:shd w:val="clear" w:fill="F2F2F2"/>
      </w:pPr>
      <w:r>
        <w:rPr>
          <w:rFonts w:ascii="Consolas" w:hAnsi="Consolas" w:cs="Consolas"/>
          <w:b w:val="0"/>
          <w:i w:val="0"/>
          <w:sz w:val="15"/>
        </w:rPr>
        <w:t>Sailing Window: 20 Jun 2026 (flexible ±2 days)</w:t>
      </w:r>
    </w:p>
    <w:p>
      <w:pPr>
        <w:spacing w:after="0" w:before="0" w:line="240" w:lineRule="auto"/>
        <w:ind w:left="57"/>
        <w:jc w:val="left"/>
        <w:shd w:val="clear" w:fill="F2F2F2"/>
      </w:pPr>
      <w:r>
        <w:rPr>
          <w:rFonts w:ascii="Consolas" w:hAnsi="Consolas" w:cs="Consolas"/>
          <w:b w:val="0"/>
          <w:i w:val="0"/>
          <w:sz w:val="15"/>
        </w:rPr>
        <w:t>Add-on Services Requested:</w:t>
      </w:r>
    </w:p>
    <w:p>
      <w:pPr>
        <w:spacing w:after="0" w:before="0" w:line="240" w:lineRule="auto"/>
        <w:ind w:left="57"/>
        <w:jc w:val="left"/>
        <w:shd w:val="clear" w:fill="F2F2F2"/>
      </w:pPr>
      <w:r>
        <w:rPr>
          <w:rFonts w:ascii="Consolas" w:hAnsi="Consolas" w:cs="Consolas"/>
          <w:b w:val="0"/>
          <w:i w:val="0"/>
          <w:sz w:val="15"/>
        </w:rPr>
        <w:t xml:space="preserve">  • Trucking (origin to port) — Damietta region</w:t>
      </w:r>
    </w:p>
    <w:p>
      <w:pPr>
        <w:spacing w:after="0" w:before="0" w:line="240" w:lineRule="auto"/>
        <w:ind w:left="57"/>
        <w:jc w:val="left"/>
        <w:shd w:val="clear" w:fill="F2F2F2"/>
      </w:pPr>
      <w:r>
        <w:rPr>
          <w:rFonts w:ascii="Consolas" w:hAnsi="Consolas" w:cs="Consolas"/>
          <w:b w:val="0"/>
          <w:i w:val="0"/>
          <w:sz w:val="15"/>
        </w:rPr>
        <w:t xml:space="preserve">  • Customs Broker (export clearance)</w:t>
      </w:r>
    </w:p>
    <w:p>
      <w:pPr>
        <w:spacing w:after="0" w:before="0" w:line="240" w:lineRule="auto"/>
        <w:ind w:left="57"/>
        <w:jc w:val="left"/>
        <w:shd w:val="clear" w:fill="F2F2F2"/>
      </w:pPr>
      <w:r>
        <w:rPr>
          <w:rFonts w:ascii="Consolas" w:hAnsi="Consolas" w:cs="Consolas"/>
          <w:b w:val="0"/>
          <w:i w:val="0"/>
          <w:sz w:val="15"/>
        </w:rPr>
        <w:t xml:space="preserve">  • Insurance — cargo insurance</w:t>
      </w:r>
    </w:p>
    <w:p>
      <w:pPr>
        <w:spacing w:after="0" w:before="0" w:line="240" w:lineRule="auto"/>
        <w:ind w:left="57"/>
        <w:jc w:val="left"/>
        <w:shd w:val="clear" w:fill="F2F2F2"/>
      </w:pPr>
      <w:r>
        <w:rPr>
          <w:rFonts w:ascii="Consolas" w:hAnsi="Consolas" w:cs="Consolas"/>
          <w:b w:val="0"/>
          <w:i w:val="0"/>
          <w:sz w:val="15"/>
        </w:rPr>
        <w:t>Special Instructions: "Pre-cooling certificate required before loading."</w:t>
      </w:r>
    </w:p>
    <w:p>
      <w:pPr>
        <w:spacing w:after="0" w:before="0" w:line="240" w:lineRule="auto"/>
        <w:ind w:left="57"/>
        <w:jc w:val="left"/>
        <w:shd w:val="clear" w:fill="F2F2F2"/>
      </w:pPr>
      <w:r>
        <w:rPr>
          <w:rFonts w:ascii="Consolas" w:hAnsi="Consolas" w:cs="Consolas"/>
          <w:b w:val="0"/>
          <w:i w:val="0"/>
          <w:sz w:val="15"/>
        </w:rPr>
        <w:t>[Back] [Send Quote] [Decline]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2.3 Quote Submission. Example:</w:t>
      </w:r>
    </w:p>
    <w:p>
      <w:pPr>
        <w:spacing w:after="0" w:before="0" w:line="240" w:lineRule="auto"/>
        <w:ind w:left="57"/>
        <w:jc w:val="left"/>
        <w:shd w:val="clear" w:fill="F2F2F2"/>
      </w:pPr>
      <w:r>
        <w:rPr>
          <w:rFonts w:ascii="Consolas" w:hAnsi="Consolas" w:cs="Consolas"/>
          <w:b w:val="0"/>
          <w:i w:val="0"/>
          <w:sz w:val="15"/>
        </w:rPr>
        <w:t>SEND QUOTE — USTN SGTX-EG-001</w:t>
      </w:r>
    </w:p>
    <w:p>
      <w:pPr>
        <w:spacing w:after="0" w:before="0" w:line="240" w:lineRule="auto"/>
        <w:ind w:left="57"/>
        <w:jc w:val="left"/>
        <w:shd w:val="clear" w:fill="F2F2F2"/>
      </w:pPr>
      <w:r>
        <w:rPr>
          <w:rFonts w:ascii="Consolas" w:hAnsi="Consolas" w:cs="Consolas"/>
          <w:b w:val="0"/>
          <w:i w:val="0"/>
          <w:sz w:val="15"/>
        </w:rPr>
        <w:t>Seller: Mekong Fresh Co.     Route: Damietta → Hamburg</w:t>
      </w:r>
    </w:p>
    <w:p>
      <w:pPr>
        <w:spacing w:after="0" w:before="0" w:line="240" w:lineRule="auto"/>
        <w:ind w:left="57"/>
        <w:jc w:val="left"/>
        <w:shd w:val="clear" w:fill="F2F2F2"/>
      </w:pPr>
      <w:r>
        <w:rPr>
          <w:rFonts w:ascii="Consolas" w:hAnsi="Consolas" w:cs="Consolas"/>
          <w:b w:val="0"/>
          <w:i w:val="0"/>
          <w:sz w:val="15"/>
        </w:rPr>
        <w:t>Container: 2 × 40ft Reefer</w:t>
      </w:r>
    </w:p>
    <w:p>
      <w:pPr>
        <w:spacing w:after="0" w:before="0" w:line="240" w:lineRule="auto"/>
        <w:ind w:left="57"/>
        <w:jc w:val="left"/>
        <w:shd w:val="clear" w:fill="F2F2F2"/>
      </w:pPr>
      <w:r>
        <w:rPr>
          <w:rFonts w:ascii="Consolas" w:hAnsi="Consolas" w:cs="Consolas"/>
          <w:b w:val="0"/>
          <w:i w:val="0"/>
          <w:sz w:val="15"/>
        </w:rPr>
        <w:t>Base Freight:</w:t>
      </w:r>
    </w:p>
    <w:p>
      <w:pPr>
        <w:spacing w:after="0" w:before="0" w:line="240" w:lineRule="auto"/>
        <w:ind w:left="57"/>
        <w:jc w:val="left"/>
        <w:shd w:val="clear" w:fill="F2F2F2"/>
      </w:pPr>
      <w:r>
        <w:rPr>
          <w:rFonts w:ascii="Consolas" w:hAnsi="Consolas" w:cs="Consolas"/>
          <w:b w:val="0"/>
          <w:i w:val="0"/>
          <w:sz w:val="15"/>
        </w:rPr>
        <w:t xml:space="preserve">  Contract Rate (valid until 30 Jun 2026): $4,200 per container</w:t>
      </w:r>
    </w:p>
    <w:p>
      <w:pPr>
        <w:spacing w:after="0" w:before="0" w:line="240" w:lineRule="auto"/>
        <w:ind w:left="57"/>
        <w:jc w:val="left"/>
        <w:shd w:val="clear" w:fill="F2F2F2"/>
      </w:pPr>
      <w:r>
        <w:rPr>
          <w:rFonts w:ascii="Consolas" w:hAnsi="Consolas" w:cs="Consolas"/>
          <w:b w:val="0"/>
          <w:i w:val="0"/>
          <w:sz w:val="15"/>
        </w:rPr>
        <w:t xml:space="preserve">  Subtotal: $8,400</w:t>
      </w:r>
    </w:p>
    <w:p>
      <w:pPr>
        <w:spacing w:after="0" w:before="0" w:line="240" w:lineRule="auto"/>
        <w:ind w:left="57"/>
        <w:jc w:val="left"/>
        <w:shd w:val="clear" w:fill="F2F2F2"/>
      </w:pPr>
      <w:r>
        <w:rPr>
          <w:rFonts w:ascii="Consolas" w:hAnsi="Consolas" w:cs="Consolas"/>
          <w:b w:val="0"/>
          <w:i w:val="0"/>
          <w:sz w:val="15"/>
        </w:rPr>
        <w:t>Surcharges:</w:t>
      </w:r>
    </w:p>
    <w:p>
      <w:pPr>
        <w:spacing w:after="0" w:before="0" w:line="240" w:lineRule="auto"/>
        <w:ind w:left="57"/>
        <w:jc w:val="left"/>
        <w:shd w:val="clear" w:fill="F2F2F2"/>
      </w:pPr>
      <w:r>
        <w:rPr>
          <w:rFonts w:ascii="Consolas" w:hAnsi="Consolas" w:cs="Consolas"/>
          <w:b w:val="0"/>
          <w:i w:val="0"/>
          <w:sz w:val="15"/>
        </w:rPr>
        <w:t xml:space="preserve">  Peak Season Surcharge (PSS): +$200 per container → $400</w:t>
      </w:r>
    </w:p>
    <w:p>
      <w:pPr>
        <w:spacing w:after="0" w:before="0" w:line="240" w:lineRule="auto"/>
        <w:ind w:left="57"/>
        <w:jc w:val="left"/>
        <w:shd w:val="clear" w:fill="F2F2F2"/>
      </w:pPr>
      <w:r>
        <w:rPr>
          <w:rFonts w:ascii="Consolas" w:hAnsi="Consolas" w:cs="Consolas"/>
          <w:b w:val="0"/>
          <w:i w:val="0"/>
          <w:sz w:val="15"/>
        </w:rPr>
        <w:t xml:space="preserve">  Bunker Adjustment Factor (BAF): +$100 per container → $200</w:t>
      </w:r>
    </w:p>
    <w:p>
      <w:pPr>
        <w:spacing w:after="0" w:before="0" w:line="240" w:lineRule="auto"/>
        <w:ind w:left="57"/>
        <w:jc w:val="left"/>
        <w:shd w:val="clear" w:fill="F2F2F2"/>
      </w:pPr>
      <w:r>
        <w:rPr>
          <w:rFonts w:ascii="Consolas" w:hAnsi="Consolas" w:cs="Consolas"/>
          <w:b w:val="0"/>
          <w:i w:val="0"/>
          <w:sz w:val="15"/>
        </w:rPr>
        <w:t xml:space="preserve">  Currency Adjustment Factor (CAF): —</w:t>
      </w:r>
    </w:p>
    <w:p>
      <w:pPr>
        <w:spacing w:after="0" w:before="0" w:line="240" w:lineRule="auto"/>
        <w:ind w:left="57"/>
        <w:jc w:val="left"/>
        <w:shd w:val="clear" w:fill="F2F2F2"/>
      </w:pPr>
      <w:r>
        <w:rPr>
          <w:rFonts w:ascii="Consolas" w:hAnsi="Consolas" w:cs="Consolas"/>
          <w:b w:val="0"/>
          <w:i w:val="0"/>
          <w:sz w:val="15"/>
        </w:rPr>
        <w:t xml:space="preserve">  Ocean Freight Total: $9,000</w:t>
      </w:r>
    </w:p>
    <w:p>
      <w:pPr>
        <w:spacing w:after="0" w:before="0" w:line="240" w:lineRule="auto"/>
        <w:ind w:left="57"/>
        <w:jc w:val="left"/>
        <w:shd w:val="clear" w:fill="F2F2F2"/>
      </w:pPr>
      <w:r>
        <w:rPr>
          <w:rFonts w:ascii="Consolas" w:hAnsi="Consolas" w:cs="Consolas"/>
          <w:b w:val="0"/>
          <w:i w:val="0"/>
          <w:sz w:val="15"/>
        </w:rPr>
        <w:t>Add-on Services:</w:t>
      </w:r>
    </w:p>
    <w:p>
      <w:pPr>
        <w:spacing w:after="0" w:before="0" w:line="240" w:lineRule="auto"/>
        <w:ind w:left="57"/>
        <w:jc w:val="left"/>
        <w:shd w:val="clear" w:fill="F2F2F2"/>
      </w:pPr>
      <w:r>
        <w:rPr>
          <w:rFonts w:ascii="Consolas" w:hAnsi="Consolas" w:cs="Consolas"/>
          <w:b w:val="0"/>
          <w:i w:val="0"/>
          <w:sz w:val="15"/>
        </w:rPr>
        <w:t xml:space="preserve">  Trucking:       $300 (via Fast Trucking Co.)</w:t>
      </w:r>
    </w:p>
    <w:p>
      <w:pPr>
        <w:spacing w:after="0" w:before="0" w:line="240" w:lineRule="auto"/>
        <w:ind w:left="57"/>
        <w:jc w:val="left"/>
        <w:shd w:val="clear" w:fill="F2F2F2"/>
      </w:pPr>
      <w:r>
        <w:rPr>
          <w:rFonts w:ascii="Consolas" w:hAnsi="Consolas" w:cs="Consolas"/>
          <w:b w:val="0"/>
          <w:i w:val="0"/>
          <w:sz w:val="15"/>
        </w:rPr>
        <w:t xml:space="preserve">  Customs Broker: $150 (via SGS Egypt)</w:t>
      </w:r>
    </w:p>
    <w:p>
      <w:pPr>
        <w:spacing w:after="0" w:before="0" w:line="240" w:lineRule="auto"/>
        <w:ind w:left="57"/>
        <w:jc w:val="left"/>
        <w:shd w:val="clear" w:fill="F2F2F2"/>
      </w:pPr>
      <w:r>
        <w:rPr>
          <w:rFonts w:ascii="Consolas" w:hAnsi="Consolas" w:cs="Consolas"/>
          <w:b w:val="0"/>
          <w:i w:val="0"/>
          <w:sz w:val="15"/>
        </w:rPr>
        <w:t xml:space="preserve">  Insurance:      $200 (cargo, 110% of value)</w:t>
      </w:r>
    </w:p>
    <w:p>
      <w:pPr>
        <w:spacing w:after="0" w:before="0" w:line="240" w:lineRule="auto"/>
        <w:ind w:left="57"/>
        <w:jc w:val="left"/>
        <w:shd w:val="clear" w:fill="F2F2F2"/>
      </w:pPr>
      <w:r>
        <w:rPr>
          <w:rFonts w:ascii="Consolas" w:hAnsi="Consolas" w:cs="Consolas"/>
          <w:b w:val="0"/>
          <w:i w:val="0"/>
          <w:sz w:val="15"/>
        </w:rPr>
        <w:t>Total Quote: $9,650</w:t>
      </w:r>
    </w:p>
    <w:p>
      <w:pPr>
        <w:spacing w:after="0" w:before="0" w:line="240" w:lineRule="auto"/>
        <w:ind w:left="57"/>
        <w:jc w:val="left"/>
        <w:shd w:val="clear" w:fill="F2F2F2"/>
      </w:pPr>
      <w:r>
        <w:rPr>
          <w:rFonts w:ascii="Consolas" w:hAnsi="Consolas" w:cs="Consolas"/>
          <w:b w:val="0"/>
          <w:i w:val="0"/>
          <w:sz w:val="15"/>
        </w:rPr>
        <w:t>AI Quote Assistant (A1): "Your quote is competitive. Market average for this</w:t>
      </w:r>
    </w:p>
    <w:p>
      <w:pPr>
        <w:spacing w:after="0" w:before="0" w:line="240" w:lineRule="auto"/>
        <w:ind w:left="57"/>
        <w:jc w:val="left"/>
        <w:shd w:val="clear" w:fill="F2F2F2"/>
      </w:pPr>
      <w:r>
        <w:rPr>
          <w:rFonts w:ascii="Consolas" w:hAnsi="Consolas" w:cs="Consolas"/>
          <w:b w:val="0"/>
          <w:i w:val="0"/>
          <w:sz w:val="15"/>
        </w:rPr>
        <w:t>route is $9,800. You are 1.5% below average."</w:t>
      </w:r>
    </w:p>
    <w:p>
      <w:pPr>
        <w:spacing w:after="0" w:before="0" w:line="240" w:lineRule="auto"/>
        <w:ind w:left="57"/>
        <w:jc w:val="left"/>
        <w:shd w:val="clear" w:fill="F2F2F2"/>
      </w:pPr>
      <w:r>
        <w:rPr>
          <w:rFonts w:ascii="Consolas" w:hAnsi="Consolas" w:cs="Consolas"/>
          <w:b w:val="0"/>
          <w:i w:val="0"/>
          <w:sz w:val="15"/>
        </w:rPr>
        <w:t>Validity Period: [48] hours</w:t>
      </w:r>
    </w:p>
    <w:p>
      <w:pPr>
        <w:spacing w:after="0" w:before="0" w:line="240" w:lineRule="auto"/>
        <w:ind w:left="57"/>
        <w:jc w:val="left"/>
        <w:shd w:val="clear" w:fill="F2F2F2"/>
      </w:pPr>
      <w:r>
        <w:rPr>
          <w:rFonts w:ascii="Consolas" w:hAnsi="Consolas" w:cs="Consolas"/>
          <w:b w:val="0"/>
          <w:i w:val="0"/>
          <w:sz w:val="15"/>
        </w:rPr>
        <w:t>Notes: [Vessel: MSC FIONA, Voyage: MSF123E. ETD: 20 Jun, ETA: 5 Jul.]</w:t>
      </w:r>
    </w:p>
    <w:p>
      <w:pPr>
        <w:spacing w:after="0" w:before="0" w:line="240" w:lineRule="auto"/>
        <w:ind w:left="57"/>
        <w:jc w:val="left"/>
        <w:shd w:val="clear" w:fill="F2F2F2"/>
      </w:pPr>
      <w:r>
        <w:rPr>
          <w:rFonts w:ascii="Consolas" w:hAnsi="Consolas" w:cs="Consolas"/>
          <w:b w:val="0"/>
          <w:i w:val="0"/>
          <w:sz w:val="15"/>
        </w:rPr>
        <w:t>[Send Quote] [Save Draft] [Cancel]</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2.4 Decline Request. Mandatory reason:</w:t>
      </w:r>
    </w:p>
    <w:p>
      <w:pPr>
        <w:spacing w:after="0" w:before="0" w:line="240" w:lineRule="auto"/>
        <w:ind w:left="57"/>
        <w:jc w:val="left"/>
        <w:shd w:val="clear" w:fill="F2F2F2"/>
      </w:pPr>
      <w:r>
        <w:rPr>
          <w:rFonts w:ascii="Consolas" w:hAnsi="Consolas" w:cs="Consolas"/>
          <w:b w:val="0"/>
          <w:i w:val="0"/>
          <w:sz w:val="15"/>
        </w:rPr>
        <w:t>DECLINE REQUEST — USTN SGTX-EG-001</w:t>
      </w:r>
    </w:p>
    <w:p>
      <w:pPr>
        <w:spacing w:after="0" w:before="0" w:line="240" w:lineRule="auto"/>
        <w:ind w:left="57"/>
        <w:jc w:val="left"/>
        <w:shd w:val="clear" w:fill="F2F2F2"/>
      </w:pPr>
      <w:r>
        <w:rPr>
          <w:rFonts w:ascii="Consolas" w:hAnsi="Consolas" w:cs="Consolas"/>
          <w:b w:val="0"/>
          <w:i w:val="0"/>
          <w:sz w:val="15"/>
        </w:rPr>
        <w:t>Reason for Declining: [No vessel space available on requested sailing date.</w:t>
      </w:r>
    </w:p>
    <w:p>
      <w:pPr>
        <w:spacing w:after="0" w:before="0" w:line="240" w:lineRule="auto"/>
        <w:ind w:left="57"/>
        <w:jc w:val="left"/>
        <w:shd w:val="clear" w:fill="F2F2F2"/>
      </w:pPr>
      <w:r>
        <w:rPr>
          <w:rFonts w:ascii="Consolas" w:hAnsi="Consolas" w:cs="Consolas"/>
          <w:b w:val="0"/>
          <w:i w:val="0"/>
          <w:sz w:val="15"/>
        </w:rPr>
        <w:t>Next available: 30 Jun.]</w:t>
      </w:r>
    </w:p>
    <w:p>
      <w:pPr>
        <w:spacing w:after="0" w:before="0" w:line="240" w:lineRule="auto"/>
        <w:ind w:left="57"/>
        <w:jc w:val="left"/>
        <w:shd w:val="clear" w:fill="F2F2F2"/>
      </w:pPr>
      <w:r>
        <w:rPr>
          <w:rFonts w:ascii="Consolas" w:hAnsi="Consolas" w:cs="Consolas"/>
          <w:b w:val="0"/>
          <w:i w:val="0"/>
          <w:sz w:val="15"/>
        </w:rPr>
        <w:t>[Submit] [Cancel]</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2.5 Add-on Services Handling. Example:</w:t>
      </w:r>
    </w:p>
    <w:p>
      <w:pPr>
        <w:spacing w:after="0" w:before="0" w:line="240" w:lineRule="auto"/>
        <w:ind w:left="57"/>
        <w:jc w:val="left"/>
        <w:shd w:val="clear" w:fill="F2F2F2"/>
      </w:pPr>
      <w:r>
        <w:rPr>
          <w:rFonts w:ascii="Consolas" w:hAnsi="Consolas" w:cs="Consolas"/>
          <w:b w:val="0"/>
          <w:i w:val="0"/>
          <w:sz w:val="15"/>
        </w:rPr>
        <w:t>ADD-ON SERVICES — USTN SGTX-EG-001</w:t>
      </w:r>
    </w:p>
    <w:p>
      <w:pPr>
        <w:spacing w:after="0" w:before="0" w:line="240" w:lineRule="auto"/>
        <w:ind w:left="57"/>
        <w:jc w:val="left"/>
        <w:shd w:val="clear" w:fill="F2F2F2"/>
      </w:pPr>
      <w:r>
        <w:rPr>
          <w:rFonts w:ascii="Consolas" w:hAnsi="Consolas" w:cs="Consolas"/>
          <w:b w:val="0"/>
          <w:i w:val="0"/>
          <w:sz w:val="15"/>
        </w:rPr>
        <w:t>Trucking (Damietta region):</w:t>
      </w:r>
    </w:p>
    <w:p>
      <w:pPr>
        <w:spacing w:after="0" w:before="0" w:line="240" w:lineRule="auto"/>
        <w:ind w:left="57"/>
        <w:jc w:val="left"/>
        <w:shd w:val="clear" w:fill="F2F2F2"/>
      </w:pPr>
      <w:r>
        <w:rPr>
          <w:rFonts w:ascii="Consolas" w:hAnsi="Consolas" w:cs="Consolas"/>
          <w:b w:val="0"/>
          <w:i w:val="0"/>
          <w:sz w:val="15"/>
        </w:rPr>
        <w:t xml:space="preserve">  ( ) Quote bundled price ($300 via Fast Trucking Co.)</w:t>
      </w:r>
    </w:p>
    <w:p>
      <w:pPr>
        <w:spacing w:after="0" w:before="0" w:line="240" w:lineRule="auto"/>
        <w:ind w:left="57"/>
        <w:jc w:val="left"/>
        <w:shd w:val="clear" w:fill="F2F2F2"/>
      </w:pPr>
      <w:r>
        <w:rPr>
          <w:rFonts w:ascii="Consolas" w:hAnsi="Consolas" w:cs="Consolas"/>
          <w:b w:val="0"/>
          <w:i w:val="0"/>
          <w:sz w:val="15"/>
        </w:rPr>
        <w:t xml:space="preserve">  ( ) Decline (seller will source separately)</w:t>
      </w:r>
    </w:p>
    <w:p>
      <w:pPr>
        <w:spacing w:after="0" w:before="0" w:line="240" w:lineRule="auto"/>
        <w:ind w:left="57"/>
        <w:jc w:val="left"/>
        <w:shd w:val="clear" w:fill="F2F2F2"/>
      </w:pPr>
      <w:r>
        <w:rPr>
          <w:rFonts w:ascii="Consolas" w:hAnsi="Consolas" w:cs="Consolas"/>
          <w:b w:val="0"/>
          <w:i w:val="0"/>
          <w:sz w:val="15"/>
        </w:rPr>
        <w:t xml:space="preserve">  ( ) Refer to partner (select from network)</w:t>
      </w:r>
    </w:p>
    <w:p>
      <w:pPr>
        <w:spacing w:after="0" w:before="0" w:line="240" w:lineRule="auto"/>
        <w:ind w:left="57"/>
        <w:jc w:val="left"/>
        <w:shd w:val="clear" w:fill="F2F2F2"/>
      </w:pPr>
      <w:r>
        <w:rPr>
          <w:rFonts w:ascii="Consolas" w:hAnsi="Consolas" w:cs="Consolas"/>
          <w:b w:val="0"/>
          <w:i w:val="0"/>
          <w:sz w:val="15"/>
        </w:rPr>
        <w:t>Customs Broker:</w:t>
      </w:r>
    </w:p>
    <w:p>
      <w:pPr>
        <w:spacing w:after="0" w:before="0" w:line="240" w:lineRule="auto"/>
        <w:ind w:left="57"/>
        <w:jc w:val="left"/>
        <w:shd w:val="clear" w:fill="F2F2F2"/>
      </w:pPr>
      <w:r>
        <w:rPr>
          <w:rFonts w:ascii="Consolas" w:hAnsi="Consolas" w:cs="Consolas"/>
          <w:b w:val="0"/>
          <w:i w:val="0"/>
          <w:sz w:val="15"/>
        </w:rPr>
        <w:t xml:space="preserve">  ( ) Quote bundled price ($150 via SGS Egypt)</w:t>
      </w:r>
    </w:p>
    <w:p>
      <w:pPr>
        <w:spacing w:after="0" w:before="0" w:line="240" w:lineRule="auto"/>
        <w:ind w:left="57"/>
        <w:jc w:val="left"/>
        <w:shd w:val="clear" w:fill="F2F2F2"/>
      </w:pPr>
      <w:r>
        <w:rPr>
          <w:rFonts w:ascii="Consolas" w:hAnsi="Consolas" w:cs="Consolas"/>
          <w:b w:val="0"/>
          <w:i w:val="0"/>
          <w:sz w:val="15"/>
        </w:rPr>
        <w:t xml:space="preserve">  ( ) Decline</w:t>
      </w:r>
    </w:p>
    <w:p>
      <w:pPr>
        <w:spacing w:after="0" w:before="0" w:line="240" w:lineRule="auto"/>
        <w:ind w:left="57"/>
        <w:jc w:val="left"/>
        <w:shd w:val="clear" w:fill="F2F2F2"/>
      </w:pPr>
      <w:r>
        <w:rPr>
          <w:rFonts w:ascii="Consolas" w:hAnsi="Consolas" w:cs="Consolas"/>
          <w:b w:val="0"/>
          <w:i w:val="0"/>
          <w:sz w:val="15"/>
        </w:rPr>
        <w:t xml:space="preserve">  ( ) Refer to partner</w:t>
      </w:r>
    </w:p>
    <w:p>
      <w:pPr>
        <w:spacing w:after="0" w:before="0" w:line="240" w:lineRule="auto"/>
        <w:ind w:left="57"/>
        <w:jc w:val="left"/>
        <w:shd w:val="clear" w:fill="F2F2F2"/>
      </w:pPr>
      <w:r>
        <w:rPr>
          <w:rFonts w:ascii="Consolas" w:hAnsi="Consolas" w:cs="Consolas"/>
          <w:b w:val="0"/>
          <w:i w:val="0"/>
          <w:sz w:val="15"/>
        </w:rPr>
        <w:t>Insurance:</w:t>
      </w:r>
    </w:p>
    <w:p>
      <w:pPr>
        <w:spacing w:after="0" w:before="0" w:line="240" w:lineRule="auto"/>
        <w:ind w:left="57"/>
        <w:jc w:val="left"/>
        <w:shd w:val="clear" w:fill="F2F2F2"/>
      </w:pPr>
      <w:r>
        <w:rPr>
          <w:rFonts w:ascii="Consolas" w:hAnsi="Consolas" w:cs="Consolas"/>
          <w:b w:val="0"/>
          <w:i w:val="0"/>
          <w:sz w:val="15"/>
        </w:rPr>
        <w:t xml:space="preserve">  ( ) Quote bundled price ($200, 110% of value)</w:t>
      </w:r>
    </w:p>
    <w:p>
      <w:pPr>
        <w:spacing w:after="0" w:before="0" w:line="240" w:lineRule="auto"/>
        <w:ind w:left="57"/>
        <w:jc w:val="left"/>
        <w:shd w:val="clear" w:fill="F2F2F2"/>
      </w:pPr>
      <w:r>
        <w:rPr>
          <w:rFonts w:ascii="Consolas" w:hAnsi="Consolas" w:cs="Consolas"/>
          <w:b w:val="0"/>
          <w:i w:val="0"/>
          <w:sz w:val="15"/>
        </w:rPr>
        <w:t xml:space="preserve">  ( ) Decline</w:t>
      </w:r>
    </w:p>
    <w:p>
      <w:pPr>
        <w:spacing w:after="0" w:before="0" w:line="240" w:lineRule="auto"/>
        <w:ind w:left="57"/>
        <w:jc w:val="left"/>
        <w:shd w:val="clear" w:fill="F2F2F2"/>
      </w:pPr>
      <w:r>
        <w:rPr>
          <w:rFonts w:ascii="Consolas" w:hAnsi="Consolas" w:cs="Consolas"/>
          <w:b w:val="0"/>
          <w:i w:val="0"/>
          <w:sz w:val="15"/>
        </w:rPr>
        <w:t>[Save Add-on Choices]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3: Active Bookings (Confirmed &amp; In Progress)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all confirmed bookings where SHIP has been selected and has signed the logistics addendum (Section 9). Track vessel schedule, eBL status, and milestone updates.</w:t>
      </w:r>
    </w:p>
    <w:p>
      <w:pPr>
        <w:keepNext/>
        <w:spacing w:before="240" w:after="100"/>
        <w:outlineLvl w:val="1"/>
      </w:pPr>
      <w:r>
        <w:rPr>
          <w:rFonts w:ascii="Arial" w:hAnsi="Arial" w:cs="Arial"/>
          <w:b/>
          <w:i w:val="0"/>
          <w:color w:val="2E528F"/>
          <w:sz w:val="26"/>
        </w:rPr>
        <w:t>3.1 Bookings List. Example:</w:t>
      </w:r>
    </w:p>
    <w:p>
      <w:pPr>
        <w:spacing w:after="0" w:before="0" w:line="240" w:lineRule="auto"/>
        <w:ind w:left="57"/>
        <w:jc w:val="left"/>
        <w:shd w:val="clear" w:fill="F2F2F2"/>
      </w:pPr>
      <w:r>
        <w:rPr>
          <w:rFonts w:ascii="Consolas" w:hAnsi="Consolas" w:cs="Consolas"/>
          <w:b w:val="0"/>
          <w:i w:val="0"/>
          <w:sz w:val="15"/>
        </w:rPr>
        <w:t>ACTIVE BOOKINGS (5)</w:t>
      </w:r>
    </w:p>
    <w:p>
      <w:pPr>
        <w:spacing w:after="0" w:before="0" w:line="240" w:lineRule="auto"/>
        <w:ind w:left="57"/>
        <w:jc w:val="left"/>
        <w:shd w:val="clear" w:fill="F2F2F2"/>
      </w:pPr>
      <w:r>
        <w:rPr>
          <w:rFonts w:ascii="Consolas" w:hAnsi="Consolas" w:cs="Consolas"/>
          <w:b w:val="0"/>
          <w:i w:val="0"/>
          <w:sz w:val="15"/>
        </w:rPr>
        <w:t>Filters: [Status: All ▼] [Vessel: All ▼] [ETD: Next 14 days ▼] [Search: ___]</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SGTX-EG-001</w:t>
      </w:r>
    </w:p>
    <w:p>
      <w:pPr>
        <w:spacing w:after="0" w:before="0" w:line="240" w:lineRule="auto"/>
        <w:ind w:left="57"/>
        <w:jc w:val="left"/>
        <w:shd w:val="clear" w:fill="F2F2F2"/>
      </w:pPr>
      <w:r>
        <w:rPr>
          <w:rFonts w:ascii="Consolas" w:hAnsi="Consolas" w:cs="Consolas"/>
          <w:b w:val="0"/>
          <w:i w:val="0"/>
          <w:sz w:val="15"/>
        </w:rPr>
        <w:t>Seller: Mekong Fresh Co.   Booking: MAEU876543210</w:t>
      </w:r>
    </w:p>
    <w:p>
      <w:pPr>
        <w:spacing w:after="0" w:before="0" w:line="240" w:lineRule="auto"/>
        <w:ind w:left="57"/>
        <w:jc w:val="left"/>
        <w:shd w:val="clear" w:fill="F2F2F2"/>
      </w:pPr>
      <w:r>
        <w:rPr>
          <w:rFonts w:ascii="Consolas" w:hAnsi="Consolas" w:cs="Consolas"/>
          <w:b w:val="0"/>
          <w:i w:val="0"/>
          <w:sz w:val="15"/>
        </w:rPr>
        <w:t>Vessel: MSC FIONA (MSF123E)  ETD: 20 Jun 2026 08:00  ETA: 05 Jul 2026 14:00</w:t>
      </w:r>
    </w:p>
    <w:p>
      <w:pPr>
        <w:spacing w:after="0" w:before="0" w:line="240" w:lineRule="auto"/>
        <w:ind w:left="57"/>
        <w:jc w:val="left"/>
        <w:shd w:val="clear" w:fill="F2F2F2"/>
      </w:pPr>
      <w:r>
        <w:rPr>
          <w:rFonts w:ascii="Consolas" w:hAnsi="Consolas" w:cs="Consolas"/>
          <w:b w:val="0"/>
          <w:i w:val="0"/>
          <w:sz w:val="15"/>
        </w:rPr>
        <w:t>Containers: MEDU1234567, MEDU1234568</w:t>
      </w:r>
    </w:p>
    <w:p>
      <w:pPr>
        <w:spacing w:after="0" w:before="0" w:line="240" w:lineRule="auto"/>
        <w:ind w:left="57"/>
        <w:jc w:val="left"/>
        <w:shd w:val="clear" w:fill="F2F2F2"/>
      </w:pPr>
      <w:r>
        <w:rPr>
          <w:rFonts w:ascii="Consolas" w:hAnsi="Consolas" w:cs="Consolas"/>
          <w:b w:val="0"/>
          <w:i w:val="0"/>
          <w:sz w:val="15"/>
        </w:rPr>
        <w:t>eBL: Issued    Payment: $9,650 (Paid)    Status: DEPARTED</w:t>
      </w:r>
    </w:p>
    <w:p>
      <w:pPr>
        <w:spacing w:after="0" w:before="0" w:line="240" w:lineRule="auto"/>
        <w:ind w:left="57"/>
        <w:jc w:val="left"/>
        <w:shd w:val="clear" w:fill="F2F2F2"/>
      </w:pPr>
      <w:r>
        <w:rPr>
          <w:rFonts w:ascii="Consolas" w:hAnsi="Consolas" w:cs="Consolas"/>
          <w:b w:val="0"/>
          <w:i w:val="0"/>
          <w:sz w:val="15"/>
        </w:rPr>
        <w:t>[Update Arrival] [View eBL] [View TCC]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SGTX-EG-002</w:t>
      </w:r>
    </w:p>
    <w:p>
      <w:pPr>
        <w:spacing w:after="0" w:before="0" w:line="240" w:lineRule="auto"/>
        <w:ind w:left="57"/>
        <w:jc w:val="left"/>
        <w:shd w:val="clear" w:fill="F2F2F2"/>
      </w:pPr>
      <w:r>
        <w:rPr>
          <w:rFonts w:ascii="Consolas" w:hAnsi="Consolas" w:cs="Consolas"/>
          <w:b w:val="0"/>
          <w:i w:val="0"/>
          <w:sz w:val="15"/>
        </w:rPr>
        <w:t>Seller: Nile Foods   Booking: MAEU876543211</w:t>
      </w:r>
    </w:p>
    <w:p>
      <w:pPr>
        <w:spacing w:after="0" w:before="0" w:line="240" w:lineRule="auto"/>
        <w:ind w:left="57"/>
        <w:jc w:val="left"/>
        <w:shd w:val="clear" w:fill="F2F2F2"/>
      </w:pPr>
      <w:r>
        <w:rPr>
          <w:rFonts w:ascii="Consolas" w:hAnsi="Consolas" w:cs="Consolas"/>
          <w:b w:val="0"/>
          <w:i w:val="0"/>
          <w:sz w:val="15"/>
        </w:rPr>
        <w:t>Vessel: MSC ARIANE (MSA456F)  ETD: 25 Jun 2026 10:00  ETA: 10 Jul 2026 16:00</w:t>
      </w:r>
    </w:p>
    <w:p>
      <w:pPr>
        <w:spacing w:after="0" w:before="0" w:line="240" w:lineRule="auto"/>
        <w:ind w:left="57"/>
        <w:jc w:val="left"/>
        <w:shd w:val="clear" w:fill="F2F2F2"/>
      </w:pPr>
      <w:r>
        <w:rPr>
          <w:rFonts w:ascii="Consolas" w:hAnsi="Consolas" w:cs="Consolas"/>
          <w:b w:val="0"/>
          <w:i w:val="0"/>
          <w:sz w:val="15"/>
        </w:rPr>
        <w:t>Containers: MEDU1234569</w:t>
      </w:r>
    </w:p>
    <w:p>
      <w:pPr>
        <w:spacing w:after="0" w:before="0" w:line="240" w:lineRule="auto"/>
        <w:ind w:left="57"/>
        <w:jc w:val="left"/>
        <w:shd w:val="clear" w:fill="F2F2F2"/>
      </w:pPr>
      <w:r>
        <w:rPr>
          <w:rFonts w:ascii="Consolas" w:hAnsi="Consolas" w:cs="Consolas"/>
          <w:b w:val="0"/>
          <w:i w:val="0"/>
          <w:sz w:val="15"/>
        </w:rPr>
        <w:t>eBL: Pending    Payment: $4,500 (Pending)    Status: BOOKED</w:t>
      </w:r>
    </w:p>
    <w:p>
      <w:pPr>
        <w:spacing w:after="0" w:before="0" w:line="240" w:lineRule="auto"/>
        <w:ind w:left="57"/>
        <w:jc w:val="left"/>
        <w:shd w:val="clear" w:fill="F2F2F2"/>
      </w:pPr>
      <w:r>
        <w:rPr>
          <w:rFonts w:ascii="Consolas" w:hAnsi="Consolas" w:cs="Consolas"/>
          <w:b w:val="0"/>
          <w:i w:val="0"/>
          <w:sz w:val="15"/>
        </w:rPr>
        <w:t>[Confirm Loading] [Issue eBL] [View TCC]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SGTX-EG-003</w:t>
      </w:r>
    </w:p>
    <w:p>
      <w:pPr>
        <w:spacing w:after="0" w:before="0" w:line="240" w:lineRule="auto"/>
        <w:ind w:left="57"/>
        <w:jc w:val="left"/>
        <w:shd w:val="clear" w:fill="F2F2F2"/>
      </w:pPr>
      <w:r>
        <w:rPr>
          <w:rFonts w:ascii="Consolas" w:hAnsi="Consolas" w:cs="Consolas"/>
          <w:b w:val="0"/>
          <w:i w:val="0"/>
          <w:sz w:val="15"/>
        </w:rPr>
        <w:t>Seller: Global Exports   Booking: MAEU876543212</w:t>
      </w:r>
    </w:p>
    <w:p>
      <w:pPr>
        <w:spacing w:after="0" w:before="0" w:line="240" w:lineRule="auto"/>
        <w:ind w:left="57"/>
        <w:jc w:val="left"/>
        <w:shd w:val="clear" w:fill="F2F2F2"/>
      </w:pPr>
      <w:r>
        <w:rPr>
          <w:rFonts w:ascii="Consolas" w:hAnsi="Consolas" w:cs="Consolas"/>
          <w:b w:val="0"/>
          <w:i w:val="0"/>
          <w:sz w:val="15"/>
        </w:rPr>
        <w:t>Vessel: MSC FIONA (MSF123E)  ETD: 20 Jun 2026 08:00  ETA: 05 Jul 2026 14:00</w:t>
      </w:r>
    </w:p>
    <w:p>
      <w:pPr>
        <w:spacing w:after="0" w:before="0" w:line="240" w:lineRule="auto"/>
        <w:ind w:left="57"/>
        <w:jc w:val="left"/>
        <w:shd w:val="clear" w:fill="F2F2F2"/>
      </w:pPr>
      <w:r>
        <w:rPr>
          <w:rFonts w:ascii="Consolas" w:hAnsi="Consolas" w:cs="Consolas"/>
          <w:b w:val="0"/>
          <w:i w:val="0"/>
          <w:sz w:val="15"/>
        </w:rPr>
        <w:t>Containers: MEDU1234570, MEDU1234571, MEDU1234572</w:t>
      </w:r>
    </w:p>
    <w:p>
      <w:pPr>
        <w:spacing w:after="0" w:before="0" w:line="240" w:lineRule="auto"/>
        <w:ind w:left="57"/>
        <w:jc w:val="left"/>
        <w:shd w:val="clear" w:fill="F2F2F2"/>
      </w:pPr>
      <w:r>
        <w:rPr>
          <w:rFonts w:ascii="Consolas" w:hAnsi="Consolas" w:cs="Consolas"/>
          <w:b w:val="0"/>
          <w:i w:val="0"/>
          <w:sz w:val="15"/>
        </w:rPr>
        <w:t>eBL: Issued    Payment: $12,000 (Credit)    Status: ARRIVED</w:t>
      </w:r>
    </w:p>
    <w:p>
      <w:pPr>
        <w:spacing w:after="0" w:before="0" w:line="240" w:lineRule="auto"/>
        <w:ind w:left="57"/>
        <w:jc w:val="left"/>
        <w:shd w:val="clear" w:fill="F2F2F2"/>
      </w:pPr>
      <w:r>
        <w:rPr>
          <w:rFonts w:ascii="Consolas" w:hAnsi="Consolas" w:cs="Consolas"/>
          <w:b w:val="0"/>
          <w:i w:val="0"/>
          <w:sz w:val="15"/>
        </w:rPr>
        <w:t>[Confirm Delivery] [View eBL] [View TCC]</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3.2 Booking Confirmation. Example:</w:t>
      </w:r>
    </w:p>
    <w:p>
      <w:pPr>
        <w:spacing w:after="0" w:before="0" w:line="240" w:lineRule="auto"/>
        <w:ind w:left="57"/>
        <w:jc w:val="left"/>
        <w:shd w:val="clear" w:fill="F2F2F2"/>
      </w:pPr>
      <w:r>
        <w:rPr>
          <w:rFonts w:ascii="Consolas" w:hAnsi="Consolas" w:cs="Consolas"/>
          <w:b w:val="0"/>
          <w:i w:val="0"/>
          <w:sz w:val="15"/>
        </w:rPr>
        <w:t>CONFIRM BOOKING — USTN SGTX-EG-001</w:t>
      </w:r>
    </w:p>
    <w:p>
      <w:pPr>
        <w:spacing w:after="0" w:before="0" w:line="240" w:lineRule="auto"/>
        <w:ind w:left="57"/>
        <w:jc w:val="left"/>
        <w:shd w:val="clear" w:fill="F2F2F2"/>
      </w:pPr>
      <w:r>
        <w:rPr>
          <w:rFonts w:ascii="Consolas" w:hAnsi="Consolas" w:cs="Consolas"/>
          <w:b w:val="0"/>
          <w:i w:val="0"/>
          <w:sz w:val="15"/>
        </w:rPr>
        <w:t>Seller: Mekong Fresh Co.    Route: Damietta → Hamburg</w:t>
      </w:r>
    </w:p>
    <w:p>
      <w:pPr>
        <w:spacing w:after="0" w:before="0" w:line="240" w:lineRule="auto"/>
        <w:ind w:left="57"/>
        <w:jc w:val="left"/>
        <w:shd w:val="clear" w:fill="F2F2F2"/>
      </w:pPr>
      <w:r>
        <w:rPr>
          <w:rFonts w:ascii="Consolas" w:hAnsi="Consolas" w:cs="Consolas"/>
          <w:b w:val="0"/>
          <w:i w:val="0"/>
          <w:sz w:val="15"/>
        </w:rPr>
        <w:t>Container: 2 × 40ft Reefer</w:t>
      </w:r>
    </w:p>
    <w:p>
      <w:pPr>
        <w:spacing w:after="0" w:before="0" w:line="240" w:lineRule="auto"/>
        <w:ind w:left="57"/>
        <w:jc w:val="left"/>
        <w:shd w:val="clear" w:fill="F2F2F2"/>
      </w:pPr>
      <w:r>
        <w:rPr>
          <w:rFonts w:ascii="Consolas" w:hAnsi="Consolas" w:cs="Consolas"/>
          <w:b w:val="0"/>
          <w:i w:val="0"/>
          <w:sz w:val="15"/>
        </w:rPr>
        <w:t>Vessel: MSC FIONA (MSF123E)</w:t>
      </w:r>
    </w:p>
    <w:p>
      <w:pPr>
        <w:spacing w:after="0" w:before="0" w:line="240" w:lineRule="auto"/>
        <w:ind w:left="57"/>
        <w:jc w:val="left"/>
        <w:shd w:val="clear" w:fill="F2F2F2"/>
      </w:pPr>
      <w:r>
        <w:rPr>
          <w:rFonts w:ascii="Consolas" w:hAnsi="Consolas" w:cs="Consolas"/>
          <w:b w:val="0"/>
          <w:i w:val="0"/>
          <w:sz w:val="15"/>
        </w:rPr>
        <w:t>ETD: 20 Jun 2026 08:00      ETA: 05 Jul 2026 14:00</w:t>
      </w:r>
    </w:p>
    <w:p>
      <w:pPr>
        <w:spacing w:after="0" w:before="0" w:line="240" w:lineRule="auto"/>
        <w:ind w:left="57"/>
        <w:jc w:val="left"/>
        <w:shd w:val="clear" w:fill="F2F2F2"/>
      </w:pPr>
      <w:r>
        <w:rPr>
          <w:rFonts w:ascii="Consolas" w:hAnsi="Consolas" w:cs="Consolas"/>
          <w:b w:val="0"/>
          <w:i w:val="0"/>
          <w:sz w:val="15"/>
        </w:rPr>
        <w:t>Booking Reference: MAEU876543210</w:t>
      </w:r>
    </w:p>
    <w:p>
      <w:pPr>
        <w:spacing w:after="0" w:before="0" w:line="240" w:lineRule="auto"/>
        <w:ind w:left="57"/>
        <w:jc w:val="left"/>
        <w:shd w:val="clear" w:fill="F2F2F2"/>
      </w:pPr>
      <w:r>
        <w:rPr>
          <w:rFonts w:ascii="Consolas" w:hAnsi="Consolas" w:cs="Consolas"/>
          <w:b w:val="0"/>
          <w:i w:val="0"/>
          <w:sz w:val="15"/>
        </w:rPr>
        <w:t>[Confirm Booking] [Cancel]</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3.3 eBL Issuance. Example:</w:t>
      </w:r>
    </w:p>
    <w:p>
      <w:pPr>
        <w:spacing w:after="0" w:before="0" w:line="240" w:lineRule="auto"/>
        <w:ind w:left="57"/>
        <w:jc w:val="left"/>
        <w:shd w:val="clear" w:fill="F2F2F2"/>
      </w:pPr>
      <w:r>
        <w:rPr>
          <w:rFonts w:ascii="Consolas" w:hAnsi="Consolas" w:cs="Consolas"/>
          <w:b w:val="0"/>
          <w:i w:val="0"/>
          <w:sz w:val="15"/>
        </w:rPr>
        <w:t>eBL MANAGEMENT — USTN SGTX-EG-001</w:t>
      </w:r>
    </w:p>
    <w:p>
      <w:pPr>
        <w:spacing w:after="0" w:before="0" w:line="240" w:lineRule="auto"/>
        <w:ind w:left="57"/>
        <w:jc w:val="left"/>
        <w:shd w:val="clear" w:fill="F2F2F2"/>
      </w:pPr>
      <w:r>
        <w:rPr>
          <w:rFonts w:ascii="Consolas" w:hAnsi="Consolas" w:cs="Consolas"/>
          <w:b w:val="0"/>
          <w:i w:val="0"/>
          <w:sz w:val="15"/>
        </w:rPr>
        <w:t>Vessel: MSC FIONA (MSF123E)   Voyage: Damietta → Hamburg</w:t>
      </w:r>
    </w:p>
    <w:p>
      <w:pPr>
        <w:spacing w:after="0" w:before="0" w:line="240" w:lineRule="auto"/>
        <w:ind w:left="57"/>
        <w:jc w:val="left"/>
        <w:shd w:val="clear" w:fill="F2F2F2"/>
      </w:pPr>
      <w:r>
        <w:rPr>
          <w:rFonts w:ascii="Consolas" w:hAnsi="Consolas" w:cs="Consolas"/>
          <w:b w:val="0"/>
          <w:i w:val="0"/>
          <w:sz w:val="15"/>
        </w:rPr>
        <w:t>ETD: 20 Jun 2026 08:00        eBL Status: Pending</w:t>
      </w:r>
    </w:p>
    <w:p>
      <w:pPr>
        <w:spacing w:after="0" w:before="0" w:line="240" w:lineRule="auto"/>
        <w:ind w:left="57"/>
        <w:jc w:val="left"/>
        <w:shd w:val="clear" w:fill="F2F2F2"/>
      </w:pPr>
      <w:r>
        <w:rPr>
          <w:rFonts w:ascii="Consolas" w:hAnsi="Consolas" w:cs="Consolas"/>
          <w:b w:val="0"/>
          <w:i w:val="0"/>
          <w:sz w:val="15"/>
        </w:rPr>
        <w:t>eBL Data (auto-populated):</w:t>
      </w:r>
    </w:p>
    <w:p>
      <w:pPr>
        <w:spacing w:after="0" w:before="0" w:line="240" w:lineRule="auto"/>
        <w:ind w:left="57"/>
        <w:jc w:val="left"/>
        <w:shd w:val="clear" w:fill="F2F2F2"/>
      </w:pPr>
      <w:r>
        <w:rPr>
          <w:rFonts w:ascii="Consolas" w:hAnsi="Consolas" w:cs="Consolas"/>
          <w:b w:val="0"/>
          <w:i w:val="0"/>
          <w:sz w:val="15"/>
        </w:rPr>
        <w:t xml:space="preserve">  Shipper:        Mekong Fresh Co. (SGTX-VN-TRD-002139-7F3A)</w:t>
      </w:r>
    </w:p>
    <w:p>
      <w:pPr>
        <w:spacing w:after="0" w:before="0" w:line="240" w:lineRule="auto"/>
        <w:ind w:left="57"/>
        <w:jc w:val="left"/>
        <w:shd w:val="clear" w:fill="F2F2F2"/>
      </w:pPr>
      <w:r>
        <w:rPr>
          <w:rFonts w:ascii="Consolas" w:hAnsi="Consolas" w:cs="Consolas"/>
          <w:b w:val="0"/>
          <w:i w:val="0"/>
          <w:sz w:val="15"/>
        </w:rPr>
        <w:t xml:space="preserve">  Consignee:      Nile Foods (SGTX-EG-TRD-001234-5B6C)</w:t>
      </w:r>
    </w:p>
    <w:p>
      <w:pPr>
        <w:spacing w:after="0" w:before="0" w:line="240" w:lineRule="auto"/>
        <w:ind w:left="57"/>
        <w:jc w:val="left"/>
        <w:shd w:val="clear" w:fill="F2F2F2"/>
      </w:pPr>
      <w:r>
        <w:rPr>
          <w:rFonts w:ascii="Consolas" w:hAnsi="Consolas" w:cs="Consolas"/>
          <w:b w:val="0"/>
          <w:i w:val="0"/>
          <w:sz w:val="15"/>
        </w:rPr>
        <w:t xml:space="preserve">  Vessel:         MSC FIONA    Voyage: MSF123E</w:t>
      </w:r>
    </w:p>
    <w:p>
      <w:pPr>
        <w:spacing w:after="0" w:before="0" w:line="240" w:lineRule="auto"/>
        <w:ind w:left="57"/>
        <w:jc w:val="left"/>
        <w:shd w:val="clear" w:fill="F2F2F2"/>
      </w:pPr>
      <w:r>
        <w:rPr>
          <w:rFonts w:ascii="Consolas" w:hAnsi="Consolas" w:cs="Consolas"/>
          <w:b w:val="0"/>
          <w:i w:val="0"/>
          <w:sz w:val="15"/>
        </w:rPr>
        <w:t xml:space="preserve">  Port of Loading:    Damietta</w:t>
      </w:r>
    </w:p>
    <w:p>
      <w:pPr>
        <w:spacing w:after="0" w:before="0" w:line="240" w:lineRule="auto"/>
        <w:ind w:left="57"/>
        <w:jc w:val="left"/>
        <w:shd w:val="clear" w:fill="F2F2F2"/>
      </w:pPr>
      <w:r>
        <w:rPr>
          <w:rFonts w:ascii="Consolas" w:hAnsi="Consolas" w:cs="Consolas"/>
          <w:b w:val="0"/>
          <w:i w:val="0"/>
          <w:sz w:val="15"/>
        </w:rPr>
        <w:t xml:space="preserve">  Port of Discharge:  Hamburg</w:t>
      </w:r>
    </w:p>
    <w:p>
      <w:pPr>
        <w:spacing w:after="0" w:before="0" w:line="240" w:lineRule="auto"/>
        <w:ind w:left="57"/>
        <w:jc w:val="left"/>
        <w:shd w:val="clear" w:fill="F2F2F2"/>
      </w:pPr>
      <w:r>
        <w:rPr>
          <w:rFonts w:ascii="Consolas" w:hAnsi="Consolas" w:cs="Consolas"/>
          <w:b w:val="0"/>
          <w:i w:val="0"/>
          <w:sz w:val="15"/>
        </w:rPr>
        <w:t xml:space="preserve">  Container:      MEDU1234567, MEDU1234568</w:t>
      </w:r>
    </w:p>
    <w:p>
      <w:pPr>
        <w:spacing w:after="0" w:before="0" w:line="240" w:lineRule="auto"/>
        <w:ind w:left="57"/>
        <w:jc w:val="left"/>
        <w:shd w:val="clear" w:fill="F2F2F2"/>
      </w:pPr>
      <w:r>
        <w:rPr>
          <w:rFonts w:ascii="Consolas" w:hAnsi="Consolas" w:cs="Consolas"/>
          <w:b w:val="0"/>
          <w:i w:val="0"/>
          <w:sz w:val="15"/>
        </w:rPr>
        <w:t xml:space="preserve">  Goods:          Frozen strawberries, 20,000 kg</w:t>
      </w:r>
    </w:p>
    <w:p>
      <w:pPr>
        <w:spacing w:after="0" w:before="0" w:line="240" w:lineRule="auto"/>
        <w:ind w:left="57"/>
        <w:jc w:val="left"/>
        <w:shd w:val="clear" w:fill="F2F2F2"/>
      </w:pPr>
      <w:r>
        <w:rPr>
          <w:rFonts w:ascii="Consolas" w:hAnsi="Consolas" w:cs="Consolas"/>
          <w:b w:val="0"/>
          <w:i w:val="0"/>
          <w:sz w:val="15"/>
        </w:rPr>
        <w:t>[Issue eBL] [Download PDF] [Cancel]</w:t>
      </w:r>
    </w:p>
    <w:p>
      <w:pPr>
        <w:spacing w:after="0" w:before="0" w:line="240" w:lineRule="auto"/>
        <w:ind w:left="57"/>
        <w:jc w:val="left"/>
        <w:shd w:val="clear" w:fill="F2F2F2"/>
      </w:pPr>
      <w:r>
        <w:rPr>
          <w:rFonts w:ascii="Consolas" w:hAnsi="Consolas" w:cs="Consolas"/>
          <w:b w:val="0"/>
          <w:i w:val="0"/>
          <w:sz w:val="15"/>
        </w:rPr>
        <w:t>eBL will be signed with ZITADEL passkey (fingerprint/face).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3.4 Milestone Updates. Example:</w:t>
      </w:r>
    </w:p>
    <w:p>
      <w:pPr>
        <w:spacing w:after="0" w:before="0" w:line="240" w:lineRule="auto"/>
        <w:ind w:left="57"/>
        <w:jc w:val="left"/>
        <w:shd w:val="clear" w:fill="F2F2F2"/>
      </w:pPr>
      <w:r>
        <w:rPr>
          <w:rFonts w:ascii="Consolas" w:hAnsi="Consolas" w:cs="Consolas"/>
          <w:b w:val="0"/>
          <w:i w:val="0"/>
          <w:sz w:val="15"/>
        </w:rPr>
        <w:t>UPDATE MILESTONE — USTN SGTX-EG-001</w:t>
      </w:r>
    </w:p>
    <w:p>
      <w:pPr>
        <w:spacing w:after="0" w:before="0" w:line="240" w:lineRule="auto"/>
        <w:ind w:left="57"/>
        <w:jc w:val="left"/>
        <w:shd w:val="clear" w:fill="F2F2F2"/>
      </w:pPr>
      <w:r>
        <w:rPr>
          <w:rFonts w:ascii="Consolas" w:hAnsi="Consolas" w:cs="Consolas"/>
          <w:b w:val="0"/>
          <w:i w:val="0"/>
          <w:sz w:val="15"/>
        </w:rPr>
        <w:t>Vessel: MSC FIONA (MSF123E)    Current Status: BOOKED</w:t>
      </w:r>
    </w:p>
    <w:p>
      <w:pPr>
        <w:spacing w:after="0" w:before="0" w:line="240" w:lineRule="auto"/>
        <w:ind w:left="57"/>
        <w:jc w:val="left"/>
        <w:shd w:val="clear" w:fill="F2F2F2"/>
      </w:pPr>
      <w:r>
        <w:rPr>
          <w:rFonts w:ascii="Consolas" w:hAnsi="Consolas" w:cs="Consolas"/>
          <w:b w:val="0"/>
          <w:i w:val="0"/>
          <w:sz w:val="15"/>
        </w:rPr>
        <w:t>Select Milestone:</w:t>
      </w:r>
    </w:p>
    <w:p>
      <w:pPr>
        <w:spacing w:after="0" w:before="0" w:line="240" w:lineRule="auto"/>
        <w:ind w:left="57"/>
        <w:jc w:val="left"/>
        <w:shd w:val="clear" w:fill="F2F2F2"/>
      </w:pPr>
      <w:r>
        <w:rPr>
          <w:rFonts w:ascii="Consolas" w:hAnsi="Consolas" w:cs="Consolas"/>
          <w:b w:val="0"/>
          <w:i w:val="0"/>
          <w:sz w:val="15"/>
        </w:rPr>
        <w:t xml:space="preserve">  (•) DEPARTED — Vessel has departed</w:t>
      </w:r>
    </w:p>
    <w:p>
      <w:pPr>
        <w:spacing w:after="0" w:before="0" w:line="240" w:lineRule="auto"/>
        <w:ind w:left="57"/>
        <w:jc w:val="left"/>
        <w:shd w:val="clear" w:fill="F2F2F2"/>
      </w:pPr>
      <w:r>
        <w:rPr>
          <w:rFonts w:ascii="Consolas" w:hAnsi="Consolas" w:cs="Consolas"/>
          <w:b w:val="0"/>
          <w:i w:val="0"/>
          <w:sz w:val="15"/>
        </w:rPr>
        <w:t xml:space="preserve">  ( ) ARRIVED  — Vessel has arrived at destination</w:t>
      </w:r>
    </w:p>
    <w:p>
      <w:pPr>
        <w:spacing w:after="0" w:before="0" w:line="240" w:lineRule="auto"/>
        <w:ind w:left="57"/>
        <w:jc w:val="left"/>
        <w:shd w:val="clear" w:fill="F2F2F2"/>
      </w:pPr>
      <w:r>
        <w:rPr>
          <w:rFonts w:ascii="Consolas" w:hAnsi="Consolas" w:cs="Consolas"/>
          <w:b w:val="0"/>
          <w:i w:val="0"/>
          <w:sz w:val="15"/>
        </w:rPr>
        <w:t>Actual Departure: [20 Jun 2026 09:30]</w:t>
      </w:r>
    </w:p>
    <w:p>
      <w:pPr>
        <w:spacing w:after="0" w:before="0" w:line="240" w:lineRule="auto"/>
        <w:ind w:left="57"/>
        <w:jc w:val="left"/>
        <w:shd w:val="clear" w:fill="F2F2F2"/>
      </w:pPr>
      <w:r>
        <w:rPr>
          <w:rFonts w:ascii="Consolas" w:hAnsi="Consolas" w:cs="Consolas"/>
          <w:b w:val="0"/>
          <w:i w:val="0"/>
          <w:sz w:val="15"/>
        </w:rPr>
        <w:t>[Confirm DEPARTED] [Cancel]</w:t>
      </w:r>
    </w:p>
    <w:p>
      <w:pPr>
        <w:spacing w:after="0" w:before="0" w:line="240" w:lineRule="auto"/>
        <w:ind w:left="57"/>
        <w:jc w:val="left"/>
        <w:shd w:val="clear" w:fill="F2F2F2"/>
      </w:pPr>
      <w:r>
        <w:rPr>
          <w:rFonts w:ascii="Consolas" w:hAnsi="Consolas" w:cs="Consolas"/>
          <w:b w:val="0"/>
          <w:i w:val="0"/>
          <w:sz w:val="15"/>
        </w:rPr>
        <w:t>Voice: "Depart MSC FIONA for USTN SGTX-EG-001"</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3.5 Container Release Acknowledgment. Uses the same release-token pattern as the LSP Portal (Section 16.11, Tab 3): a release token with 72-hour validity that must be acknowledged before the container is loaded — see the worked release-token example there.</w:t>
      </w:r>
    </w:p>
    <w:p>
      <w:pPr>
        <w:spacing w:after="80" w:line="293" w:lineRule="auto"/>
        <w:jc w:val="left"/>
      </w:pPr>
      <w:r>
        <w:rPr>
          <w:rFonts w:ascii="Times New Roman" w:hAnsi="Times New Roman" w:cs="Times New Roman"/>
          <w:b w:val="0"/>
          <w:i w:val="0"/>
          <w:sz w:val="22"/>
        </w:rPr>
        <w:t>Note: for multi-shipment contracts, each shipment has a separate USTN and separate booking. The master contract remains active; SHIP may receive per-shipment booking requests.</w:t>
      </w:r>
    </w:p>
    <w:p>
      <w:pPr>
        <w:keepNext/>
        <w:spacing w:before="140" w:after="60"/>
        <w:outlineLvl w:val="3"/>
      </w:pPr>
      <w:r>
        <w:rPr>
          <w:rFonts w:ascii="Arial" w:hAnsi="Arial" w:cs="Arial"/>
          <w:b/>
          <w:i/>
          <w:color w:val="333333"/>
          <w:sz w:val="22"/>
        </w:rPr>
        <w:t>Tab 4: Vessel Schedule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interactive calendar showing vessel rotations for SHIP's fleet. SHIP can update ETD/ETA; changes propagate to all affected USTNs via Smart Inbox alerts (16.2).</w:t>
      </w:r>
    </w:p>
    <w:p>
      <w:pPr>
        <w:spacing w:after="80" w:line="293" w:lineRule="auto"/>
        <w:jc w:val="left"/>
      </w:pPr>
      <w:r>
        <w:rPr>
          <w:rFonts w:ascii="Times New Roman" w:hAnsi="Times New Roman" w:cs="Times New Roman"/>
          <w:b w:val="0"/>
          <w:i w:val="0"/>
          <w:sz w:val="22"/>
        </w:rPr>
        <w:t>Example vessel schedule:</w:t>
      </w:r>
    </w:p>
    <w:p>
      <w:pPr>
        <w:spacing w:after="0" w:before="0" w:line="240" w:lineRule="auto"/>
        <w:ind w:left="57"/>
        <w:jc w:val="left"/>
        <w:shd w:val="clear" w:fill="F2F2F2"/>
      </w:pPr>
      <w:r>
        <w:rPr>
          <w:rFonts w:ascii="Consolas" w:hAnsi="Consolas" w:cs="Consolas"/>
          <w:b w:val="0"/>
          <w:i w:val="0"/>
          <w:sz w:val="15"/>
        </w:rPr>
        <w:t>VESSEL SCHEDULE — June 2026</w:t>
      </w:r>
    </w:p>
    <w:p>
      <w:pPr>
        <w:spacing w:after="0" w:before="0" w:line="240" w:lineRule="auto"/>
        <w:ind w:left="57"/>
        <w:jc w:val="left"/>
        <w:shd w:val="clear" w:fill="F2F2F2"/>
      </w:pPr>
      <w:r>
        <w:rPr>
          <w:rFonts w:ascii="Consolas" w:hAnsi="Consolas" w:cs="Consolas"/>
          <w:b w:val="0"/>
          <w:i w:val="0"/>
          <w:sz w:val="15"/>
        </w:rPr>
        <w:t>[Month: Jun 2026 ▼] [Vessel: All ▼] [Port: All ▼] [Add Voyage]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MSC FIONA (MSF123E)</w:t>
      </w:r>
    </w:p>
    <w:p>
      <w:pPr>
        <w:spacing w:after="0" w:before="0" w:line="240" w:lineRule="auto"/>
        <w:ind w:left="57"/>
        <w:jc w:val="left"/>
        <w:shd w:val="clear" w:fill="F2F2F2"/>
      </w:pPr>
      <w:r>
        <w:rPr>
          <w:rFonts w:ascii="Consolas" w:hAnsi="Consolas" w:cs="Consolas"/>
          <w:b w:val="0"/>
          <w:i w:val="0"/>
          <w:sz w:val="15"/>
        </w:rPr>
        <w:t xml:space="preserve">  Route: Damietta → Hamburg → Rotterdam → Antwerp</w:t>
      </w:r>
    </w:p>
    <w:p>
      <w:pPr>
        <w:spacing w:after="0" w:before="0" w:line="240" w:lineRule="auto"/>
        <w:ind w:left="57"/>
        <w:jc w:val="left"/>
        <w:shd w:val="clear" w:fill="F2F2F2"/>
      </w:pPr>
      <w:r>
        <w:rPr>
          <w:rFonts w:ascii="Consolas" w:hAnsi="Consolas" w:cs="Consolas"/>
          <w:b w:val="0"/>
          <w:i w:val="0"/>
          <w:sz w:val="15"/>
        </w:rPr>
        <w:t xml:space="preserve">  ETD: 20 Jun 08:00</w:t>
      </w:r>
    </w:p>
    <w:p>
      <w:pPr>
        <w:spacing w:after="0" w:before="0" w:line="240" w:lineRule="auto"/>
        <w:ind w:left="57"/>
        <w:jc w:val="left"/>
        <w:shd w:val="clear" w:fill="F2F2F2"/>
      </w:pPr>
      <w:r>
        <w:rPr>
          <w:rFonts w:ascii="Consolas" w:hAnsi="Consolas" w:cs="Consolas"/>
          <w:b w:val="0"/>
          <w:i w:val="0"/>
          <w:sz w:val="15"/>
        </w:rPr>
        <w:t xml:space="preserve">  ETA Damietta:  20 Jun 08:00     ETA Hamburg:   05 Jul 14:00</w:t>
      </w:r>
    </w:p>
    <w:p>
      <w:pPr>
        <w:spacing w:after="0" w:before="0" w:line="240" w:lineRule="auto"/>
        <w:ind w:left="57"/>
        <w:jc w:val="left"/>
        <w:shd w:val="clear" w:fill="F2F2F2"/>
      </w:pPr>
      <w:r>
        <w:rPr>
          <w:rFonts w:ascii="Consolas" w:hAnsi="Consolas" w:cs="Consolas"/>
          <w:b w:val="0"/>
          <w:i w:val="0"/>
          <w:sz w:val="15"/>
        </w:rPr>
        <w:t xml:space="preserve">  ETA Rotterdam: 08 Jul 10:00     ETA Antwerp:   10 Jul 12:00</w:t>
      </w:r>
    </w:p>
    <w:p>
      <w:pPr>
        <w:spacing w:after="0" w:before="0" w:line="240" w:lineRule="auto"/>
        <w:ind w:left="57"/>
        <w:jc w:val="left"/>
        <w:shd w:val="clear" w:fill="F2F2F2"/>
      </w:pPr>
      <w:r>
        <w:rPr>
          <w:rFonts w:ascii="Consolas" w:hAnsi="Consolas" w:cs="Consolas"/>
          <w:b w:val="0"/>
          <w:i w:val="0"/>
          <w:sz w:val="15"/>
        </w:rPr>
        <w:t xml:space="preserve">  Status: On Schedule    Bookings: 3</w:t>
      </w:r>
    </w:p>
    <w:p>
      <w:pPr>
        <w:spacing w:after="0" w:before="0" w:line="240" w:lineRule="auto"/>
        <w:ind w:left="57"/>
        <w:jc w:val="left"/>
        <w:shd w:val="clear" w:fill="F2F2F2"/>
      </w:pPr>
      <w:r>
        <w:rPr>
          <w:rFonts w:ascii="Consolas" w:hAnsi="Consolas" w:cs="Consolas"/>
          <w:b w:val="0"/>
          <w:i w:val="0"/>
          <w:sz w:val="15"/>
        </w:rPr>
        <w:t xml:space="preserve">  [Edit Schedule] [View Bookings] [Track Vessel]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MSC ARIANE (MSA456F)</w:t>
      </w:r>
    </w:p>
    <w:p>
      <w:pPr>
        <w:spacing w:after="0" w:before="0" w:line="240" w:lineRule="auto"/>
        <w:ind w:left="57"/>
        <w:jc w:val="left"/>
        <w:shd w:val="clear" w:fill="F2F2F2"/>
      </w:pPr>
      <w:r>
        <w:rPr>
          <w:rFonts w:ascii="Consolas" w:hAnsi="Consolas" w:cs="Consolas"/>
          <w:b w:val="0"/>
          <w:i w:val="0"/>
          <w:sz w:val="15"/>
        </w:rPr>
        <w:t xml:space="preserve">  Route: Alexandria → Rotterdam → Hamburg</w:t>
      </w:r>
    </w:p>
    <w:p>
      <w:pPr>
        <w:spacing w:after="0" w:before="0" w:line="240" w:lineRule="auto"/>
        <w:ind w:left="57"/>
        <w:jc w:val="left"/>
        <w:shd w:val="clear" w:fill="F2F2F2"/>
      </w:pPr>
      <w:r>
        <w:rPr>
          <w:rFonts w:ascii="Consolas" w:hAnsi="Consolas" w:cs="Consolas"/>
          <w:b w:val="0"/>
          <w:i w:val="0"/>
          <w:sz w:val="15"/>
        </w:rPr>
        <w:t xml:space="preserve">  ETD: 25 Jun 10:00</w:t>
      </w:r>
    </w:p>
    <w:p>
      <w:pPr>
        <w:spacing w:after="0" w:before="0" w:line="240" w:lineRule="auto"/>
        <w:ind w:left="57"/>
        <w:jc w:val="left"/>
        <w:shd w:val="clear" w:fill="F2F2F2"/>
      </w:pPr>
      <w:r>
        <w:rPr>
          <w:rFonts w:ascii="Consolas" w:hAnsi="Consolas" w:cs="Consolas"/>
          <w:b w:val="0"/>
          <w:i w:val="0"/>
          <w:sz w:val="15"/>
        </w:rPr>
        <w:t xml:space="preserve">  ETA Alexandria: 25 Jun 10:00    ETA Rotterdam: 10 Jul 16:00</w:t>
      </w:r>
    </w:p>
    <w:p>
      <w:pPr>
        <w:spacing w:after="0" w:before="0" w:line="240" w:lineRule="auto"/>
        <w:ind w:left="57"/>
        <w:jc w:val="left"/>
        <w:shd w:val="clear" w:fill="F2F2F2"/>
      </w:pPr>
      <w:r>
        <w:rPr>
          <w:rFonts w:ascii="Consolas" w:hAnsi="Consolas" w:cs="Consolas"/>
          <w:b w:val="0"/>
          <w:i w:val="0"/>
          <w:sz w:val="15"/>
        </w:rPr>
        <w:t xml:space="preserve">  ETA Hamburg:    12 Jul 14:00</w:t>
      </w:r>
    </w:p>
    <w:p>
      <w:pPr>
        <w:spacing w:after="0" w:before="0" w:line="240" w:lineRule="auto"/>
        <w:ind w:left="57"/>
        <w:jc w:val="left"/>
        <w:shd w:val="clear" w:fill="F2F2F2"/>
      </w:pPr>
      <w:r>
        <w:rPr>
          <w:rFonts w:ascii="Consolas" w:hAnsi="Consolas" w:cs="Consolas"/>
          <w:b w:val="0"/>
          <w:i w:val="0"/>
          <w:sz w:val="15"/>
        </w:rPr>
        <w:t xml:space="preserve">  Status: On Schedule    Bookings: 1</w:t>
      </w:r>
    </w:p>
    <w:p>
      <w:pPr>
        <w:spacing w:after="0" w:before="0" w:line="240" w:lineRule="auto"/>
        <w:ind w:left="57"/>
        <w:jc w:val="left"/>
        <w:shd w:val="clear" w:fill="F2F2F2"/>
      </w:pPr>
      <w:r>
        <w:rPr>
          <w:rFonts w:ascii="Consolas" w:hAnsi="Consolas" w:cs="Consolas"/>
          <w:b w:val="0"/>
          <w:i w:val="0"/>
          <w:sz w:val="15"/>
        </w:rPr>
        <w:t xml:space="preserve">  [Edit Schedule] [View Bookings] [Track Vessel]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Port Congestion Alert (A2): Rotterdam port congestion detected.</w:t>
      </w:r>
    </w:p>
    <w:p>
      <w:pPr>
        <w:spacing w:after="0" w:before="0" w:line="240" w:lineRule="auto"/>
        <w:ind w:left="57"/>
        <w:jc w:val="left"/>
        <w:shd w:val="clear" w:fill="F2F2F2"/>
      </w:pPr>
      <w:r>
        <w:rPr>
          <w:rFonts w:ascii="Consolas" w:hAnsi="Consolas" w:cs="Consolas"/>
          <w:b w:val="0"/>
          <w:i w:val="0"/>
          <w:sz w:val="15"/>
        </w:rPr>
        <w:t>Recommended: buffer +2 days to schedule. [View Details]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Edit schedule: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Port</w:t>
            </w:r>
          </w:p>
        </w:tc>
        <w:tc>
          <w:tcPr>
            <w:tcW w:type="dxa" w:w="2409"/>
            <w:shd w:val="clear" w:fill="D9E2F3"/>
          </w:tcPr>
          <w:p>
            <w:pPr>
              <w:spacing w:after="20" w:before="20" w:line="240" w:lineRule="auto"/>
            </w:pPr>
            <w:r/>
            <w:r>
              <w:rPr>
                <w:rFonts w:ascii="Arial" w:hAnsi="Arial" w:cs="Arial"/>
                <w:b/>
                <w:i w:val="0"/>
                <w:sz w:val="18"/>
              </w:rPr>
              <w:t>Arrival (ETA)</w:t>
            </w:r>
          </w:p>
        </w:tc>
        <w:tc>
          <w:tcPr>
            <w:tcW w:type="dxa" w:w="2409"/>
            <w:shd w:val="clear" w:fill="D9E2F3"/>
          </w:tcPr>
          <w:p>
            <w:pPr>
              <w:spacing w:after="20" w:before="20" w:line="240" w:lineRule="auto"/>
            </w:pPr>
            <w:r/>
            <w:r>
              <w:rPr>
                <w:rFonts w:ascii="Arial" w:hAnsi="Arial" w:cs="Arial"/>
                <w:b/>
                <w:i w:val="0"/>
                <w:sz w:val="18"/>
              </w:rPr>
              <w:t>Departure (ETD)</w:t>
            </w:r>
          </w:p>
        </w:tc>
        <w:tc>
          <w:tcPr>
            <w:tcW w:type="dxa" w:w="2409"/>
            <w:shd w:val="clear" w:fill="D9E2F3"/>
          </w:tcPr>
          <w:p>
            <w:pPr>
              <w:spacing w:after="20" w:before="20" w:line="240" w:lineRule="auto"/>
            </w:pPr>
            <w:r/>
            <w:r>
              <w:rPr>
                <w:rFonts w:ascii="Arial" w:hAnsi="Arial" w:cs="Arial"/>
                <w:b/>
                <w:i w:val="0"/>
                <w:sz w:val="18"/>
              </w:rPr>
              <w:t>Actions</w:t>
            </w:r>
          </w:p>
        </w:tc>
      </w:tr>
      <w:tr>
        <w:tc>
          <w:tcPr>
            <w:tcW w:type="dxa" w:w="2409"/>
          </w:tcPr>
          <w:p>
            <w:pPr>
              <w:spacing w:after="20" w:before="20" w:line="240" w:lineRule="auto"/>
            </w:pPr>
            <w:r/>
            <w:r>
              <w:rPr>
                <w:rFonts w:ascii="Arial" w:hAnsi="Arial" w:cs="Arial"/>
                <w:b w:val="0"/>
                <w:i w:val="0"/>
                <w:sz w:val="17"/>
              </w:rPr>
              <w:t>Damietta</w:t>
            </w:r>
          </w:p>
        </w:tc>
        <w:tc>
          <w:tcPr>
            <w:tcW w:type="dxa" w:w="2409"/>
          </w:tcPr>
          <w:p>
            <w:pPr>
              <w:spacing w:after="20" w:before="20" w:line="240" w:lineRule="auto"/>
            </w:pPr>
            <w:r/>
            <w:r>
              <w:rPr>
                <w:rFonts w:ascii="Arial" w:hAnsi="Arial" w:cs="Arial"/>
                <w:b w:val="0"/>
                <w:i w:val="0"/>
                <w:sz w:val="17"/>
              </w:rPr>
              <w:t>20 Jun 08:00</w:t>
            </w:r>
          </w:p>
        </w:tc>
        <w:tc>
          <w:tcPr>
            <w:tcW w:type="dxa" w:w="2409"/>
          </w:tcPr>
          <w:p>
            <w:pPr>
              <w:spacing w:after="20" w:before="20" w:line="240" w:lineRule="auto"/>
            </w:pPr>
            <w:r/>
            <w:r>
              <w:rPr>
                <w:rFonts w:ascii="Arial" w:hAnsi="Arial" w:cs="Arial"/>
                <w:b w:val="0"/>
                <w:i w:val="0"/>
                <w:sz w:val="17"/>
              </w:rPr>
              <w:t>20 Jun 12:00</w:t>
            </w:r>
          </w:p>
        </w:tc>
        <w:tc>
          <w:tcPr>
            <w:tcW w:type="dxa" w:w="2409"/>
          </w:tcPr>
          <w:p>
            <w:pPr>
              <w:spacing w:after="20" w:before="20" w:line="240" w:lineRule="auto"/>
            </w:pPr>
            <w:r/>
            <w:r>
              <w:rPr>
                <w:rFonts w:ascii="Arial" w:hAnsi="Arial" w:cs="Arial"/>
                <w:b w:val="0"/>
                <w:i w:val="0"/>
                <w:sz w:val="17"/>
              </w:rPr>
              <w:t>[Edit]</w:t>
            </w:r>
          </w:p>
        </w:tc>
      </w:tr>
      <w:tr>
        <w:tc>
          <w:tcPr>
            <w:tcW w:type="dxa" w:w="2409"/>
          </w:tcPr>
          <w:p>
            <w:pPr>
              <w:spacing w:after="20" w:before="20" w:line="240" w:lineRule="auto"/>
            </w:pPr>
            <w:r/>
            <w:r>
              <w:rPr>
                <w:rFonts w:ascii="Arial" w:hAnsi="Arial" w:cs="Arial"/>
                <w:b w:val="0"/>
                <w:i w:val="0"/>
                <w:sz w:val="17"/>
              </w:rPr>
              <w:t>Hamburg</w:t>
            </w:r>
          </w:p>
        </w:tc>
        <w:tc>
          <w:tcPr>
            <w:tcW w:type="dxa" w:w="2409"/>
          </w:tcPr>
          <w:p>
            <w:pPr>
              <w:spacing w:after="20" w:before="20" w:line="240" w:lineRule="auto"/>
            </w:pPr>
            <w:r/>
            <w:r>
              <w:rPr>
                <w:rFonts w:ascii="Arial" w:hAnsi="Arial" w:cs="Arial"/>
                <w:b w:val="0"/>
                <w:i w:val="0"/>
                <w:sz w:val="17"/>
              </w:rPr>
              <w:t>05 Jul 14:00</w:t>
            </w:r>
          </w:p>
        </w:tc>
        <w:tc>
          <w:tcPr>
            <w:tcW w:type="dxa" w:w="2409"/>
          </w:tcPr>
          <w:p>
            <w:pPr>
              <w:spacing w:after="20" w:before="20" w:line="240" w:lineRule="auto"/>
            </w:pPr>
            <w:r/>
            <w:r>
              <w:rPr>
                <w:rFonts w:ascii="Arial" w:hAnsi="Arial" w:cs="Arial"/>
                <w:b w:val="0"/>
                <w:i w:val="0"/>
                <w:sz w:val="17"/>
              </w:rPr>
              <w:t>06 Jul 08:00</w:t>
            </w:r>
          </w:p>
        </w:tc>
        <w:tc>
          <w:tcPr>
            <w:tcW w:type="dxa" w:w="2409"/>
          </w:tcPr>
          <w:p>
            <w:pPr>
              <w:spacing w:after="20" w:before="20" w:line="240" w:lineRule="auto"/>
            </w:pPr>
            <w:r/>
            <w:r>
              <w:rPr>
                <w:rFonts w:ascii="Arial" w:hAnsi="Arial" w:cs="Arial"/>
                <w:b w:val="0"/>
                <w:i w:val="0"/>
                <w:sz w:val="17"/>
              </w:rPr>
              <w:t>[Edit]</w:t>
            </w:r>
          </w:p>
        </w:tc>
      </w:tr>
      <w:tr>
        <w:tc>
          <w:tcPr>
            <w:tcW w:type="dxa" w:w="2409"/>
          </w:tcPr>
          <w:p>
            <w:pPr>
              <w:spacing w:after="20" w:before="20" w:line="240" w:lineRule="auto"/>
            </w:pPr>
            <w:r/>
            <w:r>
              <w:rPr>
                <w:rFonts w:ascii="Arial" w:hAnsi="Arial" w:cs="Arial"/>
                <w:b w:val="0"/>
                <w:i w:val="0"/>
                <w:sz w:val="17"/>
              </w:rPr>
              <w:t>Rotterdam</w:t>
            </w:r>
          </w:p>
        </w:tc>
        <w:tc>
          <w:tcPr>
            <w:tcW w:type="dxa" w:w="2409"/>
          </w:tcPr>
          <w:p>
            <w:pPr>
              <w:spacing w:after="20" w:before="20" w:line="240" w:lineRule="auto"/>
            </w:pPr>
            <w:r/>
            <w:r>
              <w:rPr>
                <w:rFonts w:ascii="Arial" w:hAnsi="Arial" w:cs="Arial"/>
                <w:b w:val="0"/>
                <w:i w:val="0"/>
                <w:sz w:val="17"/>
              </w:rPr>
              <w:t>08 Jul 10:00</w:t>
            </w:r>
          </w:p>
        </w:tc>
        <w:tc>
          <w:tcPr>
            <w:tcW w:type="dxa" w:w="2409"/>
          </w:tcPr>
          <w:p>
            <w:pPr>
              <w:spacing w:after="20" w:before="20" w:line="240" w:lineRule="auto"/>
            </w:pPr>
            <w:r/>
            <w:r>
              <w:rPr>
                <w:rFonts w:ascii="Arial" w:hAnsi="Arial" w:cs="Arial"/>
                <w:b w:val="0"/>
                <w:i w:val="0"/>
                <w:sz w:val="17"/>
              </w:rPr>
              <w:t>09 Jul 06:00</w:t>
            </w:r>
          </w:p>
        </w:tc>
        <w:tc>
          <w:tcPr>
            <w:tcW w:type="dxa" w:w="2409"/>
          </w:tcPr>
          <w:p>
            <w:pPr>
              <w:spacing w:after="20" w:before="20" w:line="240" w:lineRule="auto"/>
            </w:pPr>
            <w:r/>
            <w:r>
              <w:rPr>
                <w:rFonts w:ascii="Arial" w:hAnsi="Arial" w:cs="Arial"/>
                <w:b w:val="0"/>
                <w:i w:val="0"/>
                <w:sz w:val="17"/>
              </w:rPr>
              <w:t>[Edit]</w:t>
            </w:r>
          </w:p>
        </w:tc>
      </w:tr>
      <w:tr>
        <w:tc>
          <w:tcPr>
            <w:tcW w:type="dxa" w:w="2409"/>
          </w:tcPr>
          <w:p>
            <w:pPr>
              <w:spacing w:after="20" w:before="20" w:line="240" w:lineRule="auto"/>
            </w:pPr>
            <w:r/>
            <w:r>
              <w:rPr>
                <w:rFonts w:ascii="Arial" w:hAnsi="Arial" w:cs="Arial"/>
                <w:b w:val="0"/>
                <w:i w:val="0"/>
                <w:sz w:val="17"/>
              </w:rPr>
              <w:t>Antwerp</w:t>
            </w:r>
          </w:p>
        </w:tc>
        <w:tc>
          <w:tcPr>
            <w:tcW w:type="dxa" w:w="2409"/>
          </w:tcPr>
          <w:p>
            <w:pPr>
              <w:spacing w:after="20" w:before="20" w:line="240" w:lineRule="auto"/>
            </w:pPr>
            <w:r/>
            <w:r>
              <w:rPr>
                <w:rFonts w:ascii="Arial" w:hAnsi="Arial" w:cs="Arial"/>
                <w:b w:val="0"/>
                <w:i w:val="0"/>
                <w:sz w:val="17"/>
              </w:rPr>
              <w:t>10 Jul 12:00</w:t>
            </w:r>
          </w:p>
        </w:tc>
        <w:tc>
          <w:tcPr>
            <w:tcW w:type="dxa" w:w="2409"/>
          </w:tcPr>
          <w:p>
            <w:pPr>
              <w:spacing w:after="20" w:before="20" w:line="240" w:lineRule="auto"/>
            </w:pPr>
            <w:r/>
            <w:r>
              <w:rPr>
                <w:rFonts w:ascii="Arial" w:hAnsi="Arial" w:cs="Arial"/>
                <w:b w:val="0"/>
                <w:i w:val="0"/>
                <w:sz w:val="17"/>
              </w:rPr>
              <w:t>11 Jul 10:00</w:t>
            </w:r>
          </w:p>
        </w:tc>
        <w:tc>
          <w:tcPr>
            <w:tcW w:type="dxa" w:w="2409"/>
          </w:tcPr>
          <w:p>
            <w:pPr>
              <w:spacing w:after="20" w:before="20" w:line="240" w:lineRule="auto"/>
            </w:pPr>
            <w:r/>
            <w:r>
              <w:rPr>
                <w:rFonts w:ascii="Arial" w:hAnsi="Arial" w:cs="Arial"/>
                <w:b w:val="0"/>
                <w:i w:val="0"/>
                <w:sz w:val="17"/>
              </w:rPr>
              <w:t>[Edit]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[Save Changes] [Cancel] — changing ETD/ETA triggers Smart Inbox alerts to all affected USTNs.</w:t>
      </w:r>
    </w:p>
    <w:p>
      <w:pPr>
        <w:keepNext/>
        <w:spacing w:before="140" w:after="60"/>
        <w:outlineLvl w:val="3"/>
      </w:pPr>
      <w:r>
        <w:rPr>
          <w:rFonts w:ascii="Arial" w:hAnsi="Arial" w:cs="Arial"/>
          <w:b/>
          <w:i/>
          <w:color w:val="333333"/>
          <w:sz w:val="22"/>
        </w:rPr>
        <w:t>Tab 5: Freight Invoices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push freight invoices (credit or mandatory) to sellers. Invoices are added to the Stage 2 payment plan (Section 8). After payment (if mandatory), container release is confirmed (Section 12).</w:t>
      </w:r>
    </w:p>
    <w:p>
      <w:pPr>
        <w:spacing w:after="80" w:line="293" w:lineRule="auto"/>
        <w:jc w:val="left"/>
      </w:pPr>
      <w:r>
        <w:rPr>
          <w:rFonts w:ascii="Times New Roman" w:hAnsi="Times New Roman" w:cs="Times New Roman"/>
          <w:b w:val="0"/>
          <w:i w:val="0"/>
          <w:sz w:val="22"/>
        </w:rPr>
        <w:t>Example freight invoices:</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Invoice</w:t>
            </w:r>
          </w:p>
        </w:tc>
        <w:tc>
          <w:tcPr>
            <w:tcW w:type="dxa" w:w="1928"/>
            <w:shd w:val="clear" w:fill="D9E2F3"/>
          </w:tcPr>
          <w:p>
            <w:pPr>
              <w:spacing w:after="20" w:before="20" w:line="240" w:lineRule="auto"/>
            </w:pPr>
            <w:r/>
            <w:r>
              <w:rPr>
                <w:rFonts w:ascii="Arial" w:hAnsi="Arial" w:cs="Arial"/>
                <w:b/>
                <w:i w:val="0"/>
                <w:sz w:val="18"/>
              </w:rPr>
              <w:t>USTN</w:t>
            </w:r>
          </w:p>
        </w:tc>
        <w:tc>
          <w:tcPr>
            <w:tcW w:type="dxa" w:w="1928"/>
            <w:shd w:val="clear" w:fill="D9E2F3"/>
          </w:tcPr>
          <w:p>
            <w:pPr>
              <w:spacing w:after="20" w:before="20" w:line="240" w:lineRule="auto"/>
            </w:pPr>
            <w:r/>
            <w:r>
              <w:rPr>
                <w:rFonts w:ascii="Arial" w:hAnsi="Arial" w:cs="Arial"/>
                <w:b/>
                <w:i w:val="0"/>
                <w:sz w:val="18"/>
              </w:rPr>
              <w:t>Amount</w:t>
            </w:r>
          </w:p>
        </w:tc>
        <w:tc>
          <w:tcPr>
            <w:tcW w:type="dxa" w:w="1928"/>
            <w:shd w:val="clear" w:fill="D9E2F3"/>
          </w:tcPr>
          <w:p>
            <w:pPr>
              <w:spacing w:after="20" w:before="20" w:line="240" w:lineRule="auto"/>
            </w:pPr>
            <w:r/>
            <w:r>
              <w:rPr>
                <w:rFonts w:ascii="Arial" w:hAnsi="Arial" w:cs="Arial"/>
                <w:b/>
                <w:i w:val="0"/>
                <w:sz w:val="18"/>
              </w:rPr>
              <w:t>Terms</w:t>
            </w:r>
          </w:p>
        </w:tc>
        <w:tc>
          <w:tcPr>
            <w:tcW w:type="dxa" w:w="1928"/>
            <w:shd w:val="clear" w:fill="D9E2F3"/>
          </w:tcPr>
          <w:p>
            <w:pPr>
              <w:spacing w:after="20" w:before="20" w:line="240" w:lineRule="auto"/>
            </w:pPr>
            <w:r/>
            <w:r>
              <w:rPr>
                <w:rFonts w:ascii="Arial" w:hAnsi="Arial" w:cs="Arial"/>
                <w:b/>
                <w:i w:val="0"/>
                <w:sz w:val="18"/>
              </w:rPr>
              <w:t>Status</w:t>
            </w:r>
          </w:p>
        </w:tc>
      </w:tr>
      <w:tr>
        <w:tc>
          <w:tcPr>
            <w:tcW w:type="dxa" w:w="1928"/>
          </w:tcPr>
          <w:p>
            <w:pPr>
              <w:spacing w:after="20" w:before="20" w:line="240" w:lineRule="auto"/>
            </w:pPr>
            <w:r/>
            <w:r>
              <w:rPr>
                <w:rFonts w:ascii="Arial" w:hAnsi="Arial" w:cs="Arial"/>
                <w:b w:val="0"/>
                <w:i w:val="0"/>
                <w:sz w:val="17"/>
              </w:rPr>
              <w:t>INV-FRT-001</w:t>
            </w:r>
          </w:p>
        </w:tc>
        <w:tc>
          <w:tcPr>
            <w:tcW w:type="dxa" w:w="1928"/>
          </w:tcPr>
          <w:p>
            <w:pPr>
              <w:spacing w:after="20" w:before="20" w:line="240" w:lineRule="auto"/>
            </w:pPr>
            <w:r/>
            <w:r>
              <w:rPr>
                <w:rFonts w:ascii="Arial" w:hAnsi="Arial" w:cs="Arial"/>
                <w:b w:val="0"/>
                <w:i w:val="0"/>
                <w:sz w:val="17"/>
              </w:rPr>
              <w:t>SGTX-EG-001</w:t>
            </w:r>
          </w:p>
        </w:tc>
        <w:tc>
          <w:tcPr>
            <w:tcW w:type="dxa" w:w="1928"/>
          </w:tcPr>
          <w:p>
            <w:pPr>
              <w:spacing w:after="20" w:before="20" w:line="240" w:lineRule="auto"/>
            </w:pPr>
            <w:r/>
            <w:r>
              <w:rPr>
                <w:rFonts w:ascii="Arial" w:hAnsi="Arial" w:cs="Arial"/>
                <w:b w:val="0"/>
                <w:i w:val="0"/>
                <w:sz w:val="17"/>
              </w:rPr>
              <w:t>$9,650</w:t>
            </w:r>
          </w:p>
        </w:tc>
        <w:tc>
          <w:tcPr>
            <w:tcW w:type="dxa" w:w="1928"/>
          </w:tcPr>
          <w:p>
            <w:pPr>
              <w:spacing w:after="20" w:before="20" w:line="240" w:lineRule="auto"/>
            </w:pPr>
            <w:r/>
            <w:r>
              <w:rPr>
                <w:rFonts w:ascii="Arial" w:hAnsi="Arial" w:cs="Arial"/>
                <w:b w:val="0"/>
                <w:i w:val="0"/>
                <w:sz w:val="17"/>
              </w:rPr>
              <w:t>CREDIT (30 days)</w:t>
            </w:r>
          </w:p>
        </w:tc>
        <w:tc>
          <w:tcPr>
            <w:tcW w:type="dxa" w:w="1928"/>
          </w:tcPr>
          <w:p>
            <w:pPr>
              <w:spacing w:after="20" w:before="20" w:line="240" w:lineRule="auto"/>
            </w:pPr>
            <w:r/>
            <w:r>
              <w:rPr>
                <w:rFonts w:ascii="Arial" w:hAnsi="Arial" w:cs="Arial"/>
                <w:b w:val="0"/>
                <w:i w:val="0"/>
                <w:sz w:val="17"/>
              </w:rPr>
              <w:t>Paid</w:t>
            </w:r>
          </w:p>
        </w:tc>
      </w:tr>
      <w:tr>
        <w:tc>
          <w:tcPr>
            <w:tcW w:type="dxa" w:w="1928"/>
          </w:tcPr>
          <w:p>
            <w:pPr>
              <w:spacing w:after="20" w:before="20" w:line="240" w:lineRule="auto"/>
            </w:pPr>
            <w:r/>
            <w:r>
              <w:rPr>
                <w:rFonts w:ascii="Arial" w:hAnsi="Arial" w:cs="Arial"/>
                <w:b w:val="0"/>
                <w:i w:val="0"/>
                <w:sz w:val="17"/>
              </w:rPr>
              <w:t>INV-FRT-002</w:t>
            </w:r>
          </w:p>
        </w:tc>
        <w:tc>
          <w:tcPr>
            <w:tcW w:type="dxa" w:w="1928"/>
          </w:tcPr>
          <w:p>
            <w:pPr>
              <w:spacing w:after="20" w:before="20" w:line="240" w:lineRule="auto"/>
            </w:pPr>
            <w:r/>
            <w:r>
              <w:rPr>
                <w:rFonts w:ascii="Arial" w:hAnsi="Arial" w:cs="Arial"/>
                <w:b w:val="0"/>
                <w:i w:val="0"/>
                <w:sz w:val="17"/>
              </w:rPr>
              <w:t>SGTX-EG-002</w:t>
            </w:r>
          </w:p>
        </w:tc>
        <w:tc>
          <w:tcPr>
            <w:tcW w:type="dxa" w:w="1928"/>
          </w:tcPr>
          <w:p>
            <w:pPr>
              <w:spacing w:after="20" w:before="20" w:line="240" w:lineRule="auto"/>
            </w:pPr>
            <w:r/>
            <w:r>
              <w:rPr>
                <w:rFonts w:ascii="Arial" w:hAnsi="Arial" w:cs="Arial"/>
                <w:b w:val="0"/>
                <w:i w:val="0"/>
                <w:sz w:val="17"/>
              </w:rPr>
              <w:t>$4,500</w:t>
            </w:r>
          </w:p>
        </w:tc>
        <w:tc>
          <w:tcPr>
            <w:tcW w:type="dxa" w:w="1928"/>
          </w:tcPr>
          <w:p>
            <w:pPr>
              <w:spacing w:after="20" w:before="20" w:line="240" w:lineRule="auto"/>
            </w:pPr>
            <w:r/>
            <w:r>
              <w:rPr>
                <w:rFonts w:ascii="Arial" w:hAnsi="Arial" w:cs="Arial"/>
                <w:b w:val="0"/>
                <w:i w:val="0"/>
                <w:sz w:val="17"/>
              </w:rPr>
              <w:t>MANDATORY</w:t>
            </w:r>
          </w:p>
        </w:tc>
        <w:tc>
          <w:tcPr>
            <w:tcW w:type="dxa" w:w="1928"/>
          </w:tcPr>
          <w:p>
            <w:pPr>
              <w:spacing w:after="20" w:before="20" w:line="240" w:lineRule="auto"/>
            </w:pPr>
            <w:r/>
            <w:r>
              <w:rPr>
                <w:rFonts w:ascii="Arial" w:hAnsi="Arial" w:cs="Arial"/>
                <w:b w:val="0"/>
                <w:i w:val="0"/>
                <w:sz w:val="17"/>
              </w:rPr>
              <w:t>Pending</w:t>
            </w:r>
          </w:p>
        </w:tc>
      </w:tr>
      <w:tr>
        <w:tc>
          <w:tcPr>
            <w:tcW w:type="dxa" w:w="1928"/>
          </w:tcPr>
          <w:p>
            <w:pPr>
              <w:spacing w:after="20" w:before="20" w:line="240" w:lineRule="auto"/>
            </w:pPr>
            <w:r/>
            <w:r>
              <w:rPr>
                <w:rFonts w:ascii="Arial" w:hAnsi="Arial" w:cs="Arial"/>
                <w:b w:val="0"/>
                <w:i w:val="0"/>
                <w:sz w:val="17"/>
              </w:rPr>
              <w:t>INV-FRT-003</w:t>
            </w:r>
          </w:p>
        </w:tc>
        <w:tc>
          <w:tcPr>
            <w:tcW w:type="dxa" w:w="1928"/>
          </w:tcPr>
          <w:p>
            <w:pPr>
              <w:spacing w:after="20" w:before="20" w:line="240" w:lineRule="auto"/>
            </w:pPr>
            <w:r/>
            <w:r>
              <w:rPr>
                <w:rFonts w:ascii="Arial" w:hAnsi="Arial" w:cs="Arial"/>
                <w:b w:val="0"/>
                <w:i w:val="0"/>
                <w:sz w:val="17"/>
              </w:rPr>
              <w:t>SGTX-EG-003</w:t>
            </w:r>
          </w:p>
        </w:tc>
        <w:tc>
          <w:tcPr>
            <w:tcW w:type="dxa" w:w="1928"/>
          </w:tcPr>
          <w:p>
            <w:pPr>
              <w:spacing w:after="20" w:before="20" w:line="240" w:lineRule="auto"/>
            </w:pPr>
            <w:r/>
            <w:r>
              <w:rPr>
                <w:rFonts w:ascii="Arial" w:hAnsi="Arial" w:cs="Arial"/>
                <w:b w:val="0"/>
                <w:i w:val="0"/>
                <w:sz w:val="17"/>
              </w:rPr>
              <w:t>$12,000</w:t>
            </w:r>
          </w:p>
        </w:tc>
        <w:tc>
          <w:tcPr>
            <w:tcW w:type="dxa" w:w="1928"/>
          </w:tcPr>
          <w:p>
            <w:pPr>
              <w:spacing w:after="20" w:before="20" w:line="240" w:lineRule="auto"/>
            </w:pPr>
            <w:r/>
            <w:r>
              <w:rPr>
                <w:rFonts w:ascii="Arial" w:hAnsi="Arial" w:cs="Arial"/>
                <w:b w:val="0"/>
                <w:i w:val="0"/>
                <w:sz w:val="17"/>
              </w:rPr>
              <w:t>CREDIT (45 days)</w:t>
            </w:r>
          </w:p>
        </w:tc>
        <w:tc>
          <w:tcPr>
            <w:tcW w:type="dxa" w:w="1928"/>
          </w:tcPr>
          <w:p>
            <w:pPr>
              <w:spacing w:after="20" w:before="20" w:line="240" w:lineRule="auto"/>
            </w:pPr>
            <w:r/>
            <w:r>
              <w:rPr>
                <w:rFonts w:ascii="Arial" w:hAnsi="Arial" w:cs="Arial"/>
                <w:b w:val="0"/>
                <w:i w:val="0"/>
                <w:sz w:val="17"/>
              </w:rPr>
              <w:t>Overdue [View Dispute]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[Generate Invoice] [Download All]</w:t>
      </w:r>
    </w:p>
    <w:p>
      <w:pPr>
        <w:spacing w:after="80" w:line="293" w:lineRule="auto"/>
        <w:jc w:val="left"/>
      </w:pPr>
      <w:r>
        <w:rPr>
          <w:rFonts w:ascii="Times New Roman" w:hAnsi="Times New Roman" w:cs="Times New Roman"/>
          <w:b w:val="0"/>
          <w:i w:val="0"/>
          <w:sz w:val="22"/>
        </w:rPr>
        <w:t>Generate invoice:</w:t>
      </w:r>
    </w:p>
    <w:p>
      <w:pPr>
        <w:spacing w:after="0" w:before="0" w:line="240" w:lineRule="auto"/>
        <w:ind w:left="57"/>
        <w:jc w:val="left"/>
        <w:shd w:val="clear" w:fill="F2F2F2"/>
      </w:pPr>
      <w:r>
        <w:rPr>
          <w:rFonts w:ascii="Consolas" w:hAnsi="Consolas" w:cs="Consolas"/>
          <w:b w:val="0"/>
          <w:i w:val="0"/>
          <w:sz w:val="15"/>
        </w:rPr>
        <w:t>GENERATE INVOICE — USTN SGTX-EG-004</w:t>
      </w:r>
    </w:p>
    <w:p>
      <w:pPr>
        <w:spacing w:after="0" w:before="0" w:line="240" w:lineRule="auto"/>
        <w:ind w:left="57"/>
        <w:jc w:val="left"/>
        <w:shd w:val="clear" w:fill="F2F2F2"/>
      </w:pPr>
      <w:r>
        <w:rPr>
          <w:rFonts w:ascii="Consolas" w:hAnsi="Consolas" w:cs="Consolas"/>
          <w:b w:val="0"/>
          <w:i w:val="0"/>
          <w:sz w:val="15"/>
        </w:rPr>
        <w:t>Seller: Mekong Fresh Co.</w:t>
      </w:r>
    </w:p>
    <w:p>
      <w:pPr>
        <w:spacing w:after="0" w:before="0" w:line="240" w:lineRule="auto"/>
        <w:ind w:left="57"/>
        <w:jc w:val="left"/>
        <w:shd w:val="clear" w:fill="F2F2F2"/>
      </w:pPr>
      <w:r>
        <w:rPr>
          <w:rFonts w:ascii="Consolas" w:hAnsi="Consolas" w:cs="Consolas"/>
          <w:b w:val="0"/>
          <w:i w:val="0"/>
          <w:sz w:val="15"/>
        </w:rPr>
        <w:t>Vessel: MSC FIONA (MSF123E)    Route: Damietta → Hamburg</w:t>
      </w:r>
    </w:p>
    <w:p>
      <w:pPr>
        <w:spacing w:after="0" w:before="0" w:line="240" w:lineRule="auto"/>
        <w:ind w:left="57"/>
        <w:jc w:val="left"/>
        <w:shd w:val="clear" w:fill="F2F2F2"/>
      </w:pPr>
      <w:r>
        <w:rPr>
          <w:rFonts w:ascii="Consolas" w:hAnsi="Consolas" w:cs="Consolas"/>
          <w:b w:val="0"/>
          <w:i w:val="0"/>
          <w:sz w:val="15"/>
        </w:rPr>
        <w:t>Container: 2 × 40ft Reefer</w:t>
      </w:r>
    </w:p>
    <w:p>
      <w:pPr>
        <w:spacing w:after="0" w:before="0" w:line="240" w:lineRule="auto"/>
        <w:ind w:left="57"/>
        <w:jc w:val="left"/>
        <w:shd w:val="clear" w:fill="F2F2F2"/>
      </w:pPr>
      <w:r>
        <w:rPr>
          <w:rFonts w:ascii="Consolas" w:hAnsi="Consolas" w:cs="Consolas"/>
          <w:b w:val="0"/>
          <w:i w:val="0"/>
          <w:sz w:val="15"/>
        </w:rPr>
        <w:t>Invoice Details:</w:t>
      </w:r>
    </w:p>
    <w:p>
      <w:pPr>
        <w:spacing w:after="0" w:before="0" w:line="240" w:lineRule="auto"/>
        <w:ind w:left="57"/>
        <w:jc w:val="left"/>
        <w:shd w:val="clear" w:fill="F2F2F2"/>
      </w:pPr>
      <w:r>
        <w:rPr>
          <w:rFonts w:ascii="Consolas" w:hAnsi="Consolas" w:cs="Consolas"/>
          <w:b w:val="0"/>
          <w:i w:val="0"/>
          <w:sz w:val="15"/>
        </w:rPr>
        <w:t xml:space="preserve">  Ocean Freight:    $9,000</w:t>
      </w:r>
    </w:p>
    <w:p>
      <w:pPr>
        <w:spacing w:after="0" w:before="0" w:line="240" w:lineRule="auto"/>
        <w:ind w:left="57"/>
        <w:jc w:val="left"/>
        <w:shd w:val="clear" w:fill="F2F2F2"/>
      </w:pPr>
      <w:r>
        <w:rPr>
          <w:rFonts w:ascii="Consolas" w:hAnsi="Consolas" w:cs="Consolas"/>
          <w:b w:val="0"/>
          <w:i w:val="0"/>
          <w:sz w:val="15"/>
        </w:rPr>
        <w:t xml:space="preserve">  Add-on Services:  $650</w:t>
      </w:r>
    </w:p>
    <w:p>
      <w:pPr>
        <w:spacing w:after="0" w:before="0" w:line="240" w:lineRule="auto"/>
        <w:ind w:left="57"/>
        <w:jc w:val="left"/>
        <w:shd w:val="clear" w:fill="F2F2F2"/>
      </w:pPr>
      <w:r>
        <w:rPr>
          <w:rFonts w:ascii="Consolas" w:hAnsi="Consolas" w:cs="Consolas"/>
          <w:b w:val="0"/>
          <w:i w:val="0"/>
          <w:sz w:val="15"/>
        </w:rPr>
        <w:t xml:space="preserve">  Total:            $9,650</w:t>
      </w:r>
    </w:p>
    <w:p>
      <w:pPr>
        <w:spacing w:after="0" w:before="0" w:line="240" w:lineRule="auto"/>
        <w:ind w:left="57"/>
        <w:jc w:val="left"/>
        <w:shd w:val="clear" w:fill="F2F2F2"/>
      </w:pPr>
      <w:r>
        <w:rPr>
          <w:rFonts w:ascii="Consolas" w:hAnsi="Consolas" w:cs="Consolas"/>
          <w:b w:val="0"/>
          <w:i w:val="0"/>
          <w:sz w:val="15"/>
        </w:rPr>
        <w:t>Terms: [CREDIT ▼] (30 days)     Due Date: [2026-07-05]</w:t>
      </w:r>
    </w:p>
    <w:p>
      <w:pPr>
        <w:spacing w:after="0" w:before="0" w:line="240" w:lineRule="auto"/>
        <w:ind w:left="57"/>
        <w:jc w:val="left"/>
        <w:shd w:val="clear" w:fill="F2F2F2"/>
      </w:pPr>
      <w:r>
        <w:rPr>
          <w:rFonts w:ascii="Consolas" w:hAnsi="Consolas" w:cs="Consolas"/>
          <w:b w:val="0"/>
          <w:i w:val="0"/>
          <w:sz w:val="15"/>
        </w:rPr>
        <w:t>[Generate Invoice] [Cancel]</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6: Contract Rate Manager</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store contract rates per seller (or per trade lane) for automated quoting. Rates are private — never visible to other sellers.</w:t>
      </w:r>
    </w:p>
    <w:p>
      <w:pPr>
        <w:spacing w:after="80" w:line="293" w:lineRule="auto"/>
        <w:jc w:val="left"/>
      </w:pPr>
      <w:r>
        <w:rPr>
          <w:rFonts w:ascii="Times New Roman" w:hAnsi="Times New Roman" w:cs="Times New Roman"/>
          <w:b/>
          <w:i w:val="0"/>
          <w:sz w:val="22"/>
        </w:rPr>
        <w:t>Example: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Seller</w:t>
            </w:r>
          </w:p>
        </w:tc>
        <w:tc>
          <w:tcPr>
            <w:tcW w:type="dxa" w:w="1928"/>
            <w:shd w:val="clear" w:fill="D9E2F3"/>
          </w:tcPr>
          <w:p>
            <w:pPr>
              <w:spacing w:after="20" w:before="20" w:line="240" w:lineRule="auto"/>
            </w:pPr>
            <w:r/>
            <w:r>
              <w:rPr>
                <w:rFonts w:ascii="Arial" w:hAnsi="Arial" w:cs="Arial"/>
                <w:b/>
                <w:i w:val="0"/>
                <w:sz w:val="18"/>
              </w:rPr>
              <w:t>Trade Lane</w:t>
            </w:r>
          </w:p>
        </w:tc>
        <w:tc>
          <w:tcPr>
            <w:tcW w:type="dxa" w:w="1928"/>
            <w:shd w:val="clear" w:fill="D9E2F3"/>
          </w:tcPr>
          <w:p>
            <w:pPr>
              <w:spacing w:after="20" w:before="20" w:line="240" w:lineRule="auto"/>
            </w:pPr>
            <w:r/>
            <w:r>
              <w:rPr>
                <w:rFonts w:ascii="Arial" w:hAnsi="Arial" w:cs="Arial"/>
                <w:b/>
                <w:i w:val="0"/>
                <w:sz w:val="18"/>
              </w:rPr>
              <w:t>Container</w:t>
            </w:r>
          </w:p>
        </w:tc>
        <w:tc>
          <w:tcPr>
            <w:tcW w:type="dxa" w:w="1928"/>
            <w:shd w:val="clear" w:fill="D9E2F3"/>
          </w:tcPr>
          <w:p>
            <w:pPr>
              <w:spacing w:after="20" w:before="20" w:line="240" w:lineRule="auto"/>
            </w:pPr>
            <w:r/>
            <w:r>
              <w:rPr>
                <w:rFonts w:ascii="Arial" w:hAnsi="Arial" w:cs="Arial"/>
                <w:b/>
                <w:i w:val="0"/>
                <w:sz w:val="18"/>
              </w:rPr>
              <w:t>Base Rate</w:t>
            </w:r>
          </w:p>
        </w:tc>
        <w:tc>
          <w:tcPr>
            <w:tcW w:type="dxa" w:w="1928"/>
            <w:shd w:val="clear" w:fill="D9E2F3"/>
          </w:tcPr>
          <w:p>
            <w:pPr>
              <w:spacing w:after="20" w:before="20" w:line="240" w:lineRule="auto"/>
            </w:pPr>
            <w:r/>
            <w:r>
              <w:rPr>
                <w:rFonts w:ascii="Arial" w:hAnsi="Arial" w:cs="Arial"/>
                <w:b/>
                <w:i w:val="0"/>
                <w:sz w:val="18"/>
              </w:rPr>
              <w:t>Validity</w:t>
            </w:r>
          </w:p>
        </w:tc>
      </w:tr>
      <w:tr>
        <w:tc>
          <w:tcPr>
            <w:tcW w:type="dxa" w:w="1928"/>
          </w:tcPr>
          <w:p>
            <w:pPr>
              <w:spacing w:after="20" w:before="20" w:line="240" w:lineRule="auto"/>
            </w:pPr>
            <w:r/>
            <w:r>
              <w:rPr>
                <w:rFonts w:ascii="Arial" w:hAnsi="Arial" w:cs="Arial"/>
                <w:b w:val="0"/>
                <w:i w:val="0"/>
                <w:sz w:val="17"/>
              </w:rPr>
              <w:t>Mekong Fresh Co.</w:t>
            </w:r>
          </w:p>
        </w:tc>
        <w:tc>
          <w:tcPr>
            <w:tcW w:type="dxa" w:w="1928"/>
          </w:tcPr>
          <w:p>
            <w:pPr>
              <w:spacing w:after="20" w:before="20" w:line="240" w:lineRule="auto"/>
            </w:pPr>
            <w:r/>
            <w:r>
              <w:rPr>
                <w:rFonts w:ascii="Arial" w:hAnsi="Arial" w:cs="Arial"/>
                <w:b w:val="0"/>
                <w:i w:val="0"/>
                <w:sz w:val="17"/>
              </w:rPr>
              <w:t>Damietta → Hamburg</w:t>
            </w:r>
          </w:p>
        </w:tc>
        <w:tc>
          <w:tcPr>
            <w:tcW w:type="dxa" w:w="1928"/>
          </w:tcPr>
          <w:p>
            <w:pPr>
              <w:spacing w:after="20" w:before="20" w:line="240" w:lineRule="auto"/>
            </w:pPr>
            <w:r/>
            <w:r>
              <w:rPr>
                <w:rFonts w:ascii="Arial" w:hAnsi="Arial" w:cs="Arial"/>
                <w:b w:val="0"/>
                <w:i w:val="0"/>
                <w:sz w:val="17"/>
              </w:rPr>
              <w:t>40ft Reefer</w:t>
            </w:r>
          </w:p>
        </w:tc>
        <w:tc>
          <w:tcPr>
            <w:tcW w:type="dxa" w:w="1928"/>
          </w:tcPr>
          <w:p>
            <w:pPr>
              <w:spacing w:after="20" w:before="20" w:line="240" w:lineRule="auto"/>
            </w:pPr>
            <w:r/>
            <w:r>
              <w:rPr>
                <w:rFonts w:ascii="Arial" w:hAnsi="Arial" w:cs="Arial"/>
                <w:b w:val="0"/>
                <w:i w:val="0"/>
                <w:sz w:val="17"/>
              </w:rPr>
              <w:t>$4,200</w:t>
            </w:r>
          </w:p>
        </w:tc>
        <w:tc>
          <w:tcPr>
            <w:tcW w:type="dxa" w:w="1928"/>
          </w:tcPr>
          <w:p>
            <w:pPr>
              <w:spacing w:after="20" w:before="20" w:line="240" w:lineRule="auto"/>
            </w:pPr>
            <w:r/>
            <w:r>
              <w:rPr>
                <w:rFonts w:ascii="Arial" w:hAnsi="Arial" w:cs="Arial"/>
                <w:b w:val="0"/>
                <w:i w:val="0"/>
                <w:sz w:val="17"/>
              </w:rPr>
              <w:t>30 Jun 2026</w:t>
            </w:r>
          </w:p>
        </w:tc>
      </w:tr>
      <w:tr>
        <w:tc>
          <w:tcPr>
            <w:tcW w:type="dxa" w:w="1928"/>
          </w:tcPr>
          <w:p>
            <w:pPr>
              <w:spacing w:after="20" w:before="20" w:line="240" w:lineRule="auto"/>
            </w:pPr>
            <w:r/>
            <w:r>
              <w:rPr>
                <w:rFonts w:ascii="Arial" w:hAnsi="Arial" w:cs="Arial"/>
                <w:b w:val="0"/>
                <w:i w:val="0"/>
                <w:sz w:val="17"/>
              </w:rPr>
              <w:t>Nile Foods</w:t>
            </w:r>
          </w:p>
        </w:tc>
        <w:tc>
          <w:tcPr>
            <w:tcW w:type="dxa" w:w="1928"/>
          </w:tcPr>
          <w:p>
            <w:pPr>
              <w:spacing w:after="20" w:before="20" w:line="240" w:lineRule="auto"/>
            </w:pPr>
            <w:r/>
            <w:r>
              <w:rPr>
                <w:rFonts w:ascii="Arial" w:hAnsi="Arial" w:cs="Arial"/>
                <w:b w:val="0"/>
                <w:i w:val="0"/>
                <w:sz w:val="17"/>
              </w:rPr>
              <w:t>Alexandria → Rotterdam</w:t>
            </w:r>
          </w:p>
        </w:tc>
        <w:tc>
          <w:tcPr>
            <w:tcW w:type="dxa" w:w="1928"/>
          </w:tcPr>
          <w:p>
            <w:pPr>
              <w:spacing w:after="20" w:before="20" w:line="240" w:lineRule="auto"/>
            </w:pPr>
            <w:r/>
            <w:r>
              <w:rPr>
                <w:rFonts w:ascii="Arial" w:hAnsi="Arial" w:cs="Arial"/>
                <w:b w:val="0"/>
                <w:i w:val="0"/>
                <w:sz w:val="17"/>
              </w:rPr>
              <w:t>40ft Reefer</w:t>
            </w:r>
          </w:p>
        </w:tc>
        <w:tc>
          <w:tcPr>
            <w:tcW w:type="dxa" w:w="1928"/>
          </w:tcPr>
          <w:p>
            <w:pPr>
              <w:spacing w:after="20" w:before="20" w:line="240" w:lineRule="auto"/>
            </w:pPr>
            <w:r/>
            <w:r>
              <w:rPr>
                <w:rFonts w:ascii="Arial" w:hAnsi="Arial" w:cs="Arial"/>
                <w:b w:val="0"/>
                <w:i w:val="0"/>
                <w:sz w:val="17"/>
              </w:rPr>
              <w:t>$4,500</w:t>
            </w:r>
          </w:p>
        </w:tc>
        <w:tc>
          <w:tcPr>
            <w:tcW w:type="dxa" w:w="1928"/>
          </w:tcPr>
          <w:p>
            <w:pPr>
              <w:spacing w:after="20" w:before="20" w:line="240" w:lineRule="auto"/>
            </w:pPr>
            <w:r/>
            <w:r>
              <w:rPr>
                <w:rFonts w:ascii="Arial" w:hAnsi="Arial" w:cs="Arial"/>
                <w:b w:val="0"/>
                <w:i w:val="0"/>
                <w:sz w:val="17"/>
              </w:rPr>
              <w:t>15 Jul 2026</w:t>
            </w:r>
          </w:p>
        </w:tc>
      </w:tr>
      <w:tr>
        <w:tc>
          <w:tcPr>
            <w:tcW w:type="dxa" w:w="1928"/>
          </w:tcPr>
          <w:p>
            <w:pPr>
              <w:spacing w:after="20" w:before="20" w:line="240" w:lineRule="auto"/>
            </w:pPr>
            <w:r/>
            <w:r>
              <w:rPr>
                <w:rFonts w:ascii="Arial" w:hAnsi="Arial" w:cs="Arial"/>
                <w:b w:val="0"/>
                <w:i w:val="0"/>
                <w:sz w:val="17"/>
              </w:rPr>
              <w:t>Global Exports</w:t>
            </w:r>
          </w:p>
        </w:tc>
        <w:tc>
          <w:tcPr>
            <w:tcW w:type="dxa" w:w="1928"/>
          </w:tcPr>
          <w:p>
            <w:pPr>
              <w:spacing w:after="20" w:before="20" w:line="240" w:lineRule="auto"/>
            </w:pPr>
            <w:r/>
            <w:r>
              <w:rPr>
                <w:rFonts w:ascii="Arial" w:hAnsi="Arial" w:cs="Arial"/>
                <w:b w:val="0"/>
                <w:i w:val="0"/>
                <w:sz w:val="17"/>
              </w:rPr>
              <w:t>Port Said → Jebel Ali</w:t>
            </w:r>
          </w:p>
        </w:tc>
        <w:tc>
          <w:tcPr>
            <w:tcW w:type="dxa" w:w="1928"/>
          </w:tcPr>
          <w:p>
            <w:pPr>
              <w:spacing w:after="20" w:before="20" w:line="240" w:lineRule="auto"/>
            </w:pPr>
            <w:r/>
            <w:r>
              <w:rPr>
                <w:rFonts w:ascii="Arial" w:hAnsi="Arial" w:cs="Arial"/>
                <w:b w:val="0"/>
                <w:i w:val="0"/>
                <w:sz w:val="17"/>
              </w:rPr>
              <w:t>20ft Dry</w:t>
            </w:r>
          </w:p>
        </w:tc>
        <w:tc>
          <w:tcPr>
            <w:tcW w:type="dxa" w:w="1928"/>
          </w:tcPr>
          <w:p>
            <w:pPr>
              <w:spacing w:after="20" w:before="20" w:line="240" w:lineRule="auto"/>
            </w:pPr>
            <w:r/>
            <w:r>
              <w:rPr>
                <w:rFonts w:ascii="Arial" w:hAnsi="Arial" w:cs="Arial"/>
                <w:b w:val="0"/>
                <w:i w:val="0"/>
                <w:sz w:val="17"/>
              </w:rPr>
              <w:t>$2,800</w:t>
            </w:r>
          </w:p>
        </w:tc>
        <w:tc>
          <w:tcPr>
            <w:tcW w:type="dxa" w:w="1928"/>
          </w:tcPr>
          <w:p>
            <w:pPr>
              <w:spacing w:after="20" w:before="20" w:line="240" w:lineRule="auto"/>
            </w:pPr>
            <w:r/>
            <w:r>
              <w:rPr>
                <w:rFonts w:ascii="Arial" w:hAnsi="Arial" w:cs="Arial"/>
                <w:b w:val="0"/>
                <w:i w:val="0"/>
                <w:sz w:val="17"/>
              </w:rPr>
              <w:t>31 Aug 2026</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[Add Contract] [Edit] [Delete]. Rate Expiry Alerts: "Mekong Fresh contract expires in 15 days — [Renew]".</w:t>
      </w:r>
    </w:p>
    <w:p>
      <w:pPr>
        <w:spacing w:after="80" w:line="293" w:lineRule="auto"/>
        <w:jc w:val="left"/>
      </w:pPr>
      <w:r>
        <w:rPr>
          <w:rFonts w:ascii="Times New Roman" w:hAnsi="Times New Roman" w:cs="Times New Roman"/>
          <w:b w:val="0"/>
          <w:i w:val="0"/>
          <w:sz w:val="22"/>
        </w:rPr>
        <w:t>Add Contract (manual):</w:t>
      </w:r>
    </w:p>
    <w:p>
      <w:pPr>
        <w:spacing w:after="0" w:before="0" w:line="240" w:lineRule="auto"/>
        <w:ind w:left="57"/>
        <w:jc w:val="left"/>
        <w:shd w:val="clear" w:fill="F2F2F2"/>
      </w:pPr>
      <w:r>
        <w:rPr>
          <w:rFonts w:ascii="Consolas" w:hAnsi="Consolas" w:cs="Consolas"/>
          <w:b w:val="0"/>
          <w:i w:val="0"/>
          <w:sz w:val="15"/>
        </w:rPr>
        <w:t>ADD CONTRACT</w:t>
      </w:r>
    </w:p>
    <w:p>
      <w:pPr>
        <w:spacing w:after="0" w:before="0" w:line="240" w:lineRule="auto"/>
        <w:ind w:left="57"/>
        <w:jc w:val="left"/>
        <w:shd w:val="clear" w:fill="F2F2F2"/>
      </w:pPr>
      <w:r>
        <w:rPr>
          <w:rFonts w:ascii="Consolas" w:hAnsi="Consolas" w:cs="Consolas"/>
          <w:b w:val="0"/>
          <w:i w:val="0"/>
          <w:sz w:val="15"/>
        </w:rPr>
        <w:t>Seller GTID:      [SGTX-VN-TRD-002139-7F3A ▼]</w:t>
      </w:r>
    </w:p>
    <w:p>
      <w:pPr>
        <w:spacing w:after="0" w:before="0" w:line="240" w:lineRule="auto"/>
        <w:ind w:left="57"/>
        <w:jc w:val="left"/>
        <w:shd w:val="clear" w:fill="F2F2F2"/>
      </w:pPr>
      <w:r>
        <w:rPr>
          <w:rFonts w:ascii="Consolas" w:hAnsi="Consolas" w:cs="Consolas"/>
          <w:b w:val="0"/>
          <w:i w:val="0"/>
          <w:sz w:val="15"/>
        </w:rPr>
        <w:t>Seller Name:      [Mekong Fresh Co.]</w:t>
      </w:r>
    </w:p>
    <w:p>
      <w:pPr>
        <w:spacing w:after="0" w:before="0" w:line="240" w:lineRule="auto"/>
        <w:ind w:left="57"/>
        <w:jc w:val="left"/>
        <w:shd w:val="clear" w:fill="F2F2F2"/>
      </w:pPr>
      <w:r>
        <w:rPr>
          <w:rFonts w:ascii="Consolas" w:hAnsi="Consolas" w:cs="Consolas"/>
          <w:b w:val="0"/>
          <w:i w:val="0"/>
          <w:sz w:val="15"/>
        </w:rPr>
        <w:t>Trade Lane:       [Damietta → Hamburg ▼]</w:t>
      </w:r>
    </w:p>
    <w:p>
      <w:pPr>
        <w:spacing w:after="0" w:before="0" w:line="240" w:lineRule="auto"/>
        <w:ind w:left="57"/>
        <w:jc w:val="left"/>
        <w:shd w:val="clear" w:fill="F2F2F2"/>
      </w:pPr>
      <w:r>
        <w:rPr>
          <w:rFonts w:ascii="Consolas" w:hAnsi="Consolas" w:cs="Consolas"/>
          <w:b w:val="0"/>
          <w:i w:val="0"/>
          <w:sz w:val="15"/>
        </w:rPr>
        <w:t>Container Type:   [40ft Reefer ▼]</w:t>
      </w:r>
    </w:p>
    <w:p>
      <w:pPr>
        <w:spacing w:after="0" w:before="0" w:line="240" w:lineRule="auto"/>
        <w:ind w:left="57"/>
        <w:jc w:val="left"/>
        <w:shd w:val="clear" w:fill="F2F2F2"/>
      </w:pPr>
      <w:r>
        <w:rPr>
          <w:rFonts w:ascii="Consolas" w:hAnsi="Consolas" w:cs="Consolas"/>
          <w:b w:val="0"/>
          <w:i w:val="0"/>
          <w:sz w:val="15"/>
        </w:rPr>
        <w:t>Base Rate:        [$4,200] [USD]</w:t>
      </w:r>
    </w:p>
    <w:p>
      <w:pPr>
        <w:spacing w:after="0" w:before="0" w:line="240" w:lineRule="auto"/>
        <w:ind w:left="57"/>
        <w:jc w:val="left"/>
        <w:shd w:val="clear" w:fill="F2F2F2"/>
      </w:pPr>
      <w:r>
        <w:rPr>
          <w:rFonts w:ascii="Consolas" w:hAnsi="Consolas" w:cs="Consolas"/>
          <w:b w:val="0"/>
          <w:i w:val="0"/>
          <w:sz w:val="15"/>
        </w:rPr>
        <w:t>Validity Period:  [2026-06-30]</w:t>
      </w:r>
    </w:p>
    <w:p>
      <w:pPr>
        <w:spacing w:after="0" w:before="0" w:line="240" w:lineRule="auto"/>
        <w:ind w:left="57"/>
        <w:jc w:val="left"/>
        <w:shd w:val="clear" w:fill="F2F2F2"/>
      </w:pPr>
      <w:r>
        <w:rPr>
          <w:rFonts w:ascii="Consolas" w:hAnsi="Consolas" w:cs="Consolas"/>
          <w:b w:val="0"/>
          <w:i w:val="0"/>
          <w:sz w:val="15"/>
        </w:rPr>
        <w:t>[Upload Contract PDF] — AI extracts rates</w:t>
      </w:r>
    </w:p>
    <w:p>
      <w:pPr>
        <w:spacing w:after="0" w:before="0" w:line="240" w:lineRule="auto"/>
        <w:ind w:left="57"/>
        <w:jc w:val="left"/>
        <w:shd w:val="clear" w:fill="F2F2F2"/>
      </w:pPr>
      <w:r>
        <w:rPr>
          <w:rFonts w:ascii="Consolas" w:hAnsi="Consolas" w:cs="Consolas"/>
          <w:b w:val="0"/>
          <w:i w:val="0"/>
          <w:sz w:val="15"/>
        </w:rPr>
        <w:t>[Save Contract] [Cancel]</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Tab 7: Performance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view on-time departure percentage, eBL issuance latency, dispute rate, and anonymous benchmark (differential privacy) — aligned with the provider performance model (Section 11).</w:t>
      </w:r>
    </w:p>
    <w:p>
      <w:pPr>
        <w:spacing w:after="80" w:line="293" w:lineRule="auto"/>
        <w:jc w:val="left"/>
      </w:pPr>
      <w:r>
        <w:rPr>
          <w:rFonts w:ascii="Times New Roman" w:hAnsi="Times New Roman" w:cs="Times New Roman"/>
          <w:b/>
          <w:i w:val="0"/>
          <w:sz w:val="22"/>
        </w:rPr>
        <w:t>Example: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Metric</w:t>
            </w:r>
          </w:p>
        </w:tc>
        <w:tc>
          <w:tcPr>
            <w:tcW w:type="dxa" w:w="1928"/>
            <w:shd w:val="clear" w:fill="D9E2F3"/>
          </w:tcPr>
          <w:p>
            <w:pPr>
              <w:spacing w:after="20" w:before="20" w:line="240" w:lineRule="auto"/>
            </w:pPr>
            <w:r/>
            <w:r>
              <w:rPr>
                <w:rFonts w:ascii="Arial" w:hAnsi="Arial" w:cs="Arial"/>
                <w:b/>
                <w:i w:val="0"/>
                <w:sz w:val="18"/>
              </w:rPr>
              <w:t>30 Days</w:t>
            </w:r>
          </w:p>
        </w:tc>
        <w:tc>
          <w:tcPr>
            <w:tcW w:type="dxa" w:w="1928"/>
            <w:shd w:val="clear" w:fill="D9E2F3"/>
          </w:tcPr>
          <w:p>
            <w:pPr>
              <w:spacing w:after="20" w:before="20" w:line="240" w:lineRule="auto"/>
            </w:pPr>
            <w:r/>
            <w:r>
              <w:rPr>
                <w:rFonts w:ascii="Arial" w:hAnsi="Arial" w:cs="Arial"/>
                <w:b/>
                <w:i w:val="0"/>
                <w:sz w:val="18"/>
              </w:rPr>
              <w:t>60 Days</w:t>
            </w:r>
          </w:p>
        </w:tc>
        <w:tc>
          <w:tcPr>
            <w:tcW w:type="dxa" w:w="1928"/>
            <w:shd w:val="clear" w:fill="D9E2F3"/>
          </w:tcPr>
          <w:p>
            <w:pPr>
              <w:spacing w:after="20" w:before="20" w:line="240" w:lineRule="auto"/>
            </w:pPr>
            <w:r/>
            <w:r>
              <w:rPr>
                <w:rFonts w:ascii="Arial" w:hAnsi="Arial" w:cs="Arial"/>
                <w:b/>
                <w:i w:val="0"/>
                <w:sz w:val="18"/>
              </w:rPr>
              <w:t>90 Days</w:t>
            </w:r>
          </w:p>
        </w:tc>
        <w:tc>
          <w:tcPr>
            <w:tcW w:type="dxa" w:w="1928"/>
            <w:shd w:val="clear" w:fill="D9E2F3"/>
          </w:tcPr>
          <w:p>
            <w:pPr>
              <w:spacing w:after="20" w:before="20" w:line="240" w:lineRule="auto"/>
            </w:pPr>
            <w:r/>
            <w:r>
              <w:rPr>
                <w:rFonts w:ascii="Arial" w:hAnsi="Arial" w:cs="Arial"/>
                <w:b/>
                <w:i w:val="0"/>
                <w:sz w:val="18"/>
              </w:rPr>
              <w:t>Benchmark</w:t>
            </w:r>
          </w:p>
        </w:tc>
      </w:tr>
      <w:tr>
        <w:tc>
          <w:tcPr>
            <w:tcW w:type="dxa" w:w="1928"/>
          </w:tcPr>
          <w:p>
            <w:pPr>
              <w:spacing w:after="20" w:before="20" w:line="240" w:lineRule="auto"/>
            </w:pPr>
            <w:r/>
            <w:r>
              <w:rPr>
                <w:rFonts w:ascii="Arial" w:hAnsi="Arial" w:cs="Arial"/>
                <w:b w:val="0"/>
                <w:i w:val="0"/>
                <w:sz w:val="17"/>
              </w:rPr>
              <w:t>On-time Departure</w:t>
            </w:r>
          </w:p>
        </w:tc>
        <w:tc>
          <w:tcPr>
            <w:tcW w:type="dxa" w:w="1928"/>
          </w:tcPr>
          <w:p>
            <w:pPr>
              <w:spacing w:after="20" w:before="20" w:line="240" w:lineRule="auto"/>
            </w:pPr>
            <w:r/>
            <w:r>
              <w:rPr>
                <w:rFonts w:ascii="Arial" w:hAnsi="Arial" w:cs="Arial"/>
                <w:b w:val="0"/>
                <w:i w:val="0"/>
                <w:sz w:val="17"/>
              </w:rPr>
              <w:t>94%</w:t>
            </w:r>
          </w:p>
        </w:tc>
        <w:tc>
          <w:tcPr>
            <w:tcW w:type="dxa" w:w="1928"/>
          </w:tcPr>
          <w:p>
            <w:pPr>
              <w:spacing w:after="20" w:before="20" w:line="240" w:lineRule="auto"/>
            </w:pPr>
            <w:r/>
            <w:r>
              <w:rPr>
                <w:rFonts w:ascii="Arial" w:hAnsi="Arial" w:cs="Arial"/>
                <w:b w:val="0"/>
                <w:i w:val="0"/>
                <w:sz w:val="17"/>
              </w:rPr>
              <w:t>92%</w:t>
            </w:r>
          </w:p>
        </w:tc>
        <w:tc>
          <w:tcPr>
            <w:tcW w:type="dxa" w:w="1928"/>
          </w:tcPr>
          <w:p>
            <w:pPr>
              <w:spacing w:after="20" w:before="20" w:line="240" w:lineRule="auto"/>
            </w:pPr>
            <w:r/>
            <w:r>
              <w:rPr>
                <w:rFonts w:ascii="Arial" w:hAnsi="Arial" w:cs="Arial"/>
                <w:b w:val="0"/>
                <w:i w:val="0"/>
                <w:sz w:val="17"/>
              </w:rPr>
              <w:t>90%</w:t>
            </w:r>
          </w:p>
        </w:tc>
        <w:tc>
          <w:tcPr>
            <w:tcW w:type="dxa" w:w="1928"/>
          </w:tcPr>
          <w:p>
            <w:pPr>
              <w:spacing w:after="20" w:before="20" w:line="240" w:lineRule="auto"/>
            </w:pPr>
            <w:r/>
            <w:r>
              <w:rPr>
                <w:rFonts w:ascii="Arial" w:hAnsi="Arial" w:cs="Arial"/>
                <w:b w:val="0"/>
                <w:i w:val="0"/>
                <w:sz w:val="17"/>
              </w:rPr>
              <w:t>88% (avg)</w:t>
            </w:r>
          </w:p>
        </w:tc>
      </w:tr>
      <w:tr>
        <w:tc>
          <w:tcPr>
            <w:tcW w:type="dxa" w:w="1928"/>
          </w:tcPr>
          <w:p>
            <w:pPr>
              <w:spacing w:after="20" w:before="20" w:line="240" w:lineRule="auto"/>
            </w:pPr>
            <w:r/>
            <w:r>
              <w:rPr>
                <w:rFonts w:ascii="Arial" w:hAnsi="Arial" w:cs="Arial"/>
                <w:b w:val="0"/>
                <w:i w:val="0"/>
                <w:sz w:val="17"/>
              </w:rPr>
              <w:t>eBL Latency</w:t>
            </w:r>
          </w:p>
        </w:tc>
        <w:tc>
          <w:tcPr>
            <w:tcW w:type="dxa" w:w="1928"/>
          </w:tcPr>
          <w:p>
            <w:pPr>
              <w:spacing w:after="20" w:before="20" w:line="240" w:lineRule="auto"/>
            </w:pPr>
            <w:r/>
            <w:r>
              <w:rPr>
                <w:rFonts w:ascii="Arial" w:hAnsi="Arial" w:cs="Arial"/>
                <w:b w:val="0"/>
                <w:i w:val="0"/>
                <w:sz w:val="17"/>
              </w:rPr>
              <w:t>4.2h</w:t>
            </w:r>
          </w:p>
        </w:tc>
        <w:tc>
          <w:tcPr>
            <w:tcW w:type="dxa" w:w="1928"/>
          </w:tcPr>
          <w:p>
            <w:pPr>
              <w:spacing w:after="20" w:before="20" w:line="240" w:lineRule="auto"/>
            </w:pPr>
            <w:r/>
            <w:r>
              <w:rPr>
                <w:rFonts w:ascii="Arial" w:hAnsi="Arial" w:cs="Arial"/>
                <w:b w:val="0"/>
                <w:i w:val="0"/>
                <w:sz w:val="17"/>
              </w:rPr>
              <w:t>4.8h</w:t>
            </w:r>
          </w:p>
        </w:tc>
        <w:tc>
          <w:tcPr>
            <w:tcW w:type="dxa" w:w="1928"/>
          </w:tcPr>
          <w:p>
            <w:pPr>
              <w:spacing w:after="20" w:before="20" w:line="240" w:lineRule="auto"/>
            </w:pPr>
            <w:r/>
            <w:r>
              <w:rPr>
                <w:rFonts w:ascii="Arial" w:hAnsi="Arial" w:cs="Arial"/>
                <w:b w:val="0"/>
                <w:i w:val="0"/>
                <w:sz w:val="17"/>
              </w:rPr>
              <w:t>5.1h</w:t>
            </w:r>
          </w:p>
        </w:tc>
        <w:tc>
          <w:tcPr>
            <w:tcW w:type="dxa" w:w="1928"/>
          </w:tcPr>
          <w:p>
            <w:pPr>
              <w:spacing w:after="20" w:before="20" w:line="240" w:lineRule="auto"/>
            </w:pPr>
            <w:r/>
            <w:r>
              <w:rPr>
                <w:rFonts w:ascii="Arial" w:hAnsi="Arial" w:cs="Arial"/>
                <w:b w:val="0"/>
                <w:i w:val="0"/>
                <w:sz w:val="17"/>
              </w:rPr>
              <w:t>6.0h (avg)</w:t>
            </w:r>
          </w:p>
        </w:tc>
      </w:tr>
      <w:tr>
        <w:tc>
          <w:tcPr>
            <w:tcW w:type="dxa" w:w="1928"/>
          </w:tcPr>
          <w:p>
            <w:pPr>
              <w:spacing w:after="20" w:before="20" w:line="240" w:lineRule="auto"/>
            </w:pPr>
            <w:r/>
            <w:r>
              <w:rPr>
                <w:rFonts w:ascii="Arial" w:hAnsi="Arial" w:cs="Arial"/>
                <w:b w:val="0"/>
                <w:i w:val="0"/>
                <w:sz w:val="17"/>
              </w:rPr>
              <w:t>Dispute Rate</w:t>
            </w:r>
          </w:p>
        </w:tc>
        <w:tc>
          <w:tcPr>
            <w:tcW w:type="dxa" w:w="1928"/>
          </w:tcPr>
          <w:p>
            <w:pPr>
              <w:spacing w:after="20" w:before="20" w:line="240" w:lineRule="auto"/>
            </w:pPr>
            <w:r/>
            <w:r>
              <w:rPr>
                <w:rFonts w:ascii="Arial" w:hAnsi="Arial" w:cs="Arial"/>
                <w:b w:val="0"/>
                <w:i w:val="0"/>
                <w:sz w:val="17"/>
              </w:rPr>
              <w:t>2%</w:t>
            </w:r>
          </w:p>
        </w:tc>
        <w:tc>
          <w:tcPr>
            <w:tcW w:type="dxa" w:w="1928"/>
          </w:tcPr>
          <w:p>
            <w:pPr>
              <w:spacing w:after="20" w:before="20" w:line="240" w:lineRule="auto"/>
            </w:pPr>
            <w:r/>
            <w:r>
              <w:rPr>
                <w:rFonts w:ascii="Arial" w:hAnsi="Arial" w:cs="Arial"/>
                <w:b w:val="0"/>
                <w:i w:val="0"/>
                <w:sz w:val="17"/>
              </w:rPr>
              <w:t>3%</w:t>
            </w:r>
          </w:p>
        </w:tc>
        <w:tc>
          <w:tcPr>
            <w:tcW w:type="dxa" w:w="1928"/>
          </w:tcPr>
          <w:p>
            <w:pPr>
              <w:spacing w:after="20" w:before="20" w:line="240" w:lineRule="auto"/>
            </w:pPr>
            <w:r/>
            <w:r>
              <w:rPr>
                <w:rFonts w:ascii="Arial" w:hAnsi="Arial" w:cs="Arial"/>
                <w:b w:val="0"/>
                <w:i w:val="0"/>
                <w:sz w:val="17"/>
              </w:rPr>
              <w:t>3%</w:t>
            </w:r>
          </w:p>
        </w:tc>
        <w:tc>
          <w:tcPr>
            <w:tcW w:type="dxa" w:w="1928"/>
          </w:tcPr>
          <w:p>
            <w:pPr>
              <w:spacing w:after="20" w:before="20" w:line="240" w:lineRule="auto"/>
            </w:pPr>
            <w:r/>
            <w:r>
              <w:rPr>
                <w:rFonts w:ascii="Arial" w:hAnsi="Arial" w:cs="Arial"/>
                <w:b w:val="0"/>
                <w:i w:val="0"/>
                <w:sz w:val="17"/>
              </w:rPr>
              <w:t>4% (avg)</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Groq Performance Summary (A1): "Your on-time departure has improved to 94% (up from 90% last quarter). You are in the top quartile for eBL issuance speed (4.2h vs 6.0h average). Your dispute rate (2%) is below the regional average (4%). Recommendation: maintain current performance levels." [Download Report] [View Details]</w:t>
      </w:r>
    </w:p>
    <w:p>
      <w:pPr>
        <w:keepNext/>
        <w:spacing w:before="140" w:after="60"/>
        <w:outlineLvl w:val="3"/>
      </w:pPr>
      <w:r>
        <w:rPr>
          <w:rFonts w:ascii="Arial" w:hAnsi="Arial" w:cs="Arial"/>
          <w:b/>
          <w:i/>
          <w:color w:val="333333"/>
          <w:sz w:val="22"/>
        </w:rPr>
        <w:t>Tab 8: Company Admin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manage employees, serviceable ports, eBL platform credentials, webhook configuration, and contact information.</w:t>
      </w:r>
    </w:p>
    <w:p>
      <w:pPr>
        <w:spacing w:after="80" w:line="293" w:lineRule="auto"/>
        <w:jc w:val="left"/>
      </w:pPr>
      <w:r>
        <w:rPr>
          <w:rFonts w:ascii="Times New Roman" w:hAnsi="Times New Roman" w:cs="Times New Roman"/>
          <w:b w:val="0"/>
          <w:i w:val="0"/>
          <w:sz w:val="22"/>
        </w:rPr>
        <w:t>Example eBL Platform Integration:</w:t>
      </w:r>
    </w:p>
    <w:p>
      <w:pPr>
        <w:spacing w:after="0" w:before="0" w:line="240" w:lineRule="auto"/>
        <w:ind w:left="57"/>
        <w:jc w:val="left"/>
        <w:shd w:val="clear" w:fill="F2F2F2"/>
      </w:pPr>
      <w:r>
        <w:rPr>
          <w:rFonts w:ascii="Consolas" w:hAnsi="Consolas" w:cs="Consolas"/>
          <w:b w:val="0"/>
          <w:i w:val="0"/>
          <w:sz w:val="15"/>
        </w:rPr>
        <w:t>eBL PLATFORM INTEGRATION</w:t>
      </w:r>
    </w:p>
    <w:p>
      <w:pPr>
        <w:spacing w:after="0" w:before="0" w:line="240" w:lineRule="auto"/>
        <w:ind w:left="57"/>
        <w:jc w:val="left"/>
        <w:shd w:val="clear" w:fill="F2F2F2"/>
      </w:pPr>
      <w:r>
        <w:rPr>
          <w:rFonts w:ascii="Consolas" w:hAnsi="Consolas" w:cs="Consolas"/>
          <w:b w:val="0"/>
          <w:i w:val="0"/>
          <w:sz w:val="15"/>
        </w:rPr>
        <w:t>Platform:     [TradeLens ▼]</w:t>
      </w:r>
    </w:p>
    <w:p>
      <w:pPr>
        <w:spacing w:after="0" w:before="0" w:line="240" w:lineRule="auto"/>
        <w:ind w:left="57"/>
        <w:jc w:val="left"/>
        <w:shd w:val="clear" w:fill="F2F2F2"/>
      </w:pPr>
      <w:r>
        <w:rPr>
          <w:rFonts w:ascii="Consolas" w:hAnsi="Consolas" w:cs="Consolas"/>
          <w:b w:val="0"/>
          <w:i w:val="0"/>
          <w:sz w:val="15"/>
        </w:rPr>
        <w:t>Webhook URL:  [https://api.carrier.com/ebl/webhook]</w:t>
      </w:r>
    </w:p>
    <w:p>
      <w:pPr>
        <w:spacing w:after="0" w:before="0" w:line="240" w:lineRule="auto"/>
        <w:ind w:left="57"/>
        <w:jc w:val="left"/>
        <w:shd w:val="clear" w:fill="F2F2F2"/>
      </w:pPr>
      <w:r>
        <w:rPr>
          <w:rFonts w:ascii="Consolas" w:hAnsi="Consolas" w:cs="Consolas"/>
          <w:b w:val="0"/>
          <w:i w:val="0"/>
          <w:sz w:val="15"/>
        </w:rPr>
        <w:t>API Key:      [••••••••••••••••] (encrypted)</w:t>
      </w:r>
    </w:p>
    <w:p>
      <w:pPr>
        <w:spacing w:after="0" w:before="0" w:line="240" w:lineRule="auto"/>
        <w:ind w:left="57"/>
        <w:jc w:val="left"/>
        <w:shd w:val="clear" w:fill="F2F2F2"/>
      </w:pPr>
      <w:r>
        <w:rPr>
          <w:rFonts w:ascii="Consolas" w:hAnsi="Consolas" w:cs="Consolas"/>
          <w:b w:val="0"/>
          <w:i w:val="0"/>
          <w:sz w:val="15"/>
        </w:rPr>
        <w:t>Status:       Connected (last webhook: 2 minutes ago)</w:t>
      </w:r>
    </w:p>
    <w:p>
      <w:pPr>
        <w:spacing w:after="0" w:before="0" w:line="240" w:lineRule="auto"/>
        <w:ind w:left="57"/>
        <w:jc w:val="left"/>
        <w:shd w:val="clear" w:fill="F2F2F2"/>
      </w:pPr>
      <w:r>
        <w:rPr>
          <w:rFonts w:ascii="Consolas" w:hAnsi="Consolas" w:cs="Consolas"/>
          <w:b w:val="0"/>
          <w:i w:val="0"/>
          <w:sz w:val="15"/>
        </w:rPr>
        <w:t>Fallback:     If webhook unavailable, the platform polls every 15 minutes.</w:t>
      </w:r>
    </w:p>
    <w:p>
      <w:pPr>
        <w:spacing w:after="0" w:before="0" w:line="240" w:lineRule="auto"/>
        <w:ind w:left="57"/>
        <w:jc w:val="left"/>
        <w:shd w:val="clear" w:fill="F2F2F2"/>
      </w:pPr>
      <w:r>
        <w:rPr>
          <w:rFonts w:ascii="Consolas" w:hAnsi="Consolas" w:cs="Consolas"/>
          <w:b w:val="0"/>
          <w:i w:val="0"/>
          <w:sz w:val="15"/>
        </w:rPr>
        <w:t>[Test Connection] [Save] [Cancel]</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16.12.4 Smart Inbox Integration (SHIP)</w:t>
      </w:r>
    </w:p>
    <w:p>
      <w:pPr>
        <w:spacing w:after="80" w:line="293" w:lineRule="auto"/>
        <w:jc w:val="left"/>
      </w:pPr>
      <w:r>
        <w:rPr>
          <w:rFonts w:ascii="Times New Roman" w:hAnsi="Times New Roman" w:cs="Times New Roman"/>
          <w:b w:val="0"/>
          <w:i w:val="0"/>
          <w:sz w:val="22"/>
        </w:rPr>
        <w:t>The SHIP Smart Inbox surfaces: new booking requests (with validity countdown), quote acceptance notifications, addendum signature requests, eBL issuance reminders, vessel schedule change impacts, freight invoice payment confirmations, and dispute notifications.</w:t>
      </w:r>
    </w:p>
    <w:p>
      <w:pPr>
        <w:keepNext/>
        <w:spacing w:before="180" w:after="80"/>
        <w:outlineLvl w:val="2"/>
      </w:pPr>
      <w:r>
        <w:rPr>
          <w:rFonts w:ascii="Arial" w:hAnsi="Arial" w:cs="Arial"/>
          <w:b/>
          <w:i w:val="0"/>
          <w:color w:val="333333"/>
          <w:sz w:val="23"/>
        </w:rPr>
        <w:t>16.12.5 Shipments Vault — SHIP Columns</w:t>
      </w:r>
    </w:p>
    <w:p>
      <w:pPr>
        <w:spacing w:after="80" w:line="293" w:lineRule="auto"/>
        <w:jc w:val="left"/>
      </w:pPr>
      <w:r>
        <w:rPr>
          <w:rFonts w:ascii="Times New Roman" w:hAnsi="Times New Roman" w:cs="Times New Roman"/>
          <w:b w:val="0"/>
          <w:i w:val="0"/>
          <w:sz w:val="22"/>
        </w:rPr>
        <w:t>The Shared Shipments Vault in the SHIP configuration adds columns: Vessel, Voyage, eBL Status, Freight Invoice Status, Booking Reference.</w:t>
      </w:r>
    </w:p>
    <w:p>
      <w:pPr>
        <w:keepNext/>
        <w:spacing w:before="180" w:after="80"/>
        <w:outlineLvl w:val="2"/>
      </w:pPr>
      <w:r>
        <w:rPr>
          <w:rFonts w:ascii="Arial" w:hAnsi="Arial" w:cs="Arial"/>
          <w:b/>
          <w:i w:val="0"/>
          <w:color w:val="333333"/>
          <w:sz w:val="23"/>
        </w:rPr>
        <w:t>16.12.6 One-Click Count Summary (SHIP)</w:t>
      </w:r>
    </w:p>
    <w:p>
      <w:pPr>
        <w:spacing w:after="80" w:line="293" w:lineRule="auto"/>
        <w:jc w:val="left"/>
      </w:pPr>
      <w:r>
        <w:rPr>
          <w:rFonts w:ascii="Times New Roman" w:hAnsi="Times New Roman" w:cs="Times New Roman"/>
          <w:b w:val="0"/>
          <w:i w:val="0"/>
          <w:sz w:val="22"/>
        </w:rPr>
        <w:t>Send quote (1), decline (1), confirm booking (1), issue eBL (1), confirm loading (1), update milestone (1 or voice = 0), confirm delivery (1), generate invoice (1), add contract (1).</w:t>
      </w:r>
    </w:p>
    <w:p>
      <w:pPr>
        <w:keepNext/>
        <w:spacing w:before="180" w:after="80"/>
        <w:outlineLvl w:val="2"/>
      </w:pPr>
      <w:r>
        <w:rPr>
          <w:rFonts w:ascii="Arial" w:hAnsi="Arial" w:cs="Arial"/>
          <w:b/>
          <w:i w:val="0"/>
          <w:color w:val="333333"/>
          <w:sz w:val="23"/>
        </w:rPr>
        <w:t>16.12.7 Integration with Other Parts</w:t>
      </w:r>
    </w:p>
    <w:p>
      <w:pPr>
        <w:spacing w:after="80" w:line="293" w:lineRule="auto"/>
        <w:ind w:left="283"/>
        <w:jc w:val="left"/>
      </w:pPr>
      <w:r>
        <w:rPr>
          <w:rFonts w:ascii="Times New Roman" w:hAnsi="Times New Roman" w:cs="Times New Roman"/>
          <w:b w:val="0"/>
          <w:i w:val="0"/>
          <w:sz w:val="22"/>
        </w:rPr>
        <w:t>- Booking Requests receive Mode C requests from the Seller Dashboard's Logistics Builder (16.10).</w:t>
      </w:r>
    </w:p>
    <w:p>
      <w:pPr>
        <w:spacing w:after="80" w:line="293" w:lineRule="auto"/>
        <w:ind w:left="283"/>
        <w:jc w:val="left"/>
      </w:pPr>
      <w:r>
        <w:rPr>
          <w:rFonts w:ascii="Times New Roman" w:hAnsi="Times New Roman" w:cs="Times New Roman"/>
          <w:b w:val="0"/>
          <w:i w:val="0"/>
          <w:sz w:val="22"/>
        </w:rPr>
        <w:t>- Booking confirmation and addendum signing complete Phase 3 logistics contracting (Section 9).</w:t>
      </w:r>
    </w:p>
    <w:p>
      <w:pPr>
        <w:spacing w:after="80" w:line="293" w:lineRule="auto"/>
        <w:ind w:left="283"/>
        <w:jc w:val="left"/>
      </w:pPr>
      <w:r>
        <w:rPr>
          <w:rFonts w:ascii="Times New Roman" w:hAnsi="Times New Roman" w:cs="Times New Roman"/>
          <w:b w:val="0"/>
          <w:i w:val="0"/>
          <w:sz w:val="22"/>
        </w:rPr>
        <w:t>- eBL issuance writes to the documents store (Section 17) and government integrations</w:t>
      </w:r>
    </w:p>
    <w:p>
      <w:pPr>
        <w:spacing w:after="80" w:line="293" w:lineRule="auto"/>
        <w:jc w:val="left"/>
      </w:pPr>
      <w:r>
        <w:rPr>
          <w:rFonts w:ascii="Times New Roman" w:hAnsi="Times New Roman" w:cs="Times New Roman"/>
          <w:b w:val="0"/>
          <w:i w:val="0"/>
          <w:sz w:val="22"/>
        </w:rPr>
        <w:t>(Section 20).</w:t>
      </w:r>
    </w:p>
    <w:p>
      <w:pPr>
        <w:spacing w:after="80" w:line="293" w:lineRule="auto"/>
        <w:ind w:left="283"/>
        <w:jc w:val="left"/>
      </w:pPr>
      <w:r>
        <w:rPr>
          <w:rFonts w:ascii="Times New Roman" w:hAnsi="Times New Roman" w:cs="Times New Roman"/>
          <w:b w:val="0"/>
          <w:i w:val="0"/>
          <w:sz w:val="22"/>
        </w:rPr>
        <w:t>- Milestone updates feed the shipment event spine and buyer tracking (Section 12).</w:t>
      </w:r>
    </w:p>
    <w:p>
      <w:pPr>
        <w:spacing w:after="80" w:line="293" w:lineRule="auto"/>
        <w:ind w:left="283"/>
        <w:jc w:val="left"/>
      </w:pPr>
      <w:r>
        <w:rPr>
          <w:rFonts w:ascii="Times New Roman" w:hAnsi="Times New Roman" w:cs="Times New Roman"/>
          <w:b w:val="0"/>
          <w:i w:val="0"/>
          <w:sz w:val="22"/>
        </w:rPr>
        <w:t>- Freight invoices feed the Stage 2 payment plan (Section 13) and container release gates</w:t>
      </w:r>
    </w:p>
    <w:p>
      <w:pPr>
        <w:spacing w:after="80" w:line="293" w:lineRule="auto"/>
        <w:jc w:val="left"/>
      </w:pPr>
      <w:r>
        <w:rPr>
          <w:rFonts w:ascii="Times New Roman" w:hAnsi="Times New Roman" w:cs="Times New Roman"/>
          <w:b w:val="0"/>
          <w:i w:val="0"/>
          <w:sz w:val="22"/>
        </w:rPr>
        <w:t>(Section 12).</w:t>
      </w:r>
    </w:p>
    <w:p>
      <w:pPr>
        <w:spacing w:after="80" w:line="293" w:lineRule="auto"/>
        <w:ind w:left="283"/>
        <w:jc w:val="left"/>
      </w:pPr>
      <w:r>
        <w:rPr>
          <w:rFonts w:ascii="Times New Roman" w:hAnsi="Times New Roman" w:cs="Times New Roman"/>
          <w:b w:val="0"/>
          <w:i w:val="0"/>
          <w:sz w:val="22"/>
        </w:rPr>
        <w:t>- Contract rate auto-application supports quote submission; performance metrics feed the provider</w:t>
      </w:r>
    </w:p>
    <w:p>
      <w:pPr>
        <w:spacing w:after="80" w:line="293" w:lineRule="auto"/>
        <w:jc w:val="left"/>
      </w:pPr>
      <w:r>
        <w:rPr>
          <w:rFonts w:ascii="Times New Roman" w:hAnsi="Times New Roman" w:cs="Times New Roman"/>
          <w:b w:val="0"/>
          <w:i w:val="0"/>
          <w:sz w:val="22"/>
        </w:rPr>
        <w:t>performance model (Section 11).</w:t>
      </w:r>
    </w:p>
    <w:p>
      <w:pPr>
        <w:keepNext/>
        <w:spacing w:before="180" w:after="80"/>
        <w:outlineLvl w:val="2"/>
      </w:pPr>
      <w:r>
        <w:rPr>
          <w:rFonts w:ascii="Arial" w:hAnsi="Arial" w:cs="Arial"/>
          <w:b/>
          <w:i w:val="0"/>
          <w:color w:val="333333"/>
          <w:sz w:val="23"/>
        </w:rPr>
        <w:t>16.12.8 Implementation Checklist (SHIP Portal)</w:t>
      </w:r>
    </w:p>
    <w:p>
      <w:pPr>
        <w:keepNext/>
        <w:spacing w:before="140" w:after="60"/>
        <w:outlineLvl w:val="3"/>
      </w:pPr>
      <w:r>
        <w:rPr>
          <w:rFonts w:ascii="Arial" w:hAnsi="Arial" w:cs="Arial"/>
          <w:b/>
          <w:i/>
          <w:color w:val="333333"/>
          <w:sz w:val="22"/>
        </w:rPr>
        <w:t>16.12.8.1 Universal Command Center</w:t>
      </w:r>
    </w:p>
    <w:p>
      <w:pPr>
        <w:spacing w:after="80" w:line="293" w:lineRule="auto"/>
        <w:jc w:val="left"/>
      </w:pPr>
      <w:r>
        <w:rPr>
          <w:rFonts w:ascii="Times New Roman" w:hAnsi="Times New Roman" w:cs="Times New Roman"/>
          <w:b w:val="0"/>
          <w:i w:val="0"/>
          <w:sz w:val="22"/>
        </w:rPr>
        <w:t>Build the Universal Command Center (16.13) with SHIP-specific cards (Pending Booking Requests, Active Bookings, eBL Signatures Pending, Outstanding Freight Invoices, Performance Summary). Add quick actions (View Booking Requests, Issue eBL, Update Vessel Schedule, Generate Invoice, Add Contract Rate, Configure AIS Feed, Contact Support). Integrate the AI Operations Assistant (A1, Groq).</w:t>
      </w:r>
    </w:p>
    <w:p>
      <w:pPr>
        <w:keepNext/>
        <w:spacing w:before="140" w:after="60"/>
        <w:outlineLvl w:val="3"/>
      </w:pPr>
      <w:r>
        <w:rPr>
          <w:rFonts w:ascii="Arial" w:hAnsi="Arial" w:cs="Arial"/>
          <w:b/>
          <w:i/>
          <w:color w:val="333333"/>
          <w:sz w:val="22"/>
        </w:rPr>
        <w:t>16.12.8.2 Booking Requests</w:t>
      </w:r>
    </w:p>
    <w:p>
      <w:pPr>
        <w:spacing w:after="80" w:line="293" w:lineRule="auto"/>
        <w:ind w:left="283"/>
        <w:jc w:val="left"/>
      </w:pPr>
      <w:r>
        <w:rPr>
          <w:rFonts w:ascii="Times New Roman" w:hAnsi="Times New Roman" w:cs="Times New Roman"/>
          <w:b w:val="0"/>
          <w:i w:val="0"/>
          <w:sz w:val="22"/>
        </w:rPr>
        <w:t>- Booking requests list with seller name, commodity, container type, sailing window, add-on</w:t>
      </w:r>
    </w:p>
    <w:p>
      <w:pPr>
        <w:spacing w:after="80" w:line="293" w:lineRule="auto"/>
        <w:jc w:val="left"/>
      </w:pPr>
      <w:r>
        <w:rPr>
          <w:rFonts w:ascii="Times New Roman" w:hAnsi="Times New Roman" w:cs="Times New Roman"/>
          <w:b w:val="0"/>
          <w:i w:val="0"/>
          <w:sz w:val="22"/>
        </w:rPr>
        <w:t>services.</w:t>
      </w:r>
    </w:p>
    <w:p>
      <w:pPr>
        <w:spacing w:after="80" w:line="293" w:lineRule="auto"/>
        <w:ind w:left="283"/>
        <w:jc w:val="left"/>
      </w:pPr>
      <w:r>
        <w:rPr>
          <w:rFonts w:ascii="Times New Roman" w:hAnsi="Times New Roman" w:cs="Times New Roman"/>
          <w:b w:val="0"/>
          <w:i w:val="0"/>
          <w:sz w:val="22"/>
        </w:rPr>
        <w:t>- Request details view with full trade data.</w:t>
      </w:r>
    </w:p>
    <w:p>
      <w:pPr>
        <w:spacing w:after="80" w:line="293" w:lineRule="auto"/>
        <w:ind w:left="283"/>
        <w:jc w:val="left"/>
      </w:pPr>
      <w:r>
        <w:rPr>
          <w:rFonts w:ascii="Times New Roman" w:hAnsi="Times New Roman" w:cs="Times New Roman"/>
          <w:b w:val="0"/>
          <w:i w:val="0"/>
          <w:sz w:val="22"/>
        </w:rPr>
        <w:t>- Quote submission with contract rates (auto-apply) or catalogue, surcharges, add-on bundling.</w:t>
      </w:r>
    </w:p>
    <w:p>
      <w:pPr>
        <w:spacing w:after="80" w:line="293" w:lineRule="auto"/>
        <w:ind w:left="283"/>
        <w:jc w:val="left"/>
      </w:pPr>
      <w:r>
        <w:rPr>
          <w:rFonts w:ascii="Times New Roman" w:hAnsi="Times New Roman" w:cs="Times New Roman"/>
          <w:b w:val="0"/>
          <w:i w:val="0"/>
          <w:sz w:val="22"/>
        </w:rPr>
        <w:t>- Decline with mandatory reason.</w:t>
      </w:r>
    </w:p>
    <w:p>
      <w:pPr>
        <w:spacing w:after="80" w:line="293" w:lineRule="auto"/>
        <w:ind w:left="283"/>
        <w:jc w:val="left"/>
      </w:pPr>
      <w:r>
        <w:rPr>
          <w:rFonts w:ascii="Times New Roman" w:hAnsi="Times New Roman" w:cs="Times New Roman"/>
          <w:b w:val="0"/>
          <w:i w:val="0"/>
          <w:sz w:val="22"/>
        </w:rPr>
        <w:t>- Add-on services handling (quote bundled, decline, or refer to partner).</w:t>
      </w:r>
    </w:p>
    <w:p>
      <w:pPr>
        <w:keepNext/>
        <w:spacing w:before="140" w:after="60"/>
        <w:outlineLvl w:val="3"/>
      </w:pPr>
      <w:r>
        <w:rPr>
          <w:rFonts w:ascii="Arial" w:hAnsi="Arial" w:cs="Arial"/>
          <w:b/>
          <w:i/>
          <w:color w:val="333333"/>
          <w:sz w:val="22"/>
        </w:rPr>
        <w:t>16.12.8.3 Active Bookings</w:t>
      </w:r>
    </w:p>
    <w:p>
      <w:pPr>
        <w:spacing w:after="80" w:line="293" w:lineRule="auto"/>
        <w:ind w:left="283"/>
        <w:jc w:val="left"/>
      </w:pPr>
      <w:r>
        <w:rPr>
          <w:rFonts w:ascii="Times New Roman" w:hAnsi="Times New Roman" w:cs="Times New Roman"/>
          <w:b w:val="0"/>
          <w:i w:val="0"/>
          <w:sz w:val="22"/>
        </w:rPr>
        <w:t>- Shared Shipments Vault filtered to SHIP-confirmed bookings.</w:t>
      </w:r>
    </w:p>
    <w:p>
      <w:pPr>
        <w:spacing w:after="80" w:line="293" w:lineRule="auto"/>
        <w:ind w:left="283"/>
        <w:jc w:val="left"/>
      </w:pPr>
      <w:r>
        <w:rPr>
          <w:rFonts w:ascii="Times New Roman" w:hAnsi="Times New Roman" w:cs="Times New Roman"/>
          <w:b w:val="0"/>
          <w:i w:val="0"/>
          <w:sz w:val="22"/>
        </w:rPr>
        <w:t>- Booking confirmation (returns booking reference, updates status).</w:t>
      </w:r>
    </w:p>
    <w:p>
      <w:pPr>
        <w:spacing w:after="80" w:line="293" w:lineRule="auto"/>
        <w:ind w:left="283"/>
        <w:jc w:val="left"/>
      </w:pPr>
      <w:r>
        <w:rPr>
          <w:rFonts w:ascii="Times New Roman" w:hAnsi="Times New Roman" w:cs="Times New Roman"/>
          <w:b w:val="0"/>
          <w:i w:val="0"/>
          <w:sz w:val="22"/>
        </w:rPr>
        <w:t>- eBL issuance (webhook integration with polling fallback, manual upload).</w:t>
      </w:r>
    </w:p>
    <w:p>
      <w:pPr>
        <w:spacing w:after="80" w:line="293" w:lineRule="auto"/>
        <w:ind w:left="283"/>
        <w:jc w:val="left"/>
      </w:pPr>
      <w:r>
        <w:rPr>
          <w:rFonts w:ascii="Times New Roman" w:hAnsi="Times New Roman" w:cs="Times New Roman"/>
          <w:b w:val="0"/>
          <w:i w:val="0"/>
          <w:sz w:val="22"/>
        </w:rPr>
        <w:t>- Milestone updates (departed, arrived) — portal or API.</w:t>
      </w:r>
    </w:p>
    <w:p>
      <w:pPr>
        <w:spacing w:after="80" w:line="293" w:lineRule="auto"/>
        <w:ind w:left="283"/>
        <w:jc w:val="left"/>
      </w:pPr>
      <w:r>
        <w:rPr>
          <w:rFonts w:ascii="Times New Roman" w:hAnsi="Times New Roman" w:cs="Times New Roman"/>
          <w:b w:val="0"/>
          <w:i w:val="0"/>
          <w:sz w:val="22"/>
        </w:rPr>
        <w:t>- Container release acknowledgment.</w:t>
      </w:r>
    </w:p>
    <w:p>
      <w:pPr>
        <w:keepNext/>
        <w:spacing w:before="140" w:after="60"/>
        <w:outlineLvl w:val="3"/>
      </w:pPr>
      <w:r>
        <w:rPr>
          <w:rFonts w:ascii="Arial" w:hAnsi="Arial" w:cs="Arial"/>
          <w:b/>
          <w:i/>
          <w:color w:val="333333"/>
          <w:sz w:val="22"/>
        </w:rPr>
        <w:t>16.12.8.4 Vessel Schedule</w:t>
      </w:r>
    </w:p>
    <w:p>
      <w:pPr>
        <w:spacing w:after="80" w:line="293" w:lineRule="auto"/>
        <w:ind w:left="283"/>
        <w:jc w:val="left"/>
      </w:pPr>
      <w:r>
        <w:rPr>
          <w:rFonts w:ascii="Times New Roman" w:hAnsi="Times New Roman" w:cs="Times New Roman"/>
          <w:b w:val="0"/>
          <w:i w:val="0"/>
          <w:sz w:val="22"/>
        </w:rPr>
        <w:t>- Interactive calendar with vessel rotations.</w:t>
      </w:r>
    </w:p>
    <w:p>
      <w:pPr>
        <w:spacing w:after="80" w:line="293" w:lineRule="auto"/>
        <w:ind w:left="283"/>
        <w:jc w:val="left"/>
      </w:pPr>
      <w:r>
        <w:rPr>
          <w:rFonts w:ascii="Times New Roman" w:hAnsi="Times New Roman" w:cs="Times New Roman"/>
          <w:b w:val="0"/>
          <w:i w:val="0"/>
          <w:sz w:val="22"/>
        </w:rPr>
        <w:t>- Edit ETD/ETA, port sequence; propagate changes via Smart Inbox.</w:t>
      </w:r>
    </w:p>
    <w:p>
      <w:pPr>
        <w:spacing w:after="80" w:line="293" w:lineRule="auto"/>
        <w:ind w:left="283"/>
        <w:jc w:val="left"/>
      </w:pPr>
      <w:r>
        <w:rPr>
          <w:rFonts w:ascii="Times New Roman" w:hAnsi="Times New Roman" w:cs="Times New Roman"/>
          <w:b w:val="0"/>
          <w:i w:val="0"/>
          <w:sz w:val="22"/>
        </w:rPr>
        <w:t>- AIS integration (optional) — SHIP-provided feed or public fallback.</w:t>
      </w:r>
    </w:p>
    <w:p>
      <w:pPr>
        <w:spacing w:after="80" w:line="293" w:lineRule="auto"/>
        <w:ind w:left="283"/>
        <w:jc w:val="left"/>
      </w:pPr>
      <w:r>
        <w:rPr>
          <w:rFonts w:ascii="Times New Roman" w:hAnsi="Times New Roman" w:cs="Times New Roman"/>
          <w:b w:val="0"/>
          <w:i w:val="0"/>
          <w:sz w:val="22"/>
        </w:rPr>
        <w:t>- Port congestion alerts (RIA, A2).</w:t>
      </w:r>
    </w:p>
    <w:p>
      <w:pPr>
        <w:keepNext/>
        <w:spacing w:before="140" w:after="60"/>
        <w:outlineLvl w:val="3"/>
      </w:pPr>
      <w:r>
        <w:rPr>
          <w:rFonts w:ascii="Arial" w:hAnsi="Arial" w:cs="Arial"/>
          <w:b/>
          <w:i/>
          <w:color w:val="333333"/>
          <w:sz w:val="22"/>
        </w:rPr>
        <w:t>16.12.8.5 Freight Invoices</w:t>
      </w:r>
    </w:p>
    <w:p>
      <w:pPr>
        <w:spacing w:after="80" w:line="293" w:lineRule="auto"/>
        <w:ind w:left="283"/>
        <w:jc w:val="left"/>
      </w:pPr>
      <w:r>
        <w:rPr>
          <w:rFonts w:ascii="Times New Roman" w:hAnsi="Times New Roman" w:cs="Times New Roman"/>
          <w:b w:val="0"/>
          <w:i w:val="0"/>
          <w:sz w:val="22"/>
        </w:rPr>
        <w:t>- Invoice list with credit/mandatory terms, due dates, status.</w:t>
      </w:r>
    </w:p>
    <w:p>
      <w:pPr>
        <w:spacing w:after="80" w:line="293" w:lineRule="auto"/>
        <w:ind w:left="283"/>
        <w:jc w:val="left"/>
      </w:pPr>
      <w:r>
        <w:rPr>
          <w:rFonts w:ascii="Times New Roman" w:hAnsi="Times New Roman" w:cs="Times New Roman"/>
          <w:b w:val="0"/>
          <w:i w:val="0"/>
          <w:sz w:val="22"/>
        </w:rPr>
        <w:t>- Invoice generation (PDF or structured data).</w:t>
      </w:r>
    </w:p>
    <w:p>
      <w:pPr>
        <w:spacing w:after="80" w:line="293" w:lineRule="auto"/>
        <w:ind w:left="283"/>
        <w:jc w:val="left"/>
      </w:pPr>
      <w:r>
        <w:rPr>
          <w:rFonts w:ascii="Times New Roman" w:hAnsi="Times New Roman" w:cs="Times New Roman"/>
          <w:b w:val="0"/>
          <w:i w:val="0"/>
          <w:sz w:val="22"/>
        </w:rPr>
        <w:t>- Credit terms handling (container release without payment).</w:t>
      </w:r>
    </w:p>
    <w:p>
      <w:pPr>
        <w:spacing w:after="80" w:line="293" w:lineRule="auto"/>
        <w:ind w:left="283"/>
        <w:jc w:val="left"/>
      </w:pPr>
      <w:r>
        <w:rPr>
          <w:rFonts w:ascii="Times New Roman" w:hAnsi="Times New Roman" w:cs="Times New Roman"/>
          <w:b w:val="0"/>
          <w:i w:val="0"/>
          <w:sz w:val="22"/>
        </w:rPr>
        <w:t>- Payment confirmation (bank camt.054).</w:t>
      </w:r>
    </w:p>
    <w:p>
      <w:pPr>
        <w:spacing w:after="80" w:line="293" w:lineRule="auto"/>
        <w:ind w:left="283"/>
        <w:jc w:val="left"/>
      </w:pPr>
      <w:r>
        <w:rPr>
          <w:rFonts w:ascii="Times New Roman" w:hAnsi="Times New Roman" w:cs="Times New Roman"/>
          <w:b w:val="0"/>
          <w:i w:val="0"/>
          <w:sz w:val="22"/>
        </w:rPr>
        <w:t>- Dispute link.</w:t>
      </w:r>
    </w:p>
    <w:p>
      <w:pPr>
        <w:keepNext/>
        <w:spacing w:before="140" w:after="60"/>
        <w:outlineLvl w:val="3"/>
      </w:pPr>
      <w:r>
        <w:rPr>
          <w:rFonts w:ascii="Arial" w:hAnsi="Arial" w:cs="Arial"/>
          <w:b/>
          <w:i/>
          <w:color w:val="333333"/>
          <w:sz w:val="22"/>
        </w:rPr>
        <w:t>16.12.8.6 Contract Rate Manager</w:t>
      </w:r>
    </w:p>
    <w:p>
      <w:pPr>
        <w:spacing w:after="80" w:line="293" w:lineRule="auto"/>
        <w:ind w:left="283"/>
        <w:jc w:val="left"/>
      </w:pPr>
      <w:r>
        <w:rPr>
          <w:rFonts w:ascii="Times New Roman" w:hAnsi="Times New Roman" w:cs="Times New Roman"/>
          <w:b w:val="0"/>
          <w:i w:val="0"/>
          <w:sz w:val="22"/>
        </w:rPr>
        <w:t>- Contract list per seller (private, never visible to other sellers).</w:t>
      </w:r>
    </w:p>
    <w:p>
      <w:pPr>
        <w:spacing w:after="80" w:line="293" w:lineRule="auto"/>
        <w:ind w:left="283"/>
        <w:jc w:val="left"/>
      </w:pPr>
      <w:r>
        <w:rPr>
          <w:rFonts w:ascii="Times New Roman" w:hAnsi="Times New Roman" w:cs="Times New Roman"/>
          <w:b w:val="0"/>
          <w:i w:val="0"/>
          <w:sz w:val="22"/>
        </w:rPr>
        <w:t>- Add contract (manual or PDF upload with AI extraction, A2).</w:t>
      </w:r>
    </w:p>
    <w:p>
      <w:pPr>
        <w:spacing w:after="80" w:line="293" w:lineRule="auto"/>
        <w:ind w:left="283"/>
        <w:jc w:val="left"/>
      </w:pPr>
      <w:r>
        <w:rPr>
          <w:rFonts w:ascii="Times New Roman" w:hAnsi="Times New Roman" w:cs="Times New Roman"/>
          <w:b w:val="0"/>
          <w:i w:val="0"/>
          <w:sz w:val="22"/>
        </w:rPr>
        <w:t>- Edit/delete contract.</w:t>
      </w:r>
    </w:p>
    <w:p>
      <w:pPr>
        <w:spacing w:after="80" w:line="293" w:lineRule="auto"/>
        <w:ind w:left="283"/>
        <w:jc w:val="left"/>
      </w:pPr>
      <w:r>
        <w:rPr>
          <w:rFonts w:ascii="Times New Roman" w:hAnsi="Times New Roman" w:cs="Times New Roman"/>
          <w:b w:val="0"/>
          <w:i w:val="0"/>
          <w:sz w:val="22"/>
        </w:rPr>
        <w:t>- Rate expiry alerts (30 days before).</w:t>
      </w:r>
    </w:p>
    <w:p>
      <w:pPr>
        <w:keepNext/>
        <w:spacing w:before="140" w:after="60"/>
        <w:outlineLvl w:val="3"/>
      </w:pPr>
      <w:r>
        <w:rPr>
          <w:rFonts w:ascii="Arial" w:hAnsi="Arial" w:cs="Arial"/>
          <w:b/>
          <w:i/>
          <w:color w:val="333333"/>
          <w:sz w:val="22"/>
        </w:rPr>
        <w:t>16.12.8.7 Performance</w:t>
      </w:r>
    </w:p>
    <w:p>
      <w:pPr>
        <w:spacing w:after="80" w:line="293" w:lineRule="auto"/>
        <w:ind w:left="283"/>
        <w:jc w:val="left"/>
      </w:pPr>
      <w:r>
        <w:rPr>
          <w:rFonts w:ascii="Times New Roman" w:hAnsi="Times New Roman" w:cs="Times New Roman"/>
          <w:b w:val="0"/>
          <w:i w:val="0"/>
          <w:sz w:val="22"/>
        </w:rPr>
        <w:t>- On-time departure % (per trade lane, rolling periods).</w:t>
      </w:r>
    </w:p>
    <w:p>
      <w:pPr>
        <w:spacing w:after="80" w:line="293" w:lineRule="auto"/>
        <w:ind w:left="283"/>
        <w:jc w:val="left"/>
      </w:pPr>
      <w:r>
        <w:rPr>
          <w:rFonts w:ascii="Times New Roman" w:hAnsi="Times New Roman" w:cs="Times New Roman"/>
          <w:b w:val="0"/>
          <w:i w:val="0"/>
          <w:sz w:val="22"/>
        </w:rPr>
        <w:t>- eBL issuance latency.</w:t>
      </w:r>
    </w:p>
    <w:p>
      <w:pPr>
        <w:spacing w:after="80" w:line="293" w:lineRule="auto"/>
        <w:ind w:left="283"/>
        <w:jc w:val="left"/>
      </w:pPr>
      <w:r>
        <w:rPr>
          <w:rFonts w:ascii="Times New Roman" w:hAnsi="Times New Roman" w:cs="Times New Roman"/>
          <w:b w:val="0"/>
          <w:i w:val="0"/>
          <w:sz w:val="22"/>
        </w:rPr>
        <w:t>- Dispute rate.</w:t>
      </w:r>
    </w:p>
    <w:p>
      <w:pPr>
        <w:spacing w:after="80" w:line="293" w:lineRule="auto"/>
        <w:ind w:left="283"/>
        <w:jc w:val="left"/>
      </w:pPr>
      <w:r>
        <w:rPr>
          <w:rFonts w:ascii="Times New Roman" w:hAnsi="Times New Roman" w:cs="Times New Roman"/>
          <w:b w:val="0"/>
          <w:i w:val="0"/>
          <w:sz w:val="22"/>
        </w:rPr>
        <w:t>- Anonymous benchmark (differential privacy, ε = 0.1, A2).</w:t>
      </w:r>
    </w:p>
    <w:p>
      <w:pPr>
        <w:spacing w:after="80" w:line="293" w:lineRule="auto"/>
        <w:ind w:left="283"/>
        <w:jc w:val="left"/>
      </w:pPr>
      <w:r>
        <w:rPr>
          <w:rFonts w:ascii="Times New Roman" w:hAnsi="Times New Roman" w:cs="Times New Roman"/>
          <w:b w:val="0"/>
          <w:i w:val="0"/>
          <w:sz w:val="22"/>
        </w:rPr>
        <w:t>- Groq performance summary (A1).</w:t>
      </w:r>
    </w:p>
    <w:p>
      <w:pPr>
        <w:spacing w:after="80" w:line="293" w:lineRule="auto"/>
        <w:ind w:left="283"/>
        <w:jc w:val="left"/>
      </w:pPr>
      <w:r>
        <w:rPr>
          <w:rFonts w:ascii="Times New Roman" w:hAnsi="Times New Roman" w:cs="Times New Roman"/>
          <w:b w:val="0"/>
          <w:i w:val="0"/>
          <w:sz w:val="22"/>
        </w:rPr>
        <w:t>- Download report.</w:t>
      </w:r>
    </w:p>
    <w:p>
      <w:pPr>
        <w:keepNext/>
        <w:spacing w:before="140" w:after="60"/>
        <w:outlineLvl w:val="3"/>
      </w:pPr>
      <w:r>
        <w:rPr>
          <w:rFonts w:ascii="Arial" w:hAnsi="Arial" w:cs="Arial"/>
          <w:b/>
          <w:i/>
          <w:color w:val="333333"/>
          <w:sz w:val="22"/>
        </w:rPr>
        <w:t>16.12.8.8 Company Admin</w:t>
      </w:r>
    </w:p>
    <w:p>
      <w:pPr>
        <w:spacing w:after="80" w:line="293" w:lineRule="auto"/>
        <w:ind w:left="283"/>
        <w:jc w:val="left"/>
      </w:pPr>
      <w:r>
        <w:rPr>
          <w:rFonts w:ascii="Times New Roman" w:hAnsi="Times New Roman" w:cs="Times New Roman"/>
          <w:b w:val="0"/>
          <w:i w:val="0"/>
          <w:sz w:val="22"/>
        </w:rPr>
        <w:t>- Employee management (invite, roles: Operator, eBL Signatory, Viewer, Admin).</w:t>
      </w:r>
    </w:p>
    <w:p>
      <w:pPr>
        <w:spacing w:after="80" w:line="293" w:lineRule="auto"/>
        <w:ind w:left="283"/>
        <w:jc w:val="left"/>
      </w:pPr>
      <w:r>
        <w:rPr>
          <w:rFonts w:ascii="Times New Roman" w:hAnsi="Times New Roman" w:cs="Times New Roman"/>
          <w:b w:val="0"/>
          <w:i w:val="0"/>
          <w:sz w:val="22"/>
        </w:rPr>
        <w:t>- Service catalogue (serviceable ports, vessel schedules, base freight rates).</w:t>
      </w:r>
    </w:p>
    <w:p>
      <w:pPr>
        <w:spacing w:after="80" w:line="293" w:lineRule="auto"/>
        <w:ind w:left="283"/>
        <w:jc w:val="left"/>
      </w:pPr>
      <w:r>
        <w:rPr>
          <w:rFonts w:ascii="Times New Roman" w:hAnsi="Times New Roman" w:cs="Times New Roman"/>
          <w:b w:val="0"/>
          <w:i w:val="0"/>
          <w:sz w:val="22"/>
        </w:rPr>
        <w:t>- eBL platform integration (webhook URL, API credentials, test connection).</w:t>
      </w:r>
    </w:p>
    <w:p>
      <w:pPr>
        <w:spacing w:after="80" w:line="293" w:lineRule="auto"/>
        <w:ind w:left="283"/>
        <w:jc w:val="left"/>
      </w:pPr>
      <w:r>
        <w:rPr>
          <w:rFonts w:ascii="Times New Roman" w:hAnsi="Times New Roman" w:cs="Times New Roman"/>
          <w:b w:val="0"/>
          <w:i w:val="0"/>
          <w:sz w:val="22"/>
        </w:rPr>
        <w:t>- AIS feed configuration (optional).</w:t>
      </w:r>
    </w:p>
    <w:p>
      <w:pPr>
        <w:spacing w:after="80" w:line="293" w:lineRule="auto"/>
        <w:ind w:left="283"/>
        <w:jc w:val="left"/>
      </w:pPr>
      <w:r>
        <w:rPr>
          <w:rFonts w:ascii="Times New Roman" w:hAnsi="Times New Roman" w:cs="Times New Roman"/>
          <w:b w:val="0"/>
          <w:i w:val="0"/>
          <w:sz w:val="22"/>
        </w:rPr>
        <w:t>- Branding (logo, colour scheme).</w:t>
      </w:r>
    </w:p>
    <w:p>
      <w:pPr>
        <w:keepNext/>
        <w:spacing w:before="140" w:after="60"/>
        <w:outlineLvl w:val="3"/>
      </w:pPr>
      <w:r>
        <w:rPr>
          <w:rFonts w:ascii="Arial" w:hAnsi="Arial" w:cs="Arial"/>
          <w:b/>
          <w:i/>
          <w:color w:val="333333"/>
          <w:sz w:val="22"/>
        </w:rPr>
        <w:t>16.12.8.9 Testing</w:t>
      </w:r>
    </w:p>
    <w:p>
      <w:pPr>
        <w:spacing w:after="80" w:line="293" w:lineRule="auto"/>
        <w:ind w:left="283"/>
        <w:jc w:val="left"/>
      </w:pPr>
      <w:r>
        <w:rPr>
          <w:rFonts w:ascii="Times New Roman" w:hAnsi="Times New Roman" w:cs="Times New Roman"/>
          <w:b w:val="0"/>
          <w:i w:val="0"/>
          <w:sz w:val="22"/>
        </w:rPr>
        <w:t>- Test SHIP booking request flow: receive request (via Mode C) → send quote → quote accepted →</w:t>
      </w:r>
    </w:p>
    <w:p>
      <w:pPr>
        <w:spacing w:after="80" w:line="293" w:lineRule="auto"/>
        <w:jc w:val="left"/>
      </w:pPr>
      <w:r>
        <w:rPr>
          <w:rFonts w:ascii="Times New Roman" w:hAnsi="Times New Roman" w:cs="Times New Roman"/>
          <w:b w:val="0"/>
          <w:i w:val="0"/>
          <w:sz w:val="22"/>
        </w:rPr>
        <w:t>sign addendum → confirm booking → issue eBL → update milestone → receive payment (webhook).</w:t>
      </w:r>
    </w:p>
    <w:p>
      <w:pPr>
        <w:spacing w:after="80" w:line="293" w:lineRule="auto"/>
        <w:ind w:left="283"/>
        <w:jc w:val="left"/>
      </w:pPr>
      <w:r>
        <w:rPr>
          <w:rFonts w:ascii="Times New Roman" w:hAnsi="Times New Roman" w:cs="Times New Roman"/>
          <w:b w:val="0"/>
          <w:i w:val="0"/>
          <w:sz w:val="22"/>
        </w:rPr>
        <w:t>- Test add-on services bundling (trucking, customs broker, insurance).</w:t>
      </w:r>
    </w:p>
    <w:p>
      <w:pPr>
        <w:spacing w:after="80" w:line="293" w:lineRule="auto"/>
        <w:ind w:left="283"/>
        <w:jc w:val="left"/>
      </w:pPr>
      <w:r>
        <w:rPr>
          <w:rFonts w:ascii="Times New Roman" w:hAnsi="Times New Roman" w:cs="Times New Roman"/>
          <w:b w:val="0"/>
          <w:i w:val="0"/>
          <w:sz w:val="22"/>
        </w:rPr>
        <w:t>- Test eBL webhook integration with polling fallback.</w:t>
      </w:r>
    </w:p>
    <w:p>
      <w:pPr>
        <w:spacing w:after="80" w:line="293" w:lineRule="auto"/>
        <w:ind w:left="283"/>
        <w:jc w:val="left"/>
      </w:pPr>
      <w:r>
        <w:rPr>
          <w:rFonts w:ascii="Times New Roman" w:hAnsi="Times New Roman" w:cs="Times New Roman"/>
          <w:b w:val="0"/>
          <w:i w:val="0"/>
          <w:sz w:val="22"/>
        </w:rPr>
        <w:t>- Test vessel schedule edit and propagation.</w:t>
      </w:r>
    </w:p>
    <w:p>
      <w:pPr>
        <w:spacing w:after="80" w:line="293" w:lineRule="auto"/>
        <w:ind w:left="283"/>
        <w:jc w:val="left"/>
      </w:pPr>
      <w:r>
        <w:rPr>
          <w:rFonts w:ascii="Times New Roman" w:hAnsi="Times New Roman" w:cs="Times New Roman"/>
          <w:b w:val="0"/>
          <w:i w:val="0"/>
          <w:sz w:val="22"/>
        </w:rPr>
        <w:t>- Test AIS integration (SHIP-provided vs public fallback).</w:t>
      </w:r>
    </w:p>
    <w:p>
      <w:pPr>
        <w:spacing w:after="80" w:line="293" w:lineRule="auto"/>
        <w:ind w:left="283"/>
        <w:jc w:val="left"/>
      </w:pPr>
      <w:r>
        <w:rPr>
          <w:rFonts w:ascii="Times New Roman" w:hAnsi="Times New Roman" w:cs="Times New Roman"/>
          <w:b w:val="0"/>
          <w:i w:val="0"/>
          <w:sz w:val="22"/>
        </w:rPr>
        <w:t>- Test contract rate auto-application.</w:t>
      </w:r>
    </w:p>
    <w:p>
      <w:pPr>
        <w:spacing w:after="80" w:line="293" w:lineRule="auto"/>
        <w:ind w:left="283"/>
        <w:jc w:val="left"/>
      </w:pPr>
      <w:r>
        <w:rPr>
          <w:rFonts w:ascii="Times New Roman" w:hAnsi="Times New Roman" w:cs="Times New Roman"/>
          <w:b w:val="0"/>
          <w:i w:val="0"/>
          <w:sz w:val="22"/>
        </w:rPr>
        <w:t>- Test freight invoice generation and payment confirmation.</w:t>
      </w:r>
    </w:p>
    <w:p>
      <w:pPr>
        <w:spacing w:after="80" w:line="293" w:lineRule="auto"/>
        <w:ind w:left="283"/>
        <w:jc w:val="left"/>
      </w:pPr>
      <w:r>
        <w:rPr>
          <w:rFonts w:ascii="Times New Roman" w:hAnsi="Times New Roman" w:cs="Times New Roman"/>
          <w:b w:val="0"/>
          <w:i w:val="0"/>
          <w:sz w:val="22"/>
        </w:rPr>
        <w:t>- Test multi-shipment per-shipment bookings.</w:t>
      </w:r>
    </w:p>
    <w:p>
      <w:pPr>
        <w:keepNext/>
        <w:spacing w:before="180" w:after="80"/>
        <w:outlineLvl w:val="2"/>
      </w:pPr>
      <w:r>
        <w:rPr>
          <w:rFonts w:ascii="Arial" w:hAnsi="Arial" w:cs="Arial"/>
          <w:b/>
          <w:i w:val="0"/>
          <w:color w:val="333333"/>
          <w:sz w:val="23"/>
        </w:rPr>
        <w:t>16.12.9 AI Authority Summary</w:t>
      </w:r>
    </w:p>
    <w:p>
      <w:pPr>
        <w:spacing w:after="80" w:line="293" w:lineRule="auto"/>
        <w:jc w:val="left"/>
      </w:pPr>
      <w:r>
        <w:rPr>
          <w:rFonts w:ascii="Times New Roman" w:hAnsi="Times New Roman" w:cs="Times New Roman"/>
          <w:b w:val="0"/>
          <w:i w:val="0"/>
          <w:sz w:val="22"/>
        </w:rPr>
        <w:t>A1 (Groq → Ollama): AI Quote Assistant, performance summaries, operations assistant. A2 (HF local): port congestion detection, contract PDF rate extraction, anonymous benchmarking. A4 (OPA + WasmEdge): booking confirmation gates, eBL issuance authority, milestone update validation, credit-terms release rules.</w:t>
      </w:r>
    </w:p>
    <w:p>
      <w:pPr>
        <w:keepNext/>
        <w:spacing w:before="240" w:after="100"/>
        <w:outlineLvl w:val="1"/>
      </w:pPr>
      <w:r>
        <w:rPr>
          <w:rFonts w:ascii="Arial" w:hAnsi="Arial" w:cs="Arial"/>
          <w:b/>
          <w:i w:val="0"/>
          <w:color w:val="2E528F"/>
          <w:sz w:val="26"/>
        </w:rPr>
        <w:t>16.13 Universal Command Center</w:t>
      </w:r>
    </w:p>
    <w:p>
      <w:pPr>
        <w:keepNext/>
        <w:spacing w:before="180" w:after="80"/>
        <w:outlineLvl w:val="2"/>
      </w:pPr>
      <w:r>
        <w:rPr>
          <w:rFonts w:ascii="Arial" w:hAnsi="Arial" w:cs="Arial"/>
          <w:b/>
          <w:i w:val="0"/>
          <w:color w:val="333333"/>
          <w:sz w:val="23"/>
        </w:rPr>
        <w:t>16.13.1 Purpose &amp; Design Principles</w:t>
      </w:r>
    </w:p>
    <w:p>
      <w:pPr>
        <w:spacing w:after="80" w:line="293" w:lineRule="auto"/>
        <w:jc w:val="left"/>
      </w:pPr>
      <w:r>
        <w:rPr>
          <w:rFonts w:ascii="Times New Roman" w:hAnsi="Times New Roman" w:cs="Times New Roman"/>
          <w:b w:val="0"/>
          <w:i w:val="0"/>
          <w:sz w:val="22"/>
        </w:rPr>
        <w:t>The Universal Command Center is the primary landing page for all authenticated users before entering role-specific portals. It provides a unified dashboard for trade visibility, pending actions, compliance alerts, financial status, workflow shortcuts, and AI assistant access — all in one place. The Command Center is role-adaptive and real-time (NATS WebSocket), WCAG 2.2 Level AA compliant, and strictly non-marketplace: it never suggests counterparties or unsolicited actions.</w:t>
      </w:r>
    </w:p>
    <w:p>
      <w:pPr>
        <w:spacing w:after="80" w:line="293" w:lineRule="auto"/>
        <w:jc w:val="left"/>
      </w:pPr>
      <w:r>
        <w:rPr>
          <w:rFonts w:ascii="Times New Roman" w:hAnsi="Times New Roman" w:cs="Times New Roman"/>
          <w:b w:val="0"/>
          <w:i w:val="0"/>
          <w:sz w:val="22"/>
        </w:rPr>
        <w:t>Access: all authenticated users regardless of tenant type or role. Dual-mode toggle: visible (if DUAL, shows a combined view of both modes). Landing page: default after login (users can set a preference to bypass to their role-specific portal).</w:t>
      </w:r>
    </w:p>
    <w:p>
      <w:pPr>
        <w:spacing w:after="80" w:line="293" w:lineRule="auto"/>
        <w:jc w:val="left"/>
      </w:pPr>
      <w:r>
        <w:rPr>
          <w:rFonts w:ascii="Times New Roman" w:hAnsi="Times New Roman" w:cs="Times New Roman"/>
          <w:b w:val="0"/>
          <w:i w:val="0"/>
          <w:sz w:val="22"/>
        </w:rPr>
        <w:t>Core principles:</w:t>
      </w:r>
    </w:p>
    <w:p>
      <w:pPr>
        <w:spacing w:after="80" w:line="293" w:lineRule="auto"/>
        <w:ind w:left="283"/>
        <w:jc w:val="left"/>
      </w:pPr>
      <w:r>
        <w:rPr>
          <w:rFonts w:ascii="Times New Roman" w:hAnsi="Times New Roman" w:cs="Times New Roman"/>
          <w:b w:val="0"/>
          <w:i w:val="0"/>
          <w:sz w:val="22"/>
        </w:rPr>
        <w:t>- One-click core — every action from the Command Center executes with a single click.</w:t>
      </w:r>
    </w:p>
    <w:p>
      <w:pPr>
        <w:spacing w:after="80" w:line="293" w:lineRule="auto"/>
        <w:ind w:left="283"/>
        <w:jc w:val="left"/>
      </w:pPr>
      <w:r>
        <w:rPr>
          <w:rFonts w:ascii="Times New Roman" w:hAnsi="Times New Roman" w:cs="Times New Roman"/>
          <w:b w:val="0"/>
          <w:i w:val="0"/>
          <w:sz w:val="22"/>
        </w:rPr>
        <w:t>- Role-adaptive — content adapts to the user's role and permissions.</w:t>
      </w:r>
    </w:p>
    <w:p>
      <w:pPr>
        <w:spacing w:after="80" w:line="293" w:lineRule="auto"/>
        <w:ind w:left="283"/>
        <w:jc w:val="left"/>
      </w:pPr>
      <w:r>
        <w:rPr>
          <w:rFonts w:ascii="Times New Roman" w:hAnsi="Times New Roman" w:cs="Times New Roman"/>
          <w:b w:val="0"/>
          <w:i w:val="0"/>
          <w:sz w:val="22"/>
        </w:rPr>
        <w:t>- Real-time — all cards and metrics update via NATS WebSocket.</w:t>
      </w:r>
    </w:p>
    <w:p>
      <w:pPr>
        <w:spacing w:after="80" w:line="293" w:lineRule="auto"/>
        <w:ind w:left="283"/>
        <w:jc w:val="left"/>
      </w:pPr>
      <w:r>
        <w:rPr>
          <w:rFonts w:ascii="Times New Roman" w:hAnsi="Times New Roman" w:cs="Times New Roman"/>
          <w:b w:val="0"/>
          <w:i w:val="0"/>
          <w:sz w:val="22"/>
        </w:rPr>
        <w:t>- AI-assisted — the AI Operations Assistant provides context-aware guidance.</w:t>
      </w:r>
    </w:p>
    <w:p>
      <w:pPr>
        <w:spacing w:after="80" w:line="293" w:lineRule="auto"/>
        <w:ind w:left="283"/>
        <w:jc w:val="left"/>
      </w:pPr>
      <w:r>
        <w:rPr>
          <w:rFonts w:ascii="Times New Roman" w:hAnsi="Times New Roman" w:cs="Times New Roman"/>
          <w:b w:val="0"/>
          <w:i w:val="0"/>
          <w:sz w:val="22"/>
        </w:rPr>
        <w:t>- Non-marketplace — never suggests counterparties or unsolicited actions.</w:t>
      </w:r>
    </w:p>
    <w:p>
      <w:pPr>
        <w:spacing w:after="80" w:line="293" w:lineRule="auto"/>
        <w:ind w:left="283"/>
        <w:jc w:val="left"/>
      </w:pPr>
      <w:r>
        <w:rPr>
          <w:rFonts w:ascii="Times New Roman" w:hAnsi="Times New Roman" w:cs="Times New Roman"/>
          <w:b w:val="0"/>
          <w:i w:val="0"/>
          <w:sz w:val="22"/>
        </w:rPr>
        <w:t>- Accessible — WCAG 2.2 Level AA compliant.</w:t>
      </w:r>
    </w:p>
    <w:p>
      <w:pPr>
        <w:spacing w:after="80" w:line="293" w:lineRule="auto"/>
        <w:jc w:val="left"/>
      </w:pPr>
      <w:r>
        <w:rPr>
          <w:rFonts w:ascii="Times New Roman" w:hAnsi="Times New Roman" w:cs="Times New Roman"/>
          <w:b w:val="0"/>
          <w:i w:val="0"/>
          <w:sz w:val="22"/>
        </w:rPr>
        <w:t>AI integration: A1 (Groq → Ollama) powers the AI Operations Assistant and summary generation; all actions pass through the Governor (A4).</w:t>
      </w:r>
    </w:p>
    <w:p>
      <w:pPr>
        <w:keepNext/>
        <w:spacing w:before="180" w:after="80"/>
        <w:outlineLvl w:val="2"/>
      </w:pPr>
      <w:r>
        <w:rPr>
          <w:rFonts w:ascii="Arial" w:hAnsi="Arial" w:cs="Arial"/>
          <w:b/>
          <w:i w:val="0"/>
          <w:color w:val="333333"/>
          <w:sz w:val="23"/>
        </w:rPr>
        <w:t>16.13.2 Executive Summary Cards (Top Row)</w:t>
      </w:r>
    </w:p>
    <w:p>
      <w:pPr>
        <w:keepNext/>
        <w:spacing w:before="140" w:after="60"/>
        <w:outlineLvl w:val="3"/>
      </w:pPr>
      <w:r>
        <w:rPr>
          <w:rFonts w:ascii="Arial" w:hAnsi="Arial" w:cs="Arial"/>
          <w:b/>
          <w:i/>
          <w:color w:val="333333"/>
          <w:sz w:val="22"/>
        </w:rPr>
        <w:t>16.13.2.1 Overview</w:t>
      </w:r>
    </w:p>
    <w:p>
      <w:pPr>
        <w:spacing w:after="80" w:line="293" w:lineRule="auto"/>
        <w:jc w:val="left"/>
      </w:pPr>
      <w:r>
        <w:rPr>
          <w:rFonts w:ascii="Times New Roman" w:hAnsi="Times New Roman" w:cs="Times New Roman"/>
          <w:b w:val="0"/>
          <w:i w:val="0"/>
          <w:sz w:val="22"/>
        </w:rPr>
        <w:t>Four to six key metrics cards, configurable per role. Each card displays a key metric, a trend indicator, and a count. Clicking any card navigates to the relevant filtered view in the appropriate portal.</w:t>
      </w:r>
    </w:p>
    <w:p>
      <w:pPr>
        <w:keepNext/>
        <w:spacing w:before="140" w:after="60"/>
        <w:outlineLvl w:val="3"/>
      </w:pPr>
      <w:r>
        <w:rPr>
          <w:rFonts w:ascii="Arial" w:hAnsi="Arial" w:cs="Arial"/>
          <w:b/>
          <w:i/>
          <w:color w:val="333333"/>
          <w:sz w:val="22"/>
        </w:rPr>
        <w:t>16.13.2.2 Standard Cards (All Roles)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Card</w:t>
            </w:r>
          </w:p>
        </w:tc>
        <w:tc>
          <w:tcPr>
            <w:tcW w:type="dxa" w:w="4819"/>
            <w:shd w:val="clear" w:fill="D9E2F3"/>
          </w:tcPr>
          <w:p>
            <w:pPr>
              <w:spacing w:after="20" w:before="20" w:line="240" w:lineRule="auto"/>
            </w:pPr>
            <w:r/>
            <w:r>
              <w:rPr>
                <w:rFonts w:ascii="Arial" w:hAnsi="Arial" w:cs="Arial"/>
                <w:b/>
                <w:i w:val="0"/>
                <w:sz w:val="18"/>
              </w:rPr>
              <w:t>Metric</w:t>
            </w:r>
          </w:p>
        </w:tc>
      </w:tr>
      <w:tr>
        <w:tc>
          <w:tcPr>
            <w:tcW w:type="dxa" w:w="4819"/>
          </w:tcPr>
          <w:p>
            <w:pPr>
              <w:spacing w:after="20" w:before="20" w:line="240" w:lineRule="auto"/>
            </w:pPr>
            <w:r/>
            <w:r>
              <w:rPr>
                <w:rFonts w:ascii="Arial" w:hAnsi="Arial" w:cs="Arial"/>
                <w:b w:val="0"/>
                <w:i w:val="0"/>
                <w:sz w:val="17"/>
              </w:rPr>
              <w:t>Pending Actions</w:t>
            </w:r>
          </w:p>
        </w:tc>
        <w:tc>
          <w:tcPr>
            <w:tcW w:type="dxa" w:w="4819"/>
          </w:tcPr>
          <w:p>
            <w:pPr>
              <w:spacing w:after="20" w:before="20" w:line="240" w:lineRule="auto"/>
            </w:pPr>
            <w:r/>
            <w:r>
              <w:rPr>
                <w:rFonts w:ascii="Arial" w:hAnsi="Arial" w:cs="Arial"/>
                <w:b w:val="0"/>
                <w:i w:val="0"/>
                <w:sz w:val="17"/>
              </w:rPr>
              <w:t>Smart Inbox items requiring action (by band)</w:t>
            </w:r>
          </w:p>
        </w:tc>
      </w:tr>
      <w:tr>
        <w:tc>
          <w:tcPr>
            <w:tcW w:type="dxa" w:w="4819"/>
          </w:tcPr>
          <w:p>
            <w:pPr>
              <w:spacing w:after="20" w:before="20" w:line="240" w:lineRule="auto"/>
            </w:pPr>
            <w:r/>
            <w:r>
              <w:rPr>
                <w:rFonts w:ascii="Arial" w:hAnsi="Arial" w:cs="Arial"/>
                <w:b w:val="0"/>
                <w:i w:val="0"/>
                <w:sz w:val="17"/>
              </w:rPr>
              <w:t>Active Trades / Jobs</w:t>
            </w:r>
          </w:p>
        </w:tc>
        <w:tc>
          <w:tcPr>
            <w:tcW w:type="dxa" w:w="4819"/>
          </w:tcPr>
          <w:p>
            <w:pPr>
              <w:spacing w:after="20" w:before="20" w:line="240" w:lineRule="auto"/>
            </w:pPr>
            <w:r/>
            <w:r>
              <w:rPr>
                <w:rFonts w:ascii="Arial" w:hAnsi="Arial" w:cs="Arial"/>
                <w:b w:val="0"/>
                <w:i w:val="0"/>
                <w:sz w:val="17"/>
              </w:rPr>
              <w:t>Role-appropriate active entity count</w:t>
            </w:r>
          </w:p>
        </w:tc>
      </w:tr>
      <w:tr>
        <w:tc>
          <w:tcPr>
            <w:tcW w:type="dxa" w:w="4819"/>
          </w:tcPr>
          <w:p>
            <w:pPr>
              <w:spacing w:after="20" w:before="20" w:line="240" w:lineRule="auto"/>
            </w:pPr>
            <w:r/>
            <w:r>
              <w:rPr>
                <w:rFonts w:ascii="Arial" w:hAnsi="Arial" w:cs="Arial"/>
                <w:b w:val="0"/>
                <w:i w:val="0"/>
                <w:sz w:val="17"/>
              </w:rPr>
              <w:t>Compliance Alerts</w:t>
            </w:r>
          </w:p>
        </w:tc>
        <w:tc>
          <w:tcPr>
            <w:tcW w:type="dxa" w:w="4819"/>
          </w:tcPr>
          <w:p>
            <w:pPr>
              <w:spacing w:after="20" w:before="20" w:line="240" w:lineRule="auto"/>
            </w:pPr>
            <w:r/>
            <w:r>
              <w:rPr>
                <w:rFonts w:ascii="Arial" w:hAnsi="Arial" w:cs="Arial"/>
                <w:b w:val="0"/>
                <w:i w:val="0"/>
                <w:sz w:val="17"/>
              </w:rPr>
              <w:t>KYB, sanctions, jurisdiction alerts</w:t>
            </w:r>
          </w:p>
        </w:tc>
      </w:tr>
      <w:tr>
        <w:tc>
          <w:tcPr>
            <w:tcW w:type="dxa" w:w="4819"/>
          </w:tcPr>
          <w:p>
            <w:pPr>
              <w:spacing w:after="20" w:before="20" w:line="240" w:lineRule="auto"/>
            </w:pPr>
            <w:r/>
            <w:r>
              <w:rPr>
                <w:rFonts w:ascii="Arial" w:hAnsi="Arial" w:cs="Arial"/>
                <w:b w:val="0"/>
                <w:i w:val="0"/>
                <w:sz w:val="17"/>
              </w:rPr>
              <w:t>Payments</w:t>
            </w:r>
          </w:p>
        </w:tc>
        <w:tc>
          <w:tcPr>
            <w:tcW w:type="dxa" w:w="4819"/>
          </w:tcPr>
          <w:p>
            <w:pPr>
              <w:spacing w:after="20" w:before="20" w:line="240" w:lineRule="auto"/>
            </w:pPr>
            <w:r/>
            <w:r>
              <w:rPr>
                <w:rFonts w:ascii="Arial" w:hAnsi="Arial" w:cs="Arial"/>
                <w:b w:val="0"/>
                <w:i w:val="0"/>
                <w:sz w:val="17"/>
              </w:rPr>
              <w:t>Outstanding inbound/outbound payments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16.13.2.3 Role-Specific Cards</w:t>
      </w:r>
    </w:p>
    <w:p>
      <w:pPr>
        <w:spacing w:after="80" w:line="293" w:lineRule="auto"/>
        <w:jc w:val="left"/>
      </w:pPr>
      <w:r>
        <w:rPr>
          <w:rFonts w:ascii="Times New Roman" w:hAnsi="Times New Roman" w:cs="Times New Roman"/>
          <w:b w:val="0"/>
          <w:i w:val="0"/>
          <w:sz w:val="22"/>
        </w:rPr>
        <w:t>Role-specific card sets are defined per portal: Buyer (16.9.3 Tab 1), Seller (16.10.3 Tab 1), LSP (16.11.3 Tab 1), SHIP (16.12.3 Tab 1), LAB (16.8.7.2), QC (16.8.8.2), CBR (16.8.9.2), Bank (16.8.10.2), PFI (16.8.11.2), Government (16.8.12.5), Admin (16.8.13.4), Marketplace Partner (16.8.14.2).</w:t>
      </w:r>
    </w:p>
    <w:p>
      <w:pPr>
        <w:keepNext/>
        <w:spacing w:before="140" w:after="60"/>
        <w:outlineLvl w:val="3"/>
      </w:pPr>
      <w:r>
        <w:rPr>
          <w:rFonts w:ascii="Arial" w:hAnsi="Arial" w:cs="Arial"/>
          <w:b/>
          <w:i/>
          <w:color w:val="333333"/>
          <w:sz w:val="22"/>
        </w:rPr>
        <w:t>16.13.2.4 Card Interaction</w:t>
      </w:r>
    </w:p>
    <w:p>
      <w:pPr>
        <w:spacing w:after="80" w:line="293" w:lineRule="auto"/>
        <w:jc w:val="left"/>
      </w:pPr>
      <w:r>
        <w:rPr>
          <w:rFonts w:ascii="Times New Roman" w:hAnsi="Times New Roman" w:cs="Times New Roman"/>
          <w:b w:val="0"/>
          <w:i w:val="0"/>
          <w:sz w:val="22"/>
        </w:rPr>
        <w:t>One-click: click any card → navigates to the relevant tab.</w:t>
      </w:r>
    </w:p>
    <w:p>
      <w:pPr>
        <w:keepNext/>
        <w:spacing w:before="180" w:after="80"/>
        <w:outlineLvl w:val="2"/>
      </w:pPr>
      <w:r>
        <w:rPr>
          <w:rFonts w:ascii="Arial" w:hAnsi="Arial" w:cs="Arial"/>
          <w:b/>
          <w:i w:val="0"/>
          <w:color w:val="333333"/>
          <w:sz w:val="23"/>
        </w:rPr>
        <w:t>16.13.3 Quick Actions Grid</w:t>
      </w:r>
    </w:p>
    <w:p>
      <w:pPr>
        <w:keepNext/>
        <w:spacing w:before="140" w:after="60"/>
        <w:outlineLvl w:val="3"/>
      </w:pPr>
      <w:r>
        <w:rPr>
          <w:rFonts w:ascii="Arial" w:hAnsi="Arial" w:cs="Arial"/>
          <w:b/>
          <w:i/>
          <w:color w:val="333333"/>
          <w:sz w:val="22"/>
        </w:rPr>
        <w:t>16.13.3.1 Overview</w:t>
      </w:r>
    </w:p>
    <w:p>
      <w:pPr>
        <w:spacing w:after="80" w:line="293" w:lineRule="auto"/>
        <w:jc w:val="left"/>
      </w:pPr>
      <w:r>
        <w:rPr>
          <w:rFonts w:ascii="Times New Roman" w:hAnsi="Times New Roman" w:cs="Times New Roman"/>
          <w:b w:val="0"/>
          <w:i w:val="0"/>
          <w:sz w:val="22"/>
        </w:rPr>
        <w:t>Frequently used actions, displayed as icon + label buttons (maximum 8, configurable). The grid shows actions based on the user's role and active dual-mode context (Buyer or Seller).</w:t>
      </w:r>
    </w:p>
    <w:p>
      <w:pPr>
        <w:keepNext/>
        <w:spacing w:before="140" w:after="60"/>
        <w:outlineLvl w:val="3"/>
      </w:pPr>
      <w:r>
        <w:rPr>
          <w:rFonts w:ascii="Arial" w:hAnsi="Arial" w:cs="Arial"/>
          <w:b/>
          <w:i/>
          <w:color w:val="333333"/>
          <w:sz w:val="22"/>
        </w:rPr>
        <w:t>16.13.3.2 Standard Quick Actions</w:t>
      </w:r>
    </w:p>
    <w:p>
      <w:pPr>
        <w:spacing w:after="80" w:line="293" w:lineRule="auto"/>
        <w:jc w:val="left"/>
      </w:pPr>
      <w:r>
        <w:rPr>
          <w:rFonts w:ascii="Times New Roman" w:hAnsi="Times New Roman" w:cs="Times New Roman"/>
          <w:b w:val="0"/>
          <w:i w:val="0"/>
          <w:sz w:val="22"/>
        </w:rPr>
        <w:t>Standard actions across roles: Open Smart Inbox, Search, View Shipments, Contact Support, Open Help Center, Toggle Focus Mode.</w:t>
      </w:r>
    </w:p>
    <w:p>
      <w:pPr>
        <w:keepNext/>
        <w:spacing w:before="140" w:after="60"/>
        <w:outlineLvl w:val="3"/>
      </w:pPr>
      <w:r>
        <w:rPr>
          <w:rFonts w:ascii="Arial" w:hAnsi="Arial" w:cs="Arial"/>
          <w:b/>
          <w:i/>
          <w:color w:val="333333"/>
          <w:sz w:val="22"/>
        </w:rPr>
        <w:t>16.13.3.3 Role-Specific Quick Actions</w:t>
      </w:r>
    </w:p>
    <w:p>
      <w:pPr>
        <w:spacing w:after="80" w:line="293" w:lineRule="auto"/>
        <w:jc w:val="left"/>
      </w:pPr>
      <w:r>
        <w:rPr>
          <w:rFonts w:ascii="Times New Roman" w:hAnsi="Times New Roman" w:cs="Times New Roman"/>
          <w:b w:val="0"/>
          <w:i w:val="0"/>
          <w:sz w:val="22"/>
        </w:rPr>
        <w:t>Role-specific action sets are defined per portal (see the quick actions listed in each portal's Tab 1 specification, 16.8 through 16.12).</w:t>
      </w:r>
    </w:p>
    <w:p>
      <w:pPr>
        <w:keepNext/>
        <w:spacing w:before="140" w:after="60"/>
        <w:outlineLvl w:val="3"/>
      </w:pPr>
      <w:r>
        <w:rPr>
          <w:rFonts w:ascii="Arial" w:hAnsi="Arial" w:cs="Arial"/>
          <w:b/>
          <w:i/>
          <w:color w:val="333333"/>
          <w:sz w:val="22"/>
        </w:rPr>
        <w:t>16.13.3.4 Quick Actions Configuration</w:t>
      </w:r>
    </w:p>
    <w:p>
      <w:pPr>
        <w:spacing w:after="80" w:line="293" w:lineRule="auto"/>
        <w:jc w:val="left"/>
      </w:pPr>
      <w:r>
        <w:rPr>
          <w:rFonts w:ascii="Times New Roman" w:hAnsi="Times New Roman" w:cs="Times New Roman"/>
          <w:b w:val="0"/>
          <w:i w:val="0"/>
          <w:sz w:val="22"/>
        </w:rPr>
        <w:t>Users can customise the grid via the Settings panel: pin/unpin actions, reorder (drag-and-drop), set maximum visible actions, and reset to role defaults. Accessibility: keyboard shortcut Ctrl/Cmd + K focuses the first action.</w:t>
      </w:r>
    </w:p>
    <w:p>
      <w:pPr>
        <w:keepNext/>
        <w:spacing w:before="180" w:after="80"/>
        <w:outlineLvl w:val="2"/>
      </w:pPr>
      <w:r>
        <w:rPr>
          <w:rFonts w:ascii="Arial" w:hAnsi="Arial" w:cs="Arial"/>
          <w:b/>
          <w:i w:val="0"/>
          <w:color w:val="333333"/>
          <w:sz w:val="23"/>
        </w:rPr>
        <w:t>16.13.4 AI Operations Assistant</w:t>
      </w:r>
    </w:p>
    <w:p>
      <w:pPr>
        <w:keepNext/>
        <w:spacing w:before="140" w:after="60"/>
        <w:outlineLvl w:val="3"/>
      </w:pPr>
      <w:r>
        <w:rPr>
          <w:rFonts w:ascii="Arial" w:hAnsi="Arial" w:cs="Arial"/>
          <w:b/>
          <w:i/>
          <w:color w:val="333333"/>
          <w:sz w:val="22"/>
        </w:rPr>
        <w:t>16.13.4.1 Overview</w:t>
      </w:r>
    </w:p>
    <w:p>
      <w:pPr>
        <w:spacing w:after="80" w:line="293" w:lineRule="auto"/>
        <w:jc w:val="left"/>
      </w:pPr>
      <w:r>
        <w:rPr>
          <w:rFonts w:ascii="Times New Roman" w:hAnsi="Times New Roman" w:cs="Times New Roman"/>
          <w:b w:val="0"/>
          <w:i w:val="0"/>
          <w:sz w:val="22"/>
        </w:rPr>
        <w:t>A persistent chat panel (collapsible) at the bottom-right corner of the Command Center. The AI Assistant provides natural-language query processing, context-aware suggestions, and one-click action execution.</w:t>
      </w:r>
    </w:p>
    <w:p>
      <w:pPr>
        <w:keepNext/>
        <w:spacing w:before="140" w:after="60"/>
        <w:outlineLvl w:val="3"/>
      </w:pPr>
      <w:r>
        <w:rPr>
          <w:rFonts w:ascii="Arial" w:hAnsi="Arial" w:cs="Arial"/>
          <w:b/>
          <w:i/>
          <w:color w:val="333333"/>
          <w:sz w:val="22"/>
        </w:rPr>
        <w:t>16.13.4.2 Capabilities (A1, Groq → Ollama)</w:t>
      </w:r>
    </w:p>
    <w:p>
      <w:pPr>
        <w:spacing w:after="80" w:line="293" w:lineRule="auto"/>
        <w:ind w:left="283"/>
        <w:jc w:val="left"/>
      </w:pPr>
      <w:r>
        <w:rPr>
          <w:rFonts w:ascii="Times New Roman" w:hAnsi="Times New Roman" w:cs="Times New Roman"/>
          <w:b w:val="0"/>
          <w:i w:val="0"/>
          <w:sz w:val="22"/>
        </w:rPr>
        <w:t>- Answer questions about the user's trades, shipments, financing, and disputes.</w:t>
      </w:r>
    </w:p>
    <w:p>
      <w:pPr>
        <w:spacing w:after="80" w:line="293" w:lineRule="auto"/>
        <w:ind w:left="283"/>
        <w:jc w:val="left"/>
      </w:pPr>
      <w:r>
        <w:rPr>
          <w:rFonts w:ascii="Times New Roman" w:hAnsi="Times New Roman" w:cs="Times New Roman"/>
          <w:b w:val="0"/>
          <w:i w:val="0"/>
          <w:sz w:val="22"/>
        </w:rPr>
        <w:t>- Surface pending actions with deadlines.</w:t>
      </w:r>
    </w:p>
    <w:p>
      <w:pPr>
        <w:spacing w:after="80" w:line="293" w:lineRule="auto"/>
        <w:ind w:left="283"/>
        <w:jc w:val="left"/>
      </w:pPr>
      <w:r>
        <w:rPr>
          <w:rFonts w:ascii="Times New Roman" w:hAnsi="Times New Roman" w:cs="Times New Roman"/>
          <w:b w:val="0"/>
          <w:i w:val="0"/>
          <w:sz w:val="22"/>
        </w:rPr>
        <w:t>- Execute one-click actions directly from chat (Governor-gated).</w:t>
      </w:r>
    </w:p>
    <w:p>
      <w:pPr>
        <w:spacing w:after="80" w:line="293" w:lineRule="auto"/>
        <w:ind w:left="283"/>
        <w:jc w:val="left"/>
      </w:pPr>
      <w:r>
        <w:rPr>
          <w:rFonts w:ascii="Times New Roman" w:hAnsi="Times New Roman" w:cs="Times New Roman"/>
          <w:b w:val="0"/>
          <w:i w:val="0"/>
          <w:sz w:val="22"/>
        </w:rPr>
        <w:t>- Voice input support.</w:t>
      </w:r>
    </w:p>
    <w:p>
      <w:pPr>
        <w:spacing w:after="80" w:line="293" w:lineRule="auto"/>
        <w:ind w:left="283"/>
        <w:jc w:val="left"/>
      </w:pPr>
      <w:r>
        <w:rPr>
          <w:rFonts w:ascii="Times New Roman" w:hAnsi="Times New Roman" w:cs="Times New Roman"/>
          <w:b w:val="0"/>
          <w:i w:val="0"/>
          <w:sz w:val="22"/>
        </w:rPr>
        <w:t>- Private: chat content is session-scoped and not used for training.</w:t>
      </w:r>
    </w:p>
    <w:p>
      <w:pPr>
        <w:keepNext/>
        <w:spacing w:before="140" w:after="60"/>
        <w:outlineLvl w:val="3"/>
      </w:pPr>
      <w:r>
        <w:rPr>
          <w:rFonts w:ascii="Arial" w:hAnsi="Arial" w:cs="Arial"/>
          <w:b/>
          <w:i/>
          <w:color w:val="333333"/>
          <w:sz w:val="22"/>
        </w:rPr>
        <w:t>16.13.4.3 Example Queries &amp; Responses</w:t>
      </w:r>
    </w:p>
    <w:p>
      <w:pPr>
        <w:spacing w:after="0" w:before="0" w:line="240" w:lineRule="auto"/>
        <w:ind w:left="57"/>
        <w:jc w:val="left"/>
        <w:shd w:val="clear" w:fill="F2F2F2"/>
      </w:pPr>
      <w:r>
        <w:rPr>
          <w:rFonts w:ascii="Consolas" w:hAnsi="Consolas" w:cs="Consolas"/>
          <w:b w:val="0"/>
          <w:i w:val="0"/>
          <w:sz w:val="15"/>
        </w:rPr>
        <w:t>AI OPERATIONS ASSISTANT</w:t>
      </w:r>
    </w:p>
    <w:p>
      <w:pPr>
        <w:spacing w:after="0" w:before="0" w:line="240" w:lineRule="auto"/>
        <w:ind w:left="57"/>
        <w:jc w:val="left"/>
        <w:shd w:val="clear" w:fill="F2F2F2"/>
      </w:pPr>
      <w:r>
        <w:rPr>
          <w:rFonts w:ascii="Consolas" w:hAnsi="Consolas" w:cs="Consolas"/>
          <w:b w:val="0"/>
          <w:i w:val="0"/>
          <w:sz w:val="15"/>
        </w:rPr>
        <w:t>Good morning, Ahmed! You have 3 pending actions today:</w:t>
      </w:r>
    </w:p>
    <w:p>
      <w:pPr>
        <w:spacing w:after="0" w:before="0" w:line="240" w:lineRule="auto"/>
        <w:ind w:left="57"/>
        <w:jc w:val="left"/>
        <w:shd w:val="clear" w:fill="F2F2F2"/>
      </w:pPr>
      <w:r>
        <w:rPr>
          <w:rFonts w:ascii="Consolas" w:hAnsi="Consolas" w:cs="Consolas"/>
          <w:b w:val="0"/>
          <w:i w:val="0"/>
          <w:sz w:val="15"/>
        </w:rPr>
        <w:t xml:space="preserve">  • Sign contract for USTN-EG-001 (deadline: 14:00 UTC)</w:t>
      </w:r>
    </w:p>
    <w:p>
      <w:pPr>
        <w:spacing w:after="0" w:before="0" w:line="240" w:lineRule="auto"/>
        <w:ind w:left="57"/>
        <w:jc w:val="left"/>
        <w:shd w:val="clear" w:fill="F2F2F2"/>
      </w:pPr>
      <w:r>
        <w:rPr>
          <w:rFonts w:ascii="Consolas" w:hAnsi="Consolas" w:cs="Consolas"/>
          <w:b w:val="0"/>
          <w:i w:val="0"/>
          <w:sz w:val="15"/>
        </w:rPr>
        <w:t xml:space="preserve">  • Upload phytosanitary certificate for USTN-EG-003</w:t>
      </w:r>
    </w:p>
    <w:p>
      <w:pPr>
        <w:spacing w:after="0" w:before="0" w:line="240" w:lineRule="auto"/>
        <w:ind w:left="57"/>
        <w:jc w:val="left"/>
        <w:shd w:val="clear" w:fill="F2F2F2"/>
      </w:pPr>
      <w:r>
        <w:rPr>
          <w:rFonts w:ascii="Consolas" w:hAnsi="Consolas" w:cs="Consolas"/>
          <w:b w:val="0"/>
          <w:i w:val="0"/>
          <w:sz w:val="15"/>
        </w:rPr>
        <w:t xml:space="preserve">  • Review QC report for USTN-EG-005</w:t>
      </w:r>
    </w:p>
    <w:p>
      <w:pPr>
        <w:spacing w:after="0" w:before="0" w:line="240" w:lineRule="auto"/>
        <w:ind w:left="57"/>
        <w:jc w:val="left"/>
        <w:shd w:val="clear" w:fill="F2F2F2"/>
      </w:pPr>
      <w:r>
        <w:rPr>
          <w:rFonts w:ascii="Consolas" w:hAnsi="Consolas" w:cs="Consolas"/>
          <w:b w:val="0"/>
          <w:i w:val="0"/>
          <w:sz w:val="15"/>
        </w:rPr>
        <w:t>What would you like to do?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User: Show delayed shipments</w:t>
      </w:r>
    </w:p>
    <w:p>
      <w:pPr>
        <w:spacing w:after="0" w:before="0" w:line="240" w:lineRule="auto"/>
        <w:ind w:left="57"/>
        <w:jc w:val="left"/>
        <w:shd w:val="clear" w:fill="F2F2F2"/>
      </w:pPr>
      <w:r>
        <w:rPr>
          <w:rFonts w:ascii="Consolas" w:hAnsi="Consolas" w:cs="Consolas"/>
          <w:b w:val="0"/>
          <w:i w:val="0"/>
          <w:sz w:val="15"/>
        </w:rPr>
        <w:t>Assistant: You have 2 shipments with ETA delays:</w:t>
      </w:r>
    </w:p>
    <w:p>
      <w:pPr>
        <w:spacing w:after="0" w:before="0" w:line="240" w:lineRule="auto"/>
        <w:ind w:left="57"/>
        <w:jc w:val="left"/>
        <w:shd w:val="clear" w:fill="F2F2F2"/>
      </w:pPr>
      <w:r>
        <w:rPr>
          <w:rFonts w:ascii="Consolas" w:hAnsi="Consolas" w:cs="Consolas"/>
          <w:b w:val="0"/>
          <w:i w:val="0"/>
          <w:sz w:val="15"/>
        </w:rPr>
        <w:t xml:space="preserve">  • USTN-EG-001 — 3 days late (storm in Mediterranean)</w:t>
      </w:r>
    </w:p>
    <w:p>
      <w:pPr>
        <w:spacing w:after="0" w:before="0" w:line="240" w:lineRule="auto"/>
        <w:ind w:left="57"/>
        <w:jc w:val="left"/>
        <w:shd w:val="clear" w:fill="F2F2F2"/>
      </w:pPr>
      <w:r>
        <w:rPr>
          <w:rFonts w:ascii="Consolas" w:hAnsi="Consolas" w:cs="Consolas"/>
          <w:b w:val="0"/>
          <w:i w:val="0"/>
          <w:sz w:val="15"/>
        </w:rPr>
        <w:t xml:space="preserve">  • USTN-EG-002 — 1 day late (port congestion in Alexandria)</w:t>
      </w:r>
    </w:p>
    <w:p>
      <w:pPr>
        <w:spacing w:after="0" w:before="0" w:line="240" w:lineRule="auto"/>
        <w:ind w:left="57"/>
        <w:jc w:val="left"/>
        <w:shd w:val="clear" w:fill="F2F2F2"/>
      </w:pPr>
      <w:r>
        <w:rPr>
          <w:rFonts w:ascii="Consolas" w:hAnsi="Consolas" w:cs="Consolas"/>
          <w:b w:val="0"/>
          <w:i w:val="0"/>
          <w:sz w:val="15"/>
        </w:rPr>
        <w:t xml:space="preserve">  [View Both] [Get More Details]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User: Sign contract for USTN-EG-001</w:t>
      </w:r>
    </w:p>
    <w:p>
      <w:pPr>
        <w:spacing w:after="0" w:before="0" w:line="240" w:lineRule="auto"/>
        <w:ind w:left="57"/>
        <w:jc w:val="left"/>
        <w:shd w:val="clear" w:fill="F2F2F2"/>
      </w:pPr>
      <w:r>
        <w:rPr>
          <w:rFonts w:ascii="Consolas" w:hAnsi="Consolas" w:cs="Consolas"/>
          <w:b w:val="0"/>
          <w:i w:val="0"/>
          <w:sz w:val="15"/>
        </w:rPr>
        <w:t>Assistant: Opening contract for USTN-EG-001...</w:t>
      </w:r>
    </w:p>
    <w:p>
      <w:pPr>
        <w:spacing w:after="0" w:before="0" w:line="240" w:lineRule="auto"/>
        <w:ind w:left="57"/>
        <w:jc w:val="left"/>
        <w:shd w:val="clear" w:fill="F2F2F2"/>
      </w:pPr>
      <w:r>
        <w:rPr>
          <w:rFonts w:ascii="Consolas" w:hAnsi="Consolas" w:cs="Consolas"/>
          <w:b w:val="0"/>
          <w:i w:val="0"/>
          <w:sz w:val="15"/>
        </w:rPr>
        <w:t xml:space="preserve">  Contract is ready for your signature. Deadline: 14:00 UTC (2h left).</w:t>
      </w:r>
    </w:p>
    <w:p>
      <w:pPr>
        <w:spacing w:after="0" w:before="0" w:line="240" w:lineRule="auto"/>
        <w:ind w:left="57"/>
        <w:jc w:val="left"/>
        <w:shd w:val="clear" w:fill="F2F2F2"/>
      </w:pPr>
      <w:r>
        <w:rPr>
          <w:rFonts w:ascii="Consolas" w:hAnsi="Consolas" w:cs="Consolas"/>
          <w:b w:val="0"/>
          <w:i w:val="0"/>
          <w:sz w:val="15"/>
        </w:rPr>
        <w:t xml:space="preserve">  [Sign Now] [View Contract]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[Type your message...] [Send]   (Voice input enabled. Private.)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16.13.4.4 Privacy &amp; Data Handling</w:t>
      </w:r>
    </w:p>
    <w:p>
      <w:pPr>
        <w:spacing w:after="80" w:line="293" w:lineRule="auto"/>
        <w:jc w:val="left"/>
      </w:pPr>
      <w:r>
        <w:rPr>
          <w:rFonts w:ascii="Times New Roman" w:hAnsi="Times New Roman" w:cs="Times New Roman"/>
          <w:b w:val="0"/>
          <w:i w:val="0"/>
          <w:sz w:val="22"/>
        </w:rPr>
        <w:t>The chat is private: queries are answered from the user's permission-filtered data, content is not persisted beyond the session transcript the user can clear, and no chat content is used to train models. Provider chain: A1 Groq → Ollama → static fallback.</w:t>
      </w:r>
    </w:p>
    <w:p>
      <w:pPr>
        <w:keepNext/>
        <w:spacing w:before="180" w:after="80"/>
        <w:outlineLvl w:val="2"/>
      </w:pPr>
      <w:r>
        <w:rPr>
          <w:rFonts w:ascii="Arial" w:hAnsi="Arial" w:cs="Arial"/>
          <w:b/>
          <w:i w:val="0"/>
          <w:color w:val="333333"/>
          <w:sz w:val="23"/>
        </w:rPr>
        <w:t>16.13.5 Recent Activity Feed</w:t>
      </w:r>
    </w:p>
    <w:p>
      <w:pPr>
        <w:keepNext/>
        <w:spacing w:before="140" w:after="60"/>
        <w:outlineLvl w:val="3"/>
      </w:pPr>
      <w:r>
        <w:rPr>
          <w:rFonts w:ascii="Arial" w:hAnsi="Arial" w:cs="Arial"/>
          <w:b/>
          <w:i/>
          <w:color w:val="333333"/>
          <w:sz w:val="22"/>
        </w:rPr>
        <w:t>16.13.5.1 Overview</w:t>
      </w:r>
    </w:p>
    <w:p>
      <w:pPr>
        <w:spacing w:after="80" w:line="293" w:lineRule="auto"/>
        <w:jc w:val="left"/>
      </w:pPr>
      <w:r>
        <w:rPr>
          <w:rFonts w:ascii="Times New Roman" w:hAnsi="Times New Roman" w:cs="Times New Roman"/>
          <w:b w:val="0"/>
          <w:i w:val="0"/>
          <w:sz w:val="22"/>
        </w:rPr>
        <w:t>A chronological list of the last 20 actions across all portals the user has access to. The feed is updated in real time via NATS WebSocket.</w:t>
      </w:r>
    </w:p>
    <w:p>
      <w:pPr>
        <w:keepNext/>
        <w:spacing w:before="140" w:after="60"/>
        <w:outlineLvl w:val="3"/>
      </w:pPr>
      <w:r>
        <w:rPr>
          <w:rFonts w:ascii="Arial" w:hAnsi="Arial" w:cs="Arial"/>
          <w:b/>
          <w:i/>
          <w:color w:val="333333"/>
          <w:sz w:val="22"/>
        </w:rPr>
        <w:t>16.13.5.2 Display Format</w:t>
      </w:r>
    </w:p>
    <w:p>
      <w:pPr>
        <w:spacing w:after="0" w:before="0" w:line="240" w:lineRule="auto"/>
        <w:ind w:left="57"/>
        <w:jc w:val="left"/>
        <w:shd w:val="clear" w:fill="F2F2F2"/>
      </w:pPr>
      <w:r>
        <w:rPr>
          <w:rFonts w:ascii="Consolas" w:hAnsi="Consolas" w:cs="Consolas"/>
          <w:b w:val="0"/>
          <w:i w:val="0"/>
          <w:sz w:val="15"/>
        </w:rPr>
        <w:t>Mohamed Eltonsy • Approved Invoice • USTN-EG-2026-00491 • 2 minutes ago</w:t>
      </w:r>
    </w:p>
    <w:p>
      <w:pPr>
        <w:spacing w:after="0" w:before="0" w:line="240" w:lineRule="auto"/>
        <w:ind w:left="57"/>
        <w:jc w:val="left"/>
        <w:shd w:val="clear" w:fill="F2F2F2"/>
      </w:pPr>
      <w:r>
        <w:rPr>
          <w:rFonts w:ascii="Consolas" w:hAnsi="Consolas" w:cs="Consolas"/>
          <w:b w:val="0"/>
          <w:i w:val="0"/>
          <w:sz w:val="15"/>
        </w:rPr>
        <w:t>Sarah Ahmed    • Submitted Declaration • USTN-EG-2026-00490 • 1 hour ago</w:t>
      </w:r>
    </w:p>
    <w:p>
      <w:pPr>
        <w:spacing w:after="0" w:before="0" w:line="240" w:lineRule="auto"/>
        <w:ind w:left="57"/>
        <w:jc w:val="left"/>
        <w:shd w:val="clear" w:fill="F2F2F2"/>
      </w:pPr>
      <w:r>
        <w:rPr>
          <w:rFonts w:ascii="Consolas" w:hAnsi="Consolas" w:cs="Consolas"/>
          <w:b w:val="0"/>
          <w:i w:val="0"/>
          <w:sz w:val="15"/>
        </w:rPr>
        <w:t>System         • Document Missing • USTN-EG-2026-00489 • 3 hours ago</w:t>
      </w:r>
    </w:p>
    <w:p>
      <w:pPr>
        <w:spacing w:after="0" w:before="0" w:line="240" w:lineRule="auto"/>
        <w:ind w:left="57"/>
        <w:jc w:val="left"/>
        <w:shd w:val="clear" w:fill="F2F2F2"/>
      </w:pPr>
      <w:r>
        <w:rPr>
          <w:rFonts w:ascii="Consolas" w:hAnsi="Consolas" w:cs="Consolas"/>
          <w:b w:val="0"/>
          <w:i w:val="0"/>
          <w:sz w:val="15"/>
        </w:rPr>
        <w:t xml:space="preserve">                 → Certificate of Origin required. [Upload Now]</w:t>
      </w:r>
    </w:p>
    <w:p>
      <w:pPr>
        <w:spacing w:after="0" w:before="0" w:line="240" w:lineRule="auto"/>
        <w:ind w:left="57"/>
        <w:jc w:val="left"/>
        <w:shd w:val="clear" w:fill="F2F2F2"/>
      </w:pPr>
      <w:r>
        <w:rPr>
          <w:rFonts w:ascii="Consolas" w:hAnsi="Consolas" w:cs="Consolas"/>
          <w:b w:val="0"/>
          <w:i w:val="0"/>
          <w:sz w:val="15"/>
        </w:rPr>
        <w:t>System         • Sanctions Alert • USTN-EG-2026-00488 • 5 hours ago</w:t>
      </w:r>
    </w:p>
    <w:p>
      <w:pPr>
        <w:spacing w:after="0" w:before="0" w:line="240" w:lineRule="auto"/>
        <w:ind w:left="57"/>
        <w:jc w:val="left"/>
        <w:shd w:val="clear" w:fill="F2F2F2"/>
      </w:pPr>
      <w:r>
        <w:rPr>
          <w:rFonts w:ascii="Consolas" w:hAnsi="Consolas" w:cs="Consolas"/>
          <w:b w:val="0"/>
          <w:i w:val="0"/>
          <w:sz w:val="15"/>
        </w:rPr>
        <w:t xml:space="preserve">                 → GNN detected sanctions proximity ≤2 hops. [Review]</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16.13.5.3 Colour Coding</w:t>
      </w:r>
    </w:p>
    <w:p>
      <w:pPr>
        <w:spacing w:after="80" w:line="293" w:lineRule="auto"/>
        <w:jc w:val="left"/>
      </w:pPr>
      <w:r>
        <w:rPr>
          <w:rFonts w:ascii="Times New Roman" w:hAnsi="Times New Roman" w:cs="Times New Roman"/>
          <w:b w:val="0"/>
          <w:i w:val="0"/>
          <w:sz w:val="22"/>
        </w:rPr>
        <w:t>Activity items are colour-coded by severity: standard actions (neutral), document and compliance alerts (amber), sanctions and risk alerts (red), completions (green).</w:t>
      </w:r>
    </w:p>
    <w:p>
      <w:pPr>
        <w:keepNext/>
        <w:spacing w:before="140" w:after="60"/>
        <w:outlineLvl w:val="3"/>
      </w:pPr>
      <w:r>
        <w:rPr>
          <w:rFonts w:ascii="Arial" w:hAnsi="Arial" w:cs="Arial"/>
          <w:b/>
          <w:i/>
          <w:color w:val="333333"/>
          <w:sz w:val="22"/>
        </w:rPr>
        <w:t>16.13.5.4 Activity Types</w:t>
      </w:r>
    </w:p>
    <w:p>
      <w:pPr>
        <w:spacing w:after="80" w:line="293" w:lineRule="auto"/>
        <w:jc w:val="left"/>
      </w:pPr>
      <w:r>
        <w:rPr>
          <w:rFonts w:ascii="Times New Roman" w:hAnsi="Times New Roman" w:cs="Times New Roman"/>
          <w:b w:val="0"/>
          <w:i w:val="0"/>
          <w:sz w:val="22"/>
        </w:rPr>
        <w:t>Employee actions (approvals, submissions, signatures), system events (document missing, sanctions alert, milestone auto-confirmation), and Governor decisions affecting the user's entities.</w:t>
      </w:r>
    </w:p>
    <w:p>
      <w:pPr>
        <w:keepNext/>
        <w:spacing w:before="140" w:after="60"/>
        <w:outlineLvl w:val="3"/>
      </w:pPr>
      <w:r>
        <w:rPr>
          <w:rFonts w:ascii="Arial" w:hAnsi="Arial" w:cs="Arial"/>
          <w:b/>
          <w:i/>
          <w:color w:val="333333"/>
          <w:sz w:val="22"/>
        </w:rPr>
        <w:t>16.13.5.5 Interaction</w:t>
      </w:r>
    </w:p>
    <w:p>
      <w:pPr>
        <w:spacing w:after="80" w:line="293" w:lineRule="auto"/>
        <w:jc w:val="left"/>
      </w:pPr>
      <w:r>
        <w:rPr>
          <w:rFonts w:ascii="Times New Roman" w:hAnsi="Times New Roman" w:cs="Times New Roman"/>
          <w:b w:val="0"/>
          <w:i w:val="0"/>
          <w:sz w:val="22"/>
        </w:rPr>
        <w:t>One-click: click any activity item → opens the relevant TCC or document.</w:t>
      </w:r>
    </w:p>
    <w:p>
      <w:pPr>
        <w:keepNext/>
        <w:spacing w:before="180" w:after="80"/>
        <w:outlineLvl w:val="2"/>
      </w:pPr>
      <w:r>
        <w:rPr>
          <w:rFonts w:ascii="Arial" w:hAnsi="Arial" w:cs="Arial"/>
          <w:b/>
          <w:i w:val="0"/>
          <w:color w:val="333333"/>
          <w:sz w:val="23"/>
        </w:rPr>
        <w:t>16.13.6 Configuration &amp; Personalisation</w:t>
      </w:r>
    </w:p>
    <w:p>
      <w:pPr>
        <w:keepNext/>
        <w:spacing w:before="140" w:after="60"/>
        <w:outlineLvl w:val="3"/>
      </w:pPr>
      <w:r>
        <w:rPr>
          <w:rFonts w:ascii="Arial" w:hAnsi="Arial" w:cs="Arial"/>
          <w:b/>
          <w:i/>
          <w:color w:val="333333"/>
          <w:sz w:val="22"/>
        </w:rPr>
        <w:t>16.13.6.1 Settings Panel</w:t>
      </w:r>
    </w:p>
    <w:p>
      <w:pPr>
        <w:spacing w:after="80" w:line="293" w:lineRule="auto"/>
        <w:jc w:val="left"/>
      </w:pPr>
      <w:r>
        <w:rPr>
          <w:rFonts w:ascii="Times New Roman" w:hAnsi="Times New Roman" w:cs="Times New Roman"/>
          <w:b w:val="0"/>
          <w:i w:val="0"/>
          <w:sz w:val="22"/>
        </w:rPr>
        <w:t>Users can customise the Command Center via the Settings button (top-right): card visibility and order, metric thresholds, quick actions (pin, reorder, max), theme (light / dark / system), AI assistant on/off, language, compact mode, and landing-page preference (Command Center or role-specific portal).</w:t>
      </w:r>
    </w:p>
    <w:p>
      <w:pPr>
        <w:keepNext/>
        <w:spacing w:before="140" w:after="60"/>
        <w:outlineLvl w:val="3"/>
      </w:pPr>
      <w:r>
        <w:rPr>
          <w:rFonts w:ascii="Arial" w:hAnsi="Arial" w:cs="Arial"/>
          <w:b/>
          <w:i/>
          <w:color w:val="333333"/>
          <w:sz w:val="22"/>
        </w:rPr>
        <w:t>16.13.6.2 Personalisation Persistence</w:t>
      </w:r>
    </w:p>
    <w:p>
      <w:pPr>
        <w:spacing w:after="80" w:line="293" w:lineRule="auto"/>
        <w:jc w:val="left"/>
      </w:pPr>
      <w:r>
        <w:rPr>
          <w:rFonts w:ascii="Times New Roman" w:hAnsi="Times New Roman" w:cs="Times New Roman"/>
          <w:b w:val="0"/>
          <w:i w:val="0"/>
          <w:sz w:val="22"/>
        </w:rPr>
        <w:t>Preferences persist in `user_preferences` (16.13.12) and sync across devices via NATS. One-click: click → adjust settings → auto-save.</w:t>
      </w:r>
    </w:p>
    <w:p>
      <w:pPr>
        <w:keepNext/>
        <w:spacing w:before="180" w:after="80"/>
        <w:outlineLvl w:val="2"/>
      </w:pPr>
      <w:r>
        <w:rPr>
          <w:rFonts w:ascii="Arial" w:hAnsi="Arial" w:cs="Arial"/>
          <w:b/>
          <w:i w:val="0"/>
          <w:color w:val="333333"/>
          <w:sz w:val="23"/>
        </w:rPr>
        <w:t>16.13.7 Integration with Other Parts</w:t>
      </w:r>
    </w:p>
    <w:p>
      <w:pPr>
        <w:spacing w:after="80" w:line="293" w:lineRule="auto"/>
        <w:ind w:left="283"/>
        <w:jc w:val="left"/>
      </w:pPr>
      <w:r>
        <w:rPr>
          <w:rFonts w:ascii="Times New Roman" w:hAnsi="Times New Roman" w:cs="Times New Roman"/>
          <w:b w:val="0"/>
          <w:i w:val="0"/>
          <w:sz w:val="22"/>
        </w:rPr>
        <w:t>- The Command Center surfaces Universal Search (16.13.10) in the header.</w:t>
      </w:r>
    </w:p>
    <w:p>
      <w:pPr>
        <w:spacing w:after="80" w:line="293" w:lineRule="auto"/>
        <w:ind w:left="283"/>
        <w:jc w:val="left"/>
      </w:pPr>
      <w:r>
        <w:rPr>
          <w:rFonts w:ascii="Times New Roman" w:hAnsi="Times New Roman" w:cs="Times New Roman"/>
          <w:b w:val="0"/>
          <w:i w:val="0"/>
          <w:sz w:val="22"/>
        </w:rPr>
        <w:t>- Cards and the activity feed consume NATS events from all services (Sections 9–14).</w:t>
      </w:r>
    </w:p>
    <w:p>
      <w:pPr>
        <w:spacing w:after="80" w:line="293" w:lineRule="auto"/>
        <w:ind w:left="283"/>
        <w:jc w:val="left"/>
      </w:pPr>
      <w:r>
        <w:rPr>
          <w:rFonts w:ascii="Times New Roman" w:hAnsi="Times New Roman" w:cs="Times New Roman"/>
          <w:b w:val="0"/>
          <w:i w:val="0"/>
          <w:sz w:val="22"/>
        </w:rPr>
        <w:t>- Quick actions deep-link into portal tabs (16.8–16.12).</w:t>
      </w:r>
    </w:p>
    <w:p>
      <w:pPr>
        <w:spacing w:after="80" w:line="293" w:lineRule="auto"/>
        <w:ind w:left="283"/>
        <w:jc w:val="left"/>
      </w:pPr>
      <w:r>
        <w:rPr>
          <w:rFonts w:ascii="Times New Roman" w:hAnsi="Times New Roman" w:cs="Times New Roman"/>
          <w:b w:val="0"/>
          <w:i w:val="0"/>
          <w:sz w:val="22"/>
        </w:rPr>
        <w:t>- Non-marketplace: the Command Center never suggests alternative counterparties or service</w:t>
      </w:r>
    </w:p>
    <w:p>
      <w:pPr>
        <w:spacing w:after="80" w:line="293" w:lineRule="auto"/>
        <w:jc w:val="left"/>
      </w:pPr>
      <w:r>
        <w:rPr>
          <w:rFonts w:ascii="Times New Roman" w:hAnsi="Times New Roman" w:cs="Times New Roman"/>
          <w:b w:val="0"/>
          <w:i w:val="0"/>
          <w:sz w:val="22"/>
        </w:rPr>
        <w:t>providers.</w:t>
      </w:r>
    </w:p>
    <w:p>
      <w:pPr>
        <w:keepNext/>
        <w:spacing w:before="180" w:after="80"/>
        <w:outlineLvl w:val="2"/>
      </w:pPr>
      <w:r>
        <w:rPr>
          <w:rFonts w:ascii="Arial" w:hAnsi="Arial" w:cs="Arial"/>
          <w:b/>
          <w:i w:val="0"/>
          <w:color w:val="333333"/>
          <w:sz w:val="23"/>
        </w:rPr>
        <w:t>16.13.8 Trade Health Score Engine</w:t>
      </w:r>
    </w:p>
    <w:p>
      <w:pPr>
        <w:keepNext/>
        <w:spacing w:before="140" w:after="60"/>
        <w:outlineLvl w:val="3"/>
      </w:pPr>
      <w:r>
        <w:rPr>
          <w:rFonts w:ascii="Arial" w:hAnsi="Arial" w:cs="Arial"/>
          <w:b/>
          <w:i/>
          <w:color w:val="333333"/>
          <w:sz w:val="22"/>
        </w:rPr>
        <w:t>16.13.8.1 Purpose</w:t>
      </w:r>
    </w:p>
    <w:p>
      <w:pPr>
        <w:spacing w:after="80" w:line="293" w:lineRule="auto"/>
        <w:jc w:val="left"/>
      </w:pPr>
      <w:r>
        <w:rPr>
          <w:rFonts w:ascii="Times New Roman" w:hAnsi="Times New Roman" w:cs="Times New Roman"/>
          <w:b w:val="0"/>
          <w:i w:val="0"/>
          <w:sz w:val="22"/>
        </w:rPr>
        <w:t>Provide a dynamic, at-a-glance health score for each trade (USTN) based on compliance, documentation, logistics, payment, risk, and timeline status.</w:t>
      </w:r>
    </w:p>
    <w:p>
      <w:pPr>
        <w:keepNext/>
        <w:spacing w:before="140" w:after="60"/>
        <w:outlineLvl w:val="3"/>
      </w:pPr>
      <w:r>
        <w:rPr>
          <w:rFonts w:ascii="Arial" w:hAnsi="Arial" w:cs="Arial"/>
          <w:b/>
          <w:i/>
          <w:color w:val="333333"/>
          <w:sz w:val="22"/>
        </w:rPr>
        <w:t>16.13.8.2 Score Formula</w:t>
      </w:r>
    </w:p>
    <w:p>
      <w:pPr>
        <w:spacing w:after="80" w:line="293" w:lineRule="auto"/>
        <w:jc w:val="left"/>
      </w:pPr>
      <w:r>
        <w:rPr>
          <w:rFonts w:ascii="Times New Roman" w:hAnsi="Times New Roman" w:cs="Times New Roman"/>
          <w:b w:val="0"/>
          <w:i w:val="0"/>
          <w:sz w:val="22"/>
        </w:rPr>
        <w:t>The Trade Health Score is a 0–100 composite calculated as:</w:t>
      </w:r>
    </w:p>
    <w:p>
      <w:pPr>
        <w:spacing w:after="0" w:before="0" w:line="240" w:lineRule="auto"/>
        <w:ind w:left="57"/>
        <w:jc w:val="left"/>
        <w:shd w:val="clear" w:fill="F2F2F2"/>
      </w:pPr>
      <w:r>
        <w:rPr>
          <w:rFonts w:ascii="Consolas" w:hAnsi="Consolas" w:cs="Consolas"/>
          <w:b w:val="0"/>
          <w:i w:val="0"/>
          <w:sz w:val="15"/>
        </w:rPr>
        <w:t>Trade Health Score =</w:t>
      </w:r>
    </w:p>
    <w:p>
      <w:pPr>
        <w:spacing w:after="0" w:before="0" w:line="240" w:lineRule="auto"/>
        <w:ind w:left="57"/>
        <w:jc w:val="left"/>
        <w:shd w:val="clear" w:fill="F2F2F2"/>
      </w:pPr>
      <w:r>
        <w:rPr>
          <w:rFonts w:ascii="Consolas" w:hAnsi="Consolas" w:cs="Consolas"/>
          <w:b w:val="0"/>
          <w:i w:val="0"/>
          <w:sz w:val="15"/>
        </w:rPr>
        <w:t xml:space="preserve">  (Compliance × 0.20) +</w:t>
      </w:r>
    </w:p>
    <w:p>
      <w:pPr>
        <w:spacing w:after="0" w:before="0" w:line="240" w:lineRule="auto"/>
        <w:ind w:left="57"/>
        <w:jc w:val="left"/>
        <w:shd w:val="clear" w:fill="F2F2F2"/>
      </w:pPr>
      <w:r>
        <w:rPr>
          <w:rFonts w:ascii="Consolas" w:hAnsi="Consolas" w:cs="Consolas"/>
          <w:b w:val="0"/>
          <w:i w:val="0"/>
          <w:sz w:val="15"/>
        </w:rPr>
        <w:t xml:space="preserve">  (Documentation × 0.20) +</w:t>
      </w:r>
    </w:p>
    <w:p>
      <w:pPr>
        <w:spacing w:after="0" w:before="0" w:line="240" w:lineRule="auto"/>
        <w:ind w:left="57"/>
        <w:jc w:val="left"/>
        <w:shd w:val="clear" w:fill="F2F2F2"/>
      </w:pPr>
      <w:r>
        <w:rPr>
          <w:rFonts w:ascii="Consolas" w:hAnsi="Consolas" w:cs="Consolas"/>
          <w:b w:val="0"/>
          <w:i w:val="0"/>
          <w:sz w:val="15"/>
        </w:rPr>
        <w:t xml:space="preserve">  (Logistics × 0.15) +</w:t>
      </w:r>
    </w:p>
    <w:p>
      <w:pPr>
        <w:spacing w:after="0" w:before="0" w:line="240" w:lineRule="auto"/>
        <w:ind w:left="57"/>
        <w:jc w:val="left"/>
        <w:shd w:val="clear" w:fill="F2F2F2"/>
      </w:pPr>
      <w:r>
        <w:rPr>
          <w:rFonts w:ascii="Consolas" w:hAnsi="Consolas" w:cs="Consolas"/>
          <w:b w:val="0"/>
          <w:i w:val="0"/>
          <w:sz w:val="15"/>
        </w:rPr>
        <w:t xml:space="preserve">  (Payment × 0.15) +</w:t>
      </w:r>
    </w:p>
    <w:p>
      <w:pPr>
        <w:spacing w:after="0" w:before="0" w:line="240" w:lineRule="auto"/>
        <w:ind w:left="57"/>
        <w:jc w:val="left"/>
        <w:shd w:val="clear" w:fill="F2F2F2"/>
      </w:pPr>
      <w:r>
        <w:rPr>
          <w:rFonts w:ascii="Consolas" w:hAnsi="Consolas" w:cs="Consolas"/>
          <w:b w:val="0"/>
          <w:i w:val="0"/>
          <w:sz w:val="15"/>
        </w:rPr>
        <w:t xml:space="preserve">  (Risk × 0.20) +</w:t>
      </w:r>
    </w:p>
    <w:p>
      <w:pPr>
        <w:spacing w:after="0" w:before="0" w:line="240" w:lineRule="auto"/>
        <w:ind w:left="57"/>
        <w:jc w:val="left"/>
        <w:shd w:val="clear" w:fill="F2F2F2"/>
      </w:pPr>
      <w:r>
        <w:rPr>
          <w:rFonts w:ascii="Consolas" w:hAnsi="Consolas" w:cs="Consolas"/>
          <w:b w:val="0"/>
          <w:i w:val="0"/>
          <w:sz w:val="15"/>
        </w:rPr>
        <w:t xml:space="preserve">  (Timeline × 0.10)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each component is a 0–100 sub-score.</w:t>
      </w:r>
    </w:p>
    <w:p>
      <w:pPr>
        <w:keepNext/>
        <w:spacing w:before="140" w:after="60"/>
        <w:outlineLvl w:val="3"/>
      </w:pPr>
      <w:r>
        <w:rPr>
          <w:rFonts w:ascii="Arial" w:hAnsi="Arial" w:cs="Arial"/>
          <w:b/>
          <w:i/>
          <w:color w:val="333333"/>
          <w:sz w:val="22"/>
        </w:rPr>
        <w:t>16.13.8.3 Component Definitions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Measures</w:t>
            </w:r>
          </w:p>
        </w:tc>
      </w:tr>
      <w:tr>
        <w:tc>
          <w:tcPr>
            <w:tcW w:type="dxa" w:w="4819"/>
          </w:tcPr>
          <w:p>
            <w:pPr>
              <w:spacing w:after="20" w:before="20" w:line="240" w:lineRule="auto"/>
            </w:pPr>
            <w:r/>
            <w:r>
              <w:rPr>
                <w:rFonts w:ascii="Arial" w:hAnsi="Arial" w:cs="Arial"/>
                <w:b w:val="0"/>
                <w:i w:val="0"/>
                <w:sz w:val="17"/>
              </w:rPr>
              <w:t>Compliance</w:t>
            </w:r>
          </w:p>
        </w:tc>
        <w:tc>
          <w:tcPr>
            <w:tcW w:type="dxa" w:w="4819"/>
          </w:tcPr>
          <w:p>
            <w:pPr>
              <w:spacing w:after="20" w:before="20" w:line="240" w:lineRule="auto"/>
            </w:pPr>
            <w:r/>
            <w:r>
              <w:rPr>
                <w:rFonts w:ascii="Arial" w:hAnsi="Arial" w:cs="Arial"/>
                <w:b w:val="0"/>
                <w:i w:val="0"/>
                <w:sz w:val="17"/>
              </w:rPr>
              <w:t>KYB status, sanctions clearance, jurisdiction gate outcomes</w:t>
            </w:r>
          </w:p>
        </w:tc>
      </w:tr>
      <w:tr>
        <w:tc>
          <w:tcPr>
            <w:tcW w:type="dxa" w:w="4819"/>
          </w:tcPr>
          <w:p>
            <w:pPr>
              <w:spacing w:after="20" w:before="20" w:line="240" w:lineRule="auto"/>
            </w:pPr>
            <w:r/>
            <w:r>
              <w:rPr>
                <w:rFonts w:ascii="Arial" w:hAnsi="Arial" w:cs="Arial"/>
                <w:b w:val="0"/>
                <w:i w:val="0"/>
                <w:sz w:val="17"/>
              </w:rPr>
              <w:t>Documentation</w:t>
            </w:r>
          </w:p>
        </w:tc>
        <w:tc>
          <w:tcPr>
            <w:tcW w:type="dxa" w:w="4819"/>
          </w:tcPr>
          <w:p>
            <w:pPr>
              <w:spacing w:after="20" w:before="20" w:line="240" w:lineRule="auto"/>
            </w:pPr>
            <w:r/>
            <w:r>
              <w:rPr>
                <w:rFonts w:ascii="Arial" w:hAnsi="Arial" w:cs="Arial"/>
                <w:b w:val="0"/>
                <w:i w:val="0"/>
                <w:sz w:val="17"/>
              </w:rPr>
              <w:t>Required-document completeness, verification status, expiry risk</w:t>
            </w:r>
          </w:p>
        </w:tc>
      </w:tr>
      <w:tr>
        <w:tc>
          <w:tcPr>
            <w:tcW w:type="dxa" w:w="4819"/>
          </w:tcPr>
          <w:p>
            <w:pPr>
              <w:spacing w:after="20" w:before="20" w:line="240" w:lineRule="auto"/>
            </w:pPr>
            <w:r/>
            <w:r>
              <w:rPr>
                <w:rFonts w:ascii="Arial" w:hAnsi="Arial" w:cs="Arial"/>
                <w:b w:val="0"/>
                <w:i w:val="0"/>
                <w:sz w:val="17"/>
              </w:rPr>
              <w:t>Logistics</w:t>
            </w:r>
          </w:p>
        </w:tc>
        <w:tc>
          <w:tcPr>
            <w:tcW w:type="dxa" w:w="4819"/>
          </w:tcPr>
          <w:p>
            <w:pPr>
              <w:spacing w:after="20" w:before="20" w:line="240" w:lineRule="auto"/>
            </w:pPr>
            <w:r/>
            <w:r>
              <w:rPr>
                <w:rFonts w:ascii="Arial" w:hAnsi="Arial" w:cs="Arial"/>
                <w:b w:val="0"/>
                <w:i w:val="0"/>
                <w:sz w:val="17"/>
              </w:rPr>
              <w:t>Milestone timeliness, delay events, carrier performance</w:t>
            </w:r>
          </w:p>
        </w:tc>
      </w:tr>
      <w:tr>
        <w:tc>
          <w:tcPr>
            <w:tcW w:type="dxa" w:w="4819"/>
          </w:tcPr>
          <w:p>
            <w:pPr>
              <w:spacing w:after="20" w:before="20" w:line="240" w:lineRule="auto"/>
            </w:pPr>
            <w:r/>
            <w:r>
              <w:rPr>
                <w:rFonts w:ascii="Arial" w:hAnsi="Arial" w:cs="Arial"/>
                <w:b w:val="0"/>
                <w:i w:val="0"/>
                <w:sz w:val="17"/>
              </w:rPr>
              <w:t>Payment</w:t>
            </w:r>
          </w:p>
        </w:tc>
        <w:tc>
          <w:tcPr>
            <w:tcW w:type="dxa" w:w="4819"/>
          </w:tcPr>
          <w:p>
            <w:pPr>
              <w:spacing w:after="20" w:before="20" w:line="240" w:lineRule="auto"/>
            </w:pPr>
            <w:r/>
            <w:r>
              <w:rPr>
                <w:rFonts w:ascii="Arial" w:hAnsi="Arial" w:cs="Arial"/>
                <w:b w:val="0"/>
                <w:i w:val="0"/>
                <w:sz w:val="17"/>
              </w:rPr>
              <w:t>Settlement status, invoice ageing, deferred-fee guarantees</w:t>
            </w:r>
          </w:p>
        </w:tc>
      </w:tr>
      <w:tr>
        <w:tc>
          <w:tcPr>
            <w:tcW w:type="dxa" w:w="4819"/>
          </w:tcPr>
          <w:p>
            <w:pPr>
              <w:spacing w:after="20" w:before="20" w:line="240" w:lineRule="auto"/>
            </w:pPr>
            <w:r/>
            <w:r>
              <w:rPr>
                <w:rFonts w:ascii="Arial" w:hAnsi="Arial" w:cs="Arial"/>
                <w:b w:val="0"/>
                <w:i w:val="0"/>
                <w:sz w:val="17"/>
              </w:rPr>
              <w:t>Risk</w:t>
            </w:r>
          </w:p>
        </w:tc>
        <w:tc>
          <w:tcPr>
            <w:tcW w:type="dxa" w:w="4819"/>
          </w:tcPr>
          <w:p>
            <w:pPr>
              <w:spacing w:after="20" w:before="20" w:line="240" w:lineRule="auto"/>
            </w:pPr>
            <w:r/>
            <w:r>
              <w:rPr>
                <w:rFonts w:ascii="Arial" w:hAnsi="Arial" w:cs="Arial"/>
                <w:b w:val="0"/>
                <w:i w:val="0"/>
                <w:sz w:val="17"/>
              </w:rPr>
              <w:t>Composite risk score, GNN flags, distress signals</w:t>
            </w:r>
          </w:p>
        </w:tc>
      </w:tr>
      <w:tr>
        <w:tc>
          <w:tcPr>
            <w:tcW w:type="dxa" w:w="4819"/>
          </w:tcPr>
          <w:p>
            <w:pPr>
              <w:spacing w:after="20" w:before="20" w:line="240" w:lineRule="auto"/>
            </w:pPr>
            <w:r/>
            <w:r>
              <w:rPr>
                <w:rFonts w:ascii="Arial" w:hAnsi="Arial" w:cs="Arial"/>
                <w:b w:val="0"/>
                <w:i w:val="0"/>
                <w:sz w:val="17"/>
              </w:rPr>
              <w:t>Timeline</w:t>
            </w:r>
          </w:p>
        </w:tc>
        <w:tc>
          <w:tcPr>
            <w:tcW w:type="dxa" w:w="4819"/>
          </w:tcPr>
          <w:p>
            <w:pPr>
              <w:spacing w:after="20" w:before="20" w:line="240" w:lineRule="auto"/>
            </w:pPr>
            <w:r/>
            <w:r>
              <w:rPr>
                <w:rFonts w:ascii="Arial" w:hAnsi="Arial" w:cs="Arial"/>
                <w:b w:val="0"/>
                <w:i w:val="0"/>
                <w:sz w:val="17"/>
              </w:rPr>
              <w:t>Schedule adherence against contracted delivery windows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16.13.8.4 Health Status Bands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Band</w:t>
            </w:r>
          </w:p>
        </w:tc>
        <w:tc>
          <w:tcPr>
            <w:tcW w:type="dxa" w:w="3213"/>
            <w:shd w:val="clear" w:fill="D9E2F3"/>
          </w:tcPr>
          <w:p>
            <w:pPr>
              <w:spacing w:after="20" w:before="20" w:line="240" w:lineRule="auto"/>
            </w:pPr>
            <w:r/>
            <w:r>
              <w:rPr>
                <w:rFonts w:ascii="Arial" w:hAnsi="Arial" w:cs="Arial"/>
                <w:b/>
                <w:i w:val="0"/>
                <w:sz w:val="18"/>
              </w:rPr>
              <w:t>Range</w:t>
            </w:r>
          </w:p>
        </w:tc>
        <w:tc>
          <w:tcPr>
            <w:tcW w:type="dxa" w:w="3213"/>
            <w:shd w:val="clear" w:fill="D9E2F3"/>
          </w:tcPr>
          <w:p>
            <w:pPr>
              <w:spacing w:after="20" w:before="20" w:line="240" w:lineRule="auto"/>
            </w:pPr>
            <w:r/>
            <w:r>
              <w:rPr>
                <w:rFonts w:ascii="Arial" w:hAnsi="Arial" w:cs="Arial"/>
                <w:b/>
                <w:i w:val="0"/>
                <w:sz w:val="18"/>
              </w:rPr>
              <w:t>Colour</w:t>
            </w:r>
          </w:p>
        </w:tc>
      </w:tr>
      <w:tr>
        <w:tc>
          <w:tcPr>
            <w:tcW w:type="dxa" w:w="3213"/>
          </w:tcPr>
          <w:p>
            <w:pPr>
              <w:spacing w:after="20" w:before="20" w:line="240" w:lineRule="auto"/>
            </w:pPr>
            <w:r/>
            <w:r>
              <w:rPr>
                <w:rFonts w:ascii="Arial" w:hAnsi="Arial" w:cs="Arial"/>
                <w:b w:val="0"/>
                <w:i w:val="0"/>
                <w:sz w:val="17"/>
              </w:rPr>
              <w:t>Healthy</w:t>
            </w:r>
          </w:p>
        </w:tc>
        <w:tc>
          <w:tcPr>
            <w:tcW w:type="dxa" w:w="3213"/>
          </w:tcPr>
          <w:p>
            <w:pPr>
              <w:spacing w:after="20" w:before="20" w:line="240" w:lineRule="auto"/>
            </w:pPr>
            <w:r/>
            <w:r>
              <w:rPr>
                <w:rFonts w:ascii="Arial" w:hAnsi="Arial" w:cs="Arial"/>
                <w:b w:val="0"/>
                <w:i w:val="0"/>
                <w:sz w:val="17"/>
              </w:rPr>
              <w:t>80–100</w:t>
            </w:r>
          </w:p>
        </w:tc>
        <w:tc>
          <w:tcPr>
            <w:tcW w:type="dxa" w:w="3213"/>
          </w:tcPr>
          <w:p>
            <w:pPr>
              <w:spacing w:after="20" w:before="20" w:line="240" w:lineRule="auto"/>
            </w:pPr>
            <w:r/>
            <w:r>
              <w:rPr>
                <w:rFonts w:ascii="Arial" w:hAnsi="Arial" w:cs="Arial"/>
                <w:b w:val="0"/>
                <w:i w:val="0"/>
                <w:sz w:val="17"/>
              </w:rPr>
              <w:t>Green</w:t>
            </w:r>
          </w:p>
        </w:tc>
      </w:tr>
      <w:tr>
        <w:tc>
          <w:tcPr>
            <w:tcW w:type="dxa" w:w="3213"/>
          </w:tcPr>
          <w:p>
            <w:pPr>
              <w:spacing w:after="20" w:before="20" w:line="240" w:lineRule="auto"/>
            </w:pPr>
            <w:r/>
            <w:r>
              <w:rPr>
                <w:rFonts w:ascii="Arial" w:hAnsi="Arial" w:cs="Arial"/>
                <w:b w:val="0"/>
                <w:i w:val="0"/>
                <w:sz w:val="17"/>
              </w:rPr>
              <w:t>Watch</w:t>
            </w:r>
          </w:p>
        </w:tc>
        <w:tc>
          <w:tcPr>
            <w:tcW w:type="dxa" w:w="3213"/>
          </w:tcPr>
          <w:p>
            <w:pPr>
              <w:spacing w:after="20" w:before="20" w:line="240" w:lineRule="auto"/>
            </w:pPr>
            <w:r/>
            <w:r>
              <w:rPr>
                <w:rFonts w:ascii="Arial" w:hAnsi="Arial" w:cs="Arial"/>
                <w:b w:val="0"/>
                <w:i w:val="0"/>
                <w:sz w:val="17"/>
              </w:rPr>
              <w:t>50–79</w:t>
            </w:r>
          </w:p>
        </w:tc>
        <w:tc>
          <w:tcPr>
            <w:tcW w:type="dxa" w:w="3213"/>
          </w:tcPr>
          <w:p>
            <w:pPr>
              <w:spacing w:after="20" w:before="20" w:line="240" w:lineRule="auto"/>
            </w:pPr>
            <w:r/>
            <w:r>
              <w:rPr>
                <w:rFonts w:ascii="Arial" w:hAnsi="Arial" w:cs="Arial"/>
                <w:b w:val="0"/>
                <w:i w:val="0"/>
                <w:sz w:val="17"/>
              </w:rPr>
              <w:t>Amber</w:t>
            </w:r>
          </w:p>
        </w:tc>
      </w:tr>
      <w:tr>
        <w:tc>
          <w:tcPr>
            <w:tcW w:type="dxa" w:w="3213"/>
          </w:tcPr>
          <w:p>
            <w:pPr>
              <w:spacing w:after="20" w:before="20" w:line="240" w:lineRule="auto"/>
            </w:pPr>
            <w:r/>
            <w:r>
              <w:rPr>
                <w:rFonts w:ascii="Arial" w:hAnsi="Arial" w:cs="Arial"/>
                <w:b w:val="0"/>
                <w:i w:val="0"/>
                <w:sz w:val="17"/>
              </w:rPr>
              <w:t>At Risk</w:t>
            </w:r>
          </w:p>
        </w:tc>
        <w:tc>
          <w:tcPr>
            <w:tcW w:type="dxa" w:w="3213"/>
          </w:tcPr>
          <w:p>
            <w:pPr>
              <w:spacing w:after="20" w:before="20" w:line="240" w:lineRule="auto"/>
            </w:pPr>
            <w:r/>
            <w:r>
              <w:rPr>
                <w:rFonts w:ascii="Arial" w:hAnsi="Arial" w:cs="Arial"/>
                <w:b w:val="0"/>
                <w:i w:val="0"/>
                <w:sz w:val="17"/>
              </w:rPr>
              <w:t>0–49</w:t>
            </w:r>
          </w:p>
        </w:tc>
        <w:tc>
          <w:tcPr>
            <w:tcW w:type="dxa" w:w="3213"/>
          </w:tcPr>
          <w:p>
            <w:pPr>
              <w:spacing w:after="20" w:before="20" w:line="240" w:lineRule="auto"/>
            </w:pPr>
            <w:r/>
            <w:r>
              <w:rPr>
                <w:rFonts w:ascii="Arial" w:hAnsi="Arial" w:cs="Arial"/>
                <w:b w:val="0"/>
                <w:i w:val="0"/>
                <w:sz w:val="17"/>
              </w:rPr>
              <w:t>Red</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16.13.8.5 Display Locations</w:t>
      </w:r>
    </w:p>
    <w:p>
      <w:pPr>
        <w:spacing w:after="80" w:line="293" w:lineRule="auto"/>
        <w:jc w:val="left"/>
      </w:pPr>
      <w:r>
        <w:rPr>
          <w:rFonts w:ascii="Times New Roman" w:hAnsi="Times New Roman" w:cs="Times New Roman"/>
          <w:b w:val="0"/>
          <w:i w:val="0"/>
          <w:sz w:val="22"/>
        </w:rPr>
        <w:t>The score is displayed in the Trade Command Center (16.3), in the Universal Command Center activity and card summaries, in the Shared Shipments Vault rows, and in financier portfolio views.</w:t>
      </w:r>
    </w:p>
    <w:p>
      <w:pPr>
        <w:keepNext/>
        <w:spacing w:before="140" w:after="60"/>
        <w:outlineLvl w:val="3"/>
      </w:pPr>
      <w:r>
        <w:rPr>
          <w:rFonts w:ascii="Arial" w:hAnsi="Arial" w:cs="Arial"/>
          <w:b/>
          <w:i/>
          <w:color w:val="333333"/>
          <w:sz w:val="22"/>
        </w:rPr>
        <w:t>16.13.8.6 One-Click Drill-Down</w:t>
      </w:r>
    </w:p>
    <w:p>
      <w:pPr>
        <w:spacing w:after="80" w:line="293" w:lineRule="auto"/>
        <w:jc w:val="left"/>
      </w:pPr>
      <w:r>
        <w:rPr>
          <w:rFonts w:ascii="Times New Roman" w:hAnsi="Times New Roman" w:cs="Times New Roman"/>
          <w:b w:val="0"/>
          <w:i w:val="0"/>
          <w:sz w:val="22"/>
        </w:rPr>
        <w:t>Clicking the health score in the TCC opens a Health Breakdown Panel showing the component sub-scores.</w:t>
      </w:r>
    </w:p>
    <w:p>
      <w:pPr>
        <w:keepNext/>
        <w:spacing w:before="140" w:after="60"/>
        <w:outlineLvl w:val="3"/>
      </w:pPr>
      <w:r>
        <w:rPr>
          <w:rFonts w:ascii="Arial" w:hAnsi="Arial" w:cs="Arial"/>
          <w:b/>
          <w:i/>
          <w:color w:val="333333"/>
          <w:sz w:val="22"/>
        </w:rPr>
        <w:t>16.13.8.7 AI-Generated Health Summary (A1, Groq)</w:t>
      </w:r>
    </w:p>
    <w:p>
      <w:pPr>
        <w:spacing w:after="80" w:line="293" w:lineRule="auto"/>
        <w:jc w:val="left"/>
      </w:pPr>
      <w:r>
        <w:rPr>
          <w:rFonts w:ascii="Times New Roman" w:hAnsi="Times New Roman" w:cs="Times New Roman"/>
          <w:b w:val="0"/>
          <w:i w:val="0"/>
          <w:sz w:val="22"/>
        </w:rPr>
        <w:t>A plain-language summary appears next to the score, generated by A1 (Groq with Ollama fallback), explaining the weakest components and the next corrective action.</w:t>
      </w:r>
    </w:p>
    <w:p>
      <w:pPr>
        <w:keepNext/>
        <w:spacing w:before="140" w:after="60"/>
        <w:outlineLvl w:val="3"/>
      </w:pPr>
      <w:r>
        <w:rPr>
          <w:rFonts w:ascii="Arial" w:hAnsi="Arial" w:cs="Arial"/>
          <w:b/>
          <w:i/>
          <w:color w:val="333333"/>
          <w:sz w:val="22"/>
        </w:rPr>
        <w:t>16.13.8.8 Database Storage</w:t>
      </w:r>
    </w:p>
    <w:p>
      <w:pPr>
        <w:spacing w:after="80" w:line="293" w:lineRule="auto"/>
        <w:jc w:val="left"/>
      </w:pPr>
      <w:r>
        <w:rPr>
          <w:rFonts w:ascii="Times New Roman" w:hAnsi="Times New Roman" w:cs="Times New Roman"/>
          <w:b w:val="0"/>
          <w:i w:val="0"/>
          <w:sz w:val="22"/>
        </w:rPr>
        <w:t>The Trade Health Score is calculated on the fly (not stored) but can be materialised for analytics:</w:t>
      </w:r>
    </w:p>
    <w:p>
      <w:pPr>
        <w:spacing w:after="0" w:before="0" w:line="240" w:lineRule="auto"/>
        <w:ind w:left="57"/>
        <w:jc w:val="left"/>
        <w:shd w:val="clear" w:fill="F2F2F2"/>
      </w:pPr>
      <w:r>
        <w:rPr>
          <w:rFonts w:ascii="Consolas" w:hAnsi="Consolas" w:cs="Consolas"/>
          <w:b w:val="0"/>
          <w:i w:val="0"/>
          <w:sz w:val="15"/>
        </w:rPr>
        <w:t>CREATE MATERIALIZED VIEW trade_health_scores AS</w:t>
      </w:r>
    </w:p>
    <w:p>
      <w:pPr>
        <w:spacing w:after="0" w:before="0" w:line="240" w:lineRule="auto"/>
        <w:ind w:left="57"/>
        <w:jc w:val="left"/>
        <w:shd w:val="clear" w:fill="F2F2F2"/>
      </w:pPr>
      <w:r>
        <w:rPr>
          <w:rFonts w:ascii="Consolas" w:hAnsi="Consolas" w:cs="Consolas"/>
          <w:b w:val="0"/>
          <w:i w:val="0"/>
          <w:sz w:val="15"/>
        </w:rPr>
        <w:t>SELECT</w:t>
      </w:r>
    </w:p>
    <w:p>
      <w:pPr>
        <w:spacing w:after="0" w:before="0" w:line="240" w:lineRule="auto"/>
        <w:ind w:left="57"/>
        <w:jc w:val="left"/>
        <w:shd w:val="clear" w:fill="F2F2F2"/>
      </w:pPr>
      <w:r>
        <w:rPr>
          <w:rFonts w:ascii="Consolas" w:hAnsi="Consolas" w:cs="Consolas"/>
          <w:b w:val="0"/>
          <w:i w:val="0"/>
          <w:sz w:val="15"/>
        </w:rPr>
        <w:t xml:space="preserve">  ustn,</w:t>
      </w:r>
    </w:p>
    <w:p>
      <w:pPr>
        <w:spacing w:after="0" w:before="0" w:line="240" w:lineRule="auto"/>
        <w:ind w:left="57"/>
        <w:jc w:val="left"/>
        <w:shd w:val="clear" w:fill="F2F2F2"/>
      </w:pPr>
      <w:r>
        <w:rPr>
          <w:rFonts w:ascii="Consolas" w:hAnsi="Consolas" w:cs="Consolas"/>
          <w:b w:val="0"/>
          <w:i w:val="0"/>
          <w:sz w:val="15"/>
        </w:rPr>
        <w:t xml:space="preserve">  (compliance_score * 0.20 + documentation_score * 0.20 +</w:t>
      </w:r>
    </w:p>
    <w:p>
      <w:pPr>
        <w:spacing w:after="0" w:before="0" w:line="240" w:lineRule="auto"/>
        <w:ind w:left="57"/>
        <w:jc w:val="left"/>
        <w:shd w:val="clear" w:fill="F2F2F2"/>
      </w:pPr>
      <w:r>
        <w:rPr>
          <w:rFonts w:ascii="Consolas" w:hAnsi="Consolas" w:cs="Consolas"/>
          <w:b w:val="0"/>
          <w:i w:val="0"/>
          <w:sz w:val="15"/>
        </w:rPr>
        <w:t xml:space="preserve">   logistics_score * 0.15 + payment_score * 0.15 +</w:t>
      </w:r>
    </w:p>
    <w:p>
      <w:pPr>
        <w:spacing w:after="0" w:before="0" w:line="240" w:lineRule="auto"/>
        <w:ind w:left="57"/>
        <w:jc w:val="left"/>
        <w:shd w:val="clear" w:fill="F2F2F2"/>
      </w:pPr>
      <w:r>
        <w:rPr>
          <w:rFonts w:ascii="Consolas" w:hAnsi="Consolas" w:cs="Consolas"/>
          <w:b w:val="0"/>
          <w:i w:val="0"/>
          <w:sz w:val="15"/>
        </w:rPr>
        <w:t xml:space="preserve">   risk_score * 0.20 + timeline_score * 0.10) AS health_score,</w:t>
      </w:r>
    </w:p>
    <w:p>
      <w:pPr>
        <w:spacing w:after="0" w:before="0" w:line="240" w:lineRule="auto"/>
        <w:ind w:left="57"/>
        <w:jc w:val="left"/>
        <w:shd w:val="clear" w:fill="F2F2F2"/>
      </w:pPr>
      <w:r>
        <w:rPr>
          <w:rFonts w:ascii="Consolas" w:hAnsi="Consolas" w:cs="Consolas"/>
          <w:b w:val="0"/>
          <w:i w:val="0"/>
          <w:sz w:val="15"/>
        </w:rPr>
        <w:t xml:space="preserve">  NOW() AS calculated_at</w:t>
      </w:r>
    </w:p>
    <w:p>
      <w:pPr>
        <w:spacing w:after="0" w:before="0" w:line="240" w:lineRule="auto"/>
        <w:ind w:left="57"/>
        <w:jc w:val="left"/>
        <w:shd w:val="clear" w:fill="F2F2F2"/>
      </w:pPr>
      <w:r>
        <w:rPr>
          <w:rFonts w:ascii="Consolas" w:hAnsi="Consolas" w:cs="Consolas"/>
          <w:b w:val="0"/>
          <w:i w:val="0"/>
          <w:sz w:val="15"/>
        </w:rPr>
        <w:t>FROM trade_component_scores;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Refresh frequency: every 15 minutes, or on any state change via NATS.</w:t>
      </w:r>
    </w:p>
    <w:p>
      <w:pPr>
        <w:keepNext/>
        <w:spacing w:before="180" w:after="80"/>
        <w:outlineLvl w:val="2"/>
      </w:pPr>
      <w:r>
        <w:rPr>
          <w:rFonts w:ascii="Arial" w:hAnsi="Arial" w:cs="Arial"/>
          <w:b/>
          <w:i w:val="0"/>
          <w:color w:val="333333"/>
          <w:sz w:val="23"/>
        </w:rPr>
        <w:t>16.13.9 External Integrations Health Widget</w:t>
      </w:r>
    </w:p>
    <w:p>
      <w:pPr>
        <w:keepNext/>
        <w:spacing w:before="140" w:after="60"/>
        <w:outlineLvl w:val="3"/>
      </w:pPr>
      <w:r>
        <w:rPr>
          <w:rFonts w:ascii="Arial" w:hAnsi="Arial" w:cs="Arial"/>
          <w:b/>
          <w:i/>
          <w:color w:val="333333"/>
          <w:sz w:val="22"/>
        </w:rPr>
        <w:t>16.13.9.1 Purpose</w:t>
      </w:r>
    </w:p>
    <w:p>
      <w:pPr>
        <w:spacing w:after="80" w:line="293" w:lineRule="auto"/>
        <w:jc w:val="left"/>
      </w:pPr>
      <w:r>
        <w:rPr>
          <w:rFonts w:ascii="Times New Roman" w:hAnsi="Times New Roman" w:cs="Times New Roman"/>
          <w:b w:val="0"/>
          <w:i w:val="0"/>
          <w:sz w:val="22"/>
        </w:rPr>
        <w:t>Provide real-time visibility into the health of the external APIs and bank integrations (Nafeza, CargoX, ETA, participating banks) that the platform depends on. Location: Admin Portal → Platform Health tab, and Government Portal → Integrations tab.</w:t>
      </w:r>
    </w:p>
    <w:p>
      <w:pPr>
        <w:keepNext/>
        <w:spacing w:before="140" w:after="60"/>
        <w:outlineLvl w:val="3"/>
      </w:pPr>
      <w:r>
        <w:rPr>
          <w:rFonts w:ascii="Arial" w:hAnsi="Arial" w:cs="Arial"/>
          <w:b/>
          <w:i/>
          <w:color w:val="333333"/>
          <w:sz w:val="22"/>
        </w:rPr>
        <w:t>16.13.9.2 Widget Content</w:t>
      </w:r>
    </w:p>
    <w:p>
      <w:pPr>
        <w:spacing w:after="80" w:line="293" w:lineRule="auto"/>
        <w:jc w:val="left"/>
      </w:pPr>
      <w:r>
        <w:rPr>
          <w:rFonts w:ascii="Times New Roman" w:hAnsi="Times New Roman" w:cs="Times New Roman"/>
          <w:b w:val="0"/>
          <w:i w:val="0"/>
          <w:sz w:val="22"/>
        </w:rPr>
        <w:t>Per integration: name, current status, latency (ms), error rate (%), last checked timestamp, and a status-change alert indicator.</w:t>
      </w:r>
    </w:p>
    <w:p>
      <w:pPr>
        <w:keepNext/>
        <w:spacing w:before="140" w:after="60"/>
        <w:outlineLvl w:val="3"/>
      </w:pPr>
      <w:r>
        <w:rPr>
          <w:rFonts w:ascii="Arial" w:hAnsi="Arial" w:cs="Arial"/>
          <w:b/>
          <w:i/>
          <w:color w:val="333333"/>
          <w:sz w:val="22"/>
        </w:rPr>
        <w:t>16.13.9.3 Status Definitions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Status</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OPERATIONAL</w:t>
            </w:r>
          </w:p>
        </w:tc>
        <w:tc>
          <w:tcPr>
            <w:tcW w:type="dxa" w:w="4819"/>
          </w:tcPr>
          <w:p>
            <w:pPr>
              <w:spacing w:after="20" w:before="20" w:line="240" w:lineRule="auto"/>
            </w:pPr>
            <w:r/>
            <w:r>
              <w:rPr>
                <w:rFonts w:ascii="Arial" w:hAnsi="Arial" w:cs="Arial"/>
                <w:b w:val="0"/>
                <w:i w:val="0"/>
                <w:sz w:val="17"/>
              </w:rPr>
              <w:t>Nominal latency and error rates</w:t>
            </w:r>
          </w:p>
        </w:tc>
      </w:tr>
      <w:tr>
        <w:tc>
          <w:tcPr>
            <w:tcW w:type="dxa" w:w="4819"/>
          </w:tcPr>
          <w:p>
            <w:pPr>
              <w:spacing w:after="20" w:before="20" w:line="240" w:lineRule="auto"/>
            </w:pPr>
            <w:r/>
            <w:r>
              <w:rPr>
                <w:rFonts w:ascii="Arial" w:hAnsi="Arial" w:cs="Arial"/>
                <w:b w:val="0"/>
                <w:i w:val="0"/>
                <w:sz w:val="17"/>
              </w:rPr>
              <w:t>DEGRADED</w:t>
            </w:r>
          </w:p>
        </w:tc>
        <w:tc>
          <w:tcPr>
            <w:tcW w:type="dxa" w:w="4819"/>
          </w:tcPr>
          <w:p>
            <w:pPr>
              <w:spacing w:after="20" w:before="20" w:line="240" w:lineRule="auto"/>
            </w:pPr>
            <w:r/>
            <w:r>
              <w:rPr>
                <w:rFonts w:ascii="Arial" w:hAnsi="Arial" w:cs="Arial"/>
                <w:b w:val="0"/>
                <w:i w:val="0"/>
                <w:sz w:val="17"/>
              </w:rPr>
              <w:t>Elevated latency or error rate above thresholds</w:t>
            </w:r>
          </w:p>
        </w:tc>
      </w:tr>
      <w:tr>
        <w:tc>
          <w:tcPr>
            <w:tcW w:type="dxa" w:w="4819"/>
          </w:tcPr>
          <w:p>
            <w:pPr>
              <w:spacing w:after="20" w:before="20" w:line="240" w:lineRule="auto"/>
            </w:pPr>
            <w:r/>
            <w:r>
              <w:rPr>
                <w:rFonts w:ascii="Arial" w:hAnsi="Arial" w:cs="Arial"/>
                <w:b w:val="0"/>
                <w:i w:val="0"/>
                <w:sz w:val="17"/>
              </w:rPr>
              <w:t>OUTAGE</w:t>
            </w:r>
          </w:p>
        </w:tc>
        <w:tc>
          <w:tcPr>
            <w:tcW w:type="dxa" w:w="4819"/>
          </w:tcPr>
          <w:p>
            <w:pPr>
              <w:spacing w:after="20" w:before="20" w:line="240" w:lineRule="auto"/>
            </w:pPr>
            <w:r/>
            <w:r>
              <w:rPr>
                <w:rFonts w:ascii="Arial" w:hAnsi="Arial" w:cs="Arial"/>
                <w:b w:val="0"/>
                <w:i w:val="0"/>
                <w:sz w:val="17"/>
              </w:rPr>
              <w:t>Integration unreachable or failing</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16.13.9.4 Refresh &amp; Alerts</w:t>
      </w:r>
    </w:p>
    <w:p>
      <w:pPr>
        <w:spacing w:after="80" w:line="293" w:lineRule="auto"/>
        <w:jc w:val="left"/>
      </w:pPr>
      <w:r>
        <w:rPr>
          <w:rFonts w:ascii="Times New Roman" w:hAnsi="Times New Roman" w:cs="Times New Roman"/>
          <w:b w:val="0"/>
          <w:i w:val="0"/>
          <w:sz w:val="22"/>
        </w:rPr>
        <w:t>Data source: `integration_connector_logs` (Section 17) aggregated every 10 seconds by the integration-health-monitor service. Status changes trigger Smart Inbox alerts for the roles that depend on the integration.</w:t>
      </w:r>
    </w:p>
    <w:p>
      <w:pPr>
        <w:keepNext/>
        <w:spacing w:before="140" w:after="60"/>
        <w:outlineLvl w:val="3"/>
      </w:pPr>
      <w:r>
        <w:rPr>
          <w:rFonts w:ascii="Arial" w:hAnsi="Arial" w:cs="Arial"/>
          <w:b/>
          <w:i/>
          <w:color w:val="333333"/>
          <w:sz w:val="22"/>
        </w:rPr>
        <w:t>16.13.9.5 One-Click Actions</w:t>
      </w:r>
    </w:p>
    <w:p>
      <w:pPr>
        <w:spacing w:after="80" w:line="293" w:lineRule="auto"/>
        <w:jc w:val="left"/>
      </w:pPr>
      <w:r>
        <w:rPr>
          <w:rFonts w:ascii="Times New Roman" w:hAnsi="Times New Roman" w:cs="Times New Roman"/>
          <w:b w:val="0"/>
          <w:i w:val="0"/>
          <w:sz w:val="22"/>
        </w:rPr>
        <w:t>From the widget: view recent connector logs, retry a failed connector call (admin/government configurations), and open the connector configuration.</w:t>
      </w:r>
    </w:p>
    <w:p>
      <w:pPr>
        <w:keepNext/>
        <w:spacing w:before="180" w:after="80"/>
        <w:outlineLvl w:val="2"/>
      </w:pPr>
      <w:r>
        <w:rPr>
          <w:rFonts w:ascii="Arial" w:hAnsi="Arial" w:cs="Arial"/>
          <w:b/>
          <w:i w:val="0"/>
          <w:color w:val="333333"/>
          <w:sz w:val="23"/>
        </w:rPr>
        <w:t>16.13.10 Universal Search &amp; USTN Resolution</w:t>
      </w:r>
    </w:p>
    <w:p>
      <w:pPr>
        <w:spacing w:after="80" w:line="293" w:lineRule="auto"/>
        <w:jc w:val="left"/>
      </w:pPr>
      <w:r>
        <w:rPr>
          <w:rFonts w:ascii="Times New Roman" w:hAnsi="Times New Roman" w:cs="Times New Roman"/>
          <w:b w:val="0"/>
          <w:i w:val="0"/>
          <w:sz w:val="22"/>
        </w:rPr>
        <w:t>Authenticated search across the user's authorised universe (shipments, quotes, contracts, financing agreements, disputes, contacts) is exposed at `GET /v1/search` and surfaced in the Command Center. USTN references autocomplete from the user's own recent USTNs only. A manually typed USTN is validated in real time against the canonical format (Section 5) and, if valid, resolves to a summary card (status, parties, commodity) without form submission. Resolution for third parties is role-filtered by `GET /v1/ustn/{ustn}`.</w:t>
      </w:r>
    </w:p>
    <w:p>
      <w:pPr>
        <w:keepNext/>
        <w:spacing w:before="180" w:after="80"/>
        <w:outlineLvl w:val="2"/>
      </w:pPr>
      <w:r>
        <w:rPr>
          <w:rFonts w:ascii="Arial" w:hAnsi="Arial" w:cs="Arial"/>
          <w:b/>
          <w:i w:val="0"/>
          <w:color w:val="333333"/>
          <w:sz w:val="23"/>
        </w:rPr>
        <w:t>16.13.11 Mobile Adaptation</w:t>
      </w:r>
    </w:p>
    <w:p>
      <w:pPr>
        <w:keepNext/>
        <w:spacing w:before="140" w:after="60"/>
        <w:outlineLvl w:val="3"/>
      </w:pPr>
      <w:r>
        <w:rPr>
          <w:rFonts w:ascii="Arial" w:hAnsi="Arial" w:cs="Arial"/>
          <w:b/>
          <w:i/>
          <w:color w:val="333333"/>
          <w:sz w:val="22"/>
        </w:rPr>
        <w:t>16.13.11.1 Mobile View</w:t>
      </w:r>
    </w:p>
    <w:p>
      <w:pPr>
        <w:spacing w:after="80" w:line="293" w:lineRule="auto"/>
        <w:jc w:val="left"/>
      </w:pPr>
      <w:r>
        <w:rPr>
          <w:rFonts w:ascii="Times New Roman" w:hAnsi="Times New Roman" w:cs="Times New Roman"/>
          <w:b w:val="0"/>
          <w:i w:val="0"/>
          <w:sz w:val="22"/>
        </w:rPr>
        <w:t>On screens narrower than 768px, the Command Center adapts: cards render as a single-column stack (top four cards), the quick actions grid becomes a 2×4 icon grid, the AI assistant becomes a floating action button, and the activity feed collapses to the five most recent items.</w:t>
      </w:r>
    </w:p>
    <w:p>
      <w:pPr>
        <w:keepNext/>
        <w:spacing w:before="140" w:after="60"/>
        <w:outlineLvl w:val="3"/>
      </w:pPr>
      <w:r>
        <w:rPr>
          <w:rFonts w:ascii="Arial" w:hAnsi="Arial" w:cs="Arial"/>
          <w:b/>
          <w:i/>
          <w:color w:val="333333"/>
          <w:sz w:val="22"/>
        </w:rPr>
        <w:t>16.13.11.2 Mobile-Specific Features</w:t>
      </w:r>
    </w:p>
    <w:p>
      <w:pPr>
        <w:spacing w:after="80" w:line="293" w:lineRule="auto"/>
        <w:ind w:left="283"/>
        <w:jc w:val="left"/>
      </w:pPr>
      <w:r>
        <w:rPr>
          <w:rFonts w:ascii="Times New Roman" w:hAnsi="Times New Roman" w:cs="Times New Roman"/>
          <w:b w:val="0"/>
          <w:i w:val="0"/>
          <w:sz w:val="22"/>
        </w:rPr>
        <w:t>- Swipe gestures (swipe between cards, swipe-to-dismiss feed items).</w:t>
      </w:r>
    </w:p>
    <w:p>
      <w:pPr>
        <w:spacing w:after="80" w:line="293" w:lineRule="auto"/>
        <w:ind w:left="283"/>
        <w:jc w:val="left"/>
      </w:pPr>
      <w:r>
        <w:rPr>
          <w:rFonts w:ascii="Times New Roman" w:hAnsi="Times New Roman" w:cs="Times New Roman"/>
          <w:b w:val="0"/>
          <w:i w:val="0"/>
          <w:sz w:val="22"/>
        </w:rPr>
        <w:t>- Pull-to-refresh.</w:t>
      </w:r>
    </w:p>
    <w:p>
      <w:pPr>
        <w:spacing w:after="80" w:line="293" w:lineRule="auto"/>
        <w:ind w:left="283"/>
        <w:jc w:val="left"/>
      </w:pPr>
      <w:r>
        <w:rPr>
          <w:rFonts w:ascii="Times New Roman" w:hAnsi="Times New Roman" w:cs="Times New Roman"/>
          <w:b w:val="0"/>
          <w:i w:val="0"/>
          <w:sz w:val="22"/>
        </w:rPr>
        <w:t>- Offline caching of the last Command Center snapshot (cards and feed) for review without</w:t>
      </w:r>
    </w:p>
    <w:p>
      <w:pPr>
        <w:spacing w:after="80" w:line="293" w:lineRule="auto"/>
        <w:jc w:val="left"/>
      </w:pPr>
      <w:r>
        <w:rPr>
          <w:rFonts w:ascii="Times New Roman" w:hAnsi="Times New Roman" w:cs="Times New Roman"/>
          <w:b w:val="0"/>
          <w:i w:val="0"/>
          <w:sz w:val="22"/>
        </w:rPr>
        <w:t>connectivity.</w:t>
      </w:r>
    </w:p>
    <w:p>
      <w:pPr>
        <w:keepNext/>
        <w:spacing w:before="180" w:after="80"/>
        <w:outlineLvl w:val="2"/>
      </w:pPr>
      <w:r>
        <w:rPr>
          <w:rFonts w:ascii="Arial" w:hAnsi="Arial" w:cs="Arial"/>
          <w:b/>
          <w:i w:val="0"/>
          <w:color w:val="333333"/>
          <w:sz w:val="23"/>
        </w:rPr>
        <w:t>16.13.12 Database Schema</w:t>
      </w:r>
    </w:p>
    <w:p>
      <w:pPr>
        <w:spacing w:after="0" w:before="0" w:line="240" w:lineRule="auto"/>
        <w:ind w:left="57"/>
        <w:jc w:val="left"/>
        <w:shd w:val="clear" w:fill="F2F2F2"/>
      </w:pPr>
      <w:r>
        <w:rPr>
          <w:rFonts w:ascii="Consolas" w:hAnsi="Consolas" w:cs="Consolas"/>
          <w:b w:val="0"/>
          <w:i w:val="0"/>
          <w:sz w:val="15"/>
        </w:rPr>
        <w:t>-- User preferences for the Command Center</w:t>
      </w:r>
    </w:p>
    <w:p>
      <w:pPr>
        <w:spacing w:after="0" w:before="0" w:line="240" w:lineRule="auto"/>
        <w:ind w:left="57"/>
        <w:jc w:val="left"/>
        <w:shd w:val="clear" w:fill="F2F2F2"/>
      </w:pPr>
      <w:r>
        <w:rPr>
          <w:rFonts w:ascii="Consolas" w:hAnsi="Consolas" w:cs="Consolas"/>
          <w:b w:val="0"/>
          <w:i w:val="0"/>
          <w:sz w:val="15"/>
        </w:rPr>
        <w:t>CREATE TABLE user_preferences (</w:t>
      </w:r>
    </w:p>
    <w:p>
      <w:pPr>
        <w:spacing w:after="0" w:before="0" w:line="240" w:lineRule="auto"/>
        <w:ind w:left="57"/>
        <w:jc w:val="left"/>
        <w:shd w:val="clear" w:fill="F2F2F2"/>
      </w:pPr>
      <w:r>
        <w:rPr>
          <w:rFonts w:ascii="Consolas" w:hAnsi="Consolas" w:cs="Consolas"/>
          <w:b w:val="0"/>
          <w:i w:val="0"/>
          <w:sz w:val="15"/>
        </w:rPr>
        <w:t xml:space="preserve">  employee_id UUID PRIMARY KEY REFERENCES employees(id) ON DELETE CASCADE,</w:t>
      </w:r>
    </w:p>
    <w:p>
      <w:pPr>
        <w:spacing w:after="0" w:before="0" w:line="240" w:lineRule="auto"/>
        <w:ind w:left="57"/>
        <w:jc w:val="left"/>
        <w:shd w:val="clear" w:fill="F2F2F2"/>
      </w:pPr>
      <w:r>
        <w:rPr>
          <w:rFonts w:ascii="Consolas" w:hAnsi="Consolas" w:cs="Consolas"/>
          <w:b w:val="0"/>
          <w:i w:val="0"/>
          <w:sz w:val="15"/>
        </w:rPr>
        <w:t xml:space="preserve">  dashboard_config JSONB DEFAULT '{}',    -- card visibility, order, thresholds</w:t>
      </w:r>
    </w:p>
    <w:p>
      <w:pPr>
        <w:spacing w:after="0" w:before="0" w:line="240" w:lineRule="auto"/>
        <w:ind w:left="57"/>
        <w:jc w:val="left"/>
        <w:shd w:val="clear" w:fill="F2F2F2"/>
      </w:pPr>
      <w:r>
        <w:rPr>
          <w:rFonts w:ascii="Consolas" w:hAnsi="Consolas" w:cs="Consolas"/>
          <w:b w:val="0"/>
          <w:i w:val="0"/>
          <w:sz w:val="15"/>
        </w:rPr>
        <w:t xml:space="preserve">  quick_actions JSONB DEFAULT '{}',       -- pinned actions, order</w:t>
      </w:r>
    </w:p>
    <w:p>
      <w:pPr>
        <w:spacing w:after="0" w:before="0" w:line="240" w:lineRule="auto"/>
        <w:ind w:left="57"/>
        <w:jc w:val="left"/>
        <w:shd w:val="clear" w:fill="F2F2F2"/>
      </w:pPr>
      <w:r>
        <w:rPr>
          <w:rFonts w:ascii="Consolas" w:hAnsi="Consolas" w:cs="Consolas"/>
          <w:b w:val="0"/>
          <w:i w:val="0"/>
          <w:sz w:val="15"/>
        </w:rPr>
        <w:t xml:space="preserve">  theme TEXT DEFAULT 'system',            -- 'light', 'dark', 'system'</w:t>
      </w:r>
    </w:p>
    <w:p>
      <w:pPr>
        <w:spacing w:after="0" w:before="0" w:line="240" w:lineRule="auto"/>
        <w:ind w:left="57"/>
        <w:jc w:val="left"/>
        <w:shd w:val="clear" w:fill="F2F2F2"/>
      </w:pPr>
      <w:r>
        <w:rPr>
          <w:rFonts w:ascii="Consolas" w:hAnsi="Consolas" w:cs="Consolas"/>
          <w:b w:val="0"/>
          <w:i w:val="0"/>
          <w:sz w:val="15"/>
        </w:rPr>
        <w:t xml:space="preserve">  ai_assistant_enabled BOOLEAN DEFAULT true,</w:t>
      </w:r>
    </w:p>
    <w:p>
      <w:pPr>
        <w:spacing w:after="0" w:before="0" w:line="240" w:lineRule="auto"/>
        <w:ind w:left="57"/>
        <w:jc w:val="left"/>
        <w:shd w:val="clear" w:fill="F2F2F2"/>
      </w:pPr>
      <w:r>
        <w:rPr>
          <w:rFonts w:ascii="Consolas" w:hAnsi="Consolas" w:cs="Consolas"/>
          <w:b w:val="0"/>
          <w:i w:val="0"/>
          <w:sz w:val="15"/>
        </w:rPr>
        <w:t xml:space="preserve">  language TEXT DEFAULT 'en',</w:t>
      </w:r>
    </w:p>
    <w:p>
      <w:pPr>
        <w:spacing w:after="0" w:before="0" w:line="240" w:lineRule="auto"/>
        <w:ind w:left="57"/>
        <w:jc w:val="left"/>
        <w:shd w:val="clear" w:fill="F2F2F2"/>
      </w:pPr>
      <w:r>
        <w:rPr>
          <w:rFonts w:ascii="Consolas" w:hAnsi="Consolas" w:cs="Consolas"/>
          <w:b w:val="0"/>
          <w:i w:val="0"/>
          <w:sz w:val="15"/>
        </w:rPr>
        <w:t xml:space="preserve">  compact_mode BOOLEAN DEFAULT false,</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Integration health logs</w:t>
      </w:r>
    </w:p>
    <w:p>
      <w:pPr>
        <w:spacing w:after="0" w:before="0" w:line="240" w:lineRule="auto"/>
        <w:ind w:left="57"/>
        <w:jc w:val="left"/>
        <w:shd w:val="clear" w:fill="F2F2F2"/>
      </w:pPr>
      <w:r>
        <w:rPr>
          <w:rFonts w:ascii="Consolas" w:hAnsi="Consolas" w:cs="Consolas"/>
          <w:b w:val="0"/>
          <w:i w:val="0"/>
          <w:sz w:val="15"/>
        </w:rPr>
        <w:t>CREATE TABLE integration_health_logs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integration_name TEXT NOT NULL,         -- 'NAFEZA', 'CARGOX', 'ETA', 'FAWRY', etc.</w:t>
      </w:r>
    </w:p>
    <w:p>
      <w:pPr>
        <w:spacing w:after="0" w:before="0" w:line="240" w:lineRule="auto"/>
        <w:ind w:left="57"/>
        <w:jc w:val="left"/>
        <w:shd w:val="clear" w:fill="F2F2F2"/>
      </w:pPr>
      <w:r>
        <w:rPr>
          <w:rFonts w:ascii="Consolas" w:hAnsi="Consolas" w:cs="Consolas"/>
          <w:b w:val="0"/>
          <w:i w:val="0"/>
          <w:sz w:val="15"/>
        </w:rPr>
        <w:t xml:space="preserve">  status TEXT NOT NULL,                   -- 'OPERATIONAL', 'DEGRADED', 'OUTAGE'</w:t>
      </w:r>
    </w:p>
    <w:p>
      <w:pPr>
        <w:spacing w:after="0" w:before="0" w:line="240" w:lineRule="auto"/>
        <w:ind w:left="57"/>
        <w:jc w:val="left"/>
        <w:shd w:val="clear" w:fill="F2F2F2"/>
      </w:pPr>
      <w:r>
        <w:rPr>
          <w:rFonts w:ascii="Consolas" w:hAnsi="Consolas" w:cs="Consolas"/>
          <w:b w:val="0"/>
          <w:i w:val="0"/>
          <w:sz w:val="15"/>
        </w:rPr>
        <w:t xml:space="preserve">  latency_ms INTEGER,</w:t>
      </w:r>
    </w:p>
    <w:p>
      <w:pPr>
        <w:spacing w:after="0" w:before="0" w:line="240" w:lineRule="auto"/>
        <w:ind w:left="57"/>
        <w:jc w:val="left"/>
        <w:shd w:val="clear" w:fill="F2F2F2"/>
      </w:pPr>
      <w:r>
        <w:rPr>
          <w:rFonts w:ascii="Consolas" w:hAnsi="Consolas" w:cs="Consolas"/>
          <w:b w:val="0"/>
          <w:i w:val="0"/>
          <w:sz w:val="15"/>
        </w:rPr>
        <w:t xml:space="preserve">  error_rate DECIMAL(5,2),</w:t>
      </w:r>
    </w:p>
    <w:p>
      <w:pPr>
        <w:spacing w:after="0" w:before="0" w:line="240" w:lineRule="auto"/>
        <w:ind w:left="57"/>
        <w:jc w:val="left"/>
        <w:shd w:val="clear" w:fill="F2F2F2"/>
      </w:pPr>
      <w:r>
        <w:rPr>
          <w:rFonts w:ascii="Consolas" w:hAnsi="Consolas" w:cs="Consolas"/>
          <w:b w:val="0"/>
          <w:i w:val="0"/>
          <w:sz w:val="15"/>
        </w:rPr>
        <w:t xml:space="preserve">  checked_at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Trade health scores (materialised view)</w:t>
      </w:r>
    </w:p>
    <w:p>
      <w:pPr>
        <w:spacing w:after="0" w:before="0" w:line="240" w:lineRule="auto"/>
        <w:ind w:left="57"/>
        <w:jc w:val="left"/>
        <w:shd w:val="clear" w:fill="F2F2F2"/>
      </w:pPr>
      <w:r>
        <w:rPr>
          <w:rFonts w:ascii="Consolas" w:hAnsi="Consolas" w:cs="Consolas"/>
          <w:b w:val="0"/>
          <w:i w:val="0"/>
          <w:sz w:val="15"/>
        </w:rPr>
        <w:t>CREATE MATERIALIZED VIEW trade_health_scores AS</w:t>
      </w:r>
    </w:p>
    <w:p>
      <w:pPr>
        <w:spacing w:after="0" w:before="0" w:line="240" w:lineRule="auto"/>
        <w:ind w:left="57"/>
        <w:jc w:val="left"/>
        <w:shd w:val="clear" w:fill="F2F2F2"/>
      </w:pPr>
      <w:r>
        <w:rPr>
          <w:rFonts w:ascii="Consolas" w:hAnsi="Consolas" w:cs="Consolas"/>
          <w:b w:val="0"/>
          <w:i w:val="0"/>
          <w:sz w:val="15"/>
        </w:rPr>
        <w:t>SELECT</w:t>
      </w:r>
    </w:p>
    <w:p>
      <w:pPr>
        <w:spacing w:after="0" w:before="0" w:line="240" w:lineRule="auto"/>
        <w:ind w:left="57"/>
        <w:jc w:val="left"/>
        <w:shd w:val="clear" w:fill="F2F2F2"/>
      </w:pPr>
      <w:r>
        <w:rPr>
          <w:rFonts w:ascii="Consolas" w:hAnsi="Consolas" w:cs="Consolas"/>
          <w:b w:val="0"/>
          <w:i w:val="0"/>
          <w:sz w:val="15"/>
        </w:rPr>
        <w:t xml:space="preserve">  ustn,</w:t>
      </w:r>
    </w:p>
    <w:p>
      <w:pPr>
        <w:spacing w:after="0" w:before="0" w:line="240" w:lineRule="auto"/>
        <w:ind w:left="57"/>
        <w:jc w:val="left"/>
        <w:shd w:val="clear" w:fill="F2F2F2"/>
      </w:pPr>
      <w:r>
        <w:rPr>
          <w:rFonts w:ascii="Consolas" w:hAnsi="Consolas" w:cs="Consolas"/>
          <w:b w:val="0"/>
          <w:i w:val="0"/>
          <w:sz w:val="15"/>
        </w:rPr>
        <w:t xml:space="preserve">  (compliance_score * 0.20 + documentation_score * 0.20 +</w:t>
      </w:r>
    </w:p>
    <w:p>
      <w:pPr>
        <w:spacing w:after="0" w:before="0" w:line="240" w:lineRule="auto"/>
        <w:ind w:left="57"/>
        <w:jc w:val="left"/>
        <w:shd w:val="clear" w:fill="F2F2F2"/>
      </w:pPr>
      <w:r>
        <w:rPr>
          <w:rFonts w:ascii="Consolas" w:hAnsi="Consolas" w:cs="Consolas"/>
          <w:b w:val="0"/>
          <w:i w:val="0"/>
          <w:sz w:val="15"/>
        </w:rPr>
        <w:t xml:space="preserve">   logistics_score * 0.15 + payment_score * 0.15 +</w:t>
      </w:r>
    </w:p>
    <w:p>
      <w:pPr>
        <w:spacing w:after="0" w:before="0" w:line="240" w:lineRule="auto"/>
        <w:ind w:left="57"/>
        <w:jc w:val="left"/>
        <w:shd w:val="clear" w:fill="F2F2F2"/>
      </w:pPr>
      <w:r>
        <w:rPr>
          <w:rFonts w:ascii="Consolas" w:hAnsi="Consolas" w:cs="Consolas"/>
          <w:b w:val="0"/>
          <w:i w:val="0"/>
          <w:sz w:val="15"/>
        </w:rPr>
        <w:t xml:space="preserve">   risk_score * 0.20 + timeline_score * 0.10) AS health_score,</w:t>
      </w:r>
    </w:p>
    <w:p>
      <w:pPr>
        <w:spacing w:after="0" w:before="0" w:line="240" w:lineRule="auto"/>
        <w:ind w:left="57"/>
        <w:jc w:val="left"/>
        <w:shd w:val="clear" w:fill="F2F2F2"/>
      </w:pPr>
      <w:r>
        <w:rPr>
          <w:rFonts w:ascii="Consolas" w:hAnsi="Consolas" w:cs="Consolas"/>
          <w:b w:val="0"/>
          <w:i w:val="0"/>
          <w:sz w:val="15"/>
        </w:rPr>
        <w:t xml:space="preserve">  NOW() AS calculated_at</w:t>
      </w:r>
    </w:p>
    <w:p>
      <w:pPr>
        <w:spacing w:after="0" w:before="0" w:line="240" w:lineRule="auto"/>
        <w:ind w:left="57"/>
        <w:jc w:val="left"/>
        <w:shd w:val="clear" w:fill="F2F2F2"/>
      </w:pPr>
      <w:r>
        <w:rPr>
          <w:rFonts w:ascii="Consolas" w:hAnsi="Consolas" w:cs="Consolas"/>
          <w:b w:val="0"/>
          <w:i w:val="0"/>
          <w:sz w:val="15"/>
        </w:rPr>
        <w:t>FROM trade_component_scores;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16.13.13 Implementation Checklist</w:t>
      </w:r>
    </w:p>
    <w:p>
      <w:pPr>
        <w:keepNext/>
        <w:spacing w:before="140" w:after="60"/>
        <w:outlineLvl w:val="3"/>
      </w:pPr>
      <w:r>
        <w:rPr>
          <w:rFonts w:ascii="Arial" w:hAnsi="Arial" w:cs="Arial"/>
          <w:b/>
          <w:i/>
          <w:color w:val="333333"/>
          <w:sz w:val="22"/>
        </w:rPr>
        <w:t>16.13.13.1 Executive Summary Cards</w:t>
      </w:r>
    </w:p>
    <w:p>
      <w:pPr>
        <w:spacing w:after="80" w:line="293" w:lineRule="auto"/>
        <w:ind w:left="283"/>
        <w:jc w:val="left"/>
      </w:pPr>
      <w:r>
        <w:rPr>
          <w:rFonts w:ascii="Times New Roman" w:hAnsi="Times New Roman" w:cs="Times New Roman"/>
          <w:b w:val="0"/>
          <w:i w:val="0"/>
          <w:sz w:val="22"/>
        </w:rPr>
        <w:t>- Build card component with metrics and trend indicators.</w:t>
      </w:r>
    </w:p>
    <w:p>
      <w:pPr>
        <w:spacing w:after="80" w:line="293" w:lineRule="auto"/>
        <w:ind w:left="283"/>
        <w:jc w:val="left"/>
      </w:pPr>
      <w:r>
        <w:rPr>
          <w:rFonts w:ascii="Times New Roman" w:hAnsi="Times New Roman" w:cs="Times New Roman"/>
          <w:b w:val="0"/>
          <w:i w:val="0"/>
          <w:sz w:val="22"/>
        </w:rPr>
        <w:t>- Add role-based card visibility.</w:t>
      </w:r>
    </w:p>
    <w:p>
      <w:pPr>
        <w:spacing w:after="80" w:line="293" w:lineRule="auto"/>
        <w:ind w:left="283"/>
        <w:jc w:val="left"/>
      </w:pPr>
      <w:r>
        <w:rPr>
          <w:rFonts w:ascii="Times New Roman" w:hAnsi="Times New Roman" w:cs="Times New Roman"/>
          <w:b w:val="0"/>
          <w:i w:val="0"/>
          <w:sz w:val="22"/>
        </w:rPr>
        <w:t>- Implement card click navigation.</w:t>
      </w:r>
    </w:p>
    <w:p>
      <w:pPr>
        <w:spacing w:after="80" w:line="293" w:lineRule="auto"/>
        <w:ind w:left="283"/>
        <w:jc w:val="left"/>
      </w:pPr>
      <w:r>
        <w:rPr>
          <w:rFonts w:ascii="Times New Roman" w:hAnsi="Times New Roman" w:cs="Times New Roman"/>
          <w:b w:val="0"/>
          <w:i w:val="0"/>
          <w:sz w:val="22"/>
        </w:rPr>
        <w:t>- Add card customisation (show/hide, reorder, thresholds).</w:t>
      </w:r>
    </w:p>
    <w:p>
      <w:pPr>
        <w:keepNext/>
        <w:spacing w:before="140" w:after="60"/>
        <w:outlineLvl w:val="3"/>
      </w:pPr>
      <w:r>
        <w:rPr>
          <w:rFonts w:ascii="Arial" w:hAnsi="Arial" w:cs="Arial"/>
          <w:b/>
          <w:i/>
          <w:color w:val="333333"/>
          <w:sz w:val="22"/>
        </w:rPr>
        <w:t>16.13.13.2 Quick Actions Grid</w:t>
      </w:r>
    </w:p>
    <w:p>
      <w:pPr>
        <w:spacing w:after="80" w:line="293" w:lineRule="auto"/>
        <w:ind w:left="283"/>
        <w:jc w:val="left"/>
      </w:pPr>
      <w:r>
        <w:rPr>
          <w:rFonts w:ascii="Times New Roman" w:hAnsi="Times New Roman" w:cs="Times New Roman"/>
          <w:b w:val="0"/>
          <w:i w:val="0"/>
          <w:sz w:val="22"/>
        </w:rPr>
        <w:t>- Build grid component with icon + label buttons.</w:t>
      </w:r>
    </w:p>
    <w:p>
      <w:pPr>
        <w:spacing w:after="80" w:line="293" w:lineRule="auto"/>
        <w:ind w:left="283"/>
        <w:jc w:val="left"/>
      </w:pPr>
      <w:r>
        <w:rPr>
          <w:rFonts w:ascii="Times New Roman" w:hAnsi="Times New Roman" w:cs="Times New Roman"/>
          <w:b w:val="0"/>
          <w:i w:val="0"/>
          <w:sz w:val="22"/>
        </w:rPr>
        <w:t>- Add role-specific actions.</w:t>
      </w:r>
    </w:p>
    <w:p>
      <w:pPr>
        <w:spacing w:after="80" w:line="293" w:lineRule="auto"/>
        <w:ind w:left="283"/>
        <w:jc w:val="left"/>
      </w:pPr>
      <w:r>
        <w:rPr>
          <w:rFonts w:ascii="Times New Roman" w:hAnsi="Times New Roman" w:cs="Times New Roman"/>
          <w:b w:val="0"/>
          <w:i w:val="0"/>
          <w:sz w:val="22"/>
        </w:rPr>
        <w:t>- Implement customisation (pin/unpin, reorder, max actions).</w:t>
      </w:r>
    </w:p>
    <w:p>
      <w:pPr>
        <w:spacing w:after="80" w:line="293" w:lineRule="auto"/>
        <w:ind w:left="283"/>
        <w:jc w:val="left"/>
      </w:pPr>
      <w:r>
        <w:rPr>
          <w:rFonts w:ascii="Times New Roman" w:hAnsi="Times New Roman" w:cs="Times New Roman"/>
          <w:b w:val="0"/>
          <w:i w:val="0"/>
          <w:sz w:val="22"/>
        </w:rPr>
        <w:t>- Add keyboard shortcuts.</w:t>
      </w:r>
    </w:p>
    <w:p>
      <w:pPr>
        <w:keepNext/>
        <w:spacing w:before="140" w:after="60"/>
        <w:outlineLvl w:val="3"/>
      </w:pPr>
      <w:r>
        <w:rPr>
          <w:rFonts w:ascii="Arial" w:hAnsi="Arial" w:cs="Arial"/>
          <w:b/>
          <w:i/>
          <w:color w:val="333333"/>
          <w:sz w:val="22"/>
        </w:rPr>
        <w:t>16.13.13.3 AI Operations Assistant</w:t>
      </w:r>
    </w:p>
    <w:p>
      <w:pPr>
        <w:spacing w:after="80" w:line="293" w:lineRule="auto"/>
        <w:ind w:left="283"/>
        <w:jc w:val="left"/>
      </w:pPr>
      <w:r>
        <w:rPr>
          <w:rFonts w:ascii="Times New Roman" w:hAnsi="Times New Roman" w:cs="Times New Roman"/>
          <w:b w:val="0"/>
          <w:i w:val="0"/>
          <w:sz w:val="22"/>
        </w:rPr>
        <w:t>- Build chat panel component.</w:t>
      </w:r>
    </w:p>
    <w:p>
      <w:pPr>
        <w:spacing w:after="80" w:line="293" w:lineRule="auto"/>
        <w:ind w:left="283"/>
        <w:jc w:val="left"/>
      </w:pPr>
      <w:r>
        <w:rPr>
          <w:rFonts w:ascii="Times New Roman" w:hAnsi="Times New Roman" w:cs="Times New Roman"/>
          <w:b w:val="0"/>
          <w:i w:val="0"/>
          <w:sz w:val="22"/>
        </w:rPr>
        <w:t>- Integrate Groq API for natural-language responses.</w:t>
      </w:r>
    </w:p>
    <w:p>
      <w:pPr>
        <w:spacing w:after="80" w:line="293" w:lineRule="auto"/>
        <w:ind w:left="283"/>
        <w:jc w:val="left"/>
      </w:pPr>
      <w:r>
        <w:rPr>
          <w:rFonts w:ascii="Times New Roman" w:hAnsi="Times New Roman" w:cs="Times New Roman"/>
          <w:b w:val="0"/>
          <w:i w:val="0"/>
          <w:sz w:val="22"/>
        </w:rPr>
        <w:t>- Add Ollama fallback.</w:t>
      </w:r>
    </w:p>
    <w:p>
      <w:pPr>
        <w:spacing w:after="80" w:line="293" w:lineRule="auto"/>
        <w:ind w:left="283"/>
        <w:jc w:val="left"/>
      </w:pPr>
      <w:r>
        <w:rPr>
          <w:rFonts w:ascii="Times New Roman" w:hAnsi="Times New Roman" w:cs="Times New Roman"/>
          <w:b w:val="0"/>
          <w:i w:val="0"/>
          <w:sz w:val="22"/>
        </w:rPr>
        <w:t>- Implement one-click action execution from chat.</w:t>
      </w:r>
    </w:p>
    <w:p>
      <w:pPr>
        <w:spacing w:after="80" w:line="293" w:lineRule="auto"/>
        <w:ind w:left="283"/>
        <w:jc w:val="left"/>
      </w:pPr>
      <w:r>
        <w:rPr>
          <w:rFonts w:ascii="Times New Roman" w:hAnsi="Times New Roman" w:cs="Times New Roman"/>
          <w:b w:val="0"/>
          <w:i w:val="0"/>
          <w:sz w:val="22"/>
        </w:rPr>
        <w:t>- Add voice input support.</w:t>
      </w:r>
    </w:p>
    <w:p>
      <w:pPr>
        <w:spacing w:after="80" w:line="293" w:lineRule="auto"/>
        <w:ind w:left="283"/>
        <w:jc w:val="left"/>
      </w:pPr>
      <w:r>
        <w:rPr>
          <w:rFonts w:ascii="Times New Roman" w:hAnsi="Times New Roman" w:cs="Times New Roman"/>
          <w:b w:val="0"/>
          <w:i w:val="0"/>
          <w:sz w:val="22"/>
        </w:rPr>
        <w:t>- Implement privacy and data handling.</w:t>
      </w:r>
    </w:p>
    <w:p>
      <w:pPr>
        <w:keepNext/>
        <w:spacing w:before="140" w:after="60"/>
        <w:outlineLvl w:val="3"/>
      </w:pPr>
      <w:r>
        <w:rPr>
          <w:rFonts w:ascii="Arial" w:hAnsi="Arial" w:cs="Arial"/>
          <w:b/>
          <w:i/>
          <w:color w:val="333333"/>
          <w:sz w:val="22"/>
        </w:rPr>
        <w:t>16.13.13.4 Recent Activity Feed</w:t>
      </w:r>
    </w:p>
    <w:p>
      <w:pPr>
        <w:spacing w:after="80" w:line="293" w:lineRule="auto"/>
        <w:ind w:left="283"/>
        <w:jc w:val="left"/>
      </w:pPr>
      <w:r>
        <w:rPr>
          <w:rFonts w:ascii="Times New Roman" w:hAnsi="Times New Roman" w:cs="Times New Roman"/>
          <w:b w:val="0"/>
          <w:i w:val="0"/>
          <w:sz w:val="22"/>
        </w:rPr>
        <w:t>- Build activity feed component.</w:t>
      </w:r>
    </w:p>
    <w:p>
      <w:pPr>
        <w:spacing w:after="80" w:line="293" w:lineRule="auto"/>
        <w:ind w:left="283"/>
        <w:jc w:val="left"/>
      </w:pPr>
      <w:r>
        <w:rPr>
          <w:rFonts w:ascii="Times New Roman" w:hAnsi="Times New Roman" w:cs="Times New Roman"/>
          <w:b w:val="0"/>
          <w:i w:val="0"/>
          <w:sz w:val="22"/>
        </w:rPr>
        <w:t>- Subscribe to NATS events for real-time updates.</w:t>
      </w:r>
    </w:p>
    <w:p>
      <w:pPr>
        <w:spacing w:after="80" w:line="293" w:lineRule="auto"/>
        <w:ind w:left="283"/>
        <w:jc w:val="left"/>
      </w:pPr>
      <w:r>
        <w:rPr>
          <w:rFonts w:ascii="Times New Roman" w:hAnsi="Times New Roman" w:cs="Times New Roman"/>
          <w:b w:val="0"/>
          <w:i w:val="0"/>
          <w:sz w:val="22"/>
        </w:rPr>
        <w:t>- Add colour coding and icons.</w:t>
      </w:r>
    </w:p>
    <w:p>
      <w:pPr>
        <w:spacing w:after="80" w:line="293" w:lineRule="auto"/>
        <w:ind w:left="283"/>
        <w:jc w:val="left"/>
      </w:pPr>
      <w:r>
        <w:rPr>
          <w:rFonts w:ascii="Times New Roman" w:hAnsi="Times New Roman" w:cs="Times New Roman"/>
          <w:b w:val="0"/>
          <w:i w:val="0"/>
          <w:sz w:val="22"/>
        </w:rPr>
        <w:t>- Implement click navigation.</w:t>
      </w:r>
    </w:p>
    <w:p>
      <w:pPr>
        <w:spacing w:after="80" w:line="293" w:lineRule="auto"/>
        <w:ind w:left="283"/>
        <w:jc w:val="left"/>
      </w:pPr>
      <w:r>
        <w:rPr>
          <w:rFonts w:ascii="Times New Roman" w:hAnsi="Times New Roman" w:cs="Times New Roman"/>
          <w:b w:val="0"/>
          <w:i w:val="0"/>
          <w:sz w:val="22"/>
        </w:rPr>
        <w:t>- Add filter and date range controls.</w:t>
      </w:r>
    </w:p>
    <w:p>
      <w:pPr>
        <w:keepNext/>
        <w:spacing w:before="140" w:after="60"/>
        <w:outlineLvl w:val="3"/>
      </w:pPr>
      <w:r>
        <w:rPr>
          <w:rFonts w:ascii="Arial" w:hAnsi="Arial" w:cs="Arial"/>
          <w:b/>
          <w:i/>
          <w:color w:val="333333"/>
          <w:sz w:val="22"/>
        </w:rPr>
        <w:t>16.13.13.5 Configuration &amp; Personalisation</w:t>
      </w:r>
    </w:p>
    <w:p>
      <w:pPr>
        <w:spacing w:after="80" w:line="293" w:lineRule="auto"/>
        <w:ind w:left="283"/>
        <w:jc w:val="left"/>
      </w:pPr>
      <w:r>
        <w:rPr>
          <w:rFonts w:ascii="Times New Roman" w:hAnsi="Times New Roman" w:cs="Times New Roman"/>
          <w:b w:val="0"/>
          <w:i w:val="0"/>
          <w:sz w:val="22"/>
        </w:rPr>
        <w:t>- Build settings panel.</w:t>
      </w:r>
    </w:p>
    <w:p>
      <w:pPr>
        <w:spacing w:after="80" w:line="293" w:lineRule="auto"/>
        <w:ind w:left="283"/>
        <w:jc w:val="left"/>
      </w:pPr>
      <w:r>
        <w:rPr>
          <w:rFonts w:ascii="Times New Roman" w:hAnsi="Times New Roman" w:cs="Times New Roman"/>
          <w:b w:val="0"/>
          <w:i w:val="0"/>
          <w:sz w:val="22"/>
        </w:rPr>
        <w:t>- Persist preferences in the user_preferences table.</w:t>
      </w:r>
    </w:p>
    <w:p>
      <w:pPr>
        <w:spacing w:after="80" w:line="293" w:lineRule="auto"/>
        <w:ind w:left="283"/>
        <w:jc w:val="left"/>
      </w:pPr>
      <w:r>
        <w:rPr>
          <w:rFonts w:ascii="Times New Roman" w:hAnsi="Times New Roman" w:cs="Times New Roman"/>
          <w:b w:val="0"/>
          <w:i w:val="0"/>
          <w:sz w:val="22"/>
        </w:rPr>
        <w:t>- Sync across devices via NATS.</w:t>
      </w:r>
    </w:p>
    <w:p>
      <w:pPr>
        <w:keepNext/>
        <w:spacing w:before="140" w:after="60"/>
        <w:outlineLvl w:val="3"/>
      </w:pPr>
      <w:r>
        <w:rPr>
          <w:rFonts w:ascii="Arial" w:hAnsi="Arial" w:cs="Arial"/>
          <w:b/>
          <w:i/>
          <w:color w:val="333333"/>
          <w:sz w:val="22"/>
        </w:rPr>
        <w:t>16.13.13.6 Trade Health Score</w:t>
      </w:r>
    </w:p>
    <w:p>
      <w:pPr>
        <w:spacing w:after="80" w:line="293" w:lineRule="auto"/>
        <w:ind w:left="283"/>
        <w:jc w:val="left"/>
      </w:pPr>
      <w:r>
        <w:rPr>
          <w:rFonts w:ascii="Times New Roman" w:hAnsi="Times New Roman" w:cs="Times New Roman"/>
          <w:b w:val="0"/>
          <w:i w:val="0"/>
          <w:sz w:val="22"/>
        </w:rPr>
        <w:t>- Build health score calculation engine.</w:t>
      </w:r>
    </w:p>
    <w:p>
      <w:pPr>
        <w:spacing w:after="80" w:line="293" w:lineRule="auto"/>
        <w:ind w:left="283"/>
        <w:jc w:val="left"/>
      </w:pPr>
      <w:r>
        <w:rPr>
          <w:rFonts w:ascii="Times New Roman" w:hAnsi="Times New Roman" w:cs="Times New Roman"/>
          <w:b w:val="0"/>
          <w:i w:val="0"/>
          <w:sz w:val="22"/>
        </w:rPr>
        <w:t>- Implement component sub-scores.</w:t>
      </w:r>
    </w:p>
    <w:p>
      <w:pPr>
        <w:spacing w:after="80" w:line="293" w:lineRule="auto"/>
        <w:ind w:left="283"/>
        <w:jc w:val="left"/>
      </w:pPr>
      <w:r>
        <w:rPr>
          <w:rFonts w:ascii="Times New Roman" w:hAnsi="Times New Roman" w:cs="Times New Roman"/>
          <w:b w:val="0"/>
          <w:i w:val="0"/>
          <w:sz w:val="22"/>
        </w:rPr>
        <w:t>- Add health status bands (Green/Amber/Red).</w:t>
      </w:r>
    </w:p>
    <w:p>
      <w:pPr>
        <w:spacing w:after="80" w:line="293" w:lineRule="auto"/>
        <w:ind w:left="283"/>
        <w:jc w:val="left"/>
      </w:pPr>
      <w:r>
        <w:rPr>
          <w:rFonts w:ascii="Times New Roman" w:hAnsi="Times New Roman" w:cs="Times New Roman"/>
          <w:b w:val="0"/>
          <w:i w:val="0"/>
          <w:sz w:val="22"/>
        </w:rPr>
        <w:t>- Build Health Breakdown Panel.</w:t>
      </w:r>
    </w:p>
    <w:p>
      <w:pPr>
        <w:spacing w:after="80" w:line="293" w:lineRule="auto"/>
        <w:ind w:left="283"/>
        <w:jc w:val="left"/>
      </w:pPr>
      <w:r>
        <w:rPr>
          <w:rFonts w:ascii="Times New Roman" w:hAnsi="Times New Roman" w:cs="Times New Roman"/>
          <w:b w:val="0"/>
          <w:i w:val="0"/>
          <w:sz w:val="22"/>
        </w:rPr>
        <w:t>- Add AI-generated health summary (A1, Groq).</w:t>
      </w:r>
    </w:p>
    <w:p>
      <w:pPr>
        <w:spacing w:after="80" w:line="293" w:lineRule="auto"/>
        <w:ind w:left="283"/>
        <w:jc w:val="left"/>
      </w:pPr>
      <w:r>
        <w:rPr>
          <w:rFonts w:ascii="Times New Roman" w:hAnsi="Times New Roman" w:cs="Times New Roman"/>
          <w:b w:val="0"/>
          <w:i w:val="0"/>
          <w:sz w:val="22"/>
        </w:rPr>
        <w:t>- Materialise view for analytics.</w:t>
      </w:r>
    </w:p>
    <w:p>
      <w:pPr>
        <w:keepNext/>
        <w:spacing w:before="140" w:after="60"/>
        <w:outlineLvl w:val="3"/>
      </w:pPr>
      <w:r>
        <w:rPr>
          <w:rFonts w:ascii="Arial" w:hAnsi="Arial" w:cs="Arial"/>
          <w:b/>
          <w:i/>
          <w:color w:val="333333"/>
          <w:sz w:val="22"/>
        </w:rPr>
        <w:t>16.13.13.7 External Integrations Health Widget</w:t>
      </w:r>
    </w:p>
    <w:p>
      <w:pPr>
        <w:spacing w:after="80" w:line="293" w:lineRule="auto"/>
        <w:ind w:left="283"/>
        <w:jc w:val="left"/>
      </w:pPr>
      <w:r>
        <w:rPr>
          <w:rFonts w:ascii="Times New Roman" w:hAnsi="Times New Roman" w:cs="Times New Roman"/>
          <w:b w:val="0"/>
          <w:i w:val="0"/>
          <w:sz w:val="22"/>
        </w:rPr>
        <w:t>- Build widget component.</w:t>
      </w:r>
    </w:p>
    <w:p>
      <w:pPr>
        <w:spacing w:after="80" w:line="293" w:lineRule="auto"/>
        <w:ind w:left="283"/>
        <w:jc w:val="left"/>
      </w:pPr>
      <w:r>
        <w:rPr>
          <w:rFonts w:ascii="Times New Roman" w:hAnsi="Times New Roman" w:cs="Times New Roman"/>
          <w:b w:val="0"/>
          <w:i w:val="0"/>
          <w:sz w:val="22"/>
        </w:rPr>
        <w:t>- Integrate with integration_connector_logs.</w:t>
      </w:r>
    </w:p>
    <w:p>
      <w:pPr>
        <w:spacing w:after="80" w:line="293" w:lineRule="auto"/>
        <w:ind w:left="283"/>
        <w:jc w:val="left"/>
      </w:pPr>
      <w:r>
        <w:rPr>
          <w:rFonts w:ascii="Times New Roman" w:hAnsi="Times New Roman" w:cs="Times New Roman"/>
          <w:b w:val="0"/>
          <w:i w:val="0"/>
          <w:sz w:val="22"/>
        </w:rPr>
        <w:t>- Add real-time updates (every 10 seconds).</w:t>
      </w:r>
    </w:p>
    <w:p>
      <w:pPr>
        <w:spacing w:after="80" w:line="293" w:lineRule="auto"/>
        <w:ind w:left="283"/>
        <w:jc w:val="left"/>
      </w:pPr>
      <w:r>
        <w:rPr>
          <w:rFonts w:ascii="Times New Roman" w:hAnsi="Times New Roman" w:cs="Times New Roman"/>
          <w:b w:val="0"/>
          <w:i w:val="0"/>
          <w:sz w:val="22"/>
        </w:rPr>
        <w:t>- Implement status definitions (Operational/Degraded/Outage).</w:t>
      </w:r>
    </w:p>
    <w:p>
      <w:pPr>
        <w:spacing w:after="80" w:line="293" w:lineRule="auto"/>
        <w:ind w:left="283"/>
        <w:jc w:val="left"/>
      </w:pPr>
      <w:r>
        <w:rPr>
          <w:rFonts w:ascii="Times New Roman" w:hAnsi="Times New Roman" w:cs="Times New Roman"/>
          <w:b w:val="0"/>
          <w:i w:val="0"/>
          <w:sz w:val="22"/>
        </w:rPr>
        <w:t>- Add alerting on status change.</w:t>
      </w:r>
    </w:p>
    <w:p>
      <w:pPr>
        <w:keepNext/>
        <w:spacing w:before="140" w:after="60"/>
        <w:outlineLvl w:val="3"/>
      </w:pPr>
      <w:r>
        <w:rPr>
          <w:rFonts w:ascii="Arial" w:hAnsi="Arial" w:cs="Arial"/>
          <w:b/>
          <w:i/>
          <w:color w:val="333333"/>
          <w:sz w:val="22"/>
        </w:rPr>
        <w:t>16.13.13.8 Mobile Adaptation</w:t>
      </w:r>
    </w:p>
    <w:p>
      <w:pPr>
        <w:spacing w:after="80" w:line="293" w:lineRule="auto"/>
        <w:ind w:left="283"/>
        <w:jc w:val="left"/>
      </w:pPr>
      <w:r>
        <w:rPr>
          <w:rFonts w:ascii="Times New Roman" w:hAnsi="Times New Roman" w:cs="Times New Roman"/>
          <w:b w:val="0"/>
          <w:i w:val="0"/>
          <w:sz w:val="22"/>
        </w:rPr>
        <w:t>- Responsive design for &lt; 768px.</w:t>
      </w:r>
    </w:p>
    <w:p>
      <w:pPr>
        <w:spacing w:after="80" w:line="293" w:lineRule="auto"/>
        <w:ind w:left="283"/>
        <w:jc w:val="left"/>
      </w:pPr>
      <w:r>
        <w:rPr>
          <w:rFonts w:ascii="Times New Roman" w:hAnsi="Times New Roman" w:cs="Times New Roman"/>
          <w:b w:val="0"/>
          <w:i w:val="0"/>
          <w:sz w:val="22"/>
        </w:rPr>
        <w:t>- Swipe gestures.</w:t>
      </w:r>
    </w:p>
    <w:p>
      <w:pPr>
        <w:spacing w:after="80" w:line="293" w:lineRule="auto"/>
        <w:ind w:left="283"/>
        <w:jc w:val="left"/>
      </w:pPr>
      <w:r>
        <w:rPr>
          <w:rFonts w:ascii="Times New Roman" w:hAnsi="Times New Roman" w:cs="Times New Roman"/>
          <w:b w:val="0"/>
          <w:i w:val="0"/>
          <w:sz w:val="22"/>
        </w:rPr>
        <w:t>- Pull-to-refresh.</w:t>
      </w:r>
    </w:p>
    <w:p>
      <w:pPr>
        <w:spacing w:after="80" w:line="293" w:lineRule="auto"/>
        <w:ind w:left="283"/>
        <w:jc w:val="left"/>
      </w:pPr>
      <w:r>
        <w:rPr>
          <w:rFonts w:ascii="Times New Roman" w:hAnsi="Times New Roman" w:cs="Times New Roman"/>
          <w:b w:val="0"/>
          <w:i w:val="0"/>
          <w:sz w:val="22"/>
        </w:rPr>
        <w:t>- Offline caching.</w:t>
      </w:r>
    </w:p>
    <w:p>
      <w:pPr>
        <w:keepNext/>
        <w:spacing w:before="140" w:after="60"/>
        <w:outlineLvl w:val="3"/>
      </w:pPr>
      <w:r>
        <w:rPr>
          <w:rFonts w:ascii="Arial" w:hAnsi="Arial" w:cs="Arial"/>
          <w:b/>
          <w:i/>
          <w:color w:val="333333"/>
          <w:sz w:val="22"/>
        </w:rPr>
        <w:t>16.13.13.9 Testing</w:t>
      </w:r>
    </w:p>
    <w:p>
      <w:pPr>
        <w:spacing w:after="80" w:line="293" w:lineRule="auto"/>
        <w:ind w:left="283"/>
        <w:jc w:val="left"/>
      </w:pPr>
      <w:r>
        <w:rPr>
          <w:rFonts w:ascii="Times New Roman" w:hAnsi="Times New Roman" w:cs="Times New Roman"/>
          <w:b w:val="0"/>
          <w:i w:val="0"/>
          <w:sz w:val="22"/>
        </w:rPr>
        <w:t>- Test all cards and navigation.</w:t>
      </w:r>
    </w:p>
    <w:p>
      <w:pPr>
        <w:spacing w:after="80" w:line="293" w:lineRule="auto"/>
        <w:ind w:left="283"/>
        <w:jc w:val="left"/>
      </w:pPr>
      <w:r>
        <w:rPr>
          <w:rFonts w:ascii="Times New Roman" w:hAnsi="Times New Roman" w:cs="Times New Roman"/>
          <w:b w:val="0"/>
          <w:i w:val="0"/>
          <w:sz w:val="22"/>
        </w:rPr>
        <w:t>- Test AI Assistant queries and actions.</w:t>
      </w:r>
    </w:p>
    <w:p>
      <w:pPr>
        <w:spacing w:after="80" w:line="293" w:lineRule="auto"/>
        <w:ind w:left="283"/>
        <w:jc w:val="left"/>
      </w:pPr>
      <w:r>
        <w:rPr>
          <w:rFonts w:ascii="Times New Roman" w:hAnsi="Times New Roman" w:cs="Times New Roman"/>
          <w:b w:val="0"/>
          <w:i w:val="0"/>
          <w:sz w:val="22"/>
        </w:rPr>
        <w:t>- Test activity feed real-time updates.</w:t>
      </w:r>
    </w:p>
    <w:p>
      <w:pPr>
        <w:spacing w:after="80" w:line="293" w:lineRule="auto"/>
        <w:ind w:left="283"/>
        <w:jc w:val="left"/>
      </w:pPr>
      <w:r>
        <w:rPr>
          <w:rFonts w:ascii="Times New Roman" w:hAnsi="Times New Roman" w:cs="Times New Roman"/>
          <w:b w:val="0"/>
          <w:i w:val="0"/>
          <w:sz w:val="22"/>
        </w:rPr>
        <w:t>- Test Trade Health Score calculation.</w:t>
      </w:r>
    </w:p>
    <w:p>
      <w:pPr>
        <w:spacing w:after="80" w:line="293" w:lineRule="auto"/>
        <w:ind w:left="283"/>
        <w:jc w:val="left"/>
      </w:pPr>
      <w:r>
        <w:rPr>
          <w:rFonts w:ascii="Times New Roman" w:hAnsi="Times New Roman" w:cs="Times New Roman"/>
          <w:b w:val="0"/>
          <w:i w:val="0"/>
          <w:sz w:val="22"/>
        </w:rPr>
        <w:t>- Test Integration Health Widget.</w:t>
      </w:r>
    </w:p>
    <w:p>
      <w:pPr>
        <w:spacing w:after="80" w:line="293" w:lineRule="auto"/>
        <w:ind w:left="283"/>
        <w:jc w:val="left"/>
      </w:pPr>
      <w:r>
        <w:rPr>
          <w:rFonts w:ascii="Times New Roman" w:hAnsi="Times New Roman" w:cs="Times New Roman"/>
          <w:b w:val="0"/>
          <w:i w:val="0"/>
          <w:sz w:val="22"/>
        </w:rPr>
        <w:t>- Test mobile adaptation.</w:t>
      </w:r>
    </w:p>
    <w:p>
      <w:pPr>
        <w:spacing w:after="80" w:line="293" w:lineRule="auto"/>
        <w:ind w:left="283"/>
        <w:jc w:val="left"/>
      </w:pPr>
      <w:r>
        <w:rPr>
          <w:rFonts w:ascii="Times New Roman" w:hAnsi="Times New Roman" w:cs="Times New Roman"/>
          <w:b w:val="0"/>
          <w:i w:val="0"/>
          <w:sz w:val="22"/>
        </w:rPr>
        <w:t>- Test customisation persistence.</w:t>
      </w:r>
    </w:p>
    <w:p>
      <w:pPr>
        <w:keepNext/>
        <w:spacing w:before="180" w:after="80"/>
        <w:outlineLvl w:val="2"/>
      </w:pPr>
      <w:r>
        <w:rPr>
          <w:rFonts w:ascii="Arial" w:hAnsi="Arial" w:cs="Arial"/>
          <w:b/>
          <w:i w:val="0"/>
          <w:color w:val="333333"/>
          <w:sz w:val="23"/>
        </w:rPr>
        <w:t>16.13.14 AI Authority Summary</w:t>
      </w:r>
    </w:p>
    <w:p>
      <w:pPr>
        <w:spacing w:after="80" w:line="293" w:lineRule="auto"/>
        <w:jc w:val="left"/>
      </w:pPr>
      <w:r>
        <w:rPr>
          <w:rFonts w:ascii="Times New Roman" w:hAnsi="Times New Roman" w:cs="Times New Roman"/>
          <w:b w:val="0"/>
          <w:i w:val="0"/>
          <w:sz w:val="22"/>
        </w:rPr>
        <w:t>A1 (Groq → Ollama → static templates) is the only AI authority active in the Command Center: assistant chat, health summaries, card summaries. Every action executed from the Command Center — including actions triggered from assistant chat — passes through the Governor (A4); the assistant can never execute autonomously.</w:t>
      </w:r>
    </w:p>
    <w:p>
      <w:pPr>
        <w:keepNext/>
        <w:spacing w:before="240" w:after="100"/>
        <w:outlineLvl w:val="1"/>
      </w:pPr>
      <w:r>
        <w:rPr>
          <w:rFonts w:ascii="Arial" w:hAnsi="Arial" w:cs="Arial"/>
          <w:b/>
          <w:i w:val="0"/>
          <w:color w:val="2E528F"/>
          <w:sz w:val="26"/>
        </w:rPr>
        <w:t>16.14 Navigation &amp; Quick Reference</w:t>
      </w:r>
    </w:p>
    <w:p>
      <w:pPr>
        <w:keepNext/>
        <w:spacing w:before="180" w:after="80"/>
        <w:outlineLvl w:val="2"/>
      </w:pPr>
      <w:r>
        <w:rPr>
          <w:rFonts w:ascii="Arial" w:hAnsi="Arial" w:cs="Arial"/>
          <w:b/>
          <w:i w:val="0"/>
          <w:color w:val="333333"/>
          <w:sz w:val="23"/>
        </w:rPr>
        <w:t>16.14.1 Purpose &amp; Design Principles</w:t>
      </w:r>
    </w:p>
    <w:p>
      <w:pPr>
        <w:spacing w:after="80" w:line="293" w:lineRule="auto"/>
        <w:jc w:val="left"/>
      </w:pPr>
      <w:r>
        <w:rPr>
          <w:rFonts w:ascii="Times New Roman" w:hAnsi="Times New Roman" w:cs="Times New Roman"/>
          <w:b w:val="0"/>
          <w:i w:val="0"/>
          <w:sz w:val="22"/>
        </w:rPr>
        <w:t>This subsection provides the portal navigation system: the quick-start decision tree that routes a user to their portal based on role and task, the alphabetical tab index, the role-based quick reference cards, the tab-by-tab navigation map for common tasks, the portal switching guide, and the keyboard shortcut set.</w:t>
      </w:r>
    </w:p>
    <w:p>
      <w:pPr>
        <w:spacing w:after="80" w:line="293" w:lineRule="auto"/>
        <w:jc w:val="left"/>
      </w:pPr>
      <w:r>
        <w:rPr>
          <w:rFonts w:ascii="Times New Roman" w:hAnsi="Times New Roman" w:cs="Times New Roman"/>
          <w:b w:val="0"/>
          <w:i w:val="0"/>
          <w:sz w:val="22"/>
        </w:rPr>
        <w:t>Design principles:</w:t>
      </w:r>
    </w:p>
    <w:p>
      <w:pPr>
        <w:spacing w:after="80" w:line="293" w:lineRule="auto"/>
        <w:ind w:left="283"/>
        <w:jc w:val="left"/>
      </w:pPr>
      <w:r>
        <w:rPr>
          <w:rFonts w:ascii="Times New Roman" w:hAnsi="Times New Roman" w:cs="Times New Roman"/>
          <w:b w:val="0"/>
          <w:i w:val="0"/>
          <w:sz w:val="22"/>
        </w:rPr>
        <w:t>- Findability — every user can quickly find their portal and tab.</w:t>
      </w:r>
    </w:p>
    <w:p>
      <w:pPr>
        <w:spacing w:after="80" w:line="293" w:lineRule="auto"/>
        <w:ind w:left="283"/>
        <w:jc w:val="left"/>
      </w:pPr>
      <w:r>
        <w:rPr>
          <w:rFonts w:ascii="Times New Roman" w:hAnsi="Times New Roman" w:cs="Times New Roman"/>
          <w:b w:val="0"/>
          <w:i w:val="0"/>
          <w:sz w:val="22"/>
        </w:rPr>
        <w:t>- Consistency — tabs are named consistently across portals where applicable.</w:t>
      </w:r>
    </w:p>
    <w:p>
      <w:pPr>
        <w:spacing w:after="80" w:line="293" w:lineRule="auto"/>
        <w:ind w:left="283"/>
        <w:jc w:val="left"/>
      </w:pPr>
      <w:r>
        <w:rPr>
          <w:rFonts w:ascii="Times New Roman" w:hAnsi="Times New Roman" w:cs="Times New Roman"/>
          <w:b w:val="0"/>
          <w:i w:val="0"/>
          <w:sz w:val="22"/>
        </w:rPr>
        <w:t>- Role-aware — the decision tree matches the user's role to their starting point.</w:t>
      </w:r>
    </w:p>
    <w:p>
      <w:pPr>
        <w:spacing w:after="80" w:line="293" w:lineRule="auto"/>
        <w:ind w:left="283"/>
        <w:jc w:val="left"/>
      </w:pPr>
      <w:r>
        <w:rPr>
          <w:rFonts w:ascii="Times New Roman" w:hAnsi="Times New Roman" w:cs="Times New Roman"/>
          <w:b w:val="0"/>
          <w:i w:val="0"/>
          <w:sz w:val="22"/>
        </w:rPr>
        <w:t>- One-click — all action references are one-click operations.</w:t>
      </w:r>
    </w:p>
    <w:p>
      <w:pPr>
        <w:spacing w:after="80" w:line="293" w:lineRule="auto"/>
        <w:ind w:left="283"/>
        <w:jc w:val="left"/>
      </w:pPr>
      <w:r>
        <w:rPr>
          <w:rFonts w:ascii="Times New Roman" w:hAnsi="Times New Roman" w:cs="Times New Roman"/>
          <w:b w:val="0"/>
          <w:i w:val="0"/>
          <w:sz w:val="22"/>
        </w:rPr>
        <w:t>- Non-marketplace — never suggests "you might also like" or unsolicited features.</w:t>
      </w:r>
    </w:p>
    <w:p>
      <w:pPr>
        <w:keepNext/>
        <w:spacing w:before="180" w:after="80"/>
        <w:outlineLvl w:val="2"/>
      </w:pPr>
      <w:r>
        <w:rPr>
          <w:rFonts w:ascii="Arial" w:hAnsi="Arial" w:cs="Arial"/>
          <w:b/>
          <w:i w:val="0"/>
          <w:color w:val="333333"/>
          <w:sz w:val="23"/>
        </w:rPr>
        <w:t>16.14.2 Quick Start Decision Tree</w:t>
      </w:r>
    </w:p>
    <w:p>
      <w:pPr>
        <w:spacing w:after="80" w:line="293" w:lineRule="auto"/>
        <w:jc w:val="left"/>
      </w:pPr>
      <w:r>
        <w:rPr>
          <w:rFonts w:ascii="Times New Roman" w:hAnsi="Times New Roman" w:cs="Times New Roman"/>
          <w:b w:val="0"/>
          <w:i w:val="0"/>
          <w:sz w:val="22"/>
        </w:rPr>
        <w:t>Start: "What do you want to do?" → "What is your role?"</w:t>
      </w:r>
    </w:p>
    <w:p>
      <w:pPr>
        <w:spacing w:after="0" w:before="0" w:line="240" w:lineRule="auto"/>
        <w:ind w:left="57"/>
        <w:jc w:val="left"/>
        <w:shd w:val="clear" w:fill="F2F2F2"/>
      </w:pPr>
      <w:r>
        <w:rPr>
          <w:rFonts w:ascii="Consolas" w:hAnsi="Consolas" w:cs="Consolas"/>
          <w:b w:val="0"/>
          <w:i w:val="0"/>
          <w:sz w:val="15"/>
        </w:rPr>
        <w:t>I am a BUYER (importer)</w:t>
      </w:r>
    </w:p>
    <w:p>
      <w:pPr>
        <w:spacing w:after="0" w:before="0" w:line="240" w:lineRule="auto"/>
        <w:ind w:left="57"/>
        <w:jc w:val="left"/>
        <w:shd w:val="clear" w:fill="F2F2F2"/>
      </w:pPr>
      <w:r>
        <w:rPr>
          <w:rFonts w:ascii="Consolas" w:hAnsi="Consolas" w:cs="Consolas"/>
          <w:b w:val="0"/>
          <w:i w:val="0"/>
          <w:sz w:val="15"/>
        </w:rPr>
        <w:t xml:space="preserve">  → Trader Portal, set mode = BUY</w:t>
      </w:r>
    </w:p>
    <w:p>
      <w:pPr>
        <w:spacing w:after="0" w:before="0" w:line="240" w:lineRule="auto"/>
        <w:ind w:left="57"/>
        <w:jc w:val="left"/>
        <w:shd w:val="clear" w:fill="F2F2F2"/>
      </w:pPr>
      <w:r>
        <w:rPr>
          <w:rFonts w:ascii="Consolas" w:hAnsi="Consolas" w:cs="Consolas"/>
          <w:b w:val="0"/>
          <w:i w:val="0"/>
          <w:sz w:val="15"/>
        </w:rPr>
        <w:t xml:space="preserve">  Key tabs: New Trade Request · Quote Review &amp; Negotiation · Contract Signing</w:t>
      </w:r>
    </w:p>
    <w:p>
      <w:pPr>
        <w:spacing w:after="0" w:before="0" w:line="240" w:lineRule="auto"/>
        <w:ind w:left="57"/>
        <w:jc w:val="left"/>
        <w:shd w:val="clear" w:fill="F2F2F2"/>
      </w:pPr>
      <w:r>
        <w:rPr>
          <w:rFonts w:ascii="Consolas" w:hAnsi="Consolas" w:cs="Consolas"/>
          <w:b w:val="0"/>
          <w:i w:val="0"/>
          <w:sz w:val="15"/>
        </w:rPr>
        <w:t xml:space="preserve">            Customs Readiness · Distressed Cargo · Disputes · Saved Contacts</w:t>
      </w:r>
    </w:p>
    <w:p>
      <w:pPr>
        <w:spacing w:after="0" w:before="0" w:line="240" w:lineRule="auto"/>
        <w:ind w:left="57"/>
        <w:jc w:val="left"/>
        <w:shd w:val="clear" w:fill="F2F2F2"/>
      </w:pPr>
      <w:r>
        <w:rPr>
          <w:rFonts w:ascii="Consolas" w:hAnsi="Consolas" w:cs="Consolas"/>
          <w:b w:val="0"/>
          <w:i w:val="0"/>
          <w:sz w:val="15"/>
        </w:rPr>
        <w:t xml:space="preserve">            Financing (if borrower)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 am a SELLER (exporter)</w:t>
      </w:r>
    </w:p>
    <w:p>
      <w:pPr>
        <w:spacing w:after="0" w:before="0" w:line="240" w:lineRule="auto"/>
        <w:ind w:left="57"/>
        <w:jc w:val="left"/>
        <w:shd w:val="clear" w:fill="F2F2F2"/>
      </w:pPr>
      <w:r>
        <w:rPr>
          <w:rFonts w:ascii="Consolas" w:hAnsi="Consolas" w:cs="Consolas"/>
          <w:b w:val="0"/>
          <w:i w:val="0"/>
          <w:sz w:val="15"/>
        </w:rPr>
        <w:t xml:space="preserve">  → Trader Portal, set mode = SELL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 am a LOGISTICS PROVIDER</w:t>
      </w:r>
    </w:p>
    <w:p>
      <w:pPr>
        <w:spacing w:after="0" w:before="0" w:line="240" w:lineRule="auto"/>
        <w:ind w:left="57"/>
        <w:jc w:val="left"/>
        <w:shd w:val="clear" w:fill="F2F2F2"/>
      </w:pPr>
      <w:r>
        <w:rPr>
          <w:rFonts w:ascii="Consolas" w:hAnsi="Consolas" w:cs="Consolas"/>
          <w:b w:val="0"/>
          <w:i w:val="0"/>
          <w:sz w:val="15"/>
        </w:rPr>
        <w:t xml:space="preserve">  → Choose service type:</w:t>
      </w:r>
    </w:p>
    <w:p>
      <w:pPr>
        <w:spacing w:after="0" w:before="0" w:line="240" w:lineRule="auto"/>
        <w:ind w:left="57"/>
        <w:jc w:val="left"/>
        <w:shd w:val="clear" w:fill="F2F2F2"/>
      </w:pPr>
      <w:r>
        <w:rPr>
          <w:rFonts w:ascii="Consolas" w:hAnsi="Consolas" w:cs="Consolas"/>
          <w:b w:val="0"/>
          <w:i w:val="0"/>
          <w:sz w:val="15"/>
        </w:rPr>
        <w:t xml:space="preserve">     Trucking, forwarding, warehousing → LSP Portal</w:t>
      </w:r>
    </w:p>
    <w:p>
      <w:pPr>
        <w:spacing w:after="0" w:before="0" w:line="240" w:lineRule="auto"/>
        <w:ind w:left="57"/>
        <w:jc w:val="left"/>
        <w:shd w:val="clear" w:fill="F2F2F2"/>
      </w:pPr>
      <w:r>
        <w:rPr>
          <w:rFonts w:ascii="Consolas" w:hAnsi="Consolas" w:cs="Consolas"/>
          <w:b w:val="0"/>
          <w:i w:val="0"/>
          <w:sz w:val="15"/>
        </w:rPr>
        <w:t xml:space="preserve">     Shipping line                     → SHIP Portal</w:t>
      </w:r>
    </w:p>
    <w:p>
      <w:pPr>
        <w:spacing w:after="0" w:before="0" w:line="240" w:lineRule="auto"/>
        <w:ind w:left="57"/>
        <w:jc w:val="left"/>
        <w:shd w:val="clear" w:fill="F2F2F2"/>
      </w:pPr>
      <w:r>
        <w:rPr>
          <w:rFonts w:ascii="Consolas" w:hAnsi="Consolas" w:cs="Consolas"/>
          <w:b w:val="0"/>
          <w:i w:val="0"/>
          <w:sz w:val="15"/>
        </w:rPr>
        <w:t xml:space="preserve">     Laboratory                        → LAB Portal</w:t>
      </w:r>
    </w:p>
    <w:p>
      <w:pPr>
        <w:spacing w:after="0" w:before="0" w:line="240" w:lineRule="auto"/>
        <w:ind w:left="57"/>
        <w:jc w:val="left"/>
        <w:shd w:val="clear" w:fill="F2F2F2"/>
      </w:pPr>
      <w:r>
        <w:rPr>
          <w:rFonts w:ascii="Consolas" w:hAnsi="Consolas" w:cs="Consolas"/>
          <w:b w:val="0"/>
          <w:i w:val="0"/>
          <w:sz w:val="15"/>
        </w:rPr>
        <w:t xml:space="preserve">     QC inspection                     → QC Portal</w:t>
      </w:r>
    </w:p>
    <w:p>
      <w:pPr>
        <w:spacing w:after="0" w:before="0" w:line="240" w:lineRule="auto"/>
        <w:ind w:left="57"/>
        <w:jc w:val="left"/>
        <w:shd w:val="clear" w:fill="F2F2F2"/>
      </w:pPr>
      <w:r>
        <w:rPr>
          <w:rFonts w:ascii="Consolas" w:hAnsi="Consolas" w:cs="Consolas"/>
          <w:b w:val="0"/>
          <w:i w:val="0"/>
          <w:sz w:val="15"/>
        </w:rPr>
        <w:t xml:space="preserve">     Customs broker                    → CBR Portal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 am a FINANCIER (lender)</w:t>
      </w:r>
    </w:p>
    <w:p>
      <w:pPr>
        <w:spacing w:after="0" w:before="0" w:line="240" w:lineRule="auto"/>
        <w:ind w:left="57"/>
        <w:jc w:val="left"/>
        <w:shd w:val="clear" w:fill="F2F2F2"/>
      </w:pPr>
      <w:r>
        <w:rPr>
          <w:rFonts w:ascii="Consolas" w:hAnsi="Consolas" w:cs="Consolas"/>
          <w:b w:val="0"/>
          <w:i w:val="0"/>
          <w:sz w:val="15"/>
        </w:rPr>
        <w:t xml:space="preserve">  → Choose type: BANK or PFI (private)</w:t>
      </w:r>
    </w:p>
    <w:p>
      <w:pPr>
        <w:spacing w:after="0" w:before="0" w:line="240" w:lineRule="auto"/>
        <w:ind w:left="57"/>
        <w:jc w:val="left"/>
        <w:shd w:val="clear" w:fill="F2F2F2"/>
      </w:pPr>
      <w:r>
        <w:rPr>
          <w:rFonts w:ascii="Consolas" w:hAnsi="Consolas" w:cs="Consolas"/>
          <w:b w:val="0"/>
          <w:i w:val="0"/>
          <w:sz w:val="15"/>
        </w:rPr>
        <w:t xml:space="preserve">  Key tabs: Financing Opportunities (view RFQs, full disclosure, submit bids)</w:t>
      </w:r>
    </w:p>
    <w:p>
      <w:pPr>
        <w:spacing w:after="0" w:before="0" w:line="240" w:lineRule="auto"/>
        <w:ind w:left="57"/>
        <w:jc w:val="left"/>
        <w:shd w:val="clear" w:fill="F2F2F2"/>
      </w:pPr>
      <w:r>
        <w:rPr>
          <w:rFonts w:ascii="Consolas" w:hAnsi="Consolas" w:cs="Consolas"/>
          <w:b w:val="0"/>
          <w:i w:val="0"/>
          <w:sz w:val="15"/>
        </w:rPr>
        <w:t xml:space="preserve">            My Bids &amp; Active Loans (track bids, collateral dashboard, margin calls)</w:t>
      </w:r>
    </w:p>
    <w:p>
      <w:pPr>
        <w:spacing w:after="0" w:before="0" w:line="240" w:lineRule="auto"/>
        <w:ind w:left="57"/>
        <w:jc w:val="left"/>
        <w:shd w:val="clear" w:fill="F2F2F2"/>
      </w:pPr>
      <w:r>
        <w:rPr>
          <w:rFonts w:ascii="Consolas" w:hAnsi="Consolas" w:cs="Consolas"/>
          <w:b w:val="0"/>
          <w:i w:val="0"/>
          <w:sz w:val="15"/>
        </w:rPr>
        <w:t xml:space="preserve">            Portfolio &amp; Compliance (exposure, regulatory reports)</w:t>
      </w:r>
    </w:p>
    <w:p>
      <w:pPr>
        <w:spacing w:after="0" w:before="0" w:line="240" w:lineRule="auto"/>
        <w:ind w:left="57"/>
        <w:jc w:val="left"/>
        <w:shd w:val="clear" w:fill="F2F2F2"/>
      </w:pPr>
      <w:r>
        <w:rPr>
          <w:rFonts w:ascii="Consolas" w:hAnsi="Consolas" w:cs="Consolas"/>
          <w:b w:val="0"/>
          <w:i w:val="0"/>
          <w:sz w:val="15"/>
        </w:rPr>
        <w:t xml:space="preserve">            Financed Companies (historical borrower data)</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 am a GOVERNMENT OFFICIAL</w:t>
      </w:r>
    </w:p>
    <w:p>
      <w:pPr>
        <w:spacing w:after="0" w:before="0" w:line="240" w:lineRule="auto"/>
        <w:ind w:left="57"/>
        <w:jc w:val="left"/>
        <w:shd w:val="clear" w:fill="F2F2F2"/>
      </w:pPr>
      <w:r>
        <w:rPr>
          <w:rFonts w:ascii="Consolas" w:hAnsi="Consolas" w:cs="Consolas"/>
          <w:b w:val="0"/>
          <w:i w:val="0"/>
          <w:sz w:val="15"/>
        </w:rPr>
        <w:t xml:space="preserve">  → Government Portal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 am a MARKETPLACE PARTNER</w:t>
      </w:r>
    </w:p>
    <w:p>
      <w:pPr>
        <w:spacing w:after="0" w:before="0" w:line="240" w:lineRule="auto"/>
        <w:ind w:left="57"/>
        <w:jc w:val="left"/>
        <w:shd w:val="clear" w:fill="F2F2F2"/>
      </w:pPr>
      <w:r>
        <w:rPr>
          <w:rFonts w:ascii="Consolas" w:hAnsi="Consolas" w:cs="Consolas"/>
          <w:b w:val="0"/>
          <w:i w:val="0"/>
          <w:sz w:val="15"/>
        </w:rPr>
        <w:t xml:space="preserve">  → Marketplace Partner Portal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 am a PLATFORM ADMINISTRATOR (multisig member)</w:t>
      </w:r>
    </w:p>
    <w:p>
      <w:pPr>
        <w:spacing w:after="0" w:before="0" w:line="240" w:lineRule="auto"/>
        <w:ind w:left="57"/>
        <w:jc w:val="left"/>
        <w:shd w:val="clear" w:fill="F2F2F2"/>
      </w:pPr>
      <w:r>
        <w:rPr>
          <w:rFonts w:ascii="Consolas" w:hAnsi="Consolas" w:cs="Consolas"/>
          <w:b w:val="0"/>
          <w:i w:val="0"/>
          <w:sz w:val="15"/>
        </w:rPr>
        <w:t xml:space="preserve">  → Admin Portal</w:t>
      </w:r>
    </w:p>
    <w:p>
      <w:pPr>
        <w:spacing w:after="0" w:before="0" w:line="240" w:lineRule="auto"/>
        <w:ind w:left="57"/>
        <w:jc w:val="left"/>
        <w:shd w:val="clear" w:fill="F2F2F2"/>
      </w:pPr>
      <w:r>
        <w:rPr>
          <w:rFonts w:ascii="Consolas" w:hAnsi="Consolas" w:cs="Consolas"/>
          <w:b w:val="0"/>
          <w:i w:val="0"/>
          <w:sz w:val="15"/>
        </w:rPr>
        <w:t xml:space="preserve">  Key tabs: Platform Health (metrics, predictive alerts, bank health)</w:t>
      </w:r>
    </w:p>
    <w:p>
      <w:pPr>
        <w:spacing w:after="0" w:before="0" w:line="240" w:lineRule="auto"/>
        <w:ind w:left="57"/>
        <w:jc w:val="left"/>
        <w:shd w:val="clear" w:fill="F2F2F2"/>
      </w:pPr>
      <w:r>
        <w:rPr>
          <w:rFonts w:ascii="Consolas" w:hAnsi="Consolas" w:cs="Consolas"/>
          <w:b w:val="0"/>
          <w:i w:val="0"/>
          <w:sz w:val="15"/>
        </w:rPr>
        <w:t xml:space="preserve">            Constitutional Policies (edit Rego, impact simulation)</w:t>
      </w:r>
    </w:p>
    <w:p>
      <w:pPr>
        <w:spacing w:after="0" w:before="0" w:line="240" w:lineRule="auto"/>
        <w:ind w:left="57"/>
        <w:jc w:val="left"/>
        <w:shd w:val="clear" w:fill="F2F2F2"/>
      </w:pPr>
      <w:r>
        <w:rPr>
          <w:rFonts w:ascii="Consolas" w:hAnsi="Consolas" w:cs="Consolas"/>
          <w:b w:val="0"/>
          <w:i w:val="0"/>
          <w:sz w:val="15"/>
        </w:rPr>
        <w:t xml:space="preserve">            Governor Log &amp; Audit (natural language query, Loom verification)</w:t>
      </w:r>
    </w:p>
    <w:p>
      <w:pPr>
        <w:spacing w:after="0" w:before="0" w:line="240" w:lineRule="auto"/>
        <w:ind w:left="57"/>
        <w:jc w:val="left"/>
        <w:shd w:val="clear" w:fill="F2F2F2"/>
      </w:pPr>
      <w:r>
        <w:rPr>
          <w:rFonts w:ascii="Consolas" w:hAnsi="Consolas" w:cs="Consolas"/>
          <w:b w:val="0"/>
          <w:i w:val="0"/>
          <w:sz w:val="15"/>
        </w:rPr>
        <w:t xml:space="preserve">            Jurisdiction Matrix (edit sanctions, permissions)</w:t>
      </w:r>
    </w:p>
    <w:p>
      <w:pPr>
        <w:spacing w:after="0" w:before="0" w:line="240" w:lineRule="auto"/>
        <w:ind w:left="57"/>
        <w:jc w:val="left"/>
        <w:shd w:val="clear" w:fill="F2F2F2"/>
      </w:pPr>
      <w:r>
        <w:rPr>
          <w:rFonts w:ascii="Consolas" w:hAnsi="Consolas" w:cs="Consolas"/>
          <w:b w:val="0"/>
          <w:i w:val="0"/>
          <w:sz w:val="15"/>
        </w:rPr>
        <w:t xml:space="preserve">            Bank Manager (health scores, fallback routes)</w:t>
      </w:r>
    </w:p>
    <w:p>
      <w:pPr>
        <w:spacing w:after="0" w:before="0" w:line="240" w:lineRule="auto"/>
        <w:ind w:left="57"/>
        <w:jc w:val="left"/>
        <w:shd w:val="clear" w:fill="F2F2F2"/>
      </w:pPr>
      <w:r>
        <w:rPr>
          <w:rFonts w:ascii="Consolas" w:hAnsi="Consolas" w:cs="Consolas"/>
          <w:b w:val="0"/>
          <w:i w:val="0"/>
          <w:sz w:val="15"/>
        </w:rPr>
        <w:t xml:space="preserve">            Special Rate Manager (define custom fee rates)</w:t>
      </w:r>
    </w:p>
    <w:p>
      <w:pPr>
        <w:spacing w:after="0" w:before="0" w:line="240" w:lineRule="auto"/>
        <w:ind w:left="57"/>
        <w:jc w:val="left"/>
        <w:shd w:val="clear" w:fill="F2F2F2"/>
      </w:pPr>
      <w:r>
        <w:rPr>
          <w:rFonts w:ascii="Consolas" w:hAnsi="Consolas" w:cs="Consolas"/>
          <w:b w:val="0"/>
          <w:i w:val="0"/>
          <w:sz w:val="15"/>
        </w:rPr>
        <w:t xml:space="preserve">            Incidents (lifecycle, post-mortem generation)</w:t>
      </w:r>
    </w:p>
    <w:p>
      <w:pPr>
        <w:spacing w:after="0" w:before="0" w:line="240" w:lineRule="auto"/>
        <w:ind w:left="57"/>
        <w:jc w:val="left"/>
        <w:shd w:val="clear" w:fill="F2F2F2"/>
      </w:pPr>
      <w:r>
        <w:rPr>
          <w:rFonts w:ascii="Consolas" w:hAnsi="Consolas" w:cs="Consolas"/>
          <w:b w:val="0"/>
          <w:i w:val="0"/>
          <w:sz w:val="15"/>
        </w:rPr>
        <w:t xml:space="preserve">            Tenant Management (search, impersonate readonly)</w:t>
      </w:r>
    </w:p>
    <w:p>
      <w:pPr>
        <w:spacing w:after="0" w:before="0" w:line="240" w:lineRule="auto"/>
        <w:ind w:left="57"/>
        <w:jc w:val="left"/>
        <w:shd w:val="clear" w:fill="F2F2F2"/>
      </w:pPr>
      <w:r>
        <w:rPr>
          <w:rFonts w:ascii="Consolas" w:hAnsi="Consolas" w:cs="Consolas"/>
          <w:b w:val="0"/>
          <w:i w:val="0"/>
          <w:sz w:val="15"/>
        </w:rPr>
        <w:t xml:space="preserve">            Customer Care Hub (chatbot dashboard, support queue)</w:t>
      </w:r>
    </w:p>
    <w:p>
      <w:pPr>
        <w:spacing w:after="0" w:before="0" w:line="240" w:lineRule="auto"/>
        <w:ind w:left="57"/>
        <w:jc w:val="left"/>
        <w:shd w:val="clear" w:fill="F2F2F2"/>
      </w:pPr>
      <w:r>
        <w:rPr>
          <w:rFonts w:ascii="Consolas" w:hAnsi="Consolas" w:cs="Consolas"/>
          <w:b w:val="0"/>
          <w:i w:val="0"/>
          <w:sz w:val="15"/>
        </w:rPr>
        <w:t xml:space="preserve">            Configuration History (versioned manifest, rollback)</w:t>
      </w:r>
    </w:p>
    <w:p>
      <w:pPr>
        <w:spacing w:after="0" w:before="0" w:line="240" w:lineRule="auto"/>
        <w:ind w:left="57"/>
        <w:jc w:val="left"/>
        <w:shd w:val="clear" w:fill="F2F2F2"/>
      </w:pPr>
      <w:r>
        <w:rPr>
          <w:rFonts w:ascii="Consolas" w:hAnsi="Consolas" w:cs="Consolas"/>
          <w:b w:val="0"/>
          <w:i w:val="0"/>
          <w:sz w:val="15"/>
        </w:rPr>
        <w:t xml:space="preserve">            Internal Admin (multisig members, internal roles)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Dual-mode note: if you are a trading company with DUAL mode, use the Buyer/Seller toggle in the global header to switch between Buyer and Seller dashboards — you do not need to log out or use separate portals.</w:t>
      </w:r>
    </w:p>
    <w:p>
      <w:pPr>
        <w:keepNext/>
        <w:spacing w:before="180" w:after="80"/>
        <w:outlineLvl w:val="2"/>
      </w:pPr>
      <w:r>
        <w:rPr>
          <w:rFonts w:ascii="Arial" w:hAnsi="Arial" w:cs="Arial"/>
          <w:b/>
          <w:i w:val="0"/>
          <w:color w:val="333333"/>
          <w:sz w:val="23"/>
        </w:rPr>
        <w:t>16.14.3 Alphabetical Index of Portal Tabs</w:t>
      </w:r>
    </w:p>
    <w:p>
      <w:pPr>
        <w:spacing w:after="80" w:line="293" w:lineRule="auto"/>
        <w:jc w:val="left"/>
      </w:pPr>
      <w:r>
        <w:rPr>
          <w:rFonts w:ascii="Times New Roman" w:hAnsi="Times New Roman" w:cs="Times New Roman"/>
          <w:b w:val="0"/>
          <w:i w:val="0"/>
          <w:sz w:val="22"/>
        </w:rPr>
        <w:t>This index lists every tab that appears across the portals, with the portal(s) where it appears and the section where it is specified.</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Tab</w:t>
            </w:r>
          </w:p>
        </w:tc>
        <w:tc>
          <w:tcPr>
            <w:tcW w:type="dxa" w:w="3213"/>
            <w:shd w:val="clear" w:fill="D9E2F3"/>
          </w:tcPr>
          <w:p>
            <w:pPr>
              <w:spacing w:after="20" w:before="20" w:line="240" w:lineRule="auto"/>
            </w:pPr>
            <w:r/>
            <w:r>
              <w:rPr>
                <w:rFonts w:ascii="Arial" w:hAnsi="Arial" w:cs="Arial"/>
                <w:b/>
                <w:i w:val="0"/>
                <w:sz w:val="18"/>
              </w:rPr>
              <w:t>Portal(s)</w:t>
            </w:r>
          </w:p>
        </w:tc>
        <w:tc>
          <w:tcPr>
            <w:tcW w:type="dxa" w:w="3213"/>
            <w:shd w:val="clear" w:fill="D9E2F3"/>
          </w:tcPr>
          <w:p>
            <w:pPr>
              <w:spacing w:after="20" w:before="20" w:line="240" w:lineRule="auto"/>
            </w:pPr>
            <w:r/>
            <w:r>
              <w:rPr>
                <w:rFonts w:ascii="Arial" w:hAnsi="Arial" w:cs="Arial"/>
                <w:b/>
                <w:i w:val="0"/>
                <w:sz w:val="18"/>
              </w:rPr>
              <w:t>Section</w:t>
            </w:r>
          </w:p>
        </w:tc>
      </w:tr>
      <w:tr>
        <w:tc>
          <w:tcPr>
            <w:tcW w:type="dxa" w:w="3213"/>
          </w:tcPr>
          <w:p>
            <w:pPr>
              <w:spacing w:after="20" w:before="20" w:line="240" w:lineRule="auto"/>
            </w:pPr>
            <w:r/>
            <w:r>
              <w:rPr>
                <w:rFonts w:ascii="Arial" w:hAnsi="Arial" w:cs="Arial"/>
                <w:b w:val="0"/>
                <w:i w:val="0"/>
                <w:sz w:val="17"/>
              </w:rPr>
              <w:t>Active Bookings</w:t>
            </w:r>
          </w:p>
        </w:tc>
        <w:tc>
          <w:tcPr>
            <w:tcW w:type="dxa" w:w="3213"/>
          </w:tcPr>
          <w:p>
            <w:pPr>
              <w:spacing w:after="20" w:before="20" w:line="240" w:lineRule="auto"/>
            </w:pPr>
            <w:r/>
            <w:r>
              <w:rPr>
                <w:rFonts w:ascii="Arial" w:hAnsi="Arial" w:cs="Arial"/>
                <w:b w:val="0"/>
                <w:i w:val="0"/>
                <w:sz w:val="17"/>
              </w:rPr>
              <w:t>SHIP</w:t>
            </w:r>
          </w:p>
        </w:tc>
        <w:tc>
          <w:tcPr>
            <w:tcW w:type="dxa" w:w="3213"/>
          </w:tcPr>
          <w:p>
            <w:pPr>
              <w:spacing w:after="20" w:before="20" w:line="240" w:lineRule="auto"/>
            </w:pPr>
            <w:r/>
            <w:r>
              <w:rPr>
                <w:rFonts w:ascii="Arial" w:hAnsi="Arial" w:cs="Arial"/>
                <w:b w:val="0"/>
                <w:i w:val="0"/>
                <w:sz w:val="17"/>
              </w:rPr>
              <w:t>16.12.3</w:t>
            </w:r>
          </w:p>
        </w:tc>
      </w:tr>
      <w:tr>
        <w:tc>
          <w:tcPr>
            <w:tcW w:type="dxa" w:w="3213"/>
          </w:tcPr>
          <w:p>
            <w:pPr>
              <w:spacing w:after="20" w:before="20" w:line="240" w:lineRule="auto"/>
            </w:pPr>
            <w:r/>
            <w:r>
              <w:rPr>
                <w:rFonts w:ascii="Arial" w:hAnsi="Arial" w:cs="Arial"/>
                <w:b w:val="0"/>
                <w:i w:val="0"/>
                <w:sz w:val="17"/>
              </w:rPr>
              <w:t>Active Shipments</w:t>
            </w:r>
          </w:p>
        </w:tc>
        <w:tc>
          <w:tcPr>
            <w:tcW w:type="dxa" w:w="3213"/>
          </w:tcPr>
          <w:p>
            <w:pPr>
              <w:spacing w:after="20" w:before="20" w:line="240" w:lineRule="auto"/>
            </w:pPr>
            <w:r/>
            <w:r>
              <w:rPr>
                <w:rFonts w:ascii="Arial" w:hAnsi="Arial" w:cs="Arial"/>
                <w:b w:val="0"/>
                <w:i w:val="0"/>
                <w:sz w:val="17"/>
              </w:rPr>
              <w:t>LSP</w:t>
            </w:r>
          </w:p>
        </w:tc>
        <w:tc>
          <w:tcPr>
            <w:tcW w:type="dxa" w:w="3213"/>
          </w:tcPr>
          <w:p>
            <w:pPr>
              <w:spacing w:after="20" w:before="20" w:line="240" w:lineRule="auto"/>
            </w:pPr>
            <w:r/>
            <w:r>
              <w:rPr>
                <w:rFonts w:ascii="Arial" w:hAnsi="Arial" w:cs="Arial"/>
                <w:b w:val="0"/>
                <w:i w:val="0"/>
                <w:sz w:val="17"/>
              </w:rPr>
              <w:t>16.11.3</w:t>
            </w:r>
          </w:p>
        </w:tc>
      </w:tr>
      <w:tr>
        <w:tc>
          <w:tcPr>
            <w:tcW w:type="dxa" w:w="3213"/>
          </w:tcPr>
          <w:p>
            <w:pPr>
              <w:spacing w:after="20" w:before="20" w:line="240" w:lineRule="auto"/>
            </w:pPr>
            <w:r/>
            <w:r>
              <w:rPr>
                <w:rFonts w:ascii="Arial" w:hAnsi="Arial" w:cs="Arial"/>
                <w:b w:val="0"/>
                <w:i w:val="0"/>
                <w:sz w:val="17"/>
              </w:rPr>
              <w:t>Add Contract (Contract Rate Manager)</w:t>
            </w:r>
          </w:p>
        </w:tc>
        <w:tc>
          <w:tcPr>
            <w:tcW w:type="dxa" w:w="3213"/>
          </w:tcPr>
          <w:p>
            <w:pPr>
              <w:spacing w:after="20" w:before="20" w:line="240" w:lineRule="auto"/>
            </w:pPr>
            <w:r/>
            <w:r>
              <w:rPr>
                <w:rFonts w:ascii="Arial" w:hAnsi="Arial" w:cs="Arial"/>
                <w:b w:val="0"/>
                <w:i w:val="0"/>
                <w:sz w:val="17"/>
              </w:rPr>
              <w:t>SHIP</w:t>
            </w:r>
          </w:p>
        </w:tc>
        <w:tc>
          <w:tcPr>
            <w:tcW w:type="dxa" w:w="3213"/>
          </w:tcPr>
          <w:p>
            <w:pPr>
              <w:spacing w:after="20" w:before="20" w:line="240" w:lineRule="auto"/>
            </w:pPr>
            <w:r/>
            <w:r>
              <w:rPr>
                <w:rFonts w:ascii="Arial" w:hAnsi="Arial" w:cs="Arial"/>
                <w:b w:val="0"/>
                <w:i w:val="0"/>
                <w:sz w:val="17"/>
              </w:rPr>
              <w:t>16.12.3</w:t>
            </w:r>
          </w:p>
        </w:tc>
      </w:tr>
      <w:tr>
        <w:tc>
          <w:tcPr>
            <w:tcW w:type="dxa" w:w="3213"/>
          </w:tcPr>
          <w:p>
            <w:pPr>
              <w:spacing w:after="20" w:before="20" w:line="240" w:lineRule="auto"/>
            </w:pPr>
            <w:r/>
            <w:r>
              <w:rPr>
                <w:rFonts w:ascii="Arial" w:hAnsi="Arial" w:cs="Arial"/>
                <w:b w:val="0"/>
                <w:i w:val="0"/>
                <w:sz w:val="17"/>
              </w:rPr>
              <w:t>AI Operations Assistant</w:t>
            </w:r>
          </w:p>
        </w:tc>
        <w:tc>
          <w:tcPr>
            <w:tcW w:type="dxa" w:w="3213"/>
          </w:tcPr>
          <w:p>
            <w:pPr>
              <w:spacing w:after="20" w:before="20" w:line="240" w:lineRule="auto"/>
            </w:pPr>
            <w:r/>
            <w:r>
              <w:rPr>
                <w:rFonts w:ascii="Arial" w:hAnsi="Arial" w:cs="Arial"/>
                <w:b w:val="0"/>
                <w:i w:val="0"/>
                <w:sz w:val="17"/>
              </w:rPr>
              <w:t>All (Command Center)</w:t>
            </w:r>
          </w:p>
        </w:tc>
        <w:tc>
          <w:tcPr>
            <w:tcW w:type="dxa" w:w="3213"/>
          </w:tcPr>
          <w:p>
            <w:pPr>
              <w:spacing w:after="20" w:before="20" w:line="240" w:lineRule="auto"/>
            </w:pPr>
            <w:r/>
            <w:r>
              <w:rPr>
                <w:rFonts w:ascii="Arial" w:hAnsi="Arial" w:cs="Arial"/>
                <w:b w:val="0"/>
                <w:i w:val="0"/>
                <w:sz w:val="17"/>
              </w:rPr>
              <w:t>16.13.4</w:t>
            </w:r>
          </w:p>
        </w:tc>
      </w:tr>
      <w:tr>
        <w:tc>
          <w:tcPr>
            <w:tcW w:type="dxa" w:w="3213"/>
          </w:tcPr>
          <w:p>
            <w:pPr>
              <w:spacing w:after="20" w:before="20" w:line="240" w:lineRule="auto"/>
            </w:pPr>
            <w:r/>
            <w:r>
              <w:rPr>
                <w:rFonts w:ascii="Arial" w:hAnsi="Arial" w:cs="Arial"/>
                <w:b w:val="0"/>
                <w:i w:val="0"/>
                <w:sz w:val="17"/>
              </w:rPr>
              <w:t>Approvals</w:t>
            </w:r>
          </w:p>
        </w:tc>
        <w:tc>
          <w:tcPr>
            <w:tcW w:type="dxa" w:w="3213"/>
          </w:tcPr>
          <w:p>
            <w:pPr>
              <w:spacing w:after="20" w:before="20" w:line="240" w:lineRule="auto"/>
            </w:pPr>
            <w:r/>
            <w:r>
              <w:rPr>
                <w:rFonts w:ascii="Arial" w:hAnsi="Arial" w:cs="Arial"/>
                <w:b w:val="0"/>
                <w:i w:val="0"/>
                <w:sz w:val="17"/>
              </w:rPr>
              <w:t>Buyer</w:t>
            </w:r>
          </w:p>
        </w:tc>
        <w:tc>
          <w:tcPr>
            <w:tcW w:type="dxa" w:w="3213"/>
          </w:tcPr>
          <w:p>
            <w:pPr>
              <w:spacing w:after="20" w:before="20" w:line="240" w:lineRule="auto"/>
            </w:pPr>
            <w:r/>
            <w:r>
              <w:rPr>
                <w:rFonts w:ascii="Arial" w:hAnsi="Arial" w:cs="Arial"/>
                <w:b w:val="0"/>
                <w:i w:val="0"/>
                <w:sz w:val="17"/>
              </w:rPr>
              <w:t>16.9.3</w:t>
            </w:r>
          </w:p>
        </w:tc>
      </w:tr>
      <w:tr>
        <w:tc>
          <w:tcPr>
            <w:tcW w:type="dxa" w:w="3213"/>
          </w:tcPr>
          <w:p>
            <w:pPr>
              <w:spacing w:after="20" w:before="20" w:line="240" w:lineRule="auto"/>
            </w:pPr>
            <w:r/>
            <w:r>
              <w:rPr>
                <w:rFonts w:ascii="Arial" w:hAnsi="Arial" w:cs="Arial"/>
                <w:b w:val="0"/>
                <w:i w:val="0"/>
                <w:sz w:val="17"/>
              </w:rPr>
              <w:t>Audit</w:t>
            </w:r>
          </w:p>
        </w:tc>
        <w:tc>
          <w:tcPr>
            <w:tcW w:type="dxa" w:w="3213"/>
          </w:tcPr>
          <w:p>
            <w:pPr>
              <w:spacing w:after="20" w:before="20" w:line="240" w:lineRule="auto"/>
            </w:pPr>
            <w:r/>
            <w:r>
              <w:rPr>
                <w:rFonts w:ascii="Arial" w:hAnsi="Arial" w:cs="Arial"/>
                <w:b w:val="0"/>
                <w:i w:val="0"/>
                <w:sz w:val="17"/>
              </w:rPr>
              <w:t>Buyer</w:t>
            </w:r>
          </w:p>
        </w:tc>
        <w:tc>
          <w:tcPr>
            <w:tcW w:type="dxa" w:w="3213"/>
          </w:tcPr>
          <w:p>
            <w:pPr>
              <w:spacing w:after="20" w:before="20" w:line="240" w:lineRule="auto"/>
            </w:pPr>
            <w:r/>
            <w:r>
              <w:rPr>
                <w:rFonts w:ascii="Arial" w:hAnsi="Arial" w:cs="Arial"/>
                <w:b w:val="0"/>
                <w:i w:val="0"/>
                <w:sz w:val="17"/>
              </w:rPr>
              <w:t>16.9.3</w:t>
            </w:r>
          </w:p>
        </w:tc>
      </w:tr>
      <w:tr>
        <w:tc>
          <w:tcPr>
            <w:tcW w:type="dxa" w:w="3213"/>
          </w:tcPr>
          <w:p>
            <w:pPr>
              <w:spacing w:after="20" w:before="20" w:line="240" w:lineRule="auto"/>
            </w:pPr>
            <w:r/>
            <w:r>
              <w:rPr>
                <w:rFonts w:ascii="Arial" w:hAnsi="Arial" w:cs="Arial"/>
                <w:b w:val="0"/>
                <w:i w:val="0"/>
                <w:sz w:val="17"/>
              </w:rPr>
              <w:t>Audits &amp; Reports</w:t>
            </w:r>
          </w:p>
        </w:tc>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16.8.12.3</w:t>
            </w:r>
          </w:p>
        </w:tc>
      </w:tr>
      <w:tr>
        <w:tc>
          <w:tcPr>
            <w:tcW w:type="dxa" w:w="3213"/>
          </w:tcPr>
          <w:p>
            <w:pPr>
              <w:spacing w:after="20" w:before="20" w:line="240" w:lineRule="auto"/>
            </w:pPr>
            <w:r/>
            <w:r>
              <w:rPr>
                <w:rFonts w:ascii="Arial" w:hAnsi="Arial" w:cs="Arial"/>
                <w:b w:val="0"/>
                <w:i w:val="0"/>
                <w:sz w:val="17"/>
              </w:rPr>
              <w:t>Barcode Print</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Booking Requests</w:t>
            </w:r>
          </w:p>
        </w:tc>
        <w:tc>
          <w:tcPr>
            <w:tcW w:type="dxa" w:w="3213"/>
          </w:tcPr>
          <w:p>
            <w:pPr>
              <w:spacing w:after="20" w:before="20" w:line="240" w:lineRule="auto"/>
            </w:pPr>
            <w:r/>
            <w:r>
              <w:rPr>
                <w:rFonts w:ascii="Arial" w:hAnsi="Arial" w:cs="Arial"/>
                <w:b w:val="0"/>
                <w:i w:val="0"/>
                <w:sz w:val="17"/>
              </w:rPr>
              <w:t>SHIP</w:t>
            </w:r>
          </w:p>
        </w:tc>
        <w:tc>
          <w:tcPr>
            <w:tcW w:type="dxa" w:w="3213"/>
          </w:tcPr>
          <w:p>
            <w:pPr>
              <w:spacing w:after="20" w:before="20" w:line="240" w:lineRule="auto"/>
            </w:pPr>
            <w:r/>
            <w:r>
              <w:rPr>
                <w:rFonts w:ascii="Arial" w:hAnsi="Arial" w:cs="Arial"/>
                <w:b w:val="0"/>
                <w:i w:val="0"/>
                <w:sz w:val="17"/>
              </w:rPr>
              <w:t>16.12.3</w:t>
            </w:r>
          </w:p>
        </w:tc>
      </w:tr>
      <w:tr>
        <w:tc>
          <w:tcPr>
            <w:tcW w:type="dxa" w:w="3213"/>
          </w:tcPr>
          <w:p>
            <w:pPr>
              <w:spacing w:after="20" w:before="20" w:line="240" w:lineRule="auto"/>
            </w:pPr>
            <w:r/>
            <w:r>
              <w:rPr>
                <w:rFonts w:ascii="Arial" w:hAnsi="Arial" w:cs="Arial"/>
                <w:b w:val="0"/>
                <w:i w:val="0"/>
                <w:sz w:val="17"/>
              </w:rPr>
              <w:t>Cash Position</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Certification Requests</w:t>
            </w:r>
          </w:p>
        </w:tc>
        <w:tc>
          <w:tcPr>
            <w:tcW w:type="dxa" w:w="3213"/>
          </w:tcPr>
          <w:p>
            <w:pPr>
              <w:spacing w:after="20" w:before="20" w:line="240" w:lineRule="auto"/>
            </w:pPr>
            <w:r/>
            <w:r>
              <w:rPr>
                <w:rFonts w:ascii="Arial" w:hAnsi="Arial" w:cs="Arial"/>
                <w:b w:val="0"/>
                <w:i w:val="0"/>
                <w:sz w:val="17"/>
              </w:rPr>
              <w:t>CBR</w:t>
            </w:r>
          </w:p>
        </w:tc>
        <w:tc>
          <w:tcPr>
            <w:tcW w:type="dxa" w:w="3213"/>
          </w:tcPr>
          <w:p>
            <w:pPr>
              <w:spacing w:after="20" w:before="20" w:line="240" w:lineRule="auto"/>
            </w:pPr>
            <w:r/>
            <w:r>
              <w:rPr>
                <w:rFonts w:ascii="Arial" w:hAnsi="Arial" w:cs="Arial"/>
                <w:b w:val="0"/>
                <w:i w:val="0"/>
                <w:sz w:val="17"/>
              </w:rPr>
              <w:t>16.8.9.2</w:t>
            </w:r>
          </w:p>
        </w:tc>
      </w:tr>
      <w:tr>
        <w:tc>
          <w:tcPr>
            <w:tcW w:type="dxa" w:w="3213"/>
          </w:tcPr>
          <w:p>
            <w:pPr>
              <w:spacing w:after="20" w:before="20" w:line="240" w:lineRule="auto"/>
            </w:pPr>
            <w:r/>
            <w:r>
              <w:rPr>
                <w:rFonts w:ascii="Arial" w:hAnsi="Arial" w:cs="Arial"/>
                <w:b w:val="0"/>
                <w:i w:val="0"/>
                <w:sz w:val="17"/>
              </w:rPr>
              <w:t>Certificates</w:t>
            </w:r>
          </w:p>
        </w:tc>
        <w:tc>
          <w:tcPr>
            <w:tcW w:type="dxa" w:w="3213"/>
          </w:tcPr>
          <w:p>
            <w:pPr>
              <w:spacing w:after="20" w:before="20" w:line="240" w:lineRule="auto"/>
            </w:pPr>
            <w:r/>
            <w:r>
              <w:rPr>
                <w:rFonts w:ascii="Arial" w:hAnsi="Arial" w:cs="Arial"/>
                <w:b w:val="0"/>
                <w:i w:val="0"/>
                <w:sz w:val="17"/>
              </w:rPr>
              <w:t>LAB</w:t>
            </w:r>
          </w:p>
        </w:tc>
        <w:tc>
          <w:tcPr>
            <w:tcW w:type="dxa" w:w="3213"/>
          </w:tcPr>
          <w:p>
            <w:pPr>
              <w:spacing w:after="20" w:before="20" w:line="240" w:lineRule="auto"/>
            </w:pPr>
            <w:r/>
            <w:r>
              <w:rPr>
                <w:rFonts w:ascii="Arial" w:hAnsi="Arial" w:cs="Arial"/>
                <w:b w:val="0"/>
                <w:i w:val="0"/>
                <w:sz w:val="17"/>
              </w:rPr>
              <w:t>16.8.7.2</w:t>
            </w:r>
          </w:p>
        </w:tc>
      </w:tr>
      <w:tr>
        <w:tc>
          <w:tcPr>
            <w:tcW w:type="dxa" w:w="3213"/>
          </w:tcPr>
          <w:p>
            <w:pPr>
              <w:spacing w:after="20" w:before="20" w:line="240" w:lineRule="auto"/>
            </w:pPr>
            <w:r/>
            <w:r>
              <w:rPr>
                <w:rFonts w:ascii="Arial" w:hAnsi="Arial" w:cs="Arial"/>
                <w:b w:val="0"/>
                <w:i w:val="0"/>
                <w:sz w:val="17"/>
              </w:rPr>
              <w:t>Clearance Workflow</w:t>
            </w:r>
          </w:p>
        </w:tc>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16.8.12.3</w:t>
            </w:r>
          </w:p>
        </w:tc>
      </w:tr>
      <w:tr>
        <w:tc>
          <w:tcPr>
            <w:tcW w:type="dxa" w:w="3213"/>
          </w:tcPr>
          <w:p>
            <w:pPr>
              <w:spacing w:after="20" w:before="20" w:line="240" w:lineRule="auto"/>
            </w:pPr>
            <w:r/>
            <w:r>
              <w:rPr>
                <w:rFonts w:ascii="Arial" w:hAnsi="Arial" w:cs="Arial"/>
                <w:b w:val="0"/>
                <w:i w:val="0"/>
                <w:sz w:val="17"/>
              </w:rPr>
              <w:t>Collaboration / Trade Room</w:t>
            </w:r>
          </w:p>
        </w:tc>
        <w:tc>
          <w:tcPr>
            <w:tcW w:type="dxa" w:w="3213"/>
          </w:tcPr>
          <w:p>
            <w:pPr>
              <w:spacing w:after="20" w:before="20" w:line="240" w:lineRule="auto"/>
            </w:pPr>
            <w:r/>
            <w:r>
              <w:rPr>
                <w:rFonts w:ascii="Arial" w:hAnsi="Arial" w:cs="Arial"/>
                <w:b w:val="0"/>
                <w:i w:val="0"/>
                <w:sz w:val="17"/>
              </w:rPr>
              <w:t>TCC (all)</w:t>
            </w:r>
          </w:p>
        </w:tc>
        <w:tc>
          <w:tcPr>
            <w:tcW w:type="dxa" w:w="3213"/>
          </w:tcPr>
          <w:p>
            <w:pPr>
              <w:spacing w:after="20" w:before="20" w:line="240" w:lineRule="auto"/>
            </w:pPr>
            <w:r/>
            <w:r>
              <w:rPr>
                <w:rFonts w:ascii="Arial" w:hAnsi="Arial" w:cs="Arial"/>
                <w:b w:val="0"/>
                <w:i w:val="0"/>
                <w:sz w:val="17"/>
              </w:rPr>
              <w:t>16.3.2</w:t>
            </w:r>
          </w:p>
        </w:tc>
      </w:tr>
      <w:tr>
        <w:tc>
          <w:tcPr>
            <w:tcW w:type="dxa" w:w="3213"/>
          </w:tcPr>
          <w:p>
            <w:pPr>
              <w:spacing w:after="20" w:before="20" w:line="240" w:lineRule="auto"/>
            </w:pPr>
            <w:r/>
            <w:r>
              <w:rPr>
                <w:rFonts w:ascii="Arial" w:hAnsi="Arial" w:cs="Arial"/>
                <w:b w:val="0"/>
                <w:i w:val="0"/>
                <w:sz w:val="17"/>
              </w:rPr>
              <w:t>Compliance</w:t>
            </w:r>
          </w:p>
        </w:tc>
        <w:tc>
          <w:tcPr>
            <w:tcW w:type="dxa" w:w="3213"/>
          </w:tcPr>
          <w:p>
            <w:pPr>
              <w:spacing w:after="20" w:before="20" w:line="240" w:lineRule="auto"/>
            </w:pPr>
            <w:r/>
            <w:r>
              <w:rPr>
                <w:rFonts w:ascii="Arial" w:hAnsi="Arial" w:cs="Arial"/>
                <w:b w:val="0"/>
                <w:i w:val="0"/>
                <w:sz w:val="17"/>
              </w:rPr>
              <w:t>Buyer</w:t>
            </w:r>
          </w:p>
        </w:tc>
        <w:tc>
          <w:tcPr>
            <w:tcW w:type="dxa" w:w="3213"/>
          </w:tcPr>
          <w:p>
            <w:pPr>
              <w:spacing w:after="20" w:before="20" w:line="240" w:lineRule="auto"/>
            </w:pPr>
            <w:r/>
            <w:r>
              <w:rPr>
                <w:rFonts w:ascii="Arial" w:hAnsi="Arial" w:cs="Arial"/>
                <w:b w:val="0"/>
                <w:i w:val="0"/>
                <w:sz w:val="17"/>
              </w:rPr>
              <w:t>16.9.3</w:t>
            </w:r>
          </w:p>
        </w:tc>
      </w:tr>
      <w:tr>
        <w:tc>
          <w:tcPr>
            <w:tcW w:type="dxa" w:w="3213"/>
          </w:tcPr>
          <w:p>
            <w:pPr>
              <w:spacing w:after="20" w:before="20" w:line="240" w:lineRule="auto"/>
            </w:pPr>
            <w:r/>
            <w:r>
              <w:rPr>
                <w:rFonts w:ascii="Arial" w:hAnsi="Arial" w:cs="Arial"/>
                <w:b w:val="0"/>
                <w:i w:val="0"/>
                <w:sz w:val="17"/>
              </w:rPr>
              <w:t>Compliance Monitor</w:t>
            </w:r>
          </w:p>
        </w:tc>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16.8.12.3</w:t>
            </w:r>
          </w:p>
        </w:tc>
      </w:tr>
      <w:tr>
        <w:tc>
          <w:tcPr>
            <w:tcW w:type="dxa" w:w="3213"/>
          </w:tcPr>
          <w:p>
            <w:pPr>
              <w:spacing w:after="20" w:before="20" w:line="240" w:lineRule="auto"/>
            </w:pPr>
            <w:r/>
            <w:r>
              <w:rPr>
                <w:rFonts w:ascii="Arial" w:hAnsi="Arial" w:cs="Arial"/>
                <w:b w:val="0"/>
                <w:i w:val="0"/>
                <w:sz w:val="17"/>
              </w:rPr>
              <w:t>Company Admin</w:t>
            </w:r>
          </w:p>
        </w:tc>
        <w:tc>
          <w:tcPr>
            <w:tcW w:type="dxa" w:w="3213"/>
          </w:tcPr>
          <w:p>
            <w:pPr>
              <w:spacing w:after="20" w:before="20" w:line="240" w:lineRule="auto"/>
            </w:pPr>
            <w:r/>
            <w:r>
              <w:rPr>
                <w:rFonts w:ascii="Arial" w:hAnsi="Arial" w:cs="Arial"/>
                <w:b w:val="0"/>
                <w:i w:val="0"/>
                <w:sz w:val="17"/>
              </w:rPr>
              <w:t>All portals</w:t>
            </w:r>
          </w:p>
        </w:tc>
        <w:tc>
          <w:tcPr>
            <w:tcW w:type="dxa" w:w="3213"/>
          </w:tcPr>
          <w:p>
            <w:pPr>
              <w:spacing w:after="20" w:before="20" w:line="240" w:lineRule="auto"/>
            </w:pPr>
            <w:r/>
            <w:r>
              <w:rPr>
                <w:rFonts w:ascii="Arial" w:hAnsi="Arial" w:cs="Arial"/>
                <w:b w:val="0"/>
                <w:i w:val="0"/>
                <w:sz w:val="17"/>
              </w:rPr>
              <w:t>16.1.6 / per-portal</w:t>
            </w:r>
          </w:p>
        </w:tc>
      </w:tr>
      <w:tr>
        <w:tc>
          <w:tcPr>
            <w:tcW w:type="dxa" w:w="3213"/>
          </w:tcPr>
          <w:p>
            <w:pPr>
              <w:spacing w:after="20" w:before="20" w:line="240" w:lineRule="auto"/>
            </w:pPr>
            <w:r/>
            <w:r>
              <w:rPr>
                <w:rFonts w:ascii="Arial" w:hAnsi="Arial" w:cs="Arial"/>
                <w:b w:val="0"/>
                <w:i w:val="0"/>
                <w:sz w:val="17"/>
              </w:rPr>
              <w:t>Constitutional Policies</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Containerisation &amp; Packing</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Contract Signing</w:t>
            </w:r>
          </w:p>
        </w:tc>
        <w:tc>
          <w:tcPr>
            <w:tcW w:type="dxa" w:w="3213"/>
          </w:tcPr>
          <w:p>
            <w:pPr>
              <w:spacing w:after="20" w:before="20" w:line="240" w:lineRule="auto"/>
            </w:pPr>
            <w:r/>
            <w:r>
              <w:rPr>
                <w:rFonts w:ascii="Arial" w:hAnsi="Arial" w:cs="Arial"/>
                <w:b w:val="0"/>
                <w:i w:val="0"/>
                <w:sz w:val="17"/>
              </w:rPr>
              <w:t>Buyer</w:t>
            </w:r>
          </w:p>
        </w:tc>
        <w:tc>
          <w:tcPr>
            <w:tcW w:type="dxa" w:w="3213"/>
          </w:tcPr>
          <w:p>
            <w:pPr>
              <w:spacing w:after="20" w:before="20" w:line="240" w:lineRule="auto"/>
            </w:pPr>
            <w:r/>
            <w:r>
              <w:rPr>
                <w:rFonts w:ascii="Arial" w:hAnsi="Arial" w:cs="Arial"/>
                <w:b w:val="0"/>
                <w:i w:val="0"/>
                <w:sz w:val="17"/>
              </w:rPr>
              <w:t>16.9.3</w:t>
            </w:r>
          </w:p>
        </w:tc>
      </w:tr>
      <w:tr>
        <w:tc>
          <w:tcPr>
            <w:tcW w:type="dxa" w:w="3213"/>
          </w:tcPr>
          <w:p>
            <w:pPr>
              <w:spacing w:after="20" w:before="20" w:line="240" w:lineRule="auto"/>
            </w:pPr>
            <w:r/>
            <w:r>
              <w:rPr>
                <w:rFonts w:ascii="Arial" w:hAnsi="Arial" w:cs="Arial"/>
                <w:b w:val="0"/>
                <w:i w:val="0"/>
                <w:sz w:val="17"/>
              </w:rPr>
              <w:t>Customer Care Hub</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Dashboard</w:t>
            </w:r>
          </w:p>
        </w:tc>
        <w:tc>
          <w:tcPr>
            <w:tcW w:type="dxa" w:w="3213"/>
          </w:tcPr>
          <w:p>
            <w:pPr>
              <w:spacing w:after="20" w:before="20" w:line="240" w:lineRule="auto"/>
            </w:pPr>
            <w:r/>
            <w:r>
              <w:rPr>
                <w:rFonts w:ascii="Arial" w:hAnsi="Arial" w:cs="Arial"/>
                <w:b w:val="0"/>
                <w:i w:val="0"/>
                <w:sz w:val="17"/>
              </w:rPr>
              <w:t>Marketplace Partner</w:t>
            </w:r>
          </w:p>
        </w:tc>
        <w:tc>
          <w:tcPr>
            <w:tcW w:type="dxa" w:w="3213"/>
          </w:tcPr>
          <w:p>
            <w:pPr>
              <w:spacing w:after="20" w:before="20" w:line="240" w:lineRule="auto"/>
            </w:pPr>
            <w:r/>
            <w:r>
              <w:rPr>
                <w:rFonts w:ascii="Arial" w:hAnsi="Arial" w:cs="Arial"/>
                <w:b w:val="0"/>
                <w:i w:val="0"/>
                <w:sz w:val="17"/>
              </w:rPr>
              <w:t>16.8.14.2</w:t>
            </w:r>
          </w:p>
        </w:tc>
      </w:tr>
      <w:tr>
        <w:tc>
          <w:tcPr>
            <w:tcW w:type="dxa" w:w="3213"/>
          </w:tcPr>
          <w:p>
            <w:pPr>
              <w:spacing w:after="20" w:before="20" w:line="240" w:lineRule="auto"/>
            </w:pPr>
            <w:r/>
            <w:r>
              <w:rPr>
                <w:rFonts w:ascii="Arial" w:hAnsi="Arial" w:cs="Arial"/>
                <w:b w:val="0"/>
                <w:i w:val="0"/>
                <w:sz w:val="17"/>
              </w:rPr>
              <w:t>Dispatch Planner</w:t>
            </w:r>
          </w:p>
        </w:tc>
        <w:tc>
          <w:tcPr>
            <w:tcW w:type="dxa" w:w="3213"/>
          </w:tcPr>
          <w:p>
            <w:pPr>
              <w:spacing w:after="20" w:before="20" w:line="240" w:lineRule="auto"/>
            </w:pPr>
            <w:r/>
            <w:r>
              <w:rPr>
                <w:rFonts w:ascii="Arial" w:hAnsi="Arial" w:cs="Arial"/>
                <w:b w:val="0"/>
                <w:i w:val="0"/>
                <w:sz w:val="17"/>
              </w:rPr>
              <w:t>LSP (trucking)</w:t>
            </w:r>
          </w:p>
        </w:tc>
        <w:tc>
          <w:tcPr>
            <w:tcW w:type="dxa" w:w="3213"/>
          </w:tcPr>
          <w:p>
            <w:pPr>
              <w:spacing w:after="20" w:before="20" w:line="240" w:lineRule="auto"/>
            </w:pPr>
            <w:r/>
            <w:r>
              <w:rPr>
                <w:rFonts w:ascii="Arial" w:hAnsi="Arial" w:cs="Arial"/>
                <w:b w:val="0"/>
                <w:i w:val="0"/>
                <w:sz w:val="17"/>
              </w:rPr>
              <w:t>16.11.3</w:t>
            </w:r>
          </w:p>
        </w:tc>
      </w:tr>
      <w:tr>
        <w:tc>
          <w:tcPr>
            <w:tcW w:type="dxa" w:w="3213"/>
          </w:tcPr>
          <w:p>
            <w:pPr>
              <w:spacing w:after="20" w:before="20" w:line="240" w:lineRule="auto"/>
            </w:pPr>
            <w:r/>
            <w:r>
              <w:rPr>
                <w:rFonts w:ascii="Arial" w:hAnsi="Arial" w:cs="Arial"/>
                <w:b w:val="0"/>
                <w:i w:val="0"/>
                <w:sz w:val="17"/>
              </w:rPr>
              <w:t>Disputes</w:t>
            </w:r>
          </w:p>
        </w:tc>
        <w:tc>
          <w:tcPr>
            <w:tcW w:type="dxa" w:w="3213"/>
          </w:tcPr>
          <w:p>
            <w:pPr>
              <w:spacing w:after="20" w:before="20" w:line="240" w:lineRule="auto"/>
            </w:pPr>
            <w:r/>
            <w:r>
              <w:rPr>
                <w:rFonts w:ascii="Arial" w:hAnsi="Arial" w:cs="Arial"/>
                <w:b w:val="0"/>
                <w:i w:val="0"/>
                <w:sz w:val="17"/>
              </w:rPr>
              <w:t>Buyer, Seller, and role-filtered in all portals</w:t>
            </w:r>
          </w:p>
        </w:tc>
        <w:tc>
          <w:tcPr>
            <w:tcW w:type="dxa" w:w="3213"/>
          </w:tcPr>
          <w:p>
            <w:pPr>
              <w:spacing w:after="20" w:before="20" w:line="240" w:lineRule="auto"/>
            </w:pPr>
            <w:r/>
            <w:r>
              <w:rPr>
                <w:rFonts w:ascii="Arial" w:hAnsi="Arial" w:cs="Arial"/>
                <w:b w:val="0"/>
                <w:i w:val="0"/>
                <w:sz w:val="17"/>
              </w:rPr>
              <w:t>16.9.3 / 16.10.3</w:t>
            </w:r>
          </w:p>
        </w:tc>
      </w:tr>
      <w:tr>
        <w:tc>
          <w:tcPr>
            <w:tcW w:type="dxa" w:w="3213"/>
          </w:tcPr>
          <w:p>
            <w:pPr>
              <w:spacing w:after="20" w:before="20" w:line="240" w:lineRule="auto"/>
            </w:pPr>
            <w:r/>
            <w:r>
              <w:rPr>
                <w:rFonts w:ascii="Arial" w:hAnsi="Arial" w:cs="Arial"/>
                <w:b w:val="0"/>
                <w:i w:val="0"/>
                <w:sz w:val="17"/>
              </w:rPr>
              <w:t>Document Finalisation</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Document Verification</w:t>
            </w:r>
          </w:p>
        </w:tc>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16.8.12.3</w:t>
            </w:r>
          </w:p>
        </w:tc>
      </w:tr>
      <w:tr>
        <w:tc>
          <w:tcPr>
            <w:tcW w:type="dxa" w:w="3213"/>
          </w:tcPr>
          <w:p>
            <w:pPr>
              <w:spacing w:after="20" w:before="20" w:line="240" w:lineRule="auto"/>
            </w:pPr>
            <w:r/>
            <w:r>
              <w:rPr>
                <w:rFonts w:ascii="Arial" w:hAnsi="Arial" w:cs="Arial"/>
                <w:b w:val="0"/>
                <w:i w:val="0"/>
                <w:sz w:val="17"/>
              </w:rPr>
              <w:t>Documents</w:t>
            </w:r>
          </w:p>
        </w:tc>
        <w:tc>
          <w:tcPr>
            <w:tcW w:type="dxa" w:w="3213"/>
          </w:tcPr>
          <w:p>
            <w:pPr>
              <w:spacing w:after="20" w:before="20" w:line="240" w:lineRule="auto"/>
            </w:pPr>
            <w:r/>
            <w:r>
              <w:rPr>
                <w:rFonts w:ascii="Arial" w:hAnsi="Arial" w:cs="Arial"/>
                <w:b w:val="0"/>
                <w:i w:val="0"/>
                <w:sz w:val="17"/>
              </w:rPr>
              <w:t>Buyer</w:t>
            </w:r>
          </w:p>
        </w:tc>
        <w:tc>
          <w:tcPr>
            <w:tcW w:type="dxa" w:w="3213"/>
          </w:tcPr>
          <w:p>
            <w:pPr>
              <w:spacing w:after="20" w:before="20" w:line="240" w:lineRule="auto"/>
            </w:pPr>
            <w:r/>
            <w:r>
              <w:rPr>
                <w:rFonts w:ascii="Arial" w:hAnsi="Arial" w:cs="Arial"/>
                <w:b w:val="0"/>
                <w:i w:val="0"/>
                <w:sz w:val="17"/>
              </w:rPr>
              <w:t>16.9.3</w:t>
            </w:r>
          </w:p>
        </w:tc>
      </w:tr>
      <w:tr>
        <w:tc>
          <w:tcPr>
            <w:tcW w:type="dxa" w:w="3213"/>
          </w:tcPr>
          <w:p>
            <w:pPr>
              <w:spacing w:after="20" w:before="20" w:line="240" w:lineRule="auto"/>
            </w:pPr>
            <w:r/>
            <w:r>
              <w:rPr>
                <w:rFonts w:ascii="Arial" w:hAnsi="Arial" w:cs="Arial"/>
                <w:b w:val="0"/>
                <w:i w:val="0"/>
                <w:sz w:val="17"/>
              </w:rPr>
              <w:t>Driver Mobile App Management</w:t>
            </w:r>
          </w:p>
        </w:tc>
        <w:tc>
          <w:tcPr>
            <w:tcW w:type="dxa" w:w="3213"/>
          </w:tcPr>
          <w:p>
            <w:pPr>
              <w:spacing w:after="20" w:before="20" w:line="240" w:lineRule="auto"/>
            </w:pPr>
            <w:r/>
            <w:r>
              <w:rPr>
                <w:rFonts w:ascii="Arial" w:hAnsi="Arial" w:cs="Arial"/>
                <w:b w:val="0"/>
                <w:i w:val="0"/>
                <w:sz w:val="17"/>
              </w:rPr>
              <w:t>LSP</w:t>
            </w:r>
          </w:p>
        </w:tc>
        <w:tc>
          <w:tcPr>
            <w:tcW w:type="dxa" w:w="3213"/>
          </w:tcPr>
          <w:p>
            <w:pPr>
              <w:spacing w:after="20" w:before="20" w:line="240" w:lineRule="auto"/>
            </w:pPr>
            <w:r/>
            <w:r>
              <w:rPr>
                <w:rFonts w:ascii="Arial" w:hAnsi="Arial" w:cs="Arial"/>
                <w:b w:val="0"/>
                <w:i w:val="0"/>
                <w:sz w:val="17"/>
              </w:rPr>
              <w:t>16.11.3</w:t>
            </w:r>
          </w:p>
        </w:tc>
      </w:tr>
      <w:tr>
        <w:tc>
          <w:tcPr>
            <w:tcW w:type="dxa" w:w="3213"/>
          </w:tcPr>
          <w:p>
            <w:pPr>
              <w:spacing w:after="20" w:before="20" w:line="240" w:lineRule="auto"/>
            </w:pPr>
            <w:r/>
            <w:r>
              <w:rPr>
                <w:rFonts w:ascii="Arial" w:hAnsi="Arial" w:cs="Arial"/>
                <w:b w:val="0"/>
                <w:i w:val="0"/>
                <w:sz w:val="17"/>
              </w:rPr>
              <w:t>EXW Price Lock</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Feedback &amp; Help</w:t>
            </w:r>
          </w:p>
        </w:tc>
        <w:tc>
          <w:tcPr>
            <w:tcW w:type="dxa" w:w="3213"/>
          </w:tcPr>
          <w:p>
            <w:pPr>
              <w:spacing w:after="20" w:before="20" w:line="240" w:lineRule="auto"/>
            </w:pPr>
            <w:r/>
            <w:r>
              <w:rPr>
                <w:rFonts w:ascii="Arial" w:hAnsi="Arial" w:cs="Arial"/>
                <w:b w:val="0"/>
                <w:i w:val="0"/>
                <w:sz w:val="17"/>
              </w:rPr>
              <w:t>All</w:t>
            </w:r>
          </w:p>
        </w:tc>
        <w:tc>
          <w:tcPr>
            <w:tcW w:type="dxa" w:w="3213"/>
          </w:tcPr>
          <w:p>
            <w:pPr>
              <w:spacing w:after="20" w:before="20" w:line="240" w:lineRule="auto"/>
            </w:pPr>
            <w:r/>
            <w:r>
              <w:rPr>
                <w:rFonts w:ascii="Arial" w:hAnsi="Arial" w:cs="Arial"/>
                <w:b w:val="0"/>
                <w:i w:val="0"/>
                <w:sz w:val="17"/>
              </w:rPr>
              <w:t>16.14.9</w:t>
            </w:r>
          </w:p>
        </w:tc>
      </w:tr>
      <w:tr>
        <w:tc>
          <w:tcPr>
            <w:tcW w:type="dxa" w:w="3213"/>
          </w:tcPr>
          <w:p>
            <w:pPr>
              <w:spacing w:after="20" w:before="20" w:line="240" w:lineRule="auto"/>
            </w:pPr>
            <w:r/>
            <w:r>
              <w:rPr>
                <w:rFonts w:ascii="Arial" w:hAnsi="Arial" w:cs="Arial"/>
                <w:b w:val="0"/>
                <w:i w:val="0"/>
                <w:sz w:val="17"/>
              </w:rPr>
              <w:t>Financed Companies</w:t>
            </w:r>
          </w:p>
        </w:tc>
        <w:tc>
          <w:tcPr>
            <w:tcW w:type="dxa" w:w="3213"/>
          </w:tcPr>
          <w:p>
            <w:pPr>
              <w:spacing w:after="20" w:before="20" w:line="240" w:lineRule="auto"/>
            </w:pPr>
            <w:r/>
            <w:r>
              <w:rPr>
                <w:rFonts w:ascii="Arial" w:hAnsi="Arial" w:cs="Arial"/>
                <w:b w:val="0"/>
                <w:i w:val="0"/>
                <w:sz w:val="17"/>
              </w:rPr>
              <w:t>Bank / PFI</w:t>
            </w:r>
          </w:p>
        </w:tc>
        <w:tc>
          <w:tcPr>
            <w:tcW w:type="dxa" w:w="3213"/>
          </w:tcPr>
          <w:p>
            <w:pPr>
              <w:spacing w:after="20" w:before="20" w:line="240" w:lineRule="auto"/>
            </w:pPr>
            <w:r/>
            <w:r>
              <w:rPr>
                <w:rFonts w:ascii="Arial" w:hAnsi="Arial" w:cs="Arial"/>
                <w:b w:val="0"/>
                <w:i w:val="0"/>
                <w:sz w:val="17"/>
              </w:rPr>
              <w:t>16.8.10.2 / 16.8.11.2</w:t>
            </w:r>
          </w:p>
        </w:tc>
      </w:tr>
      <w:tr>
        <w:tc>
          <w:tcPr>
            <w:tcW w:type="dxa" w:w="3213"/>
          </w:tcPr>
          <w:p>
            <w:pPr>
              <w:spacing w:after="20" w:before="20" w:line="240" w:lineRule="auto"/>
            </w:pPr>
            <w:r/>
            <w:r>
              <w:rPr>
                <w:rFonts w:ascii="Arial" w:hAnsi="Arial" w:cs="Arial"/>
                <w:b w:val="0"/>
                <w:i w:val="0"/>
                <w:sz w:val="17"/>
              </w:rPr>
              <w:t>Financing</w:t>
            </w:r>
          </w:p>
        </w:tc>
        <w:tc>
          <w:tcPr>
            <w:tcW w:type="dxa" w:w="3213"/>
          </w:tcPr>
          <w:p>
            <w:pPr>
              <w:spacing w:after="20" w:before="20" w:line="240" w:lineRule="auto"/>
            </w:pPr>
            <w:r/>
            <w:r>
              <w:rPr>
                <w:rFonts w:ascii="Arial" w:hAnsi="Arial" w:cs="Arial"/>
                <w:b w:val="0"/>
                <w:i w:val="0"/>
                <w:sz w:val="17"/>
              </w:rPr>
              <w:t>Buyer (borrower) / Seller</w:t>
            </w:r>
          </w:p>
        </w:tc>
        <w:tc>
          <w:tcPr>
            <w:tcW w:type="dxa" w:w="3213"/>
          </w:tcPr>
          <w:p>
            <w:pPr>
              <w:spacing w:after="20" w:before="20" w:line="240" w:lineRule="auto"/>
            </w:pPr>
            <w:r/>
            <w:r>
              <w:rPr>
                <w:rFonts w:ascii="Arial" w:hAnsi="Arial" w:cs="Arial"/>
                <w:b w:val="0"/>
                <w:i w:val="0"/>
                <w:sz w:val="17"/>
              </w:rPr>
              <w:t>16.9.3 / 16.10</w:t>
            </w:r>
          </w:p>
        </w:tc>
      </w:tr>
      <w:tr>
        <w:tc>
          <w:tcPr>
            <w:tcW w:type="dxa" w:w="3213"/>
          </w:tcPr>
          <w:p>
            <w:pPr>
              <w:spacing w:after="20" w:before="20" w:line="240" w:lineRule="auto"/>
            </w:pPr>
            <w:r/>
            <w:r>
              <w:rPr>
                <w:rFonts w:ascii="Arial" w:hAnsi="Arial" w:cs="Arial"/>
                <w:b w:val="0"/>
                <w:i w:val="0"/>
                <w:sz w:val="17"/>
              </w:rPr>
              <w:t>Financing Opportunities</w:t>
            </w:r>
          </w:p>
        </w:tc>
        <w:tc>
          <w:tcPr>
            <w:tcW w:type="dxa" w:w="3213"/>
          </w:tcPr>
          <w:p>
            <w:pPr>
              <w:spacing w:after="20" w:before="20" w:line="240" w:lineRule="auto"/>
            </w:pPr>
            <w:r/>
            <w:r>
              <w:rPr>
                <w:rFonts w:ascii="Arial" w:hAnsi="Arial" w:cs="Arial"/>
                <w:b w:val="0"/>
                <w:i w:val="0"/>
                <w:sz w:val="17"/>
              </w:rPr>
              <w:t>Bank / PFI</w:t>
            </w:r>
          </w:p>
        </w:tc>
        <w:tc>
          <w:tcPr>
            <w:tcW w:type="dxa" w:w="3213"/>
          </w:tcPr>
          <w:p>
            <w:pPr>
              <w:spacing w:after="20" w:before="20" w:line="240" w:lineRule="auto"/>
            </w:pPr>
            <w:r/>
            <w:r>
              <w:rPr>
                <w:rFonts w:ascii="Arial" w:hAnsi="Arial" w:cs="Arial"/>
                <w:b w:val="0"/>
                <w:i w:val="0"/>
                <w:sz w:val="17"/>
              </w:rPr>
              <w:t>16.8.10.2 / 16.8.11.2</w:t>
            </w:r>
          </w:p>
        </w:tc>
      </w:tr>
      <w:tr>
        <w:tc>
          <w:tcPr>
            <w:tcW w:type="dxa" w:w="3213"/>
          </w:tcPr>
          <w:p>
            <w:pPr>
              <w:spacing w:after="20" w:before="20" w:line="240" w:lineRule="auto"/>
            </w:pPr>
            <w:r/>
            <w:r>
              <w:rPr>
                <w:rFonts w:ascii="Arial" w:hAnsi="Arial" w:cs="Arial"/>
                <w:b w:val="0"/>
                <w:i w:val="0"/>
                <w:sz w:val="17"/>
              </w:rPr>
              <w:t>Focus Mode</w:t>
            </w:r>
          </w:p>
        </w:tc>
        <w:tc>
          <w:tcPr>
            <w:tcW w:type="dxa" w:w="3213"/>
          </w:tcPr>
          <w:p>
            <w:pPr>
              <w:spacing w:after="20" w:before="20" w:line="240" w:lineRule="auto"/>
            </w:pPr>
            <w:r/>
            <w:r>
              <w:rPr>
                <w:rFonts w:ascii="Arial" w:hAnsi="Arial" w:cs="Arial"/>
                <w:b w:val="0"/>
                <w:i w:val="0"/>
                <w:sz w:val="17"/>
              </w:rPr>
              <w:t>All (Smart Inbox)</w:t>
            </w:r>
          </w:p>
        </w:tc>
        <w:tc>
          <w:tcPr>
            <w:tcW w:type="dxa" w:w="3213"/>
          </w:tcPr>
          <w:p>
            <w:pPr>
              <w:spacing w:after="20" w:before="20" w:line="240" w:lineRule="auto"/>
            </w:pPr>
            <w:r/>
            <w:r>
              <w:rPr>
                <w:rFonts w:ascii="Arial" w:hAnsi="Arial" w:cs="Arial"/>
                <w:b w:val="0"/>
                <w:i w:val="0"/>
                <w:sz w:val="17"/>
              </w:rPr>
              <w:t>16.14.13</w:t>
            </w:r>
          </w:p>
        </w:tc>
      </w:tr>
      <w:tr>
        <w:tc>
          <w:tcPr>
            <w:tcW w:type="dxa" w:w="3213"/>
          </w:tcPr>
          <w:p>
            <w:pPr>
              <w:spacing w:after="20" w:before="20" w:line="240" w:lineRule="auto"/>
            </w:pPr>
            <w:r/>
            <w:r>
              <w:rPr>
                <w:rFonts w:ascii="Arial" w:hAnsi="Arial" w:cs="Arial"/>
                <w:b w:val="0"/>
                <w:i w:val="0"/>
                <w:sz w:val="17"/>
              </w:rPr>
              <w:t>Forwarder Console</w:t>
            </w:r>
          </w:p>
        </w:tc>
        <w:tc>
          <w:tcPr>
            <w:tcW w:type="dxa" w:w="3213"/>
          </w:tcPr>
          <w:p>
            <w:pPr>
              <w:spacing w:after="20" w:before="20" w:line="240" w:lineRule="auto"/>
            </w:pPr>
            <w:r/>
            <w:r>
              <w:rPr>
                <w:rFonts w:ascii="Arial" w:hAnsi="Arial" w:cs="Arial"/>
                <w:b w:val="0"/>
                <w:i w:val="0"/>
                <w:sz w:val="17"/>
              </w:rPr>
              <w:t>LSP (forwarding)</w:t>
            </w:r>
          </w:p>
        </w:tc>
        <w:tc>
          <w:tcPr>
            <w:tcW w:type="dxa" w:w="3213"/>
          </w:tcPr>
          <w:p>
            <w:pPr>
              <w:spacing w:after="20" w:before="20" w:line="240" w:lineRule="auto"/>
            </w:pPr>
            <w:r/>
            <w:r>
              <w:rPr>
                <w:rFonts w:ascii="Arial" w:hAnsi="Arial" w:cs="Arial"/>
                <w:b w:val="0"/>
                <w:i w:val="0"/>
                <w:sz w:val="17"/>
              </w:rPr>
              <w:t>16.11.3</w:t>
            </w:r>
          </w:p>
        </w:tc>
      </w:tr>
      <w:tr>
        <w:tc>
          <w:tcPr>
            <w:tcW w:type="dxa" w:w="3213"/>
          </w:tcPr>
          <w:p>
            <w:pPr>
              <w:spacing w:after="20" w:before="20" w:line="240" w:lineRule="auto"/>
            </w:pPr>
            <w:r/>
            <w:r>
              <w:rPr>
                <w:rFonts w:ascii="Arial" w:hAnsi="Arial" w:cs="Arial"/>
                <w:b w:val="0"/>
                <w:i w:val="0"/>
                <w:sz w:val="17"/>
              </w:rPr>
              <w:t>Freight Invoices</w:t>
            </w:r>
          </w:p>
        </w:tc>
        <w:tc>
          <w:tcPr>
            <w:tcW w:type="dxa" w:w="3213"/>
          </w:tcPr>
          <w:p>
            <w:pPr>
              <w:spacing w:after="20" w:before="20" w:line="240" w:lineRule="auto"/>
            </w:pPr>
            <w:r/>
            <w:r>
              <w:rPr>
                <w:rFonts w:ascii="Arial" w:hAnsi="Arial" w:cs="Arial"/>
                <w:b w:val="0"/>
                <w:i w:val="0"/>
                <w:sz w:val="17"/>
              </w:rPr>
              <w:t>SHIP</w:t>
            </w:r>
          </w:p>
        </w:tc>
        <w:tc>
          <w:tcPr>
            <w:tcW w:type="dxa" w:w="3213"/>
          </w:tcPr>
          <w:p>
            <w:pPr>
              <w:spacing w:after="20" w:before="20" w:line="240" w:lineRule="auto"/>
            </w:pPr>
            <w:r/>
            <w:r>
              <w:rPr>
                <w:rFonts w:ascii="Arial" w:hAnsi="Arial" w:cs="Arial"/>
                <w:b w:val="0"/>
                <w:i w:val="0"/>
                <w:sz w:val="17"/>
              </w:rPr>
              <w:t>16.12.3</w:t>
            </w:r>
          </w:p>
        </w:tc>
      </w:tr>
      <w:tr>
        <w:tc>
          <w:tcPr>
            <w:tcW w:type="dxa" w:w="3213"/>
          </w:tcPr>
          <w:p>
            <w:pPr>
              <w:spacing w:after="20" w:before="20" w:line="240" w:lineRule="auto"/>
            </w:pPr>
            <w:r/>
            <w:r>
              <w:rPr>
                <w:rFonts w:ascii="Arial" w:hAnsi="Arial" w:cs="Arial"/>
                <w:b w:val="0"/>
                <w:i w:val="0"/>
                <w:sz w:val="17"/>
              </w:rPr>
              <w:t>Governor Log &amp; Audit</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Help Center</w:t>
            </w:r>
          </w:p>
        </w:tc>
        <w:tc>
          <w:tcPr>
            <w:tcW w:type="dxa" w:w="3213"/>
          </w:tcPr>
          <w:p>
            <w:pPr>
              <w:spacing w:after="20" w:before="20" w:line="240" w:lineRule="auto"/>
            </w:pPr>
            <w:r/>
            <w:r>
              <w:rPr>
                <w:rFonts w:ascii="Arial" w:hAnsi="Arial" w:cs="Arial"/>
                <w:b w:val="0"/>
                <w:i w:val="0"/>
                <w:sz w:val="17"/>
              </w:rPr>
              <w:t>All</w:t>
            </w:r>
          </w:p>
        </w:tc>
        <w:tc>
          <w:tcPr>
            <w:tcW w:type="dxa" w:w="3213"/>
          </w:tcPr>
          <w:p>
            <w:pPr>
              <w:spacing w:after="20" w:before="20" w:line="240" w:lineRule="auto"/>
            </w:pPr>
            <w:r/>
            <w:r>
              <w:rPr>
                <w:rFonts w:ascii="Arial" w:hAnsi="Arial" w:cs="Arial"/>
                <w:b w:val="0"/>
                <w:i w:val="0"/>
                <w:sz w:val="17"/>
              </w:rPr>
              <w:t>16.14.14</w:t>
            </w:r>
          </w:p>
        </w:tc>
      </w:tr>
      <w:tr>
        <w:tc>
          <w:tcPr>
            <w:tcW w:type="dxa" w:w="3213"/>
          </w:tcPr>
          <w:p>
            <w:pPr>
              <w:spacing w:after="20" w:before="20" w:line="240" w:lineRule="auto"/>
            </w:pPr>
            <w:r/>
            <w:r>
              <w:rPr>
                <w:rFonts w:ascii="Arial" w:hAnsi="Arial" w:cs="Arial"/>
                <w:b w:val="0"/>
                <w:i w:val="0"/>
                <w:sz w:val="17"/>
              </w:rPr>
              <w:t>Incidents</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Invoices &amp; Payments</w:t>
            </w:r>
          </w:p>
        </w:tc>
        <w:tc>
          <w:tcPr>
            <w:tcW w:type="dxa" w:w="3213"/>
          </w:tcPr>
          <w:p>
            <w:pPr>
              <w:spacing w:after="20" w:before="20" w:line="240" w:lineRule="auto"/>
            </w:pPr>
            <w:r/>
            <w:r>
              <w:rPr>
                <w:rFonts w:ascii="Arial" w:hAnsi="Arial" w:cs="Arial"/>
                <w:b w:val="0"/>
                <w:i w:val="0"/>
                <w:sz w:val="17"/>
              </w:rPr>
              <w:t>Buyer, Seller, LSP, LAB, QC, CBR</w:t>
            </w:r>
          </w:p>
        </w:tc>
        <w:tc>
          <w:tcPr>
            <w:tcW w:type="dxa" w:w="3213"/>
          </w:tcPr>
          <w:p>
            <w:pPr>
              <w:spacing w:after="20" w:before="20" w:line="240" w:lineRule="auto"/>
            </w:pPr>
            <w:r/>
            <w:r>
              <w:rPr>
                <w:rFonts w:ascii="Arial" w:hAnsi="Arial" w:cs="Arial"/>
                <w:b w:val="0"/>
                <w:i w:val="0"/>
                <w:sz w:val="17"/>
              </w:rPr>
              <w:t>per-portal</w:t>
            </w:r>
          </w:p>
        </w:tc>
      </w:tr>
      <w:tr>
        <w:tc>
          <w:tcPr>
            <w:tcW w:type="dxa" w:w="3213"/>
          </w:tcPr>
          <w:p>
            <w:pPr>
              <w:spacing w:after="20" w:before="20" w:line="240" w:lineRule="auto"/>
            </w:pPr>
            <w:r/>
            <w:r>
              <w:rPr>
                <w:rFonts w:ascii="Arial" w:hAnsi="Arial" w:cs="Arial"/>
                <w:b w:val="0"/>
                <w:i w:val="0"/>
                <w:sz w:val="17"/>
              </w:rPr>
              <w:t>Inspection Jobs</w:t>
            </w:r>
          </w:p>
        </w:tc>
        <w:tc>
          <w:tcPr>
            <w:tcW w:type="dxa" w:w="3213"/>
          </w:tcPr>
          <w:p>
            <w:pPr>
              <w:spacing w:after="20" w:before="20" w:line="240" w:lineRule="auto"/>
            </w:pPr>
            <w:r/>
            <w:r>
              <w:rPr>
                <w:rFonts w:ascii="Arial" w:hAnsi="Arial" w:cs="Arial"/>
                <w:b w:val="0"/>
                <w:i w:val="0"/>
                <w:sz w:val="17"/>
              </w:rPr>
              <w:t>QC</w:t>
            </w:r>
          </w:p>
        </w:tc>
        <w:tc>
          <w:tcPr>
            <w:tcW w:type="dxa" w:w="3213"/>
          </w:tcPr>
          <w:p>
            <w:pPr>
              <w:spacing w:after="20" w:before="20" w:line="240" w:lineRule="auto"/>
            </w:pPr>
            <w:r/>
            <w:r>
              <w:rPr>
                <w:rFonts w:ascii="Arial" w:hAnsi="Arial" w:cs="Arial"/>
                <w:b w:val="0"/>
                <w:i w:val="0"/>
                <w:sz w:val="17"/>
              </w:rPr>
              <w:t>16.8.8.2</w:t>
            </w:r>
          </w:p>
        </w:tc>
      </w:tr>
      <w:tr>
        <w:tc>
          <w:tcPr>
            <w:tcW w:type="dxa" w:w="3213"/>
          </w:tcPr>
          <w:p>
            <w:pPr>
              <w:spacing w:after="20" w:before="20" w:line="240" w:lineRule="auto"/>
            </w:pPr>
            <w:r/>
            <w:r>
              <w:rPr>
                <w:rFonts w:ascii="Arial" w:hAnsi="Arial" w:cs="Arial"/>
                <w:b w:val="0"/>
                <w:i w:val="0"/>
                <w:sz w:val="17"/>
              </w:rPr>
              <w:t>Integrations</w:t>
            </w:r>
          </w:p>
        </w:tc>
        <w:tc>
          <w:tcPr>
            <w:tcW w:type="dxa" w:w="3213"/>
          </w:tcPr>
          <w:p>
            <w:pPr>
              <w:spacing w:after="20" w:before="20" w:line="240" w:lineRule="auto"/>
            </w:pPr>
            <w:r/>
            <w:r>
              <w:rPr>
                <w:rFonts w:ascii="Arial" w:hAnsi="Arial" w:cs="Arial"/>
                <w:b w:val="0"/>
                <w:i w:val="0"/>
                <w:sz w:val="17"/>
              </w:rPr>
              <w:t>Government, SHIP, MP</w:t>
            </w:r>
          </w:p>
        </w:tc>
        <w:tc>
          <w:tcPr>
            <w:tcW w:type="dxa" w:w="3213"/>
          </w:tcPr>
          <w:p>
            <w:pPr>
              <w:spacing w:after="20" w:before="20" w:line="240" w:lineRule="auto"/>
            </w:pPr>
            <w:r/>
            <w:r>
              <w:rPr>
                <w:rFonts w:ascii="Arial" w:hAnsi="Arial" w:cs="Arial"/>
                <w:b w:val="0"/>
                <w:i w:val="0"/>
                <w:sz w:val="17"/>
              </w:rPr>
              <w:t>per-portal</w:t>
            </w:r>
          </w:p>
        </w:tc>
      </w:tr>
      <w:tr>
        <w:tc>
          <w:tcPr>
            <w:tcW w:type="dxa" w:w="3213"/>
          </w:tcPr>
          <w:p>
            <w:pPr>
              <w:spacing w:after="20" w:before="20" w:line="240" w:lineRule="auto"/>
            </w:pPr>
            <w:r/>
            <w:r>
              <w:rPr>
                <w:rFonts w:ascii="Arial" w:hAnsi="Arial" w:cs="Arial"/>
                <w:b w:val="0"/>
                <w:i w:val="0"/>
                <w:sz w:val="17"/>
              </w:rPr>
              <w:t>Internal Admin</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Jurisdiction Matrix</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Leads Management</w:t>
            </w:r>
          </w:p>
        </w:tc>
        <w:tc>
          <w:tcPr>
            <w:tcW w:type="dxa" w:w="3213"/>
          </w:tcPr>
          <w:p>
            <w:pPr>
              <w:spacing w:after="20" w:before="20" w:line="240" w:lineRule="auto"/>
            </w:pPr>
            <w:r/>
            <w:r>
              <w:rPr>
                <w:rFonts w:ascii="Arial" w:hAnsi="Arial" w:cs="Arial"/>
                <w:b w:val="0"/>
                <w:i w:val="0"/>
                <w:sz w:val="17"/>
              </w:rPr>
              <w:t>Marketplace Partner</w:t>
            </w:r>
          </w:p>
        </w:tc>
        <w:tc>
          <w:tcPr>
            <w:tcW w:type="dxa" w:w="3213"/>
          </w:tcPr>
          <w:p>
            <w:pPr>
              <w:spacing w:after="20" w:before="20" w:line="240" w:lineRule="auto"/>
            </w:pPr>
            <w:r/>
            <w:r>
              <w:rPr>
                <w:rFonts w:ascii="Arial" w:hAnsi="Arial" w:cs="Arial"/>
                <w:b w:val="0"/>
                <w:i w:val="0"/>
                <w:sz w:val="17"/>
              </w:rPr>
              <w:t>16.8.14.3</w:t>
            </w:r>
          </w:p>
        </w:tc>
      </w:tr>
      <w:tr>
        <w:tc>
          <w:tcPr>
            <w:tcW w:type="dxa" w:w="3213"/>
          </w:tcPr>
          <w:p>
            <w:pPr>
              <w:spacing w:after="20" w:before="20" w:line="240" w:lineRule="auto"/>
            </w:pPr>
            <w:r/>
            <w:r>
              <w:rPr>
                <w:rFonts w:ascii="Arial" w:hAnsi="Arial" w:cs="Arial"/>
                <w:b w:val="0"/>
                <w:i w:val="0"/>
                <w:sz w:val="17"/>
              </w:rPr>
              <w:t>Live Trade Monitor</w:t>
            </w:r>
          </w:p>
        </w:tc>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16.8.12.3</w:t>
            </w:r>
          </w:p>
        </w:tc>
      </w:tr>
      <w:tr>
        <w:tc>
          <w:tcPr>
            <w:tcW w:type="dxa" w:w="3213"/>
          </w:tcPr>
          <w:p>
            <w:pPr>
              <w:spacing w:after="20" w:before="20" w:line="240" w:lineRule="auto"/>
            </w:pPr>
            <w:r/>
            <w:r>
              <w:rPr>
                <w:rFonts w:ascii="Arial" w:hAnsi="Arial" w:cs="Arial"/>
                <w:b w:val="0"/>
                <w:i w:val="0"/>
                <w:sz w:val="17"/>
              </w:rPr>
              <w:t>Logistics Builder</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Marketplace Partners</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Multi-Agency Workflow</w:t>
            </w:r>
          </w:p>
        </w:tc>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16.8.12.3</w:t>
            </w:r>
          </w:p>
        </w:tc>
      </w:tr>
      <w:tr>
        <w:tc>
          <w:tcPr>
            <w:tcW w:type="dxa" w:w="3213"/>
          </w:tcPr>
          <w:p>
            <w:pPr>
              <w:spacing w:after="20" w:before="20" w:line="240" w:lineRule="auto"/>
            </w:pPr>
            <w:r/>
            <w:r>
              <w:rPr>
                <w:rFonts w:ascii="Arial" w:hAnsi="Arial" w:cs="Arial"/>
                <w:b w:val="0"/>
                <w:i w:val="0"/>
                <w:sz w:val="17"/>
              </w:rPr>
              <w:t>Multi-shipment Schedule Card</w:t>
            </w:r>
          </w:p>
        </w:tc>
        <w:tc>
          <w:tcPr>
            <w:tcW w:type="dxa" w:w="3213"/>
          </w:tcPr>
          <w:p>
            <w:pPr>
              <w:spacing w:after="20" w:before="20" w:line="240" w:lineRule="auto"/>
            </w:pPr>
            <w:r/>
            <w:r>
              <w:rPr>
                <w:rFonts w:ascii="Arial" w:hAnsi="Arial" w:cs="Arial"/>
                <w:b w:val="0"/>
                <w:i w:val="0"/>
                <w:sz w:val="17"/>
              </w:rPr>
              <w:t>TCC (all)</w:t>
            </w:r>
          </w:p>
        </w:tc>
        <w:tc>
          <w:tcPr>
            <w:tcW w:type="dxa" w:w="3213"/>
          </w:tcPr>
          <w:p>
            <w:pPr>
              <w:spacing w:after="20" w:before="20" w:line="240" w:lineRule="auto"/>
            </w:pPr>
            <w:r/>
            <w:r>
              <w:rPr>
                <w:rFonts w:ascii="Arial" w:hAnsi="Arial" w:cs="Arial"/>
                <w:b w:val="0"/>
                <w:i w:val="0"/>
                <w:sz w:val="17"/>
              </w:rPr>
              <w:t>16.3.2</w:t>
            </w:r>
          </w:p>
        </w:tc>
      </w:tr>
      <w:tr>
        <w:tc>
          <w:tcPr>
            <w:tcW w:type="dxa" w:w="3213"/>
          </w:tcPr>
          <w:p>
            <w:pPr>
              <w:spacing w:after="20" w:before="20" w:line="240" w:lineRule="auto"/>
            </w:pPr>
            <w:r/>
            <w:r>
              <w:rPr>
                <w:rFonts w:ascii="Arial" w:hAnsi="Arial" w:cs="Arial"/>
                <w:b w:val="0"/>
                <w:i w:val="0"/>
                <w:sz w:val="17"/>
              </w:rPr>
              <w:t>My Bids &amp; Active Loans</w:t>
            </w:r>
          </w:p>
        </w:tc>
        <w:tc>
          <w:tcPr>
            <w:tcW w:type="dxa" w:w="3213"/>
          </w:tcPr>
          <w:p>
            <w:pPr>
              <w:spacing w:after="20" w:before="20" w:line="240" w:lineRule="auto"/>
            </w:pPr>
            <w:r/>
            <w:r>
              <w:rPr>
                <w:rFonts w:ascii="Arial" w:hAnsi="Arial" w:cs="Arial"/>
                <w:b w:val="0"/>
                <w:i w:val="0"/>
                <w:sz w:val="17"/>
              </w:rPr>
              <w:t>Bank / PFI</w:t>
            </w:r>
          </w:p>
        </w:tc>
        <w:tc>
          <w:tcPr>
            <w:tcW w:type="dxa" w:w="3213"/>
          </w:tcPr>
          <w:p>
            <w:pPr>
              <w:spacing w:after="20" w:before="20" w:line="240" w:lineRule="auto"/>
            </w:pPr>
            <w:r/>
            <w:r>
              <w:rPr>
                <w:rFonts w:ascii="Arial" w:hAnsi="Arial" w:cs="Arial"/>
                <w:b w:val="0"/>
                <w:i w:val="0"/>
                <w:sz w:val="17"/>
              </w:rPr>
              <w:t>16.8.10.2 / 16.8.11.2</w:t>
            </w:r>
          </w:p>
        </w:tc>
      </w:tr>
      <w:tr>
        <w:tc>
          <w:tcPr>
            <w:tcW w:type="dxa" w:w="3213"/>
          </w:tcPr>
          <w:p>
            <w:pPr>
              <w:spacing w:after="20" w:before="20" w:line="240" w:lineRule="auto"/>
            </w:pPr>
            <w:r/>
            <w:r>
              <w:rPr>
                <w:rFonts w:ascii="Arial" w:hAnsi="Arial" w:cs="Arial"/>
                <w:b w:val="0"/>
                <w:i w:val="0"/>
                <w:sz w:val="17"/>
              </w:rPr>
              <w:t>New Trade Request</w:t>
            </w:r>
          </w:p>
        </w:tc>
        <w:tc>
          <w:tcPr>
            <w:tcW w:type="dxa" w:w="3213"/>
          </w:tcPr>
          <w:p>
            <w:pPr>
              <w:spacing w:after="20" w:before="20" w:line="240" w:lineRule="auto"/>
            </w:pPr>
            <w:r/>
            <w:r>
              <w:rPr>
                <w:rFonts w:ascii="Arial" w:hAnsi="Arial" w:cs="Arial"/>
                <w:b w:val="0"/>
                <w:i w:val="0"/>
                <w:sz w:val="17"/>
              </w:rPr>
              <w:t>Buyer</w:t>
            </w:r>
          </w:p>
        </w:tc>
        <w:tc>
          <w:tcPr>
            <w:tcW w:type="dxa" w:w="3213"/>
          </w:tcPr>
          <w:p>
            <w:pPr>
              <w:spacing w:after="20" w:before="20" w:line="240" w:lineRule="auto"/>
            </w:pPr>
            <w:r/>
            <w:r>
              <w:rPr>
                <w:rFonts w:ascii="Arial" w:hAnsi="Arial" w:cs="Arial"/>
                <w:b w:val="0"/>
                <w:i w:val="0"/>
                <w:sz w:val="17"/>
              </w:rPr>
              <w:t>16.9.3</w:t>
            </w:r>
          </w:p>
        </w:tc>
      </w:tr>
      <w:tr>
        <w:tc>
          <w:tcPr>
            <w:tcW w:type="dxa" w:w="3213"/>
          </w:tcPr>
          <w:p>
            <w:pPr>
              <w:spacing w:after="20" w:before="20" w:line="240" w:lineRule="auto"/>
            </w:pPr>
            <w:r/>
            <w:r>
              <w:rPr>
                <w:rFonts w:ascii="Arial" w:hAnsi="Arial" w:cs="Arial"/>
                <w:b w:val="0"/>
                <w:i w:val="0"/>
                <w:sz w:val="17"/>
              </w:rPr>
              <w:t>Notification Center</w:t>
            </w:r>
          </w:p>
        </w:tc>
        <w:tc>
          <w:tcPr>
            <w:tcW w:type="dxa" w:w="3213"/>
          </w:tcPr>
          <w:p>
            <w:pPr>
              <w:spacing w:after="20" w:before="20" w:line="240" w:lineRule="auto"/>
            </w:pPr>
            <w:r/>
            <w:r>
              <w:rPr>
                <w:rFonts w:ascii="Arial" w:hAnsi="Arial" w:cs="Arial"/>
                <w:b w:val="0"/>
                <w:i w:val="0"/>
                <w:sz w:val="17"/>
              </w:rPr>
              <w:t>All</w:t>
            </w:r>
          </w:p>
        </w:tc>
        <w:tc>
          <w:tcPr>
            <w:tcW w:type="dxa" w:w="3213"/>
          </w:tcPr>
          <w:p>
            <w:pPr>
              <w:spacing w:after="20" w:before="20" w:line="240" w:lineRule="auto"/>
            </w:pPr>
            <w:r/>
            <w:r>
              <w:rPr>
                <w:rFonts w:ascii="Arial" w:hAnsi="Arial" w:cs="Arial"/>
                <w:b w:val="0"/>
                <w:i w:val="0"/>
                <w:sz w:val="17"/>
              </w:rPr>
              <w:t>16.14.12</w:t>
            </w:r>
          </w:p>
        </w:tc>
      </w:tr>
      <w:tr>
        <w:tc>
          <w:tcPr>
            <w:tcW w:type="dxa" w:w="3213"/>
          </w:tcPr>
          <w:p>
            <w:pPr>
              <w:spacing w:after="20" w:before="20" w:line="240" w:lineRule="auto"/>
            </w:pPr>
            <w:r/>
            <w:r>
              <w:rPr>
                <w:rFonts w:ascii="Arial" w:hAnsi="Arial" w:cs="Arial"/>
                <w:b w:val="0"/>
                <w:i w:val="0"/>
                <w:sz w:val="17"/>
              </w:rPr>
              <w:t>Pending Requests</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Performance</w:t>
            </w:r>
          </w:p>
        </w:tc>
        <w:tc>
          <w:tcPr>
            <w:tcW w:type="dxa" w:w="3213"/>
          </w:tcPr>
          <w:p>
            <w:pPr>
              <w:spacing w:after="20" w:before="20" w:line="240" w:lineRule="auto"/>
            </w:pPr>
            <w:r/>
            <w:r>
              <w:rPr>
                <w:rFonts w:ascii="Arial" w:hAnsi="Arial" w:cs="Arial"/>
                <w:b w:val="0"/>
                <w:i w:val="0"/>
                <w:sz w:val="17"/>
              </w:rPr>
              <w:t>LSP, SHIP, LAB, QC, CBR, Bank, PFI</w:t>
            </w:r>
          </w:p>
        </w:tc>
        <w:tc>
          <w:tcPr>
            <w:tcW w:type="dxa" w:w="3213"/>
          </w:tcPr>
          <w:p>
            <w:pPr>
              <w:spacing w:after="20" w:before="20" w:line="240" w:lineRule="auto"/>
            </w:pPr>
            <w:r/>
            <w:r>
              <w:rPr>
                <w:rFonts w:ascii="Arial" w:hAnsi="Arial" w:cs="Arial"/>
                <w:b w:val="0"/>
                <w:i w:val="0"/>
                <w:sz w:val="17"/>
              </w:rPr>
              <w:t>per-portal</w:t>
            </w:r>
          </w:p>
        </w:tc>
      </w:tr>
      <w:tr>
        <w:tc>
          <w:tcPr>
            <w:tcW w:type="dxa" w:w="3213"/>
          </w:tcPr>
          <w:p>
            <w:pPr>
              <w:spacing w:after="20" w:before="20" w:line="240" w:lineRule="auto"/>
            </w:pPr>
            <w:r/>
            <w:r>
              <w:rPr>
                <w:rFonts w:ascii="Arial" w:hAnsi="Arial" w:cs="Arial"/>
                <w:b w:val="0"/>
                <w:i w:val="0"/>
                <w:sz w:val="17"/>
              </w:rPr>
              <w:t>Permit Issuance</w:t>
            </w:r>
          </w:p>
        </w:tc>
        <w:tc>
          <w:tcPr>
            <w:tcW w:type="dxa" w:w="3213"/>
          </w:tcPr>
          <w:p>
            <w:pPr>
              <w:spacing w:after="20" w:before="20" w:line="240" w:lineRule="auto"/>
            </w:pPr>
            <w:r/>
            <w:r>
              <w:rPr>
                <w:rFonts w:ascii="Arial" w:hAnsi="Arial" w:cs="Arial"/>
                <w:b w:val="0"/>
                <w:i w:val="0"/>
                <w:sz w:val="17"/>
              </w:rPr>
              <w:t>Government</w:t>
            </w:r>
          </w:p>
        </w:tc>
        <w:tc>
          <w:tcPr>
            <w:tcW w:type="dxa" w:w="3213"/>
          </w:tcPr>
          <w:p>
            <w:pPr>
              <w:spacing w:after="20" w:before="20" w:line="240" w:lineRule="auto"/>
            </w:pPr>
            <w:r/>
            <w:r>
              <w:rPr>
                <w:rFonts w:ascii="Arial" w:hAnsi="Arial" w:cs="Arial"/>
                <w:b w:val="0"/>
                <w:i w:val="0"/>
                <w:sz w:val="17"/>
              </w:rPr>
              <w:t>16.8.12.3</w:t>
            </w:r>
          </w:p>
        </w:tc>
      </w:tr>
      <w:tr>
        <w:tc>
          <w:tcPr>
            <w:tcW w:type="dxa" w:w="3213"/>
          </w:tcPr>
          <w:p>
            <w:pPr>
              <w:spacing w:after="20" w:before="20" w:line="240" w:lineRule="auto"/>
            </w:pPr>
            <w:r/>
            <w:r>
              <w:rPr>
                <w:rFonts w:ascii="Arial" w:hAnsi="Arial" w:cs="Arial"/>
                <w:b w:val="0"/>
                <w:i w:val="0"/>
                <w:sz w:val="17"/>
              </w:rPr>
              <w:t>Platform Health</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Portfolio &amp; Compliance / Performance</w:t>
            </w:r>
          </w:p>
        </w:tc>
        <w:tc>
          <w:tcPr>
            <w:tcW w:type="dxa" w:w="3213"/>
          </w:tcPr>
          <w:p>
            <w:pPr>
              <w:spacing w:after="20" w:before="20" w:line="240" w:lineRule="auto"/>
            </w:pPr>
            <w:r/>
            <w:r>
              <w:rPr>
                <w:rFonts w:ascii="Arial" w:hAnsi="Arial" w:cs="Arial"/>
                <w:b w:val="0"/>
                <w:i w:val="0"/>
                <w:sz w:val="17"/>
              </w:rPr>
              <w:t>Bank / PFI</w:t>
            </w:r>
          </w:p>
        </w:tc>
        <w:tc>
          <w:tcPr>
            <w:tcW w:type="dxa" w:w="3213"/>
          </w:tcPr>
          <w:p>
            <w:pPr>
              <w:spacing w:after="20" w:before="20" w:line="240" w:lineRule="auto"/>
            </w:pPr>
            <w:r/>
            <w:r>
              <w:rPr>
                <w:rFonts w:ascii="Arial" w:hAnsi="Arial" w:cs="Arial"/>
                <w:b w:val="0"/>
                <w:i w:val="0"/>
                <w:sz w:val="17"/>
              </w:rPr>
              <w:t>16.8.10.2 / 16.8.11.2</w:t>
            </w:r>
          </w:p>
        </w:tc>
      </w:tr>
      <w:tr>
        <w:tc>
          <w:tcPr>
            <w:tcW w:type="dxa" w:w="3213"/>
          </w:tcPr>
          <w:p>
            <w:pPr>
              <w:spacing w:after="20" w:before="20" w:line="240" w:lineRule="auto"/>
            </w:pPr>
            <w:r/>
            <w:r>
              <w:rPr>
                <w:rFonts w:ascii="Arial" w:hAnsi="Arial" w:cs="Arial"/>
                <w:b w:val="0"/>
                <w:i w:val="0"/>
                <w:sz w:val="17"/>
              </w:rPr>
              <w:t>Bank Manager</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Quote Review &amp; Negotiation</w:t>
            </w:r>
          </w:p>
        </w:tc>
        <w:tc>
          <w:tcPr>
            <w:tcW w:type="dxa" w:w="3213"/>
          </w:tcPr>
          <w:p>
            <w:pPr>
              <w:spacing w:after="20" w:before="20" w:line="240" w:lineRule="auto"/>
            </w:pPr>
            <w:r/>
            <w:r>
              <w:rPr>
                <w:rFonts w:ascii="Arial" w:hAnsi="Arial" w:cs="Arial"/>
                <w:b w:val="0"/>
                <w:i w:val="0"/>
                <w:sz w:val="17"/>
              </w:rPr>
              <w:t>Buyer</w:t>
            </w:r>
          </w:p>
        </w:tc>
        <w:tc>
          <w:tcPr>
            <w:tcW w:type="dxa" w:w="3213"/>
          </w:tcPr>
          <w:p>
            <w:pPr>
              <w:spacing w:after="20" w:before="20" w:line="240" w:lineRule="auto"/>
            </w:pPr>
            <w:r/>
            <w:r>
              <w:rPr>
                <w:rFonts w:ascii="Arial" w:hAnsi="Arial" w:cs="Arial"/>
                <w:b w:val="0"/>
                <w:i w:val="0"/>
                <w:sz w:val="17"/>
              </w:rPr>
              <w:t>16.9.3</w:t>
            </w:r>
          </w:p>
        </w:tc>
      </w:tr>
      <w:tr>
        <w:tc>
          <w:tcPr>
            <w:tcW w:type="dxa" w:w="3213"/>
          </w:tcPr>
          <w:p>
            <w:pPr>
              <w:spacing w:after="20" w:before="20" w:line="240" w:lineRule="auto"/>
            </w:pPr>
            <w:r/>
            <w:r>
              <w:rPr>
                <w:rFonts w:ascii="Arial" w:hAnsi="Arial" w:cs="Arial"/>
                <w:b w:val="0"/>
                <w:i w:val="0"/>
                <w:sz w:val="17"/>
              </w:rPr>
              <w:t>Quote Submission</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16.10.3</w:t>
            </w:r>
          </w:p>
        </w:tc>
      </w:tr>
      <w:tr>
        <w:tc>
          <w:tcPr>
            <w:tcW w:type="dxa" w:w="3213"/>
          </w:tcPr>
          <w:p>
            <w:pPr>
              <w:spacing w:after="20" w:before="20" w:line="240" w:lineRule="auto"/>
            </w:pPr>
            <w:r/>
            <w:r>
              <w:rPr>
                <w:rFonts w:ascii="Arial" w:hAnsi="Arial" w:cs="Arial"/>
                <w:b w:val="0"/>
                <w:i w:val="0"/>
                <w:sz w:val="17"/>
              </w:rPr>
              <w:t>Recent Activity Feed</w:t>
            </w:r>
          </w:p>
        </w:tc>
        <w:tc>
          <w:tcPr>
            <w:tcW w:type="dxa" w:w="3213"/>
          </w:tcPr>
          <w:p>
            <w:pPr>
              <w:spacing w:after="20" w:before="20" w:line="240" w:lineRule="auto"/>
            </w:pPr>
            <w:r/>
            <w:r>
              <w:rPr>
                <w:rFonts w:ascii="Arial" w:hAnsi="Arial" w:cs="Arial"/>
                <w:b w:val="0"/>
                <w:i w:val="0"/>
                <w:sz w:val="17"/>
              </w:rPr>
              <w:t>All (Command Center)</w:t>
            </w:r>
          </w:p>
        </w:tc>
        <w:tc>
          <w:tcPr>
            <w:tcW w:type="dxa" w:w="3213"/>
          </w:tcPr>
          <w:p>
            <w:pPr>
              <w:spacing w:after="20" w:before="20" w:line="240" w:lineRule="auto"/>
            </w:pPr>
            <w:r/>
            <w:r>
              <w:rPr>
                <w:rFonts w:ascii="Arial" w:hAnsi="Arial" w:cs="Arial"/>
                <w:b w:val="0"/>
                <w:i w:val="0"/>
                <w:sz w:val="17"/>
              </w:rPr>
              <w:t>16.13.5</w:t>
            </w:r>
          </w:p>
        </w:tc>
      </w:tr>
      <w:tr>
        <w:tc>
          <w:tcPr>
            <w:tcW w:type="dxa" w:w="3213"/>
          </w:tcPr>
          <w:p>
            <w:pPr>
              <w:spacing w:after="20" w:before="20" w:line="240" w:lineRule="auto"/>
            </w:pPr>
            <w:r/>
            <w:r>
              <w:rPr>
                <w:rFonts w:ascii="Arial" w:hAnsi="Arial" w:cs="Arial"/>
                <w:b w:val="0"/>
                <w:i w:val="0"/>
                <w:sz w:val="17"/>
              </w:rPr>
              <w:t>Re-inspection Requests</w:t>
            </w:r>
          </w:p>
        </w:tc>
        <w:tc>
          <w:tcPr>
            <w:tcW w:type="dxa" w:w="3213"/>
          </w:tcPr>
          <w:p>
            <w:pPr>
              <w:spacing w:after="20" w:before="20" w:line="240" w:lineRule="auto"/>
            </w:pPr>
            <w:r/>
            <w:r>
              <w:rPr>
                <w:rFonts w:ascii="Arial" w:hAnsi="Arial" w:cs="Arial"/>
                <w:b w:val="0"/>
                <w:i w:val="0"/>
                <w:sz w:val="17"/>
              </w:rPr>
              <w:t>QC</w:t>
            </w:r>
          </w:p>
        </w:tc>
        <w:tc>
          <w:tcPr>
            <w:tcW w:type="dxa" w:w="3213"/>
          </w:tcPr>
          <w:p>
            <w:pPr>
              <w:spacing w:after="20" w:before="20" w:line="240" w:lineRule="auto"/>
            </w:pPr>
            <w:r/>
            <w:r>
              <w:rPr>
                <w:rFonts w:ascii="Arial" w:hAnsi="Arial" w:cs="Arial"/>
                <w:b w:val="0"/>
                <w:i w:val="0"/>
                <w:sz w:val="17"/>
              </w:rPr>
              <w:t>16.8.8.2</w:t>
            </w:r>
          </w:p>
        </w:tc>
      </w:tr>
      <w:tr>
        <w:tc>
          <w:tcPr>
            <w:tcW w:type="dxa" w:w="3213"/>
          </w:tcPr>
          <w:p>
            <w:pPr>
              <w:spacing w:after="20" w:before="20" w:line="240" w:lineRule="auto"/>
            </w:pPr>
            <w:r/>
            <w:r>
              <w:rPr>
                <w:rFonts w:ascii="Arial" w:hAnsi="Arial" w:cs="Arial"/>
                <w:b w:val="0"/>
                <w:i w:val="0"/>
                <w:sz w:val="17"/>
              </w:rPr>
              <w:t>Report Submission &amp; Verdicts</w:t>
            </w:r>
          </w:p>
        </w:tc>
        <w:tc>
          <w:tcPr>
            <w:tcW w:type="dxa" w:w="3213"/>
          </w:tcPr>
          <w:p>
            <w:pPr>
              <w:spacing w:after="20" w:before="20" w:line="240" w:lineRule="auto"/>
            </w:pPr>
            <w:r/>
            <w:r>
              <w:rPr>
                <w:rFonts w:ascii="Arial" w:hAnsi="Arial" w:cs="Arial"/>
                <w:b w:val="0"/>
                <w:i w:val="0"/>
                <w:sz w:val="17"/>
              </w:rPr>
              <w:t>QC</w:t>
            </w:r>
          </w:p>
        </w:tc>
        <w:tc>
          <w:tcPr>
            <w:tcW w:type="dxa" w:w="3213"/>
          </w:tcPr>
          <w:p>
            <w:pPr>
              <w:spacing w:after="20" w:before="20" w:line="240" w:lineRule="auto"/>
            </w:pPr>
            <w:r/>
            <w:r>
              <w:rPr>
                <w:rFonts w:ascii="Arial" w:hAnsi="Arial" w:cs="Arial"/>
                <w:b w:val="0"/>
                <w:i w:val="0"/>
                <w:sz w:val="17"/>
              </w:rPr>
              <w:t>16.8.8.2</w:t>
            </w:r>
          </w:p>
        </w:tc>
      </w:tr>
      <w:tr>
        <w:tc>
          <w:tcPr>
            <w:tcW w:type="dxa" w:w="3213"/>
          </w:tcPr>
          <w:p>
            <w:pPr>
              <w:spacing w:after="20" w:before="20" w:line="240" w:lineRule="auto"/>
            </w:pPr>
            <w:r/>
            <w:r>
              <w:rPr>
                <w:rFonts w:ascii="Arial" w:hAnsi="Arial" w:cs="Arial"/>
                <w:b w:val="0"/>
                <w:i w:val="0"/>
                <w:sz w:val="17"/>
              </w:rPr>
              <w:t>Revenue Attribution Disputes</w:t>
            </w:r>
          </w:p>
        </w:tc>
        <w:tc>
          <w:tcPr>
            <w:tcW w:type="dxa" w:w="3213"/>
          </w:tcPr>
          <w:p>
            <w:pPr>
              <w:spacing w:after="20" w:before="20" w:line="240" w:lineRule="auto"/>
            </w:pPr>
            <w:r/>
            <w:r>
              <w:rPr>
                <w:rFonts w:ascii="Arial" w:hAnsi="Arial" w:cs="Arial"/>
                <w:b w:val="0"/>
                <w:i w:val="0"/>
                <w:sz w:val="17"/>
              </w:rPr>
              <w:t>Marketplace Partner</w:t>
            </w:r>
          </w:p>
        </w:tc>
        <w:tc>
          <w:tcPr>
            <w:tcW w:type="dxa" w:w="3213"/>
          </w:tcPr>
          <w:p>
            <w:pPr>
              <w:spacing w:after="20" w:before="20" w:line="240" w:lineRule="auto"/>
            </w:pPr>
            <w:r/>
            <w:r>
              <w:rPr>
                <w:rFonts w:ascii="Arial" w:hAnsi="Arial" w:cs="Arial"/>
                <w:b w:val="0"/>
                <w:i w:val="0"/>
                <w:sz w:val="17"/>
              </w:rPr>
              <w:t>16.8.14.5</w:t>
            </w:r>
          </w:p>
        </w:tc>
      </w:tr>
      <w:tr>
        <w:tc>
          <w:tcPr>
            <w:tcW w:type="dxa" w:w="3213"/>
          </w:tcPr>
          <w:p>
            <w:pPr>
              <w:spacing w:after="20" w:before="20" w:line="240" w:lineRule="auto"/>
            </w:pPr>
            <w:r/>
            <w:r>
              <w:rPr>
                <w:rFonts w:ascii="Arial" w:hAnsi="Arial" w:cs="Arial"/>
                <w:b w:val="0"/>
                <w:i w:val="0"/>
                <w:sz w:val="17"/>
              </w:rPr>
              <w:t>RFQ Inbox</w:t>
            </w:r>
          </w:p>
        </w:tc>
        <w:tc>
          <w:tcPr>
            <w:tcW w:type="dxa" w:w="3213"/>
          </w:tcPr>
          <w:p>
            <w:pPr>
              <w:spacing w:after="20" w:before="20" w:line="240" w:lineRule="auto"/>
            </w:pPr>
            <w:r/>
            <w:r>
              <w:rPr>
                <w:rFonts w:ascii="Arial" w:hAnsi="Arial" w:cs="Arial"/>
                <w:b w:val="0"/>
                <w:i w:val="0"/>
                <w:sz w:val="17"/>
              </w:rPr>
              <w:t>LSP, Seller (pending requests)</w:t>
            </w:r>
          </w:p>
        </w:tc>
        <w:tc>
          <w:tcPr>
            <w:tcW w:type="dxa" w:w="3213"/>
          </w:tcPr>
          <w:p>
            <w:pPr>
              <w:spacing w:after="20" w:before="20" w:line="240" w:lineRule="auto"/>
            </w:pPr>
            <w:r/>
            <w:r>
              <w:rPr>
                <w:rFonts w:ascii="Arial" w:hAnsi="Arial" w:cs="Arial"/>
                <w:b w:val="0"/>
                <w:i w:val="0"/>
                <w:sz w:val="17"/>
              </w:rPr>
              <w:t>16.11.3 / 16.10.3</w:t>
            </w:r>
          </w:p>
        </w:tc>
      </w:tr>
      <w:tr>
        <w:tc>
          <w:tcPr>
            <w:tcW w:type="dxa" w:w="3213"/>
          </w:tcPr>
          <w:p>
            <w:pPr>
              <w:spacing w:after="20" w:before="20" w:line="240" w:lineRule="auto"/>
            </w:pPr>
            <w:r/>
            <w:r>
              <w:rPr>
                <w:rFonts w:ascii="Arial" w:hAnsi="Arial" w:cs="Arial"/>
                <w:b w:val="0"/>
                <w:i w:val="0"/>
                <w:sz w:val="17"/>
              </w:rPr>
              <w:t>Sandbox</w:t>
            </w:r>
          </w:p>
        </w:tc>
        <w:tc>
          <w:tcPr>
            <w:tcW w:type="dxa" w:w="3213"/>
          </w:tcPr>
          <w:p>
            <w:pPr>
              <w:spacing w:after="20" w:before="20" w:line="240" w:lineRule="auto"/>
            </w:pPr>
            <w:r/>
            <w:r>
              <w:rPr>
                <w:rFonts w:ascii="Arial" w:hAnsi="Arial" w:cs="Arial"/>
                <w:b w:val="0"/>
                <w:i w:val="0"/>
                <w:sz w:val="17"/>
              </w:rPr>
              <w:t>Marketplace Partner</w:t>
            </w:r>
          </w:p>
        </w:tc>
        <w:tc>
          <w:tcPr>
            <w:tcW w:type="dxa" w:w="3213"/>
          </w:tcPr>
          <w:p>
            <w:pPr>
              <w:spacing w:after="20" w:before="20" w:line="240" w:lineRule="auto"/>
            </w:pPr>
            <w:r/>
            <w:r>
              <w:rPr>
                <w:rFonts w:ascii="Arial" w:hAnsi="Arial" w:cs="Arial"/>
                <w:b w:val="0"/>
                <w:i w:val="0"/>
                <w:sz w:val="17"/>
              </w:rPr>
              <w:t>16.8.14.7</w:t>
            </w:r>
          </w:p>
        </w:tc>
      </w:tr>
      <w:tr>
        <w:tc>
          <w:tcPr>
            <w:tcW w:type="dxa" w:w="3213"/>
          </w:tcPr>
          <w:p>
            <w:pPr>
              <w:spacing w:after="20" w:before="20" w:line="240" w:lineRule="auto"/>
            </w:pPr>
            <w:r/>
            <w:r>
              <w:rPr>
                <w:rFonts w:ascii="Arial" w:hAnsi="Arial" w:cs="Arial"/>
                <w:b w:val="0"/>
                <w:i w:val="0"/>
                <w:sz w:val="17"/>
              </w:rPr>
              <w:t>Saved Contacts</w:t>
            </w:r>
          </w:p>
        </w:tc>
        <w:tc>
          <w:tcPr>
            <w:tcW w:type="dxa" w:w="3213"/>
          </w:tcPr>
          <w:p>
            <w:pPr>
              <w:spacing w:after="20" w:before="20" w:line="240" w:lineRule="auto"/>
            </w:pPr>
            <w:r/>
            <w:r>
              <w:rPr>
                <w:rFonts w:ascii="Arial" w:hAnsi="Arial" w:cs="Arial"/>
                <w:b w:val="0"/>
                <w:i w:val="0"/>
                <w:sz w:val="17"/>
              </w:rPr>
              <w:t>Buyer, Seller</w:t>
            </w:r>
          </w:p>
        </w:tc>
        <w:tc>
          <w:tcPr>
            <w:tcW w:type="dxa" w:w="3213"/>
          </w:tcPr>
          <w:p>
            <w:pPr>
              <w:spacing w:after="20" w:before="20" w:line="240" w:lineRule="auto"/>
            </w:pPr>
            <w:r/>
            <w:r>
              <w:rPr>
                <w:rFonts w:ascii="Arial" w:hAnsi="Arial" w:cs="Arial"/>
                <w:b w:val="0"/>
                <w:i w:val="0"/>
                <w:sz w:val="17"/>
              </w:rPr>
              <w:t>16.9.3 / 16.10.3</w:t>
            </w:r>
          </w:p>
        </w:tc>
      </w:tr>
      <w:tr>
        <w:tc>
          <w:tcPr>
            <w:tcW w:type="dxa" w:w="3213"/>
          </w:tcPr>
          <w:p>
            <w:pPr>
              <w:spacing w:after="20" w:before="20" w:line="240" w:lineRule="auto"/>
            </w:pPr>
            <w:r/>
            <w:r>
              <w:rPr>
                <w:rFonts w:ascii="Arial" w:hAnsi="Arial" w:cs="Arial"/>
                <w:b w:val="0"/>
                <w:i w:val="0"/>
                <w:sz w:val="17"/>
              </w:rPr>
              <w:t>Shipments (Shared Vault)</w:t>
            </w:r>
          </w:p>
        </w:tc>
        <w:tc>
          <w:tcPr>
            <w:tcW w:type="dxa" w:w="3213"/>
          </w:tcPr>
          <w:p>
            <w:pPr>
              <w:spacing w:after="20" w:before="20" w:line="240" w:lineRule="auto"/>
            </w:pPr>
            <w:r/>
            <w:r>
              <w:rPr>
                <w:rFonts w:ascii="Arial" w:hAnsi="Arial" w:cs="Arial"/>
                <w:b w:val="0"/>
                <w:i w:val="0"/>
                <w:sz w:val="17"/>
              </w:rPr>
              <w:t>All</w:t>
            </w:r>
          </w:p>
        </w:tc>
        <w:tc>
          <w:tcPr>
            <w:tcW w:type="dxa" w:w="3213"/>
          </w:tcPr>
          <w:p>
            <w:pPr>
              <w:spacing w:after="20" w:before="20" w:line="240" w:lineRule="auto"/>
            </w:pPr>
            <w:r/>
            <w:r>
              <w:rPr>
                <w:rFonts w:ascii="Arial" w:hAnsi="Arial" w:cs="Arial"/>
                <w:b w:val="0"/>
                <w:i w:val="0"/>
                <w:sz w:val="17"/>
              </w:rPr>
              <w:t>16.5</w:t>
            </w:r>
          </w:p>
        </w:tc>
      </w:tr>
      <w:tr>
        <w:tc>
          <w:tcPr>
            <w:tcW w:type="dxa" w:w="3213"/>
          </w:tcPr>
          <w:p>
            <w:pPr>
              <w:spacing w:after="20" w:before="20" w:line="240" w:lineRule="auto"/>
            </w:pPr>
            <w:r/>
            <w:r>
              <w:rPr>
                <w:rFonts w:ascii="Arial" w:hAnsi="Arial" w:cs="Arial"/>
                <w:b w:val="0"/>
                <w:i w:val="0"/>
                <w:sz w:val="17"/>
              </w:rPr>
              <w:t>Smart Inbox</w:t>
            </w:r>
          </w:p>
        </w:tc>
        <w:tc>
          <w:tcPr>
            <w:tcW w:type="dxa" w:w="3213"/>
          </w:tcPr>
          <w:p>
            <w:pPr>
              <w:spacing w:after="20" w:before="20" w:line="240" w:lineRule="auto"/>
            </w:pPr>
            <w:r/>
            <w:r>
              <w:rPr>
                <w:rFonts w:ascii="Arial" w:hAnsi="Arial" w:cs="Arial"/>
                <w:b w:val="0"/>
                <w:i w:val="0"/>
                <w:sz w:val="17"/>
              </w:rPr>
              <w:t>All</w:t>
            </w:r>
          </w:p>
        </w:tc>
        <w:tc>
          <w:tcPr>
            <w:tcW w:type="dxa" w:w="3213"/>
          </w:tcPr>
          <w:p>
            <w:pPr>
              <w:spacing w:after="20" w:before="20" w:line="240" w:lineRule="auto"/>
            </w:pPr>
            <w:r/>
            <w:r>
              <w:rPr>
                <w:rFonts w:ascii="Arial" w:hAnsi="Arial" w:cs="Arial"/>
                <w:b w:val="0"/>
                <w:i w:val="0"/>
                <w:sz w:val="17"/>
              </w:rPr>
              <w:t>16.2</w:t>
            </w:r>
          </w:p>
        </w:tc>
      </w:tr>
      <w:tr>
        <w:tc>
          <w:tcPr>
            <w:tcW w:type="dxa" w:w="3213"/>
          </w:tcPr>
          <w:p>
            <w:pPr>
              <w:spacing w:after="20" w:before="20" w:line="240" w:lineRule="auto"/>
            </w:pPr>
            <w:r/>
            <w:r>
              <w:rPr>
                <w:rFonts w:ascii="Arial" w:hAnsi="Arial" w:cs="Arial"/>
                <w:b w:val="0"/>
                <w:i w:val="0"/>
                <w:sz w:val="17"/>
              </w:rPr>
              <w:t>Special Rate Manager</w:t>
            </w:r>
          </w:p>
        </w:tc>
        <w:tc>
          <w:tcPr>
            <w:tcW w:type="dxa" w:w="3213"/>
          </w:tcPr>
          <w:p>
            <w:pPr>
              <w:spacing w:after="20" w:before="20" w:line="240" w:lineRule="auto"/>
            </w:pPr>
            <w:r/>
            <w:r>
              <w:rPr>
                <w:rFonts w:ascii="Arial" w:hAnsi="Arial" w:cs="Arial"/>
                <w:b w:val="0"/>
                <w:i w:val="0"/>
                <w:sz w:val="17"/>
              </w:rPr>
              <w:t>Admin</w:t>
            </w:r>
          </w:p>
        </w:tc>
        <w:tc>
          <w:tcPr>
            <w:tcW w:type="dxa" w:w="3213"/>
          </w:tcPr>
          <w:p>
            <w:pPr>
              <w:spacing w:after="20" w:before="20" w:line="240" w:lineRule="auto"/>
            </w:pPr>
            <w:r/>
            <w:r>
              <w:rPr>
                <w:rFonts w:ascii="Arial" w:hAnsi="Arial" w:cs="Arial"/>
                <w:b w:val="0"/>
                <w:i w:val="0"/>
                <w:sz w:val="17"/>
              </w:rPr>
              <w:t>16.8.13.3</w:t>
            </w:r>
          </w:p>
        </w:tc>
      </w:tr>
      <w:tr>
        <w:tc>
          <w:tcPr>
            <w:tcW w:type="dxa" w:w="3213"/>
          </w:tcPr>
          <w:p>
            <w:pPr>
              <w:spacing w:after="20" w:before="20" w:line="240" w:lineRule="auto"/>
            </w:pPr>
            <w:r/>
            <w:r>
              <w:rPr>
                <w:rFonts w:ascii="Arial" w:hAnsi="Arial" w:cs="Arial"/>
                <w:b w:val="0"/>
                <w:i w:val="0"/>
                <w:sz w:val="17"/>
              </w:rPr>
              <w:t>Storage</w:t>
            </w:r>
          </w:p>
        </w:tc>
        <w:tc>
          <w:tcPr>
            <w:tcW w:type="dxa" w:w="3213"/>
          </w:tcPr>
          <w:p>
            <w:pPr>
              <w:spacing w:after="20" w:before="20" w:line="240" w:lineRule="auto"/>
            </w:pPr>
            <w:r/>
            <w:r>
              <w:rPr>
                <w:rFonts w:ascii="Arial" w:hAnsi="Arial" w:cs="Arial"/>
                <w:b w:val="0"/>
                <w:i w:val="0"/>
                <w:sz w:val="17"/>
              </w:rPr>
              <w:t>CBR</w:t>
            </w:r>
          </w:p>
        </w:tc>
        <w:tc>
          <w:tcPr>
            <w:tcW w:type="dxa" w:w="3213"/>
          </w:tcPr>
          <w:p>
            <w:pPr>
              <w:spacing w:after="20" w:before="20" w:line="240" w:lineRule="auto"/>
            </w:pPr>
            <w:r/>
            <w:r>
              <w:rPr>
                <w:rFonts w:ascii="Arial" w:hAnsi="Arial" w:cs="Arial"/>
                <w:b w:val="0"/>
                <w:i w:val="0"/>
                <w:sz w:val="17"/>
              </w:rPr>
              <w:t>16.8.9.2</w:t>
            </w:r>
          </w:p>
        </w:tc>
      </w:tr>
      <w:tr>
        <w:tc>
          <w:tcPr>
            <w:tcW w:type="dxa" w:w="3213"/>
          </w:tcPr>
          <w:p>
            <w:pPr>
              <w:spacing w:after="20" w:before="20" w:line="240" w:lineRule="auto"/>
            </w:pPr>
            <w:r/>
            <w:r>
              <w:rPr>
                <w:rFonts w:ascii="Arial" w:hAnsi="Arial" w:cs="Arial"/>
                <w:b w:val="0"/>
                <w:i w:val="0"/>
                <w:sz w:val="17"/>
              </w:rPr>
              <w:t>Task Center</w:t>
            </w:r>
          </w:p>
        </w:tc>
        <w:tc>
          <w:tcPr>
            <w:tcW w:type="dxa" w:w="3213"/>
          </w:tcPr>
          <w:p>
            <w:pPr>
              <w:spacing w:after="20" w:before="20" w:line="240" w:lineRule="auto"/>
            </w:pPr>
            <w:r/>
            <w:r>
              <w:rPr>
                <w:rFonts w:ascii="Arial" w:hAnsi="Arial" w:cs="Arial"/>
                <w:b w:val="0"/>
                <w:i w:val="0"/>
                <w:sz w:val="17"/>
              </w:rPr>
              <w:t>All</w:t>
            </w:r>
          </w:p>
        </w:tc>
        <w:tc>
          <w:tcPr>
            <w:tcW w:type="dxa" w:w="3213"/>
          </w:tcPr>
          <w:p>
            <w:pPr>
              <w:spacing w:after="20" w:before="20" w:line="240" w:lineRule="auto"/>
            </w:pPr>
            <w:r/>
            <w:r>
              <w:rPr>
                <w:rFonts w:ascii="Arial" w:hAnsi="Arial" w:cs="Arial"/>
                <w:b w:val="0"/>
                <w:i w:val="0"/>
                <w:sz w:val="17"/>
              </w:rPr>
              <w:t>16.14.11</w:t>
            </w:r>
          </w:p>
        </w:tc>
      </w:tr>
      <w:tr>
        <w:tc>
          <w:tcPr>
            <w:tcW w:type="dxa" w:w="3213"/>
          </w:tcPr>
          <w:p>
            <w:pPr>
              <w:spacing w:after="20" w:before="20" w:line="240" w:lineRule="auto"/>
            </w:pPr>
            <w:r/>
            <w:r>
              <w:rPr>
                <w:rFonts w:ascii="Arial" w:hAnsi="Arial" w:cs="Arial"/>
                <w:b w:val="0"/>
                <w:i w:val="0"/>
                <w:sz w:val="17"/>
              </w:rPr>
              <w:t>Testing Jobs</w:t>
            </w:r>
          </w:p>
        </w:tc>
        <w:tc>
          <w:tcPr>
            <w:tcW w:type="dxa" w:w="3213"/>
          </w:tcPr>
          <w:p>
            <w:pPr>
              <w:spacing w:after="20" w:before="20" w:line="240" w:lineRule="auto"/>
            </w:pPr>
            <w:r/>
            <w:r>
              <w:rPr>
                <w:rFonts w:ascii="Arial" w:hAnsi="Arial" w:cs="Arial"/>
                <w:b w:val="0"/>
                <w:i w:val="0"/>
                <w:sz w:val="17"/>
              </w:rPr>
              <w:t>LAB</w:t>
            </w:r>
          </w:p>
        </w:tc>
        <w:tc>
          <w:tcPr>
            <w:tcW w:type="dxa" w:w="3213"/>
          </w:tcPr>
          <w:p>
            <w:pPr>
              <w:spacing w:after="20" w:before="20" w:line="240" w:lineRule="auto"/>
            </w:pPr>
            <w:r/>
            <w:r>
              <w:rPr>
                <w:rFonts w:ascii="Arial" w:hAnsi="Arial" w:cs="Arial"/>
                <w:b w:val="0"/>
                <w:i w:val="0"/>
                <w:sz w:val="17"/>
              </w:rPr>
              <w:t>16.8.7.2</w:t>
            </w:r>
          </w:p>
        </w:tc>
      </w:tr>
      <w:tr>
        <w:tc>
          <w:tcPr>
            <w:tcW w:type="dxa" w:w="3213"/>
          </w:tcPr>
          <w:p>
            <w:pPr>
              <w:spacing w:after="20" w:before="20" w:line="240" w:lineRule="auto"/>
            </w:pPr>
            <w:r/>
            <w:r>
              <w:rPr>
                <w:rFonts w:ascii="Arial" w:hAnsi="Arial" w:cs="Arial"/>
                <w:b w:val="0"/>
                <w:i w:val="0"/>
                <w:sz w:val="17"/>
              </w:rPr>
              <w:t>Vessel Schedule</w:t>
            </w:r>
          </w:p>
        </w:tc>
        <w:tc>
          <w:tcPr>
            <w:tcW w:type="dxa" w:w="3213"/>
          </w:tcPr>
          <w:p>
            <w:pPr>
              <w:spacing w:after="20" w:before="20" w:line="240" w:lineRule="auto"/>
            </w:pPr>
            <w:r/>
            <w:r>
              <w:rPr>
                <w:rFonts w:ascii="Arial" w:hAnsi="Arial" w:cs="Arial"/>
                <w:b w:val="0"/>
                <w:i w:val="0"/>
                <w:sz w:val="17"/>
              </w:rPr>
              <w:t>SHIP</w:t>
            </w:r>
          </w:p>
        </w:tc>
        <w:tc>
          <w:tcPr>
            <w:tcW w:type="dxa" w:w="3213"/>
          </w:tcPr>
          <w:p>
            <w:pPr>
              <w:spacing w:after="20" w:before="20" w:line="240" w:lineRule="auto"/>
            </w:pPr>
            <w:r/>
            <w:r>
              <w:rPr>
                <w:rFonts w:ascii="Arial" w:hAnsi="Arial" w:cs="Arial"/>
                <w:b w:val="0"/>
                <w:i w:val="0"/>
                <w:sz w:val="17"/>
              </w:rPr>
              <w:t>16.12.3</w:t>
            </w:r>
          </w:p>
        </w:tc>
      </w:tr>
      <w:tr>
        <w:tc>
          <w:tcPr>
            <w:tcW w:type="dxa" w:w="3213"/>
          </w:tcPr>
          <w:p>
            <w:pPr>
              <w:spacing w:after="20" w:before="20" w:line="240" w:lineRule="auto"/>
            </w:pPr>
            <w:r/>
            <w:r>
              <w:rPr>
                <w:rFonts w:ascii="Arial" w:hAnsi="Arial" w:cs="Arial"/>
                <w:b w:val="0"/>
                <w:i w:val="0"/>
                <w:sz w:val="17"/>
              </w:rPr>
              <w:t>Warehouse Dashboard</w:t>
            </w:r>
          </w:p>
        </w:tc>
        <w:tc>
          <w:tcPr>
            <w:tcW w:type="dxa" w:w="3213"/>
          </w:tcPr>
          <w:p>
            <w:pPr>
              <w:spacing w:after="20" w:before="20" w:line="240" w:lineRule="auto"/>
            </w:pPr>
            <w:r/>
            <w:r>
              <w:rPr>
                <w:rFonts w:ascii="Arial" w:hAnsi="Arial" w:cs="Arial"/>
                <w:b w:val="0"/>
                <w:i w:val="0"/>
                <w:sz w:val="17"/>
              </w:rPr>
              <w:t>LSP (warehousing)</w:t>
            </w:r>
          </w:p>
        </w:tc>
        <w:tc>
          <w:tcPr>
            <w:tcW w:type="dxa" w:w="3213"/>
          </w:tcPr>
          <w:p>
            <w:pPr>
              <w:spacing w:after="20" w:before="20" w:line="240" w:lineRule="auto"/>
            </w:pPr>
            <w:r/>
            <w:r>
              <w:rPr>
                <w:rFonts w:ascii="Arial" w:hAnsi="Arial" w:cs="Arial"/>
                <w:b w:val="0"/>
                <w:i w:val="0"/>
                <w:sz w:val="17"/>
              </w:rPr>
              <w:t>16.11.3</w:t>
            </w:r>
          </w:p>
        </w:tc>
      </w:tr>
      <w:tr>
        <w:tc>
          <w:tcPr>
            <w:tcW w:type="dxa" w:w="3213"/>
          </w:tcPr>
          <w:p>
            <w:pPr>
              <w:spacing w:after="20" w:before="20" w:line="240" w:lineRule="auto"/>
            </w:pPr>
            <w:r/>
            <w:r>
              <w:rPr>
                <w:rFonts w:ascii="Arial" w:hAnsi="Arial" w:cs="Arial"/>
                <w:b w:val="0"/>
                <w:i w:val="0"/>
                <w:sz w:val="17"/>
              </w:rPr>
              <w:t>Webhook Management</w:t>
            </w:r>
          </w:p>
        </w:tc>
        <w:tc>
          <w:tcPr>
            <w:tcW w:type="dxa" w:w="3213"/>
          </w:tcPr>
          <w:p>
            <w:pPr>
              <w:spacing w:after="20" w:before="20" w:line="240" w:lineRule="auto"/>
            </w:pPr>
            <w:r/>
            <w:r>
              <w:rPr>
                <w:rFonts w:ascii="Arial" w:hAnsi="Arial" w:cs="Arial"/>
                <w:b w:val="0"/>
                <w:i w:val="0"/>
                <w:sz w:val="17"/>
              </w:rPr>
              <w:t>Marketplace Partner</w:t>
            </w:r>
          </w:p>
        </w:tc>
        <w:tc>
          <w:tcPr>
            <w:tcW w:type="dxa" w:w="3213"/>
          </w:tcPr>
          <w:p>
            <w:pPr>
              <w:spacing w:after="20" w:before="20" w:line="240" w:lineRule="auto"/>
            </w:pPr>
            <w:r/>
            <w:r>
              <w:rPr>
                <w:rFonts w:ascii="Arial" w:hAnsi="Arial" w:cs="Arial"/>
                <w:b w:val="0"/>
                <w:i w:val="0"/>
                <w:sz w:val="17"/>
              </w:rPr>
              <w:t>16.8.14.4</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16.14.4 Role-Based Quick Reference Cards</w:t>
      </w:r>
    </w:p>
    <w:p>
      <w:pPr>
        <w:spacing w:after="80" w:line="293" w:lineRule="auto"/>
        <w:jc w:val="left"/>
      </w:pPr>
      <w:r>
        <w:rPr>
          <w:rFonts w:ascii="Times New Roman" w:hAnsi="Times New Roman" w:cs="Times New Roman"/>
          <w:b w:val="0"/>
          <w:i w:val="0"/>
          <w:sz w:val="22"/>
        </w:rPr>
        <w:t>Quick navigation paths for each role. "Smart Inbox (landing)" is the universal landing tab for every portal except the Marketplace Partner Portal (which lands on its Dashboard).</w:t>
      </w:r>
    </w:p>
    <w:p>
      <w:pPr>
        <w:keepNext/>
        <w:spacing w:before="140" w:after="60"/>
        <w:outlineLvl w:val="3"/>
      </w:pPr>
      <w:r>
        <w:rPr>
          <w:rFonts w:ascii="Arial" w:hAnsi="Arial" w:cs="Arial"/>
          <w:b/>
          <w:i/>
          <w:color w:val="333333"/>
          <w:sz w:val="22"/>
        </w:rPr>
        <w:t>16.14.4.1 Buyer (Trader Portal, mode = BUY)</w:t>
      </w:r>
    </w:p>
    <w:p>
      <w:pPr>
        <w:spacing w:after="80" w:line="293" w:lineRule="auto"/>
        <w:jc w:val="left"/>
      </w:pPr>
      <w:r>
        <w:rPr>
          <w:rFonts w:ascii="Times New Roman" w:hAnsi="Times New Roman" w:cs="Times New Roman"/>
          <w:b w:val="0"/>
          <w:i w:val="0"/>
          <w:sz w:val="22"/>
        </w:rPr>
        <w:t>Smart Inbox (landing) → New Trade Request → Submit Trade Request → Quote Review &amp; Negotiation → Accept / Negotiate → Contract Signing → Sign → Customs Readiness → Upload / Request → Shipments → Click USTN → TCC.</w:t>
      </w:r>
    </w:p>
    <w:p>
      <w:pPr>
        <w:keepNext/>
        <w:spacing w:before="140" w:after="60"/>
        <w:outlineLvl w:val="3"/>
      </w:pPr>
      <w:r>
        <w:rPr>
          <w:rFonts w:ascii="Arial" w:hAnsi="Arial" w:cs="Arial"/>
          <w:b/>
          <w:i/>
          <w:color w:val="333333"/>
          <w:sz w:val="22"/>
        </w:rPr>
        <w:t>16.14.4.2 Seller (Trader Portal, mode = SELL)</w:t>
      </w:r>
    </w:p>
    <w:p>
      <w:pPr>
        <w:spacing w:after="80" w:line="293" w:lineRule="auto"/>
        <w:jc w:val="left"/>
      </w:pPr>
      <w:r>
        <w:rPr>
          <w:rFonts w:ascii="Times New Roman" w:hAnsi="Times New Roman" w:cs="Times New Roman"/>
          <w:b w:val="0"/>
          <w:i w:val="0"/>
          <w:sz w:val="22"/>
        </w:rPr>
        <w:t>Smart Inbox (landing) → Pending Requests → Accept → EXW Price Lock → Lock Price → Containerisation &amp; Packing → Lock Packing Plan → Logistics Builder → Send RFQ / Select Quote → Quote Submission → Submit Quote → Barcode Print → Print.</w:t>
      </w:r>
    </w:p>
    <w:p>
      <w:pPr>
        <w:keepNext/>
        <w:spacing w:before="140" w:after="60"/>
        <w:outlineLvl w:val="3"/>
      </w:pPr>
      <w:r>
        <w:rPr>
          <w:rFonts w:ascii="Arial" w:hAnsi="Arial" w:cs="Arial"/>
          <w:b/>
          <w:i/>
          <w:color w:val="333333"/>
          <w:sz w:val="22"/>
        </w:rPr>
        <w:t>16.14.4.3 Logistics Provider (LSP)</w:t>
      </w:r>
    </w:p>
    <w:p>
      <w:pPr>
        <w:spacing w:after="80" w:line="293" w:lineRule="auto"/>
        <w:jc w:val="left"/>
      </w:pPr>
      <w:r>
        <w:rPr>
          <w:rFonts w:ascii="Times New Roman" w:hAnsi="Times New Roman" w:cs="Times New Roman"/>
          <w:b w:val="0"/>
          <w:i w:val="0"/>
          <w:sz w:val="22"/>
        </w:rPr>
        <w:t>Smart Inbox (landing) → RFQ Inbox → Send Quote / Ask Clarification → Dispatch Planner → Optimise → Assign → Send → Shipments → Click USTN → TCC → Confirm Milestone → Performance → View summary.</w:t>
      </w:r>
    </w:p>
    <w:p>
      <w:pPr>
        <w:keepNext/>
        <w:spacing w:before="140" w:after="60"/>
        <w:outlineLvl w:val="3"/>
      </w:pPr>
      <w:r>
        <w:rPr>
          <w:rFonts w:ascii="Arial" w:hAnsi="Arial" w:cs="Arial"/>
          <w:b/>
          <w:i/>
          <w:color w:val="333333"/>
          <w:sz w:val="22"/>
        </w:rPr>
        <w:t>16.14.4.4 Shipping Line (SHIP)</w:t>
      </w:r>
    </w:p>
    <w:p>
      <w:pPr>
        <w:spacing w:after="80" w:line="293" w:lineRule="auto"/>
        <w:jc w:val="left"/>
      </w:pPr>
      <w:r>
        <w:rPr>
          <w:rFonts w:ascii="Times New Roman" w:hAnsi="Times New Roman" w:cs="Times New Roman"/>
          <w:b w:val="0"/>
          <w:i w:val="0"/>
          <w:sz w:val="22"/>
        </w:rPr>
        <w:t>Smart Inbox (landing) → Booking Requests → Confirm Booking → eBL Management → Issue eBL → Vessel Schedule → Edit → Save → Freight Invoices → Generate.</w:t>
      </w:r>
    </w:p>
    <w:p>
      <w:pPr>
        <w:keepNext/>
        <w:spacing w:before="140" w:after="60"/>
        <w:outlineLvl w:val="3"/>
      </w:pPr>
      <w:r>
        <w:rPr>
          <w:rFonts w:ascii="Arial" w:hAnsi="Arial" w:cs="Arial"/>
          <w:b/>
          <w:i/>
          <w:color w:val="333333"/>
          <w:sz w:val="22"/>
        </w:rPr>
        <w:t>16.14.4.5 Laboratory (LAB)</w:t>
      </w:r>
    </w:p>
    <w:p>
      <w:pPr>
        <w:spacing w:after="80" w:line="293" w:lineRule="auto"/>
        <w:jc w:val="left"/>
      </w:pPr>
      <w:r>
        <w:rPr>
          <w:rFonts w:ascii="Times New Roman" w:hAnsi="Times New Roman" w:cs="Times New Roman"/>
          <w:b w:val="0"/>
          <w:i w:val="0"/>
          <w:sz w:val="22"/>
        </w:rPr>
        <w:t>Smart Inbox (landing) → Testing Jobs → Confirm Receipt → Submit Results → Result Submission → Submit Results → Certificates → Download.</w:t>
      </w:r>
    </w:p>
    <w:p>
      <w:pPr>
        <w:keepNext/>
        <w:spacing w:before="140" w:after="60"/>
        <w:outlineLvl w:val="3"/>
      </w:pPr>
      <w:r>
        <w:rPr>
          <w:rFonts w:ascii="Arial" w:hAnsi="Arial" w:cs="Arial"/>
          <w:b/>
          <w:i/>
          <w:color w:val="333333"/>
          <w:sz w:val="22"/>
        </w:rPr>
        <w:t>16.14.4.6 QC Inspector</w:t>
      </w:r>
    </w:p>
    <w:p>
      <w:pPr>
        <w:spacing w:after="80" w:line="293" w:lineRule="auto"/>
        <w:jc w:val="left"/>
      </w:pPr>
      <w:r>
        <w:rPr>
          <w:rFonts w:ascii="Times New Roman" w:hAnsi="Times New Roman" w:cs="Times New Roman"/>
          <w:b w:val="0"/>
          <w:i w:val="0"/>
          <w:sz w:val="22"/>
        </w:rPr>
        <w:t>Smart Inbox (landing) → Inspection Jobs → Accept → Generate QR → Mobile App (in field) → Scan → Override (if needed) → Submit → Report Submission → Select Verdict → Submit → Re-inspection Requests → Accept / Decline.</w:t>
      </w:r>
    </w:p>
    <w:p>
      <w:pPr>
        <w:keepNext/>
        <w:spacing w:before="140" w:after="60"/>
        <w:outlineLvl w:val="3"/>
      </w:pPr>
      <w:r>
        <w:rPr>
          <w:rFonts w:ascii="Arial" w:hAnsi="Arial" w:cs="Arial"/>
          <w:b/>
          <w:i/>
          <w:color w:val="333333"/>
          <w:sz w:val="22"/>
        </w:rPr>
        <w:t>16.14.4.7 Customs Broker (CBR)</w:t>
      </w:r>
    </w:p>
    <w:p>
      <w:pPr>
        <w:spacing w:after="80" w:line="293" w:lineRule="auto"/>
        <w:jc w:val="left"/>
      </w:pPr>
      <w:r>
        <w:rPr>
          <w:rFonts w:ascii="Times New Roman" w:hAnsi="Times New Roman" w:cs="Times New Roman"/>
          <w:b w:val="0"/>
          <w:i w:val="0"/>
          <w:sz w:val="22"/>
        </w:rPr>
        <w:t>Smart Inbox (landing) → Certification Requests → Certify → Physical Document Jobs → Receive → Mark Presented → Upload → Confirm → Storage → Notify Client / Extend / Destroy → Audit Representation → Accept.</w:t>
      </w:r>
    </w:p>
    <w:p>
      <w:pPr>
        <w:keepNext/>
        <w:spacing w:before="140" w:after="60"/>
        <w:outlineLvl w:val="3"/>
      </w:pPr>
      <w:r>
        <w:rPr>
          <w:rFonts w:ascii="Arial" w:hAnsi="Arial" w:cs="Arial"/>
          <w:b/>
          <w:i/>
          <w:color w:val="333333"/>
          <w:sz w:val="22"/>
        </w:rPr>
        <w:t>16.14.4.8 Financier (Bank / PFI)</w:t>
      </w:r>
    </w:p>
    <w:p>
      <w:pPr>
        <w:spacing w:after="80" w:line="293" w:lineRule="auto"/>
        <w:jc w:val="left"/>
      </w:pPr>
      <w:r>
        <w:rPr>
          <w:rFonts w:ascii="Times New Roman" w:hAnsi="Times New Roman" w:cs="Times New Roman"/>
          <w:b w:val="0"/>
          <w:i w:val="0"/>
          <w:sz w:val="22"/>
        </w:rPr>
        <w:t>Smart Inbox (landing) → Financing Opportunities → View Details → Submit Bid → My Bids &amp; Active Loans → View Collateral Dashboard → Issue Margin Call → Portfolio &amp; Compliance → Generate Report → Download → Financed Companies → Click Borrower → Refresh Credit Assessment.</w:t>
      </w:r>
    </w:p>
    <w:p>
      <w:pPr>
        <w:keepNext/>
        <w:spacing w:before="140" w:after="60"/>
        <w:outlineLvl w:val="3"/>
      </w:pPr>
      <w:r>
        <w:rPr>
          <w:rFonts w:ascii="Arial" w:hAnsi="Arial" w:cs="Arial"/>
          <w:b/>
          <w:i/>
          <w:color w:val="333333"/>
          <w:sz w:val="22"/>
        </w:rPr>
        <w:t>16.14.4.9 Government Official</w:t>
      </w:r>
    </w:p>
    <w:p>
      <w:pPr>
        <w:spacing w:after="80" w:line="293" w:lineRule="auto"/>
        <w:jc w:val="left"/>
      </w:pPr>
      <w:r>
        <w:rPr>
          <w:rFonts w:ascii="Times New Roman" w:hAnsi="Times New Roman" w:cs="Times New Roman"/>
          <w:b w:val="0"/>
          <w:i w:val="0"/>
          <w:sz w:val="22"/>
        </w:rPr>
        <w:t>Smart Inbox (landing) → Live Trade Monitor → Click USTN → TCC → Clearance Workflow → Approve Clearance / Hold / Reject → Document Verification → Accept / Reject → Multi-Agency Workflow → Approve / Reject → Compliance Monitor → Generate Report.</w:t>
      </w:r>
    </w:p>
    <w:p>
      <w:pPr>
        <w:keepNext/>
        <w:spacing w:before="140" w:after="60"/>
        <w:outlineLvl w:val="3"/>
      </w:pPr>
      <w:r>
        <w:rPr>
          <w:rFonts w:ascii="Arial" w:hAnsi="Arial" w:cs="Arial"/>
          <w:b/>
          <w:i/>
          <w:color w:val="333333"/>
          <w:sz w:val="22"/>
        </w:rPr>
        <w:t>16.14.4.10 Platform Administrator (Admin Portal)</w:t>
      </w:r>
    </w:p>
    <w:p>
      <w:pPr>
        <w:spacing w:after="80" w:line="293" w:lineRule="auto"/>
        <w:jc w:val="left"/>
      </w:pPr>
      <w:r>
        <w:rPr>
          <w:rFonts w:ascii="Times New Roman" w:hAnsi="Times New Roman" w:cs="Times New Roman"/>
          <w:b w:val="0"/>
          <w:i w:val="0"/>
          <w:sz w:val="22"/>
        </w:rPr>
        <w:t>Smart Inbox (landing) → Constitutional Policies → Edit → Simulate Impact → Submit for Approval → Platform Health → View metrics → Schedule Maintenance → Special Rate Manager → Propose Special Rate → Submit for Approval → Tenant Management → Search → Impersonate → Configuration History → View Diff → Rollback.</w:t>
      </w:r>
    </w:p>
    <w:p>
      <w:pPr>
        <w:keepNext/>
        <w:spacing w:before="140" w:after="60"/>
        <w:outlineLvl w:val="3"/>
      </w:pPr>
      <w:r>
        <w:rPr>
          <w:rFonts w:ascii="Arial" w:hAnsi="Arial" w:cs="Arial"/>
          <w:b/>
          <w:i/>
          <w:color w:val="333333"/>
          <w:sz w:val="22"/>
        </w:rPr>
        <w:t>16.14.4.11 Marketplace Partner</w:t>
      </w:r>
    </w:p>
    <w:p>
      <w:pPr>
        <w:spacing w:after="80" w:line="293" w:lineRule="auto"/>
        <w:jc w:val="left"/>
      </w:pPr>
      <w:r>
        <w:rPr>
          <w:rFonts w:ascii="Times New Roman" w:hAnsi="Times New Roman" w:cs="Times New Roman"/>
          <w:b w:val="0"/>
          <w:i w:val="0"/>
          <w:sz w:val="22"/>
        </w:rPr>
        <w:t>Dashboard (landing) → Leads Management → View Details → Resolve → Webhook Management → Register → Test → Sandbox → Analyse → Simulate Trade → Test Webhook → Revenue Attribution Disputes → Submit Evidence.</w:t>
      </w:r>
    </w:p>
    <w:p>
      <w:pPr>
        <w:keepNext/>
        <w:spacing w:before="180" w:after="80"/>
        <w:outlineLvl w:val="2"/>
      </w:pPr>
      <w:r>
        <w:rPr>
          <w:rFonts w:ascii="Arial" w:hAnsi="Arial" w:cs="Arial"/>
          <w:b/>
          <w:i w:val="0"/>
          <w:color w:val="333333"/>
          <w:sz w:val="23"/>
        </w:rPr>
        <w:t>16.14.5 Tab-by-Tab Navigation Map (Common Tasks)</w:t>
      </w:r>
    </w:p>
    <w:p>
      <w:pPr>
        <w:keepNext/>
        <w:spacing w:before="140" w:after="60"/>
        <w:outlineLvl w:val="3"/>
      </w:pPr>
      <w:r>
        <w:rPr>
          <w:rFonts w:ascii="Arial" w:hAnsi="Arial" w:cs="Arial"/>
          <w:b/>
          <w:i/>
          <w:color w:val="333333"/>
          <w:sz w:val="22"/>
        </w:rPr>
        <w:t>16.14.5.1 Creating a New Trade (Buyer)</w:t>
      </w:r>
    </w:p>
    <w:p>
      <w:pPr>
        <w:spacing w:after="80" w:line="293" w:lineRule="auto"/>
        <w:jc w:val="left"/>
      </w:pPr>
      <w:r>
        <w:rPr>
          <w:rFonts w:ascii="Times New Roman" w:hAnsi="Times New Roman" w:cs="Times New Roman"/>
          <w:b w:val="0"/>
          <w:i w:val="0"/>
          <w:sz w:val="22"/>
        </w:rPr>
        <w:t>1. Smart Inbox (landing). 2. Click "New Trade Request" (sidebar or Recommended Actions Widget). 3. Select seller (GTID entry or saved contacts). 4. Select incoterm (dropdown). 5. Configure containers (add/configure container tabs). 6. Add commodities per container (commodity type → product → dynamic specs). 7. Enter packing details (pallet type, cartons, weight, layers). 8. (Optional) Enable multi-shipment → add shipments. 9. Click "Submit Trade Request" (one click).</w:t>
      </w:r>
    </w:p>
    <w:p>
      <w:pPr>
        <w:spacing w:after="80" w:line="293" w:lineRule="auto"/>
        <w:jc w:val="left"/>
      </w:pPr>
      <w:r>
        <w:rPr>
          <w:rFonts w:ascii="Times New Roman" w:hAnsi="Times New Roman" w:cs="Times New Roman"/>
          <w:b w:val="0"/>
          <w:i w:val="0"/>
          <w:sz w:val="22"/>
        </w:rPr>
        <w:t>✓ Trade request created, seller notified.</w:t>
      </w:r>
    </w:p>
    <w:p>
      <w:pPr>
        <w:keepNext/>
        <w:spacing w:before="140" w:after="60"/>
        <w:outlineLvl w:val="3"/>
      </w:pPr>
      <w:r>
        <w:rPr>
          <w:rFonts w:ascii="Arial" w:hAnsi="Arial" w:cs="Arial"/>
          <w:b/>
          <w:i/>
          <w:color w:val="333333"/>
          <w:sz w:val="22"/>
        </w:rPr>
        <w:t>16.14.5.2 Responding to a Trade Request (Seller)</w:t>
      </w:r>
    </w:p>
    <w:p>
      <w:pPr>
        <w:spacing w:after="80" w:line="293" w:lineRule="auto"/>
        <w:jc w:val="left"/>
      </w:pPr>
      <w:r>
        <w:rPr>
          <w:rFonts w:ascii="Times New Roman" w:hAnsi="Times New Roman" w:cs="Times New Roman"/>
          <w:b w:val="0"/>
          <w:i w:val="0"/>
          <w:sz w:val="22"/>
        </w:rPr>
        <w:t>1. Smart Inbox (landing). 2. Click "Pending Requests" (sidebar). 3. Click the trade request (opens unified view). 4. Review buyer's parsed specs (containers, commodities, incoterm). 5. Click "Accept" (or Decline / Propose Modifications). 6. Set loading origin (country, port). 7. Lock EXW price (use fair price or manual entry). 8. Go to Containerisation &amp; Packing → design packing → lock plan. 9. Go to Logistics Builder → select quotes (Mode A, B, or C). 10. Go to Quote Submission → review breakdown → click "Submit Quote".</w:t>
      </w:r>
    </w:p>
    <w:p>
      <w:pPr>
        <w:spacing w:after="80" w:line="293" w:lineRule="auto"/>
        <w:jc w:val="left"/>
      </w:pPr>
      <w:r>
        <w:rPr>
          <w:rFonts w:ascii="Times New Roman" w:hAnsi="Times New Roman" w:cs="Times New Roman"/>
          <w:b w:val="0"/>
          <w:i w:val="0"/>
          <w:sz w:val="22"/>
        </w:rPr>
        <w:t>✓ Quote sent to buyer.</w:t>
      </w:r>
    </w:p>
    <w:p>
      <w:pPr>
        <w:keepNext/>
        <w:spacing w:before="140" w:after="60"/>
        <w:outlineLvl w:val="3"/>
      </w:pPr>
      <w:r>
        <w:rPr>
          <w:rFonts w:ascii="Arial" w:hAnsi="Arial" w:cs="Arial"/>
          <w:b/>
          <w:i/>
          <w:color w:val="333333"/>
          <w:sz w:val="22"/>
        </w:rPr>
        <w:t>16.14.5.3 Managing a Multi-Shipment Contract (Buyer/Seller)</w:t>
      </w:r>
    </w:p>
    <w:p>
      <w:pPr>
        <w:spacing w:after="80" w:line="293" w:lineRule="auto"/>
        <w:jc w:val="left"/>
      </w:pPr>
      <w:r>
        <w:rPr>
          <w:rFonts w:ascii="Times New Roman" w:hAnsi="Times New Roman" w:cs="Times New Roman"/>
          <w:b w:val="0"/>
          <w:i w:val="0"/>
          <w:sz w:val="22"/>
        </w:rPr>
        <w:t>1. From TCC (click USTN from Shipments Vault). 2. Locate the Multi-shipment Schedule Card. 3. View all shipments (status, dates, ports). 4. For future shipments: a. Click "Request Modification" (if changes needed). b. Select shipment → edit delivery date, port, containers, commodities. c. Add reason → click "Send Modification Request". d. Counterparty reviews diff view → accepts/rejects/counters. 5. For ready shipments: a. Seller clicks "Ready for Shipment X". b. Buyer clicks "Confirm Shipment X". c. Seller pays the per-shipment fee. d. New USTN generated, shipment locks.</w:t>
      </w:r>
    </w:p>
    <w:p>
      <w:pPr>
        <w:keepNext/>
        <w:spacing w:before="140" w:after="60"/>
        <w:outlineLvl w:val="3"/>
      </w:pPr>
      <w:r>
        <w:rPr>
          <w:rFonts w:ascii="Arial" w:hAnsi="Arial" w:cs="Arial"/>
          <w:b/>
          <w:i/>
          <w:color w:val="333333"/>
          <w:sz w:val="22"/>
        </w:rPr>
        <w:t>16.14.5.4 Filing a Dispute (Buyer/Seller)</w:t>
      </w:r>
    </w:p>
    <w:p>
      <w:pPr>
        <w:spacing w:after="80" w:line="293" w:lineRule="auto"/>
        <w:jc w:val="left"/>
      </w:pPr>
      <w:r>
        <w:rPr>
          <w:rFonts w:ascii="Times New Roman" w:hAnsi="Times New Roman" w:cs="Times New Roman"/>
          <w:b w:val="0"/>
          <w:i w:val="0"/>
          <w:sz w:val="22"/>
        </w:rPr>
        <w:t>1. From TCC (click USTN from Shipments Vault). 2. Click "Raise Dispute" (in TCC header or Disputes tab). 3. Select category (Quality, Delay, Non-Payment, etc.). 4. Describe breach (min 10 chars). 5. (Optional) Upload additional evidence. 6. Specify remedy sought. 7. Click "Submit Dispute" (one click). 8. Evidence package auto-compiles (Loom-hashed). 9. Both parties enter the Mediation Log. 10. Structured offers, accept/reject/counter. 11. (Optional) Invite third-party expert. 12. (Optional) Accept AI settlement proposal (one click each). 13. Or escalate to arbitration (one click to prepare case).</w:t>
      </w:r>
    </w:p>
    <w:p>
      <w:pPr>
        <w:spacing w:after="80" w:line="293" w:lineRule="auto"/>
        <w:jc w:val="left"/>
      </w:pPr>
      <w:r>
        <w:rPr>
          <w:rFonts w:ascii="Times New Roman" w:hAnsi="Times New Roman" w:cs="Times New Roman"/>
          <w:b w:val="0"/>
          <w:i w:val="0"/>
          <w:sz w:val="22"/>
        </w:rPr>
        <w:t>✓ Dispute resolved or arbitration prepared.</w:t>
      </w:r>
    </w:p>
    <w:p>
      <w:pPr>
        <w:keepNext/>
        <w:spacing w:before="140" w:after="60"/>
        <w:outlineLvl w:val="3"/>
      </w:pPr>
      <w:r>
        <w:rPr>
          <w:rFonts w:ascii="Arial" w:hAnsi="Arial" w:cs="Arial"/>
          <w:b/>
          <w:i/>
          <w:color w:val="333333"/>
          <w:sz w:val="22"/>
        </w:rPr>
        <w:t>16.14.5.5 Requesting Financing (Seller/Buyer)</w:t>
      </w:r>
    </w:p>
    <w:p>
      <w:pPr>
        <w:spacing w:after="80" w:line="293" w:lineRule="auto"/>
        <w:jc w:val="left"/>
      </w:pPr>
      <w:r>
        <w:rPr>
          <w:rFonts w:ascii="Times New Roman" w:hAnsi="Times New Roman" w:cs="Times New Roman"/>
          <w:b w:val="0"/>
          <w:i w:val="0"/>
          <w:sz w:val="22"/>
        </w:rPr>
        <w:t>1. From the Financing tab (sidebar) or TCC. 2. Click "Request Financing". 3. Pre-filled form: USTN, amount (default 70% LTV), tenor, financing type, settlement method. 4. Click "Submit Request" (one click). 5. Credit intelligence runs (A2) → RFQ broadcast automatically. 6. Financiers receive the RFQ, view full disclosure, submit bids (encrypted). 7. After the bidding window closes, view bids in the comparison table. 8. Select bids (co-financing possible) → click "Accept Selected". 9. Sign financing agreement (ZITADEL passkey). 10. Financiers click "Disburse" → bank-direct settlement legs (0.25% fee deducted). 11. Borrower receives funds; repayment monitored automatically.</w:t>
      </w:r>
    </w:p>
    <w:p>
      <w:pPr>
        <w:spacing w:after="80" w:line="293" w:lineRule="auto"/>
        <w:jc w:val="left"/>
      </w:pPr>
      <w:r>
        <w:rPr>
          <w:rFonts w:ascii="Times New Roman" w:hAnsi="Times New Roman" w:cs="Times New Roman"/>
          <w:b w:val="0"/>
          <w:i w:val="0"/>
          <w:sz w:val="22"/>
        </w:rPr>
        <w:t>✓ Financing completed.</w:t>
      </w:r>
    </w:p>
    <w:p>
      <w:pPr>
        <w:keepNext/>
        <w:spacing w:before="140" w:after="60"/>
        <w:outlineLvl w:val="3"/>
      </w:pPr>
      <w:r>
        <w:rPr>
          <w:rFonts w:ascii="Arial" w:hAnsi="Arial" w:cs="Arial"/>
          <w:b/>
          <w:i/>
          <w:color w:val="333333"/>
          <w:sz w:val="22"/>
        </w:rPr>
        <w:t>16.14.5.6 Declaring Distressed Cargo (Seller)</w:t>
      </w:r>
    </w:p>
    <w:p>
      <w:pPr>
        <w:spacing w:after="80" w:line="293" w:lineRule="auto"/>
        <w:jc w:val="left"/>
      </w:pPr>
      <w:r>
        <w:rPr>
          <w:rFonts w:ascii="Times New Roman" w:hAnsi="Times New Roman" w:cs="Times New Roman"/>
          <w:b w:val="0"/>
          <w:i w:val="0"/>
          <w:sz w:val="22"/>
        </w:rPr>
        <w:t>1. From the Distressed Cargo &amp; Notifications tab (sidebar). 2. Click "Declare Distressed". 3. Select affected pallets/containers. 4. Describe condition, upload photos. 5. AI condition assessment runs (A2) → condition score. 6. Dynamic pricing (XGBoost) → suggested price range. 7. Accept or override price. 8. Triage Dashboard: choose "Sell Quickly", "Comply with Local Law", or "File Insurance Claim". 9. If "Sell Quickly": click "Check Buyers" → select eligible saved contacts. 10. Click "Start Accelerated Outreach" → privacy notice acknowledged. 11. Notifications sent to selected buyers (time-boxed, floor price). 12. Buyers submit offers; seller accepts (one click). 13. Microcontract generated; seller pays distressed fee (one click). 14. Microcontract locked; microUSTN generated.</w:t>
      </w:r>
    </w:p>
    <w:p>
      <w:pPr>
        <w:spacing w:after="80" w:line="293" w:lineRule="auto"/>
        <w:jc w:val="left"/>
      </w:pPr>
      <w:r>
        <w:rPr>
          <w:rFonts w:ascii="Times New Roman" w:hAnsi="Times New Roman" w:cs="Times New Roman"/>
          <w:b w:val="0"/>
          <w:i w:val="0"/>
          <w:sz w:val="22"/>
        </w:rPr>
        <w:t>✓ Distressed cargo resolved.</w:t>
      </w:r>
    </w:p>
    <w:p>
      <w:pPr>
        <w:keepNext/>
        <w:spacing w:before="180" w:after="80"/>
        <w:outlineLvl w:val="2"/>
      </w:pPr>
      <w:r>
        <w:rPr>
          <w:rFonts w:ascii="Arial" w:hAnsi="Arial" w:cs="Arial"/>
          <w:b/>
          <w:i w:val="0"/>
          <w:color w:val="333333"/>
          <w:sz w:val="23"/>
        </w:rPr>
        <w:t>16.14.6 Portal Switching Guide</w:t>
      </w:r>
    </w:p>
    <w:p>
      <w:pPr>
        <w:keepNext/>
        <w:spacing w:before="140" w:after="60"/>
        <w:outlineLvl w:val="3"/>
      </w:pPr>
      <w:r>
        <w:rPr>
          <w:rFonts w:ascii="Arial" w:hAnsi="Arial" w:cs="Arial"/>
          <w:b/>
          <w:i/>
          <w:color w:val="333333"/>
          <w:sz w:val="22"/>
        </w:rPr>
        <w:t>16.14.6.1 Dual-Mode Toggle (Trader Portal Only)</w:t>
      </w:r>
    </w:p>
    <w:p>
      <w:pPr>
        <w:spacing w:after="80" w:line="293" w:lineRule="auto"/>
        <w:jc w:val="left"/>
      </w:pPr>
      <w:r>
        <w:rPr>
          <w:rFonts w:ascii="Times New Roman" w:hAnsi="Times New Roman" w:cs="Times New Roman"/>
          <w:b w:val="0"/>
          <w:i w:val="0"/>
          <w:sz w:val="22"/>
        </w:rPr>
        <w:t>Visibility conditions: tenant type = TRD; `default_trader_mode` = DUAL; employee `allow_role_switching` = true; employee's role includes both BUY and SELL. One-click: click toggle → portal context switches instantly.</w:t>
      </w:r>
    </w:p>
    <w:p>
      <w:pPr>
        <w:keepNext/>
        <w:spacing w:before="140" w:after="60"/>
        <w:outlineLvl w:val="3"/>
      </w:pPr>
      <w:r>
        <w:rPr>
          <w:rFonts w:ascii="Arial" w:hAnsi="Arial" w:cs="Arial"/>
          <w:b/>
          <w:i/>
          <w:color w:val="333333"/>
          <w:sz w:val="22"/>
        </w:rPr>
        <w:t>16.14.6.2 Portal Access Points</w:t>
      </w:r>
    </w:p>
    <w:p>
      <w:pPr>
        <w:spacing w:after="80" w:line="293" w:lineRule="auto"/>
        <w:jc w:val="left"/>
      </w:pPr>
      <w:r>
        <w:rPr>
          <w:rFonts w:ascii="Times New Roman" w:hAnsi="Times New Roman" w:cs="Times New Roman"/>
          <w:b w:val="0"/>
          <w:i w:val="0"/>
          <w:sz w:val="22"/>
        </w:rPr>
        <w:t>Each portal is reachable at its own URL path under the authenticated session (`/portal/{role}`), and the global header avatar menu lists the portals the employee can access. Employees with multi-portal access (e.g., an admin supporting a government tenant) switch via the avatar menu without re-authentication (session token carries the employee identity; OPA gates portal entry).</w:t>
      </w:r>
    </w:p>
    <w:p>
      <w:pPr>
        <w:keepNext/>
        <w:spacing w:before="140" w:after="60"/>
        <w:outlineLvl w:val="3"/>
      </w:pPr>
      <w:r>
        <w:rPr>
          <w:rFonts w:ascii="Arial" w:hAnsi="Arial" w:cs="Arial"/>
          <w:b/>
          <w:i/>
          <w:color w:val="333333"/>
          <w:sz w:val="22"/>
        </w:rPr>
        <w:t>16.14.6.3 Mobile App Access</w:t>
      </w:r>
    </w:p>
    <w:p>
      <w:pPr>
        <w:spacing w:after="80" w:line="293" w:lineRule="auto"/>
        <w:jc w:val="left"/>
      </w:pPr>
      <w:r>
        <w:rPr>
          <w:rFonts w:ascii="Times New Roman" w:hAnsi="Times New Roman" w:cs="Times New Roman"/>
          <w:b w:val="0"/>
          <w:i w:val="0"/>
          <w:sz w:val="22"/>
        </w:rPr>
        <w:t>Companion mobile apps authenticate with the same ZITADEL passkey credentials and inherit the employee's portal permissions; the Smart Inbox and Command Center are available in all mobile apps.</w:t>
      </w:r>
    </w:p>
    <w:p>
      <w:pPr>
        <w:keepNext/>
        <w:spacing w:before="180" w:after="80"/>
        <w:outlineLvl w:val="2"/>
      </w:pPr>
      <w:r>
        <w:rPr>
          <w:rFonts w:ascii="Arial" w:hAnsi="Arial" w:cs="Arial"/>
          <w:b/>
          <w:i w:val="0"/>
          <w:color w:val="333333"/>
          <w:sz w:val="23"/>
        </w:rPr>
        <w:t>16.14.7 Keyboard Shortcuts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Shortcut</w:t>
            </w:r>
          </w:p>
        </w:tc>
        <w:tc>
          <w:tcPr>
            <w:tcW w:type="dxa" w:w="4819"/>
            <w:shd w:val="clear" w:fill="D9E2F3"/>
          </w:tcPr>
          <w:p>
            <w:pPr>
              <w:spacing w:after="20" w:before="20" w:line="240" w:lineRule="auto"/>
            </w:pPr>
            <w:r/>
            <w:r>
              <w:rPr>
                <w:rFonts w:ascii="Arial" w:hAnsi="Arial" w:cs="Arial"/>
                <w:b/>
                <w:i w:val="0"/>
                <w:sz w:val="18"/>
              </w:rPr>
              <w:t>Action</w:t>
            </w:r>
          </w:p>
        </w:tc>
      </w:tr>
      <w:tr>
        <w:tc>
          <w:tcPr>
            <w:tcW w:type="dxa" w:w="4819"/>
          </w:tcPr>
          <w:p>
            <w:pPr>
              <w:spacing w:after="20" w:before="20" w:line="240" w:lineRule="auto"/>
            </w:pPr>
            <w:r/>
            <w:r>
              <w:rPr>
                <w:rFonts w:ascii="Arial" w:hAnsi="Arial" w:cs="Arial"/>
                <w:b w:val="0"/>
                <w:i w:val="0"/>
                <w:sz w:val="17"/>
              </w:rPr>
              <w:t>Ctrl/Cmd + K</w:t>
            </w:r>
          </w:p>
        </w:tc>
        <w:tc>
          <w:tcPr>
            <w:tcW w:type="dxa" w:w="4819"/>
          </w:tcPr>
          <w:p>
            <w:pPr>
              <w:spacing w:after="20" w:before="20" w:line="240" w:lineRule="auto"/>
            </w:pPr>
            <w:r/>
            <w:r>
              <w:rPr>
                <w:rFonts w:ascii="Arial" w:hAnsi="Arial" w:cs="Arial"/>
                <w:b w:val="0"/>
                <w:i w:val="0"/>
                <w:sz w:val="17"/>
              </w:rPr>
              <w:t>Focus first quick action in the Command Center</w:t>
            </w:r>
          </w:p>
        </w:tc>
      </w:tr>
      <w:tr>
        <w:tc>
          <w:tcPr>
            <w:tcW w:type="dxa" w:w="4819"/>
          </w:tcPr>
          <w:p>
            <w:pPr>
              <w:spacing w:after="20" w:before="20" w:line="240" w:lineRule="auto"/>
            </w:pPr>
            <w:r/>
            <w:r>
              <w:rPr>
                <w:rFonts w:ascii="Arial" w:hAnsi="Arial" w:cs="Arial"/>
                <w:b w:val="0"/>
                <w:i w:val="0"/>
                <w:sz w:val="17"/>
              </w:rPr>
              <w:t>/</w:t>
            </w:r>
          </w:p>
        </w:tc>
        <w:tc>
          <w:tcPr>
            <w:tcW w:type="dxa" w:w="4819"/>
          </w:tcPr>
          <w:p>
            <w:pPr>
              <w:spacing w:after="20" w:before="20" w:line="240" w:lineRule="auto"/>
            </w:pPr>
            <w:r/>
            <w:r>
              <w:rPr>
                <w:rFonts w:ascii="Arial" w:hAnsi="Arial" w:cs="Arial"/>
                <w:b w:val="0"/>
                <w:i w:val="0"/>
                <w:sz w:val="17"/>
              </w:rPr>
              <w:t>Focus global search</w:t>
            </w:r>
          </w:p>
        </w:tc>
      </w:tr>
      <w:tr>
        <w:tc>
          <w:tcPr>
            <w:tcW w:type="dxa" w:w="4819"/>
          </w:tcPr>
          <w:p>
            <w:pPr>
              <w:spacing w:after="20" w:before="20" w:line="240" w:lineRule="auto"/>
            </w:pPr>
            <w:r/>
            <w:r>
              <w:rPr>
                <w:rFonts w:ascii="Arial" w:hAnsi="Arial" w:cs="Arial"/>
                <w:b w:val="0"/>
                <w:i w:val="0"/>
                <w:sz w:val="17"/>
              </w:rPr>
              <w:t>G then I</w:t>
            </w:r>
          </w:p>
        </w:tc>
        <w:tc>
          <w:tcPr>
            <w:tcW w:type="dxa" w:w="4819"/>
          </w:tcPr>
          <w:p>
            <w:pPr>
              <w:spacing w:after="20" w:before="20" w:line="240" w:lineRule="auto"/>
            </w:pPr>
            <w:r/>
            <w:r>
              <w:rPr>
                <w:rFonts w:ascii="Arial" w:hAnsi="Arial" w:cs="Arial"/>
                <w:b w:val="0"/>
                <w:i w:val="0"/>
                <w:sz w:val="17"/>
              </w:rPr>
              <w:t>Go to Smart Inbox</w:t>
            </w:r>
          </w:p>
        </w:tc>
      </w:tr>
      <w:tr>
        <w:tc>
          <w:tcPr>
            <w:tcW w:type="dxa" w:w="4819"/>
          </w:tcPr>
          <w:p>
            <w:pPr>
              <w:spacing w:after="20" w:before="20" w:line="240" w:lineRule="auto"/>
            </w:pPr>
            <w:r/>
            <w:r>
              <w:rPr>
                <w:rFonts w:ascii="Arial" w:hAnsi="Arial" w:cs="Arial"/>
                <w:b w:val="0"/>
                <w:i w:val="0"/>
                <w:sz w:val="17"/>
              </w:rPr>
              <w:t>G then S</w:t>
            </w:r>
          </w:p>
        </w:tc>
        <w:tc>
          <w:tcPr>
            <w:tcW w:type="dxa" w:w="4819"/>
          </w:tcPr>
          <w:p>
            <w:pPr>
              <w:spacing w:after="20" w:before="20" w:line="240" w:lineRule="auto"/>
            </w:pPr>
            <w:r/>
            <w:r>
              <w:rPr>
                <w:rFonts w:ascii="Arial" w:hAnsi="Arial" w:cs="Arial"/>
                <w:b w:val="0"/>
                <w:i w:val="0"/>
                <w:sz w:val="17"/>
              </w:rPr>
              <w:t>Go to Shipments Vault</w:t>
            </w:r>
          </w:p>
        </w:tc>
      </w:tr>
      <w:tr>
        <w:tc>
          <w:tcPr>
            <w:tcW w:type="dxa" w:w="4819"/>
          </w:tcPr>
          <w:p>
            <w:pPr>
              <w:spacing w:after="20" w:before="20" w:line="240" w:lineRule="auto"/>
            </w:pPr>
            <w:r/>
            <w:r>
              <w:rPr>
                <w:rFonts w:ascii="Arial" w:hAnsi="Arial" w:cs="Arial"/>
                <w:b w:val="0"/>
                <w:i w:val="0"/>
                <w:sz w:val="17"/>
              </w:rPr>
              <w:t>G then C</w:t>
            </w:r>
          </w:p>
        </w:tc>
        <w:tc>
          <w:tcPr>
            <w:tcW w:type="dxa" w:w="4819"/>
          </w:tcPr>
          <w:p>
            <w:pPr>
              <w:spacing w:after="20" w:before="20" w:line="240" w:lineRule="auto"/>
            </w:pPr>
            <w:r/>
            <w:r>
              <w:rPr>
                <w:rFonts w:ascii="Arial" w:hAnsi="Arial" w:cs="Arial"/>
                <w:b w:val="0"/>
                <w:i w:val="0"/>
                <w:sz w:val="17"/>
              </w:rPr>
              <w:t>Go to Command Center</w:t>
            </w:r>
          </w:p>
        </w:tc>
      </w:tr>
      <w:tr>
        <w:tc>
          <w:tcPr>
            <w:tcW w:type="dxa" w:w="4819"/>
          </w:tcPr>
          <w:p>
            <w:pPr>
              <w:spacing w:after="20" w:before="20" w:line="240" w:lineRule="auto"/>
            </w:pPr>
            <w:r/>
            <w:r>
              <w:rPr>
                <w:rFonts w:ascii="Arial" w:hAnsi="Arial" w:cs="Arial"/>
                <w:b w:val="0"/>
                <w:i w:val="0"/>
                <w:sz w:val="17"/>
              </w:rPr>
              <w:t>N</w:t>
            </w:r>
          </w:p>
        </w:tc>
        <w:tc>
          <w:tcPr>
            <w:tcW w:type="dxa" w:w="4819"/>
          </w:tcPr>
          <w:p>
            <w:pPr>
              <w:spacing w:after="20" w:before="20" w:line="240" w:lineRule="auto"/>
            </w:pPr>
            <w:r/>
            <w:r>
              <w:rPr>
                <w:rFonts w:ascii="Arial" w:hAnsi="Arial" w:cs="Arial"/>
                <w:b w:val="0"/>
                <w:i w:val="0"/>
                <w:sz w:val="17"/>
              </w:rPr>
              <w:t>New Trade Request (buyer mode)</w:t>
            </w:r>
          </w:p>
        </w:tc>
      </w:tr>
      <w:tr>
        <w:tc>
          <w:tcPr>
            <w:tcW w:type="dxa" w:w="4819"/>
          </w:tcPr>
          <w:p>
            <w:pPr>
              <w:spacing w:after="20" w:before="20" w:line="240" w:lineRule="auto"/>
            </w:pPr>
            <w:r/>
            <w:r>
              <w:rPr>
                <w:rFonts w:ascii="Arial" w:hAnsi="Arial" w:cs="Arial"/>
                <w:b w:val="0"/>
                <w:i w:val="0"/>
                <w:sz w:val="17"/>
              </w:rPr>
              <w:t>?</w:t>
            </w:r>
          </w:p>
        </w:tc>
        <w:tc>
          <w:tcPr>
            <w:tcW w:type="dxa" w:w="4819"/>
          </w:tcPr>
          <w:p>
            <w:pPr>
              <w:spacing w:after="20" w:before="20" w:line="240" w:lineRule="auto"/>
            </w:pPr>
            <w:r/>
            <w:r>
              <w:rPr>
                <w:rFonts w:ascii="Arial" w:hAnsi="Arial" w:cs="Arial"/>
                <w:b w:val="0"/>
                <w:i w:val="0"/>
                <w:sz w:val="17"/>
              </w:rPr>
              <w:t>Open keyboard shortcut help</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16.14.8 Dual-Mode Toggle (Trader Portal)</w:t>
      </w:r>
    </w:p>
    <w:p>
      <w:pPr>
        <w:keepNext/>
        <w:spacing w:before="140" w:after="60"/>
        <w:outlineLvl w:val="3"/>
      </w:pPr>
      <w:r>
        <w:rPr>
          <w:rFonts w:ascii="Arial" w:hAnsi="Arial" w:cs="Arial"/>
          <w:b/>
          <w:i/>
          <w:color w:val="333333"/>
          <w:sz w:val="22"/>
        </w:rPr>
        <w:t>16.14.8.1 Purpose &amp; Design</w:t>
      </w:r>
    </w:p>
    <w:p>
      <w:pPr>
        <w:spacing w:after="80" w:line="293" w:lineRule="auto"/>
        <w:jc w:val="left"/>
      </w:pPr>
      <w:r>
        <w:rPr>
          <w:rFonts w:ascii="Times New Roman" w:hAnsi="Times New Roman" w:cs="Times New Roman"/>
          <w:b w:val="0"/>
          <w:i w:val="0"/>
          <w:sz w:val="22"/>
        </w:rPr>
        <w:t>Allows trading companies with DUAL mode to switch between the Buyer Dashboard (inbound) and Seller Dashboard (outbound) with a single click. The toggle provides clear visual feedback to prevent mode confusion. Visibility conditions (all must be true): tenant type = TRD; `default_trader_mode` = DUAL; employee `allow_role_switching` = true (from data scopes); employee's role includes `allowed_trader_modes` containing both BUY and SELL.</w:t>
      </w:r>
    </w:p>
    <w:p>
      <w:pPr>
        <w:keepNext/>
        <w:spacing w:before="140" w:after="60"/>
        <w:outlineLvl w:val="3"/>
      </w:pPr>
      <w:r>
        <w:rPr>
          <w:rFonts w:ascii="Arial" w:hAnsi="Arial" w:cs="Arial"/>
          <w:b/>
          <w:i/>
          <w:color w:val="333333"/>
          <w:sz w:val="22"/>
        </w:rPr>
        <w:t>16.14.8.2 UI Placement &amp; Visual Appearance</w:t>
      </w:r>
    </w:p>
    <w:p>
      <w:pPr>
        <w:spacing w:after="80" w:line="293" w:lineRule="auto"/>
        <w:jc w:val="left"/>
      </w:pPr>
      <w:r>
        <w:rPr>
          <w:rFonts w:ascii="Times New Roman" w:hAnsi="Times New Roman" w:cs="Times New Roman"/>
          <w:b w:val="0"/>
          <w:i w:val="0"/>
          <w:sz w:val="22"/>
        </w:rPr>
        <w:t>Placement: global header, to the right of the notifications bell and left of the user avatar — a two-segment control [Buyer | Seller] with the active segment highlighted. When switching, an animated slide effect moves the highlight from one segment to the other. The active mode is also displayed as a badge next to the user's avatar.</w:t>
      </w:r>
    </w:p>
    <w:p>
      <w:pPr>
        <w:keepNext/>
        <w:spacing w:before="140" w:after="60"/>
        <w:outlineLvl w:val="3"/>
      </w:pPr>
      <w:r>
        <w:rPr>
          <w:rFonts w:ascii="Arial" w:hAnsi="Arial" w:cs="Arial"/>
          <w:b/>
          <w:i/>
          <w:color w:val="333333"/>
          <w:sz w:val="22"/>
        </w:rPr>
        <w:t>16.14.8.3 Behaviour on Toggle</w:t>
      </w:r>
    </w:p>
    <w:p>
      <w:pPr>
        <w:spacing w:after="80" w:line="293" w:lineRule="auto"/>
        <w:jc w:val="left"/>
      </w:pPr>
      <w:r>
        <w:rPr>
          <w:rFonts w:ascii="Times New Roman" w:hAnsi="Times New Roman" w:cs="Times New Roman"/>
          <w:b w:val="0"/>
          <w:i w:val="0"/>
          <w:sz w:val="22"/>
        </w:rPr>
        <w:t>Clicking the toggle: publishes the context-switch request (`POST /v1/employee/switch-context`); updates the JWT's `active_trader_mode_context` claim; soft-reloads the Smart Inbox, Shipments Vault, TCC, and sidebar; OPA filters all items and actions by the new context. The switch is an explicit, audited action recorded in the employee's session history.</w:t>
      </w:r>
    </w:p>
    <w:p>
      <w:pPr>
        <w:keepNext/>
        <w:spacing w:before="140" w:after="60"/>
        <w:outlineLvl w:val="3"/>
      </w:pPr>
      <w:r>
        <w:rPr>
          <w:rFonts w:ascii="Arial" w:hAnsi="Arial" w:cs="Arial"/>
          <w:b/>
          <w:i/>
          <w:color w:val="333333"/>
          <w:sz w:val="22"/>
        </w:rPr>
        <w:t>16.14.8.4 Accessibility</w:t>
      </w:r>
    </w:p>
    <w:p>
      <w:pPr>
        <w:spacing w:after="80" w:line="293" w:lineRule="auto"/>
        <w:jc w:val="left"/>
      </w:pPr>
      <w:r>
        <w:rPr>
          <w:rFonts w:ascii="Times New Roman" w:hAnsi="Times New Roman" w:cs="Times New Roman"/>
          <w:b w:val="0"/>
          <w:i w:val="0"/>
          <w:sz w:val="22"/>
        </w:rPr>
        <w:t>The toggle is fully keyboard-operable (Tab to focus, Enter to switch), exposes its state to screen readers via `aria-pressed`, and the active mode is announced after switching.</w:t>
      </w:r>
    </w:p>
    <w:p>
      <w:pPr>
        <w:keepNext/>
        <w:spacing w:before="140" w:after="60"/>
        <w:outlineLvl w:val="3"/>
      </w:pPr>
      <w:r>
        <w:rPr>
          <w:rFonts w:ascii="Arial" w:hAnsi="Arial" w:cs="Arial"/>
          <w:b/>
          <w:i/>
          <w:color w:val="333333"/>
          <w:sz w:val="22"/>
        </w:rPr>
        <w:t>16.14.8.5 Governance</w:t>
      </w:r>
    </w:p>
    <w:p>
      <w:pPr>
        <w:spacing w:after="80" w:line="293" w:lineRule="auto"/>
        <w:jc w:val="left"/>
      </w:pPr>
      <w:r>
        <w:rPr>
          <w:rFonts w:ascii="Times New Roman" w:hAnsi="Times New Roman" w:cs="Times New Roman"/>
          <w:b w:val="0"/>
          <w:i w:val="0"/>
          <w:sz w:val="22"/>
        </w:rPr>
        <w:t>OPA policies enforce that actions are allowed in the current mode. If a user attempts an action in the wrong mode, the Governor returns a DENY with a Decision Panel that includes a "Switch to Seller/Buyer Mode" button — one click to switch and retry.</w:t>
      </w:r>
    </w:p>
    <w:p>
      <w:pPr>
        <w:keepNext/>
        <w:spacing w:before="180" w:after="80"/>
        <w:outlineLvl w:val="2"/>
      </w:pPr>
      <w:r>
        <w:rPr>
          <w:rFonts w:ascii="Arial" w:hAnsi="Arial" w:cs="Arial"/>
          <w:b/>
          <w:i w:val="0"/>
          <w:color w:val="333333"/>
          <w:sz w:val="23"/>
        </w:rPr>
        <w:t>16.14.9 Feedback &amp; Help System</w:t>
      </w:r>
    </w:p>
    <w:p>
      <w:pPr>
        <w:keepNext/>
        <w:spacing w:before="140" w:after="60"/>
        <w:outlineLvl w:val="3"/>
      </w:pPr>
      <w:r>
        <w:rPr>
          <w:rFonts w:ascii="Arial" w:hAnsi="Arial" w:cs="Arial"/>
          <w:b/>
          <w:i/>
          <w:color w:val="333333"/>
          <w:sz w:val="22"/>
        </w:rPr>
        <w:t>16.14.9.1 Purpose</w:t>
      </w:r>
    </w:p>
    <w:p>
      <w:pPr>
        <w:spacing w:after="80" w:line="293" w:lineRule="auto"/>
        <w:jc w:val="left"/>
      </w:pPr>
      <w:r>
        <w:rPr>
          <w:rFonts w:ascii="Times New Roman" w:hAnsi="Times New Roman" w:cs="Times New Roman"/>
          <w:b w:val="0"/>
          <w:i w:val="0"/>
          <w:sz w:val="22"/>
        </w:rPr>
        <w:t>Provide a persistent, one-click mechanism for users to report issues, suggest improvements, or request help, seamlessly integrating with the Customer Care Chatbot (16.7) and the support ticketing system. UI component: a floating action button (FAB) positioned at the bottom-right corner of every portal screen.</w:t>
      </w:r>
    </w:p>
    <w:p>
      <w:pPr>
        <w:keepNext/>
        <w:spacing w:before="140" w:after="60"/>
        <w:outlineLvl w:val="3"/>
      </w:pPr>
      <w:r>
        <w:rPr>
          <w:rFonts w:ascii="Arial" w:hAnsi="Arial" w:cs="Arial"/>
          <w:b/>
          <w:i/>
          <w:color w:val="333333"/>
          <w:sz w:val="22"/>
        </w:rPr>
        <w:t>16.14.9.2 Modal Tabs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Tab</w:t>
            </w:r>
          </w:p>
        </w:tc>
        <w:tc>
          <w:tcPr>
            <w:tcW w:type="dxa" w:w="4819"/>
            <w:shd w:val="clear" w:fill="D9E2F3"/>
          </w:tcPr>
          <w:p>
            <w:pPr>
              <w:spacing w:after="20" w:before="20" w:line="240" w:lineRule="auto"/>
            </w:pPr>
            <w:r/>
            <w:r>
              <w:rPr>
                <w:rFonts w:ascii="Arial" w:hAnsi="Arial" w:cs="Arial"/>
                <w:b/>
                <w:i w:val="0"/>
                <w:sz w:val="18"/>
              </w:rPr>
              <w:t>Content</w:t>
            </w:r>
          </w:p>
        </w:tc>
      </w:tr>
      <w:tr>
        <w:tc>
          <w:tcPr>
            <w:tcW w:type="dxa" w:w="4819"/>
          </w:tcPr>
          <w:p>
            <w:pPr>
              <w:spacing w:after="20" w:before="20" w:line="240" w:lineRule="auto"/>
            </w:pPr>
            <w:r/>
            <w:r>
              <w:rPr>
                <w:rFonts w:ascii="Arial" w:hAnsi="Arial" w:cs="Arial"/>
                <w:b w:val="0"/>
                <w:i w:val="0"/>
                <w:sz w:val="17"/>
              </w:rPr>
              <w:t>Report an Issue</w:t>
            </w:r>
          </w:p>
        </w:tc>
        <w:tc>
          <w:tcPr>
            <w:tcW w:type="dxa" w:w="4819"/>
          </w:tcPr>
          <w:p>
            <w:pPr>
              <w:spacing w:after="20" w:before="20" w:line="240" w:lineRule="auto"/>
            </w:pPr>
            <w:r/>
            <w:r>
              <w:rPr>
                <w:rFonts w:ascii="Arial" w:hAnsi="Arial" w:cs="Arial"/>
                <w:b w:val="0"/>
                <w:i w:val="0"/>
                <w:sz w:val="17"/>
              </w:rPr>
              <w:t>Category, description, optional screenshot attachment, severity</w:t>
            </w:r>
          </w:p>
        </w:tc>
      </w:tr>
      <w:tr>
        <w:tc>
          <w:tcPr>
            <w:tcW w:type="dxa" w:w="4819"/>
          </w:tcPr>
          <w:p>
            <w:pPr>
              <w:spacing w:after="20" w:before="20" w:line="240" w:lineRule="auto"/>
            </w:pPr>
            <w:r/>
            <w:r>
              <w:rPr>
                <w:rFonts w:ascii="Arial" w:hAnsi="Arial" w:cs="Arial"/>
                <w:b w:val="0"/>
                <w:i w:val="0"/>
                <w:sz w:val="17"/>
              </w:rPr>
              <w:t>Suggest Improvement</w:t>
            </w:r>
          </w:p>
        </w:tc>
        <w:tc>
          <w:tcPr>
            <w:tcW w:type="dxa" w:w="4819"/>
          </w:tcPr>
          <w:p>
            <w:pPr>
              <w:spacing w:after="20" w:before="20" w:line="240" w:lineRule="auto"/>
            </w:pPr>
            <w:r/>
            <w:r>
              <w:rPr>
                <w:rFonts w:ascii="Arial" w:hAnsi="Arial" w:cs="Arial"/>
                <w:b w:val="0"/>
                <w:i w:val="0"/>
                <w:sz w:val="17"/>
              </w:rPr>
              <w:t>Free-text suggestion, optional target feature</w:t>
            </w:r>
          </w:p>
        </w:tc>
      </w:tr>
      <w:tr>
        <w:tc>
          <w:tcPr>
            <w:tcW w:type="dxa" w:w="4819"/>
          </w:tcPr>
          <w:p>
            <w:pPr>
              <w:spacing w:after="20" w:before="20" w:line="240" w:lineRule="auto"/>
            </w:pPr>
            <w:r/>
            <w:r>
              <w:rPr>
                <w:rFonts w:ascii="Arial" w:hAnsi="Arial" w:cs="Arial"/>
                <w:b w:val="0"/>
                <w:i w:val="0"/>
                <w:sz w:val="17"/>
              </w:rPr>
              <w:t>Get Help</w:t>
            </w:r>
          </w:p>
        </w:tc>
        <w:tc>
          <w:tcPr>
            <w:tcW w:type="dxa" w:w="4819"/>
          </w:tcPr>
          <w:p>
            <w:pPr>
              <w:spacing w:after="20" w:before="20" w:line="240" w:lineRule="auto"/>
            </w:pPr>
            <w:r/>
            <w:r>
              <w:rPr>
                <w:rFonts w:ascii="Arial" w:hAnsi="Arial" w:cs="Arial"/>
                <w:b w:val="0"/>
                <w:i w:val="0"/>
                <w:sz w:val="17"/>
              </w:rPr>
              <w:t>Opens the Customer Care Chatbot (16.7); escalation to human support</w:t>
            </w:r>
          </w:p>
        </w:tc>
      </w:tr>
      <w:tr>
        <w:tc>
          <w:tcPr>
            <w:tcW w:type="dxa" w:w="4819"/>
          </w:tcPr>
          <w:p>
            <w:pPr>
              <w:spacing w:after="20" w:before="20" w:line="240" w:lineRule="auto"/>
            </w:pPr>
            <w:r/>
            <w:r>
              <w:rPr>
                <w:rFonts w:ascii="Arial" w:hAnsi="Arial" w:cs="Arial"/>
                <w:b w:val="0"/>
                <w:i w:val="0"/>
                <w:sz w:val="17"/>
              </w:rPr>
              <w:t>Status</w:t>
            </w:r>
          </w:p>
        </w:tc>
        <w:tc>
          <w:tcPr>
            <w:tcW w:type="dxa" w:w="4819"/>
          </w:tcPr>
          <w:p>
            <w:pPr>
              <w:spacing w:after="20" w:before="20" w:line="240" w:lineRule="auto"/>
            </w:pPr>
            <w:r/>
            <w:r>
              <w:rPr>
                <w:rFonts w:ascii="Arial" w:hAnsi="Arial" w:cs="Arial"/>
                <w:b w:val="0"/>
                <w:i w:val="0"/>
                <w:sz w:val="17"/>
              </w:rPr>
              <w:t>Link to the platform status page and current incident list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16.14.9.3 Submission Workflow</w:t>
      </w:r>
    </w:p>
    <w:p>
      <w:pPr>
        <w:spacing w:after="80" w:line="293" w:lineRule="auto"/>
        <w:jc w:val="left"/>
      </w:pPr>
      <w:r>
        <w:rPr>
          <w:rFonts w:ascii="Times New Roman" w:hAnsi="Times New Roman" w:cs="Times New Roman"/>
          <w:b w:val="0"/>
          <w:i w:val="0"/>
          <w:sz w:val="22"/>
        </w:rPr>
        <w:t>Submit → feedback_tickets row created → routed (Critical issues create Smart Inbox alerts for the support team; others enter the queue) → user receives ticket reference → ticket updates appear as Smart Inbox items. One-click guarantee: submitting feedback is one click (plus the typed description).</w:t>
      </w:r>
    </w:p>
    <w:p>
      <w:pPr>
        <w:keepNext/>
        <w:spacing w:before="180" w:after="80"/>
        <w:outlineLvl w:val="2"/>
      </w:pPr>
      <w:r>
        <w:rPr>
          <w:rFonts w:ascii="Arial" w:hAnsi="Arial" w:cs="Arial"/>
          <w:b/>
          <w:i w:val="0"/>
          <w:color w:val="333333"/>
          <w:sz w:val="23"/>
        </w:rPr>
        <w:t>16.14.10 Adaptive Experience Engine (Guided Mode / Expert Mode)</w:t>
      </w:r>
    </w:p>
    <w:p>
      <w:pPr>
        <w:keepNext/>
        <w:spacing w:before="140" w:after="60"/>
        <w:outlineLvl w:val="3"/>
      </w:pPr>
      <w:r>
        <w:rPr>
          <w:rFonts w:ascii="Arial" w:hAnsi="Arial" w:cs="Arial"/>
          <w:b/>
          <w:i/>
          <w:color w:val="333333"/>
          <w:sz w:val="22"/>
        </w:rPr>
        <w:t>16.14.10.1 Purpose</w:t>
      </w:r>
    </w:p>
    <w:p>
      <w:pPr>
        <w:spacing w:after="80" w:line="293" w:lineRule="auto"/>
        <w:jc w:val="left"/>
      </w:pPr>
      <w:r>
        <w:rPr>
          <w:rFonts w:ascii="Times New Roman" w:hAnsi="Times New Roman" w:cs="Times New Roman"/>
          <w:b w:val="0"/>
          <w:i w:val="0"/>
          <w:sz w:val="22"/>
        </w:rPr>
        <w:t>Provide two distinct user experience modes — Guided Mode for new or infrequent users (SMEs, new exporters) with step-by-step wizards, and Expert Mode for frequent users with direct access and minimal confirmations.</w:t>
      </w:r>
    </w:p>
    <w:p>
      <w:pPr>
        <w:keepNext/>
        <w:spacing w:before="140" w:after="60"/>
        <w:outlineLvl w:val="3"/>
      </w:pPr>
      <w:r>
        <w:rPr>
          <w:rFonts w:ascii="Arial" w:hAnsi="Arial" w:cs="Arial"/>
          <w:b/>
          <w:i/>
          <w:color w:val="333333"/>
          <w:sz w:val="22"/>
        </w:rPr>
        <w:t>16.14.10.2 Mode Selection</w:t>
      </w:r>
    </w:p>
    <w:p>
      <w:pPr>
        <w:spacing w:after="80" w:line="293" w:lineRule="auto"/>
        <w:jc w:val="left"/>
      </w:pPr>
      <w:r>
        <w:rPr>
          <w:rFonts w:ascii="Times New Roman" w:hAnsi="Times New Roman" w:cs="Times New Roman"/>
          <w:b w:val="0"/>
          <w:i w:val="0"/>
          <w:sz w:val="22"/>
        </w:rPr>
        <w:t>Mode selection happens at onboarding (A7 wizard, 23.5.7) and can be changed at any time in Company Admin → Settings or from the Command Center settings panel. The selected mode is stored on the employee record (`experience_mode`).</w:t>
      </w:r>
    </w:p>
    <w:p>
      <w:pPr>
        <w:keepNext/>
        <w:spacing w:before="140" w:after="60"/>
        <w:outlineLvl w:val="3"/>
      </w:pPr>
      <w:r>
        <w:rPr>
          <w:rFonts w:ascii="Arial" w:hAnsi="Arial" w:cs="Arial"/>
          <w:b/>
          <w:i/>
          <w:color w:val="333333"/>
          <w:sz w:val="22"/>
        </w:rPr>
        <w:t>16.14.10.3 Guided Mode Features</w:t>
      </w:r>
    </w:p>
    <w:p>
      <w:pPr>
        <w:spacing w:after="80" w:line="293" w:lineRule="auto"/>
        <w:ind w:left="283"/>
        <w:jc w:val="left"/>
      </w:pPr>
      <w:r>
        <w:rPr>
          <w:rFonts w:ascii="Times New Roman" w:hAnsi="Times New Roman" w:cs="Times New Roman"/>
          <w:b w:val="0"/>
          <w:i w:val="0"/>
          <w:sz w:val="22"/>
        </w:rPr>
        <w:t>- Step-by-step wizards for each workflow (trade request, quote, contract, distressed, dispute).</w:t>
      </w:r>
    </w:p>
    <w:p>
      <w:pPr>
        <w:spacing w:after="80" w:line="293" w:lineRule="auto"/>
        <w:ind w:left="283"/>
        <w:jc w:val="left"/>
      </w:pPr>
      <w:r>
        <w:rPr>
          <w:rFonts w:ascii="Times New Roman" w:hAnsi="Times New Roman" w:cs="Times New Roman"/>
          <w:b w:val="0"/>
          <w:i w:val="0"/>
          <w:sz w:val="22"/>
        </w:rPr>
        <w:t>- Inline explanations of every field and every irreversible action.</w:t>
      </w:r>
    </w:p>
    <w:p>
      <w:pPr>
        <w:spacing w:after="80" w:line="293" w:lineRule="auto"/>
        <w:ind w:left="283"/>
        <w:jc w:val="left"/>
      </w:pPr>
      <w:r>
        <w:rPr>
          <w:rFonts w:ascii="Times New Roman" w:hAnsi="Times New Roman" w:cs="Times New Roman"/>
          <w:b w:val="0"/>
          <w:i w:val="0"/>
          <w:sz w:val="22"/>
        </w:rPr>
        <w:t>- AI walkthroughs (A1) that narrate the current step and next step.</w:t>
      </w:r>
    </w:p>
    <w:p>
      <w:pPr>
        <w:spacing w:after="80" w:line="293" w:lineRule="auto"/>
        <w:ind w:left="283"/>
        <w:jc w:val="left"/>
      </w:pPr>
      <w:r>
        <w:rPr>
          <w:rFonts w:ascii="Times New Roman" w:hAnsi="Times New Roman" w:cs="Times New Roman"/>
          <w:b w:val="0"/>
          <w:i w:val="0"/>
          <w:sz w:val="22"/>
        </w:rPr>
        <w:t>- Extra confirmation dialogs before irreversible actions with plain-language consequences.</w:t>
      </w:r>
    </w:p>
    <w:p>
      <w:pPr>
        <w:keepNext/>
        <w:spacing w:before="140" w:after="60"/>
        <w:outlineLvl w:val="3"/>
      </w:pPr>
      <w:r>
        <w:rPr>
          <w:rFonts w:ascii="Arial" w:hAnsi="Arial" w:cs="Arial"/>
          <w:b/>
          <w:i/>
          <w:color w:val="333333"/>
          <w:sz w:val="22"/>
        </w:rPr>
        <w:t>16.14.10.4 Expert Mode Features</w:t>
      </w:r>
    </w:p>
    <w:p>
      <w:pPr>
        <w:spacing w:after="80" w:line="293" w:lineRule="auto"/>
        <w:ind w:left="283"/>
        <w:jc w:val="left"/>
      </w:pPr>
      <w:r>
        <w:rPr>
          <w:rFonts w:ascii="Times New Roman" w:hAnsi="Times New Roman" w:cs="Times New Roman"/>
          <w:b w:val="0"/>
          <w:i w:val="0"/>
          <w:sz w:val="22"/>
        </w:rPr>
        <w:t>- Direct tab access without wizards.</w:t>
      </w:r>
    </w:p>
    <w:p>
      <w:pPr>
        <w:spacing w:after="80" w:line="293" w:lineRule="auto"/>
        <w:ind w:left="283"/>
        <w:jc w:val="left"/>
      </w:pPr>
      <w:r>
        <w:rPr>
          <w:rFonts w:ascii="Times New Roman" w:hAnsi="Times New Roman" w:cs="Times New Roman"/>
          <w:b w:val="0"/>
          <w:i w:val="0"/>
          <w:sz w:val="22"/>
        </w:rPr>
        <w:t>- Bulk actions (bulk approvals, bulk document requests).</w:t>
      </w:r>
    </w:p>
    <w:p>
      <w:pPr>
        <w:spacing w:after="80" w:line="293" w:lineRule="auto"/>
        <w:ind w:left="283"/>
        <w:jc w:val="left"/>
      </w:pPr>
      <w:r>
        <w:rPr>
          <w:rFonts w:ascii="Times New Roman" w:hAnsi="Times New Roman" w:cs="Times New Roman"/>
          <w:b w:val="0"/>
          <w:i w:val="0"/>
          <w:sz w:val="22"/>
        </w:rPr>
        <w:t>- Reduced confirmation dialogs (Governor gates remain — only redundant UI confirmations are</w:t>
      </w:r>
    </w:p>
    <w:p>
      <w:pPr>
        <w:spacing w:after="80" w:line="293" w:lineRule="auto"/>
        <w:jc w:val="left"/>
      </w:pPr>
      <w:r>
        <w:rPr>
          <w:rFonts w:ascii="Times New Roman" w:hAnsi="Times New Roman" w:cs="Times New Roman"/>
          <w:b w:val="0"/>
          <w:i w:val="0"/>
          <w:sz w:val="22"/>
        </w:rPr>
        <w:t>removed).</w:t>
      </w:r>
    </w:p>
    <w:p>
      <w:pPr>
        <w:spacing w:after="80" w:line="293" w:lineRule="auto"/>
        <w:ind w:left="283"/>
        <w:jc w:val="left"/>
      </w:pPr>
      <w:r>
        <w:rPr>
          <w:rFonts w:ascii="Times New Roman" w:hAnsi="Times New Roman" w:cs="Times New Roman"/>
          <w:b w:val="0"/>
          <w:i w:val="0"/>
          <w:sz w:val="22"/>
        </w:rPr>
        <w:t>- Keyboard shortcuts enabled by default.</w:t>
      </w:r>
    </w:p>
    <w:p>
      <w:pPr>
        <w:keepNext/>
        <w:spacing w:before="140" w:after="60"/>
        <w:outlineLvl w:val="3"/>
      </w:pPr>
      <w:r>
        <w:rPr>
          <w:rFonts w:ascii="Arial" w:hAnsi="Arial" w:cs="Arial"/>
          <w:b/>
          <w:i/>
          <w:color w:val="333333"/>
          <w:sz w:val="22"/>
        </w:rPr>
        <w:t>16.14.10.5 Mode-Specific Shortcuts</w:t>
      </w:r>
    </w:p>
    <w:p>
      <w:pPr>
        <w:spacing w:after="80" w:line="293" w:lineRule="auto"/>
        <w:jc w:val="left"/>
      </w:pPr>
      <w:r>
        <w:rPr>
          <w:rFonts w:ascii="Times New Roman" w:hAnsi="Times New Roman" w:cs="Times New Roman"/>
          <w:b w:val="0"/>
          <w:i w:val="0"/>
          <w:sz w:val="22"/>
        </w:rPr>
        <w:t>Expert Mode exposes the full shortcut set (16.14.7); Guided Mode exposes a reduced set (search, help).</w:t>
      </w:r>
    </w:p>
    <w:p>
      <w:pPr>
        <w:keepNext/>
        <w:spacing w:before="140" w:after="60"/>
        <w:outlineLvl w:val="3"/>
      </w:pPr>
      <w:r>
        <w:rPr>
          <w:rFonts w:ascii="Arial" w:hAnsi="Arial" w:cs="Arial"/>
          <w:b/>
          <w:i/>
          <w:color w:val="333333"/>
          <w:sz w:val="22"/>
        </w:rPr>
        <w:t>16.14.10.6 AI-Powered Mode Suggestions (A1)</w:t>
      </w:r>
    </w:p>
    <w:p>
      <w:pPr>
        <w:spacing w:after="80" w:line="293" w:lineRule="auto"/>
        <w:jc w:val="left"/>
      </w:pPr>
      <w:r>
        <w:rPr>
          <w:rFonts w:ascii="Times New Roman" w:hAnsi="Times New Roman" w:cs="Times New Roman"/>
          <w:b w:val="0"/>
          <w:i w:val="0"/>
          <w:sz w:val="22"/>
        </w:rPr>
        <w:t>The platform suggests switching modes based on observed behaviour (e.g., an employee who consistently skips wizards is offered Expert Mode; an employee with frequent errors is offered Guided Mode). Suggestions are advisory only and never auto-switch.</w:t>
      </w:r>
    </w:p>
    <w:p>
      <w:pPr>
        <w:keepNext/>
        <w:spacing w:before="180" w:after="80"/>
        <w:outlineLvl w:val="2"/>
      </w:pPr>
      <w:r>
        <w:rPr>
          <w:rFonts w:ascii="Arial" w:hAnsi="Arial" w:cs="Arial"/>
          <w:b/>
          <w:i w:val="0"/>
          <w:color w:val="333333"/>
          <w:sz w:val="23"/>
        </w:rPr>
        <w:t>16.14.11 Task Center</w:t>
      </w:r>
    </w:p>
    <w:p>
      <w:pPr>
        <w:keepNext/>
        <w:spacing w:before="140" w:after="60"/>
        <w:outlineLvl w:val="3"/>
      </w:pPr>
      <w:r>
        <w:rPr>
          <w:rFonts w:ascii="Arial" w:hAnsi="Arial" w:cs="Arial"/>
          <w:b/>
          <w:i/>
          <w:color w:val="333333"/>
          <w:sz w:val="22"/>
        </w:rPr>
        <w:t>16.14.11.1 Purpose</w:t>
      </w:r>
    </w:p>
    <w:p>
      <w:pPr>
        <w:spacing w:after="80" w:line="293" w:lineRule="auto"/>
        <w:jc w:val="left"/>
      </w:pPr>
      <w:r>
        <w:rPr>
          <w:rFonts w:ascii="Times New Roman" w:hAnsi="Times New Roman" w:cs="Times New Roman"/>
          <w:b w:val="0"/>
          <w:i w:val="0"/>
          <w:sz w:val="22"/>
        </w:rPr>
        <w:t>Every workflow action that requires human intervention creates a task. The Task Center unifies tasks across all workflows (trade, financing, compliance, dispute) into a single, prioritised, assignable queue.</w:t>
      </w:r>
    </w:p>
    <w:p>
      <w:pPr>
        <w:keepNext/>
        <w:spacing w:before="140" w:after="60"/>
        <w:outlineLvl w:val="3"/>
      </w:pPr>
      <w:r>
        <w:rPr>
          <w:rFonts w:ascii="Arial" w:hAnsi="Arial" w:cs="Arial"/>
          <w:b/>
          <w:i/>
          <w:color w:val="333333"/>
          <w:sz w:val="22"/>
        </w:rPr>
        <w:t>16.14.11.2 Task Creation Triggers</w:t>
      </w:r>
    </w:p>
    <w:p>
      <w:pPr>
        <w:spacing w:after="80" w:line="293" w:lineRule="auto"/>
        <w:ind w:left="283"/>
        <w:jc w:val="left"/>
      </w:pPr>
      <w:r>
        <w:rPr>
          <w:rFonts w:ascii="Times New Roman" w:hAnsi="Times New Roman" w:cs="Times New Roman"/>
          <w:b w:val="0"/>
          <w:i w:val="0"/>
          <w:sz w:val="22"/>
        </w:rPr>
        <w:t>- Contract signature needed (SIGN_CONTRACT).</w:t>
      </w:r>
    </w:p>
    <w:p>
      <w:pPr>
        <w:spacing w:after="80" w:line="293" w:lineRule="auto"/>
        <w:ind w:left="283"/>
        <w:jc w:val="left"/>
      </w:pPr>
      <w:r>
        <w:rPr>
          <w:rFonts w:ascii="Times New Roman" w:hAnsi="Times New Roman" w:cs="Times New Roman"/>
          <w:b w:val="0"/>
          <w:i w:val="0"/>
          <w:sz w:val="22"/>
        </w:rPr>
        <w:t>- Fee payment due (PAY_FEE).</w:t>
      </w:r>
    </w:p>
    <w:p>
      <w:pPr>
        <w:spacing w:after="80" w:line="293" w:lineRule="auto"/>
        <w:ind w:left="283"/>
        <w:jc w:val="left"/>
      </w:pPr>
      <w:r>
        <w:rPr>
          <w:rFonts w:ascii="Times New Roman" w:hAnsi="Times New Roman" w:cs="Times New Roman"/>
          <w:b w:val="0"/>
          <w:i w:val="0"/>
          <w:sz w:val="22"/>
        </w:rPr>
        <w:t>- Document upload needed (UPLOAD_DOC).</w:t>
      </w:r>
    </w:p>
    <w:p>
      <w:pPr>
        <w:spacing w:after="80" w:line="293" w:lineRule="auto"/>
        <w:ind w:left="283"/>
        <w:jc w:val="left"/>
      </w:pPr>
      <w:r>
        <w:rPr>
          <w:rFonts w:ascii="Times New Roman" w:hAnsi="Times New Roman" w:cs="Times New Roman"/>
          <w:b w:val="0"/>
          <w:i w:val="0"/>
          <w:sz w:val="22"/>
        </w:rPr>
        <w:t>- Approval chain step reached.</w:t>
      </w:r>
    </w:p>
    <w:p>
      <w:pPr>
        <w:spacing w:after="80" w:line="293" w:lineRule="auto"/>
        <w:ind w:left="283"/>
        <w:jc w:val="left"/>
      </w:pPr>
      <w:r>
        <w:rPr>
          <w:rFonts w:ascii="Times New Roman" w:hAnsi="Times New Roman" w:cs="Times New Roman"/>
          <w:b w:val="0"/>
          <w:i w:val="0"/>
          <w:sz w:val="22"/>
        </w:rPr>
        <w:t>- Conditional-pass action plan due.</w:t>
      </w:r>
    </w:p>
    <w:p>
      <w:pPr>
        <w:spacing w:after="80" w:line="293" w:lineRule="auto"/>
        <w:ind w:left="283"/>
        <w:jc w:val="left"/>
      </w:pPr>
      <w:r>
        <w:rPr>
          <w:rFonts w:ascii="Times New Roman" w:hAnsi="Times New Roman" w:cs="Times New Roman"/>
          <w:b w:val="0"/>
          <w:i w:val="0"/>
          <w:sz w:val="22"/>
        </w:rPr>
        <w:t>- Escalations from workflow recovery.</w:t>
      </w:r>
    </w:p>
    <w:p>
      <w:pPr>
        <w:keepNext/>
        <w:spacing w:before="140" w:after="60"/>
        <w:outlineLvl w:val="3"/>
      </w:pPr>
      <w:r>
        <w:rPr>
          <w:rFonts w:ascii="Arial" w:hAnsi="Arial" w:cs="Arial"/>
          <w:b/>
          <w:i/>
          <w:color w:val="333333"/>
          <w:sz w:val="22"/>
        </w:rPr>
        <w:t>16.14.11.3 Task Data Model</w:t>
      </w:r>
    </w:p>
    <w:p>
      <w:pPr>
        <w:spacing w:after="0" w:before="0" w:line="240" w:lineRule="auto"/>
        <w:ind w:left="57"/>
        <w:jc w:val="left"/>
        <w:shd w:val="clear" w:fill="F2F2F2"/>
      </w:pPr>
      <w:r>
        <w:rPr>
          <w:rFonts w:ascii="Consolas" w:hAnsi="Consolas" w:cs="Consolas"/>
          <w:b w:val="0"/>
          <w:i w:val="0"/>
          <w:sz w:val="15"/>
        </w:rPr>
        <w:t>-- tasks: canonical definition in Section 17.25; not redefined here.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16.14.11.4 Task Center UI</w:t>
      </w:r>
    </w:p>
    <w:p>
      <w:pPr>
        <w:spacing w:after="80" w:line="293" w:lineRule="auto"/>
        <w:jc w:val="left"/>
      </w:pPr>
      <w:r>
        <w:rPr>
          <w:rFonts w:ascii="Times New Roman" w:hAnsi="Times New Roman" w:cs="Times New Roman"/>
          <w:b w:val="0"/>
          <w:i w:val="0"/>
          <w:sz w:val="22"/>
        </w:rPr>
        <w:t>Example rendering:</w:t>
      </w:r>
    </w:p>
    <w:p>
      <w:pPr>
        <w:spacing w:after="0" w:before="0" w:line="240" w:lineRule="auto"/>
        <w:ind w:left="57"/>
        <w:jc w:val="left"/>
        <w:shd w:val="clear" w:fill="F2F2F2"/>
      </w:pPr>
      <w:r>
        <w:rPr>
          <w:rFonts w:ascii="Consolas" w:hAnsi="Consolas" w:cs="Consolas"/>
          <w:b w:val="0"/>
          <w:i w:val="0"/>
          <w:sz w:val="15"/>
        </w:rPr>
        <w:t>TASK CENTER (12 pending)  [Filter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OVERDUE (2)</w:t>
      </w:r>
    </w:p>
    <w:p>
      <w:pPr>
        <w:spacing w:after="0" w:before="0" w:line="240" w:lineRule="auto"/>
        <w:ind w:left="57"/>
        <w:jc w:val="left"/>
        <w:shd w:val="clear" w:fill="F2F2F2"/>
      </w:pPr>
      <w:r>
        <w:rPr>
          <w:rFonts w:ascii="Consolas" w:hAnsi="Consolas" w:cs="Consolas"/>
          <w:b w:val="0"/>
          <w:i w:val="0"/>
          <w:sz w:val="15"/>
        </w:rPr>
        <w:t>Sign contract for USTN-EG-001 — Due: 2026-04-10 (2 days ago)</w:t>
      </w:r>
    </w:p>
    <w:p>
      <w:pPr>
        <w:spacing w:after="0" w:before="0" w:line="240" w:lineRule="auto"/>
        <w:ind w:left="57"/>
        <w:jc w:val="left"/>
        <w:shd w:val="clear" w:fill="F2F2F2"/>
      </w:pPr>
      <w:r>
        <w:rPr>
          <w:rFonts w:ascii="Consolas" w:hAnsi="Consolas" w:cs="Consolas"/>
          <w:b w:val="0"/>
          <w:i w:val="0"/>
          <w:sz w:val="15"/>
        </w:rPr>
        <w:t xml:space="preserve">  Seller: Strawberry Export Co.    Amount: $30,043.20</w:t>
      </w:r>
    </w:p>
    <w:p>
      <w:pPr>
        <w:spacing w:after="0" w:before="0" w:line="240" w:lineRule="auto"/>
        <w:ind w:left="57"/>
        <w:jc w:val="left"/>
        <w:shd w:val="clear" w:fill="F2F2F2"/>
      </w:pPr>
      <w:r>
        <w:rPr>
          <w:rFonts w:ascii="Consolas" w:hAnsi="Consolas" w:cs="Consolas"/>
          <w:b w:val="0"/>
          <w:i w:val="0"/>
          <w:sz w:val="15"/>
        </w:rPr>
        <w:t xml:space="preserve">  Escalation: Supervisor notified</w:t>
      </w:r>
    </w:p>
    <w:p>
      <w:pPr>
        <w:spacing w:after="0" w:before="0" w:line="240" w:lineRule="auto"/>
        <w:ind w:left="57"/>
        <w:jc w:val="left"/>
        <w:shd w:val="clear" w:fill="F2F2F2"/>
      </w:pPr>
      <w:r>
        <w:rPr>
          <w:rFonts w:ascii="Consolas" w:hAnsi="Consolas" w:cs="Consolas"/>
          <w:b w:val="0"/>
          <w:i w:val="0"/>
          <w:sz w:val="15"/>
        </w:rPr>
        <w:t xml:space="preserve">  [Sign Now] [Delegate] [Comment]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DUE TODAY (3)</w:t>
      </w:r>
    </w:p>
    <w:p>
      <w:pPr>
        <w:spacing w:after="0" w:before="0" w:line="240" w:lineRule="auto"/>
        <w:ind w:left="57"/>
        <w:jc w:val="left"/>
        <w:shd w:val="clear" w:fill="F2F2F2"/>
      </w:pPr>
      <w:r>
        <w:rPr>
          <w:rFonts w:ascii="Consolas" w:hAnsi="Consolas" w:cs="Consolas"/>
          <w:b w:val="0"/>
          <w:i w:val="0"/>
          <w:sz w:val="15"/>
        </w:rPr>
        <w:t>Upload Certificate of Origin — USTN-EG-002 — Due today by 17:00</w:t>
      </w:r>
    </w:p>
    <w:p>
      <w:pPr>
        <w:spacing w:after="0" w:before="0" w:line="240" w:lineRule="auto"/>
        <w:ind w:left="57"/>
        <w:jc w:val="left"/>
        <w:shd w:val="clear" w:fill="F2F2F2"/>
      </w:pPr>
      <w:r>
        <w:rPr>
          <w:rFonts w:ascii="Consolas" w:hAnsi="Consolas" w:cs="Consolas"/>
          <w:b w:val="0"/>
          <w:i w:val="0"/>
          <w:sz w:val="15"/>
        </w:rPr>
        <w:t xml:space="preserve">  Required for customs clearance. Missing for 5 days.</w:t>
      </w:r>
    </w:p>
    <w:p>
      <w:pPr>
        <w:spacing w:after="0" w:before="0" w:line="240" w:lineRule="auto"/>
        <w:ind w:left="57"/>
        <w:jc w:val="left"/>
        <w:shd w:val="clear" w:fill="F2F2F2"/>
      </w:pPr>
      <w:r>
        <w:rPr>
          <w:rFonts w:ascii="Consolas" w:hAnsi="Consolas" w:cs="Consolas"/>
          <w:b w:val="0"/>
          <w:i w:val="0"/>
          <w:sz w:val="15"/>
        </w:rPr>
        <w:t xml:space="preserve">  [Upload] [Request Extension] [Escalate]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THIS WEEK (7)</w:t>
      </w:r>
    </w:p>
    <w:p>
      <w:pPr>
        <w:spacing w:after="0" w:before="0" w:line="240" w:lineRule="auto"/>
        <w:ind w:left="57"/>
        <w:jc w:val="left"/>
        <w:shd w:val="clear" w:fill="F2F2F2"/>
      </w:pPr>
      <w:r>
        <w:rPr>
          <w:rFonts w:ascii="Consolas" w:hAnsi="Consolas" w:cs="Consolas"/>
          <w:b w:val="0"/>
          <w:i w:val="0"/>
          <w:sz w:val="15"/>
        </w:rPr>
        <w:t>Pay Stage 1 fee — USTN-EG-003 — Due: 2026-04-18</w:t>
      </w:r>
    </w:p>
    <w:p>
      <w:pPr>
        <w:spacing w:after="0" w:before="0" w:line="240" w:lineRule="auto"/>
        <w:ind w:left="57"/>
        <w:jc w:val="left"/>
        <w:shd w:val="clear" w:fill="F2F2F2"/>
      </w:pPr>
      <w:r>
        <w:rPr>
          <w:rFonts w:ascii="Consolas" w:hAnsi="Consolas" w:cs="Consolas"/>
          <w:b w:val="0"/>
          <w:i w:val="0"/>
          <w:sz w:val="15"/>
        </w:rPr>
        <w:t xml:space="preserve">  Amount: $450    Bank: mandated bank (tier 1)</w:t>
      </w:r>
    </w:p>
    <w:p>
      <w:pPr>
        <w:spacing w:after="0" w:before="0" w:line="240" w:lineRule="auto"/>
        <w:ind w:left="57"/>
        <w:jc w:val="left"/>
        <w:shd w:val="clear" w:fill="F2F2F2"/>
      </w:pPr>
      <w:r>
        <w:rPr>
          <w:rFonts w:ascii="Consolas" w:hAnsi="Consolas" w:cs="Consolas"/>
          <w:b w:val="0"/>
          <w:i w:val="0"/>
          <w:sz w:val="15"/>
        </w:rPr>
        <w:t xml:space="preserve">  [Pay Now]</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16.14.11.5 Task Escalation Engine</w:t>
      </w:r>
    </w:p>
    <w:p>
      <w:pPr>
        <w:spacing w:after="80" w:line="293" w:lineRule="auto"/>
        <w:jc w:val="left"/>
      </w:pPr>
      <w:r>
        <w:rPr>
          <w:rFonts w:ascii="Times New Roman" w:hAnsi="Times New Roman" w:cs="Times New Roman"/>
          <w:b w:val="0"/>
          <w:i w:val="0"/>
          <w:sz w:val="22"/>
        </w:rPr>
        <w:t>Escalation levels: 0 = normal (Smart Inbox only); 1 = reminder sent (24h before due); 2 = supervisor notified (at due date); 3 = Governor escalation (24h overdue — stuck-trade recovery); 4 = compliance (non-completion with regulatory impact). Every escalation appends to `escalation_history`.</w:t>
      </w:r>
    </w:p>
    <w:p>
      <w:pPr>
        <w:keepNext/>
        <w:spacing w:before="180" w:after="80"/>
        <w:outlineLvl w:val="2"/>
      </w:pPr>
      <w:r>
        <w:rPr>
          <w:rFonts w:ascii="Arial" w:hAnsi="Arial" w:cs="Arial"/>
          <w:b/>
          <w:i w:val="0"/>
          <w:color w:val="333333"/>
          <w:sz w:val="23"/>
        </w:rPr>
        <w:t>16.14.12 Notification &amp; Alert Center</w:t>
      </w:r>
    </w:p>
    <w:p>
      <w:pPr>
        <w:keepNext/>
        <w:spacing w:before="140" w:after="60"/>
        <w:outlineLvl w:val="3"/>
      </w:pPr>
      <w:r>
        <w:rPr>
          <w:rFonts w:ascii="Arial" w:hAnsi="Arial" w:cs="Arial"/>
          <w:b/>
          <w:i/>
          <w:color w:val="333333"/>
          <w:sz w:val="22"/>
        </w:rPr>
        <w:t>16.14.12.1 Purpose</w:t>
      </w:r>
    </w:p>
    <w:p>
      <w:pPr>
        <w:spacing w:after="80" w:line="293" w:lineRule="auto"/>
        <w:jc w:val="left"/>
      </w:pPr>
      <w:r>
        <w:rPr>
          <w:rFonts w:ascii="Times New Roman" w:hAnsi="Times New Roman" w:cs="Times New Roman"/>
          <w:b w:val="0"/>
          <w:i w:val="0"/>
          <w:sz w:val="22"/>
        </w:rPr>
        <w:t>Centralise all notifications across channels with user-controlled delivery preferences. Every notification is logged, actionable, and auditable.</w:t>
      </w:r>
    </w:p>
    <w:p>
      <w:pPr>
        <w:keepNext/>
        <w:spacing w:before="140" w:after="60"/>
        <w:outlineLvl w:val="3"/>
      </w:pPr>
      <w:r>
        <w:rPr>
          <w:rFonts w:ascii="Arial" w:hAnsi="Arial" w:cs="Arial"/>
          <w:b/>
          <w:i/>
          <w:color w:val="333333"/>
          <w:sz w:val="22"/>
        </w:rPr>
        <w:t>16.14.12.2 Notification Channels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Channel</w:t>
            </w:r>
          </w:p>
        </w:tc>
        <w:tc>
          <w:tcPr>
            <w:tcW w:type="dxa" w:w="4819"/>
            <w:shd w:val="clear" w:fill="D9E2F3"/>
          </w:tcPr>
          <w:p>
            <w:pPr>
              <w:spacing w:after="20" w:before="20" w:line="240" w:lineRule="auto"/>
            </w:pPr>
            <w:r/>
            <w:r>
              <w:rPr>
                <w:rFonts w:ascii="Arial" w:hAnsi="Arial" w:cs="Arial"/>
                <w:b/>
                <w:i w:val="0"/>
                <w:sz w:val="18"/>
              </w:rPr>
              <w:t>Usage</w:t>
            </w:r>
          </w:p>
        </w:tc>
      </w:tr>
      <w:tr>
        <w:tc>
          <w:tcPr>
            <w:tcW w:type="dxa" w:w="4819"/>
          </w:tcPr>
          <w:p>
            <w:pPr>
              <w:spacing w:after="20" w:before="20" w:line="240" w:lineRule="auto"/>
            </w:pPr>
            <w:r/>
            <w:r>
              <w:rPr>
                <w:rFonts w:ascii="Arial" w:hAnsi="Arial" w:cs="Arial"/>
                <w:b w:val="0"/>
                <w:i w:val="0"/>
                <w:sz w:val="17"/>
              </w:rPr>
              <w:t>In-App</w:t>
            </w:r>
          </w:p>
        </w:tc>
        <w:tc>
          <w:tcPr>
            <w:tcW w:type="dxa" w:w="4819"/>
          </w:tcPr>
          <w:p>
            <w:pPr>
              <w:spacing w:after="20" w:before="20" w:line="240" w:lineRule="auto"/>
            </w:pPr>
            <w:r/>
            <w:r>
              <w:rPr>
                <w:rFonts w:ascii="Arial" w:hAnsi="Arial" w:cs="Arial"/>
                <w:b w:val="0"/>
                <w:i w:val="0"/>
                <w:sz w:val="17"/>
              </w:rPr>
              <w:t>Smart Inbox items and notification center</w:t>
            </w:r>
          </w:p>
        </w:tc>
      </w:tr>
      <w:tr>
        <w:tc>
          <w:tcPr>
            <w:tcW w:type="dxa" w:w="4819"/>
          </w:tcPr>
          <w:p>
            <w:pPr>
              <w:spacing w:after="20" w:before="20" w:line="240" w:lineRule="auto"/>
            </w:pPr>
            <w:r/>
            <w:r>
              <w:rPr>
                <w:rFonts w:ascii="Arial" w:hAnsi="Arial" w:cs="Arial"/>
                <w:b w:val="0"/>
                <w:i w:val="0"/>
                <w:sz w:val="17"/>
              </w:rPr>
              <w:t>Email</w:t>
            </w:r>
          </w:p>
        </w:tc>
        <w:tc>
          <w:tcPr>
            <w:tcW w:type="dxa" w:w="4819"/>
          </w:tcPr>
          <w:p>
            <w:pPr>
              <w:spacing w:after="20" w:before="20" w:line="240" w:lineRule="auto"/>
            </w:pPr>
            <w:r/>
            <w:r>
              <w:rPr>
                <w:rFonts w:ascii="Arial" w:hAnsi="Arial" w:cs="Arial"/>
                <w:b w:val="0"/>
                <w:i w:val="0"/>
                <w:sz w:val="17"/>
              </w:rPr>
              <w:t>Digests and high-priority alerts</w:t>
            </w:r>
          </w:p>
        </w:tc>
      </w:tr>
      <w:tr>
        <w:tc>
          <w:tcPr>
            <w:tcW w:type="dxa" w:w="4819"/>
          </w:tcPr>
          <w:p>
            <w:pPr>
              <w:spacing w:after="20" w:before="20" w:line="240" w:lineRule="auto"/>
            </w:pPr>
            <w:r/>
            <w:r>
              <w:rPr>
                <w:rFonts w:ascii="Arial" w:hAnsi="Arial" w:cs="Arial"/>
                <w:b w:val="0"/>
                <w:i w:val="0"/>
                <w:sz w:val="17"/>
              </w:rPr>
              <w:t>SMS</w:t>
            </w:r>
          </w:p>
        </w:tc>
        <w:tc>
          <w:tcPr>
            <w:tcW w:type="dxa" w:w="4819"/>
          </w:tcPr>
          <w:p>
            <w:pPr>
              <w:spacing w:after="20" w:before="20" w:line="240" w:lineRule="auto"/>
            </w:pPr>
            <w:r/>
            <w:r>
              <w:rPr>
                <w:rFonts w:ascii="Arial" w:hAnsi="Arial" w:cs="Arial"/>
                <w:b w:val="0"/>
                <w:i w:val="0"/>
                <w:sz w:val="17"/>
              </w:rPr>
              <w:t>High and compliance-priority alerts</w:t>
            </w:r>
          </w:p>
        </w:tc>
      </w:tr>
      <w:tr>
        <w:tc>
          <w:tcPr>
            <w:tcW w:type="dxa" w:w="4819"/>
          </w:tcPr>
          <w:p>
            <w:pPr>
              <w:spacing w:after="20" w:before="20" w:line="240" w:lineRule="auto"/>
            </w:pPr>
            <w:r/>
            <w:r>
              <w:rPr>
                <w:rFonts w:ascii="Arial" w:hAnsi="Arial" w:cs="Arial"/>
                <w:b w:val="0"/>
                <w:i w:val="0"/>
                <w:sz w:val="17"/>
              </w:rPr>
              <w:t>Push</w:t>
            </w:r>
          </w:p>
        </w:tc>
        <w:tc>
          <w:tcPr>
            <w:tcW w:type="dxa" w:w="4819"/>
          </w:tcPr>
          <w:p>
            <w:pPr>
              <w:spacing w:after="20" w:before="20" w:line="240" w:lineRule="auto"/>
            </w:pPr>
            <w:r/>
            <w:r>
              <w:rPr>
                <w:rFonts w:ascii="Arial" w:hAnsi="Arial" w:cs="Arial"/>
                <w:b w:val="0"/>
                <w:i w:val="0"/>
                <w:sz w:val="17"/>
              </w:rPr>
              <w:t>Mobile app alerts</w:t>
            </w:r>
          </w:p>
        </w:tc>
      </w:tr>
      <w:tr>
        <w:tc>
          <w:tcPr>
            <w:tcW w:type="dxa" w:w="4819"/>
          </w:tcPr>
          <w:p>
            <w:pPr>
              <w:spacing w:after="20" w:before="20" w:line="240" w:lineRule="auto"/>
            </w:pPr>
            <w:r/>
            <w:r>
              <w:rPr>
                <w:rFonts w:ascii="Arial" w:hAnsi="Arial" w:cs="Arial"/>
                <w:b w:val="0"/>
                <w:i w:val="0"/>
                <w:sz w:val="17"/>
              </w:rPr>
              <w:t>WhatsApp</w:t>
            </w:r>
          </w:p>
        </w:tc>
        <w:tc>
          <w:tcPr>
            <w:tcW w:type="dxa" w:w="4819"/>
          </w:tcPr>
          <w:p>
            <w:pPr>
              <w:spacing w:after="20" w:before="20" w:line="240" w:lineRule="auto"/>
            </w:pPr>
            <w:r/>
            <w:r>
              <w:rPr>
                <w:rFonts w:ascii="Arial" w:hAnsi="Arial" w:cs="Arial"/>
                <w:b w:val="0"/>
                <w:i w:val="0"/>
                <w:sz w:val="17"/>
              </w:rPr>
              <w:t>High-priority alerts (opt-in)</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16.14.12.3 User Controls</w:t>
      </w:r>
    </w:p>
    <w:p>
      <w:pPr>
        <w:spacing w:after="80" w:line="293" w:lineRule="auto"/>
        <w:jc w:val="left"/>
      </w:pPr>
      <w:r>
        <w:rPr>
          <w:rFonts w:ascii="Times New Roman" w:hAnsi="Times New Roman" w:cs="Times New Roman"/>
          <w:b w:val="0"/>
          <w:i w:val="0"/>
          <w:sz w:val="22"/>
        </w:rPr>
        <w:t>Location: Company Admin → Notification Preferences. Settings:</w:t>
      </w:r>
    </w:p>
    <w:p>
      <w:pPr>
        <w:spacing w:after="80" w:line="293" w:lineRule="auto"/>
        <w:ind w:left="283"/>
        <w:jc w:val="left"/>
      </w:pPr>
      <w:r>
        <w:rPr>
          <w:rFonts w:ascii="Times New Roman" w:hAnsi="Times New Roman" w:cs="Times New Roman"/>
          <w:b w:val="0"/>
          <w:i w:val="0"/>
          <w:sz w:val="22"/>
        </w:rPr>
        <w:t>- Quiet Hours — set a time range (e.g., 22:00–07:00) and timezone; non-critical notifications</w:t>
      </w:r>
    </w:p>
    <w:p>
      <w:pPr>
        <w:spacing w:after="80" w:line="293" w:lineRule="auto"/>
        <w:jc w:val="left"/>
      </w:pPr>
      <w:r>
        <w:rPr>
          <w:rFonts w:ascii="Times New Roman" w:hAnsi="Times New Roman" w:cs="Times New Roman"/>
          <w:b w:val="0"/>
          <w:i w:val="0"/>
          <w:sz w:val="22"/>
        </w:rPr>
        <w:t>are held until the window ends.</w:t>
      </w:r>
    </w:p>
    <w:p>
      <w:pPr>
        <w:spacing w:after="80" w:line="293" w:lineRule="auto"/>
        <w:ind w:left="283"/>
        <w:jc w:val="left"/>
      </w:pPr>
      <w:r>
        <w:rPr>
          <w:rFonts w:ascii="Times New Roman" w:hAnsi="Times New Roman" w:cs="Times New Roman"/>
          <w:b w:val="0"/>
          <w:i w:val="0"/>
          <w:sz w:val="22"/>
        </w:rPr>
        <w:t>- Category Priority Rules — e.g.:</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Category</w:t>
            </w:r>
          </w:p>
        </w:tc>
        <w:tc>
          <w:tcPr>
            <w:tcW w:type="dxa" w:w="1606"/>
            <w:shd w:val="clear" w:fill="D9E2F3"/>
          </w:tcPr>
          <w:p>
            <w:pPr>
              <w:spacing w:after="20" w:before="20" w:line="240" w:lineRule="auto"/>
            </w:pPr>
            <w:r/>
            <w:r>
              <w:rPr>
                <w:rFonts w:ascii="Arial" w:hAnsi="Arial" w:cs="Arial"/>
                <w:b/>
                <w:i w:val="0"/>
                <w:sz w:val="18"/>
              </w:rPr>
              <w:t>Priority</w:t>
            </w:r>
          </w:p>
        </w:tc>
        <w:tc>
          <w:tcPr>
            <w:tcW w:type="dxa" w:w="1606"/>
            <w:shd w:val="clear" w:fill="D9E2F3"/>
          </w:tcPr>
          <w:p>
            <w:pPr>
              <w:spacing w:after="20" w:before="20" w:line="240" w:lineRule="auto"/>
            </w:pPr>
            <w:r/>
            <w:r>
              <w:rPr>
                <w:rFonts w:ascii="Arial" w:hAnsi="Arial" w:cs="Arial"/>
                <w:b/>
                <w:i w:val="0"/>
                <w:sz w:val="18"/>
              </w:rPr>
              <w:t>In-App</w:t>
            </w:r>
          </w:p>
        </w:tc>
        <w:tc>
          <w:tcPr>
            <w:tcW w:type="dxa" w:w="1606"/>
            <w:shd w:val="clear" w:fill="D9E2F3"/>
          </w:tcPr>
          <w:p>
            <w:pPr>
              <w:spacing w:after="20" w:before="20" w:line="240" w:lineRule="auto"/>
            </w:pPr>
            <w:r/>
            <w:r>
              <w:rPr>
                <w:rFonts w:ascii="Arial" w:hAnsi="Arial" w:cs="Arial"/>
                <w:b/>
                <w:i w:val="0"/>
                <w:sz w:val="18"/>
              </w:rPr>
              <w:t>Email</w:t>
            </w:r>
          </w:p>
        </w:tc>
        <w:tc>
          <w:tcPr>
            <w:tcW w:type="dxa" w:w="1606"/>
            <w:shd w:val="clear" w:fill="D9E2F3"/>
          </w:tcPr>
          <w:p>
            <w:pPr>
              <w:spacing w:after="20" w:before="20" w:line="240" w:lineRule="auto"/>
            </w:pPr>
            <w:r/>
            <w:r>
              <w:rPr>
                <w:rFonts w:ascii="Arial" w:hAnsi="Arial" w:cs="Arial"/>
                <w:b/>
                <w:i w:val="0"/>
                <w:sz w:val="18"/>
              </w:rPr>
              <w:t>SMS</w:t>
            </w:r>
          </w:p>
        </w:tc>
        <w:tc>
          <w:tcPr>
            <w:tcW w:type="dxa" w:w="1606"/>
            <w:shd w:val="clear" w:fill="D9E2F3"/>
          </w:tcPr>
          <w:p>
            <w:pPr>
              <w:spacing w:after="20" w:before="20" w:line="240" w:lineRule="auto"/>
            </w:pPr>
            <w:r/>
            <w:r>
              <w:rPr>
                <w:rFonts w:ascii="Arial" w:hAnsi="Arial" w:cs="Arial"/>
                <w:b/>
                <w:i w:val="0"/>
                <w:sz w:val="18"/>
              </w:rPr>
              <w:t>WhatsApp</w:t>
            </w:r>
          </w:p>
        </w:tc>
      </w:tr>
      <w:tr>
        <w:tc>
          <w:tcPr>
            <w:tcW w:type="dxa" w:w="1606"/>
          </w:tcPr>
          <w:p>
            <w:pPr>
              <w:spacing w:after="20" w:before="20" w:line="240" w:lineRule="auto"/>
            </w:pPr>
            <w:r/>
            <w:r>
              <w:rPr>
                <w:rFonts w:ascii="Arial" w:hAnsi="Arial" w:cs="Arial"/>
                <w:b w:val="0"/>
                <w:i w:val="0"/>
                <w:sz w:val="17"/>
              </w:rPr>
              <w:t>Compliance</w:t>
            </w:r>
          </w:p>
        </w:tc>
        <w:tc>
          <w:tcPr>
            <w:tcW w:type="dxa" w:w="1606"/>
          </w:tcPr>
          <w:p>
            <w:pPr>
              <w:spacing w:after="20" w:before="20" w:line="240" w:lineRule="auto"/>
            </w:pPr>
            <w:r/>
            <w:r>
              <w:rPr>
                <w:rFonts w:ascii="Arial" w:hAnsi="Arial" w:cs="Arial"/>
                <w:b w:val="0"/>
                <w:i w:val="0"/>
                <w:sz w:val="17"/>
              </w:rPr>
              <w:t>High</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r>
      <w:tr>
        <w:tc>
          <w:tcPr>
            <w:tcW w:type="dxa" w:w="1606"/>
          </w:tcPr>
          <w:p>
            <w:pPr>
              <w:spacing w:after="20" w:before="20" w:line="240" w:lineRule="auto"/>
            </w:pPr>
            <w:r/>
            <w:r>
              <w:rPr>
                <w:rFonts w:ascii="Arial" w:hAnsi="Arial" w:cs="Arial"/>
                <w:b w:val="0"/>
                <w:i w:val="0"/>
                <w:sz w:val="17"/>
              </w:rPr>
              <w:t>Finance</w:t>
            </w:r>
          </w:p>
        </w:tc>
        <w:tc>
          <w:tcPr>
            <w:tcW w:type="dxa" w:w="1606"/>
          </w:tcPr>
          <w:p>
            <w:pPr>
              <w:spacing w:after="20" w:before="20" w:line="240" w:lineRule="auto"/>
            </w:pPr>
            <w:r/>
            <w:r>
              <w:rPr>
                <w:rFonts w:ascii="Arial" w:hAnsi="Arial" w:cs="Arial"/>
                <w:b w:val="0"/>
                <w:i w:val="0"/>
                <w:sz w:val="17"/>
              </w:rPr>
              <w:t>Medium</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r>
      <w:tr>
        <w:tc>
          <w:tcPr>
            <w:tcW w:type="dxa" w:w="1606"/>
          </w:tcPr>
          <w:p>
            <w:pPr>
              <w:spacing w:after="20" w:before="20" w:line="240" w:lineRule="auto"/>
            </w:pPr>
            <w:r/>
            <w:r>
              <w:rPr>
                <w:rFonts w:ascii="Arial" w:hAnsi="Arial" w:cs="Arial"/>
                <w:b w:val="0"/>
                <w:i w:val="0"/>
                <w:sz w:val="17"/>
              </w:rPr>
              <w:t>Operational</w:t>
            </w:r>
          </w:p>
        </w:tc>
        <w:tc>
          <w:tcPr>
            <w:tcW w:type="dxa" w:w="1606"/>
          </w:tcPr>
          <w:p>
            <w:pPr>
              <w:spacing w:after="20" w:before="20" w:line="240" w:lineRule="auto"/>
            </w:pPr>
            <w:r/>
            <w:r>
              <w:rPr>
                <w:rFonts w:ascii="Arial" w:hAnsi="Arial" w:cs="Arial"/>
                <w:b w:val="0"/>
                <w:i w:val="0"/>
                <w:sz w:val="17"/>
              </w:rPr>
              <w:t>Low</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spacing w:after="80" w:line="293" w:lineRule="auto"/>
        <w:ind w:left="283"/>
        <w:jc w:val="left"/>
      </w:pPr>
      <w:r>
        <w:rPr>
          <w:rFonts w:ascii="Times New Roman" w:hAnsi="Times New Roman" w:cs="Times New Roman"/>
          <w:b w:val="0"/>
          <w:i w:val="0"/>
          <w:sz w:val="22"/>
        </w:rPr>
        <w:t>- Digest Settings — daily digest (07:00 UTC) summarising all notifications; weekly digest</w:t>
      </w:r>
    </w:p>
    <w:p>
      <w:pPr>
        <w:spacing w:after="80" w:line="293" w:lineRule="auto"/>
        <w:jc w:val="left"/>
      </w:pPr>
      <w:r>
        <w:rPr>
          <w:rFonts w:ascii="Times New Roman" w:hAnsi="Times New Roman" w:cs="Times New Roman"/>
          <w:b w:val="0"/>
          <w:i w:val="0"/>
          <w:sz w:val="22"/>
        </w:rPr>
        <w:t>(Monday 07:00 UTC). Digest includes selected categories (e.g., Operational, Finance, Compliance).</w:t>
      </w:r>
    </w:p>
    <w:p>
      <w:pPr>
        <w:keepNext/>
        <w:spacing w:before="140" w:after="60"/>
        <w:outlineLvl w:val="3"/>
      </w:pPr>
      <w:r>
        <w:rPr>
          <w:rFonts w:ascii="Arial" w:hAnsi="Arial" w:cs="Arial"/>
          <w:b/>
          <w:i/>
          <w:color w:val="333333"/>
          <w:sz w:val="22"/>
        </w:rPr>
        <w:t>16.14.12.4 Notification Logging</w:t>
      </w:r>
    </w:p>
    <w:p>
      <w:pPr>
        <w:spacing w:after="0" w:before="0" w:line="240" w:lineRule="auto"/>
        <w:ind w:left="57"/>
        <w:jc w:val="left"/>
        <w:shd w:val="clear" w:fill="F2F2F2"/>
      </w:pPr>
      <w:r>
        <w:rPr>
          <w:rFonts w:ascii="Consolas" w:hAnsi="Consolas" w:cs="Consolas"/>
          <w:b w:val="0"/>
          <w:i w:val="0"/>
          <w:sz w:val="15"/>
        </w:rPr>
        <w:t>-- notification_log: canonical definition in Section 17.25;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16.14.13 Focus Mode</w:t>
      </w:r>
    </w:p>
    <w:p>
      <w:pPr>
        <w:keepNext/>
        <w:spacing w:before="140" w:after="60"/>
        <w:outlineLvl w:val="3"/>
      </w:pPr>
      <w:r>
        <w:rPr>
          <w:rFonts w:ascii="Arial" w:hAnsi="Arial" w:cs="Arial"/>
          <w:b/>
          <w:i/>
          <w:color w:val="333333"/>
          <w:sz w:val="22"/>
        </w:rPr>
        <w:t>16.14.13.1 Purpose</w:t>
      </w:r>
    </w:p>
    <w:p>
      <w:pPr>
        <w:spacing w:after="80" w:line="293" w:lineRule="auto"/>
        <w:jc w:val="left"/>
      </w:pPr>
      <w:r>
        <w:rPr>
          <w:rFonts w:ascii="Times New Roman" w:hAnsi="Times New Roman" w:cs="Times New Roman"/>
          <w:b w:val="0"/>
          <w:i w:val="0"/>
          <w:sz w:val="22"/>
        </w:rPr>
        <w:t>Temporarily suppress all non-critical notifications to reduce fatigue during high-concentration periods. Activation: from the Smart Inbox or Notification Center, click "Focus Mode" (moon icon).</w:t>
      </w:r>
    </w:p>
    <w:p>
      <w:pPr>
        <w:spacing w:after="80" w:line="293" w:lineRule="auto"/>
        <w:jc w:val="left"/>
      </w:pPr>
      <w:r>
        <w:rPr>
          <w:rFonts w:ascii="Times New Roman" w:hAnsi="Times New Roman" w:cs="Times New Roman"/>
          <w:b w:val="0"/>
          <w:i w:val="0"/>
          <w:sz w:val="22"/>
        </w:rPr>
        <w:t>Options:</w:t>
      </w:r>
    </w:p>
    <w:p>
      <w:pPr>
        <w:spacing w:after="80" w:line="293" w:lineRule="auto"/>
        <w:ind w:left="283"/>
        <w:jc w:val="left"/>
      </w:pPr>
      <w:r>
        <w:rPr>
          <w:rFonts w:ascii="Times New Roman" w:hAnsi="Times New Roman" w:cs="Times New Roman"/>
          <w:b w:val="0"/>
          <w:i w:val="0"/>
          <w:sz w:val="22"/>
        </w:rPr>
        <w:t>- 1 hour (default)</w:t>
      </w:r>
    </w:p>
    <w:p>
      <w:pPr>
        <w:spacing w:after="80" w:line="293" w:lineRule="auto"/>
        <w:ind w:left="283"/>
        <w:jc w:val="left"/>
      </w:pPr>
      <w:r>
        <w:rPr>
          <w:rFonts w:ascii="Times New Roman" w:hAnsi="Times New Roman" w:cs="Times New Roman"/>
          <w:b w:val="0"/>
          <w:i w:val="0"/>
          <w:sz w:val="22"/>
        </w:rPr>
        <w:t>- 4 hours</w:t>
      </w:r>
    </w:p>
    <w:p>
      <w:pPr>
        <w:spacing w:after="80" w:line="293" w:lineRule="auto"/>
        <w:ind w:left="283"/>
        <w:jc w:val="left"/>
      </w:pPr>
      <w:r>
        <w:rPr>
          <w:rFonts w:ascii="Times New Roman" w:hAnsi="Times New Roman" w:cs="Times New Roman"/>
          <w:b w:val="0"/>
          <w:i w:val="0"/>
          <w:sz w:val="22"/>
        </w:rPr>
        <w:t>- 8 hours</w:t>
      </w:r>
    </w:p>
    <w:p>
      <w:pPr>
        <w:spacing w:after="80" w:line="293" w:lineRule="auto"/>
        <w:ind w:left="283"/>
        <w:jc w:val="left"/>
      </w:pPr>
      <w:r>
        <w:rPr>
          <w:rFonts w:ascii="Times New Roman" w:hAnsi="Times New Roman" w:cs="Times New Roman"/>
          <w:b w:val="0"/>
          <w:i w:val="0"/>
          <w:sz w:val="22"/>
        </w:rPr>
        <w:t>- Until tomorrow (08:00 local)</w:t>
      </w:r>
    </w:p>
    <w:p>
      <w:pPr>
        <w:spacing w:after="80" w:line="293" w:lineRule="auto"/>
        <w:ind w:left="283"/>
        <w:jc w:val="left"/>
      </w:pPr>
      <w:r>
        <w:rPr>
          <w:rFonts w:ascii="Times New Roman" w:hAnsi="Times New Roman" w:cs="Times New Roman"/>
          <w:b w:val="0"/>
          <w:i w:val="0"/>
          <w:sz w:val="22"/>
        </w:rPr>
        <w:t>- Custom (date/time picker)</w:t>
      </w:r>
    </w:p>
    <w:p>
      <w:pPr>
        <w:keepNext/>
        <w:spacing w:before="140" w:after="60"/>
        <w:outlineLvl w:val="3"/>
      </w:pPr>
      <w:r>
        <w:rPr>
          <w:rFonts w:ascii="Arial" w:hAnsi="Arial" w:cs="Arial"/>
          <w:b/>
          <w:i/>
          <w:color w:val="333333"/>
          <w:sz w:val="22"/>
        </w:rPr>
        <w:t>16.14.13.2 Behaviour During Focus Mode</w:t>
      </w:r>
    </w:p>
    <w:p>
      <w:pPr>
        <w:spacing w:after="80" w:line="293" w:lineRule="auto"/>
        <w:ind w:left="283"/>
        <w:jc w:val="left"/>
      </w:pPr>
      <w:r>
        <w:rPr>
          <w:rFonts w:ascii="Times New Roman" w:hAnsi="Times New Roman" w:cs="Times New Roman"/>
          <w:b w:val="0"/>
          <w:i w:val="0"/>
          <w:sz w:val="22"/>
        </w:rPr>
        <w:t>- Only critical notifications (priority 90+) are delivered — contract signing deadlines, payment due</w:t>
      </w:r>
    </w:p>
    <w:p>
      <w:pPr>
        <w:spacing w:after="80" w:line="293" w:lineRule="auto"/>
        <w:jc w:val="left"/>
      </w:pPr>
      <w:r>
        <w:rPr>
          <w:rFonts w:ascii="Times New Roman" w:hAnsi="Times New Roman" w:cs="Times New Roman"/>
          <w:b w:val="0"/>
          <w:i w:val="0"/>
          <w:sz w:val="22"/>
        </w:rPr>
        <w:t>reminders, dispute responses, container release expiration warnings, margin calls.</w:t>
      </w:r>
    </w:p>
    <w:p>
      <w:pPr>
        <w:spacing w:after="80" w:line="293" w:lineRule="auto"/>
        <w:ind w:left="283"/>
        <w:jc w:val="left"/>
      </w:pPr>
      <w:r>
        <w:rPr>
          <w:rFonts w:ascii="Times New Roman" w:hAnsi="Times New Roman" w:cs="Times New Roman"/>
          <w:b w:val="0"/>
          <w:i w:val="0"/>
          <w:sz w:val="22"/>
        </w:rPr>
        <w:t>- All other notifications (priority &lt; 90) are queued and delivered after Focus Mode ends as a</w:t>
      </w:r>
    </w:p>
    <w:p>
      <w:pPr>
        <w:spacing w:after="80" w:line="293" w:lineRule="auto"/>
        <w:jc w:val="left"/>
      </w:pPr>
      <w:r>
        <w:rPr>
          <w:rFonts w:ascii="Times New Roman" w:hAnsi="Times New Roman" w:cs="Times New Roman"/>
          <w:b w:val="0"/>
          <w:i w:val="0"/>
          <w:sz w:val="22"/>
        </w:rPr>
        <w:t>summary digest.</w:t>
      </w:r>
    </w:p>
    <w:p>
      <w:pPr>
        <w:spacing w:after="80" w:line="293" w:lineRule="auto"/>
        <w:ind w:left="283"/>
        <w:jc w:val="left"/>
      </w:pPr>
      <w:r>
        <w:rPr>
          <w:rFonts w:ascii="Times New Roman" w:hAnsi="Times New Roman" w:cs="Times New Roman"/>
          <w:b w:val="0"/>
          <w:i w:val="0"/>
          <w:sz w:val="22"/>
        </w:rPr>
        <w:t>- A persistent banner at the top of the Smart Inbox: "Focus Mode active until [time] — [Exit Focus</w:t>
      </w:r>
    </w:p>
    <w:p>
      <w:pPr>
        <w:spacing w:after="80" w:line="293" w:lineRule="auto"/>
        <w:jc w:val="left"/>
      </w:pPr>
      <w:r>
        <w:rPr>
          <w:rFonts w:ascii="Times New Roman" w:hAnsi="Times New Roman" w:cs="Times New Roman"/>
          <w:b w:val="0"/>
          <w:i w:val="0"/>
          <w:sz w:val="22"/>
        </w:rPr>
        <w:t>Mode]".</w:t>
      </w:r>
    </w:p>
    <w:p>
      <w:pPr>
        <w:spacing w:after="80" w:line="293" w:lineRule="auto"/>
        <w:jc w:val="left"/>
      </w:pPr>
      <w:r>
        <w:rPr>
          <w:rFonts w:ascii="Times New Roman" w:hAnsi="Times New Roman" w:cs="Times New Roman"/>
          <w:b w:val="0"/>
          <w:i w:val="0"/>
          <w:sz w:val="22"/>
        </w:rPr>
        <w:t>One-click: click "Focus Mode" → select duration → confirm.</w:t>
      </w:r>
    </w:p>
    <w:p>
      <w:pPr>
        <w:keepNext/>
        <w:spacing w:before="180" w:after="80"/>
        <w:outlineLvl w:val="2"/>
      </w:pPr>
      <w:r>
        <w:rPr>
          <w:rFonts w:ascii="Arial" w:hAnsi="Arial" w:cs="Arial"/>
          <w:b/>
          <w:i w:val="0"/>
          <w:color w:val="333333"/>
          <w:sz w:val="23"/>
        </w:rPr>
        <w:t>16.14.14 Help Center</w:t>
      </w:r>
    </w:p>
    <w:p>
      <w:pPr>
        <w:keepNext/>
        <w:spacing w:before="140" w:after="60"/>
        <w:outlineLvl w:val="3"/>
      </w:pPr>
      <w:r>
        <w:rPr>
          <w:rFonts w:ascii="Arial" w:hAnsi="Arial" w:cs="Arial"/>
          <w:b/>
          <w:i/>
          <w:color w:val="333333"/>
          <w:sz w:val="22"/>
        </w:rPr>
        <w:t>16.14.14.1 Purpose</w:t>
      </w:r>
    </w:p>
    <w:p>
      <w:pPr>
        <w:spacing w:after="80" w:line="293" w:lineRule="auto"/>
        <w:jc w:val="left"/>
      </w:pPr>
      <w:r>
        <w:rPr>
          <w:rFonts w:ascii="Times New Roman" w:hAnsi="Times New Roman" w:cs="Times New Roman"/>
          <w:b w:val="0"/>
          <w:i w:val="0"/>
          <w:sz w:val="22"/>
        </w:rPr>
        <w:t>Provide self-service documentation, video tutorials, AI-powered support, and ticketed assistance — all accessible from any portal.</w:t>
      </w:r>
    </w:p>
    <w:p>
      <w:pPr>
        <w:keepNext/>
        <w:spacing w:before="140" w:after="60"/>
        <w:outlineLvl w:val="3"/>
      </w:pPr>
      <w:r>
        <w:rPr>
          <w:rFonts w:ascii="Arial" w:hAnsi="Arial" w:cs="Arial"/>
          <w:b/>
          <w:i/>
          <w:color w:val="333333"/>
          <w:sz w:val="22"/>
        </w:rPr>
        <w:t>16.14.14.2 Documentation Structure</w:t>
      </w:r>
    </w:p>
    <w:p>
      <w:pPr>
        <w:spacing w:after="0" w:before="0" w:line="240" w:lineRule="auto"/>
        <w:ind w:left="57"/>
        <w:jc w:val="left"/>
        <w:shd w:val="clear" w:fill="F2F2F2"/>
      </w:pPr>
      <w:r>
        <w:rPr>
          <w:rFonts w:ascii="Consolas" w:hAnsi="Consolas" w:cs="Consolas"/>
          <w:b w:val="0"/>
          <w:i w:val="0"/>
          <w:sz w:val="15"/>
        </w:rPr>
        <w:t>Help Center</w:t>
      </w:r>
    </w:p>
    <w:p>
      <w:pPr>
        <w:spacing w:after="0" w:before="0" w:line="240" w:lineRule="auto"/>
        <w:ind w:left="57"/>
        <w:jc w:val="left"/>
        <w:shd w:val="clear" w:fill="F2F2F2"/>
      </w:pPr>
      <w:r>
        <w:rPr>
          <w:rFonts w:ascii="Consolas" w:hAnsi="Consolas" w:cs="Consolas"/>
          <w:b w:val="0"/>
          <w:i w:val="0"/>
          <w:sz w:val="15"/>
        </w:rPr>
        <w:t>├── Getting Started</w:t>
      </w:r>
    </w:p>
    <w:p>
      <w:pPr>
        <w:spacing w:after="0" w:before="0" w:line="240" w:lineRule="auto"/>
        <w:ind w:left="57"/>
        <w:jc w:val="left"/>
        <w:shd w:val="clear" w:fill="F2F2F2"/>
      </w:pPr>
      <w:r>
        <w:rPr>
          <w:rFonts w:ascii="Consolas" w:hAnsi="Consolas" w:cs="Consolas"/>
          <w:b w:val="0"/>
          <w:i w:val="0"/>
          <w:sz w:val="15"/>
        </w:rPr>
        <w:t>│   ├── Quick Start (10 min read)</w:t>
      </w:r>
    </w:p>
    <w:p>
      <w:pPr>
        <w:spacing w:after="0" w:before="0" w:line="240" w:lineRule="auto"/>
        <w:ind w:left="57"/>
        <w:jc w:val="left"/>
        <w:shd w:val="clear" w:fill="F2F2F2"/>
      </w:pPr>
      <w:r>
        <w:rPr>
          <w:rFonts w:ascii="Consolas" w:hAnsi="Consolas" w:cs="Consolas"/>
          <w:b w:val="0"/>
          <w:i w:val="0"/>
          <w:sz w:val="15"/>
        </w:rPr>
        <w:t>│   ├── Video: First Trade (5 min)</w:t>
      </w:r>
    </w:p>
    <w:p>
      <w:pPr>
        <w:spacing w:after="0" w:before="0" w:line="240" w:lineRule="auto"/>
        <w:ind w:left="57"/>
        <w:jc w:val="left"/>
        <w:shd w:val="clear" w:fill="F2F2F2"/>
      </w:pPr>
      <w:r>
        <w:rPr>
          <w:rFonts w:ascii="Consolas" w:hAnsi="Consolas" w:cs="Consolas"/>
          <w:b w:val="0"/>
          <w:i w:val="0"/>
          <w:sz w:val="15"/>
        </w:rPr>
        <w:t>│   └── Glossary of Terms</w:t>
      </w:r>
    </w:p>
    <w:p>
      <w:pPr>
        <w:spacing w:after="0" w:before="0" w:line="240" w:lineRule="auto"/>
        <w:ind w:left="57"/>
        <w:jc w:val="left"/>
        <w:shd w:val="clear" w:fill="F2F2F2"/>
      </w:pPr>
      <w:r>
        <w:rPr>
          <w:rFonts w:ascii="Consolas" w:hAnsi="Consolas" w:cs="Consolas"/>
          <w:b w:val="0"/>
          <w:i w:val="0"/>
          <w:sz w:val="15"/>
        </w:rPr>
        <w:t>├── Role Guides</w:t>
      </w:r>
    </w:p>
    <w:p>
      <w:pPr>
        <w:spacing w:after="0" w:before="0" w:line="240" w:lineRule="auto"/>
        <w:ind w:left="57"/>
        <w:jc w:val="left"/>
        <w:shd w:val="clear" w:fill="F2F2F2"/>
      </w:pPr>
      <w:r>
        <w:rPr>
          <w:rFonts w:ascii="Consolas" w:hAnsi="Consolas" w:cs="Consolas"/>
          <w:b w:val="0"/>
          <w:i w:val="0"/>
          <w:sz w:val="15"/>
        </w:rPr>
        <w:t>│   ├── Buyer Guide</w:t>
      </w:r>
    </w:p>
    <w:p>
      <w:pPr>
        <w:spacing w:after="0" w:before="0" w:line="240" w:lineRule="auto"/>
        <w:ind w:left="57"/>
        <w:jc w:val="left"/>
        <w:shd w:val="clear" w:fill="F2F2F2"/>
      </w:pPr>
      <w:r>
        <w:rPr>
          <w:rFonts w:ascii="Consolas" w:hAnsi="Consolas" w:cs="Consolas"/>
          <w:b w:val="0"/>
          <w:i w:val="0"/>
          <w:sz w:val="15"/>
        </w:rPr>
        <w:t>│   ├── Seller Guide</w:t>
      </w:r>
    </w:p>
    <w:p>
      <w:pPr>
        <w:spacing w:after="0" w:before="0" w:line="240" w:lineRule="auto"/>
        <w:ind w:left="57"/>
        <w:jc w:val="left"/>
        <w:shd w:val="clear" w:fill="F2F2F2"/>
      </w:pPr>
      <w:r>
        <w:rPr>
          <w:rFonts w:ascii="Consolas" w:hAnsi="Consolas" w:cs="Consolas"/>
          <w:b w:val="0"/>
          <w:i w:val="0"/>
          <w:sz w:val="15"/>
        </w:rPr>
        <w:t>│   ├── Logistics Provider Guide</w:t>
      </w:r>
    </w:p>
    <w:p>
      <w:pPr>
        <w:spacing w:after="0" w:before="0" w:line="240" w:lineRule="auto"/>
        <w:ind w:left="57"/>
        <w:jc w:val="left"/>
        <w:shd w:val="clear" w:fill="F2F2F2"/>
      </w:pPr>
      <w:r>
        <w:rPr>
          <w:rFonts w:ascii="Consolas" w:hAnsi="Consolas" w:cs="Consolas"/>
          <w:b w:val="0"/>
          <w:i w:val="0"/>
          <w:sz w:val="15"/>
        </w:rPr>
        <w:t>│   ├── Financier Guide</w:t>
      </w:r>
    </w:p>
    <w:p>
      <w:pPr>
        <w:spacing w:after="0" w:before="0" w:line="240" w:lineRule="auto"/>
        <w:ind w:left="57"/>
        <w:jc w:val="left"/>
        <w:shd w:val="clear" w:fill="F2F2F2"/>
      </w:pPr>
      <w:r>
        <w:rPr>
          <w:rFonts w:ascii="Consolas" w:hAnsi="Consolas" w:cs="Consolas"/>
          <w:b w:val="0"/>
          <w:i w:val="0"/>
          <w:sz w:val="15"/>
        </w:rPr>
        <w:t>│   └── Government Official Guide</w:t>
      </w:r>
    </w:p>
    <w:p>
      <w:pPr>
        <w:spacing w:after="0" w:before="0" w:line="240" w:lineRule="auto"/>
        <w:ind w:left="57"/>
        <w:jc w:val="left"/>
        <w:shd w:val="clear" w:fill="F2F2F2"/>
      </w:pPr>
      <w:r>
        <w:rPr>
          <w:rFonts w:ascii="Consolas" w:hAnsi="Consolas" w:cs="Consolas"/>
          <w:b w:val="0"/>
          <w:i w:val="0"/>
          <w:sz w:val="15"/>
        </w:rPr>
        <w:t>├── Trade Guides</w:t>
      </w:r>
    </w:p>
    <w:p>
      <w:pPr>
        <w:spacing w:after="0" w:before="0" w:line="240" w:lineRule="auto"/>
        <w:ind w:left="57"/>
        <w:jc w:val="left"/>
        <w:shd w:val="clear" w:fill="F2F2F2"/>
      </w:pPr>
      <w:r>
        <w:rPr>
          <w:rFonts w:ascii="Consolas" w:hAnsi="Consolas" w:cs="Consolas"/>
          <w:b w:val="0"/>
          <w:i w:val="0"/>
          <w:sz w:val="15"/>
        </w:rPr>
        <w:t>│   ├── Export Process (Egypt)</w:t>
      </w:r>
    </w:p>
    <w:p>
      <w:pPr>
        <w:spacing w:after="0" w:before="0" w:line="240" w:lineRule="auto"/>
        <w:ind w:left="57"/>
        <w:jc w:val="left"/>
        <w:shd w:val="clear" w:fill="F2F2F2"/>
      </w:pPr>
      <w:r>
        <w:rPr>
          <w:rFonts w:ascii="Consolas" w:hAnsi="Consolas" w:cs="Consolas"/>
          <w:b w:val="0"/>
          <w:i w:val="0"/>
          <w:sz w:val="15"/>
        </w:rPr>
        <w:t>│   ├── Import Process (Egypt)</w:t>
      </w:r>
    </w:p>
    <w:p>
      <w:pPr>
        <w:spacing w:after="0" w:before="0" w:line="240" w:lineRule="auto"/>
        <w:ind w:left="57"/>
        <w:jc w:val="left"/>
        <w:shd w:val="clear" w:fill="F2F2F2"/>
      </w:pPr>
      <w:r>
        <w:rPr>
          <w:rFonts w:ascii="Consolas" w:hAnsi="Consolas" w:cs="Consolas"/>
          <w:b w:val="0"/>
          <w:i w:val="0"/>
          <w:sz w:val="15"/>
        </w:rPr>
        <w:t>│   ├── Multi-Shipment Contracts</w:t>
      </w:r>
    </w:p>
    <w:p>
      <w:pPr>
        <w:spacing w:after="0" w:before="0" w:line="240" w:lineRule="auto"/>
        <w:ind w:left="57"/>
        <w:jc w:val="left"/>
        <w:shd w:val="clear" w:fill="F2F2F2"/>
      </w:pPr>
      <w:r>
        <w:rPr>
          <w:rFonts w:ascii="Consolas" w:hAnsi="Consolas" w:cs="Consolas"/>
          <w:b w:val="0"/>
          <w:i w:val="0"/>
          <w:sz w:val="15"/>
        </w:rPr>
        <w:t>│   ├── Distressed Cargo</w:t>
      </w:r>
    </w:p>
    <w:p>
      <w:pPr>
        <w:spacing w:after="0" w:before="0" w:line="240" w:lineRule="auto"/>
        <w:ind w:left="57"/>
        <w:jc w:val="left"/>
        <w:shd w:val="clear" w:fill="F2F2F2"/>
      </w:pPr>
      <w:r>
        <w:rPr>
          <w:rFonts w:ascii="Consolas" w:hAnsi="Consolas" w:cs="Consolas"/>
          <w:b w:val="0"/>
          <w:i w:val="0"/>
          <w:sz w:val="15"/>
        </w:rPr>
        <w:t>│   └── Regulatory Compliance</w:t>
      </w:r>
    </w:p>
    <w:p>
      <w:pPr>
        <w:spacing w:after="0" w:before="0" w:line="240" w:lineRule="auto"/>
        <w:ind w:left="57"/>
        <w:jc w:val="left"/>
        <w:shd w:val="clear" w:fill="F2F2F2"/>
      </w:pPr>
      <w:r>
        <w:rPr>
          <w:rFonts w:ascii="Consolas" w:hAnsi="Consolas" w:cs="Consolas"/>
          <w:b w:val="0"/>
          <w:i w:val="0"/>
          <w:sz w:val="15"/>
        </w:rPr>
        <w:t>│       ├── Nafeza Integration</w:t>
      </w:r>
    </w:p>
    <w:p>
      <w:pPr>
        <w:spacing w:after="0" w:before="0" w:line="240" w:lineRule="auto"/>
        <w:ind w:left="57"/>
        <w:jc w:val="left"/>
        <w:shd w:val="clear" w:fill="F2F2F2"/>
      </w:pPr>
      <w:r>
        <w:rPr>
          <w:rFonts w:ascii="Consolas" w:hAnsi="Consolas" w:cs="Consolas"/>
          <w:b w:val="0"/>
          <w:i w:val="0"/>
          <w:sz w:val="15"/>
        </w:rPr>
        <w:t>│       ├── CargoX ACI</w:t>
      </w:r>
    </w:p>
    <w:p>
      <w:pPr>
        <w:spacing w:after="0" w:before="0" w:line="240" w:lineRule="auto"/>
        <w:ind w:left="57"/>
        <w:jc w:val="left"/>
        <w:shd w:val="clear" w:fill="F2F2F2"/>
      </w:pPr>
      <w:r>
        <w:rPr>
          <w:rFonts w:ascii="Consolas" w:hAnsi="Consolas" w:cs="Consolas"/>
          <w:b w:val="0"/>
          <w:i w:val="0"/>
          <w:sz w:val="15"/>
        </w:rPr>
        <w:t>│       ├── ETA E-Invoice</w:t>
      </w:r>
    </w:p>
    <w:p>
      <w:pPr>
        <w:spacing w:after="0" w:before="0" w:line="240" w:lineRule="auto"/>
        <w:ind w:left="57"/>
        <w:jc w:val="left"/>
        <w:shd w:val="clear" w:fill="F2F2F2"/>
      </w:pPr>
      <w:r>
        <w:rPr>
          <w:rFonts w:ascii="Consolas" w:hAnsi="Consolas" w:cs="Consolas"/>
          <w:b w:val="0"/>
          <w:i w:val="0"/>
          <w:sz w:val="15"/>
        </w:rPr>
        <w:t>│       └── Egyptian Customs Law 207/2020</w:t>
      </w:r>
    </w:p>
    <w:p>
      <w:pPr>
        <w:spacing w:after="0" w:before="0" w:line="240" w:lineRule="auto"/>
        <w:ind w:left="57"/>
        <w:jc w:val="left"/>
        <w:shd w:val="clear" w:fill="F2F2F2"/>
      </w:pPr>
      <w:r>
        <w:rPr>
          <w:rFonts w:ascii="Consolas" w:hAnsi="Consolas" w:cs="Consolas"/>
          <w:b w:val="0"/>
          <w:i w:val="0"/>
          <w:sz w:val="15"/>
        </w:rPr>
        <w:t>├── API &amp; Integration</w:t>
      </w:r>
    </w:p>
    <w:p>
      <w:pPr>
        <w:spacing w:after="0" w:before="0" w:line="240" w:lineRule="auto"/>
        <w:ind w:left="57"/>
        <w:jc w:val="left"/>
        <w:shd w:val="clear" w:fill="F2F2F2"/>
      </w:pPr>
      <w:r>
        <w:rPr>
          <w:rFonts w:ascii="Consolas" w:hAnsi="Consolas" w:cs="Consolas"/>
          <w:b w:val="0"/>
          <w:i w:val="0"/>
          <w:sz w:val="15"/>
        </w:rPr>
        <w:t>│   ├── OpenAPI Reference</w:t>
      </w:r>
    </w:p>
    <w:p>
      <w:pPr>
        <w:spacing w:after="0" w:before="0" w:line="240" w:lineRule="auto"/>
        <w:ind w:left="57"/>
        <w:jc w:val="left"/>
        <w:shd w:val="clear" w:fill="F2F2F2"/>
      </w:pPr>
      <w:r>
        <w:rPr>
          <w:rFonts w:ascii="Consolas" w:hAnsi="Consolas" w:cs="Consolas"/>
          <w:b w:val="0"/>
          <w:i w:val="0"/>
          <w:sz w:val="15"/>
        </w:rPr>
        <w:t>│   ├── Webhook Guide</w:t>
      </w:r>
    </w:p>
    <w:p>
      <w:pPr>
        <w:spacing w:after="0" w:before="0" w:line="240" w:lineRule="auto"/>
        <w:ind w:left="57"/>
        <w:jc w:val="left"/>
        <w:shd w:val="clear" w:fill="F2F2F2"/>
      </w:pPr>
      <w:r>
        <w:rPr>
          <w:rFonts w:ascii="Consolas" w:hAnsi="Consolas" w:cs="Consolas"/>
          <w:b w:val="0"/>
          <w:i w:val="0"/>
          <w:sz w:val="15"/>
        </w:rPr>
        <w:t>│   └── Partner Onboarding</w:t>
      </w:r>
    </w:p>
    <w:p>
      <w:pPr>
        <w:spacing w:after="0" w:before="0" w:line="240" w:lineRule="auto"/>
        <w:ind w:left="57"/>
        <w:jc w:val="left"/>
        <w:shd w:val="clear" w:fill="F2F2F2"/>
      </w:pPr>
      <w:r>
        <w:rPr>
          <w:rFonts w:ascii="Consolas" w:hAnsi="Consolas" w:cs="Consolas"/>
          <w:b w:val="0"/>
          <w:i w:val="0"/>
          <w:sz w:val="15"/>
        </w:rPr>
        <w:t>└── FAQ</w:t>
      </w:r>
    </w:p>
    <w:p>
      <w:pPr>
        <w:spacing w:after="0" w:before="0" w:line="240" w:lineRule="auto"/>
        <w:ind w:left="57"/>
        <w:jc w:val="left"/>
        <w:shd w:val="clear" w:fill="F2F2F2"/>
      </w:pPr>
      <w:r>
        <w:rPr>
          <w:rFonts w:ascii="Consolas" w:hAnsi="Consolas" w:cs="Consolas"/>
          <w:b w:val="0"/>
          <w:i w:val="0"/>
          <w:sz w:val="15"/>
        </w:rPr>
        <w:t xml:space="preserve">    ├── Account &amp; Billing</w:t>
      </w:r>
    </w:p>
    <w:p>
      <w:pPr>
        <w:spacing w:after="0" w:before="0" w:line="240" w:lineRule="auto"/>
        <w:ind w:left="57"/>
        <w:jc w:val="left"/>
        <w:shd w:val="clear" w:fill="F2F2F2"/>
      </w:pPr>
      <w:r>
        <w:rPr>
          <w:rFonts w:ascii="Consolas" w:hAnsi="Consolas" w:cs="Consolas"/>
          <w:b w:val="0"/>
          <w:i w:val="0"/>
          <w:sz w:val="15"/>
        </w:rPr>
        <w:t xml:space="preserve">    ├── Trade Execution</w:t>
      </w:r>
    </w:p>
    <w:p>
      <w:pPr>
        <w:spacing w:after="0" w:before="0" w:line="240" w:lineRule="auto"/>
        <w:ind w:left="57"/>
        <w:jc w:val="left"/>
        <w:shd w:val="clear" w:fill="F2F2F2"/>
      </w:pPr>
      <w:r>
        <w:rPr>
          <w:rFonts w:ascii="Consolas" w:hAnsi="Consolas" w:cs="Consolas"/>
          <w:b w:val="0"/>
          <w:i w:val="0"/>
          <w:sz w:val="15"/>
        </w:rPr>
        <w:t xml:space="preserve">    ├── Disputes</w:t>
      </w:r>
    </w:p>
    <w:p>
      <w:pPr>
        <w:spacing w:after="0" w:before="0" w:line="240" w:lineRule="auto"/>
        <w:ind w:left="57"/>
        <w:jc w:val="left"/>
        <w:shd w:val="clear" w:fill="F2F2F2"/>
      </w:pPr>
      <w:r>
        <w:rPr>
          <w:rFonts w:ascii="Consolas" w:hAnsi="Consolas" w:cs="Consolas"/>
          <w:b w:val="0"/>
          <w:i w:val="0"/>
          <w:sz w:val="15"/>
        </w:rPr>
        <w:t xml:space="preserve">    └── Security</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16.14.14.3 Video Academy</w:t>
      </w:r>
    </w:p>
    <w:p>
      <w:pPr>
        <w:spacing w:after="80" w:line="293" w:lineRule="auto"/>
        <w:jc w:val="left"/>
      </w:pPr>
      <w:r>
        <w:rPr>
          <w:rFonts w:ascii="Times New Roman" w:hAnsi="Times New Roman" w:cs="Times New Roman"/>
          <w:b w:val="0"/>
          <w:i w:val="0"/>
          <w:sz w:val="22"/>
        </w:rPr>
        <w:t>Self-hosted PeerTube video academy: role guides, first-trade walkthrough, feature deep dives. All videos are captioned (WCAG 2.2 AA).</w:t>
      </w:r>
    </w:p>
    <w:p>
      <w:pPr>
        <w:keepNext/>
        <w:spacing w:before="140" w:after="60"/>
        <w:outlineLvl w:val="3"/>
      </w:pPr>
      <w:r>
        <w:rPr>
          <w:rFonts w:ascii="Arial" w:hAnsi="Arial" w:cs="Arial"/>
          <w:b/>
          <w:i/>
          <w:color w:val="333333"/>
          <w:sz w:val="22"/>
        </w:rPr>
        <w:t>16.14.14.4 Ticketing System</w:t>
      </w:r>
    </w:p>
    <w:p>
      <w:pPr>
        <w:spacing w:after="80" w:line="293" w:lineRule="auto"/>
        <w:jc w:val="left"/>
      </w:pPr>
      <w:r>
        <w:rPr>
          <w:rFonts w:ascii="Times New Roman" w:hAnsi="Times New Roman" w:cs="Times New Roman"/>
          <w:b w:val="0"/>
          <w:i w:val="0"/>
          <w:sz w:val="22"/>
        </w:rPr>
        <w:t>Ticket lifecycle: Created → user receives confirmation with ticket number → Assigned → support agent (human) takes ownership → In Progress → agent updates with comments → Resolved → user receives resolution, can reopen within 7 days → Closed → archived after 30 days.</w:t>
      </w:r>
    </w:p>
    <w:p>
      <w:pPr>
        <w:spacing w:after="80" w:line="293" w:lineRule="auto"/>
        <w:jc w:val="left"/>
      </w:pPr>
      <w:r>
        <w:rPr>
          <w:rFonts w:ascii="Times New Roman" w:hAnsi="Times New Roman" w:cs="Times New Roman"/>
          <w:b w:val="0"/>
          <w:i w:val="0"/>
          <w:sz w:val="22"/>
        </w:rPr>
        <w:t>Integration: ticket updates appear as Smart Inbox items.</w:t>
      </w:r>
    </w:p>
    <w:p>
      <w:pPr>
        <w:keepNext/>
        <w:spacing w:before="180" w:after="80"/>
        <w:outlineLvl w:val="2"/>
      </w:pPr>
      <w:r>
        <w:rPr>
          <w:rFonts w:ascii="Arial" w:hAnsi="Arial" w:cs="Arial"/>
          <w:b/>
          <w:i w:val="0"/>
          <w:color w:val="333333"/>
          <w:sz w:val="23"/>
        </w:rPr>
        <w:t>16.14.15 Implementation Checklist (Navigation &amp; UX Components)</w:t>
      </w:r>
    </w:p>
    <w:p>
      <w:pPr>
        <w:keepNext/>
        <w:spacing w:before="140" w:after="60"/>
        <w:outlineLvl w:val="3"/>
      </w:pPr>
      <w:r>
        <w:rPr>
          <w:rFonts w:ascii="Arial" w:hAnsi="Arial" w:cs="Arial"/>
          <w:b/>
          <w:i/>
          <w:color w:val="333333"/>
          <w:sz w:val="22"/>
        </w:rPr>
        <w:t>16.14.15.1 Decision Tree</w:t>
      </w:r>
    </w:p>
    <w:p>
      <w:pPr>
        <w:spacing w:after="80" w:line="293" w:lineRule="auto"/>
        <w:ind w:left="283"/>
        <w:jc w:val="left"/>
      </w:pPr>
      <w:r>
        <w:rPr>
          <w:rFonts w:ascii="Times New Roman" w:hAnsi="Times New Roman" w:cs="Times New Roman"/>
          <w:b w:val="0"/>
          <w:i w:val="0"/>
          <w:sz w:val="22"/>
        </w:rPr>
        <w:t>- Build decision tree component (React, interactive).</w:t>
      </w:r>
    </w:p>
    <w:p>
      <w:pPr>
        <w:spacing w:after="80" w:line="293" w:lineRule="auto"/>
        <w:ind w:left="283"/>
        <w:jc w:val="left"/>
      </w:pPr>
      <w:r>
        <w:rPr>
          <w:rFonts w:ascii="Times New Roman" w:hAnsi="Times New Roman" w:cs="Times New Roman"/>
          <w:b w:val="0"/>
          <w:i w:val="0"/>
          <w:sz w:val="22"/>
        </w:rPr>
        <w:t>- Add role selection buttons.</w:t>
      </w:r>
    </w:p>
    <w:p>
      <w:pPr>
        <w:spacing w:after="80" w:line="293" w:lineRule="auto"/>
        <w:ind w:left="283"/>
        <w:jc w:val="left"/>
      </w:pPr>
      <w:r>
        <w:rPr>
          <w:rFonts w:ascii="Times New Roman" w:hAnsi="Times New Roman" w:cs="Times New Roman"/>
          <w:b w:val="0"/>
          <w:i w:val="0"/>
          <w:sz w:val="22"/>
        </w:rPr>
        <w:t>- Display the relevant portal and tabs for the selected role.</w:t>
      </w:r>
    </w:p>
    <w:p>
      <w:pPr>
        <w:spacing w:after="80" w:line="293" w:lineRule="auto"/>
        <w:ind w:left="283"/>
        <w:jc w:val="left"/>
      </w:pPr>
      <w:r>
        <w:rPr>
          <w:rFonts w:ascii="Times New Roman" w:hAnsi="Times New Roman" w:cs="Times New Roman"/>
          <w:b w:val="0"/>
          <w:i w:val="0"/>
          <w:sz w:val="22"/>
        </w:rPr>
        <w:t>- Include the dual-mode toggle explanation.</w:t>
      </w:r>
    </w:p>
    <w:p>
      <w:pPr>
        <w:keepNext/>
        <w:spacing w:before="140" w:after="60"/>
        <w:outlineLvl w:val="3"/>
      </w:pPr>
      <w:r>
        <w:rPr>
          <w:rFonts w:ascii="Arial" w:hAnsi="Arial" w:cs="Arial"/>
          <w:b/>
          <w:i/>
          <w:color w:val="333333"/>
          <w:sz w:val="22"/>
        </w:rPr>
        <w:t>16.14.15.2 Tab Index</w:t>
      </w:r>
    </w:p>
    <w:p>
      <w:pPr>
        <w:spacing w:after="80" w:line="293" w:lineRule="auto"/>
        <w:ind w:left="283"/>
        <w:jc w:val="left"/>
      </w:pPr>
      <w:r>
        <w:rPr>
          <w:rFonts w:ascii="Times New Roman" w:hAnsi="Times New Roman" w:cs="Times New Roman"/>
          <w:b w:val="0"/>
          <w:i w:val="0"/>
          <w:sz w:val="22"/>
        </w:rPr>
        <w:t>- Maintain the alphabetical list of all tabs.</w:t>
      </w:r>
    </w:p>
    <w:p>
      <w:pPr>
        <w:spacing w:after="80" w:line="293" w:lineRule="auto"/>
        <w:ind w:left="283"/>
        <w:jc w:val="left"/>
      </w:pPr>
      <w:r>
        <w:rPr>
          <w:rFonts w:ascii="Times New Roman" w:hAnsi="Times New Roman" w:cs="Times New Roman"/>
          <w:b w:val="0"/>
          <w:i w:val="0"/>
          <w:sz w:val="22"/>
        </w:rPr>
        <w:t>- Cross-reference to portal and section.</w:t>
      </w:r>
    </w:p>
    <w:p>
      <w:pPr>
        <w:spacing w:after="80" w:line="293" w:lineRule="auto"/>
        <w:ind w:left="283"/>
        <w:jc w:val="left"/>
      </w:pPr>
      <w:r>
        <w:rPr>
          <w:rFonts w:ascii="Times New Roman" w:hAnsi="Times New Roman" w:cs="Times New Roman"/>
          <w:b w:val="0"/>
          <w:i w:val="0"/>
          <w:sz w:val="22"/>
        </w:rPr>
        <w:t>- Include one-click actions per tab.</w:t>
      </w:r>
    </w:p>
    <w:p>
      <w:pPr>
        <w:spacing w:after="80" w:line="293" w:lineRule="auto"/>
        <w:ind w:left="283"/>
        <w:jc w:val="left"/>
      </w:pPr>
      <w:r>
        <w:rPr>
          <w:rFonts w:ascii="Times New Roman" w:hAnsi="Times New Roman" w:cs="Times New Roman"/>
          <w:b w:val="0"/>
          <w:i w:val="0"/>
          <w:sz w:val="22"/>
        </w:rPr>
        <w:t>- Add search functionality for the tab index.</w:t>
      </w:r>
    </w:p>
    <w:p>
      <w:pPr>
        <w:keepNext/>
        <w:spacing w:before="140" w:after="60"/>
        <w:outlineLvl w:val="3"/>
      </w:pPr>
      <w:r>
        <w:rPr>
          <w:rFonts w:ascii="Arial" w:hAnsi="Arial" w:cs="Arial"/>
          <w:b/>
          <w:i/>
          <w:color w:val="333333"/>
          <w:sz w:val="22"/>
        </w:rPr>
        <w:t>16.14.15.3 Role-Based Quick Reference Cards</w:t>
      </w:r>
    </w:p>
    <w:p>
      <w:pPr>
        <w:spacing w:after="80" w:line="293" w:lineRule="auto"/>
        <w:ind w:left="283"/>
        <w:jc w:val="left"/>
      </w:pPr>
      <w:r>
        <w:rPr>
          <w:rFonts w:ascii="Times New Roman" w:hAnsi="Times New Roman" w:cs="Times New Roman"/>
          <w:b w:val="0"/>
          <w:i w:val="0"/>
          <w:sz w:val="22"/>
        </w:rPr>
        <w:t>- Build a card for each role.</w:t>
      </w:r>
    </w:p>
    <w:p>
      <w:pPr>
        <w:spacing w:after="80" w:line="293" w:lineRule="auto"/>
        <w:ind w:left="283"/>
        <w:jc w:val="left"/>
      </w:pPr>
      <w:r>
        <w:rPr>
          <w:rFonts w:ascii="Times New Roman" w:hAnsi="Times New Roman" w:cs="Times New Roman"/>
          <w:b w:val="0"/>
          <w:i w:val="0"/>
          <w:sz w:val="22"/>
        </w:rPr>
        <w:t>- Include "If you need to…" mapping.</w:t>
      </w:r>
    </w:p>
    <w:p>
      <w:pPr>
        <w:spacing w:after="80" w:line="293" w:lineRule="auto"/>
        <w:ind w:left="283"/>
        <w:jc w:val="left"/>
      </w:pPr>
      <w:r>
        <w:rPr>
          <w:rFonts w:ascii="Times New Roman" w:hAnsi="Times New Roman" w:cs="Times New Roman"/>
          <w:b w:val="0"/>
          <w:i w:val="0"/>
          <w:sz w:val="22"/>
        </w:rPr>
        <w:t>- Include the quick navigation path.</w:t>
      </w:r>
    </w:p>
    <w:p>
      <w:pPr>
        <w:spacing w:after="80" w:line="293" w:lineRule="auto"/>
        <w:ind w:left="283"/>
        <w:jc w:val="left"/>
      </w:pPr>
      <w:r>
        <w:rPr>
          <w:rFonts w:ascii="Times New Roman" w:hAnsi="Times New Roman" w:cs="Times New Roman"/>
          <w:b w:val="0"/>
          <w:i w:val="0"/>
          <w:sz w:val="22"/>
        </w:rPr>
        <w:t>- Add visual icons.</w:t>
      </w:r>
    </w:p>
    <w:p>
      <w:pPr>
        <w:keepNext/>
        <w:spacing w:before="140" w:after="60"/>
        <w:outlineLvl w:val="3"/>
      </w:pPr>
      <w:r>
        <w:rPr>
          <w:rFonts w:ascii="Arial" w:hAnsi="Arial" w:cs="Arial"/>
          <w:b/>
          <w:i/>
          <w:color w:val="333333"/>
          <w:sz w:val="22"/>
        </w:rPr>
        <w:t>16.14.15.4 Tab-by-Tab Navigation Map</w:t>
      </w:r>
    </w:p>
    <w:p>
      <w:pPr>
        <w:spacing w:after="80" w:line="293" w:lineRule="auto"/>
        <w:ind w:left="283"/>
        <w:jc w:val="left"/>
      </w:pPr>
      <w:r>
        <w:rPr>
          <w:rFonts w:ascii="Times New Roman" w:hAnsi="Times New Roman" w:cs="Times New Roman"/>
          <w:b w:val="0"/>
          <w:i w:val="0"/>
          <w:sz w:val="22"/>
        </w:rPr>
        <w:t>- Document common task navigation paths.</w:t>
      </w:r>
    </w:p>
    <w:p>
      <w:pPr>
        <w:spacing w:after="80" w:line="293" w:lineRule="auto"/>
        <w:ind w:left="283"/>
        <w:jc w:val="left"/>
      </w:pPr>
      <w:r>
        <w:rPr>
          <w:rFonts w:ascii="Times New Roman" w:hAnsi="Times New Roman" w:cs="Times New Roman"/>
          <w:b w:val="0"/>
          <w:i w:val="0"/>
          <w:sz w:val="22"/>
        </w:rPr>
        <w:t>- Include step-by-step guides.</w:t>
      </w:r>
    </w:p>
    <w:p>
      <w:pPr>
        <w:spacing w:after="80" w:line="293" w:lineRule="auto"/>
        <w:ind w:left="283"/>
        <w:jc w:val="left"/>
      </w:pPr>
      <w:r>
        <w:rPr>
          <w:rFonts w:ascii="Times New Roman" w:hAnsi="Times New Roman" w:cs="Times New Roman"/>
          <w:b w:val="0"/>
          <w:i w:val="0"/>
          <w:sz w:val="22"/>
        </w:rPr>
        <w:t>- Highlight one-click actions.</w:t>
      </w:r>
    </w:p>
    <w:p>
      <w:pPr>
        <w:spacing w:after="80" w:line="293" w:lineRule="auto"/>
        <w:ind w:left="283"/>
        <w:jc w:val="left"/>
      </w:pPr>
      <w:r>
        <w:rPr>
          <w:rFonts w:ascii="Times New Roman" w:hAnsi="Times New Roman" w:cs="Times New Roman"/>
          <w:b w:val="0"/>
          <w:i w:val="0"/>
          <w:sz w:val="22"/>
        </w:rPr>
        <w:t>- Add completion markers.</w:t>
      </w:r>
    </w:p>
    <w:p>
      <w:pPr>
        <w:keepNext/>
        <w:spacing w:before="140" w:after="60"/>
        <w:outlineLvl w:val="3"/>
      </w:pPr>
      <w:r>
        <w:rPr>
          <w:rFonts w:ascii="Arial" w:hAnsi="Arial" w:cs="Arial"/>
          <w:b/>
          <w:i/>
          <w:color w:val="333333"/>
          <w:sz w:val="22"/>
        </w:rPr>
        <w:t>16.14.15.5 Portal Switching Guide</w:t>
      </w:r>
    </w:p>
    <w:p>
      <w:pPr>
        <w:spacing w:after="80" w:line="293" w:lineRule="auto"/>
        <w:ind w:left="283"/>
        <w:jc w:val="left"/>
      </w:pPr>
      <w:r>
        <w:rPr>
          <w:rFonts w:ascii="Times New Roman" w:hAnsi="Times New Roman" w:cs="Times New Roman"/>
          <w:b w:val="0"/>
          <w:i w:val="0"/>
          <w:sz w:val="22"/>
        </w:rPr>
        <w:t>- Document the dual-mode toggle.</w:t>
      </w:r>
    </w:p>
    <w:p>
      <w:pPr>
        <w:spacing w:after="80" w:line="293" w:lineRule="auto"/>
        <w:ind w:left="283"/>
        <w:jc w:val="left"/>
      </w:pPr>
      <w:r>
        <w:rPr>
          <w:rFonts w:ascii="Times New Roman" w:hAnsi="Times New Roman" w:cs="Times New Roman"/>
          <w:b w:val="0"/>
          <w:i w:val="0"/>
          <w:sz w:val="22"/>
        </w:rPr>
        <w:t>- List portal access points and URLs.</w:t>
      </w:r>
    </w:p>
    <w:p>
      <w:pPr>
        <w:spacing w:after="80" w:line="293" w:lineRule="auto"/>
        <w:ind w:left="283"/>
        <w:jc w:val="left"/>
      </w:pPr>
      <w:r>
        <w:rPr>
          <w:rFonts w:ascii="Times New Roman" w:hAnsi="Times New Roman" w:cs="Times New Roman"/>
          <w:b w:val="0"/>
          <w:i w:val="0"/>
          <w:sz w:val="22"/>
        </w:rPr>
        <w:t>- Document mobile app availability.</w:t>
      </w:r>
    </w:p>
    <w:p>
      <w:pPr>
        <w:spacing w:after="80" w:line="293" w:lineRule="auto"/>
        <w:ind w:left="283"/>
        <w:jc w:val="left"/>
      </w:pPr>
      <w:r>
        <w:rPr>
          <w:rFonts w:ascii="Times New Roman" w:hAnsi="Times New Roman" w:cs="Times New Roman"/>
          <w:b w:val="0"/>
          <w:i w:val="0"/>
          <w:sz w:val="22"/>
        </w:rPr>
        <w:t>- Add keyboard shortcuts.</w:t>
      </w:r>
    </w:p>
    <w:p>
      <w:pPr>
        <w:keepNext/>
        <w:spacing w:before="140" w:after="60"/>
        <w:outlineLvl w:val="3"/>
      </w:pPr>
      <w:r>
        <w:rPr>
          <w:rFonts w:ascii="Arial" w:hAnsi="Arial" w:cs="Arial"/>
          <w:b/>
          <w:i/>
          <w:color w:val="333333"/>
          <w:sz w:val="22"/>
        </w:rPr>
        <w:t>16.14.15.6 Testing</w:t>
      </w:r>
    </w:p>
    <w:p>
      <w:pPr>
        <w:spacing w:after="80" w:line="293" w:lineRule="auto"/>
        <w:ind w:left="283"/>
        <w:jc w:val="left"/>
      </w:pPr>
      <w:r>
        <w:rPr>
          <w:rFonts w:ascii="Times New Roman" w:hAnsi="Times New Roman" w:cs="Times New Roman"/>
          <w:b w:val="0"/>
          <w:i w:val="0"/>
          <w:sz w:val="22"/>
        </w:rPr>
        <w:t>- Test the decision tree for all roles.</w:t>
      </w:r>
    </w:p>
    <w:p>
      <w:pPr>
        <w:spacing w:after="80" w:line="293" w:lineRule="auto"/>
        <w:ind w:left="283"/>
        <w:jc w:val="left"/>
      </w:pPr>
      <w:r>
        <w:rPr>
          <w:rFonts w:ascii="Times New Roman" w:hAnsi="Times New Roman" w:cs="Times New Roman"/>
          <w:b w:val="0"/>
          <w:i w:val="0"/>
          <w:sz w:val="22"/>
        </w:rPr>
        <w:t>- Verify all tab references resolve correctly.</w:t>
      </w:r>
    </w:p>
    <w:p>
      <w:pPr>
        <w:spacing w:after="80" w:line="293" w:lineRule="auto"/>
        <w:ind w:left="283"/>
        <w:jc w:val="left"/>
      </w:pPr>
      <w:r>
        <w:rPr>
          <w:rFonts w:ascii="Times New Roman" w:hAnsi="Times New Roman" w:cs="Times New Roman"/>
          <w:b w:val="0"/>
          <w:i w:val="0"/>
          <w:sz w:val="22"/>
        </w:rPr>
        <w:t>- Test keyboard shortcuts.</w:t>
      </w:r>
    </w:p>
    <w:p>
      <w:pPr>
        <w:spacing w:after="80" w:line="293" w:lineRule="auto"/>
        <w:ind w:left="283"/>
        <w:jc w:val="left"/>
      </w:pPr>
      <w:r>
        <w:rPr>
          <w:rFonts w:ascii="Times New Roman" w:hAnsi="Times New Roman" w:cs="Times New Roman"/>
          <w:b w:val="0"/>
          <w:i w:val="0"/>
          <w:sz w:val="22"/>
        </w:rPr>
        <w:t>- Test portal switching.</w:t>
      </w:r>
    </w:p>
    <w:p>
      <w:pPr>
        <w:keepNext/>
        <w:spacing w:before="240" w:after="100"/>
        <w:outlineLvl w:val="1"/>
      </w:pPr>
      <w:r>
        <w:rPr>
          <w:rFonts w:ascii="Arial" w:hAnsi="Arial" w:cs="Arial"/>
          <w:b/>
          <w:i w:val="0"/>
          <w:color w:val="2E528F"/>
          <w:sz w:val="26"/>
        </w:rPr>
        <w:t>16.15 Implementation Checklist — Platform-Wide Components</w:t>
      </w:r>
    </w:p>
    <w:p>
      <w:pPr>
        <w:keepNext/>
        <w:spacing w:before="180" w:after="80"/>
        <w:outlineLvl w:val="2"/>
      </w:pPr>
      <w:r>
        <w:rPr>
          <w:rFonts w:ascii="Arial" w:hAnsi="Arial" w:cs="Arial"/>
          <w:b/>
          <w:i w:val="0"/>
          <w:color w:val="333333"/>
          <w:sz w:val="23"/>
        </w:rPr>
        <w:t>16.15.1 Smart Inbox</w:t>
      </w:r>
    </w:p>
    <w:p>
      <w:pPr>
        <w:spacing w:after="80" w:line="293" w:lineRule="auto"/>
        <w:ind w:left="283"/>
        <w:jc w:val="left"/>
      </w:pPr>
      <w:r>
        <w:rPr>
          <w:rFonts w:ascii="Times New Roman" w:hAnsi="Times New Roman" w:cs="Times New Roman"/>
          <w:b w:val="0"/>
          <w:i w:val="0"/>
          <w:sz w:val="22"/>
        </w:rPr>
        <w:t>- Implement the inbox-service (Rust, Axum).</w:t>
      </w:r>
    </w:p>
    <w:p>
      <w:pPr>
        <w:spacing w:after="80" w:line="293" w:lineRule="auto"/>
        <w:ind w:left="283"/>
        <w:jc w:val="left"/>
      </w:pPr>
      <w:r>
        <w:rPr>
          <w:rFonts w:ascii="Times New Roman" w:hAnsi="Times New Roman" w:cs="Times New Roman"/>
          <w:b w:val="0"/>
          <w:i w:val="0"/>
          <w:sz w:val="22"/>
        </w:rPr>
        <w:t>- Create the inbox_items, inbox_history, inbox_preferences tables.</w:t>
      </w:r>
    </w:p>
    <w:p>
      <w:pPr>
        <w:spacing w:after="80" w:line="293" w:lineRule="auto"/>
        <w:ind w:left="283"/>
        <w:jc w:val="left"/>
      </w:pPr>
      <w:r>
        <w:rPr>
          <w:rFonts w:ascii="Times New Roman" w:hAnsi="Times New Roman" w:cs="Times New Roman"/>
          <w:b w:val="0"/>
          <w:i w:val="0"/>
          <w:sz w:val="22"/>
        </w:rPr>
        <w:t>- Implement urgency scoring (Rego, A4).</w:t>
      </w:r>
    </w:p>
    <w:p>
      <w:pPr>
        <w:spacing w:after="80" w:line="293" w:lineRule="auto"/>
        <w:ind w:left="283"/>
        <w:jc w:val="left"/>
      </w:pPr>
      <w:r>
        <w:rPr>
          <w:rFonts w:ascii="Times New Roman" w:hAnsi="Times New Roman" w:cs="Times New Roman"/>
          <w:b w:val="0"/>
          <w:i w:val="0"/>
          <w:sz w:val="22"/>
        </w:rPr>
        <w:t>- Integrate AI title/description generation (A1, Groq → Ollama).</w:t>
      </w:r>
    </w:p>
    <w:p>
      <w:pPr>
        <w:spacing w:after="80" w:line="293" w:lineRule="auto"/>
        <w:ind w:left="283"/>
        <w:jc w:val="left"/>
      </w:pPr>
      <w:r>
        <w:rPr>
          <w:rFonts w:ascii="Times New Roman" w:hAnsi="Times New Roman" w:cs="Times New Roman"/>
          <w:b w:val="0"/>
          <w:i w:val="0"/>
          <w:sz w:val="22"/>
        </w:rPr>
        <w:t>- Build the Recommended Actions Widget.</w:t>
      </w:r>
    </w:p>
    <w:p>
      <w:pPr>
        <w:spacing w:after="80" w:line="293" w:lineRule="auto"/>
        <w:ind w:left="283"/>
        <w:jc w:val="left"/>
      </w:pPr>
      <w:r>
        <w:rPr>
          <w:rFonts w:ascii="Times New Roman" w:hAnsi="Times New Roman" w:cs="Times New Roman"/>
          <w:b w:val="0"/>
          <w:i w:val="0"/>
          <w:sz w:val="22"/>
        </w:rPr>
        <w:t>- Add NATS subscriptions for all workflow events.</w:t>
      </w:r>
    </w:p>
    <w:p>
      <w:pPr>
        <w:spacing w:after="80" w:line="293" w:lineRule="auto"/>
        <w:ind w:left="283"/>
        <w:jc w:val="left"/>
      </w:pPr>
      <w:r>
        <w:rPr>
          <w:rFonts w:ascii="Times New Roman" w:hAnsi="Times New Roman" w:cs="Times New Roman"/>
          <w:b w:val="0"/>
          <w:i w:val="0"/>
          <w:sz w:val="22"/>
        </w:rPr>
        <w:t>- Implement snooze/dismiss with cross-device sync.</w:t>
      </w:r>
    </w:p>
    <w:p>
      <w:pPr>
        <w:spacing w:after="80" w:line="293" w:lineRule="auto"/>
        <w:ind w:left="283"/>
        <w:jc w:val="left"/>
      </w:pPr>
      <w:r>
        <w:rPr>
          <w:rFonts w:ascii="Times New Roman" w:hAnsi="Times New Roman" w:cs="Times New Roman"/>
          <w:b w:val="0"/>
          <w:i w:val="0"/>
          <w:sz w:val="22"/>
        </w:rPr>
        <w:t>- Add the AI Summary Card.</w:t>
      </w:r>
    </w:p>
    <w:p>
      <w:pPr>
        <w:keepNext/>
        <w:spacing w:before="180" w:after="80"/>
        <w:outlineLvl w:val="2"/>
      </w:pPr>
      <w:r>
        <w:rPr>
          <w:rFonts w:ascii="Arial" w:hAnsi="Arial" w:cs="Arial"/>
          <w:b/>
          <w:i w:val="0"/>
          <w:color w:val="333333"/>
          <w:sz w:val="23"/>
        </w:rPr>
        <w:t>16.15.2 Trade Command Center</w:t>
      </w:r>
    </w:p>
    <w:p>
      <w:pPr>
        <w:spacing w:after="80" w:line="293" w:lineRule="auto"/>
        <w:ind w:left="283"/>
        <w:jc w:val="left"/>
      </w:pPr>
      <w:r>
        <w:rPr>
          <w:rFonts w:ascii="Times New Roman" w:hAnsi="Times New Roman" w:cs="Times New Roman"/>
          <w:b w:val="0"/>
          <w:i w:val="0"/>
          <w:sz w:val="22"/>
        </w:rPr>
        <w:t>- Implement the /v1/trade/{ustn}/command-center endpoint.</w:t>
      </w:r>
    </w:p>
    <w:p>
      <w:pPr>
        <w:spacing w:after="80" w:line="293" w:lineRule="auto"/>
        <w:ind w:left="283"/>
        <w:jc w:val="left"/>
      </w:pPr>
      <w:r>
        <w:rPr>
          <w:rFonts w:ascii="Times New Roman" w:hAnsi="Times New Roman" w:cs="Times New Roman"/>
          <w:b w:val="0"/>
          <w:i w:val="0"/>
          <w:sz w:val="22"/>
        </w:rPr>
        <w:t>- Build the horizontal timeline component.</w:t>
      </w:r>
    </w:p>
    <w:p>
      <w:pPr>
        <w:spacing w:after="80" w:line="293" w:lineRule="auto"/>
        <w:ind w:left="283"/>
        <w:jc w:val="left"/>
      </w:pPr>
      <w:r>
        <w:rPr>
          <w:rFonts w:ascii="Times New Roman" w:hAnsi="Times New Roman" w:cs="Times New Roman"/>
          <w:b w:val="0"/>
          <w:i w:val="0"/>
          <w:sz w:val="22"/>
        </w:rPr>
        <w:t>- Build the Pending Action Panel with "Why this matters" (A1).</w:t>
      </w:r>
    </w:p>
    <w:p>
      <w:pPr>
        <w:spacing w:after="80" w:line="293" w:lineRule="auto"/>
        <w:ind w:left="283"/>
        <w:jc w:val="left"/>
      </w:pPr>
      <w:r>
        <w:rPr>
          <w:rFonts w:ascii="Times New Roman" w:hAnsi="Times New Roman" w:cs="Times New Roman"/>
          <w:b w:val="0"/>
          <w:i w:val="0"/>
          <w:sz w:val="22"/>
        </w:rPr>
        <w:t>- Build all Summary Cards (Commercial, Parties, Shipment, Documents, Finances, Risk, Logistics, QC,</w:t>
      </w:r>
    </w:p>
    <w:p>
      <w:pPr>
        <w:spacing w:after="80" w:line="293" w:lineRule="auto"/>
        <w:jc w:val="left"/>
      </w:pPr>
      <w:r>
        <w:rPr>
          <w:rFonts w:ascii="Times New Roman" w:hAnsi="Times New Roman" w:cs="Times New Roman"/>
          <w:b w:val="0"/>
          <w:i w:val="0"/>
          <w:sz w:val="22"/>
        </w:rPr>
        <w:t>Multi-shipment, Distressed).</w:t>
      </w:r>
    </w:p>
    <w:p>
      <w:pPr>
        <w:spacing w:after="80" w:line="293" w:lineRule="auto"/>
        <w:ind w:left="283"/>
        <w:jc w:val="left"/>
      </w:pPr>
      <w:r>
        <w:rPr>
          <w:rFonts w:ascii="Times New Roman" w:hAnsi="Times New Roman" w:cs="Times New Roman"/>
          <w:b w:val="0"/>
          <w:i w:val="0"/>
          <w:sz w:val="22"/>
        </w:rPr>
        <w:t>- Build the Activity Feed.</w:t>
      </w:r>
    </w:p>
    <w:p>
      <w:pPr>
        <w:spacing w:after="80" w:line="293" w:lineRule="auto"/>
        <w:ind w:left="283"/>
        <w:jc w:val="left"/>
      </w:pPr>
      <w:r>
        <w:rPr>
          <w:rFonts w:ascii="Times New Roman" w:hAnsi="Times New Roman" w:cs="Times New Roman"/>
          <w:b w:val="0"/>
          <w:i w:val="0"/>
          <w:sz w:val="22"/>
        </w:rPr>
        <w:t>- Build the Collaborative Trade Room (NATS + Yjs).</w:t>
      </w:r>
    </w:p>
    <w:p>
      <w:pPr>
        <w:keepNext/>
        <w:spacing w:before="180" w:after="80"/>
        <w:outlineLvl w:val="2"/>
      </w:pPr>
      <w:r>
        <w:rPr>
          <w:rFonts w:ascii="Arial" w:hAnsi="Arial" w:cs="Arial"/>
          <w:b/>
          <w:i w:val="0"/>
          <w:color w:val="333333"/>
          <w:sz w:val="23"/>
        </w:rPr>
        <w:t>16.15.3 PlainLanguage Governor Decision Panel</w:t>
      </w:r>
    </w:p>
    <w:p>
      <w:pPr>
        <w:spacing w:after="80" w:line="293" w:lineRule="auto"/>
        <w:ind w:left="283"/>
        <w:jc w:val="left"/>
      </w:pPr>
      <w:r>
        <w:rPr>
          <w:rFonts w:ascii="Times New Roman" w:hAnsi="Times New Roman" w:cs="Times New Roman"/>
          <w:b w:val="0"/>
          <w:i w:val="0"/>
          <w:sz w:val="22"/>
        </w:rPr>
        <w:t>- Implement tenant_message generation (A1, Groq → Ollama).</w:t>
      </w:r>
    </w:p>
    <w:p>
      <w:pPr>
        <w:spacing w:after="80" w:line="293" w:lineRule="auto"/>
        <w:ind w:left="283"/>
        <w:jc w:val="left"/>
      </w:pPr>
      <w:r>
        <w:rPr>
          <w:rFonts w:ascii="Times New Roman" w:hAnsi="Times New Roman" w:cs="Times New Roman"/>
          <w:b w:val="0"/>
          <w:i w:val="0"/>
          <w:sz w:val="22"/>
        </w:rPr>
        <w:t>- Build the Decision Panel UI component (React).</w:t>
      </w:r>
    </w:p>
    <w:p>
      <w:pPr>
        <w:spacing w:after="80" w:line="293" w:lineRule="auto"/>
        <w:ind w:left="283"/>
        <w:jc w:val="left"/>
      </w:pPr>
      <w:r>
        <w:rPr>
          <w:rFonts w:ascii="Times New Roman" w:hAnsi="Times New Roman" w:cs="Times New Roman"/>
          <w:b w:val="0"/>
          <w:i w:val="0"/>
          <w:sz w:val="22"/>
        </w:rPr>
        <w:t>- Add the condition checklist with action links.</w:t>
      </w:r>
    </w:p>
    <w:p>
      <w:pPr>
        <w:spacing w:after="80" w:line="293" w:lineRule="auto"/>
        <w:ind w:left="283"/>
        <w:jc w:val="left"/>
      </w:pPr>
      <w:r>
        <w:rPr>
          <w:rFonts w:ascii="Times New Roman" w:hAnsi="Times New Roman" w:cs="Times New Roman"/>
          <w:b w:val="0"/>
          <w:i w:val="0"/>
          <w:sz w:val="22"/>
        </w:rPr>
        <w:t>- Add "Request Human Review" escalation (A3).</w:t>
      </w:r>
    </w:p>
    <w:p>
      <w:pPr>
        <w:spacing w:after="80" w:line="293" w:lineRule="auto"/>
        <w:ind w:left="283"/>
        <w:jc w:val="left"/>
      </w:pPr>
      <w:r>
        <w:rPr>
          <w:rFonts w:ascii="Times New Roman" w:hAnsi="Times New Roman" w:cs="Times New Roman"/>
          <w:b w:val="0"/>
          <w:i w:val="0"/>
          <w:sz w:val="22"/>
        </w:rPr>
        <w:t>- Add the resolution timer and auto-escalation.</w:t>
      </w:r>
    </w:p>
    <w:p>
      <w:pPr>
        <w:spacing w:after="80" w:line="293" w:lineRule="auto"/>
        <w:ind w:left="283"/>
        <w:jc w:val="left"/>
      </w:pPr>
      <w:r>
        <w:rPr>
          <w:rFonts w:ascii="Times New Roman" w:hAnsi="Times New Roman" w:cs="Times New Roman"/>
          <w:b w:val="0"/>
          <w:i w:val="0"/>
          <w:sz w:val="22"/>
        </w:rPr>
        <w:t>- Add the confidence/evidence expandable section.</w:t>
      </w:r>
    </w:p>
    <w:p>
      <w:pPr>
        <w:keepNext/>
        <w:spacing w:before="180" w:after="80"/>
        <w:outlineLvl w:val="2"/>
      </w:pPr>
      <w:r>
        <w:rPr>
          <w:rFonts w:ascii="Arial" w:hAnsi="Arial" w:cs="Arial"/>
          <w:b/>
          <w:i w:val="0"/>
          <w:color w:val="333333"/>
          <w:sz w:val="23"/>
        </w:rPr>
        <w:t>16.15.4 Shared Shipments Vault</w:t>
      </w:r>
    </w:p>
    <w:p>
      <w:pPr>
        <w:spacing w:after="80" w:line="293" w:lineRule="auto"/>
        <w:ind w:left="283"/>
        <w:jc w:val="left"/>
      </w:pPr>
      <w:r>
        <w:rPr>
          <w:rFonts w:ascii="Times New Roman" w:hAnsi="Times New Roman" w:cs="Times New Roman"/>
          <w:b w:val="0"/>
          <w:i w:val="0"/>
          <w:sz w:val="22"/>
        </w:rPr>
        <w:t>- Implement the /v1/shipments-vault endpoint.</w:t>
      </w:r>
    </w:p>
    <w:p>
      <w:pPr>
        <w:spacing w:after="80" w:line="293" w:lineRule="auto"/>
        <w:ind w:left="283"/>
        <w:jc w:val="left"/>
      </w:pPr>
      <w:r>
        <w:rPr>
          <w:rFonts w:ascii="Times New Roman" w:hAnsi="Times New Roman" w:cs="Times New Roman"/>
          <w:b w:val="0"/>
          <w:i w:val="0"/>
          <w:sz w:val="22"/>
        </w:rPr>
        <w:t>- Build the vault UI with virtual scrolling.</w:t>
      </w:r>
    </w:p>
    <w:p>
      <w:pPr>
        <w:spacing w:after="80" w:line="293" w:lineRule="auto"/>
        <w:ind w:left="283"/>
        <w:jc w:val="left"/>
      </w:pPr>
      <w:r>
        <w:rPr>
          <w:rFonts w:ascii="Times New Roman" w:hAnsi="Times New Roman" w:cs="Times New Roman"/>
          <w:b w:val="0"/>
          <w:i w:val="0"/>
          <w:sz w:val="22"/>
        </w:rPr>
        <w:t>- Implement filter chips (Status, Commodity, Port, Date, Risk Score).</w:t>
      </w:r>
    </w:p>
    <w:p>
      <w:pPr>
        <w:spacing w:after="80" w:line="293" w:lineRule="auto"/>
        <w:ind w:left="283"/>
        <w:jc w:val="left"/>
      </w:pPr>
      <w:r>
        <w:rPr>
          <w:rFonts w:ascii="Times New Roman" w:hAnsi="Times New Roman" w:cs="Times New Roman"/>
          <w:b w:val="0"/>
          <w:i w:val="0"/>
          <w:sz w:val="22"/>
        </w:rPr>
        <w:t>- Build the Map View (Leaflet).</w:t>
      </w:r>
    </w:p>
    <w:p>
      <w:pPr>
        <w:spacing w:after="80" w:line="293" w:lineRule="auto"/>
        <w:ind w:left="283"/>
        <w:jc w:val="left"/>
      </w:pPr>
      <w:r>
        <w:rPr>
          <w:rFonts w:ascii="Times New Roman" w:hAnsi="Times New Roman" w:cs="Times New Roman"/>
          <w:b w:val="0"/>
          <w:i w:val="0"/>
          <w:sz w:val="22"/>
        </w:rPr>
        <w:t>- Add export functionality (CSV/PDF).</w:t>
      </w:r>
    </w:p>
    <w:p>
      <w:pPr>
        <w:spacing w:after="80" w:line="293" w:lineRule="auto"/>
        <w:ind w:left="283"/>
        <w:jc w:val="left"/>
      </w:pPr>
      <w:r>
        <w:rPr>
          <w:rFonts w:ascii="Times New Roman" w:hAnsi="Times New Roman" w:cs="Times New Roman"/>
          <w:b w:val="0"/>
          <w:i w:val="0"/>
          <w:sz w:val="22"/>
        </w:rPr>
        <w:t>- Implement saved filter sets.</w:t>
      </w:r>
    </w:p>
    <w:p>
      <w:pPr>
        <w:spacing w:after="80" w:line="293" w:lineRule="auto"/>
        <w:ind w:left="283"/>
        <w:jc w:val="left"/>
      </w:pPr>
      <w:r>
        <w:rPr>
          <w:rFonts w:ascii="Times New Roman" w:hAnsi="Times New Roman" w:cs="Times New Roman"/>
          <w:b w:val="0"/>
          <w:i w:val="0"/>
          <w:sz w:val="22"/>
        </w:rPr>
        <w:t>- Add bulk actions.</w:t>
      </w:r>
    </w:p>
    <w:p>
      <w:pPr>
        <w:keepNext/>
        <w:spacing w:before="180" w:after="80"/>
        <w:outlineLvl w:val="2"/>
      </w:pPr>
      <w:r>
        <w:rPr>
          <w:rFonts w:ascii="Arial" w:hAnsi="Arial" w:cs="Arial"/>
          <w:b/>
          <w:i w:val="0"/>
          <w:color w:val="333333"/>
          <w:sz w:val="23"/>
        </w:rPr>
        <w:t>16.15.5 VoiceCommandButton</w:t>
      </w:r>
    </w:p>
    <w:p>
      <w:pPr>
        <w:spacing w:after="80" w:line="293" w:lineRule="auto"/>
        <w:ind w:left="283"/>
        <w:jc w:val="left"/>
      </w:pPr>
      <w:r>
        <w:rPr>
          <w:rFonts w:ascii="Times New Roman" w:hAnsi="Times New Roman" w:cs="Times New Roman"/>
          <w:b w:val="0"/>
          <w:i w:val="0"/>
          <w:sz w:val="22"/>
        </w:rPr>
        <w:t>- Integrate Vosk (offline STT).</w:t>
      </w:r>
    </w:p>
    <w:p>
      <w:pPr>
        <w:spacing w:after="80" w:line="293" w:lineRule="auto"/>
        <w:ind w:left="283"/>
        <w:jc w:val="left"/>
      </w:pPr>
      <w:r>
        <w:rPr>
          <w:rFonts w:ascii="Times New Roman" w:hAnsi="Times New Roman" w:cs="Times New Roman"/>
          <w:b w:val="0"/>
          <w:i w:val="0"/>
          <w:sz w:val="22"/>
        </w:rPr>
        <w:t>- Implement intent extraction (HF Mixtral, local).</w:t>
      </w:r>
    </w:p>
    <w:p>
      <w:pPr>
        <w:spacing w:after="80" w:line="293" w:lineRule="auto"/>
        <w:ind w:left="283"/>
        <w:jc w:val="left"/>
      </w:pPr>
      <w:r>
        <w:rPr>
          <w:rFonts w:ascii="Times New Roman" w:hAnsi="Times New Roman" w:cs="Times New Roman"/>
          <w:b w:val="0"/>
          <w:i w:val="0"/>
          <w:sz w:val="22"/>
        </w:rPr>
        <w:t>- Add biometric verification (ZITADEL WebAuthn).</w:t>
      </w:r>
    </w:p>
    <w:p>
      <w:pPr>
        <w:spacing w:after="80" w:line="293" w:lineRule="auto"/>
        <w:ind w:left="283"/>
        <w:jc w:val="left"/>
      </w:pPr>
      <w:r>
        <w:rPr>
          <w:rFonts w:ascii="Times New Roman" w:hAnsi="Times New Roman" w:cs="Times New Roman"/>
          <w:b w:val="0"/>
          <w:i w:val="0"/>
          <w:sz w:val="22"/>
        </w:rPr>
        <w:t>- Build the command catalogue.</w:t>
      </w:r>
    </w:p>
    <w:p>
      <w:pPr>
        <w:spacing w:after="80" w:line="293" w:lineRule="auto"/>
        <w:ind w:left="283"/>
        <w:jc w:val="left"/>
      </w:pPr>
      <w:r>
        <w:rPr>
          <w:rFonts w:ascii="Times New Roman" w:hAnsi="Times New Roman" w:cs="Times New Roman"/>
          <w:b w:val="0"/>
          <w:i w:val="0"/>
          <w:sz w:val="22"/>
        </w:rPr>
        <w:t>- Add cross-language fallback.</w:t>
      </w:r>
    </w:p>
    <w:p>
      <w:pPr>
        <w:keepNext/>
        <w:spacing w:before="180" w:after="80"/>
        <w:outlineLvl w:val="2"/>
      </w:pPr>
      <w:r>
        <w:rPr>
          <w:rFonts w:ascii="Arial" w:hAnsi="Arial" w:cs="Arial"/>
          <w:b/>
          <w:i w:val="0"/>
          <w:color w:val="333333"/>
          <w:sz w:val="23"/>
        </w:rPr>
        <w:t>16.15.6 Customer Care Chatbot</w:t>
      </w:r>
    </w:p>
    <w:p>
      <w:pPr>
        <w:spacing w:after="80" w:line="293" w:lineRule="auto"/>
        <w:ind w:left="283"/>
        <w:jc w:val="left"/>
      </w:pPr>
      <w:r>
        <w:rPr>
          <w:rFonts w:ascii="Times New Roman" w:hAnsi="Times New Roman" w:cs="Times New Roman"/>
          <w:b w:val="0"/>
          <w:i w:val="0"/>
          <w:sz w:val="22"/>
        </w:rPr>
        <w:t>- Implement the chat API (Rust + Axum + Groq).</w:t>
      </w:r>
    </w:p>
    <w:p>
      <w:pPr>
        <w:spacing w:after="80" w:line="293" w:lineRule="auto"/>
        <w:ind w:left="283"/>
        <w:jc w:val="left"/>
      </w:pPr>
      <w:r>
        <w:rPr>
          <w:rFonts w:ascii="Times New Roman" w:hAnsi="Times New Roman" w:cs="Times New Roman"/>
          <w:b w:val="0"/>
          <w:i w:val="0"/>
          <w:sz w:val="22"/>
        </w:rPr>
        <w:t>- Add PIN-based impersonation (bcrypt + JWT).</w:t>
      </w:r>
    </w:p>
    <w:p>
      <w:pPr>
        <w:spacing w:after="80" w:line="293" w:lineRule="auto"/>
        <w:ind w:left="283"/>
        <w:jc w:val="left"/>
      </w:pPr>
      <w:r>
        <w:rPr>
          <w:rFonts w:ascii="Times New Roman" w:hAnsi="Times New Roman" w:cs="Times New Roman"/>
          <w:b w:val="0"/>
          <w:i w:val="0"/>
          <w:sz w:val="22"/>
        </w:rPr>
        <w:t>- Implement escalation to human (VoIP callback).</w:t>
      </w:r>
    </w:p>
    <w:p>
      <w:pPr>
        <w:spacing w:after="80" w:line="293" w:lineRule="auto"/>
        <w:ind w:left="283"/>
        <w:jc w:val="left"/>
      </w:pPr>
      <w:r>
        <w:rPr>
          <w:rFonts w:ascii="Times New Roman" w:hAnsi="Times New Roman" w:cs="Times New Roman"/>
          <w:b w:val="0"/>
          <w:i w:val="0"/>
          <w:sz w:val="22"/>
        </w:rPr>
        <w:t>- Add impersonation logging (Governor decision).</w:t>
      </w:r>
    </w:p>
    <w:p>
      <w:pPr>
        <w:keepNext/>
        <w:spacing w:before="180" w:after="80"/>
        <w:outlineLvl w:val="2"/>
      </w:pPr>
      <w:r>
        <w:rPr>
          <w:rFonts w:ascii="Arial" w:hAnsi="Arial" w:cs="Arial"/>
          <w:b/>
          <w:i w:val="0"/>
          <w:color w:val="333333"/>
          <w:sz w:val="23"/>
        </w:rPr>
        <w:t>16.15.7 Dual-Mode Toggle</w:t>
      </w:r>
    </w:p>
    <w:p>
      <w:pPr>
        <w:spacing w:after="80" w:line="293" w:lineRule="auto"/>
        <w:ind w:left="283"/>
        <w:jc w:val="left"/>
      </w:pPr>
      <w:r>
        <w:rPr>
          <w:rFonts w:ascii="Times New Roman" w:hAnsi="Times New Roman" w:cs="Times New Roman"/>
          <w:b w:val="0"/>
          <w:i w:val="0"/>
          <w:sz w:val="22"/>
        </w:rPr>
        <w:t>- Implement the toggle UI in the global header.</w:t>
      </w:r>
    </w:p>
    <w:p>
      <w:pPr>
        <w:spacing w:after="80" w:line="293" w:lineRule="auto"/>
        <w:ind w:left="283"/>
        <w:jc w:val="left"/>
      </w:pPr>
      <w:r>
        <w:rPr>
          <w:rFonts w:ascii="Times New Roman" w:hAnsi="Times New Roman" w:cs="Times New Roman"/>
          <w:b w:val="0"/>
          <w:i w:val="0"/>
          <w:sz w:val="22"/>
        </w:rPr>
        <w:t>- Add the /v1/employee/switch-context endpoint.</w:t>
      </w:r>
    </w:p>
    <w:p>
      <w:pPr>
        <w:spacing w:after="80" w:line="293" w:lineRule="auto"/>
        <w:ind w:left="283"/>
        <w:jc w:val="left"/>
      </w:pPr>
      <w:r>
        <w:rPr>
          <w:rFonts w:ascii="Times New Roman" w:hAnsi="Times New Roman" w:cs="Times New Roman"/>
          <w:b w:val="0"/>
          <w:i w:val="0"/>
          <w:sz w:val="22"/>
        </w:rPr>
        <w:t>- Update the JWT with active_trader_mode_context.</w:t>
      </w:r>
    </w:p>
    <w:p>
      <w:pPr>
        <w:spacing w:after="80" w:line="293" w:lineRule="auto"/>
        <w:ind w:left="283"/>
        <w:jc w:val="left"/>
      </w:pPr>
      <w:r>
        <w:rPr>
          <w:rFonts w:ascii="Times New Roman" w:hAnsi="Times New Roman" w:cs="Times New Roman"/>
          <w:b w:val="0"/>
          <w:i w:val="0"/>
          <w:sz w:val="22"/>
        </w:rPr>
        <w:t>- Add OPA policy enforcement for dual-mode context.</w:t>
      </w:r>
    </w:p>
    <w:p>
      <w:pPr>
        <w:keepNext/>
        <w:spacing w:before="180" w:after="80"/>
        <w:outlineLvl w:val="2"/>
      </w:pPr>
      <w:r>
        <w:rPr>
          <w:rFonts w:ascii="Arial" w:hAnsi="Arial" w:cs="Arial"/>
          <w:b/>
          <w:i w:val="0"/>
          <w:color w:val="333333"/>
          <w:sz w:val="23"/>
        </w:rPr>
        <w:t>16.15.8 Feedback &amp; Help</w:t>
      </w:r>
    </w:p>
    <w:p>
      <w:pPr>
        <w:spacing w:after="80" w:line="293" w:lineRule="auto"/>
        <w:ind w:left="283"/>
        <w:jc w:val="left"/>
      </w:pPr>
      <w:r>
        <w:rPr>
          <w:rFonts w:ascii="Times New Roman" w:hAnsi="Times New Roman" w:cs="Times New Roman"/>
          <w:b w:val="0"/>
          <w:i w:val="0"/>
          <w:sz w:val="22"/>
        </w:rPr>
        <w:t>- Build the FAB and modal.</w:t>
      </w:r>
    </w:p>
    <w:p>
      <w:pPr>
        <w:spacing w:after="80" w:line="293" w:lineRule="auto"/>
        <w:ind w:left="283"/>
        <w:jc w:val="left"/>
      </w:pPr>
      <w:r>
        <w:rPr>
          <w:rFonts w:ascii="Times New Roman" w:hAnsi="Times New Roman" w:cs="Times New Roman"/>
          <w:b w:val="0"/>
          <w:i w:val="0"/>
          <w:sz w:val="22"/>
        </w:rPr>
        <w:t>- Create the feedback_tickets table.</w:t>
      </w:r>
    </w:p>
    <w:p>
      <w:pPr>
        <w:spacing w:after="80" w:line="293" w:lineRule="auto"/>
        <w:ind w:left="283"/>
        <w:jc w:val="left"/>
      </w:pPr>
      <w:r>
        <w:rPr>
          <w:rFonts w:ascii="Times New Roman" w:hAnsi="Times New Roman" w:cs="Times New Roman"/>
          <w:b w:val="0"/>
          <w:i w:val="0"/>
          <w:sz w:val="22"/>
        </w:rPr>
        <w:t>- Integrate with the Customer Care Chatbot.</w:t>
      </w:r>
    </w:p>
    <w:p>
      <w:pPr>
        <w:spacing w:after="80" w:line="293" w:lineRule="auto"/>
        <w:ind w:left="283"/>
        <w:jc w:val="left"/>
      </w:pPr>
      <w:r>
        <w:rPr>
          <w:rFonts w:ascii="Times New Roman" w:hAnsi="Times New Roman" w:cs="Times New Roman"/>
          <w:b w:val="0"/>
          <w:i w:val="0"/>
          <w:sz w:val="22"/>
        </w:rPr>
        <w:t>- Add Smart Inbox alerts for Critical issues.</w:t>
      </w:r>
    </w:p>
    <w:p>
      <w:pPr>
        <w:keepNext/>
        <w:spacing w:before="180" w:after="80"/>
        <w:outlineLvl w:val="2"/>
      </w:pPr>
      <w:r>
        <w:rPr>
          <w:rFonts w:ascii="Arial" w:hAnsi="Arial" w:cs="Arial"/>
          <w:b/>
          <w:i w:val="0"/>
          <w:color w:val="333333"/>
          <w:sz w:val="23"/>
        </w:rPr>
        <w:t>16.15.9 Adaptive Experience</w:t>
      </w:r>
    </w:p>
    <w:p>
      <w:pPr>
        <w:spacing w:after="80" w:line="293" w:lineRule="auto"/>
        <w:ind w:left="283"/>
        <w:jc w:val="left"/>
      </w:pPr>
      <w:r>
        <w:rPr>
          <w:rFonts w:ascii="Times New Roman" w:hAnsi="Times New Roman" w:cs="Times New Roman"/>
          <w:b w:val="0"/>
          <w:i w:val="0"/>
          <w:sz w:val="22"/>
        </w:rPr>
        <w:t>- Add experience_mode to the employees table.</w:t>
      </w:r>
    </w:p>
    <w:p>
      <w:pPr>
        <w:spacing w:after="80" w:line="293" w:lineRule="auto"/>
        <w:ind w:left="283"/>
        <w:jc w:val="left"/>
      </w:pPr>
      <w:r>
        <w:rPr>
          <w:rFonts w:ascii="Times New Roman" w:hAnsi="Times New Roman" w:cs="Times New Roman"/>
          <w:b w:val="0"/>
          <w:i w:val="0"/>
          <w:sz w:val="22"/>
        </w:rPr>
        <w:t>- Build Guided Mode walkthroughs (A1).</w:t>
      </w:r>
    </w:p>
    <w:p>
      <w:pPr>
        <w:spacing w:after="80" w:line="293" w:lineRule="auto"/>
        <w:ind w:left="283"/>
        <w:jc w:val="left"/>
      </w:pPr>
      <w:r>
        <w:rPr>
          <w:rFonts w:ascii="Times New Roman" w:hAnsi="Times New Roman" w:cs="Times New Roman"/>
          <w:b w:val="0"/>
          <w:i w:val="0"/>
          <w:sz w:val="22"/>
        </w:rPr>
        <w:t>- Build Expert Mode shortcuts.</w:t>
      </w:r>
    </w:p>
    <w:p>
      <w:pPr>
        <w:spacing w:after="80" w:line="293" w:lineRule="auto"/>
        <w:ind w:left="283"/>
        <w:jc w:val="left"/>
      </w:pPr>
      <w:r>
        <w:rPr>
          <w:rFonts w:ascii="Times New Roman" w:hAnsi="Times New Roman" w:cs="Times New Roman"/>
          <w:b w:val="0"/>
          <w:i w:val="0"/>
          <w:sz w:val="22"/>
        </w:rPr>
        <w:t>- Implement AI-powered mode suggestions.</w:t>
      </w:r>
    </w:p>
    <w:p>
      <w:pPr>
        <w:keepNext/>
        <w:spacing w:before="180" w:after="80"/>
        <w:outlineLvl w:val="2"/>
      </w:pPr>
      <w:r>
        <w:rPr>
          <w:rFonts w:ascii="Arial" w:hAnsi="Arial" w:cs="Arial"/>
          <w:b/>
          <w:i w:val="0"/>
          <w:color w:val="333333"/>
          <w:sz w:val="23"/>
        </w:rPr>
        <w:t>16.15.10 Task Center</w:t>
      </w:r>
    </w:p>
    <w:p>
      <w:pPr>
        <w:spacing w:after="80" w:line="293" w:lineRule="auto"/>
        <w:ind w:left="283"/>
        <w:jc w:val="left"/>
      </w:pPr>
      <w:r>
        <w:rPr>
          <w:rFonts w:ascii="Times New Roman" w:hAnsi="Times New Roman" w:cs="Times New Roman"/>
          <w:b w:val="0"/>
          <w:i w:val="0"/>
          <w:sz w:val="22"/>
        </w:rPr>
        <w:t>- Create the tasks table.</w:t>
      </w:r>
    </w:p>
    <w:p>
      <w:pPr>
        <w:spacing w:after="80" w:line="293" w:lineRule="auto"/>
        <w:ind w:left="283"/>
        <w:jc w:val="left"/>
      </w:pPr>
      <w:r>
        <w:rPr>
          <w:rFonts w:ascii="Times New Roman" w:hAnsi="Times New Roman" w:cs="Times New Roman"/>
          <w:b w:val="0"/>
          <w:i w:val="0"/>
          <w:sz w:val="22"/>
        </w:rPr>
        <w:t>- Implement task creation triggers.</w:t>
      </w:r>
    </w:p>
    <w:p>
      <w:pPr>
        <w:spacing w:after="80" w:line="293" w:lineRule="auto"/>
        <w:ind w:left="283"/>
        <w:jc w:val="left"/>
      </w:pPr>
      <w:r>
        <w:rPr>
          <w:rFonts w:ascii="Times New Roman" w:hAnsi="Times New Roman" w:cs="Times New Roman"/>
          <w:b w:val="0"/>
          <w:i w:val="0"/>
          <w:sz w:val="22"/>
        </w:rPr>
        <w:t>- Build the Task Center UI.</w:t>
      </w:r>
    </w:p>
    <w:p>
      <w:pPr>
        <w:spacing w:after="80" w:line="293" w:lineRule="auto"/>
        <w:ind w:left="283"/>
        <w:jc w:val="left"/>
      </w:pPr>
      <w:r>
        <w:rPr>
          <w:rFonts w:ascii="Times New Roman" w:hAnsi="Times New Roman" w:cs="Times New Roman"/>
          <w:b w:val="0"/>
          <w:i w:val="0"/>
          <w:sz w:val="22"/>
        </w:rPr>
        <w:t>- Implement the escalation engine.</w:t>
      </w:r>
    </w:p>
    <w:p>
      <w:pPr>
        <w:keepNext/>
        <w:spacing w:before="180" w:after="80"/>
        <w:outlineLvl w:val="2"/>
      </w:pPr>
      <w:r>
        <w:rPr>
          <w:rFonts w:ascii="Arial" w:hAnsi="Arial" w:cs="Arial"/>
          <w:b/>
          <w:i w:val="0"/>
          <w:color w:val="333333"/>
          <w:sz w:val="23"/>
        </w:rPr>
        <w:t>16.15.11 Notification Center</w:t>
      </w:r>
    </w:p>
    <w:p>
      <w:pPr>
        <w:spacing w:after="80" w:line="293" w:lineRule="auto"/>
        <w:ind w:left="283"/>
        <w:jc w:val="left"/>
      </w:pPr>
      <w:r>
        <w:rPr>
          <w:rFonts w:ascii="Times New Roman" w:hAnsi="Times New Roman" w:cs="Times New Roman"/>
          <w:b w:val="0"/>
          <w:i w:val="0"/>
          <w:sz w:val="22"/>
        </w:rPr>
        <w:t>- Create the notification_log table.</w:t>
      </w:r>
    </w:p>
    <w:p>
      <w:pPr>
        <w:spacing w:after="80" w:line="293" w:lineRule="auto"/>
        <w:ind w:left="283"/>
        <w:jc w:val="left"/>
      </w:pPr>
      <w:r>
        <w:rPr>
          <w:rFonts w:ascii="Times New Roman" w:hAnsi="Times New Roman" w:cs="Times New Roman"/>
          <w:b w:val="0"/>
          <w:i w:val="0"/>
          <w:sz w:val="22"/>
        </w:rPr>
        <w:t>- Implement notification channels (In-App, Email, SMS, Push).</w:t>
      </w:r>
    </w:p>
    <w:p>
      <w:pPr>
        <w:spacing w:after="80" w:line="293" w:lineRule="auto"/>
        <w:ind w:left="283"/>
        <w:jc w:val="left"/>
      </w:pPr>
      <w:r>
        <w:rPr>
          <w:rFonts w:ascii="Times New Roman" w:hAnsi="Times New Roman" w:cs="Times New Roman"/>
          <w:b w:val="0"/>
          <w:i w:val="0"/>
          <w:sz w:val="22"/>
        </w:rPr>
        <w:t>- Build the notification preferences UI.</w:t>
      </w:r>
    </w:p>
    <w:p>
      <w:pPr>
        <w:spacing w:after="80" w:line="293" w:lineRule="auto"/>
        <w:ind w:left="283"/>
        <w:jc w:val="left"/>
      </w:pPr>
      <w:r>
        <w:rPr>
          <w:rFonts w:ascii="Times New Roman" w:hAnsi="Times New Roman" w:cs="Times New Roman"/>
          <w:b w:val="0"/>
          <w:i w:val="0"/>
          <w:sz w:val="22"/>
        </w:rPr>
        <w:t>- Add quiet hours and digest settings.</w:t>
      </w:r>
    </w:p>
    <w:p>
      <w:pPr>
        <w:spacing w:after="80" w:line="293" w:lineRule="auto"/>
        <w:ind w:left="283"/>
        <w:jc w:val="left"/>
      </w:pPr>
      <w:r>
        <w:rPr>
          <w:rFonts w:ascii="Times New Roman" w:hAnsi="Times New Roman" w:cs="Times New Roman"/>
          <w:b w:val="0"/>
          <w:i w:val="0"/>
          <w:sz w:val="22"/>
        </w:rPr>
        <w:t>- Implement Focus Mode.</w:t>
      </w:r>
    </w:p>
    <w:p>
      <w:pPr>
        <w:keepNext/>
        <w:spacing w:before="180" w:after="80"/>
        <w:outlineLvl w:val="2"/>
      </w:pPr>
      <w:r>
        <w:rPr>
          <w:rFonts w:ascii="Arial" w:hAnsi="Arial" w:cs="Arial"/>
          <w:b/>
          <w:i w:val="0"/>
          <w:color w:val="333333"/>
          <w:sz w:val="23"/>
        </w:rPr>
        <w:t>16.15.12 Help Center</w:t>
      </w:r>
    </w:p>
    <w:p>
      <w:pPr>
        <w:spacing w:after="80" w:line="293" w:lineRule="auto"/>
        <w:ind w:left="283"/>
        <w:jc w:val="left"/>
      </w:pPr>
      <w:r>
        <w:rPr>
          <w:rFonts w:ascii="Times New Roman" w:hAnsi="Times New Roman" w:cs="Times New Roman"/>
          <w:b w:val="0"/>
          <w:i w:val="0"/>
          <w:sz w:val="22"/>
        </w:rPr>
        <w:t>- Deploy MkDocs documentation.</w:t>
      </w:r>
    </w:p>
    <w:p>
      <w:pPr>
        <w:spacing w:after="80" w:line="293" w:lineRule="auto"/>
        <w:ind w:left="283"/>
        <w:jc w:val="left"/>
      </w:pPr>
      <w:r>
        <w:rPr>
          <w:rFonts w:ascii="Times New Roman" w:hAnsi="Times New Roman" w:cs="Times New Roman"/>
          <w:b w:val="0"/>
          <w:i w:val="0"/>
          <w:sz w:val="22"/>
        </w:rPr>
        <w:t>- Deploy the PeerTube video academy.</w:t>
      </w:r>
    </w:p>
    <w:p>
      <w:pPr>
        <w:spacing w:after="80" w:line="293" w:lineRule="auto"/>
        <w:ind w:left="283"/>
        <w:jc w:val="left"/>
      </w:pPr>
      <w:r>
        <w:rPr>
          <w:rFonts w:ascii="Times New Roman" w:hAnsi="Times New Roman" w:cs="Times New Roman"/>
          <w:b w:val="0"/>
          <w:i w:val="0"/>
          <w:sz w:val="22"/>
        </w:rPr>
        <w:t>- Build the AI Support Assistant (Groq + HF Mixtral).</w:t>
      </w:r>
    </w:p>
    <w:p>
      <w:pPr>
        <w:spacing w:after="80" w:line="293" w:lineRule="auto"/>
        <w:ind w:left="283"/>
        <w:jc w:val="left"/>
      </w:pPr>
      <w:r>
        <w:rPr>
          <w:rFonts w:ascii="Times New Roman" w:hAnsi="Times New Roman" w:cs="Times New Roman"/>
          <w:b w:val="0"/>
          <w:i w:val="0"/>
          <w:sz w:val="22"/>
        </w:rPr>
        <w:t>- Deploy the ticketing system (Freescout).</w:t>
      </w:r>
    </w:p>
    <w:p>
      <w:pPr>
        <w:spacing w:after="80" w:line="293" w:lineRule="auto"/>
        <w:ind w:left="283"/>
        <w:jc w:val="left"/>
      </w:pPr>
      <w:r>
        <w:rPr>
          <w:rFonts w:ascii="Times New Roman" w:hAnsi="Times New Roman" w:cs="Times New Roman"/>
          <w:b w:val="0"/>
          <w:i w:val="0"/>
          <w:sz w:val="22"/>
        </w:rPr>
        <w:t>- Implement VoIP callback (Janus Gateway).</w:t>
      </w:r>
    </w:p>
    <w:p>
      <w:pPr>
        <w:keepNext/>
        <w:spacing w:before="180" w:after="80"/>
        <w:outlineLvl w:val="2"/>
      </w:pPr>
      <w:r>
        <w:rPr>
          <w:rFonts w:ascii="Arial" w:hAnsi="Arial" w:cs="Arial"/>
          <w:b/>
          <w:i w:val="0"/>
          <w:color w:val="333333"/>
          <w:sz w:val="23"/>
        </w:rPr>
        <w:t>16.15.13 AI Authority Summary (Portal Layer)</w:t>
      </w:r>
    </w:p>
    <w:p>
      <w:pPr>
        <w:spacing w:after="80" w:line="293" w:lineRule="auto"/>
        <w:jc w:val="left"/>
      </w:pPr>
      <w:r>
        <w:rPr>
          <w:rFonts w:ascii="Times New Roman" w:hAnsi="Times New Roman" w:cs="Times New Roman"/>
          <w:b w:val="0"/>
          <w:i w:val="0"/>
          <w:sz w:val="22"/>
        </w:rPr>
        <w:t>Across the entire portal layer, the AI authority distribution is fixed: A1 (Groq → Ollama → static templates) advises and narrates; A2 (local models) constrains and validates; A3 (HF + Groq) escalates to humans; A4 (OPA + WasmEdge) executes deterministic policy and gates every irreversible action; A5 is constitutionally forbidden and blocked at WASM compile time (see Sections 3 and 15). No portal component may hold autonomous execution authority, and no portal component may introduce marketplace behaviour (counterparty suggestion, ranking, or discovery) — any such feature is a constitutional violation and must be rejected at design review.</w:t>
      </w:r>
    </w:p>
    <w:p>
      <w:pPr>
        <w:keepNext/>
        <w:spacing w:before="360" w:after="160"/>
        <w:outlineLvl w:val="0"/>
      </w:pPr>
      <w:r>
        <w:rPr>
          <w:rFonts w:ascii="Arial" w:hAnsi="Arial" w:cs="Arial"/>
          <w:b/>
          <w:i w:val="0"/>
          <w:color w:val="1F3864"/>
          <w:sz w:val="32"/>
        </w:rPr>
        <w:t>17. Complete Data Model — PostgreSQL Schema</w:t>
      </w:r>
    </w:p>
    <w:p>
      <w:pPr>
        <w:keepNext/>
        <w:spacing w:before="240" w:after="100"/>
        <w:outlineLvl w:val="1"/>
      </w:pPr>
      <w:r>
        <w:rPr>
          <w:rFonts w:ascii="Arial" w:hAnsi="Arial" w:cs="Arial"/>
          <w:b/>
          <w:i w:val="0"/>
          <w:color w:val="2E528F"/>
          <w:sz w:val="26"/>
        </w:rPr>
        <w:t>17.1 Purpose &amp; Conventions</w:t>
      </w:r>
    </w:p>
    <w:p>
      <w:pPr>
        <w:spacing w:after="80" w:line="293" w:lineRule="auto"/>
        <w:jc w:val="left"/>
      </w:pPr>
      <w:r>
        <w:rPr>
          <w:rFonts w:ascii="Times New Roman" w:hAnsi="Times New Roman" w:cs="Times New Roman"/>
          <w:b w:val="0"/>
          <w:i w:val="0"/>
          <w:sz w:val="22"/>
        </w:rPr>
        <w:t>This section is the canonical database schema for the SGTX platform: PostgreSQL 18 with pgvector and TimescaleDB, self-hosted, with row-level security and production-ready DDL. Every table, column, index, and policy defined here is normative for implementation; migrations must reproduce this schema exactly, and any schema change follows the versioning policy below.</w:t>
      </w:r>
    </w:p>
    <w:p>
      <w:pPr>
        <w:spacing w:after="80" w:line="293" w:lineRule="auto"/>
        <w:jc w:val="left"/>
      </w:pPr>
      <w:r>
        <w:rPr>
          <w:rFonts w:ascii="Times New Roman" w:hAnsi="Times New Roman" w:cs="Times New Roman"/>
          <w:b w:val="0"/>
          <w:i w:val="0"/>
          <w:sz w:val="22"/>
        </w:rPr>
        <w:t>Conventions: UUID primary keys generated by the database; TIMESTAMPTZ everywhere; JSONB for structured, versioned payloads; DECIMAL(20,4) for monetary amounts; explicit CHECK constraints for state machines; governor_decision_id foreign keys on every Governor-governed mutation; and Loom hashes on decision-bearing rows. The USTN counter function (Section 3.5.2) is the only authorised USTN generator. Canonical schema files are maintained in the platform repository under version control; this section is the blueprint-embedded reference and must be kept synchronised with them.</w:t>
      </w:r>
    </w:p>
    <w:p>
      <w:pPr>
        <w:spacing w:after="80" w:line="293" w:lineRule="auto"/>
        <w:jc w:val="left"/>
      </w:pPr>
      <w:r>
        <w:rPr>
          <w:rFonts w:ascii="Times New Roman" w:hAnsi="Times New Roman" w:cs="Times New Roman"/>
          <w:b w:val="0"/>
          <w:i w:val="0"/>
          <w:sz w:val="22"/>
        </w:rPr>
        <w:t>Versioning policy: major version increment for breaking changes (table drops, column renames, endpoint removals); minor increment for non-breaking additions; patch increment for fixes and clarifications. Schema changes ship through reviewed migrations only — never by editing a live database.</w:t>
      </w:r>
    </w:p>
    <w:p>
      <w:pPr>
        <w:keepNext/>
        <w:spacing w:before="240" w:after="100"/>
        <w:outlineLvl w:val="1"/>
      </w:pPr>
      <w:r>
        <w:rPr>
          <w:rFonts w:ascii="Arial" w:hAnsi="Arial" w:cs="Arial"/>
          <w:b/>
          <w:i w:val="0"/>
          <w:color w:val="2E528F"/>
          <w:sz w:val="26"/>
        </w:rPr>
        <w:t>17.2 Extensions &amp; Enums</w:t>
      </w:r>
    </w:p>
    <w:p>
      <w:pPr>
        <w:spacing w:after="80" w:line="293" w:lineRule="auto"/>
        <w:jc w:val="left"/>
      </w:pPr>
      <w:r>
        <w:rPr>
          <w:rFonts w:ascii="Times New Roman" w:hAnsi="Times New Roman" w:cs="Times New Roman"/>
          <w:b w:val="0"/>
          <w:i w:val="0"/>
          <w:sz w:val="22"/>
        </w:rPr>
        <w:t>PostgreSQL 18 with pgvector (AI embeddings and semantic search) and TimescaleDB (time-series: IoT sensor readings, audit data). All enumerated types are defined once and reused across the schema; the shipment_status enum mirrors the USTN lifecycle state machine (Section 3.6).</w:t>
      </w:r>
    </w:p>
    <w:p>
      <w:pPr>
        <w:spacing w:after="0" w:before="0" w:line="240" w:lineRule="auto"/>
        <w:ind w:left="57"/>
        <w:jc w:val="left"/>
        <w:shd w:val="clear" w:fill="F2F2F2"/>
      </w:pPr>
      <w:r>
        <w:rPr>
          <w:rFonts w:ascii="Consolas" w:hAnsi="Consolas" w:cs="Consolas"/>
          <w:b w:val="0"/>
          <w:i w:val="0"/>
          <w:sz w:val="15"/>
        </w:rPr>
        <w:t>-- Enable required extensions</w:t>
      </w:r>
    </w:p>
    <w:p>
      <w:pPr>
        <w:spacing w:after="0" w:before="0" w:line="240" w:lineRule="auto"/>
        <w:ind w:left="57"/>
        <w:jc w:val="left"/>
        <w:shd w:val="clear" w:fill="F2F2F2"/>
      </w:pPr>
      <w:r>
        <w:rPr>
          <w:rFonts w:ascii="Consolas" w:hAnsi="Consolas" w:cs="Consolas"/>
          <w:b w:val="0"/>
          <w:i w:val="0"/>
          <w:sz w:val="15"/>
        </w:rPr>
        <w:t>CREATE EXTENSION IF NOT EXISTS "uuid-ossp";</w:t>
      </w:r>
    </w:p>
    <w:p>
      <w:pPr>
        <w:spacing w:after="0" w:before="0" w:line="240" w:lineRule="auto"/>
        <w:ind w:left="57"/>
        <w:jc w:val="left"/>
        <w:shd w:val="clear" w:fill="F2F2F2"/>
      </w:pPr>
      <w:r>
        <w:rPr>
          <w:rFonts w:ascii="Consolas" w:hAnsi="Consolas" w:cs="Consolas"/>
          <w:b w:val="0"/>
          <w:i w:val="0"/>
          <w:sz w:val="15"/>
        </w:rPr>
        <w:t>CREATE EXTENSION IF NOT EXISTS "pgvector";</w:t>
      </w:r>
    </w:p>
    <w:p>
      <w:pPr>
        <w:spacing w:after="0" w:before="0" w:line="240" w:lineRule="auto"/>
        <w:ind w:left="57"/>
        <w:jc w:val="left"/>
        <w:shd w:val="clear" w:fill="F2F2F2"/>
      </w:pPr>
      <w:r>
        <w:rPr>
          <w:rFonts w:ascii="Consolas" w:hAnsi="Consolas" w:cs="Consolas"/>
          <w:b w:val="0"/>
          <w:i w:val="0"/>
          <w:sz w:val="15"/>
        </w:rPr>
        <w:t>CREATE EXTENSION IF NOT EXISTS "timescaledb";</w:t>
      </w:r>
    </w:p>
    <w:p>
      <w:pPr>
        <w:spacing w:after="0" w:before="0" w:line="240" w:lineRule="auto"/>
        <w:ind w:left="57"/>
        <w:jc w:val="left"/>
        <w:shd w:val="clear" w:fill="F2F2F2"/>
      </w:pPr>
      <w:r>
        <w:rPr>
          <w:rFonts w:ascii="Consolas" w:hAnsi="Consolas" w:cs="Consolas"/>
          <w:b w:val="0"/>
          <w:i w:val="0"/>
          <w:sz w:val="15"/>
        </w:rPr>
        <w:t>-- Enumerated types</w:t>
      </w:r>
    </w:p>
    <w:p>
      <w:pPr>
        <w:spacing w:after="0" w:before="0" w:line="240" w:lineRule="auto"/>
        <w:ind w:left="57"/>
        <w:jc w:val="left"/>
        <w:shd w:val="clear" w:fill="F2F2F2"/>
      </w:pPr>
      <w:r>
        <w:rPr>
          <w:rFonts w:ascii="Consolas" w:hAnsi="Consolas" w:cs="Consolas"/>
          <w:b w:val="0"/>
          <w:i w:val="0"/>
          <w:sz w:val="15"/>
        </w:rPr>
        <w:t>CREATE TYPE tenant_type AS ENUM (</w:t>
      </w:r>
    </w:p>
    <w:p>
      <w:pPr>
        <w:spacing w:after="0" w:before="0" w:line="240" w:lineRule="auto"/>
        <w:ind w:left="57"/>
        <w:jc w:val="left"/>
        <w:shd w:val="clear" w:fill="F2F2F2"/>
      </w:pPr>
      <w:r>
        <w:rPr>
          <w:rFonts w:ascii="Consolas" w:hAnsi="Consolas" w:cs="Consolas"/>
          <w:b w:val="0"/>
          <w:i w:val="0"/>
          <w:sz w:val="15"/>
        </w:rPr>
        <w:t>'TRD', 'LSP', 'SHIP', 'LAB', 'QC', 'FIN', 'GOV', 'MP', 'CBR'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TYPE financier_subtype AS ENUM ('BANK', 'PRIVATE');</w:t>
      </w:r>
    </w:p>
    <w:p>
      <w:pPr>
        <w:spacing w:after="0" w:before="0" w:line="240" w:lineRule="auto"/>
        <w:ind w:left="57"/>
        <w:jc w:val="left"/>
        <w:shd w:val="clear" w:fill="F2F2F2"/>
      </w:pPr>
      <w:r>
        <w:rPr>
          <w:rFonts w:ascii="Consolas" w:hAnsi="Consolas" w:cs="Consolas"/>
          <w:b w:val="0"/>
          <w:i w:val="0"/>
          <w:sz w:val="15"/>
        </w:rPr>
        <w:t>CREATE TYPE lsp_subtype AS ENUM ('TRUCKING', 'FORWARDER', 'WAREHOUSING');</w:t>
      </w:r>
    </w:p>
    <w:p>
      <w:pPr>
        <w:spacing w:after="0" w:before="0" w:line="240" w:lineRule="auto"/>
        <w:ind w:left="57"/>
        <w:jc w:val="left"/>
        <w:shd w:val="clear" w:fill="F2F2F2"/>
      </w:pPr>
      <w:r>
        <w:rPr>
          <w:rFonts w:ascii="Consolas" w:hAnsi="Consolas" w:cs="Consolas"/>
          <w:b w:val="0"/>
          <w:i w:val="0"/>
          <w:sz w:val="15"/>
        </w:rPr>
        <w:t>CREATE TYPE trader_mode AS ENUM ('BUY', 'SELL', 'DUAL');</w:t>
      </w:r>
    </w:p>
    <w:p>
      <w:pPr>
        <w:spacing w:after="0" w:before="0" w:line="240" w:lineRule="auto"/>
        <w:ind w:left="57"/>
        <w:jc w:val="left"/>
        <w:shd w:val="clear" w:fill="F2F2F2"/>
      </w:pPr>
      <w:r>
        <w:rPr>
          <w:rFonts w:ascii="Consolas" w:hAnsi="Consolas" w:cs="Consolas"/>
          <w:b w:val="0"/>
          <w:i w:val="0"/>
          <w:sz w:val="15"/>
        </w:rPr>
        <w:t>CREATE TYPE shipment_status AS ENUM (</w:t>
      </w:r>
    </w:p>
    <w:p>
      <w:pPr>
        <w:spacing w:after="0" w:before="0" w:line="240" w:lineRule="auto"/>
        <w:ind w:left="57"/>
        <w:jc w:val="left"/>
        <w:shd w:val="clear" w:fill="F2F2F2"/>
      </w:pPr>
      <w:r>
        <w:rPr>
          <w:rFonts w:ascii="Consolas" w:hAnsi="Consolas" w:cs="Consolas"/>
          <w:b w:val="0"/>
          <w:i w:val="0"/>
          <w:sz w:val="15"/>
        </w:rPr>
        <w:t>'INITIATED', 'STAGE1_PENDING', 'STAGE1_SETTLED', 'CUSTOMS_SUBMITTED',</w:t>
      </w:r>
    </w:p>
    <w:p>
      <w:pPr>
        <w:spacing w:after="0" w:before="0" w:line="240" w:lineRule="auto"/>
        <w:ind w:left="57"/>
        <w:jc w:val="left"/>
        <w:shd w:val="clear" w:fill="F2F2F2"/>
      </w:pPr>
      <w:r>
        <w:rPr>
          <w:rFonts w:ascii="Consolas" w:hAnsi="Consolas" w:cs="Consolas"/>
          <w:b w:val="0"/>
          <w:i w:val="0"/>
          <w:sz w:val="15"/>
        </w:rPr>
        <w:t>'BOOKED', 'LOADED', 'DEPARTED', 'IN_TRANSIT', 'ARRIVED',</w:t>
      </w:r>
    </w:p>
    <w:p>
      <w:pPr>
        <w:spacing w:after="0" w:before="0" w:line="240" w:lineRule="auto"/>
        <w:ind w:left="57"/>
        <w:jc w:val="left"/>
        <w:shd w:val="clear" w:fill="F2F2F2"/>
      </w:pPr>
      <w:r>
        <w:rPr>
          <w:rFonts w:ascii="Consolas" w:hAnsi="Consolas" w:cs="Consolas"/>
          <w:b w:val="0"/>
          <w:i w:val="0"/>
          <w:sz w:val="15"/>
        </w:rPr>
        <w:t>'CUSTOMS_IMPORT', 'DELIVERED', 'SETTLED', 'COMPLETED',</w:t>
      </w:r>
    </w:p>
    <w:p>
      <w:pPr>
        <w:spacing w:after="0" w:before="0" w:line="240" w:lineRule="auto"/>
        <w:ind w:left="57"/>
        <w:jc w:val="left"/>
        <w:shd w:val="clear" w:fill="F2F2F2"/>
      </w:pPr>
      <w:r>
        <w:rPr>
          <w:rFonts w:ascii="Consolas" w:hAnsi="Consolas" w:cs="Consolas"/>
          <w:b w:val="0"/>
          <w:i w:val="0"/>
          <w:sz w:val="15"/>
        </w:rPr>
        <w:t>'DISPUTED', 'DISTRESSED', 'CANCELLED'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TYPE contract_status AS ENUM (</w:t>
      </w:r>
    </w:p>
    <w:p>
      <w:pPr>
        <w:spacing w:after="0" w:before="0" w:line="240" w:lineRule="auto"/>
        <w:ind w:left="57"/>
        <w:jc w:val="left"/>
        <w:shd w:val="clear" w:fill="F2F2F2"/>
      </w:pPr>
      <w:r>
        <w:rPr>
          <w:rFonts w:ascii="Consolas" w:hAnsi="Consolas" w:cs="Consolas"/>
          <w:b w:val="0"/>
          <w:i w:val="0"/>
          <w:sz w:val="15"/>
        </w:rPr>
        <w:t>'DRAFT', 'PENDING_SIGNATURES', 'LOCKED', 'ACTIVE',</w:t>
      </w:r>
    </w:p>
    <w:p>
      <w:pPr>
        <w:spacing w:after="0" w:before="0" w:line="240" w:lineRule="auto"/>
        <w:ind w:left="57"/>
        <w:jc w:val="left"/>
        <w:shd w:val="clear" w:fill="F2F2F2"/>
      </w:pPr>
      <w:r>
        <w:rPr>
          <w:rFonts w:ascii="Consolas" w:hAnsi="Consolas" w:cs="Consolas"/>
          <w:b w:val="0"/>
          <w:i w:val="0"/>
          <w:sz w:val="15"/>
        </w:rPr>
        <w:t>'COMPLETED', 'DISPUTED', 'TERMINATED', 'ACTIVE_MASTER'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TYPE fee_lock_status AS ENUM ('PENDING', 'ACTIVE', 'PARTIALLY_RELEASED', 'DISPUTED',</w:t>
      </w:r>
    </w:p>
    <w:p>
      <w:pPr>
        <w:spacing w:after="0" w:before="0" w:line="240" w:lineRule="auto"/>
        <w:ind w:left="57"/>
        <w:jc w:val="left"/>
        <w:shd w:val="clear" w:fill="F2F2F2"/>
      </w:pPr>
      <w:r>
        <w:rPr>
          <w:rFonts w:ascii="Consolas" w:hAnsi="Consolas" w:cs="Consolas"/>
          <w:b w:val="0"/>
          <w:i w:val="0"/>
          <w:sz w:val="15"/>
        </w:rPr>
        <w:t>'CANCELLED');</w:t>
      </w:r>
    </w:p>
    <w:p>
      <w:pPr>
        <w:spacing w:after="0" w:before="0" w:line="240" w:lineRule="auto"/>
        <w:ind w:left="57"/>
        <w:jc w:val="left"/>
        <w:shd w:val="clear" w:fill="F2F2F2"/>
      </w:pPr>
      <w:r>
        <w:rPr>
          <w:rFonts w:ascii="Consolas" w:hAnsi="Consolas" w:cs="Consolas"/>
          <w:b w:val="0"/>
          <w:i w:val="0"/>
          <w:sz w:val="15"/>
        </w:rPr>
        <w:t>CREATE TYPE dispute_category AS ENUM (</w:t>
      </w:r>
    </w:p>
    <w:p>
      <w:pPr>
        <w:spacing w:after="0" w:before="0" w:line="240" w:lineRule="auto"/>
        <w:ind w:left="57"/>
        <w:jc w:val="left"/>
        <w:shd w:val="clear" w:fill="F2F2F2"/>
      </w:pPr>
      <w:r>
        <w:rPr>
          <w:rFonts w:ascii="Consolas" w:hAnsi="Consolas" w:cs="Consolas"/>
          <w:b w:val="0"/>
          <w:i w:val="0"/>
          <w:sz w:val="15"/>
        </w:rPr>
        <w:t>'QUALITY', 'DELAY', 'NON_PAYMENT', 'DOCUMENTATION_FRAUD',</w:t>
      </w:r>
    </w:p>
    <w:p>
      <w:pPr>
        <w:spacing w:after="0" w:before="0" w:line="240" w:lineRule="auto"/>
        <w:ind w:left="57"/>
        <w:jc w:val="left"/>
        <w:shd w:val="clear" w:fill="F2F2F2"/>
      </w:pPr>
      <w:r>
        <w:rPr>
          <w:rFonts w:ascii="Consolas" w:hAnsi="Consolas" w:cs="Consolas"/>
          <w:b w:val="0"/>
          <w:i w:val="0"/>
          <w:sz w:val="15"/>
        </w:rPr>
        <w:t>'COLD_CHAIN', 'WEIGHT_SHORTAGE', 'SERVICE_QUALITY',</w:t>
      </w:r>
    </w:p>
    <w:p>
      <w:pPr>
        <w:spacing w:after="0" w:before="0" w:line="240" w:lineRule="auto"/>
        <w:ind w:left="57"/>
        <w:jc w:val="left"/>
        <w:shd w:val="clear" w:fill="F2F2F2"/>
      </w:pPr>
      <w:r>
        <w:rPr>
          <w:rFonts w:ascii="Consolas" w:hAnsi="Consolas" w:cs="Consolas"/>
          <w:b w:val="0"/>
          <w:i w:val="0"/>
          <w:sz w:val="15"/>
        </w:rPr>
        <w:t>'FINANCING', 'SGTX_FEE', 'TRI_DISPUTE', 'OTHER'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CREATE TYPE service_type AS ENUM (</w:t>
      </w:r>
    </w:p>
    <w:p>
      <w:pPr>
        <w:spacing w:after="0" w:before="0" w:line="240" w:lineRule="auto"/>
        <w:ind w:left="57"/>
        <w:jc w:val="left"/>
        <w:shd w:val="clear" w:fill="F2F2F2"/>
      </w:pPr>
      <w:r>
        <w:rPr>
          <w:rFonts w:ascii="Consolas" w:hAnsi="Consolas" w:cs="Consolas"/>
          <w:b w:val="0"/>
          <w:i w:val="0"/>
          <w:sz w:val="15"/>
        </w:rPr>
        <w:t>'LAB_TEST', 'QC_INSPECTION', 'BROKER_CERTIFICATION',</w:t>
      </w:r>
    </w:p>
    <w:p>
      <w:pPr>
        <w:spacing w:after="0" w:before="0" w:line="240" w:lineRule="auto"/>
        <w:ind w:left="57"/>
        <w:jc w:val="left"/>
        <w:shd w:val="clear" w:fill="F2F2F2"/>
      </w:pPr>
      <w:r>
        <w:rPr>
          <w:rFonts w:ascii="Consolas" w:hAnsi="Consolas" w:cs="Consolas"/>
          <w:b w:val="0"/>
          <w:i w:val="0"/>
          <w:sz w:val="15"/>
        </w:rPr>
        <w:t>'BROKER_PHYSICAL', 'BROKER_STORAGE', 'BROKER_AUDIT',</w:t>
      </w:r>
    </w:p>
    <w:p>
      <w:pPr>
        <w:spacing w:after="0" w:before="0" w:line="240" w:lineRule="auto"/>
        <w:ind w:left="57"/>
        <w:jc w:val="left"/>
        <w:shd w:val="clear" w:fill="F2F2F2"/>
      </w:pPr>
      <w:r>
        <w:rPr>
          <w:rFonts w:ascii="Consolas" w:hAnsi="Consolas" w:cs="Consolas"/>
          <w:b w:val="0"/>
          <w:i w:val="0"/>
          <w:sz w:val="15"/>
        </w:rPr>
        <w:t>'TRUCKING', 'OCEAN_FREIGHT', 'AIR_FREIGHT', 'WAREHOUSING', 'FORWARDING'</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TYPE logistics_mode AS ENUM ('MANUAL', 'RFQ_LSP', 'DIRECT_SHIP');</w:t>
      </w:r>
    </w:p>
    <w:p>
      <w:pPr>
        <w:spacing w:after="0" w:before="0" w:line="240" w:lineRule="auto"/>
        <w:ind w:left="57"/>
        <w:jc w:val="left"/>
        <w:shd w:val="clear" w:fill="F2F2F2"/>
      </w:pPr>
      <w:r>
        <w:rPr>
          <w:rFonts w:ascii="Consolas" w:hAnsi="Consolas" w:cs="Consolas"/>
          <w:b w:val="0"/>
          <w:i w:val="0"/>
          <w:sz w:val="15"/>
        </w:rPr>
        <w:t>CREATE TYPE verdict_type AS ENUM ('ALLOW', 'DENY', 'CONDITIONAL', 'ESCALATE', 'PENDING');</w:t>
      </w:r>
    </w:p>
    <w:p>
      <w:pPr>
        <w:spacing w:after="0" w:before="0" w:line="240" w:lineRule="auto"/>
        <w:ind w:left="57"/>
        <w:jc w:val="left"/>
        <w:shd w:val="clear" w:fill="F2F2F2"/>
      </w:pPr>
      <w:r>
        <w:rPr>
          <w:rFonts w:ascii="Consolas" w:hAnsi="Consolas" w:cs="Consolas"/>
          <w:b w:val="0"/>
          <w:i w:val="0"/>
          <w:sz w:val="15"/>
        </w:rPr>
        <w:t>CREATE TYPE inspection_verdict AS ENUM ('PASS', 'FAIL', 'CONDITIONAL');</w:t>
      </w:r>
    </w:p>
    <w:p>
      <w:pPr>
        <w:spacing w:after="0" w:before="0" w:line="240" w:lineRule="auto"/>
        <w:ind w:left="57"/>
        <w:jc w:val="left"/>
        <w:shd w:val="clear" w:fill="F2F2F2"/>
      </w:pPr>
      <w:r>
        <w:rPr>
          <w:rFonts w:ascii="Consolas" w:hAnsi="Consolas" w:cs="Consolas"/>
          <w:b w:val="0"/>
          <w:i w:val="0"/>
          <w:sz w:val="15"/>
        </w:rPr>
        <w:t>CREATE TYPE conditional_pass_status AS ENUM ('PENDING', 'COMPLETED', 'EXPIRED');</w:t>
      </w:r>
    </w:p>
    <w:p>
      <w:pPr>
        <w:spacing w:after="0" w:before="0" w:line="240" w:lineRule="auto"/>
        <w:ind w:left="57"/>
        <w:jc w:val="left"/>
        <w:shd w:val="clear" w:fill="F2F2F2"/>
      </w:pPr>
      <w:r>
        <w:rPr>
          <w:rFonts w:ascii="Consolas" w:hAnsi="Consolas" w:cs="Consolas"/>
          <w:b w:val="0"/>
          <w:i w:val="0"/>
          <w:sz w:val="15"/>
        </w:rPr>
        <w:t>CREATE TYPE deferred_payment_status AS ENUM ('GUARANTEE_HELD', 'RELEASED', 'PAID', 'EXPIRED');</w:t>
      </w:r>
    </w:p>
    <w:p>
      <w:pPr>
        <w:spacing w:after="0" w:before="0" w:line="240" w:lineRule="auto"/>
        <w:ind w:left="57"/>
        <w:jc w:val="left"/>
        <w:shd w:val="clear" w:fill="F2F2F2"/>
      </w:pPr>
      <w:r>
        <w:rPr>
          <w:rFonts w:ascii="Consolas" w:hAnsi="Consolas" w:cs="Consolas"/>
          <w:b w:val="0"/>
          <w:i w:val="0"/>
          <w:sz w:val="15"/>
        </w:rPr>
        <w:t>CREATE TYPE task_status AS ENUM ('PENDING', 'ASSIGNED', 'ESCALATED', 'COMPLETED', 'EXPIRED');</w:t>
      </w:r>
    </w:p>
    <w:p>
      <w:pPr>
        <w:spacing w:after="0" w:before="0" w:line="240" w:lineRule="auto"/>
        <w:ind w:left="57"/>
        <w:jc w:val="left"/>
        <w:shd w:val="clear" w:fill="F2F2F2"/>
      </w:pPr>
      <w:r>
        <w:rPr>
          <w:rFonts w:ascii="Consolas" w:hAnsi="Consolas" w:cs="Consolas"/>
          <w:b w:val="0"/>
          <w:i w:val="0"/>
          <w:sz w:val="15"/>
        </w:rPr>
        <w:t>CREATE TYPE experience_mode AS ENUM ('GUIDED', 'EXPERT', 'AUTO');</w:t>
      </w:r>
    </w:p>
    <w:p>
      <w:pPr>
        <w:spacing w:after="0" w:before="0" w:line="240" w:lineRule="auto"/>
        <w:ind w:left="57"/>
        <w:jc w:val="left"/>
        <w:shd w:val="clear" w:fill="F2F2F2"/>
      </w:pPr>
      <w:r>
        <w:rPr>
          <w:rFonts w:ascii="Consolas" w:hAnsi="Consolas" w:cs="Consolas"/>
          <w:b w:val="0"/>
          <w:i w:val="0"/>
          <w:sz w:val="15"/>
        </w:rPr>
        <w:t>CREATE TYPE bank_health_status AS ENUM ('HEALTHY', 'DEGRADED', 'DOWN');</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17.3 Identity &amp; Tenancy</w:t>
      </w:r>
    </w:p>
    <w:p>
      <w:pPr>
        <w:spacing w:after="80" w:line="293" w:lineRule="auto"/>
        <w:jc w:val="left"/>
      </w:pPr>
      <w:r>
        <w:rPr>
          <w:rFonts w:ascii="Times New Roman" w:hAnsi="Times New Roman" w:cs="Times New Roman"/>
          <w:b w:val="0"/>
          <w:i w:val="0"/>
          <w:sz w:val="22"/>
        </w:rPr>
        <w:t>Core identity: tenants, verified external identifiers, employees, roles, data scopes, device registry, session risk events, consent records, onboarding state, readiness checklist, internal organisation, approval policies, lifecycle history, and role journey tracking. The canonical tenants table decouples legal identity (type) from service offerings (service_capabilities) per Section 9.</w:t>
      </w:r>
    </w:p>
    <w:p>
      <w:pPr>
        <w:spacing w:after="0" w:before="0" w:line="240" w:lineRule="auto"/>
        <w:ind w:left="57"/>
        <w:jc w:val="left"/>
        <w:shd w:val="clear" w:fill="F2F2F2"/>
      </w:pPr>
      <w:r>
        <w:rPr>
          <w:rFonts w:ascii="Consolas" w:hAnsi="Consolas" w:cs="Consolas"/>
          <w:b w:val="0"/>
          <w:i w:val="0"/>
          <w:sz w:val="15"/>
        </w:rPr>
        <w:t>-- Tenants (core identity; service capabilities are decoupled from tenant type)</w:t>
      </w:r>
    </w:p>
    <w:p>
      <w:pPr>
        <w:spacing w:after="0" w:before="0" w:line="240" w:lineRule="auto"/>
        <w:ind w:left="57"/>
        <w:jc w:val="left"/>
        <w:shd w:val="clear" w:fill="F2F2F2"/>
      </w:pPr>
      <w:r>
        <w:rPr>
          <w:rFonts w:ascii="Consolas" w:hAnsi="Consolas" w:cs="Consolas"/>
          <w:b w:val="0"/>
          <w:i w:val="0"/>
          <w:sz w:val="15"/>
        </w:rPr>
        <w:t>CREATE TABLE tenants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gtid TEXT UNIQUE NOT NULL,</w:t>
      </w:r>
    </w:p>
    <w:p>
      <w:pPr>
        <w:spacing w:after="0" w:before="0" w:line="240" w:lineRule="auto"/>
        <w:ind w:left="57"/>
        <w:jc w:val="left"/>
        <w:shd w:val="clear" w:fill="F2F2F2"/>
      </w:pPr>
      <w:r>
        <w:rPr>
          <w:rFonts w:ascii="Consolas" w:hAnsi="Consolas" w:cs="Consolas"/>
          <w:b w:val="0"/>
          <w:i w:val="0"/>
          <w:sz w:val="15"/>
        </w:rPr>
        <w:t xml:space="preserve">    legal_name TEXT NOT NULL,</w:t>
      </w:r>
    </w:p>
    <w:p>
      <w:pPr>
        <w:spacing w:after="0" w:before="0" w:line="240" w:lineRule="auto"/>
        <w:ind w:left="57"/>
        <w:jc w:val="left"/>
        <w:shd w:val="clear" w:fill="F2F2F2"/>
      </w:pPr>
      <w:r>
        <w:rPr>
          <w:rFonts w:ascii="Consolas" w:hAnsi="Consolas" w:cs="Consolas"/>
          <w:b w:val="0"/>
          <w:i w:val="0"/>
          <w:sz w:val="15"/>
        </w:rPr>
        <w:t xml:space="preserve">    legal_name_ar TEXT,</w:t>
      </w:r>
    </w:p>
    <w:p>
      <w:pPr>
        <w:spacing w:after="0" w:before="0" w:line="240" w:lineRule="auto"/>
        <w:ind w:left="57"/>
        <w:jc w:val="left"/>
        <w:shd w:val="clear" w:fill="F2F2F2"/>
      </w:pPr>
      <w:r>
        <w:rPr>
          <w:rFonts w:ascii="Consolas" w:hAnsi="Consolas" w:cs="Consolas"/>
          <w:b w:val="0"/>
          <w:i w:val="0"/>
          <w:sz w:val="15"/>
        </w:rPr>
        <w:t xml:space="preserve">    type tenant_type NOT NULL,</w:t>
      </w:r>
    </w:p>
    <w:p>
      <w:pPr>
        <w:spacing w:after="0" w:before="0" w:line="240" w:lineRule="auto"/>
        <w:ind w:left="57"/>
        <w:jc w:val="left"/>
        <w:shd w:val="clear" w:fill="F2F2F2"/>
      </w:pPr>
      <w:r>
        <w:rPr>
          <w:rFonts w:ascii="Consolas" w:hAnsi="Consolas" w:cs="Consolas"/>
          <w:b w:val="0"/>
          <w:i w:val="0"/>
          <w:sz w:val="15"/>
        </w:rPr>
        <w:t xml:space="preserve">    financier_subtype financier_subtype,</w:t>
      </w:r>
    </w:p>
    <w:p>
      <w:pPr>
        <w:spacing w:after="0" w:before="0" w:line="240" w:lineRule="auto"/>
        <w:ind w:left="57"/>
        <w:jc w:val="left"/>
        <w:shd w:val="clear" w:fill="F2F2F2"/>
      </w:pPr>
      <w:r>
        <w:rPr>
          <w:rFonts w:ascii="Consolas" w:hAnsi="Consolas" w:cs="Consolas"/>
          <w:b w:val="0"/>
          <w:i w:val="0"/>
          <w:sz w:val="15"/>
        </w:rPr>
        <w:t xml:space="preserve">    lsp_subtype lsp_subtype,</w:t>
      </w:r>
    </w:p>
    <w:p>
      <w:pPr>
        <w:spacing w:after="0" w:before="0" w:line="240" w:lineRule="auto"/>
        <w:ind w:left="57"/>
        <w:jc w:val="left"/>
        <w:shd w:val="clear" w:fill="F2F2F2"/>
      </w:pPr>
      <w:r>
        <w:rPr>
          <w:rFonts w:ascii="Consolas" w:hAnsi="Consolas" w:cs="Consolas"/>
          <w:b w:val="0"/>
          <w:i w:val="0"/>
          <w:sz w:val="15"/>
        </w:rPr>
        <w:t xml:space="preserve">    jurisdiction TEXT NOT NULL,</w:t>
      </w:r>
    </w:p>
    <w:p>
      <w:pPr>
        <w:spacing w:after="0" w:before="0" w:line="240" w:lineRule="auto"/>
        <w:ind w:left="57"/>
        <w:jc w:val="left"/>
        <w:shd w:val="clear" w:fill="F2F2F2"/>
      </w:pPr>
      <w:r>
        <w:rPr>
          <w:rFonts w:ascii="Consolas" w:hAnsi="Consolas" w:cs="Consolas"/>
          <w:b w:val="0"/>
          <w:i w:val="0"/>
          <w:sz w:val="15"/>
        </w:rPr>
        <w:t xml:space="preserve">    tax_id TEXT,</w:t>
      </w:r>
    </w:p>
    <w:p>
      <w:pPr>
        <w:spacing w:after="0" w:before="0" w:line="240" w:lineRule="auto"/>
        <w:ind w:left="57"/>
        <w:jc w:val="left"/>
        <w:shd w:val="clear" w:fill="F2F2F2"/>
      </w:pPr>
      <w:r>
        <w:rPr>
          <w:rFonts w:ascii="Consolas" w:hAnsi="Consolas" w:cs="Consolas"/>
          <w:b w:val="0"/>
          <w:i w:val="0"/>
          <w:sz w:val="15"/>
        </w:rPr>
        <w:t xml:space="preserve">    commercial_register TEXT,</w:t>
      </w:r>
    </w:p>
    <w:p>
      <w:pPr>
        <w:spacing w:after="0" w:before="0" w:line="240" w:lineRule="auto"/>
        <w:ind w:left="57"/>
        <w:jc w:val="left"/>
        <w:shd w:val="clear" w:fill="F2F2F2"/>
      </w:pPr>
      <w:r>
        <w:rPr>
          <w:rFonts w:ascii="Consolas" w:hAnsi="Consolas" w:cs="Consolas"/>
          <w:b w:val="0"/>
          <w:i w:val="0"/>
          <w:sz w:val="15"/>
        </w:rPr>
        <w:t xml:space="preserve">    kyb_tier INTEGER DEFAULT 1,</w:t>
      </w:r>
    </w:p>
    <w:p>
      <w:pPr>
        <w:spacing w:after="0" w:before="0" w:line="240" w:lineRule="auto"/>
        <w:ind w:left="57"/>
        <w:jc w:val="left"/>
        <w:shd w:val="clear" w:fill="F2F2F2"/>
      </w:pPr>
      <w:r>
        <w:rPr>
          <w:rFonts w:ascii="Consolas" w:hAnsi="Consolas" w:cs="Consolas"/>
          <w:b w:val="0"/>
          <w:i w:val="0"/>
          <w:sz w:val="15"/>
        </w:rPr>
        <w:t xml:space="preserve">    trust_score DECIMAL(5,2),</w:t>
      </w:r>
    </w:p>
    <w:p>
      <w:pPr>
        <w:spacing w:after="0" w:before="0" w:line="240" w:lineRule="auto"/>
        <w:ind w:left="57"/>
        <w:jc w:val="left"/>
        <w:shd w:val="clear" w:fill="F2F2F2"/>
      </w:pPr>
      <w:r>
        <w:rPr>
          <w:rFonts w:ascii="Consolas" w:hAnsi="Consolas" w:cs="Consolas"/>
          <w:b w:val="0"/>
          <w:i w:val="0"/>
          <w:sz w:val="15"/>
        </w:rPr>
        <w:t xml:space="preserve">    sanctions_cleared BOOLEAN DEFAULT false,</w:t>
      </w:r>
    </w:p>
    <w:p>
      <w:pPr>
        <w:spacing w:after="0" w:before="0" w:line="240" w:lineRule="auto"/>
        <w:ind w:left="57"/>
        <w:jc w:val="left"/>
        <w:shd w:val="clear" w:fill="F2F2F2"/>
      </w:pPr>
      <w:r>
        <w:rPr>
          <w:rFonts w:ascii="Consolas" w:hAnsi="Consolas" w:cs="Consolas"/>
          <w:b w:val="0"/>
          <w:i w:val="0"/>
          <w:sz w:val="15"/>
        </w:rPr>
        <w:t xml:space="preserve">    lifecycle_state TEXT DEFAULT 'REGISTERED',</w:t>
      </w:r>
    </w:p>
    <w:p>
      <w:pPr>
        <w:spacing w:after="0" w:before="0" w:line="240" w:lineRule="auto"/>
        <w:ind w:left="57"/>
        <w:jc w:val="left"/>
        <w:shd w:val="clear" w:fill="F2F2F2"/>
      </w:pPr>
      <w:r>
        <w:rPr>
          <w:rFonts w:ascii="Consolas" w:hAnsi="Consolas" w:cs="Consolas"/>
          <w:b w:val="0"/>
          <w:i w:val="0"/>
          <w:sz w:val="15"/>
        </w:rPr>
        <w:t xml:space="preserve">    default_trader_mode trader_mode DEFAULT 'DUAL',</w:t>
      </w:r>
    </w:p>
    <w:p>
      <w:pPr>
        <w:spacing w:after="0" w:before="0" w:line="240" w:lineRule="auto"/>
        <w:ind w:left="57"/>
        <w:jc w:val="left"/>
        <w:shd w:val="clear" w:fill="F2F2F2"/>
      </w:pPr>
      <w:r>
        <w:rPr>
          <w:rFonts w:ascii="Consolas" w:hAnsi="Consolas" w:cs="Consolas"/>
          <w:b w:val="0"/>
          <w:i w:val="0"/>
          <w:sz w:val="15"/>
        </w:rPr>
        <w:t xml:space="preserve">    service_capabilities TEXT[] DEFAULT '{}',  -- dynamic service capabilities (Section 9)</w:t>
      </w:r>
    </w:p>
    <w:p>
      <w:pPr>
        <w:spacing w:after="0" w:before="0" w:line="240" w:lineRule="auto"/>
        <w:ind w:left="57"/>
        <w:jc w:val="left"/>
        <w:shd w:val="clear" w:fill="F2F2F2"/>
      </w:pPr>
      <w:r>
        <w:rPr>
          <w:rFonts w:ascii="Consolas" w:hAnsi="Consolas" w:cs="Consolas"/>
          <w:b w:val="0"/>
          <w:i w:val="0"/>
          <w:sz w:val="15"/>
        </w:rPr>
        <w:t xml:space="preserve">    anonymous_rfq_opt_out BOOLEAN DEFAULT false,</w:t>
      </w:r>
    </w:p>
    <w:p>
      <w:pPr>
        <w:spacing w:after="0" w:before="0" w:line="240" w:lineRule="auto"/>
        <w:ind w:left="57"/>
        <w:jc w:val="left"/>
        <w:shd w:val="clear" w:fill="F2F2F2"/>
      </w:pPr>
      <w:r>
        <w:rPr>
          <w:rFonts w:ascii="Consolas" w:hAnsi="Consolas" w:cs="Consolas"/>
          <w:b w:val="0"/>
          <w:i w:val="0"/>
          <w:sz w:val="15"/>
        </w:rPr>
        <w:t xml:space="preserve">    branding JSONB DEFAULT '{}',</w:t>
      </w:r>
    </w:p>
    <w:p>
      <w:pPr>
        <w:spacing w:after="0" w:before="0" w:line="240" w:lineRule="auto"/>
        <w:ind w:left="57"/>
        <w:jc w:val="left"/>
        <w:shd w:val="clear" w:fill="F2F2F2"/>
      </w:pPr>
      <w:r>
        <w:rPr>
          <w:rFonts w:ascii="Consolas" w:hAnsi="Consolas" w:cs="Consolas"/>
          <w:b w:val="0"/>
          <w:i w:val="0"/>
          <w:sz w:val="15"/>
        </w:rPr>
        <w:t xml:space="preserve">    qes_certificate_ref TEXT,</w:t>
      </w:r>
    </w:p>
    <w:p>
      <w:pPr>
        <w:spacing w:after="0" w:before="0" w:line="240" w:lineRule="auto"/>
        <w:ind w:left="57"/>
        <w:jc w:val="left"/>
        <w:shd w:val="clear" w:fill="F2F2F2"/>
      </w:pPr>
      <w:r>
        <w:rPr>
          <w:rFonts w:ascii="Consolas" w:hAnsi="Consolas" w:cs="Consolas"/>
          <w:b w:val="0"/>
          <w:i w:val="0"/>
          <w:sz w:val="15"/>
        </w:rPr>
        <w:t xml:space="preserve">    readiness_score INTEGER DEFAULT 0,</w:t>
      </w:r>
    </w:p>
    <w:p>
      <w:pPr>
        <w:spacing w:after="0" w:before="0" w:line="240" w:lineRule="auto"/>
        <w:ind w:left="57"/>
        <w:jc w:val="left"/>
        <w:shd w:val="clear" w:fill="F2F2F2"/>
      </w:pPr>
      <w:r>
        <w:rPr>
          <w:rFonts w:ascii="Consolas" w:hAnsi="Consolas" w:cs="Consolas"/>
          <w:b w:val="0"/>
          <w:i w:val="0"/>
          <w:sz w:val="15"/>
        </w:rPr>
        <w:t xml:space="preserve">    readiness_last_calculated TIMESTAMPTZ,</w:t>
      </w:r>
    </w:p>
    <w:p>
      <w:pPr>
        <w:spacing w:after="0" w:before="0" w:line="240" w:lineRule="auto"/>
        <w:ind w:left="57"/>
        <w:jc w:val="left"/>
        <w:shd w:val="clear" w:fill="F2F2F2"/>
      </w:pPr>
      <w:r>
        <w:rPr>
          <w:rFonts w:ascii="Consolas" w:hAnsi="Consolas" w:cs="Consolas"/>
          <w:b w:val="0"/>
          <w:i w:val="0"/>
          <w:sz w:val="15"/>
        </w:rPr>
        <w:t xml:space="preserve">    default_incoterm TEXT DEFAULT 'CFR',</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Verified identifiers (LEI, DUNS, etc.)</w:t>
      </w:r>
    </w:p>
    <w:p>
      <w:pPr>
        <w:spacing w:after="0" w:before="0" w:line="240" w:lineRule="auto"/>
        <w:ind w:left="57"/>
        <w:jc w:val="left"/>
        <w:shd w:val="clear" w:fill="F2F2F2"/>
      </w:pPr>
      <w:r>
        <w:rPr>
          <w:rFonts w:ascii="Consolas" w:hAnsi="Consolas" w:cs="Consolas"/>
          <w:b w:val="0"/>
          <w:i w:val="0"/>
          <w:sz w:val="15"/>
        </w:rPr>
        <w:t>CREATE TABLE tenant_verified_ids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id_type TEXT NOT NULL, -- 'LEI', 'DUNS', 'CUSTOMS_REG', 'CHAMBER_REG', 'VAT_REG'</w:t>
      </w:r>
    </w:p>
    <w:p>
      <w:pPr>
        <w:spacing w:after="0" w:before="0" w:line="240" w:lineRule="auto"/>
        <w:ind w:left="57"/>
        <w:jc w:val="left"/>
        <w:shd w:val="clear" w:fill="F2F2F2"/>
      </w:pPr>
      <w:r>
        <w:rPr>
          <w:rFonts w:ascii="Consolas" w:hAnsi="Consolas" w:cs="Consolas"/>
          <w:b w:val="0"/>
          <w:i w:val="0"/>
          <w:sz w:val="15"/>
        </w:rPr>
        <w:t>id_value TEXT NOT NULL,</w:t>
      </w:r>
    </w:p>
    <w:p>
      <w:pPr>
        <w:spacing w:after="0" w:before="0" w:line="240" w:lineRule="auto"/>
        <w:ind w:left="57"/>
        <w:jc w:val="left"/>
        <w:shd w:val="clear" w:fill="F2F2F2"/>
      </w:pPr>
      <w:r>
        <w:rPr>
          <w:rFonts w:ascii="Consolas" w:hAnsi="Consolas" w:cs="Consolas"/>
          <w:b w:val="0"/>
          <w:i w:val="0"/>
          <w:sz w:val="15"/>
        </w:rPr>
        <w:t>status TEXT DEFAULT 'PENDING', -- 'PENDING', 'VERIFIED', 'REJECTED', 'EXPIRED'</w:t>
      </w:r>
    </w:p>
    <w:p>
      <w:pPr>
        <w:spacing w:after="0" w:before="0" w:line="240" w:lineRule="auto"/>
        <w:ind w:left="57"/>
        <w:jc w:val="left"/>
        <w:shd w:val="clear" w:fill="F2F2F2"/>
      </w:pPr>
      <w:r>
        <w:rPr>
          <w:rFonts w:ascii="Consolas" w:hAnsi="Consolas" w:cs="Consolas"/>
          <w:b w:val="0"/>
          <w:i w:val="0"/>
          <w:sz w:val="15"/>
        </w:rPr>
        <w:t>verified_at TIMESTAMPTZ,</w:t>
      </w:r>
    </w:p>
    <w:p>
      <w:pPr>
        <w:spacing w:after="0" w:before="0" w:line="240" w:lineRule="auto"/>
        <w:ind w:left="57"/>
        <w:jc w:val="left"/>
        <w:shd w:val="clear" w:fill="F2F2F2"/>
      </w:pPr>
      <w:r>
        <w:rPr>
          <w:rFonts w:ascii="Consolas" w:hAnsi="Consolas" w:cs="Consolas"/>
          <w:b w:val="0"/>
          <w:i w:val="0"/>
          <w:sz w:val="15"/>
        </w:rPr>
        <w:t>expires_at TIMESTAMPTZ,</w:t>
      </w:r>
    </w:p>
    <w:p>
      <w:pPr>
        <w:spacing w:after="0" w:before="0" w:line="240" w:lineRule="auto"/>
        <w:ind w:left="57"/>
        <w:jc w:val="left"/>
        <w:shd w:val="clear" w:fill="F2F2F2"/>
      </w:pPr>
      <w:r>
        <w:rPr>
          <w:rFonts w:ascii="Consolas" w:hAnsi="Consolas" w:cs="Consolas"/>
          <w:b w:val="0"/>
          <w:i w:val="0"/>
          <w:sz w:val="15"/>
        </w:rPr>
        <w:t>reference_url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UNIQUE(tenant_id, id_type)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Employees</w:t>
      </w:r>
    </w:p>
    <w:p>
      <w:pPr>
        <w:spacing w:after="0" w:before="0" w:line="240" w:lineRule="auto"/>
        <w:ind w:left="57"/>
        <w:jc w:val="left"/>
        <w:shd w:val="clear" w:fill="F2F2F2"/>
      </w:pPr>
      <w:r>
        <w:rPr>
          <w:rFonts w:ascii="Consolas" w:hAnsi="Consolas" w:cs="Consolas"/>
          <w:b w:val="0"/>
          <w:i w:val="0"/>
          <w:sz w:val="15"/>
        </w:rPr>
        <w:t>CREATE TABLE employees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email TEXT NOT NULL,</w:t>
      </w:r>
    </w:p>
    <w:p>
      <w:pPr>
        <w:spacing w:after="0" w:before="0" w:line="240" w:lineRule="auto"/>
        <w:ind w:left="57"/>
        <w:jc w:val="left"/>
        <w:shd w:val="clear" w:fill="F2F2F2"/>
      </w:pPr>
      <w:r>
        <w:rPr>
          <w:rFonts w:ascii="Consolas" w:hAnsi="Consolas" w:cs="Consolas"/>
          <w:b w:val="0"/>
          <w:i w:val="0"/>
          <w:sz w:val="15"/>
        </w:rPr>
        <w:t>full_name TEXT NOT NULL,</w:t>
      </w:r>
    </w:p>
    <w:p>
      <w:pPr>
        <w:spacing w:after="0" w:before="0" w:line="240" w:lineRule="auto"/>
        <w:ind w:left="57"/>
        <w:jc w:val="left"/>
        <w:shd w:val="clear" w:fill="F2F2F2"/>
      </w:pPr>
      <w:r>
        <w:rPr>
          <w:rFonts w:ascii="Consolas" w:hAnsi="Consolas" w:cs="Consolas"/>
          <w:b w:val="0"/>
          <w:i w:val="0"/>
          <w:sz w:val="15"/>
        </w:rPr>
        <w:t>role_id UUID,</w:t>
      </w:r>
    </w:p>
    <w:p>
      <w:pPr>
        <w:spacing w:after="0" w:before="0" w:line="240" w:lineRule="auto"/>
        <w:ind w:left="57"/>
        <w:jc w:val="left"/>
        <w:shd w:val="clear" w:fill="F2F2F2"/>
      </w:pPr>
      <w:r>
        <w:rPr>
          <w:rFonts w:ascii="Consolas" w:hAnsi="Consolas" w:cs="Consolas"/>
          <w:b w:val="0"/>
          <w:i w:val="0"/>
          <w:sz w:val="15"/>
        </w:rPr>
        <w:t>status TEXT DEFAULT 'INVITED', -- 'INVITED', 'PENDING_APPROVAL', 'ACTIVE', 'SUSPENDED',</w:t>
      </w:r>
    </w:p>
    <w:p>
      <w:pPr>
        <w:spacing w:after="0" w:before="0" w:line="240" w:lineRule="auto"/>
        <w:ind w:left="57"/>
        <w:jc w:val="left"/>
        <w:shd w:val="clear" w:fill="F2F2F2"/>
      </w:pPr>
      <w:r>
        <w:rPr>
          <w:rFonts w:ascii="Consolas" w:hAnsi="Consolas" w:cs="Consolas"/>
          <w:b w:val="0"/>
          <w:i w:val="0"/>
          <w:sz w:val="15"/>
        </w:rPr>
        <w:t>'DEACTIVATED'</w:t>
      </w:r>
    </w:p>
    <w:p>
      <w:pPr>
        <w:spacing w:after="0" w:before="0" w:line="240" w:lineRule="auto"/>
        <w:ind w:left="57"/>
        <w:jc w:val="left"/>
        <w:shd w:val="clear" w:fill="F2F2F2"/>
      </w:pPr>
      <w:r>
        <w:rPr>
          <w:rFonts w:ascii="Consolas" w:hAnsi="Consolas" w:cs="Consolas"/>
          <w:b w:val="0"/>
          <w:i w:val="0"/>
          <w:sz w:val="15"/>
        </w:rPr>
        <w:t>mfa_enabled BOOLEAN DEFAULT false,</w:t>
      </w:r>
    </w:p>
    <w:p>
      <w:pPr>
        <w:spacing w:after="0" w:before="0" w:line="240" w:lineRule="auto"/>
        <w:ind w:left="57"/>
        <w:jc w:val="left"/>
        <w:shd w:val="clear" w:fill="F2F2F2"/>
      </w:pPr>
      <w:r>
        <w:rPr>
          <w:rFonts w:ascii="Consolas" w:hAnsi="Consolas" w:cs="Consolas"/>
          <w:b w:val="0"/>
          <w:i w:val="0"/>
          <w:sz w:val="15"/>
        </w:rPr>
        <w:t>active_trader_mode_context trader_mode,</w:t>
      </w:r>
    </w:p>
    <w:p>
      <w:pPr>
        <w:spacing w:after="0" w:before="0" w:line="240" w:lineRule="auto"/>
        <w:ind w:left="57"/>
        <w:jc w:val="left"/>
        <w:shd w:val="clear" w:fill="F2F2F2"/>
      </w:pPr>
      <w:r>
        <w:rPr>
          <w:rFonts w:ascii="Consolas" w:hAnsi="Consolas" w:cs="Consolas"/>
          <w:b w:val="0"/>
          <w:i w:val="0"/>
          <w:sz w:val="15"/>
        </w:rPr>
        <w:t>allow_role_switching BOOLEAN DEFAULT true,</w:t>
      </w:r>
    </w:p>
    <w:p>
      <w:pPr>
        <w:spacing w:after="0" w:before="0" w:line="240" w:lineRule="auto"/>
        <w:ind w:left="57"/>
        <w:jc w:val="left"/>
        <w:shd w:val="clear" w:fill="F2F2F2"/>
      </w:pPr>
      <w:r>
        <w:rPr>
          <w:rFonts w:ascii="Consolas" w:hAnsi="Consolas" w:cs="Consolas"/>
          <w:b w:val="0"/>
          <w:i w:val="0"/>
          <w:sz w:val="15"/>
        </w:rPr>
        <w:t>preferred_language TEXT DEFAULT 'en',</w:t>
      </w:r>
    </w:p>
    <w:p>
      <w:pPr>
        <w:spacing w:after="0" w:before="0" w:line="240" w:lineRule="auto"/>
        <w:ind w:left="57"/>
        <w:jc w:val="left"/>
        <w:shd w:val="clear" w:fill="F2F2F2"/>
      </w:pPr>
      <w:r>
        <w:rPr>
          <w:rFonts w:ascii="Consolas" w:hAnsi="Consolas" w:cs="Consolas"/>
          <w:b w:val="0"/>
          <w:i w:val="0"/>
          <w:sz w:val="15"/>
        </w:rPr>
        <w:t>voice_stress_consent BOOLEAN DEFAULT false,</w:t>
      </w:r>
    </w:p>
    <w:p>
      <w:pPr>
        <w:spacing w:after="0" w:before="0" w:line="240" w:lineRule="auto"/>
        <w:ind w:left="57"/>
        <w:jc w:val="left"/>
        <w:shd w:val="clear" w:fill="F2F2F2"/>
      </w:pPr>
      <w:r>
        <w:rPr>
          <w:rFonts w:ascii="Consolas" w:hAnsi="Consolas" w:cs="Consolas"/>
          <w:b w:val="0"/>
          <w:i w:val="0"/>
          <w:sz w:val="15"/>
        </w:rPr>
        <w:t>support_pin_hash TEXT,</w:t>
      </w:r>
    </w:p>
    <w:p>
      <w:pPr>
        <w:spacing w:after="0" w:before="0" w:line="240" w:lineRule="auto"/>
        <w:ind w:left="57"/>
        <w:jc w:val="left"/>
        <w:shd w:val="clear" w:fill="F2F2F2"/>
      </w:pPr>
      <w:r>
        <w:rPr>
          <w:rFonts w:ascii="Consolas" w:hAnsi="Consolas" w:cs="Consolas"/>
          <w:b w:val="0"/>
          <w:i w:val="0"/>
          <w:sz w:val="15"/>
        </w:rPr>
        <w:t>location_consent_granted BOOLEAN DEFAULT false,</w:t>
      </w:r>
    </w:p>
    <w:p>
      <w:pPr>
        <w:spacing w:after="0" w:before="0" w:line="240" w:lineRule="auto"/>
        <w:ind w:left="57"/>
        <w:jc w:val="left"/>
        <w:shd w:val="clear" w:fill="F2F2F2"/>
      </w:pPr>
      <w:r>
        <w:rPr>
          <w:rFonts w:ascii="Consolas" w:hAnsi="Consolas" w:cs="Consolas"/>
          <w:b w:val="0"/>
          <w:i w:val="0"/>
          <w:sz w:val="15"/>
        </w:rPr>
        <w:t>location_consent_timestamp TIMESTAMPTZ,</w:t>
      </w:r>
    </w:p>
    <w:p>
      <w:pPr>
        <w:spacing w:after="0" w:before="0" w:line="240" w:lineRule="auto"/>
        <w:ind w:left="57"/>
        <w:jc w:val="left"/>
        <w:shd w:val="clear" w:fill="F2F2F2"/>
      </w:pPr>
      <w:r>
        <w:rPr>
          <w:rFonts w:ascii="Consolas" w:hAnsi="Consolas" w:cs="Consolas"/>
          <w:b w:val="0"/>
          <w:i w:val="0"/>
          <w:sz w:val="15"/>
        </w:rPr>
        <w:t>experience_mode TEXT DEFAULT 'AUTO', -- 'GUIDED', 'EXPERT', 'AUTO'</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UNIQUE(tenant_id, email)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Roles</w:t>
      </w:r>
    </w:p>
    <w:p>
      <w:pPr>
        <w:spacing w:after="0" w:before="0" w:line="240" w:lineRule="auto"/>
        <w:ind w:left="57"/>
        <w:jc w:val="left"/>
        <w:shd w:val="clear" w:fill="F2F2F2"/>
      </w:pPr>
      <w:r>
        <w:rPr>
          <w:rFonts w:ascii="Consolas" w:hAnsi="Consolas" w:cs="Consolas"/>
          <w:b w:val="0"/>
          <w:i w:val="0"/>
          <w:sz w:val="15"/>
        </w:rPr>
        <w:t>CREATE TABLE roles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name TEXT NOT NULL,</w:t>
      </w:r>
    </w:p>
    <w:p>
      <w:pPr>
        <w:spacing w:after="0" w:before="0" w:line="240" w:lineRule="auto"/>
        <w:ind w:left="57"/>
        <w:jc w:val="left"/>
        <w:shd w:val="clear" w:fill="F2F2F2"/>
      </w:pPr>
      <w:r>
        <w:rPr>
          <w:rFonts w:ascii="Consolas" w:hAnsi="Consolas" w:cs="Consolas"/>
          <w:b w:val="0"/>
          <w:i w:val="0"/>
          <w:sz w:val="15"/>
        </w:rPr>
        <w:t>permissions TEXT[] NOT NULL,</w:t>
      </w:r>
    </w:p>
    <w:p>
      <w:pPr>
        <w:spacing w:after="0" w:before="0" w:line="240" w:lineRule="auto"/>
        <w:ind w:left="57"/>
        <w:jc w:val="left"/>
        <w:shd w:val="clear" w:fill="F2F2F2"/>
      </w:pPr>
      <w:r>
        <w:rPr>
          <w:rFonts w:ascii="Consolas" w:hAnsi="Consolas" w:cs="Consolas"/>
          <w:b w:val="0"/>
          <w:i w:val="0"/>
          <w:sz w:val="15"/>
        </w:rPr>
        <w:t>allowed_trader_modes trader_mode[] DEFAULT ARRAY['BUY','SELL','DUAL'],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UNIQUE(tenant_id, name)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Data scopes</w:t>
      </w:r>
    </w:p>
    <w:p>
      <w:pPr>
        <w:spacing w:after="0" w:before="0" w:line="240" w:lineRule="auto"/>
        <w:ind w:left="57"/>
        <w:jc w:val="left"/>
        <w:shd w:val="clear" w:fill="F2F2F2"/>
      </w:pPr>
      <w:r>
        <w:rPr>
          <w:rFonts w:ascii="Consolas" w:hAnsi="Consolas" w:cs="Consolas"/>
          <w:b w:val="0"/>
          <w:i w:val="0"/>
          <w:sz w:val="15"/>
        </w:rPr>
        <w:t>CREATE TABLE data_scopes (</w:t>
      </w:r>
    </w:p>
    <w:p>
      <w:pPr>
        <w:spacing w:after="0" w:before="0" w:line="240" w:lineRule="auto"/>
        <w:ind w:left="57"/>
        <w:jc w:val="left"/>
        <w:shd w:val="clear" w:fill="F2F2F2"/>
      </w:pPr>
      <w:r>
        <w:rPr>
          <w:rFonts w:ascii="Consolas" w:hAnsi="Consolas" w:cs="Consolas"/>
          <w:b w:val="0"/>
          <w:i w:val="0"/>
          <w:sz w:val="15"/>
        </w:rPr>
        <w:t>employee_id UUID PRIMARY KEY REFERENCES employees(id) ON DELETE CASCADE,</w:t>
      </w:r>
    </w:p>
    <w:p>
      <w:pPr>
        <w:spacing w:after="0" w:before="0" w:line="240" w:lineRule="auto"/>
        <w:ind w:left="57"/>
        <w:jc w:val="left"/>
        <w:shd w:val="clear" w:fill="F2F2F2"/>
      </w:pPr>
      <w:r>
        <w:rPr>
          <w:rFonts w:ascii="Consolas" w:hAnsi="Consolas" w:cs="Consolas"/>
          <w:b w:val="0"/>
          <w:i w:val="0"/>
          <w:sz w:val="15"/>
        </w:rPr>
        <w:t>hidden_cost_components TEXT[],</w:t>
      </w:r>
    </w:p>
    <w:p>
      <w:pPr>
        <w:spacing w:after="0" w:before="0" w:line="240" w:lineRule="auto"/>
        <w:ind w:left="57"/>
        <w:jc w:val="left"/>
        <w:shd w:val="clear" w:fill="F2F2F2"/>
      </w:pPr>
      <w:r>
        <w:rPr>
          <w:rFonts w:ascii="Consolas" w:hAnsi="Consolas" w:cs="Consolas"/>
          <w:b w:val="0"/>
          <w:i w:val="0"/>
          <w:sz w:val="15"/>
        </w:rPr>
        <w:t>max_transaction_value DECIMAL(20,4),</w:t>
      </w:r>
    </w:p>
    <w:p>
      <w:pPr>
        <w:spacing w:after="0" w:before="0" w:line="240" w:lineRule="auto"/>
        <w:ind w:left="57"/>
        <w:jc w:val="left"/>
        <w:shd w:val="clear" w:fill="F2F2F2"/>
      </w:pPr>
      <w:r>
        <w:rPr>
          <w:rFonts w:ascii="Consolas" w:hAnsi="Consolas" w:cs="Consolas"/>
          <w:b w:val="0"/>
          <w:i w:val="0"/>
          <w:sz w:val="15"/>
        </w:rPr>
        <w:t>allow_role_switching BOOLEAN DEFAULT true,</w:t>
      </w:r>
    </w:p>
    <w:p>
      <w:pPr>
        <w:spacing w:after="0" w:before="0" w:line="240" w:lineRule="auto"/>
        <w:ind w:left="57"/>
        <w:jc w:val="left"/>
        <w:shd w:val="clear" w:fill="F2F2F2"/>
      </w:pPr>
      <w:r>
        <w:rPr>
          <w:rFonts w:ascii="Consolas" w:hAnsi="Consolas" w:cs="Consolas"/>
          <w:b w:val="0"/>
          <w:i w:val="0"/>
          <w:sz w:val="15"/>
        </w:rPr>
        <w:t>custom_filters JSONB,</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Device registry</w:t>
      </w:r>
    </w:p>
    <w:p>
      <w:pPr>
        <w:spacing w:after="0" w:before="0" w:line="240" w:lineRule="auto"/>
        <w:ind w:left="57"/>
        <w:jc w:val="left"/>
        <w:shd w:val="clear" w:fill="F2F2F2"/>
      </w:pPr>
      <w:r>
        <w:rPr>
          <w:rFonts w:ascii="Consolas" w:hAnsi="Consolas" w:cs="Consolas"/>
          <w:b w:val="0"/>
          <w:i w:val="0"/>
          <w:sz w:val="15"/>
        </w:rPr>
        <w:t>CREATE TABLE device_registry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device_name TEXT,</w:t>
      </w:r>
    </w:p>
    <w:p>
      <w:pPr>
        <w:spacing w:after="0" w:before="0" w:line="240" w:lineRule="auto"/>
        <w:ind w:left="57"/>
        <w:jc w:val="left"/>
        <w:shd w:val="clear" w:fill="F2F2F2"/>
      </w:pPr>
      <w:r>
        <w:rPr>
          <w:rFonts w:ascii="Consolas" w:hAnsi="Consolas" w:cs="Consolas"/>
          <w:b w:val="0"/>
          <w:i w:val="0"/>
          <w:sz w:val="15"/>
        </w:rPr>
        <w:t>device_id TEXT NOT NULL,</w:t>
      </w:r>
    </w:p>
    <w:p>
      <w:pPr>
        <w:spacing w:after="0" w:before="0" w:line="240" w:lineRule="auto"/>
        <w:ind w:left="57"/>
        <w:jc w:val="left"/>
        <w:shd w:val="clear" w:fill="F2F2F2"/>
      </w:pPr>
      <w:r>
        <w:rPr>
          <w:rFonts w:ascii="Consolas" w:hAnsi="Consolas" w:cs="Consolas"/>
          <w:b w:val="0"/>
          <w:i w:val="0"/>
          <w:sz w:val="15"/>
        </w:rPr>
        <w:t>public_key TEXT,</w:t>
      </w:r>
    </w:p>
    <w:p>
      <w:pPr>
        <w:spacing w:after="0" w:before="0" w:line="240" w:lineRule="auto"/>
        <w:ind w:left="57"/>
        <w:jc w:val="left"/>
        <w:shd w:val="clear" w:fill="F2F2F2"/>
      </w:pPr>
      <w:r>
        <w:rPr>
          <w:rFonts w:ascii="Consolas" w:hAnsi="Consolas" w:cs="Consolas"/>
          <w:b w:val="0"/>
          <w:i w:val="0"/>
          <w:sz w:val="15"/>
        </w:rPr>
        <w:t>state TEXT DEFAULT 'NEW', -- 'NEW', 'TRUSTED', 'ELEVATED_RISK', 'BLOCKED', 'REVOKED'</w:t>
      </w:r>
    </w:p>
    <w:p>
      <w:pPr>
        <w:spacing w:after="0" w:before="0" w:line="240" w:lineRule="auto"/>
        <w:ind w:left="57"/>
        <w:jc w:val="left"/>
        <w:shd w:val="clear" w:fill="F2F2F2"/>
      </w:pPr>
      <w:r>
        <w:rPr>
          <w:rFonts w:ascii="Consolas" w:hAnsi="Consolas" w:cs="Consolas"/>
          <w:b w:val="0"/>
          <w:i w:val="0"/>
          <w:sz w:val="15"/>
        </w:rPr>
        <w:t>risk_score INTEGER DEFAULT 0,</w:t>
      </w:r>
    </w:p>
    <w:p>
      <w:pPr>
        <w:spacing w:after="0" w:before="0" w:line="240" w:lineRule="auto"/>
        <w:ind w:left="57"/>
        <w:jc w:val="left"/>
        <w:shd w:val="clear" w:fill="F2F2F2"/>
      </w:pPr>
      <w:r>
        <w:rPr>
          <w:rFonts w:ascii="Consolas" w:hAnsi="Consolas" w:cs="Consolas"/>
          <w:b w:val="0"/>
          <w:i w:val="0"/>
          <w:sz w:val="15"/>
        </w:rPr>
        <w:t>last_seen TIMESTAMPTZ,</w:t>
      </w:r>
    </w:p>
    <w:p>
      <w:pPr>
        <w:spacing w:after="0" w:before="0" w:line="240" w:lineRule="auto"/>
        <w:ind w:left="57"/>
        <w:jc w:val="left"/>
        <w:shd w:val="clear" w:fill="F2F2F2"/>
      </w:pPr>
      <w:r>
        <w:rPr>
          <w:rFonts w:ascii="Consolas" w:hAnsi="Consolas" w:cs="Consolas"/>
          <w:b w:val="0"/>
          <w:i w:val="0"/>
          <w:sz w:val="15"/>
        </w:rPr>
        <w:t>registered_at TIMESTAMPTZ DEFAULT NOW(),</w:t>
      </w:r>
    </w:p>
    <w:p>
      <w:pPr>
        <w:spacing w:after="0" w:before="0" w:line="240" w:lineRule="auto"/>
        <w:ind w:left="57"/>
        <w:jc w:val="left"/>
        <w:shd w:val="clear" w:fill="F2F2F2"/>
      </w:pPr>
      <w:r>
        <w:rPr>
          <w:rFonts w:ascii="Consolas" w:hAnsi="Consolas" w:cs="Consolas"/>
          <w:b w:val="0"/>
          <w:i w:val="0"/>
          <w:sz w:val="15"/>
        </w:rPr>
        <w:t>UNIQUE(employee_id, device_id)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Session risk events</w:t>
      </w:r>
    </w:p>
    <w:p>
      <w:pPr>
        <w:spacing w:after="0" w:before="0" w:line="240" w:lineRule="auto"/>
        <w:ind w:left="57"/>
        <w:jc w:val="left"/>
        <w:shd w:val="clear" w:fill="F2F2F2"/>
      </w:pPr>
      <w:r>
        <w:rPr>
          <w:rFonts w:ascii="Consolas" w:hAnsi="Consolas" w:cs="Consolas"/>
          <w:b w:val="0"/>
          <w:i w:val="0"/>
          <w:sz w:val="15"/>
        </w:rPr>
        <w:t>CREATE TABLE session_risk_events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session_id TEXT,</w:t>
      </w:r>
    </w:p>
    <w:p>
      <w:pPr>
        <w:spacing w:after="0" w:before="0" w:line="240" w:lineRule="auto"/>
        <w:ind w:left="57"/>
        <w:jc w:val="left"/>
        <w:shd w:val="clear" w:fill="F2F2F2"/>
      </w:pPr>
      <w:r>
        <w:rPr>
          <w:rFonts w:ascii="Consolas" w:hAnsi="Consolas" w:cs="Consolas"/>
          <w:b w:val="0"/>
          <w:i w:val="0"/>
          <w:sz w:val="15"/>
        </w:rPr>
        <w:t>risk_type TEXT NOT NULL,  -- 'IMPOSSIBLE_TRAVEL', 'VPN_DETECTED', 'TOR_DETECTED', 'BEHAVIOURAL_ANOMALY'</w:t>
      </w:r>
    </w:p>
    <w:p>
      <w:pPr>
        <w:spacing w:after="0" w:before="0" w:line="240" w:lineRule="auto"/>
        <w:ind w:left="57"/>
        <w:jc w:val="left"/>
        <w:shd w:val="clear" w:fill="F2F2F2"/>
      </w:pPr>
      <w:r>
        <w:rPr>
          <w:rFonts w:ascii="Consolas" w:hAnsi="Consolas" w:cs="Consolas"/>
          <w:b w:val="0"/>
          <w:i w:val="0"/>
          <w:sz w:val="15"/>
        </w:rPr>
        <w:t>risk_score INTEGER,</w:t>
      </w:r>
    </w:p>
    <w:p>
      <w:pPr>
        <w:spacing w:after="0" w:before="0" w:line="240" w:lineRule="auto"/>
        <w:ind w:left="57"/>
        <w:jc w:val="left"/>
        <w:shd w:val="clear" w:fill="F2F2F2"/>
      </w:pPr>
      <w:r>
        <w:rPr>
          <w:rFonts w:ascii="Consolas" w:hAnsi="Consolas" w:cs="Consolas"/>
          <w:b w:val="0"/>
          <w:i w:val="0"/>
          <w:sz w:val="15"/>
        </w:rPr>
        <w:t>details JSONB,</w:t>
      </w:r>
    </w:p>
    <w:p>
      <w:pPr>
        <w:spacing w:after="0" w:before="0" w:line="240" w:lineRule="auto"/>
        <w:ind w:left="57"/>
        <w:jc w:val="left"/>
        <w:shd w:val="clear" w:fill="F2F2F2"/>
      </w:pPr>
      <w:r>
        <w:rPr>
          <w:rFonts w:ascii="Consolas" w:hAnsi="Consolas" w:cs="Consolas"/>
          <w:b w:val="0"/>
          <w:i w:val="0"/>
          <w:sz w:val="15"/>
        </w:rPr>
        <w:t>governor_verdict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 Consent records</w:t>
      </w:r>
    </w:p>
    <w:p>
      <w:pPr>
        <w:spacing w:after="0" w:before="0" w:line="240" w:lineRule="auto"/>
        <w:ind w:left="57"/>
        <w:jc w:val="left"/>
        <w:shd w:val="clear" w:fill="F2F2F2"/>
      </w:pPr>
      <w:r>
        <w:rPr>
          <w:rFonts w:ascii="Consolas" w:hAnsi="Consolas" w:cs="Consolas"/>
          <w:b w:val="0"/>
          <w:i w:val="0"/>
          <w:sz w:val="15"/>
        </w:rPr>
        <w:t>CREATE TABLE consent_records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user_gtid TEXT NOT NULL,</w:t>
      </w:r>
    </w:p>
    <w:p>
      <w:pPr>
        <w:spacing w:after="0" w:before="0" w:line="240" w:lineRule="auto"/>
        <w:ind w:left="57"/>
        <w:jc w:val="left"/>
        <w:shd w:val="clear" w:fill="F2F2F2"/>
      </w:pPr>
      <w:r>
        <w:rPr>
          <w:rFonts w:ascii="Consolas" w:hAnsi="Consolas" w:cs="Consolas"/>
          <w:b w:val="0"/>
          <w:i w:val="0"/>
          <w:sz w:val="15"/>
        </w:rPr>
        <w:t>purpose TEXT NOT NULL, -- 'marketing', 'analytics', 'govt_sharing', 'cross_border', 'voice_biometric'</w:t>
      </w:r>
    </w:p>
    <w:p>
      <w:pPr>
        <w:spacing w:after="0" w:before="0" w:line="240" w:lineRule="auto"/>
        <w:ind w:left="57"/>
        <w:jc w:val="left"/>
        <w:shd w:val="clear" w:fill="F2F2F2"/>
      </w:pPr>
      <w:r>
        <w:rPr>
          <w:rFonts w:ascii="Consolas" w:hAnsi="Consolas" w:cs="Consolas"/>
          <w:b w:val="0"/>
          <w:i w:val="0"/>
          <w:sz w:val="15"/>
        </w:rPr>
        <w:t>version TEXT NOT NULL,</w:t>
      </w:r>
    </w:p>
    <w:p>
      <w:pPr>
        <w:spacing w:after="0" w:before="0" w:line="240" w:lineRule="auto"/>
        <w:ind w:left="57"/>
        <w:jc w:val="left"/>
        <w:shd w:val="clear" w:fill="F2F2F2"/>
      </w:pPr>
      <w:r>
        <w:rPr>
          <w:rFonts w:ascii="Consolas" w:hAnsi="Consolas" w:cs="Consolas"/>
          <w:b w:val="0"/>
          <w:i w:val="0"/>
          <w:sz w:val="15"/>
        </w:rPr>
        <w:t>granted BOOLEAN NOT NULL,</w:t>
      </w:r>
    </w:p>
    <w:p>
      <w:pPr>
        <w:spacing w:after="0" w:before="0" w:line="240" w:lineRule="auto"/>
        <w:ind w:left="57"/>
        <w:jc w:val="left"/>
        <w:shd w:val="clear" w:fill="F2F2F2"/>
      </w:pPr>
      <w:r>
        <w:rPr>
          <w:rFonts w:ascii="Consolas" w:hAnsi="Consolas" w:cs="Consolas"/>
          <w:b w:val="0"/>
          <w:i w:val="0"/>
          <w:sz w:val="15"/>
        </w:rPr>
        <w:t>ip_address INET NOT NULL,</w:t>
      </w:r>
    </w:p>
    <w:p>
      <w:pPr>
        <w:spacing w:after="0" w:before="0" w:line="240" w:lineRule="auto"/>
        <w:ind w:left="57"/>
        <w:jc w:val="left"/>
        <w:shd w:val="clear" w:fill="F2F2F2"/>
      </w:pPr>
      <w:r>
        <w:rPr>
          <w:rFonts w:ascii="Consolas" w:hAnsi="Consolas" w:cs="Consolas"/>
          <w:b w:val="0"/>
          <w:i w:val="0"/>
          <w:sz w:val="15"/>
        </w:rPr>
        <w:t>user_agent TEXT,</w:t>
      </w:r>
    </w:p>
    <w:p>
      <w:pPr>
        <w:spacing w:after="0" w:before="0" w:line="240" w:lineRule="auto"/>
        <w:ind w:left="57"/>
        <w:jc w:val="left"/>
        <w:shd w:val="clear" w:fill="F2F2F2"/>
      </w:pPr>
      <w:r>
        <w:rPr>
          <w:rFonts w:ascii="Consolas" w:hAnsi="Consolas" w:cs="Consolas"/>
          <w:b w:val="0"/>
          <w:i w:val="0"/>
          <w:sz w:val="15"/>
        </w:rPr>
        <w:t>device_id TEXT,</w:t>
      </w:r>
    </w:p>
    <w:p>
      <w:pPr>
        <w:spacing w:after="0" w:before="0" w:line="240" w:lineRule="auto"/>
        <w:ind w:left="57"/>
        <w:jc w:val="left"/>
        <w:shd w:val="clear" w:fill="F2F2F2"/>
      </w:pPr>
      <w:r>
        <w:rPr>
          <w:rFonts w:ascii="Consolas" w:hAnsi="Consolas" w:cs="Consolas"/>
          <w:b w:val="0"/>
          <w:i w:val="0"/>
          <w:sz w:val="15"/>
        </w:rPr>
        <w:t>timestamp TIMESTAMPTZ DEFAULT NOW(),</w:t>
      </w:r>
    </w:p>
    <w:p>
      <w:pPr>
        <w:spacing w:after="0" w:before="0" w:line="240" w:lineRule="auto"/>
        <w:ind w:left="57"/>
        <w:jc w:val="left"/>
        <w:shd w:val="clear" w:fill="F2F2F2"/>
      </w:pPr>
      <w:r>
        <w:rPr>
          <w:rFonts w:ascii="Consolas" w:hAnsi="Consolas" w:cs="Consolas"/>
          <w:b w:val="0"/>
          <w:i w:val="0"/>
          <w:sz w:val="15"/>
        </w:rPr>
        <w:t>withdrawal_timestamp TIMESTAMPTZ,</w:t>
      </w:r>
    </w:p>
    <w:p>
      <w:pPr>
        <w:spacing w:after="0" w:before="0" w:line="240" w:lineRule="auto"/>
        <w:ind w:left="57"/>
        <w:jc w:val="left"/>
        <w:shd w:val="clear" w:fill="F2F2F2"/>
      </w:pPr>
      <w:r>
        <w:rPr>
          <w:rFonts w:ascii="Consolas" w:hAnsi="Consolas" w:cs="Consolas"/>
          <w:b w:val="0"/>
          <w:i w:val="0"/>
          <w:sz w:val="15"/>
        </w:rPr>
        <w:t>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Onboarding state</w:t>
      </w:r>
    </w:p>
    <w:p>
      <w:pPr>
        <w:spacing w:after="0" w:before="0" w:line="240" w:lineRule="auto"/>
        <w:ind w:left="57"/>
        <w:jc w:val="left"/>
        <w:shd w:val="clear" w:fill="F2F2F2"/>
      </w:pPr>
      <w:r>
        <w:rPr>
          <w:rFonts w:ascii="Consolas" w:hAnsi="Consolas" w:cs="Consolas"/>
          <w:b w:val="0"/>
          <w:i w:val="0"/>
          <w:sz w:val="15"/>
        </w:rPr>
        <w:t>CREATE TABLE tenant_onboarding_state (</w:t>
      </w:r>
    </w:p>
    <w:p>
      <w:pPr>
        <w:spacing w:after="0" w:before="0" w:line="240" w:lineRule="auto"/>
        <w:ind w:left="57"/>
        <w:jc w:val="left"/>
        <w:shd w:val="clear" w:fill="F2F2F2"/>
      </w:pPr>
      <w:r>
        <w:rPr>
          <w:rFonts w:ascii="Consolas" w:hAnsi="Consolas" w:cs="Consolas"/>
          <w:b w:val="0"/>
          <w:i w:val="0"/>
          <w:sz w:val="15"/>
        </w:rPr>
        <w:t>tenant_id UUID PRIMARY KEY REFERENCES tenants(id) ON DELETE CASCADE,</w:t>
      </w:r>
    </w:p>
    <w:p>
      <w:pPr>
        <w:spacing w:after="0" w:before="0" w:line="240" w:lineRule="auto"/>
        <w:ind w:left="57"/>
        <w:jc w:val="left"/>
        <w:shd w:val="clear" w:fill="F2F2F2"/>
      </w:pPr>
      <w:r>
        <w:rPr>
          <w:rFonts w:ascii="Consolas" w:hAnsi="Consolas" w:cs="Consolas"/>
          <w:b w:val="0"/>
          <w:i w:val="0"/>
          <w:sz w:val="15"/>
        </w:rPr>
        <w:t>current_step INTEGER NOT NULL DEFAULT 1,</w:t>
      </w:r>
    </w:p>
    <w:p>
      <w:pPr>
        <w:spacing w:after="0" w:before="0" w:line="240" w:lineRule="auto"/>
        <w:ind w:left="57"/>
        <w:jc w:val="left"/>
        <w:shd w:val="clear" w:fill="F2F2F2"/>
      </w:pPr>
      <w:r>
        <w:rPr>
          <w:rFonts w:ascii="Consolas" w:hAnsi="Consolas" w:cs="Consolas"/>
          <w:b w:val="0"/>
          <w:i w:val="0"/>
          <w:sz w:val="15"/>
        </w:rPr>
        <w:t>step_data JSONB DEFAULT '{}',</w:t>
      </w:r>
    </w:p>
    <w:p>
      <w:pPr>
        <w:spacing w:after="0" w:before="0" w:line="240" w:lineRule="auto"/>
        <w:ind w:left="57"/>
        <w:jc w:val="left"/>
        <w:shd w:val="clear" w:fill="F2F2F2"/>
      </w:pPr>
      <w:r>
        <w:rPr>
          <w:rFonts w:ascii="Consolas" w:hAnsi="Consolas" w:cs="Consolas"/>
          <w:b w:val="0"/>
          <w:i w:val="0"/>
          <w:sz w:val="15"/>
        </w:rPr>
        <w:t>sandbox_active BOOLEAN DEFAULT true,</w:t>
      </w:r>
    </w:p>
    <w:p>
      <w:pPr>
        <w:spacing w:after="0" w:before="0" w:line="240" w:lineRule="auto"/>
        <w:ind w:left="57"/>
        <w:jc w:val="left"/>
        <w:shd w:val="clear" w:fill="F2F2F2"/>
      </w:pPr>
      <w:r>
        <w:rPr>
          <w:rFonts w:ascii="Consolas" w:hAnsi="Consolas" w:cs="Consolas"/>
          <w:b w:val="0"/>
          <w:i w:val="0"/>
          <w:sz w:val="15"/>
        </w:rPr>
        <w:t>completed BOOLEAN DEFAULT false,</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Readiness checklist</w:t>
      </w:r>
    </w:p>
    <w:p>
      <w:pPr>
        <w:spacing w:after="0" w:before="0" w:line="240" w:lineRule="auto"/>
        <w:ind w:left="57"/>
        <w:jc w:val="left"/>
        <w:shd w:val="clear" w:fill="F2F2F2"/>
      </w:pPr>
      <w:r>
        <w:rPr>
          <w:rFonts w:ascii="Consolas" w:hAnsi="Consolas" w:cs="Consolas"/>
          <w:b w:val="0"/>
          <w:i w:val="0"/>
          <w:sz w:val="15"/>
        </w:rPr>
        <w:t>CREATE TABLE readiness_checklist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category TEXT NOT NULL, -- 'company', 'banking', 'trade', 'security', 'legal'</w:t>
      </w:r>
    </w:p>
    <w:p>
      <w:pPr>
        <w:spacing w:after="0" w:before="0" w:line="240" w:lineRule="auto"/>
        <w:ind w:left="57"/>
        <w:jc w:val="left"/>
        <w:shd w:val="clear" w:fill="F2F2F2"/>
      </w:pPr>
      <w:r>
        <w:rPr>
          <w:rFonts w:ascii="Consolas" w:hAnsi="Consolas" w:cs="Consolas"/>
          <w:b w:val="0"/>
          <w:i w:val="0"/>
          <w:sz w:val="15"/>
        </w:rPr>
        <w:t>item_key TEXT NOT NULL,</w:t>
      </w:r>
    </w:p>
    <w:p>
      <w:pPr>
        <w:spacing w:after="0" w:before="0" w:line="240" w:lineRule="auto"/>
        <w:ind w:left="57"/>
        <w:jc w:val="left"/>
        <w:shd w:val="clear" w:fill="F2F2F2"/>
      </w:pPr>
      <w:r>
        <w:rPr>
          <w:rFonts w:ascii="Consolas" w:hAnsi="Consolas" w:cs="Consolas"/>
          <w:b w:val="0"/>
          <w:i w:val="0"/>
          <w:sz w:val="15"/>
        </w:rPr>
        <w:t>status TEXT DEFAULT 'PENDING', -- 'PENDING', 'COMPLETED', 'SKIPPED'</w:t>
      </w:r>
    </w:p>
    <w:p>
      <w:pPr>
        <w:spacing w:after="0" w:before="0" w:line="240" w:lineRule="auto"/>
        <w:ind w:left="57"/>
        <w:jc w:val="left"/>
        <w:shd w:val="clear" w:fill="F2F2F2"/>
      </w:pPr>
      <w:r>
        <w:rPr>
          <w:rFonts w:ascii="Consolas" w:hAnsi="Consolas" w:cs="Consolas"/>
          <w:b w:val="0"/>
          <w:i w:val="0"/>
          <w:sz w:val="15"/>
        </w:rPr>
        <w:t>completed_at TIMESTAMPTZ,</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UNIQUE(tenant_id, item_key)</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Internal organisation</w:t>
      </w:r>
    </w:p>
    <w:p>
      <w:pPr>
        <w:spacing w:after="0" w:before="0" w:line="240" w:lineRule="auto"/>
        <w:ind w:left="57"/>
        <w:jc w:val="left"/>
        <w:shd w:val="clear" w:fill="F2F2F2"/>
      </w:pPr>
      <w:r>
        <w:rPr>
          <w:rFonts w:ascii="Consolas" w:hAnsi="Consolas" w:cs="Consolas"/>
          <w:b w:val="0"/>
          <w:i w:val="0"/>
          <w:sz w:val="15"/>
        </w:rPr>
        <w:t>CREATE TABLE tenant_business_units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parent_bu_id UUID REFERENCES tenant_business_units(id),</w:t>
      </w:r>
    </w:p>
    <w:p>
      <w:pPr>
        <w:spacing w:after="0" w:before="0" w:line="240" w:lineRule="auto"/>
        <w:ind w:left="57"/>
        <w:jc w:val="left"/>
        <w:shd w:val="clear" w:fill="F2F2F2"/>
      </w:pPr>
      <w:r>
        <w:rPr>
          <w:rFonts w:ascii="Consolas" w:hAnsi="Consolas" w:cs="Consolas"/>
          <w:b w:val="0"/>
          <w:i w:val="0"/>
          <w:sz w:val="15"/>
        </w:rPr>
        <w:t>name TEXT NOT NULL,</w:t>
      </w:r>
    </w:p>
    <w:p>
      <w:pPr>
        <w:spacing w:after="0" w:before="0" w:line="240" w:lineRule="auto"/>
        <w:ind w:left="57"/>
        <w:jc w:val="left"/>
        <w:shd w:val="clear" w:fill="F2F2F2"/>
      </w:pPr>
      <w:r>
        <w:rPr>
          <w:rFonts w:ascii="Consolas" w:hAnsi="Consolas" w:cs="Consolas"/>
          <w:b w:val="0"/>
          <w:i w:val="0"/>
          <w:sz w:val="15"/>
        </w:rPr>
        <w:t xml:space="preserve"> administrator_employee_id UUID REFERENCES employees(id),</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tenant_departments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business_unit_id UUID NOT NULL REFERENCES tenant_business_units(id) ON DELETE CASCADE,</w:t>
      </w:r>
    </w:p>
    <w:p>
      <w:pPr>
        <w:spacing w:after="0" w:before="0" w:line="240" w:lineRule="auto"/>
        <w:ind w:left="57"/>
        <w:jc w:val="left"/>
        <w:shd w:val="clear" w:fill="F2F2F2"/>
      </w:pPr>
      <w:r>
        <w:rPr>
          <w:rFonts w:ascii="Consolas" w:hAnsi="Consolas" w:cs="Consolas"/>
          <w:b w:val="0"/>
          <w:i w:val="0"/>
          <w:sz w:val="15"/>
        </w:rPr>
        <w:t>name TEXT NOT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tenant_cost_centers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business_unit_id UUID REFERENCES tenant_business_units(id),</w:t>
      </w:r>
    </w:p>
    <w:p>
      <w:pPr>
        <w:spacing w:after="0" w:before="0" w:line="240" w:lineRule="auto"/>
        <w:ind w:left="57"/>
        <w:jc w:val="left"/>
        <w:shd w:val="clear" w:fill="F2F2F2"/>
      </w:pPr>
      <w:r>
        <w:rPr>
          <w:rFonts w:ascii="Consolas" w:hAnsi="Consolas" w:cs="Consolas"/>
          <w:b w:val="0"/>
          <w:i w:val="0"/>
          <w:sz w:val="15"/>
        </w:rPr>
        <w:t>code TEXT NOT NULL,</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tenant_approval_groups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name TEXT NOT NULL,</w:t>
      </w:r>
    </w:p>
    <w:p>
      <w:pPr>
        <w:spacing w:after="0" w:before="0" w:line="240" w:lineRule="auto"/>
        <w:ind w:left="57"/>
        <w:jc w:val="left"/>
        <w:shd w:val="clear" w:fill="F2F2F2"/>
      </w:pPr>
      <w:r>
        <w:rPr>
          <w:rFonts w:ascii="Consolas" w:hAnsi="Consolas" w:cs="Consolas"/>
          <w:b w:val="0"/>
          <w:i w:val="0"/>
          <w:sz w:val="15"/>
        </w:rPr>
        <w:t>employee_ids UUID[] NOT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tenant_approval_policies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action TEXT NOT NULL,</w:t>
      </w:r>
    </w:p>
    <w:p>
      <w:pPr>
        <w:spacing w:after="0" w:before="0" w:line="240" w:lineRule="auto"/>
        <w:ind w:left="57"/>
        <w:jc w:val="left"/>
        <w:shd w:val="clear" w:fill="F2F2F2"/>
      </w:pPr>
      <w:r>
        <w:rPr>
          <w:rFonts w:ascii="Consolas" w:hAnsi="Consolas" w:cs="Consolas"/>
          <w:b w:val="0"/>
          <w:i w:val="0"/>
          <w:sz w:val="15"/>
        </w:rPr>
        <w:t>condition_json JSONB NOT NULL,</w:t>
      </w:r>
    </w:p>
    <w:p>
      <w:pPr>
        <w:spacing w:after="0" w:before="0" w:line="240" w:lineRule="auto"/>
        <w:ind w:left="57"/>
        <w:jc w:val="left"/>
        <w:shd w:val="clear" w:fill="F2F2F2"/>
      </w:pPr>
      <w:r>
        <w:rPr>
          <w:rFonts w:ascii="Consolas" w:hAnsi="Consolas" w:cs="Consolas"/>
          <w:b w:val="0"/>
          <w:i w:val="0"/>
          <w:sz w:val="15"/>
        </w:rPr>
        <w:t>required_approvals JSONB NOT NULL,</w:t>
      </w:r>
    </w:p>
    <w:p>
      <w:pPr>
        <w:spacing w:after="0" w:before="0" w:line="240" w:lineRule="auto"/>
        <w:ind w:left="57"/>
        <w:jc w:val="left"/>
        <w:shd w:val="clear" w:fill="F2F2F2"/>
      </w:pPr>
      <w:r>
        <w:rPr>
          <w:rFonts w:ascii="Consolas" w:hAnsi="Consolas" w:cs="Consolas"/>
          <w:b w:val="0"/>
          <w:i w:val="0"/>
          <w:sz w:val="15"/>
        </w:rPr>
        <w:t>quorum INTEGER NOT NULL,</w:t>
      </w:r>
    </w:p>
    <w:p>
      <w:pPr>
        <w:spacing w:after="0" w:before="0" w:line="240" w:lineRule="auto"/>
        <w:ind w:left="57"/>
        <w:jc w:val="left"/>
        <w:shd w:val="clear" w:fill="F2F2F2"/>
      </w:pPr>
      <w:r>
        <w:rPr>
          <w:rFonts w:ascii="Consolas" w:hAnsi="Consolas" w:cs="Consolas"/>
          <w:b w:val="0"/>
          <w:i w:val="0"/>
          <w:sz w:val="15"/>
        </w:rPr>
        <w:t>approval_mode TEXT DEFAULT 'parallel',</w:t>
      </w:r>
    </w:p>
    <w:p>
      <w:pPr>
        <w:spacing w:after="0" w:before="0" w:line="240" w:lineRule="auto"/>
        <w:ind w:left="57"/>
        <w:jc w:val="left"/>
        <w:shd w:val="clear" w:fill="F2F2F2"/>
      </w:pPr>
      <w:r>
        <w:rPr>
          <w:rFonts w:ascii="Consolas" w:hAnsi="Consolas" w:cs="Consolas"/>
          <w:b w:val="0"/>
          <w:i w:val="0"/>
          <w:sz w:val="15"/>
        </w:rPr>
        <w:t>enabled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Tenant lifecycle history</w:t>
      </w:r>
    </w:p>
    <w:p>
      <w:pPr>
        <w:spacing w:after="0" w:before="0" w:line="240" w:lineRule="auto"/>
        <w:ind w:left="57"/>
        <w:jc w:val="left"/>
        <w:shd w:val="clear" w:fill="F2F2F2"/>
      </w:pPr>
      <w:r>
        <w:rPr>
          <w:rFonts w:ascii="Consolas" w:hAnsi="Consolas" w:cs="Consolas"/>
          <w:b w:val="0"/>
          <w:i w:val="0"/>
          <w:sz w:val="15"/>
        </w:rPr>
        <w:t>CREATE TABLE tenant_lifecycle_history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from_state TEXT NOT NULL,</w:t>
      </w:r>
    </w:p>
    <w:p>
      <w:pPr>
        <w:spacing w:after="0" w:before="0" w:line="240" w:lineRule="auto"/>
        <w:ind w:left="57"/>
        <w:jc w:val="left"/>
        <w:shd w:val="clear" w:fill="F2F2F2"/>
      </w:pPr>
      <w:r>
        <w:rPr>
          <w:rFonts w:ascii="Consolas" w:hAnsi="Consolas" w:cs="Consolas"/>
          <w:b w:val="0"/>
          <w:i w:val="0"/>
          <w:sz w:val="15"/>
        </w:rPr>
        <w:t>to_state TEXT NOT NULL,</w:t>
      </w:r>
    </w:p>
    <w:p>
      <w:pPr>
        <w:spacing w:after="0" w:before="0" w:line="240" w:lineRule="auto"/>
        <w:ind w:left="57"/>
        <w:jc w:val="left"/>
        <w:shd w:val="clear" w:fill="F2F2F2"/>
      </w:pPr>
      <w:r>
        <w:rPr>
          <w:rFonts w:ascii="Consolas" w:hAnsi="Consolas" w:cs="Consolas"/>
          <w:b w:val="0"/>
          <w:i w:val="0"/>
          <w:sz w:val="15"/>
        </w:rPr>
        <w:t xml:space="preserve"> reason TEXT,</w:t>
      </w:r>
    </w:p>
    <w:p>
      <w:pPr>
        <w:spacing w:after="0" w:before="0" w:line="240" w:lineRule="auto"/>
        <w:ind w:left="57"/>
        <w:jc w:val="left"/>
        <w:shd w:val="clear" w:fill="F2F2F2"/>
      </w:pPr>
      <w:r>
        <w:rPr>
          <w:rFonts w:ascii="Consolas" w:hAnsi="Consolas" w:cs="Consolas"/>
          <w:b w:val="0"/>
          <w:i w:val="0"/>
          <w:sz w:val="15"/>
        </w:rPr>
        <w:t>governor_decision_id UUID,</w:t>
      </w:r>
    </w:p>
    <w:p>
      <w:pPr>
        <w:spacing w:after="0" w:before="0" w:line="240" w:lineRule="auto"/>
        <w:ind w:left="57"/>
        <w:jc w:val="left"/>
        <w:shd w:val="clear" w:fill="F2F2F2"/>
      </w:pPr>
      <w:r>
        <w:rPr>
          <w:rFonts w:ascii="Consolas" w:hAnsi="Consolas" w:cs="Consolas"/>
          <w:b w:val="0"/>
          <w:i w:val="0"/>
          <w:sz w:val="15"/>
        </w:rPr>
        <w:t>changed_by UUID REFERENCES employees(id),</w:t>
      </w:r>
    </w:p>
    <w:p>
      <w:pPr>
        <w:spacing w:after="0" w:before="0" w:line="240" w:lineRule="auto"/>
        <w:ind w:left="57"/>
        <w:jc w:val="left"/>
        <w:shd w:val="clear" w:fill="F2F2F2"/>
      </w:pPr>
      <w:r>
        <w:rPr>
          <w:rFonts w:ascii="Consolas" w:hAnsi="Consolas" w:cs="Consolas"/>
          <w:b w:val="0"/>
          <w:i w:val="0"/>
          <w:sz w:val="15"/>
        </w:rPr>
        <w:t>changed_at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Role journey completion</w:t>
      </w:r>
    </w:p>
    <w:p>
      <w:pPr>
        <w:spacing w:after="0" w:before="0" w:line="240" w:lineRule="auto"/>
        <w:ind w:left="57"/>
        <w:jc w:val="left"/>
        <w:shd w:val="clear" w:fill="F2F2F2"/>
      </w:pPr>
      <w:r>
        <w:rPr>
          <w:rFonts w:ascii="Consolas" w:hAnsi="Consolas" w:cs="Consolas"/>
          <w:b w:val="0"/>
          <w:i w:val="0"/>
          <w:sz w:val="15"/>
        </w:rPr>
        <w:t>CREATE TABLE role_journey_completion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role_type TEXT NOT NULL,</w:t>
      </w:r>
    </w:p>
    <w:p>
      <w:pPr>
        <w:spacing w:after="0" w:before="0" w:line="240" w:lineRule="auto"/>
        <w:ind w:left="57"/>
        <w:jc w:val="left"/>
        <w:shd w:val="clear" w:fill="F2F2F2"/>
      </w:pPr>
      <w:r>
        <w:rPr>
          <w:rFonts w:ascii="Consolas" w:hAnsi="Consolas" w:cs="Consolas"/>
          <w:b w:val="0"/>
          <w:i w:val="0"/>
          <w:sz w:val="15"/>
        </w:rPr>
        <w:t>step_key TEXT NOT NULL,</w:t>
      </w:r>
    </w:p>
    <w:p>
      <w:pPr>
        <w:spacing w:after="0" w:before="0" w:line="240" w:lineRule="auto"/>
        <w:ind w:left="57"/>
        <w:jc w:val="left"/>
        <w:shd w:val="clear" w:fill="F2F2F2"/>
      </w:pPr>
      <w:r>
        <w:rPr>
          <w:rFonts w:ascii="Consolas" w:hAnsi="Consolas" w:cs="Consolas"/>
          <w:b w:val="0"/>
          <w:i w:val="0"/>
          <w:sz w:val="15"/>
        </w:rPr>
        <w:t>completed_at TIMESTAMPTZ DEFAULT NOW(),</w:t>
      </w:r>
    </w:p>
    <w:p>
      <w:pPr>
        <w:spacing w:after="0" w:before="0" w:line="240" w:lineRule="auto"/>
        <w:ind w:left="57"/>
        <w:jc w:val="left"/>
        <w:shd w:val="clear" w:fill="F2F2F2"/>
      </w:pPr>
      <w:r>
        <w:rPr>
          <w:rFonts w:ascii="Consolas" w:hAnsi="Consolas" w:cs="Consolas"/>
          <w:b w:val="0"/>
          <w:i w:val="0"/>
          <w:sz w:val="15"/>
        </w:rPr>
        <w:t>UNIQUE(employee_id, role_type, step_key)</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17.4 Service Provider Capabilities</w:t>
      </w:r>
    </w:p>
    <w:p>
      <w:pPr>
        <w:spacing w:after="80" w:line="293" w:lineRule="auto"/>
        <w:jc w:val="left"/>
      </w:pPr>
      <w:r>
        <w:rPr>
          <w:rFonts w:ascii="Times New Roman" w:hAnsi="Times New Roman" w:cs="Times New Roman"/>
          <w:b w:val="0"/>
          <w:i w:val="0"/>
          <w:sz w:val="22"/>
        </w:rPr>
        <w:t>The unified service provider model: capability catalogue, provider port coverage validation, and anonymised historical QC quotes. A single GTID can hold any combination of capabilities; portal tabs render dynamically.</w:t>
      </w:r>
    </w:p>
    <w:p>
      <w:pPr>
        <w:spacing w:after="0" w:before="0" w:line="240" w:lineRule="auto"/>
        <w:ind w:left="57"/>
        <w:jc w:val="left"/>
        <w:shd w:val="clear" w:fill="F2F2F2"/>
      </w:pPr>
      <w:r>
        <w:rPr>
          <w:rFonts w:ascii="Consolas" w:hAnsi="Consolas" w:cs="Consolas"/>
          <w:b w:val="0"/>
          <w:i w:val="0"/>
          <w:sz w:val="15"/>
        </w:rPr>
        <w:t>-- Service capability definitions (single source of provider service catalogue)</w:t>
      </w:r>
    </w:p>
    <w:p>
      <w:pPr>
        <w:spacing w:after="0" w:before="0" w:line="240" w:lineRule="auto"/>
        <w:ind w:left="57"/>
        <w:jc w:val="left"/>
        <w:shd w:val="clear" w:fill="F2F2F2"/>
      </w:pPr>
      <w:r>
        <w:rPr>
          <w:rFonts w:ascii="Consolas" w:hAnsi="Consolas" w:cs="Consolas"/>
          <w:b w:val="0"/>
          <w:i w:val="0"/>
          <w:sz w:val="15"/>
        </w:rPr>
        <w:t>CREATE TABLE service_capability_definitions (</w:t>
      </w:r>
    </w:p>
    <w:p>
      <w:pPr>
        <w:spacing w:after="0" w:before="0" w:line="240" w:lineRule="auto"/>
        <w:ind w:left="57"/>
        <w:jc w:val="left"/>
        <w:shd w:val="clear" w:fill="F2F2F2"/>
      </w:pPr>
      <w:r>
        <w:rPr>
          <w:rFonts w:ascii="Consolas" w:hAnsi="Consolas" w:cs="Consolas"/>
          <w:b w:val="0"/>
          <w:i w:val="0"/>
          <w:sz w:val="15"/>
        </w:rPr>
        <w:t xml:space="preserve">    capability_code TEXT PRIMARY KEY,</w:t>
      </w:r>
    </w:p>
    <w:p>
      <w:pPr>
        <w:spacing w:after="0" w:before="0" w:line="240" w:lineRule="auto"/>
        <w:ind w:left="57"/>
        <w:jc w:val="left"/>
        <w:shd w:val="clear" w:fill="F2F2F2"/>
      </w:pPr>
      <w:r>
        <w:rPr>
          <w:rFonts w:ascii="Consolas" w:hAnsi="Consolas" w:cs="Consolas"/>
          <w:b w:val="0"/>
          <w:i w:val="0"/>
          <w:sz w:val="15"/>
        </w:rPr>
        <w:t xml:space="preserve">    capability_name TEXT NOT NULL,</w:t>
      </w:r>
    </w:p>
    <w:p>
      <w:pPr>
        <w:spacing w:after="0" w:before="0" w:line="240" w:lineRule="auto"/>
        <w:ind w:left="57"/>
        <w:jc w:val="left"/>
        <w:shd w:val="clear" w:fill="F2F2F2"/>
      </w:pPr>
      <w:r>
        <w:rPr>
          <w:rFonts w:ascii="Consolas" w:hAnsi="Consolas" w:cs="Consolas"/>
          <w:b w:val="0"/>
          <w:i w:val="0"/>
          <w:sz w:val="15"/>
        </w:rPr>
        <w:t xml:space="preserve">    capability_group TEXT NOT NULL</w:t>
      </w:r>
    </w:p>
    <w:p>
      <w:pPr>
        <w:spacing w:after="0" w:before="0" w:line="240" w:lineRule="auto"/>
        <w:ind w:left="57"/>
        <w:jc w:val="left"/>
        <w:shd w:val="clear" w:fill="F2F2F2"/>
      </w:pPr>
      <w:r>
        <w:rPr>
          <w:rFonts w:ascii="Consolas" w:hAnsi="Consolas" w:cs="Consolas"/>
          <w:b w:val="0"/>
          <w:i w:val="0"/>
          <w:sz w:val="15"/>
        </w:rPr>
        <w:t xml:space="preserve">        CHECK (capability_group IN ('LOGISTICS', 'BROKERAGE', 'LAB', 'QC', 'FINANCE')),</w:t>
      </w:r>
    </w:p>
    <w:p>
      <w:pPr>
        <w:spacing w:after="0" w:before="0" w:line="240" w:lineRule="auto"/>
        <w:ind w:left="57"/>
        <w:jc w:val="left"/>
        <w:shd w:val="clear" w:fill="F2F2F2"/>
      </w:pPr>
      <w:r>
        <w:rPr>
          <w:rFonts w:ascii="Consolas" w:hAnsi="Consolas" w:cs="Consolas"/>
          <w:b w:val="0"/>
          <w:i w:val="0"/>
          <w:sz w:val="15"/>
        </w:rPr>
        <w:t xml:space="preserve">    requires_accreditation BOOLEAN DEFAULT false,</w:t>
      </w:r>
    </w:p>
    <w:p>
      <w:pPr>
        <w:spacing w:after="0" w:before="0" w:line="240" w:lineRule="auto"/>
        <w:ind w:left="57"/>
        <w:jc w:val="left"/>
        <w:shd w:val="clear" w:fill="F2F2F2"/>
      </w:pPr>
      <w:r>
        <w:rPr>
          <w:rFonts w:ascii="Consolas" w:hAnsi="Consolas" w:cs="Consolas"/>
          <w:b w:val="0"/>
          <w:i w:val="0"/>
          <w:sz w:val="15"/>
        </w:rPr>
        <w:t xml:space="preserve">    requires_insurance BOOLEAN DEFAULT false,</w:t>
      </w:r>
    </w:p>
    <w:p>
      <w:pPr>
        <w:spacing w:after="0" w:before="0" w:line="240" w:lineRule="auto"/>
        <w:ind w:left="57"/>
        <w:jc w:val="left"/>
        <w:shd w:val="clear" w:fill="F2F2F2"/>
      </w:pPr>
      <w:r>
        <w:rPr>
          <w:rFonts w:ascii="Consolas" w:hAnsi="Consolas" w:cs="Consolas"/>
          <w:b w:val="0"/>
          <w:i w:val="0"/>
          <w:sz w:val="15"/>
        </w:rPr>
        <w:t xml:space="preserve">    default_portal_tab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INSERT INTO service_capability_definitions</w:t>
      </w:r>
    </w:p>
    <w:p>
      <w:pPr>
        <w:spacing w:after="0" w:before="0" w:line="240" w:lineRule="auto"/>
        <w:ind w:left="57"/>
        <w:jc w:val="left"/>
        <w:shd w:val="clear" w:fill="F2F2F2"/>
      </w:pPr>
      <w:r>
        <w:rPr>
          <w:rFonts w:ascii="Consolas" w:hAnsi="Consolas" w:cs="Consolas"/>
          <w:b w:val="0"/>
          <w:i w:val="0"/>
          <w:sz w:val="15"/>
        </w:rPr>
        <w:t xml:space="preserve">    (capability_code, capability_name, capability_group, default_portal_tab) VALUES</w:t>
      </w:r>
    </w:p>
    <w:p>
      <w:pPr>
        <w:spacing w:after="0" w:before="0" w:line="240" w:lineRule="auto"/>
        <w:ind w:left="57"/>
        <w:jc w:val="left"/>
        <w:shd w:val="clear" w:fill="F2F2F2"/>
      </w:pPr>
      <w:r>
        <w:rPr>
          <w:rFonts w:ascii="Consolas" w:hAnsi="Consolas" w:cs="Consolas"/>
          <w:b w:val="0"/>
          <w:i w:val="0"/>
          <w:sz w:val="15"/>
        </w:rPr>
        <w:t>('TRUCKING', 'Trucking', 'LOGISTICS', 'dispatch'),</w:t>
      </w:r>
    </w:p>
    <w:p>
      <w:pPr>
        <w:spacing w:after="0" w:before="0" w:line="240" w:lineRule="auto"/>
        <w:ind w:left="57"/>
        <w:jc w:val="left"/>
        <w:shd w:val="clear" w:fill="F2F2F2"/>
      </w:pPr>
      <w:r>
        <w:rPr>
          <w:rFonts w:ascii="Consolas" w:hAnsi="Consolas" w:cs="Consolas"/>
          <w:b w:val="0"/>
          <w:i w:val="0"/>
          <w:sz w:val="15"/>
        </w:rPr>
        <w:t>('FORWARDING', 'Freight Forwarding', 'LOGISTICS', 'forwarder_console'),</w:t>
      </w:r>
    </w:p>
    <w:p>
      <w:pPr>
        <w:spacing w:after="0" w:before="0" w:line="240" w:lineRule="auto"/>
        <w:ind w:left="57"/>
        <w:jc w:val="left"/>
        <w:shd w:val="clear" w:fill="F2F2F2"/>
      </w:pPr>
      <w:r>
        <w:rPr>
          <w:rFonts w:ascii="Consolas" w:hAnsi="Consolas" w:cs="Consolas"/>
          <w:b w:val="0"/>
          <w:i w:val="0"/>
          <w:sz w:val="15"/>
        </w:rPr>
        <w:t>('WAREHOUSING', 'Warehousing', 'LOGISTICS', 'warehouse_dashboard'),</w:t>
      </w:r>
    </w:p>
    <w:p>
      <w:pPr>
        <w:spacing w:after="0" w:before="0" w:line="240" w:lineRule="auto"/>
        <w:ind w:left="57"/>
        <w:jc w:val="left"/>
        <w:shd w:val="clear" w:fill="F2F2F2"/>
      </w:pPr>
      <w:r>
        <w:rPr>
          <w:rFonts w:ascii="Consolas" w:hAnsi="Consolas" w:cs="Consolas"/>
          <w:b w:val="0"/>
          <w:i w:val="0"/>
          <w:sz w:val="15"/>
        </w:rPr>
        <w:t>('OCEAN_FREIGHT', 'Ocean Freight', 'LOGISTICS', 'booking_requests'),</w:t>
      </w:r>
    </w:p>
    <w:p>
      <w:pPr>
        <w:spacing w:after="0" w:before="0" w:line="240" w:lineRule="auto"/>
        <w:ind w:left="57"/>
        <w:jc w:val="left"/>
        <w:shd w:val="clear" w:fill="F2F2F2"/>
      </w:pPr>
      <w:r>
        <w:rPr>
          <w:rFonts w:ascii="Consolas" w:hAnsi="Consolas" w:cs="Consolas"/>
          <w:b w:val="0"/>
          <w:i w:val="0"/>
          <w:sz w:val="15"/>
        </w:rPr>
        <w:t>('AIR_FREIGHT', 'Air Freight', 'LOGISTICS', 'booking_requests'),</w:t>
      </w:r>
    </w:p>
    <w:p>
      <w:pPr>
        <w:spacing w:after="0" w:before="0" w:line="240" w:lineRule="auto"/>
        <w:ind w:left="57"/>
        <w:jc w:val="left"/>
        <w:shd w:val="clear" w:fill="F2F2F2"/>
      </w:pPr>
      <w:r>
        <w:rPr>
          <w:rFonts w:ascii="Consolas" w:hAnsi="Consolas" w:cs="Consolas"/>
          <w:b w:val="0"/>
          <w:i w:val="0"/>
          <w:sz w:val="15"/>
        </w:rPr>
        <w:t>('CUSTOMS_BROKERAGE', 'Customs Brokerage', 'BROKERAGE', 'certification_requests'),</w:t>
      </w:r>
    </w:p>
    <w:p>
      <w:pPr>
        <w:spacing w:after="0" w:before="0" w:line="240" w:lineRule="auto"/>
        <w:ind w:left="57"/>
        <w:jc w:val="left"/>
        <w:shd w:val="clear" w:fill="F2F2F2"/>
      </w:pPr>
      <w:r>
        <w:rPr>
          <w:rFonts w:ascii="Consolas" w:hAnsi="Consolas" w:cs="Consolas"/>
          <w:b w:val="0"/>
          <w:i w:val="0"/>
          <w:sz w:val="15"/>
        </w:rPr>
        <w:t>('PHYSICAL_HANDLING', 'Physical Document Handling', 'BROKERAGE', 'physical_jobs'),</w:t>
      </w:r>
    </w:p>
    <w:p>
      <w:pPr>
        <w:spacing w:after="0" w:before="0" w:line="240" w:lineRule="auto"/>
        <w:ind w:left="57"/>
        <w:jc w:val="left"/>
        <w:shd w:val="clear" w:fill="F2F2F2"/>
      </w:pPr>
      <w:r>
        <w:rPr>
          <w:rFonts w:ascii="Consolas" w:hAnsi="Consolas" w:cs="Consolas"/>
          <w:b w:val="0"/>
          <w:i w:val="0"/>
          <w:sz w:val="15"/>
        </w:rPr>
        <w:t>('STORAGE', 'Document Storage', 'BROKERAGE', 'storage_management'),</w:t>
      </w:r>
    </w:p>
    <w:p>
      <w:pPr>
        <w:spacing w:after="0" w:before="0" w:line="240" w:lineRule="auto"/>
        <w:ind w:left="57"/>
        <w:jc w:val="left"/>
        <w:shd w:val="clear" w:fill="F2F2F2"/>
      </w:pPr>
      <w:r>
        <w:rPr>
          <w:rFonts w:ascii="Consolas" w:hAnsi="Consolas" w:cs="Consolas"/>
          <w:b w:val="0"/>
          <w:i w:val="0"/>
          <w:sz w:val="15"/>
        </w:rPr>
        <w:t>('AUDIT_REPRESENTATION', 'Audit Representation', 'BROKERAGE', 'audit_representation'),</w:t>
      </w:r>
    </w:p>
    <w:p>
      <w:pPr>
        <w:spacing w:after="0" w:before="0" w:line="240" w:lineRule="auto"/>
        <w:ind w:left="57"/>
        <w:jc w:val="left"/>
        <w:shd w:val="clear" w:fill="F2F2F2"/>
      </w:pPr>
      <w:r>
        <w:rPr>
          <w:rFonts w:ascii="Consolas" w:hAnsi="Consolas" w:cs="Consolas"/>
          <w:b w:val="0"/>
          <w:i w:val="0"/>
          <w:sz w:val="15"/>
        </w:rPr>
        <w:t>('LAB_TESTING', 'Laboratory Testing', 'LAB', 'testing_jobs'),</w:t>
      </w:r>
    </w:p>
    <w:p>
      <w:pPr>
        <w:spacing w:after="0" w:before="0" w:line="240" w:lineRule="auto"/>
        <w:ind w:left="57"/>
        <w:jc w:val="left"/>
        <w:shd w:val="clear" w:fill="F2F2F2"/>
      </w:pPr>
      <w:r>
        <w:rPr>
          <w:rFonts w:ascii="Consolas" w:hAnsi="Consolas" w:cs="Consolas"/>
          <w:b w:val="0"/>
          <w:i w:val="0"/>
          <w:sz w:val="15"/>
        </w:rPr>
        <w:t>('QC_INSPECTION', 'QC Inspection', 'QC', 'inspection_jobs');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Provider port coverage (validates service deliverability at a specific location)</w:t>
      </w:r>
    </w:p>
    <w:p>
      <w:pPr>
        <w:spacing w:after="0" w:before="0" w:line="240" w:lineRule="auto"/>
        <w:ind w:left="57"/>
        <w:jc w:val="left"/>
        <w:shd w:val="clear" w:fill="F2F2F2"/>
      </w:pPr>
      <w:r>
        <w:rPr>
          <w:rFonts w:ascii="Consolas" w:hAnsi="Consolas" w:cs="Consolas"/>
          <w:b w:val="0"/>
          <w:i w:val="0"/>
          <w:sz w:val="15"/>
        </w:rPr>
        <w:t>CREATE TABLE provider_port_coverage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provider_gtid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service_capability TEXT NOT NULL REFERENCES service_capability_definitions(capability_code),</w:t>
      </w:r>
    </w:p>
    <w:p>
      <w:pPr>
        <w:spacing w:after="0" w:before="0" w:line="240" w:lineRule="auto"/>
        <w:ind w:left="57"/>
        <w:jc w:val="left"/>
        <w:shd w:val="clear" w:fill="F2F2F2"/>
      </w:pPr>
      <w:r>
        <w:rPr>
          <w:rFonts w:ascii="Consolas" w:hAnsi="Consolas" w:cs="Consolas"/>
          <w:b w:val="0"/>
          <w:i w:val="0"/>
          <w:sz w:val="15"/>
        </w:rPr>
        <w:t xml:space="preserve">    port_unlocode TEXT NOT NULL REFERENCES ports(unlocode),</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last_verified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UNIQUE(provider_gtid, service_capability, port_unlocode)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Anonymised historical QC quotes (price-range grounding for buyers)</w:t>
      </w:r>
    </w:p>
    <w:p>
      <w:pPr>
        <w:spacing w:after="0" w:before="0" w:line="240" w:lineRule="auto"/>
        <w:ind w:left="57"/>
        <w:jc w:val="left"/>
        <w:shd w:val="clear" w:fill="F2F2F2"/>
      </w:pPr>
      <w:r>
        <w:rPr>
          <w:rFonts w:ascii="Consolas" w:hAnsi="Consolas" w:cs="Consolas"/>
          <w:b w:val="0"/>
          <w:i w:val="0"/>
          <w:sz w:val="15"/>
        </w:rPr>
        <w:t>CREATE TABLE qc_historical_quotes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port_unlocode TEXT NOT NULL,</w:t>
      </w:r>
    </w:p>
    <w:p>
      <w:pPr>
        <w:spacing w:after="0" w:before="0" w:line="240" w:lineRule="auto"/>
        <w:ind w:left="57"/>
        <w:jc w:val="left"/>
        <w:shd w:val="clear" w:fill="F2F2F2"/>
      </w:pPr>
      <w:r>
        <w:rPr>
          <w:rFonts w:ascii="Consolas" w:hAnsi="Consolas" w:cs="Consolas"/>
          <w:b w:val="0"/>
          <w:i w:val="0"/>
          <w:sz w:val="15"/>
        </w:rPr>
        <w:t xml:space="preserve">    commodity_category TEXT,</w:t>
      </w:r>
    </w:p>
    <w:p>
      <w:pPr>
        <w:spacing w:after="0" w:before="0" w:line="240" w:lineRule="auto"/>
        <w:ind w:left="57"/>
        <w:jc w:val="left"/>
        <w:shd w:val="clear" w:fill="F2F2F2"/>
      </w:pPr>
      <w:r>
        <w:rPr>
          <w:rFonts w:ascii="Consolas" w:hAnsi="Consolas" w:cs="Consolas"/>
          <w:b w:val="0"/>
          <w:i w:val="0"/>
          <w:sz w:val="15"/>
        </w:rPr>
        <w:t xml:space="preserve">    sampling_plan TEXT,</w:t>
      </w:r>
    </w:p>
    <w:p>
      <w:pPr>
        <w:spacing w:after="0" w:before="0" w:line="240" w:lineRule="auto"/>
        <w:ind w:left="57"/>
        <w:jc w:val="left"/>
        <w:shd w:val="clear" w:fill="F2F2F2"/>
      </w:pPr>
      <w:r>
        <w:rPr>
          <w:rFonts w:ascii="Consolas" w:hAnsi="Consolas" w:cs="Consolas"/>
          <w:b w:val="0"/>
          <w:i w:val="0"/>
          <w:sz w:val="15"/>
        </w:rPr>
        <w:t xml:space="preserve">    quoted_price_usd DECIMAL(10,2),</w:t>
      </w:r>
    </w:p>
    <w:p>
      <w:pPr>
        <w:spacing w:after="0" w:before="0" w:line="240" w:lineRule="auto"/>
        <w:ind w:left="57"/>
        <w:jc w:val="left"/>
        <w:shd w:val="clear" w:fill="F2F2F2"/>
      </w:pPr>
      <w:r>
        <w:rPr>
          <w:rFonts w:ascii="Consolas" w:hAnsi="Consolas" w:cs="Consolas"/>
          <w:b w:val="0"/>
          <w:i w:val="0"/>
          <w:sz w:val="15"/>
        </w:rPr>
        <w:t xml:space="preserve">    anonymised_provider_id TEXT,</w:t>
      </w:r>
    </w:p>
    <w:p>
      <w:pPr>
        <w:spacing w:after="0" w:before="0" w:line="240" w:lineRule="auto"/>
        <w:ind w:left="57"/>
        <w:jc w:val="left"/>
        <w:shd w:val="clear" w:fill="F2F2F2"/>
      </w:pPr>
      <w:r>
        <w:rPr>
          <w:rFonts w:ascii="Consolas" w:hAnsi="Consolas" w:cs="Consolas"/>
          <w:b w:val="0"/>
          <w:i w:val="0"/>
          <w:sz w:val="15"/>
        </w:rPr>
        <w:t xml:space="preserve">    quoted_at TIMESTAMPTZ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17.5 Trust Passport &amp; TRI</w:t>
      </w:r>
    </w:p>
    <w:p>
      <w:pPr>
        <w:spacing w:after="80" w:line="293" w:lineRule="auto"/>
        <w:jc w:val="left"/>
      </w:pPr>
      <w:r>
        <w:rPr>
          <w:rFonts w:ascii="Times New Roman" w:hAnsi="Times New Roman" w:cs="Times New Roman"/>
          <w:b w:val="0"/>
          <w:i w:val="0"/>
          <w:sz w:val="22"/>
        </w:rPr>
        <w:t>Trust Passports implement the privacy model of the Trade Reliability Index (Section 12.3): the raw score is tenant-private and shareable only by consent; the status badge is public. TRI history and TRI disputes are recorded for auditability.</w:t>
      </w:r>
    </w:p>
    <w:p>
      <w:pPr>
        <w:spacing w:after="0" w:before="0" w:line="240" w:lineRule="auto"/>
        <w:ind w:left="57"/>
        <w:jc w:val="left"/>
        <w:shd w:val="clear" w:fill="F2F2F2"/>
      </w:pPr>
      <w:r>
        <w:rPr>
          <w:rFonts w:ascii="Consolas" w:hAnsi="Consolas" w:cs="Consolas"/>
          <w:b w:val="0"/>
          <w:i w:val="0"/>
          <w:sz w:val="15"/>
        </w:rPr>
        <w:t>-- Trust Passports</w:t>
      </w:r>
    </w:p>
    <w:p>
      <w:pPr>
        <w:spacing w:after="0" w:before="0" w:line="240" w:lineRule="auto"/>
        <w:ind w:left="57"/>
        <w:jc w:val="left"/>
        <w:shd w:val="clear" w:fill="F2F2F2"/>
      </w:pPr>
      <w:r>
        <w:rPr>
          <w:rFonts w:ascii="Consolas" w:hAnsi="Consolas" w:cs="Consolas"/>
          <w:b w:val="0"/>
          <w:i w:val="0"/>
          <w:sz w:val="15"/>
        </w:rPr>
        <w:t>CREATE TABLE trust_passports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tenant_gtid TEXT NOT NULL REFERENCES tenants(gtid) ON DELETE CASCADE,</w:t>
      </w:r>
    </w:p>
    <w:p>
      <w:pPr>
        <w:spacing w:after="0" w:before="0" w:line="240" w:lineRule="auto"/>
        <w:ind w:left="57"/>
        <w:jc w:val="left"/>
        <w:shd w:val="clear" w:fill="F2F2F2"/>
      </w:pPr>
      <w:r>
        <w:rPr>
          <w:rFonts w:ascii="Consolas" w:hAnsi="Consolas" w:cs="Consolas"/>
          <w:b w:val="0"/>
          <w:i w:val="0"/>
          <w:sz w:val="15"/>
        </w:rPr>
        <w:t>credential_hash TEXT NOT NULL,</w:t>
      </w:r>
    </w:p>
    <w:p>
      <w:pPr>
        <w:spacing w:after="0" w:before="0" w:line="240" w:lineRule="auto"/>
        <w:ind w:left="57"/>
        <w:jc w:val="left"/>
        <w:shd w:val="clear" w:fill="F2F2F2"/>
      </w:pPr>
      <w:r>
        <w:rPr>
          <w:rFonts w:ascii="Consolas" w:hAnsi="Consolas" w:cs="Consolas"/>
          <w:b w:val="0"/>
          <w:i w:val="0"/>
          <w:sz w:val="15"/>
        </w:rPr>
        <w:t>tri_score INTEGER NOT NULL,</w:t>
      </w:r>
    </w:p>
    <w:p>
      <w:pPr>
        <w:spacing w:after="0" w:before="0" w:line="240" w:lineRule="auto"/>
        <w:ind w:left="57"/>
        <w:jc w:val="left"/>
        <w:shd w:val="clear" w:fill="F2F2F2"/>
      </w:pPr>
      <w:r>
        <w:rPr>
          <w:rFonts w:ascii="Consolas" w:hAnsi="Consolas" w:cs="Consolas"/>
          <w:b w:val="0"/>
          <w:i w:val="0"/>
          <w:sz w:val="15"/>
        </w:rPr>
        <w:t>tri_confidence INTEGER NOT NULL,</w:t>
      </w:r>
    </w:p>
    <w:p>
      <w:pPr>
        <w:spacing w:after="0" w:before="0" w:line="240" w:lineRule="auto"/>
        <w:ind w:left="57"/>
        <w:jc w:val="left"/>
        <w:shd w:val="clear" w:fill="F2F2F2"/>
      </w:pPr>
      <w:r>
        <w:rPr>
          <w:rFonts w:ascii="Consolas" w:hAnsi="Consolas" w:cs="Consolas"/>
          <w:b w:val="0"/>
          <w:i w:val="0"/>
          <w:sz w:val="15"/>
        </w:rPr>
        <w:t>tri_status TEXT NOT NULL,</w:t>
      </w:r>
    </w:p>
    <w:p>
      <w:pPr>
        <w:spacing w:after="0" w:before="0" w:line="240" w:lineRule="auto"/>
        <w:ind w:left="57"/>
        <w:jc w:val="left"/>
        <w:shd w:val="clear" w:fill="F2F2F2"/>
      </w:pPr>
      <w:r>
        <w:rPr>
          <w:rFonts w:ascii="Consolas" w:hAnsi="Consolas" w:cs="Consolas"/>
          <w:b w:val="0"/>
          <w:i w:val="0"/>
          <w:sz w:val="15"/>
        </w:rPr>
        <w:t>component_scores JSONB NOT NULL,</w:t>
      </w:r>
    </w:p>
    <w:p>
      <w:pPr>
        <w:spacing w:after="0" w:before="0" w:line="240" w:lineRule="auto"/>
        <w:ind w:left="57"/>
        <w:jc w:val="left"/>
        <w:shd w:val="clear" w:fill="F2F2F2"/>
      </w:pPr>
      <w:r>
        <w:rPr>
          <w:rFonts w:ascii="Consolas" w:hAnsi="Consolas" w:cs="Consolas"/>
          <w:b w:val="0"/>
          <w:i w:val="0"/>
          <w:sz w:val="15"/>
        </w:rPr>
        <w:t>issued_at TIMESTAMPTZ DEFAULT NOW(),</w:t>
      </w:r>
    </w:p>
    <w:p>
      <w:pPr>
        <w:spacing w:after="0" w:before="0" w:line="240" w:lineRule="auto"/>
        <w:ind w:left="57"/>
        <w:jc w:val="left"/>
        <w:shd w:val="clear" w:fill="F2F2F2"/>
      </w:pPr>
      <w:r>
        <w:rPr>
          <w:rFonts w:ascii="Consolas" w:hAnsi="Consolas" w:cs="Consolas"/>
          <w:b w:val="0"/>
          <w:i w:val="0"/>
          <w:sz w:val="15"/>
        </w:rPr>
        <w:t>expires_at TIMESTAMPTZ NOT NULL,</w:t>
      </w:r>
    </w:p>
    <w:p>
      <w:pPr>
        <w:spacing w:after="0" w:before="0" w:line="240" w:lineRule="auto"/>
        <w:ind w:left="57"/>
        <w:jc w:val="left"/>
        <w:shd w:val="clear" w:fill="F2F2F2"/>
      </w:pPr>
      <w:r>
        <w:rPr>
          <w:rFonts w:ascii="Consolas" w:hAnsi="Consolas" w:cs="Consolas"/>
          <w:b w:val="0"/>
          <w:i w:val="0"/>
          <w:sz w:val="15"/>
        </w:rPr>
        <w:t>loom_hash TEXT,</w:t>
      </w:r>
    </w:p>
    <w:p>
      <w:pPr>
        <w:spacing w:after="0" w:before="0" w:line="240" w:lineRule="auto"/>
        <w:ind w:left="57"/>
        <w:jc w:val="left"/>
        <w:shd w:val="clear" w:fill="F2F2F2"/>
      </w:pPr>
      <w:r>
        <w:rPr>
          <w:rFonts w:ascii="Consolas" w:hAnsi="Consolas" w:cs="Consolas"/>
          <w:b w:val="0"/>
          <w:i w:val="0"/>
          <w:sz w:val="15"/>
        </w:rPr>
        <w:t>created_by UUID REFERENCES employees(id)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trust_passport_shares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passport_id UUID NOT NULL REFERENCES trust_passports(id) ON DELETE CASCADE,</w:t>
      </w:r>
    </w:p>
    <w:p>
      <w:pPr>
        <w:spacing w:after="0" w:before="0" w:line="240" w:lineRule="auto"/>
        <w:ind w:left="57"/>
        <w:jc w:val="left"/>
        <w:shd w:val="clear" w:fill="F2F2F2"/>
      </w:pPr>
      <w:r>
        <w:rPr>
          <w:rFonts w:ascii="Consolas" w:hAnsi="Consolas" w:cs="Consolas"/>
          <w:b w:val="0"/>
          <w:i w:val="0"/>
          <w:sz w:val="15"/>
        </w:rPr>
        <w:t>token UUID NOT NULL UNIQUE DEFAULT gen_random_uuid(),</w:t>
      </w:r>
    </w:p>
    <w:p>
      <w:pPr>
        <w:spacing w:after="0" w:before="0" w:line="240" w:lineRule="auto"/>
        <w:ind w:left="57"/>
        <w:jc w:val="left"/>
        <w:shd w:val="clear" w:fill="F2F2F2"/>
      </w:pPr>
      <w:r>
        <w:rPr>
          <w:rFonts w:ascii="Consolas" w:hAnsi="Consolas" w:cs="Consolas"/>
          <w:b w:val="0"/>
          <w:i w:val="0"/>
          <w:sz w:val="15"/>
        </w:rPr>
        <w:t>shared_with_gtid TEXT,</w:t>
      </w:r>
    </w:p>
    <w:p>
      <w:pPr>
        <w:spacing w:after="0" w:before="0" w:line="240" w:lineRule="auto"/>
        <w:ind w:left="57"/>
        <w:jc w:val="left"/>
        <w:shd w:val="clear" w:fill="F2F2F2"/>
      </w:pPr>
      <w:r>
        <w:rPr>
          <w:rFonts w:ascii="Consolas" w:hAnsi="Consolas" w:cs="Consolas"/>
          <w:b w:val="0"/>
          <w:i w:val="0"/>
          <w:sz w:val="15"/>
        </w:rPr>
        <w:t>dimensions_shared TEXT[], -- ['all', 'settlement', 'financing', etc.]</w:t>
      </w:r>
    </w:p>
    <w:p>
      <w:pPr>
        <w:spacing w:after="0" w:before="0" w:line="240" w:lineRule="auto"/>
        <w:ind w:left="57"/>
        <w:jc w:val="left"/>
        <w:shd w:val="clear" w:fill="F2F2F2"/>
      </w:pPr>
      <w:r>
        <w:rPr>
          <w:rFonts w:ascii="Consolas" w:hAnsi="Consolas" w:cs="Consolas"/>
          <w:b w:val="0"/>
          <w:i w:val="0"/>
          <w:sz w:val="15"/>
        </w:rPr>
        <w:t>expires_at TIMESTAMPTZ NOT NULL DEFAULT NOW() + INTERVAL '7 days',</w:t>
      </w:r>
    </w:p>
    <w:p>
      <w:pPr>
        <w:spacing w:after="0" w:before="0" w:line="240" w:lineRule="auto"/>
        <w:ind w:left="57"/>
        <w:jc w:val="left"/>
        <w:shd w:val="clear" w:fill="F2F2F2"/>
      </w:pPr>
      <w:r>
        <w:rPr>
          <w:rFonts w:ascii="Consolas" w:hAnsi="Consolas" w:cs="Consolas"/>
          <w:b w:val="0"/>
          <w:i w:val="0"/>
          <w:sz w:val="15"/>
        </w:rPr>
        <w:t>revoked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CREATE TABLE trust_passport_revocations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share_id UUID NOT NULL REFERENCES trust_passport_shares(id) ON DELETE CASCADE,</w:t>
      </w:r>
    </w:p>
    <w:p>
      <w:pPr>
        <w:spacing w:after="0" w:before="0" w:line="240" w:lineRule="auto"/>
        <w:ind w:left="57"/>
        <w:jc w:val="left"/>
        <w:shd w:val="clear" w:fill="F2F2F2"/>
      </w:pPr>
      <w:r>
        <w:rPr>
          <w:rFonts w:ascii="Consolas" w:hAnsi="Consolas" w:cs="Consolas"/>
          <w:b w:val="0"/>
          <w:i w:val="0"/>
          <w:sz w:val="15"/>
        </w:rPr>
        <w:t>revoked_by UUID REFERENCES employees(id),</w:t>
      </w:r>
    </w:p>
    <w:p>
      <w:pPr>
        <w:spacing w:after="0" w:before="0" w:line="240" w:lineRule="auto"/>
        <w:ind w:left="57"/>
        <w:jc w:val="left"/>
        <w:shd w:val="clear" w:fill="F2F2F2"/>
      </w:pPr>
      <w:r>
        <w:rPr>
          <w:rFonts w:ascii="Consolas" w:hAnsi="Consolas" w:cs="Consolas"/>
          <w:b w:val="0"/>
          <w:i w:val="0"/>
          <w:sz w:val="15"/>
        </w:rPr>
        <w:t>reason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TRI history</w:t>
      </w:r>
    </w:p>
    <w:p>
      <w:pPr>
        <w:spacing w:after="0" w:before="0" w:line="240" w:lineRule="auto"/>
        <w:ind w:left="57"/>
        <w:jc w:val="left"/>
        <w:shd w:val="clear" w:fill="F2F2F2"/>
      </w:pPr>
      <w:r>
        <w:rPr>
          <w:rFonts w:ascii="Consolas" w:hAnsi="Consolas" w:cs="Consolas"/>
          <w:b w:val="0"/>
          <w:i w:val="0"/>
          <w:sz w:val="15"/>
        </w:rPr>
        <w:t>CREATE TABLE tri_history (</w:t>
      </w:r>
    </w:p>
    <w:p>
      <w:pPr>
        <w:spacing w:after="0" w:before="0" w:line="240" w:lineRule="auto"/>
        <w:ind w:left="57"/>
        <w:jc w:val="left"/>
        <w:shd w:val="clear" w:fill="F2F2F2"/>
      </w:pPr>
      <w:r>
        <w:rPr>
          <w:rFonts w:ascii="Consolas" w:hAnsi="Consolas" w:cs="Consolas"/>
          <w:b w:val="0"/>
          <w:i w:val="0"/>
          <w:sz w:val="15"/>
        </w:rPr>
        <w:t>id BIGSERIAL PRIMARY KEY,</w:t>
      </w:r>
    </w:p>
    <w:p>
      <w:pPr>
        <w:spacing w:after="0" w:before="0" w:line="240" w:lineRule="auto"/>
        <w:ind w:left="57"/>
        <w:jc w:val="left"/>
        <w:shd w:val="clear" w:fill="F2F2F2"/>
      </w:pPr>
      <w:r>
        <w:rPr>
          <w:rFonts w:ascii="Consolas" w:hAnsi="Consolas" w:cs="Consolas"/>
          <w:b w:val="0"/>
          <w:i w:val="0"/>
          <w:sz w:val="15"/>
        </w:rPr>
        <w:t>tenant_gtid TEXT NOT NULL REFERENCES tenants(gtid) ON DELETE CASCADE,</w:t>
      </w:r>
    </w:p>
    <w:p>
      <w:pPr>
        <w:spacing w:after="0" w:before="0" w:line="240" w:lineRule="auto"/>
        <w:ind w:left="57"/>
        <w:jc w:val="left"/>
        <w:shd w:val="clear" w:fill="F2F2F2"/>
      </w:pPr>
      <w:r>
        <w:rPr>
          <w:rFonts w:ascii="Consolas" w:hAnsi="Consolas" w:cs="Consolas"/>
          <w:b w:val="0"/>
          <w:i w:val="0"/>
          <w:sz w:val="15"/>
        </w:rPr>
        <w:t>tri_score INTEGER NOT NULL,</w:t>
      </w:r>
    </w:p>
    <w:p>
      <w:pPr>
        <w:spacing w:after="0" w:before="0" w:line="240" w:lineRule="auto"/>
        <w:ind w:left="57"/>
        <w:jc w:val="left"/>
        <w:shd w:val="clear" w:fill="F2F2F2"/>
      </w:pPr>
      <w:r>
        <w:rPr>
          <w:rFonts w:ascii="Consolas" w:hAnsi="Consolas" w:cs="Consolas"/>
          <w:b w:val="0"/>
          <w:i w:val="0"/>
          <w:sz w:val="15"/>
        </w:rPr>
        <w:t>confidence DECIMAL(5,2) NOT NULL,</w:t>
      </w:r>
    </w:p>
    <w:p>
      <w:pPr>
        <w:spacing w:after="0" w:before="0" w:line="240" w:lineRule="auto"/>
        <w:ind w:left="57"/>
        <w:jc w:val="left"/>
        <w:shd w:val="clear" w:fill="F2F2F2"/>
      </w:pPr>
      <w:r>
        <w:rPr>
          <w:rFonts w:ascii="Consolas" w:hAnsi="Consolas" w:cs="Consolas"/>
          <w:b w:val="0"/>
          <w:i w:val="0"/>
          <w:sz w:val="15"/>
        </w:rPr>
        <w:t>component_scores JSONB NOT NULL, -- {settlement, compliance, docs, financing, dispute}</w:t>
      </w:r>
    </w:p>
    <w:p>
      <w:pPr>
        <w:spacing w:after="0" w:before="0" w:line="240" w:lineRule="auto"/>
        <w:ind w:left="57"/>
        <w:jc w:val="left"/>
        <w:shd w:val="clear" w:fill="F2F2F2"/>
      </w:pPr>
      <w:r>
        <w:rPr>
          <w:rFonts w:ascii="Consolas" w:hAnsi="Consolas" w:cs="Consolas"/>
          <w:b w:val="0"/>
          <w:i w:val="0"/>
          <w:sz w:val="15"/>
        </w:rPr>
        <w:t>calculated_at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idx_tri_history_tenant_date ON tri_history(tenant_gtid, calculated_at DESC);</w:t>
      </w:r>
    </w:p>
    <w:p>
      <w:pPr>
        <w:spacing w:after="0" w:before="0" w:line="240" w:lineRule="auto"/>
        <w:ind w:left="57"/>
        <w:jc w:val="left"/>
        <w:shd w:val="clear" w:fill="F2F2F2"/>
      </w:pPr>
      <w:r>
        <w:rPr>
          <w:rFonts w:ascii="Consolas" w:hAnsi="Consolas" w:cs="Consolas"/>
          <w:b w:val="0"/>
          <w:i w:val="0"/>
          <w:sz w:val="15"/>
        </w:rPr>
        <w:t>-- TRI disputes</w:t>
      </w:r>
    </w:p>
    <w:p>
      <w:pPr>
        <w:spacing w:after="0" w:before="0" w:line="240" w:lineRule="auto"/>
        <w:ind w:left="57"/>
        <w:jc w:val="left"/>
        <w:shd w:val="clear" w:fill="F2F2F2"/>
      </w:pPr>
      <w:r>
        <w:rPr>
          <w:rFonts w:ascii="Consolas" w:hAnsi="Consolas" w:cs="Consolas"/>
          <w:b w:val="0"/>
          <w:i w:val="0"/>
          <w:sz w:val="15"/>
        </w:rPr>
        <w:t>CREATE TABLE tri_disputes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tenant_gtid TEXT NOT NULL REFERENCES tenants(gtid) ON DELETE CASCADE,</w:t>
      </w:r>
    </w:p>
    <w:p>
      <w:pPr>
        <w:spacing w:after="0" w:before="0" w:line="240" w:lineRule="auto"/>
        <w:ind w:left="57"/>
        <w:jc w:val="left"/>
        <w:shd w:val="clear" w:fill="F2F2F2"/>
      </w:pPr>
      <w:r>
        <w:rPr>
          <w:rFonts w:ascii="Consolas" w:hAnsi="Consolas" w:cs="Consolas"/>
          <w:b w:val="0"/>
          <w:i w:val="0"/>
          <w:sz w:val="15"/>
        </w:rPr>
        <w:t>dispute_reason TEXT NOT NULL,</w:t>
      </w:r>
    </w:p>
    <w:p>
      <w:pPr>
        <w:spacing w:after="0" w:before="0" w:line="240" w:lineRule="auto"/>
        <w:ind w:left="57"/>
        <w:jc w:val="left"/>
        <w:shd w:val="clear" w:fill="F2F2F2"/>
      </w:pPr>
      <w:r>
        <w:rPr>
          <w:rFonts w:ascii="Consolas" w:hAnsi="Consolas" w:cs="Consolas"/>
          <w:b w:val="0"/>
          <w:i w:val="0"/>
          <w:sz w:val="15"/>
        </w:rPr>
        <w:t>supporting_evidence JSONB,</w:t>
      </w:r>
    </w:p>
    <w:p>
      <w:pPr>
        <w:spacing w:after="0" w:before="0" w:line="240" w:lineRule="auto"/>
        <w:ind w:left="57"/>
        <w:jc w:val="left"/>
        <w:shd w:val="clear" w:fill="F2F2F2"/>
      </w:pPr>
      <w:r>
        <w:rPr>
          <w:rFonts w:ascii="Consolas" w:hAnsi="Consolas" w:cs="Consolas"/>
          <w:b w:val="0"/>
          <w:i w:val="0"/>
          <w:sz w:val="15"/>
        </w:rPr>
        <w:t>status TEXT DEFAULT 'PENDING', -- 'PENDING', 'UNDER_REVIEW', 'RESOLVED', 'REJECTED'</w:t>
      </w:r>
    </w:p>
    <w:p>
      <w:pPr>
        <w:spacing w:after="0" w:before="0" w:line="240" w:lineRule="auto"/>
        <w:ind w:left="57"/>
        <w:jc w:val="left"/>
        <w:shd w:val="clear" w:fill="F2F2F2"/>
      </w:pPr>
      <w:r>
        <w:rPr>
          <w:rFonts w:ascii="Consolas" w:hAnsi="Consolas" w:cs="Consolas"/>
          <w:b w:val="0"/>
          <w:i w:val="0"/>
          <w:sz w:val="15"/>
        </w:rPr>
        <w:t>tri_before INTEGER,</w:t>
      </w:r>
    </w:p>
    <w:p>
      <w:pPr>
        <w:spacing w:after="0" w:before="0" w:line="240" w:lineRule="auto"/>
        <w:ind w:left="57"/>
        <w:jc w:val="left"/>
        <w:shd w:val="clear" w:fill="F2F2F2"/>
      </w:pPr>
      <w:r>
        <w:rPr>
          <w:rFonts w:ascii="Consolas" w:hAnsi="Consolas" w:cs="Consolas"/>
          <w:b w:val="0"/>
          <w:i w:val="0"/>
          <w:sz w:val="15"/>
        </w:rPr>
        <w:t>tri_after INTEGER,</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resolved_at TIMESTAMPTZ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17.6 Trade Core &amp; Requests</w:t>
      </w:r>
    </w:p>
    <w:p>
      <w:pPr>
        <w:spacing w:after="80" w:line="293" w:lineRule="auto"/>
        <w:jc w:val="left"/>
      </w:pPr>
      <w:r>
        <w:rPr>
          <w:rFonts w:ascii="Times New Roman" w:hAnsi="Times New Roman" w:cs="Times New Roman"/>
          <w:b w:val="0"/>
          <w:i w:val="0"/>
          <w:sz w:val="22"/>
        </w:rPr>
        <w:t>The buyer-submitted trade request is the root object of the execution graph. The canonical table carries the data-sovereign buyer financing flag; seller financing is declared on seller_quotes only. Draft history and marketplace lead attribution support recovery and partner revenue sharing.</w:t>
      </w:r>
    </w:p>
    <w:p>
      <w:pPr>
        <w:spacing w:after="0" w:before="0" w:line="240" w:lineRule="auto"/>
        <w:ind w:left="57"/>
        <w:jc w:val="left"/>
        <w:shd w:val="clear" w:fill="F2F2F2"/>
      </w:pPr>
      <w:r>
        <w:rPr>
          <w:rFonts w:ascii="Consolas" w:hAnsi="Consolas" w:cs="Consolas"/>
          <w:b w:val="0"/>
          <w:i w:val="0"/>
          <w:sz w:val="15"/>
        </w:rPr>
        <w:t>-- Trade requests (buyer-submitted; financing flags are data-sovereign per party)</w:t>
      </w:r>
    </w:p>
    <w:p>
      <w:pPr>
        <w:spacing w:after="0" w:before="0" w:line="240" w:lineRule="auto"/>
        <w:ind w:left="57"/>
        <w:jc w:val="left"/>
        <w:shd w:val="clear" w:fill="F2F2F2"/>
      </w:pPr>
      <w:r>
        <w:rPr>
          <w:rFonts w:ascii="Consolas" w:hAnsi="Consolas" w:cs="Consolas"/>
          <w:b w:val="0"/>
          <w:i w:val="0"/>
          <w:sz w:val="15"/>
        </w:rPr>
        <w:t>CREATE TABLE trade_requests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buyer_tenant_id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 xml:space="preserve">    seller_tenant_id UUID REFERENCES tenants(id),</w:t>
      </w:r>
    </w:p>
    <w:p>
      <w:pPr>
        <w:spacing w:after="0" w:before="0" w:line="240" w:lineRule="auto"/>
        <w:ind w:left="57"/>
        <w:jc w:val="left"/>
        <w:shd w:val="clear" w:fill="F2F2F2"/>
      </w:pPr>
      <w:r>
        <w:rPr>
          <w:rFonts w:ascii="Consolas" w:hAnsi="Consolas" w:cs="Consolas"/>
          <w:b w:val="0"/>
          <w:i w:val="0"/>
          <w:sz w:val="15"/>
        </w:rPr>
        <w:t xml:space="preserve">    incoterm TEXT NOT NULL,</w:t>
      </w:r>
    </w:p>
    <w:p>
      <w:pPr>
        <w:spacing w:after="0" w:before="0" w:line="240" w:lineRule="auto"/>
        <w:ind w:left="57"/>
        <w:jc w:val="left"/>
        <w:shd w:val="clear" w:fill="F2F2F2"/>
      </w:pPr>
      <w:r>
        <w:rPr>
          <w:rFonts w:ascii="Consolas" w:hAnsi="Consolas" w:cs="Consolas"/>
          <w:b w:val="0"/>
          <w:i w:val="0"/>
          <w:sz w:val="15"/>
        </w:rPr>
        <w:t xml:space="preserve">    parsed_specs JSONB NOT NULL,  -- containers, commodities, packing, treatments, multi_shipment_schedule</w:t>
      </w:r>
    </w:p>
    <w:p>
      <w:pPr>
        <w:spacing w:after="0" w:before="0" w:line="240" w:lineRule="auto"/>
        <w:ind w:left="57"/>
        <w:jc w:val="left"/>
        <w:shd w:val="clear" w:fill="F2F2F2"/>
      </w:pPr>
      <w:r>
        <w:rPr>
          <w:rFonts w:ascii="Consolas" w:hAnsi="Consolas" w:cs="Consolas"/>
          <w:b w:val="0"/>
          <w:i w:val="0"/>
          <w:sz w:val="15"/>
        </w:rPr>
        <w:t xml:space="preserve">    multi_shipment_schedule JSONB,</w:t>
      </w:r>
    </w:p>
    <w:p>
      <w:pPr>
        <w:spacing w:after="0" w:before="0" w:line="240" w:lineRule="auto"/>
        <w:ind w:left="57"/>
        <w:jc w:val="left"/>
        <w:shd w:val="clear" w:fill="F2F2F2"/>
      </w:pPr>
      <w:r>
        <w:rPr>
          <w:rFonts w:ascii="Consolas" w:hAnsi="Consolas" w:cs="Consolas"/>
          <w:b w:val="0"/>
          <w:i w:val="0"/>
          <w:sz w:val="15"/>
        </w:rPr>
        <w:t xml:space="preserve">    status TEXT DEFAULT 'INITIATED',</w:t>
      </w:r>
    </w:p>
    <w:p>
      <w:pPr>
        <w:spacing w:after="0" w:before="0" w:line="240" w:lineRule="auto"/>
        <w:ind w:left="57"/>
        <w:jc w:val="left"/>
        <w:shd w:val="clear" w:fill="F2F2F2"/>
      </w:pPr>
      <w:r>
        <w:rPr>
          <w:rFonts w:ascii="Consolas" w:hAnsi="Consolas" w:cs="Consolas"/>
          <w:b w:val="0"/>
          <w:i w:val="0"/>
          <w:sz w:val="15"/>
        </w:rPr>
        <w:t xml:space="preserve">    is_draft BOOLEAN DEFAULT false,</w:t>
      </w:r>
    </w:p>
    <w:p>
      <w:pPr>
        <w:spacing w:after="0" w:before="0" w:line="240" w:lineRule="auto"/>
        <w:ind w:left="57"/>
        <w:jc w:val="left"/>
        <w:shd w:val="clear" w:fill="F2F2F2"/>
      </w:pPr>
      <w:r>
        <w:rPr>
          <w:rFonts w:ascii="Consolas" w:hAnsi="Consolas" w:cs="Consolas"/>
          <w:b w:val="0"/>
          <w:i w:val="0"/>
          <w:sz w:val="15"/>
        </w:rPr>
        <w:t xml:space="preserve">    buyer_financing_required BOOLEAN DEFAULT false,  -- data-sovereign buyer financing flag (Section 5)</w:t>
      </w:r>
    </w:p>
    <w:p>
      <w:pPr>
        <w:spacing w:after="0" w:before="0" w:line="240" w:lineRule="auto"/>
        <w:ind w:left="57"/>
        <w:jc w:val="left"/>
        <w:shd w:val="clear" w:fill="F2F2F2"/>
      </w:pPr>
      <w:r>
        <w:rPr>
          <w:rFonts w:ascii="Consolas" w:hAnsi="Consolas" w:cs="Consolas"/>
          <w:b w:val="0"/>
          <w:i w:val="0"/>
          <w:sz w:val="15"/>
        </w:rPr>
        <w:t xml:space="preserve">    marketplace_auto_attributed BOOLEAN DEFAULT false,</w:t>
      </w:r>
    </w:p>
    <w:p>
      <w:pPr>
        <w:spacing w:after="0" w:before="0" w:line="240" w:lineRule="auto"/>
        <w:ind w:left="57"/>
        <w:jc w:val="left"/>
        <w:shd w:val="clear" w:fill="F2F2F2"/>
      </w:pPr>
      <w:r>
        <w:rPr>
          <w:rFonts w:ascii="Consolas" w:hAnsi="Consolas" w:cs="Consolas"/>
          <w:b w:val="0"/>
          <w:i w:val="0"/>
          <w:sz w:val="15"/>
        </w:rPr>
        <w:t xml:space="preserve">    marketplace_partner_id UUID REFERENCES marketplace_partners(id) ON DELETE SET NULL,</w:t>
      </w:r>
    </w:p>
    <w:p>
      <w:pPr>
        <w:spacing w:after="0" w:before="0" w:line="240" w:lineRule="auto"/>
        <w:ind w:left="57"/>
        <w:jc w:val="left"/>
        <w:shd w:val="clear" w:fill="F2F2F2"/>
      </w:pPr>
      <w:r>
        <w:rPr>
          <w:rFonts w:ascii="Consolas" w:hAnsi="Consolas" w:cs="Consolas"/>
          <w:b w:val="0"/>
          <w:i w:val="0"/>
          <w:sz w:val="15"/>
        </w:rPr>
        <w:t xml:space="preserve">    created_by UUID NOT NULL REFERENCES employees(id)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Draft history</w:t>
      </w:r>
    </w:p>
    <w:p>
      <w:pPr>
        <w:spacing w:after="0" w:before="0" w:line="240" w:lineRule="auto"/>
        <w:ind w:left="57"/>
        <w:jc w:val="left"/>
        <w:shd w:val="clear" w:fill="F2F2F2"/>
      </w:pPr>
      <w:r>
        <w:rPr>
          <w:rFonts w:ascii="Consolas" w:hAnsi="Consolas" w:cs="Consolas"/>
          <w:b w:val="0"/>
          <w:i w:val="0"/>
          <w:sz w:val="15"/>
        </w:rPr>
        <w:t>CREATE TABLE draft_history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REFERENCES trade_requests(id) ON DELETE CASCADE,</w:t>
      </w:r>
    </w:p>
    <w:p>
      <w:pPr>
        <w:spacing w:after="0" w:before="0" w:line="240" w:lineRule="auto"/>
        <w:ind w:left="57"/>
        <w:jc w:val="left"/>
        <w:shd w:val="clear" w:fill="F2F2F2"/>
      </w:pPr>
      <w:r>
        <w:rPr>
          <w:rFonts w:ascii="Consolas" w:hAnsi="Consolas" w:cs="Consolas"/>
          <w:b w:val="0"/>
          <w:i w:val="0"/>
          <w:sz w:val="15"/>
        </w:rPr>
        <w:t>draft_snapshot JSONB NOT NULL,</w:t>
      </w:r>
    </w:p>
    <w:p>
      <w:pPr>
        <w:spacing w:after="0" w:before="0" w:line="240" w:lineRule="auto"/>
        <w:ind w:left="57"/>
        <w:jc w:val="left"/>
        <w:shd w:val="clear" w:fill="F2F2F2"/>
      </w:pPr>
      <w:r>
        <w:rPr>
          <w:rFonts w:ascii="Consolas" w:hAnsi="Consolas" w:cs="Consolas"/>
          <w:b w:val="0"/>
          <w:i w:val="0"/>
          <w:sz w:val="15"/>
        </w:rPr>
        <w:t>edited_by UUID REFERENCES employees(id) ON DELETE SET NULL,</w:t>
      </w:r>
    </w:p>
    <w:p>
      <w:pPr>
        <w:spacing w:after="0" w:before="0" w:line="240" w:lineRule="auto"/>
        <w:ind w:left="57"/>
        <w:jc w:val="left"/>
        <w:shd w:val="clear" w:fill="F2F2F2"/>
      </w:pPr>
      <w:r>
        <w:rPr>
          <w:rFonts w:ascii="Consolas" w:hAnsi="Consolas" w:cs="Consolas"/>
          <w:b w:val="0"/>
          <w:i w:val="0"/>
          <w:sz w:val="15"/>
        </w:rPr>
        <w:t>edited_at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Marketplace attribution</w:t>
      </w:r>
    </w:p>
    <w:p>
      <w:pPr>
        <w:spacing w:after="0" w:before="0" w:line="240" w:lineRule="auto"/>
        <w:ind w:left="57"/>
        <w:jc w:val="left"/>
        <w:shd w:val="clear" w:fill="F2F2F2"/>
      </w:pPr>
      <w:r>
        <w:rPr>
          <w:rFonts w:ascii="Consolas" w:hAnsi="Consolas" w:cs="Consolas"/>
          <w:b w:val="0"/>
          <w:i w:val="0"/>
          <w:sz w:val="15"/>
        </w:rPr>
        <w:t>CREATE TABLE partner_lead_attributions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REFERENCES trade_requests(id) ON DELETE CASCADE,</w:t>
      </w:r>
    </w:p>
    <w:p>
      <w:pPr>
        <w:spacing w:after="0" w:before="0" w:line="240" w:lineRule="auto"/>
        <w:ind w:left="57"/>
        <w:jc w:val="left"/>
        <w:shd w:val="clear" w:fill="F2F2F2"/>
      </w:pPr>
      <w:r>
        <w:rPr>
          <w:rFonts w:ascii="Consolas" w:hAnsi="Consolas" w:cs="Consolas"/>
          <w:b w:val="0"/>
          <w:i w:val="0"/>
          <w:sz w:val="15"/>
        </w:rPr>
        <w:t>marketplace_partner_id UUID REFERENCES marketplace_partners(id) ON DELETE SET NULL,</w:t>
      </w:r>
    </w:p>
    <w:p>
      <w:pPr>
        <w:spacing w:after="0" w:before="0" w:line="240" w:lineRule="auto"/>
        <w:ind w:left="57"/>
        <w:jc w:val="left"/>
        <w:shd w:val="clear" w:fill="F2F2F2"/>
      </w:pPr>
      <w:r>
        <w:rPr>
          <w:rFonts w:ascii="Consolas" w:hAnsi="Consolas" w:cs="Consolas"/>
          <w:b w:val="0"/>
          <w:i w:val="0"/>
          <w:sz w:val="15"/>
        </w:rPr>
        <w:t>attribution_type TEXT NOT NULL, -- 'first_touch', 'last_touch', 'direct'</w:t>
      </w:r>
    </w:p>
    <w:p>
      <w:pPr>
        <w:spacing w:after="0" w:before="0" w:line="240" w:lineRule="auto"/>
        <w:ind w:left="57"/>
        <w:jc w:val="left"/>
        <w:shd w:val="clear" w:fill="F2F2F2"/>
      </w:pPr>
      <w:r>
        <w:rPr>
          <w:rFonts w:ascii="Consolas" w:hAnsi="Consolas" w:cs="Consolas"/>
          <w:b w:val="0"/>
          <w:i w:val="0"/>
          <w:sz w:val="15"/>
        </w:rPr>
        <w:t>revenue_share_pct DECIMAL(5,4),</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17.7 Lab &amp; QC Requirements</w:t>
      </w:r>
    </w:p>
    <w:p>
      <w:pPr>
        <w:spacing w:after="80" w:line="293" w:lineRule="auto"/>
        <w:jc w:val="left"/>
      </w:pPr>
      <w:r>
        <w:rPr>
          <w:rFonts w:ascii="Times New Roman" w:hAnsi="Times New Roman" w:cs="Times New Roman"/>
          <w:b w:val="0"/>
          <w:i w:val="0"/>
          <w:sz w:val="22"/>
        </w:rPr>
        <w:t>Explicit, priced, RIA-driven requirements captured at request time. Mandatory tests are locked by gate G1U4; QC requests carry the geographic validation inputs used by gates G1U5/G1U6.</w:t>
      </w:r>
    </w:p>
    <w:p>
      <w:pPr>
        <w:spacing w:after="0" w:before="0" w:line="240" w:lineRule="auto"/>
        <w:ind w:left="57"/>
        <w:jc w:val="left"/>
        <w:shd w:val="clear" w:fill="F2F2F2"/>
      </w:pPr>
      <w:r>
        <w:rPr>
          <w:rFonts w:ascii="Consolas" w:hAnsi="Consolas" w:cs="Consolas"/>
          <w:b w:val="0"/>
          <w:i w:val="0"/>
          <w:sz w:val="15"/>
        </w:rPr>
        <w:t>-- Lab test requirements captured at trade request time (explicit, priced, RIA-driven)</w:t>
      </w:r>
    </w:p>
    <w:p>
      <w:pPr>
        <w:spacing w:after="0" w:before="0" w:line="240" w:lineRule="auto"/>
        <w:ind w:left="57"/>
        <w:jc w:val="left"/>
        <w:shd w:val="clear" w:fill="F2F2F2"/>
      </w:pPr>
      <w:r>
        <w:rPr>
          <w:rFonts w:ascii="Consolas" w:hAnsi="Consolas" w:cs="Consolas"/>
          <w:b w:val="0"/>
          <w:i w:val="0"/>
          <w:sz w:val="15"/>
        </w:rPr>
        <w:t>CREATE TABLE trade_lab_requirements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test_name TEXT NOT NULL,</w:t>
      </w:r>
    </w:p>
    <w:p>
      <w:pPr>
        <w:spacing w:after="0" w:before="0" w:line="240" w:lineRule="auto"/>
        <w:ind w:left="57"/>
        <w:jc w:val="left"/>
        <w:shd w:val="clear" w:fill="F2F2F2"/>
      </w:pPr>
      <w:r>
        <w:rPr>
          <w:rFonts w:ascii="Consolas" w:hAnsi="Consolas" w:cs="Consolas"/>
          <w:b w:val="0"/>
          <w:i w:val="0"/>
          <w:sz w:val="15"/>
        </w:rPr>
        <w:t xml:space="preserve">    test_category TEXT NOT NULL</w:t>
      </w:r>
    </w:p>
    <w:p>
      <w:pPr>
        <w:spacing w:after="0" w:before="0" w:line="240" w:lineRule="auto"/>
        <w:ind w:left="57"/>
        <w:jc w:val="left"/>
        <w:shd w:val="clear" w:fill="F2F2F2"/>
      </w:pPr>
      <w:r>
        <w:rPr>
          <w:rFonts w:ascii="Consolas" w:hAnsi="Consolas" w:cs="Consolas"/>
          <w:b w:val="0"/>
          <w:i w:val="0"/>
          <w:sz w:val="15"/>
        </w:rPr>
        <w:t xml:space="preserve">        CHECK (test_category IN ('MANDATORY', 'RECOMMENDED', 'OPTIONAL')),</w:t>
      </w:r>
    </w:p>
    <w:p>
      <w:pPr>
        <w:spacing w:after="0" w:before="0" w:line="240" w:lineRule="auto"/>
        <w:ind w:left="57"/>
        <w:jc w:val="left"/>
        <w:shd w:val="clear" w:fill="F2F2F2"/>
      </w:pPr>
      <w:r>
        <w:rPr>
          <w:rFonts w:ascii="Consolas" w:hAnsi="Consolas" w:cs="Consolas"/>
          <w:b w:val="0"/>
          <w:i w:val="0"/>
          <w:sz w:val="15"/>
        </w:rPr>
        <w:t xml:space="preserve">    hs_code CHAR(6),</w:t>
      </w:r>
    </w:p>
    <w:p>
      <w:pPr>
        <w:spacing w:after="0" w:before="0" w:line="240" w:lineRule="auto"/>
        <w:ind w:left="57"/>
        <w:jc w:val="left"/>
        <w:shd w:val="clear" w:fill="F2F2F2"/>
      </w:pPr>
      <w:r>
        <w:rPr>
          <w:rFonts w:ascii="Consolas" w:hAnsi="Consolas" w:cs="Consolas"/>
          <w:b w:val="0"/>
          <w:i w:val="0"/>
          <w:sz w:val="15"/>
        </w:rPr>
        <w:t xml:space="preserve">    destination_country CHAR(2),</w:t>
      </w:r>
    </w:p>
    <w:p>
      <w:pPr>
        <w:spacing w:after="0" w:before="0" w:line="240" w:lineRule="auto"/>
        <w:ind w:left="57"/>
        <w:jc w:val="left"/>
        <w:shd w:val="clear" w:fill="F2F2F2"/>
      </w:pPr>
      <w:r>
        <w:rPr>
          <w:rFonts w:ascii="Consolas" w:hAnsi="Consolas" w:cs="Consolas"/>
          <w:b w:val="0"/>
          <w:i w:val="0"/>
          <w:sz w:val="15"/>
        </w:rPr>
        <w:t xml:space="preserve">    price_estimate_usd DECIMAL(10,2),</w:t>
      </w:r>
    </w:p>
    <w:p>
      <w:pPr>
        <w:spacing w:after="0" w:before="0" w:line="240" w:lineRule="auto"/>
        <w:ind w:left="57"/>
        <w:jc w:val="left"/>
        <w:shd w:val="clear" w:fill="F2F2F2"/>
      </w:pPr>
      <w:r>
        <w:rPr>
          <w:rFonts w:ascii="Consolas" w:hAnsi="Consolas" w:cs="Consolas"/>
          <w:b w:val="0"/>
          <w:i w:val="0"/>
          <w:sz w:val="15"/>
        </w:rPr>
        <w:t xml:space="preserve">    price_estimate_currency TEXT DEFAULT 'USD',</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is_buyer_added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QC requirements with geographic validation inputs</w:t>
      </w:r>
    </w:p>
    <w:p>
      <w:pPr>
        <w:spacing w:after="0" w:before="0" w:line="240" w:lineRule="auto"/>
        <w:ind w:left="57"/>
        <w:jc w:val="left"/>
        <w:shd w:val="clear" w:fill="F2F2F2"/>
      </w:pPr>
      <w:r>
        <w:rPr>
          <w:rFonts w:ascii="Consolas" w:hAnsi="Consolas" w:cs="Consolas"/>
          <w:b w:val="0"/>
          <w:i w:val="0"/>
          <w:sz w:val="15"/>
        </w:rPr>
        <w:t>CREATE TABLE trade_qc_requirements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required BOOLEAN DEFAULT false,</w:t>
      </w:r>
    </w:p>
    <w:p>
      <w:pPr>
        <w:spacing w:after="0" w:before="0" w:line="240" w:lineRule="auto"/>
        <w:ind w:left="57"/>
        <w:jc w:val="left"/>
        <w:shd w:val="clear" w:fill="F2F2F2"/>
      </w:pPr>
      <w:r>
        <w:rPr>
          <w:rFonts w:ascii="Consolas" w:hAnsi="Consolas" w:cs="Consolas"/>
          <w:b w:val="0"/>
          <w:i w:val="0"/>
          <w:sz w:val="15"/>
        </w:rPr>
        <w:t xml:space="preserve">    location_type TEXT CHECK (location_type IN ('ORIGIN', 'DESTINATION', 'THIRD_COUNTRY')),</w:t>
      </w:r>
    </w:p>
    <w:p>
      <w:pPr>
        <w:spacing w:after="0" w:before="0" w:line="240" w:lineRule="auto"/>
        <w:ind w:left="57"/>
        <w:jc w:val="left"/>
        <w:shd w:val="clear" w:fill="F2F2F2"/>
      </w:pPr>
      <w:r>
        <w:rPr>
          <w:rFonts w:ascii="Consolas" w:hAnsi="Consolas" w:cs="Consolas"/>
          <w:b w:val="0"/>
          <w:i w:val="0"/>
          <w:sz w:val="15"/>
        </w:rPr>
        <w:t xml:space="preserve">    port_unlocode TEXT REFERENCES ports(unlocode),</w:t>
      </w:r>
    </w:p>
    <w:p>
      <w:pPr>
        <w:spacing w:after="0" w:before="0" w:line="240" w:lineRule="auto"/>
        <w:ind w:left="57"/>
        <w:jc w:val="left"/>
        <w:shd w:val="clear" w:fill="F2F2F2"/>
      </w:pPr>
      <w:r>
        <w:rPr>
          <w:rFonts w:ascii="Consolas" w:hAnsi="Consolas" w:cs="Consolas"/>
          <w:b w:val="0"/>
          <w:i w:val="0"/>
          <w:sz w:val="15"/>
        </w:rPr>
        <w:t xml:space="preserve">    country_code CHAR(2),</w:t>
      </w:r>
    </w:p>
    <w:p>
      <w:pPr>
        <w:spacing w:after="0" w:before="0" w:line="240" w:lineRule="auto"/>
        <w:ind w:left="57"/>
        <w:jc w:val="left"/>
        <w:shd w:val="clear" w:fill="F2F2F2"/>
      </w:pPr>
      <w:r>
        <w:rPr>
          <w:rFonts w:ascii="Consolas" w:hAnsi="Consolas" w:cs="Consolas"/>
          <w:b w:val="0"/>
          <w:i w:val="0"/>
          <w:sz w:val="15"/>
        </w:rPr>
        <w:t xml:space="preserve">    sampling_plan TEXT DEFAULT 'GENERAL_LEVEL_II',</w:t>
      </w:r>
    </w:p>
    <w:p>
      <w:pPr>
        <w:spacing w:after="0" w:before="0" w:line="240" w:lineRule="auto"/>
        <w:ind w:left="57"/>
        <w:jc w:val="left"/>
        <w:shd w:val="clear" w:fill="F2F2F2"/>
      </w:pPr>
      <w:r>
        <w:rPr>
          <w:rFonts w:ascii="Consolas" w:hAnsi="Consolas" w:cs="Consolas"/>
          <w:b w:val="0"/>
          <w:i w:val="0"/>
          <w:sz w:val="15"/>
        </w:rPr>
        <w:t xml:space="preserve">    scope TEXT DEFAULT 'ALL_COMMODITIES',</w:t>
      </w:r>
    </w:p>
    <w:p>
      <w:pPr>
        <w:spacing w:after="0" w:before="0" w:line="240" w:lineRule="auto"/>
        <w:ind w:left="57"/>
        <w:jc w:val="left"/>
        <w:shd w:val="clear" w:fill="F2F2F2"/>
      </w:pPr>
      <w:r>
        <w:rPr>
          <w:rFonts w:ascii="Consolas" w:hAnsi="Consolas" w:cs="Consolas"/>
          <w:b w:val="0"/>
          <w:i w:val="0"/>
          <w:sz w:val="15"/>
        </w:rPr>
        <w:t xml:space="preserve">    estimated_price_min DECIMAL(10,2),</w:t>
      </w:r>
    </w:p>
    <w:p>
      <w:pPr>
        <w:spacing w:after="0" w:before="0" w:line="240" w:lineRule="auto"/>
        <w:ind w:left="57"/>
        <w:jc w:val="left"/>
        <w:shd w:val="clear" w:fill="F2F2F2"/>
      </w:pPr>
      <w:r>
        <w:rPr>
          <w:rFonts w:ascii="Consolas" w:hAnsi="Consolas" w:cs="Consolas"/>
          <w:b w:val="0"/>
          <w:i w:val="0"/>
          <w:sz w:val="15"/>
        </w:rPr>
        <w:t xml:space="preserve">    estimated_price_max DECIMAL(10,2),</w:t>
      </w:r>
    </w:p>
    <w:p>
      <w:pPr>
        <w:spacing w:after="0" w:before="0" w:line="240" w:lineRule="auto"/>
        <w:ind w:left="57"/>
        <w:jc w:val="left"/>
        <w:shd w:val="clear" w:fill="F2F2F2"/>
      </w:pPr>
      <w:r>
        <w:rPr>
          <w:rFonts w:ascii="Consolas" w:hAnsi="Consolas" w:cs="Consolas"/>
          <w:b w:val="0"/>
          <w:i w:val="0"/>
          <w:sz w:val="15"/>
        </w:rPr>
        <w:t xml:space="preserve">    price_currency TEXT DEFAULT 'USD',</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17.8 Seller Quotes &amp; Financing Pre-Clearance (CFR)</w:t>
      </w:r>
    </w:p>
    <w:p>
      <w:pPr>
        <w:spacing w:after="80" w:line="293" w:lineRule="auto"/>
        <w:jc w:val="left"/>
      </w:pPr>
      <w:r>
        <w:rPr>
          <w:rFonts w:ascii="Times New Roman" w:hAnsi="Times New Roman" w:cs="Times New Roman"/>
          <w:b w:val="0"/>
          <w:i w:val="0"/>
          <w:sz w:val="22"/>
        </w:rPr>
        <w:t>Seller commercial quotes with versioning and expiry, plus the two-phase financing pre-clearance record. The CFR linkage columns on financing_requests bind formal execution to its pre-clearance evidence.</w:t>
      </w:r>
    </w:p>
    <w:p>
      <w:pPr>
        <w:spacing w:after="0" w:before="0" w:line="240" w:lineRule="auto"/>
        <w:ind w:left="57"/>
        <w:jc w:val="left"/>
        <w:shd w:val="clear" w:fill="F2F2F2"/>
      </w:pPr>
      <w:r>
        <w:rPr>
          <w:rFonts w:ascii="Consolas" w:hAnsi="Consolas" w:cs="Consolas"/>
          <w:b w:val="0"/>
          <w:i w:val="0"/>
          <w:sz w:val="15"/>
        </w:rPr>
        <w:t>-- Seller quotes (commercial quote; seller financing flag is data-sovereign)</w:t>
      </w:r>
    </w:p>
    <w:p>
      <w:pPr>
        <w:spacing w:after="0" w:before="0" w:line="240" w:lineRule="auto"/>
        <w:ind w:left="57"/>
        <w:jc w:val="left"/>
        <w:shd w:val="clear" w:fill="F2F2F2"/>
      </w:pPr>
      <w:r>
        <w:rPr>
          <w:rFonts w:ascii="Consolas" w:hAnsi="Consolas" w:cs="Consolas"/>
          <w:b w:val="0"/>
          <w:i w:val="0"/>
          <w:sz w:val="15"/>
        </w:rPr>
        <w:t>CREATE TABLE seller_quotes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 xml:space="preserve">    seller_gtid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quote_data JSONB NOT NULL,</w:t>
      </w:r>
    </w:p>
    <w:p>
      <w:pPr>
        <w:spacing w:after="0" w:before="0" w:line="240" w:lineRule="auto"/>
        <w:ind w:left="57"/>
        <w:jc w:val="left"/>
        <w:shd w:val="clear" w:fill="F2F2F2"/>
      </w:pPr>
      <w:r>
        <w:rPr>
          <w:rFonts w:ascii="Consolas" w:hAnsi="Consolas" w:cs="Consolas"/>
          <w:b w:val="0"/>
          <w:i w:val="0"/>
          <w:sz w:val="15"/>
        </w:rPr>
        <w:t xml:space="preserve">    seller_financing_required BOOLEAN DEFAULT false,  -- data-sovereign seller financing flag (Section 5)</w:t>
      </w:r>
    </w:p>
    <w:p>
      <w:pPr>
        <w:spacing w:after="0" w:before="0" w:line="240" w:lineRule="auto"/>
        <w:ind w:left="57"/>
        <w:jc w:val="left"/>
        <w:shd w:val="clear" w:fill="F2F2F2"/>
      </w:pPr>
      <w:r>
        <w:rPr>
          <w:rFonts w:ascii="Consolas" w:hAnsi="Consolas" w:cs="Consolas"/>
          <w:b w:val="0"/>
          <w:i w:val="0"/>
          <w:sz w:val="15"/>
        </w:rPr>
        <w:t xml:space="preserve">    status TEXT DEFAULT 'DRAFT',</w:t>
      </w:r>
    </w:p>
    <w:p>
      <w:pPr>
        <w:spacing w:after="0" w:before="0" w:line="240" w:lineRule="auto"/>
        <w:ind w:left="57"/>
        <w:jc w:val="left"/>
        <w:shd w:val="clear" w:fill="F2F2F2"/>
      </w:pPr>
      <w:r>
        <w:rPr>
          <w:rFonts w:ascii="Consolas" w:hAnsi="Consolas" w:cs="Consolas"/>
          <w:b w:val="0"/>
          <w:i w:val="0"/>
          <w:sz w:val="15"/>
        </w:rPr>
        <w:t xml:space="preserve">    version INTEGER DEFAULT 1,</w:t>
      </w:r>
    </w:p>
    <w:p>
      <w:pPr>
        <w:spacing w:after="0" w:before="0" w:line="240" w:lineRule="auto"/>
        <w:ind w:left="57"/>
        <w:jc w:val="left"/>
        <w:shd w:val="clear" w:fill="F2F2F2"/>
      </w:pPr>
      <w:r>
        <w:rPr>
          <w:rFonts w:ascii="Consolas" w:hAnsi="Consolas" w:cs="Consolas"/>
          <w:b w:val="0"/>
          <w:i w:val="0"/>
          <w:sz w:val="15"/>
        </w:rPr>
        <w:t xml:space="preserve">    expiry TIMESTAMPTZ,</w:t>
      </w:r>
    </w:p>
    <w:p>
      <w:pPr>
        <w:spacing w:after="0" w:before="0" w:line="240" w:lineRule="auto"/>
        <w:ind w:left="57"/>
        <w:jc w:val="left"/>
        <w:shd w:val="clear" w:fill="F2F2F2"/>
      </w:pPr>
      <w:r>
        <w:rPr>
          <w:rFonts w:ascii="Consolas" w:hAnsi="Consolas" w:cs="Consolas"/>
          <w:b w:val="0"/>
          <w:i w:val="0"/>
          <w:sz w:val="15"/>
        </w:rPr>
        <w:t xml:space="preserve">    submitted_at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Financing pre-clearance (CFR — two-phase financing, Section 5)</w:t>
      </w:r>
    </w:p>
    <w:p>
      <w:pPr>
        <w:spacing w:after="0" w:before="0" w:line="240" w:lineRule="auto"/>
        <w:ind w:left="57"/>
        <w:jc w:val="left"/>
        <w:shd w:val="clear" w:fill="F2F2F2"/>
      </w:pPr>
      <w:r>
        <w:rPr>
          <w:rFonts w:ascii="Consolas" w:hAnsi="Consolas" w:cs="Consolas"/>
          <w:b w:val="0"/>
          <w:i w:val="0"/>
          <w:sz w:val="15"/>
        </w:rPr>
        <w:t>CREATE TABLE financing_pre_clearance_requests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trade_request_id UUID REFERENCES trade_requests(id) ON DELETE SET NULL,</w:t>
      </w:r>
    </w:p>
    <w:p>
      <w:pPr>
        <w:spacing w:after="0" w:before="0" w:line="240" w:lineRule="auto"/>
        <w:ind w:left="57"/>
        <w:jc w:val="left"/>
        <w:shd w:val="clear" w:fill="F2F2F2"/>
      </w:pPr>
      <w:r>
        <w:rPr>
          <w:rFonts w:ascii="Consolas" w:hAnsi="Consolas" w:cs="Consolas"/>
          <w:b w:val="0"/>
          <w:i w:val="0"/>
          <w:sz w:val="15"/>
        </w:rPr>
        <w:t xml:space="preserve">    seller_quote_id UUID REFERENCES seller_quotes(id) ON DELETE SET NULL,</w:t>
      </w:r>
    </w:p>
    <w:p>
      <w:pPr>
        <w:spacing w:after="0" w:before="0" w:line="240" w:lineRule="auto"/>
        <w:ind w:left="57"/>
        <w:jc w:val="left"/>
        <w:shd w:val="clear" w:fill="F2F2F2"/>
      </w:pPr>
      <w:r>
        <w:rPr>
          <w:rFonts w:ascii="Consolas" w:hAnsi="Consolas" w:cs="Consolas"/>
          <w:b w:val="0"/>
          <w:i w:val="0"/>
          <w:sz w:val="15"/>
        </w:rPr>
        <w:t xml:space="preserve">    borrower_gtid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financier_gtid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financier_type TEXT NOT NULL CHECK (financier_type IN ('BANK', 'PFI')),</w:t>
      </w:r>
    </w:p>
    <w:p>
      <w:pPr>
        <w:spacing w:after="0" w:before="0" w:line="240" w:lineRule="auto"/>
        <w:ind w:left="57"/>
        <w:jc w:val="left"/>
        <w:shd w:val="clear" w:fill="F2F2F2"/>
      </w:pPr>
      <w:r>
        <w:rPr>
          <w:rFonts w:ascii="Consolas" w:hAnsi="Consolas" w:cs="Consolas"/>
          <w:b w:val="0"/>
          <w:i w:val="0"/>
          <w:sz w:val="15"/>
        </w:rPr>
        <w:t xml:space="preserve">    trade_digest JSONB NOT NULL,</w:t>
      </w:r>
    </w:p>
    <w:p>
      <w:pPr>
        <w:spacing w:after="0" w:before="0" w:line="240" w:lineRule="auto"/>
        <w:ind w:left="57"/>
        <w:jc w:val="left"/>
        <w:shd w:val="clear" w:fill="F2F2F2"/>
      </w:pPr>
      <w:r>
        <w:rPr>
          <w:rFonts w:ascii="Consolas" w:hAnsi="Consolas" w:cs="Consolas"/>
          <w:b w:val="0"/>
          <w:i w:val="0"/>
          <w:sz w:val="15"/>
        </w:rPr>
        <w:t xml:space="preserve">    status TEXT DEFAULT 'REQUESTED'</w:t>
      </w:r>
    </w:p>
    <w:p>
      <w:pPr>
        <w:spacing w:after="0" w:before="0" w:line="240" w:lineRule="auto"/>
        <w:ind w:left="57"/>
        <w:jc w:val="left"/>
        <w:shd w:val="clear" w:fill="F2F2F2"/>
      </w:pPr>
      <w:r>
        <w:rPr>
          <w:rFonts w:ascii="Consolas" w:hAnsi="Consolas" w:cs="Consolas"/>
          <w:b w:val="0"/>
          <w:i w:val="0"/>
          <w:sz w:val="15"/>
        </w:rPr>
        <w:t xml:space="preserve">        CHECK (status IN ('REQUESTED', 'UNDER_REVIEW', 'APPROVED', 'REJECTED', 'EXPIRED')),</w:t>
      </w:r>
    </w:p>
    <w:p>
      <w:pPr>
        <w:spacing w:after="0" w:before="0" w:line="240" w:lineRule="auto"/>
        <w:ind w:left="57"/>
        <w:jc w:val="left"/>
        <w:shd w:val="clear" w:fill="F2F2F2"/>
      </w:pPr>
      <w:r>
        <w:rPr>
          <w:rFonts w:ascii="Consolas" w:hAnsi="Consolas" w:cs="Consolas"/>
          <w:b w:val="0"/>
          <w:i w:val="0"/>
          <w:sz w:val="15"/>
        </w:rPr>
        <w:t xml:space="preserve">    cfr_reference TEXT UNIQUE,</w:t>
      </w:r>
    </w:p>
    <w:p>
      <w:pPr>
        <w:spacing w:after="0" w:before="0" w:line="240" w:lineRule="auto"/>
        <w:ind w:left="57"/>
        <w:jc w:val="left"/>
        <w:shd w:val="clear" w:fill="F2F2F2"/>
      </w:pPr>
      <w:r>
        <w:rPr>
          <w:rFonts w:ascii="Consolas" w:hAnsi="Consolas" w:cs="Consolas"/>
          <w:b w:val="0"/>
          <w:i w:val="0"/>
          <w:sz w:val="15"/>
        </w:rPr>
        <w:t xml:space="preserve">    conditional_amount_max DECIMAL(20,4),</w:t>
      </w:r>
    </w:p>
    <w:p>
      <w:pPr>
        <w:spacing w:after="0" w:before="0" w:line="240" w:lineRule="auto"/>
        <w:ind w:left="57"/>
        <w:jc w:val="left"/>
        <w:shd w:val="clear" w:fill="F2F2F2"/>
      </w:pPr>
      <w:r>
        <w:rPr>
          <w:rFonts w:ascii="Consolas" w:hAnsi="Consolas" w:cs="Consolas"/>
          <w:b w:val="0"/>
          <w:i w:val="0"/>
          <w:sz w:val="15"/>
        </w:rPr>
        <w:t xml:space="preserve">    conditional_apr DECIMAL(6,4),</w:t>
      </w:r>
    </w:p>
    <w:p>
      <w:pPr>
        <w:spacing w:after="0" w:before="0" w:line="240" w:lineRule="auto"/>
        <w:ind w:left="57"/>
        <w:jc w:val="left"/>
        <w:shd w:val="clear" w:fill="F2F2F2"/>
      </w:pPr>
      <w:r>
        <w:rPr>
          <w:rFonts w:ascii="Consolas" w:hAnsi="Consolas" w:cs="Consolas"/>
          <w:b w:val="0"/>
          <w:i w:val="0"/>
          <w:sz w:val="15"/>
        </w:rPr>
        <w:t xml:space="preserve">    conditions TEXT,</w:t>
      </w:r>
    </w:p>
    <w:p>
      <w:pPr>
        <w:spacing w:after="0" w:before="0" w:line="240" w:lineRule="auto"/>
        <w:ind w:left="57"/>
        <w:jc w:val="left"/>
        <w:shd w:val="clear" w:fill="F2F2F2"/>
      </w:pPr>
      <w:r>
        <w:rPr>
          <w:rFonts w:ascii="Consolas" w:hAnsi="Consolas" w:cs="Consolas"/>
          <w:b w:val="0"/>
          <w:i w:val="0"/>
          <w:sz w:val="15"/>
        </w:rPr>
        <w:t xml:space="preserve">    validity_until TIMESTAMPTZ NOT NULL DEFAULT NOW() + INTERVAL '30 days',</w:t>
      </w:r>
    </w:p>
    <w:p>
      <w:pPr>
        <w:spacing w:after="0" w:before="0" w:line="240" w:lineRule="auto"/>
        <w:ind w:left="57"/>
        <w:jc w:val="left"/>
        <w:shd w:val="clear" w:fill="F2F2F2"/>
      </w:pPr>
      <w:r>
        <w:rPr>
          <w:rFonts w:ascii="Consolas" w:hAnsi="Consolas" w:cs="Consolas"/>
          <w:b w:val="0"/>
          <w:i w:val="0"/>
          <w:sz w:val="15"/>
        </w:rPr>
        <w:t xml:space="preserve">    responded_at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Formal financing requests link back to their pre-clearance</w:t>
      </w:r>
    </w:p>
    <w:p>
      <w:pPr>
        <w:spacing w:after="0" w:before="0" w:line="240" w:lineRule="auto"/>
        <w:ind w:left="57"/>
        <w:jc w:val="left"/>
        <w:shd w:val="clear" w:fill="F2F2F2"/>
      </w:pPr>
      <w:r>
        <w:rPr>
          <w:rFonts w:ascii="Consolas" w:hAnsi="Consolas" w:cs="Consolas"/>
          <w:b w:val="0"/>
          <w:i w:val="0"/>
          <w:sz w:val="15"/>
        </w:rPr>
        <w:t>ALTER TABLE financing_requests ADD COLUMN pre_clearance_id UUID</w:t>
      </w:r>
    </w:p>
    <w:p>
      <w:pPr>
        <w:spacing w:after="0" w:before="0" w:line="240" w:lineRule="auto"/>
        <w:ind w:left="57"/>
        <w:jc w:val="left"/>
        <w:shd w:val="clear" w:fill="F2F2F2"/>
      </w:pPr>
      <w:r>
        <w:rPr>
          <w:rFonts w:ascii="Consolas" w:hAnsi="Consolas" w:cs="Consolas"/>
          <w:b w:val="0"/>
          <w:i w:val="0"/>
          <w:sz w:val="15"/>
        </w:rPr>
        <w:t xml:space="preserve">    REFERENCES financing_pre_clearance_requests(id);</w:t>
      </w:r>
    </w:p>
    <w:p>
      <w:pPr>
        <w:spacing w:after="0" w:before="0" w:line="240" w:lineRule="auto"/>
        <w:ind w:left="57"/>
        <w:jc w:val="left"/>
        <w:shd w:val="clear" w:fill="F2F2F2"/>
      </w:pPr>
      <w:r>
        <w:rPr>
          <w:rFonts w:ascii="Consolas" w:hAnsi="Consolas" w:cs="Consolas"/>
          <w:b w:val="0"/>
          <w:i w:val="0"/>
          <w:sz w:val="15"/>
        </w:rPr>
        <w:t>ALTER TABLE financing_requests ADD COLUMN cfr_reference TEXT;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17.9 Shipments, Milestones &amp; Packing</w:t>
      </w:r>
    </w:p>
    <w:p>
      <w:pPr>
        <w:spacing w:after="80" w:line="293" w:lineRule="auto"/>
        <w:jc w:val="left"/>
      </w:pPr>
      <w:r>
        <w:rPr>
          <w:rFonts w:ascii="Times New Roman" w:hAnsi="Times New Roman" w:cs="Times New Roman"/>
          <w:b w:val="0"/>
          <w:i w:val="0"/>
          <w:sz w:val="22"/>
        </w:rPr>
        <w:t>The shipments table is the USTN master object (Section 3.5): status, parties, risk, containers, vessel, schedule, release status, and document embeddings. Milestones record confirmation method and Governor decision; contract_shipments give multi-shipment contracts per-shipment state; milestone payment schedules drive partial settlement; packing plans and pallet details (SSCC, non-uniform layers) are controlled artifacts. The USTN counters table and atomic generator function are specified in Section 3.5.2 and are part of this schema.</w:t>
      </w:r>
    </w:p>
    <w:p>
      <w:pPr>
        <w:spacing w:after="0" w:before="0" w:line="240" w:lineRule="auto"/>
        <w:ind w:left="57"/>
        <w:jc w:val="left"/>
        <w:shd w:val="clear" w:fill="F2F2F2"/>
      </w:pPr>
      <w:r>
        <w:rPr>
          <w:rFonts w:ascii="Consolas" w:hAnsi="Consolas" w:cs="Consolas"/>
          <w:b w:val="0"/>
          <w:i w:val="0"/>
          <w:sz w:val="15"/>
        </w:rPr>
        <w:t>-- Shipments (USTN master object)</w:t>
      </w:r>
    </w:p>
    <w:p>
      <w:pPr>
        <w:spacing w:after="0" w:before="0" w:line="240" w:lineRule="auto"/>
        <w:ind w:left="57"/>
        <w:jc w:val="left"/>
        <w:shd w:val="clear" w:fill="F2F2F2"/>
      </w:pPr>
      <w:r>
        <w:rPr>
          <w:rFonts w:ascii="Consolas" w:hAnsi="Consolas" w:cs="Consolas"/>
          <w:b w:val="0"/>
          <w:i w:val="0"/>
          <w:sz w:val="15"/>
        </w:rPr>
        <w:t>CREATE TABLE shipments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UNIQUE NOT NULL,</w:t>
      </w:r>
    </w:p>
    <w:p>
      <w:pPr>
        <w:spacing w:after="0" w:before="0" w:line="240" w:lineRule="auto"/>
        <w:ind w:left="57"/>
        <w:jc w:val="left"/>
        <w:shd w:val="clear" w:fill="F2F2F2"/>
      </w:pPr>
      <w:r>
        <w:rPr>
          <w:rFonts w:ascii="Consolas" w:hAnsi="Consolas" w:cs="Consolas"/>
          <w:b w:val="0"/>
          <w:i w:val="0"/>
          <w:sz w:val="15"/>
        </w:rPr>
        <w:t>contract_id UUID REFERENCES contracts(id) ON DELETE SET NULL,</w:t>
      </w:r>
    </w:p>
    <w:p>
      <w:pPr>
        <w:spacing w:after="0" w:before="0" w:line="240" w:lineRule="auto"/>
        <w:ind w:left="57"/>
        <w:jc w:val="left"/>
        <w:shd w:val="clear" w:fill="F2F2F2"/>
      </w:pPr>
      <w:r>
        <w:rPr>
          <w:rFonts w:ascii="Consolas" w:hAnsi="Consolas" w:cs="Consolas"/>
          <w:b w:val="0"/>
          <w:i w:val="0"/>
          <w:sz w:val="15"/>
        </w:rPr>
        <w:t>contract_shipment_id UUID REFERENCES contract_shipments(id) ON DELETE SET NULL,</w:t>
      </w:r>
    </w:p>
    <w:p>
      <w:pPr>
        <w:spacing w:after="0" w:before="0" w:line="240" w:lineRule="auto"/>
        <w:ind w:left="57"/>
        <w:jc w:val="left"/>
        <w:shd w:val="clear" w:fill="F2F2F2"/>
      </w:pPr>
      <w:r>
        <w:rPr>
          <w:rFonts w:ascii="Consolas" w:hAnsi="Consolas" w:cs="Consolas"/>
          <w:b w:val="0"/>
          <w:i w:val="0"/>
          <w:sz w:val="15"/>
        </w:rPr>
        <w:t>exporter_gtid TEXT REFERENCES tenants(gtid) ON DELETE SET NULL,</w:t>
      </w:r>
    </w:p>
    <w:p>
      <w:pPr>
        <w:spacing w:after="0" w:before="0" w:line="240" w:lineRule="auto"/>
        <w:ind w:left="57"/>
        <w:jc w:val="left"/>
        <w:shd w:val="clear" w:fill="F2F2F2"/>
      </w:pPr>
      <w:r>
        <w:rPr>
          <w:rFonts w:ascii="Consolas" w:hAnsi="Consolas" w:cs="Consolas"/>
          <w:b w:val="0"/>
          <w:i w:val="0"/>
          <w:sz w:val="15"/>
        </w:rPr>
        <w:t>importer_gtid TEXT REFERENCES tenants(gtid) ON DELETE SET NULL,</w:t>
      </w:r>
    </w:p>
    <w:p>
      <w:pPr>
        <w:spacing w:after="0" w:before="0" w:line="240" w:lineRule="auto"/>
        <w:ind w:left="57"/>
        <w:jc w:val="left"/>
        <w:shd w:val="clear" w:fill="F2F2F2"/>
      </w:pPr>
      <w:r>
        <w:rPr>
          <w:rFonts w:ascii="Consolas" w:hAnsi="Consolas" w:cs="Consolas"/>
          <w:b w:val="0"/>
          <w:i w:val="0"/>
          <w:sz w:val="15"/>
        </w:rPr>
        <w:t>status shipment_status DEFAULT 'INITIATED',</w:t>
      </w:r>
    </w:p>
    <w:p>
      <w:pPr>
        <w:spacing w:after="0" w:before="0" w:line="240" w:lineRule="auto"/>
        <w:ind w:left="57"/>
        <w:jc w:val="left"/>
        <w:shd w:val="clear" w:fill="F2F2F2"/>
      </w:pPr>
      <w:r>
        <w:rPr>
          <w:rFonts w:ascii="Consolas" w:hAnsi="Consolas" w:cs="Consolas"/>
          <w:b w:val="0"/>
          <w:i w:val="0"/>
          <w:sz w:val="15"/>
        </w:rPr>
        <w:t>incoterm TEXT NOT NULL,</w:t>
      </w:r>
    </w:p>
    <w:p>
      <w:pPr>
        <w:spacing w:after="0" w:before="0" w:line="240" w:lineRule="auto"/>
        <w:ind w:left="57"/>
        <w:jc w:val="left"/>
        <w:shd w:val="clear" w:fill="F2F2F2"/>
      </w:pPr>
      <w:r>
        <w:rPr>
          <w:rFonts w:ascii="Consolas" w:hAnsi="Consolas" w:cs="Consolas"/>
          <w:b w:val="0"/>
          <w:i w:val="0"/>
          <w:sz w:val="15"/>
        </w:rPr>
        <w:t>gnn_risk JSONB,</w:t>
      </w:r>
    </w:p>
    <w:p>
      <w:pPr>
        <w:spacing w:after="0" w:before="0" w:line="240" w:lineRule="auto"/>
        <w:ind w:left="57"/>
        <w:jc w:val="left"/>
        <w:shd w:val="clear" w:fill="F2F2F2"/>
      </w:pPr>
      <w:r>
        <w:rPr>
          <w:rFonts w:ascii="Consolas" w:hAnsi="Consolas" w:cs="Consolas"/>
          <w:b w:val="0"/>
          <w:i w:val="0"/>
          <w:sz w:val="15"/>
        </w:rPr>
        <w:t>causal_analysis JSONB,</w:t>
      </w:r>
    </w:p>
    <w:p>
      <w:pPr>
        <w:spacing w:after="0" w:before="0" w:line="240" w:lineRule="auto"/>
        <w:ind w:left="57"/>
        <w:jc w:val="left"/>
        <w:shd w:val="clear" w:fill="F2F2F2"/>
      </w:pPr>
      <w:r>
        <w:rPr>
          <w:rFonts w:ascii="Consolas" w:hAnsi="Consolas" w:cs="Consolas"/>
          <w:b w:val="0"/>
          <w:i w:val="0"/>
          <w:sz w:val="15"/>
        </w:rPr>
        <w:t>container_numbers TEXT[],</w:t>
      </w:r>
    </w:p>
    <w:p>
      <w:pPr>
        <w:spacing w:after="0" w:before="0" w:line="240" w:lineRule="auto"/>
        <w:ind w:left="57"/>
        <w:jc w:val="left"/>
        <w:shd w:val="clear" w:fill="F2F2F2"/>
      </w:pPr>
      <w:r>
        <w:rPr>
          <w:rFonts w:ascii="Consolas" w:hAnsi="Consolas" w:cs="Consolas"/>
          <w:b w:val="0"/>
          <w:i w:val="0"/>
          <w:sz w:val="15"/>
        </w:rPr>
        <w:t>vessel_name TEXT,</w:t>
      </w:r>
    </w:p>
    <w:p>
      <w:pPr>
        <w:spacing w:after="0" w:before="0" w:line="240" w:lineRule="auto"/>
        <w:ind w:left="57"/>
        <w:jc w:val="left"/>
        <w:shd w:val="clear" w:fill="F2F2F2"/>
      </w:pPr>
      <w:r>
        <w:rPr>
          <w:rFonts w:ascii="Consolas" w:hAnsi="Consolas" w:cs="Consolas"/>
          <w:b w:val="0"/>
          <w:i w:val="0"/>
          <w:sz w:val="15"/>
        </w:rPr>
        <w:t>voyage TEXT,</w:t>
      </w:r>
    </w:p>
    <w:p>
      <w:pPr>
        <w:spacing w:after="0" w:before="0" w:line="240" w:lineRule="auto"/>
        <w:ind w:left="57"/>
        <w:jc w:val="left"/>
        <w:shd w:val="clear" w:fill="F2F2F2"/>
      </w:pPr>
      <w:r>
        <w:rPr>
          <w:rFonts w:ascii="Consolas" w:hAnsi="Consolas" w:cs="Consolas"/>
          <w:b w:val="0"/>
          <w:i w:val="0"/>
          <w:sz w:val="15"/>
        </w:rPr>
        <w:t xml:space="preserve"> booking_ref TEXT,</w:t>
      </w:r>
    </w:p>
    <w:p>
      <w:pPr>
        <w:spacing w:after="0" w:before="0" w:line="240" w:lineRule="auto"/>
        <w:ind w:left="57"/>
        <w:jc w:val="left"/>
        <w:shd w:val="clear" w:fill="F2F2F2"/>
      </w:pPr>
      <w:r>
        <w:rPr>
          <w:rFonts w:ascii="Consolas" w:hAnsi="Consolas" w:cs="Consolas"/>
          <w:b w:val="0"/>
          <w:i w:val="0"/>
          <w:sz w:val="15"/>
        </w:rPr>
        <w:t>etd TIMESTAMPTZ,</w:t>
      </w:r>
    </w:p>
    <w:p>
      <w:pPr>
        <w:spacing w:after="0" w:before="0" w:line="240" w:lineRule="auto"/>
        <w:ind w:left="57"/>
        <w:jc w:val="left"/>
        <w:shd w:val="clear" w:fill="F2F2F2"/>
      </w:pPr>
      <w:r>
        <w:rPr>
          <w:rFonts w:ascii="Consolas" w:hAnsi="Consolas" w:cs="Consolas"/>
          <w:b w:val="0"/>
          <w:i w:val="0"/>
          <w:sz w:val="15"/>
        </w:rPr>
        <w:t>eta TIMESTAMPTZ,</w:t>
      </w:r>
    </w:p>
    <w:p>
      <w:pPr>
        <w:spacing w:after="0" w:before="0" w:line="240" w:lineRule="auto"/>
        <w:ind w:left="57"/>
        <w:jc w:val="left"/>
        <w:shd w:val="clear" w:fill="F2F2F2"/>
      </w:pPr>
      <w:r>
        <w:rPr>
          <w:rFonts w:ascii="Consolas" w:hAnsi="Consolas" w:cs="Consolas"/>
          <w:b w:val="0"/>
          <w:i w:val="0"/>
          <w:sz w:val="15"/>
        </w:rPr>
        <w:t>actual_departure TIMESTAMPTZ,</w:t>
      </w:r>
    </w:p>
    <w:p>
      <w:pPr>
        <w:spacing w:after="0" w:before="0" w:line="240" w:lineRule="auto"/>
        <w:ind w:left="57"/>
        <w:jc w:val="left"/>
        <w:shd w:val="clear" w:fill="F2F2F2"/>
      </w:pPr>
      <w:r>
        <w:rPr>
          <w:rFonts w:ascii="Consolas" w:hAnsi="Consolas" w:cs="Consolas"/>
          <w:b w:val="0"/>
          <w:i w:val="0"/>
          <w:sz w:val="15"/>
        </w:rPr>
        <w:t>actual_arrival TIMESTAMPTZ,</w:t>
      </w:r>
    </w:p>
    <w:p>
      <w:pPr>
        <w:spacing w:after="0" w:before="0" w:line="240" w:lineRule="auto"/>
        <w:ind w:left="57"/>
        <w:jc w:val="left"/>
        <w:shd w:val="clear" w:fill="F2F2F2"/>
      </w:pPr>
      <w:r>
        <w:rPr>
          <w:rFonts w:ascii="Consolas" w:hAnsi="Consolas" w:cs="Consolas"/>
          <w:b w:val="0"/>
          <w:i w:val="0"/>
          <w:sz w:val="15"/>
        </w:rPr>
        <w:t>risk_score INTEGER,</w:t>
      </w:r>
    </w:p>
    <w:p>
      <w:pPr>
        <w:spacing w:after="0" w:before="0" w:line="240" w:lineRule="auto"/>
        <w:ind w:left="57"/>
        <w:jc w:val="left"/>
        <w:shd w:val="clear" w:fill="F2F2F2"/>
      </w:pPr>
      <w:r>
        <w:rPr>
          <w:rFonts w:ascii="Consolas" w:hAnsi="Consolas" w:cs="Consolas"/>
          <w:b w:val="0"/>
          <w:i w:val="0"/>
          <w:sz w:val="15"/>
        </w:rPr>
        <w:t>carbon_footprint_kg_co2e DECIMAL(12,2),</w:t>
      </w:r>
    </w:p>
    <w:p>
      <w:pPr>
        <w:spacing w:after="0" w:before="0" w:line="240" w:lineRule="auto"/>
        <w:ind w:left="57"/>
        <w:jc w:val="left"/>
        <w:shd w:val="clear" w:fill="F2F2F2"/>
      </w:pPr>
      <w:r>
        <w:rPr>
          <w:rFonts w:ascii="Consolas" w:hAnsi="Consolas" w:cs="Consolas"/>
          <w:b w:val="0"/>
          <w:i w:val="0"/>
          <w:sz w:val="15"/>
        </w:rPr>
        <w:t>release_status TEXT DEFAULT 'PENDING', -- 'PENDING', 'AUTHORISED', 'REVOKED', 'USED', 'EXPIRED'</w:t>
      </w:r>
    </w:p>
    <w:p>
      <w:pPr>
        <w:spacing w:after="0" w:before="0" w:line="240" w:lineRule="auto"/>
        <w:ind w:left="57"/>
        <w:jc w:val="left"/>
        <w:shd w:val="clear" w:fill="F2F2F2"/>
      </w:pPr>
      <w:r>
        <w:rPr>
          <w:rFonts w:ascii="Consolas" w:hAnsi="Consolas" w:cs="Consolas"/>
          <w:b w:val="0"/>
          <w:i w:val="0"/>
          <w:sz w:val="15"/>
        </w:rPr>
        <w:t>document_embeddings vector(384),</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Shipment milestones</w:t>
      </w:r>
    </w:p>
    <w:p>
      <w:pPr>
        <w:spacing w:after="0" w:before="0" w:line="240" w:lineRule="auto"/>
        <w:ind w:left="57"/>
        <w:jc w:val="left"/>
        <w:shd w:val="clear" w:fill="F2F2F2"/>
      </w:pPr>
      <w:r>
        <w:rPr>
          <w:rFonts w:ascii="Consolas" w:hAnsi="Consolas" w:cs="Consolas"/>
          <w:b w:val="0"/>
          <w:i w:val="0"/>
          <w:sz w:val="15"/>
        </w:rPr>
        <w:t>CREATE TABLE shipment_milestones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milestone TEXT NOT NULL,</w:t>
      </w:r>
    </w:p>
    <w:p>
      <w:pPr>
        <w:spacing w:after="0" w:before="0" w:line="240" w:lineRule="auto"/>
        <w:ind w:left="57"/>
        <w:jc w:val="left"/>
        <w:shd w:val="clear" w:fill="F2F2F2"/>
      </w:pPr>
      <w:r>
        <w:rPr>
          <w:rFonts w:ascii="Consolas" w:hAnsi="Consolas" w:cs="Consolas"/>
          <w:b w:val="0"/>
          <w:i w:val="0"/>
          <w:sz w:val="15"/>
        </w:rPr>
        <w:t>confirmed_at TIMESTAMPTZ NOT NULL,</w:t>
      </w:r>
    </w:p>
    <w:p>
      <w:pPr>
        <w:spacing w:after="0" w:before="0" w:line="240" w:lineRule="auto"/>
        <w:ind w:left="57"/>
        <w:jc w:val="left"/>
        <w:shd w:val="clear" w:fill="F2F2F2"/>
      </w:pPr>
      <w:r>
        <w:rPr>
          <w:rFonts w:ascii="Consolas" w:hAnsi="Consolas" w:cs="Consolas"/>
          <w:b w:val="0"/>
          <w:i w:val="0"/>
          <w:sz w:val="15"/>
        </w:rPr>
        <w:t>confirmed_by UUID REFERENCES employees(id) ON DELETE SET NULL,</w:t>
      </w:r>
    </w:p>
    <w:p>
      <w:pPr>
        <w:spacing w:after="0" w:before="0" w:line="240" w:lineRule="auto"/>
        <w:ind w:left="57"/>
        <w:jc w:val="left"/>
        <w:shd w:val="clear" w:fill="F2F2F2"/>
      </w:pPr>
      <w:r>
        <w:rPr>
          <w:rFonts w:ascii="Consolas" w:hAnsi="Consolas" w:cs="Consolas"/>
          <w:b w:val="0"/>
          <w:i w:val="0"/>
          <w:sz w:val="15"/>
        </w:rPr>
        <w:t>confirmation_method TEXT, -- 'barcode', 'voice', 'manual', 'api', 'auto_consensus'</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scanned_barcode_id UUID,</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Contract shipments (multi-shipment)</w:t>
      </w:r>
    </w:p>
    <w:p>
      <w:pPr>
        <w:spacing w:after="0" w:before="0" w:line="240" w:lineRule="auto"/>
        <w:ind w:left="57"/>
        <w:jc w:val="left"/>
        <w:shd w:val="clear" w:fill="F2F2F2"/>
      </w:pPr>
      <w:r>
        <w:rPr>
          <w:rFonts w:ascii="Consolas" w:hAnsi="Consolas" w:cs="Consolas"/>
          <w:b w:val="0"/>
          <w:i w:val="0"/>
          <w:sz w:val="15"/>
        </w:rPr>
        <w:t>CREATE TABLE contract_shipments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contract_id UUID NOT NULL REFERENCES contracts(id) ON DELETE CASCADE,</w:t>
      </w:r>
    </w:p>
    <w:p>
      <w:pPr>
        <w:spacing w:after="0" w:before="0" w:line="240" w:lineRule="auto"/>
        <w:ind w:left="57"/>
        <w:jc w:val="left"/>
        <w:shd w:val="clear" w:fill="F2F2F2"/>
      </w:pPr>
      <w:r>
        <w:rPr>
          <w:rFonts w:ascii="Consolas" w:hAnsi="Consolas" w:cs="Consolas"/>
          <w:b w:val="0"/>
          <w:i w:val="0"/>
          <w:sz w:val="15"/>
        </w:rPr>
        <w:t>shipment_number INTEGER NOT NULL,</w:t>
      </w:r>
    </w:p>
    <w:p>
      <w:pPr>
        <w:spacing w:after="0" w:before="0" w:line="240" w:lineRule="auto"/>
        <w:ind w:left="57"/>
        <w:jc w:val="left"/>
        <w:shd w:val="clear" w:fill="F2F2F2"/>
      </w:pPr>
      <w:r>
        <w:rPr>
          <w:rFonts w:ascii="Consolas" w:hAnsi="Consolas" w:cs="Consolas"/>
          <w:b w:val="0"/>
          <w:i w:val="0"/>
          <w:sz w:val="15"/>
        </w:rPr>
        <w:t>scheduled_delivery_date DATE NOT NULL,</w:t>
      </w:r>
    </w:p>
    <w:p>
      <w:pPr>
        <w:spacing w:after="0" w:before="0" w:line="240" w:lineRule="auto"/>
        <w:ind w:left="57"/>
        <w:jc w:val="left"/>
        <w:shd w:val="clear" w:fill="F2F2F2"/>
      </w:pPr>
      <w:r>
        <w:rPr>
          <w:rFonts w:ascii="Consolas" w:hAnsi="Consolas" w:cs="Consolas"/>
          <w:b w:val="0"/>
          <w:i w:val="0"/>
          <w:sz w:val="15"/>
        </w:rPr>
        <w:t>port_of_discharge TEXT NOT NULL,</w:t>
      </w:r>
    </w:p>
    <w:p>
      <w:pPr>
        <w:spacing w:after="0" w:before="0" w:line="240" w:lineRule="auto"/>
        <w:ind w:left="57"/>
        <w:jc w:val="left"/>
        <w:shd w:val="clear" w:fill="F2F2F2"/>
      </w:pPr>
      <w:r>
        <w:rPr>
          <w:rFonts w:ascii="Consolas" w:hAnsi="Consolas" w:cs="Consolas"/>
          <w:b w:val="0"/>
          <w:i w:val="0"/>
          <w:sz w:val="15"/>
        </w:rPr>
        <w:t>containers_count INTEGER NOT NULL,</w:t>
      </w:r>
    </w:p>
    <w:p>
      <w:pPr>
        <w:spacing w:after="0" w:before="0" w:line="240" w:lineRule="auto"/>
        <w:ind w:left="57"/>
        <w:jc w:val="left"/>
        <w:shd w:val="clear" w:fill="F2F2F2"/>
      </w:pPr>
      <w:r>
        <w:rPr>
          <w:rFonts w:ascii="Consolas" w:hAnsi="Consolas" w:cs="Consolas"/>
          <w:b w:val="0"/>
          <w:i w:val="0"/>
          <w:sz w:val="15"/>
        </w:rPr>
        <w:t>total_price DECIMAL(20,4) NOT NULL,</w:t>
      </w:r>
    </w:p>
    <w:p>
      <w:pPr>
        <w:spacing w:after="0" w:before="0" w:line="240" w:lineRule="auto"/>
        <w:ind w:left="57"/>
        <w:jc w:val="left"/>
        <w:shd w:val="clear" w:fill="F2F2F2"/>
      </w:pPr>
      <w:r>
        <w:rPr>
          <w:rFonts w:ascii="Consolas" w:hAnsi="Consolas" w:cs="Consolas"/>
          <w:b w:val="0"/>
          <w:i w:val="0"/>
          <w:sz w:val="15"/>
        </w:rPr>
        <w:t>sgtx_fee_amount DECIMAL(20,4),</w:t>
      </w:r>
    </w:p>
    <w:p>
      <w:pPr>
        <w:spacing w:after="0" w:before="0" w:line="240" w:lineRule="auto"/>
        <w:ind w:left="57"/>
        <w:jc w:val="left"/>
        <w:shd w:val="clear" w:fill="F2F2F2"/>
      </w:pPr>
      <w:r>
        <w:rPr>
          <w:rFonts w:ascii="Consolas" w:hAnsi="Consolas" w:cs="Consolas"/>
          <w:b w:val="0"/>
          <w:i w:val="0"/>
          <w:sz w:val="15"/>
        </w:rPr>
        <w:t>fee_lock_id UUID,</w:t>
      </w:r>
    </w:p>
    <w:p>
      <w:pPr>
        <w:spacing w:after="0" w:before="0" w:line="240" w:lineRule="auto"/>
        <w:ind w:left="57"/>
        <w:jc w:val="left"/>
        <w:shd w:val="clear" w:fill="F2F2F2"/>
      </w:pPr>
      <w:r>
        <w:rPr>
          <w:rFonts w:ascii="Consolas" w:hAnsi="Consolas" w:cs="Consolas"/>
          <w:b w:val="0"/>
          <w:i w:val="0"/>
          <w:sz w:val="15"/>
        </w:rPr>
        <w:t>ustn TEXT UNIQUE,</w:t>
      </w:r>
    </w:p>
    <w:p>
      <w:pPr>
        <w:spacing w:after="0" w:before="0" w:line="240" w:lineRule="auto"/>
        <w:ind w:left="57"/>
        <w:jc w:val="left"/>
        <w:shd w:val="clear" w:fill="F2F2F2"/>
      </w:pPr>
      <w:r>
        <w:rPr>
          <w:rFonts w:ascii="Consolas" w:hAnsi="Consolas" w:cs="Consolas"/>
          <w:b w:val="0"/>
          <w:i w:val="0"/>
          <w:sz w:val="15"/>
        </w:rPr>
        <w:t>status TEXT DEFAULT 'SCHEDULED',  -- SCHEDULED, LOCKED, SHIPPED, CANCELLED, FAILED_PAYMENT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Milestone payment schedules (partial settlement)</w:t>
      </w:r>
    </w:p>
    <w:p>
      <w:pPr>
        <w:spacing w:after="0" w:before="0" w:line="240" w:lineRule="auto"/>
        <w:ind w:left="57"/>
        <w:jc w:val="left"/>
        <w:shd w:val="clear" w:fill="F2F2F2"/>
      </w:pPr>
      <w:r>
        <w:rPr>
          <w:rFonts w:ascii="Consolas" w:hAnsi="Consolas" w:cs="Consolas"/>
          <w:b w:val="0"/>
          <w:i w:val="0"/>
          <w:sz w:val="15"/>
        </w:rPr>
        <w:t xml:space="preserve"> CREATE TABLE milestone_payment_schedules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contract_id UUID NOT NULL REFERENCES contracts(id) ON DELETE CASCADE,</w:t>
      </w:r>
    </w:p>
    <w:p>
      <w:pPr>
        <w:spacing w:after="0" w:before="0" w:line="240" w:lineRule="auto"/>
        <w:ind w:left="57"/>
        <w:jc w:val="left"/>
        <w:shd w:val="clear" w:fill="F2F2F2"/>
      </w:pPr>
      <w:r>
        <w:rPr>
          <w:rFonts w:ascii="Consolas" w:hAnsi="Consolas" w:cs="Consolas"/>
          <w:b w:val="0"/>
          <w:i w:val="0"/>
          <w:sz w:val="15"/>
        </w:rPr>
        <w:t>milestone_name TEXT NOT NULL, -- 'BOOKED', 'DEPARTED', 'DELIVERED'</w:t>
      </w:r>
    </w:p>
    <w:p>
      <w:pPr>
        <w:spacing w:after="0" w:before="0" w:line="240" w:lineRule="auto"/>
        <w:ind w:left="57"/>
        <w:jc w:val="left"/>
        <w:shd w:val="clear" w:fill="F2F2F2"/>
      </w:pPr>
      <w:r>
        <w:rPr>
          <w:rFonts w:ascii="Consolas" w:hAnsi="Consolas" w:cs="Consolas"/>
          <w:b w:val="0"/>
          <w:i w:val="0"/>
          <w:sz w:val="15"/>
        </w:rPr>
        <w:t>percentage DECIMAL(5,2) NOT NULL,</w:t>
      </w:r>
    </w:p>
    <w:p>
      <w:pPr>
        <w:spacing w:after="0" w:before="0" w:line="240" w:lineRule="auto"/>
        <w:ind w:left="57"/>
        <w:jc w:val="left"/>
        <w:shd w:val="clear" w:fill="F2F2F2"/>
      </w:pPr>
      <w:r>
        <w:rPr>
          <w:rFonts w:ascii="Consolas" w:hAnsi="Consolas" w:cs="Consolas"/>
          <w:b w:val="0"/>
          <w:i w:val="0"/>
          <w:sz w:val="15"/>
        </w:rPr>
        <w:t>amount DECIMAL(20,4) NOT NULL,</w:t>
      </w:r>
    </w:p>
    <w:p>
      <w:pPr>
        <w:spacing w:after="0" w:before="0" w:line="240" w:lineRule="auto"/>
        <w:ind w:left="57"/>
        <w:jc w:val="left"/>
        <w:shd w:val="clear" w:fill="F2F2F2"/>
      </w:pPr>
      <w:r>
        <w:rPr>
          <w:rFonts w:ascii="Consolas" w:hAnsi="Consolas" w:cs="Consolas"/>
          <w:b w:val="0"/>
          <w:i w:val="0"/>
          <w:sz w:val="15"/>
        </w:rPr>
        <w:t>pre_approved BOOLEAN DEFAULT false,</w:t>
      </w:r>
    </w:p>
    <w:p>
      <w:pPr>
        <w:spacing w:after="0" w:before="0" w:line="240" w:lineRule="auto"/>
        <w:ind w:left="57"/>
        <w:jc w:val="left"/>
        <w:shd w:val="clear" w:fill="F2F2F2"/>
      </w:pPr>
      <w:r>
        <w:rPr>
          <w:rFonts w:ascii="Consolas" w:hAnsi="Consolas" w:cs="Consolas"/>
          <w:b w:val="0"/>
          <w:i w:val="0"/>
          <w:sz w:val="15"/>
        </w:rPr>
        <w:t>paid BOOLEAN DEFAULT false,</w:t>
      </w:r>
    </w:p>
    <w:p>
      <w:pPr>
        <w:spacing w:after="0" w:before="0" w:line="240" w:lineRule="auto"/>
        <w:ind w:left="57"/>
        <w:jc w:val="left"/>
        <w:shd w:val="clear" w:fill="F2F2F2"/>
      </w:pPr>
      <w:r>
        <w:rPr>
          <w:rFonts w:ascii="Consolas" w:hAnsi="Consolas" w:cs="Consolas"/>
          <w:b w:val="0"/>
          <w:i w:val="0"/>
          <w:sz w:val="15"/>
        </w:rPr>
        <w:t>paid_at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Packing plans</w:t>
      </w:r>
    </w:p>
    <w:p>
      <w:pPr>
        <w:spacing w:after="0" w:before="0" w:line="240" w:lineRule="auto"/>
        <w:ind w:left="57"/>
        <w:jc w:val="left"/>
        <w:shd w:val="clear" w:fill="F2F2F2"/>
      </w:pPr>
      <w:r>
        <w:rPr>
          <w:rFonts w:ascii="Consolas" w:hAnsi="Consolas" w:cs="Consolas"/>
          <w:b w:val="0"/>
          <w:i w:val="0"/>
          <w:sz w:val="15"/>
        </w:rPr>
        <w:t>CREATE TABLE packing_plans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plan_data JSONB NOT NULL, -- includes non-uniform layer patterns</w:t>
      </w:r>
    </w:p>
    <w:p>
      <w:pPr>
        <w:spacing w:after="0" w:before="0" w:line="240" w:lineRule="auto"/>
        <w:ind w:left="57"/>
        <w:jc w:val="left"/>
        <w:shd w:val="clear" w:fill="F2F2F2"/>
      </w:pPr>
      <w:r>
        <w:rPr>
          <w:rFonts w:ascii="Consolas" w:hAnsi="Consolas" w:cs="Consolas"/>
          <w:b w:val="0"/>
          <w:i w:val="0"/>
          <w:sz w:val="15"/>
        </w:rPr>
        <w:t>loading_guide TEXT,</w:t>
      </w:r>
    </w:p>
    <w:p>
      <w:pPr>
        <w:spacing w:after="0" w:before="0" w:line="240" w:lineRule="auto"/>
        <w:ind w:left="57"/>
        <w:jc w:val="left"/>
        <w:shd w:val="clear" w:fill="F2F2F2"/>
      </w:pPr>
      <w:r>
        <w:rPr>
          <w:rFonts w:ascii="Consolas" w:hAnsi="Consolas" w:cs="Consolas"/>
          <w:b w:val="0"/>
          <w:i w:val="0"/>
          <w:sz w:val="15"/>
        </w:rPr>
        <w:t>locked_at TIMESTAMPTZ,</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Pallet details (with non-uniform layers)</w:t>
      </w:r>
    </w:p>
    <w:p>
      <w:pPr>
        <w:spacing w:after="0" w:before="0" w:line="240" w:lineRule="auto"/>
        <w:ind w:left="57"/>
        <w:jc w:val="left"/>
        <w:shd w:val="clear" w:fill="F2F2F2"/>
      </w:pPr>
      <w:r>
        <w:rPr>
          <w:rFonts w:ascii="Consolas" w:hAnsi="Consolas" w:cs="Consolas"/>
          <w:b w:val="0"/>
          <w:i w:val="0"/>
          <w:sz w:val="15"/>
        </w:rPr>
        <w:t>CREATE TABLE pallet_details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packing_plan_id UUID REFERENCES packing_plans(id) ON DELETE CASCADE,</w:t>
      </w:r>
    </w:p>
    <w:p>
      <w:pPr>
        <w:spacing w:after="0" w:before="0" w:line="240" w:lineRule="auto"/>
        <w:ind w:left="57"/>
        <w:jc w:val="left"/>
        <w:shd w:val="clear" w:fill="F2F2F2"/>
      </w:pPr>
      <w:r>
        <w:rPr>
          <w:rFonts w:ascii="Consolas" w:hAnsi="Consolas" w:cs="Consolas"/>
          <w:b w:val="0"/>
          <w:i w:val="0"/>
          <w:sz w:val="15"/>
        </w:rPr>
        <w:t>sscc TEXT UNIQUE NOT NULL,</w:t>
      </w:r>
    </w:p>
    <w:p>
      <w:pPr>
        <w:spacing w:after="0" w:before="0" w:line="240" w:lineRule="auto"/>
        <w:ind w:left="57"/>
        <w:jc w:val="left"/>
        <w:shd w:val="clear" w:fill="F2F2F2"/>
      </w:pPr>
      <w:r>
        <w:rPr>
          <w:rFonts w:ascii="Consolas" w:hAnsi="Consolas" w:cs="Consolas"/>
          <w:b w:val="0"/>
          <w:i w:val="0"/>
          <w:sz w:val="15"/>
        </w:rPr>
        <w:t>lot_number TEXT,</w:t>
      </w:r>
    </w:p>
    <w:p>
      <w:pPr>
        <w:spacing w:after="0" w:before="0" w:line="240" w:lineRule="auto"/>
        <w:ind w:left="57"/>
        <w:jc w:val="left"/>
        <w:shd w:val="clear" w:fill="F2F2F2"/>
      </w:pPr>
      <w:r>
        <w:rPr>
          <w:rFonts w:ascii="Consolas" w:hAnsi="Consolas" w:cs="Consolas"/>
          <w:b w:val="0"/>
          <w:i w:val="0"/>
          <w:sz w:val="15"/>
        </w:rPr>
        <w:t>product_hs_code CHAR(6),</w:t>
      </w:r>
    </w:p>
    <w:p>
      <w:pPr>
        <w:spacing w:after="0" w:before="0" w:line="240" w:lineRule="auto"/>
        <w:ind w:left="57"/>
        <w:jc w:val="left"/>
        <w:shd w:val="clear" w:fill="F2F2F2"/>
      </w:pPr>
      <w:r>
        <w:rPr>
          <w:rFonts w:ascii="Consolas" w:hAnsi="Consolas" w:cs="Consolas"/>
          <w:b w:val="0"/>
          <w:i w:val="0"/>
          <w:sz w:val="15"/>
        </w:rPr>
        <w:t>cartons_per_pallet INTEGER NOT NULL,</w:t>
      </w:r>
    </w:p>
    <w:p>
      <w:pPr>
        <w:spacing w:after="0" w:before="0" w:line="240" w:lineRule="auto"/>
        <w:ind w:left="57"/>
        <w:jc w:val="left"/>
        <w:shd w:val="clear" w:fill="F2F2F2"/>
      </w:pPr>
      <w:r>
        <w:rPr>
          <w:rFonts w:ascii="Consolas" w:hAnsi="Consolas" w:cs="Consolas"/>
          <w:b w:val="0"/>
          <w:i w:val="0"/>
          <w:sz w:val="15"/>
        </w:rPr>
        <w:t>layer_patterns JSONB, -- [{layers:11, cartons_per_layer:10}, {layers:1, cartons_per_layer:1}]</w:t>
      </w:r>
    </w:p>
    <w:p>
      <w:pPr>
        <w:spacing w:after="0" w:before="0" w:line="240" w:lineRule="auto"/>
        <w:ind w:left="57"/>
        <w:jc w:val="left"/>
        <w:shd w:val="clear" w:fill="F2F2F2"/>
      </w:pPr>
      <w:r>
        <w:rPr>
          <w:rFonts w:ascii="Consolas" w:hAnsi="Consolas" w:cs="Consolas"/>
          <w:b w:val="0"/>
          <w:i w:val="0"/>
          <w:sz w:val="15"/>
        </w:rPr>
        <w:t>total_cartons INTEGER NOT NULL,</w:t>
      </w:r>
    </w:p>
    <w:p>
      <w:pPr>
        <w:spacing w:after="0" w:before="0" w:line="240" w:lineRule="auto"/>
        <w:ind w:left="57"/>
        <w:jc w:val="left"/>
        <w:shd w:val="clear" w:fill="F2F2F2"/>
      </w:pPr>
      <w:r>
        <w:rPr>
          <w:rFonts w:ascii="Consolas" w:hAnsi="Consolas" w:cs="Consolas"/>
          <w:b w:val="0"/>
          <w:i w:val="0"/>
          <w:sz w:val="15"/>
        </w:rPr>
        <w:t>gross_weight_kg DECIMAL(10,2),</w:t>
      </w:r>
    </w:p>
    <w:p>
      <w:pPr>
        <w:spacing w:after="0" w:before="0" w:line="240" w:lineRule="auto"/>
        <w:ind w:left="57"/>
        <w:jc w:val="left"/>
        <w:shd w:val="clear" w:fill="F2F2F2"/>
      </w:pPr>
      <w:r>
        <w:rPr>
          <w:rFonts w:ascii="Consolas" w:hAnsi="Consolas" w:cs="Consolas"/>
          <w:b w:val="0"/>
          <w:i w:val="0"/>
          <w:sz w:val="15"/>
        </w:rPr>
        <w:t>cold_treatment_cert_ref TEXT,</w:t>
      </w:r>
    </w:p>
    <w:p>
      <w:pPr>
        <w:spacing w:after="0" w:before="0" w:line="240" w:lineRule="auto"/>
        <w:ind w:left="57"/>
        <w:jc w:val="left"/>
        <w:shd w:val="clear" w:fill="F2F2F2"/>
      </w:pPr>
      <w:r>
        <w:rPr>
          <w:rFonts w:ascii="Consolas" w:hAnsi="Consolas" w:cs="Consolas"/>
          <w:b w:val="0"/>
          <w:i w:val="0"/>
          <w:sz w:val="15"/>
        </w:rPr>
        <w:t>status TEXT DEFAULT 'PENDING', -- 'PENDING', 'LOADED', 'DAMAGED', 'DELIVERED'</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17.10 Contracts &amp; Fees</w:t>
      </w:r>
    </w:p>
    <w:p>
      <w:pPr>
        <w:spacing w:after="80" w:line="293" w:lineRule="auto"/>
        <w:jc w:val="left"/>
      </w:pPr>
      <w:r>
        <w:rPr>
          <w:rFonts w:ascii="Times New Roman" w:hAnsi="Times New Roman" w:cs="Times New Roman"/>
          <w:b w:val="0"/>
          <w:i w:val="0"/>
          <w:sz w:val="22"/>
        </w:rPr>
        <w:t>Contracts carry clauses, signatures, cryptographic hashes, fee rate/amount, and the post-quantum signature; every fee amount is produced by the Dynamic Fee Engine and recorded as a fee decision (Section 17.10.1). Fee payment requests support deferred payment with guarantee semantics; fee_locks mirror NATS JetStream KV state (KV is authoritative); late fee events accrue deterministically.</w:t>
      </w:r>
    </w:p>
    <w:p>
      <w:pPr>
        <w:spacing w:after="0" w:before="0" w:line="240" w:lineRule="auto"/>
        <w:ind w:left="57"/>
        <w:jc w:val="left"/>
        <w:shd w:val="clear" w:fill="F2F2F2"/>
      </w:pPr>
      <w:r>
        <w:rPr>
          <w:rFonts w:ascii="Consolas" w:hAnsi="Consolas" w:cs="Consolas"/>
          <w:b w:val="0"/>
          <w:i w:val="0"/>
          <w:sz w:val="15"/>
        </w:rPr>
        <w:t>-- Contracts</w:t>
      </w:r>
    </w:p>
    <w:p>
      <w:pPr>
        <w:spacing w:after="0" w:before="0" w:line="240" w:lineRule="auto"/>
        <w:ind w:left="57"/>
        <w:jc w:val="left"/>
        <w:shd w:val="clear" w:fill="F2F2F2"/>
      </w:pPr>
      <w:r>
        <w:rPr>
          <w:rFonts w:ascii="Consolas" w:hAnsi="Consolas" w:cs="Consolas"/>
          <w:b w:val="0"/>
          <w:i w:val="0"/>
          <w:sz w:val="15"/>
        </w:rPr>
        <w:t>CREATE TABLE contracts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contract_type TEXT DEFAULT 'SINGLE_SHIPMENT', -- 'SINGLE_SHIPMENT', 'MASTER_MULTI'</w:t>
      </w:r>
    </w:p>
    <w:p>
      <w:pPr>
        <w:spacing w:after="0" w:before="0" w:line="240" w:lineRule="auto"/>
        <w:ind w:left="57"/>
        <w:jc w:val="left"/>
        <w:shd w:val="clear" w:fill="F2F2F2"/>
      </w:pPr>
      <w:r>
        <w:rPr>
          <w:rFonts w:ascii="Consolas" w:hAnsi="Consolas" w:cs="Consolas"/>
          <w:b w:val="0"/>
          <w:i w:val="0"/>
          <w:sz w:val="15"/>
        </w:rPr>
        <w:t>incoterm TEXT NOT NULL,</w:t>
      </w:r>
    </w:p>
    <w:p>
      <w:pPr>
        <w:spacing w:after="0" w:before="0" w:line="240" w:lineRule="auto"/>
        <w:ind w:left="57"/>
        <w:jc w:val="left"/>
        <w:shd w:val="clear" w:fill="F2F2F2"/>
      </w:pPr>
      <w:r>
        <w:rPr>
          <w:rFonts w:ascii="Consolas" w:hAnsi="Consolas" w:cs="Consolas"/>
          <w:b w:val="0"/>
          <w:i w:val="0"/>
          <w:sz w:val="15"/>
        </w:rPr>
        <w:t>clauses JSONB NOT NULL,</w:t>
      </w:r>
    </w:p>
    <w:p>
      <w:pPr>
        <w:spacing w:after="0" w:before="0" w:line="240" w:lineRule="auto"/>
        <w:ind w:left="57"/>
        <w:jc w:val="left"/>
        <w:shd w:val="clear" w:fill="F2F2F2"/>
      </w:pPr>
      <w:r>
        <w:rPr>
          <w:rFonts w:ascii="Consolas" w:hAnsi="Consolas" w:cs="Consolas"/>
          <w:b w:val="0"/>
          <w:i w:val="0"/>
          <w:sz w:val="15"/>
        </w:rPr>
        <w:t>governing_law TEXT NOT NULL,</w:t>
      </w:r>
    </w:p>
    <w:p>
      <w:pPr>
        <w:spacing w:after="0" w:before="0" w:line="240" w:lineRule="auto"/>
        <w:ind w:left="57"/>
        <w:jc w:val="left"/>
        <w:shd w:val="clear" w:fill="F2F2F2"/>
      </w:pPr>
      <w:r>
        <w:rPr>
          <w:rFonts w:ascii="Consolas" w:hAnsi="Consolas" w:cs="Consolas"/>
          <w:b w:val="0"/>
          <w:i w:val="0"/>
          <w:sz w:val="15"/>
        </w:rPr>
        <w:t>dispute_resolution TEXT NOT NULL,</w:t>
      </w:r>
    </w:p>
    <w:p>
      <w:pPr>
        <w:spacing w:after="0" w:before="0" w:line="240" w:lineRule="auto"/>
        <w:ind w:left="57"/>
        <w:jc w:val="left"/>
        <w:shd w:val="clear" w:fill="F2F2F2"/>
      </w:pPr>
      <w:r>
        <w:rPr>
          <w:rFonts w:ascii="Consolas" w:hAnsi="Consolas" w:cs="Consolas"/>
          <w:b w:val="0"/>
          <w:i w:val="0"/>
          <w:sz w:val="15"/>
        </w:rPr>
        <w:t>status contract_status DEFAULT 'DRAFT',</w:t>
      </w:r>
    </w:p>
    <w:p>
      <w:pPr>
        <w:spacing w:after="0" w:before="0" w:line="240" w:lineRule="auto"/>
        <w:ind w:left="57"/>
        <w:jc w:val="left"/>
        <w:shd w:val="clear" w:fill="F2F2F2"/>
      </w:pPr>
      <w:r>
        <w:rPr>
          <w:rFonts w:ascii="Consolas" w:hAnsi="Consolas" w:cs="Consolas"/>
          <w:b w:val="0"/>
          <w:i w:val="0"/>
          <w:sz w:val="15"/>
        </w:rPr>
        <w:t>cryptographic_hash TEXT,</w:t>
      </w:r>
    </w:p>
    <w:p>
      <w:pPr>
        <w:spacing w:after="0" w:before="0" w:line="240" w:lineRule="auto"/>
        <w:ind w:left="57"/>
        <w:jc w:val="left"/>
        <w:shd w:val="clear" w:fill="F2F2F2"/>
      </w:pPr>
      <w:r>
        <w:rPr>
          <w:rFonts w:ascii="Consolas" w:hAnsi="Consolas" w:cs="Consolas"/>
          <w:b w:val="0"/>
          <w:i w:val="0"/>
          <w:sz w:val="15"/>
        </w:rPr>
        <w:t>buyer_signature TEXT,</w:t>
      </w:r>
    </w:p>
    <w:p>
      <w:pPr>
        <w:spacing w:after="0" w:before="0" w:line="240" w:lineRule="auto"/>
        <w:ind w:left="57"/>
        <w:jc w:val="left"/>
        <w:shd w:val="clear" w:fill="F2F2F2"/>
      </w:pPr>
      <w:r>
        <w:rPr>
          <w:rFonts w:ascii="Consolas" w:hAnsi="Consolas" w:cs="Consolas"/>
          <w:b w:val="0"/>
          <w:i w:val="0"/>
          <w:sz w:val="15"/>
        </w:rPr>
        <w:t>seller_signature TEXT,</w:t>
      </w:r>
    </w:p>
    <w:p>
      <w:pPr>
        <w:spacing w:after="0" w:before="0" w:line="240" w:lineRule="auto"/>
        <w:ind w:left="57"/>
        <w:jc w:val="left"/>
        <w:shd w:val="clear" w:fill="F2F2F2"/>
      </w:pPr>
      <w:r>
        <w:rPr>
          <w:rFonts w:ascii="Consolas" w:hAnsi="Consolas" w:cs="Consolas"/>
          <w:b w:val="0"/>
          <w:i w:val="0"/>
          <w:sz w:val="15"/>
        </w:rPr>
        <w:t>sgtx_fee_rate DECIMAL(5,4) NOT NULL,</w:t>
      </w:r>
    </w:p>
    <w:p>
      <w:pPr>
        <w:spacing w:after="0" w:before="0" w:line="240" w:lineRule="auto"/>
        <w:ind w:left="57"/>
        <w:jc w:val="left"/>
        <w:shd w:val="clear" w:fill="F2F2F2"/>
      </w:pPr>
      <w:r>
        <w:rPr>
          <w:rFonts w:ascii="Consolas" w:hAnsi="Consolas" w:cs="Consolas"/>
          <w:b w:val="0"/>
          <w:i w:val="0"/>
          <w:sz w:val="15"/>
        </w:rPr>
        <w:t>sgtx_fee_amount DECIMAL(20,4) NOT NULL,</w:t>
      </w:r>
    </w:p>
    <w:p>
      <w:pPr>
        <w:spacing w:after="0" w:before="0" w:line="240" w:lineRule="auto"/>
        <w:ind w:left="57"/>
        <w:jc w:val="left"/>
        <w:shd w:val="clear" w:fill="F2F2F2"/>
      </w:pPr>
      <w:r>
        <w:rPr>
          <w:rFonts w:ascii="Consolas" w:hAnsi="Consolas" w:cs="Consolas"/>
          <w:b w:val="0"/>
          <w:i w:val="0"/>
          <w:sz w:val="15"/>
        </w:rPr>
        <w:t>fee_lock_id UUID,</w:t>
      </w:r>
    </w:p>
    <w:p>
      <w:pPr>
        <w:spacing w:after="0" w:before="0" w:line="240" w:lineRule="auto"/>
        <w:ind w:left="57"/>
        <w:jc w:val="left"/>
        <w:shd w:val="clear" w:fill="F2F2F2"/>
      </w:pPr>
      <w:r>
        <w:rPr>
          <w:rFonts w:ascii="Consolas" w:hAnsi="Consolas" w:cs="Consolas"/>
          <w:b w:val="0"/>
          <w:i w:val="0"/>
          <w:sz w:val="15"/>
        </w:rPr>
        <w:t>pqc_signature TEXT,</w:t>
      </w:r>
    </w:p>
    <w:p>
      <w:pPr>
        <w:spacing w:after="0" w:before="0" w:line="240" w:lineRule="auto"/>
        <w:ind w:left="57"/>
        <w:jc w:val="left"/>
        <w:shd w:val="clear" w:fill="F2F2F2"/>
      </w:pPr>
      <w:r>
        <w:rPr>
          <w:rFonts w:ascii="Consolas" w:hAnsi="Consolas" w:cs="Consolas"/>
          <w:b w:val="0"/>
          <w:i w:val="0"/>
          <w:sz w:val="15"/>
        </w:rPr>
        <w:t>signed_at TIMESTAMPTZ,</w:t>
      </w:r>
    </w:p>
    <w:p>
      <w:pPr>
        <w:spacing w:after="0" w:before="0" w:line="240" w:lineRule="auto"/>
        <w:ind w:left="57"/>
        <w:jc w:val="left"/>
        <w:shd w:val="clear" w:fill="F2F2F2"/>
      </w:pPr>
      <w:r>
        <w:rPr>
          <w:rFonts w:ascii="Consolas" w:hAnsi="Consolas" w:cs="Consolas"/>
          <w:b w:val="0"/>
          <w:i w:val="0"/>
          <w:sz w:val="15"/>
        </w:rPr>
        <w:t>locked_at TIMESTAMPTZ,</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Fee payment requests (with deferred payment)</w:t>
      </w:r>
    </w:p>
    <w:p>
      <w:pPr>
        <w:spacing w:after="0" w:before="0" w:line="240" w:lineRule="auto"/>
        <w:ind w:left="57"/>
        <w:jc w:val="left"/>
        <w:shd w:val="clear" w:fill="F2F2F2"/>
      </w:pPr>
      <w:r>
        <w:rPr>
          <w:rFonts w:ascii="Consolas" w:hAnsi="Consolas" w:cs="Consolas"/>
          <w:b w:val="0"/>
          <w:i w:val="0"/>
          <w:sz w:val="15"/>
        </w:rPr>
        <w:t>CREATE TABLE fee_payment_requests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contract_id UUID REFERENCES contracts(id) ON DELETE SET NULL,</w:t>
      </w:r>
    </w:p>
    <w:p>
      <w:pPr>
        <w:spacing w:after="0" w:before="0" w:line="240" w:lineRule="auto"/>
        <w:ind w:left="57"/>
        <w:jc w:val="left"/>
        <w:shd w:val="clear" w:fill="F2F2F2"/>
      </w:pPr>
      <w:r>
        <w:rPr>
          <w:rFonts w:ascii="Consolas" w:hAnsi="Consolas" w:cs="Consolas"/>
          <w:b w:val="0"/>
          <w:i w:val="0"/>
          <w:sz w:val="15"/>
        </w:rPr>
        <w:t>contract_shipment_id UUID REFERENCES contract_shipments(id) ON DELETE SET NULL,</w:t>
      </w:r>
    </w:p>
    <w:p>
      <w:pPr>
        <w:spacing w:after="0" w:before="0" w:line="240" w:lineRule="auto"/>
        <w:ind w:left="57"/>
        <w:jc w:val="left"/>
        <w:shd w:val="clear" w:fill="F2F2F2"/>
      </w:pPr>
      <w:r>
        <w:rPr>
          <w:rFonts w:ascii="Consolas" w:hAnsi="Consolas" w:cs="Consolas"/>
          <w:b w:val="0"/>
          <w:i w:val="0"/>
          <w:sz w:val="15"/>
        </w:rPr>
        <w:t>financing_agreement_id UUID REFERENCES financing_agreements(id) ON DELETE SET NULL,</w:t>
      </w:r>
    </w:p>
    <w:p>
      <w:pPr>
        <w:spacing w:after="0" w:before="0" w:line="240" w:lineRule="auto"/>
        <w:ind w:left="57"/>
        <w:jc w:val="left"/>
        <w:shd w:val="clear" w:fill="F2F2F2"/>
      </w:pPr>
      <w:r>
        <w:rPr>
          <w:rFonts w:ascii="Consolas" w:hAnsi="Consolas" w:cs="Consolas"/>
          <w:b w:val="0"/>
          <w:i w:val="0"/>
          <w:sz w:val="15"/>
        </w:rPr>
        <w:t>party_type TEXT NOT NULL, -- 'seller', 'buyer', 'borrower'</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amount DECIMAL(20,4) NOT NULL,</w:t>
      </w:r>
    </w:p>
    <w:p>
      <w:pPr>
        <w:spacing w:after="0" w:before="0" w:line="240" w:lineRule="auto"/>
        <w:ind w:left="57"/>
        <w:jc w:val="left"/>
        <w:shd w:val="clear" w:fill="F2F2F2"/>
      </w:pPr>
      <w:r>
        <w:rPr>
          <w:rFonts w:ascii="Consolas" w:hAnsi="Consolas" w:cs="Consolas"/>
          <w:b w:val="0"/>
          <w:i w:val="0"/>
          <w:sz w:val="15"/>
        </w:rPr>
        <w:t>currency TEXT DEFAULT 'USD',</w:t>
      </w:r>
    </w:p>
    <w:p>
      <w:pPr>
        <w:spacing w:after="0" w:before="0" w:line="240" w:lineRule="auto"/>
        <w:ind w:left="57"/>
        <w:jc w:val="left"/>
        <w:shd w:val="clear" w:fill="F2F2F2"/>
      </w:pPr>
      <w:r>
        <w:rPr>
          <w:rFonts w:ascii="Consolas" w:hAnsi="Consolas" w:cs="Consolas"/>
          <w:b w:val="0"/>
          <w:i w:val="0"/>
          <w:sz w:val="15"/>
        </w:rPr>
        <w:t>status TEXT DEFAULT 'PENDING', -- 'PENDING', 'PAID', 'FAILED', 'REFUNDED'</w:t>
      </w:r>
    </w:p>
    <w:p>
      <w:pPr>
        <w:spacing w:after="0" w:before="0" w:line="240" w:lineRule="auto"/>
        <w:ind w:left="57"/>
        <w:jc w:val="left"/>
        <w:shd w:val="clear" w:fill="F2F2F2"/>
      </w:pPr>
      <w:r>
        <w:rPr>
          <w:rFonts w:ascii="Consolas" w:hAnsi="Consolas" w:cs="Consolas"/>
          <w:b w:val="0"/>
          <w:i w:val="0"/>
          <w:sz w:val="15"/>
        </w:rPr>
        <w:t>due_date TIMESTAMPTZ,</w:t>
      </w:r>
    </w:p>
    <w:p>
      <w:pPr>
        <w:spacing w:after="0" w:before="0" w:line="240" w:lineRule="auto"/>
        <w:ind w:left="57"/>
        <w:jc w:val="left"/>
        <w:shd w:val="clear" w:fill="F2F2F2"/>
      </w:pPr>
      <w:r>
        <w:rPr>
          <w:rFonts w:ascii="Consolas" w:hAnsi="Consolas" w:cs="Consolas"/>
          <w:b w:val="0"/>
          <w:i w:val="0"/>
          <w:sz w:val="15"/>
        </w:rPr>
        <w:t>late_fee_accrued DECIMAL(20,4) DEFAULT 0,</w:t>
      </w:r>
    </w:p>
    <w:p>
      <w:pPr>
        <w:spacing w:after="0" w:before="0" w:line="240" w:lineRule="auto"/>
        <w:ind w:left="57"/>
        <w:jc w:val="left"/>
        <w:shd w:val="clear" w:fill="F2F2F2"/>
      </w:pPr>
      <w:r>
        <w:rPr>
          <w:rFonts w:ascii="Consolas" w:hAnsi="Consolas" w:cs="Consolas"/>
          <w:b w:val="0"/>
          <w:i w:val="0"/>
          <w:sz w:val="15"/>
        </w:rPr>
        <w:t>deferred BOOLEAN DEFAULT false,</w:t>
      </w:r>
    </w:p>
    <w:p>
      <w:pPr>
        <w:spacing w:after="0" w:before="0" w:line="240" w:lineRule="auto"/>
        <w:ind w:left="57"/>
        <w:jc w:val="left"/>
        <w:shd w:val="clear" w:fill="F2F2F2"/>
      </w:pPr>
      <w:r>
        <w:rPr>
          <w:rFonts w:ascii="Consolas" w:hAnsi="Consolas" w:cs="Consolas"/>
          <w:b w:val="0"/>
          <w:i w:val="0"/>
          <w:sz w:val="15"/>
        </w:rPr>
        <w:t>deferred_status TEXT DEFAULT 'GUARANTEE_HELD', -- 'GUARANTEE_HELD', 'RELEASED', 'PAID',</w:t>
      </w:r>
    </w:p>
    <w:p>
      <w:pPr>
        <w:spacing w:after="0" w:before="0" w:line="240" w:lineRule="auto"/>
        <w:ind w:left="57"/>
        <w:jc w:val="left"/>
        <w:shd w:val="clear" w:fill="F2F2F2"/>
      </w:pPr>
      <w:r>
        <w:rPr>
          <w:rFonts w:ascii="Consolas" w:hAnsi="Consolas" w:cs="Consolas"/>
          <w:b w:val="0"/>
          <w:i w:val="0"/>
          <w:sz w:val="15"/>
        </w:rPr>
        <w:t>'EXPIRED'</w:t>
      </w:r>
    </w:p>
    <w:p>
      <w:pPr>
        <w:spacing w:after="0" w:before="0" w:line="240" w:lineRule="auto"/>
        <w:ind w:left="57"/>
        <w:jc w:val="left"/>
        <w:shd w:val="clear" w:fill="F2F2F2"/>
      </w:pPr>
      <w:r>
        <w:rPr>
          <w:rFonts w:ascii="Consolas" w:hAnsi="Consolas" w:cs="Consolas"/>
          <w:b w:val="0"/>
          <w:i w:val="0"/>
          <w:sz w:val="15"/>
        </w:rPr>
        <w:t>auto_charge_authorised BOOLEAN DEFAULT false,</w:t>
      </w:r>
    </w:p>
    <w:p>
      <w:pPr>
        <w:spacing w:after="0" w:before="0" w:line="240" w:lineRule="auto"/>
        <w:ind w:left="57"/>
        <w:jc w:val="left"/>
        <w:shd w:val="clear" w:fill="F2F2F2"/>
      </w:pPr>
      <w:r>
        <w:rPr>
          <w:rFonts w:ascii="Consolas" w:hAnsi="Consolas" w:cs="Consolas"/>
          <w:b w:val="0"/>
          <w:i w:val="0"/>
          <w:sz w:val="15"/>
        </w:rPr>
        <w:t>expiry_action_taken TEXT, -- 'reminded', 'alerted', 'expired_charged', 'expired_blocked'</w:t>
      </w:r>
    </w:p>
    <w:p>
      <w:pPr>
        <w:spacing w:after="0" w:before="0" w:line="240" w:lineRule="auto"/>
        <w:ind w:left="57"/>
        <w:jc w:val="left"/>
        <w:shd w:val="clear" w:fill="F2F2F2"/>
      </w:pPr>
      <w:r>
        <w:rPr>
          <w:rFonts w:ascii="Consolas" w:hAnsi="Consolas" w:cs="Consolas"/>
          <w:b w:val="0"/>
          <w:i w:val="0"/>
          <w:sz w:val="15"/>
        </w:rPr>
        <w:t>payment_reference TEXT,</w:t>
      </w:r>
    </w:p>
    <w:p>
      <w:pPr>
        <w:spacing w:after="0" w:before="0" w:line="240" w:lineRule="auto"/>
        <w:ind w:left="57"/>
        <w:jc w:val="left"/>
        <w:shd w:val="clear" w:fill="F2F2F2"/>
      </w:pPr>
      <w:r>
        <w:rPr>
          <w:rFonts w:ascii="Consolas" w:hAnsi="Consolas" w:cs="Consolas"/>
          <w:b w:val="0"/>
          <w:i w:val="0"/>
          <w:sz w:val="15"/>
        </w:rPr>
        <w:t>gross_amount DECIMAL(20,4),</w:t>
      </w:r>
    </w:p>
    <w:p>
      <w:pPr>
        <w:spacing w:after="0" w:before="0" w:line="240" w:lineRule="auto"/>
        <w:ind w:left="57"/>
        <w:jc w:val="left"/>
        <w:shd w:val="clear" w:fill="F2F2F2"/>
      </w:pPr>
      <w:r>
        <w:rPr>
          <w:rFonts w:ascii="Consolas" w:hAnsi="Consolas" w:cs="Consolas"/>
          <w:b w:val="0"/>
          <w:i w:val="0"/>
          <w:sz w:val="15"/>
        </w:rPr>
        <w:t xml:space="preserve"> bank_fee DECIMAL(20,4),</w:t>
      </w:r>
    </w:p>
    <w:p>
      <w:pPr>
        <w:spacing w:after="0" w:before="0" w:line="240" w:lineRule="auto"/>
        <w:ind w:left="57"/>
        <w:jc w:val="left"/>
        <w:shd w:val="clear" w:fill="F2F2F2"/>
      </w:pPr>
      <w:r>
        <w:rPr>
          <w:rFonts w:ascii="Consolas" w:hAnsi="Consolas" w:cs="Consolas"/>
          <w:b w:val="0"/>
          <w:i w:val="0"/>
          <w:sz w:val="15"/>
        </w:rPr>
        <w:t>bank_transaction_id TEXT,</w:t>
      </w:r>
    </w:p>
    <w:p>
      <w:pPr>
        <w:spacing w:after="0" w:before="0" w:line="240" w:lineRule="auto"/>
        <w:ind w:left="57"/>
        <w:jc w:val="left"/>
        <w:shd w:val="clear" w:fill="F2F2F2"/>
      </w:pPr>
      <w:r>
        <w:rPr>
          <w:rFonts w:ascii="Consolas" w:hAnsi="Consolas" w:cs="Consolas"/>
          <w:b w:val="0"/>
          <w:i w:val="0"/>
          <w:sz w:val="15"/>
        </w:rPr>
        <w:t>paid_at TIMESTAMPTZ,</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FeeLocks (NATS KV is source of truth)</w:t>
      </w:r>
    </w:p>
    <w:p>
      <w:pPr>
        <w:spacing w:after="0" w:before="0" w:line="240" w:lineRule="auto"/>
        <w:ind w:left="57"/>
        <w:jc w:val="left"/>
        <w:shd w:val="clear" w:fill="F2F2F2"/>
      </w:pPr>
      <w:r>
        <w:rPr>
          <w:rFonts w:ascii="Consolas" w:hAnsi="Consolas" w:cs="Consolas"/>
          <w:b w:val="0"/>
          <w:i w:val="0"/>
          <w:sz w:val="15"/>
        </w:rPr>
        <w:t>CREATE TABLE fee_locks (</w:t>
      </w:r>
    </w:p>
    <w:p>
      <w:pPr>
        <w:spacing w:after="0" w:before="0" w:line="240" w:lineRule="auto"/>
        <w:ind w:left="57"/>
        <w:jc w:val="left"/>
        <w:shd w:val="clear" w:fill="F2F2F2"/>
      </w:pPr>
      <w:r>
        <w:rPr>
          <w:rFonts w:ascii="Consolas" w:hAnsi="Consolas" w:cs="Consolas"/>
          <w:b w:val="0"/>
          <w:i w:val="0"/>
          <w:sz w:val="15"/>
        </w:rPr>
        <w:t>lock_id UUID PRIMARY KEY DEFAULT gen_random_uuid(),</w:t>
      </w:r>
    </w:p>
    <w:p>
      <w:pPr>
        <w:spacing w:after="0" w:before="0" w:line="240" w:lineRule="auto"/>
        <w:ind w:left="57"/>
        <w:jc w:val="left"/>
        <w:shd w:val="clear" w:fill="F2F2F2"/>
      </w:pPr>
      <w:r>
        <w:rPr>
          <w:rFonts w:ascii="Consolas" w:hAnsi="Consolas" w:cs="Consolas"/>
          <w:b w:val="0"/>
          <w:i w:val="0"/>
          <w:sz w:val="15"/>
        </w:rPr>
        <w:t>contract_id UUID REFERENCES contracts(id) ON DELETE SET NULL,</w:t>
      </w:r>
    </w:p>
    <w:p>
      <w:pPr>
        <w:spacing w:after="0" w:before="0" w:line="240" w:lineRule="auto"/>
        <w:ind w:left="57"/>
        <w:jc w:val="left"/>
        <w:shd w:val="clear" w:fill="F2F2F2"/>
      </w:pPr>
      <w:r>
        <w:rPr>
          <w:rFonts w:ascii="Consolas" w:hAnsi="Consolas" w:cs="Consolas"/>
          <w:b w:val="0"/>
          <w:i w:val="0"/>
          <w:sz w:val="15"/>
        </w:rPr>
        <w:t>contract_shipment_id UUID REFERENCES contract_shipments(id) ON DELETE SET NULL,</w:t>
      </w:r>
    </w:p>
    <w:p>
      <w:pPr>
        <w:spacing w:after="0" w:before="0" w:line="240" w:lineRule="auto"/>
        <w:ind w:left="57"/>
        <w:jc w:val="left"/>
        <w:shd w:val="clear" w:fill="F2F2F2"/>
      </w:pPr>
      <w:r>
        <w:rPr>
          <w:rFonts w:ascii="Consolas" w:hAnsi="Consolas" w:cs="Consolas"/>
          <w:b w:val="0"/>
          <w:i w:val="0"/>
          <w:sz w:val="15"/>
        </w:rPr>
        <w:t>financing_agreement_id UUID REFERENCES financing_agreements(id) ON DELETE SET NULL,</w:t>
      </w:r>
    </w:p>
    <w:p>
      <w:pPr>
        <w:spacing w:after="0" w:before="0" w:line="240" w:lineRule="auto"/>
        <w:ind w:left="57"/>
        <w:jc w:val="left"/>
        <w:shd w:val="clear" w:fill="F2F2F2"/>
      </w:pPr>
      <w:r>
        <w:rPr>
          <w:rFonts w:ascii="Consolas" w:hAnsi="Consolas" w:cs="Consolas"/>
          <w:b w:val="0"/>
          <w:i w:val="0"/>
          <w:sz w:val="15"/>
        </w:rPr>
        <w:t>ustn TEXT REFERENCES shipments(ustn) ON DELETE SET NULL,</w:t>
      </w:r>
    </w:p>
    <w:p>
      <w:pPr>
        <w:spacing w:after="0" w:before="0" w:line="240" w:lineRule="auto"/>
        <w:ind w:left="57"/>
        <w:jc w:val="left"/>
        <w:shd w:val="clear" w:fill="F2F2F2"/>
      </w:pPr>
      <w:r>
        <w:rPr>
          <w:rFonts w:ascii="Consolas" w:hAnsi="Consolas" w:cs="Consolas"/>
          <w:b w:val="0"/>
          <w:i w:val="0"/>
          <w:sz w:val="15"/>
        </w:rPr>
        <w:t>fee_rate_pct DECIMAL(5,4) NOT NULL,</w:t>
      </w:r>
    </w:p>
    <w:p>
      <w:pPr>
        <w:spacing w:after="0" w:before="0" w:line="240" w:lineRule="auto"/>
        <w:ind w:left="57"/>
        <w:jc w:val="left"/>
        <w:shd w:val="clear" w:fill="F2F2F2"/>
      </w:pPr>
      <w:r>
        <w:rPr>
          <w:rFonts w:ascii="Consolas" w:hAnsi="Consolas" w:cs="Consolas"/>
          <w:b w:val="0"/>
          <w:i w:val="0"/>
          <w:sz w:val="15"/>
        </w:rPr>
        <w:t>fee_usd DECIMAL(20,4) NOT NULL,</w:t>
      </w:r>
    </w:p>
    <w:p>
      <w:pPr>
        <w:spacing w:after="0" w:before="0" w:line="240" w:lineRule="auto"/>
        <w:ind w:left="57"/>
        <w:jc w:val="left"/>
        <w:shd w:val="clear" w:fill="F2F2F2"/>
      </w:pPr>
      <w:r>
        <w:rPr>
          <w:rFonts w:ascii="Consolas" w:hAnsi="Consolas" w:cs="Consolas"/>
          <w:b w:val="0"/>
          <w:i w:val="0"/>
          <w:sz w:val="15"/>
        </w:rPr>
        <w:t>status TEXT DEFAULT 'PENDING', -- 'PENDING', 'ACTIVE', 'PARTIALLY_RELEASED', 'DISPUTED',</w:t>
      </w:r>
    </w:p>
    <w:p>
      <w:pPr>
        <w:spacing w:after="0" w:before="0" w:line="240" w:lineRule="auto"/>
        <w:ind w:left="57"/>
        <w:jc w:val="left"/>
        <w:shd w:val="clear" w:fill="F2F2F2"/>
      </w:pPr>
      <w:r>
        <w:rPr>
          <w:rFonts w:ascii="Consolas" w:hAnsi="Consolas" w:cs="Consolas"/>
          <w:b w:val="0"/>
          <w:i w:val="0"/>
          <w:sz w:val="15"/>
        </w:rPr>
        <w:t>'CANCELLED'</w:t>
      </w:r>
    </w:p>
    <w:p>
      <w:pPr>
        <w:spacing w:after="0" w:before="0" w:line="240" w:lineRule="auto"/>
        <w:ind w:left="57"/>
        <w:jc w:val="left"/>
        <w:shd w:val="clear" w:fill="F2F2F2"/>
      </w:pPr>
      <w:r>
        <w:rPr>
          <w:rFonts w:ascii="Consolas" w:hAnsi="Consolas" w:cs="Consolas"/>
          <w:b w:val="0"/>
          <w:i w:val="0"/>
          <w:sz w:val="15"/>
        </w:rPr>
        <w:t>kv_version BIGINT,</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locked_at TIMESTAMPTZ DEFAULT NOW(),</w:t>
      </w:r>
    </w:p>
    <w:p>
      <w:pPr>
        <w:spacing w:after="0" w:before="0" w:line="240" w:lineRule="auto"/>
        <w:ind w:left="57"/>
        <w:jc w:val="left"/>
        <w:shd w:val="clear" w:fill="F2F2F2"/>
      </w:pPr>
      <w:r>
        <w:rPr>
          <w:rFonts w:ascii="Consolas" w:hAnsi="Consolas" w:cs="Consolas"/>
          <w:b w:val="0"/>
          <w:i w:val="0"/>
          <w:sz w:val="15"/>
        </w:rPr>
        <w:t>released_at TIMESTAMPTZ,</w:t>
      </w:r>
    </w:p>
    <w:p>
      <w:pPr>
        <w:spacing w:after="0" w:before="0" w:line="240" w:lineRule="auto"/>
        <w:ind w:left="57"/>
        <w:jc w:val="left"/>
        <w:shd w:val="clear" w:fill="F2F2F2"/>
      </w:pPr>
      <w:r>
        <w:rPr>
          <w:rFonts w:ascii="Consolas" w:hAnsi="Consolas" w:cs="Consolas"/>
          <w:b w:val="0"/>
          <w:i w:val="0"/>
          <w:sz w:val="15"/>
        </w:rPr>
        <w:t>fully_released_at TIMESTAMPTZ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Late fee events</w:t>
      </w:r>
    </w:p>
    <w:p>
      <w:pPr>
        <w:spacing w:after="0" w:before="0" w:line="240" w:lineRule="auto"/>
        <w:ind w:left="57"/>
        <w:jc w:val="left"/>
        <w:shd w:val="clear" w:fill="F2F2F2"/>
      </w:pPr>
      <w:r>
        <w:rPr>
          <w:rFonts w:ascii="Consolas" w:hAnsi="Consolas" w:cs="Consolas"/>
          <w:b w:val="0"/>
          <w:i w:val="0"/>
          <w:sz w:val="15"/>
        </w:rPr>
        <w:t>CREATE TABLE late_fee_events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fee_payment_request_id UUID NOT NULL REFERENCES fee_payment_requests(id) ON DELETE CASCADE,</w:t>
      </w:r>
    </w:p>
    <w:p>
      <w:pPr>
        <w:spacing w:after="0" w:before="0" w:line="240" w:lineRule="auto"/>
        <w:ind w:left="57"/>
        <w:jc w:val="left"/>
        <w:shd w:val="clear" w:fill="F2F2F2"/>
      </w:pPr>
      <w:r>
        <w:rPr>
          <w:rFonts w:ascii="Consolas" w:hAnsi="Consolas" w:cs="Consolas"/>
          <w:b w:val="0"/>
          <w:i w:val="0"/>
          <w:sz w:val="15"/>
        </w:rPr>
        <w:t>day_number INTEGER NOT NULL,</w:t>
      </w:r>
    </w:p>
    <w:p>
      <w:pPr>
        <w:spacing w:after="0" w:before="0" w:line="240" w:lineRule="auto"/>
        <w:ind w:left="57"/>
        <w:jc w:val="left"/>
        <w:shd w:val="clear" w:fill="F2F2F2"/>
      </w:pPr>
      <w:r>
        <w:rPr>
          <w:rFonts w:ascii="Consolas" w:hAnsi="Consolas" w:cs="Consolas"/>
          <w:b w:val="0"/>
          <w:i w:val="0"/>
          <w:sz w:val="15"/>
        </w:rPr>
        <w:t>late_fee_amount DECIMAL(20,4) NOT NULL,</w:t>
      </w:r>
    </w:p>
    <w:p>
      <w:pPr>
        <w:spacing w:after="0" w:before="0" w:line="240" w:lineRule="auto"/>
        <w:ind w:left="57"/>
        <w:jc w:val="left"/>
        <w:shd w:val="clear" w:fill="F2F2F2"/>
      </w:pPr>
      <w:r>
        <w:rPr>
          <w:rFonts w:ascii="Consolas" w:hAnsi="Consolas" w:cs="Consolas"/>
          <w:b w:val="0"/>
          <w:i w:val="0"/>
          <w:sz w:val="15"/>
        </w:rPr>
        <w:t>total_accrued DECIMAL(20,4) NOT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17.10.1 Fee Decision Schema (Dynamic Fee Engine)</w:t>
      </w:r>
    </w:p>
    <w:p>
      <w:pPr>
        <w:spacing w:after="80" w:line="293" w:lineRule="auto"/>
        <w:jc w:val="left"/>
      </w:pPr>
      <w:r>
        <w:rPr>
          <w:rFonts w:ascii="Times New Roman" w:hAnsi="Times New Roman" w:cs="Times New Roman"/>
          <w:b w:val="0"/>
          <w:i w:val="0"/>
          <w:sz w:val="22"/>
        </w:rPr>
        <w:t>Every platform fee produced by the Dynamic Fee Engine (Section 9.27) is recorded as an immutable fee decision: the canonical economic record of the calculation, its scores, modifiers, caps, and final amount. The fee decision is the audit and replay unit - fee_locks and fee_payment_requests remain authoritative for lock state and payment lifecycle, and each references the fee decision that priced the obligation. fee_calculations retains its payment gross-up role; the engine-side economic record is fee_decisions.</w:t>
      </w:r>
    </w:p>
    <w:p>
      <w:pPr>
        <w:spacing w:after="0" w:before="0" w:line="240" w:lineRule="auto"/>
        <w:ind w:left="57"/>
        <w:jc w:val="left"/>
        <w:shd w:val="clear" w:fill="F2F2F2"/>
      </w:pPr>
      <w:r>
        <w:rPr>
          <w:rFonts w:ascii="Consolas" w:hAnsi="Consolas" w:cs="Consolas"/>
          <w:b w:val="0"/>
          <w:i w:val="0"/>
          <w:sz w:val="15"/>
        </w:rPr>
        <w:t>-- Fee decisions (Dynamic Fee Engine canonical record; Section 9.27)</w:t>
      </w:r>
    </w:p>
    <w:p>
      <w:pPr>
        <w:spacing w:after="0" w:before="0" w:line="240" w:lineRule="auto"/>
        <w:ind w:left="57"/>
        <w:jc w:val="left"/>
        <w:shd w:val="clear" w:fill="F2F2F2"/>
      </w:pPr>
      <w:r>
        <w:rPr>
          <w:rFonts w:ascii="Consolas" w:hAnsi="Consolas" w:cs="Consolas"/>
          <w:b w:val="0"/>
          <w:i w:val="0"/>
          <w:sz w:val="15"/>
        </w:rPr>
        <w:t>CREATE TABLE fee_decisions (</w:t>
      </w:r>
    </w:p>
    <w:p>
      <w:pPr>
        <w:spacing w:after="0" w:before="0" w:line="240" w:lineRule="auto"/>
        <w:ind w:left="57"/>
        <w:jc w:val="left"/>
        <w:shd w:val="clear" w:fill="F2F2F2"/>
      </w:pPr>
      <w:r>
        <w:rPr>
          <w:rFonts w:ascii="Consolas" w:hAnsi="Consolas" w:cs="Consolas"/>
          <w:b w:val="0"/>
          <w:i w:val="0"/>
          <w:sz w:val="15"/>
        </w:rPr>
        <w:t xml:space="preserve">    fee_decision_id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contract_id UUID REFERENCES contracts(id) ON DELETE SET NULL,</w:t>
      </w:r>
    </w:p>
    <w:p>
      <w:pPr>
        <w:spacing w:after="0" w:before="0" w:line="240" w:lineRule="auto"/>
        <w:ind w:left="57"/>
        <w:jc w:val="left"/>
        <w:shd w:val="clear" w:fill="F2F2F2"/>
      </w:pPr>
      <w:r>
        <w:rPr>
          <w:rFonts w:ascii="Consolas" w:hAnsi="Consolas" w:cs="Consolas"/>
          <w:b w:val="0"/>
          <w:i w:val="0"/>
          <w:sz w:val="15"/>
        </w:rPr>
        <w:t xml:space="preserve">    contract_shipment_id UUID REFERENCES contract_shipments(id) ON DELETE SET NULL,</w:t>
      </w:r>
    </w:p>
    <w:p>
      <w:pPr>
        <w:spacing w:after="0" w:before="0" w:line="240" w:lineRule="auto"/>
        <w:ind w:left="57"/>
        <w:jc w:val="left"/>
        <w:shd w:val="clear" w:fill="F2F2F2"/>
      </w:pPr>
      <w:r>
        <w:rPr>
          <w:rFonts w:ascii="Consolas" w:hAnsi="Consolas" w:cs="Consolas"/>
          <w:b w:val="0"/>
          <w:i w:val="0"/>
          <w:sz w:val="15"/>
        </w:rPr>
        <w:t xml:space="preserve">    party_gtid TEXT NOT NULL,</w:t>
      </w:r>
    </w:p>
    <w:p>
      <w:pPr>
        <w:spacing w:after="0" w:before="0" w:line="240" w:lineRule="auto"/>
        <w:ind w:left="57"/>
        <w:jc w:val="left"/>
        <w:shd w:val="clear" w:fill="F2F2F2"/>
      </w:pPr>
      <w:r>
        <w:rPr>
          <w:rFonts w:ascii="Consolas" w:hAnsi="Consolas" w:cs="Consolas"/>
          <w:b w:val="0"/>
          <w:i w:val="0"/>
          <w:sz w:val="15"/>
        </w:rPr>
        <w:t xml:space="preserve">    party_type TEXT NOT NULL,                    -- 'seller', 'buyer'</w:t>
      </w:r>
    </w:p>
    <w:p>
      <w:pPr>
        <w:spacing w:after="0" w:before="0" w:line="240" w:lineRule="auto"/>
        <w:ind w:left="57"/>
        <w:jc w:val="left"/>
        <w:shd w:val="clear" w:fill="F2F2F2"/>
      </w:pPr>
      <w:r>
        <w:rPr>
          <w:rFonts w:ascii="Consolas" w:hAnsi="Consolas" w:cs="Consolas"/>
          <w:b w:val="0"/>
          <w:i w:val="0"/>
          <w:sz w:val="15"/>
        </w:rPr>
        <w:t xml:space="preserve">    fee_policy_id TEXT NOT NULL,</w:t>
      </w:r>
    </w:p>
    <w:p>
      <w:pPr>
        <w:spacing w:after="0" w:before="0" w:line="240" w:lineRule="auto"/>
        <w:ind w:left="57"/>
        <w:jc w:val="left"/>
        <w:shd w:val="clear" w:fill="F2F2F2"/>
      </w:pPr>
      <w:r>
        <w:rPr>
          <w:rFonts w:ascii="Consolas" w:hAnsi="Consolas" w:cs="Consolas"/>
          <w:b w:val="0"/>
          <w:i w:val="0"/>
          <w:sz w:val="15"/>
        </w:rPr>
        <w:t xml:space="preserve">    fee_policy_version INTEGER NOT NULL,</w:t>
      </w:r>
    </w:p>
    <w:p>
      <w:pPr>
        <w:spacing w:after="0" w:before="0" w:line="240" w:lineRule="auto"/>
        <w:ind w:left="57"/>
        <w:jc w:val="left"/>
        <w:shd w:val="clear" w:fill="F2F2F2"/>
      </w:pPr>
      <w:r>
        <w:rPr>
          <w:rFonts w:ascii="Consolas" w:hAnsi="Consolas" w:cs="Consolas"/>
          <w:b w:val="0"/>
          <w:i w:val="0"/>
          <w:sz w:val="15"/>
        </w:rPr>
        <w:t xml:space="preserve">    fee_formula_version INTEGER NOT NULL,</w:t>
      </w:r>
    </w:p>
    <w:p>
      <w:pPr>
        <w:spacing w:after="0" w:before="0" w:line="240" w:lineRule="auto"/>
        <w:ind w:left="57"/>
        <w:jc w:val="left"/>
        <w:shd w:val="clear" w:fill="F2F2F2"/>
      </w:pPr>
      <w:r>
        <w:rPr>
          <w:rFonts w:ascii="Consolas" w:hAnsi="Consolas" w:cs="Consolas"/>
          <w:b w:val="0"/>
          <w:i w:val="0"/>
          <w:sz w:val="15"/>
        </w:rPr>
        <w:t xml:space="preserve">    fee_basis_type TEXT NOT NULL,                -- 'CFB'</w:t>
      </w:r>
    </w:p>
    <w:p>
      <w:pPr>
        <w:spacing w:after="0" w:before="0" w:line="240" w:lineRule="auto"/>
        <w:ind w:left="57"/>
        <w:jc w:val="left"/>
        <w:shd w:val="clear" w:fill="F2F2F2"/>
      </w:pPr>
      <w:r>
        <w:rPr>
          <w:rFonts w:ascii="Consolas" w:hAnsi="Consolas" w:cs="Consolas"/>
          <w:b w:val="0"/>
          <w:i w:val="0"/>
          <w:sz w:val="15"/>
        </w:rPr>
        <w:t xml:space="preserve">    fee_basis_value DECIMAL(20,4) NOT NULL,</w:t>
      </w:r>
    </w:p>
    <w:p>
      <w:pPr>
        <w:spacing w:after="0" w:before="0" w:line="240" w:lineRule="auto"/>
        <w:ind w:left="57"/>
        <w:jc w:val="left"/>
        <w:shd w:val="clear" w:fill="F2F2F2"/>
      </w:pPr>
      <w:r>
        <w:rPr>
          <w:rFonts w:ascii="Consolas" w:hAnsi="Consolas" w:cs="Consolas"/>
          <w:b w:val="0"/>
          <w:i w:val="0"/>
          <w:sz w:val="15"/>
        </w:rPr>
        <w:t xml:space="preserve">    fee_basis_currency TEXT DEFAULT 'USD',</w:t>
      </w:r>
    </w:p>
    <w:p>
      <w:pPr>
        <w:spacing w:after="0" w:before="0" w:line="240" w:lineRule="auto"/>
        <w:ind w:left="57"/>
        <w:jc w:val="left"/>
        <w:shd w:val="clear" w:fill="F2F2F2"/>
      </w:pPr>
      <w:r>
        <w:rPr>
          <w:rFonts w:ascii="Consolas" w:hAnsi="Consolas" w:cs="Consolas"/>
          <w:b w:val="0"/>
          <w:i w:val="0"/>
          <w:sz w:val="15"/>
        </w:rPr>
        <w:t xml:space="preserve">    commodity_class TEXT,</w:t>
      </w:r>
    </w:p>
    <w:p>
      <w:pPr>
        <w:spacing w:after="0" w:before="0" w:line="240" w:lineRule="auto"/>
        <w:ind w:left="57"/>
        <w:jc w:val="left"/>
        <w:shd w:val="clear" w:fill="F2F2F2"/>
      </w:pPr>
      <w:r>
        <w:rPr>
          <w:rFonts w:ascii="Consolas" w:hAnsi="Consolas" w:cs="Consolas"/>
          <w:b w:val="0"/>
          <w:i w:val="0"/>
          <w:sz w:val="15"/>
        </w:rPr>
        <w:t xml:space="preserve">    special_class TEXT,</w:t>
      </w:r>
    </w:p>
    <w:p>
      <w:pPr>
        <w:spacing w:after="0" w:before="0" w:line="240" w:lineRule="auto"/>
        <w:ind w:left="57"/>
        <w:jc w:val="left"/>
        <w:shd w:val="clear" w:fill="F2F2F2"/>
      </w:pPr>
      <w:r>
        <w:rPr>
          <w:rFonts w:ascii="Consolas" w:hAnsi="Consolas" w:cs="Consolas"/>
          <w:b w:val="0"/>
          <w:i w:val="0"/>
          <w:sz w:val="15"/>
        </w:rPr>
        <w:t xml:space="preserve">    bulk_flag BOOLEAN DEFAULT false,</w:t>
      </w:r>
    </w:p>
    <w:p>
      <w:pPr>
        <w:spacing w:after="0" w:before="0" w:line="240" w:lineRule="auto"/>
        <w:ind w:left="57"/>
        <w:jc w:val="left"/>
        <w:shd w:val="clear" w:fill="F2F2F2"/>
      </w:pPr>
      <w:r>
        <w:rPr>
          <w:rFonts w:ascii="Consolas" w:hAnsi="Consolas" w:cs="Consolas"/>
          <w:b w:val="0"/>
          <w:i w:val="0"/>
          <w:sz w:val="15"/>
        </w:rPr>
        <w:t xml:space="preserve">    essential_flag BOOLEAN DEFAULT false,</w:t>
      </w:r>
    </w:p>
    <w:p>
      <w:pPr>
        <w:spacing w:after="0" w:before="0" w:line="240" w:lineRule="auto"/>
        <w:ind w:left="57"/>
        <w:jc w:val="left"/>
        <w:shd w:val="clear" w:fill="F2F2F2"/>
      </w:pPr>
      <w:r>
        <w:rPr>
          <w:rFonts w:ascii="Consolas" w:hAnsi="Consolas" w:cs="Consolas"/>
          <w:b w:val="0"/>
          <w:i w:val="0"/>
          <w:sz w:val="15"/>
        </w:rPr>
        <w:t xml:space="preserve">    high_value_low_margin_flag BOOLEAN DEFAULT false,</w:t>
      </w:r>
    </w:p>
    <w:p>
      <w:pPr>
        <w:spacing w:after="0" w:before="0" w:line="240" w:lineRule="auto"/>
        <w:ind w:left="57"/>
        <w:jc w:val="left"/>
        <w:shd w:val="clear" w:fill="F2F2F2"/>
      </w:pPr>
      <w:r>
        <w:rPr>
          <w:rFonts w:ascii="Consolas" w:hAnsi="Consolas" w:cs="Consolas"/>
          <w:b w:val="0"/>
          <w:i w:val="0"/>
          <w:sz w:val="15"/>
        </w:rPr>
        <w:t xml:space="preserve">    cts_score NUMERIC(6,2),</w:t>
      </w:r>
    </w:p>
    <w:p>
      <w:pPr>
        <w:spacing w:after="0" w:before="0" w:line="240" w:lineRule="auto"/>
        <w:ind w:left="57"/>
        <w:jc w:val="left"/>
        <w:shd w:val="clear" w:fill="F2F2F2"/>
      </w:pPr>
      <w:r>
        <w:rPr>
          <w:rFonts w:ascii="Consolas" w:hAnsi="Consolas" w:cs="Consolas"/>
          <w:b w:val="0"/>
          <w:i w:val="0"/>
          <w:sz w:val="15"/>
        </w:rPr>
        <w:t xml:space="preserve">    risk_score NUMERIC(6,2),</w:t>
      </w:r>
    </w:p>
    <w:p>
      <w:pPr>
        <w:spacing w:after="0" w:before="0" w:line="240" w:lineRule="auto"/>
        <w:ind w:left="57"/>
        <w:jc w:val="left"/>
        <w:shd w:val="clear" w:fill="F2F2F2"/>
      </w:pPr>
      <w:r>
        <w:rPr>
          <w:rFonts w:ascii="Consolas" w:hAnsi="Consolas" w:cs="Consolas"/>
          <w:b w:val="0"/>
          <w:i w:val="0"/>
          <w:sz w:val="15"/>
        </w:rPr>
        <w:t xml:space="preserve">    value_score NUMERIC(6,2),</w:t>
      </w:r>
    </w:p>
    <w:p>
      <w:pPr>
        <w:spacing w:after="0" w:before="0" w:line="240" w:lineRule="auto"/>
        <w:ind w:left="57"/>
        <w:jc w:val="left"/>
        <w:shd w:val="clear" w:fill="F2F2F2"/>
      </w:pPr>
      <w:r>
        <w:rPr>
          <w:rFonts w:ascii="Consolas" w:hAnsi="Consolas" w:cs="Consolas"/>
          <w:b w:val="0"/>
          <w:i w:val="0"/>
          <w:sz w:val="15"/>
        </w:rPr>
        <w:t xml:space="preserve">    efficiency_score NUMERIC(6,2),</w:t>
      </w:r>
    </w:p>
    <w:p>
      <w:pPr>
        <w:spacing w:after="0" w:before="0" w:line="240" w:lineRule="auto"/>
        <w:ind w:left="57"/>
        <w:jc w:val="left"/>
        <w:shd w:val="clear" w:fill="F2F2F2"/>
      </w:pPr>
      <w:r>
        <w:rPr>
          <w:rFonts w:ascii="Consolas" w:hAnsi="Consolas" w:cs="Consolas"/>
          <w:b w:val="0"/>
          <w:i w:val="0"/>
          <w:sz w:val="15"/>
        </w:rPr>
        <w:t xml:space="preserve">    fairness_score NUMERIC(6,2),</w:t>
      </w:r>
    </w:p>
    <w:p>
      <w:pPr>
        <w:spacing w:after="0" w:before="0" w:line="240" w:lineRule="auto"/>
        <w:ind w:left="57"/>
        <w:jc w:val="left"/>
        <w:shd w:val="clear" w:fill="F2F2F2"/>
      </w:pPr>
      <w:r>
        <w:rPr>
          <w:rFonts w:ascii="Consolas" w:hAnsi="Consolas" w:cs="Consolas"/>
          <w:b w:val="0"/>
          <w:i w:val="0"/>
          <w:sz w:val="15"/>
        </w:rPr>
        <w:t xml:space="preserve">    raw_rate DECIMAL(9,6),</w:t>
      </w:r>
    </w:p>
    <w:p>
      <w:pPr>
        <w:spacing w:after="0" w:before="0" w:line="240" w:lineRule="auto"/>
        <w:ind w:left="57"/>
        <w:jc w:val="left"/>
        <w:shd w:val="clear" w:fill="F2F2F2"/>
      </w:pPr>
      <w:r>
        <w:rPr>
          <w:rFonts w:ascii="Consolas" w:hAnsi="Consolas" w:cs="Consolas"/>
          <w:b w:val="0"/>
          <w:i w:val="0"/>
          <w:sz w:val="15"/>
        </w:rPr>
        <w:t xml:space="preserve">    classification_modifier NUMERIC(9,6) DEFAULT 1.0,</w:t>
      </w:r>
    </w:p>
    <w:p>
      <w:pPr>
        <w:spacing w:after="0" w:before="0" w:line="240" w:lineRule="auto"/>
        <w:ind w:left="57"/>
        <w:jc w:val="left"/>
        <w:shd w:val="clear" w:fill="F2F2F2"/>
      </w:pPr>
      <w:r>
        <w:rPr>
          <w:rFonts w:ascii="Consolas" w:hAnsi="Consolas" w:cs="Consolas"/>
          <w:b w:val="0"/>
          <w:i w:val="0"/>
          <w:sz w:val="15"/>
        </w:rPr>
        <w:t xml:space="preserve">    discount_rate DECIMAL(9,6) DEFAULT 0,</w:t>
      </w:r>
    </w:p>
    <w:p>
      <w:pPr>
        <w:spacing w:after="0" w:before="0" w:line="240" w:lineRule="auto"/>
        <w:ind w:left="57"/>
        <w:jc w:val="left"/>
        <w:shd w:val="clear" w:fill="F2F2F2"/>
      </w:pPr>
      <w:r>
        <w:rPr>
          <w:rFonts w:ascii="Consolas" w:hAnsi="Consolas" w:cs="Consolas"/>
          <w:b w:val="0"/>
          <w:i w:val="0"/>
          <w:sz w:val="15"/>
        </w:rPr>
        <w:t xml:space="preserve">    effective_rate DECIMAL(9,6) NOT NULL,</w:t>
      </w:r>
    </w:p>
    <w:p>
      <w:pPr>
        <w:spacing w:after="0" w:before="0" w:line="240" w:lineRule="auto"/>
        <w:ind w:left="57"/>
        <w:jc w:val="left"/>
        <w:shd w:val="clear" w:fill="F2F2F2"/>
      </w:pPr>
      <w:r>
        <w:rPr>
          <w:rFonts w:ascii="Consolas" w:hAnsi="Consolas" w:cs="Consolas"/>
          <w:b w:val="0"/>
          <w:i w:val="0"/>
          <w:sz w:val="15"/>
        </w:rPr>
        <w:t xml:space="preserve">    declared_margin NUMERIC(9,6),</w:t>
      </w:r>
    </w:p>
    <w:p>
      <w:pPr>
        <w:spacing w:after="0" w:before="0" w:line="240" w:lineRule="auto"/>
        <w:ind w:left="57"/>
        <w:jc w:val="left"/>
        <w:shd w:val="clear" w:fill="F2F2F2"/>
      </w:pPr>
      <w:r>
        <w:rPr>
          <w:rFonts w:ascii="Consolas" w:hAnsi="Consolas" w:cs="Consolas"/>
          <w:b w:val="0"/>
          <w:i w:val="0"/>
          <w:sz w:val="15"/>
        </w:rPr>
        <w:t xml:space="preserve">    reference_margin NUMERIC(9,6),</w:t>
      </w:r>
    </w:p>
    <w:p>
      <w:pPr>
        <w:spacing w:after="0" w:before="0" w:line="240" w:lineRule="auto"/>
        <w:ind w:left="57"/>
        <w:jc w:val="left"/>
        <w:shd w:val="clear" w:fill="F2F2F2"/>
      </w:pPr>
      <w:r>
        <w:rPr>
          <w:rFonts w:ascii="Consolas" w:hAnsi="Consolas" w:cs="Consolas"/>
          <w:b w:val="0"/>
          <w:i w:val="0"/>
          <w:sz w:val="15"/>
        </w:rPr>
        <w:t xml:space="preserve">    estimated_margin NUMERIC(9,6),</w:t>
      </w:r>
    </w:p>
    <w:p>
      <w:pPr>
        <w:spacing w:after="0" w:before="0" w:line="240" w:lineRule="auto"/>
        <w:ind w:left="57"/>
        <w:jc w:val="left"/>
        <w:shd w:val="clear" w:fill="F2F2F2"/>
      </w:pPr>
      <w:r>
        <w:rPr>
          <w:rFonts w:ascii="Consolas" w:hAnsi="Consolas" w:cs="Consolas"/>
          <w:b w:val="0"/>
          <w:i w:val="0"/>
          <w:sz w:val="15"/>
        </w:rPr>
        <w:t xml:space="preserve">    margin_confidence NUMERIC(6,2),</w:t>
      </w:r>
    </w:p>
    <w:p>
      <w:pPr>
        <w:spacing w:after="0" w:before="0" w:line="240" w:lineRule="auto"/>
        <w:ind w:left="57"/>
        <w:jc w:val="left"/>
        <w:shd w:val="clear" w:fill="F2F2F2"/>
      </w:pPr>
      <w:r>
        <w:rPr>
          <w:rFonts w:ascii="Consolas" w:hAnsi="Consolas" w:cs="Consolas"/>
          <w:b w:val="0"/>
          <w:i w:val="0"/>
          <w:sz w:val="15"/>
        </w:rPr>
        <w:t xml:space="preserve">    fair_fee DECIMAL(20,4),</w:t>
      </w:r>
    </w:p>
    <w:p>
      <w:pPr>
        <w:spacing w:after="0" w:before="0" w:line="240" w:lineRule="auto"/>
        <w:ind w:left="57"/>
        <w:jc w:val="left"/>
        <w:shd w:val="clear" w:fill="F2F2F2"/>
      </w:pPr>
      <w:r>
        <w:rPr>
          <w:rFonts w:ascii="Consolas" w:hAnsi="Consolas" w:cs="Consolas"/>
          <w:b w:val="0"/>
          <w:i w:val="0"/>
          <w:sz w:val="15"/>
        </w:rPr>
        <w:t xml:space="preserve">    affordability_cap DECIMAL(20,4),</w:t>
      </w:r>
    </w:p>
    <w:p>
      <w:pPr>
        <w:spacing w:after="0" w:before="0" w:line="240" w:lineRule="auto"/>
        <w:ind w:left="57"/>
        <w:jc w:val="left"/>
        <w:shd w:val="clear" w:fill="F2F2F2"/>
      </w:pPr>
      <w:r>
        <w:rPr>
          <w:rFonts w:ascii="Consolas" w:hAnsi="Consolas" w:cs="Consolas"/>
          <w:b w:val="0"/>
          <w:i w:val="0"/>
          <w:sz w:val="15"/>
        </w:rPr>
        <w:t xml:space="preserve">    special_stock_cap DECIMAL(20,4),</w:t>
      </w:r>
    </w:p>
    <w:p>
      <w:pPr>
        <w:spacing w:after="0" w:before="0" w:line="240" w:lineRule="auto"/>
        <w:ind w:left="57"/>
        <w:jc w:val="left"/>
        <w:shd w:val="clear" w:fill="F2F2F2"/>
      </w:pPr>
      <w:r>
        <w:rPr>
          <w:rFonts w:ascii="Consolas" w:hAnsi="Consolas" w:cs="Consolas"/>
          <w:b w:val="0"/>
          <w:i w:val="0"/>
          <w:sz w:val="15"/>
        </w:rPr>
        <w:t xml:space="preserve">    bulk_cap DECIMAL(20,4),</w:t>
      </w:r>
    </w:p>
    <w:p>
      <w:pPr>
        <w:spacing w:after="0" w:before="0" w:line="240" w:lineRule="auto"/>
        <w:ind w:left="57"/>
        <w:jc w:val="left"/>
        <w:shd w:val="clear" w:fill="F2F2F2"/>
      </w:pPr>
      <w:r>
        <w:rPr>
          <w:rFonts w:ascii="Consolas" w:hAnsi="Consolas" w:cs="Consolas"/>
          <w:b w:val="0"/>
          <w:i w:val="0"/>
          <w:sz w:val="15"/>
        </w:rPr>
        <w:t xml:space="preserve">    essential_cap DECIMAL(20,4),</w:t>
      </w:r>
    </w:p>
    <w:p>
      <w:pPr>
        <w:spacing w:after="0" w:before="0" w:line="240" w:lineRule="auto"/>
        <w:ind w:left="57"/>
        <w:jc w:val="left"/>
        <w:shd w:val="clear" w:fill="F2F2F2"/>
      </w:pPr>
      <w:r>
        <w:rPr>
          <w:rFonts w:ascii="Consolas" w:hAnsi="Consolas" w:cs="Consolas"/>
          <w:b w:val="0"/>
          <w:i w:val="0"/>
          <w:sz w:val="15"/>
        </w:rPr>
        <w:t xml:space="preserve">    constitutional_cap DECIMAL(20,4) NOT NULL,</w:t>
      </w:r>
    </w:p>
    <w:p>
      <w:pPr>
        <w:spacing w:after="0" w:before="0" w:line="240" w:lineRule="auto"/>
        <w:ind w:left="57"/>
        <w:jc w:val="left"/>
        <w:shd w:val="clear" w:fill="F2F2F2"/>
      </w:pPr>
      <w:r>
        <w:rPr>
          <w:rFonts w:ascii="Consolas" w:hAnsi="Consolas" w:cs="Consolas"/>
          <w:b w:val="0"/>
          <w:i w:val="0"/>
          <w:sz w:val="15"/>
        </w:rPr>
        <w:t xml:space="preserve">    cost_to_serve_floor DECIMAL(20,4),</w:t>
      </w:r>
    </w:p>
    <w:p>
      <w:pPr>
        <w:spacing w:after="0" w:before="0" w:line="240" w:lineRule="auto"/>
        <w:ind w:left="57"/>
        <w:jc w:val="left"/>
        <w:shd w:val="clear" w:fill="F2F2F2"/>
      </w:pPr>
      <w:r>
        <w:rPr>
          <w:rFonts w:ascii="Consolas" w:hAnsi="Consolas" w:cs="Consolas"/>
          <w:b w:val="0"/>
          <w:i w:val="0"/>
          <w:sz w:val="15"/>
        </w:rPr>
        <w:t xml:space="preserve">    final_fee DECIMAL(20,4) NOT NULL,</w:t>
      </w:r>
    </w:p>
    <w:p>
      <w:pPr>
        <w:spacing w:after="0" w:before="0" w:line="240" w:lineRule="auto"/>
        <w:ind w:left="57"/>
        <w:jc w:val="left"/>
        <w:shd w:val="clear" w:fill="F2F2F2"/>
      </w:pPr>
      <w:r>
        <w:rPr>
          <w:rFonts w:ascii="Consolas" w:hAnsi="Consolas" w:cs="Consolas"/>
          <w:b w:val="0"/>
          <w:i w:val="0"/>
          <w:sz w:val="15"/>
        </w:rPr>
        <w:t xml:space="preserve">    final_currency TEXT DEFAULT 'USD',</w:t>
      </w:r>
    </w:p>
    <w:p>
      <w:pPr>
        <w:spacing w:after="0" w:before="0" w:line="240" w:lineRule="auto"/>
        <w:ind w:left="57"/>
        <w:jc w:val="left"/>
        <w:shd w:val="clear" w:fill="F2F2F2"/>
      </w:pPr>
      <w:r>
        <w:rPr>
          <w:rFonts w:ascii="Consolas" w:hAnsi="Consolas" w:cs="Consolas"/>
          <w:b w:val="0"/>
          <w:i w:val="0"/>
          <w:sz w:val="15"/>
        </w:rPr>
        <w:t xml:space="preserve">    fee_confidence NUMERIC(6,2),</w:t>
      </w:r>
    </w:p>
    <w:p>
      <w:pPr>
        <w:spacing w:after="0" w:before="0" w:line="240" w:lineRule="auto"/>
        <w:ind w:left="57"/>
        <w:jc w:val="left"/>
        <w:shd w:val="clear" w:fill="F2F2F2"/>
      </w:pPr>
      <w:r>
        <w:rPr>
          <w:rFonts w:ascii="Consolas" w:hAnsi="Consolas" w:cs="Consolas"/>
          <w:b w:val="0"/>
          <w:i w:val="0"/>
          <w:sz w:val="15"/>
        </w:rPr>
        <w:t xml:space="preserve">    fx_snapshot JSONB,</w:t>
      </w:r>
    </w:p>
    <w:p>
      <w:pPr>
        <w:spacing w:after="0" w:before="0" w:line="240" w:lineRule="auto"/>
        <w:ind w:left="57"/>
        <w:jc w:val="left"/>
        <w:shd w:val="clear" w:fill="F2F2F2"/>
      </w:pPr>
      <w:r>
        <w:rPr>
          <w:rFonts w:ascii="Consolas" w:hAnsi="Consolas" w:cs="Consolas"/>
          <w:b w:val="0"/>
          <w:i w:val="0"/>
          <w:sz w:val="15"/>
        </w:rPr>
        <w:t xml:space="preserve">    evidence_hash TEXT,</w:t>
      </w:r>
    </w:p>
    <w:p>
      <w:pPr>
        <w:spacing w:after="0" w:before="0" w:line="240" w:lineRule="auto"/>
        <w:ind w:left="57"/>
        <w:jc w:val="left"/>
        <w:shd w:val="clear" w:fill="F2F2F2"/>
      </w:pPr>
      <w:r>
        <w:rPr>
          <w:rFonts w:ascii="Consolas" w:hAnsi="Consolas" w:cs="Consolas"/>
          <w:b w:val="0"/>
          <w:i w:val="0"/>
          <w:sz w:val="15"/>
        </w:rPr>
        <w:t xml:space="preserve">    input_snapshot_hash TEXT,</w:t>
      </w:r>
    </w:p>
    <w:p>
      <w:pPr>
        <w:spacing w:after="0" w:before="0" w:line="240" w:lineRule="auto"/>
        <w:ind w:left="57"/>
        <w:jc w:val="left"/>
        <w:shd w:val="clear" w:fill="F2F2F2"/>
      </w:pPr>
      <w:r>
        <w:rPr>
          <w:rFonts w:ascii="Consolas" w:hAnsi="Consolas" w:cs="Consolas"/>
          <w:b w:val="0"/>
          <w:i w:val="0"/>
          <w:sz w:val="15"/>
        </w:rPr>
        <w:t xml:space="preserve">    decision_hash TEXT,</w:t>
      </w:r>
    </w:p>
    <w:p>
      <w:pPr>
        <w:spacing w:after="0" w:before="0" w:line="240" w:lineRule="auto"/>
        <w:ind w:left="57"/>
        <w:jc w:val="left"/>
        <w:shd w:val="clear" w:fill="F2F2F2"/>
      </w:pPr>
      <w:r>
        <w:rPr>
          <w:rFonts w:ascii="Consolas" w:hAnsi="Consolas" w:cs="Consolas"/>
          <w:b w:val="0"/>
          <w:i w:val="0"/>
          <w:sz w:val="15"/>
        </w:rPr>
        <w:t xml:space="preserve">    calculation_trace JSONB NOT NULL,            -- full trace, no hidden steps (9.27.25)</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calculated_at TIMESTAMPTZ DEFAULT NOW(),</w:t>
      </w:r>
    </w:p>
    <w:p>
      <w:pPr>
        <w:spacing w:after="0" w:before="0" w:line="240" w:lineRule="auto"/>
        <w:ind w:left="57"/>
        <w:jc w:val="left"/>
        <w:shd w:val="clear" w:fill="F2F2F2"/>
      </w:pPr>
      <w:r>
        <w:rPr>
          <w:rFonts w:ascii="Consolas" w:hAnsi="Consolas" w:cs="Consolas"/>
          <w:b w:val="0"/>
          <w:i w:val="0"/>
          <w:sz w:val="15"/>
        </w:rPr>
        <w:t xml:space="preserve">    locked_at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Contracts fee metadata (Dynamic Fee Engine)</w:t>
      </w:r>
    </w:p>
    <w:p>
      <w:pPr>
        <w:spacing w:after="0" w:before="0" w:line="240" w:lineRule="auto"/>
        <w:ind w:left="57"/>
        <w:jc w:val="left"/>
        <w:shd w:val="clear" w:fill="F2F2F2"/>
      </w:pPr>
      <w:r>
        <w:rPr>
          <w:rFonts w:ascii="Consolas" w:hAnsi="Consolas" w:cs="Consolas"/>
          <w:b w:val="0"/>
          <w:i w:val="0"/>
          <w:sz w:val="15"/>
        </w:rPr>
        <w:t>ALTER TABLE contracts</w:t>
      </w:r>
    </w:p>
    <w:p>
      <w:pPr>
        <w:spacing w:after="0" w:before="0" w:line="240" w:lineRule="auto"/>
        <w:ind w:left="57"/>
        <w:jc w:val="left"/>
        <w:shd w:val="clear" w:fill="F2F2F2"/>
      </w:pPr>
      <w:r>
        <w:rPr>
          <w:rFonts w:ascii="Consolas" w:hAnsi="Consolas" w:cs="Consolas"/>
          <w:b w:val="0"/>
          <w:i w:val="0"/>
          <w:sz w:val="15"/>
        </w:rPr>
        <w:t xml:space="preserve">    ADD COLUMN IF NOT EXISTS fee_policy_id TEXT,</w:t>
      </w:r>
    </w:p>
    <w:p>
      <w:pPr>
        <w:spacing w:after="0" w:before="0" w:line="240" w:lineRule="auto"/>
        <w:ind w:left="57"/>
        <w:jc w:val="left"/>
        <w:shd w:val="clear" w:fill="F2F2F2"/>
      </w:pPr>
      <w:r>
        <w:rPr>
          <w:rFonts w:ascii="Consolas" w:hAnsi="Consolas" w:cs="Consolas"/>
          <w:b w:val="0"/>
          <w:i w:val="0"/>
          <w:sz w:val="15"/>
        </w:rPr>
        <w:t xml:space="preserve">    ADD COLUMN IF NOT EXISTS fee_policy_version INTEGER,</w:t>
      </w:r>
    </w:p>
    <w:p>
      <w:pPr>
        <w:spacing w:after="0" w:before="0" w:line="240" w:lineRule="auto"/>
        <w:ind w:left="57"/>
        <w:jc w:val="left"/>
        <w:shd w:val="clear" w:fill="F2F2F2"/>
      </w:pPr>
      <w:r>
        <w:rPr>
          <w:rFonts w:ascii="Consolas" w:hAnsi="Consolas" w:cs="Consolas"/>
          <w:b w:val="0"/>
          <w:i w:val="0"/>
          <w:sz w:val="15"/>
        </w:rPr>
        <w:t xml:space="preserve">    ADD COLUMN IF NOT EXISTS fee_formula_version INTEGER,</w:t>
      </w:r>
    </w:p>
    <w:p>
      <w:pPr>
        <w:spacing w:after="0" w:before="0" w:line="240" w:lineRule="auto"/>
        <w:ind w:left="57"/>
        <w:jc w:val="left"/>
        <w:shd w:val="clear" w:fill="F2F2F2"/>
      </w:pPr>
      <w:r>
        <w:rPr>
          <w:rFonts w:ascii="Consolas" w:hAnsi="Consolas" w:cs="Consolas"/>
          <w:b w:val="0"/>
          <w:i w:val="0"/>
          <w:sz w:val="15"/>
        </w:rPr>
        <w:t xml:space="preserve">    ADD COLUMN IF NOT EXISTS fee_basis_type TEXT DEFAULT 'CFB',</w:t>
      </w:r>
    </w:p>
    <w:p>
      <w:pPr>
        <w:spacing w:after="0" w:before="0" w:line="240" w:lineRule="auto"/>
        <w:ind w:left="57"/>
        <w:jc w:val="left"/>
        <w:shd w:val="clear" w:fill="F2F2F2"/>
      </w:pPr>
      <w:r>
        <w:rPr>
          <w:rFonts w:ascii="Consolas" w:hAnsi="Consolas" w:cs="Consolas"/>
          <w:b w:val="0"/>
          <w:i w:val="0"/>
          <w:sz w:val="15"/>
        </w:rPr>
        <w:t xml:space="preserve">    ADD COLUMN IF NOT EXISTS fee_basis_amount DECIMAL(20,4),</w:t>
      </w:r>
    </w:p>
    <w:p>
      <w:pPr>
        <w:spacing w:after="0" w:before="0" w:line="240" w:lineRule="auto"/>
        <w:ind w:left="57"/>
        <w:jc w:val="left"/>
        <w:shd w:val="clear" w:fill="F2F2F2"/>
      </w:pPr>
      <w:r>
        <w:rPr>
          <w:rFonts w:ascii="Consolas" w:hAnsi="Consolas" w:cs="Consolas"/>
          <w:b w:val="0"/>
          <w:i w:val="0"/>
          <w:sz w:val="15"/>
        </w:rPr>
        <w:t xml:space="preserve">    ADD COLUMN IF NOT EXISTS party_role TEXT;</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idx_fee_decisions_ustn ON fee_decisions(ustn);</w:t>
      </w:r>
    </w:p>
    <w:p>
      <w:pPr>
        <w:spacing w:after="0" w:before="0" w:line="240" w:lineRule="auto"/>
        <w:ind w:left="57"/>
        <w:jc w:val="left"/>
        <w:shd w:val="clear" w:fill="F2F2F2"/>
      </w:pPr>
      <w:r>
        <w:rPr>
          <w:rFonts w:ascii="Consolas" w:hAnsi="Consolas" w:cs="Consolas"/>
          <w:b w:val="0"/>
          <w:i w:val="0"/>
          <w:sz w:val="15"/>
        </w:rPr>
        <w:t>CREATE INDEX idx_fee_decisions_contract ON fee_decisions(contract_id);</w:t>
      </w:r>
    </w:p>
    <w:p>
      <w:pPr>
        <w:spacing w:after="0" w:before="0" w:line="240" w:lineRule="auto"/>
        <w:ind w:left="57"/>
        <w:jc w:val="left"/>
        <w:shd w:val="clear" w:fill="F2F2F2"/>
      </w:pPr>
      <w:r>
        <w:rPr>
          <w:rFonts w:ascii="Consolas" w:hAnsi="Consolas" w:cs="Consolas"/>
          <w:b w:val="0"/>
          <w:i w:val="0"/>
          <w:sz w:val="15"/>
        </w:rPr>
        <w:t>CREATE INDEX idx_fee_decisions_party ON fee_decisions(party_gtid);</w:t>
      </w:r>
    </w:p>
    <w:p>
      <w:pPr>
        <w:spacing w:after="0" w:before="0" w:line="240" w:lineRule="auto"/>
        <w:ind w:left="57"/>
        <w:jc w:val="left"/>
        <w:shd w:val="clear" w:fill="F2F2F2"/>
      </w:pPr>
      <w:r>
        <w:rPr>
          <w:rFonts w:ascii="Consolas" w:hAnsi="Consolas" w:cs="Consolas"/>
          <w:b w:val="0"/>
          <w:i w:val="0"/>
          <w:sz w:val="15"/>
        </w:rPr>
        <w:t>CREATE INDEX idx_fee_decisions_policy ON fee_decisions(fee_policy_id, fee_policy_version);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calculation_trace column stores the complete JSON trace of Section 9.27.25 (policy, formula, inputs, scores, modifiers, caps, discounts, final), so every fee is reconstructible from its record alone. UI fee displays (Section 9.27.26) and API fee payloads read from fee_decisions; the UI never recomputes a fee. fee_decisions rows are immutable after locked_at - corrections are new governed decisions, never destructive edits.</w:t>
      </w:r>
    </w:p>
    <w:p>
      <w:pPr>
        <w:keepNext/>
        <w:spacing w:before="240" w:after="100"/>
        <w:outlineLvl w:val="1"/>
      </w:pPr>
      <w:r>
        <w:rPr>
          <w:rFonts w:ascii="Arial" w:hAnsi="Arial" w:cs="Arial"/>
          <w:b/>
          <w:i w:val="0"/>
          <w:color w:val="2E528F"/>
          <w:sz w:val="26"/>
        </w:rPr>
        <w:t>17.11 Logistics (Three Modes: A, B, C)</w:t>
      </w:r>
    </w:p>
    <w:p>
      <w:pPr>
        <w:spacing w:after="80" w:line="293" w:lineRule="auto"/>
        <w:jc w:val="left"/>
      </w:pPr>
      <w:r>
        <w:rPr>
          <w:rFonts w:ascii="Times New Roman" w:hAnsi="Times New Roman" w:cs="Times New Roman"/>
          <w:b w:val="0"/>
          <w:i w:val="0"/>
          <w:sz w:val="22"/>
        </w:rPr>
        <w:t>Mode A/B service quotations and clarification requests; Mode C ship quote requests and carrier quotes; private carrier contract rates.</w:t>
      </w:r>
    </w:p>
    <w:p>
      <w:pPr>
        <w:spacing w:after="0" w:before="0" w:line="240" w:lineRule="auto"/>
        <w:ind w:left="57"/>
        <w:jc w:val="left"/>
        <w:shd w:val="clear" w:fill="F2F2F2"/>
      </w:pPr>
      <w:r>
        <w:rPr>
          <w:rFonts w:ascii="Consolas" w:hAnsi="Consolas" w:cs="Consolas"/>
          <w:b w:val="0"/>
          <w:i w:val="0"/>
          <w:sz w:val="15"/>
        </w:rPr>
        <w:t>-- Service quotations (Mode A &amp; B)</w:t>
      </w:r>
    </w:p>
    <w:p>
      <w:pPr>
        <w:spacing w:after="0" w:before="0" w:line="240" w:lineRule="auto"/>
        <w:ind w:left="57"/>
        <w:jc w:val="left"/>
        <w:shd w:val="clear" w:fill="F2F2F2"/>
      </w:pPr>
      <w:r>
        <w:rPr>
          <w:rFonts w:ascii="Consolas" w:hAnsi="Consolas" w:cs="Consolas"/>
          <w:b w:val="0"/>
          <w:i w:val="0"/>
          <w:sz w:val="15"/>
        </w:rPr>
        <w:t>CREATE TABLE service_quotations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provider_gtid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service_type service_type NOT NULL,</w:t>
      </w:r>
    </w:p>
    <w:p>
      <w:pPr>
        <w:spacing w:after="0" w:before="0" w:line="240" w:lineRule="auto"/>
        <w:ind w:left="57"/>
        <w:jc w:val="left"/>
        <w:shd w:val="clear" w:fill="F2F2F2"/>
      </w:pPr>
      <w:r>
        <w:rPr>
          <w:rFonts w:ascii="Consolas" w:hAnsi="Consolas" w:cs="Consolas"/>
          <w:b w:val="0"/>
          <w:i w:val="0"/>
          <w:sz w:val="15"/>
        </w:rPr>
        <w:t xml:space="preserve"> fee DECIMAL(10,2) NOT NULL,</w:t>
      </w:r>
    </w:p>
    <w:p>
      <w:pPr>
        <w:spacing w:after="0" w:before="0" w:line="240" w:lineRule="auto"/>
        <w:ind w:left="57"/>
        <w:jc w:val="left"/>
        <w:shd w:val="clear" w:fill="F2F2F2"/>
      </w:pPr>
      <w:r>
        <w:rPr>
          <w:rFonts w:ascii="Consolas" w:hAnsi="Consolas" w:cs="Consolas"/>
          <w:b w:val="0"/>
          <w:i w:val="0"/>
          <w:sz w:val="15"/>
        </w:rPr>
        <w:t>currency TEXT DEFAULT 'USD',</w:t>
      </w:r>
    </w:p>
    <w:p>
      <w:pPr>
        <w:spacing w:after="0" w:before="0" w:line="240" w:lineRule="auto"/>
        <w:ind w:left="57"/>
        <w:jc w:val="left"/>
        <w:shd w:val="clear" w:fill="F2F2F2"/>
      </w:pPr>
      <w:r>
        <w:rPr>
          <w:rFonts w:ascii="Consolas" w:hAnsi="Consolas" w:cs="Consolas"/>
          <w:b w:val="0"/>
          <w:i w:val="0"/>
          <w:sz w:val="15"/>
        </w:rPr>
        <w:t>valid_until TIMESTAMPTZ NOT NULL,</w:t>
      </w:r>
    </w:p>
    <w:p>
      <w:pPr>
        <w:spacing w:after="0" w:before="0" w:line="240" w:lineRule="auto"/>
        <w:ind w:left="57"/>
        <w:jc w:val="left"/>
        <w:shd w:val="clear" w:fill="F2F2F2"/>
      </w:pPr>
      <w:r>
        <w:rPr>
          <w:rFonts w:ascii="Consolas" w:hAnsi="Consolas" w:cs="Consolas"/>
          <w:b w:val="0"/>
          <w:i w:val="0"/>
          <w:sz w:val="15"/>
        </w:rPr>
        <w:t>notes TEXT,</w:t>
      </w:r>
    </w:p>
    <w:p>
      <w:pPr>
        <w:spacing w:after="0" w:before="0" w:line="240" w:lineRule="auto"/>
        <w:ind w:left="57"/>
        <w:jc w:val="left"/>
        <w:shd w:val="clear" w:fill="F2F2F2"/>
      </w:pPr>
      <w:r>
        <w:rPr>
          <w:rFonts w:ascii="Consolas" w:hAnsi="Consolas" w:cs="Consolas"/>
          <w:b w:val="0"/>
          <w:i w:val="0"/>
          <w:sz w:val="15"/>
        </w:rPr>
        <w:t>status TEXT DEFAULT 'PENDING', -- 'PENDING', 'ACCEPTED', 'DECLINED', 'EXPIRED'</w:t>
      </w:r>
    </w:p>
    <w:p>
      <w:pPr>
        <w:spacing w:after="0" w:before="0" w:line="240" w:lineRule="auto"/>
        <w:ind w:left="57"/>
        <w:jc w:val="left"/>
        <w:shd w:val="clear" w:fill="F2F2F2"/>
      </w:pPr>
      <w:r>
        <w:rPr>
          <w:rFonts w:ascii="Consolas" w:hAnsi="Consolas" w:cs="Consolas"/>
          <w:b w:val="0"/>
          <w:i w:val="0"/>
          <w:sz w:val="15"/>
        </w:rPr>
        <w:t>accepted_at TIMESTAMPTZ,</w:t>
      </w:r>
    </w:p>
    <w:p>
      <w:pPr>
        <w:spacing w:after="0" w:before="0" w:line="240" w:lineRule="auto"/>
        <w:ind w:left="57"/>
        <w:jc w:val="left"/>
        <w:shd w:val="clear" w:fill="F2F2F2"/>
      </w:pPr>
      <w:r>
        <w:rPr>
          <w:rFonts w:ascii="Consolas" w:hAnsi="Consolas" w:cs="Consolas"/>
          <w:b w:val="0"/>
          <w:i w:val="0"/>
          <w:sz w:val="15"/>
        </w:rPr>
        <w:t>invoice_uuid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Clarification requests (service-level Q&amp;A)</w:t>
      </w:r>
    </w:p>
    <w:p>
      <w:pPr>
        <w:spacing w:after="0" w:before="0" w:line="240" w:lineRule="auto"/>
        <w:ind w:left="57"/>
        <w:jc w:val="left"/>
        <w:shd w:val="clear" w:fill="F2F2F2"/>
      </w:pPr>
      <w:r>
        <w:rPr>
          <w:rFonts w:ascii="Consolas" w:hAnsi="Consolas" w:cs="Consolas"/>
          <w:b w:val="0"/>
          <w:i w:val="0"/>
          <w:sz w:val="15"/>
        </w:rPr>
        <w:t>CREATE TABLE clarification_requests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quotation_id UUID REFERENCES service_quotations(id) ON DELETE CASCADE,</w:t>
      </w:r>
    </w:p>
    <w:p>
      <w:pPr>
        <w:spacing w:after="0" w:before="0" w:line="240" w:lineRule="auto"/>
        <w:ind w:left="57"/>
        <w:jc w:val="left"/>
        <w:shd w:val="clear" w:fill="F2F2F2"/>
      </w:pPr>
      <w:r>
        <w:rPr>
          <w:rFonts w:ascii="Consolas" w:hAnsi="Consolas" w:cs="Consolas"/>
          <w:b w:val="0"/>
          <w:i w:val="0"/>
          <w:sz w:val="15"/>
        </w:rPr>
        <w:t>requester_gtid TEXT NOT NULL,</w:t>
      </w:r>
    </w:p>
    <w:p>
      <w:pPr>
        <w:spacing w:after="0" w:before="0" w:line="240" w:lineRule="auto"/>
        <w:ind w:left="57"/>
        <w:jc w:val="left"/>
        <w:shd w:val="clear" w:fill="F2F2F2"/>
      </w:pPr>
      <w:r>
        <w:rPr>
          <w:rFonts w:ascii="Consolas" w:hAnsi="Consolas" w:cs="Consolas"/>
          <w:b w:val="0"/>
          <w:i w:val="0"/>
          <w:sz w:val="15"/>
        </w:rPr>
        <w:t>questions JSONB NOT NULL,</w:t>
      </w:r>
    </w:p>
    <w:p>
      <w:pPr>
        <w:spacing w:after="0" w:before="0" w:line="240" w:lineRule="auto"/>
        <w:ind w:left="57"/>
        <w:jc w:val="left"/>
        <w:shd w:val="clear" w:fill="F2F2F2"/>
      </w:pPr>
      <w:r>
        <w:rPr>
          <w:rFonts w:ascii="Consolas" w:hAnsi="Consolas" w:cs="Consolas"/>
          <w:b w:val="0"/>
          <w:i w:val="0"/>
          <w:sz w:val="15"/>
        </w:rPr>
        <w:t>answers JSONB,</w:t>
      </w:r>
    </w:p>
    <w:p>
      <w:pPr>
        <w:spacing w:after="0" w:before="0" w:line="240" w:lineRule="auto"/>
        <w:ind w:left="57"/>
        <w:jc w:val="left"/>
        <w:shd w:val="clear" w:fill="F2F2F2"/>
      </w:pPr>
      <w:r>
        <w:rPr>
          <w:rFonts w:ascii="Consolas" w:hAnsi="Consolas" w:cs="Consolas"/>
          <w:b w:val="0"/>
          <w:i w:val="0"/>
          <w:sz w:val="15"/>
        </w:rPr>
        <w:t>resolved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resolved_at TIMESTAMPTZ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Ship quote requests (Mode C)</w:t>
      </w:r>
    </w:p>
    <w:p>
      <w:pPr>
        <w:spacing w:after="0" w:before="0" w:line="240" w:lineRule="auto"/>
        <w:ind w:left="57"/>
        <w:jc w:val="left"/>
        <w:shd w:val="clear" w:fill="F2F2F2"/>
      </w:pPr>
      <w:r>
        <w:rPr>
          <w:rFonts w:ascii="Consolas" w:hAnsi="Consolas" w:cs="Consolas"/>
          <w:b w:val="0"/>
          <w:i w:val="0"/>
          <w:sz w:val="15"/>
        </w:rPr>
        <w:t>CREATE TABLE ship_quote_requests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seller_gtid TEXT NOT NULL,</w:t>
      </w:r>
    </w:p>
    <w:p>
      <w:pPr>
        <w:spacing w:after="0" w:before="0" w:line="240" w:lineRule="auto"/>
        <w:ind w:left="57"/>
        <w:jc w:val="left"/>
        <w:shd w:val="clear" w:fill="F2F2F2"/>
      </w:pPr>
      <w:r>
        <w:rPr>
          <w:rFonts w:ascii="Consolas" w:hAnsi="Consolas" w:cs="Consolas"/>
          <w:b w:val="0"/>
          <w:i w:val="0"/>
          <w:sz w:val="15"/>
        </w:rPr>
        <w:t>base_service_type TEXT NOT NULL, -- 'OCEAN_FREIGHT', 'AIR_FREIGHT'</w:t>
      </w:r>
    </w:p>
    <w:p>
      <w:pPr>
        <w:spacing w:after="0" w:before="0" w:line="240" w:lineRule="auto"/>
        <w:ind w:left="57"/>
        <w:jc w:val="left"/>
        <w:shd w:val="clear" w:fill="F2F2F2"/>
      </w:pPr>
      <w:r>
        <w:rPr>
          <w:rFonts w:ascii="Consolas" w:hAnsi="Consolas" w:cs="Consolas"/>
          <w:b w:val="0"/>
          <w:i w:val="0"/>
          <w:sz w:val="15"/>
        </w:rPr>
        <w:t>origin_port TEXT NOT NULL,</w:t>
      </w:r>
    </w:p>
    <w:p>
      <w:pPr>
        <w:spacing w:after="0" w:before="0" w:line="240" w:lineRule="auto"/>
        <w:ind w:left="57"/>
        <w:jc w:val="left"/>
        <w:shd w:val="clear" w:fill="F2F2F2"/>
      </w:pPr>
      <w:r>
        <w:rPr>
          <w:rFonts w:ascii="Consolas" w:hAnsi="Consolas" w:cs="Consolas"/>
          <w:b w:val="0"/>
          <w:i w:val="0"/>
          <w:sz w:val="15"/>
        </w:rPr>
        <w:t>destination_port TEXT NOT NULL,</w:t>
      </w:r>
    </w:p>
    <w:p>
      <w:pPr>
        <w:spacing w:after="0" w:before="0" w:line="240" w:lineRule="auto"/>
        <w:ind w:left="57"/>
        <w:jc w:val="left"/>
        <w:shd w:val="clear" w:fill="F2F2F2"/>
      </w:pPr>
      <w:r>
        <w:rPr>
          <w:rFonts w:ascii="Consolas" w:hAnsi="Consolas" w:cs="Consolas"/>
          <w:b w:val="0"/>
          <w:i w:val="0"/>
          <w:sz w:val="15"/>
        </w:rPr>
        <w:t>container_details JSONB NOT NULL,</w:t>
      </w:r>
    </w:p>
    <w:p>
      <w:pPr>
        <w:spacing w:after="0" w:before="0" w:line="240" w:lineRule="auto"/>
        <w:ind w:left="57"/>
        <w:jc w:val="left"/>
        <w:shd w:val="clear" w:fill="F2F2F2"/>
      </w:pPr>
      <w:r>
        <w:rPr>
          <w:rFonts w:ascii="Consolas" w:hAnsi="Consolas" w:cs="Consolas"/>
          <w:b w:val="0"/>
          <w:i w:val="0"/>
          <w:sz w:val="15"/>
        </w:rPr>
        <w:t>add_on_services TEXT[], -- 'TRUCKING', 'CUSTOMS_BROKER', 'INSURANCE'</w:t>
      </w:r>
    </w:p>
    <w:p>
      <w:pPr>
        <w:spacing w:after="0" w:before="0" w:line="240" w:lineRule="auto"/>
        <w:ind w:left="57"/>
        <w:jc w:val="left"/>
        <w:shd w:val="clear" w:fill="F2F2F2"/>
      </w:pPr>
      <w:r>
        <w:rPr>
          <w:rFonts w:ascii="Consolas" w:hAnsi="Consolas" w:cs="Consolas"/>
          <w:b w:val="0"/>
          <w:i w:val="0"/>
          <w:sz w:val="15"/>
        </w:rPr>
        <w:t>target_lines TEXT[], -- GTIDs of shipping lines</w:t>
      </w:r>
    </w:p>
    <w:p>
      <w:pPr>
        <w:spacing w:after="0" w:before="0" w:line="240" w:lineRule="auto"/>
        <w:ind w:left="57"/>
        <w:jc w:val="left"/>
        <w:shd w:val="clear" w:fill="F2F2F2"/>
      </w:pPr>
      <w:r>
        <w:rPr>
          <w:rFonts w:ascii="Consolas" w:hAnsi="Consolas" w:cs="Consolas"/>
          <w:b w:val="0"/>
          <w:i w:val="0"/>
          <w:sz w:val="15"/>
        </w:rPr>
        <w:t>status TEXT DEFAULT 'PENDING',</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ship_quotes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request_id UUID NOT NULL REFERENCES ship_quote_requests(id) ON DELETE CASCADE,</w:t>
      </w:r>
    </w:p>
    <w:p>
      <w:pPr>
        <w:spacing w:after="0" w:before="0" w:line="240" w:lineRule="auto"/>
        <w:ind w:left="57"/>
        <w:jc w:val="left"/>
        <w:shd w:val="clear" w:fill="F2F2F2"/>
      </w:pPr>
      <w:r>
        <w:rPr>
          <w:rFonts w:ascii="Consolas" w:hAnsi="Consolas" w:cs="Consolas"/>
          <w:b w:val="0"/>
          <w:i w:val="0"/>
          <w:sz w:val="15"/>
        </w:rPr>
        <w:t>shipper_line_gtid TEXT NOT NULL,</w:t>
      </w:r>
    </w:p>
    <w:p>
      <w:pPr>
        <w:spacing w:after="0" w:before="0" w:line="240" w:lineRule="auto"/>
        <w:ind w:left="57"/>
        <w:jc w:val="left"/>
        <w:shd w:val="clear" w:fill="F2F2F2"/>
      </w:pPr>
      <w:r>
        <w:rPr>
          <w:rFonts w:ascii="Consolas" w:hAnsi="Consolas" w:cs="Consolas"/>
          <w:b w:val="0"/>
          <w:i w:val="0"/>
          <w:sz w:val="15"/>
        </w:rPr>
        <w:t>base_fee DECIMAL(20,4) NOT NULL,</w:t>
      </w:r>
    </w:p>
    <w:p>
      <w:pPr>
        <w:spacing w:after="0" w:before="0" w:line="240" w:lineRule="auto"/>
        <w:ind w:left="57"/>
        <w:jc w:val="left"/>
        <w:shd w:val="clear" w:fill="F2F2F2"/>
      </w:pPr>
      <w:r>
        <w:rPr>
          <w:rFonts w:ascii="Consolas" w:hAnsi="Consolas" w:cs="Consolas"/>
          <w:b w:val="0"/>
          <w:i w:val="0"/>
          <w:sz w:val="15"/>
        </w:rPr>
        <w:t>add_on_fees JSONB, -- {"TRUCKING": 300, "CUSTOMS_BROKER": 150}</w:t>
      </w:r>
    </w:p>
    <w:p>
      <w:pPr>
        <w:spacing w:after="0" w:before="0" w:line="240" w:lineRule="auto"/>
        <w:ind w:left="57"/>
        <w:jc w:val="left"/>
        <w:shd w:val="clear" w:fill="F2F2F2"/>
      </w:pPr>
      <w:r>
        <w:rPr>
          <w:rFonts w:ascii="Consolas" w:hAnsi="Consolas" w:cs="Consolas"/>
          <w:b w:val="0"/>
          <w:i w:val="0"/>
          <w:sz w:val="15"/>
        </w:rPr>
        <w:t xml:space="preserve"> total_fee DECIMAL(20,4) NOT NULL,</w:t>
      </w:r>
    </w:p>
    <w:p>
      <w:pPr>
        <w:spacing w:after="0" w:before="0" w:line="240" w:lineRule="auto"/>
        <w:ind w:left="57"/>
        <w:jc w:val="left"/>
        <w:shd w:val="clear" w:fill="F2F2F2"/>
      </w:pPr>
      <w:r>
        <w:rPr>
          <w:rFonts w:ascii="Consolas" w:hAnsi="Consolas" w:cs="Consolas"/>
          <w:b w:val="0"/>
          <w:i w:val="0"/>
          <w:sz w:val="15"/>
        </w:rPr>
        <w:t>validity_period_hours INTEGER DEFAULT 48,</w:t>
      </w:r>
    </w:p>
    <w:p>
      <w:pPr>
        <w:spacing w:after="0" w:before="0" w:line="240" w:lineRule="auto"/>
        <w:ind w:left="57"/>
        <w:jc w:val="left"/>
        <w:shd w:val="clear" w:fill="F2F2F2"/>
      </w:pPr>
      <w:r>
        <w:rPr>
          <w:rFonts w:ascii="Consolas" w:hAnsi="Consolas" w:cs="Consolas"/>
          <w:b w:val="0"/>
          <w:i w:val="0"/>
          <w:sz w:val="15"/>
        </w:rPr>
        <w:t>selected BOOLEAN DEFAULT false,</w:t>
      </w:r>
    </w:p>
    <w:p>
      <w:pPr>
        <w:spacing w:after="0" w:before="0" w:line="240" w:lineRule="auto"/>
        <w:ind w:left="57"/>
        <w:jc w:val="left"/>
        <w:shd w:val="clear" w:fill="F2F2F2"/>
      </w:pPr>
      <w:r>
        <w:rPr>
          <w:rFonts w:ascii="Consolas" w:hAnsi="Consolas" w:cs="Consolas"/>
          <w:b w:val="0"/>
          <w:i w:val="0"/>
          <w:sz w:val="15"/>
        </w:rPr>
        <w:t>submitted_at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Carrier contract rates (private)</w:t>
      </w:r>
    </w:p>
    <w:p>
      <w:pPr>
        <w:spacing w:after="0" w:before="0" w:line="240" w:lineRule="auto"/>
        <w:ind w:left="57"/>
        <w:jc w:val="left"/>
        <w:shd w:val="clear" w:fill="F2F2F2"/>
      </w:pPr>
      <w:r>
        <w:rPr>
          <w:rFonts w:ascii="Consolas" w:hAnsi="Consolas" w:cs="Consolas"/>
          <w:b w:val="0"/>
          <w:i w:val="0"/>
          <w:sz w:val="15"/>
        </w:rPr>
        <w:t>CREATE TABLE carrier_contracts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carrier_gtid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seller_gtid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route_origin TEXT,</w:t>
      </w:r>
    </w:p>
    <w:p>
      <w:pPr>
        <w:spacing w:after="0" w:before="0" w:line="240" w:lineRule="auto"/>
        <w:ind w:left="57"/>
        <w:jc w:val="left"/>
        <w:shd w:val="clear" w:fill="F2F2F2"/>
      </w:pPr>
      <w:r>
        <w:rPr>
          <w:rFonts w:ascii="Consolas" w:hAnsi="Consolas" w:cs="Consolas"/>
          <w:b w:val="0"/>
          <w:i w:val="0"/>
          <w:sz w:val="15"/>
        </w:rPr>
        <w:t>route_destination TEXT,</w:t>
      </w:r>
    </w:p>
    <w:p>
      <w:pPr>
        <w:spacing w:after="0" w:before="0" w:line="240" w:lineRule="auto"/>
        <w:ind w:left="57"/>
        <w:jc w:val="left"/>
        <w:shd w:val="clear" w:fill="F2F2F2"/>
      </w:pPr>
      <w:r>
        <w:rPr>
          <w:rFonts w:ascii="Consolas" w:hAnsi="Consolas" w:cs="Consolas"/>
          <w:b w:val="0"/>
          <w:i w:val="0"/>
          <w:sz w:val="15"/>
        </w:rPr>
        <w:t>container_type TEXT,</w:t>
      </w:r>
    </w:p>
    <w:p>
      <w:pPr>
        <w:spacing w:after="0" w:before="0" w:line="240" w:lineRule="auto"/>
        <w:ind w:left="57"/>
        <w:jc w:val="left"/>
        <w:shd w:val="clear" w:fill="F2F2F2"/>
      </w:pPr>
      <w:r>
        <w:rPr>
          <w:rFonts w:ascii="Consolas" w:hAnsi="Consolas" w:cs="Consolas"/>
          <w:b w:val="0"/>
          <w:i w:val="0"/>
          <w:sz w:val="15"/>
        </w:rPr>
        <w:t>base_rate DECIMAL(20,4),</w:t>
      </w:r>
    </w:p>
    <w:p>
      <w:pPr>
        <w:spacing w:after="0" w:before="0" w:line="240" w:lineRule="auto"/>
        <w:ind w:left="57"/>
        <w:jc w:val="left"/>
        <w:shd w:val="clear" w:fill="F2F2F2"/>
      </w:pPr>
      <w:r>
        <w:rPr>
          <w:rFonts w:ascii="Consolas" w:hAnsi="Consolas" w:cs="Consolas"/>
          <w:b w:val="0"/>
          <w:i w:val="0"/>
          <w:sz w:val="15"/>
        </w:rPr>
        <w:t>currency TEXT DEFAULT 'USD',</w:t>
      </w:r>
    </w:p>
    <w:p>
      <w:pPr>
        <w:spacing w:after="0" w:before="0" w:line="240" w:lineRule="auto"/>
        <w:ind w:left="57"/>
        <w:jc w:val="left"/>
        <w:shd w:val="clear" w:fill="F2F2F2"/>
      </w:pPr>
      <w:r>
        <w:rPr>
          <w:rFonts w:ascii="Consolas" w:hAnsi="Consolas" w:cs="Consolas"/>
          <w:b w:val="0"/>
          <w:i w:val="0"/>
          <w:sz w:val="15"/>
        </w:rPr>
        <w:t>valid_from TIMESTAMPTZ,</w:t>
      </w:r>
    </w:p>
    <w:p>
      <w:pPr>
        <w:spacing w:after="0" w:before="0" w:line="240" w:lineRule="auto"/>
        <w:ind w:left="57"/>
        <w:jc w:val="left"/>
        <w:shd w:val="clear" w:fill="F2F2F2"/>
      </w:pPr>
      <w:r>
        <w:rPr>
          <w:rFonts w:ascii="Consolas" w:hAnsi="Consolas" w:cs="Consolas"/>
          <w:b w:val="0"/>
          <w:i w:val="0"/>
          <w:sz w:val="15"/>
        </w:rPr>
        <w:t>valid_until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17.12 QC Inspection</w:t>
      </w:r>
    </w:p>
    <w:p>
      <w:pPr>
        <w:spacing w:after="80" w:line="293" w:lineRule="auto"/>
        <w:jc w:val="left"/>
      </w:pPr>
      <w:r>
        <w:rPr>
          <w:rFonts w:ascii="Times New Roman" w:hAnsi="Times New Roman" w:cs="Times New Roman"/>
          <w:b w:val="0"/>
          <w:i w:val="0"/>
          <w:sz w:val="22"/>
        </w:rPr>
        <w:t>QC jobs with AQL sampling plans, conditional-pass action plans, inspection logs with AI defect detection and inspector overrides, and re-inspection requests preserving original findings.</w:t>
      </w:r>
    </w:p>
    <w:p>
      <w:pPr>
        <w:spacing w:after="0" w:before="0" w:line="240" w:lineRule="auto"/>
        <w:ind w:left="57"/>
        <w:jc w:val="left"/>
        <w:shd w:val="clear" w:fill="F2F2F2"/>
      </w:pPr>
      <w:r>
        <w:rPr>
          <w:rFonts w:ascii="Consolas" w:hAnsi="Consolas" w:cs="Consolas"/>
          <w:b w:val="0"/>
          <w:i w:val="0"/>
          <w:sz w:val="15"/>
        </w:rPr>
        <w:t>-- QC jobs</w:t>
      </w:r>
    </w:p>
    <w:p>
      <w:pPr>
        <w:spacing w:after="0" w:before="0" w:line="240" w:lineRule="auto"/>
        <w:ind w:left="57"/>
        <w:jc w:val="left"/>
        <w:shd w:val="clear" w:fill="F2F2F2"/>
      </w:pPr>
      <w:r>
        <w:rPr>
          <w:rFonts w:ascii="Consolas" w:hAnsi="Consolas" w:cs="Consolas"/>
          <w:b w:val="0"/>
          <w:i w:val="0"/>
          <w:sz w:val="15"/>
        </w:rPr>
        <w:t>CREATE TABLE qc_jobs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provider_gtid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inspection_date DATE,</w:t>
      </w:r>
    </w:p>
    <w:p>
      <w:pPr>
        <w:spacing w:after="0" w:before="0" w:line="240" w:lineRule="auto"/>
        <w:ind w:left="57"/>
        <w:jc w:val="left"/>
        <w:shd w:val="clear" w:fill="F2F2F2"/>
      </w:pPr>
      <w:r>
        <w:rPr>
          <w:rFonts w:ascii="Consolas" w:hAnsi="Consolas" w:cs="Consolas"/>
          <w:b w:val="0"/>
          <w:i w:val="0"/>
          <w:sz w:val="15"/>
        </w:rPr>
        <w:t>sampling_plan JSONB, -- AQL plan</w:t>
      </w:r>
    </w:p>
    <w:p>
      <w:pPr>
        <w:spacing w:after="0" w:before="0" w:line="240" w:lineRule="auto"/>
        <w:ind w:left="57"/>
        <w:jc w:val="left"/>
        <w:shd w:val="clear" w:fill="F2F2F2"/>
      </w:pPr>
      <w:r>
        <w:rPr>
          <w:rFonts w:ascii="Consolas" w:hAnsi="Consolas" w:cs="Consolas"/>
          <w:b w:val="0"/>
          <w:i w:val="0"/>
          <w:sz w:val="15"/>
        </w:rPr>
        <w:t>status TEXT DEFAULT 'ASSIGNED', -- 'ASSIGNED', 'ACCEPTED', 'IN_PROGRESS', 'COMPLETED',</w:t>
      </w:r>
    </w:p>
    <w:p>
      <w:pPr>
        <w:spacing w:after="0" w:before="0" w:line="240" w:lineRule="auto"/>
        <w:ind w:left="57"/>
        <w:jc w:val="left"/>
        <w:shd w:val="clear" w:fill="F2F2F2"/>
      </w:pPr>
      <w:r>
        <w:rPr>
          <w:rFonts w:ascii="Consolas" w:hAnsi="Consolas" w:cs="Consolas"/>
          <w:b w:val="0"/>
          <w:i w:val="0"/>
          <w:sz w:val="15"/>
        </w:rPr>
        <w:t>'DISPUTED'</w:t>
      </w:r>
    </w:p>
    <w:p>
      <w:pPr>
        <w:spacing w:after="0" w:before="0" w:line="240" w:lineRule="auto"/>
        <w:ind w:left="57"/>
        <w:jc w:val="left"/>
        <w:shd w:val="clear" w:fill="F2F2F2"/>
      </w:pPr>
      <w:r>
        <w:rPr>
          <w:rFonts w:ascii="Consolas" w:hAnsi="Consolas" w:cs="Consolas"/>
          <w:b w:val="0"/>
          <w:i w:val="0"/>
          <w:sz w:val="15"/>
        </w:rPr>
        <w:t>verdict inspection_verdict,</w:t>
      </w:r>
    </w:p>
    <w:p>
      <w:pPr>
        <w:spacing w:after="0" w:before="0" w:line="240" w:lineRule="auto"/>
        <w:ind w:left="57"/>
        <w:jc w:val="left"/>
        <w:shd w:val="clear" w:fill="F2F2F2"/>
      </w:pPr>
      <w:r>
        <w:rPr>
          <w:rFonts w:ascii="Consolas" w:hAnsi="Consolas" w:cs="Consolas"/>
          <w:b w:val="0"/>
          <w:i w:val="0"/>
          <w:sz w:val="15"/>
        </w:rPr>
        <w:t>conditional_pass_status conditional_pass_status,</w:t>
      </w:r>
    </w:p>
    <w:p>
      <w:pPr>
        <w:spacing w:after="0" w:before="0" w:line="240" w:lineRule="auto"/>
        <w:ind w:left="57"/>
        <w:jc w:val="left"/>
        <w:shd w:val="clear" w:fill="F2F2F2"/>
      </w:pPr>
      <w:r>
        <w:rPr>
          <w:rFonts w:ascii="Consolas" w:hAnsi="Consolas" w:cs="Consolas"/>
          <w:b w:val="0"/>
          <w:i w:val="0"/>
          <w:sz w:val="15"/>
        </w:rPr>
        <w:t>action_plan TEXT,</w:t>
      </w:r>
    </w:p>
    <w:p>
      <w:pPr>
        <w:spacing w:after="0" w:before="0" w:line="240" w:lineRule="auto"/>
        <w:ind w:left="57"/>
        <w:jc w:val="left"/>
        <w:shd w:val="clear" w:fill="F2F2F2"/>
      </w:pPr>
      <w:r>
        <w:rPr>
          <w:rFonts w:ascii="Consolas" w:hAnsi="Consolas" w:cs="Consolas"/>
          <w:b w:val="0"/>
          <w:i w:val="0"/>
          <w:sz w:val="15"/>
        </w:rPr>
        <w:t>action_plan_deadline TIMESTAMPTZ,</w:t>
      </w:r>
    </w:p>
    <w:p>
      <w:pPr>
        <w:spacing w:after="0" w:before="0" w:line="240" w:lineRule="auto"/>
        <w:ind w:left="57"/>
        <w:jc w:val="left"/>
        <w:shd w:val="clear" w:fill="F2F2F2"/>
      </w:pPr>
      <w:r>
        <w:rPr>
          <w:rFonts w:ascii="Consolas" w:hAnsi="Consolas" w:cs="Consolas"/>
          <w:b w:val="0"/>
          <w:i w:val="0"/>
          <w:sz w:val="15"/>
        </w:rPr>
        <w:t>action_plan_completed_at TIMESTAMPTZ,</w:t>
      </w:r>
    </w:p>
    <w:p>
      <w:pPr>
        <w:spacing w:after="0" w:before="0" w:line="240" w:lineRule="auto"/>
        <w:ind w:left="57"/>
        <w:jc w:val="left"/>
        <w:shd w:val="clear" w:fill="F2F2F2"/>
      </w:pPr>
      <w:r>
        <w:rPr>
          <w:rFonts w:ascii="Consolas" w:hAnsi="Consolas" w:cs="Consolas"/>
          <w:b w:val="0"/>
          <w:i w:val="0"/>
          <w:sz w:val="15"/>
        </w:rPr>
        <w:t>report_url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Inspection logs (with overrides)</w:t>
      </w:r>
    </w:p>
    <w:p>
      <w:pPr>
        <w:spacing w:after="0" w:before="0" w:line="240" w:lineRule="auto"/>
        <w:ind w:left="57"/>
        <w:jc w:val="left"/>
        <w:shd w:val="clear" w:fill="F2F2F2"/>
      </w:pPr>
      <w:r>
        <w:rPr>
          <w:rFonts w:ascii="Consolas" w:hAnsi="Consolas" w:cs="Consolas"/>
          <w:b w:val="0"/>
          <w:i w:val="0"/>
          <w:sz w:val="15"/>
        </w:rPr>
        <w:t>CREATE TABLE inspection_logs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 xml:space="preserve"> qc_job_id UUID REFERENCES qc_jobs(id) ON DELETE CASCADE,</w:t>
      </w:r>
    </w:p>
    <w:p>
      <w:pPr>
        <w:spacing w:after="0" w:before="0" w:line="240" w:lineRule="auto"/>
        <w:ind w:left="57"/>
        <w:jc w:val="left"/>
        <w:shd w:val="clear" w:fill="F2F2F2"/>
      </w:pPr>
      <w:r>
        <w:rPr>
          <w:rFonts w:ascii="Consolas" w:hAnsi="Consolas" w:cs="Consolas"/>
          <w:b w:val="0"/>
          <w:i w:val="0"/>
          <w:sz w:val="15"/>
        </w:rPr>
        <w:t>pallet_id TEXT,</w:t>
      </w:r>
    </w:p>
    <w:p>
      <w:pPr>
        <w:spacing w:after="0" w:before="0" w:line="240" w:lineRule="auto"/>
        <w:ind w:left="57"/>
        <w:jc w:val="left"/>
        <w:shd w:val="clear" w:fill="F2F2F2"/>
      </w:pPr>
      <w:r>
        <w:rPr>
          <w:rFonts w:ascii="Consolas" w:hAnsi="Consolas" w:cs="Consolas"/>
          <w:b w:val="0"/>
          <w:i w:val="0"/>
          <w:sz w:val="15"/>
        </w:rPr>
        <w:t>ai_defect TEXT,</w:t>
      </w:r>
    </w:p>
    <w:p>
      <w:pPr>
        <w:spacing w:after="0" w:before="0" w:line="240" w:lineRule="auto"/>
        <w:ind w:left="57"/>
        <w:jc w:val="left"/>
        <w:shd w:val="clear" w:fill="F2F2F2"/>
      </w:pPr>
      <w:r>
        <w:rPr>
          <w:rFonts w:ascii="Consolas" w:hAnsi="Consolas" w:cs="Consolas"/>
          <w:b w:val="0"/>
          <w:i w:val="0"/>
          <w:sz w:val="15"/>
        </w:rPr>
        <w:t>ai_confidence DECIMAL(5,2),</w:t>
      </w:r>
    </w:p>
    <w:p>
      <w:pPr>
        <w:spacing w:after="0" w:before="0" w:line="240" w:lineRule="auto"/>
        <w:ind w:left="57"/>
        <w:jc w:val="left"/>
        <w:shd w:val="clear" w:fill="F2F2F2"/>
      </w:pPr>
      <w:r>
        <w:rPr>
          <w:rFonts w:ascii="Consolas" w:hAnsi="Consolas" w:cs="Consolas"/>
          <w:b w:val="0"/>
          <w:i w:val="0"/>
          <w:sz w:val="15"/>
        </w:rPr>
        <w:t>inspector_override BOOLEAN DEFAULT false,</w:t>
      </w:r>
    </w:p>
    <w:p>
      <w:pPr>
        <w:spacing w:after="0" w:before="0" w:line="240" w:lineRule="auto"/>
        <w:ind w:left="57"/>
        <w:jc w:val="left"/>
        <w:shd w:val="clear" w:fill="F2F2F2"/>
      </w:pPr>
      <w:r>
        <w:rPr>
          <w:rFonts w:ascii="Consolas" w:hAnsi="Consolas" w:cs="Consolas"/>
          <w:b w:val="0"/>
          <w:i w:val="0"/>
          <w:sz w:val="15"/>
        </w:rPr>
        <w:t>inspector_override_reason TEXT,</w:t>
      </w:r>
    </w:p>
    <w:p>
      <w:pPr>
        <w:spacing w:after="0" w:before="0" w:line="240" w:lineRule="auto"/>
        <w:ind w:left="57"/>
        <w:jc w:val="left"/>
        <w:shd w:val="clear" w:fill="F2F2F2"/>
      </w:pPr>
      <w:r>
        <w:rPr>
          <w:rFonts w:ascii="Consolas" w:hAnsi="Consolas" w:cs="Consolas"/>
          <w:b w:val="0"/>
          <w:i w:val="0"/>
          <w:sz w:val="15"/>
        </w:rPr>
        <w:t>final_classification TEXT,</w:t>
      </w:r>
    </w:p>
    <w:p>
      <w:pPr>
        <w:spacing w:after="0" w:before="0" w:line="240" w:lineRule="auto"/>
        <w:ind w:left="57"/>
        <w:jc w:val="left"/>
        <w:shd w:val="clear" w:fill="F2F2F2"/>
      </w:pPr>
      <w:r>
        <w:rPr>
          <w:rFonts w:ascii="Consolas" w:hAnsi="Consolas" w:cs="Consolas"/>
          <w:b w:val="0"/>
          <w:i w:val="0"/>
          <w:sz w:val="15"/>
        </w:rPr>
        <w:t>photo_hash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Re-inspection requests</w:t>
      </w:r>
    </w:p>
    <w:p>
      <w:pPr>
        <w:spacing w:after="0" w:before="0" w:line="240" w:lineRule="auto"/>
        <w:ind w:left="57"/>
        <w:jc w:val="left"/>
        <w:shd w:val="clear" w:fill="F2F2F2"/>
      </w:pPr>
      <w:r>
        <w:rPr>
          <w:rFonts w:ascii="Consolas" w:hAnsi="Consolas" w:cs="Consolas"/>
          <w:b w:val="0"/>
          <w:i w:val="0"/>
          <w:sz w:val="15"/>
        </w:rPr>
        <w:t>CREATE TABLE re_inspection_requests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original_ustn TEXT NOT NULL REFERENCES shipments(ustn) ON DELETE CASCADE,</w:t>
      </w:r>
    </w:p>
    <w:p>
      <w:pPr>
        <w:spacing w:after="0" w:before="0" w:line="240" w:lineRule="auto"/>
        <w:ind w:left="57"/>
        <w:jc w:val="left"/>
        <w:shd w:val="clear" w:fill="F2F2F2"/>
      </w:pPr>
      <w:r>
        <w:rPr>
          <w:rFonts w:ascii="Consolas" w:hAnsi="Consolas" w:cs="Consolas"/>
          <w:b w:val="0"/>
          <w:i w:val="0"/>
          <w:sz w:val="15"/>
        </w:rPr>
        <w:t>requested_by_gtid TEXT NOT NULL,</w:t>
      </w:r>
    </w:p>
    <w:p>
      <w:pPr>
        <w:spacing w:after="0" w:before="0" w:line="240" w:lineRule="auto"/>
        <w:ind w:left="57"/>
        <w:jc w:val="left"/>
        <w:shd w:val="clear" w:fill="F2F2F2"/>
      </w:pPr>
      <w:r>
        <w:rPr>
          <w:rFonts w:ascii="Consolas" w:hAnsi="Consolas" w:cs="Consolas"/>
          <w:b w:val="0"/>
          <w:i w:val="0"/>
          <w:sz w:val="15"/>
        </w:rPr>
        <w:t>reason TEXT NOT NULL,</w:t>
      </w:r>
    </w:p>
    <w:p>
      <w:pPr>
        <w:spacing w:after="0" w:before="0" w:line="240" w:lineRule="auto"/>
        <w:ind w:left="57"/>
        <w:jc w:val="left"/>
        <w:shd w:val="clear" w:fill="F2F2F2"/>
      </w:pPr>
      <w:r>
        <w:rPr>
          <w:rFonts w:ascii="Consolas" w:hAnsi="Consolas" w:cs="Consolas"/>
          <w:b w:val="0"/>
          <w:i w:val="0"/>
          <w:sz w:val="15"/>
        </w:rPr>
        <w:t>urgency TEXT DEFAULT 'NORMAL', -- 'NORMAL', 'URGENT'</w:t>
      </w:r>
    </w:p>
    <w:p>
      <w:pPr>
        <w:spacing w:after="0" w:before="0" w:line="240" w:lineRule="auto"/>
        <w:ind w:left="57"/>
        <w:jc w:val="left"/>
        <w:shd w:val="clear" w:fill="F2F2F2"/>
      </w:pPr>
      <w:r>
        <w:rPr>
          <w:rFonts w:ascii="Consolas" w:hAnsi="Consolas" w:cs="Consolas"/>
          <w:b w:val="0"/>
          <w:i w:val="0"/>
          <w:sz w:val="15"/>
        </w:rPr>
        <w:t>deadline TIMESTAMPTZ,</w:t>
      </w:r>
    </w:p>
    <w:p>
      <w:pPr>
        <w:spacing w:after="0" w:before="0" w:line="240" w:lineRule="auto"/>
        <w:ind w:left="57"/>
        <w:jc w:val="left"/>
        <w:shd w:val="clear" w:fill="F2F2F2"/>
      </w:pPr>
      <w:r>
        <w:rPr>
          <w:rFonts w:ascii="Consolas" w:hAnsi="Consolas" w:cs="Consolas"/>
          <w:b w:val="0"/>
          <w:i w:val="0"/>
          <w:sz w:val="15"/>
        </w:rPr>
        <w:t>status TEXT DEFAULT 'PENDING', -- 'PENDING', 'ACCEPTED', 'DECLINED', 'COMPLETED'</w:t>
      </w:r>
    </w:p>
    <w:p>
      <w:pPr>
        <w:spacing w:after="0" w:before="0" w:line="240" w:lineRule="auto"/>
        <w:ind w:left="57"/>
        <w:jc w:val="left"/>
        <w:shd w:val="clear" w:fill="F2F2F2"/>
      </w:pPr>
      <w:r>
        <w:rPr>
          <w:rFonts w:ascii="Consolas" w:hAnsi="Consolas" w:cs="Consolas"/>
          <w:b w:val="0"/>
          <w:i w:val="0"/>
          <w:sz w:val="15"/>
        </w:rPr>
        <w:t>new_qc_job_id UUID REFERENCES qc_jobs(id)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17.13 Broker Services</w:t>
      </w:r>
    </w:p>
    <w:p>
      <w:pPr>
        <w:spacing w:after="80" w:line="293" w:lineRule="auto"/>
        <w:jc w:val="left"/>
      </w:pPr>
      <w:r>
        <w:rPr>
          <w:rFonts w:ascii="Times New Roman" w:hAnsi="Times New Roman" w:cs="Times New Roman"/>
          <w:b w:val="0"/>
          <w:i w:val="0"/>
          <w:sz w:val="22"/>
        </w:rPr>
        <w:t>Customs broker certification with digital seal, physical document handling jobs (courier tracking through stamped completion), and document storage with retention control.</w:t>
      </w:r>
    </w:p>
    <w:p>
      <w:pPr>
        <w:spacing w:after="0" w:before="0" w:line="240" w:lineRule="auto"/>
        <w:ind w:left="57"/>
        <w:jc w:val="left"/>
        <w:shd w:val="clear" w:fill="F2F2F2"/>
      </w:pPr>
      <w:r>
        <w:rPr>
          <w:rFonts w:ascii="Consolas" w:hAnsi="Consolas" w:cs="Consolas"/>
          <w:b w:val="0"/>
          <w:i w:val="0"/>
          <w:sz w:val="15"/>
        </w:rPr>
        <w:t>-- Broker certifications</w:t>
      </w:r>
    </w:p>
    <w:p>
      <w:pPr>
        <w:spacing w:after="0" w:before="0" w:line="240" w:lineRule="auto"/>
        <w:ind w:left="57"/>
        <w:jc w:val="left"/>
        <w:shd w:val="clear" w:fill="F2F2F2"/>
      </w:pPr>
      <w:r>
        <w:rPr>
          <w:rFonts w:ascii="Consolas" w:hAnsi="Consolas" w:cs="Consolas"/>
          <w:b w:val="0"/>
          <w:i w:val="0"/>
          <w:sz w:val="15"/>
        </w:rPr>
        <w:t>CREATE TABLE broker_certifications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broker_gtid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declaration_id TEXT,</w:t>
      </w:r>
    </w:p>
    <w:p>
      <w:pPr>
        <w:spacing w:after="0" w:before="0" w:line="240" w:lineRule="auto"/>
        <w:ind w:left="57"/>
        <w:jc w:val="left"/>
        <w:shd w:val="clear" w:fill="F2F2F2"/>
      </w:pPr>
      <w:r>
        <w:rPr>
          <w:rFonts w:ascii="Consolas" w:hAnsi="Consolas" w:cs="Consolas"/>
          <w:b w:val="0"/>
          <w:i w:val="0"/>
          <w:sz w:val="15"/>
        </w:rPr>
        <w:t>certified_at TIMESTAMPTZ,</w:t>
      </w:r>
    </w:p>
    <w:p>
      <w:pPr>
        <w:spacing w:after="0" w:before="0" w:line="240" w:lineRule="auto"/>
        <w:ind w:left="57"/>
        <w:jc w:val="left"/>
        <w:shd w:val="clear" w:fill="F2F2F2"/>
      </w:pPr>
      <w:r>
        <w:rPr>
          <w:rFonts w:ascii="Consolas" w:hAnsi="Consolas" w:cs="Consolas"/>
          <w:b w:val="0"/>
          <w:i w:val="0"/>
          <w:sz w:val="15"/>
        </w:rPr>
        <w:t>digital_seal TEXT,</w:t>
      </w:r>
    </w:p>
    <w:p>
      <w:pPr>
        <w:spacing w:after="0" w:before="0" w:line="240" w:lineRule="auto"/>
        <w:ind w:left="57"/>
        <w:jc w:val="left"/>
        <w:shd w:val="clear" w:fill="F2F2F2"/>
      </w:pPr>
      <w:r>
        <w:rPr>
          <w:rFonts w:ascii="Consolas" w:hAnsi="Consolas" w:cs="Consolas"/>
          <w:b w:val="0"/>
          <w:i w:val="0"/>
          <w:sz w:val="15"/>
        </w:rPr>
        <w:t>licence_number TEXT,</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Broker physical jobs</w:t>
      </w:r>
    </w:p>
    <w:p>
      <w:pPr>
        <w:spacing w:after="0" w:before="0" w:line="240" w:lineRule="auto"/>
        <w:ind w:left="57"/>
        <w:jc w:val="left"/>
        <w:shd w:val="clear" w:fill="F2F2F2"/>
      </w:pPr>
      <w:r>
        <w:rPr>
          <w:rFonts w:ascii="Consolas" w:hAnsi="Consolas" w:cs="Consolas"/>
          <w:b w:val="0"/>
          <w:i w:val="0"/>
          <w:sz w:val="15"/>
        </w:rPr>
        <w:t>CREATE TABLE broker_physical_jobs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 xml:space="preserve"> broker_gtid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package_id TEXT UNIQUE,</w:t>
      </w:r>
    </w:p>
    <w:p>
      <w:pPr>
        <w:spacing w:after="0" w:before="0" w:line="240" w:lineRule="auto"/>
        <w:ind w:left="57"/>
        <w:jc w:val="left"/>
        <w:shd w:val="clear" w:fill="F2F2F2"/>
      </w:pPr>
      <w:r>
        <w:rPr>
          <w:rFonts w:ascii="Consolas" w:hAnsi="Consolas" w:cs="Consolas"/>
          <w:b w:val="0"/>
          <w:i w:val="0"/>
          <w:sz w:val="15"/>
        </w:rPr>
        <w:t>courier_tracking TEXT,</w:t>
      </w:r>
    </w:p>
    <w:p>
      <w:pPr>
        <w:spacing w:after="0" w:before="0" w:line="240" w:lineRule="auto"/>
        <w:ind w:left="57"/>
        <w:jc w:val="left"/>
        <w:shd w:val="clear" w:fill="F2F2F2"/>
      </w:pPr>
      <w:r>
        <w:rPr>
          <w:rFonts w:ascii="Consolas" w:hAnsi="Consolas" w:cs="Consolas"/>
          <w:b w:val="0"/>
          <w:i w:val="0"/>
          <w:sz w:val="15"/>
        </w:rPr>
        <w:t>status  TEXT   DEFAULT     'AWAITING_RECEIPT',  -- AWAITING_RECEIPT, RECEIVED, PRESENTED_TO_CUSTOMS, STAMPED, COMPLETED</w:t>
      </w:r>
    </w:p>
    <w:p>
      <w:pPr>
        <w:spacing w:after="0" w:before="0" w:line="240" w:lineRule="auto"/>
        <w:ind w:left="57"/>
        <w:jc w:val="left"/>
        <w:shd w:val="clear" w:fill="F2F2F2"/>
      </w:pPr>
      <w:r>
        <w:rPr>
          <w:rFonts w:ascii="Consolas" w:hAnsi="Consolas" w:cs="Consolas"/>
          <w:b w:val="0"/>
          <w:i w:val="0"/>
          <w:sz w:val="15"/>
        </w:rPr>
        <w:t>received_at TIMESTAMPTZ,</w:t>
      </w:r>
    </w:p>
    <w:p>
      <w:pPr>
        <w:spacing w:after="0" w:before="0" w:line="240" w:lineRule="auto"/>
        <w:ind w:left="57"/>
        <w:jc w:val="left"/>
        <w:shd w:val="clear" w:fill="F2F2F2"/>
      </w:pPr>
      <w:r>
        <w:rPr>
          <w:rFonts w:ascii="Consolas" w:hAnsi="Consolas" w:cs="Consolas"/>
          <w:b w:val="0"/>
          <w:i w:val="0"/>
          <w:sz w:val="15"/>
        </w:rPr>
        <w:t>presented_at TIMESTAMPTZ,</w:t>
      </w:r>
    </w:p>
    <w:p>
      <w:pPr>
        <w:spacing w:after="0" w:before="0" w:line="240" w:lineRule="auto"/>
        <w:ind w:left="57"/>
        <w:jc w:val="left"/>
        <w:shd w:val="clear" w:fill="F2F2F2"/>
      </w:pPr>
      <w:r>
        <w:rPr>
          <w:rFonts w:ascii="Consolas" w:hAnsi="Consolas" w:cs="Consolas"/>
          <w:b w:val="0"/>
          <w:i w:val="0"/>
          <w:sz w:val="15"/>
        </w:rPr>
        <w:t>stamped_at TIMESTAMPTZ,</w:t>
      </w:r>
    </w:p>
    <w:p>
      <w:pPr>
        <w:spacing w:after="0" w:before="0" w:line="240" w:lineRule="auto"/>
        <w:ind w:left="57"/>
        <w:jc w:val="left"/>
        <w:shd w:val="clear" w:fill="F2F2F2"/>
      </w:pPr>
      <w:r>
        <w:rPr>
          <w:rFonts w:ascii="Consolas" w:hAnsi="Consolas" w:cs="Consolas"/>
          <w:b w:val="0"/>
          <w:i w:val="0"/>
          <w:sz w:val="15"/>
        </w:rPr>
        <w:t>stamped_copy_url TEXT,</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Broker storage</w:t>
      </w:r>
    </w:p>
    <w:p>
      <w:pPr>
        <w:spacing w:after="0" w:before="0" w:line="240" w:lineRule="auto"/>
        <w:ind w:left="57"/>
        <w:jc w:val="left"/>
        <w:shd w:val="clear" w:fill="F2F2F2"/>
      </w:pPr>
      <w:r>
        <w:rPr>
          <w:rFonts w:ascii="Consolas" w:hAnsi="Consolas" w:cs="Consolas"/>
          <w:b w:val="0"/>
          <w:i w:val="0"/>
          <w:sz w:val="15"/>
        </w:rPr>
        <w:t>CREATE TABLE broker_storage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broker_gtid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shelf_location TEXT,</w:t>
      </w:r>
    </w:p>
    <w:p>
      <w:pPr>
        <w:spacing w:after="0" w:before="0" w:line="240" w:lineRule="auto"/>
        <w:ind w:left="57"/>
        <w:jc w:val="left"/>
        <w:shd w:val="clear" w:fill="F2F2F2"/>
      </w:pPr>
      <w:r>
        <w:rPr>
          <w:rFonts w:ascii="Consolas" w:hAnsi="Consolas" w:cs="Consolas"/>
          <w:b w:val="0"/>
          <w:i w:val="0"/>
          <w:sz w:val="15"/>
        </w:rPr>
        <w:t>retention_expiry DATE,</w:t>
      </w:r>
    </w:p>
    <w:p>
      <w:pPr>
        <w:spacing w:after="0" w:before="0" w:line="240" w:lineRule="auto"/>
        <w:ind w:left="57"/>
        <w:jc w:val="left"/>
        <w:shd w:val="clear" w:fill="F2F2F2"/>
      </w:pPr>
      <w:r>
        <w:rPr>
          <w:rFonts w:ascii="Consolas" w:hAnsi="Consolas" w:cs="Consolas"/>
          <w:b w:val="0"/>
          <w:i w:val="0"/>
          <w:sz w:val="15"/>
        </w:rPr>
        <w:t>status TEXT DEFAULT 'ACTIVE', -- 'ACTIVE', 'RETURNED', 'DESTROYED'</w:t>
      </w:r>
    </w:p>
    <w:p>
      <w:pPr>
        <w:spacing w:after="0" w:before="0" w:line="240" w:lineRule="auto"/>
        <w:ind w:left="57"/>
        <w:jc w:val="left"/>
        <w:shd w:val="clear" w:fill="F2F2F2"/>
      </w:pPr>
      <w:r>
        <w:rPr>
          <w:rFonts w:ascii="Consolas" w:hAnsi="Consolas" w:cs="Consolas"/>
          <w:b w:val="0"/>
          <w:i w:val="0"/>
          <w:sz w:val="15"/>
        </w:rPr>
        <w:t>returned_at TIMESTAMPTZ,</w:t>
      </w:r>
    </w:p>
    <w:p>
      <w:pPr>
        <w:spacing w:after="0" w:before="0" w:line="240" w:lineRule="auto"/>
        <w:ind w:left="57"/>
        <w:jc w:val="left"/>
        <w:shd w:val="clear" w:fill="F2F2F2"/>
      </w:pPr>
      <w:r>
        <w:rPr>
          <w:rFonts w:ascii="Consolas" w:hAnsi="Consolas" w:cs="Consolas"/>
          <w:b w:val="0"/>
          <w:i w:val="0"/>
          <w:sz w:val="15"/>
        </w:rPr>
        <w:t>destroyed_at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17.14 Financing</w:t>
      </w:r>
    </w:p>
    <w:p>
      <w:pPr>
        <w:spacing w:after="80" w:line="293" w:lineRule="auto"/>
        <w:jc w:val="left"/>
      </w:pPr>
      <w:r>
        <w:rPr>
          <w:rFonts w:ascii="Times New Roman" w:hAnsi="Times New Roman" w:cs="Times New Roman"/>
          <w:b w:val="0"/>
          <w:i w:val="0"/>
          <w:sz w:val="22"/>
        </w:rPr>
        <w:t>Financing requests (linked to USTN and pre-clearance), versioned financier preferences, encrypted bids, executed financing agreements, repayment schedules with late/default states, and private financier historical data.</w:t>
      </w:r>
    </w:p>
    <w:p>
      <w:pPr>
        <w:spacing w:after="0" w:before="0" w:line="240" w:lineRule="auto"/>
        <w:ind w:left="57"/>
        <w:jc w:val="left"/>
        <w:shd w:val="clear" w:fill="F2F2F2"/>
      </w:pPr>
      <w:r>
        <w:rPr>
          <w:rFonts w:ascii="Consolas" w:hAnsi="Consolas" w:cs="Consolas"/>
          <w:b w:val="0"/>
          <w:i w:val="0"/>
          <w:sz w:val="15"/>
        </w:rPr>
        <w:t>-- Financing requests</w:t>
      </w:r>
    </w:p>
    <w:p>
      <w:pPr>
        <w:spacing w:after="0" w:before="0" w:line="240" w:lineRule="auto"/>
        <w:ind w:left="57"/>
        <w:jc w:val="left"/>
        <w:shd w:val="clear" w:fill="F2F2F2"/>
      </w:pPr>
      <w:r>
        <w:rPr>
          <w:rFonts w:ascii="Consolas" w:hAnsi="Consolas" w:cs="Consolas"/>
          <w:b w:val="0"/>
          <w:i w:val="0"/>
          <w:sz w:val="15"/>
        </w:rPr>
        <w:t>CREATE TABLE financing_requests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requester_tenant_id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amount DECIMAL(20,4) NOT NULL,</w:t>
      </w:r>
    </w:p>
    <w:p>
      <w:pPr>
        <w:spacing w:after="0" w:before="0" w:line="240" w:lineRule="auto"/>
        <w:ind w:left="57"/>
        <w:jc w:val="left"/>
        <w:shd w:val="clear" w:fill="F2F2F2"/>
      </w:pPr>
      <w:r>
        <w:rPr>
          <w:rFonts w:ascii="Consolas" w:hAnsi="Consolas" w:cs="Consolas"/>
          <w:b w:val="0"/>
          <w:i w:val="0"/>
          <w:sz w:val="15"/>
        </w:rPr>
        <w:t>currency TEXT DEFAULT 'USD',</w:t>
      </w:r>
    </w:p>
    <w:p>
      <w:pPr>
        <w:spacing w:after="0" w:before="0" w:line="240" w:lineRule="auto"/>
        <w:ind w:left="57"/>
        <w:jc w:val="left"/>
        <w:shd w:val="clear" w:fill="F2F2F2"/>
      </w:pPr>
      <w:r>
        <w:rPr>
          <w:rFonts w:ascii="Consolas" w:hAnsi="Consolas" w:cs="Consolas"/>
          <w:b w:val="0"/>
          <w:i w:val="0"/>
          <w:sz w:val="15"/>
        </w:rPr>
        <w:t>tenor_days INTEGER NOT NULL,</w:t>
      </w:r>
    </w:p>
    <w:p>
      <w:pPr>
        <w:spacing w:after="0" w:before="0" w:line="240" w:lineRule="auto"/>
        <w:ind w:left="57"/>
        <w:jc w:val="left"/>
        <w:shd w:val="clear" w:fill="F2F2F2"/>
      </w:pPr>
      <w:r>
        <w:rPr>
          <w:rFonts w:ascii="Consolas" w:hAnsi="Consolas" w:cs="Consolas"/>
          <w:b w:val="0"/>
          <w:i w:val="0"/>
          <w:sz w:val="15"/>
        </w:rPr>
        <w:t>financing_type TEXT NOT NULL,</w:t>
      </w:r>
    </w:p>
    <w:p>
      <w:pPr>
        <w:spacing w:after="0" w:before="0" w:line="240" w:lineRule="auto"/>
        <w:ind w:left="57"/>
        <w:jc w:val="left"/>
        <w:shd w:val="clear" w:fill="F2F2F2"/>
      </w:pPr>
      <w:r>
        <w:rPr>
          <w:rFonts w:ascii="Consolas" w:hAnsi="Consolas" w:cs="Consolas"/>
          <w:b w:val="0"/>
          <w:i w:val="0"/>
          <w:sz w:val="15"/>
        </w:rPr>
        <w:t>preferred_settlement_method TEXT,</w:t>
      </w:r>
    </w:p>
    <w:p>
      <w:pPr>
        <w:spacing w:after="0" w:before="0" w:line="240" w:lineRule="auto"/>
        <w:ind w:left="57"/>
        <w:jc w:val="left"/>
        <w:shd w:val="clear" w:fill="F2F2F2"/>
      </w:pPr>
      <w:r>
        <w:rPr>
          <w:rFonts w:ascii="Consolas" w:hAnsi="Consolas" w:cs="Consolas"/>
          <w:b w:val="0"/>
          <w:i w:val="0"/>
          <w:sz w:val="15"/>
        </w:rPr>
        <w:t>credit_intelligence JSONB,</w:t>
      </w:r>
    </w:p>
    <w:p>
      <w:pPr>
        <w:spacing w:after="0" w:before="0" w:line="240" w:lineRule="auto"/>
        <w:ind w:left="57"/>
        <w:jc w:val="left"/>
        <w:shd w:val="clear" w:fill="F2F2F2"/>
      </w:pPr>
      <w:r>
        <w:rPr>
          <w:rFonts w:ascii="Consolas" w:hAnsi="Consolas" w:cs="Consolas"/>
          <w:b w:val="0"/>
          <w:i w:val="0"/>
          <w:sz w:val="15"/>
        </w:rPr>
        <w:t>status TEXT DEFAULT 'REQUESTED',</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 Financier preferences</w:t>
      </w:r>
    </w:p>
    <w:p>
      <w:pPr>
        <w:spacing w:after="0" w:before="0" w:line="240" w:lineRule="auto"/>
        <w:ind w:left="57"/>
        <w:jc w:val="left"/>
        <w:shd w:val="clear" w:fill="F2F2F2"/>
      </w:pPr>
      <w:r>
        <w:rPr>
          <w:rFonts w:ascii="Consolas" w:hAnsi="Consolas" w:cs="Consolas"/>
          <w:b w:val="0"/>
          <w:i w:val="0"/>
          <w:sz w:val="15"/>
        </w:rPr>
        <w:t>CREATE TABLE financier_preferences (</w:t>
      </w:r>
    </w:p>
    <w:p>
      <w:pPr>
        <w:spacing w:after="0" w:before="0" w:line="240" w:lineRule="auto"/>
        <w:ind w:left="57"/>
        <w:jc w:val="left"/>
        <w:shd w:val="clear" w:fill="F2F2F2"/>
      </w:pPr>
      <w:r>
        <w:rPr>
          <w:rFonts w:ascii="Consolas" w:hAnsi="Consolas" w:cs="Consolas"/>
          <w:b w:val="0"/>
          <w:i w:val="0"/>
          <w:sz w:val="15"/>
        </w:rPr>
        <w:t>financier_tenant_id UUID PRIMARY KEY REFERENCES tenants(id) ON DELETE CASCADE,</w:t>
      </w:r>
    </w:p>
    <w:p>
      <w:pPr>
        <w:spacing w:after="0" w:before="0" w:line="240" w:lineRule="auto"/>
        <w:ind w:left="57"/>
        <w:jc w:val="left"/>
        <w:shd w:val="clear" w:fill="F2F2F2"/>
      </w:pPr>
      <w:r>
        <w:rPr>
          <w:rFonts w:ascii="Consolas" w:hAnsi="Consolas" w:cs="Consolas"/>
          <w:b w:val="0"/>
          <w:i w:val="0"/>
          <w:sz w:val="15"/>
        </w:rPr>
        <w:t>accepted_borrower_countries TEXT[],</w:t>
      </w:r>
    </w:p>
    <w:p>
      <w:pPr>
        <w:spacing w:after="0" w:before="0" w:line="240" w:lineRule="auto"/>
        <w:ind w:left="57"/>
        <w:jc w:val="left"/>
        <w:shd w:val="clear" w:fill="F2F2F2"/>
      </w:pPr>
      <w:r>
        <w:rPr>
          <w:rFonts w:ascii="Consolas" w:hAnsi="Consolas" w:cs="Consolas"/>
          <w:b w:val="0"/>
          <w:i w:val="0"/>
          <w:sz w:val="15"/>
        </w:rPr>
        <w:t>min_borrower_trust_score DECIMAL(5,2),</w:t>
      </w:r>
    </w:p>
    <w:p>
      <w:pPr>
        <w:spacing w:after="0" w:before="0" w:line="240" w:lineRule="auto"/>
        <w:ind w:left="57"/>
        <w:jc w:val="left"/>
        <w:shd w:val="clear" w:fill="F2F2F2"/>
      </w:pPr>
      <w:r>
        <w:rPr>
          <w:rFonts w:ascii="Consolas" w:hAnsi="Consolas" w:cs="Consolas"/>
          <w:b w:val="0"/>
          <w:i w:val="0"/>
          <w:sz w:val="15"/>
        </w:rPr>
        <w:t>min_trade_value DECIMAL(20,4),</w:t>
      </w:r>
    </w:p>
    <w:p>
      <w:pPr>
        <w:spacing w:after="0" w:before="0" w:line="240" w:lineRule="auto"/>
        <w:ind w:left="57"/>
        <w:jc w:val="left"/>
        <w:shd w:val="clear" w:fill="F2F2F2"/>
      </w:pPr>
      <w:r>
        <w:rPr>
          <w:rFonts w:ascii="Consolas" w:hAnsi="Consolas" w:cs="Consolas"/>
          <w:b w:val="0"/>
          <w:i w:val="0"/>
          <w:sz w:val="15"/>
        </w:rPr>
        <w:t>max_financed_amount DECIMAL(20,4),</w:t>
      </w:r>
    </w:p>
    <w:p>
      <w:pPr>
        <w:spacing w:after="0" w:before="0" w:line="240" w:lineRule="auto"/>
        <w:ind w:left="57"/>
        <w:jc w:val="left"/>
        <w:shd w:val="clear" w:fill="F2F2F2"/>
      </w:pPr>
      <w:r>
        <w:rPr>
          <w:rFonts w:ascii="Consolas" w:hAnsi="Consolas" w:cs="Consolas"/>
          <w:b w:val="0"/>
          <w:i w:val="0"/>
          <w:sz w:val="15"/>
        </w:rPr>
        <w:t>preferred_financing_types TEXT[],</w:t>
      </w:r>
    </w:p>
    <w:p>
      <w:pPr>
        <w:spacing w:after="0" w:before="0" w:line="240" w:lineRule="auto"/>
        <w:ind w:left="57"/>
        <w:jc w:val="left"/>
        <w:shd w:val="clear" w:fill="F2F2F2"/>
      </w:pPr>
      <w:r>
        <w:rPr>
          <w:rFonts w:ascii="Consolas" w:hAnsi="Consolas" w:cs="Consolas"/>
          <w:b w:val="0"/>
          <w:i w:val="0"/>
          <w:sz w:val="15"/>
        </w:rPr>
        <w:t>preferred_settlement_methods TEXT[],</w:t>
      </w:r>
    </w:p>
    <w:p>
      <w:pPr>
        <w:spacing w:after="0" w:before="0" w:line="240" w:lineRule="auto"/>
        <w:ind w:left="57"/>
        <w:jc w:val="left"/>
        <w:shd w:val="clear" w:fill="F2F2F2"/>
      </w:pPr>
      <w:r>
        <w:rPr>
          <w:rFonts w:ascii="Consolas" w:hAnsi="Consolas" w:cs="Consolas"/>
          <w:b w:val="0"/>
          <w:i w:val="0"/>
          <w:sz w:val="15"/>
        </w:rPr>
        <w:t>excluded_commodities TEXT[],</w:t>
      </w:r>
    </w:p>
    <w:p>
      <w:pPr>
        <w:spacing w:after="0" w:before="0" w:line="240" w:lineRule="auto"/>
        <w:ind w:left="57"/>
        <w:jc w:val="left"/>
        <w:shd w:val="clear" w:fill="F2F2F2"/>
      </w:pPr>
      <w:r>
        <w:rPr>
          <w:rFonts w:ascii="Consolas" w:hAnsi="Consolas" w:cs="Consolas"/>
          <w:b w:val="0"/>
          <w:i w:val="0"/>
          <w:sz w:val="15"/>
        </w:rPr>
        <w:t>geographic_restrictions TEXT[], -- 'accept_only', 'all_except'</w:t>
      </w:r>
    </w:p>
    <w:p>
      <w:pPr>
        <w:spacing w:after="0" w:before="0" w:line="240" w:lineRule="auto"/>
        <w:ind w:left="57"/>
        <w:jc w:val="left"/>
        <w:shd w:val="clear" w:fill="F2F2F2"/>
      </w:pPr>
      <w:r>
        <w:rPr>
          <w:rFonts w:ascii="Consolas" w:hAnsi="Consolas" w:cs="Consolas"/>
          <w:b w:val="0"/>
          <w:i w:val="0"/>
          <w:sz w:val="15"/>
        </w:rPr>
        <w:t>accept_only_countries TEXT[],</w:t>
      </w:r>
    </w:p>
    <w:p>
      <w:pPr>
        <w:spacing w:after="0" w:before="0" w:line="240" w:lineRule="auto"/>
        <w:ind w:left="57"/>
        <w:jc w:val="left"/>
        <w:shd w:val="clear" w:fill="F2F2F2"/>
      </w:pPr>
      <w:r>
        <w:rPr>
          <w:rFonts w:ascii="Consolas" w:hAnsi="Consolas" w:cs="Consolas"/>
          <w:b w:val="0"/>
          <w:i w:val="0"/>
          <w:sz w:val="15"/>
        </w:rPr>
        <w:t>all_except_countries TEXT[],</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Financing offers (encrypted bids)</w:t>
      </w:r>
    </w:p>
    <w:p>
      <w:pPr>
        <w:spacing w:after="0" w:before="0" w:line="240" w:lineRule="auto"/>
        <w:ind w:left="57"/>
        <w:jc w:val="left"/>
        <w:shd w:val="clear" w:fill="F2F2F2"/>
      </w:pPr>
      <w:r>
        <w:rPr>
          <w:rFonts w:ascii="Consolas" w:hAnsi="Consolas" w:cs="Consolas"/>
          <w:b w:val="0"/>
          <w:i w:val="0"/>
          <w:sz w:val="15"/>
        </w:rPr>
        <w:t>CREATE TABLE financing_offers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financing_request_id UUID NOT NULL REFERENCES financing_requests(id) ON DELETE CASCADE,</w:t>
      </w:r>
    </w:p>
    <w:p>
      <w:pPr>
        <w:spacing w:after="0" w:before="0" w:line="240" w:lineRule="auto"/>
        <w:ind w:left="57"/>
        <w:jc w:val="left"/>
        <w:shd w:val="clear" w:fill="F2F2F2"/>
      </w:pPr>
      <w:r>
        <w:rPr>
          <w:rFonts w:ascii="Consolas" w:hAnsi="Consolas" w:cs="Consolas"/>
          <w:b w:val="0"/>
          <w:i w:val="0"/>
          <w:sz w:val="15"/>
        </w:rPr>
        <w:t>financier_tenant_id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amount_offered DECIMAL(20,4) NOT NULL,</w:t>
      </w:r>
    </w:p>
    <w:p>
      <w:pPr>
        <w:spacing w:after="0" w:before="0" w:line="240" w:lineRule="auto"/>
        <w:ind w:left="57"/>
        <w:jc w:val="left"/>
        <w:shd w:val="clear" w:fill="F2F2F2"/>
      </w:pPr>
      <w:r>
        <w:rPr>
          <w:rFonts w:ascii="Consolas" w:hAnsi="Consolas" w:cs="Consolas"/>
          <w:b w:val="0"/>
          <w:i w:val="0"/>
          <w:sz w:val="15"/>
        </w:rPr>
        <w:t>apr DECIMAL(6,4) NOT NULL,</w:t>
      </w:r>
    </w:p>
    <w:p>
      <w:pPr>
        <w:spacing w:after="0" w:before="0" w:line="240" w:lineRule="auto"/>
        <w:ind w:left="57"/>
        <w:jc w:val="left"/>
        <w:shd w:val="clear" w:fill="F2F2F2"/>
      </w:pPr>
      <w:r>
        <w:rPr>
          <w:rFonts w:ascii="Consolas" w:hAnsi="Consolas" w:cs="Consolas"/>
          <w:b w:val="0"/>
          <w:i w:val="0"/>
          <w:sz w:val="15"/>
        </w:rPr>
        <w:t>bid_encrypted BOOLEAN DEFAULT true,</w:t>
      </w:r>
    </w:p>
    <w:p>
      <w:pPr>
        <w:spacing w:after="0" w:before="0" w:line="240" w:lineRule="auto"/>
        <w:ind w:left="57"/>
        <w:jc w:val="left"/>
        <w:shd w:val="clear" w:fill="F2F2F2"/>
      </w:pPr>
      <w:r>
        <w:rPr>
          <w:rFonts w:ascii="Consolas" w:hAnsi="Consolas" w:cs="Consolas"/>
          <w:b w:val="0"/>
          <w:i w:val="0"/>
          <w:sz w:val="15"/>
        </w:rPr>
        <w:t>status TEXT DEFAULT 'SUBMITTED', -- 'SUBMITTED', 'ACCEPTED', 'REJECTED', 'COUNTERED'</w:t>
      </w:r>
    </w:p>
    <w:p>
      <w:pPr>
        <w:spacing w:after="0" w:before="0" w:line="240" w:lineRule="auto"/>
        <w:ind w:left="57"/>
        <w:jc w:val="left"/>
        <w:shd w:val="clear" w:fill="F2F2F2"/>
      </w:pPr>
      <w:r>
        <w:rPr>
          <w:rFonts w:ascii="Consolas" w:hAnsi="Consolas" w:cs="Consolas"/>
          <w:b w:val="0"/>
          <w:i w:val="0"/>
          <w:sz w:val="15"/>
        </w:rPr>
        <w:t>submitted_at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Financing agreements</w:t>
      </w:r>
    </w:p>
    <w:p>
      <w:pPr>
        <w:spacing w:after="0" w:before="0" w:line="240" w:lineRule="auto"/>
        <w:ind w:left="57"/>
        <w:jc w:val="left"/>
        <w:shd w:val="clear" w:fill="F2F2F2"/>
      </w:pPr>
      <w:r>
        <w:rPr>
          <w:rFonts w:ascii="Consolas" w:hAnsi="Consolas" w:cs="Consolas"/>
          <w:b w:val="0"/>
          <w:i w:val="0"/>
          <w:sz w:val="15"/>
        </w:rPr>
        <w:t>CREATE TABLE financing_agreements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financing_request_id UUID NOT NULL REFERENCES financing_requests(id) ON DELETE CASCADE,</w:t>
      </w:r>
    </w:p>
    <w:p>
      <w:pPr>
        <w:spacing w:after="0" w:before="0" w:line="240" w:lineRule="auto"/>
        <w:ind w:left="57"/>
        <w:jc w:val="left"/>
        <w:shd w:val="clear" w:fill="F2F2F2"/>
      </w:pPr>
      <w:r>
        <w:rPr>
          <w:rFonts w:ascii="Consolas" w:hAnsi="Consolas" w:cs="Consolas"/>
          <w:b w:val="0"/>
          <w:i w:val="0"/>
          <w:sz w:val="15"/>
        </w:rPr>
        <w:t>financier_tenant_id UUID NOT NULL,</w:t>
      </w:r>
    </w:p>
    <w:p>
      <w:pPr>
        <w:spacing w:after="0" w:before="0" w:line="240" w:lineRule="auto"/>
        <w:ind w:left="57"/>
        <w:jc w:val="left"/>
        <w:shd w:val="clear" w:fill="F2F2F2"/>
      </w:pPr>
      <w:r>
        <w:rPr>
          <w:rFonts w:ascii="Consolas" w:hAnsi="Consolas" w:cs="Consolas"/>
          <w:b w:val="0"/>
          <w:i w:val="0"/>
          <w:sz w:val="15"/>
        </w:rPr>
        <w:t>amount DECIMAL(20,4) NOT NULL,</w:t>
      </w:r>
    </w:p>
    <w:p>
      <w:pPr>
        <w:spacing w:after="0" w:before="0" w:line="240" w:lineRule="auto"/>
        <w:ind w:left="57"/>
        <w:jc w:val="left"/>
        <w:shd w:val="clear" w:fill="F2F2F2"/>
      </w:pPr>
      <w:r>
        <w:rPr>
          <w:rFonts w:ascii="Consolas" w:hAnsi="Consolas" w:cs="Consolas"/>
          <w:b w:val="0"/>
          <w:i w:val="0"/>
          <w:sz w:val="15"/>
        </w:rPr>
        <w:t>apr DECIMAL(6,4) NOT NULL,</w:t>
      </w:r>
    </w:p>
    <w:p>
      <w:pPr>
        <w:spacing w:after="0" w:before="0" w:line="240" w:lineRule="auto"/>
        <w:ind w:left="57"/>
        <w:jc w:val="left"/>
        <w:shd w:val="clear" w:fill="F2F2F2"/>
      </w:pPr>
      <w:r>
        <w:rPr>
          <w:rFonts w:ascii="Consolas" w:hAnsi="Consolas" w:cs="Consolas"/>
          <w:b w:val="0"/>
          <w:i w:val="0"/>
          <w:sz w:val="15"/>
        </w:rPr>
        <w:t>tenor_days INTEGER NOT NULL,</w:t>
      </w:r>
    </w:p>
    <w:p>
      <w:pPr>
        <w:spacing w:after="0" w:before="0" w:line="240" w:lineRule="auto"/>
        <w:ind w:left="57"/>
        <w:jc w:val="left"/>
        <w:shd w:val="clear" w:fill="F2F2F2"/>
      </w:pPr>
      <w:r>
        <w:rPr>
          <w:rFonts w:ascii="Consolas" w:hAnsi="Consolas" w:cs="Consolas"/>
          <w:b w:val="0"/>
          <w:i w:val="0"/>
          <w:sz w:val="15"/>
        </w:rPr>
        <w:t>sgtx_financing_fee DECIMAL(20,4) NOT NULL,</w:t>
      </w:r>
    </w:p>
    <w:p>
      <w:pPr>
        <w:spacing w:after="0" w:before="0" w:line="240" w:lineRule="auto"/>
        <w:ind w:left="57"/>
        <w:jc w:val="left"/>
        <w:shd w:val="clear" w:fill="F2F2F2"/>
      </w:pPr>
      <w:r>
        <w:rPr>
          <w:rFonts w:ascii="Consolas" w:hAnsi="Consolas" w:cs="Consolas"/>
          <w:b w:val="0"/>
          <w:i w:val="0"/>
          <w:sz w:val="15"/>
        </w:rPr>
        <w:t>status TEXT DEFAULT 'PENDING_SIGNATURES',</w:t>
      </w:r>
    </w:p>
    <w:p>
      <w:pPr>
        <w:spacing w:after="0" w:before="0" w:line="240" w:lineRule="auto"/>
        <w:ind w:left="57"/>
        <w:jc w:val="left"/>
        <w:shd w:val="clear" w:fill="F2F2F2"/>
      </w:pPr>
      <w:r>
        <w:rPr>
          <w:rFonts w:ascii="Consolas" w:hAnsi="Consolas" w:cs="Consolas"/>
          <w:b w:val="0"/>
          <w:i w:val="0"/>
          <w:sz w:val="15"/>
        </w:rPr>
        <w:t>disbursed_at TIMESTAMPTZ,</w:t>
      </w:r>
    </w:p>
    <w:p>
      <w:pPr>
        <w:spacing w:after="0" w:before="0" w:line="240" w:lineRule="auto"/>
        <w:ind w:left="57"/>
        <w:jc w:val="left"/>
        <w:shd w:val="clear" w:fill="F2F2F2"/>
      </w:pPr>
      <w:r>
        <w:rPr>
          <w:rFonts w:ascii="Consolas" w:hAnsi="Consolas" w:cs="Consolas"/>
          <w:b w:val="0"/>
          <w:i w:val="0"/>
          <w:sz w:val="15"/>
        </w:rPr>
        <w:t>repaid_at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Financing repayments</w:t>
      </w:r>
    </w:p>
    <w:p>
      <w:pPr>
        <w:spacing w:after="0" w:before="0" w:line="240" w:lineRule="auto"/>
        <w:ind w:left="57"/>
        <w:jc w:val="left"/>
        <w:shd w:val="clear" w:fill="F2F2F2"/>
      </w:pPr>
      <w:r>
        <w:rPr>
          <w:rFonts w:ascii="Consolas" w:hAnsi="Consolas" w:cs="Consolas"/>
          <w:b w:val="0"/>
          <w:i w:val="0"/>
          <w:sz w:val="15"/>
        </w:rPr>
        <w:t>CREATE TABLE financing_repayments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financing_agreement_id UUID NOT NULL REFERENCES financing_agreements(id) ON DELETE CASCADE,</w:t>
      </w:r>
    </w:p>
    <w:p>
      <w:pPr>
        <w:spacing w:after="0" w:before="0" w:line="240" w:lineRule="auto"/>
        <w:ind w:left="57"/>
        <w:jc w:val="left"/>
        <w:shd w:val="clear" w:fill="F2F2F2"/>
      </w:pPr>
      <w:r>
        <w:rPr>
          <w:rFonts w:ascii="Consolas" w:hAnsi="Consolas" w:cs="Consolas"/>
          <w:b w:val="0"/>
          <w:i w:val="0"/>
          <w:sz w:val="15"/>
        </w:rPr>
        <w:t>scheduled_date DATE,</w:t>
      </w:r>
    </w:p>
    <w:p>
      <w:pPr>
        <w:spacing w:after="0" w:before="0" w:line="240" w:lineRule="auto"/>
        <w:ind w:left="57"/>
        <w:jc w:val="left"/>
        <w:shd w:val="clear" w:fill="F2F2F2"/>
      </w:pPr>
      <w:r>
        <w:rPr>
          <w:rFonts w:ascii="Consolas" w:hAnsi="Consolas" w:cs="Consolas"/>
          <w:b w:val="0"/>
          <w:i w:val="0"/>
          <w:sz w:val="15"/>
        </w:rPr>
        <w:t>actual_paid_at TIMESTAMPTZ,</w:t>
      </w:r>
    </w:p>
    <w:p>
      <w:pPr>
        <w:spacing w:after="0" w:before="0" w:line="240" w:lineRule="auto"/>
        <w:ind w:left="57"/>
        <w:jc w:val="left"/>
        <w:shd w:val="clear" w:fill="F2F2F2"/>
      </w:pPr>
      <w:r>
        <w:rPr>
          <w:rFonts w:ascii="Consolas" w:hAnsi="Consolas" w:cs="Consolas"/>
          <w:b w:val="0"/>
          <w:i w:val="0"/>
          <w:sz w:val="15"/>
        </w:rPr>
        <w:t>principal_paid DECIMAL(20,4),</w:t>
      </w:r>
    </w:p>
    <w:p>
      <w:pPr>
        <w:spacing w:after="0" w:before="0" w:line="240" w:lineRule="auto"/>
        <w:ind w:left="57"/>
        <w:jc w:val="left"/>
        <w:shd w:val="clear" w:fill="F2F2F2"/>
      </w:pPr>
      <w:r>
        <w:rPr>
          <w:rFonts w:ascii="Consolas" w:hAnsi="Consolas" w:cs="Consolas"/>
          <w:b w:val="0"/>
          <w:i w:val="0"/>
          <w:sz w:val="15"/>
        </w:rPr>
        <w:t>interest_paid DECIMAL(20,4),</w:t>
      </w:r>
    </w:p>
    <w:p>
      <w:pPr>
        <w:spacing w:after="0" w:before="0" w:line="240" w:lineRule="auto"/>
        <w:ind w:left="57"/>
        <w:jc w:val="left"/>
        <w:shd w:val="clear" w:fill="F2F2F2"/>
      </w:pPr>
      <w:r>
        <w:rPr>
          <w:rFonts w:ascii="Consolas" w:hAnsi="Consolas" w:cs="Consolas"/>
          <w:b w:val="0"/>
          <w:i w:val="0"/>
          <w:sz w:val="15"/>
        </w:rPr>
        <w:t>status TEXT DEFAULT 'PENDING', -- 'PENDING', 'PAID', 'LATE', 'DEFAULTED'</w:t>
      </w:r>
    </w:p>
    <w:p>
      <w:pPr>
        <w:spacing w:after="0" w:before="0" w:line="240" w:lineRule="auto"/>
        <w:ind w:left="57"/>
        <w:jc w:val="left"/>
        <w:shd w:val="clear" w:fill="F2F2F2"/>
      </w:pPr>
      <w:r>
        <w:rPr>
          <w:rFonts w:ascii="Consolas" w:hAnsi="Consolas" w:cs="Consolas"/>
          <w:b w:val="0"/>
          <w:i w:val="0"/>
          <w:sz w:val="15"/>
        </w:rPr>
        <w:t>late_days INTEGER,</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Financier historical data (private)</w:t>
      </w:r>
    </w:p>
    <w:p>
      <w:pPr>
        <w:spacing w:after="0" w:before="0" w:line="240" w:lineRule="auto"/>
        <w:ind w:left="57"/>
        <w:jc w:val="left"/>
        <w:shd w:val="clear" w:fill="F2F2F2"/>
      </w:pPr>
      <w:r>
        <w:rPr>
          <w:rFonts w:ascii="Consolas" w:hAnsi="Consolas" w:cs="Consolas"/>
          <w:b w:val="0"/>
          <w:i w:val="0"/>
          <w:sz w:val="15"/>
        </w:rPr>
        <w:t>CREATE TABLE financier_historical_data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financier_tenant_id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borrower_gtid TEXT NOT NULL,</w:t>
      </w:r>
    </w:p>
    <w:p>
      <w:pPr>
        <w:spacing w:after="0" w:before="0" w:line="240" w:lineRule="auto"/>
        <w:ind w:left="57"/>
        <w:jc w:val="left"/>
        <w:shd w:val="clear" w:fill="F2F2F2"/>
      </w:pPr>
      <w:r>
        <w:rPr>
          <w:rFonts w:ascii="Consolas" w:hAnsi="Consolas" w:cs="Consolas"/>
          <w:b w:val="0"/>
          <w:i w:val="0"/>
          <w:sz w:val="15"/>
        </w:rPr>
        <w:t>total_financed_amount DECIMAL(20,4),</w:t>
      </w:r>
    </w:p>
    <w:p>
      <w:pPr>
        <w:spacing w:after="0" w:before="0" w:line="240" w:lineRule="auto"/>
        <w:ind w:left="57"/>
        <w:jc w:val="left"/>
        <w:shd w:val="clear" w:fill="F2F2F2"/>
      </w:pPr>
      <w:r>
        <w:rPr>
          <w:rFonts w:ascii="Consolas" w:hAnsi="Consolas" w:cs="Consolas"/>
          <w:b w:val="0"/>
          <w:i w:val="0"/>
          <w:sz w:val="15"/>
        </w:rPr>
        <w:t>number_of_financings INTEGER,</w:t>
      </w:r>
    </w:p>
    <w:p>
      <w:pPr>
        <w:spacing w:after="0" w:before="0" w:line="240" w:lineRule="auto"/>
        <w:ind w:left="57"/>
        <w:jc w:val="left"/>
        <w:shd w:val="clear" w:fill="F2F2F2"/>
      </w:pPr>
      <w:r>
        <w:rPr>
          <w:rFonts w:ascii="Consolas" w:hAnsi="Consolas" w:cs="Consolas"/>
          <w:b w:val="0"/>
          <w:i w:val="0"/>
          <w:sz w:val="15"/>
        </w:rPr>
        <w:t>on_time_repayments INTEGER,</w:t>
      </w:r>
    </w:p>
    <w:p>
      <w:pPr>
        <w:spacing w:after="0" w:before="0" w:line="240" w:lineRule="auto"/>
        <w:ind w:left="57"/>
        <w:jc w:val="left"/>
        <w:shd w:val="clear" w:fill="F2F2F2"/>
      </w:pPr>
      <w:r>
        <w:rPr>
          <w:rFonts w:ascii="Consolas" w:hAnsi="Consolas" w:cs="Consolas"/>
          <w:b w:val="0"/>
          <w:i w:val="0"/>
          <w:sz w:val="15"/>
        </w:rPr>
        <w:t>late_repayments INTEGER,</w:t>
      </w:r>
    </w:p>
    <w:p>
      <w:pPr>
        <w:spacing w:after="0" w:before="0" w:line="240" w:lineRule="auto"/>
        <w:ind w:left="57"/>
        <w:jc w:val="left"/>
        <w:shd w:val="clear" w:fill="F2F2F2"/>
      </w:pPr>
      <w:r>
        <w:rPr>
          <w:rFonts w:ascii="Consolas" w:hAnsi="Consolas" w:cs="Consolas"/>
          <w:b w:val="0"/>
          <w:i w:val="0"/>
          <w:sz w:val="15"/>
        </w:rPr>
        <w:t>defaults INTEGER,</w:t>
      </w:r>
    </w:p>
    <w:p>
      <w:pPr>
        <w:spacing w:after="0" w:before="0" w:line="240" w:lineRule="auto"/>
        <w:ind w:left="57"/>
        <w:jc w:val="left"/>
        <w:shd w:val="clear" w:fill="F2F2F2"/>
      </w:pPr>
      <w:r>
        <w:rPr>
          <w:rFonts w:ascii="Consolas" w:hAnsi="Consolas" w:cs="Consolas"/>
          <w:b w:val="0"/>
          <w:i w:val="0"/>
          <w:sz w:val="15"/>
        </w:rPr>
        <w:t>last_updated TIMESTAMPTZ DEFAULT NOW(),</w:t>
      </w:r>
    </w:p>
    <w:p>
      <w:pPr>
        <w:spacing w:after="0" w:before="0" w:line="240" w:lineRule="auto"/>
        <w:ind w:left="57"/>
        <w:jc w:val="left"/>
        <w:shd w:val="clear" w:fill="F2F2F2"/>
      </w:pPr>
      <w:r>
        <w:rPr>
          <w:rFonts w:ascii="Consolas" w:hAnsi="Consolas" w:cs="Consolas"/>
          <w:b w:val="0"/>
          <w:i w:val="0"/>
          <w:sz w:val="15"/>
        </w:rPr>
        <w:t>UNIQUE(financier_tenant_id, borrower_gtid)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17.15 Distressed Cargo</w:t>
      </w:r>
    </w:p>
    <w:p>
      <w:pPr>
        <w:spacing w:after="80" w:line="293" w:lineRule="auto"/>
        <w:jc w:val="left"/>
      </w:pPr>
      <w:r>
        <w:rPr>
          <w:rFonts w:ascii="Times New Roman" w:hAnsi="Times New Roman" w:cs="Times New Roman"/>
          <w:b w:val="0"/>
          <w:i w:val="0"/>
          <w:sz w:val="22"/>
        </w:rPr>
        <w:t>Distressed listings with condition score, triage path, and privacy acknowledgment; buyer offers; contact checks and notifications for Accelerated Outreach; micro-contracts with their own MicroUSTN and fee lock.</w:t>
      </w:r>
    </w:p>
    <w:p>
      <w:pPr>
        <w:spacing w:after="0" w:before="0" w:line="240" w:lineRule="auto"/>
        <w:ind w:left="57"/>
        <w:jc w:val="left"/>
        <w:shd w:val="clear" w:fill="F2F2F2"/>
      </w:pPr>
      <w:r>
        <w:rPr>
          <w:rFonts w:ascii="Consolas" w:hAnsi="Consolas" w:cs="Consolas"/>
          <w:b w:val="0"/>
          <w:i w:val="0"/>
          <w:sz w:val="15"/>
        </w:rPr>
        <w:t>-- Distressed cargo listings</w:t>
      </w:r>
    </w:p>
    <w:p>
      <w:pPr>
        <w:spacing w:after="0" w:before="0" w:line="240" w:lineRule="auto"/>
        <w:ind w:left="57"/>
        <w:jc w:val="left"/>
        <w:shd w:val="clear" w:fill="F2F2F2"/>
      </w:pPr>
      <w:r>
        <w:rPr>
          <w:rFonts w:ascii="Consolas" w:hAnsi="Consolas" w:cs="Consolas"/>
          <w:b w:val="0"/>
          <w:i w:val="0"/>
          <w:sz w:val="15"/>
        </w:rPr>
        <w:t>CREATE TABLE distressed_cargo_listings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original_shipment_ustn TEXT REFERENCES shipments(ustn) ON DELETE CASCADE,</w:t>
      </w:r>
    </w:p>
    <w:p>
      <w:pPr>
        <w:spacing w:after="0" w:before="0" w:line="240" w:lineRule="auto"/>
        <w:ind w:left="57"/>
        <w:jc w:val="left"/>
        <w:shd w:val="clear" w:fill="F2F2F2"/>
      </w:pPr>
      <w:r>
        <w:rPr>
          <w:rFonts w:ascii="Consolas" w:hAnsi="Consolas" w:cs="Consolas"/>
          <w:b w:val="0"/>
          <w:i w:val="0"/>
          <w:sz w:val="15"/>
        </w:rPr>
        <w:t>micro_ustn TEXT,</w:t>
      </w:r>
    </w:p>
    <w:p>
      <w:pPr>
        <w:spacing w:after="0" w:before="0" w:line="240" w:lineRule="auto"/>
        <w:ind w:left="57"/>
        <w:jc w:val="left"/>
        <w:shd w:val="clear" w:fill="F2F2F2"/>
      </w:pPr>
      <w:r>
        <w:rPr>
          <w:rFonts w:ascii="Consolas" w:hAnsi="Consolas" w:cs="Consolas"/>
          <w:b w:val="0"/>
          <w:i w:val="0"/>
          <w:sz w:val="15"/>
        </w:rPr>
        <w:t>parent_ustn TEXT,</w:t>
      </w:r>
    </w:p>
    <w:p>
      <w:pPr>
        <w:spacing w:after="0" w:before="0" w:line="240" w:lineRule="auto"/>
        <w:ind w:left="57"/>
        <w:jc w:val="left"/>
        <w:shd w:val="clear" w:fill="F2F2F2"/>
      </w:pPr>
      <w:r>
        <w:rPr>
          <w:rFonts w:ascii="Consolas" w:hAnsi="Consolas" w:cs="Consolas"/>
          <w:b w:val="0"/>
          <w:i w:val="0"/>
          <w:sz w:val="15"/>
        </w:rPr>
        <w:t>seller_tenant_id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product_details JSONB,</w:t>
      </w:r>
    </w:p>
    <w:p>
      <w:pPr>
        <w:spacing w:after="0" w:before="0" w:line="240" w:lineRule="auto"/>
        <w:ind w:left="57"/>
        <w:jc w:val="left"/>
        <w:shd w:val="clear" w:fill="F2F2F2"/>
      </w:pPr>
      <w:r>
        <w:rPr>
          <w:rFonts w:ascii="Consolas" w:hAnsi="Consolas" w:cs="Consolas"/>
          <w:b w:val="0"/>
          <w:i w:val="0"/>
          <w:sz w:val="15"/>
        </w:rPr>
        <w:t>quantity DECIMAL(10,2) NOT NULL,</w:t>
      </w:r>
    </w:p>
    <w:p>
      <w:pPr>
        <w:spacing w:after="0" w:before="0" w:line="240" w:lineRule="auto"/>
        <w:ind w:left="57"/>
        <w:jc w:val="left"/>
        <w:shd w:val="clear" w:fill="F2F2F2"/>
      </w:pPr>
      <w:r>
        <w:rPr>
          <w:rFonts w:ascii="Consolas" w:hAnsi="Consolas" w:cs="Consolas"/>
          <w:b w:val="0"/>
          <w:i w:val="0"/>
          <w:sz w:val="15"/>
        </w:rPr>
        <w:t>condition_score INTEGER,</w:t>
      </w:r>
    </w:p>
    <w:p>
      <w:pPr>
        <w:spacing w:after="0" w:before="0" w:line="240" w:lineRule="auto"/>
        <w:ind w:left="57"/>
        <w:jc w:val="left"/>
        <w:shd w:val="clear" w:fill="F2F2F2"/>
      </w:pPr>
      <w:r>
        <w:rPr>
          <w:rFonts w:ascii="Consolas" w:hAnsi="Consolas" w:cs="Consolas"/>
          <w:b w:val="0"/>
          <w:i w:val="0"/>
          <w:sz w:val="15"/>
        </w:rPr>
        <w:t>price_expectation DECIMAL(20,4),</w:t>
      </w:r>
    </w:p>
    <w:p>
      <w:pPr>
        <w:spacing w:after="0" w:before="0" w:line="240" w:lineRule="auto"/>
        <w:ind w:left="57"/>
        <w:jc w:val="left"/>
        <w:shd w:val="clear" w:fill="F2F2F2"/>
      </w:pPr>
      <w:r>
        <w:rPr>
          <w:rFonts w:ascii="Consolas" w:hAnsi="Consolas" w:cs="Consolas"/>
          <w:b w:val="0"/>
          <w:i w:val="0"/>
          <w:sz w:val="15"/>
        </w:rPr>
        <w:t>floor_price DECIMAL(20,4),</w:t>
      </w:r>
    </w:p>
    <w:p>
      <w:pPr>
        <w:spacing w:after="0" w:before="0" w:line="240" w:lineRule="auto"/>
        <w:ind w:left="57"/>
        <w:jc w:val="left"/>
        <w:shd w:val="clear" w:fill="F2F2F2"/>
      </w:pPr>
      <w:r>
        <w:rPr>
          <w:rFonts w:ascii="Consolas" w:hAnsi="Consolas" w:cs="Consolas"/>
          <w:b w:val="0"/>
          <w:i w:val="0"/>
          <w:sz w:val="15"/>
        </w:rPr>
        <w:t>listing_expiry TIMESTAMPTZ NOT NULL,</w:t>
      </w:r>
    </w:p>
    <w:p>
      <w:pPr>
        <w:spacing w:after="0" w:before="0" w:line="240" w:lineRule="auto"/>
        <w:ind w:left="57"/>
        <w:jc w:val="left"/>
        <w:shd w:val="clear" w:fill="F2F2F2"/>
      </w:pPr>
      <w:r>
        <w:rPr>
          <w:rFonts w:ascii="Consolas" w:hAnsi="Consolas" w:cs="Consolas"/>
          <w:b w:val="0"/>
          <w:i w:val="0"/>
          <w:sz w:val="15"/>
        </w:rPr>
        <w:t>status TEXT DEFAULT 'ACTIVE',</w:t>
      </w:r>
    </w:p>
    <w:p>
      <w:pPr>
        <w:spacing w:after="0" w:before="0" w:line="240" w:lineRule="auto"/>
        <w:ind w:left="57"/>
        <w:jc w:val="left"/>
        <w:shd w:val="clear" w:fill="F2F2F2"/>
      </w:pPr>
      <w:r>
        <w:rPr>
          <w:rFonts w:ascii="Consolas" w:hAnsi="Consolas" w:cs="Consolas"/>
          <w:b w:val="0"/>
          <w:i w:val="0"/>
          <w:sz w:val="15"/>
        </w:rPr>
        <w:t>triage_path TEXT, -- 'SELL', 'COMPLY', 'INSURANCE'</w:t>
      </w:r>
    </w:p>
    <w:p>
      <w:pPr>
        <w:spacing w:after="0" w:before="0" w:line="240" w:lineRule="auto"/>
        <w:ind w:left="57"/>
        <w:jc w:val="left"/>
        <w:shd w:val="clear" w:fill="F2F2F2"/>
      </w:pPr>
      <w:r>
        <w:rPr>
          <w:rFonts w:ascii="Consolas" w:hAnsi="Consolas" w:cs="Consolas"/>
          <w:b w:val="0"/>
          <w:i w:val="0"/>
          <w:sz w:val="15"/>
        </w:rPr>
        <w:t>privacy_notice_acknowledged BOOLEAN DEFAULT false,</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Distressed cargo offers</w:t>
      </w:r>
    </w:p>
    <w:p>
      <w:pPr>
        <w:spacing w:after="0" w:before="0" w:line="240" w:lineRule="auto"/>
        <w:ind w:left="57"/>
        <w:jc w:val="left"/>
        <w:shd w:val="clear" w:fill="F2F2F2"/>
      </w:pPr>
      <w:r>
        <w:rPr>
          <w:rFonts w:ascii="Consolas" w:hAnsi="Consolas" w:cs="Consolas"/>
          <w:b w:val="0"/>
          <w:i w:val="0"/>
          <w:sz w:val="15"/>
        </w:rPr>
        <w:t>CREATE TABLE distressed_cargo_offers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listing_id UUID NOT NULL REFERENCES distressed_cargo_listings(id) ON DELETE CASCADE,</w:t>
      </w:r>
    </w:p>
    <w:p>
      <w:pPr>
        <w:spacing w:after="0" w:before="0" w:line="240" w:lineRule="auto"/>
        <w:ind w:left="57"/>
        <w:jc w:val="left"/>
        <w:shd w:val="clear" w:fill="F2F2F2"/>
      </w:pPr>
      <w:r>
        <w:rPr>
          <w:rFonts w:ascii="Consolas" w:hAnsi="Consolas" w:cs="Consolas"/>
          <w:b w:val="0"/>
          <w:i w:val="0"/>
          <w:sz w:val="15"/>
        </w:rPr>
        <w:t>buyer_tenant_id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amount DECIMAL(20,4) NOT NULL,</w:t>
      </w:r>
    </w:p>
    <w:p>
      <w:pPr>
        <w:spacing w:after="0" w:before="0" w:line="240" w:lineRule="auto"/>
        <w:ind w:left="57"/>
        <w:jc w:val="left"/>
        <w:shd w:val="clear" w:fill="F2F2F2"/>
      </w:pPr>
      <w:r>
        <w:rPr>
          <w:rFonts w:ascii="Consolas" w:hAnsi="Consolas" w:cs="Consolas"/>
          <w:b w:val="0"/>
          <w:i w:val="0"/>
          <w:sz w:val="15"/>
        </w:rPr>
        <w:t>status TEXT DEFAULT 'PENDING',</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submitted_at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Distressed contact checks</w:t>
      </w:r>
    </w:p>
    <w:p>
      <w:pPr>
        <w:spacing w:after="0" w:before="0" w:line="240" w:lineRule="auto"/>
        <w:ind w:left="57"/>
        <w:jc w:val="left"/>
        <w:shd w:val="clear" w:fill="F2F2F2"/>
      </w:pPr>
      <w:r>
        <w:rPr>
          <w:rFonts w:ascii="Consolas" w:hAnsi="Consolas" w:cs="Consolas"/>
          <w:b w:val="0"/>
          <w:i w:val="0"/>
          <w:sz w:val="15"/>
        </w:rPr>
        <w:t>CREATE TABLE distressed_contact_checks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listing_id UUID NOT NULL REFERENCES distressed_cargo_listings(id) ON DELETE CASCADE,</w:t>
      </w:r>
    </w:p>
    <w:p>
      <w:pPr>
        <w:spacing w:after="0" w:before="0" w:line="240" w:lineRule="auto"/>
        <w:ind w:left="57"/>
        <w:jc w:val="left"/>
        <w:shd w:val="clear" w:fill="F2F2F2"/>
      </w:pPr>
      <w:r>
        <w:rPr>
          <w:rFonts w:ascii="Consolas" w:hAnsi="Consolas" w:cs="Consolas"/>
          <w:b w:val="0"/>
          <w:i w:val="0"/>
          <w:sz w:val="15"/>
        </w:rPr>
        <w:t>seller_tenant_id UUID NOT NULL,</w:t>
      </w:r>
    </w:p>
    <w:p>
      <w:pPr>
        <w:spacing w:after="0" w:before="0" w:line="240" w:lineRule="auto"/>
        <w:ind w:left="57"/>
        <w:jc w:val="left"/>
        <w:shd w:val="clear" w:fill="F2F2F2"/>
      </w:pPr>
      <w:r>
        <w:rPr>
          <w:rFonts w:ascii="Consolas" w:hAnsi="Consolas" w:cs="Consolas"/>
          <w:b w:val="0"/>
          <w:i w:val="0"/>
          <w:sz w:val="15"/>
        </w:rPr>
        <w:t>buyer_gtid TEXT NOT NULL,</w:t>
      </w:r>
    </w:p>
    <w:p>
      <w:pPr>
        <w:spacing w:after="0" w:before="0" w:line="240" w:lineRule="auto"/>
        <w:ind w:left="57"/>
        <w:jc w:val="left"/>
        <w:shd w:val="clear" w:fill="F2F2F2"/>
      </w:pPr>
      <w:r>
        <w:rPr>
          <w:rFonts w:ascii="Consolas" w:hAnsi="Consolas" w:cs="Consolas"/>
          <w:b w:val="0"/>
          <w:i w:val="0"/>
          <w:sz w:val="15"/>
        </w:rPr>
        <w:t>match_score INTEGER,</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Distressed contact notifications</w:t>
      </w:r>
    </w:p>
    <w:p>
      <w:pPr>
        <w:spacing w:after="0" w:before="0" w:line="240" w:lineRule="auto"/>
        <w:ind w:left="57"/>
        <w:jc w:val="left"/>
        <w:shd w:val="clear" w:fill="F2F2F2"/>
      </w:pPr>
      <w:r>
        <w:rPr>
          <w:rFonts w:ascii="Consolas" w:hAnsi="Consolas" w:cs="Consolas"/>
          <w:b w:val="0"/>
          <w:i w:val="0"/>
          <w:sz w:val="15"/>
        </w:rPr>
        <w:t>CREATE TABLE distressed_contact_notifications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distressed_ustn TEXT NOT NULL,</w:t>
      </w:r>
    </w:p>
    <w:p>
      <w:pPr>
        <w:spacing w:after="0" w:before="0" w:line="240" w:lineRule="auto"/>
        <w:ind w:left="57"/>
        <w:jc w:val="left"/>
        <w:shd w:val="clear" w:fill="F2F2F2"/>
      </w:pPr>
      <w:r>
        <w:rPr>
          <w:rFonts w:ascii="Consolas" w:hAnsi="Consolas" w:cs="Consolas"/>
          <w:b w:val="0"/>
          <w:i w:val="0"/>
          <w:sz w:val="15"/>
        </w:rPr>
        <w:t xml:space="preserve"> recipient_gtid TEXT NOT NULL,</w:t>
      </w:r>
    </w:p>
    <w:p>
      <w:pPr>
        <w:spacing w:after="0" w:before="0" w:line="240" w:lineRule="auto"/>
        <w:ind w:left="57"/>
        <w:jc w:val="left"/>
        <w:shd w:val="clear" w:fill="F2F2F2"/>
      </w:pPr>
      <w:r>
        <w:rPr>
          <w:rFonts w:ascii="Consolas" w:hAnsi="Consolas" w:cs="Consolas"/>
          <w:b w:val="0"/>
          <w:i w:val="0"/>
          <w:sz w:val="15"/>
        </w:rPr>
        <w:t>message_hash TEXT,</w:t>
      </w:r>
    </w:p>
    <w:p>
      <w:pPr>
        <w:spacing w:after="0" w:before="0" w:line="240" w:lineRule="auto"/>
        <w:ind w:left="57"/>
        <w:jc w:val="left"/>
        <w:shd w:val="clear" w:fill="F2F2F2"/>
      </w:pPr>
      <w:r>
        <w:rPr>
          <w:rFonts w:ascii="Consolas" w:hAnsi="Consolas" w:cs="Consolas"/>
          <w:b w:val="0"/>
          <w:i w:val="0"/>
          <w:sz w:val="15"/>
        </w:rPr>
        <w:t>sent_at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Micro-contracts (distressed)</w:t>
      </w:r>
    </w:p>
    <w:p>
      <w:pPr>
        <w:spacing w:after="0" w:before="0" w:line="240" w:lineRule="auto"/>
        <w:ind w:left="57"/>
        <w:jc w:val="left"/>
        <w:shd w:val="clear" w:fill="F2F2F2"/>
      </w:pPr>
      <w:r>
        <w:rPr>
          <w:rFonts w:ascii="Consolas" w:hAnsi="Consolas" w:cs="Consolas"/>
          <w:b w:val="0"/>
          <w:i w:val="0"/>
          <w:sz w:val="15"/>
        </w:rPr>
        <w:t>CREATE TABLE micro_contracts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parent_contract_id UUID REFERENCES contracts(id) ON DELETE SET NULL,</w:t>
      </w:r>
    </w:p>
    <w:p>
      <w:pPr>
        <w:spacing w:after="0" w:before="0" w:line="240" w:lineRule="auto"/>
        <w:ind w:left="57"/>
        <w:jc w:val="left"/>
        <w:shd w:val="clear" w:fill="F2F2F2"/>
      </w:pPr>
      <w:r>
        <w:rPr>
          <w:rFonts w:ascii="Consolas" w:hAnsi="Consolas" w:cs="Consolas"/>
          <w:b w:val="0"/>
          <w:i w:val="0"/>
          <w:sz w:val="15"/>
        </w:rPr>
        <w:t>distressed_listing_id UUID REFERENCES distressed_cargo_listings(id) ON DELETE SET NULL,</w:t>
      </w:r>
    </w:p>
    <w:p>
      <w:pPr>
        <w:spacing w:after="0" w:before="0" w:line="240" w:lineRule="auto"/>
        <w:ind w:left="57"/>
        <w:jc w:val="left"/>
        <w:shd w:val="clear" w:fill="F2F2F2"/>
      </w:pPr>
      <w:r>
        <w:rPr>
          <w:rFonts w:ascii="Consolas" w:hAnsi="Consolas" w:cs="Consolas"/>
          <w:b w:val="0"/>
          <w:i w:val="0"/>
          <w:sz w:val="15"/>
        </w:rPr>
        <w:t>micro_ustn TEXT UNIQUE NOT NULL,</w:t>
      </w:r>
    </w:p>
    <w:p>
      <w:pPr>
        <w:spacing w:after="0" w:before="0" w:line="240" w:lineRule="auto"/>
        <w:ind w:left="57"/>
        <w:jc w:val="left"/>
        <w:shd w:val="clear" w:fill="F2F2F2"/>
      </w:pPr>
      <w:r>
        <w:rPr>
          <w:rFonts w:ascii="Consolas" w:hAnsi="Consolas" w:cs="Consolas"/>
          <w:b w:val="0"/>
          <w:i w:val="0"/>
          <w:sz w:val="15"/>
        </w:rPr>
        <w:t>buyer_gtid TEXT NOT NULL,</w:t>
      </w:r>
    </w:p>
    <w:p>
      <w:pPr>
        <w:spacing w:after="0" w:before="0" w:line="240" w:lineRule="auto"/>
        <w:ind w:left="57"/>
        <w:jc w:val="left"/>
        <w:shd w:val="clear" w:fill="F2F2F2"/>
      </w:pPr>
      <w:r>
        <w:rPr>
          <w:rFonts w:ascii="Consolas" w:hAnsi="Consolas" w:cs="Consolas"/>
          <w:b w:val="0"/>
          <w:i w:val="0"/>
          <w:sz w:val="15"/>
        </w:rPr>
        <w:t>seller_gtid TEXT NOT NULL,</w:t>
      </w:r>
    </w:p>
    <w:p>
      <w:pPr>
        <w:spacing w:after="0" w:before="0" w:line="240" w:lineRule="auto"/>
        <w:ind w:left="57"/>
        <w:jc w:val="left"/>
        <w:shd w:val="clear" w:fill="F2F2F2"/>
      </w:pPr>
      <w:r>
        <w:rPr>
          <w:rFonts w:ascii="Consolas" w:hAnsi="Consolas" w:cs="Consolas"/>
          <w:b w:val="0"/>
          <w:i w:val="0"/>
          <w:sz w:val="15"/>
        </w:rPr>
        <w:t>agreed_price DECIMAL(20,4),</w:t>
      </w:r>
    </w:p>
    <w:p>
      <w:pPr>
        <w:spacing w:after="0" w:before="0" w:line="240" w:lineRule="auto"/>
        <w:ind w:left="57"/>
        <w:jc w:val="left"/>
        <w:shd w:val="clear" w:fill="F2F2F2"/>
      </w:pPr>
      <w:r>
        <w:rPr>
          <w:rFonts w:ascii="Consolas" w:hAnsi="Consolas" w:cs="Consolas"/>
          <w:b w:val="0"/>
          <w:i w:val="0"/>
          <w:sz w:val="15"/>
        </w:rPr>
        <w:t>sgtx_fee_rate DECIMAL(5,4),</w:t>
      </w:r>
    </w:p>
    <w:p>
      <w:pPr>
        <w:spacing w:after="0" w:before="0" w:line="240" w:lineRule="auto"/>
        <w:ind w:left="57"/>
        <w:jc w:val="left"/>
        <w:shd w:val="clear" w:fill="F2F2F2"/>
      </w:pPr>
      <w:r>
        <w:rPr>
          <w:rFonts w:ascii="Consolas" w:hAnsi="Consolas" w:cs="Consolas"/>
          <w:b w:val="0"/>
          <w:i w:val="0"/>
          <w:sz w:val="15"/>
        </w:rPr>
        <w:t>sgtx_fee_amount DECIMAL(20,4),</w:t>
      </w:r>
    </w:p>
    <w:p>
      <w:pPr>
        <w:spacing w:after="0" w:before="0" w:line="240" w:lineRule="auto"/>
        <w:ind w:left="57"/>
        <w:jc w:val="left"/>
        <w:shd w:val="clear" w:fill="F2F2F2"/>
      </w:pPr>
      <w:r>
        <w:rPr>
          <w:rFonts w:ascii="Consolas" w:hAnsi="Consolas" w:cs="Consolas"/>
          <w:b w:val="0"/>
          <w:i w:val="0"/>
          <w:sz w:val="15"/>
        </w:rPr>
        <w:t>fee_lock_id UUID,</w:t>
      </w:r>
    </w:p>
    <w:p>
      <w:pPr>
        <w:spacing w:after="0" w:before="0" w:line="240" w:lineRule="auto"/>
        <w:ind w:left="57"/>
        <w:jc w:val="left"/>
        <w:shd w:val="clear" w:fill="F2F2F2"/>
      </w:pPr>
      <w:r>
        <w:rPr>
          <w:rFonts w:ascii="Consolas" w:hAnsi="Consolas" w:cs="Consolas"/>
          <w:b w:val="0"/>
          <w:i w:val="0"/>
          <w:sz w:val="15"/>
        </w:rPr>
        <w:t>status TEXT DEFAULT 'PENDING_SIGNATURES',</w:t>
      </w:r>
    </w:p>
    <w:p>
      <w:pPr>
        <w:spacing w:after="0" w:before="0" w:line="240" w:lineRule="auto"/>
        <w:ind w:left="57"/>
        <w:jc w:val="left"/>
        <w:shd w:val="clear" w:fill="F2F2F2"/>
      </w:pPr>
      <w:r>
        <w:rPr>
          <w:rFonts w:ascii="Consolas" w:hAnsi="Consolas" w:cs="Consolas"/>
          <w:b w:val="0"/>
          <w:i w:val="0"/>
          <w:sz w:val="15"/>
        </w:rPr>
        <w:t>locked_at TIMESTAMPTZ,</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17.16 Disputes &amp; Evidence</w:t>
      </w:r>
    </w:p>
    <w:p>
      <w:pPr>
        <w:spacing w:after="80" w:line="293" w:lineRule="auto"/>
        <w:jc w:val="left"/>
      </w:pPr>
      <w:r>
        <w:rPr>
          <w:rFonts w:ascii="Times New Roman" w:hAnsi="Times New Roman" w:cs="Times New Roman"/>
          <w:b w:val="0"/>
          <w:i w:val="0"/>
          <w:sz w:val="22"/>
        </w:rPr>
        <w:t>Disputes across ten categories with mediation log, AI settlement proposal, and predicted outcome; dispute recommendations with model versioning and SHAP values; Loom-hashed evidence packages with verification tokens; causal attribution; third-party experts.</w:t>
      </w:r>
    </w:p>
    <w:p>
      <w:pPr>
        <w:spacing w:after="0" w:before="0" w:line="240" w:lineRule="auto"/>
        <w:ind w:left="57"/>
        <w:jc w:val="left"/>
        <w:shd w:val="clear" w:fill="F2F2F2"/>
      </w:pPr>
      <w:r>
        <w:rPr>
          <w:rFonts w:ascii="Consolas" w:hAnsi="Consolas" w:cs="Consolas"/>
          <w:b w:val="0"/>
          <w:i w:val="0"/>
          <w:sz w:val="15"/>
        </w:rPr>
        <w:t>-- Disputes</w:t>
      </w:r>
    </w:p>
    <w:p>
      <w:pPr>
        <w:spacing w:after="0" w:before="0" w:line="240" w:lineRule="auto"/>
        <w:ind w:left="57"/>
        <w:jc w:val="left"/>
        <w:shd w:val="clear" w:fill="F2F2F2"/>
      </w:pPr>
      <w:r>
        <w:rPr>
          <w:rFonts w:ascii="Consolas" w:hAnsi="Consolas" w:cs="Consolas"/>
          <w:b w:val="0"/>
          <w:i w:val="0"/>
          <w:sz w:val="15"/>
        </w:rPr>
        <w:t>CREATE TABLE disputes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contract_shipment_id UUID REFERENCES contract_shipments(id) ON DELETE SET NULL,</w:t>
      </w:r>
    </w:p>
    <w:p>
      <w:pPr>
        <w:spacing w:after="0" w:before="0" w:line="240" w:lineRule="auto"/>
        <w:ind w:left="57"/>
        <w:jc w:val="left"/>
        <w:shd w:val="clear" w:fill="F2F2F2"/>
      </w:pPr>
      <w:r>
        <w:rPr>
          <w:rFonts w:ascii="Consolas" w:hAnsi="Consolas" w:cs="Consolas"/>
          <w:b w:val="0"/>
          <w:i w:val="0"/>
          <w:sz w:val="15"/>
        </w:rPr>
        <w:t>financing_agreement_id UUID REFERENCES financing_agreements(id) ON DELETE SET NULL,</w:t>
      </w:r>
    </w:p>
    <w:p>
      <w:pPr>
        <w:spacing w:after="0" w:before="0" w:line="240" w:lineRule="auto"/>
        <w:ind w:left="57"/>
        <w:jc w:val="left"/>
        <w:shd w:val="clear" w:fill="F2F2F2"/>
      </w:pPr>
      <w:r>
        <w:rPr>
          <w:rFonts w:ascii="Consolas" w:hAnsi="Consolas" w:cs="Consolas"/>
          <w:b w:val="0"/>
          <w:i w:val="0"/>
          <w:sz w:val="15"/>
        </w:rPr>
        <w:t>filing_party_gtid TEXT NOT NULL REFERENCES tenants(gtid) ON DELETE CASCADE,</w:t>
      </w:r>
    </w:p>
    <w:p>
      <w:pPr>
        <w:spacing w:after="0" w:before="0" w:line="240" w:lineRule="auto"/>
        <w:ind w:left="57"/>
        <w:jc w:val="left"/>
        <w:shd w:val="clear" w:fill="F2F2F2"/>
      </w:pPr>
      <w:r>
        <w:rPr>
          <w:rFonts w:ascii="Consolas" w:hAnsi="Consolas" w:cs="Consolas"/>
          <w:b w:val="0"/>
          <w:i w:val="0"/>
          <w:sz w:val="15"/>
        </w:rPr>
        <w:t>dispute_category dispute_category NOT NULL,</w:t>
      </w:r>
    </w:p>
    <w:p>
      <w:pPr>
        <w:spacing w:after="0" w:before="0" w:line="240" w:lineRule="auto"/>
        <w:ind w:left="57"/>
        <w:jc w:val="left"/>
        <w:shd w:val="clear" w:fill="F2F2F2"/>
      </w:pPr>
      <w:r>
        <w:rPr>
          <w:rFonts w:ascii="Consolas" w:hAnsi="Consolas" w:cs="Consolas"/>
          <w:b w:val="0"/>
          <w:i w:val="0"/>
          <w:sz w:val="15"/>
        </w:rPr>
        <w:t>description TEXT NOT NULL,</w:t>
      </w:r>
    </w:p>
    <w:p>
      <w:pPr>
        <w:spacing w:after="0" w:before="0" w:line="240" w:lineRule="auto"/>
        <w:ind w:left="57"/>
        <w:jc w:val="left"/>
        <w:shd w:val="clear" w:fill="F2F2F2"/>
      </w:pPr>
      <w:r>
        <w:rPr>
          <w:rFonts w:ascii="Consolas" w:hAnsi="Consolas" w:cs="Consolas"/>
          <w:b w:val="0"/>
          <w:i w:val="0"/>
          <w:sz w:val="15"/>
        </w:rPr>
        <w:t>remedy_sought TEXT,</w:t>
      </w:r>
    </w:p>
    <w:p>
      <w:pPr>
        <w:spacing w:after="0" w:before="0" w:line="240" w:lineRule="auto"/>
        <w:ind w:left="57"/>
        <w:jc w:val="left"/>
        <w:shd w:val="clear" w:fill="F2F2F2"/>
      </w:pPr>
      <w:r>
        <w:rPr>
          <w:rFonts w:ascii="Consolas" w:hAnsi="Consolas" w:cs="Consolas"/>
          <w:b w:val="0"/>
          <w:i w:val="0"/>
          <w:sz w:val="15"/>
        </w:rPr>
        <w:t>status TEXT DEFAULT 'FILED', -- 'FILED', 'MEDIATION', 'SETTLED', 'ARBITRATION_PENDING', 'ARBITRATION_COMPLETE', 'CLOSED'</w:t>
      </w:r>
    </w:p>
    <w:p>
      <w:pPr>
        <w:spacing w:after="0" w:before="0" w:line="240" w:lineRule="auto"/>
        <w:ind w:left="57"/>
        <w:jc w:val="left"/>
        <w:shd w:val="clear" w:fill="F2F2F2"/>
      </w:pPr>
      <w:r>
        <w:rPr>
          <w:rFonts w:ascii="Consolas" w:hAnsi="Consolas" w:cs="Consolas"/>
          <w:b w:val="0"/>
          <w:i w:val="0"/>
          <w:sz w:val="15"/>
        </w:rPr>
        <w:t>mediation_log JSONB DEFAULT '[]',</w:t>
      </w:r>
    </w:p>
    <w:p>
      <w:pPr>
        <w:spacing w:after="0" w:before="0" w:line="240" w:lineRule="auto"/>
        <w:ind w:left="57"/>
        <w:jc w:val="left"/>
        <w:shd w:val="clear" w:fill="F2F2F2"/>
      </w:pPr>
      <w:r>
        <w:rPr>
          <w:rFonts w:ascii="Consolas" w:hAnsi="Consolas" w:cs="Consolas"/>
          <w:b w:val="0"/>
          <w:i w:val="0"/>
          <w:sz w:val="15"/>
        </w:rPr>
        <w:t>arbitration_case_id TEXT,</w:t>
      </w:r>
    </w:p>
    <w:p>
      <w:pPr>
        <w:spacing w:after="0" w:before="0" w:line="240" w:lineRule="auto"/>
        <w:ind w:left="57"/>
        <w:jc w:val="left"/>
        <w:shd w:val="clear" w:fill="F2F2F2"/>
      </w:pPr>
      <w:r>
        <w:rPr>
          <w:rFonts w:ascii="Consolas" w:hAnsi="Consolas" w:cs="Consolas"/>
          <w:b w:val="0"/>
          <w:i w:val="0"/>
          <w:sz w:val="15"/>
        </w:rPr>
        <w:t>resolution_contract_id UUID REFERENCES contracts(id) ON DELETE SET NULL,</w:t>
      </w:r>
    </w:p>
    <w:p>
      <w:pPr>
        <w:spacing w:after="0" w:before="0" w:line="240" w:lineRule="auto"/>
        <w:ind w:left="57"/>
        <w:jc w:val="left"/>
        <w:shd w:val="clear" w:fill="F2F2F2"/>
      </w:pPr>
      <w:r>
        <w:rPr>
          <w:rFonts w:ascii="Consolas" w:hAnsi="Consolas" w:cs="Consolas"/>
          <w:b w:val="0"/>
          <w:i w:val="0"/>
          <w:sz w:val="15"/>
        </w:rPr>
        <w:t>ai_settlement_proposal JSONB,</w:t>
      </w:r>
    </w:p>
    <w:p>
      <w:pPr>
        <w:spacing w:after="0" w:before="0" w:line="240" w:lineRule="auto"/>
        <w:ind w:left="57"/>
        <w:jc w:val="left"/>
        <w:shd w:val="clear" w:fill="F2F2F2"/>
      </w:pPr>
      <w:r>
        <w:rPr>
          <w:rFonts w:ascii="Consolas" w:hAnsi="Consolas" w:cs="Consolas"/>
          <w:b w:val="0"/>
          <w:i w:val="0"/>
          <w:sz w:val="15"/>
        </w:rPr>
        <w:t>predicted_outcome JSONB,</w:t>
      </w:r>
    </w:p>
    <w:p>
      <w:pPr>
        <w:spacing w:after="0" w:before="0" w:line="240" w:lineRule="auto"/>
        <w:ind w:left="57"/>
        <w:jc w:val="left"/>
        <w:shd w:val="clear" w:fill="F2F2F2"/>
      </w:pPr>
      <w:r>
        <w:rPr>
          <w:rFonts w:ascii="Consolas" w:hAnsi="Consolas" w:cs="Consolas"/>
          <w:b w:val="0"/>
          <w:i w:val="0"/>
          <w:sz w:val="15"/>
        </w:rPr>
        <w:t>document_authenticity_flags JSONB DEFAULT '[]',</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filed_at TIMESTAMPTZ DEFAULT NOW(),</w:t>
      </w:r>
    </w:p>
    <w:p>
      <w:pPr>
        <w:spacing w:after="0" w:before="0" w:line="240" w:lineRule="auto"/>
        <w:ind w:left="57"/>
        <w:jc w:val="left"/>
        <w:shd w:val="clear" w:fill="F2F2F2"/>
      </w:pPr>
      <w:r>
        <w:rPr>
          <w:rFonts w:ascii="Consolas" w:hAnsi="Consolas" w:cs="Consolas"/>
          <w:b w:val="0"/>
          <w:i w:val="0"/>
          <w:sz w:val="15"/>
        </w:rPr>
        <w:t>resolved_at TIMESTAMPTZ,</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Dispute recommendations</w:t>
      </w:r>
    </w:p>
    <w:p>
      <w:pPr>
        <w:spacing w:after="0" w:before="0" w:line="240" w:lineRule="auto"/>
        <w:ind w:left="57"/>
        <w:jc w:val="left"/>
        <w:shd w:val="clear" w:fill="F2F2F2"/>
      </w:pPr>
      <w:r>
        <w:rPr>
          <w:rFonts w:ascii="Consolas" w:hAnsi="Consolas" w:cs="Consolas"/>
          <w:b w:val="0"/>
          <w:i w:val="0"/>
          <w:sz w:val="15"/>
        </w:rPr>
        <w:t>CREATE TABLE dispute_recommendations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dispute_id UUID NOT NULL REFERENCES disputes(id) ON DELETE CASCADE,</w:t>
      </w:r>
    </w:p>
    <w:p>
      <w:pPr>
        <w:spacing w:after="0" w:before="0" w:line="240" w:lineRule="auto"/>
        <w:ind w:left="57"/>
        <w:jc w:val="left"/>
        <w:shd w:val="clear" w:fill="F2F2F2"/>
      </w:pPr>
      <w:r>
        <w:rPr>
          <w:rFonts w:ascii="Consolas" w:hAnsi="Consolas" w:cs="Consolas"/>
          <w:b w:val="0"/>
          <w:i w:val="0"/>
          <w:sz w:val="15"/>
        </w:rPr>
        <w:t>ai_prediction TEXT,</w:t>
      </w:r>
    </w:p>
    <w:p>
      <w:pPr>
        <w:spacing w:after="0" w:before="0" w:line="240" w:lineRule="auto"/>
        <w:ind w:left="57"/>
        <w:jc w:val="left"/>
        <w:shd w:val="clear" w:fill="F2F2F2"/>
      </w:pPr>
      <w:r>
        <w:rPr>
          <w:rFonts w:ascii="Consolas" w:hAnsi="Consolas" w:cs="Consolas"/>
          <w:b w:val="0"/>
          <w:i w:val="0"/>
          <w:sz w:val="15"/>
        </w:rPr>
        <w:t>suggested_settlement JSONB,</w:t>
      </w:r>
    </w:p>
    <w:p>
      <w:pPr>
        <w:spacing w:after="0" w:before="0" w:line="240" w:lineRule="auto"/>
        <w:ind w:left="57"/>
        <w:jc w:val="left"/>
        <w:shd w:val="clear" w:fill="F2F2F2"/>
      </w:pPr>
      <w:r>
        <w:rPr>
          <w:rFonts w:ascii="Consolas" w:hAnsi="Consolas" w:cs="Consolas"/>
          <w:b w:val="0"/>
          <w:i w:val="0"/>
          <w:sz w:val="15"/>
        </w:rPr>
        <w:t>confidence DECIMAL(5,4),</w:t>
      </w:r>
    </w:p>
    <w:p>
      <w:pPr>
        <w:spacing w:after="0" w:before="0" w:line="240" w:lineRule="auto"/>
        <w:ind w:left="57"/>
        <w:jc w:val="left"/>
        <w:shd w:val="clear" w:fill="F2F2F2"/>
      </w:pPr>
      <w:r>
        <w:rPr>
          <w:rFonts w:ascii="Consolas" w:hAnsi="Consolas" w:cs="Consolas"/>
          <w:b w:val="0"/>
          <w:i w:val="0"/>
          <w:sz w:val="15"/>
        </w:rPr>
        <w:t>shap_values JSONB,</w:t>
      </w:r>
    </w:p>
    <w:p>
      <w:pPr>
        <w:spacing w:after="0" w:before="0" w:line="240" w:lineRule="auto"/>
        <w:ind w:left="57"/>
        <w:jc w:val="left"/>
        <w:shd w:val="clear" w:fill="F2F2F2"/>
      </w:pPr>
      <w:r>
        <w:rPr>
          <w:rFonts w:ascii="Consolas" w:hAnsi="Consolas" w:cs="Consolas"/>
          <w:b w:val="0"/>
          <w:i w:val="0"/>
          <w:sz w:val="15"/>
        </w:rPr>
        <w:t>model_version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Evidence packages</w:t>
      </w:r>
    </w:p>
    <w:p>
      <w:pPr>
        <w:spacing w:after="0" w:before="0" w:line="240" w:lineRule="auto"/>
        <w:ind w:left="57"/>
        <w:jc w:val="left"/>
        <w:shd w:val="clear" w:fill="F2F2F2"/>
      </w:pPr>
      <w:r>
        <w:rPr>
          <w:rFonts w:ascii="Consolas" w:hAnsi="Consolas" w:cs="Consolas"/>
          <w:b w:val="0"/>
          <w:i w:val="0"/>
          <w:sz w:val="15"/>
        </w:rPr>
        <w:t>CREATE TABLE evidence_packages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dispute_id UUID NOT NULL REFERENCES disputes(id) ON DELETE CASCADE,</w:t>
      </w:r>
    </w:p>
    <w:p>
      <w:pPr>
        <w:spacing w:after="0" w:before="0" w:line="240" w:lineRule="auto"/>
        <w:ind w:left="57"/>
        <w:jc w:val="left"/>
        <w:shd w:val="clear" w:fill="F2F2F2"/>
      </w:pPr>
      <w:r>
        <w:rPr>
          <w:rFonts w:ascii="Consolas" w:hAnsi="Consolas" w:cs="Consolas"/>
          <w:b w:val="0"/>
          <w:i w:val="0"/>
          <w:sz w:val="15"/>
        </w:rPr>
        <w:t>package JSONB NOT NULL,</w:t>
      </w:r>
    </w:p>
    <w:p>
      <w:pPr>
        <w:spacing w:after="0" w:before="0" w:line="240" w:lineRule="auto"/>
        <w:ind w:left="57"/>
        <w:jc w:val="left"/>
        <w:shd w:val="clear" w:fill="F2F2F2"/>
      </w:pPr>
      <w:r>
        <w:rPr>
          <w:rFonts w:ascii="Consolas" w:hAnsi="Consolas" w:cs="Consolas"/>
          <w:b w:val="0"/>
          <w:i w:val="0"/>
          <w:sz w:val="15"/>
        </w:rPr>
        <w:t>loom_hash TEXT NOT NULL,</w:t>
      </w:r>
    </w:p>
    <w:p>
      <w:pPr>
        <w:spacing w:after="0" w:before="0" w:line="240" w:lineRule="auto"/>
        <w:ind w:left="57"/>
        <w:jc w:val="left"/>
        <w:shd w:val="clear" w:fill="F2F2F2"/>
      </w:pPr>
      <w:r>
        <w:rPr>
          <w:rFonts w:ascii="Consolas" w:hAnsi="Consolas" w:cs="Consolas"/>
          <w:b w:val="0"/>
          <w:i w:val="0"/>
          <w:sz w:val="15"/>
        </w:rPr>
        <w:t>verification_token TEXT UNIQUE,</w:t>
      </w:r>
    </w:p>
    <w:p>
      <w:pPr>
        <w:spacing w:after="0" w:before="0" w:line="240" w:lineRule="auto"/>
        <w:ind w:left="57"/>
        <w:jc w:val="left"/>
        <w:shd w:val="clear" w:fill="F2F2F2"/>
      </w:pPr>
      <w:r>
        <w:rPr>
          <w:rFonts w:ascii="Consolas" w:hAnsi="Consolas" w:cs="Consolas"/>
          <w:b w:val="0"/>
          <w:i w:val="0"/>
          <w:sz w:val="15"/>
        </w:rPr>
        <w:t>compiled_at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Causal attribution</w:t>
      </w:r>
    </w:p>
    <w:p>
      <w:pPr>
        <w:spacing w:after="0" w:before="0" w:line="240" w:lineRule="auto"/>
        <w:ind w:left="57"/>
        <w:jc w:val="left"/>
        <w:shd w:val="clear" w:fill="F2F2F2"/>
      </w:pPr>
      <w:r>
        <w:rPr>
          <w:rFonts w:ascii="Consolas" w:hAnsi="Consolas" w:cs="Consolas"/>
          <w:b w:val="0"/>
          <w:i w:val="0"/>
          <w:sz w:val="15"/>
        </w:rPr>
        <w:t>CREATE TABLE causal_attribution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entity_id UUID NOT NULL, -- dispute_id or shipment_id</w:t>
      </w:r>
    </w:p>
    <w:p>
      <w:pPr>
        <w:spacing w:after="0" w:before="0" w:line="240" w:lineRule="auto"/>
        <w:ind w:left="57"/>
        <w:jc w:val="left"/>
        <w:shd w:val="clear" w:fill="F2F2F2"/>
      </w:pPr>
      <w:r>
        <w:rPr>
          <w:rFonts w:ascii="Consolas" w:hAnsi="Consolas" w:cs="Consolas"/>
          <w:b w:val="0"/>
          <w:i w:val="0"/>
          <w:sz w:val="15"/>
        </w:rPr>
        <w:t>entity_type TEXT NOT NULL, -- 'DISPUTE', 'SHIPMENT'</w:t>
      </w:r>
    </w:p>
    <w:p>
      <w:pPr>
        <w:spacing w:after="0" w:before="0" w:line="240" w:lineRule="auto"/>
        <w:ind w:left="57"/>
        <w:jc w:val="left"/>
        <w:shd w:val="clear" w:fill="F2F2F2"/>
      </w:pPr>
      <w:r>
        <w:rPr>
          <w:rFonts w:ascii="Consolas" w:hAnsi="Consolas" w:cs="Consolas"/>
          <w:b w:val="0"/>
          <w:i w:val="0"/>
          <w:sz w:val="15"/>
        </w:rPr>
        <w:t>factor TEXT NOT NULL,</w:t>
      </w:r>
    </w:p>
    <w:p>
      <w:pPr>
        <w:spacing w:after="0" w:before="0" w:line="240" w:lineRule="auto"/>
        <w:ind w:left="57"/>
        <w:jc w:val="left"/>
        <w:shd w:val="clear" w:fill="F2F2F2"/>
      </w:pPr>
      <w:r>
        <w:rPr>
          <w:rFonts w:ascii="Consolas" w:hAnsi="Consolas" w:cs="Consolas"/>
          <w:b w:val="0"/>
          <w:i w:val="0"/>
          <w:sz w:val="15"/>
        </w:rPr>
        <w:t>contribution DECIMAL(5,4) NOT NULL,</w:t>
      </w:r>
    </w:p>
    <w:p>
      <w:pPr>
        <w:spacing w:after="0" w:before="0" w:line="240" w:lineRule="auto"/>
        <w:ind w:left="57"/>
        <w:jc w:val="left"/>
        <w:shd w:val="clear" w:fill="F2F2F2"/>
      </w:pPr>
      <w:r>
        <w:rPr>
          <w:rFonts w:ascii="Consolas" w:hAnsi="Consolas" w:cs="Consolas"/>
          <w:b w:val="0"/>
          <w:i w:val="0"/>
          <w:sz w:val="15"/>
        </w:rPr>
        <w:t>confidence_interval JSONB,</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model_version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Third-party experts</w:t>
      </w:r>
    </w:p>
    <w:p>
      <w:pPr>
        <w:spacing w:after="0" w:before="0" w:line="240" w:lineRule="auto"/>
        <w:ind w:left="57"/>
        <w:jc w:val="left"/>
        <w:shd w:val="clear" w:fill="F2F2F2"/>
      </w:pPr>
      <w:r>
        <w:rPr>
          <w:rFonts w:ascii="Consolas" w:hAnsi="Consolas" w:cs="Consolas"/>
          <w:b w:val="0"/>
          <w:i w:val="0"/>
          <w:sz w:val="15"/>
        </w:rPr>
        <w:t>CREATE TABLE dispute_experts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 xml:space="preserve"> dispute_id UUID REFERENCES disputes(id) ON DELETE CASCADE,</w:t>
      </w:r>
    </w:p>
    <w:p>
      <w:pPr>
        <w:spacing w:after="0" w:before="0" w:line="240" w:lineRule="auto"/>
        <w:ind w:left="57"/>
        <w:jc w:val="left"/>
        <w:shd w:val="clear" w:fill="F2F2F2"/>
      </w:pPr>
      <w:r>
        <w:rPr>
          <w:rFonts w:ascii="Consolas" w:hAnsi="Consolas" w:cs="Consolas"/>
          <w:b w:val="0"/>
          <w:i w:val="0"/>
          <w:sz w:val="15"/>
        </w:rPr>
        <w:t>expert_gtid TEXT REFERENCES tenants(gtid) ON DELETE SET NULL,</w:t>
      </w:r>
    </w:p>
    <w:p>
      <w:pPr>
        <w:spacing w:after="0" w:before="0" w:line="240" w:lineRule="auto"/>
        <w:ind w:left="57"/>
        <w:jc w:val="left"/>
        <w:shd w:val="clear" w:fill="F2F2F2"/>
      </w:pPr>
      <w:r>
        <w:rPr>
          <w:rFonts w:ascii="Consolas" w:hAnsi="Consolas" w:cs="Consolas"/>
          <w:b w:val="0"/>
          <w:i w:val="0"/>
          <w:sz w:val="15"/>
        </w:rPr>
        <w:t>expert_type TEXT NOT NULL, -- 'surveyor', 'laboratory', 'arbitrator', 'legal'</w:t>
      </w:r>
    </w:p>
    <w:p>
      <w:pPr>
        <w:spacing w:after="0" w:before="0" w:line="240" w:lineRule="auto"/>
        <w:ind w:left="57"/>
        <w:jc w:val="left"/>
        <w:shd w:val="clear" w:fill="F2F2F2"/>
      </w:pPr>
      <w:r>
        <w:rPr>
          <w:rFonts w:ascii="Consolas" w:hAnsi="Consolas" w:cs="Consolas"/>
          <w:b w:val="0"/>
          <w:i w:val="0"/>
          <w:sz w:val="15"/>
        </w:rPr>
        <w:t>invitation_token TEXT UNIQUE,</w:t>
      </w:r>
    </w:p>
    <w:p>
      <w:pPr>
        <w:spacing w:after="0" w:before="0" w:line="240" w:lineRule="auto"/>
        <w:ind w:left="57"/>
        <w:jc w:val="left"/>
        <w:shd w:val="clear" w:fill="F2F2F2"/>
      </w:pPr>
      <w:r>
        <w:rPr>
          <w:rFonts w:ascii="Consolas" w:hAnsi="Consolas" w:cs="Consolas"/>
          <w:b w:val="0"/>
          <w:i w:val="0"/>
          <w:sz w:val="15"/>
        </w:rPr>
        <w:t>opinion TEXT,</w:t>
      </w:r>
    </w:p>
    <w:p>
      <w:pPr>
        <w:spacing w:after="0" w:before="0" w:line="240" w:lineRule="auto"/>
        <w:ind w:left="57"/>
        <w:jc w:val="left"/>
        <w:shd w:val="clear" w:fill="F2F2F2"/>
      </w:pPr>
      <w:r>
        <w:rPr>
          <w:rFonts w:ascii="Consolas" w:hAnsi="Consolas" w:cs="Consolas"/>
          <w:b w:val="0"/>
          <w:i w:val="0"/>
          <w:sz w:val="15"/>
        </w:rPr>
        <w:t>posted_at TIMESTAMPTZ,</w:t>
      </w:r>
    </w:p>
    <w:p>
      <w:pPr>
        <w:spacing w:after="0" w:before="0" w:line="240" w:lineRule="auto"/>
        <w:ind w:left="57"/>
        <w:jc w:val="left"/>
        <w:shd w:val="clear" w:fill="F2F2F2"/>
      </w:pPr>
      <w:r>
        <w:rPr>
          <w:rFonts w:ascii="Consolas" w:hAnsi="Consolas" w:cs="Consolas"/>
          <w:b w:val="0"/>
          <w:i w:val="0"/>
          <w:sz w:val="15"/>
        </w:rPr>
        <w:t>status TEXT DEFAULT 'INVITED', -- 'INVITED', 'ACCEPTED', 'DECLINED', 'POSTED'</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17.17 Governance, Audit &amp; Smart Inbox</w:t>
      </w:r>
    </w:p>
    <w:p>
      <w:pPr>
        <w:spacing w:after="80" w:line="293" w:lineRule="auto"/>
        <w:jc w:val="left"/>
      </w:pPr>
      <w:r>
        <w:rPr>
          <w:rFonts w:ascii="Times New Roman" w:hAnsi="Times New Roman" w:cs="Times New Roman"/>
          <w:b w:val="0"/>
          <w:i w:val="0"/>
          <w:sz w:val="22"/>
        </w:rPr>
        <w:t>Governor decisions with verdicts, tenant messages, and signatures; AI inference records (agent, authority level, confidence, explanation, Loom hash); date-partitioned audit log; Loom verification tokens; Smart Inbox items, history, and preferences (Section 2.5.1).</w:t>
      </w:r>
    </w:p>
    <w:p>
      <w:pPr>
        <w:spacing w:after="0" w:before="0" w:line="240" w:lineRule="auto"/>
        <w:ind w:left="57"/>
        <w:jc w:val="left"/>
        <w:shd w:val="clear" w:fill="F2F2F2"/>
      </w:pPr>
      <w:r>
        <w:rPr>
          <w:rFonts w:ascii="Consolas" w:hAnsi="Consolas" w:cs="Consolas"/>
          <w:b w:val="0"/>
          <w:i w:val="0"/>
          <w:sz w:val="15"/>
        </w:rPr>
        <w:t>-- Governor decisions</w:t>
      </w:r>
    </w:p>
    <w:p>
      <w:pPr>
        <w:spacing w:after="0" w:before="0" w:line="240" w:lineRule="auto"/>
        <w:ind w:left="57"/>
        <w:jc w:val="left"/>
        <w:shd w:val="clear" w:fill="F2F2F2"/>
      </w:pPr>
      <w:r>
        <w:rPr>
          <w:rFonts w:ascii="Consolas" w:hAnsi="Consolas" w:cs="Consolas"/>
          <w:b w:val="0"/>
          <w:i w:val="0"/>
          <w:sz w:val="15"/>
        </w:rPr>
        <w:t>CREATE TABLE governor_decisions (</w:t>
      </w:r>
    </w:p>
    <w:p>
      <w:pPr>
        <w:spacing w:after="0" w:before="0" w:line="240" w:lineRule="auto"/>
        <w:ind w:left="57"/>
        <w:jc w:val="left"/>
        <w:shd w:val="clear" w:fill="F2F2F2"/>
      </w:pPr>
      <w:r>
        <w:rPr>
          <w:rFonts w:ascii="Consolas" w:hAnsi="Consolas" w:cs="Consolas"/>
          <w:b w:val="0"/>
          <w:i w:val="0"/>
          <w:sz w:val="15"/>
        </w:rPr>
        <w:t>decision_id UUID PRIMARY KEY DEFAULT gen_random_uuid(),</w:t>
      </w:r>
    </w:p>
    <w:p>
      <w:pPr>
        <w:spacing w:after="0" w:before="0" w:line="240" w:lineRule="auto"/>
        <w:ind w:left="57"/>
        <w:jc w:val="left"/>
        <w:shd w:val="clear" w:fill="F2F2F2"/>
      </w:pPr>
      <w:r>
        <w:rPr>
          <w:rFonts w:ascii="Consolas" w:hAnsi="Consolas" w:cs="Consolas"/>
          <w:b w:val="0"/>
          <w:i w:val="0"/>
          <w:sz w:val="15"/>
        </w:rPr>
        <w:t>decision_type TEXT NOT NULL,</w:t>
      </w:r>
    </w:p>
    <w:p>
      <w:pPr>
        <w:spacing w:after="0" w:before="0" w:line="240" w:lineRule="auto"/>
        <w:ind w:left="57"/>
        <w:jc w:val="left"/>
        <w:shd w:val="clear" w:fill="F2F2F2"/>
      </w:pPr>
      <w:r>
        <w:rPr>
          <w:rFonts w:ascii="Consolas" w:hAnsi="Consolas" w:cs="Consolas"/>
          <w:b w:val="0"/>
          <w:i w:val="0"/>
          <w:sz w:val="15"/>
        </w:rPr>
        <w:t>actor_gtid TEXT NOT NULL,</w:t>
      </w:r>
    </w:p>
    <w:p>
      <w:pPr>
        <w:spacing w:after="0" w:before="0" w:line="240" w:lineRule="auto"/>
        <w:ind w:left="57"/>
        <w:jc w:val="left"/>
        <w:shd w:val="clear" w:fill="F2F2F2"/>
      </w:pPr>
      <w:r>
        <w:rPr>
          <w:rFonts w:ascii="Consolas" w:hAnsi="Consolas" w:cs="Consolas"/>
          <w:b w:val="0"/>
          <w:i w:val="0"/>
          <w:sz w:val="15"/>
        </w:rPr>
        <w:t>actor_employee_id UUID REFERENCES employees(id) ON DELETE SET NULL,</w:t>
      </w:r>
    </w:p>
    <w:p>
      <w:pPr>
        <w:spacing w:after="0" w:before="0" w:line="240" w:lineRule="auto"/>
        <w:ind w:left="57"/>
        <w:jc w:val="left"/>
        <w:shd w:val="clear" w:fill="F2F2F2"/>
      </w:pPr>
      <w:r>
        <w:rPr>
          <w:rFonts w:ascii="Consolas" w:hAnsi="Consolas" w:cs="Consolas"/>
          <w:b w:val="0"/>
          <w:i w:val="0"/>
          <w:sz w:val="15"/>
        </w:rPr>
        <w:t>verdict verdict_type NOT NULL,</w:t>
      </w:r>
    </w:p>
    <w:p>
      <w:pPr>
        <w:spacing w:after="0" w:before="0" w:line="240" w:lineRule="auto"/>
        <w:ind w:left="57"/>
        <w:jc w:val="left"/>
        <w:shd w:val="clear" w:fill="F2F2F2"/>
      </w:pPr>
      <w:r>
        <w:rPr>
          <w:rFonts w:ascii="Consolas" w:hAnsi="Consolas" w:cs="Consolas"/>
          <w:b w:val="0"/>
          <w:i w:val="0"/>
          <w:sz w:val="15"/>
        </w:rPr>
        <w:t>tenant_message JSONB,</w:t>
      </w:r>
    </w:p>
    <w:p>
      <w:pPr>
        <w:spacing w:after="0" w:before="0" w:line="240" w:lineRule="auto"/>
        <w:ind w:left="57"/>
        <w:jc w:val="left"/>
        <w:shd w:val="clear" w:fill="F2F2F2"/>
      </w:pPr>
      <w:r>
        <w:rPr>
          <w:rFonts w:ascii="Consolas" w:hAnsi="Consolas" w:cs="Consolas"/>
          <w:b w:val="0"/>
          <w:i w:val="0"/>
          <w:sz w:val="15"/>
        </w:rPr>
        <w:t>loom_hash TEXT NOT NULL,</w:t>
      </w:r>
    </w:p>
    <w:p>
      <w:pPr>
        <w:spacing w:after="0" w:before="0" w:line="240" w:lineRule="auto"/>
        <w:ind w:left="57"/>
        <w:jc w:val="left"/>
        <w:shd w:val="clear" w:fill="F2F2F2"/>
      </w:pPr>
      <w:r>
        <w:rPr>
          <w:rFonts w:ascii="Consolas" w:hAnsi="Consolas" w:cs="Consolas"/>
          <w:b w:val="0"/>
          <w:i w:val="0"/>
          <w:sz w:val="15"/>
        </w:rPr>
        <w:t>cryptographic_signature TEXT NOT NULL,</w:t>
      </w:r>
    </w:p>
    <w:p>
      <w:pPr>
        <w:spacing w:after="0" w:before="0" w:line="240" w:lineRule="auto"/>
        <w:ind w:left="57"/>
        <w:jc w:val="left"/>
        <w:shd w:val="clear" w:fill="F2F2F2"/>
      </w:pPr>
      <w:r>
        <w:rPr>
          <w:rFonts w:ascii="Consolas" w:hAnsi="Consolas" w:cs="Consolas"/>
          <w:b w:val="0"/>
          <w:i w:val="0"/>
          <w:sz w:val="15"/>
        </w:rPr>
        <w:t>pqc_signature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AI inference records</w:t>
      </w:r>
    </w:p>
    <w:p>
      <w:pPr>
        <w:spacing w:after="0" w:before="0" w:line="240" w:lineRule="auto"/>
        <w:ind w:left="57"/>
        <w:jc w:val="left"/>
        <w:shd w:val="clear" w:fill="F2F2F2"/>
      </w:pPr>
      <w:r>
        <w:rPr>
          <w:rFonts w:ascii="Consolas" w:hAnsi="Consolas" w:cs="Consolas"/>
          <w:b w:val="0"/>
          <w:i w:val="0"/>
          <w:sz w:val="15"/>
        </w:rPr>
        <w:t>CREATE TABLE ai_inference_records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agent_name TEXT NOT NULL,</w:t>
      </w:r>
    </w:p>
    <w:p>
      <w:pPr>
        <w:spacing w:after="0" w:before="0" w:line="240" w:lineRule="auto"/>
        <w:ind w:left="57"/>
        <w:jc w:val="left"/>
        <w:shd w:val="clear" w:fill="F2F2F2"/>
      </w:pPr>
      <w:r>
        <w:rPr>
          <w:rFonts w:ascii="Consolas" w:hAnsi="Consolas" w:cs="Consolas"/>
          <w:b w:val="0"/>
          <w:i w:val="0"/>
          <w:sz w:val="15"/>
        </w:rPr>
        <w:t>authority_level TEXT NOT NULL, -- 'A0', 'A1', 'A2', 'A3', 'A4'</w:t>
      </w:r>
    </w:p>
    <w:p>
      <w:pPr>
        <w:spacing w:after="0" w:before="0" w:line="240" w:lineRule="auto"/>
        <w:ind w:left="57"/>
        <w:jc w:val="left"/>
        <w:shd w:val="clear" w:fill="F2F2F2"/>
      </w:pPr>
      <w:r>
        <w:rPr>
          <w:rFonts w:ascii="Consolas" w:hAnsi="Consolas" w:cs="Consolas"/>
          <w:b w:val="0"/>
          <w:i w:val="0"/>
          <w:sz w:val="15"/>
        </w:rPr>
        <w:t>action_context JSONB NOT NULL,</w:t>
      </w:r>
    </w:p>
    <w:p>
      <w:pPr>
        <w:spacing w:after="0" w:before="0" w:line="240" w:lineRule="auto"/>
        <w:ind w:left="57"/>
        <w:jc w:val="left"/>
        <w:shd w:val="clear" w:fill="F2F2F2"/>
      </w:pPr>
      <w:r>
        <w:rPr>
          <w:rFonts w:ascii="Consolas" w:hAnsi="Consolas" w:cs="Consolas"/>
          <w:b w:val="0"/>
          <w:i w:val="0"/>
          <w:sz w:val="15"/>
        </w:rPr>
        <w:t>decision JSONB NOT NULL,</w:t>
      </w:r>
    </w:p>
    <w:p>
      <w:pPr>
        <w:spacing w:after="0" w:before="0" w:line="240" w:lineRule="auto"/>
        <w:ind w:left="57"/>
        <w:jc w:val="left"/>
        <w:shd w:val="clear" w:fill="F2F2F2"/>
      </w:pPr>
      <w:r>
        <w:rPr>
          <w:rFonts w:ascii="Consolas" w:hAnsi="Consolas" w:cs="Consolas"/>
          <w:b w:val="0"/>
          <w:i w:val="0"/>
          <w:sz w:val="15"/>
        </w:rPr>
        <w:t>confidence DECIMAL(5,4),</w:t>
      </w:r>
    </w:p>
    <w:p>
      <w:pPr>
        <w:spacing w:after="0" w:before="0" w:line="240" w:lineRule="auto"/>
        <w:ind w:left="57"/>
        <w:jc w:val="left"/>
        <w:shd w:val="clear" w:fill="F2F2F2"/>
      </w:pPr>
      <w:r>
        <w:rPr>
          <w:rFonts w:ascii="Consolas" w:hAnsi="Consolas" w:cs="Consolas"/>
          <w:b w:val="0"/>
          <w:i w:val="0"/>
          <w:sz w:val="15"/>
        </w:rPr>
        <w:t>shap_values JSONB,</w:t>
      </w:r>
    </w:p>
    <w:p>
      <w:pPr>
        <w:spacing w:after="0" w:before="0" w:line="240" w:lineRule="auto"/>
        <w:ind w:left="57"/>
        <w:jc w:val="left"/>
        <w:shd w:val="clear" w:fill="F2F2F2"/>
      </w:pPr>
      <w:r>
        <w:rPr>
          <w:rFonts w:ascii="Consolas" w:hAnsi="Consolas" w:cs="Consolas"/>
          <w:b w:val="0"/>
          <w:i w:val="0"/>
          <w:sz w:val="15"/>
        </w:rPr>
        <w:t>explanation TEXT,</w:t>
      </w:r>
    </w:p>
    <w:p>
      <w:pPr>
        <w:spacing w:after="0" w:before="0" w:line="240" w:lineRule="auto"/>
        <w:ind w:left="57"/>
        <w:jc w:val="left"/>
        <w:shd w:val="clear" w:fill="F2F2F2"/>
      </w:pPr>
      <w:r>
        <w:rPr>
          <w:rFonts w:ascii="Consolas" w:hAnsi="Consolas" w:cs="Consolas"/>
          <w:b w:val="0"/>
          <w:i w:val="0"/>
          <w:sz w:val="15"/>
        </w:rPr>
        <w:t>loom_hash TEXT NOT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Audit log (partitioned by date)</w:t>
      </w:r>
    </w:p>
    <w:p>
      <w:pPr>
        <w:spacing w:after="0" w:before="0" w:line="240" w:lineRule="auto"/>
        <w:ind w:left="57"/>
        <w:jc w:val="left"/>
        <w:shd w:val="clear" w:fill="F2F2F2"/>
      </w:pPr>
      <w:r>
        <w:rPr>
          <w:rFonts w:ascii="Consolas" w:hAnsi="Consolas" w:cs="Consolas"/>
          <w:b w:val="0"/>
          <w:i w:val="0"/>
          <w:sz w:val="15"/>
        </w:rPr>
        <w:t>CREATE TABLE audit_log (</w:t>
      </w:r>
    </w:p>
    <w:p>
      <w:pPr>
        <w:spacing w:after="0" w:before="0" w:line="240" w:lineRule="auto"/>
        <w:ind w:left="57"/>
        <w:jc w:val="left"/>
        <w:shd w:val="clear" w:fill="F2F2F2"/>
      </w:pPr>
      <w:r>
        <w:rPr>
          <w:rFonts w:ascii="Consolas" w:hAnsi="Consolas" w:cs="Consolas"/>
          <w:b w:val="0"/>
          <w:i w:val="0"/>
          <w:sz w:val="15"/>
        </w:rPr>
        <w:t>id BIGSERIAL,</w:t>
      </w:r>
    </w:p>
    <w:p>
      <w:pPr>
        <w:spacing w:after="0" w:before="0" w:line="240" w:lineRule="auto"/>
        <w:ind w:left="57"/>
        <w:jc w:val="left"/>
        <w:shd w:val="clear" w:fill="F2F2F2"/>
      </w:pPr>
      <w:r>
        <w:rPr>
          <w:rFonts w:ascii="Consolas" w:hAnsi="Consolas" w:cs="Consolas"/>
          <w:b w:val="0"/>
          <w:i w:val="0"/>
          <w:sz w:val="15"/>
        </w:rPr>
        <w:t xml:space="preserve"> table_name TEXT NOT NULL,</w:t>
      </w:r>
    </w:p>
    <w:p>
      <w:pPr>
        <w:spacing w:after="0" w:before="0" w:line="240" w:lineRule="auto"/>
        <w:ind w:left="57"/>
        <w:jc w:val="left"/>
        <w:shd w:val="clear" w:fill="F2F2F2"/>
      </w:pPr>
      <w:r>
        <w:rPr>
          <w:rFonts w:ascii="Consolas" w:hAnsi="Consolas" w:cs="Consolas"/>
          <w:b w:val="0"/>
          <w:i w:val="0"/>
          <w:sz w:val="15"/>
        </w:rPr>
        <w:t>record_id UUID NOT NULL,</w:t>
      </w:r>
    </w:p>
    <w:p>
      <w:pPr>
        <w:spacing w:after="0" w:before="0" w:line="240" w:lineRule="auto"/>
        <w:ind w:left="57"/>
        <w:jc w:val="left"/>
        <w:shd w:val="clear" w:fill="F2F2F2"/>
      </w:pPr>
      <w:r>
        <w:rPr>
          <w:rFonts w:ascii="Consolas" w:hAnsi="Consolas" w:cs="Consolas"/>
          <w:b w:val="0"/>
          <w:i w:val="0"/>
          <w:sz w:val="15"/>
        </w:rPr>
        <w:t>action TEXT NOT NULL,</w:t>
      </w:r>
    </w:p>
    <w:p>
      <w:pPr>
        <w:spacing w:after="0" w:before="0" w:line="240" w:lineRule="auto"/>
        <w:ind w:left="57"/>
        <w:jc w:val="left"/>
        <w:shd w:val="clear" w:fill="F2F2F2"/>
      </w:pPr>
      <w:r>
        <w:rPr>
          <w:rFonts w:ascii="Consolas" w:hAnsi="Consolas" w:cs="Consolas"/>
          <w:b w:val="0"/>
          <w:i w:val="0"/>
          <w:sz w:val="15"/>
        </w:rPr>
        <w:t>before JSONB,</w:t>
      </w:r>
    </w:p>
    <w:p>
      <w:pPr>
        <w:spacing w:after="0" w:before="0" w:line="240" w:lineRule="auto"/>
        <w:ind w:left="57"/>
        <w:jc w:val="left"/>
        <w:shd w:val="clear" w:fill="F2F2F2"/>
      </w:pPr>
      <w:r>
        <w:rPr>
          <w:rFonts w:ascii="Consolas" w:hAnsi="Consolas" w:cs="Consolas"/>
          <w:b w:val="0"/>
          <w:i w:val="0"/>
          <w:sz w:val="15"/>
        </w:rPr>
        <w:t>after JSONB,</w:t>
      </w:r>
    </w:p>
    <w:p>
      <w:pPr>
        <w:spacing w:after="0" w:before="0" w:line="240" w:lineRule="auto"/>
        <w:ind w:left="57"/>
        <w:jc w:val="left"/>
        <w:shd w:val="clear" w:fill="F2F2F2"/>
      </w:pPr>
      <w:r>
        <w:rPr>
          <w:rFonts w:ascii="Consolas" w:hAnsi="Consolas" w:cs="Consolas"/>
          <w:b w:val="0"/>
          <w:i w:val="0"/>
          <w:sz w:val="15"/>
        </w:rPr>
        <w:t>changed_by UUID REFERENCES employees(id) ON DELETE SET NULL,</w:t>
      </w:r>
    </w:p>
    <w:p>
      <w:pPr>
        <w:spacing w:after="0" w:before="0" w:line="240" w:lineRule="auto"/>
        <w:ind w:left="57"/>
        <w:jc w:val="left"/>
        <w:shd w:val="clear" w:fill="F2F2F2"/>
      </w:pPr>
      <w:r>
        <w:rPr>
          <w:rFonts w:ascii="Consolas" w:hAnsi="Consolas" w:cs="Consolas"/>
          <w:b w:val="0"/>
          <w:i w:val="0"/>
          <w:sz w:val="15"/>
        </w:rPr>
        <w:t>changed_at TIMESTAMPTZ DEFAULT NOW()</w:t>
      </w:r>
    </w:p>
    <w:p>
      <w:pPr>
        <w:spacing w:after="0" w:before="0" w:line="240" w:lineRule="auto"/>
        <w:ind w:left="57"/>
        <w:jc w:val="left"/>
        <w:shd w:val="clear" w:fill="F2F2F2"/>
      </w:pPr>
      <w:r>
        <w:rPr>
          <w:rFonts w:ascii="Consolas" w:hAnsi="Consolas" w:cs="Consolas"/>
          <w:b w:val="0"/>
          <w:i w:val="0"/>
          <w:sz w:val="15"/>
        </w:rPr>
        <w:t>) PARTITION BY RANGE (changed_at);</w:t>
      </w:r>
    </w:p>
    <w:p>
      <w:pPr>
        <w:spacing w:after="0" w:before="0" w:line="240" w:lineRule="auto"/>
        <w:ind w:left="57"/>
        <w:jc w:val="left"/>
        <w:shd w:val="clear" w:fill="F2F2F2"/>
      </w:pPr>
      <w:r>
        <w:rPr>
          <w:rFonts w:ascii="Consolas" w:hAnsi="Consolas" w:cs="Consolas"/>
          <w:b w:val="0"/>
          <w:i w:val="0"/>
          <w:sz w:val="15"/>
        </w:rPr>
        <w:t>-- Loom verification tokens</w:t>
      </w:r>
    </w:p>
    <w:p>
      <w:pPr>
        <w:spacing w:after="0" w:before="0" w:line="240" w:lineRule="auto"/>
        <w:ind w:left="57"/>
        <w:jc w:val="left"/>
        <w:shd w:val="clear" w:fill="F2F2F2"/>
      </w:pPr>
      <w:r>
        <w:rPr>
          <w:rFonts w:ascii="Consolas" w:hAnsi="Consolas" w:cs="Consolas"/>
          <w:b w:val="0"/>
          <w:i w:val="0"/>
          <w:sz w:val="15"/>
        </w:rPr>
        <w:t>CREATE TABLE loom_verification_tokens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token UUID NOT NULL UNIQUE DEFAULT gen_random_uuid(),</w:t>
      </w:r>
    </w:p>
    <w:p>
      <w:pPr>
        <w:spacing w:after="0" w:before="0" w:line="240" w:lineRule="auto"/>
        <w:ind w:left="57"/>
        <w:jc w:val="left"/>
        <w:shd w:val="clear" w:fill="F2F2F2"/>
      </w:pPr>
      <w:r>
        <w:rPr>
          <w:rFonts w:ascii="Consolas" w:hAnsi="Consolas" w:cs="Consolas"/>
          <w:b w:val="0"/>
          <w:i w:val="0"/>
          <w:sz w:val="15"/>
        </w:rPr>
        <w:t>expires_at TIMESTAMPTZ NOT NULL DEFAULT NOW() + INTERVAL '90 days',</w:t>
      </w:r>
    </w:p>
    <w:p>
      <w:pPr>
        <w:spacing w:after="0" w:before="0" w:line="240" w:lineRule="auto"/>
        <w:ind w:left="57"/>
        <w:jc w:val="left"/>
        <w:shd w:val="clear" w:fill="F2F2F2"/>
      </w:pPr>
      <w:r>
        <w:rPr>
          <w:rFonts w:ascii="Consolas" w:hAnsi="Consolas" w:cs="Consolas"/>
          <w:b w:val="0"/>
          <w:i w:val="0"/>
          <w:sz w:val="15"/>
        </w:rPr>
        <w:t>created_by UUID REFERENCES employees(id) ON DELETE SET NULL,</w:t>
      </w:r>
    </w:p>
    <w:p>
      <w:pPr>
        <w:spacing w:after="0" w:before="0" w:line="240" w:lineRule="auto"/>
        <w:ind w:left="57"/>
        <w:jc w:val="left"/>
        <w:shd w:val="clear" w:fill="F2F2F2"/>
      </w:pPr>
      <w:r>
        <w:rPr>
          <w:rFonts w:ascii="Consolas" w:hAnsi="Consolas" w:cs="Consolas"/>
          <w:b w:val="0"/>
          <w:i w:val="0"/>
          <w:sz w:val="15"/>
        </w:rPr>
        <w:t>revoked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Smart Inbox items</w:t>
      </w:r>
    </w:p>
    <w:p>
      <w:pPr>
        <w:spacing w:after="0" w:before="0" w:line="240" w:lineRule="auto"/>
        <w:ind w:left="57"/>
        <w:jc w:val="left"/>
        <w:shd w:val="clear" w:fill="F2F2F2"/>
      </w:pPr>
      <w:r>
        <w:rPr>
          <w:rFonts w:ascii="Consolas" w:hAnsi="Consolas" w:cs="Consolas"/>
          <w:b w:val="0"/>
          <w:i w:val="0"/>
          <w:sz w:val="15"/>
        </w:rPr>
        <w:t>CREATE TABLE inbox_items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item_id UUID UNIQUE NOT NULL,</w:t>
      </w:r>
    </w:p>
    <w:p>
      <w:pPr>
        <w:spacing w:after="0" w:before="0" w:line="240" w:lineRule="auto"/>
        <w:ind w:left="57"/>
        <w:jc w:val="left"/>
        <w:shd w:val="clear" w:fill="F2F2F2"/>
      </w:pPr>
      <w:r>
        <w:rPr>
          <w:rFonts w:ascii="Consolas" w:hAnsi="Consolas" w:cs="Consolas"/>
          <w:b w:val="0"/>
          <w:i w:val="0"/>
          <w:sz w:val="15"/>
        </w:rPr>
        <w:t>ustn TEXT REFERENCES shipments(ustn) ON DELETE SET NULL,</w:t>
      </w:r>
    </w:p>
    <w:p>
      <w:pPr>
        <w:spacing w:after="0" w:before="0" w:line="240" w:lineRule="auto"/>
        <w:ind w:left="57"/>
        <w:jc w:val="left"/>
        <w:shd w:val="clear" w:fill="F2F2F2"/>
      </w:pPr>
      <w:r>
        <w:rPr>
          <w:rFonts w:ascii="Consolas" w:hAnsi="Consolas" w:cs="Consolas"/>
          <w:b w:val="0"/>
          <w:i w:val="0"/>
          <w:sz w:val="15"/>
        </w:rPr>
        <w:t>category TEXT NOT NULL CHECK (category IN ('NEEDS_SIGNATURE','NEEDS_APPROVAL','NEEDS_DOCUMENT','NEEDS_PAYMENT','SHIPMENT_ALERT','NEW_OFFER','NEGOTIATION','COMPLIANCE','GENERAL')),</w:t>
      </w:r>
    </w:p>
    <w:p>
      <w:pPr>
        <w:spacing w:after="0" w:before="0" w:line="240" w:lineRule="auto"/>
        <w:ind w:left="57"/>
        <w:jc w:val="left"/>
        <w:shd w:val="clear" w:fill="F2F2F2"/>
      </w:pPr>
      <w:r>
        <w:rPr>
          <w:rFonts w:ascii="Consolas" w:hAnsi="Consolas" w:cs="Consolas"/>
          <w:b w:val="0"/>
          <w:i w:val="0"/>
          <w:sz w:val="15"/>
        </w:rPr>
        <w:t>priority_score INTEGER NOT NULL CHECK (priority_score BETWEEN 0 AND 100),</w:t>
      </w:r>
    </w:p>
    <w:p>
      <w:pPr>
        <w:spacing w:after="0" w:before="0" w:line="240" w:lineRule="auto"/>
        <w:ind w:left="57"/>
        <w:jc w:val="left"/>
        <w:shd w:val="clear" w:fill="F2F2F2"/>
      </w:pPr>
      <w:r>
        <w:rPr>
          <w:rFonts w:ascii="Consolas" w:hAnsi="Consolas" w:cs="Consolas"/>
          <w:b w:val="0"/>
          <w:i w:val="0"/>
          <w:sz w:val="15"/>
        </w:rPr>
        <w:t>title TEXT NOT NULL,</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deadline TIMESTAMPTZ,</w:t>
      </w:r>
    </w:p>
    <w:p>
      <w:pPr>
        <w:spacing w:after="0" w:before="0" w:line="240" w:lineRule="auto"/>
        <w:ind w:left="57"/>
        <w:jc w:val="left"/>
        <w:shd w:val="clear" w:fill="F2F2F2"/>
      </w:pPr>
      <w:r>
        <w:rPr>
          <w:rFonts w:ascii="Consolas" w:hAnsi="Consolas" w:cs="Consolas"/>
          <w:b w:val="0"/>
          <w:i w:val="0"/>
          <w:sz w:val="15"/>
        </w:rPr>
        <w:t>action_link TEXT NOT NULL,</w:t>
      </w:r>
    </w:p>
    <w:p>
      <w:pPr>
        <w:spacing w:after="0" w:before="0" w:line="240" w:lineRule="auto"/>
        <w:ind w:left="57"/>
        <w:jc w:val="left"/>
        <w:shd w:val="clear" w:fill="F2F2F2"/>
      </w:pPr>
      <w:r>
        <w:rPr>
          <w:rFonts w:ascii="Consolas" w:hAnsi="Consolas" w:cs="Consolas"/>
          <w:b w:val="0"/>
          <w:i w:val="0"/>
          <w:sz w:val="15"/>
        </w:rPr>
        <w:t>snoozed_until TIMESTAMPTZ,</w:t>
      </w:r>
    </w:p>
    <w:p>
      <w:pPr>
        <w:spacing w:after="0" w:before="0" w:line="240" w:lineRule="auto"/>
        <w:ind w:left="57"/>
        <w:jc w:val="left"/>
        <w:shd w:val="clear" w:fill="F2F2F2"/>
      </w:pPr>
      <w:r>
        <w:rPr>
          <w:rFonts w:ascii="Consolas" w:hAnsi="Consolas" w:cs="Consolas"/>
          <w:b w:val="0"/>
          <w:i w:val="0"/>
          <w:sz w:val="15"/>
        </w:rPr>
        <w:t>dismissed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Inbox history</w:t>
      </w:r>
    </w:p>
    <w:p>
      <w:pPr>
        <w:spacing w:after="0" w:before="0" w:line="240" w:lineRule="auto"/>
        <w:ind w:left="57"/>
        <w:jc w:val="left"/>
        <w:shd w:val="clear" w:fill="F2F2F2"/>
      </w:pPr>
      <w:r>
        <w:rPr>
          <w:rFonts w:ascii="Consolas" w:hAnsi="Consolas" w:cs="Consolas"/>
          <w:b w:val="0"/>
          <w:i w:val="0"/>
          <w:sz w:val="15"/>
        </w:rPr>
        <w:t>CREATE TABLE inbox_history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 xml:space="preserve"> item_id UUID NOT NULL,</w:t>
      </w:r>
    </w:p>
    <w:p>
      <w:pPr>
        <w:spacing w:after="0" w:before="0" w:line="240" w:lineRule="auto"/>
        <w:ind w:left="57"/>
        <w:jc w:val="left"/>
        <w:shd w:val="clear" w:fill="F2F2F2"/>
      </w:pPr>
      <w:r>
        <w:rPr>
          <w:rFonts w:ascii="Consolas" w:hAnsi="Consolas" w:cs="Consolas"/>
          <w:b w:val="0"/>
          <w:i w:val="0"/>
          <w:sz w:val="15"/>
        </w:rPr>
        <w:t>ustn TEXT,</w:t>
      </w:r>
    </w:p>
    <w:p>
      <w:pPr>
        <w:spacing w:after="0" w:before="0" w:line="240" w:lineRule="auto"/>
        <w:ind w:left="57"/>
        <w:jc w:val="left"/>
        <w:shd w:val="clear" w:fill="F2F2F2"/>
      </w:pPr>
      <w:r>
        <w:rPr>
          <w:rFonts w:ascii="Consolas" w:hAnsi="Consolas" w:cs="Consolas"/>
          <w:b w:val="0"/>
          <w:i w:val="0"/>
          <w:sz w:val="15"/>
        </w:rPr>
        <w:t>action_taken TEXT,</w:t>
      </w:r>
    </w:p>
    <w:p>
      <w:pPr>
        <w:spacing w:after="0" w:before="0" w:line="240" w:lineRule="auto"/>
        <w:ind w:left="57"/>
        <w:jc w:val="left"/>
        <w:shd w:val="clear" w:fill="F2F2F2"/>
      </w:pPr>
      <w:r>
        <w:rPr>
          <w:rFonts w:ascii="Consolas" w:hAnsi="Consolas" w:cs="Consolas"/>
          <w:b w:val="0"/>
          <w:i w:val="0"/>
          <w:sz w:val="15"/>
        </w:rPr>
        <w:t>timestamp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Inbox preferences</w:t>
      </w:r>
    </w:p>
    <w:p>
      <w:pPr>
        <w:spacing w:after="0" w:before="0" w:line="240" w:lineRule="auto"/>
        <w:ind w:left="57"/>
        <w:jc w:val="left"/>
        <w:shd w:val="clear" w:fill="F2F2F2"/>
      </w:pPr>
      <w:r>
        <w:rPr>
          <w:rFonts w:ascii="Consolas" w:hAnsi="Consolas" w:cs="Consolas"/>
          <w:b w:val="0"/>
          <w:i w:val="0"/>
          <w:sz w:val="15"/>
        </w:rPr>
        <w:t>CREATE TABLE inbox_preferences (</w:t>
      </w:r>
    </w:p>
    <w:p>
      <w:pPr>
        <w:spacing w:after="0" w:before="0" w:line="240" w:lineRule="auto"/>
        <w:ind w:left="57"/>
        <w:jc w:val="left"/>
        <w:shd w:val="clear" w:fill="F2F2F2"/>
      </w:pPr>
      <w:r>
        <w:rPr>
          <w:rFonts w:ascii="Consolas" w:hAnsi="Consolas" w:cs="Consolas"/>
          <w:b w:val="0"/>
          <w:i w:val="0"/>
          <w:sz w:val="15"/>
        </w:rPr>
        <w:t>employee_id UUID PRIMARY KEY REFERENCES employees(id) ON DELETE CASCADE,</w:t>
      </w:r>
    </w:p>
    <w:p>
      <w:pPr>
        <w:spacing w:after="0" w:before="0" w:line="240" w:lineRule="auto"/>
        <w:ind w:left="57"/>
        <w:jc w:val="left"/>
        <w:shd w:val="clear" w:fill="F2F2F2"/>
      </w:pPr>
      <w:r>
        <w:rPr>
          <w:rFonts w:ascii="Consolas" w:hAnsi="Consolas" w:cs="Consolas"/>
          <w:b w:val="0"/>
          <w:i w:val="0"/>
          <w:sz w:val="15"/>
        </w:rPr>
        <w:t>min_score INTEGER DEFAULT 30,</w:t>
      </w:r>
    </w:p>
    <w:p>
      <w:pPr>
        <w:spacing w:after="0" w:before="0" w:line="240" w:lineRule="auto"/>
        <w:ind w:left="57"/>
        <w:jc w:val="left"/>
        <w:shd w:val="clear" w:fill="F2F2F2"/>
      </w:pPr>
      <w:r>
        <w:rPr>
          <w:rFonts w:ascii="Consolas" w:hAnsi="Consolas" w:cs="Consolas"/>
          <w:b w:val="0"/>
          <w:i w:val="0"/>
          <w:sz w:val="15"/>
        </w:rPr>
        <w:t>muted_categories TEXT[] DEFAULT '{}',</w:t>
      </w:r>
    </w:p>
    <w:p>
      <w:pPr>
        <w:spacing w:after="0" w:before="0" w:line="240" w:lineRule="auto"/>
        <w:ind w:left="57"/>
        <w:jc w:val="left"/>
        <w:shd w:val="clear" w:fill="F2F2F2"/>
      </w:pPr>
      <w:r>
        <w:rPr>
          <w:rFonts w:ascii="Consolas" w:hAnsi="Consolas" w:cs="Consolas"/>
          <w:b w:val="0"/>
          <w:i w:val="0"/>
          <w:sz w:val="15"/>
        </w:rPr>
        <w:t>preferred_language TEXT DEFAULT 'en'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17.18 Jurisdiction, Ports &amp; RIA</w:t>
      </w:r>
    </w:p>
    <w:p>
      <w:pPr>
        <w:spacing w:after="80" w:line="293" w:lineRule="auto"/>
        <w:jc w:val="left"/>
      </w:pPr>
      <w:r>
        <w:rPr>
          <w:rFonts w:ascii="Times New Roman" w:hAnsi="Times New Roman" w:cs="Times New Roman"/>
          <w:b w:val="0"/>
          <w:i w:val="0"/>
          <w:sz w:val="22"/>
        </w:rPr>
        <w:t>The jurisdiction country matrix (sanctions level, distressed-sale policy, KYC tier, deferred fees, registry/customs endpoints, bank partners, reporting requirements); ports; and RIA-maintained regulatory tables: commodity packing defaults, treatment requirements, country MRLs, port special rules, and the commodity dynamic schema cache.</w:t>
      </w:r>
    </w:p>
    <w:p>
      <w:pPr>
        <w:spacing w:after="0" w:before="0" w:line="240" w:lineRule="auto"/>
        <w:ind w:left="57"/>
        <w:jc w:val="left"/>
        <w:shd w:val="clear" w:fill="F2F2F2"/>
      </w:pPr>
      <w:r>
        <w:rPr>
          <w:rFonts w:ascii="Consolas" w:hAnsi="Consolas" w:cs="Consolas"/>
          <w:b w:val="0"/>
          <w:i w:val="0"/>
          <w:sz w:val="15"/>
        </w:rPr>
        <w:t>-- Jurisdictions (country matrix)</w:t>
      </w:r>
    </w:p>
    <w:p>
      <w:pPr>
        <w:spacing w:after="0" w:before="0" w:line="240" w:lineRule="auto"/>
        <w:ind w:left="57"/>
        <w:jc w:val="left"/>
        <w:shd w:val="clear" w:fill="F2F2F2"/>
      </w:pPr>
      <w:r>
        <w:rPr>
          <w:rFonts w:ascii="Consolas" w:hAnsi="Consolas" w:cs="Consolas"/>
          <w:b w:val="0"/>
          <w:i w:val="0"/>
          <w:sz w:val="15"/>
        </w:rPr>
        <w:t>CREATE TABLE jurisdictions (</w:t>
      </w:r>
    </w:p>
    <w:p>
      <w:pPr>
        <w:spacing w:after="0" w:before="0" w:line="240" w:lineRule="auto"/>
        <w:ind w:left="57"/>
        <w:jc w:val="left"/>
        <w:shd w:val="clear" w:fill="F2F2F2"/>
      </w:pPr>
      <w:r>
        <w:rPr>
          <w:rFonts w:ascii="Consolas" w:hAnsi="Consolas" w:cs="Consolas"/>
          <w:b w:val="0"/>
          <w:i w:val="0"/>
          <w:sz w:val="15"/>
        </w:rPr>
        <w:t>code TEXT PRIMARY KEY,</w:t>
      </w:r>
    </w:p>
    <w:p>
      <w:pPr>
        <w:spacing w:after="0" w:before="0" w:line="240" w:lineRule="auto"/>
        <w:ind w:left="57"/>
        <w:jc w:val="left"/>
        <w:shd w:val="clear" w:fill="F2F2F2"/>
      </w:pPr>
      <w:r>
        <w:rPr>
          <w:rFonts w:ascii="Consolas" w:hAnsi="Consolas" w:cs="Consolas"/>
          <w:b w:val="0"/>
          <w:i w:val="0"/>
          <w:sz w:val="15"/>
        </w:rPr>
        <w:t>name TEXT NOT NULL,</w:t>
      </w:r>
    </w:p>
    <w:p>
      <w:pPr>
        <w:spacing w:after="0" w:before="0" w:line="240" w:lineRule="auto"/>
        <w:ind w:left="57"/>
        <w:jc w:val="left"/>
        <w:shd w:val="clear" w:fill="F2F2F2"/>
      </w:pPr>
      <w:r>
        <w:rPr>
          <w:rFonts w:ascii="Consolas" w:hAnsi="Consolas" w:cs="Consolas"/>
          <w:b w:val="0"/>
          <w:i w:val="0"/>
          <w:sz w:val="15"/>
        </w:rPr>
        <w:t>sanctions_level TEXT NOT NULL, -- 'FULL', 'STANDARD', 'LIMITED', 'RESTRICTED', 'BLOCKED'</w:t>
      </w:r>
    </w:p>
    <w:p>
      <w:pPr>
        <w:spacing w:after="0" w:before="0" w:line="240" w:lineRule="auto"/>
        <w:ind w:left="57"/>
        <w:jc w:val="left"/>
        <w:shd w:val="clear" w:fill="F2F2F2"/>
      </w:pPr>
      <w:r>
        <w:rPr>
          <w:rFonts w:ascii="Consolas" w:hAnsi="Consolas" w:cs="Consolas"/>
          <w:b w:val="0"/>
          <w:i w:val="0"/>
          <w:sz w:val="15"/>
        </w:rPr>
        <w:t>regulatory_body TEXT,</w:t>
      </w:r>
    </w:p>
    <w:p>
      <w:pPr>
        <w:spacing w:after="0" w:before="0" w:line="240" w:lineRule="auto"/>
        <w:ind w:left="57"/>
        <w:jc w:val="left"/>
        <w:shd w:val="clear" w:fill="F2F2F2"/>
      </w:pPr>
      <w:r>
        <w:rPr>
          <w:rFonts w:ascii="Consolas" w:hAnsi="Consolas" w:cs="Consolas"/>
          <w:b w:val="0"/>
          <w:i w:val="0"/>
          <w:sz w:val="15"/>
        </w:rPr>
        <w:t>private_financier_allowed BOOLEAN DEFAULT false,</w:t>
      </w:r>
    </w:p>
    <w:p>
      <w:pPr>
        <w:spacing w:after="0" w:before="0" w:line="240" w:lineRule="auto"/>
        <w:ind w:left="57"/>
        <w:jc w:val="left"/>
        <w:shd w:val="clear" w:fill="F2F2F2"/>
      </w:pPr>
      <w:r>
        <w:rPr>
          <w:rFonts w:ascii="Consolas" w:hAnsi="Consolas" w:cs="Consolas"/>
          <w:b w:val="0"/>
          <w:i w:val="0"/>
          <w:sz w:val="15"/>
        </w:rPr>
        <w:t>distressed_sale_allowed TEXT, -- 'YES', 'CONDITIONAL', 'NO'</w:t>
      </w:r>
    </w:p>
    <w:p>
      <w:pPr>
        <w:spacing w:after="0" w:before="0" w:line="240" w:lineRule="auto"/>
        <w:ind w:left="57"/>
        <w:jc w:val="left"/>
        <w:shd w:val="clear" w:fill="F2F2F2"/>
      </w:pPr>
      <w:r>
        <w:rPr>
          <w:rFonts w:ascii="Consolas" w:hAnsi="Consolas" w:cs="Consolas"/>
          <w:b w:val="0"/>
          <w:i w:val="0"/>
          <w:sz w:val="15"/>
        </w:rPr>
        <w:t>distressed_country_factor DECIMAL(5,4) DEFAULT 1.0,</w:t>
      </w:r>
    </w:p>
    <w:p>
      <w:pPr>
        <w:spacing w:after="0" w:before="0" w:line="240" w:lineRule="auto"/>
        <w:ind w:left="57"/>
        <w:jc w:val="left"/>
        <w:shd w:val="clear" w:fill="F2F2F2"/>
      </w:pPr>
      <w:r>
        <w:rPr>
          <w:rFonts w:ascii="Consolas" w:hAnsi="Consolas" w:cs="Consolas"/>
          <w:b w:val="0"/>
          <w:i w:val="0"/>
          <w:sz w:val="15"/>
        </w:rPr>
        <w:t>distressed_sgtx_fee_factor DECIMAL(5,4) DEFAULT 1.0,</w:t>
      </w:r>
    </w:p>
    <w:p>
      <w:pPr>
        <w:spacing w:after="0" w:before="0" w:line="240" w:lineRule="auto"/>
        <w:ind w:left="57"/>
        <w:jc w:val="left"/>
        <w:shd w:val="clear" w:fill="F2F2F2"/>
      </w:pPr>
      <w:r>
        <w:rPr>
          <w:rFonts w:ascii="Consolas" w:hAnsi="Consolas" w:cs="Consolas"/>
          <w:b w:val="0"/>
          <w:i w:val="0"/>
          <w:sz w:val="15"/>
        </w:rPr>
        <w:t>kyc_tier_required INTEGER DEFAULT 2,</w:t>
      </w:r>
    </w:p>
    <w:p>
      <w:pPr>
        <w:spacing w:after="0" w:before="0" w:line="240" w:lineRule="auto"/>
        <w:ind w:left="57"/>
        <w:jc w:val="left"/>
        <w:shd w:val="clear" w:fill="F2F2F2"/>
      </w:pPr>
      <w:r>
        <w:rPr>
          <w:rFonts w:ascii="Consolas" w:hAnsi="Consolas" w:cs="Consolas"/>
          <w:b w:val="0"/>
          <w:i w:val="0"/>
          <w:sz w:val="15"/>
        </w:rPr>
        <w:t>deferred_fees_allowed TEXT[], -- ['IMPORT_DUTIES', 'VAT']</w:t>
      </w:r>
    </w:p>
    <w:p>
      <w:pPr>
        <w:spacing w:after="0" w:before="0" w:line="240" w:lineRule="auto"/>
        <w:ind w:left="57"/>
        <w:jc w:val="left"/>
        <w:shd w:val="clear" w:fill="F2F2F2"/>
      </w:pPr>
      <w:r>
        <w:rPr>
          <w:rFonts w:ascii="Consolas" w:hAnsi="Consolas" w:cs="Consolas"/>
          <w:b w:val="0"/>
          <w:i w:val="0"/>
          <w:sz w:val="15"/>
        </w:rPr>
        <w:t>registry_api_endpoint TEXT,</w:t>
      </w:r>
    </w:p>
    <w:p>
      <w:pPr>
        <w:spacing w:after="0" w:before="0" w:line="240" w:lineRule="auto"/>
        <w:ind w:left="57"/>
        <w:jc w:val="left"/>
        <w:shd w:val="clear" w:fill="F2F2F2"/>
      </w:pPr>
      <w:r>
        <w:rPr>
          <w:rFonts w:ascii="Consolas" w:hAnsi="Consolas" w:cs="Consolas"/>
          <w:b w:val="0"/>
          <w:i w:val="0"/>
          <w:sz w:val="15"/>
        </w:rPr>
        <w:t>customs_api_endpoint TEXT,</w:t>
      </w:r>
    </w:p>
    <w:p>
      <w:pPr>
        <w:spacing w:after="0" w:before="0" w:line="240" w:lineRule="auto"/>
        <w:ind w:left="57"/>
        <w:jc w:val="left"/>
        <w:shd w:val="clear" w:fill="F2F2F2"/>
      </w:pPr>
      <w:r>
        <w:rPr>
          <w:rFonts w:ascii="Consolas" w:hAnsi="Consolas" w:cs="Consolas"/>
          <w:b w:val="0"/>
          <w:i w:val="0"/>
          <w:sz w:val="15"/>
        </w:rPr>
        <w:t>bank_partners JSONB,</w:t>
      </w:r>
    </w:p>
    <w:p>
      <w:pPr>
        <w:spacing w:after="0" w:before="0" w:line="240" w:lineRule="auto"/>
        <w:ind w:left="57"/>
        <w:jc w:val="left"/>
        <w:shd w:val="clear" w:fill="F2F2F2"/>
      </w:pPr>
      <w:r>
        <w:rPr>
          <w:rFonts w:ascii="Consolas" w:hAnsi="Consolas" w:cs="Consolas"/>
          <w:b w:val="0"/>
          <w:i w:val="0"/>
          <w:sz w:val="15"/>
        </w:rPr>
        <w:t>reporting_requirements JSONB,</w:t>
      </w:r>
    </w:p>
    <w:p>
      <w:pPr>
        <w:spacing w:after="0" w:before="0" w:line="240" w:lineRule="auto"/>
        <w:ind w:left="57"/>
        <w:jc w:val="left"/>
        <w:shd w:val="clear" w:fill="F2F2F2"/>
      </w:pPr>
      <w:r>
        <w:rPr>
          <w:rFonts w:ascii="Consolas" w:hAnsi="Consolas" w:cs="Consolas"/>
          <w:b w:val="0"/>
          <w:i w:val="0"/>
          <w:sz w:val="15"/>
        </w:rPr>
        <w:t>last_updated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Ports</w:t>
      </w:r>
    </w:p>
    <w:p>
      <w:pPr>
        <w:spacing w:after="0" w:before="0" w:line="240" w:lineRule="auto"/>
        <w:ind w:left="57"/>
        <w:jc w:val="left"/>
        <w:shd w:val="clear" w:fill="F2F2F2"/>
      </w:pPr>
      <w:r>
        <w:rPr>
          <w:rFonts w:ascii="Consolas" w:hAnsi="Consolas" w:cs="Consolas"/>
          <w:b w:val="0"/>
          <w:i w:val="0"/>
          <w:sz w:val="15"/>
        </w:rPr>
        <w:t>CREATE TABLE ports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unlocode TEXT UNIQUE NOT NULL,</w:t>
      </w:r>
    </w:p>
    <w:p>
      <w:pPr>
        <w:spacing w:after="0" w:before="0" w:line="240" w:lineRule="auto"/>
        <w:ind w:left="57"/>
        <w:jc w:val="left"/>
        <w:shd w:val="clear" w:fill="F2F2F2"/>
      </w:pPr>
      <w:r>
        <w:rPr>
          <w:rFonts w:ascii="Consolas" w:hAnsi="Consolas" w:cs="Consolas"/>
          <w:b w:val="0"/>
          <w:i w:val="0"/>
          <w:sz w:val="15"/>
        </w:rPr>
        <w:t xml:space="preserve"> name TEXT NOT NULL,</w:t>
      </w:r>
    </w:p>
    <w:p>
      <w:pPr>
        <w:spacing w:after="0" w:before="0" w:line="240" w:lineRule="auto"/>
        <w:ind w:left="57"/>
        <w:jc w:val="left"/>
        <w:shd w:val="clear" w:fill="F2F2F2"/>
      </w:pPr>
      <w:r>
        <w:rPr>
          <w:rFonts w:ascii="Consolas" w:hAnsi="Consolas" w:cs="Consolas"/>
          <w:b w:val="0"/>
          <w:i w:val="0"/>
          <w:sz w:val="15"/>
        </w:rPr>
        <w:t>country_code TEXT REFERENCES jurisdictions(code) ON DELETE CASCADE,</w:t>
      </w:r>
    </w:p>
    <w:p>
      <w:pPr>
        <w:spacing w:after="0" w:before="0" w:line="240" w:lineRule="auto"/>
        <w:ind w:left="57"/>
        <w:jc w:val="left"/>
        <w:shd w:val="clear" w:fill="F2F2F2"/>
      </w:pPr>
      <w:r>
        <w:rPr>
          <w:rFonts w:ascii="Consolas" w:hAnsi="Consolas" w:cs="Consolas"/>
          <w:b w:val="0"/>
          <w:i w:val="0"/>
          <w:sz w:val="15"/>
        </w:rPr>
        <w:t>latitude DECIMAL(10,8),</w:t>
      </w:r>
    </w:p>
    <w:p>
      <w:pPr>
        <w:spacing w:after="0" w:before="0" w:line="240" w:lineRule="auto"/>
        <w:ind w:left="57"/>
        <w:jc w:val="left"/>
        <w:shd w:val="clear" w:fill="F2F2F2"/>
      </w:pPr>
      <w:r>
        <w:rPr>
          <w:rFonts w:ascii="Consolas" w:hAnsi="Consolas" w:cs="Consolas"/>
          <w:b w:val="0"/>
          <w:i w:val="0"/>
          <w:sz w:val="15"/>
        </w:rPr>
        <w:t>longitude DECIMAL(11,8),</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RIA maintained tables</w:t>
      </w:r>
    </w:p>
    <w:p>
      <w:pPr>
        <w:spacing w:after="0" w:before="0" w:line="240" w:lineRule="auto"/>
        <w:ind w:left="57"/>
        <w:jc w:val="left"/>
        <w:shd w:val="clear" w:fill="F2F2F2"/>
      </w:pPr>
      <w:r>
        <w:rPr>
          <w:rFonts w:ascii="Consolas" w:hAnsi="Consolas" w:cs="Consolas"/>
          <w:b w:val="0"/>
          <w:i w:val="0"/>
          <w:sz w:val="15"/>
        </w:rPr>
        <w:t>CREATE TABLE commodity_packing_defaults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commodity_type TEXT NOT NULL,</w:t>
      </w:r>
    </w:p>
    <w:p>
      <w:pPr>
        <w:spacing w:after="0" w:before="0" w:line="240" w:lineRule="auto"/>
        <w:ind w:left="57"/>
        <w:jc w:val="left"/>
        <w:shd w:val="clear" w:fill="F2F2F2"/>
      </w:pPr>
      <w:r>
        <w:rPr>
          <w:rFonts w:ascii="Consolas" w:hAnsi="Consolas" w:cs="Consolas"/>
          <w:b w:val="0"/>
          <w:i w:val="0"/>
          <w:sz w:val="15"/>
        </w:rPr>
        <w:t>default_pallet_type TEXT DEFAULT 'EUR',</w:t>
      </w:r>
    </w:p>
    <w:p>
      <w:pPr>
        <w:spacing w:after="0" w:before="0" w:line="240" w:lineRule="auto"/>
        <w:ind w:left="57"/>
        <w:jc w:val="left"/>
        <w:shd w:val="clear" w:fill="F2F2F2"/>
      </w:pPr>
      <w:r>
        <w:rPr>
          <w:rFonts w:ascii="Consolas" w:hAnsi="Consolas" w:cs="Consolas"/>
          <w:b w:val="0"/>
          <w:i w:val="0"/>
          <w:sz w:val="15"/>
        </w:rPr>
        <w:t>default_cartons_per_pallet INTEGER DEFAULT 40,</w:t>
      </w:r>
    </w:p>
    <w:p>
      <w:pPr>
        <w:spacing w:after="0" w:before="0" w:line="240" w:lineRule="auto"/>
        <w:ind w:left="57"/>
        <w:jc w:val="left"/>
        <w:shd w:val="clear" w:fill="F2F2F2"/>
      </w:pPr>
      <w:r>
        <w:rPr>
          <w:rFonts w:ascii="Consolas" w:hAnsi="Consolas" w:cs="Consolas"/>
          <w:b w:val="0"/>
          <w:i w:val="0"/>
          <w:sz w:val="15"/>
        </w:rPr>
        <w:t>default_net_weight_per_carton_kg DECIMAL(10,2) DEFAULT 10,</w:t>
      </w:r>
    </w:p>
    <w:p>
      <w:pPr>
        <w:spacing w:after="0" w:before="0" w:line="240" w:lineRule="auto"/>
        <w:ind w:left="57"/>
        <w:jc w:val="left"/>
        <w:shd w:val="clear" w:fill="F2F2F2"/>
      </w:pPr>
      <w:r>
        <w:rPr>
          <w:rFonts w:ascii="Consolas" w:hAnsi="Consolas" w:cs="Consolas"/>
          <w:b w:val="0"/>
          <w:i w:val="0"/>
          <w:sz w:val="15"/>
        </w:rPr>
        <w:t>default_stacking_layers INTEGER DEFAULT 5,</w:t>
      </w:r>
    </w:p>
    <w:p>
      <w:pPr>
        <w:spacing w:after="0" w:before="0" w:line="240" w:lineRule="auto"/>
        <w:ind w:left="57"/>
        <w:jc w:val="left"/>
        <w:shd w:val="clear" w:fill="F2F2F2"/>
      </w:pPr>
      <w:r>
        <w:rPr>
          <w:rFonts w:ascii="Consolas" w:hAnsi="Consolas" w:cs="Consolas"/>
          <w:b w:val="0"/>
          <w:i w:val="0"/>
          <w:sz w:val="15"/>
        </w:rPr>
        <w:t>max_pallets_per_container_40ft INTEGER DEFAULT 22,</w:t>
      </w:r>
    </w:p>
    <w:p>
      <w:pPr>
        <w:spacing w:after="0" w:before="0" w:line="240" w:lineRule="auto"/>
        <w:ind w:left="57"/>
        <w:jc w:val="left"/>
        <w:shd w:val="clear" w:fill="F2F2F2"/>
      </w:pPr>
      <w:r>
        <w:rPr>
          <w:rFonts w:ascii="Consolas" w:hAnsi="Consolas" w:cs="Consolas"/>
          <w:b w:val="0"/>
          <w:i w:val="0"/>
          <w:sz w:val="15"/>
        </w:rPr>
        <w:t>carton_dimensions_mm JSONB,</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treatment_requirements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origin_country CHAR(2) NOT NULL,</w:t>
      </w:r>
    </w:p>
    <w:p>
      <w:pPr>
        <w:spacing w:after="0" w:before="0" w:line="240" w:lineRule="auto"/>
        <w:ind w:left="57"/>
        <w:jc w:val="left"/>
        <w:shd w:val="clear" w:fill="F2F2F2"/>
      </w:pPr>
      <w:r>
        <w:rPr>
          <w:rFonts w:ascii="Consolas" w:hAnsi="Consolas" w:cs="Consolas"/>
          <w:b w:val="0"/>
          <w:i w:val="0"/>
          <w:sz w:val="15"/>
        </w:rPr>
        <w:t>destination_country CHAR(2) NOT NULL,</w:t>
      </w:r>
    </w:p>
    <w:p>
      <w:pPr>
        <w:spacing w:after="0" w:before="0" w:line="240" w:lineRule="auto"/>
        <w:ind w:left="57"/>
        <w:jc w:val="left"/>
        <w:shd w:val="clear" w:fill="F2F2F2"/>
      </w:pPr>
      <w:r>
        <w:rPr>
          <w:rFonts w:ascii="Consolas" w:hAnsi="Consolas" w:cs="Consolas"/>
          <w:b w:val="0"/>
          <w:i w:val="0"/>
          <w:sz w:val="15"/>
        </w:rPr>
        <w:t>port_code TEXT,</w:t>
      </w:r>
    </w:p>
    <w:p>
      <w:pPr>
        <w:spacing w:after="0" w:before="0" w:line="240" w:lineRule="auto"/>
        <w:ind w:left="57"/>
        <w:jc w:val="left"/>
        <w:shd w:val="clear" w:fill="F2F2F2"/>
      </w:pPr>
      <w:r>
        <w:rPr>
          <w:rFonts w:ascii="Consolas" w:hAnsi="Consolas" w:cs="Consolas"/>
          <w:b w:val="0"/>
          <w:i w:val="0"/>
          <w:sz w:val="15"/>
        </w:rPr>
        <w:t>treatment_type TEXT NOT NULL, -- 'cold_treatment', 'fumigation', 'irradiation', 'pre_cooling'</w:t>
      </w:r>
    </w:p>
    <w:p>
      <w:pPr>
        <w:spacing w:after="0" w:before="0" w:line="240" w:lineRule="auto"/>
        <w:ind w:left="57"/>
        <w:jc w:val="left"/>
        <w:shd w:val="clear" w:fill="F2F2F2"/>
      </w:pPr>
      <w:r>
        <w:rPr>
          <w:rFonts w:ascii="Consolas" w:hAnsi="Consolas" w:cs="Consolas"/>
          <w:b w:val="0"/>
          <w:i w:val="0"/>
          <w:sz w:val="15"/>
        </w:rPr>
        <w:t>temperature_c DECIMAL(5,2),</w:t>
      </w:r>
    </w:p>
    <w:p>
      <w:pPr>
        <w:spacing w:after="0" w:before="0" w:line="240" w:lineRule="auto"/>
        <w:ind w:left="57"/>
        <w:jc w:val="left"/>
        <w:shd w:val="clear" w:fill="F2F2F2"/>
      </w:pPr>
      <w:r>
        <w:rPr>
          <w:rFonts w:ascii="Consolas" w:hAnsi="Consolas" w:cs="Consolas"/>
          <w:b w:val="0"/>
          <w:i w:val="0"/>
          <w:sz w:val="15"/>
        </w:rPr>
        <w:t>duration_days INTEGER,</w:t>
      </w:r>
    </w:p>
    <w:p>
      <w:pPr>
        <w:spacing w:after="0" w:before="0" w:line="240" w:lineRule="auto"/>
        <w:ind w:left="57"/>
        <w:jc w:val="left"/>
        <w:shd w:val="clear" w:fill="F2F2F2"/>
      </w:pPr>
      <w:r>
        <w:rPr>
          <w:rFonts w:ascii="Consolas" w:hAnsi="Consolas" w:cs="Consolas"/>
          <w:b w:val="0"/>
          <w:i w:val="0"/>
          <w:sz w:val="15"/>
        </w:rPr>
        <w:t>certificate_required BOOLEAN DEFAULT true,</w:t>
      </w:r>
    </w:p>
    <w:p>
      <w:pPr>
        <w:spacing w:after="0" w:before="0" w:line="240" w:lineRule="auto"/>
        <w:ind w:left="57"/>
        <w:jc w:val="left"/>
        <w:shd w:val="clear" w:fill="F2F2F2"/>
      </w:pPr>
      <w:r>
        <w:rPr>
          <w:rFonts w:ascii="Consolas" w:hAnsi="Consolas" w:cs="Consolas"/>
          <w:b w:val="0"/>
          <w:i w:val="0"/>
          <w:sz w:val="15"/>
        </w:rPr>
        <w:t>accepted_facilities TEXT[],</w:t>
      </w:r>
    </w:p>
    <w:p>
      <w:pPr>
        <w:spacing w:after="0" w:before="0" w:line="240" w:lineRule="auto"/>
        <w:ind w:left="57"/>
        <w:jc w:val="left"/>
        <w:shd w:val="clear" w:fill="F2F2F2"/>
      </w:pPr>
      <w:r>
        <w:rPr>
          <w:rFonts w:ascii="Consolas" w:hAnsi="Consolas" w:cs="Consolas"/>
          <w:b w:val="0"/>
          <w:i w:val="0"/>
          <w:sz w:val="15"/>
        </w:rPr>
        <w:t>mandate_effective_date DATE,</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country_mrl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destination_country CHAR(2) NOT NULL,</w:t>
      </w:r>
    </w:p>
    <w:p>
      <w:pPr>
        <w:spacing w:after="0" w:before="0" w:line="240" w:lineRule="auto"/>
        <w:ind w:left="57"/>
        <w:jc w:val="left"/>
        <w:shd w:val="clear" w:fill="F2F2F2"/>
      </w:pPr>
      <w:r>
        <w:rPr>
          <w:rFonts w:ascii="Consolas" w:hAnsi="Consolas" w:cs="Consolas"/>
          <w:b w:val="0"/>
          <w:i w:val="0"/>
          <w:sz w:val="15"/>
        </w:rPr>
        <w:t>analyte TEXT NOT NULL,</w:t>
      </w:r>
    </w:p>
    <w:p>
      <w:pPr>
        <w:spacing w:after="0" w:before="0" w:line="240" w:lineRule="auto"/>
        <w:ind w:left="57"/>
        <w:jc w:val="left"/>
        <w:shd w:val="clear" w:fill="F2F2F2"/>
      </w:pPr>
      <w:r>
        <w:rPr>
          <w:rFonts w:ascii="Consolas" w:hAnsi="Consolas" w:cs="Consolas"/>
          <w:b w:val="0"/>
          <w:i w:val="0"/>
          <w:sz w:val="15"/>
        </w:rPr>
        <w:t xml:space="preserve"> mrl_mg_per_kg DECIMAL(10,4),</w:t>
      </w:r>
    </w:p>
    <w:p>
      <w:pPr>
        <w:spacing w:after="0" w:before="0" w:line="240" w:lineRule="auto"/>
        <w:ind w:left="57"/>
        <w:jc w:val="left"/>
        <w:shd w:val="clear" w:fill="F2F2F2"/>
      </w:pPr>
      <w:r>
        <w:rPr>
          <w:rFonts w:ascii="Consolas" w:hAnsi="Consolas" w:cs="Consolas"/>
          <w:b w:val="0"/>
          <w:i w:val="0"/>
          <w:sz w:val="15"/>
        </w:rPr>
        <w:t>unit TEXT DEFAULT 'mg/kg',</w:t>
      </w:r>
    </w:p>
    <w:p>
      <w:pPr>
        <w:spacing w:after="0" w:before="0" w:line="240" w:lineRule="auto"/>
        <w:ind w:left="57"/>
        <w:jc w:val="left"/>
        <w:shd w:val="clear" w:fill="F2F2F2"/>
      </w:pPr>
      <w:r>
        <w:rPr>
          <w:rFonts w:ascii="Consolas" w:hAnsi="Consolas" w:cs="Consolas"/>
          <w:b w:val="0"/>
          <w:i w:val="0"/>
          <w:sz w:val="15"/>
        </w:rPr>
        <w:t>limit_operator TEXT DEFAULT '&lt;=',</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port_special_rules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port_code TEXT NOT NULL REFERENCES ports(unlocode) ON DELETE CASCADE,</w:t>
      </w:r>
    </w:p>
    <w:p>
      <w:pPr>
        <w:spacing w:after="0" w:before="0" w:line="240" w:lineRule="auto"/>
        <w:ind w:left="57"/>
        <w:jc w:val="left"/>
        <w:shd w:val="clear" w:fill="F2F2F2"/>
      </w:pPr>
      <w:r>
        <w:rPr>
          <w:rFonts w:ascii="Consolas" w:hAnsi="Consolas" w:cs="Consolas"/>
          <w:b w:val="0"/>
          <w:i w:val="0"/>
          <w:sz w:val="15"/>
        </w:rPr>
        <w:t>rule_type TEXT NOT NULL, -- 'pre_cooling_certificate', 'cold_treatment', 'fumigation'</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mandatory BOOLEAN DEFAULT true,</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commodity_dynamic_schemas_cache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origin_country CHAR(2) NOT NULL,</w:t>
      </w:r>
    </w:p>
    <w:p>
      <w:pPr>
        <w:spacing w:after="0" w:before="0" w:line="240" w:lineRule="auto"/>
        <w:ind w:left="57"/>
        <w:jc w:val="left"/>
        <w:shd w:val="clear" w:fill="F2F2F2"/>
      </w:pPr>
      <w:r>
        <w:rPr>
          <w:rFonts w:ascii="Consolas" w:hAnsi="Consolas" w:cs="Consolas"/>
          <w:b w:val="0"/>
          <w:i w:val="0"/>
          <w:sz w:val="15"/>
        </w:rPr>
        <w:t>destination_country CHAR(2) NOT NULL,</w:t>
      </w:r>
    </w:p>
    <w:p>
      <w:pPr>
        <w:spacing w:after="0" w:before="0" w:line="240" w:lineRule="auto"/>
        <w:ind w:left="57"/>
        <w:jc w:val="left"/>
        <w:shd w:val="clear" w:fill="F2F2F2"/>
      </w:pPr>
      <w:r>
        <w:rPr>
          <w:rFonts w:ascii="Consolas" w:hAnsi="Consolas" w:cs="Consolas"/>
          <w:b w:val="0"/>
          <w:i w:val="0"/>
          <w:sz w:val="15"/>
        </w:rPr>
        <w:t>port_code TEXT,</w:t>
      </w:r>
    </w:p>
    <w:p>
      <w:pPr>
        <w:spacing w:after="0" w:before="0" w:line="240" w:lineRule="auto"/>
        <w:ind w:left="57"/>
        <w:jc w:val="left"/>
        <w:shd w:val="clear" w:fill="F2F2F2"/>
      </w:pPr>
      <w:r>
        <w:rPr>
          <w:rFonts w:ascii="Consolas" w:hAnsi="Consolas" w:cs="Consolas"/>
          <w:b w:val="0"/>
          <w:i w:val="0"/>
          <w:sz w:val="15"/>
        </w:rPr>
        <w:t>schema_json JSONB NOT NULL,</w:t>
      </w:r>
    </w:p>
    <w:p>
      <w:pPr>
        <w:spacing w:after="0" w:before="0" w:line="240" w:lineRule="auto"/>
        <w:ind w:left="57"/>
        <w:jc w:val="left"/>
        <w:shd w:val="clear" w:fill="F2F2F2"/>
      </w:pPr>
      <w:r>
        <w:rPr>
          <w:rFonts w:ascii="Consolas" w:hAnsi="Consolas" w:cs="Consolas"/>
          <w:b w:val="0"/>
          <w:i w:val="0"/>
          <w:sz w:val="15"/>
        </w:rPr>
        <w:t>generated_at TIMESTAMPTZ DEFAULT NOW(),</w:t>
      </w:r>
    </w:p>
    <w:p>
      <w:pPr>
        <w:spacing w:after="0" w:before="0" w:line="240" w:lineRule="auto"/>
        <w:ind w:left="57"/>
        <w:jc w:val="left"/>
        <w:shd w:val="clear" w:fill="F2F2F2"/>
      </w:pPr>
      <w:r>
        <w:rPr>
          <w:rFonts w:ascii="Consolas" w:hAnsi="Consolas" w:cs="Consolas"/>
          <w:b w:val="0"/>
          <w:i w:val="0"/>
          <w:sz w:val="15"/>
        </w:rPr>
        <w:t>expires_at TIMESTAMPTZ DEFAULT NOW() + INTERVAL '7 days',</w:t>
      </w:r>
    </w:p>
    <w:p>
      <w:pPr>
        <w:spacing w:after="0" w:before="0" w:line="240" w:lineRule="auto"/>
        <w:ind w:left="57"/>
        <w:jc w:val="left"/>
        <w:shd w:val="clear" w:fill="F2F2F2"/>
      </w:pPr>
      <w:r>
        <w:rPr>
          <w:rFonts w:ascii="Consolas" w:hAnsi="Consolas" w:cs="Consolas"/>
          <w:b w:val="0"/>
          <w:i w:val="0"/>
          <w:sz w:val="15"/>
        </w:rPr>
        <w:t>product_form_agent_version TEXT,</w:t>
      </w:r>
    </w:p>
    <w:p>
      <w:pPr>
        <w:spacing w:after="0" w:before="0" w:line="240" w:lineRule="auto"/>
        <w:ind w:left="57"/>
        <w:jc w:val="left"/>
        <w:shd w:val="clear" w:fill="F2F2F2"/>
      </w:pPr>
      <w:r>
        <w:rPr>
          <w:rFonts w:ascii="Consolas" w:hAnsi="Consolas" w:cs="Consolas"/>
          <w:b w:val="0"/>
          <w:i w:val="0"/>
          <w:sz w:val="15"/>
        </w:rPr>
        <w:t>UNIQUE(hs_code, origin_country, destination_country, port_code)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17.19 Documents</w:t>
      </w:r>
    </w:p>
    <w:p>
      <w:pPr>
        <w:spacing w:after="80" w:line="293" w:lineRule="auto"/>
        <w:jc w:val="left"/>
      </w:pPr>
      <w:r>
        <w:rPr>
          <w:rFonts w:ascii="Times New Roman" w:hAnsi="Times New Roman" w:cs="Times New Roman"/>
          <w:b w:val="0"/>
          <w:i w:val="0"/>
          <w:sz w:val="22"/>
        </w:rPr>
        <w:t>Document requirements per shipment with responsible party and criticality; documents with SHA-256 hashes, versioning, AI-extracted metadata, and role/tenant visibility; generated documents (PDF/A-3); eBL capability matrix and per-shipment eBL tracking.</w:t>
      </w:r>
    </w:p>
    <w:p>
      <w:pPr>
        <w:spacing w:after="0" w:before="0" w:line="240" w:lineRule="auto"/>
        <w:ind w:left="57"/>
        <w:jc w:val="left"/>
        <w:shd w:val="clear" w:fill="F2F2F2"/>
      </w:pPr>
      <w:r>
        <w:rPr>
          <w:rFonts w:ascii="Consolas" w:hAnsi="Consolas" w:cs="Consolas"/>
          <w:b w:val="0"/>
          <w:i w:val="0"/>
          <w:sz w:val="15"/>
        </w:rPr>
        <w:t>-- Document requirements</w:t>
      </w:r>
    </w:p>
    <w:p>
      <w:pPr>
        <w:spacing w:after="0" w:before="0" w:line="240" w:lineRule="auto"/>
        <w:ind w:left="57"/>
        <w:jc w:val="left"/>
        <w:shd w:val="clear" w:fill="F2F2F2"/>
      </w:pPr>
      <w:r>
        <w:rPr>
          <w:rFonts w:ascii="Consolas" w:hAnsi="Consolas" w:cs="Consolas"/>
          <w:b w:val="0"/>
          <w:i w:val="0"/>
          <w:sz w:val="15"/>
        </w:rPr>
        <w:t>CREATE TABLE shipment_document_requirements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document_type TEXT NOT NULL,</w:t>
      </w:r>
    </w:p>
    <w:p>
      <w:pPr>
        <w:spacing w:after="0" w:before="0" w:line="240" w:lineRule="auto"/>
        <w:ind w:left="57"/>
        <w:jc w:val="left"/>
        <w:shd w:val="clear" w:fill="F2F2F2"/>
      </w:pPr>
      <w:r>
        <w:rPr>
          <w:rFonts w:ascii="Consolas" w:hAnsi="Consolas" w:cs="Consolas"/>
          <w:b w:val="0"/>
          <w:i w:val="0"/>
          <w:sz w:val="15"/>
        </w:rPr>
        <w:t>responsible_party_type TEXT,</w:t>
      </w:r>
    </w:p>
    <w:p>
      <w:pPr>
        <w:spacing w:after="0" w:before="0" w:line="240" w:lineRule="auto"/>
        <w:ind w:left="57"/>
        <w:jc w:val="left"/>
        <w:shd w:val="clear" w:fill="F2F2F2"/>
      </w:pPr>
      <w:r>
        <w:rPr>
          <w:rFonts w:ascii="Consolas" w:hAnsi="Consolas" w:cs="Consolas"/>
          <w:b w:val="0"/>
          <w:i w:val="0"/>
          <w:sz w:val="15"/>
        </w:rPr>
        <w:t>responsible_tenant_id UUID REFERENCES tenants(id) ON DELETE SET NULL,</w:t>
      </w:r>
    </w:p>
    <w:p>
      <w:pPr>
        <w:spacing w:after="0" w:before="0" w:line="240" w:lineRule="auto"/>
        <w:ind w:left="57"/>
        <w:jc w:val="left"/>
        <w:shd w:val="clear" w:fill="F2F2F2"/>
      </w:pPr>
      <w:r>
        <w:rPr>
          <w:rFonts w:ascii="Consolas" w:hAnsi="Consolas" w:cs="Consolas"/>
          <w:b w:val="0"/>
          <w:i w:val="0"/>
          <w:sz w:val="15"/>
        </w:rPr>
        <w:t>is_critical BOOLEAN DEFAULT false,</w:t>
      </w:r>
    </w:p>
    <w:p>
      <w:pPr>
        <w:spacing w:after="0" w:before="0" w:line="240" w:lineRule="auto"/>
        <w:ind w:left="57"/>
        <w:jc w:val="left"/>
        <w:shd w:val="clear" w:fill="F2F2F2"/>
      </w:pPr>
      <w:r>
        <w:rPr>
          <w:rFonts w:ascii="Consolas" w:hAnsi="Consolas" w:cs="Consolas"/>
          <w:b w:val="0"/>
          <w:i w:val="0"/>
          <w:sz w:val="15"/>
        </w:rPr>
        <w:t>status TEXT DEFAULT 'PENDING',</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Documents</w:t>
      </w:r>
    </w:p>
    <w:p>
      <w:pPr>
        <w:spacing w:after="0" w:before="0" w:line="240" w:lineRule="auto"/>
        <w:ind w:left="57"/>
        <w:jc w:val="left"/>
        <w:shd w:val="clear" w:fill="F2F2F2"/>
      </w:pPr>
      <w:r>
        <w:rPr>
          <w:rFonts w:ascii="Consolas" w:hAnsi="Consolas" w:cs="Consolas"/>
          <w:b w:val="0"/>
          <w:i w:val="0"/>
          <w:sz w:val="15"/>
        </w:rPr>
        <w:t xml:space="preserve"> CREATE TABLE documents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requirement_id UUID REFERENCES shipment_document_requirements(id) ON DELETE SET NULL,</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uploaded_by_provider_gtid TEXT,</w:t>
      </w:r>
    </w:p>
    <w:p>
      <w:pPr>
        <w:spacing w:after="0" w:before="0" w:line="240" w:lineRule="auto"/>
        <w:ind w:left="57"/>
        <w:jc w:val="left"/>
        <w:shd w:val="clear" w:fill="F2F2F2"/>
      </w:pPr>
      <w:r>
        <w:rPr>
          <w:rFonts w:ascii="Consolas" w:hAnsi="Consolas" w:cs="Consolas"/>
          <w:b w:val="0"/>
          <w:i w:val="0"/>
          <w:sz w:val="15"/>
        </w:rPr>
        <w:t>document_type TEXT NOT NULL,</w:t>
      </w:r>
    </w:p>
    <w:p>
      <w:pPr>
        <w:spacing w:after="0" w:before="0" w:line="240" w:lineRule="auto"/>
        <w:ind w:left="57"/>
        <w:jc w:val="left"/>
        <w:shd w:val="clear" w:fill="F2F2F2"/>
      </w:pPr>
      <w:r>
        <w:rPr>
          <w:rFonts w:ascii="Consolas" w:hAnsi="Consolas" w:cs="Consolas"/>
          <w:b w:val="0"/>
          <w:i w:val="0"/>
          <w:sz w:val="15"/>
        </w:rPr>
        <w:t>filename TEXT,</w:t>
      </w:r>
    </w:p>
    <w:p>
      <w:pPr>
        <w:spacing w:after="0" w:before="0" w:line="240" w:lineRule="auto"/>
        <w:ind w:left="57"/>
        <w:jc w:val="left"/>
        <w:shd w:val="clear" w:fill="F2F2F2"/>
      </w:pPr>
      <w:r>
        <w:rPr>
          <w:rFonts w:ascii="Consolas" w:hAnsi="Consolas" w:cs="Consolas"/>
          <w:b w:val="0"/>
          <w:i w:val="0"/>
          <w:sz w:val="15"/>
        </w:rPr>
        <w:t>storage_path TEXT NOT NULL,</w:t>
      </w:r>
    </w:p>
    <w:p>
      <w:pPr>
        <w:spacing w:after="0" w:before="0" w:line="240" w:lineRule="auto"/>
        <w:ind w:left="57"/>
        <w:jc w:val="left"/>
        <w:shd w:val="clear" w:fill="F2F2F2"/>
      </w:pPr>
      <w:r>
        <w:rPr>
          <w:rFonts w:ascii="Consolas" w:hAnsi="Consolas" w:cs="Consolas"/>
          <w:b w:val="0"/>
          <w:i w:val="0"/>
          <w:sz w:val="15"/>
        </w:rPr>
        <w:t>sha256_hash TEXT NOT NULL,</w:t>
      </w:r>
    </w:p>
    <w:p>
      <w:pPr>
        <w:spacing w:after="0" w:before="0" w:line="240" w:lineRule="auto"/>
        <w:ind w:left="57"/>
        <w:jc w:val="left"/>
        <w:shd w:val="clear" w:fill="F2F2F2"/>
      </w:pPr>
      <w:r>
        <w:rPr>
          <w:rFonts w:ascii="Consolas" w:hAnsi="Consolas" w:cs="Consolas"/>
          <w:b w:val="0"/>
          <w:i w:val="0"/>
          <w:sz w:val="15"/>
        </w:rPr>
        <w:t>version INTEGER DEFAULT 1,</w:t>
      </w:r>
    </w:p>
    <w:p>
      <w:pPr>
        <w:spacing w:after="0" w:before="0" w:line="240" w:lineRule="auto"/>
        <w:ind w:left="57"/>
        <w:jc w:val="left"/>
        <w:shd w:val="clear" w:fill="F2F2F2"/>
      </w:pPr>
      <w:r>
        <w:rPr>
          <w:rFonts w:ascii="Consolas" w:hAnsi="Consolas" w:cs="Consolas"/>
          <w:b w:val="0"/>
          <w:i w:val="0"/>
          <w:sz w:val="15"/>
        </w:rPr>
        <w:t>previous_version_id UUID REFERENCES documents(id) ON DELETE SET NULL,</w:t>
      </w:r>
    </w:p>
    <w:p>
      <w:pPr>
        <w:spacing w:after="0" w:before="0" w:line="240" w:lineRule="auto"/>
        <w:ind w:left="57"/>
        <w:jc w:val="left"/>
        <w:shd w:val="clear" w:fill="F2F2F2"/>
      </w:pPr>
      <w:r>
        <w:rPr>
          <w:rFonts w:ascii="Consolas" w:hAnsi="Consolas" w:cs="Consolas"/>
          <w:b w:val="0"/>
          <w:i w:val="0"/>
          <w:sz w:val="15"/>
        </w:rPr>
        <w:t>uploaded_by UUID NOT NULL REFERENCES employees(id) ON DELETE SET NULL,</w:t>
      </w:r>
    </w:p>
    <w:p>
      <w:pPr>
        <w:spacing w:after="0" w:before="0" w:line="240" w:lineRule="auto"/>
        <w:ind w:left="57"/>
        <w:jc w:val="left"/>
        <w:shd w:val="clear" w:fill="F2F2F2"/>
      </w:pPr>
      <w:r>
        <w:rPr>
          <w:rFonts w:ascii="Consolas" w:hAnsi="Consolas" w:cs="Consolas"/>
          <w:b w:val="0"/>
          <w:i w:val="0"/>
          <w:sz w:val="15"/>
        </w:rPr>
        <w:t>metadata JSONB,</w:t>
      </w:r>
    </w:p>
    <w:p>
      <w:pPr>
        <w:spacing w:after="0" w:before="0" w:line="240" w:lineRule="auto"/>
        <w:ind w:left="57"/>
        <w:jc w:val="left"/>
        <w:shd w:val="clear" w:fill="F2F2F2"/>
      </w:pPr>
      <w:r>
        <w:rPr>
          <w:rFonts w:ascii="Consolas" w:hAnsi="Consolas" w:cs="Consolas"/>
          <w:b w:val="0"/>
          <w:i w:val="0"/>
          <w:sz w:val="15"/>
        </w:rPr>
        <w:t>ai_extracted JSONB,</w:t>
      </w:r>
    </w:p>
    <w:p>
      <w:pPr>
        <w:spacing w:after="0" w:before="0" w:line="240" w:lineRule="auto"/>
        <w:ind w:left="57"/>
        <w:jc w:val="left"/>
        <w:shd w:val="clear" w:fill="F2F2F2"/>
      </w:pPr>
      <w:r>
        <w:rPr>
          <w:rFonts w:ascii="Consolas" w:hAnsi="Consolas" w:cs="Consolas"/>
          <w:b w:val="0"/>
          <w:i w:val="0"/>
          <w:sz w:val="15"/>
        </w:rPr>
        <w:t>verification_status TEXT DEFAULT 'PENDING',</w:t>
      </w:r>
    </w:p>
    <w:p>
      <w:pPr>
        <w:spacing w:after="0" w:before="0" w:line="240" w:lineRule="auto"/>
        <w:ind w:left="57"/>
        <w:jc w:val="left"/>
        <w:shd w:val="clear" w:fill="F2F2F2"/>
      </w:pPr>
      <w:r>
        <w:rPr>
          <w:rFonts w:ascii="Consolas" w:hAnsi="Consolas" w:cs="Consolas"/>
          <w:b w:val="0"/>
          <w:i w:val="0"/>
          <w:sz w:val="15"/>
        </w:rPr>
        <w:t>verified_at TIMESTAMPTZ,</w:t>
      </w:r>
    </w:p>
    <w:p>
      <w:pPr>
        <w:spacing w:after="0" w:before="0" w:line="240" w:lineRule="auto"/>
        <w:ind w:left="57"/>
        <w:jc w:val="left"/>
        <w:shd w:val="clear" w:fill="F2F2F2"/>
      </w:pPr>
      <w:r>
        <w:rPr>
          <w:rFonts w:ascii="Consolas" w:hAnsi="Consolas" w:cs="Consolas"/>
          <w:b w:val="0"/>
          <w:i w:val="0"/>
          <w:sz w:val="15"/>
        </w:rPr>
        <w:t>visible_to_roles TEXT[], -- ['BUYER', 'SELLER', 'FINANCIER', etc.]</w:t>
      </w:r>
    </w:p>
    <w:p>
      <w:pPr>
        <w:spacing w:after="0" w:before="0" w:line="240" w:lineRule="auto"/>
        <w:ind w:left="57"/>
        <w:jc w:val="left"/>
        <w:shd w:val="clear" w:fill="F2F2F2"/>
      </w:pPr>
      <w:r>
        <w:rPr>
          <w:rFonts w:ascii="Consolas" w:hAnsi="Consolas" w:cs="Consolas"/>
          <w:b w:val="0"/>
          <w:i w:val="0"/>
          <w:sz w:val="15"/>
        </w:rPr>
        <w:t>visible_to_tenant_ids UUID[],</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uploaded_at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Generated documents (PDF/A-3)</w:t>
      </w:r>
    </w:p>
    <w:p>
      <w:pPr>
        <w:spacing w:after="0" w:before="0" w:line="240" w:lineRule="auto"/>
        <w:ind w:left="57"/>
        <w:jc w:val="left"/>
        <w:shd w:val="clear" w:fill="F2F2F2"/>
      </w:pPr>
      <w:r>
        <w:rPr>
          <w:rFonts w:ascii="Consolas" w:hAnsi="Consolas" w:cs="Consolas"/>
          <w:b w:val="0"/>
          <w:i w:val="0"/>
          <w:sz w:val="15"/>
        </w:rPr>
        <w:t>CREATE TABLE generated_documents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REFERENCES shipments(ustn) ON DELETE CASCADE,</w:t>
      </w:r>
    </w:p>
    <w:p>
      <w:pPr>
        <w:spacing w:after="0" w:before="0" w:line="240" w:lineRule="auto"/>
        <w:ind w:left="57"/>
        <w:jc w:val="left"/>
        <w:shd w:val="clear" w:fill="F2F2F2"/>
      </w:pPr>
      <w:r>
        <w:rPr>
          <w:rFonts w:ascii="Consolas" w:hAnsi="Consolas" w:cs="Consolas"/>
          <w:b w:val="0"/>
          <w:i w:val="0"/>
          <w:sz w:val="15"/>
        </w:rPr>
        <w:t>document_type TEXT NOT NULL,</w:t>
      </w:r>
    </w:p>
    <w:p>
      <w:pPr>
        <w:spacing w:after="0" w:before="0" w:line="240" w:lineRule="auto"/>
        <w:ind w:left="57"/>
        <w:jc w:val="left"/>
        <w:shd w:val="clear" w:fill="F2F2F2"/>
      </w:pPr>
      <w:r>
        <w:rPr>
          <w:rFonts w:ascii="Consolas" w:hAnsi="Consolas" w:cs="Consolas"/>
          <w:b w:val="0"/>
          <w:i w:val="0"/>
          <w:sz w:val="15"/>
        </w:rPr>
        <w:t>draft_data JSONB NOT NULL,</w:t>
      </w:r>
    </w:p>
    <w:p>
      <w:pPr>
        <w:spacing w:after="0" w:before="0" w:line="240" w:lineRule="auto"/>
        <w:ind w:left="57"/>
        <w:jc w:val="left"/>
        <w:shd w:val="clear" w:fill="F2F2F2"/>
      </w:pPr>
      <w:r>
        <w:rPr>
          <w:rFonts w:ascii="Consolas" w:hAnsi="Consolas" w:cs="Consolas"/>
          <w:b w:val="0"/>
          <w:i w:val="0"/>
          <w:sz w:val="15"/>
        </w:rPr>
        <w:t>status TEXT DEFAULT 'DRAFT',</w:t>
      </w:r>
    </w:p>
    <w:p>
      <w:pPr>
        <w:spacing w:after="0" w:before="0" w:line="240" w:lineRule="auto"/>
        <w:ind w:left="57"/>
        <w:jc w:val="left"/>
        <w:shd w:val="clear" w:fill="F2F2F2"/>
      </w:pPr>
      <w:r>
        <w:rPr>
          <w:rFonts w:ascii="Consolas" w:hAnsi="Consolas" w:cs="Consolas"/>
          <w:b w:val="0"/>
          <w:i w:val="0"/>
          <w:sz w:val="15"/>
        </w:rPr>
        <w:t>finalized_document_id UUID REFERENCES documents(id) ON DELETE SET NULL,</w:t>
      </w:r>
    </w:p>
    <w:p>
      <w:pPr>
        <w:spacing w:after="0" w:before="0" w:line="240" w:lineRule="auto"/>
        <w:ind w:left="57"/>
        <w:jc w:val="left"/>
        <w:shd w:val="clear" w:fill="F2F2F2"/>
      </w:pPr>
      <w:r>
        <w:rPr>
          <w:rFonts w:ascii="Consolas" w:hAnsi="Consolas" w:cs="Consolas"/>
          <w:b w:val="0"/>
          <w:i w:val="0"/>
          <w:sz w:val="15"/>
        </w:rPr>
        <w:t>finalized_at TIMESTAMPTZ,</w:t>
      </w:r>
    </w:p>
    <w:p>
      <w:pPr>
        <w:spacing w:after="0" w:before="0" w:line="240" w:lineRule="auto"/>
        <w:ind w:left="57"/>
        <w:jc w:val="left"/>
        <w:shd w:val="clear" w:fill="F2F2F2"/>
      </w:pPr>
      <w:r>
        <w:rPr>
          <w:rFonts w:ascii="Consolas" w:hAnsi="Consolas" w:cs="Consolas"/>
          <w:b w:val="0"/>
          <w:i w:val="0"/>
          <w:sz w:val="15"/>
        </w:rPr>
        <w:t>pdfa3_compliant BOOLEAN DEFAULT false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eBL tracking</w:t>
      </w:r>
    </w:p>
    <w:p>
      <w:pPr>
        <w:spacing w:after="0" w:before="0" w:line="240" w:lineRule="auto"/>
        <w:ind w:left="57"/>
        <w:jc w:val="left"/>
        <w:shd w:val="clear" w:fill="F2F2F2"/>
      </w:pPr>
      <w:r>
        <w:rPr>
          <w:rFonts w:ascii="Consolas" w:hAnsi="Consolas" w:cs="Consolas"/>
          <w:b w:val="0"/>
          <w:i w:val="0"/>
          <w:sz w:val="15"/>
        </w:rPr>
        <w:t>CREATE TABLE ebl_capability_matrix (</w:t>
      </w:r>
    </w:p>
    <w:p>
      <w:pPr>
        <w:spacing w:after="0" w:before="0" w:line="240" w:lineRule="auto"/>
        <w:ind w:left="57"/>
        <w:jc w:val="left"/>
        <w:shd w:val="clear" w:fill="F2F2F2"/>
      </w:pPr>
      <w:r>
        <w:rPr>
          <w:rFonts w:ascii="Consolas" w:hAnsi="Consolas" w:cs="Consolas"/>
          <w:b w:val="0"/>
          <w:i w:val="0"/>
          <w:sz w:val="15"/>
        </w:rPr>
        <w:t>carrier_id TEXT PRIMARY KEY,</w:t>
      </w:r>
    </w:p>
    <w:p>
      <w:pPr>
        <w:spacing w:after="0" w:before="0" w:line="240" w:lineRule="auto"/>
        <w:ind w:left="57"/>
        <w:jc w:val="left"/>
        <w:shd w:val="clear" w:fill="F2F2F2"/>
      </w:pPr>
      <w:r>
        <w:rPr>
          <w:rFonts w:ascii="Consolas" w:hAnsi="Consolas" w:cs="Consolas"/>
          <w:b w:val="0"/>
          <w:i w:val="0"/>
          <w:sz w:val="15"/>
        </w:rPr>
        <w:t>carrier_name TEXT NOT NULL,</w:t>
      </w:r>
    </w:p>
    <w:p>
      <w:pPr>
        <w:spacing w:after="0" w:before="0" w:line="240" w:lineRule="auto"/>
        <w:ind w:left="57"/>
        <w:jc w:val="left"/>
        <w:shd w:val="clear" w:fill="F2F2F2"/>
      </w:pPr>
      <w:r>
        <w:rPr>
          <w:rFonts w:ascii="Consolas" w:hAnsi="Consolas" w:cs="Consolas"/>
          <w:b w:val="0"/>
          <w:i w:val="0"/>
          <w:sz w:val="15"/>
        </w:rPr>
        <w:t>supported_platforms TEXT[],</w:t>
      </w:r>
    </w:p>
    <w:p>
      <w:pPr>
        <w:spacing w:after="0" w:before="0" w:line="240" w:lineRule="auto"/>
        <w:ind w:left="57"/>
        <w:jc w:val="left"/>
        <w:shd w:val="clear" w:fill="F2F2F2"/>
      </w:pPr>
      <w:r>
        <w:rPr>
          <w:rFonts w:ascii="Consolas" w:hAnsi="Consolas" w:cs="Consolas"/>
          <w:b w:val="0"/>
          <w:i w:val="0"/>
          <w:sz w:val="15"/>
        </w:rPr>
        <w:t>supported_routes JSONB,</w:t>
      </w:r>
    </w:p>
    <w:p>
      <w:pPr>
        <w:spacing w:after="0" w:before="0" w:line="240" w:lineRule="auto"/>
        <w:ind w:left="57"/>
        <w:jc w:val="left"/>
        <w:shd w:val="clear" w:fill="F2F2F2"/>
      </w:pPr>
      <w:r>
        <w:rPr>
          <w:rFonts w:ascii="Consolas" w:hAnsi="Consolas" w:cs="Consolas"/>
          <w:b w:val="0"/>
          <w:i w:val="0"/>
          <w:sz w:val="15"/>
        </w:rPr>
        <w:t>last_verified TIMESTAMPTZ,</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TABLE shipment_ebls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platform TEXT NOT NULL,</w:t>
      </w:r>
    </w:p>
    <w:p>
      <w:pPr>
        <w:spacing w:after="0" w:before="0" w:line="240" w:lineRule="auto"/>
        <w:ind w:left="57"/>
        <w:jc w:val="left"/>
        <w:shd w:val="clear" w:fill="F2F2F2"/>
      </w:pPr>
      <w:r>
        <w:rPr>
          <w:rFonts w:ascii="Consolas" w:hAnsi="Consolas" w:cs="Consolas"/>
          <w:b w:val="0"/>
          <w:i w:val="0"/>
          <w:sz w:val="15"/>
        </w:rPr>
        <w:t>platform_reference TEXT NOT NULL,</w:t>
      </w:r>
    </w:p>
    <w:p>
      <w:pPr>
        <w:spacing w:after="0" w:before="0" w:line="240" w:lineRule="auto"/>
        <w:ind w:left="57"/>
        <w:jc w:val="left"/>
        <w:shd w:val="clear" w:fill="F2F2F2"/>
      </w:pPr>
      <w:r>
        <w:rPr>
          <w:rFonts w:ascii="Consolas" w:hAnsi="Consolas" w:cs="Consolas"/>
          <w:b w:val="0"/>
          <w:i w:val="0"/>
          <w:sz w:val="15"/>
        </w:rPr>
        <w:t>issue_date DATE,</w:t>
      </w:r>
    </w:p>
    <w:p>
      <w:pPr>
        <w:spacing w:after="0" w:before="0" w:line="240" w:lineRule="auto"/>
        <w:ind w:left="57"/>
        <w:jc w:val="left"/>
        <w:shd w:val="clear" w:fill="F2F2F2"/>
      </w:pPr>
      <w:r>
        <w:rPr>
          <w:rFonts w:ascii="Consolas" w:hAnsi="Consolas" w:cs="Consolas"/>
          <w:b w:val="0"/>
          <w:i w:val="0"/>
          <w:sz w:val="15"/>
        </w:rPr>
        <w:t>current_holder_gtid TEXT REFERENCES tenants(gtid) ON DELETE SET NULL,</w:t>
      </w:r>
    </w:p>
    <w:p>
      <w:pPr>
        <w:spacing w:after="0" w:before="0" w:line="240" w:lineRule="auto"/>
        <w:ind w:left="57"/>
        <w:jc w:val="left"/>
        <w:shd w:val="clear" w:fill="F2F2F2"/>
      </w:pPr>
      <w:r>
        <w:rPr>
          <w:rFonts w:ascii="Consolas" w:hAnsi="Consolas" w:cs="Consolas"/>
          <w:b w:val="0"/>
          <w:i w:val="0"/>
          <w:sz w:val="15"/>
        </w:rPr>
        <w:t>status TEXT DEFAULT 'ISSUED',</w:t>
      </w:r>
    </w:p>
    <w:p>
      <w:pPr>
        <w:spacing w:after="0" w:before="0" w:line="240" w:lineRule="auto"/>
        <w:ind w:left="57"/>
        <w:jc w:val="left"/>
        <w:shd w:val="clear" w:fill="F2F2F2"/>
      </w:pPr>
      <w:r>
        <w:rPr>
          <w:rFonts w:ascii="Consolas" w:hAnsi="Consolas" w:cs="Consolas"/>
          <w:b w:val="0"/>
          <w:i w:val="0"/>
          <w:sz w:val="15"/>
        </w:rPr>
        <w:t>events JSONB DEFAULT '[]',</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17.20 Payments &amp; Settlement</w:t>
      </w:r>
    </w:p>
    <w:p>
      <w:pPr>
        <w:spacing w:after="80" w:line="293" w:lineRule="auto"/>
        <w:jc w:val="left"/>
      </w:pPr>
      <w:r>
        <w:rPr>
          <w:rFonts w:ascii="Times New Roman" w:hAnsi="Times New Roman" w:cs="Times New Roman"/>
          <w:b w:val="0"/>
          <w:i w:val="0"/>
          <w:sz w:val="22"/>
        </w:rPr>
        <w:t>Direct bank settlement under the payment architecture of Section 13: bank capability registry with tiered ISO 20022 support and health scoring; GTID-bound, USTN-bound quotations with milestone conditions; settlement instructions as canonical payment legs with EndToEndId/UETR traceability and camt.054 proof hashes; payment manifests; tenant banking extensions; ISO 20022 message logs; bank mandate agreements (QES); deferred payment instructions and guarantees with expiry escalation; payment retry logs; fee payment requests with deferred-fee state (referenced by the FeeLock state machine, Section 9.30); fee calculations with safety buffer; and bank reconciliation files (MT940, camt.053, CSV) for tier-3 fallback and statement-based reconciliation.</w:t>
      </w:r>
    </w:p>
    <w:p>
      <w:pPr>
        <w:spacing w:after="0" w:before="0" w:line="240" w:lineRule="auto"/>
        <w:ind w:left="57"/>
        <w:jc w:val="left"/>
        <w:shd w:val="clear" w:fill="F2F2F2"/>
      </w:pPr>
      <w:r>
        <w:rPr>
          <w:rFonts w:ascii="Consolas" w:hAnsi="Consolas" w:cs="Consolas"/>
          <w:b w:val="0"/>
          <w:i w:val="0"/>
          <w:sz w:val="15"/>
        </w:rPr>
        <w:t>-- Bank capability registry (tiered ISO 20022 support)</w:t>
      </w:r>
    </w:p>
    <w:p>
      <w:pPr>
        <w:spacing w:after="0" w:before="0" w:line="240" w:lineRule="auto"/>
        <w:ind w:left="57"/>
        <w:jc w:val="left"/>
        <w:shd w:val="clear" w:fill="F2F2F2"/>
      </w:pPr>
      <w:r>
        <w:rPr>
          <w:rFonts w:ascii="Consolas" w:hAnsi="Consolas" w:cs="Consolas"/>
          <w:b w:val="0"/>
          <w:i w:val="0"/>
          <w:sz w:val="15"/>
        </w:rPr>
        <w:t>CREATE TABLE bank_capability_registry (</w:t>
      </w:r>
    </w:p>
    <w:p>
      <w:pPr>
        <w:spacing w:after="0" w:before="0" w:line="240" w:lineRule="auto"/>
        <w:ind w:left="57"/>
        <w:jc w:val="left"/>
        <w:shd w:val="clear" w:fill="F2F2F2"/>
      </w:pPr>
      <w:r>
        <w:rPr>
          <w:rFonts w:ascii="Consolas" w:hAnsi="Consolas" w:cs="Consolas"/>
          <w:b w:val="0"/>
          <w:i w:val="0"/>
          <w:sz w:val="15"/>
        </w:rPr>
        <w:t xml:space="preserve">    bank_gtid TEXT PRIMARY KEY REFERENCES tenants(gtid),</w:t>
      </w:r>
    </w:p>
    <w:p>
      <w:pPr>
        <w:spacing w:after="0" w:before="0" w:line="240" w:lineRule="auto"/>
        <w:ind w:left="57"/>
        <w:jc w:val="left"/>
        <w:shd w:val="clear" w:fill="F2F2F2"/>
      </w:pPr>
      <w:r>
        <w:rPr>
          <w:rFonts w:ascii="Consolas" w:hAnsi="Consolas" w:cs="Consolas"/>
          <w:b w:val="0"/>
          <w:i w:val="0"/>
          <w:sz w:val="15"/>
        </w:rPr>
        <w:t xml:space="preserve">    tier INTEGER NOT NULL DEFAULT 1,</w:t>
      </w:r>
    </w:p>
    <w:p>
      <w:pPr>
        <w:spacing w:after="0" w:before="0" w:line="240" w:lineRule="auto"/>
        <w:ind w:left="57"/>
        <w:jc w:val="left"/>
        <w:shd w:val="clear" w:fill="F2F2F2"/>
      </w:pPr>
      <w:r>
        <w:rPr>
          <w:rFonts w:ascii="Consolas" w:hAnsi="Consolas" w:cs="Consolas"/>
          <w:b w:val="0"/>
          <w:i w:val="0"/>
          <w:sz w:val="15"/>
        </w:rPr>
        <w:t xml:space="preserve">    supports_pain_001 BOOLEAN DEFAULT true,</w:t>
      </w:r>
    </w:p>
    <w:p>
      <w:pPr>
        <w:spacing w:after="0" w:before="0" w:line="240" w:lineRule="auto"/>
        <w:ind w:left="57"/>
        <w:jc w:val="left"/>
        <w:shd w:val="clear" w:fill="F2F2F2"/>
      </w:pPr>
      <w:r>
        <w:rPr>
          <w:rFonts w:ascii="Consolas" w:hAnsi="Consolas" w:cs="Consolas"/>
          <w:b w:val="0"/>
          <w:i w:val="0"/>
          <w:sz w:val="15"/>
        </w:rPr>
        <w:t xml:space="preserve">    supports_pain_002 BOOLEAN DEFAULT false,</w:t>
      </w:r>
    </w:p>
    <w:p>
      <w:pPr>
        <w:spacing w:after="0" w:before="0" w:line="240" w:lineRule="auto"/>
        <w:ind w:left="57"/>
        <w:jc w:val="left"/>
        <w:shd w:val="clear" w:fill="F2F2F2"/>
      </w:pPr>
      <w:r>
        <w:rPr>
          <w:rFonts w:ascii="Consolas" w:hAnsi="Consolas" w:cs="Consolas"/>
          <w:b w:val="0"/>
          <w:i w:val="0"/>
          <w:sz w:val="15"/>
        </w:rPr>
        <w:t xml:space="preserve">    supports_camt_054 BOOLEAN DEFAULT false,</w:t>
      </w:r>
    </w:p>
    <w:p>
      <w:pPr>
        <w:spacing w:after="0" w:before="0" w:line="240" w:lineRule="auto"/>
        <w:ind w:left="57"/>
        <w:jc w:val="left"/>
        <w:shd w:val="clear" w:fill="F2F2F2"/>
      </w:pPr>
      <w:r>
        <w:rPr>
          <w:rFonts w:ascii="Consolas" w:hAnsi="Consolas" w:cs="Consolas"/>
          <w:b w:val="0"/>
          <w:i w:val="0"/>
          <w:sz w:val="15"/>
        </w:rPr>
        <w:t xml:space="preserve">    supports_pain_008 BOOLEAN DEFAULT false,</w:t>
      </w:r>
    </w:p>
    <w:p>
      <w:pPr>
        <w:spacing w:after="0" w:before="0" w:line="240" w:lineRule="auto"/>
        <w:ind w:left="57"/>
        <w:jc w:val="left"/>
        <w:shd w:val="clear" w:fill="F2F2F2"/>
      </w:pPr>
      <w:r>
        <w:rPr>
          <w:rFonts w:ascii="Consolas" w:hAnsi="Consolas" w:cs="Consolas"/>
          <w:b w:val="0"/>
          <w:i w:val="0"/>
          <w:sz w:val="15"/>
        </w:rPr>
        <w:t xml:space="preserve">    supports_swift_gpi BOOLEAN DEFAULT false,</w:t>
      </w:r>
    </w:p>
    <w:p>
      <w:pPr>
        <w:spacing w:after="0" w:before="0" w:line="240" w:lineRule="auto"/>
        <w:ind w:left="57"/>
        <w:jc w:val="left"/>
        <w:shd w:val="clear" w:fill="F2F2F2"/>
      </w:pPr>
      <w:r>
        <w:rPr>
          <w:rFonts w:ascii="Consolas" w:hAnsi="Consolas" w:cs="Consolas"/>
          <w:b w:val="0"/>
          <w:i w:val="0"/>
          <w:sz w:val="15"/>
        </w:rPr>
        <w:t xml:space="preserve">    supports_cbe_ipn BOOLEAN DEFAULT false,</w:t>
      </w:r>
    </w:p>
    <w:p>
      <w:pPr>
        <w:spacing w:after="0" w:before="0" w:line="240" w:lineRule="auto"/>
        <w:ind w:left="57"/>
        <w:jc w:val="left"/>
        <w:shd w:val="clear" w:fill="F2F2F2"/>
      </w:pPr>
      <w:r>
        <w:rPr>
          <w:rFonts w:ascii="Consolas" w:hAnsi="Consolas" w:cs="Consolas"/>
          <w:b w:val="0"/>
          <w:i w:val="0"/>
          <w:sz w:val="15"/>
        </w:rPr>
        <w:t xml:space="preserve">    supports_rtgs BOOLEAN DEFAULT false,</w:t>
      </w:r>
    </w:p>
    <w:p>
      <w:pPr>
        <w:spacing w:after="0" w:before="0" w:line="240" w:lineRule="auto"/>
        <w:ind w:left="57"/>
        <w:jc w:val="left"/>
        <w:shd w:val="clear" w:fill="F2F2F2"/>
      </w:pPr>
      <w:r>
        <w:rPr>
          <w:rFonts w:ascii="Consolas" w:hAnsi="Consolas" w:cs="Consolas"/>
          <w:b w:val="0"/>
          <w:i w:val="0"/>
          <w:sz w:val="15"/>
        </w:rPr>
        <w:t xml:space="preserve">    api_endpoint TEXT,</w:t>
      </w:r>
    </w:p>
    <w:p>
      <w:pPr>
        <w:spacing w:after="0" w:before="0" w:line="240" w:lineRule="auto"/>
        <w:ind w:left="57"/>
        <w:jc w:val="left"/>
        <w:shd w:val="clear" w:fill="F2F2F2"/>
      </w:pPr>
      <w:r>
        <w:rPr>
          <w:rFonts w:ascii="Consolas" w:hAnsi="Consolas" w:cs="Consolas"/>
          <w:b w:val="0"/>
          <w:i w:val="0"/>
          <w:sz w:val="15"/>
        </w:rPr>
        <w:t xml:space="preserve">    h2h_connector_config JSONB,</w:t>
      </w:r>
    </w:p>
    <w:p>
      <w:pPr>
        <w:spacing w:after="0" w:before="0" w:line="240" w:lineRule="auto"/>
        <w:ind w:left="57"/>
        <w:jc w:val="left"/>
        <w:shd w:val="clear" w:fill="F2F2F2"/>
      </w:pPr>
      <w:r>
        <w:rPr>
          <w:rFonts w:ascii="Consolas" w:hAnsi="Consolas" w:cs="Consolas"/>
          <w:b w:val="0"/>
          <w:i w:val="0"/>
          <w:sz w:val="15"/>
        </w:rPr>
        <w:t xml:space="preserve">    last_health_check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Quotations (GTID-bound, USTN-bound; every settlement leg requires an accepted quote)</w:t>
      </w:r>
    </w:p>
    <w:p>
      <w:pPr>
        <w:spacing w:after="0" w:before="0" w:line="240" w:lineRule="auto"/>
        <w:ind w:left="57"/>
        <w:jc w:val="left"/>
        <w:shd w:val="clear" w:fill="F2F2F2"/>
      </w:pPr>
      <w:r>
        <w:rPr>
          <w:rFonts w:ascii="Consolas" w:hAnsi="Consolas" w:cs="Consolas"/>
          <w:b w:val="0"/>
          <w:i w:val="0"/>
          <w:sz w:val="15"/>
        </w:rPr>
        <w:t>-- service_quotations: canonical definition in Section 17.11; not redefined here.</w:t>
      </w:r>
    </w:p>
    <w:p>
      <w:pPr>
        <w:spacing w:after="0" w:before="0" w:line="240" w:lineRule="auto"/>
        <w:ind w:left="57"/>
        <w:jc w:val="left"/>
        <w:shd w:val="clear" w:fill="F2F2F2"/>
      </w:pPr>
      <w:r>
        <w:rPr>
          <w:rFonts w:ascii="Consolas" w:hAnsi="Consolas" w:cs="Consolas"/>
          <w:b w:val="0"/>
          <w:i w:val="0"/>
          <w:sz w:val="15"/>
        </w:rPr>
        <w:t>CREATE INDEX idx_service_quotations_ustn ON service_quotations(ustn);</w:t>
      </w:r>
    </w:p>
    <w:p>
      <w:pPr>
        <w:spacing w:after="0" w:before="0" w:line="240" w:lineRule="auto"/>
        <w:ind w:left="57"/>
        <w:jc w:val="left"/>
        <w:shd w:val="clear" w:fill="F2F2F2"/>
      </w:pPr>
      <w:r>
        <w:rPr>
          <w:rFonts w:ascii="Consolas" w:hAnsi="Consolas" w:cs="Consolas"/>
          <w:b w:val="0"/>
          <w:i w:val="0"/>
          <w:sz w:val="15"/>
        </w:rPr>
        <w:t>CREATE INDEX idx_service_quotations_provider ON service_quotations(provider_gtid);</w:t>
      </w:r>
    </w:p>
    <w:p>
      <w:pPr>
        <w:spacing w:after="0" w:before="0" w:line="240" w:lineRule="auto"/>
        <w:ind w:left="57"/>
        <w:jc w:val="left"/>
        <w:shd w:val="clear" w:fill="F2F2F2"/>
      </w:pPr>
      <w:r>
        <w:rPr>
          <w:rFonts w:ascii="Consolas" w:hAnsi="Consolas" w:cs="Consolas"/>
          <w:b w:val="0"/>
          <w:i w:val="0"/>
          <w:sz w:val="15"/>
        </w:rPr>
        <w:t>CREATE INDEX idx_service_quotations_accepted ON service_quotations(accepted);</w:t>
      </w:r>
    </w:p>
    <w:p>
      <w:pPr>
        <w:spacing w:after="0" w:before="0" w:line="240" w:lineRule="auto"/>
        <w:ind w:left="57"/>
        <w:jc w:val="left"/>
        <w:shd w:val="clear" w:fill="F2F2F2"/>
      </w:pPr>
      <w:r>
        <w:rPr>
          <w:rFonts w:ascii="Consolas" w:hAnsi="Consolas" w:cs="Consolas"/>
          <w:b w:val="0"/>
          <w:i w:val="0"/>
          <w:sz w:val="15"/>
        </w:rPr>
        <w:t>-- Settlement instructions (canonical payment legs)</w:t>
      </w:r>
    </w:p>
    <w:p>
      <w:pPr>
        <w:spacing w:after="0" w:before="0" w:line="240" w:lineRule="auto"/>
        <w:ind w:left="57"/>
        <w:jc w:val="left"/>
        <w:shd w:val="clear" w:fill="F2F2F2"/>
      </w:pPr>
      <w:r>
        <w:rPr>
          <w:rFonts w:ascii="Consolas" w:hAnsi="Consolas" w:cs="Consolas"/>
          <w:b w:val="0"/>
          <w:i w:val="0"/>
          <w:sz w:val="15"/>
        </w:rPr>
        <w:t>CREATE TABLE settlement_instructions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leg_id TEXT NOT NULL,</w:t>
      </w:r>
    </w:p>
    <w:p>
      <w:pPr>
        <w:spacing w:after="0" w:before="0" w:line="240" w:lineRule="auto"/>
        <w:ind w:left="57"/>
        <w:jc w:val="left"/>
        <w:shd w:val="clear" w:fill="F2F2F2"/>
      </w:pPr>
      <w:r>
        <w:rPr>
          <w:rFonts w:ascii="Consolas" w:hAnsi="Consolas" w:cs="Consolas"/>
          <w:b w:val="0"/>
          <w:i w:val="0"/>
          <w:sz w:val="15"/>
        </w:rPr>
        <w:t xml:space="preserve">    instruction_type TEXT NOT NULL DEFAULT 'TRADE_PRINCIPAL',</w:t>
      </w:r>
    </w:p>
    <w:p>
      <w:pPr>
        <w:spacing w:after="0" w:before="0" w:line="240" w:lineRule="auto"/>
        <w:ind w:left="57"/>
        <w:jc w:val="left"/>
        <w:shd w:val="clear" w:fill="F2F2F2"/>
      </w:pPr>
      <w:r>
        <w:rPr>
          <w:rFonts w:ascii="Consolas" w:hAnsi="Consolas" w:cs="Consolas"/>
          <w:b w:val="0"/>
          <w:i w:val="0"/>
          <w:sz w:val="15"/>
        </w:rPr>
        <w:t xml:space="preserve">    beneficiary_gtid TEXT REFERENCES tenants(gtid),</w:t>
      </w:r>
    </w:p>
    <w:p>
      <w:pPr>
        <w:spacing w:after="0" w:before="0" w:line="240" w:lineRule="auto"/>
        <w:ind w:left="57"/>
        <w:jc w:val="left"/>
        <w:shd w:val="clear" w:fill="F2F2F2"/>
      </w:pPr>
      <w:r>
        <w:rPr>
          <w:rFonts w:ascii="Consolas" w:hAnsi="Consolas" w:cs="Consolas"/>
          <w:b w:val="0"/>
          <w:i w:val="0"/>
          <w:sz w:val="15"/>
        </w:rPr>
        <w:t xml:space="preserve">    beneficiary_name TEXT NOT NULL,</w:t>
      </w:r>
    </w:p>
    <w:p>
      <w:pPr>
        <w:spacing w:after="0" w:before="0" w:line="240" w:lineRule="auto"/>
        <w:ind w:left="57"/>
        <w:jc w:val="left"/>
        <w:shd w:val="clear" w:fill="F2F2F2"/>
      </w:pPr>
      <w:r>
        <w:rPr>
          <w:rFonts w:ascii="Consolas" w:hAnsi="Consolas" w:cs="Consolas"/>
          <w:b w:val="0"/>
          <w:i w:val="0"/>
          <w:sz w:val="15"/>
        </w:rPr>
        <w:t xml:space="preserve">    beneficiary_iban_swift JSONB NOT NULL,</w:t>
      </w:r>
    </w:p>
    <w:p>
      <w:pPr>
        <w:spacing w:after="0" w:before="0" w:line="240" w:lineRule="auto"/>
        <w:ind w:left="57"/>
        <w:jc w:val="left"/>
        <w:shd w:val="clear" w:fill="F2F2F2"/>
      </w:pPr>
      <w:r>
        <w:rPr>
          <w:rFonts w:ascii="Consolas" w:hAnsi="Consolas" w:cs="Consolas"/>
          <w:b w:val="0"/>
          <w:i w:val="0"/>
          <w:sz w:val="15"/>
        </w:rPr>
        <w:t xml:space="preserve">    amount DECIMAL(20,4) NOT NULL,</w:t>
      </w:r>
    </w:p>
    <w:p>
      <w:pPr>
        <w:spacing w:after="0" w:before="0" w:line="240" w:lineRule="auto"/>
        <w:ind w:left="57"/>
        <w:jc w:val="left"/>
        <w:shd w:val="clear" w:fill="F2F2F2"/>
      </w:pPr>
      <w:r>
        <w:rPr>
          <w:rFonts w:ascii="Consolas" w:hAnsi="Consolas" w:cs="Consolas"/>
          <w:b w:val="0"/>
          <w:i w:val="0"/>
          <w:sz w:val="15"/>
        </w:rPr>
        <w:t xml:space="preserve">    currency TEXT NOT NULL,</w:t>
      </w:r>
    </w:p>
    <w:p>
      <w:pPr>
        <w:spacing w:after="0" w:before="0" w:line="240" w:lineRule="auto"/>
        <w:ind w:left="57"/>
        <w:jc w:val="left"/>
        <w:shd w:val="clear" w:fill="F2F2F2"/>
      </w:pPr>
      <w:r>
        <w:rPr>
          <w:rFonts w:ascii="Consolas" w:hAnsi="Consolas" w:cs="Consolas"/>
          <w:b w:val="0"/>
          <w:i w:val="0"/>
          <w:sz w:val="15"/>
        </w:rPr>
        <w:t xml:space="preserve">    fee_type TEXT NOT NULL,</w:t>
      </w:r>
    </w:p>
    <w:p>
      <w:pPr>
        <w:spacing w:after="0" w:before="0" w:line="240" w:lineRule="auto"/>
        <w:ind w:left="57"/>
        <w:jc w:val="left"/>
        <w:shd w:val="clear" w:fill="F2F2F2"/>
      </w:pPr>
      <w:r>
        <w:rPr>
          <w:rFonts w:ascii="Consolas" w:hAnsi="Consolas" w:cs="Consolas"/>
          <w:b w:val="0"/>
          <w:i w:val="0"/>
          <w:sz w:val="15"/>
        </w:rPr>
        <w:t xml:space="preserve">    quote_id UUID REFERENCES service_quotations(id),</w:t>
      </w:r>
    </w:p>
    <w:p>
      <w:pPr>
        <w:spacing w:after="0" w:before="0" w:line="240" w:lineRule="auto"/>
        <w:ind w:left="57"/>
        <w:jc w:val="left"/>
        <w:shd w:val="clear" w:fill="F2F2F2"/>
      </w:pPr>
      <w:r>
        <w:rPr>
          <w:rFonts w:ascii="Consolas" w:hAnsi="Consolas" w:cs="Consolas"/>
          <w:b w:val="0"/>
          <w:i w:val="0"/>
          <w:sz w:val="15"/>
        </w:rPr>
        <w:t xml:space="preserve">    msg_id TEXT NOT NULL UNIQUE,</w:t>
      </w:r>
    </w:p>
    <w:p>
      <w:pPr>
        <w:spacing w:after="0" w:before="0" w:line="240" w:lineRule="auto"/>
        <w:ind w:left="57"/>
        <w:jc w:val="left"/>
        <w:shd w:val="clear" w:fill="F2F2F2"/>
      </w:pPr>
      <w:r>
        <w:rPr>
          <w:rFonts w:ascii="Consolas" w:hAnsi="Consolas" w:cs="Consolas"/>
          <w:b w:val="0"/>
          <w:i w:val="0"/>
          <w:sz w:val="15"/>
        </w:rPr>
        <w:t xml:space="preserve">    end_to_end_id TEXT NOT NULL UNIQUE,</w:t>
      </w:r>
    </w:p>
    <w:p>
      <w:pPr>
        <w:spacing w:after="0" w:before="0" w:line="240" w:lineRule="auto"/>
        <w:ind w:left="57"/>
        <w:jc w:val="left"/>
        <w:shd w:val="clear" w:fill="F2F2F2"/>
      </w:pPr>
      <w:r>
        <w:rPr>
          <w:rFonts w:ascii="Consolas" w:hAnsi="Consolas" w:cs="Consolas"/>
          <w:b w:val="0"/>
          <w:i w:val="0"/>
          <w:sz w:val="15"/>
        </w:rPr>
        <w:t xml:space="preserve">    uetr UUID,</w:t>
      </w:r>
    </w:p>
    <w:p>
      <w:pPr>
        <w:spacing w:after="0" w:before="0" w:line="240" w:lineRule="auto"/>
        <w:ind w:left="57"/>
        <w:jc w:val="left"/>
        <w:shd w:val="clear" w:fill="F2F2F2"/>
      </w:pPr>
      <w:r>
        <w:rPr>
          <w:rFonts w:ascii="Consolas" w:hAnsi="Consolas" w:cs="Consolas"/>
          <w:b w:val="0"/>
          <w:i w:val="0"/>
          <w:sz w:val="15"/>
        </w:rPr>
        <w:t xml:space="preserve">    bank_adapter_code TEXT NOT NULL,</w:t>
      </w:r>
    </w:p>
    <w:p>
      <w:pPr>
        <w:spacing w:after="0" w:before="0" w:line="240" w:lineRule="auto"/>
        <w:ind w:left="57"/>
        <w:jc w:val="left"/>
        <w:shd w:val="clear" w:fill="F2F2F2"/>
      </w:pPr>
      <w:r>
        <w:rPr>
          <w:rFonts w:ascii="Consolas" w:hAnsi="Consolas" w:cs="Consolas"/>
          <w:b w:val="0"/>
          <w:i w:val="0"/>
          <w:sz w:val="15"/>
        </w:rPr>
        <w:t xml:space="preserve">    instruction_status TEXT NOT NULL DEFAULT 'MANIFEST_GENERATED',</w:t>
      </w:r>
    </w:p>
    <w:p>
      <w:pPr>
        <w:spacing w:after="0" w:before="0" w:line="240" w:lineRule="auto"/>
        <w:ind w:left="57"/>
        <w:jc w:val="left"/>
        <w:shd w:val="clear" w:fill="F2F2F2"/>
      </w:pPr>
      <w:r>
        <w:rPr>
          <w:rFonts w:ascii="Consolas" w:hAnsi="Consolas" w:cs="Consolas"/>
          <w:b w:val="0"/>
          <w:i w:val="0"/>
          <w:sz w:val="15"/>
        </w:rPr>
        <w:t xml:space="preserve">    bank_reference_id TEXT,</w:t>
      </w:r>
    </w:p>
    <w:p>
      <w:pPr>
        <w:spacing w:after="0" w:before="0" w:line="240" w:lineRule="auto"/>
        <w:ind w:left="57"/>
        <w:jc w:val="left"/>
        <w:shd w:val="clear" w:fill="F2F2F2"/>
      </w:pPr>
      <w:r>
        <w:rPr>
          <w:rFonts w:ascii="Consolas" w:hAnsi="Consolas" w:cs="Consolas"/>
          <w:b w:val="0"/>
          <w:i w:val="0"/>
          <w:sz w:val="15"/>
        </w:rPr>
        <w:t xml:space="preserve">    camt054_proof_hash TEXT,</w:t>
      </w:r>
    </w:p>
    <w:p>
      <w:pPr>
        <w:spacing w:after="0" w:before="0" w:line="240" w:lineRule="auto"/>
        <w:ind w:left="57"/>
        <w:jc w:val="left"/>
        <w:shd w:val="clear" w:fill="F2F2F2"/>
      </w:pPr>
      <w:r>
        <w:rPr>
          <w:rFonts w:ascii="Consolas" w:hAnsi="Consolas" w:cs="Consolas"/>
          <w:b w:val="0"/>
          <w:i w:val="0"/>
          <w:sz w:val="15"/>
        </w:rPr>
        <w:t xml:space="preserve">    zk_proof TEXT,</w:t>
      </w:r>
    </w:p>
    <w:p>
      <w:pPr>
        <w:spacing w:after="0" w:before="0" w:line="240" w:lineRule="auto"/>
        <w:ind w:left="57"/>
        <w:jc w:val="left"/>
        <w:shd w:val="clear" w:fill="F2F2F2"/>
      </w:pPr>
      <w:r>
        <w:rPr>
          <w:rFonts w:ascii="Consolas" w:hAnsi="Consolas" w:cs="Consolas"/>
          <w:b w:val="0"/>
          <w:i w:val="0"/>
          <w:sz w:val="15"/>
        </w:rPr>
        <w:t xml:space="preserve">    settled_at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loom_hash TEXT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idx_settlement_ustn ON settlement_instructions(ustn);</w:t>
      </w:r>
    </w:p>
    <w:p>
      <w:pPr>
        <w:spacing w:after="0" w:before="0" w:line="240" w:lineRule="auto"/>
        <w:ind w:left="57"/>
        <w:jc w:val="left"/>
        <w:shd w:val="clear" w:fill="F2F2F2"/>
      </w:pPr>
      <w:r>
        <w:rPr>
          <w:rFonts w:ascii="Consolas" w:hAnsi="Consolas" w:cs="Consolas"/>
          <w:b w:val="0"/>
          <w:i w:val="0"/>
          <w:sz w:val="15"/>
        </w:rPr>
        <w:t>CREATE INDEX idx_settlement_endtoend ON settlement_instructions(end_to_end_id);</w:t>
      </w:r>
    </w:p>
    <w:p>
      <w:pPr>
        <w:spacing w:after="0" w:before="0" w:line="240" w:lineRule="auto"/>
        <w:ind w:left="57"/>
        <w:jc w:val="left"/>
        <w:shd w:val="clear" w:fill="F2F2F2"/>
      </w:pPr>
      <w:r>
        <w:rPr>
          <w:rFonts w:ascii="Consolas" w:hAnsi="Consolas" w:cs="Consolas"/>
          <w:b w:val="0"/>
          <w:i w:val="0"/>
          <w:sz w:val="15"/>
        </w:rPr>
        <w:t>CREATE INDEX idx_settlement_status ON settlement_instructions(instruction_status);</w:t>
      </w:r>
    </w:p>
    <w:p>
      <w:pPr>
        <w:spacing w:after="0" w:before="0" w:line="240" w:lineRule="auto"/>
        <w:ind w:left="57"/>
        <w:jc w:val="left"/>
        <w:shd w:val="clear" w:fill="F2F2F2"/>
      </w:pPr>
      <w:r>
        <w:rPr>
          <w:rFonts w:ascii="Consolas" w:hAnsi="Consolas" w:cs="Consolas"/>
          <w:b w:val="0"/>
          <w:i w:val="0"/>
          <w:sz w:val="15"/>
        </w:rPr>
        <w:t>-- Payment manifests (single financial contract of the USTN)</w:t>
      </w:r>
    </w:p>
    <w:p>
      <w:pPr>
        <w:spacing w:after="0" w:before="0" w:line="240" w:lineRule="auto"/>
        <w:ind w:left="57"/>
        <w:jc w:val="left"/>
        <w:shd w:val="clear" w:fill="F2F2F2"/>
      </w:pPr>
      <w:r>
        <w:rPr>
          <w:rFonts w:ascii="Consolas" w:hAnsi="Consolas" w:cs="Consolas"/>
          <w:b w:val="0"/>
          <w:i w:val="0"/>
          <w:sz w:val="15"/>
        </w:rPr>
        <w:t>CREATE TABLE payment_manifests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UNIQUE REFERENCES shipments(ustn) ON DELETE CASCADE,</w:t>
      </w:r>
    </w:p>
    <w:p>
      <w:pPr>
        <w:spacing w:after="0" w:before="0" w:line="240" w:lineRule="auto"/>
        <w:ind w:left="57"/>
        <w:jc w:val="left"/>
        <w:shd w:val="clear" w:fill="F2F2F2"/>
      </w:pPr>
      <w:r>
        <w:rPr>
          <w:rFonts w:ascii="Consolas" w:hAnsi="Consolas" w:cs="Consolas"/>
          <w:b w:val="0"/>
          <w:i w:val="0"/>
          <w:sz w:val="15"/>
        </w:rPr>
        <w:t xml:space="preserve">    manifest_version INTEGER NOT NULL DEFAULT 1,</w:t>
      </w:r>
    </w:p>
    <w:p>
      <w:pPr>
        <w:spacing w:after="0" w:before="0" w:line="240" w:lineRule="auto"/>
        <w:ind w:left="57"/>
        <w:jc w:val="left"/>
        <w:shd w:val="clear" w:fill="F2F2F2"/>
      </w:pPr>
      <w:r>
        <w:rPr>
          <w:rFonts w:ascii="Consolas" w:hAnsi="Consolas" w:cs="Consolas"/>
          <w:b w:val="0"/>
          <w:i w:val="0"/>
          <w:sz w:val="15"/>
        </w:rPr>
        <w:t xml:space="preserve">    manifest_hash TEXT NOT NULL,</w:t>
      </w:r>
    </w:p>
    <w:p>
      <w:pPr>
        <w:spacing w:after="0" w:before="0" w:line="240" w:lineRule="auto"/>
        <w:ind w:left="57"/>
        <w:jc w:val="left"/>
        <w:shd w:val="clear" w:fill="F2F2F2"/>
      </w:pPr>
      <w:r>
        <w:rPr>
          <w:rFonts w:ascii="Consolas" w:hAnsi="Consolas" w:cs="Consolas"/>
          <w:b w:val="0"/>
          <w:i w:val="0"/>
          <w:sz w:val="15"/>
        </w:rPr>
        <w:t xml:space="preserve">    total_egp DECIMAL(20,4),</w:t>
      </w:r>
    </w:p>
    <w:p>
      <w:pPr>
        <w:spacing w:after="0" w:before="0" w:line="240" w:lineRule="auto"/>
        <w:ind w:left="57"/>
        <w:jc w:val="left"/>
        <w:shd w:val="clear" w:fill="F2F2F2"/>
      </w:pPr>
      <w:r>
        <w:rPr>
          <w:rFonts w:ascii="Consolas" w:hAnsi="Consolas" w:cs="Consolas"/>
          <w:b w:val="0"/>
          <w:i w:val="0"/>
          <w:sz w:val="15"/>
        </w:rPr>
        <w:t xml:space="preserve">    total_usd DECIMAL(20,4),</w:t>
      </w:r>
    </w:p>
    <w:p>
      <w:pPr>
        <w:spacing w:after="0" w:before="0" w:line="240" w:lineRule="auto"/>
        <w:ind w:left="57"/>
        <w:jc w:val="left"/>
        <w:shd w:val="clear" w:fill="F2F2F2"/>
      </w:pPr>
      <w:r>
        <w:rPr>
          <w:rFonts w:ascii="Consolas" w:hAnsi="Consolas" w:cs="Consolas"/>
          <w:b w:val="0"/>
          <w:i w:val="0"/>
          <w:sz w:val="15"/>
        </w:rPr>
        <w:t xml:space="preserve">    manifest_data JSONB NOT NULL,</w:t>
      </w:r>
    </w:p>
    <w:p>
      <w:pPr>
        <w:spacing w:after="0" w:before="0" w:line="240" w:lineRule="auto"/>
        <w:ind w:left="57"/>
        <w:jc w:val="left"/>
        <w:shd w:val="clear" w:fill="F2F2F2"/>
      </w:pPr>
      <w:r>
        <w:rPr>
          <w:rFonts w:ascii="Consolas" w:hAnsi="Consolas" w:cs="Consolas"/>
          <w:b w:val="0"/>
          <w:i w:val="0"/>
          <w:sz w:val="15"/>
        </w:rPr>
        <w:t xml:space="preserve">    status TEXT NOT NULL DEFAULT 'DRAFT',</w:t>
      </w:r>
    </w:p>
    <w:p>
      <w:pPr>
        <w:spacing w:after="0" w:before="0" w:line="240" w:lineRule="auto"/>
        <w:ind w:left="57"/>
        <w:jc w:val="left"/>
        <w:shd w:val="clear" w:fill="F2F2F2"/>
      </w:pPr>
      <w:r>
        <w:rPr>
          <w:rFonts w:ascii="Consolas" w:hAnsi="Consolas" w:cs="Consolas"/>
          <w:b w:val="0"/>
          <w:i w:val="0"/>
          <w:sz w:val="15"/>
        </w:rPr>
        <w:t xml:space="preserve">    buyer_authorized BOOLEAN DEFAULT false,</w:t>
      </w:r>
    </w:p>
    <w:p>
      <w:pPr>
        <w:spacing w:after="0" w:before="0" w:line="240" w:lineRule="auto"/>
        <w:ind w:left="57"/>
        <w:jc w:val="left"/>
        <w:shd w:val="clear" w:fill="F2F2F2"/>
      </w:pPr>
      <w:r>
        <w:rPr>
          <w:rFonts w:ascii="Consolas" w:hAnsi="Consolas" w:cs="Consolas"/>
          <w:b w:val="0"/>
          <w:i w:val="0"/>
          <w:sz w:val="15"/>
        </w:rPr>
        <w:t xml:space="preserve">    buyer_authorized_at TIMESTAMPTZ,</w:t>
      </w:r>
    </w:p>
    <w:p>
      <w:pPr>
        <w:spacing w:after="0" w:before="0" w:line="240" w:lineRule="auto"/>
        <w:ind w:left="57"/>
        <w:jc w:val="left"/>
        <w:shd w:val="clear" w:fill="F2F2F2"/>
      </w:pPr>
      <w:r>
        <w:rPr>
          <w:rFonts w:ascii="Consolas" w:hAnsi="Consolas" w:cs="Consolas"/>
          <w:b w:val="0"/>
          <w:i w:val="0"/>
          <w:sz w:val="15"/>
        </w:rPr>
        <w:t xml:space="preserve">    buyer_authorized_by UUID REFERENCES employees(id),</w:t>
      </w:r>
    </w:p>
    <w:p>
      <w:pPr>
        <w:spacing w:after="0" w:before="0" w:line="240" w:lineRule="auto"/>
        <w:ind w:left="57"/>
        <w:jc w:val="left"/>
        <w:shd w:val="clear" w:fill="F2F2F2"/>
      </w:pPr>
      <w:r>
        <w:rPr>
          <w:rFonts w:ascii="Consolas" w:hAnsi="Consolas" w:cs="Consolas"/>
          <w:b w:val="0"/>
          <w:i w:val="0"/>
          <w:sz w:val="15"/>
        </w:rPr>
        <w:t xml:space="preserve">    bank_dispatched BOOLEAN DEFAULT false,</w:t>
      </w:r>
    </w:p>
    <w:p>
      <w:pPr>
        <w:spacing w:after="0" w:before="0" w:line="240" w:lineRule="auto"/>
        <w:ind w:left="57"/>
        <w:jc w:val="left"/>
        <w:shd w:val="clear" w:fill="F2F2F2"/>
      </w:pPr>
      <w:r>
        <w:rPr>
          <w:rFonts w:ascii="Consolas" w:hAnsi="Consolas" w:cs="Consolas"/>
          <w:b w:val="0"/>
          <w:i w:val="0"/>
          <w:sz w:val="15"/>
        </w:rPr>
        <w:t xml:space="preserve">    bank_dispatched_at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loom_hash TEXT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idx_payment_manifests_ustn ON payment_manifests(ustn);</w:t>
      </w:r>
    </w:p>
    <w:p>
      <w:pPr>
        <w:spacing w:after="0" w:before="0" w:line="240" w:lineRule="auto"/>
        <w:ind w:left="57"/>
        <w:jc w:val="left"/>
        <w:shd w:val="clear" w:fill="F2F2F2"/>
      </w:pPr>
      <w:r>
        <w:rPr>
          <w:rFonts w:ascii="Consolas" w:hAnsi="Consolas" w:cs="Consolas"/>
          <w:b w:val="0"/>
          <w:i w:val="0"/>
          <w:sz w:val="15"/>
        </w:rPr>
        <w:t>CREATE INDEX idx_payment_manifests_status ON payment_manifests(status);</w:t>
      </w:r>
    </w:p>
    <w:p>
      <w:pPr>
        <w:spacing w:after="0" w:before="0" w:line="240" w:lineRule="auto"/>
        <w:ind w:left="57"/>
        <w:jc w:val="left"/>
        <w:shd w:val="clear" w:fill="F2F2F2"/>
      </w:pPr>
      <w:r>
        <w:rPr>
          <w:rFonts w:ascii="Consolas" w:hAnsi="Consolas" w:cs="Consolas"/>
          <w:b w:val="0"/>
          <w:i w:val="0"/>
          <w:sz w:val="15"/>
        </w:rPr>
        <w:t>-- Tenant banking extensions</w:t>
      </w:r>
    </w:p>
    <w:p>
      <w:pPr>
        <w:spacing w:after="0" w:before="0" w:line="240" w:lineRule="auto"/>
        <w:ind w:left="57"/>
        <w:jc w:val="left"/>
        <w:shd w:val="clear" w:fill="F2F2F2"/>
      </w:pPr>
      <w:r>
        <w:rPr>
          <w:rFonts w:ascii="Consolas" w:hAnsi="Consolas" w:cs="Consolas"/>
          <w:b w:val="0"/>
          <w:i w:val="0"/>
          <w:sz w:val="15"/>
        </w:rPr>
        <w:t>ALTER TABLE tenants ADD COLUMN IF NOT EXISTS banking_details JSONB;</w:t>
      </w:r>
    </w:p>
    <w:p>
      <w:pPr>
        <w:spacing w:after="0" w:before="0" w:line="240" w:lineRule="auto"/>
        <w:ind w:left="57"/>
        <w:jc w:val="left"/>
        <w:shd w:val="clear" w:fill="F2F2F2"/>
      </w:pPr>
      <w:r>
        <w:rPr>
          <w:rFonts w:ascii="Consolas" w:hAnsi="Consolas" w:cs="Consolas"/>
          <w:b w:val="0"/>
          <w:i w:val="0"/>
          <w:sz w:val="15"/>
        </w:rPr>
        <w:t>ALTER TABLE tenants ADD COLUMN IF NOT EXISTS provider_banking JSONB;</w:t>
      </w:r>
    </w:p>
    <w:p>
      <w:pPr>
        <w:spacing w:after="0" w:before="0" w:line="240" w:lineRule="auto"/>
        <w:ind w:left="57"/>
        <w:jc w:val="left"/>
        <w:shd w:val="clear" w:fill="F2F2F2"/>
      </w:pPr>
      <w:r>
        <w:rPr>
          <w:rFonts w:ascii="Consolas" w:hAnsi="Consolas" w:cs="Consolas"/>
          <w:b w:val="0"/>
          <w:i w:val="0"/>
          <w:sz w:val="15"/>
        </w:rPr>
        <w:t>-- ISO 20022 message logs (outbound and inbound)</w:t>
      </w:r>
    </w:p>
    <w:p>
      <w:pPr>
        <w:spacing w:after="0" w:before="0" w:line="240" w:lineRule="auto"/>
        <w:ind w:left="57"/>
        <w:jc w:val="left"/>
        <w:shd w:val="clear" w:fill="F2F2F2"/>
      </w:pPr>
      <w:r>
        <w:rPr>
          <w:rFonts w:ascii="Consolas" w:hAnsi="Consolas" w:cs="Consolas"/>
          <w:b w:val="0"/>
          <w:i w:val="0"/>
          <w:sz w:val="15"/>
        </w:rPr>
        <w:t>CREATE TABLE iso20022_message_logs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CASCADE,</w:t>
      </w:r>
    </w:p>
    <w:p>
      <w:pPr>
        <w:spacing w:after="0" w:before="0" w:line="240" w:lineRule="auto"/>
        <w:ind w:left="57"/>
        <w:jc w:val="left"/>
        <w:shd w:val="clear" w:fill="F2F2F2"/>
      </w:pPr>
      <w:r>
        <w:rPr>
          <w:rFonts w:ascii="Consolas" w:hAnsi="Consolas" w:cs="Consolas"/>
          <w:b w:val="0"/>
          <w:i w:val="0"/>
          <w:sz w:val="15"/>
        </w:rPr>
        <w:t xml:space="preserve">    message_type TEXT NOT NULL,</w:t>
      </w:r>
    </w:p>
    <w:p>
      <w:pPr>
        <w:spacing w:after="0" w:before="0" w:line="240" w:lineRule="auto"/>
        <w:ind w:left="57"/>
        <w:jc w:val="left"/>
        <w:shd w:val="clear" w:fill="F2F2F2"/>
      </w:pPr>
      <w:r>
        <w:rPr>
          <w:rFonts w:ascii="Consolas" w:hAnsi="Consolas" w:cs="Consolas"/>
          <w:b w:val="0"/>
          <w:i w:val="0"/>
          <w:sz w:val="15"/>
        </w:rPr>
        <w:t xml:space="preserve">    message_id TEXT NOT NULL,</w:t>
      </w:r>
    </w:p>
    <w:p>
      <w:pPr>
        <w:spacing w:after="0" w:before="0" w:line="240" w:lineRule="auto"/>
        <w:ind w:left="57"/>
        <w:jc w:val="left"/>
        <w:shd w:val="clear" w:fill="F2F2F2"/>
      </w:pPr>
      <w:r>
        <w:rPr>
          <w:rFonts w:ascii="Consolas" w:hAnsi="Consolas" w:cs="Consolas"/>
          <w:b w:val="0"/>
          <w:i w:val="0"/>
          <w:sz w:val="15"/>
        </w:rPr>
        <w:t xml:space="preserve">    end_to_end_id TEXT,</w:t>
      </w:r>
    </w:p>
    <w:p>
      <w:pPr>
        <w:spacing w:after="0" w:before="0" w:line="240" w:lineRule="auto"/>
        <w:ind w:left="57"/>
        <w:jc w:val="left"/>
        <w:shd w:val="clear" w:fill="F2F2F2"/>
      </w:pPr>
      <w:r>
        <w:rPr>
          <w:rFonts w:ascii="Consolas" w:hAnsi="Consolas" w:cs="Consolas"/>
          <w:b w:val="0"/>
          <w:i w:val="0"/>
          <w:sz w:val="15"/>
        </w:rPr>
        <w:t xml:space="preserve">    uetr UUID,</w:t>
      </w:r>
    </w:p>
    <w:p>
      <w:pPr>
        <w:spacing w:after="0" w:before="0" w:line="240" w:lineRule="auto"/>
        <w:ind w:left="57"/>
        <w:jc w:val="left"/>
        <w:shd w:val="clear" w:fill="F2F2F2"/>
      </w:pPr>
      <w:r>
        <w:rPr>
          <w:rFonts w:ascii="Consolas" w:hAnsi="Consolas" w:cs="Consolas"/>
          <w:b w:val="0"/>
          <w:i w:val="0"/>
          <w:sz w:val="15"/>
        </w:rPr>
        <w:t xml:space="preserve">    request_payload TEXT,</w:t>
      </w:r>
    </w:p>
    <w:p>
      <w:pPr>
        <w:spacing w:after="0" w:before="0" w:line="240" w:lineRule="auto"/>
        <w:ind w:left="57"/>
        <w:jc w:val="left"/>
        <w:shd w:val="clear" w:fill="F2F2F2"/>
      </w:pPr>
      <w:r>
        <w:rPr>
          <w:rFonts w:ascii="Consolas" w:hAnsi="Consolas" w:cs="Consolas"/>
          <w:b w:val="0"/>
          <w:i w:val="0"/>
          <w:sz w:val="15"/>
        </w:rPr>
        <w:t xml:space="preserve">    response_payload TEXT,</w:t>
      </w:r>
    </w:p>
    <w:p>
      <w:pPr>
        <w:spacing w:after="0" w:before="0" w:line="240" w:lineRule="auto"/>
        <w:ind w:left="57"/>
        <w:jc w:val="left"/>
        <w:shd w:val="clear" w:fill="F2F2F2"/>
      </w:pPr>
      <w:r>
        <w:rPr>
          <w:rFonts w:ascii="Consolas" w:hAnsi="Consolas" w:cs="Consolas"/>
          <w:b w:val="0"/>
          <w:i w:val="0"/>
          <w:sz w:val="15"/>
        </w:rPr>
        <w:t xml:space="preserve">    status_code INTEGER,</w:t>
      </w:r>
    </w:p>
    <w:p>
      <w:pPr>
        <w:spacing w:after="0" w:before="0" w:line="240" w:lineRule="auto"/>
        <w:ind w:left="57"/>
        <w:jc w:val="left"/>
        <w:shd w:val="clear" w:fill="F2F2F2"/>
      </w:pPr>
      <w:r>
        <w:rPr>
          <w:rFonts w:ascii="Consolas" w:hAnsi="Consolas" w:cs="Consolas"/>
          <w:b w:val="0"/>
          <w:i w:val="0"/>
          <w:sz w:val="15"/>
        </w:rPr>
        <w:t xml:space="preserve">    success BOOLEAN,</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sent_at TIMESTAMPTZ DEFAULT NOW(),</w:t>
      </w:r>
    </w:p>
    <w:p>
      <w:pPr>
        <w:spacing w:after="0" w:before="0" w:line="240" w:lineRule="auto"/>
        <w:ind w:left="57"/>
        <w:jc w:val="left"/>
        <w:shd w:val="clear" w:fill="F2F2F2"/>
      </w:pPr>
      <w:r>
        <w:rPr>
          <w:rFonts w:ascii="Consolas" w:hAnsi="Consolas" w:cs="Consolas"/>
          <w:b w:val="0"/>
          <w:i w:val="0"/>
          <w:sz w:val="15"/>
        </w:rPr>
        <w:t xml:space="preserve">    received_at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idx_iso20022_logs_ustn ON iso20022_message_logs(ustn);</w:t>
      </w:r>
    </w:p>
    <w:p>
      <w:pPr>
        <w:spacing w:after="0" w:before="0" w:line="240" w:lineRule="auto"/>
        <w:ind w:left="57"/>
        <w:jc w:val="left"/>
        <w:shd w:val="clear" w:fill="F2F2F2"/>
      </w:pPr>
      <w:r>
        <w:rPr>
          <w:rFonts w:ascii="Consolas" w:hAnsi="Consolas" w:cs="Consolas"/>
          <w:b w:val="0"/>
          <w:i w:val="0"/>
          <w:sz w:val="15"/>
        </w:rPr>
        <w:t>CREATE INDEX idx_iso20022_logs_message_id ON iso20022_message_logs(message_id);</w:t>
      </w:r>
    </w:p>
    <w:p>
      <w:pPr>
        <w:spacing w:after="0" w:before="0" w:line="240" w:lineRule="auto"/>
        <w:ind w:left="57"/>
        <w:jc w:val="left"/>
        <w:shd w:val="clear" w:fill="F2F2F2"/>
      </w:pPr>
      <w:r>
        <w:rPr>
          <w:rFonts w:ascii="Consolas" w:hAnsi="Consolas" w:cs="Consolas"/>
          <w:b w:val="0"/>
          <w:i w:val="0"/>
          <w:sz w:val="15"/>
        </w:rPr>
        <w:t>-- Bank confirmation proofs (camt.054 / gpi)</w:t>
      </w:r>
    </w:p>
    <w:p>
      <w:pPr>
        <w:spacing w:after="0" w:before="0" w:line="240" w:lineRule="auto"/>
        <w:ind w:left="57"/>
        <w:jc w:val="left"/>
        <w:shd w:val="clear" w:fill="F2F2F2"/>
      </w:pPr>
      <w:r>
        <w:rPr>
          <w:rFonts w:ascii="Consolas" w:hAnsi="Consolas" w:cs="Consolas"/>
          <w:b w:val="0"/>
          <w:i w:val="0"/>
          <w:sz w:val="15"/>
        </w:rPr>
        <w:t>CREATE TABLE bank_confirmation_proofs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settlement_instruction_id UUID REFERENCES settlement_instructions(id) ON DELETE CASCADE,</w:t>
      </w:r>
    </w:p>
    <w:p>
      <w:pPr>
        <w:spacing w:after="0" w:before="0" w:line="240" w:lineRule="auto"/>
        <w:ind w:left="57"/>
        <w:jc w:val="left"/>
        <w:shd w:val="clear" w:fill="F2F2F2"/>
      </w:pPr>
      <w:r>
        <w:rPr>
          <w:rFonts w:ascii="Consolas" w:hAnsi="Consolas" w:cs="Consolas"/>
          <w:b w:val="0"/>
          <w:i w:val="0"/>
          <w:sz w:val="15"/>
        </w:rPr>
        <w:t xml:space="preserve">    end_to_end_id TEXT NOT NULL,</w:t>
      </w:r>
    </w:p>
    <w:p>
      <w:pPr>
        <w:spacing w:after="0" w:before="0" w:line="240" w:lineRule="auto"/>
        <w:ind w:left="57"/>
        <w:jc w:val="left"/>
        <w:shd w:val="clear" w:fill="F2F2F2"/>
      </w:pPr>
      <w:r>
        <w:rPr>
          <w:rFonts w:ascii="Consolas" w:hAnsi="Consolas" w:cs="Consolas"/>
          <w:b w:val="0"/>
          <w:i w:val="0"/>
          <w:sz w:val="15"/>
        </w:rPr>
        <w:t xml:space="preserve">    uetr UUID,</w:t>
      </w:r>
    </w:p>
    <w:p>
      <w:pPr>
        <w:spacing w:after="0" w:before="0" w:line="240" w:lineRule="auto"/>
        <w:ind w:left="57"/>
        <w:jc w:val="left"/>
        <w:shd w:val="clear" w:fill="F2F2F2"/>
      </w:pPr>
      <w:r>
        <w:rPr>
          <w:rFonts w:ascii="Consolas" w:hAnsi="Consolas" w:cs="Consolas"/>
          <w:b w:val="0"/>
          <w:i w:val="0"/>
          <w:sz w:val="15"/>
        </w:rPr>
        <w:t xml:space="preserve">    amount_confirmed DECIMAL(20,4),</w:t>
      </w:r>
    </w:p>
    <w:p>
      <w:pPr>
        <w:spacing w:after="0" w:before="0" w:line="240" w:lineRule="auto"/>
        <w:ind w:left="57"/>
        <w:jc w:val="left"/>
        <w:shd w:val="clear" w:fill="F2F2F2"/>
      </w:pPr>
      <w:r>
        <w:rPr>
          <w:rFonts w:ascii="Consolas" w:hAnsi="Consolas" w:cs="Consolas"/>
          <w:b w:val="0"/>
          <w:i w:val="0"/>
          <w:sz w:val="15"/>
        </w:rPr>
        <w:t xml:space="preserve">    currency_confirmed TEXT,</w:t>
      </w:r>
    </w:p>
    <w:p>
      <w:pPr>
        <w:spacing w:after="0" w:before="0" w:line="240" w:lineRule="auto"/>
        <w:ind w:left="57"/>
        <w:jc w:val="left"/>
        <w:shd w:val="clear" w:fill="F2F2F2"/>
      </w:pPr>
      <w:r>
        <w:rPr>
          <w:rFonts w:ascii="Consolas" w:hAnsi="Consolas" w:cs="Consolas"/>
          <w:b w:val="0"/>
          <w:i w:val="0"/>
          <w:sz w:val="15"/>
        </w:rPr>
        <w:t xml:space="preserve">    camt054_payload TEXT,</w:t>
      </w:r>
    </w:p>
    <w:p>
      <w:pPr>
        <w:spacing w:after="0" w:before="0" w:line="240" w:lineRule="auto"/>
        <w:ind w:left="57"/>
        <w:jc w:val="left"/>
        <w:shd w:val="clear" w:fill="F2F2F2"/>
      </w:pPr>
      <w:r>
        <w:rPr>
          <w:rFonts w:ascii="Consolas" w:hAnsi="Consolas" w:cs="Consolas"/>
          <w:b w:val="0"/>
          <w:i w:val="0"/>
          <w:sz w:val="15"/>
        </w:rPr>
        <w:t xml:space="preserve">    proof_hash TEXT NOT NULL,</w:t>
      </w:r>
    </w:p>
    <w:p>
      <w:pPr>
        <w:spacing w:after="0" w:before="0" w:line="240" w:lineRule="auto"/>
        <w:ind w:left="57"/>
        <w:jc w:val="left"/>
        <w:shd w:val="clear" w:fill="F2F2F2"/>
      </w:pPr>
      <w:r>
        <w:rPr>
          <w:rFonts w:ascii="Consolas" w:hAnsi="Consolas" w:cs="Consolas"/>
          <w:b w:val="0"/>
          <w:i w:val="0"/>
          <w:sz w:val="15"/>
        </w:rPr>
        <w:t xml:space="preserve">    zk_proof TEXT,</w:t>
      </w:r>
    </w:p>
    <w:p>
      <w:pPr>
        <w:spacing w:after="0" w:before="0" w:line="240" w:lineRule="auto"/>
        <w:ind w:left="57"/>
        <w:jc w:val="left"/>
        <w:shd w:val="clear" w:fill="F2F2F2"/>
      </w:pPr>
      <w:r>
        <w:rPr>
          <w:rFonts w:ascii="Consolas" w:hAnsi="Consolas" w:cs="Consolas"/>
          <w:b w:val="0"/>
          <w:i w:val="0"/>
          <w:sz w:val="15"/>
        </w:rPr>
        <w:t xml:space="preserve">    confirmed_at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idx_bank_confirmation_endtoend ON bank_confirmation_proofs(end_to_end_id);</w:t>
      </w:r>
    </w:p>
    <w:p>
      <w:pPr>
        <w:spacing w:after="0" w:before="0" w:line="240" w:lineRule="auto"/>
        <w:ind w:left="57"/>
        <w:jc w:val="left"/>
        <w:shd w:val="clear" w:fill="F2F2F2"/>
      </w:pPr>
      <w:r>
        <w:rPr>
          <w:rFonts w:ascii="Consolas" w:hAnsi="Consolas" w:cs="Consolas"/>
          <w:b w:val="0"/>
          <w:i w:val="0"/>
          <w:sz w:val="15"/>
        </w:rPr>
        <w:t>-- Bank mandate agreements (QES-signed authorization)</w:t>
      </w:r>
    </w:p>
    <w:p>
      <w:pPr>
        <w:spacing w:after="0" w:before="0" w:line="240" w:lineRule="auto"/>
        <w:ind w:left="57"/>
        <w:jc w:val="left"/>
        <w:shd w:val="clear" w:fill="F2F2F2"/>
      </w:pPr>
      <w:r>
        <w:rPr>
          <w:rFonts w:ascii="Consolas" w:hAnsi="Consolas" w:cs="Consolas"/>
          <w:b w:val="0"/>
          <w:i w:val="0"/>
          <w:sz w:val="15"/>
        </w:rPr>
        <w:t>CREATE TABLE bank_mandate_agreements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tenant_gtid TEXT NOT NULL REFERENCES tenants(gtid) ON DELETE CASCADE,</w:t>
      </w:r>
    </w:p>
    <w:p>
      <w:pPr>
        <w:spacing w:after="0" w:before="0" w:line="240" w:lineRule="auto"/>
        <w:ind w:left="57"/>
        <w:jc w:val="left"/>
        <w:shd w:val="clear" w:fill="F2F2F2"/>
      </w:pPr>
      <w:r>
        <w:rPr>
          <w:rFonts w:ascii="Consolas" w:hAnsi="Consolas" w:cs="Consolas"/>
          <w:b w:val="0"/>
          <w:i w:val="0"/>
          <w:sz w:val="15"/>
        </w:rPr>
        <w:t xml:space="preserve">    bank_gtid TEXT NOT NULL REFERENCES tenants(gtid),</w:t>
      </w:r>
    </w:p>
    <w:p>
      <w:pPr>
        <w:spacing w:after="0" w:before="0" w:line="240" w:lineRule="auto"/>
        <w:ind w:left="57"/>
        <w:jc w:val="left"/>
        <w:shd w:val="clear" w:fill="F2F2F2"/>
      </w:pPr>
      <w:r>
        <w:rPr>
          <w:rFonts w:ascii="Consolas" w:hAnsi="Consolas" w:cs="Consolas"/>
          <w:b w:val="0"/>
          <w:i w:val="0"/>
          <w:sz w:val="15"/>
        </w:rPr>
        <w:t xml:space="preserve">    mandate_reference TEXT NOT NULL UNIQUE,</w:t>
      </w:r>
    </w:p>
    <w:p>
      <w:pPr>
        <w:spacing w:after="0" w:before="0" w:line="240" w:lineRule="auto"/>
        <w:ind w:left="57"/>
        <w:jc w:val="left"/>
        <w:shd w:val="clear" w:fill="F2F2F2"/>
      </w:pPr>
      <w:r>
        <w:rPr>
          <w:rFonts w:ascii="Consolas" w:hAnsi="Consolas" w:cs="Consolas"/>
          <w:b w:val="0"/>
          <w:i w:val="0"/>
          <w:sz w:val="15"/>
        </w:rPr>
        <w:t xml:space="preserve">    mandate_version INTEGER NOT NULL DEFAULT 1,</w:t>
      </w:r>
    </w:p>
    <w:p>
      <w:pPr>
        <w:spacing w:after="0" w:before="0" w:line="240" w:lineRule="auto"/>
        <w:ind w:left="57"/>
        <w:jc w:val="left"/>
        <w:shd w:val="clear" w:fill="F2F2F2"/>
      </w:pPr>
      <w:r>
        <w:rPr>
          <w:rFonts w:ascii="Consolas" w:hAnsi="Consolas" w:cs="Consolas"/>
          <w:b w:val="0"/>
          <w:i w:val="0"/>
          <w:sz w:val="15"/>
        </w:rPr>
        <w:t xml:space="preserve">    legal_entity_name TEXT NOT NULL,</w:t>
      </w:r>
    </w:p>
    <w:p>
      <w:pPr>
        <w:spacing w:after="0" w:before="0" w:line="240" w:lineRule="auto"/>
        <w:ind w:left="57"/>
        <w:jc w:val="left"/>
        <w:shd w:val="clear" w:fill="F2F2F2"/>
      </w:pPr>
      <w:r>
        <w:rPr>
          <w:rFonts w:ascii="Consolas" w:hAnsi="Consolas" w:cs="Consolas"/>
          <w:b w:val="0"/>
          <w:i w:val="0"/>
          <w:sz w:val="15"/>
        </w:rPr>
        <w:t xml:space="preserve">    authorized_signatories JSONB NOT NULL,</w:t>
      </w:r>
    </w:p>
    <w:p>
      <w:pPr>
        <w:spacing w:after="0" w:before="0" w:line="240" w:lineRule="auto"/>
        <w:ind w:left="57"/>
        <w:jc w:val="left"/>
        <w:shd w:val="clear" w:fill="F2F2F2"/>
      </w:pPr>
      <w:r>
        <w:rPr>
          <w:rFonts w:ascii="Consolas" w:hAnsi="Consolas" w:cs="Consolas"/>
          <w:b w:val="0"/>
          <w:i w:val="0"/>
          <w:sz w:val="15"/>
        </w:rPr>
        <w:t xml:space="preserve">    egp_account_iban TEXT NOT NULL,</w:t>
      </w:r>
    </w:p>
    <w:p>
      <w:pPr>
        <w:spacing w:after="0" w:before="0" w:line="240" w:lineRule="auto"/>
        <w:ind w:left="57"/>
        <w:jc w:val="left"/>
        <w:shd w:val="clear" w:fill="F2F2F2"/>
      </w:pPr>
      <w:r>
        <w:rPr>
          <w:rFonts w:ascii="Consolas" w:hAnsi="Consolas" w:cs="Consolas"/>
          <w:b w:val="0"/>
          <w:i w:val="0"/>
          <w:sz w:val="15"/>
        </w:rPr>
        <w:t xml:space="preserve">    usd_account_iban TEXT NOT NULL,</w:t>
      </w:r>
    </w:p>
    <w:p>
      <w:pPr>
        <w:spacing w:after="0" w:before="0" w:line="240" w:lineRule="auto"/>
        <w:ind w:left="57"/>
        <w:jc w:val="left"/>
        <w:shd w:val="clear" w:fill="F2F2F2"/>
      </w:pPr>
      <w:r>
        <w:rPr>
          <w:rFonts w:ascii="Consolas" w:hAnsi="Consolas" w:cs="Consolas"/>
          <w:b w:val="0"/>
          <w:i w:val="0"/>
          <w:sz w:val="15"/>
        </w:rPr>
        <w:t xml:space="preserve">    qes_certificate_ref TEXT NOT NULL,</w:t>
      </w:r>
    </w:p>
    <w:p>
      <w:pPr>
        <w:spacing w:after="0" w:before="0" w:line="240" w:lineRule="auto"/>
        <w:ind w:left="57"/>
        <w:jc w:val="left"/>
        <w:shd w:val="clear" w:fill="F2F2F2"/>
      </w:pPr>
      <w:r>
        <w:rPr>
          <w:rFonts w:ascii="Consolas" w:hAnsi="Consolas" w:cs="Consolas"/>
          <w:b w:val="0"/>
          <w:i w:val="0"/>
          <w:sz w:val="15"/>
        </w:rPr>
        <w:t xml:space="preserve">    signed_at TIMESTAMPTZ NOT NULL,</w:t>
      </w:r>
    </w:p>
    <w:p>
      <w:pPr>
        <w:spacing w:after="0" w:before="0" w:line="240" w:lineRule="auto"/>
        <w:ind w:left="57"/>
        <w:jc w:val="left"/>
        <w:shd w:val="clear" w:fill="F2F2F2"/>
      </w:pPr>
      <w:r>
        <w:rPr>
          <w:rFonts w:ascii="Consolas" w:hAnsi="Consolas" w:cs="Consolas"/>
          <w:b w:val="0"/>
          <w:i w:val="0"/>
          <w:sz w:val="15"/>
        </w:rPr>
        <w:t xml:space="preserve">    expires_at TIMESTAMPTZ NOT NULL,</w:t>
      </w:r>
    </w:p>
    <w:p>
      <w:pPr>
        <w:spacing w:after="0" w:before="0" w:line="240" w:lineRule="auto"/>
        <w:ind w:left="57"/>
        <w:jc w:val="left"/>
        <w:shd w:val="clear" w:fill="F2F2F2"/>
      </w:pPr>
      <w:r>
        <w:rPr>
          <w:rFonts w:ascii="Consolas" w:hAnsi="Consolas" w:cs="Consolas"/>
          <w:b w:val="0"/>
          <w:i w:val="0"/>
          <w:sz w:val="15"/>
        </w:rPr>
        <w:t xml:space="preserve">    status TEXT DEFAULT 'ACTIVE',</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loom_hash TEXT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idx_bank_mandate_tenant ON bank_mandate_agreements(tenant_gtid);</w:t>
      </w:r>
    </w:p>
    <w:p>
      <w:pPr>
        <w:spacing w:after="0" w:before="0" w:line="240" w:lineRule="auto"/>
        <w:ind w:left="57"/>
        <w:jc w:val="left"/>
        <w:shd w:val="clear" w:fill="F2F2F2"/>
      </w:pPr>
      <w:r>
        <w:rPr>
          <w:rFonts w:ascii="Consolas" w:hAnsi="Consolas" w:cs="Consolas"/>
          <w:b w:val="0"/>
          <w:i w:val="0"/>
          <w:sz w:val="15"/>
        </w:rPr>
        <w:t>-- Deferred payment instructions (pain.008 future-dated legs held at the bank)</w:t>
      </w:r>
    </w:p>
    <w:p>
      <w:pPr>
        <w:spacing w:after="0" w:before="0" w:line="240" w:lineRule="auto"/>
        <w:ind w:left="57"/>
        <w:jc w:val="left"/>
        <w:shd w:val="clear" w:fill="F2F2F2"/>
      </w:pPr>
      <w:r>
        <w:rPr>
          <w:rFonts w:ascii="Consolas" w:hAnsi="Consolas" w:cs="Consolas"/>
          <w:b w:val="0"/>
          <w:i w:val="0"/>
          <w:sz w:val="15"/>
        </w:rPr>
        <w:t>CREATE TABLE deferred_payment_instructions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settlement_instruction_id UUID NOT NULL REFERENCES settlement_instructions(id) ON DELETE CASCADE,</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leg_id TEXT NOT NULL,</w:t>
      </w:r>
    </w:p>
    <w:p>
      <w:pPr>
        <w:spacing w:after="0" w:before="0" w:line="240" w:lineRule="auto"/>
        <w:ind w:left="57"/>
        <w:jc w:val="left"/>
        <w:shd w:val="clear" w:fill="F2F2F2"/>
      </w:pPr>
      <w:r>
        <w:rPr>
          <w:rFonts w:ascii="Consolas" w:hAnsi="Consolas" w:cs="Consolas"/>
          <w:b w:val="0"/>
          <w:i w:val="0"/>
          <w:sz w:val="15"/>
        </w:rPr>
        <w:t xml:space="preserve">    due_date TIMESTAMPTZ,</w:t>
      </w:r>
    </w:p>
    <w:p>
      <w:pPr>
        <w:spacing w:after="0" w:before="0" w:line="240" w:lineRule="auto"/>
        <w:ind w:left="57"/>
        <w:jc w:val="left"/>
        <w:shd w:val="clear" w:fill="F2F2F2"/>
      </w:pPr>
      <w:r>
        <w:rPr>
          <w:rFonts w:ascii="Consolas" w:hAnsi="Consolas" w:cs="Consolas"/>
          <w:b w:val="0"/>
          <w:i w:val="0"/>
          <w:sz w:val="15"/>
        </w:rPr>
        <w:t xml:space="preserve">    trigger_milestone TEXT,</w:t>
      </w:r>
    </w:p>
    <w:p>
      <w:pPr>
        <w:spacing w:after="0" w:before="0" w:line="240" w:lineRule="auto"/>
        <w:ind w:left="57"/>
        <w:jc w:val="left"/>
        <w:shd w:val="clear" w:fill="F2F2F2"/>
      </w:pPr>
      <w:r>
        <w:rPr>
          <w:rFonts w:ascii="Consolas" w:hAnsi="Consolas" w:cs="Consolas"/>
          <w:b w:val="0"/>
          <w:i w:val="0"/>
          <w:sz w:val="15"/>
        </w:rPr>
        <w:t xml:space="preserve">    status TEXT DEFAULT 'HELD',</w:t>
      </w:r>
    </w:p>
    <w:p>
      <w:pPr>
        <w:spacing w:after="0" w:before="0" w:line="240" w:lineRule="auto"/>
        <w:ind w:left="57"/>
        <w:jc w:val="left"/>
        <w:shd w:val="clear" w:fill="F2F2F2"/>
      </w:pPr>
      <w:r>
        <w:rPr>
          <w:rFonts w:ascii="Consolas" w:hAnsi="Consolas" w:cs="Consolas"/>
          <w:b w:val="0"/>
          <w:i w:val="0"/>
          <w:sz w:val="15"/>
        </w:rPr>
        <w:t xml:space="preserve">    released_at TIMESTAMPTZ,</w:t>
      </w:r>
    </w:p>
    <w:p>
      <w:pPr>
        <w:spacing w:after="0" w:before="0" w:line="240" w:lineRule="auto"/>
        <w:ind w:left="57"/>
        <w:jc w:val="left"/>
        <w:shd w:val="clear" w:fill="F2F2F2"/>
      </w:pPr>
      <w:r>
        <w:rPr>
          <w:rFonts w:ascii="Consolas" w:hAnsi="Consolas" w:cs="Consolas"/>
          <w:b w:val="0"/>
          <w:i w:val="0"/>
          <w:sz w:val="15"/>
        </w:rPr>
        <w:t xml:space="preserve">    expired_at TIMESTAMPTZ,</w:t>
      </w:r>
    </w:p>
    <w:p>
      <w:pPr>
        <w:spacing w:after="0" w:before="0" w:line="240" w:lineRule="auto"/>
        <w:ind w:left="57"/>
        <w:jc w:val="left"/>
        <w:shd w:val="clear" w:fill="F2F2F2"/>
      </w:pPr>
      <w:r>
        <w:rPr>
          <w:rFonts w:ascii="Consolas" w:hAnsi="Consolas" w:cs="Consolas"/>
          <w:b w:val="0"/>
          <w:i w:val="0"/>
          <w:sz w:val="15"/>
        </w:rPr>
        <w:t xml:space="preserve">    bank_reference TEXT,</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loom_hash TEXT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idx_deferred_payment_ustn ON deferred_payment_instructions(ustn);</w:t>
      </w:r>
    </w:p>
    <w:p>
      <w:pPr>
        <w:spacing w:after="0" w:before="0" w:line="240" w:lineRule="auto"/>
        <w:ind w:left="57"/>
        <w:jc w:val="left"/>
        <w:shd w:val="clear" w:fill="F2F2F2"/>
      </w:pPr>
      <w:r>
        <w:rPr>
          <w:rFonts w:ascii="Consolas" w:hAnsi="Consolas" w:cs="Consolas"/>
          <w:b w:val="0"/>
          <w:i w:val="0"/>
          <w:sz w:val="15"/>
        </w:rPr>
        <w:t>-- Deferred payment guarantees (expiry escalation)</w:t>
      </w:r>
    </w:p>
    <w:p>
      <w:pPr>
        <w:spacing w:after="0" w:before="0" w:line="240" w:lineRule="auto"/>
        <w:ind w:left="57"/>
        <w:jc w:val="left"/>
        <w:shd w:val="clear" w:fill="F2F2F2"/>
      </w:pPr>
      <w:r>
        <w:rPr>
          <w:rFonts w:ascii="Consolas" w:hAnsi="Consolas" w:cs="Consolas"/>
          <w:b w:val="0"/>
          <w:i w:val="0"/>
          <w:sz w:val="15"/>
        </w:rPr>
        <w:t>CREATE TABLE deferred_payment_guarantees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leg_id TEXT NOT NULL,</w:t>
      </w:r>
    </w:p>
    <w:p>
      <w:pPr>
        <w:spacing w:after="0" w:before="0" w:line="240" w:lineRule="auto"/>
        <w:ind w:left="57"/>
        <w:jc w:val="left"/>
        <w:shd w:val="clear" w:fill="F2F2F2"/>
      </w:pPr>
      <w:r>
        <w:rPr>
          <w:rFonts w:ascii="Consolas" w:hAnsi="Consolas" w:cs="Consolas"/>
          <w:b w:val="0"/>
          <w:i w:val="0"/>
          <w:sz w:val="15"/>
        </w:rPr>
        <w:t xml:space="preserve">    amount DECIMAL(20,4) NOT NULL,</w:t>
      </w:r>
    </w:p>
    <w:p>
      <w:pPr>
        <w:spacing w:after="0" w:before="0" w:line="240" w:lineRule="auto"/>
        <w:ind w:left="57"/>
        <w:jc w:val="left"/>
        <w:shd w:val="clear" w:fill="F2F2F2"/>
      </w:pPr>
      <w:r>
        <w:rPr>
          <w:rFonts w:ascii="Consolas" w:hAnsi="Consolas" w:cs="Consolas"/>
          <w:b w:val="0"/>
          <w:i w:val="0"/>
          <w:sz w:val="15"/>
        </w:rPr>
        <w:t xml:space="preserve">    currency TEXT NOT NULL,</w:t>
      </w:r>
    </w:p>
    <w:p>
      <w:pPr>
        <w:spacing w:after="0" w:before="0" w:line="240" w:lineRule="auto"/>
        <w:ind w:left="57"/>
        <w:jc w:val="left"/>
        <w:shd w:val="clear" w:fill="F2F2F2"/>
      </w:pPr>
      <w:r>
        <w:rPr>
          <w:rFonts w:ascii="Consolas" w:hAnsi="Consolas" w:cs="Consolas"/>
          <w:b w:val="0"/>
          <w:i w:val="0"/>
          <w:sz w:val="15"/>
        </w:rPr>
        <w:t xml:space="preserve">    guarantee_type TEXT NOT NULL,</w:t>
      </w:r>
    </w:p>
    <w:p>
      <w:pPr>
        <w:spacing w:after="0" w:before="0" w:line="240" w:lineRule="auto"/>
        <w:ind w:left="57"/>
        <w:jc w:val="left"/>
        <w:shd w:val="clear" w:fill="F2F2F2"/>
      </w:pPr>
      <w:r>
        <w:rPr>
          <w:rFonts w:ascii="Consolas" w:hAnsi="Consolas" w:cs="Consolas"/>
          <w:b w:val="0"/>
          <w:i w:val="0"/>
          <w:sz w:val="15"/>
        </w:rPr>
        <w:t xml:space="preserve">    expiry_date TIMESTAMPTZ NOT NULL,</w:t>
      </w:r>
    </w:p>
    <w:p>
      <w:pPr>
        <w:spacing w:after="0" w:before="0" w:line="240" w:lineRule="auto"/>
        <w:ind w:left="57"/>
        <w:jc w:val="left"/>
        <w:shd w:val="clear" w:fill="F2F2F2"/>
      </w:pPr>
      <w:r>
        <w:rPr>
          <w:rFonts w:ascii="Consolas" w:hAnsi="Consolas" w:cs="Consolas"/>
          <w:b w:val="0"/>
          <w:i w:val="0"/>
          <w:sz w:val="15"/>
        </w:rPr>
        <w:t xml:space="preserve">    status TEXT DEFAULT 'GUARANTEE_HELD',</w:t>
      </w:r>
    </w:p>
    <w:p>
      <w:pPr>
        <w:spacing w:after="0" w:before="0" w:line="240" w:lineRule="auto"/>
        <w:ind w:left="57"/>
        <w:jc w:val="left"/>
        <w:shd w:val="clear" w:fill="F2F2F2"/>
      </w:pPr>
      <w:r>
        <w:rPr>
          <w:rFonts w:ascii="Consolas" w:hAnsi="Consolas" w:cs="Consolas"/>
          <w:b w:val="0"/>
          <w:i w:val="0"/>
          <w:sz w:val="15"/>
        </w:rPr>
        <w:t xml:space="preserve">    auto_charge_authorised BOOLEAN DEFAULT false,</w:t>
      </w:r>
    </w:p>
    <w:p>
      <w:pPr>
        <w:spacing w:after="0" w:before="0" w:line="240" w:lineRule="auto"/>
        <w:ind w:left="57"/>
        <w:jc w:val="left"/>
        <w:shd w:val="clear" w:fill="F2F2F2"/>
      </w:pPr>
      <w:r>
        <w:rPr>
          <w:rFonts w:ascii="Consolas" w:hAnsi="Consolas" w:cs="Consolas"/>
          <w:b w:val="0"/>
          <w:i w:val="0"/>
          <w:sz w:val="15"/>
        </w:rPr>
        <w:t xml:space="preserve">    charged_at TIMESTAMPTZ,</w:t>
      </w:r>
    </w:p>
    <w:p>
      <w:pPr>
        <w:spacing w:after="0" w:before="0" w:line="240" w:lineRule="auto"/>
        <w:ind w:left="57"/>
        <w:jc w:val="left"/>
        <w:shd w:val="clear" w:fill="F2F2F2"/>
      </w:pPr>
      <w:r>
        <w:rPr>
          <w:rFonts w:ascii="Consolas" w:hAnsi="Consolas" w:cs="Consolas"/>
          <w:b w:val="0"/>
          <w:i w:val="0"/>
          <w:sz w:val="15"/>
        </w:rPr>
        <w:t xml:space="preserve">    released_at TIMESTAMPTZ,</w:t>
      </w:r>
    </w:p>
    <w:p>
      <w:pPr>
        <w:spacing w:after="0" w:before="0" w:line="240" w:lineRule="auto"/>
        <w:ind w:left="57"/>
        <w:jc w:val="left"/>
        <w:shd w:val="clear" w:fill="F2F2F2"/>
      </w:pPr>
      <w:r>
        <w:rPr>
          <w:rFonts w:ascii="Consolas" w:hAnsi="Consolas" w:cs="Consolas"/>
          <w:b w:val="0"/>
          <w:i w:val="0"/>
          <w:sz w:val="15"/>
        </w:rPr>
        <w:t xml:space="preserve">    expired_at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loom_hash TEXT NOT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idx_deferred_guarantee_ustn ON deferred_payment_guarantees(ustn);</w:t>
      </w:r>
    </w:p>
    <w:p>
      <w:pPr>
        <w:spacing w:after="0" w:before="0" w:line="240" w:lineRule="auto"/>
        <w:ind w:left="57"/>
        <w:jc w:val="left"/>
        <w:shd w:val="clear" w:fill="F2F2F2"/>
      </w:pPr>
      <w:r>
        <w:rPr>
          <w:rFonts w:ascii="Consolas" w:hAnsi="Consolas" w:cs="Consolas"/>
          <w:b w:val="0"/>
          <w:i w:val="0"/>
          <w:sz w:val="15"/>
        </w:rPr>
        <w:t>CREATE INDEX idx_deferred_guarantee_expiry ON deferred_payment_guarantees(expiry_date);</w:t>
      </w:r>
    </w:p>
    <w:p>
      <w:pPr>
        <w:spacing w:after="0" w:before="0" w:line="240" w:lineRule="auto"/>
        <w:ind w:left="57"/>
        <w:jc w:val="left"/>
        <w:shd w:val="clear" w:fill="F2F2F2"/>
      </w:pPr>
      <w:r>
        <w:rPr>
          <w:rFonts w:ascii="Consolas" w:hAnsi="Consolas" w:cs="Consolas"/>
          <w:b w:val="0"/>
          <w:i w:val="0"/>
          <w:sz w:val="15"/>
        </w:rPr>
        <w:t>-- Payment retry logs</w:t>
      </w:r>
    </w:p>
    <w:p>
      <w:pPr>
        <w:spacing w:after="0" w:before="0" w:line="240" w:lineRule="auto"/>
        <w:ind w:left="57"/>
        <w:jc w:val="left"/>
        <w:shd w:val="clear" w:fill="F2F2F2"/>
      </w:pPr>
      <w:r>
        <w:rPr>
          <w:rFonts w:ascii="Consolas" w:hAnsi="Consolas" w:cs="Consolas"/>
          <w:b w:val="0"/>
          <w:i w:val="0"/>
          <w:sz w:val="15"/>
        </w:rPr>
        <w:t>CREATE TABLE payment_retry_logs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settlement_instruction_id UUID NOT NULL REFERENCES settlement_instructions(id) ON DELETE CASCADE,</w:t>
      </w:r>
    </w:p>
    <w:p>
      <w:pPr>
        <w:spacing w:after="0" w:before="0" w:line="240" w:lineRule="auto"/>
        <w:ind w:left="57"/>
        <w:jc w:val="left"/>
        <w:shd w:val="clear" w:fill="F2F2F2"/>
      </w:pPr>
      <w:r>
        <w:rPr>
          <w:rFonts w:ascii="Consolas" w:hAnsi="Consolas" w:cs="Consolas"/>
          <w:b w:val="0"/>
          <w:i w:val="0"/>
          <w:sz w:val="15"/>
        </w:rPr>
        <w:t xml:space="preserve">    attempt_number INTEGER NOT NULL,</w:t>
      </w:r>
    </w:p>
    <w:p>
      <w:pPr>
        <w:spacing w:after="0" w:before="0" w:line="240" w:lineRule="auto"/>
        <w:ind w:left="57"/>
        <w:jc w:val="left"/>
        <w:shd w:val="clear" w:fill="F2F2F2"/>
      </w:pPr>
      <w:r>
        <w:rPr>
          <w:rFonts w:ascii="Consolas" w:hAnsi="Consolas" w:cs="Consolas"/>
          <w:b w:val="0"/>
          <w:i w:val="0"/>
          <w:sz w:val="15"/>
        </w:rPr>
        <w:t xml:space="preserve">    status TEXT NOT NULL,</w:t>
      </w:r>
    </w:p>
    <w:p>
      <w:pPr>
        <w:spacing w:after="0" w:before="0" w:line="240" w:lineRule="auto"/>
        <w:ind w:left="57"/>
        <w:jc w:val="left"/>
        <w:shd w:val="clear" w:fill="F2F2F2"/>
      </w:pPr>
      <w:r>
        <w:rPr>
          <w:rFonts w:ascii="Consolas" w:hAnsi="Consolas" w:cs="Consolas"/>
          <w:b w:val="0"/>
          <w:i w:val="0"/>
          <w:sz w:val="15"/>
        </w:rPr>
        <w:t xml:space="preserve">    error_code TEXT,</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retried_at TIMESTAMPTZ DEFAULT NOW(),</w:t>
      </w:r>
    </w:p>
    <w:p>
      <w:pPr>
        <w:spacing w:after="0" w:before="0" w:line="240" w:lineRule="auto"/>
        <w:ind w:left="57"/>
        <w:jc w:val="left"/>
        <w:shd w:val="clear" w:fill="F2F2F2"/>
      </w:pPr>
      <w:r>
        <w:rPr>
          <w:rFonts w:ascii="Consolas" w:hAnsi="Consolas" w:cs="Consolas"/>
          <w:b w:val="0"/>
          <w:i w:val="0"/>
          <w:sz w:val="15"/>
        </w:rPr>
        <w:t xml:space="preserve">    next_retry_at TIMESTAMPTZ,</w:t>
      </w:r>
    </w:p>
    <w:p>
      <w:pPr>
        <w:spacing w:after="0" w:before="0" w:line="240" w:lineRule="auto"/>
        <w:ind w:left="57"/>
        <w:jc w:val="left"/>
        <w:shd w:val="clear" w:fill="F2F2F2"/>
      </w:pPr>
      <w:r>
        <w:rPr>
          <w:rFonts w:ascii="Consolas" w:hAnsi="Consolas" w:cs="Consolas"/>
          <w:b w:val="0"/>
          <w:i w:val="0"/>
          <w:sz w:val="15"/>
        </w:rPr>
        <w:t xml:space="preserve">    resolved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CREATE INDEX idx_payment_retry_instruction ON payment_retry_logs(settlement_instruction_id);</w:t>
      </w:r>
    </w:p>
    <w:p>
      <w:pPr>
        <w:spacing w:after="0" w:before="0" w:line="240" w:lineRule="auto"/>
        <w:ind w:left="57"/>
        <w:jc w:val="left"/>
        <w:shd w:val="clear" w:fill="F2F2F2"/>
      </w:pPr>
      <w:r>
        <w:rPr>
          <w:rFonts w:ascii="Consolas" w:hAnsi="Consolas" w:cs="Consolas"/>
          <w:b w:val="0"/>
          <w:i w:val="0"/>
          <w:sz w:val="15"/>
        </w:rPr>
        <w:t>-- Bank health logs (per participating bank)</w:t>
      </w:r>
    </w:p>
    <w:p>
      <w:pPr>
        <w:spacing w:after="0" w:before="0" w:line="240" w:lineRule="auto"/>
        <w:ind w:left="57"/>
        <w:jc w:val="left"/>
        <w:shd w:val="clear" w:fill="F2F2F2"/>
      </w:pPr>
      <w:r>
        <w:rPr>
          <w:rFonts w:ascii="Consolas" w:hAnsi="Consolas" w:cs="Consolas"/>
          <w:b w:val="0"/>
          <w:i w:val="0"/>
          <w:sz w:val="15"/>
        </w:rPr>
        <w:t>CREATE TABLE bank_health_logs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bank_gtid TEXT NOT NULL REFERENCES tenants(gtid) ON DELETE CASCADE,</w:t>
      </w:r>
    </w:p>
    <w:p>
      <w:pPr>
        <w:spacing w:after="0" w:before="0" w:line="240" w:lineRule="auto"/>
        <w:ind w:left="57"/>
        <w:jc w:val="left"/>
        <w:shd w:val="clear" w:fill="F2F2F2"/>
      </w:pPr>
      <w:r>
        <w:rPr>
          <w:rFonts w:ascii="Consolas" w:hAnsi="Consolas" w:cs="Consolas"/>
          <w:b w:val="0"/>
          <w:i w:val="0"/>
          <w:sz w:val="15"/>
        </w:rPr>
        <w:t xml:space="preserve">    health_score DECIMAL(5,2),</w:t>
      </w:r>
    </w:p>
    <w:p>
      <w:pPr>
        <w:spacing w:after="0" w:before="0" w:line="240" w:lineRule="auto"/>
        <w:ind w:left="57"/>
        <w:jc w:val="left"/>
        <w:shd w:val="clear" w:fill="F2F2F2"/>
      </w:pPr>
      <w:r>
        <w:rPr>
          <w:rFonts w:ascii="Consolas" w:hAnsi="Consolas" w:cs="Consolas"/>
          <w:b w:val="0"/>
          <w:i w:val="0"/>
          <w:sz w:val="15"/>
        </w:rPr>
        <w:t xml:space="preserve">    latency_ms INTEGER,</w:t>
      </w:r>
    </w:p>
    <w:p>
      <w:pPr>
        <w:spacing w:after="0" w:before="0" w:line="240" w:lineRule="auto"/>
        <w:ind w:left="57"/>
        <w:jc w:val="left"/>
        <w:shd w:val="clear" w:fill="F2F2F2"/>
      </w:pPr>
      <w:r>
        <w:rPr>
          <w:rFonts w:ascii="Consolas" w:hAnsi="Consolas" w:cs="Consolas"/>
          <w:b w:val="0"/>
          <w:i w:val="0"/>
          <w:sz w:val="15"/>
        </w:rPr>
        <w:t xml:space="preserve">    error_rate DECIMAL(5,4),</w:t>
      </w:r>
    </w:p>
    <w:p>
      <w:pPr>
        <w:spacing w:after="0" w:before="0" w:line="240" w:lineRule="auto"/>
        <w:ind w:left="57"/>
        <w:jc w:val="left"/>
        <w:shd w:val="clear" w:fill="F2F2F2"/>
      </w:pPr>
      <w:r>
        <w:rPr>
          <w:rFonts w:ascii="Consolas" w:hAnsi="Consolas" w:cs="Consolas"/>
          <w:b w:val="0"/>
          <w:i w:val="0"/>
          <w:sz w:val="15"/>
        </w:rPr>
        <w:t xml:space="preserve">    checked_at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Bank reconciliation files (tier-3 fallback + statements)</w:t>
      </w:r>
    </w:p>
    <w:p>
      <w:pPr>
        <w:spacing w:after="0" w:before="0" w:line="240" w:lineRule="auto"/>
        <w:ind w:left="57"/>
        <w:jc w:val="left"/>
        <w:shd w:val="clear" w:fill="F2F2F2"/>
      </w:pPr>
      <w:r>
        <w:rPr>
          <w:rFonts w:ascii="Consolas" w:hAnsi="Consolas" w:cs="Consolas"/>
          <w:b w:val="0"/>
          <w:i w:val="0"/>
          <w:sz w:val="15"/>
        </w:rPr>
        <w:t>CREATE TABLE bank_reconciliation_files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bank_bic TEXT NOT NULL,</w:t>
      </w:r>
    </w:p>
    <w:p>
      <w:pPr>
        <w:spacing w:after="0" w:before="0" w:line="240" w:lineRule="auto"/>
        <w:ind w:left="57"/>
        <w:jc w:val="left"/>
        <w:shd w:val="clear" w:fill="F2F2F2"/>
      </w:pPr>
      <w:r>
        <w:rPr>
          <w:rFonts w:ascii="Consolas" w:hAnsi="Consolas" w:cs="Consolas"/>
          <w:b w:val="0"/>
          <w:i w:val="0"/>
          <w:sz w:val="15"/>
        </w:rPr>
        <w:t xml:space="preserve">    file_date DATE NOT NULL,</w:t>
      </w:r>
    </w:p>
    <w:p>
      <w:pPr>
        <w:spacing w:after="0" w:before="0" w:line="240" w:lineRule="auto"/>
        <w:ind w:left="57"/>
        <w:jc w:val="left"/>
        <w:shd w:val="clear" w:fill="F2F2F2"/>
      </w:pPr>
      <w:r>
        <w:rPr>
          <w:rFonts w:ascii="Consolas" w:hAnsi="Consolas" w:cs="Consolas"/>
          <w:b w:val="0"/>
          <w:i w:val="0"/>
          <w:sz w:val="15"/>
        </w:rPr>
        <w:t xml:space="preserve">    format TEXT NOT NULL,</w:t>
      </w:r>
    </w:p>
    <w:p>
      <w:pPr>
        <w:spacing w:after="0" w:before="0" w:line="240" w:lineRule="auto"/>
        <w:ind w:left="57"/>
        <w:jc w:val="left"/>
        <w:shd w:val="clear" w:fill="F2F2F2"/>
      </w:pPr>
      <w:r>
        <w:rPr>
          <w:rFonts w:ascii="Consolas" w:hAnsi="Consolas" w:cs="Consolas"/>
          <w:b w:val="0"/>
          <w:i w:val="0"/>
          <w:sz w:val="15"/>
        </w:rPr>
        <w:t xml:space="preserve">    file_content TEXT,</w:t>
      </w:r>
    </w:p>
    <w:p>
      <w:pPr>
        <w:spacing w:after="0" w:before="0" w:line="240" w:lineRule="auto"/>
        <w:ind w:left="57"/>
        <w:jc w:val="left"/>
        <w:shd w:val="clear" w:fill="F2F2F2"/>
      </w:pPr>
      <w:r>
        <w:rPr>
          <w:rFonts w:ascii="Consolas" w:hAnsi="Consolas" w:cs="Consolas"/>
          <w:b w:val="0"/>
          <w:i w:val="0"/>
          <w:sz w:val="15"/>
        </w:rPr>
        <w:t xml:space="preserve">    file_hash TEXT,</w:t>
      </w:r>
    </w:p>
    <w:p>
      <w:pPr>
        <w:spacing w:after="0" w:before="0" w:line="240" w:lineRule="auto"/>
        <w:ind w:left="57"/>
        <w:jc w:val="left"/>
        <w:shd w:val="clear" w:fill="F2F2F2"/>
      </w:pPr>
      <w:r>
        <w:rPr>
          <w:rFonts w:ascii="Consolas" w:hAnsi="Consolas" w:cs="Consolas"/>
          <w:b w:val="0"/>
          <w:i w:val="0"/>
          <w:sz w:val="15"/>
        </w:rPr>
        <w:t xml:space="preserve">    generated_at TIMESTAMPTZ DEFAULT NOW(),</w:t>
      </w:r>
    </w:p>
    <w:p>
      <w:pPr>
        <w:spacing w:after="0" w:before="0" w:line="240" w:lineRule="auto"/>
        <w:ind w:left="57"/>
        <w:jc w:val="left"/>
        <w:shd w:val="clear" w:fill="F2F2F2"/>
      </w:pPr>
      <w:r>
        <w:rPr>
          <w:rFonts w:ascii="Consolas" w:hAnsi="Consolas" w:cs="Consolas"/>
          <w:b w:val="0"/>
          <w:i w:val="0"/>
          <w:sz w:val="15"/>
        </w:rPr>
        <w:t xml:space="preserve">    downloaded_by UUID REFERENCES employees(id) ON DELETE SET NULL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Fee payment requests (with deferred-fee state) and fee calculations are defined canonically in Section 17.10 (Contracts &amp; Fees); the FeeLock state machine that gates on them is specified in Section 9.30.</w:t>
      </w:r>
    </w:p>
    <w:p>
      <w:pPr>
        <w:keepNext/>
        <w:spacing w:before="240" w:after="100"/>
        <w:outlineLvl w:val="1"/>
      </w:pPr>
      <w:r>
        <w:rPr>
          <w:rFonts w:ascii="Arial" w:hAnsi="Arial" w:cs="Arial"/>
          <w:b/>
          <w:i w:val="0"/>
          <w:color w:val="2E528F"/>
          <w:sz w:val="26"/>
        </w:rPr>
        <w:t>17.21 Integration &amp; Certificates</w:t>
      </w:r>
    </w:p>
    <w:p>
      <w:pPr>
        <w:spacing w:after="80" w:line="293" w:lineRule="auto"/>
        <w:jc w:val="left"/>
      </w:pPr>
      <w:r>
        <w:rPr>
          <w:rFonts w:ascii="Times New Roman" w:hAnsi="Times New Roman" w:cs="Times New Roman"/>
          <w:b w:val="0"/>
          <w:i w:val="0"/>
          <w:sz w:val="22"/>
        </w:rPr>
        <w:t>Connector logs for every external call (endpoint, request/response, status, idempotency key, duration); tenant certificates (e-seal, TLS) and the revocation list.</w:t>
      </w:r>
    </w:p>
    <w:p>
      <w:pPr>
        <w:spacing w:after="0" w:before="0" w:line="240" w:lineRule="auto"/>
        <w:ind w:left="57"/>
        <w:jc w:val="left"/>
        <w:shd w:val="clear" w:fill="F2F2F2"/>
      </w:pPr>
      <w:r>
        <w:rPr>
          <w:rFonts w:ascii="Consolas" w:hAnsi="Consolas" w:cs="Consolas"/>
          <w:b w:val="0"/>
          <w:i w:val="0"/>
          <w:sz w:val="15"/>
        </w:rPr>
        <w:t>-- Integration connector logs</w:t>
      </w:r>
    </w:p>
    <w:p>
      <w:pPr>
        <w:spacing w:after="0" w:before="0" w:line="240" w:lineRule="auto"/>
        <w:ind w:left="57"/>
        <w:jc w:val="left"/>
        <w:shd w:val="clear" w:fill="F2F2F2"/>
      </w:pPr>
      <w:r>
        <w:rPr>
          <w:rFonts w:ascii="Consolas" w:hAnsi="Consolas" w:cs="Consolas"/>
          <w:b w:val="0"/>
          <w:i w:val="0"/>
          <w:sz w:val="15"/>
        </w:rPr>
        <w:t>CREATE TABLE integration_connector_logs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connector_name TEXT NOT NULL, -- 'NAFEZA', 'CARGOX', 'ETA', 'BANK_CIB', etc.</w:t>
      </w:r>
    </w:p>
    <w:p>
      <w:pPr>
        <w:spacing w:after="0" w:before="0" w:line="240" w:lineRule="auto"/>
        <w:ind w:left="57"/>
        <w:jc w:val="left"/>
        <w:shd w:val="clear" w:fill="F2F2F2"/>
      </w:pPr>
      <w:r>
        <w:rPr>
          <w:rFonts w:ascii="Consolas" w:hAnsi="Consolas" w:cs="Consolas"/>
          <w:b w:val="0"/>
          <w:i w:val="0"/>
          <w:sz w:val="15"/>
        </w:rPr>
        <w:t>endpoint TEXT NOT NULL,</w:t>
      </w:r>
    </w:p>
    <w:p>
      <w:pPr>
        <w:spacing w:after="0" w:before="0" w:line="240" w:lineRule="auto"/>
        <w:ind w:left="57"/>
        <w:jc w:val="left"/>
        <w:shd w:val="clear" w:fill="F2F2F2"/>
      </w:pPr>
      <w:r>
        <w:rPr>
          <w:rFonts w:ascii="Consolas" w:hAnsi="Consolas" w:cs="Consolas"/>
          <w:b w:val="0"/>
          <w:i w:val="0"/>
          <w:sz w:val="15"/>
        </w:rPr>
        <w:t>request_body TEXT,</w:t>
      </w:r>
    </w:p>
    <w:p>
      <w:pPr>
        <w:spacing w:after="0" w:before="0" w:line="240" w:lineRule="auto"/>
        <w:ind w:left="57"/>
        <w:jc w:val="left"/>
        <w:shd w:val="clear" w:fill="F2F2F2"/>
      </w:pPr>
      <w:r>
        <w:rPr>
          <w:rFonts w:ascii="Consolas" w:hAnsi="Consolas" w:cs="Consolas"/>
          <w:b w:val="0"/>
          <w:i w:val="0"/>
          <w:sz w:val="15"/>
        </w:rPr>
        <w:t>response_body TEXT,</w:t>
      </w:r>
    </w:p>
    <w:p>
      <w:pPr>
        <w:spacing w:after="0" w:before="0" w:line="240" w:lineRule="auto"/>
        <w:ind w:left="57"/>
        <w:jc w:val="left"/>
        <w:shd w:val="clear" w:fill="F2F2F2"/>
      </w:pPr>
      <w:r>
        <w:rPr>
          <w:rFonts w:ascii="Consolas" w:hAnsi="Consolas" w:cs="Consolas"/>
          <w:b w:val="0"/>
          <w:i w:val="0"/>
          <w:sz w:val="15"/>
        </w:rPr>
        <w:t>status_code INTEGER,</w:t>
      </w:r>
    </w:p>
    <w:p>
      <w:pPr>
        <w:spacing w:after="0" w:before="0" w:line="240" w:lineRule="auto"/>
        <w:ind w:left="57"/>
        <w:jc w:val="left"/>
        <w:shd w:val="clear" w:fill="F2F2F2"/>
      </w:pPr>
      <w:r>
        <w:rPr>
          <w:rFonts w:ascii="Consolas" w:hAnsi="Consolas" w:cs="Consolas"/>
          <w:b w:val="0"/>
          <w:i w:val="0"/>
          <w:sz w:val="15"/>
        </w:rPr>
        <w:t>idempotency_key TEXT,</w:t>
      </w:r>
    </w:p>
    <w:p>
      <w:pPr>
        <w:spacing w:after="0" w:before="0" w:line="240" w:lineRule="auto"/>
        <w:ind w:left="57"/>
        <w:jc w:val="left"/>
        <w:shd w:val="clear" w:fill="F2F2F2"/>
      </w:pPr>
      <w:r>
        <w:rPr>
          <w:rFonts w:ascii="Consolas" w:hAnsi="Consolas" w:cs="Consolas"/>
          <w:b w:val="0"/>
          <w:i w:val="0"/>
          <w:sz w:val="15"/>
        </w:rPr>
        <w:t>duration_ms INTEGER,</w:t>
      </w:r>
    </w:p>
    <w:p>
      <w:pPr>
        <w:spacing w:after="0" w:before="0" w:line="240" w:lineRule="auto"/>
        <w:ind w:left="57"/>
        <w:jc w:val="left"/>
        <w:shd w:val="clear" w:fill="F2F2F2"/>
      </w:pPr>
      <w:r>
        <w:rPr>
          <w:rFonts w:ascii="Consolas" w:hAnsi="Consolas" w:cs="Consolas"/>
          <w:b w:val="0"/>
          <w:i w:val="0"/>
          <w:sz w:val="15"/>
        </w:rPr>
        <w:t>success BOOLEAN,</w:t>
      </w:r>
    </w:p>
    <w:p>
      <w:pPr>
        <w:spacing w:after="0" w:before="0" w:line="240" w:lineRule="auto"/>
        <w:ind w:left="57"/>
        <w:jc w:val="left"/>
        <w:shd w:val="clear" w:fill="F2F2F2"/>
      </w:pPr>
      <w:r>
        <w:rPr>
          <w:rFonts w:ascii="Consolas" w:hAnsi="Consolas" w:cs="Consolas"/>
          <w:b w:val="0"/>
          <w:i w:val="0"/>
          <w:sz w:val="15"/>
        </w:rPr>
        <w:t>error_message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Certificates (TLS, e-Seal)</w:t>
      </w:r>
    </w:p>
    <w:p>
      <w:pPr>
        <w:spacing w:after="0" w:before="0" w:line="240" w:lineRule="auto"/>
        <w:ind w:left="57"/>
        <w:jc w:val="left"/>
        <w:shd w:val="clear" w:fill="F2F2F2"/>
      </w:pPr>
      <w:r>
        <w:rPr>
          <w:rFonts w:ascii="Consolas" w:hAnsi="Consolas" w:cs="Consolas"/>
          <w:b w:val="0"/>
          <w:i w:val="0"/>
          <w:sz w:val="15"/>
        </w:rPr>
        <w:t>CREATE TABLE certificates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tenant_gtid TEXT NOT NULL REFERENCES tenants(gtid) ON DELETE CASCADE,</w:t>
      </w:r>
    </w:p>
    <w:p>
      <w:pPr>
        <w:spacing w:after="0" w:before="0" w:line="240" w:lineRule="auto"/>
        <w:ind w:left="57"/>
        <w:jc w:val="left"/>
        <w:shd w:val="clear" w:fill="F2F2F2"/>
      </w:pPr>
      <w:r>
        <w:rPr>
          <w:rFonts w:ascii="Consolas" w:hAnsi="Consolas" w:cs="Consolas"/>
          <w:b w:val="0"/>
          <w:i w:val="0"/>
          <w:sz w:val="15"/>
        </w:rPr>
        <w:t>certificate_type TEXT NOT NULL, -- 'E_SEAL', 'TLS_CLIENT', 'TLS_SERVER'</w:t>
      </w:r>
    </w:p>
    <w:p>
      <w:pPr>
        <w:spacing w:after="0" w:before="0" w:line="240" w:lineRule="auto"/>
        <w:ind w:left="57"/>
        <w:jc w:val="left"/>
        <w:shd w:val="clear" w:fill="F2F2F2"/>
      </w:pPr>
      <w:r>
        <w:rPr>
          <w:rFonts w:ascii="Consolas" w:hAnsi="Consolas" w:cs="Consolas"/>
          <w:b w:val="0"/>
          <w:i w:val="0"/>
          <w:sz w:val="15"/>
        </w:rPr>
        <w:t>certificate_pem TEXT NOT NULL,</w:t>
      </w:r>
    </w:p>
    <w:p>
      <w:pPr>
        <w:spacing w:after="0" w:before="0" w:line="240" w:lineRule="auto"/>
        <w:ind w:left="57"/>
        <w:jc w:val="left"/>
        <w:shd w:val="clear" w:fill="F2F2F2"/>
      </w:pPr>
      <w:r>
        <w:rPr>
          <w:rFonts w:ascii="Consolas" w:hAnsi="Consolas" w:cs="Consolas"/>
          <w:b w:val="0"/>
          <w:i w:val="0"/>
          <w:sz w:val="15"/>
        </w:rPr>
        <w:t>private_key_encrypted TEXT,</w:t>
      </w:r>
    </w:p>
    <w:p>
      <w:pPr>
        <w:spacing w:after="0" w:before="0" w:line="240" w:lineRule="auto"/>
        <w:ind w:left="57"/>
        <w:jc w:val="left"/>
        <w:shd w:val="clear" w:fill="F2F2F2"/>
      </w:pPr>
      <w:r>
        <w:rPr>
          <w:rFonts w:ascii="Consolas" w:hAnsi="Consolas" w:cs="Consolas"/>
          <w:b w:val="0"/>
          <w:i w:val="0"/>
          <w:sz w:val="15"/>
        </w:rPr>
        <w:t>issuer TEXT,</w:t>
      </w:r>
    </w:p>
    <w:p>
      <w:pPr>
        <w:spacing w:after="0" w:before="0" w:line="240" w:lineRule="auto"/>
        <w:ind w:left="57"/>
        <w:jc w:val="left"/>
        <w:shd w:val="clear" w:fill="F2F2F2"/>
      </w:pPr>
      <w:r>
        <w:rPr>
          <w:rFonts w:ascii="Consolas" w:hAnsi="Consolas" w:cs="Consolas"/>
          <w:b w:val="0"/>
          <w:i w:val="0"/>
          <w:sz w:val="15"/>
        </w:rPr>
        <w:t>valid_from TIMESTAMPTZ,</w:t>
      </w:r>
    </w:p>
    <w:p>
      <w:pPr>
        <w:spacing w:after="0" w:before="0" w:line="240" w:lineRule="auto"/>
        <w:ind w:left="57"/>
        <w:jc w:val="left"/>
        <w:shd w:val="clear" w:fill="F2F2F2"/>
      </w:pPr>
      <w:r>
        <w:rPr>
          <w:rFonts w:ascii="Consolas" w:hAnsi="Consolas" w:cs="Consolas"/>
          <w:b w:val="0"/>
          <w:i w:val="0"/>
          <w:sz w:val="15"/>
        </w:rPr>
        <w:t>valid_until TIMESTAMPTZ,</w:t>
      </w:r>
    </w:p>
    <w:p>
      <w:pPr>
        <w:spacing w:after="0" w:before="0" w:line="240" w:lineRule="auto"/>
        <w:ind w:left="57"/>
        <w:jc w:val="left"/>
        <w:shd w:val="clear" w:fill="F2F2F2"/>
      </w:pPr>
      <w:r>
        <w:rPr>
          <w:rFonts w:ascii="Consolas" w:hAnsi="Consolas" w:cs="Consolas"/>
          <w:b w:val="0"/>
          <w:i w:val="0"/>
          <w:sz w:val="15"/>
        </w:rPr>
        <w:t>status TEXT DEFAULT 'ACTIVE', -- 'ACTIVE', 'EXPIRED', 'REVOKED'</w:t>
      </w:r>
    </w:p>
    <w:p>
      <w:pPr>
        <w:spacing w:after="0" w:before="0" w:line="240" w:lineRule="auto"/>
        <w:ind w:left="57"/>
        <w:jc w:val="left"/>
        <w:shd w:val="clear" w:fill="F2F2F2"/>
      </w:pPr>
      <w:r>
        <w:rPr>
          <w:rFonts w:ascii="Consolas" w:hAnsi="Consolas" w:cs="Consolas"/>
          <w:b w:val="0"/>
          <w:i w:val="0"/>
          <w:sz w:val="15"/>
        </w:rPr>
        <w:t>uploaded_by UUID REFERENCES employees(id)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 Revoked certificates (CRL)</w:t>
      </w:r>
    </w:p>
    <w:p>
      <w:pPr>
        <w:spacing w:after="0" w:before="0" w:line="240" w:lineRule="auto"/>
        <w:ind w:left="57"/>
        <w:jc w:val="left"/>
        <w:shd w:val="clear" w:fill="F2F2F2"/>
      </w:pPr>
      <w:r>
        <w:rPr>
          <w:rFonts w:ascii="Consolas" w:hAnsi="Consolas" w:cs="Consolas"/>
          <w:b w:val="0"/>
          <w:i w:val="0"/>
          <w:sz w:val="15"/>
        </w:rPr>
        <w:t>CREATE TABLE revoked_certificates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certificate_serial TEXT NOT NULL UNIQUE,</w:t>
      </w:r>
    </w:p>
    <w:p>
      <w:pPr>
        <w:spacing w:after="0" w:before="0" w:line="240" w:lineRule="auto"/>
        <w:ind w:left="57"/>
        <w:jc w:val="left"/>
        <w:shd w:val="clear" w:fill="F2F2F2"/>
      </w:pPr>
      <w:r>
        <w:rPr>
          <w:rFonts w:ascii="Consolas" w:hAnsi="Consolas" w:cs="Consolas"/>
          <w:b w:val="0"/>
          <w:i w:val="0"/>
          <w:sz w:val="15"/>
        </w:rPr>
        <w:t>revoked_at TIMESTAMPTZ DEFAULT NOW(),</w:t>
      </w:r>
    </w:p>
    <w:p>
      <w:pPr>
        <w:spacing w:after="0" w:before="0" w:line="240" w:lineRule="auto"/>
        <w:ind w:left="57"/>
        <w:jc w:val="left"/>
        <w:shd w:val="clear" w:fill="F2F2F2"/>
      </w:pPr>
      <w:r>
        <w:rPr>
          <w:rFonts w:ascii="Consolas" w:hAnsi="Consolas" w:cs="Consolas"/>
          <w:b w:val="0"/>
          <w:i w:val="0"/>
          <w:sz w:val="15"/>
        </w:rPr>
        <w:t>reason TEXT, -- 'COMPROMISED', 'SUSPENDED', 'EXPIRED', 'SUPERSEDED'</w:t>
      </w:r>
    </w:p>
    <w:p>
      <w:pPr>
        <w:spacing w:after="0" w:before="0" w:line="240" w:lineRule="auto"/>
        <w:ind w:left="57"/>
        <w:jc w:val="left"/>
        <w:shd w:val="clear" w:fill="F2F2F2"/>
      </w:pPr>
      <w:r>
        <w:rPr>
          <w:rFonts w:ascii="Consolas" w:hAnsi="Consolas" w:cs="Consolas"/>
          <w:b w:val="0"/>
          <w:i w:val="0"/>
          <w:sz w:val="15"/>
        </w:rPr>
        <w:t>revoked_by UUID REFERENCES employees(id) ON DELETE SET NULL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17.22 Release Authorisations</w:t>
      </w:r>
    </w:p>
    <w:p>
      <w:pPr>
        <w:spacing w:after="80" w:line="293" w:lineRule="auto"/>
        <w:jc w:val="left"/>
      </w:pPr>
      <w:r>
        <w:rPr>
          <w:rFonts w:ascii="Times New Roman" w:hAnsi="Times New Roman" w:cs="Times New Roman"/>
          <w:b w:val="0"/>
          <w:i w:val="0"/>
          <w:sz w:val="22"/>
        </w:rPr>
        <w:t>Container release authorisations with digital signature and terminal binding; gate-out events; emergency release overrides with mandatory reason and Governor decision.</w:t>
      </w:r>
    </w:p>
    <w:p>
      <w:pPr>
        <w:spacing w:after="0" w:before="0" w:line="240" w:lineRule="auto"/>
        <w:ind w:left="57"/>
        <w:jc w:val="left"/>
        <w:shd w:val="clear" w:fill="F2F2F2"/>
      </w:pPr>
      <w:r>
        <w:rPr>
          <w:rFonts w:ascii="Consolas" w:hAnsi="Consolas" w:cs="Consolas"/>
          <w:b w:val="0"/>
          <w:i w:val="0"/>
          <w:sz w:val="15"/>
        </w:rPr>
        <w:t>-- Release authorisations (Container Release API)</w:t>
      </w:r>
    </w:p>
    <w:p>
      <w:pPr>
        <w:spacing w:after="0" w:before="0" w:line="240" w:lineRule="auto"/>
        <w:ind w:left="57"/>
        <w:jc w:val="left"/>
        <w:shd w:val="clear" w:fill="F2F2F2"/>
      </w:pPr>
      <w:r>
        <w:rPr>
          <w:rFonts w:ascii="Consolas" w:hAnsi="Consolas" w:cs="Consolas"/>
          <w:b w:val="0"/>
          <w:i w:val="0"/>
          <w:sz w:val="15"/>
        </w:rPr>
        <w:t>CREATE TABLE release_authorisations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container TEXT NOT NULL,</w:t>
      </w:r>
    </w:p>
    <w:p>
      <w:pPr>
        <w:spacing w:after="0" w:before="0" w:line="240" w:lineRule="auto"/>
        <w:ind w:left="57"/>
        <w:jc w:val="left"/>
        <w:shd w:val="clear" w:fill="F2F2F2"/>
      </w:pPr>
      <w:r>
        <w:rPr>
          <w:rFonts w:ascii="Consolas" w:hAnsi="Consolas" w:cs="Consolas"/>
          <w:b w:val="0"/>
          <w:i w:val="0"/>
          <w:sz w:val="15"/>
        </w:rPr>
        <w:t>authorisation_id TEXT UNIQUE NOT NULL,</w:t>
      </w:r>
    </w:p>
    <w:p>
      <w:pPr>
        <w:spacing w:after="0" w:before="0" w:line="240" w:lineRule="auto"/>
        <w:ind w:left="57"/>
        <w:jc w:val="left"/>
        <w:shd w:val="clear" w:fill="F2F2F2"/>
      </w:pPr>
      <w:r>
        <w:rPr>
          <w:rFonts w:ascii="Consolas" w:hAnsi="Consolas" w:cs="Consolas"/>
          <w:b w:val="0"/>
          <w:i w:val="0"/>
          <w:sz w:val="15"/>
        </w:rPr>
        <w:t>status TEXT DEFAULT 'PENDING', -- 'PENDING', 'AUTHORISED', 'REVOKED', 'USED', 'EXPIRED'</w:t>
      </w:r>
    </w:p>
    <w:p>
      <w:pPr>
        <w:spacing w:after="0" w:before="0" w:line="240" w:lineRule="auto"/>
        <w:ind w:left="57"/>
        <w:jc w:val="left"/>
        <w:shd w:val="clear" w:fill="F2F2F2"/>
      </w:pPr>
      <w:r>
        <w:rPr>
          <w:rFonts w:ascii="Consolas" w:hAnsi="Consolas" w:cs="Consolas"/>
          <w:b w:val="0"/>
          <w:i w:val="0"/>
          <w:sz w:val="15"/>
        </w:rPr>
        <w:t>issued_at TIMESTAMPTZ,</w:t>
      </w:r>
    </w:p>
    <w:p>
      <w:pPr>
        <w:spacing w:after="0" w:before="0" w:line="240" w:lineRule="auto"/>
        <w:ind w:left="57"/>
        <w:jc w:val="left"/>
        <w:shd w:val="clear" w:fill="F2F2F2"/>
      </w:pPr>
      <w:r>
        <w:rPr>
          <w:rFonts w:ascii="Consolas" w:hAnsi="Consolas" w:cs="Consolas"/>
          <w:b w:val="0"/>
          <w:i w:val="0"/>
          <w:sz w:val="15"/>
        </w:rPr>
        <w:t>valid_until TIMESTAMPTZ,</w:t>
      </w:r>
    </w:p>
    <w:p>
      <w:pPr>
        <w:spacing w:after="0" w:before="0" w:line="240" w:lineRule="auto"/>
        <w:ind w:left="57"/>
        <w:jc w:val="left"/>
        <w:shd w:val="clear" w:fill="F2F2F2"/>
      </w:pPr>
      <w:r>
        <w:rPr>
          <w:rFonts w:ascii="Consolas" w:hAnsi="Consolas" w:cs="Consolas"/>
          <w:b w:val="0"/>
          <w:i w:val="0"/>
          <w:sz w:val="15"/>
        </w:rPr>
        <w:t>used_at TIMESTAMPTZ,</w:t>
      </w:r>
    </w:p>
    <w:p>
      <w:pPr>
        <w:spacing w:after="0" w:before="0" w:line="240" w:lineRule="auto"/>
        <w:ind w:left="57"/>
        <w:jc w:val="left"/>
        <w:shd w:val="clear" w:fill="F2F2F2"/>
      </w:pPr>
      <w:r>
        <w:rPr>
          <w:rFonts w:ascii="Consolas" w:hAnsi="Consolas" w:cs="Consolas"/>
          <w:b w:val="0"/>
          <w:i w:val="0"/>
          <w:sz w:val="15"/>
        </w:rPr>
        <w:t>revoked_at TIMESTAMPTZ,</w:t>
      </w:r>
    </w:p>
    <w:p>
      <w:pPr>
        <w:spacing w:after="0" w:before="0" w:line="240" w:lineRule="auto"/>
        <w:ind w:left="57"/>
        <w:jc w:val="left"/>
        <w:shd w:val="clear" w:fill="F2F2F2"/>
      </w:pPr>
      <w:r>
        <w:rPr>
          <w:rFonts w:ascii="Consolas" w:hAnsi="Consolas" w:cs="Consolas"/>
          <w:b w:val="0"/>
          <w:i w:val="0"/>
          <w:sz w:val="15"/>
        </w:rPr>
        <w:t>revocation_reason TEXT,</w:t>
      </w:r>
    </w:p>
    <w:p>
      <w:pPr>
        <w:spacing w:after="0" w:before="0" w:line="240" w:lineRule="auto"/>
        <w:ind w:left="57"/>
        <w:jc w:val="left"/>
        <w:shd w:val="clear" w:fill="F2F2F2"/>
      </w:pPr>
      <w:r>
        <w:rPr>
          <w:rFonts w:ascii="Consolas" w:hAnsi="Consolas" w:cs="Consolas"/>
          <w:b w:val="0"/>
          <w:i w:val="0"/>
          <w:sz w:val="15"/>
        </w:rPr>
        <w:t>digital_signature TEXT,</w:t>
      </w:r>
    </w:p>
    <w:p>
      <w:pPr>
        <w:spacing w:after="0" w:before="0" w:line="240" w:lineRule="auto"/>
        <w:ind w:left="57"/>
        <w:jc w:val="left"/>
        <w:shd w:val="clear" w:fill="F2F2F2"/>
      </w:pPr>
      <w:r>
        <w:rPr>
          <w:rFonts w:ascii="Consolas" w:hAnsi="Consolas" w:cs="Consolas"/>
          <w:b w:val="0"/>
          <w:i w:val="0"/>
          <w:sz w:val="15"/>
        </w:rPr>
        <w:t>request_id TEXT,</w:t>
      </w:r>
    </w:p>
    <w:p>
      <w:pPr>
        <w:spacing w:after="0" w:before="0" w:line="240" w:lineRule="auto"/>
        <w:ind w:left="57"/>
        <w:jc w:val="left"/>
        <w:shd w:val="clear" w:fill="F2F2F2"/>
      </w:pPr>
      <w:r>
        <w:rPr>
          <w:rFonts w:ascii="Consolas" w:hAnsi="Consolas" w:cs="Consolas"/>
          <w:b w:val="0"/>
          <w:i w:val="0"/>
          <w:sz w:val="15"/>
        </w:rPr>
        <w:t>terminal_gtid TEXT,</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Gate-out events</w:t>
      </w:r>
    </w:p>
    <w:p>
      <w:pPr>
        <w:spacing w:after="0" w:before="0" w:line="240" w:lineRule="auto"/>
        <w:ind w:left="57"/>
        <w:jc w:val="left"/>
        <w:shd w:val="clear" w:fill="F2F2F2"/>
      </w:pPr>
      <w:r>
        <w:rPr>
          <w:rFonts w:ascii="Consolas" w:hAnsi="Consolas" w:cs="Consolas"/>
          <w:b w:val="0"/>
          <w:i w:val="0"/>
          <w:sz w:val="15"/>
        </w:rPr>
        <w:t>CREATE TABLE gate_out_events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container TEXT NOT NULL,</w:t>
      </w:r>
    </w:p>
    <w:p>
      <w:pPr>
        <w:spacing w:after="0" w:before="0" w:line="240" w:lineRule="auto"/>
        <w:ind w:left="57"/>
        <w:jc w:val="left"/>
        <w:shd w:val="clear" w:fill="F2F2F2"/>
      </w:pPr>
      <w:r>
        <w:rPr>
          <w:rFonts w:ascii="Consolas" w:hAnsi="Consolas" w:cs="Consolas"/>
          <w:b w:val="0"/>
          <w:i w:val="0"/>
          <w:sz w:val="15"/>
        </w:rPr>
        <w:t>authorisation_id TEXT NOT NULL REFERENCES release_authorisations(authorisation_id) ON DELETE</w:t>
      </w:r>
    </w:p>
    <w:p>
      <w:pPr>
        <w:spacing w:after="0" w:before="0" w:line="240" w:lineRule="auto"/>
        <w:ind w:left="57"/>
        <w:jc w:val="left"/>
        <w:shd w:val="clear" w:fill="F2F2F2"/>
      </w:pPr>
      <w:r>
        <w:rPr>
          <w:rFonts w:ascii="Consolas" w:hAnsi="Consolas" w:cs="Consolas"/>
          <w:b w:val="0"/>
          <w:i w:val="0"/>
          <w:sz w:val="15"/>
        </w:rPr>
        <w:t>CASCADE,</w:t>
      </w:r>
    </w:p>
    <w:p>
      <w:pPr>
        <w:spacing w:after="0" w:before="0" w:line="240" w:lineRule="auto"/>
        <w:ind w:left="57"/>
        <w:jc w:val="left"/>
        <w:shd w:val="clear" w:fill="F2F2F2"/>
      </w:pPr>
      <w:r>
        <w:rPr>
          <w:rFonts w:ascii="Consolas" w:hAnsi="Consolas" w:cs="Consolas"/>
          <w:b w:val="0"/>
          <w:i w:val="0"/>
          <w:sz w:val="15"/>
        </w:rPr>
        <w:t>gate_out_time TIMESTAMPTZ NOT NULL,</w:t>
      </w:r>
    </w:p>
    <w:p>
      <w:pPr>
        <w:spacing w:after="0" w:before="0" w:line="240" w:lineRule="auto"/>
        <w:ind w:left="57"/>
        <w:jc w:val="left"/>
        <w:shd w:val="clear" w:fill="F2F2F2"/>
      </w:pPr>
      <w:r>
        <w:rPr>
          <w:rFonts w:ascii="Consolas" w:hAnsi="Consolas" w:cs="Consolas"/>
          <w:b w:val="0"/>
          <w:i w:val="0"/>
          <w:sz w:val="15"/>
        </w:rPr>
        <w:t>operator_id TEXT,</w:t>
      </w:r>
    </w:p>
    <w:p>
      <w:pPr>
        <w:spacing w:after="0" w:before="0" w:line="240" w:lineRule="auto"/>
        <w:ind w:left="57"/>
        <w:jc w:val="left"/>
        <w:shd w:val="clear" w:fill="F2F2F2"/>
      </w:pPr>
      <w:r>
        <w:rPr>
          <w:rFonts w:ascii="Consolas" w:hAnsi="Consolas" w:cs="Consolas"/>
          <w:b w:val="0"/>
          <w:i w:val="0"/>
          <w:sz w:val="15"/>
        </w:rPr>
        <w:t>terminal_gtid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Release overrides (emergency only)</w:t>
      </w:r>
    </w:p>
    <w:p>
      <w:pPr>
        <w:spacing w:after="0" w:before="0" w:line="240" w:lineRule="auto"/>
        <w:ind w:left="57"/>
        <w:jc w:val="left"/>
        <w:shd w:val="clear" w:fill="F2F2F2"/>
      </w:pPr>
      <w:r>
        <w:rPr>
          <w:rFonts w:ascii="Consolas" w:hAnsi="Consolas" w:cs="Consolas"/>
          <w:b w:val="0"/>
          <w:i w:val="0"/>
          <w:sz w:val="15"/>
        </w:rPr>
        <w:t xml:space="preserve"> CREATE TABLE release_overrides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container TEXT NOT NULL,</w:t>
      </w:r>
    </w:p>
    <w:p>
      <w:pPr>
        <w:spacing w:after="0" w:before="0" w:line="240" w:lineRule="auto"/>
        <w:ind w:left="57"/>
        <w:jc w:val="left"/>
        <w:shd w:val="clear" w:fill="F2F2F2"/>
      </w:pPr>
      <w:r>
        <w:rPr>
          <w:rFonts w:ascii="Consolas" w:hAnsi="Consolas" w:cs="Consolas"/>
          <w:b w:val="0"/>
          <w:i w:val="0"/>
          <w:sz w:val="15"/>
        </w:rPr>
        <w:t>override_token TEXT UNIQUE NOT NULL,</w:t>
      </w:r>
    </w:p>
    <w:p>
      <w:pPr>
        <w:spacing w:after="0" w:before="0" w:line="240" w:lineRule="auto"/>
        <w:ind w:left="57"/>
        <w:jc w:val="left"/>
        <w:shd w:val="clear" w:fill="F2F2F2"/>
      </w:pPr>
      <w:r>
        <w:rPr>
          <w:rFonts w:ascii="Consolas" w:hAnsi="Consolas" w:cs="Consolas"/>
          <w:b w:val="0"/>
          <w:i w:val="0"/>
          <w:sz w:val="15"/>
        </w:rPr>
        <w:t>issued_by UUID REFERENCES employees(id) ON DELETE SET NULL,</w:t>
      </w:r>
    </w:p>
    <w:p>
      <w:pPr>
        <w:spacing w:after="0" w:before="0" w:line="240" w:lineRule="auto"/>
        <w:ind w:left="57"/>
        <w:jc w:val="left"/>
        <w:shd w:val="clear" w:fill="F2F2F2"/>
      </w:pPr>
      <w:r>
        <w:rPr>
          <w:rFonts w:ascii="Consolas" w:hAnsi="Consolas" w:cs="Consolas"/>
          <w:b w:val="0"/>
          <w:i w:val="0"/>
          <w:sz w:val="15"/>
        </w:rPr>
        <w:t>issued_at TIMESTAMPTZ DEFAULT NOW(),</w:t>
      </w:r>
    </w:p>
    <w:p>
      <w:pPr>
        <w:spacing w:after="0" w:before="0" w:line="240" w:lineRule="auto"/>
        <w:ind w:left="57"/>
        <w:jc w:val="left"/>
        <w:shd w:val="clear" w:fill="F2F2F2"/>
      </w:pPr>
      <w:r>
        <w:rPr>
          <w:rFonts w:ascii="Consolas" w:hAnsi="Consolas" w:cs="Consolas"/>
          <w:b w:val="0"/>
          <w:i w:val="0"/>
          <w:sz w:val="15"/>
        </w:rPr>
        <w:t>valid_until TIMESTAMPTZ NOT NULL,</w:t>
      </w:r>
    </w:p>
    <w:p>
      <w:pPr>
        <w:spacing w:after="0" w:before="0" w:line="240" w:lineRule="auto"/>
        <w:ind w:left="57"/>
        <w:jc w:val="left"/>
        <w:shd w:val="clear" w:fill="F2F2F2"/>
      </w:pPr>
      <w:r>
        <w:rPr>
          <w:rFonts w:ascii="Consolas" w:hAnsi="Consolas" w:cs="Consolas"/>
          <w:b w:val="0"/>
          <w:i w:val="0"/>
          <w:sz w:val="15"/>
        </w:rPr>
        <w:t>used_at TIMESTAMPTZ,</w:t>
      </w:r>
    </w:p>
    <w:p>
      <w:pPr>
        <w:spacing w:after="0" w:before="0" w:line="240" w:lineRule="auto"/>
        <w:ind w:left="57"/>
        <w:jc w:val="left"/>
        <w:shd w:val="clear" w:fill="F2F2F2"/>
      </w:pPr>
      <w:r>
        <w:rPr>
          <w:rFonts w:ascii="Consolas" w:hAnsi="Consolas" w:cs="Consolas"/>
          <w:b w:val="0"/>
          <w:i w:val="0"/>
          <w:sz w:val="15"/>
        </w:rPr>
        <w:t>reason TEXT NOT NULL,</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17.23 Marketplace Partners</w:t>
      </w:r>
    </w:p>
    <w:p>
      <w:pPr>
        <w:spacing w:after="80" w:line="293" w:lineRule="auto"/>
        <w:jc w:val="left"/>
      </w:pPr>
      <w:r>
        <w:rPr>
          <w:rFonts w:ascii="Times New Roman" w:hAnsi="Times New Roman" w:cs="Times New Roman"/>
          <w:b w:val="0"/>
          <w:i w:val="0"/>
          <w:sz w:val="22"/>
        </w:rPr>
        <w:t>Partner identity with hashed API keys, revenue share, IP whitelist, and sandbox; per-endpoint rate limits; webhook delivery logs; sandbox lead parsing with viability score.</w:t>
      </w:r>
    </w:p>
    <w:p>
      <w:pPr>
        <w:spacing w:after="0" w:before="0" w:line="240" w:lineRule="auto"/>
        <w:ind w:left="57"/>
        <w:jc w:val="left"/>
        <w:shd w:val="clear" w:fill="F2F2F2"/>
      </w:pPr>
      <w:r>
        <w:rPr>
          <w:rFonts w:ascii="Consolas" w:hAnsi="Consolas" w:cs="Consolas"/>
          <w:b w:val="0"/>
          <w:i w:val="0"/>
          <w:sz w:val="15"/>
        </w:rPr>
        <w:t>-- Marketplace partners</w:t>
      </w:r>
    </w:p>
    <w:p>
      <w:pPr>
        <w:spacing w:after="0" w:before="0" w:line="240" w:lineRule="auto"/>
        <w:ind w:left="57"/>
        <w:jc w:val="left"/>
        <w:shd w:val="clear" w:fill="F2F2F2"/>
      </w:pPr>
      <w:r>
        <w:rPr>
          <w:rFonts w:ascii="Consolas" w:hAnsi="Consolas" w:cs="Consolas"/>
          <w:b w:val="0"/>
          <w:i w:val="0"/>
          <w:sz w:val="15"/>
        </w:rPr>
        <w:t>CREATE TABLE marketplace_partners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partner_name TEXT NOT NULL,</w:t>
      </w:r>
    </w:p>
    <w:p>
      <w:pPr>
        <w:spacing w:after="0" w:before="0" w:line="240" w:lineRule="auto"/>
        <w:ind w:left="57"/>
        <w:jc w:val="left"/>
        <w:shd w:val="clear" w:fill="F2F2F2"/>
      </w:pPr>
      <w:r>
        <w:rPr>
          <w:rFonts w:ascii="Consolas" w:hAnsi="Consolas" w:cs="Consolas"/>
          <w:b w:val="0"/>
          <w:i w:val="0"/>
          <w:sz w:val="15"/>
        </w:rPr>
        <w:t>api_key_hash TEXT NOT NULL,</w:t>
      </w:r>
    </w:p>
    <w:p>
      <w:pPr>
        <w:spacing w:after="0" w:before="0" w:line="240" w:lineRule="auto"/>
        <w:ind w:left="57"/>
        <w:jc w:val="left"/>
        <w:shd w:val="clear" w:fill="F2F2F2"/>
      </w:pPr>
      <w:r>
        <w:rPr>
          <w:rFonts w:ascii="Consolas" w:hAnsi="Consolas" w:cs="Consolas"/>
          <w:b w:val="0"/>
          <w:i w:val="0"/>
          <w:sz w:val="15"/>
        </w:rPr>
        <w:t>revenue_share_percent DECIMAL(3,2),</w:t>
      </w:r>
    </w:p>
    <w:p>
      <w:pPr>
        <w:spacing w:after="0" w:before="0" w:line="240" w:lineRule="auto"/>
        <w:ind w:left="57"/>
        <w:jc w:val="left"/>
        <w:shd w:val="clear" w:fill="F2F2F2"/>
      </w:pPr>
      <w:r>
        <w:rPr>
          <w:rFonts w:ascii="Consolas" w:hAnsi="Consolas" w:cs="Consolas"/>
          <w:b w:val="0"/>
          <w:i w:val="0"/>
          <w:sz w:val="15"/>
        </w:rPr>
        <w:t>active BOOLEAN DEFAULT true,</w:t>
      </w:r>
    </w:p>
    <w:p>
      <w:pPr>
        <w:spacing w:after="0" w:before="0" w:line="240" w:lineRule="auto"/>
        <w:ind w:left="57"/>
        <w:jc w:val="left"/>
        <w:shd w:val="clear" w:fill="F2F2F2"/>
      </w:pPr>
      <w:r>
        <w:rPr>
          <w:rFonts w:ascii="Consolas" w:hAnsi="Consolas" w:cs="Consolas"/>
          <w:b w:val="0"/>
          <w:i w:val="0"/>
          <w:sz w:val="15"/>
        </w:rPr>
        <w:t>api_key_encrypted TEXT,</w:t>
      </w:r>
    </w:p>
    <w:p>
      <w:pPr>
        <w:spacing w:after="0" w:before="0" w:line="240" w:lineRule="auto"/>
        <w:ind w:left="57"/>
        <w:jc w:val="left"/>
        <w:shd w:val="clear" w:fill="F2F2F2"/>
      </w:pPr>
      <w:r>
        <w:rPr>
          <w:rFonts w:ascii="Consolas" w:hAnsi="Consolas" w:cs="Consolas"/>
          <w:b w:val="0"/>
          <w:i w:val="0"/>
          <w:sz w:val="15"/>
        </w:rPr>
        <w:t>api_key_created_at TIMESTAMPTZ,</w:t>
      </w:r>
    </w:p>
    <w:p>
      <w:pPr>
        <w:spacing w:after="0" w:before="0" w:line="240" w:lineRule="auto"/>
        <w:ind w:left="57"/>
        <w:jc w:val="left"/>
        <w:shd w:val="clear" w:fill="F2F2F2"/>
      </w:pPr>
      <w:r>
        <w:rPr>
          <w:rFonts w:ascii="Consolas" w:hAnsi="Consolas" w:cs="Consolas"/>
          <w:b w:val="0"/>
          <w:i w:val="0"/>
          <w:sz w:val="15"/>
        </w:rPr>
        <w:t>api_key_last_used TIMESTAMPTZ,</w:t>
      </w:r>
    </w:p>
    <w:p>
      <w:pPr>
        <w:spacing w:after="0" w:before="0" w:line="240" w:lineRule="auto"/>
        <w:ind w:left="57"/>
        <w:jc w:val="left"/>
        <w:shd w:val="clear" w:fill="F2F2F2"/>
      </w:pPr>
      <w:r>
        <w:rPr>
          <w:rFonts w:ascii="Consolas" w:hAnsi="Consolas" w:cs="Consolas"/>
          <w:b w:val="0"/>
          <w:i w:val="0"/>
          <w:sz w:val="15"/>
        </w:rPr>
        <w:t>ip_whitelist TEXT[],</w:t>
      </w:r>
    </w:p>
    <w:p>
      <w:pPr>
        <w:spacing w:after="0" w:before="0" w:line="240" w:lineRule="auto"/>
        <w:ind w:left="57"/>
        <w:jc w:val="left"/>
        <w:shd w:val="clear" w:fill="F2F2F2"/>
      </w:pPr>
      <w:r>
        <w:rPr>
          <w:rFonts w:ascii="Consolas" w:hAnsi="Consolas" w:cs="Consolas"/>
          <w:b w:val="0"/>
          <w:i w:val="0"/>
          <w:sz w:val="15"/>
        </w:rPr>
        <w:t>sandbox_enabled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Partner rate limits</w:t>
      </w:r>
    </w:p>
    <w:p>
      <w:pPr>
        <w:spacing w:after="0" w:before="0" w:line="240" w:lineRule="auto"/>
        <w:ind w:left="57"/>
        <w:jc w:val="left"/>
        <w:shd w:val="clear" w:fill="F2F2F2"/>
      </w:pPr>
      <w:r>
        <w:rPr>
          <w:rFonts w:ascii="Consolas" w:hAnsi="Consolas" w:cs="Consolas"/>
          <w:b w:val="0"/>
          <w:i w:val="0"/>
          <w:sz w:val="15"/>
        </w:rPr>
        <w:t>CREATE TABLE partner_rate_limits (</w:t>
      </w:r>
    </w:p>
    <w:p>
      <w:pPr>
        <w:spacing w:after="0" w:before="0" w:line="240" w:lineRule="auto"/>
        <w:ind w:left="57"/>
        <w:jc w:val="left"/>
        <w:shd w:val="clear" w:fill="F2F2F2"/>
      </w:pPr>
      <w:r>
        <w:rPr>
          <w:rFonts w:ascii="Consolas" w:hAnsi="Consolas" w:cs="Consolas"/>
          <w:b w:val="0"/>
          <w:i w:val="0"/>
          <w:sz w:val="15"/>
        </w:rPr>
        <w:t>partner_id UUID NOT NULL REFERENCES marketplace_partners(id) ON DELETE CASCADE,</w:t>
      </w:r>
    </w:p>
    <w:p>
      <w:pPr>
        <w:spacing w:after="0" w:before="0" w:line="240" w:lineRule="auto"/>
        <w:ind w:left="57"/>
        <w:jc w:val="left"/>
        <w:shd w:val="clear" w:fill="F2F2F2"/>
      </w:pPr>
      <w:r>
        <w:rPr>
          <w:rFonts w:ascii="Consolas" w:hAnsi="Consolas" w:cs="Consolas"/>
          <w:b w:val="0"/>
          <w:i w:val="0"/>
          <w:sz w:val="15"/>
        </w:rPr>
        <w:t>endpoint TEXT NOT NULL,</w:t>
      </w:r>
    </w:p>
    <w:p>
      <w:pPr>
        <w:spacing w:after="0" w:before="0" w:line="240" w:lineRule="auto"/>
        <w:ind w:left="57"/>
        <w:jc w:val="left"/>
        <w:shd w:val="clear" w:fill="F2F2F2"/>
      </w:pPr>
      <w:r>
        <w:rPr>
          <w:rFonts w:ascii="Consolas" w:hAnsi="Consolas" w:cs="Consolas"/>
          <w:b w:val="0"/>
          <w:i w:val="0"/>
          <w:sz w:val="15"/>
        </w:rPr>
        <w:t>limit_per_window INTEGER NOT NULL,</w:t>
      </w:r>
    </w:p>
    <w:p>
      <w:pPr>
        <w:spacing w:after="0" w:before="0" w:line="240" w:lineRule="auto"/>
        <w:ind w:left="57"/>
        <w:jc w:val="left"/>
        <w:shd w:val="clear" w:fill="F2F2F2"/>
      </w:pPr>
      <w:r>
        <w:rPr>
          <w:rFonts w:ascii="Consolas" w:hAnsi="Consolas" w:cs="Consolas"/>
          <w:b w:val="0"/>
          <w:i w:val="0"/>
          <w:sz w:val="15"/>
        </w:rPr>
        <w:t>window_seconds INTEGER NOT NULL,</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PRIMARY KEY (partner_id, endpoint)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Webhook delivery logs</w:t>
      </w:r>
    </w:p>
    <w:p>
      <w:pPr>
        <w:spacing w:after="0" w:before="0" w:line="240" w:lineRule="auto"/>
        <w:ind w:left="57"/>
        <w:jc w:val="left"/>
        <w:shd w:val="clear" w:fill="F2F2F2"/>
      </w:pPr>
      <w:r>
        <w:rPr>
          <w:rFonts w:ascii="Consolas" w:hAnsi="Consolas" w:cs="Consolas"/>
          <w:b w:val="0"/>
          <w:i w:val="0"/>
          <w:sz w:val="15"/>
        </w:rPr>
        <w:t>CREATE TABLE webhook_delivery_logs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partner_id UUID NOT NULL REFERENCES marketplace_partners(id) ON DELETE CASCADE,</w:t>
      </w:r>
    </w:p>
    <w:p>
      <w:pPr>
        <w:spacing w:after="0" w:before="0" w:line="240" w:lineRule="auto"/>
        <w:ind w:left="57"/>
        <w:jc w:val="left"/>
        <w:shd w:val="clear" w:fill="F2F2F2"/>
      </w:pPr>
      <w:r>
        <w:rPr>
          <w:rFonts w:ascii="Consolas" w:hAnsi="Consolas" w:cs="Consolas"/>
          <w:b w:val="0"/>
          <w:i w:val="0"/>
          <w:sz w:val="15"/>
        </w:rPr>
        <w:t>endpoint_url TEXT NOT NULL,</w:t>
      </w:r>
    </w:p>
    <w:p>
      <w:pPr>
        <w:spacing w:after="0" w:before="0" w:line="240" w:lineRule="auto"/>
        <w:ind w:left="57"/>
        <w:jc w:val="left"/>
        <w:shd w:val="clear" w:fill="F2F2F2"/>
      </w:pPr>
      <w:r>
        <w:rPr>
          <w:rFonts w:ascii="Consolas" w:hAnsi="Consolas" w:cs="Consolas"/>
          <w:b w:val="0"/>
          <w:i w:val="0"/>
          <w:sz w:val="15"/>
        </w:rPr>
        <w:t>event_type TEXT NOT NULL,</w:t>
      </w:r>
    </w:p>
    <w:p>
      <w:pPr>
        <w:spacing w:after="0" w:before="0" w:line="240" w:lineRule="auto"/>
        <w:ind w:left="57"/>
        <w:jc w:val="left"/>
        <w:shd w:val="clear" w:fill="F2F2F2"/>
      </w:pPr>
      <w:r>
        <w:rPr>
          <w:rFonts w:ascii="Consolas" w:hAnsi="Consolas" w:cs="Consolas"/>
          <w:b w:val="0"/>
          <w:i w:val="0"/>
          <w:sz w:val="15"/>
        </w:rPr>
        <w:t>payload JSONB,</w:t>
      </w:r>
    </w:p>
    <w:p>
      <w:pPr>
        <w:spacing w:after="0" w:before="0" w:line="240" w:lineRule="auto"/>
        <w:ind w:left="57"/>
        <w:jc w:val="left"/>
        <w:shd w:val="clear" w:fill="F2F2F2"/>
      </w:pPr>
      <w:r>
        <w:rPr>
          <w:rFonts w:ascii="Consolas" w:hAnsi="Consolas" w:cs="Consolas"/>
          <w:b w:val="0"/>
          <w:i w:val="0"/>
          <w:sz w:val="15"/>
        </w:rPr>
        <w:t>response_status INTEGER,</w:t>
      </w:r>
    </w:p>
    <w:p>
      <w:pPr>
        <w:spacing w:after="0" w:before="0" w:line="240" w:lineRule="auto"/>
        <w:ind w:left="57"/>
        <w:jc w:val="left"/>
        <w:shd w:val="clear" w:fill="F2F2F2"/>
      </w:pPr>
      <w:r>
        <w:rPr>
          <w:rFonts w:ascii="Consolas" w:hAnsi="Consolas" w:cs="Consolas"/>
          <w:b w:val="0"/>
          <w:i w:val="0"/>
          <w:sz w:val="15"/>
        </w:rPr>
        <w:t>response_body TEXT,</w:t>
      </w:r>
    </w:p>
    <w:p>
      <w:pPr>
        <w:spacing w:after="0" w:before="0" w:line="240" w:lineRule="auto"/>
        <w:ind w:left="57"/>
        <w:jc w:val="left"/>
        <w:shd w:val="clear" w:fill="F2F2F2"/>
      </w:pPr>
      <w:r>
        <w:rPr>
          <w:rFonts w:ascii="Consolas" w:hAnsi="Consolas" w:cs="Consolas"/>
          <w:b w:val="0"/>
          <w:i w:val="0"/>
          <w:sz w:val="15"/>
        </w:rPr>
        <w:t>duration_ms INTEGER,</w:t>
      </w:r>
    </w:p>
    <w:p>
      <w:pPr>
        <w:spacing w:after="0" w:before="0" w:line="240" w:lineRule="auto"/>
        <w:ind w:left="57"/>
        <w:jc w:val="left"/>
        <w:shd w:val="clear" w:fill="F2F2F2"/>
      </w:pPr>
      <w:r>
        <w:rPr>
          <w:rFonts w:ascii="Consolas" w:hAnsi="Consolas" w:cs="Consolas"/>
          <w:b w:val="0"/>
          <w:i w:val="0"/>
          <w:sz w:val="15"/>
        </w:rPr>
        <w:t>success BOOLEAN,</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Partner sandbox leads</w:t>
      </w:r>
    </w:p>
    <w:p>
      <w:pPr>
        <w:spacing w:after="0" w:before="0" w:line="240" w:lineRule="auto"/>
        <w:ind w:left="57"/>
        <w:jc w:val="left"/>
        <w:shd w:val="clear" w:fill="F2F2F2"/>
      </w:pPr>
      <w:r>
        <w:rPr>
          <w:rFonts w:ascii="Consolas" w:hAnsi="Consolas" w:cs="Consolas"/>
          <w:b w:val="0"/>
          <w:i w:val="0"/>
          <w:sz w:val="15"/>
        </w:rPr>
        <w:t>CREATE TABLE partner_sandbox_leads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partner_id UUID NOT NULL REFERENCES marketplace_partners(id) ON DELETE CASCADE,</w:t>
      </w:r>
    </w:p>
    <w:p>
      <w:pPr>
        <w:spacing w:after="0" w:before="0" w:line="240" w:lineRule="auto"/>
        <w:ind w:left="57"/>
        <w:jc w:val="left"/>
        <w:shd w:val="clear" w:fill="F2F2F2"/>
      </w:pPr>
      <w:r>
        <w:rPr>
          <w:rFonts w:ascii="Consolas" w:hAnsi="Consolas" w:cs="Consolas"/>
          <w:b w:val="0"/>
          <w:i w:val="0"/>
          <w:sz w:val="15"/>
        </w:rPr>
        <w:t>raw_text TEXT,</w:t>
      </w:r>
    </w:p>
    <w:p>
      <w:pPr>
        <w:spacing w:after="0" w:before="0" w:line="240" w:lineRule="auto"/>
        <w:ind w:left="57"/>
        <w:jc w:val="left"/>
        <w:shd w:val="clear" w:fill="F2F2F2"/>
      </w:pPr>
      <w:r>
        <w:rPr>
          <w:rFonts w:ascii="Consolas" w:hAnsi="Consolas" w:cs="Consolas"/>
          <w:b w:val="0"/>
          <w:i w:val="0"/>
          <w:sz w:val="15"/>
        </w:rPr>
        <w:t>parsed_specs JSONB,</w:t>
      </w:r>
    </w:p>
    <w:p>
      <w:pPr>
        <w:spacing w:after="0" w:before="0" w:line="240" w:lineRule="auto"/>
        <w:ind w:left="57"/>
        <w:jc w:val="left"/>
        <w:shd w:val="clear" w:fill="F2F2F2"/>
      </w:pPr>
      <w:r>
        <w:rPr>
          <w:rFonts w:ascii="Consolas" w:hAnsi="Consolas" w:cs="Consolas"/>
          <w:b w:val="0"/>
          <w:i w:val="0"/>
          <w:sz w:val="15"/>
        </w:rPr>
        <w:t>viability_score INTEGER,</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expires_at TIMESTAMPTZ DEFAULT NOW() + INTERVAL '7 days'</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17.24 Saved Contacts &amp; Network</w:t>
      </w:r>
    </w:p>
    <w:p>
      <w:pPr>
        <w:spacing w:after="80" w:line="293" w:lineRule="auto"/>
        <w:jc w:val="left"/>
      </w:pPr>
      <w:r>
        <w:rPr>
          <w:rFonts w:ascii="Times New Roman" w:hAnsi="Times New Roman" w:cs="Times New Roman"/>
          <w:b w:val="0"/>
          <w:i w:val="0"/>
          <w:sz w:val="22"/>
        </w:rPr>
        <w:t>The relationship-controlled network: saved contacts with relationship type, trade statistics, trust snapshot, health score, smart labels, and indirect connections; per-user shipment notes; saved views.</w:t>
      </w:r>
    </w:p>
    <w:p>
      <w:pPr>
        <w:spacing w:after="0" w:before="0" w:line="240" w:lineRule="auto"/>
        <w:ind w:left="57"/>
        <w:jc w:val="left"/>
        <w:shd w:val="clear" w:fill="F2F2F2"/>
      </w:pPr>
      <w:r>
        <w:rPr>
          <w:rFonts w:ascii="Consolas" w:hAnsi="Consolas" w:cs="Consolas"/>
          <w:b w:val="0"/>
          <w:i w:val="0"/>
          <w:sz w:val="15"/>
        </w:rPr>
        <w:t>-- Saved contacts (Network feature)</w:t>
      </w:r>
    </w:p>
    <w:p>
      <w:pPr>
        <w:spacing w:after="0" w:before="0" w:line="240" w:lineRule="auto"/>
        <w:ind w:left="57"/>
        <w:jc w:val="left"/>
        <w:shd w:val="clear" w:fill="F2F2F2"/>
      </w:pPr>
      <w:r>
        <w:rPr>
          <w:rFonts w:ascii="Consolas" w:hAnsi="Consolas" w:cs="Consolas"/>
          <w:b w:val="0"/>
          <w:i w:val="0"/>
          <w:sz w:val="15"/>
        </w:rPr>
        <w:t>CREATE TABLE tenant_contacts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contact_gtid TEXT NOT NULL REFERENCES tenants(gtid) ON DELETE CASCADE,</w:t>
      </w:r>
    </w:p>
    <w:p>
      <w:pPr>
        <w:spacing w:after="0" w:before="0" w:line="240" w:lineRule="auto"/>
        <w:ind w:left="57"/>
        <w:jc w:val="left"/>
        <w:shd w:val="clear" w:fill="F2F2F2"/>
      </w:pPr>
      <w:r>
        <w:rPr>
          <w:rFonts w:ascii="Consolas" w:hAnsi="Consolas" w:cs="Consolas"/>
          <w:b w:val="0"/>
          <w:i w:val="0"/>
          <w:sz w:val="15"/>
        </w:rPr>
        <w:t>relationship_type TEXT, -- 'BUYER', 'SUPPLIER', 'LOGISTICS_PROVIDER', 'FINANCIER', 'QC_PROVIDER',</w:t>
      </w:r>
    </w:p>
    <w:p>
      <w:pPr>
        <w:spacing w:after="0" w:before="0" w:line="240" w:lineRule="auto"/>
        <w:ind w:left="57"/>
        <w:jc w:val="left"/>
        <w:shd w:val="clear" w:fill="F2F2F2"/>
      </w:pPr>
      <w:r>
        <w:rPr>
          <w:rFonts w:ascii="Consolas" w:hAnsi="Consolas" w:cs="Consolas"/>
          <w:b w:val="0"/>
          <w:i w:val="0"/>
          <w:sz w:val="15"/>
        </w:rPr>
        <w:t>'INSURER', 'GENERAL'</w:t>
      </w:r>
    </w:p>
    <w:p>
      <w:pPr>
        <w:spacing w:after="0" w:before="0" w:line="240" w:lineRule="auto"/>
        <w:ind w:left="57"/>
        <w:jc w:val="left"/>
        <w:shd w:val="clear" w:fill="F2F2F2"/>
      </w:pPr>
      <w:r>
        <w:rPr>
          <w:rFonts w:ascii="Consolas" w:hAnsi="Consolas" w:cs="Consolas"/>
          <w:b w:val="0"/>
          <w:i w:val="0"/>
          <w:sz w:val="15"/>
        </w:rPr>
        <w:t>trade_count INTEGER DEFAULT 0,</w:t>
      </w:r>
    </w:p>
    <w:p>
      <w:pPr>
        <w:spacing w:after="0" w:before="0" w:line="240" w:lineRule="auto"/>
        <w:ind w:left="57"/>
        <w:jc w:val="left"/>
        <w:shd w:val="clear" w:fill="F2F2F2"/>
      </w:pPr>
      <w:r>
        <w:rPr>
          <w:rFonts w:ascii="Consolas" w:hAnsi="Consolas" w:cs="Consolas"/>
          <w:b w:val="0"/>
          <w:i w:val="0"/>
          <w:sz w:val="15"/>
        </w:rPr>
        <w:t>total_value DECIMAL(20,4) DEFAULT 0,</w:t>
      </w:r>
    </w:p>
    <w:p>
      <w:pPr>
        <w:spacing w:after="0" w:before="0" w:line="240" w:lineRule="auto"/>
        <w:ind w:left="57"/>
        <w:jc w:val="left"/>
        <w:shd w:val="clear" w:fill="F2F2F2"/>
      </w:pPr>
      <w:r>
        <w:rPr>
          <w:rFonts w:ascii="Consolas" w:hAnsi="Consolas" w:cs="Consolas"/>
          <w:b w:val="0"/>
          <w:i w:val="0"/>
          <w:sz w:val="15"/>
        </w:rPr>
        <w:t>first_interaction TIMESTAMPTZ,</w:t>
      </w:r>
    </w:p>
    <w:p>
      <w:pPr>
        <w:spacing w:after="0" w:before="0" w:line="240" w:lineRule="auto"/>
        <w:ind w:left="57"/>
        <w:jc w:val="left"/>
        <w:shd w:val="clear" w:fill="F2F2F2"/>
      </w:pPr>
      <w:r>
        <w:rPr>
          <w:rFonts w:ascii="Consolas" w:hAnsi="Consolas" w:cs="Consolas"/>
          <w:b w:val="0"/>
          <w:i w:val="0"/>
          <w:sz w:val="15"/>
        </w:rPr>
        <w:t>last_interaction TIMESTAMPTZ,</w:t>
      </w:r>
    </w:p>
    <w:p>
      <w:pPr>
        <w:spacing w:after="0" w:before="0" w:line="240" w:lineRule="auto"/>
        <w:ind w:left="57"/>
        <w:jc w:val="left"/>
        <w:shd w:val="clear" w:fill="F2F2F2"/>
      </w:pPr>
      <w:r>
        <w:rPr>
          <w:rFonts w:ascii="Consolas" w:hAnsi="Consolas" w:cs="Consolas"/>
          <w:b w:val="0"/>
          <w:i w:val="0"/>
          <w:sz w:val="15"/>
        </w:rPr>
        <w:t>is_favorite BOOLEAN DEFAULT false,</w:t>
      </w:r>
    </w:p>
    <w:p>
      <w:pPr>
        <w:spacing w:after="0" w:before="0" w:line="240" w:lineRule="auto"/>
        <w:ind w:left="57"/>
        <w:jc w:val="left"/>
        <w:shd w:val="clear" w:fill="F2F2F2"/>
      </w:pPr>
      <w:r>
        <w:rPr>
          <w:rFonts w:ascii="Consolas" w:hAnsi="Consolas" w:cs="Consolas"/>
          <w:b w:val="0"/>
          <w:i w:val="0"/>
          <w:sz w:val="15"/>
        </w:rPr>
        <w:t>is_blocked BOOLEAN DEFAULT false,</w:t>
      </w:r>
    </w:p>
    <w:p>
      <w:pPr>
        <w:spacing w:after="0" w:before="0" w:line="240" w:lineRule="auto"/>
        <w:ind w:left="57"/>
        <w:jc w:val="left"/>
        <w:shd w:val="clear" w:fill="F2F2F2"/>
      </w:pPr>
      <w:r>
        <w:rPr>
          <w:rFonts w:ascii="Consolas" w:hAnsi="Consolas" w:cs="Consolas"/>
          <w:b w:val="0"/>
          <w:i w:val="0"/>
          <w:sz w:val="15"/>
        </w:rPr>
        <w:t>trust_snapshot JSONB,</w:t>
      </w:r>
    </w:p>
    <w:p>
      <w:pPr>
        <w:spacing w:after="0" w:before="0" w:line="240" w:lineRule="auto"/>
        <w:ind w:left="57"/>
        <w:jc w:val="left"/>
        <w:shd w:val="clear" w:fill="F2F2F2"/>
      </w:pPr>
      <w:r>
        <w:rPr>
          <w:rFonts w:ascii="Consolas" w:hAnsi="Consolas" w:cs="Consolas"/>
          <w:b w:val="0"/>
          <w:i w:val="0"/>
          <w:sz w:val="15"/>
        </w:rPr>
        <w:t>relationship_health_score DECIMAL(5,2),</w:t>
      </w:r>
    </w:p>
    <w:p>
      <w:pPr>
        <w:spacing w:after="0" w:before="0" w:line="240" w:lineRule="auto"/>
        <w:ind w:left="57"/>
        <w:jc w:val="left"/>
        <w:shd w:val="clear" w:fill="F2F2F2"/>
      </w:pPr>
      <w:r>
        <w:rPr>
          <w:rFonts w:ascii="Consolas" w:hAnsi="Consolas" w:cs="Consolas"/>
          <w:b w:val="0"/>
          <w:i w:val="0"/>
          <w:sz w:val="15"/>
        </w:rPr>
        <w:t>health_summary TEXT,</w:t>
      </w:r>
    </w:p>
    <w:p>
      <w:pPr>
        <w:spacing w:after="0" w:before="0" w:line="240" w:lineRule="auto"/>
        <w:ind w:left="57"/>
        <w:jc w:val="left"/>
        <w:shd w:val="clear" w:fill="F2F2F2"/>
      </w:pPr>
      <w:r>
        <w:rPr>
          <w:rFonts w:ascii="Consolas" w:hAnsi="Consolas" w:cs="Consolas"/>
          <w:b w:val="0"/>
          <w:i w:val="0"/>
          <w:sz w:val="15"/>
        </w:rPr>
        <w:t>smart_labels TEXT[],</w:t>
      </w:r>
    </w:p>
    <w:p>
      <w:pPr>
        <w:spacing w:after="0" w:before="0" w:line="240" w:lineRule="auto"/>
        <w:ind w:left="57"/>
        <w:jc w:val="left"/>
        <w:shd w:val="clear" w:fill="F2F2F2"/>
      </w:pPr>
      <w:r>
        <w:rPr>
          <w:rFonts w:ascii="Consolas" w:hAnsi="Consolas" w:cs="Consolas"/>
          <w:b w:val="0"/>
          <w:i w:val="0"/>
          <w:sz w:val="15"/>
        </w:rPr>
        <w:t>indirect_connections JSONB,</w:t>
      </w:r>
    </w:p>
    <w:p>
      <w:pPr>
        <w:spacing w:after="0" w:before="0" w:line="240" w:lineRule="auto"/>
        <w:ind w:left="57"/>
        <w:jc w:val="left"/>
        <w:shd w:val="clear" w:fill="F2F2F2"/>
      </w:pPr>
      <w:r>
        <w:rPr>
          <w:rFonts w:ascii="Consolas" w:hAnsi="Consolas" w:cs="Consolas"/>
          <w:b w:val="0"/>
          <w:i w:val="0"/>
          <w:sz w:val="15"/>
        </w:rPr>
        <w:t>last_ai_update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UNIQUE(tenant_id, contact_gtid)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User notes per shipment</w:t>
      </w:r>
    </w:p>
    <w:p>
      <w:pPr>
        <w:spacing w:after="0" w:before="0" w:line="240" w:lineRule="auto"/>
        <w:ind w:left="57"/>
        <w:jc w:val="left"/>
        <w:shd w:val="clear" w:fill="F2F2F2"/>
      </w:pPr>
      <w:r>
        <w:rPr>
          <w:rFonts w:ascii="Consolas" w:hAnsi="Consolas" w:cs="Consolas"/>
          <w:b w:val="0"/>
          <w:i w:val="0"/>
          <w:sz w:val="15"/>
        </w:rPr>
        <w:t>CREATE TABLE user_shipment_notes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user_employee_id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note_text TEXT NOT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UNIQUE(ustn, user_employee_id)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User saved views (for Shipments Vault)</w:t>
      </w:r>
    </w:p>
    <w:p>
      <w:pPr>
        <w:spacing w:after="0" w:before="0" w:line="240" w:lineRule="auto"/>
        <w:ind w:left="57"/>
        <w:jc w:val="left"/>
        <w:shd w:val="clear" w:fill="F2F2F2"/>
      </w:pPr>
      <w:r>
        <w:rPr>
          <w:rFonts w:ascii="Consolas" w:hAnsi="Consolas" w:cs="Consolas"/>
          <w:b w:val="0"/>
          <w:i w:val="0"/>
          <w:sz w:val="15"/>
        </w:rPr>
        <w:t>CREATE TABLE user_saved_views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user_employee_id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view_name TEXT NOT NULL,</w:t>
      </w:r>
    </w:p>
    <w:p>
      <w:pPr>
        <w:spacing w:after="0" w:before="0" w:line="240" w:lineRule="auto"/>
        <w:ind w:left="57"/>
        <w:jc w:val="left"/>
        <w:shd w:val="clear" w:fill="F2F2F2"/>
      </w:pPr>
      <w:r>
        <w:rPr>
          <w:rFonts w:ascii="Consolas" w:hAnsi="Consolas" w:cs="Consolas"/>
          <w:b w:val="0"/>
          <w:i w:val="0"/>
          <w:sz w:val="15"/>
        </w:rPr>
        <w:t>filters JSONB NOT NULL,</w:t>
      </w:r>
    </w:p>
    <w:p>
      <w:pPr>
        <w:spacing w:after="0" w:before="0" w:line="240" w:lineRule="auto"/>
        <w:ind w:left="57"/>
        <w:jc w:val="left"/>
        <w:shd w:val="clear" w:fill="F2F2F2"/>
      </w:pPr>
      <w:r>
        <w:rPr>
          <w:rFonts w:ascii="Consolas" w:hAnsi="Consolas" w:cs="Consolas"/>
          <w:b w:val="0"/>
          <w:i w:val="0"/>
          <w:sz w:val="15"/>
        </w:rPr>
        <w:t>sort_column TEXT,</w:t>
      </w:r>
    </w:p>
    <w:p>
      <w:pPr>
        <w:spacing w:after="0" w:before="0" w:line="240" w:lineRule="auto"/>
        <w:ind w:left="57"/>
        <w:jc w:val="left"/>
        <w:shd w:val="clear" w:fill="F2F2F2"/>
      </w:pPr>
      <w:r>
        <w:rPr>
          <w:rFonts w:ascii="Consolas" w:hAnsi="Consolas" w:cs="Consolas"/>
          <w:b w:val="0"/>
          <w:i w:val="0"/>
          <w:sz w:val="15"/>
        </w:rPr>
        <w:t>sort_order TEXT,</w:t>
      </w:r>
    </w:p>
    <w:p>
      <w:pPr>
        <w:spacing w:after="0" w:before="0" w:line="240" w:lineRule="auto"/>
        <w:ind w:left="57"/>
        <w:jc w:val="left"/>
        <w:shd w:val="clear" w:fill="F2F2F2"/>
      </w:pPr>
      <w:r>
        <w:rPr>
          <w:rFonts w:ascii="Consolas" w:hAnsi="Consolas" w:cs="Consolas"/>
          <w:b w:val="0"/>
          <w:i w:val="0"/>
          <w:sz w:val="15"/>
        </w:rPr>
        <w:t>visible_columns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17.25 Tasks, Feedback &amp; Notifications</w:t>
      </w:r>
    </w:p>
    <w:p>
      <w:pPr>
        <w:spacing w:after="80" w:line="293" w:lineRule="auto"/>
        <w:jc w:val="left"/>
      </w:pPr>
      <w:r>
        <w:rPr>
          <w:rFonts w:ascii="Times New Roman" w:hAnsi="Times New Roman" w:cs="Times New Roman"/>
          <w:b w:val="0"/>
          <w:i w:val="0"/>
          <w:sz w:val="22"/>
        </w:rPr>
        <w:t>Unified task center with escalation; feedback tickets with severity/priority; notification log with delivery and engagement states.</w:t>
      </w:r>
    </w:p>
    <w:p>
      <w:pPr>
        <w:spacing w:after="0" w:before="0" w:line="240" w:lineRule="auto"/>
        <w:ind w:left="57"/>
        <w:jc w:val="left"/>
        <w:shd w:val="clear" w:fill="F2F2F2"/>
      </w:pPr>
      <w:r>
        <w:rPr>
          <w:rFonts w:ascii="Consolas" w:hAnsi="Consolas" w:cs="Consolas"/>
          <w:b w:val="0"/>
          <w:i w:val="0"/>
          <w:sz w:val="15"/>
        </w:rPr>
        <w:t>-- Tasks (Unified Task Center)</w:t>
      </w:r>
    </w:p>
    <w:p>
      <w:pPr>
        <w:spacing w:after="0" w:before="0" w:line="240" w:lineRule="auto"/>
        <w:ind w:left="57"/>
        <w:jc w:val="left"/>
        <w:shd w:val="clear" w:fill="F2F2F2"/>
      </w:pPr>
      <w:r>
        <w:rPr>
          <w:rFonts w:ascii="Consolas" w:hAnsi="Consolas" w:cs="Consolas"/>
          <w:b w:val="0"/>
          <w:i w:val="0"/>
          <w:sz w:val="15"/>
        </w:rPr>
        <w:t>CREATE TABLE tasks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task_type TEXT NOT NULL, -- 'SIGN_CONTRACT', 'PAY_FEE', 'UPLOAD_DOC'</w:t>
      </w:r>
    </w:p>
    <w:p>
      <w:pPr>
        <w:spacing w:after="0" w:before="0" w:line="240" w:lineRule="auto"/>
        <w:ind w:left="57"/>
        <w:jc w:val="left"/>
        <w:shd w:val="clear" w:fill="F2F2F2"/>
      </w:pPr>
      <w:r>
        <w:rPr>
          <w:rFonts w:ascii="Consolas" w:hAnsi="Consolas" w:cs="Consolas"/>
          <w:b w:val="0"/>
          <w:i w:val="0"/>
          <w:sz w:val="15"/>
        </w:rPr>
        <w:t>ustn TEXT REFERENCES shipments(ustn) ON DELETE SET NULL,</w:t>
      </w:r>
    </w:p>
    <w:p>
      <w:pPr>
        <w:spacing w:after="0" w:before="0" w:line="240" w:lineRule="auto"/>
        <w:ind w:left="57"/>
        <w:jc w:val="left"/>
        <w:shd w:val="clear" w:fill="F2F2F2"/>
      </w:pPr>
      <w:r>
        <w:rPr>
          <w:rFonts w:ascii="Consolas" w:hAnsi="Consolas" w:cs="Consolas"/>
          <w:b w:val="0"/>
          <w:i w:val="0"/>
          <w:sz w:val="15"/>
        </w:rPr>
        <w:t>contract_id UUID REFERENCES contracts(id) ON DELETE SET NULL,</w:t>
      </w:r>
    </w:p>
    <w:p>
      <w:pPr>
        <w:spacing w:after="0" w:before="0" w:line="240" w:lineRule="auto"/>
        <w:ind w:left="57"/>
        <w:jc w:val="left"/>
        <w:shd w:val="clear" w:fill="F2F2F2"/>
      </w:pPr>
      <w:r>
        <w:rPr>
          <w:rFonts w:ascii="Consolas" w:hAnsi="Consolas" w:cs="Consolas"/>
          <w:b w:val="0"/>
          <w:i w:val="0"/>
          <w:sz w:val="15"/>
        </w:rPr>
        <w:t>dispute_id UUID REFERENCES disputes(id) ON DELETE SET NULL,</w:t>
      </w:r>
    </w:p>
    <w:p>
      <w:pPr>
        <w:spacing w:after="0" w:before="0" w:line="240" w:lineRule="auto"/>
        <w:ind w:left="57"/>
        <w:jc w:val="left"/>
        <w:shd w:val="clear" w:fill="F2F2F2"/>
      </w:pPr>
      <w:r>
        <w:rPr>
          <w:rFonts w:ascii="Consolas" w:hAnsi="Consolas" w:cs="Consolas"/>
          <w:b w:val="0"/>
          <w:i w:val="0"/>
          <w:sz w:val="15"/>
        </w:rPr>
        <w:t>assigned_to_gtid TEXT NOT NULL,</w:t>
      </w:r>
    </w:p>
    <w:p>
      <w:pPr>
        <w:spacing w:after="0" w:before="0" w:line="240" w:lineRule="auto"/>
        <w:ind w:left="57"/>
        <w:jc w:val="left"/>
        <w:shd w:val="clear" w:fill="F2F2F2"/>
      </w:pPr>
      <w:r>
        <w:rPr>
          <w:rFonts w:ascii="Consolas" w:hAnsi="Consolas" w:cs="Consolas"/>
          <w:b w:val="0"/>
          <w:i w:val="0"/>
          <w:sz w:val="15"/>
        </w:rPr>
        <w:t>assigned_by_gtid TEXT,</w:t>
      </w:r>
    </w:p>
    <w:p>
      <w:pPr>
        <w:spacing w:after="0" w:before="0" w:line="240" w:lineRule="auto"/>
        <w:ind w:left="57"/>
        <w:jc w:val="left"/>
        <w:shd w:val="clear" w:fill="F2F2F2"/>
      </w:pPr>
      <w:r>
        <w:rPr>
          <w:rFonts w:ascii="Consolas" w:hAnsi="Consolas" w:cs="Consolas"/>
          <w:b w:val="0"/>
          <w:i w:val="0"/>
          <w:sz w:val="15"/>
        </w:rPr>
        <w:t>status task_status DEFAULT 'PENDING',</w:t>
      </w:r>
    </w:p>
    <w:p>
      <w:pPr>
        <w:spacing w:after="0" w:before="0" w:line="240" w:lineRule="auto"/>
        <w:ind w:left="57"/>
        <w:jc w:val="left"/>
        <w:shd w:val="clear" w:fill="F2F2F2"/>
      </w:pPr>
      <w:r>
        <w:rPr>
          <w:rFonts w:ascii="Consolas" w:hAnsi="Consolas" w:cs="Consolas"/>
          <w:b w:val="0"/>
          <w:i w:val="0"/>
          <w:sz w:val="15"/>
        </w:rPr>
        <w:t>priority INTEGER DEFAULT 50,</w:t>
      </w:r>
    </w:p>
    <w:p>
      <w:pPr>
        <w:spacing w:after="0" w:before="0" w:line="240" w:lineRule="auto"/>
        <w:ind w:left="57"/>
        <w:jc w:val="left"/>
        <w:shd w:val="clear" w:fill="F2F2F2"/>
      </w:pPr>
      <w:r>
        <w:rPr>
          <w:rFonts w:ascii="Consolas" w:hAnsi="Consolas" w:cs="Consolas"/>
          <w:b w:val="0"/>
          <w:i w:val="0"/>
          <w:sz w:val="15"/>
        </w:rPr>
        <w:t>due_date TIMESTAMPTZ,</w:t>
      </w:r>
    </w:p>
    <w:p>
      <w:pPr>
        <w:spacing w:after="0" w:before="0" w:line="240" w:lineRule="auto"/>
        <w:ind w:left="57"/>
        <w:jc w:val="left"/>
        <w:shd w:val="clear" w:fill="F2F2F2"/>
      </w:pPr>
      <w:r>
        <w:rPr>
          <w:rFonts w:ascii="Consolas" w:hAnsi="Consolas" w:cs="Consolas"/>
          <w:b w:val="0"/>
          <w:i w:val="0"/>
          <w:sz w:val="15"/>
        </w:rPr>
        <w:t>escalation_level INTEGER DEFAULT 0,</w:t>
      </w:r>
    </w:p>
    <w:p>
      <w:pPr>
        <w:spacing w:after="0" w:before="0" w:line="240" w:lineRule="auto"/>
        <w:ind w:left="57"/>
        <w:jc w:val="left"/>
        <w:shd w:val="clear" w:fill="F2F2F2"/>
      </w:pPr>
      <w:r>
        <w:rPr>
          <w:rFonts w:ascii="Consolas" w:hAnsi="Consolas" w:cs="Consolas"/>
          <w:b w:val="0"/>
          <w:i w:val="0"/>
          <w:sz w:val="15"/>
        </w:rPr>
        <w:t xml:space="preserve"> escalation_history JSONB DEFAULT '[]',</w:t>
      </w:r>
    </w:p>
    <w:p>
      <w:pPr>
        <w:spacing w:after="0" w:before="0" w:line="240" w:lineRule="auto"/>
        <w:ind w:left="57"/>
        <w:jc w:val="left"/>
        <w:shd w:val="clear" w:fill="F2F2F2"/>
      </w:pPr>
      <w:r>
        <w:rPr>
          <w:rFonts w:ascii="Consolas" w:hAnsi="Consolas" w:cs="Consolas"/>
          <w:b w:val="0"/>
          <w:i w:val="0"/>
          <w:sz w:val="15"/>
        </w:rPr>
        <w:t>completed_at TIMESTAMPTZ,</w:t>
      </w:r>
    </w:p>
    <w:p>
      <w:pPr>
        <w:spacing w:after="0" w:before="0" w:line="240" w:lineRule="auto"/>
        <w:ind w:left="57"/>
        <w:jc w:val="left"/>
        <w:shd w:val="clear" w:fill="F2F2F2"/>
      </w:pPr>
      <w:r>
        <w:rPr>
          <w:rFonts w:ascii="Consolas" w:hAnsi="Consolas" w:cs="Consolas"/>
          <w:b w:val="0"/>
          <w:i w:val="0"/>
          <w:sz w:val="15"/>
        </w:rPr>
        <w:t>completed_by_gtid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Feedback tickets</w:t>
      </w:r>
    </w:p>
    <w:p>
      <w:pPr>
        <w:spacing w:after="0" w:before="0" w:line="240" w:lineRule="auto"/>
        <w:ind w:left="57"/>
        <w:jc w:val="left"/>
        <w:shd w:val="clear" w:fill="F2F2F2"/>
      </w:pPr>
      <w:r>
        <w:rPr>
          <w:rFonts w:ascii="Consolas" w:hAnsi="Consolas" w:cs="Consolas"/>
          <w:b w:val="0"/>
          <w:i w:val="0"/>
          <w:sz w:val="15"/>
        </w:rPr>
        <w:t>CREATE TABLE feedback_tickets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employee_id UUID NOT NULL REFERENCES employees(id) ON DELETE CASCADE,</w:t>
      </w:r>
    </w:p>
    <w:p>
      <w:pPr>
        <w:spacing w:after="0" w:before="0" w:line="240" w:lineRule="auto"/>
        <w:ind w:left="57"/>
        <w:jc w:val="left"/>
        <w:shd w:val="clear" w:fill="F2F2F2"/>
      </w:pPr>
      <w:r>
        <w:rPr>
          <w:rFonts w:ascii="Consolas" w:hAnsi="Consolas" w:cs="Consolas"/>
          <w:b w:val="0"/>
          <w:i w:val="0"/>
          <w:sz w:val="15"/>
        </w:rPr>
        <w:t>ticket_type TEXT NOT NULL, -- 'BUG', 'FEATURE', 'HELP'</w:t>
      </w:r>
    </w:p>
    <w:p>
      <w:pPr>
        <w:spacing w:after="0" w:before="0" w:line="240" w:lineRule="auto"/>
        <w:ind w:left="57"/>
        <w:jc w:val="left"/>
        <w:shd w:val="clear" w:fill="F2F2F2"/>
      </w:pPr>
      <w:r>
        <w:rPr>
          <w:rFonts w:ascii="Consolas" w:hAnsi="Consolas" w:cs="Consolas"/>
          <w:b w:val="0"/>
          <w:i w:val="0"/>
          <w:sz w:val="15"/>
        </w:rPr>
        <w:t>title TEXT,</w:t>
      </w:r>
    </w:p>
    <w:p>
      <w:pPr>
        <w:spacing w:after="0" w:before="0" w:line="240" w:lineRule="auto"/>
        <w:ind w:left="57"/>
        <w:jc w:val="left"/>
        <w:shd w:val="clear" w:fill="F2F2F2"/>
      </w:pPr>
      <w:r>
        <w:rPr>
          <w:rFonts w:ascii="Consolas" w:hAnsi="Consolas" w:cs="Consolas"/>
          <w:b w:val="0"/>
          <w:i w:val="0"/>
          <w:sz w:val="15"/>
        </w:rPr>
        <w:t>description TEXT NOT NULL,</w:t>
      </w:r>
    </w:p>
    <w:p>
      <w:pPr>
        <w:spacing w:after="0" w:before="0" w:line="240" w:lineRule="auto"/>
        <w:ind w:left="57"/>
        <w:jc w:val="left"/>
        <w:shd w:val="clear" w:fill="F2F2F2"/>
      </w:pPr>
      <w:r>
        <w:rPr>
          <w:rFonts w:ascii="Consolas" w:hAnsi="Consolas" w:cs="Consolas"/>
          <w:b w:val="0"/>
          <w:i w:val="0"/>
          <w:sz w:val="15"/>
        </w:rPr>
        <w:t>severity TEXT DEFAULT 'MEDIUM', -- 'LOW', 'MEDIUM', 'HIGH', 'CRITICAL'</w:t>
      </w:r>
    </w:p>
    <w:p>
      <w:pPr>
        <w:spacing w:after="0" w:before="0" w:line="240" w:lineRule="auto"/>
        <w:ind w:left="57"/>
        <w:jc w:val="left"/>
        <w:shd w:val="clear" w:fill="F2F2F2"/>
      </w:pPr>
      <w:r>
        <w:rPr>
          <w:rFonts w:ascii="Consolas" w:hAnsi="Consolas" w:cs="Consolas"/>
          <w:b w:val="0"/>
          <w:i w:val="0"/>
          <w:sz w:val="15"/>
        </w:rPr>
        <w:t>priority TEXT DEFAULT 'NICE_TO_HAVE', -- 'NICE_TO_HAVE', 'IMPORTANT', 'CRITICAL'</w:t>
      </w:r>
    </w:p>
    <w:p>
      <w:pPr>
        <w:spacing w:after="0" w:before="0" w:line="240" w:lineRule="auto"/>
        <w:ind w:left="57"/>
        <w:jc w:val="left"/>
        <w:shd w:val="clear" w:fill="F2F2F2"/>
      </w:pPr>
      <w:r>
        <w:rPr>
          <w:rFonts w:ascii="Consolas" w:hAnsi="Consolas" w:cs="Consolas"/>
          <w:b w:val="0"/>
          <w:i w:val="0"/>
          <w:sz w:val="15"/>
        </w:rPr>
        <w:t>status TEXT DEFAULT 'OPEN', -- 'OPEN', 'IN_PROGRESS', 'RESOLVED', 'CLOSED'</w:t>
      </w:r>
    </w:p>
    <w:p>
      <w:pPr>
        <w:spacing w:after="0" w:before="0" w:line="240" w:lineRule="auto"/>
        <w:ind w:left="57"/>
        <w:jc w:val="left"/>
        <w:shd w:val="clear" w:fill="F2F2F2"/>
      </w:pPr>
      <w:r>
        <w:rPr>
          <w:rFonts w:ascii="Consolas" w:hAnsi="Consolas" w:cs="Consolas"/>
          <w:b w:val="0"/>
          <w:i w:val="0"/>
          <w:sz w:val="15"/>
        </w:rPr>
        <w:t>page_url TEXT,</w:t>
      </w:r>
    </w:p>
    <w:p>
      <w:pPr>
        <w:spacing w:after="0" w:before="0" w:line="240" w:lineRule="auto"/>
        <w:ind w:left="57"/>
        <w:jc w:val="left"/>
        <w:shd w:val="clear" w:fill="F2F2F2"/>
      </w:pPr>
      <w:r>
        <w:rPr>
          <w:rFonts w:ascii="Consolas" w:hAnsi="Consolas" w:cs="Consolas"/>
          <w:b w:val="0"/>
          <w:i w:val="0"/>
          <w:sz w:val="15"/>
        </w:rPr>
        <w:t>user_agent TEXT,</w:t>
      </w:r>
    </w:p>
    <w:p>
      <w:pPr>
        <w:spacing w:after="0" w:before="0" w:line="240" w:lineRule="auto"/>
        <w:ind w:left="57"/>
        <w:jc w:val="left"/>
        <w:shd w:val="clear" w:fill="F2F2F2"/>
      </w:pPr>
      <w:r>
        <w:rPr>
          <w:rFonts w:ascii="Consolas" w:hAnsi="Consolas" w:cs="Consolas"/>
          <w:b w:val="0"/>
          <w:i w:val="0"/>
          <w:sz w:val="15"/>
        </w:rPr>
        <w:t>screenshot_hash TEXT,</w:t>
      </w:r>
    </w:p>
    <w:p>
      <w:pPr>
        <w:spacing w:after="0" w:before="0" w:line="240" w:lineRule="auto"/>
        <w:ind w:left="57"/>
        <w:jc w:val="left"/>
        <w:shd w:val="clear" w:fill="F2F2F2"/>
      </w:pPr>
      <w:r>
        <w:rPr>
          <w:rFonts w:ascii="Consolas" w:hAnsi="Consolas" w:cs="Consolas"/>
          <w:b w:val="0"/>
          <w:i w:val="0"/>
          <w:sz w:val="15"/>
        </w:rPr>
        <w:t>assigned_to UUID REFERENCES employees(id) ON DELETE SET NULL,</w:t>
      </w:r>
    </w:p>
    <w:p>
      <w:pPr>
        <w:spacing w:after="0" w:before="0" w:line="240" w:lineRule="auto"/>
        <w:ind w:left="57"/>
        <w:jc w:val="left"/>
        <w:shd w:val="clear" w:fill="F2F2F2"/>
      </w:pPr>
      <w:r>
        <w:rPr>
          <w:rFonts w:ascii="Consolas" w:hAnsi="Consolas" w:cs="Consolas"/>
          <w:b w:val="0"/>
          <w:i w:val="0"/>
          <w:sz w:val="15"/>
        </w:rPr>
        <w:t>resolved_at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Notification log</w:t>
      </w:r>
    </w:p>
    <w:p>
      <w:pPr>
        <w:spacing w:after="0" w:before="0" w:line="240" w:lineRule="auto"/>
        <w:ind w:left="57"/>
        <w:jc w:val="left"/>
        <w:shd w:val="clear" w:fill="F2F2F2"/>
      </w:pPr>
      <w:r>
        <w:rPr>
          <w:rFonts w:ascii="Consolas" w:hAnsi="Consolas" w:cs="Consolas"/>
          <w:b w:val="0"/>
          <w:i w:val="0"/>
          <w:sz w:val="15"/>
        </w:rPr>
        <w:t>CREATE TABLE notification_log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recipient_gtid TEXT NOT NULL,</w:t>
      </w:r>
    </w:p>
    <w:p>
      <w:pPr>
        <w:spacing w:after="0" w:before="0" w:line="240" w:lineRule="auto"/>
        <w:ind w:left="57"/>
        <w:jc w:val="left"/>
        <w:shd w:val="clear" w:fill="F2F2F2"/>
      </w:pPr>
      <w:r>
        <w:rPr>
          <w:rFonts w:ascii="Consolas" w:hAnsi="Consolas" w:cs="Consolas"/>
          <w:b w:val="0"/>
          <w:i w:val="0"/>
          <w:sz w:val="15"/>
        </w:rPr>
        <w:t>category TEXT NOT NULL,</w:t>
      </w:r>
    </w:p>
    <w:p>
      <w:pPr>
        <w:spacing w:after="0" w:before="0" w:line="240" w:lineRule="auto"/>
        <w:ind w:left="57"/>
        <w:jc w:val="left"/>
        <w:shd w:val="clear" w:fill="F2F2F2"/>
      </w:pPr>
      <w:r>
        <w:rPr>
          <w:rFonts w:ascii="Consolas" w:hAnsi="Consolas" w:cs="Consolas"/>
          <w:b w:val="0"/>
          <w:i w:val="0"/>
          <w:sz w:val="15"/>
        </w:rPr>
        <w:t>channel TEXT NOT NULL,</w:t>
      </w:r>
    </w:p>
    <w:p>
      <w:pPr>
        <w:spacing w:after="0" w:before="0" w:line="240" w:lineRule="auto"/>
        <w:ind w:left="57"/>
        <w:jc w:val="left"/>
        <w:shd w:val="clear" w:fill="F2F2F2"/>
      </w:pPr>
      <w:r>
        <w:rPr>
          <w:rFonts w:ascii="Consolas" w:hAnsi="Consolas" w:cs="Consolas"/>
          <w:b w:val="0"/>
          <w:i w:val="0"/>
          <w:sz w:val="15"/>
        </w:rPr>
        <w:t>subject TEXT NOT NULL,</w:t>
      </w:r>
    </w:p>
    <w:p>
      <w:pPr>
        <w:spacing w:after="0" w:before="0" w:line="240" w:lineRule="auto"/>
        <w:ind w:left="57"/>
        <w:jc w:val="left"/>
        <w:shd w:val="clear" w:fill="F2F2F2"/>
      </w:pPr>
      <w:r>
        <w:rPr>
          <w:rFonts w:ascii="Consolas" w:hAnsi="Consolas" w:cs="Consolas"/>
          <w:b w:val="0"/>
          <w:i w:val="0"/>
          <w:sz w:val="15"/>
        </w:rPr>
        <w:t>body TEXT,</w:t>
      </w:r>
    </w:p>
    <w:p>
      <w:pPr>
        <w:spacing w:after="0" w:before="0" w:line="240" w:lineRule="auto"/>
        <w:ind w:left="57"/>
        <w:jc w:val="left"/>
        <w:shd w:val="clear" w:fill="F2F2F2"/>
      </w:pPr>
      <w:r>
        <w:rPr>
          <w:rFonts w:ascii="Consolas" w:hAnsi="Consolas" w:cs="Consolas"/>
          <w:b w:val="0"/>
          <w:i w:val="0"/>
          <w:sz w:val="15"/>
        </w:rPr>
        <w:t>status TEXT, -- 'SENT', 'FAILED', 'READ', 'CLICKED'</w:t>
      </w:r>
    </w:p>
    <w:p>
      <w:pPr>
        <w:spacing w:after="0" w:before="0" w:line="240" w:lineRule="auto"/>
        <w:ind w:left="57"/>
        <w:jc w:val="left"/>
        <w:shd w:val="clear" w:fill="F2F2F2"/>
      </w:pPr>
      <w:r>
        <w:rPr>
          <w:rFonts w:ascii="Consolas" w:hAnsi="Consolas" w:cs="Consolas"/>
          <w:b w:val="0"/>
          <w:i w:val="0"/>
          <w:sz w:val="15"/>
        </w:rPr>
        <w:t>sent_at TIMESTAMPTZ DEFAULT NOW(),</w:t>
      </w:r>
    </w:p>
    <w:p>
      <w:pPr>
        <w:spacing w:after="0" w:before="0" w:line="240" w:lineRule="auto"/>
        <w:ind w:left="57"/>
        <w:jc w:val="left"/>
        <w:shd w:val="clear" w:fill="F2F2F2"/>
      </w:pPr>
      <w:r>
        <w:rPr>
          <w:rFonts w:ascii="Consolas" w:hAnsi="Consolas" w:cs="Consolas"/>
          <w:b w:val="0"/>
          <w:i w:val="0"/>
          <w:sz w:val="15"/>
        </w:rPr>
        <w:t>read_at TIMESTAMPTZ,</w:t>
      </w:r>
    </w:p>
    <w:p>
      <w:pPr>
        <w:spacing w:after="0" w:before="0" w:line="240" w:lineRule="auto"/>
        <w:ind w:left="57"/>
        <w:jc w:val="left"/>
        <w:shd w:val="clear" w:fill="F2F2F2"/>
      </w:pPr>
      <w:r>
        <w:rPr>
          <w:rFonts w:ascii="Consolas" w:hAnsi="Consolas" w:cs="Consolas"/>
          <w:b w:val="0"/>
          <w:i w:val="0"/>
          <w:sz w:val="15"/>
        </w:rPr>
        <w:t>clicked_at TIMESTAMPTZ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17.26 Suspicious Activity Reports (SAR)</w:t>
      </w:r>
    </w:p>
    <w:p>
      <w:pPr>
        <w:spacing w:after="80" w:line="293" w:lineRule="auto"/>
        <w:jc w:val="left"/>
      </w:pPr>
      <w:r>
        <w:rPr>
          <w:rFonts w:ascii="Times New Roman" w:hAnsi="Times New Roman" w:cs="Times New Roman"/>
          <w:b w:val="0"/>
          <w:i w:val="0"/>
          <w:sz w:val="22"/>
        </w:rPr>
        <w:t>AML reporting: detection rule, involved USTNs, parties, Groq-generated narrative, filing status and reference, Loom hash.</w:t>
      </w:r>
    </w:p>
    <w:p>
      <w:pPr>
        <w:spacing w:after="0" w:before="0" w:line="240" w:lineRule="auto"/>
        <w:ind w:left="57"/>
        <w:jc w:val="left"/>
        <w:shd w:val="clear" w:fill="F2F2F2"/>
      </w:pPr>
      <w:r>
        <w:rPr>
          <w:rFonts w:ascii="Consolas" w:hAnsi="Consolas" w:cs="Consolas"/>
          <w:b w:val="0"/>
          <w:i w:val="0"/>
          <w:sz w:val="15"/>
        </w:rPr>
        <w:t>-- Suspicious Activity Reports</w:t>
      </w:r>
    </w:p>
    <w:p>
      <w:pPr>
        <w:spacing w:after="0" w:before="0" w:line="240" w:lineRule="auto"/>
        <w:ind w:left="57"/>
        <w:jc w:val="left"/>
        <w:shd w:val="clear" w:fill="F2F2F2"/>
      </w:pPr>
      <w:r>
        <w:rPr>
          <w:rFonts w:ascii="Consolas" w:hAnsi="Consolas" w:cs="Consolas"/>
          <w:b w:val="0"/>
          <w:i w:val="0"/>
          <w:sz w:val="15"/>
        </w:rPr>
        <w:t>CREATE TABLE suspicious_activity_reports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 xml:space="preserve"> report_type TEXT NOT NULL, -- 'FinCEN', 'EG_AML', 'EU_ECB'</w:t>
      </w:r>
    </w:p>
    <w:p>
      <w:pPr>
        <w:spacing w:after="0" w:before="0" w:line="240" w:lineRule="auto"/>
        <w:ind w:left="57"/>
        <w:jc w:val="left"/>
        <w:shd w:val="clear" w:fill="F2F2F2"/>
      </w:pPr>
      <w:r>
        <w:rPr>
          <w:rFonts w:ascii="Consolas" w:hAnsi="Consolas" w:cs="Consolas"/>
          <w:b w:val="0"/>
          <w:i w:val="0"/>
          <w:sz w:val="15"/>
        </w:rPr>
        <w:t>detection_rule TEXT, -- 'volume_spike', 'circular_trade', 'value_mismatch', etc.</w:t>
      </w:r>
    </w:p>
    <w:p>
      <w:pPr>
        <w:spacing w:after="0" w:before="0" w:line="240" w:lineRule="auto"/>
        <w:ind w:left="57"/>
        <w:jc w:val="left"/>
        <w:shd w:val="clear" w:fill="F2F2F2"/>
      </w:pPr>
      <w:r>
        <w:rPr>
          <w:rFonts w:ascii="Consolas" w:hAnsi="Consolas" w:cs="Consolas"/>
          <w:b w:val="0"/>
          <w:i w:val="0"/>
          <w:sz w:val="15"/>
        </w:rPr>
        <w:t>involved_ustns TEXT[],</w:t>
      </w:r>
    </w:p>
    <w:p>
      <w:pPr>
        <w:spacing w:after="0" w:before="0" w:line="240" w:lineRule="auto"/>
        <w:ind w:left="57"/>
        <w:jc w:val="left"/>
        <w:shd w:val="clear" w:fill="F2F2F2"/>
      </w:pPr>
      <w:r>
        <w:rPr>
          <w:rFonts w:ascii="Consolas" w:hAnsi="Consolas" w:cs="Consolas"/>
          <w:b w:val="0"/>
          <w:i w:val="0"/>
          <w:sz w:val="15"/>
        </w:rPr>
        <w:t>parties JSONB, -- { buyer_gtid, seller_gtid, carrier_gtid, ... }</w:t>
      </w:r>
    </w:p>
    <w:p>
      <w:pPr>
        <w:spacing w:after="0" w:before="0" w:line="240" w:lineRule="auto"/>
        <w:ind w:left="57"/>
        <w:jc w:val="left"/>
        <w:shd w:val="clear" w:fill="F2F2F2"/>
      </w:pPr>
      <w:r>
        <w:rPr>
          <w:rFonts w:ascii="Consolas" w:hAnsi="Consolas" w:cs="Consolas"/>
          <w:b w:val="0"/>
          <w:i w:val="0"/>
          <w:sz w:val="15"/>
        </w:rPr>
        <w:t>narrative TEXT, -- Groq-generated plain-language description</w:t>
      </w:r>
    </w:p>
    <w:p>
      <w:pPr>
        <w:spacing w:after="0" w:before="0" w:line="240" w:lineRule="auto"/>
        <w:ind w:left="57"/>
        <w:jc w:val="left"/>
        <w:shd w:val="clear" w:fill="F2F2F2"/>
      </w:pPr>
      <w:r>
        <w:rPr>
          <w:rFonts w:ascii="Consolas" w:hAnsi="Consolas" w:cs="Consolas"/>
          <w:b w:val="0"/>
          <w:i w:val="0"/>
          <w:sz w:val="15"/>
        </w:rPr>
        <w:t>draft_status TEXT DEFAULT 'DRAFT', -- 'DRAFT', 'FILED', 'REJECTED'</w:t>
      </w:r>
    </w:p>
    <w:p>
      <w:pPr>
        <w:spacing w:after="0" w:before="0" w:line="240" w:lineRule="auto"/>
        <w:ind w:left="57"/>
        <w:jc w:val="left"/>
        <w:shd w:val="clear" w:fill="F2F2F2"/>
      </w:pPr>
      <w:r>
        <w:rPr>
          <w:rFonts w:ascii="Consolas" w:hAnsi="Consolas" w:cs="Consolas"/>
          <w:b w:val="0"/>
          <w:i w:val="0"/>
          <w:sz w:val="15"/>
        </w:rPr>
        <w:t>filed_at TIMESTAMPTZ,</w:t>
      </w:r>
    </w:p>
    <w:p>
      <w:pPr>
        <w:spacing w:after="0" w:before="0" w:line="240" w:lineRule="auto"/>
        <w:ind w:left="57"/>
        <w:jc w:val="left"/>
        <w:shd w:val="clear" w:fill="F2F2F2"/>
      </w:pPr>
      <w:r>
        <w:rPr>
          <w:rFonts w:ascii="Consolas" w:hAnsi="Consolas" w:cs="Consolas"/>
          <w:b w:val="0"/>
          <w:i w:val="0"/>
          <w:sz w:val="15"/>
        </w:rPr>
        <w:t>filing_reference TEXT,</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loom_hash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17.27 GNN &amp; Federated Learning</w:t>
      </w:r>
    </w:p>
    <w:p>
      <w:pPr>
        <w:spacing w:after="80" w:line="293" w:lineRule="auto"/>
        <w:jc w:val="left"/>
      </w:pPr>
      <w:r>
        <w:rPr>
          <w:rFonts w:ascii="Times New Roman" w:hAnsi="Times New Roman" w:cs="Times New Roman"/>
          <w:b w:val="0"/>
          <w:i w:val="0"/>
          <w:sz w:val="22"/>
        </w:rPr>
        <w:t>Adversarial GNN risk scores with explanation; anonymised institutional trade graph edges with consent and ZK proof hash; network trust materialised view; federated learning model registry and local training metadata.</w:t>
      </w:r>
    </w:p>
    <w:p>
      <w:pPr>
        <w:spacing w:after="0" w:before="0" w:line="240" w:lineRule="auto"/>
        <w:ind w:left="57"/>
        <w:jc w:val="left"/>
        <w:shd w:val="clear" w:fill="F2F2F2"/>
      </w:pPr>
      <w:r>
        <w:rPr>
          <w:rFonts w:ascii="Consolas" w:hAnsi="Consolas" w:cs="Consolas"/>
          <w:b w:val="0"/>
          <w:i w:val="0"/>
          <w:sz w:val="15"/>
        </w:rPr>
        <w:t>-- GNN risk scores (adversarial)</w:t>
      </w:r>
    </w:p>
    <w:p>
      <w:pPr>
        <w:spacing w:after="0" w:before="0" w:line="240" w:lineRule="auto"/>
        <w:ind w:left="57"/>
        <w:jc w:val="left"/>
        <w:shd w:val="clear" w:fill="F2F2F2"/>
      </w:pPr>
      <w:r>
        <w:rPr>
          <w:rFonts w:ascii="Consolas" w:hAnsi="Consolas" w:cs="Consolas"/>
          <w:b w:val="0"/>
          <w:i w:val="0"/>
          <w:sz w:val="15"/>
        </w:rPr>
        <w:t>CREATE TABLE gnn_risk_scores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entity_gtid TEXT NOT NULL REFERENCES tenants(gtid) ON DELETE CASCADE,</w:t>
      </w:r>
    </w:p>
    <w:p>
      <w:pPr>
        <w:spacing w:after="0" w:before="0" w:line="240" w:lineRule="auto"/>
        <w:ind w:left="57"/>
        <w:jc w:val="left"/>
        <w:shd w:val="clear" w:fill="F2F2F2"/>
      </w:pPr>
      <w:r>
        <w:rPr>
          <w:rFonts w:ascii="Consolas" w:hAnsi="Consolas" w:cs="Consolas"/>
          <w:b w:val="0"/>
          <w:i w:val="0"/>
          <w:sz w:val="15"/>
        </w:rPr>
        <w:t>sanctions_proximity INTEGER,</w:t>
      </w:r>
    </w:p>
    <w:p>
      <w:pPr>
        <w:spacing w:after="0" w:before="0" w:line="240" w:lineRule="auto"/>
        <w:ind w:left="57"/>
        <w:jc w:val="left"/>
        <w:shd w:val="clear" w:fill="F2F2F2"/>
      </w:pPr>
      <w:r>
        <w:rPr>
          <w:rFonts w:ascii="Consolas" w:hAnsi="Consolas" w:cs="Consolas"/>
          <w:b w:val="0"/>
          <w:i w:val="0"/>
          <w:sz w:val="15"/>
        </w:rPr>
        <w:t>graph_risk_score INTEGER,</w:t>
      </w:r>
    </w:p>
    <w:p>
      <w:pPr>
        <w:spacing w:after="0" w:before="0" w:line="240" w:lineRule="auto"/>
        <w:ind w:left="57"/>
        <w:jc w:val="left"/>
        <w:shd w:val="clear" w:fill="F2F2F2"/>
      </w:pPr>
      <w:r>
        <w:rPr>
          <w:rFonts w:ascii="Consolas" w:hAnsi="Consolas" w:cs="Consolas"/>
          <w:b w:val="0"/>
          <w:i w:val="0"/>
          <w:sz w:val="15"/>
        </w:rPr>
        <w:t>model_version TEXT,</w:t>
      </w:r>
    </w:p>
    <w:p>
      <w:pPr>
        <w:spacing w:after="0" w:before="0" w:line="240" w:lineRule="auto"/>
        <w:ind w:left="57"/>
        <w:jc w:val="left"/>
        <w:shd w:val="clear" w:fill="F2F2F2"/>
      </w:pPr>
      <w:r>
        <w:rPr>
          <w:rFonts w:ascii="Consolas" w:hAnsi="Consolas" w:cs="Consolas"/>
          <w:b w:val="0"/>
          <w:i w:val="0"/>
          <w:sz w:val="15"/>
        </w:rPr>
        <w:t>inference_at TIMESTAMPTZ,</w:t>
      </w:r>
    </w:p>
    <w:p>
      <w:pPr>
        <w:spacing w:after="0" w:before="0" w:line="240" w:lineRule="auto"/>
        <w:ind w:left="57"/>
        <w:jc w:val="left"/>
        <w:shd w:val="clear" w:fill="F2F2F2"/>
      </w:pPr>
      <w:r>
        <w:rPr>
          <w:rFonts w:ascii="Consolas" w:hAnsi="Consolas" w:cs="Consolas"/>
          <w:b w:val="0"/>
          <w:i w:val="0"/>
          <w:sz w:val="15"/>
        </w:rPr>
        <w:t>explanation TEXT,</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Institutional trade graph edges</w:t>
      </w:r>
    </w:p>
    <w:p>
      <w:pPr>
        <w:spacing w:after="0" w:before="0" w:line="240" w:lineRule="auto"/>
        <w:ind w:left="57"/>
        <w:jc w:val="left"/>
        <w:shd w:val="clear" w:fill="F2F2F2"/>
      </w:pPr>
      <w:r>
        <w:rPr>
          <w:rFonts w:ascii="Consolas" w:hAnsi="Consolas" w:cs="Consolas"/>
          <w:b w:val="0"/>
          <w:i w:val="0"/>
          <w:sz w:val="15"/>
        </w:rPr>
        <w:t>CREATE TABLE trade_graph_edges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from_entity_anon_id TEXT NOT NULL,</w:t>
      </w:r>
    </w:p>
    <w:p>
      <w:pPr>
        <w:spacing w:after="0" w:before="0" w:line="240" w:lineRule="auto"/>
        <w:ind w:left="57"/>
        <w:jc w:val="left"/>
        <w:shd w:val="clear" w:fill="F2F2F2"/>
      </w:pPr>
      <w:r>
        <w:rPr>
          <w:rFonts w:ascii="Consolas" w:hAnsi="Consolas" w:cs="Consolas"/>
          <w:b w:val="0"/>
          <w:i w:val="0"/>
          <w:sz w:val="15"/>
        </w:rPr>
        <w:t>to_entity_anon_id TEXT NOT NULL,</w:t>
      </w:r>
    </w:p>
    <w:p>
      <w:pPr>
        <w:spacing w:after="0" w:before="0" w:line="240" w:lineRule="auto"/>
        <w:ind w:left="57"/>
        <w:jc w:val="left"/>
        <w:shd w:val="clear" w:fill="F2F2F2"/>
      </w:pPr>
      <w:r>
        <w:rPr>
          <w:rFonts w:ascii="Consolas" w:hAnsi="Consolas" w:cs="Consolas"/>
          <w:b w:val="0"/>
          <w:i w:val="0"/>
          <w:sz w:val="15"/>
        </w:rPr>
        <w:t>edge_type TEXT NOT NULL, -- 'TRADE', 'FINANCING', 'COMPLIANCE', 'SUPPLY'</w:t>
      </w:r>
    </w:p>
    <w:p>
      <w:pPr>
        <w:spacing w:after="0" w:before="0" w:line="240" w:lineRule="auto"/>
        <w:ind w:left="57"/>
        <w:jc w:val="left"/>
        <w:shd w:val="clear" w:fill="F2F2F2"/>
      </w:pPr>
      <w:r>
        <w:rPr>
          <w:rFonts w:ascii="Consolas" w:hAnsi="Consolas" w:cs="Consolas"/>
          <w:b w:val="0"/>
          <w:i w:val="0"/>
          <w:sz w:val="15"/>
        </w:rPr>
        <w:t>weight DECIMAL(5,2),</w:t>
      </w:r>
    </w:p>
    <w:p>
      <w:pPr>
        <w:spacing w:after="0" w:before="0" w:line="240" w:lineRule="auto"/>
        <w:ind w:left="57"/>
        <w:jc w:val="left"/>
        <w:shd w:val="clear" w:fill="F2F2F2"/>
      </w:pPr>
      <w:r>
        <w:rPr>
          <w:rFonts w:ascii="Consolas" w:hAnsi="Consolas" w:cs="Consolas"/>
          <w:b w:val="0"/>
          <w:i w:val="0"/>
          <w:sz w:val="15"/>
        </w:rPr>
        <w:t>first_seen TIMESTAMPTZ,</w:t>
      </w:r>
    </w:p>
    <w:p>
      <w:pPr>
        <w:spacing w:after="0" w:before="0" w:line="240" w:lineRule="auto"/>
        <w:ind w:left="57"/>
        <w:jc w:val="left"/>
        <w:shd w:val="clear" w:fill="F2F2F2"/>
      </w:pPr>
      <w:r>
        <w:rPr>
          <w:rFonts w:ascii="Consolas" w:hAnsi="Consolas" w:cs="Consolas"/>
          <w:b w:val="0"/>
          <w:i w:val="0"/>
          <w:sz w:val="15"/>
        </w:rPr>
        <w:t>last_seen TIMESTAMPTZ,</w:t>
      </w:r>
    </w:p>
    <w:p>
      <w:pPr>
        <w:spacing w:after="0" w:before="0" w:line="240" w:lineRule="auto"/>
        <w:ind w:left="57"/>
        <w:jc w:val="left"/>
        <w:shd w:val="clear" w:fill="F2F2F2"/>
      </w:pPr>
      <w:r>
        <w:rPr>
          <w:rFonts w:ascii="Consolas" w:hAnsi="Consolas" w:cs="Consolas"/>
          <w:b w:val="0"/>
          <w:i w:val="0"/>
          <w:sz w:val="15"/>
        </w:rPr>
        <w:t>zk_proof_hash TEXT,</w:t>
      </w:r>
    </w:p>
    <w:p>
      <w:pPr>
        <w:spacing w:after="0" w:before="0" w:line="240" w:lineRule="auto"/>
        <w:ind w:left="57"/>
        <w:jc w:val="left"/>
        <w:shd w:val="clear" w:fill="F2F2F2"/>
      </w:pPr>
      <w:r>
        <w:rPr>
          <w:rFonts w:ascii="Consolas" w:hAnsi="Consolas" w:cs="Consolas"/>
          <w:b w:val="0"/>
          <w:i w:val="0"/>
          <w:sz w:val="15"/>
        </w:rPr>
        <w:t>consent_granted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 Network trust scores (materialised view)</w:t>
      </w:r>
    </w:p>
    <w:p>
      <w:pPr>
        <w:spacing w:after="0" w:before="0" w:line="240" w:lineRule="auto"/>
        <w:ind w:left="57"/>
        <w:jc w:val="left"/>
        <w:shd w:val="clear" w:fill="F2F2F2"/>
      </w:pPr>
      <w:r>
        <w:rPr>
          <w:rFonts w:ascii="Consolas" w:hAnsi="Consolas" w:cs="Consolas"/>
          <w:b w:val="0"/>
          <w:i w:val="0"/>
          <w:sz w:val="15"/>
        </w:rPr>
        <w:t>CREATE MATERIALIZED VIEW network_trust_scores AS</w:t>
      </w:r>
    </w:p>
    <w:p>
      <w:pPr>
        <w:spacing w:after="0" w:before="0" w:line="240" w:lineRule="auto"/>
        <w:ind w:left="57"/>
        <w:jc w:val="left"/>
        <w:shd w:val="clear" w:fill="F2F2F2"/>
      </w:pPr>
      <w:r>
        <w:rPr>
          <w:rFonts w:ascii="Consolas" w:hAnsi="Consolas" w:cs="Consolas"/>
          <w:b w:val="0"/>
          <w:i w:val="0"/>
          <w:sz w:val="15"/>
        </w:rPr>
        <w:t>SELECT</w:t>
      </w:r>
    </w:p>
    <w:p>
      <w:pPr>
        <w:spacing w:after="0" w:before="0" w:line="240" w:lineRule="auto"/>
        <w:ind w:left="57"/>
        <w:jc w:val="left"/>
        <w:shd w:val="clear" w:fill="F2F2F2"/>
      </w:pPr>
      <w:r>
        <w:rPr>
          <w:rFonts w:ascii="Consolas" w:hAnsi="Consolas" w:cs="Consolas"/>
          <w:b w:val="0"/>
          <w:i w:val="0"/>
          <w:sz w:val="15"/>
        </w:rPr>
        <w:t>entity_gtid,</w:t>
      </w:r>
    </w:p>
    <w:p>
      <w:pPr>
        <w:spacing w:after="0" w:before="0" w:line="240" w:lineRule="auto"/>
        <w:ind w:left="57"/>
        <w:jc w:val="left"/>
        <w:shd w:val="clear" w:fill="F2F2F2"/>
      </w:pPr>
      <w:r>
        <w:rPr>
          <w:rFonts w:ascii="Consolas" w:hAnsi="Consolas" w:cs="Consolas"/>
          <w:b w:val="0"/>
          <w:i w:val="0"/>
          <w:sz w:val="15"/>
        </w:rPr>
        <w:t>COUNT(DISTINCT to_entity_anon_id) AS direct_connections,</w:t>
      </w:r>
    </w:p>
    <w:p>
      <w:pPr>
        <w:spacing w:after="0" w:before="0" w:line="240" w:lineRule="auto"/>
        <w:ind w:left="57"/>
        <w:jc w:val="left"/>
        <w:shd w:val="clear" w:fill="F2F2F2"/>
      </w:pPr>
      <w:r>
        <w:rPr>
          <w:rFonts w:ascii="Consolas" w:hAnsi="Consolas" w:cs="Consolas"/>
          <w:b w:val="0"/>
          <w:i w:val="0"/>
          <w:sz w:val="15"/>
        </w:rPr>
        <w:t>SUM(weight) AS weighted_trust_sum,</w:t>
      </w:r>
    </w:p>
    <w:p>
      <w:pPr>
        <w:spacing w:after="0" w:before="0" w:line="240" w:lineRule="auto"/>
        <w:ind w:left="57"/>
        <w:jc w:val="left"/>
        <w:shd w:val="clear" w:fill="F2F2F2"/>
      </w:pPr>
      <w:r>
        <w:rPr>
          <w:rFonts w:ascii="Consolas" w:hAnsi="Consolas" w:cs="Consolas"/>
          <w:b w:val="0"/>
          <w:i w:val="0"/>
          <w:sz w:val="15"/>
        </w:rPr>
        <w:t>CURRENT_TIMESTAMP AS refreshed_at</w:t>
      </w:r>
    </w:p>
    <w:p>
      <w:pPr>
        <w:spacing w:after="0" w:before="0" w:line="240" w:lineRule="auto"/>
        <w:ind w:left="57"/>
        <w:jc w:val="left"/>
        <w:shd w:val="clear" w:fill="F2F2F2"/>
      </w:pPr>
      <w:r>
        <w:rPr>
          <w:rFonts w:ascii="Consolas" w:hAnsi="Consolas" w:cs="Consolas"/>
          <w:b w:val="0"/>
          <w:i w:val="0"/>
          <w:sz w:val="15"/>
        </w:rPr>
        <w:t>FROM trade_graph_edges</w:t>
      </w:r>
    </w:p>
    <w:p>
      <w:pPr>
        <w:spacing w:after="0" w:before="0" w:line="240" w:lineRule="auto"/>
        <w:ind w:left="57"/>
        <w:jc w:val="left"/>
        <w:shd w:val="clear" w:fill="F2F2F2"/>
      </w:pPr>
      <w:r>
        <w:rPr>
          <w:rFonts w:ascii="Consolas" w:hAnsi="Consolas" w:cs="Consolas"/>
          <w:b w:val="0"/>
          <w:i w:val="0"/>
          <w:sz w:val="15"/>
        </w:rPr>
        <w:t>GROUP BY entity_gtid;</w:t>
      </w:r>
    </w:p>
    <w:p>
      <w:pPr>
        <w:spacing w:after="0" w:before="0" w:line="240" w:lineRule="auto"/>
        <w:ind w:left="57"/>
        <w:jc w:val="left"/>
        <w:shd w:val="clear" w:fill="F2F2F2"/>
      </w:pPr>
      <w:r>
        <w:rPr>
          <w:rFonts w:ascii="Consolas" w:hAnsi="Consolas" w:cs="Consolas"/>
          <w:b w:val="0"/>
          <w:i w:val="0"/>
          <w:sz w:val="15"/>
        </w:rPr>
        <w:t>-- Federated learning models</w:t>
      </w:r>
    </w:p>
    <w:p>
      <w:pPr>
        <w:spacing w:after="0" w:before="0" w:line="240" w:lineRule="auto"/>
        <w:ind w:left="57"/>
        <w:jc w:val="left"/>
        <w:shd w:val="clear" w:fill="F2F2F2"/>
      </w:pPr>
      <w:r>
        <w:rPr>
          <w:rFonts w:ascii="Consolas" w:hAnsi="Consolas" w:cs="Consolas"/>
          <w:b w:val="0"/>
          <w:i w:val="0"/>
          <w:sz w:val="15"/>
        </w:rPr>
        <w:t>CREATE TABLE federated_learning_models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model_name TEXT NOT NULL,</w:t>
      </w:r>
    </w:p>
    <w:p>
      <w:pPr>
        <w:spacing w:after="0" w:before="0" w:line="240" w:lineRule="auto"/>
        <w:ind w:left="57"/>
        <w:jc w:val="left"/>
        <w:shd w:val="clear" w:fill="F2F2F2"/>
      </w:pPr>
      <w:r>
        <w:rPr>
          <w:rFonts w:ascii="Consolas" w:hAnsi="Consolas" w:cs="Consolas"/>
          <w:b w:val="0"/>
          <w:i w:val="0"/>
          <w:sz w:val="15"/>
        </w:rPr>
        <w:t>version INTEGER,</w:t>
      </w:r>
    </w:p>
    <w:p>
      <w:pPr>
        <w:spacing w:after="0" w:before="0" w:line="240" w:lineRule="auto"/>
        <w:ind w:left="57"/>
        <w:jc w:val="left"/>
        <w:shd w:val="clear" w:fill="F2F2F2"/>
      </w:pPr>
      <w:r>
        <w:rPr>
          <w:rFonts w:ascii="Consolas" w:hAnsi="Consolas" w:cs="Consolas"/>
          <w:b w:val="0"/>
          <w:i w:val="0"/>
          <w:sz w:val="15"/>
        </w:rPr>
        <w:t>global_model_hash TEXT,</w:t>
      </w:r>
    </w:p>
    <w:p>
      <w:pPr>
        <w:spacing w:after="0" w:before="0" w:line="240" w:lineRule="auto"/>
        <w:ind w:left="57"/>
        <w:jc w:val="left"/>
        <w:shd w:val="clear" w:fill="F2F2F2"/>
      </w:pPr>
      <w:r>
        <w:rPr>
          <w:rFonts w:ascii="Consolas" w:hAnsi="Consolas" w:cs="Consolas"/>
          <w:b w:val="0"/>
          <w:i w:val="0"/>
          <w:sz w:val="15"/>
        </w:rPr>
        <w:t>aggregator_node_gtid TEXT,</w:t>
      </w:r>
    </w:p>
    <w:p>
      <w:pPr>
        <w:spacing w:after="0" w:before="0" w:line="240" w:lineRule="auto"/>
        <w:ind w:left="57"/>
        <w:jc w:val="left"/>
        <w:shd w:val="clear" w:fill="F2F2F2"/>
      </w:pPr>
      <w:r>
        <w:rPr>
          <w:rFonts w:ascii="Consolas" w:hAnsi="Consolas" w:cs="Consolas"/>
          <w:b w:val="0"/>
          <w:i w:val="0"/>
          <w:sz w:val="15"/>
        </w:rPr>
        <w:t>round_number INTEGER,</w:t>
      </w:r>
    </w:p>
    <w:p>
      <w:pPr>
        <w:spacing w:after="0" w:before="0" w:line="240" w:lineRule="auto"/>
        <w:ind w:left="57"/>
        <w:jc w:val="left"/>
        <w:shd w:val="clear" w:fill="F2F2F2"/>
      </w:pPr>
      <w:r>
        <w:rPr>
          <w:rFonts w:ascii="Consolas" w:hAnsi="Consolas" w:cs="Consolas"/>
          <w:b w:val="0"/>
          <w:i w:val="0"/>
          <w:sz w:val="15"/>
        </w:rPr>
        <w:t>accuracy_validation DECIMAL(5,4),</w:t>
      </w:r>
    </w:p>
    <w:p>
      <w:pPr>
        <w:spacing w:after="0" w:before="0" w:line="240" w:lineRule="auto"/>
        <w:ind w:left="57"/>
        <w:jc w:val="left"/>
        <w:shd w:val="clear" w:fill="F2F2F2"/>
      </w:pPr>
      <w:r>
        <w:rPr>
          <w:rFonts w:ascii="Consolas" w:hAnsi="Consolas" w:cs="Consolas"/>
          <w:b w:val="0"/>
          <w:i w:val="0"/>
          <w:sz w:val="15"/>
        </w:rPr>
        <w:t>deployed_at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Local training metadata</w:t>
      </w:r>
    </w:p>
    <w:p>
      <w:pPr>
        <w:spacing w:after="0" w:before="0" w:line="240" w:lineRule="auto"/>
        <w:ind w:left="57"/>
        <w:jc w:val="left"/>
        <w:shd w:val="clear" w:fill="F2F2F2"/>
      </w:pPr>
      <w:r>
        <w:rPr>
          <w:rFonts w:ascii="Consolas" w:hAnsi="Consolas" w:cs="Consolas"/>
          <w:b w:val="0"/>
          <w:i w:val="0"/>
          <w:sz w:val="15"/>
        </w:rPr>
        <w:t>CREATE TABLE local_training_metadata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node_gtid TEXT NOT NULL,</w:t>
      </w:r>
    </w:p>
    <w:p>
      <w:pPr>
        <w:spacing w:after="0" w:before="0" w:line="240" w:lineRule="auto"/>
        <w:ind w:left="57"/>
        <w:jc w:val="left"/>
        <w:shd w:val="clear" w:fill="F2F2F2"/>
      </w:pPr>
      <w:r>
        <w:rPr>
          <w:rFonts w:ascii="Consolas" w:hAnsi="Consolas" w:cs="Consolas"/>
          <w:b w:val="0"/>
          <w:i w:val="0"/>
          <w:sz w:val="15"/>
        </w:rPr>
        <w:t>model_name TEXT NOT NULL,</w:t>
      </w:r>
    </w:p>
    <w:p>
      <w:pPr>
        <w:spacing w:after="0" w:before="0" w:line="240" w:lineRule="auto"/>
        <w:ind w:left="57"/>
        <w:jc w:val="left"/>
        <w:shd w:val="clear" w:fill="F2F2F2"/>
      </w:pPr>
      <w:r>
        <w:rPr>
          <w:rFonts w:ascii="Consolas" w:hAnsi="Consolas" w:cs="Consolas"/>
          <w:b w:val="0"/>
          <w:i w:val="0"/>
          <w:sz w:val="15"/>
        </w:rPr>
        <w:t>round_number INTEGER,</w:t>
      </w:r>
    </w:p>
    <w:p>
      <w:pPr>
        <w:spacing w:after="0" w:before="0" w:line="240" w:lineRule="auto"/>
        <w:ind w:left="57"/>
        <w:jc w:val="left"/>
        <w:shd w:val="clear" w:fill="F2F2F2"/>
      </w:pPr>
      <w:r>
        <w:rPr>
          <w:rFonts w:ascii="Consolas" w:hAnsi="Consolas" w:cs="Consolas"/>
          <w:b w:val="0"/>
          <w:i w:val="0"/>
          <w:sz w:val="15"/>
        </w:rPr>
        <w:t>local_accuracy DECIMAL(5,4),</w:t>
      </w:r>
    </w:p>
    <w:p>
      <w:pPr>
        <w:spacing w:after="0" w:before="0" w:line="240" w:lineRule="auto"/>
        <w:ind w:left="57"/>
        <w:jc w:val="left"/>
        <w:shd w:val="clear" w:fill="F2F2F2"/>
      </w:pPr>
      <w:r>
        <w:rPr>
          <w:rFonts w:ascii="Consolas" w:hAnsi="Consolas" w:cs="Consolas"/>
          <w:b w:val="0"/>
          <w:i w:val="0"/>
          <w:sz w:val="15"/>
        </w:rPr>
        <w:t>data_size INTEGER,</w:t>
      </w:r>
    </w:p>
    <w:p>
      <w:pPr>
        <w:spacing w:after="0" w:before="0" w:line="240" w:lineRule="auto"/>
        <w:ind w:left="57"/>
        <w:jc w:val="left"/>
        <w:shd w:val="clear" w:fill="F2F2F2"/>
      </w:pPr>
      <w:r>
        <w:rPr>
          <w:rFonts w:ascii="Consolas" w:hAnsi="Consolas" w:cs="Consolas"/>
          <w:b w:val="0"/>
          <w:i w:val="0"/>
          <w:sz w:val="15"/>
        </w:rPr>
        <w:t>training_duration_seconds INTEGER,</w:t>
      </w:r>
    </w:p>
    <w:p>
      <w:pPr>
        <w:spacing w:after="0" w:before="0" w:line="240" w:lineRule="auto"/>
        <w:ind w:left="57"/>
        <w:jc w:val="left"/>
        <w:shd w:val="clear" w:fill="F2F2F2"/>
      </w:pPr>
      <w:r>
        <w:rPr>
          <w:rFonts w:ascii="Consolas" w:hAnsi="Consolas" w:cs="Consolas"/>
          <w:b w:val="0"/>
          <w:i w:val="0"/>
          <w:sz w:val="15"/>
        </w:rPr>
        <w:t>uploaded_at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17.28 Infrastructure &amp; Security</w:t>
      </w:r>
    </w:p>
    <w:p>
      <w:pPr>
        <w:spacing w:after="80" w:line="293" w:lineRule="auto"/>
        <w:jc w:val="left"/>
      </w:pPr>
      <w:r>
        <w:rPr>
          <w:rFonts w:ascii="Times New Roman" w:hAnsi="Times New Roman" w:cs="Times New Roman"/>
          <w:b w:val="0"/>
          <w:i w:val="0"/>
          <w:sz w:val="22"/>
        </w:rPr>
        <w:t>Predictive infrastructure failure; chaos experiments with Groq summaries; threat findings from automated penetration testing.</w:t>
      </w:r>
    </w:p>
    <w:p>
      <w:pPr>
        <w:spacing w:after="0" w:before="0" w:line="240" w:lineRule="auto"/>
        <w:ind w:left="57"/>
        <w:jc w:val="left"/>
        <w:shd w:val="clear" w:fill="F2F2F2"/>
      </w:pPr>
      <w:r>
        <w:rPr>
          <w:rFonts w:ascii="Consolas" w:hAnsi="Consolas" w:cs="Consolas"/>
          <w:b w:val="0"/>
          <w:i w:val="0"/>
          <w:sz w:val="15"/>
        </w:rPr>
        <w:t>-- Infrastructure predictions</w:t>
      </w:r>
    </w:p>
    <w:p>
      <w:pPr>
        <w:spacing w:after="0" w:before="0" w:line="240" w:lineRule="auto"/>
        <w:ind w:left="57"/>
        <w:jc w:val="left"/>
        <w:shd w:val="clear" w:fill="F2F2F2"/>
      </w:pPr>
      <w:r>
        <w:rPr>
          <w:rFonts w:ascii="Consolas" w:hAnsi="Consolas" w:cs="Consolas"/>
          <w:b w:val="0"/>
          <w:i w:val="0"/>
          <w:sz w:val="15"/>
        </w:rPr>
        <w:t>CREATE TABLE infrastructure_predictions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node_gtid TEXT NOT NULL,</w:t>
      </w:r>
    </w:p>
    <w:p>
      <w:pPr>
        <w:spacing w:after="0" w:before="0" w:line="240" w:lineRule="auto"/>
        <w:ind w:left="57"/>
        <w:jc w:val="left"/>
        <w:shd w:val="clear" w:fill="F2F2F2"/>
      </w:pPr>
      <w:r>
        <w:rPr>
          <w:rFonts w:ascii="Consolas" w:hAnsi="Consolas" w:cs="Consolas"/>
          <w:b w:val="0"/>
          <w:i w:val="0"/>
          <w:sz w:val="15"/>
        </w:rPr>
        <w:t>component TEXT NOT NULL,</w:t>
      </w:r>
    </w:p>
    <w:p>
      <w:pPr>
        <w:spacing w:after="0" w:before="0" w:line="240" w:lineRule="auto"/>
        <w:ind w:left="57"/>
        <w:jc w:val="left"/>
        <w:shd w:val="clear" w:fill="F2F2F2"/>
      </w:pPr>
      <w:r>
        <w:rPr>
          <w:rFonts w:ascii="Consolas" w:hAnsi="Consolas" w:cs="Consolas"/>
          <w:b w:val="0"/>
          <w:i w:val="0"/>
          <w:sz w:val="15"/>
        </w:rPr>
        <w:t xml:space="preserve"> predicted_failure_probability DECIMAL(5,4),</w:t>
      </w:r>
    </w:p>
    <w:p>
      <w:pPr>
        <w:spacing w:after="0" w:before="0" w:line="240" w:lineRule="auto"/>
        <w:ind w:left="57"/>
        <w:jc w:val="left"/>
        <w:shd w:val="clear" w:fill="F2F2F2"/>
      </w:pPr>
      <w:r>
        <w:rPr>
          <w:rFonts w:ascii="Consolas" w:hAnsi="Consolas" w:cs="Consolas"/>
          <w:b w:val="0"/>
          <w:i w:val="0"/>
          <w:sz w:val="15"/>
        </w:rPr>
        <w:t>estimated_failure_date TIMESTAMPTZ,</w:t>
      </w:r>
    </w:p>
    <w:p>
      <w:pPr>
        <w:spacing w:after="0" w:before="0" w:line="240" w:lineRule="auto"/>
        <w:ind w:left="57"/>
        <w:jc w:val="left"/>
        <w:shd w:val="clear" w:fill="F2F2F2"/>
      </w:pPr>
      <w:r>
        <w:rPr>
          <w:rFonts w:ascii="Consolas" w:hAnsi="Consolas" w:cs="Consolas"/>
          <w:b w:val="0"/>
          <w:i w:val="0"/>
          <w:sz w:val="15"/>
        </w:rPr>
        <w:t>action_taken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Chaos experiments</w:t>
      </w:r>
    </w:p>
    <w:p>
      <w:pPr>
        <w:spacing w:after="0" w:before="0" w:line="240" w:lineRule="auto"/>
        <w:ind w:left="57"/>
        <w:jc w:val="left"/>
        <w:shd w:val="clear" w:fill="F2F2F2"/>
      </w:pPr>
      <w:r>
        <w:rPr>
          <w:rFonts w:ascii="Consolas" w:hAnsi="Consolas" w:cs="Consolas"/>
          <w:b w:val="0"/>
          <w:i w:val="0"/>
          <w:sz w:val="15"/>
        </w:rPr>
        <w:t>CREATE TABLE chaos_experiments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experiment_name TEXT NOT NULL,</w:t>
      </w:r>
    </w:p>
    <w:p>
      <w:pPr>
        <w:spacing w:after="0" w:before="0" w:line="240" w:lineRule="auto"/>
        <w:ind w:left="57"/>
        <w:jc w:val="left"/>
        <w:shd w:val="clear" w:fill="F2F2F2"/>
      </w:pPr>
      <w:r>
        <w:rPr>
          <w:rFonts w:ascii="Consolas" w:hAnsi="Consolas" w:cs="Consolas"/>
          <w:b w:val="0"/>
          <w:i w:val="0"/>
          <w:sz w:val="15"/>
        </w:rPr>
        <w:t>namespace TEXT NOT NULL,</w:t>
      </w:r>
    </w:p>
    <w:p>
      <w:pPr>
        <w:spacing w:after="0" w:before="0" w:line="240" w:lineRule="auto"/>
        <w:ind w:left="57"/>
        <w:jc w:val="left"/>
        <w:shd w:val="clear" w:fill="F2F2F2"/>
      </w:pPr>
      <w:r>
        <w:rPr>
          <w:rFonts w:ascii="Consolas" w:hAnsi="Consolas" w:cs="Consolas"/>
          <w:b w:val="0"/>
          <w:i w:val="0"/>
          <w:sz w:val="15"/>
        </w:rPr>
        <w:t>status TEXT, -- 'RUNNING', 'SUCCEEDED', 'FAILED'</w:t>
      </w:r>
    </w:p>
    <w:p>
      <w:pPr>
        <w:spacing w:after="0" w:before="0" w:line="240" w:lineRule="auto"/>
        <w:ind w:left="57"/>
        <w:jc w:val="left"/>
        <w:shd w:val="clear" w:fill="F2F2F2"/>
      </w:pPr>
      <w:r>
        <w:rPr>
          <w:rFonts w:ascii="Consolas" w:hAnsi="Consolas" w:cs="Consolas"/>
          <w:b w:val="0"/>
          <w:i w:val="0"/>
          <w:sz w:val="15"/>
        </w:rPr>
        <w:t>started_at TIMESTAMPTZ,</w:t>
      </w:r>
    </w:p>
    <w:p>
      <w:pPr>
        <w:spacing w:after="0" w:before="0" w:line="240" w:lineRule="auto"/>
        <w:ind w:left="57"/>
        <w:jc w:val="left"/>
        <w:shd w:val="clear" w:fill="F2F2F2"/>
      </w:pPr>
      <w:r>
        <w:rPr>
          <w:rFonts w:ascii="Consolas" w:hAnsi="Consolas" w:cs="Consolas"/>
          <w:b w:val="0"/>
          <w:i w:val="0"/>
          <w:sz w:val="15"/>
        </w:rPr>
        <w:t>finished_at TIMESTAMPTZ,</w:t>
      </w:r>
    </w:p>
    <w:p>
      <w:pPr>
        <w:spacing w:after="0" w:before="0" w:line="240" w:lineRule="auto"/>
        <w:ind w:left="57"/>
        <w:jc w:val="left"/>
        <w:shd w:val="clear" w:fill="F2F2F2"/>
      </w:pPr>
      <w:r>
        <w:rPr>
          <w:rFonts w:ascii="Consolas" w:hAnsi="Consolas" w:cs="Consolas"/>
          <w:b w:val="0"/>
          <w:i w:val="0"/>
          <w:sz w:val="15"/>
        </w:rPr>
        <w:t>groq_summary TEXT,</w:t>
      </w:r>
    </w:p>
    <w:p>
      <w:pPr>
        <w:spacing w:after="0" w:before="0" w:line="240" w:lineRule="auto"/>
        <w:ind w:left="57"/>
        <w:jc w:val="left"/>
        <w:shd w:val="clear" w:fill="F2F2F2"/>
      </w:pPr>
      <w:r>
        <w:rPr>
          <w:rFonts w:ascii="Consolas" w:hAnsi="Consolas" w:cs="Consolas"/>
          <w:b w:val="0"/>
          <w:i w:val="0"/>
          <w:sz w:val="15"/>
        </w:rPr>
        <w:t>logs_url TEXT,</w:t>
      </w:r>
    </w:p>
    <w:p>
      <w:pPr>
        <w:spacing w:after="0" w:before="0" w:line="240" w:lineRule="auto"/>
        <w:ind w:left="57"/>
        <w:jc w:val="left"/>
        <w:shd w:val="clear" w:fill="F2F2F2"/>
      </w:pPr>
      <w:r>
        <w:rPr>
          <w:rFonts w:ascii="Consolas" w:hAnsi="Consolas" w:cs="Consolas"/>
          <w:b w:val="0"/>
          <w:i w:val="0"/>
          <w:sz w:val="15"/>
        </w:rPr>
        <w:t>created_by_gtid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Threat findings (pentesting)</w:t>
      </w:r>
    </w:p>
    <w:p>
      <w:pPr>
        <w:spacing w:after="0" w:before="0" w:line="240" w:lineRule="auto"/>
        <w:ind w:left="57"/>
        <w:jc w:val="left"/>
        <w:shd w:val="clear" w:fill="F2F2F2"/>
      </w:pPr>
      <w:r>
        <w:rPr>
          <w:rFonts w:ascii="Consolas" w:hAnsi="Consolas" w:cs="Consolas"/>
          <w:b w:val="0"/>
          <w:i w:val="0"/>
          <w:sz w:val="15"/>
        </w:rPr>
        <w:t>CREATE TABLE threat_findings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tool_name TEXT NOT NULL,</w:t>
      </w:r>
    </w:p>
    <w:p>
      <w:pPr>
        <w:spacing w:after="0" w:before="0" w:line="240" w:lineRule="auto"/>
        <w:ind w:left="57"/>
        <w:jc w:val="left"/>
        <w:shd w:val="clear" w:fill="F2F2F2"/>
      </w:pPr>
      <w:r>
        <w:rPr>
          <w:rFonts w:ascii="Consolas" w:hAnsi="Consolas" w:cs="Consolas"/>
          <w:b w:val="0"/>
          <w:i w:val="0"/>
          <w:sz w:val="15"/>
        </w:rPr>
        <w:t>severity TEXT NOT NULL, -- 'CRITICAL', 'HIGH', 'MEDIUM', 'LOW'</w:t>
      </w:r>
    </w:p>
    <w:p>
      <w:pPr>
        <w:spacing w:after="0" w:before="0" w:line="240" w:lineRule="auto"/>
        <w:ind w:left="57"/>
        <w:jc w:val="left"/>
        <w:shd w:val="clear" w:fill="F2F2F2"/>
      </w:pPr>
      <w:r>
        <w:rPr>
          <w:rFonts w:ascii="Consolas" w:hAnsi="Consolas" w:cs="Consolas"/>
          <w:b w:val="0"/>
          <w:i w:val="0"/>
          <w:sz w:val="15"/>
        </w:rPr>
        <w:t>title TEXT NOT NULL,</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remediation TEXT,</w:t>
      </w:r>
    </w:p>
    <w:p>
      <w:pPr>
        <w:spacing w:after="0" w:before="0" w:line="240" w:lineRule="auto"/>
        <w:ind w:left="57"/>
        <w:jc w:val="left"/>
        <w:shd w:val="clear" w:fill="F2F2F2"/>
      </w:pPr>
      <w:r>
        <w:rPr>
          <w:rFonts w:ascii="Consolas" w:hAnsi="Consolas" w:cs="Consolas"/>
          <w:b w:val="0"/>
          <w:i w:val="0"/>
          <w:sz w:val="15"/>
        </w:rPr>
        <w:t>cve_id TEXT,</w:t>
      </w:r>
    </w:p>
    <w:p>
      <w:pPr>
        <w:spacing w:after="0" w:before="0" w:line="240" w:lineRule="auto"/>
        <w:ind w:left="57"/>
        <w:jc w:val="left"/>
        <w:shd w:val="clear" w:fill="F2F2F2"/>
      </w:pPr>
      <w:r>
        <w:rPr>
          <w:rFonts w:ascii="Consolas" w:hAnsi="Consolas" w:cs="Consolas"/>
          <w:b w:val="0"/>
          <w:i w:val="0"/>
          <w:sz w:val="15"/>
        </w:rPr>
        <w:t>affected_component TEXT,</w:t>
      </w:r>
    </w:p>
    <w:p>
      <w:pPr>
        <w:spacing w:after="0" w:before="0" w:line="240" w:lineRule="auto"/>
        <w:ind w:left="57"/>
        <w:jc w:val="left"/>
        <w:shd w:val="clear" w:fill="F2F2F2"/>
      </w:pPr>
      <w:r>
        <w:rPr>
          <w:rFonts w:ascii="Consolas" w:hAnsi="Consolas" w:cs="Consolas"/>
          <w:b w:val="0"/>
          <w:i w:val="0"/>
          <w:sz w:val="15"/>
        </w:rPr>
        <w:t>finding_hash TEXT,</w:t>
      </w:r>
    </w:p>
    <w:p>
      <w:pPr>
        <w:spacing w:after="0" w:before="0" w:line="240" w:lineRule="auto"/>
        <w:ind w:left="57"/>
        <w:jc w:val="left"/>
        <w:shd w:val="clear" w:fill="F2F2F2"/>
      </w:pPr>
      <w:r>
        <w:rPr>
          <w:rFonts w:ascii="Consolas" w:hAnsi="Consolas" w:cs="Consolas"/>
          <w:b w:val="0"/>
          <w:i w:val="0"/>
          <w:sz w:val="15"/>
        </w:rPr>
        <w:t>resolved BOOLEAN DEFAULT false,</w:t>
      </w:r>
    </w:p>
    <w:p>
      <w:pPr>
        <w:spacing w:after="0" w:before="0" w:line="240" w:lineRule="auto"/>
        <w:ind w:left="57"/>
        <w:jc w:val="left"/>
        <w:shd w:val="clear" w:fill="F2F2F2"/>
      </w:pPr>
      <w:r>
        <w:rPr>
          <w:rFonts w:ascii="Consolas" w:hAnsi="Consolas" w:cs="Consolas"/>
          <w:b w:val="0"/>
          <w:i w:val="0"/>
          <w:sz w:val="15"/>
        </w:rPr>
        <w:t>resolved_at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17.29 Special Rates &amp; Configuration</w:t>
      </w:r>
    </w:p>
    <w:p>
      <w:pPr>
        <w:spacing w:after="80" w:line="293" w:lineRule="auto"/>
        <w:jc w:val="left"/>
      </w:pPr>
      <w:r>
        <w:rPr>
          <w:rFonts w:ascii="Times New Roman" w:hAnsi="Times New Roman" w:cs="Times New Roman"/>
          <w:b w:val="0"/>
          <w:i w:val="0"/>
          <w:sz w:val="22"/>
        </w:rPr>
        <w:t>Special rates enter through the constitutional fee engine as SPECIAL_PRICING_POLICY objects (Section 9.27.30): they select a permitted special pricing type — strategic corridor, anchor institution, government program, essential program, bulk program, launch/pilot, or institutional volume — and remain bounded by the constitutional band (0.03%-1.50%), the affordability guard, and the aggregate economic-charge rules. Direct fee-engine overrides are prohibited; every special rate is multisig-approved, versioned, reason-bearing, and auditable in Configuration History.</w:t>
      </w:r>
    </w:p>
    <w:p>
      <w:pPr>
        <w:spacing w:after="80" w:line="293" w:lineRule="auto"/>
        <w:jc w:val="left"/>
      </w:pPr>
      <w:r>
        <w:rPr>
          <w:rFonts w:ascii="Times New Roman" w:hAnsi="Times New Roman" w:cs="Times New Roman"/>
          <w:b w:val="0"/>
          <w:i w:val="0"/>
          <w:sz w:val="22"/>
        </w:rPr>
        <w:t>Admin-controlled special SGTX fee rates with multisig approval; versioned configuration history snapshots.</w:t>
      </w:r>
    </w:p>
    <w:p>
      <w:pPr>
        <w:spacing w:after="0" w:before="0" w:line="240" w:lineRule="auto"/>
        <w:ind w:left="57"/>
        <w:jc w:val="left"/>
        <w:shd w:val="clear" w:fill="F2F2F2"/>
      </w:pPr>
      <w:r>
        <w:rPr>
          <w:rFonts w:ascii="Consolas" w:hAnsi="Consolas" w:cs="Consolas"/>
          <w:b w:val="0"/>
          <w:i w:val="0"/>
          <w:sz w:val="15"/>
        </w:rPr>
        <w:t>-- Special SGTX fee rates (Admin-controlled)</w:t>
      </w:r>
    </w:p>
    <w:p>
      <w:pPr>
        <w:spacing w:after="0" w:before="0" w:line="240" w:lineRule="auto"/>
        <w:ind w:left="57"/>
        <w:jc w:val="left"/>
        <w:shd w:val="clear" w:fill="F2F2F2"/>
      </w:pPr>
      <w:r>
        <w:rPr>
          <w:rFonts w:ascii="Consolas" w:hAnsi="Consolas" w:cs="Consolas"/>
          <w:b w:val="0"/>
          <w:i w:val="0"/>
          <w:sz w:val="15"/>
        </w:rPr>
        <w:t>CREATE TABLE special_sgtx_fee_rates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seller_gtid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buyer_gtid TEXT NOT NULL REFERENCES tenants(gtid) ON DELETE CASCADE,</w:t>
      </w:r>
    </w:p>
    <w:p>
      <w:pPr>
        <w:spacing w:after="0" w:before="0" w:line="240" w:lineRule="auto"/>
        <w:ind w:left="57"/>
        <w:jc w:val="left"/>
        <w:shd w:val="clear" w:fill="F2F2F2"/>
      </w:pPr>
      <w:r>
        <w:rPr>
          <w:rFonts w:ascii="Consolas" w:hAnsi="Consolas" w:cs="Consolas"/>
          <w:b w:val="0"/>
          <w:i w:val="0"/>
          <w:sz w:val="15"/>
        </w:rPr>
        <w:t>rate DECIMAL(5,4) NOT NULL, -- 0.03% - 1.50% constitutional band; enters via SPECIAL_PRICING_POLICY</w:t>
      </w:r>
    </w:p>
    <w:p>
      <w:pPr>
        <w:spacing w:after="0" w:before="0" w:line="240" w:lineRule="auto"/>
        <w:ind w:left="57"/>
        <w:jc w:val="left"/>
        <w:shd w:val="clear" w:fill="F2F2F2"/>
      </w:pPr>
      <w:r>
        <w:rPr>
          <w:rFonts w:ascii="Consolas" w:hAnsi="Consolas" w:cs="Consolas"/>
          <w:b w:val="0"/>
          <w:i w:val="0"/>
          <w:sz w:val="15"/>
        </w:rPr>
        <w:t>effective_from TIMESTAMPTZ NOT NULL,</w:t>
      </w:r>
    </w:p>
    <w:p>
      <w:pPr>
        <w:spacing w:after="0" w:before="0" w:line="240" w:lineRule="auto"/>
        <w:ind w:left="57"/>
        <w:jc w:val="left"/>
        <w:shd w:val="clear" w:fill="F2F2F2"/>
      </w:pPr>
      <w:r>
        <w:rPr>
          <w:rFonts w:ascii="Consolas" w:hAnsi="Consolas" w:cs="Consolas"/>
          <w:b w:val="0"/>
          <w:i w:val="0"/>
          <w:sz w:val="15"/>
        </w:rPr>
        <w:t>effective_to TIMESTAMPTZ,</w:t>
      </w:r>
    </w:p>
    <w:p>
      <w:pPr>
        <w:spacing w:after="0" w:before="0" w:line="240" w:lineRule="auto"/>
        <w:ind w:left="57"/>
        <w:jc w:val="left"/>
        <w:shd w:val="clear" w:fill="F2F2F2"/>
      </w:pPr>
      <w:r>
        <w:rPr>
          <w:rFonts w:ascii="Consolas" w:hAnsi="Consolas" w:cs="Consolas"/>
          <w:b w:val="0"/>
          <w:i w:val="0"/>
          <w:sz w:val="15"/>
        </w:rPr>
        <w:t>reason TEXT NOT NULL,</w:t>
      </w:r>
    </w:p>
    <w:p>
      <w:pPr>
        <w:spacing w:after="0" w:before="0" w:line="240" w:lineRule="auto"/>
        <w:ind w:left="57"/>
        <w:jc w:val="left"/>
        <w:shd w:val="clear" w:fill="F2F2F2"/>
      </w:pPr>
      <w:r>
        <w:rPr>
          <w:rFonts w:ascii="Consolas" w:hAnsi="Consolas" w:cs="Consolas"/>
          <w:b w:val="0"/>
          <w:i w:val="0"/>
          <w:sz w:val="15"/>
        </w:rPr>
        <w:t>status TEXT DEFAULT 'ACTIVE', -- 'ACTIVE', 'EXPIRED', 'REVOKED'</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approved_by TEXT[], -- GTIDs of multisig members who approved</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Configuration history (versioned)</w:t>
      </w:r>
    </w:p>
    <w:p>
      <w:pPr>
        <w:spacing w:after="0" w:before="0" w:line="240" w:lineRule="auto"/>
        <w:ind w:left="57"/>
        <w:jc w:val="left"/>
        <w:shd w:val="clear" w:fill="F2F2F2"/>
      </w:pPr>
      <w:r>
        <w:rPr>
          <w:rFonts w:ascii="Consolas" w:hAnsi="Consolas" w:cs="Consolas"/>
          <w:b w:val="0"/>
          <w:i w:val="0"/>
          <w:sz w:val="15"/>
        </w:rPr>
        <w:t>CREATE TABLE configuration_history (</w:t>
      </w:r>
    </w:p>
    <w:p>
      <w:pPr>
        <w:spacing w:after="0" w:before="0" w:line="240" w:lineRule="auto"/>
        <w:ind w:left="57"/>
        <w:jc w:val="left"/>
        <w:shd w:val="clear" w:fill="F2F2F2"/>
      </w:pPr>
      <w:r>
        <w:rPr>
          <w:rFonts w:ascii="Consolas" w:hAnsi="Consolas" w:cs="Consolas"/>
          <w:b w:val="0"/>
          <w:i w:val="0"/>
          <w:sz w:val="15"/>
        </w:rPr>
        <w:t>id BIGSERIAL PRIMARY KEY,</w:t>
      </w:r>
    </w:p>
    <w:p>
      <w:pPr>
        <w:spacing w:after="0" w:before="0" w:line="240" w:lineRule="auto"/>
        <w:ind w:left="57"/>
        <w:jc w:val="left"/>
        <w:shd w:val="clear" w:fill="F2F2F2"/>
      </w:pPr>
      <w:r>
        <w:rPr>
          <w:rFonts w:ascii="Consolas" w:hAnsi="Consolas" w:cs="Consolas"/>
          <w:b w:val="0"/>
          <w:i w:val="0"/>
          <w:sz w:val="15"/>
        </w:rPr>
        <w:t>version INTEGER NOT NULL,</w:t>
      </w:r>
    </w:p>
    <w:p>
      <w:pPr>
        <w:spacing w:after="0" w:before="0" w:line="240" w:lineRule="auto"/>
        <w:ind w:left="57"/>
        <w:jc w:val="left"/>
        <w:shd w:val="clear" w:fill="F2F2F2"/>
      </w:pPr>
      <w:r>
        <w:rPr>
          <w:rFonts w:ascii="Consolas" w:hAnsi="Consolas" w:cs="Consolas"/>
          <w:b w:val="0"/>
          <w:i w:val="0"/>
          <w:sz w:val="15"/>
        </w:rPr>
        <w:t>changed_by UUID REFERENCES employees(id) ON DELETE SET NULL,</w:t>
      </w:r>
    </w:p>
    <w:p>
      <w:pPr>
        <w:spacing w:after="0" w:before="0" w:line="240" w:lineRule="auto"/>
        <w:ind w:left="57"/>
        <w:jc w:val="left"/>
        <w:shd w:val="clear" w:fill="F2F2F2"/>
      </w:pPr>
      <w:r>
        <w:rPr>
          <w:rFonts w:ascii="Consolas" w:hAnsi="Consolas" w:cs="Consolas"/>
          <w:b w:val="0"/>
          <w:i w:val="0"/>
          <w:sz w:val="15"/>
        </w:rPr>
        <w:t>change_reason TEXT,</w:t>
      </w:r>
    </w:p>
    <w:p>
      <w:pPr>
        <w:spacing w:after="0" w:before="0" w:line="240" w:lineRule="auto"/>
        <w:ind w:left="57"/>
        <w:jc w:val="left"/>
        <w:shd w:val="clear" w:fill="F2F2F2"/>
      </w:pPr>
      <w:r>
        <w:rPr>
          <w:rFonts w:ascii="Consolas" w:hAnsi="Consolas" w:cs="Consolas"/>
          <w:b w:val="0"/>
          <w:i w:val="0"/>
          <w:sz w:val="15"/>
        </w:rPr>
        <w:t>config_snapshot JSONB NOT NULL,</w:t>
      </w:r>
    </w:p>
    <w:p>
      <w:pPr>
        <w:spacing w:after="0" w:before="0" w:line="240" w:lineRule="auto"/>
        <w:ind w:left="57"/>
        <w:jc w:val="left"/>
        <w:shd w:val="clear" w:fill="F2F2F2"/>
      </w:pPr>
      <w:r>
        <w:rPr>
          <w:rFonts w:ascii="Consolas" w:hAnsi="Consolas" w:cs="Consolas"/>
          <w:b w:val="0"/>
          <w:i w:val="0"/>
          <w:sz w:val="15"/>
        </w:rPr>
        <w:t>changed_at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17.30 Indexes</w:t>
      </w:r>
    </w:p>
    <w:p>
      <w:pPr>
        <w:spacing w:after="80" w:line="293" w:lineRule="auto"/>
        <w:jc w:val="left"/>
      </w:pPr>
      <w:r>
        <w:rPr>
          <w:rFonts w:ascii="Times New Roman" w:hAnsi="Times New Roman" w:cs="Times New Roman"/>
          <w:b w:val="0"/>
          <w:i w:val="0"/>
          <w:sz w:val="22"/>
        </w:rPr>
        <w:t>Performance indexes across identity, trade, shipment, contract, fee, logistics, QC, broker, financing, distressed, dispute, governance, inbox, document, settlement, integration, release, RIA, contacts, tasks, and notification access paths. Partial indexes cover active distressed listings, deferred payments, snoozed inbox items, and blocked contacts.</w:t>
      </w:r>
    </w:p>
    <w:p>
      <w:pPr>
        <w:spacing w:after="0" w:before="0" w:line="240" w:lineRule="auto"/>
        <w:ind w:left="57"/>
        <w:jc w:val="left"/>
        <w:shd w:val="clear" w:fill="F2F2F2"/>
      </w:pPr>
      <w:r>
        <w:rPr>
          <w:rFonts w:ascii="Consolas" w:hAnsi="Consolas" w:cs="Consolas"/>
          <w:b w:val="0"/>
          <w:i w:val="0"/>
          <w:sz w:val="15"/>
        </w:rPr>
        <w:t xml:space="preserve"> -- Identity indexes</w:t>
      </w:r>
    </w:p>
    <w:p>
      <w:pPr>
        <w:spacing w:after="0" w:before="0" w:line="240" w:lineRule="auto"/>
        <w:ind w:left="57"/>
        <w:jc w:val="left"/>
        <w:shd w:val="clear" w:fill="F2F2F2"/>
      </w:pPr>
      <w:r>
        <w:rPr>
          <w:rFonts w:ascii="Consolas" w:hAnsi="Consolas" w:cs="Consolas"/>
          <w:b w:val="0"/>
          <w:i w:val="0"/>
          <w:sz w:val="15"/>
        </w:rPr>
        <w:t>CREATE INDEX idx_tenants_gtid ON tenants(gtid);</w:t>
      </w:r>
    </w:p>
    <w:p>
      <w:pPr>
        <w:spacing w:after="0" w:before="0" w:line="240" w:lineRule="auto"/>
        <w:ind w:left="57"/>
        <w:jc w:val="left"/>
        <w:shd w:val="clear" w:fill="F2F2F2"/>
      </w:pPr>
      <w:r>
        <w:rPr>
          <w:rFonts w:ascii="Consolas" w:hAnsi="Consolas" w:cs="Consolas"/>
          <w:b w:val="0"/>
          <w:i w:val="0"/>
          <w:sz w:val="15"/>
        </w:rPr>
        <w:t>CREATE INDEX idx_tenants_type ON tenants(type);</w:t>
      </w:r>
    </w:p>
    <w:p>
      <w:pPr>
        <w:spacing w:after="0" w:before="0" w:line="240" w:lineRule="auto"/>
        <w:ind w:left="57"/>
        <w:jc w:val="left"/>
        <w:shd w:val="clear" w:fill="F2F2F2"/>
      </w:pPr>
      <w:r>
        <w:rPr>
          <w:rFonts w:ascii="Consolas" w:hAnsi="Consolas" w:cs="Consolas"/>
          <w:b w:val="0"/>
          <w:i w:val="0"/>
          <w:sz w:val="15"/>
        </w:rPr>
        <w:t>CREATE INDEX idx_tenants_lifecycle_state ON tenants(lifecycle_state);</w:t>
      </w:r>
    </w:p>
    <w:p>
      <w:pPr>
        <w:spacing w:after="0" w:before="0" w:line="240" w:lineRule="auto"/>
        <w:ind w:left="57"/>
        <w:jc w:val="left"/>
        <w:shd w:val="clear" w:fill="F2F2F2"/>
      </w:pPr>
      <w:r>
        <w:rPr>
          <w:rFonts w:ascii="Consolas" w:hAnsi="Consolas" w:cs="Consolas"/>
          <w:b w:val="0"/>
          <w:i w:val="0"/>
          <w:sz w:val="15"/>
        </w:rPr>
        <w:t>CREATE INDEX idx_employees_tenant ON employees(tenant_id);</w:t>
      </w:r>
    </w:p>
    <w:p>
      <w:pPr>
        <w:spacing w:after="0" w:before="0" w:line="240" w:lineRule="auto"/>
        <w:ind w:left="57"/>
        <w:jc w:val="left"/>
        <w:shd w:val="clear" w:fill="F2F2F2"/>
      </w:pPr>
      <w:r>
        <w:rPr>
          <w:rFonts w:ascii="Consolas" w:hAnsi="Consolas" w:cs="Consolas"/>
          <w:b w:val="0"/>
          <w:i w:val="0"/>
          <w:sz w:val="15"/>
        </w:rPr>
        <w:t>CREATE INDEX idx_employees_email ON employees(email);</w:t>
      </w:r>
    </w:p>
    <w:p>
      <w:pPr>
        <w:spacing w:after="0" w:before="0" w:line="240" w:lineRule="auto"/>
        <w:ind w:left="57"/>
        <w:jc w:val="left"/>
        <w:shd w:val="clear" w:fill="F2F2F2"/>
      </w:pPr>
      <w:r>
        <w:rPr>
          <w:rFonts w:ascii="Consolas" w:hAnsi="Consolas" w:cs="Consolas"/>
          <w:b w:val="0"/>
          <w:i w:val="0"/>
          <w:sz w:val="15"/>
        </w:rPr>
        <w:t>CREATE INDEX idx_employees_status ON employees(status);</w:t>
      </w:r>
    </w:p>
    <w:p>
      <w:pPr>
        <w:spacing w:after="0" w:before="0" w:line="240" w:lineRule="auto"/>
        <w:ind w:left="57"/>
        <w:jc w:val="left"/>
        <w:shd w:val="clear" w:fill="F2F2F2"/>
      </w:pPr>
      <w:r>
        <w:rPr>
          <w:rFonts w:ascii="Consolas" w:hAnsi="Consolas" w:cs="Consolas"/>
          <w:b w:val="0"/>
          <w:i w:val="0"/>
          <w:sz w:val="15"/>
        </w:rPr>
        <w:t>CREATE INDEX idx_tenant_lifecycle_history_tenant ON tenant_lifecycle_history(tenant_id);</w:t>
      </w:r>
    </w:p>
    <w:p>
      <w:pPr>
        <w:spacing w:after="0" w:before="0" w:line="240" w:lineRule="auto"/>
        <w:ind w:left="57"/>
        <w:jc w:val="left"/>
        <w:shd w:val="clear" w:fill="F2F2F2"/>
      </w:pPr>
      <w:r>
        <w:rPr>
          <w:rFonts w:ascii="Consolas" w:hAnsi="Consolas" w:cs="Consolas"/>
          <w:b w:val="0"/>
          <w:i w:val="0"/>
          <w:sz w:val="15"/>
        </w:rPr>
        <w:t>CREATE INDEX idx_tenant_lifecycle_history_state ON tenant_lifecycle_history(to_state);</w:t>
      </w:r>
    </w:p>
    <w:p>
      <w:pPr>
        <w:spacing w:after="0" w:before="0" w:line="240" w:lineRule="auto"/>
        <w:ind w:left="57"/>
        <w:jc w:val="left"/>
        <w:shd w:val="clear" w:fill="F2F2F2"/>
      </w:pPr>
      <w:r>
        <w:rPr>
          <w:rFonts w:ascii="Consolas" w:hAnsi="Consolas" w:cs="Consolas"/>
          <w:b w:val="0"/>
          <w:i w:val="0"/>
          <w:sz w:val="15"/>
        </w:rPr>
        <w:t>-- Trust Passport indexes</w:t>
      </w:r>
    </w:p>
    <w:p>
      <w:pPr>
        <w:spacing w:after="0" w:before="0" w:line="240" w:lineRule="auto"/>
        <w:ind w:left="57"/>
        <w:jc w:val="left"/>
        <w:shd w:val="clear" w:fill="F2F2F2"/>
      </w:pPr>
      <w:r>
        <w:rPr>
          <w:rFonts w:ascii="Consolas" w:hAnsi="Consolas" w:cs="Consolas"/>
          <w:b w:val="0"/>
          <w:i w:val="0"/>
          <w:sz w:val="15"/>
        </w:rPr>
        <w:t>CREATE INDEX idx_trust_passports_tenant ON trust_passports(tenant_gtid);</w:t>
      </w:r>
    </w:p>
    <w:p>
      <w:pPr>
        <w:spacing w:after="0" w:before="0" w:line="240" w:lineRule="auto"/>
        <w:ind w:left="57"/>
        <w:jc w:val="left"/>
        <w:shd w:val="clear" w:fill="F2F2F2"/>
      </w:pPr>
      <w:r>
        <w:rPr>
          <w:rFonts w:ascii="Consolas" w:hAnsi="Consolas" w:cs="Consolas"/>
          <w:b w:val="0"/>
          <w:i w:val="0"/>
          <w:sz w:val="15"/>
        </w:rPr>
        <w:t>CREATE INDEX idx_trust_passport_shares_token ON trust_passport_shares(token);</w:t>
      </w:r>
    </w:p>
    <w:p>
      <w:pPr>
        <w:spacing w:after="0" w:before="0" w:line="240" w:lineRule="auto"/>
        <w:ind w:left="57"/>
        <w:jc w:val="left"/>
        <w:shd w:val="clear" w:fill="F2F2F2"/>
      </w:pPr>
      <w:r>
        <w:rPr>
          <w:rFonts w:ascii="Consolas" w:hAnsi="Consolas" w:cs="Consolas"/>
          <w:b w:val="0"/>
          <w:i w:val="0"/>
          <w:sz w:val="15"/>
        </w:rPr>
        <w:t>CREATE INDEX idx_tri_history_tenant_date ON tri_history(tenant_gtid, calculated_at DESC);</w:t>
      </w:r>
    </w:p>
    <w:p>
      <w:pPr>
        <w:spacing w:after="0" w:before="0" w:line="240" w:lineRule="auto"/>
        <w:ind w:left="57"/>
        <w:jc w:val="left"/>
        <w:shd w:val="clear" w:fill="F2F2F2"/>
      </w:pPr>
      <w:r>
        <w:rPr>
          <w:rFonts w:ascii="Consolas" w:hAnsi="Consolas" w:cs="Consolas"/>
          <w:b w:val="0"/>
          <w:i w:val="0"/>
          <w:sz w:val="15"/>
        </w:rPr>
        <w:t>-- Trade indexes</w:t>
      </w:r>
    </w:p>
    <w:p>
      <w:pPr>
        <w:spacing w:after="0" w:before="0" w:line="240" w:lineRule="auto"/>
        <w:ind w:left="57"/>
        <w:jc w:val="left"/>
        <w:shd w:val="clear" w:fill="F2F2F2"/>
      </w:pPr>
      <w:r>
        <w:rPr>
          <w:rFonts w:ascii="Consolas" w:hAnsi="Consolas" w:cs="Consolas"/>
          <w:b w:val="0"/>
          <w:i w:val="0"/>
          <w:sz w:val="15"/>
        </w:rPr>
        <w:t>CREATE INDEX idx_trade_requests_buyer ON trade_requests(buyer_tenant_id);</w:t>
      </w:r>
    </w:p>
    <w:p>
      <w:pPr>
        <w:spacing w:after="0" w:before="0" w:line="240" w:lineRule="auto"/>
        <w:ind w:left="57"/>
        <w:jc w:val="left"/>
        <w:shd w:val="clear" w:fill="F2F2F2"/>
      </w:pPr>
      <w:r>
        <w:rPr>
          <w:rFonts w:ascii="Consolas" w:hAnsi="Consolas" w:cs="Consolas"/>
          <w:b w:val="0"/>
          <w:i w:val="0"/>
          <w:sz w:val="15"/>
        </w:rPr>
        <w:t>CREATE INDEX idx_trade_requests_seller ON trade_requests(seller_tenant_id);</w:t>
      </w:r>
    </w:p>
    <w:p>
      <w:pPr>
        <w:spacing w:after="0" w:before="0" w:line="240" w:lineRule="auto"/>
        <w:ind w:left="57"/>
        <w:jc w:val="left"/>
        <w:shd w:val="clear" w:fill="F2F2F2"/>
      </w:pPr>
      <w:r>
        <w:rPr>
          <w:rFonts w:ascii="Consolas" w:hAnsi="Consolas" w:cs="Consolas"/>
          <w:b w:val="0"/>
          <w:i w:val="0"/>
          <w:sz w:val="15"/>
        </w:rPr>
        <w:t>CREATE INDEX idx_trade_requests_status ON trade_requests(status);</w:t>
      </w:r>
    </w:p>
    <w:p>
      <w:pPr>
        <w:spacing w:after="0" w:before="0" w:line="240" w:lineRule="auto"/>
        <w:ind w:left="57"/>
        <w:jc w:val="left"/>
        <w:shd w:val="clear" w:fill="F2F2F2"/>
      </w:pPr>
      <w:r>
        <w:rPr>
          <w:rFonts w:ascii="Consolas" w:hAnsi="Consolas" w:cs="Consolas"/>
          <w:b w:val="0"/>
          <w:i w:val="0"/>
          <w:sz w:val="15"/>
        </w:rPr>
        <w:t>CREATE INDEX idx_trade_requests_incoterm ON trade_requests(incoterm);</w:t>
      </w:r>
    </w:p>
    <w:p>
      <w:pPr>
        <w:spacing w:after="0" w:before="0" w:line="240" w:lineRule="auto"/>
        <w:ind w:left="57"/>
        <w:jc w:val="left"/>
        <w:shd w:val="clear" w:fill="F2F2F2"/>
      </w:pPr>
      <w:r>
        <w:rPr>
          <w:rFonts w:ascii="Consolas" w:hAnsi="Consolas" w:cs="Consolas"/>
          <w:b w:val="0"/>
          <w:i w:val="0"/>
          <w:sz w:val="15"/>
        </w:rPr>
        <w:t>CREATE INDEX idx_draft_history_request ON draft_history(trade_request_id);</w:t>
      </w:r>
    </w:p>
    <w:p>
      <w:pPr>
        <w:spacing w:after="0" w:before="0" w:line="240" w:lineRule="auto"/>
        <w:ind w:left="57"/>
        <w:jc w:val="left"/>
        <w:shd w:val="clear" w:fill="F2F2F2"/>
      </w:pPr>
      <w:r>
        <w:rPr>
          <w:rFonts w:ascii="Consolas" w:hAnsi="Consolas" w:cs="Consolas"/>
          <w:b w:val="0"/>
          <w:i w:val="0"/>
          <w:sz w:val="15"/>
        </w:rPr>
        <w:t>CREATE INDEX idx_partner_attributions_trade ON partner_lead_attributions(trade_request_id);</w:t>
      </w:r>
    </w:p>
    <w:p>
      <w:pPr>
        <w:spacing w:after="0" w:before="0" w:line="240" w:lineRule="auto"/>
        <w:ind w:left="57"/>
        <w:jc w:val="left"/>
        <w:shd w:val="clear" w:fill="F2F2F2"/>
      </w:pPr>
      <w:r>
        <w:rPr>
          <w:rFonts w:ascii="Consolas" w:hAnsi="Consolas" w:cs="Consolas"/>
          <w:b w:val="0"/>
          <w:i w:val="0"/>
          <w:sz w:val="15"/>
        </w:rPr>
        <w:t>-- Shipment indexes</w:t>
      </w:r>
    </w:p>
    <w:p>
      <w:pPr>
        <w:spacing w:after="0" w:before="0" w:line="240" w:lineRule="auto"/>
        <w:ind w:left="57"/>
        <w:jc w:val="left"/>
        <w:shd w:val="clear" w:fill="F2F2F2"/>
      </w:pPr>
      <w:r>
        <w:rPr>
          <w:rFonts w:ascii="Consolas" w:hAnsi="Consolas" w:cs="Consolas"/>
          <w:b w:val="0"/>
          <w:i w:val="0"/>
          <w:sz w:val="15"/>
        </w:rPr>
        <w:t>CREATE INDEX idx_shipments_ustn ON shipments(ustn);</w:t>
      </w:r>
    </w:p>
    <w:p>
      <w:pPr>
        <w:spacing w:after="0" w:before="0" w:line="240" w:lineRule="auto"/>
        <w:ind w:left="57"/>
        <w:jc w:val="left"/>
        <w:shd w:val="clear" w:fill="F2F2F2"/>
      </w:pPr>
      <w:r>
        <w:rPr>
          <w:rFonts w:ascii="Consolas" w:hAnsi="Consolas" w:cs="Consolas"/>
          <w:b w:val="0"/>
          <w:i w:val="0"/>
          <w:sz w:val="15"/>
        </w:rPr>
        <w:t>CREATE INDEX idx_shipments_status ON shipments(status);</w:t>
      </w:r>
    </w:p>
    <w:p>
      <w:pPr>
        <w:spacing w:after="0" w:before="0" w:line="240" w:lineRule="auto"/>
        <w:ind w:left="57"/>
        <w:jc w:val="left"/>
        <w:shd w:val="clear" w:fill="F2F2F2"/>
      </w:pPr>
      <w:r>
        <w:rPr>
          <w:rFonts w:ascii="Consolas" w:hAnsi="Consolas" w:cs="Consolas"/>
          <w:b w:val="0"/>
          <w:i w:val="0"/>
          <w:sz w:val="15"/>
        </w:rPr>
        <w:t>CREATE INDEX idx_shipments_contract ON shipments(contract_id);</w:t>
      </w:r>
    </w:p>
    <w:p>
      <w:pPr>
        <w:spacing w:after="0" w:before="0" w:line="240" w:lineRule="auto"/>
        <w:ind w:left="57"/>
        <w:jc w:val="left"/>
        <w:shd w:val="clear" w:fill="F2F2F2"/>
      </w:pPr>
      <w:r>
        <w:rPr>
          <w:rFonts w:ascii="Consolas" w:hAnsi="Consolas" w:cs="Consolas"/>
          <w:b w:val="0"/>
          <w:i w:val="0"/>
          <w:sz w:val="15"/>
        </w:rPr>
        <w:t>CREATE INDEX idx_shipments_exporter ON shipments(exporter_gtid);</w:t>
      </w:r>
    </w:p>
    <w:p>
      <w:pPr>
        <w:spacing w:after="0" w:before="0" w:line="240" w:lineRule="auto"/>
        <w:ind w:left="57"/>
        <w:jc w:val="left"/>
        <w:shd w:val="clear" w:fill="F2F2F2"/>
      </w:pPr>
      <w:r>
        <w:rPr>
          <w:rFonts w:ascii="Consolas" w:hAnsi="Consolas" w:cs="Consolas"/>
          <w:b w:val="0"/>
          <w:i w:val="0"/>
          <w:sz w:val="15"/>
        </w:rPr>
        <w:t>CREATE INDEX idx_shipments_importer ON shipments(importer_gtid);</w:t>
      </w:r>
    </w:p>
    <w:p>
      <w:pPr>
        <w:spacing w:after="0" w:before="0" w:line="240" w:lineRule="auto"/>
        <w:ind w:left="57"/>
        <w:jc w:val="left"/>
        <w:shd w:val="clear" w:fill="F2F2F2"/>
      </w:pPr>
      <w:r>
        <w:rPr>
          <w:rFonts w:ascii="Consolas" w:hAnsi="Consolas" w:cs="Consolas"/>
          <w:b w:val="0"/>
          <w:i w:val="0"/>
          <w:sz w:val="15"/>
        </w:rPr>
        <w:t>CREATE INDEX idx_shipments_etd ON shipments(etd);</w:t>
      </w:r>
    </w:p>
    <w:p>
      <w:pPr>
        <w:spacing w:after="0" w:before="0" w:line="240" w:lineRule="auto"/>
        <w:ind w:left="57"/>
        <w:jc w:val="left"/>
        <w:shd w:val="clear" w:fill="F2F2F2"/>
      </w:pPr>
      <w:r>
        <w:rPr>
          <w:rFonts w:ascii="Consolas" w:hAnsi="Consolas" w:cs="Consolas"/>
          <w:b w:val="0"/>
          <w:i w:val="0"/>
          <w:sz w:val="15"/>
        </w:rPr>
        <w:t>CREATE INDEX idx_shipments_eta ON shipments(eta);</w:t>
      </w:r>
    </w:p>
    <w:p>
      <w:pPr>
        <w:spacing w:after="0" w:before="0" w:line="240" w:lineRule="auto"/>
        <w:ind w:left="57"/>
        <w:jc w:val="left"/>
        <w:shd w:val="clear" w:fill="F2F2F2"/>
      </w:pPr>
      <w:r>
        <w:rPr>
          <w:rFonts w:ascii="Consolas" w:hAnsi="Consolas" w:cs="Consolas"/>
          <w:b w:val="0"/>
          <w:i w:val="0"/>
          <w:sz w:val="15"/>
        </w:rPr>
        <w:t>CREATE INDEX idx_shipment_milestones_ustn ON shipment_milestones(ustn);</w:t>
      </w:r>
    </w:p>
    <w:p>
      <w:pPr>
        <w:spacing w:after="0" w:before="0" w:line="240" w:lineRule="auto"/>
        <w:ind w:left="57"/>
        <w:jc w:val="left"/>
        <w:shd w:val="clear" w:fill="F2F2F2"/>
      </w:pPr>
      <w:r>
        <w:rPr>
          <w:rFonts w:ascii="Consolas" w:hAnsi="Consolas" w:cs="Consolas"/>
          <w:b w:val="0"/>
          <w:i w:val="0"/>
          <w:sz w:val="15"/>
        </w:rPr>
        <w:t>CREATE INDEX idx_shipment_milestones_milestone ON shipment_milestones(milestone);</w:t>
      </w:r>
    </w:p>
    <w:p>
      <w:pPr>
        <w:spacing w:after="0" w:before="0" w:line="240" w:lineRule="auto"/>
        <w:ind w:left="57"/>
        <w:jc w:val="left"/>
        <w:shd w:val="clear" w:fill="F2F2F2"/>
      </w:pPr>
      <w:r>
        <w:rPr>
          <w:rFonts w:ascii="Consolas" w:hAnsi="Consolas" w:cs="Consolas"/>
          <w:b w:val="0"/>
          <w:i w:val="0"/>
          <w:sz w:val="15"/>
        </w:rPr>
        <w:t>-- Contract indexes</w:t>
      </w:r>
    </w:p>
    <w:p>
      <w:pPr>
        <w:spacing w:after="0" w:before="0" w:line="240" w:lineRule="auto"/>
        <w:ind w:left="57"/>
        <w:jc w:val="left"/>
        <w:shd w:val="clear" w:fill="F2F2F2"/>
      </w:pPr>
      <w:r>
        <w:rPr>
          <w:rFonts w:ascii="Consolas" w:hAnsi="Consolas" w:cs="Consolas"/>
          <w:b w:val="0"/>
          <w:i w:val="0"/>
          <w:sz w:val="15"/>
        </w:rPr>
        <w:t>CREATE INDEX idx_contracts_trade ON contracts(trade_request_id);</w:t>
      </w:r>
    </w:p>
    <w:p>
      <w:pPr>
        <w:spacing w:after="0" w:before="0" w:line="240" w:lineRule="auto"/>
        <w:ind w:left="57"/>
        <w:jc w:val="left"/>
        <w:shd w:val="clear" w:fill="F2F2F2"/>
      </w:pPr>
      <w:r>
        <w:rPr>
          <w:rFonts w:ascii="Consolas" w:hAnsi="Consolas" w:cs="Consolas"/>
          <w:b w:val="0"/>
          <w:i w:val="0"/>
          <w:sz w:val="15"/>
        </w:rPr>
        <w:t>CREATE INDEX idx_contracts_status ON contracts(status);</w:t>
      </w:r>
    </w:p>
    <w:p>
      <w:pPr>
        <w:spacing w:after="0" w:before="0" w:line="240" w:lineRule="auto"/>
        <w:ind w:left="57"/>
        <w:jc w:val="left"/>
        <w:shd w:val="clear" w:fill="F2F2F2"/>
      </w:pPr>
      <w:r>
        <w:rPr>
          <w:rFonts w:ascii="Consolas" w:hAnsi="Consolas" w:cs="Consolas"/>
          <w:b w:val="0"/>
          <w:i w:val="0"/>
          <w:sz w:val="15"/>
        </w:rPr>
        <w:t>CREATE INDEX idx_contract_shipments_contract ON contract_shipments(contract_id);</w:t>
      </w:r>
    </w:p>
    <w:p>
      <w:pPr>
        <w:spacing w:after="0" w:before="0" w:line="240" w:lineRule="auto"/>
        <w:ind w:left="57"/>
        <w:jc w:val="left"/>
        <w:shd w:val="clear" w:fill="F2F2F2"/>
      </w:pPr>
      <w:r>
        <w:rPr>
          <w:rFonts w:ascii="Consolas" w:hAnsi="Consolas" w:cs="Consolas"/>
          <w:b w:val="0"/>
          <w:i w:val="0"/>
          <w:sz w:val="15"/>
        </w:rPr>
        <w:t>CREATE INDEX idx_contract_shipments_ustn ON contract_shipments(ustn);</w:t>
      </w:r>
    </w:p>
    <w:p>
      <w:pPr>
        <w:spacing w:after="0" w:before="0" w:line="240" w:lineRule="auto"/>
        <w:ind w:left="57"/>
        <w:jc w:val="left"/>
        <w:shd w:val="clear" w:fill="F2F2F2"/>
      </w:pPr>
      <w:r>
        <w:rPr>
          <w:rFonts w:ascii="Consolas" w:hAnsi="Consolas" w:cs="Consolas"/>
          <w:b w:val="0"/>
          <w:i w:val="0"/>
          <w:sz w:val="15"/>
        </w:rPr>
        <w:t>CREATE INDEX idx_contract_shipments_status ON contract_shipments(status);</w:t>
      </w:r>
    </w:p>
    <w:p>
      <w:pPr>
        <w:spacing w:after="0" w:before="0" w:line="240" w:lineRule="auto"/>
        <w:ind w:left="57"/>
        <w:jc w:val="left"/>
        <w:shd w:val="clear" w:fill="F2F2F2"/>
      </w:pPr>
      <w:r>
        <w:rPr>
          <w:rFonts w:ascii="Consolas" w:hAnsi="Consolas" w:cs="Consolas"/>
          <w:b w:val="0"/>
          <w:i w:val="0"/>
          <w:sz w:val="15"/>
        </w:rPr>
        <w:t>CREATE INDEX idx_milestone_payment_schedules_contract ON milestone_payment_schedules(contract_id);</w:t>
      </w:r>
    </w:p>
    <w:p>
      <w:pPr>
        <w:spacing w:after="0" w:before="0" w:line="240" w:lineRule="auto"/>
        <w:ind w:left="57"/>
        <w:jc w:val="left"/>
        <w:shd w:val="clear" w:fill="F2F2F2"/>
      </w:pPr>
      <w:r>
        <w:rPr>
          <w:rFonts w:ascii="Consolas" w:hAnsi="Consolas" w:cs="Consolas"/>
          <w:b w:val="0"/>
          <w:i w:val="0"/>
          <w:sz w:val="15"/>
        </w:rPr>
        <w:t>-- Fee indexes</w:t>
      </w:r>
    </w:p>
    <w:p>
      <w:pPr>
        <w:spacing w:after="0" w:before="0" w:line="240" w:lineRule="auto"/>
        <w:ind w:left="57"/>
        <w:jc w:val="left"/>
        <w:shd w:val="clear" w:fill="F2F2F2"/>
      </w:pPr>
      <w:r>
        <w:rPr>
          <w:rFonts w:ascii="Consolas" w:hAnsi="Consolas" w:cs="Consolas"/>
          <w:b w:val="0"/>
          <w:i w:val="0"/>
          <w:sz w:val="15"/>
        </w:rPr>
        <w:t>CREATE INDEX idx_fee_payment_requests_contract ON fee_payment_requests(contract_id);</w:t>
      </w:r>
    </w:p>
    <w:p>
      <w:pPr>
        <w:spacing w:after="0" w:before="0" w:line="240" w:lineRule="auto"/>
        <w:ind w:left="57"/>
        <w:jc w:val="left"/>
        <w:shd w:val="clear" w:fill="F2F2F2"/>
      </w:pPr>
      <w:r>
        <w:rPr>
          <w:rFonts w:ascii="Consolas" w:hAnsi="Consolas" w:cs="Consolas"/>
          <w:b w:val="0"/>
          <w:i w:val="0"/>
          <w:sz w:val="15"/>
        </w:rPr>
        <w:t>CREATE INDEX idx_fee_payment_requests_shipment ON fee_payment_requests(contract_shipment_id);</w:t>
      </w:r>
    </w:p>
    <w:p>
      <w:pPr>
        <w:spacing w:after="0" w:before="0" w:line="240" w:lineRule="auto"/>
        <w:ind w:left="57"/>
        <w:jc w:val="left"/>
        <w:shd w:val="clear" w:fill="F2F2F2"/>
      </w:pPr>
      <w:r>
        <w:rPr>
          <w:rFonts w:ascii="Consolas" w:hAnsi="Consolas" w:cs="Consolas"/>
          <w:b w:val="0"/>
          <w:i w:val="0"/>
          <w:sz w:val="15"/>
        </w:rPr>
        <w:t xml:space="preserve"> CREATE INDEX idx_fee_payment_requests_tenant ON fee_payment_requests(tenant_id);</w:t>
      </w:r>
    </w:p>
    <w:p>
      <w:pPr>
        <w:spacing w:after="0" w:before="0" w:line="240" w:lineRule="auto"/>
        <w:ind w:left="57"/>
        <w:jc w:val="left"/>
        <w:shd w:val="clear" w:fill="F2F2F2"/>
      </w:pPr>
      <w:r>
        <w:rPr>
          <w:rFonts w:ascii="Consolas" w:hAnsi="Consolas" w:cs="Consolas"/>
          <w:b w:val="0"/>
          <w:i w:val="0"/>
          <w:sz w:val="15"/>
        </w:rPr>
        <w:t>CREATE INDEX idx_fee_payment_requests_status ON fee_payment_requests(status);</w:t>
      </w:r>
    </w:p>
    <w:p>
      <w:pPr>
        <w:spacing w:after="0" w:before="0" w:line="240" w:lineRule="auto"/>
        <w:ind w:left="57"/>
        <w:jc w:val="left"/>
        <w:shd w:val="clear" w:fill="F2F2F2"/>
      </w:pPr>
      <w:r>
        <w:rPr>
          <w:rFonts w:ascii="Consolas" w:hAnsi="Consolas" w:cs="Consolas"/>
          <w:b w:val="0"/>
          <w:i w:val="0"/>
          <w:sz w:val="15"/>
        </w:rPr>
        <w:t>CREATE INDEX idx_fee_payment_requests_deferred ON fee_payment_requests(deferred_status) WHERE</w:t>
      </w:r>
    </w:p>
    <w:p>
      <w:pPr>
        <w:spacing w:after="0" w:before="0" w:line="240" w:lineRule="auto"/>
        <w:ind w:left="57"/>
        <w:jc w:val="left"/>
        <w:shd w:val="clear" w:fill="F2F2F2"/>
      </w:pPr>
      <w:r>
        <w:rPr>
          <w:rFonts w:ascii="Consolas" w:hAnsi="Consolas" w:cs="Consolas"/>
          <w:b w:val="0"/>
          <w:i w:val="0"/>
          <w:sz w:val="15"/>
        </w:rPr>
        <w:t>deferred = true;</w:t>
      </w:r>
    </w:p>
    <w:p>
      <w:pPr>
        <w:spacing w:after="0" w:before="0" w:line="240" w:lineRule="auto"/>
        <w:ind w:left="57"/>
        <w:jc w:val="left"/>
        <w:shd w:val="clear" w:fill="F2F2F2"/>
      </w:pPr>
      <w:r>
        <w:rPr>
          <w:rFonts w:ascii="Consolas" w:hAnsi="Consolas" w:cs="Consolas"/>
          <w:b w:val="0"/>
          <w:i w:val="0"/>
          <w:sz w:val="15"/>
        </w:rPr>
        <w:t>CREATE INDEX idx_fee_locks_ustn ON fee_locks(ustn);</w:t>
      </w:r>
    </w:p>
    <w:p>
      <w:pPr>
        <w:spacing w:after="0" w:before="0" w:line="240" w:lineRule="auto"/>
        <w:ind w:left="57"/>
        <w:jc w:val="left"/>
        <w:shd w:val="clear" w:fill="F2F2F2"/>
      </w:pPr>
      <w:r>
        <w:rPr>
          <w:rFonts w:ascii="Consolas" w:hAnsi="Consolas" w:cs="Consolas"/>
          <w:b w:val="0"/>
          <w:i w:val="0"/>
          <w:sz w:val="15"/>
        </w:rPr>
        <w:t>CREATE INDEX idx_fee_locks_status ON fee_locks(status);</w:t>
      </w:r>
    </w:p>
    <w:p>
      <w:pPr>
        <w:spacing w:after="0" w:before="0" w:line="240" w:lineRule="auto"/>
        <w:ind w:left="57"/>
        <w:jc w:val="left"/>
        <w:shd w:val="clear" w:fill="F2F2F2"/>
      </w:pPr>
      <w:r>
        <w:rPr>
          <w:rFonts w:ascii="Consolas" w:hAnsi="Consolas" w:cs="Consolas"/>
          <w:b w:val="0"/>
          <w:i w:val="0"/>
          <w:sz w:val="15"/>
        </w:rPr>
        <w:t>CREATE INDEX idx_late_fee_events_request ON late_fee_events(fee_payment_requests_id);</w:t>
      </w:r>
    </w:p>
    <w:p>
      <w:pPr>
        <w:spacing w:after="0" w:before="0" w:line="240" w:lineRule="auto"/>
        <w:ind w:left="57"/>
        <w:jc w:val="left"/>
        <w:shd w:val="clear" w:fill="F2F2F2"/>
      </w:pPr>
      <w:r>
        <w:rPr>
          <w:rFonts w:ascii="Consolas" w:hAnsi="Consolas" w:cs="Consolas"/>
          <w:b w:val="0"/>
          <w:i w:val="0"/>
          <w:sz w:val="15"/>
        </w:rPr>
        <w:t>-- Logistics indexes</w:t>
      </w:r>
    </w:p>
    <w:p>
      <w:pPr>
        <w:spacing w:after="0" w:before="0" w:line="240" w:lineRule="auto"/>
        <w:ind w:left="57"/>
        <w:jc w:val="left"/>
        <w:shd w:val="clear" w:fill="F2F2F2"/>
      </w:pPr>
      <w:r>
        <w:rPr>
          <w:rFonts w:ascii="Consolas" w:hAnsi="Consolas" w:cs="Consolas"/>
          <w:b w:val="0"/>
          <w:i w:val="0"/>
          <w:sz w:val="15"/>
        </w:rPr>
        <w:t>CREATE INDEX idx_service_quotations_ustn ON service_quotations(ustn);</w:t>
      </w:r>
    </w:p>
    <w:p>
      <w:pPr>
        <w:spacing w:after="0" w:before="0" w:line="240" w:lineRule="auto"/>
        <w:ind w:left="57"/>
        <w:jc w:val="left"/>
        <w:shd w:val="clear" w:fill="F2F2F2"/>
      </w:pPr>
      <w:r>
        <w:rPr>
          <w:rFonts w:ascii="Consolas" w:hAnsi="Consolas" w:cs="Consolas"/>
          <w:b w:val="0"/>
          <w:i w:val="0"/>
          <w:sz w:val="15"/>
        </w:rPr>
        <w:t>CREATE INDEX idx_service_quotations_provider ON service_quotations(provider_gtid);</w:t>
      </w:r>
    </w:p>
    <w:p>
      <w:pPr>
        <w:spacing w:after="0" w:before="0" w:line="240" w:lineRule="auto"/>
        <w:ind w:left="57"/>
        <w:jc w:val="left"/>
        <w:shd w:val="clear" w:fill="F2F2F2"/>
      </w:pPr>
      <w:r>
        <w:rPr>
          <w:rFonts w:ascii="Consolas" w:hAnsi="Consolas" w:cs="Consolas"/>
          <w:b w:val="0"/>
          <w:i w:val="0"/>
          <w:sz w:val="15"/>
        </w:rPr>
        <w:t>CREATE INDEX idx_service_quotations_status ON service_quotations(status);</w:t>
      </w:r>
    </w:p>
    <w:p>
      <w:pPr>
        <w:spacing w:after="0" w:before="0" w:line="240" w:lineRule="auto"/>
        <w:ind w:left="57"/>
        <w:jc w:val="left"/>
        <w:shd w:val="clear" w:fill="F2F2F2"/>
      </w:pPr>
      <w:r>
        <w:rPr>
          <w:rFonts w:ascii="Consolas" w:hAnsi="Consolas" w:cs="Consolas"/>
          <w:b w:val="0"/>
          <w:i w:val="0"/>
          <w:sz w:val="15"/>
        </w:rPr>
        <w:t>CREATE INDEX idx_ship_quote_requests_ustn ON ship_quote_requests(ustn);</w:t>
      </w:r>
    </w:p>
    <w:p>
      <w:pPr>
        <w:spacing w:after="0" w:before="0" w:line="240" w:lineRule="auto"/>
        <w:ind w:left="57"/>
        <w:jc w:val="left"/>
        <w:shd w:val="clear" w:fill="F2F2F2"/>
      </w:pPr>
      <w:r>
        <w:rPr>
          <w:rFonts w:ascii="Consolas" w:hAnsi="Consolas" w:cs="Consolas"/>
          <w:b w:val="0"/>
          <w:i w:val="0"/>
          <w:sz w:val="15"/>
        </w:rPr>
        <w:t>CREATE INDEX idx_ship_quotes_request ON ship_quotes(request_id);</w:t>
      </w:r>
    </w:p>
    <w:p>
      <w:pPr>
        <w:spacing w:after="0" w:before="0" w:line="240" w:lineRule="auto"/>
        <w:ind w:left="57"/>
        <w:jc w:val="left"/>
        <w:shd w:val="clear" w:fill="F2F2F2"/>
      </w:pPr>
      <w:r>
        <w:rPr>
          <w:rFonts w:ascii="Consolas" w:hAnsi="Consolas" w:cs="Consolas"/>
          <w:b w:val="0"/>
          <w:i w:val="0"/>
          <w:sz w:val="15"/>
        </w:rPr>
        <w:t>CREATE INDEX idx_clarification_requests_quotation ON clarification_requests(quotation_id);</w:t>
      </w:r>
    </w:p>
    <w:p>
      <w:pPr>
        <w:spacing w:after="0" w:before="0" w:line="240" w:lineRule="auto"/>
        <w:ind w:left="57"/>
        <w:jc w:val="left"/>
        <w:shd w:val="clear" w:fill="F2F2F2"/>
      </w:pPr>
      <w:r>
        <w:rPr>
          <w:rFonts w:ascii="Consolas" w:hAnsi="Consolas" w:cs="Consolas"/>
          <w:b w:val="0"/>
          <w:i w:val="0"/>
          <w:sz w:val="15"/>
        </w:rPr>
        <w:t>CREATE INDEX idx_carrier_contracts_carrier ON carrier_contracts(carrier_gtid);</w:t>
      </w:r>
    </w:p>
    <w:p>
      <w:pPr>
        <w:spacing w:after="0" w:before="0" w:line="240" w:lineRule="auto"/>
        <w:ind w:left="57"/>
        <w:jc w:val="left"/>
        <w:shd w:val="clear" w:fill="F2F2F2"/>
      </w:pPr>
      <w:r>
        <w:rPr>
          <w:rFonts w:ascii="Consolas" w:hAnsi="Consolas" w:cs="Consolas"/>
          <w:b w:val="0"/>
          <w:i w:val="0"/>
          <w:sz w:val="15"/>
        </w:rPr>
        <w:t>CREATE INDEX idx_carrier_contracts_seller ON carrier_contracts(seller_gtid);</w:t>
      </w:r>
    </w:p>
    <w:p>
      <w:pPr>
        <w:spacing w:after="0" w:before="0" w:line="240" w:lineRule="auto"/>
        <w:ind w:left="57"/>
        <w:jc w:val="left"/>
        <w:shd w:val="clear" w:fill="F2F2F2"/>
      </w:pPr>
      <w:r>
        <w:rPr>
          <w:rFonts w:ascii="Consolas" w:hAnsi="Consolas" w:cs="Consolas"/>
          <w:b w:val="0"/>
          <w:i w:val="0"/>
          <w:sz w:val="15"/>
        </w:rPr>
        <w:t>-- QC indexes</w:t>
      </w:r>
    </w:p>
    <w:p>
      <w:pPr>
        <w:spacing w:after="0" w:before="0" w:line="240" w:lineRule="auto"/>
        <w:ind w:left="57"/>
        <w:jc w:val="left"/>
        <w:shd w:val="clear" w:fill="F2F2F2"/>
      </w:pPr>
      <w:r>
        <w:rPr>
          <w:rFonts w:ascii="Consolas" w:hAnsi="Consolas" w:cs="Consolas"/>
          <w:b w:val="0"/>
          <w:i w:val="0"/>
          <w:sz w:val="15"/>
        </w:rPr>
        <w:t>CREATE INDEX idx_qc_jobs_ustn ON qc_jobs(ustn);</w:t>
      </w:r>
    </w:p>
    <w:p>
      <w:pPr>
        <w:spacing w:after="0" w:before="0" w:line="240" w:lineRule="auto"/>
        <w:ind w:left="57"/>
        <w:jc w:val="left"/>
        <w:shd w:val="clear" w:fill="F2F2F2"/>
      </w:pPr>
      <w:r>
        <w:rPr>
          <w:rFonts w:ascii="Consolas" w:hAnsi="Consolas" w:cs="Consolas"/>
          <w:b w:val="0"/>
          <w:i w:val="0"/>
          <w:sz w:val="15"/>
        </w:rPr>
        <w:t>CREATE INDEX idx_qc_jobs_provider ON qc_jobs(provider_gtid);</w:t>
      </w:r>
    </w:p>
    <w:p>
      <w:pPr>
        <w:spacing w:after="0" w:before="0" w:line="240" w:lineRule="auto"/>
        <w:ind w:left="57"/>
        <w:jc w:val="left"/>
        <w:shd w:val="clear" w:fill="F2F2F2"/>
      </w:pPr>
      <w:r>
        <w:rPr>
          <w:rFonts w:ascii="Consolas" w:hAnsi="Consolas" w:cs="Consolas"/>
          <w:b w:val="0"/>
          <w:i w:val="0"/>
          <w:sz w:val="15"/>
        </w:rPr>
        <w:t>CREATE INDEX idx_qc_jobs_status ON qc_jobs(status);</w:t>
      </w:r>
    </w:p>
    <w:p>
      <w:pPr>
        <w:spacing w:after="0" w:before="0" w:line="240" w:lineRule="auto"/>
        <w:ind w:left="57"/>
        <w:jc w:val="left"/>
        <w:shd w:val="clear" w:fill="F2F2F2"/>
      </w:pPr>
      <w:r>
        <w:rPr>
          <w:rFonts w:ascii="Consolas" w:hAnsi="Consolas" w:cs="Consolas"/>
          <w:b w:val="0"/>
          <w:i w:val="0"/>
          <w:sz w:val="15"/>
        </w:rPr>
        <w:t>CREATE INDEX idx_inspection_logs_job ON inspection_logs(qc_job_id);</w:t>
      </w:r>
    </w:p>
    <w:p>
      <w:pPr>
        <w:spacing w:after="0" w:before="0" w:line="240" w:lineRule="auto"/>
        <w:ind w:left="57"/>
        <w:jc w:val="left"/>
        <w:shd w:val="clear" w:fill="F2F2F2"/>
      </w:pPr>
      <w:r>
        <w:rPr>
          <w:rFonts w:ascii="Consolas" w:hAnsi="Consolas" w:cs="Consolas"/>
          <w:b w:val="0"/>
          <w:i w:val="0"/>
          <w:sz w:val="15"/>
        </w:rPr>
        <w:t>CREATE INDEX idx_re_inspection_requests_ustn ON re_inspection_requests(original_ustn);</w:t>
      </w:r>
    </w:p>
    <w:p>
      <w:pPr>
        <w:spacing w:after="0" w:before="0" w:line="240" w:lineRule="auto"/>
        <w:ind w:left="57"/>
        <w:jc w:val="left"/>
        <w:shd w:val="clear" w:fill="F2F2F2"/>
      </w:pPr>
      <w:r>
        <w:rPr>
          <w:rFonts w:ascii="Consolas" w:hAnsi="Consolas" w:cs="Consolas"/>
          <w:b w:val="0"/>
          <w:i w:val="0"/>
          <w:sz w:val="15"/>
        </w:rPr>
        <w:t>-- Broker indexes</w:t>
      </w:r>
    </w:p>
    <w:p>
      <w:pPr>
        <w:spacing w:after="0" w:before="0" w:line="240" w:lineRule="auto"/>
        <w:ind w:left="57"/>
        <w:jc w:val="left"/>
        <w:shd w:val="clear" w:fill="F2F2F2"/>
      </w:pPr>
      <w:r>
        <w:rPr>
          <w:rFonts w:ascii="Consolas" w:hAnsi="Consolas" w:cs="Consolas"/>
          <w:b w:val="0"/>
          <w:i w:val="0"/>
          <w:sz w:val="15"/>
        </w:rPr>
        <w:t>CREATE INDEX idx_broker_certifications_ustn ON broker_certifications(ustn);</w:t>
      </w:r>
    </w:p>
    <w:p>
      <w:pPr>
        <w:spacing w:after="0" w:before="0" w:line="240" w:lineRule="auto"/>
        <w:ind w:left="57"/>
        <w:jc w:val="left"/>
        <w:shd w:val="clear" w:fill="F2F2F2"/>
      </w:pPr>
      <w:r>
        <w:rPr>
          <w:rFonts w:ascii="Consolas" w:hAnsi="Consolas" w:cs="Consolas"/>
          <w:b w:val="0"/>
          <w:i w:val="0"/>
          <w:sz w:val="15"/>
        </w:rPr>
        <w:t>CREATE INDEX idx_broker_physical_jobs_ustn ON broker_physical_jobs(ustn);</w:t>
      </w:r>
    </w:p>
    <w:p>
      <w:pPr>
        <w:spacing w:after="0" w:before="0" w:line="240" w:lineRule="auto"/>
        <w:ind w:left="57"/>
        <w:jc w:val="left"/>
        <w:shd w:val="clear" w:fill="F2F2F2"/>
      </w:pPr>
      <w:r>
        <w:rPr>
          <w:rFonts w:ascii="Consolas" w:hAnsi="Consolas" w:cs="Consolas"/>
          <w:b w:val="0"/>
          <w:i w:val="0"/>
          <w:sz w:val="15"/>
        </w:rPr>
        <w:t>CREATE INDEX idx_broker_storage_ustn ON broker_storage(ustn);</w:t>
      </w:r>
    </w:p>
    <w:p>
      <w:pPr>
        <w:spacing w:after="0" w:before="0" w:line="240" w:lineRule="auto"/>
        <w:ind w:left="57"/>
        <w:jc w:val="left"/>
        <w:shd w:val="clear" w:fill="F2F2F2"/>
      </w:pPr>
      <w:r>
        <w:rPr>
          <w:rFonts w:ascii="Consolas" w:hAnsi="Consolas" w:cs="Consolas"/>
          <w:b w:val="0"/>
          <w:i w:val="0"/>
          <w:sz w:val="15"/>
        </w:rPr>
        <w:t>CREATE INDEX idx_broker_storage_retention ON broker_storage(retention_expiry);</w:t>
      </w:r>
    </w:p>
    <w:p>
      <w:pPr>
        <w:spacing w:after="0" w:before="0" w:line="240" w:lineRule="auto"/>
        <w:ind w:left="57"/>
        <w:jc w:val="left"/>
        <w:shd w:val="clear" w:fill="F2F2F2"/>
      </w:pPr>
      <w:r>
        <w:rPr>
          <w:rFonts w:ascii="Consolas" w:hAnsi="Consolas" w:cs="Consolas"/>
          <w:b w:val="0"/>
          <w:i w:val="0"/>
          <w:sz w:val="15"/>
        </w:rPr>
        <w:t>-- Financing indexes</w:t>
      </w:r>
    </w:p>
    <w:p>
      <w:pPr>
        <w:spacing w:after="0" w:before="0" w:line="240" w:lineRule="auto"/>
        <w:ind w:left="57"/>
        <w:jc w:val="left"/>
        <w:shd w:val="clear" w:fill="F2F2F2"/>
      </w:pPr>
      <w:r>
        <w:rPr>
          <w:rFonts w:ascii="Consolas" w:hAnsi="Consolas" w:cs="Consolas"/>
          <w:b w:val="0"/>
          <w:i w:val="0"/>
          <w:sz w:val="15"/>
        </w:rPr>
        <w:t>CREATE INDEX idx_financing_requests_ustn ON financing_requests(ustn);</w:t>
      </w:r>
    </w:p>
    <w:p>
      <w:pPr>
        <w:spacing w:after="0" w:before="0" w:line="240" w:lineRule="auto"/>
        <w:ind w:left="57"/>
        <w:jc w:val="left"/>
        <w:shd w:val="clear" w:fill="F2F2F2"/>
      </w:pPr>
      <w:r>
        <w:rPr>
          <w:rFonts w:ascii="Consolas" w:hAnsi="Consolas" w:cs="Consolas"/>
          <w:b w:val="0"/>
          <w:i w:val="0"/>
          <w:sz w:val="15"/>
        </w:rPr>
        <w:t>CREATE INDEX idx_financing_requests_status ON financing_requests(status);</w:t>
      </w:r>
    </w:p>
    <w:p>
      <w:pPr>
        <w:spacing w:after="0" w:before="0" w:line="240" w:lineRule="auto"/>
        <w:ind w:left="57"/>
        <w:jc w:val="left"/>
        <w:shd w:val="clear" w:fill="F2F2F2"/>
      </w:pPr>
      <w:r>
        <w:rPr>
          <w:rFonts w:ascii="Consolas" w:hAnsi="Consolas" w:cs="Consolas"/>
          <w:b w:val="0"/>
          <w:i w:val="0"/>
          <w:sz w:val="15"/>
        </w:rPr>
        <w:t>CREATE INDEX idx_financing_offers_request ON financing_offers(financing_request_id);</w:t>
      </w:r>
    </w:p>
    <w:p>
      <w:pPr>
        <w:spacing w:after="0" w:before="0" w:line="240" w:lineRule="auto"/>
        <w:ind w:left="57"/>
        <w:jc w:val="left"/>
        <w:shd w:val="clear" w:fill="F2F2F2"/>
      </w:pPr>
      <w:r>
        <w:rPr>
          <w:rFonts w:ascii="Consolas" w:hAnsi="Consolas" w:cs="Consolas"/>
          <w:b w:val="0"/>
          <w:i w:val="0"/>
          <w:sz w:val="15"/>
        </w:rPr>
        <w:t>CREATE INDEX idx_financing_agreements_request ON financing_agreements(financing_request_id);</w:t>
      </w:r>
    </w:p>
    <w:p>
      <w:pPr>
        <w:spacing w:after="0" w:before="0" w:line="240" w:lineRule="auto"/>
        <w:ind w:left="57"/>
        <w:jc w:val="left"/>
        <w:shd w:val="clear" w:fill="F2F2F2"/>
      </w:pPr>
      <w:r>
        <w:rPr>
          <w:rFonts w:ascii="Consolas" w:hAnsi="Consolas" w:cs="Consolas"/>
          <w:b w:val="0"/>
          <w:i w:val="0"/>
          <w:sz w:val="15"/>
        </w:rPr>
        <w:t>CREATE INDEX idx_financing_repayments_agreement ON financing_repayments(financing_agreement_id);</w:t>
      </w:r>
    </w:p>
    <w:p>
      <w:pPr>
        <w:spacing w:after="0" w:before="0" w:line="240" w:lineRule="auto"/>
        <w:ind w:left="57"/>
        <w:jc w:val="left"/>
        <w:shd w:val="clear" w:fill="F2F2F2"/>
      </w:pPr>
      <w:r>
        <w:rPr>
          <w:rFonts w:ascii="Consolas" w:hAnsi="Consolas" w:cs="Consolas"/>
          <w:b w:val="0"/>
          <w:i w:val="0"/>
          <w:sz w:val="15"/>
        </w:rPr>
        <w:t>CREATE INDEX idx_financier_historical_data_financier ON financier_historical_data(financier_tenant_id);</w:t>
      </w:r>
    </w:p>
    <w:p>
      <w:pPr>
        <w:spacing w:after="0" w:before="0" w:line="240" w:lineRule="auto"/>
        <w:ind w:left="57"/>
        <w:jc w:val="left"/>
        <w:shd w:val="clear" w:fill="F2F2F2"/>
      </w:pPr>
      <w:r>
        <w:rPr>
          <w:rFonts w:ascii="Consolas" w:hAnsi="Consolas" w:cs="Consolas"/>
          <w:b w:val="0"/>
          <w:i w:val="0"/>
          <w:sz w:val="15"/>
        </w:rPr>
        <w:t>-- Distressed indexes</w:t>
      </w:r>
    </w:p>
    <w:p>
      <w:pPr>
        <w:spacing w:after="0" w:before="0" w:line="240" w:lineRule="auto"/>
        <w:ind w:left="57"/>
        <w:jc w:val="left"/>
        <w:shd w:val="clear" w:fill="F2F2F2"/>
      </w:pPr>
      <w:r>
        <w:rPr>
          <w:rFonts w:ascii="Consolas" w:hAnsi="Consolas" w:cs="Consolas"/>
          <w:b w:val="0"/>
          <w:i w:val="0"/>
          <w:sz w:val="15"/>
        </w:rPr>
        <w:t>CREATE INDEX idx_distressed_cargo_listings_active ON distressed_cargo_listings(status) WHERE status = 'ACTIVE';</w:t>
      </w:r>
    </w:p>
    <w:p>
      <w:pPr>
        <w:spacing w:after="0" w:before="0" w:line="240" w:lineRule="auto"/>
        <w:ind w:left="57"/>
        <w:jc w:val="left"/>
        <w:shd w:val="clear" w:fill="F2F2F2"/>
      </w:pPr>
      <w:r>
        <w:rPr>
          <w:rFonts w:ascii="Consolas" w:hAnsi="Consolas" w:cs="Consolas"/>
          <w:b w:val="0"/>
          <w:i w:val="0"/>
          <w:sz w:val="15"/>
        </w:rPr>
        <w:t>CREATE INDEX idx_distressed_cargo_listings_expiry ON distressed_cargo_listings(listing_expiry);</w:t>
      </w:r>
    </w:p>
    <w:p>
      <w:pPr>
        <w:spacing w:after="0" w:before="0" w:line="240" w:lineRule="auto"/>
        <w:ind w:left="57"/>
        <w:jc w:val="left"/>
        <w:shd w:val="clear" w:fill="F2F2F2"/>
      </w:pPr>
      <w:r>
        <w:rPr>
          <w:rFonts w:ascii="Consolas" w:hAnsi="Consolas" w:cs="Consolas"/>
          <w:b w:val="0"/>
          <w:i w:val="0"/>
          <w:sz w:val="15"/>
        </w:rPr>
        <w:t>CREATE INDEX idx_distressed_cargo_listings_ustn ON distressed_cargo_listings(original_shipment_ustn);</w:t>
      </w:r>
    </w:p>
    <w:p>
      <w:pPr>
        <w:spacing w:after="0" w:before="0" w:line="240" w:lineRule="auto"/>
        <w:ind w:left="57"/>
        <w:jc w:val="left"/>
        <w:shd w:val="clear" w:fill="F2F2F2"/>
      </w:pPr>
      <w:r>
        <w:rPr>
          <w:rFonts w:ascii="Consolas" w:hAnsi="Consolas" w:cs="Consolas"/>
          <w:b w:val="0"/>
          <w:i w:val="0"/>
          <w:sz w:val="15"/>
        </w:rPr>
        <w:t>CREATE INDEX idx_distressed_cargo_offers_listing ON distressed_cargo_offers(listing_id);</w:t>
      </w:r>
    </w:p>
    <w:p>
      <w:pPr>
        <w:spacing w:after="0" w:before="0" w:line="240" w:lineRule="auto"/>
        <w:ind w:left="57"/>
        <w:jc w:val="left"/>
        <w:shd w:val="clear" w:fill="F2F2F2"/>
      </w:pPr>
      <w:r>
        <w:rPr>
          <w:rFonts w:ascii="Consolas" w:hAnsi="Consolas" w:cs="Consolas"/>
          <w:b w:val="0"/>
          <w:i w:val="0"/>
          <w:sz w:val="15"/>
        </w:rPr>
        <w:t>CREATE INDEX idx_micro_contracts_ustn ON micro_contracts(micro_ustn);</w:t>
      </w:r>
    </w:p>
    <w:p>
      <w:pPr>
        <w:spacing w:after="0" w:before="0" w:line="240" w:lineRule="auto"/>
        <w:ind w:left="57"/>
        <w:jc w:val="left"/>
        <w:shd w:val="clear" w:fill="F2F2F2"/>
      </w:pPr>
      <w:r>
        <w:rPr>
          <w:rFonts w:ascii="Consolas" w:hAnsi="Consolas" w:cs="Consolas"/>
          <w:b w:val="0"/>
          <w:i w:val="0"/>
          <w:sz w:val="15"/>
        </w:rPr>
        <w:t xml:space="preserve"> -- Dispute indexes</w:t>
      </w:r>
    </w:p>
    <w:p>
      <w:pPr>
        <w:spacing w:after="0" w:before="0" w:line="240" w:lineRule="auto"/>
        <w:ind w:left="57"/>
        <w:jc w:val="left"/>
        <w:shd w:val="clear" w:fill="F2F2F2"/>
      </w:pPr>
      <w:r>
        <w:rPr>
          <w:rFonts w:ascii="Consolas" w:hAnsi="Consolas" w:cs="Consolas"/>
          <w:b w:val="0"/>
          <w:i w:val="0"/>
          <w:sz w:val="15"/>
        </w:rPr>
        <w:t>CREATE INDEX idx_disputes_ustn ON disputes(ustn);</w:t>
      </w:r>
    </w:p>
    <w:p>
      <w:pPr>
        <w:spacing w:after="0" w:before="0" w:line="240" w:lineRule="auto"/>
        <w:ind w:left="57"/>
        <w:jc w:val="left"/>
        <w:shd w:val="clear" w:fill="F2F2F2"/>
      </w:pPr>
      <w:r>
        <w:rPr>
          <w:rFonts w:ascii="Consolas" w:hAnsi="Consolas" w:cs="Consolas"/>
          <w:b w:val="0"/>
          <w:i w:val="0"/>
          <w:sz w:val="15"/>
        </w:rPr>
        <w:t>CREATE INDEX idx_disputes_status ON disputes(status);</w:t>
      </w:r>
    </w:p>
    <w:p>
      <w:pPr>
        <w:spacing w:after="0" w:before="0" w:line="240" w:lineRule="auto"/>
        <w:ind w:left="57"/>
        <w:jc w:val="left"/>
        <w:shd w:val="clear" w:fill="F2F2F2"/>
      </w:pPr>
      <w:r>
        <w:rPr>
          <w:rFonts w:ascii="Consolas" w:hAnsi="Consolas" w:cs="Consolas"/>
          <w:b w:val="0"/>
          <w:i w:val="0"/>
          <w:sz w:val="15"/>
        </w:rPr>
        <w:t>CREATE INDEX idx_disputes_filing_party ON disputes(filing_party_gtid);</w:t>
      </w:r>
    </w:p>
    <w:p>
      <w:pPr>
        <w:spacing w:after="0" w:before="0" w:line="240" w:lineRule="auto"/>
        <w:ind w:left="57"/>
        <w:jc w:val="left"/>
        <w:shd w:val="clear" w:fill="F2F2F2"/>
      </w:pPr>
      <w:r>
        <w:rPr>
          <w:rFonts w:ascii="Consolas" w:hAnsi="Consolas" w:cs="Consolas"/>
          <w:b w:val="0"/>
          <w:i w:val="0"/>
          <w:sz w:val="15"/>
        </w:rPr>
        <w:t>CREATE INDEX idx_disputes_category ON disputes(dispute_category);</w:t>
      </w:r>
    </w:p>
    <w:p>
      <w:pPr>
        <w:spacing w:after="0" w:before="0" w:line="240" w:lineRule="auto"/>
        <w:ind w:left="57"/>
        <w:jc w:val="left"/>
        <w:shd w:val="clear" w:fill="F2F2F2"/>
      </w:pPr>
      <w:r>
        <w:rPr>
          <w:rFonts w:ascii="Consolas" w:hAnsi="Consolas" w:cs="Consolas"/>
          <w:b w:val="0"/>
          <w:i w:val="0"/>
          <w:sz w:val="15"/>
        </w:rPr>
        <w:t>CREATE INDEX idx_dispute_recommendations_dispute ON dispute_recommendations(dispute_id);</w:t>
      </w:r>
    </w:p>
    <w:p>
      <w:pPr>
        <w:spacing w:after="0" w:before="0" w:line="240" w:lineRule="auto"/>
        <w:ind w:left="57"/>
        <w:jc w:val="left"/>
        <w:shd w:val="clear" w:fill="F2F2F2"/>
      </w:pPr>
      <w:r>
        <w:rPr>
          <w:rFonts w:ascii="Consolas" w:hAnsi="Consolas" w:cs="Consolas"/>
          <w:b w:val="0"/>
          <w:i w:val="0"/>
          <w:sz w:val="15"/>
        </w:rPr>
        <w:t>CREATE INDEX idx_evidence_packages_dispute ON evidence_packages(dispute_id);</w:t>
      </w:r>
    </w:p>
    <w:p>
      <w:pPr>
        <w:spacing w:after="0" w:before="0" w:line="240" w:lineRule="auto"/>
        <w:ind w:left="57"/>
        <w:jc w:val="left"/>
        <w:shd w:val="clear" w:fill="F2F2F2"/>
      </w:pPr>
      <w:r>
        <w:rPr>
          <w:rFonts w:ascii="Consolas" w:hAnsi="Consolas" w:cs="Consolas"/>
          <w:b w:val="0"/>
          <w:i w:val="0"/>
          <w:sz w:val="15"/>
        </w:rPr>
        <w:t>CREATE INDEX idx_evidence_packages_token ON evidence_packages(verification_token);</w:t>
      </w:r>
    </w:p>
    <w:p>
      <w:pPr>
        <w:spacing w:after="0" w:before="0" w:line="240" w:lineRule="auto"/>
        <w:ind w:left="57"/>
        <w:jc w:val="left"/>
        <w:shd w:val="clear" w:fill="F2F2F2"/>
      </w:pPr>
      <w:r>
        <w:rPr>
          <w:rFonts w:ascii="Consolas" w:hAnsi="Consolas" w:cs="Consolas"/>
          <w:b w:val="0"/>
          <w:i w:val="0"/>
          <w:sz w:val="15"/>
        </w:rPr>
        <w:t>CREATE INDEX idx_causal_attribution_entity ON causal_attribution(entity_id, entity_type);</w:t>
      </w:r>
    </w:p>
    <w:p>
      <w:pPr>
        <w:spacing w:after="0" w:before="0" w:line="240" w:lineRule="auto"/>
        <w:ind w:left="57"/>
        <w:jc w:val="left"/>
        <w:shd w:val="clear" w:fill="F2F2F2"/>
      </w:pPr>
      <w:r>
        <w:rPr>
          <w:rFonts w:ascii="Consolas" w:hAnsi="Consolas" w:cs="Consolas"/>
          <w:b w:val="0"/>
          <w:i w:val="0"/>
          <w:sz w:val="15"/>
        </w:rPr>
        <w:t>CREATE INDEX idx_dispute_experts_dispute ON dispute_experts(dispute_id);</w:t>
      </w:r>
    </w:p>
    <w:p>
      <w:pPr>
        <w:spacing w:after="0" w:before="0" w:line="240" w:lineRule="auto"/>
        <w:ind w:left="57"/>
        <w:jc w:val="left"/>
        <w:shd w:val="clear" w:fill="F2F2F2"/>
      </w:pPr>
      <w:r>
        <w:rPr>
          <w:rFonts w:ascii="Consolas" w:hAnsi="Consolas" w:cs="Consolas"/>
          <w:b w:val="0"/>
          <w:i w:val="0"/>
          <w:sz w:val="15"/>
        </w:rPr>
        <w:t>-- Governance indexes</w:t>
      </w:r>
    </w:p>
    <w:p>
      <w:pPr>
        <w:spacing w:after="0" w:before="0" w:line="240" w:lineRule="auto"/>
        <w:ind w:left="57"/>
        <w:jc w:val="left"/>
        <w:shd w:val="clear" w:fill="F2F2F2"/>
      </w:pPr>
      <w:r>
        <w:rPr>
          <w:rFonts w:ascii="Consolas" w:hAnsi="Consolas" w:cs="Consolas"/>
          <w:b w:val="0"/>
          <w:i w:val="0"/>
          <w:sz w:val="15"/>
        </w:rPr>
        <w:t>CREATE INDEX idx_governor_decisions_created ON governor_decisions(created_at DESC);</w:t>
      </w:r>
    </w:p>
    <w:p>
      <w:pPr>
        <w:spacing w:after="0" w:before="0" w:line="240" w:lineRule="auto"/>
        <w:ind w:left="57"/>
        <w:jc w:val="left"/>
        <w:shd w:val="clear" w:fill="F2F2F2"/>
      </w:pPr>
      <w:r>
        <w:rPr>
          <w:rFonts w:ascii="Consolas" w:hAnsi="Consolas" w:cs="Consolas"/>
          <w:b w:val="0"/>
          <w:i w:val="0"/>
          <w:sz w:val="15"/>
        </w:rPr>
        <w:t>CREATE INDEX idx_governor_decisions_actor ON governor_decisions(actor_gtid);</w:t>
      </w:r>
    </w:p>
    <w:p>
      <w:pPr>
        <w:spacing w:after="0" w:before="0" w:line="240" w:lineRule="auto"/>
        <w:ind w:left="57"/>
        <w:jc w:val="left"/>
        <w:shd w:val="clear" w:fill="F2F2F2"/>
      </w:pPr>
      <w:r>
        <w:rPr>
          <w:rFonts w:ascii="Consolas" w:hAnsi="Consolas" w:cs="Consolas"/>
          <w:b w:val="0"/>
          <w:i w:val="0"/>
          <w:sz w:val="15"/>
        </w:rPr>
        <w:t>CREATE INDEX idx_governor_decisions_verdict ON governor_decisions(verdict);</w:t>
      </w:r>
    </w:p>
    <w:p>
      <w:pPr>
        <w:spacing w:after="0" w:before="0" w:line="240" w:lineRule="auto"/>
        <w:ind w:left="57"/>
        <w:jc w:val="left"/>
        <w:shd w:val="clear" w:fill="F2F2F2"/>
      </w:pPr>
      <w:r>
        <w:rPr>
          <w:rFonts w:ascii="Consolas" w:hAnsi="Consolas" w:cs="Consolas"/>
          <w:b w:val="0"/>
          <w:i w:val="0"/>
          <w:sz w:val="15"/>
        </w:rPr>
        <w:t>CREATE INDEX idx_ai_inference_records_agent ON ai_inference_records(agent_name);</w:t>
      </w:r>
    </w:p>
    <w:p>
      <w:pPr>
        <w:spacing w:after="0" w:before="0" w:line="240" w:lineRule="auto"/>
        <w:ind w:left="57"/>
        <w:jc w:val="left"/>
        <w:shd w:val="clear" w:fill="F2F2F2"/>
      </w:pPr>
      <w:r>
        <w:rPr>
          <w:rFonts w:ascii="Consolas" w:hAnsi="Consolas" w:cs="Consolas"/>
          <w:b w:val="0"/>
          <w:i w:val="0"/>
          <w:sz w:val="15"/>
        </w:rPr>
        <w:t>CREATE INDEX idx_ai_inference_records_created ON ai_inference_records(created_at DESC);</w:t>
      </w:r>
    </w:p>
    <w:p>
      <w:pPr>
        <w:spacing w:after="0" w:before="0" w:line="240" w:lineRule="auto"/>
        <w:ind w:left="57"/>
        <w:jc w:val="left"/>
        <w:shd w:val="clear" w:fill="F2F2F2"/>
      </w:pPr>
      <w:r>
        <w:rPr>
          <w:rFonts w:ascii="Consolas" w:hAnsi="Consolas" w:cs="Consolas"/>
          <w:b w:val="0"/>
          <w:i w:val="0"/>
          <w:sz w:val="15"/>
        </w:rPr>
        <w:t>CREATE INDEX idx_audit_log_changed_by ON audit_log(changed_by);</w:t>
      </w:r>
    </w:p>
    <w:p>
      <w:pPr>
        <w:spacing w:after="0" w:before="0" w:line="240" w:lineRule="auto"/>
        <w:ind w:left="57"/>
        <w:jc w:val="left"/>
        <w:shd w:val="clear" w:fill="F2F2F2"/>
      </w:pPr>
      <w:r>
        <w:rPr>
          <w:rFonts w:ascii="Consolas" w:hAnsi="Consolas" w:cs="Consolas"/>
          <w:b w:val="0"/>
          <w:i w:val="0"/>
          <w:sz w:val="15"/>
        </w:rPr>
        <w:t>CREATE INDEX idx_audit_log_changed_at ON audit_log(changed_at DESC);</w:t>
      </w:r>
    </w:p>
    <w:p>
      <w:pPr>
        <w:spacing w:after="0" w:before="0" w:line="240" w:lineRule="auto"/>
        <w:ind w:left="57"/>
        <w:jc w:val="left"/>
        <w:shd w:val="clear" w:fill="F2F2F2"/>
      </w:pPr>
      <w:r>
        <w:rPr>
          <w:rFonts w:ascii="Consolas" w:hAnsi="Consolas" w:cs="Consolas"/>
          <w:b w:val="0"/>
          <w:i w:val="0"/>
          <w:sz w:val="15"/>
        </w:rPr>
        <w:t>CREATE INDEX idx_loom_verification_tokens_token ON loom_verification_tokens(token);</w:t>
      </w:r>
    </w:p>
    <w:p>
      <w:pPr>
        <w:spacing w:after="0" w:before="0" w:line="240" w:lineRule="auto"/>
        <w:ind w:left="57"/>
        <w:jc w:val="left"/>
        <w:shd w:val="clear" w:fill="F2F2F2"/>
      </w:pPr>
      <w:r>
        <w:rPr>
          <w:rFonts w:ascii="Consolas" w:hAnsi="Consolas" w:cs="Consolas"/>
          <w:b w:val="0"/>
          <w:i w:val="0"/>
          <w:sz w:val="15"/>
        </w:rPr>
        <w:t>-- Inbox indexes</w:t>
      </w:r>
    </w:p>
    <w:p>
      <w:pPr>
        <w:spacing w:after="0" w:before="0" w:line="240" w:lineRule="auto"/>
        <w:ind w:left="57"/>
        <w:jc w:val="left"/>
        <w:shd w:val="clear" w:fill="F2F2F2"/>
      </w:pPr>
      <w:r>
        <w:rPr>
          <w:rFonts w:ascii="Consolas" w:hAnsi="Consolas" w:cs="Consolas"/>
          <w:b w:val="0"/>
          <w:i w:val="0"/>
          <w:sz w:val="15"/>
        </w:rPr>
        <w:t>CREATE INDEX idx_inbox_items_employee_score ON inbox_items(employee_id, priority_score DESC);</w:t>
      </w:r>
    </w:p>
    <w:p>
      <w:pPr>
        <w:spacing w:after="0" w:before="0" w:line="240" w:lineRule="auto"/>
        <w:ind w:left="57"/>
        <w:jc w:val="left"/>
        <w:shd w:val="clear" w:fill="F2F2F2"/>
      </w:pPr>
      <w:r>
        <w:rPr>
          <w:rFonts w:ascii="Consolas" w:hAnsi="Consolas" w:cs="Consolas"/>
          <w:b w:val="0"/>
          <w:i w:val="0"/>
          <w:sz w:val="15"/>
        </w:rPr>
        <w:t>CREATE INDEX idx_inbox_items_employee_ustn ON inbox_items(employee_id, ustn);</w:t>
      </w:r>
    </w:p>
    <w:p>
      <w:pPr>
        <w:spacing w:after="0" w:before="0" w:line="240" w:lineRule="auto"/>
        <w:ind w:left="57"/>
        <w:jc w:val="left"/>
        <w:shd w:val="clear" w:fill="F2F2F2"/>
      </w:pPr>
      <w:r>
        <w:rPr>
          <w:rFonts w:ascii="Consolas" w:hAnsi="Consolas" w:cs="Consolas"/>
          <w:b w:val="0"/>
          <w:i w:val="0"/>
          <w:sz w:val="15"/>
        </w:rPr>
        <w:t>CREATE INDEX idx_inbox_items_employee_snoozed ON inbox_items(employee_id, snoozed_until) WHERE</w:t>
      </w:r>
    </w:p>
    <w:p>
      <w:pPr>
        <w:spacing w:after="0" w:before="0" w:line="240" w:lineRule="auto"/>
        <w:ind w:left="57"/>
        <w:jc w:val="left"/>
        <w:shd w:val="clear" w:fill="F2F2F2"/>
      </w:pPr>
      <w:r>
        <w:rPr>
          <w:rFonts w:ascii="Consolas" w:hAnsi="Consolas" w:cs="Consolas"/>
          <w:b w:val="0"/>
          <w:i w:val="0"/>
          <w:sz w:val="15"/>
        </w:rPr>
        <w:t>snoozed_until IS NOT NULL;</w:t>
      </w:r>
    </w:p>
    <w:p>
      <w:pPr>
        <w:spacing w:after="0" w:before="0" w:line="240" w:lineRule="auto"/>
        <w:ind w:left="57"/>
        <w:jc w:val="left"/>
        <w:shd w:val="clear" w:fill="F2F2F2"/>
      </w:pPr>
      <w:r>
        <w:rPr>
          <w:rFonts w:ascii="Consolas" w:hAnsi="Consolas" w:cs="Consolas"/>
          <w:b w:val="0"/>
          <w:i w:val="0"/>
          <w:sz w:val="15"/>
        </w:rPr>
        <w:t>CREATE INDEX idx_inbox_history_employee ON inbox_history(employee_id, timestamp DESC);</w:t>
      </w:r>
    </w:p>
    <w:p>
      <w:pPr>
        <w:spacing w:after="0" w:before="0" w:line="240" w:lineRule="auto"/>
        <w:ind w:left="57"/>
        <w:jc w:val="left"/>
        <w:shd w:val="clear" w:fill="F2F2F2"/>
      </w:pPr>
      <w:r>
        <w:rPr>
          <w:rFonts w:ascii="Consolas" w:hAnsi="Consolas" w:cs="Consolas"/>
          <w:b w:val="0"/>
          <w:i w:val="0"/>
          <w:sz w:val="15"/>
        </w:rPr>
        <w:t>-- Documents indexes</w:t>
      </w:r>
    </w:p>
    <w:p>
      <w:pPr>
        <w:spacing w:after="0" w:before="0" w:line="240" w:lineRule="auto"/>
        <w:ind w:left="57"/>
        <w:jc w:val="left"/>
        <w:shd w:val="clear" w:fill="F2F2F2"/>
      </w:pPr>
      <w:r>
        <w:rPr>
          <w:rFonts w:ascii="Consolas" w:hAnsi="Consolas" w:cs="Consolas"/>
          <w:b w:val="0"/>
          <w:i w:val="0"/>
          <w:sz w:val="15"/>
        </w:rPr>
        <w:t>CREATE INDEX idx_documents_ustn ON documents(ustn);</w:t>
      </w:r>
    </w:p>
    <w:p>
      <w:pPr>
        <w:spacing w:after="0" w:before="0" w:line="240" w:lineRule="auto"/>
        <w:ind w:left="57"/>
        <w:jc w:val="left"/>
        <w:shd w:val="clear" w:fill="F2F2F2"/>
      </w:pPr>
      <w:r>
        <w:rPr>
          <w:rFonts w:ascii="Consolas" w:hAnsi="Consolas" w:cs="Consolas"/>
          <w:b w:val="0"/>
          <w:i w:val="0"/>
          <w:sz w:val="15"/>
        </w:rPr>
        <w:t>CREATE INDEX idx_documents_tenant ON documents(tenant_id);</w:t>
      </w:r>
    </w:p>
    <w:p>
      <w:pPr>
        <w:spacing w:after="0" w:before="0" w:line="240" w:lineRule="auto"/>
        <w:ind w:left="57"/>
        <w:jc w:val="left"/>
        <w:shd w:val="clear" w:fill="F2F2F2"/>
      </w:pPr>
      <w:r>
        <w:rPr>
          <w:rFonts w:ascii="Consolas" w:hAnsi="Consolas" w:cs="Consolas"/>
          <w:b w:val="0"/>
          <w:i w:val="0"/>
          <w:sz w:val="15"/>
        </w:rPr>
        <w:t>CREATE INDEX idx_documents_type ON documents(document_type);</w:t>
      </w:r>
    </w:p>
    <w:p>
      <w:pPr>
        <w:spacing w:after="0" w:before="0" w:line="240" w:lineRule="auto"/>
        <w:ind w:left="57"/>
        <w:jc w:val="left"/>
        <w:shd w:val="clear" w:fill="F2F2F2"/>
      </w:pPr>
      <w:r>
        <w:rPr>
          <w:rFonts w:ascii="Consolas" w:hAnsi="Consolas" w:cs="Consolas"/>
          <w:b w:val="0"/>
          <w:i w:val="0"/>
          <w:sz w:val="15"/>
        </w:rPr>
        <w:t>CREATE INDEX idx_documents_uploaded_at ON documents(uploaded_at DESC);</w:t>
      </w:r>
    </w:p>
    <w:p>
      <w:pPr>
        <w:spacing w:after="0" w:before="0" w:line="240" w:lineRule="auto"/>
        <w:ind w:left="57"/>
        <w:jc w:val="left"/>
        <w:shd w:val="clear" w:fill="F2F2F2"/>
      </w:pPr>
      <w:r>
        <w:rPr>
          <w:rFonts w:ascii="Consolas" w:hAnsi="Consolas" w:cs="Consolas"/>
          <w:b w:val="0"/>
          <w:i w:val="0"/>
          <w:sz w:val="15"/>
        </w:rPr>
        <w:t>-- Settlement indexes</w:t>
      </w:r>
    </w:p>
    <w:p>
      <w:pPr>
        <w:spacing w:after="0" w:before="0" w:line="240" w:lineRule="auto"/>
        <w:ind w:left="57"/>
        <w:jc w:val="left"/>
        <w:shd w:val="clear" w:fill="F2F2F2"/>
      </w:pPr>
      <w:r>
        <w:rPr>
          <w:rFonts w:ascii="Consolas" w:hAnsi="Consolas" w:cs="Consolas"/>
          <w:b w:val="0"/>
          <w:i w:val="0"/>
          <w:sz w:val="15"/>
        </w:rPr>
        <w:t>CREATE INDEX idx_settlement_instructions_ustn ON settlement_instructions(ustn);</w:t>
      </w:r>
    </w:p>
    <w:p>
      <w:pPr>
        <w:spacing w:after="0" w:before="0" w:line="240" w:lineRule="auto"/>
        <w:ind w:left="57"/>
        <w:jc w:val="left"/>
        <w:shd w:val="clear" w:fill="F2F2F2"/>
      </w:pPr>
      <w:r>
        <w:rPr>
          <w:rFonts w:ascii="Consolas" w:hAnsi="Consolas" w:cs="Consolas"/>
          <w:b w:val="0"/>
          <w:i w:val="0"/>
          <w:sz w:val="15"/>
        </w:rPr>
        <w:t>CREATE INDEX idx_settlement_instructions_status ON settlement_instructions(status);</w:t>
      </w:r>
    </w:p>
    <w:p>
      <w:pPr>
        <w:spacing w:after="0" w:before="0" w:line="240" w:lineRule="auto"/>
        <w:ind w:left="57"/>
        <w:jc w:val="left"/>
        <w:shd w:val="clear" w:fill="F2F2F2"/>
      </w:pPr>
      <w:r>
        <w:rPr>
          <w:rFonts w:ascii="Consolas" w:hAnsi="Consolas" w:cs="Consolas"/>
          <w:b w:val="0"/>
          <w:i w:val="0"/>
          <w:sz w:val="15"/>
        </w:rPr>
        <w:t>CREATE INDEX idx_settlement_confirmations_instruction ON settlement_confirmations(instruction_id);</w:t>
      </w:r>
    </w:p>
    <w:p>
      <w:pPr>
        <w:spacing w:after="0" w:before="0" w:line="240" w:lineRule="auto"/>
        <w:ind w:left="57"/>
        <w:jc w:val="left"/>
        <w:shd w:val="clear" w:fill="F2F2F2"/>
      </w:pPr>
      <w:r>
        <w:rPr>
          <w:rFonts w:ascii="Consolas" w:hAnsi="Consolas" w:cs="Consolas"/>
          <w:b w:val="0"/>
          <w:i w:val="0"/>
          <w:sz w:val="15"/>
        </w:rPr>
        <w:t>-- Integration indexes</w:t>
      </w:r>
    </w:p>
    <w:p>
      <w:pPr>
        <w:spacing w:after="0" w:before="0" w:line="240" w:lineRule="auto"/>
        <w:ind w:left="57"/>
        <w:jc w:val="left"/>
        <w:shd w:val="clear" w:fill="F2F2F2"/>
      </w:pPr>
      <w:r>
        <w:rPr>
          <w:rFonts w:ascii="Consolas" w:hAnsi="Consolas" w:cs="Consolas"/>
          <w:b w:val="0"/>
          <w:i w:val="0"/>
          <w:sz w:val="15"/>
        </w:rPr>
        <w:t>CREATE INDEX idx_integration_connector_logs_name ON integration_connector_logs(connector_name);</w:t>
      </w:r>
    </w:p>
    <w:p>
      <w:pPr>
        <w:spacing w:after="0" w:before="0" w:line="240" w:lineRule="auto"/>
        <w:ind w:left="57"/>
        <w:jc w:val="left"/>
        <w:shd w:val="clear" w:fill="F2F2F2"/>
      </w:pPr>
      <w:r>
        <w:rPr>
          <w:rFonts w:ascii="Consolas" w:hAnsi="Consolas" w:cs="Consolas"/>
          <w:b w:val="0"/>
          <w:i w:val="0"/>
          <w:sz w:val="15"/>
        </w:rPr>
        <w:t>CREATE INDEX idx_integration_connector_logs_created ON integration_connector_logs(created_at DESC);</w:t>
      </w:r>
    </w:p>
    <w:p>
      <w:pPr>
        <w:spacing w:after="0" w:before="0" w:line="240" w:lineRule="auto"/>
        <w:ind w:left="57"/>
        <w:jc w:val="left"/>
        <w:shd w:val="clear" w:fill="F2F2F2"/>
      </w:pPr>
      <w:r>
        <w:rPr>
          <w:rFonts w:ascii="Consolas" w:hAnsi="Consolas" w:cs="Consolas"/>
          <w:b w:val="0"/>
          <w:i w:val="0"/>
          <w:sz w:val="15"/>
        </w:rPr>
        <w:t xml:space="preserve"> CREATE INDEX                idx_integration_connector_logs_idempotency ON</w:t>
      </w:r>
    </w:p>
    <w:p>
      <w:pPr>
        <w:spacing w:after="0" w:before="0" w:line="240" w:lineRule="auto"/>
        <w:ind w:left="57"/>
        <w:jc w:val="left"/>
        <w:shd w:val="clear" w:fill="F2F2F2"/>
      </w:pPr>
      <w:r>
        <w:rPr>
          <w:rFonts w:ascii="Consolas" w:hAnsi="Consolas" w:cs="Consolas"/>
          <w:b w:val="0"/>
          <w:i w:val="0"/>
          <w:sz w:val="15"/>
        </w:rPr>
        <w:t>integration_connector_logs(idempotency_key);</w:t>
      </w:r>
    </w:p>
    <w:p>
      <w:pPr>
        <w:spacing w:after="0" w:before="0" w:line="240" w:lineRule="auto"/>
        <w:ind w:left="57"/>
        <w:jc w:val="left"/>
        <w:shd w:val="clear" w:fill="F2F2F2"/>
      </w:pPr>
      <w:r>
        <w:rPr>
          <w:rFonts w:ascii="Consolas" w:hAnsi="Consolas" w:cs="Consolas"/>
          <w:b w:val="0"/>
          <w:i w:val="0"/>
          <w:sz w:val="15"/>
        </w:rPr>
        <w:t>CREATE INDEX idx_certificates_tenant ON certificates(tenant_gtid);</w:t>
      </w:r>
    </w:p>
    <w:p>
      <w:pPr>
        <w:spacing w:after="0" w:before="0" w:line="240" w:lineRule="auto"/>
        <w:ind w:left="57"/>
        <w:jc w:val="left"/>
        <w:shd w:val="clear" w:fill="F2F2F2"/>
      </w:pPr>
      <w:r>
        <w:rPr>
          <w:rFonts w:ascii="Consolas" w:hAnsi="Consolas" w:cs="Consolas"/>
          <w:b w:val="0"/>
          <w:i w:val="0"/>
          <w:sz w:val="15"/>
        </w:rPr>
        <w:t>CREATE INDEX idx_certificates_valid_until ON certificates(valid_until);</w:t>
      </w:r>
    </w:p>
    <w:p>
      <w:pPr>
        <w:spacing w:after="0" w:before="0" w:line="240" w:lineRule="auto"/>
        <w:ind w:left="57"/>
        <w:jc w:val="left"/>
        <w:shd w:val="clear" w:fill="F2F2F2"/>
      </w:pPr>
      <w:r>
        <w:rPr>
          <w:rFonts w:ascii="Consolas" w:hAnsi="Consolas" w:cs="Consolas"/>
          <w:b w:val="0"/>
          <w:i w:val="0"/>
          <w:sz w:val="15"/>
        </w:rPr>
        <w:t>-- Release authorisation indexes</w:t>
      </w:r>
    </w:p>
    <w:p>
      <w:pPr>
        <w:spacing w:after="0" w:before="0" w:line="240" w:lineRule="auto"/>
        <w:ind w:left="57"/>
        <w:jc w:val="left"/>
        <w:shd w:val="clear" w:fill="F2F2F2"/>
      </w:pPr>
      <w:r>
        <w:rPr>
          <w:rFonts w:ascii="Consolas" w:hAnsi="Consolas" w:cs="Consolas"/>
          <w:b w:val="0"/>
          <w:i w:val="0"/>
          <w:sz w:val="15"/>
        </w:rPr>
        <w:t>CREATE INDEX idx_release_authorisations_ustn ON release_authorisations(ustn);</w:t>
      </w:r>
    </w:p>
    <w:p>
      <w:pPr>
        <w:spacing w:after="0" w:before="0" w:line="240" w:lineRule="auto"/>
        <w:ind w:left="57"/>
        <w:jc w:val="left"/>
        <w:shd w:val="clear" w:fill="F2F2F2"/>
      </w:pPr>
      <w:r>
        <w:rPr>
          <w:rFonts w:ascii="Consolas" w:hAnsi="Consolas" w:cs="Consolas"/>
          <w:b w:val="0"/>
          <w:i w:val="0"/>
          <w:sz w:val="15"/>
        </w:rPr>
        <w:t>CREATE INDEX idx_release_authorisations_container ON release_authorisations(container);</w:t>
      </w:r>
    </w:p>
    <w:p>
      <w:pPr>
        <w:spacing w:after="0" w:before="0" w:line="240" w:lineRule="auto"/>
        <w:ind w:left="57"/>
        <w:jc w:val="left"/>
        <w:shd w:val="clear" w:fill="F2F2F2"/>
      </w:pPr>
      <w:r>
        <w:rPr>
          <w:rFonts w:ascii="Consolas" w:hAnsi="Consolas" w:cs="Consolas"/>
          <w:b w:val="0"/>
          <w:i w:val="0"/>
          <w:sz w:val="15"/>
        </w:rPr>
        <w:t>CREATE INDEX idx_release_authorisations_status ON release_authorisations(status);</w:t>
      </w:r>
    </w:p>
    <w:p>
      <w:pPr>
        <w:spacing w:after="0" w:before="0" w:line="240" w:lineRule="auto"/>
        <w:ind w:left="57"/>
        <w:jc w:val="left"/>
        <w:shd w:val="clear" w:fill="F2F2F2"/>
      </w:pPr>
      <w:r>
        <w:rPr>
          <w:rFonts w:ascii="Consolas" w:hAnsi="Consolas" w:cs="Consolas"/>
          <w:b w:val="0"/>
          <w:i w:val="0"/>
          <w:sz w:val="15"/>
        </w:rPr>
        <w:t>CREATE INDEX idx_release_authorisations_valid_until ON release_authorisations(valid_until);</w:t>
      </w:r>
    </w:p>
    <w:p>
      <w:pPr>
        <w:spacing w:after="0" w:before="0" w:line="240" w:lineRule="auto"/>
        <w:ind w:left="57"/>
        <w:jc w:val="left"/>
        <w:shd w:val="clear" w:fill="F2F2F2"/>
      </w:pPr>
      <w:r>
        <w:rPr>
          <w:rFonts w:ascii="Consolas" w:hAnsi="Consolas" w:cs="Consolas"/>
          <w:b w:val="0"/>
          <w:i w:val="0"/>
          <w:sz w:val="15"/>
        </w:rPr>
        <w:t>CREATE INDEX idx_release_authorisations_authorisation_id ON release_authorisations(authorisation_id);</w:t>
      </w:r>
    </w:p>
    <w:p>
      <w:pPr>
        <w:spacing w:after="0" w:before="0" w:line="240" w:lineRule="auto"/>
        <w:ind w:left="57"/>
        <w:jc w:val="left"/>
        <w:shd w:val="clear" w:fill="F2F2F2"/>
      </w:pPr>
      <w:r>
        <w:rPr>
          <w:rFonts w:ascii="Consolas" w:hAnsi="Consolas" w:cs="Consolas"/>
          <w:b w:val="0"/>
          <w:i w:val="0"/>
          <w:sz w:val="15"/>
        </w:rPr>
        <w:t>CREATE INDEX idx_gate_out_events_ustn ON gate_out_events(ustn);</w:t>
      </w:r>
    </w:p>
    <w:p>
      <w:pPr>
        <w:spacing w:after="0" w:before="0" w:line="240" w:lineRule="auto"/>
        <w:ind w:left="57"/>
        <w:jc w:val="left"/>
        <w:shd w:val="clear" w:fill="F2F2F2"/>
      </w:pPr>
      <w:r>
        <w:rPr>
          <w:rFonts w:ascii="Consolas" w:hAnsi="Consolas" w:cs="Consolas"/>
          <w:b w:val="0"/>
          <w:i w:val="0"/>
          <w:sz w:val="15"/>
        </w:rPr>
        <w:t>CREATE INDEX idx_gate_out_events_authorisation ON gate_out_events(authorisation_id);</w:t>
      </w:r>
    </w:p>
    <w:p>
      <w:pPr>
        <w:spacing w:after="0" w:before="0" w:line="240" w:lineRule="auto"/>
        <w:ind w:left="57"/>
        <w:jc w:val="left"/>
        <w:shd w:val="clear" w:fill="F2F2F2"/>
      </w:pPr>
      <w:r>
        <w:rPr>
          <w:rFonts w:ascii="Consolas" w:hAnsi="Consolas" w:cs="Consolas"/>
          <w:b w:val="0"/>
          <w:i w:val="0"/>
          <w:sz w:val="15"/>
        </w:rPr>
        <w:t>CREATE INDEX idx_release_overrides_token ON release_overrides(override_token);</w:t>
      </w:r>
    </w:p>
    <w:p>
      <w:pPr>
        <w:spacing w:after="0" w:before="0" w:line="240" w:lineRule="auto"/>
        <w:ind w:left="57"/>
        <w:jc w:val="left"/>
        <w:shd w:val="clear" w:fill="F2F2F2"/>
      </w:pPr>
      <w:r>
        <w:rPr>
          <w:rFonts w:ascii="Consolas" w:hAnsi="Consolas" w:cs="Consolas"/>
          <w:b w:val="0"/>
          <w:i w:val="0"/>
          <w:sz w:val="15"/>
        </w:rPr>
        <w:t>-- RIA indexes</w:t>
      </w:r>
    </w:p>
    <w:p>
      <w:pPr>
        <w:spacing w:after="0" w:before="0" w:line="240" w:lineRule="auto"/>
        <w:ind w:left="57"/>
        <w:jc w:val="left"/>
        <w:shd w:val="clear" w:fill="F2F2F2"/>
      </w:pPr>
      <w:r>
        <w:rPr>
          <w:rFonts w:ascii="Consolas" w:hAnsi="Consolas" w:cs="Consolas"/>
          <w:b w:val="0"/>
          <w:i w:val="0"/>
          <w:sz w:val="15"/>
        </w:rPr>
        <w:t>CREATE INDEX idx_treatment_requirements_hs ON treatment_requirements(hs_code);</w:t>
      </w:r>
    </w:p>
    <w:p>
      <w:pPr>
        <w:spacing w:after="0" w:before="0" w:line="240" w:lineRule="auto"/>
        <w:ind w:left="57"/>
        <w:jc w:val="left"/>
        <w:shd w:val="clear" w:fill="F2F2F2"/>
      </w:pPr>
      <w:r>
        <w:rPr>
          <w:rFonts w:ascii="Consolas" w:hAnsi="Consolas" w:cs="Consolas"/>
          <w:b w:val="0"/>
          <w:i w:val="0"/>
          <w:sz w:val="15"/>
        </w:rPr>
        <w:t>CREATE INDEX idx_treatment_requirements_origin_dest              ON treatment_requirements(origin_country, destination_country);</w:t>
      </w:r>
    </w:p>
    <w:p>
      <w:pPr>
        <w:spacing w:after="0" w:before="0" w:line="240" w:lineRule="auto"/>
        <w:ind w:left="57"/>
        <w:jc w:val="left"/>
        <w:shd w:val="clear" w:fill="F2F2F2"/>
      </w:pPr>
      <w:r>
        <w:rPr>
          <w:rFonts w:ascii="Consolas" w:hAnsi="Consolas" w:cs="Consolas"/>
          <w:b w:val="0"/>
          <w:i w:val="0"/>
          <w:sz w:val="15"/>
        </w:rPr>
        <w:t>CREATE INDEX idx_country_mrl_hs_dest ON country_mrl(hs_code, destination_country);</w:t>
      </w:r>
    </w:p>
    <w:p>
      <w:pPr>
        <w:spacing w:after="0" w:before="0" w:line="240" w:lineRule="auto"/>
        <w:ind w:left="57"/>
        <w:jc w:val="left"/>
        <w:shd w:val="clear" w:fill="F2F2F2"/>
      </w:pPr>
      <w:r>
        <w:rPr>
          <w:rFonts w:ascii="Consolas" w:hAnsi="Consolas" w:cs="Consolas"/>
          <w:b w:val="0"/>
          <w:i w:val="0"/>
          <w:sz w:val="15"/>
        </w:rPr>
        <w:t>CREATE INDEX idx_commodity_packing_defaults_hs ON commodity_packing_defaults(hs_code);</w:t>
      </w:r>
    </w:p>
    <w:p>
      <w:pPr>
        <w:spacing w:after="0" w:before="0" w:line="240" w:lineRule="auto"/>
        <w:ind w:left="57"/>
        <w:jc w:val="left"/>
        <w:shd w:val="clear" w:fill="F2F2F2"/>
      </w:pPr>
      <w:r>
        <w:rPr>
          <w:rFonts w:ascii="Consolas" w:hAnsi="Consolas" w:cs="Consolas"/>
          <w:b w:val="0"/>
          <w:i w:val="0"/>
          <w:sz w:val="15"/>
        </w:rPr>
        <w:t>CREATE INDEX              idx_commodity_dynamic_schemas_cache_hs ON commodity_dynamic_schemas_cache(hs_code, origin_country, destination_country);</w:t>
      </w:r>
    </w:p>
    <w:p>
      <w:pPr>
        <w:spacing w:after="0" w:before="0" w:line="240" w:lineRule="auto"/>
        <w:ind w:left="57"/>
        <w:jc w:val="left"/>
        <w:shd w:val="clear" w:fill="F2F2F2"/>
      </w:pPr>
      <w:r>
        <w:rPr>
          <w:rFonts w:ascii="Consolas" w:hAnsi="Consolas" w:cs="Consolas"/>
          <w:b w:val="0"/>
          <w:i w:val="0"/>
          <w:sz w:val="15"/>
        </w:rPr>
        <w:t>-- Saved contacts indexes</w:t>
      </w:r>
    </w:p>
    <w:p>
      <w:pPr>
        <w:spacing w:after="0" w:before="0" w:line="240" w:lineRule="auto"/>
        <w:ind w:left="57"/>
        <w:jc w:val="left"/>
        <w:shd w:val="clear" w:fill="F2F2F2"/>
      </w:pPr>
      <w:r>
        <w:rPr>
          <w:rFonts w:ascii="Consolas" w:hAnsi="Consolas" w:cs="Consolas"/>
          <w:b w:val="0"/>
          <w:i w:val="0"/>
          <w:sz w:val="15"/>
        </w:rPr>
        <w:t>CREATE INDEX idx_tenant_contacts_tenant ON tenant_contacts(tenant_id);</w:t>
      </w:r>
    </w:p>
    <w:p>
      <w:pPr>
        <w:spacing w:after="0" w:before="0" w:line="240" w:lineRule="auto"/>
        <w:ind w:left="57"/>
        <w:jc w:val="left"/>
        <w:shd w:val="clear" w:fill="F2F2F2"/>
      </w:pPr>
      <w:r>
        <w:rPr>
          <w:rFonts w:ascii="Consolas" w:hAnsi="Consolas" w:cs="Consolas"/>
          <w:b w:val="0"/>
          <w:i w:val="0"/>
          <w:sz w:val="15"/>
        </w:rPr>
        <w:t>CREATE INDEX idx_tenant_contacts_gtid ON tenant_contacts(contact_gtid);</w:t>
      </w:r>
    </w:p>
    <w:p>
      <w:pPr>
        <w:spacing w:after="0" w:before="0" w:line="240" w:lineRule="auto"/>
        <w:ind w:left="57"/>
        <w:jc w:val="left"/>
        <w:shd w:val="clear" w:fill="F2F2F2"/>
      </w:pPr>
      <w:r>
        <w:rPr>
          <w:rFonts w:ascii="Consolas" w:hAnsi="Consolas" w:cs="Consolas"/>
          <w:b w:val="0"/>
          <w:i w:val="0"/>
          <w:sz w:val="15"/>
        </w:rPr>
        <w:t>CREATE INDEX idx_tenant_contacts_last_interaction ON tenant_contacts(last_interaction);</w:t>
      </w:r>
    </w:p>
    <w:p>
      <w:pPr>
        <w:spacing w:after="0" w:before="0" w:line="240" w:lineRule="auto"/>
        <w:ind w:left="57"/>
        <w:jc w:val="left"/>
        <w:shd w:val="clear" w:fill="F2F2F2"/>
      </w:pPr>
      <w:r>
        <w:rPr>
          <w:rFonts w:ascii="Consolas" w:hAnsi="Consolas" w:cs="Consolas"/>
          <w:b w:val="0"/>
          <w:i w:val="0"/>
          <w:sz w:val="15"/>
        </w:rPr>
        <w:t>CREATE INDEX idx_tenant_contacts_is_blocked ON tenant_contacts(is_blocked) WHERE is_blocked = true;</w:t>
      </w:r>
    </w:p>
    <w:p>
      <w:pPr>
        <w:spacing w:after="0" w:before="0" w:line="240" w:lineRule="auto"/>
        <w:ind w:left="57"/>
        <w:jc w:val="left"/>
        <w:shd w:val="clear" w:fill="F2F2F2"/>
      </w:pPr>
      <w:r>
        <w:rPr>
          <w:rFonts w:ascii="Consolas" w:hAnsi="Consolas" w:cs="Consolas"/>
          <w:b w:val="0"/>
          <w:i w:val="0"/>
          <w:sz w:val="15"/>
        </w:rPr>
        <w:t>-- Task indexes</w:t>
      </w:r>
    </w:p>
    <w:p>
      <w:pPr>
        <w:spacing w:after="0" w:before="0" w:line="240" w:lineRule="auto"/>
        <w:ind w:left="57"/>
        <w:jc w:val="left"/>
        <w:shd w:val="clear" w:fill="F2F2F2"/>
      </w:pPr>
      <w:r>
        <w:rPr>
          <w:rFonts w:ascii="Consolas" w:hAnsi="Consolas" w:cs="Consolas"/>
          <w:b w:val="0"/>
          <w:i w:val="0"/>
          <w:sz w:val="15"/>
        </w:rPr>
        <w:t>CREATE INDEX idx_tasks_assigned_to ON tasks(assigned_to_gtid);</w:t>
      </w:r>
    </w:p>
    <w:p>
      <w:pPr>
        <w:spacing w:after="0" w:before="0" w:line="240" w:lineRule="auto"/>
        <w:ind w:left="57"/>
        <w:jc w:val="left"/>
        <w:shd w:val="clear" w:fill="F2F2F2"/>
      </w:pPr>
      <w:r>
        <w:rPr>
          <w:rFonts w:ascii="Consolas" w:hAnsi="Consolas" w:cs="Consolas"/>
          <w:b w:val="0"/>
          <w:i w:val="0"/>
          <w:sz w:val="15"/>
        </w:rPr>
        <w:t>CREATE INDEX idx_tasks_status ON tasks(status);</w:t>
      </w:r>
    </w:p>
    <w:p>
      <w:pPr>
        <w:spacing w:after="0" w:before="0" w:line="240" w:lineRule="auto"/>
        <w:ind w:left="57"/>
        <w:jc w:val="left"/>
        <w:shd w:val="clear" w:fill="F2F2F2"/>
      </w:pPr>
      <w:r>
        <w:rPr>
          <w:rFonts w:ascii="Consolas" w:hAnsi="Consolas" w:cs="Consolas"/>
          <w:b w:val="0"/>
          <w:i w:val="0"/>
          <w:sz w:val="15"/>
        </w:rPr>
        <w:t>CREATE INDEX idx_tasks_due_date ON tasks(due_date);</w:t>
      </w:r>
    </w:p>
    <w:p>
      <w:pPr>
        <w:spacing w:after="0" w:before="0" w:line="240" w:lineRule="auto"/>
        <w:ind w:left="57"/>
        <w:jc w:val="left"/>
        <w:shd w:val="clear" w:fill="F2F2F2"/>
      </w:pPr>
      <w:r>
        <w:rPr>
          <w:rFonts w:ascii="Consolas" w:hAnsi="Consolas" w:cs="Consolas"/>
          <w:b w:val="0"/>
          <w:i w:val="0"/>
          <w:sz w:val="15"/>
        </w:rPr>
        <w:t>CREATE INDEX idx_tasks_ustn ON tasks(ustn);</w:t>
      </w:r>
    </w:p>
    <w:p>
      <w:pPr>
        <w:spacing w:after="0" w:before="0" w:line="240" w:lineRule="auto"/>
        <w:ind w:left="57"/>
        <w:jc w:val="left"/>
        <w:shd w:val="clear" w:fill="F2F2F2"/>
      </w:pPr>
      <w:r>
        <w:rPr>
          <w:rFonts w:ascii="Consolas" w:hAnsi="Consolas" w:cs="Consolas"/>
          <w:b w:val="0"/>
          <w:i w:val="0"/>
          <w:sz w:val="15"/>
        </w:rPr>
        <w:t>-- Contact indexes</w:t>
      </w:r>
    </w:p>
    <w:p>
      <w:pPr>
        <w:spacing w:after="0" w:before="0" w:line="240" w:lineRule="auto"/>
        <w:ind w:left="57"/>
        <w:jc w:val="left"/>
        <w:shd w:val="clear" w:fill="F2F2F2"/>
      </w:pPr>
      <w:r>
        <w:rPr>
          <w:rFonts w:ascii="Consolas" w:hAnsi="Consolas" w:cs="Consolas"/>
          <w:b w:val="0"/>
          <w:i w:val="0"/>
          <w:sz w:val="15"/>
        </w:rPr>
        <w:t>CREATE INDEX idx_tenant_contacts_tenant ON tenant_contacts(tenant_id);</w:t>
      </w:r>
    </w:p>
    <w:p>
      <w:pPr>
        <w:spacing w:after="0" w:before="0" w:line="240" w:lineRule="auto"/>
        <w:ind w:left="57"/>
        <w:jc w:val="left"/>
        <w:shd w:val="clear" w:fill="F2F2F2"/>
      </w:pPr>
      <w:r>
        <w:rPr>
          <w:rFonts w:ascii="Consolas" w:hAnsi="Consolas" w:cs="Consolas"/>
          <w:b w:val="0"/>
          <w:i w:val="0"/>
          <w:sz w:val="15"/>
        </w:rPr>
        <w:t>CREATE INDEX idx_tenant_contacts_gtid ON tenant_contacts(contact_gtid);</w:t>
      </w:r>
    </w:p>
    <w:p>
      <w:pPr>
        <w:spacing w:after="0" w:before="0" w:line="240" w:lineRule="auto"/>
        <w:ind w:left="57"/>
        <w:jc w:val="left"/>
        <w:shd w:val="clear" w:fill="F2F2F2"/>
      </w:pPr>
      <w:r>
        <w:rPr>
          <w:rFonts w:ascii="Consolas" w:hAnsi="Consolas" w:cs="Consolas"/>
          <w:b w:val="0"/>
          <w:i w:val="0"/>
          <w:sz w:val="15"/>
        </w:rPr>
        <w:t>CREATE INDEX idx_tenant_contacts_last_interaction ON tenant_contacts(last_interaction);</w:t>
      </w:r>
    </w:p>
    <w:p>
      <w:pPr>
        <w:spacing w:after="0" w:before="0" w:line="240" w:lineRule="auto"/>
        <w:ind w:left="57"/>
        <w:jc w:val="left"/>
        <w:shd w:val="clear" w:fill="F2F2F2"/>
      </w:pPr>
      <w:r>
        <w:rPr>
          <w:rFonts w:ascii="Consolas" w:hAnsi="Consolas" w:cs="Consolas"/>
          <w:b w:val="0"/>
          <w:i w:val="0"/>
          <w:sz w:val="15"/>
        </w:rPr>
        <w:t>-- User saved views indexes</w:t>
      </w:r>
    </w:p>
    <w:p>
      <w:pPr>
        <w:spacing w:after="0" w:before="0" w:line="240" w:lineRule="auto"/>
        <w:ind w:left="57"/>
        <w:jc w:val="left"/>
        <w:shd w:val="clear" w:fill="F2F2F2"/>
      </w:pPr>
      <w:r>
        <w:rPr>
          <w:rFonts w:ascii="Consolas" w:hAnsi="Consolas" w:cs="Consolas"/>
          <w:b w:val="0"/>
          <w:i w:val="0"/>
          <w:sz w:val="15"/>
        </w:rPr>
        <w:t>CREATE INDEX idx_user_saved_views_user ON user_saved_views(user_employee_id);</w:t>
      </w:r>
    </w:p>
    <w:p>
      <w:pPr>
        <w:spacing w:after="0" w:before="0" w:line="240" w:lineRule="auto"/>
        <w:ind w:left="57"/>
        <w:jc w:val="left"/>
        <w:shd w:val="clear" w:fill="F2F2F2"/>
      </w:pPr>
      <w:r>
        <w:rPr>
          <w:rFonts w:ascii="Consolas" w:hAnsi="Consolas" w:cs="Consolas"/>
          <w:b w:val="0"/>
          <w:i w:val="0"/>
          <w:sz w:val="15"/>
        </w:rPr>
        <w:t>-- Feedback indexes</w:t>
      </w:r>
    </w:p>
    <w:p>
      <w:pPr>
        <w:spacing w:after="0" w:before="0" w:line="240" w:lineRule="auto"/>
        <w:ind w:left="57"/>
        <w:jc w:val="left"/>
        <w:shd w:val="clear" w:fill="F2F2F2"/>
      </w:pPr>
      <w:r>
        <w:rPr>
          <w:rFonts w:ascii="Consolas" w:hAnsi="Consolas" w:cs="Consolas"/>
          <w:b w:val="0"/>
          <w:i w:val="0"/>
          <w:sz w:val="15"/>
        </w:rPr>
        <w:t>CREATE INDEX idx_feedback_tickets_employee ON feedback_tickets(employee_id);</w:t>
      </w:r>
    </w:p>
    <w:p>
      <w:pPr>
        <w:spacing w:after="0" w:before="0" w:line="240" w:lineRule="auto"/>
        <w:ind w:left="57"/>
        <w:jc w:val="left"/>
        <w:shd w:val="clear" w:fill="F2F2F2"/>
      </w:pPr>
      <w:r>
        <w:rPr>
          <w:rFonts w:ascii="Consolas" w:hAnsi="Consolas" w:cs="Consolas"/>
          <w:b w:val="0"/>
          <w:i w:val="0"/>
          <w:sz w:val="15"/>
        </w:rPr>
        <w:t>CREATE INDEX idx_feedback_tickets_status ON feedback_tickets(status);</w:t>
      </w:r>
    </w:p>
    <w:p>
      <w:pPr>
        <w:spacing w:after="0" w:before="0" w:line="240" w:lineRule="auto"/>
        <w:ind w:left="57"/>
        <w:jc w:val="left"/>
        <w:shd w:val="clear" w:fill="F2F2F2"/>
      </w:pPr>
      <w:r>
        <w:rPr>
          <w:rFonts w:ascii="Consolas" w:hAnsi="Consolas" w:cs="Consolas"/>
          <w:b w:val="0"/>
          <w:i w:val="0"/>
          <w:sz w:val="15"/>
        </w:rPr>
        <w:t>-- Notification indexes</w:t>
      </w:r>
    </w:p>
    <w:p>
      <w:pPr>
        <w:spacing w:after="0" w:before="0" w:line="240" w:lineRule="auto"/>
        <w:ind w:left="57"/>
        <w:jc w:val="left"/>
        <w:shd w:val="clear" w:fill="F2F2F2"/>
      </w:pPr>
      <w:r>
        <w:rPr>
          <w:rFonts w:ascii="Consolas" w:hAnsi="Consolas" w:cs="Consolas"/>
          <w:b w:val="0"/>
          <w:i w:val="0"/>
          <w:sz w:val="15"/>
        </w:rPr>
        <w:t xml:space="preserve"> CREATE INDEX idx_notification_log_recipient ON notification_log(recipient_gtid);</w:t>
      </w:r>
    </w:p>
    <w:p>
      <w:pPr>
        <w:spacing w:after="0" w:before="0" w:line="240" w:lineRule="auto"/>
        <w:ind w:left="57"/>
        <w:jc w:val="left"/>
        <w:shd w:val="clear" w:fill="F2F2F2"/>
      </w:pPr>
      <w:r>
        <w:rPr>
          <w:rFonts w:ascii="Consolas" w:hAnsi="Consolas" w:cs="Consolas"/>
          <w:b w:val="0"/>
          <w:i w:val="0"/>
          <w:sz w:val="15"/>
        </w:rPr>
        <w:t>CREATE INDEX idx_notification_log_sent_at ON notification_log(sent_at DESC);</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17.31 Row-Level Security (RLS)</w:t>
      </w:r>
    </w:p>
    <w:p>
      <w:pPr>
        <w:spacing w:after="80" w:line="293" w:lineRule="auto"/>
        <w:jc w:val="left"/>
      </w:pPr>
      <w:r>
        <w:rPr>
          <w:rFonts w:ascii="Times New Roman" w:hAnsi="Times New Roman" w:cs="Times New Roman"/>
          <w:b w:val="0"/>
          <w:i w:val="0"/>
          <w:sz w:val="22"/>
        </w:rPr>
        <w:t>RLS enforces tenant isolation at the database layer. The application sets app.current_tenant_gtid / app.current_tenant_id / app.current_employee_id session variables (only the Governor service may set them); policies below define the baseline isolation. Shipments and documents additionally honour provider participation.</w:t>
      </w:r>
    </w:p>
    <w:p>
      <w:pPr>
        <w:spacing w:after="0" w:before="0" w:line="240" w:lineRule="auto"/>
        <w:ind w:left="57"/>
        <w:jc w:val="left"/>
        <w:shd w:val="clear" w:fill="F2F2F2"/>
      </w:pPr>
      <w:r>
        <w:rPr>
          <w:rFonts w:ascii="Consolas" w:hAnsi="Consolas" w:cs="Consolas"/>
          <w:b w:val="0"/>
          <w:i w:val="0"/>
          <w:sz w:val="15"/>
        </w:rPr>
        <w:t>-- Enable RLS on all tables</w:t>
      </w:r>
    </w:p>
    <w:p>
      <w:pPr>
        <w:spacing w:after="0" w:before="0" w:line="240" w:lineRule="auto"/>
        <w:ind w:left="57"/>
        <w:jc w:val="left"/>
        <w:shd w:val="clear" w:fill="F2F2F2"/>
      </w:pPr>
      <w:r>
        <w:rPr>
          <w:rFonts w:ascii="Consolas" w:hAnsi="Consolas" w:cs="Consolas"/>
          <w:b w:val="0"/>
          <w:i w:val="0"/>
          <w:sz w:val="15"/>
        </w:rPr>
        <w:t>ALTER TABLE tenants ENABLE ROW LEVEL SECURITY;</w:t>
      </w:r>
    </w:p>
    <w:p>
      <w:pPr>
        <w:spacing w:after="0" w:before="0" w:line="240" w:lineRule="auto"/>
        <w:ind w:left="57"/>
        <w:jc w:val="left"/>
        <w:shd w:val="clear" w:fill="F2F2F2"/>
      </w:pPr>
      <w:r>
        <w:rPr>
          <w:rFonts w:ascii="Consolas" w:hAnsi="Consolas" w:cs="Consolas"/>
          <w:b w:val="0"/>
          <w:i w:val="0"/>
          <w:sz w:val="15"/>
        </w:rPr>
        <w:t>ALTER TABLE employees ENABLE ROW LEVEL SECURITY;</w:t>
      </w:r>
    </w:p>
    <w:p>
      <w:pPr>
        <w:spacing w:after="0" w:before="0" w:line="240" w:lineRule="auto"/>
        <w:ind w:left="57"/>
        <w:jc w:val="left"/>
        <w:shd w:val="clear" w:fill="F2F2F2"/>
      </w:pPr>
      <w:r>
        <w:rPr>
          <w:rFonts w:ascii="Consolas" w:hAnsi="Consolas" w:cs="Consolas"/>
          <w:b w:val="0"/>
          <w:i w:val="0"/>
          <w:sz w:val="15"/>
        </w:rPr>
        <w:t>ALTER TABLE trade_requests ENABLE ROW LEVEL SECURITY;</w:t>
      </w:r>
    </w:p>
    <w:p>
      <w:pPr>
        <w:spacing w:after="0" w:before="0" w:line="240" w:lineRule="auto"/>
        <w:ind w:left="57"/>
        <w:jc w:val="left"/>
        <w:shd w:val="clear" w:fill="F2F2F2"/>
      </w:pPr>
      <w:r>
        <w:rPr>
          <w:rFonts w:ascii="Consolas" w:hAnsi="Consolas" w:cs="Consolas"/>
          <w:b w:val="0"/>
          <w:i w:val="0"/>
          <w:sz w:val="15"/>
        </w:rPr>
        <w:t>ALTER TABLE shipments ENABLE ROW LEVEL SECURITY;</w:t>
      </w:r>
    </w:p>
    <w:p>
      <w:pPr>
        <w:spacing w:after="0" w:before="0" w:line="240" w:lineRule="auto"/>
        <w:ind w:left="57"/>
        <w:jc w:val="left"/>
        <w:shd w:val="clear" w:fill="F2F2F2"/>
      </w:pPr>
      <w:r>
        <w:rPr>
          <w:rFonts w:ascii="Consolas" w:hAnsi="Consolas" w:cs="Consolas"/>
          <w:b w:val="0"/>
          <w:i w:val="0"/>
          <w:sz w:val="15"/>
        </w:rPr>
        <w:t>ALTER TABLE contracts ENABLE ROW LEVEL SECURITY;</w:t>
      </w:r>
    </w:p>
    <w:p>
      <w:pPr>
        <w:spacing w:after="0" w:before="0" w:line="240" w:lineRule="auto"/>
        <w:ind w:left="57"/>
        <w:jc w:val="left"/>
        <w:shd w:val="clear" w:fill="F2F2F2"/>
      </w:pPr>
      <w:r>
        <w:rPr>
          <w:rFonts w:ascii="Consolas" w:hAnsi="Consolas" w:cs="Consolas"/>
          <w:b w:val="0"/>
          <w:i w:val="0"/>
          <w:sz w:val="15"/>
        </w:rPr>
        <w:t>ALTER TABLE documents ENABLE ROW LEVEL SECURITY;</w:t>
      </w:r>
    </w:p>
    <w:p>
      <w:pPr>
        <w:spacing w:after="0" w:before="0" w:line="240" w:lineRule="auto"/>
        <w:ind w:left="57"/>
        <w:jc w:val="left"/>
        <w:shd w:val="clear" w:fill="F2F2F2"/>
      </w:pPr>
      <w:r>
        <w:rPr>
          <w:rFonts w:ascii="Consolas" w:hAnsi="Consolas" w:cs="Consolas"/>
          <w:b w:val="0"/>
          <w:i w:val="0"/>
          <w:sz w:val="15"/>
        </w:rPr>
        <w:t>ALTER TABLE disputes ENABLE ROW LEVEL SECURITY;</w:t>
      </w:r>
    </w:p>
    <w:p>
      <w:pPr>
        <w:spacing w:after="0" w:before="0" w:line="240" w:lineRule="auto"/>
        <w:ind w:left="57"/>
        <w:jc w:val="left"/>
        <w:shd w:val="clear" w:fill="F2F2F2"/>
      </w:pPr>
      <w:r>
        <w:rPr>
          <w:rFonts w:ascii="Consolas" w:hAnsi="Consolas" w:cs="Consolas"/>
          <w:b w:val="0"/>
          <w:i w:val="0"/>
          <w:sz w:val="15"/>
        </w:rPr>
        <w:t>-- Tenants RLS</w:t>
      </w:r>
    </w:p>
    <w:p>
      <w:pPr>
        <w:spacing w:after="0" w:before="0" w:line="240" w:lineRule="auto"/>
        <w:ind w:left="57"/>
        <w:jc w:val="left"/>
        <w:shd w:val="clear" w:fill="F2F2F2"/>
      </w:pPr>
      <w:r>
        <w:rPr>
          <w:rFonts w:ascii="Consolas" w:hAnsi="Consolas" w:cs="Consolas"/>
          <w:b w:val="0"/>
          <w:i w:val="0"/>
          <w:sz w:val="15"/>
        </w:rPr>
        <w:t>CREATE POLICY tenants_tenant_isolation ON tenants</w:t>
      </w:r>
    </w:p>
    <w:p>
      <w:pPr>
        <w:spacing w:after="0" w:before="0" w:line="240" w:lineRule="auto"/>
        <w:ind w:left="57"/>
        <w:jc w:val="left"/>
        <w:shd w:val="clear" w:fill="F2F2F2"/>
      </w:pPr>
      <w:r>
        <w:rPr>
          <w:rFonts w:ascii="Consolas" w:hAnsi="Consolas" w:cs="Consolas"/>
          <w:b w:val="0"/>
          <w:i w:val="0"/>
          <w:sz w:val="15"/>
        </w:rPr>
        <w:t>USING (gtid = current_setting('app.current_tenant_gtid')::text OR</w:t>
      </w:r>
    </w:p>
    <w:p>
      <w:pPr>
        <w:spacing w:after="0" w:before="0" w:line="240" w:lineRule="auto"/>
        <w:ind w:left="57"/>
        <w:jc w:val="left"/>
        <w:shd w:val="clear" w:fill="F2F2F2"/>
      </w:pPr>
      <w:r>
        <w:rPr>
          <w:rFonts w:ascii="Consolas" w:hAnsi="Consolas" w:cs="Consolas"/>
          <w:b w:val="0"/>
          <w:i w:val="0"/>
          <w:sz w:val="15"/>
        </w:rPr>
        <w:t>EXISTS (SELECT 1 FROM employees WHERE                              tenant_id   =   id   AND   employees.id   =</w:t>
      </w:r>
    </w:p>
    <w:p>
      <w:pPr>
        <w:spacing w:after="0" w:before="0" w:line="240" w:lineRule="auto"/>
        <w:ind w:left="57"/>
        <w:jc w:val="left"/>
        <w:shd w:val="clear" w:fill="F2F2F2"/>
      </w:pPr>
      <w:r>
        <w:rPr>
          <w:rFonts w:ascii="Consolas" w:hAnsi="Consolas" w:cs="Consolas"/>
          <w:b w:val="0"/>
          <w:i w:val="0"/>
          <w:sz w:val="15"/>
        </w:rPr>
        <w:t>current_setting('app.current_employee_id')::uuid));</w:t>
      </w:r>
    </w:p>
    <w:p>
      <w:pPr>
        <w:spacing w:after="0" w:before="0" w:line="240" w:lineRule="auto"/>
        <w:ind w:left="57"/>
        <w:jc w:val="left"/>
        <w:shd w:val="clear" w:fill="F2F2F2"/>
      </w:pPr>
      <w:r>
        <w:rPr>
          <w:rFonts w:ascii="Consolas" w:hAnsi="Consolas" w:cs="Consolas"/>
          <w:b w:val="0"/>
          <w:i w:val="0"/>
          <w:sz w:val="15"/>
        </w:rPr>
        <w:t>-- Employees RLS</w:t>
      </w:r>
    </w:p>
    <w:p>
      <w:pPr>
        <w:spacing w:after="0" w:before="0" w:line="240" w:lineRule="auto"/>
        <w:ind w:left="57"/>
        <w:jc w:val="left"/>
        <w:shd w:val="clear" w:fill="F2F2F2"/>
      </w:pPr>
      <w:r>
        <w:rPr>
          <w:rFonts w:ascii="Consolas" w:hAnsi="Consolas" w:cs="Consolas"/>
          <w:b w:val="0"/>
          <w:i w:val="0"/>
          <w:sz w:val="15"/>
        </w:rPr>
        <w:t>CREATE POLICY employees_tenant_isolation ON employees</w:t>
      </w:r>
    </w:p>
    <w:p>
      <w:pPr>
        <w:spacing w:after="0" w:before="0" w:line="240" w:lineRule="auto"/>
        <w:ind w:left="57"/>
        <w:jc w:val="left"/>
        <w:shd w:val="clear" w:fill="F2F2F2"/>
      </w:pPr>
      <w:r>
        <w:rPr>
          <w:rFonts w:ascii="Consolas" w:hAnsi="Consolas" w:cs="Consolas"/>
          <w:b w:val="0"/>
          <w:i w:val="0"/>
          <w:sz w:val="15"/>
        </w:rPr>
        <w:t>USING (tenant_id = current_setting('app.current_tenant_id')::uuid);</w:t>
      </w:r>
    </w:p>
    <w:p>
      <w:pPr>
        <w:spacing w:after="0" w:before="0" w:line="240" w:lineRule="auto"/>
        <w:ind w:left="57"/>
        <w:jc w:val="left"/>
        <w:shd w:val="clear" w:fill="F2F2F2"/>
      </w:pPr>
      <w:r>
        <w:rPr>
          <w:rFonts w:ascii="Consolas" w:hAnsi="Consolas" w:cs="Consolas"/>
          <w:b w:val="0"/>
          <w:i w:val="0"/>
          <w:sz w:val="15"/>
        </w:rPr>
        <w:t>-- Trade requests RLS</w:t>
      </w:r>
    </w:p>
    <w:p>
      <w:pPr>
        <w:spacing w:after="0" w:before="0" w:line="240" w:lineRule="auto"/>
        <w:ind w:left="57"/>
        <w:jc w:val="left"/>
        <w:shd w:val="clear" w:fill="F2F2F2"/>
      </w:pPr>
      <w:r>
        <w:rPr>
          <w:rFonts w:ascii="Consolas" w:hAnsi="Consolas" w:cs="Consolas"/>
          <w:b w:val="0"/>
          <w:i w:val="0"/>
          <w:sz w:val="15"/>
        </w:rPr>
        <w:t>CREATE POLICY trade_requests_tenant_isolation ON trade_requests</w:t>
      </w:r>
    </w:p>
    <w:p>
      <w:pPr>
        <w:spacing w:after="0" w:before="0" w:line="240" w:lineRule="auto"/>
        <w:ind w:left="57"/>
        <w:jc w:val="left"/>
        <w:shd w:val="clear" w:fill="F2F2F2"/>
      </w:pPr>
      <w:r>
        <w:rPr>
          <w:rFonts w:ascii="Consolas" w:hAnsi="Consolas" w:cs="Consolas"/>
          <w:b w:val="0"/>
          <w:i w:val="0"/>
          <w:sz w:val="15"/>
        </w:rPr>
        <w:t>USING (buyer_tenant_id = current_setting('app.current_tenant_id')::uuid OR</w:t>
      </w:r>
    </w:p>
    <w:p>
      <w:pPr>
        <w:spacing w:after="0" w:before="0" w:line="240" w:lineRule="auto"/>
        <w:ind w:left="57"/>
        <w:jc w:val="left"/>
        <w:shd w:val="clear" w:fill="F2F2F2"/>
      </w:pPr>
      <w:r>
        <w:rPr>
          <w:rFonts w:ascii="Consolas" w:hAnsi="Consolas" w:cs="Consolas"/>
          <w:b w:val="0"/>
          <w:i w:val="0"/>
          <w:sz w:val="15"/>
        </w:rPr>
        <w:t>seller_tenant_id = current_setting('app.current_tenant_id')::uuid);</w:t>
      </w:r>
    </w:p>
    <w:p>
      <w:pPr>
        <w:spacing w:after="0" w:before="0" w:line="240" w:lineRule="auto"/>
        <w:ind w:left="57"/>
        <w:jc w:val="left"/>
        <w:shd w:val="clear" w:fill="F2F2F2"/>
      </w:pPr>
      <w:r>
        <w:rPr>
          <w:rFonts w:ascii="Consolas" w:hAnsi="Consolas" w:cs="Consolas"/>
          <w:b w:val="0"/>
          <w:i w:val="0"/>
          <w:sz w:val="15"/>
        </w:rPr>
        <w:t>-- Shipments RLS</w:t>
      </w:r>
    </w:p>
    <w:p>
      <w:pPr>
        <w:spacing w:after="0" w:before="0" w:line="240" w:lineRule="auto"/>
        <w:ind w:left="57"/>
        <w:jc w:val="left"/>
        <w:shd w:val="clear" w:fill="F2F2F2"/>
      </w:pPr>
      <w:r>
        <w:rPr>
          <w:rFonts w:ascii="Consolas" w:hAnsi="Consolas" w:cs="Consolas"/>
          <w:b w:val="0"/>
          <w:i w:val="0"/>
          <w:sz w:val="15"/>
        </w:rPr>
        <w:t>CREATE POLICY shipments_tenant_isolation ON shipments</w:t>
      </w:r>
    </w:p>
    <w:p>
      <w:pPr>
        <w:spacing w:after="0" w:before="0" w:line="240" w:lineRule="auto"/>
        <w:ind w:left="57"/>
        <w:jc w:val="left"/>
        <w:shd w:val="clear" w:fill="F2F2F2"/>
      </w:pPr>
      <w:r>
        <w:rPr>
          <w:rFonts w:ascii="Consolas" w:hAnsi="Consolas" w:cs="Consolas"/>
          <w:b w:val="0"/>
          <w:i w:val="0"/>
          <w:sz w:val="15"/>
        </w:rPr>
        <w:t>USING (exporter_gtid = current_setting('app.current_tenant_gtid')::text OR</w:t>
      </w:r>
    </w:p>
    <w:p>
      <w:pPr>
        <w:spacing w:after="0" w:before="0" w:line="240" w:lineRule="auto"/>
        <w:ind w:left="57"/>
        <w:jc w:val="left"/>
        <w:shd w:val="clear" w:fill="F2F2F2"/>
      </w:pPr>
      <w:r>
        <w:rPr>
          <w:rFonts w:ascii="Consolas" w:hAnsi="Consolas" w:cs="Consolas"/>
          <w:b w:val="0"/>
          <w:i w:val="0"/>
          <w:sz w:val="15"/>
        </w:rPr>
        <w:t>importer_gtid = current_setting('app.current_tenant_gtid')::text OR</w:t>
      </w:r>
    </w:p>
    <w:p>
      <w:pPr>
        <w:spacing w:after="0" w:before="0" w:line="240" w:lineRule="auto"/>
        <w:ind w:left="57"/>
        <w:jc w:val="left"/>
        <w:shd w:val="clear" w:fill="F2F2F2"/>
      </w:pPr>
      <w:r>
        <w:rPr>
          <w:rFonts w:ascii="Consolas" w:hAnsi="Consolas" w:cs="Consolas"/>
          <w:b w:val="0"/>
          <w:i w:val="0"/>
          <w:sz w:val="15"/>
        </w:rPr>
        <w:t>EXISTS (SELECT 1 FROM service_quotations WHERE ustn = shipments.ustn AND provider_gtid =</w:t>
      </w:r>
    </w:p>
    <w:p>
      <w:pPr>
        <w:spacing w:after="0" w:before="0" w:line="240" w:lineRule="auto"/>
        <w:ind w:left="57"/>
        <w:jc w:val="left"/>
        <w:shd w:val="clear" w:fill="F2F2F2"/>
      </w:pPr>
      <w:r>
        <w:rPr>
          <w:rFonts w:ascii="Consolas" w:hAnsi="Consolas" w:cs="Consolas"/>
          <w:b w:val="0"/>
          <w:i w:val="0"/>
          <w:sz w:val="15"/>
        </w:rPr>
        <w:t>current_setting('app.current_tenant_gtid')::text));</w:t>
      </w:r>
    </w:p>
    <w:p>
      <w:pPr>
        <w:spacing w:after="0" w:before="0" w:line="240" w:lineRule="auto"/>
        <w:ind w:left="57"/>
        <w:jc w:val="left"/>
        <w:shd w:val="clear" w:fill="F2F2F2"/>
      </w:pPr>
      <w:r>
        <w:rPr>
          <w:rFonts w:ascii="Consolas" w:hAnsi="Consolas" w:cs="Consolas"/>
          <w:b w:val="0"/>
          <w:i w:val="0"/>
          <w:sz w:val="15"/>
        </w:rPr>
        <w:t>-- Documents RLS</w:t>
      </w:r>
    </w:p>
    <w:p>
      <w:pPr>
        <w:spacing w:after="0" w:before="0" w:line="240" w:lineRule="auto"/>
        <w:ind w:left="57"/>
        <w:jc w:val="left"/>
        <w:shd w:val="clear" w:fill="F2F2F2"/>
      </w:pPr>
      <w:r>
        <w:rPr>
          <w:rFonts w:ascii="Consolas" w:hAnsi="Consolas" w:cs="Consolas"/>
          <w:b w:val="0"/>
          <w:i w:val="0"/>
          <w:sz w:val="15"/>
        </w:rPr>
        <w:t>CREATE POLICY documents_tenant_isolation ON documents</w:t>
      </w:r>
    </w:p>
    <w:p>
      <w:pPr>
        <w:spacing w:after="0" w:before="0" w:line="240" w:lineRule="auto"/>
        <w:ind w:left="57"/>
        <w:jc w:val="left"/>
        <w:shd w:val="clear" w:fill="F2F2F2"/>
      </w:pPr>
      <w:r>
        <w:rPr>
          <w:rFonts w:ascii="Consolas" w:hAnsi="Consolas" w:cs="Consolas"/>
          <w:b w:val="0"/>
          <w:i w:val="0"/>
          <w:sz w:val="15"/>
        </w:rPr>
        <w:t>USING (tenant_id = current_setting('app.current_tenant_id')::uuid OR</w:t>
      </w:r>
    </w:p>
    <w:p>
      <w:pPr>
        <w:spacing w:after="0" w:before="0" w:line="240" w:lineRule="auto"/>
        <w:ind w:left="57"/>
        <w:jc w:val="left"/>
        <w:shd w:val="clear" w:fill="F2F2F2"/>
      </w:pPr>
      <w:r>
        <w:rPr>
          <w:rFonts w:ascii="Consolas" w:hAnsi="Consolas" w:cs="Consolas"/>
          <w:b w:val="0"/>
          <w:i w:val="0"/>
          <w:sz w:val="15"/>
        </w:rPr>
        <w:t>EXISTS (SELECT 1 FROM shipments WHERE ustn = documents.ustn AND</w:t>
      </w:r>
    </w:p>
    <w:p>
      <w:pPr>
        <w:spacing w:after="0" w:before="0" w:line="240" w:lineRule="auto"/>
        <w:ind w:left="57"/>
        <w:jc w:val="left"/>
        <w:shd w:val="clear" w:fill="F2F2F2"/>
      </w:pPr>
      <w:r>
        <w:rPr>
          <w:rFonts w:ascii="Consolas" w:hAnsi="Consolas" w:cs="Consolas"/>
          <w:b w:val="0"/>
          <w:i w:val="0"/>
          <w:sz w:val="15"/>
        </w:rPr>
        <w:t>(exporter_gtid = current_setting('app.current_tenant_gtid')::text OR</w:t>
      </w:r>
    </w:p>
    <w:p>
      <w:pPr>
        <w:spacing w:after="0" w:before="0" w:line="240" w:lineRule="auto"/>
        <w:ind w:left="57"/>
        <w:jc w:val="left"/>
        <w:shd w:val="clear" w:fill="F2F2F2"/>
      </w:pPr>
      <w:r>
        <w:rPr>
          <w:rFonts w:ascii="Consolas" w:hAnsi="Consolas" w:cs="Consolas"/>
          <w:b w:val="0"/>
          <w:i w:val="0"/>
          <w:sz w:val="15"/>
        </w:rPr>
        <w:t>importer_gtid = current_setting('app.current_tenant_gtid')::text)));</w:t>
      </w:r>
    </w:p>
    <w:p>
      <w:pPr>
        <w:spacing w:after="0" w:before="0" w:line="240" w:lineRule="auto"/>
        <w:ind w:left="57"/>
        <w:jc w:val="left"/>
        <w:shd w:val="clear" w:fill="F2F2F2"/>
      </w:pPr>
      <w:r>
        <w:rPr>
          <w:rFonts w:ascii="Consolas" w:hAnsi="Consolas" w:cs="Consolas"/>
          <w:b w:val="0"/>
          <w:i w:val="0"/>
          <w:sz w:val="15"/>
        </w:rPr>
        <w:t>-- Disputes RLS</w:t>
      </w:r>
    </w:p>
    <w:p>
      <w:pPr>
        <w:spacing w:after="0" w:before="0" w:line="240" w:lineRule="auto"/>
        <w:ind w:left="57"/>
        <w:jc w:val="left"/>
        <w:shd w:val="clear" w:fill="F2F2F2"/>
      </w:pPr>
      <w:r>
        <w:rPr>
          <w:rFonts w:ascii="Consolas" w:hAnsi="Consolas" w:cs="Consolas"/>
          <w:b w:val="0"/>
          <w:i w:val="0"/>
          <w:sz w:val="15"/>
        </w:rPr>
        <w:t>CREATE POLICY disputes_tenant_isolation ON disputes</w:t>
      </w:r>
    </w:p>
    <w:p>
      <w:pPr>
        <w:spacing w:after="0" w:before="0" w:line="240" w:lineRule="auto"/>
        <w:ind w:left="57"/>
        <w:jc w:val="left"/>
        <w:shd w:val="clear" w:fill="F2F2F2"/>
      </w:pPr>
      <w:r>
        <w:rPr>
          <w:rFonts w:ascii="Consolas" w:hAnsi="Consolas" w:cs="Consolas"/>
          <w:b w:val="0"/>
          <w:i w:val="0"/>
          <w:sz w:val="15"/>
        </w:rPr>
        <w:t>USING (filing_party_gtid = current_setting('app.current_tenant_gtid')::text OR</w:t>
      </w:r>
    </w:p>
    <w:p>
      <w:pPr>
        <w:spacing w:after="0" w:before="0" w:line="240" w:lineRule="auto"/>
        <w:ind w:left="57"/>
        <w:jc w:val="left"/>
        <w:shd w:val="clear" w:fill="F2F2F2"/>
      </w:pPr>
      <w:r>
        <w:rPr>
          <w:rFonts w:ascii="Consolas" w:hAnsi="Consolas" w:cs="Consolas"/>
          <w:b w:val="0"/>
          <w:i w:val="0"/>
          <w:sz w:val="15"/>
        </w:rPr>
        <w:t>EXISTS (SELECT 1 FROM shipments WHERE ustn = disputes.ustn AND</w:t>
      </w:r>
    </w:p>
    <w:p>
      <w:pPr>
        <w:spacing w:after="0" w:before="0" w:line="240" w:lineRule="auto"/>
        <w:ind w:left="57"/>
        <w:jc w:val="left"/>
        <w:shd w:val="clear" w:fill="F2F2F2"/>
      </w:pPr>
      <w:r>
        <w:rPr>
          <w:rFonts w:ascii="Consolas" w:hAnsi="Consolas" w:cs="Consolas"/>
          <w:b w:val="0"/>
          <w:i w:val="0"/>
          <w:sz w:val="15"/>
        </w:rPr>
        <w:t>(exporter_gtid = current_setting('app.current_tenant_gtid')::text OR</w:t>
      </w:r>
    </w:p>
    <w:p>
      <w:pPr>
        <w:spacing w:after="0" w:before="0" w:line="240" w:lineRule="auto"/>
        <w:ind w:left="57"/>
        <w:jc w:val="left"/>
        <w:shd w:val="clear" w:fill="F2F2F2"/>
      </w:pPr>
      <w:r>
        <w:rPr>
          <w:rFonts w:ascii="Consolas" w:hAnsi="Consolas" w:cs="Consolas"/>
          <w:b w:val="0"/>
          <w:i w:val="0"/>
          <w:sz w:val="15"/>
        </w:rPr>
        <w:t xml:space="preserve"> importer_gtid = current_setting('app.current_tenant_gtid')::text)));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17.32 TimescaleDB Hypertables</w:t>
      </w:r>
    </w:p>
    <w:p>
      <w:pPr>
        <w:spacing w:after="80" w:line="293" w:lineRule="auto"/>
        <w:jc w:val="left"/>
      </w:pPr>
      <w:r>
        <w:rPr>
          <w:rFonts w:ascii="Times New Roman" w:hAnsi="Times New Roman" w:cs="Times New Roman"/>
          <w:b w:val="0"/>
          <w:i w:val="0"/>
          <w:sz w:val="22"/>
        </w:rPr>
        <w:t>Time-series storage and compression policy: trade memory events partitioned by week and compressed after six months; IoT sensor readings partitioned by recorded time.</w:t>
      </w:r>
    </w:p>
    <w:p>
      <w:pPr>
        <w:spacing w:after="0" w:before="0" w:line="240" w:lineRule="auto"/>
        <w:ind w:left="57"/>
        <w:jc w:val="left"/>
        <w:shd w:val="clear" w:fill="F2F2F2"/>
      </w:pPr>
      <w:r>
        <w:rPr>
          <w:rFonts w:ascii="Consolas" w:hAnsi="Consolas" w:cs="Consolas"/>
          <w:b w:val="0"/>
          <w:i w:val="0"/>
          <w:sz w:val="15"/>
        </w:rPr>
        <w:t>-- Trade Memory Events (hypertable)</w:t>
      </w:r>
    </w:p>
    <w:p>
      <w:pPr>
        <w:spacing w:after="0" w:before="0" w:line="240" w:lineRule="auto"/>
        <w:ind w:left="57"/>
        <w:jc w:val="left"/>
        <w:shd w:val="clear" w:fill="F2F2F2"/>
      </w:pPr>
      <w:r>
        <w:rPr>
          <w:rFonts w:ascii="Consolas" w:hAnsi="Consolas" w:cs="Consolas"/>
          <w:b w:val="0"/>
          <w:i w:val="0"/>
          <w:sz w:val="15"/>
        </w:rPr>
        <w:t>SELECT create_hypertable('trade_memory_events', 'occurred_week');</w:t>
      </w:r>
    </w:p>
    <w:p>
      <w:pPr>
        <w:spacing w:after="0" w:before="0" w:line="240" w:lineRule="auto"/>
        <w:ind w:left="57"/>
        <w:jc w:val="left"/>
        <w:shd w:val="clear" w:fill="F2F2F2"/>
      </w:pPr>
      <w:r>
        <w:rPr>
          <w:rFonts w:ascii="Consolas" w:hAnsi="Consolas" w:cs="Consolas"/>
          <w:b w:val="0"/>
          <w:i w:val="0"/>
          <w:sz w:val="15"/>
        </w:rPr>
        <w:t>-- IoT sensor readings</w:t>
      </w:r>
    </w:p>
    <w:p>
      <w:pPr>
        <w:spacing w:after="0" w:before="0" w:line="240" w:lineRule="auto"/>
        <w:ind w:left="57"/>
        <w:jc w:val="left"/>
        <w:shd w:val="clear" w:fill="F2F2F2"/>
      </w:pPr>
      <w:r>
        <w:rPr>
          <w:rFonts w:ascii="Consolas" w:hAnsi="Consolas" w:cs="Consolas"/>
          <w:b w:val="0"/>
          <w:i w:val="0"/>
          <w:sz w:val="15"/>
        </w:rPr>
        <w:t>CREATE TABLE iot_sensor_readings (</w:t>
      </w:r>
    </w:p>
    <w:p>
      <w:pPr>
        <w:spacing w:after="0" w:before="0" w:line="240" w:lineRule="auto"/>
        <w:ind w:left="57"/>
        <w:jc w:val="left"/>
        <w:shd w:val="clear" w:fill="F2F2F2"/>
      </w:pPr>
      <w:r>
        <w:rPr>
          <w:rFonts w:ascii="Consolas" w:hAnsi="Consolas" w:cs="Consolas"/>
          <w:b w:val="0"/>
          <w:i w:val="0"/>
          <w:sz w:val="15"/>
        </w:rPr>
        <w:t>id BIGSERIAL,</w:t>
      </w:r>
    </w:p>
    <w:p>
      <w:pPr>
        <w:spacing w:after="0" w:before="0" w:line="240" w:lineRule="auto"/>
        <w:ind w:left="57"/>
        <w:jc w:val="left"/>
        <w:shd w:val="clear" w:fill="F2F2F2"/>
      </w:pPr>
      <w:r>
        <w:rPr>
          <w:rFonts w:ascii="Consolas" w:hAnsi="Consolas" w:cs="Consolas"/>
          <w:b w:val="0"/>
          <w:i w:val="0"/>
          <w:sz w:val="15"/>
        </w:rPr>
        <w:t>ustn TEXT NOT NULL REFERENCES shipments(ustn) ON DELETE CASCADE,</w:t>
      </w:r>
    </w:p>
    <w:p>
      <w:pPr>
        <w:spacing w:after="0" w:before="0" w:line="240" w:lineRule="auto"/>
        <w:ind w:left="57"/>
        <w:jc w:val="left"/>
        <w:shd w:val="clear" w:fill="F2F2F2"/>
      </w:pPr>
      <w:r>
        <w:rPr>
          <w:rFonts w:ascii="Consolas" w:hAnsi="Consolas" w:cs="Consolas"/>
          <w:b w:val="0"/>
          <w:i w:val="0"/>
          <w:sz w:val="15"/>
        </w:rPr>
        <w:t>sensor_type TEXT NOT NULL,</w:t>
      </w:r>
    </w:p>
    <w:p>
      <w:pPr>
        <w:spacing w:after="0" w:before="0" w:line="240" w:lineRule="auto"/>
        <w:ind w:left="57"/>
        <w:jc w:val="left"/>
        <w:shd w:val="clear" w:fill="F2F2F2"/>
      </w:pPr>
      <w:r>
        <w:rPr>
          <w:rFonts w:ascii="Consolas" w:hAnsi="Consolas" w:cs="Consolas"/>
          <w:b w:val="0"/>
          <w:i w:val="0"/>
          <w:sz w:val="15"/>
        </w:rPr>
        <w:t>value JSONB NOT NULL,</w:t>
      </w:r>
    </w:p>
    <w:p>
      <w:pPr>
        <w:spacing w:after="0" w:before="0" w:line="240" w:lineRule="auto"/>
        <w:ind w:left="57"/>
        <w:jc w:val="left"/>
        <w:shd w:val="clear" w:fill="F2F2F2"/>
      </w:pPr>
      <w:r>
        <w:rPr>
          <w:rFonts w:ascii="Consolas" w:hAnsi="Consolas" w:cs="Consolas"/>
          <w:b w:val="0"/>
          <w:i w:val="0"/>
          <w:sz w:val="15"/>
        </w:rPr>
        <w:t>unit TEXT,</w:t>
      </w:r>
    </w:p>
    <w:p>
      <w:pPr>
        <w:spacing w:after="0" w:before="0" w:line="240" w:lineRule="auto"/>
        <w:ind w:left="57"/>
        <w:jc w:val="left"/>
        <w:shd w:val="clear" w:fill="F2F2F2"/>
      </w:pPr>
      <w:r>
        <w:rPr>
          <w:rFonts w:ascii="Consolas" w:hAnsi="Consolas" w:cs="Consolas"/>
          <w:b w:val="0"/>
          <w:i w:val="0"/>
          <w:sz w:val="15"/>
        </w:rPr>
        <w:t>anomaly_flag BOOLEAN DEFAULT false,</w:t>
      </w:r>
    </w:p>
    <w:p>
      <w:pPr>
        <w:spacing w:after="0" w:before="0" w:line="240" w:lineRule="auto"/>
        <w:ind w:left="57"/>
        <w:jc w:val="left"/>
        <w:shd w:val="clear" w:fill="F2F2F2"/>
      </w:pPr>
      <w:r>
        <w:rPr>
          <w:rFonts w:ascii="Consolas" w:hAnsi="Consolas" w:cs="Consolas"/>
          <w:b w:val="0"/>
          <w:i w:val="0"/>
          <w:sz w:val="15"/>
        </w:rPr>
        <w:t>recorded_at TIMESTAMPTZ NOT NULL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SELECT create_hypertable('iot_sensor_readings', 'recorded_at');</w:t>
      </w:r>
    </w:p>
    <w:p>
      <w:pPr>
        <w:spacing w:after="0" w:before="0" w:line="240" w:lineRule="auto"/>
        <w:ind w:left="57"/>
        <w:jc w:val="left"/>
        <w:shd w:val="clear" w:fill="F2F2F2"/>
      </w:pPr>
      <w:r>
        <w:rPr>
          <w:rFonts w:ascii="Consolas" w:hAnsi="Consolas" w:cs="Consolas"/>
          <w:b w:val="0"/>
          <w:i w:val="0"/>
          <w:sz w:val="15"/>
        </w:rPr>
        <w:t>-- Audit log (partitioned by date, not TimescaleDB)</w:t>
      </w:r>
    </w:p>
    <w:p>
      <w:pPr>
        <w:spacing w:after="0" w:before="0" w:line="240" w:lineRule="auto"/>
        <w:ind w:left="57"/>
        <w:jc w:val="left"/>
        <w:shd w:val="clear" w:fill="F2F2F2"/>
      </w:pPr>
      <w:r>
        <w:rPr>
          <w:rFonts w:ascii="Consolas" w:hAnsi="Consolas" w:cs="Consolas"/>
          <w:b w:val="0"/>
          <w:i w:val="0"/>
          <w:sz w:val="15"/>
        </w:rPr>
        <w:t>-- Already partitioned above</w:t>
      </w:r>
    </w:p>
    <w:p>
      <w:pPr>
        <w:spacing w:after="0" w:before="0" w:line="240" w:lineRule="auto"/>
        <w:ind w:left="57"/>
        <w:jc w:val="left"/>
        <w:shd w:val="clear" w:fill="F2F2F2"/>
      </w:pPr>
      <w:r>
        <w:rPr>
          <w:rFonts w:ascii="Consolas" w:hAnsi="Consolas" w:cs="Consolas"/>
          <w:b w:val="0"/>
          <w:i w:val="0"/>
          <w:sz w:val="15"/>
        </w:rPr>
        <w:t>-- Compress old data (after 6 months)</w:t>
      </w:r>
    </w:p>
    <w:p>
      <w:pPr>
        <w:spacing w:after="0" w:before="0" w:line="240" w:lineRule="auto"/>
        <w:ind w:left="57"/>
        <w:jc w:val="left"/>
        <w:shd w:val="clear" w:fill="F2F2F2"/>
      </w:pPr>
      <w:r>
        <w:rPr>
          <w:rFonts w:ascii="Consolas" w:hAnsi="Consolas" w:cs="Consolas"/>
          <w:b w:val="0"/>
          <w:i w:val="0"/>
          <w:sz w:val="15"/>
        </w:rPr>
        <w:t xml:space="preserve"> ALTER TABLE trade_memory_events SET (</w:t>
      </w:r>
    </w:p>
    <w:p>
      <w:pPr>
        <w:spacing w:after="0" w:before="0" w:line="240" w:lineRule="auto"/>
        <w:ind w:left="57"/>
        <w:jc w:val="left"/>
        <w:shd w:val="clear" w:fill="F2F2F2"/>
      </w:pPr>
      <w:r>
        <w:rPr>
          <w:rFonts w:ascii="Consolas" w:hAnsi="Consolas" w:cs="Consolas"/>
          <w:b w:val="0"/>
          <w:i w:val="0"/>
          <w:sz w:val="15"/>
        </w:rPr>
        <w:t>timescaledb.compress,</w:t>
      </w:r>
    </w:p>
    <w:p>
      <w:pPr>
        <w:spacing w:after="0" w:before="0" w:line="240" w:lineRule="auto"/>
        <w:ind w:left="57"/>
        <w:jc w:val="left"/>
        <w:shd w:val="clear" w:fill="F2F2F2"/>
      </w:pPr>
      <w:r>
        <w:rPr>
          <w:rFonts w:ascii="Consolas" w:hAnsi="Consolas" w:cs="Consolas"/>
          <w:b w:val="0"/>
          <w:i w:val="0"/>
          <w:sz w:val="15"/>
        </w:rPr>
        <w:t>timescaledb.compress_segmentby = 'category, event_type'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ALTER TABLE iot_sensor_readings SET (</w:t>
      </w:r>
    </w:p>
    <w:p>
      <w:pPr>
        <w:spacing w:after="0" w:before="0" w:line="240" w:lineRule="auto"/>
        <w:ind w:left="57"/>
        <w:jc w:val="left"/>
        <w:shd w:val="clear" w:fill="F2F2F2"/>
      </w:pPr>
      <w:r>
        <w:rPr>
          <w:rFonts w:ascii="Consolas" w:hAnsi="Consolas" w:cs="Consolas"/>
          <w:b w:val="0"/>
          <w:i w:val="0"/>
          <w:sz w:val="15"/>
        </w:rPr>
        <w:t>timescaledb.compress,</w:t>
      </w:r>
    </w:p>
    <w:p>
      <w:pPr>
        <w:spacing w:after="0" w:before="0" w:line="240" w:lineRule="auto"/>
        <w:ind w:left="57"/>
        <w:jc w:val="left"/>
        <w:shd w:val="clear" w:fill="F2F2F2"/>
      </w:pPr>
      <w:r>
        <w:rPr>
          <w:rFonts w:ascii="Consolas" w:hAnsi="Consolas" w:cs="Consolas"/>
          <w:b w:val="0"/>
          <w:i w:val="0"/>
          <w:sz w:val="15"/>
        </w:rPr>
        <w:t>timescaledb.compress_segmentby = 'sensor_type'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17.32.1 Reconciliation, Exposure &amp; Authority Entities</w:t>
      </w:r>
    </w:p>
    <w:p>
      <w:pPr>
        <w:spacing w:after="80" w:line="293" w:lineRule="auto"/>
        <w:jc w:val="left"/>
      </w:pPr>
      <w:r>
        <w:rPr>
          <w:rFonts w:ascii="Times New Roman" w:hAnsi="Times New Roman" w:cs="Times New Roman"/>
          <w:b w:val="0"/>
          <w:i w:val="0"/>
          <w:sz w:val="22"/>
        </w:rPr>
        <w:t>The canonical normalized entity set includes the reconciliation, exposure, and authority entities that the state-vector architecture requires. These entities are defined in addition to the domain schemas of Sections 17.3–17.31 and are referenced by the canonical models of Section 19:</w:t>
      </w:r>
    </w:p>
    <w:p>
      <w:pPr>
        <w:spacing w:after="0" w:before="0" w:line="240" w:lineRule="auto"/>
        <w:ind w:left="57"/>
        <w:jc w:val="left"/>
        <w:shd w:val="clear" w:fill="F2F2F2"/>
      </w:pPr>
      <w:r>
        <w:rPr>
          <w:rFonts w:ascii="Consolas" w:hAnsi="Consolas" w:cs="Consolas"/>
          <w:b w:val="0"/>
          <w:i w:val="0"/>
          <w:sz w:val="15"/>
        </w:rPr>
        <w:t>trade_request                  trade request root (Request UUID, Request Reference)</w:t>
      </w:r>
    </w:p>
    <w:p>
      <w:pPr>
        <w:spacing w:after="0" w:before="0" w:line="240" w:lineRule="auto"/>
        <w:ind w:left="57"/>
        <w:jc w:val="left"/>
        <w:shd w:val="clear" w:fill="F2F2F2"/>
      </w:pPr>
      <w:r>
        <w:rPr>
          <w:rFonts w:ascii="Consolas" w:hAnsi="Consolas" w:cs="Consolas"/>
          <w:b w:val="0"/>
          <w:i w:val="0"/>
          <w:sz w:val="15"/>
        </w:rPr>
        <w:t>contract                       contractual object (Contract ID)</w:t>
      </w:r>
    </w:p>
    <w:p>
      <w:pPr>
        <w:spacing w:after="0" w:before="0" w:line="240" w:lineRule="auto"/>
        <w:ind w:left="57"/>
        <w:jc w:val="left"/>
        <w:shd w:val="clear" w:fill="F2F2F2"/>
      </w:pPr>
      <w:r>
        <w:rPr>
          <w:rFonts w:ascii="Consolas" w:hAnsi="Consolas" w:cs="Consolas"/>
          <w:b w:val="0"/>
          <w:i w:val="0"/>
          <w:sz w:val="15"/>
        </w:rPr>
        <w:t>shipment                       shipment execution object (Shipment ID, USTN at lock)</w:t>
      </w:r>
    </w:p>
    <w:p>
      <w:pPr>
        <w:spacing w:after="0" w:before="0" w:line="240" w:lineRule="auto"/>
        <w:ind w:left="57"/>
        <w:jc w:val="left"/>
        <w:shd w:val="clear" w:fill="F2F2F2"/>
      </w:pPr>
      <w:r>
        <w:rPr>
          <w:rFonts w:ascii="Consolas" w:hAnsi="Consolas" w:cs="Consolas"/>
          <w:b w:val="0"/>
          <w:i w:val="0"/>
          <w:sz w:val="15"/>
        </w:rPr>
        <w:t>fee_obligation                 canonical fee obligation (due policy, blocking policy)</w:t>
      </w:r>
    </w:p>
    <w:p>
      <w:pPr>
        <w:spacing w:after="0" w:before="0" w:line="240" w:lineRule="auto"/>
        <w:ind w:left="57"/>
        <w:jc w:val="left"/>
        <w:shd w:val="clear" w:fill="F2F2F2"/>
      </w:pPr>
      <w:r>
        <w:rPr>
          <w:rFonts w:ascii="Consolas" w:hAnsi="Consolas" w:cs="Consolas"/>
          <w:b w:val="0"/>
          <w:i w:val="0"/>
          <w:sz w:val="15"/>
        </w:rPr>
        <w:t>fee_payment                    fee payment attempts and bank settlement references</w:t>
      </w:r>
    </w:p>
    <w:p>
      <w:pPr>
        <w:spacing w:after="0" w:before="0" w:line="240" w:lineRule="auto"/>
        <w:ind w:left="57"/>
        <w:jc w:val="left"/>
        <w:shd w:val="clear" w:fill="F2F2F2"/>
      </w:pPr>
      <w:r>
        <w:rPr>
          <w:rFonts w:ascii="Consolas" w:hAnsi="Consolas" w:cs="Consolas"/>
          <w:b w:val="0"/>
          <w:i w:val="0"/>
          <w:sz w:val="15"/>
        </w:rPr>
        <w:t>payment_instruction            canonical payment instructions (all flow classes)</w:t>
      </w:r>
    </w:p>
    <w:p>
      <w:pPr>
        <w:spacing w:after="0" w:before="0" w:line="240" w:lineRule="auto"/>
        <w:ind w:left="57"/>
        <w:jc w:val="left"/>
        <w:shd w:val="clear" w:fill="F2F2F2"/>
      </w:pPr>
      <w:r>
        <w:rPr>
          <w:rFonts w:ascii="Consolas" w:hAnsi="Consolas" w:cs="Consolas"/>
          <w:b w:val="0"/>
          <w:i w:val="0"/>
          <w:sz w:val="15"/>
        </w:rPr>
        <w:t>external_payment_reference     bank external references per instruction (EndToEndId / UETR)</w:t>
      </w:r>
    </w:p>
    <w:p>
      <w:pPr>
        <w:spacing w:after="0" w:before="0" w:line="240" w:lineRule="auto"/>
        <w:ind w:left="57"/>
        <w:jc w:val="left"/>
        <w:shd w:val="clear" w:fill="F2F2F2"/>
      </w:pPr>
      <w:r>
        <w:rPr>
          <w:rFonts w:ascii="Consolas" w:hAnsi="Consolas" w:cs="Consolas"/>
          <w:b w:val="0"/>
          <w:i w:val="0"/>
          <w:sz w:val="15"/>
        </w:rPr>
        <w:t>economic_exposure              controlled economic exposure (Section 19.64.1)</w:t>
      </w:r>
    </w:p>
    <w:p>
      <w:pPr>
        <w:spacing w:after="0" w:before="0" w:line="240" w:lineRule="auto"/>
        <w:ind w:left="57"/>
        <w:jc w:val="left"/>
        <w:shd w:val="clear" w:fill="F2F2F2"/>
      </w:pPr>
      <w:r>
        <w:rPr>
          <w:rFonts w:ascii="Consolas" w:hAnsi="Consolas" w:cs="Consolas"/>
          <w:b w:val="0"/>
          <w:i w:val="0"/>
          <w:sz w:val="15"/>
        </w:rPr>
        <w:t>financing_request              formal financing request</w:t>
      </w:r>
    </w:p>
    <w:p>
      <w:pPr>
        <w:spacing w:after="0" w:before="0" w:line="240" w:lineRule="auto"/>
        <w:ind w:left="57"/>
        <w:jc w:val="left"/>
        <w:shd w:val="clear" w:fill="F2F2F2"/>
      </w:pPr>
      <w:r>
        <w:rPr>
          <w:rFonts w:ascii="Consolas" w:hAnsi="Consolas" w:cs="Consolas"/>
          <w:b w:val="0"/>
          <w:i w:val="0"/>
          <w:sz w:val="15"/>
        </w:rPr>
        <w:t>financing_offer                financier offers</w:t>
      </w:r>
    </w:p>
    <w:p>
      <w:pPr>
        <w:spacing w:after="0" w:before="0" w:line="240" w:lineRule="auto"/>
        <w:ind w:left="57"/>
        <w:jc w:val="left"/>
        <w:shd w:val="clear" w:fill="F2F2F2"/>
      </w:pPr>
      <w:r>
        <w:rPr>
          <w:rFonts w:ascii="Consolas" w:hAnsi="Consolas" w:cs="Consolas"/>
          <w:b w:val="0"/>
          <w:i w:val="0"/>
          <w:sz w:val="15"/>
        </w:rPr>
        <w:t>financing_allocation           allocations/tranches/participations (Section 10.23.1)</w:t>
      </w:r>
    </w:p>
    <w:p>
      <w:pPr>
        <w:spacing w:after="0" w:before="0" w:line="240" w:lineRule="auto"/>
        <w:ind w:left="57"/>
        <w:jc w:val="left"/>
        <w:shd w:val="clear" w:fill="F2F2F2"/>
      </w:pPr>
      <w:r>
        <w:rPr>
          <w:rFonts w:ascii="Consolas" w:hAnsi="Consolas" w:cs="Consolas"/>
          <w:b w:val="0"/>
          <w:i w:val="0"/>
          <w:sz w:val="15"/>
        </w:rPr>
        <w:t>financing_agreement            executed financing agreements</w:t>
      </w:r>
    </w:p>
    <w:p>
      <w:pPr>
        <w:spacing w:after="0" w:before="0" w:line="240" w:lineRule="auto"/>
        <w:ind w:left="57"/>
        <w:jc w:val="left"/>
        <w:shd w:val="clear" w:fill="F2F2F2"/>
      </w:pPr>
      <w:r>
        <w:rPr>
          <w:rFonts w:ascii="Consolas" w:hAnsi="Consolas" w:cs="Consolas"/>
          <w:b w:val="0"/>
          <w:i w:val="0"/>
          <w:sz w:val="15"/>
        </w:rPr>
        <w:t>dwell_exposure                 dwell/demurrage exposure clock (Section 22.4.10)</w:t>
      </w:r>
    </w:p>
    <w:p>
      <w:pPr>
        <w:spacing w:after="0" w:before="0" w:line="240" w:lineRule="auto"/>
        <w:ind w:left="57"/>
        <w:jc w:val="left"/>
        <w:shd w:val="clear" w:fill="F2F2F2"/>
      </w:pPr>
      <w:r>
        <w:rPr>
          <w:rFonts w:ascii="Consolas" w:hAnsi="Consolas" w:cs="Consolas"/>
          <w:b w:val="0"/>
          <w:i w:val="0"/>
          <w:sz w:val="15"/>
        </w:rPr>
        <w:t>regulatory_applicability       applicability records (Section 20.6.1)</w:t>
      </w:r>
    </w:p>
    <w:p>
      <w:pPr>
        <w:spacing w:after="0" w:before="0" w:line="240" w:lineRule="auto"/>
        <w:ind w:left="57"/>
        <w:jc w:val="left"/>
        <w:shd w:val="clear" w:fill="F2F2F2"/>
      </w:pPr>
      <w:r>
        <w:rPr>
          <w:rFonts w:ascii="Consolas" w:hAnsi="Consolas" w:cs="Consolas"/>
          <w:b w:val="0"/>
          <w:i w:val="0"/>
          <w:sz w:val="15"/>
        </w:rPr>
        <w:t>authority_evidence             externally-sourced fact metadata (Section 19.32.1)</w:t>
      </w:r>
    </w:p>
    <w:p>
      <w:pPr>
        <w:spacing w:after="0" w:before="0" w:line="240" w:lineRule="auto"/>
        <w:ind w:left="57"/>
        <w:jc w:val="left"/>
        <w:shd w:val="clear" w:fill="F2F2F2"/>
      </w:pPr>
      <w:r>
        <w:rPr>
          <w:rFonts w:ascii="Consolas" w:hAnsi="Consolas" w:cs="Consolas"/>
          <w:b w:val="0"/>
          <w:i w:val="0"/>
          <w:sz w:val="15"/>
        </w:rPr>
        <w:t>reconciliation_case            reconciliation control-plane records (Section 19.26.1)</w:t>
      </w:r>
    </w:p>
    <w:p>
      <w:pPr>
        <w:spacing w:after="0" w:before="0" w:line="240" w:lineRule="auto"/>
        <w:ind w:left="57"/>
        <w:jc w:val="left"/>
        <w:shd w:val="clear" w:fill="F2F2F2"/>
      </w:pPr>
      <w:r>
        <w:rPr>
          <w:rFonts w:ascii="Consolas" w:hAnsi="Consolas" w:cs="Consolas"/>
          <w:b w:val="0"/>
          <w:i w:val="0"/>
          <w:sz w:val="15"/>
        </w:rPr>
        <w:t>state_vector_projection        versioned projections of canonical state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normalized entity set exists so that no subsystem stores multiple competing versions of canonical state: service-local statuses are operational projections (recorded in state_vector_projection consumers), never authoritative. Pre-USTN objects key on the Request UUID and Contract/Shipment IDs; post-lock objects key on the USTN (Section 5.8.5). Every entity that represents an external fact stores its authority metadata per Section 19.32.1, and every entity that participates in cross-system flows carries a reconciliation case reference where reconciliation applies. The complete DDL conventions (extensions, enums, RLS, indexes, hypertables) of Sections 17.1–17.32 apply to these entities.</w:t>
      </w:r>
    </w:p>
    <w:p>
      <w:pPr>
        <w:keepNext/>
        <w:spacing w:before="240" w:after="100"/>
        <w:outlineLvl w:val="1"/>
      </w:pPr>
      <w:r>
        <w:rPr>
          <w:rFonts w:ascii="Arial" w:hAnsi="Arial" w:cs="Arial"/>
          <w:b/>
          <w:i w:val="0"/>
          <w:color w:val="2E528F"/>
          <w:sz w:val="26"/>
        </w:rPr>
        <w:t>17.33 Trade Request Extension Schema (Dynamic Product-Aware Form)</w:t>
      </w:r>
    </w:p>
    <w:p>
      <w:pPr>
        <w:spacing w:after="80" w:line="293" w:lineRule="auto"/>
        <w:jc w:val="left"/>
      </w:pPr>
      <w:r>
        <w:rPr>
          <w:rFonts w:ascii="Times New Roman" w:hAnsi="Times New Roman" w:cs="Times New Roman"/>
          <w:b w:val="0"/>
          <w:i w:val="0"/>
          <w:sz w:val="22"/>
        </w:rPr>
        <w:t>The tables in this subsection implement the complete data layer of the dynamic product-aware trade request form specified in Section 6. It includes all tables, columns, indexes, foreign keys, and relationships required by the form's sixteen modules. They are additive to the core trade tables in 17.6: every statement is guarded with IF NOT EXISTS and the combined column set of the core and extension definitions is authoritative. The schema is production-ready for self-hosted PostgreSQL 18 with pgvector and TimescaleDB. Key principles:</w:t>
      </w:r>
    </w:p>
    <w:p>
      <w:pPr>
        <w:spacing w:after="80" w:line="293" w:lineRule="auto"/>
        <w:ind w:left="283"/>
        <w:jc w:val="left"/>
      </w:pPr>
      <w:r>
        <w:rPr>
          <w:rFonts w:ascii="Times New Roman" w:hAnsi="Times New Roman" w:cs="Times New Roman"/>
          <w:b w:val="0"/>
          <w:i w:val="0"/>
          <w:sz w:val="22"/>
        </w:rPr>
        <w:t>- Idempotent — all CREATE IF NOT EXISTS guards ensure safe execution.</w:t>
      </w:r>
    </w:p>
    <w:p>
      <w:pPr>
        <w:spacing w:after="80" w:line="293" w:lineRule="auto"/>
        <w:ind w:left="283"/>
        <w:jc w:val="left"/>
      </w:pPr>
      <w:r>
        <w:rPr>
          <w:rFonts w:ascii="Times New Roman" w:hAnsi="Times New Roman" w:cs="Times New Roman"/>
          <w:b w:val="0"/>
          <w:i w:val="0"/>
          <w:sz w:val="22"/>
        </w:rPr>
        <w:t>- Complete — all tables, columns, indexes, foreign keys, and constraints are included.</w:t>
      </w:r>
    </w:p>
    <w:p>
      <w:pPr>
        <w:spacing w:after="80" w:line="293" w:lineRule="auto"/>
        <w:ind w:left="283"/>
        <w:jc w:val="left"/>
      </w:pPr>
      <w:r>
        <w:rPr>
          <w:rFonts w:ascii="Times New Roman" w:hAnsi="Times New Roman" w:cs="Times New Roman"/>
          <w:b w:val="0"/>
          <w:i w:val="0"/>
          <w:sz w:val="22"/>
        </w:rPr>
        <w:t>- Extensible — JSONB fields are used wherever the schema is dynamic.</w:t>
      </w:r>
    </w:p>
    <w:p>
      <w:pPr>
        <w:spacing w:after="80" w:line="293" w:lineRule="auto"/>
        <w:ind w:left="283"/>
        <w:jc w:val="left"/>
      </w:pPr>
      <w:r>
        <w:rPr>
          <w:rFonts w:ascii="Times New Roman" w:hAnsi="Times New Roman" w:cs="Times New Roman"/>
          <w:b w:val="0"/>
          <w:i w:val="0"/>
          <w:sz w:val="22"/>
        </w:rPr>
        <w:t>- Auditable — every table carries created_at and updated_at timestamps.</w:t>
      </w:r>
    </w:p>
    <w:p>
      <w:pPr>
        <w:spacing w:after="80" w:line="293" w:lineRule="auto"/>
        <w:ind w:left="283"/>
        <w:jc w:val="left"/>
      </w:pPr>
      <w:r>
        <w:rPr>
          <w:rFonts w:ascii="Times New Roman" w:hAnsi="Times New Roman" w:cs="Times New Roman"/>
          <w:b w:val="0"/>
          <w:i w:val="0"/>
          <w:sz w:val="22"/>
        </w:rPr>
        <w:t>- Secure — foreign key constraints enforce referential integrity.</w:t>
      </w:r>
    </w:p>
    <w:p>
      <w:pPr>
        <w:spacing w:after="80" w:line="293" w:lineRule="auto"/>
        <w:ind w:left="283"/>
        <w:jc w:val="left"/>
      </w:pPr>
      <w:r>
        <w:rPr>
          <w:rFonts w:ascii="Times New Roman" w:hAnsi="Times New Roman" w:cs="Times New Roman"/>
          <w:b w:val="0"/>
          <w:i w:val="0"/>
          <w:sz w:val="22"/>
        </w:rPr>
        <w:t>- Performant — indexes cover every frequently queried column.</w:t>
      </w:r>
    </w:p>
    <w:p>
      <w:pPr>
        <w:spacing w:after="0" w:before="0" w:line="240" w:lineRule="auto"/>
        <w:ind w:left="57"/>
        <w:jc w:val="left"/>
        <w:shd w:val="clear" w:fill="F2F2F2"/>
      </w:pPr>
      <w:r>
        <w:rPr>
          <w:rFonts w:ascii="Consolas" w:hAnsi="Consolas" w:cs="Consolas"/>
          <w:b w:val="0"/>
          <w:i w:val="0"/>
          <w:sz w:val="15"/>
        </w:rPr>
        <w:t>-- Enable required extensions</w:t>
      </w:r>
    </w:p>
    <w:p>
      <w:pPr>
        <w:spacing w:after="0" w:before="0" w:line="240" w:lineRule="auto"/>
        <w:ind w:left="57"/>
        <w:jc w:val="left"/>
        <w:shd w:val="clear" w:fill="F2F2F2"/>
      </w:pPr>
      <w:r>
        <w:rPr>
          <w:rFonts w:ascii="Consolas" w:hAnsi="Consolas" w:cs="Consolas"/>
          <w:b w:val="0"/>
          <w:i w:val="0"/>
          <w:sz w:val="15"/>
        </w:rPr>
        <w:t>CREATE EXTENSION IF NOT EXISTS "uuid-ossp";</w:t>
      </w:r>
    </w:p>
    <w:p>
      <w:pPr>
        <w:spacing w:after="0" w:before="0" w:line="240" w:lineRule="auto"/>
        <w:ind w:left="57"/>
        <w:jc w:val="left"/>
        <w:shd w:val="clear" w:fill="F2F2F2"/>
      </w:pPr>
      <w:r>
        <w:rPr>
          <w:rFonts w:ascii="Consolas" w:hAnsi="Consolas" w:cs="Consolas"/>
          <w:b w:val="0"/>
          <w:i w:val="0"/>
          <w:sz w:val="15"/>
        </w:rPr>
        <w:t>CREATE EXTENSION IF NOT EXISTS "pgvector";</w:t>
      </w:r>
    </w:p>
    <w:p>
      <w:pPr>
        <w:spacing w:after="0" w:before="0" w:line="240" w:lineRule="auto"/>
        <w:ind w:left="57"/>
        <w:jc w:val="left"/>
        <w:shd w:val="clear" w:fill="F2F2F2"/>
      </w:pPr>
      <w:r>
        <w:rPr>
          <w:rFonts w:ascii="Consolas" w:hAnsi="Consolas" w:cs="Consolas"/>
          <w:b w:val="0"/>
          <w:i w:val="0"/>
          <w:sz w:val="15"/>
        </w:rPr>
        <w:t>CREATE EXTENSION IF NOT EXISTS "timescaledb";</w:t>
      </w:r>
    </w:p>
    <w:p>
      <w:pPr>
        <w:spacing w:after="0" w:before="0" w:line="240" w:lineRule="auto"/>
        <w:ind w:left="57"/>
        <w:jc w:val="left"/>
        <w:shd w:val="clear" w:fill="F2F2F2"/>
      </w:pPr>
      <w:r>
        <w:rPr>
          <w:rFonts w:ascii="Consolas" w:hAnsi="Consolas" w:cs="Consolas"/>
          <w:b w:val="0"/>
          <w:i w:val="0"/>
          <w:sz w:val="15"/>
        </w:rPr>
        <w:t>-- Enumerated types</w:t>
      </w:r>
    </w:p>
    <w:p>
      <w:pPr>
        <w:spacing w:after="0" w:before="0" w:line="240" w:lineRule="auto"/>
        <w:ind w:left="57"/>
        <w:jc w:val="left"/>
        <w:shd w:val="clear" w:fill="F2F2F2"/>
      </w:pPr>
      <w:r>
        <w:rPr>
          <w:rFonts w:ascii="Consolas" w:hAnsi="Consolas" w:cs="Consolas"/>
          <w:b w:val="0"/>
          <w:i w:val="0"/>
          <w:sz w:val="15"/>
        </w:rPr>
        <w:t>CREATE TYPE criticality_level AS ENUM ('ROUTINE', 'PRIORITY', 'CRITICAL');</w:t>
      </w:r>
    </w:p>
    <w:p>
      <w:pPr>
        <w:spacing w:after="0" w:before="0" w:line="240" w:lineRule="auto"/>
        <w:ind w:left="57"/>
        <w:jc w:val="left"/>
        <w:shd w:val="clear" w:fill="F2F2F2"/>
      </w:pPr>
      <w:r>
        <w:rPr>
          <w:rFonts w:ascii="Consolas" w:hAnsi="Consolas" w:cs="Consolas"/>
          <w:b w:val="0"/>
          <w:i w:val="0"/>
          <w:sz w:val="15"/>
        </w:rPr>
        <w:t>CREATE TYPE settlement_structure AS ENUM ('DOCUMENTARY_CREDIT', 'DOCUMENTARY_COLLECTION', 'BANK_TRANSFER', 'OPEN_ACCOUNT', 'TO_BE_NEGOTIATED');</w:t>
      </w:r>
    </w:p>
    <w:p>
      <w:pPr>
        <w:spacing w:after="0" w:before="0" w:line="240" w:lineRule="auto"/>
        <w:ind w:left="57"/>
        <w:jc w:val="left"/>
        <w:shd w:val="clear" w:fill="F2F2F2"/>
      </w:pPr>
      <w:r>
        <w:rPr>
          <w:rFonts w:ascii="Consolas" w:hAnsi="Consolas" w:cs="Consolas"/>
          <w:b w:val="0"/>
          <w:i w:val="0"/>
          <w:sz w:val="15"/>
        </w:rPr>
        <w:t>CREATE TYPE payment_timing AS ENUM ('ADVANCE', 'PARTIAL_ADVANCE', 'AGAINST_DOCUMENTS', 'AGAINST_SHIPMENT', 'AGAINST_DELIVERY', 'DEFERRED', 'TO_BE_NEGOTIATED');</w:t>
      </w:r>
    </w:p>
    <w:p>
      <w:pPr>
        <w:spacing w:after="0" w:before="0" w:line="240" w:lineRule="auto"/>
        <w:ind w:left="57"/>
        <w:jc w:val="left"/>
        <w:shd w:val="clear" w:fill="F2F2F2"/>
      </w:pPr>
      <w:r>
        <w:rPr>
          <w:rFonts w:ascii="Consolas" w:hAnsi="Consolas" w:cs="Consolas"/>
          <w:b w:val="0"/>
          <w:i w:val="0"/>
          <w:sz w:val="15"/>
        </w:rPr>
        <w:t>CREATE TYPE credit_period AS ENUM ('0_DAYS', '15_DAYS', '30_DAYS', '45_DAYS', '60_DAYS', '90_DAYS', 'CUSTOM');</w:t>
      </w:r>
    </w:p>
    <w:p>
      <w:pPr>
        <w:spacing w:after="0" w:before="0" w:line="240" w:lineRule="auto"/>
        <w:ind w:left="57"/>
        <w:jc w:val="left"/>
        <w:shd w:val="clear" w:fill="F2F2F2"/>
      </w:pPr>
      <w:r>
        <w:rPr>
          <w:rFonts w:ascii="Consolas" w:hAnsi="Consolas" w:cs="Consolas"/>
          <w:b w:val="0"/>
          <w:i w:val="0"/>
          <w:sz w:val="15"/>
        </w:rPr>
        <w:t>CREATE TYPE commercial_priority AS ENUM ('LOWEST_COST', 'FASTEST_SETTLEMENT', 'FINANCING_FRIENDLY', 'BALANCED');</w:t>
      </w:r>
    </w:p>
    <w:p>
      <w:pPr>
        <w:spacing w:after="0" w:before="0" w:line="240" w:lineRule="auto"/>
        <w:ind w:left="57"/>
        <w:jc w:val="left"/>
        <w:shd w:val="clear" w:fill="F2F2F2"/>
      </w:pPr>
      <w:r>
        <w:rPr>
          <w:rFonts w:ascii="Consolas" w:hAnsi="Consolas" w:cs="Consolas"/>
          <w:b w:val="0"/>
          <w:i w:val="0"/>
          <w:sz w:val="15"/>
        </w:rPr>
        <w:t>CREATE TYPE settlement_flexibility AS ENUM ('FIXED', 'FLEXIBLE', 'OPEN_TO_ALTERNATIVES');</w:t>
      </w:r>
    </w:p>
    <w:p>
      <w:pPr>
        <w:spacing w:after="0" w:before="0" w:line="240" w:lineRule="auto"/>
        <w:ind w:left="57"/>
        <w:jc w:val="left"/>
        <w:shd w:val="clear" w:fill="F2F2F2"/>
      </w:pPr>
      <w:r>
        <w:rPr>
          <w:rFonts w:ascii="Consolas" w:hAnsi="Consolas" w:cs="Consolas"/>
          <w:b w:val="0"/>
          <w:i w:val="0"/>
          <w:sz w:val="15"/>
        </w:rPr>
        <w:t>CREATE TYPE financing_interest AS ENUM ('BUYER', 'SELLER', 'EITHER_PARTY', 'NONE');</w:t>
      </w:r>
    </w:p>
    <w:p>
      <w:pPr>
        <w:spacing w:after="0" w:before="0" w:line="240" w:lineRule="auto"/>
        <w:ind w:left="57"/>
        <w:jc w:val="left"/>
        <w:shd w:val="clear" w:fill="F2F2F2"/>
      </w:pPr>
      <w:r>
        <w:rPr>
          <w:rFonts w:ascii="Consolas" w:hAnsi="Consolas" w:cs="Consolas"/>
          <w:b w:val="0"/>
          <w:i w:val="0"/>
          <w:sz w:val="15"/>
        </w:rPr>
        <w:t>CREATE TYPE transport_mode AS ENUM ('OCEAN', 'AIR', 'RAIL', 'TRUCK', 'MULTIMODAL');</w:t>
      </w:r>
    </w:p>
    <w:p>
      <w:pPr>
        <w:spacing w:after="0" w:before="0" w:line="240" w:lineRule="auto"/>
        <w:ind w:left="57"/>
        <w:jc w:val="left"/>
        <w:shd w:val="clear" w:fill="F2F2F2"/>
      </w:pPr>
      <w:r>
        <w:rPr>
          <w:rFonts w:ascii="Consolas" w:hAnsi="Consolas" w:cs="Consolas"/>
          <w:b w:val="0"/>
          <w:i w:val="0"/>
          <w:sz w:val="15"/>
        </w:rPr>
        <w:t>CREATE TYPE insurance_requirement AS ENUM ('REQUIRED', 'OPTIONAL', 'NOT_REQUIRED');</w:t>
      </w:r>
    </w:p>
    <w:p>
      <w:pPr>
        <w:spacing w:after="0" w:before="0" w:line="240" w:lineRule="auto"/>
        <w:ind w:left="57"/>
        <w:jc w:val="left"/>
        <w:shd w:val="clear" w:fill="F2F2F2"/>
      </w:pPr>
      <w:r>
        <w:rPr>
          <w:rFonts w:ascii="Consolas" w:hAnsi="Consolas" w:cs="Consolas"/>
          <w:b w:val="0"/>
          <w:i w:val="0"/>
          <w:sz w:val="15"/>
        </w:rPr>
        <w:t>CREATE TYPE insurance_type AS ENUM ('ALL_RISKS', 'FPA', 'WA', 'ICC_A', 'ICC_B', 'ICC_C', 'REEFER', 'LIVESTOCK', 'WAR', 'STRIKES');</w:t>
      </w:r>
    </w:p>
    <w:p>
      <w:pPr>
        <w:spacing w:after="0" w:before="0" w:line="240" w:lineRule="auto"/>
        <w:ind w:left="57"/>
        <w:jc w:val="left"/>
        <w:shd w:val="clear" w:fill="F2F2F2"/>
      </w:pPr>
      <w:r>
        <w:rPr>
          <w:rFonts w:ascii="Consolas" w:hAnsi="Consolas" w:cs="Consolas"/>
          <w:b w:val="0"/>
          <w:i w:val="0"/>
          <w:sz w:val="15"/>
        </w:rPr>
        <w:t>CREATE TYPE insurance_responsible_party AS ENUM ('BUYER', 'SELLER', 'ACCORDING_TO_INCOTERM');</w:t>
      </w:r>
    </w:p>
    <w:p>
      <w:pPr>
        <w:spacing w:after="0" w:before="0" w:line="240" w:lineRule="auto"/>
        <w:ind w:left="57"/>
        <w:jc w:val="left"/>
        <w:shd w:val="clear" w:fill="F2F2F2"/>
      </w:pPr>
      <w:r>
        <w:rPr>
          <w:rFonts w:ascii="Consolas" w:hAnsi="Consolas" w:cs="Consolas"/>
          <w:b w:val="0"/>
          <w:i w:val="0"/>
          <w:sz w:val="15"/>
        </w:rPr>
        <w:t>CREATE TYPE document_trigger AS ENUM ('SHIPMENT', 'SETTLEMENT', 'CUSTOMS', 'FINANCING');</w:t>
      </w:r>
    </w:p>
    <w:p>
      <w:pPr>
        <w:spacing w:after="0" w:before="0" w:line="240" w:lineRule="auto"/>
        <w:ind w:left="57"/>
        <w:jc w:val="left"/>
        <w:shd w:val="clear" w:fill="F2F2F2"/>
      </w:pPr>
      <w:r>
        <w:rPr>
          <w:rFonts w:ascii="Consolas" w:hAnsi="Consolas" w:cs="Consolas"/>
          <w:b w:val="0"/>
          <w:i w:val="0"/>
          <w:sz w:val="15"/>
        </w:rPr>
        <w:t>CREATE TYPE readiness_severity AS ENUM ('CRITICAL', 'WARNING', 'RECOMMENDED', 'QUALITY');</w:t>
      </w:r>
    </w:p>
    <w:p>
      <w:pPr>
        <w:spacing w:after="0" w:before="0" w:line="240" w:lineRule="auto"/>
        <w:ind w:left="57"/>
        <w:jc w:val="left"/>
        <w:shd w:val="clear" w:fill="F2F2F2"/>
      </w:pPr>
      <w:r>
        <w:rPr>
          <w:rFonts w:ascii="Consolas" w:hAnsi="Consolas" w:cs="Consolas"/>
          <w:b w:val="0"/>
          <w:i w:val="0"/>
          <w:sz w:val="15"/>
        </w:rPr>
        <w:t>CREATE TYPE draft_status AS ENUM ('ACTIVE', 'EXPIRED', 'ARCHIVED', 'DELETED');</w:t>
      </w:r>
    </w:p>
    <w:p>
      <w:pPr>
        <w:spacing w:after="0" w:before="0" w:line="240" w:lineRule="auto"/>
        <w:ind w:left="57"/>
        <w:jc w:val="left"/>
        <w:shd w:val="clear" w:fill="F2F2F2"/>
      </w:pPr>
      <w:r>
        <w:rPr>
          <w:rFonts w:ascii="Consolas" w:hAnsi="Consolas" w:cs="Consolas"/>
          <w:b w:val="0"/>
          <w:i w:val="0"/>
          <w:sz w:val="15"/>
        </w:rPr>
        <w:t>CREATE TYPE verdict_type AS ENUM ('ALLOW', 'DENY', 'CONDITIONAL', 'ESCALATE', 'PENDING');</w:t>
      </w:r>
    </w:p>
    <w:p>
      <w:pPr>
        <w:spacing w:after="0" w:before="0" w:line="240" w:lineRule="auto"/>
        <w:ind w:left="57"/>
        <w:jc w:val="left"/>
        <w:shd w:val="clear" w:fill="F2F2F2"/>
      </w:pPr>
      <w:r>
        <w:rPr>
          <w:rFonts w:ascii="Consolas" w:hAnsi="Consolas" w:cs="Consolas"/>
          <w:b w:val="0"/>
          <w:i w:val="0"/>
          <w:sz w:val="15"/>
        </w:rPr>
        <w:t>CREATE TYPE container_type AS ENUM ('20FT_STANDARD', '40FT_STANDARD', '40FT_HC', '20FT_REEFER', '40FT_REEFER', '40FT_HC_REEFER', 'OPEN_TOP', 'FLAT_RACK', 'TANK');</w:t>
      </w:r>
    </w:p>
    <w:p>
      <w:pPr>
        <w:spacing w:after="0" w:before="0" w:line="240" w:lineRule="auto"/>
        <w:ind w:left="57"/>
        <w:jc w:val="left"/>
        <w:shd w:val="clear" w:fill="F2F2F2"/>
      </w:pPr>
      <w:r>
        <w:rPr>
          <w:rFonts w:ascii="Consolas" w:hAnsi="Consolas" w:cs="Consolas"/>
          <w:b w:val="0"/>
          <w:i w:val="0"/>
          <w:sz w:val="15"/>
        </w:rPr>
        <w:t>CREATE TYPE equipment_type AS ENUM ('STANDARD', 'REEFER', 'HC', 'OPEN_TOP', 'FLAT_RACK', 'TANK', 'PALLET', 'ULD', 'DRY_VAN', 'FLATBED', 'CURTAIN_SIDE', 'BOX_WAGON', 'FLAT_WAGON', 'TANK_WAGON', 'REEFER_WAGON');</w:t>
      </w:r>
    </w:p>
    <w:p>
      <w:pPr>
        <w:spacing w:after="0" w:before="0" w:line="240" w:lineRule="auto"/>
        <w:ind w:left="57"/>
        <w:jc w:val="left"/>
        <w:shd w:val="clear" w:fill="F2F2F2"/>
      </w:pPr>
      <w:r>
        <w:rPr>
          <w:rFonts w:ascii="Consolas" w:hAnsi="Consolas" w:cs="Consolas"/>
          <w:b w:val="0"/>
          <w:i w:val="0"/>
          <w:sz w:val="15"/>
        </w:rPr>
        <w:t>-- Trade requests (core table, extended for all new fields)</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trade_criticality criticality_level</w:t>
      </w:r>
    </w:p>
    <w:p>
      <w:pPr>
        <w:spacing w:after="0" w:before="0" w:line="240" w:lineRule="auto"/>
        <w:ind w:left="57"/>
        <w:jc w:val="left"/>
        <w:shd w:val="clear" w:fill="F2F2F2"/>
      </w:pPr>
      <w:r>
        <w:rPr>
          <w:rFonts w:ascii="Consolas" w:hAnsi="Consolas" w:cs="Consolas"/>
          <w:b w:val="0"/>
          <w:i w:val="0"/>
          <w:sz w:val="15"/>
        </w:rPr>
        <w:t>DEFAULT 'ROUTINE';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criticality_suggested criticality_level;</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criticality_confidence DECIMAL(5,2);</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criticality_auto_adjusted BOOLEAN</w:t>
      </w:r>
    </w:p>
    <w:p>
      <w:pPr>
        <w:spacing w:after="0" w:before="0" w:line="240" w:lineRule="auto"/>
        <w:ind w:left="57"/>
        <w:jc w:val="left"/>
        <w:shd w:val="clear" w:fill="F2F2F2"/>
      </w:pPr>
      <w:r>
        <w:rPr>
          <w:rFonts w:ascii="Consolas" w:hAnsi="Consolas" w:cs="Consolas"/>
          <w:b w:val="0"/>
          <w:i w:val="0"/>
          <w:sz w:val="15"/>
        </w:rPr>
        <w:t>DEFAULT false;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criticality_adjustment_reason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commercial_priority commercial_priority</w:t>
      </w:r>
    </w:p>
    <w:p>
      <w:pPr>
        <w:spacing w:after="0" w:before="0" w:line="240" w:lineRule="auto"/>
        <w:ind w:left="57"/>
        <w:jc w:val="left"/>
        <w:shd w:val="clear" w:fill="F2F2F2"/>
      </w:pPr>
      <w:r>
        <w:rPr>
          <w:rFonts w:ascii="Consolas" w:hAnsi="Consolas" w:cs="Consolas"/>
          <w:b w:val="0"/>
          <w:i w:val="0"/>
          <w:sz w:val="15"/>
        </w:rPr>
        <w:t>DEFAULT 'BALANCED';</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settlement_structure settlement_structure;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payment_timing payment_timing;</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credit_period credit_period</w:t>
      </w:r>
    </w:p>
    <w:p>
      <w:pPr>
        <w:spacing w:after="0" w:before="0" w:line="240" w:lineRule="auto"/>
        <w:ind w:left="57"/>
        <w:jc w:val="left"/>
        <w:shd w:val="clear" w:fill="F2F2F2"/>
      </w:pPr>
      <w:r>
        <w:rPr>
          <w:rFonts w:ascii="Consolas" w:hAnsi="Consolas" w:cs="Consolas"/>
          <w:b w:val="0"/>
          <w:i w:val="0"/>
          <w:sz w:val="15"/>
        </w:rPr>
        <w:t>DEFAULT '30_DAYS';</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credit_period_custom_days INTEGER;</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currency TEXT</w:t>
      </w:r>
    </w:p>
    <w:p>
      <w:pPr>
        <w:spacing w:after="0" w:before="0" w:line="240" w:lineRule="auto"/>
        <w:ind w:left="57"/>
        <w:jc w:val="left"/>
        <w:shd w:val="clear" w:fill="F2F2F2"/>
      </w:pPr>
      <w:r>
        <w:rPr>
          <w:rFonts w:ascii="Consolas" w:hAnsi="Consolas" w:cs="Consolas"/>
          <w:b w:val="0"/>
          <w:i w:val="0"/>
          <w:sz w:val="15"/>
        </w:rPr>
        <w:t>DEFAULT 'USD';</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currency_other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financing_interest financing_interest</w:t>
      </w:r>
    </w:p>
    <w:p>
      <w:pPr>
        <w:spacing w:after="0" w:before="0" w:line="240" w:lineRule="auto"/>
        <w:ind w:left="57"/>
        <w:jc w:val="left"/>
        <w:shd w:val="clear" w:fill="F2F2F2"/>
      </w:pPr>
      <w:r>
        <w:rPr>
          <w:rFonts w:ascii="Consolas" w:hAnsi="Consolas" w:cs="Consolas"/>
          <w:b w:val="0"/>
          <w:i w:val="0"/>
          <w:sz w:val="15"/>
        </w:rPr>
        <w:t>DEFAULT 'NONE';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bank_instrument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settlement_flexibility settlement_flexibility</w:t>
      </w:r>
    </w:p>
    <w:p>
      <w:pPr>
        <w:spacing w:after="0" w:before="0" w:line="240" w:lineRule="auto"/>
        <w:ind w:left="57"/>
        <w:jc w:val="left"/>
        <w:shd w:val="clear" w:fill="F2F2F2"/>
      </w:pPr>
      <w:r>
        <w:rPr>
          <w:rFonts w:ascii="Consolas" w:hAnsi="Consolas" w:cs="Consolas"/>
          <w:b w:val="0"/>
          <w:i w:val="0"/>
          <w:sz w:val="15"/>
        </w:rPr>
        <w:t>DEFAULT 'FLEXIBLE';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settlement_documents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partial_advance_percentage INTEGER;</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balance_timing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acceptable_alternatives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conditions_for_alternatives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settlement_auto_configured BOOLEAN</w:t>
      </w:r>
    </w:p>
    <w:p>
      <w:pPr>
        <w:spacing w:after="0" w:before="0" w:line="240" w:lineRule="auto"/>
        <w:ind w:left="57"/>
        <w:jc w:val="left"/>
        <w:shd w:val="clear" w:fill="F2F2F2"/>
      </w:pPr>
      <w:r>
        <w:rPr>
          <w:rFonts w:ascii="Consolas" w:hAnsi="Consolas" w:cs="Consolas"/>
          <w:b w:val="0"/>
          <w:i w:val="0"/>
          <w:sz w:val="15"/>
        </w:rPr>
        <w:t>DEFAULT false;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settlement_auto_config_reason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transport_mode transport_mode;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equipment_type equipment_type;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equipment_count INTEGER;</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origin_port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destination_port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alternative_ports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earliest_delivery_date DATE;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preferred_delivery_date DATE;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latest_delivery_date DATE;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transit_time_days INTEGER;</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route_details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port_requirements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congestion_alert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container_advisor_recommendation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insurance_requirement insurance_requirement</w:t>
      </w:r>
    </w:p>
    <w:p>
      <w:pPr>
        <w:spacing w:after="0" w:before="0" w:line="240" w:lineRule="auto"/>
        <w:ind w:left="57"/>
        <w:jc w:val="left"/>
        <w:shd w:val="clear" w:fill="F2F2F2"/>
      </w:pPr>
      <w:r>
        <w:rPr>
          <w:rFonts w:ascii="Consolas" w:hAnsi="Consolas" w:cs="Consolas"/>
          <w:b w:val="0"/>
          <w:i w:val="0"/>
          <w:sz w:val="15"/>
        </w:rPr>
        <w:t>DEFAULT 'OPTIONAL';</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insurance_responsible_party insurance_responsible_party</w:t>
      </w:r>
    </w:p>
    <w:p>
      <w:pPr>
        <w:spacing w:after="0" w:before="0" w:line="240" w:lineRule="auto"/>
        <w:ind w:left="57"/>
        <w:jc w:val="left"/>
        <w:shd w:val="clear" w:fill="F2F2F2"/>
      </w:pPr>
      <w:r>
        <w:rPr>
          <w:rFonts w:ascii="Consolas" w:hAnsi="Consolas" w:cs="Consolas"/>
          <w:b w:val="0"/>
          <w:i w:val="0"/>
          <w:sz w:val="15"/>
        </w:rPr>
        <w:t>DEFAULT 'ACCORDING_TO_INCOTERM';</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insurance_type insurance_type;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insurance_coverage_percent INTEGER</w:t>
      </w:r>
    </w:p>
    <w:p>
      <w:pPr>
        <w:spacing w:after="0" w:before="0" w:line="240" w:lineRule="auto"/>
        <w:ind w:left="57"/>
        <w:jc w:val="left"/>
        <w:shd w:val="clear" w:fill="F2F2F2"/>
      </w:pPr>
      <w:r>
        <w:rPr>
          <w:rFonts w:ascii="Consolas" w:hAnsi="Consolas" w:cs="Consolas"/>
          <w:b w:val="0"/>
          <w:i w:val="0"/>
          <w:sz w:val="15"/>
        </w:rPr>
        <w:t>DEFAULT 110;</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insurance_coverage_currency TEXT</w:t>
      </w:r>
    </w:p>
    <w:p>
      <w:pPr>
        <w:spacing w:after="0" w:before="0" w:line="240" w:lineRule="auto"/>
        <w:ind w:left="57"/>
        <w:jc w:val="left"/>
        <w:shd w:val="clear" w:fill="F2F2F2"/>
      </w:pPr>
      <w:r>
        <w:rPr>
          <w:rFonts w:ascii="Consolas" w:hAnsi="Consolas" w:cs="Consolas"/>
          <w:b w:val="0"/>
          <w:i w:val="0"/>
          <w:sz w:val="15"/>
        </w:rPr>
        <w:t>DEFAULT 'USD';</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insurance_policy_number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insurance_insurer_name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insurance_policy_effective_date DATE;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insurance_policy_expiry_date DATE;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insurance_auto_configured BOOLEAN</w:t>
      </w:r>
    </w:p>
    <w:p>
      <w:pPr>
        <w:spacing w:after="0" w:before="0" w:line="240" w:lineRule="auto"/>
        <w:ind w:left="57"/>
        <w:jc w:val="left"/>
        <w:shd w:val="clear" w:fill="F2F2F2"/>
      </w:pPr>
      <w:r>
        <w:rPr>
          <w:rFonts w:ascii="Consolas" w:hAnsi="Consolas" w:cs="Consolas"/>
          <w:b w:val="0"/>
          <w:i w:val="0"/>
          <w:sz w:val="15"/>
        </w:rPr>
        <w:t>DEFAULT false;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insurance_auto_config_reason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document_language TEXT</w:t>
      </w:r>
    </w:p>
    <w:p>
      <w:pPr>
        <w:spacing w:after="0" w:before="0" w:line="240" w:lineRule="auto"/>
        <w:ind w:left="57"/>
        <w:jc w:val="left"/>
        <w:shd w:val="clear" w:fill="F2F2F2"/>
      </w:pPr>
      <w:r>
        <w:rPr>
          <w:rFonts w:ascii="Consolas" w:hAnsi="Consolas" w:cs="Consolas"/>
          <w:b w:val="0"/>
          <w:i w:val="0"/>
          <w:sz w:val="15"/>
        </w:rPr>
        <w:t>DEFAULT 'ENGLISH';</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documents_originals_required BOOLEAN</w:t>
      </w:r>
    </w:p>
    <w:p>
      <w:pPr>
        <w:spacing w:after="0" w:before="0" w:line="240" w:lineRule="auto"/>
        <w:ind w:left="57"/>
        <w:jc w:val="left"/>
        <w:shd w:val="clear" w:fill="F2F2F2"/>
      </w:pPr>
      <w:r>
        <w:rPr>
          <w:rFonts w:ascii="Consolas" w:hAnsi="Consolas" w:cs="Consolas"/>
          <w:b w:val="0"/>
          <w:i w:val="0"/>
          <w:sz w:val="15"/>
        </w:rPr>
        <w:t>DEFAULT false;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documents_electronic_accepted BOOLEAN</w:t>
      </w:r>
    </w:p>
    <w:p>
      <w:pPr>
        <w:spacing w:after="0" w:before="0" w:line="240" w:lineRule="auto"/>
        <w:ind w:left="57"/>
        <w:jc w:val="left"/>
        <w:shd w:val="clear" w:fill="F2F2F2"/>
      </w:pPr>
      <w:r>
        <w:rPr>
          <w:rFonts w:ascii="Consolas" w:hAnsi="Consolas" w:cs="Consolas"/>
          <w:b w:val="0"/>
          <w:i w:val="0"/>
          <w:sz w:val="15"/>
        </w:rPr>
        <w:t>DEFAULT true;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special_trade_instructions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rfq_readiness_score INTEGER;</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rfq_quality_score DECIMAL(5,2);</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rfq_ai_confidence DECIMAL(5,2);</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rfq_missing_items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rfq_incomplete_items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rfq_quality_issues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rfq_groq_recommendation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multi_shipment_schedule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is_multi_shipment BOOLEAN</w:t>
      </w:r>
    </w:p>
    <w:p>
      <w:pPr>
        <w:spacing w:after="0" w:before="0" w:line="240" w:lineRule="auto"/>
        <w:ind w:left="57"/>
        <w:jc w:val="left"/>
        <w:shd w:val="clear" w:fill="F2F2F2"/>
      </w:pPr>
      <w:r>
        <w:rPr>
          <w:rFonts w:ascii="Consolas" w:hAnsi="Consolas" w:cs="Consolas"/>
          <w:b w:val="0"/>
          <w:i w:val="0"/>
          <w:sz w:val="15"/>
        </w:rPr>
        <w:t>DEFAULT false;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master_contract_id UUID</w:t>
      </w:r>
    </w:p>
    <w:p>
      <w:pPr>
        <w:spacing w:after="0" w:before="0" w:line="240" w:lineRule="auto"/>
        <w:ind w:left="57"/>
        <w:jc w:val="left"/>
        <w:shd w:val="clear" w:fill="F2F2F2"/>
      </w:pPr>
      <w:r>
        <w:rPr>
          <w:rFonts w:ascii="Consolas" w:hAnsi="Consolas" w:cs="Consolas"/>
          <w:b w:val="0"/>
          <w:i w:val="0"/>
          <w:sz w:val="15"/>
        </w:rPr>
        <w:t>REFERENCES contracts(id) ON DELETE SET NULL;</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is_draft BOOLEAN</w:t>
      </w:r>
    </w:p>
    <w:p>
      <w:pPr>
        <w:spacing w:after="0" w:before="0" w:line="240" w:lineRule="auto"/>
        <w:ind w:left="57"/>
        <w:jc w:val="left"/>
        <w:shd w:val="clear" w:fill="F2F2F2"/>
      </w:pPr>
      <w:r>
        <w:rPr>
          <w:rFonts w:ascii="Consolas" w:hAnsi="Consolas" w:cs="Consolas"/>
          <w:b w:val="0"/>
          <w:i w:val="0"/>
          <w:sz w:val="15"/>
        </w:rPr>
        <w:t>DEFAULT false;</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draft_expires_at TIMESTAMPTZ;</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draft_reminded_at TIMESTAMPTZ;</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draft_restored_from_id UUID;</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archived_at TIMESTAMPTZ;</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last_activity_at TIMESTAMPTZ;</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approval_status TEXT</w:t>
      </w:r>
    </w:p>
    <w:p>
      <w:pPr>
        <w:spacing w:after="0" w:before="0" w:line="240" w:lineRule="auto"/>
        <w:ind w:left="57"/>
        <w:jc w:val="left"/>
        <w:shd w:val="clear" w:fill="F2F2F2"/>
      </w:pPr>
      <w:r>
        <w:rPr>
          <w:rFonts w:ascii="Consolas" w:hAnsi="Consolas" w:cs="Consolas"/>
          <w:b w:val="0"/>
          <w:i w:val="0"/>
          <w:sz w:val="15"/>
        </w:rPr>
        <w:t>DEFAULT 'PENDING';</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approval_workflow JSONB;</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approval_required_level TEXT;</w:t>
      </w:r>
    </w:p>
    <w:p>
      <w:pPr>
        <w:spacing w:after="0" w:before="0" w:line="240" w:lineRule="auto"/>
        <w:ind w:left="57"/>
        <w:jc w:val="left"/>
        <w:shd w:val="clear" w:fill="F2F2F2"/>
      </w:pPr>
      <w:r>
        <w:rPr>
          <w:rFonts w:ascii="Consolas" w:hAnsi="Consolas" w:cs="Consolas"/>
          <w:b w:val="0"/>
          <w:i w:val="0"/>
          <w:sz w:val="15"/>
        </w:rPr>
        <w:t>ALTER TABLE trade_requests</w:t>
      </w:r>
    </w:p>
    <w:p>
      <w:pPr>
        <w:spacing w:after="0" w:before="0" w:line="240" w:lineRule="auto"/>
        <w:ind w:left="57"/>
        <w:jc w:val="left"/>
        <w:shd w:val="clear" w:fill="F2F2F2"/>
      </w:pPr>
      <w:r>
        <w:rPr>
          <w:rFonts w:ascii="Consolas" w:hAnsi="Consolas" w:cs="Consolas"/>
          <w:b w:val="0"/>
          <w:i w:val="0"/>
          <w:sz w:val="15"/>
        </w:rPr>
        <w:t>ADD COLUMN IF NOT EXISTS approval_completed_at TIMESTAMPTZ;</w:t>
      </w:r>
    </w:p>
    <w:p>
      <w:pPr>
        <w:spacing w:after="0" w:before="0" w:line="240" w:lineRule="auto"/>
        <w:ind w:left="57"/>
        <w:jc w:val="left"/>
        <w:shd w:val="clear" w:fill="F2F2F2"/>
      </w:pPr>
      <w:r>
        <w:rPr>
          <w:rFonts w:ascii="Consolas" w:hAnsi="Consolas" w:cs="Consolas"/>
          <w:b w:val="0"/>
          <w:i w:val="0"/>
          <w:sz w:val="15"/>
        </w:rPr>
        <w:t>-- Indexes for trade_requests</w:t>
      </w:r>
    </w:p>
    <w:p>
      <w:pPr>
        <w:spacing w:after="0" w:before="0" w:line="240" w:lineRule="auto"/>
        <w:ind w:left="57"/>
        <w:jc w:val="left"/>
        <w:shd w:val="clear" w:fill="F2F2F2"/>
      </w:pPr>
      <w:r>
        <w:rPr>
          <w:rFonts w:ascii="Consolas" w:hAnsi="Consolas" w:cs="Consolas"/>
          <w:b w:val="0"/>
          <w:i w:val="0"/>
          <w:sz w:val="15"/>
        </w:rPr>
        <w:t>CREATE INDEX IF NOT EXISTS idx_trade_requests_criticality ON trade_requests(trade_criticality);</w:t>
      </w:r>
    </w:p>
    <w:p>
      <w:pPr>
        <w:spacing w:after="0" w:before="0" w:line="240" w:lineRule="auto"/>
        <w:ind w:left="57"/>
        <w:jc w:val="left"/>
        <w:shd w:val="clear" w:fill="F2F2F2"/>
      </w:pPr>
      <w:r>
        <w:rPr>
          <w:rFonts w:ascii="Consolas" w:hAnsi="Consolas" w:cs="Consolas"/>
          <w:b w:val="0"/>
          <w:i w:val="0"/>
          <w:sz w:val="15"/>
        </w:rPr>
        <w:t>CREATE INDEX IF NOT EXISTS idx_trade_requests_priority ON trade_requests(trade_criticality, created_at DESC);</w:t>
      </w:r>
    </w:p>
    <w:p>
      <w:pPr>
        <w:spacing w:after="0" w:before="0" w:line="240" w:lineRule="auto"/>
        <w:ind w:left="57"/>
        <w:jc w:val="left"/>
        <w:shd w:val="clear" w:fill="F2F2F2"/>
      </w:pPr>
      <w:r>
        <w:rPr>
          <w:rFonts w:ascii="Consolas" w:hAnsi="Consolas" w:cs="Consolas"/>
          <w:b w:val="0"/>
          <w:i w:val="0"/>
          <w:sz w:val="15"/>
        </w:rPr>
        <w:t>CREATE INDEX IF NOT EXISTS idx_trade_requests_settlement ON trade_requests(settlement_structure);</w:t>
      </w:r>
    </w:p>
    <w:p>
      <w:pPr>
        <w:spacing w:after="0" w:before="0" w:line="240" w:lineRule="auto"/>
        <w:ind w:left="57"/>
        <w:jc w:val="left"/>
        <w:shd w:val="clear" w:fill="F2F2F2"/>
      </w:pPr>
      <w:r>
        <w:rPr>
          <w:rFonts w:ascii="Consolas" w:hAnsi="Consolas" w:cs="Consolas"/>
          <w:b w:val="0"/>
          <w:i w:val="0"/>
          <w:sz w:val="15"/>
        </w:rPr>
        <w:t>CREATE INDEX IF NOT EXISTS idx_trade_requests_transport ON trade_requests(transport_mode);</w:t>
      </w:r>
    </w:p>
    <w:p>
      <w:pPr>
        <w:spacing w:after="0" w:before="0" w:line="240" w:lineRule="auto"/>
        <w:ind w:left="57"/>
        <w:jc w:val="left"/>
        <w:shd w:val="clear" w:fill="F2F2F2"/>
      </w:pPr>
      <w:r>
        <w:rPr>
          <w:rFonts w:ascii="Consolas" w:hAnsi="Consolas" w:cs="Consolas"/>
          <w:b w:val="0"/>
          <w:i w:val="0"/>
          <w:sz w:val="15"/>
        </w:rPr>
        <w:t>CREATE INDEX IF NOT EXISTS idx_trade_requests_insurance ON trade_requests(insurance_requirement);</w:t>
      </w:r>
    </w:p>
    <w:p>
      <w:pPr>
        <w:spacing w:after="0" w:before="0" w:line="240" w:lineRule="auto"/>
        <w:ind w:left="57"/>
        <w:jc w:val="left"/>
        <w:shd w:val="clear" w:fill="F2F2F2"/>
      </w:pPr>
      <w:r>
        <w:rPr>
          <w:rFonts w:ascii="Consolas" w:hAnsi="Consolas" w:cs="Consolas"/>
          <w:b w:val="0"/>
          <w:i w:val="0"/>
          <w:sz w:val="15"/>
        </w:rPr>
        <w:t>CREATE INDEX IF NOT EXISTS idx_trade_requests_delivery_window ON trade_requests(earliest_delivery_date, latest_delivery_date);</w:t>
      </w:r>
    </w:p>
    <w:p>
      <w:pPr>
        <w:spacing w:after="0" w:before="0" w:line="240" w:lineRule="auto"/>
        <w:ind w:left="57"/>
        <w:jc w:val="left"/>
        <w:shd w:val="clear" w:fill="F2F2F2"/>
      </w:pPr>
      <w:r>
        <w:rPr>
          <w:rFonts w:ascii="Consolas" w:hAnsi="Consolas" w:cs="Consolas"/>
          <w:b w:val="0"/>
          <w:i w:val="0"/>
          <w:sz w:val="15"/>
        </w:rPr>
        <w:t>CREATE INDEX IF NOT EXISTS idx_trade_requests_readiness ON trade_requests(rfq_readiness_score);</w:t>
      </w:r>
    </w:p>
    <w:p>
      <w:pPr>
        <w:spacing w:after="0" w:before="0" w:line="240" w:lineRule="auto"/>
        <w:ind w:left="57"/>
        <w:jc w:val="left"/>
        <w:shd w:val="clear" w:fill="F2F2F2"/>
      </w:pPr>
      <w:r>
        <w:rPr>
          <w:rFonts w:ascii="Consolas" w:hAnsi="Consolas" w:cs="Consolas"/>
          <w:b w:val="0"/>
          <w:i w:val="0"/>
          <w:sz w:val="15"/>
        </w:rPr>
        <w:t>CREATE INDEX IF NOT EXISTS idx_trade_requests_approval_status ON trade_requests(approval_status);</w:t>
      </w:r>
    </w:p>
    <w:p>
      <w:pPr>
        <w:spacing w:after="0" w:before="0" w:line="240" w:lineRule="auto"/>
        <w:ind w:left="57"/>
        <w:jc w:val="left"/>
        <w:shd w:val="clear" w:fill="F2F2F2"/>
      </w:pPr>
      <w:r>
        <w:rPr>
          <w:rFonts w:ascii="Consolas" w:hAnsi="Consolas" w:cs="Consolas"/>
          <w:b w:val="0"/>
          <w:i w:val="0"/>
          <w:sz w:val="15"/>
        </w:rPr>
        <w:t>CREATE INDEX IF NOT EXISTS idx_trade_requests_draft_status ON trade_requests(is_draft) WHERE is_draft = true;</w:t>
      </w:r>
    </w:p>
    <w:p>
      <w:pPr>
        <w:spacing w:after="0" w:before="0" w:line="240" w:lineRule="auto"/>
        <w:ind w:left="57"/>
        <w:jc w:val="left"/>
        <w:shd w:val="clear" w:fill="F2F2F2"/>
      </w:pPr>
      <w:r>
        <w:rPr>
          <w:rFonts w:ascii="Consolas" w:hAnsi="Consolas" w:cs="Consolas"/>
          <w:b w:val="0"/>
          <w:i w:val="0"/>
          <w:sz w:val="15"/>
        </w:rPr>
        <w:t>CREATE INDEX IF NOT EXISTS idx_trade_requests_draft_expires ON trade_requests(draft_expires_at) WHERE is_draft = true;</w:t>
      </w:r>
    </w:p>
    <w:p>
      <w:pPr>
        <w:spacing w:after="0" w:before="0" w:line="240" w:lineRule="auto"/>
        <w:ind w:left="57"/>
        <w:jc w:val="left"/>
        <w:shd w:val="clear" w:fill="F2F2F2"/>
      </w:pPr>
      <w:r>
        <w:rPr>
          <w:rFonts w:ascii="Consolas" w:hAnsi="Consolas" w:cs="Consolas"/>
          <w:b w:val="0"/>
          <w:i w:val="0"/>
          <w:sz w:val="15"/>
        </w:rPr>
        <w:t>CREATE INDEX IF NOT EXISTS idx_trade_requests_multi_shipment ON trade_requests(is_multi_shipment) WHERE is_multi_shipment = true;</w:t>
      </w:r>
    </w:p>
    <w:p>
      <w:pPr>
        <w:spacing w:after="0" w:before="0" w:line="240" w:lineRule="auto"/>
        <w:ind w:left="57"/>
        <w:jc w:val="left"/>
        <w:shd w:val="clear" w:fill="F2F2F2"/>
      </w:pPr>
      <w:r>
        <w:rPr>
          <w:rFonts w:ascii="Consolas" w:hAnsi="Consolas" w:cs="Consolas"/>
          <w:b w:val="0"/>
          <w:i w:val="0"/>
          <w:sz w:val="15"/>
        </w:rPr>
        <w:t>-- Container configuration</w:t>
      </w:r>
    </w:p>
    <w:p>
      <w:pPr>
        <w:spacing w:after="0" w:before="0" w:line="240" w:lineRule="auto"/>
        <w:ind w:left="57"/>
        <w:jc w:val="left"/>
        <w:shd w:val="clear" w:fill="F2F2F2"/>
      </w:pPr>
      <w:r>
        <w:rPr>
          <w:rFonts w:ascii="Consolas" w:hAnsi="Consolas" w:cs="Consolas"/>
          <w:b w:val="0"/>
          <w:i w:val="0"/>
          <w:sz w:val="15"/>
        </w:rPr>
        <w:t>CREATE TABLE IF NOT EXISTS trade_request_containers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container_number INTEGER NOT NULL,</w:t>
      </w:r>
    </w:p>
    <w:p>
      <w:pPr>
        <w:spacing w:after="0" w:before="0" w:line="240" w:lineRule="auto"/>
        <w:ind w:left="57"/>
        <w:jc w:val="left"/>
        <w:shd w:val="clear" w:fill="F2F2F2"/>
      </w:pPr>
      <w:r>
        <w:rPr>
          <w:rFonts w:ascii="Consolas" w:hAnsi="Consolas" w:cs="Consolas"/>
          <w:b w:val="0"/>
          <w:i w:val="0"/>
          <w:sz w:val="15"/>
        </w:rPr>
        <w:t>origin_country CHAR(2) NOT NULL,</w:t>
      </w:r>
    </w:p>
    <w:p>
      <w:pPr>
        <w:spacing w:after="0" w:before="0" w:line="240" w:lineRule="auto"/>
        <w:ind w:left="57"/>
        <w:jc w:val="left"/>
        <w:shd w:val="clear" w:fill="F2F2F2"/>
      </w:pPr>
      <w:r>
        <w:rPr>
          <w:rFonts w:ascii="Consolas" w:hAnsi="Consolas" w:cs="Consolas"/>
          <w:b w:val="0"/>
          <w:i w:val="0"/>
          <w:sz w:val="15"/>
        </w:rPr>
        <w:t>destination_country CHAR(2) NOT NULL,</w:t>
      </w:r>
    </w:p>
    <w:p>
      <w:pPr>
        <w:spacing w:after="0" w:before="0" w:line="240" w:lineRule="auto"/>
        <w:ind w:left="57"/>
        <w:jc w:val="left"/>
        <w:shd w:val="clear" w:fill="F2F2F2"/>
      </w:pPr>
      <w:r>
        <w:rPr>
          <w:rFonts w:ascii="Consolas" w:hAnsi="Consolas" w:cs="Consolas"/>
          <w:b w:val="0"/>
          <w:i w:val="0"/>
          <w:sz w:val="15"/>
        </w:rPr>
        <w:t>port_of_discharge TEXT NOT NULL,</w:t>
      </w:r>
    </w:p>
    <w:p>
      <w:pPr>
        <w:spacing w:after="0" w:before="0" w:line="240" w:lineRule="auto"/>
        <w:ind w:left="57"/>
        <w:jc w:val="left"/>
        <w:shd w:val="clear" w:fill="F2F2F2"/>
      </w:pPr>
      <w:r>
        <w:rPr>
          <w:rFonts w:ascii="Consolas" w:hAnsi="Consolas" w:cs="Consolas"/>
          <w:b w:val="0"/>
          <w:i w:val="0"/>
          <w:sz w:val="15"/>
        </w:rPr>
        <w:t>palletized BOOLEAN DEFAULT true,</w:t>
      </w:r>
    </w:p>
    <w:p>
      <w:pPr>
        <w:spacing w:after="0" w:before="0" w:line="240" w:lineRule="auto"/>
        <w:ind w:left="57"/>
        <w:jc w:val="left"/>
        <w:shd w:val="clear" w:fill="F2F2F2"/>
      </w:pPr>
      <w:r>
        <w:rPr>
          <w:rFonts w:ascii="Consolas" w:hAnsi="Consolas" w:cs="Consolas"/>
          <w:b w:val="0"/>
          <w:i w:val="0"/>
          <w:sz w:val="15"/>
        </w:rPr>
        <w:t>pallet_type TEXT DEFAULT 'EUR',</w:t>
      </w:r>
    </w:p>
    <w:p>
      <w:pPr>
        <w:spacing w:after="0" w:before="0" w:line="240" w:lineRule="auto"/>
        <w:ind w:left="57"/>
        <w:jc w:val="left"/>
        <w:shd w:val="clear" w:fill="F2F2F2"/>
      </w:pPr>
      <w:r>
        <w:rPr>
          <w:rFonts w:ascii="Consolas" w:hAnsi="Consolas" w:cs="Consolas"/>
          <w:b w:val="0"/>
          <w:i w:val="0"/>
          <w:sz w:val="15"/>
        </w:rPr>
        <w:t>destination_override TEXT,</w:t>
      </w:r>
    </w:p>
    <w:p>
      <w:pPr>
        <w:spacing w:after="0" w:before="0" w:line="240" w:lineRule="auto"/>
        <w:ind w:left="57"/>
        <w:jc w:val="left"/>
        <w:shd w:val="clear" w:fill="F2F2F2"/>
      </w:pPr>
      <w:r>
        <w:rPr>
          <w:rFonts w:ascii="Consolas" w:hAnsi="Consolas" w:cs="Consolas"/>
          <w:b w:val="0"/>
          <w:i w:val="0"/>
          <w:sz w:val="15"/>
        </w:rPr>
        <w:t>notes TEXT,</w:t>
      </w:r>
    </w:p>
    <w:p>
      <w:pPr>
        <w:spacing w:after="0" w:before="0" w:line="240" w:lineRule="auto"/>
        <w:ind w:left="57"/>
        <w:jc w:val="left"/>
        <w:shd w:val="clear" w:fill="F2F2F2"/>
      </w:pPr>
      <w:r>
        <w:rPr>
          <w:rFonts w:ascii="Consolas" w:hAnsi="Consolas" w:cs="Consolas"/>
          <w:b w:val="0"/>
          <w:i w:val="0"/>
          <w:sz w:val="15"/>
        </w:rPr>
        <w:t>total_net_weight_kg DECIMAL(10,2),</w:t>
      </w:r>
    </w:p>
    <w:p>
      <w:pPr>
        <w:spacing w:after="0" w:before="0" w:line="240" w:lineRule="auto"/>
        <w:ind w:left="57"/>
        <w:jc w:val="left"/>
        <w:shd w:val="clear" w:fill="F2F2F2"/>
      </w:pPr>
      <w:r>
        <w:rPr>
          <w:rFonts w:ascii="Consolas" w:hAnsi="Consolas" w:cs="Consolas"/>
          <w:b w:val="0"/>
          <w:i w:val="0"/>
          <w:sz w:val="15"/>
        </w:rPr>
        <w:t>total_gross_weight_kg DECIMAL(10,2),</w:t>
      </w:r>
    </w:p>
    <w:p>
      <w:pPr>
        <w:spacing w:after="0" w:before="0" w:line="240" w:lineRule="auto"/>
        <w:ind w:left="57"/>
        <w:jc w:val="left"/>
        <w:shd w:val="clear" w:fill="F2F2F2"/>
      </w:pPr>
      <w:r>
        <w:rPr>
          <w:rFonts w:ascii="Consolas" w:hAnsi="Consolas" w:cs="Consolas"/>
          <w:b w:val="0"/>
          <w:i w:val="0"/>
          <w:sz w:val="15"/>
        </w:rPr>
        <w:t>total_pallet_count INTEGER,</w:t>
      </w:r>
    </w:p>
    <w:p>
      <w:pPr>
        <w:spacing w:after="0" w:before="0" w:line="240" w:lineRule="auto"/>
        <w:ind w:left="57"/>
        <w:jc w:val="left"/>
        <w:shd w:val="clear" w:fill="F2F2F2"/>
      </w:pPr>
      <w:r>
        <w:rPr>
          <w:rFonts w:ascii="Consolas" w:hAnsi="Consolas" w:cs="Consolas"/>
          <w:b w:val="0"/>
          <w:i w:val="0"/>
          <w:sz w:val="15"/>
        </w:rPr>
        <w:t>container_type container_type,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UNIQUE(trade_request_id, container_number)</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idx_trade_request_containers_request ON trade_request_containers(trade_request_id);</w:t>
      </w:r>
    </w:p>
    <w:p>
      <w:pPr>
        <w:spacing w:after="0" w:before="0" w:line="240" w:lineRule="auto"/>
        <w:ind w:left="57"/>
        <w:jc w:val="left"/>
        <w:shd w:val="clear" w:fill="F2F2F2"/>
      </w:pPr>
      <w:r>
        <w:rPr>
          <w:rFonts w:ascii="Consolas" w:hAnsi="Consolas" w:cs="Consolas"/>
          <w:b w:val="0"/>
          <w:i w:val="0"/>
          <w:sz w:val="15"/>
        </w:rPr>
        <w:t>CREATE INDEX IF NOT EXISTS idx_trade_request_containers_port ON trade_request_containers(port_of_discharge);</w:t>
      </w:r>
    </w:p>
    <w:p>
      <w:pPr>
        <w:spacing w:after="0" w:before="0" w:line="240" w:lineRule="auto"/>
        <w:ind w:left="57"/>
        <w:jc w:val="left"/>
        <w:shd w:val="clear" w:fill="F2F2F2"/>
      </w:pPr>
      <w:r>
        <w:rPr>
          <w:rFonts w:ascii="Consolas" w:hAnsi="Consolas" w:cs="Consolas"/>
          <w:b w:val="0"/>
          <w:i w:val="0"/>
          <w:sz w:val="15"/>
        </w:rPr>
        <w:t>-- Trade Request Commodities (per-commodity data — critical fix for multi-commodity)</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TABLE IF NOT EXISTS trade_request_commodities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container_id UUID NOT NULL REFERENCES trade_request_containers(id) ON DELETE CASCADE,</w:t>
      </w:r>
    </w:p>
    <w:p>
      <w:pPr>
        <w:spacing w:after="0" w:before="0" w:line="240" w:lineRule="auto"/>
        <w:ind w:left="57"/>
        <w:jc w:val="left"/>
        <w:shd w:val="clear" w:fill="F2F2F2"/>
      </w:pPr>
      <w:r>
        <w:rPr>
          <w:rFonts w:ascii="Consolas" w:hAnsi="Consolas" w:cs="Consolas"/>
          <w:b w:val="0"/>
          <w:i w:val="0"/>
          <w:sz w:val="15"/>
        </w:rPr>
        <w:t>commodity_type TEXT NOT NULL,</w:t>
      </w:r>
    </w:p>
    <w:p>
      <w:pPr>
        <w:spacing w:after="0" w:before="0" w:line="240" w:lineRule="auto"/>
        <w:ind w:left="57"/>
        <w:jc w:val="left"/>
        <w:shd w:val="clear" w:fill="F2F2F2"/>
      </w:pPr>
      <w:r>
        <w:rPr>
          <w:rFonts w:ascii="Consolas" w:hAnsi="Consolas" w:cs="Consolas"/>
          <w:b w:val="0"/>
          <w:i w:val="0"/>
          <w:sz w:val="15"/>
        </w:rPr>
        <w:t>product_name TEXT NOT NULL,</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 Quantity &amp; Tolerance (per commodity)</w:t>
      </w:r>
    </w:p>
    <w:p>
      <w:pPr>
        <w:spacing w:after="0" w:before="0" w:line="240" w:lineRule="auto"/>
        <w:ind w:left="57"/>
        <w:jc w:val="left"/>
        <w:shd w:val="clear" w:fill="F2F2F2"/>
      </w:pPr>
      <w:r>
        <w:rPr>
          <w:rFonts w:ascii="Consolas" w:hAnsi="Consolas" w:cs="Consolas"/>
          <w:b w:val="0"/>
          <w:i w:val="0"/>
          <w:sz w:val="15"/>
        </w:rPr>
        <w:t>requested_quantity DECIMAL(20,4) NOT NULL,</w:t>
      </w:r>
    </w:p>
    <w:p>
      <w:pPr>
        <w:spacing w:after="0" w:before="0" w:line="240" w:lineRule="auto"/>
        <w:ind w:left="57"/>
        <w:jc w:val="left"/>
        <w:shd w:val="clear" w:fill="F2F2F2"/>
      </w:pPr>
      <w:r>
        <w:rPr>
          <w:rFonts w:ascii="Consolas" w:hAnsi="Consolas" w:cs="Consolas"/>
          <w:b w:val="0"/>
          <w:i w:val="0"/>
          <w:sz w:val="15"/>
        </w:rPr>
        <w:t>requested_quantity_unit TEXT NOT NULL,</w:t>
      </w:r>
    </w:p>
    <w:p>
      <w:pPr>
        <w:spacing w:after="0" w:before="0" w:line="240" w:lineRule="auto"/>
        <w:ind w:left="57"/>
        <w:jc w:val="left"/>
        <w:shd w:val="clear" w:fill="F2F2F2"/>
      </w:pPr>
      <w:r>
        <w:rPr>
          <w:rFonts w:ascii="Consolas" w:hAnsi="Consolas" w:cs="Consolas"/>
          <w:b w:val="0"/>
          <w:i w:val="0"/>
          <w:sz w:val="15"/>
        </w:rPr>
        <w:t>quantity_tolerance DECIMAL(5,2) DEFAULT 5.0,</w:t>
      </w:r>
    </w:p>
    <w:p>
      <w:pPr>
        <w:spacing w:after="0" w:before="0" w:line="240" w:lineRule="auto"/>
        <w:ind w:left="57"/>
        <w:jc w:val="left"/>
        <w:shd w:val="clear" w:fill="F2F2F2"/>
      </w:pPr>
      <w:r>
        <w:rPr>
          <w:rFonts w:ascii="Consolas" w:hAnsi="Consolas" w:cs="Consolas"/>
          <w:b w:val="0"/>
          <w:i w:val="0"/>
          <w:sz w:val="15"/>
        </w:rPr>
        <w:t>partial_shipment_allowed BOOLEAN DEFAULT true,</w:t>
      </w:r>
    </w:p>
    <w:p>
      <w:pPr>
        <w:spacing w:after="0" w:before="0" w:line="240" w:lineRule="auto"/>
        <w:ind w:left="57"/>
        <w:jc w:val="left"/>
        <w:shd w:val="clear" w:fill="F2F2F2"/>
      </w:pPr>
      <w:r>
        <w:rPr>
          <w:rFonts w:ascii="Consolas" w:hAnsi="Consolas" w:cs="Consolas"/>
          <w:b w:val="0"/>
          <w:i w:val="0"/>
          <w:sz w:val="15"/>
        </w:rPr>
        <w:t>transshipment_allowed BOOLEAN DEFAULT true,</w:t>
      </w:r>
    </w:p>
    <w:p>
      <w:pPr>
        <w:spacing w:after="0" w:before="0" w:line="240" w:lineRule="auto"/>
        <w:ind w:left="57"/>
        <w:jc w:val="left"/>
        <w:shd w:val="clear" w:fill="F2F2F2"/>
      </w:pPr>
      <w:r>
        <w:rPr>
          <w:rFonts w:ascii="Consolas" w:hAnsi="Consolas" w:cs="Consolas"/>
          <w:b w:val="0"/>
          <w:i w:val="0"/>
          <w:sz w:val="15"/>
        </w:rPr>
        <w:t>-- Product Criticality (per commodity)</w:t>
      </w:r>
    </w:p>
    <w:p>
      <w:pPr>
        <w:spacing w:after="0" w:before="0" w:line="240" w:lineRule="auto"/>
        <w:ind w:left="57"/>
        <w:jc w:val="left"/>
        <w:shd w:val="clear" w:fill="F2F2F2"/>
      </w:pPr>
      <w:r>
        <w:rPr>
          <w:rFonts w:ascii="Consolas" w:hAnsi="Consolas" w:cs="Consolas"/>
          <w:b w:val="0"/>
          <w:i w:val="0"/>
          <w:sz w:val="15"/>
        </w:rPr>
        <w:t>product_criticality TEXT DEFAULT 'STANDARD',</w:t>
      </w:r>
    </w:p>
    <w:p>
      <w:pPr>
        <w:spacing w:after="0" w:before="0" w:line="240" w:lineRule="auto"/>
        <w:ind w:left="57"/>
        <w:jc w:val="left"/>
        <w:shd w:val="clear" w:fill="F2F2F2"/>
      </w:pPr>
      <w:r>
        <w:rPr>
          <w:rFonts w:ascii="Consolas" w:hAnsi="Consolas" w:cs="Consolas"/>
          <w:b w:val="0"/>
          <w:i w:val="0"/>
          <w:sz w:val="15"/>
        </w:rPr>
        <w:t>-- Inspection Requirements (per commodity)</w:t>
      </w:r>
    </w:p>
    <w:p>
      <w:pPr>
        <w:spacing w:after="0" w:before="0" w:line="240" w:lineRule="auto"/>
        <w:ind w:left="57"/>
        <w:jc w:val="left"/>
        <w:shd w:val="clear" w:fill="F2F2F2"/>
      </w:pPr>
      <w:r>
        <w:rPr>
          <w:rFonts w:ascii="Consolas" w:hAnsi="Consolas" w:cs="Consolas"/>
          <w:b w:val="0"/>
          <w:i w:val="0"/>
          <w:sz w:val="15"/>
        </w:rPr>
        <w:t>inspection_requirements TEXT,</w:t>
      </w:r>
    </w:p>
    <w:p>
      <w:pPr>
        <w:spacing w:after="0" w:before="0" w:line="240" w:lineRule="auto"/>
        <w:ind w:left="57"/>
        <w:jc w:val="left"/>
        <w:shd w:val="clear" w:fill="F2F2F2"/>
      </w:pPr>
      <w:r>
        <w:rPr>
          <w:rFonts w:ascii="Consolas" w:hAnsi="Consolas" w:cs="Consolas"/>
          <w:b w:val="0"/>
          <w:i w:val="0"/>
          <w:sz w:val="15"/>
        </w:rPr>
        <w:t>-- Acceptance Criteria (per commodity)</w:t>
      </w:r>
    </w:p>
    <w:p>
      <w:pPr>
        <w:spacing w:after="0" w:before="0" w:line="240" w:lineRule="auto"/>
        <w:ind w:left="57"/>
        <w:jc w:val="left"/>
        <w:shd w:val="clear" w:fill="F2F2F2"/>
      </w:pPr>
      <w:r>
        <w:rPr>
          <w:rFonts w:ascii="Consolas" w:hAnsi="Consolas" w:cs="Consolas"/>
          <w:b w:val="0"/>
          <w:i w:val="0"/>
          <w:sz w:val="15"/>
        </w:rPr>
        <w:t>acceptance_criteria_matrix JSONB,</w:t>
      </w:r>
    </w:p>
    <w:p>
      <w:pPr>
        <w:spacing w:after="0" w:before="0" w:line="240" w:lineRule="auto"/>
        <w:ind w:left="57"/>
        <w:jc w:val="left"/>
        <w:shd w:val="clear" w:fill="F2F2F2"/>
      </w:pPr>
      <w:r>
        <w:rPr>
          <w:rFonts w:ascii="Consolas" w:hAnsi="Consolas" w:cs="Consolas"/>
          <w:b w:val="0"/>
          <w:i w:val="0"/>
          <w:sz w:val="15"/>
        </w:rPr>
        <w:t>-- Packaging &amp; Weight (per commodity)</w:t>
      </w:r>
    </w:p>
    <w:p>
      <w:pPr>
        <w:spacing w:after="0" w:before="0" w:line="240" w:lineRule="auto"/>
        <w:ind w:left="57"/>
        <w:jc w:val="left"/>
        <w:shd w:val="clear" w:fill="F2F2F2"/>
      </w:pPr>
      <w:r>
        <w:rPr>
          <w:rFonts w:ascii="Consolas" w:hAnsi="Consolas" w:cs="Consolas"/>
          <w:b w:val="0"/>
          <w:i w:val="0"/>
          <w:sz w:val="15"/>
        </w:rPr>
        <w:t>packaging_type TEXT,</w:t>
      </w:r>
    </w:p>
    <w:p>
      <w:pPr>
        <w:spacing w:after="0" w:before="0" w:line="240" w:lineRule="auto"/>
        <w:ind w:left="57"/>
        <w:jc w:val="left"/>
        <w:shd w:val="clear" w:fill="F2F2F2"/>
      </w:pPr>
      <w:r>
        <w:rPr>
          <w:rFonts w:ascii="Consolas" w:hAnsi="Consolas" w:cs="Consolas"/>
          <w:b w:val="0"/>
          <w:i w:val="0"/>
          <w:sz w:val="15"/>
        </w:rPr>
        <w:t>pallet_count INTEGER,</w:t>
      </w:r>
    </w:p>
    <w:p>
      <w:pPr>
        <w:spacing w:after="0" w:before="0" w:line="240" w:lineRule="auto"/>
        <w:ind w:left="57"/>
        <w:jc w:val="left"/>
        <w:shd w:val="clear" w:fill="F2F2F2"/>
      </w:pPr>
      <w:r>
        <w:rPr>
          <w:rFonts w:ascii="Consolas" w:hAnsi="Consolas" w:cs="Consolas"/>
          <w:b w:val="0"/>
          <w:i w:val="0"/>
          <w:sz w:val="15"/>
        </w:rPr>
        <w:t>pallet_type TEXT,</w:t>
      </w:r>
    </w:p>
    <w:p>
      <w:pPr>
        <w:spacing w:after="0" w:before="0" w:line="240" w:lineRule="auto"/>
        <w:ind w:left="57"/>
        <w:jc w:val="left"/>
        <w:shd w:val="clear" w:fill="F2F2F2"/>
      </w:pPr>
      <w:r>
        <w:rPr>
          <w:rFonts w:ascii="Consolas" w:hAnsi="Consolas" w:cs="Consolas"/>
          <w:b w:val="0"/>
          <w:i w:val="0"/>
          <w:sz w:val="15"/>
        </w:rPr>
        <w:t>cartons_per_pallet INTEGER,</w:t>
      </w:r>
    </w:p>
    <w:p>
      <w:pPr>
        <w:spacing w:after="0" w:before="0" w:line="240" w:lineRule="auto"/>
        <w:ind w:left="57"/>
        <w:jc w:val="left"/>
        <w:shd w:val="clear" w:fill="F2F2F2"/>
      </w:pPr>
      <w:r>
        <w:rPr>
          <w:rFonts w:ascii="Consolas" w:hAnsi="Consolas" w:cs="Consolas"/>
          <w:b w:val="0"/>
          <w:i w:val="0"/>
          <w:sz w:val="15"/>
        </w:rPr>
        <w:t>net_weight_per_carton_kg DECIMAL(10,2),</w:t>
      </w:r>
    </w:p>
    <w:p>
      <w:pPr>
        <w:spacing w:after="0" w:before="0" w:line="240" w:lineRule="auto"/>
        <w:ind w:left="57"/>
        <w:jc w:val="left"/>
        <w:shd w:val="clear" w:fill="F2F2F2"/>
      </w:pPr>
      <w:r>
        <w:rPr>
          <w:rFonts w:ascii="Consolas" w:hAnsi="Consolas" w:cs="Consolas"/>
          <w:b w:val="0"/>
          <w:i w:val="0"/>
          <w:sz w:val="15"/>
        </w:rPr>
        <w:t>gross_weight_per_carton_kg DECIMAL(10,2),</w:t>
      </w:r>
    </w:p>
    <w:p>
      <w:pPr>
        <w:spacing w:after="0" w:before="0" w:line="240" w:lineRule="auto"/>
        <w:ind w:left="57"/>
        <w:jc w:val="left"/>
        <w:shd w:val="clear" w:fill="F2F2F2"/>
      </w:pPr>
      <w:r>
        <w:rPr>
          <w:rFonts w:ascii="Consolas" w:hAnsi="Consolas" w:cs="Consolas"/>
          <w:b w:val="0"/>
          <w:i w:val="0"/>
          <w:sz w:val="15"/>
        </w:rPr>
        <w:t>total_net_weight_kg DECIMAL(10,2),</w:t>
      </w:r>
    </w:p>
    <w:p>
      <w:pPr>
        <w:spacing w:after="0" w:before="0" w:line="240" w:lineRule="auto"/>
        <w:ind w:left="57"/>
        <w:jc w:val="left"/>
        <w:shd w:val="clear" w:fill="F2F2F2"/>
      </w:pPr>
      <w:r>
        <w:rPr>
          <w:rFonts w:ascii="Consolas" w:hAnsi="Consolas" w:cs="Consolas"/>
          <w:b w:val="0"/>
          <w:i w:val="0"/>
          <w:sz w:val="15"/>
        </w:rPr>
        <w:t>total_gross_weight_kg DECIMAL(10,2),</w:t>
      </w:r>
    </w:p>
    <w:p>
      <w:pPr>
        <w:spacing w:after="0" w:before="0" w:line="240" w:lineRule="auto"/>
        <w:ind w:left="57"/>
        <w:jc w:val="left"/>
        <w:shd w:val="clear" w:fill="F2F2F2"/>
      </w:pPr>
      <w:r>
        <w:rPr>
          <w:rFonts w:ascii="Consolas" w:hAnsi="Consolas" w:cs="Consolas"/>
          <w:b w:val="0"/>
          <w:i w:val="0"/>
          <w:sz w:val="15"/>
        </w:rPr>
        <w:t>-- Special requirements (per commodity)</w:t>
      </w:r>
    </w:p>
    <w:p>
      <w:pPr>
        <w:spacing w:after="0" w:before="0" w:line="240" w:lineRule="auto"/>
        <w:ind w:left="57"/>
        <w:jc w:val="left"/>
        <w:shd w:val="clear" w:fill="F2F2F2"/>
      </w:pPr>
      <w:r>
        <w:rPr>
          <w:rFonts w:ascii="Consolas" w:hAnsi="Consolas" w:cs="Consolas"/>
          <w:b w:val="0"/>
          <w:i w:val="0"/>
          <w:sz w:val="15"/>
        </w:rPr>
        <w:t>special_conditions JSONB,</w:t>
      </w:r>
    </w:p>
    <w:p>
      <w:pPr>
        <w:spacing w:after="0" w:before="0" w:line="240" w:lineRule="auto"/>
        <w:ind w:left="57"/>
        <w:jc w:val="left"/>
        <w:shd w:val="clear" w:fill="F2F2F2"/>
      </w:pPr>
      <w:r>
        <w:rPr>
          <w:rFonts w:ascii="Consolas" w:hAnsi="Consolas" w:cs="Consolas"/>
          <w:b w:val="0"/>
          <w:i w:val="0"/>
          <w:sz w:val="15"/>
        </w:rPr>
        <w:t>treatment_details JSONB,</w:t>
      </w:r>
    </w:p>
    <w:p>
      <w:pPr>
        <w:spacing w:after="0" w:before="0" w:line="240" w:lineRule="auto"/>
        <w:ind w:left="57"/>
        <w:jc w:val="left"/>
        <w:shd w:val="clear" w:fill="F2F2F2"/>
      </w:pPr>
      <w:r>
        <w:rPr>
          <w:rFonts w:ascii="Consolas" w:hAnsi="Consolas" w:cs="Consolas"/>
          <w:b w:val="0"/>
          <w:i w:val="0"/>
          <w:sz w:val="15"/>
        </w:rPr>
        <w:t>lab_tests_required JSONB,</w:t>
      </w:r>
    </w:p>
    <w:p>
      <w:pPr>
        <w:spacing w:after="0" w:before="0" w:line="240" w:lineRule="auto"/>
        <w:ind w:left="57"/>
        <w:jc w:val="left"/>
        <w:shd w:val="clear" w:fill="F2F2F2"/>
      </w:pPr>
      <w:r>
        <w:rPr>
          <w:rFonts w:ascii="Consolas" w:hAnsi="Consolas" w:cs="Consolas"/>
          <w:b w:val="0"/>
          <w:i w:val="0"/>
          <w:sz w:val="15"/>
        </w:rPr>
        <w:t>-- Dynamic fields (from Product Form Agent)</w:t>
      </w:r>
    </w:p>
    <w:p>
      <w:pPr>
        <w:spacing w:after="0" w:before="0" w:line="240" w:lineRule="auto"/>
        <w:ind w:left="57"/>
        <w:jc w:val="left"/>
        <w:shd w:val="clear" w:fill="F2F2F2"/>
      </w:pPr>
      <w:r>
        <w:rPr>
          <w:rFonts w:ascii="Consolas" w:hAnsi="Consolas" w:cs="Consolas"/>
          <w:b w:val="0"/>
          <w:i w:val="0"/>
          <w:sz w:val="15"/>
        </w:rPr>
        <w:t>dynamic_fields JSONB,</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idx_trade_request_commodities_request ON trade_request_commodities(trade_request_id);</w:t>
      </w:r>
    </w:p>
    <w:p>
      <w:pPr>
        <w:spacing w:after="0" w:before="0" w:line="240" w:lineRule="auto"/>
        <w:ind w:left="57"/>
        <w:jc w:val="left"/>
        <w:shd w:val="clear" w:fill="F2F2F2"/>
      </w:pPr>
      <w:r>
        <w:rPr>
          <w:rFonts w:ascii="Consolas" w:hAnsi="Consolas" w:cs="Consolas"/>
          <w:b w:val="0"/>
          <w:i w:val="0"/>
          <w:sz w:val="15"/>
        </w:rPr>
        <w:t>CREATE INDEX IF NOT EXISTS idx_trade_request_commodities_container ON trade_request_commodities(container_id);</w:t>
      </w:r>
    </w:p>
    <w:p>
      <w:pPr>
        <w:spacing w:after="0" w:before="0" w:line="240" w:lineRule="auto"/>
        <w:ind w:left="57"/>
        <w:jc w:val="left"/>
        <w:shd w:val="clear" w:fill="F2F2F2"/>
      </w:pPr>
      <w:r>
        <w:rPr>
          <w:rFonts w:ascii="Consolas" w:hAnsi="Consolas" w:cs="Consolas"/>
          <w:b w:val="0"/>
          <w:i w:val="0"/>
          <w:sz w:val="15"/>
        </w:rPr>
        <w:t>CREATE INDEX IF NOT EXISTS idx_trade_request_commodities_hs ON trade_request_commodities(hs_code);</w:t>
      </w:r>
    </w:p>
    <w:p>
      <w:pPr>
        <w:spacing w:after="0" w:before="0" w:line="240" w:lineRule="auto"/>
        <w:ind w:left="57"/>
        <w:jc w:val="left"/>
        <w:shd w:val="clear" w:fill="F2F2F2"/>
      </w:pPr>
      <w:r>
        <w:rPr>
          <w:rFonts w:ascii="Consolas" w:hAnsi="Consolas" w:cs="Consolas"/>
          <w:b w:val="0"/>
          <w:i w:val="0"/>
          <w:sz w:val="15"/>
        </w:rPr>
        <w:t>-- Document requirements (single source of truth)</w:t>
      </w:r>
    </w:p>
    <w:p>
      <w:pPr>
        <w:spacing w:after="0" w:before="0" w:line="240" w:lineRule="auto"/>
        <w:ind w:left="57"/>
        <w:jc w:val="left"/>
        <w:shd w:val="clear" w:fill="F2F2F2"/>
      </w:pPr>
      <w:r>
        <w:rPr>
          <w:rFonts w:ascii="Consolas" w:hAnsi="Consolas" w:cs="Consolas"/>
          <w:b w:val="0"/>
          <w:i w:val="0"/>
          <w:sz w:val="15"/>
        </w:rPr>
        <w:t>CREATE TABLE IF NOT EXISTS document_requirements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document_type TEXT NOT NULL,</w:t>
      </w:r>
    </w:p>
    <w:p>
      <w:pPr>
        <w:spacing w:after="0" w:before="0" w:line="240" w:lineRule="auto"/>
        <w:ind w:left="57"/>
        <w:jc w:val="left"/>
        <w:shd w:val="clear" w:fill="F2F2F2"/>
      </w:pPr>
      <w:r>
        <w:rPr>
          <w:rFonts w:ascii="Consolas" w:hAnsi="Consolas" w:cs="Consolas"/>
          <w:b w:val="0"/>
          <w:i w:val="0"/>
          <w:sz w:val="15"/>
        </w:rPr>
        <w:t>triggers document_trigger[] NOT NULL,</w:t>
      </w:r>
    </w:p>
    <w:p>
      <w:pPr>
        <w:spacing w:after="0" w:before="0" w:line="240" w:lineRule="auto"/>
        <w:ind w:left="57"/>
        <w:jc w:val="left"/>
        <w:shd w:val="clear" w:fill="F2F2F2"/>
      </w:pPr>
      <w:r>
        <w:rPr>
          <w:rFonts w:ascii="Consolas" w:hAnsi="Consolas" w:cs="Consolas"/>
          <w:b w:val="0"/>
          <w:i w:val="0"/>
          <w:sz w:val="15"/>
        </w:rPr>
        <w:t>is_mandatory BOOLEAN NOT NULL DEFAULT false,</w:t>
      </w:r>
    </w:p>
    <w:p>
      <w:pPr>
        <w:spacing w:after="0" w:before="0" w:line="240" w:lineRule="auto"/>
        <w:ind w:left="57"/>
        <w:jc w:val="left"/>
        <w:shd w:val="clear" w:fill="F2F2F2"/>
      </w:pPr>
      <w:r>
        <w:rPr>
          <w:rFonts w:ascii="Consolas" w:hAnsi="Consolas" w:cs="Consolas"/>
          <w:b w:val="0"/>
          <w:i w:val="0"/>
          <w:sz w:val="15"/>
        </w:rPr>
        <w:t>is_pre_selected BOOLEAN DEFAULT false,</w:t>
      </w:r>
    </w:p>
    <w:p>
      <w:pPr>
        <w:spacing w:after="0" w:before="0" w:line="240" w:lineRule="auto"/>
        <w:ind w:left="57"/>
        <w:jc w:val="left"/>
        <w:shd w:val="clear" w:fill="F2F2F2"/>
      </w:pPr>
      <w:r>
        <w:rPr>
          <w:rFonts w:ascii="Consolas" w:hAnsi="Consolas" w:cs="Consolas"/>
          <w:b w:val="0"/>
          <w:i w:val="0"/>
          <w:sz w:val="15"/>
        </w:rPr>
        <w:t>format_requirements JSONB,</w:t>
      </w:r>
    </w:p>
    <w:p>
      <w:pPr>
        <w:spacing w:after="0" w:before="0" w:line="240" w:lineRule="auto"/>
        <w:ind w:left="57"/>
        <w:jc w:val="left"/>
        <w:shd w:val="clear" w:fill="F2F2F2"/>
      </w:pPr>
      <w:r>
        <w:rPr>
          <w:rFonts w:ascii="Consolas" w:hAnsi="Consolas" w:cs="Consolas"/>
          <w:b w:val="0"/>
          <w:i w:val="0"/>
          <w:sz w:val="15"/>
        </w:rPr>
        <w:t>responsible_party TEXT,</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status TEXT DEFAULT 'PENDING',</w:t>
      </w:r>
    </w:p>
    <w:p>
      <w:pPr>
        <w:spacing w:after="0" w:before="0" w:line="240" w:lineRule="auto"/>
        <w:ind w:left="57"/>
        <w:jc w:val="left"/>
        <w:shd w:val="clear" w:fill="F2F2F2"/>
      </w:pPr>
      <w:r>
        <w:rPr>
          <w:rFonts w:ascii="Consolas" w:hAnsi="Consolas" w:cs="Consolas"/>
          <w:b w:val="0"/>
          <w:i w:val="0"/>
          <w:sz w:val="15"/>
        </w:rPr>
        <w:t>uploaded_document_id UUID REFERENCES documents(id) ON DELETE SET NULL,</w:t>
      </w:r>
    </w:p>
    <w:p>
      <w:pPr>
        <w:spacing w:after="0" w:before="0" w:line="240" w:lineRule="auto"/>
        <w:ind w:left="57"/>
        <w:jc w:val="left"/>
        <w:shd w:val="clear" w:fill="F2F2F2"/>
      </w:pPr>
      <w:r>
        <w:rPr>
          <w:rFonts w:ascii="Consolas" w:hAnsi="Consolas" w:cs="Consolas"/>
          <w:b w:val="0"/>
          <w:i w:val="0"/>
          <w:sz w:val="15"/>
        </w:rPr>
        <w:t>verification_result JSONB,</w:t>
      </w:r>
    </w:p>
    <w:p>
      <w:pPr>
        <w:spacing w:after="0" w:before="0" w:line="240" w:lineRule="auto"/>
        <w:ind w:left="57"/>
        <w:jc w:val="left"/>
        <w:shd w:val="clear" w:fill="F2F2F2"/>
      </w:pPr>
      <w:r>
        <w:rPr>
          <w:rFonts w:ascii="Consolas" w:hAnsi="Consolas" w:cs="Consolas"/>
          <w:b w:val="0"/>
          <w:i w:val="0"/>
          <w:sz w:val="15"/>
        </w:rPr>
        <w:t>fraud_indicators JSONB,</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UNIQUE(trade_request_id, document_type)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idx_document_requirements_trade ON document_requirements(trade_request_id);</w:t>
      </w:r>
    </w:p>
    <w:p>
      <w:pPr>
        <w:spacing w:after="0" w:before="0" w:line="240" w:lineRule="auto"/>
        <w:ind w:left="57"/>
        <w:jc w:val="left"/>
        <w:shd w:val="clear" w:fill="F2F2F2"/>
      </w:pPr>
      <w:r>
        <w:rPr>
          <w:rFonts w:ascii="Consolas" w:hAnsi="Consolas" w:cs="Consolas"/>
          <w:b w:val="0"/>
          <w:i w:val="0"/>
          <w:sz w:val="15"/>
        </w:rPr>
        <w:t>CREATE INDEX IF NOT EXISTS idx_document_requirements_type ON document_requirements(document_type);</w:t>
      </w:r>
    </w:p>
    <w:p>
      <w:pPr>
        <w:spacing w:after="0" w:before="0" w:line="240" w:lineRule="auto"/>
        <w:ind w:left="57"/>
        <w:jc w:val="left"/>
        <w:shd w:val="clear" w:fill="F2F2F2"/>
      </w:pPr>
      <w:r>
        <w:rPr>
          <w:rFonts w:ascii="Consolas" w:hAnsi="Consolas" w:cs="Consolas"/>
          <w:b w:val="0"/>
          <w:i w:val="0"/>
          <w:sz w:val="15"/>
        </w:rPr>
        <w:t>CREATE INDEX IF NOT EXISTS idx_document_requirements_status ON document_requirements(status);</w:t>
      </w:r>
    </w:p>
    <w:p>
      <w:pPr>
        <w:spacing w:after="0" w:before="0" w:line="240" w:lineRule="auto"/>
        <w:ind w:left="57"/>
        <w:jc w:val="left"/>
        <w:shd w:val="clear" w:fill="F2F2F2"/>
      </w:pPr>
      <w:r>
        <w:rPr>
          <w:rFonts w:ascii="Consolas" w:hAnsi="Consolas" w:cs="Consolas"/>
          <w:b w:val="0"/>
          <w:i w:val="0"/>
          <w:sz w:val="15"/>
        </w:rPr>
        <w:t>CREATE INDEX IF NOT EXISTS idx_document_requirements_triggers ON document_requirements USING GIN(triggers);</w:t>
      </w:r>
    </w:p>
    <w:p>
      <w:pPr>
        <w:spacing w:after="0" w:before="0" w:line="240" w:lineRule="auto"/>
        <w:ind w:left="57"/>
        <w:jc w:val="left"/>
        <w:shd w:val="clear" w:fill="F2F2F2"/>
      </w:pPr>
      <w:r>
        <w:rPr>
          <w:rFonts w:ascii="Consolas" w:hAnsi="Consolas" w:cs="Consolas"/>
          <w:b w:val="0"/>
          <w:i w:val="0"/>
          <w:sz w:val="15"/>
        </w:rPr>
        <w:t>-- Document triggers reference</w:t>
      </w:r>
    </w:p>
    <w:p>
      <w:pPr>
        <w:spacing w:after="0" w:before="0" w:line="240" w:lineRule="auto"/>
        <w:ind w:left="57"/>
        <w:jc w:val="left"/>
        <w:shd w:val="clear" w:fill="F2F2F2"/>
      </w:pPr>
      <w:r>
        <w:rPr>
          <w:rFonts w:ascii="Consolas" w:hAnsi="Consolas" w:cs="Consolas"/>
          <w:b w:val="0"/>
          <w:i w:val="0"/>
          <w:sz w:val="15"/>
        </w:rPr>
        <w:t>CREATE TABLE IF NOT EXISTS document_triggers_ref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document_type TEXT NOT NULL,</w:t>
      </w:r>
    </w:p>
    <w:p>
      <w:pPr>
        <w:spacing w:after="0" w:before="0" w:line="240" w:lineRule="auto"/>
        <w:ind w:left="57"/>
        <w:jc w:val="left"/>
        <w:shd w:val="clear" w:fill="F2F2F2"/>
      </w:pPr>
      <w:r>
        <w:rPr>
          <w:rFonts w:ascii="Consolas" w:hAnsi="Consolas" w:cs="Consolas"/>
          <w:b w:val="0"/>
          <w:i w:val="0"/>
          <w:sz w:val="15"/>
        </w:rPr>
        <w:t>trigger_type document_trigger NOT NULL,</w:t>
      </w:r>
    </w:p>
    <w:p>
      <w:pPr>
        <w:spacing w:after="0" w:before="0" w:line="240" w:lineRule="auto"/>
        <w:ind w:left="57"/>
        <w:jc w:val="left"/>
        <w:shd w:val="clear" w:fill="F2F2F2"/>
      </w:pPr>
      <w:r>
        <w:rPr>
          <w:rFonts w:ascii="Consolas" w:hAnsi="Consolas" w:cs="Consolas"/>
          <w:b w:val="0"/>
          <w:i w:val="0"/>
          <w:sz w:val="15"/>
        </w:rPr>
        <w:t>is_default BOOLEAN DEFAULT false,</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UNIQUE(document_type, trigger_type)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Document format requirements per jurisdiction</w:t>
      </w:r>
    </w:p>
    <w:p>
      <w:pPr>
        <w:spacing w:after="0" w:before="0" w:line="240" w:lineRule="auto"/>
        <w:ind w:left="57"/>
        <w:jc w:val="left"/>
        <w:shd w:val="clear" w:fill="F2F2F2"/>
      </w:pPr>
      <w:r>
        <w:rPr>
          <w:rFonts w:ascii="Consolas" w:hAnsi="Consolas" w:cs="Consolas"/>
          <w:b w:val="0"/>
          <w:i w:val="0"/>
          <w:sz w:val="15"/>
        </w:rPr>
        <w:t>CREATE TABLE IF NOT EXISTS document_format_requirements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country_code CHAR(2) NOT NULL REFERENCES jurisdictions(code),</w:t>
      </w:r>
    </w:p>
    <w:p>
      <w:pPr>
        <w:spacing w:after="0" w:before="0" w:line="240" w:lineRule="auto"/>
        <w:ind w:left="57"/>
        <w:jc w:val="left"/>
        <w:shd w:val="clear" w:fill="F2F2F2"/>
      </w:pPr>
      <w:r>
        <w:rPr>
          <w:rFonts w:ascii="Consolas" w:hAnsi="Consolas" w:cs="Consolas"/>
          <w:b w:val="0"/>
          <w:i w:val="0"/>
          <w:sz w:val="15"/>
        </w:rPr>
        <w:t>document_type TEXT NOT NULL,</w:t>
      </w:r>
    </w:p>
    <w:p>
      <w:pPr>
        <w:spacing w:after="0" w:before="0" w:line="240" w:lineRule="auto"/>
        <w:ind w:left="57"/>
        <w:jc w:val="left"/>
        <w:shd w:val="clear" w:fill="F2F2F2"/>
      </w:pPr>
      <w:r>
        <w:rPr>
          <w:rFonts w:ascii="Consolas" w:hAnsi="Consolas" w:cs="Consolas"/>
          <w:b w:val="0"/>
          <w:i w:val="0"/>
          <w:sz w:val="15"/>
        </w:rPr>
        <w:t>originals_required BOOLEAN DEFAULT false,</w:t>
      </w:r>
    </w:p>
    <w:p>
      <w:pPr>
        <w:spacing w:after="0" w:before="0" w:line="240" w:lineRule="auto"/>
        <w:ind w:left="57"/>
        <w:jc w:val="left"/>
        <w:shd w:val="clear" w:fill="F2F2F2"/>
      </w:pPr>
      <w:r>
        <w:rPr>
          <w:rFonts w:ascii="Consolas" w:hAnsi="Consolas" w:cs="Consolas"/>
          <w:b w:val="0"/>
          <w:i w:val="0"/>
          <w:sz w:val="15"/>
        </w:rPr>
        <w:t>electronic_accepted BOOLEAN DEFAULT true,</w:t>
      </w:r>
    </w:p>
    <w:p>
      <w:pPr>
        <w:spacing w:after="0" w:before="0" w:line="240" w:lineRule="auto"/>
        <w:ind w:left="57"/>
        <w:jc w:val="left"/>
        <w:shd w:val="clear" w:fill="F2F2F2"/>
      </w:pPr>
      <w:r>
        <w:rPr>
          <w:rFonts w:ascii="Consolas" w:hAnsi="Consolas" w:cs="Consolas"/>
          <w:b w:val="0"/>
          <w:i w:val="0"/>
          <w:sz w:val="15"/>
        </w:rPr>
        <w:t>required_languages TEXT[],</w:t>
      </w:r>
    </w:p>
    <w:p>
      <w:pPr>
        <w:spacing w:after="0" w:before="0" w:line="240" w:lineRule="auto"/>
        <w:ind w:left="57"/>
        <w:jc w:val="left"/>
        <w:shd w:val="clear" w:fill="F2F2F2"/>
      </w:pPr>
      <w:r>
        <w:rPr>
          <w:rFonts w:ascii="Consolas" w:hAnsi="Consolas" w:cs="Consolas"/>
          <w:b w:val="0"/>
          <w:i w:val="0"/>
          <w:sz w:val="15"/>
        </w:rPr>
        <w:t>physical_handling_recommended BOOLEAN DEFAULT false,</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UNIQUE(country_code, document_type)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Special instructions (free-text + structured)</w:t>
      </w:r>
    </w:p>
    <w:p>
      <w:pPr>
        <w:spacing w:after="0" w:before="0" w:line="240" w:lineRule="auto"/>
        <w:ind w:left="57"/>
        <w:jc w:val="left"/>
        <w:shd w:val="clear" w:fill="F2F2F2"/>
      </w:pPr>
      <w:r>
        <w:rPr>
          <w:rFonts w:ascii="Consolas" w:hAnsi="Consolas" w:cs="Consolas"/>
          <w:b w:val="0"/>
          <w:i w:val="0"/>
          <w:sz w:val="15"/>
        </w:rPr>
        <w:t>CREATE TABLE IF NOT EXISTS special_instructions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raw_text TEXT,</w:t>
      </w:r>
    </w:p>
    <w:p>
      <w:pPr>
        <w:spacing w:after="0" w:before="0" w:line="240" w:lineRule="auto"/>
        <w:ind w:left="57"/>
        <w:jc w:val="left"/>
        <w:shd w:val="clear" w:fill="F2F2F2"/>
      </w:pPr>
      <w:r>
        <w:rPr>
          <w:rFonts w:ascii="Consolas" w:hAnsi="Consolas" w:cs="Consolas"/>
          <w:b w:val="0"/>
          <w:i w:val="0"/>
          <w:sz w:val="15"/>
        </w:rPr>
        <w:t>structured_instructions JSONB,</w:t>
      </w:r>
    </w:p>
    <w:p>
      <w:pPr>
        <w:spacing w:after="0" w:before="0" w:line="240" w:lineRule="auto"/>
        <w:ind w:left="57"/>
        <w:jc w:val="left"/>
        <w:shd w:val="clear" w:fill="F2F2F2"/>
      </w:pPr>
      <w:r>
        <w:rPr>
          <w:rFonts w:ascii="Consolas" w:hAnsi="Consolas" w:cs="Consolas"/>
          <w:b w:val="0"/>
          <w:i w:val="0"/>
          <w:sz w:val="15"/>
        </w:rPr>
        <w:t>categories JSONB,</w:t>
      </w:r>
    </w:p>
    <w:p>
      <w:pPr>
        <w:spacing w:after="0" w:before="0" w:line="240" w:lineRule="auto"/>
        <w:ind w:left="57"/>
        <w:jc w:val="left"/>
        <w:shd w:val="clear" w:fill="F2F2F2"/>
      </w:pPr>
      <w:r>
        <w:rPr>
          <w:rFonts w:ascii="Consolas" w:hAnsi="Consolas" w:cs="Consolas"/>
          <w:b w:val="0"/>
          <w:i w:val="0"/>
          <w:sz w:val="15"/>
        </w:rPr>
        <w:t>missing_information JSONB,</w:t>
      </w:r>
    </w:p>
    <w:p>
      <w:pPr>
        <w:spacing w:after="0" w:before="0" w:line="240" w:lineRule="auto"/>
        <w:ind w:left="57"/>
        <w:jc w:val="left"/>
        <w:shd w:val="clear" w:fill="F2F2F2"/>
      </w:pPr>
      <w:r>
        <w:rPr>
          <w:rFonts w:ascii="Consolas" w:hAnsi="Consolas" w:cs="Consolas"/>
          <w:b w:val="0"/>
          <w:i w:val="0"/>
          <w:sz w:val="15"/>
        </w:rPr>
        <w:t>compliance_issues JSONB,</w:t>
      </w:r>
    </w:p>
    <w:p>
      <w:pPr>
        <w:spacing w:after="0" w:before="0" w:line="240" w:lineRule="auto"/>
        <w:ind w:left="57"/>
        <w:jc w:val="left"/>
        <w:shd w:val="clear" w:fill="F2F2F2"/>
      </w:pPr>
      <w:r>
        <w:rPr>
          <w:rFonts w:ascii="Consolas" w:hAnsi="Consolas" w:cs="Consolas"/>
          <w:b w:val="0"/>
          <w:i w:val="0"/>
          <w:sz w:val="15"/>
        </w:rPr>
        <w:t>confidence_score DECIMAL(5,2),</w:t>
      </w:r>
    </w:p>
    <w:p>
      <w:pPr>
        <w:spacing w:after="0" w:before="0" w:line="240" w:lineRule="auto"/>
        <w:ind w:left="57"/>
        <w:jc w:val="left"/>
        <w:shd w:val="clear" w:fill="F2F2F2"/>
      </w:pPr>
      <w:r>
        <w:rPr>
          <w:rFonts w:ascii="Consolas" w:hAnsi="Consolas" w:cs="Consolas"/>
          <w:b w:val="0"/>
          <w:i w:val="0"/>
          <w:sz w:val="15"/>
        </w:rPr>
        <w:t>validated BOOLEAN DEFAULT false,</w:t>
      </w:r>
    </w:p>
    <w:p>
      <w:pPr>
        <w:spacing w:after="0" w:before="0" w:line="240" w:lineRule="auto"/>
        <w:ind w:left="57"/>
        <w:jc w:val="left"/>
        <w:shd w:val="clear" w:fill="F2F2F2"/>
      </w:pPr>
      <w:r>
        <w:rPr>
          <w:rFonts w:ascii="Consolas" w:hAnsi="Consolas" w:cs="Consolas"/>
          <w:b w:val="0"/>
          <w:i w:val="0"/>
          <w:sz w:val="15"/>
        </w:rPr>
        <w:t>validated_by UUID REFERENCES employees(id) ON DELETE SET NULL,</w:t>
      </w:r>
    </w:p>
    <w:p>
      <w:pPr>
        <w:spacing w:after="0" w:before="0" w:line="240" w:lineRule="auto"/>
        <w:ind w:left="57"/>
        <w:jc w:val="left"/>
        <w:shd w:val="clear" w:fill="F2F2F2"/>
      </w:pPr>
      <w:r>
        <w:rPr>
          <w:rFonts w:ascii="Consolas" w:hAnsi="Consolas" w:cs="Consolas"/>
          <w:b w:val="0"/>
          <w:i w:val="0"/>
          <w:sz w:val="15"/>
        </w:rPr>
        <w:t>validated_at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idx_special_instructions_trade ON special_instructions(trade_request_id);</w:t>
      </w:r>
    </w:p>
    <w:p>
      <w:pPr>
        <w:spacing w:after="0" w:before="0" w:line="240" w:lineRule="auto"/>
        <w:ind w:left="57"/>
        <w:jc w:val="left"/>
        <w:shd w:val="clear" w:fill="F2F2F2"/>
      </w:pPr>
      <w:r>
        <w:rPr>
          <w:rFonts w:ascii="Consolas" w:hAnsi="Consolas" w:cs="Consolas"/>
          <w:b w:val="0"/>
          <w:i w:val="0"/>
          <w:sz w:val="15"/>
        </w:rPr>
        <w:t>CREATE INDEX IF NOT EXISTS idx_special_instructions_categories ON special_instructions USING GIN(categories);</w:t>
      </w:r>
    </w:p>
    <w:p>
      <w:pPr>
        <w:spacing w:after="0" w:before="0" w:line="240" w:lineRule="auto"/>
        <w:ind w:left="57"/>
        <w:jc w:val="left"/>
        <w:shd w:val="clear" w:fill="F2F2F2"/>
      </w:pPr>
      <w:r>
        <w:rPr>
          <w:rFonts w:ascii="Consolas" w:hAnsi="Consolas" w:cs="Consolas"/>
          <w:b w:val="0"/>
          <w:i w:val="0"/>
          <w:sz w:val="15"/>
        </w:rPr>
        <w:t>-- Saved instruction templates</w:t>
      </w:r>
    </w:p>
    <w:p>
      <w:pPr>
        <w:spacing w:after="0" w:before="0" w:line="240" w:lineRule="auto"/>
        <w:ind w:left="57"/>
        <w:jc w:val="left"/>
        <w:shd w:val="clear" w:fill="F2F2F2"/>
      </w:pPr>
      <w:r>
        <w:rPr>
          <w:rFonts w:ascii="Consolas" w:hAnsi="Consolas" w:cs="Consolas"/>
          <w:b w:val="0"/>
          <w:i w:val="0"/>
          <w:sz w:val="15"/>
        </w:rPr>
        <w:t>CREATE TABLE IF NOT EXISTS instruction_templates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buyer_tenant_id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template_name TEXT NOT NULL,</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instructions TEXT[],</w:t>
      </w:r>
    </w:p>
    <w:p>
      <w:pPr>
        <w:spacing w:after="0" w:before="0" w:line="240" w:lineRule="auto"/>
        <w:ind w:left="57"/>
        <w:jc w:val="left"/>
        <w:shd w:val="clear" w:fill="F2F2F2"/>
      </w:pPr>
      <w:r>
        <w:rPr>
          <w:rFonts w:ascii="Consolas" w:hAnsi="Consolas" w:cs="Consolas"/>
          <w:b w:val="0"/>
          <w:i w:val="0"/>
          <w:sz w:val="15"/>
        </w:rPr>
        <w:t>default_for JSONB,</w:t>
      </w:r>
    </w:p>
    <w:p>
      <w:pPr>
        <w:spacing w:after="0" w:before="0" w:line="240" w:lineRule="auto"/>
        <w:ind w:left="57"/>
        <w:jc w:val="left"/>
        <w:shd w:val="clear" w:fill="F2F2F2"/>
      </w:pPr>
      <w:r>
        <w:rPr>
          <w:rFonts w:ascii="Consolas" w:hAnsi="Consolas" w:cs="Consolas"/>
          <w:b w:val="0"/>
          <w:i w:val="0"/>
          <w:sz w:val="15"/>
        </w:rPr>
        <w:t>usage_count INTEGER DEFAULT 0,</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UNIQUE(buyer_tenant_id, template_name)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idx_instruction_templates_buyer ON instruction_templates(buyer_tenant_id);</w:t>
      </w:r>
    </w:p>
    <w:p>
      <w:pPr>
        <w:spacing w:after="0" w:before="0" w:line="240" w:lineRule="auto"/>
        <w:ind w:left="57"/>
        <w:jc w:val="left"/>
        <w:shd w:val="clear" w:fill="F2F2F2"/>
      </w:pPr>
      <w:r>
        <w:rPr>
          <w:rFonts w:ascii="Consolas" w:hAnsi="Consolas" w:cs="Consolas"/>
          <w:b w:val="0"/>
          <w:i w:val="0"/>
          <w:sz w:val="15"/>
        </w:rPr>
        <w:t>-- Instruction template usage logs</w:t>
      </w:r>
    </w:p>
    <w:p>
      <w:pPr>
        <w:spacing w:after="0" w:before="0" w:line="240" w:lineRule="auto"/>
        <w:ind w:left="57"/>
        <w:jc w:val="left"/>
        <w:shd w:val="clear" w:fill="F2F2F2"/>
      </w:pPr>
      <w:r>
        <w:rPr>
          <w:rFonts w:ascii="Consolas" w:hAnsi="Consolas" w:cs="Consolas"/>
          <w:b w:val="0"/>
          <w:i w:val="0"/>
          <w:sz w:val="15"/>
        </w:rPr>
        <w:t>CREATE TABLE IF NOT EXISTS instruction_template_usage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template_id UUID NOT NULL REFERENCES instruction_templates(id) ON DELETE CASCADE,</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used_at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Instruction propagation logs</w:t>
      </w:r>
    </w:p>
    <w:p>
      <w:pPr>
        <w:spacing w:after="0" w:before="0" w:line="240" w:lineRule="auto"/>
        <w:ind w:left="57"/>
        <w:jc w:val="left"/>
        <w:shd w:val="clear" w:fill="F2F2F2"/>
      </w:pPr>
      <w:r>
        <w:rPr>
          <w:rFonts w:ascii="Consolas" w:hAnsi="Consolas" w:cs="Consolas"/>
          <w:b w:val="0"/>
          <w:i w:val="0"/>
          <w:sz w:val="15"/>
        </w:rPr>
        <w:t>CREATE TABLE IF NOT EXISTS instruction_propagation_logs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instruction_id UUID NOT NULL REFERENCES special_instructions(id) ON DELETE CASCADE,</w:t>
      </w:r>
    </w:p>
    <w:p>
      <w:pPr>
        <w:spacing w:after="0" w:before="0" w:line="240" w:lineRule="auto"/>
        <w:ind w:left="57"/>
        <w:jc w:val="left"/>
        <w:shd w:val="clear" w:fill="F2F2F2"/>
      </w:pPr>
      <w:r>
        <w:rPr>
          <w:rFonts w:ascii="Consolas" w:hAnsi="Consolas" w:cs="Consolas"/>
          <w:b w:val="0"/>
          <w:i w:val="0"/>
          <w:sz w:val="15"/>
        </w:rPr>
        <w:t>target_service TEXT NOT NULL,</w:t>
      </w:r>
    </w:p>
    <w:p>
      <w:pPr>
        <w:spacing w:after="0" w:before="0" w:line="240" w:lineRule="auto"/>
        <w:ind w:left="57"/>
        <w:jc w:val="left"/>
        <w:shd w:val="clear" w:fill="F2F2F2"/>
      </w:pPr>
      <w:r>
        <w:rPr>
          <w:rFonts w:ascii="Consolas" w:hAnsi="Consolas" w:cs="Consolas"/>
          <w:b w:val="0"/>
          <w:i w:val="0"/>
          <w:sz w:val="15"/>
        </w:rPr>
        <w:t>propagated_at TIMESTAMPTZ DEFAULT NOW(),</w:t>
      </w:r>
    </w:p>
    <w:p>
      <w:pPr>
        <w:spacing w:after="0" w:before="0" w:line="240" w:lineRule="auto"/>
        <w:ind w:left="57"/>
        <w:jc w:val="left"/>
        <w:shd w:val="clear" w:fill="F2F2F2"/>
      </w:pPr>
      <w:r>
        <w:rPr>
          <w:rFonts w:ascii="Consolas" w:hAnsi="Consolas" w:cs="Consolas"/>
          <w:b w:val="0"/>
          <w:i w:val="0"/>
          <w:sz w:val="15"/>
        </w:rPr>
        <w:t>status TEXT DEFAULT 'SUCCESS',</w:t>
      </w:r>
    </w:p>
    <w:p>
      <w:pPr>
        <w:spacing w:after="0" w:before="0" w:line="240" w:lineRule="auto"/>
        <w:ind w:left="57"/>
        <w:jc w:val="left"/>
        <w:shd w:val="clear" w:fill="F2F2F2"/>
      </w:pPr>
      <w:r>
        <w:rPr>
          <w:rFonts w:ascii="Consolas" w:hAnsi="Consolas" w:cs="Consolas"/>
          <w:b w:val="0"/>
          <w:i w:val="0"/>
          <w:sz w:val="15"/>
        </w:rPr>
        <w:t>error_message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Transport &amp; Logistics configuration</w:t>
      </w:r>
    </w:p>
    <w:p>
      <w:pPr>
        <w:spacing w:after="0" w:before="0" w:line="240" w:lineRule="auto"/>
        <w:ind w:left="57"/>
        <w:jc w:val="left"/>
        <w:shd w:val="clear" w:fill="F2F2F2"/>
      </w:pPr>
      <w:r>
        <w:rPr>
          <w:rFonts w:ascii="Consolas" w:hAnsi="Consolas" w:cs="Consolas"/>
          <w:b w:val="0"/>
          <w:i w:val="0"/>
          <w:sz w:val="15"/>
        </w:rPr>
        <w:t>CREATE TABLE IF NOT EXISTS transport_configuration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transport_mode transport_mode NOT NULL,</w:t>
      </w:r>
    </w:p>
    <w:p>
      <w:pPr>
        <w:spacing w:after="0" w:before="0" w:line="240" w:lineRule="auto"/>
        <w:ind w:left="57"/>
        <w:jc w:val="left"/>
        <w:shd w:val="clear" w:fill="F2F2F2"/>
      </w:pPr>
      <w:r>
        <w:rPr>
          <w:rFonts w:ascii="Consolas" w:hAnsi="Consolas" w:cs="Consolas"/>
          <w:b w:val="0"/>
          <w:i w:val="0"/>
          <w:sz w:val="15"/>
        </w:rPr>
        <w:t>equipment_type equipment_type NOT NULL,</w:t>
      </w:r>
    </w:p>
    <w:p>
      <w:pPr>
        <w:spacing w:after="0" w:before="0" w:line="240" w:lineRule="auto"/>
        <w:ind w:left="57"/>
        <w:jc w:val="left"/>
        <w:shd w:val="clear" w:fill="F2F2F2"/>
      </w:pPr>
      <w:r>
        <w:rPr>
          <w:rFonts w:ascii="Consolas" w:hAnsi="Consolas" w:cs="Consolas"/>
          <w:b w:val="0"/>
          <w:i w:val="0"/>
          <w:sz w:val="15"/>
        </w:rPr>
        <w:t>equipment_count INTEGER NOT NULL,</w:t>
      </w:r>
    </w:p>
    <w:p>
      <w:pPr>
        <w:spacing w:after="0" w:before="0" w:line="240" w:lineRule="auto"/>
        <w:ind w:left="57"/>
        <w:jc w:val="left"/>
        <w:shd w:val="clear" w:fill="F2F2F2"/>
      </w:pPr>
      <w:r>
        <w:rPr>
          <w:rFonts w:ascii="Consolas" w:hAnsi="Consolas" w:cs="Consolas"/>
          <w:b w:val="0"/>
          <w:i w:val="0"/>
          <w:sz w:val="15"/>
        </w:rPr>
        <w:t>origin_port TEXT,</w:t>
      </w:r>
    </w:p>
    <w:p>
      <w:pPr>
        <w:spacing w:after="0" w:before="0" w:line="240" w:lineRule="auto"/>
        <w:ind w:left="57"/>
        <w:jc w:val="left"/>
        <w:shd w:val="clear" w:fill="F2F2F2"/>
      </w:pPr>
      <w:r>
        <w:rPr>
          <w:rFonts w:ascii="Consolas" w:hAnsi="Consolas" w:cs="Consolas"/>
          <w:b w:val="0"/>
          <w:i w:val="0"/>
          <w:sz w:val="15"/>
        </w:rPr>
        <w:t>destination_port TEXT,</w:t>
      </w:r>
    </w:p>
    <w:p>
      <w:pPr>
        <w:spacing w:after="0" w:before="0" w:line="240" w:lineRule="auto"/>
        <w:ind w:left="57"/>
        <w:jc w:val="left"/>
        <w:shd w:val="clear" w:fill="F2F2F2"/>
      </w:pPr>
      <w:r>
        <w:rPr>
          <w:rFonts w:ascii="Consolas" w:hAnsi="Consolas" w:cs="Consolas"/>
          <w:b w:val="0"/>
          <w:i w:val="0"/>
          <w:sz w:val="15"/>
        </w:rPr>
        <w:t>alternative_ports TEXT[],</w:t>
      </w:r>
    </w:p>
    <w:p>
      <w:pPr>
        <w:spacing w:after="0" w:before="0" w:line="240" w:lineRule="auto"/>
        <w:ind w:left="57"/>
        <w:jc w:val="left"/>
        <w:shd w:val="clear" w:fill="F2F2F2"/>
      </w:pPr>
      <w:r>
        <w:rPr>
          <w:rFonts w:ascii="Consolas" w:hAnsi="Consolas" w:cs="Consolas"/>
          <w:b w:val="0"/>
          <w:i w:val="0"/>
          <w:sz w:val="15"/>
        </w:rPr>
        <w:t>earliest_delivery_date DATE NOT NULL,</w:t>
      </w:r>
    </w:p>
    <w:p>
      <w:pPr>
        <w:spacing w:after="0" w:before="0" w:line="240" w:lineRule="auto"/>
        <w:ind w:left="57"/>
        <w:jc w:val="left"/>
        <w:shd w:val="clear" w:fill="F2F2F2"/>
      </w:pPr>
      <w:r>
        <w:rPr>
          <w:rFonts w:ascii="Consolas" w:hAnsi="Consolas" w:cs="Consolas"/>
          <w:b w:val="0"/>
          <w:i w:val="0"/>
          <w:sz w:val="15"/>
        </w:rPr>
        <w:t>preferred_delivery_date DATE NOT NULL,</w:t>
      </w:r>
    </w:p>
    <w:p>
      <w:pPr>
        <w:spacing w:after="0" w:before="0" w:line="240" w:lineRule="auto"/>
        <w:ind w:left="57"/>
        <w:jc w:val="left"/>
        <w:shd w:val="clear" w:fill="F2F2F2"/>
      </w:pPr>
      <w:r>
        <w:rPr>
          <w:rFonts w:ascii="Consolas" w:hAnsi="Consolas" w:cs="Consolas"/>
          <w:b w:val="0"/>
          <w:i w:val="0"/>
          <w:sz w:val="15"/>
        </w:rPr>
        <w:t>latest_delivery_date DATE NOT NULL,</w:t>
      </w:r>
    </w:p>
    <w:p>
      <w:pPr>
        <w:spacing w:after="0" w:before="0" w:line="240" w:lineRule="auto"/>
        <w:ind w:left="57"/>
        <w:jc w:val="left"/>
        <w:shd w:val="clear" w:fill="F2F2F2"/>
      </w:pPr>
      <w:r>
        <w:rPr>
          <w:rFonts w:ascii="Consolas" w:hAnsi="Consolas" w:cs="Consolas"/>
          <w:b w:val="0"/>
          <w:i w:val="0"/>
          <w:sz w:val="15"/>
        </w:rPr>
        <w:t>transit_time_days INTEGER,</w:t>
      </w:r>
    </w:p>
    <w:p>
      <w:pPr>
        <w:spacing w:after="0" w:before="0" w:line="240" w:lineRule="auto"/>
        <w:ind w:left="57"/>
        <w:jc w:val="left"/>
        <w:shd w:val="clear" w:fill="F2F2F2"/>
      </w:pPr>
      <w:r>
        <w:rPr>
          <w:rFonts w:ascii="Consolas" w:hAnsi="Consolas" w:cs="Consolas"/>
          <w:b w:val="0"/>
          <w:i w:val="0"/>
          <w:sz w:val="15"/>
        </w:rPr>
        <w:t>route_details JSONB,</w:t>
      </w:r>
    </w:p>
    <w:p>
      <w:pPr>
        <w:spacing w:after="0" w:before="0" w:line="240" w:lineRule="auto"/>
        <w:ind w:left="57"/>
        <w:jc w:val="left"/>
        <w:shd w:val="clear" w:fill="F2F2F2"/>
      </w:pPr>
      <w:r>
        <w:rPr>
          <w:rFonts w:ascii="Consolas" w:hAnsi="Consolas" w:cs="Consolas"/>
          <w:b w:val="0"/>
          <w:i w:val="0"/>
          <w:sz w:val="15"/>
        </w:rPr>
        <w:t>port_requirements JSONB,</w:t>
      </w:r>
    </w:p>
    <w:p>
      <w:pPr>
        <w:spacing w:after="0" w:before="0" w:line="240" w:lineRule="auto"/>
        <w:ind w:left="57"/>
        <w:jc w:val="left"/>
        <w:shd w:val="clear" w:fill="F2F2F2"/>
      </w:pPr>
      <w:r>
        <w:rPr>
          <w:rFonts w:ascii="Consolas" w:hAnsi="Consolas" w:cs="Consolas"/>
          <w:b w:val="0"/>
          <w:i w:val="0"/>
          <w:sz w:val="15"/>
        </w:rPr>
        <w:t>congestion_alert JSONB,</w:t>
      </w:r>
    </w:p>
    <w:p>
      <w:pPr>
        <w:spacing w:after="0" w:before="0" w:line="240" w:lineRule="auto"/>
        <w:ind w:left="57"/>
        <w:jc w:val="left"/>
        <w:shd w:val="clear" w:fill="F2F2F2"/>
      </w:pPr>
      <w:r>
        <w:rPr>
          <w:rFonts w:ascii="Consolas" w:hAnsi="Consolas" w:cs="Consolas"/>
          <w:b w:val="0"/>
          <w:i w:val="0"/>
          <w:sz w:val="15"/>
        </w:rPr>
        <w:t>container_advisor_recommendation JSONB,</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idx_transport_configuration_trade ON transport_configuration(trade_request_id);</w:t>
      </w:r>
    </w:p>
    <w:p>
      <w:pPr>
        <w:spacing w:after="0" w:before="0" w:line="240" w:lineRule="auto"/>
        <w:ind w:left="57"/>
        <w:jc w:val="left"/>
        <w:shd w:val="clear" w:fill="F2F2F2"/>
      </w:pPr>
      <w:r>
        <w:rPr>
          <w:rFonts w:ascii="Consolas" w:hAnsi="Consolas" w:cs="Consolas"/>
          <w:b w:val="0"/>
          <w:i w:val="0"/>
          <w:sz w:val="15"/>
        </w:rPr>
        <w:t>CREATE INDEX IF NOT EXISTS idx_transport_configuration_mode ON transport_configuration(transport_mode);</w:t>
      </w:r>
    </w:p>
    <w:p>
      <w:pPr>
        <w:spacing w:after="0" w:before="0" w:line="240" w:lineRule="auto"/>
        <w:ind w:left="57"/>
        <w:jc w:val="left"/>
        <w:shd w:val="clear" w:fill="F2F2F2"/>
      </w:pPr>
      <w:r>
        <w:rPr>
          <w:rFonts w:ascii="Consolas" w:hAnsi="Consolas" w:cs="Consolas"/>
          <w:b w:val="0"/>
          <w:i w:val="0"/>
          <w:sz w:val="15"/>
        </w:rPr>
        <w:t>-- Equipment types reference</w:t>
      </w:r>
    </w:p>
    <w:p>
      <w:pPr>
        <w:spacing w:after="0" w:before="0" w:line="240" w:lineRule="auto"/>
        <w:ind w:left="57"/>
        <w:jc w:val="left"/>
        <w:shd w:val="clear" w:fill="F2F2F2"/>
      </w:pPr>
      <w:r>
        <w:rPr>
          <w:rFonts w:ascii="Consolas" w:hAnsi="Consolas" w:cs="Consolas"/>
          <w:b w:val="0"/>
          <w:i w:val="0"/>
          <w:sz w:val="15"/>
        </w:rPr>
        <w:t>CREATE TABLE IF NOT EXISTS equipment_types_ref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mode transport_mode NOT NULL,</w:t>
      </w:r>
    </w:p>
    <w:p>
      <w:pPr>
        <w:spacing w:after="0" w:before="0" w:line="240" w:lineRule="auto"/>
        <w:ind w:left="57"/>
        <w:jc w:val="left"/>
        <w:shd w:val="clear" w:fill="F2F2F2"/>
      </w:pPr>
      <w:r>
        <w:rPr>
          <w:rFonts w:ascii="Consolas" w:hAnsi="Consolas" w:cs="Consolas"/>
          <w:b w:val="0"/>
          <w:i w:val="0"/>
          <w:sz w:val="15"/>
        </w:rPr>
        <w:t>type_code equipment_type NOT NULL,</w:t>
      </w:r>
    </w:p>
    <w:p>
      <w:pPr>
        <w:spacing w:after="0" w:before="0" w:line="240" w:lineRule="auto"/>
        <w:ind w:left="57"/>
        <w:jc w:val="left"/>
        <w:shd w:val="clear" w:fill="F2F2F2"/>
      </w:pPr>
      <w:r>
        <w:rPr>
          <w:rFonts w:ascii="Consolas" w:hAnsi="Consolas" w:cs="Consolas"/>
          <w:b w:val="0"/>
          <w:i w:val="0"/>
          <w:sz w:val="15"/>
        </w:rPr>
        <w:t>type_name TEXT NOT NULL,</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max_payload_kg DECIMAL(10,2),</w:t>
      </w:r>
    </w:p>
    <w:p>
      <w:pPr>
        <w:spacing w:after="0" w:before="0" w:line="240" w:lineRule="auto"/>
        <w:ind w:left="57"/>
        <w:jc w:val="left"/>
        <w:shd w:val="clear" w:fill="F2F2F2"/>
      </w:pPr>
      <w:r>
        <w:rPr>
          <w:rFonts w:ascii="Consolas" w:hAnsi="Consolas" w:cs="Consolas"/>
          <w:b w:val="0"/>
          <w:i w:val="0"/>
          <w:sz w:val="15"/>
        </w:rPr>
        <w:t>max_volume_cbm DECIMAL(10,2),</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requires_reefer BOOLEAN DEFAULT false,</w:t>
      </w:r>
    </w:p>
    <w:p>
      <w:pPr>
        <w:spacing w:after="0" w:before="0" w:line="240" w:lineRule="auto"/>
        <w:ind w:left="57"/>
        <w:jc w:val="left"/>
        <w:shd w:val="clear" w:fill="F2F2F2"/>
      </w:pPr>
      <w:r>
        <w:rPr>
          <w:rFonts w:ascii="Consolas" w:hAnsi="Consolas" w:cs="Consolas"/>
          <w:b w:val="0"/>
          <w:i w:val="0"/>
          <w:sz w:val="15"/>
        </w:rPr>
        <w:t>requires_hazardous_handling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UNIQUE(mode, type_code)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Route availability</w:t>
      </w:r>
    </w:p>
    <w:p>
      <w:pPr>
        <w:spacing w:after="0" w:before="0" w:line="240" w:lineRule="auto"/>
        <w:ind w:left="57"/>
        <w:jc w:val="left"/>
        <w:shd w:val="clear" w:fill="F2F2F2"/>
      </w:pPr>
      <w:r>
        <w:rPr>
          <w:rFonts w:ascii="Consolas" w:hAnsi="Consolas" w:cs="Consolas"/>
          <w:b w:val="0"/>
          <w:i w:val="0"/>
          <w:sz w:val="15"/>
        </w:rPr>
        <w:t>CREATE TABLE IF NOT EXISTS route_availability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origin_unlocode TEXT NOT NULL REFERENCES port_information(unlocode),</w:t>
      </w:r>
    </w:p>
    <w:p>
      <w:pPr>
        <w:spacing w:after="0" w:before="0" w:line="240" w:lineRule="auto"/>
        <w:ind w:left="57"/>
        <w:jc w:val="left"/>
        <w:shd w:val="clear" w:fill="F2F2F2"/>
      </w:pPr>
      <w:r>
        <w:rPr>
          <w:rFonts w:ascii="Consolas" w:hAnsi="Consolas" w:cs="Consolas"/>
          <w:b w:val="0"/>
          <w:i w:val="0"/>
          <w:sz w:val="15"/>
        </w:rPr>
        <w:t>destination_unlocode TEXT NOT NULL REFERENCES port_information(unlocode),</w:t>
      </w:r>
    </w:p>
    <w:p>
      <w:pPr>
        <w:spacing w:after="0" w:before="0" w:line="240" w:lineRule="auto"/>
        <w:ind w:left="57"/>
        <w:jc w:val="left"/>
        <w:shd w:val="clear" w:fill="F2F2F2"/>
      </w:pPr>
      <w:r>
        <w:rPr>
          <w:rFonts w:ascii="Consolas" w:hAnsi="Consolas" w:cs="Consolas"/>
          <w:b w:val="0"/>
          <w:i w:val="0"/>
          <w:sz w:val="15"/>
        </w:rPr>
        <w:t>mode transport_mode NOT NULL,</w:t>
      </w:r>
    </w:p>
    <w:p>
      <w:pPr>
        <w:spacing w:after="0" w:before="0" w:line="240" w:lineRule="auto"/>
        <w:ind w:left="57"/>
        <w:jc w:val="left"/>
        <w:shd w:val="clear" w:fill="F2F2F2"/>
      </w:pPr>
      <w:r>
        <w:rPr>
          <w:rFonts w:ascii="Consolas" w:hAnsi="Consolas" w:cs="Consolas"/>
          <w:b w:val="0"/>
          <w:i w:val="0"/>
          <w:sz w:val="15"/>
        </w:rPr>
        <w:t>is_available BOOLEAN DEFAULT true,</w:t>
      </w:r>
    </w:p>
    <w:p>
      <w:pPr>
        <w:spacing w:after="0" w:before="0" w:line="240" w:lineRule="auto"/>
        <w:ind w:left="57"/>
        <w:jc w:val="left"/>
        <w:shd w:val="clear" w:fill="F2F2F2"/>
      </w:pPr>
      <w:r>
        <w:rPr>
          <w:rFonts w:ascii="Consolas" w:hAnsi="Consolas" w:cs="Consolas"/>
          <w:b w:val="0"/>
          <w:i w:val="0"/>
          <w:sz w:val="15"/>
        </w:rPr>
        <w:t>transit_time_days INTEGER,</w:t>
      </w:r>
    </w:p>
    <w:p>
      <w:pPr>
        <w:spacing w:after="0" w:before="0" w:line="240" w:lineRule="auto"/>
        <w:ind w:left="57"/>
        <w:jc w:val="left"/>
        <w:shd w:val="clear" w:fill="F2F2F2"/>
      </w:pPr>
      <w:r>
        <w:rPr>
          <w:rFonts w:ascii="Consolas" w:hAnsi="Consolas" w:cs="Consolas"/>
          <w:b w:val="0"/>
          <w:i w:val="0"/>
          <w:sz w:val="15"/>
        </w:rPr>
        <w:t>frequency_per_week INTEGER,</w:t>
      </w:r>
    </w:p>
    <w:p>
      <w:pPr>
        <w:spacing w:after="0" w:before="0" w:line="240" w:lineRule="auto"/>
        <w:ind w:left="57"/>
        <w:jc w:val="left"/>
        <w:shd w:val="clear" w:fill="F2F2F2"/>
      </w:pPr>
      <w:r>
        <w:rPr>
          <w:rFonts w:ascii="Consolas" w:hAnsi="Consolas" w:cs="Consolas"/>
          <w:b w:val="0"/>
          <w:i w:val="0"/>
          <w:sz w:val="15"/>
        </w:rPr>
        <w:t>carriers TEXT[],</w:t>
      </w:r>
    </w:p>
    <w:p>
      <w:pPr>
        <w:spacing w:after="0" w:before="0" w:line="240" w:lineRule="auto"/>
        <w:ind w:left="57"/>
        <w:jc w:val="left"/>
        <w:shd w:val="clear" w:fill="F2F2F2"/>
      </w:pPr>
      <w:r>
        <w:rPr>
          <w:rFonts w:ascii="Consolas" w:hAnsi="Consolas" w:cs="Consolas"/>
          <w:b w:val="0"/>
          <w:i w:val="0"/>
          <w:sz w:val="15"/>
        </w:rPr>
        <w:t>equipment_types equipment_type[],</w:t>
      </w:r>
    </w:p>
    <w:p>
      <w:pPr>
        <w:spacing w:after="0" w:before="0" w:line="240" w:lineRule="auto"/>
        <w:ind w:left="57"/>
        <w:jc w:val="left"/>
        <w:shd w:val="clear" w:fill="F2F2F2"/>
      </w:pPr>
      <w:r>
        <w:rPr>
          <w:rFonts w:ascii="Consolas" w:hAnsi="Consolas" w:cs="Consolas"/>
          <w:b w:val="0"/>
          <w:i w:val="0"/>
          <w:sz w:val="15"/>
        </w:rPr>
        <w:t>last_updated TIMESTAMPTZ DEFAULT NOW(),</w:t>
      </w:r>
    </w:p>
    <w:p>
      <w:pPr>
        <w:spacing w:after="0" w:before="0" w:line="240" w:lineRule="auto"/>
        <w:ind w:left="57"/>
        <w:jc w:val="left"/>
        <w:shd w:val="clear" w:fill="F2F2F2"/>
      </w:pPr>
      <w:r>
        <w:rPr>
          <w:rFonts w:ascii="Consolas" w:hAnsi="Consolas" w:cs="Consolas"/>
          <w:b w:val="0"/>
          <w:i w:val="0"/>
          <w:sz w:val="15"/>
        </w:rPr>
        <w:t>UNIQUE(origin_unlocode, destination_unlocode, mode)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Port information</w:t>
      </w:r>
    </w:p>
    <w:p>
      <w:pPr>
        <w:spacing w:after="0" w:before="0" w:line="240" w:lineRule="auto"/>
        <w:ind w:left="57"/>
        <w:jc w:val="left"/>
        <w:shd w:val="clear" w:fill="F2F2F2"/>
      </w:pPr>
      <w:r>
        <w:rPr>
          <w:rFonts w:ascii="Consolas" w:hAnsi="Consolas" w:cs="Consolas"/>
          <w:b w:val="0"/>
          <w:i w:val="0"/>
          <w:sz w:val="15"/>
        </w:rPr>
        <w:t>CREATE TABLE IF NOT EXISTS port_information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unlocode TEXT UNIQUE NOT NULL,</w:t>
      </w:r>
    </w:p>
    <w:p>
      <w:pPr>
        <w:spacing w:after="0" w:before="0" w:line="240" w:lineRule="auto"/>
        <w:ind w:left="57"/>
        <w:jc w:val="left"/>
        <w:shd w:val="clear" w:fill="F2F2F2"/>
      </w:pPr>
      <w:r>
        <w:rPr>
          <w:rFonts w:ascii="Consolas" w:hAnsi="Consolas" w:cs="Consolas"/>
          <w:b w:val="0"/>
          <w:i w:val="0"/>
          <w:sz w:val="15"/>
        </w:rPr>
        <w:t>name TEXT NOT NULL,</w:t>
      </w:r>
    </w:p>
    <w:p>
      <w:pPr>
        <w:spacing w:after="0" w:before="0" w:line="240" w:lineRule="auto"/>
        <w:ind w:left="57"/>
        <w:jc w:val="left"/>
        <w:shd w:val="clear" w:fill="F2F2F2"/>
      </w:pPr>
      <w:r>
        <w:rPr>
          <w:rFonts w:ascii="Consolas" w:hAnsi="Consolas" w:cs="Consolas"/>
          <w:b w:val="0"/>
          <w:i w:val="0"/>
          <w:sz w:val="15"/>
        </w:rPr>
        <w:t>country_code CHAR(2) NOT NULL REFERENCES jurisdictions(code),</w:t>
      </w:r>
    </w:p>
    <w:p>
      <w:pPr>
        <w:spacing w:after="0" w:before="0" w:line="240" w:lineRule="auto"/>
        <w:ind w:left="57"/>
        <w:jc w:val="left"/>
        <w:shd w:val="clear" w:fill="F2F2F2"/>
      </w:pPr>
      <w:r>
        <w:rPr>
          <w:rFonts w:ascii="Consolas" w:hAnsi="Consolas" w:cs="Consolas"/>
          <w:b w:val="0"/>
          <w:i w:val="0"/>
          <w:sz w:val="15"/>
        </w:rPr>
        <w:t>latitude DECIMAL(10,8),</w:t>
      </w:r>
    </w:p>
    <w:p>
      <w:pPr>
        <w:spacing w:after="0" w:before="0" w:line="240" w:lineRule="auto"/>
        <w:ind w:left="57"/>
        <w:jc w:val="left"/>
        <w:shd w:val="clear" w:fill="F2F2F2"/>
      </w:pPr>
      <w:r>
        <w:rPr>
          <w:rFonts w:ascii="Consolas" w:hAnsi="Consolas" w:cs="Consolas"/>
          <w:b w:val="0"/>
          <w:i w:val="0"/>
          <w:sz w:val="15"/>
        </w:rPr>
        <w:t>longitude DECIMAL(11,8),</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is_sanctioned BOOLEAN DEFAULT false,</w:t>
      </w:r>
    </w:p>
    <w:p>
      <w:pPr>
        <w:spacing w:after="0" w:before="0" w:line="240" w:lineRule="auto"/>
        <w:ind w:left="57"/>
        <w:jc w:val="left"/>
        <w:shd w:val="clear" w:fill="F2F2F2"/>
      </w:pPr>
      <w:r>
        <w:rPr>
          <w:rFonts w:ascii="Consolas" w:hAnsi="Consolas" w:cs="Consolas"/>
          <w:b w:val="0"/>
          <w:i w:val="0"/>
          <w:sz w:val="15"/>
        </w:rPr>
        <w:t>timezone TEXT,</w:t>
      </w:r>
    </w:p>
    <w:p>
      <w:pPr>
        <w:spacing w:after="0" w:before="0" w:line="240" w:lineRule="auto"/>
        <w:ind w:left="57"/>
        <w:jc w:val="left"/>
        <w:shd w:val="clear" w:fill="F2F2F2"/>
      </w:pPr>
      <w:r>
        <w:rPr>
          <w:rFonts w:ascii="Consolas" w:hAnsi="Consolas" w:cs="Consolas"/>
          <w:b w:val="0"/>
          <w:i w:val="0"/>
          <w:sz w:val="15"/>
        </w:rPr>
        <w:t>operating_hours TEXT,</w:t>
      </w:r>
    </w:p>
    <w:p>
      <w:pPr>
        <w:spacing w:after="0" w:before="0" w:line="240" w:lineRule="auto"/>
        <w:ind w:left="57"/>
        <w:jc w:val="left"/>
        <w:shd w:val="clear" w:fill="F2F2F2"/>
      </w:pPr>
      <w:r>
        <w:rPr>
          <w:rFonts w:ascii="Consolas" w:hAnsi="Consolas" w:cs="Consolas"/>
          <w:b w:val="0"/>
          <w:i w:val="0"/>
          <w:sz w:val="15"/>
        </w:rPr>
        <w:t>max_draft_m DECIMAL(5,2),</w:t>
      </w:r>
    </w:p>
    <w:p>
      <w:pPr>
        <w:spacing w:after="0" w:before="0" w:line="240" w:lineRule="auto"/>
        <w:ind w:left="57"/>
        <w:jc w:val="left"/>
        <w:shd w:val="clear" w:fill="F2F2F2"/>
      </w:pPr>
      <w:r>
        <w:rPr>
          <w:rFonts w:ascii="Consolas" w:hAnsi="Consolas" w:cs="Consolas"/>
          <w:b w:val="0"/>
          <w:i w:val="0"/>
          <w:sz w:val="15"/>
        </w:rPr>
        <w:t>annual_teu INTEGER,</w:t>
      </w:r>
    </w:p>
    <w:p>
      <w:pPr>
        <w:spacing w:after="0" w:before="0" w:line="240" w:lineRule="auto"/>
        <w:ind w:left="57"/>
        <w:jc w:val="left"/>
        <w:shd w:val="clear" w:fill="F2F2F2"/>
      </w:pPr>
      <w:r>
        <w:rPr>
          <w:rFonts w:ascii="Consolas" w:hAnsi="Consolas" w:cs="Consolas"/>
          <w:b w:val="0"/>
          <w:i w:val="0"/>
          <w:sz w:val="15"/>
        </w:rPr>
        <w:t>vessel_calls_per_year INTEGER,</w:t>
      </w:r>
    </w:p>
    <w:p>
      <w:pPr>
        <w:spacing w:after="0" w:before="0" w:line="240" w:lineRule="auto"/>
        <w:ind w:left="57"/>
        <w:jc w:val="left"/>
        <w:shd w:val="clear" w:fill="F2F2F2"/>
      </w:pPr>
      <w:r>
        <w:rPr>
          <w:rFonts w:ascii="Consolas" w:hAnsi="Consolas" w:cs="Consolas"/>
          <w:b w:val="0"/>
          <w:i w:val="0"/>
          <w:sz w:val="15"/>
        </w:rPr>
        <w:t>congestion_status TEXT DEFAULT 'NORMAL',</w:t>
      </w:r>
    </w:p>
    <w:p>
      <w:pPr>
        <w:spacing w:after="0" w:before="0" w:line="240" w:lineRule="auto"/>
        <w:ind w:left="57"/>
        <w:jc w:val="left"/>
        <w:shd w:val="clear" w:fill="F2F2F2"/>
      </w:pPr>
      <w:r>
        <w:rPr>
          <w:rFonts w:ascii="Consolas" w:hAnsi="Consolas" w:cs="Consolas"/>
          <w:b w:val="0"/>
          <w:i w:val="0"/>
          <w:sz w:val="15"/>
        </w:rPr>
        <w:t>congestion_waiting_days INTEGER DEFAULT 0,</w:t>
      </w:r>
    </w:p>
    <w:p>
      <w:pPr>
        <w:spacing w:after="0" w:before="0" w:line="240" w:lineRule="auto"/>
        <w:ind w:left="57"/>
        <w:jc w:val="left"/>
        <w:shd w:val="clear" w:fill="F2F2F2"/>
      </w:pPr>
      <w:r>
        <w:rPr>
          <w:rFonts w:ascii="Consolas" w:hAnsi="Consolas" w:cs="Consolas"/>
          <w:b w:val="0"/>
          <w:i w:val="0"/>
          <w:sz w:val="15"/>
        </w:rPr>
        <w:t>requirements JSONB,</w:t>
      </w:r>
    </w:p>
    <w:p>
      <w:pPr>
        <w:spacing w:after="0" w:before="0" w:line="240" w:lineRule="auto"/>
        <w:ind w:left="57"/>
        <w:jc w:val="left"/>
        <w:shd w:val="clear" w:fill="F2F2F2"/>
      </w:pPr>
      <w:r>
        <w:rPr>
          <w:rFonts w:ascii="Consolas" w:hAnsi="Consolas" w:cs="Consolas"/>
          <w:b w:val="0"/>
          <w:i w:val="0"/>
          <w:sz w:val="15"/>
        </w:rPr>
        <w:t>facilities JSONB,</w:t>
      </w:r>
    </w:p>
    <w:p>
      <w:pPr>
        <w:spacing w:after="0" w:before="0" w:line="240" w:lineRule="auto"/>
        <w:ind w:left="57"/>
        <w:jc w:val="left"/>
        <w:shd w:val="clear" w:fill="F2F2F2"/>
      </w:pPr>
      <w:r>
        <w:rPr>
          <w:rFonts w:ascii="Consolas" w:hAnsi="Consolas" w:cs="Consolas"/>
          <w:b w:val="0"/>
          <w:i w:val="0"/>
          <w:sz w:val="15"/>
        </w:rPr>
        <w:t>last_updated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idx_port_information_unlocode ON port_information(unlocode);</w:t>
      </w:r>
    </w:p>
    <w:p>
      <w:pPr>
        <w:spacing w:after="0" w:before="0" w:line="240" w:lineRule="auto"/>
        <w:ind w:left="57"/>
        <w:jc w:val="left"/>
        <w:shd w:val="clear" w:fill="F2F2F2"/>
      </w:pPr>
      <w:r>
        <w:rPr>
          <w:rFonts w:ascii="Consolas" w:hAnsi="Consolas" w:cs="Consolas"/>
          <w:b w:val="0"/>
          <w:i w:val="0"/>
          <w:sz w:val="15"/>
        </w:rPr>
        <w:t>CREATE INDEX IF NOT EXISTS idx_port_information_country ON port_information(country_code);</w:t>
      </w:r>
    </w:p>
    <w:p>
      <w:pPr>
        <w:spacing w:after="0" w:before="0" w:line="240" w:lineRule="auto"/>
        <w:ind w:left="57"/>
        <w:jc w:val="left"/>
        <w:shd w:val="clear" w:fill="F2F2F2"/>
      </w:pPr>
      <w:r>
        <w:rPr>
          <w:rFonts w:ascii="Consolas" w:hAnsi="Consolas" w:cs="Consolas"/>
          <w:b w:val="0"/>
          <w:i w:val="0"/>
          <w:sz w:val="15"/>
        </w:rPr>
        <w:t>CREATE INDEX IF NOT EXISTS idx_port_information_congestion ON port_information(congestion_status);</w:t>
      </w:r>
    </w:p>
    <w:p>
      <w:pPr>
        <w:spacing w:after="0" w:before="0" w:line="240" w:lineRule="auto"/>
        <w:ind w:left="57"/>
        <w:jc w:val="left"/>
        <w:shd w:val="clear" w:fill="F2F2F2"/>
      </w:pPr>
      <w:r>
        <w:rPr>
          <w:rFonts w:ascii="Consolas" w:hAnsi="Consolas" w:cs="Consolas"/>
          <w:b w:val="0"/>
          <w:i w:val="0"/>
          <w:sz w:val="15"/>
        </w:rPr>
        <w:t>-- Container advisor logs</w:t>
      </w:r>
    </w:p>
    <w:p>
      <w:pPr>
        <w:spacing w:after="0" w:before="0" w:line="240" w:lineRule="auto"/>
        <w:ind w:left="57"/>
        <w:jc w:val="left"/>
        <w:shd w:val="clear" w:fill="F2F2F2"/>
      </w:pPr>
      <w:r>
        <w:rPr>
          <w:rFonts w:ascii="Consolas" w:hAnsi="Consolas" w:cs="Consolas"/>
          <w:b w:val="0"/>
          <w:i w:val="0"/>
          <w:sz w:val="15"/>
        </w:rPr>
        <w:t>CREATE TABLE IF NOT EXISTS container_advisor_logs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input_data JSONB NOT NULL,</w:t>
      </w:r>
    </w:p>
    <w:p>
      <w:pPr>
        <w:spacing w:after="0" w:before="0" w:line="240" w:lineRule="auto"/>
        <w:ind w:left="57"/>
        <w:jc w:val="left"/>
        <w:shd w:val="clear" w:fill="F2F2F2"/>
      </w:pPr>
      <w:r>
        <w:rPr>
          <w:rFonts w:ascii="Consolas" w:hAnsi="Consolas" w:cs="Consolas"/>
          <w:b w:val="0"/>
          <w:i w:val="0"/>
          <w:sz w:val="15"/>
        </w:rPr>
        <w:t>recommendation JSONB NOT NULL,</w:t>
      </w:r>
    </w:p>
    <w:p>
      <w:pPr>
        <w:spacing w:after="0" w:before="0" w:line="240" w:lineRule="auto"/>
        <w:ind w:left="57"/>
        <w:jc w:val="left"/>
        <w:shd w:val="clear" w:fill="F2F2F2"/>
      </w:pPr>
      <w:r>
        <w:rPr>
          <w:rFonts w:ascii="Consolas" w:hAnsi="Consolas" w:cs="Consolas"/>
          <w:b w:val="0"/>
          <w:i w:val="0"/>
          <w:sz w:val="15"/>
        </w:rPr>
        <w:t>alternatives JSONB,</w:t>
      </w:r>
    </w:p>
    <w:p>
      <w:pPr>
        <w:spacing w:after="0" w:before="0" w:line="240" w:lineRule="auto"/>
        <w:ind w:left="57"/>
        <w:jc w:val="left"/>
        <w:shd w:val="clear" w:fill="F2F2F2"/>
      </w:pPr>
      <w:r>
        <w:rPr>
          <w:rFonts w:ascii="Consolas" w:hAnsi="Consolas" w:cs="Consolas"/>
          <w:b w:val="0"/>
          <w:i w:val="0"/>
          <w:sz w:val="15"/>
        </w:rPr>
        <w:t>historical_density JSONB,</w:t>
      </w:r>
    </w:p>
    <w:p>
      <w:pPr>
        <w:spacing w:after="0" w:before="0" w:line="240" w:lineRule="auto"/>
        <w:ind w:left="57"/>
        <w:jc w:val="left"/>
        <w:shd w:val="clear" w:fill="F2F2F2"/>
      </w:pPr>
      <w:r>
        <w:rPr>
          <w:rFonts w:ascii="Consolas" w:hAnsi="Consolas" w:cs="Consolas"/>
          <w:b w:val="0"/>
          <w:i w:val="0"/>
          <w:sz w:val="15"/>
        </w:rPr>
        <w:t>selected_option TEXT,</w:t>
      </w:r>
    </w:p>
    <w:p>
      <w:pPr>
        <w:spacing w:after="0" w:before="0" w:line="240" w:lineRule="auto"/>
        <w:ind w:left="57"/>
        <w:jc w:val="left"/>
        <w:shd w:val="clear" w:fill="F2F2F2"/>
      </w:pPr>
      <w:r>
        <w:rPr>
          <w:rFonts w:ascii="Consolas" w:hAnsi="Consolas" w:cs="Consolas"/>
          <w:b w:val="0"/>
          <w:i w:val="0"/>
          <w:sz w:val="15"/>
        </w:rPr>
        <w:t>user_accepted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idx_container_advisor_logs_trade ON container_advisor_logs(trade_request_id);</w:t>
      </w:r>
    </w:p>
    <w:p>
      <w:pPr>
        <w:spacing w:after="0" w:before="0" w:line="240" w:lineRule="auto"/>
        <w:ind w:left="57"/>
        <w:jc w:val="left"/>
        <w:shd w:val="clear" w:fill="F2F2F2"/>
      </w:pPr>
      <w:r>
        <w:rPr>
          <w:rFonts w:ascii="Consolas" w:hAnsi="Consolas" w:cs="Consolas"/>
          <w:b w:val="0"/>
          <w:i w:val="0"/>
          <w:sz w:val="15"/>
        </w:rPr>
        <w:t>-- Insurance requirements</w:t>
      </w:r>
    </w:p>
    <w:p>
      <w:pPr>
        <w:spacing w:after="0" w:before="0" w:line="240" w:lineRule="auto"/>
        <w:ind w:left="57"/>
        <w:jc w:val="left"/>
        <w:shd w:val="clear" w:fill="F2F2F2"/>
      </w:pPr>
      <w:r>
        <w:rPr>
          <w:rFonts w:ascii="Consolas" w:hAnsi="Consolas" w:cs="Consolas"/>
          <w:b w:val="0"/>
          <w:i w:val="0"/>
          <w:sz w:val="15"/>
        </w:rPr>
        <w:t>CREATE TABLE IF NOT EXISTS insurance_requirements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requirement insurance_requirement NOT NULL,</w:t>
      </w:r>
    </w:p>
    <w:p>
      <w:pPr>
        <w:spacing w:after="0" w:before="0" w:line="240" w:lineRule="auto"/>
        <w:ind w:left="57"/>
        <w:jc w:val="left"/>
        <w:shd w:val="clear" w:fill="F2F2F2"/>
      </w:pPr>
      <w:r>
        <w:rPr>
          <w:rFonts w:ascii="Consolas" w:hAnsi="Consolas" w:cs="Consolas"/>
          <w:b w:val="0"/>
          <w:i w:val="0"/>
          <w:sz w:val="15"/>
        </w:rPr>
        <w:t>responsible_party insurance_responsible_party NOT NULL,</w:t>
      </w:r>
    </w:p>
    <w:p>
      <w:pPr>
        <w:spacing w:after="0" w:before="0" w:line="240" w:lineRule="auto"/>
        <w:ind w:left="57"/>
        <w:jc w:val="left"/>
        <w:shd w:val="clear" w:fill="F2F2F2"/>
      </w:pPr>
      <w:r>
        <w:rPr>
          <w:rFonts w:ascii="Consolas" w:hAnsi="Consolas" w:cs="Consolas"/>
          <w:b w:val="0"/>
          <w:i w:val="0"/>
          <w:sz w:val="15"/>
        </w:rPr>
        <w:t>insurance_type insurance_type,</w:t>
      </w:r>
    </w:p>
    <w:p>
      <w:pPr>
        <w:spacing w:after="0" w:before="0" w:line="240" w:lineRule="auto"/>
        <w:ind w:left="57"/>
        <w:jc w:val="left"/>
        <w:shd w:val="clear" w:fill="F2F2F2"/>
      </w:pPr>
      <w:r>
        <w:rPr>
          <w:rFonts w:ascii="Consolas" w:hAnsi="Consolas" w:cs="Consolas"/>
          <w:b w:val="0"/>
          <w:i w:val="0"/>
          <w:sz w:val="15"/>
        </w:rPr>
        <w:t>coverage_percent INTEGER DEFAULT 110,</w:t>
      </w:r>
    </w:p>
    <w:p>
      <w:pPr>
        <w:spacing w:after="0" w:before="0" w:line="240" w:lineRule="auto"/>
        <w:ind w:left="57"/>
        <w:jc w:val="left"/>
        <w:shd w:val="clear" w:fill="F2F2F2"/>
      </w:pPr>
      <w:r>
        <w:rPr>
          <w:rFonts w:ascii="Consolas" w:hAnsi="Consolas" w:cs="Consolas"/>
          <w:b w:val="0"/>
          <w:i w:val="0"/>
          <w:sz w:val="15"/>
        </w:rPr>
        <w:t>coverage_currency TEXT DEFAULT 'USD',</w:t>
      </w:r>
    </w:p>
    <w:p>
      <w:pPr>
        <w:spacing w:after="0" w:before="0" w:line="240" w:lineRule="auto"/>
        <w:ind w:left="57"/>
        <w:jc w:val="left"/>
        <w:shd w:val="clear" w:fill="F2F2F2"/>
      </w:pPr>
      <w:r>
        <w:rPr>
          <w:rFonts w:ascii="Consolas" w:hAnsi="Consolas" w:cs="Consolas"/>
          <w:b w:val="0"/>
          <w:i w:val="0"/>
          <w:sz w:val="15"/>
        </w:rPr>
        <w:t>policy_number TEXT,</w:t>
      </w:r>
    </w:p>
    <w:p>
      <w:pPr>
        <w:spacing w:after="0" w:before="0" w:line="240" w:lineRule="auto"/>
        <w:ind w:left="57"/>
        <w:jc w:val="left"/>
        <w:shd w:val="clear" w:fill="F2F2F2"/>
      </w:pPr>
      <w:r>
        <w:rPr>
          <w:rFonts w:ascii="Consolas" w:hAnsi="Consolas" w:cs="Consolas"/>
          <w:b w:val="0"/>
          <w:i w:val="0"/>
          <w:sz w:val="15"/>
        </w:rPr>
        <w:t>insurer_name TEXT,</w:t>
      </w:r>
    </w:p>
    <w:p>
      <w:pPr>
        <w:spacing w:after="0" w:before="0" w:line="240" w:lineRule="auto"/>
        <w:ind w:left="57"/>
        <w:jc w:val="left"/>
        <w:shd w:val="clear" w:fill="F2F2F2"/>
      </w:pPr>
      <w:r>
        <w:rPr>
          <w:rFonts w:ascii="Consolas" w:hAnsi="Consolas" w:cs="Consolas"/>
          <w:b w:val="0"/>
          <w:i w:val="0"/>
          <w:sz w:val="15"/>
        </w:rPr>
        <w:t>policy_effective_date DATE,</w:t>
      </w:r>
    </w:p>
    <w:p>
      <w:pPr>
        <w:spacing w:after="0" w:before="0" w:line="240" w:lineRule="auto"/>
        <w:ind w:left="57"/>
        <w:jc w:val="left"/>
        <w:shd w:val="clear" w:fill="F2F2F2"/>
      </w:pPr>
      <w:r>
        <w:rPr>
          <w:rFonts w:ascii="Consolas" w:hAnsi="Consolas" w:cs="Consolas"/>
          <w:b w:val="0"/>
          <w:i w:val="0"/>
          <w:sz w:val="15"/>
        </w:rPr>
        <w:t>policy_expiry_date DATE,</w:t>
      </w:r>
    </w:p>
    <w:p>
      <w:pPr>
        <w:spacing w:after="0" w:before="0" w:line="240" w:lineRule="auto"/>
        <w:ind w:left="57"/>
        <w:jc w:val="left"/>
        <w:shd w:val="clear" w:fill="F2F2F2"/>
      </w:pPr>
      <w:r>
        <w:rPr>
          <w:rFonts w:ascii="Consolas" w:hAnsi="Consolas" w:cs="Consolas"/>
          <w:b w:val="0"/>
          <w:i w:val="0"/>
          <w:sz w:val="15"/>
        </w:rPr>
        <w:t>certificate_uploaded BOOLEAN DEFAULT false,</w:t>
      </w:r>
    </w:p>
    <w:p>
      <w:pPr>
        <w:spacing w:after="0" w:before="0" w:line="240" w:lineRule="auto"/>
        <w:ind w:left="57"/>
        <w:jc w:val="left"/>
        <w:shd w:val="clear" w:fill="F2F2F2"/>
      </w:pPr>
      <w:r>
        <w:rPr>
          <w:rFonts w:ascii="Consolas" w:hAnsi="Consolas" w:cs="Consolas"/>
          <w:b w:val="0"/>
          <w:i w:val="0"/>
          <w:sz w:val="15"/>
        </w:rPr>
        <w:t>certificate_document_id UUID REFERENCES documents(id) ON DELETE SET NULL,</w:t>
      </w:r>
    </w:p>
    <w:p>
      <w:pPr>
        <w:spacing w:after="0" w:before="0" w:line="240" w:lineRule="auto"/>
        <w:ind w:left="57"/>
        <w:jc w:val="left"/>
        <w:shd w:val="clear" w:fill="F2F2F2"/>
      </w:pPr>
      <w:r>
        <w:rPr>
          <w:rFonts w:ascii="Consolas" w:hAnsi="Consolas" w:cs="Consolas"/>
          <w:b w:val="0"/>
          <w:i w:val="0"/>
          <w:sz w:val="15"/>
        </w:rPr>
        <w:t>verification_status TEXT DEFAULT 'PENDING',</w:t>
      </w:r>
    </w:p>
    <w:p>
      <w:pPr>
        <w:spacing w:after="0" w:before="0" w:line="240" w:lineRule="auto"/>
        <w:ind w:left="57"/>
        <w:jc w:val="left"/>
        <w:shd w:val="clear" w:fill="F2F2F2"/>
      </w:pPr>
      <w:r>
        <w:rPr>
          <w:rFonts w:ascii="Consolas" w:hAnsi="Consolas" w:cs="Consolas"/>
          <w:b w:val="0"/>
          <w:i w:val="0"/>
          <w:sz w:val="15"/>
        </w:rPr>
        <w:t>verification_result JSONB,</w:t>
      </w:r>
    </w:p>
    <w:p>
      <w:pPr>
        <w:spacing w:after="0" w:before="0" w:line="240" w:lineRule="auto"/>
        <w:ind w:left="57"/>
        <w:jc w:val="left"/>
        <w:shd w:val="clear" w:fill="F2F2F2"/>
      </w:pPr>
      <w:r>
        <w:rPr>
          <w:rFonts w:ascii="Consolas" w:hAnsi="Consolas" w:cs="Consolas"/>
          <w:b w:val="0"/>
          <w:i w:val="0"/>
          <w:sz w:val="15"/>
        </w:rPr>
        <w:t>auto_configured BOOLEAN DEFAULT false,</w:t>
      </w:r>
    </w:p>
    <w:p>
      <w:pPr>
        <w:spacing w:after="0" w:before="0" w:line="240" w:lineRule="auto"/>
        <w:ind w:left="57"/>
        <w:jc w:val="left"/>
        <w:shd w:val="clear" w:fill="F2F2F2"/>
      </w:pPr>
      <w:r>
        <w:rPr>
          <w:rFonts w:ascii="Consolas" w:hAnsi="Consolas" w:cs="Consolas"/>
          <w:b w:val="0"/>
          <w:i w:val="0"/>
          <w:sz w:val="15"/>
        </w:rPr>
        <w:t>auto_config_reason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idx_insurance_requirements_trade ON insurance_requirements(trade_request_id);</w:t>
      </w:r>
    </w:p>
    <w:p>
      <w:pPr>
        <w:spacing w:after="0" w:before="0" w:line="240" w:lineRule="auto"/>
        <w:ind w:left="57"/>
        <w:jc w:val="left"/>
        <w:shd w:val="clear" w:fill="F2F2F2"/>
      </w:pPr>
      <w:r>
        <w:rPr>
          <w:rFonts w:ascii="Consolas" w:hAnsi="Consolas" w:cs="Consolas"/>
          <w:b w:val="0"/>
          <w:i w:val="0"/>
          <w:sz w:val="15"/>
        </w:rPr>
        <w:t>CREATE INDEX IF NOT EXISTS idx_insurance_requirements_status ON insurance_requirements(verification_status);</w:t>
      </w:r>
    </w:p>
    <w:p>
      <w:pPr>
        <w:spacing w:after="0" w:before="0" w:line="240" w:lineRule="auto"/>
        <w:ind w:left="57"/>
        <w:jc w:val="left"/>
        <w:shd w:val="clear" w:fill="F2F2F2"/>
      </w:pPr>
      <w:r>
        <w:rPr>
          <w:rFonts w:ascii="Consolas" w:hAnsi="Consolas" w:cs="Consolas"/>
          <w:b w:val="0"/>
          <w:i w:val="0"/>
          <w:sz w:val="15"/>
        </w:rPr>
        <w:t>CREATE INDEX IF NOT EXISTS idx_insurance_requirements_responsible ON insurance_requirements(responsible_party);</w:t>
      </w:r>
    </w:p>
    <w:p>
      <w:pPr>
        <w:spacing w:after="0" w:before="0" w:line="240" w:lineRule="auto"/>
        <w:ind w:left="57"/>
        <w:jc w:val="left"/>
        <w:shd w:val="clear" w:fill="F2F2F2"/>
      </w:pPr>
      <w:r>
        <w:rPr>
          <w:rFonts w:ascii="Consolas" w:hAnsi="Consolas" w:cs="Consolas"/>
          <w:b w:val="0"/>
          <w:i w:val="0"/>
          <w:sz w:val="15"/>
        </w:rPr>
        <w:t>-- Insurance type reference</w:t>
      </w:r>
    </w:p>
    <w:p>
      <w:pPr>
        <w:spacing w:after="0" w:before="0" w:line="240" w:lineRule="auto"/>
        <w:ind w:left="57"/>
        <w:jc w:val="left"/>
        <w:shd w:val="clear" w:fill="F2F2F2"/>
      </w:pPr>
      <w:r>
        <w:rPr>
          <w:rFonts w:ascii="Consolas" w:hAnsi="Consolas" w:cs="Consolas"/>
          <w:b w:val="0"/>
          <w:i w:val="0"/>
          <w:sz w:val="15"/>
        </w:rPr>
        <w:t>CREATE TABLE IF NOT EXISTS insurance_types_ref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type_code insurance_type UNIQUE NOT NULL,</w:t>
      </w:r>
    </w:p>
    <w:p>
      <w:pPr>
        <w:spacing w:after="0" w:before="0" w:line="240" w:lineRule="auto"/>
        <w:ind w:left="57"/>
        <w:jc w:val="left"/>
        <w:shd w:val="clear" w:fill="F2F2F2"/>
      </w:pPr>
      <w:r>
        <w:rPr>
          <w:rFonts w:ascii="Consolas" w:hAnsi="Consolas" w:cs="Consolas"/>
          <w:b w:val="0"/>
          <w:i w:val="0"/>
          <w:sz w:val="15"/>
        </w:rPr>
        <w:t>type_name TEXT NOT NULL,</w:t>
      </w:r>
    </w:p>
    <w:p>
      <w:pPr>
        <w:spacing w:after="0" w:before="0" w:line="240" w:lineRule="auto"/>
        <w:ind w:left="57"/>
        <w:jc w:val="left"/>
        <w:shd w:val="clear" w:fill="F2F2F2"/>
      </w:pPr>
      <w:r>
        <w:rPr>
          <w:rFonts w:ascii="Consolas" w:hAnsi="Consolas" w:cs="Consolas"/>
          <w:b w:val="0"/>
          <w:i w:val="0"/>
          <w:sz w:val="15"/>
        </w:rPr>
        <w:t>type_name_ar TEXT,</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description_ar TEXT,</w:t>
      </w:r>
    </w:p>
    <w:p>
      <w:pPr>
        <w:spacing w:after="0" w:before="0" w:line="240" w:lineRule="auto"/>
        <w:ind w:left="57"/>
        <w:jc w:val="left"/>
        <w:shd w:val="clear" w:fill="F2F2F2"/>
      </w:pPr>
      <w:r>
        <w:rPr>
          <w:rFonts w:ascii="Consolas" w:hAnsi="Consolas" w:cs="Consolas"/>
          <w:b w:val="0"/>
          <w:i w:val="0"/>
          <w:sz w:val="15"/>
        </w:rPr>
        <w:t>coverage_level TEXT,</w:t>
      </w:r>
    </w:p>
    <w:p>
      <w:pPr>
        <w:spacing w:after="0" w:before="0" w:line="240" w:lineRule="auto"/>
        <w:ind w:left="57"/>
        <w:jc w:val="left"/>
        <w:shd w:val="clear" w:fill="F2F2F2"/>
      </w:pPr>
      <w:r>
        <w:rPr>
          <w:rFonts w:ascii="Consolas" w:hAnsi="Consolas" w:cs="Consolas"/>
          <w:b w:val="0"/>
          <w:i w:val="0"/>
          <w:sz w:val="15"/>
        </w:rPr>
        <w:t>typical_use TEXT,</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Country-specific insurance requirements</w:t>
      </w:r>
    </w:p>
    <w:p>
      <w:pPr>
        <w:spacing w:after="0" w:before="0" w:line="240" w:lineRule="auto"/>
        <w:ind w:left="57"/>
        <w:jc w:val="left"/>
        <w:shd w:val="clear" w:fill="F2F2F2"/>
      </w:pPr>
      <w:r>
        <w:rPr>
          <w:rFonts w:ascii="Consolas" w:hAnsi="Consolas" w:cs="Consolas"/>
          <w:b w:val="0"/>
          <w:i w:val="0"/>
          <w:sz w:val="15"/>
        </w:rPr>
        <w:t>CREATE TABLE IF NOT EXISTS country_insurance_requirements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country_code CHAR(2) NOT NULL REFERENCES jurisdictions(code),</w:t>
      </w:r>
    </w:p>
    <w:p>
      <w:pPr>
        <w:spacing w:after="0" w:before="0" w:line="240" w:lineRule="auto"/>
        <w:ind w:left="57"/>
        <w:jc w:val="left"/>
        <w:shd w:val="clear" w:fill="F2F2F2"/>
      </w:pPr>
      <w:r>
        <w:rPr>
          <w:rFonts w:ascii="Consolas" w:hAnsi="Consolas" w:cs="Consolas"/>
          <w:b w:val="0"/>
          <w:i w:val="0"/>
          <w:sz w:val="15"/>
        </w:rPr>
        <w:t>commodity_category TEXT,</w:t>
      </w:r>
    </w:p>
    <w:p>
      <w:pPr>
        <w:spacing w:after="0" w:before="0" w:line="240" w:lineRule="auto"/>
        <w:ind w:left="57"/>
        <w:jc w:val="left"/>
        <w:shd w:val="clear" w:fill="F2F2F2"/>
      </w:pPr>
      <w:r>
        <w:rPr>
          <w:rFonts w:ascii="Consolas" w:hAnsi="Consolas" w:cs="Consolas"/>
          <w:b w:val="0"/>
          <w:i w:val="0"/>
          <w:sz w:val="15"/>
        </w:rPr>
        <w:t>hs_code CHAR(6),</w:t>
      </w:r>
    </w:p>
    <w:p>
      <w:pPr>
        <w:spacing w:after="0" w:before="0" w:line="240" w:lineRule="auto"/>
        <w:ind w:left="57"/>
        <w:jc w:val="left"/>
        <w:shd w:val="clear" w:fill="F2F2F2"/>
      </w:pPr>
      <w:r>
        <w:rPr>
          <w:rFonts w:ascii="Consolas" w:hAnsi="Consolas" w:cs="Consolas"/>
          <w:b w:val="0"/>
          <w:i w:val="0"/>
          <w:sz w:val="15"/>
        </w:rPr>
        <w:t>requirement TEXT NOT NULL,</w:t>
      </w:r>
    </w:p>
    <w:p>
      <w:pPr>
        <w:spacing w:after="0" w:before="0" w:line="240" w:lineRule="auto"/>
        <w:ind w:left="57"/>
        <w:jc w:val="left"/>
        <w:shd w:val="clear" w:fill="F2F2F2"/>
      </w:pPr>
      <w:r>
        <w:rPr>
          <w:rFonts w:ascii="Consolas" w:hAnsi="Consolas" w:cs="Consolas"/>
          <w:b w:val="0"/>
          <w:i w:val="0"/>
          <w:sz w:val="15"/>
        </w:rPr>
        <w:t>min_coverage_percent INTEGER DEFAULT 100,</w:t>
      </w:r>
    </w:p>
    <w:p>
      <w:pPr>
        <w:spacing w:after="0" w:before="0" w:line="240" w:lineRule="auto"/>
        <w:ind w:left="57"/>
        <w:jc w:val="left"/>
        <w:shd w:val="clear" w:fill="F2F2F2"/>
      </w:pPr>
      <w:r>
        <w:rPr>
          <w:rFonts w:ascii="Consolas" w:hAnsi="Consolas" w:cs="Consolas"/>
          <w:b w:val="0"/>
          <w:i w:val="0"/>
          <w:sz w:val="15"/>
        </w:rPr>
        <w:t>recommended_type insurance_type,</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last_updated TIMESTAMPTZ DEFAULT NOW(),</w:t>
      </w:r>
    </w:p>
    <w:p>
      <w:pPr>
        <w:spacing w:after="0" w:before="0" w:line="240" w:lineRule="auto"/>
        <w:ind w:left="57"/>
        <w:jc w:val="left"/>
        <w:shd w:val="clear" w:fill="F2F2F2"/>
      </w:pPr>
      <w:r>
        <w:rPr>
          <w:rFonts w:ascii="Consolas" w:hAnsi="Consolas" w:cs="Consolas"/>
          <w:b w:val="0"/>
          <w:i w:val="0"/>
          <w:sz w:val="15"/>
        </w:rPr>
        <w:t>UNIQUE(country_code, commodity_category, hs_code)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Commercial settlement configuration</w:t>
      </w:r>
    </w:p>
    <w:p>
      <w:pPr>
        <w:spacing w:after="0" w:before="0" w:line="240" w:lineRule="auto"/>
        <w:ind w:left="57"/>
        <w:jc w:val="left"/>
        <w:shd w:val="clear" w:fill="F2F2F2"/>
      </w:pPr>
      <w:r>
        <w:rPr>
          <w:rFonts w:ascii="Consolas" w:hAnsi="Consolas" w:cs="Consolas"/>
          <w:b w:val="0"/>
          <w:i w:val="0"/>
          <w:sz w:val="15"/>
        </w:rPr>
        <w:t>CREATE TABLE IF NOT EXISTS commercial_settlement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commercial_priority commercial_priority NOT NULL,</w:t>
      </w:r>
    </w:p>
    <w:p>
      <w:pPr>
        <w:spacing w:after="0" w:before="0" w:line="240" w:lineRule="auto"/>
        <w:ind w:left="57"/>
        <w:jc w:val="left"/>
        <w:shd w:val="clear" w:fill="F2F2F2"/>
      </w:pPr>
      <w:r>
        <w:rPr>
          <w:rFonts w:ascii="Consolas" w:hAnsi="Consolas" w:cs="Consolas"/>
          <w:b w:val="0"/>
          <w:i w:val="0"/>
          <w:sz w:val="15"/>
        </w:rPr>
        <w:t>settlement_structure settlement_structure NOT NULL,</w:t>
      </w:r>
    </w:p>
    <w:p>
      <w:pPr>
        <w:spacing w:after="0" w:before="0" w:line="240" w:lineRule="auto"/>
        <w:ind w:left="57"/>
        <w:jc w:val="left"/>
        <w:shd w:val="clear" w:fill="F2F2F2"/>
      </w:pPr>
      <w:r>
        <w:rPr>
          <w:rFonts w:ascii="Consolas" w:hAnsi="Consolas" w:cs="Consolas"/>
          <w:b w:val="0"/>
          <w:i w:val="0"/>
          <w:sz w:val="15"/>
        </w:rPr>
        <w:t>payment_timing payment_timing NOT NULL,</w:t>
      </w:r>
    </w:p>
    <w:p>
      <w:pPr>
        <w:spacing w:after="0" w:before="0" w:line="240" w:lineRule="auto"/>
        <w:ind w:left="57"/>
        <w:jc w:val="left"/>
        <w:shd w:val="clear" w:fill="F2F2F2"/>
      </w:pPr>
      <w:r>
        <w:rPr>
          <w:rFonts w:ascii="Consolas" w:hAnsi="Consolas" w:cs="Consolas"/>
          <w:b w:val="0"/>
          <w:i w:val="0"/>
          <w:sz w:val="15"/>
        </w:rPr>
        <w:t>credit_period credit_period NOT NULL,</w:t>
      </w:r>
    </w:p>
    <w:p>
      <w:pPr>
        <w:spacing w:after="0" w:before="0" w:line="240" w:lineRule="auto"/>
        <w:ind w:left="57"/>
        <w:jc w:val="left"/>
        <w:shd w:val="clear" w:fill="F2F2F2"/>
      </w:pPr>
      <w:r>
        <w:rPr>
          <w:rFonts w:ascii="Consolas" w:hAnsi="Consolas" w:cs="Consolas"/>
          <w:b w:val="0"/>
          <w:i w:val="0"/>
          <w:sz w:val="15"/>
        </w:rPr>
        <w:t>credit_period_custom_days INTEGER,</w:t>
      </w:r>
    </w:p>
    <w:p>
      <w:pPr>
        <w:spacing w:after="0" w:before="0" w:line="240" w:lineRule="auto"/>
        <w:ind w:left="57"/>
        <w:jc w:val="left"/>
        <w:shd w:val="clear" w:fill="F2F2F2"/>
      </w:pPr>
      <w:r>
        <w:rPr>
          <w:rFonts w:ascii="Consolas" w:hAnsi="Consolas" w:cs="Consolas"/>
          <w:b w:val="0"/>
          <w:i w:val="0"/>
          <w:sz w:val="15"/>
        </w:rPr>
        <w:t>currency TEXT NOT NULL DEFAULT 'USD',</w:t>
      </w:r>
    </w:p>
    <w:p>
      <w:pPr>
        <w:spacing w:after="0" w:before="0" w:line="240" w:lineRule="auto"/>
        <w:ind w:left="57"/>
        <w:jc w:val="left"/>
        <w:shd w:val="clear" w:fill="F2F2F2"/>
      </w:pPr>
      <w:r>
        <w:rPr>
          <w:rFonts w:ascii="Consolas" w:hAnsi="Consolas" w:cs="Consolas"/>
          <w:b w:val="0"/>
          <w:i w:val="0"/>
          <w:sz w:val="15"/>
        </w:rPr>
        <w:t>currency_other TEXT,</w:t>
      </w:r>
    </w:p>
    <w:p>
      <w:pPr>
        <w:spacing w:after="0" w:before="0" w:line="240" w:lineRule="auto"/>
        <w:ind w:left="57"/>
        <w:jc w:val="left"/>
        <w:shd w:val="clear" w:fill="F2F2F2"/>
      </w:pPr>
      <w:r>
        <w:rPr>
          <w:rFonts w:ascii="Consolas" w:hAnsi="Consolas" w:cs="Consolas"/>
          <w:b w:val="0"/>
          <w:i w:val="0"/>
          <w:sz w:val="15"/>
        </w:rPr>
        <w:t>financing_interest financing_interest NOT NULL,</w:t>
      </w:r>
    </w:p>
    <w:p>
      <w:pPr>
        <w:spacing w:after="0" w:before="0" w:line="240" w:lineRule="auto"/>
        <w:ind w:left="57"/>
        <w:jc w:val="left"/>
        <w:shd w:val="clear" w:fill="F2F2F2"/>
      </w:pPr>
      <w:r>
        <w:rPr>
          <w:rFonts w:ascii="Consolas" w:hAnsi="Consolas" w:cs="Consolas"/>
          <w:b w:val="0"/>
          <w:i w:val="0"/>
          <w:sz w:val="15"/>
        </w:rPr>
        <w:t>bank_instrument TEXT,</w:t>
      </w:r>
    </w:p>
    <w:p>
      <w:pPr>
        <w:spacing w:after="0" w:before="0" w:line="240" w:lineRule="auto"/>
        <w:ind w:left="57"/>
        <w:jc w:val="left"/>
        <w:shd w:val="clear" w:fill="F2F2F2"/>
      </w:pPr>
      <w:r>
        <w:rPr>
          <w:rFonts w:ascii="Consolas" w:hAnsi="Consolas" w:cs="Consolas"/>
          <w:b w:val="0"/>
          <w:i w:val="0"/>
          <w:sz w:val="15"/>
        </w:rPr>
        <w:t>settlement_flexibility settlement_flexibility NOT NULL,</w:t>
      </w:r>
    </w:p>
    <w:p>
      <w:pPr>
        <w:spacing w:after="0" w:before="0" w:line="240" w:lineRule="auto"/>
        <w:ind w:left="57"/>
        <w:jc w:val="left"/>
        <w:shd w:val="clear" w:fill="F2F2F2"/>
      </w:pPr>
      <w:r>
        <w:rPr>
          <w:rFonts w:ascii="Consolas" w:hAnsi="Consolas" w:cs="Consolas"/>
          <w:b w:val="0"/>
          <w:i w:val="0"/>
          <w:sz w:val="15"/>
        </w:rPr>
        <w:t>settlement_documents TEXT[],</w:t>
      </w:r>
    </w:p>
    <w:p>
      <w:pPr>
        <w:spacing w:after="0" w:before="0" w:line="240" w:lineRule="auto"/>
        <w:ind w:left="57"/>
        <w:jc w:val="left"/>
        <w:shd w:val="clear" w:fill="F2F2F2"/>
      </w:pPr>
      <w:r>
        <w:rPr>
          <w:rFonts w:ascii="Consolas" w:hAnsi="Consolas" w:cs="Consolas"/>
          <w:b w:val="0"/>
          <w:i w:val="0"/>
          <w:sz w:val="15"/>
        </w:rPr>
        <w:t>partial_advance_percentage INTEGER,</w:t>
      </w:r>
    </w:p>
    <w:p>
      <w:pPr>
        <w:spacing w:after="0" w:before="0" w:line="240" w:lineRule="auto"/>
        <w:ind w:left="57"/>
        <w:jc w:val="left"/>
        <w:shd w:val="clear" w:fill="F2F2F2"/>
      </w:pPr>
      <w:r>
        <w:rPr>
          <w:rFonts w:ascii="Consolas" w:hAnsi="Consolas" w:cs="Consolas"/>
          <w:b w:val="0"/>
          <w:i w:val="0"/>
          <w:sz w:val="15"/>
        </w:rPr>
        <w:t>balance_timing TEXT,</w:t>
      </w:r>
    </w:p>
    <w:p>
      <w:pPr>
        <w:spacing w:after="0" w:before="0" w:line="240" w:lineRule="auto"/>
        <w:ind w:left="57"/>
        <w:jc w:val="left"/>
        <w:shd w:val="clear" w:fill="F2F2F2"/>
      </w:pPr>
      <w:r>
        <w:rPr>
          <w:rFonts w:ascii="Consolas" w:hAnsi="Consolas" w:cs="Consolas"/>
          <w:b w:val="0"/>
          <w:i w:val="0"/>
          <w:sz w:val="15"/>
        </w:rPr>
        <w:t>acceptable_alternatives TEXT[],</w:t>
      </w:r>
    </w:p>
    <w:p>
      <w:pPr>
        <w:spacing w:after="0" w:before="0" w:line="240" w:lineRule="auto"/>
        <w:ind w:left="57"/>
        <w:jc w:val="left"/>
        <w:shd w:val="clear" w:fill="F2F2F2"/>
      </w:pPr>
      <w:r>
        <w:rPr>
          <w:rFonts w:ascii="Consolas" w:hAnsi="Consolas" w:cs="Consolas"/>
          <w:b w:val="0"/>
          <w:i w:val="0"/>
          <w:sz w:val="15"/>
        </w:rPr>
        <w:t>conditions_for_alternatives TEXT,</w:t>
      </w:r>
    </w:p>
    <w:p>
      <w:pPr>
        <w:spacing w:after="0" w:before="0" w:line="240" w:lineRule="auto"/>
        <w:ind w:left="57"/>
        <w:jc w:val="left"/>
        <w:shd w:val="clear" w:fill="F2F2F2"/>
      </w:pPr>
      <w:r>
        <w:rPr>
          <w:rFonts w:ascii="Consolas" w:hAnsi="Consolas" w:cs="Consolas"/>
          <w:b w:val="0"/>
          <w:i w:val="0"/>
          <w:sz w:val="15"/>
        </w:rPr>
        <w:t>auto_configured BOOLEAN DEFAULT false,</w:t>
      </w:r>
    </w:p>
    <w:p>
      <w:pPr>
        <w:spacing w:after="0" w:before="0" w:line="240" w:lineRule="auto"/>
        <w:ind w:left="57"/>
        <w:jc w:val="left"/>
        <w:shd w:val="clear" w:fill="F2F2F2"/>
      </w:pPr>
      <w:r>
        <w:rPr>
          <w:rFonts w:ascii="Consolas" w:hAnsi="Consolas" w:cs="Consolas"/>
          <w:b w:val="0"/>
          <w:i w:val="0"/>
          <w:sz w:val="15"/>
        </w:rPr>
        <w:t>auto_config_reason TEXT,</w:t>
      </w:r>
    </w:p>
    <w:p>
      <w:pPr>
        <w:spacing w:after="0" w:before="0" w:line="240" w:lineRule="auto"/>
        <w:ind w:left="57"/>
        <w:jc w:val="left"/>
        <w:shd w:val="clear" w:fill="F2F2F2"/>
      </w:pPr>
      <w:r>
        <w:rPr>
          <w:rFonts w:ascii="Consolas" w:hAnsi="Consolas" w:cs="Consolas"/>
          <w:b w:val="0"/>
          <w:i w:val="0"/>
          <w:sz w:val="15"/>
        </w:rPr>
        <w:t>ai_readiness_score INTEGER,</w:t>
      </w:r>
    </w:p>
    <w:p>
      <w:pPr>
        <w:spacing w:after="0" w:before="0" w:line="240" w:lineRule="auto"/>
        <w:ind w:left="57"/>
        <w:jc w:val="left"/>
        <w:shd w:val="clear" w:fill="F2F2F2"/>
      </w:pPr>
      <w:r>
        <w:rPr>
          <w:rFonts w:ascii="Consolas" w:hAnsi="Consolas" w:cs="Consolas"/>
          <w:b w:val="0"/>
          <w:i w:val="0"/>
          <w:sz w:val="15"/>
        </w:rPr>
        <w:t>ai_readiness_recommendation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idx_commercial_settlement_trade ON commercial_settlement(trade_request_id);</w:t>
      </w:r>
    </w:p>
    <w:p>
      <w:pPr>
        <w:spacing w:after="0" w:before="0" w:line="240" w:lineRule="auto"/>
        <w:ind w:left="57"/>
        <w:jc w:val="left"/>
        <w:shd w:val="clear" w:fill="F2F2F2"/>
      </w:pPr>
      <w:r>
        <w:rPr>
          <w:rFonts w:ascii="Consolas" w:hAnsi="Consolas" w:cs="Consolas"/>
          <w:b w:val="0"/>
          <w:i w:val="0"/>
          <w:sz w:val="15"/>
        </w:rPr>
        <w:t>CREATE INDEX IF NOT EXISTS idx_commercial_settlement_priority ON commercial_settlement(commercial_priority);</w:t>
      </w:r>
    </w:p>
    <w:p>
      <w:pPr>
        <w:spacing w:after="0" w:before="0" w:line="240" w:lineRule="auto"/>
        <w:ind w:left="57"/>
        <w:jc w:val="left"/>
        <w:shd w:val="clear" w:fill="F2F2F2"/>
      </w:pPr>
      <w:r>
        <w:rPr>
          <w:rFonts w:ascii="Consolas" w:hAnsi="Consolas" w:cs="Consolas"/>
          <w:b w:val="0"/>
          <w:i w:val="0"/>
          <w:sz w:val="15"/>
        </w:rPr>
        <w:t>CREATE INDEX IF NOT EXISTS idx_commercial_settlement_structure ON commercial_settlement(settlement_structure);</w:t>
      </w:r>
    </w:p>
    <w:p>
      <w:pPr>
        <w:spacing w:after="0" w:before="0" w:line="240" w:lineRule="auto"/>
        <w:ind w:left="57"/>
        <w:jc w:val="left"/>
        <w:shd w:val="clear" w:fill="F2F2F2"/>
      </w:pPr>
      <w:r>
        <w:rPr>
          <w:rFonts w:ascii="Consolas" w:hAnsi="Consolas" w:cs="Consolas"/>
          <w:b w:val="0"/>
          <w:i w:val="0"/>
          <w:sz w:val="15"/>
        </w:rPr>
        <w:t>-- Settlement readiness logs</w:t>
      </w:r>
    </w:p>
    <w:p>
      <w:pPr>
        <w:spacing w:after="0" w:before="0" w:line="240" w:lineRule="auto"/>
        <w:ind w:left="57"/>
        <w:jc w:val="left"/>
        <w:shd w:val="clear" w:fill="F2F2F2"/>
      </w:pPr>
      <w:r>
        <w:rPr>
          <w:rFonts w:ascii="Consolas" w:hAnsi="Consolas" w:cs="Consolas"/>
          <w:b w:val="0"/>
          <w:i w:val="0"/>
          <w:sz w:val="15"/>
        </w:rPr>
        <w:t>CREATE TABLE IF NOT EXISTS settlement_readiness_logs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settlement_id UUID NOT NULL REFERENCES commercial_settlement(id) ON DELETE CASCADE,</w:t>
      </w:r>
    </w:p>
    <w:p>
      <w:pPr>
        <w:spacing w:after="0" w:before="0" w:line="240" w:lineRule="auto"/>
        <w:ind w:left="57"/>
        <w:jc w:val="left"/>
        <w:shd w:val="clear" w:fill="F2F2F2"/>
      </w:pPr>
      <w:r>
        <w:rPr>
          <w:rFonts w:ascii="Consolas" w:hAnsi="Consolas" w:cs="Consolas"/>
          <w:b w:val="0"/>
          <w:i w:val="0"/>
          <w:sz w:val="15"/>
        </w:rPr>
        <w:t>readiness_score INTEGER NOT NULL,</w:t>
      </w:r>
    </w:p>
    <w:p>
      <w:pPr>
        <w:spacing w:after="0" w:before="0" w:line="240" w:lineRule="auto"/>
        <w:ind w:left="57"/>
        <w:jc w:val="left"/>
        <w:shd w:val="clear" w:fill="F2F2F2"/>
      </w:pPr>
      <w:r>
        <w:rPr>
          <w:rFonts w:ascii="Consolas" w:hAnsi="Consolas" w:cs="Consolas"/>
          <w:b w:val="0"/>
          <w:i w:val="0"/>
          <w:sz w:val="15"/>
        </w:rPr>
        <w:t>completeness_percentage INTEGER,</w:t>
      </w:r>
    </w:p>
    <w:p>
      <w:pPr>
        <w:spacing w:after="0" w:before="0" w:line="240" w:lineRule="auto"/>
        <w:ind w:left="57"/>
        <w:jc w:val="left"/>
        <w:shd w:val="clear" w:fill="F2F2F2"/>
      </w:pPr>
      <w:r>
        <w:rPr>
          <w:rFonts w:ascii="Consolas" w:hAnsi="Consolas" w:cs="Consolas"/>
          <w:b w:val="0"/>
          <w:i w:val="0"/>
          <w:sz w:val="15"/>
        </w:rPr>
        <w:t>missing_documents TEXT[],</w:t>
      </w:r>
    </w:p>
    <w:p>
      <w:pPr>
        <w:spacing w:after="0" w:before="0" w:line="240" w:lineRule="auto"/>
        <w:ind w:left="57"/>
        <w:jc w:val="left"/>
        <w:shd w:val="clear" w:fill="F2F2F2"/>
      </w:pPr>
      <w:r>
        <w:rPr>
          <w:rFonts w:ascii="Consolas" w:hAnsi="Consolas" w:cs="Consolas"/>
          <w:b w:val="0"/>
          <w:i w:val="0"/>
          <w:sz w:val="15"/>
        </w:rPr>
        <w:t>potential_issues JSONB,</w:t>
      </w:r>
    </w:p>
    <w:p>
      <w:pPr>
        <w:spacing w:after="0" w:before="0" w:line="240" w:lineRule="auto"/>
        <w:ind w:left="57"/>
        <w:jc w:val="left"/>
        <w:shd w:val="clear" w:fill="F2F2F2"/>
      </w:pPr>
      <w:r>
        <w:rPr>
          <w:rFonts w:ascii="Consolas" w:hAnsi="Consolas" w:cs="Consolas"/>
          <w:b w:val="0"/>
          <w:i w:val="0"/>
          <w:sz w:val="15"/>
        </w:rPr>
        <w:t>ai_recommendation TEXT,</w:t>
      </w:r>
    </w:p>
    <w:p>
      <w:pPr>
        <w:spacing w:after="0" w:before="0" w:line="240" w:lineRule="auto"/>
        <w:ind w:left="57"/>
        <w:jc w:val="left"/>
        <w:shd w:val="clear" w:fill="F2F2F2"/>
      </w:pPr>
      <w:r>
        <w:rPr>
          <w:rFonts w:ascii="Consolas" w:hAnsi="Consolas" w:cs="Consolas"/>
          <w:b w:val="0"/>
          <w:i w:val="0"/>
          <w:sz w:val="15"/>
        </w:rPr>
        <w:t>groq_model_version TEXT,</w:t>
      </w:r>
    </w:p>
    <w:p>
      <w:pPr>
        <w:spacing w:after="0" w:before="0" w:line="240" w:lineRule="auto"/>
        <w:ind w:left="57"/>
        <w:jc w:val="left"/>
        <w:shd w:val="clear" w:fill="F2F2F2"/>
      </w:pPr>
      <w:r>
        <w:rPr>
          <w:rFonts w:ascii="Consolas" w:hAnsi="Consolas" w:cs="Consolas"/>
          <w:b w:val="0"/>
          <w:i w:val="0"/>
          <w:sz w:val="15"/>
        </w:rPr>
        <w:t>calculated_at TIMESTAMPTZ DEFAULT NOW(),</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Contract shipments (multi-shipment)</w:t>
      </w:r>
    </w:p>
    <w:p>
      <w:pPr>
        <w:spacing w:after="0" w:before="0" w:line="240" w:lineRule="auto"/>
        <w:ind w:left="57"/>
        <w:jc w:val="left"/>
        <w:shd w:val="clear" w:fill="F2F2F2"/>
      </w:pPr>
      <w:r>
        <w:rPr>
          <w:rFonts w:ascii="Consolas" w:hAnsi="Consolas" w:cs="Consolas"/>
          <w:b w:val="0"/>
          <w:i w:val="0"/>
          <w:sz w:val="15"/>
        </w:rPr>
        <w:t>CREATE TABLE IF NOT EXISTS contract_shipments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contract_id UUID NOT NULL REFERENCES contracts(id) ON DELETE CASCADE,</w:t>
      </w:r>
    </w:p>
    <w:p>
      <w:pPr>
        <w:spacing w:after="0" w:before="0" w:line="240" w:lineRule="auto"/>
        <w:ind w:left="57"/>
        <w:jc w:val="left"/>
        <w:shd w:val="clear" w:fill="F2F2F2"/>
      </w:pPr>
      <w:r>
        <w:rPr>
          <w:rFonts w:ascii="Consolas" w:hAnsi="Consolas" w:cs="Consolas"/>
          <w:b w:val="0"/>
          <w:i w:val="0"/>
          <w:sz w:val="15"/>
        </w:rPr>
        <w:t>shipment_number INTEGER NOT NULL,</w:t>
      </w:r>
    </w:p>
    <w:p>
      <w:pPr>
        <w:spacing w:after="0" w:before="0" w:line="240" w:lineRule="auto"/>
        <w:ind w:left="57"/>
        <w:jc w:val="left"/>
        <w:shd w:val="clear" w:fill="F2F2F2"/>
      </w:pPr>
      <w:r>
        <w:rPr>
          <w:rFonts w:ascii="Consolas" w:hAnsi="Consolas" w:cs="Consolas"/>
          <w:b w:val="0"/>
          <w:i w:val="0"/>
          <w:sz w:val="15"/>
        </w:rPr>
        <w:t>scheduled_delivery_date DATE NOT NULL,</w:t>
      </w:r>
    </w:p>
    <w:p>
      <w:pPr>
        <w:spacing w:after="0" w:before="0" w:line="240" w:lineRule="auto"/>
        <w:ind w:left="57"/>
        <w:jc w:val="left"/>
        <w:shd w:val="clear" w:fill="F2F2F2"/>
      </w:pPr>
      <w:r>
        <w:rPr>
          <w:rFonts w:ascii="Consolas" w:hAnsi="Consolas" w:cs="Consolas"/>
          <w:b w:val="0"/>
          <w:i w:val="0"/>
          <w:sz w:val="15"/>
        </w:rPr>
        <w:t>port_of_discharge TEXT NOT NULL,</w:t>
      </w:r>
    </w:p>
    <w:p>
      <w:pPr>
        <w:spacing w:after="0" w:before="0" w:line="240" w:lineRule="auto"/>
        <w:ind w:left="57"/>
        <w:jc w:val="left"/>
        <w:shd w:val="clear" w:fill="F2F2F2"/>
      </w:pPr>
      <w:r>
        <w:rPr>
          <w:rFonts w:ascii="Consolas" w:hAnsi="Consolas" w:cs="Consolas"/>
          <w:b w:val="0"/>
          <w:i w:val="0"/>
          <w:sz w:val="15"/>
        </w:rPr>
        <w:t>containers_count INTEGER NOT NULL,</w:t>
      </w:r>
    </w:p>
    <w:p>
      <w:pPr>
        <w:spacing w:after="0" w:before="0" w:line="240" w:lineRule="auto"/>
        <w:ind w:left="57"/>
        <w:jc w:val="left"/>
        <w:shd w:val="clear" w:fill="F2F2F2"/>
      </w:pPr>
      <w:r>
        <w:rPr>
          <w:rFonts w:ascii="Consolas" w:hAnsi="Consolas" w:cs="Consolas"/>
          <w:b w:val="0"/>
          <w:i w:val="0"/>
          <w:sz w:val="15"/>
        </w:rPr>
        <w:t>total_price DECIMAL(20,4) NOT NULL,</w:t>
      </w:r>
    </w:p>
    <w:p>
      <w:pPr>
        <w:spacing w:after="0" w:before="0" w:line="240" w:lineRule="auto"/>
        <w:ind w:left="57"/>
        <w:jc w:val="left"/>
        <w:shd w:val="clear" w:fill="F2F2F2"/>
      </w:pPr>
      <w:r>
        <w:rPr>
          <w:rFonts w:ascii="Consolas" w:hAnsi="Consolas" w:cs="Consolas"/>
          <w:b w:val="0"/>
          <w:i w:val="0"/>
          <w:sz w:val="15"/>
        </w:rPr>
        <w:t>sgtx_fee_amount DECIMAL(20,4),</w:t>
      </w:r>
    </w:p>
    <w:p>
      <w:pPr>
        <w:spacing w:after="0" w:before="0" w:line="240" w:lineRule="auto"/>
        <w:ind w:left="57"/>
        <w:jc w:val="left"/>
        <w:shd w:val="clear" w:fill="F2F2F2"/>
      </w:pPr>
      <w:r>
        <w:rPr>
          <w:rFonts w:ascii="Consolas" w:hAnsi="Consolas" w:cs="Consolas"/>
          <w:b w:val="0"/>
          <w:i w:val="0"/>
          <w:sz w:val="15"/>
        </w:rPr>
        <w:t>fee_lock_id UUID,</w:t>
      </w:r>
    </w:p>
    <w:p>
      <w:pPr>
        <w:spacing w:after="0" w:before="0" w:line="240" w:lineRule="auto"/>
        <w:ind w:left="57"/>
        <w:jc w:val="left"/>
        <w:shd w:val="clear" w:fill="F2F2F2"/>
      </w:pPr>
      <w:r>
        <w:rPr>
          <w:rFonts w:ascii="Consolas" w:hAnsi="Consolas" w:cs="Consolas"/>
          <w:b w:val="0"/>
          <w:i w:val="0"/>
          <w:sz w:val="15"/>
        </w:rPr>
        <w:t>ustn TEXT UNIQUE,</w:t>
      </w:r>
    </w:p>
    <w:p>
      <w:pPr>
        <w:spacing w:after="0" w:before="0" w:line="240" w:lineRule="auto"/>
        <w:ind w:left="57"/>
        <w:jc w:val="left"/>
        <w:shd w:val="clear" w:fill="F2F2F2"/>
      </w:pPr>
      <w:r>
        <w:rPr>
          <w:rFonts w:ascii="Consolas" w:hAnsi="Consolas" w:cs="Consolas"/>
          <w:b w:val="0"/>
          <w:i w:val="0"/>
          <w:sz w:val="15"/>
        </w:rPr>
        <w:t>status TEXT DEFAULT 'SCHEDULED',</w:t>
      </w:r>
    </w:p>
    <w:p>
      <w:pPr>
        <w:spacing w:after="0" w:before="0" w:line="240" w:lineRule="auto"/>
        <w:ind w:left="57"/>
        <w:jc w:val="left"/>
        <w:shd w:val="clear" w:fill="F2F2F2"/>
      </w:pPr>
      <w:r>
        <w:rPr>
          <w:rFonts w:ascii="Consolas" w:hAnsi="Consolas" w:cs="Consolas"/>
          <w:b w:val="0"/>
          <w:i w:val="0"/>
          <w:sz w:val="15"/>
        </w:rPr>
        <w:t>commodities_overridden BOOLEAN DEFAULT false,</w:t>
      </w:r>
    </w:p>
    <w:p>
      <w:pPr>
        <w:spacing w:after="0" w:before="0" w:line="240" w:lineRule="auto"/>
        <w:ind w:left="57"/>
        <w:jc w:val="left"/>
        <w:shd w:val="clear" w:fill="F2F2F2"/>
      </w:pPr>
      <w:r>
        <w:rPr>
          <w:rFonts w:ascii="Consolas" w:hAnsi="Consolas" w:cs="Consolas"/>
          <w:b w:val="0"/>
          <w:i w:val="0"/>
          <w:sz w:val="15"/>
        </w:rPr>
        <w:t>commodity_data JSONB,</w:t>
      </w:r>
    </w:p>
    <w:p>
      <w:pPr>
        <w:spacing w:after="0" w:before="0" w:line="240" w:lineRule="auto"/>
        <w:ind w:left="57"/>
        <w:jc w:val="left"/>
        <w:shd w:val="clear" w:fill="F2F2F2"/>
      </w:pPr>
      <w:r>
        <w:rPr>
          <w:rFonts w:ascii="Consolas" w:hAnsi="Consolas" w:cs="Consolas"/>
          <w:b w:val="0"/>
          <w:i w:val="0"/>
          <w:sz w:val="15"/>
        </w:rPr>
        <w:t>locked_at TIMESTAMPTZ,</w:t>
      </w:r>
    </w:p>
    <w:p>
      <w:pPr>
        <w:spacing w:after="0" w:before="0" w:line="240" w:lineRule="auto"/>
        <w:ind w:left="57"/>
        <w:jc w:val="left"/>
        <w:shd w:val="clear" w:fill="F2F2F2"/>
      </w:pPr>
      <w:r>
        <w:rPr>
          <w:rFonts w:ascii="Consolas" w:hAnsi="Consolas" w:cs="Consolas"/>
          <w:b w:val="0"/>
          <w:i w:val="0"/>
          <w:sz w:val="15"/>
        </w:rPr>
        <w:t>completed_at TIMESTAMPTZ,</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idx_contract_shipments_contract ON contract_shipments(contract_id);</w:t>
      </w:r>
    </w:p>
    <w:p>
      <w:pPr>
        <w:spacing w:after="0" w:before="0" w:line="240" w:lineRule="auto"/>
        <w:ind w:left="57"/>
        <w:jc w:val="left"/>
        <w:shd w:val="clear" w:fill="F2F2F2"/>
      </w:pPr>
      <w:r>
        <w:rPr>
          <w:rFonts w:ascii="Consolas" w:hAnsi="Consolas" w:cs="Consolas"/>
          <w:b w:val="0"/>
          <w:i w:val="0"/>
          <w:sz w:val="15"/>
        </w:rPr>
        <w:t>CREATE INDEX IF NOT EXISTS idx_contract_shipments_ustn ON contract_shipments(ustn);</w:t>
      </w:r>
    </w:p>
    <w:p>
      <w:pPr>
        <w:spacing w:after="0" w:before="0" w:line="240" w:lineRule="auto"/>
        <w:ind w:left="57"/>
        <w:jc w:val="left"/>
        <w:shd w:val="clear" w:fill="F2F2F2"/>
      </w:pPr>
      <w:r>
        <w:rPr>
          <w:rFonts w:ascii="Consolas" w:hAnsi="Consolas" w:cs="Consolas"/>
          <w:b w:val="0"/>
          <w:i w:val="0"/>
          <w:sz w:val="15"/>
        </w:rPr>
        <w:t>CREATE INDEX IF NOT EXISTS idx_contract_shipments_status ON contract_shipments(status);</w:t>
      </w:r>
    </w:p>
    <w:p>
      <w:pPr>
        <w:spacing w:after="0" w:before="0" w:line="240" w:lineRule="auto"/>
        <w:ind w:left="57"/>
        <w:jc w:val="left"/>
        <w:shd w:val="clear" w:fill="F2F2F2"/>
      </w:pPr>
      <w:r>
        <w:rPr>
          <w:rFonts w:ascii="Consolas" w:hAnsi="Consolas" w:cs="Consolas"/>
          <w:b w:val="0"/>
          <w:i w:val="0"/>
          <w:sz w:val="15"/>
        </w:rPr>
        <w:t>-- Schedule modification requests</w:t>
      </w:r>
    </w:p>
    <w:p>
      <w:pPr>
        <w:spacing w:after="0" w:before="0" w:line="240" w:lineRule="auto"/>
        <w:ind w:left="57"/>
        <w:jc w:val="left"/>
        <w:shd w:val="clear" w:fill="F2F2F2"/>
      </w:pPr>
      <w:r>
        <w:rPr>
          <w:rFonts w:ascii="Consolas" w:hAnsi="Consolas" w:cs="Consolas"/>
          <w:b w:val="0"/>
          <w:i w:val="0"/>
          <w:sz w:val="15"/>
        </w:rPr>
        <w:t>CREATE TABLE IF NOT EXISTS schedule_modification_requests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contract_id UUID NOT NULL REFERENCES contracts(id) ON DELETE CASCADE,</w:t>
      </w:r>
    </w:p>
    <w:p>
      <w:pPr>
        <w:spacing w:after="0" w:before="0" w:line="240" w:lineRule="auto"/>
        <w:ind w:left="57"/>
        <w:jc w:val="left"/>
        <w:shd w:val="clear" w:fill="F2F2F2"/>
      </w:pPr>
      <w:r>
        <w:rPr>
          <w:rFonts w:ascii="Consolas" w:hAnsi="Consolas" w:cs="Consolas"/>
          <w:b w:val="0"/>
          <w:i w:val="0"/>
          <w:sz w:val="15"/>
        </w:rPr>
        <w:t>shipment_id UUID NOT NULL REFERENCES contract_shipments(id) ON DELETE CASCADE,</w:t>
      </w:r>
    </w:p>
    <w:p>
      <w:pPr>
        <w:spacing w:after="0" w:before="0" w:line="240" w:lineRule="auto"/>
        <w:ind w:left="57"/>
        <w:jc w:val="left"/>
        <w:shd w:val="clear" w:fill="F2F2F2"/>
      </w:pPr>
      <w:r>
        <w:rPr>
          <w:rFonts w:ascii="Consolas" w:hAnsi="Consolas" w:cs="Consolas"/>
          <w:b w:val="0"/>
          <w:i w:val="0"/>
          <w:sz w:val="15"/>
        </w:rPr>
        <w:t>requested_by_gtid TEXT NOT NULL,</w:t>
      </w:r>
    </w:p>
    <w:p>
      <w:pPr>
        <w:spacing w:after="0" w:before="0" w:line="240" w:lineRule="auto"/>
        <w:ind w:left="57"/>
        <w:jc w:val="left"/>
        <w:shd w:val="clear" w:fill="F2F2F2"/>
      </w:pPr>
      <w:r>
        <w:rPr>
          <w:rFonts w:ascii="Consolas" w:hAnsi="Consolas" w:cs="Consolas"/>
          <w:b w:val="0"/>
          <w:i w:val="0"/>
          <w:sz w:val="15"/>
        </w:rPr>
        <w:t>requested_at TIMESTAMPTZ DEFAULT NOW(),</w:t>
      </w:r>
    </w:p>
    <w:p>
      <w:pPr>
        <w:spacing w:after="0" w:before="0" w:line="240" w:lineRule="auto"/>
        <w:ind w:left="57"/>
        <w:jc w:val="left"/>
        <w:shd w:val="clear" w:fill="F2F2F2"/>
      </w:pPr>
      <w:r>
        <w:rPr>
          <w:rFonts w:ascii="Consolas" w:hAnsi="Consolas" w:cs="Consolas"/>
          <w:b w:val="0"/>
          <w:i w:val="0"/>
          <w:sz w:val="15"/>
        </w:rPr>
        <w:t>proposed_changes JSONB NOT NULL,</w:t>
      </w:r>
    </w:p>
    <w:p>
      <w:pPr>
        <w:spacing w:after="0" w:before="0" w:line="240" w:lineRule="auto"/>
        <w:ind w:left="57"/>
        <w:jc w:val="left"/>
        <w:shd w:val="clear" w:fill="F2F2F2"/>
      </w:pPr>
      <w:r>
        <w:rPr>
          <w:rFonts w:ascii="Consolas" w:hAnsi="Consolas" w:cs="Consolas"/>
          <w:b w:val="0"/>
          <w:i w:val="0"/>
          <w:sz w:val="15"/>
        </w:rPr>
        <w:t>reason TEXT NOT NULL,</w:t>
      </w:r>
    </w:p>
    <w:p>
      <w:pPr>
        <w:spacing w:after="0" w:before="0" w:line="240" w:lineRule="auto"/>
        <w:ind w:left="57"/>
        <w:jc w:val="left"/>
        <w:shd w:val="clear" w:fill="F2F2F2"/>
      </w:pPr>
      <w:r>
        <w:rPr>
          <w:rFonts w:ascii="Consolas" w:hAnsi="Consolas" w:cs="Consolas"/>
          <w:b w:val="0"/>
          <w:i w:val="0"/>
          <w:sz w:val="15"/>
        </w:rPr>
        <w:t>status TEXT DEFAULT 'PENDING',</w:t>
      </w:r>
    </w:p>
    <w:p>
      <w:pPr>
        <w:spacing w:after="0" w:before="0" w:line="240" w:lineRule="auto"/>
        <w:ind w:left="57"/>
        <w:jc w:val="left"/>
        <w:shd w:val="clear" w:fill="F2F2F2"/>
      </w:pPr>
      <w:r>
        <w:rPr>
          <w:rFonts w:ascii="Consolas" w:hAnsi="Consolas" w:cs="Consolas"/>
          <w:b w:val="0"/>
          <w:i w:val="0"/>
          <w:sz w:val="15"/>
        </w:rPr>
        <w:t>responded_by_gtid TEXT,</w:t>
      </w:r>
    </w:p>
    <w:p>
      <w:pPr>
        <w:spacing w:after="0" w:before="0" w:line="240" w:lineRule="auto"/>
        <w:ind w:left="57"/>
        <w:jc w:val="left"/>
        <w:shd w:val="clear" w:fill="F2F2F2"/>
      </w:pPr>
      <w:r>
        <w:rPr>
          <w:rFonts w:ascii="Consolas" w:hAnsi="Consolas" w:cs="Consolas"/>
          <w:b w:val="0"/>
          <w:i w:val="0"/>
          <w:sz w:val="15"/>
        </w:rPr>
        <w:t>responded_at TIMESTAMPTZ,</w:t>
      </w:r>
    </w:p>
    <w:p>
      <w:pPr>
        <w:spacing w:after="0" w:before="0" w:line="240" w:lineRule="auto"/>
        <w:ind w:left="57"/>
        <w:jc w:val="left"/>
        <w:shd w:val="clear" w:fill="F2F2F2"/>
      </w:pPr>
      <w:r>
        <w:rPr>
          <w:rFonts w:ascii="Consolas" w:hAnsi="Consolas" w:cs="Consolas"/>
          <w:b w:val="0"/>
          <w:i w:val="0"/>
          <w:sz w:val="15"/>
        </w:rPr>
        <w:t>addendum_contract_id UUID REFERENCES contracts(id) ON DELETE SET NULL,</w:t>
      </w:r>
    </w:p>
    <w:p>
      <w:pPr>
        <w:spacing w:after="0" w:before="0" w:line="240" w:lineRule="auto"/>
        <w:ind w:left="57"/>
        <w:jc w:val="left"/>
        <w:shd w:val="clear" w:fill="F2F2F2"/>
      </w:pPr>
      <w:r>
        <w:rPr>
          <w:rFonts w:ascii="Consolas" w:hAnsi="Consolas" w:cs="Consolas"/>
          <w:b w:val="0"/>
          <w:i w:val="0"/>
          <w:sz w:val="15"/>
        </w:rPr>
        <w:t>governor_decision_id UUID REFERENCES governor_decisions(decision_id) ON DELETE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idx_schedule_modification_requests_contract ON schedule_modification_requests(contract_id);</w:t>
      </w:r>
    </w:p>
    <w:p>
      <w:pPr>
        <w:spacing w:after="0" w:before="0" w:line="240" w:lineRule="auto"/>
        <w:ind w:left="57"/>
        <w:jc w:val="left"/>
        <w:shd w:val="clear" w:fill="F2F2F2"/>
      </w:pPr>
      <w:r>
        <w:rPr>
          <w:rFonts w:ascii="Consolas" w:hAnsi="Consolas" w:cs="Consolas"/>
          <w:b w:val="0"/>
          <w:i w:val="0"/>
          <w:sz w:val="15"/>
        </w:rPr>
        <w:t>CREATE INDEX IF NOT EXISTS idx_schedule_modification_requests_shipment ON schedule_modification_requests(shipment_id);</w:t>
      </w:r>
    </w:p>
    <w:p>
      <w:pPr>
        <w:spacing w:after="0" w:before="0" w:line="240" w:lineRule="auto"/>
        <w:ind w:left="57"/>
        <w:jc w:val="left"/>
        <w:shd w:val="clear" w:fill="F2F2F2"/>
      </w:pPr>
      <w:r>
        <w:rPr>
          <w:rFonts w:ascii="Consolas" w:hAnsi="Consolas" w:cs="Consolas"/>
          <w:b w:val="0"/>
          <w:i w:val="0"/>
          <w:sz w:val="15"/>
        </w:rPr>
        <w:t>CREATE INDEX IF NOT EXISTS idx_schedule_modification_requests_status ON schedule_modification_requests(status);</w:t>
      </w:r>
    </w:p>
    <w:p>
      <w:pPr>
        <w:spacing w:after="0" w:before="0" w:line="240" w:lineRule="auto"/>
        <w:ind w:left="57"/>
        <w:jc w:val="left"/>
        <w:shd w:val="clear" w:fill="F2F2F2"/>
      </w:pPr>
      <w:r>
        <w:rPr>
          <w:rFonts w:ascii="Consolas" w:hAnsi="Consolas" w:cs="Consolas"/>
          <w:b w:val="0"/>
          <w:i w:val="0"/>
          <w:sz w:val="15"/>
        </w:rPr>
        <w:t>-- Schedule addenda</w:t>
      </w:r>
    </w:p>
    <w:p>
      <w:pPr>
        <w:spacing w:after="0" w:before="0" w:line="240" w:lineRule="auto"/>
        <w:ind w:left="57"/>
        <w:jc w:val="left"/>
        <w:shd w:val="clear" w:fill="F2F2F2"/>
      </w:pPr>
      <w:r>
        <w:rPr>
          <w:rFonts w:ascii="Consolas" w:hAnsi="Consolas" w:cs="Consolas"/>
          <w:b w:val="0"/>
          <w:i w:val="0"/>
          <w:sz w:val="15"/>
        </w:rPr>
        <w:t>CREATE TABLE IF NOT EXISTS schedule_addenda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contract_id UUID NOT NULL REFERENCES contracts(id) ON DELETE CASCADE,</w:t>
      </w:r>
    </w:p>
    <w:p>
      <w:pPr>
        <w:spacing w:after="0" w:before="0" w:line="240" w:lineRule="auto"/>
        <w:ind w:left="57"/>
        <w:jc w:val="left"/>
        <w:shd w:val="clear" w:fill="F2F2F2"/>
      </w:pPr>
      <w:r>
        <w:rPr>
          <w:rFonts w:ascii="Consolas" w:hAnsi="Consolas" w:cs="Consolas"/>
          <w:b w:val="0"/>
          <w:i w:val="0"/>
          <w:sz w:val="15"/>
        </w:rPr>
        <w:t>modification_request_id UUID REFERENCES schedule_modification_requests(id) ON</w:t>
      </w:r>
    </w:p>
    <w:p>
      <w:pPr>
        <w:spacing w:after="0" w:before="0" w:line="240" w:lineRule="auto"/>
        <w:ind w:left="57"/>
        <w:jc w:val="left"/>
        <w:shd w:val="clear" w:fill="F2F2F2"/>
      </w:pPr>
      <w:r>
        <w:rPr>
          <w:rFonts w:ascii="Consolas" w:hAnsi="Consolas" w:cs="Consolas"/>
          <w:b w:val="0"/>
          <w:i w:val="0"/>
          <w:sz w:val="15"/>
        </w:rPr>
        <w:t>original_schedule JSONB NOT NULL,</w:t>
      </w:r>
    </w:p>
    <w:p>
      <w:pPr>
        <w:spacing w:after="0" w:before="0" w:line="240" w:lineRule="auto"/>
        <w:ind w:left="57"/>
        <w:jc w:val="left"/>
        <w:shd w:val="clear" w:fill="F2F2F2"/>
      </w:pPr>
      <w:r>
        <w:rPr>
          <w:rFonts w:ascii="Consolas" w:hAnsi="Consolas" w:cs="Consolas"/>
          <w:b w:val="0"/>
          <w:i w:val="0"/>
          <w:sz w:val="15"/>
        </w:rPr>
        <w:t>modified_schedule JSONB NOT NULL,</w:t>
      </w:r>
    </w:p>
    <w:p>
      <w:pPr>
        <w:spacing w:after="0" w:before="0" w:line="240" w:lineRule="auto"/>
        <w:ind w:left="57"/>
        <w:jc w:val="left"/>
        <w:shd w:val="clear" w:fill="F2F2F2"/>
      </w:pPr>
      <w:r>
        <w:rPr>
          <w:rFonts w:ascii="Consolas" w:hAnsi="Consolas" w:cs="Consolas"/>
          <w:b w:val="0"/>
          <w:i w:val="0"/>
          <w:sz w:val="15"/>
        </w:rPr>
        <w:t>reason TEXT NOT NULL,</w:t>
      </w:r>
    </w:p>
    <w:p>
      <w:pPr>
        <w:spacing w:after="0" w:before="0" w:line="240" w:lineRule="auto"/>
        <w:ind w:left="57"/>
        <w:jc w:val="left"/>
        <w:shd w:val="clear" w:fill="F2F2F2"/>
      </w:pPr>
      <w:r>
        <w:rPr>
          <w:rFonts w:ascii="Consolas" w:hAnsi="Consolas" w:cs="Consolas"/>
          <w:b w:val="0"/>
          <w:i w:val="0"/>
          <w:sz w:val="15"/>
        </w:rPr>
        <w:t>buyer_signature TEXT NOT NULL,</w:t>
      </w:r>
    </w:p>
    <w:p>
      <w:pPr>
        <w:spacing w:after="0" w:before="0" w:line="240" w:lineRule="auto"/>
        <w:ind w:left="57"/>
        <w:jc w:val="left"/>
        <w:shd w:val="clear" w:fill="F2F2F2"/>
      </w:pPr>
      <w:r>
        <w:rPr>
          <w:rFonts w:ascii="Consolas" w:hAnsi="Consolas" w:cs="Consolas"/>
          <w:b w:val="0"/>
          <w:i w:val="0"/>
          <w:sz w:val="15"/>
        </w:rPr>
        <w:t>seller_signature TEXT NOT NULL,</w:t>
      </w:r>
    </w:p>
    <w:p>
      <w:pPr>
        <w:spacing w:after="0" w:before="0" w:line="240" w:lineRule="auto"/>
        <w:ind w:left="57"/>
        <w:jc w:val="left"/>
        <w:shd w:val="clear" w:fill="F2F2F2"/>
      </w:pPr>
      <w:r>
        <w:rPr>
          <w:rFonts w:ascii="Consolas" w:hAnsi="Consolas" w:cs="Consolas"/>
          <w:b w:val="0"/>
          <w:i w:val="0"/>
          <w:sz w:val="15"/>
        </w:rPr>
        <w:t>sgtx_signature TEXT NOT NULL,</w:t>
      </w:r>
    </w:p>
    <w:p>
      <w:pPr>
        <w:spacing w:after="0" w:before="0" w:line="240" w:lineRule="auto"/>
        <w:ind w:left="57"/>
        <w:jc w:val="left"/>
        <w:shd w:val="clear" w:fill="F2F2F2"/>
      </w:pPr>
      <w:r>
        <w:rPr>
          <w:rFonts w:ascii="Consolas" w:hAnsi="Consolas" w:cs="Consolas"/>
          <w:b w:val="0"/>
          <w:i w:val="0"/>
          <w:sz w:val="15"/>
        </w:rPr>
        <w:t>loom_hash TEXT NOT NULL,</w:t>
      </w:r>
    </w:p>
    <w:p>
      <w:pPr>
        <w:spacing w:after="0" w:before="0" w:line="240" w:lineRule="auto"/>
        <w:ind w:left="57"/>
        <w:jc w:val="left"/>
        <w:shd w:val="clear" w:fill="F2F2F2"/>
      </w:pPr>
      <w:r>
        <w:rPr>
          <w:rFonts w:ascii="Consolas" w:hAnsi="Consolas" w:cs="Consolas"/>
          <w:b w:val="0"/>
          <w:i w:val="0"/>
          <w:sz w:val="15"/>
        </w:rPr>
        <w:t>signed_at TIMESTAMPTZ DEFAULT NOW(),</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Draft history (versioned snapshots)</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TABLE IF NOT EXISTS draft_history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draft_snapshot JSONB NOT NULL,</w:t>
      </w:r>
    </w:p>
    <w:p>
      <w:pPr>
        <w:spacing w:after="0" w:before="0" w:line="240" w:lineRule="auto"/>
        <w:ind w:left="57"/>
        <w:jc w:val="left"/>
        <w:shd w:val="clear" w:fill="F2F2F2"/>
      </w:pPr>
      <w:r>
        <w:rPr>
          <w:rFonts w:ascii="Consolas" w:hAnsi="Consolas" w:cs="Consolas"/>
          <w:b w:val="0"/>
          <w:i w:val="0"/>
          <w:sz w:val="15"/>
        </w:rPr>
        <w:t>version INTEGER NOT NULL,</w:t>
      </w:r>
    </w:p>
    <w:p>
      <w:pPr>
        <w:spacing w:after="0" w:before="0" w:line="240" w:lineRule="auto"/>
        <w:ind w:left="57"/>
        <w:jc w:val="left"/>
        <w:shd w:val="clear" w:fill="F2F2F2"/>
      </w:pPr>
      <w:r>
        <w:rPr>
          <w:rFonts w:ascii="Consolas" w:hAnsi="Consolas" w:cs="Consolas"/>
          <w:b w:val="0"/>
          <w:i w:val="0"/>
          <w:sz w:val="15"/>
        </w:rPr>
        <w:t>edited_by UUID REFERENCES employees(id) ON DELETE SET NULL,</w:t>
      </w:r>
    </w:p>
    <w:p>
      <w:pPr>
        <w:spacing w:after="0" w:before="0" w:line="240" w:lineRule="auto"/>
        <w:ind w:left="57"/>
        <w:jc w:val="left"/>
        <w:shd w:val="clear" w:fill="F2F2F2"/>
      </w:pPr>
      <w:r>
        <w:rPr>
          <w:rFonts w:ascii="Consolas" w:hAnsi="Consolas" w:cs="Consolas"/>
          <w:b w:val="0"/>
          <w:i w:val="0"/>
          <w:sz w:val="15"/>
        </w:rPr>
        <w:t>edited_at TIMESTAMPTZ DEFAULT NOW(),</w:t>
      </w:r>
    </w:p>
    <w:p>
      <w:pPr>
        <w:spacing w:after="0" w:before="0" w:line="240" w:lineRule="auto"/>
        <w:ind w:left="57"/>
        <w:jc w:val="left"/>
        <w:shd w:val="clear" w:fill="F2F2F2"/>
      </w:pPr>
      <w:r>
        <w:rPr>
          <w:rFonts w:ascii="Consolas" w:hAnsi="Consolas" w:cs="Consolas"/>
          <w:b w:val="0"/>
          <w:i w:val="0"/>
          <w:sz w:val="15"/>
        </w:rPr>
        <w:t>change_summary TEXT,</w:t>
      </w:r>
    </w:p>
    <w:p>
      <w:pPr>
        <w:spacing w:after="0" w:before="0" w:line="240" w:lineRule="auto"/>
        <w:ind w:left="57"/>
        <w:jc w:val="left"/>
        <w:shd w:val="clear" w:fill="F2F2F2"/>
      </w:pPr>
      <w:r>
        <w:rPr>
          <w:rFonts w:ascii="Consolas" w:hAnsi="Consolas" w:cs="Consolas"/>
          <w:b w:val="0"/>
          <w:i w:val="0"/>
          <w:sz w:val="15"/>
        </w:rPr>
        <w:t>UNIQUE(trade_request_id, version)</w:t>
      </w:r>
    </w:p>
    <w:p>
      <w:pPr>
        <w:spacing w:after="0" w:before="0" w:line="240" w:lineRule="auto"/>
        <w:ind w:left="57"/>
        <w:jc w:val="left"/>
        <w:shd w:val="clear" w:fill="F2F2F2"/>
      </w:pPr>
      <w:r>
        <w:rPr>
          <w:rFonts w:ascii="Consolas" w:hAnsi="Consolas" w:cs="Consolas"/>
          <w:b w:val="0"/>
          <w:i w:val="0"/>
          <w:sz w:val="15"/>
        </w:rPr>
        <w:t>); [HTML      Preformatted]    CREATE          INDEX   IF   NOT   EXISTS   idx_draft_history_request   ON draft_history(trade_request_id);</w:t>
      </w:r>
    </w:p>
    <w:p>
      <w:pPr>
        <w:spacing w:after="0" w:before="0" w:line="240" w:lineRule="auto"/>
        <w:ind w:left="57"/>
        <w:jc w:val="left"/>
        <w:shd w:val="clear" w:fill="F2F2F2"/>
      </w:pPr>
      <w:r>
        <w:rPr>
          <w:rFonts w:ascii="Consolas" w:hAnsi="Consolas" w:cs="Consolas"/>
          <w:b w:val="0"/>
          <w:i w:val="0"/>
          <w:sz w:val="15"/>
        </w:rPr>
        <w:t>CREATE INDEX IF NOT EXISTS idx_draft_history_edited ON draft_history(edited_at DESC);</w:t>
      </w:r>
    </w:p>
    <w:p>
      <w:pPr>
        <w:spacing w:after="0" w:before="0" w:line="240" w:lineRule="auto"/>
        <w:ind w:left="57"/>
        <w:jc w:val="left"/>
        <w:shd w:val="clear" w:fill="F2F2F2"/>
      </w:pPr>
      <w:r>
        <w:rPr>
          <w:rFonts w:ascii="Consolas" w:hAnsi="Consolas" w:cs="Consolas"/>
          <w:b w:val="0"/>
          <w:i w:val="0"/>
          <w:sz w:val="15"/>
        </w:rPr>
        <w:t>-- Draft reminders</w:t>
      </w:r>
    </w:p>
    <w:p>
      <w:pPr>
        <w:spacing w:after="0" w:before="0" w:line="240" w:lineRule="auto"/>
        <w:ind w:left="57"/>
        <w:jc w:val="left"/>
        <w:shd w:val="clear" w:fill="F2F2F2"/>
      </w:pPr>
      <w:r>
        <w:rPr>
          <w:rFonts w:ascii="Consolas" w:hAnsi="Consolas" w:cs="Consolas"/>
          <w:b w:val="0"/>
          <w:i w:val="0"/>
          <w:sz w:val="15"/>
        </w:rPr>
        <w:t>CREATE TABLE IF NOT EXISTS draft_reminders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reminder_type TEXT NOT NULL,</w:t>
      </w:r>
    </w:p>
    <w:p>
      <w:pPr>
        <w:spacing w:after="0" w:before="0" w:line="240" w:lineRule="auto"/>
        <w:ind w:left="57"/>
        <w:jc w:val="left"/>
        <w:shd w:val="clear" w:fill="F2F2F2"/>
      </w:pPr>
      <w:r>
        <w:rPr>
          <w:rFonts w:ascii="Consolas" w:hAnsi="Consolas" w:cs="Consolas"/>
          <w:b w:val="0"/>
          <w:i w:val="0"/>
          <w:sz w:val="15"/>
        </w:rPr>
        <w:t>sent_at TIMESTAMPTZ DEFAULT NOW(),</w:t>
      </w:r>
    </w:p>
    <w:p>
      <w:pPr>
        <w:spacing w:after="0" w:before="0" w:line="240" w:lineRule="auto"/>
        <w:ind w:left="57"/>
        <w:jc w:val="left"/>
        <w:shd w:val="clear" w:fill="F2F2F2"/>
      </w:pPr>
      <w:r>
        <w:rPr>
          <w:rFonts w:ascii="Consolas" w:hAnsi="Consolas" w:cs="Consolas"/>
          <w:b w:val="0"/>
          <w:i w:val="0"/>
          <w:sz w:val="15"/>
        </w:rPr>
        <w:t>sent_to_employee_id UUID REFERENCES employees(id) ON DELETE SET NULL,</w:t>
      </w:r>
    </w:p>
    <w:p>
      <w:pPr>
        <w:spacing w:after="0" w:before="0" w:line="240" w:lineRule="auto"/>
        <w:ind w:left="57"/>
        <w:jc w:val="left"/>
        <w:shd w:val="clear" w:fill="F2F2F2"/>
      </w:pPr>
      <w:r>
        <w:rPr>
          <w:rFonts w:ascii="Consolas" w:hAnsi="Consolas" w:cs="Consolas"/>
          <w:b w:val="0"/>
          <w:i w:val="0"/>
          <w:sz w:val="15"/>
        </w:rPr>
        <w:t>sent_by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Draft restore logs</w:t>
      </w:r>
    </w:p>
    <w:p>
      <w:pPr>
        <w:spacing w:after="0" w:before="0" w:line="240" w:lineRule="auto"/>
        <w:ind w:left="57"/>
        <w:jc w:val="left"/>
        <w:shd w:val="clear" w:fill="F2F2F2"/>
      </w:pPr>
      <w:r>
        <w:rPr>
          <w:rFonts w:ascii="Consolas" w:hAnsi="Consolas" w:cs="Consolas"/>
          <w:b w:val="0"/>
          <w:i w:val="0"/>
          <w:sz w:val="15"/>
        </w:rPr>
        <w:t>CREATE TABLE IF NOT EXISTS draft_restore_logs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original_draft_id UUID REFERENCES trade_requests(id) ON DELETE SET NULL,</w:t>
      </w:r>
    </w:p>
    <w:p>
      <w:pPr>
        <w:spacing w:after="0" w:before="0" w:line="240" w:lineRule="auto"/>
        <w:ind w:left="57"/>
        <w:jc w:val="left"/>
        <w:shd w:val="clear" w:fill="F2F2F2"/>
      </w:pPr>
      <w:r>
        <w:rPr>
          <w:rFonts w:ascii="Consolas" w:hAnsi="Consolas" w:cs="Consolas"/>
          <w:b w:val="0"/>
          <w:i w:val="0"/>
          <w:sz w:val="15"/>
        </w:rPr>
        <w:t>restored_draft_id UUID REFERENCES trade_requests(id) ON DELETE SET NULL,</w:t>
      </w:r>
    </w:p>
    <w:p>
      <w:pPr>
        <w:spacing w:after="0" w:before="0" w:line="240" w:lineRule="auto"/>
        <w:ind w:left="57"/>
        <w:jc w:val="left"/>
        <w:shd w:val="clear" w:fill="F2F2F2"/>
      </w:pPr>
      <w:r>
        <w:rPr>
          <w:rFonts w:ascii="Consolas" w:hAnsi="Consolas" w:cs="Consolas"/>
          <w:b w:val="0"/>
          <w:i w:val="0"/>
          <w:sz w:val="15"/>
        </w:rPr>
        <w:t>restored_by UUID REFERENCES employees(id) ON DELETE SET NULL,</w:t>
      </w:r>
    </w:p>
    <w:p>
      <w:pPr>
        <w:spacing w:after="0" w:before="0" w:line="240" w:lineRule="auto"/>
        <w:ind w:left="57"/>
        <w:jc w:val="left"/>
        <w:shd w:val="clear" w:fill="F2F2F2"/>
      </w:pPr>
      <w:r>
        <w:rPr>
          <w:rFonts w:ascii="Consolas" w:hAnsi="Consolas" w:cs="Consolas"/>
          <w:b w:val="0"/>
          <w:i w:val="0"/>
          <w:sz w:val="15"/>
        </w:rPr>
        <w:t>restore_reason TEXT,</w:t>
      </w:r>
    </w:p>
    <w:p>
      <w:pPr>
        <w:spacing w:after="0" w:before="0" w:line="240" w:lineRule="auto"/>
        <w:ind w:left="57"/>
        <w:jc w:val="left"/>
        <w:shd w:val="clear" w:fill="F2F2F2"/>
      </w:pPr>
      <w:r>
        <w:rPr>
          <w:rFonts w:ascii="Consolas" w:hAnsi="Consolas" w:cs="Consolas"/>
          <w:b w:val="0"/>
          <w:i w:val="0"/>
          <w:sz w:val="15"/>
        </w:rPr>
        <w:t>restored_at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Draft templates</w:t>
      </w:r>
    </w:p>
    <w:p>
      <w:pPr>
        <w:spacing w:after="0" w:before="0" w:line="240" w:lineRule="auto"/>
        <w:ind w:left="57"/>
        <w:jc w:val="left"/>
        <w:shd w:val="clear" w:fill="F2F2F2"/>
      </w:pPr>
      <w:r>
        <w:rPr>
          <w:rFonts w:ascii="Consolas" w:hAnsi="Consolas" w:cs="Consolas"/>
          <w:b w:val="0"/>
          <w:i w:val="0"/>
          <w:sz w:val="15"/>
        </w:rPr>
        <w:t>CREATE TABLE IF NOT EXISTS draft_templates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tenant_id UUID NOT NULL REFERENCES tenants(id) ON DELETE CASCADE,</w:t>
      </w:r>
    </w:p>
    <w:p>
      <w:pPr>
        <w:spacing w:after="0" w:before="0" w:line="240" w:lineRule="auto"/>
        <w:ind w:left="57"/>
        <w:jc w:val="left"/>
        <w:shd w:val="clear" w:fill="F2F2F2"/>
      </w:pPr>
      <w:r>
        <w:rPr>
          <w:rFonts w:ascii="Consolas" w:hAnsi="Consolas" w:cs="Consolas"/>
          <w:b w:val="0"/>
          <w:i w:val="0"/>
          <w:sz w:val="15"/>
        </w:rPr>
        <w:t>template_name TEXT NOT NULL,</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template_data JSONB NOT NULL,</w:t>
      </w:r>
    </w:p>
    <w:p>
      <w:pPr>
        <w:spacing w:after="0" w:before="0" w:line="240" w:lineRule="auto"/>
        <w:ind w:left="57"/>
        <w:jc w:val="left"/>
        <w:shd w:val="clear" w:fill="F2F2F2"/>
      </w:pPr>
      <w:r>
        <w:rPr>
          <w:rFonts w:ascii="Consolas" w:hAnsi="Consolas" w:cs="Consolas"/>
          <w:b w:val="0"/>
          <w:i w:val="0"/>
          <w:sz w:val="15"/>
        </w:rPr>
        <w:t>usage_count INTEGER DEFAULT 0,</w:t>
      </w:r>
    </w:p>
    <w:p>
      <w:pPr>
        <w:spacing w:after="0" w:before="0" w:line="240" w:lineRule="auto"/>
        <w:ind w:left="57"/>
        <w:jc w:val="left"/>
        <w:shd w:val="clear" w:fill="F2F2F2"/>
      </w:pPr>
      <w:r>
        <w:rPr>
          <w:rFonts w:ascii="Consolas" w:hAnsi="Consolas" w:cs="Consolas"/>
          <w:b w:val="0"/>
          <w:i w:val="0"/>
          <w:sz w:val="15"/>
        </w:rPr>
        <w:t>is_default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UNIQUE(tenant_id, template_name)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Governor decisions (extended)</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ADD COLUMN IF NOT EXISTS trade_request_id UUID</w:t>
      </w:r>
    </w:p>
    <w:p>
      <w:pPr>
        <w:spacing w:after="0" w:before="0" w:line="240" w:lineRule="auto"/>
        <w:ind w:left="57"/>
        <w:jc w:val="left"/>
        <w:shd w:val="clear" w:fill="F2F2F2"/>
      </w:pPr>
      <w:r>
        <w:rPr>
          <w:rFonts w:ascii="Consolas" w:hAnsi="Consolas" w:cs="Consolas"/>
          <w:b w:val="0"/>
          <w:i w:val="0"/>
          <w:sz w:val="15"/>
        </w:rPr>
        <w:t>REFERENCES trade_requests(id) ON DELETE SET NULL;</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ADD COLUMN IF NOT EXISTS decision_type TEXT;</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ADD COLUMN IF NOT EXISTS actor_employee_id UUID</w:t>
      </w:r>
    </w:p>
    <w:p>
      <w:pPr>
        <w:spacing w:after="0" w:before="0" w:line="240" w:lineRule="auto"/>
        <w:ind w:left="57"/>
        <w:jc w:val="left"/>
        <w:shd w:val="clear" w:fill="F2F2F2"/>
      </w:pPr>
      <w:r>
        <w:rPr>
          <w:rFonts w:ascii="Consolas" w:hAnsi="Consolas" w:cs="Consolas"/>
          <w:b w:val="0"/>
          <w:i w:val="0"/>
          <w:sz w:val="15"/>
        </w:rPr>
        <w:t>REFERENCES employees(id) ON DELETE SET NULL;</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ADD COLUMN IF NOT EXISTS conditions JSONB;</w:t>
      </w:r>
    </w:p>
    <w:p>
      <w:pPr>
        <w:spacing w:after="0" w:before="0" w:line="240" w:lineRule="auto"/>
        <w:ind w:left="57"/>
        <w:jc w:val="left"/>
        <w:shd w:val="clear" w:fill="F2F2F2"/>
      </w:pPr>
      <w:r>
        <w:rPr>
          <w:rFonts w:ascii="Consolas" w:hAnsi="Consolas" w:cs="Consolas"/>
          <w:b w:val="0"/>
          <w:i w:val="0"/>
          <w:sz w:val="15"/>
        </w:rPr>
        <w:t>ALTER TABLE governor_decisions</w:t>
      </w:r>
    </w:p>
    <w:p>
      <w:pPr>
        <w:spacing w:after="0" w:before="0" w:line="240" w:lineRule="auto"/>
        <w:ind w:left="57"/>
        <w:jc w:val="left"/>
        <w:shd w:val="clear" w:fill="F2F2F2"/>
      </w:pPr>
      <w:r>
        <w:rPr>
          <w:rFonts w:ascii="Consolas" w:hAnsi="Consolas" w:cs="Consolas"/>
          <w:b w:val="0"/>
          <w:i w:val="0"/>
          <w:sz w:val="15"/>
        </w:rPr>
        <w:t>ADD COLUMN IF NOT EXISTS escalation_hint TEXT;</w:t>
      </w:r>
    </w:p>
    <w:p>
      <w:pPr>
        <w:spacing w:after="0" w:before="0" w:line="240" w:lineRule="auto"/>
        <w:ind w:left="57"/>
        <w:jc w:val="left"/>
        <w:shd w:val="clear" w:fill="F2F2F2"/>
      </w:pPr>
      <w:r>
        <w:rPr>
          <w:rFonts w:ascii="Consolas" w:hAnsi="Consolas" w:cs="Consolas"/>
          <w:b w:val="0"/>
          <w:i w:val="0"/>
          <w:sz w:val="15"/>
        </w:rPr>
        <w:t>-- Submission logs</w:t>
      </w:r>
    </w:p>
    <w:p>
      <w:pPr>
        <w:spacing w:after="0" w:before="0" w:line="240" w:lineRule="auto"/>
        <w:ind w:left="57"/>
        <w:jc w:val="left"/>
        <w:shd w:val="clear" w:fill="F2F2F2"/>
      </w:pPr>
      <w:r>
        <w:rPr>
          <w:rFonts w:ascii="Consolas" w:hAnsi="Consolas" w:cs="Consolas"/>
          <w:b w:val="0"/>
          <w:i w:val="0"/>
          <w:sz w:val="15"/>
        </w:rPr>
        <w:t>CREATE TABLE IF NOT EXISTS submission_logs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submitted_by UUID REFERENCES employees(id) ON DELETE SET NULL,</w:t>
      </w:r>
    </w:p>
    <w:p>
      <w:pPr>
        <w:spacing w:after="0" w:before="0" w:line="240" w:lineRule="auto"/>
        <w:ind w:left="57"/>
        <w:jc w:val="left"/>
        <w:shd w:val="clear" w:fill="F2F2F2"/>
      </w:pPr>
      <w:r>
        <w:rPr>
          <w:rFonts w:ascii="Consolas" w:hAnsi="Consolas" w:cs="Consolas"/>
          <w:b w:val="0"/>
          <w:i w:val="0"/>
          <w:sz w:val="15"/>
        </w:rPr>
        <w:t>submitted_at TIMESTAMPTZ DEFAULT NOW(),</w:t>
      </w:r>
    </w:p>
    <w:p>
      <w:pPr>
        <w:spacing w:after="0" w:before="0" w:line="240" w:lineRule="auto"/>
        <w:ind w:left="57"/>
        <w:jc w:val="left"/>
        <w:shd w:val="clear" w:fill="F2F2F2"/>
      </w:pPr>
      <w:r>
        <w:rPr>
          <w:rFonts w:ascii="Consolas" w:hAnsi="Consolas" w:cs="Consolas"/>
          <w:b w:val="0"/>
          <w:i w:val="0"/>
          <w:sz w:val="15"/>
        </w:rPr>
        <w:t>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verdict TEXT NOT NULL,</w:t>
      </w:r>
    </w:p>
    <w:p>
      <w:pPr>
        <w:spacing w:after="0" w:before="0" w:line="240" w:lineRule="auto"/>
        <w:ind w:left="57"/>
        <w:jc w:val="left"/>
        <w:shd w:val="clear" w:fill="F2F2F2"/>
      </w:pPr>
      <w:r>
        <w:rPr>
          <w:rFonts w:ascii="Consolas" w:hAnsi="Consolas" w:cs="Consolas"/>
          <w:b w:val="0"/>
          <w:i w:val="0"/>
          <w:sz w:val="15"/>
        </w:rPr>
        <w:t>conditions_resolved BOOLEAN DEFAULT false,</w:t>
      </w:r>
    </w:p>
    <w:p>
      <w:pPr>
        <w:spacing w:after="0" w:before="0" w:line="240" w:lineRule="auto"/>
        <w:ind w:left="57"/>
        <w:jc w:val="left"/>
        <w:shd w:val="clear" w:fill="F2F2F2"/>
      </w:pPr>
      <w:r>
        <w:rPr>
          <w:rFonts w:ascii="Consolas" w:hAnsi="Consolas" w:cs="Consolas"/>
          <w:b w:val="0"/>
          <w:i w:val="0"/>
          <w:sz w:val="15"/>
        </w:rPr>
        <w:t>resolved_at TIMESTAMPTZ,</w:t>
      </w:r>
    </w:p>
    <w:p>
      <w:pPr>
        <w:spacing w:after="0" w:before="0" w:line="240" w:lineRule="auto"/>
        <w:ind w:left="57"/>
        <w:jc w:val="left"/>
        <w:shd w:val="clear" w:fill="F2F2F2"/>
      </w:pPr>
      <w:r>
        <w:rPr>
          <w:rFonts w:ascii="Consolas" w:hAnsi="Consolas" w:cs="Consolas"/>
          <w:b w:val="0"/>
          <w:i w:val="0"/>
          <w:sz w:val="15"/>
        </w:rPr>
        <w:t>loom_hash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idx_submission_logs_trade_request ON submission_logs(trade_request_id);</w:t>
      </w:r>
    </w:p>
    <w:p>
      <w:pPr>
        <w:spacing w:after="0" w:before="0" w:line="240" w:lineRule="auto"/>
        <w:ind w:left="57"/>
        <w:jc w:val="left"/>
        <w:shd w:val="clear" w:fill="F2F2F2"/>
      </w:pPr>
      <w:r>
        <w:rPr>
          <w:rFonts w:ascii="Consolas" w:hAnsi="Consolas" w:cs="Consolas"/>
          <w:b w:val="0"/>
          <w:i w:val="0"/>
          <w:sz w:val="15"/>
        </w:rPr>
        <w:t>CREATE INDEX IF NOT EXISTS idx_submission_logs_verdict ON submission_logs(verdict);</w:t>
      </w:r>
    </w:p>
    <w:p>
      <w:pPr>
        <w:spacing w:after="0" w:before="0" w:line="240" w:lineRule="auto"/>
        <w:ind w:left="57"/>
        <w:jc w:val="left"/>
        <w:shd w:val="clear" w:fill="F2F2F2"/>
      </w:pPr>
      <w:r>
        <w:rPr>
          <w:rFonts w:ascii="Consolas" w:hAnsi="Consolas" w:cs="Consolas"/>
          <w:b w:val="0"/>
          <w:i w:val="0"/>
          <w:sz w:val="15"/>
        </w:rPr>
        <w:t>-- Pre-screen validation cache</w:t>
      </w:r>
    </w:p>
    <w:p>
      <w:pPr>
        <w:spacing w:after="0" w:before="0" w:line="240" w:lineRule="auto"/>
        <w:ind w:left="57"/>
        <w:jc w:val="left"/>
        <w:shd w:val="clear" w:fill="F2F2F2"/>
      </w:pPr>
      <w:r>
        <w:rPr>
          <w:rFonts w:ascii="Consolas" w:hAnsi="Consolas" w:cs="Consolas"/>
          <w:b w:val="0"/>
          <w:i w:val="0"/>
          <w:sz w:val="15"/>
        </w:rPr>
        <w:t>CREATE TABLE IF NOT EXISTS prescreen_validation_cache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validation_type TEXT NOT NULL,</w:t>
      </w:r>
    </w:p>
    <w:p>
      <w:pPr>
        <w:spacing w:after="0" w:before="0" w:line="240" w:lineRule="auto"/>
        <w:ind w:left="57"/>
        <w:jc w:val="left"/>
        <w:shd w:val="clear" w:fill="F2F2F2"/>
      </w:pPr>
      <w:r>
        <w:rPr>
          <w:rFonts w:ascii="Consolas" w:hAnsi="Consolas" w:cs="Consolas"/>
          <w:b w:val="0"/>
          <w:i w:val="0"/>
          <w:sz w:val="15"/>
        </w:rPr>
        <w:t>validation_result JSONB NOT NULL,</w:t>
      </w:r>
    </w:p>
    <w:p>
      <w:pPr>
        <w:spacing w:after="0" w:before="0" w:line="240" w:lineRule="auto"/>
        <w:ind w:left="57"/>
        <w:jc w:val="left"/>
        <w:shd w:val="clear" w:fill="F2F2F2"/>
      </w:pPr>
      <w:r>
        <w:rPr>
          <w:rFonts w:ascii="Consolas" w:hAnsi="Consolas" w:cs="Consolas"/>
          <w:b w:val="0"/>
          <w:i w:val="0"/>
          <w:sz w:val="15"/>
        </w:rPr>
        <w:t>validated_at TIMESTAMPTZ DEFAULT NOW(),</w:t>
      </w:r>
    </w:p>
    <w:p>
      <w:pPr>
        <w:spacing w:after="0" w:before="0" w:line="240" w:lineRule="auto"/>
        <w:ind w:left="57"/>
        <w:jc w:val="left"/>
        <w:shd w:val="clear" w:fill="F2F2F2"/>
      </w:pPr>
      <w:r>
        <w:rPr>
          <w:rFonts w:ascii="Consolas" w:hAnsi="Consolas" w:cs="Consolas"/>
          <w:b w:val="0"/>
          <w:i w:val="0"/>
          <w:sz w:val="15"/>
        </w:rPr>
        <w:t>expires_at TIMESTAMPTZ DEFAULT NOW() + INTERVAL '5 minutes'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idx_prescreen_validation_cache_trade ON prescreen_validation_cache(trade_request_id);</w:t>
      </w:r>
    </w:p>
    <w:p>
      <w:pPr>
        <w:spacing w:after="0" w:before="0" w:line="240" w:lineRule="auto"/>
        <w:ind w:left="57"/>
        <w:jc w:val="left"/>
        <w:shd w:val="clear" w:fill="F2F2F2"/>
      </w:pPr>
      <w:r>
        <w:rPr>
          <w:rFonts w:ascii="Consolas" w:hAnsi="Consolas" w:cs="Consolas"/>
          <w:b w:val="0"/>
          <w:i w:val="0"/>
          <w:sz w:val="15"/>
        </w:rPr>
        <w:t>-- Acceptance criteria templates</w:t>
      </w:r>
    </w:p>
    <w:p>
      <w:pPr>
        <w:spacing w:after="0" w:before="0" w:line="240" w:lineRule="auto"/>
        <w:ind w:left="57"/>
        <w:jc w:val="left"/>
        <w:shd w:val="clear" w:fill="F2F2F2"/>
      </w:pPr>
      <w:r>
        <w:rPr>
          <w:rFonts w:ascii="Consolas" w:hAnsi="Consolas" w:cs="Consolas"/>
          <w:b w:val="0"/>
          <w:i w:val="0"/>
          <w:sz w:val="15"/>
        </w:rPr>
        <w:t>CREATE TABLE IF NOT EXISTS acceptance_criteria_templates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parameter TEXT NOT NULL,</w:t>
      </w:r>
    </w:p>
    <w:p>
      <w:pPr>
        <w:spacing w:after="0" w:before="0" w:line="240" w:lineRule="auto"/>
        <w:ind w:left="57"/>
        <w:jc w:val="left"/>
        <w:shd w:val="clear" w:fill="F2F2F2"/>
      </w:pPr>
      <w:r>
        <w:rPr>
          <w:rFonts w:ascii="Consolas" w:hAnsi="Consolas" w:cs="Consolas"/>
          <w:b w:val="0"/>
          <w:i w:val="0"/>
          <w:sz w:val="15"/>
        </w:rPr>
        <w:t>default_limit TEXT NOT NULL,</w:t>
      </w:r>
    </w:p>
    <w:p>
      <w:pPr>
        <w:spacing w:after="0" w:before="0" w:line="240" w:lineRule="auto"/>
        <w:ind w:left="57"/>
        <w:jc w:val="left"/>
        <w:shd w:val="clear" w:fill="F2F2F2"/>
      </w:pPr>
      <w:r>
        <w:rPr>
          <w:rFonts w:ascii="Consolas" w:hAnsi="Consolas" w:cs="Consolas"/>
          <w:b w:val="0"/>
          <w:i w:val="0"/>
          <w:sz w:val="15"/>
        </w:rPr>
        <w:t>default_unit TEXT NOT NULL,</w:t>
      </w:r>
    </w:p>
    <w:p>
      <w:pPr>
        <w:spacing w:after="0" w:before="0" w:line="240" w:lineRule="auto"/>
        <w:ind w:left="57"/>
        <w:jc w:val="left"/>
        <w:shd w:val="clear" w:fill="F2F2F2"/>
      </w:pPr>
      <w:r>
        <w:rPr>
          <w:rFonts w:ascii="Consolas" w:hAnsi="Consolas" w:cs="Consolas"/>
          <w:b w:val="0"/>
          <w:i w:val="0"/>
          <w:sz w:val="15"/>
        </w:rPr>
        <w:t>is_mandatory BOOLEAN DEFAULT true,</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ai_confidence DECIMAL(5,2),</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idx_acceptance_criteria_templates_hs ON acceptance_criteria_templates(hs_code);</w:t>
      </w:r>
    </w:p>
    <w:p>
      <w:pPr>
        <w:spacing w:after="0" w:before="0" w:line="240" w:lineRule="auto"/>
        <w:ind w:left="57"/>
        <w:jc w:val="left"/>
        <w:shd w:val="clear" w:fill="F2F2F2"/>
      </w:pPr>
      <w:r>
        <w:rPr>
          <w:rFonts w:ascii="Consolas" w:hAnsi="Consolas" w:cs="Consolas"/>
          <w:b w:val="0"/>
          <w:i w:val="0"/>
          <w:sz w:val="15"/>
        </w:rPr>
        <w:t>-- Product vectors (for similarity search)</w:t>
      </w:r>
    </w:p>
    <w:p>
      <w:pPr>
        <w:spacing w:after="0" w:before="0" w:line="240" w:lineRule="auto"/>
        <w:ind w:left="57"/>
        <w:jc w:val="left"/>
        <w:shd w:val="clear" w:fill="F2F2F2"/>
      </w:pPr>
      <w:r>
        <w:rPr>
          <w:rFonts w:ascii="Consolas" w:hAnsi="Consolas" w:cs="Consolas"/>
          <w:b w:val="0"/>
          <w:i w:val="0"/>
          <w:sz w:val="15"/>
        </w:rPr>
        <w:t>CREATE TABLE IF NOT EXISTS product_vectors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product_name TEXT NOT NULL,</w:t>
      </w:r>
    </w:p>
    <w:p>
      <w:pPr>
        <w:spacing w:after="0" w:before="0" w:line="240" w:lineRule="auto"/>
        <w:ind w:left="57"/>
        <w:jc w:val="left"/>
        <w:shd w:val="clear" w:fill="F2F2F2"/>
      </w:pPr>
      <w:r>
        <w:rPr>
          <w:rFonts w:ascii="Consolas" w:hAnsi="Consolas" w:cs="Consolas"/>
          <w:b w:val="0"/>
          <w:i w:val="0"/>
          <w:sz w:val="15"/>
        </w:rPr>
        <w:t>synonyms TEXT[],</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embedding vector(384),</w:t>
      </w:r>
    </w:p>
    <w:p>
      <w:pPr>
        <w:spacing w:after="0" w:before="0" w:line="240" w:lineRule="auto"/>
        <w:ind w:left="57"/>
        <w:jc w:val="left"/>
        <w:shd w:val="clear" w:fill="F2F2F2"/>
      </w:pPr>
      <w:r>
        <w:rPr>
          <w:rFonts w:ascii="Consolas" w:hAnsi="Consolas" w:cs="Consolas"/>
          <w:b w:val="0"/>
          <w:i w:val="0"/>
          <w:sz w:val="15"/>
        </w:rPr>
        <w:t>metadata JSONB,</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idx_product_vectors_hs ON product_vectors(hs_code);</w:t>
      </w:r>
    </w:p>
    <w:p>
      <w:pPr>
        <w:spacing w:after="0" w:before="0" w:line="240" w:lineRule="auto"/>
        <w:ind w:left="57"/>
        <w:jc w:val="left"/>
        <w:shd w:val="clear" w:fill="F2F2F2"/>
      </w:pPr>
      <w:r>
        <w:rPr>
          <w:rFonts w:ascii="Consolas" w:hAnsi="Consolas" w:cs="Consolas"/>
          <w:b w:val="0"/>
          <w:i w:val="0"/>
          <w:sz w:val="15"/>
        </w:rPr>
        <w:t>CREATE INDEX IF NOT EXISTS idx_product_vectors_name ON product_vectors(product_name);</w:t>
      </w:r>
    </w:p>
    <w:p>
      <w:pPr>
        <w:spacing w:after="0" w:before="0" w:line="240" w:lineRule="auto"/>
        <w:ind w:left="57"/>
        <w:jc w:val="left"/>
        <w:shd w:val="clear" w:fill="F2F2F2"/>
      </w:pPr>
      <w:r>
        <w:rPr>
          <w:rFonts w:ascii="Consolas" w:hAnsi="Consolas" w:cs="Consolas"/>
          <w:b w:val="0"/>
          <w:i w:val="0"/>
          <w:sz w:val="15"/>
        </w:rPr>
        <w:t>CREATE INDEX IF NOT EXISTS idx_product_vectors_embedding ON product_vectors USING ivfflat (embedding vector_cosine_ops) WITH (lists = 100);</w:t>
      </w:r>
    </w:p>
    <w:p>
      <w:pPr>
        <w:spacing w:after="0" w:before="0" w:line="240" w:lineRule="auto"/>
        <w:ind w:left="57"/>
        <w:jc w:val="left"/>
        <w:shd w:val="clear" w:fill="F2F2F2"/>
      </w:pPr>
      <w:r>
        <w:rPr>
          <w:rFonts w:ascii="Consolas" w:hAnsi="Consolas" w:cs="Consolas"/>
          <w:b w:val="0"/>
          <w:i w:val="0"/>
          <w:sz w:val="15"/>
        </w:rPr>
        <w:t>-- Commodity dynamic schemas cache</w:t>
      </w:r>
    </w:p>
    <w:p>
      <w:pPr>
        <w:spacing w:after="0" w:before="0" w:line="240" w:lineRule="auto"/>
        <w:ind w:left="57"/>
        <w:jc w:val="left"/>
        <w:shd w:val="clear" w:fill="F2F2F2"/>
      </w:pPr>
      <w:r>
        <w:rPr>
          <w:rFonts w:ascii="Consolas" w:hAnsi="Consolas" w:cs="Consolas"/>
          <w:b w:val="0"/>
          <w:i w:val="0"/>
          <w:sz w:val="15"/>
        </w:rPr>
        <w:t>CREATE TABLE IF NOT EXISTS commodity_dynamic_schemas_cache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origin_country CHAR(2) NOT NULL,</w:t>
      </w:r>
    </w:p>
    <w:p>
      <w:pPr>
        <w:spacing w:after="0" w:before="0" w:line="240" w:lineRule="auto"/>
        <w:ind w:left="57"/>
        <w:jc w:val="left"/>
        <w:shd w:val="clear" w:fill="F2F2F2"/>
      </w:pPr>
      <w:r>
        <w:rPr>
          <w:rFonts w:ascii="Consolas" w:hAnsi="Consolas" w:cs="Consolas"/>
          <w:b w:val="0"/>
          <w:i w:val="0"/>
          <w:sz w:val="15"/>
        </w:rPr>
        <w:t>destination_country CHAR(2) NOT NULL,</w:t>
      </w:r>
    </w:p>
    <w:p>
      <w:pPr>
        <w:spacing w:after="0" w:before="0" w:line="240" w:lineRule="auto"/>
        <w:ind w:left="57"/>
        <w:jc w:val="left"/>
        <w:shd w:val="clear" w:fill="F2F2F2"/>
      </w:pPr>
      <w:r>
        <w:rPr>
          <w:rFonts w:ascii="Consolas" w:hAnsi="Consolas" w:cs="Consolas"/>
          <w:b w:val="0"/>
          <w:i w:val="0"/>
          <w:sz w:val="15"/>
        </w:rPr>
        <w:t>port_code TEXT,</w:t>
      </w:r>
    </w:p>
    <w:p>
      <w:pPr>
        <w:spacing w:after="0" w:before="0" w:line="240" w:lineRule="auto"/>
        <w:ind w:left="57"/>
        <w:jc w:val="left"/>
        <w:shd w:val="clear" w:fill="F2F2F2"/>
      </w:pPr>
      <w:r>
        <w:rPr>
          <w:rFonts w:ascii="Consolas" w:hAnsi="Consolas" w:cs="Consolas"/>
          <w:b w:val="0"/>
          <w:i w:val="0"/>
          <w:sz w:val="15"/>
        </w:rPr>
        <w:t>schema_json JSONB NOT NULL,</w:t>
      </w:r>
    </w:p>
    <w:p>
      <w:pPr>
        <w:spacing w:after="0" w:before="0" w:line="240" w:lineRule="auto"/>
        <w:ind w:left="57"/>
        <w:jc w:val="left"/>
        <w:shd w:val="clear" w:fill="F2F2F2"/>
      </w:pPr>
      <w:r>
        <w:rPr>
          <w:rFonts w:ascii="Consolas" w:hAnsi="Consolas" w:cs="Consolas"/>
          <w:b w:val="0"/>
          <w:i w:val="0"/>
          <w:sz w:val="15"/>
        </w:rPr>
        <w:t>generated_at TIMESTAMPTZ DEFAULT NOW(),</w:t>
      </w:r>
    </w:p>
    <w:p>
      <w:pPr>
        <w:spacing w:after="0" w:before="0" w:line="240" w:lineRule="auto"/>
        <w:ind w:left="57"/>
        <w:jc w:val="left"/>
        <w:shd w:val="clear" w:fill="F2F2F2"/>
      </w:pPr>
      <w:r>
        <w:rPr>
          <w:rFonts w:ascii="Consolas" w:hAnsi="Consolas" w:cs="Consolas"/>
          <w:b w:val="0"/>
          <w:i w:val="0"/>
          <w:sz w:val="15"/>
        </w:rPr>
        <w:t>expires_at TIMESTAMPTZ DEFAULT NOW() + INTERVAL '7 days',</w:t>
      </w:r>
    </w:p>
    <w:p>
      <w:pPr>
        <w:spacing w:after="0" w:before="0" w:line="240" w:lineRule="auto"/>
        <w:ind w:left="57"/>
        <w:jc w:val="left"/>
        <w:shd w:val="clear" w:fill="F2F2F2"/>
      </w:pPr>
      <w:r>
        <w:rPr>
          <w:rFonts w:ascii="Consolas" w:hAnsi="Consolas" w:cs="Consolas"/>
          <w:b w:val="0"/>
          <w:i w:val="0"/>
          <w:sz w:val="15"/>
        </w:rPr>
        <w:t>product_form_agent_version TEXT,</w:t>
      </w:r>
    </w:p>
    <w:p>
      <w:pPr>
        <w:spacing w:after="0" w:before="0" w:line="240" w:lineRule="auto"/>
        <w:ind w:left="57"/>
        <w:jc w:val="left"/>
        <w:shd w:val="clear" w:fill="F2F2F2"/>
      </w:pPr>
      <w:r>
        <w:rPr>
          <w:rFonts w:ascii="Consolas" w:hAnsi="Consolas" w:cs="Consolas"/>
          <w:b w:val="0"/>
          <w:i w:val="0"/>
          <w:sz w:val="15"/>
        </w:rPr>
        <w:t>ai_confidence DECIMAL(5,2),</w:t>
      </w:r>
    </w:p>
    <w:p>
      <w:pPr>
        <w:spacing w:after="0" w:before="0" w:line="240" w:lineRule="auto"/>
        <w:ind w:left="57"/>
        <w:jc w:val="left"/>
        <w:shd w:val="clear" w:fill="F2F2F2"/>
      </w:pPr>
      <w:r>
        <w:rPr>
          <w:rFonts w:ascii="Consolas" w:hAnsi="Consolas" w:cs="Consolas"/>
          <w:b w:val="0"/>
          <w:i w:val="0"/>
          <w:sz w:val="15"/>
        </w:rPr>
        <w:t>fallback_used BOOLEAN DEFAULT false,</w:t>
      </w:r>
    </w:p>
    <w:p>
      <w:pPr>
        <w:spacing w:after="0" w:before="0" w:line="240" w:lineRule="auto"/>
        <w:ind w:left="57"/>
        <w:jc w:val="left"/>
        <w:shd w:val="clear" w:fill="F2F2F2"/>
      </w:pPr>
      <w:r>
        <w:rPr>
          <w:rFonts w:ascii="Consolas" w:hAnsi="Consolas" w:cs="Consolas"/>
          <w:b w:val="0"/>
          <w:i w:val="0"/>
          <w:sz w:val="15"/>
        </w:rPr>
        <w:t>UNIQUE(hs_code, origin_country, destination_country, port_code)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idx_commodity_dynamic_schemas_cache_hs ON commodity_dynamic_schemas_cache(hs_code, origin_country, destination_country);</w:t>
      </w:r>
    </w:p>
    <w:p>
      <w:pPr>
        <w:spacing w:after="0" w:before="0" w:line="240" w:lineRule="auto"/>
        <w:ind w:left="57"/>
        <w:jc w:val="left"/>
        <w:shd w:val="clear" w:fill="F2F2F2"/>
      </w:pPr>
      <w:r>
        <w:rPr>
          <w:rFonts w:ascii="Consolas" w:hAnsi="Consolas" w:cs="Consolas"/>
          <w:b w:val="0"/>
          <w:i w:val="0"/>
          <w:sz w:val="15"/>
        </w:rPr>
        <w:t>CREATE INDEX IF NOT EXISTS idx_commodity_dynamic_schemas_cache_expiry ON commodity_dynamic_schemas_cache(expires_at);</w:t>
      </w:r>
    </w:p>
    <w:p>
      <w:pPr>
        <w:spacing w:after="0" w:before="0" w:line="240" w:lineRule="auto"/>
        <w:ind w:left="57"/>
        <w:jc w:val="left"/>
        <w:shd w:val="clear" w:fill="F2F2F2"/>
      </w:pPr>
      <w:r>
        <w:rPr>
          <w:rFonts w:ascii="Consolas" w:hAnsi="Consolas" w:cs="Consolas"/>
          <w:b w:val="0"/>
          <w:i w:val="0"/>
          <w:sz w:val="15"/>
        </w:rPr>
        <w:t>-- Express Mode parsing logs</w:t>
      </w:r>
    </w:p>
    <w:p>
      <w:pPr>
        <w:spacing w:after="0" w:before="0" w:line="240" w:lineRule="auto"/>
        <w:ind w:left="57"/>
        <w:jc w:val="left"/>
        <w:shd w:val="clear" w:fill="F2F2F2"/>
      </w:pPr>
      <w:r>
        <w:rPr>
          <w:rFonts w:ascii="Consolas" w:hAnsi="Consolas" w:cs="Consolas"/>
          <w:b w:val="0"/>
          <w:i w:val="0"/>
          <w:sz w:val="15"/>
        </w:rPr>
        <w:t>CREATE TABLE IF NOT EXISTS express_mode_logs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REFERENCES trade_requests(id) ON DELETE CASCADE,</w:t>
      </w:r>
    </w:p>
    <w:p>
      <w:pPr>
        <w:spacing w:after="0" w:before="0" w:line="240" w:lineRule="auto"/>
        <w:ind w:left="57"/>
        <w:jc w:val="left"/>
        <w:shd w:val="clear" w:fill="F2F2F2"/>
      </w:pPr>
      <w:r>
        <w:rPr>
          <w:rFonts w:ascii="Consolas" w:hAnsi="Consolas" w:cs="Consolas"/>
          <w:b w:val="0"/>
          <w:i w:val="0"/>
          <w:sz w:val="15"/>
        </w:rPr>
        <w:t>raw_text TEXT NOT NULL,</w:t>
      </w:r>
    </w:p>
    <w:p>
      <w:pPr>
        <w:spacing w:after="0" w:before="0" w:line="240" w:lineRule="auto"/>
        <w:ind w:left="57"/>
        <w:jc w:val="left"/>
        <w:shd w:val="clear" w:fill="F2F2F2"/>
      </w:pPr>
      <w:r>
        <w:rPr>
          <w:rFonts w:ascii="Consolas" w:hAnsi="Consolas" w:cs="Consolas"/>
          <w:b w:val="0"/>
          <w:i w:val="0"/>
          <w:sz w:val="15"/>
        </w:rPr>
        <w:t>parsed_json JSONB,</w:t>
      </w:r>
    </w:p>
    <w:p>
      <w:pPr>
        <w:spacing w:after="0" w:before="0" w:line="240" w:lineRule="auto"/>
        <w:ind w:left="57"/>
        <w:jc w:val="left"/>
        <w:shd w:val="clear" w:fill="F2F2F2"/>
      </w:pPr>
      <w:r>
        <w:rPr>
          <w:rFonts w:ascii="Consolas" w:hAnsi="Consolas" w:cs="Consolas"/>
          <w:b w:val="0"/>
          <w:i w:val="0"/>
          <w:sz w:val="15"/>
        </w:rPr>
        <w:t>confidence DECIMAL(5,2),</w:t>
      </w:r>
    </w:p>
    <w:p>
      <w:pPr>
        <w:spacing w:after="0" w:before="0" w:line="240" w:lineRule="auto"/>
        <w:ind w:left="57"/>
        <w:jc w:val="left"/>
        <w:shd w:val="clear" w:fill="F2F2F2"/>
      </w:pPr>
      <w:r>
        <w:rPr>
          <w:rFonts w:ascii="Consolas" w:hAnsi="Consolas" w:cs="Consolas"/>
          <w:b w:val="0"/>
          <w:i w:val="0"/>
          <w:sz w:val="15"/>
        </w:rPr>
        <w:t>missing_fields TEXT[],</w:t>
      </w:r>
    </w:p>
    <w:p>
      <w:pPr>
        <w:spacing w:after="0" w:before="0" w:line="240" w:lineRule="auto"/>
        <w:ind w:left="57"/>
        <w:jc w:val="left"/>
        <w:shd w:val="clear" w:fill="F2F2F2"/>
      </w:pPr>
      <w:r>
        <w:rPr>
          <w:rFonts w:ascii="Consolas" w:hAnsi="Consolas" w:cs="Consolas"/>
          <w:b w:val="0"/>
          <w:i w:val="0"/>
          <w:sz w:val="15"/>
        </w:rPr>
        <w:t>low_confidence_fields TEXT[],</w:t>
      </w:r>
    </w:p>
    <w:p>
      <w:pPr>
        <w:spacing w:after="0" w:before="0" w:line="240" w:lineRule="auto"/>
        <w:ind w:left="57"/>
        <w:jc w:val="left"/>
        <w:shd w:val="clear" w:fill="F2F2F2"/>
      </w:pPr>
      <w:r>
        <w:rPr>
          <w:rFonts w:ascii="Consolas" w:hAnsi="Consolas" w:cs="Consolas"/>
          <w:b w:val="0"/>
          <w:i w:val="0"/>
          <w:sz w:val="15"/>
        </w:rPr>
        <w:t>user_confirmed BOOLEAN DEFAULT false,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idx_express_mode_logs_request ON express_mode_logs(trade_request_id);</w:t>
      </w:r>
    </w:p>
    <w:p>
      <w:pPr>
        <w:spacing w:after="0" w:before="0" w:line="240" w:lineRule="auto"/>
        <w:ind w:left="57"/>
        <w:jc w:val="left"/>
        <w:shd w:val="clear" w:fill="F2F2F2"/>
      </w:pPr>
      <w:r>
        <w:rPr>
          <w:rFonts w:ascii="Consolas" w:hAnsi="Consolas" w:cs="Consolas"/>
          <w:b w:val="0"/>
          <w:i w:val="0"/>
          <w:sz w:val="15"/>
        </w:rPr>
        <w:t>-- Multi-shipment AI suggestions</w:t>
      </w:r>
    </w:p>
    <w:p>
      <w:pPr>
        <w:spacing w:after="0" w:before="0" w:line="240" w:lineRule="auto"/>
        <w:ind w:left="57"/>
        <w:jc w:val="left"/>
        <w:shd w:val="clear" w:fill="F2F2F2"/>
      </w:pPr>
      <w:r>
        <w:rPr>
          <w:rFonts w:ascii="Consolas" w:hAnsi="Consolas" w:cs="Consolas"/>
          <w:b w:val="0"/>
          <w:i w:val="0"/>
          <w:sz w:val="15"/>
        </w:rPr>
        <w:t>CREATE TABLE IF NOT EXISTS multi_shipment_suggestions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suggested_schedule JSONB NOT NULL,</w:t>
      </w:r>
    </w:p>
    <w:p>
      <w:pPr>
        <w:spacing w:after="0" w:before="0" w:line="240" w:lineRule="auto"/>
        <w:ind w:left="57"/>
        <w:jc w:val="left"/>
        <w:shd w:val="clear" w:fill="F2F2F2"/>
      </w:pPr>
      <w:r>
        <w:rPr>
          <w:rFonts w:ascii="Consolas" w:hAnsi="Consolas" w:cs="Consolas"/>
          <w:b w:val="0"/>
          <w:i w:val="0"/>
          <w:sz w:val="15"/>
        </w:rPr>
        <w:t>confidence DECIMAL(5,2),</w:t>
      </w:r>
    </w:p>
    <w:p>
      <w:pPr>
        <w:spacing w:after="0" w:before="0" w:line="240" w:lineRule="auto"/>
        <w:ind w:left="57"/>
        <w:jc w:val="left"/>
        <w:shd w:val="clear" w:fill="F2F2F2"/>
      </w:pPr>
      <w:r>
        <w:rPr>
          <w:rFonts w:ascii="Consolas" w:hAnsi="Consolas" w:cs="Consolas"/>
          <w:b w:val="0"/>
          <w:i w:val="0"/>
          <w:sz w:val="15"/>
        </w:rPr>
        <w:t>factors JSONB,</w:t>
      </w:r>
    </w:p>
    <w:p>
      <w:pPr>
        <w:spacing w:after="0" w:before="0" w:line="240" w:lineRule="auto"/>
        <w:ind w:left="57"/>
        <w:jc w:val="left"/>
        <w:shd w:val="clear" w:fill="F2F2F2"/>
      </w:pPr>
      <w:r>
        <w:rPr>
          <w:rFonts w:ascii="Consolas" w:hAnsi="Consolas" w:cs="Consolas"/>
          <w:b w:val="0"/>
          <w:i w:val="0"/>
          <w:sz w:val="15"/>
        </w:rPr>
        <w:t>applied BOOLEAN DEFAULT false,</w:t>
      </w:r>
    </w:p>
    <w:p>
      <w:pPr>
        <w:spacing w:after="0" w:before="0" w:line="240" w:lineRule="auto"/>
        <w:ind w:left="57"/>
        <w:jc w:val="left"/>
        <w:shd w:val="clear" w:fill="F2F2F2"/>
      </w:pPr>
      <w:r>
        <w:rPr>
          <w:rFonts w:ascii="Consolas" w:hAnsi="Consolas" w:cs="Consolas"/>
          <w:b w:val="0"/>
          <w:i w:val="0"/>
          <w:sz w:val="15"/>
        </w:rPr>
        <w:t>generated_at TIMESTAMPTZ DEFAULT NOW(),</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RIA-maintained: Commodity packing defaults</w:t>
      </w:r>
    </w:p>
    <w:p>
      <w:pPr>
        <w:spacing w:after="0" w:before="0" w:line="240" w:lineRule="auto"/>
        <w:ind w:left="57"/>
        <w:jc w:val="left"/>
        <w:shd w:val="clear" w:fill="F2F2F2"/>
      </w:pPr>
      <w:r>
        <w:rPr>
          <w:rFonts w:ascii="Consolas" w:hAnsi="Consolas" w:cs="Consolas"/>
          <w:b w:val="0"/>
          <w:i w:val="0"/>
          <w:sz w:val="15"/>
        </w:rPr>
        <w:t>CREATE TABLE IF NOT EXISTS commodity_packing_defaults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commodity_type TEXT NOT NULL,</w:t>
      </w:r>
    </w:p>
    <w:p>
      <w:pPr>
        <w:spacing w:after="0" w:before="0" w:line="240" w:lineRule="auto"/>
        <w:ind w:left="57"/>
        <w:jc w:val="left"/>
        <w:shd w:val="clear" w:fill="F2F2F2"/>
      </w:pPr>
      <w:r>
        <w:rPr>
          <w:rFonts w:ascii="Consolas" w:hAnsi="Consolas" w:cs="Consolas"/>
          <w:b w:val="0"/>
          <w:i w:val="0"/>
          <w:sz w:val="15"/>
        </w:rPr>
        <w:t>default_pallet_type TEXT DEFAULT 'EUR',</w:t>
      </w:r>
    </w:p>
    <w:p>
      <w:pPr>
        <w:spacing w:after="0" w:before="0" w:line="240" w:lineRule="auto"/>
        <w:ind w:left="57"/>
        <w:jc w:val="left"/>
        <w:shd w:val="clear" w:fill="F2F2F2"/>
      </w:pPr>
      <w:r>
        <w:rPr>
          <w:rFonts w:ascii="Consolas" w:hAnsi="Consolas" w:cs="Consolas"/>
          <w:b w:val="0"/>
          <w:i w:val="0"/>
          <w:sz w:val="15"/>
        </w:rPr>
        <w:t>default_cartons_per_pallet INTEGER DEFAULT 40,</w:t>
      </w:r>
    </w:p>
    <w:p>
      <w:pPr>
        <w:spacing w:after="0" w:before="0" w:line="240" w:lineRule="auto"/>
        <w:ind w:left="57"/>
        <w:jc w:val="left"/>
        <w:shd w:val="clear" w:fill="F2F2F2"/>
      </w:pPr>
      <w:r>
        <w:rPr>
          <w:rFonts w:ascii="Consolas" w:hAnsi="Consolas" w:cs="Consolas"/>
          <w:b w:val="0"/>
          <w:i w:val="0"/>
          <w:sz w:val="15"/>
        </w:rPr>
        <w:t>default_net_weight_per_carton_kg DECIMAL(10,2) DEFAULT 10,</w:t>
      </w:r>
    </w:p>
    <w:p>
      <w:pPr>
        <w:spacing w:after="0" w:before="0" w:line="240" w:lineRule="auto"/>
        <w:ind w:left="57"/>
        <w:jc w:val="left"/>
        <w:shd w:val="clear" w:fill="F2F2F2"/>
      </w:pPr>
      <w:r>
        <w:rPr>
          <w:rFonts w:ascii="Consolas" w:hAnsi="Consolas" w:cs="Consolas"/>
          <w:b w:val="0"/>
          <w:i w:val="0"/>
          <w:sz w:val="15"/>
        </w:rPr>
        <w:t>default_stacking_layers INTEGER DEFAULT 5,</w:t>
      </w:r>
    </w:p>
    <w:p>
      <w:pPr>
        <w:spacing w:after="0" w:before="0" w:line="240" w:lineRule="auto"/>
        <w:ind w:left="57"/>
        <w:jc w:val="left"/>
        <w:shd w:val="clear" w:fill="F2F2F2"/>
      </w:pPr>
      <w:r>
        <w:rPr>
          <w:rFonts w:ascii="Consolas" w:hAnsi="Consolas" w:cs="Consolas"/>
          <w:b w:val="0"/>
          <w:i w:val="0"/>
          <w:sz w:val="15"/>
        </w:rPr>
        <w:t>max_pallets_per_container_40ft INTEGER DEFAULT 22,</w:t>
      </w:r>
    </w:p>
    <w:p>
      <w:pPr>
        <w:spacing w:after="0" w:before="0" w:line="240" w:lineRule="auto"/>
        <w:ind w:left="57"/>
        <w:jc w:val="left"/>
        <w:shd w:val="clear" w:fill="F2F2F2"/>
      </w:pPr>
      <w:r>
        <w:rPr>
          <w:rFonts w:ascii="Consolas" w:hAnsi="Consolas" w:cs="Consolas"/>
          <w:b w:val="0"/>
          <w:i w:val="0"/>
          <w:sz w:val="15"/>
        </w:rPr>
        <w:t>carton_dimensions_mm JSONB,</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idx_commodity_packing_defaults_hs ON commodity_packing_defaults(hs_code);</w:t>
      </w:r>
    </w:p>
    <w:p>
      <w:pPr>
        <w:spacing w:after="0" w:before="0" w:line="240" w:lineRule="auto"/>
        <w:ind w:left="57"/>
        <w:jc w:val="left"/>
        <w:shd w:val="clear" w:fill="F2F2F2"/>
      </w:pPr>
      <w:r>
        <w:rPr>
          <w:rFonts w:ascii="Consolas" w:hAnsi="Consolas" w:cs="Consolas"/>
          <w:b w:val="0"/>
          <w:i w:val="0"/>
          <w:sz w:val="15"/>
        </w:rPr>
        <w:t>-- RIA-maintained: Treatment requirements</w:t>
      </w:r>
    </w:p>
    <w:p>
      <w:pPr>
        <w:spacing w:after="0" w:before="0" w:line="240" w:lineRule="auto"/>
        <w:ind w:left="57"/>
        <w:jc w:val="left"/>
        <w:shd w:val="clear" w:fill="F2F2F2"/>
      </w:pPr>
      <w:r>
        <w:rPr>
          <w:rFonts w:ascii="Consolas" w:hAnsi="Consolas" w:cs="Consolas"/>
          <w:b w:val="0"/>
          <w:i w:val="0"/>
          <w:sz w:val="15"/>
        </w:rPr>
        <w:t>CREATE TABLE IF NOT EXISTS treatment_requirements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origin_country CHAR(2) NOT NULL,</w:t>
      </w:r>
    </w:p>
    <w:p>
      <w:pPr>
        <w:spacing w:after="0" w:before="0" w:line="240" w:lineRule="auto"/>
        <w:ind w:left="57"/>
        <w:jc w:val="left"/>
        <w:shd w:val="clear" w:fill="F2F2F2"/>
      </w:pPr>
      <w:r>
        <w:rPr>
          <w:rFonts w:ascii="Consolas" w:hAnsi="Consolas" w:cs="Consolas"/>
          <w:b w:val="0"/>
          <w:i w:val="0"/>
          <w:sz w:val="15"/>
        </w:rPr>
        <w:t>destination_country CHAR(2) NOT NULL,</w:t>
      </w:r>
    </w:p>
    <w:p>
      <w:pPr>
        <w:spacing w:after="0" w:before="0" w:line="240" w:lineRule="auto"/>
        <w:ind w:left="57"/>
        <w:jc w:val="left"/>
        <w:shd w:val="clear" w:fill="F2F2F2"/>
      </w:pPr>
      <w:r>
        <w:rPr>
          <w:rFonts w:ascii="Consolas" w:hAnsi="Consolas" w:cs="Consolas"/>
          <w:b w:val="0"/>
          <w:i w:val="0"/>
          <w:sz w:val="15"/>
        </w:rPr>
        <w:t>port_code TEXT,</w:t>
      </w:r>
    </w:p>
    <w:p>
      <w:pPr>
        <w:spacing w:after="0" w:before="0" w:line="240" w:lineRule="auto"/>
        <w:ind w:left="57"/>
        <w:jc w:val="left"/>
        <w:shd w:val="clear" w:fill="F2F2F2"/>
      </w:pPr>
      <w:r>
        <w:rPr>
          <w:rFonts w:ascii="Consolas" w:hAnsi="Consolas" w:cs="Consolas"/>
          <w:b w:val="0"/>
          <w:i w:val="0"/>
          <w:sz w:val="15"/>
        </w:rPr>
        <w:t>treatment_type TEXT NOT NULL,</w:t>
      </w:r>
    </w:p>
    <w:p>
      <w:pPr>
        <w:spacing w:after="0" w:before="0" w:line="240" w:lineRule="auto"/>
        <w:ind w:left="57"/>
        <w:jc w:val="left"/>
        <w:shd w:val="clear" w:fill="F2F2F2"/>
      </w:pPr>
      <w:r>
        <w:rPr>
          <w:rFonts w:ascii="Consolas" w:hAnsi="Consolas" w:cs="Consolas"/>
          <w:b w:val="0"/>
          <w:i w:val="0"/>
          <w:sz w:val="15"/>
        </w:rPr>
        <w:t>temperature_c DECIMAL(5,2),</w:t>
      </w:r>
    </w:p>
    <w:p>
      <w:pPr>
        <w:spacing w:after="0" w:before="0" w:line="240" w:lineRule="auto"/>
        <w:ind w:left="57"/>
        <w:jc w:val="left"/>
        <w:shd w:val="clear" w:fill="F2F2F2"/>
      </w:pPr>
      <w:r>
        <w:rPr>
          <w:rFonts w:ascii="Consolas" w:hAnsi="Consolas" w:cs="Consolas"/>
          <w:b w:val="0"/>
          <w:i w:val="0"/>
          <w:sz w:val="15"/>
        </w:rPr>
        <w:t>duration_days INTEGER,</w:t>
      </w:r>
    </w:p>
    <w:p>
      <w:pPr>
        <w:spacing w:after="0" w:before="0" w:line="240" w:lineRule="auto"/>
        <w:ind w:left="57"/>
        <w:jc w:val="left"/>
        <w:shd w:val="clear" w:fill="F2F2F2"/>
      </w:pPr>
      <w:r>
        <w:rPr>
          <w:rFonts w:ascii="Consolas" w:hAnsi="Consolas" w:cs="Consolas"/>
          <w:b w:val="0"/>
          <w:i w:val="0"/>
          <w:sz w:val="15"/>
        </w:rPr>
        <w:t>certificate_required BOOLEAN DEFAULT true,</w:t>
      </w:r>
    </w:p>
    <w:p>
      <w:pPr>
        <w:spacing w:after="0" w:before="0" w:line="240" w:lineRule="auto"/>
        <w:ind w:left="57"/>
        <w:jc w:val="left"/>
        <w:shd w:val="clear" w:fill="F2F2F2"/>
      </w:pPr>
      <w:r>
        <w:rPr>
          <w:rFonts w:ascii="Consolas" w:hAnsi="Consolas" w:cs="Consolas"/>
          <w:b w:val="0"/>
          <w:i w:val="0"/>
          <w:sz w:val="15"/>
        </w:rPr>
        <w:t>accepted_facilities TEXT[],</w:t>
      </w:r>
    </w:p>
    <w:p>
      <w:pPr>
        <w:spacing w:after="0" w:before="0" w:line="240" w:lineRule="auto"/>
        <w:ind w:left="57"/>
        <w:jc w:val="left"/>
        <w:shd w:val="clear" w:fill="F2F2F2"/>
      </w:pPr>
      <w:r>
        <w:rPr>
          <w:rFonts w:ascii="Consolas" w:hAnsi="Consolas" w:cs="Consolas"/>
          <w:b w:val="0"/>
          <w:i w:val="0"/>
          <w:sz w:val="15"/>
        </w:rPr>
        <w:t>mandate_effective_date DATE,</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idx_treatment_requirements_hs ON treatment_requirements(hs_code);</w:t>
      </w:r>
    </w:p>
    <w:p>
      <w:pPr>
        <w:spacing w:after="0" w:before="0" w:line="240" w:lineRule="auto"/>
        <w:ind w:left="57"/>
        <w:jc w:val="left"/>
        <w:shd w:val="clear" w:fill="F2F2F2"/>
      </w:pPr>
      <w:r>
        <w:rPr>
          <w:rFonts w:ascii="Consolas" w:hAnsi="Consolas" w:cs="Consolas"/>
          <w:b w:val="0"/>
          <w:i w:val="0"/>
          <w:sz w:val="15"/>
        </w:rPr>
        <w:t>CREATE INDEX IF NOT EXISTS idx_treatment_requirements_origin_dest ON treatment_requirements(origin_country, destination_country);</w:t>
      </w:r>
    </w:p>
    <w:p>
      <w:pPr>
        <w:spacing w:after="0" w:before="0" w:line="240" w:lineRule="auto"/>
        <w:ind w:left="57"/>
        <w:jc w:val="left"/>
        <w:shd w:val="clear" w:fill="F2F2F2"/>
      </w:pPr>
      <w:r>
        <w:rPr>
          <w:rFonts w:ascii="Consolas" w:hAnsi="Consolas" w:cs="Consolas"/>
          <w:b w:val="0"/>
          <w:i w:val="0"/>
          <w:sz w:val="15"/>
        </w:rPr>
        <w:t>-- RIA-maintained: Country MRLs</w:t>
      </w:r>
    </w:p>
    <w:p>
      <w:pPr>
        <w:spacing w:after="0" w:before="0" w:line="240" w:lineRule="auto"/>
        <w:ind w:left="57"/>
        <w:jc w:val="left"/>
        <w:shd w:val="clear" w:fill="F2F2F2"/>
      </w:pPr>
      <w:r>
        <w:rPr>
          <w:rFonts w:ascii="Consolas" w:hAnsi="Consolas" w:cs="Consolas"/>
          <w:b w:val="0"/>
          <w:i w:val="0"/>
          <w:sz w:val="15"/>
        </w:rPr>
        <w:t>CREATE TABLE IF NOT EXISTS country_mrl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hs_code CHAR(6) NOT NULL,</w:t>
      </w:r>
    </w:p>
    <w:p>
      <w:pPr>
        <w:spacing w:after="0" w:before="0" w:line="240" w:lineRule="auto"/>
        <w:ind w:left="57"/>
        <w:jc w:val="left"/>
        <w:shd w:val="clear" w:fill="F2F2F2"/>
      </w:pPr>
      <w:r>
        <w:rPr>
          <w:rFonts w:ascii="Consolas" w:hAnsi="Consolas" w:cs="Consolas"/>
          <w:b w:val="0"/>
          <w:i w:val="0"/>
          <w:sz w:val="15"/>
        </w:rPr>
        <w:t>destination_country CHAR(2) NOT NULL,</w:t>
      </w:r>
    </w:p>
    <w:p>
      <w:pPr>
        <w:spacing w:after="0" w:before="0" w:line="240" w:lineRule="auto"/>
        <w:ind w:left="57"/>
        <w:jc w:val="left"/>
        <w:shd w:val="clear" w:fill="F2F2F2"/>
      </w:pPr>
      <w:r>
        <w:rPr>
          <w:rFonts w:ascii="Consolas" w:hAnsi="Consolas" w:cs="Consolas"/>
          <w:b w:val="0"/>
          <w:i w:val="0"/>
          <w:sz w:val="15"/>
        </w:rPr>
        <w:t>analyte TEXT NOT NULL,</w:t>
      </w:r>
    </w:p>
    <w:p>
      <w:pPr>
        <w:spacing w:after="0" w:before="0" w:line="240" w:lineRule="auto"/>
        <w:ind w:left="57"/>
        <w:jc w:val="left"/>
        <w:shd w:val="clear" w:fill="F2F2F2"/>
      </w:pPr>
      <w:r>
        <w:rPr>
          <w:rFonts w:ascii="Consolas" w:hAnsi="Consolas" w:cs="Consolas"/>
          <w:b w:val="0"/>
          <w:i w:val="0"/>
          <w:sz w:val="15"/>
        </w:rPr>
        <w:t>mrl_mg_per_kg DECIMAL(10,4),</w:t>
      </w:r>
    </w:p>
    <w:p>
      <w:pPr>
        <w:spacing w:after="0" w:before="0" w:line="240" w:lineRule="auto"/>
        <w:ind w:left="57"/>
        <w:jc w:val="left"/>
        <w:shd w:val="clear" w:fill="F2F2F2"/>
      </w:pPr>
      <w:r>
        <w:rPr>
          <w:rFonts w:ascii="Consolas" w:hAnsi="Consolas" w:cs="Consolas"/>
          <w:b w:val="0"/>
          <w:i w:val="0"/>
          <w:sz w:val="15"/>
        </w:rPr>
        <w:t>unit TEXT DEFAULT 'mg/kg',</w:t>
      </w:r>
    </w:p>
    <w:p>
      <w:pPr>
        <w:spacing w:after="0" w:before="0" w:line="240" w:lineRule="auto"/>
        <w:ind w:left="57"/>
        <w:jc w:val="left"/>
        <w:shd w:val="clear" w:fill="F2F2F2"/>
      </w:pPr>
      <w:r>
        <w:rPr>
          <w:rFonts w:ascii="Consolas" w:hAnsi="Consolas" w:cs="Consolas"/>
          <w:b w:val="0"/>
          <w:i w:val="0"/>
          <w:sz w:val="15"/>
        </w:rPr>
        <w:t>limit_operator TEXT DEFAULT '&lt;=',</w:t>
      </w:r>
    </w:p>
    <w:p>
      <w:pPr>
        <w:spacing w:after="0" w:before="0" w:line="240" w:lineRule="auto"/>
        <w:ind w:left="57"/>
        <w:jc w:val="left"/>
        <w:shd w:val="clear" w:fill="F2F2F2"/>
      </w:pPr>
      <w:r>
        <w:rPr>
          <w:rFonts w:ascii="Consolas" w:hAnsi="Consolas" w:cs="Consolas"/>
          <w:b w:val="0"/>
          <w:i w:val="0"/>
          <w:sz w:val="15"/>
        </w:rPr>
        <w:t>source_regulation TEXT,</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idx_country_mrl_hs_dest ON country_mrl(hs_code, destination_country);</w:t>
      </w:r>
    </w:p>
    <w:p>
      <w:pPr>
        <w:spacing w:after="0" w:before="0" w:line="240" w:lineRule="auto"/>
        <w:ind w:left="57"/>
        <w:jc w:val="left"/>
        <w:shd w:val="clear" w:fill="F2F2F2"/>
      </w:pPr>
      <w:r>
        <w:rPr>
          <w:rFonts w:ascii="Consolas" w:hAnsi="Consolas" w:cs="Consolas"/>
          <w:b w:val="0"/>
          <w:i w:val="0"/>
          <w:sz w:val="15"/>
        </w:rPr>
        <w:t>-- RIA-maintained: Port special rules</w:t>
      </w:r>
    </w:p>
    <w:p>
      <w:pPr>
        <w:spacing w:after="0" w:before="0" w:line="240" w:lineRule="auto"/>
        <w:ind w:left="57"/>
        <w:jc w:val="left"/>
        <w:shd w:val="clear" w:fill="F2F2F2"/>
      </w:pPr>
      <w:r>
        <w:rPr>
          <w:rFonts w:ascii="Consolas" w:hAnsi="Consolas" w:cs="Consolas"/>
          <w:b w:val="0"/>
          <w:i w:val="0"/>
          <w:sz w:val="15"/>
        </w:rPr>
        <w:t>CREATE TABLE IF NOT EXISTS port_special_rules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port_code TEXT NOT NULL REFERENCES ports(unlocode) ON DELETE CASCADE,</w:t>
      </w:r>
    </w:p>
    <w:p>
      <w:pPr>
        <w:spacing w:after="0" w:before="0" w:line="240" w:lineRule="auto"/>
        <w:ind w:left="57"/>
        <w:jc w:val="left"/>
        <w:shd w:val="clear" w:fill="F2F2F2"/>
      </w:pPr>
      <w:r>
        <w:rPr>
          <w:rFonts w:ascii="Consolas" w:hAnsi="Consolas" w:cs="Consolas"/>
          <w:b w:val="0"/>
          <w:i w:val="0"/>
          <w:sz w:val="15"/>
        </w:rPr>
        <w:t>rule_type TEXT NOT NULL,</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mandatory BOOLEAN DEFAULT true,</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RIA-maintained: Regulatory vectors</w:t>
      </w:r>
    </w:p>
    <w:p>
      <w:pPr>
        <w:spacing w:after="0" w:before="0" w:line="240" w:lineRule="auto"/>
        <w:ind w:left="57"/>
        <w:jc w:val="left"/>
        <w:shd w:val="clear" w:fill="F2F2F2"/>
      </w:pPr>
      <w:r>
        <w:rPr>
          <w:rFonts w:ascii="Consolas" w:hAnsi="Consolas" w:cs="Consolas"/>
          <w:b w:val="0"/>
          <w:i w:val="0"/>
          <w:sz w:val="15"/>
        </w:rPr>
        <w:t>CREATE TABLE IF NOT EXISTS regulation_vectors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source TEXT NOT NULL,</w:t>
      </w:r>
    </w:p>
    <w:p>
      <w:pPr>
        <w:spacing w:after="0" w:before="0" w:line="240" w:lineRule="auto"/>
        <w:ind w:left="57"/>
        <w:jc w:val="left"/>
        <w:shd w:val="clear" w:fill="F2F2F2"/>
      </w:pPr>
      <w:r>
        <w:rPr>
          <w:rFonts w:ascii="Consolas" w:hAnsi="Consolas" w:cs="Consolas"/>
          <w:b w:val="0"/>
          <w:i w:val="0"/>
          <w:sz w:val="15"/>
        </w:rPr>
        <w:t>document_type TEXT NOT NULL,</w:t>
      </w:r>
    </w:p>
    <w:p>
      <w:pPr>
        <w:spacing w:after="0" w:before="0" w:line="240" w:lineRule="auto"/>
        <w:ind w:left="57"/>
        <w:jc w:val="left"/>
        <w:shd w:val="clear" w:fill="F2F2F2"/>
      </w:pPr>
      <w:r>
        <w:rPr>
          <w:rFonts w:ascii="Consolas" w:hAnsi="Consolas" w:cs="Consolas"/>
          <w:b w:val="0"/>
          <w:i w:val="0"/>
          <w:sz w:val="15"/>
        </w:rPr>
        <w:t>content TEXT NOT NULL,</w:t>
      </w:r>
    </w:p>
    <w:p>
      <w:pPr>
        <w:spacing w:after="0" w:before="0" w:line="240" w:lineRule="auto"/>
        <w:ind w:left="57"/>
        <w:jc w:val="left"/>
        <w:shd w:val="clear" w:fill="F2F2F2"/>
      </w:pPr>
      <w:r>
        <w:rPr>
          <w:rFonts w:ascii="Consolas" w:hAnsi="Consolas" w:cs="Consolas"/>
          <w:b w:val="0"/>
          <w:i w:val="0"/>
          <w:sz w:val="15"/>
        </w:rPr>
        <w:t>embedding vector(384),</w:t>
      </w:r>
    </w:p>
    <w:p>
      <w:pPr>
        <w:spacing w:after="0" w:before="0" w:line="240" w:lineRule="auto"/>
        <w:ind w:left="57"/>
        <w:jc w:val="left"/>
        <w:shd w:val="clear" w:fill="F2F2F2"/>
      </w:pPr>
      <w:r>
        <w:rPr>
          <w:rFonts w:ascii="Consolas" w:hAnsi="Consolas" w:cs="Consolas"/>
          <w:b w:val="0"/>
          <w:i w:val="0"/>
          <w:sz w:val="15"/>
        </w:rPr>
        <w:t>metadata JSONB,</w:t>
      </w:r>
    </w:p>
    <w:p>
      <w:pPr>
        <w:spacing w:after="0" w:before="0" w:line="240" w:lineRule="auto"/>
        <w:ind w:left="57"/>
        <w:jc w:val="left"/>
        <w:shd w:val="clear" w:fill="F2F2F2"/>
      </w:pPr>
      <w:r>
        <w:rPr>
          <w:rFonts w:ascii="Consolas" w:hAnsi="Consolas" w:cs="Consolas"/>
          <w:b w:val="0"/>
          <w:i w:val="0"/>
          <w:sz w:val="15"/>
        </w:rPr>
        <w:t>scraped_at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idx_regulation_vectors_embedding ON regulation_vectors USING ivfflat (embedding vector_cosine_ops) WITH (lists = 100);</w:t>
      </w:r>
    </w:p>
    <w:p>
      <w:pPr>
        <w:spacing w:after="0" w:before="0" w:line="240" w:lineRule="auto"/>
        <w:ind w:left="57"/>
        <w:jc w:val="left"/>
        <w:shd w:val="clear" w:fill="F2F2F2"/>
      </w:pPr>
      <w:r>
        <w:rPr>
          <w:rFonts w:ascii="Consolas" w:hAnsi="Consolas" w:cs="Consolas"/>
          <w:b w:val="0"/>
          <w:i w:val="0"/>
          <w:sz w:val="15"/>
        </w:rPr>
        <w:t>-- Criticality rules</w:t>
      </w:r>
    </w:p>
    <w:p>
      <w:pPr>
        <w:spacing w:after="0" w:before="0" w:line="240" w:lineRule="auto"/>
        <w:ind w:left="57"/>
        <w:jc w:val="left"/>
        <w:shd w:val="clear" w:fill="F2F2F2"/>
      </w:pPr>
      <w:r>
        <w:rPr>
          <w:rFonts w:ascii="Consolas" w:hAnsi="Consolas" w:cs="Consolas"/>
          <w:b w:val="0"/>
          <w:i w:val="0"/>
          <w:sz w:val="15"/>
        </w:rPr>
        <w:t>CREATE TABLE IF NOT EXISTS criticality_rules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rule_type TEXT NOT NULL,</w:t>
      </w:r>
    </w:p>
    <w:p>
      <w:pPr>
        <w:spacing w:after="0" w:before="0" w:line="240" w:lineRule="auto"/>
        <w:ind w:left="57"/>
        <w:jc w:val="left"/>
        <w:shd w:val="clear" w:fill="F2F2F2"/>
      </w:pPr>
      <w:r>
        <w:rPr>
          <w:rFonts w:ascii="Consolas" w:hAnsi="Consolas" w:cs="Consolas"/>
          <w:b w:val="0"/>
          <w:i w:val="0"/>
          <w:sz w:val="15"/>
        </w:rPr>
        <w:t>condition JSONB NOT NULL,</w:t>
      </w:r>
    </w:p>
    <w:p>
      <w:pPr>
        <w:spacing w:after="0" w:before="0" w:line="240" w:lineRule="auto"/>
        <w:ind w:left="57"/>
        <w:jc w:val="left"/>
        <w:shd w:val="clear" w:fill="F2F2F2"/>
      </w:pPr>
      <w:r>
        <w:rPr>
          <w:rFonts w:ascii="Consolas" w:hAnsi="Consolas" w:cs="Consolas"/>
          <w:b w:val="0"/>
          <w:i w:val="0"/>
          <w:sz w:val="15"/>
        </w:rPr>
        <w:t>recommended_criticality criticality_level NOT NULL,</w:t>
      </w:r>
    </w:p>
    <w:p>
      <w:pPr>
        <w:spacing w:after="0" w:before="0" w:line="240" w:lineRule="auto"/>
        <w:ind w:left="57"/>
        <w:jc w:val="left"/>
        <w:shd w:val="clear" w:fill="F2F2F2"/>
      </w:pPr>
      <w:r>
        <w:rPr>
          <w:rFonts w:ascii="Consolas" w:hAnsi="Consolas" w:cs="Consolas"/>
          <w:b w:val="0"/>
          <w:i w:val="0"/>
          <w:sz w:val="15"/>
        </w:rPr>
        <w:t>reason_template TEXT NOT NULL,</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Criticality overrides</w:t>
      </w:r>
    </w:p>
    <w:p>
      <w:pPr>
        <w:spacing w:after="0" w:before="0" w:line="240" w:lineRule="auto"/>
        <w:ind w:left="57"/>
        <w:jc w:val="left"/>
        <w:shd w:val="clear" w:fill="F2F2F2"/>
      </w:pPr>
      <w:r>
        <w:rPr>
          <w:rFonts w:ascii="Consolas" w:hAnsi="Consolas" w:cs="Consolas"/>
          <w:b w:val="0"/>
          <w:i w:val="0"/>
          <w:sz w:val="15"/>
        </w:rPr>
        <w:t>CREATE TABLE IF NOT EXISTS criticality_overrides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original_criticality criticality_level NOT NULL,</w:t>
      </w:r>
    </w:p>
    <w:p>
      <w:pPr>
        <w:spacing w:after="0" w:before="0" w:line="240" w:lineRule="auto"/>
        <w:ind w:left="57"/>
        <w:jc w:val="left"/>
        <w:shd w:val="clear" w:fill="F2F2F2"/>
      </w:pPr>
      <w:r>
        <w:rPr>
          <w:rFonts w:ascii="Consolas" w:hAnsi="Consolas" w:cs="Consolas"/>
          <w:b w:val="0"/>
          <w:i w:val="0"/>
          <w:sz w:val="15"/>
        </w:rPr>
        <w:t>new_criticality criticality_level NOT NULL,</w:t>
      </w:r>
    </w:p>
    <w:p>
      <w:pPr>
        <w:spacing w:after="0" w:before="0" w:line="240" w:lineRule="auto"/>
        <w:ind w:left="57"/>
        <w:jc w:val="left"/>
        <w:shd w:val="clear" w:fill="F2F2F2"/>
      </w:pPr>
      <w:r>
        <w:rPr>
          <w:rFonts w:ascii="Consolas" w:hAnsi="Consolas" w:cs="Consolas"/>
          <w:b w:val="0"/>
          <w:i w:val="0"/>
          <w:sz w:val="15"/>
        </w:rPr>
        <w:t>override_reason TEXT,</w:t>
      </w:r>
    </w:p>
    <w:p>
      <w:pPr>
        <w:spacing w:after="0" w:before="0" w:line="240" w:lineRule="auto"/>
        <w:ind w:left="57"/>
        <w:jc w:val="left"/>
        <w:shd w:val="clear" w:fill="F2F2F2"/>
      </w:pPr>
      <w:r>
        <w:rPr>
          <w:rFonts w:ascii="Consolas" w:hAnsi="Consolas" w:cs="Consolas"/>
          <w:b w:val="0"/>
          <w:i w:val="0"/>
          <w:sz w:val="15"/>
        </w:rPr>
        <w:t>override_by UUID REFERENCES employees(id) ON DELETE SET NULL,</w:t>
      </w:r>
    </w:p>
    <w:p>
      <w:pPr>
        <w:spacing w:after="0" w:before="0" w:line="240" w:lineRule="auto"/>
        <w:ind w:left="57"/>
        <w:jc w:val="left"/>
        <w:shd w:val="clear" w:fill="F2F2F2"/>
      </w:pPr>
      <w:r>
        <w:rPr>
          <w:rFonts w:ascii="Consolas" w:hAnsi="Consolas" w:cs="Consolas"/>
          <w:b w:val="0"/>
          <w:i w:val="0"/>
          <w:sz w:val="15"/>
        </w:rPr>
        <w:t>override_at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Trade Readiness scores</w:t>
      </w:r>
    </w:p>
    <w:p>
      <w:pPr>
        <w:spacing w:after="0" w:before="0" w:line="240" w:lineRule="auto"/>
        <w:ind w:left="57"/>
        <w:jc w:val="left"/>
        <w:shd w:val="clear" w:fill="F2F2F2"/>
      </w:pPr>
      <w:r>
        <w:rPr>
          <w:rFonts w:ascii="Consolas" w:hAnsi="Consolas" w:cs="Consolas"/>
          <w:b w:val="0"/>
          <w:i w:val="0"/>
          <w:sz w:val="15"/>
        </w:rPr>
        <w:t>CREATE TABLE IF NOT EXISTS trade_readiness_scores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trade_request_id UUID NOT NULL REFERENCES trade_requests(id) ON DELETE CASCADE,</w:t>
      </w:r>
    </w:p>
    <w:p>
      <w:pPr>
        <w:spacing w:after="0" w:before="0" w:line="240" w:lineRule="auto"/>
        <w:ind w:left="57"/>
        <w:jc w:val="left"/>
        <w:shd w:val="clear" w:fill="F2F2F2"/>
      </w:pPr>
      <w:r>
        <w:rPr>
          <w:rFonts w:ascii="Consolas" w:hAnsi="Consolas" w:cs="Consolas"/>
          <w:b w:val="0"/>
          <w:i w:val="0"/>
          <w:sz w:val="15"/>
        </w:rPr>
        <w:t>readiness_score INTEGER NOT NULL,</w:t>
      </w:r>
    </w:p>
    <w:p>
      <w:pPr>
        <w:spacing w:after="0" w:before="0" w:line="240" w:lineRule="auto"/>
        <w:ind w:left="57"/>
        <w:jc w:val="left"/>
        <w:shd w:val="clear" w:fill="F2F2F2"/>
      </w:pPr>
      <w:r>
        <w:rPr>
          <w:rFonts w:ascii="Consolas" w:hAnsi="Consolas" w:cs="Consolas"/>
          <w:b w:val="0"/>
          <w:i w:val="0"/>
          <w:sz w:val="15"/>
        </w:rPr>
        <w:t>quality_score DECIMAL(5,2),</w:t>
      </w:r>
    </w:p>
    <w:p>
      <w:pPr>
        <w:spacing w:after="0" w:before="0" w:line="240" w:lineRule="auto"/>
        <w:ind w:left="57"/>
        <w:jc w:val="left"/>
        <w:shd w:val="clear" w:fill="F2F2F2"/>
      </w:pPr>
      <w:r>
        <w:rPr>
          <w:rFonts w:ascii="Consolas" w:hAnsi="Consolas" w:cs="Consolas"/>
          <w:b w:val="0"/>
          <w:i w:val="0"/>
          <w:sz w:val="15"/>
        </w:rPr>
        <w:t>ai_confidence DECIMAL(5,2),</w:t>
      </w:r>
    </w:p>
    <w:p>
      <w:pPr>
        <w:spacing w:after="0" w:before="0" w:line="240" w:lineRule="auto"/>
        <w:ind w:left="57"/>
        <w:jc w:val="left"/>
        <w:shd w:val="clear" w:fill="F2F2F2"/>
      </w:pPr>
      <w:r>
        <w:rPr>
          <w:rFonts w:ascii="Consolas" w:hAnsi="Consolas" w:cs="Consolas"/>
          <w:b w:val="0"/>
          <w:i w:val="0"/>
          <w:sz w:val="15"/>
        </w:rPr>
        <w:t>components JSONB,</w:t>
      </w:r>
    </w:p>
    <w:p>
      <w:pPr>
        <w:spacing w:after="0" w:before="0" w:line="240" w:lineRule="auto"/>
        <w:ind w:left="57"/>
        <w:jc w:val="left"/>
        <w:shd w:val="clear" w:fill="F2F2F2"/>
      </w:pPr>
      <w:r>
        <w:rPr>
          <w:rFonts w:ascii="Consolas" w:hAnsi="Consolas" w:cs="Consolas"/>
          <w:b w:val="0"/>
          <w:i w:val="0"/>
          <w:sz w:val="15"/>
        </w:rPr>
        <w:t>missing_items JSONB,</w:t>
      </w:r>
    </w:p>
    <w:p>
      <w:pPr>
        <w:spacing w:after="0" w:before="0" w:line="240" w:lineRule="auto"/>
        <w:ind w:left="57"/>
        <w:jc w:val="left"/>
        <w:shd w:val="clear" w:fill="F2F2F2"/>
      </w:pPr>
      <w:r>
        <w:rPr>
          <w:rFonts w:ascii="Consolas" w:hAnsi="Consolas" w:cs="Consolas"/>
          <w:b w:val="0"/>
          <w:i w:val="0"/>
          <w:sz w:val="15"/>
        </w:rPr>
        <w:t>incomplete_items JSONB,</w:t>
      </w:r>
    </w:p>
    <w:p>
      <w:pPr>
        <w:spacing w:after="0" w:before="0" w:line="240" w:lineRule="auto"/>
        <w:ind w:left="57"/>
        <w:jc w:val="left"/>
        <w:shd w:val="clear" w:fill="F2F2F2"/>
      </w:pPr>
      <w:r>
        <w:rPr>
          <w:rFonts w:ascii="Consolas" w:hAnsi="Consolas" w:cs="Consolas"/>
          <w:b w:val="0"/>
          <w:i w:val="0"/>
          <w:sz w:val="15"/>
        </w:rPr>
        <w:t>quality_issues JSONB,</w:t>
      </w:r>
    </w:p>
    <w:p>
      <w:pPr>
        <w:spacing w:after="0" w:before="0" w:line="240" w:lineRule="auto"/>
        <w:ind w:left="57"/>
        <w:jc w:val="left"/>
        <w:shd w:val="clear" w:fill="F2F2F2"/>
      </w:pPr>
      <w:r>
        <w:rPr>
          <w:rFonts w:ascii="Consolas" w:hAnsi="Consolas" w:cs="Consolas"/>
          <w:b w:val="0"/>
          <w:i w:val="0"/>
          <w:sz w:val="15"/>
        </w:rPr>
        <w:t>groq_recommendation TEXT,</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CREATE INDEX IF NOT EXISTS idx_trade_readiness_scores_request ON trade_readiness_scores(trade_request_id);</w:t>
      </w:r>
    </w:p>
    <w:p>
      <w:pPr>
        <w:spacing w:after="0" w:before="0" w:line="240" w:lineRule="auto"/>
        <w:ind w:left="57"/>
        <w:jc w:val="left"/>
        <w:shd w:val="clear" w:fill="F2F2F2"/>
      </w:pPr>
      <w:r>
        <w:rPr>
          <w:rFonts w:ascii="Consolas" w:hAnsi="Consolas" w:cs="Consolas"/>
          <w:b w:val="0"/>
          <w:i w:val="0"/>
          <w:sz w:val="15"/>
        </w:rPr>
        <w:t>CREATE INDEX IF NOT EXISTS idx_trade_readiness_scores_score ON trade_readiness_scores(readiness_score);</w:t>
      </w:r>
    </w:p>
    <w:p>
      <w:pPr>
        <w:spacing w:after="0" w:before="0" w:line="240" w:lineRule="auto"/>
        <w:ind w:left="57"/>
        <w:jc w:val="left"/>
        <w:shd w:val="clear" w:fill="F2F2F2"/>
      </w:pPr>
      <w:r>
        <w:rPr>
          <w:rFonts w:ascii="Consolas" w:hAnsi="Consolas" w:cs="Consolas"/>
          <w:b w:val="0"/>
          <w:i w:val="0"/>
          <w:sz w:val="15"/>
        </w:rPr>
        <w:t>-- Container types reference</w:t>
      </w:r>
    </w:p>
    <w:p>
      <w:pPr>
        <w:spacing w:after="0" w:before="0" w:line="240" w:lineRule="auto"/>
        <w:ind w:left="57"/>
        <w:jc w:val="left"/>
        <w:shd w:val="clear" w:fill="F2F2F2"/>
      </w:pPr>
      <w:r>
        <w:rPr>
          <w:rFonts w:ascii="Consolas" w:hAnsi="Consolas" w:cs="Consolas"/>
          <w:b w:val="0"/>
          <w:i w:val="0"/>
          <w:sz w:val="15"/>
        </w:rPr>
        <w:t>CREATE TABLE IF NOT EXISTS container_types_ref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type_code container_type UNIQUE NOT NULL,</w:t>
      </w:r>
    </w:p>
    <w:p>
      <w:pPr>
        <w:spacing w:after="0" w:before="0" w:line="240" w:lineRule="auto"/>
        <w:ind w:left="57"/>
        <w:jc w:val="left"/>
        <w:shd w:val="clear" w:fill="F2F2F2"/>
      </w:pPr>
      <w:r>
        <w:rPr>
          <w:rFonts w:ascii="Consolas" w:hAnsi="Consolas" w:cs="Consolas"/>
          <w:b w:val="0"/>
          <w:i w:val="0"/>
          <w:sz w:val="15"/>
        </w:rPr>
        <w:t>type_name TEXT NOT NULL,</w:t>
      </w:r>
    </w:p>
    <w:p>
      <w:pPr>
        <w:spacing w:after="0" w:before="0" w:line="240" w:lineRule="auto"/>
        <w:ind w:left="57"/>
        <w:jc w:val="left"/>
        <w:shd w:val="clear" w:fill="F2F2F2"/>
      </w:pPr>
      <w:r>
        <w:rPr>
          <w:rFonts w:ascii="Consolas" w:hAnsi="Consolas" w:cs="Consolas"/>
          <w:b w:val="0"/>
          <w:i w:val="0"/>
          <w:sz w:val="15"/>
        </w:rPr>
        <w:t>internal_width_mm INTEGER NOT NULL,</w:t>
      </w:r>
    </w:p>
    <w:p>
      <w:pPr>
        <w:spacing w:after="0" w:before="0" w:line="240" w:lineRule="auto"/>
        <w:ind w:left="57"/>
        <w:jc w:val="left"/>
        <w:shd w:val="clear" w:fill="F2F2F2"/>
      </w:pPr>
      <w:r>
        <w:rPr>
          <w:rFonts w:ascii="Consolas" w:hAnsi="Consolas" w:cs="Consolas"/>
          <w:b w:val="0"/>
          <w:i w:val="0"/>
          <w:sz w:val="15"/>
        </w:rPr>
        <w:t>internal_length_mm INTEGER NOT NULL,</w:t>
      </w:r>
    </w:p>
    <w:p>
      <w:pPr>
        <w:spacing w:after="0" w:before="0" w:line="240" w:lineRule="auto"/>
        <w:ind w:left="57"/>
        <w:jc w:val="left"/>
        <w:shd w:val="clear" w:fill="F2F2F2"/>
      </w:pPr>
      <w:r>
        <w:rPr>
          <w:rFonts w:ascii="Consolas" w:hAnsi="Consolas" w:cs="Consolas"/>
          <w:b w:val="0"/>
          <w:i w:val="0"/>
          <w:sz w:val="15"/>
        </w:rPr>
        <w:t>internal_height_mm INTEGER NOT NULL,</w:t>
      </w:r>
    </w:p>
    <w:p>
      <w:pPr>
        <w:spacing w:after="0" w:before="0" w:line="240" w:lineRule="auto"/>
        <w:ind w:left="57"/>
        <w:jc w:val="left"/>
        <w:shd w:val="clear" w:fill="F2F2F2"/>
      </w:pPr>
      <w:r>
        <w:rPr>
          <w:rFonts w:ascii="Consolas" w:hAnsi="Consolas" w:cs="Consolas"/>
          <w:b w:val="0"/>
          <w:i w:val="0"/>
          <w:sz w:val="15"/>
        </w:rPr>
        <w:t>max_volume_cbm DECIMAL(10,2) NOT NULL,</w:t>
      </w:r>
    </w:p>
    <w:p>
      <w:pPr>
        <w:spacing w:after="0" w:before="0" w:line="240" w:lineRule="auto"/>
        <w:ind w:left="57"/>
        <w:jc w:val="left"/>
        <w:shd w:val="clear" w:fill="F2F2F2"/>
      </w:pPr>
      <w:r>
        <w:rPr>
          <w:rFonts w:ascii="Consolas" w:hAnsi="Consolas" w:cs="Consolas"/>
          <w:b w:val="0"/>
          <w:i w:val="0"/>
          <w:sz w:val="15"/>
        </w:rPr>
        <w:t>max_payload_kg DECIMAL(10,2) NOT NULL,</w:t>
      </w:r>
    </w:p>
    <w:p>
      <w:pPr>
        <w:spacing w:after="0" w:before="0" w:line="240" w:lineRule="auto"/>
        <w:ind w:left="57"/>
        <w:jc w:val="left"/>
        <w:shd w:val="clear" w:fill="F2F2F2"/>
      </w:pPr>
      <w:r>
        <w:rPr>
          <w:rFonts w:ascii="Consolas" w:hAnsi="Consolas" w:cs="Consolas"/>
          <w:b w:val="0"/>
          <w:i w:val="0"/>
          <w:sz w:val="15"/>
        </w:rPr>
        <w:t>has_reefer BOOLEAN DEFAULT false,</w:t>
      </w:r>
    </w:p>
    <w:p>
      <w:pPr>
        <w:spacing w:after="0" w:before="0" w:line="240" w:lineRule="auto"/>
        <w:ind w:left="57"/>
        <w:jc w:val="left"/>
        <w:shd w:val="clear" w:fill="F2F2F2"/>
      </w:pPr>
      <w:r>
        <w:rPr>
          <w:rFonts w:ascii="Consolas" w:hAnsi="Consolas" w:cs="Consolas"/>
          <w:b w:val="0"/>
          <w:i w:val="0"/>
          <w:sz w:val="15"/>
        </w:rPr>
        <w:t>has_ventilation BOOLEAN DEFAULT false,</w:t>
      </w:r>
    </w:p>
    <w:p>
      <w:pPr>
        <w:spacing w:after="0" w:before="0" w:line="240" w:lineRule="auto"/>
        <w:ind w:left="57"/>
        <w:jc w:val="left"/>
        <w:shd w:val="clear" w:fill="F2F2F2"/>
      </w:pPr>
      <w:r>
        <w:rPr>
          <w:rFonts w:ascii="Consolas" w:hAnsi="Consolas" w:cs="Consolas"/>
          <w:b w:val="0"/>
          <w:i w:val="0"/>
          <w:sz w:val="15"/>
        </w:rPr>
        <w:t>is_hazardous_compatible BOOLEAN DEFAULT false,</w:t>
      </w:r>
    </w:p>
    <w:p>
      <w:pPr>
        <w:spacing w:after="0" w:before="0" w:line="240" w:lineRule="auto"/>
        <w:ind w:left="57"/>
        <w:jc w:val="left"/>
        <w:shd w:val="clear" w:fill="F2F2F2"/>
      </w:pPr>
      <w:r>
        <w:rPr>
          <w:rFonts w:ascii="Consolas" w:hAnsi="Consolas" w:cs="Consolas"/>
          <w:b w:val="0"/>
          <w:i w:val="0"/>
          <w:sz w:val="15"/>
        </w:rPr>
        <w:t>typical_use TEXT,</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Settlement structures reference</w:t>
      </w:r>
    </w:p>
    <w:p>
      <w:pPr>
        <w:spacing w:after="0" w:before="0" w:line="240" w:lineRule="auto"/>
        <w:ind w:left="57"/>
        <w:jc w:val="left"/>
        <w:shd w:val="clear" w:fill="F2F2F2"/>
      </w:pPr>
      <w:r>
        <w:rPr>
          <w:rFonts w:ascii="Consolas" w:hAnsi="Consolas" w:cs="Consolas"/>
          <w:b w:val="0"/>
          <w:i w:val="0"/>
          <w:sz w:val="15"/>
        </w:rPr>
        <w:t>CREATE TABLE IF NOT EXISTS settlement_structures_ref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structure_code settlement_structure UNIQUE NOT NULL,</w:t>
      </w:r>
    </w:p>
    <w:p>
      <w:pPr>
        <w:spacing w:after="0" w:before="0" w:line="240" w:lineRule="auto"/>
        <w:ind w:left="57"/>
        <w:jc w:val="left"/>
        <w:shd w:val="clear" w:fill="F2F2F2"/>
      </w:pPr>
      <w:r>
        <w:rPr>
          <w:rFonts w:ascii="Consolas" w:hAnsi="Consolas" w:cs="Consolas"/>
          <w:b w:val="0"/>
          <w:i w:val="0"/>
          <w:sz w:val="15"/>
        </w:rPr>
        <w:t>structure_name TEXT NOT NULL,</w:t>
      </w:r>
    </w:p>
    <w:p>
      <w:pPr>
        <w:spacing w:after="0" w:before="0" w:line="240" w:lineRule="auto"/>
        <w:ind w:left="57"/>
        <w:jc w:val="left"/>
        <w:shd w:val="clear" w:fill="F2F2F2"/>
      </w:pPr>
      <w:r>
        <w:rPr>
          <w:rFonts w:ascii="Consolas" w:hAnsi="Consolas" w:cs="Consolas"/>
          <w:b w:val="0"/>
          <w:i w:val="0"/>
          <w:sz w:val="15"/>
        </w:rPr>
        <w:t>structure_name_ar TEXT,</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description_ar TEXT,</w:t>
      </w:r>
    </w:p>
    <w:p>
      <w:pPr>
        <w:spacing w:after="0" w:before="0" w:line="240" w:lineRule="auto"/>
        <w:ind w:left="57"/>
        <w:jc w:val="left"/>
        <w:shd w:val="clear" w:fill="F2F2F2"/>
      </w:pPr>
      <w:r>
        <w:rPr>
          <w:rFonts w:ascii="Consolas" w:hAnsi="Consolas" w:cs="Consolas"/>
          <w:b w:val="0"/>
          <w:i w:val="0"/>
          <w:sz w:val="15"/>
        </w:rPr>
        <w:t>recommended_for commercial_priority,</w:t>
      </w:r>
    </w:p>
    <w:p>
      <w:pPr>
        <w:spacing w:after="0" w:before="0" w:line="240" w:lineRule="auto"/>
        <w:ind w:left="57"/>
        <w:jc w:val="left"/>
        <w:shd w:val="clear" w:fill="F2F2F2"/>
      </w:pPr>
      <w:r>
        <w:rPr>
          <w:rFonts w:ascii="Consolas" w:hAnsi="Consolas" w:cs="Consolas"/>
          <w:b w:val="0"/>
          <w:i w:val="0"/>
          <w:sz w:val="15"/>
        </w:rPr>
        <w:t>typical_use TEXT,</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Payment timing reference</w:t>
      </w:r>
    </w:p>
    <w:p>
      <w:pPr>
        <w:spacing w:after="0" w:before="0" w:line="240" w:lineRule="auto"/>
        <w:ind w:left="57"/>
        <w:jc w:val="left"/>
        <w:shd w:val="clear" w:fill="F2F2F2"/>
      </w:pPr>
      <w:r>
        <w:rPr>
          <w:rFonts w:ascii="Consolas" w:hAnsi="Consolas" w:cs="Consolas"/>
          <w:b w:val="0"/>
          <w:i w:val="0"/>
          <w:sz w:val="15"/>
        </w:rPr>
        <w:t>CREATE TABLE IF NOT EXISTS payment_timing_ref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timing_code payment_timing UNIQUE NOT NULL,</w:t>
      </w:r>
    </w:p>
    <w:p>
      <w:pPr>
        <w:spacing w:after="0" w:before="0" w:line="240" w:lineRule="auto"/>
        <w:ind w:left="57"/>
        <w:jc w:val="left"/>
        <w:shd w:val="clear" w:fill="F2F2F2"/>
      </w:pPr>
      <w:r>
        <w:rPr>
          <w:rFonts w:ascii="Consolas" w:hAnsi="Consolas" w:cs="Consolas"/>
          <w:b w:val="0"/>
          <w:i w:val="0"/>
          <w:sz w:val="15"/>
        </w:rPr>
        <w:t>timing_name TEXT NOT NULL,</w:t>
      </w:r>
    </w:p>
    <w:p>
      <w:pPr>
        <w:spacing w:after="0" w:before="0" w:line="240" w:lineRule="auto"/>
        <w:ind w:left="57"/>
        <w:jc w:val="left"/>
        <w:shd w:val="clear" w:fill="F2F2F2"/>
      </w:pPr>
      <w:r>
        <w:rPr>
          <w:rFonts w:ascii="Consolas" w:hAnsi="Consolas" w:cs="Consolas"/>
          <w:b w:val="0"/>
          <w:i w:val="0"/>
          <w:sz w:val="15"/>
        </w:rPr>
        <w:t>timing_name_ar TEXT,</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description_ar TEXT,</w:t>
      </w:r>
    </w:p>
    <w:p>
      <w:pPr>
        <w:spacing w:after="0" w:before="0" w:line="240" w:lineRule="auto"/>
        <w:ind w:left="57"/>
        <w:jc w:val="left"/>
        <w:shd w:val="clear" w:fill="F2F2F2"/>
      </w:pPr>
      <w:r>
        <w:rPr>
          <w:rFonts w:ascii="Consolas" w:hAnsi="Consolas" w:cs="Consolas"/>
          <w:b w:val="0"/>
          <w:i w:val="0"/>
          <w:sz w:val="15"/>
        </w:rPr>
        <w:t>typical_use TEXT,</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0" w:before="0" w:line="240" w:lineRule="auto"/>
        <w:ind w:left="57"/>
        <w:jc w:val="left"/>
        <w:shd w:val="clear" w:fill="F2F2F2"/>
      </w:pPr>
      <w:r>
        <w:rPr>
          <w:rFonts w:ascii="Consolas" w:hAnsi="Consolas" w:cs="Consolas"/>
          <w:b w:val="0"/>
          <w:i w:val="0"/>
          <w:sz w:val="15"/>
        </w:rPr>
        <w:t>-- Commercial priority reference</w:t>
      </w:r>
    </w:p>
    <w:p>
      <w:pPr>
        <w:spacing w:after="0" w:before="0" w:line="240" w:lineRule="auto"/>
        <w:ind w:left="57"/>
        <w:jc w:val="left"/>
        <w:shd w:val="clear" w:fill="F2F2F2"/>
      </w:pPr>
      <w:r>
        <w:rPr>
          <w:rFonts w:ascii="Consolas" w:hAnsi="Consolas" w:cs="Consolas"/>
          <w:b w:val="0"/>
          <w:i w:val="0"/>
          <w:sz w:val="15"/>
        </w:rPr>
        <w:t>CREATE TABLE IF NOT EXISTS commercial_priority_ref (</w:t>
      </w:r>
    </w:p>
    <w:p>
      <w:pPr>
        <w:spacing w:after="0" w:before="0" w:line="240" w:lineRule="auto"/>
        <w:ind w:left="57"/>
        <w:jc w:val="left"/>
        <w:shd w:val="clear" w:fill="F2F2F2"/>
      </w:pPr>
      <w:r>
        <w:rPr>
          <w:rFonts w:ascii="Consolas" w:hAnsi="Consolas" w:cs="Consolas"/>
          <w:b w:val="0"/>
          <w:i w:val="0"/>
          <w:sz w:val="15"/>
        </w:rPr>
        <w:t>id UUID PRIMARY KEY DEFAULT gen_random_uuid(),</w:t>
      </w:r>
    </w:p>
    <w:p>
      <w:pPr>
        <w:spacing w:after="0" w:before="0" w:line="240" w:lineRule="auto"/>
        <w:ind w:left="57"/>
        <w:jc w:val="left"/>
        <w:shd w:val="clear" w:fill="F2F2F2"/>
      </w:pPr>
      <w:r>
        <w:rPr>
          <w:rFonts w:ascii="Consolas" w:hAnsi="Consolas" w:cs="Consolas"/>
          <w:b w:val="0"/>
          <w:i w:val="0"/>
          <w:sz w:val="15"/>
        </w:rPr>
        <w:t>priority_code commercial_priority UNIQUE NOT NULL,</w:t>
      </w:r>
    </w:p>
    <w:p>
      <w:pPr>
        <w:spacing w:after="0" w:before="0" w:line="240" w:lineRule="auto"/>
        <w:ind w:left="57"/>
        <w:jc w:val="left"/>
        <w:shd w:val="clear" w:fill="F2F2F2"/>
      </w:pPr>
      <w:r>
        <w:rPr>
          <w:rFonts w:ascii="Consolas" w:hAnsi="Consolas" w:cs="Consolas"/>
          <w:b w:val="0"/>
          <w:i w:val="0"/>
          <w:sz w:val="15"/>
        </w:rPr>
        <w:t>priority_name TEXT NOT NULL,</w:t>
      </w:r>
    </w:p>
    <w:p>
      <w:pPr>
        <w:spacing w:after="0" w:before="0" w:line="240" w:lineRule="auto"/>
        <w:ind w:left="57"/>
        <w:jc w:val="left"/>
        <w:shd w:val="clear" w:fill="F2F2F2"/>
      </w:pPr>
      <w:r>
        <w:rPr>
          <w:rFonts w:ascii="Consolas" w:hAnsi="Consolas" w:cs="Consolas"/>
          <w:b w:val="0"/>
          <w:i w:val="0"/>
          <w:sz w:val="15"/>
        </w:rPr>
        <w:t>priority_name_ar TEXT,</w:t>
      </w:r>
    </w:p>
    <w:p>
      <w:pPr>
        <w:spacing w:after="0" w:before="0" w:line="240" w:lineRule="auto"/>
        <w:ind w:left="57"/>
        <w:jc w:val="left"/>
        <w:shd w:val="clear" w:fill="F2F2F2"/>
      </w:pPr>
      <w:r>
        <w:rPr>
          <w:rFonts w:ascii="Consolas" w:hAnsi="Consolas" w:cs="Consolas"/>
          <w:b w:val="0"/>
          <w:i w:val="0"/>
          <w:sz w:val="15"/>
        </w:rPr>
        <w:t>description TEXT,</w:t>
      </w:r>
    </w:p>
    <w:p>
      <w:pPr>
        <w:spacing w:after="0" w:before="0" w:line="240" w:lineRule="auto"/>
        <w:ind w:left="57"/>
        <w:jc w:val="left"/>
        <w:shd w:val="clear" w:fill="F2F2F2"/>
      </w:pPr>
      <w:r>
        <w:rPr>
          <w:rFonts w:ascii="Consolas" w:hAnsi="Consolas" w:cs="Consolas"/>
          <w:b w:val="0"/>
          <w:i w:val="0"/>
          <w:sz w:val="15"/>
        </w:rPr>
        <w:t>description_ar TEXT,</w:t>
      </w:r>
    </w:p>
    <w:p>
      <w:pPr>
        <w:spacing w:after="0" w:before="0" w:line="240" w:lineRule="auto"/>
        <w:ind w:left="57"/>
        <w:jc w:val="left"/>
        <w:shd w:val="clear" w:fill="F2F2F2"/>
      </w:pPr>
      <w:r>
        <w:rPr>
          <w:rFonts w:ascii="Consolas" w:hAnsi="Consolas" w:cs="Consolas"/>
          <w:b w:val="0"/>
          <w:i w:val="0"/>
          <w:sz w:val="15"/>
        </w:rPr>
        <w:t>typical_use TEXT,</w:t>
      </w:r>
    </w:p>
    <w:p>
      <w:pPr>
        <w:spacing w:after="0" w:before="0" w:line="240" w:lineRule="auto"/>
        <w:ind w:left="57"/>
        <w:jc w:val="left"/>
        <w:shd w:val="clear" w:fill="F2F2F2"/>
      </w:pPr>
      <w:r>
        <w:rPr>
          <w:rFonts w:ascii="Consolas" w:hAnsi="Consolas" w:cs="Consolas"/>
          <w:b w:val="0"/>
          <w:i w:val="0"/>
          <w:sz w:val="15"/>
        </w:rPr>
        <w:t>is_active BOOLEAN DEFAULT true,</w:t>
      </w:r>
    </w:p>
    <w:p>
      <w:pPr>
        <w:spacing w:after="0" w:before="0" w:line="240" w:lineRule="auto"/>
        <w:ind w:left="57"/>
        <w:jc w:val="left"/>
        <w:shd w:val="clear" w:fill="F2F2F2"/>
      </w:pPr>
      <w:r>
        <w:rPr>
          <w:rFonts w:ascii="Consolas" w:hAnsi="Consolas" w:cs="Consolas"/>
          <w:b w:val="0"/>
          <w:i w:val="0"/>
          <w:sz w:val="15"/>
        </w:rPr>
        <w:t>created_at TIMESTAMPTZ DEFAULT NOW(),</w:t>
      </w:r>
    </w:p>
    <w:p>
      <w:pPr>
        <w:spacing w:after="0" w:before="0" w:line="240" w:lineRule="auto"/>
        <w:ind w:left="57"/>
        <w:jc w:val="left"/>
        <w:shd w:val="clear" w:fill="F2F2F2"/>
      </w:pPr>
      <w:r>
        <w:rPr>
          <w:rFonts w:ascii="Consolas" w:hAnsi="Consolas" w:cs="Consolas"/>
          <w:b w:val="0"/>
          <w:i w:val="0"/>
          <w:sz w:val="15"/>
        </w:rPr>
        <w:t>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Create all tables with appropriate foreign keys</w:t>
      </w:r>
    </w:p>
    <w:p>
      <w:pPr>
        <w:spacing w:after="80" w:line="293" w:lineRule="auto"/>
        <w:jc w:val="left"/>
      </w:pPr>
      <w:r>
        <w:rPr>
          <w:rFonts w:ascii="Times New Roman" w:hAnsi="Times New Roman" w:cs="Times New Roman"/>
          <w:b w:val="0"/>
          <w:i w:val="0"/>
          <w:sz w:val="22"/>
        </w:rPr>
        <w:t>Add all columns with appropriate data types</w:t>
      </w:r>
    </w:p>
    <w:p>
      <w:pPr>
        <w:spacing w:after="80" w:line="293" w:lineRule="auto"/>
        <w:jc w:val="left"/>
      </w:pPr>
      <w:r>
        <w:rPr>
          <w:rFonts w:ascii="Times New Roman" w:hAnsi="Times New Roman" w:cs="Times New Roman"/>
          <w:b w:val="0"/>
          <w:i w:val="0"/>
          <w:sz w:val="22"/>
        </w:rPr>
        <w:t>Set up all constraints (UNIQUE, CHECK, NOT NULL)</w:t>
      </w:r>
    </w:p>
    <w:p>
      <w:pPr>
        <w:spacing w:after="80" w:line="293" w:lineRule="auto"/>
        <w:jc w:val="left"/>
      </w:pPr>
      <w:r>
        <w:rPr>
          <w:rFonts w:ascii="Times New Roman" w:hAnsi="Times New Roman" w:cs="Times New Roman"/>
          <w:b w:val="0"/>
          <w:i w:val="0"/>
          <w:sz w:val="22"/>
        </w:rPr>
        <w:t>Create all indexes for performance</w:t>
      </w:r>
    </w:p>
    <w:p>
      <w:pPr>
        <w:spacing w:after="80" w:line="293" w:lineRule="auto"/>
        <w:jc w:val="left"/>
      </w:pPr>
      <w:r>
        <w:rPr>
          <w:rFonts w:ascii="Times New Roman" w:hAnsi="Times New Roman" w:cs="Times New Roman"/>
          <w:b w:val="0"/>
          <w:i w:val="0"/>
          <w:sz w:val="22"/>
        </w:rPr>
        <w:t>Enable RLS on all tables</w:t>
      </w:r>
    </w:p>
    <w:p>
      <w:pPr>
        <w:spacing w:after="80" w:line="293" w:lineRule="auto"/>
        <w:jc w:val="left"/>
      </w:pPr>
      <w:r>
        <w:rPr>
          <w:rFonts w:ascii="Times New Roman" w:hAnsi="Times New Roman" w:cs="Times New Roman"/>
          <w:b w:val="0"/>
          <w:i w:val="0"/>
          <w:sz w:val="22"/>
        </w:rPr>
        <w:t>Enable uuid-ossp extension</w:t>
      </w:r>
    </w:p>
    <w:p>
      <w:pPr>
        <w:spacing w:after="80" w:line="293" w:lineRule="auto"/>
        <w:jc w:val="left"/>
      </w:pPr>
      <w:r>
        <w:rPr>
          <w:rFonts w:ascii="Times New Roman" w:hAnsi="Times New Roman" w:cs="Times New Roman"/>
          <w:b w:val="0"/>
          <w:i w:val="0"/>
          <w:sz w:val="22"/>
        </w:rPr>
        <w:t>Enable pgvector extension</w:t>
      </w:r>
    </w:p>
    <w:p>
      <w:pPr>
        <w:spacing w:after="80" w:line="293" w:lineRule="auto"/>
        <w:jc w:val="left"/>
      </w:pPr>
      <w:r>
        <w:rPr>
          <w:rFonts w:ascii="Times New Roman" w:hAnsi="Times New Roman" w:cs="Times New Roman"/>
          <w:b w:val="0"/>
          <w:i w:val="0"/>
          <w:sz w:val="22"/>
        </w:rPr>
        <w:t>Enable timescaledb extension</w:t>
      </w:r>
    </w:p>
    <w:p>
      <w:pPr>
        <w:spacing w:after="80" w:line="293" w:lineRule="auto"/>
        <w:jc w:val="left"/>
      </w:pPr>
      <w:r>
        <w:rPr>
          <w:rFonts w:ascii="Times New Roman" w:hAnsi="Times New Roman" w:cs="Times New Roman"/>
          <w:b w:val="0"/>
          <w:i w:val="0"/>
          <w:sz w:val="22"/>
        </w:rPr>
        <w:t>Create all enumerated types</w:t>
      </w:r>
    </w:p>
    <w:p>
      <w:pPr>
        <w:spacing w:after="80" w:line="293" w:lineRule="auto"/>
        <w:jc w:val="left"/>
      </w:pPr>
      <w:r>
        <w:rPr>
          <w:rFonts w:ascii="Times New Roman" w:hAnsi="Times New Roman" w:cs="Times New Roman"/>
          <w:b w:val="0"/>
          <w:i w:val="0"/>
          <w:sz w:val="22"/>
        </w:rPr>
        <w:t>Create migration scripts for each table</w:t>
      </w:r>
    </w:p>
    <w:p>
      <w:pPr>
        <w:spacing w:after="80" w:line="293" w:lineRule="auto"/>
        <w:jc w:val="left"/>
      </w:pPr>
      <w:r>
        <w:rPr>
          <w:rFonts w:ascii="Times New Roman" w:hAnsi="Times New Roman" w:cs="Times New Roman"/>
          <w:b w:val="0"/>
          <w:i w:val="0"/>
          <w:sz w:val="22"/>
        </w:rPr>
        <w:t>Add rollback scripts</w:t>
      </w:r>
    </w:p>
    <w:p>
      <w:pPr>
        <w:spacing w:after="80" w:line="293" w:lineRule="auto"/>
        <w:jc w:val="left"/>
      </w:pPr>
      <w:r>
        <w:rPr>
          <w:rFonts w:ascii="Times New Roman" w:hAnsi="Times New Roman" w:cs="Times New Roman"/>
          <w:b w:val="0"/>
          <w:i w:val="0"/>
          <w:sz w:val="22"/>
        </w:rPr>
        <w:t>Version control all DDL</w:t>
      </w:r>
    </w:p>
    <w:p>
      <w:pPr>
        <w:spacing w:after="80" w:line="293" w:lineRule="auto"/>
        <w:jc w:val="left"/>
      </w:pPr>
      <w:r>
        <w:rPr>
          <w:rFonts w:ascii="Times New Roman" w:hAnsi="Times New Roman" w:cs="Times New Roman"/>
          <w:b w:val="0"/>
          <w:i w:val="0"/>
          <w:sz w:val="22"/>
        </w:rPr>
        <w:t>Add migration validation tests</w:t>
      </w:r>
    </w:p>
    <w:p>
      <w:pPr>
        <w:spacing w:after="80" w:line="293" w:lineRule="auto"/>
        <w:jc w:val="left"/>
      </w:pPr>
      <w:r>
        <w:rPr>
          <w:rFonts w:ascii="Times New Roman" w:hAnsi="Times New Roman" w:cs="Times New Roman"/>
          <w:b w:val="0"/>
          <w:i w:val="0"/>
          <w:sz w:val="22"/>
        </w:rPr>
        <w:t>Test all table creation</w:t>
      </w:r>
    </w:p>
    <w:p>
      <w:pPr>
        <w:spacing w:after="80" w:line="293" w:lineRule="auto"/>
        <w:jc w:val="left"/>
      </w:pPr>
      <w:r>
        <w:rPr>
          <w:rFonts w:ascii="Times New Roman" w:hAnsi="Times New Roman" w:cs="Times New Roman"/>
          <w:b w:val="0"/>
          <w:i w:val="0"/>
          <w:sz w:val="22"/>
        </w:rPr>
        <w:t>Test all foreign key constraints</w:t>
      </w:r>
    </w:p>
    <w:p>
      <w:pPr>
        <w:spacing w:after="80" w:line="293" w:lineRule="auto"/>
        <w:jc w:val="left"/>
      </w:pPr>
      <w:r>
        <w:rPr>
          <w:rFonts w:ascii="Times New Roman" w:hAnsi="Times New Roman" w:cs="Times New Roman"/>
          <w:b w:val="0"/>
          <w:i w:val="0"/>
          <w:sz w:val="22"/>
        </w:rPr>
        <w:t>Test all indexes</w:t>
      </w:r>
    </w:p>
    <w:p>
      <w:pPr>
        <w:spacing w:after="80" w:line="293" w:lineRule="auto"/>
        <w:jc w:val="left"/>
      </w:pPr>
      <w:r>
        <w:rPr>
          <w:rFonts w:ascii="Times New Roman" w:hAnsi="Times New Roman" w:cs="Times New Roman"/>
          <w:b w:val="0"/>
          <w:i w:val="0"/>
          <w:sz w:val="22"/>
        </w:rPr>
        <w:t>Test RLS policies</w:t>
      </w:r>
    </w:p>
    <w:p>
      <w:pPr>
        <w:spacing w:after="80" w:line="293" w:lineRule="auto"/>
        <w:jc w:val="left"/>
      </w:pPr>
      <w:r>
        <w:rPr>
          <w:rFonts w:ascii="Times New Roman" w:hAnsi="Times New Roman" w:cs="Times New Roman"/>
          <w:b w:val="0"/>
          <w:i w:val="0"/>
          <w:sz w:val="22"/>
        </w:rPr>
        <w:t>Test migration rollback</w:t>
      </w:r>
    </w:p>
    <w:p>
      <w:pPr>
        <w:keepNext/>
        <w:spacing w:before="360" w:after="160"/>
        <w:outlineLvl w:val="0"/>
      </w:pPr>
      <w:r>
        <w:rPr>
          <w:rFonts w:ascii="Arial" w:hAnsi="Arial" w:cs="Arial"/>
          <w:b/>
          <w:i w:val="0"/>
          <w:color w:val="1F3864"/>
          <w:sz w:val="32"/>
        </w:rPr>
        <w:t>18. API Endpoint Index</w:t>
      </w:r>
    </w:p>
    <w:p>
      <w:pPr>
        <w:keepNext/>
        <w:spacing w:before="240" w:after="100"/>
        <w:outlineLvl w:val="1"/>
      </w:pPr>
      <w:r>
        <w:rPr>
          <w:rFonts w:ascii="Arial" w:hAnsi="Arial" w:cs="Arial"/>
          <w:b/>
          <w:i w:val="0"/>
          <w:color w:val="2E528F"/>
          <w:sz w:val="26"/>
        </w:rPr>
        <w:t>18.1 Conventions &amp; Standards</w:t>
      </w:r>
    </w:p>
    <w:p>
      <w:pPr>
        <w:spacing w:after="80" w:line="293" w:lineRule="auto"/>
        <w:jc w:val="left"/>
      </w:pPr>
      <w:r>
        <w:rPr>
          <w:rFonts w:ascii="Times New Roman" w:hAnsi="Times New Roman" w:cs="Times New Roman"/>
          <w:b w:val="0"/>
          <w:i w:val="0"/>
          <w:sz w:val="22"/>
        </w:rPr>
        <w:t>All public and partner endpoints are documented in OpenAPI 3.1 format. The specification files are served at /api/v1/openapi.json (public) and /api/v1/partner/openapi.json (partner); the interactive documentation is available to verified tenants. This section is the blueprint-level index of every endpoint group with its canonical routes.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Convention</w:t>
            </w:r>
          </w:p>
        </w:tc>
        <w:tc>
          <w:tcPr>
            <w:tcW w:type="dxa" w:w="4819"/>
            <w:shd w:val="clear" w:fill="D9E2F3"/>
          </w:tcPr>
          <w:p>
            <w:pPr>
              <w:spacing w:after="20" w:before="20" w:line="240" w:lineRule="auto"/>
            </w:pPr>
            <w:r/>
            <w:r>
              <w:rPr>
                <w:rFonts w:ascii="Arial" w:hAnsi="Arial" w:cs="Arial"/>
                <w:b/>
                <w:i w:val="0"/>
                <w:sz w:val="18"/>
              </w:rPr>
              <w:t>Standard</w:t>
            </w:r>
          </w:p>
        </w:tc>
      </w:tr>
      <w:tr>
        <w:tc>
          <w:tcPr>
            <w:tcW w:type="dxa" w:w="4819"/>
          </w:tcPr>
          <w:p>
            <w:pPr>
              <w:spacing w:after="20" w:before="20" w:line="240" w:lineRule="auto"/>
            </w:pPr>
            <w:r/>
            <w:r>
              <w:rPr>
                <w:rFonts w:ascii="Arial" w:hAnsi="Arial" w:cs="Arial"/>
                <w:b w:val="0"/>
                <w:i w:val="0"/>
                <w:sz w:val="17"/>
              </w:rPr>
              <w:t>Base URL</w:t>
            </w:r>
          </w:p>
        </w:tc>
        <w:tc>
          <w:tcPr>
            <w:tcW w:type="dxa" w:w="4819"/>
          </w:tcPr>
          <w:p>
            <w:pPr>
              <w:spacing w:after="20" w:before="20" w:line="240" w:lineRule="auto"/>
            </w:pPr>
            <w:r/>
            <w:r>
              <w:rPr>
                <w:rFonts w:ascii="Arial" w:hAnsi="Arial" w:cs="Arial"/>
                <w:b w:val="0"/>
                <w:i w:val="0"/>
                <w:sz w:val="17"/>
              </w:rPr>
              <w:t>https://api.sgtx.io/v1</w:t>
            </w:r>
          </w:p>
        </w:tc>
      </w:tr>
      <w:tr>
        <w:tc>
          <w:tcPr>
            <w:tcW w:type="dxa" w:w="4819"/>
          </w:tcPr>
          <w:p>
            <w:pPr>
              <w:spacing w:after="20" w:before="20" w:line="240" w:lineRule="auto"/>
            </w:pPr>
            <w:r/>
            <w:r>
              <w:rPr>
                <w:rFonts w:ascii="Arial" w:hAnsi="Arial" w:cs="Arial"/>
                <w:b w:val="0"/>
                <w:i w:val="0"/>
                <w:sz w:val="17"/>
              </w:rPr>
              <w:t>Authentication</w:t>
            </w:r>
          </w:p>
        </w:tc>
        <w:tc>
          <w:tcPr>
            <w:tcW w:type="dxa" w:w="4819"/>
          </w:tcPr>
          <w:p>
            <w:pPr>
              <w:spacing w:after="20" w:before="20" w:line="240" w:lineRule="auto"/>
            </w:pPr>
            <w:r/>
            <w:r>
              <w:rPr>
                <w:rFonts w:ascii="Arial" w:hAnsi="Arial" w:cs="Arial"/>
                <w:b w:val="0"/>
                <w:i w:val="0"/>
                <w:sz w:val="17"/>
              </w:rPr>
              <w:t>JWT from ZITADEL on every endpoint except public health and verification endpoints</w:t>
            </w:r>
          </w:p>
        </w:tc>
      </w:tr>
      <w:tr>
        <w:tc>
          <w:tcPr>
            <w:tcW w:type="dxa" w:w="4819"/>
          </w:tcPr>
          <w:p>
            <w:pPr>
              <w:spacing w:after="20" w:before="20" w:line="240" w:lineRule="auto"/>
            </w:pPr>
            <w:r/>
            <w:r>
              <w:rPr>
                <w:rFonts w:ascii="Arial" w:hAnsi="Arial" w:cs="Arial"/>
                <w:b w:val="0"/>
                <w:i w:val="0"/>
                <w:sz w:val="17"/>
              </w:rPr>
              <w:t>JWT claims</w:t>
            </w:r>
          </w:p>
        </w:tc>
        <w:tc>
          <w:tcPr>
            <w:tcW w:type="dxa" w:w="4819"/>
          </w:tcPr>
          <w:p>
            <w:pPr>
              <w:spacing w:after="20" w:before="20" w:line="240" w:lineRule="auto"/>
            </w:pPr>
            <w:r/>
            <w:r>
              <w:rPr>
                <w:rFonts w:ascii="Arial" w:hAnsi="Arial" w:cs="Arial"/>
                <w:b w:val="0"/>
                <w:i w:val="0"/>
                <w:sz w:val="17"/>
              </w:rPr>
              <w:t>tenant_gtid; employee_id; active_trader_mode_context (BUY/SELL/DUAL); permissions (RBAC array)</w:t>
            </w:r>
          </w:p>
        </w:tc>
      </w:tr>
      <w:tr>
        <w:tc>
          <w:tcPr>
            <w:tcW w:type="dxa" w:w="4819"/>
          </w:tcPr>
          <w:p>
            <w:pPr>
              <w:spacing w:after="20" w:before="20" w:line="240" w:lineRule="auto"/>
            </w:pPr>
            <w:r/>
            <w:r>
              <w:rPr>
                <w:rFonts w:ascii="Arial" w:hAnsi="Arial" w:cs="Arial"/>
                <w:b w:val="0"/>
                <w:i w:val="0"/>
                <w:sz w:val="17"/>
              </w:rPr>
              <w:t>Governor gating</w:t>
            </w:r>
          </w:p>
        </w:tc>
        <w:tc>
          <w:tcPr>
            <w:tcW w:type="dxa" w:w="4819"/>
          </w:tcPr>
          <w:p>
            <w:pPr>
              <w:spacing w:after="20" w:before="20" w:line="240" w:lineRule="auto"/>
            </w:pPr>
            <w:r/>
            <w:r>
              <w:rPr>
                <w:rFonts w:ascii="Arial" w:hAnsi="Arial" w:cs="Arial"/>
                <w:b w:val="0"/>
                <w:i w:val="0"/>
                <w:sz w:val="17"/>
              </w:rPr>
              <w:t>Every state-modifying endpoint passes through governorDecide() (OPA + WasmEdge + AI advisory) before execution</w:t>
            </w:r>
          </w:p>
        </w:tc>
      </w:tr>
      <w:tr>
        <w:tc>
          <w:tcPr>
            <w:tcW w:type="dxa" w:w="4819"/>
          </w:tcPr>
          <w:p>
            <w:pPr>
              <w:spacing w:after="20" w:before="20" w:line="240" w:lineRule="auto"/>
            </w:pPr>
            <w:r/>
            <w:r>
              <w:rPr>
                <w:rFonts w:ascii="Arial" w:hAnsi="Arial" w:cs="Arial"/>
                <w:b w:val="0"/>
                <w:i w:val="0"/>
                <w:sz w:val="17"/>
              </w:rPr>
              <w:t>Rate limits</w:t>
            </w:r>
          </w:p>
        </w:tc>
        <w:tc>
          <w:tcPr>
            <w:tcW w:type="dxa" w:w="4819"/>
          </w:tcPr>
          <w:p>
            <w:pPr>
              <w:spacing w:after="20" w:before="20" w:line="240" w:lineRule="auto"/>
            </w:pPr>
            <w:r/>
            <w:r>
              <w:rPr>
                <w:rFonts w:ascii="Arial" w:hAnsi="Arial" w:cs="Arial"/>
                <w:b w:val="0"/>
                <w:i w:val="0"/>
                <w:sz w:val="17"/>
              </w:rPr>
              <w:t>Standard endpoints: 100 requests/minute/tenant; partner endpoints: variable per partner_rate_limits; public verification: 10 requests/minute/IP</w:t>
            </w:r>
          </w:p>
        </w:tc>
      </w:tr>
      <w:tr>
        <w:tc>
          <w:tcPr>
            <w:tcW w:type="dxa" w:w="4819"/>
          </w:tcPr>
          <w:p>
            <w:pPr>
              <w:spacing w:after="20" w:before="20" w:line="240" w:lineRule="auto"/>
            </w:pPr>
            <w:r/>
            <w:r>
              <w:rPr>
                <w:rFonts w:ascii="Arial" w:hAnsi="Arial" w:cs="Arial"/>
                <w:b w:val="0"/>
                <w:i w:val="0"/>
                <w:sz w:val="17"/>
              </w:rPr>
              <w:t>Idempotency</w:t>
            </w:r>
          </w:p>
        </w:tc>
        <w:tc>
          <w:tcPr>
            <w:tcW w:type="dxa" w:w="4819"/>
          </w:tcPr>
          <w:p>
            <w:pPr>
              <w:spacing w:after="20" w:before="20" w:line="240" w:lineRule="auto"/>
            </w:pPr>
            <w:r/>
            <w:r>
              <w:rPr>
                <w:rFonts w:ascii="Arial" w:hAnsi="Arial" w:cs="Arial"/>
                <w:b w:val="0"/>
                <w:i w:val="0"/>
                <w:sz w:val="17"/>
              </w:rPr>
              <w:t>All POST/PUT/PATCH support an Idempotency-Key header (UUID v4); the first response is stored for 24 hours and replays return the original response</w:t>
            </w:r>
          </w:p>
        </w:tc>
      </w:tr>
      <w:tr>
        <w:tc>
          <w:tcPr>
            <w:tcW w:type="dxa" w:w="4819"/>
          </w:tcPr>
          <w:p>
            <w:pPr>
              <w:spacing w:after="20" w:before="20" w:line="240" w:lineRule="auto"/>
            </w:pPr>
            <w:r/>
            <w:r>
              <w:rPr>
                <w:rFonts w:ascii="Arial" w:hAnsi="Arial" w:cs="Arial"/>
                <w:b w:val="0"/>
                <w:i w:val="0"/>
                <w:sz w:val="17"/>
              </w:rPr>
              <w:t>USTN reference</w:t>
            </w:r>
          </w:p>
        </w:tc>
        <w:tc>
          <w:tcPr>
            <w:tcW w:type="dxa" w:w="4819"/>
          </w:tcPr>
          <w:p>
            <w:pPr>
              <w:spacing w:after="20" w:before="20" w:line="240" w:lineRule="auto"/>
            </w:pPr>
            <w:r/>
            <w:r>
              <w:rPr>
                <w:rFonts w:ascii="Arial" w:hAnsi="Arial" w:cs="Arial"/>
                <w:b w:val="0"/>
                <w:i w:val="0"/>
                <w:sz w:val="17"/>
              </w:rPr>
              <w:t>All trade-entity mutations must reference the USTN (or MicroUSTN); omission returns 400 with a plain-language message</w:t>
            </w:r>
          </w:p>
        </w:tc>
      </w:tr>
      <w:tr>
        <w:tc>
          <w:tcPr>
            <w:tcW w:type="dxa" w:w="4819"/>
          </w:tcPr>
          <w:p>
            <w:pPr>
              <w:spacing w:after="20" w:before="20" w:line="240" w:lineRule="auto"/>
            </w:pPr>
            <w:r/>
            <w:r>
              <w:rPr>
                <w:rFonts w:ascii="Arial" w:hAnsi="Arial" w:cs="Arial"/>
                <w:b w:val="0"/>
                <w:i w:val="0"/>
                <w:sz w:val="17"/>
              </w:rPr>
              <w:t>Error model</w:t>
            </w:r>
          </w:p>
        </w:tc>
        <w:tc>
          <w:tcPr>
            <w:tcW w:type="dxa" w:w="4819"/>
          </w:tcPr>
          <w:p>
            <w:pPr>
              <w:spacing w:after="20" w:before="20" w:line="240" w:lineRule="auto"/>
            </w:pPr>
            <w:r/>
            <w:r>
              <w:rPr>
                <w:rFonts w:ascii="Arial" w:hAnsi="Arial" w:cs="Arial"/>
                <w:b w:val="0"/>
                <w:i w:val="0"/>
                <w:sz w:val="17"/>
              </w:rPr>
              <w:t>Structured errors with code, plain-language message (Governor Decision Panel copy), remediation link, and trace id</w:t>
            </w:r>
          </w:p>
        </w:tc>
      </w:tr>
      <w:tr>
        <w:tc>
          <w:tcPr>
            <w:tcW w:type="dxa" w:w="4819"/>
          </w:tcPr>
          <w:p>
            <w:pPr>
              <w:spacing w:after="20" w:before="20" w:line="240" w:lineRule="auto"/>
            </w:pPr>
            <w:r/>
            <w:r>
              <w:rPr>
                <w:rFonts w:ascii="Arial" w:hAnsi="Arial" w:cs="Arial"/>
                <w:b w:val="0"/>
                <w:i w:val="0"/>
                <w:sz w:val="17"/>
              </w:rPr>
              <w:t>Versioning</w:t>
            </w:r>
          </w:p>
        </w:tc>
        <w:tc>
          <w:tcPr>
            <w:tcW w:type="dxa" w:w="4819"/>
          </w:tcPr>
          <w:p>
            <w:pPr>
              <w:spacing w:after="20" w:before="20" w:line="240" w:lineRule="auto"/>
            </w:pPr>
            <w:r/>
            <w:r>
              <w:rPr>
                <w:rFonts w:ascii="Arial" w:hAnsi="Arial" w:cs="Arial"/>
                <w:b w:val="0"/>
                <w:i w:val="0"/>
                <w:sz w:val="17"/>
              </w:rPr>
              <w:t>Major increment for breaking changes; minor for non-breaking additions; patch for fixes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 Governor &amp; Identity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/v1/governor/decision</w:t>
            </w:r>
          </w:p>
        </w:tc>
        <w:tc>
          <w:tcPr>
            <w:tcW w:type="dxa" w:w="3213"/>
          </w:tcPr>
          <w:p>
            <w:pPr>
              <w:spacing w:after="20" w:before="20" w:line="240" w:lineRule="auto"/>
            </w:pPr>
            <w:r/>
            <w:r>
              <w:rPr>
                <w:rFonts w:ascii="Arial" w:hAnsi="Arial" w:cs="Arial"/>
                <w:b w:val="0"/>
                <w:i w:val="0"/>
                <w:sz w:val="17"/>
              </w:rPr>
              <w:t>Evaluate an action through the Governor pipeline (internal/authorised callers)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/v1/identity/gtid/generate</w:t>
            </w:r>
          </w:p>
        </w:tc>
        <w:tc>
          <w:tcPr>
            <w:tcW w:type="dxa" w:w="3213"/>
          </w:tcPr>
          <w:p>
            <w:pPr>
              <w:spacing w:after="20" w:before="20" w:line="240" w:lineRule="auto"/>
            </w:pPr>
            <w:r/>
            <w:r>
              <w:rPr>
                <w:rFonts w:ascii="Arial" w:hAnsi="Arial" w:cs="Arial"/>
                <w:b w:val="0"/>
                <w:i w:val="0"/>
                <w:sz w:val="17"/>
              </w:rPr>
              <w:t>Generate a GTID for a newly verified tenant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/v1/identity/ustn/generate</w:t>
            </w:r>
          </w:p>
        </w:tc>
        <w:tc>
          <w:tcPr>
            <w:tcW w:type="dxa" w:w="3213"/>
          </w:tcPr>
          <w:p>
            <w:pPr>
              <w:spacing w:after="20" w:before="20" w:line="240" w:lineRule="auto"/>
            </w:pPr>
            <w:r/>
            <w:r>
              <w:rPr>
                <w:rFonts w:ascii="Arial" w:hAnsi="Arial" w:cs="Arial"/>
                <w:b w:val="0"/>
                <w:i w:val="0"/>
                <w:sz w:val="17"/>
              </w:rPr>
              <w:t>Generate a USTN at contract lock (internal — lock pipeline only)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/v1/gtid/resolve</w:t>
            </w:r>
          </w:p>
        </w:tc>
        <w:tc>
          <w:tcPr>
            <w:tcW w:type="dxa" w:w="3213"/>
          </w:tcPr>
          <w:p>
            <w:pPr>
              <w:spacing w:after="20" w:before="20" w:line="240" w:lineRule="auto"/>
            </w:pPr>
            <w:r/>
            <w:r>
              <w:rPr>
                <w:rFonts w:ascii="Arial" w:hAnsi="Arial" w:cs="Arial"/>
                <w:b w:val="0"/>
                <w:i w:val="0"/>
                <w:sz w:val="17"/>
              </w:rPr>
              <w:t>Resolve a GTID to tenant summary (identity, KYB state, trust badge)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/v1/employee/switch-context</w:t>
            </w:r>
          </w:p>
        </w:tc>
        <w:tc>
          <w:tcPr>
            <w:tcW w:type="dxa" w:w="3213"/>
          </w:tcPr>
          <w:p>
            <w:pPr>
              <w:spacing w:after="20" w:before="20" w:line="240" w:lineRule="auto"/>
            </w:pPr>
            <w:r/>
            <w:r>
              <w:rPr>
                <w:rFonts w:ascii="Arial" w:hAnsi="Arial" w:cs="Arial"/>
                <w:b w:val="0"/>
                <w:i w:val="0"/>
                <w:sz w:val="17"/>
              </w:rPr>
              <w:t>Switch active trader-mode context (audited, OPA-checked)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/v1/signature/qes/request</w:t>
            </w:r>
          </w:p>
        </w:tc>
        <w:tc>
          <w:tcPr>
            <w:tcW w:type="dxa" w:w="3213"/>
          </w:tcPr>
          <w:p>
            <w:pPr>
              <w:spacing w:after="20" w:before="20" w:line="240" w:lineRule="auto"/>
            </w:pPr>
            <w:r/>
            <w:r>
              <w:rPr>
                <w:rFonts w:ascii="Arial" w:hAnsi="Arial" w:cs="Arial"/>
                <w:b w:val="0"/>
                <w:i w:val="0"/>
                <w:sz w:val="17"/>
              </w:rPr>
              <w:t>Request a Qualified Electronic Signature session (ZITADEL passkey)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/v1/signature/qes/status/{request_id}</w:t>
            </w:r>
          </w:p>
        </w:tc>
        <w:tc>
          <w:tcPr>
            <w:tcW w:type="dxa" w:w="3213"/>
          </w:tcPr>
          <w:p>
            <w:pPr>
              <w:spacing w:after="20" w:before="20" w:line="240" w:lineRule="auto"/>
            </w:pPr>
            <w:r/>
            <w:r>
              <w:rPr>
                <w:rFonts w:ascii="Arial" w:hAnsi="Arial" w:cs="Arial"/>
                <w:b w:val="0"/>
                <w:i w:val="0"/>
                <w:sz w:val="17"/>
              </w:rPr>
              <w:t>Poll QES request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/v1/signature/qes/callback</w:t>
            </w:r>
          </w:p>
        </w:tc>
        <w:tc>
          <w:tcPr>
            <w:tcW w:type="dxa" w:w="3213"/>
          </w:tcPr>
          <w:p>
            <w:pPr>
              <w:spacing w:after="20" w:before="20" w:line="240" w:lineRule="auto"/>
            </w:pPr>
            <w:r/>
            <w:r>
              <w:rPr>
                <w:rFonts w:ascii="Arial" w:hAnsi="Arial" w:cs="Arial"/>
                <w:b w:val="0"/>
                <w:i w:val="0"/>
                <w:sz w:val="17"/>
              </w:rPr>
              <w:t>QES provider callback (server-to-server)</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/v1/signature/qes/certificate/{gtid}</w:t>
            </w:r>
          </w:p>
        </w:tc>
        <w:tc>
          <w:tcPr>
            <w:tcW w:type="dxa" w:w="3213"/>
          </w:tcPr>
          <w:p>
            <w:pPr>
              <w:spacing w:after="20" w:before="20" w:line="240" w:lineRule="auto"/>
            </w:pPr>
            <w:r/>
            <w:r>
              <w:rPr>
                <w:rFonts w:ascii="Arial" w:hAnsi="Arial" w:cs="Arial"/>
                <w:b w:val="0"/>
                <w:i w:val="0"/>
                <w:sz w:val="17"/>
              </w:rPr>
              <w:t>Retrieve a tenant's QES certificate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/v1/signature/qes/verify</w:t>
            </w:r>
          </w:p>
        </w:tc>
        <w:tc>
          <w:tcPr>
            <w:tcW w:type="dxa" w:w="3213"/>
          </w:tcPr>
          <w:p>
            <w:pPr>
              <w:spacing w:after="20" w:before="20" w:line="240" w:lineRule="auto"/>
            </w:pPr>
            <w:r/>
            <w:r>
              <w:rPr>
                <w:rFonts w:ascii="Arial" w:hAnsi="Arial" w:cs="Arial"/>
                <w:b w:val="0"/>
                <w:i w:val="0"/>
                <w:sz w:val="17"/>
              </w:rPr>
              <w:t>Verify a signature against its document hash</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/v1/verify/ustn</w:t>
            </w:r>
          </w:p>
        </w:tc>
        <w:tc>
          <w:tcPr>
            <w:tcW w:type="dxa" w:w="3213"/>
          </w:tcPr>
          <w:p>
            <w:pPr>
              <w:spacing w:after="20" w:before="20" w:line="240" w:lineRule="auto"/>
            </w:pPr>
            <w:r/>
            <w:r>
              <w:rPr>
                <w:rFonts w:ascii="Arial" w:hAnsi="Arial" w:cs="Arial"/>
                <w:b w:val="0"/>
                <w:i w:val="0"/>
                <w:sz w:val="17"/>
              </w:rPr>
              <w:t>Public USTN verification page API</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/v1/verify/loom</w:t>
            </w:r>
          </w:p>
        </w:tc>
        <w:tc>
          <w:tcPr>
            <w:tcW w:type="dxa" w:w="3213"/>
          </w:tcPr>
          <w:p>
            <w:pPr>
              <w:spacing w:after="20" w:before="20" w:line="240" w:lineRule="auto"/>
            </w:pPr>
            <w:r/>
            <w:r>
              <w:rPr>
                <w:rFonts w:ascii="Arial" w:hAnsi="Arial" w:cs="Arial"/>
                <w:b w:val="0"/>
                <w:i w:val="0"/>
                <w:sz w:val="17"/>
              </w:rPr>
              <w:t>Public Loom chain verification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/v1/verify/pqc</w:t>
            </w:r>
          </w:p>
        </w:tc>
        <w:tc>
          <w:tcPr>
            <w:tcW w:type="dxa" w:w="3213"/>
          </w:tcPr>
          <w:p>
            <w:pPr>
              <w:spacing w:after="20" w:before="20" w:line="240" w:lineRule="auto"/>
            </w:pPr>
            <w:r/>
            <w:r>
              <w:rPr>
                <w:rFonts w:ascii="Arial" w:hAnsi="Arial" w:cs="Arial"/>
                <w:b w:val="0"/>
                <w:i w:val="0"/>
                <w:sz w:val="17"/>
              </w:rPr>
              <w:t>Verify a post-quantum signature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/v1/status</w:t>
            </w:r>
          </w:p>
        </w:tc>
        <w:tc>
          <w:tcPr>
            <w:tcW w:type="dxa" w:w="3213"/>
          </w:tcPr>
          <w:p>
            <w:pPr>
              <w:spacing w:after="20" w:before="20" w:line="240" w:lineRule="auto"/>
            </w:pPr>
            <w:r/>
            <w:r>
              <w:rPr>
                <w:rFonts w:ascii="Arial" w:hAnsi="Arial" w:cs="Arial"/>
                <w:b w:val="0"/>
                <w:i w:val="0"/>
                <w:sz w:val="17"/>
              </w:rPr>
              <w:t>Public platform health</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/v1/decisions/{trade_id}/pending</w:t>
            </w:r>
          </w:p>
        </w:tc>
        <w:tc>
          <w:tcPr>
            <w:tcW w:type="dxa" w:w="3213"/>
          </w:tcPr>
          <w:p>
            <w:pPr>
              <w:spacing w:after="20" w:before="20" w:line="240" w:lineRule="auto"/>
            </w:pPr>
            <w:r/>
            <w:r>
              <w:rPr>
                <w:rFonts w:ascii="Arial" w:hAnsi="Arial" w:cs="Arial"/>
                <w:b w:val="0"/>
                <w:i w:val="0"/>
                <w:sz w:val="17"/>
              </w:rPr>
              <w:t>All pending Governor decisions for an entity — powers the What's Blocking Me? view and the Decision Panel</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/v1/decisions/{decision_id}/explanation</w:t>
            </w:r>
          </w:p>
        </w:tc>
        <w:tc>
          <w:tcPr>
            <w:tcW w:type="dxa" w:w="3213"/>
          </w:tcPr>
          <w:p>
            <w:pPr>
              <w:spacing w:after="20" w:before="20" w:line="240" w:lineRule="auto"/>
            </w:pPr>
            <w:r/>
            <w:r>
              <w:rPr>
                <w:rFonts w:ascii="Arial" w:hAnsi="Arial" w:cs="Arial"/>
                <w:b w:val="0"/>
                <w:i w:val="0"/>
                <w:sz w:val="17"/>
              </w:rPr>
              <w:t>Full plain-language tenant_message for a Governor decision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/v1/decisions/{decision_id}/escalate</w:t>
            </w:r>
          </w:p>
        </w:tc>
        <w:tc>
          <w:tcPr>
            <w:tcW w:type="dxa" w:w="3213"/>
          </w:tcPr>
          <w:p>
            <w:pPr>
              <w:spacing w:after="20" w:before="20" w:line="240" w:lineRule="auto"/>
            </w:pPr>
            <w:r/>
            <w:r>
              <w:rPr>
                <w:rFonts w:ascii="Arial" w:hAnsi="Arial" w:cs="Arial"/>
                <w:b w:val="0"/>
                <w:i w:val="0"/>
                <w:sz w:val="17"/>
              </w:rPr>
              <w:t>Trigger an A3 escalation for a decision, notifying the Admin Portal — body: {"reason": "..."}</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18.3 Trade Request &amp; Drafts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/v1/trade/request/submit</w:t>
            </w:r>
          </w:p>
        </w:tc>
        <w:tc>
          <w:tcPr>
            <w:tcW w:type="dxa" w:w="3213"/>
          </w:tcPr>
          <w:p>
            <w:pPr>
              <w:spacing w:after="20" w:before="20" w:line="240" w:lineRule="auto"/>
            </w:pPr>
            <w:r/>
            <w:r>
              <w:rPr>
                <w:rFonts w:ascii="Arial" w:hAnsi="Arial" w:cs="Arial"/>
                <w:b w:val="0"/>
                <w:i w:val="0"/>
                <w:sz w:val="17"/>
              </w:rPr>
              <w:t>Submit a trade request through the 36 Phase 1 gates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/v1/trade/request/draft</w:t>
            </w:r>
          </w:p>
        </w:tc>
        <w:tc>
          <w:tcPr>
            <w:tcW w:type="dxa" w:w="3213"/>
          </w:tcPr>
          <w:p>
            <w:pPr>
              <w:spacing w:after="20" w:before="20" w:line="240" w:lineRule="auto"/>
            </w:pPr>
            <w:r/>
            <w:r>
              <w:rPr>
                <w:rFonts w:ascii="Arial" w:hAnsi="Arial" w:cs="Arial"/>
                <w:b w:val="0"/>
                <w:i w:val="0"/>
                <w:sz w:val="17"/>
              </w:rPr>
              <w:t>Save a draft snapshot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/v1/trade/draft</w:t>
            </w:r>
          </w:p>
        </w:tc>
        <w:tc>
          <w:tcPr>
            <w:tcW w:type="dxa" w:w="3213"/>
          </w:tcPr>
          <w:p>
            <w:pPr>
              <w:spacing w:after="20" w:before="20" w:line="240" w:lineRule="auto"/>
            </w:pPr>
            <w:r/>
            <w:r>
              <w:rPr>
                <w:rFonts w:ascii="Arial" w:hAnsi="Arial" w:cs="Arial"/>
                <w:b w:val="0"/>
                <w:i w:val="0"/>
                <w:sz w:val="17"/>
              </w:rPr>
              <w:t>Create/refresh auto-save draft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/v1/trade/drafts</w:t>
            </w:r>
          </w:p>
        </w:tc>
        <w:tc>
          <w:tcPr>
            <w:tcW w:type="dxa" w:w="3213"/>
          </w:tcPr>
          <w:p>
            <w:pPr>
              <w:spacing w:after="20" w:before="20" w:line="240" w:lineRule="auto"/>
            </w:pPr>
            <w:r/>
            <w:r>
              <w:rPr>
                <w:rFonts w:ascii="Arial" w:hAnsi="Arial" w:cs="Arial"/>
                <w:b w:val="0"/>
                <w:i w:val="0"/>
                <w:sz w:val="17"/>
              </w:rPr>
              <w:t>List drafts for the requesting employee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/v1/trade/draft/{id}</w:t>
            </w:r>
          </w:p>
        </w:tc>
        <w:tc>
          <w:tcPr>
            <w:tcW w:type="dxa" w:w="3213"/>
          </w:tcPr>
          <w:p>
            <w:pPr>
              <w:spacing w:after="20" w:before="20" w:line="240" w:lineRule="auto"/>
            </w:pPr>
            <w:r/>
            <w:r>
              <w:rPr>
                <w:rFonts w:ascii="Arial" w:hAnsi="Arial" w:cs="Arial"/>
                <w:b w:val="0"/>
                <w:i w:val="0"/>
                <w:sz w:val="17"/>
              </w:rPr>
              <w:t>Load a draft for one-click recovery</w:t>
            </w:r>
          </w:p>
        </w:tc>
      </w:tr>
      <w:tr>
        <w:tc>
          <w:tcPr>
            <w:tcW w:type="dxa" w:w="3213"/>
          </w:tcPr>
          <w:p>
            <w:pPr>
              <w:spacing w:after="20" w:before="20" w:line="240" w:lineRule="auto"/>
            </w:pPr>
            <w:r/>
            <w:r>
              <w:rPr>
                <w:rFonts w:ascii="Arial" w:hAnsi="Arial" w:cs="Arial"/>
                <w:b w:val="0"/>
                <w:i w:val="0"/>
                <w:sz w:val="17"/>
              </w:rPr>
              <w:t>DELETE</w:t>
            </w:r>
          </w:p>
        </w:tc>
        <w:tc>
          <w:tcPr>
            <w:tcW w:type="dxa" w:w="3213"/>
          </w:tcPr>
          <w:p>
            <w:pPr>
              <w:spacing w:after="20" w:before="20" w:line="240" w:lineRule="auto"/>
            </w:pPr>
            <w:r/>
            <w:r>
              <w:rPr>
                <w:rFonts w:ascii="Arial" w:hAnsi="Arial" w:cs="Arial"/>
                <w:b w:val="0"/>
                <w:i w:val="0"/>
                <w:sz w:val="17"/>
              </w:rPr>
              <w:t>/v1/trade/draft/{id}</w:t>
            </w:r>
          </w:p>
        </w:tc>
        <w:tc>
          <w:tcPr>
            <w:tcW w:type="dxa" w:w="3213"/>
          </w:tcPr>
          <w:p>
            <w:pPr>
              <w:spacing w:after="20" w:before="20" w:line="240" w:lineRule="auto"/>
            </w:pPr>
            <w:r/>
            <w:r>
              <w:rPr>
                <w:rFonts w:ascii="Arial" w:hAnsi="Arial" w:cs="Arial"/>
                <w:b w:val="0"/>
                <w:i w:val="0"/>
                <w:sz w:val="17"/>
              </w:rPr>
              <w:t>Delete an expired/abandoned draft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/v1/trade/incoterm/select</w:t>
            </w:r>
          </w:p>
        </w:tc>
        <w:tc>
          <w:tcPr>
            <w:tcW w:type="dxa" w:w="3213"/>
          </w:tcPr>
          <w:p>
            <w:pPr>
              <w:spacing w:after="20" w:before="20" w:line="240" w:lineRule="auto"/>
            </w:pPr>
            <w:r/>
            <w:r>
              <w:rPr>
                <w:rFonts w:ascii="Arial" w:hAnsi="Arial" w:cs="Arial"/>
                <w:b w:val="0"/>
                <w:i w:val="0"/>
                <w:sz w:val="17"/>
              </w:rPr>
              <w:t>Validate Incoterm + settlement compatibility and return the responsibility map</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/v1/trade/container/configure</w:t>
            </w:r>
          </w:p>
        </w:tc>
        <w:tc>
          <w:tcPr>
            <w:tcW w:type="dxa" w:w="3213"/>
          </w:tcPr>
          <w:p>
            <w:pPr>
              <w:spacing w:after="20" w:before="20" w:line="240" w:lineRule="auto"/>
            </w:pPr>
            <w:r/>
            <w:r>
              <w:rPr>
                <w:rFonts w:ascii="Arial" w:hAnsi="Arial" w:cs="Arial"/>
                <w:b w:val="0"/>
                <w:i w:val="0"/>
                <w:sz w:val="17"/>
              </w:rPr>
              <w:t>Configure containers/units with equipment validation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/v1/trade/commodity/add</w:t>
            </w:r>
          </w:p>
        </w:tc>
        <w:tc>
          <w:tcPr>
            <w:tcW w:type="dxa" w:w="3213"/>
          </w:tcPr>
          <w:p>
            <w:pPr>
              <w:spacing w:after="20" w:before="20" w:line="240" w:lineRule="auto"/>
            </w:pPr>
            <w:r/>
            <w:r>
              <w:rPr>
                <w:rFonts w:ascii="Arial" w:hAnsi="Arial" w:cs="Arial"/>
                <w:b w:val="0"/>
                <w:i w:val="0"/>
                <w:sz w:val="17"/>
              </w:rPr>
              <w:t>Add commodity with Product Form Agent dynamic schema</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/v1/trade/bulk-edit</w:t>
            </w:r>
          </w:p>
        </w:tc>
        <w:tc>
          <w:tcPr>
            <w:tcW w:type="dxa" w:w="3213"/>
          </w:tcPr>
          <w:p>
            <w:pPr>
              <w:spacing w:after="20" w:before="20" w:line="240" w:lineRule="auto"/>
            </w:pPr>
            <w:r/>
            <w:r>
              <w:rPr>
                <w:rFonts w:ascii="Arial" w:hAnsi="Arial" w:cs="Arial"/>
                <w:b w:val="0"/>
                <w:i w:val="0"/>
                <w:sz w:val="17"/>
              </w:rPr>
              <w:t>Bulk edit containers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/v1/trade/amend</w:t>
            </w:r>
          </w:p>
        </w:tc>
        <w:tc>
          <w:tcPr>
            <w:tcW w:type="dxa" w:w="3213"/>
          </w:tcPr>
          <w:p>
            <w:pPr>
              <w:spacing w:after="20" w:before="20" w:line="240" w:lineRule="auto"/>
            </w:pPr>
            <w:r/>
            <w:r>
              <w:rPr>
                <w:rFonts w:ascii="Arial" w:hAnsi="Arial" w:cs="Arial"/>
                <w:b w:val="0"/>
                <w:i w:val="0"/>
                <w:sz w:val="17"/>
              </w:rPr>
              <w:t>Propose an amendment (explicit Amendment Workflow)</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/v1/trade/amend/respond</w:t>
            </w:r>
          </w:p>
        </w:tc>
        <w:tc>
          <w:tcPr>
            <w:tcW w:type="dxa" w:w="3213"/>
          </w:tcPr>
          <w:p>
            <w:pPr>
              <w:spacing w:after="20" w:before="20" w:line="240" w:lineRule="auto"/>
            </w:pPr>
            <w:r/>
            <w:r>
              <w:rPr>
                <w:rFonts w:ascii="Arial" w:hAnsi="Arial" w:cs="Arial"/>
                <w:b w:val="0"/>
                <w:i w:val="0"/>
                <w:sz w:val="17"/>
              </w:rPr>
              <w:t>Respond to an amendment proposal</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/v1/trade/{id}</w:t>
            </w:r>
          </w:p>
        </w:tc>
        <w:tc>
          <w:tcPr>
            <w:tcW w:type="dxa" w:w="3213"/>
          </w:tcPr>
          <w:p>
            <w:pPr>
              <w:spacing w:after="20" w:before="20" w:line="240" w:lineRule="auto"/>
            </w:pPr>
            <w:r/>
            <w:r>
              <w:rPr>
                <w:rFonts w:ascii="Arial" w:hAnsi="Arial" w:cs="Arial"/>
                <w:b w:val="0"/>
                <w:i w:val="0"/>
                <w:sz w:val="17"/>
              </w:rPr>
              <w:t>Retrieve trade request summary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/v1/lab/requirements</w:t>
            </w:r>
          </w:p>
        </w:tc>
        <w:tc>
          <w:tcPr>
            <w:tcW w:type="dxa" w:w="3213"/>
          </w:tcPr>
          <w:p>
            <w:pPr>
              <w:spacing w:after="20" w:before="20" w:line="240" w:lineRule="auto"/>
            </w:pPr>
            <w:r/>
            <w:r>
              <w:rPr>
                <w:rFonts w:ascii="Arial" w:hAnsi="Arial" w:cs="Arial"/>
                <w:b w:val="0"/>
                <w:i w:val="0"/>
                <w:sz w:val="17"/>
              </w:rPr>
              <w:t>Store lab test selections (mandatory locked by G1U4)</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/v1/lab/requirements/{trade_request_id}</w:t>
            </w:r>
          </w:p>
        </w:tc>
        <w:tc>
          <w:tcPr>
            <w:tcW w:type="dxa" w:w="3213"/>
          </w:tcPr>
          <w:p>
            <w:pPr>
              <w:spacing w:after="20" w:before="20" w:line="240" w:lineRule="auto"/>
            </w:pPr>
            <w:r/>
            <w:r>
              <w:rPr>
                <w:rFonts w:ascii="Arial" w:hAnsi="Arial" w:cs="Arial"/>
                <w:b w:val="0"/>
                <w:i w:val="0"/>
                <w:sz w:val="17"/>
              </w:rPr>
              <w:t>Retrieve captured lab requirements with pricing</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/v1/qc/requirements</w:t>
            </w:r>
          </w:p>
        </w:tc>
        <w:tc>
          <w:tcPr>
            <w:tcW w:type="dxa" w:w="3213"/>
          </w:tcPr>
          <w:p>
            <w:pPr>
              <w:spacing w:after="20" w:before="20" w:line="240" w:lineRule="auto"/>
            </w:pPr>
            <w:r/>
            <w:r>
              <w:rPr>
                <w:rFonts w:ascii="Arial" w:hAnsi="Arial" w:cs="Arial"/>
                <w:b w:val="0"/>
                <w:i w:val="0"/>
                <w:sz w:val="17"/>
              </w:rPr>
              <w:t>Store QC request with geographic validation inputs (G1U5/G1U6)</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/v1/qc/coverage</w:t>
            </w:r>
          </w:p>
        </w:tc>
        <w:tc>
          <w:tcPr>
            <w:tcW w:type="dxa" w:w="3213"/>
          </w:tcPr>
          <w:p>
            <w:pPr>
              <w:spacing w:after="20" w:before="20" w:line="240" w:lineRule="auto"/>
            </w:pPr>
            <w:r/>
            <w:r>
              <w:rPr>
                <w:rFonts w:ascii="Arial" w:hAnsi="Arial" w:cs="Arial"/>
                <w:b w:val="0"/>
                <w:i w:val="0"/>
                <w:sz w:val="17"/>
              </w:rPr>
              <w:t>Query active QC providers and price range for a port/country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/v1/capabilities/providers</w:t>
            </w:r>
          </w:p>
        </w:tc>
        <w:tc>
          <w:tcPr>
            <w:tcW w:type="dxa" w:w="3213"/>
          </w:tcPr>
          <w:p>
            <w:pPr>
              <w:spacing w:after="20" w:before="20" w:line="240" w:lineRule="auto"/>
            </w:pPr>
            <w:r/>
            <w:r>
              <w:rPr>
                <w:rFonts w:ascii="Arial" w:hAnsi="Arial" w:cs="Arial"/>
                <w:b w:val="0"/>
                <w:i w:val="0"/>
                <w:sz w:val="17"/>
              </w:rPr>
              <w:t>Query providers by service capability and port coverage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18.4 Quotes &amp; Negotiation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/v1/quote/submit</w:t>
            </w:r>
          </w:p>
        </w:tc>
        <w:tc>
          <w:tcPr>
            <w:tcW w:type="dxa" w:w="3213"/>
          </w:tcPr>
          <w:p>
            <w:pPr>
              <w:spacing w:after="20" w:before="20" w:line="240" w:lineRule="auto"/>
            </w:pPr>
            <w:r/>
            <w:r>
              <w:rPr>
                <w:rFonts w:ascii="Arial" w:hAnsi="Arial" w:cs="Arial"/>
                <w:b w:val="0"/>
                <w:i w:val="0"/>
                <w:sz w:val="17"/>
              </w:rPr>
              <w:t>Submit seller quote (feasibility-checked, versioned)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/v1/quote/{quote_id}</w:t>
            </w:r>
          </w:p>
        </w:tc>
        <w:tc>
          <w:tcPr>
            <w:tcW w:type="dxa" w:w="3213"/>
          </w:tcPr>
          <w:p>
            <w:pPr>
              <w:spacing w:after="20" w:before="20" w:line="240" w:lineRule="auto"/>
            </w:pPr>
            <w:r/>
            <w:r>
              <w:rPr>
                <w:rFonts w:ascii="Arial" w:hAnsi="Arial" w:cs="Arial"/>
                <w:b w:val="0"/>
                <w:i w:val="0"/>
                <w:sz w:val="17"/>
              </w:rPr>
              <w:t>Retrieve quote (version-specific)</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/v1/quote/{quote_id}/accept</w:t>
            </w:r>
          </w:p>
        </w:tc>
        <w:tc>
          <w:tcPr>
            <w:tcW w:type="dxa" w:w="3213"/>
          </w:tcPr>
          <w:p>
            <w:pPr>
              <w:spacing w:after="20" w:before="20" w:line="240" w:lineRule="auto"/>
            </w:pPr>
            <w:r/>
            <w:r>
              <w:rPr>
                <w:rFonts w:ascii="Arial" w:hAnsi="Arial" w:cs="Arial"/>
                <w:b w:val="0"/>
                <w:i w:val="0"/>
                <w:sz w:val="17"/>
              </w:rPr>
              <w:t>Accept a quote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/v1/quote/{quote_id}/decline</w:t>
            </w:r>
          </w:p>
        </w:tc>
        <w:tc>
          <w:tcPr>
            <w:tcW w:type="dxa" w:w="3213"/>
          </w:tcPr>
          <w:p>
            <w:pPr>
              <w:spacing w:after="20" w:before="20" w:line="240" w:lineRule="auto"/>
            </w:pPr>
            <w:r/>
            <w:r>
              <w:rPr>
                <w:rFonts w:ascii="Arial" w:hAnsi="Arial" w:cs="Arial"/>
                <w:b w:val="0"/>
                <w:i w:val="0"/>
                <w:sz w:val="17"/>
              </w:rPr>
              <w:t>Decline with structured reason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/v1/quote/counter</w:t>
            </w:r>
          </w:p>
        </w:tc>
        <w:tc>
          <w:tcPr>
            <w:tcW w:type="dxa" w:w="3213"/>
          </w:tcPr>
          <w:p>
            <w:pPr>
              <w:spacing w:after="20" w:before="20" w:line="240" w:lineRule="auto"/>
            </w:pPr>
            <w:r/>
            <w:r>
              <w:rPr>
                <w:rFonts w:ascii="Arial" w:hAnsi="Arial" w:cs="Arial"/>
                <w:b w:val="0"/>
                <w:i w:val="0"/>
                <w:sz w:val="17"/>
              </w:rPr>
              <w:t>Submit counteroffer with structured reason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/v1/quote/exwlock</w:t>
            </w:r>
          </w:p>
        </w:tc>
        <w:tc>
          <w:tcPr>
            <w:tcW w:type="dxa" w:w="3213"/>
          </w:tcPr>
          <w:p>
            <w:pPr>
              <w:spacing w:after="20" w:before="20" w:line="240" w:lineRule="auto"/>
            </w:pPr>
            <w:r/>
            <w:r>
              <w:rPr>
                <w:rFonts w:ascii="Arial" w:hAnsi="Arial" w:cs="Arial"/>
                <w:b w:val="0"/>
                <w:i w:val="0"/>
                <w:sz w:val="17"/>
              </w:rPr>
              <w:t>Lock EXW price with AI fair-price advisory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/v1/quote/loading-origin</w:t>
            </w:r>
          </w:p>
        </w:tc>
        <w:tc>
          <w:tcPr>
            <w:tcW w:type="dxa" w:w="3213"/>
          </w:tcPr>
          <w:p>
            <w:pPr>
              <w:spacing w:after="20" w:before="20" w:line="240" w:lineRule="auto"/>
            </w:pPr>
            <w:r/>
            <w:r>
              <w:rPr>
                <w:rFonts w:ascii="Arial" w:hAnsi="Arial" w:cs="Arial"/>
                <w:b w:val="0"/>
                <w:i w:val="0"/>
                <w:sz w:val="17"/>
              </w:rPr>
              <w:t>Record loading origin and availability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/v1/quote/alternative-ports</w:t>
            </w:r>
          </w:p>
        </w:tc>
        <w:tc>
          <w:tcPr>
            <w:tcW w:type="dxa" w:w="3213"/>
          </w:tcPr>
          <w:p>
            <w:pPr>
              <w:spacing w:after="20" w:before="20" w:line="240" w:lineRule="auto"/>
            </w:pPr>
            <w:r/>
            <w:r>
              <w:rPr>
                <w:rFonts w:ascii="Arial" w:hAnsi="Arial" w:cs="Arial"/>
                <w:b w:val="0"/>
                <w:i w:val="0"/>
                <w:sz w:val="17"/>
              </w:rPr>
              <w:t>Generate alternative port/route scenarios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/v1/quote/delivery-options/{quote_id}</w:t>
            </w:r>
          </w:p>
        </w:tc>
        <w:tc>
          <w:tcPr>
            <w:tcW w:type="dxa" w:w="3213"/>
          </w:tcPr>
          <w:p>
            <w:pPr>
              <w:spacing w:after="20" w:before="20" w:line="240" w:lineRule="auto"/>
            </w:pPr>
            <w:r/>
            <w:r>
              <w:rPr>
                <w:rFonts w:ascii="Arial" w:hAnsi="Arial" w:cs="Arial"/>
                <w:b w:val="0"/>
                <w:i w:val="0"/>
                <w:sz w:val="17"/>
              </w:rPr>
              <w:t>Retrieve delivery options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/v1/quote/logistics/manual</w:t>
            </w:r>
          </w:p>
        </w:tc>
        <w:tc>
          <w:tcPr>
            <w:tcW w:type="dxa" w:w="3213"/>
          </w:tcPr>
          <w:p>
            <w:pPr>
              <w:spacing w:after="20" w:before="20" w:line="240" w:lineRule="auto"/>
            </w:pPr>
            <w:r/>
            <w:r>
              <w:rPr>
                <w:rFonts w:ascii="Arial" w:hAnsi="Arial" w:cs="Arial"/>
                <w:b w:val="0"/>
                <w:i w:val="0"/>
                <w:sz w:val="17"/>
              </w:rPr>
              <w:t>Mode A — enter known logistics costs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/v1/quote/logistics/rfq</w:t>
            </w:r>
          </w:p>
        </w:tc>
        <w:tc>
          <w:tcPr>
            <w:tcW w:type="dxa" w:w="3213"/>
          </w:tcPr>
          <w:p>
            <w:pPr>
              <w:spacing w:after="20" w:before="20" w:line="240" w:lineRule="auto"/>
            </w:pPr>
            <w:r/>
            <w:r>
              <w:rPr>
                <w:rFonts w:ascii="Arial" w:hAnsi="Arial" w:cs="Arial"/>
                <w:b w:val="0"/>
                <w:i w:val="0"/>
                <w:sz w:val="17"/>
              </w:rPr>
              <w:t>Mode B — RFQ to capability-matched providers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/v1/quote/logistics/ship-direct</w:t>
            </w:r>
          </w:p>
        </w:tc>
        <w:tc>
          <w:tcPr>
            <w:tcW w:type="dxa" w:w="3213"/>
          </w:tcPr>
          <w:p>
            <w:pPr>
              <w:spacing w:after="20" w:before="20" w:line="240" w:lineRule="auto"/>
            </w:pPr>
            <w:r/>
            <w:r>
              <w:rPr>
                <w:rFonts w:ascii="Arial" w:hAnsi="Arial" w:cs="Arial"/>
                <w:b w:val="0"/>
                <w:i w:val="0"/>
                <w:sz w:val="17"/>
              </w:rPr>
              <w:t>Mode C — direct carrier request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/v1/quote/logistics/select</w:t>
            </w:r>
          </w:p>
        </w:tc>
        <w:tc>
          <w:tcPr>
            <w:tcW w:type="dxa" w:w="3213"/>
          </w:tcPr>
          <w:p>
            <w:pPr>
              <w:spacing w:after="20" w:before="20" w:line="240" w:lineRule="auto"/>
            </w:pPr>
            <w:r/>
            <w:r>
              <w:rPr>
                <w:rFonts w:ascii="Arial" w:hAnsi="Arial" w:cs="Arial"/>
                <w:b w:val="0"/>
                <w:i w:val="0"/>
                <w:sz w:val="17"/>
              </w:rPr>
              <w:t>Select a logistics option (constraint-engine validated)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/v1/quote/logistics/clarify</w:t>
            </w:r>
          </w:p>
        </w:tc>
        <w:tc>
          <w:tcPr>
            <w:tcW w:type="dxa" w:w="3213"/>
          </w:tcPr>
          <w:p>
            <w:pPr>
              <w:spacing w:after="20" w:before="20" w:line="240" w:lineRule="auto"/>
            </w:pPr>
            <w:r/>
            <w:r>
              <w:rPr>
                <w:rFonts w:ascii="Arial" w:hAnsi="Arial" w:cs="Arial"/>
                <w:b w:val="0"/>
                <w:i w:val="0"/>
                <w:sz w:val="17"/>
              </w:rPr>
              <w:t>Provider clarification request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/v1/quote/logistics/reoptimise</w:t>
            </w:r>
          </w:p>
        </w:tc>
        <w:tc>
          <w:tcPr>
            <w:tcW w:type="dxa" w:w="3213"/>
          </w:tcPr>
          <w:p>
            <w:pPr>
              <w:spacing w:after="20" w:before="20" w:line="240" w:lineRule="auto"/>
            </w:pPr>
            <w:r/>
            <w:r>
              <w:rPr>
                <w:rFonts w:ascii="Arial" w:hAnsi="Arial" w:cs="Arial"/>
                <w:b w:val="0"/>
                <w:i w:val="0"/>
                <w:sz w:val="17"/>
              </w:rPr>
              <w:t>Re-optimise logistics bundle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/v1/quote/logistics/bundle</w:t>
            </w:r>
          </w:p>
        </w:tc>
        <w:tc>
          <w:tcPr>
            <w:tcW w:type="dxa" w:w="3213"/>
          </w:tcPr>
          <w:p>
            <w:pPr>
              <w:spacing w:after="20" w:before="20" w:line="240" w:lineRule="auto"/>
            </w:pPr>
            <w:r/>
            <w:r>
              <w:rPr>
                <w:rFonts w:ascii="Arial" w:hAnsi="Arial" w:cs="Arial"/>
                <w:b w:val="0"/>
                <w:i w:val="0"/>
                <w:sz w:val="17"/>
              </w:rPr>
              <w:t>Logistics bundle optimiser recommendation (advisory)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/v1/quotations</w:t>
            </w:r>
          </w:p>
        </w:tc>
        <w:tc>
          <w:tcPr>
            <w:tcW w:type="dxa" w:w="3213"/>
          </w:tcPr>
          <w:p>
            <w:pPr>
              <w:spacing w:after="20" w:before="20" w:line="240" w:lineRule="auto"/>
            </w:pPr>
            <w:r/>
            <w:r>
              <w:rPr>
                <w:rFonts w:ascii="Arial" w:hAnsi="Arial" w:cs="Arial"/>
                <w:b w:val="0"/>
                <w:i w:val="0"/>
                <w:sz w:val="17"/>
              </w:rPr>
              <w:t>Service quotation submission (providers)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/v1/quote/fee/breakdown/{trade_id}</w:t>
            </w:r>
          </w:p>
        </w:tc>
        <w:tc>
          <w:tcPr>
            <w:tcW w:type="dxa" w:w="3213"/>
          </w:tcPr>
          <w:p>
            <w:pPr>
              <w:spacing w:after="20" w:before="20" w:line="240" w:lineRule="auto"/>
            </w:pPr>
            <w:r/>
            <w:r>
              <w:rPr>
                <w:rFonts w:ascii="Arial" w:hAnsi="Arial" w:cs="Arial"/>
                <w:b w:val="0"/>
                <w:i w:val="0"/>
                <w:sz w:val="17"/>
              </w:rPr>
              <w:t>Transparent fee waterfall for a trade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18.5 Financing Pre-Clearance (CFR)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/v1/financing/pre-clearance/request</w:t>
            </w:r>
          </w:p>
        </w:tc>
        <w:tc>
          <w:tcPr>
            <w:tcW w:type="dxa" w:w="3213"/>
          </w:tcPr>
          <w:p>
            <w:pPr>
              <w:spacing w:after="20" w:before="20" w:line="240" w:lineRule="auto"/>
            </w:pPr>
            <w:r/>
            <w:r>
              <w:rPr>
                <w:rFonts w:ascii="Arial" w:hAnsi="Arial" w:cs="Arial"/>
                <w:b w:val="0"/>
                <w:i w:val="0"/>
                <w:sz w:val="17"/>
              </w:rPr>
              <w:t>Borrower requests pre-clearance (masked trade digest)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/v1/financing/pre-clearance/{id}</w:t>
            </w:r>
          </w:p>
        </w:tc>
        <w:tc>
          <w:tcPr>
            <w:tcW w:type="dxa" w:w="3213"/>
          </w:tcPr>
          <w:p>
            <w:pPr>
              <w:spacing w:after="20" w:before="20" w:line="240" w:lineRule="auto"/>
            </w:pPr>
            <w:r/>
            <w:r>
              <w:rPr>
                <w:rFonts w:ascii="Arial" w:hAnsi="Arial" w:cs="Arial"/>
                <w:b w:val="0"/>
                <w:i w:val="0"/>
                <w:sz w:val="17"/>
              </w:rPr>
              <w:t>Retrieve pre-clearance request (financier view)</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/v1/financing/pre-clearance/{id}/review</w:t>
            </w:r>
          </w:p>
        </w:tc>
        <w:tc>
          <w:tcPr>
            <w:tcW w:type="dxa" w:w="3213"/>
          </w:tcPr>
          <w:p>
            <w:pPr>
              <w:spacing w:after="20" w:before="20" w:line="240" w:lineRule="auto"/>
            </w:pPr>
            <w:r/>
            <w:r>
              <w:rPr>
                <w:rFonts w:ascii="Arial" w:hAnsi="Arial" w:cs="Arial"/>
                <w:b w:val="0"/>
                <w:i w:val="0"/>
                <w:sz w:val="17"/>
              </w:rPr>
              <w:t>Financier accepts review (unmask parties)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/v1/financing/pre-clearance/{id}/issue</w:t>
            </w:r>
          </w:p>
        </w:tc>
        <w:tc>
          <w:tcPr>
            <w:tcW w:type="dxa" w:w="3213"/>
          </w:tcPr>
          <w:p>
            <w:pPr>
              <w:spacing w:after="20" w:before="20" w:line="240" w:lineRule="auto"/>
            </w:pPr>
            <w:r/>
            <w:r>
              <w:rPr>
                <w:rFonts w:ascii="Arial" w:hAnsi="Arial" w:cs="Arial"/>
                <w:b w:val="0"/>
                <w:i w:val="0"/>
                <w:sz w:val="17"/>
              </w:rPr>
              <w:t>Financier issues the CFR (amount, APR, conditions, validity)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/v1/financing/pre-clearance/{id}/reject</w:t>
            </w:r>
          </w:p>
        </w:tc>
        <w:tc>
          <w:tcPr>
            <w:tcW w:type="dxa" w:w="3213"/>
          </w:tcPr>
          <w:p>
            <w:pPr>
              <w:spacing w:after="20" w:before="20" w:line="240" w:lineRule="auto"/>
            </w:pPr>
            <w:r/>
            <w:r>
              <w:rPr>
                <w:rFonts w:ascii="Arial" w:hAnsi="Arial" w:cs="Arial"/>
                <w:b w:val="0"/>
                <w:i w:val="0"/>
                <w:sz w:val="17"/>
              </w:rPr>
              <w:t>Financier rejects with reason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/v1/financing/pre-clearance/valid</w:t>
            </w:r>
          </w:p>
        </w:tc>
        <w:tc>
          <w:tcPr>
            <w:tcW w:type="dxa" w:w="3213"/>
          </w:tcPr>
          <w:p>
            <w:pPr>
              <w:spacing w:after="20" w:before="20" w:line="240" w:lineRule="auto"/>
            </w:pPr>
            <w:r/>
            <w:r>
              <w:rPr>
                <w:rFonts w:ascii="Arial" w:hAnsi="Arial" w:cs="Arial"/>
                <w:b w:val="0"/>
                <w:i w:val="0"/>
                <w:sz w:val="17"/>
              </w:rPr>
              <w:t>Validate CFR existence/validity for a trade request (G3U12/G3U13)</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18.6 Financing</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/v1/finance/request</w:t>
            </w:r>
          </w:p>
        </w:tc>
        <w:tc>
          <w:tcPr>
            <w:tcW w:type="dxa" w:w="3213"/>
          </w:tcPr>
          <w:p>
            <w:pPr>
              <w:spacing w:after="20" w:before="20" w:line="240" w:lineRule="auto"/>
            </w:pPr>
            <w:r/>
            <w:r>
              <w:rPr>
                <w:rFonts w:ascii="Arial" w:hAnsi="Arial" w:cs="Arial"/>
                <w:b w:val="0"/>
                <w:i w:val="0"/>
                <w:sz w:val="17"/>
              </w:rPr>
              <w:t>Create formal financing request (auto-populated from locked trade + CFR)</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/v1/finance/opportunities</w:t>
            </w:r>
          </w:p>
        </w:tc>
        <w:tc>
          <w:tcPr>
            <w:tcW w:type="dxa" w:w="3213"/>
          </w:tcPr>
          <w:p>
            <w:pPr>
              <w:spacing w:after="20" w:before="20" w:line="240" w:lineRule="auto"/>
            </w:pPr>
            <w:r/>
            <w:r>
              <w:rPr>
                <w:rFonts w:ascii="Arial" w:hAnsi="Arial" w:cs="Arial"/>
                <w:b w:val="0"/>
                <w:i w:val="0"/>
                <w:sz w:val="17"/>
              </w:rPr>
              <w:t>Financier: eligible RFQ feed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/v1/finance/bid</w:t>
            </w:r>
          </w:p>
        </w:tc>
        <w:tc>
          <w:tcPr>
            <w:tcW w:type="dxa" w:w="3213"/>
          </w:tcPr>
          <w:p>
            <w:pPr>
              <w:spacing w:after="20" w:before="20" w:line="240" w:lineRule="auto"/>
            </w:pPr>
            <w:r/>
            <w:r>
              <w:rPr>
                <w:rFonts w:ascii="Arial" w:hAnsi="Arial" w:cs="Arial"/>
                <w:b w:val="0"/>
                <w:i w:val="0"/>
                <w:sz w:val="17"/>
              </w:rPr>
              <w:t>Submit a (versioned, encrypted) bid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/v1/finance/bids/{request_id}</w:t>
            </w:r>
          </w:p>
        </w:tc>
        <w:tc>
          <w:tcPr>
            <w:tcW w:type="dxa" w:w="3213"/>
          </w:tcPr>
          <w:p>
            <w:pPr>
              <w:spacing w:after="20" w:before="20" w:line="240" w:lineRule="auto"/>
            </w:pPr>
            <w:r/>
            <w:r>
              <w:rPr>
                <w:rFonts w:ascii="Arial" w:hAnsi="Arial" w:cs="Arial"/>
                <w:b w:val="0"/>
                <w:i w:val="0"/>
                <w:sz w:val="17"/>
              </w:rPr>
              <w:t>Borrower: bids received (blind-bidding rules applied)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/v1/finance/co-financing/accept</w:t>
            </w:r>
          </w:p>
        </w:tc>
        <w:tc>
          <w:tcPr>
            <w:tcW w:type="dxa" w:w="3213"/>
          </w:tcPr>
          <w:p>
            <w:pPr>
              <w:spacing w:after="20" w:before="20" w:line="240" w:lineRule="auto"/>
            </w:pPr>
            <w:r/>
            <w:r>
              <w:rPr>
                <w:rFonts w:ascii="Arial" w:hAnsi="Arial" w:cs="Arial"/>
                <w:b w:val="0"/>
                <w:i w:val="0"/>
                <w:sz w:val="17"/>
              </w:rPr>
              <w:t>Accept co-financing composition (waterfall-verified)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/v1/finance/award</w:t>
            </w:r>
          </w:p>
        </w:tc>
        <w:tc>
          <w:tcPr>
            <w:tcW w:type="dxa" w:w="3213"/>
          </w:tcPr>
          <w:p>
            <w:pPr>
              <w:spacing w:after="20" w:before="20" w:line="240" w:lineRule="auto"/>
            </w:pPr>
            <w:r/>
            <w:r>
              <w:rPr>
                <w:rFonts w:ascii="Arial" w:hAnsi="Arial" w:cs="Arial"/>
                <w:b w:val="0"/>
                <w:i w:val="0"/>
                <w:sz w:val="17"/>
              </w:rPr>
              <w:t>Award financing (Governor-gated)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/v1/finance/agreement/{id}</w:t>
            </w:r>
          </w:p>
        </w:tc>
        <w:tc>
          <w:tcPr>
            <w:tcW w:type="dxa" w:w="3213"/>
          </w:tcPr>
          <w:p>
            <w:pPr>
              <w:spacing w:after="20" w:before="20" w:line="240" w:lineRule="auto"/>
            </w:pPr>
            <w:r/>
            <w:r>
              <w:rPr>
                <w:rFonts w:ascii="Arial" w:hAnsi="Arial" w:cs="Arial"/>
                <w:b w:val="0"/>
                <w:i w:val="0"/>
                <w:sz w:val="17"/>
              </w:rPr>
              <w:t>Retrieve executed financing agreement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/v1/finance/disburse</w:t>
            </w:r>
          </w:p>
        </w:tc>
        <w:tc>
          <w:tcPr>
            <w:tcW w:type="dxa" w:w="3213"/>
          </w:tcPr>
          <w:p>
            <w:pPr>
              <w:spacing w:after="20" w:before="20" w:line="240" w:lineRule="auto"/>
            </w:pPr>
            <w:r/>
            <w:r>
              <w:rPr>
                <w:rFonts w:ascii="Arial" w:hAnsi="Arial" w:cs="Arial"/>
                <w:b w:val="0"/>
                <w:i w:val="0"/>
                <w:sz w:val="17"/>
              </w:rPr>
              <w:t>Authorise disbursement (evidence-based state advance)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/v1/finance/historical/{borrower_gtid}</w:t>
            </w:r>
          </w:p>
        </w:tc>
        <w:tc>
          <w:tcPr>
            <w:tcW w:type="dxa" w:w="3213"/>
          </w:tcPr>
          <w:p>
            <w:pPr>
              <w:spacing w:after="20" w:before="20" w:line="240" w:lineRule="auto"/>
            </w:pPr>
            <w:r/>
            <w:r>
              <w:rPr>
                <w:rFonts w:ascii="Arial" w:hAnsi="Arial" w:cs="Arial"/>
                <w:b w:val="0"/>
                <w:i w:val="0"/>
                <w:sz w:val="17"/>
              </w:rPr>
              <w:t>Borrower financing history (authorised views)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/v1/finance/preferences</w:t>
            </w:r>
          </w:p>
        </w:tc>
        <w:tc>
          <w:tcPr>
            <w:tcW w:type="dxa" w:w="3213"/>
          </w:tcPr>
          <w:p>
            <w:pPr>
              <w:spacing w:after="20" w:before="20" w:line="240" w:lineRule="auto"/>
            </w:pPr>
            <w:r/>
            <w:r>
              <w:rPr>
                <w:rFonts w:ascii="Arial" w:hAnsi="Arial" w:cs="Arial"/>
                <w:b w:val="0"/>
                <w:i w:val="0"/>
                <w:sz w:val="17"/>
              </w:rPr>
              <w:t>Financier preference engine (versioned)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/v1/finance/documents/{ustn}</w:t>
            </w:r>
          </w:p>
        </w:tc>
        <w:tc>
          <w:tcPr>
            <w:tcW w:type="dxa" w:w="3213"/>
          </w:tcPr>
          <w:p>
            <w:pPr>
              <w:spacing w:after="20" w:before="20" w:line="240" w:lineRule="auto"/>
            </w:pPr>
            <w:r/>
            <w:r>
              <w:rPr>
                <w:rFonts w:ascii="Arial" w:hAnsi="Arial" w:cs="Arial"/>
                <w:b w:val="0"/>
                <w:i w:val="0"/>
                <w:sz w:val="17"/>
              </w:rPr>
              <w:t>Financing document package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/v1/finance/document/create</w:t>
            </w:r>
          </w:p>
        </w:tc>
        <w:tc>
          <w:tcPr>
            <w:tcW w:type="dxa" w:w="3213"/>
          </w:tcPr>
          <w:p>
            <w:pPr>
              <w:spacing w:after="20" w:before="20" w:line="240" w:lineRule="auto"/>
            </w:pPr>
            <w:r/>
            <w:r>
              <w:rPr>
                <w:rFonts w:ascii="Arial" w:hAnsi="Arial" w:cs="Arial"/>
                <w:b w:val="0"/>
                <w:i w:val="0"/>
                <w:sz w:val="17"/>
              </w:rPr>
              <w:t>Create financing document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/v1/finance/document/sign</w:t>
            </w:r>
          </w:p>
        </w:tc>
        <w:tc>
          <w:tcPr>
            <w:tcW w:type="dxa" w:w="3213"/>
          </w:tcPr>
          <w:p>
            <w:pPr>
              <w:spacing w:after="20" w:before="20" w:line="240" w:lineRule="auto"/>
            </w:pPr>
            <w:r/>
            <w:r>
              <w:rPr>
                <w:rFonts w:ascii="Arial" w:hAnsi="Arial" w:cs="Arial"/>
                <w:b w:val="0"/>
                <w:i w:val="0"/>
                <w:sz w:val="17"/>
              </w:rPr>
              <w:t>Sign financing document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/v1/finance/back-to-back/create</w:t>
            </w:r>
          </w:p>
        </w:tc>
        <w:tc>
          <w:tcPr>
            <w:tcW w:type="dxa" w:w="3213"/>
          </w:tcPr>
          <w:p>
            <w:pPr>
              <w:spacing w:after="20" w:before="20" w:line="240" w:lineRule="auto"/>
            </w:pPr>
            <w:r/>
            <w:r>
              <w:rPr>
                <w:rFonts w:ascii="Arial" w:hAnsi="Arial" w:cs="Arial"/>
                <w:b w:val="0"/>
                <w:i w:val="0"/>
                <w:sz w:val="17"/>
              </w:rPr>
              <w:t>Back-to-back LC chain creation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/v1/finance/back-to-back/chain/{ustn}</w:t>
            </w:r>
          </w:p>
        </w:tc>
        <w:tc>
          <w:tcPr>
            <w:tcW w:type="dxa" w:w="3213"/>
          </w:tcPr>
          <w:p>
            <w:pPr>
              <w:spacing w:after="20" w:before="20" w:line="240" w:lineRule="auto"/>
            </w:pPr>
            <w:r/>
            <w:r>
              <w:rPr>
                <w:rFonts w:ascii="Arial" w:hAnsi="Arial" w:cs="Arial"/>
                <w:b w:val="0"/>
                <w:i w:val="0"/>
                <w:sz w:val="17"/>
              </w:rPr>
              <w:t>Back-to-back chain view</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/v1/financing/{id}/command-center</w:t>
            </w:r>
          </w:p>
        </w:tc>
        <w:tc>
          <w:tcPr>
            <w:tcW w:type="dxa" w:w="3213"/>
          </w:tcPr>
          <w:p>
            <w:pPr>
              <w:spacing w:after="20" w:before="20" w:line="240" w:lineRule="auto"/>
            </w:pPr>
            <w:r/>
            <w:r>
              <w:rPr>
                <w:rFonts w:ascii="Arial" w:hAnsi="Arial" w:cs="Arial"/>
                <w:b w:val="0"/>
                <w:i w:val="0"/>
                <w:sz w:val="17"/>
              </w:rPr>
              <w:t>Financing context for TCC</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18.7 Packing &amp; Containerisation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/v1/packing/plan</w:t>
            </w:r>
          </w:p>
        </w:tc>
        <w:tc>
          <w:tcPr>
            <w:tcW w:type="dxa" w:w="3213"/>
          </w:tcPr>
          <w:p>
            <w:pPr>
              <w:spacing w:after="20" w:before="20" w:line="240" w:lineRule="auto"/>
            </w:pPr>
            <w:r/>
            <w:r>
              <w:rPr>
                <w:rFonts w:ascii="Arial" w:hAnsi="Arial" w:cs="Arial"/>
                <w:b w:val="0"/>
                <w:i w:val="0"/>
                <w:sz w:val="17"/>
              </w:rPr>
              <w:t>Create packing plan (controlled artifact)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/v1/packing/{id}</w:t>
            </w:r>
          </w:p>
        </w:tc>
        <w:tc>
          <w:tcPr>
            <w:tcW w:type="dxa" w:w="3213"/>
          </w:tcPr>
          <w:p>
            <w:pPr>
              <w:spacing w:after="20" w:before="20" w:line="240" w:lineRule="auto"/>
            </w:pPr>
            <w:r/>
            <w:r>
              <w:rPr>
                <w:rFonts w:ascii="Arial" w:hAnsi="Arial" w:cs="Arial"/>
                <w:b w:val="0"/>
                <w:i w:val="0"/>
                <w:sz w:val="17"/>
              </w:rPr>
              <w:t>Retrieve packing plan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/v1/packing/optimise</w:t>
            </w:r>
          </w:p>
        </w:tc>
        <w:tc>
          <w:tcPr>
            <w:tcW w:type="dxa" w:w="3213"/>
          </w:tcPr>
          <w:p>
            <w:pPr>
              <w:spacing w:after="20" w:before="20" w:line="240" w:lineRule="auto"/>
            </w:pPr>
            <w:r/>
            <w:r>
              <w:rPr>
                <w:rFonts w:ascii="Arial" w:hAnsi="Arial" w:cs="Arial"/>
                <w:b w:val="0"/>
                <w:i w:val="0"/>
                <w:sz w:val="17"/>
              </w:rPr>
              <w:t>OR-Tools palletisation optimisation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/v1/packing/layer-pattern</w:t>
            </w:r>
          </w:p>
        </w:tc>
        <w:tc>
          <w:tcPr>
            <w:tcW w:type="dxa" w:w="3213"/>
          </w:tcPr>
          <w:p>
            <w:pPr>
              <w:spacing w:after="20" w:before="20" w:line="240" w:lineRule="auto"/>
            </w:pPr>
            <w:r/>
            <w:r>
              <w:rPr>
                <w:rFonts w:ascii="Arial" w:hAnsi="Arial" w:cs="Arial"/>
                <w:b w:val="0"/>
                <w:i w:val="0"/>
                <w:sz w:val="17"/>
              </w:rPr>
              <w:t>Non-uniform layer stacking pattern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/v1/packing/weight/calculate</w:t>
            </w:r>
          </w:p>
        </w:tc>
        <w:tc>
          <w:tcPr>
            <w:tcW w:type="dxa" w:w="3213"/>
          </w:tcPr>
          <w:p>
            <w:pPr>
              <w:spacing w:after="20" w:before="20" w:line="240" w:lineRule="auto"/>
            </w:pPr>
            <w:r/>
            <w:r>
              <w:rPr>
                <w:rFonts w:ascii="Arial" w:hAnsi="Arial" w:cs="Arial"/>
                <w:b w:val="0"/>
                <w:i w:val="0"/>
                <w:sz w:val="17"/>
              </w:rPr>
              <w:t>Net/gross weight calculation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/v1/packing/visual-layout</w:t>
            </w:r>
          </w:p>
        </w:tc>
        <w:tc>
          <w:tcPr>
            <w:tcW w:type="dxa" w:w="3213"/>
          </w:tcPr>
          <w:p>
            <w:pPr>
              <w:spacing w:after="20" w:before="20" w:line="240" w:lineRule="auto"/>
            </w:pPr>
            <w:r/>
            <w:r>
              <w:rPr>
                <w:rFonts w:ascii="Arial" w:hAnsi="Arial" w:cs="Arial"/>
                <w:b w:val="0"/>
                <w:i w:val="0"/>
                <w:sz w:val="17"/>
              </w:rPr>
              <w:t>3D container viewer layout data</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/v1/packing/collaborative/session</w:t>
            </w:r>
          </w:p>
        </w:tc>
        <w:tc>
          <w:tcPr>
            <w:tcW w:type="dxa" w:w="3213"/>
          </w:tcPr>
          <w:p>
            <w:pPr>
              <w:spacing w:after="20" w:before="20" w:line="240" w:lineRule="auto"/>
            </w:pPr>
            <w:r/>
            <w:r>
              <w:rPr>
                <w:rFonts w:ascii="Arial" w:hAnsi="Arial" w:cs="Arial"/>
                <w:b w:val="0"/>
                <w:i w:val="0"/>
                <w:sz w:val="17"/>
              </w:rPr>
              <w:t>Collaborative packing plan editing</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/v1/packing/refresh</w:t>
            </w:r>
          </w:p>
        </w:tc>
        <w:tc>
          <w:tcPr>
            <w:tcW w:type="dxa" w:w="3213"/>
          </w:tcPr>
          <w:p>
            <w:pPr>
              <w:spacing w:after="20" w:before="20" w:line="240" w:lineRule="auto"/>
            </w:pPr>
            <w:r/>
            <w:r>
              <w:rPr>
                <w:rFonts w:ascii="Arial" w:hAnsi="Arial" w:cs="Arial"/>
                <w:b w:val="0"/>
                <w:i w:val="0"/>
                <w:sz w:val="17"/>
              </w:rPr>
              <w:t>Refresh packing plan from changes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/v1/packing/carbon-footprint</w:t>
            </w:r>
          </w:p>
        </w:tc>
        <w:tc>
          <w:tcPr>
            <w:tcW w:type="dxa" w:w="3213"/>
          </w:tcPr>
          <w:p>
            <w:pPr>
              <w:spacing w:after="20" w:before="20" w:line="240" w:lineRule="auto"/>
            </w:pPr>
            <w:r/>
            <w:r>
              <w:rPr>
                <w:rFonts w:ascii="Arial" w:hAnsi="Arial" w:cs="Arial"/>
                <w:b w:val="0"/>
                <w:i w:val="0"/>
                <w:sz w:val="17"/>
              </w:rPr>
              <w:t>Carbon footprint calculation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/v1/packing/generate-labels</w:t>
            </w:r>
          </w:p>
        </w:tc>
        <w:tc>
          <w:tcPr>
            <w:tcW w:type="dxa" w:w="3213"/>
          </w:tcPr>
          <w:p>
            <w:pPr>
              <w:spacing w:after="20" w:before="20" w:line="240" w:lineRule="auto"/>
            </w:pPr>
            <w:r/>
            <w:r>
              <w:rPr>
                <w:rFonts w:ascii="Arial" w:hAnsi="Arial" w:cs="Arial"/>
                <w:b w:val="0"/>
                <w:i w:val="0"/>
                <w:sz w:val="17"/>
              </w:rPr>
              <w:t>SSCC barcode label generation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/v1/packing/{id}/lock</w:t>
            </w:r>
          </w:p>
        </w:tc>
        <w:tc>
          <w:tcPr>
            <w:tcW w:type="dxa" w:w="3213"/>
          </w:tcPr>
          <w:p>
            <w:pPr>
              <w:spacing w:after="20" w:before="20" w:line="240" w:lineRule="auto"/>
            </w:pPr>
            <w:r/>
            <w:r>
              <w:rPr>
                <w:rFonts w:ascii="Arial" w:hAnsi="Arial" w:cs="Arial"/>
                <w:b w:val="0"/>
                <w:i w:val="0"/>
                <w:sz w:val="17"/>
              </w:rPr>
              <w:t>Lock packing plan (Loom-hashed, G2U14)</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/v1/packing/{id}/unlock</w:t>
            </w:r>
          </w:p>
        </w:tc>
        <w:tc>
          <w:tcPr>
            <w:tcW w:type="dxa" w:w="3213"/>
          </w:tcPr>
          <w:p>
            <w:pPr>
              <w:spacing w:after="20" w:before="20" w:line="240" w:lineRule="auto"/>
            </w:pPr>
            <w:r/>
            <w:r>
              <w:rPr>
                <w:rFonts w:ascii="Arial" w:hAnsi="Arial" w:cs="Arial"/>
                <w:b w:val="0"/>
                <w:i w:val="0"/>
                <w:sz w:val="17"/>
              </w:rPr>
              <w:t>Governed unlock</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/v1/packing/{id}/reprint</w:t>
            </w:r>
          </w:p>
        </w:tc>
        <w:tc>
          <w:tcPr>
            <w:tcW w:type="dxa" w:w="3213"/>
          </w:tcPr>
          <w:p>
            <w:pPr>
              <w:spacing w:after="20" w:before="20" w:line="240" w:lineRule="auto"/>
            </w:pPr>
            <w:r/>
            <w:r>
              <w:rPr>
                <w:rFonts w:ascii="Arial" w:hAnsi="Arial" w:cs="Arial"/>
                <w:b w:val="0"/>
                <w:i w:val="0"/>
                <w:sz w:val="17"/>
              </w:rPr>
              <w:t>Reprint labels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18.8 Contract, Signature &amp; Fee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/v1/contract/generate</w:t>
            </w:r>
          </w:p>
        </w:tc>
        <w:tc>
          <w:tcPr>
            <w:tcW w:type="dxa" w:w="3213"/>
          </w:tcPr>
          <w:p>
            <w:pPr>
              <w:spacing w:after="20" w:before="20" w:line="240" w:lineRule="auto"/>
            </w:pPr>
            <w:r/>
            <w:r>
              <w:rPr>
                <w:rFonts w:ascii="Arial" w:hAnsi="Arial" w:cs="Arial"/>
                <w:b w:val="0"/>
                <w:i w:val="0"/>
                <w:sz w:val="17"/>
              </w:rPr>
              <w:t>Generate SGTX contract from final term sheet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/v1/contract/upload</w:t>
            </w:r>
          </w:p>
        </w:tc>
        <w:tc>
          <w:tcPr>
            <w:tcW w:type="dxa" w:w="3213"/>
          </w:tcPr>
          <w:p>
            <w:pPr>
              <w:spacing w:after="20" w:before="20" w:line="240" w:lineRule="auto"/>
            </w:pPr>
            <w:r/>
            <w:r>
              <w:rPr>
                <w:rFonts w:ascii="Arial" w:hAnsi="Arial" w:cs="Arial"/>
                <w:b w:val="0"/>
                <w:i w:val="0"/>
                <w:sz w:val="17"/>
              </w:rPr>
              <w:t>Upload external contract (extraction + consistency engine)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/v1/contract/sign</w:t>
            </w:r>
          </w:p>
        </w:tc>
        <w:tc>
          <w:tcPr>
            <w:tcW w:type="dxa" w:w="3213"/>
          </w:tcPr>
          <w:p>
            <w:pPr>
              <w:spacing w:after="20" w:before="20" w:line="240" w:lineRule="auto"/>
            </w:pPr>
            <w:r/>
            <w:r>
              <w:rPr>
                <w:rFonts w:ascii="Arial" w:hAnsi="Arial" w:cs="Arial"/>
                <w:b w:val="0"/>
                <w:i w:val="0"/>
                <w:sz w:val="17"/>
              </w:rPr>
              <w:t>Sign exact document version (QES)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/v1/contract/lock</w:t>
            </w:r>
          </w:p>
        </w:tc>
        <w:tc>
          <w:tcPr>
            <w:tcW w:type="dxa" w:w="3213"/>
          </w:tcPr>
          <w:p>
            <w:pPr>
              <w:spacing w:after="20" w:before="20" w:line="240" w:lineRule="auto"/>
            </w:pPr>
            <w:r/>
            <w:r>
              <w:rPr>
                <w:rFonts w:ascii="Arial" w:hAnsi="Arial" w:cs="Arial"/>
                <w:b w:val="0"/>
                <w:i w:val="0"/>
                <w:sz w:val="17"/>
              </w:rPr>
              <w:t>Atomic lock (precondition engine, G3 gates)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/v1/fee/calculate</w:t>
            </w:r>
          </w:p>
        </w:tc>
        <w:tc>
          <w:tcPr>
            <w:tcW w:type="dxa" w:w="3213"/>
          </w:tcPr>
          <w:p>
            <w:pPr>
              <w:spacing w:after="20" w:before="20" w:line="240" w:lineRule="auto"/>
            </w:pPr>
            <w:r/>
            <w:r>
              <w:rPr>
                <w:rFonts w:ascii="Arial" w:hAnsi="Arial" w:cs="Arial"/>
                <w:b w:val="0"/>
                <w:i w:val="0"/>
                <w:sz w:val="17"/>
              </w:rPr>
              <w:t>Deterministic fee calculation (backend-authoritative)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/v1/fee/breakdown/{trade_id}</w:t>
            </w:r>
          </w:p>
        </w:tc>
        <w:tc>
          <w:tcPr>
            <w:tcW w:type="dxa" w:w="3213"/>
          </w:tcPr>
          <w:p>
            <w:pPr>
              <w:spacing w:after="20" w:before="20" w:line="240" w:lineRule="auto"/>
            </w:pPr>
            <w:r/>
            <w:r>
              <w:rPr>
                <w:rFonts w:ascii="Arial" w:hAnsi="Arial" w:cs="Arial"/>
                <w:b w:val="0"/>
                <w:i w:val="0"/>
                <w:sz w:val="17"/>
              </w:rPr>
              <w:t>Fee transparency breakdown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/v1/fee/pay</w:t>
            </w:r>
          </w:p>
        </w:tc>
        <w:tc>
          <w:tcPr>
            <w:tcW w:type="dxa" w:w="3213"/>
          </w:tcPr>
          <w:p>
            <w:pPr>
              <w:spacing w:after="20" w:before="20" w:line="240" w:lineRule="auto"/>
            </w:pPr>
            <w:r/>
            <w:r>
              <w:rPr>
                <w:rFonts w:ascii="Arial" w:hAnsi="Arial" w:cs="Arial"/>
                <w:b w:val="0"/>
                <w:i w:val="0"/>
                <w:sz w:val="17"/>
              </w:rPr>
              <w:t>Initiate fee payment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/v1/fee/verify</w:t>
            </w:r>
          </w:p>
        </w:tc>
        <w:tc>
          <w:tcPr>
            <w:tcW w:type="dxa" w:w="3213"/>
          </w:tcPr>
          <w:p>
            <w:pPr>
              <w:spacing w:after="20" w:before="20" w:line="240" w:lineRule="auto"/>
            </w:pPr>
            <w:r/>
            <w:r>
              <w:rPr>
                <w:rFonts w:ascii="Arial" w:hAnsi="Arial" w:cs="Arial"/>
                <w:b w:val="0"/>
                <w:i w:val="0"/>
                <w:sz w:val="17"/>
              </w:rPr>
              <w:t>Verify fee payment status against bank confirmation evidence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/v1/fee/deferred/trigger</w:t>
            </w:r>
          </w:p>
        </w:tc>
        <w:tc>
          <w:tcPr>
            <w:tcW w:type="dxa" w:w="3213"/>
          </w:tcPr>
          <w:p>
            <w:pPr>
              <w:spacing w:after="20" w:before="20" w:line="240" w:lineRule="auto"/>
            </w:pPr>
            <w:r/>
            <w:r>
              <w:rPr>
                <w:rFonts w:ascii="Arial" w:hAnsi="Arial" w:cs="Arial"/>
                <w:b w:val="0"/>
                <w:i w:val="0"/>
                <w:sz w:val="17"/>
              </w:rPr>
              <w:t>Deferred fee trigger (government fee milestone)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/v1/fee/dispute</w:t>
            </w:r>
          </w:p>
        </w:tc>
        <w:tc>
          <w:tcPr>
            <w:tcW w:type="dxa" w:w="3213"/>
          </w:tcPr>
          <w:p>
            <w:pPr>
              <w:spacing w:after="20" w:before="20" w:line="240" w:lineRule="auto"/>
            </w:pPr>
            <w:r/>
            <w:r>
              <w:rPr>
                <w:rFonts w:ascii="Arial" w:hAnsi="Arial" w:cs="Arial"/>
                <w:b w:val="0"/>
                <w:i w:val="0"/>
                <w:sz w:val="17"/>
              </w:rPr>
              <w:t>Dispute a fee (creates dispute record)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/v1/bank/capabilities?country={country}</w:t>
            </w:r>
          </w:p>
        </w:tc>
        <w:tc>
          <w:tcPr>
            <w:tcW w:type="dxa" w:w="3213"/>
          </w:tcPr>
          <w:p>
            <w:pPr>
              <w:spacing w:after="20" w:before="20" w:line="240" w:lineRule="auto"/>
            </w:pPr>
            <w:r/>
            <w:r>
              <w:rPr>
                <w:rFonts w:ascii="Arial" w:hAnsi="Arial" w:cs="Arial"/>
                <w:b w:val="0"/>
                <w:i w:val="0"/>
                <w:sz w:val="17"/>
              </w:rPr>
              <w:t>Bank capability tiers and health by country</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18.9 Settlement &amp; Payment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/v1/settlement/instruction</w:t>
            </w:r>
          </w:p>
        </w:tc>
        <w:tc>
          <w:tcPr>
            <w:tcW w:type="dxa" w:w="3213"/>
          </w:tcPr>
          <w:p>
            <w:pPr>
              <w:spacing w:after="20" w:before="20" w:line="240" w:lineRule="auto"/>
            </w:pPr>
            <w:r/>
            <w:r>
              <w:rPr>
                <w:rFonts w:ascii="Arial" w:hAnsi="Arial" w:cs="Arial"/>
                <w:b w:val="0"/>
                <w:i w:val="0"/>
                <w:sz w:val="17"/>
              </w:rPr>
              <w:t>Generate settlement instruction (Governor-signed)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/v1/settlement/instructions</w:t>
            </w:r>
          </w:p>
        </w:tc>
        <w:tc>
          <w:tcPr>
            <w:tcW w:type="dxa" w:w="3213"/>
          </w:tcPr>
          <w:p>
            <w:pPr>
              <w:spacing w:after="20" w:before="20" w:line="240" w:lineRule="auto"/>
            </w:pPr>
            <w:r/>
            <w:r>
              <w:rPr>
                <w:rFonts w:ascii="Arial" w:hAnsi="Arial" w:cs="Arial"/>
                <w:b w:val="0"/>
                <w:i w:val="0"/>
                <w:sz w:val="17"/>
              </w:rPr>
              <w:t>List settlement instructions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/v1/settlement/approve</w:t>
            </w:r>
          </w:p>
        </w:tc>
        <w:tc>
          <w:tcPr>
            <w:tcW w:type="dxa" w:w="3213"/>
          </w:tcPr>
          <w:p>
            <w:pPr>
              <w:spacing w:after="20" w:before="20" w:line="240" w:lineRule="auto"/>
            </w:pPr>
            <w:r/>
            <w:r>
              <w:rPr>
                <w:rFonts w:ascii="Arial" w:hAnsi="Arial" w:cs="Arial"/>
                <w:b w:val="0"/>
                <w:i w:val="0"/>
                <w:sz w:val="17"/>
              </w:rPr>
              <w:t>Buyer approval (one click or voice)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/v1/settlement/confirm</w:t>
            </w:r>
          </w:p>
        </w:tc>
        <w:tc>
          <w:tcPr>
            <w:tcW w:type="dxa" w:w="3213"/>
          </w:tcPr>
          <w:p>
            <w:pPr>
              <w:spacing w:after="20" w:before="20" w:line="240" w:lineRule="auto"/>
            </w:pPr>
            <w:r/>
            <w:r>
              <w:rPr>
                <w:rFonts w:ascii="Arial" w:hAnsi="Arial" w:cs="Arial"/>
                <w:b w:val="0"/>
                <w:i w:val="0"/>
                <w:sz w:val="17"/>
              </w:rPr>
              <w:t>Bank confirmation ingestion (pain.002 / camt.054 / gpi)</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/v1/settlement/reconciliation</w:t>
            </w:r>
          </w:p>
        </w:tc>
        <w:tc>
          <w:tcPr>
            <w:tcW w:type="dxa" w:w="3213"/>
          </w:tcPr>
          <w:p>
            <w:pPr>
              <w:spacing w:after="20" w:before="20" w:line="240" w:lineRule="auto"/>
            </w:pPr>
            <w:r/>
            <w:r>
              <w:rPr>
                <w:rFonts w:ascii="Arial" w:hAnsi="Arial" w:cs="Arial"/>
                <w:b w:val="0"/>
                <w:i w:val="0"/>
                <w:sz w:val="17"/>
              </w:rPr>
              <w:t>Reconciliation status (engine confidence)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/v1/settlement/milestone-schedule</w:t>
            </w:r>
          </w:p>
        </w:tc>
        <w:tc>
          <w:tcPr>
            <w:tcW w:type="dxa" w:w="3213"/>
          </w:tcPr>
          <w:p>
            <w:pPr>
              <w:spacing w:after="20" w:before="20" w:line="240" w:lineRule="auto"/>
            </w:pPr>
            <w:r/>
            <w:r>
              <w:rPr>
                <w:rFonts w:ascii="Arial" w:hAnsi="Arial" w:cs="Arial"/>
                <w:b w:val="0"/>
                <w:i w:val="0"/>
                <w:sz w:val="17"/>
              </w:rPr>
              <w:t>Define milestone-based partial settlement schedule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/v1/settlement/private-proof</w:t>
            </w:r>
          </w:p>
        </w:tc>
        <w:tc>
          <w:tcPr>
            <w:tcW w:type="dxa" w:w="3213"/>
          </w:tcPr>
          <w:p>
            <w:pPr>
              <w:spacing w:after="20" w:before="20" w:line="240" w:lineRule="auto"/>
            </w:pPr>
            <w:r/>
            <w:r>
              <w:rPr>
                <w:rFonts w:ascii="Arial" w:hAnsi="Arial" w:cs="Arial"/>
                <w:b w:val="0"/>
                <w:i w:val="0"/>
                <w:sz w:val="17"/>
              </w:rPr>
              <w:t>ZK private settlement proof</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/v1/settlement/verify</w:t>
            </w:r>
          </w:p>
        </w:tc>
        <w:tc>
          <w:tcPr>
            <w:tcW w:type="dxa" w:w="3213"/>
          </w:tcPr>
          <w:p>
            <w:pPr>
              <w:spacing w:after="20" w:before="20" w:line="240" w:lineRule="auto"/>
            </w:pPr>
            <w:r/>
            <w:r>
              <w:rPr>
                <w:rFonts w:ascii="Arial" w:hAnsi="Arial" w:cs="Arial"/>
                <w:b w:val="0"/>
                <w:i w:val="0"/>
                <w:sz w:val="17"/>
              </w:rPr>
              <w:t>Verify settlement finality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/v1/settlement/split-instruction</w:t>
            </w:r>
          </w:p>
        </w:tc>
        <w:tc>
          <w:tcPr>
            <w:tcW w:type="dxa" w:w="3213"/>
          </w:tcPr>
          <w:p>
            <w:pPr>
              <w:spacing w:after="20" w:before="20" w:line="240" w:lineRule="auto"/>
            </w:pPr>
            <w:r/>
            <w:r>
              <w:rPr>
                <w:rFonts w:ascii="Arial" w:hAnsi="Arial" w:cs="Arial"/>
                <w:b w:val="0"/>
                <w:i w:val="0"/>
                <w:sz w:val="17"/>
              </w:rPr>
              <w:t>Multi-payee split instruction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/v1/settlement/fxpath</w:t>
            </w:r>
          </w:p>
        </w:tc>
        <w:tc>
          <w:tcPr>
            <w:tcW w:type="dxa" w:w="3213"/>
          </w:tcPr>
          <w:p>
            <w:pPr>
              <w:spacing w:after="20" w:before="20" w:line="240" w:lineRule="auto"/>
            </w:pPr>
            <w:r/>
            <w:r>
              <w:rPr>
                <w:rFonts w:ascii="Arial" w:hAnsi="Arial" w:cs="Arial"/>
                <w:b w:val="0"/>
                <w:i w:val="0"/>
                <w:sz w:val="17"/>
              </w:rPr>
              <w:t>FX path selection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/v1/payment/fee/reconcile</w:t>
            </w:r>
          </w:p>
        </w:tc>
        <w:tc>
          <w:tcPr>
            <w:tcW w:type="dxa" w:w="3213"/>
          </w:tcPr>
          <w:p>
            <w:pPr>
              <w:spacing w:after="20" w:before="20" w:line="240" w:lineRule="auto"/>
            </w:pPr>
            <w:r/>
            <w:r>
              <w:rPr>
                <w:rFonts w:ascii="Arial" w:hAnsi="Arial" w:cs="Arial"/>
                <w:b w:val="0"/>
                <w:i w:val="0"/>
                <w:sz w:val="17"/>
              </w:rPr>
              <w:t>Fee reconciliation control plane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/v1/tenant/statement</w:t>
            </w:r>
          </w:p>
        </w:tc>
        <w:tc>
          <w:tcPr>
            <w:tcW w:type="dxa" w:w="3213"/>
          </w:tcPr>
          <w:p>
            <w:pPr>
              <w:spacing w:after="20" w:before="20" w:line="240" w:lineRule="auto"/>
            </w:pPr>
            <w:r/>
            <w:r>
              <w:rPr>
                <w:rFonts w:ascii="Arial" w:hAnsi="Arial" w:cs="Arial"/>
                <w:b w:val="0"/>
                <w:i w:val="0"/>
                <w:sz w:val="17"/>
              </w:rPr>
              <w:t>Monthly reconciliation statement (signed)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18.9.1 Payment Mandate &amp; Manifest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Endpoint</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/v1/payment/manifest/generate</w:t>
            </w:r>
          </w:p>
        </w:tc>
        <w:tc>
          <w:tcPr>
            <w:tcW w:type="dxa" w:w="3213"/>
          </w:tcPr>
          <w:p>
            <w:pPr>
              <w:spacing w:after="20" w:before="20" w:line="240" w:lineRule="auto"/>
            </w:pPr>
            <w:r/>
            <w:r>
              <w:rPr>
                <w:rFonts w:ascii="Arial" w:hAnsi="Arial" w:cs="Arial"/>
                <w:b w:val="0"/>
                <w:i w:val="0"/>
                <w:sz w:val="17"/>
              </w:rPr>
              <w:t>Generate USTN Multi-Leg Settlement Manifest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/v1/payment/manifest/{ustn}</w:t>
            </w:r>
          </w:p>
        </w:tc>
        <w:tc>
          <w:tcPr>
            <w:tcW w:type="dxa" w:w="3213"/>
          </w:tcPr>
          <w:p>
            <w:pPr>
              <w:spacing w:after="20" w:before="20" w:line="240" w:lineRule="auto"/>
            </w:pPr>
            <w:r/>
            <w:r>
              <w:rPr>
                <w:rFonts w:ascii="Arial" w:hAnsi="Arial" w:cs="Arial"/>
                <w:b w:val="0"/>
                <w:i w:val="0"/>
                <w:sz w:val="17"/>
              </w:rPr>
              <w:t>Get manifest for USTN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/v1/payment/manifest/authorize</w:t>
            </w:r>
          </w:p>
        </w:tc>
        <w:tc>
          <w:tcPr>
            <w:tcW w:type="dxa" w:w="3213"/>
          </w:tcPr>
          <w:p>
            <w:pPr>
              <w:spacing w:after="20" w:before="20" w:line="240" w:lineRule="auto"/>
            </w:pPr>
            <w:r/>
            <w:r>
              <w:rPr>
                <w:rFonts w:ascii="Arial" w:hAnsi="Arial" w:cs="Arial"/>
                <w:b w:val="0"/>
                <w:i w:val="0"/>
                <w:sz w:val="17"/>
              </w:rPr>
              <w:t>Buyer authorizes manifest (one click, QES)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/v1/payment/manifest/dispatch</w:t>
            </w:r>
          </w:p>
        </w:tc>
        <w:tc>
          <w:tcPr>
            <w:tcW w:type="dxa" w:w="3213"/>
          </w:tcPr>
          <w:p>
            <w:pPr>
              <w:spacing w:after="20" w:before="20" w:line="240" w:lineRule="auto"/>
            </w:pPr>
            <w:r/>
            <w:r>
              <w:rPr>
                <w:rFonts w:ascii="Arial" w:hAnsi="Arial" w:cs="Arial"/>
                <w:b w:val="0"/>
                <w:i w:val="0"/>
                <w:sz w:val="17"/>
              </w:rPr>
              <w:t>Dispatch ISO 20022 pain.001 to bank</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/v1/payment/manifest/status/{ustn}</w:t>
            </w:r>
          </w:p>
        </w:tc>
        <w:tc>
          <w:tcPr>
            <w:tcW w:type="dxa" w:w="3213"/>
          </w:tcPr>
          <w:p>
            <w:pPr>
              <w:spacing w:after="20" w:before="20" w:line="240" w:lineRule="auto"/>
            </w:pPr>
            <w:r/>
            <w:r>
              <w:rPr>
                <w:rFonts w:ascii="Arial" w:hAnsi="Arial" w:cs="Arial"/>
                <w:b w:val="0"/>
                <w:i w:val="0"/>
                <w:sz w:val="17"/>
              </w:rPr>
              <w:t>Get payment status for USTN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18.9.2 Quotation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Endpoint</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/v1/quote/submit</w:t>
            </w:r>
          </w:p>
        </w:tc>
        <w:tc>
          <w:tcPr>
            <w:tcW w:type="dxa" w:w="3213"/>
          </w:tcPr>
          <w:p>
            <w:pPr>
              <w:spacing w:after="20" w:before="20" w:line="240" w:lineRule="auto"/>
            </w:pPr>
            <w:r/>
            <w:r>
              <w:rPr>
                <w:rFonts w:ascii="Arial" w:hAnsi="Arial" w:cs="Arial"/>
                <w:b w:val="0"/>
                <w:i w:val="0"/>
                <w:sz w:val="17"/>
              </w:rPr>
              <w:t>Submit quote from provider GTID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/v1/quote/{ustn}</w:t>
            </w:r>
          </w:p>
        </w:tc>
        <w:tc>
          <w:tcPr>
            <w:tcW w:type="dxa" w:w="3213"/>
          </w:tcPr>
          <w:p>
            <w:pPr>
              <w:spacing w:after="20" w:before="20" w:line="240" w:lineRule="auto"/>
            </w:pPr>
            <w:r/>
            <w:r>
              <w:rPr>
                <w:rFonts w:ascii="Arial" w:hAnsi="Arial" w:cs="Arial"/>
                <w:b w:val="0"/>
                <w:i w:val="0"/>
                <w:sz w:val="17"/>
              </w:rPr>
              <w:t>Get all quotes for USTN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/v1/quote/accept</w:t>
            </w:r>
          </w:p>
        </w:tc>
        <w:tc>
          <w:tcPr>
            <w:tcW w:type="dxa" w:w="3213"/>
          </w:tcPr>
          <w:p>
            <w:pPr>
              <w:spacing w:after="20" w:before="20" w:line="240" w:lineRule="auto"/>
            </w:pPr>
            <w:r/>
            <w:r>
              <w:rPr>
                <w:rFonts w:ascii="Arial" w:hAnsi="Arial" w:cs="Arial"/>
                <w:b w:val="0"/>
                <w:i w:val="0"/>
                <w:sz w:val="17"/>
              </w:rPr>
              <w:t>Accept quote (one click)</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/v1/quote/reject</w:t>
            </w:r>
          </w:p>
        </w:tc>
        <w:tc>
          <w:tcPr>
            <w:tcW w:type="dxa" w:w="3213"/>
          </w:tcPr>
          <w:p>
            <w:pPr>
              <w:spacing w:after="20" w:before="20" w:line="240" w:lineRule="auto"/>
            </w:pPr>
            <w:r/>
            <w:r>
              <w:rPr>
                <w:rFonts w:ascii="Arial" w:hAnsi="Arial" w:cs="Arial"/>
                <w:b w:val="0"/>
                <w:i w:val="0"/>
                <w:sz w:val="17"/>
              </w:rPr>
              <w:t>Reject quote with reason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18.9.3 Bank Integration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Endpoint</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/v1/bank/dispatch/pain001</w:t>
            </w:r>
          </w:p>
        </w:tc>
        <w:tc>
          <w:tcPr>
            <w:tcW w:type="dxa" w:w="3213"/>
          </w:tcPr>
          <w:p>
            <w:pPr>
              <w:spacing w:after="20" w:before="20" w:line="240" w:lineRule="auto"/>
            </w:pPr>
            <w:r/>
            <w:r>
              <w:rPr>
                <w:rFonts w:ascii="Arial" w:hAnsi="Arial" w:cs="Arial"/>
                <w:b w:val="0"/>
                <w:i w:val="0"/>
                <w:sz w:val="17"/>
              </w:rPr>
              <w:t>Dispatch pain.001 to bank (mTLS + mandate)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/v1/bank/receive/camt054</w:t>
            </w:r>
          </w:p>
        </w:tc>
        <w:tc>
          <w:tcPr>
            <w:tcW w:type="dxa" w:w="3213"/>
          </w:tcPr>
          <w:p>
            <w:pPr>
              <w:spacing w:after="20" w:before="20" w:line="240" w:lineRule="auto"/>
            </w:pPr>
            <w:r/>
            <w:r>
              <w:rPr>
                <w:rFonts w:ascii="Arial" w:hAnsi="Arial" w:cs="Arial"/>
                <w:b w:val="0"/>
                <w:i w:val="0"/>
                <w:sz w:val="17"/>
              </w:rPr>
              <w:t>Receive camt.054 confirmation (proof hash stored)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/v1/bank/receive/pain002</w:t>
            </w:r>
          </w:p>
        </w:tc>
        <w:tc>
          <w:tcPr>
            <w:tcW w:type="dxa" w:w="3213"/>
          </w:tcPr>
          <w:p>
            <w:pPr>
              <w:spacing w:after="20" w:before="20" w:line="240" w:lineRule="auto"/>
            </w:pPr>
            <w:r/>
            <w:r>
              <w:rPr>
                <w:rFonts w:ascii="Arial" w:hAnsi="Arial" w:cs="Arial"/>
                <w:b w:val="0"/>
                <w:i w:val="0"/>
                <w:sz w:val="17"/>
              </w:rPr>
              <w:t>Receive pain.002 status report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/v1/bank/health/{bank_gtid}</w:t>
            </w:r>
          </w:p>
        </w:tc>
        <w:tc>
          <w:tcPr>
            <w:tcW w:type="dxa" w:w="3213"/>
          </w:tcPr>
          <w:p>
            <w:pPr>
              <w:spacing w:after="20" w:before="20" w:line="240" w:lineRule="auto"/>
            </w:pPr>
            <w:r/>
            <w:r>
              <w:rPr>
                <w:rFonts w:ascii="Arial" w:hAnsi="Arial" w:cs="Arial"/>
                <w:b w:val="0"/>
                <w:i w:val="0"/>
                <w:sz w:val="17"/>
              </w:rPr>
              <w:t>Get bank health status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18.9.4 QES Signature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Endpoint</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/v1/signature/qes/request</w:t>
            </w:r>
          </w:p>
        </w:tc>
        <w:tc>
          <w:tcPr>
            <w:tcW w:type="dxa" w:w="3213"/>
          </w:tcPr>
          <w:p>
            <w:pPr>
              <w:spacing w:after="20" w:before="20" w:line="240" w:lineRule="auto"/>
            </w:pPr>
            <w:r/>
            <w:r>
              <w:rPr>
                <w:rFonts w:ascii="Arial" w:hAnsi="Arial" w:cs="Arial"/>
                <w:b w:val="0"/>
                <w:i w:val="0"/>
                <w:sz w:val="17"/>
              </w:rPr>
              <w:t>Initiate QES request to user's TSP (Egypt Trust)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/v1/signature/qes/status/{request_id}</w:t>
            </w:r>
          </w:p>
        </w:tc>
        <w:tc>
          <w:tcPr>
            <w:tcW w:type="dxa" w:w="3213"/>
          </w:tcPr>
          <w:p>
            <w:pPr>
              <w:spacing w:after="20" w:before="20" w:line="240" w:lineRule="auto"/>
            </w:pPr>
            <w:r/>
            <w:r>
              <w:rPr>
                <w:rFonts w:ascii="Arial" w:hAnsi="Arial" w:cs="Arial"/>
                <w:b w:val="0"/>
                <w:i w:val="0"/>
                <w:sz w:val="17"/>
              </w:rPr>
              <w:t>Poll signature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/v1/signature/qes/verify</w:t>
            </w:r>
          </w:p>
        </w:tc>
        <w:tc>
          <w:tcPr>
            <w:tcW w:type="dxa" w:w="3213"/>
          </w:tcPr>
          <w:p>
            <w:pPr>
              <w:spacing w:after="20" w:before="20" w:line="240" w:lineRule="auto"/>
            </w:pPr>
            <w:r/>
            <w:r>
              <w:rPr>
                <w:rFonts w:ascii="Arial" w:hAnsi="Arial" w:cs="Arial"/>
                <w:b w:val="0"/>
                <w:i w:val="0"/>
                <w:sz w:val="17"/>
              </w:rPr>
              <w:t>Verify QES signature on document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/v1/signature/qes/certificate/{gtid}</w:t>
            </w:r>
          </w:p>
        </w:tc>
        <w:tc>
          <w:tcPr>
            <w:tcW w:type="dxa" w:w="3213"/>
          </w:tcPr>
          <w:p>
            <w:pPr>
              <w:spacing w:after="20" w:before="20" w:line="240" w:lineRule="auto"/>
            </w:pPr>
            <w:r/>
            <w:r>
              <w:rPr>
                <w:rFonts w:ascii="Arial" w:hAnsi="Arial" w:cs="Arial"/>
                <w:b w:val="0"/>
                <w:i w:val="0"/>
                <w:sz w:val="17"/>
              </w:rPr>
              <w:t>Get user's QES certificate info (public)</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18.10 Shipments, Milestones &amp; Tracking</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/v1/ustn/{ustn}</w:t>
            </w:r>
          </w:p>
        </w:tc>
        <w:tc>
          <w:tcPr>
            <w:tcW w:type="dxa" w:w="3213"/>
          </w:tcPr>
          <w:p>
            <w:pPr>
              <w:spacing w:after="20" w:before="20" w:line="240" w:lineRule="auto"/>
            </w:pPr>
            <w:r/>
            <w:r>
              <w:rPr>
                <w:rFonts w:ascii="Arial" w:hAnsi="Arial" w:cs="Arial"/>
                <w:b w:val="0"/>
                <w:i w:val="0"/>
                <w:sz w:val="17"/>
              </w:rPr>
              <w:t>USTN master object (role-filtered)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/v1/ustn/resolve</w:t>
            </w:r>
          </w:p>
        </w:tc>
        <w:tc>
          <w:tcPr>
            <w:tcW w:type="dxa" w:w="3213"/>
          </w:tcPr>
          <w:p>
            <w:pPr>
              <w:spacing w:after="20" w:before="20" w:line="240" w:lineRule="auto"/>
            </w:pPr>
            <w:r/>
            <w:r>
              <w:rPr>
                <w:rFonts w:ascii="Arial" w:hAnsi="Arial" w:cs="Arial"/>
                <w:b w:val="0"/>
                <w:i w:val="0"/>
                <w:sz w:val="17"/>
              </w:rPr>
              <w:t>Resolve typed USTN to summary card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/v1/shipment/{ustn}</w:t>
            </w:r>
          </w:p>
        </w:tc>
        <w:tc>
          <w:tcPr>
            <w:tcW w:type="dxa" w:w="3213"/>
          </w:tcPr>
          <w:p>
            <w:pPr>
              <w:spacing w:after="20" w:before="20" w:line="240" w:lineRule="auto"/>
            </w:pPr>
            <w:r/>
            <w:r>
              <w:rPr>
                <w:rFonts w:ascii="Arial" w:hAnsi="Arial" w:cs="Arial"/>
                <w:b w:val="0"/>
                <w:i w:val="0"/>
                <w:sz w:val="17"/>
              </w:rPr>
              <w:t>Shipment detail</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/v1/shipment/{ustn}/milestones</w:t>
            </w:r>
          </w:p>
        </w:tc>
        <w:tc>
          <w:tcPr>
            <w:tcW w:type="dxa" w:w="3213"/>
          </w:tcPr>
          <w:p>
            <w:pPr>
              <w:spacing w:after="20" w:before="20" w:line="240" w:lineRule="auto"/>
            </w:pPr>
            <w:r/>
            <w:r>
              <w:rPr>
                <w:rFonts w:ascii="Arial" w:hAnsi="Arial" w:cs="Arial"/>
                <w:b w:val="0"/>
                <w:i w:val="0"/>
                <w:sz w:val="17"/>
              </w:rPr>
              <w:t>Milestone timeline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/v1/shipment/milestone/confirm</w:t>
            </w:r>
          </w:p>
        </w:tc>
        <w:tc>
          <w:tcPr>
            <w:tcW w:type="dxa" w:w="3213"/>
          </w:tcPr>
          <w:p>
            <w:pPr>
              <w:spacing w:after="20" w:before="20" w:line="240" w:lineRule="auto"/>
            </w:pPr>
            <w:r/>
            <w:r>
              <w:rPr>
                <w:rFonts w:ascii="Arial" w:hAnsi="Arial" w:cs="Arial"/>
                <w:b w:val="0"/>
                <w:i w:val="0"/>
                <w:sz w:val="17"/>
              </w:rPr>
              <w:t>Confirm milestone (multisensor consensus)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/v1/shipment/voice-milestone</w:t>
            </w:r>
          </w:p>
        </w:tc>
        <w:tc>
          <w:tcPr>
            <w:tcW w:type="dxa" w:w="3213"/>
          </w:tcPr>
          <w:p>
            <w:pPr>
              <w:spacing w:after="20" w:before="20" w:line="240" w:lineRule="auto"/>
            </w:pPr>
            <w:r/>
            <w:r>
              <w:rPr>
                <w:rFonts w:ascii="Arial" w:hAnsi="Arial" w:cs="Arial"/>
                <w:b w:val="0"/>
                <w:i w:val="0"/>
                <w:sz w:val="17"/>
              </w:rPr>
              <w:t>Voice milestone confirmation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/v1/shipment/barcode/scan</w:t>
            </w:r>
          </w:p>
        </w:tc>
        <w:tc>
          <w:tcPr>
            <w:tcW w:type="dxa" w:w="3213"/>
          </w:tcPr>
          <w:p>
            <w:pPr>
              <w:spacing w:after="20" w:before="20" w:line="240" w:lineRule="auto"/>
            </w:pPr>
            <w:r/>
            <w:r>
              <w:rPr>
                <w:rFonts w:ascii="Arial" w:hAnsi="Arial" w:cs="Arial"/>
                <w:b w:val="0"/>
                <w:i w:val="0"/>
                <w:sz w:val="17"/>
              </w:rPr>
              <w:t>Pallet scan event (authenticated device)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/v1/shipment/barcode/recognize</w:t>
            </w:r>
          </w:p>
        </w:tc>
        <w:tc>
          <w:tcPr>
            <w:tcW w:type="dxa" w:w="3213"/>
          </w:tcPr>
          <w:p>
            <w:pPr>
              <w:spacing w:after="20" w:before="20" w:line="240" w:lineRule="auto"/>
            </w:pPr>
            <w:r/>
            <w:r>
              <w:rPr>
                <w:rFonts w:ascii="Arial" w:hAnsi="Arial" w:cs="Arial"/>
                <w:b w:val="0"/>
                <w:i w:val="0"/>
                <w:sz w:val="17"/>
              </w:rPr>
              <w:t>Visual barcode recognition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/v1/shipment/document/upload</w:t>
            </w:r>
          </w:p>
        </w:tc>
        <w:tc>
          <w:tcPr>
            <w:tcW w:type="dxa" w:w="3213"/>
          </w:tcPr>
          <w:p>
            <w:pPr>
              <w:spacing w:after="20" w:before="20" w:line="240" w:lineRule="auto"/>
            </w:pPr>
            <w:r/>
            <w:r>
              <w:rPr>
                <w:rFonts w:ascii="Arial" w:hAnsi="Arial" w:cs="Arial"/>
                <w:b w:val="0"/>
                <w:i w:val="0"/>
                <w:sz w:val="17"/>
              </w:rPr>
              <w:t>Upload shipment document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/v1/shipment/release/acknowledge</w:t>
            </w:r>
          </w:p>
        </w:tc>
        <w:tc>
          <w:tcPr>
            <w:tcW w:type="dxa" w:w="3213"/>
          </w:tcPr>
          <w:p>
            <w:pPr>
              <w:spacing w:after="20" w:before="20" w:line="240" w:lineRule="auto"/>
            </w:pPr>
            <w:r/>
            <w:r>
              <w:rPr>
                <w:rFonts w:ascii="Arial" w:hAnsi="Arial" w:cs="Arial"/>
                <w:b w:val="0"/>
                <w:i w:val="0"/>
                <w:sz w:val="17"/>
              </w:rPr>
              <w:t>Container release acknowledgement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/v1/shipment/{ustn}/trade-health</w:t>
            </w:r>
          </w:p>
        </w:tc>
        <w:tc>
          <w:tcPr>
            <w:tcW w:type="dxa" w:w="3213"/>
          </w:tcPr>
          <w:p>
            <w:pPr>
              <w:spacing w:after="20" w:before="20" w:line="240" w:lineRule="auto"/>
            </w:pPr>
            <w:r/>
            <w:r>
              <w:rPr>
                <w:rFonts w:ascii="Arial" w:hAnsi="Arial" w:cs="Arial"/>
                <w:b w:val="0"/>
                <w:i w:val="0"/>
                <w:sz w:val="17"/>
              </w:rPr>
              <w:t>Trade Health Score breakdown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/v1/shipments-vault</w:t>
            </w:r>
          </w:p>
        </w:tc>
        <w:tc>
          <w:tcPr>
            <w:tcW w:type="dxa" w:w="3213"/>
          </w:tcPr>
          <w:p>
            <w:pPr>
              <w:spacing w:after="20" w:before="20" w:line="240" w:lineRule="auto"/>
            </w:pPr>
            <w:r/>
            <w:r>
              <w:rPr>
                <w:rFonts w:ascii="Arial" w:hAnsi="Arial" w:cs="Arial"/>
                <w:b w:val="0"/>
                <w:i w:val="0"/>
                <w:sz w:val="17"/>
              </w:rPr>
              <w:t>Shared Shipments Vault (filtered queries)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/v1/shipments-vault/multi-shipment/{contract_id}</w:t>
            </w:r>
          </w:p>
        </w:tc>
        <w:tc>
          <w:tcPr>
            <w:tcW w:type="dxa" w:w="3213"/>
          </w:tcPr>
          <w:p>
            <w:pPr>
              <w:spacing w:after="20" w:before="20" w:line="240" w:lineRule="auto"/>
            </w:pPr>
            <w:r/>
            <w:r>
              <w:rPr>
                <w:rFonts w:ascii="Arial" w:hAnsi="Arial" w:cs="Arial"/>
                <w:b w:val="0"/>
                <w:i w:val="0"/>
                <w:sz w:val="17"/>
              </w:rPr>
              <w:t>Multi-shipment contract view</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/v1/shipments-vault/export</w:t>
            </w:r>
          </w:p>
        </w:tc>
        <w:tc>
          <w:tcPr>
            <w:tcW w:type="dxa" w:w="3213"/>
          </w:tcPr>
          <w:p>
            <w:pPr>
              <w:spacing w:after="20" w:before="20" w:line="240" w:lineRule="auto"/>
            </w:pPr>
            <w:r/>
            <w:r>
              <w:rPr>
                <w:rFonts w:ascii="Arial" w:hAnsi="Arial" w:cs="Arial"/>
                <w:b w:val="0"/>
                <w:i w:val="0"/>
                <w:sz w:val="17"/>
              </w:rPr>
              <w:t>Vault export</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18.11 QC &amp; Lab</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/v1/qc/quote</w:t>
            </w:r>
          </w:p>
        </w:tc>
        <w:tc>
          <w:tcPr>
            <w:tcW w:type="dxa" w:w="3213"/>
          </w:tcPr>
          <w:p>
            <w:pPr>
              <w:spacing w:after="20" w:before="20" w:line="240" w:lineRule="auto"/>
            </w:pPr>
            <w:r/>
            <w:r>
              <w:rPr>
                <w:rFonts w:ascii="Arial" w:hAnsi="Arial" w:cs="Arial"/>
                <w:b w:val="0"/>
                <w:i w:val="0"/>
                <w:sz w:val="17"/>
              </w:rPr>
              <w:t>QC provider quotation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/v1/qc/jobs</w:t>
            </w:r>
          </w:p>
        </w:tc>
        <w:tc>
          <w:tcPr>
            <w:tcW w:type="dxa" w:w="3213"/>
          </w:tcPr>
          <w:p>
            <w:pPr>
              <w:spacing w:after="20" w:before="20" w:line="240" w:lineRule="auto"/>
            </w:pPr>
            <w:r/>
            <w:r>
              <w:rPr>
                <w:rFonts w:ascii="Arial" w:hAnsi="Arial" w:cs="Arial"/>
                <w:b w:val="0"/>
                <w:i w:val="0"/>
                <w:sz w:val="17"/>
              </w:rPr>
              <w:t>QC job list (provider portal)</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/v1/qc/inspection/report</w:t>
            </w:r>
          </w:p>
        </w:tc>
        <w:tc>
          <w:tcPr>
            <w:tcW w:type="dxa" w:w="3213"/>
          </w:tcPr>
          <w:p>
            <w:pPr>
              <w:spacing w:after="20" w:before="20" w:line="240" w:lineRule="auto"/>
            </w:pPr>
            <w:r/>
            <w:r>
              <w:rPr>
                <w:rFonts w:ascii="Arial" w:hAnsi="Arial" w:cs="Arial"/>
                <w:b w:val="0"/>
                <w:i w:val="0"/>
                <w:sz w:val="17"/>
              </w:rPr>
              <w:t>Submit inspection report (verdict + overrides)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/v1/qc/conditional/complete</w:t>
            </w:r>
          </w:p>
        </w:tc>
        <w:tc>
          <w:tcPr>
            <w:tcW w:type="dxa" w:w="3213"/>
          </w:tcPr>
          <w:p>
            <w:pPr>
              <w:spacing w:after="20" w:before="20" w:line="240" w:lineRule="auto"/>
            </w:pPr>
            <w:r/>
            <w:r>
              <w:rPr>
                <w:rFonts w:ascii="Arial" w:hAnsi="Arial" w:cs="Arial"/>
                <w:b w:val="0"/>
                <w:i w:val="0"/>
                <w:sz w:val="17"/>
              </w:rPr>
              <w:t>Complete conditional-pass action plan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/v1/qc/reinspect/request</w:t>
            </w:r>
          </w:p>
        </w:tc>
        <w:tc>
          <w:tcPr>
            <w:tcW w:type="dxa" w:w="3213"/>
          </w:tcPr>
          <w:p>
            <w:pPr>
              <w:spacing w:after="20" w:before="20" w:line="240" w:lineRule="auto"/>
            </w:pPr>
            <w:r/>
            <w:r>
              <w:rPr>
                <w:rFonts w:ascii="Arial" w:hAnsi="Arial" w:cs="Arial"/>
                <w:b w:val="0"/>
                <w:i w:val="0"/>
                <w:sz w:val="17"/>
              </w:rPr>
              <w:t>Request re-inspection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/v1/qc/mobile/pair</w:t>
            </w:r>
          </w:p>
        </w:tc>
        <w:tc>
          <w:tcPr>
            <w:tcW w:type="dxa" w:w="3213"/>
          </w:tcPr>
          <w:p>
            <w:pPr>
              <w:spacing w:after="20" w:before="20" w:line="240" w:lineRule="auto"/>
            </w:pPr>
            <w:r/>
            <w:r>
              <w:rPr>
                <w:rFonts w:ascii="Arial" w:hAnsi="Arial" w:cs="Arial"/>
                <w:b w:val="0"/>
                <w:i w:val="0"/>
                <w:sz w:val="17"/>
              </w:rPr>
              <w:t>Pair inspector mobile device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/v1/lab/quote</w:t>
            </w:r>
          </w:p>
        </w:tc>
        <w:tc>
          <w:tcPr>
            <w:tcW w:type="dxa" w:w="3213"/>
          </w:tcPr>
          <w:p>
            <w:pPr>
              <w:spacing w:after="20" w:before="20" w:line="240" w:lineRule="auto"/>
            </w:pPr>
            <w:r/>
            <w:r>
              <w:rPr>
                <w:rFonts w:ascii="Arial" w:hAnsi="Arial" w:cs="Arial"/>
                <w:b w:val="0"/>
                <w:i w:val="0"/>
                <w:sz w:val="17"/>
              </w:rPr>
              <w:t>Lab quotation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/v1/lab/results</w:t>
            </w:r>
          </w:p>
        </w:tc>
        <w:tc>
          <w:tcPr>
            <w:tcW w:type="dxa" w:w="3213"/>
          </w:tcPr>
          <w:p>
            <w:pPr>
              <w:spacing w:after="20" w:before="20" w:line="240" w:lineRule="auto"/>
            </w:pPr>
            <w:r/>
            <w:r>
              <w:rPr>
                <w:rFonts w:ascii="Arial" w:hAnsi="Arial" w:cs="Arial"/>
                <w:b w:val="0"/>
                <w:i w:val="0"/>
                <w:sz w:val="17"/>
              </w:rPr>
              <w:t>Submit lab results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18.12 Broker, Customs &amp; Export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/v1/broker/services/quote</w:t>
            </w:r>
          </w:p>
        </w:tc>
        <w:tc>
          <w:tcPr>
            <w:tcW w:type="dxa" w:w="3213"/>
          </w:tcPr>
          <w:p>
            <w:pPr>
              <w:spacing w:after="20" w:before="20" w:line="240" w:lineRule="auto"/>
            </w:pPr>
            <w:r/>
            <w:r>
              <w:rPr>
                <w:rFonts w:ascii="Arial" w:hAnsi="Arial" w:cs="Arial"/>
                <w:b w:val="0"/>
                <w:i w:val="0"/>
                <w:sz w:val="17"/>
              </w:rPr>
              <w:t>Broker service quotation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/v1/broker/certify/{ustn}</w:t>
            </w:r>
          </w:p>
        </w:tc>
        <w:tc>
          <w:tcPr>
            <w:tcW w:type="dxa" w:w="3213"/>
          </w:tcPr>
          <w:p>
            <w:pPr>
              <w:spacing w:after="20" w:before="20" w:line="240" w:lineRule="auto"/>
            </w:pPr>
            <w:r/>
            <w:r>
              <w:rPr>
                <w:rFonts w:ascii="Arial" w:hAnsi="Arial" w:cs="Arial"/>
                <w:b w:val="0"/>
                <w:i w:val="0"/>
                <w:sz w:val="17"/>
              </w:rPr>
              <w:t>Certify customs declaration under broker seal</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/v1/export/declaration/create</w:t>
            </w:r>
          </w:p>
        </w:tc>
        <w:tc>
          <w:tcPr>
            <w:tcW w:type="dxa" w:w="3213"/>
          </w:tcPr>
          <w:p>
            <w:pPr>
              <w:spacing w:after="20" w:before="20" w:line="240" w:lineRule="auto"/>
            </w:pPr>
            <w:r/>
            <w:r>
              <w:rPr>
                <w:rFonts w:ascii="Arial" w:hAnsi="Arial" w:cs="Arial"/>
                <w:b w:val="0"/>
                <w:i w:val="0"/>
                <w:sz w:val="17"/>
              </w:rPr>
              <w:t>Create export declaration (Nafeza SAD)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/v1/export/declaration/{ustn}</w:t>
            </w:r>
          </w:p>
        </w:tc>
        <w:tc>
          <w:tcPr>
            <w:tcW w:type="dxa" w:w="3213"/>
          </w:tcPr>
          <w:p>
            <w:pPr>
              <w:spacing w:after="20" w:before="20" w:line="240" w:lineRule="auto"/>
            </w:pPr>
            <w:r/>
            <w:r>
              <w:rPr>
                <w:rFonts w:ascii="Arial" w:hAnsi="Arial" w:cs="Arial"/>
                <w:b w:val="0"/>
                <w:i w:val="0"/>
                <w:sz w:val="17"/>
              </w:rPr>
              <w:t>Declaration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/v1/export/ead/create</w:t>
            </w:r>
          </w:p>
        </w:tc>
        <w:tc>
          <w:tcPr>
            <w:tcW w:type="dxa" w:w="3213"/>
          </w:tcPr>
          <w:p>
            <w:pPr>
              <w:spacing w:after="20" w:before="20" w:line="240" w:lineRule="auto"/>
            </w:pPr>
            <w:r/>
            <w:r>
              <w:rPr>
                <w:rFonts w:ascii="Arial" w:hAnsi="Arial" w:cs="Arial"/>
                <w:b w:val="0"/>
                <w:i w:val="0"/>
                <w:sz w:val="17"/>
              </w:rPr>
              <w:t>Create Export Accompanying Document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/v1/export/licence/status</w:t>
            </w:r>
          </w:p>
        </w:tc>
        <w:tc>
          <w:tcPr>
            <w:tcW w:type="dxa" w:w="3213"/>
          </w:tcPr>
          <w:p>
            <w:pPr>
              <w:spacing w:after="20" w:before="20" w:line="240" w:lineRule="auto"/>
            </w:pPr>
            <w:r/>
            <w:r>
              <w:rPr>
                <w:rFonts w:ascii="Arial" w:hAnsi="Arial" w:cs="Arial"/>
                <w:b w:val="0"/>
                <w:i w:val="0"/>
                <w:sz w:val="17"/>
              </w:rPr>
              <w:t>Export licence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/v1/permit/issue</w:t>
            </w:r>
          </w:p>
        </w:tc>
        <w:tc>
          <w:tcPr>
            <w:tcW w:type="dxa" w:w="3213"/>
          </w:tcPr>
          <w:p>
            <w:pPr>
              <w:spacing w:after="20" w:before="20" w:line="240" w:lineRule="auto"/>
            </w:pPr>
            <w:r/>
            <w:r>
              <w:rPr>
                <w:rFonts w:ascii="Arial" w:hAnsi="Arial" w:cs="Arial"/>
                <w:b w:val="0"/>
                <w:i w:val="0"/>
                <w:sz w:val="17"/>
              </w:rPr>
              <w:t>Issue ancillary certificate request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/v1/port/{unlocode}</w:t>
            </w:r>
          </w:p>
        </w:tc>
        <w:tc>
          <w:tcPr>
            <w:tcW w:type="dxa" w:w="3213"/>
          </w:tcPr>
          <w:p>
            <w:pPr>
              <w:spacing w:after="20" w:before="20" w:line="240" w:lineRule="auto"/>
            </w:pPr>
            <w:r/>
            <w:r>
              <w:rPr>
                <w:rFonts w:ascii="Arial" w:hAnsi="Arial" w:cs="Arial"/>
                <w:b w:val="0"/>
                <w:i w:val="0"/>
                <w:sz w:val="17"/>
              </w:rPr>
              <w:t>Port information and special rules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18.13 Distressed Cargo</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/v1/distressed/declare</w:t>
            </w:r>
          </w:p>
        </w:tc>
        <w:tc>
          <w:tcPr>
            <w:tcW w:type="dxa" w:w="3213"/>
          </w:tcPr>
          <w:p>
            <w:pPr>
              <w:spacing w:after="20" w:before="20" w:line="240" w:lineRule="auto"/>
            </w:pPr>
            <w:r/>
            <w:r>
              <w:rPr>
                <w:rFonts w:ascii="Arial" w:hAnsi="Arial" w:cs="Arial"/>
                <w:b w:val="0"/>
                <w:i w:val="0"/>
                <w:sz w:val="17"/>
              </w:rPr>
              <w:t>Declare distressed cargo (condition + photos)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/v1/distressed/listing/{id}</w:t>
            </w:r>
          </w:p>
        </w:tc>
        <w:tc>
          <w:tcPr>
            <w:tcW w:type="dxa" w:w="3213"/>
          </w:tcPr>
          <w:p>
            <w:pPr>
              <w:spacing w:after="20" w:before="20" w:line="240" w:lineRule="auto"/>
            </w:pPr>
            <w:r/>
            <w:r>
              <w:rPr>
                <w:rFonts w:ascii="Arial" w:hAnsi="Arial" w:cs="Arial"/>
                <w:b w:val="0"/>
                <w:i w:val="0"/>
                <w:sz w:val="17"/>
              </w:rPr>
              <w:t>Listing detail</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/v1/distressed/offer</w:t>
            </w:r>
          </w:p>
        </w:tc>
        <w:tc>
          <w:tcPr>
            <w:tcW w:type="dxa" w:w="3213"/>
          </w:tcPr>
          <w:p>
            <w:pPr>
              <w:spacing w:after="20" w:before="20" w:line="240" w:lineRule="auto"/>
            </w:pPr>
            <w:r/>
            <w:r>
              <w:rPr>
                <w:rFonts w:ascii="Arial" w:hAnsi="Arial" w:cs="Arial"/>
                <w:b w:val="0"/>
                <w:i w:val="0"/>
                <w:sz w:val="17"/>
              </w:rPr>
              <w:t>Submit buyer offer</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/v1/distressed/microcontract/lock</w:t>
            </w:r>
          </w:p>
        </w:tc>
        <w:tc>
          <w:tcPr>
            <w:tcW w:type="dxa" w:w="3213"/>
          </w:tcPr>
          <w:p>
            <w:pPr>
              <w:spacing w:after="20" w:before="20" w:line="240" w:lineRule="auto"/>
            </w:pPr>
            <w:r/>
            <w:r>
              <w:rPr>
                <w:rFonts w:ascii="Arial" w:hAnsi="Arial" w:cs="Arial"/>
                <w:b w:val="0"/>
                <w:i w:val="0"/>
                <w:sz w:val="17"/>
              </w:rPr>
              <w:t>Lock micro-contract (MicroUSTN)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/v1/distressed/outreach/standard</w:t>
            </w:r>
          </w:p>
        </w:tc>
        <w:tc>
          <w:tcPr>
            <w:tcW w:type="dxa" w:w="3213"/>
          </w:tcPr>
          <w:p>
            <w:pPr>
              <w:spacing w:after="20" w:before="20" w:line="240" w:lineRule="auto"/>
            </w:pPr>
            <w:r/>
            <w:r>
              <w:rPr>
                <w:rFonts w:ascii="Arial" w:hAnsi="Arial" w:cs="Arial"/>
                <w:b w:val="0"/>
                <w:i w:val="0"/>
                <w:sz w:val="17"/>
              </w:rPr>
              <w:t>Standard outreach to saved contacts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/v1/distressed/outreach/accelerated</w:t>
            </w:r>
          </w:p>
        </w:tc>
        <w:tc>
          <w:tcPr>
            <w:tcW w:type="dxa" w:w="3213"/>
          </w:tcPr>
          <w:p>
            <w:pPr>
              <w:spacing w:after="20" w:before="20" w:line="240" w:lineRule="auto"/>
            </w:pPr>
            <w:r/>
            <w:r>
              <w:rPr>
                <w:rFonts w:ascii="Arial" w:hAnsi="Arial" w:cs="Arial"/>
                <w:b w:val="0"/>
                <w:i w:val="0"/>
                <w:sz w:val="17"/>
              </w:rPr>
              <w:t>Accelerated outreach</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/v1/distressed/insurance/package</w:t>
            </w:r>
          </w:p>
        </w:tc>
        <w:tc>
          <w:tcPr>
            <w:tcW w:type="dxa" w:w="3213"/>
          </w:tcPr>
          <w:p>
            <w:pPr>
              <w:spacing w:after="20" w:before="20" w:line="240" w:lineRule="auto"/>
            </w:pPr>
            <w:r/>
            <w:r>
              <w:rPr>
                <w:rFonts w:ascii="Arial" w:hAnsi="Arial" w:cs="Arial"/>
                <w:b w:val="0"/>
                <w:i w:val="0"/>
                <w:sz w:val="17"/>
              </w:rPr>
              <w:t>Insurance claim evidence package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/v1/distressed/{id}/command-center</w:t>
            </w:r>
          </w:p>
        </w:tc>
        <w:tc>
          <w:tcPr>
            <w:tcW w:type="dxa" w:w="3213"/>
          </w:tcPr>
          <w:p>
            <w:pPr>
              <w:spacing w:after="20" w:before="20" w:line="240" w:lineRule="auto"/>
            </w:pPr>
            <w:r/>
            <w:r>
              <w:rPr>
                <w:rFonts w:ascii="Arial" w:hAnsi="Arial" w:cs="Arial"/>
                <w:b w:val="0"/>
                <w:i w:val="0"/>
                <w:sz w:val="17"/>
              </w:rPr>
              <w:t>Distressed context for TCC</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18.14 Disputes, Experts &amp; Evidence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/v1/dispute/file</w:t>
            </w:r>
          </w:p>
        </w:tc>
        <w:tc>
          <w:tcPr>
            <w:tcW w:type="dxa" w:w="3213"/>
          </w:tcPr>
          <w:p>
            <w:pPr>
              <w:spacing w:after="20" w:before="20" w:line="240" w:lineRule="auto"/>
            </w:pPr>
            <w:r/>
            <w:r>
              <w:rPr>
                <w:rFonts w:ascii="Arial" w:hAnsi="Arial" w:cs="Arial"/>
                <w:b w:val="0"/>
                <w:i w:val="0"/>
                <w:sz w:val="17"/>
              </w:rPr>
              <w:t>File dispute (category + description + remedy)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/v1/dispute/tri</w:t>
            </w:r>
          </w:p>
        </w:tc>
        <w:tc>
          <w:tcPr>
            <w:tcW w:type="dxa" w:w="3213"/>
          </w:tcPr>
          <w:p>
            <w:pPr>
              <w:spacing w:after="20" w:before="20" w:line="240" w:lineRule="auto"/>
            </w:pPr>
            <w:r/>
            <w:r>
              <w:rPr>
                <w:rFonts w:ascii="Arial" w:hAnsi="Arial" w:cs="Arial"/>
                <w:b w:val="0"/>
                <w:i w:val="0"/>
                <w:sz w:val="17"/>
              </w:rPr>
              <w:t>File TRI dispute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/v1/dispute/fee</w:t>
            </w:r>
          </w:p>
        </w:tc>
        <w:tc>
          <w:tcPr>
            <w:tcW w:type="dxa" w:w="3213"/>
          </w:tcPr>
          <w:p>
            <w:pPr>
              <w:spacing w:after="20" w:before="20" w:line="240" w:lineRule="auto"/>
            </w:pPr>
            <w:r/>
            <w:r>
              <w:rPr>
                <w:rFonts w:ascii="Arial" w:hAnsi="Arial" w:cs="Arial"/>
                <w:b w:val="0"/>
                <w:i w:val="0"/>
                <w:sz w:val="17"/>
              </w:rPr>
              <w:t>File SGTX fee dispute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/v1/evidence/package</w:t>
            </w:r>
          </w:p>
        </w:tc>
        <w:tc>
          <w:tcPr>
            <w:tcW w:type="dxa" w:w="3213"/>
          </w:tcPr>
          <w:p>
            <w:pPr>
              <w:spacing w:after="20" w:before="20" w:line="240" w:lineRule="auto"/>
            </w:pPr>
            <w:r/>
            <w:r>
              <w:rPr>
                <w:rFonts w:ascii="Arial" w:hAnsi="Arial" w:cs="Arial"/>
                <w:b w:val="0"/>
                <w:i w:val="0"/>
                <w:sz w:val="17"/>
              </w:rPr>
              <w:t>Compile evidence package (Loom-hashed)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/v1/dispute/expert/invite</w:t>
            </w:r>
          </w:p>
        </w:tc>
        <w:tc>
          <w:tcPr>
            <w:tcW w:type="dxa" w:w="3213"/>
          </w:tcPr>
          <w:p>
            <w:pPr>
              <w:spacing w:after="20" w:before="20" w:line="240" w:lineRule="auto"/>
            </w:pPr>
            <w:r/>
            <w:r>
              <w:rPr>
                <w:rFonts w:ascii="Arial" w:hAnsi="Arial" w:cs="Arial"/>
                <w:b w:val="0"/>
                <w:i w:val="0"/>
                <w:sz w:val="17"/>
              </w:rPr>
              <w:t>Invite third-party expert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/v1/dispute/expert/opinion</w:t>
            </w:r>
          </w:p>
        </w:tc>
        <w:tc>
          <w:tcPr>
            <w:tcW w:type="dxa" w:w="3213"/>
          </w:tcPr>
          <w:p>
            <w:pPr>
              <w:spacing w:after="20" w:before="20" w:line="240" w:lineRule="auto"/>
            </w:pPr>
            <w:r/>
            <w:r>
              <w:rPr>
                <w:rFonts w:ascii="Arial" w:hAnsi="Arial" w:cs="Arial"/>
                <w:b w:val="0"/>
                <w:i w:val="0"/>
                <w:sz w:val="17"/>
              </w:rPr>
              <w:t>Post expert opinion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18.15 Trust, GNN &amp; Valuation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/v1/trust/passport/{gtid}</w:t>
            </w:r>
          </w:p>
        </w:tc>
        <w:tc>
          <w:tcPr>
            <w:tcW w:type="dxa" w:w="3213"/>
          </w:tcPr>
          <w:p>
            <w:pPr>
              <w:spacing w:after="20" w:before="20" w:line="240" w:lineRule="auto"/>
            </w:pPr>
            <w:r/>
            <w:r>
              <w:rPr>
                <w:rFonts w:ascii="Arial" w:hAnsi="Arial" w:cs="Arial"/>
                <w:b w:val="0"/>
                <w:i w:val="0"/>
                <w:sz w:val="17"/>
              </w:rPr>
              <w:t>Trust Passport (badge always; raw score by consent)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/v1/trust/share</w:t>
            </w:r>
          </w:p>
        </w:tc>
        <w:tc>
          <w:tcPr>
            <w:tcW w:type="dxa" w:w="3213"/>
          </w:tcPr>
          <w:p>
            <w:pPr>
              <w:spacing w:after="20" w:before="20" w:line="240" w:lineRule="auto"/>
            </w:pPr>
            <w:r/>
            <w:r>
              <w:rPr>
                <w:rFonts w:ascii="Arial" w:hAnsi="Arial" w:cs="Arial"/>
                <w:b w:val="0"/>
                <w:i w:val="0"/>
                <w:sz w:val="17"/>
              </w:rPr>
              <w:t>Grant consent-based score share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/v1/trust/revoke</w:t>
            </w:r>
          </w:p>
        </w:tc>
        <w:tc>
          <w:tcPr>
            <w:tcW w:type="dxa" w:w="3213"/>
          </w:tcPr>
          <w:p>
            <w:pPr>
              <w:spacing w:after="20" w:before="20" w:line="240" w:lineRule="auto"/>
            </w:pPr>
            <w:r/>
            <w:r>
              <w:rPr>
                <w:rFonts w:ascii="Arial" w:hAnsi="Arial" w:cs="Arial"/>
                <w:b w:val="0"/>
                <w:i w:val="0"/>
                <w:sz w:val="17"/>
              </w:rPr>
              <w:t>Revoke score share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/v1/trust/verify/{token}</w:t>
            </w:r>
          </w:p>
        </w:tc>
        <w:tc>
          <w:tcPr>
            <w:tcW w:type="dxa" w:w="3213"/>
          </w:tcPr>
          <w:p>
            <w:pPr>
              <w:spacing w:after="20" w:before="20" w:line="240" w:lineRule="auto"/>
            </w:pPr>
            <w:r/>
            <w:r>
              <w:rPr>
                <w:rFonts w:ascii="Arial" w:hAnsi="Arial" w:cs="Arial"/>
                <w:b w:val="0"/>
                <w:i w:val="0"/>
                <w:sz w:val="17"/>
              </w:rPr>
              <w:t>Verify a share token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/v1/trust/status</w:t>
            </w:r>
          </w:p>
        </w:tc>
        <w:tc>
          <w:tcPr>
            <w:tcW w:type="dxa" w:w="3213"/>
          </w:tcPr>
          <w:p>
            <w:pPr>
              <w:spacing w:after="20" w:before="20" w:line="240" w:lineRule="auto"/>
            </w:pPr>
            <w:r/>
            <w:r>
              <w:rPr>
                <w:rFonts w:ascii="Arial" w:hAnsi="Arial" w:cs="Arial"/>
                <w:b w:val="0"/>
                <w:i w:val="0"/>
                <w:sz w:val="17"/>
              </w:rPr>
              <w:t>Tenant trust status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/v1/gnn/trust</w:t>
            </w:r>
          </w:p>
        </w:tc>
        <w:tc>
          <w:tcPr>
            <w:tcW w:type="dxa" w:w="3213"/>
          </w:tcPr>
          <w:p>
            <w:pPr>
              <w:spacing w:after="20" w:before="20" w:line="240" w:lineRule="auto"/>
            </w:pPr>
            <w:r/>
            <w:r>
              <w:rPr>
                <w:rFonts w:ascii="Arial" w:hAnsi="Arial" w:cs="Arial"/>
                <w:b w:val="0"/>
                <w:i w:val="0"/>
                <w:sz w:val="17"/>
              </w:rPr>
              <w:t>GNN trust analytics for known parties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/v1/gnn/risk</w:t>
            </w:r>
          </w:p>
        </w:tc>
        <w:tc>
          <w:tcPr>
            <w:tcW w:type="dxa" w:w="3213"/>
          </w:tcPr>
          <w:p>
            <w:pPr>
              <w:spacing w:after="20" w:before="20" w:line="240" w:lineRule="auto"/>
            </w:pPr>
            <w:r/>
            <w:r>
              <w:rPr>
                <w:rFonts w:ascii="Arial" w:hAnsi="Arial" w:cs="Arial"/>
                <w:b w:val="0"/>
                <w:i w:val="0"/>
                <w:sz w:val="17"/>
              </w:rPr>
              <w:t>GNN risk assessment (sanctions proximity)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/v1/valuation/{ustn}</w:t>
            </w:r>
          </w:p>
        </w:tc>
        <w:tc>
          <w:tcPr>
            <w:tcW w:type="dxa" w:w="3213"/>
          </w:tcPr>
          <w:p>
            <w:pPr>
              <w:spacing w:after="20" w:before="20" w:line="240" w:lineRule="auto"/>
            </w:pPr>
            <w:r/>
            <w:r>
              <w:rPr>
                <w:rFonts w:ascii="Arial" w:hAnsi="Arial" w:cs="Arial"/>
                <w:b w:val="0"/>
                <w:i w:val="0"/>
                <w:sz w:val="17"/>
              </w:rPr>
              <w:t>Shipment valuation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/v1/valuation/market/{hs_code}</w:t>
            </w:r>
          </w:p>
        </w:tc>
        <w:tc>
          <w:tcPr>
            <w:tcW w:type="dxa" w:w="3213"/>
          </w:tcPr>
          <w:p>
            <w:pPr>
              <w:spacing w:after="20" w:before="20" w:line="240" w:lineRule="auto"/>
            </w:pPr>
            <w:r/>
            <w:r>
              <w:rPr>
                <w:rFonts w:ascii="Arial" w:hAnsi="Arial" w:cs="Arial"/>
                <w:b w:val="0"/>
                <w:i w:val="0"/>
                <w:sz w:val="17"/>
              </w:rPr>
              <w:t>Market price band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/v1/valuation/estimate</w:t>
            </w:r>
          </w:p>
        </w:tc>
        <w:tc>
          <w:tcPr>
            <w:tcW w:type="dxa" w:w="3213"/>
          </w:tcPr>
          <w:p>
            <w:pPr>
              <w:spacing w:after="20" w:before="20" w:line="240" w:lineRule="auto"/>
            </w:pPr>
            <w:r/>
            <w:r>
              <w:rPr>
                <w:rFonts w:ascii="Arial" w:hAnsi="Arial" w:cs="Arial"/>
                <w:b w:val="0"/>
                <w:i w:val="0"/>
                <w:sz w:val="17"/>
              </w:rPr>
              <w:t>Valuation estimate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/v1/valuation/dispute</w:t>
            </w:r>
          </w:p>
        </w:tc>
        <w:tc>
          <w:tcPr>
            <w:tcW w:type="dxa" w:w="3213"/>
          </w:tcPr>
          <w:p>
            <w:pPr>
              <w:spacing w:after="20" w:before="20" w:line="240" w:lineRule="auto"/>
            </w:pPr>
            <w:r/>
            <w:r>
              <w:rPr>
                <w:rFonts w:ascii="Arial" w:hAnsi="Arial" w:cs="Arial"/>
                <w:b w:val="0"/>
                <w:i w:val="0"/>
                <w:sz w:val="17"/>
              </w:rPr>
              <w:t>Challenge a valuation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18.16 Inbox &amp; User Preferences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/v1/inbox</w:t>
            </w:r>
          </w:p>
        </w:tc>
        <w:tc>
          <w:tcPr>
            <w:tcW w:type="dxa" w:w="3213"/>
          </w:tcPr>
          <w:p>
            <w:pPr>
              <w:spacing w:after="20" w:before="20" w:line="240" w:lineRule="auto"/>
            </w:pPr>
            <w:r/>
            <w:r>
              <w:rPr>
                <w:rFonts w:ascii="Arial" w:hAnsi="Arial" w:cs="Arial"/>
                <w:b w:val="0"/>
                <w:i w:val="0"/>
                <w:sz w:val="17"/>
              </w:rPr>
              <w:t>Smart Inbox feed (priority-banded)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/v1/inbox/{item_id}/snooze</w:t>
            </w:r>
          </w:p>
        </w:tc>
        <w:tc>
          <w:tcPr>
            <w:tcW w:type="dxa" w:w="3213"/>
          </w:tcPr>
          <w:p>
            <w:pPr>
              <w:spacing w:after="20" w:before="20" w:line="240" w:lineRule="auto"/>
            </w:pPr>
            <w:r/>
            <w:r>
              <w:rPr>
                <w:rFonts w:ascii="Arial" w:hAnsi="Arial" w:cs="Arial"/>
                <w:b w:val="0"/>
                <w:i w:val="0"/>
                <w:sz w:val="17"/>
              </w:rPr>
              <w:t>Snooze item (2/4/8/24h)</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/v1/inbox/{item_id}/dismiss</w:t>
            </w:r>
          </w:p>
        </w:tc>
        <w:tc>
          <w:tcPr>
            <w:tcW w:type="dxa" w:w="3213"/>
          </w:tcPr>
          <w:p>
            <w:pPr>
              <w:spacing w:after="20" w:before="20" w:line="240" w:lineRule="auto"/>
            </w:pPr>
            <w:r/>
            <w:r>
              <w:rPr>
                <w:rFonts w:ascii="Arial" w:hAnsi="Arial" w:cs="Arial"/>
                <w:b w:val="0"/>
                <w:i w:val="0"/>
                <w:sz w:val="17"/>
              </w:rPr>
              <w:t>Dismiss item (history-preserved)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/v1/inbox/history</w:t>
            </w:r>
          </w:p>
        </w:tc>
        <w:tc>
          <w:tcPr>
            <w:tcW w:type="dxa" w:w="3213"/>
          </w:tcPr>
          <w:p>
            <w:pPr>
              <w:spacing w:after="20" w:before="20" w:line="240" w:lineRule="auto"/>
            </w:pPr>
            <w:r/>
            <w:r>
              <w:rPr>
                <w:rFonts w:ascii="Arial" w:hAnsi="Arial" w:cs="Arial"/>
                <w:b w:val="0"/>
                <w:i w:val="0"/>
                <w:sz w:val="17"/>
              </w:rPr>
              <w:t>Action history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/v1/inbox/actions</w:t>
            </w:r>
          </w:p>
        </w:tc>
        <w:tc>
          <w:tcPr>
            <w:tcW w:type="dxa" w:w="3213"/>
          </w:tcPr>
          <w:p>
            <w:pPr>
              <w:spacing w:after="20" w:before="20" w:line="240" w:lineRule="auto"/>
            </w:pPr>
            <w:r/>
            <w:r>
              <w:rPr>
                <w:rFonts w:ascii="Arial" w:hAnsi="Arial" w:cs="Arial"/>
                <w:b w:val="0"/>
                <w:i w:val="0"/>
                <w:sz w:val="17"/>
              </w:rPr>
              <w:t>Recommended actions widget data</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/v1/inbox/preferences</w:t>
            </w:r>
          </w:p>
        </w:tc>
        <w:tc>
          <w:tcPr>
            <w:tcW w:type="dxa" w:w="3213"/>
          </w:tcPr>
          <w:p>
            <w:pPr>
              <w:spacing w:after="20" w:before="20" w:line="240" w:lineRule="auto"/>
            </w:pPr>
            <w:r/>
            <w:r>
              <w:rPr>
                <w:rFonts w:ascii="Arial" w:hAnsi="Arial" w:cs="Arial"/>
                <w:b w:val="0"/>
                <w:i w:val="0"/>
                <w:sz w:val="17"/>
              </w:rPr>
              <w:t>Inbox preferences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/v1/inbox/preferences</w:t>
            </w:r>
          </w:p>
        </w:tc>
        <w:tc>
          <w:tcPr>
            <w:tcW w:type="dxa" w:w="3213"/>
          </w:tcPr>
          <w:p>
            <w:pPr>
              <w:spacing w:after="20" w:before="20" w:line="240" w:lineRule="auto"/>
            </w:pPr>
            <w:r/>
            <w:r>
              <w:rPr>
                <w:rFonts w:ascii="Arial" w:hAnsi="Arial" w:cs="Arial"/>
                <w:b w:val="0"/>
                <w:i w:val="0"/>
                <w:sz w:val="17"/>
              </w:rPr>
              <w:t>Update preferences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18.17 Search, Command Center &amp; Documents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/v1/search</w:t>
            </w:r>
          </w:p>
        </w:tc>
        <w:tc>
          <w:tcPr>
            <w:tcW w:type="dxa" w:w="3213"/>
          </w:tcPr>
          <w:p>
            <w:pPr>
              <w:spacing w:after="20" w:before="20" w:line="240" w:lineRule="auto"/>
            </w:pPr>
            <w:r/>
            <w:r>
              <w:rPr>
                <w:rFonts w:ascii="Arial" w:hAnsi="Arial" w:cs="Arial"/>
                <w:b w:val="0"/>
                <w:i w:val="0"/>
                <w:sz w:val="17"/>
              </w:rPr>
              <w:t>Universal search across authorised entities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/v1/trade/{ustn}/command-center</w:t>
            </w:r>
          </w:p>
        </w:tc>
        <w:tc>
          <w:tcPr>
            <w:tcW w:type="dxa" w:w="3213"/>
          </w:tcPr>
          <w:p>
            <w:pPr>
              <w:spacing w:after="20" w:before="20" w:line="240" w:lineRule="auto"/>
            </w:pPr>
            <w:r/>
            <w:r>
              <w:rPr>
                <w:rFonts w:ascii="Arial" w:hAnsi="Arial" w:cs="Arial"/>
                <w:b w:val="0"/>
                <w:i w:val="0"/>
                <w:sz w:val="17"/>
              </w:rPr>
              <w:t>Trade Command Center context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/v1/documents</w:t>
            </w:r>
          </w:p>
        </w:tc>
        <w:tc>
          <w:tcPr>
            <w:tcW w:type="dxa" w:w="3213"/>
          </w:tcPr>
          <w:p>
            <w:pPr>
              <w:spacing w:after="20" w:before="20" w:line="240" w:lineRule="auto"/>
            </w:pPr>
            <w:r/>
            <w:r>
              <w:rPr>
                <w:rFonts w:ascii="Arial" w:hAnsi="Arial" w:cs="Arial"/>
                <w:b w:val="0"/>
                <w:i w:val="0"/>
                <w:sz w:val="17"/>
              </w:rPr>
              <w:t>Register document metadata</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/v1/documents/upload</w:t>
            </w:r>
          </w:p>
        </w:tc>
        <w:tc>
          <w:tcPr>
            <w:tcW w:type="dxa" w:w="3213"/>
          </w:tcPr>
          <w:p>
            <w:pPr>
              <w:spacing w:after="20" w:before="20" w:line="240" w:lineRule="auto"/>
            </w:pPr>
            <w:r/>
            <w:r>
              <w:rPr>
                <w:rFonts w:ascii="Arial" w:hAnsi="Arial" w:cs="Arial"/>
                <w:b w:val="0"/>
                <w:i w:val="0"/>
                <w:sz w:val="17"/>
              </w:rPr>
              <w:t>Upload document (hashed, versioned)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/v1/document/verify</w:t>
            </w:r>
          </w:p>
        </w:tc>
        <w:tc>
          <w:tcPr>
            <w:tcW w:type="dxa" w:w="3213"/>
          </w:tcPr>
          <w:p>
            <w:pPr>
              <w:spacing w:after="20" w:before="20" w:line="240" w:lineRule="auto"/>
            </w:pPr>
            <w:r/>
            <w:r>
              <w:rPr>
                <w:rFonts w:ascii="Arial" w:hAnsi="Arial" w:cs="Arial"/>
                <w:b w:val="0"/>
                <w:i w:val="0"/>
                <w:sz w:val="17"/>
              </w:rPr>
              <w:t>Verify document authenticity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/v1/verify/packing-list/{document_id}</w:t>
            </w:r>
          </w:p>
        </w:tc>
        <w:tc>
          <w:tcPr>
            <w:tcW w:type="dxa" w:w="3213"/>
          </w:tcPr>
          <w:p>
            <w:pPr>
              <w:spacing w:after="20" w:before="20" w:line="240" w:lineRule="auto"/>
            </w:pPr>
            <w:r/>
            <w:r>
              <w:rPr>
                <w:rFonts w:ascii="Arial" w:hAnsi="Arial" w:cs="Arial"/>
                <w:b w:val="0"/>
                <w:i w:val="0"/>
                <w:sz w:val="17"/>
              </w:rPr>
              <w:t>Public packing-list verification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18.18 Tenant Data Export &amp; Webhooks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/v1/tenant/export</w:t>
            </w:r>
          </w:p>
        </w:tc>
        <w:tc>
          <w:tcPr>
            <w:tcW w:type="dxa" w:w="3213"/>
          </w:tcPr>
          <w:p>
            <w:pPr>
              <w:spacing w:after="20" w:before="20" w:line="240" w:lineRule="auto"/>
            </w:pPr>
            <w:r/>
            <w:r>
              <w:rPr>
                <w:rFonts w:ascii="Arial" w:hAnsi="Arial" w:cs="Arial"/>
                <w:b w:val="0"/>
                <w:i w:val="0"/>
                <w:sz w:val="17"/>
              </w:rPr>
              <w:t>Request tenant data export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/v1/tenant/export/{job_id}</w:t>
            </w:r>
          </w:p>
        </w:tc>
        <w:tc>
          <w:tcPr>
            <w:tcW w:type="dxa" w:w="3213"/>
          </w:tcPr>
          <w:p>
            <w:pPr>
              <w:spacing w:after="20" w:before="20" w:line="240" w:lineRule="auto"/>
            </w:pPr>
            <w:r/>
            <w:r>
              <w:rPr>
                <w:rFonts w:ascii="Arial" w:hAnsi="Arial" w:cs="Arial"/>
                <w:b w:val="0"/>
                <w:i w:val="0"/>
                <w:sz w:val="17"/>
              </w:rPr>
              <w:t>Download export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/v1/tenant/webhook/register</w:t>
            </w:r>
          </w:p>
        </w:tc>
        <w:tc>
          <w:tcPr>
            <w:tcW w:type="dxa" w:w="3213"/>
          </w:tcPr>
          <w:p>
            <w:pPr>
              <w:spacing w:after="20" w:before="20" w:line="240" w:lineRule="auto"/>
            </w:pPr>
            <w:r/>
            <w:r>
              <w:rPr>
                <w:rFonts w:ascii="Arial" w:hAnsi="Arial" w:cs="Arial"/>
                <w:b w:val="0"/>
                <w:i w:val="0"/>
                <w:sz w:val="17"/>
              </w:rPr>
              <w:t>Register tenant webhook</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18.19 Marketplace Partner (Partner API)</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/v1/partner/intent/analyze</w:t>
            </w:r>
          </w:p>
        </w:tc>
        <w:tc>
          <w:tcPr>
            <w:tcW w:type="dxa" w:w="3213"/>
          </w:tcPr>
          <w:p>
            <w:pPr>
              <w:spacing w:after="20" w:before="20" w:line="240" w:lineRule="auto"/>
            </w:pPr>
            <w:r/>
            <w:r>
              <w:rPr>
                <w:rFonts w:ascii="Arial" w:hAnsi="Arial" w:cs="Arial"/>
                <w:b w:val="0"/>
                <w:i w:val="0"/>
                <w:sz w:val="17"/>
              </w:rPr>
              <w:t>Parse raw trade intent to structured specs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/v1/partner/trade/initiate</w:t>
            </w:r>
          </w:p>
        </w:tc>
        <w:tc>
          <w:tcPr>
            <w:tcW w:type="dxa" w:w="3213"/>
          </w:tcPr>
          <w:p>
            <w:pPr>
              <w:spacing w:after="20" w:before="20" w:line="240" w:lineRule="auto"/>
            </w:pPr>
            <w:r/>
            <w:r>
              <w:rPr>
                <w:rFonts w:ascii="Arial" w:hAnsi="Arial" w:cs="Arial"/>
                <w:b w:val="0"/>
                <w:i w:val="0"/>
                <w:sz w:val="17"/>
              </w:rPr>
              <w:t>Initiate attributed trade request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/v1/partner/suppliers/match</w:t>
            </w:r>
          </w:p>
        </w:tc>
        <w:tc>
          <w:tcPr>
            <w:tcW w:type="dxa" w:w="3213"/>
          </w:tcPr>
          <w:p>
            <w:pPr>
              <w:spacing w:after="20" w:before="20" w:line="240" w:lineRule="auto"/>
            </w:pPr>
            <w:r/>
            <w:r>
              <w:rPr>
                <w:rFonts w:ascii="Arial" w:hAnsi="Arial" w:cs="Arial"/>
                <w:b w:val="0"/>
                <w:i w:val="0"/>
                <w:sz w:val="17"/>
              </w:rPr>
              <w:t>Match supplier leads (attribution only, non-marketplace)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/v1/partner/agreement/propose</w:t>
            </w:r>
          </w:p>
        </w:tc>
        <w:tc>
          <w:tcPr>
            <w:tcW w:type="dxa" w:w="3213"/>
          </w:tcPr>
          <w:p>
            <w:pPr>
              <w:spacing w:after="20" w:before="20" w:line="240" w:lineRule="auto"/>
            </w:pPr>
            <w:r/>
            <w:r>
              <w:rPr>
                <w:rFonts w:ascii="Arial" w:hAnsi="Arial" w:cs="Arial"/>
                <w:b w:val="0"/>
                <w:i w:val="0"/>
                <w:sz w:val="17"/>
              </w:rPr>
              <w:t>Partnership proposal generation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/v1/partner/webhook/register</w:t>
            </w:r>
          </w:p>
        </w:tc>
        <w:tc>
          <w:tcPr>
            <w:tcW w:type="dxa" w:w="3213"/>
          </w:tcPr>
          <w:p>
            <w:pPr>
              <w:spacing w:after="20" w:before="20" w:line="240" w:lineRule="auto"/>
            </w:pPr>
            <w:r/>
            <w:r>
              <w:rPr>
                <w:rFonts w:ascii="Arial" w:hAnsi="Arial" w:cs="Arial"/>
                <w:b w:val="0"/>
                <w:i w:val="0"/>
                <w:sz w:val="17"/>
              </w:rPr>
              <w:t>Register partner webhook</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/v1/partner/analytics</w:t>
            </w:r>
          </w:p>
        </w:tc>
        <w:tc>
          <w:tcPr>
            <w:tcW w:type="dxa" w:w="3213"/>
          </w:tcPr>
          <w:p>
            <w:pPr>
              <w:spacing w:after="20" w:before="20" w:line="240" w:lineRule="auto"/>
            </w:pPr>
            <w:r/>
            <w:r>
              <w:rPr>
                <w:rFonts w:ascii="Arial" w:hAnsi="Arial" w:cs="Arial"/>
                <w:b w:val="0"/>
                <w:i w:val="0"/>
                <w:sz w:val="17"/>
              </w:rPr>
              <w:t>Partner analytics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/v1/partner/ratelimits</w:t>
            </w:r>
          </w:p>
        </w:tc>
        <w:tc>
          <w:tcPr>
            <w:tcW w:type="dxa" w:w="3213"/>
          </w:tcPr>
          <w:p>
            <w:pPr>
              <w:spacing w:after="20" w:before="20" w:line="240" w:lineRule="auto"/>
            </w:pPr>
            <w:r/>
            <w:r>
              <w:rPr>
                <w:rFonts w:ascii="Arial" w:hAnsi="Arial" w:cs="Arial"/>
                <w:b w:val="0"/>
                <w:i w:val="0"/>
                <w:sz w:val="17"/>
              </w:rPr>
              <w:t>Partner rate limits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/v1/partner/ratelimits/increase</w:t>
            </w:r>
          </w:p>
        </w:tc>
        <w:tc>
          <w:tcPr>
            <w:tcW w:type="dxa" w:w="3213"/>
          </w:tcPr>
          <w:p>
            <w:pPr>
              <w:spacing w:after="20" w:before="20" w:line="240" w:lineRule="auto"/>
            </w:pPr>
            <w:r/>
            <w:r>
              <w:rPr>
                <w:rFonts w:ascii="Arial" w:hAnsi="Arial" w:cs="Arial"/>
                <w:b w:val="0"/>
                <w:i w:val="0"/>
                <w:sz w:val="17"/>
              </w:rPr>
              <w:t>Request rate-limit increase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18.20 KYB/KYC &amp; Onboarding</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/v1/kyc/onboard</w:t>
            </w:r>
          </w:p>
        </w:tc>
        <w:tc>
          <w:tcPr>
            <w:tcW w:type="dxa" w:w="3213"/>
          </w:tcPr>
          <w:p>
            <w:pPr>
              <w:spacing w:after="20" w:before="20" w:line="240" w:lineRule="auto"/>
            </w:pPr>
            <w:r/>
            <w:r>
              <w:rPr>
                <w:rFonts w:ascii="Arial" w:hAnsi="Arial" w:cs="Arial"/>
                <w:b w:val="0"/>
                <w:i w:val="0"/>
                <w:sz w:val="17"/>
              </w:rPr>
              <w:t>Start onboarding</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/v1/kyc/status/{tenant_id}</w:t>
            </w:r>
          </w:p>
        </w:tc>
        <w:tc>
          <w:tcPr>
            <w:tcW w:type="dxa" w:w="3213"/>
          </w:tcPr>
          <w:p>
            <w:pPr>
              <w:spacing w:after="20" w:before="20" w:line="240" w:lineRule="auto"/>
            </w:pPr>
            <w:r/>
            <w:r>
              <w:rPr>
                <w:rFonts w:ascii="Arial" w:hAnsi="Arial" w:cs="Arial"/>
                <w:b w:val="0"/>
                <w:i w:val="0"/>
                <w:sz w:val="17"/>
              </w:rPr>
              <w:t>Onboarding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/v1/kyc/reverify</w:t>
            </w:r>
          </w:p>
        </w:tc>
        <w:tc>
          <w:tcPr>
            <w:tcW w:type="dxa" w:w="3213"/>
          </w:tcPr>
          <w:p>
            <w:pPr>
              <w:spacing w:after="20" w:before="20" w:line="240" w:lineRule="auto"/>
            </w:pPr>
            <w:r/>
            <w:r>
              <w:rPr>
                <w:rFonts w:ascii="Arial" w:hAnsi="Arial" w:cs="Arial"/>
                <w:b w:val="0"/>
                <w:i w:val="0"/>
                <w:sz w:val="17"/>
              </w:rPr>
              <w:t>Re-verification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/v1/kyc/upgrade</w:t>
            </w:r>
          </w:p>
        </w:tc>
        <w:tc>
          <w:tcPr>
            <w:tcW w:type="dxa" w:w="3213"/>
          </w:tcPr>
          <w:p>
            <w:pPr>
              <w:spacing w:after="20" w:before="20" w:line="240" w:lineRule="auto"/>
            </w:pPr>
            <w:r/>
            <w:r>
              <w:rPr>
                <w:rFonts w:ascii="Arial" w:hAnsi="Arial" w:cs="Arial"/>
                <w:b w:val="0"/>
                <w:i w:val="0"/>
                <w:sz w:val="17"/>
              </w:rPr>
              <w:t>Upgrade KYB tier</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/v1/onboarding/state</w:t>
            </w:r>
          </w:p>
        </w:tc>
        <w:tc>
          <w:tcPr>
            <w:tcW w:type="dxa" w:w="3213"/>
          </w:tcPr>
          <w:p>
            <w:pPr>
              <w:spacing w:after="20" w:before="20" w:line="240" w:lineRule="auto"/>
            </w:pPr>
            <w:r/>
            <w:r>
              <w:rPr>
                <w:rFonts w:ascii="Arial" w:hAnsi="Arial" w:cs="Arial"/>
                <w:b w:val="0"/>
                <w:i w:val="0"/>
                <w:sz w:val="17"/>
              </w:rPr>
              <w:t>Onboarding state machine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/v1/onboarding/skip</w:t>
            </w:r>
          </w:p>
        </w:tc>
        <w:tc>
          <w:tcPr>
            <w:tcW w:type="dxa" w:w="3213"/>
          </w:tcPr>
          <w:p>
            <w:pPr>
              <w:spacing w:after="20" w:before="20" w:line="240" w:lineRule="auto"/>
            </w:pPr>
            <w:r/>
            <w:r>
              <w:rPr>
                <w:rFonts w:ascii="Arial" w:hAnsi="Arial" w:cs="Arial"/>
                <w:b w:val="0"/>
                <w:i w:val="0"/>
                <w:sz w:val="17"/>
              </w:rPr>
              <w:t>Skip optional step</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/v1/onboarding/exit-sandbox</w:t>
            </w:r>
          </w:p>
        </w:tc>
        <w:tc>
          <w:tcPr>
            <w:tcW w:type="dxa" w:w="3213"/>
          </w:tcPr>
          <w:p>
            <w:pPr>
              <w:spacing w:after="20" w:before="20" w:line="240" w:lineRule="auto"/>
            </w:pPr>
            <w:r/>
            <w:r>
              <w:rPr>
                <w:rFonts w:ascii="Arial" w:hAnsi="Arial" w:cs="Arial"/>
                <w:b w:val="0"/>
                <w:i w:val="0"/>
                <w:sz w:val="17"/>
              </w:rPr>
              <w:t>Exit sandbox to production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/v1/onboarding/sandbox/reset</w:t>
            </w:r>
          </w:p>
        </w:tc>
        <w:tc>
          <w:tcPr>
            <w:tcW w:type="dxa" w:w="3213"/>
          </w:tcPr>
          <w:p>
            <w:pPr>
              <w:spacing w:after="20" w:before="20" w:line="240" w:lineRule="auto"/>
            </w:pPr>
            <w:r/>
            <w:r>
              <w:rPr>
                <w:rFonts w:ascii="Arial" w:hAnsi="Arial" w:cs="Arial"/>
                <w:b w:val="0"/>
                <w:i w:val="0"/>
                <w:sz w:val="17"/>
              </w:rPr>
              <w:t>Reset sandbox</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/v1/onboarding/verified-identity/add</w:t>
            </w:r>
          </w:p>
        </w:tc>
        <w:tc>
          <w:tcPr>
            <w:tcW w:type="dxa" w:w="3213"/>
          </w:tcPr>
          <w:p>
            <w:pPr>
              <w:spacing w:after="20" w:before="20" w:line="240" w:lineRule="auto"/>
            </w:pPr>
            <w:r/>
            <w:r>
              <w:rPr>
                <w:rFonts w:ascii="Arial" w:hAnsi="Arial" w:cs="Arial"/>
                <w:b w:val="0"/>
                <w:i w:val="0"/>
                <w:sz w:val="17"/>
              </w:rPr>
              <w:t>Add verified external identifier</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/v1/onboarding/verified-identity/verify</w:t>
            </w:r>
          </w:p>
        </w:tc>
        <w:tc>
          <w:tcPr>
            <w:tcW w:type="dxa" w:w="3213"/>
          </w:tcPr>
          <w:p>
            <w:pPr>
              <w:spacing w:after="20" w:before="20" w:line="240" w:lineRule="auto"/>
            </w:pPr>
            <w:r/>
            <w:r>
              <w:rPr>
                <w:rFonts w:ascii="Arial" w:hAnsi="Arial" w:cs="Arial"/>
                <w:b w:val="0"/>
                <w:i w:val="0"/>
                <w:sz w:val="17"/>
              </w:rPr>
              <w:t>Verify external identifier</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18.21 Admin &amp; Security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/v1/security/advisories</w:t>
            </w:r>
          </w:p>
        </w:tc>
        <w:tc>
          <w:tcPr>
            <w:tcW w:type="dxa" w:w="3213"/>
          </w:tcPr>
          <w:p>
            <w:pPr>
              <w:spacing w:after="20" w:before="20" w:line="240" w:lineRule="auto"/>
            </w:pPr>
            <w:r/>
            <w:r>
              <w:rPr>
                <w:rFonts w:ascii="Arial" w:hAnsi="Arial" w:cs="Arial"/>
                <w:b w:val="0"/>
                <w:i w:val="0"/>
                <w:sz w:val="17"/>
              </w:rPr>
              <w:t>Security advisories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/v1/security/incidents</w:t>
            </w:r>
          </w:p>
        </w:tc>
        <w:tc>
          <w:tcPr>
            <w:tcW w:type="dxa" w:w="3213"/>
          </w:tcPr>
          <w:p>
            <w:pPr>
              <w:spacing w:after="20" w:before="20" w:line="240" w:lineRule="auto"/>
            </w:pPr>
            <w:r/>
            <w:r>
              <w:rPr>
                <w:rFonts w:ascii="Arial" w:hAnsi="Arial" w:cs="Arial"/>
                <w:b w:val="0"/>
                <w:i w:val="0"/>
                <w:sz w:val="17"/>
              </w:rPr>
              <w:t>Incident list (P0–P3)</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/v1/security/corridor/{code}</w:t>
            </w:r>
          </w:p>
        </w:tc>
        <w:tc>
          <w:tcPr>
            <w:tcW w:type="dxa" w:w="3213"/>
          </w:tcPr>
          <w:p>
            <w:pPr>
              <w:spacing w:after="20" w:before="20" w:line="240" w:lineRule="auto"/>
            </w:pPr>
            <w:r/>
            <w:r>
              <w:rPr>
                <w:rFonts w:ascii="Arial" w:hAnsi="Arial" w:cs="Arial"/>
                <w:b w:val="0"/>
                <w:i w:val="0"/>
                <w:sz w:val="17"/>
              </w:rPr>
              <w:t>Corridor security risk</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/v1/security/insurance-impact</w:t>
            </w:r>
          </w:p>
        </w:tc>
        <w:tc>
          <w:tcPr>
            <w:tcW w:type="dxa" w:w="3213"/>
          </w:tcPr>
          <w:p>
            <w:pPr>
              <w:spacing w:after="20" w:before="20" w:line="240" w:lineRule="auto"/>
            </w:pPr>
            <w:r/>
            <w:r>
              <w:rPr>
                <w:rFonts w:ascii="Arial" w:hAnsi="Arial" w:cs="Arial"/>
                <w:b w:val="0"/>
                <w:i w:val="0"/>
                <w:sz w:val="17"/>
              </w:rPr>
              <w:t>Insurance impact feed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/v1/compliance/screen</w:t>
            </w:r>
          </w:p>
        </w:tc>
        <w:tc>
          <w:tcPr>
            <w:tcW w:type="dxa" w:w="3213"/>
          </w:tcPr>
          <w:p>
            <w:pPr>
              <w:spacing w:after="20" w:before="20" w:line="240" w:lineRule="auto"/>
            </w:pPr>
            <w:r/>
            <w:r>
              <w:rPr>
                <w:rFonts w:ascii="Arial" w:hAnsi="Arial" w:cs="Arial"/>
                <w:b w:val="0"/>
                <w:i w:val="0"/>
                <w:sz w:val="17"/>
              </w:rPr>
              <w:t>Compliance screening (sanctions/AML)</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/v1/sar/list</w:t>
            </w:r>
          </w:p>
        </w:tc>
        <w:tc>
          <w:tcPr>
            <w:tcW w:type="dxa" w:w="3213"/>
          </w:tcPr>
          <w:p>
            <w:pPr>
              <w:spacing w:after="20" w:before="20" w:line="240" w:lineRule="auto"/>
            </w:pPr>
            <w:r/>
            <w:r>
              <w:rPr>
                <w:rFonts w:ascii="Arial" w:hAnsi="Arial" w:cs="Arial"/>
                <w:b w:val="0"/>
                <w:i w:val="0"/>
                <w:sz w:val="17"/>
              </w:rPr>
              <w:t>SAR list (admin)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/v1/sar/{id}</w:t>
            </w:r>
          </w:p>
        </w:tc>
        <w:tc>
          <w:tcPr>
            <w:tcW w:type="dxa" w:w="3213"/>
          </w:tcPr>
          <w:p>
            <w:pPr>
              <w:spacing w:after="20" w:before="20" w:line="240" w:lineRule="auto"/>
            </w:pPr>
            <w:r/>
            <w:r>
              <w:rPr>
                <w:rFonts w:ascii="Arial" w:hAnsi="Arial" w:cs="Arial"/>
                <w:b w:val="0"/>
                <w:i w:val="0"/>
                <w:sz w:val="17"/>
              </w:rPr>
              <w:t>SAR detail</w:t>
            </w:r>
          </w:p>
        </w:tc>
      </w:tr>
      <w:tr>
        <w:tc>
          <w:tcPr>
            <w:tcW w:type="dxa" w:w="3213"/>
          </w:tcPr>
          <w:p>
            <w:pPr>
              <w:spacing w:after="20" w:before="20" w:line="240" w:lineRule="auto"/>
            </w:pPr>
            <w:r/>
            <w:r>
              <w:rPr>
                <w:rFonts w:ascii="Arial" w:hAnsi="Arial" w:cs="Arial"/>
                <w:b w:val="0"/>
                <w:i w:val="0"/>
                <w:sz w:val="17"/>
              </w:rPr>
              <w:t>PUT</w:t>
            </w:r>
          </w:p>
        </w:tc>
        <w:tc>
          <w:tcPr>
            <w:tcW w:type="dxa" w:w="3213"/>
          </w:tcPr>
          <w:p>
            <w:pPr>
              <w:spacing w:after="20" w:before="20" w:line="240" w:lineRule="auto"/>
            </w:pPr>
            <w:r/>
            <w:r>
              <w:rPr>
                <w:rFonts w:ascii="Arial" w:hAnsi="Arial" w:cs="Arial"/>
                <w:b w:val="0"/>
                <w:i w:val="0"/>
                <w:sz w:val="17"/>
              </w:rPr>
              <w:t>/v1/sar/{id}/edit</w:t>
            </w:r>
          </w:p>
        </w:tc>
        <w:tc>
          <w:tcPr>
            <w:tcW w:type="dxa" w:w="3213"/>
          </w:tcPr>
          <w:p>
            <w:pPr>
              <w:spacing w:after="20" w:before="20" w:line="240" w:lineRule="auto"/>
            </w:pPr>
            <w:r/>
            <w:r>
              <w:rPr>
                <w:rFonts w:ascii="Arial" w:hAnsi="Arial" w:cs="Arial"/>
                <w:b w:val="0"/>
                <w:i w:val="0"/>
                <w:sz w:val="17"/>
              </w:rPr>
              <w:t>Edit SAR draft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/v1/sar/{id}/file</w:t>
            </w:r>
          </w:p>
        </w:tc>
        <w:tc>
          <w:tcPr>
            <w:tcW w:type="dxa" w:w="3213"/>
          </w:tcPr>
          <w:p>
            <w:pPr>
              <w:spacing w:after="20" w:before="20" w:line="240" w:lineRule="auto"/>
            </w:pPr>
            <w:r/>
            <w:r>
              <w:rPr>
                <w:rFonts w:ascii="Arial" w:hAnsi="Arial" w:cs="Arial"/>
                <w:b w:val="0"/>
                <w:i w:val="0"/>
                <w:sz w:val="17"/>
              </w:rPr>
              <w:t>File SAR</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/v1/sar/{id}/reject</w:t>
            </w:r>
          </w:p>
        </w:tc>
        <w:tc>
          <w:tcPr>
            <w:tcW w:type="dxa" w:w="3213"/>
          </w:tcPr>
          <w:p>
            <w:pPr>
              <w:spacing w:after="20" w:before="20" w:line="240" w:lineRule="auto"/>
            </w:pPr>
            <w:r/>
            <w:r>
              <w:rPr>
                <w:rFonts w:ascii="Arial" w:hAnsi="Arial" w:cs="Arial"/>
                <w:b w:val="0"/>
                <w:i w:val="0"/>
                <w:sz w:val="17"/>
              </w:rPr>
              <w:t>Reject SAR draft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/v1/keys</w:t>
            </w:r>
          </w:p>
        </w:tc>
        <w:tc>
          <w:tcPr>
            <w:tcW w:type="dxa" w:w="3213"/>
          </w:tcPr>
          <w:p>
            <w:pPr>
              <w:spacing w:after="20" w:before="20" w:line="240" w:lineRule="auto"/>
            </w:pPr>
            <w:r/>
            <w:r>
              <w:rPr>
                <w:rFonts w:ascii="Arial" w:hAnsi="Arial" w:cs="Arial"/>
                <w:b w:val="0"/>
                <w:i w:val="0"/>
                <w:sz w:val="17"/>
              </w:rPr>
              <w:t>Key inventory (admin)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/v1/zk/verify</w:t>
            </w:r>
          </w:p>
        </w:tc>
        <w:tc>
          <w:tcPr>
            <w:tcW w:type="dxa" w:w="3213"/>
          </w:tcPr>
          <w:p>
            <w:pPr>
              <w:spacing w:after="20" w:before="20" w:line="240" w:lineRule="auto"/>
            </w:pPr>
            <w:r/>
            <w:r>
              <w:rPr>
                <w:rFonts w:ascii="Arial" w:hAnsi="Arial" w:cs="Arial"/>
                <w:b w:val="0"/>
                <w:i w:val="0"/>
                <w:sz w:val="17"/>
              </w:rPr>
              <w:t>ZK proof verification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18.22 Container Release &amp; Terminal Integration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/v1/release/authorization</w:t>
            </w:r>
          </w:p>
        </w:tc>
        <w:tc>
          <w:tcPr>
            <w:tcW w:type="dxa" w:w="3213"/>
          </w:tcPr>
          <w:p>
            <w:pPr>
              <w:spacing w:after="20" w:before="20" w:line="240" w:lineRule="auto"/>
            </w:pPr>
            <w:r/>
            <w:r>
              <w:rPr>
                <w:rFonts w:ascii="Arial" w:hAnsi="Arial" w:cs="Arial"/>
                <w:b w:val="0"/>
                <w:i w:val="0"/>
                <w:sz w:val="17"/>
              </w:rPr>
              <w:t>Retrieve release authorization (terminal)</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/v1/release/gate-out</w:t>
            </w:r>
          </w:p>
        </w:tc>
        <w:tc>
          <w:tcPr>
            <w:tcW w:type="dxa" w:w="3213"/>
          </w:tcPr>
          <w:p>
            <w:pPr>
              <w:spacing w:after="20" w:before="20" w:line="240" w:lineRule="auto"/>
            </w:pPr>
            <w:r/>
            <w:r>
              <w:rPr>
                <w:rFonts w:ascii="Arial" w:hAnsi="Arial" w:cs="Arial"/>
                <w:b w:val="0"/>
                <w:i w:val="0"/>
                <w:sz w:val="17"/>
              </w:rPr>
              <w:t>Record gate-out event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/v1/release/webhook</w:t>
            </w:r>
          </w:p>
        </w:tc>
        <w:tc>
          <w:tcPr>
            <w:tcW w:type="dxa" w:w="3213"/>
          </w:tcPr>
          <w:p>
            <w:pPr>
              <w:spacing w:after="20" w:before="20" w:line="240" w:lineRule="auto"/>
            </w:pPr>
            <w:r/>
            <w:r>
              <w:rPr>
                <w:rFonts w:ascii="Arial" w:hAnsi="Arial" w:cs="Arial"/>
                <w:b w:val="0"/>
                <w:i w:val="0"/>
                <w:sz w:val="17"/>
              </w:rPr>
              <w:t>Release webhook (provider acknowledgement)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/v1/release/crl</w:t>
            </w:r>
          </w:p>
        </w:tc>
        <w:tc>
          <w:tcPr>
            <w:tcW w:type="dxa" w:w="3213"/>
          </w:tcPr>
          <w:p>
            <w:pPr>
              <w:spacing w:after="20" w:before="20" w:line="240" w:lineRule="auto"/>
            </w:pPr>
            <w:r/>
            <w:r>
              <w:rPr>
                <w:rFonts w:ascii="Arial" w:hAnsi="Arial" w:cs="Arial"/>
                <w:b w:val="0"/>
                <w:i w:val="0"/>
                <w:sz w:val="17"/>
              </w:rPr>
              <w:t>Revoked release tokens/authorizations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/v1/terminal/pre-advice</w:t>
            </w:r>
          </w:p>
        </w:tc>
        <w:tc>
          <w:tcPr>
            <w:tcW w:type="dxa" w:w="3213"/>
          </w:tcPr>
          <w:p>
            <w:pPr>
              <w:spacing w:after="20" w:before="20" w:line="240" w:lineRule="auto"/>
            </w:pPr>
            <w:r/>
            <w:r>
              <w:rPr>
                <w:rFonts w:ascii="Arial" w:hAnsi="Arial" w:cs="Arial"/>
                <w:b w:val="0"/>
                <w:i w:val="0"/>
                <w:sz w:val="17"/>
              </w:rPr>
              <w:t>Terminal pre-advice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/v1/terminal/gate-in</w:t>
            </w:r>
          </w:p>
        </w:tc>
        <w:tc>
          <w:tcPr>
            <w:tcW w:type="dxa" w:w="3213"/>
          </w:tcPr>
          <w:p>
            <w:pPr>
              <w:spacing w:after="20" w:before="20" w:line="240" w:lineRule="auto"/>
            </w:pPr>
            <w:r/>
            <w:r>
              <w:rPr>
                <w:rFonts w:ascii="Arial" w:hAnsi="Arial" w:cs="Arial"/>
                <w:b w:val="0"/>
                <w:i w:val="0"/>
                <w:sz w:val="17"/>
              </w:rPr>
              <w:t>Terminal gate-in event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/v1/terminal/gate-out</w:t>
            </w:r>
          </w:p>
        </w:tc>
        <w:tc>
          <w:tcPr>
            <w:tcW w:type="dxa" w:w="3213"/>
          </w:tcPr>
          <w:p>
            <w:pPr>
              <w:spacing w:after="20" w:before="20" w:line="240" w:lineRule="auto"/>
            </w:pPr>
            <w:r/>
            <w:r>
              <w:rPr>
                <w:rFonts w:ascii="Arial" w:hAnsi="Arial" w:cs="Arial"/>
                <w:b w:val="0"/>
                <w:i w:val="0"/>
                <w:sz w:val="17"/>
              </w:rPr>
              <w:t>Terminal gate-out event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/v1/terminal/status/{container}</w:t>
            </w:r>
          </w:p>
        </w:tc>
        <w:tc>
          <w:tcPr>
            <w:tcW w:type="dxa" w:w="3213"/>
          </w:tcPr>
          <w:p>
            <w:pPr>
              <w:spacing w:after="20" w:before="20" w:line="240" w:lineRule="auto"/>
            </w:pPr>
            <w:r/>
            <w:r>
              <w:rPr>
                <w:rFonts w:ascii="Arial" w:hAnsi="Arial" w:cs="Arial"/>
                <w:b w:val="0"/>
                <w:i w:val="0"/>
                <w:sz w:val="17"/>
              </w:rPr>
              <w:t>Container terminal status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18.23 Voice &amp; AI Assistant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/v1/voice/command</w:t>
            </w:r>
          </w:p>
        </w:tc>
        <w:tc>
          <w:tcPr>
            <w:tcW w:type="dxa" w:w="3213"/>
          </w:tcPr>
          <w:p>
            <w:pPr>
              <w:spacing w:after="20" w:before="20" w:line="240" w:lineRule="auto"/>
            </w:pPr>
            <w:r/>
            <w:r>
              <w:rPr>
                <w:rFonts w:ascii="Arial" w:hAnsi="Arial" w:cs="Arial"/>
                <w:b w:val="0"/>
                <w:i w:val="0"/>
                <w:sz w:val="17"/>
              </w:rPr>
              <w:t>Voice command (milestones, approvals)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/v1/ai/assistant</w:t>
            </w:r>
          </w:p>
        </w:tc>
        <w:tc>
          <w:tcPr>
            <w:tcW w:type="dxa" w:w="3213"/>
          </w:tcPr>
          <w:p>
            <w:pPr>
              <w:spacing w:after="20" w:before="20" w:line="240" w:lineRule="auto"/>
            </w:pPr>
            <w:r/>
            <w:r>
              <w:rPr>
                <w:rFonts w:ascii="Arial" w:hAnsi="Arial" w:cs="Arial"/>
                <w:b w:val="0"/>
                <w:i w:val="0"/>
                <w:sz w:val="17"/>
              </w:rPr>
              <w:t>Query AI Operations Assistant — Body: {"query": "Show delayed shipments"}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/v1/ai/assistant/history</w:t>
            </w:r>
          </w:p>
        </w:tc>
        <w:tc>
          <w:tcPr>
            <w:tcW w:type="dxa" w:w="3213"/>
          </w:tcPr>
          <w:p>
            <w:pPr>
              <w:spacing w:after="20" w:before="20" w:line="240" w:lineRule="auto"/>
            </w:pPr>
            <w:r/>
            <w:r>
              <w:rPr>
                <w:rFonts w:ascii="Arial" w:hAnsi="Arial" w:cs="Arial"/>
                <w:b w:val="0"/>
                <w:i w:val="0"/>
                <w:sz w:val="17"/>
              </w:rPr>
              <w:t>Get AI assistant chat history</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18.24 Sandbox &amp; Government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/v1/country/{code}</w:t>
            </w:r>
          </w:p>
        </w:tc>
        <w:tc>
          <w:tcPr>
            <w:tcW w:type="dxa" w:w="3213"/>
          </w:tcPr>
          <w:p>
            <w:pPr>
              <w:spacing w:after="20" w:before="20" w:line="240" w:lineRule="auto"/>
            </w:pPr>
            <w:r/>
            <w:r>
              <w:rPr>
                <w:rFonts w:ascii="Arial" w:hAnsi="Arial" w:cs="Arial"/>
                <w:b w:val="0"/>
                <w:i w:val="0"/>
                <w:sz w:val="17"/>
              </w:rPr>
              <w:t>Country capability profile (connector state, customs regime, jurisdiction data)</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/v1/country/voice-query</w:t>
            </w:r>
          </w:p>
        </w:tc>
        <w:tc>
          <w:tcPr>
            <w:tcW w:type="dxa" w:w="3213"/>
          </w:tcPr>
          <w:p>
            <w:pPr>
              <w:spacing w:after="20" w:before="20" w:line="240" w:lineRule="auto"/>
            </w:pPr>
            <w:r/>
            <w:r>
              <w:rPr>
                <w:rFonts w:ascii="Arial" w:hAnsi="Arial" w:cs="Arial"/>
                <w:b w:val="0"/>
                <w:i w:val="0"/>
                <w:sz w:val="17"/>
              </w:rPr>
              <w:t>Voice query for country trade requirements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/v1/country/reports</w:t>
            </w:r>
          </w:p>
        </w:tc>
        <w:tc>
          <w:tcPr>
            <w:tcW w:type="dxa" w:w="3213"/>
          </w:tcPr>
          <w:p>
            <w:pPr>
              <w:spacing w:after="20" w:before="20" w:line="240" w:lineRule="auto"/>
            </w:pPr>
            <w:r/>
            <w:r>
              <w:rPr>
                <w:rFonts w:ascii="Arial" w:hAnsi="Arial" w:cs="Arial"/>
                <w:b w:val="0"/>
                <w:i w:val="0"/>
                <w:sz w:val="17"/>
              </w:rPr>
              <w:t>Country readiness/regulatory reports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/v1/country/reports/generate</w:t>
            </w:r>
          </w:p>
        </w:tc>
        <w:tc>
          <w:tcPr>
            <w:tcW w:type="dxa" w:w="3213"/>
          </w:tcPr>
          <w:p>
            <w:pPr>
              <w:spacing w:after="20" w:before="20" w:line="240" w:lineRule="auto"/>
            </w:pPr>
            <w:r/>
            <w:r>
              <w:rPr>
                <w:rFonts w:ascii="Arial" w:hAnsi="Arial" w:cs="Arial"/>
                <w:b w:val="0"/>
                <w:i w:val="0"/>
                <w:sz w:val="17"/>
              </w:rPr>
              <w:t>Generate a country activation / readiness report</w:t>
            </w:r>
          </w:p>
        </w:tc>
      </w:tr>
    </w:tbl>
    <w:p>
      <w:pPr>
        <w:spacing w:after="120"/>
      </w:pPr>
      <w:r>
        <w:rPr>
          <w:rFonts w:ascii="Times New Roman" w:hAnsi="Times New Roman" w:cs="Times New Roman"/>
          <w:b w:val="0"/>
          <w:i w:val="0"/>
          <w:sz w:val="4"/>
        </w:rPr>
        <w:t xml:space="preserve"> </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/v1/sandbox/test</w:t>
            </w:r>
          </w:p>
        </w:tc>
        <w:tc>
          <w:tcPr>
            <w:tcW w:type="dxa" w:w="3213"/>
          </w:tcPr>
          <w:p>
            <w:pPr>
              <w:spacing w:after="20" w:before="20" w:line="240" w:lineRule="auto"/>
            </w:pPr>
            <w:r/>
            <w:r>
              <w:rPr>
                <w:rFonts w:ascii="Arial" w:hAnsi="Arial" w:cs="Arial"/>
                <w:b w:val="0"/>
                <w:i w:val="0"/>
                <w:sz w:val="17"/>
              </w:rPr>
              <w:t>Sandbox test invocation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/v1/sandbox/status</w:t>
            </w:r>
          </w:p>
        </w:tc>
        <w:tc>
          <w:tcPr>
            <w:tcW w:type="dxa" w:w="3213"/>
          </w:tcPr>
          <w:p>
            <w:pPr>
              <w:spacing w:after="20" w:before="20" w:line="240" w:lineRule="auto"/>
            </w:pPr>
            <w:r/>
            <w:r>
              <w:rPr>
                <w:rFonts w:ascii="Arial" w:hAnsi="Arial" w:cs="Arial"/>
                <w:b w:val="0"/>
                <w:i w:val="0"/>
                <w:sz w:val="17"/>
              </w:rPr>
              <w:t>Sandbox status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/v1/sandbox/results</w:t>
            </w:r>
          </w:p>
        </w:tc>
        <w:tc>
          <w:tcPr>
            <w:tcW w:type="dxa" w:w="3213"/>
          </w:tcPr>
          <w:p>
            <w:pPr>
              <w:spacing w:after="20" w:before="20" w:line="240" w:lineRule="auto"/>
            </w:pPr>
            <w:r/>
            <w:r>
              <w:rPr>
                <w:rFonts w:ascii="Arial" w:hAnsi="Arial" w:cs="Arial"/>
                <w:b w:val="0"/>
                <w:i w:val="0"/>
                <w:sz w:val="17"/>
              </w:rPr>
              <w:t>Sandbox results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/v1/sandbox/sync</w:t>
            </w:r>
          </w:p>
        </w:tc>
        <w:tc>
          <w:tcPr>
            <w:tcW w:type="dxa" w:w="3213"/>
          </w:tcPr>
          <w:p>
            <w:pPr>
              <w:spacing w:after="20" w:before="20" w:line="240" w:lineRule="auto"/>
            </w:pPr>
            <w:r/>
            <w:r>
              <w:rPr>
                <w:rFonts w:ascii="Arial" w:hAnsi="Arial" w:cs="Arial"/>
                <w:b w:val="0"/>
                <w:i w:val="0"/>
                <w:sz w:val="17"/>
              </w:rPr>
              <w:t>Sandbox synchronisation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/v1/government/dashboard/trade</w:t>
            </w:r>
          </w:p>
        </w:tc>
        <w:tc>
          <w:tcPr>
            <w:tcW w:type="dxa" w:w="3213"/>
          </w:tcPr>
          <w:p>
            <w:pPr>
              <w:spacing w:after="20" w:before="20" w:line="240" w:lineRule="auto"/>
            </w:pPr>
            <w:r/>
            <w:r>
              <w:rPr>
                <w:rFonts w:ascii="Arial" w:hAnsi="Arial" w:cs="Arial"/>
                <w:b w:val="0"/>
                <w:i w:val="0"/>
                <w:sz w:val="17"/>
              </w:rPr>
              <w:t>Government trade dashboard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/v1/government/dashboard/customs</w:t>
            </w:r>
          </w:p>
        </w:tc>
        <w:tc>
          <w:tcPr>
            <w:tcW w:type="dxa" w:w="3213"/>
          </w:tcPr>
          <w:p>
            <w:pPr>
              <w:spacing w:after="20" w:before="20" w:line="240" w:lineRule="auto"/>
            </w:pPr>
            <w:r/>
            <w:r>
              <w:rPr>
                <w:rFonts w:ascii="Arial" w:hAnsi="Arial" w:cs="Arial"/>
                <w:b w:val="0"/>
                <w:i w:val="0"/>
                <w:sz w:val="17"/>
              </w:rPr>
              <w:t>Customs dashboard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/v1/government/dashboard/port</w:t>
            </w:r>
          </w:p>
        </w:tc>
        <w:tc>
          <w:tcPr>
            <w:tcW w:type="dxa" w:w="3213"/>
          </w:tcPr>
          <w:p>
            <w:pPr>
              <w:spacing w:after="20" w:before="20" w:line="240" w:lineRule="auto"/>
            </w:pPr>
            <w:r/>
            <w:r>
              <w:rPr>
                <w:rFonts w:ascii="Arial" w:hAnsi="Arial" w:cs="Arial"/>
                <w:b w:val="0"/>
                <w:i w:val="0"/>
                <w:sz w:val="17"/>
              </w:rPr>
              <w:t>Port dashboard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/v1/government/node/register</w:t>
            </w:r>
          </w:p>
        </w:tc>
        <w:tc>
          <w:tcPr>
            <w:tcW w:type="dxa" w:w="3213"/>
          </w:tcPr>
          <w:p>
            <w:pPr>
              <w:spacing w:after="20" w:before="20" w:line="240" w:lineRule="auto"/>
            </w:pPr>
            <w:r/>
            <w:r>
              <w:rPr>
                <w:rFonts w:ascii="Arial" w:hAnsi="Arial" w:cs="Arial"/>
                <w:b w:val="0"/>
                <w:i w:val="0"/>
                <w:sz w:val="17"/>
              </w:rPr>
              <w:t>Register sovereign node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/v1/government/nodes</w:t>
            </w:r>
          </w:p>
        </w:tc>
        <w:tc>
          <w:tcPr>
            <w:tcW w:type="dxa" w:w="3213"/>
          </w:tcPr>
          <w:p>
            <w:pPr>
              <w:spacing w:after="20" w:before="20" w:line="240" w:lineRule="auto"/>
            </w:pPr>
            <w:r/>
            <w:r>
              <w:rPr>
                <w:rFonts w:ascii="Arial" w:hAnsi="Arial" w:cs="Arial"/>
                <w:b w:val="0"/>
                <w:i w:val="0"/>
                <w:sz w:val="17"/>
              </w:rPr>
              <w:t>List sovereign nodes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/v1/force-majeure/events</w:t>
            </w:r>
          </w:p>
        </w:tc>
        <w:tc>
          <w:tcPr>
            <w:tcW w:type="dxa" w:w="3213"/>
          </w:tcPr>
          <w:p>
            <w:pPr>
              <w:spacing w:after="20" w:before="20" w:line="240" w:lineRule="auto"/>
            </w:pPr>
            <w:r/>
            <w:r>
              <w:rPr>
                <w:rFonts w:ascii="Arial" w:hAnsi="Arial" w:cs="Arial"/>
                <w:b w:val="0"/>
                <w:i w:val="0"/>
                <w:sz w:val="17"/>
              </w:rPr>
              <w:t>Report force-majeure event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/v1/force-majeure/claim/file</w:t>
            </w:r>
          </w:p>
        </w:tc>
        <w:tc>
          <w:tcPr>
            <w:tcW w:type="dxa" w:w="3213"/>
          </w:tcPr>
          <w:p>
            <w:pPr>
              <w:spacing w:after="20" w:before="20" w:line="240" w:lineRule="auto"/>
            </w:pPr>
            <w:r/>
            <w:r>
              <w:rPr>
                <w:rFonts w:ascii="Arial" w:hAnsi="Arial" w:cs="Arial"/>
                <w:b w:val="0"/>
                <w:i w:val="0"/>
                <w:sz w:val="17"/>
              </w:rPr>
              <w:t>File force-majeure claim</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/v1/force-majeure/claim/{id}</w:t>
            </w:r>
          </w:p>
        </w:tc>
        <w:tc>
          <w:tcPr>
            <w:tcW w:type="dxa" w:w="3213"/>
          </w:tcPr>
          <w:p>
            <w:pPr>
              <w:spacing w:after="20" w:before="20" w:line="240" w:lineRule="auto"/>
            </w:pPr>
            <w:r/>
            <w:r>
              <w:rPr>
                <w:rFonts w:ascii="Arial" w:hAnsi="Arial" w:cs="Arial"/>
                <w:b w:val="0"/>
                <w:i w:val="0"/>
                <w:sz w:val="17"/>
              </w:rPr>
              <w:t>Claim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/v1/force-majeure/extension/request</w:t>
            </w:r>
          </w:p>
        </w:tc>
        <w:tc>
          <w:tcPr>
            <w:tcW w:type="dxa" w:w="3213"/>
          </w:tcPr>
          <w:p>
            <w:pPr>
              <w:spacing w:after="20" w:before="20" w:line="240" w:lineRule="auto"/>
            </w:pPr>
            <w:r/>
            <w:r>
              <w:rPr>
                <w:rFonts w:ascii="Arial" w:hAnsi="Arial" w:cs="Arial"/>
                <w:b w:val="0"/>
                <w:i w:val="0"/>
                <w:sz w:val="17"/>
              </w:rPr>
              <w:t>Request deadline extension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/v1/fta/check</w:t>
            </w:r>
          </w:p>
        </w:tc>
        <w:tc>
          <w:tcPr>
            <w:tcW w:type="dxa" w:w="3213"/>
          </w:tcPr>
          <w:p>
            <w:pPr>
              <w:spacing w:after="20" w:before="20" w:line="240" w:lineRule="auto"/>
            </w:pPr>
            <w:r/>
            <w:r>
              <w:rPr>
                <w:rFonts w:ascii="Arial" w:hAnsi="Arial" w:cs="Arial"/>
                <w:b w:val="0"/>
                <w:i w:val="0"/>
                <w:sz w:val="17"/>
              </w:rPr>
              <w:t>FTA preference eligibility</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/v1/fta/claim</w:t>
            </w:r>
          </w:p>
        </w:tc>
        <w:tc>
          <w:tcPr>
            <w:tcW w:type="dxa" w:w="3213"/>
          </w:tcPr>
          <w:p>
            <w:pPr>
              <w:spacing w:after="20" w:before="20" w:line="240" w:lineRule="auto"/>
            </w:pPr>
            <w:r/>
            <w:r>
              <w:rPr>
                <w:rFonts w:ascii="Arial" w:hAnsi="Arial" w:cs="Arial"/>
                <w:b w:val="0"/>
                <w:i w:val="0"/>
                <w:sz w:val="17"/>
              </w:rPr>
              <w:t>FTA claim</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/v1/fta/certificate</w:t>
            </w:r>
          </w:p>
        </w:tc>
        <w:tc>
          <w:tcPr>
            <w:tcW w:type="dxa" w:w="3213"/>
          </w:tcPr>
          <w:p>
            <w:pPr>
              <w:spacing w:after="20" w:before="20" w:line="240" w:lineRule="auto"/>
            </w:pPr>
            <w:r/>
            <w:r>
              <w:rPr>
                <w:rFonts w:ascii="Arial" w:hAnsi="Arial" w:cs="Arial"/>
                <w:b w:val="0"/>
                <w:i w:val="0"/>
                <w:sz w:val="17"/>
              </w:rPr>
              <w:t>FTA certificate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/v1/fta/preference</w:t>
            </w:r>
          </w:p>
        </w:tc>
        <w:tc>
          <w:tcPr>
            <w:tcW w:type="dxa" w:w="3213"/>
          </w:tcPr>
          <w:p>
            <w:pPr>
              <w:spacing w:after="20" w:before="20" w:line="240" w:lineRule="auto"/>
            </w:pPr>
            <w:r/>
            <w:r>
              <w:rPr>
                <w:rFonts w:ascii="Arial" w:hAnsi="Arial" w:cs="Arial"/>
                <w:b w:val="0"/>
                <w:i w:val="0"/>
                <w:sz w:val="17"/>
              </w:rPr>
              <w:t>FTA preference selection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/v1/insurance/premium</w:t>
            </w:r>
          </w:p>
        </w:tc>
        <w:tc>
          <w:tcPr>
            <w:tcW w:type="dxa" w:w="3213"/>
          </w:tcPr>
          <w:p>
            <w:pPr>
              <w:spacing w:after="20" w:before="20" w:line="240" w:lineRule="auto"/>
            </w:pPr>
            <w:r/>
            <w:r>
              <w:rPr>
                <w:rFonts w:ascii="Arial" w:hAnsi="Arial" w:cs="Arial"/>
                <w:b w:val="0"/>
                <w:i w:val="0"/>
                <w:sz w:val="17"/>
              </w:rPr>
              <w:t>Insurance premium quote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/v1/insurance/policy/issue</w:t>
            </w:r>
          </w:p>
        </w:tc>
        <w:tc>
          <w:tcPr>
            <w:tcW w:type="dxa" w:w="3213"/>
          </w:tcPr>
          <w:p>
            <w:pPr>
              <w:spacing w:after="20" w:before="20" w:line="240" w:lineRule="auto"/>
            </w:pPr>
            <w:r/>
            <w:r>
              <w:rPr>
                <w:rFonts w:ascii="Arial" w:hAnsi="Arial" w:cs="Arial"/>
                <w:b w:val="0"/>
                <w:i w:val="0"/>
                <w:sz w:val="17"/>
              </w:rPr>
              <w:t>Issue policy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/v1/insurance/policy/{ustn}</w:t>
            </w:r>
          </w:p>
        </w:tc>
        <w:tc>
          <w:tcPr>
            <w:tcW w:type="dxa" w:w="3213"/>
          </w:tcPr>
          <w:p>
            <w:pPr>
              <w:spacing w:after="20" w:before="20" w:line="240" w:lineRule="auto"/>
            </w:pPr>
            <w:r/>
            <w:r>
              <w:rPr>
                <w:rFonts w:ascii="Arial" w:hAnsi="Arial" w:cs="Arial"/>
                <w:b w:val="0"/>
                <w:i w:val="0"/>
                <w:sz w:val="17"/>
              </w:rPr>
              <w:t>Policy for shipment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/v1/insurance/claim/submit</w:t>
            </w:r>
          </w:p>
        </w:tc>
        <w:tc>
          <w:tcPr>
            <w:tcW w:type="dxa" w:w="3213"/>
          </w:tcPr>
          <w:p>
            <w:pPr>
              <w:spacing w:after="20" w:before="20" w:line="240" w:lineRule="auto"/>
            </w:pPr>
            <w:r/>
            <w:r>
              <w:rPr>
                <w:rFonts w:ascii="Arial" w:hAnsi="Arial" w:cs="Arial"/>
                <w:b w:val="0"/>
                <w:i w:val="0"/>
                <w:sz w:val="17"/>
              </w:rPr>
              <w:t>Submit insurance claim</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/v1/insurance/claim/{id}</w:t>
            </w:r>
          </w:p>
        </w:tc>
        <w:tc>
          <w:tcPr>
            <w:tcW w:type="dxa" w:w="3213"/>
          </w:tcPr>
          <w:p>
            <w:pPr>
              <w:spacing w:after="20" w:before="20" w:line="240" w:lineRule="auto"/>
            </w:pPr>
            <w:r/>
            <w:r>
              <w:rPr>
                <w:rFonts w:ascii="Arial" w:hAnsi="Arial" w:cs="Arial"/>
                <w:b w:val="0"/>
                <w:i w:val="0"/>
                <w:sz w:val="17"/>
              </w:rPr>
              <w:t>Claim status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18.25 Error Model</w:t>
      </w:r>
    </w:p>
    <w:p>
      <w:pPr>
        <w:spacing w:after="80" w:line="293" w:lineRule="auto"/>
        <w:jc w:val="left"/>
      </w:pPr>
      <w:r>
        <w:rPr>
          <w:rFonts w:ascii="Times New Roman" w:hAnsi="Times New Roman" w:cs="Times New Roman"/>
          <w:b w:val="0"/>
          <w:i w:val="0"/>
          <w:sz w:val="22"/>
        </w:rPr>
        <w:t>Every endpoint returns structured errors. The error body contains: code, plain-language message (rendered by the Governor Decision Panel), remediation link, and trace id. HTTP status codes are canonical across all services.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Status</w:t>
            </w:r>
          </w:p>
        </w:tc>
        <w:tc>
          <w:tcPr>
            <w:tcW w:type="dxa" w:w="3213"/>
            <w:shd w:val="clear" w:fill="D9E2F3"/>
          </w:tcPr>
          <w:p>
            <w:pPr>
              <w:spacing w:after="20" w:before="20" w:line="240" w:lineRule="auto"/>
            </w:pPr>
            <w:r/>
            <w:r>
              <w:rPr>
                <w:rFonts w:ascii="Arial" w:hAnsi="Arial" w:cs="Arial"/>
                <w:b/>
                <w:i w:val="0"/>
                <w:sz w:val="18"/>
              </w:rPr>
              <w:t>Code</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400</w:t>
            </w:r>
          </w:p>
        </w:tc>
        <w:tc>
          <w:tcPr>
            <w:tcW w:type="dxa" w:w="3213"/>
          </w:tcPr>
          <w:p>
            <w:pPr>
              <w:spacing w:after="20" w:before="20" w:line="240" w:lineRule="auto"/>
            </w:pPr>
            <w:r/>
            <w:r>
              <w:rPr>
                <w:rFonts w:ascii="Arial" w:hAnsi="Arial" w:cs="Arial"/>
                <w:b w:val="0"/>
                <w:i w:val="0"/>
                <w:sz w:val="17"/>
              </w:rPr>
              <w:t>INVALID_REQUEST</w:t>
            </w:r>
          </w:p>
        </w:tc>
        <w:tc>
          <w:tcPr>
            <w:tcW w:type="dxa" w:w="3213"/>
          </w:tcPr>
          <w:p>
            <w:pPr>
              <w:spacing w:after="20" w:before="20" w:line="240" w:lineRule="auto"/>
            </w:pPr>
            <w:r/>
            <w:r>
              <w:rPr>
                <w:rFonts w:ascii="Arial" w:hAnsi="Arial" w:cs="Arial"/>
                <w:b w:val="0"/>
                <w:i w:val="0"/>
                <w:sz w:val="17"/>
              </w:rPr>
              <w:t>Malformed JSON or missing required field</w:t>
            </w:r>
          </w:p>
        </w:tc>
      </w:tr>
      <w:tr>
        <w:tc>
          <w:tcPr>
            <w:tcW w:type="dxa" w:w="3213"/>
          </w:tcPr>
          <w:p>
            <w:pPr>
              <w:spacing w:after="20" w:before="20" w:line="240" w:lineRule="auto"/>
            </w:pPr>
            <w:r/>
            <w:r>
              <w:rPr>
                <w:rFonts w:ascii="Arial" w:hAnsi="Arial" w:cs="Arial"/>
                <w:b w:val="0"/>
                <w:i w:val="0"/>
                <w:sz w:val="17"/>
              </w:rPr>
              <w:t>401</w:t>
            </w:r>
          </w:p>
        </w:tc>
        <w:tc>
          <w:tcPr>
            <w:tcW w:type="dxa" w:w="3213"/>
          </w:tcPr>
          <w:p>
            <w:pPr>
              <w:spacing w:after="20" w:before="20" w:line="240" w:lineRule="auto"/>
            </w:pPr>
            <w:r/>
            <w:r>
              <w:rPr>
                <w:rFonts w:ascii="Arial" w:hAnsi="Arial" w:cs="Arial"/>
                <w:b w:val="0"/>
                <w:i w:val="0"/>
                <w:sz w:val="17"/>
              </w:rPr>
              <w:t>UNAUTHORIZED</w:t>
            </w:r>
          </w:p>
        </w:tc>
        <w:tc>
          <w:tcPr>
            <w:tcW w:type="dxa" w:w="3213"/>
          </w:tcPr>
          <w:p>
            <w:pPr>
              <w:spacing w:after="20" w:before="20" w:line="240" w:lineRule="auto"/>
            </w:pPr>
            <w:r/>
            <w:r>
              <w:rPr>
                <w:rFonts w:ascii="Arial" w:hAnsi="Arial" w:cs="Arial"/>
                <w:b w:val="0"/>
                <w:i w:val="0"/>
                <w:sz w:val="17"/>
              </w:rPr>
              <w:t>Missing or invalid JWT (expired, wrong signature)</w:t>
            </w:r>
          </w:p>
        </w:tc>
      </w:tr>
      <w:tr>
        <w:tc>
          <w:tcPr>
            <w:tcW w:type="dxa" w:w="3213"/>
          </w:tcPr>
          <w:p>
            <w:pPr>
              <w:spacing w:after="20" w:before="20" w:line="240" w:lineRule="auto"/>
            </w:pPr>
            <w:r/>
            <w:r>
              <w:rPr>
                <w:rFonts w:ascii="Arial" w:hAnsi="Arial" w:cs="Arial"/>
                <w:b w:val="0"/>
                <w:i w:val="0"/>
                <w:sz w:val="17"/>
              </w:rPr>
              <w:t>403</w:t>
            </w:r>
          </w:p>
        </w:tc>
        <w:tc>
          <w:tcPr>
            <w:tcW w:type="dxa" w:w="3213"/>
          </w:tcPr>
          <w:p>
            <w:pPr>
              <w:spacing w:after="20" w:before="20" w:line="240" w:lineRule="auto"/>
            </w:pPr>
            <w:r/>
            <w:r>
              <w:rPr>
                <w:rFonts w:ascii="Arial" w:hAnsi="Arial" w:cs="Arial"/>
                <w:b w:val="0"/>
                <w:i w:val="0"/>
                <w:sz w:val="17"/>
              </w:rPr>
              <w:t>FORBIDDEN</w:t>
            </w:r>
          </w:p>
        </w:tc>
        <w:tc>
          <w:tcPr>
            <w:tcW w:type="dxa" w:w="3213"/>
          </w:tcPr>
          <w:p>
            <w:pPr>
              <w:spacing w:after="20" w:before="20" w:line="240" w:lineRule="auto"/>
            </w:pPr>
            <w:r/>
            <w:r>
              <w:rPr>
                <w:rFonts w:ascii="Arial" w:hAnsi="Arial" w:cs="Arial"/>
                <w:b w:val="0"/>
                <w:i w:val="0"/>
                <w:sz w:val="17"/>
              </w:rPr>
              <w:t>Insufficient permissions, tenant suspended, jurisdiction blocked</w:t>
            </w:r>
          </w:p>
        </w:tc>
      </w:tr>
      <w:tr>
        <w:tc>
          <w:tcPr>
            <w:tcW w:type="dxa" w:w="3213"/>
          </w:tcPr>
          <w:p>
            <w:pPr>
              <w:spacing w:after="20" w:before="20" w:line="240" w:lineRule="auto"/>
            </w:pPr>
            <w:r/>
            <w:r>
              <w:rPr>
                <w:rFonts w:ascii="Arial" w:hAnsi="Arial" w:cs="Arial"/>
                <w:b w:val="0"/>
                <w:i w:val="0"/>
                <w:sz w:val="17"/>
              </w:rPr>
              <w:t>404</w:t>
            </w:r>
          </w:p>
        </w:tc>
        <w:tc>
          <w:tcPr>
            <w:tcW w:type="dxa" w:w="3213"/>
          </w:tcPr>
          <w:p>
            <w:pPr>
              <w:spacing w:after="20" w:before="20" w:line="240" w:lineRule="auto"/>
            </w:pPr>
            <w:r/>
            <w:r>
              <w:rPr>
                <w:rFonts w:ascii="Arial" w:hAnsi="Arial" w:cs="Arial"/>
                <w:b w:val="0"/>
                <w:i w:val="0"/>
                <w:sz w:val="17"/>
              </w:rPr>
              <w:t>NOT_FOUND</w:t>
            </w:r>
          </w:p>
        </w:tc>
        <w:tc>
          <w:tcPr>
            <w:tcW w:type="dxa" w:w="3213"/>
          </w:tcPr>
          <w:p>
            <w:pPr>
              <w:spacing w:after="20" w:before="20" w:line="240" w:lineRule="auto"/>
            </w:pPr>
            <w:r/>
            <w:r>
              <w:rPr>
                <w:rFonts w:ascii="Arial" w:hAnsi="Arial" w:cs="Arial"/>
                <w:b w:val="0"/>
                <w:i w:val="0"/>
                <w:sz w:val="17"/>
              </w:rPr>
              <w:t>Resource does not exist</w:t>
            </w:r>
          </w:p>
        </w:tc>
      </w:tr>
      <w:tr>
        <w:tc>
          <w:tcPr>
            <w:tcW w:type="dxa" w:w="3213"/>
          </w:tcPr>
          <w:p>
            <w:pPr>
              <w:spacing w:after="20" w:before="20" w:line="240" w:lineRule="auto"/>
            </w:pPr>
            <w:r/>
            <w:r>
              <w:rPr>
                <w:rFonts w:ascii="Arial" w:hAnsi="Arial" w:cs="Arial"/>
                <w:b w:val="0"/>
                <w:i w:val="0"/>
                <w:sz w:val="17"/>
              </w:rPr>
              <w:t>409</w:t>
            </w:r>
          </w:p>
        </w:tc>
        <w:tc>
          <w:tcPr>
            <w:tcW w:type="dxa" w:w="3213"/>
          </w:tcPr>
          <w:p>
            <w:pPr>
              <w:spacing w:after="20" w:before="20" w:line="240" w:lineRule="auto"/>
            </w:pPr>
            <w:r/>
            <w:r>
              <w:rPr>
                <w:rFonts w:ascii="Arial" w:hAnsi="Arial" w:cs="Arial"/>
                <w:b w:val="0"/>
                <w:i w:val="0"/>
                <w:sz w:val="17"/>
              </w:rPr>
              <w:t>CONFLICT</w:t>
            </w:r>
          </w:p>
        </w:tc>
        <w:tc>
          <w:tcPr>
            <w:tcW w:type="dxa" w:w="3213"/>
          </w:tcPr>
          <w:p>
            <w:pPr>
              <w:spacing w:after="20" w:before="20" w:line="240" w:lineRule="auto"/>
            </w:pPr>
            <w:r/>
            <w:r>
              <w:rPr>
                <w:rFonts w:ascii="Arial" w:hAnsi="Arial" w:cs="Arial"/>
                <w:b w:val="0"/>
                <w:i w:val="0"/>
                <w:sz w:val="17"/>
              </w:rPr>
              <w:t>Duplicate attribution, state mismatch, idempotency key replayed</w:t>
            </w:r>
          </w:p>
        </w:tc>
      </w:tr>
      <w:tr>
        <w:tc>
          <w:tcPr>
            <w:tcW w:type="dxa" w:w="3213"/>
          </w:tcPr>
          <w:p>
            <w:pPr>
              <w:spacing w:after="20" w:before="20" w:line="240" w:lineRule="auto"/>
            </w:pPr>
            <w:r/>
            <w:r>
              <w:rPr>
                <w:rFonts w:ascii="Arial" w:hAnsi="Arial" w:cs="Arial"/>
                <w:b w:val="0"/>
                <w:i w:val="0"/>
                <w:sz w:val="17"/>
              </w:rPr>
              <w:t>429</w:t>
            </w:r>
          </w:p>
        </w:tc>
        <w:tc>
          <w:tcPr>
            <w:tcW w:type="dxa" w:w="3213"/>
          </w:tcPr>
          <w:p>
            <w:pPr>
              <w:spacing w:after="20" w:before="20" w:line="240" w:lineRule="auto"/>
            </w:pPr>
            <w:r/>
            <w:r>
              <w:rPr>
                <w:rFonts w:ascii="Arial" w:hAnsi="Arial" w:cs="Arial"/>
                <w:b w:val="0"/>
                <w:i w:val="0"/>
                <w:sz w:val="17"/>
              </w:rPr>
              <w:t>RATE_LIMIT_EXCEEDED</w:t>
            </w:r>
          </w:p>
        </w:tc>
        <w:tc>
          <w:tcPr>
            <w:tcW w:type="dxa" w:w="3213"/>
          </w:tcPr>
          <w:p>
            <w:pPr>
              <w:spacing w:after="20" w:before="20" w:line="240" w:lineRule="auto"/>
            </w:pPr>
            <w:r/>
            <w:r>
              <w:rPr>
                <w:rFonts w:ascii="Arial" w:hAnsi="Arial" w:cs="Arial"/>
                <w:b w:val="0"/>
                <w:i w:val="0"/>
                <w:sz w:val="17"/>
              </w:rPr>
              <w:t>Too many requests; includes Retry-After header</w:t>
            </w:r>
          </w:p>
        </w:tc>
      </w:tr>
      <w:tr>
        <w:tc>
          <w:tcPr>
            <w:tcW w:type="dxa" w:w="3213"/>
          </w:tcPr>
          <w:p>
            <w:pPr>
              <w:spacing w:after="20" w:before="20" w:line="240" w:lineRule="auto"/>
            </w:pPr>
            <w:r/>
            <w:r>
              <w:rPr>
                <w:rFonts w:ascii="Arial" w:hAnsi="Arial" w:cs="Arial"/>
                <w:b w:val="0"/>
                <w:i w:val="0"/>
                <w:sz w:val="17"/>
              </w:rPr>
              <w:t>500</w:t>
            </w:r>
          </w:p>
        </w:tc>
        <w:tc>
          <w:tcPr>
            <w:tcW w:type="dxa" w:w="3213"/>
          </w:tcPr>
          <w:p>
            <w:pPr>
              <w:spacing w:after="20" w:before="20" w:line="240" w:lineRule="auto"/>
            </w:pPr>
            <w:r/>
            <w:r>
              <w:rPr>
                <w:rFonts w:ascii="Arial" w:hAnsi="Arial" w:cs="Arial"/>
                <w:b w:val="0"/>
                <w:i w:val="0"/>
                <w:sz w:val="17"/>
              </w:rPr>
              <w:t>INTERNAL_ERROR</w:t>
            </w:r>
          </w:p>
        </w:tc>
        <w:tc>
          <w:tcPr>
            <w:tcW w:type="dxa" w:w="3213"/>
          </w:tcPr>
          <w:p>
            <w:pPr>
              <w:spacing w:after="20" w:before="20" w:line="240" w:lineRule="auto"/>
            </w:pPr>
            <w:r/>
            <w:r>
              <w:rPr>
                <w:rFonts w:ascii="Arial" w:hAnsi="Arial" w:cs="Arial"/>
                <w:b w:val="0"/>
                <w:i w:val="0"/>
                <w:sz w:val="17"/>
              </w:rPr>
              <w:t>Platform error; retry with exponential backoff</w:t>
            </w:r>
          </w:p>
        </w:tc>
      </w:tr>
      <w:tr>
        <w:tc>
          <w:tcPr>
            <w:tcW w:type="dxa" w:w="3213"/>
          </w:tcPr>
          <w:p>
            <w:pPr>
              <w:spacing w:after="20" w:before="20" w:line="240" w:lineRule="auto"/>
            </w:pPr>
            <w:r/>
            <w:r>
              <w:rPr>
                <w:rFonts w:ascii="Arial" w:hAnsi="Arial" w:cs="Arial"/>
                <w:b w:val="0"/>
                <w:i w:val="0"/>
                <w:sz w:val="17"/>
              </w:rPr>
              <w:t>503</w:t>
            </w:r>
          </w:p>
        </w:tc>
        <w:tc>
          <w:tcPr>
            <w:tcW w:type="dxa" w:w="3213"/>
          </w:tcPr>
          <w:p>
            <w:pPr>
              <w:spacing w:after="20" w:before="20" w:line="240" w:lineRule="auto"/>
            </w:pPr>
            <w:r/>
            <w:r>
              <w:rPr>
                <w:rFonts w:ascii="Arial" w:hAnsi="Arial" w:cs="Arial"/>
                <w:b w:val="0"/>
                <w:i w:val="0"/>
                <w:sz w:val="17"/>
              </w:rPr>
              <w:t>SERVICE_UNAVAILABLE</w:t>
            </w:r>
          </w:p>
        </w:tc>
        <w:tc>
          <w:tcPr>
            <w:tcW w:type="dxa" w:w="3213"/>
          </w:tcPr>
          <w:p>
            <w:pPr>
              <w:spacing w:after="20" w:before="20" w:line="240" w:lineRule="auto"/>
            </w:pPr>
            <w:r/>
            <w:r>
              <w:rPr>
                <w:rFonts w:ascii="Arial" w:hAnsi="Arial" w:cs="Arial"/>
                <w:b w:val="0"/>
                <w:i w:val="0"/>
                <w:sz w:val="17"/>
              </w:rPr>
              <w:t>Platform temporarily unavailable (maintenance, overload)</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18.26 Public Verification &amp; Health Endpoints</w:t>
      </w:r>
    </w:p>
    <w:p>
      <w:pPr>
        <w:spacing w:after="80" w:line="293" w:lineRule="auto"/>
        <w:jc w:val="left"/>
      </w:pPr>
      <w:r>
        <w:rPr>
          <w:rFonts w:ascii="Times New Roman" w:hAnsi="Times New Roman" w:cs="Times New Roman"/>
          <w:b w:val="0"/>
          <w:i w:val="0"/>
          <w:sz w:val="22"/>
        </w:rPr>
        <w:t>The following verification endpoints are accessible without tenant authentication and power the public verification pages, offline signature checks, and terminal integration:</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Method</w:t>
            </w:r>
          </w:p>
        </w:tc>
        <w:tc>
          <w:tcPr>
            <w:tcW w:type="dxa" w:w="2409"/>
            <w:shd w:val="clear" w:fill="D9E2F3"/>
          </w:tcPr>
          <w:p>
            <w:pPr>
              <w:spacing w:after="20" w:before="20" w:line="240" w:lineRule="auto"/>
            </w:pPr>
            <w:r/>
            <w:r>
              <w:rPr>
                <w:rFonts w:ascii="Arial" w:hAnsi="Arial" w:cs="Arial"/>
                <w:b/>
                <w:i w:val="0"/>
                <w:sz w:val="18"/>
              </w:rPr>
              <w:t>Path</w:t>
            </w:r>
          </w:p>
        </w:tc>
        <w:tc>
          <w:tcPr>
            <w:tcW w:type="dxa" w:w="2409"/>
            <w:shd w:val="clear" w:fill="D9E2F3"/>
          </w:tcPr>
          <w:p>
            <w:pPr>
              <w:spacing w:after="20" w:before="20" w:line="240" w:lineRule="auto"/>
            </w:pPr>
            <w:r/>
            <w:r>
              <w:rPr>
                <w:rFonts w:ascii="Arial" w:hAnsi="Arial" w:cs="Arial"/>
                <w:b/>
                <w:i w:val="0"/>
                <w:sz w:val="18"/>
              </w:rPr>
              <w:t>Description</w:t>
            </w:r>
          </w:p>
        </w:tc>
        <w:tc>
          <w:tcPr>
            <w:tcW w:type="dxa" w:w="2409"/>
            <w:shd w:val="clear" w:fill="D9E2F3"/>
          </w:tcPr>
          <w:p>
            <w:pPr>
              <w:spacing w:after="20" w:before="20" w:line="240" w:lineRule="auto"/>
            </w:pPr>
            <w:r/>
            <w:r>
              <w:rPr>
                <w:rFonts w:ascii="Arial" w:hAnsi="Arial" w:cs="Arial"/>
                <w:b/>
                <w:i w:val="0"/>
                <w:sz w:val="18"/>
              </w:rPr>
              <w:t>Notes</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/health</w:t>
            </w:r>
          </w:p>
        </w:tc>
        <w:tc>
          <w:tcPr>
            <w:tcW w:type="dxa" w:w="2409"/>
          </w:tcPr>
          <w:p>
            <w:pPr>
              <w:spacing w:after="20" w:before="20" w:line="240" w:lineRule="auto"/>
            </w:pPr>
            <w:r/>
            <w:r>
              <w:rPr>
                <w:rFonts w:ascii="Arial" w:hAnsi="Arial" w:cs="Arial"/>
                <w:b w:val="0"/>
                <w:i w:val="0"/>
                <w:sz w:val="17"/>
              </w:rPr>
              <w:t>Health check for Governor and backends</w:t>
            </w:r>
          </w:p>
        </w:tc>
        <w:tc>
          <w:tcPr>
            <w:tcW w:type="dxa" w:w="2409"/>
          </w:tcPr>
          <w:p>
            <w:pPr>
              <w:spacing w:after="20" w:before="20" w:line="240" w:lineRule="auto"/>
            </w:pPr>
            <w:r/>
            <w:r>
              <w:rPr>
                <w:rFonts w:ascii="Arial" w:hAnsi="Arial" w:cs="Arial"/>
                <w:b w:val="0"/>
                <w:i w:val="0"/>
                <w:sz w:val="17"/>
              </w:rPr>
              <w:t>Returns 200 if all engines (OPA, WasmEdge, Loom) responsive</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/v1/openapi.json</w:t>
            </w:r>
          </w:p>
        </w:tc>
        <w:tc>
          <w:tcPr>
            <w:tcW w:type="dxa" w:w="2409"/>
          </w:tcPr>
          <w:p>
            <w:pPr>
              <w:spacing w:after="20" w:before="20" w:line="240" w:lineRule="auto"/>
            </w:pPr>
            <w:r/>
            <w:r>
              <w:rPr>
                <w:rFonts w:ascii="Arial" w:hAnsi="Arial" w:cs="Arial"/>
                <w:b w:val="0"/>
                <w:i w:val="0"/>
                <w:sz w:val="17"/>
              </w:rPr>
              <w:t>Public OpenAPI specification</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/v1/status</w:t>
            </w:r>
          </w:p>
        </w:tc>
        <w:tc>
          <w:tcPr>
            <w:tcW w:type="dxa" w:w="2409"/>
          </w:tcPr>
          <w:p>
            <w:pPr>
              <w:spacing w:after="20" w:before="20" w:line="240" w:lineRule="auto"/>
            </w:pPr>
            <w:r/>
            <w:r>
              <w:rPr>
                <w:rFonts w:ascii="Arial" w:hAnsi="Arial" w:cs="Arial"/>
                <w:b w:val="0"/>
                <w:i w:val="0"/>
                <w:sz w:val="17"/>
              </w:rPr>
              <w:t>Public platform health</w:t>
            </w:r>
          </w:p>
        </w:tc>
        <w:tc>
          <w:tcPr>
            <w:tcW w:type="dxa" w:w="2409"/>
          </w:tcPr>
          <w:p>
            <w:pPr>
              <w:spacing w:after="20" w:before="20" w:line="240" w:lineRule="auto"/>
            </w:pPr>
            <w:r/>
            <w:r>
              <w:rPr>
                <w:rFonts w:ascii="Arial" w:hAnsi="Arial" w:cs="Arial"/>
                <w:b w:val="0"/>
                <w:i w:val="0"/>
                <w:sz w:val="17"/>
              </w:rPr>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/v1/decisions/{trade_id}/pending</w:t>
            </w:r>
          </w:p>
        </w:tc>
        <w:tc>
          <w:tcPr>
            <w:tcW w:type="dxa" w:w="2409"/>
          </w:tcPr>
          <w:p>
            <w:pPr>
              <w:spacing w:after="20" w:before="20" w:line="240" w:lineRule="auto"/>
            </w:pPr>
            <w:r/>
            <w:r>
              <w:rPr>
                <w:rFonts w:ascii="Arial" w:hAnsi="Arial" w:cs="Arial"/>
                <w:b w:val="0"/>
                <w:i w:val="0"/>
                <w:sz w:val="17"/>
              </w:rPr>
              <w:t>All pending Governor decisions for an entity — powers the What's Blocking Me? view and the Decision Panel</w:t>
            </w:r>
          </w:p>
        </w:tc>
        <w:tc>
          <w:tcPr>
            <w:tcW w:type="dxa" w:w="2409"/>
          </w:tcPr>
          <w:p>
            <w:pPr>
              <w:spacing w:after="20" w:before="20" w:line="240" w:lineRule="auto"/>
            </w:pPr>
            <w:r/>
            <w:r>
              <w:rPr>
                <w:rFonts w:ascii="Arial" w:hAnsi="Arial" w:cs="Arial"/>
                <w:b w:val="0"/>
                <w:i w:val="0"/>
                <w:sz w:val="17"/>
              </w:rPr>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/v1/decisions/{decision_id}/explanation</w:t>
            </w:r>
          </w:p>
        </w:tc>
        <w:tc>
          <w:tcPr>
            <w:tcW w:type="dxa" w:w="2409"/>
          </w:tcPr>
          <w:p>
            <w:pPr>
              <w:spacing w:after="20" w:before="20" w:line="240" w:lineRule="auto"/>
            </w:pPr>
            <w:r/>
            <w:r>
              <w:rPr>
                <w:rFonts w:ascii="Arial" w:hAnsi="Arial" w:cs="Arial"/>
                <w:b w:val="0"/>
                <w:i w:val="0"/>
                <w:sz w:val="17"/>
              </w:rPr>
              <w:t>Full plain-language tenant_message for a Governor decision</w:t>
            </w:r>
          </w:p>
        </w:tc>
        <w:tc>
          <w:tcPr>
            <w:tcW w:type="dxa" w:w="2409"/>
          </w:tcPr>
          <w:p>
            <w:pPr>
              <w:spacing w:after="20" w:before="20" w:line="240" w:lineRule="auto"/>
            </w:pPr>
            <w:r/>
            <w:r>
              <w:rPr>
                <w:rFonts w:ascii="Arial" w:hAnsi="Arial" w:cs="Arial"/>
                <w:b w:val="0"/>
                <w:i w:val="0"/>
                <w:sz w:val="17"/>
              </w:rPr>
            </w:r>
          </w:p>
        </w:tc>
      </w:tr>
      <w:tr>
        <w:tc>
          <w:tcPr>
            <w:tcW w:type="dxa" w:w="2409"/>
          </w:tcPr>
          <w:p>
            <w:pPr>
              <w:spacing w:after="20" w:before="20" w:line="240" w:lineRule="auto"/>
            </w:pPr>
            <w:r/>
            <w:r>
              <w:rPr>
                <w:rFonts w:ascii="Arial" w:hAnsi="Arial" w:cs="Arial"/>
                <w:b w:val="0"/>
                <w:i w:val="0"/>
                <w:sz w:val="17"/>
              </w:rPr>
              <w:t>POST</w:t>
            </w:r>
          </w:p>
        </w:tc>
        <w:tc>
          <w:tcPr>
            <w:tcW w:type="dxa" w:w="2409"/>
          </w:tcPr>
          <w:p>
            <w:pPr>
              <w:spacing w:after="20" w:before="20" w:line="240" w:lineRule="auto"/>
            </w:pPr>
            <w:r/>
            <w:r>
              <w:rPr>
                <w:rFonts w:ascii="Arial" w:hAnsi="Arial" w:cs="Arial"/>
                <w:b w:val="0"/>
                <w:i w:val="0"/>
                <w:sz w:val="17"/>
              </w:rPr>
              <w:t>/v1/decisions/{decision_id}/escalate</w:t>
            </w:r>
          </w:p>
        </w:tc>
        <w:tc>
          <w:tcPr>
            <w:tcW w:type="dxa" w:w="2409"/>
          </w:tcPr>
          <w:p>
            <w:pPr>
              <w:spacing w:after="20" w:before="20" w:line="240" w:lineRule="auto"/>
            </w:pPr>
            <w:r/>
            <w:r>
              <w:rPr>
                <w:rFonts w:ascii="Arial" w:hAnsi="Arial" w:cs="Arial"/>
                <w:b w:val="0"/>
                <w:i w:val="0"/>
                <w:sz w:val="17"/>
              </w:rPr>
              <w:t>Trigger an A3 escalation for a decision, notifying the Admin Portal — body: {"reason": "..."}</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/v1/verify/ustn</w:t>
            </w:r>
          </w:p>
        </w:tc>
        <w:tc>
          <w:tcPr>
            <w:tcW w:type="dxa" w:w="2409"/>
          </w:tcPr>
          <w:p>
            <w:pPr>
              <w:spacing w:after="20" w:before="20" w:line="240" w:lineRule="auto"/>
            </w:pPr>
            <w:r/>
            <w:r>
              <w:rPr>
                <w:rFonts w:ascii="Arial" w:hAnsi="Arial" w:cs="Arial"/>
                <w:b w:val="0"/>
                <w:i w:val="0"/>
                <w:sz w:val="17"/>
              </w:rPr>
              <w:t>Public USTN verification</w:t>
            </w:r>
          </w:p>
        </w:tc>
        <w:tc>
          <w:tcPr>
            <w:tcW w:type="dxa" w:w="2409"/>
          </w:tcPr>
          <w:p>
            <w:pPr>
              <w:spacing w:after="20" w:before="20" w:line="240" w:lineRule="auto"/>
            </w:pPr>
            <w:r/>
            <w:r>
              <w:rPr>
                <w:rFonts w:ascii="Arial" w:hAnsi="Arial" w:cs="Arial"/>
                <w:b w:val="0"/>
                <w:i w:val="0"/>
                <w:sz w:val="17"/>
              </w:rPr>
              <w:t>?ustn=...</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/v1/verify/loom</w:t>
            </w:r>
          </w:p>
        </w:tc>
        <w:tc>
          <w:tcPr>
            <w:tcW w:type="dxa" w:w="2409"/>
          </w:tcPr>
          <w:p>
            <w:pPr>
              <w:spacing w:after="20" w:before="20" w:line="240" w:lineRule="auto"/>
            </w:pPr>
            <w:r/>
            <w:r>
              <w:rPr>
                <w:rFonts w:ascii="Arial" w:hAnsi="Arial" w:cs="Arial"/>
                <w:b w:val="0"/>
                <w:i w:val="0"/>
                <w:sz w:val="17"/>
              </w:rPr>
              <w:t>Public Loom chain verification</w:t>
            </w:r>
          </w:p>
        </w:tc>
        <w:tc>
          <w:tcPr>
            <w:tcW w:type="dxa" w:w="2409"/>
          </w:tcPr>
          <w:p>
            <w:pPr>
              <w:spacing w:after="20" w:before="20" w:line="240" w:lineRule="auto"/>
            </w:pPr>
            <w:r/>
            <w:r>
              <w:rPr>
                <w:rFonts w:ascii="Arial" w:hAnsi="Arial" w:cs="Arial"/>
                <w:b w:val="0"/>
                <w:i w:val="0"/>
                <w:sz w:val="17"/>
              </w:rPr>
              <w:t>?ustn=...&amp;token=... returns hash chain integrity</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/v1/verify/pqc</w:t>
            </w:r>
          </w:p>
        </w:tc>
        <w:tc>
          <w:tcPr>
            <w:tcW w:type="dxa" w:w="2409"/>
          </w:tcPr>
          <w:p>
            <w:pPr>
              <w:spacing w:after="20" w:before="20" w:line="240" w:lineRule="auto"/>
            </w:pPr>
            <w:r/>
            <w:r>
              <w:rPr>
                <w:rFonts w:ascii="Arial" w:hAnsi="Arial" w:cs="Arial"/>
                <w:b w:val="0"/>
                <w:i w:val="0"/>
                <w:sz w:val="17"/>
              </w:rPr>
              <w:t>Verify a post-quantum (Dilithium3) signature on a record</w:t>
            </w:r>
          </w:p>
        </w:tc>
        <w:tc>
          <w:tcPr>
            <w:tcW w:type="dxa" w:w="2409"/>
          </w:tcPr>
          <w:p>
            <w:pPr>
              <w:spacing w:after="20" w:before="20" w:line="240" w:lineRule="auto"/>
            </w:pPr>
            <w:r/>
            <w:r>
              <w:rPr>
                <w:rFonts w:ascii="Arial" w:hAnsi="Arial" w:cs="Arial"/>
                <w:b w:val="0"/>
                <w:i w:val="0"/>
                <w:sz w:val="17"/>
              </w:rPr>
              <w:t>?record_id=...&amp;signature=...</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/v1/keys</w:t>
            </w:r>
          </w:p>
        </w:tc>
        <w:tc>
          <w:tcPr>
            <w:tcW w:type="dxa" w:w="2409"/>
          </w:tcPr>
          <w:p>
            <w:pPr>
              <w:spacing w:after="20" w:before="20" w:line="240" w:lineRule="auto"/>
            </w:pPr>
            <w:r/>
            <w:r>
              <w:rPr>
                <w:rFonts w:ascii="Arial" w:hAnsi="Arial" w:cs="Arial"/>
                <w:b w:val="0"/>
                <w:i w:val="0"/>
                <w:sz w:val="17"/>
              </w:rPr>
              <w:t>Get SGTX public keys (Ed25519, Dilithium3)</w:t>
            </w:r>
          </w:p>
        </w:tc>
        <w:tc>
          <w:tcPr>
            <w:tcW w:type="dxa" w:w="2409"/>
          </w:tcPr>
          <w:p>
            <w:pPr>
              <w:spacing w:after="20" w:before="20" w:line="240" w:lineRule="auto"/>
            </w:pPr>
            <w:r/>
            <w:r>
              <w:rPr>
                <w:rFonts w:ascii="Arial" w:hAnsi="Arial" w:cs="Arial"/>
                <w:b w:val="0"/>
                <w:i w:val="0"/>
                <w:sz w:val="17"/>
              </w:rPr>
              <w:t>For offline verification</w:t>
            </w:r>
          </w:p>
        </w:tc>
      </w:tr>
      <w:tr>
        <w:tc>
          <w:tcPr>
            <w:tcW w:type="dxa" w:w="2409"/>
          </w:tcPr>
          <w:p>
            <w:pPr>
              <w:spacing w:after="20" w:before="20" w:line="240" w:lineRule="auto"/>
            </w:pPr>
            <w:r/>
            <w:r>
              <w:rPr>
                <w:rFonts w:ascii="Arial" w:hAnsi="Arial" w:cs="Arial"/>
                <w:b w:val="0"/>
                <w:i w:val="0"/>
                <w:sz w:val="17"/>
              </w:rPr>
              <w:t>GET</w:t>
            </w:r>
          </w:p>
        </w:tc>
        <w:tc>
          <w:tcPr>
            <w:tcW w:type="dxa" w:w="2409"/>
          </w:tcPr>
          <w:p>
            <w:pPr>
              <w:spacing w:after="20" w:before="20" w:line="240" w:lineRule="auto"/>
            </w:pPr>
            <w:r/>
            <w:r>
              <w:rPr>
                <w:rFonts w:ascii="Arial" w:hAnsi="Arial" w:cs="Arial"/>
                <w:b w:val="0"/>
                <w:i w:val="0"/>
                <w:sz w:val="17"/>
              </w:rPr>
              <w:t>/v1/release/crl</w:t>
            </w:r>
          </w:p>
        </w:tc>
        <w:tc>
          <w:tcPr>
            <w:tcW w:type="dxa" w:w="2409"/>
          </w:tcPr>
          <w:p>
            <w:pPr>
              <w:spacing w:after="20" w:before="20" w:line="240" w:lineRule="auto"/>
            </w:pPr>
            <w:r/>
            <w:r>
              <w:rPr>
                <w:rFonts w:ascii="Arial" w:hAnsi="Arial" w:cs="Arial"/>
                <w:b w:val="0"/>
                <w:i w:val="0"/>
                <w:sz w:val="17"/>
              </w:rPr>
              <w:t>Certificate revocation list</w:t>
            </w:r>
          </w:p>
        </w:tc>
        <w:tc>
          <w:tcPr>
            <w:tcW w:type="dxa" w:w="2409"/>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360" w:after="160"/>
        <w:outlineLvl w:val="0"/>
      </w:pPr>
      <w:r>
        <w:rPr>
          <w:rFonts w:ascii="Arial" w:hAnsi="Arial" w:cs="Arial"/>
          <w:b/>
          <w:i w:val="0"/>
          <w:color w:val="1F3864"/>
          <w:sz w:val="32"/>
        </w:rPr>
        <w:t>19. Canonical Transaction State &amp; Settlement Architecture</w:t>
      </w:r>
    </w:p>
    <w:p>
      <w:pPr>
        <w:spacing w:after="80" w:line="293" w:lineRule="auto"/>
        <w:jc w:val="left"/>
      </w:pPr>
      <w:r>
        <w:rPr>
          <w:rFonts w:ascii="Times New Roman" w:hAnsi="Times New Roman" w:cs="Times New Roman"/>
          <w:b w:val="0"/>
          <w:i w:val="0"/>
          <w:sz w:val="22"/>
        </w:rPr>
        <w:t>This section defines the canonical SGTX (Sovereign Global Trade Exchange) architecture for transaction state, finality, event integrity, settlement orchestration, reconciliation, exception management, recovery, evidence, financial exposure and institutional governance. The Universal State &amp; Transaction Namespace (USTN; see Section 5) is the correlation identity that binds this entire architecture together. The operational workflow sections of this Blueprint apply this architecture to the trade lifecycle: Section 13 (Settlement &amp; Payment Orchestration) executes settlement under the model defined here, Section 12 (Physical Execution &amp; Multiparty Tracking) feeds the physical/operational clock, and Section 14 (Post-Trade: Distressed Cargo, Disputes &amp; Reconciliation) consumes the exception, dispute and reconciliation machinery. Where those sections describe the workflow, this section states the full governing architecture.</w:t>
      </w:r>
    </w:p>
    <w:p>
      <w:pPr>
        <w:keepNext/>
        <w:spacing w:before="240" w:after="100"/>
        <w:outlineLvl w:val="1"/>
      </w:pPr>
      <w:r>
        <w:rPr>
          <w:rFonts w:ascii="Arial" w:hAnsi="Arial" w:cs="Arial"/>
          <w:b/>
          <w:i w:val="0"/>
          <w:color w:val="2E528F"/>
          <w:sz w:val="26"/>
        </w:rPr>
        <w:t>19.1 Purpose and Architectural Authority</w:t>
      </w:r>
    </w:p>
    <w:p>
      <w:pPr>
        <w:spacing w:after="80" w:line="293" w:lineRule="auto"/>
        <w:jc w:val="left"/>
      </w:pPr>
      <w:r>
        <w:rPr>
          <w:rFonts w:ascii="Times New Roman" w:hAnsi="Times New Roman" w:cs="Times New Roman"/>
          <w:b w:val="0"/>
          <w:i w:val="0"/>
          <w:sz w:val="22"/>
        </w:rPr>
        <w:t>This section is the canonical architectural authority for the following platform concerns:</w:t>
      </w:r>
    </w:p>
    <w:p>
      <w:pPr>
        <w:spacing w:after="80" w:line="293" w:lineRule="auto"/>
        <w:ind w:left="283"/>
        <w:jc w:val="left"/>
      </w:pPr>
      <w:r>
        <w:rPr>
          <w:rFonts w:ascii="Times New Roman" w:hAnsi="Times New Roman" w:cs="Times New Roman"/>
          <w:b w:val="0"/>
          <w:i w:val="0"/>
          <w:sz w:val="22"/>
        </w:rPr>
        <w:t>- transaction finality;</w:t>
      </w:r>
    </w:p>
    <w:p>
      <w:pPr>
        <w:spacing w:after="80" w:line="293" w:lineRule="auto"/>
        <w:ind w:left="283"/>
        <w:jc w:val="left"/>
      </w:pPr>
      <w:r>
        <w:rPr>
          <w:rFonts w:ascii="Times New Roman" w:hAnsi="Times New Roman" w:cs="Times New Roman"/>
          <w:b w:val="0"/>
          <w:i w:val="0"/>
          <w:sz w:val="22"/>
        </w:rPr>
        <w:t>- multi-clock state;</w:t>
      </w:r>
    </w:p>
    <w:p>
      <w:pPr>
        <w:spacing w:after="80" w:line="293" w:lineRule="auto"/>
        <w:ind w:left="283"/>
        <w:jc w:val="left"/>
      </w:pPr>
      <w:r>
        <w:rPr>
          <w:rFonts w:ascii="Times New Roman" w:hAnsi="Times New Roman" w:cs="Times New Roman"/>
          <w:b w:val="0"/>
          <w:i w:val="0"/>
          <w:sz w:val="22"/>
        </w:rPr>
        <w:t>- immutable event history;</w:t>
      </w:r>
    </w:p>
    <w:p>
      <w:pPr>
        <w:spacing w:after="80" w:line="293" w:lineRule="auto"/>
        <w:ind w:left="283"/>
        <w:jc w:val="left"/>
      </w:pPr>
      <w:r>
        <w:rPr>
          <w:rFonts w:ascii="Times New Roman" w:hAnsi="Times New Roman" w:cs="Times New Roman"/>
          <w:b w:val="0"/>
          <w:i w:val="0"/>
          <w:sz w:val="22"/>
        </w:rPr>
        <w:t>- reversal handling;</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exception management;</w:t>
      </w:r>
    </w:p>
    <w:p>
      <w:pPr>
        <w:spacing w:after="80" w:line="293" w:lineRule="auto"/>
        <w:ind w:left="283"/>
        <w:jc w:val="left"/>
      </w:pPr>
      <w:r>
        <w:rPr>
          <w:rFonts w:ascii="Times New Roman" w:hAnsi="Times New Roman" w:cs="Times New Roman"/>
          <w:b w:val="0"/>
          <w:i w:val="0"/>
          <w:sz w:val="22"/>
        </w:rPr>
        <w:t>- recovery;</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financial exposure;</w:t>
      </w:r>
    </w:p>
    <w:p>
      <w:pPr>
        <w:spacing w:after="80" w:line="293" w:lineRule="auto"/>
        <w:ind w:left="283"/>
        <w:jc w:val="left"/>
      </w:pPr>
      <w:r>
        <w:rPr>
          <w:rFonts w:ascii="Times New Roman" w:hAnsi="Times New Roman" w:cs="Times New Roman"/>
          <w:b w:val="0"/>
          <w:i w:val="0"/>
          <w:sz w:val="22"/>
        </w:rPr>
        <w:t>- bank-side settlement;</w:t>
      </w:r>
    </w:p>
    <w:p>
      <w:pPr>
        <w:spacing w:after="80" w:line="293" w:lineRule="auto"/>
        <w:ind w:left="283"/>
        <w:jc w:val="left"/>
      </w:pPr>
      <w:r>
        <w:rPr>
          <w:rFonts w:ascii="Times New Roman" w:hAnsi="Times New Roman" w:cs="Times New Roman"/>
          <w:b w:val="0"/>
          <w:i w:val="0"/>
          <w:sz w:val="22"/>
        </w:rPr>
        <w:t>- multi-party settlement;</w:t>
      </w:r>
    </w:p>
    <w:p>
      <w:pPr>
        <w:spacing w:after="80" w:line="293" w:lineRule="auto"/>
        <w:ind w:left="283"/>
        <w:jc w:val="left"/>
      </w:pPr>
      <w:r>
        <w:rPr>
          <w:rFonts w:ascii="Times New Roman" w:hAnsi="Times New Roman" w:cs="Times New Roman"/>
          <w:b w:val="0"/>
          <w:i w:val="0"/>
          <w:sz w:val="22"/>
        </w:rPr>
        <w:t>- counterparty state;</w:t>
      </w:r>
    </w:p>
    <w:p>
      <w:pPr>
        <w:spacing w:after="80" w:line="293" w:lineRule="auto"/>
        <w:ind w:left="283"/>
        <w:jc w:val="left"/>
      </w:pPr>
      <w:r>
        <w:rPr>
          <w:rFonts w:ascii="Times New Roman" w:hAnsi="Times New Roman" w:cs="Times New Roman"/>
          <w:b w:val="0"/>
          <w:i w:val="0"/>
          <w:sz w:val="22"/>
        </w:rPr>
        <w:t>- document authenticity;</w:t>
      </w:r>
    </w:p>
    <w:p>
      <w:pPr>
        <w:spacing w:after="80" w:line="293" w:lineRule="auto"/>
        <w:ind w:left="283"/>
        <w:jc w:val="left"/>
      </w:pPr>
      <w:r>
        <w:rPr>
          <w:rFonts w:ascii="Times New Roman" w:hAnsi="Times New Roman" w:cs="Times New Roman"/>
          <w:b w:val="0"/>
          <w:i w:val="0"/>
          <w:sz w:val="22"/>
        </w:rPr>
        <w:t>- cross-border jurisdiction;</w:t>
      </w:r>
    </w:p>
    <w:p>
      <w:pPr>
        <w:spacing w:after="80" w:line="293" w:lineRule="auto"/>
        <w:ind w:left="283"/>
        <w:jc w:val="left"/>
      </w:pPr>
      <w:r>
        <w:rPr>
          <w:rFonts w:ascii="Times New Roman" w:hAnsi="Times New Roman" w:cs="Times New Roman"/>
          <w:b w:val="0"/>
          <w:i w:val="0"/>
          <w:sz w:val="22"/>
        </w:rPr>
        <w:t>- AI governance;</w:t>
      </w:r>
    </w:p>
    <w:p>
      <w:pPr>
        <w:spacing w:after="80" w:line="293" w:lineRule="auto"/>
        <w:ind w:left="283"/>
        <w:jc w:val="left"/>
      </w:pPr>
      <w:r>
        <w:rPr>
          <w:rFonts w:ascii="Times New Roman" w:hAnsi="Times New Roman" w:cs="Times New Roman"/>
          <w:b w:val="0"/>
          <w:i w:val="0"/>
          <w:sz w:val="22"/>
        </w:rPr>
        <w:t>- institutional authority;</w:t>
      </w:r>
    </w:p>
    <w:p>
      <w:pPr>
        <w:spacing w:after="80" w:line="293" w:lineRule="auto"/>
        <w:ind w:left="283"/>
        <w:jc w:val="left"/>
      </w:pPr>
      <w:r>
        <w:rPr>
          <w:rFonts w:ascii="Times New Roman" w:hAnsi="Times New Roman" w:cs="Times New Roman"/>
          <w:b w:val="0"/>
          <w:i w:val="0"/>
          <w:sz w:val="22"/>
        </w:rPr>
        <w:t>- USTN correlation;</w:t>
      </w:r>
    </w:p>
    <w:p>
      <w:pPr>
        <w:spacing w:after="80" w:line="293" w:lineRule="auto"/>
        <w:ind w:left="283"/>
        <w:jc w:val="left"/>
      </w:pPr>
      <w:r>
        <w:rPr>
          <w:rFonts w:ascii="Times New Roman" w:hAnsi="Times New Roman" w:cs="Times New Roman"/>
          <w:b w:val="0"/>
          <w:i w:val="0"/>
          <w:sz w:val="22"/>
        </w:rPr>
        <w:t>- post-closure behavior.</w:t>
      </w:r>
    </w:p>
    <w:p>
      <w:pPr>
        <w:spacing w:after="80" w:line="293" w:lineRule="auto"/>
        <w:jc w:val="left"/>
      </w:pPr>
      <w:r>
        <w:rPr>
          <w:rFonts w:ascii="Times New Roman" w:hAnsi="Times New Roman" w:cs="Times New Roman"/>
          <w:b w:val="0"/>
          <w:i w:val="0"/>
          <w:sz w:val="22"/>
        </w:rPr>
        <w:t>Wherever these concerns appear elsewhere in this Blueprint, the definitions in this section govern. The architecture preserves SGTX's non-custodial, jurisdiction-aware, institutional execution philosophy while making the platform's treatment of real-world divergence explicit and operationally enforceable.</w:t>
      </w:r>
    </w:p>
    <w:p>
      <w:pPr>
        <w:keepNext/>
        <w:spacing w:before="240" w:after="100"/>
        <w:outlineLvl w:val="1"/>
      </w:pPr>
      <w:r>
        <w:rPr>
          <w:rFonts w:ascii="Arial" w:hAnsi="Arial" w:cs="Arial"/>
          <w:b/>
          <w:i w:val="0"/>
          <w:color w:val="2E528F"/>
          <w:sz w:val="26"/>
        </w:rPr>
        <w:t>19.2 Fundamental SGTX Repositioning</w:t>
      </w:r>
    </w:p>
    <w:p>
      <w:pPr>
        <w:spacing w:after="80" w:line="293" w:lineRule="auto"/>
        <w:jc w:val="left"/>
      </w:pPr>
      <w:r>
        <w:rPr>
          <w:rFonts w:ascii="Times New Roman" w:hAnsi="Times New Roman" w:cs="Times New Roman"/>
          <w:b w:val="0"/>
          <w:i w:val="0"/>
          <w:sz w:val="22"/>
        </w:rPr>
        <w:t>SGTX is architected as: a sovereign, non-custodial, AI-governed trade execution, state, settlement orchestration, reconciliation, exception, recovery and evidence infrastructure. The external-facing positioning is: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Category</w:t>
            </w:r>
          </w:p>
        </w:tc>
        <w:tc>
          <w:tcPr>
            <w:tcW w:type="dxa" w:w="4819"/>
            <w:shd w:val="clear" w:fill="D9E2F3"/>
          </w:tcPr>
          <w:p>
            <w:pPr>
              <w:spacing w:after="20" w:before="20" w:line="240" w:lineRule="auto"/>
            </w:pPr>
            <w:r/>
            <w:r>
              <w:rPr>
                <w:rFonts w:ascii="Arial" w:hAnsi="Arial" w:cs="Arial"/>
                <w:b/>
                <w:i w:val="0"/>
                <w:sz w:val="18"/>
              </w:rPr>
              <w:t>Positioning</w:t>
            </w:r>
          </w:p>
        </w:tc>
      </w:tr>
      <w:tr>
        <w:tc>
          <w:tcPr>
            <w:tcW w:type="dxa" w:w="4819"/>
          </w:tcPr>
          <w:p>
            <w:pPr>
              <w:spacing w:after="20" w:before="20" w:line="240" w:lineRule="auto"/>
            </w:pPr>
            <w:r/>
            <w:r>
              <w:rPr>
                <w:rFonts w:ascii="Arial" w:hAnsi="Arial" w:cs="Arial"/>
                <w:b w:val="0"/>
                <w:i w:val="0"/>
                <w:sz w:val="17"/>
              </w:rPr>
              <w:t>Primary Category</w:t>
            </w:r>
          </w:p>
        </w:tc>
        <w:tc>
          <w:tcPr>
            <w:tcW w:type="dxa" w:w="4819"/>
          </w:tcPr>
          <w:p>
            <w:pPr>
              <w:spacing w:after="20" w:before="20" w:line="240" w:lineRule="auto"/>
            </w:pPr>
            <w:r/>
            <w:r>
              <w:rPr>
                <w:rFonts w:ascii="Arial" w:hAnsi="Arial" w:cs="Arial"/>
                <w:b w:val="0"/>
                <w:i w:val="0"/>
                <w:sz w:val="17"/>
              </w:rPr>
              <w:t>Cross-Border Trade Execution &amp; Reconciliation Infrastructure</w:t>
            </w:r>
          </w:p>
        </w:tc>
      </w:tr>
      <w:tr>
        <w:tc>
          <w:tcPr>
            <w:tcW w:type="dxa" w:w="4819"/>
          </w:tcPr>
          <w:p>
            <w:pPr>
              <w:spacing w:after="20" w:before="20" w:line="240" w:lineRule="auto"/>
            </w:pPr>
            <w:r/>
            <w:r>
              <w:rPr>
                <w:rFonts w:ascii="Arial" w:hAnsi="Arial" w:cs="Arial"/>
                <w:b w:val="0"/>
                <w:i w:val="0"/>
                <w:sz w:val="17"/>
              </w:rPr>
              <w:t>Functional Category</w:t>
            </w:r>
          </w:p>
        </w:tc>
        <w:tc>
          <w:tcPr>
            <w:tcW w:type="dxa" w:w="4819"/>
          </w:tcPr>
          <w:p>
            <w:pPr>
              <w:spacing w:after="20" w:before="20" w:line="240" w:lineRule="auto"/>
            </w:pPr>
            <w:r/>
            <w:r>
              <w:rPr>
                <w:rFonts w:ascii="Arial" w:hAnsi="Arial" w:cs="Arial"/>
                <w:b w:val="0"/>
                <w:i w:val="0"/>
                <w:sz w:val="17"/>
              </w:rPr>
              <w:t>Commercial-to-Settlement Execution Layer</w:t>
            </w:r>
          </w:p>
        </w:tc>
      </w:tr>
      <w:tr>
        <w:tc>
          <w:tcPr>
            <w:tcW w:type="dxa" w:w="4819"/>
          </w:tcPr>
          <w:p>
            <w:pPr>
              <w:spacing w:after="20" w:before="20" w:line="240" w:lineRule="auto"/>
            </w:pPr>
            <w:r/>
            <w:r>
              <w:rPr>
                <w:rFonts w:ascii="Arial" w:hAnsi="Arial" w:cs="Arial"/>
                <w:b w:val="0"/>
                <w:i w:val="0"/>
                <w:sz w:val="17"/>
              </w:rPr>
              <w:t>Technical Category</w:t>
            </w:r>
          </w:p>
        </w:tc>
        <w:tc>
          <w:tcPr>
            <w:tcW w:type="dxa" w:w="4819"/>
          </w:tcPr>
          <w:p>
            <w:pPr>
              <w:spacing w:after="20" w:before="20" w:line="240" w:lineRule="auto"/>
            </w:pPr>
            <w:r/>
            <w:r>
              <w:rPr>
                <w:rFonts w:ascii="Arial" w:hAnsi="Arial" w:cs="Arial"/>
                <w:b w:val="0"/>
                <w:i w:val="0"/>
                <w:sz w:val="17"/>
              </w:rPr>
              <w:t>Multi-Clock, Event-Sourced Transaction Infrastructure</w:t>
            </w:r>
          </w:p>
        </w:tc>
      </w:tr>
      <w:tr>
        <w:tc>
          <w:tcPr>
            <w:tcW w:type="dxa" w:w="4819"/>
          </w:tcPr>
          <w:p>
            <w:pPr>
              <w:spacing w:after="20" w:before="20" w:line="240" w:lineRule="auto"/>
            </w:pPr>
            <w:r/>
            <w:r>
              <w:rPr>
                <w:rFonts w:ascii="Arial" w:hAnsi="Arial" w:cs="Arial"/>
                <w:b w:val="0"/>
                <w:i w:val="0"/>
                <w:sz w:val="17"/>
              </w:rPr>
              <w:t>Strategic Category</w:t>
            </w:r>
          </w:p>
        </w:tc>
        <w:tc>
          <w:tcPr>
            <w:tcW w:type="dxa" w:w="4819"/>
          </w:tcPr>
          <w:p>
            <w:pPr>
              <w:spacing w:after="20" w:before="20" w:line="240" w:lineRule="auto"/>
            </w:pPr>
            <w:r/>
            <w:r>
              <w:rPr>
                <w:rFonts w:ascii="Arial" w:hAnsi="Arial" w:cs="Arial"/>
                <w:b w:val="0"/>
                <w:i w:val="0"/>
                <w:sz w:val="17"/>
              </w:rPr>
              <w:t>Neutral execution and coordination infrastructure between commercial systems and regulated institutions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core proposition is: SGTX does not attempt to make international trade artificially linear. It maintains a governed, cryptographically verifiable execution state while continuously reconciling commercial, financial, legal, documentary, logistics, compliance and regulatory realities as they change. SGTX therefore does not compete with the primary functions of:</w:t>
      </w:r>
    </w:p>
    <w:p>
      <w:pPr>
        <w:spacing w:after="80" w:line="293" w:lineRule="auto"/>
        <w:ind w:left="283"/>
        <w:jc w:val="left"/>
      </w:pPr>
      <w:r>
        <w:rPr>
          <w:rFonts w:ascii="Times New Roman" w:hAnsi="Times New Roman" w:cs="Times New Roman"/>
          <w:b w:val="0"/>
          <w:i w:val="0"/>
          <w:sz w:val="22"/>
        </w:rPr>
        <w:t>- marketplaces;</w:t>
      </w:r>
    </w:p>
    <w:p>
      <w:pPr>
        <w:spacing w:after="80" w:line="293" w:lineRule="auto"/>
        <w:ind w:left="283"/>
        <w:jc w:val="left"/>
      </w:pPr>
      <w:r>
        <w:rPr>
          <w:rFonts w:ascii="Times New Roman" w:hAnsi="Times New Roman" w:cs="Times New Roman"/>
          <w:b w:val="0"/>
          <w:i w:val="0"/>
          <w:sz w:val="22"/>
        </w:rPr>
        <w:t>- enterprise resource planning (ERP) systems;</w:t>
      </w:r>
    </w:p>
    <w:p>
      <w:pPr>
        <w:spacing w:after="80" w:line="293" w:lineRule="auto"/>
        <w:ind w:left="283"/>
        <w:jc w:val="left"/>
      </w:pPr>
      <w:r>
        <w:rPr>
          <w:rFonts w:ascii="Times New Roman" w:hAnsi="Times New Roman" w:cs="Times New Roman"/>
          <w:b w:val="0"/>
          <w:i w:val="0"/>
          <w:sz w:val="22"/>
        </w:rPr>
        <w:t>- banks;</w:t>
      </w:r>
    </w:p>
    <w:p>
      <w:pPr>
        <w:spacing w:after="80" w:line="293" w:lineRule="auto"/>
        <w:ind w:left="283"/>
        <w:jc w:val="left"/>
      </w:pPr>
      <w:r>
        <w:rPr>
          <w:rFonts w:ascii="Times New Roman" w:hAnsi="Times New Roman" w:cs="Times New Roman"/>
          <w:b w:val="0"/>
          <w:i w:val="0"/>
          <w:sz w:val="22"/>
        </w:rPr>
        <w:t>- logistics providers;</w:t>
      </w:r>
    </w:p>
    <w:p>
      <w:pPr>
        <w:spacing w:after="80" w:line="293" w:lineRule="auto"/>
        <w:ind w:left="283"/>
        <w:jc w:val="left"/>
      </w:pPr>
      <w:r>
        <w:rPr>
          <w:rFonts w:ascii="Times New Roman" w:hAnsi="Times New Roman" w:cs="Times New Roman"/>
          <w:b w:val="0"/>
          <w:i w:val="0"/>
          <w:sz w:val="22"/>
        </w:rPr>
        <w:t>- customs systems;</w:t>
      </w:r>
    </w:p>
    <w:p>
      <w:pPr>
        <w:spacing w:after="80" w:line="293" w:lineRule="auto"/>
        <w:ind w:left="283"/>
        <w:jc w:val="left"/>
      </w:pPr>
      <w:r>
        <w:rPr>
          <w:rFonts w:ascii="Times New Roman" w:hAnsi="Times New Roman" w:cs="Times New Roman"/>
          <w:b w:val="0"/>
          <w:i w:val="0"/>
          <w:sz w:val="22"/>
        </w:rPr>
        <w:t>- regulatory systems;</w:t>
      </w:r>
    </w:p>
    <w:p>
      <w:pPr>
        <w:spacing w:after="80" w:line="293" w:lineRule="auto"/>
        <w:ind w:left="283"/>
        <w:jc w:val="left"/>
      </w:pPr>
      <w:r>
        <w:rPr>
          <w:rFonts w:ascii="Times New Roman" w:hAnsi="Times New Roman" w:cs="Times New Roman"/>
          <w:b w:val="0"/>
          <w:i w:val="0"/>
          <w:sz w:val="22"/>
        </w:rPr>
        <w:t>- document issuers;</w:t>
      </w:r>
    </w:p>
    <w:p>
      <w:pPr>
        <w:spacing w:after="80" w:line="293" w:lineRule="auto"/>
        <w:ind w:left="283"/>
        <w:jc w:val="left"/>
      </w:pPr>
      <w:r>
        <w:rPr>
          <w:rFonts w:ascii="Times New Roman" w:hAnsi="Times New Roman" w:cs="Times New Roman"/>
          <w:b w:val="0"/>
          <w:i w:val="0"/>
          <w:sz w:val="22"/>
        </w:rPr>
        <w:t>- courts;</w:t>
      </w:r>
    </w:p>
    <w:p>
      <w:pPr>
        <w:spacing w:after="80" w:line="293" w:lineRule="auto"/>
        <w:ind w:left="283"/>
        <w:jc w:val="left"/>
      </w:pPr>
      <w:r>
        <w:rPr>
          <w:rFonts w:ascii="Times New Roman" w:hAnsi="Times New Roman" w:cs="Times New Roman"/>
          <w:b w:val="0"/>
          <w:i w:val="0"/>
          <w:sz w:val="22"/>
        </w:rPr>
        <w:t>- payment rails.</w:t>
      </w:r>
    </w:p>
    <w:p>
      <w:pPr>
        <w:spacing w:after="80" w:line="293" w:lineRule="auto"/>
        <w:jc w:val="left"/>
      </w:pPr>
      <w:r>
        <w:rPr>
          <w:rFonts w:ascii="Times New Roman" w:hAnsi="Times New Roman" w:cs="Times New Roman"/>
          <w:b w:val="0"/>
          <w:i w:val="0"/>
          <w:sz w:val="22"/>
        </w:rPr>
        <w:t>Instead, SGTX provides a coordination, execution-state, reconciliation and evidence layer between them.</w:t>
      </w:r>
    </w:p>
    <w:p>
      <w:pPr>
        <w:keepNext/>
        <w:spacing w:before="240" w:after="100"/>
        <w:outlineLvl w:val="1"/>
      </w:pPr>
      <w:r>
        <w:rPr>
          <w:rFonts w:ascii="Arial" w:hAnsi="Arial" w:cs="Arial"/>
          <w:b/>
          <w:i w:val="0"/>
          <w:color w:val="2E528F"/>
          <w:sz w:val="26"/>
        </w:rPr>
        <w:t>19.3 Fundamental SGTX Constitutional Principle</w:t>
      </w:r>
    </w:p>
    <w:p>
      <w:pPr>
        <w:spacing w:after="80" w:line="293" w:lineRule="auto"/>
        <w:jc w:val="left"/>
      </w:pPr>
      <w:r>
        <w:rPr>
          <w:rFonts w:ascii="Times New Roman" w:hAnsi="Times New Roman" w:cs="Times New Roman"/>
          <w:b w:val="0"/>
          <w:i w:val="0"/>
          <w:sz w:val="22"/>
        </w:rPr>
        <w:t>The following is a non-negotiable architectural principle:</w:t>
      </w:r>
    </w:p>
    <w:p>
      <w:pPr>
        <w:spacing w:after="80" w:line="293" w:lineRule="auto"/>
        <w:jc w:val="left"/>
      </w:pPr>
      <w:r>
        <w:rPr>
          <w:rFonts w:ascii="Times New Roman" w:hAnsi="Times New Roman" w:cs="Times New Roman"/>
          <w:b w:val="0"/>
          <w:i w:val="0"/>
          <w:sz w:val="22"/>
        </w:rPr>
        <w:t>SGTX does not require the real world to agree. SGTX makes disagreement explicit, attributable, evidence-backed, reconcilable and governable.</w:t>
      </w:r>
    </w:p>
    <w:p>
      <w:pPr>
        <w:spacing w:after="80" w:line="293" w:lineRule="auto"/>
        <w:jc w:val="left"/>
      </w:pPr>
      <w:r>
        <w:rPr>
          <w:rFonts w:ascii="Times New Roman" w:hAnsi="Times New Roman" w:cs="Times New Roman"/>
          <w:b w:val="0"/>
          <w:i w:val="0"/>
          <w:sz w:val="22"/>
        </w:rPr>
        <w:t>Different systems may legitimately report different realities at the same time. Example: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Domain</w:t>
            </w:r>
          </w:p>
        </w:tc>
        <w:tc>
          <w:tcPr>
            <w:tcW w:type="dxa" w:w="4819"/>
            <w:shd w:val="clear" w:fill="D9E2F3"/>
          </w:tcPr>
          <w:p>
            <w:pPr>
              <w:spacing w:after="20" w:before="20" w:line="240" w:lineRule="auto"/>
            </w:pPr>
            <w:r/>
            <w:r>
              <w:rPr>
                <w:rFonts w:ascii="Arial" w:hAnsi="Arial" w:cs="Arial"/>
                <w:b/>
                <w:i w:val="0"/>
                <w:sz w:val="18"/>
              </w:rPr>
              <w:t>State</w:t>
            </w:r>
          </w:p>
        </w:tc>
      </w:tr>
      <w:tr>
        <w:tc>
          <w:tcPr>
            <w:tcW w:type="dxa" w:w="4819"/>
          </w:tcPr>
          <w:p>
            <w:pPr>
              <w:spacing w:after="20" w:before="20" w:line="240" w:lineRule="auto"/>
            </w:pPr>
            <w:r/>
            <w:r>
              <w:rPr>
                <w:rFonts w:ascii="Arial" w:hAnsi="Arial" w:cs="Arial"/>
                <w:b w:val="0"/>
                <w:i w:val="0"/>
                <w:sz w:val="17"/>
              </w:rPr>
              <w:t>Execution</w:t>
            </w:r>
          </w:p>
        </w:tc>
        <w:tc>
          <w:tcPr>
            <w:tcW w:type="dxa" w:w="4819"/>
          </w:tcPr>
          <w:p>
            <w:pPr>
              <w:spacing w:after="20" w:before="20" w:line="240" w:lineRule="auto"/>
            </w:pPr>
            <w:r/>
            <w:r>
              <w:rPr>
                <w:rFonts w:ascii="Arial" w:hAnsi="Arial" w:cs="Arial"/>
                <w:b w:val="0"/>
                <w:i w:val="0"/>
                <w:sz w:val="17"/>
              </w:rPr>
              <w:t>SETTLED</w:t>
            </w:r>
          </w:p>
        </w:tc>
      </w:tr>
      <w:tr>
        <w:tc>
          <w:tcPr>
            <w:tcW w:type="dxa" w:w="4819"/>
          </w:tcPr>
          <w:p>
            <w:pPr>
              <w:spacing w:after="20" w:before="20" w:line="240" w:lineRule="auto"/>
            </w:pPr>
            <w:r/>
            <w:r>
              <w:rPr>
                <w:rFonts w:ascii="Arial" w:hAnsi="Arial" w:cs="Arial"/>
                <w:b w:val="0"/>
                <w:i w:val="0"/>
                <w:sz w:val="17"/>
              </w:rPr>
              <w:t>Financial</w:t>
            </w:r>
          </w:p>
        </w:tc>
        <w:tc>
          <w:tcPr>
            <w:tcW w:type="dxa" w:w="4819"/>
          </w:tcPr>
          <w:p>
            <w:pPr>
              <w:spacing w:after="20" w:before="20" w:line="240" w:lineRule="auto"/>
            </w:pPr>
            <w:r/>
            <w:r>
              <w:rPr>
                <w:rFonts w:ascii="Arial" w:hAnsi="Arial" w:cs="Arial"/>
                <w:b w:val="0"/>
                <w:i w:val="0"/>
                <w:sz w:val="17"/>
              </w:rPr>
              <w:t>RETURNED</w:t>
            </w:r>
          </w:p>
        </w:tc>
      </w:tr>
      <w:tr>
        <w:tc>
          <w:tcPr>
            <w:tcW w:type="dxa" w:w="4819"/>
          </w:tcPr>
          <w:p>
            <w:pPr>
              <w:spacing w:after="20" w:before="20" w:line="240" w:lineRule="auto"/>
            </w:pPr>
            <w:r/>
            <w:r>
              <w:rPr>
                <w:rFonts w:ascii="Arial" w:hAnsi="Arial" w:cs="Arial"/>
                <w:b w:val="0"/>
                <w:i w:val="0"/>
                <w:sz w:val="17"/>
              </w:rPr>
              <w:t>Legal</w:t>
            </w:r>
          </w:p>
        </w:tc>
        <w:tc>
          <w:tcPr>
            <w:tcW w:type="dxa" w:w="4819"/>
          </w:tcPr>
          <w:p>
            <w:pPr>
              <w:spacing w:after="20" w:before="20" w:line="240" w:lineRule="auto"/>
            </w:pPr>
            <w:r/>
            <w:r>
              <w:rPr>
                <w:rFonts w:ascii="Arial" w:hAnsi="Arial" w:cs="Arial"/>
                <w:b w:val="0"/>
                <w:i w:val="0"/>
                <w:sz w:val="17"/>
              </w:rPr>
              <w:t>DISPUTED</w:t>
            </w:r>
          </w:p>
        </w:tc>
      </w:tr>
      <w:tr>
        <w:tc>
          <w:tcPr>
            <w:tcW w:type="dxa" w:w="4819"/>
          </w:tcPr>
          <w:p>
            <w:pPr>
              <w:spacing w:after="20" w:before="20" w:line="240" w:lineRule="auto"/>
            </w:pPr>
            <w:r/>
            <w:r>
              <w:rPr>
                <w:rFonts w:ascii="Arial" w:hAnsi="Arial" w:cs="Arial"/>
                <w:b w:val="0"/>
                <w:i w:val="0"/>
                <w:sz w:val="17"/>
              </w:rPr>
              <w:t>Physical</w:t>
            </w:r>
          </w:p>
        </w:tc>
        <w:tc>
          <w:tcPr>
            <w:tcW w:type="dxa" w:w="4819"/>
          </w:tcPr>
          <w:p>
            <w:pPr>
              <w:spacing w:after="20" w:before="20" w:line="240" w:lineRule="auto"/>
            </w:pPr>
            <w:r/>
            <w:r>
              <w:rPr>
                <w:rFonts w:ascii="Arial" w:hAnsi="Arial" w:cs="Arial"/>
                <w:b w:val="0"/>
                <w:i w:val="0"/>
                <w:sz w:val="17"/>
              </w:rPr>
              <w:t>DELIVERED</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COMPLETE</w:t>
            </w:r>
          </w:p>
        </w:tc>
      </w:tr>
      <w:tr>
        <w:tc>
          <w:tcPr>
            <w:tcW w:type="dxa" w:w="4819"/>
          </w:tcPr>
          <w:p>
            <w:pPr>
              <w:spacing w:after="20" w:before="20" w:line="240" w:lineRule="auto"/>
            </w:pPr>
            <w:r/>
            <w:r>
              <w:rPr>
                <w:rFonts w:ascii="Arial" w:hAnsi="Arial" w:cs="Arial"/>
                <w:b w:val="0"/>
                <w:i w:val="0"/>
                <w:sz w:val="17"/>
              </w:rPr>
              <w:t>Compliance</w:t>
            </w:r>
          </w:p>
        </w:tc>
        <w:tc>
          <w:tcPr>
            <w:tcW w:type="dxa" w:w="4819"/>
          </w:tcPr>
          <w:p>
            <w:pPr>
              <w:spacing w:after="20" w:before="20" w:line="240" w:lineRule="auto"/>
            </w:pPr>
            <w:r/>
            <w:r>
              <w:rPr>
                <w:rFonts w:ascii="Arial" w:hAnsi="Arial" w:cs="Arial"/>
                <w:b w:val="0"/>
                <w:i w:val="0"/>
                <w:sz w:val="17"/>
              </w:rPr>
              <w:t>CLEARED</w:t>
            </w:r>
          </w:p>
        </w:tc>
      </w:tr>
      <w:tr>
        <w:tc>
          <w:tcPr>
            <w:tcW w:type="dxa" w:w="4819"/>
          </w:tcPr>
          <w:p>
            <w:pPr>
              <w:spacing w:after="20" w:before="20" w:line="240" w:lineRule="auto"/>
            </w:pPr>
            <w:r/>
            <w:r>
              <w:rPr>
                <w:rFonts w:ascii="Arial" w:hAnsi="Arial" w:cs="Arial"/>
                <w:b w:val="0"/>
                <w:i w:val="0"/>
                <w:sz w:val="17"/>
              </w:rPr>
              <w:t>Reconciliation</w:t>
            </w:r>
          </w:p>
        </w:tc>
        <w:tc>
          <w:tcPr>
            <w:tcW w:type="dxa" w:w="4819"/>
          </w:tcPr>
          <w:p>
            <w:pPr>
              <w:spacing w:after="20" w:before="20" w:line="240" w:lineRule="auto"/>
            </w:pPr>
            <w:r/>
            <w:r>
              <w:rPr>
                <w:rFonts w:ascii="Arial" w:hAnsi="Arial" w:cs="Arial"/>
                <w:b w:val="0"/>
                <w:i w:val="0"/>
                <w:sz w:val="17"/>
              </w:rPr>
              <w:t>OPEN</w:t>
            </w:r>
          </w:p>
        </w:tc>
      </w:tr>
      <w:tr>
        <w:tc>
          <w:tcPr>
            <w:tcW w:type="dxa" w:w="4819"/>
          </w:tcPr>
          <w:p>
            <w:pPr>
              <w:spacing w:after="20" w:before="20" w:line="240" w:lineRule="auto"/>
            </w:pPr>
            <w:r/>
            <w:r>
              <w:rPr>
                <w:rFonts w:ascii="Arial" w:hAnsi="Arial" w:cs="Arial"/>
                <w:b w:val="0"/>
                <w:i w:val="0"/>
                <w:sz w:val="17"/>
              </w:rPr>
              <w:t>Exposure</w:t>
            </w:r>
          </w:p>
        </w:tc>
        <w:tc>
          <w:tcPr>
            <w:tcW w:type="dxa" w:w="4819"/>
          </w:tcPr>
          <w:p>
            <w:pPr>
              <w:spacing w:after="20" w:before="20" w:line="240" w:lineRule="auto"/>
            </w:pPr>
            <w:r/>
            <w:r>
              <w:rPr>
                <w:rFonts w:ascii="Arial" w:hAnsi="Arial" w:cs="Arial"/>
                <w:b w:val="0"/>
                <w:i w:val="0"/>
                <w:sz w:val="17"/>
              </w:rPr>
              <w:t>REOPENED</w:t>
            </w:r>
          </w:p>
        </w:tc>
      </w:tr>
      <w:tr>
        <w:tc>
          <w:tcPr>
            <w:tcW w:type="dxa" w:w="4819"/>
          </w:tcPr>
          <w:p>
            <w:pPr>
              <w:spacing w:after="20" w:before="20" w:line="240" w:lineRule="auto"/>
            </w:pPr>
            <w:r/>
            <w:r>
              <w:rPr>
                <w:rFonts w:ascii="Arial" w:hAnsi="Arial" w:cs="Arial"/>
                <w:b w:val="0"/>
                <w:i w:val="0"/>
                <w:sz w:val="17"/>
              </w:rPr>
              <w:t>Closure</w:t>
            </w:r>
          </w:p>
        </w:tc>
        <w:tc>
          <w:tcPr>
            <w:tcW w:type="dxa" w:w="4819"/>
          </w:tcPr>
          <w:p>
            <w:pPr>
              <w:spacing w:after="20" w:before="20" w:line="240" w:lineRule="auto"/>
            </w:pPr>
            <w:r/>
            <w:r>
              <w:rPr>
                <w:rFonts w:ascii="Arial" w:hAnsi="Arial" w:cs="Arial"/>
                <w:b w:val="0"/>
                <w:i w:val="0"/>
                <w:sz w:val="17"/>
              </w:rPr>
              <w:t>SUSPENDED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is not automatically an invalid transaction. It is a multidimensional representation of real-world divergence. SGTX must represent that divergence rather than force every dimension into one artificial universal status.</w:t>
      </w:r>
    </w:p>
    <w:p>
      <w:pPr>
        <w:keepNext/>
        <w:spacing w:before="240" w:after="100"/>
        <w:outlineLvl w:val="1"/>
      </w:pPr>
      <w:r>
        <w:rPr>
          <w:rFonts w:ascii="Arial" w:hAnsi="Arial" w:cs="Arial"/>
          <w:b/>
          <w:i w:val="0"/>
          <w:color w:val="2E528F"/>
          <w:sz w:val="26"/>
        </w:rPr>
        <w:t>19.4 Core SGTX Design Philosophy</w:t>
      </w:r>
    </w:p>
    <w:p>
      <w:pPr>
        <w:spacing w:after="80" w:line="293" w:lineRule="auto"/>
        <w:jc w:val="left"/>
      </w:pPr>
      <w:r>
        <w:rPr>
          <w:rFonts w:ascii="Times New Roman" w:hAnsi="Times New Roman" w:cs="Times New Roman"/>
          <w:b w:val="0"/>
          <w:i w:val="0"/>
          <w:sz w:val="22"/>
        </w:rPr>
        <w:t>The architecture is governed by the following principles:</w:t>
      </w:r>
    </w:p>
    <w:p>
      <w:pPr>
        <w:spacing w:after="80" w:line="293" w:lineRule="auto"/>
        <w:jc w:val="left"/>
      </w:pPr>
      <w:r>
        <w:rPr>
          <w:rFonts w:ascii="Times New Roman" w:hAnsi="Times New Roman" w:cs="Times New Roman"/>
          <w:b w:val="0"/>
          <w:i w:val="0"/>
          <w:sz w:val="22"/>
        </w:rPr>
        <w:t>1. Trade is not inherently linear. 2. Settlement is not necessarily closure. 3. Finality is multidimensional. 4. Historical events are immutable. 5. Current state is derived from governed events and authoritative external inputs. 6. Reversals create new states; they do not erase history. 7. Reconciliation is an execution subsystem, not a reporting feature. 8. Recovery replaces rollback. 9. Unknown is a valid state. 10. Authority is domain-specific. 11. Assertions are not automatically confirmations. 12. Evidence integrity is distinct from legal authority. 13. AI never possesses independent authoritative decision rights. 14. Deterministic policy remains authoritative over AI recommendation. 15. No timeout may silently create closure. 16. Post-closure events remain addressable. 17. Financial exposure is distinct from transaction status. 18. No subsystem may silently redefine transaction truth. 19. Non-custody is an architectural property and does not by itself determine regulatory classification. 20. SGTX operates within the legal and regulatory permissions applicable to its actual functionality in each jurisdiction.</w:t>
      </w:r>
    </w:p>
    <w:p>
      <w:pPr>
        <w:keepNext/>
        <w:spacing w:before="240" w:after="100"/>
        <w:outlineLvl w:val="1"/>
      </w:pPr>
      <w:r>
        <w:rPr>
          <w:rFonts w:ascii="Arial" w:hAnsi="Arial" w:cs="Arial"/>
          <w:b/>
          <w:i w:val="0"/>
          <w:color w:val="2E528F"/>
          <w:sz w:val="26"/>
        </w:rPr>
        <w:t>19.5 Canonical SGTX Transaction Lifecycle</w:t>
      </w:r>
    </w:p>
    <w:p>
      <w:pPr>
        <w:spacing w:after="80" w:line="293" w:lineRule="auto"/>
        <w:jc w:val="left"/>
      </w:pPr>
      <w:r>
        <w:rPr>
          <w:rFonts w:ascii="Times New Roman" w:hAnsi="Times New Roman" w:cs="Times New Roman"/>
          <w:b w:val="0"/>
          <w:i w:val="0"/>
          <w:sz w:val="22"/>
        </w:rPr>
        <w:t>A purely sequential model — REQUEST → MATCH → CONTRACT → EXECUTE → SETTLE → COMPLETE — is insufficient for cross-border trade. The canonical lifecycle is:</w:t>
      </w:r>
    </w:p>
    <w:p>
      <w:pPr>
        <w:spacing w:after="0" w:before="0" w:line="240" w:lineRule="auto"/>
        <w:ind w:left="57"/>
        <w:jc w:val="left"/>
        <w:shd w:val="clear" w:fill="F2F2F2"/>
      </w:pPr>
      <w:r>
        <w:rPr>
          <w:rFonts w:ascii="Consolas" w:hAnsi="Consolas" w:cs="Consolas"/>
          <w:b w:val="0"/>
          <w:i w:val="0"/>
          <w:sz w:val="15"/>
        </w:rPr>
        <w:t>INTENT → AGREEMENT → OBLIGATION CREATION → PRE-EXECUTION VALIDATION →</w:t>
      </w:r>
    </w:p>
    <w:p>
      <w:pPr>
        <w:spacing w:after="0" w:before="0" w:line="240" w:lineRule="auto"/>
        <w:ind w:left="57"/>
        <w:jc w:val="left"/>
        <w:shd w:val="clear" w:fill="F2F2F2"/>
      </w:pPr>
      <w:r>
        <w:rPr>
          <w:rFonts w:ascii="Consolas" w:hAnsi="Consolas" w:cs="Consolas"/>
          <w:b w:val="0"/>
          <w:i w:val="0"/>
          <w:sz w:val="15"/>
        </w:rPr>
        <w:t>EXECUTION → VERIFICATION → PROVISIONAL SETTLEMENT → FINANCIAL CONFIRMATION →</w:t>
      </w:r>
    </w:p>
    <w:p>
      <w:pPr>
        <w:spacing w:after="0" w:before="0" w:line="240" w:lineRule="auto"/>
        <w:ind w:left="57"/>
        <w:jc w:val="left"/>
        <w:shd w:val="clear" w:fill="F2F2F2"/>
      </w:pPr>
      <w:r>
        <w:rPr>
          <w:rFonts w:ascii="Consolas" w:hAnsi="Consolas" w:cs="Consolas"/>
          <w:b w:val="0"/>
          <w:i w:val="0"/>
          <w:sz w:val="15"/>
        </w:rPr>
        <w:t>RECONCILIATION → FINALIZATION → POST-CLOSURE OBSERVATION → ADMINISTRATIVE CLOSURE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At almost every stage, controlled side paths may occur:</w:t>
      </w:r>
    </w:p>
    <w:p>
      <w:pPr>
        <w:spacing w:after="80" w:line="293" w:lineRule="auto"/>
        <w:ind w:left="283"/>
        <w:jc w:val="left"/>
      </w:pPr>
      <w:r>
        <w:rPr>
          <w:rFonts w:ascii="Times New Roman" w:hAnsi="Times New Roman" w:cs="Times New Roman"/>
          <w:b w:val="0"/>
          <w:i w:val="0"/>
          <w:sz w:val="22"/>
        </w:rPr>
        <w:t>- DISPUTE</w:t>
      </w:r>
    </w:p>
    <w:p>
      <w:pPr>
        <w:spacing w:after="80" w:line="293" w:lineRule="auto"/>
        <w:ind w:left="283"/>
        <w:jc w:val="left"/>
      </w:pPr>
      <w:r>
        <w:rPr>
          <w:rFonts w:ascii="Times New Roman" w:hAnsi="Times New Roman" w:cs="Times New Roman"/>
          <w:b w:val="0"/>
          <w:i w:val="0"/>
          <w:sz w:val="22"/>
        </w:rPr>
        <w:t>- REVERSAL</w:t>
      </w:r>
    </w:p>
    <w:p>
      <w:pPr>
        <w:spacing w:after="80" w:line="293" w:lineRule="auto"/>
        <w:ind w:left="283"/>
        <w:jc w:val="left"/>
      </w:pPr>
      <w:r>
        <w:rPr>
          <w:rFonts w:ascii="Times New Roman" w:hAnsi="Times New Roman" w:cs="Times New Roman"/>
          <w:b w:val="0"/>
          <w:i w:val="0"/>
          <w:sz w:val="22"/>
        </w:rPr>
        <w:t>- CORRECTION</w:t>
      </w:r>
    </w:p>
    <w:p>
      <w:pPr>
        <w:spacing w:after="80" w:line="293" w:lineRule="auto"/>
        <w:ind w:left="283"/>
        <w:jc w:val="left"/>
      </w:pPr>
      <w:r>
        <w:rPr>
          <w:rFonts w:ascii="Times New Roman" w:hAnsi="Times New Roman" w:cs="Times New Roman"/>
          <w:b w:val="0"/>
          <w:i w:val="0"/>
          <w:sz w:val="22"/>
        </w:rPr>
        <w:t>- LEGAL REVIEW</w:t>
      </w:r>
    </w:p>
    <w:p>
      <w:pPr>
        <w:spacing w:after="80" w:line="293" w:lineRule="auto"/>
        <w:ind w:left="283"/>
        <w:jc w:val="left"/>
      </w:pPr>
      <w:r>
        <w:rPr>
          <w:rFonts w:ascii="Times New Roman" w:hAnsi="Times New Roman" w:cs="Times New Roman"/>
          <w:b w:val="0"/>
          <w:i w:val="0"/>
          <w:sz w:val="22"/>
        </w:rPr>
        <w:t>- COMPLIANCE HOLD</w:t>
      </w:r>
    </w:p>
    <w:p>
      <w:pPr>
        <w:spacing w:after="80" w:line="293" w:lineRule="auto"/>
        <w:ind w:left="283"/>
        <w:jc w:val="left"/>
      </w:pPr>
      <w:r>
        <w:rPr>
          <w:rFonts w:ascii="Times New Roman" w:hAnsi="Times New Roman" w:cs="Times New Roman"/>
          <w:b w:val="0"/>
          <w:i w:val="0"/>
          <w:sz w:val="22"/>
        </w:rPr>
        <w:t>- REGULATORY HOLD</w:t>
      </w:r>
    </w:p>
    <w:p>
      <w:pPr>
        <w:spacing w:after="80" w:line="293" w:lineRule="auto"/>
        <w:ind w:left="283"/>
        <w:jc w:val="left"/>
      </w:pPr>
      <w:r>
        <w:rPr>
          <w:rFonts w:ascii="Times New Roman" w:hAnsi="Times New Roman" w:cs="Times New Roman"/>
          <w:b w:val="0"/>
          <w:i w:val="0"/>
          <w:sz w:val="22"/>
        </w:rPr>
        <w:t>- CUSTOMS HOLD</w:t>
      </w:r>
    </w:p>
    <w:p>
      <w:pPr>
        <w:spacing w:after="80" w:line="293" w:lineRule="auto"/>
        <w:ind w:left="283"/>
        <w:jc w:val="left"/>
      </w:pPr>
      <w:r>
        <w:rPr>
          <w:rFonts w:ascii="Times New Roman" w:hAnsi="Times New Roman" w:cs="Times New Roman"/>
          <w:b w:val="0"/>
          <w:i w:val="0"/>
          <w:sz w:val="22"/>
        </w:rPr>
        <w:t>- RECOVERY</w:t>
      </w:r>
    </w:p>
    <w:p>
      <w:pPr>
        <w:spacing w:after="80" w:line="293" w:lineRule="auto"/>
        <w:ind w:left="283"/>
        <w:jc w:val="left"/>
      </w:pPr>
      <w:r>
        <w:rPr>
          <w:rFonts w:ascii="Times New Roman" w:hAnsi="Times New Roman" w:cs="Times New Roman"/>
          <w:b w:val="0"/>
          <w:i w:val="0"/>
          <w:sz w:val="22"/>
        </w:rPr>
        <w:t>- COMPENSATING EXECUTION</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POST-CLOSURE EVENT</w:t>
      </w:r>
    </w:p>
    <w:p>
      <w:pPr>
        <w:spacing w:after="80" w:line="293" w:lineRule="auto"/>
        <w:jc w:val="left"/>
      </w:pPr>
      <w:r>
        <w:rPr>
          <w:rFonts w:ascii="Times New Roman" w:hAnsi="Times New Roman" w:cs="Times New Roman"/>
          <w:b w:val="0"/>
          <w:i w:val="0"/>
          <w:sz w:val="22"/>
        </w:rPr>
        <w:t>Therefore: settlement is not necessarily the end of the transaction lifecycle.</w:t>
      </w:r>
    </w:p>
    <w:p>
      <w:pPr>
        <w:keepNext/>
        <w:spacing w:before="240" w:after="100"/>
        <w:outlineLvl w:val="1"/>
      </w:pPr>
      <w:r>
        <w:rPr>
          <w:rFonts w:ascii="Arial" w:hAnsi="Arial" w:cs="Arial"/>
          <w:b/>
          <w:i w:val="0"/>
          <w:color w:val="2E528F"/>
          <w:sz w:val="26"/>
        </w:rPr>
        <w:t>19.6 Multi-Clock Transaction Reality</w:t>
      </w:r>
    </w:p>
    <w:p>
      <w:pPr>
        <w:spacing w:after="80" w:line="293" w:lineRule="auto"/>
        <w:jc w:val="left"/>
      </w:pPr>
      <w:r>
        <w:rPr>
          <w:rFonts w:ascii="Times New Roman" w:hAnsi="Times New Roman" w:cs="Times New Roman"/>
          <w:b w:val="0"/>
          <w:i w:val="0"/>
          <w:sz w:val="22"/>
        </w:rPr>
        <w:t>SGTX must maintain multiple independently meaningful transaction clocks.</w:t>
      </w:r>
    </w:p>
    <w:p>
      <w:pPr>
        <w:keepNext/>
        <w:spacing w:before="180" w:after="80"/>
        <w:outlineLvl w:val="2"/>
      </w:pPr>
      <w:r>
        <w:rPr>
          <w:rFonts w:ascii="Arial" w:hAnsi="Arial" w:cs="Arial"/>
          <w:b/>
          <w:i w:val="0"/>
          <w:color w:val="333333"/>
          <w:sz w:val="23"/>
        </w:rPr>
        <w:t>19.6.1 Execution Clock</w:t>
      </w:r>
    </w:p>
    <w:p>
      <w:pPr>
        <w:spacing w:after="80" w:line="293" w:lineRule="auto"/>
        <w:jc w:val="left"/>
      </w:pPr>
      <w:r>
        <w:rPr>
          <w:rFonts w:ascii="Times New Roman" w:hAnsi="Times New Roman" w:cs="Times New Roman"/>
          <w:b w:val="0"/>
          <w:i w:val="0"/>
          <w:sz w:val="22"/>
        </w:rPr>
        <w:t>Represents: what SGTX has verified and recorded through its governed execution infrastructure. Examples:</w:t>
      </w:r>
    </w:p>
    <w:p>
      <w:pPr>
        <w:spacing w:after="80" w:line="293" w:lineRule="auto"/>
        <w:ind w:left="283"/>
        <w:jc w:val="left"/>
      </w:pPr>
      <w:r>
        <w:rPr>
          <w:rFonts w:ascii="Times New Roman" w:hAnsi="Times New Roman" w:cs="Times New Roman"/>
          <w:b w:val="0"/>
          <w:i w:val="0"/>
          <w:sz w:val="22"/>
        </w:rPr>
        <w:t>- obligation created;</w:t>
      </w:r>
    </w:p>
    <w:p>
      <w:pPr>
        <w:spacing w:after="80" w:line="293" w:lineRule="auto"/>
        <w:ind w:left="283"/>
        <w:jc w:val="left"/>
      </w:pPr>
      <w:r>
        <w:rPr>
          <w:rFonts w:ascii="Times New Roman" w:hAnsi="Times New Roman" w:cs="Times New Roman"/>
          <w:b w:val="0"/>
          <w:i w:val="0"/>
          <w:sz w:val="22"/>
        </w:rPr>
        <w:t>- document verified;</w:t>
      </w:r>
    </w:p>
    <w:p>
      <w:pPr>
        <w:spacing w:after="80" w:line="293" w:lineRule="auto"/>
        <w:ind w:left="283"/>
        <w:jc w:val="left"/>
      </w:pPr>
      <w:r>
        <w:rPr>
          <w:rFonts w:ascii="Times New Roman" w:hAnsi="Times New Roman" w:cs="Times New Roman"/>
          <w:b w:val="0"/>
          <w:i w:val="0"/>
          <w:sz w:val="22"/>
        </w:rPr>
        <w:t>- milestone verified;</w:t>
      </w:r>
    </w:p>
    <w:p>
      <w:pPr>
        <w:spacing w:after="80" w:line="293" w:lineRule="auto"/>
        <w:ind w:left="283"/>
        <w:jc w:val="left"/>
      </w:pPr>
      <w:r>
        <w:rPr>
          <w:rFonts w:ascii="Times New Roman" w:hAnsi="Times New Roman" w:cs="Times New Roman"/>
          <w:b w:val="0"/>
          <w:i w:val="0"/>
          <w:sz w:val="22"/>
        </w:rPr>
        <w:t>- settlement instruction accepted;</w:t>
      </w:r>
    </w:p>
    <w:p>
      <w:pPr>
        <w:spacing w:after="80" w:line="293" w:lineRule="auto"/>
        <w:ind w:left="283"/>
        <w:jc w:val="left"/>
      </w:pPr>
      <w:r>
        <w:rPr>
          <w:rFonts w:ascii="Times New Roman" w:hAnsi="Times New Roman" w:cs="Times New Roman"/>
          <w:b w:val="0"/>
          <w:i w:val="0"/>
          <w:sz w:val="22"/>
        </w:rPr>
        <w:t>- execution event recorded.</w:t>
      </w:r>
    </w:p>
    <w:p>
      <w:pPr>
        <w:keepNext/>
        <w:spacing w:before="180" w:after="80"/>
        <w:outlineLvl w:val="2"/>
      </w:pPr>
      <w:r>
        <w:rPr>
          <w:rFonts w:ascii="Arial" w:hAnsi="Arial" w:cs="Arial"/>
          <w:b/>
          <w:i w:val="0"/>
          <w:color w:val="333333"/>
          <w:sz w:val="23"/>
        </w:rPr>
        <w:t>19.6.2 Financial / Settlement Clock</w:t>
      </w:r>
    </w:p>
    <w:p>
      <w:pPr>
        <w:spacing w:after="80" w:line="293" w:lineRule="auto"/>
        <w:jc w:val="left"/>
      </w:pPr>
      <w:r>
        <w:rPr>
          <w:rFonts w:ascii="Times New Roman" w:hAnsi="Times New Roman" w:cs="Times New Roman"/>
          <w:b w:val="0"/>
          <w:i w:val="0"/>
          <w:sz w:val="22"/>
        </w:rPr>
        <w:t>Represents: what the relevant bank, payment institution or payment rail has confirmed regarding the financial processing and settlement of funds. Examples:</w:t>
      </w:r>
    </w:p>
    <w:p>
      <w:pPr>
        <w:spacing w:after="80" w:line="293" w:lineRule="auto"/>
        <w:ind w:left="283"/>
        <w:jc w:val="left"/>
      </w:pPr>
      <w:r>
        <w:rPr>
          <w:rFonts w:ascii="Times New Roman" w:hAnsi="Times New Roman" w:cs="Times New Roman"/>
          <w:b w:val="0"/>
          <w:i w:val="0"/>
          <w:sz w:val="22"/>
        </w:rPr>
        <w:t>- initiated;</w:t>
      </w:r>
    </w:p>
    <w:p>
      <w:pPr>
        <w:spacing w:after="80" w:line="293" w:lineRule="auto"/>
        <w:ind w:left="283"/>
        <w:jc w:val="left"/>
      </w:pPr>
      <w:r>
        <w:rPr>
          <w:rFonts w:ascii="Times New Roman" w:hAnsi="Times New Roman" w:cs="Times New Roman"/>
          <w:b w:val="0"/>
          <w:i w:val="0"/>
          <w:sz w:val="22"/>
        </w:rPr>
        <w:t>- authorized;</w:t>
      </w:r>
    </w:p>
    <w:p>
      <w:pPr>
        <w:spacing w:after="80" w:line="293" w:lineRule="auto"/>
        <w:ind w:left="283"/>
        <w:jc w:val="left"/>
      </w:pPr>
      <w:r>
        <w:rPr>
          <w:rFonts w:ascii="Times New Roman" w:hAnsi="Times New Roman" w:cs="Times New Roman"/>
          <w:b w:val="0"/>
          <w:i w:val="0"/>
          <w:sz w:val="22"/>
        </w:rPr>
        <w:t>- submitted;</w:t>
      </w:r>
    </w:p>
    <w:p>
      <w:pPr>
        <w:spacing w:after="80" w:line="293" w:lineRule="auto"/>
        <w:ind w:left="283"/>
        <w:jc w:val="left"/>
      </w:pPr>
      <w:r>
        <w:rPr>
          <w:rFonts w:ascii="Times New Roman" w:hAnsi="Times New Roman" w:cs="Times New Roman"/>
          <w:b w:val="0"/>
          <w:i w:val="0"/>
          <w:sz w:val="22"/>
        </w:rPr>
        <w:t>- processing;</w:t>
      </w:r>
    </w:p>
    <w:p>
      <w:pPr>
        <w:spacing w:after="80" w:line="293" w:lineRule="auto"/>
        <w:ind w:left="283"/>
        <w:jc w:val="left"/>
      </w:pPr>
      <w:r>
        <w:rPr>
          <w:rFonts w:ascii="Times New Roman" w:hAnsi="Times New Roman" w:cs="Times New Roman"/>
          <w:b w:val="0"/>
          <w:i w:val="0"/>
          <w:sz w:val="22"/>
        </w:rPr>
        <w:t>- accepted;</w:t>
      </w:r>
    </w:p>
    <w:p>
      <w:pPr>
        <w:spacing w:after="80" w:line="293" w:lineRule="auto"/>
        <w:ind w:left="283"/>
        <w:jc w:val="left"/>
      </w:pPr>
      <w:r>
        <w:rPr>
          <w:rFonts w:ascii="Times New Roman" w:hAnsi="Times New Roman" w:cs="Times New Roman"/>
          <w:b w:val="0"/>
          <w:i w:val="0"/>
          <w:sz w:val="22"/>
        </w:rPr>
        <w:t>- settled;</w:t>
      </w:r>
    </w:p>
    <w:p>
      <w:pPr>
        <w:spacing w:after="80" w:line="293" w:lineRule="auto"/>
        <w:ind w:left="283"/>
        <w:jc w:val="left"/>
      </w:pPr>
      <w:r>
        <w:rPr>
          <w:rFonts w:ascii="Times New Roman" w:hAnsi="Times New Roman" w:cs="Times New Roman"/>
          <w:b w:val="0"/>
          <w:i w:val="0"/>
          <w:sz w:val="22"/>
        </w:rPr>
        <w:t>- partially settled;</w:t>
      </w:r>
    </w:p>
    <w:p>
      <w:pPr>
        <w:spacing w:after="80" w:line="293" w:lineRule="auto"/>
        <w:ind w:left="283"/>
        <w:jc w:val="left"/>
      </w:pPr>
      <w:r>
        <w:rPr>
          <w:rFonts w:ascii="Times New Roman" w:hAnsi="Times New Roman" w:cs="Times New Roman"/>
          <w:b w:val="0"/>
          <w:i w:val="0"/>
          <w:sz w:val="22"/>
        </w:rPr>
        <w:t>- returned;</w:t>
      </w:r>
    </w:p>
    <w:p>
      <w:pPr>
        <w:spacing w:after="80" w:line="293" w:lineRule="auto"/>
        <w:ind w:left="283"/>
        <w:jc w:val="left"/>
      </w:pPr>
      <w:r>
        <w:rPr>
          <w:rFonts w:ascii="Times New Roman" w:hAnsi="Times New Roman" w:cs="Times New Roman"/>
          <w:b w:val="0"/>
          <w:i w:val="0"/>
          <w:sz w:val="22"/>
        </w:rPr>
        <w:t>- rejected;</w:t>
      </w:r>
    </w:p>
    <w:p>
      <w:pPr>
        <w:spacing w:after="80" w:line="293" w:lineRule="auto"/>
        <w:ind w:left="283"/>
        <w:jc w:val="left"/>
      </w:pPr>
      <w:r>
        <w:rPr>
          <w:rFonts w:ascii="Times New Roman" w:hAnsi="Times New Roman" w:cs="Times New Roman"/>
          <w:b w:val="0"/>
          <w:i w:val="0"/>
          <w:sz w:val="22"/>
        </w:rPr>
        <w:t>- recalled;</w:t>
      </w:r>
    </w:p>
    <w:p>
      <w:pPr>
        <w:spacing w:after="80" w:line="293" w:lineRule="auto"/>
        <w:ind w:left="283"/>
        <w:jc w:val="left"/>
      </w:pPr>
      <w:r>
        <w:rPr>
          <w:rFonts w:ascii="Times New Roman" w:hAnsi="Times New Roman" w:cs="Times New Roman"/>
          <w:b w:val="0"/>
          <w:i w:val="0"/>
          <w:sz w:val="22"/>
        </w:rPr>
        <w:t>- reversed;</w:t>
      </w:r>
    </w:p>
    <w:p>
      <w:pPr>
        <w:spacing w:after="80" w:line="293" w:lineRule="auto"/>
        <w:ind w:left="283"/>
        <w:jc w:val="left"/>
      </w:pPr>
      <w:r>
        <w:rPr>
          <w:rFonts w:ascii="Times New Roman" w:hAnsi="Times New Roman" w:cs="Times New Roman"/>
          <w:b w:val="0"/>
          <w:i w:val="0"/>
          <w:sz w:val="22"/>
        </w:rPr>
        <w:t>- unknown.</w:t>
      </w:r>
    </w:p>
    <w:p>
      <w:pPr>
        <w:keepNext/>
        <w:spacing w:before="180" w:after="80"/>
        <w:outlineLvl w:val="2"/>
      </w:pPr>
      <w:r>
        <w:rPr>
          <w:rFonts w:ascii="Arial" w:hAnsi="Arial" w:cs="Arial"/>
          <w:b/>
          <w:i w:val="0"/>
          <w:color w:val="333333"/>
          <w:sz w:val="23"/>
        </w:rPr>
        <w:t>19.6.3 Legal / Contractual Authority Clock</w:t>
      </w:r>
    </w:p>
    <w:p>
      <w:pPr>
        <w:spacing w:after="80" w:line="293" w:lineRule="auto"/>
        <w:jc w:val="left"/>
      </w:pPr>
      <w:r>
        <w:rPr>
          <w:rFonts w:ascii="Times New Roman" w:hAnsi="Times New Roman" w:cs="Times New Roman"/>
          <w:b w:val="0"/>
          <w:i w:val="0"/>
          <w:sz w:val="22"/>
        </w:rPr>
        <w:t>Represents: what the applicable contract, court, regulator or legally authoritative framework recognizes as the legal or contractual status of the transaction. Examples:</w:t>
      </w:r>
    </w:p>
    <w:p>
      <w:pPr>
        <w:spacing w:after="80" w:line="293" w:lineRule="auto"/>
        <w:ind w:left="283"/>
        <w:jc w:val="left"/>
      </w:pPr>
      <w:r>
        <w:rPr>
          <w:rFonts w:ascii="Times New Roman" w:hAnsi="Times New Roman" w:cs="Times New Roman"/>
          <w:b w:val="0"/>
          <w:i w:val="0"/>
          <w:sz w:val="22"/>
        </w:rPr>
        <w:t>- effective;</w:t>
      </w:r>
    </w:p>
    <w:p>
      <w:pPr>
        <w:spacing w:after="80" w:line="293" w:lineRule="auto"/>
        <w:ind w:left="283"/>
        <w:jc w:val="left"/>
      </w:pPr>
      <w:r>
        <w:rPr>
          <w:rFonts w:ascii="Times New Roman" w:hAnsi="Times New Roman" w:cs="Times New Roman"/>
          <w:b w:val="0"/>
          <w:i w:val="0"/>
          <w:sz w:val="22"/>
        </w:rPr>
        <w:t>- suspended;</w:t>
      </w:r>
    </w:p>
    <w:p>
      <w:pPr>
        <w:spacing w:after="80" w:line="293" w:lineRule="auto"/>
        <w:ind w:left="283"/>
        <w:jc w:val="left"/>
      </w:pPr>
      <w:r>
        <w:rPr>
          <w:rFonts w:ascii="Times New Roman" w:hAnsi="Times New Roman" w:cs="Times New Roman"/>
          <w:b w:val="0"/>
          <w:i w:val="0"/>
          <w:sz w:val="22"/>
        </w:rPr>
        <w:t>- disputed;</w:t>
      </w:r>
    </w:p>
    <w:p>
      <w:pPr>
        <w:spacing w:after="80" w:line="293" w:lineRule="auto"/>
        <w:ind w:left="283"/>
        <w:jc w:val="left"/>
      </w:pPr>
      <w:r>
        <w:rPr>
          <w:rFonts w:ascii="Times New Roman" w:hAnsi="Times New Roman" w:cs="Times New Roman"/>
          <w:b w:val="0"/>
          <w:i w:val="0"/>
          <w:sz w:val="22"/>
        </w:rPr>
        <w:t>- legally reviewed;</w:t>
      </w:r>
    </w:p>
    <w:p>
      <w:pPr>
        <w:spacing w:after="80" w:line="293" w:lineRule="auto"/>
        <w:ind w:left="283"/>
        <w:jc w:val="left"/>
      </w:pPr>
      <w:r>
        <w:rPr>
          <w:rFonts w:ascii="Times New Roman" w:hAnsi="Times New Roman" w:cs="Times New Roman"/>
          <w:b w:val="0"/>
          <w:i w:val="0"/>
          <w:sz w:val="22"/>
        </w:rPr>
        <w:t>- legally reversed;</w:t>
      </w:r>
    </w:p>
    <w:p>
      <w:pPr>
        <w:spacing w:after="80" w:line="293" w:lineRule="auto"/>
        <w:ind w:left="283"/>
        <w:jc w:val="left"/>
      </w:pPr>
      <w:r>
        <w:rPr>
          <w:rFonts w:ascii="Times New Roman" w:hAnsi="Times New Roman" w:cs="Times New Roman"/>
          <w:b w:val="0"/>
          <w:i w:val="0"/>
          <w:sz w:val="22"/>
        </w:rPr>
        <w:t>- termination effective;</w:t>
      </w:r>
    </w:p>
    <w:p>
      <w:pPr>
        <w:spacing w:after="80" w:line="293" w:lineRule="auto"/>
        <w:ind w:left="283"/>
        <w:jc w:val="left"/>
      </w:pPr>
      <w:r>
        <w:rPr>
          <w:rFonts w:ascii="Times New Roman" w:hAnsi="Times New Roman" w:cs="Times New Roman"/>
          <w:b w:val="0"/>
          <w:i w:val="0"/>
          <w:sz w:val="22"/>
        </w:rPr>
        <w:t>- authority order received.</w:t>
      </w:r>
    </w:p>
    <w:p>
      <w:pPr>
        <w:keepNext/>
        <w:spacing w:before="180" w:after="80"/>
        <w:outlineLvl w:val="2"/>
      </w:pPr>
      <w:r>
        <w:rPr>
          <w:rFonts w:ascii="Arial" w:hAnsi="Arial" w:cs="Arial"/>
          <w:b/>
          <w:i w:val="0"/>
          <w:color w:val="333333"/>
          <w:sz w:val="23"/>
        </w:rPr>
        <w:t>19.6.4 Physical / Operational Clock</w:t>
      </w:r>
    </w:p>
    <w:p>
      <w:pPr>
        <w:spacing w:after="80" w:line="293" w:lineRule="auto"/>
        <w:jc w:val="left"/>
      </w:pPr>
      <w:r>
        <w:rPr>
          <w:rFonts w:ascii="Times New Roman" w:hAnsi="Times New Roman" w:cs="Times New Roman"/>
          <w:b w:val="0"/>
          <w:i w:val="0"/>
          <w:sz w:val="22"/>
        </w:rPr>
        <w:t>Represents: what is occurring in the physical and operational execution environment. Examples:</w:t>
      </w:r>
    </w:p>
    <w:p>
      <w:pPr>
        <w:spacing w:after="80" w:line="293" w:lineRule="auto"/>
        <w:ind w:left="283"/>
        <w:jc w:val="left"/>
      </w:pPr>
      <w:r>
        <w:rPr>
          <w:rFonts w:ascii="Times New Roman" w:hAnsi="Times New Roman" w:cs="Times New Roman"/>
          <w:b w:val="0"/>
          <w:i w:val="0"/>
          <w:sz w:val="22"/>
        </w:rPr>
        <w:t>- production;</w:t>
      </w:r>
    </w:p>
    <w:p>
      <w:pPr>
        <w:spacing w:after="80" w:line="293" w:lineRule="auto"/>
        <w:ind w:left="283"/>
        <w:jc w:val="left"/>
      </w:pPr>
      <w:r>
        <w:rPr>
          <w:rFonts w:ascii="Times New Roman" w:hAnsi="Times New Roman" w:cs="Times New Roman"/>
          <w:b w:val="0"/>
          <w:i w:val="0"/>
          <w:sz w:val="22"/>
        </w:rPr>
        <w:t>- loading;</w:t>
      </w:r>
    </w:p>
    <w:p>
      <w:pPr>
        <w:spacing w:after="80" w:line="293" w:lineRule="auto"/>
        <w:ind w:left="283"/>
        <w:jc w:val="left"/>
      </w:pPr>
      <w:r>
        <w:rPr>
          <w:rFonts w:ascii="Times New Roman" w:hAnsi="Times New Roman" w:cs="Times New Roman"/>
          <w:b w:val="0"/>
          <w:i w:val="0"/>
          <w:sz w:val="22"/>
        </w:rPr>
        <w:t>- inspection;</w:t>
      </w:r>
    </w:p>
    <w:p>
      <w:pPr>
        <w:spacing w:after="80" w:line="293" w:lineRule="auto"/>
        <w:ind w:left="283"/>
        <w:jc w:val="left"/>
      </w:pPr>
      <w:r>
        <w:rPr>
          <w:rFonts w:ascii="Times New Roman" w:hAnsi="Times New Roman" w:cs="Times New Roman"/>
          <w:b w:val="0"/>
          <w:i w:val="0"/>
          <w:sz w:val="22"/>
        </w:rPr>
        <w:t>- warehouse receipt;</w:t>
      </w:r>
    </w:p>
    <w:p>
      <w:pPr>
        <w:spacing w:after="80" w:line="293" w:lineRule="auto"/>
        <w:ind w:left="283"/>
        <w:jc w:val="left"/>
      </w:pPr>
      <w:r>
        <w:rPr>
          <w:rFonts w:ascii="Times New Roman" w:hAnsi="Times New Roman" w:cs="Times New Roman"/>
          <w:b w:val="0"/>
          <w:i w:val="0"/>
          <w:sz w:val="22"/>
        </w:rPr>
        <w:t>- in transit;</w:t>
      </w:r>
    </w:p>
    <w:p>
      <w:pPr>
        <w:spacing w:after="80" w:line="293" w:lineRule="auto"/>
        <w:ind w:left="283"/>
        <w:jc w:val="left"/>
      </w:pPr>
      <w:r>
        <w:rPr>
          <w:rFonts w:ascii="Times New Roman" w:hAnsi="Times New Roman" w:cs="Times New Roman"/>
          <w:b w:val="0"/>
          <w:i w:val="0"/>
          <w:sz w:val="22"/>
        </w:rPr>
        <w:t>- customs inspection;</w:t>
      </w:r>
    </w:p>
    <w:p>
      <w:pPr>
        <w:spacing w:after="80" w:line="293" w:lineRule="auto"/>
        <w:ind w:left="283"/>
        <w:jc w:val="left"/>
      </w:pPr>
      <w:r>
        <w:rPr>
          <w:rFonts w:ascii="Times New Roman" w:hAnsi="Times New Roman" w:cs="Times New Roman"/>
          <w:b w:val="0"/>
          <w:i w:val="0"/>
          <w:sz w:val="22"/>
        </w:rPr>
        <w:t>- customs clearance;</w:t>
      </w:r>
    </w:p>
    <w:p>
      <w:pPr>
        <w:spacing w:after="80" w:line="293" w:lineRule="auto"/>
        <w:ind w:left="283"/>
        <w:jc w:val="left"/>
      </w:pPr>
      <w:r>
        <w:rPr>
          <w:rFonts w:ascii="Times New Roman" w:hAnsi="Times New Roman" w:cs="Times New Roman"/>
          <w:b w:val="0"/>
          <w:i w:val="0"/>
          <w:sz w:val="22"/>
        </w:rPr>
        <w:t>- port release;</w:t>
      </w:r>
    </w:p>
    <w:p>
      <w:pPr>
        <w:spacing w:after="80" w:line="293" w:lineRule="auto"/>
        <w:ind w:left="283"/>
        <w:jc w:val="left"/>
      </w:pPr>
      <w:r>
        <w:rPr>
          <w:rFonts w:ascii="Times New Roman" w:hAnsi="Times New Roman" w:cs="Times New Roman"/>
          <w:b w:val="0"/>
          <w:i w:val="0"/>
          <w:sz w:val="22"/>
        </w:rPr>
        <w:t>- delivery;</w:t>
      </w:r>
    </w:p>
    <w:p>
      <w:pPr>
        <w:spacing w:after="80" w:line="293" w:lineRule="auto"/>
        <w:ind w:left="283"/>
        <w:jc w:val="left"/>
      </w:pPr>
      <w:r>
        <w:rPr>
          <w:rFonts w:ascii="Times New Roman" w:hAnsi="Times New Roman" w:cs="Times New Roman"/>
          <w:b w:val="0"/>
          <w:i w:val="0"/>
          <w:sz w:val="22"/>
        </w:rPr>
        <w:t>- acceptance.</w:t>
      </w:r>
    </w:p>
    <w:p>
      <w:pPr>
        <w:keepNext/>
        <w:spacing w:before="180" w:after="80"/>
        <w:outlineLvl w:val="2"/>
      </w:pPr>
      <w:r>
        <w:rPr>
          <w:rFonts w:ascii="Arial" w:hAnsi="Arial" w:cs="Arial"/>
          <w:b/>
          <w:i w:val="0"/>
          <w:color w:val="333333"/>
          <w:sz w:val="23"/>
        </w:rPr>
        <w:t>19.6.5 Extended Domain Clocks</w:t>
      </w:r>
    </w:p>
    <w:p>
      <w:pPr>
        <w:spacing w:after="80" w:line="293" w:lineRule="auto"/>
        <w:jc w:val="left"/>
      </w:pPr>
      <w:r>
        <w:rPr>
          <w:rFonts w:ascii="Times New Roman" w:hAnsi="Times New Roman" w:cs="Times New Roman"/>
          <w:b w:val="0"/>
          <w:i w:val="0"/>
          <w:sz w:val="22"/>
        </w:rPr>
        <w:t>Where materially required, SGTX may maintain additional state dimensions such as:</w:t>
      </w:r>
    </w:p>
    <w:p>
      <w:pPr>
        <w:spacing w:after="80" w:line="293" w:lineRule="auto"/>
        <w:ind w:left="283"/>
        <w:jc w:val="left"/>
      </w:pPr>
      <w:r>
        <w:rPr>
          <w:rFonts w:ascii="Times New Roman" w:hAnsi="Times New Roman" w:cs="Times New Roman"/>
          <w:b w:val="0"/>
          <w:i w:val="0"/>
          <w:sz w:val="22"/>
        </w:rPr>
        <w:t>- Documentary Clock;</w:t>
      </w:r>
    </w:p>
    <w:p>
      <w:pPr>
        <w:spacing w:after="80" w:line="293" w:lineRule="auto"/>
        <w:ind w:left="283"/>
        <w:jc w:val="left"/>
      </w:pPr>
      <w:r>
        <w:rPr>
          <w:rFonts w:ascii="Times New Roman" w:hAnsi="Times New Roman" w:cs="Times New Roman"/>
          <w:b w:val="0"/>
          <w:i w:val="0"/>
          <w:sz w:val="22"/>
        </w:rPr>
        <w:t>- Compliance Clock;</w:t>
      </w:r>
    </w:p>
    <w:p>
      <w:pPr>
        <w:spacing w:after="80" w:line="293" w:lineRule="auto"/>
        <w:ind w:left="283"/>
        <w:jc w:val="left"/>
      </w:pPr>
      <w:r>
        <w:rPr>
          <w:rFonts w:ascii="Times New Roman" w:hAnsi="Times New Roman" w:cs="Times New Roman"/>
          <w:b w:val="0"/>
          <w:i w:val="0"/>
          <w:sz w:val="22"/>
        </w:rPr>
        <w:t>- Regulatory Clock;</w:t>
      </w:r>
    </w:p>
    <w:p>
      <w:pPr>
        <w:spacing w:after="80" w:line="293" w:lineRule="auto"/>
        <w:ind w:left="283"/>
        <w:jc w:val="left"/>
      </w:pPr>
      <w:r>
        <w:rPr>
          <w:rFonts w:ascii="Times New Roman" w:hAnsi="Times New Roman" w:cs="Times New Roman"/>
          <w:b w:val="0"/>
          <w:i w:val="0"/>
          <w:sz w:val="22"/>
        </w:rPr>
        <w:t>- Counterparty Clock;</w:t>
      </w:r>
    </w:p>
    <w:p>
      <w:pPr>
        <w:spacing w:after="80" w:line="293" w:lineRule="auto"/>
        <w:ind w:left="283"/>
        <w:jc w:val="left"/>
      </w:pPr>
      <w:r>
        <w:rPr>
          <w:rFonts w:ascii="Times New Roman" w:hAnsi="Times New Roman" w:cs="Times New Roman"/>
          <w:b w:val="0"/>
          <w:i w:val="0"/>
          <w:sz w:val="22"/>
        </w:rPr>
        <w:t>- Reconciliation Clock;</w:t>
      </w:r>
    </w:p>
    <w:p>
      <w:pPr>
        <w:spacing w:after="80" w:line="293" w:lineRule="auto"/>
        <w:ind w:left="283"/>
        <w:jc w:val="left"/>
      </w:pPr>
      <w:r>
        <w:rPr>
          <w:rFonts w:ascii="Times New Roman" w:hAnsi="Times New Roman" w:cs="Times New Roman"/>
          <w:b w:val="0"/>
          <w:i w:val="0"/>
          <w:sz w:val="22"/>
        </w:rPr>
        <w:t>- Exposure Clock.</w:t>
      </w:r>
    </w:p>
    <w:p>
      <w:pPr>
        <w:spacing w:after="80" w:line="293" w:lineRule="auto"/>
        <w:jc w:val="left"/>
      </w:pPr>
      <w:r>
        <w:rPr>
          <w:rFonts w:ascii="Times New Roman" w:hAnsi="Times New Roman" w:cs="Times New Roman"/>
          <w:b w:val="0"/>
          <w:i w:val="0"/>
          <w:sz w:val="22"/>
        </w:rPr>
        <w:t>The architecture therefore operates as a multi-clock, multidimensional transaction reality.</w:t>
      </w:r>
    </w:p>
    <w:p>
      <w:pPr>
        <w:keepNext/>
        <w:spacing w:before="180" w:after="80"/>
        <w:outlineLvl w:val="2"/>
      </w:pPr>
      <w:r>
        <w:rPr>
          <w:rFonts w:ascii="Arial" w:hAnsi="Arial" w:cs="Arial"/>
          <w:b/>
          <w:i w:val="0"/>
          <w:color w:val="333333"/>
          <w:sz w:val="23"/>
        </w:rPr>
        <w:t>19.6.6 Valid Divergent Clock States</w:t>
      </w:r>
    </w:p>
    <w:p>
      <w:pPr>
        <w:spacing w:after="80" w:line="293" w:lineRule="auto"/>
        <w:jc w:val="left"/>
      </w:pPr>
      <w:r>
        <w:rPr>
          <w:rFonts w:ascii="Times New Roman" w:hAnsi="Times New Roman" w:cs="Times New Roman"/>
          <w:b w:val="0"/>
          <w:i w:val="0"/>
          <w:sz w:val="22"/>
        </w:rPr>
        <w:t>The four primary clocks (Sections 19.6.1–19.6.4) and the extended domain clocks (Section 19.6.5) advance independently: no clock is made subordinate to another for UI convenience, and each domain advances on its own evidence and policy.</w:t>
      </w:r>
    </w:p>
    <w:p>
      <w:pPr>
        <w:spacing w:after="80" w:line="293" w:lineRule="auto"/>
        <w:jc w:val="left"/>
      </w:pPr>
      <w:r>
        <w:rPr>
          <w:rFonts w:ascii="Times New Roman" w:hAnsi="Times New Roman" w:cs="Times New Roman"/>
          <w:b w:val="0"/>
          <w:i w:val="0"/>
          <w:sz w:val="22"/>
        </w:rPr>
        <w:t>Divergent clock states are valid and must remain representable. The following is a valid production state:</w:t>
      </w:r>
    </w:p>
    <w:p>
      <w:pPr>
        <w:spacing w:after="0" w:before="0" w:line="240" w:lineRule="auto"/>
        <w:ind w:left="57"/>
        <w:jc w:val="left"/>
        <w:shd w:val="clear" w:fill="F2F2F2"/>
      </w:pPr>
      <w:r>
        <w:rPr>
          <w:rFonts w:ascii="Consolas" w:hAnsi="Consolas" w:cs="Consolas"/>
          <w:b w:val="0"/>
          <w:i w:val="0"/>
          <w:sz w:val="15"/>
        </w:rPr>
        <w:t>Execution       = SETTLED</w:t>
      </w:r>
    </w:p>
    <w:p>
      <w:pPr>
        <w:spacing w:after="0" w:before="0" w:line="240" w:lineRule="auto"/>
        <w:ind w:left="57"/>
        <w:jc w:val="left"/>
        <w:shd w:val="clear" w:fill="F2F2F2"/>
      </w:pPr>
      <w:r>
        <w:rPr>
          <w:rFonts w:ascii="Consolas" w:hAnsi="Consolas" w:cs="Consolas"/>
          <w:b w:val="0"/>
          <w:i w:val="0"/>
          <w:sz w:val="15"/>
        </w:rPr>
        <w:t>Financial       = RETURNED</w:t>
      </w:r>
    </w:p>
    <w:p>
      <w:pPr>
        <w:spacing w:after="0" w:before="0" w:line="240" w:lineRule="auto"/>
        <w:ind w:left="57"/>
        <w:jc w:val="left"/>
        <w:shd w:val="clear" w:fill="F2F2F2"/>
      </w:pPr>
      <w:r>
        <w:rPr>
          <w:rFonts w:ascii="Consolas" w:hAnsi="Consolas" w:cs="Consolas"/>
          <w:b w:val="0"/>
          <w:i w:val="0"/>
          <w:sz w:val="15"/>
        </w:rPr>
        <w:t>Legal           = DISPUTED</w:t>
      </w:r>
    </w:p>
    <w:p>
      <w:pPr>
        <w:spacing w:after="0" w:before="0" w:line="240" w:lineRule="auto"/>
        <w:ind w:left="57"/>
        <w:jc w:val="left"/>
        <w:shd w:val="clear" w:fill="F2F2F2"/>
      </w:pPr>
      <w:r>
        <w:rPr>
          <w:rFonts w:ascii="Consolas" w:hAnsi="Consolas" w:cs="Consolas"/>
          <w:b w:val="0"/>
          <w:i w:val="0"/>
          <w:sz w:val="15"/>
        </w:rPr>
        <w:t>Physical        = DELIVERED</w:t>
      </w:r>
    </w:p>
    <w:p>
      <w:pPr>
        <w:spacing w:after="0" w:before="0" w:line="240" w:lineRule="auto"/>
        <w:ind w:left="57"/>
        <w:jc w:val="left"/>
        <w:shd w:val="clear" w:fill="F2F2F2"/>
      </w:pPr>
      <w:r>
        <w:rPr>
          <w:rFonts w:ascii="Consolas" w:hAnsi="Consolas" w:cs="Consolas"/>
          <w:b w:val="0"/>
          <w:i w:val="0"/>
          <w:sz w:val="15"/>
        </w:rPr>
        <w:t>Reconciliation  = OPEN</w:t>
      </w:r>
    </w:p>
    <w:p>
      <w:pPr>
        <w:spacing w:after="0" w:before="0" w:line="240" w:lineRule="auto"/>
        <w:ind w:left="57"/>
        <w:jc w:val="left"/>
        <w:shd w:val="clear" w:fill="F2F2F2"/>
      </w:pPr>
      <w:r>
        <w:rPr>
          <w:rFonts w:ascii="Consolas" w:hAnsi="Consolas" w:cs="Consolas"/>
          <w:b w:val="0"/>
          <w:i w:val="0"/>
          <w:sz w:val="15"/>
        </w:rPr>
        <w:t>Exposure        = REOPENED</w:t>
      </w:r>
    </w:p>
    <w:p>
      <w:pPr>
        <w:spacing w:after="0" w:before="0" w:line="240" w:lineRule="auto"/>
        <w:ind w:left="57"/>
        <w:jc w:val="left"/>
        <w:shd w:val="clear" w:fill="F2F2F2"/>
      </w:pPr>
      <w:r>
        <w:rPr>
          <w:rFonts w:ascii="Consolas" w:hAnsi="Consolas" w:cs="Consolas"/>
          <w:b w:val="0"/>
          <w:i w:val="0"/>
          <w:sz w:val="15"/>
        </w:rPr>
        <w:t>Closure         = SUSPENDED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state is not an error condition: the payment was settled and then returned, the delivered cargo is under legal dispute, reconciliation is open, exposure has reopened, and closure is suspended pending resolution. The UI presents such states through the domain lenses of Section 16.4.6 rather than forcing a single misleading status. Clock states are derived from events, external facts, and policy (Section 19.26), never from service-local convenience.</w:t>
      </w:r>
    </w:p>
    <w:p>
      <w:pPr>
        <w:keepNext/>
        <w:spacing w:before="240" w:after="100"/>
        <w:outlineLvl w:val="1"/>
      </w:pPr>
      <w:r>
        <w:rPr>
          <w:rFonts w:ascii="Arial" w:hAnsi="Arial" w:cs="Arial"/>
          <w:b/>
          <w:i w:val="0"/>
          <w:color w:val="2E528F"/>
          <w:sz w:val="26"/>
        </w:rPr>
        <w:t>19.7 State Vector — Not Single Status</w:t>
      </w:r>
    </w:p>
    <w:p>
      <w:pPr>
        <w:spacing w:after="80" w:line="293" w:lineRule="auto"/>
        <w:jc w:val="left"/>
      </w:pPr>
      <w:r>
        <w:rPr>
          <w:rFonts w:ascii="Times New Roman" w:hAnsi="Times New Roman" w:cs="Times New Roman"/>
          <w:b w:val="0"/>
          <w:i w:val="0"/>
          <w:sz w:val="22"/>
        </w:rPr>
        <w:t>SGTX must not depend on a single `transaction.status` field as the complete representation of transaction reality. A transaction instead has a governed state vector. Example: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Domain</w:t>
            </w:r>
          </w:p>
        </w:tc>
        <w:tc>
          <w:tcPr>
            <w:tcW w:type="dxa" w:w="4819"/>
            <w:shd w:val="clear" w:fill="D9E2F3"/>
          </w:tcPr>
          <w:p>
            <w:pPr>
              <w:spacing w:after="20" w:before="20" w:line="240" w:lineRule="auto"/>
            </w:pPr>
            <w:r/>
            <w:r>
              <w:rPr>
                <w:rFonts w:ascii="Arial" w:hAnsi="Arial" w:cs="Arial"/>
                <w:b/>
                <w:i w:val="0"/>
                <w:sz w:val="18"/>
              </w:rPr>
              <w:t>State</w:t>
            </w:r>
          </w:p>
        </w:tc>
      </w:tr>
      <w:tr>
        <w:tc>
          <w:tcPr>
            <w:tcW w:type="dxa" w:w="4819"/>
          </w:tcPr>
          <w:p>
            <w:pPr>
              <w:spacing w:after="20" w:before="20" w:line="240" w:lineRule="auto"/>
            </w:pPr>
            <w:r/>
            <w:r>
              <w:rPr>
                <w:rFonts w:ascii="Arial" w:hAnsi="Arial" w:cs="Arial"/>
                <w:b w:val="0"/>
                <w:i w:val="0"/>
                <w:sz w:val="17"/>
              </w:rPr>
              <w:t>Execution</w:t>
            </w:r>
          </w:p>
        </w:tc>
        <w:tc>
          <w:tcPr>
            <w:tcW w:type="dxa" w:w="4819"/>
          </w:tcPr>
          <w:p>
            <w:pPr>
              <w:spacing w:after="20" w:before="20" w:line="240" w:lineRule="auto"/>
            </w:pPr>
            <w:r/>
            <w:r>
              <w:rPr>
                <w:rFonts w:ascii="Arial" w:hAnsi="Arial" w:cs="Arial"/>
                <w:b w:val="0"/>
                <w:i w:val="0"/>
                <w:sz w:val="17"/>
              </w:rPr>
              <w:t>SETTLED</w:t>
            </w:r>
          </w:p>
        </w:tc>
      </w:tr>
      <w:tr>
        <w:tc>
          <w:tcPr>
            <w:tcW w:type="dxa" w:w="4819"/>
          </w:tcPr>
          <w:p>
            <w:pPr>
              <w:spacing w:after="20" w:before="20" w:line="240" w:lineRule="auto"/>
            </w:pPr>
            <w:r/>
            <w:r>
              <w:rPr>
                <w:rFonts w:ascii="Arial" w:hAnsi="Arial" w:cs="Arial"/>
                <w:b w:val="0"/>
                <w:i w:val="0"/>
                <w:sz w:val="17"/>
              </w:rPr>
              <w:t>Financial</w:t>
            </w:r>
          </w:p>
        </w:tc>
        <w:tc>
          <w:tcPr>
            <w:tcW w:type="dxa" w:w="4819"/>
          </w:tcPr>
          <w:p>
            <w:pPr>
              <w:spacing w:after="20" w:before="20" w:line="240" w:lineRule="auto"/>
            </w:pPr>
            <w:r/>
            <w:r>
              <w:rPr>
                <w:rFonts w:ascii="Arial" w:hAnsi="Arial" w:cs="Arial"/>
                <w:b w:val="0"/>
                <w:i w:val="0"/>
                <w:sz w:val="17"/>
              </w:rPr>
              <w:t>CONFIRMED</w:t>
            </w:r>
          </w:p>
        </w:tc>
      </w:tr>
      <w:tr>
        <w:tc>
          <w:tcPr>
            <w:tcW w:type="dxa" w:w="4819"/>
          </w:tcPr>
          <w:p>
            <w:pPr>
              <w:spacing w:after="20" w:before="20" w:line="240" w:lineRule="auto"/>
            </w:pPr>
            <w:r/>
            <w:r>
              <w:rPr>
                <w:rFonts w:ascii="Arial" w:hAnsi="Arial" w:cs="Arial"/>
                <w:b w:val="0"/>
                <w:i w:val="0"/>
                <w:sz w:val="17"/>
              </w:rPr>
              <w:t>Legal</w:t>
            </w:r>
          </w:p>
        </w:tc>
        <w:tc>
          <w:tcPr>
            <w:tcW w:type="dxa" w:w="4819"/>
          </w:tcPr>
          <w:p>
            <w:pPr>
              <w:spacing w:after="20" w:before="20" w:line="240" w:lineRule="auto"/>
            </w:pPr>
            <w:r/>
            <w:r>
              <w:rPr>
                <w:rFonts w:ascii="Arial" w:hAnsi="Arial" w:cs="Arial"/>
                <w:b w:val="0"/>
                <w:i w:val="0"/>
                <w:sz w:val="17"/>
              </w:rPr>
              <w:t>EFFECTIVE</w:t>
            </w:r>
          </w:p>
        </w:tc>
      </w:tr>
      <w:tr>
        <w:tc>
          <w:tcPr>
            <w:tcW w:type="dxa" w:w="4819"/>
          </w:tcPr>
          <w:p>
            <w:pPr>
              <w:spacing w:after="20" w:before="20" w:line="240" w:lineRule="auto"/>
            </w:pPr>
            <w:r/>
            <w:r>
              <w:rPr>
                <w:rFonts w:ascii="Arial" w:hAnsi="Arial" w:cs="Arial"/>
                <w:b w:val="0"/>
                <w:i w:val="0"/>
                <w:sz w:val="17"/>
              </w:rPr>
              <w:t>Physical</w:t>
            </w:r>
          </w:p>
        </w:tc>
        <w:tc>
          <w:tcPr>
            <w:tcW w:type="dxa" w:w="4819"/>
          </w:tcPr>
          <w:p>
            <w:pPr>
              <w:spacing w:after="20" w:before="20" w:line="240" w:lineRule="auto"/>
            </w:pPr>
            <w:r/>
            <w:r>
              <w:rPr>
                <w:rFonts w:ascii="Arial" w:hAnsi="Arial" w:cs="Arial"/>
                <w:b w:val="0"/>
                <w:i w:val="0"/>
                <w:sz w:val="17"/>
              </w:rPr>
              <w:t>DELIVERED</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COMPLETE</w:t>
            </w:r>
          </w:p>
        </w:tc>
      </w:tr>
      <w:tr>
        <w:tc>
          <w:tcPr>
            <w:tcW w:type="dxa" w:w="4819"/>
          </w:tcPr>
          <w:p>
            <w:pPr>
              <w:spacing w:after="20" w:before="20" w:line="240" w:lineRule="auto"/>
            </w:pPr>
            <w:r/>
            <w:r>
              <w:rPr>
                <w:rFonts w:ascii="Arial" w:hAnsi="Arial" w:cs="Arial"/>
                <w:b w:val="0"/>
                <w:i w:val="0"/>
                <w:sz w:val="17"/>
              </w:rPr>
              <w:t>Compliance</w:t>
            </w:r>
          </w:p>
        </w:tc>
        <w:tc>
          <w:tcPr>
            <w:tcW w:type="dxa" w:w="4819"/>
          </w:tcPr>
          <w:p>
            <w:pPr>
              <w:spacing w:after="20" w:before="20" w:line="240" w:lineRule="auto"/>
            </w:pPr>
            <w:r/>
            <w:r>
              <w:rPr>
                <w:rFonts w:ascii="Arial" w:hAnsi="Arial" w:cs="Arial"/>
                <w:b w:val="0"/>
                <w:i w:val="0"/>
                <w:sz w:val="17"/>
              </w:rPr>
              <w:t>CLEARED</w:t>
            </w:r>
          </w:p>
        </w:tc>
      </w:tr>
      <w:tr>
        <w:tc>
          <w:tcPr>
            <w:tcW w:type="dxa" w:w="4819"/>
          </w:tcPr>
          <w:p>
            <w:pPr>
              <w:spacing w:after="20" w:before="20" w:line="240" w:lineRule="auto"/>
            </w:pPr>
            <w:r/>
            <w:r>
              <w:rPr>
                <w:rFonts w:ascii="Arial" w:hAnsi="Arial" w:cs="Arial"/>
                <w:b w:val="0"/>
                <w:i w:val="0"/>
                <w:sz w:val="17"/>
              </w:rPr>
              <w:t>Reconciliation</w:t>
            </w:r>
          </w:p>
        </w:tc>
        <w:tc>
          <w:tcPr>
            <w:tcW w:type="dxa" w:w="4819"/>
          </w:tcPr>
          <w:p>
            <w:pPr>
              <w:spacing w:after="20" w:before="20" w:line="240" w:lineRule="auto"/>
            </w:pPr>
            <w:r/>
            <w:r>
              <w:rPr>
                <w:rFonts w:ascii="Arial" w:hAnsi="Arial" w:cs="Arial"/>
                <w:b w:val="0"/>
                <w:i w:val="0"/>
                <w:sz w:val="17"/>
              </w:rPr>
              <w:t>MATCHED</w:t>
            </w:r>
          </w:p>
        </w:tc>
      </w:tr>
      <w:tr>
        <w:tc>
          <w:tcPr>
            <w:tcW w:type="dxa" w:w="4819"/>
          </w:tcPr>
          <w:p>
            <w:pPr>
              <w:spacing w:after="20" w:before="20" w:line="240" w:lineRule="auto"/>
            </w:pPr>
            <w:r/>
            <w:r>
              <w:rPr>
                <w:rFonts w:ascii="Arial" w:hAnsi="Arial" w:cs="Arial"/>
                <w:b w:val="0"/>
                <w:i w:val="0"/>
                <w:sz w:val="17"/>
              </w:rPr>
              <w:t>Exposure</w:t>
            </w:r>
          </w:p>
        </w:tc>
        <w:tc>
          <w:tcPr>
            <w:tcW w:type="dxa" w:w="4819"/>
          </w:tcPr>
          <w:p>
            <w:pPr>
              <w:spacing w:after="20" w:before="20" w:line="240" w:lineRule="auto"/>
            </w:pPr>
            <w:r/>
            <w:r>
              <w:rPr>
                <w:rFonts w:ascii="Arial" w:hAnsi="Arial" w:cs="Arial"/>
                <w:b w:val="0"/>
                <w:i w:val="0"/>
                <w:sz w:val="17"/>
              </w:rPr>
              <w:t>RESOLVED</w:t>
            </w:r>
          </w:p>
        </w:tc>
      </w:tr>
      <w:tr>
        <w:tc>
          <w:tcPr>
            <w:tcW w:type="dxa" w:w="4819"/>
          </w:tcPr>
          <w:p>
            <w:pPr>
              <w:spacing w:after="20" w:before="20" w:line="240" w:lineRule="auto"/>
            </w:pPr>
            <w:r/>
            <w:r>
              <w:rPr>
                <w:rFonts w:ascii="Arial" w:hAnsi="Arial" w:cs="Arial"/>
                <w:b w:val="0"/>
                <w:i w:val="0"/>
                <w:sz w:val="17"/>
              </w:rPr>
              <w:t>Closure</w:t>
            </w:r>
          </w:p>
        </w:tc>
        <w:tc>
          <w:tcPr>
            <w:tcW w:type="dxa" w:w="4819"/>
          </w:tcPr>
          <w:p>
            <w:pPr>
              <w:spacing w:after="20" w:before="20" w:line="240" w:lineRule="auto"/>
            </w:pPr>
            <w:r/>
            <w:r>
              <w:rPr>
                <w:rFonts w:ascii="Arial" w:hAnsi="Arial" w:cs="Arial"/>
                <w:b w:val="0"/>
                <w:i w:val="0"/>
                <w:sz w:val="17"/>
              </w:rPr>
              <w:t>CLOSED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Another valid state is the divergent nine-domain vector specified in Section 19.3 — Execution SETTLED while Financial is RETURNED, Legal is DISPUTED, Reconciliation is OPEN, Exposure is REOPENED, and Closure is SUSPENDED.</w:t>
      </w:r>
    </w:p>
    <w:p>
      <w:pPr>
        <w:spacing w:after="80" w:line="293" w:lineRule="auto"/>
        <w:jc w:val="left"/>
      </w:pPr>
      <w:r>
        <w:rPr>
          <w:rFonts w:ascii="Times New Roman" w:hAnsi="Times New Roman" w:cs="Times New Roman"/>
          <w:b w:val="0"/>
          <w:i w:val="0"/>
          <w:sz w:val="22"/>
        </w:rPr>
        <w:t>The state vector is the canonical operational representation.</w:t>
      </w:r>
    </w:p>
    <w:p>
      <w:pPr>
        <w:keepNext/>
        <w:spacing w:before="240" w:after="100"/>
        <w:outlineLvl w:val="1"/>
      </w:pPr>
      <w:r>
        <w:rPr>
          <w:rFonts w:ascii="Arial" w:hAnsi="Arial" w:cs="Arial"/>
          <w:b/>
          <w:i w:val="0"/>
          <w:color w:val="2E528F"/>
          <w:sz w:val="26"/>
        </w:rPr>
        <w:t>19.8 State Vector Domains</w:t>
      </w:r>
    </w:p>
    <w:p>
      <w:pPr>
        <w:spacing w:after="80" w:line="293" w:lineRule="auto"/>
        <w:jc w:val="left"/>
      </w:pPr>
      <w:r>
        <w:rPr>
          <w:rFonts w:ascii="Times New Roman" w:hAnsi="Times New Roman" w:cs="Times New Roman"/>
          <w:b w:val="0"/>
          <w:i w:val="0"/>
          <w:sz w:val="22"/>
        </w:rPr>
        <w:t>The canonical state vector supports, as applicable:</w:t>
      </w:r>
    </w:p>
    <w:p>
      <w:pPr>
        <w:spacing w:after="80" w:line="293" w:lineRule="auto"/>
        <w:ind w:left="283"/>
        <w:jc w:val="left"/>
      </w:pPr>
      <w:r>
        <w:rPr>
          <w:rFonts w:ascii="Times New Roman" w:hAnsi="Times New Roman" w:cs="Times New Roman"/>
          <w:b w:val="0"/>
          <w:i w:val="0"/>
          <w:sz w:val="22"/>
        </w:rPr>
        <w:t>- EXECUTION</w:t>
      </w:r>
    </w:p>
    <w:p>
      <w:pPr>
        <w:spacing w:after="80" w:line="293" w:lineRule="auto"/>
        <w:ind w:left="283"/>
        <w:jc w:val="left"/>
      </w:pPr>
      <w:r>
        <w:rPr>
          <w:rFonts w:ascii="Times New Roman" w:hAnsi="Times New Roman" w:cs="Times New Roman"/>
          <w:b w:val="0"/>
          <w:i w:val="0"/>
          <w:sz w:val="22"/>
        </w:rPr>
        <w:t>- FINANCIAL</w:t>
      </w:r>
    </w:p>
    <w:p>
      <w:pPr>
        <w:spacing w:after="80" w:line="293" w:lineRule="auto"/>
        <w:ind w:left="283"/>
        <w:jc w:val="left"/>
      </w:pPr>
      <w:r>
        <w:rPr>
          <w:rFonts w:ascii="Times New Roman" w:hAnsi="Times New Roman" w:cs="Times New Roman"/>
          <w:b w:val="0"/>
          <w:i w:val="0"/>
          <w:sz w:val="22"/>
        </w:rPr>
        <w:t>- LEGAL</w:t>
      </w:r>
    </w:p>
    <w:p>
      <w:pPr>
        <w:spacing w:after="80" w:line="293" w:lineRule="auto"/>
        <w:ind w:left="283"/>
        <w:jc w:val="left"/>
      </w:pPr>
      <w:r>
        <w:rPr>
          <w:rFonts w:ascii="Times New Roman" w:hAnsi="Times New Roman" w:cs="Times New Roman"/>
          <w:b w:val="0"/>
          <w:i w:val="0"/>
          <w:sz w:val="22"/>
        </w:rPr>
        <w:t>- PHYSICAL_OPERATIONAL</w:t>
      </w:r>
    </w:p>
    <w:p>
      <w:pPr>
        <w:spacing w:after="80" w:line="293" w:lineRule="auto"/>
        <w:ind w:left="283"/>
        <w:jc w:val="left"/>
      </w:pPr>
      <w:r>
        <w:rPr>
          <w:rFonts w:ascii="Times New Roman" w:hAnsi="Times New Roman" w:cs="Times New Roman"/>
          <w:b w:val="0"/>
          <w:i w:val="0"/>
          <w:sz w:val="22"/>
        </w:rPr>
        <w:t>- DOCUMENTARY</w:t>
      </w:r>
    </w:p>
    <w:p>
      <w:pPr>
        <w:spacing w:after="80" w:line="293" w:lineRule="auto"/>
        <w:ind w:left="283"/>
        <w:jc w:val="left"/>
      </w:pPr>
      <w:r>
        <w:rPr>
          <w:rFonts w:ascii="Times New Roman" w:hAnsi="Times New Roman" w:cs="Times New Roman"/>
          <w:b w:val="0"/>
          <w:i w:val="0"/>
          <w:sz w:val="22"/>
        </w:rPr>
        <w:t>- COMPLIANCE</w:t>
      </w:r>
    </w:p>
    <w:p>
      <w:pPr>
        <w:spacing w:after="80" w:line="293" w:lineRule="auto"/>
        <w:ind w:left="283"/>
        <w:jc w:val="left"/>
      </w:pPr>
      <w:r>
        <w:rPr>
          <w:rFonts w:ascii="Times New Roman" w:hAnsi="Times New Roman" w:cs="Times New Roman"/>
          <w:b w:val="0"/>
          <w:i w:val="0"/>
          <w:sz w:val="22"/>
        </w:rPr>
        <w:t>- REGULATORY</w:t>
      </w:r>
    </w:p>
    <w:p>
      <w:pPr>
        <w:spacing w:after="80" w:line="293" w:lineRule="auto"/>
        <w:ind w:left="283"/>
        <w:jc w:val="left"/>
      </w:pPr>
      <w:r>
        <w:rPr>
          <w:rFonts w:ascii="Times New Roman" w:hAnsi="Times New Roman" w:cs="Times New Roman"/>
          <w:b w:val="0"/>
          <w:i w:val="0"/>
          <w:sz w:val="22"/>
        </w:rPr>
        <w:t>- COUNTERPARTY</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DISPUTE</w:t>
      </w:r>
    </w:p>
    <w:p>
      <w:pPr>
        <w:spacing w:after="80" w:line="293" w:lineRule="auto"/>
        <w:ind w:left="283"/>
        <w:jc w:val="left"/>
      </w:pPr>
      <w:r>
        <w:rPr>
          <w:rFonts w:ascii="Times New Roman" w:hAnsi="Times New Roman" w:cs="Times New Roman"/>
          <w:b w:val="0"/>
          <w:i w:val="0"/>
          <w:sz w:val="22"/>
        </w:rPr>
        <w:t>- EXPOSURE</w:t>
      </w:r>
    </w:p>
    <w:p>
      <w:pPr>
        <w:spacing w:after="80" w:line="293" w:lineRule="auto"/>
        <w:ind w:left="283"/>
        <w:jc w:val="left"/>
      </w:pPr>
      <w:r>
        <w:rPr>
          <w:rFonts w:ascii="Times New Roman" w:hAnsi="Times New Roman" w:cs="Times New Roman"/>
          <w:b w:val="0"/>
          <w:i w:val="0"/>
          <w:sz w:val="22"/>
        </w:rPr>
        <w:t>- CLOSURE</w:t>
      </w:r>
    </w:p>
    <w:p>
      <w:pPr>
        <w:spacing w:after="80" w:line="293" w:lineRule="auto"/>
        <w:jc w:val="left"/>
      </w:pPr>
      <w:r>
        <w:rPr>
          <w:rFonts w:ascii="Times New Roman" w:hAnsi="Times New Roman" w:cs="Times New Roman"/>
          <w:b w:val="0"/>
          <w:i w:val="0"/>
          <w:sz w:val="22"/>
        </w:rPr>
        <w:t>Not every transaction requires every dimension to be active. A transaction profile determines which dimensions are required.</w:t>
      </w:r>
    </w:p>
    <w:p>
      <w:pPr>
        <w:keepNext/>
        <w:spacing w:before="240" w:after="100"/>
        <w:outlineLvl w:val="1"/>
      </w:pPr>
      <w:r>
        <w:rPr>
          <w:rFonts w:ascii="Arial" w:hAnsi="Arial" w:cs="Arial"/>
          <w:b/>
          <w:i w:val="0"/>
          <w:color w:val="2E528F"/>
          <w:sz w:val="26"/>
        </w:rPr>
        <w:t>19.9 Finality Classes</w:t>
      </w:r>
    </w:p>
    <w:p>
      <w:pPr>
        <w:spacing w:after="80" w:line="293" w:lineRule="auto"/>
        <w:jc w:val="left"/>
      </w:pPr>
      <w:r>
        <w:rPr>
          <w:rFonts w:ascii="Times New Roman" w:hAnsi="Times New Roman" w:cs="Times New Roman"/>
          <w:b w:val="0"/>
          <w:i w:val="0"/>
          <w:sz w:val="22"/>
        </w:rPr>
        <w:t>SGTX does not use one universal concept of "final." The canonical finality model is: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Class</w:t>
            </w:r>
          </w:p>
        </w:tc>
        <w:tc>
          <w:tcPr>
            <w:tcW w:type="dxa" w:w="3213"/>
            <w:shd w:val="clear" w:fill="D9E2F3"/>
          </w:tcPr>
          <w:p>
            <w:pPr>
              <w:spacing w:after="20" w:before="20" w:line="240" w:lineRule="auto"/>
            </w:pPr>
            <w:r/>
            <w:r>
              <w:rPr>
                <w:rFonts w:ascii="Arial" w:hAnsi="Arial" w:cs="Arial"/>
                <w:b/>
                <w:i w:val="0"/>
                <w:sz w:val="18"/>
              </w:rPr>
              <w:t>Name</w:t>
            </w:r>
          </w:p>
        </w:tc>
        <w:tc>
          <w:tcPr>
            <w:tcW w:type="dxa" w:w="3213"/>
            <w:shd w:val="clear" w:fill="D9E2F3"/>
          </w:tcPr>
          <w:p>
            <w:pPr>
              <w:spacing w:after="20" w:before="20" w:line="240" w:lineRule="auto"/>
            </w:pPr>
            <w:r/>
            <w:r>
              <w:rPr>
                <w:rFonts w:ascii="Arial" w:hAnsi="Arial" w:cs="Arial"/>
                <w:b/>
                <w:i w:val="0"/>
                <w:sz w:val="18"/>
              </w:rPr>
              <w:t>Definition</w:t>
            </w:r>
          </w:p>
        </w:tc>
      </w:tr>
      <w:tr>
        <w:tc>
          <w:tcPr>
            <w:tcW w:type="dxa" w:w="3213"/>
          </w:tcPr>
          <w:p>
            <w:pPr>
              <w:spacing w:after="20" w:before="20" w:line="240" w:lineRule="auto"/>
            </w:pPr>
            <w:r/>
            <w:r>
              <w:rPr>
                <w:rFonts w:ascii="Arial" w:hAnsi="Arial" w:cs="Arial"/>
                <w:b w:val="0"/>
                <w:i w:val="0"/>
                <w:sz w:val="17"/>
              </w:rPr>
              <w:t>F0</w:t>
            </w:r>
          </w:p>
        </w:tc>
        <w:tc>
          <w:tcPr>
            <w:tcW w:type="dxa" w:w="3213"/>
          </w:tcPr>
          <w:p>
            <w:pPr>
              <w:spacing w:after="20" w:before="20" w:line="240" w:lineRule="auto"/>
            </w:pPr>
            <w:r/>
            <w:r>
              <w:rPr>
                <w:rFonts w:ascii="Arial" w:hAnsi="Arial" w:cs="Arial"/>
                <w:b w:val="0"/>
                <w:i w:val="0"/>
                <w:sz w:val="17"/>
              </w:rPr>
              <w:t>Intent Finality</w:t>
            </w:r>
          </w:p>
        </w:tc>
        <w:tc>
          <w:tcPr>
            <w:tcW w:type="dxa" w:w="3213"/>
          </w:tcPr>
          <w:p>
            <w:pPr>
              <w:spacing w:after="20" w:before="20" w:line="240" w:lineRule="auto"/>
            </w:pPr>
            <w:r/>
            <w:r>
              <w:rPr>
                <w:rFonts w:ascii="Arial" w:hAnsi="Arial" w:cs="Arial"/>
                <w:b w:val="0"/>
                <w:i w:val="0"/>
                <w:sz w:val="17"/>
              </w:rPr>
              <w:t>Parties have expressed a qualified transaction intent.</w:t>
            </w:r>
          </w:p>
        </w:tc>
      </w:tr>
      <w:tr>
        <w:tc>
          <w:tcPr>
            <w:tcW w:type="dxa" w:w="3213"/>
          </w:tcPr>
          <w:p>
            <w:pPr>
              <w:spacing w:after="20" w:before="20" w:line="240" w:lineRule="auto"/>
            </w:pPr>
            <w:r/>
            <w:r>
              <w:rPr>
                <w:rFonts w:ascii="Arial" w:hAnsi="Arial" w:cs="Arial"/>
                <w:b w:val="0"/>
                <w:i w:val="0"/>
                <w:sz w:val="17"/>
              </w:rPr>
              <w:t>F1</w:t>
            </w:r>
          </w:p>
        </w:tc>
        <w:tc>
          <w:tcPr>
            <w:tcW w:type="dxa" w:w="3213"/>
          </w:tcPr>
          <w:p>
            <w:pPr>
              <w:spacing w:after="20" w:before="20" w:line="240" w:lineRule="auto"/>
            </w:pPr>
            <w:r/>
            <w:r>
              <w:rPr>
                <w:rFonts w:ascii="Arial" w:hAnsi="Arial" w:cs="Arial"/>
                <w:b w:val="0"/>
                <w:i w:val="0"/>
                <w:sz w:val="17"/>
              </w:rPr>
              <w:t>Contractual Finality</w:t>
            </w:r>
          </w:p>
        </w:tc>
        <w:tc>
          <w:tcPr>
            <w:tcW w:type="dxa" w:w="3213"/>
          </w:tcPr>
          <w:p>
            <w:pPr>
              <w:spacing w:after="20" w:before="20" w:line="240" w:lineRule="auto"/>
            </w:pPr>
            <w:r/>
            <w:r>
              <w:rPr>
                <w:rFonts w:ascii="Arial" w:hAnsi="Arial" w:cs="Arial"/>
                <w:b w:val="0"/>
                <w:i w:val="0"/>
                <w:sz w:val="17"/>
              </w:rPr>
              <w:t>The relevant contractual agreement has become effective according to its governing conditions.</w:t>
            </w:r>
          </w:p>
        </w:tc>
      </w:tr>
      <w:tr>
        <w:tc>
          <w:tcPr>
            <w:tcW w:type="dxa" w:w="3213"/>
          </w:tcPr>
          <w:p>
            <w:pPr>
              <w:spacing w:after="20" w:before="20" w:line="240" w:lineRule="auto"/>
            </w:pPr>
            <w:r/>
            <w:r>
              <w:rPr>
                <w:rFonts w:ascii="Arial" w:hAnsi="Arial" w:cs="Arial"/>
                <w:b w:val="0"/>
                <w:i w:val="0"/>
                <w:sz w:val="17"/>
              </w:rPr>
              <w:t>F2</w:t>
            </w:r>
          </w:p>
        </w:tc>
        <w:tc>
          <w:tcPr>
            <w:tcW w:type="dxa" w:w="3213"/>
          </w:tcPr>
          <w:p>
            <w:pPr>
              <w:spacing w:after="20" w:before="20" w:line="240" w:lineRule="auto"/>
            </w:pPr>
            <w:r/>
            <w:r>
              <w:rPr>
                <w:rFonts w:ascii="Arial" w:hAnsi="Arial" w:cs="Arial"/>
                <w:b w:val="0"/>
                <w:i w:val="0"/>
                <w:sz w:val="17"/>
              </w:rPr>
              <w:t>Execution Finality</w:t>
            </w:r>
          </w:p>
        </w:tc>
        <w:tc>
          <w:tcPr>
            <w:tcW w:type="dxa" w:w="3213"/>
          </w:tcPr>
          <w:p>
            <w:pPr>
              <w:spacing w:after="20" w:before="20" w:line="240" w:lineRule="auto"/>
            </w:pPr>
            <w:r/>
            <w:r>
              <w:rPr>
                <w:rFonts w:ascii="Arial" w:hAnsi="Arial" w:cs="Arial"/>
                <w:b w:val="0"/>
                <w:i w:val="0"/>
                <w:sz w:val="17"/>
              </w:rPr>
              <w:t>SGTX has cryptographically recorded the defined execution event according to applicable policy.</w:t>
            </w:r>
          </w:p>
        </w:tc>
      </w:tr>
      <w:tr>
        <w:tc>
          <w:tcPr>
            <w:tcW w:type="dxa" w:w="3213"/>
          </w:tcPr>
          <w:p>
            <w:pPr>
              <w:spacing w:after="20" w:before="20" w:line="240" w:lineRule="auto"/>
            </w:pPr>
            <w:r/>
            <w:r>
              <w:rPr>
                <w:rFonts w:ascii="Arial" w:hAnsi="Arial" w:cs="Arial"/>
                <w:b w:val="0"/>
                <w:i w:val="0"/>
                <w:sz w:val="17"/>
              </w:rPr>
              <w:t>F3</w:t>
            </w:r>
          </w:p>
        </w:tc>
        <w:tc>
          <w:tcPr>
            <w:tcW w:type="dxa" w:w="3213"/>
          </w:tcPr>
          <w:p>
            <w:pPr>
              <w:spacing w:after="20" w:before="20" w:line="240" w:lineRule="auto"/>
            </w:pPr>
            <w:r/>
            <w:r>
              <w:rPr>
                <w:rFonts w:ascii="Arial" w:hAnsi="Arial" w:cs="Arial"/>
                <w:b w:val="0"/>
                <w:i w:val="0"/>
                <w:sz w:val="17"/>
              </w:rPr>
              <w:t>Financial Settlement Finality</w:t>
            </w:r>
          </w:p>
        </w:tc>
        <w:tc>
          <w:tcPr>
            <w:tcW w:type="dxa" w:w="3213"/>
          </w:tcPr>
          <w:p>
            <w:pPr>
              <w:spacing w:after="20" w:before="20" w:line="240" w:lineRule="auto"/>
            </w:pPr>
            <w:r/>
            <w:r>
              <w:rPr>
                <w:rFonts w:ascii="Arial" w:hAnsi="Arial" w:cs="Arial"/>
                <w:b w:val="0"/>
                <w:i w:val="0"/>
                <w:sz w:val="17"/>
              </w:rPr>
              <w:t>The applicable financial/banking infrastructure has confirmed settlement according to its own rules.</w:t>
            </w:r>
          </w:p>
        </w:tc>
      </w:tr>
      <w:tr>
        <w:tc>
          <w:tcPr>
            <w:tcW w:type="dxa" w:w="3213"/>
          </w:tcPr>
          <w:p>
            <w:pPr>
              <w:spacing w:after="20" w:before="20" w:line="240" w:lineRule="auto"/>
            </w:pPr>
            <w:r/>
            <w:r>
              <w:rPr>
                <w:rFonts w:ascii="Arial" w:hAnsi="Arial" w:cs="Arial"/>
                <w:b w:val="0"/>
                <w:i w:val="0"/>
                <w:sz w:val="17"/>
              </w:rPr>
              <w:t>F4</w:t>
            </w:r>
          </w:p>
        </w:tc>
        <w:tc>
          <w:tcPr>
            <w:tcW w:type="dxa" w:w="3213"/>
          </w:tcPr>
          <w:p>
            <w:pPr>
              <w:spacing w:after="20" w:before="20" w:line="240" w:lineRule="auto"/>
            </w:pPr>
            <w:r/>
            <w:r>
              <w:rPr>
                <w:rFonts w:ascii="Arial" w:hAnsi="Arial" w:cs="Arial"/>
                <w:b w:val="0"/>
                <w:i w:val="0"/>
                <w:sz w:val="17"/>
              </w:rPr>
              <w:t>Legal Finality</w:t>
            </w:r>
          </w:p>
        </w:tc>
        <w:tc>
          <w:tcPr>
            <w:tcW w:type="dxa" w:w="3213"/>
          </w:tcPr>
          <w:p>
            <w:pPr>
              <w:spacing w:after="20" w:before="20" w:line="240" w:lineRule="auto"/>
            </w:pPr>
            <w:r/>
            <w:r>
              <w:rPr>
                <w:rFonts w:ascii="Arial" w:hAnsi="Arial" w:cs="Arial"/>
                <w:b w:val="0"/>
                <w:i w:val="0"/>
                <w:sz w:val="17"/>
              </w:rPr>
              <w:t>The applicable legal or contractual framework recognizes the relevant matter as legally final for the defined jurisdiction and issue, subject to any remaining legally available remedies.</w:t>
            </w:r>
          </w:p>
        </w:tc>
      </w:tr>
      <w:tr>
        <w:tc>
          <w:tcPr>
            <w:tcW w:type="dxa" w:w="3213"/>
          </w:tcPr>
          <w:p>
            <w:pPr>
              <w:spacing w:after="20" w:before="20" w:line="240" w:lineRule="auto"/>
            </w:pPr>
            <w:r/>
            <w:r>
              <w:rPr>
                <w:rFonts w:ascii="Arial" w:hAnsi="Arial" w:cs="Arial"/>
                <w:b w:val="0"/>
                <w:i w:val="0"/>
                <w:sz w:val="17"/>
              </w:rPr>
              <w:t>F5</w:t>
            </w:r>
          </w:p>
        </w:tc>
        <w:tc>
          <w:tcPr>
            <w:tcW w:type="dxa" w:w="3213"/>
          </w:tcPr>
          <w:p>
            <w:pPr>
              <w:spacing w:after="20" w:before="20" w:line="240" w:lineRule="auto"/>
            </w:pPr>
            <w:r/>
            <w:r>
              <w:rPr>
                <w:rFonts w:ascii="Arial" w:hAnsi="Arial" w:cs="Arial"/>
                <w:b w:val="0"/>
                <w:i w:val="0"/>
                <w:sz w:val="17"/>
              </w:rPr>
              <w:t>Operational / Administrative Closure</w:t>
            </w:r>
          </w:p>
        </w:tc>
        <w:tc>
          <w:tcPr>
            <w:tcW w:type="dxa" w:w="3213"/>
          </w:tcPr>
          <w:p>
            <w:pPr>
              <w:spacing w:after="20" w:before="20" w:line="240" w:lineRule="auto"/>
            </w:pPr>
            <w:r/>
            <w:r>
              <w:rPr>
                <w:rFonts w:ascii="Arial" w:hAnsi="Arial" w:cs="Arial"/>
                <w:b w:val="0"/>
                <w:i w:val="0"/>
                <w:sz w:val="17"/>
              </w:rPr>
              <w:t>Required reconciliation, documentary, financial, compliance, operational and closure conditions have been satisfied according to closure policy.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19.9.1 Finality Is Not a Mandatory Staircase</w:t>
      </w:r>
    </w:p>
    <w:p>
      <w:pPr>
        <w:spacing w:after="80" w:line="293" w:lineRule="auto"/>
        <w:jc w:val="left"/>
      </w:pPr>
      <w:r>
        <w:rPr>
          <w:rFonts w:ascii="Times New Roman" w:hAnsi="Times New Roman" w:cs="Times New Roman"/>
          <w:b w:val="0"/>
          <w:i w:val="0"/>
          <w:sz w:val="22"/>
        </w:rPr>
        <w:t>F0–F5 are finality classes/dimensions, not necessarily a single sequential staircase. Example: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Domain</w:t>
            </w:r>
          </w:p>
        </w:tc>
        <w:tc>
          <w:tcPr>
            <w:tcW w:type="dxa" w:w="4819"/>
            <w:shd w:val="clear" w:fill="D9E2F3"/>
          </w:tcPr>
          <w:p>
            <w:pPr>
              <w:spacing w:after="20" w:before="20" w:line="240" w:lineRule="auto"/>
            </w:pPr>
            <w:r/>
            <w:r>
              <w:rPr>
                <w:rFonts w:ascii="Arial" w:hAnsi="Arial" w:cs="Arial"/>
                <w:b/>
                <w:i w:val="0"/>
                <w:sz w:val="18"/>
              </w:rPr>
              <w:t>Finality / State</w:t>
            </w:r>
          </w:p>
        </w:tc>
      </w:tr>
      <w:tr>
        <w:tc>
          <w:tcPr>
            <w:tcW w:type="dxa" w:w="4819"/>
          </w:tcPr>
          <w:p>
            <w:pPr>
              <w:spacing w:after="20" w:before="20" w:line="240" w:lineRule="auto"/>
            </w:pPr>
            <w:r/>
            <w:r>
              <w:rPr>
                <w:rFonts w:ascii="Arial" w:hAnsi="Arial" w:cs="Arial"/>
                <w:b w:val="0"/>
                <w:i w:val="0"/>
                <w:sz w:val="17"/>
              </w:rPr>
              <w:t>Execution</w:t>
            </w:r>
          </w:p>
        </w:tc>
        <w:tc>
          <w:tcPr>
            <w:tcW w:type="dxa" w:w="4819"/>
          </w:tcPr>
          <w:p>
            <w:pPr>
              <w:spacing w:after="20" w:before="20" w:line="240" w:lineRule="auto"/>
            </w:pPr>
            <w:r/>
            <w:r>
              <w:rPr>
                <w:rFonts w:ascii="Arial" w:hAnsi="Arial" w:cs="Arial"/>
                <w:b w:val="0"/>
                <w:i w:val="0"/>
                <w:sz w:val="17"/>
              </w:rPr>
              <w:t>F2</w:t>
            </w:r>
          </w:p>
        </w:tc>
      </w:tr>
      <w:tr>
        <w:tc>
          <w:tcPr>
            <w:tcW w:type="dxa" w:w="4819"/>
          </w:tcPr>
          <w:p>
            <w:pPr>
              <w:spacing w:after="20" w:before="20" w:line="240" w:lineRule="auto"/>
            </w:pPr>
            <w:r/>
            <w:r>
              <w:rPr>
                <w:rFonts w:ascii="Arial" w:hAnsi="Arial" w:cs="Arial"/>
                <w:b w:val="0"/>
                <w:i w:val="0"/>
                <w:sz w:val="17"/>
              </w:rPr>
              <w:t>Financial</w:t>
            </w:r>
          </w:p>
        </w:tc>
        <w:tc>
          <w:tcPr>
            <w:tcW w:type="dxa" w:w="4819"/>
          </w:tcPr>
          <w:p>
            <w:pPr>
              <w:spacing w:after="20" w:before="20" w:line="240" w:lineRule="auto"/>
            </w:pPr>
            <w:r/>
            <w:r>
              <w:rPr>
                <w:rFonts w:ascii="Arial" w:hAnsi="Arial" w:cs="Arial"/>
                <w:b w:val="0"/>
                <w:i w:val="0"/>
                <w:sz w:val="17"/>
              </w:rPr>
              <w:t>F3</w:t>
            </w:r>
          </w:p>
        </w:tc>
      </w:tr>
      <w:tr>
        <w:tc>
          <w:tcPr>
            <w:tcW w:type="dxa" w:w="4819"/>
          </w:tcPr>
          <w:p>
            <w:pPr>
              <w:spacing w:after="20" w:before="20" w:line="240" w:lineRule="auto"/>
            </w:pPr>
            <w:r/>
            <w:r>
              <w:rPr>
                <w:rFonts w:ascii="Arial" w:hAnsi="Arial" w:cs="Arial"/>
                <w:b w:val="0"/>
                <w:i w:val="0"/>
                <w:sz w:val="17"/>
              </w:rPr>
              <w:t>Legal</w:t>
            </w:r>
          </w:p>
        </w:tc>
        <w:tc>
          <w:tcPr>
            <w:tcW w:type="dxa" w:w="4819"/>
          </w:tcPr>
          <w:p>
            <w:pPr>
              <w:spacing w:after="20" w:before="20" w:line="240" w:lineRule="auto"/>
            </w:pPr>
            <w:r/>
            <w:r>
              <w:rPr>
                <w:rFonts w:ascii="Arial" w:hAnsi="Arial" w:cs="Arial"/>
                <w:b w:val="0"/>
                <w:i w:val="0"/>
                <w:sz w:val="17"/>
              </w:rPr>
              <w:t>F1</w:t>
            </w:r>
          </w:p>
        </w:tc>
      </w:tr>
      <w:tr>
        <w:tc>
          <w:tcPr>
            <w:tcW w:type="dxa" w:w="4819"/>
          </w:tcPr>
          <w:p>
            <w:pPr>
              <w:spacing w:after="20" w:before="20" w:line="240" w:lineRule="auto"/>
            </w:pPr>
            <w:r/>
            <w:r>
              <w:rPr>
                <w:rFonts w:ascii="Arial" w:hAnsi="Arial" w:cs="Arial"/>
                <w:b w:val="0"/>
                <w:i w:val="0"/>
                <w:sz w:val="17"/>
              </w:rPr>
              <w:t>Physical</w:t>
            </w:r>
          </w:p>
        </w:tc>
        <w:tc>
          <w:tcPr>
            <w:tcW w:type="dxa" w:w="4819"/>
          </w:tcPr>
          <w:p>
            <w:pPr>
              <w:spacing w:after="20" w:before="20" w:line="240" w:lineRule="auto"/>
            </w:pPr>
            <w:r/>
            <w:r>
              <w:rPr>
                <w:rFonts w:ascii="Arial" w:hAnsi="Arial" w:cs="Arial"/>
                <w:b w:val="0"/>
                <w:i w:val="0"/>
                <w:sz w:val="17"/>
              </w:rPr>
              <w:t>IN_TRANSIT</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COMPLETE</w:t>
            </w:r>
          </w:p>
        </w:tc>
      </w:tr>
      <w:tr>
        <w:tc>
          <w:tcPr>
            <w:tcW w:type="dxa" w:w="4819"/>
          </w:tcPr>
          <w:p>
            <w:pPr>
              <w:spacing w:after="20" w:before="20" w:line="240" w:lineRule="auto"/>
            </w:pPr>
            <w:r/>
            <w:r>
              <w:rPr>
                <w:rFonts w:ascii="Arial" w:hAnsi="Arial" w:cs="Arial"/>
                <w:b w:val="0"/>
                <w:i w:val="0"/>
                <w:sz w:val="17"/>
              </w:rPr>
              <w:t>Closure</w:t>
            </w:r>
          </w:p>
        </w:tc>
        <w:tc>
          <w:tcPr>
            <w:tcW w:type="dxa" w:w="4819"/>
          </w:tcPr>
          <w:p>
            <w:pPr>
              <w:spacing w:after="20" w:before="20" w:line="240" w:lineRule="auto"/>
            </w:pPr>
            <w:r/>
            <w:r>
              <w:rPr>
                <w:rFonts w:ascii="Arial" w:hAnsi="Arial" w:cs="Arial"/>
                <w:b w:val="0"/>
                <w:i w:val="0"/>
                <w:sz w:val="17"/>
              </w:rPr>
              <w:t>OPEN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is valid.</w:t>
      </w:r>
    </w:p>
    <w:p>
      <w:pPr>
        <w:keepNext/>
        <w:spacing w:before="240" w:after="100"/>
        <w:outlineLvl w:val="1"/>
      </w:pPr>
      <w:r>
        <w:rPr>
          <w:rFonts w:ascii="Arial" w:hAnsi="Arial" w:cs="Arial"/>
          <w:b/>
          <w:i w:val="0"/>
          <w:color w:val="2E528F"/>
          <w:sz w:val="26"/>
        </w:rPr>
        <w:t>19.10 Settlement Is Not Closure</w:t>
      </w:r>
    </w:p>
    <w:p>
      <w:pPr>
        <w:spacing w:after="80" w:line="293" w:lineRule="auto"/>
        <w:jc w:val="left"/>
      </w:pPr>
      <w:r>
        <w:rPr>
          <w:rFonts w:ascii="Times New Roman" w:hAnsi="Times New Roman" w:cs="Times New Roman"/>
          <w:b w:val="0"/>
          <w:i w:val="0"/>
          <w:sz w:val="22"/>
        </w:rPr>
        <w:t>SGTX explicitly distinguishes settlement from closure. Financial settlement confirmation does not automatically close a transaction. A transaction may remain open because of:</w:t>
      </w:r>
    </w:p>
    <w:p>
      <w:pPr>
        <w:spacing w:after="80" w:line="293" w:lineRule="auto"/>
        <w:ind w:left="283"/>
        <w:jc w:val="left"/>
      </w:pPr>
      <w:r>
        <w:rPr>
          <w:rFonts w:ascii="Times New Roman" w:hAnsi="Times New Roman" w:cs="Times New Roman"/>
          <w:b w:val="0"/>
          <w:i w:val="0"/>
          <w:sz w:val="22"/>
        </w:rPr>
        <w:t>- unresolved documents;</w:t>
      </w:r>
    </w:p>
    <w:p>
      <w:pPr>
        <w:spacing w:after="80" w:line="293" w:lineRule="auto"/>
        <w:ind w:left="283"/>
        <w:jc w:val="left"/>
      </w:pPr>
      <w:r>
        <w:rPr>
          <w:rFonts w:ascii="Times New Roman" w:hAnsi="Times New Roman" w:cs="Times New Roman"/>
          <w:b w:val="0"/>
          <w:i w:val="0"/>
          <w:sz w:val="22"/>
        </w:rPr>
        <w:t>- customs issues;</w:t>
      </w:r>
    </w:p>
    <w:p>
      <w:pPr>
        <w:spacing w:after="80" w:line="293" w:lineRule="auto"/>
        <w:ind w:left="283"/>
        <w:jc w:val="left"/>
      </w:pPr>
      <w:r>
        <w:rPr>
          <w:rFonts w:ascii="Times New Roman" w:hAnsi="Times New Roman" w:cs="Times New Roman"/>
          <w:b w:val="0"/>
          <w:i w:val="0"/>
          <w:sz w:val="22"/>
        </w:rPr>
        <w:t>- legal disputes;</w:t>
      </w:r>
    </w:p>
    <w:p>
      <w:pPr>
        <w:spacing w:after="80" w:line="293" w:lineRule="auto"/>
        <w:ind w:left="283"/>
        <w:jc w:val="left"/>
      </w:pPr>
      <w:r>
        <w:rPr>
          <w:rFonts w:ascii="Times New Roman" w:hAnsi="Times New Roman" w:cs="Times New Roman"/>
          <w:b w:val="0"/>
          <w:i w:val="0"/>
          <w:sz w:val="22"/>
        </w:rPr>
        <w:t>- late evidence;</w:t>
      </w:r>
    </w:p>
    <w:p>
      <w:pPr>
        <w:spacing w:after="80" w:line="293" w:lineRule="auto"/>
        <w:ind w:left="283"/>
        <w:jc w:val="left"/>
      </w:pPr>
      <w:r>
        <w:rPr>
          <w:rFonts w:ascii="Times New Roman" w:hAnsi="Times New Roman" w:cs="Times New Roman"/>
          <w:b w:val="0"/>
          <w:i w:val="0"/>
          <w:sz w:val="22"/>
        </w:rPr>
        <w:t>- counterparty disputes;</w:t>
      </w:r>
    </w:p>
    <w:p>
      <w:pPr>
        <w:spacing w:after="80" w:line="293" w:lineRule="auto"/>
        <w:ind w:left="283"/>
        <w:jc w:val="left"/>
      </w:pPr>
      <w:r>
        <w:rPr>
          <w:rFonts w:ascii="Times New Roman" w:hAnsi="Times New Roman" w:cs="Times New Roman"/>
          <w:b w:val="0"/>
          <w:i w:val="0"/>
          <w:sz w:val="22"/>
        </w:rPr>
        <w:t>- financial reconciliation;</w:t>
      </w:r>
    </w:p>
    <w:p>
      <w:pPr>
        <w:spacing w:after="80" w:line="293" w:lineRule="auto"/>
        <w:ind w:left="283"/>
        <w:jc w:val="left"/>
      </w:pPr>
      <w:r>
        <w:rPr>
          <w:rFonts w:ascii="Times New Roman" w:hAnsi="Times New Roman" w:cs="Times New Roman"/>
          <w:b w:val="0"/>
          <w:i w:val="0"/>
          <w:sz w:val="22"/>
        </w:rPr>
        <w:t>- logistics obligations;</w:t>
      </w:r>
    </w:p>
    <w:p>
      <w:pPr>
        <w:spacing w:after="80" w:line="293" w:lineRule="auto"/>
        <w:ind w:left="283"/>
        <w:jc w:val="left"/>
      </w:pPr>
      <w:r>
        <w:rPr>
          <w:rFonts w:ascii="Times New Roman" w:hAnsi="Times New Roman" w:cs="Times New Roman"/>
          <w:b w:val="0"/>
          <w:i w:val="0"/>
          <w:sz w:val="22"/>
        </w:rPr>
        <w:t>- contractual post-settlement obligations;</w:t>
      </w:r>
    </w:p>
    <w:p>
      <w:pPr>
        <w:spacing w:after="80" w:line="293" w:lineRule="auto"/>
        <w:ind w:left="283"/>
        <w:jc w:val="left"/>
      </w:pPr>
      <w:r>
        <w:rPr>
          <w:rFonts w:ascii="Times New Roman" w:hAnsi="Times New Roman" w:cs="Times New Roman"/>
          <w:b w:val="0"/>
          <w:i w:val="0"/>
          <w:sz w:val="22"/>
        </w:rPr>
        <w:t>- regulatory requirements;</w:t>
      </w:r>
    </w:p>
    <w:p>
      <w:pPr>
        <w:spacing w:after="80" w:line="293" w:lineRule="auto"/>
        <w:ind w:left="283"/>
        <w:jc w:val="left"/>
      </w:pPr>
      <w:r>
        <w:rPr>
          <w:rFonts w:ascii="Times New Roman" w:hAnsi="Times New Roman" w:cs="Times New Roman"/>
          <w:b w:val="0"/>
          <w:i w:val="0"/>
          <w:sz w:val="22"/>
        </w:rPr>
        <w:t>- outstanding exposure.</w:t>
      </w:r>
    </w:p>
    <w:p>
      <w:pPr>
        <w:keepNext/>
        <w:spacing w:before="240" w:after="100"/>
        <w:outlineLvl w:val="1"/>
      </w:pPr>
      <w:r>
        <w:rPr>
          <w:rFonts w:ascii="Arial" w:hAnsi="Arial" w:cs="Arial"/>
          <w:b/>
          <w:i w:val="0"/>
          <w:color w:val="2E528F"/>
          <w:sz w:val="26"/>
        </w:rPr>
        <w:t>19.11 Closure as a Policy-Derived Condition</w:t>
      </w:r>
    </w:p>
    <w:p>
      <w:pPr>
        <w:spacing w:after="80" w:line="293" w:lineRule="auto"/>
        <w:jc w:val="left"/>
      </w:pPr>
      <w:r>
        <w:rPr>
          <w:rFonts w:ascii="Times New Roman" w:hAnsi="Times New Roman" w:cs="Times New Roman"/>
          <w:b w:val="0"/>
          <w:i w:val="0"/>
          <w:sz w:val="22"/>
        </w:rPr>
        <w:t>Closure is never an arbitrary field that a developer can assign. The architecture contains a Closure Policy Engine:</w:t>
      </w:r>
    </w:p>
    <w:p>
      <w:pPr>
        <w:spacing w:after="0" w:before="0" w:line="240" w:lineRule="auto"/>
        <w:ind w:left="57"/>
        <w:jc w:val="left"/>
        <w:shd w:val="clear" w:fill="F2F2F2"/>
      </w:pPr>
      <w:r>
        <w:rPr>
          <w:rFonts w:ascii="Consolas" w:hAnsi="Consolas" w:cs="Consolas"/>
          <w:b w:val="0"/>
          <w:i w:val="0"/>
          <w:sz w:val="15"/>
        </w:rPr>
        <w:t>Required Conditions → Closure Policy → State Vector Evaluation</w:t>
      </w:r>
    </w:p>
    <w:p>
      <w:pPr>
        <w:spacing w:after="0" w:before="0" w:line="240" w:lineRule="auto"/>
        <w:ind w:left="57"/>
        <w:jc w:val="left"/>
        <w:shd w:val="clear" w:fill="F2F2F2"/>
      </w:pPr>
      <w:r>
        <w:rPr>
          <w:rFonts w:ascii="Consolas" w:hAnsi="Consolas" w:cs="Consolas"/>
          <w:b w:val="0"/>
          <w:i w:val="0"/>
          <w:sz w:val="15"/>
        </w:rPr>
        <w:t xml:space="preserve">    → All required conditions satisfied?</w:t>
      </w:r>
    </w:p>
    <w:p>
      <w:pPr>
        <w:spacing w:after="0" w:before="0" w:line="240" w:lineRule="auto"/>
        <w:ind w:left="57"/>
        <w:jc w:val="left"/>
        <w:shd w:val="clear" w:fill="F2F2F2"/>
      </w:pPr>
      <w:r>
        <w:rPr>
          <w:rFonts w:ascii="Consolas" w:hAnsi="Consolas" w:cs="Consolas"/>
          <w:b w:val="0"/>
          <w:i w:val="0"/>
          <w:sz w:val="15"/>
        </w:rPr>
        <w:t xml:space="preserve">        → YES → CLOSED</w:t>
      </w:r>
    </w:p>
    <w:p>
      <w:pPr>
        <w:spacing w:after="0" w:before="0" w:line="240" w:lineRule="auto"/>
        <w:ind w:left="57"/>
        <w:jc w:val="left"/>
        <w:shd w:val="clear" w:fill="F2F2F2"/>
      </w:pPr>
      <w:r>
        <w:rPr>
          <w:rFonts w:ascii="Consolas" w:hAnsi="Consolas" w:cs="Consolas"/>
          <w:b w:val="0"/>
          <w:i w:val="0"/>
          <w:sz w:val="15"/>
        </w:rPr>
        <w:t xml:space="preserve">        → NO  → OPEN / SUSPENDED / CLOSED_WITH_EXCEPTION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Closure must be derived from governed requirements. No manual or automated process may bypass closure policy.</w:t>
      </w:r>
    </w:p>
    <w:p>
      <w:pPr>
        <w:keepNext/>
        <w:spacing w:before="240" w:after="100"/>
        <w:outlineLvl w:val="1"/>
      </w:pPr>
      <w:r>
        <w:rPr>
          <w:rFonts w:ascii="Arial" w:hAnsi="Arial" w:cs="Arial"/>
          <w:b/>
          <w:i w:val="0"/>
          <w:color w:val="2E528F"/>
          <w:sz w:val="26"/>
        </w:rPr>
        <w:t>19.12 Immutable Canonical Event Spine</w:t>
      </w:r>
    </w:p>
    <w:p>
      <w:pPr>
        <w:spacing w:after="80" w:line="293" w:lineRule="auto"/>
        <w:jc w:val="left"/>
      </w:pPr>
      <w:r>
        <w:rPr>
          <w:rFonts w:ascii="Times New Roman" w:hAnsi="Times New Roman" w:cs="Times New Roman"/>
          <w:b w:val="0"/>
          <w:i w:val="0"/>
          <w:sz w:val="22"/>
        </w:rPr>
        <w:t>SGTX requires a canonical append-only event history. Every material event is represented as a new event. Examples:</w:t>
      </w:r>
    </w:p>
    <w:p>
      <w:pPr>
        <w:spacing w:after="80" w:line="293" w:lineRule="auto"/>
        <w:ind w:left="283"/>
        <w:jc w:val="left"/>
      </w:pPr>
      <w:r>
        <w:rPr>
          <w:rFonts w:ascii="Times New Roman" w:hAnsi="Times New Roman" w:cs="Times New Roman"/>
          <w:b w:val="0"/>
          <w:i w:val="0"/>
          <w:sz w:val="22"/>
        </w:rPr>
        <w:t>- TRADE_CREATED</w:t>
      </w:r>
    </w:p>
    <w:p>
      <w:pPr>
        <w:spacing w:after="80" w:line="293" w:lineRule="auto"/>
        <w:ind w:left="283"/>
        <w:jc w:val="left"/>
      </w:pPr>
      <w:r>
        <w:rPr>
          <w:rFonts w:ascii="Times New Roman" w:hAnsi="Times New Roman" w:cs="Times New Roman"/>
          <w:b w:val="0"/>
          <w:i w:val="0"/>
          <w:sz w:val="22"/>
        </w:rPr>
        <w:t>- COUNTERPARTY_VERIFIED</w:t>
      </w:r>
    </w:p>
    <w:p>
      <w:pPr>
        <w:spacing w:after="80" w:line="293" w:lineRule="auto"/>
        <w:ind w:left="283"/>
        <w:jc w:val="left"/>
      </w:pPr>
      <w:r>
        <w:rPr>
          <w:rFonts w:ascii="Times New Roman" w:hAnsi="Times New Roman" w:cs="Times New Roman"/>
          <w:b w:val="0"/>
          <w:i w:val="0"/>
          <w:sz w:val="22"/>
        </w:rPr>
        <w:t>- CONTRACT_SIGNED</w:t>
      </w:r>
    </w:p>
    <w:p>
      <w:pPr>
        <w:spacing w:after="80" w:line="293" w:lineRule="auto"/>
        <w:ind w:left="283"/>
        <w:jc w:val="left"/>
      </w:pPr>
      <w:r>
        <w:rPr>
          <w:rFonts w:ascii="Times New Roman" w:hAnsi="Times New Roman" w:cs="Times New Roman"/>
          <w:b w:val="0"/>
          <w:i w:val="0"/>
          <w:sz w:val="22"/>
        </w:rPr>
        <w:t>- OBLIGATION_CREATED</w:t>
      </w:r>
    </w:p>
    <w:p>
      <w:pPr>
        <w:spacing w:after="80" w:line="293" w:lineRule="auto"/>
        <w:ind w:left="283"/>
        <w:jc w:val="left"/>
      </w:pPr>
      <w:r>
        <w:rPr>
          <w:rFonts w:ascii="Times New Roman" w:hAnsi="Times New Roman" w:cs="Times New Roman"/>
          <w:b w:val="0"/>
          <w:i w:val="0"/>
          <w:sz w:val="22"/>
        </w:rPr>
        <w:t>- DOCUMENT_ACCEPTED</w:t>
      </w:r>
    </w:p>
    <w:p>
      <w:pPr>
        <w:spacing w:after="80" w:line="293" w:lineRule="auto"/>
        <w:ind w:left="283"/>
        <w:jc w:val="left"/>
      </w:pPr>
      <w:r>
        <w:rPr>
          <w:rFonts w:ascii="Times New Roman" w:hAnsi="Times New Roman" w:cs="Times New Roman"/>
          <w:b w:val="0"/>
          <w:i w:val="0"/>
          <w:sz w:val="22"/>
        </w:rPr>
        <w:t>- DOCUMENT_REVOKED</w:t>
      </w:r>
    </w:p>
    <w:p>
      <w:pPr>
        <w:spacing w:after="80" w:line="293" w:lineRule="auto"/>
        <w:ind w:left="283"/>
        <w:jc w:val="left"/>
      </w:pPr>
      <w:r>
        <w:rPr>
          <w:rFonts w:ascii="Times New Roman" w:hAnsi="Times New Roman" w:cs="Times New Roman"/>
          <w:b w:val="0"/>
          <w:i w:val="0"/>
          <w:sz w:val="22"/>
        </w:rPr>
        <w:t>- MILESTONE_REACHED</w:t>
      </w:r>
    </w:p>
    <w:p>
      <w:pPr>
        <w:spacing w:after="80" w:line="293" w:lineRule="auto"/>
        <w:ind w:left="283"/>
        <w:jc w:val="left"/>
      </w:pPr>
      <w:r>
        <w:rPr>
          <w:rFonts w:ascii="Times New Roman" w:hAnsi="Times New Roman" w:cs="Times New Roman"/>
          <w:b w:val="0"/>
          <w:i w:val="0"/>
          <w:sz w:val="22"/>
        </w:rPr>
        <w:t>- MILESTONE_DISPUTED</w:t>
      </w:r>
    </w:p>
    <w:p>
      <w:pPr>
        <w:spacing w:after="80" w:line="293" w:lineRule="auto"/>
        <w:ind w:left="283"/>
        <w:jc w:val="left"/>
      </w:pPr>
      <w:r>
        <w:rPr>
          <w:rFonts w:ascii="Times New Roman" w:hAnsi="Times New Roman" w:cs="Times New Roman"/>
          <w:b w:val="0"/>
          <w:i w:val="0"/>
          <w:sz w:val="22"/>
        </w:rPr>
        <w:t>- PAYMENT_INSTRUCTION_CREATED</w:t>
      </w:r>
    </w:p>
    <w:p>
      <w:pPr>
        <w:spacing w:after="80" w:line="293" w:lineRule="auto"/>
        <w:ind w:left="283"/>
        <w:jc w:val="left"/>
      </w:pPr>
      <w:r>
        <w:rPr>
          <w:rFonts w:ascii="Times New Roman" w:hAnsi="Times New Roman" w:cs="Times New Roman"/>
          <w:b w:val="0"/>
          <w:i w:val="0"/>
          <w:sz w:val="22"/>
        </w:rPr>
        <w:t>- PAYMENT_ACCEPTED</w:t>
      </w:r>
    </w:p>
    <w:p>
      <w:pPr>
        <w:spacing w:after="80" w:line="293" w:lineRule="auto"/>
        <w:ind w:left="283"/>
        <w:jc w:val="left"/>
      </w:pPr>
      <w:r>
        <w:rPr>
          <w:rFonts w:ascii="Times New Roman" w:hAnsi="Times New Roman" w:cs="Times New Roman"/>
          <w:b w:val="0"/>
          <w:i w:val="0"/>
          <w:sz w:val="22"/>
        </w:rPr>
        <w:t>- PAYMENT_SETTLED</w:t>
      </w:r>
    </w:p>
    <w:p>
      <w:pPr>
        <w:spacing w:after="80" w:line="293" w:lineRule="auto"/>
        <w:ind w:left="283"/>
        <w:jc w:val="left"/>
      </w:pPr>
      <w:r>
        <w:rPr>
          <w:rFonts w:ascii="Times New Roman" w:hAnsi="Times New Roman" w:cs="Times New Roman"/>
          <w:b w:val="0"/>
          <w:i w:val="0"/>
          <w:sz w:val="22"/>
        </w:rPr>
        <w:t>- PAYMENT_PARTIALLY_SETTLED</w:t>
      </w:r>
    </w:p>
    <w:p>
      <w:pPr>
        <w:spacing w:after="80" w:line="293" w:lineRule="auto"/>
        <w:ind w:left="283"/>
        <w:jc w:val="left"/>
      </w:pPr>
      <w:r>
        <w:rPr>
          <w:rFonts w:ascii="Times New Roman" w:hAnsi="Times New Roman" w:cs="Times New Roman"/>
          <w:b w:val="0"/>
          <w:i w:val="0"/>
          <w:sz w:val="22"/>
        </w:rPr>
        <w:t>- PAYMENT_RETURN_REQUESTED</w:t>
      </w:r>
    </w:p>
    <w:p>
      <w:pPr>
        <w:spacing w:after="80" w:line="293" w:lineRule="auto"/>
        <w:ind w:left="283"/>
        <w:jc w:val="left"/>
      </w:pPr>
      <w:r>
        <w:rPr>
          <w:rFonts w:ascii="Times New Roman" w:hAnsi="Times New Roman" w:cs="Times New Roman"/>
          <w:b w:val="0"/>
          <w:i w:val="0"/>
          <w:sz w:val="22"/>
        </w:rPr>
        <w:t>- PAYMENT_RETURNED</w:t>
      </w:r>
    </w:p>
    <w:p>
      <w:pPr>
        <w:spacing w:after="80" w:line="293" w:lineRule="auto"/>
        <w:ind w:left="283"/>
        <w:jc w:val="left"/>
      </w:pPr>
      <w:r>
        <w:rPr>
          <w:rFonts w:ascii="Times New Roman" w:hAnsi="Times New Roman" w:cs="Times New Roman"/>
          <w:b w:val="0"/>
          <w:i w:val="0"/>
          <w:sz w:val="22"/>
        </w:rPr>
        <w:t>- PAYMENT_RECALLED</w:t>
      </w:r>
    </w:p>
    <w:p>
      <w:pPr>
        <w:spacing w:after="80" w:line="293" w:lineRule="auto"/>
        <w:ind w:left="283"/>
        <w:jc w:val="left"/>
      </w:pPr>
      <w:r>
        <w:rPr>
          <w:rFonts w:ascii="Times New Roman" w:hAnsi="Times New Roman" w:cs="Times New Roman"/>
          <w:b w:val="0"/>
          <w:i w:val="0"/>
          <w:sz w:val="22"/>
        </w:rPr>
        <w:t>- PAYMENT_REVERSED</w:t>
      </w:r>
    </w:p>
    <w:p>
      <w:pPr>
        <w:spacing w:after="80" w:line="293" w:lineRule="auto"/>
        <w:ind w:left="283"/>
        <w:jc w:val="left"/>
      </w:pPr>
      <w:r>
        <w:rPr>
          <w:rFonts w:ascii="Times New Roman" w:hAnsi="Times New Roman" w:cs="Times New Roman"/>
          <w:b w:val="0"/>
          <w:i w:val="0"/>
          <w:sz w:val="22"/>
        </w:rPr>
        <w:t>- COMPLIANCE_HOLD</w:t>
      </w:r>
    </w:p>
    <w:p>
      <w:pPr>
        <w:spacing w:after="80" w:line="293" w:lineRule="auto"/>
        <w:ind w:left="283"/>
        <w:jc w:val="left"/>
      </w:pPr>
      <w:r>
        <w:rPr>
          <w:rFonts w:ascii="Times New Roman" w:hAnsi="Times New Roman" w:cs="Times New Roman"/>
          <w:b w:val="0"/>
          <w:i w:val="0"/>
          <w:sz w:val="22"/>
        </w:rPr>
        <w:t>- CUSTOMS_HOLD</w:t>
      </w:r>
    </w:p>
    <w:p>
      <w:pPr>
        <w:spacing w:after="80" w:line="293" w:lineRule="auto"/>
        <w:ind w:left="283"/>
        <w:jc w:val="left"/>
      </w:pPr>
      <w:r>
        <w:rPr>
          <w:rFonts w:ascii="Times New Roman" w:hAnsi="Times New Roman" w:cs="Times New Roman"/>
          <w:b w:val="0"/>
          <w:i w:val="0"/>
          <w:sz w:val="22"/>
        </w:rPr>
        <w:t>- LEGAL_ORDER_RECEIVED</w:t>
      </w:r>
    </w:p>
    <w:p>
      <w:pPr>
        <w:spacing w:after="80" w:line="293" w:lineRule="auto"/>
        <w:ind w:left="283"/>
        <w:jc w:val="left"/>
      </w:pPr>
      <w:r>
        <w:rPr>
          <w:rFonts w:ascii="Times New Roman" w:hAnsi="Times New Roman" w:cs="Times New Roman"/>
          <w:b w:val="0"/>
          <w:i w:val="0"/>
          <w:sz w:val="22"/>
        </w:rPr>
        <w:t>- RECONCILIATION_OPENED</w:t>
      </w:r>
    </w:p>
    <w:p>
      <w:pPr>
        <w:spacing w:after="80" w:line="293" w:lineRule="auto"/>
        <w:ind w:left="283"/>
        <w:jc w:val="left"/>
      </w:pPr>
      <w:r>
        <w:rPr>
          <w:rFonts w:ascii="Times New Roman" w:hAnsi="Times New Roman" w:cs="Times New Roman"/>
          <w:b w:val="0"/>
          <w:i w:val="0"/>
          <w:sz w:val="22"/>
        </w:rPr>
        <w:t>- RECONCILIATION_RESOLVED</w:t>
      </w:r>
    </w:p>
    <w:p>
      <w:pPr>
        <w:spacing w:after="80" w:line="293" w:lineRule="auto"/>
        <w:ind w:left="283"/>
        <w:jc w:val="left"/>
      </w:pPr>
      <w:r>
        <w:rPr>
          <w:rFonts w:ascii="Times New Roman" w:hAnsi="Times New Roman" w:cs="Times New Roman"/>
          <w:b w:val="0"/>
          <w:i w:val="0"/>
          <w:sz w:val="22"/>
        </w:rPr>
        <w:t>- CORRECTIVE_EXECUTION</w:t>
      </w:r>
    </w:p>
    <w:p>
      <w:pPr>
        <w:spacing w:after="80" w:line="293" w:lineRule="auto"/>
        <w:ind w:left="283"/>
        <w:jc w:val="left"/>
      </w:pPr>
      <w:r>
        <w:rPr>
          <w:rFonts w:ascii="Times New Roman" w:hAnsi="Times New Roman" w:cs="Times New Roman"/>
          <w:b w:val="0"/>
          <w:i w:val="0"/>
          <w:sz w:val="22"/>
        </w:rPr>
        <w:t>- COMPENSATING_EXECUTION</w:t>
      </w:r>
    </w:p>
    <w:p>
      <w:pPr>
        <w:spacing w:after="80" w:line="293" w:lineRule="auto"/>
        <w:ind w:left="283"/>
        <w:jc w:val="left"/>
      </w:pPr>
      <w:r>
        <w:rPr>
          <w:rFonts w:ascii="Times New Roman" w:hAnsi="Times New Roman" w:cs="Times New Roman"/>
          <w:b w:val="0"/>
          <w:i w:val="0"/>
          <w:sz w:val="22"/>
        </w:rPr>
        <w:t>- POST_CLOSURE_EVENT</w:t>
      </w:r>
    </w:p>
    <w:p>
      <w:pPr>
        <w:spacing w:after="80" w:line="293" w:lineRule="auto"/>
        <w:ind w:left="283"/>
        <w:jc w:val="left"/>
      </w:pPr>
      <w:r>
        <w:rPr>
          <w:rFonts w:ascii="Times New Roman" w:hAnsi="Times New Roman" w:cs="Times New Roman"/>
          <w:b w:val="0"/>
          <w:i w:val="0"/>
          <w:sz w:val="22"/>
        </w:rPr>
        <w:t>- TRADE_CLOSED</w:t>
      </w:r>
    </w:p>
    <w:p>
      <w:pPr>
        <w:spacing w:after="80" w:line="293" w:lineRule="auto"/>
        <w:jc w:val="left"/>
      </w:pPr>
      <w:r>
        <w:rPr>
          <w:rFonts w:ascii="Times New Roman" w:hAnsi="Times New Roman" w:cs="Times New Roman"/>
          <w:b w:val="0"/>
          <w:i w:val="0"/>
          <w:sz w:val="22"/>
        </w:rPr>
        <w:t>No destructive state rewriting is permitted as the authoritative historical mechanism.</w:t>
      </w:r>
    </w:p>
    <w:p>
      <w:pPr>
        <w:keepNext/>
        <w:spacing w:before="180" w:after="80"/>
        <w:outlineLvl w:val="2"/>
      </w:pPr>
      <w:r>
        <w:rPr>
          <w:rFonts w:ascii="Arial" w:hAnsi="Arial" w:cs="Arial"/>
          <w:b/>
          <w:i w:val="0"/>
          <w:color w:val="333333"/>
          <w:sz w:val="23"/>
        </w:rPr>
        <w:t>19.12.1 Required Event Fields</w:t>
      </w:r>
    </w:p>
    <w:p>
      <w:pPr>
        <w:spacing w:after="80" w:line="293" w:lineRule="auto"/>
        <w:jc w:val="left"/>
      </w:pPr>
      <w:r>
        <w:rPr>
          <w:rFonts w:ascii="Times New Roman" w:hAnsi="Times New Roman" w:cs="Times New Roman"/>
          <w:b w:val="0"/>
          <w:i w:val="0"/>
          <w:sz w:val="22"/>
        </w:rPr>
        <w:t>Every material event on the canonical event spine carries the complete event envelope. The minimum required fields are:</w:t>
      </w:r>
    </w:p>
    <w:p>
      <w:pPr>
        <w:spacing w:after="0" w:before="0" w:line="240" w:lineRule="auto"/>
        <w:ind w:left="57"/>
        <w:jc w:val="left"/>
        <w:shd w:val="clear" w:fill="F2F2F2"/>
      </w:pPr>
      <w:r>
        <w:rPr>
          <w:rFonts w:ascii="Consolas" w:hAnsi="Consolas" w:cs="Consolas"/>
          <w:b w:val="0"/>
          <w:i w:val="0"/>
          <w:sz w:val="15"/>
        </w:rPr>
        <w:t>event_id                  unique event identifier</w:t>
      </w:r>
    </w:p>
    <w:p>
      <w:pPr>
        <w:spacing w:after="0" w:before="0" w:line="240" w:lineRule="auto"/>
        <w:ind w:left="57"/>
        <w:jc w:val="left"/>
        <w:shd w:val="clear" w:fill="F2F2F2"/>
      </w:pPr>
      <w:r>
        <w:rPr>
          <w:rFonts w:ascii="Consolas" w:hAnsi="Consolas" w:cs="Consolas"/>
          <w:b w:val="0"/>
          <w:i w:val="0"/>
          <w:sz w:val="15"/>
        </w:rPr>
        <w:t>event_type                canonical event type</w:t>
      </w:r>
    </w:p>
    <w:p>
      <w:pPr>
        <w:spacing w:after="0" w:before="0" w:line="240" w:lineRule="auto"/>
        <w:ind w:left="57"/>
        <w:jc w:val="left"/>
        <w:shd w:val="clear" w:fill="F2F2F2"/>
      </w:pPr>
      <w:r>
        <w:rPr>
          <w:rFonts w:ascii="Consolas" w:hAnsi="Consolas" w:cs="Consolas"/>
          <w:b w:val="0"/>
          <w:i w:val="0"/>
          <w:sz w:val="15"/>
        </w:rPr>
        <w:t>aggregate_type            the aggregate the event applies to</w:t>
      </w:r>
    </w:p>
    <w:p>
      <w:pPr>
        <w:spacing w:after="0" w:before="0" w:line="240" w:lineRule="auto"/>
        <w:ind w:left="57"/>
        <w:jc w:val="left"/>
        <w:shd w:val="clear" w:fill="F2F2F2"/>
      </w:pPr>
      <w:r>
        <w:rPr>
          <w:rFonts w:ascii="Consolas" w:hAnsi="Consolas" w:cs="Consolas"/>
          <w:b w:val="0"/>
          <w:i w:val="0"/>
          <w:sz w:val="15"/>
        </w:rPr>
        <w:t>aggregate_id              identifier of the aggregate</w:t>
      </w:r>
    </w:p>
    <w:p>
      <w:pPr>
        <w:spacing w:after="0" w:before="0" w:line="240" w:lineRule="auto"/>
        <w:ind w:left="57"/>
        <w:jc w:val="left"/>
        <w:shd w:val="clear" w:fill="F2F2F2"/>
      </w:pPr>
      <w:r>
        <w:rPr>
          <w:rFonts w:ascii="Consolas" w:hAnsi="Consolas" w:cs="Consolas"/>
          <w:b w:val="0"/>
          <w:i w:val="0"/>
          <w:sz w:val="15"/>
        </w:rPr>
        <w:t>ustn                      USTN where applicable (post-lock events)</w:t>
      </w:r>
    </w:p>
    <w:p>
      <w:pPr>
        <w:spacing w:after="0" w:before="0" w:line="240" w:lineRule="auto"/>
        <w:ind w:left="57"/>
        <w:jc w:val="left"/>
        <w:shd w:val="clear" w:fill="F2F2F2"/>
      </w:pPr>
      <w:r>
        <w:rPr>
          <w:rFonts w:ascii="Consolas" w:hAnsi="Consolas" w:cs="Consolas"/>
          <w:b w:val="0"/>
          <w:i w:val="0"/>
          <w:sz w:val="15"/>
        </w:rPr>
        <w:t>actor                     human or system actor (GTID/employee/service)</w:t>
      </w:r>
    </w:p>
    <w:p>
      <w:pPr>
        <w:spacing w:after="0" w:before="0" w:line="240" w:lineRule="auto"/>
        <w:ind w:left="57"/>
        <w:jc w:val="left"/>
        <w:shd w:val="clear" w:fill="F2F2F2"/>
      </w:pPr>
      <w:r>
        <w:rPr>
          <w:rFonts w:ascii="Consolas" w:hAnsi="Consolas" w:cs="Consolas"/>
          <w:b w:val="0"/>
          <w:i w:val="0"/>
          <w:sz w:val="15"/>
        </w:rPr>
        <w:t>authority_domain          authority domain of the actor</w:t>
      </w:r>
    </w:p>
    <w:p>
      <w:pPr>
        <w:spacing w:after="0" w:before="0" w:line="240" w:lineRule="auto"/>
        <w:ind w:left="57"/>
        <w:jc w:val="left"/>
        <w:shd w:val="clear" w:fill="F2F2F2"/>
      </w:pPr>
      <w:r>
        <w:rPr>
          <w:rFonts w:ascii="Consolas" w:hAnsi="Consolas" w:cs="Consolas"/>
          <w:b w:val="0"/>
          <w:i w:val="0"/>
          <w:sz w:val="15"/>
        </w:rPr>
        <w:t>source                    originating subsystem or external source</w:t>
      </w:r>
    </w:p>
    <w:p>
      <w:pPr>
        <w:spacing w:after="0" w:before="0" w:line="240" w:lineRule="auto"/>
        <w:ind w:left="57"/>
        <w:jc w:val="left"/>
        <w:shd w:val="clear" w:fill="F2F2F2"/>
      </w:pPr>
      <w:r>
        <w:rPr>
          <w:rFonts w:ascii="Consolas" w:hAnsi="Consolas" w:cs="Consolas"/>
          <w:b w:val="0"/>
          <w:i w:val="0"/>
          <w:sz w:val="15"/>
        </w:rPr>
        <w:t>occurred_at               when the event happened in the world</w:t>
      </w:r>
    </w:p>
    <w:p>
      <w:pPr>
        <w:spacing w:after="0" w:before="0" w:line="240" w:lineRule="auto"/>
        <w:ind w:left="57"/>
        <w:jc w:val="left"/>
        <w:shd w:val="clear" w:fill="F2F2F2"/>
      </w:pPr>
      <w:r>
        <w:rPr>
          <w:rFonts w:ascii="Consolas" w:hAnsi="Consolas" w:cs="Consolas"/>
          <w:b w:val="0"/>
          <w:i w:val="0"/>
          <w:sz w:val="15"/>
        </w:rPr>
        <w:t>observed_at               when the platform learned of it</w:t>
      </w:r>
    </w:p>
    <w:p>
      <w:pPr>
        <w:spacing w:after="0" w:before="0" w:line="240" w:lineRule="auto"/>
        <w:ind w:left="57"/>
        <w:jc w:val="left"/>
        <w:shd w:val="clear" w:fill="F2F2F2"/>
      </w:pPr>
      <w:r>
        <w:rPr>
          <w:rFonts w:ascii="Consolas" w:hAnsi="Consolas" w:cs="Consolas"/>
          <w:b w:val="0"/>
          <w:i w:val="0"/>
          <w:sz w:val="15"/>
        </w:rPr>
        <w:t>recorded_at               when it was durably recorded</w:t>
      </w:r>
    </w:p>
    <w:p>
      <w:pPr>
        <w:spacing w:after="0" w:before="0" w:line="240" w:lineRule="auto"/>
        <w:ind w:left="57"/>
        <w:jc w:val="left"/>
        <w:shd w:val="clear" w:fill="F2F2F2"/>
      </w:pPr>
      <w:r>
        <w:rPr>
          <w:rFonts w:ascii="Consolas" w:hAnsi="Consolas" w:cs="Consolas"/>
          <w:b w:val="0"/>
          <w:i w:val="0"/>
          <w:sz w:val="15"/>
        </w:rPr>
        <w:t>effective_at              effective time where applicable</w:t>
      </w:r>
    </w:p>
    <w:p>
      <w:pPr>
        <w:spacing w:after="0" w:before="0" w:line="240" w:lineRule="auto"/>
        <w:ind w:left="57"/>
        <w:jc w:val="left"/>
        <w:shd w:val="clear" w:fill="F2F2F2"/>
      </w:pPr>
      <w:r>
        <w:rPr>
          <w:rFonts w:ascii="Consolas" w:hAnsi="Consolas" w:cs="Consolas"/>
          <w:b w:val="0"/>
          <w:i w:val="0"/>
          <w:sz w:val="15"/>
        </w:rPr>
        <w:t>previous_state_hash       hash chain link where applicable</w:t>
      </w:r>
    </w:p>
    <w:p>
      <w:pPr>
        <w:spacing w:after="0" w:before="0" w:line="240" w:lineRule="auto"/>
        <w:ind w:left="57"/>
        <w:jc w:val="left"/>
        <w:shd w:val="clear" w:fill="F2F2F2"/>
      </w:pPr>
      <w:r>
        <w:rPr>
          <w:rFonts w:ascii="Consolas" w:hAnsi="Consolas" w:cs="Consolas"/>
          <w:b w:val="0"/>
          <w:i w:val="0"/>
          <w:sz w:val="15"/>
        </w:rPr>
        <w:t>event_hash                tamper-evident event hash</w:t>
      </w:r>
    </w:p>
    <w:p>
      <w:pPr>
        <w:spacing w:after="0" w:before="0" w:line="240" w:lineRule="auto"/>
        <w:ind w:left="57"/>
        <w:jc w:val="left"/>
        <w:shd w:val="clear" w:fill="F2F2F2"/>
      </w:pPr>
      <w:r>
        <w:rPr>
          <w:rFonts w:ascii="Consolas" w:hAnsi="Consolas" w:cs="Consolas"/>
          <w:b w:val="0"/>
          <w:i w:val="0"/>
          <w:sz w:val="15"/>
        </w:rPr>
        <w:t>policy_version            policy in force at event time</w:t>
      </w:r>
    </w:p>
    <w:p>
      <w:pPr>
        <w:spacing w:after="0" w:before="0" w:line="240" w:lineRule="auto"/>
        <w:ind w:left="57"/>
        <w:jc w:val="left"/>
        <w:shd w:val="clear" w:fill="F2F2F2"/>
      </w:pPr>
      <w:r>
        <w:rPr>
          <w:rFonts w:ascii="Consolas" w:hAnsi="Consolas" w:cs="Consolas"/>
          <w:b w:val="0"/>
          <w:i w:val="0"/>
          <w:sz w:val="15"/>
        </w:rPr>
        <w:t>evidence_reference        supporting evidence linkage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Events are append-only; corrections are new events (Section 19.19). The three-timestamp discipline (occurred_at, observed_at, recorded_at) is mandatory and a single generic updated_at field never represents all three concepts (Section 19.16). Events that represent external facts additionally carry the authority metadata of Section 19.32.1.</w:t>
      </w:r>
    </w:p>
    <w:p>
      <w:pPr>
        <w:keepNext/>
        <w:spacing w:before="240" w:after="100"/>
        <w:outlineLvl w:val="1"/>
      </w:pPr>
      <w:r>
        <w:rPr>
          <w:rFonts w:ascii="Arial" w:hAnsi="Arial" w:cs="Arial"/>
          <w:b/>
          <w:i w:val="0"/>
          <w:color w:val="2E528F"/>
          <w:sz w:val="26"/>
        </w:rPr>
        <w:t>19.13 Historical Truth vs Current State</w:t>
      </w:r>
    </w:p>
    <w:p>
      <w:pPr>
        <w:spacing w:after="80" w:line="293" w:lineRule="auto"/>
        <w:jc w:val="left"/>
      </w:pPr>
      <w:r>
        <w:rPr>
          <w:rFonts w:ascii="Times New Roman" w:hAnsi="Times New Roman" w:cs="Times New Roman"/>
          <w:b w:val="0"/>
          <w:i w:val="0"/>
          <w:sz w:val="22"/>
        </w:rPr>
        <w:t>SGTX explicitly separates: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Dimension</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Historical Record</w:t>
            </w:r>
          </w:p>
        </w:tc>
        <w:tc>
          <w:tcPr>
            <w:tcW w:type="dxa" w:w="4819"/>
          </w:tcPr>
          <w:p>
            <w:pPr>
              <w:spacing w:after="20" w:before="20" w:line="240" w:lineRule="auto"/>
            </w:pPr>
            <w:r/>
            <w:r>
              <w:rPr>
                <w:rFonts w:ascii="Arial" w:hAnsi="Arial" w:cs="Arial"/>
                <w:b w:val="0"/>
                <w:i w:val="0"/>
                <w:sz w:val="17"/>
              </w:rPr>
              <w:t>What events occurred and were recorded.</w:t>
            </w:r>
          </w:p>
        </w:tc>
      </w:tr>
      <w:tr>
        <w:tc>
          <w:tcPr>
            <w:tcW w:type="dxa" w:w="4819"/>
          </w:tcPr>
          <w:p>
            <w:pPr>
              <w:spacing w:after="20" w:before="20" w:line="240" w:lineRule="auto"/>
            </w:pPr>
            <w:r/>
            <w:r>
              <w:rPr>
                <w:rFonts w:ascii="Arial" w:hAnsi="Arial" w:cs="Arial"/>
                <w:b w:val="0"/>
                <w:i w:val="0"/>
                <w:sz w:val="17"/>
              </w:rPr>
              <w:t>Operational State</w:t>
            </w:r>
          </w:p>
        </w:tc>
        <w:tc>
          <w:tcPr>
            <w:tcW w:type="dxa" w:w="4819"/>
          </w:tcPr>
          <w:p>
            <w:pPr>
              <w:spacing w:after="20" w:before="20" w:line="240" w:lineRule="auto"/>
            </w:pPr>
            <w:r/>
            <w:r>
              <w:rPr>
                <w:rFonts w:ascii="Arial" w:hAnsi="Arial" w:cs="Arial"/>
                <w:b w:val="0"/>
                <w:i w:val="0"/>
                <w:sz w:val="17"/>
              </w:rPr>
              <w:t>The current derived execution state.</w:t>
            </w:r>
          </w:p>
        </w:tc>
      </w:tr>
      <w:tr>
        <w:tc>
          <w:tcPr>
            <w:tcW w:type="dxa" w:w="4819"/>
          </w:tcPr>
          <w:p>
            <w:pPr>
              <w:spacing w:after="20" w:before="20" w:line="240" w:lineRule="auto"/>
            </w:pPr>
            <w:r/>
            <w:r>
              <w:rPr>
                <w:rFonts w:ascii="Arial" w:hAnsi="Arial" w:cs="Arial"/>
                <w:b w:val="0"/>
                <w:i w:val="0"/>
                <w:sz w:val="17"/>
              </w:rPr>
              <w:t>Financial Authority State</w:t>
            </w:r>
          </w:p>
        </w:tc>
        <w:tc>
          <w:tcPr>
            <w:tcW w:type="dxa" w:w="4819"/>
          </w:tcPr>
          <w:p>
            <w:pPr>
              <w:spacing w:after="20" w:before="20" w:line="240" w:lineRule="auto"/>
            </w:pPr>
            <w:r/>
            <w:r>
              <w:rPr>
                <w:rFonts w:ascii="Arial" w:hAnsi="Arial" w:cs="Arial"/>
                <w:b w:val="0"/>
                <w:i w:val="0"/>
                <w:sz w:val="17"/>
              </w:rPr>
              <w:t>What the relevant financial infrastructure confirms.</w:t>
            </w:r>
          </w:p>
        </w:tc>
      </w:tr>
      <w:tr>
        <w:tc>
          <w:tcPr>
            <w:tcW w:type="dxa" w:w="4819"/>
          </w:tcPr>
          <w:p>
            <w:pPr>
              <w:spacing w:after="20" w:before="20" w:line="240" w:lineRule="auto"/>
            </w:pPr>
            <w:r/>
            <w:r>
              <w:rPr>
                <w:rFonts w:ascii="Arial" w:hAnsi="Arial" w:cs="Arial"/>
                <w:b w:val="0"/>
                <w:i w:val="0"/>
                <w:sz w:val="17"/>
              </w:rPr>
              <w:t>Legal Authority State</w:t>
            </w:r>
          </w:p>
        </w:tc>
        <w:tc>
          <w:tcPr>
            <w:tcW w:type="dxa" w:w="4819"/>
          </w:tcPr>
          <w:p>
            <w:pPr>
              <w:spacing w:after="20" w:before="20" w:line="240" w:lineRule="auto"/>
            </w:pPr>
            <w:r/>
            <w:r>
              <w:rPr>
                <w:rFonts w:ascii="Arial" w:hAnsi="Arial" w:cs="Arial"/>
                <w:b w:val="0"/>
                <w:i w:val="0"/>
                <w:sz w:val="17"/>
              </w:rPr>
              <w:t>What the applicable legal authority recognizes.</w:t>
            </w:r>
          </w:p>
        </w:tc>
      </w:tr>
      <w:tr>
        <w:tc>
          <w:tcPr>
            <w:tcW w:type="dxa" w:w="4819"/>
          </w:tcPr>
          <w:p>
            <w:pPr>
              <w:spacing w:after="20" w:before="20" w:line="240" w:lineRule="auto"/>
            </w:pPr>
            <w:r/>
            <w:r>
              <w:rPr>
                <w:rFonts w:ascii="Arial" w:hAnsi="Arial" w:cs="Arial"/>
                <w:b w:val="0"/>
                <w:i w:val="0"/>
                <w:sz w:val="17"/>
              </w:rPr>
              <w:t>Economic Exposure</w:t>
            </w:r>
          </w:p>
        </w:tc>
        <w:tc>
          <w:tcPr>
            <w:tcW w:type="dxa" w:w="4819"/>
          </w:tcPr>
          <w:p>
            <w:pPr>
              <w:spacing w:after="20" w:before="20" w:line="240" w:lineRule="auto"/>
            </w:pPr>
            <w:r/>
            <w:r>
              <w:rPr>
                <w:rFonts w:ascii="Arial" w:hAnsi="Arial" w:cs="Arial"/>
                <w:b w:val="0"/>
                <w:i w:val="0"/>
                <w:sz w:val="17"/>
              </w:rPr>
              <w:t>What financial exposure or economic position currently exists.</w:t>
            </w:r>
          </w:p>
        </w:tc>
      </w:tr>
      <w:tr>
        <w:tc>
          <w:tcPr>
            <w:tcW w:type="dxa" w:w="4819"/>
          </w:tcPr>
          <w:p>
            <w:pPr>
              <w:spacing w:after="20" w:before="20" w:line="240" w:lineRule="auto"/>
            </w:pPr>
            <w:r/>
            <w:r>
              <w:rPr>
                <w:rFonts w:ascii="Arial" w:hAnsi="Arial" w:cs="Arial"/>
                <w:b w:val="0"/>
                <w:i w:val="0"/>
                <w:sz w:val="17"/>
              </w:rPr>
              <w:t>Counterparty Assertion</w:t>
            </w:r>
          </w:p>
        </w:tc>
        <w:tc>
          <w:tcPr>
            <w:tcW w:type="dxa" w:w="4819"/>
          </w:tcPr>
          <w:p>
            <w:pPr>
              <w:spacing w:after="20" w:before="20" w:line="240" w:lineRule="auto"/>
            </w:pPr>
            <w:r/>
            <w:r>
              <w:rPr>
                <w:rFonts w:ascii="Arial" w:hAnsi="Arial" w:cs="Arial"/>
                <w:b w:val="0"/>
                <w:i w:val="0"/>
                <w:sz w:val="17"/>
              </w:rPr>
              <w:t>What a counterparty claims or asserts occurred.</w:t>
            </w:r>
          </w:p>
        </w:tc>
      </w:tr>
      <w:tr>
        <w:tc>
          <w:tcPr>
            <w:tcW w:type="dxa" w:w="4819"/>
          </w:tcPr>
          <w:p>
            <w:pPr>
              <w:spacing w:after="20" w:before="20" w:line="240" w:lineRule="auto"/>
            </w:pPr>
            <w:r/>
            <w:r>
              <w:rPr>
                <w:rFonts w:ascii="Arial" w:hAnsi="Arial" w:cs="Arial"/>
                <w:b w:val="0"/>
                <w:i w:val="0"/>
                <w:sz w:val="17"/>
              </w:rPr>
              <w:t>Evidence State</w:t>
            </w:r>
          </w:p>
        </w:tc>
        <w:tc>
          <w:tcPr>
            <w:tcW w:type="dxa" w:w="4819"/>
          </w:tcPr>
          <w:p>
            <w:pPr>
              <w:spacing w:after="20" w:before="20" w:line="240" w:lineRule="auto"/>
            </w:pPr>
            <w:r/>
            <w:r>
              <w:rPr>
                <w:rFonts w:ascii="Arial" w:hAnsi="Arial" w:cs="Arial"/>
                <w:b w:val="0"/>
                <w:i w:val="0"/>
                <w:sz w:val="17"/>
              </w:rPr>
              <w:t>What supporting evidence exists and its integrity/authority characteristics.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These dimensions must not be conflated.</w:t>
      </w:r>
    </w:p>
    <w:p>
      <w:pPr>
        <w:keepNext/>
        <w:spacing w:before="240" w:after="100"/>
        <w:outlineLvl w:val="1"/>
      </w:pPr>
      <w:r>
        <w:rPr>
          <w:rFonts w:ascii="Arial" w:hAnsi="Arial" w:cs="Arial"/>
          <w:b/>
          <w:i w:val="0"/>
          <w:color w:val="2E528F"/>
          <w:sz w:val="26"/>
        </w:rPr>
        <w:t>19.14 Event Sourcing Principle</w:t>
      </w:r>
    </w:p>
    <w:p>
      <w:pPr>
        <w:spacing w:after="80" w:line="293" w:lineRule="auto"/>
        <w:jc w:val="left"/>
      </w:pPr>
      <w:r>
        <w:rPr>
          <w:rFonts w:ascii="Times New Roman" w:hAnsi="Times New Roman" w:cs="Times New Roman"/>
          <w:b w:val="0"/>
          <w:i w:val="0"/>
          <w:sz w:val="22"/>
        </w:rPr>
        <w:t>The canonical model is:</w:t>
      </w:r>
    </w:p>
    <w:p>
      <w:pPr>
        <w:spacing w:after="0" w:before="0" w:line="240" w:lineRule="auto"/>
        <w:ind w:left="57"/>
        <w:jc w:val="left"/>
        <w:shd w:val="clear" w:fill="F2F2F2"/>
      </w:pPr>
      <w:r>
        <w:rPr>
          <w:rFonts w:ascii="Consolas" w:hAnsi="Consolas" w:cs="Consolas"/>
          <w:b w:val="0"/>
          <w:i w:val="0"/>
          <w:sz w:val="15"/>
        </w:rPr>
        <w:t>EVENT SPINE → STATE PROJECTION → CURRENT OPERATIONAL VIEW</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event history is the historical record. State projections are derived views. If a projection is corrupted, it must be reconstructable from the governed event history. Neither PostgreSQL projections, Temporal workflow state, nor ClickHouse analytics may silently become the historical authoritative record.</w:t>
      </w:r>
    </w:p>
    <w:p>
      <w:pPr>
        <w:keepNext/>
        <w:spacing w:before="240" w:after="100"/>
        <w:outlineLvl w:val="1"/>
      </w:pPr>
      <w:r>
        <w:rPr>
          <w:rFonts w:ascii="Arial" w:hAnsi="Arial" w:cs="Arial"/>
          <w:b/>
          <w:i w:val="0"/>
          <w:color w:val="2E528F"/>
          <w:sz w:val="26"/>
        </w:rPr>
        <w:t>19.15 Event Causality</w:t>
      </w:r>
    </w:p>
    <w:p>
      <w:pPr>
        <w:spacing w:after="80" w:line="293" w:lineRule="auto"/>
        <w:jc w:val="left"/>
      </w:pPr>
      <w:r>
        <w:rPr>
          <w:rFonts w:ascii="Times New Roman" w:hAnsi="Times New Roman" w:cs="Times New Roman"/>
          <w:b w:val="0"/>
          <w:i w:val="0"/>
          <w:sz w:val="22"/>
        </w:rPr>
        <w:t>Every material event contains or is linked to, as applicable:</w:t>
      </w:r>
    </w:p>
    <w:p>
      <w:pPr>
        <w:spacing w:after="80" w:line="293" w:lineRule="auto"/>
        <w:ind w:left="283"/>
        <w:jc w:val="left"/>
      </w:pPr>
      <w:r>
        <w:rPr>
          <w:rFonts w:ascii="Times New Roman" w:hAnsi="Times New Roman" w:cs="Times New Roman"/>
          <w:b w:val="0"/>
          <w:i w:val="0"/>
          <w:sz w:val="22"/>
        </w:rPr>
        <w:t>- event_id</w:t>
      </w:r>
    </w:p>
    <w:p>
      <w:pPr>
        <w:spacing w:after="80" w:line="293" w:lineRule="auto"/>
        <w:ind w:left="283"/>
        <w:jc w:val="left"/>
      </w:pPr>
      <w:r>
        <w:rPr>
          <w:rFonts w:ascii="Times New Roman" w:hAnsi="Times New Roman" w:cs="Times New Roman"/>
          <w:b w:val="0"/>
          <w:i w:val="0"/>
          <w:sz w:val="22"/>
        </w:rPr>
        <w:t>- transaction_id</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parent_event_id</w:t>
      </w:r>
    </w:p>
    <w:p>
      <w:pPr>
        <w:spacing w:after="80" w:line="293" w:lineRule="auto"/>
        <w:ind w:left="283"/>
        <w:jc w:val="left"/>
      </w:pPr>
      <w:r>
        <w:rPr>
          <w:rFonts w:ascii="Times New Roman" w:hAnsi="Times New Roman" w:cs="Times New Roman"/>
          <w:b w:val="0"/>
          <w:i w:val="0"/>
          <w:sz w:val="22"/>
        </w:rPr>
        <w:t>- event_type</w:t>
      </w:r>
    </w:p>
    <w:p>
      <w:pPr>
        <w:spacing w:after="80" w:line="293" w:lineRule="auto"/>
        <w:ind w:left="283"/>
        <w:jc w:val="left"/>
      </w:pPr>
      <w:r>
        <w:rPr>
          <w:rFonts w:ascii="Times New Roman" w:hAnsi="Times New Roman" w:cs="Times New Roman"/>
          <w:b w:val="0"/>
          <w:i w:val="0"/>
          <w:sz w:val="22"/>
        </w:rPr>
        <w:t>- event_time</w:t>
      </w:r>
    </w:p>
    <w:p>
      <w:pPr>
        <w:spacing w:after="80" w:line="293" w:lineRule="auto"/>
        <w:ind w:left="283"/>
        <w:jc w:val="left"/>
      </w:pPr>
      <w:r>
        <w:rPr>
          <w:rFonts w:ascii="Times New Roman" w:hAnsi="Times New Roman" w:cs="Times New Roman"/>
          <w:b w:val="0"/>
          <w:i w:val="0"/>
          <w:sz w:val="22"/>
        </w:rPr>
        <w:t>- observation_time</w:t>
      </w:r>
    </w:p>
    <w:p>
      <w:pPr>
        <w:spacing w:after="80" w:line="293" w:lineRule="auto"/>
        <w:ind w:left="283"/>
        <w:jc w:val="left"/>
      </w:pPr>
      <w:r>
        <w:rPr>
          <w:rFonts w:ascii="Times New Roman" w:hAnsi="Times New Roman" w:cs="Times New Roman"/>
          <w:b w:val="0"/>
          <w:i w:val="0"/>
          <w:sz w:val="22"/>
        </w:rPr>
        <w:t>- effective_time</w:t>
      </w:r>
    </w:p>
    <w:p>
      <w:pPr>
        <w:spacing w:after="80" w:line="293" w:lineRule="auto"/>
        <w:ind w:left="283"/>
        <w:jc w:val="left"/>
      </w:pPr>
      <w:r>
        <w:rPr>
          <w:rFonts w:ascii="Times New Roman" w:hAnsi="Times New Roman" w:cs="Times New Roman"/>
          <w:b w:val="0"/>
          <w:i w:val="0"/>
          <w:sz w:val="22"/>
        </w:rPr>
        <w:t>- source_system</w:t>
      </w:r>
    </w:p>
    <w:p>
      <w:pPr>
        <w:spacing w:after="80" w:line="293" w:lineRule="auto"/>
        <w:ind w:left="283"/>
        <w:jc w:val="left"/>
      </w:pPr>
      <w:r>
        <w:rPr>
          <w:rFonts w:ascii="Times New Roman" w:hAnsi="Times New Roman" w:cs="Times New Roman"/>
          <w:b w:val="0"/>
          <w:i w:val="0"/>
          <w:sz w:val="22"/>
        </w:rPr>
        <w:t>- source_event_id</w:t>
      </w:r>
    </w:p>
    <w:p>
      <w:pPr>
        <w:spacing w:after="80" w:line="293" w:lineRule="auto"/>
        <w:ind w:left="283"/>
        <w:jc w:val="left"/>
      </w:pPr>
      <w:r>
        <w:rPr>
          <w:rFonts w:ascii="Times New Roman" w:hAnsi="Times New Roman" w:cs="Times New Roman"/>
          <w:b w:val="0"/>
          <w:i w:val="0"/>
          <w:sz w:val="22"/>
        </w:rPr>
        <w:t>- source_reference</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evidence_reference</w:t>
      </w:r>
    </w:p>
    <w:p>
      <w:pPr>
        <w:spacing w:after="80" w:line="293" w:lineRule="auto"/>
        <w:ind w:left="283"/>
        <w:jc w:val="left"/>
      </w:pPr>
      <w:r>
        <w:rPr>
          <w:rFonts w:ascii="Times New Roman" w:hAnsi="Times New Roman" w:cs="Times New Roman"/>
          <w:b w:val="0"/>
          <w:i w:val="0"/>
          <w:sz w:val="22"/>
        </w:rPr>
        <w:t>- previous_event_hash</w:t>
      </w:r>
    </w:p>
    <w:p>
      <w:pPr>
        <w:spacing w:after="80" w:line="293" w:lineRule="auto"/>
        <w:ind w:left="283"/>
        <w:jc w:val="left"/>
      </w:pPr>
      <w:r>
        <w:rPr>
          <w:rFonts w:ascii="Times New Roman" w:hAnsi="Times New Roman" w:cs="Times New Roman"/>
          <w:b w:val="0"/>
          <w:i w:val="0"/>
          <w:sz w:val="22"/>
        </w:rPr>
        <w:t>- event_hash</w:t>
      </w:r>
    </w:p>
    <w:p>
      <w:pPr>
        <w:spacing w:after="80" w:line="293" w:lineRule="auto"/>
        <w:ind w:left="283"/>
        <w:jc w:val="left"/>
      </w:pPr>
      <w:r>
        <w:rPr>
          <w:rFonts w:ascii="Times New Roman" w:hAnsi="Times New Roman" w:cs="Times New Roman"/>
          <w:b w:val="0"/>
          <w:i w:val="0"/>
          <w:sz w:val="22"/>
        </w:rPr>
        <w:t>- policy_version</w:t>
      </w:r>
    </w:p>
    <w:p>
      <w:pPr>
        <w:spacing w:after="80" w:line="293" w:lineRule="auto"/>
        <w:ind w:left="283"/>
        <w:jc w:val="left"/>
      </w:pPr>
      <w:r>
        <w:rPr>
          <w:rFonts w:ascii="Times New Roman" w:hAnsi="Times New Roman" w:cs="Times New Roman"/>
          <w:b w:val="0"/>
          <w:i w:val="0"/>
          <w:sz w:val="22"/>
        </w:rPr>
        <w:t>- actor</w:t>
      </w:r>
    </w:p>
    <w:p>
      <w:pPr>
        <w:spacing w:after="80" w:line="293" w:lineRule="auto"/>
        <w:ind w:left="283"/>
        <w:jc w:val="left"/>
      </w:pPr>
      <w:r>
        <w:rPr>
          <w:rFonts w:ascii="Times New Roman" w:hAnsi="Times New Roman" w:cs="Times New Roman"/>
          <w:b w:val="0"/>
          <w:i w:val="0"/>
          <w:sz w:val="22"/>
        </w:rPr>
        <w:t>- authorization_context</w:t>
      </w:r>
    </w:p>
    <w:p>
      <w:pPr>
        <w:spacing w:after="80" w:line="293" w:lineRule="auto"/>
        <w:ind w:left="283"/>
        <w:jc w:val="left"/>
      </w:pPr>
      <w:r>
        <w:rPr>
          <w:rFonts w:ascii="Times New Roman" w:hAnsi="Times New Roman" w:cs="Times New Roman"/>
          <w:b w:val="0"/>
          <w:i w:val="0"/>
          <w:sz w:val="22"/>
        </w:rPr>
        <w:t>- idempotency_key</w:t>
      </w:r>
    </w:p>
    <w:p>
      <w:pPr>
        <w:spacing w:after="80" w:line="293" w:lineRule="auto"/>
        <w:jc w:val="left"/>
      </w:pPr>
      <w:r>
        <w:rPr>
          <w:rFonts w:ascii="Times New Roman" w:hAnsi="Times New Roman" w:cs="Times New Roman"/>
          <w:b w:val="0"/>
          <w:i w:val="0"/>
          <w:sz w:val="22"/>
        </w:rPr>
        <w:t>Implementation may vary, but the underlying information model is mandatory.</w:t>
      </w:r>
    </w:p>
    <w:p>
      <w:pPr>
        <w:keepNext/>
        <w:spacing w:before="240" w:after="100"/>
        <w:outlineLvl w:val="1"/>
      </w:pPr>
      <w:r>
        <w:rPr>
          <w:rFonts w:ascii="Arial" w:hAnsi="Arial" w:cs="Arial"/>
          <w:b/>
          <w:i w:val="0"/>
          <w:color w:val="2E528F"/>
          <w:sz w:val="26"/>
        </w:rPr>
        <w:t>19.16 Three Timestamps</w:t>
      </w:r>
    </w:p>
    <w:p>
      <w:pPr>
        <w:spacing w:after="80" w:line="293" w:lineRule="auto"/>
        <w:jc w:val="left"/>
      </w:pPr>
      <w:r>
        <w:rPr>
          <w:rFonts w:ascii="Times New Roman" w:hAnsi="Times New Roman" w:cs="Times New Roman"/>
          <w:b w:val="0"/>
          <w:i w:val="0"/>
          <w:sz w:val="22"/>
        </w:rPr>
        <w:t>Every important externally sourced event distinguishes: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Timestamp</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Event Time</w:t>
            </w:r>
          </w:p>
        </w:tc>
        <w:tc>
          <w:tcPr>
            <w:tcW w:type="dxa" w:w="4819"/>
          </w:tcPr>
          <w:p>
            <w:pPr>
              <w:spacing w:after="20" w:before="20" w:line="240" w:lineRule="auto"/>
            </w:pPr>
            <w:r/>
            <w:r>
              <w:rPr>
                <w:rFonts w:ascii="Arial" w:hAnsi="Arial" w:cs="Arial"/>
                <w:b w:val="0"/>
                <w:i w:val="0"/>
                <w:sz w:val="17"/>
              </w:rPr>
              <w:t>When the event actually occurred.</w:t>
            </w:r>
          </w:p>
        </w:tc>
      </w:tr>
      <w:tr>
        <w:tc>
          <w:tcPr>
            <w:tcW w:type="dxa" w:w="4819"/>
          </w:tcPr>
          <w:p>
            <w:pPr>
              <w:spacing w:after="20" w:before="20" w:line="240" w:lineRule="auto"/>
            </w:pPr>
            <w:r/>
            <w:r>
              <w:rPr>
                <w:rFonts w:ascii="Arial" w:hAnsi="Arial" w:cs="Arial"/>
                <w:b w:val="0"/>
                <w:i w:val="0"/>
                <w:sz w:val="17"/>
              </w:rPr>
              <w:t>Observation Time</w:t>
            </w:r>
          </w:p>
        </w:tc>
        <w:tc>
          <w:tcPr>
            <w:tcW w:type="dxa" w:w="4819"/>
          </w:tcPr>
          <w:p>
            <w:pPr>
              <w:spacing w:after="20" w:before="20" w:line="240" w:lineRule="auto"/>
            </w:pPr>
            <w:r/>
            <w:r>
              <w:rPr>
                <w:rFonts w:ascii="Arial" w:hAnsi="Arial" w:cs="Arial"/>
                <w:b w:val="0"/>
                <w:i w:val="0"/>
                <w:sz w:val="17"/>
              </w:rPr>
              <w:t>When SGTX learned or received the event.</w:t>
            </w:r>
          </w:p>
        </w:tc>
      </w:tr>
      <w:tr>
        <w:tc>
          <w:tcPr>
            <w:tcW w:type="dxa" w:w="4819"/>
          </w:tcPr>
          <w:p>
            <w:pPr>
              <w:spacing w:after="20" w:before="20" w:line="240" w:lineRule="auto"/>
            </w:pPr>
            <w:r/>
            <w:r>
              <w:rPr>
                <w:rFonts w:ascii="Arial" w:hAnsi="Arial" w:cs="Arial"/>
                <w:b w:val="0"/>
                <w:i w:val="0"/>
                <w:sz w:val="17"/>
              </w:rPr>
              <w:t>Effective Time</w:t>
            </w:r>
          </w:p>
        </w:tc>
        <w:tc>
          <w:tcPr>
            <w:tcW w:type="dxa" w:w="4819"/>
          </w:tcPr>
          <w:p>
            <w:pPr>
              <w:spacing w:after="20" w:before="20" w:line="240" w:lineRule="auto"/>
            </w:pPr>
            <w:r/>
            <w:r>
              <w:rPr>
                <w:rFonts w:ascii="Arial" w:hAnsi="Arial" w:cs="Arial"/>
                <w:b w:val="0"/>
                <w:i w:val="0"/>
                <w:sz w:val="17"/>
              </w:rPr>
              <w:t>When the event became legally/operationally effective.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 payment reversal:</w:t>
      </w:r>
    </w:p>
    <w:p>
      <w:pPr>
        <w:spacing w:after="80" w:line="293" w:lineRule="auto"/>
        <w:ind w:left="283"/>
        <w:jc w:val="left"/>
      </w:pPr>
      <w:r>
        <w:rPr>
          <w:rFonts w:ascii="Times New Roman" w:hAnsi="Times New Roman" w:cs="Times New Roman"/>
          <w:b w:val="0"/>
          <w:i w:val="0"/>
          <w:sz w:val="22"/>
        </w:rPr>
        <w:t>- Event Time = Aug 10 14:02</w:t>
      </w:r>
    </w:p>
    <w:p>
      <w:pPr>
        <w:spacing w:after="80" w:line="293" w:lineRule="auto"/>
        <w:ind w:left="283"/>
        <w:jc w:val="left"/>
      </w:pPr>
      <w:r>
        <w:rPr>
          <w:rFonts w:ascii="Times New Roman" w:hAnsi="Times New Roman" w:cs="Times New Roman"/>
          <w:b w:val="0"/>
          <w:i w:val="0"/>
          <w:sz w:val="22"/>
        </w:rPr>
        <w:t>- Observation Time = Aug 11 03:21</w:t>
      </w:r>
    </w:p>
    <w:p>
      <w:pPr>
        <w:spacing w:after="80" w:line="293" w:lineRule="auto"/>
        <w:ind w:left="283"/>
        <w:jc w:val="left"/>
      </w:pPr>
      <w:r>
        <w:rPr>
          <w:rFonts w:ascii="Times New Roman" w:hAnsi="Times New Roman" w:cs="Times New Roman"/>
          <w:b w:val="0"/>
          <w:i w:val="0"/>
          <w:sz w:val="22"/>
        </w:rPr>
        <w:t>- Effective Time = Aug 10 14:02</w:t>
      </w:r>
    </w:p>
    <w:p>
      <w:pPr>
        <w:spacing w:after="80" w:line="293" w:lineRule="auto"/>
        <w:jc w:val="left"/>
      </w:pPr>
      <w:r>
        <w:rPr>
          <w:rFonts w:ascii="Times New Roman" w:hAnsi="Times New Roman" w:cs="Times New Roman"/>
          <w:b w:val="0"/>
          <w:i w:val="0"/>
          <w:sz w:val="22"/>
        </w:rPr>
        <w:t>These timestamps must not be collapsed merely for convenience.</w:t>
      </w:r>
    </w:p>
    <w:p>
      <w:pPr>
        <w:keepNext/>
        <w:spacing w:before="240" w:after="100"/>
        <w:outlineLvl w:val="1"/>
      </w:pPr>
      <w:r>
        <w:rPr>
          <w:rFonts w:ascii="Arial" w:hAnsi="Arial" w:cs="Arial"/>
          <w:b/>
          <w:i w:val="0"/>
          <w:color w:val="2E528F"/>
          <w:sz w:val="26"/>
        </w:rPr>
        <w:t>19.17 Event Time vs Ingestion Order</w:t>
      </w:r>
    </w:p>
    <w:p>
      <w:pPr>
        <w:spacing w:after="80" w:line="293" w:lineRule="auto"/>
        <w:jc w:val="left"/>
      </w:pPr>
      <w:r>
        <w:rPr>
          <w:rFonts w:ascii="Times New Roman" w:hAnsi="Times New Roman" w:cs="Times New Roman"/>
          <w:b w:val="0"/>
          <w:i w:val="0"/>
          <w:sz w:val="22"/>
        </w:rPr>
        <w:t>SGTX must assume that external events may arrive:</w:t>
      </w:r>
    </w:p>
    <w:p>
      <w:pPr>
        <w:spacing w:after="80" w:line="293" w:lineRule="auto"/>
        <w:ind w:left="283"/>
        <w:jc w:val="left"/>
      </w:pPr>
      <w:r>
        <w:rPr>
          <w:rFonts w:ascii="Times New Roman" w:hAnsi="Times New Roman" w:cs="Times New Roman"/>
          <w:b w:val="0"/>
          <w:i w:val="0"/>
          <w:sz w:val="22"/>
        </w:rPr>
        <w:t>- late;</w:t>
      </w:r>
    </w:p>
    <w:p>
      <w:pPr>
        <w:spacing w:after="80" w:line="293" w:lineRule="auto"/>
        <w:ind w:left="283"/>
        <w:jc w:val="left"/>
      </w:pPr>
      <w:r>
        <w:rPr>
          <w:rFonts w:ascii="Times New Roman" w:hAnsi="Times New Roman" w:cs="Times New Roman"/>
          <w:b w:val="0"/>
          <w:i w:val="0"/>
          <w:sz w:val="22"/>
        </w:rPr>
        <w:t>- duplicated;</w:t>
      </w:r>
    </w:p>
    <w:p>
      <w:pPr>
        <w:spacing w:after="80" w:line="293" w:lineRule="auto"/>
        <w:ind w:left="283"/>
        <w:jc w:val="left"/>
      </w:pPr>
      <w:r>
        <w:rPr>
          <w:rFonts w:ascii="Times New Roman" w:hAnsi="Times New Roman" w:cs="Times New Roman"/>
          <w:b w:val="0"/>
          <w:i w:val="0"/>
          <w:sz w:val="22"/>
        </w:rPr>
        <w:t>- out of sequence;</w:t>
      </w:r>
    </w:p>
    <w:p>
      <w:pPr>
        <w:spacing w:after="80" w:line="293" w:lineRule="auto"/>
        <w:ind w:left="283"/>
        <w:jc w:val="left"/>
      </w:pPr>
      <w:r>
        <w:rPr>
          <w:rFonts w:ascii="Times New Roman" w:hAnsi="Times New Roman" w:cs="Times New Roman"/>
          <w:b w:val="0"/>
          <w:i w:val="0"/>
          <w:sz w:val="22"/>
        </w:rPr>
        <w:t>- after temporary connectivity loss;</w:t>
      </w:r>
    </w:p>
    <w:p>
      <w:pPr>
        <w:spacing w:after="80" w:line="293" w:lineRule="auto"/>
        <w:ind w:left="283"/>
        <w:jc w:val="left"/>
      </w:pPr>
      <w:r>
        <w:rPr>
          <w:rFonts w:ascii="Times New Roman" w:hAnsi="Times New Roman" w:cs="Times New Roman"/>
          <w:b w:val="0"/>
          <w:i w:val="0"/>
          <w:sz w:val="22"/>
        </w:rPr>
        <w:t>- after another related event.</w:t>
      </w:r>
    </w:p>
    <w:p>
      <w:pPr>
        <w:spacing w:after="80" w:line="293" w:lineRule="auto"/>
        <w:jc w:val="left"/>
      </w:pPr>
      <w:r>
        <w:rPr>
          <w:rFonts w:ascii="Times New Roman" w:hAnsi="Times New Roman" w:cs="Times New Roman"/>
          <w:b w:val="0"/>
          <w:i w:val="0"/>
          <w:sz w:val="22"/>
        </w:rPr>
        <w:t>Therefore: ingestion order is not event order. SGTX must preserve both.</w:t>
      </w:r>
    </w:p>
    <w:p>
      <w:pPr>
        <w:keepNext/>
        <w:spacing w:before="240" w:after="100"/>
        <w:outlineLvl w:val="1"/>
      </w:pPr>
      <w:r>
        <w:rPr>
          <w:rFonts w:ascii="Arial" w:hAnsi="Arial" w:cs="Arial"/>
          <w:b/>
          <w:i w:val="0"/>
          <w:color w:val="2E528F"/>
          <w:sz w:val="26"/>
        </w:rPr>
        <w:t>19.18 Idempotency</w:t>
      </w:r>
    </w:p>
    <w:p>
      <w:pPr>
        <w:spacing w:after="80" w:line="293" w:lineRule="auto"/>
        <w:jc w:val="left"/>
      </w:pPr>
      <w:r>
        <w:rPr>
          <w:rFonts w:ascii="Times New Roman" w:hAnsi="Times New Roman" w:cs="Times New Roman"/>
          <w:b w:val="0"/>
          <w:i w:val="0"/>
          <w:sz w:val="22"/>
        </w:rPr>
        <w:t>External event processing supports:</w:t>
      </w:r>
    </w:p>
    <w:p>
      <w:pPr>
        <w:spacing w:after="80" w:line="293" w:lineRule="auto"/>
        <w:ind w:left="283"/>
        <w:jc w:val="left"/>
      </w:pPr>
      <w:r>
        <w:rPr>
          <w:rFonts w:ascii="Times New Roman" w:hAnsi="Times New Roman" w:cs="Times New Roman"/>
          <w:b w:val="0"/>
          <w:i w:val="0"/>
          <w:sz w:val="22"/>
        </w:rPr>
        <w:t>- source_system</w:t>
      </w:r>
    </w:p>
    <w:p>
      <w:pPr>
        <w:spacing w:after="80" w:line="293" w:lineRule="auto"/>
        <w:ind w:left="283"/>
        <w:jc w:val="left"/>
      </w:pPr>
      <w:r>
        <w:rPr>
          <w:rFonts w:ascii="Times New Roman" w:hAnsi="Times New Roman" w:cs="Times New Roman"/>
          <w:b w:val="0"/>
          <w:i w:val="0"/>
          <w:sz w:val="22"/>
        </w:rPr>
        <w:t>- source_event_id</w:t>
      </w:r>
    </w:p>
    <w:p>
      <w:pPr>
        <w:spacing w:after="80" w:line="293" w:lineRule="auto"/>
        <w:ind w:left="283"/>
        <w:jc w:val="left"/>
      </w:pPr>
      <w:r>
        <w:rPr>
          <w:rFonts w:ascii="Times New Roman" w:hAnsi="Times New Roman" w:cs="Times New Roman"/>
          <w:b w:val="0"/>
          <w:i w:val="0"/>
          <w:sz w:val="22"/>
        </w:rPr>
        <w:t>- event_hash</w:t>
      </w:r>
    </w:p>
    <w:p>
      <w:pPr>
        <w:spacing w:after="80" w:line="293" w:lineRule="auto"/>
        <w:ind w:left="283"/>
        <w:jc w:val="left"/>
      </w:pPr>
      <w:r>
        <w:rPr>
          <w:rFonts w:ascii="Times New Roman" w:hAnsi="Times New Roman" w:cs="Times New Roman"/>
          <w:b w:val="0"/>
          <w:i w:val="0"/>
          <w:sz w:val="22"/>
        </w:rPr>
        <w:t>- idempotency_key</w:t>
      </w:r>
    </w:p>
    <w:p>
      <w:pPr>
        <w:spacing w:after="80" w:line="293" w:lineRule="auto"/>
        <w:ind w:left="283"/>
        <w:jc w:val="left"/>
      </w:pPr>
      <w:r>
        <w:rPr>
          <w:rFonts w:ascii="Times New Roman" w:hAnsi="Times New Roman" w:cs="Times New Roman"/>
          <w:b w:val="0"/>
          <w:i w:val="0"/>
          <w:sz w:val="22"/>
        </w:rPr>
        <w:t>- received_at</w:t>
      </w:r>
    </w:p>
    <w:p>
      <w:pPr>
        <w:spacing w:after="80" w:line="293" w:lineRule="auto"/>
        <w:jc w:val="left"/>
      </w:pPr>
      <w:r>
        <w:rPr>
          <w:rFonts w:ascii="Times New Roman" w:hAnsi="Times New Roman" w:cs="Times New Roman"/>
          <w:b w:val="0"/>
          <w:i w:val="0"/>
          <w:sz w:val="22"/>
        </w:rPr>
        <w:t>The same external event must not create duplicate authoritative state transitions. Duplicate delivery must be safely recognized and handled.</w:t>
      </w:r>
    </w:p>
    <w:p>
      <w:pPr>
        <w:keepNext/>
        <w:spacing w:before="180" w:after="80"/>
        <w:outlineLvl w:val="2"/>
      </w:pPr>
      <w:r>
        <w:rPr>
          <w:rFonts w:ascii="Arial" w:hAnsi="Arial" w:cs="Arial"/>
          <w:b/>
          <w:i w:val="0"/>
          <w:color w:val="333333"/>
          <w:sz w:val="23"/>
        </w:rPr>
        <w:t>19.18.1 Idempotency Key Derivation for External Mutations</w:t>
      </w:r>
    </w:p>
    <w:p>
      <w:pPr>
        <w:spacing w:after="80" w:line="293" w:lineRule="auto"/>
        <w:jc w:val="left"/>
      </w:pPr>
      <w:r>
        <w:rPr>
          <w:rFonts w:ascii="Times New Roman" w:hAnsi="Times New Roman" w:cs="Times New Roman"/>
          <w:b w:val="0"/>
          <w:i w:val="0"/>
          <w:sz w:val="22"/>
        </w:rPr>
        <w:t>Every externally mutating call — customs declarations, booking requests, payment instructions, financing submissions, settlement instructions — supports deterministic idempotency. Idempotency keys are derived from a controlled combination of: the USTN where available; the Request UUID for pre-lock operations; the operation type; and the business operation identifier. The same logical operation retried under any conditions produces the same key, so retries never create duplicate external submissions.</w:t>
      </w:r>
    </w:p>
    <w:p>
      <w:pPr>
        <w:spacing w:after="80" w:line="293" w:lineRule="auto"/>
        <w:jc w:val="left"/>
      </w:pPr>
      <w:r>
        <w:rPr>
          <w:rFonts w:ascii="Times New Roman" w:hAnsi="Times New Roman" w:cs="Times New Roman"/>
          <w:b w:val="0"/>
          <w:i w:val="0"/>
          <w:sz w:val="22"/>
        </w:rPr>
        <w:t>The idempotency discipline composes with the failure semantics of Section 19.23.1: a retried call whose original outcome is unknown resolves the unknown state first (through reconciliation or an authoritative external response), and the retry either safely maps to the original external operation or is rejected as a duplicate, never blindly re-submitted. The external event idempotency fields (source_system, source_event_id, event_hash, idempotency_key, received_at) of Section 19.18 apply symmetrically to inbound external events.</w:t>
      </w:r>
    </w:p>
    <w:p>
      <w:pPr>
        <w:keepNext/>
        <w:spacing w:before="240" w:after="100"/>
        <w:outlineLvl w:val="1"/>
      </w:pPr>
      <w:r>
        <w:rPr>
          <w:rFonts w:ascii="Arial" w:hAnsi="Arial" w:cs="Arial"/>
          <w:b/>
          <w:i w:val="0"/>
          <w:color w:val="2E528F"/>
          <w:sz w:val="26"/>
        </w:rPr>
        <w:t>19.19 Reversals Are New States — Never Undo Operations</w:t>
      </w:r>
    </w:p>
    <w:p>
      <w:pPr>
        <w:spacing w:after="80" w:line="293" w:lineRule="auto"/>
        <w:jc w:val="left"/>
      </w:pPr>
      <w:r>
        <w:rPr>
          <w:rFonts w:ascii="Times New Roman" w:hAnsi="Times New Roman" w:cs="Times New Roman"/>
          <w:b w:val="0"/>
          <w:i w:val="0"/>
          <w:sz w:val="22"/>
        </w:rPr>
        <w:t>Forbidden as authoritative historical behavior: SETTLED → NOT_SETTLED.</w:t>
      </w:r>
    </w:p>
    <w:p>
      <w:pPr>
        <w:spacing w:after="80" w:line="293" w:lineRule="auto"/>
        <w:jc w:val="left"/>
      </w:pPr>
      <w:r>
        <w:rPr>
          <w:rFonts w:ascii="Times New Roman" w:hAnsi="Times New Roman" w:cs="Times New Roman"/>
          <w:b w:val="0"/>
          <w:i w:val="0"/>
          <w:sz w:val="22"/>
        </w:rPr>
        <w:t>Canonical examples:</w:t>
      </w:r>
    </w:p>
    <w:p>
      <w:pPr>
        <w:spacing w:after="80" w:line="293" w:lineRule="auto"/>
        <w:ind w:left="283"/>
        <w:jc w:val="left"/>
      </w:pPr>
      <w:r>
        <w:rPr>
          <w:rFonts w:ascii="Times New Roman" w:hAnsi="Times New Roman" w:cs="Times New Roman"/>
          <w:b w:val="0"/>
          <w:i w:val="0"/>
          <w:sz w:val="22"/>
        </w:rPr>
        <w:t>- SETTLED → RETURN_REQUESTED → RETURN_CONFIRMED</w:t>
      </w:r>
    </w:p>
    <w:p>
      <w:pPr>
        <w:spacing w:after="80" w:line="293" w:lineRule="auto"/>
        <w:ind w:left="283"/>
        <w:jc w:val="left"/>
      </w:pPr>
      <w:r>
        <w:rPr>
          <w:rFonts w:ascii="Times New Roman" w:hAnsi="Times New Roman" w:cs="Times New Roman"/>
          <w:b w:val="0"/>
          <w:i w:val="0"/>
          <w:sz w:val="22"/>
        </w:rPr>
        <w:t>- SETTLED → DISPUTED → LEGAL_REVIEW → LEGALLY_REVERSED</w:t>
      </w:r>
    </w:p>
    <w:p>
      <w:pPr>
        <w:spacing w:after="80" w:line="293" w:lineRule="auto"/>
        <w:ind w:left="283"/>
        <w:jc w:val="left"/>
      </w:pPr>
      <w:r>
        <w:rPr>
          <w:rFonts w:ascii="Times New Roman" w:hAnsi="Times New Roman" w:cs="Times New Roman"/>
          <w:b w:val="0"/>
          <w:i w:val="0"/>
          <w:sz w:val="22"/>
        </w:rPr>
        <w:t>- SETTLED → BANK_CORRECTION → RECONCILIATION_REQUIRED → CORRECTED</w:t>
      </w:r>
    </w:p>
    <w:p>
      <w:pPr>
        <w:spacing w:after="80" w:line="293" w:lineRule="auto"/>
        <w:jc w:val="left"/>
      </w:pPr>
      <w:r>
        <w:rPr>
          <w:rFonts w:ascii="Times New Roman" w:hAnsi="Times New Roman" w:cs="Times New Roman"/>
          <w:b w:val="0"/>
          <w:i w:val="0"/>
          <w:sz w:val="22"/>
        </w:rPr>
        <w:t>The original settlement remains permanently recorded.</w:t>
      </w:r>
    </w:p>
    <w:p>
      <w:pPr>
        <w:keepNext/>
        <w:spacing w:before="240" w:after="100"/>
        <w:outlineLvl w:val="1"/>
      </w:pPr>
      <w:r>
        <w:rPr>
          <w:rFonts w:ascii="Arial" w:hAnsi="Arial" w:cs="Arial"/>
          <w:b/>
          <w:i w:val="0"/>
          <w:color w:val="2E528F"/>
          <w:sz w:val="26"/>
        </w:rPr>
        <w:t>19.20 Recovery, Not Rollback</w:t>
      </w:r>
    </w:p>
    <w:p>
      <w:pPr>
        <w:spacing w:after="80" w:line="293" w:lineRule="auto"/>
        <w:jc w:val="left"/>
      </w:pPr>
      <w:r>
        <w:rPr>
          <w:rFonts w:ascii="Times New Roman" w:hAnsi="Times New Roman" w:cs="Times New Roman"/>
          <w:b w:val="0"/>
          <w:i w:val="0"/>
          <w:sz w:val="22"/>
        </w:rPr>
        <w:t>SGTX adopts compensating execution rather than historical rollback. A real-world event cannot necessarily be undone. Examples include:</w:t>
      </w:r>
    </w:p>
    <w:p>
      <w:pPr>
        <w:spacing w:after="80" w:line="293" w:lineRule="auto"/>
        <w:ind w:left="283"/>
        <w:jc w:val="left"/>
      </w:pPr>
      <w:r>
        <w:rPr>
          <w:rFonts w:ascii="Times New Roman" w:hAnsi="Times New Roman" w:cs="Times New Roman"/>
          <w:b w:val="0"/>
          <w:i w:val="0"/>
          <w:sz w:val="22"/>
        </w:rPr>
        <w:t>- delivered cargo;</w:t>
      </w:r>
    </w:p>
    <w:p>
      <w:pPr>
        <w:spacing w:after="80" w:line="293" w:lineRule="auto"/>
        <w:ind w:left="283"/>
        <w:jc w:val="left"/>
      </w:pPr>
      <w:r>
        <w:rPr>
          <w:rFonts w:ascii="Times New Roman" w:hAnsi="Times New Roman" w:cs="Times New Roman"/>
          <w:b w:val="0"/>
          <w:i w:val="0"/>
          <w:sz w:val="22"/>
        </w:rPr>
        <w:t>- submitted customs filings;</w:t>
      </w:r>
    </w:p>
    <w:p>
      <w:pPr>
        <w:spacing w:after="80" w:line="293" w:lineRule="auto"/>
        <w:ind w:left="283"/>
        <w:jc w:val="left"/>
      </w:pPr>
      <w:r>
        <w:rPr>
          <w:rFonts w:ascii="Times New Roman" w:hAnsi="Times New Roman" w:cs="Times New Roman"/>
          <w:b w:val="0"/>
          <w:i w:val="0"/>
          <w:sz w:val="22"/>
        </w:rPr>
        <w:t>- executed bank transactions;</w:t>
      </w:r>
    </w:p>
    <w:p>
      <w:pPr>
        <w:spacing w:after="80" w:line="293" w:lineRule="auto"/>
        <w:ind w:left="283"/>
        <w:jc w:val="left"/>
      </w:pPr>
      <w:r>
        <w:rPr>
          <w:rFonts w:ascii="Times New Roman" w:hAnsi="Times New Roman" w:cs="Times New Roman"/>
          <w:b w:val="0"/>
          <w:i w:val="0"/>
          <w:sz w:val="22"/>
        </w:rPr>
        <w:t>- regulatory submissions;</w:t>
      </w:r>
    </w:p>
    <w:p>
      <w:pPr>
        <w:spacing w:after="80" w:line="293" w:lineRule="auto"/>
        <w:ind w:left="283"/>
        <w:jc w:val="left"/>
      </w:pPr>
      <w:r>
        <w:rPr>
          <w:rFonts w:ascii="Times New Roman" w:hAnsi="Times New Roman" w:cs="Times New Roman"/>
          <w:b w:val="0"/>
          <w:i w:val="0"/>
          <w:sz w:val="22"/>
        </w:rPr>
        <w:t>- physical inspections;</w:t>
      </w:r>
    </w:p>
    <w:p>
      <w:pPr>
        <w:spacing w:after="80" w:line="293" w:lineRule="auto"/>
        <w:ind w:left="283"/>
        <w:jc w:val="left"/>
      </w:pPr>
      <w:r>
        <w:rPr>
          <w:rFonts w:ascii="Times New Roman" w:hAnsi="Times New Roman" w:cs="Times New Roman"/>
          <w:b w:val="0"/>
          <w:i w:val="0"/>
          <w:sz w:val="22"/>
        </w:rPr>
        <w:t>- signed documents;</w:t>
      </w:r>
    </w:p>
    <w:p>
      <w:pPr>
        <w:spacing w:after="80" w:line="293" w:lineRule="auto"/>
        <w:ind w:left="283"/>
        <w:jc w:val="left"/>
      </w:pPr>
      <w:r>
        <w:rPr>
          <w:rFonts w:ascii="Times New Roman" w:hAnsi="Times New Roman" w:cs="Times New Roman"/>
          <w:b w:val="0"/>
          <w:i w:val="0"/>
          <w:sz w:val="22"/>
        </w:rPr>
        <w:t>- counterparty actions.</w:t>
      </w:r>
    </w:p>
    <w:p>
      <w:pPr>
        <w:spacing w:after="80" w:line="293" w:lineRule="auto"/>
        <w:jc w:val="left"/>
      </w:pPr>
      <w:r>
        <w:rPr>
          <w:rFonts w:ascii="Times New Roman" w:hAnsi="Times New Roman" w:cs="Times New Roman"/>
          <w:b w:val="0"/>
          <w:i w:val="0"/>
          <w:sz w:val="22"/>
        </w:rPr>
        <w:t>Therefore recovery consists of new, governed actions.</w:t>
      </w:r>
    </w:p>
    <w:p>
      <w:pPr>
        <w:keepNext/>
        <w:spacing w:before="240" w:after="100"/>
        <w:outlineLvl w:val="1"/>
      </w:pPr>
      <w:r>
        <w:rPr>
          <w:rFonts w:ascii="Arial" w:hAnsi="Arial" w:cs="Arial"/>
          <w:b/>
          <w:i w:val="0"/>
          <w:color w:val="2E528F"/>
          <w:sz w:val="26"/>
        </w:rPr>
        <w:t>19.21 Controlled Post-Closure Mutation</w:t>
      </w:r>
    </w:p>
    <w:p>
      <w:pPr>
        <w:spacing w:after="80" w:line="293" w:lineRule="auto"/>
        <w:jc w:val="left"/>
      </w:pPr>
      <w:r>
        <w:rPr>
          <w:rFonts w:ascii="Times New Roman" w:hAnsi="Times New Roman" w:cs="Times New Roman"/>
          <w:b w:val="0"/>
          <w:i w:val="0"/>
          <w:sz w:val="22"/>
        </w:rPr>
        <w:t>The architecture distinguishes:</w:t>
      </w:r>
    </w:p>
    <w:p>
      <w:pPr>
        <w:spacing w:after="80" w:line="293" w:lineRule="auto"/>
        <w:ind w:left="283"/>
        <w:jc w:val="left"/>
      </w:pPr>
      <w:r>
        <w:rPr>
          <w:rFonts w:ascii="Times New Roman" w:hAnsi="Times New Roman" w:cs="Times New Roman"/>
          <w:b w:val="0"/>
          <w:i w:val="0"/>
          <w:sz w:val="22"/>
        </w:rPr>
        <w:t>- Historical immutability — historical events never change.</w:t>
      </w:r>
    </w:p>
    <w:p>
      <w:pPr>
        <w:spacing w:after="80" w:line="293" w:lineRule="auto"/>
        <w:ind w:left="283"/>
        <w:jc w:val="left"/>
      </w:pPr>
      <w:r>
        <w:rPr>
          <w:rFonts w:ascii="Times New Roman" w:hAnsi="Times New Roman" w:cs="Times New Roman"/>
          <w:b w:val="0"/>
          <w:i w:val="0"/>
          <w:sz w:val="22"/>
        </w:rPr>
        <w:t>- Current-state mutability — a valid new event may change the current derived operational state.</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CLOSED → POST_CLOSURE_EVENT → IMPACT_ASSESSMENT → REOPEN_RECONCILIATION → NEW_DERIVED_STATE.</w:t>
      </w:r>
    </w:p>
    <w:p>
      <w:pPr>
        <w:spacing w:after="80" w:line="293" w:lineRule="auto"/>
        <w:jc w:val="left"/>
      </w:pPr>
      <w:r>
        <w:rPr>
          <w:rFonts w:ascii="Times New Roman" w:hAnsi="Times New Roman" w:cs="Times New Roman"/>
          <w:b w:val="0"/>
          <w:i w:val="0"/>
          <w:sz w:val="22"/>
        </w:rPr>
        <w:t>This is: immutable history + mutable derived state.</w:t>
      </w:r>
    </w:p>
    <w:p>
      <w:pPr>
        <w:keepNext/>
        <w:spacing w:before="240" w:after="100"/>
        <w:outlineLvl w:val="1"/>
      </w:pPr>
      <w:r>
        <w:rPr>
          <w:rFonts w:ascii="Arial" w:hAnsi="Arial" w:cs="Arial"/>
          <w:b/>
          <w:i w:val="0"/>
          <w:color w:val="2E528F"/>
          <w:sz w:val="26"/>
        </w:rPr>
        <w:t>19.22 Post-Closure Observation Periods (Architectural Definition)</w:t>
      </w:r>
    </w:p>
    <w:p>
      <w:pPr>
        <w:spacing w:after="80" w:line="293" w:lineRule="auto"/>
        <w:jc w:val="left"/>
      </w:pPr>
      <w:r>
        <w:rPr>
          <w:rFonts w:ascii="Times New Roman" w:hAnsi="Times New Roman" w:cs="Times New Roman"/>
          <w:b w:val="0"/>
          <w:i w:val="0"/>
          <w:sz w:val="22"/>
        </w:rPr>
        <w:t>Different transaction classes may have different post-closure observation periods. The post-closure observation period is determined by the applicable contract, transaction class, jurisdiction, regulatory requirement, document lifecycle, financial process and institutional policy. No universal duration is constitutionally prescribed.</w:t>
      </w:r>
    </w:p>
    <w:p>
      <w:pPr>
        <w:keepNext/>
        <w:spacing w:before="180" w:after="80"/>
        <w:outlineLvl w:val="2"/>
      </w:pPr>
      <w:r>
        <w:rPr>
          <w:rFonts w:ascii="Arial" w:hAnsi="Arial" w:cs="Arial"/>
          <w:b/>
          <w:i w:val="0"/>
          <w:color w:val="333333"/>
          <w:sz w:val="23"/>
        </w:rPr>
        <w:t>19.22.1 Jurisdiction-Specific Post-Closure Periods</w:t>
      </w:r>
    </w:p>
    <w:p>
      <w:pPr>
        <w:spacing w:after="80" w:line="293" w:lineRule="auto"/>
        <w:jc w:val="left"/>
      </w:pPr>
      <w:r>
        <w:rPr>
          <w:rFonts w:ascii="Times New Roman" w:hAnsi="Times New Roman" w:cs="Times New Roman"/>
          <w:b w:val="0"/>
          <w:i w:val="0"/>
          <w:sz w:val="22"/>
        </w:rPr>
        <w:t>The architecture supports the definition of post-closure periods within jurisdiction capability profiles. Example profile structure (configuration dimensions, not constitutional values):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Jurisdiction: Egypt — Post-Closure Periods</w:t>
            </w:r>
          </w:p>
        </w:tc>
        <w:tc>
          <w:tcPr>
            <w:tcW w:type="dxa" w:w="4819"/>
            <w:shd w:val="clear" w:fill="D9E2F3"/>
          </w:tcPr>
          <w:p>
            <w:pPr>
              <w:spacing w:after="20" w:before="20" w:line="240" w:lineRule="auto"/>
            </w:pPr>
            <w:r/>
            <w:r>
              <w:rPr>
                <w:rFonts w:ascii="Arial" w:hAnsi="Arial" w:cs="Arial"/>
                <w:b/>
                <w:i w:val="0"/>
                <w:sz w:val="18"/>
              </w:rPr>
              <w:t>Determination</w:t>
            </w:r>
          </w:p>
        </w:tc>
      </w:tr>
      <w:tr>
        <w:tc>
          <w:tcPr>
            <w:tcW w:type="dxa" w:w="4819"/>
          </w:tcPr>
          <w:p>
            <w:pPr>
              <w:spacing w:after="20" w:before="20" w:line="240" w:lineRule="auto"/>
            </w:pPr>
            <w:r/>
            <w:r>
              <w:rPr>
                <w:rFonts w:ascii="Arial" w:hAnsi="Arial" w:cs="Arial"/>
                <w:b w:val="0"/>
                <w:i w:val="0"/>
                <w:sz w:val="17"/>
              </w:rPr>
              <w:t>Agricultural Export</w:t>
            </w:r>
          </w:p>
        </w:tc>
        <w:tc>
          <w:tcPr>
            <w:tcW w:type="dxa" w:w="4819"/>
          </w:tcPr>
          <w:p>
            <w:pPr>
              <w:spacing w:after="20" w:before="20" w:line="240" w:lineRule="auto"/>
            </w:pPr>
            <w:r/>
            <w:r>
              <w:rPr>
                <w:rFonts w:ascii="Arial" w:hAnsi="Arial" w:cs="Arial"/>
                <w:b w:val="0"/>
                <w:i w:val="0"/>
                <w:sz w:val="17"/>
              </w:rPr>
              <w:t>Configurable (Contract/Jurisdiction)</w:t>
            </w:r>
          </w:p>
        </w:tc>
      </w:tr>
      <w:tr>
        <w:tc>
          <w:tcPr>
            <w:tcW w:type="dxa" w:w="4819"/>
          </w:tcPr>
          <w:p>
            <w:pPr>
              <w:spacing w:after="20" w:before="20" w:line="240" w:lineRule="auto"/>
            </w:pPr>
            <w:r/>
            <w:r>
              <w:rPr>
                <w:rFonts w:ascii="Arial" w:hAnsi="Arial" w:cs="Arial"/>
                <w:b w:val="0"/>
                <w:i w:val="0"/>
                <w:sz w:val="17"/>
              </w:rPr>
              <w:t>Industrial Export</w:t>
            </w:r>
          </w:p>
        </w:tc>
        <w:tc>
          <w:tcPr>
            <w:tcW w:type="dxa" w:w="4819"/>
          </w:tcPr>
          <w:p>
            <w:pPr>
              <w:spacing w:after="20" w:before="20" w:line="240" w:lineRule="auto"/>
            </w:pPr>
            <w:r/>
            <w:r>
              <w:rPr>
                <w:rFonts w:ascii="Arial" w:hAnsi="Arial" w:cs="Arial"/>
                <w:b w:val="0"/>
                <w:i w:val="0"/>
                <w:sz w:val="17"/>
              </w:rPr>
              <w:t>Configurable (Contract/Jurisdiction)</w:t>
            </w:r>
          </w:p>
        </w:tc>
      </w:tr>
      <w:tr>
        <w:tc>
          <w:tcPr>
            <w:tcW w:type="dxa" w:w="4819"/>
          </w:tcPr>
          <w:p>
            <w:pPr>
              <w:spacing w:after="20" w:before="20" w:line="240" w:lineRule="auto"/>
            </w:pPr>
            <w:r/>
            <w:r>
              <w:rPr>
                <w:rFonts w:ascii="Arial" w:hAnsi="Arial" w:cs="Arial"/>
                <w:b w:val="0"/>
                <w:i w:val="0"/>
                <w:sz w:val="17"/>
              </w:rPr>
              <w:t>Services Trade</w:t>
            </w:r>
          </w:p>
        </w:tc>
        <w:tc>
          <w:tcPr>
            <w:tcW w:type="dxa" w:w="4819"/>
          </w:tcPr>
          <w:p>
            <w:pPr>
              <w:spacing w:after="20" w:before="20" w:line="240" w:lineRule="auto"/>
            </w:pPr>
            <w:r/>
            <w:r>
              <w:rPr>
                <w:rFonts w:ascii="Arial" w:hAnsi="Arial" w:cs="Arial"/>
                <w:b w:val="0"/>
                <w:i w:val="0"/>
                <w:sz w:val="17"/>
              </w:rPr>
              <w:t>Configurable (Contract/Jurisdiction)</w:t>
            </w:r>
          </w:p>
        </w:tc>
      </w:tr>
      <w:tr>
        <w:tc>
          <w:tcPr>
            <w:tcW w:type="dxa" w:w="4819"/>
          </w:tcPr>
          <w:p>
            <w:pPr>
              <w:spacing w:after="20" w:before="20" w:line="240" w:lineRule="auto"/>
            </w:pPr>
            <w:r/>
            <w:r>
              <w:rPr>
                <w:rFonts w:ascii="Arial" w:hAnsi="Arial" w:cs="Arial"/>
                <w:b w:val="0"/>
                <w:i w:val="0"/>
                <w:sz w:val="17"/>
              </w:rPr>
              <w:t>Financial Settlement</w:t>
            </w:r>
          </w:p>
        </w:tc>
        <w:tc>
          <w:tcPr>
            <w:tcW w:type="dxa" w:w="4819"/>
          </w:tcPr>
          <w:p>
            <w:pPr>
              <w:spacing w:after="20" w:before="20" w:line="240" w:lineRule="auto"/>
            </w:pPr>
            <w:r/>
            <w:r>
              <w:rPr>
                <w:rFonts w:ascii="Arial" w:hAnsi="Arial" w:cs="Arial"/>
                <w:b w:val="0"/>
                <w:i w:val="0"/>
                <w:sz w:val="17"/>
              </w:rPr>
              <w:t>Configurable (Regulatory/Bank Policy)</w:t>
            </w:r>
          </w:p>
        </w:tc>
      </w:tr>
      <w:tr>
        <w:tc>
          <w:tcPr>
            <w:tcW w:type="dxa" w:w="4819"/>
          </w:tcPr>
          <w:p>
            <w:pPr>
              <w:spacing w:after="20" w:before="20" w:line="240" w:lineRule="auto"/>
            </w:pPr>
            <w:r/>
            <w:r>
              <w:rPr>
                <w:rFonts w:ascii="Arial" w:hAnsi="Arial" w:cs="Arial"/>
                <w:b w:val="0"/>
                <w:i w:val="0"/>
                <w:sz w:val="17"/>
              </w:rPr>
              <w:t>Customs Declaration</w:t>
            </w:r>
          </w:p>
        </w:tc>
        <w:tc>
          <w:tcPr>
            <w:tcW w:type="dxa" w:w="4819"/>
          </w:tcPr>
          <w:p>
            <w:pPr>
              <w:spacing w:after="20" w:before="20" w:line="240" w:lineRule="auto"/>
            </w:pPr>
            <w:r/>
            <w:r>
              <w:rPr>
                <w:rFonts w:ascii="Arial" w:hAnsi="Arial" w:cs="Arial"/>
                <w:b w:val="0"/>
                <w:i w:val="0"/>
                <w:sz w:val="17"/>
              </w:rPr>
              <w:t>Configurable (Customs Authority)</w:t>
            </w:r>
          </w:p>
        </w:tc>
      </w:tr>
      <w:tr>
        <w:tc>
          <w:tcPr>
            <w:tcW w:type="dxa" w:w="4819"/>
          </w:tcPr>
          <w:p>
            <w:pPr>
              <w:spacing w:after="20" w:before="20" w:line="240" w:lineRule="auto"/>
            </w:pPr>
            <w:r/>
            <w:r>
              <w:rPr>
                <w:rFonts w:ascii="Arial" w:hAnsi="Arial" w:cs="Arial"/>
                <w:b w:val="0"/>
                <w:i w:val="0"/>
                <w:sz w:val="17"/>
              </w:rPr>
              <w:t>Regulatory Filing</w:t>
            </w:r>
          </w:p>
        </w:tc>
        <w:tc>
          <w:tcPr>
            <w:tcW w:type="dxa" w:w="4819"/>
          </w:tcPr>
          <w:p>
            <w:pPr>
              <w:spacing w:after="20" w:before="20" w:line="240" w:lineRule="auto"/>
            </w:pPr>
            <w:r/>
            <w:r>
              <w:rPr>
                <w:rFonts w:ascii="Arial" w:hAnsi="Arial" w:cs="Arial"/>
                <w:b w:val="0"/>
                <w:i w:val="0"/>
                <w:sz w:val="17"/>
              </w:rPr>
              <w:t>Configurable (Regulatory Authority)</w:t>
            </w:r>
          </w:p>
        </w:tc>
      </w:tr>
      <w:tr>
        <w:tc>
          <w:tcPr>
            <w:tcW w:type="dxa" w:w="4819"/>
          </w:tcPr>
          <w:p>
            <w:pPr>
              <w:spacing w:after="20" w:before="20" w:line="240" w:lineRule="auto"/>
            </w:pPr>
            <w:r/>
            <w:r>
              <w:rPr>
                <w:rFonts w:ascii="Arial" w:hAnsi="Arial" w:cs="Arial"/>
                <w:b w:val="0"/>
                <w:i w:val="0"/>
                <w:sz w:val="17"/>
              </w:rPr>
              <w:t>Tax-Related Trade</w:t>
            </w:r>
          </w:p>
        </w:tc>
        <w:tc>
          <w:tcPr>
            <w:tcW w:type="dxa" w:w="4819"/>
          </w:tcPr>
          <w:p>
            <w:pPr>
              <w:spacing w:after="20" w:before="20" w:line="240" w:lineRule="auto"/>
            </w:pPr>
            <w:r/>
            <w:r>
              <w:rPr>
                <w:rFonts w:ascii="Arial" w:hAnsi="Arial" w:cs="Arial"/>
                <w:b w:val="0"/>
                <w:i w:val="0"/>
                <w:sz w:val="17"/>
              </w:rPr>
              <w:t>Configurable (Tax Authority / Legal Requirement)</w:t>
            </w:r>
          </w:p>
        </w:tc>
      </w:tr>
      <w:tr>
        <w:tc>
          <w:tcPr>
            <w:tcW w:type="dxa" w:w="4819"/>
          </w:tcPr>
          <w:p>
            <w:pPr>
              <w:spacing w:after="20" w:before="20" w:line="240" w:lineRule="auto"/>
            </w:pPr>
            <w:r/>
            <w:r>
              <w:rPr>
                <w:rFonts w:ascii="Arial" w:hAnsi="Arial" w:cs="Arial"/>
                <w:b w:val="0"/>
                <w:i w:val="0"/>
                <w:sz w:val="17"/>
              </w:rPr>
              <w:t>Retention Policy</w:t>
            </w:r>
          </w:p>
        </w:tc>
        <w:tc>
          <w:tcPr>
            <w:tcW w:type="dxa" w:w="4819"/>
          </w:tcPr>
          <w:p>
            <w:pPr>
              <w:spacing w:after="20" w:before="20" w:line="240" w:lineRule="auto"/>
            </w:pPr>
            <w:r/>
            <w:r>
              <w:rPr>
                <w:rFonts w:ascii="Arial" w:hAnsi="Arial" w:cs="Arial"/>
                <w:b w:val="0"/>
                <w:i w:val="0"/>
                <w:sz w:val="17"/>
              </w:rPr>
              <w:t>Derived from Jurisdictional Legal Framework</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19.22.2 Post-Closure Period Configuration</w:t>
      </w:r>
    </w:p>
    <w:p>
      <w:pPr>
        <w:spacing w:after="80" w:line="293" w:lineRule="auto"/>
        <w:jc w:val="left"/>
      </w:pPr>
      <w:r>
        <w:rPr>
          <w:rFonts w:ascii="Times New Roman" w:hAnsi="Times New Roman" w:cs="Times New Roman"/>
          <w:b w:val="0"/>
          <w:i w:val="0"/>
          <w:sz w:val="22"/>
        </w:rPr>
        <w:t>The period is configurable by:</w:t>
      </w:r>
    </w:p>
    <w:p>
      <w:pPr>
        <w:spacing w:after="80" w:line="293" w:lineRule="auto"/>
        <w:ind w:left="283"/>
        <w:jc w:val="left"/>
      </w:pPr>
      <w:r>
        <w:rPr>
          <w:rFonts w:ascii="Times New Roman" w:hAnsi="Times New Roman" w:cs="Times New Roman"/>
          <w:b w:val="0"/>
          <w:i w:val="0"/>
          <w:sz w:val="22"/>
        </w:rPr>
        <w:t>- contract terms;</w:t>
      </w:r>
    </w:p>
    <w:p>
      <w:pPr>
        <w:spacing w:after="80" w:line="293" w:lineRule="auto"/>
        <w:ind w:left="283"/>
        <w:jc w:val="left"/>
      </w:pPr>
      <w:r>
        <w:rPr>
          <w:rFonts w:ascii="Times New Roman" w:hAnsi="Times New Roman" w:cs="Times New Roman"/>
          <w:b w:val="0"/>
          <w:i w:val="0"/>
          <w:sz w:val="22"/>
        </w:rPr>
        <w:t>- jurisdictional requirements;</w:t>
      </w:r>
    </w:p>
    <w:p>
      <w:pPr>
        <w:spacing w:after="80" w:line="293" w:lineRule="auto"/>
        <w:ind w:left="283"/>
        <w:jc w:val="left"/>
      </w:pPr>
      <w:r>
        <w:rPr>
          <w:rFonts w:ascii="Times New Roman" w:hAnsi="Times New Roman" w:cs="Times New Roman"/>
          <w:b w:val="0"/>
          <w:i w:val="0"/>
          <w:sz w:val="22"/>
        </w:rPr>
        <w:t>- transaction class;</w:t>
      </w:r>
    </w:p>
    <w:p>
      <w:pPr>
        <w:spacing w:after="80" w:line="293" w:lineRule="auto"/>
        <w:ind w:left="283"/>
        <w:jc w:val="left"/>
      </w:pPr>
      <w:r>
        <w:rPr>
          <w:rFonts w:ascii="Times New Roman" w:hAnsi="Times New Roman" w:cs="Times New Roman"/>
          <w:b w:val="0"/>
          <w:i w:val="0"/>
          <w:sz w:val="22"/>
        </w:rPr>
        <w:t>- customer agreement;</w:t>
      </w:r>
    </w:p>
    <w:p>
      <w:pPr>
        <w:spacing w:after="80" w:line="293" w:lineRule="auto"/>
        <w:ind w:left="283"/>
        <w:jc w:val="left"/>
      </w:pPr>
      <w:r>
        <w:rPr>
          <w:rFonts w:ascii="Times New Roman" w:hAnsi="Times New Roman" w:cs="Times New Roman"/>
          <w:b w:val="0"/>
          <w:i w:val="0"/>
          <w:sz w:val="22"/>
        </w:rPr>
        <w:t>- regulatory mandate;</w:t>
      </w:r>
    </w:p>
    <w:p>
      <w:pPr>
        <w:spacing w:after="80" w:line="293" w:lineRule="auto"/>
        <w:ind w:left="283"/>
        <w:jc w:val="left"/>
      </w:pPr>
      <w:r>
        <w:rPr>
          <w:rFonts w:ascii="Times New Roman" w:hAnsi="Times New Roman" w:cs="Times New Roman"/>
          <w:b w:val="0"/>
          <w:i w:val="0"/>
          <w:sz w:val="22"/>
        </w:rPr>
        <w:t>- applicable legal retention and limitation periods.</w:t>
      </w:r>
    </w:p>
    <w:p>
      <w:pPr>
        <w:keepNext/>
        <w:spacing w:before="180" w:after="80"/>
        <w:outlineLvl w:val="2"/>
      </w:pPr>
      <w:r>
        <w:rPr>
          <w:rFonts w:ascii="Arial" w:hAnsi="Arial" w:cs="Arial"/>
          <w:b/>
          <w:i w:val="0"/>
          <w:color w:val="333333"/>
          <w:sz w:val="23"/>
        </w:rPr>
        <w:t>19.22.3 Post-Closure Event Processing</w:t>
      </w:r>
    </w:p>
    <w:p>
      <w:pPr>
        <w:spacing w:after="80" w:line="293" w:lineRule="auto"/>
        <w:jc w:val="left"/>
      </w:pPr>
      <w:r>
        <w:rPr>
          <w:rFonts w:ascii="Times New Roman" w:hAnsi="Times New Roman" w:cs="Times New Roman"/>
          <w:b w:val="0"/>
          <w:i w:val="0"/>
          <w:sz w:val="22"/>
        </w:rPr>
        <w:t>Post-closure events within the observation period trigger:</w:t>
      </w:r>
    </w:p>
    <w:p>
      <w:pPr>
        <w:spacing w:after="80" w:line="293" w:lineRule="auto"/>
        <w:jc w:val="left"/>
      </w:pPr>
      <w:r>
        <w:rPr>
          <w:rFonts w:ascii="Times New Roman" w:hAnsi="Times New Roman" w:cs="Times New Roman"/>
          <w:b w:val="0"/>
          <w:i w:val="0"/>
          <w:sz w:val="22"/>
        </w:rPr>
        <w:t>1. impact assessment; 2. reconciliation review; 3. state re-evaluation; 4. potential adjustment; 5. recovery if required.</w:t>
      </w:r>
    </w:p>
    <w:p>
      <w:pPr>
        <w:spacing w:after="80" w:line="293" w:lineRule="auto"/>
        <w:jc w:val="left"/>
      </w:pPr>
      <w:r>
        <w:rPr>
          <w:rFonts w:ascii="Times New Roman" w:hAnsi="Times New Roman" w:cs="Times New Roman"/>
          <w:b w:val="0"/>
          <w:i w:val="0"/>
          <w:sz w:val="22"/>
        </w:rPr>
        <w:t>The active period and applicable policy are documented in the transaction twin and jurisdictional profile.</w:t>
      </w:r>
    </w:p>
    <w:p>
      <w:pPr>
        <w:keepNext/>
        <w:spacing w:before="240" w:after="100"/>
        <w:outlineLvl w:val="1"/>
      </w:pPr>
      <w:r>
        <w:rPr>
          <w:rFonts w:ascii="Arial" w:hAnsi="Arial" w:cs="Arial"/>
          <w:b/>
          <w:i w:val="0"/>
          <w:color w:val="2E528F"/>
          <w:sz w:val="26"/>
        </w:rPr>
        <w:t>19.23 Unknown Must Be a Valid State</w:t>
      </w:r>
    </w:p>
    <w:p>
      <w:pPr>
        <w:spacing w:after="80" w:line="293" w:lineRule="auto"/>
        <w:jc w:val="left"/>
      </w:pPr>
      <w:r>
        <w:rPr>
          <w:rFonts w:ascii="Times New Roman" w:hAnsi="Times New Roman" w:cs="Times New Roman"/>
          <w:b w:val="0"/>
          <w:i w:val="0"/>
          <w:sz w:val="22"/>
        </w:rPr>
        <w:t>SGTX must be able to represent UNKNOWN and UNVERIFIED where authoritative evidence is insufficient. A bank timeout does not automatically mean FAILED, and does not mean SETTLED. It may mean:</w:t>
      </w:r>
    </w:p>
    <w:p>
      <w:pPr>
        <w:spacing w:after="80" w:line="293" w:lineRule="auto"/>
        <w:ind w:left="283"/>
        <w:jc w:val="left"/>
      </w:pPr>
      <w:r>
        <w:rPr>
          <w:rFonts w:ascii="Times New Roman" w:hAnsi="Times New Roman" w:cs="Times New Roman"/>
          <w:b w:val="0"/>
          <w:i w:val="0"/>
          <w:sz w:val="22"/>
        </w:rPr>
        <w:t>- FINANCIAL = UNKNOWN</w:t>
      </w:r>
    </w:p>
    <w:p>
      <w:pPr>
        <w:spacing w:after="80" w:line="293" w:lineRule="auto"/>
        <w:ind w:left="283"/>
        <w:jc w:val="left"/>
      </w:pPr>
      <w:r>
        <w:rPr>
          <w:rFonts w:ascii="Times New Roman" w:hAnsi="Times New Roman" w:cs="Times New Roman"/>
          <w:b w:val="0"/>
          <w:i w:val="0"/>
          <w:sz w:val="22"/>
        </w:rPr>
        <w:t>- RECONCILIATION = REQUIRED</w:t>
      </w:r>
    </w:p>
    <w:p>
      <w:pPr>
        <w:spacing w:after="80" w:line="293" w:lineRule="auto"/>
        <w:jc w:val="left"/>
      </w:pPr>
      <w:r>
        <w:rPr>
          <w:rFonts w:ascii="Times New Roman" w:hAnsi="Times New Roman" w:cs="Times New Roman"/>
          <w:b w:val="0"/>
          <w:i w:val="0"/>
          <w:sz w:val="22"/>
        </w:rPr>
        <w:t>This is a constitutional safety principle.</w:t>
      </w:r>
    </w:p>
    <w:p>
      <w:pPr>
        <w:keepNext/>
        <w:spacing w:before="180" w:after="80"/>
        <w:outlineLvl w:val="2"/>
      </w:pPr>
      <w:r>
        <w:rPr>
          <w:rFonts w:ascii="Arial" w:hAnsi="Arial" w:cs="Arial"/>
          <w:b/>
          <w:i w:val="0"/>
          <w:color w:val="333333"/>
          <w:sz w:val="23"/>
        </w:rPr>
        <w:t>19.23.1 External Failure Semantics</w:t>
      </w:r>
    </w:p>
    <w:p>
      <w:pPr>
        <w:spacing w:after="80" w:line="293" w:lineRule="auto"/>
        <w:jc w:val="left"/>
      </w:pPr>
      <w:r>
        <w:rPr>
          <w:rFonts w:ascii="Times New Roman" w:hAnsi="Times New Roman" w:cs="Times New Roman"/>
          <w:b w:val="0"/>
          <w:i w:val="0"/>
          <w:sz w:val="22"/>
        </w:rPr>
        <w:t>An external timeout produces UNKNOWN, never FAILED, unless the external system explicitly confirms failure. Unknown states require reconciliation and retry policy, and the platform never invents success. The canonical mapping for external timeouts is:</w:t>
      </w:r>
    </w:p>
    <w:p>
      <w:pPr>
        <w:spacing w:after="0" w:before="0" w:line="240" w:lineRule="auto"/>
        <w:ind w:left="57"/>
        <w:jc w:val="left"/>
        <w:shd w:val="clear" w:fill="F2F2F2"/>
      </w:pPr>
      <w:r>
        <w:rPr>
          <w:rFonts w:ascii="Consolas" w:hAnsi="Consolas" w:cs="Consolas"/>
          <w:b w:val="0"/>
          <w:i w:val="0"/>
          <w:sz w:val="15"/>
        </w:rPr>
        <w:t>payment timeout       -&gt;  PAYMENT_UNKNOWN</w:t>
      </w:r>
    </w:p>
    <w:p>
      <w:pPr>
        <w:spacing w:after="0" w:before="0" w:line="240" w:lineRule="auto"/>
        <w:ind w:left="57"/>
        <w:jc w:val="left"/>
        <w:shd w:val="clear" w:fill="F2F2F2"/>
      </w:pPr>
      <w:r>
        <w:rPr>
          <w:rFonts w:ascii="Consolas" w:hAnsi="Consolas" w:cs="Consolas"/>
          <w:b w:val="0"/>
          <w:i w:val="0"/>
          <w:sz w:val="15"/>
        </w:rPr>
        <w:t>customs API timeout  -&gt;  CUSTOMS_STATUS_UNKNOWN</w:t>
      </w:r>
    </w:p>
    <w:p>
      <w:pPr>
        <w:spacing w:after="0" w:before="0" w:line="240" w:lineRule="auto"/>
        <w:ind w:left="57"/>
        <w:jc w:val="left"/>
        <w:shd w:val="clear" w:fill="F2F2F2"/>
      </w:pPr>
      <w:r>
        <w:rPr>
          <w:rFonts w:ascii="Consolas" w:hAnsi="Consolas" w:cs="Consolas"/>
          <w:b w:val="0"/>
          <w:i w:val="0"/>
          <w:sz w:val="15"/>
        </w:rPr>
        <w:t>carrier API timeout  -&gt;  CARRIER_EVENT_UNKNOWN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 UNKNOWN state is a first-class state that blocks any dependent authoritative advance until reconciled: an unknown payment cannot settle a financial obligation, an unknown customs status cannot satisfy a customs-readiness dependency, and an unknown carrier event cannot confirm a milestone. UNKNOWN resolves only through an authoritative external confirmation, an explicit external failure confirmation (which produces the corresponding FAILED state), or a governed reconciliation outcome (Section 19.26). This is the constitutional UNKNOWN principle (Section 19.23) applied to every external integration boundary.</w:t>
      </w:r>
    </w:p>
    <w:p>
      <w:pPr>
        <w:keepNext/>
        <w:spacing w:before="240" w:after="100"/>
        <w:outlineLvl w:val="1"/>
      </w:pPr>
      <w:r>
        <w:rPr>
          <w:rFonts w:ascii="Arial" w:hAnsi="Arial" w:cs="Arial"/>
          <w:b/>
          <w:i w:val="0"/>
          <w:color w:val="2E528F"/>
          <w:sz w:val="26"/>
        </w:rPr>
        <w:t>19.24 No Forced Closure</w:t>
      </w:r>
    </w:p>
    <w:p>
      <w:pPr>
        <w:spacing w:after="80" w:line="293" w:lineRule="auto"/>
        <w:jc w:val="left"/>
      </w:pPr>
      <w:r>
        <w:rPr>
          <w:rFonts w:ascii="Times New Roman" w:hAnsi="Times New Roman" w:cs="Times New Roman"/>
          <w:b w:val="0"/>
          <w:i w:val="0"/>
          <w:sz w:val="22"/>
        </w:rPr>
        <w:t>Incorrect: TIMEOUT → CLOSED.</w:t>
      </w:r>
    </w:p>
    <w:p>
      <w:pPr>
        <w:spacing w:after="80" w:line="293" w:lineRule="auto"/>
        <w:jc w:val="left"/>
      </w:pPr>
      <w:r>
        <w:rPr>
          <w:rFonts w:ascii="Times New Roman" w:hAnsi="Times New Roman" w:cs="Times New Roman"/>
          <w:b w:val="0"/>
          <w:i w:val="0"/>
          <w:sz w:val="22"/>
        </w:rPr>
        <w:t>Correct:</w:t>
      </w:r>
    </w:p>
    <w:p>
      <w:pPr>
        <w:spacing w:after="0" w:before="0" w:line="240" w:lineRule="auto"/>
        <w:ind w:left="57"/>
        <w:jc w:val="left"/>
        <w:shd w:val="clear" w:fill="F2F2F2"/>
      </w:pPr>
      <w:r>
        <w:rPr>
          <w:rFonts w:ascii="Consolas" w:hAnsi="Consolas" w:cs="Consolas"/>
          <w:b w:val="0"/>
          <w:i w:val="0"/>
          <w:sz w:val="15"/>
        </w:rPr>
        <w:t>TIMEOUT → EXCEPTION → RECONCILIATION → RESOLUTION → CONTROLLED CLOSURE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Timeout is an event. It is not automatically a final transaction state.</w:t>
      </w:r>
    </w:p>
    <w:p>
      <w:pPr>
        <w:keepNext/>
        <w:spacing w:before="240" w:after="100"/>
        <w:outlineLvl w:val="1"/>
      </w:pPr>
      <w:r>
        <w:rPr>
          <w:rFonts w:ascii="Arial" w:hAnsi="Arial" w:cs="Arial"/>
          <w:b/>
          <w:i w:val="0"/>
          <w:color w:val="2E528F"/>
          <w:sz w:val="26"/>
        </w:rPr>
        <w:t>19.25 Canonical Exception Taxonomy</w:t>
      </w:r>
    </w:p>
    <w:p>
      <w:pPr>
        <w:spacing w:after="80" w:line="293" w:lineRule="auto"/>
        <w:jc w:val="left"/>
      </w:pPr>
      <w:r>
        <w:rPr>
          <w:rFonts w:ascii="Times New Roman" w:hAnsi="Times New Roman" w:cs="Times New Roman"/>
          <w:b w:val="0"/>
          <w:i w:val="0"/>
          <w:sz w:val="22"/>
        </w:rPr>
        <w:t>The platform supports, as applicable: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Category</w:t>
            </w:r>
          </w:p>
        </w:tc>
        <w:tc>
          <w:tcPr>
            <w:tcW w:type="dxa" w:w="4819"/>
            <w:shd w:val="clear" w:fill="D9E2F3"/>
          </w:tcPr>
          <w:p>
            <w:pPr>
              <w:spacing w:after="20" w:before="20" w:line="240" w:lineRule="auto"/>
            </w:pPr>
            <w:r/>
            <w:r>
              <w:rPr>
                <w:rFonts w:ascii="Arial" w:hAnsi="Arial" w:cs="Arial"/>
                <w:b/>
                <w:i w:val="0"/>
                <w:sz w:val="18"/>
              </w:rPr>
              <w:t>States</w:t>
            </w:r>
          </w:p>
        </w:tc>
      </w:tr>
      <w:tr>
        <w:tc>
          <w:tcPr>
            <w:tcW w:type="dxa" w:w="4819"/>
          </w:tcPr>
          <w:p>
            <w:pPr>
              <w:spacing w:after="20" w:before="20" w:line="240" w:lineRule="auto"/>
            </w:pPr>
            <w:r/>
            <w:r>
              <w:rPr>
                <w:rFonts w:ascii="Arial" w:hAnsi="Arial" w:cs="Arial"/>
                <w:b w:val="0"/>
                <w:i w:val="0"/>
                <w:sz w:val="17"/>
              </w:rPr>
              <w:t>Financial</w:t>
            </w:r>
          </w:p>
        </w:tc>
        <w:tc>
          <w:tcPr>
            <w:tcW w:type="dxa" w:w="4819"/>
          </w:tcPr>
          <w:p>
            <w:pPr>
              <w:spacing w:after="20" w:before="20" w:line="240" w:lineRule="auto"/>
            </w:pPr>
            <w:r/>
            <w:r>
              <w:rPr>
                <w:rFonts w:ascii="Arial" w:hAnsi="Arial" w:cs="Arial"/>
                <w:b w:val="0"/>
                <w:i w:val="0"/>
                <w:sz w:val="17"/>
              </w:rPr>
              <w:t>PAYMENT_PENDING, PAYMENT_PARTIALLY_SETTLED, PAYMENT_REJECTED, PAYMENT_RETURN_REQUESTED, PAYMENT_RETURNED, PAYMENT_RECALLED, PAYMENT_REVERSED, PAYMENT_UNKNOWN</w:t>
            </w:r>
          </w:p>
        </w:tc>
      </w:tr>
      <w:tr>
        <w:tc>
          <w:tcPr>
            <w:tcW w:type="dxa" w:w="4819"/>
          </w:tcPr>
          <w:p>
            <w:pPr>
              <w:spacing w:after="20" w:before="20" w:line="240" w:lineRule="auto"/>
            </w:pPr>
            <w:r/>
            <w:r>
              <w:rPr>
                <w:rFonts w:ascii="Arial" w:hAnsi="Arial" w:cs="Arial"/>
                <w:b w:val="0"/>
                <w:i w:val="0"/>
                <w:sz w:val="17"/>
              </w:rPr>
              <w:t>Documents</w:t>
            </w:r>
          </w:p>
        </w:tc>
        <w:tc>
          <w:tcPr>
            <w:tcW w:type="dxa" w:w="4819"/>
          </w:tcPr>
          <w:p>
            <w:pPr>
              <w:spacing w:after="20" w:before="20" w:line="240" w:lineRule="auto"/>
            </w:pPr>
            <w:r/>
            <w:r>
              <w:rPr>
                <w:rFonts w:ascii="Arial" w:hAnsi="Arial" w:cs="Arial"/>
                <w:b w:val="0"/>
                <w:i w:val="0"/>
                <w:sz w:val="17"/>
              </w:rPr>
              <w:t>DOCUMENT_MISSING, DOCUMENT_INVALID, DOCUMENT_REVOKED, DOCUMENT_EXPIRED, DOCUMENT_CONFLICT, DOCUMENT_SUPERSEDED</w:t>
            </w:r>
          </w:p>
        </w:tc>
      </w:tr>
      <w:tr>
        <w:tc>
          <w:tcPr>
            <w:tcW w:type="dxa" w:w="4819"/>
          </w:tcPr>
          <w:p>
            <w:pPr>
              <w:spacing w:after="20" w:before="20" w:line="240" w:lineRule="auto"/>
            </w:pPr>
            <w:r/>
            <w:r>
              <w:rPr>
                <w:rFonts w:ascii="Arial" w:hAnsi="Arial" w:cs="Arial"/>
                <w:b w:val="0"/>
                <w:i w:val="0"/>
                <w:sz w:val="17"/>
              </w:rPr>
              <w:t>Milestones</w:t>
            </w:r>
          </w:p>
        </w:tc>
        <w:tc>
          <w:tcPr>
            <w:tcW w:type="dxa" w:w="4819"/>
          </w:tcPr>
          <w:p>
            <w:pPr>
              <w:spacing w:after="20" w:before="20" w:line="240" w:lineRule="auto"/>
            </w:pPr>
            <w:r/>
            <w:r>
              <w:rPr>
                <w:rFonts w:ascii="Arial" w:hAnsi="Arial" w:cs="Arial"/>
                <w:b w:val="0"/>
                <w:i w:val="0"/>
                <w:sz w:val="17"/>
              </w:rPr>
              <w:t>MILESTONE_PENDING, MILESTONE_FAILED, MILESTONE_DISPUTED, MILESTONE_CORRECTED</w:t>
            </w:r>
          </w:p>
        </w:tc>
      </w:tr>
      <w:tr>
        <w:tc>
          <w:tcPr>
            <w:tcW w:type="dxa" w:w="4819"/>
          </w:tcPr>
          <w:p>
            <w:pPr>
              <w:spacing w:after="20" w:before="20" w:line="240" w:lineRule="auto"/>
            </w:pPr>
            <w:r/>
            <w:r>
              <w:rPr>
                <w:rFonts w:ascii="Arial" w:hAnsi="Arial" w:cs="Arial"/>
                <w:b w:val="0"/>
                <w:i w:val="0"/>
                <w:sz w:val="17"/>
              </w:rPr>
              <w:t>Compliance / Regulatory</w:t>
            </w:r>
          </w:p>
        </w:tc>
        <w:tc>
          <w:tcPr>
            <w:tcW w:type="dxa" w:w="4819"/>
          </w:tcPr>
          <w:p>
            <w:pPr>
              <w:spacing w:after="20" w:before="20" w:line="240" w:lineRule="auto"/>
            </w:pPr>
            <w:r/>
            <w:r>
              <w:rPr>
                <w:rFonts w:ascii="Arial" w:hAnsi="Arial" w:cs="Arial"/>
                <w:b w:val="0"/>
                <w:i w:val="0"/>
                <w:sz w:val="17"/>
              </w:rPr>
              <w:t>COMPLIANCE_HOLD, SANCTIONS_HOLD, REGULATORY_HOLD, CUSTOMS_HOLD, LEGAL_HOLD</w:t>
            </w:r>
          </w:p>
        </w:tc>
      </w:tr>
      <w:tr>
        <w:tc>
          <w:tcPr>
            <w:tcW w:type="dxa" w:w="4819"/>
          </w:tcPr>
          <w:p>
            <w:pPr>
              <w:spacing w:after="20" w:before="20" w:line="240" w:lineRule="auto"/>
            </w:pPr>
            <w:r/>
            <w:r>
              <w:rPr>
                <w:rFonts w:ascii="Arial" w:hAnsi="Arial" w:cs="Arial"/>
                <w:b w:val="0"/>
                <w:i w:val="0"/>
                <w:sz w:val="17"/>
              </w:rPr>
              <w:t>Reconciliation</w:t>
            </w:r>
          </w:p>
        </w:tc>
        <w:tc>
          <w:tcPr>
            <w:tcW w:type="dxa" w:w="4819"/>
          </w:tcPr>
          <w:p>
            <w:pPr>
              <w:spacing w:after="20" w:before="20" w:line="240" w:lineRule="auto"/>
            </w:pPr>
            <w:r/>
            <w:r>
              <w:rPr>
                <w:rFonts w:ascii="Arial" w:hAnsi="Arial" w:cs="Arial"/>
                <w:b w:val="0"/>
                <w:i w:val="0"/>
                <w:sz w:val="17"/>
              </w:rPr>
              <w:t>RECONCILIATION_REQUIRED, RECONCILIATION_DIVERGENT, RECONCILIATION_ESCALATED, RECONCILIATION_RESOLVED</w:t>
            </w:r>
          </w:p>
        </w:tc>
      </w:tr>
      <w:tr>
        <w:tc>
          <w:tcPr>
            <w:tcW w:type="dxa" w:w="4819"/>
          </w:tcPr>
          <w:p>
            <w:pPr>
              <w:spacing w:after="20" w:before="20" w:line="240" w:lineRule="auto"/>
            </w:pPr>
            <w:r/>
            <w:r>
              <w:rPr>
                <w:rFonts w:ascii="Arial" w:hAnsi="Arial" w:cs="Arial"/>
                <w:b w:val="0"/>
                <w:i w:val="0"/>
                <w:sz w:val="17"/>
              </w:rPr>
              <w:t>Execution / Recovery</w:t>
            </w:r>
          </w:p>
        </w:tc>
        <w:tc>
          <w:tcPr>
            <w:tcW w:type="dxa" w:w="4819"/>
          </w:tcPr>
          <w:p>
            <w:pPr>
              <w:spacing w:after="20" w:before="20" w:line="240" w:lineRule="auto"/>
            </w:pPr>
            <w:r/>
            <w:r>
              <w:rPr>
                <w:rFonts w:ascii="Arial" w:hAnsi="Arial" w:cs="Arial"/>
                <w:b w:val="0"/>
                <w:i w:val="0"/>
                <w:sz w:val="17"/>
              </w:rPr>
              <w:t>EXECUTION_SUSPENDED, CORRECTIVE_EXECUTION, COMPENSATING_EXECUTION</w:t>
            </w:r>
          </w:p>
        </w:tc>
      </w:tr>
      <w:tr>
        <w:tc>
          <w:tcPr>
            <w:tcW w:type="dxa" w:w="4819"/>
          </w:tcPr>
          <w:p>
            <w:pPr>
              <w:spacing w:after="20" w:before="20" w:line="240" w:lineRule="auto"/>
            </w:pPr>
            <w:r/>
            <w:r>
              <w:rPr>
                <w:rFonts w:ascii="Arial" w:hAnsi="Arial" w:cs="Arial"/>
                <w:b w:val="0"/>
                <w:i w:val="0"/>
                <w:sz w:val="17"/>
              </w:rPr>
              <w:t>Closure</w:t>
            </w:r>
          </w:p>
        </w:tc>
        <w:tc>
          <w:tcPr>
            <w:tcW w:type="dxa" w:w="4819"/>
          </w:tcPr>
          <w:p>
            <w:pPr>
              <w:spacing w:after="20" w:before="20" w:line="240" w:lineRule="auto"/>
            </w:pPr>
            <w:r/>
            <w:r>
              <w:rPr>
                <w:rFonts w:ascii="Arial" w:hAnsi="Arial" w:cs="Arial"/>
                <w:b w:val="0"/>
                <w:i w:val="0"/>
                <w:sz w:val="17"/>
              </w:rPr>
              <w:t>CLOSED, CLOSED_WITH_EXCEPTION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Developers must not invent uncontrolled authoritative states outside governed state policy.</w:t>
      </w:r>
    </w:p>
    <w:p>
      <w:pPr>
        <w:keepNext/>
        <w:spacing w:before="240" w:after="100"/>
        <w:outlineLvl w:val="1"/>
      </w:pPr>
      <w:r>
        <w:rPr>
          <w:rFonts w:ascii="Arial" w:hAnsi="Arial" w:cs="Arial"/>
          <w:b/>
          <w:i w:val="0"/>
          <w:color w:val="2E528F"/>
          <w:sz w:val="26"/>
        </w:rPr>
        <w:t>19.26 Reconciliation Control Plane</w:t>
      </w:r>
    </w:p>
    <w:p>
      <w:pPr>
        <w:spacing w:after="80" w:line="293" w:lineRule="auto"/>
        <w:jc w:val="left"/>
      </w:pPr>
      <w:r>
        <w:rPr>
          <w:rFonts w:ascii="Times New Roman" w:hAnsi="Times New Roman" w:cs="Times New Roman"/>
          <w:b w:val="0"/>
          <w:i w:val="0"/>
          <w:sz w:val="22"/>
        </w:rPr>
        <w:t>Reconciliation is a core execution subsystem. It is not a reporting feature. It compares:</w:t>
      </w:r>
    </w:p>
    <w:p>
      <w:pPr>
        <w:spacing w:after="80" w:line="293" w:lineRule="auto"/>
        <w:ind w:left="283"/>
        <w:jc w:val="left"/>
      </w:pPr>
      <w:r>
        <w:rPr>
          <w:rFonts w:ascii="Times New Roman" w:hAnsi="Times New Roman" w:cs="Times New Roman"/>
          <w:b w:val="0"/>
          <w:i w:val="0"/>
          <w:sz w:val="22"/>
        </w:rPr>
        <w:t>- SGTX Execution State;</w:t>
      </w:r>
    </w:p>
    <w:p>
      <w:pPr>
        <w:spacing w:after="80" w:line="293" w:lineRule="auto"/>
        <w:ind w:left="283"/>
        <w:jc w:val="left"/>
      </w:pPr>
      <w:r>
        <w:rPr>
          <w:rFonts w:ascii="Times New Roman" w:hAnsi="Times New Roman" w:cs="Times New Roman"/>
          <w:b w:val="0"/>
          <w:i w:val="0"/>
          <w:sz w:val="22"/>
        </w:rPr>
        <w:t>- Financial / Bank State;</w:t>
      </w:r>
    </w:p>
    <w:p>
      <w:pPr>
        <w:spacing w:after="80" w:line="293" w:lineRule="auto"/>
        <w:ind w:left="283"/>
        <w:jc w:val="left"/>
      </w:pPr>
      <w:r>
        <w:rPr>
          <w:rFonts w:ascii="Times New Roman" w:hAnsi="Times New Roman" w:cs="Times New Roman"/>
          <w:b w:val="0"/>
          <w:i w:val="0"/>
          <w:sz w:val="22"/>
        </w:rPr>
        <w:t>- Contract State;</w:t>
      </w:r>
    </w:p>
    <w:p>
      <w:pPr>
        <w:spacing w:after="80" w:line="293" w:lineRule="auto"/>
        <w:ind w:left="283"/>
        <w:jc w:val="left"/>
      </w:pPr>
      <w:r>
        <w:rPr>
          <w:rFonts w:ascii="Times New Roman" w:hAnsi="Times New Roman" w:cs="Times New Roman"/>
          <w:b w:val="0"/>
          <w:i w:val="0"/>
          <w:sz w:val="22"/>
        </w:rPr>
        <w:t>- Document State;</w:t>
      </w:r>
    </w:p>
    <w:p>
      <w:pPr>
        <w:spacing w:after="80" w:line="293" w:lineRule="auto"/>
        <w:ind w:left="283"/>
        <w:jc w:val="left"/>
      </w:pPr>
      <w:r>
        <w:rPr>
          <w:rFonts w:ascii="Times New Roman" w:hAnsi="Times New Roman" w:cs="Times New Roman"/>
          <w:b w:val="0"/>
          <w:i w:val="0"/>
          <w:sz w:val="22"/>
        </w:rPr>
        <w:t>- Physical / Logistics State;</w:t>
      </w:r>
    </w:p>
    <w:p>
      <w:pPr>
        <w:spacing w:after="80" w:line="293" w:lineRule="auto"/>
        <w:ind w:left="283"/>
        <w:jc w:val="left"/>
      </w:pPr>
      <w:r>
        <w:rPr>
          <w:rFonts w:ascii="Times New Roman" w:hAnsi="Times New Roman" w:cs="Times New Roman"/>
          <w:b w:val="0"/>
          <w:i w:val="0"/>
          <w:sz w:val="22"/>
        </w:rPr>
        <w:t>- Compliance State;</w:t>
      </w:r>
    </w:p>
    <w:p>
      <w:pPr>
        <w:spacing w:after="80" w:line="293" w:lineRule="auto"/>
        <w:ind w:left="283"/>
        <w:jc w:val="left"/>
      </w:pPr>
      <w:r>
        <w:rPr>
          <w:rFonts w:ascii="Times New Roman" w:hAnsi="Times New Roman" w:cs="Times New Roman"/>
          <w:b w:val="0"/>
          <w:i w:val="0"/>
          <w:sz w:val="22"/>
        </w:rPr>
        <w:t>- Legal State;</w:t>
      </w:r>
    </w:p>
    <w:p>
      <w:pPr>
        <w:spacing w:after="80" w:line="293" w:lineRule="auto"/>
        <w:ind w:left="283"/>
        <w:jc w:val="left"/>
      </w:pPr>
      <w:r>
        <w:rPr>
          <w:rFonts w:ascii="Times New Roman" w:hAnsi="Times New Roman" w:cs="Times New Roman"/>
          <w:b w:val="0"/>
          <w:i w:val="0"/>
          <w:sz w:val="22"/>
        </w:rPr>
        <w:t>- Counterparty Assertions;</w:t>
      </w:r>
    </w:p>
    <w:p>
      <w:pPr>
        <w:spacing w:after="80" w:line="293" w:lineRule="auto"/>
        <w:ind w:left="283"/>
        <w:jc w:val="left"/>
      </w:pPr>
      <w:r>
        <w:rPr>
          <w:rFonts w:ascii="Times New Roman" w:hAnsi="Times New Roman" w:cs="Times New Roman"/>
          <w:b w:val="0"/>
          <w:i w:val="0"/>
          <w:sz w:val="22"/>
        </w:rPr>
        <w:t>- Economic Exposure.</w:t>
      </w:r>
    </w:p>
    <w:p>
      <w:pPr>
        <w:spacing w:after="80" w:line="293" w:lineRule="auto"/>
        <w:jc w:val="left"/>
      </w:pPr>
      <w:r>
        <w:rPr>
          <w:rFonts w:ascii="Times New Roman" w:hAnsi="Times New Roman" w:cs="Times New Roman"/>
          <w:b w:val="0"/>
          <w:i w:val="0"/>
          <w:sz w:val="22"/>
        </w:rPr>
        <w:t>Possible outcomes include: MATCHED, PARTIALLY_MATCHED, DIVERGENT, UNRESOLVED, EXCEPTION.</w:t>
      </w:r>
    </w:p>
    <w:p>
      <w:pPr>
        <w:keepNext/>
        <w:spacing w:before="180" w:after="80"/>
        <w:outlineLvl w:val="2"/>
      </w:pPr>
      <w:r>
        <w:rPr>
          <w:rFonts w:ascii="Arial" w:hAnsi="Arial" w:cs="Arial"/>
          <w:b/>
          <w:i w:val="0"/>
          <w:color w:val="333333"/>
          <w:sz w:val="23"/>
        </w:rPr>
        <w:t>19.26.1 Control-Plane Records &amp; Corrective Events</w:t>
      </w:r>
    </w:p>
    <w:p>
      <w:pPr>
        <w:spacing w:after="80" w:line="293" w:lineRule="auto"/>
        <w:jc w:val="left"/>
      </w:pPr>
      <w:r>
        <w:rPr>
          <w:rFonts w:ascii="Times New Roman" w:hAnsi="Times New Roman" w:cs="Times New Roman"/>
          <w:b w:val="0"/>
          <w:i w:val="0"/>
          <w:sz w:val="22"/>
        </w:rPr>
        <w:t>Every material cross-system transaction carries a reconciliation control-plane record with: expected state, observed state, authoritative state, difference, severity, owner, resolution state, and evidence. The reconciliation state model is:</w:t>
      </w:r>
    </w:p>
    <w:p>
      <w:pPr>
        <w:spacing w:after="0" w:before="0" w:line="240" w:lineRule="auto"/>
        <w:ind w:left="57"/>
        <w:jc w:val="left"/>
        <w:shd w:val="clear" w:fill="F2F2F2"/>
      </w:pPr>
      <w:r>
        <w:rPr>
          <w:rFonts w:ascii="Consolas" w:hAnsi="Consolas" w:cs="Consolas"/>
          <w:b w:val="0"/>
          <w:i w:val="0"/>
          <w:sz w:val="15"/>
        </w:rPr>
        <w:t>MATCHED | PENDING | DIVERGED | UNRESOLVED | EXCEPTION_ACCEPTED | CORRECTED | CLOSED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contradiction is never resolved by deleting or editing the historical event. Resolution creates a new corrective event carrying: reason, actor, authority, evidence, timestamp, and policy version. The original event and the corrective event both remain in the immutable spine, and the state-vector projection derives the current authoritative state from the complete event sequence (Section 19.13–19.14).</w:t>
      </w:r>
    </w:p>
    <w:p>
      <w:pPr>
        <w:spacing w:after="80" w:line="293" w:lineRule="auto"/>
        <w:jc w:val="left"/>
      </w:pPr>
      <w:r>
        <w:rPr>
          <w:rFonts w:ascii="Times New Roman" w:hAnsi="Times New Roman" w:cs="Times New Roman"/>
          <w:b w:val="0"/>
          <w:i w:val="0"/>
          <w:sz w:val="22"/>
        </w:rPr>
        <w:t>The canonical transaction state is derived from immutable events, authoritative external facts, governed policy, and reconciliation results — never from arbitrary service-local fields. A service-local status is an operational projection; it is not automatically canonical, and any projection that diverges from the derived canonical state is itself a divergence case in this control plane (constitutional Point 35).</w:t>
      </w:r>
    </w:p>
    <w:p>
      <w:pPr>
        <w:keepNext/>
        <w:spacing w:before="240" w:after="100"/>
        <w:outlineLvl w:val="1"/>
      </w:pPr>
      <w:r>
        <w:rPr>
          <w:rFonts w:ascii="Arial" w:hAnsi="Arial" w:cs="Arial"/>
          <w:b/>
          <w:i w:val="0"/>
          <w:color w:val="2E528F"/>
          <w:sz w:val="26"/>
        </w:rPr>
        <w:t>19.27 Reconciliation Questions</w:t>
      </w:r>
    </w:p>
    <w:p>
      <w:pPr>
        <w:spacing w:after="80" w:line="293" w:lineRule="auto"/>
        <w:jc w:val="left"/>
      </w:pPr>
      <w:r>
        <w:rPr>
          <w:rFonts w:ascii="Times New Roman" w:hAnsi="Times New Roman" w:cs="Times New Roman"/>
          <w:b w:val="0"/>
          <w:i w:val="0"/>
          <w:sz w:val="22"/>
        </w:rPr>
        <w:t>SGTX is capable of answering:</w:t>
      </w:r>
    </w:p>
    <w:p>
      <w:pPr>
        <w:spacing w:after="80" w:line="293" w:lineRule="auto"/>
        <w:jc w:val="left"/>
      </w:pPr>
      <w:r>
        <w:rPr>
          <w:rFonts w:ascii="Times New Roman" w:hAnsi="Times New Roman" w:cs="Times New Roman"/>
          <w:b w:val="0"/>
          <w:i w:val="0"/>
          <w:sz w:val="22"/>
        </w:rPr>
        <w:t>1. What did SGTX record? 2. What did the bank confirm? 3. What did the counterparty assert? 4. What evidence exists? 5. Which source is authoritative for each dimension? 6. When did each event occur? 7. When did each system learn about it? 8. What policy was applicable? 9. What is the current state vector? 10. What is the current economic exposure? 11. What remains unresolved? 12. What corrective/recovery paths are permitted?</w:t>
      </w:r>
    </w:p>
    <w:p>
      <w:pPr>
        <w:spacing w:after="80" w:line="293" w:lineRule="auto"/>
        <w:jc w:val="left"/>
      </w:pPr>
      <w:r>
        <w:rPr>
          <w:rFonts w:ascii="Times New Roman" w:hAnsi="Times New Roman" w:cs="Times New Roman"/>
          <w:b w:val="0"/>
          <w:i w:val="0"/>
          <w:sz w:val="22"/>
        </w:rPr>
        <w:t>This is a core institutional capability.</w:t>
      </w:r>
    </w:p>
    <w:p>
      <w:pPr>
        <w:keepNext/>
        <w:spacing w:before="240" w:after="100"/>
        <w:outlineLvl w:val="1"/>
      </w:pPr>
      <w:r>
        <w:rPr>
          <w:rFonts w:ascii="Arial" w:hAnsi="Arial" w:cs="Arial"/>
          <w:b/>
          <w:i w:val="0"/>
          <w:color w:val="2E528F"/>
          <w:sz w:val="26"/>
        </w:rPr>
        <w:t>19.28 State Conflict Protocol</w:t>
      </w:r>
    </w:p>
    <w:p>
      <w:pPr>
        <w:spacing w:after="80" w:line="293" w:lineRule="auto"/>
        <w:jc w:val="left"/>
      </w:pPr>
      <w:r>
        <w:rPr>
          <w:rFonts w:ascii="Times New Roman" w:hAnsi="Times New Roman" w:cs="Times New Roman"/>
          <w:b w:val="0"/>
          <w:i w:val="0"/>
          <w:sz w:val="22"/>
        </w:rPr>
        <w:t>When conflicting sources report, for example:</w:t>
      </w:r>
    </w:p>
    <w:p>
      <w:pPr>
        <w:spacing w:after="80" w:line="293" w:lineRule="auto"/>
        <w:ind w:left="283"/>
        <w:jc w:val="left"/>
      </w:pPr>
      <w:r>
        <w:rPr>
          <w:rFonts w:ascii="Times New Roman" w:hAnsi="Times New Roman" w:cs="Times New Roman"/>
          <w:b w:val="0"/>
          <w:i w:val="0"/>
          <w:sz w:val="22"/>
        </w:rPr>
        <w:t>- SOURCE A = SETTLED</w:t>
      </w:r>
    </w:p>
    <w:p>
      <w:pPr>
        <w:spacing w:after="80" w:line="293" w:lineRule="auto"/>
        <w:ind w:left="283"/>
        <w:jc w:val="left"/>
      </w:pPr>
      <w:r>
        <w:rPr>
          <w:rFonts w:ascii="Times New Roman" w:hAnsi="Times New Roman" w:cs="Times New Roman"/>
          <w:b w:val="0"/>
          <w:i w:val="0"/>
          <w:sz w:val="22"/>
        </w:rPr>
        <w:t>- SOURCE B = RETURNED</w:t>
      </w:r>
    </w:p>
    <w:p>
      <w:pPr>
        <w:spacing w:after="80" w:line="293" w:lineRule="auto"/>
        <w:ind w:left="283"/>
        <w:jc w:val="left"/>
      </w:pPr>
      <w:r>
        <w:rPr>
          <w:rFonts w:ascii="Times New Roman" w:hAnsi="Times New Roman" w:cs="Times New Roman"/>
          <w:b w:val="0"/>
          <w:i w:val="0"/>
          <w:sz w:val="22"/>
        </w:rPr>
        <w:t>- SOURCE C = DISPUTED</w:t>
      </w:r>
    </w:p>
    <w:p>
      <w:pPr>
        <w:spacing w:after="80" w:line="293" w:lineRule="auto"/>
        <w:jc w:val="left"/>
      </w:pPr>
      <w:r>
        <w:rPr>
          <w:rFonts w:ascii="Times New Roman" w:hAnsi="Times New Roman" w:cs="Times New Roman"/>
          <w:b w:val="0"/>
          <w:i w:val="0"/>
          <w:sz w:val="22"/>
        </w:rPr>
        <w:t>SGTX must not simply select the latest event. Canonical protocol:</w:t>
      </w:r>
    </w:p>
    <w:p>
      <w:pPr>
        <w:spacing w:after="80" w:line="293" w:lineRule="auto"/>
        <w:jc w:val="left"/>
      </w:pPr>
      <w:r>
        <w:rPr>
          <w:rFonts w:ascii="Times New Roman" w:hAnsi="Times New Roman" w:cs="Times New Roman"/>
          <w:b w:val="0"/>
          <w:i w:val="0"/>
          <w:sz w:val="22"/>
        </w:rPr>
        <w:t>1. CONFLICT DETECTED 2. AFFECTED TRANSITION CONTROLLED 3. AUTHORITIES IDENTIFIED 4. EVIDENCE COLLECTED 5. TEMPORAL RELATIONSHIP ANALYZED 6. POLICY APPLIED 7. RESOLUTION PATH DETERMINED 8. AUTHORIZED / GOVERNED RESOLUTION 9. NEW AUTHORITATIVE EVENT CREATED</w:t>
      </w:r>
    </w:p>
    <w:p>
      <w:pPr>
        <w:keepNext/>
        <w:spacing w:before="240" w:after="100"/>
        <w:outlineLvl w:val="1"/>
      </w:pPr>
      <w:r>
        <w:rPr>
          <w:rFonts w:ascii="Arial" w:hAnsi="Arial" w:cs="Arial"/>
          <w:b/>
          <w:i w:val="0"/>
          <w:color w:val="2E528F"/>
          <w:sz w:val="26"/>
        </w:rPr>
        <w:t>19.29 Authority Matrix</w:t>
      </w:r>
    </w:p>
    <w:p>
      <w:pPr>
        <w:spacing w:after="80" w:line="293" w:lineRule="auto"/>
        <w:jc w:val="left"/>
      </w:pPr>
      <w:r>
        <w:rPr>
          <w:rFonts w:ascii="Times New Roman" w:hAnsi="Times New Roman" w:cs="Times New Roman"/>
          <w:b w:val="0"/>
          <w:i w:val="0"/>
          <w:sz w:val="22"/>
        </w:rPr>
        <w:t>Each state domain identifies its relevant authority: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Domain</w:t>
            </w:r>
          </w:p>
        </w:tc>
        <w:tc>
          <w:tcPr>
            <w:tcW w:type="dxa" w:w="4819"/>
            <w:shd w:val="clear" w:fill="D9E2F3"/>
          </w:tcPr>
          <w:p>
            <w:pPr>
              <w:spacing w:after="20" w:before="20" w:line="240" w:lineRule="auto"/>
            </w:pPr>
            <w:r/>
            <w:r>
              <w:rPr>
                <w:rFonts w:ascii="Arial" w:hAnsi="Arial" w:cs="Arial"/>
                <w:b/>
                <w:i w:val="0"/>
                <w:sz w:val="18"/>
              </w:rPr>
              <w:t>Primary Authority</w:t>
            </w:r>
          </w:p>
        </w:tc>
      </w:tr>
      <w:tr>
        <w:tc>
          <w:tcPr>
            <w:tcW w:type="dxa" w:w="4819"/>
          </w:tcPr>
          <w:p>
            <w:pPr>
              <w:spacing w:after="20" w:before="20" w:line="240" w:lineRule="auto"/>
            </w:pPr>
            <w:r/>
            <w:r>
              <w:rPr>
                <w:rFonts w:ascii="Arial" w:hAnsi="Arial" w:cs="Arial"/>
                <w:b w:val="0"/>
                <w:i w:val="0"/>
                <w:sz w:val="17"/>
              </w:rPr>
              <w:t>SGTX execution record</w:t>
            </w:r>
          </w:p>
        </w:tc>
        <w:tc>
          <w:tcPr>
            <w:tcW w:type="dxa" w:w="4819"/>
          </w:tcPr>
          <w:p>
            <w:pPr>
              <w:spacing w:after="20" w:before="20" w:line="240" w:lineRule="auto"/>
            </w:pPr>
            <w:r/>
            <w:r>
              <w:rPr>
                <w:rFonts w:ascii="Arial" w:hAnsi="Arial" w:cs="Arial"/>
                <w:b w:val="0"/>
                <w:i w:val="0"/>
                <w:sz w:val="17"/>
              </w:rPr>
              <w:t>SGTX canonical execution system</w:t>
            </w:r>
          </w:p>
        </w:tc>
      </w:tr>
      <w:tr>
        <w:tc>
          <w:tcPr>
            <w:tcW w:type="dxa" w:w="4819"/>
          </w:tcPr>
          <w:p>
            <w:pPr>
              <w:spacing w:after="20" w:before="20" w:line="240" w:lineRule="auto"/>
            </w:pPr>
            <w:r/>
            <w:r>
              <w:rPr>
                <w:rFonts w:ascii="Arial" w:hAnsi="Arial" w:cs="Arial"/>
                <w:b w:val="0"/>
                <w:i w:val="0"/>
                <w:sz w:val="17"/>
              </w:rPr>
              <w:t>Bank settlement</w:t>
            </w:r>
          </w:p>
        </w:tc>
        <w:tc>
          <w:tcPr>
            <w:tcW w:type="dxa" w:w="4819"/>
          </w:tcPr>
          <w:p>
            <w:pPr>
              <w:spacing w:after="20" w:before="20" w:line="240" w:lineRule="auto"/>
            </w:pPr>
            <w:r/>
            <w:r>
              <w:rPr>
                <w:rFonts w:ascii="Arial" w:hAnsi="Arial" w:cs="Arial"/>
                <w:b w:val="0"/>
                <w:i w:val="0"/>
                <w:sz w:val="17"/>
              </w:rPr>
              <w:t>Relevant bank/payment infrastructure</w:t>
            </w:r>
          </w:p>
        </w:tc>
      </w:tr>
      <w:tr>
        <w:tc>
          <w:tcPr>
            <w:tcW w:type="dxa" w:w="4819"/>
          </w:tcPr>
          <w:p>
            <w:pPr>
              <w:spacing w:after="20" w:before="20" w:line="240" w:lineRule="auto"/>
            </w:pPr>
            <w:r/>
            <w:r>
              <w:rPr>
                <w:rFonts w:ascii="Arial" w:hAnsi="Arial" w:cs="Arial"/>
                <w:b w:val="0"/>
                <w:i w:val="0"/>
                <w:sz w:val="17"/>
              </w:rPr>
              <w:t>Customs status</w:t>
            </w:r>
          </w:p>
        </w:tc>
        <w:tc>
          <w:tcPr>
            <w:tcW w:type="dxa" w:w="4819"/>
          </w:tcPr>
          <w:p>
            <w:pPr>
              <w:spacing w:after="20" w:before="20" w:line="240" w:lineRule="auto"/>
            </w:pPr>
            <w:r/>
            <w:r>
              <w:rPr>
                <w:rFonts w:ascii="Arial" w:hAnsi="Arial" w:cs="Arial"/>
                <w:b w:val="0"/>
                <w:i w:val="0"/>
                <w:sz w:val="17"/>
              </w:rPr>
              <w:t>Applicable customs authority</w:t>
            </w:r>
          </w:p>
        </w:tc>
      </w:tr>
      <w:tr>
        <w:tc>
          <w:tcPr>
            <w:tcW w:type="dxa" w:w="4819"/>
          </w:tcPr>
          <w:p>
            <w:pPr>
              <w:spacing w:after="20" w:before="20" w:line="240" w:lineRule="auto"/>
            </w:pPr>
            <w:r/>
            <w:r>
              <w:rPr>
                <w:rFonts w:ascii="Arial" w:hAnsi="Arial" w:cs="Arial"/>
                <w:b w:val="0"/>
                <w:i w:val="0"/>
                <w:sz w:val="17"/>
              </w:rPr>
              <w:t>Tax determination</w:t>
            </w:r>
          </w:p>
        </w:tc>
        <w:tc>
          <w:tcPr>
            <w:tcW w:type="dxa" w:w="4819"/>
          </w:tcPr>
          <w:p>
            <w:pPr>
              <w:spacing w:after="20" w:before="20" w:line="240" w:lineRule="auto"/>
            </w:pPr>
            <w:r/>
            <w:r>
              <w:rPr>
                <w:rFonts w:ascii="Arial" w:hAnsi="Arial" w:cs="Arial"/>
                <w:b w:val="0"/>
                <w:i w:val="0"/>
                <w:sz w:val="17"/>
              </w:rPr>
              <w:t>Applicable tax authority</w:t>
            </w:r>
          </w:p>
        </w:tc>
      </w:tr>
      <w:tr>
        <w:tc>
          <w:tcPr>
            <w:tcW w:type="dxa" w:w="4819"/>
          </w:tcPr>
          <w:p>
            <w:pPr>
              <w:spacing w:after="20" w:before="20" w:line="240" w:lineRule="auto"/>
            </w:pPr>
            <w:r/>
            <w:r>
              <w:rPr>
                <w:rFonts w:ascii="Arial" w:hAnsi="Arial" w:cs="Arial"/>
                <w:b w:val="0"/>
                <w:i w:val="0"/>
                <w:sz w:val="17"/>
              </w:rPr>
              <w:t>Document issuance</w:t>
            </w:r>
          </w:p>
        </w:tc>
        <w:tc>
          <w:tcPr>
            <w:tcW w:type="dxa" w:w="4819"/>
          </w:tcPr>
          <w:p>
            <w:pPr>
              <w:spacing w:after="20" w:before="20" w:line="240" w:lineRule="auto"/>
            </w:pPr>
            <w:r/>
            <w:r>
              <w:rPr>
                <w:rFonts w:ascii="Arial" w:hAnsi="Arial" w:cs="Arial"/>
                <w:b w:val="0"/>
                <w:i w:val="0"/>
                <w:sz w:val="17"/>
              </w:rPr>
              <w:t>Authorized issuer</w:t>
            </w:r>
          </w:p>
        </w:tc>
      </w:tr>
      <w:tr>
        <w:tc>
          <w:tcPr>
            <w:tcW w:type="dxa" w:w="4819"/>
          </w:tcPr>
          <w:p>
            <w:pPr>
              <w:spacing w:after="20" w:before="20" w:line="240" w:lineRule="auto"/>
            </w:pPr>
            <w:r/>
            <w:r>
              <w:rPr>
                <w:rFonts w:ascii="Arial" w:hAnsi="Arial" w:cs="Arial"/>
                <w:b w:val="0"/>
                <w:i w:val="0"/>
                <w:sz w:val="17"/>
              </w:rPr>
              <w:t>Contractual status</w:t>
            </w:r>
          </w:p>
        </w:tc>
        <w:tc>
          <w:tcPr>
            <w:tcW w:type="dxa" w:w="4819"/>
          </w:tcPr>
          <w:p>
            <w:pPr>
              <w:spacing w:after="20" w:before="20" w:line="240" w:lineRule="auto"/>
            </w:pPr>
            <w:r/>
            <w:r>
              <w:rPr>
                <w:rFonts w:ascii="Arial" w:hAnsi="Arial" w:cs="Arial"/>
                <w:b w:val="0"/>
                <w:i w:val="0"/>
                <w:sz w:val="17"/>
              </w:rPr>
              <w:t>Applicable contract/governance</w:t>
            </w:r>
          </w:p>
        </w:tc>
      </w:tr>
      <w:tr>
        <w:tc>
          <w:tcPr>
            <w:tcW w:type="dxa" w:w="4819"/>
          </w:tcPr>
          <w:p>
            <w:pPr>
              <w:spacing w:after="20" w:before="20" w:line="240" w:lineRule="auto"/>
            </w:pPr>
            <w:r/>
            <w:r>
              <w:rPr>
                <w:rFonts w:ascii="Arial" w:hAnsi="Arial" w:cs="Arial"/>
                <w:b w:val="0"/>
                <w:i w:val="0"/>
                <w:sz w:val="17"/>
              </w:rPr>
              <w:t>Legal determination</w:t>
            </w:r>
          </w:p>
        </w:tc>
        <w:tc>
          <w:tcPr>
            <w:tcW w:type="dxa" w:w="4819"/>
          </w:tcPr>
          <w:p>
            <w:pPr>
              <w:spacing w:after="20" w:before="20" w:line="240" w:lineRule="auto"/>
            </w:pPr>
            <w:r/>
            <w:r>
              <w:rPr>
                <w:rFonts w:ascii="Arial" w:hAnsi="Arial" w:cs="Arial"/>
                <w:b w:val="0"/>
                <w:i w:val="0"/>
                <w:sz w:val="17"/>
              </w:rPr>
              <w:t>Competent legal authority</w:t>
            </w:r>
          </w:p>
        </w:tc>
      </w:tr>
      <w:tr>
        <w:tc>
          <w:tcPr>
            <w:tcW w:type="dxa" w:w="4819"/>
          </w:tcPr>
          <w:p>
            <w:pPr>
              <w:spacing w:after="20" w:before="20" w:line="240" w:lineRule="auto"/>
            </w:pPr>
            <w:r/>
            <w:r>
              <w:rPr>
                <w:rFonts w:ascii="Arial" w:hAnsi="Arial" w:cs="Arial"/>
                <w:b w:val="0"/>
                <w:i w:val="0"/>
                <w:sz w:val="17"/>
              </w:rPr>
              <w:t>Physical logistics event</w:t>
            </w:r>
          </w:p>
        </w:tc>
        <w:tc>
          <w:tcPr>
            <w:tcW w:type="dxa" w:w="4819"/>
          </w:tcPr>
          <w:p>
            <w:pPr>
              <w:spacing w:after="20" w:before="20" w:line="240" w:lineRule="auto"/>
            </w:pPr>
            <w:r/>
            <w:r>
              <w:rPr>
                <w:rFonts w:ascii="Arial" w:hAnsi="Arial" w:cs="Arial"/>
                <w:b w:val="0"/>
                <w:i w:val="0"/>
                <w:sz w:val="17"/>
              </w:rPr>
              <w:t>Authorized logistics/carrier evidence</w:t>
            </w:r>
          </w:p>
        </w:tc>
      </w:tr>
      <w:tr>
        <w:tc>
          <w:tcPr>
            <w:tcW w:type="dxa" w:w="4819"/>
          </w:tcPr>
          <w:p>
            <w:pPr>
              <w:spacing w:after="20" w:before="20" w:line="240" w:lineRule="auto"/>
            </w:pPr>
            <w:r/>
            <w:r>
              <w:rPr>
                <w:rFonts w:ascii="Arial" w:hAnsi="Arial" w:cs="Arial"/>
                <w:b w:val="0"/>
                <w:i w:val="0"/>
                <w:sz w:val="17"/>
              </w:rPr>
              <w:t>Compliance determination</w:t>
            </w:r>
          </w:p>
        </w:tc>
        <w:tc>
          <w:tcPr>
            <w:tcW w:type="dxa" w:w="4819"/>
          </w:tcPr>
          <w:p>
            <w:pPr>
              <w:spacing w:after="20" w:before="20" w:line="240" w:lineRule="auto"/>
            </w:pPr>
            <w:r/>
            <w:r>
              <w:rPr>
                <w:rFonts w:ascii="Arial" w:hAnsi="Arial" w:cs="Arial"/>
                <w:b w:val="0"/>
                <w:i w:val="0"/>
                <w:sz w:val="17"/>
              </w:rPr>
              <w:t>Applicable authorized institution</w:t>
            </w:r>
          </w:p>
        </w:tc>
      </w:tr>
      <w:tr>
        <w:tc>
          <w:tcPr>
            <w:tcW w:type="dxa" w:w="4819"/>
          </w:tcPr>
          <w:p>
            <w:pPr>
              <w:spacing w:after="20" w:before="20" w:line="240" w:lineRule="auto"/>
            </w:pPr>
            <w:r/>
            <w:r>
              <w:rPr>
                <w:rFonts w:ascii="Arial" w:hAnsi="Arial" w:cs="Arial"/>
                <w:b w:val="0"/>
                <w:i w:val="0"/>
                <w:sz w:val="17"/>
              </w:rPr>
              <w:t>Corporate accounting</w:t>
            </w:r>
          </w:p>
        </w:tc>
        <w:tc>
          <w:tcPr>
            <w:tcW w:type="dxa" w:w="4819"/>
          </w:tcPr>
          <w:p>
            <w:pPr>
              <w:spacing w:after="20" w:before="20" w:line="240" w:lineRule="auto"/>
            </w:pPr>
            <w:r/>
            <w:r>
              <w:rPr>
                <w:rFonts w:ascii="Arial" w:hAnsi="Arial" w:cs="Arial"/>
                <w:b w:val="0"/>
                <w:i w:val="0"/>
                <w:sz w:val="17"/>
              </w:rPr>
              <w:t>Relevant enterprise accounting system unless otherwise contractually defined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must not assume global authority over all dimensions.</w:t>
      </w:r>
    </w:p>
    <w:p>
      <w:pPr>
        <w:keepNext/>
        <w:spacing w:before="240" w:after="100"/>
        <w:outlineLvl w:val="1"/>
      </w:pPr>
      <w:r>
        <w:rPr>
          <w:rFonts w:ascii="Arial" w:hAnsi="Arial" w:cs="Arial"/>
          <w:b/>
          <w:i w:val="0"/>
          <w:color w:val="2E528F"/>
          <w:sz w:val="26"/>
        </w:rPr>
        <w:t>19.30 Authority Is Domain-Specific</w:t>
      </w:r>
    </w:p>
    <w:p>
      <w:pPr>
        <w:spacing w:after="80" w:line="293" w:lineRule="auto"/>
        <w:jc w:val="left"/>
      </w:pPr>
      <w:r>
        <w:rPr>
          <w:rFonts w:ascii="Times New Roman" w:hAnsi="Times New Roman" w:cs="Times New Roman"/>
          <w:b w:val="0"/>
          <w:i w:val="0"/>
          <w:sz w:val="22"/>
        </w:rPr>
        <w:t>There is no universal rule that "SGTX always wins." Instead: the authoritative source depends on the specific state dimension and applicable governance framework. This prevents:</w:t>
      </w:r>
    </w:p>
    <w:p>
      <w:pPr>
        <w:spacing w:after="80" w:line="293" w:lineRule="auto"/>
        <w:ind w:left="283"/>
        <w:jc w:val="left"/>
      </w:pPr>
      <w:r>
        <w:rPr>
          <w:rFonts w:ascii="Times New Roman" w:hAnsi="Times New Roman" w:cs="Times New Roman"/>
          <w:b w:val="0"/>
          <w:i w:val="0"/>
          <w:sz w:val="22"/>
        </w:rPr>
        <w:t>- legal overreach;</w:t>
      </w:r>
    </w:p>
    <w:p>
      <w:pPr>
        <w:spacing w:after="80" w:line="293" w:lineRule="auto"/>
        <w:ind w:left="283"/>
        <w:jc w:val="left"/>
      </w:pPr>
      <w:r>
        <w:rPr>
          <w:rFonts w:ascii="Times New Roman" w:hAnsi="Times New Roman" w:cs="Times New Roman"/>
          <w:b w:val="0"/>
          <w:i w:val="0"/>
          <w:sz w:val="22"/>
        </w:rPr>
        <w:t>- banking overreach;</w:t>
      </w:r>
    </w:p>
    <w:p>
      <w:pPr>
        <w:spacing w:after="80" w:line="293" w:lineRule="auto"/>
        <w:ind w:left="283"/>
        <w:jc w:val="left"/>
      </w:pPr>
      <w:r>
        <w:rPr>
          <w:rFonts w:ascii="Times New Roman" w:hAnsi="Times New Roman" w:cs="Times New Roman"/>
          <w:b w:val="0"/>
          <w:i w:val="0"/>
          <w:sz w:val="22"/>
        </w:rPr>
        <w:t>- regulatory overreach;</w:t>
      </w:r>
    </w:p>
    <w:p>
      <w:pPr>
        <w:spacing w:after="80" w:line="293" w:lineRule="auto"/>
        <w:ind w:left="283"/>
        <w:jc w:val="left"/>
      </w:pPr>
      <w:r>
        <w:rPr>
          <w:rFonts w:ascii="Times New Roman" w:hAnsi="Times New Roman" w:cs="Times New Roman"/>
          <w:b w:val="0"/>
          <w:i w:val="0"/>
          <w:sz w:val="22"/>
        </w:rPr>
        <w:t>- accounting overreach;</w:t>
      </w:r>
    </w:p>
    <w:p>
      <w:pPr>
        <w:spacing w:after="80" w:line="293" w:lineRule="auto"/>
        <w:ind w:left="283"/>
        <w:jc w:val="left"/>
      </w:pPr>
      <w:r>
        <w:rPr>
          <w:rFonts w:ascii="Times New Roman" w:hAnsi="Times New Roman" w:cs="Times New Roman"/>
          <w:b w:val="0"/>
          <w:i w:val="0"/>
          <w:sz w:val="22"/>
        </w:rPr>
        <w:t>- customs overreach.</w:t>
      </w:r>
    </w:p>
    <w:p>
      <w:pPr>
        <w:keepNext/>
        <w:spacing w:before="240" w:after="100"/>
        <w:outlineLvl w:val="1"/>
      </w:pPr>
      <w:r>
        <w:rPr>
          <w:rFonts w:ascii="Arial" w:hAnsi="Arial" w:cs="Arial"/>
          <w:b/>
          <w:i w:val="0"/>
          <w:color w:val="2E528F"/>
          <w:sz w:val="26"/>
        </w:rPr>
        <w:t>19.31 Assertion vs Confirmation</w:t>
      </w:r>
    </w:p>
    <w:p>
      <w:pPr>
        <w:spacing w:after="80" w:line="293" w:lineRule="auto"/>
        <w:jc w:val="left"/>
      </w:pPr>
      <w:r>
        <w:rPr>
          <w:rFonts w:ascii="Times New Roman" w:hAnsi="Times New Roman" w:cs="Times New Roman"/>
          <w:b w:val="0"/>
          <w:i w:val="0"/>
          <w:sz w:val="22"/>
        </w:rPr>
        <w:t>SGTX explicitly distinguishes: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Concept</w:t>
            </w:r>
          </w:p>
        </w:tc>
        <w:tc>
          <w:tcPr>
            <w:tcW w:type="dxa" w:w="3213"/>
            <w:shd w:val="clear" w:fill="D9E2F3"/>
          </w:tcPr>
          <w:p>
            <w:pPr>
              <w:spacing w:after="20" w:before="20" w:line="240" w:lineRule="auto"/>
            </w:pPr>
            <w:r/>
            <w:r>
              <w:rPr>
                <w:rFonts w:ascii="Arial" w:hAnsi="Arial" w:cs="Arial"/>
                <w:b/>
                <w:i w:val="0"/>
                <w:sz w:val="18"/>
              </w:rPr>
              <w:t>Definition</w:t>
            </w:r>
          </w:p>
        </w:tc>
        <w:tc>
          <w:tcPr>
            <w:tcW w:type="dxa" w:w="3213"/>
            <w:shd w:val="clear" w:fill="D9E2F3"/>
          </w:tcPr>
          <w:p>
            <w:pPr>
              <w:spacing w:after="20" w:before="20" w:line="240" w:lineRule="auto"/>
            </w:pPr>
            <w:r/>
            <w:r>
              <w:rPr>
                <w:rFonts w:ascii="Arial" w:hAnsi="Arial" w:cs="Arial"/>
                <w:b/>
                <w:i w:val="0"/>
                <w:sz w:val="18"/>
              </w:rPr>
              <w:t>Example</w:t>
            </w:r>
          </w:p>
        </w:tc>
      </w:tr>
      <w:tr>
        <w:tc>
          <w:tcPr>
            <w:tcW w:type="dxa" w:w="3213"/>
          </w:tcPr>
          <w:p>
            <w:pPr>
              <w:spacing w:after="20" w:before="20" w:line="240" w:lineRule="auto"/>
            </w:pPr>
            <w:r/>
            <w:r>
              <w:rPr>
                <w:rFonts w:ascii="Arial" w:hAnsi="Arial" w:cs="Arial"/>
                <w:b w:val="0"/>
                <w:i w:val="0"/>
                <w:sz w:val="17"/>
              </w:rPr>
              <w:t>Assertion</w:t>
            </w:r>
          </w:p>
        </w:tc>
        <w:tc>
          <w:tcPr>
            <w:tcW w:type="dxa" w:w="3213"/>
          </w:tcPr>
          <w:p>
            <w:pPr>
              <w:spacing w:after="20" w:before="20" w:line="240" w:lineRule="auto"/>
            </w:pPr>
            <w:r/>
            <w:r>
              <w:rPr>
                <w:rFonts w:ascii="Arial" w:hAnsi="Arial" w:cs="Arial"/>
                <w:b w:val="0"/>
                <w:i w:val="0"/>
                <w:sz w:val="17"/>
              </w:rPr>
              <w:t>A person or system claims that something happened.</w:t>
            </w:r>
          </w:p>
        </w:tc>
        <w:tc>
          <w:tcPr>
            <w:tcW w:type="dxa" w:w="3213"/>
          </w:tcPr>
          <w:p>
            <w:pPr>
              <w:spacing w:after="20" w:before="20" w:line="240" w:lineRule="auto"/>
            </w:pPr>
            <w:r/>
            <w:r>
              <w:rPr>
                <w:rFonts w:ascii="Arial" w:hAnsi="Arial" w:cs="Arial"/>
                <w:b w:val="0"/>
                <w:i w:val="0"/>
                <w:sz w:val="17"/>
              </w:rPr>
              <w:t>Seller says payment was received.</w:t>
            </w:r>
          </w:p>
        </w:tc>
      </w:tr>
      <w:tr>
        <w:tc>
          <w:tcPr>
            <w:tcW w:type="dxa" w:w="3213"/>
          </w:tcPr>
          <w:p>
            <w:pPr>
              <w:spacing w:after="20" w:before="20" w:line="240" w:lineRule="auto"/>
            </w:pPr>
            <w:r/>
            <w:r>
              <w:rPr>
                <w:rFonts w:ascii="Arial" w:hAnsi="Arial" w:cs="Arial"/>
                <w:b w:val="0"/>
                <w:i w:val="0"/>
                <w:sz w:val="17"/>
              </w:rPr>
              <w:t>Confirmation</w:t>
            </w:r>
          </w:p>
        </w:tc>
        <w:tc>
          <w:tcPr>
            <w:tcW w:type="dxa" w:w="3213"/>
          </w:tcPr>
          <w:p>
            <w:pPr>
              <w:spacing w:after="20" w:before="20" w:line="240" w:lineRule="auto"/>
            </w:pPr>
            <w:r/>
            <w:r>
              <w:rPr>
                <w:rFonts w:ascii="Arial" w:hAnsi="Arial" w:cs="Arial"/>
                <w:b w:val="0"/>
                <w:i w:val="0"/>
                <w:sz w:val="17"/>
              </w:rPr>
              <w:t>An authoritative system confirms that something happened.</w:t>
            </w:r>
          </w:p>
        </w:tc>
        <w:tc>
          <w:tcPr>
            <w:tcW w:type="dxa" w:w="3213"/>
          </w:tcPr>
          <w:p>
            <w:pPr>
              <w:spacing w:after="20" w:before="20" w:line="240" w:lineRule="auto"/>
            </w:pPr>
            <w:r/>
            <w:r>
              <w:rPr>
                <w:rFonts w:ascii="Arial" w:hAnsi="Arial" w:cs="Arial"/>
                <w:b w:val="0"/>
                <w:i w:val="0"/>
                <w:sz w:val="17"/>
              </w:rPr>
              <w:t>Bank confirms settlement.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 assertion is not automatically a confirmation. Both may be recorded, but they have different evidentiary/authority characteristics.</w:t>
      </w:r>
    </w:p>
    <w:p>
      <w:pPr>
        <w:keepNext/>
        <w:spacing w:before="240" w:after="100"/>
        <w:outlineLvl w:val="1"/>
      </w:pPr>
      <w:r>
        <w:rPr>
          <w:rFonts w:ascii="Arial" w:hAnsi="Arial" w:cs="Arial"/>
          <w:b/>
          <w:i w:val="0"/>
          <w:color w:val="2E528F"/>
          <w:sz w:val="26"/>
        </w:rPr>
        <w:t>19.32 Evidence Integrity vs Authority</w:t>
      </w:r>
    </w:p>
    <w:p>
      <w:pPr>
        <w:spacing w:after="80" w:line="293" w:lineRule="auto"/>
        <w:jc w:val="left"/>
      </w:pPr>
      <w:r>
        <w:rPr>
          <w:rFonts w:ascii="Times New Roman" w:hAnsi="Times New Roman" w:cs="Times New Roman"/>
          <w:b w:val="0"/>
          <w:i w:val="0"/>
          <w:sz w:val="22"/>
        </w:rPr>
        <w:t>SGTX independently represents: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Concept</w:t>
            </w:r>
          </w:p>
        </w:tc>
        <w:tc>
          <w:tcPr>
            <w:tcW w:type="dxa" w:w="4819"/>
            <w:shd w:val="clear" w:fill="D9E2F3"/>
          </w:tcPr>
          <w:p>
            <w:pPr>
              <w:spacing w:after="20" w:before="20" w:line="240" w:lineRule="auto"/>
            </w:pPr>
            <w:r/>
            <w:r>
              <w:rPr>
                <w:rFonts w:ascii="Arial" w:hAnsi="Arial" w:cs="Arial"/>
                <w:b/>
                <w:i w:val="0"/>
                <w:sz w:val="18"/>
              </w:rPr>
              <w:t>Question</w:t>
            </w:r>
          </w:p>
        </w:tc>
      </w:tr>
      <w:tr>
        <w:tc>
          <w:tcPr>
            <w:tcW w:type="dxa" w:w="4819"/>
          </w:tcPr>
          <w:p>
            <w:pPr>
              <w:spacing w:after="20" w:before="20" w:line="240" w:lineRule="auto"/>
            </w:pPr>
            <w:r/>
            <w:r>
              <w:rPr>
                <w:rFonts w:ascii="Arial" w:hAnsi="Arial" w:cs="Arial"/>
                <w:b w:val="0"/>
                <w:i w:val="0"/>
                <w:sz w:val="17"/>
              </w:rPr>
              <w:t>Evidence Integrity</w:t>
            </w:r>
          </w:p>
        </w:tc>
        <w:tc>
          <w:tcPr>
            <w:tcW w:type="dxa" w:w="4819"/>
          </w:tcPr>
          <w:p>
            <w:pPr>
              <w:spacing w:after="20" w:before="20" w:line="240" w:lineRule="auto"/>
            </w:pPr>
            <w:r/>
            <w:r>
              <w:rPr>
                <w:rFonts w:ascii="Arial" w:hAnsi="Arial" w:cs="Arial"/>
                <w:b w:val="0"/>
                <w:i w:val="0"/>
                <w:sz w:val="17"/>
              </w:rPr>
              <w:t>Is the evidence authentic, intact, attributable, temporally consistent, and cryptographically verifiable where applicable?</w:t>
            </w:r>
          </w:p>
        </w:tc>
      </w:tr>
      <w:tr>
        <w:tc>
          <w:tcPr>
            <w:tcW w:type="dxa" w:w="4819"/>
          </w:tcPr>
          <w:p>
            <w:pPr>
              <w:spacing w:after="20" w:before="20" w:line="240" w:lineRule="auto"/>
            </w:pPr>
            <w:r/>
            <w:r>
              <w:rPr>
                <w:rFonts w:ascii="Arial" w:hAnsi="Arial" w:cs="Arial"/>
                <w:b w:val="0"/>
                <w:i w:val="0"/>
                <w:sz w:val="17"/>
              </w:rPr>
              <w:t>Authority</w:t>
            </w:r>
          </w:p>
        </w:tc>
        <w:tc>
          <w:tcPr>
            <w:tcW w:type="dxa" w:w="4819"/>
          </w:tcPr>
          <w:p>
            <w:pPr>
              <w:spacing w:after="20" w:before="20" w:line="240" w:lineRule="auto"/>
            </w:pPr>
            <w:r/>
            <w:r>
              <w:rPr>
                <w:rFonts w:ascii="Arial" w:hAnsi="Arial" w:cs="Arial"/>
                <w:b w:val="0"/>
                <w:i w:val="0"/>
                <w:sz w:val="17"/>
              </w:rPr>
              <w:t>Does the source have authority to determine the relevant matter?</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highly authentic cryptographic record does not automatically make its creator legally authoritative. These dimensions are never conflated.</w:t>
      </w:r>
    </w:p>
    <w:p>
      <w:pPr>
        <w:keepNext/>
        <w:spacing w:before="180" w:after="80"/>
        <w:outlineLvl w:val="2"/>
      </w:pPr>
      <w:r>
        <w:rPr>
          <w:rFonts w:ascii="Arial" w:hAnsi="Arial" w:cs="Arial"/>
          <w:b/>
          <w:i w:val="0"/>
          <w:color w:val="333333"/>
          <w:sz w:val="23"/>
        </w:rPr>
        <w:t>19.32.1 Confidence vs Authority &amp; External-Fact Metadata</w:t>
      </w:r>
    </w:p>
    <w:p>
      <w:pPr>
        <w:spacing w:after="80" w:line="293" w:lineRule="auto"/>
        <w:jc w:val="left"/>
      </w:pPr>
      <w:r>
        <w:rPr>
          <w:rFonts w:ascii="Times New Roman" w:hAnsi="Times New Roman" w:cs="Times New Roman"/>
          <w:b w:val="0"/>
          <w:i w:val="0"/>
          <w:sz w:val="22"/>
        </w:rPr>
        <w:t>Externally sourced events follow a confidence hierarchy: an API-confirmed authoritative event ranks above an AIS-inferred event, which ranks above a manual assertion. Confidence is distinct from authority: AIS data can be excellent evidence for situational awareness without becoming legal or contractual truth, and confidence is never treated as authority. Where an authoritative external system contradicts an inferred event, the authoritative event wins within its authority domain, while the platform records the divergence (constitutional Point 34) rather than silently overwriting history. An AI-generated interpretation is never represented as an authoritative event.</w:t>
      </w:r>
    </w:p>
    <w:p>
      <w:pPr>
        <w:spacing w:after="80" w:line="293" w:lineRule="auto"/>
        <w:jc w:val="left"/>
      </w:pPr>
      <w:r>
        <w:rPr>
          <w:rFonts w:ascii="Times New Roman" w:hAnsi="Times New Roman" w:cs="Times New Roman"/>
          <w:b w:val="0"/>
          <w:i w:val="0"/>
          <w:sz w:val="22"/>
        </w:rPr>
        <w:t>Every externally sourced fact stores complete provenance metadata:</w:t>
      </w:r>
    </w:p>
    <w:p>
      <w:pPr>
        <w:spacing w:after="0" w:before="0" w:line="240" w:lineRule="auto"/>
        <w:ind w:left="57"/>
        <w:jc w:val="left"/>
        <w:shd w:val="clear" w:fill="F2F2F2"/>
      </w:pPr>
      <w:r>
        <w:rPr>
          <w:rFonts w:ascii="Consolas" w:hAnsi="Consolas" w:cs="Consolas"/>
          <w:b w:val="0"/>
          <w:i w:val="0"/>
          <w:sz w:val="15"/>
        </w:rPr>
        <w:t>source                    the system the fact came from</w:t>
      </w:r>
    </w:p>
    <w:p>
      <w:pPr>
        <w:spacing w:after="0" w:before="0" w:line="240" w:lineRule="auto"/>
        <w:ind w:left="57"/>
        <w:jc w:val="left"/>
        <w:shd w:val="clear" w:fill="F2F2F2"/>
      </w:pPr>
      <w:r>
        <w:rPr>
          <w:rFonts w:ascii="Consolas" w:hAnsi="Consolas" w:cs="Consolas"/>
          <w:b w:val="0"/>
          <w:i w:val="0"/>
          <w:sz w:val="15"/>
        </w:rPr>
        <w:t>source_type               registry source class (Section 4.2.6 / Section 6.3)</w:t>
      </w:r>
    </w:p>
    <w:p>
      <w:pPr>
        <w:spacing w:after="0" w:before="0" w:line="240" w:lineRule="auto"/>
        <w:ind w:left="57"/>
        <w:jc w:val="left"/>
        <w:shd w:val="clear" w:fill="F2F2F2"/>
      </w:pPr>
      <w:r>
        <w:rPr>
          <w:rFonts w:ascii="Consolas" w:hAnsi="Consolas" w:cs="Consolas"/>
          <w:b w:val="0"/>
          <w:i w:val="0"/>
          <w:sz w:val="15"/>
        </w:rPr>
        <w:t>authority_level           AUTHORITY_API | OPERATIONAL_INFERENCE | SECONDARY | MANUAL</w:t>
      </w:r>
    </w:p>
    <w:p>
      <w:pPr>
        <w:spacing w:after="0" w:before="0" w:line="240" w:lineRule="auto"/>
        <w:ind w:left="57"/>
        <w:jc w:val="left"/>
        <w:shd w:val="clear" w:fill="F2F2F2"/>
      </w:pPr>
      <w:r>
        <w:rPr>
          <w:rFonts w:ascii="Consolas" w:hAnsi="Consolas" w:cs="Consolas"/>
          <w:b w:val="0"/>
          <w:i w:val="0"/>
          <w:sz w:val="15"/>
        </w:rPr>
        <w:t>confidence                confidence score where applicable</w:t>
      </w:r>
    </w:p>
    <w:p>
      <w:pPr>
        <w:spacing w:after="0" w:before="0" w:line="240" w:lineRule="auto"/>
        <w:ind w:left="57"/>
        <w:jc w:val="left"/>
        <w:shd w:val="clear" w:fill="F2F2F2"/>
      </w:pPr>
      <w:r>
        <w:rPr>
          <w:rFonts w:ascii="Consolas" w:hAnsi="Consolas" w:cs="Consolas"/>
          <w:b w:val="0"/>
          <w:i w:val="0"/>
          <w:sz w:val="15"/>
        </w:rPr>
        <w:t>observed_at               when the platform observed the fact</w:t>
      </w:r>
    </w:p>
    <w:p>
      <w:pPr>
        <w:spacing w:after="0" w:before="0" w:line="240" w:lineRule="auto"/>
        <w:ind w:left="57"/>
        <w:jc w:val="left"/>
        <w:shd w:val="clear" w:fill="F2F2F2"/>
      </w:pPr>
      <w:r>
        <w:rPr>
          <w:rFonts w:ascii="Consolas" w:hAnsi="Consolas" w:cs="Consolas"/>
          <w:b w:val="0"/>
          <w:i w:val="0"/>
          <w:sz w:val="15"/>
        </w:rPr>
        <w:t>effective_at              when the fact became true</w:t>
      </w:r>
    </w:p>
    <w:p>
      <w:pPr>
        <w:spacing w:after="0" w:before="0" w:line="240" w:lineRule="auto"/>
        <w:ind w:left="57"/>
        <w:jc w:val="left"/>
        <w:shd w:val="clear" w:fill="F2F2F2"/>
      </w:pPr>
      <w:r>
        <w:rPr>
          <w:rFonts w:ascii="Consolas" w:hAnsi="Consolas" w:cs="Consolas"/>
          <w:b w:val="0"/>
          <w:i w:val="0"/>
          <w:sz w:val="15"/>
        </w:rPr>
        <w:t>received_at               when this record was received</w:t>
      </w:r>
    </w:p>
    <w:p>
      <w:pPr>
        <w:spacing w:after="0" w:before="0" w:line="240" w:lineRule="auto"/>
        <w:ind w:left="57"/>
        <w:jc w:val="left"/>
        <w:shd w:val="clear" w:fill="F2F2F2"/>
      </w:pPr>
      <w:r>
        <w:rPr>
          <w:rFonts w:ascii="Consolas" w:hAnsi="Consolas" w:cs="Consolas"/>
          <w:b w:val="0"/>
          <w:i w:val="0"/>
          <w:sz w:val="15"/>
        </w:rPr>
        <w:t>verification_state        verification outcome of the fact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Worked distinction: an AIS-inferred vessel arrival (confidence HIGH, authority OPERATIONAL_INFERENCE) is not equivalent to a port-authority API arrival confirmation (authority AUTHORITY_API) — the former is situational awareness, the latter is an authoritative port-arrival fact. Authority hierarchies are domain-specific (Section 19.30): the port authority API outranks AIS inference for port-authoritative arrival status, while bank confirmation remains authoritative for banking settlement; no single universal authority hierarchy is applied across domains. AIS inference can never override authoritative domain evidence (invariant I-15).</w:t>
      </w:r>
    </w:p>
    <w:p>
      <w:pPr>
        <w:keepNext/>
        <w:spacing w:before="240" w:after="100"/>
        <w:outlineLvl w:val="1"/>
      </w:pPr>
      <w:r>
        <w:rPr>
          <w:rFonts w:ascii="Arial" w:hAnsi="Arial" w:cs="Arial"/>
          <w:b/>
          <w:i w:val="0"/>
          <w:color w:val="2E528F"/>
          <w:sz w:val="26"/>
        </w:rPr>
        <w:t>19.33 Truth Triangulation Engine</w:t>
      </w:r>
    </w:p>
    <w:p>
      <w:pPr>
        <w:spacing w:after="80" w:line="293" w:lineRule="auto"/>
        <w:jc w:val="left"/>
      </w:pPr>
      <w:r>
        <w:rPr>
          <w:rFonts w:ascii="Times New Roman" w:hAnsi="Times New Roman" w:cs="Times New Roman"/>
          <w:b w:val="0"/>
          <w:i w:val="0"/>
          <w:sz w:val="22"/>
        </w:rPr>
        <w:t>For high-value or high-risk transactions, SGTX may compare independent sources. Example: bank confirmation + SGTX execution record + contractual obligation + counterparty evidence.</w:t>
      </w:r>
    </w:p>
    <w:p>
      <w:pPr>
        <w:spacing w:after="80" w:line="293" w:lineRule="auto"/>
        <w:jc w:val="left"/>
      </w:pPr>
      <w:r>
        <w:rPr>
          <w:rFonts w:ascii="Times New Roman" w:hAnsi="Times New Roman" w:cs="Times New Roman"/>
          <w:b w:val="0"/>
          <w:i w:val="0"/>
          <w:sz w:val="22"/>
        </w:rPr>
        <w:t>Truth triangulation does not operate as majority voting. It uses:</w:t>
      </w:r>
    </w:p>
    <w:p>
      <w:pPr>
        <w:spacing w:after="80" w:line="293" w:lineRule="auto"/>
        <w:ind w:left="283"/>
        <w:jc w:val="left"/>
      </w:pPr>
      <w:r>
        <w:rPr>
          <w:rFonts w:ascii="Times New Roman" w:hAnsi="Times New Roman" w:cs="Times New Roman"/>
          <w:b w:val="0"/>
          <w:i w:val="0"/>
          <w:sz w:val="22"/>
        </w:rPr>
        <w:t>- evidence convergence;</w:t>
      </w:r>
    </w:p>
    <w:p>
      <w:pPr>
        <w:spacing w:after="80" w:line="293" w:lineRule="auto"/>
        <w:ind w:left="283"/>
        <w:jc w:val="left"/>
      </w:pPr>
      <w:r>
        <w:rPr>
          <w:rFonts w:ascii="Times New Roman" w:hAnsi="Times New Roman" w:cs="Times New Roman"/>
          <w:b w:val="0"/>
          <w:i w:val="0"/>
          <w:sz w:val="22"/>
        </w:rPr>
        <w:t>- authority weighting;</w:t>
      </w:r>
    </w:p>
    <w:p>
      <w:pPr>
        <w:spacing w:after="80" w:line="293" w:lineRule="auto"/>
        <w:ind w:left="283"/>
        <w:jc w:val="left"/>
      </w:pPr>
      <w:r>
        <w:rPr>
          <w:rFonts w:ascii="Times New Roman" w:hAnsi="Times New Roman" w:cs="Times New Roman"/>
          <w:b w:val="0"/>
          <w:i w:val="0"/>
          <w:sz w:val="22"/>
        </w:rPr>
        <w:t>- temporal consistency;</w:t>
      </w:r>
    </w:p>
    <w:p>
      <w:pPr>
        <w:spacing w:after="80" w:line="293" w:lineRule="auto"/>
        <w:ind w:left="283"/>
        <w:jc w:val="left"/>
      </w:pPr>
      <w:r>
        <w:rPr>
          <w:rFonts w:ascii="Times New Roman" w:hAnsi="Times New Roman" w:cs="Times New Roman"/>
          <w:b w:val="0"/>
          <w:i w:val="0"/>
          <w:sz w:val="22"/>
        </w:rPr>
        <w:t>- provenance;</w:t>
      </w:r>
    </w:p>
    <w:p>
      <w:pPr>
        <w:spacing w:after="80" w:line="293" w:lineRule="auto"/>
        <w:ind w:left="283"/>
        <w:jc w:val="left"/>
      </w:pPr>
      <w:r>
        <w:rPr>
          <w:rFonts w:ascii="Times New Roman" w:hAnsi="Times New Roman" w:cs="Times New Roman"/>
          <w:b w:val="0"/>
          <w:i w:val="0"/>
          <w:sz w:val="22"/>
        </w:rPr>
        <w:t>- policy;</w:t>
      </w:r>
    </w:p>
    <w:p>
      <w:pPr>
        <w:spacing w:after="80" w:line="293" w:lineRule="auto"/>
        <w:ind w:left="283"/>
        <w:jc w:val="left"/>
      </w:pPr>
      <w:r>
        <w:rPr>
          <w:rFonts w:ascii="Times New Roman" w:hAnsi="Times New Roman" w:cs="Times New Roman"/>
          <w:b w:val="0"/>
          <w:i w:val="0"/>
          <w:sz w:val="22"/>
        </w:rPr>
        <w:t>- source reliability;</w:t>
      </w:r>
    </w:p>
    <w:p>
      <w:pPr>
        <w:spacing w:after="80" w:line="293" w:lineRule="auto"/>
        <w:ind w:left="283"/>
        <w:jc w:val="left"/>
      </w:pPr>
      <w:r>
        <w:rPr>
          <w:rFonts w:ascii="Times New Roman" w:hAnsi="Times New Roman" w:cs="Times New Roman"/>
          <w:b w:val="0"/>
          <w:i w:val="0"/>
          <w:sz w:val="22"/>
        </w:rPr>
        <w:t>- conflict detection.</w:t>
      </w:r>
    </w:p>
    <w:p>
      <w:pPr>
        <w:keepNext/>
        <w:spacing w:before="240" w:after="100"/>
        <w:outlineLvl w:val="1"/>
      </w:pPr>
      <w:r>
        <w:rPr>
          <w:rFonts w:ascii="Arial" w:hAnsi="Arial" w:cs="Arial"/>
          <w:b/>
          <w:i w:val="0"/>
          <w:color w:val="2E528F"/>
          <w:sz w:val="26"/>
        </w:rPr>
        <w:t>19.34 Bank Reality Adapter Layer</w:t>
      </w:r>
    </w:p>
    <w:p>
      <w:pPr>
        <w:spacing w:after="80" w:line="293" w:lineRule="auto"/>
        <w:jc w:val="left"/>
      </w:pPr>
      <w:r>
        <w:rPr>
          <w:rFonts w:ascii="Times New Roman" w:hAnsi="Times New Roman" w:cs="Times New Roman"/>
          <w:b w:val="0"/>
          <w:i w:val="0"/>
          <w:sz w:val="22"/>
        </w:rPr>
        <w:t>SGTX includes formal bank/payment-rail reality adapters. Conceptually:</w:t>
      </w:r>
    </w:p>
    <w:p>
      <w:pPr>
        <w:spacing w:after="0" w:before="0" w:line="240" w:lineRule="auto"/>
        <w:ind w:left="57"/>
        <w:jc w:val="left"/>
        <w:shd w:val="clear" w:fill="F2F2F2"/>
      </w:pPr>
      <w:r>
        <w:rPr>
          <w:rFonts w:ascii="Consolas" w:hAnsi="Consolas" w:cs="Consolas"/>
          <w:b w:val="0"/>
          <w:i w:val="0"/>
          <w:sz w:val="15"/>
        </w:rPr>
        <w:t>BANK-NATIVE STATE → BANK REALITY ADAPTER → CANONICAL SGTX FINANCIAL STATE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Adapters may handle:</w:t>
      </w:r>
    </w:p>
    <w:p>
      <w:pPr>
        <w:spacing w:after="80" w:line="293" w:lineRule="auto"/>
        <w:ind w:left="283"/>
        <w:jc w:val="left"/>
      </w:pPr>
      <w:r>
        <w:rPr>
          <w:rFonts w:ascii="Times New Roman" w:hAnsi="Times New Roman" w:cs="Times New Roman"/>
          <w:b w:val="0"/>
          <w:i w:val="0"/>
          <w:sz w:val="22"/>
        </w:rPr>
        <w:t>- bank APIs;</w:t>
      </w:r>
    </w:p>
    <w:p>
      <w:pPr>
        <w:spacing w:after="80" w:line="293" w:lineRule="auto"/>
        <w:ind w:left="283"/>
        <w:jc w:val="left"/>
      </w:pPr>
      <w:r>
        <w:rPr>
          <w:rFonts w:ascii="Times New Roman" w:hAnsi="Times New Roman" w:cs="Times New Roman"/>
          <w:b w:val="0"/>
          <w:i w:val="0"/>
          <w:sz w:val="22"/>
        </w:rPr>
        <w:t>- webhooks;</w:t>
      </w:r>
    </w:p>
    <w:p>
      <w:pPr>
        <w:spacing w:after="80" w:line="293" w:lineRule="auto"/>
        <w:ind w:left="283"/>
        <w:jc w:val="left"/>
      </w:pPr>
      <w:r>
        <w:rPr>
          <w:rFonts w:ascii="Times New Roman" w:hAnsi="Times New Roman" w:cs="Times New Roman"/>
          <w:b w:val="0"/>
          <w:i w:val="0"/>
          <w:sz w:val="22"/>
        </w:rPr>
        <w:t>- ISO 20022;</w:t>
      </w:r>
    </w:p>
    <w:p>
      <w:pPr>
        <w:spacing w:after="80" w:line="293" w:lineRule="auto"/>
        <w:ind w:left="283"/>
        <w:jc w:val="left"/>
      </w:pPr>
      <w:r>
        <w:rPr>
          <w:rFonts w:ascii="Times New Roman" w:hAnsi="Times New Roman" w:cs="Times New Roman"/>
          <w:b w:val="0"/>
          <w:i w:val="0"/>
          <w:sz w:val="22"/>
        </w:rPr>
        <w:t>- host-to-host (H2H);</w:t>
      </w:r>
    </w:p>
    <w:p>
      <w:pPr>
        <w:spacing w:after="80" w:line="293" w:lineRule="auto"/>
        <w:ind w:left="283"/>
        <w:jc w:val="left"/>
      </w:pPr>
      <w:r>
        <w:rPr>
          <w:rFonts w:ascii="Times New Roman" w:hAnsi="Times New Roman" w:cs="Times New Roman"/>
          <w:b w:val="0"/>
          <w:i w:val="0"/>
          <w:sz w:val="22"/>
        </w:rPr>
        <w:t>- SFTP;</w:t>
      </w:r>
    </w:p>
    <w:p>
      <w:pPr>
        <w:spacing w:after="80" w:line="293" w:lineRule="auto"/>
        <w:ind w:left="283"/>
        <w:jc w:val="left"/>
      </w:pPr>
      <w:r>
        <w:rPr>
          <w:rFonts w:ascii="Times New Roman" w:hAnsi="Times New Roman" w:cs="Times New Roman"/>
          <w:b w:val="0"/>
          <w:i w:val="0"/>
          <w:sz w:val="22"/>
        </w:rPr>
        <w:t>- bank-specific messages;</w:t>
      </w:r>
    </w:p>
    <w:p>
      <w:pPr>
        <w:spacing w:after="80" w:line="293" w:lineRule="auto"/>
        <w:ind w:left="283"/>
        <w:jc w:val="left"/>
      </w:pPr>
      <w:r>
        <w:rPr>
          <w:rFonts w:ascii="Times New Roman" w:hAnsi="Times New Roman" w:cs="Times New Roman"/>
          <w:b w:val="0"/>
          <w:i w:val="0"/>
          <w:sz w:val="22"/>
        </w:rPr>
        <w:t>- bank identifiers;</w:t>
      </w:r>
    </w:p>
    <w:p>
      <w:pPr>
        <w:spacing w:after="80" w:line="293" w:lineRule="auto"/>
        <w:ind w:left="283"/>
        <w:jc w:val="left"/>
      </w:pPr>
      <w:r>
        <w:rPr>
          <w:rFonts w:ascii="Times New Roman" w:hAnsi="Times New Roman" w:cs="Times New Roman"/>
          <w:b w:val="0"/>
          <w:i w:val="0"/>
          <w:sz w:val="22"/>
        </w:rPr>
        <w:t>- return codes;</w:t>
      </w:r>
    </w:p>
    <w:p>
      <w:pPr>
        <w:spacing w:after="80" w:line="293" w:lineRule="auto"/>
        <w:ind w:left="283"/>
        <w:jc w:val="left"/>
      </w:pPr>
      <w:r>
        <w:rPr>
          <w:rFonts w:ascii="Times New Roman" w:hAnsi="Times New Roman" w:cs="Times New Roman"/>
          <w:b w:val="0"/>
          <w:i w:val="0"/>
          <w:sz w:val="22"/>
        </w:rPr>
        <w:t>- timeouts;</w:t>
      </w:r>
    </w:p>
    <w:p>
      <w:pPr>
        <w:spacing w:after="80" w:line="293" w:lineRule="auto"/>
        <w:ind w:left="283"/>
        <w:jc w:val="left"/>
      </w:pPr>
      <w:r>
        <w:rPr>
          <w:rFonts w:ascii="Times New Roman" w:hAnsi="Times New Roman" w:cs="Times New Roman"/>
          <w:b w:val="0"/>
          <w:i w:val="0"/>
          <w:sz w:val="22"/>
        </w:rPr>
        <w:t>- partial responses;</w:t>
      </w:r>
    </w:p>
    <w:p>
      <w:pPr>
        <w:spacing w:after="80" w:line="293" w:lineRule="auto"/>
        <w:ind w:left="283"/>
        <w:jc w:val="left"/>
      </w:pPr>
      <w:r>
        <w:rPr>
          <w:rFonts w:ascii="Times New Roman" w:hAnsi="Times New Roman" w:cs="Times New Roman"/>
          <w:b w:val="0"/>
          <w:i w:val="0"/>
          <w:sz w:val="22"/>
        </w:rPr>
        <w:t>- duplicate notifications;</w:t>
      </w:r>
    </w:p>
    <w:p>
      <w:pPr>
        <w:spacing w:after="80" w:line="293" w:lineRule="auto"/>
        <w:ind w:left="283"/>
        <w:jc w:val="left"/>
      </w:pPr>
      <w:r>
        <w:rPr>
          <w:rFonts w:ascii="Times New Roman" w:hAnsi="Times New Roman" w:cs="Times New Roman"/>
          <w:b w:val="0"/>
          <w:i w:val="0"/>
          <w:sz w:val="22"/>
        </w:rPr>
        <w:t>- out-of-order events;</w:t>
      </w:r>
    </w:p>
    <w:p>
      <w:pPr>
        <w:spacing w:after="80" w:line="293" w:lineRule="auto"/>
        <w:ind w:left="283"/>
        <w:jc w:val="left"/>
      </w:pPr>
      <w:r>
        <w:rPr>
          <w:rFonts w:ascii="Times New Roman" w:hAnsi="Times New Roman" w:cs="Times New Roman"/>
          <w:b w:val="0"/>
          <w:i w:val="0"/>
          <w:sz w:val="22"/>
        </w:rPr>
        <w:t>- bank-specific status semantics.</w:t>
      </w:r>
    </w:p>
    <w:p>
      <w:pPr>
        <w:spacing w:after="80" w:line="293" w:lineRule="auto"/>
        <w:jc w:val="left"/>
      </w:pPr>
      <w:r>
        <w:rPr>
          <w:rFonts w:ascii="Times New Roman" w:hAnsi="Times New Roman" w:cs="Times New Roman"/>
          <w:b w:val="0"/>
          <w:i w:val="0"/>
          <w:sz w:val="22"/>
        </w:rPr>
        <w:t>The original bank-native status remains available for provenance.</w:t>
      </w:r>
    </w:p>
    <w:p>
      <w:pPr>
        <w:keepNext/>
        <w:spacing w:before="240" w:after="100"/>
        <w:outlineLvl w:val="1"/>
      </w:pPr>
      <w:r>
        <w:rPr>
          <w:rFonts w:ascii="Arial" w:hAnsi="Arial" w:cs="Arial"/>
          <w:b/>
          <w:i w:val="0"/>
          <w:color w:val="2E528F"/>
          <w:sz w:val="26"/>
        </w:rPr>
        <w:t>19.35 Canonical Financial Model vs Bank-Native Model</w:t>
      </w:r>
    </w:p>
    <w:p>
      <w:pPr>
        <w:spacing w:after="80" w:line="293" w:lineRule="auto"/>
        <w:jc w:val="left"/>
      </w:pPr>
      <w:r>
        <w:rPr>
          <w:rFonts w:ascii="Times New Roman" w:hAnsi="Times New Roman" w:cs="Times New Roman"/>
          <w:b w:val="0"/>
          <w:i w:val="0"/>
          <w:sz w:val="22"/>
        </w:rPr>
        <w:t>A bank's terminology must not become SGTX's universal internal semantics. Example: BANK NATIVE STATE → ADAPTER → SGTX CANONICAL FINANCIAL STATE.</w:t>
      </w:r>
    </w:p>
    <w:p>
      <w:pPr>
        <w:spacing w:after="80" w:line="293" w:lineRule="auto"/>
        <w:jc w:val="left"/>
      </w:pPr>
      <w:r>
        <w:rPr>
          <w:rFonts w:ascii="Times New Roman" w:hAnsi="Times New Roman" w:cs="Times New Roman"/>
          <w:b w:val="0"/>
          <w:i w:val="0"/>
          <w:sz w:val="22"/>
        </w:rPr>
        <w:t>Both must be preserved. SGTX's canonical model is stable. Bank-specific models remain adapter-specific.</w:t>
      </w:r>
    </w:p>
    <w:p>
      <w:pPr>
        <w:keepNext/>
        <w:spacing w:before="240" w:after="100"/>
        <w:outlineLvl w:val="1"/>
      </w:pPr>
      <w:r>
        <w:rPr>
          <w:rFonts w:ascii="Arial" w:hAnsi="Arial" w:cs="Arial"/>
          <w:b/>
          <w:i w:val="0"/>
          <w:color w:val="2E528F"/>
          <w:sz w:val="26"/>
        </w:rPr>
        <w:t>19.36 ISO 20022-First Bank Integration</w:t>
      </w:r>
    </w:p>
    <w:p>
      <w:pPr>
        <w:spacing w:after="80" w:line="293" w:lineRule="auto"/>
        <w:jc w:val="left"/>
      </w:pPr>
      <w:r>
        <w:rPr>
          <w:rFonts w:ascii="Times New Roman" w:hAnsi="Times New Roman" w:cs="Times New Roman"/>
          <w:b w:val="0"/>
          <w:i w:val="0"/>
          <w:sz w:val="22"/>
        </w:rPr>
        <w:t>ISO 20022, the international financial messaging standard, is the preferred banking integration standard for supported workflows. However: ISO 20022 is an external banking messaging standard, not SGTX's internal canonical state model. The architecture is:</w:t>
      </w:r>
    </w:p>
    <w:p>
      <w:pPr>
        <w:spacing w:after="0" w:before="0" w:line="240" w:lineRule="auto"/>
        <w:ind w:left="57"/>
        <w:jc w:val="left"/>
        <w:shd w:val="clear" w:fill="F2F2F2"/>
      </w:pPr>
      <w:r>
        <w:rPr>
          <w:rFonts w:ascii="Consolas" w:hAnsi="Consolas" w:cs="Consolas"/>
          <w:b w:val="0"/>
          <w:i w:val="0"/>
          <w:sz w:val="15"/>
        </w:rPr>
        <w:t>SGTX Canonical Financial Model → ISO 20022 Adapter → Bank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and may also support:</w:t>
      </w:r>
    </w:p>
    <w:p>
      <w:pPr>
        <w:spacing w:after="0" w:before="0" w:line="240" w:lineRule="auto"/>
        <w:ind w:left="57"/>
        <w:jc w:val="left"/>
        <w:shd w:val="clear" w:fill="F2F2F2"/>
      </w:pPr>
      <w:r>
        <w:rPr>
          <w:rFonts w:ascii="Consolas" w:hAnsi="Consolas" w:cs="Consolas"/>
          <w:b w:val="0"/>
          <w:i w:val="0"/>
          <w:sz w:val="15"/>
        </w:rPr>
        <w:t>SGTX Canonical Financial Model → API Adapter → Bank</w:t>
      </w:r>
    </w:p>
    <w:p>
      <w:pPr>
        <w:spacing w:after="0" w:before="0" w:line="240" w:lineRule="auto"/>
        <w:ind w:left="57"/>
        <w:jc w:val="left"/>
        <w:shd w:val="clear" w:fill="F2F2F2"/>
      </w:pPr>
      <w:r>
        <w:rPr>
          <w:rFonts w:ascii="Consolas" w:hAnsi="Consolas" w:cs="Consolas"/>
          <w:b w:val="0"/>
          <w:i w:val="0"/>
          <w:sz w:val="15"/>
        </w:rPr>
        <w:t>SGTX Canonical Financial Model → H2H / SFTP Adapter → Bank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allows jurisdiction and bank-specific integration. As of June 21, 2026, the Central Bank of Egypt (CBE) states that banks operating in Egypt adopted ISO 20022 for SWIFT messaging in interbank financial transfers, making an ISO 20022-first Egyptian integration strategy particularly appropriate.</w:t>
      </w:r>
    </w:p>
    <w:p>
      <w:pPr>
        <w:keepNext/>
        <w:spacing w:before="240" w:after="100"/>
        <w:outlineLvl w:val="1"/>
      </w:pPr>
      <w:r>
        <w:rPr>
          <w:rFonts w:ascii="Arial" w:hAnsi="Arial" w:cs="Arial"/>
          <w:b/>
          <w:i w:val="0"/>
          <w:color w:val="2E528F"/>
          <w:sz w:val="26"/>
        </w:rPr>
        <w:t>19.37 SGTX Bank Settlement Gateway</w:t>
      </w:r>
    </w:p>
    <w:p>
      <w:pPr>
        <w:spacing w:after="80" w:line="293" w:lineRule="auto"/>
        <w:jc w:val="left"/>
      </w:pPr>
      <w:r>
        <w:rPr>
          <w:rFonts w:ascii="Times New Roman" w:hAnsi="Times New Roman" w:cs="Times New Roman"/>
          <w:b w:val="0"/>
          <w:i w:val="0"/>
          <w:sz w:val="22"/>
        </w:rPr>
        <w:t>The platform formally defines the SGTX Bank Settlement Gateway (BSG): the controlled integration boundary between SGTX and participating financial institutions. Its mandate — the twelve permitted operations from instruction translation through evidence capture — together with its six-stage processing pipeline and bank authority boundary, is specified in Section 13.3. The constitutional constant restated here: the BSG does not custody customer funds. The BSG does not custody customer funds.</w:t>
      </w:r>
    </w:p>
    <w:p>
      <w:pPr>
        <w:keepNext/>
        <w:spacing w:before="240" w:after="100"/>
        <w:outlineLvl w:val="1"/>
      </w:pPr>
      <w:r>
        <w:rPr>
          <w:rFonts w:ascii="Arial" w:hAnsi="Arial" w:cs="Arial"/>
          <w:b/>
          <w:i w:val="0"/>
          <w:color w:val="2E528F"/>
          <w:sz w:val="26"/>
        </w:rPr>
        <w:t>19.38 Bank Authority Boundary</w:t>
      </w:r>
    </w:p>
    <w:p>
      <w:pPr>
        <w:spacing w:after="80" w:line="293" w:lineRule="auto"/>
        <w:jc w:val="left"/>
      </w:pPr>
      <w:r>
        <w:rPr>
          <w:rFonts w:ascii="Times New Roman" w:hAnsi="Times New Roman" w:cs="Times New Roman"/>
          <w:b w:val="0"/>
          <w:i w:val="0"/>
          <w:sz w:val="22"/>
        </w:rPr>
        <w:t>The architecture remains the bank-authority chain specified in Section 13.3.3 — SGTX → Settlement Instruction → Bank Settlement Gateway → Bank Validation → Bank Authorization → Bank Execution → Bank Confirmation → SGTX Financial State.</w:t>
      </w:r>
    </w:p>
    <w:p>
      <w:pPr>
        <w:spacing w:after="80" w:line="293" w:lineRule="auto"/>
        <w:jc w:val="left"/>
      </w:pPr>
      <w:r>
        <w:rPr>
          <w:rFonts w:ascii="Times New Roman" w:hAnsi="Times New Roman" w:cs="Times New Roman"/>
          <w:b w:val="0"/>
          <w:i w:val="0"/>
          <w:sz w:val="22"/>
        </w:rPr>
        <w:t>The bank remains authoritative for its:</w:t>
      </w:r>
    </w:p>
    <w:p>
      <w:pPr>
        <w:spacing w:after="80" w:line="293" w:lineRule="auto"/>
        <w:ind w:left="283"/>
        <w:jc w:val="left"/>
      </w:pPr>
      <w:r>
        <w:rPr>
          <w:rFonts w:ascii="Times New Roman" w:hAnsi="Times New Roman" w:cs="Times New Roman"/>
          <w:b w:val="0"/>
          <w:i w:val="0"/>
          <w:sz w:val="22"/>
        </w:rPr>
        <w:t>- funds movement;</w:t>
      </w:r>
    </w:p>
    <w:p>
      <w:pPr>
        <w:spacing w:after="80" w:line="293" w:lineRule="auto"/>
        <w:ind w:left="283"/>
        <w:jc w:val="left"/>
      </w:pPr>
      <w:r>
        <w:rPr>
          <w:rFonts w:ascii="Times New Roman" w:hAnsi="Times New Roman" w:cs="Times New Roman"/>
          <w:b w:val="0"/>
          <w:i w:val="0"/>
          <w:sz w:val="22"/>
        </w:rPr>
        <w:t>- bank ledger;</w:t>
      </w:r>
    </w:p>
    <w:p>
      <w:pPr>
        <w:spacing w:after="80" w:line="293" w:lineRule="auto"/>
        <w:ind w:left="283"/>
        <w:jc w:val="left"/>
      </w:pPr>
      <w:r>
        <w:rPr>
          <w:rFonts w:ascii="Times New Roman" w:hAnsi="Times New Roman" w:cs="Times New Roman"/>
          <w:b w:val="0"/>
          <w:i w:val="0"/>
          <w:sz w:val="22"/>
        </w:rPr>
        <w:t>- account status;</w:t>
      </w:r>
    </w:p>
    <w:p>
      <w:pPr>
        <w:spacing w:after="80" w:line="293" w:lineRule="auto"/>
        <w:ind w:left="283"/>
        <w:jc w:val="left"/>
      </w:pPr>
      <w:r>
        <w:rPr>
          <w:rFonts w:ascii="Times New Roman" w:hAnsi="Times New Roman" w:cs="Times New Roman"/>
          <w:b w:val="0"/>
          <w:i w:val="0"/>
          <w:sz w:val="22"/>
        </w:rPr>
        <w:t>- authorization;</w:t>
      </w:r>
    </w:p>
    <w:p>
      <w:pPr>
        <w:spacing w:after="80" w:line="293" w:lineRule="auto"/>
        <w:ind w:left="283"/>
        <w:jc w:val="left"/>
      </w:pPr>
      <w:r>
        <w:rPr>
          <w:rFonts w:ascii="Times New Roman" w:hAnsi="Times New Roman" w:cs="Times New Roman"/>
          <w:b w:val="0"/>
          <w:i w:val="0"/>
          <w:sz w:val="22"/>
        </w:rPr>
        <w:t>- bank-side compliance;</w:t>
      </w:r>
    </w:p>
    <w:p>
      <w:pPr>
        <w:spacing w:after="80" w:line="293" w:lineRule="auto"/>
        <w:ind w:left="283"/>
        <w:jc w:val="left"/>
      </w:pPr>
      <w:r>
        <w:rPr>
          <w:rFonts w:ascii="Times New Roman" w:hAnsi="Times New Roman" w:cs="Times New Roman"/>
          <w:b w:val="0"/>
          <w:i w:val="0"/>
          <w:sz w:val="22"/>
        </w:rPr>
        <w:t>- payment execution;</w:t>
      </w:r>
    </w:p>
    <w:p>
      <w:pPr>
        <w:spacing w:after="80" w:line="293" w:lineRule="auto"/>
        <w:ind w:left="283"/>
        <w:jc w:val="left"/>
      </w:pPr>
      <w:r>
        <w:rPr>
          <w:rFonts w:ascii="Times New Roman" w:hAnsi="Times New Roman" w:cs="Times New Roman"/>
          <w:b w:val="0"/>
          <w:i w:val="0"/>
          <w:sz w:val="22"/>
        </w:rPr>
        <w:t>- bank settlement confirmation.</w:t>
      </w:r>
    </w:p>
    <w:p>
      <w:pPr>
        <w:keepNext/>
        <w:spacing w:before="240" w:after="100"/>
        <w:outlineLvl w:val="1"/>
      </w:pPr>
      <w:r>
        <w:rPr>
          <w:rFonts w:ascii="Arial" w:hAnsi="Arial" w:cs="Arial"/>
          <w:b/>
          <w:i w:val="0"/>
          <w:color w:val="2E528F"/>
          <w:sz w:val="26"/>
        </w:rPr>
        <w:t>19.39 Non-Custodial Control-Plane Principle</w:t>
      </w:r>
    </w:p>
    <w:p>
      <w:pPr>
        <w:spacing w:after="80" w:line="293" w:lineRule="auto"/>
        <w:jc w:val="left"/>
      </w:pPr>
      <w:r>
        <w:rPr>
          <w:rFonts w:ascii="Times New Roman" w:hAnsi="Times New Roman" w:cs="Times New Roman"/>
          <w:b w:val="0"/>
          <w:i w:val="0"/>
          <w:sz w:val="22"/>
        </w:rPr>
        <w:t>The constitutional principle is: SGTX provides control-plane orchestration without becoming the asset custodian. SGTX can:</w:t>
      </w:r>
    </w:p>
    <w:p>
      <w:pPr>
        <w:spacing w:after="80" w:line="293" w:lineRule="auto"/>
        <w:ind w:left="283"/>
        <w:jc w:val="left"/>
      </w:pPr>
      <w:r>
        <w:rPr>
          <w:rFonts w:ascii="Times New Roman" w:hAnsi="Times New Roman" w:cs="Times New Roman"/>
          <w:b w:val="0"/>
          <w:i w:val="0"/>
          <w:sz w:val="22"/>
        </w:rPr>
        <w:t>- orchestrate;</w:t>
      </w:r>
    </w:p>
    <w:p>
      <w:pPr>
        <w:spacing w:after="80" w:line="293" w:lineRule="auto"/>
        <w:ind w:left="283"/>
        <w:jc w:val="left"/>
      </w:pPr>
      <w:r>
        <w:rPr>
          <w:rFonts w:ascii="Times New Roman" w:hAnsi="Times New Roman" w:cs="Times New Roman"/>
          <w:b w:val="0"/>
          <w:i w:val="0"/>
          <w:sz w:val="22"/>
        </w:rPr>
        <w:t>- coordinate;</w:t>
      </w:r>
    </w:p>
    <w:p>
      <w:pPr>
        <w:spacing w:after="80" w:line="293" w:lineRule="auto"/>
        <w:ind w:left="283"/>
        <w:jc w:val="left"/>
      </w:pPr>
      <w:r>
        <w:rPr>
          <w:rFonts w:ascii="Times New Roman" w:hAnsi="Times New Roman" w:cs="Times New Roman"/>
          <w:b w:val="0"/>
          <w:i w:val="0"/>
          <w:sz w:val="22"/>
        </w:rPr>
        <w:t>- verify;</w:t>
      </w:r>
    </w:p>
    <w:p>
      <w:pPr>
        <w:spacing w:after="80" w:line="293" w:lineRule="auto"/>
        <w:ind w:left="283"/>
        <w:jc w:val="left"/>
      </w:pPr>
      <w:r>
        <w:rPr>
          <w:rFonts w:ascii="Times New Roman" w:hAnsi="Times New Roman" w:cs="Times New Roman"/>
          <w:b w:val="0"/>
          <w:i w:val="0"/>
          <w:sz w:val="22"/>
        </w:rPr>
        <w:t>- observe;</w:t>
      </w:r>
    </w:p>
    <w:p>
      <w:pPr>
        <w:spacing w:after="80" w:line="293" w:lineRule="auto"/>
        <w:ind w:left="283"/>
        <w:jc w:val="left"/>
      </w:pPr>
      <w:r>
        <w:rPr>
          <w:rFonts w:ascii="Times New Roman" w:hAnsi="Times New Roman" w:cs="Times New Roman"/>
          <w:b w:val="0"/>
          <w:i w:val="0"/>
          <w:sz w:val="22"/>
        </w:rPr>
        <w:t>- reconcile;</w:t>
      </w:r>
    </w:p>
    <w:p>
      <w:pPr>
        <w:spacing w:after="80" w:line="293" w:lineRule="auto"/>
        <w:ind w:left="283"/>
        <w:jc w:val="left"/>
      </w:pPr>
      <w:r>
        <w:rPr>
          <w:rFonts w:ascii="Times New Roman" w:hAnsi="Times New Roman" w:cs="Times New Roman"/>
          <w:b w:val="0"/>
          <w:i w:val="0"/>
          <w:sz w:val="22"/>
        </w:rPr>
        <w:t>- notify;</w:t>
      </w:r>
    </w:p>
    <w:p>
      <w:pPr>
        <w:spacing w:after="80" w:line="293" w:lineRule="auto"/>
        <w:ind w:left="283"/>
        <w:jc w:val="left"/>
      </w:pPr>
      <w:r>
        <w:rPr>
          <w:rFonts w:ascii="Times New Roman" w:hAnsi="Times New Roman" w:cs="Times New Roman"/>
          <w:b w:val="0"/>
          <w:i w:val="0"/>
          <w:sz w:val="22"/>
        </w:rPr>
        <w:t>- generate evidence;</w:t>
      </w:r>
    </w:p>
    <w:p>
      <w:pPr>
        <w:spacing w:after="80" w:line="293" w:lineRule="auto"/>
        <w:ind w:left="283"/>
        <w:jc w:val="left"/>
      </w:pPr>
      <w:r>
        <w:rPr>
          <w:rFonts w:ascii="Times New Roman" w:hAnsi="Times New Roman" w:cs="Times New Roman"/>
          <w:b w:val="0"/>
          <w:i w:val="0"/>
          <w:sz w:val="22"/>
        </w:rPr>
        <w:t>- generate authenticated instructions;</w:t>
      </w:r>
    </w:p>
    <w:p>
      <w:pPr>
        <w:spacing w:after="80" w:line="293" w:lineRule="auto"/>
        <w:ind w:left="283"/>
        <w:jc w:val="left"/>
      </w:pPr>
      <w:r>
        <w:rPr>
          <w:rFonts w:ascii="Times New Roman" w:hAnsi="Times New Roman" w:cs="Times New Roman"/>
          <w:b w:val="0"/>
          <w:i w:val="0"/>
          <w:sz w:val="22"/>
        </w:rPr>
        <w:t>- initiate authorized workflows.</w:t>
      </w:r>
    </w:p>
    <w:p>
      <w:pPr>
        <w:spacing w:after="80" w:line="293" w:lineRule="auto"/>
        <w:jc w:val="left"/>
      </w:pPr>
      <w:r>
        <w:rPr>
          <w:rFonts w:ascii="Times New Roman" w:hAnsi="Times New Roman" w:cs="Times New Roman"/>
          <w:b w:val="0"/>
          <w:i w:val="0"/>
          <w:sz w:val="22"/>
        </w:rPr>
        <w:t>SGTX does not automatically:</w:t>
      </w:r>
    </w:p>
    <w:p>
      <w:pPr>
        <w:spacing w:after="80" w:line="293" w:lineRule="auto"/>
        <w:ind w:left="283"/>
        <w:jc w:val="left"/>
      </w:pPr>
      <w:r>
        <w:rPr>
          <w:rFonts w:ascii="Times New Roman" w:hAnsi="Times New Roman" w:cs="Times New Roman"/>
          <w:b w:val="0"/>
          <w:i w:val="0"/>
          <w:sz w:val="22"/>
        </w:rPr>
        <w:t>- hold pooled customer funds;</w:t>
      </w:r>
    </w:p>
    <w:p>
      <w:pPr>
        <w:spacing w:after="80" w:line="293" w:lineRule="auto"/>
        <w:ind w:left="283"/>
        <w:jc w:val="left"/>
      </w:pPr>
      <w:r>
        <w:rPr>
          <w:rFonts w:ascii="Times New Roman" w:hAnsi="Times New Roman" w:cs="Times New Roman"/>
          <w:b w:val="0"/>
          <w:i w:val="0"/>
          <w:sz w:val="22"/>
        </w:rPr>
        <w:t>- rewrite bank ledgers;</w:t>
      </w:r>
    </w:p>
    <w:p>
      <w:pPr>
        <w:spacing w:after="80" w:line="293" w:lineRule="auto"/>
        <w:ind w:left="283"/>
        <w:jc w:val="left"/>
      </w:pPr>
      <w:r>
        <w:rPr>
          <w:rFonts w:ascii="Times New Roman" w:hAnsi="Times New Roman" w:cs="Times New Roman"/>
          <w:b w:val="0"/>
          <w:i w:val="0"/>
          <w:sz w:val="22"/>
        </w:rPr>
        <w:t>- independently reverse external payments;</w:t>
      </w:r>
    </w:p>
    <w:p>
      <w:pPr>
        <w:spacing w:after="80" w:line="293" w:lineRule="auto"/>
        <w:ind w:left="283"/>
        <w:jc w:val="left"/>
      </w:pPr>
      <w:r>
        <w:rPr>
          <w:rFonts w:ascii="Times New Roman" w:hAnsi="Times New Roman" w:cs="Times New Roman"/>
          <w:b w:val="0"/>
          <w:i w:val="0"/>
          <w:sz w:val="22"/>
        </w:rPr>
        <w:t>- override bank authority;</w:t>
      </w:r>
    </w:p>
    <w:p>
      <w:pPr>
        <w:spacing w:after="80" w:line="293" w:lineRule="auto"/>
        <w:ind w:left="283"/>
        <w:jc w:val="left"/>
      </w:pPr>
      <w:r>
        <w:rPr>
          <w:rFonts w:ascii="Times New Roman" w:hAnsi="Times New Roman" w:cs="Times New Roman"/>
          <w:b w:val="0"/>
          <w:i w:val="0"/>
          <w:sz w:val="22"/>
        </w:rPr>
        <w:t>- issue legal determinations;</w:t>
      </w:r>
    </w:p>
    <w:p>
      <w:pPr>
        <w:spacing w:after="80" w:line="293" w:lineRule="auto"/>
        <w:ind w:left="283"/>
        <w:jc w:val="left"/>
      </w:pPr>
      <w:r>
        <w:rPr>
          <w:rFonts w:ascii="Times New Roman" w:hAnsi="Times New Roman" w:cs="Times New Roman"/>
          <w:b w:val="0"/>
          <w:i w:val="0"/>
          <w:sz w:val="22"/>
        </w:rPr>
        <w:t>- act as a court;</w:t>
      </w:r>
    </w:p>
    <w:p>
      <w:pPr>
        <w:spacing w:after="80" w:line="293" w:lineRule="auto"/>
        <w:ind w:left="283"/>
        <w:jc w:val="left"/>
      </w:pPr>
      <w:r>
        <w:rPr>
          <w:rFonts w:ascii="Times New Roman" w:hAnsi="Times New Roman" w:cs="Times New Roman"/>
          <w:b w:val="0"/>
          <w:i w:val="0"/>
          <w:sz w:val="22"/>
        </w:rPr>
        <w:t>- act as a central bank;</w:t>
      </w:r>
    </w:p>
    <w:p>
      <w:pPr>
        <w:spacing w:after="80" w:line="293" w:lineRule="auto"/>
        <w:ind w:left="283"/>
        <w:jc w:val="left"/>
      </w:pPr>
      <w:r>
        <w:rPr>
          <w:rFonts w:ascii="Times New Roman" w:hAnsi="Times New Roman" w:cs="Times New Roman"/>
          <w:b w:val="0"/>
          <w:i w:val="0"/>
          <w:sz w:val="22"/>
        </w:rPr>
        <w:t>- become the underlying payment rail.</w:t>
      </w:r>
    </w:p>
    <w:p>
      <w:pPr>
        <w:keepNext/>
        <w:spacing w:before="240" w:after="100"/>
        <w:outlineLvl w:val="1"/>
      </w:pPr>
      <w:r>
        <w:rPr>
          <w:rFonts w:ascii="Arial" w:hAnsi="Arial" w:cs="Arial"/>
          <w:b/>
          <w:i w:val="0"/>
          <w:color w:val="2E528F"/>
          <w:sz w:val="26"/>
        </w:rPr>
        <w:t>19.40 Regulatory Classification Principle</w:t>
      </w:r>
    </w:p>
    <w:p>
      <w:pPr>
        <w:spacing w:after="80" w:line="293" w:lineRule="auto"/>
        <w:jc w:val="left"/>
      </w:pPr>
      <w:r>
        <w:rPr>
          <w:rFonts w:ascii="Times New Roman" w:hAnsi="Times New Roman" w:cs="Times New Roman"/>
          <w:b w:val="0"/>
          <w:i w:val="0"/>
          <w:sz w:val="22"/>
        </w:rPr>
        <w:t>Non-custody does not itself determine regulatory status. SGTX's regulatory treatment in any jurisdiction depends on actual:</w:t>
      </w:r>
    </w:p>
    <w:p>
      <w:pPr>
        <w:spacing w:after="80" w:line="293" w:lineRule="auto"/>
        <w:ind w:left="283"/>
        <w:jc w:val="left"/>
      </w:pPr>
      <w:r>
        <w:rPr>
          <w:rFonts w:ascii="Times New Roman" w:hAnsi="Times New Roman" w:cs="Times New Roman"/>
          <w:b w:val="0"/>
          <w:i w:val="0"/>
          <w:sz w:val="22"/>
        </w:rPr>
        <w:t>- functionality;</w:t>
      </w:r>
    </w:p>
    <w:p>
      <w:pPr>
        <w:spacing w:after="80" w:line="293" w:lineRule="auto"/>
        <w:ind w:left="283"/>
        <w:jc w:val="left"/>
      </w:pPr>
      <w:r>
        <w:rPr>
          <w:rFonts w:ascii="Times New Roman" w:hAnsi="Times New Roman" w:cs="Times New Roman"/>
          <w:b w:val="0"/>
          <w:i w:val="0"/>
          <w:sz w:val="22"/>
        </w:rPr>
        <w:t>- technical control;</w:t>
      </w:r>
    </w:p>
    <w:p>
      <w:pPr>
        <w:spacing w:after="80" w:line="293" w:lineRule="auto"/>
        <w:ind w:left="283"/>
        <w:jc w:val="left"/>
      </w:pPr>
      <w:r>
        <w:rPr>
          <w:rFonts w:ascii="Times New Roman" w:hAnsi="Times New Roman" w:cs="Times New Roman"/>
          <w:b w:val="0"/>
          <w:i w:val="0"/>
          <w:sz w:val="22"/>
        </w:rPr>
        <w:t>- customer interaction;</w:t>
      </w:r>
    </w:p>
    <w:p>
      <w:pPr>
        <w:spacing w:after="80" w:line="293" w:lineRule="auto"/>
        <w:ind w:left="283"/>
        <w:jc w:val="left"/>
      </w:pPr>
      <w:r>
        <w:rPr>
          <w:rFonts w:ascii="Times New Roman" w:hAnsi="Times New Roman" w:cs="Times New Roman"/>
          <w:b w:val="0"/>
          <w:i w:val="0"/>
          <w:sz w:val="22"/>
        </w:rPr>
        <w:t>- contractual structure;</w:t>
      </w:r>
    </w:p>
    <w:p>
      <w:pPr>
        <w:spacing w:after="80" w:line="293" w:lineRule="auto"/>
        <w:ind w:left="283"/>
        <w:jc w:val="left"/>
      </w:pPr>
      <w:r>
        <w:rPr>
          <w:rFonts w:ascii="Times New Roman" w:hAnsi="Times New Roman" w:cs="Times New Roman"/>
          <w:b w:val="0"/>
          <w:i w:val="0"/>
          <w:sz w:val="22"/>
        </w:rPr>
        <w:t>- payment involvement;</w:t>
      </w:r>
    </w:p>
    <w:p>
      <w:pPr>
        <w:spacing w:after="80" w:line="293" w:lineRule="auto"/>
        <w:ind w:left="283"/>
        <w:jc w:val="left"/>
      </w:pPr>
      <w:r>
        <w:rPr>
          <w:rFonts w:ascii="Times New Roman" w:hAnsi="Times New Roman" w:cs="Times New Roman"/>
          <w:b w:val="0"/>
          <w:i w:val="0"/>
          <w:sz w:val="22"/>
        </w:rPr>
        <w:t>- funds movement role;</w:t>
      </w:r>
    </w:p>
    <w:p>
      <w:pPr>
        <w:spacing w:after="80" w:line="293" w:lineRule="auto"/>
        <w:ind w:left="283"/>
        <w:jc w:val="left"/>
      </w:pPr>
      <w:r>
        <w:rPr>
          <w:rFonts w:ascii="Times New Roman" w:hAnsi="Times New Roman" w:cs="Times New Roman"/>
          <w:b w:val="0"/>
          <w:i w:val="0"/>
          <w:sz w:val="22"/>
        </w:rPr>
        <w:t>- authorization role;</w:t>
      </w:r>
    </w:p>
    <w:p>
      <w:pPr>
        <w:spacing w:after="80" w:line="293" w:lineRule="auto"/>
        <w:ind w:left="283"/>
        <w:jc w:val="left"/>
      </w:pPr>
      <w:r>
        <w:rPr>
          <w:rFonts w:ascii="Times New Roman" w:hAnsi="Times New Roman" w:cs="Times New Roman"/>
          <w:b w:val="0"/>
          <w:i w:val="0"/>
          <w:sz w:val="22"/>
        </w:rPr>
        <w:t>- data access;</w:t>
      </w:r>
    </w:p>
    <w:p>
      <w:pPr>
        <w:spacing w:after="80" w:line="293" w:lineRule="auto"/>
        <w:ind w:left="283"/>
        <w:jc w:val="left"/>
      </w:pPr>
      <w:r>
        <w:rPr>
          <w:rFonts w:ascii="Times New Roman" w:hAnsi="Times New Roman" w:cs="Times New Roman"/>
          <w:b w:val="0"/>
          <w:i w:val="0"/>
          <w:sz w:val="22"/>
        </w:rPr>
        <w:t>- regulatory perimeter;</w:t>
      </w:r>
    </w:p>
    <w:p>
      <w:pPr>
        <w:spacing w:after="80" w:line="293" w:lineRule="auto"/>
        <w:ind w:left="283"/>
        <w:jc w:val="left"/>
      </w:pPr>
      <w:r>
        <w:rPr>
          <w:rFonts w:ascii="Times New Roman" w:hAnsi="Times New Roman" w:cs="Times New Roman"/>
          <w:b w:val="0"/>
          <w:i w:val="0"/>
          <w:sz w:val="22"/>
        </w:rPr>
        <w:t>- jurisdiction.</w:t>
      </w:r>
    </w:p>
    <w:p>
      <w:pPr>
        <w:spacing w:after="80" w:line="293" w:lineRule="auto"/>
        <w:jc w:val="left"/>
      </w:pPr>
      <w:r>
        <w:rPr>
          <w:rFonts w:ascii="Times New Roman" w:hAnsi="Times New Roman" w:cs="Times New Roman"/>
          <w:b w:val="0"/>
          <w:i w:val="0"/>
          <w:sz w:val="22"/>
        </w:rPr>
        <w:t>In Egypt, the CBE's rules cover regulated payment activities including execution of payment transactions, transfers, payment initiation services and other payment services. Therefore: SGTX must never claim that a functionality is unregulated merely because it is non-custodial or described as "instruction-only." Actual legal/regulatory classification must be assessed before enabling the relevant functionality in each jurisdiction.</w:t>
      </w:r>
    </w:p>
    <w:p>
      <w:pPr>
        <w:keepNext/>
        <w:spacing w:before="240" w:after="100"/>
        <w:outlineLvl w:val="1"/>
      </w:pPr>
      <w:r>
        <w:rPr>
          <w:rFonts w:ascii="Arial" w:hAnsi="Arial" w:cs="Arial"/>
          <w:b/>
          <w:i w:val="0"/>
          <w:color w:val="2E528F"/>
          <w:sz w:val="26"/>
        </w:rPr>
        <w:t>19.41 Regulatory Classification Gate</w:t>
      </w:r>
    </w:p>
    <w:p>
      <w:pPr>
        <w:spacing w:after="80" w:line="293" w:lineRule="auto"/>
        <w:jc w:val="left"/>
      </w:pPr>
      <w:r>
        <w:rPr>
          <w:rFonts w:ascii="Times New Roman" w:hAnsi="Times New Roman" w:cs="Times New Roman"/>
          <w:b w:val="0"/>
          <w:i w:val="0"/>
          <w:sz w:val="22"/>
        </w:rPr>
        <w:t>Before enabling a regulated or potentially regulated functionality in a jurisdiction:</w:t>
      </w:r>
    </w:p>
    <w:p>
      <w:pPr>
        <w:spacing w:after="0" w:before="0" w:line="240" w:lineRule="auto"/>
        <w:ind w:left="57"/>
        <w:jc w:val="left"/>
        <w:shd w:val="clear" w:fill="F2F2F2"/>
      </w:pPr>
      <w:r>
        <w:rPr>
          <w:rFonts w:ascii="Consolas" w:hAnsi="Consolas" w:cs="Consolas"/>
          <w:b w:val="0"/>
          <w:i w:val="0"/>
          <w:sz w:val="15"/>
        </w:rPr>
        <w:t>SGTX Functionality → Regulatory Classification Assessment →</w:t>
      </w:r>
    </w:p>
    <w:p>
      <w:pPr>
        <w:spacing w:after="0" w:before="0" w:line="240" w:lineRule="auto"/>
        <w:ind w:left="57"/>
        <w:jc w:val="left"/>
        <w:shd w:val="clear" w:fill="F2F2F2"/>
      </w:pPr>
      <w:r>
        <w:rPr>
          <w:rFonts w:ascii="Consolas" w:hAnsi="Consolas" w:cs="Consolas"/>
          <w:b w:val="0"/>
          <w:i w:val="0"/>
          <w:sz w:val="15"/>
        </w:rPr>
        <w:t>License / Partnership / Exemption / Restriction → Approved Operating Model → Feature Enablement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 jurisdiction-specific financial functionality is enabled solely because the software supports it.</w:t>
      </w:r>
    </w:p>
    <w:p>
      <w:pPr>
        <w:keepNext/>
        <w:spacing w:before="240" w:after="100"/>
        <w:outlineLvl w:val="1"/>
      </w:pPr>
      <w:r>
        <w:rPr>
          <w:rFonts w:ascii="Arial" w:hAnsi="Arial" w:cs="Arial"/>
          <w:b/>
          <w:i w:val="0"/>
          <w:color w:val="2E528F"/>
          <w:sz w:val="26"/>
        </w:rPr>
        <w:t>19.42 Jurisdiction Capability Profile</w:t>
      </w:r>
    </w:p>
    <w:p>
      <w:pPr>
        <w:spacing w:after="80" w:line="293" w:lineRule="auto"/>
        <w:jc w:val="left"/>
      </w:pPr>
      <w:r>
        <w:rPr>
          <w:rFonts w:ascii="Times New Roman" w:hAnsi="Times New Roman" w:cs="Times New Roman"/>
          <w:b w:val="0"/>
          <w:i w:val="0"/>
          <w:sz w:val="22"/>
        </w:rPr>
        <w:t>Each jurisdiction has a structured capability profile:</w:t>
      </w:r>
    </w:p>
    <w:p>
      <w:pPr>
        <w:spacing w:after="80" w:line="293" w:lineRule="auto"/>
        <w:ind w:left="283"/>
        <w:jc w:val="left"/>
      </w:pPr>
      <w:r>
        <w:rPr>
          <w:rFonts w:ascii="Times New Roman" w:hAnsi="Times New Roman" w:cs="Times New Roman"/>
          <w:b w:val="0"/>
          <w:i w:val="0"/>
          <w:sz w:val="22"/>
        </w:rPr>
        <w:t>- Allowed Capabilities</w:t>
      </w:r>
    </w:p>
    <w:p>
      <w:pPr>
        <w:spacing w:after="80" w:line="293" w:lineRule="auto"/>
        <w:ind w:left="283"/>
        <w:jc w:val="left"/>
      </w:pPr>
      <w:r>
        <w:rPr>
          <w:rFonts w:ascii="Times New Roman" w:hAnsi="Times New Roman" w:cs="Times New Roman"/>
          <w:b w:val="0"/>
          <w:i w:val="0"/>
          <w:sz w:val="22"/>
        </w:rPr>
        <w:t>- Restricted Capabilities</w:t>
      </w:r>
    </w:p>
    <w:p>
      <w:pPr>
        <w:spacing w:after="80" w:line="293" w:lineRule="auto"/>
        <w:ind w:left="283"/>
        <w:jc w:val="left"/>
      </w:pPr>
      <w:r>
        <w:rPr>
          <w:rFonts w:ascii="Times New Roman" w:hAnsi="Times New Roman" w:cs="Times New Roman"/>
          <w:b w:val="0"/>
          <w:i w:val="0"/>
          <w:sz w:val="22"/>
        </w:rPr>
        <w:t>- Required Licenses</w:t>
      </w:r>
    </w:p>
    <w:p>
      <w:pPr>
        <w:spacing w:after="80" w:line="293" w:lineRule="auto"/>
        <w:ind w:left="283"/>
        <w:jc w:val="left"/>
      </w:pPr>
      <w:r>
        <w:rPr>
          <w:rFonts w:ascii="Times New Roman" w:hAnsi="Times New Roman" w:cs="Times New Roman"/>
          <w:b w:val="0"/>
          <w:i w:val="0"/>
          <w:sz w:val="22"/>
        </w:rPr>
        <w:t>- Required Partners</w:t>
      </w:r>
    </w:p>
    <w:p>
      <w:pPr>
        <w:spacing w:after="80" w:line="293" w:lineRule="auto"/>
        <w:ind w:left="283"/>
        <w:jc w:val="left"/>
      </w:pPr>
      <w:r>
        <w:rPr>
          <w:rFonts w:ascii="Times New Roman" w:hAnsi="Times New Roman" w:cs="Times New Roman"/>
          <w:b w:val="0"/>
          <w:i w:val="0"/>
          <w:sz w:val="22"/>
        </w:rPr>
        <w:t>- Required Authorities</w:t>
      </w:r>
    </w:p>
    <w:p>
      <w:pPr>
        <w:spacing w:after="80" w:line="293" w:lineRule="auto"/>
        <w:ind w:left="283"/>
        <w:jc w:val="left"/>
      </w:pPr>
      <w:r>
        <w:rPr>
          <w:rFonts w:ascii="Times New Roman" w:hAnsi="Times New Roman" w:cs="Times New Roman"/>
          <w:b w:val="0"/>
          <w:i w:val="0"/>
          <w:sz w:val="22"/>
        </w:rPr>
        <w:t>- Payment Rails</w:t>
      </w:r>
    </w:p>
    <w:p>
      <w:pPr>
        <w:spacing w:after="80" w:line="293" w:lineRule="auto"/>
        <w:ind w:left="283"/>
        <w:jc w:val="left"/>
      </w:pPr>
      <w:r>
        <w:rPr>
          <w:rFonts w:ascii="Times New Roman" w:hAnsi="Times New Roman" w:cs="Times New Roman"/>
          <w:b w:val="0"/>
          <w:i w:val="0"/>
          <w:sz w:val="22"/>
        </w:rPr>
        <w:t>- Banking Standards</w:t>
      </w:r>
    </w:p>
    <w:p>
      <w:pPr>
        <w:spacing w:after="80" w:line="293" w:lineRule="auto"/>
        <w:ind w:left="283"/>
        <w:jc w:val="left"/>
      </w:pPr>
      <w:r>
        <w:rPr>
          <w:rFonts w:ascii="Times New Roman" w:hAnsi="Times New Roman" w:cs="Times New Roman"/>
          <w:b w:val="0"/>
          <w:i w:val="0"/>
          <w:sz w:val="22"/>
        </w:rPr>
        <w:t>- Document Standards</w:t>
      </w:r>
    </w:p>
    <w:p>
      <w:pPr>
        <w:spacing w:after="80" w:line="293" w:lineRule="auto"/>
        <w:ind w:left="283"/>
        <w:jc w:val="left"/>
      </w:pPr>
      <w:r>
        <w:rPr>
          <w:rFonts w:ascii="Times New Roman" w:hAnsi="Times New Roman" w:cs="Times New Roman"/>
          <w:b w:val="0"/>
          <w:i w:val="0"/>
          <w:sz w:val="22"/>
        </w:rPr>
        <w:t>- Data Restrictions</w:t>
      </w:r>
    </w:p>
    <w:p>
      <w:pPr>
        <w:spacing w:after="80" w:line="293" w:lineRule="auto"/>
        <w:ind w:left="283"/>
        <w:jc w:val="left"/>
      </w:pPr>
      <w:r>
        <w:rPr>
          <w:rFonts w:ascii="Times New Roman" w:hAnsi="Times New Roman" w:cs="Times New Roman"/>
          <w:b w:val="0"/>
          <w:i w:val="0"/>
          <w:sz w:val="22"/>
        </w:rPr>
        <w:t>- Tax Rules</w:t>
      </w:r>
    </w:p>
    <w:p>
      <w:pPr>
        <w:spacing w:after="80" w:line="293" w:lineRule="auto"/>
        <w:ind w:left="283"/>
        <w:jc w:val="left"/>
      </w:pPr>
      <w:r>
        <w:rPr>
          <w:rFonts w:ascii="Times New Roman" w:hAnsi="Times New Roman" w:cs="Times New Roman"/>
          <w:b w:val="0"/>
          <w:i w:val="0"/>
          <w:sz w:val="22"/>
        </w:rPr>
        <w:t>- Customs Rules</w:t>
      </w:r>
    </w:p>
    <w:p>
      <w:pPr>
        <w:spacing w:after="80" w:line="293" w:lineRule="auto"/>
        <w:ind w:left="283"/>
        <w:jc w:val="left"/>
      </w:pPr>
      <w:r>
        <w:rPr>
          <w:rFonts w:ascii="Times New Roman" w:hAnsi="Times New Roman" w:cs="Times New Roman"/>
          <w:b w:val="0"/>
          <w:i w:val="0"/>
          <w:sz w:val="22"/>
        </w:rPr>
        <w:t>- Regulatory Rules</w:t>
      </w:r>
    </w:p>
    <w:p>
      <w:pPr>
        <w:spacing w:after="80" w:line="293" w:lineRule="auto"/>
        <w:ind w:left="283"/>
        <w:jc w:val="left"/>
      </w:pPr>
      <w:r>
        <w:rPr>
          <w:rFonts w:ascii="Times New Roman" w:hAnsi="Times New Roman" w:cs="Times New Roman"/>
          <w:b w:val="0"/>
          <w:i w:val="0"/>
          <w:sz w:val="22"/>
        </w:rPr>
        <w:t>- Evidence Requirements</w:t>
      </w:r>
    </w:p>
    <w:p>
      <w:pPr>
        <w:spacing w:after="80" w:line="293" w:lineRule="auto"/>
        <w:ind w:left="283"/>
        <w:jc w:val="left"/>
      </w:pPr>
      <w:r>
        <w:rPr>
          <w:rFonts w:ascii="Times New Roman" w:hAnsi="Times New Roman" w:cs="Times New Roman"/>
          <w:b w:val="0"/>
          <w:i w:val="0"/>
          <w:sz w:val="22"/>
        </w:rPr>
        <w:t>- Authority Profiles</w:t>
      </w:r>
    </w:p>
    <w:p>
      <w:pPr>
        <w:spacing w:after="80" w:line="293" w:lineRule="auto"/>
        <w:ind w:left="283"/>
        <w:jc w:val="left"/>
      </w:pPr>
      <w:r>
        <w:rPr>
          <w:rFonts w:ascii="Times New Roman" w:hAnsi="Times New Roman" w:cs="Times New Roman"/>
          <w:b w:val="0"/>
          <w:i w:val="0"/>
          <w:sz w:val="22"/>
        </w:rPr>
        <w:t>- Required Approvals</w:t>
      </w:r>
    </w:p>
    <w:p>
      <w:pPr>
        <w:spacing w:after="80" w:line="293" w:lineRule="auto"/>
        <w:jc w:val="left"/>
      </w:pPr>
      <w:r>
        <w:rPr>
          <w:rFonts w:ascii="Times New Roman" w:hAnsi="Times New Roman" w:cs="Times New Roman"/>
          <w:b w:val="0"/>
          <w:i w:val="0"/>
          <w:sz w:val="22"/>
        </w:rPr>
        <w:t>This becomes part of the country adapter system (see Article 20.118).</w:t>
      </w:r>
    </w:p>
    <w:p>
      <w:pPr>
        <w:keepNext/>
        <w:spacing w:before="240" w:after="100"/>
        <w:outlineLvl w:val="1"/>
      </w:pPr>
      <w:r>
        <w:rPr>
          <w:rFonts w:ascii="Arial" w:hAnsi="Arial" w:cs="Arial"/>
          <w:b/>
          <w:i w:val="0"/>
          <w:color w:val="2E528F"/>
          <w:sz w:val="26"/>
        </w:rPr>
        <w:t>19.43 Bank-Side Authorization / Maker-Checker</w:t>
      </w:r>
    </w:p>
    <w:p>
      <w:pPr>
        <w:spacing w:after="80" w:line="293" w:lineRule="auto"/>
        <w:jc w:val="left"/>
      </w:pPr>
      <w:r>
        <w:rPr>
          <w:rFonts w:ascii="Times New Roman" w:hAnsi="Times New Roman" w:cs="Times New Roman"/>
          <w:b w:val="0"/>
          <w:i w:val="0"/>
          <w:sz w:val="22"/>
        </w:rPr>
        <w:t>SGTX never assumes that a signed SGTX instruction automatically authorizes movement of funds. The bank may require:</w:t>
      </w:r>
    </w:p>
    <w:p>
      <w:pPr>
        <w:spacing w:after="0" w:before="0" w:line="240" w:lineRule="auto"/>
        <w:ind w:left="57"/>
        <w:jc w:val="left"/>
        <w:shd w:val="clear" w:fill="F2F2F2"/>
      </w:pPr>
      <w:r>
        <w:rPr>
          <w:rFonts w:ascii="Consolas" w:hAnsi="Consolas" w:cs="Consolas"/>
          <w:b w:val="0"/>
          <w:i w:val="0"/>
          <w:sz w:val="15"/>
        </w:rPr>
        <w:t>SGTX Instruction → Bank Validation → Maker Approval → Checker Approval → Bank Execution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exact authorization model remains bank-specific. SGTX records relevant authorization evidence but does not replace the bank's internal authorization controls.</w:t>
      </w:r>
    </w:p>
    <w:p>
      <w:pPr>
        <w:keepNext/>
        <w:spacing w:before="240" w:after="100"/>
        <w:outlineLvl w:val="1"/>
      </w:pPr>
      <w:r>
        <w:rPr>
          <w:rFonts w:ascii="Arial" w:hAnsi="Arial" w:cs="Arial"/>
          <w:b/>
          <w:i w:val="0"/>
          <w:color w:val="2E528F"/>
          <w:sz w:val="26"/>
        </w:rPr>
        <w:t>19.44 Beneficiary Verification</w:t>
      </w:r>
    </w:p>
    <w:p>
      <w:pPr>
        <w:spacing w:after="80" w:line="293" w:lineRule="auto"/>
        <w:jc w:val="left"/>
      </w:pPr>
      <w:r>
        <w:rPr>
          <w:rFonts w:ascii="Times New Roman" w:hAnsi="Times New Roman" w:cs="Times New Roman"/>
          <w:b w:val="0"/>
          <w:i w:val="0"/>
          <w:sz w:val="22"/>
        </w:rPr>
        <w:t>Each settlement leg contains, as applicable:</w:t>
      </w:r>
    </w:p>
    <w:p>
      <w:pPr>
        <w:spacing w:after="80" w:line="293" w:lineRule="auto"/>
        <w:ind w:left="283"/>
        <w:jc w:val="left"/>
      </w:pPr>
      <w:r>
        <w:rPr>
          <w:rFonts w:ascii="Times New Roman" w:hAnsi="Times New Roman" w:cs="Times New Roman"/>
          <w:b w:val="0"/>
          <w:i w:val="0"/>
          <w:sz w:val="22"/>
        </w:rPr>
        <w:t>- Beneficiary ID</w:t>
      </w:r>
    </w:p>
    <w:p>
      <w:pPr>
        <w:spacing w:after="80" w:line="293" w:lineRule="auto"/>
        <w:ind w:left="283"/>
        <w:jc w:val="left"/>
      </w:pPr>
      <w:r>
        <w:rPr>
          <w:rFonts w:ascii="Times New Roman" w:hAnsi="Times New Roman" w:cs="Times New Roman"/>
          <w:b w:val="0"/>
          <w:i w:val="0"/>
          <w:sz w:val="22"/>
        </w:rPr>
        <w:t>- Beneficiary Legal Name</w:t>
      </w:r>
    </w:p>
    <w:p>
      <w:pPr>
        <w:spacing w:after="80" w:line="293" w:lineRule="auto"/>
        <w:ind w:left="283"/>
        <w:jc w:val="left"/>
      </w:pPr>
      <w:r>
        <w:rPr>
          <w:rFonts w:ascii="Times New Roman" w:hAnsi="Times New Roman" w:cs="Times New Roman"/>
          <w:b w:val="0"/>
          <w:i w:val="0"/>
          <w:sz w:val="22"/>
        </w:rPr>
        <w:t>- Beneficiary Type</w:t>
      </w:r>
    </w:p>
    <w:p>
      <w:pPr>
        <w:spacing w:after="80" w:line="293" w:lineRule="auto"/>
        <w:ind w:left="283"/>
        <w:jc w:val="left"/>
      </w:pPr>
      <w:r>
        <w:rPr>
          <w:rFonts w:ascii="Times New Roman" w:hAnsi="Times New Roman" w:cs="Times New Roman"/>
          <w:b w:val="0"/>
          <w:i w:val="0"/>
          <w:sz w:val="22"/>
        </w:rPr>
        <w:t>- Account Identifier / IBAN</w:t>
      </w:r>
    </w:p>
    <w:p>
      <w:pPr>
        <w:spacing w:after="80" w:line="293" w:lineRule="auto"/>
        <w:ind w:left="283"/>
        <w:jc w:val="left"/>
      </w:pPr>
      <w:r>
        <w:rPr>
          <w:rFonts w:ascii="Times New Roman" w:hAnsi="Times New Roman" w:cs="Times New Roman"/>
          <w:b w:val="0"/>
          <w:i w:val="0"/>
          <w:sz w:val="22"/>
        </w:rPr>
        <w:t>- Bank Identifier</w:t>
      </w:r>
    </w:p>
    <w:p>
      <w:pPr>
        <w:spacing w:after="80" w:line="293" w:lineRule="auto"/>
        <w:ind w:left="283"/>
        <w:jc w:val="left"/>
      </w:pPr>
      <w:r>
        <w:rPr>
          <w:rFonts w:ascii="Times New Roman" w:hAnsi="Times New Roman" w:cs="Times New Roman"/>
          <w:b w:val="0"/>
          <w:i w:val="0"/>
          <w:sz w:val="22"/>
        </w:rPr>
        <w:t>- Jurisdiction</w:t>
      </w:r>
    </w:p>
    <w:p>
      <w:pPr>
        <w:spacing w:after="80" w:line="293" w:lineRule="auto"/>
        <w:ind w:left="283"/>
        <w:jc w:val="left"/>
      </w:pPr>
      <w:r>
        <w:rPr>
          <w:rFonts w:ascii="Times New Roman" w:hAnsi="Times New Roman" w:cs="Times New Roman"/>
          <w:b w:val="0"/>
          <w:i w:val="0"/>
          <w:sz w:val="22"/>
        </w:rPr>
        <w:t>- Currency</w:t>
      </w:r>
    </w:p>
    <w:p>
      <w:pPr>
        <w:spacing w:after="80" w:line="293" w:lineRule="auto"/>
        <w:ind w:left="283"/>
        <w:jc w:val="left"/>
      </w:pPr>
      <w:r>
        <w:rPr>
          <w:rFonts w:ascii="Times New Roman" w:hAnsi="Times New Roman" w:cs="Times New Roman"/>
          <w:b w:val="0"/>
          <w:i w:val="0"/>
          <w:sz w:val="22"/>
        </w:rPr>
        <w:t>- Amount</w:t>
      </w:r>
    </w:p>
    <w:p>
      <w:pPr>
        <w:spacing w:after="80" w:line="293" w:lineRule="auto"/>
        <w:ind w:left="283"/>
        <w:jc w:val="left"/>
      </w:pPr>
      <w:r>
        <w:rPr>
          <w:rFonts w:ascii="Times New Roman" w:hAnsi="Times New Roman" w:cs="Times New Roman"/>
          <w:b w:val="0"/>
          <w:i w:val="0"/>
          <w:sz w:val="22"/>
        </w:rPr>
        <w:t>- Payment Purpose</w:t>
      </w:r>
    </w:p>
    <w:p>
      <w:pPr>
        <w:spacing w:after="80" w:line="293" w:lineRule="auto"/>
        <w:ind w:left="283"/>
        <w:jc w:val="left"/>
      </w:pPr>
      <w:r>
        <w:rPr>
          <w:rFonts w:ascii="Times New Roman" w:hAnsi="Times New Roman" w:cs="Times New Roman"/>
          <w:b w:val="0"/>
          <w:i w:val="0"/>
          <w:sz w:val="22"/>
        </w:rPr>
        <w:t>- Underlying Obligation ID</w:t>
      </w:r>
    </w:p>
    <w:p>
      <w:pPr>
        <w:spacing w:after="80" w:line="293" w:lineRule="auto"/>
        <w:ind w:left="283"/>
        <w:jc w:val="left"/>
      </w:pPr>
      <w:r>
        <w:rPr>
          <w:rFonts w:ascii="Times New Roman" w:hAnsi="Times New Roman" w:cs="Times New Roman"/>
          <w:b w:val="0"/>
          <w:i w:val="0"/>
          <w:sz w:val="22"/>
        </w:rPr>
        <w:t>- Supporting Documents</w:t>
      </w:r>
    </w:p>
    <w:p>
      <w:pPr>
        <w:spacing w:after="80" w:line="293" w:lineRule="auto"/>
        <w:ind w:left="283"/>
        <w:jc w:val="left"/>
      </w:pPr>
      <w:r>
        <w:rPr>
          <w:rFonts w:ascii="Times New Roman" w:hAnsi="Times New Roman" w:cs="Times New Roman"/>
          <w:b w:val="0"/>
          <w:i w:val="0"/>
          <w:sz w:val="22"/>
        </w:rPr>
        <w:t>- Sanctions Status</w:t>
      </w:r>
    </w:p>
    <w:p>
      <w:pPr>
        <w:spacing w:after="80" w:line="293" w:lineRule="auto"/>
        <w:ind w:left="283"/>
        <w:jc w:val="left"/>
      </w:pPr>
      <w:r>
        <w:rPr>
          <w:rFonts w:ascii="Times New Roman" w:hAnsi="Times New Roman" w:cs="Times New Roman"/>
          <w:b w:val="0"/>
          <w:i w:val="0"/>
          <w:sz w:val="22"/>
        </w:rPr>
        <w:t>- KYC/KYB Status (Know Your Customer / Know Your Business)</w:t>
      </w:r>
    </w:p>
    <w:p>
      <w:pPr>
        <w:spacing w:after="80" w:line="293" w:lineRule="auto"/>
        <w:ind w:left="283"/>
        <w:jc w:val="left"/>
      </w:pPr>
      <w:r>
        <w:rPr>
          <w:rFonts w:ascii="Times New Roman" w:hAnsi="Times New Roman" w:cs="Times New Roman"/>
          <w:b w:val="0"/>
          <w:i w:val="0"/>
          <w:sz w:val="22"/>
        </w:rPr>
        <w:t>- Beneficiary Verification State</w:t>
      </w:r>
    </w:p>
    <w:p>
      <w:pPr>
        <w:spacing w:after="80" w:line="293" w:lineRule="auto"/>
        <w:ind w:left="283"/>
        <w:jc w:val="left"/>
      </w:pPr>
      <w:r>
        <w:rPr>
          <w:rFonts w:ascii="Times New Roman" w:hAnsi="Times New Roman" w:cs="Times New Roman"/>
          <w:b w:val="0"/>
          <w:i w:val="0"/>
          <w:sz w:val="22"/>
        </w:rPr>
        <w:t>- Authorization Context</w:t>
      </w:r>
    </w:p>
    <w:p>
      <w:pPr>
        <w:spacing w:after="80" w:line="293" w:lineRule="auto"/>
        <w:jc w:val="left"/>
      </w:pPr>
      <w:r>
        <w:rPr>
          <w:rFonts w:ascii="Times New Roman" w:hAnsi="Times New Roman" w:cs="Times New Roman"/>
          <w:b w:val="0"/>
          <w:i w:val="0"/>
          <w:sz w:val="22"/>
        </w:rPr>
        <w:t>The bank remains authoritative for bank-side account ownership/beneficiary controls.</w:t>
      </w:r>
    </w:p>
    <w:p>
      <w:pPr>
        <w:keepNext/>
        <w:spacing w:before="240" w:after="100"/>
        <w:outlineLvl w:val="1"/>
      </w:pPr>
      <w:r>
        <w:rPr>
          <w:rFonts w:ascii="Arial" w:hAnsi="Arial" w:cs="Arial"/>
          <w:b/>
          <w:i w:val="0"/>
          <w:color w:val="2E528F"/>
          <w:sz w:val="26"/>
        </w:rPr>
        <w:t>19.45 Payment Leg Model</w:t>
      </w:r>
    </w:p>
    <w:p>
      <w:pPr>
        <w:spacing w:after="80" w:line="293" w:lineRule="auto"/>
        <w:jc w:val="left"/>
      </w:pPr>
      <w:r>
        <w:rPr>
          <w:rFonts w:ascii="Times New Roman" w:hAnsi="Times New Roman" w:cs="Times New Roman"/>
          <w:b w:val="0"/>
          <w:i w:val="0"/>
          <w:sz w:val="22"/>
        </w:rPr>
        <w:t>A multi-party settlement is broken into independently identifiable payment legs. Hierarchy:</w:t>
      </w:r>
    </w:p>
    <w:p>
      <w:pPr>
        <w:spacing w:after="0" w:before="0" w:line="240" w:lineRule="auto"/>
        <w:ind w:left="57"/>
        <w:jc w:val="left"/>
        <w:shd w:val="clear" w:fill="F2F2F2"/>
      </w:pPr>
      <w:r>
        <w:rPr>
          <w:rFonts w:ascii="Consolas" w:hAnsi="Consolas" w:cs="Consolas"/>
          <w:b w:val="0"/>
          <w:i w:val="0"/>
          <w:sz w:val="15"/>
        </w:rPr>
        <w:t>USTN → Settlement Instruction ID → Settlement Leg ID → Bank Transaction Reference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Leg</w:t>
            </w:r>
          </w:p>
        </w:tc>
        <w:tc>
          <w:tcPr>
            <w:tcW w:type="dxa" w:w="3213"/>
            <w:shd w:val="clear" w:fill="D9E2F3"/>
          </w:tcPr>
          <w:p>
            <w:pPr>
              <w:spacing w:after="20" w:before="20" w:line="240" w:lineRule="auto"/>
            </w:pPr>
            <w:r/>
            <w:r>
              <w:rPr>
                <w:rFonts w:ascii="Arial" w:hAnsi="Arial" w:cs="Arial"/>
                <w:b/>
                <w:i w:val="0"/>
                <w:sz w:val="18"/>
              </w:rPr>
              <w:t>Beneficiary</w:t>
            </w:r>
          </w:p>
        </w:tc>
        <w:tc>
          <w:tcPr>
            <w:tcW w:type="dxa" w:w="3213"/>
            <w:shd w:val="clear" w:fill="D9E2F3"/>
          </w:tcPr>
          <w:p>
            <w:pPr>
              <w:spacing w:after="20" w:before="20" w:line="240" w:lineRule="auto"/>
            </w:pPr>
            <w:r/>
            <w:r>
              <w:rPr>
                <w:rFonts w:ascii="Arial" w:hAnsi="Arial" w:cs="Arial"/>
                <w:b/>
                <w:i w:val="0"/>
                <w:sz w:val="18"/>
              </w:rPr>
              <w:t>State</w:t>
            </w:r>
          </w:p>
        </w:tc>
      </w:tr>
      <w:tr>
        <w:tc>
          <w:tcPr>
            <w:tcW w:type="dxa" w:w="3213"/>
          </w:tcPr>
          <w:p>
            <w:pPr>
              <w:spacing w:after="20" w:before="20" w:line="240" w:lineRule="auto"/>
            </w:pPr>
            <w:r/>
            <w:r>
              <w:rPr>
                <w:rFonts w:ascii="Arial" w:hAnsi="Arial" w:cs="Arial"/>
                <w:b w:val="0"/>
                <w:i w:val="0"/>
                <w:sz w:val="17"/>
              </w:rPr>
              <w:t>Leg 1</w:t>
            </w:r>
          </w:p>
        </w:tc>
        <w:tc>
          <w:tcPr>
            <w:tcW w:type="dxa" w:w="3213"/>
          </w:tcPr>
          <w:p>
            <w:pPr>
              <w:spacing w:after="20" w:before="20" w:line="240" w:lineRule="auto"/>
            </w:pPr>
            <w:r/>
            <w:r>
              <w:rPr>
                <w:rFonts w:ascii="Arial" w:hAnsi="Arial" w:cs="Arial"/>
                <w:b w:val="0"/>
                <w:i w:val="0"/>
                <w:sz w:val="17"/>
              </w:rPr>
              <w:t>Seller</w:t>
            </w:r>
          </w:p>
        </w:tc>
        <w:tc>
          <w:tcPr>
            <w:tcW w:type="dxa" w:w="3213"/>
          </w:tcPr>
          <w:p>
            <w:pPr>
              <w:spacing w:after="20" w:before="20" w:line="240" w:lineRule="auto"/>
            </w:pPr>
            <w:r/>
            <w:r>
              <w:rPr>
                <w:rFonts w:ascii="Arial" w:hAnsi="Arial" w:cs="Arial"/>
                <w:b w:val="0"/>
                <w:i w:val="0"/>
                <w:sz w:val="17"/>
              </w:rPr>
              <w:t>SETTLED</w:t>
            </w:r>
          </w:p>
        </w:tc>
      </w:tr>
      <w:tr>
        <w:tc>
          <w:tcPr>
            <w:tcW w:type="dxa" w:w="3213"/>
          </w:tcPr>
          <w:p>
            <w:pPr>
              <w:spacing w:after="20" w:before="20" w:line="240" w:lineRule="auto"/>
            </w:pPr>
            <w:r/>
            <w:r>
              <w:rPr>
                <w:rFonts w:ascii="Arial" w:hAnsi="Arial" w:cs="Arial"/>
                <w:b w:val="0"/>
                <w:i w:val="0"/>
                <w:sz w:val="17"/>
              </w:rPr>
              <w:t>Leg 2</w:t>
            </w:r>
          </w:p>
        </w:tc>
        <w:tc>
          <w:tcPr>
            <w:tcW w:type="dxa" w:w="3213"/>
          </w:tcPr>
          <w:p>
            <w:pPr>
              <w:spacing w:after="20" w:before="20" w:line="240" w:lineRule="auto"/>
            </w:pPr>
            <w:r/>
            <w:r>
              <w:rPr>
                <w:rFonts w:ascii="Arial" w:hAnsi="Arial" w:cs="Arial"/>
                <w:b w:val="0"/>
                <w:i w:val="0"/>
                <w:sz w:val="17"/>
              </w:rPr>
              <w:t>Logistics</w:t>
            </w:r>
          </w:p>
        </w:tc>
        <w:tc>
          <w:tcPr>
            <w:tcW w:type="dxa" w:w="3213"/>
          </w:tcPr>
          <w:p>
            <w:pPr>
              <w:spacing w:after="20" w:before="20" w:line="240" w:lineRule="auto"/>
            </w:pPr>
            <w:r/>
            <w:r>
              <w:rPr>
                <w:rFonts w:ascii="Arial" w:hAnsi="Arial" w:cs="Arial"/>
                <w:b w:val="0"/>
                <w:i w:val="0"/>
                <w:sz w:val="17"/>
              </w:rPr>
              <w:t>SETTLED</w:t>
            </w:r>
          </w:p>
        </w:tc>
      </w:tr>
      <w:tr>
        <w:tc>
          <w:tcPr>
            <w:tcW w:type="dxa" w:w="3213"/>
          </w:tcPr>
          <w:p>
            <w:pPr>
              <w:spacing w:after="20" w:before="20" w:line="240" w:lineRule="auto"/>
            </w:pPr>
            <w:r/>
            <w:r>
              <w:rPr>
                <w:rFonts w:ascii="Arial" w:hAnsi="Arial" w:cs="Arial"/>
                <w:b w:val="0"/>
                <w:i w:val="0"/>
                <w:sz w:val="17"/>
              </w:rPr>
              <w:t>Leg 3</w:t>
            </w:r>
          </w:p>
        </w:tc>
        <w:tc>
          <w:tcPr>
            <w:tcW w:type="dxa" w:w="3213"/>
          </w:tcPr>
          <w:p>
            <w:pPr>
              <w:spacing w:after="20" w:before="20" w:line="240" w:lineRule="auto"/>
            </w:pPr>
            <w:r/>
            <w:r>
              <w:rPr>
                <w:rFonts w:ascii="Arial" w:hAnsi="Arial" w:cs="Arial"/>
                <w:b w:val="0"/>
                <w:i w:val="0"/>
                <w:sz w:val="17"/>
              </w:rPr>
              <w:t>Customs</w:t>
            </w:r>
          </w:p>
        </w:tc>
        <w:tc>
          <w:tcPr>
            <w:tcW w:type="dxa" w:w="3213"/>
          </w:tcPr>
          <w:p>
            <w:pPr>
              <w:spacing w:after="20" w:before="20" w:line="240" w:lineRule="auto"/>
            </w:pPr>
            <w:r/>
            <w:r>
              <w:rPr>
                <w:rFonts w:ascii="Arial" w:hAnsi="Arial" w:cs="Arial"/>
                <w:b w:val="0"/>
                <w:i w:val="0"/>
                <w:sz w:val="17"/>
              </w:rPr>
              <w:t>REJECTED</w:t>
            </w:r>
          </w:p>
        </w:tc>
      </w:tr>
      <w:tr>
        <w:tc>
          <w:tcPr>
            <w:tcW w:type="dxa" w:w="3213"/>
          </w:tcPr>
          <w:p>
            <w:pPr>
              <w:spacing w:after="20" w:before="20" w:line="240" w:lineRule="auto"/>
            </w:pPr>
            <w:r/>
            <w:r>
              <w:rPr>
                <w:rFonts w:ascii="Arial" w:hAnsi="Arial" w:cs="Arial"/>
                <w:b w:val="0"/>
                <w:i w:val="0"/>
                <w:sz w:val="17"/>
              </w:rPr>
              <w:t>Leg 4</w:t>
            </w:r>
          </w:p>
        </w:tc>
        <w:tc>
          <w:tcPr>
            <w:tcW w:type="dxa" w:w="3213"/>
          </w:tcPr>
          <w:p>
            <w:pPr>
              <w:spacing w:after="20" w:before="20" w:line="240" w:lineRule="auto"/>
            </w:pPr>
            <w:r/>
            <w:r>
              <w:rPr>
                <w:rFonts w:ascii="Arial" w:hAnsi="Arial" w:cs="Arial"/>
                <w:b w:val="0"/>
                <w:i w:val="0"/>
                <w:sz w:val="17"/>
              </w:rPr>
              <w:t>Laboratory</w:t>
            </w:r>
          </w:p>
        </w:tc>
        <w:tc>
          <w:tcPr>
            <w:tcW w:type="dxa" w:w="3213"/>
          </w:tcPr>
          <w:p>
            <w:pPr>
              <w:spacing w:after="20" w:before="20" w:line="240" w:lineRule="auto"/>
            </w:pPr>
            <w:r/>
            <w:r>
              <w:rPr>
                <w:rFonts w:ascii="Arial" w:hAnsi="Arial" w:cs="Arial"/>
                <w:b w:val="0"/>
                <w:i w:val="0"/>
                <w:sz w:val="17"/>
              </w:rPr>
              <w:t>PENDING</w:t>
            </w:r>
          </w:p>
        </w:tc>
      </w:tr>
      <w:tr>
        <w:tc>
          <w:tcPr>
            <w:tcW w:type="dxa" w:w="3213"/>
          </w:tcPr>
          <w:p>
            <w:pPr>
              <w:spacing w:after="20" w:before="20" w:line="240" w:lineRule="auto"/>
            </w:pPr>
            <w:r/>
            <w:r>
              <w:rPr>
                <w:rFonts w:ascii="Arial" w:hAnsi="Arial" w:cs="Arial"/>
                <w:b w:val="0"/>
                <w:i w:val="0"/>
                <w:sz w:val="17"/>
              </w:rPr>
              <w:t>Leg 5</w:t>
            </w:r>
          </w:p>
        </w:tc>
        <w:tc>
          <w:tcPr>
            <w:tcW w:type="dxa" w:w="3213"/>
          </w:tcPr>
          <w:p>
            <w:pPr>
              <w:spacing w:after="20" w:before="20" w:line="240" w:lineRule="auto"/>
            </w:pPr>
            <w:r/>
            <w:r>
              <w:rPr>
                <w:rFonts w:ascii="Arial" w:hAnsi="Arial" w:cs="Arial"/>
                <w:b w:val="0"/>
                <w:i w:val="0"/>
                <w:sz w:val="17"/>
              </w:rPr>
              <w:t>Broker</w:t>
            </w:r>
          </w:p>
        </w:tc>
        <w:tc>
          <w:tcPr>
            <w:tcW w:type="dxa" w:w="3213"/>
          </w:tcPr>
          <w:p>
            <w:pPr>
              <w:spacing w:after="20" w:before="20" w:line="240" w:lineRule="auto"/>
            </w:pPr>
            <w:r/>
            <w:r>
              <w:rPr>
                <w:rFonts w:ascii="Arial" w:hAnsi="Arial" w:cs="Arial"/>
                <w:b w:val="0"/>
                <w:i w:val="0"/>
                <w:sz w:val="17"/>
              </w:rPr>
              <w:t>UNKNOWN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Parent state: Settlement = PARTIALLY_SETTLED.</w:t>
      </w:r>
    </w:p>
    <w:p>
      <w:pPr>
        <w:keepNext/>
        <w:spacing w:before="240" w:after="100"/>
        <w:outlineLvl w:val="1"/>
      </w:pPr>
      <w:r>
        <w:rPr>
          <w:rFonts w:ascii="Arial" w:hAnsi="Arial" w:cs="Arial"/>
          <w:b/>
          <w:i w:val="0"/>
          <w:color w:val="2E528F"/>
          <w:sz w:val="26"/>
        </w:rPr>
        <w:t>19.46 Multi-Party Settlement Obligation Model</w:t>
      </w:r>
    </w:p>
    <w:p>
      <w:pPr>
        <w:spacing w:after="80" w:line="293" w:lineRule="auto"/>
        <w:jc w:val="left"/>
      </w:pPr>
      <w:r>
        <w:rPr>
          <w:rFonts w:ascii="Times New Roman" w:hAnsi="Times New Roman" w:cs="Times New Roman"/>
          <w:b w:val="0"/>
          <w:i w:val="0"/>
          <w:sz w:val="22"/>
        </w:rPr>
        <w:t>A trade may contain multiple financial obligations:</w:t>
      </w:r>
    </w:p>
    <w:p>
      <w:pPr>
        <w:spacing w:after="0" w:before="0" w:line="240" w:lineRule="auto"/>
        <w:ind w:left="57"/>
        <w:jc w:val="left"/>
        <w:shd w:val="clear" w:fill="F2F2F2"/>
      </w:pPr>
      <w:r>
        <w:rPr>
          <w:rFonts w:ascii="Consolas" w:hAnsi="Consolas" w:cs="Consolas"/>
          <w:b w:val="0"/>
          <w:i w:val="0"/>
          <w:sz w:val="15"/>
        </w:rPr>
        <w:t>USTN → Seller Obligation → Logistics Obligation → Customs Obligation →</w:t>
      </w:r>
    </w:p>
    <w:p>
      <w:pPr>
        <w:spacing w:after="0" w:before="0" w:line="240" w:lineRule="auto"/>
        <w:ind w:left="57"/>
        <w:jc w:val="left"/>
        <w:shd w:val="clear" w:fill="F2F2F2"/>
      </w:pPr>
      <w:r>
        <w:rPr>
          <w:rFonts w:ascii="Consolas" w:hAnsi="Consolas" w:cs="Consolas"/>
          <w:b w:val="0"/>
          <w:i w:val="0"/>
          <w:sz w:val="15"/>
        </w:rPr>
        <w:t>Laboratory Obligation → Broker Obligation → SGTX Service Fee Obligation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obligation can contain:</w:t>
      </w:r>
    </w:p>
    <w:p>
      <w:pPr>
        <w:spacing w:after="80" w:line="293" w:lineRule="auto"/>
        <w:ind w:left="283"/>
        <w:jc w:val="left"/>
      </w:pPr>
      <w:r>
        <w:rPr>
          <w:rFonts w:ascii="Times New Roman" w:hAnsi="Times New Roman" w:cs="Times New Roman"/>
          <w:b w:val="0"/>
          <w:i w:val="0"/>
          <w:sz w:val="22"/>
        </w:rPr>
        <w:t>- obligation ID;</w:t>
      </w:r>
    </w:p>
    <w:p>
      <w:pPr>
        <w:spacing w:after="80" w:line="293" w:lineRule="auto"/>
        <w:ind w:left="283"/>
        <w:jc w:val="left"/>
      </w:pPr>
      <w:r>
        <w:rPr>
          <w:rFonts w:ascii="Times New Roman" w:hAnsi="Times New Roman" w:cs="Times New Roman"/>
          <w:b w:val="0"/>
          <w:i w:val="0"/>
          <w:sz w:val="22"/>
        </w:rPr>
        <w:t>- beneficiary;</w:t>
      </w:r>
    </w:p>
    <w:p>
      <w:pPr>
        <w:spacing w:after="80" w:line="293" w:lineRule="auto"/>
        <w:ind w:left="283"/>
        <w:jc w:val="left"/>
      </w:pPr>
      <w:r>
        <w:rPr>
          <w:rFonts w:ascii="Times New Roman" w:hAnsi="Times New Roman" w:cs="Times New Roman"/>
          <w:b w:val="0"/>
          <w:i w:val="0"/>
          <w:sz w:val="22"/>
        </w:rPr>
        <w:t>- amount;</w:t>
      </w:r>
    </w:p>
    <w:p>
      <w:pPr>
        <w:spacing w:after="80" w:line="293" w:lineRule="auto"/>
        <w:ind w:left="283"/>
        <w:jc w:val="left"/>
      </w:pPr>
      <w:r>
        <w:rPr>
          <w:rFonts w:ascii="Times New Roman" w:hAnsi="Times New Roman" w:cs="Times New Roman"/>
          <w:b w:val="0"/>
          <w:i w:val="0"/>
          <w:sz w:val="22"/>
        </w:rPr>
        <w:t>- currency;</w:t>
      </w:r>
    </w:p>
    <w:p>
      <w:pPr>
        <w:spacing w:after="80" w:line="293" w:lineRule="auto"/>
        <w:ind w:left="283"/>
        <w:jc w:val="left"/>
      </w:pPr>
      <w:r>
        <w:rPr>
          <w:rFonts w:ascii="Times New Roman" w:hAnsi="Times New Roman" w:cs="Times New Roman"/>
          <w:b w:val="0"/>
          <w:i w:val="0"/>
          <w:sz w:val="22"/>
        </w:rPr>
        <w:t>- authorization;</w:t>
      </w:r>
    </w:p>
    <w:p>
      <w:pPr>
        <w:spacing w:after="80" w:line="293" w:lineRule="auto"/>
        <w:ind w:left="283"/>
        <w:jc w:val="left"/>
      </w:pPr>
      <w:r>
        <w:rPr>
          <w:rFonts w:ascii="Times New Roman" w:hAnsi="Times New Roman" w:cs="Times New Roman"/>
          <w:b w:val="0"/>
          <w:i w:val="0"/>
          <w:sz w:val="22"/>
        </w:rPr>
        <w:t>- contractual basis;</w:t>
      </w:r>
    </w:p>
    <w:p>
      <w:pPr>
        <w:spacing w:after="80" w:line="293" w:lineRule="auto"/>
        <w:ind w:left="283"/>
        <w:jc w:val="left"/>
      </w:pPr>
      <w:r>
        <w:rPr>
          <w:rFonts w:ascii="Times New Roman" w:hAnsi="Times New Roman" w:cs="Times New Roman"/>
          <w:b w:val="0"/>
          <w:i w:val="0"/>
          <w:sz w:val="22"/>
        </w:rPr>
        <w:t>- document/evidence basis;</w:t>
      </w:r>
    </w:p>
    <w:p>
      <w:pPr>
        <w:spacing w:after="80" w:line="293" w:lineRule="auto"/>
        <w:ind w:left="283"/>
        <w:jc w:val="left"/>
      </w:pPr>
      <w:r>
        <w:rPr>
          <w:rFonts w:ascii="Times New Roman" w:hAnsi="Times New Roman" w:cs="Times New Roman"/>
          <w:b w:val="0"/>
          <w:i w:val="0"/>
          <w:sz w:val="22"/>
        </w:rPr>
        <w:t>- dependency;</w:t>
      </w:r>
    </w:p>
    <w:p>
      <w:pPr>
        <w:spacing w:after="80" w:line="293" w:lineRule="auto"/>
        <w:ind w:left="283"/>
        <w:jc w:val="left"/>
      </w:pPr>
      <w:r>
        <w:rPr>
          <w:rFonts w:ascii="Times New Roman" w:hAnsi="Times New Roman" w:cs="Times New Roman"/>
          <w:b w:val="0"/>
          <w:i w:val="0"/>
          <w:sz w:val="22"/>
        </w:rPr>
        <w:t>- settlement condition;</w:t>
      </w:r>
    </w:p>
    <w:p>
      <w:pPr>
        <w:spacing w:after="80" w:line="293" w:lineRule="auto"/>
        <w:ind w:left="283"/>
        <w:jc w:val="left"/>
      </w:pPr>
      <w:r>
        <w:rPr>
          <w:rFonts w:ascii="Times New Roman" w:hAnsi="Times New Roman" w:cs="Times New Roman"/>
          <w:b w:val="0"/>
          <w:i w:val="0"/>
          <w:sz w:val="22"/>
        </w:rPr>
        <w:t>- reversal condition;</w:t>
      </w:r>
    </w:p>
    <w:p>
      <w:pPr>
        <w:spacing w:after="80" w:line="293" w:lineRule="auto"/>
        <w:ind w:left="283"/>
        <w:jc w:val="left"/>
      </w:pPr>
      <w:r>
        <w:rPr>
          <w:rFonts w:ascii="Times New Roman" w:hAnsi="Times New Roman" w:cs="Times New Roman"/>
          <w:b w:val="0"/>
          <w:i w:val="0"/>
          <w:sz w:val="22"/>
        </w:rPr>
        <w:t>- dispute condition;</w:t>
      </w:r>
    </w:p>
    <w:p>
      <w:pPr>
        <w:spacing w:after="80" w:line="293" w:lineRule="auto"/>
        <w:ind w:left="283"/>
        <w:jc w:val="left"/>
      </w:pPr>
      <w:r>
        <w:rPr>
          <w:rFonts w:ascii="Times New Roman" w:hAnsi="Times New Roman" w:cs="Times New Roman"/>
          <w:b w:val="0"/>
          <w:i w:val="0"/>
          <w:sz w:val="22"/>
        </w:rPr>
        <w:t>- recovery path;</w:t>
      </w:r>
    </w:p>
    <w:p>
      <w:pPr>
        <w:spacing w:after="80" w:line="293" w:lineRule="auto"/>
        <w:ind w:left="283"/>
        <w:jc w:val="left"/>
      </w:pPr>
      <w:r>
        <w:rPr>
          <w:rFonts w:ascii="Times New Roman" w:hAnsi="Times New Roman" w:cs="Times New Roman"/>
          <w:b w:val="0"/>
          <w:i w:val="0"/>
          <w:sz w:val="22"/>
        </w:rPr>
        <w:t>- reconciliation state.</w:t>
      </w:r>
    </w:p>
    <w:p>
      <w:pPr>
        <w:keepNext/>
        <w:spacing w:before="240" w:after="100"/>
        <w:outlineLvl w:val="1"/>
      </w:pPr>
      <w:r>
        <w:rPr>
          <w:rFonts w:ascii="Arial" w:hAnsi="Arial" w:cs="Arial"/>
          <w:b/>
          <w:i w:val="0"/>
          <w:color w:val="2E528F"/>
          <w:sz w:val="26"/>
        </w:rPr>
        <w:t>19.47 Settlement Atomicity Policy</w:t>
      </w:r>
    </w:p>
    <w:p>
      <w:pPr>
        <w:spacing w:after="80" w:line="293" w:lineRule="auto"/>
        <w:jc w:val="left"/>
      </w:pPr>
      <w:r>
        <w:rPr>
          <w:rFonts w:ascii="Times New Roman" w:hAnsi="Times New Roman" w:cs="Times New Roman"/>
          <w:b w:val="0"/>
          <w:i w:val="0"/>
          <w:sz w:val="22"/>
        </w:rPr>
        <w:t>Each multi-leg settlement has an applicable Settlement Atomicity Policy. Supported policies include: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Policy</w:t>
            </w:r>
          </w:p>
        </w:tc>
        <w:tc>
          <w:tcPr>
            <w:tcW w:type="dxa" w:w="4819"/>
            <w:shd w:val="clear" w:fill="D9E2F3"/>
          </w:tcPr>
          <w:p>
            <w:pPr>
              <w:spacing w:after="20" w:before="20" w:line="240" w:lineRule="auto"/>
            </w:pPr>
            <w:r/>
            <w:r>
              <w:rPr>
                <w:rFonts w:ascii="Arial" w:hAnsi="Arial" w:cs="Arial"/>
                <w:b/>
                <w:i w:val="0"/>
                <w:sz w:val="18"/>
              </w:rPr>
              <w:t>Behavior</w:t>
            </w:r>
          </w:p>
        </w:tc>
      </w:tr>
      <w:tr>
        <w:tc>
          <w:tcPr>
            <w:tcW w:type="dxa" w:w="4819"/>
          </w:tcPr>
          <w:p>
            <w:pPr>
              <w:spacing w:after="20" w:before="20" w:line="240" w:lineRule="auto"/>
            </w:pPr>
            <w:r/>
            <w:r>
              <w:rPr>
                <w:rFonts w:ascii="Arial" w:hAnsi="Arial" w:cs="Arial"/>
                <w:b w:val="0"/>
                <w:i w:val="0"/>
                <w:sz w:val="17"/>
              </w:rPr>
              <w:t>ALL_OR_NONE</w:t>
            </w:r>
          </w:p>
        </w:tc>
        <w:tc>
          <w:tcPr>
            <w:tcW w:type="dxa" w:w="4819"/>
          </w:tcPr>
          <w:p>
            <w:pPr>
              <w:spacing w:after="20" w:before="20" w:line="240" w:lineRule="auto"/>
            </w:pPr>
            <w:r/>
            <w:r>
              <w:rPr>
                <w:rFonts w:ascii="Arial" w:hAnsi="Arial" w:cs="Arial"/>
                <w:b w:val="0"/>
                <w:i w:val="0"/>
                <w:sz w:val="17"/>
              </w:rPr>
              <w:t>All eligible legs must satisfy required conditions before execution completes.</w:t>
            </w:r>
          </w:p>
        </w:tc>
      </w:tr>
      <w:tr>
        <w:tc>
          <w:tcPr>
            <w:tcW w:type="dxa" w:w="4819"/>
          </w:tcPr>
          <w:p>
            <w:pPr>
              <w:spacing w:after="20" w:before="20" w:line="240" w:lineRule="auto"/>
            </w:pPr>
            <w:r/>
            <w:r>
              <w:rPr>
                <w:rFonts w:ascii="Arial" w:hAnsi="Arial" w:cs="Arial"/>
                <w:b w:val="0"/>
                <w:i w:val="0"/>
                <w:sz w:val="17"/>
              </w:rPr>
              <w:t>PARTIAL_ALLOWED</w:t>
            </w:r>
          </w:p>
        </w:tc>
        <w:tc>
          <w:tcPr>
            <w:tcW w:type="dxa" w:w="4819"/>
          </w:tcPr>
          <w:p>
            <w:pPr>
              <w:spacing w:after="20" w:before="20" w:line="240" w:lineRule="auto"/>
            </w:pPr>
            <w:r/>
            <w:r>
              <w:rPr>
                <w:rFonts w:ascii="Arial" w:hAnsi="Arial" w:cs="Arial"/>
                <w:b w:val="0"/>
                <w:i w:val="0"/>
                <w:sz w:val="17"/>
              </w:rPr>
              <w:t>Eligible legs may execute independently.</w:t>
            </w:r>
          </w:p>
        </w:tc>
      </w:tr>
      <w:tr>
        <w:tc>
          <w:tcPr>
            <w:tcW w:type="dxa" w:w="4819"/>
          </w:tcPr>
          <w:p>
            <w:pPr>
              <w:spacing w:after="20" w:before="20" w:line="240" w:lineRule="auto"/>
            </w:pPr>
            <w:r/>
            <w:r>
              <w:rPr>
                <w:rFonts w:ascii="Arial" w:hAnsi="Arial" w:cs="Arial"/>
                <w:b w:val="0"/>
                <w:i w:val="0"/>
                <w:sz w:val="17"/>
              </w:rPr>
              <w:t>SEQUENCED</w:t>
            </w:r>
          </w:p>
        </w:tc>
        <w:tc>
          <w:tcPr>
            <w:tcW w:type="dxa" w:w="4819"/>
          </w:tcPr>
          <w:p>
            <w:pPr>
              <w:spacing w:after="20" w:before="20" w:line="240" w:lineRule="auto"/>
            </w:pPr>
            <w:r/>
            <w:r>
              <w:rPr>
                <w:rFonts w:ascii="Arial" w:hAnsi="Arial" w:cs="Arial"/>
                <w:b w:val="0"/>
                <w:i w:val="0"/>
                <w:sz w:val="17"/>
              </w:rPr>
              <w:t>A subsequent leg depends on an earlier leg.</w:t>
            </w:r>
          </w:p>
        </w:tc>
      </w:tr>
      <w:tr>
        <w:tc>
          <w:tcPr>
            <w:tcW w:type="dxa" w:w="4819"/>
          </w:tcPr>
          <w:p>
            <w:pPr>
              <w:spacing w:after="20" w:before="20" w:line="240" w:lineRule="auto"/>
            </w:pPr>
            <w:r/>
            <w:r>
              <w:rPr>
                <w:rFonts w:ascii="Arial" w:hAnsi="Arial" w:cs="Arial"/>
                <w:b w:val="0"/>
                <w:i w:val="0"/>
                <w:sz w:val="17"/>
              </w:rPr>
              <w:t>CONDITIONAL</w:t>
            </w:r>
          </w:p>
        </w:tc>
        <w:tc>
          <w:tcPr>
            <w:tcW w:type="dxa" w:w="4819"/>
          </w:tcPr>
          <w:p>
            <w:pPr>
              <w:spacing w:after="20" w:before="20" w:line="240" w:lineRule="auto"/>
            </w:pPr>
            <w:r/>
            <w:r>
              <w:rPr>
                <w:rFonts w:ascii="Arial" w:hAnsi="Arial" w:cs="Arial"/>
                <w:b w:val="0"/>
                <w:i w:val="0"/>
                <w:sz w:val="17"/>
              </w:rPr>
              <w:t>Execution depends on defined milestones/evidence/conditions.</w:t>
            </w:r>
          </w:p>
        </w:tc>
      </w:tr>
      <w:tr>
        <w:tc>
          <w:tcPr>
            <w:tcW w:type="dxa" w:w="4819"/>
          </w:tcPr>
          <w:p>
            <w:pPr>
              <w:spacing w:after="20" w:before="20" w:line="240" w:lineRule="auto"/>
            </w:pPr>
            <w:r/>
            <w:r>
              <w:rPr>
                <w:rFonts w:ascii="Arial" w:hAnsi="Arial" w:cs="Arial"/>
                <w:b w:val="0"/>
                <w:i w:val="0"/>
                <w:sz w:val="17"/>
              </w:rPr>
              <w:t>HUMAN_RELEASE</w:t>
            </w:r>
          </w:p>
        </w:tc>
        <w:tc>
          <w:tcPr>
            <w:tcW w:type="dxa" w:w="4819"/>
          </w:tcPr>
          <w:p>
            <w:pPr>
              <w:spacing w:after="20" w:before="20" w:line="240" w:lineRule="auto"/>
            </w:pPr>
            <w:r/>
            <w:r>
              <w:rPr>
                <w:rFonts w:ascii="Arial" w:hAnsi="Arial" w:cs="Arial"/>
                <w:b w:val="0"/>
                <w:i w:val="0"/>
                <w:sz w:val="17"/>
              </w:rPr>
              <w:t>One or more stages require authorized human/institutional release.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atomicity policy does not give SGTX power to force bank execution. It defines the transaction's permitted orchestration and recovery behavior.</w:t>
      </w:r>
    </w:p>
    <w:p>
      <w:pPr>
        <w:keepNext/>
        <w:spacing w:before="240" w:after="100"/>
        <w:outlineLvl w:val="1"/>
      </w:pPr>
      <w:r>
        <w:rPr>
          <w:rFonts w:ascii="Arial" w:hAnsi="Arial" w:cs="Arial"/>
          <w:b/>
          <w:i w:val="0"/>
          <w:color w:val="2E528F"/>
          <w:sz w:val="26"/>
        </w:rPr>
        <w:t>19.48 Payment Dependency Graph</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SELLER PAYMENT → DOCUMENT RELEASE → LOGISTICS PAYMENT → DELIVERY → FINAL PAYMENT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actual dependency structure is transaction-specific. The graph becomes part of the Obligation Graph and Settlement Orchestration model.</w:t>
      </w:r>
    </w:p>
    <w:p>
      <w:pPr>
        <w:keepNext/>
        <w:spacing w:before="240" w:after="100"/>
        <w:outlineLvl w:val="1"/>
      </w:pPr>
      <w:r>
        <w:rPr>
          <w:rFonts w:ascii="Arial" w:hAnsi="Arial" w:cs="Arial"/>
          <w:b/>
          <w:i w:val="0"/>
          <w:color w:val="2E528F"/>
          <w:sz w:val="26"/>
        </w:rPr>
        <w:t>19.49 Settlement Instruction Lifecycle</w:t>
      </w:r>
    </w:p>
    <w:p>
      <w:pPr>
        <w:spacing w:after="80" w:line="293" w:lineRule="auto"/>
        <w:jc w:val="left"/>
      </w:pPr>
      <w:r>
        <w:rPr>
          <w:rFonts w:ascii="Times New Roman" w:hAnsi="Times New Roman" w:cs="Times New Roman"/>
          <w:b w:val="0"/>
          <w:i w:val="0"/>
          <w:sz w:val="22"/>
        </w:rPr>
        <w:t>The settlement instruction is distinct from the overall trade lifecycle. Canonical lifecycle:</w:t>
      </w:r>
    </w:p>
    <w:p>
      <w:pPr>
        <w:spacing w:after="0" w:before="0" w:line="240" w:lineRule="auto"/>
        <w:ind w:left="57"/>
        <w:jc w:val="left"/>
        <w:shd w:val="clear" w:fill="F2F2F2"/>
      </w:pPr>
      <w:r>
        <w:rPr>
          <w:rFonts w:ascii="Consolas" w:hAnsi="Consolas" w:cs="Consolas"/>
          <w:b w:val="0"/>
          <w:i w:val="0"/>
          <w:sz w:val="15"/>
        </w:rPr>
        <w:t>DRAFT → VALIDATED → AUTHORIZED → SIGNED → SUBMITTED_TO_BANK → BANK_ACCEPTED →</w:t>
      </w:r>
    </w:p>
    <w:p>
      <w:pPr>
        <w:spacing w:after="0" w:before="0" w:line="240" w:lineRule="auto"/>
        <w:ind w:left="57"/>
        <w:jc w:val="left"/>
        <w:shd w:val="clear" w:fill="F2F2F2"/>
      </w:pPr>
      <w:r>
        <w:rPr>
          <w:rFonts w:ascii="Consolas" w:hAnsi="Consolas" w:cs="Consolas"/>
          <w:b w:val="0"/>
          <w:i w:val="0"/>
          <w:sz w:val="15"/>
        </w:rPr>
        <w:t>PROCESSING → PARTIALLY_EXECUTED → FULLY_EXECUTED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Controlled side paths: REJECTED, EXPIRED, CANCEL_REQUESTED, RETURNED, RECALLED, DISPUTED, RECONCILIATION_REQUIRED, UNKNOWN.</w:t>
      </w:r>
    </w:p>
    <w:p>
      <w:pPr>
        <w:spacing w:after="80" w:line="293" w:lineRule="auto"/>
        <w:jc w:val="left"/>
      </w:pPr>
      <w:r>
        <w:rPr>
          <w:rFonts w:ascii="Times New Roman" w:hAnsi="Times New Roman" w:cs="Times New Roman"/>
          <w:b w:val="0"/>
          <w:i w:val="0"/>
          <w:sz w:val="22"/>
        </w:rPr>
        <w:t>The operational settlement-status labels used in the settlement workflow (Instruction Created, Instruction Submitted, Payment Processing, Payment Confirmed, Payment Reconciled, Payment Final — see Section 13) are the workflow-facing projection of this canonical lifecycle.</w:t>
      </w:r>
    </w:p>
    <w:p>
      <w:pPr>
        <w:keepNext/>
        <w:spacing w:before="240" w:after="100"/>
        <w:outlineLvl w:val="1"/>
      </w:pPr>
      <w:r>
        <w:rPr>
          <w:rFonts w:ascii="Arial" w:hAnsi="Arial" w:cs="Arial"/>
          <w:b/>
          <w:i w:val="0"/>
          <w:color w:val="2E528F"/>
          <w:sz w:val="26"/>
        </w:rPr>
        <w:t>19.50 Settlement Instruction Versioning</w:t>
      </w:r>
    </w:p>
    <w:p>
      <w:pPr>
        <w:spacing w:after="80" w:line="293" w:lineRule="auto"/>
        <w:jc w:val="left"/>
      </w:pPr>
      <w:r>
        <w:rPr>
          <w:rFonts w:ascii="Times New Roman" w:hAnsi="Times New Roman" w:cs="Times New Roman"/>
          <w:b w:val="0"/>
          <w:i w:val="0"/>
          <w:sz w:val="22"/>
        </w:rPr>
        <w:t>Instructions are immutable versions. Example: SI-001 v1 → SUPERSEDED → SI-001 v2.</w:t>
      </w:r>
    </w:p>
    <w:p>
      <w:pPr>
        <w:spacing w:after="80" w:line="293" w:lineRule="auto"/>
        <w:jc w:val="left"/>
      </w:pPr>
      <w:r>
        <w:rPr>
          <w:rFonts w:ascii="Times New Roman" w:hAnsi="Times New Roman" w:cs="Times New Roman"/>
          <w:b w:val="0"/>
          <w:i w:val="0"/>
          <w:sz w:val="22"/>
        </w:rPr>
        <w:t>No prior instruction version is deleted. Supersession is a new event.</w:t>
      </w:r>
    </w:p>
    <w:p>
      <w:pPr>
        <w:keepNext/>
        <w:spacing w:before="240" w:after="100"/>
        <w:outlineLvl w:val="1"/>
      </w:pPr>
      <w:r>
        <w:rPr>
          <w:rFonts w:ascii="Arial" w:hAnsi="Arial" w:cs="Arial"/>
          <w:b/>
          <w:i w:val="0"/>
          <w:color w:val="2E528F"/>
          <w:sz w:val="26"/>
        </w:rPr>
        <w:t>19.51 Payment Instruction Expiration</w:t>
      </w:r>
    </w:p>
    <w:p>
      <w:pPr>
        <w:spacing w:after="80" w:line="293" w:lineRule="auto"/>
        <w:jc w:val="left"/>
      </w:pPr>
      <w:r>
        <w:rPr>
          <w:rFonts w:ascii="Times New Roman" w:hAnsi="Times New Roman" w:cs="Times New Roman"/>
          <w:b w:val="0"/>
          <w:i w:val="0"/>
          <w:sz w:val="22"/>
        </w:rPr>
        <w:t>Each instruction may contain:</w:t>
      </w:r>
    </w:p>
    <w:p>
      <w:pPr>
        <w:spacing w:after="80" w:line="293" w:lineRule="auto"/>
        <w:ind w:left="283"/>
        <w:jc w:val="left"/>
      </w:pPr>
      <w:r>
        <w:rPr>
          <w:rFonts w:ascii="Times New Roman" w:hAnsi="Times New Roman" w:cs="Times New Roman"/>
          <w:b w:val="0"/>
          <w:i w:val="0"/>
          <w:sz w:val="22"/>
        </w:rPr>
        <w:t>- issue time;</w:t>
      </w:r>
    </w:p>
    <w:p>
      <w:pPr>
        <w:spacing w:after="80" w:line="293" w:lineRule="auto"/>
        <w:ind w:left="283"/>
        <w:jc w:val="left"/>
      </w:pPr>
      <w:r>
        <w:rPr>
          <w:rFonts w:ascii="Times New Roman" w:hAnsi="Times New Roman" w:cs="Times New Roman"/>
          <w:b w:val="0"/>
          <w:i w:val="0"/>
          <w:sz w:val="22"/>
        </w:rPr>
        <w:t>- valid-from;</w:t>
      </w:r>
    </w:p>
    <w:p>
      <w:pPr>
        <w:spacing w:after="80" w:line="293" w:lineRule="auto"/>
        <w:ind w:left="283"/>
        <w:jc w:val="left"/>
      </w:pPr>
      <w:r>
        <w:rPr>
          <w:rFonts w:ascii="Times New Roman" w:hAnsi="Times New Roman" w:cs="Times New Roman"/>
          <w:b w:val="0"/>
          <w:i w:val="0"/>
          <w:sz w:val="22"/>
        </w:rPr>
        <w:t>- expiration;</w:t>
      </w:r>
    </w:p>
    <w:p>
      <w:pPr>
        <w:spacing w:after="80" w:line="293" w:lineRule="auto"/>
        <w:ind w:left="283"/>
        <w:jc w:val="left"/>
      </w:pPr>
      <w:r>
        <w:rPr>
          <w:rFonts w:ascii="Times New Roman" w:hAnsi="Times New Roman" w:cs="Times New Roman"/>
          <w:b w:val="0"/>
          <w:i w:val="0"/>
          <w:sz w:val="22"/>
        </w:rPr>
        <w:t>- requested execution date;</w:t>
      </w:r>
    </w:p>
    <w:p>
      <w:pPr>
        <w:spacing w:after="80" w:line="293" w:lineRule="auto"/>
        <w:ind w:left="283"/>
        <w:jc w:val="left"/>
      </w:pPr>
      <w:r>
        <w:rPr>
          <w:rFonts w:ascii="Times New Roman" w:hAnsi="Times New Roman" w:cs="Times New Roman"/>
          <w:b w:val="0"/>
          <w:i w:val="0"/>
          <w:sz w:val="22"/>
        </w:rPr>
        <w:t>- value date;</w:t>
      </w:r>
    </w:p>
    <w:p>
      <w:pPr>
        <w:spacing w:after="80" w:line="293" w:lineRule="auto"/>
        <w:ind w:left="283"/>
        <w:jc w:val="left"/>
      </w:pPr>
      <w:r>
        <w:rPr>
          <w:rFonts w:ascii="Times New Roman" w:hAnsi="Times New Roman" w:cs="Times New Roman"/>
          <w:b w:val="0"/>
          <w:i w:val="0"/>
          <w:sz w:val="22"/>
        </w:rPr>
        <w:t>- cancellation rules;</w:t>
      </w:r>
    </w:p>
    <w:p>
      <w:pPr>
        <w:spacing w:after="80" w:line="293" w:lineRule="auto"/>
        <w:ind w:left="283"/>
        <w:jc w:val="left"/>
      </w:pPr>
      <w:r>
        <w:rPr>
          <w:rFonts w:ascii="Times New Roman" w:hAnsi="Times New Roman" w:cs="Times New Roman"/>
          <w:b w:val="0"/>
          <w:i w:val="0"/>
          <w:sz w:val="22"/>
        </w:rPr>
        <w:t>- authorization validity.</w:t>
      </w:r>
    </w:p>
    <w:p>
      <w:pPr>
        <w:spacing w:after="80" w:line="293" w:lineRule="auto"/>
        <w:jc w:val="left"/>
      </w:pPr>
      <w:r>
        <w:rPr>
          <w:rFonts w:ascii="Times New Roman" w:hAnsi="Times New Roman" w:cs="Times New Roman"/>
          <w:b w:val="0"/>
          <w:i w:val="0"/>
          <w:sz w:val="22"/>
        </w:rPr>
        <w:t>Expired instructions must not silently execute.</w:t>
      </w:r>
    </w:p>
    <w:p>
      <w:pPr>
        <w:keepNext/>
        <w:spacing w:before="240" w:after="100"/>
        <w:outlineLvl w:val="1"/>
      </w:pPr>
      <w:r>
        <w:rPr>
          <w:rFonts w:ascii="Arial" w:hAnsi="Arial" w:cs="Arial"/>
          <w:b/>
          <w:i w:val="0"/>
          <w:color w:val="2E528F"/>
          <w:sz w:val="26"/>
        </w:rPr>
        <w:t>19.52 Funds Sufficiency Snapshot</w:t>
      </w:r>
    </w:p>
    <w:p>
      <w:pPr>
        <w:spacing w:after="80" w:line="293" w:lineRule="auto"/>
        <w:jc w:val="left"/>
      </w:pPr>
      <w:r>
        <w:rPr>
          <w:rFonts w:ascii="Times New Roman" w:hAnsi="Times New Roman" w:cs="Times New Roman"/>
          <w:b w:val="0"/>
          <w:i w:val="0"/>
          <w:sz w:val="22"/>
        </w:rPr>
        <w:t>Where supported, SGTX may request a bank-side funds/availability assessment. Possible bank response:</w:t>
      </w:r>
    </w:p>
    <w:p>
      <w:pPr>
        <w:spacing w:after="80" w:line="293" w:lineRule="auto"/>
        <w:ind w:left="283"/>
        <w:jc w:val="left"/>
      </w:pPr>
      <w:r>
        <w:rPr>
          <w:rFonts w:ascii="Times New Roman" w:hAnsi="Times New Roman" w:cs="Times New Roman"/>
          <w:b w:val="0"/>
          <w:i w:val="0"/>
          <w:sz w:val="22"/>
        </w:rPr>
        <w:t>- SUFFICIENT</w:t>
      </w:r>
    </w:p>
    <w:p>
      <w:pPr>
        <w:spacing w:after="80" w:line="293" w:lineRule="auto"/>
        <w:ind w:left="283"/>
        <w:jc w:val="left"/>
      </w:pPr>
      <w:r>
        <w:rPr>
          <w:rFonts w:ascii="Times New Roman" w:hAnsi="Times New Roman" w:cs="Times New Roman"/>
          <w:b w:val="0"/>
          <w:i w:val="0"/>
          <w:sz w:val="22"/>
        </w:rPr>
        <w:t>- INSUFFICIENT</w:t>
      </w:r>
    </w:p>
    <w:p>
      <w:pPr>
        <w:spacing w:after="80" w:line="293" w:lineRule="auto"/>
        <w:ind w:left="283"/>
        <w:jc w:val="left"/>
      </w:pPr>
      <w:r>
        <w:rPr>
          <w:rFonts w:ascii="Times New Roman" w:hAnsi="Times New Roman" w:cs="Times New Roman"/>
          <w:b w:val="0"/>
          <w:i w:val="0"/>
          <w:sz w:val="22"/>
        </w:rPr>
        <w:t>- RESERVED</w:t>
      </w:r>
    </w:p>
    <w:p>
      <w:pPr>
        <w:spacing w:after="80" w:line="293" w:lineRule="auto"/>
        <w:ind w:left="283"/>
        <w:jc w:val="left"/>
      </w:pPr>
      <w:r>
        <w:rPr>
          <w:rFonts w:ascii="Times New Roman" w:hAnsi="Times New Roman" w:cs="Times New Roman"/>
          <w:b w:val="0"/>
          <w:i w:val="0"/>
          <w:sz w:val="22"/>
        </w:rPr>
        <w:t>- UNKNOWN</w:t>
      </w:r>
    </w:p>
    <w:p>
      <w:pPr>
        <w:spacing w:after="80" w:line="293" w:lineRule="auto"/>
        <w:jc w:val="left"/>
      </w:pPr>
      <w:r>
        <w:rPr>
          <w:rFonts w:ascii="Times New Roman" w:hAnsi="Times New Roman" w:cs="Times New Roman"/>
          <w:b w:val="0"/>
          <w:i w:val="0"/>
          <w:sz w:val="22"/>
        </w:rPr>
        <w:t>SGTX must not independently represent bank account balances as authoritative. The bank remains authoritative.</w:t>
      </w:r>
    </w:p>
    <w:p>
      <w:pPr>
        <w:keepNext/>
        <w:spacing w:before="240" w:after="100"/>
        <w:outlineLvl w:val="1"/>
      </w:pPr>
      <w:r>
        <w:rPr>
          <w:rFonts w:ascii="Arial" w:hAnsi="Arial" w:cs="Arial"/>
          <w:b/>
          <w:i w:val="0"/>
          <w:color w:val="2E528F"/>
          <w:sz w:val="26"/>
        </w:rPr>
        <w:t>19.53 Payment Leg Certificate</w:t>
      </w:r>
    </w:p>
    <w:p>
      <w:pPr>
        <w:spacing w:after="80" w:line="293" w:lineRule="auto"/>
        <w:jc w:val="left"/>
      </w:pPr>
      <w:r>
        <w:rPr>
          <w:rFonts w:ascii="Times New Roman" w:hAnsi="Times New Roman" w:cs="Times New Roman"/>
          <w:b w:val="0"/>
          <w:i w:val="0"/>
          <w:sz w:val="22"/>
        </w:rPr>
        <w:t>Each completed financial leg is capable of producing a certificate containing:</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Settlement Instruction ID</w:t>
      </w:r>
    </w:p>
    <w:p>
      <w:pPr>
        <w:spacing w:after="80" w:line="293" w:lineRule="auto"/>
        <w:ind w:left="283"/>
        <w:jc w:val="left"/>
      </w:pPr>
      <w:r>
        <w:rPr>
          <w:rFonts w:ascii="Times New Roman" w:hAnsi="Times New Roman" w:cs="Times New Roman"/>
          <w:b w:val="0"/>
          <w:i w:val="0"/>
          <w:sz w:val="22"/>
        </w:rPr>
        <w:t>- Settlement Leg ID</w:t>
      </w:r>
    </w:p>
    <w:p>
      <w:pPr>
        <w:spacing w:after="80" w:line="293" w:lineRule="auto"/>
        <w:ind w:left="283"/>
        <w:jc w:val="left"/>
      </w:pPr>
      <w:r>
        <w:rPr>
          <w:rFonts w:ascii="Times New Roman" w:hAnsi="Times New Roman" w:cs="Times New Roman"/>
          <w:b w:val="0"/>
          <w:i w:val="0"/>
          <w:sz w:val="22"/>
        </w:rPr>
        <w:t>- Bank Transaction Reference</w:t>
      </w:r>
    </w:p>
    <w:p>
      <w:pPr>
        <w:spacing w:after="80" w:line="293" w:lineRule="auto"/>
        <w:ind w:left="283"/>
        <w:jc w:val="left"/>
      </w:pPr>
      <w:r>
        <w:rPr>
          <w:rFonts w:ascii="Times New Roman" w:hAnsi="Times New Roman" w:cs="Times New Roman"/>
          <w:b w:val="0"/>
          <w:i w:val="0"/>
          <w:sz w:val="22"/>
        </w:rPr>
        <w:t>- Amount</w:t>
      </w:r>
    </w:p>
    <w:p>
      <w:pPr>
        <w:spacing w:after="80" w:line="293" w:lineRule="auto"/>
        <w:ind w:left="283"/>
        <w:jc w:val="left"/>
      </w:pPr>
      <w:r>
        <w:rPr>
          <w:rFonts w:ascii="Times New Roman" w:hAnsi="Times New Roman" w:cs="Times New Roman"/>
          <w:b w:val="0"/>
          <w:i w:val="0"/>
          <w:sz w:val="22"/>
        </w:rPr>
        <w:t>- Currency</w:t>
      </w:r>
    </w:p>
    <w:p>
      <w:pPr>
        <w:spacing w:after="80" w:line="293" w:lineRule="auto"/>
        <w:ind w:left="283"/>
        <w:jc w:val="left"/>
      </w:pPr>
      <w:r>
        <w:rPr>
          <w:rFonts w:ascii="Times New Roman" w:hAnsi="Times New Roman" w:cs="Times New Roman"/>
          <w:b w:val="0"/>
          <w:i w:val="0"/>
          <w:sz w:val="22"/>
        </w:rPr>
        <w:t>- Beneficiary</w:t>
      </w:r>
    </w:p>
    <w:p>
      <w:pPr>
        <w:spacing w:after="80" w:line="293" w:lineRule="auto"/>
        <w:ind w:left="283"/>
        <w:jc w:val="left"/>
      </w:pPr>
      <w:r>
        <w:rPr>
          <w:rFonts w:ascii="Times New Roman" w:hAnsi="Times New Roman" w:cs="Times New Roman"/>
          <w:b w:val="0"/>
          <w:i w:val="0"/>
          <w:sz w:val="22"/>
        </w:rPr>
        <w:t>- Bank Status</w:t>
      </w:r>
    </w:p>
    <w:p>
      <w:pPr>
        <w:spacing w:after="80" w:line="293" w:lineRule="auto"/>
        <w:ind w:left="283"/>
        <w:jc w:val="left"/>
      </w:pPr>
      <w:r>
        <w:rPr>
          <w:rFonts w:ascii="Times New Roman" w:hAnsi="Times New Roman" w:cs="Times New Roman"/>
          <w:b w:val="0"/>
          <w:i w:val="0"/>
          <w:sz w:val="22"/>
        </w:rPr>
        <w:t>- Value Date</w:t>
      </w:r>
    </w:p>
    <w:p>
      <w:pPr>
        <w:spacing w:after="80" w:line="293" w:lineRule="auto"/>
        <w:ind w:left="283"/>
        <w:jc w:val="left"/>
      </w:pPr>
      <w:r>
        <w:rPr>
          <w:rFonts w:ascii="Times New Roman" w:hAnsi="Times New Roman" w:cs="Times New Roman"/>
          <w:b w:val="0"/>
          <w:i w:val="0"/>
          <w:sz w:val="22"/>
        </w:rPr>
        <w:t>- Execution Timestamp</w:t>
      </w:r>
    </w:p>
    <w:p>
      <w:pPr>
        <w:spacing w:after="80" w:line="293" w:lineRule="auto"/>
        <w:ind w:left="283"/>
        <w:jc w:val="left"/>
      </w:pPr>
      <w:r>
        <w:rPr>
          <w:rFonts w:ascii="Times New Roman" w:hAnsi="Times New Roman" w:cs="Times New Roman"/>
          <w:b w:val="0"/>
          <w:i w:val="0"/>
          <w:sz w:val="22"/>
        </w:rPr>
        <w:t>- Return Code, if applicable</w:t>
      </w:r>
    </w:p>
    <w:p>
      <w:pPr>
        <w:spacing w:after="80" w:line="293" w:lineRule="auto"/>
        <w:ind w:left="283"/>
        <w:jc w:val="left"/>
      </w:pPr>
      <w:r>
        <w:rPr>
          <w:rFonts w:ascii="Times New Roman" w:hAnsi="Times New Roman" w:cs="Times New Roman"/>
          <w:b w:val="0"/>
          <w:i w:val="0"/>
          <w:sz w:val="22"/>
        </w:rPr>
        <w:t>- Bank Evidence Reference</w:t>
      </w:r>
    </w:p>
    <w:p>
      <w:pPr>
        <w:spacing w:after="80" w:line="293" w:lineRule="auto"/>
        <w:ind w:left="283"/>
        <w:jc w:val="left"/>
      </w:pPr>
      <w:r>
        <w:rPr>
          <w:rFonts w:ascii="Times New Roman" w:hAnsi="Times New Roman" w:cs="Times New Roman"/>
          <w:b w:val="0"/>
          <w:i w:val="0"/>
          <w:sz w:val="22"/>
        </w:rPr>
        <w:t>- SGTX Event Hash</w:t>
      </w:r>
    </w:p>
    <w:p>
      <w:pPr>
        <w:spacing w:after="80" w:line="293" w:lineRule="auto"/>
        <w:ind w:left="283"/>
        <w:jc w:val="left"/>
      </w:pPr>
      <w:r>
        <w:rPr>
          <w:rFonts w:ascii="Times New Roman" w:hAnsi="Times New Roman" w:cs="Times New Roman"/>
          <w:b w:val="0"/>
          <w:i w:val="0"/>
          <w:sz w:val="22"/>
        </w:rPr>
        <w:t>- Policy Version</w:t>
      </w:r>
    </w:p>
    <w:p>
      <w:pPr>
        <w:spacing w:after="80" w:line="293" w:lineRule="auto"/>
        <w:ind w:left="283"/>
        <w:jc w:val="left"/>
      </w:pPr>
      <w:r>
        <w:rPr>
          <w:rFonts w:ascii="Times New Roman" w:hAnsi="Times New Roman" w:cs="Times New Roman"/>
          <w:b w:val="0"/>
          <w:i w:val="0"/>
          <w:sz w:val="22"/>
        </w:rPr>
        <w:t>- Reconciliation Status</w:t>
      </w:r>
    </w:p>
    <w:p>
      <w:pPr>
        <w:spacing w:after="80" w:line="293" w:lineRule="auto"/>
        <w:jc w:val="left"/>
      </w:pPr>
      <w:r>
        <w:rPr>
          <w:rFonts w:ascii="Times New Roman" w:hAnsi="Times New Roman" w:cs="Times New Roman"/>
          <w:b w:val="0"/>
          <w:i w:val="0"/>
          <w:sz w:val="22"/>
        </w:rPr>
        <w:t>This becomes an input to the Reconciliation Control Plane.</w:t>
      </w:r>
    </w:p>
    <w:p>
      <w:pPr>
        <w:keepNext/>
        <w:spacing w:before="240" w:after="100"/>
        <w:outlineLvl w:val="1"/>
      </w:pPr>
      <w:r>
        <w:rPr>
          <w:rFonts w:ascii="Arial" w:hAnsi="Arial" w:cs="Arial"/>
          <w:b/>
          <w:i w:val="0"/>
          <w:color w:val="2E528F"/>
          <w:sz w:val="26"/>
        </w:rPr>
        <w:t>19.54 Multi-Party Settlement Reconciliation</w:t>
      </w:r>
    </w:p>
    <w:p>
      <w:pPr>
        <w:spacing w:after="80" w:line="293" w:lineRule="auto"/>
        <w:jc w:val="left"/>
      </w:pPr>
      <w:r>
        <w:rPr>
          <w:rFonts w:ascii="Times New Roman" w:hAnsi="Times New Roman" w:cs="Times New Roman"/>
          <w:b w:val="0"/>
          <w:i w:val="0"/>
          <w:sz w:val="22"/>
        </w:rPr>
        <w:t>SGTX supports the four reconciliation levels specified in Section 13.6.3 — Leg Reconciliation (instruction leg vs bank transaction vs beneficiary evidence), Parent Settlement Reconciliation (all legs vs total contractual obligation), Commercial Reconciliation (contract vs invoices vs payment legs), and Financial Reconciliation (bank confirmations vs SGTX financial state).</w:t>
      </w:r>
    </w:p>
    <w:p>
      <w:pPr>
        <w:keepNext/>
        <w:spacing w:before="240" w:after="100"/>
        <w:outlineLvl w:val="1"/>
      </w:pPr>
      <w:r>
        <w:rPr>
          <w:rFonts w:ascii="Arial" w:hAnsi="Arial" w:cs="Arial"/>
          <w:b/>
          <w:i w:val="0"/>
          <w:color w:val="2E528F"/>
          <w:sz w:val="26"/>
        </w:rPr>
        <w:t>19.55 Settlement Completion Matrix</w:t>
      </w:r>
    </w:p>
    <w:p>
      <w:pPr>
        <w:spacing w:after="80" w:line="293" w:lineRule="auto"/>
        <w:jc w:val="left"/>
      </w:pPr>
      <w:r>
        <w:rPr>
          <w:rFonts w:ascii="Times New Roman" w:hAnsi="Times New Roman" w:cs="Times New Roman"/>
          <w:b w:val="0"/>
          <w:i w:val="0"/>
          <w:sz w:val="22"/>
        </w:rPr>
        <w:t>The leg-level settlement completion matrix — Required, Bank, SGTX, Evidence, and Reconciliation per leg, with the parent transaction reaching PARTIALLY_SETTLED, EXCEPTION_OPEN, RECONCILIATION_OPEN while legs remain open — is specified with its worked example in Section 13.6.3.</w:t>
      </w:r>
    </w:p>
    <w:p>
      <w:pPr>
        <w:keepNext/>
        <w:spacing w:before="240" w:after="100"/>
        <w:outlineLvl w:val="1"/>
      </w:pPr>
      <w:r>
        <w:rPr>
          <w:rFonts w:ascii="Arial" w:hAnsi="Arial" w:cs="Arial"/>
          <w:b/>
          <w:i w:val="0"/>
          <w:color w:val="2E528F"/>
          <w:sz w:val="26"/>
        </w:rPr>
        <w:t>19.56 Bank Reference Mapping</w:t>
      </w:r>
    </w:p>
    <w:p>
      <w:pPr>
        <w:spacing w:after="80" w:line="293" w:lineRule="auto"/>
        <w:jc w:val="left"/>
      </w:pPr>
      <w:r>
        <w:rPr>
          <w:rFonts w:ascii="Times New Roman" w:hAnsi="Times New Roman" w:cs="Times New Roman"/>
          <w:b w:val="0"/>
          <w:i w:val="0"/>
          <w:sz w:val="22"/>
        </w:rPr>
        <w:t>Bank systems may use their own identifiers. SGTX maintains:</w:t>
      </w:r>
    </w:p>
    <w:p>
      <w:pPr>
        <w:spacing w:after="0" w:before="0" w:line="240" w:lineRule="auto"/>
        <w:ind w:left="57"/>
        <w:jc w:val="left"/>
        <w:shd w:val="clear" w:fill="F2F2F2"/>
      </w:pPr>
      <w:r>
        <w:rPr>
          <w:rFonts w:ascii="Consolas" w:hAnsi="Consolas" w:cs="Consolas"/>
          <w:b w:val="0"/>
          <w:i w:val="0"/>
          <w:sz w:val="15"/>
        </w:rPr>
        <w:t>USTN → SGTX Settlement Instruction ID → Settlement Leg ID → Bank Instruction ID →</w:t>
      </w:r>
    </w:p>
    <w:p>
      <w:pPr>
        <w:spacing w:after="0" w:before="0" w:line="240" w:lineRule="auto"/>
        <w:ind w:left="57"/>
        <w:jc w:val="left"/>
        <w:shd w:val="clear" w:fill="F2F2F2"/>
      </w:pPr>
      <w:r>
        <w:rPr>
          <w:rFonts w:ascii="Consolas" w:hAnsi="Consolas" w:cs="Consolas"/>
          <w:b w:val="0"/>
          <w:i w:val="0"/>
          <w:sz w:val="15"/>
        </w:rPr>
        <w:t>Bank Transaction Reference → External Payment Reference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ensures resilient cross-system correlation even if external systems transform, truncate or replace references.</w:t>
      </w:r>
    </w:p>
    <w:p>
      <w:pPr>
        <w:keepNext/>
        <w:spacing w:before="240" w:after="100"/>
        <w:outlineLvl w:val="1"/>
      </w:pPr>
      <w:r>
        <w:rPr>
          <w:rFonts w:ascii="Arial" w:hAnsi="Arial" w:cs="Arial"/>
          <w:b/>
          <w:i w:val="0"/>
          <w:color w:val="2E528F"/>
          <w:sz w:val="26"/>
        </w:rPr>
        <w:t>19.57 External Identifier Registry</w:t>
      </w:r>
    </w:p>
    <w:p>
      <w:pPr>
        <w:spacing w:after="80" w:line="293" w:lineRule="auto"/>
        <w:jc w:val="left"/>
      </w:pPr>
      <w:r>
        <w:rPr>
          <w:rFonts w:ascii="Times New Roman" w:hAnsi="Times New Roman" w:cs="Times New Roman"/>
          <w:b w:val="0"/>
          <w:i w:val="0"/>
          <w:sz w:val="22"/>
        </w:rPr>
        <w:t>USTN is not the replacement for external identifiers. SGTX maintains an External Identifier Registry. Each identifier supports:</w:t>
      </w:r>
    </w:p>
    <w:p>
      <w:pPr>
        <w:spacing w:after="80" w:line="293" w:lineRule="auto"/>
        <w:ind w:left="283"/>
        <w:jc w:val="left"/>
      </w:pPr>
      <w:r>
        <w:rPr>
          <w:rFonts w:ascii="Times New Roman" w:hAnsi="Times New Roman" w:cs="Times New Roman"/>
          <w:b w:val="0"/>
          <w:i w:val="0"/>
          <w:sz w:val="22"/>
        </w:rPr>
        <w:t>- Identifier Type</w:t>
      </w:r>
    </w:p>
    <w:p>
      <w:pPr>
        <w:spacing w:after="80" w:line="293" w:lineRule="auto"/>
        <w:ind w:left="283"/>
        <w:jc w:val="left"/>
      </w:pPr>
      <w:r>
        <w:rPr>
          <w:rFonts w:ascii="Times New Roman" w:hAnsi="Times New Roman" w:cs="Times New Roman"/>
          <w:b w:val="0"/>
          <w:i w:val="0"/>
          <w:sz w:val="22"/>
        </w:rPr>
        <w:t>- Identifier Value</w:t>
      </w:r>
    </w:p>
    <w:p>
      <w:pPr>
        <w:spacing w:after="80" w:line="293" w:lineRule="auto"/>
        <w:ind w:left="283"/>
        <w:jc w:val="left"/>
      </w:pPr>
      <w:r>
        <w:rPr>
          <w:rFonts w:ascii="Times New Roman" w:hAnsi="Times New Roman" w:cs="Times New Roman"/>
          <w:b w:val="0"/>
          <w:i w:val="0"/>
          <w:sz w:val="22"/>
        </w:rPr>
        <w:t>- Issuing Authority</w:t>
      </w:r>
    </w:p>
    <w:p>
      <w:pPr>
        <w:spacing w:after="80" w:line="293" w:lineRule="auto"/>
        <w:ind w:left="283"/>
        <w:jc w:val="left"/>
      </w:pPr>
      <w:r>
        <w:rPr>
          <w:rFonts w:ascii="Times New Roman" w:hAnsi="Times New Roman" w:cs="Times New Roman"/>
          <w:b w:val="0"/>
          <w:i w:val="0"/>
          <w:sz w:val="22"/>
        </w:rPr>
        <w:t>- Issuer System</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Related Entity</w:t>
      </w:r>
    </w:p>
    <w:p>
      <w:pPr>
        <w:spacing w:after="80" w:line="293" w:lineRule="auto"/>
        <w:ind w:left="283"/>
        <w:jc w:val="left"/>
      </w:pPr>
      <w:r>
        <w:rPr>
          <w:rFonts w:ascii="Times New Roman" w:hAnsi="Times New Roman" w:cs="Times New Roman"/>
          <w:b w:val="0"/>
          <w:i w:val="0"/>
          <w:sz w:val="22"/>
        </w:rPr>
        <w:t>- Related Event</w:t>
      </w:r>
    </w:p>
    <w:p>
      <w:pPr>
        <w:spacing w:after="80" w:line="293" w:lineRule="auto"/>
        <w:ind w:left="283"/>
        <w:jc w:val="left"/>
      </w:pPr>
      <w:r>
        <w:rPr>
          <w:rFonts w:ascii="Times New Roman" w:hAnsi="Times New Roman" w:cs="Times New Roman"/>
          <w:b w:val="0"/>
          <w:i w:val="0"/>
          <w:sz w:val="22"/>
        </w:rPr>
        <w:t>- Validity</w:t>
      </w:r>
    </w:p>
    <w:p>
      <w:pPr>
        <w:spacing w:after="80" w:line="293" w:lineRule="auto"/>
        <w:ind w:left="283"/>
        <w:jc w:val="left"/>
      </w:pPr>
      <w:r>
        <w:rPr>
          <w:rFonts w:ascii="Times New Roman" w:hAnsi="Times New Roman" w:cs="Times New Roman"/>
          <w:b w:val="0"/>
          <w:i w:val="0"/>
          <w:sz w:val="22"/>
        </w:rPr>
        <w:t>- Lifecycle Status</w:t>
      </w:r>
    </w:p>
    <w:p>
      <w:pPr>
        <w:spacing w:after="80" w:line="293" w:lineRule="auto"/>
        <w:ind w:left="283"/>
        <w:jc w:val="left"/>
      </w:pPr>
      <w:r>
        <w:rPr>
          <w:rFonts w:ascii="Times New Roman" w:hAnsi="Times New Roman" w:cs="Times New Roman"/>
          <w:b w:val="0"/>
          <w:i w:val="0"/>
          <w:sz w:val="22"/>
        </w:rPr>
        <w:t>- Source</w:t>
      </w:r>
    </w:p>
    <w:p>
      <w:pPr>
        <w:spacing w:after="80" w:line="293" w:lineRule="auto"/>
        <w:ind w:left="283"/>
        <w:jc w:val="left"/>
      </w:pPr>
      <w:r>
        <w:rPr>
          <w:rFonts w:ascii="Times New Roman" w:hAnsi="Times New Roman" w:cs="Times New Roman"/>
          <w:b w:val="0"/>
          <w:i w:val="0"/>
          <w:sz w:val="22"/>
        </w:rPr>
        <w:t>- Evidence</w:t>
      </w:r>
    </w:p>
    <w:p>
      <w:pPr>
        <w:spacing w:after="80" w:line="293" w:lineRule="auto"/>
        <w:jc w:val="left"/>
      </w:pPr>
      <w:r>
        <w:rPr>
          <w:rFonts w:ascii="Times New Roman" w:hAnsi="Times New Roman" w:cs="Times New Roman"/>
          <w:b w:val="0"/>
          <w:i w:val="0"/>
          <w:sz w:val="22"/>
        </w:rPr>
        <w:t>Examples include:</w:t>
      </w:r>
    </w:p>
    <w:p>
      <w:pPr>
        <w:spacing w:after="80" w:line="293" w:lineRule="auto"/>
        <w:ind w:left="283"/>
        <w:jc w:val="left"/>
      </w:pPr>
      <w:r>
        <w:rPr>
          <w:rFonts w:ascii="Times New Roman" w:hAnsi="Times New Roman" w:cs="Times New Roman"/>
          <w:b w:val="0"/>
          <w:i w:val="0"/>
          <w:sz w:val="22"/>
        </w:rPr>
        <w:t>- bank reference;</w:t>
      </w:r>
    </w:p>
    <w:p>
      <w:pPr>
        <w:spacing w:after="80" w:line="293" w:lineRule="auto"/>
        <w:ind w:left="283"/>
        <w:jc w:val="left"/>
      </w:pPr>
      <w:r>
        <w:rPr>
          <w:rFonts w:ascii="Times New Roman" w:hAnsi="Times New Roman" w:cs="Times New Roman"/>
          <w:b w:val="0"/>
          <w:i w:val="0"/>
          <w:sz w:val="22"/>
        </w:rPr>
        <w:t>- Nafeza ACID (Advance Cargo Identification) where applicable;</w:t>
      </w:r>
    </w:p>
    <w:p>
      <w:pPr>
        <w:spacing w:after="80" w:line="293" w:lineRule="auto"/>
        <w:ind w:left="283"/>
        <w:jc w:val="left"/>
      </w:pPr>
      <w:r>
        <w:rPr>
          <w:rFonts w:ascii="Times New Roman" w:hAnsi="Times New Roman" w:cs="Times New Roman"/>
          <w:b w:val="0"/>
          <w:i w:val="0"/>
          <w:sz w:val="22"/>
        </w:rPr>
        <w:t>- Nafeza UCR (Unique Consignment Reference) where applicable;</w:t>
      </w:r>
    </w:p>
    <w:p>
      <w:pPr>
        <w:spacing w:after="80" w:line="293" w:lineRule="auto"/>
        <w:ind w:left="283"/>
        <w:jc w:val="left"/>
      </w:pPr>
      <w:r>
        <w:rPr>
          <w:rFonts w:ascii="Times New Roman" w:hAnsi="Times New Roman" w:cs="Times New Roman"/>
          <w:b w:val="0"/>
          <w:i w:val="0"/>
          <w:sz w:val="22"/>
        </w:rPr>
        <w:t>- CargoX reference;</w:t>
      </w:r>
    </w:p>
    <w:p>
      <w:pPr>
        <w:spacing w:after="80" w:line="293" w:lineRule="auto"/>
        <w:ind w:left="283"/>
        <w:jc w:val="left"/>
      </w:pPr>
      <w:r>
        <w:rPr>
          <w:rFonts w:ascii="Times New Roman" w:hAnsi="Times New Roman" w:cs="Times New Roman"/>
          <w:b w:val="0"/>
          <w:i w:val="0"/>
          <w:sz w:val="22"/>
        </w:rPr>
        <w:t>- customs reference;</w:t>
      </w:r>
    </w:p>
    <w:p>
      <w:pPr>
        <w:spacing w:after="80" w:line="293" w:lineRule="auto"/>
        <w:ind w:left="283"/>
        <w:jc w:val="left"/>
      </w:pPr>
      <w:r>
        <w:rPr>
          <w:rFonts w:ascii="Times New Roman" w:hAnsi="Times New Roman" w:cs="Times New Roman"/>
          <w:b w:val="0"/>
          <w:i w:val="0"/>
          <w:sz w:val="22"/>
        </w:rPr>
        <w:t>- ERP reference;</w:t>
      </w:r>
    </w:p>
    <w:p>
      <w:pPr>
        <w:spacing w:after="80" w:line="293" w:lineRule="auto"/>
        <w:ind w:left="283"/>
        <w:jc w:val="left"/>
      </w:pPr>
      <w:r>
        <w:rPr>
          <w:rFonts w:ascii="Times New Roman" w:hAnsi="Times New Roman" w:cs="Times New Roman"/>
          <w:b w:val="0"/>
          <w:i w:val="0"/>
          <w:sz w:val="22"/>
        </w:rPr>
        <w:t>- marketplace reference;</w:t>
      </w:r>
    </w:p>
    <w:p>
      <w:pPr>
        <w:spacing w:after="80" w:line="293" w:lineRule="auto"/>
        <w:ind w:left="283"/>
        <w:jc w:val="left"/>
      </w:pPr>
      <w:r>
        <w:rPr>
          <w:rFonts w:ascii="Times New Roman" w:hAnsi="Times New Roman" w:cs="Times New Roman"/>
          <w:b w:val="0"/>
          <w:i w:val="0"/>
          <w:sz w:val="22"/>
        </w:rPr>
        <w:t>- invoice number;</w:t>
      </w:r>
    </w:p>
    <w:p>
      <w:pPr>
        <w:spacing w:after="80" w:line="293" w:lineRule="auto"/>
        <w:ind w:left="283"/>
        <w:jc w:val="left"/>
      </w:pPr>
      <w:r>
        <w:rPr>
          <w:rFonts w:ascii="Times New Roman" w:hAnsi="Times New Roman" w:cs="Times New Roman"/>
          <w:b w:val="0"/>
          <w:i w:val="0"/>
          <w:sz w:val="22"/>
        </w:rPr>
        <w:t>- bill of lading number;</w:t>
      </w:r>
    </w:p>
    <w:p>
      <w:pPr>
        <w:spacing w:after="80" w:line="293" w:lineRule="auto"/>
        <w:ind w:left="283"/>
        <w:jc w:val="left"/>
      </w:pPr>
      <w:r>
        <w:rPr>
          <w:rFonts w:ascii="Times New Roman" w:hAnsi="Times New Roman" w:cs="Times New Roman"/>
          <w:b w:val="0"/>
          <w:i w:val="0"/>
          <w:sz w:val="22"/>
        </w:rPr>
        <w:t>- contract ID;</w:t>
      </w:r>
    </w:p>
    <w:p>
      <w:pPr>
        <w:spacing w:after="80" w:line="293" w:lineRule="auto"/>
        <w:ind w:left="283"/>
        <w:jc w:val="left"/>
      </w:pPr>
      <w:r>
        <w:rPr>
          <w:rFonts w:ascii="Times New Roman" w:hAnsi="Times New Roman" w:cs="Times New Roman"/>
          <w:b w:val="0"/>
          <w:i w:val="0"/>
          <w:sz w:val="22"/>
        </w:rPr>
        <w:t>- document ID.</w:t>
      </w:r>
    </w:p>
    <w:p>
      <w:pPr>
        <w:keepNext/>
        <w:spacing w:before="240" w:after="100"/>
        <w:outlineLvl w:val="1"/>
      </w:pPr>
      <w:r>
        <w:rPr>
          <w:rFonts w:ascii="Arial" w:hAnsi="Arial" w:cs="Arial"/>
          <w:b/>
          <w:i w:val="0"/>
          <w:color w:val="2E528F"/>
          <w:sz w:val="26"/>
        </w:rPr>
        <w:t>19.58 USTN — Universal State &amp; Transaction Namespace</w:t>
      </w:r>
    </w:p>
    <w:p>
      <w:pPr>
        <w:spacing w:after="80" w:line="293" w:lineRule="auto"/>
        <w:jc w:val="left"/>
      </w:pPr>
      <w:r>
        <w:rPr>
          <w:rFonts w:ascii="Times New Roman" w:hAnsi="Times New Roman" w:cs="Times New Roman"/>
          <w:b w:val="0"/>
          <w:i w:val="0"/>
          <w:sz w:val="22"/>
        </w:rPr>
        <w:t>USTN is the persistent cross-system namespace and correlation identity for a trade and its connected states, obligations, instructions, documents, logistics, regulatory references, financial events, evidence and recovery events.</w:t>
      </w:r>
    </w:p>
    <w:p>
      <w:pPr>
        <w:spacing w:after="80" w:line="293" w:lineRule="auto"/>
        <w:jc w:val="left"/>
      </w:pPr>
      <w:r>
        <w:rPr>
          <w:rFonts w:ascii="Times New Roman" w:hAnsi="Times New Roman" w:cs="Times New Roman"/>
          <w:b w:val="0"/>
          <w:i w:val="0"/>
          <w:sz w:val="22"/>
        </w:rPr>
        <w:t>USTN is not "the single source of truth for every external system." It instead provides: canonical SGTX correlation and state lineage across systems whose respective authorities remain external. The USTN format, generation algorithm and lifecycle are defined in Section 5.</w:t>
      </w:r>
    </w:p>
    <w:p>
      <w:pPr>
        <w:keepNext/>
        <w:spacing w:before="240" w:after="100"/>
        <w:outlineLvl w:val="1"/>
      </w:pPr>
      <w:r>
        <w:rPr>
          <w:rFonts w:ascii="Arial" w:hAnsi="Arial" w:cs="Arial"/>
          <w:b/>
          <w:i w:val="0"/>
          <w:color w:val="2E528F"/>
          <w:sz w:val="26"/>
        </w:rPr>
        <w:t>19.59 Nafeza / Customs Correlation Model</w:t>
      </w:r>
    </w:p>
    <w:p>
      <w:pPr>
        <w:spacing w:after="80" w:line="293" w:lineRule="auto"/>
        <w:jc w:val="left"/>
      </w:pPr>
      <w:r>
        <w:rPr>
          <w:rFonts w:ascii="Times New Roman" w:hAnsi="Times New Roman" w:cs="Times New Roman"/>
          <w:b w:val="0"/>
          <w:i w:val="0"/>
          <w:sz w:val="22"/>
        </w:rPr>
        <w:t>SGTX does not replace jurisdiction-specific customs identifiers. The architecture correlates:</w:t>
      </w:r>
    </w:p>
    <w:p>
      <w:pPr>
        <w:spacing w:after="0" w:before="0" w:line="240" w:lineRule="auto"/>
        <w:ind w:left="57"/>
        <w:jc w:val="left"/>
        <w:shd w:val="clear" w:fill="F2F2F2"/>
      </w:pPr>
      <w:r>
        <w:rPr>
          <w:rFonts w:ascii="Consolas" w:hAnsi="Consolas" w:cs="Consolas"/>
          <w:b w:val="0"/>
          <w:i w:val="0"/>
          <w:sz w:val="15"/>
        </w:rPr>
        <w:t>USTN → Nafeza ACID, where applicable → Nafeza UCR, where applicable →</w:t>
      </w:r>
    </w:p>
    <w:p>
      <w:pPr>
        <w:spacing w:after="0" w:before="0" w:line="240" w:lineRule="auto"/>
        <w:ind w:left="57"/>
        <w:jc w:val="left"/>
        <w:shd w:val="clear" w:fill="F2F2F2"/>
      </w:pPr>
      <w:r>
        <w:rPr>
          <w:rFonts w:ascii="Consolas" w:hAnsi="Consolas" w:cs="Consolas"/>
          <w:b w:val="0"/>
          <w:i w:val="0"/>
          <w:sz w:val="15"/>
        </w:rPr>
        <w:t>CargoX Reference, where applicable → Customs Declaration Reference → Customs Event References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Nafeza's current Enhanced Export System describes UCR as a unified shipment identifier used to track the shipment through completion, making external-identifier correlation an important SGTX integration pattern. Existing Nafeza materials also require ACID to appear on relevant shipment documents in applicable ACI workflows. SGTX therefore acts as the cross-system correlation layer rather than attempting to create a competing government identifier.</w:t>
      </w:r>
    </w:p>
    <w:p>
      <w:pPr>
        <w:keepNext/>
        <w:spacing w:before="240" w:after="100"/>
        <w:outlineLvl w:val="1"/>
      </w:pPr>
      <w:r>
        <w:rPr>
          <w:rFonts w:ascii="Arial" w:hAnsi="Arial" w:cs="Arial"/>
          <w:b/>
          <w:i w:val="0"/>
          <w:color w:val="2E528F"/>
          <w:sz w:val="26"/>
        </w:rPr>
        <w:t>19.60 Nafeza Evidence Graph</w:t>
      </w:r>
    </w:p>
    <w:p>
      <w:pPr>
        <w:spacing w:after="80" w:line="293" w:lineRule="auto"/>
        <w:jc w:val="left"/>
      </w:pPr>
      <w:r>
        <w:rPr>
          <w:rFonts w:ascii="Times New Roman" w:hAnsi="Times New Roman" w:cs="Times New Roman"/>
          <w:b w:val="0"/>
          <w:i w:val="0"/>
          <w:sz w:val="22"/>
        </w:rPr>
        <w:t>Where legally and technically permitted:</w:t>
      </w:r>
    </w:p>
    <w:p>
      <w:pPr>
        <w:spacing w:after="0" w:before="0" w:line="240" w:lineRule="auto"/>
        <w:ind w:left="57"/>
        <w:jc w:val="left"/>
        <w:shd w:val="clear" w:fill="F2F2F2"/>
      </w:pPr>
      <w:r>
        <w:rPr>
          <w:rFonts w:ascii="Consolas" w:hAnsi="Consolas" w:cs="Consolas"/>
          <w:b w:val="0"/>
          <w:i w:val="0"/>
          <w:sz w:val="15"/>
        </w:rPr>
        <w:t>USTN → Nafeza Identifier → Customs Event → Document Set → Obligation →</w:t>
      </w:r>
    </w:p>
    <w:p>
      <w:pPr>
        <w:spacing w:after="0" w:before="0" w:line="240" w:lineRule="auto"/>
        <w:ind w:left="57"/>
        <w:jc w:val="left"/>
        <w:shd w:val="clear" w:fill="F2F2F2"/>
      </w:pPr>
      <w:r>
        <w:rPr>
          <w:rFonts w:ascii="Consolas" w:hAnsi="Consolas" w:cs="Consolas"/>
          <w:b w:val="0"/>
          <w:i w:val="0"/>
          <w:sz w:val="15"/>
        </w:rPr>
        <w:t>Settlement Leg → Financial State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connects customs reality to the trade's broader state graph.</w:t>
      </w:r>
    </w:p>
    <w:p>
      <w:pPr>
        <w:keepNext/>
        <w:spacing w:before="240" w:after="100"/>
        <w:outlineLvl w:val="1"/>
      </w:pPr>
      <w:r>
        <w:rPr>
          <w:rFonts w:ascii="Arial" w:hAnsi="Arial" w:cs="Arial"/>
          <w:b/>
          <w:i w:val="0"/>
          <w:color w:val="2E528F"/>
          <w:sz w:val="26"/>
        </w:rPr>
        <w:t>19.61 Government Payment Limitation</w:t>
      </w:r>
    </w:p>
    <w:p>
      <w:pPr>
        <w:spacing w:after="80" w:line="293" w:lineRule="auto"/>
        <w:jc w:val="left"/>
      </w:pPr>
      <w:r>
        <w:rPr>
          <w:rFonts w:ascii="Times New Roman" w:hAnsi="Times New Roman" w:cs="Times New Roman"/>
          <w:b w:val="0"/>
          <w:i w:val="0"/>
          <w:sz w:val="22"/>
        </w:rPr>
        <w:t>Government fee settlement is classified by authority type (canonical classification; the operational view in Section 13.5.6 applies the same classification in the government-integration flow):</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Classification</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DIRECT_SETTLEMENT_ELIGIBLE</w:t>
            </w:r>
          </w:p>
        </w:tc>
        <w:tc>
          <w:tcPr>
            <w:tcW w:type="dxa" w:w="4819"/>
          </w:tcPr>
          <w:p>
            <w:pPr>
              <w:spacing w:after="20" w:before="20" w:line="240" w:lineRule="auto"/>
            </w:pPr>
            <w:r/>
            <w:r>
              <w:rPr>
                <w:rFonts w:ascii="Arial" w:hAnsi="Arial" w:cs="Arial"/>
                <w:b w:val="0"/>
                <w:i w:val="0"/>
                <w:sz w:val="17"/>
              </w:rPr>
              <w:t>Can be executed as an ordinary settlement leg</w:t>
            </w:r>
          </w:p>
        </w:tc>
      </w:tr>
      <w:tr>
        <w:tc>
          <w:tcPr>
            <w:tcW w:type="dxa" w:w="4819"/>
          </w:tcPr>
          <w:p>
            <w:pPr>
              <w:spacing w:after="20" w:before="20" w:line="240" w:lineRule="auto"/>
            </w:pPr>
            <w:r/>
            <w:r>
              <w:rPr>
                <w:rFonts w:ascii="Arial" w:hAnsi="Arial" w:cs="Arial"/>
                <w:b w:val="0"/>
                <w:i w:val="0"/>
                <w:sz w:val="17"/>
              </w:rPr>
              <w:t>BANK_MEDIATED</w:t>
            </w:r>
          </w:p>
        </w:tc>
        <w:tc>
          <w:tcPr>
            <w:tcW w:type="dxa" w:w="4819"/>
          </w:tcPr>
          <w:p>
            <w:pPr>
              <w:spacing w:after="20" w:before="20" w:line="240" w:lineRule="auto"/>
            </w:pPr>
            <w:r/>
            <w:r>
              <w:rPr>
                <w:rFonts w:ascii="Arial" w:hAnsi="Arial" w:cs="Arial"/>
                <w:b w:val="0"/>
                <w:i w:val="0"/>
                <w:sz w:val="17"/>
              </w:rPr>
              <w:t>Must be routed through a bank</w:t>
            </w:r>
          </w:p>
        </w:tc>
      </w:tr>
      <w:tr>
        <w:tc>
          <w:tcPr>
            <w:tcW w:type="dxa" w:w="4819"/>
          </w:tcPr>
          <w:p>
            <w:pPr>
              <w:spacing w:after="20" w:before="20" w:line="240" w:lineRule="auto"/>
            </w:pPr>
            <w:r/>
            <w:r>
              <w:rPr>
                <w:rFonts w:ascii="Arial" w:hAnsi="Arial" w:cs="Arial"/>
                <w:b w:val="0"/>
                <w:i w:val="0"/>
                <w:sz w:val="17"/>
              </w:rPr>
              <w:t>AUTHORITY_SPECIFIC_WORKFLOW</w:t>
            </w:r>
          </w:p>
        </w:tc>
        <w:tc>
          <w:tcPr>
            <w:tcW w:type="dxa" w:w="4819"/>
          </w:tcPr>
          <w:p>
            <w:pPr>
              <w:spacing w:after="20" w:before="20" w:line="240" w:lineRule="auto"/>
            </w:pPr>
            <w:r/>
            <w:r>
              <w:rPr>
                <w:rFonts w:ascii="Arial" w:hAnsi="Arial" w:cs="Arial"/>
                <w:b w:val="0"/>
                <w:i w:val="0"/>
                <w:sz w:val="17"/>
              </w:rPr>
              <w:t>Requires the authority's own workflow</w:t>
            </w:r>
          </w:p>
        </w:tc>
      </w:tr>
      <w:tr>
        <w:tc>
          <w:tcPr>
            <w:tcW w:type="dxa" w:w="4819"/>
          </w:tcPr>
          <w:p>
            <w:pPr>
              <w:spacing w:after="20" w:before="20" w:line="240" w:lineRule="auto"/>
            </w:pPr>
            <w:r/>
            <w:r>
              <w:rPr>
                <w:rFonts w:ascii="Arial" w:hAnsi="Arial" w:cs="Arial"/>
                <w:b w:val="0"/>
                <w:i w:val="0"/>
                <w:sz w:val="17"/>
              </w:rPr>
              <w:t>PAYMENT_PROOF_ONLY</w:t>
            </w:r>
          </w:p>
        </w:tc>
        <w:tc>
          <w:tcPr>
            <w:tcW w:type="dxa" w:w="4819"/>
          </w:tcPr>
          <w:p>
            <w:pPr>
              <w:spacing w:after="20" w:before="20" w:line="240" w:lineRule="auto"/>
            </w:pPr>
            <w:r/>
            <w:r>
              <w:rPr>
                <w:rFonts w:ascii="Arial" w:hAnsi="Arial" w:cs="Arial"/>
                <w:b w:val="0"/>
                <w:i w:val="0"/>
                <w:sz w:val="17"/>
              </w:rPr>
              <w:t>SGTX collects and submits proof of payment</w:t>
            </w:r>
          </w:p>
        </w:tc>
      </w:tr>
      <w:tr>
        <w:tc>
          <w:tcPr>
            <w:tcW w:type="dxa" w:w="4819"/>
          </w:tcPr>
          <w:p>
            <w:pPr>
              <w:spacing w:after="20" w:before="20" w:line="240" w:lineRule="auto"/>
            </w:pPr>
            <w:r/>
            <w:r>
              <w:rPr>
                <w:rFonts w:ascii="Arial" w:hAnsi="Arial" w:cs="Arial"/>
                <w:b w:val="0"/>
                <w:i w:val="0"/>
                <w:sz w:val="17"/>
              </w:rPr>
              <w:t>EXTERNAL_RECONCILIATION_ONLY</w:t>
            </w:r>
          </w:p>
        </w:tc>
        <w:tc>
          <w:tcPr>
            <w:tcW w:type="dxa" w:w="4819"/>
          </w:tcPr>
          <w:p>
            <w:pPr>
              <w:spacing w:after="20" w:before="20" w:line="240" w:lineRule="auto"/>
            </w:pPr>
            <w:r/>
            <w:r>
              <w:rPr>
                <w:rFonts w:ascii="Arial" w:hAnsi="Arial" w:cs="Arial"/>
                <w:b w:val="0"/>
                <w:i w:val="0"/>
                <w:sz w:val="17"/>
              </w:rPr>
              <w:t>Settled outside SGTX; reconciled from statements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actual permitted method is jurisdiction-specific.</w:t>
      </w:r>
    </w:p>
    <w:p>
      <w:pPr>
        <w:keepNext/>
        <w:spacing w:before="240" w:after="100"/>
        <w:outlineLvl w:val="1"/>
      </w:pPr>
      <w:r>
        <w:rPr>
          <w:rFonts w:ascii="Arial" w:hAnsi="Arial" w:cs="Arial"/>
          <w:b/>
          <w:i w:val="0"/>
          <w:color w:val="2E528F"/>
          <w:sz w:val="26"/>
        </w:rPr>
        <w:t>19.62 Bank-Side Risk Gateway</w:t>
      </w:r>
    </w:p>
    <w:p>
      <w:pPr>
        <w:spacing w:after="80" w:line="293" w:lineRule="auto"/>
        <w:jc w:val="left"/>
      </w:pPr>
      <w:r>
        <w:rPr>
          <w:rFonts w:ascii="Times New Roman" w:hAnsi="Times New Roman" w:cs="Times New Roman"/>
          <w:b w:val="0"/>
          <w:i w:val="0"/>
          <w:sz w:val="22"/>
        </w:rPr>
        <w:t>Before a settlement instruction reaches bank execution:</w:t>
      </w:r>
    </w:p>
    <w:p>
      <w:pPr>
        <w:spacing w:after="0" w:before="0" w:line="240" w:lineRule="auto"/>
        <w:ind w:left="57"/>
        <w:jc w:val="left"/>
        <w:shd w:val="clear" w:fill="F2F2F2"/>
      </w:pPr>
      <w:r>
        <w:rPr>
          <w:rFonts w:ascii="Consolas" w:hAnsi="Consolas" w:cs="Consolas"/>
          <w:b w:val="0"/>
          <w:i w:val="0"/>
          <w:sz w:val="15"/>
        </w:rPr>
        <w:t>SGTX Bank Settlement Gateway → Schema Validation → Signature Validation →</w:t>
      </w:r>
    </w:p>
    <w:p>
      <w:pPr>
        <w:spacing w:after="0" w:before="0" w:line="240" w:lineRule="auto"/>
        <w:ind w:left="57"/>
        <w:jc w:val="left"/>
        <w:shd w:val="clear" w:fill="F2F2F2"/>
      </w:pPr>
      <w:r>
        <w:rPr>
          <w:rFonts w:ascii="Consolas" w:hAnsi="Consolas" w:cs="Consolas"/>
          <w:b w:val="0"/>
          <w:i w:val="0"/>
          <w:sz w:val="15"/>
        </w:rPr>
        <w:t>USTN Validation → Instruction Version Validation → Beneficiary Consistency →</w:t>
      </w:r>
    </w:p>
    <w:p>
      <w:pPr>
        <w:spacing w:after="0" w:before="0" w:line="240" w:lineRule="auto"/>
        <w:ind w:left="57"/>
        <w:jc w:val="left"/>
        <w:shd w:val="clear" w:fill="F2F2F2"/>
      </w:pPr>
      <w:r>
        <w:rPr>
          <w:rFonts w:ascii="Consolas" w:hAnsi="Consolas" w:cs="Consolas"/>
          <w:b w:val="0"/>
          <w:i w:val="0"/>
          <w:sz w:val="15"/>
        </w:rPr>
        <w:t>Bank Policy → AML / Sanctions / Fraud Controls → Bank Authorization → Payment Execution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does not replace bank-side compliance controls. AML denotes anti-money-laundering controls operated by the regulated institution.</w:t>
      </w:r>
    </w:p>
    <w:p>
      <w:pPr>
        <w:keepNext/>
        <w:spacing w:before="240" w:after="100"/>
        <w:outlineLvl w:val="1"/>
      </w:pPr>
      <w:r>
        <w:rPr>
          <w:rFonts w:ascii="Arial" w:hAnsi="Arial" w:cs="Arial"/>
          <w:b/>
          <w:i w:val="0"/>
          <w:color w:val="2E528F"/>
          <w:sz w:val="26"/>
        </w:rPr>
        <w:t>19.63 Financial Position &amp; Consequence Subledger</w:t>
      </w:r>
    </w:p>
    <w:p>
      <w:pPr>
        <w:spacing w:after="80" w:line="293" w:lineRule="auto"/>
        <w:jc w:val="left"/>
      </w:pPr>
      <w:r>
        <w:rPr>
          <w:rFonts w:ascii="Times New Roman" w:hAnsi="Times New Roman" w:cs="Times New Roman"/>
          <w:b w:val="0"/>
          <w:i w:val="0"/>
          <w:sz w:val="22"/>
        </w:rPr>
        <w:t>SGTX maintains a transaction-level financial consequence model. It is not intended to replace the customer's corporate accounting/ERP general ledger. It tracks, as applicable:</w:t>
      </w:r>
    </w:p>
    <w:p>
      <w:pPr>
        <w:spacing w:after="80" w:line="293" w:lineRule="auto"/>
        <w:ind w:left="283"/>
        <w:jc w:val="left"/>
      </w:pPr>
      <w:r>
        <w:rPr>
          <w:rFonts w:ascii="Times New Roman" w:hAnsi="Times New Roman" w:cs="Times New Roman"/>
          <w:b w:val="0"/>
          <w:i w:val="0"/>
          <w:sz w:val="22"/>
        </w:rPr>
        <w:t>- gross commercial value;</w:t>
      </w:r>
    </w:p>
    <w:p>
      <w:pPr>
        <w:spacing w:after="80" w:line="293" w:lineRule="auto"/>
        <w:ind w:left="283"/>
        <w:jc w:val="left"/>
      </w:pPr>
      <w:r>
        <w:rPr>
          <w:rFonts w:ascii="Times New Roman" w:hAnsi="Times New Roman" w:cs="Times New Roman"/>
          <w:b w:val="0"/>
          <w:i w:val="0"/>
          <w:sz w:val="22"/>
        </w:rPr>
        <w:t>- expected settlement;</w:t>
      </w:r>
    </w:p>
    <w:p>
      <w:pPr>
        <w:spacing w:after="80" w:line="293" w:lineRule="auto"/>
        <w:ind w:left="283"/>
        <w:jc w:val="left"/>
      </w:pPr>
      <w:r>
        <w:rPr>
          <w:rFonts w:ascii="Times New Roman" w:hAnsi="Times New Roman" w:cs="Times New Roman"/>
          <w:b w:val="0"/>
          <w:i w:val="0"/>
          <w:sz w:val="22"/>
        </w:rPr>
        <w:t>- actual settlement;</w:t>
      </w:r>
    </w:p>
    <w:p>
      <w:pPr>
        <w:spacing w:after="80" w:line="293" w:lineRule="auto"/>
        <w:ind w:left="283"/>
        <w:jc w:val="left"/>
      </w:pPr>
      <w:r>
        <w:rPr>
          <w:rFonts w:ascii="Times New Roman" w:hAnsi="Times New Roman" w:cs="Times New Roman"/>
          <w:b w:val="0"/>
          <w:i w:val="0"/>
          <w:sz w:val="22"/>
        </w:rPr>
        <w:t>- returned amount;</w:t>
      </w:r>
    </w:p>
    <w:p>
      <w:pPr>
        <w:spacing w:after="80" w:line="293" w:lineRule="auto"/>
        <w:ind w:left="283"/>
        <w:jc w:val="left"/>
      </w:pPr>
      <w:r>
        <w:rPr>
          <w:rFonts w:ascii="Times New Roman" w:hAnsi="Times New Roman" w:cs="Times New Roman"/>
          <w:b w:val="0"/>
          <w:i w:val="0"/>
          <w:sz w:val="22"/>
        </w:rPr>
        <w:t>- disputed amount;</w:t>
      </w:r>
    </w:p>
    <w:p>
      <w:pPr>
        <w:spacing w:after="80" w:line="293" w:lineRule="auto"/>
        <w:ind w:left="283"/>
        <w:jc w:val="left"/>
      </w:pPr>
      <w:r>
        <w:rPr>
          <w:rFonts w:ascii="Times New Roman" w:hAnsi="Times New Roman" w:cs="Times New Roman"/>
          <w:b w:val="0"/>
          <w:i w:val="0"/>
          <w:sz w:val="22"/>
        </w:rPr>
        <w:t>- fees;</w:t>
      </w:r>
    </w:p>
    <w:p>
      <w:pPr>
        <w:spacing w:after="80" w:line="293" w:lineRule="auto"/>
        <w:ind w:left="283"/>
        <w:jc w:val="left"/>
      </w:pPr>
      <w:r>
        <w:rPr>
          <w:rFonts w:ascii="Times New Roman" w:hAnsi="Times New Roman" w:cs="Times New Roman"/>
          <w:b w:val="0"/>
          <w:i w:val="0"/>
          <w:sz w:val="22"/>
        </w:rPr>
        <w:t>- adjustments;</w:t>
      </w:r>
    </w:p>
    <w:p>
      <w:pPr>
        <w:spacing w:after="80" w:line="293" w:lineRule="auto"/>
        <w:ind w:left="283"/>
        <w:jc w:val="left"/>
      </w:pPr>
      <w:r>
        <w:rPr>
          <w:rFonts w:ascii="Times New Roman" w:hAnsi="Times New Roman" w:cs="Times New Roman"/>
          <w:b w:val="0"/>
          <w:i w:val="0"/>
          <w:sz w:val="22"/>
        </w:rPr>
        <w:t>- FX (foreign exchange) consequences;</w:t>
      </w:r>
    </w:p>
    <w:p>
      <w:pPr>
        <w:spacing w:after="80" w:line="293" w:lineRule="auto"/>
        <w:ind w:left="283"/>
        <w:jc w:val="left"/>
      </w:pPr>
      <w:r>
        <w:rPr>
          <w:rFonts w:ascii="Times New Roman" w:hAnsi="Times New Roman" w:cs="Times New Roman"/>
          <w:b w:val="0"/>
          <w:i w:val="0"/>
          <w:sz w:val="22"/>
        </w:rPr>
        <w:t>- penalties;</w:t>
      </w:r>
    </w:p>
    <w:p>
      <w:pPr>
        <w:spacing w:after="80" w:line="293" w:lineRule="auto"/>
        <w:ind w:left="283"/>
        <w:jc w:val="left"/>
      </w:pPr>
      <w:r>
        <w:rPr>
          <w:rFonts w:ascii="Times New Roman" w:hAnsi="Times New Roman" w:cs="Times New Roman"/>
          <w:b w:val="0"/>
          <w:i w:val="0"/>
          <w:sz w:val="22"/>
        </w:rPr>
        <w:t>- compensation;</w:t>
      </w:r>
    </w:p>
    <w:p>
      <w:pPr>
        <w:spacing w:after="80" w:line="293" w:lineRule="auto"/>
        <w:ind w:left="283"/>
        <w:jc w:val="left"/>
      </w:pPr>
      <w:r>
        <w:rPr>
          <w:rFonts w:ascii="Times New Roman" w:hAnsi="Times New Roman" w:cs="Times New Roman"/>
          <w:b w:val="0"/>
          <w:i w:val="0"/>
          <w:sz w:val="22"/>
        </w:rPr>
        <w:t>- recoverable amount;</w:t>
      </w:r>
    </w:p>
    <w:p>
      <w:pPr>
        <w:spacing w:after="80" w:line="293" w:lineRule="auto"/>
        <w:ind w:left="283"/>
        <w:jc w:val="left"/>
      </w:pPr>
      <w:r>
        <w:rPr>
          <w:rFonts w:ascii="Times New Roman" w:hAnsi="Times New Roman" w:cs="Times New Roman"/>
          <w:b w:val="0"/>
          <w:i w:val="0"/>
          <w:sz w:val="22"/>
        </w:rPr>
        <w:t>- outstanding exposure;</w:t>
      </w:r>
    </w:p>
    <w:p>
      <w:pPr>
        <w:spacing w:after="80" w:line="293" w:lineRule="auto"/>
        <w:ind w:left="283"/>
        <w:jc w:val="left"/>
      </w:pPr>
      <w:r>
        <w:rPr>
          <w:rFonts w:ascii="Times New Roman" w:hAnsi="Times New Roman" w:cs="Times New Roman"/>
          <w:b w:val="0"/>
          <w:i w:val="0"/>
          <w:sz w:val="22"/>
        </w:rPr>
        <w:t>- reopened exposure;</w:t>
      </w:r>
    </w:p>
    <w:p>
      <w:pPr>
        <w:spacing w:after="80" w:line="293" w:lineRule="auto"/>
        <w:ind w:left="283"/>
        <w:jc w:val="left"/>
      </w:pPr>
      <w:r>
        <w:rPr>
          <w:rFonts w:ascii="Times New Roman" w:hAnsi="Times New Roman" w:cs="Times New Roman"/>
          <w:b w:val="0"/>
          <w:i w:val="0"/>
          <w:sz w:val="22"/>
        </w:rPr>
        <w:t>- contingent exposure.</w:t>
      </w:r>
    </w:p>
    <w:p>
      <w:pPr>
        <w:keepNext/>
        <w:spacing w:before="240" w:after="100"/>
        <w:outlineLvl w:val="1"/>
      </w:pPr>
      <w:r>
        <w:rPr>
          <w:rFonts w:ascii="Arial" w:hAnsi="Arial" w:cs="Arial"/>
          <w:b/>
          <w:i w:val="0"/>
          <w:color w:val="2E528F"/>
          <w:sz w:val="26"/>
        </w:rPr>
        <w:t>19.64 Financial Exposure Engine</w:t>
      </w:r>
    </w:p>
    <w:p>
      <w:pPr>
        <w:spacing w:after="80" w:line="293" w:lineRule="auto"/>
        <w:jc w:val="left"/>
      </w:pPr>
      <w:r>
        <w:rPr>
          <w:rFonts w:ascii="Times New Roman" w:hAnsi="Times New Roman" w:cs="Times New Roman"/>
          <w:b/>
          <w:i w:val="0"/>
          <w:sz w:val="22"/>
        </w:rPr>
        <w:t>Example:</w:t>
      </w:r>
    </w:p>
    <w:p>
      <w:pPr>
        <w:spacing w:after="80" w:line="293" w:lineRule="auto"/>
        <w:ind w:left="283"/>
        <w:jc w:val="left"/>
      </w:pPr>
      <w:r>
        <w:rPr>
          <w:rFonts w:ascii="Times New Roman" w:hAnsi="Times New Roman" w:cs="Times New Roman"/>
          <w:b w:val="0"/>
          <w:i w:val="0"/>
          <w:sz w:val="22"/>
        </w:rPr>
        <w:t>- Trade Value = $100,000</w:t>
      </w:r>
    </w:p>
    <w:p>
      <w:pPr>
        <w:spacing w:after="80" w:line="293" w:lineRule="auto"/>
        <w:ind w:left="283"/>
        <w:jc w:val="left"/>
      </w:pPr>
      <w:r>
        <w:rPr>
          <w:rFonts w:ascii="Times New Roman" w:hAnsi="Times New Roman" w:cs="Times New Roman"/>
          <w:b w:val="0"/>
          <w:i w:val="0"/>
          <w:sz w:val="22"/>
        </w:rPr>
        <w:t>- Settlement = CONFIRMED</w:t>
      </w:r>
    </w:p>
    <w:p>
      <w:pPr>
        <w:spacing w:after="80" w:line="293" w:lineRule="auto"/>
        <w:ind w:left="283"/>
        <w:jc w:val="left"/>
      </w:pPr>
      <w:r>
        <w:rPr>
          <w:rFonts w:ascii="Times New Roman" w:hAnsi="Times New Roman" w:cs="Times New Roman"/>
          <w:b w:val="0"/>
          <w:i w:val="0"/>
          <w:sz w:val="22"/>
        </w:rPr>
        <w:t>- Exposure = $0</w:t>
      </w:r>
    </w:p>
    <w:p>
      <w:pPr>
        <w:spacing w:after="80" w:line="293" w:lineRule="auto"/>
        <w:jc w:val="left"/>
      </w:pPr>
      <w:r>
        <w:rPr>
          <w:rFonts w:ascii="Times New Roman" w:hAnsi="Times New Roman" w:cs="Times New Roman"/>
          <w:b w:val="0"/>
          <w:i w:val="0"/>
          <w:sz w:val="22"/>
        </w:rPr>
        <w:t>After financial reversal:</w:t>
      </w:r>
    </w:p>
    <w:p>
      <w:pPr>
        <w:spacing w:after="80" w:line="293" w:lineRule="auto"/>
        <w:ind w:left="283"/>
        <w:jc w:val="left"/>
      </w:pPr>
      <w:r>
        <w:rPr>
          <w:rFonts w:ascii="Times New Roman" w:hAnsi="Times New Roman" w:cs="Times New Roman"/>
          <w:b w:val="0"/>
          <w:i w:val="0"/>
          <w:sz w:val="22"/>
        </w:rPr>
        <w:t>- Settlement = REVERSED</w:t>
      </w:r>
    </w:p>
    <w:p>
      <w:pPr>
        <w:spacing w:after="80" w:line="293" w:lineRule="auto"/>
        <w:ind w:left="283"/>
        <w:jc w:val="left"/>
      </w:pPr>
      <w:r>
        <w:rPr>
          <w:rFonts w:ascii="Times New Roman" w:hAnsi="Times New Roman" w:cs="Times New Roman"/>
          <w:b w:val="0"/>
          <w:i w:val="0"/>
          <w:sz w:val="22"/>
        </w:rPr>
        <w:t>- Exposure = $100,000</w:t>
      </w:r>
    </w:p>
    <w:p>
      <w:pPr>
        <w:spacing w:after="80" w:line="293" w:lineRule="auto"/>
        <w:ind w:left="283"/>
        <w:jc w:val="left"/>
      </w:pPr>
      <w:r>
        <w:rPr>
          <w:rFonts w:ascii="Times New Roman" w:hAnsi="Times New Roman" w:cs="Times New Roman"/>
          <w:b w:val="0"/>
          <w:i w:val="0"/>
          <w:sz w:val="22"/>
        </w:rPr>
        <w:t>- Recovery Status = OPEN</w:t>
      </w:r>
    </w:p>
    <w:p>
      <w:pPr>
        <w:spacing w:after="80" w:line="293" w:lineRule="auto"/>
        <w:jc w:val="left"/>
      </w:pPr>
      <w:r>
        <w:rPr>
          <w:rFonts w:ascii="Times New Roman" w:hAnsi="Times New Roman" w:cs="Times New Roman"/>
          <w:b w:val="0"/>
          <w:i w:val="0"/>
          <w:sz w:val="22"/>
        </w:rPr>
        <w:t>SGTX therefore identifies the current economic exposure without pretending to be the enterprise accounting ledger.</w:t>
      </w:r>
    </w:p>
    <w:p>
      <w:pPr>
        <w:keepNext/>
        <w:spacing w:before="180" w:after="80"/>
        <w:outlineLvl w:val="2"/>
      </w:pPr>
      <w:r>
        <w:rPr>
          <w:rFonts w:ascii="Arial" w:hAnsi="Arial" w:cs="Arial"/>
          <w:b/>
          <w:i w:val="0"/>
          <w:color w:val="333333"/>
          <w:sz w:val="23"/>
        </w:rPr>
        <w:t>19.64.1 Economic Exposure Graph — Canonical Data Model</w:t>
      </w:r>
    </w:p>
    <w:p>
      <w:pPr>
        <w:spacing w:after="80" w:line="293" w:lineRule="auto"/>
        <w:jc w:val="left"/>
      </w:pPr>
      <w:r>
        <w:rPr>
          <w:rFonts w:ascii="Times New Roman" w:hAnsi="Times New Roman" w:cs="Times New Roman"/>
          <w:b w:val="0"/>
          <w:i w:val="0"/>
          <w:sz w:val="22"/>
        </w:rPr>
        <w:t>Economic exposure is a first-class domain, represented independently of transaction lifecycle status. The system represents: trade value; financeable value; financed value; outstanding financing; unpaid trade obligation; unpaid fees; demurrage exposure; insurance exposure; claims; refund exposure; and reversal exposure — each independently of the state vector. A USTN at CLOSED with unresolved exposure is normally impossible (constitutional Point 36): closure policy either requires the exposure resolved or records a closure-with-exception (Section 19.113.1) that explicitly documents the permitted open exposure.</w:t>
      </w:r>
    </w:p>
    <w:p>
      <w:pPr>
        <w:spacing w:after="80" w:line="293" w:lineRule="auto"/>
        <w:jc w:val="left"/>
      </w:pPr>
      <w:r>
        <w:rPr>
          <w:rFonts w:ascii="Times New Roman" w:hAnsi="Times New Roman" w:cs="Times New Roman"/>
          <w:b w:val="0"/>
          <w:i w:val="0"/>
          <w:sz w:val="22"/>
        </w:rPr>
        <w:t>The economic exposure object:</w:t>
      </w:r>
    </w:p>
    <w:p>
      <w:pPr>
        <w:spacing w:after="0" w:before="0" w:line="240" w:lineRule="auto"/>
        <w:ind w:left="57"/>
        <w:jc w:val="left"/>
        <w:shd w:val="clear" w:fill="F2F2F2"/>
      </w:pPr>
      <w:r>
        <w:rPr>
          <w:rFonts w:ascii="Consolas" w:hAnsi="Consolas" w:cs="Consolas"/>
          <w:b w:val="0"/>
          <w:i w:val="0"/>
          <w:sz w:val="15"/>
        </w:rPr>
        <w:t>economic_exposure_id          unique exposure identifier</w:t>
      </w:r>
    </w:p>
    <w:p>
      <w:pPr>
        <w:spacing w:after="0" w:before="0" w:line="240" w:lineRule="auto"/>
        <w:ind w:left="57"/>
        <w:jc w:val="left"/>
        <w:shd w:val="clear" w:fill="F2F2F2"/>
      </w:pPr>
      <w:r>
        <w:rPr>
          <w:rFonts w:ascii="Consolas" w:hAnsi="Consolas" w:cs="Consolas"/>
          <w:b w:val="0"/>
          <w:i w:val="0"/>
          <w:sz w:val="15"/>
        </w:rPr>
        <w:t>trade_id                      the trade the exposure belongs to</w:t>
      </w:r>
    </w:p>
    <w:p>
      <w:pPr>
        <w:spacing w:after="0" w:before="0" w:line="240" w:lineRule="auto"/>
        <w:ind w:left="57"/>
        <w:jc w:val="left"/>
        <w:shd w:val="clear" w:fill="F2F2F2"/>
      </w:pPr>
      <w:r>
        <w:rPr>
          <w:rFonts w:ascii="Consolas" w:hAnsi="Consolas" w:cs="Consolas"/>
          <w:b w:val="0"/>
          <w:i w:val="0"/>
          <w:sz w:val="15"/>
        </w:rPr>
        <w:t>shipment_id                   shipment where applicable</w:t>
      </w:r>
    </w:p>
    <w:p>
      <w:pPr>
        <w:spacing w:after="0" w:before="0" w:line="240" w:lineRule="auto"/>
        <w:ind w:left="57"/>
        <w:jc w:val="left"/>
        <w:shd w:val="clear" w:fill="F2F2F2"/>
      </w:pPr>
      <w:r>
        <w:rPr>
          <w:rFonts w:ascii="Consolas" w:hAnsi="Consolas" w:cs="Consolas"/>
          <w:b w:val="0"/>
          <w:i w:val="0"/>
          <w:sz w:val="15"/>
        </w:rPr>
        <w:t>ustn                          USTN where applicable</w:t>
      </w:r>
    </w:p>
    <w:p>
      <w:pPr>
        <w:spacing w:after="0" w:before="0" w:line="240" w:lineRule="auto"/>
        <w:ind w:left="57"/>
        <w:jc w:val="left"/>
        <w:shd w:val="clear" w:fill="F2F2F2"/>
      </w:pPr>
      <w:r>
        <w:rPr>
          <w:rFonts w:ascii="Consolas" w:hAnsi="Consolas" w:cs="Consolas"/>
          <w:b w:val="0"/>
          <w:i w:val="0"/>
          <w:sz w:val="15"/>
        </w:rPr>
        <w:t>underlying_obligation_id      the obligation backing the exposure</w:t>
      </w:r>
    </w:p>
    <w:p>
      <w:pPr>
        <w:spacing w:after="0" w:before="0" w:line="240" w:lineRule="auto"/>
        <w:ind w:left="57"/>
        <w:jc w:val="left"/>
        <w:shd w:val="clear" w:fill="F2F2F2"/>
      </w:pPr>
      <w:r>
        <w:rPr>
          <w:rFonts w:ascii="Consolas" w:hAnsi="Consolas" w:cs="Consolas"/>
          <w:b w:val="0"/>
          <w:i w:val="0"/>
          <w:sz w:val="15"/>
        </w:rPr>
        <w:t>financeable_amount            total financeable value under control</w:t>
      </w:r>
    </w:p>
    <w:p>
      <w:pPr>
        <w:spacing w:after="0" w:before="0" w:line="240" w:lineRule="auto"/>
        <w:ind w:left="57"/>
        <w:jc w:val="left"/>
        <w:shd w:val="clear" w:fill="F2F2F2"/>
      </w:pPr>
      <w:r>
        <w:rPr>
          <w:rFonts w:ascii="Consolas" w:hAnsi="Consolas" w:cs="Consolas"/>
          <w:b w:val="0"/>
          <w:i w:val="0"/>
          <w:sz w:val="15"/>
        </w:rPr>
        <w:t>already_allocated_amount      sum of approved allocations</w:t>
      </w:r>
    </w:p>
    <w:p>
      <w:pPr>
        <w:spacing w:after="0" w:before="0" w:line="240" w:lineRule="auto"/>
        <w:ind w:left="57"/>
        <w:jc w:val="left"/>
        <w:shd w:val="clear" w:fill="F2F2F2"/>
      </w:pPr>
      <w:r>
        <w:rPr>
          <w:rFonts w:ascii="Consolas" w:hAnsi="Consolas" w:cs="Consolas"/>
          <w:b w:val="0"/>
          <w:i w:val="0"/>
          <w:sz w:val="15"/>
        </w:rPr>
        <w:t>remaining_capacity            financeable minus allocated</w:t>
      </w:r>
    </w:p>
    <w:p>
      <w:pPr>
        <w:spacing w:after="0" w:before="0" w:line="240" w:lineRule="auto"/>
        <w:ind w:left="57"/>
        <w:jc w:val="left"/>
        <w:shd w:val="clear" w:fill="F2F2F2"/>
      </w:pPr>
      <w:r>
        <w:rPr>
          <w:rFonts w:ascii="Consolas" w:hAnsi="Consolas" w:cs="Consolas"/>
          <w:b w:val="0"/>
          <w:i w:val="0"/>
          <w:sz w:val="15"/>
        </w:rPr>
        <w:t>exposure_status               exposure lifecycle state</w:t>
      </w:r>
    </w:p>
    <w:p>
      <w:pPr>
        <w:spacing w:after="0" w:before="0" w:line="240" w:lineRule="auto"/>
        <w:ind w:left="57"/>
        <w:jc w:val="left"/>
        <w:shd w:val="clear" w:fill="F2F2F2"/>
      </w:pPr>
      <w:r>
        <w:rPr>
          <w:rFonts w:ascii="Consolas" w:hAnsi="Consolas" w:cs="Consolas"/>
          <w:b w:val="0"/>
          <w:i w:val="0"/>
          <w:sz w:val="15"/>
        </w:rPr>
        <w:t>collateral_reference          linked collateral where applicable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financing allocation object:</w:t>
      </w:r>
    </w:p>
    <w:p>
      <w:pPr>
        <w:spacing w:after="0" w:before="0" w:line="240" w:lineRule="auto"/>
        <w:ind w:left="57"/>
        <w:jc w:val="left"/>
        <w:shd w:val="clear" w:fill="F2F2F2"/>
      </w:pPr>
      <w:r>
        <w:rPr>
          <w:rFonts w:ascii="Consolas" w:hAnsi="Consolas" w:cs="Consolas"/>
          <w:b w:val="0"/>
          <w:i w:val="0"/>
          <w:sz w:val="15"/>
        </w:rPr>
        <w:t>financing_allocation_id       unique allocation identifier</w:t>
      </w:r>
    </w:p>
    <w:p>
      <w:pPr>
        <w:spacing w:after="0" w:before="0" w:line="240" w:lineRule="auto"/>
        <w:ind w:left="57"/>
        <w:jc w:val="left"/>
        <w:shd w:val="clear" w:fill="F2F2F2"/>
      </w:pPr>
      <w:r>
        <w:rPr>
          <w:rFonts w:ascii="Consolas" w:hAnsi="Consolas" w:cs="Consolas"/>
          <w:b w:val="0"/>
          <w:i w:val="0"/>
          <w:sz w:val="15"/>
        </w:rPr>
        <w:t>economic_exposure_id          the exposure being financed</w:t>
      </w:r>
    </w:p>
    <w:p>
      <w:pPr>
        <w:spacing w:after="0" w:before="0" w:line="240" w:lineRule="auto"/>
        <w:ind w:left="57"/>
        <w:jc w:val="left"/>
        <w:shd w:val="clear" w:fill="F2F2F2"/>
      </w:pPr>
      <w:r>
        <w:rPr>
          <w:rFonts w:ascii="Consolas" w:hAnsi="Consolas" w:cs="Consolas"/>
          <w:b w:val="0"/>
          <w:i w:val="0"/>
          <w:sz w:val="15"/>
        </w:rPr>
        <w:t>financier_id                  GTID of the financier</w:t>
      </w:r>
    </w:p>
    <w:p>
      <w:pPr>
        <w:spacing w:after="0" w:before="0" w:line="240" w:lineRule="auto"/>
        <w:ind w:left="57"/>
        <w:jc w:val="left"/>
        <w:shd w:val="clear" w:fill="F2F2F2"/>
      </w:pPr>
      <w:r>
        <w:rPr>
          <w:rFonts w:ascii="Consolas" w:hAnsi="Consolas" w:cs="Consolas"/>
          <w:b w:val="0"/>
          <w:i w:val="0"/>
          <w:sz w:val="15"/>
        </w:rPr>
        <w:t>requested_amount              amount requested by the arrangement</w:t>
      </w:r>
    </w:p>
    <w:p>
      <w:pPr>
        <w:spacing w:after="0" w:before="0" w:line="240" w:lineRule="auto"/>
        <w:ind w:left="57"/>
        <w:jc w:val="left"/>
        <w:shd w:val="clear" w:fill="F2F2F2"/>
      </w:pPr>
      <w:r>
        <w:rPr>
          <w:rFonts w:ascii="Consolas" w:hAnsi="Consolas" w:cs="Consolas"/>
          <w:b w:val="0"/>
          <w:i w:val="0"/>
          <w:sz w:val="15"/>
        </w:rPr>
        <w:t>approved_amount               amount approved by the financier</w:t>
      </w:r>
    </w:p>
    <w:p>
      <w:pPr>
        <w:spacing w:after="0" w:before="0" w:line="240" w:lineRule="auto"/>
        <w:ind w:left="57"/>
        <w:jc w:val="left"/>
        <w:shd w:val="clear" w:fill="F2F2F2"/>
      </w:pPr>
      <w:r>
        <w:rPr>
          <w:rFonts w:ascii="Consolas" w:hAnsi="Consolas" w:cs="Consolas"/>
          <w:b w:val="0"/>
          <w:i w:val="0"/>
          <w:sz w:val="15"/>
        </w:rPr>
        <w:t>allocated_amount              amount allocated against the exposure</w:t>
      </w:r>
    </w:p>
    <w:p>
      <w:pPr>
        <w:spacing w:after="0" w:before="0" w:line="240" w:lineRule="auto"/>
        <w:ind w:left="57"/>
        <w:jc w:val="left"/>
        <w:shd w:val="clear" w:fill="F2F2F2"/>
      </w:pPr>
      <w:r>
        <w:rPr>
          <w:rFonts w:ascii="Consolas" w:hAnsi="Consolas" w:cs="Consolas"/>
          <w:b w:val="0"/>
          <w:i w:val="0"/>
          <w:sz w:val="15"/>
        </w:rPr>
        <w:t>disbursed_amount              amount disbursed to date</w:t>
      </w:r>
    </w:p>
    <w:p>
      <w:pPr>
        <w:spacing w:after="0" w:before="0" w:line="240" w:lineRule="auto"/>
        <w:ind w:left="57"/>
        <w:jc w:val="left"/>
        <w:shd w:val="clear" w:fill="F2F2F2"/>
      </w:pPr>
      <w:r>
        <w:rPr>
          <w:rFonts w:ascii="Consolas" w:hAnsi="Consolas" w:cs="Consolas"/>
          <w:b w:val="0"/>
          <w:i w:val="0"/>
          <w:sz w:val="15"/>
        </w:rPr>
        <w:t>outstanding_amount            amount outstanding</w:t>
      </w:r>
    </w:p>
    <w:p>
      <w:pPr>
        <w:spacing w:after="0" w:before="0" w:line="240" w:lineRule="auto"/>
        <w:ind w:left="57"/>
        <w:jc w:val="left"/>
        <w:shd w:val="clear" w:fill="F2F2F2"/>
      </w:pPr>
      <w:r>
        <w:rPr>
          <w:rFonts w:ascii="Consolas" w:hAnsi="Consolas" w:cs="Consolas"/>
          <w:b w:val="0"/>
          <w:i w:val="0"/>
          <w:sz w:val="15"/>
        </w:rPr>
        <w:t>currency                      allocation currency</w:t>
      </w:r>
    </w:p>
    <w:p>
      <w:pPr>
        <w:spacing w:after="0" w:before="0" w:line="240" w:lineRule="auto"/>
        <w:ind w:left="57"/>
        <w:jc w:val="left"/>
        <w:shd w:val="clear" w:fill="F2F2F2"/>
      </w:pPr>
      <w:r>
        <w:rPr>
          <w:rFonts w:ascii="Consolas" w:hAnsi="Consolas" w:cs="Consolas"/>
          <w:b w:val="0"/>
          <w:i w:val="0"/>
          <w:sz w:val="15"/>
        </w:rPr>
        <w:t>tranche_reference             tranche where applicable</w:t>
      </w:r>
    </w:p>
    <w:p>
      <w:pPr>
        <w:spacing w:after="0" w:before="0" w:line="240" w:lineRule="auto"/>
        <w:ind w:left="57"/>
        <w:jc w:val="left"/>
        <w:shd w:val="clear" w:fill="F2F2F2"/>
      </w:pPr>
      <w:r>
        <w:rPr>
          <w:rFonts w:ascii="Consolas" w:hAnsi="Consolas" w:cs="Consolas"/>
          <w:b w:val="0"/>
          <w:i w:val="0"/>
          <w:sz w:val="15"/>
        </w:rPr>
        <w:t>agreement_reference           the executed financing agreement</w:t>
      </w:r>
    </w:p>
    <w:p>
      <w:pPr>
        <w:spacing w:after="0" w:before="0" w:line="240" w:lineRule="auto"/>
        <w:ind w:left="57"/>
        <w:jc w:val="left"/>
        <w:shd w:val="clear" w:fill="F2F2F2"/>
      </w:pPr>
      <w:r>
        <w:rPr>
          <w:rFonts w:ascii="Consolas" w:hAnsi="Consolas" w:cs="Consolas"/>
          <w:b w:val="0"/>
          <w:i w:val="0"/>
          <w:sz w:val="15"/>
        </w:rPr>
        <w:t>status                        allocation lifecycle state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model permits multiple financiers to hold allocations against a single controlled exposure (Section 10.23.1) and enforces the allocation-bounding invariants (I-10, I-11). The exposure graph is the authoritative input to the double-financing controls (Section 10.61.1), the closure exposure checks (Section 5.10), and the financing reconciliation (Section 10.52).</w:t>
      </w:r>
    </w:p>
    <w:p>
      <w:pPr>
        <w:keepNext/>
        <w:spacing w:before="240" w:after="100"/>
        <w:outlineLvl w:val="1"/>
      </w:pPr>
      <w:r>
        <w:rPr>
          <w:rFonts w:ascii="Arial" w:hAnsi="Arial" w:cs="Arial"/>
          <w:b/>
          <w:i w:val="0"/>
          <w:color w:val="2E528F"/>
          <w:sz w:val="26"/>
        </w:rPr>
        <w:t>19.65 Economic Position Is Distinct from Transaction State</w:t>
      </w:r>
    </w:p>
    <w:p>
      <w:pPr>
        <w:spacing w:after="80" w:line="293" w:lineRule="auto"/>
        <w:jc w:val="left"/>
      </w:pPr>
      <w:r>
        <w:rPr>
          <w:rFonts w:ascii="Times New Roman" w:hAnsi="Times New Roman" w:cs="Times New Roman"/>
          <w:b w:val="0"/>
          <w:i w:val="0"/>
          <w:sz w:val="22"/>
        </w:rPr>
        <w:t>A transaction can be:</w:t>
      </w:r>
    </w:p>
    <w:p>
      <w:pPr>
        <w:spacing w:after="80" w:line="293" w:lineRule="auto"/>
        <w:ind w:left="283"/>
        <w:jc w:val="left"/>
      </w:pPr>
      <w:r>
        <w:rPr>
          <w:rFonts w:ascii="Times New Roman" w:hAnsi="Times New Roman" w:cs="Times New Roman"/>
          <w:b w:val="0"/>
          <w:i w:val="0"/>
          <w:sz w:val="22"/>
        </w:rPr>
        <w:t>- Execution = SETTLED</w:t>
      </w:r>
    </w:p>
    <w:p>
      <w:pPr>
        <w:spacing w:after="80" w:line="293" w:lineRule="auto"/>
        <w:jc w:val="left"/>
      </w:pPr>
      <w:r>
        <w:rPr>
          <w:rFonts w:ascii="Times New Roman" w:hAnsi="Times New Roman" w:cs="Times New Roman"/>
          <w:b w:val="0"/>
          <w:i w:val="0"/>
          <w:sz w:val="22"/>
        </w:rPr>
        <w:t>while:</w:t>
      </w:r>
    </w:p>
    <w:p>
      <w:pPr>
        <w:spacing w:after="80" w:line="293" w:lineRule="auto"/>
        <w:ind w:left="283"/>
        <w:jc w:val="left"/>
      </w:pPr>
      <w:r>
        <w:rPr>
          <w:rFonts w:ascii="Times New Roman" w:hAnsi="Times New Roman" w:cs="Times New Roman"/>
          <w:b w:val="0"/>
          <w:i w:val="0"/>
          <w:sz w:val="22"/>
        </w:rPr>
        <w:t>- Financial = REVERSED</w:t>
      </w:r>
    </w:p>
    <w:p>
      <w:pPr>
        <w:spacing w:after="80" w:line="293" w:lineRule="auto"/>
        <w:ind w:left="283"/>
        <w:jc w:val="left"/>
      </w:pPr>
      <w:r>
        <w:rPr>
          <w:rFonts w:ascii="Times New Roman" w:hAnsi="Times New Roman" w:cs="Times New Roman"/>
          <w:b w:val="0"/>
          <w:i w:val="0"/>
          <w:sz w:val="22"/>
        </w:rPr>
        <w:t>- Exposure = REOPENED</w:t>
      </w:r>
    </w:p>
    <w:p>
      <w:pPr>
        <w:spacing w:after="80" w:line="293" w:lineRule="auto"/>
        <w:jc w:val="left"/>
      </w:pPr>
      <w:r>
        <w:rPr>
          <w:rFonts w:ascii="Times New Roman" w:hAnsi="Times New Roman" w:cs="Times New Roman"/>
          <w:b w:val="0"/>
          <w:i w:val="0"/>
          <w:sz w:val="22"/>
        </w:rPr>
        <w:t>These states are not contradictory. They represent different dimensions.</w:t>
      </w:r>
    </w:p>
    <w:p>
      <w:pPr>
        <w:keepNext/>
        <w:spacing w:before="240" w:after="100"/>
        <w:outlineLvl w:val="1"/>
      </w:pPr>
      <w:r>
        <w:rPr>
          <w:rFonts w:ascii="Arial" w:hAnsi="Arial" w:cs="Arial"/>
          <w:b/>
          <w:i w:val="0"/>
          <w:color w:val="2E528F"/>
          <w:sz w:val="26"/>
        </w:rPr>
        <w:t>19.66 Obligation Graph</w:t>
      </w:r>
    </w:p>
    <w:p>
      <w:pPr>
        <w:spacing w:after="80" w:line="293" w:lineRule="auto"/>
        <w:jc w:val="left"/>
      </w:pPr>
      <w:r>
        <w:rPr>
          <w:rFonts w:ascii="Times New Roman" w:hAnsi="Times New Roman" w:cs="Times New Roman"/>
          <w:b w:val="0"/>
          <w:i w:val="0"/>
          <w:sz w:val="22"/>
        </w:rPr>
        <w:t>A trade is represented as a graph of obligations rather than merely a list of tasks. Example: a commercial agreement decomposes into a payment obligation, a documents obligation and a logistics obligation, each of which interacts with the bank, customs authority and carrier, driving settlement, clearance and delivery.</w:t>
      </w:r>
    </w:p>
    <w:p>
      <w:pPr>
        <w:spacing w:after="80" w:line="293" w:lineRule="auto"/>
        <w:jc w:val="left"/>
      </w:pPr>
      <w:r>
        <w:rPr>
          <w:rFonts w:ascii="Times New Roman" w:hAnsi="Times New Roman" w:cs="Times New Roman"/>
          <w:b w:val="0"/>
          <w:i w:val="0"/>
          <w:sz w:val="22"/>
        </w:rPr>
        <w:t>Each obligation contains, as applicable:</w:t>
      </w:r>
    </w:p>
    <w:p>
      <w:pPr>
        <w:spacing w:after="80" w:line="293" w:lineRule="auto"/>
        <w:ind w:left="283"/>
        <w:jc w:val="left"/>
      </w:pPr>
      <w:r>
        <w:rPr>
          <w:rFonts w:ascii="Times New Roman" w:hAnsi="Times New Roman" w:cs="Times New Roman"/>
          <w:b w:val="0"/>
          <w:i w:val="0"/>
          <w:sz w:val="22"/>
        </w:rPr>
        <w:t>- obligation ID;</w:t>
      </w:r>
    </w:p>
    <w:p>
      <w:pPr>
        <w:spacing w:after="80" w:line="293" w:lineRule="auto"/>
        <w:ind w:left="283"/>
        <w:jc w:val="left"/>
      </w:pPr>
      <w:r>
        <w:rPr>
          <w:rFonts w:ascii="Times New Roman" w:hAnsi="Times New Roman" w:cs="Times New Roman"/>
          <w:b w:val="0"/>
          <w:i w:val="0"/>
          <w:sz w:val="22"/>
        </w:rPr>
        <w:t>- prerequisite;</w:t>
      </w:r>
    </w:p>
    <w:p>
      <w:pPr>
        <w:spacing w:after="80" w:line="293" w:lineRule="auto"/>
        <w:ind w:left="283"/>
        <w:jc w:val="left"/>
      </w:pPr>
      <w:r>
        <w:rPr>
          <w:rFonts w:ascii="Times New Roman" w:hAnsi="Times New Roman" w:cs="Times New Roman"/>
          <w:b w:val="0"/>
          <w:i w:val="0"/>
          <w:sz w:val="22"/>
        </w:rPr>
        <w:t>- dependency;</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evidence requirement;</w:t>
      </w:r>
    </w:p>
    <w:p>
      <w:pPr>
        <w:spacing w:after="80" w:line="293" w:lineRule="auto"/>
        <w:ind w:left="283"/>
        <w:jc w:val="left"/>
      </w:pPr>
      <w:r>
        <w:rPr>
          <w:rFonts w:ascii="Times New Roman" w:hAnsi="Times New Roman" w:cs="Times New Roman"/>
          <w:b w:val="0"/>
          <w:i w:val="0"/>
          <w:sz w:val="22"/>
        </w:rPr>
        <w:t>- deadline;</w:t>
      </w:r>
    </w:p>
    <w:p>
      <w:pPr>
        <w:spacing w:after="80" w:line="293" w:lineRule="auto"/>
        <w:ind w:left="283"/>
        <w:jc w:val="left"/>
      </w:pPr>
      <w:r>
        <w:rPr>
          <w:rFonts w:ascii="Times New Roman" w:hAnsi="Times New Roman" w:cs="Times New Roman"/>
          <w:b w:val="0"/>
          <w:i w:val="0"/>
          <w:sz w:val="22"/>
        </w:rPr>
        <w:t>- completion condition;</w:t>
      </w:r>
    </w:p>
    <w:p>
      <w:pPr>
        <w:spacing w:after="80" w:line="293" w:lineRule="auto"/>
        <w:ind w:left="283"/>
        <w:jc w:val="left"/>
      </w:pPr>
      <w:r>
        <w:rPr>
          <w:rFonts w:ascii="Times New Roman" w:hAnsi="Times New Roman" w:cs="Times New Roman"/>
          <w:b w:val="0"/>
          <w:i w:val="0"/>
          <w:sz w:val="22"/>
        </w:rPr>
        <w:t>- reversal condition;</w:t>
      </w:r>
    </w:p>
    <w:p>
      <w:pPr>
        <w:spacing w:after="80" w:line="293" w:lineRule="auto"/>
        <w:ind w:left="283"/>
        <w:jc w:val="left"/>
      </w:pPr>
      <w:r>
        <w:rPr>
          <w:rFonts w:ascii="Times New Roman" w:hAnsi="Times New Roman" w:cs="Times New Roman"/>
          <w:b w:val="0"/>
          <w:i w:val="0"/>
          <w:sz w:val="22"/>
        </w:rPr>
        <w:t>- dispute condition;</w:t>
      </w:r>
    </w:p>
    <w:p>
      <w:pPr>
        <w:spacing w:after="80" w:line="293" w:lineRule="auto"/>
        <w:ind w:left="283"/>
        <w:jc w:val="left"/>
      </w:pPr>
      <w:r>
        <w:rPr>
          <w:rFonts w:ascii="Times New Roman" w:hAnsi="Times New Roman" w:cs="Times New Roman"/>
          <w:b w:val="0"/>
          <w:i w:val="0"/>
          <w:sz w:val="22"/>
        </w:rPr>
        <w:t>- recovery path;</w:t>
      </w:r>
    </w:p>
    <w:p>
      <w:pPr>
        <w:spacing w:after="80" w:line="293" w:lineRule="auto"/>
        <w:ind w:left="283"/>
        <w:jc w:val="left"/>
      </w:pPr>
      <w:r>
        <w:rPr>
          <w:rFonts w:ascii="Times New Roman" w:hAnsi="Times New Roman" w:cs="Times New Roman"/>
          <w:b w:val="0"/>
          <w:i w:val="0"/>
          <w:sz w:val="22"/>
        </w:rPr>
        <w:t>- financial consequence.</w:t>
      </w:r>
    </w:p>
    <w:p>
      <w:pPr>
        <w:keepNext/>
        <w:spacing w:before="240" w:after="100"/>
        <w:outlineLvl w:val="1"/>
      </w:pPr>
      <w:r>
        <w:rPr>
          <w:rFonts w:ascii="Arial" w:hAnsi="Arial" w:cs="Arial"/>
          <w:b/>
          <w:i w:val="0"/>
          <w:color w:val="2E528F"/>
          <w:sz w:val="26"/>
        </w:rPr>
        <w:t>19.67 Dependency Graph</w:t>
      </w:r>
    </w:p>
    <w:p>
      <w:pPr>
        <w:spacing w:after="80" w:line="293" w:lineRule="auto"/>
        <w:jc w:val="left"/>
      </w:pPr>
      <w:r>
        <w:rPr>
          <w:rFonts w:ascii="Times New Roman" w:hAnsi="Times New Roman" w:cs="Times New Roman"/>
          <w:b w:val="0"/>
          <w:i w:val="0"/>
          <w:sz w:val="22"/>
        </w:rPr>
        <w:t>SGTX understands dependencies. Example:</w:t>
      </w:r>
    </w:p>
    <w:p>
      <w:pPr>
        <w:spacing w:after="0" w:before="0" w:line="240" w:lineRule="auto"/>
        <w:ind w:left="57"/>
        <w:jc w:val="left"/>
        <w:shd w:val="clear" w:fill="F2F2F2"/>
      </w:pPr>
      <w:r>
        <w:rPr>
          <w:rFonts w:ascii="Consolas" w:hAnsi="Consolas" w:cs="Consolas"/>
          <w:b w:val="0"/>
          <w:i w:val="0"/>
          <w:sz w:val="15"/>
        </w:rPr>
        <w:t>DOCUMENT REVOKED → CUSTOMS OBLIGATION AFFECTED → CLEARANCE BLOCKED →</w:t>
      </w:r>
    </w:p>
    <w:p>
      <w:pPr>
        <w:spacing w:after="0" w:before="0" w:line="240" w:lineRule="auto"/>
        <w:ind w:left="57"/>
        <w:jc w:val="left"/>
        <w:shd w:val="clear" w:fill="F2F2F2"/>
      </w:pPr>
      <w:r>
        <w:rPr>
          <w:rFonts w:ascii="Consolas" w:hAnsi="Consolas" w:cs="Consolas"/>
          <w:b w:val="0"/>
          <w:i w:val="0"/>
          <w:sz w:val="15"/>
        </w:rPr>
        <w:t>DELIVERY MILESTONE AT RISK → PAYMENT CONDITION AFFECTED → FINANCIAL EXPOSURE CHANGES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19.67.1 Readiness Dimensions, Node &amp; Edge Model, Parallel Execution</w:t>
      </w:r>
    </w:p>
    <w:p>
      <w:pPr>
        <w:spacing w:after="80" w:line="293" w:lineRule="auto"/>
        <w:jc w:val="left"/>
      </w:pPr>
      <w:r>
        <w:rPr>
          <w:rFonts w:ascii="Times New Roman" w:hAnsi="Times New Roman" w:cs="Times New Roman"/>
          <w:b w:val="0"/>
          <w:i w:val="0"/>
          <w:sz w:val="22"/>
        </w:rPr>
        <w:t>The execution dependency graph is configuration-driven; the platform never forces a rigid universal sequence such as settled-then-customs-then-booking-then-loading. The graph contains readiness dimensions:</w:t>
      </w:r>
    </w:p>
    <w:p>
      <w:pPr>
        <w:spacing w:after="0" w:before="0" w:line="240" w:lineRule="auto"/>
        <w:ind w:left="57"/>
        <w:jc w:val="left"/>
        <w:shd w:val="clear" w:fill="F2F2F2"/>
      </w:pPr>
      <w:r>
        <w:rPr>
          <w:rFonts w:ascii="Consolas" w:hAnsi="Consolas" w:cs="Consolas"/>
          <w:b w:val="0"/>
          <w:i w:val="0"/>
          <w:sz w:val="15"/>
        </w:rPr>
        <w:t>BOOKING_READINESS | CUSTOMS_READINESS | FINANCIAL_READINESS | CARGO_READINESS</w:t>
      </w:r>
    </w:p>
    <w:p>
      <w:pPr>
        <w:spacing w:after="0" w:before="0" w:line="240" w:lineRule="auto"/>
        <w:ind w:left="57"/>
        <w:jc w:val="left"/>
        <w:shd w:val="clear" w:fill="F2F2F2"/>
      </w:pPr>
      <w:r>
        <w:rPr>
          <w:rFonts w:ascii="Consolas" w:hAnsi="Consolas" w:cs="Consolas"/>
          <w:b w:val="0"/>
          <w:i w:val="0"/>
          <w:sz w:val="15"/>
        </w:rPr>
        <w:t>REGULATORY_READINESS | DOCUMENT_READINESS | INSURANCE_READINESS | LOAD_READINESS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graph node contains: status, required flag, blocking flag, evidence, authority, dependencies, alternatives, timestamp, and policy_version. Country, lane, transport mode, Incoterm, commodity, and regulatory profile determine the dependency rules — the graph is evaluated per trade against corridor configuration (Sections 20.41–20.43), not against a global hard-coded sequence.</w:t>
      </w:r>
    </w:p>
    <w:p>
      <w:pPr>
        <w:spacing w:after="80" w:line="293" w:lineRule="auto"/>
        <w:jc w:val="left"/>
      </w:pPr>
      <w:r>
        <w:rPr>
          <w:rFonts w:ascii="Times New Roman" w:hAnsi="Times New Roman" w:cs="Times New Roman"/>
          <w:b w:val="0"/>
          <w:i w:val="0"/>
          <w:sz w:val="22"/>
        </w:rPr>
        <w:t>Each dependency edge supports: dependency_id, source_node, target_node, condition, required flag, blocking flag, authority, evidence_required, alternative_condition, policy_version, and status. Representative edges:</w:t>
      </w:r>
    </w:p>
    <w:p>
      <w:pPr>
        <w:spacing w:after="0" w:before="0" w:line="240" w:lineRule="auto"/>
        <w:ind w:left="57"/>
        <w:jc w:val="left"/>
        <w:shd w:val="clear" w:fill="F2F2F2"/>
      </w:pPr>
      <w:r>
        <w:rPr>
          <w:rFonts w:ascii="Consolas" w:hAnsi="Consolas" w:cs="Consolas"/>
          <w:b w:val="0"/>
          <w:i w:val="0"/>
          <w:sz w:val="15"/>
        </w:rPr>
        <w:t>LOAD  requires  CARGO_READY = TRUE</w:t>
      </w:r>
    </w:p>
    <w:p>
      <w:pPr>
        <w:spacing w:after="0" w:before="0" w:line="240" w:lineRule="auto"/>
        <w:ind w:left="57"/>
        <w:jc w:val="left"/>
        <w:shd w:val="clear" w:fill="F2F2F2"/>
      </w:pPr>
      <w:r>
        <w:rPr>
          <w:rFonts w:ascii="Consolas" w:hAnsi="Consolas" w:cs="Consolas"/>
          <w:b w:val="0"/>
          <w:i w:val="0"/>
          <w:sz w:val="15"/>
        </w:rPr>
        <w:t>LOAD  requires  BOOKING_READY = TRUE</w:t>
      </w:r>
    </w:p>
    <w:p>
      <w:pPr>
        <w:spacing w:after="0" w:before="0" w:line="240" w:lineRule="auto"/>
        <w:ind w:left="57"/>
        <w:jc w:val="left"/>
        <w:shd w:val="clear" w:fill="F2F2F2"/>
      </w:pPr>
      <w:r>
        <w:rPr>
          <w:rFonts w:ascii="Consolas" w:hAnsi="Consolas" w:cs="Consolas"/>
          <w:b w:val="0"/>
          <w:i w:val="0"/>
          <w:sz w:val="15"/>
        </w:rPr>
        <w:t>LOAD  may require  CUSTOMS_EXPORT_READY = TRUE   (per corridor configuration)</w:t>
      </w:r>
    </w:p>
    <w:p>
      <w:pPr>
        <w:spacing w:after="0" w:before="0" w:line="240" w:lineRule="auto"/>
        <w:ind w:left="57"/>
        <w:jc w:val="left"/>
        <w:shd w:val="clear" w:fill="F2F2F2"/>
      </w:pPr>
      <w:r>
        <w:rPr>
          <w:rFonts w:ascii="Consolas" w:hAnsi="Consolas" w:cs="Consolas"/>
          <w:b w:val="0"/>
          <w:i w:val="0"/>
          <w:sz w:val="15"/>
        </w:rPr>
        <w:t>LOAD  may require  FINANCIAL_READY = TRUE        (per corridor configuration)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Parallelism is allowed wherever legally and operationally possible: booking preparation and customs preparation may proceed concurrently, and the graph determines whether booking, customs, documentation, cargo preparation, financing, and insurance proceed concurrently for a given lane. The platform never encodes sequencing assumptions that are not universally true. A blocked readiness node is explainable through the blocker model (Section 16.4.5): it identifies the unmet dependency, its authority, and the required action. Corridor-specific behaviour lives in configuration; the canonical transaction model is never modified by adapters (Section 20.118).</w:t>
      </w:r>
    </w:p>
    <w:p>
      <w:pPr>
        <w:keepNext/>
        <w:spacing w:before="240" w:after="100"/>
        <w:outlineLvl w:val="1"/>
      </w:pPr>
      <w:r>
        <w:rPr>
          <w:rFonts w:ascii="Arial" w:hAnsi="Arial" w:cs="Arial"/>
          <w:b/>
          <w:i w:val="0"/>
          <w:color w:val="2E528F"/>
          <w:sz w:val="26"/>
        </w:rPr>
        <w:t>19.68 Recovery Graph</w:t>
      </w:r>
    </w:p>
    <w:p>
      <w:pPr>
        <w:spacing w:after="80" w:line="293" w:lineRule="auto"/>
        <w:jc w:val="left"/>
      </w:pPr>
      <w:r>
        <w:rPr>
          <w:rFonts w:ascii="Times New Roman" w:hAnsi="Times New Roman" w:cs="Times New Roman"/>
          <w:b w:val="0"/>
          <w:i w:val="0"/>
          <w:sz w:val="22"/>
        </w:rPr>
        <w:t>Every important transaction class has governed recovery pathways. Example — document revoked:</w:t>
      </w:r>
    </w:p>
    <w:p>
      <w:pPr>
        <w:spacing w:after="80" w:line="293" w:lineRule="auto"/>
        <w:ind w:left="283"/>
        <w:jc w:val="left"/>
      </w:pPr>
      <w:r>
        <w:rPr>
          <w:rFonts w:ascii="Times New Roman" w:hAnsi="Times New Roman" w:cs="Times New Roman"/>
          <w:b w:val="0"/>
          <w:i w:val="0"/>
          <w:sz w:val="22"/>
        </w:rPr>
        <w:t>- Replace Document</w:t>
      </w:r>
    </w:p>
    <w:p>
      <w:pPr>
        <w:spacing w:after="80" w:line="293" w:lineRule="auto"/>
        <w:ind w:left="283"/>
        <w:jc w:val="left"/>
      </w:pPr>
      <w:r>
        <w:rPr>
          <w:rFonts w:ascii="Times New Roman" w:hAnsi="Times New Roman" w:cs="Times New Roman"/>
          <w:b w:val="0"/>
          <w:i w:val="0"/>
          <w:sz w:val="22"/>
        </w:rPr>
        <w:t>- Suspend Milestone</w:t>
      </w:r>
    </w:p>
    <w:p>
      <w:pPr>
        <w:spacing w:after="80" w:line="293" w:lineRule="auto"/>
        <w:ind w:left="283"/>
        <w:jc w:val="left"/>
      </w:pPr>
      <w:r>
        <w:rPr>
          <w:rFonts w:ascii="Times New Roman" w:hAnsi="Times New Roman" w:cs="Times New Roman"/>
          <w:b w:val="0"/>
          <w:i w:val="0"/>
          <w:sz w:val="22"/>
        </w:rPr>
        <w:t>- Notify Authority</w:t>
      </w:r>
    </w:p>
    <w:p>
      <w:pPr>
        <w:spacing w:after="80" w:line="293" w:lineRule="auto"/>
        <w:ind w:left="283"/>
        <w:jc w:val="left"/>
      </w:pPr>
      <w:r>
        <w:rPr>
          <w:rFonts w:ascii="Times New Roman" w:hAnsi="Times New Roman" w:cs="Times New Roman"/>
          <w:b w:val="0"/>
          <w:i w:val="0"/>
          <w:sz w:val="22"/>
        </w:rPr>
        <w:t>- Reopen Compliance</w:t>
      </w:r>
    </w:p>
    <w:p>
      <w:pPr>
        <w:spacing w:after="80" w:line="293" w:lineRule="auto"/>
        <w:ind w:left="283"/>
        <w:jc w:val="left"/>
      </w:pPr>
      <w:r>
        <w:rPr>
          <w:rFonts w:ascii="Times New Roman" w:hAnsi="Times New Roman" w:cs="Times New Roman"/>
          <w:b w:val="0"/>
          <w:i w:val="0"/>
          <w:sz w:val="22"/>
        </w:rPr>
        <w:t>- Correct Obligation</w:t>
      </w:r>
    </w:p>
    <w:p>
      <w:pPr>
        <w:spacing w:after="80" w:line="293" w:lineRule="auto"/>
        <w:ind w:left="283"/>
        <w:jc w:val="left"/>
      </w:pPr>
      <w:r>
        <w:rPr>
          <w:rFonts w:ascii="Times New Roman" w:hAnsi="Times New Roman" w:cs="Times New Roman"/>
          <w:b w:val="0"/>
          <w:i w:val="0"/>
          <w:sz w:val="22"/>
        </w:rPr>
        <w:t>- Terminate / Alternative Contract Path</w:t>
      </w:r>
    </w:p>
    <w:p>
      <w:pPr>
        <w:spacing w:after="80" w:line="293" w:lineRule="auto"/>
        <w:jc w:val="left"/>
      </w:pPr>
      <w:r>
        <w:rPr>
          <w:rFonts w:ascii="Times New Roman" w:hAnsi="Times New Roman" w:cs="Times New Roman"/>
          <w:b w:val="0"/>
          <w:i w:val="0"/>
          <w:sz w:val="22"/>
        </w:rPr>
        <w:t>Recovery must be policy-driven and authority-controlled.</w:t>
      </w:r>
    </w:p>
    <w:p>
      <w:pPr>
        <w:keepNext/>
        <w:spacing w:before="240" w:after="100"/>
        <w:outlineLvl w:val="1"/>
      </w:pPr>
      <w:r>
        <w:rPr>
          <w:rFonts w:ascii="Arial" w:hAnsi="Arial" w:cs="Arial"/>
          <w:b/>
          <w:i w:val="0"/>
          <w:color w:val="2E528F"/>
          <w:sz w:val="26"/>
        </w:rPr>
        <w:t>19.69 Causal Impact Engine</w:t>
      </w:r>
    </w:p>
    <w:p>
      <w:pPr>
        <w:spacing w:after="80" w:line="293" w:lineRule="auto"/>
        <w:jc w:val="left"/>
      </w:pPr>
      <w:r>
        <w:rPr>
          <w:rFonts w:ascii="Times New Roman" w:hAnsi="Times New Roman" w:cs="Times New Roman"/>
          <w:b w:val="0"/>
          <w:i w:val="0"/>
          <w:sz w:val="22"/>
        </w:rPr>
        <w:t>When an event occurs, SGTX evaluates: what else does this event affect? Example — payment reversed:</w:t>
      </w:r>
    </w:p>
    <w:p>
      <w:pPr>
        <w:spacing w:after="0" w:before="0" w:line="240" w:lineRule="auto"/>
        <w:ind w:left="57"/>
        <w:jc w:val="left"/>
        <w:shd w:val="clear" w:fill="F2F2F2"/>
      </w:pPr>
      <w:r>
        <w:rPr>
          <w:rFonts w:ascii="Consolas" w:hAnsi="Consolas" w:cs="Consolas"/>
          <w:b w:val="0"/>
          <w:i w:val="0"/>
          <w:sz w:val="15"/>
        </w:rPr>
        <w:t>PAYMENT REVERSED → Settlement Condition Affected → Financial Exposure Reopened →</w:t>
      </w:r>
    </w:p>
    <w:p>
      <w:pPr>
        <w:spacing w:after="0" w:before="0" w:line="240" w:lineRule="auto"/>
        <w:ind w:left="57"/>
        <w:jc w:val="left"/>
        <w:shd w:val="clear" w:fill="F2F2F2"/>
      </w:pPr>
      <w:r>
        <w:rPr>
          <w:rFonts w:ascii="Consolas" w:hAnsi="Consolas" w:cs="Consolas"/>
          <w:b w:val="0"/>
          <w:i w:val="0"/>
          <w:sz w:val="15"/>
        </w:rPr>
        <w:t>Fee Realization Affected → Accounting Consequence → Contract Condition Review →</w:t>
      </w:r>
    </w:p>
    <w:p>
      <w:pPr>
        <w:spacing w:after="0" w:before="0" w:line="240" w:lineRule="auto"/>
        <w:ind w:left="57"/>
        <w:jc w:val="left"/>
        <w:shd w:val="clear" w:fill="F2F2F2"/>
      </w:pPr>
      <w:r>
        <w:rPr>
          <w:rFonts w:ascii="Consolas" w:hAnsi="Consolas" w:cs="Consolas"/>
          <w:b w:val="0"/>
          <w:i w:val="0"/>
          <w:sz w:val="15"/>
        </w:rPr>
        <w:t>Counterparty Notification → Recovery Path</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creates causal intelligence.</w:t>
      </w:r>
    </w:p>
    <w:p>
      <w:pPr>
        <w:keepNext/>
        <w:spacing w:before="240" w:after="100"/>
        <w:outlineLvl w:val="1"/>
      </w:pPr>
      <w:r>
        <w:rPr>
          <w:rFonts w:ascii="Arial" w:hAnsi="Arial" w:cs="Arial"/>
          <w:b/>
          <w:i w:val="0"/>
          <w:color w:val="2E528F"/>
          <w:sz w:val="26"/>
        </w:rPr>
        <w:t>19.70 Exception Engine</w:t>
      </w:r>
    </w:p>
    <w:p>
      <w:pPr>
        <w:spacing w:after="80" w:line="293" w:lineRule="auto"/>
        <w:jc w:val="left"/>
      </w:pPr>
      <w:r>
        <w:rPr>
          <w:rFonts w:ascii="Times New Roman" w:hAnsi="Times New Roman" w:cs="Times New Roman"/>
          <w:b w:val="0"/>
          <w:i w:val="0"/>
          <w:sz w:val="22"/>
        </w:rPr>
        <w:t>Inputs: Unexpected Event + Current State Vector + Policy + Authority + Evidence + Dependencies.</w:t>
      </w:r>
    </w:p>
    <w:p>
      <w:pPr>
        <w:spacing w:after="80" w:line="293" w:lineRule="auto"/>
        <w:jc w:val="left"/>
      </w:pPr>
      <w:r>
        <w:rPr>
          <w:rFonts w:ascii="Times New Roman" w:hAnsi="Times New Roman" w:cs="Times New Roman"/>
          <w:b/>
          <w:i w:val="0"/>
          <w:sz w:val="22"/>
        </w:rPr>
        <w:t>Outputs:</w:t>
      </w:r>
    </w:p>
    <w:p>
      <w:pPr>
        <w:spacing w:after="80" w:line="293" w:lineRule="auto"/>
        <w:ind w:left="283"/>
        <w:jc w:val="left"/>
      </w:pPr>
      <w:r>
        <w:rPr>
          <w:rFonts w:ascii="Times New Roman" w:hAnsi="Times New Roman" w:cs="Times New Roman"/>
          <w:b w:val="0"/>
          <w:i w:val="0"/>
          <w:sz w:val="22"/>
        </w:rPr>
        <w:t>- CONTINUE</w:t>
      </w:r>
    </w:p>
    <w:p>
      <w:pPr>
        <w:spacing w:after="80" w:line="293" w:lineRule="auto"/>
        <w:ind w:left="283"/>
        <w:jc w:val="left"/>
      </w:pPr>
      <w:r>
        <w:rPr>
          <w:rFonts w:ascii="Times New Roman" w:hAnsi="Times New Roman" w:cs="Times New Roman"/>
          <w:b w:val="0"/>
          <w:i w:val="0"/>
          <w:sz w:val="22"/>
        </w:rPr>
        <w:t>- PAUSE</w:t>
      </w:r>
    </w:p>
    <w:p>
      <w:pPr>
        <w:spacing w:after="80" w:line="293" w:lineRule="auto"/>
        <w:ind w:left="283"/>
        <w:jc w:val="left"/>
      </w:pPr>
      <w:r>
        <w:rPr>
          <w:rFonts w:ascii="Times New Roman" w:hAnsi="Times New Roman" w:cs="Times New Roman"/>
          <w:b w:val="0"/>
          <w:i w:val="0"/>
          <w:sz w:val="22"/>
        </w:rPr>
        <w:t>- ESCALATE</w:t>
      </w:r>
    </w:p>
    <w:p>
      <w:pPr>
        <w:spacing w:after="80" w:line="293" w:lineRule="auto"/>
        <w:ind w:left="283"/>
        <w:jc w:val="left"/>
      </w:pPr>
      <w:r>
        <w:rPr>
          <w:rFonts w:ascii="Times New Roman" w:hAnsi="Times New Roman" w:cs="Times New Roman"/>
          <w:b w:val="0"/>
          <w:i w:val="0"/>
          <w:sz w:val="22"/>
        </w:rPr>
        <w:t>- RECONCILE</w:t>
      </w:r>
    </w:p>
    <w:p>
      <w:pPr>
        <w:spacing w:after="80" w:line="293" w:lineRule="auto"/>
        <w:ind w:left="283"/>
        <w:jc w:val="left"/>
      </w:pPr>
      <w:r>
        <w:rPr>
          <w:rFonts w:ascii="Times New Roman" w:hAnsi="Times New Roman" w:cs="Times New Roman"/>
          <w:b w:val="0"/>
          <w:i w:val="0"/>
          <w:sz w:val="22"/>
        </w:rPr>
        <w:t>- CORRECT</w:t>
      </w:r>
    </w:p>
    <w:p>
      <w:pPr>
        <w:spacing w:after="80" w:line="293" w:lineRule="auto"/>
        <w:ind w:left="283"/>
        <w:jc w:val="left"/>
      </w:pPr>
      <w:r>
        <w:rPr>
          <w:rFonts w:ascii="Times New Roman" w:hAnsi="Times New Roman" w:cs="Times New Roman"/>
          <w:b w:val="0"/>
          <w:i w:val="0"/>
          <w:sz w:val="22"/>
        </w:rPr>
        <w:t>- COMPENSATE</w:t>
      </w:r>
    </w:p>
    <w:p>
      <w:pPr>
        <w:spacing w:after="80" w:line="293" w:lineRule="auto"/>
        <w:ind w:left="283"/>
        <w:jc w:val="left"/>
      </w:pPr>
      <w:r>
        <w:rPr>
          <w:rFonts w:ascii="Times New Roman" w:hAnsi="Times New Roman" w:cs="Times New Roman"/>
          <w:b w:val="0"/>
          <w:i w:val="0"/>
          <w:sz w:val="22"/>
        </w:rPr>
        <w:t>- REQUEST AUTHORITY</w:t>
      </w:r>
    </w:p>
    <w:p>
      <w:pPr>
        <w:spacing w:after="80" w:line="293" w:lineRule="auto"/>
        <w:ind w:left="283"/>
        <w:jc w:val="left"/>
      </w:pPr>
      <w:r>
        <w:rPr>
          <w:rFonts w:ascii="Times New Roman" w:hAnsi="Times New Roman" w:cs="Times New Roman"/>
          <w:b w:val="0"/>
          <w:i w:val="0"/>
          <w:sz w:val="22"/>
        </w:rPr>
        <w:t>- CLOSE WITH EXCEPTION</w:t>
      </w:r>
    </w:p>
    <w:p>
      <w:pPr>
        <w:spacing w:after="80" w:line="293" w:lineRule="auto"/>
        <w:jc w:val="left"/>
      </w:pPr>
      <w:r>
        <w:rPr>
          <w:rFonts w:ascii="Times New Roman" w:hAnsi="Times New Roman" w:cs="Times New Roman"/>
          <w:b w:val="0"/>
          <w:i w:val="0"/>
          <w:sz w:val="22"/>
        </w:rPr>
        <w:t>The Exception Engine remains deterministic/policy-governed for authoritative actions.</w:t>
      </w:r>
    </w:p>
    <w:p>
      <w:pPr>
        <w:keepNext/>
        <w:spacing w:before="240" w:after="100"/>
        <w:outlineLvl w:val="1"/>
      </w:pPr>
      <w:r>
        <w:rPr>
          <w:rFonts w:ascii="Arial" w:hAnsi="Arial" w:cs="Arial"/>
          <w:b/>
          <w:i w:val="0"/>
          <w:color w:val="2E528F"/>
          <w:sz w:val="26"/>
        </w:rPr>
        <w:t>19.71 Exception Containment</w:t>
      </w:r>
    </w:p>
    <w:p>
      <w:pPr>
        <w:spacing w:after="80" w:line="293" w:lineRule="auto"/>
        <w:jc w:val="left"/>
      </w:pPr>
      <w:r>
        <w:rPr>
          <w:rFonts w:ascii="Times New Roman" w:hAnsi="Times New Roman" w:cs="Times New Roman"/>
          <w:b w:val="0"/>
          <w:i w:val="0"/>
          <w:sz w:val="22"/>
        </w:rPr>
        <w:t>An exception affects only the necessary transaction scope. Example: a document issue does not automatically freeze an unrelated payment unless:</w:t>
      </w:r>
    </w:p>
    <w:p>
      <w:pPr>
        <w:spacing w:after="80" w:line="293" w:lineRule="auto"/>
        <w:ind w:left="283"/>
        <w:jc w:val="left"/>
      </w:pPr>
      <w:r>
        <w:rPr>
          <w:rFonts w:ascii="Times New Roman" w:hAnsi="Times New Roman" w:cs="Times New Roman"/>
          <w:b w:val="0"/>
          <w:i w:val="0"/>
          <w:sz w:val="22"/>
        </w:rPr>
        <w:t>- the obligation graph;</w:t>
      </w:r>
    </w:p>
    <w:p>
      <w:pPr>
        <w:spacing w:after="80" w:line="293" w:lineRule="auto"/>
        <w:ind w:left="283"/>
        <w:jc w:val="left"/>
      </w:pPr>
      <w:r>
        <w:rPr>
          <w:rFonts w:ascii="Times New Roman" w:hAnsi="Times New Roman" w:cs="Times New Roman"/>
          <w:b w:val="0"/>
          <w:i w:val="0"/>
          <w:sz w:val="22"/>
        </w:rPr>
        <w:t>- settlement dependency;</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policy;</w:t>
      </w:r>
    </w:p>
    <w:p>
      <w:pPr>
        <w:spacing w:after="80" w:line="293" w:lineRule="auto"/>
        <w:ind w:left="283"/>
        <w:jc w:val="left"/>
      </w:pPr>
      <w:r>
        <w:rPr>
          <w:rFonts w:ascii="Times New Roman" w:hAnsi="Times New Roman" w:cs="Times New Roman"/>
          <w:b w:val="0"/>
          <w:i w:val="0"/>
          <w:sz w:val="22"/>
        </w:rPr>
        <w:t>- jurisdiction;</w:t>
      </w:r>
    </w:p>
    <w:p>
      <w:pPr>
        <w:spacing w:after="80" w:line="293" w:lineRule="auto"/>
        <w:ind w:left="283"/>
        <w:jc w:val="left"/>
      </w:pPr>
      <w:r>
        <w:rPr>
          <w:rFonts w:ascii="Times New Roman" w:hAnsi="Times New Roman" w:cs="Times New Roman"/>
          <w:b w:val="0"/>
          <w:i w:val="0"/>
          <w:sz w:val="22"/>
        </w:rPr>
        <w:t>- or authority</w:t>
      </w:r>
    </w:p>
    <w:p>
      <w:pPr>
        <w:spacing w:after="80" w:line="293" w:lineRule="auto"/>
        <w:jc w:val="left"/>
      </w:pPr>
      <w:r>
        <w:rPr>
          <w:rFonts w:ascii="Times New Roman" w:hAnsi="Times New Roman" w:cs="Times New Roman"/>
          <w:b w:val="0"/>
          <w:i w:val="0"/>
          <w:sz w:val="22"/>
        </w:rPr>
        <w:t>requires the dependency. This creates localized failure containment rather than one failure collapsing the entire transaction.</w:t>
      </w:r>
    </w:p>
    <w:p>
      <w:pPr>
        <w:keepNext/>
        <w:spacing w:before="240" w:after="100"/>
        <w:outlineLvl w:val="1"/>
      </w:pPr>
      <w:r>
        <w:rPr>
          <w:rFonts w:ascii="Arial" w:hAnsi="Arial" w:cs="Arial"/>
          <w:b/>
          <w:i w:val="0"/>
          <w:color w:val="2E528F"/>
          <w:sz w:val="26"/>
        </w:rPr>
        <w:t>19.72 Exception Severity</w:t>
      </w:r>
    </w:p>
    <w:p>
      <w:pPr>
        <w:spacing w:after="80" w:line="293" w:lineRule="auto"/>
        <w:jc w:val="left"/>
      </w:pPr>
      <w:r>
        <w:rPr>
          <w:rFonts w:ascii="Times New Roman" w:hAnsi="Times New Roman" w:cs="Times New Roman"/>
          <w:b w:val="0"/>
          <w:i w:val="0"/>
          <w:sz w:val="22"/>
        </w:rPr>
        <w:t>Canonical severity model: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Severity</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Severity 1</w:t>
            </w:r>
          </w:p>
        </w:tc>
        <w:tc>
          <w:tcPr>
            <w:tcW w:type="dxa" w:w="4819"/>
          </w:tcPr>
          <w:p>
            <w:pPr>
              <w:spacing w:after="20" w:before="20" w:line="240" w:lineRule="auto"/>
            </w:pPr>
            <w:r/>
            <w:r>
              <w:rPr>
                <w:rFonts w:ascii="Arial" w:hAnsi="Arial" w:cs="Arial"/>
                <w:b w:val="0"/>
                <w:i w:val="0"/>
                <w:sz w:val="17"/>
              </w:rPr>
              <w:t>Informational.</w:t>
            </w:r>
          </w:p>
        </w:tc>
      </w:tr>
      <w:tr>
        <w:tc>
          <w:tcPr>
            <w:tcW w:type="dxa" w:w="4819"/>
          </w:tcPr>
          <w:p>
            <w:pPr>
              <w:spacing w:after="20" w:before="20" w:line="240" w:lineRule="auto"/>
            </w:pPr>
            <w:r/>
            <w:r>
              <w:rPr>
                <w:rFonts w:ascii="Arial" w:hAnsi="Arial" w:cs="Arial"/>
                <w:b w:val="0"/>
                <w:i w:val="0"/>
                <w:sz w:val="17"/>
              </w:rPr>
              <w:t>Severity 2</w:t>
            </w:r>
          </w:p>
        </w:tc>
        <w:tc>
          <w:tcPr>
            <w:tcW w:type="dxa" w:w="4819"/>
          </w:tcPr>
          <w:p>
            <w:pPr>
              <w:spacing w:after="20" w:before="20" w:line="240" w:lineRule="auto"/>
            </w:pPr>
            <w:r/>
            <w:r>
              <w:rPr>
                <w:rFonts w:ascii="Arial" w:hAnsi="Arial" w:cs="Arial"/>
                <w:b w:val="0"/>
                <w:i w:val="0"/>
                <w:sz w:val="17"/>
              </w:rPr>
              <w:t>Operational review.</w:t>
            </w:r>
          </w:p>
        </w:tc>
      </w:tr>
      <w:tr>
        <w:tc>
          <w:tcPr>
            <w:tcW w:type="dxa" w:w="4819"/>
          </w:tcPr>
          <w:p>
            <w:pPr>
              <w:spacing w:after="20" w:before="20" w:line="240" w:lineRule="auto"/>
            </w:pPr>
            <w:r/>
            <w:r>
              <w:rPr>
                <w:rFonts w:ascii="Arial" w:hAnsi="Arial" w:cs="Arial"/>
                <w:b w:val="0"/>
                <w:i w:val="0"/>
                <w:sz w:val="17"/>
              </w:rPr>
              <w:t>Severity 3</w:t>
            </w:r>
          </w:p>
        </w:tc>
        <w:tc>
          <w:tcPr>
            <w:tcW w:type="dxa" w:w="4819"/>
          </w:tcPr>
          <w:p>
            <w:pPr>
              <w:spacing w:after="20" w:before="20" w:line="240" w:lineRule="auto"/>
            </w:pPr>
            <w:r/>
            <w:r>
              <w:rPr>
                <w:rFonts w:ascii="Arial" w:hAnsi="Arial" w:cs="Arial"/>
                <w:b w:val="0"/>
                <w:i w:val="0"/>
                <w:sz w:val="17"/>
              </w:rPr>
              <w:t>Financial reconciliation required.</w:t>
            </w:r>
          </w:p>
        </w:tc>
      </w:tr>
      <w:tr>
        <w:tc>
          <w:tcPr>
            <w:tcW w:type="dxa" w:w="4819"/>
          </w:tcPr>
          <w:p>
            <w:pPr>
              <w:spacing w:after="20" w:before="20" w:line="240" w:lineRule="auto"/>
            </w:pPr>
            <w:r/>
            <w:r>
              <w:rPr>
                <w:rFonts w:ascii="Arial" w:hAnsi="Arial" w:cs="Arial"/>
                <w:b w:val="0"/>
                <w:i w:val="0"/>
                <w:sz w:val="17"/>
              </w:rPr>
              <w:t>Severity 4</w:t>
            </w:r>
          </w:p>
        </w:tc>
        <w:tc>
          <w:tcPr>
            <w:tcW w:type="dxa" w:w="4819"/>
          </w:tcPr>
          <w:p>
            <w:pPr>
              <w:spacing w:after="20" w:before="20" w:line="240" w:lineRule="auto"/>
            </w:pPr>
            <w:r/>
            <w:r>
              <w:rPr>
                <w:rFonts w:ascii="Arial" w:hAnsi="Arial" w:cs="Arial"/>
                <w:b w:val="0"/>
                <w:i w:val="0"/>
                <w:sz w:val="17"/>
              </w:rPr>
              <w:t>Execution suspension.</w:t>
            </w:r>
          </w:p>
        </w:tc>
      </w:tr>
      <w:tr>
        <w:tc>
          <w:tcPr>
            <w:tcW w:type="dxa" w:w="4819"/>
          </w:tcPr>
          <w:p>
            <w:pPr>
              <w:spacing w:after="20" w:before="20" w:line="240" w:lineRule="auto"/>
            </w:pPr>
            <w:r/>
            <w:r>
              <w:rPr>
                <w:rFonts w:ascii="Arial" w:hAnsi="Arial" w:cs="Arial"/>
                <w:b w:val="0"/>
                <w:i w:val="0"/>
                <w:sz w:val="17"/>
              </w:rPr>
              <w:t>Severity 5</w:t>
            </w:r>
          </w:p>
        </w:tc>
        <w:tc>
          <w:tcPr>
            <w:tcW w:type="dxa" w:w="4819"/>
          </w:tcPr>
          <w:p>
            <w:pPr>
              <w:spacing w:after="20" w:before="20" w:line="240" w:lineRule="auto"/>
            </w:pPr>
            <w:r/>
            <w:r>
              <w:rPr>
                <w:rFonts w:ascii="Arial" w:hAnsi="Arial" w:cs="Arial"/>
                <w:b w:val="0"/>
                <w:i w:val="0"/>
                <w:sz w:val="17"/>
              </w:rPr>
              <w:t>Legal/regulatory escalation.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Severity thresholds are configurable by transaction class and jurisdiction.</w:t>
      </w:r>
    </w:p>
    <w:p>
      <w:pPr>
        <w:keepNext/>
        <w:spacing w:before="240" w:after="100"/>
        <w:outlineLvl w:val="1"/>
      </w:pPr>
      <w:r>
        <w:rPr>
          <w:rFonts w:ascii="Arial" w:hAnsi="Arial" w:cs="Arial"/>
          <w:b/>
          <w:i w:val="0"/>
          <w:color w:val="2E528F"/>
          <w:sz w:val="26"/>
        </w:rPr>
        <w:t>19.73 Exception SLA</w:t>
      </w:r>
    </w:p>
    <w:p>
      <w:pPr>
        <w:spacing w:after="80" w:line="293" w:lineRule="auto"/>
        <w:jc w:val="left"/>
      </w:pPr>
      <w:r>
        <w:rPr>
          <w:rFonts w:ascii="Times New Roman" w:hAnsi="Times New Roman" w:cs="Times New Roman"/>
          <w:b w:val="0"/>
          <w:i w:val="0"/>
          <w:sz w:val="22"/>
        </w:rPr>
        <w:t>Exceptions may have:</w:t>
      </w:r>
    </w:p>
    <w:p>
      <w:pPr>
        <w:spacing w:after="80" w:line="293" w:lineRule="auto"/>
        <w:ind w:left="283"/>
        <w:jc w:val="left"/>
      </w:pPr>
      <w:r>
        <w:rPr>
          <w:rFonts w:ascii="Times New Roman" w:hAnsi="Times New Roman" w:cs="Times New Roman"/>
          <w:b w:val="0"/>
          <w:i w:val="0"/>
          <w:sz w:val="22"/>
        </w:rPr>
        <w:t>- detection deadline;</w:t>
      </w:r>
    </w:p>
    <w:p>
      <w:pPr>
        <w:spacing w:after="80" w:line="293" w:lineRule="auto"/>
        <w:ind w:left="283"/>
        <w:jc w:val="left"/>
      </w:pPr>
      <w:r>
        <w:rPr>
          <w:rFonts w:ascii="Times New Roman" w:hAnsi="Times New Roman" w:cs="Times New Roman"/>
          <w:b w:val="0"/>
          <w:i w:val="0"/>
          <w:sz w:val="22"/>
        </w:rPr>
        <w:t>- acknowledgment deadline;</w:t>
      </w:r>
    </w:p>
    <w:p>
      <w:pPr>
        <w:spacing w:after="80" w:line="293" w:lineRule="auto"/>
        <w:ind w:left="283"/>
        <w:jc w:val="left"/>
      </w:pPr>
      <w:r>
        <w:rPr>
          <w:rFonts w:ascii="Times New Roman" w:hAnsi="Times New Roman" w:cs="Times New Roman"/>
          <w:b w:val="0"/>
          <w:i w:val="0"/>
          <w:sz w:val="22"/>
        </w:rPr>
        <w:t>- resolution target;</w:t>
      </w:r>
    </w:p>
    <w:p>
      <w:pPr>
        <w:spacing w:after="80" w:line="293" w:lineRule="auto"/>
        <w:ind w:left="283"/>
        <w:jc w:val="left"/>
      </w:pPr>
      <w:r>
        <w:rPr>
          <w:rFonts w:ascii="Times New Roman" w:hAnsi="Times New Roman" w:cs="Times New Roman"/>
          <w:b w:val="0"/>
          <w:i w:val="0"/>
          <w:sz w:val="22"/>
        </w:rPr>
        <w:t>- escalation deadline;</w:t>
      </w:r>
    </w:p>
    <w:p>
      <w:pPr>
        <w:spacing w:after="80" w:line="293" w:lineRule="auto"/>
        <w:ind w:left="283"/>
        <w:jc w:val="left"/>
      </w:pPr>
      <w:r>
        <w:rPr>
          <w:rFonts w:ascii="Times New Roman" w:hAnsi="Times New Roman" w:cs="Times New Roman"/>
          <w:b w:val="0"/>
          <w:i w:val="0"/>
          <w:sz w:val="22"/>
        </w:rPr>
        <w:t>- authority escalation path.</w:t>
      </w:r>
    </w:p>
    <w:p>
      <w:pPr>
        <w:spacing w:after="80" w:line="293" w:lineRule="auto"/>
        <w:jc w:val="left"/>
      </w:pPr>
      <w:r>
        <w:rPr>
          <w:rFonts w:ascii="Times New Roman" w:hAnsi="Times New Roman" w:cs="Times New Roman"/>
          <w:b w:val="0"/>
          <w:i w:val="0"/>
          <w:sz w:val="22"/>
        </w:rPr>
        <w:t>These are operational policies, not immutable universal values.</w:t>
      </w:r>
    </w:p>
    <w:p>
      <w:pPr>
        <w:keepNext/>
        <w:spacing w:before="240" w:after="100"/>
        <w:outlineLvl w:val="1"/>
      </w:pPr>
      <w:r>
        <w:rPr>
          <w:rFonts w:ascii="Arial" w:hAnsi="Arial" w:cs="Arial"/>
          <w:b/>
          <w:i w:val="0"/>
          <w:color w:val="2E528F"/>
          <w:sz w:val="26"/>
        </w:rPr>
        <w:t>19.74 Document Authenticity &amp; Versioning</w:t>
      </w:r>
    </w:p>
    <w:p>
      <w:pPr>
        <w:spacing w:after="80" w:line="293" w:lineRule="auto"/>
        <w:jc w:val="left"/>
      </w:pPr>
      <w:r>
        <w:rPr>
          <w:rFonts w:ascii="Times New Roman" w:hAnsi="Times New Roman" w:cs="Times New Roman"/>
          <w:b w:val="0"/>
          <w:i w:val="0"/>
          <w:sz w:val="22"/>
        </w:rPr>
        <w:t>Significant documents support:</w:t>
      </w:r>
    </w:p>
    <w:p>
      <w:pPr>
        <w:spacing w:after="80" w:line="293" w:lineRule="auto"/>
        <w:ind w:left="283"/>
        <w:jc w:val="left"/>
      </w:pPr>
      <w:r>
        <w:rPr>
          <w:rFonts w:ascii="Times New Roman" w:hAnsi="Times New Roman" w:cs="Times New Roman"/>
          <w:b w:val="0"/>
          <w:i w:val="0"/>
          <w:sz w:val="22"/>
        </w:rPr>
        <w:t>- Document ID</w:t>
      </w:r>
    </w:p>
    <w:p>
      <w:pPr>
        <w:spacing w:after="80" w:line="293" w:lineRule="auto"/>
        <w:ind w:left="283"/>
        <w:jc w:val="left"/>
      </w:pPr>
      <w:r>
        <w:rPr>
          <w:rFonts w:ascii="Times New Roman" w:hAnsi="Times New Roman" w:cs="Times New Roman"/>
          <w:b w:val="0"/>
          <w:i w:val="0"/>
          <w:sz w:val="22"/>
        </w:rPr>
        <w:t>- Issuer</w:t>
      </w:r>
    </w:p>
    <w:p>
      <w:pPr>
        <w:spacing w:after="80" w:line="293" w:lineRule="auto"/>
        <w:ind w:left="283"/>
        <w:jc w:val="left"/>
      </w:pPr>
      <w:r>
        <w:rPr>
          <w:rFonts w:ascii="Times New Roman" w:hAnsi="Times New Roman" w:cs="Times New Roman"/>
          <w:b w:val="0"/>
          <w:i w:val="0"/>
          <w:sz w:val="22"/>
        </w:rPr>
        <w:t>- Version</w:t>
      </w:r>
    </w:p>
    <w:p>
      <w:pPr>
        <w:spacing w:after="80" w:line="293" w:lineRule="auto"/>
        <w:ind w:left="283"/>
        <w:jc w:val="left"/>
      </w:pPr>
      <w:r>
        <w:rPr>
          <w:rFonts w:ascii="Times New Roman" w:hAnsi="Times New Roman" w:cs="Times New Roman"/>
          <w:b w:val="0"/>
          <w:i w:val="0"/>
          <w:sz w:val="22"/>
        </w:rPr>
        <w:t>- Issue Time</w:t>
      </w:r>
    </w:p>
    <w:p>
      <w:pPr>
        <w:spacing w:after="80" w:line="293" w:lineRule="auto"/>
        <w:ind w:left="283"/>
        <w:jc w:val="left"/>
      </w:pPr>
      <w:r>
        <w:rPr>
          <w:rFonts w:ascii="Times New Roman" w:hAnsi="Times New Roman" w:cs="Times New Roman"/>
          <w:b w:val="0"/>
          <w:i w:val="0"/>
          <w:sz w:val="22"/>
        </w:rPr>
        <w:t>- Effective Time</w:t>
      </w:r>
    </w:p>
    <w:p>
      <w:pPr>
        <w:spacing w:after="80" w:line="293" w:lineRule="auto"/>
        <w:ind w:left="283"/>
        <w:jc w:val="left"/>
      </w:pPr>
      <w:r>
        <w:rPr>
          <w:rFonts w:ascii="Times New Roman" w:hAnsi="Times New Roman" w:cs="Times New Roman"/>
          <w:b w:val="0"/>
          <w:i w:val="0"/>
          <w:sz w:val="22"/>
        </w:rPr>
        <w:t>- Validity Period</w:t>
      </w:r>
    </w:p>
    <w:p>
      <w:pPr>
        <w:spacing w:after="80" w:line="293" w:lineRule="auto"/>
        <w:ind w:left="283"/>
        <w:jc w:val="left"/>
      </w:pPr>
      <w:r>
        <w:rPr>
          <w:rFonts w:ascii="Times New Roman" w:hAnsi="Times New Roman" w:cs="Times New Roman"/>
          <w:b w:val="0"/>
          <w:i w:val="0"/>
          <w:sz w:val="22"/>
        </w:rPr>
        <w:t>- Signature</w:t>
      </w:r>
    </w:p>
    <w:p>
      <w:pPr>
        <w:spacing w:after="80" w:line="293" w:lineRule="auto"/>
        <w:ind w:left="283"/>
        <w:jc w:val="left"/>
      </w:pPr>
      <w:r>
        <w:rPr>
          <w:rFonts w:ascii="Times New Roman" w:hAnsi="Times New Roman" w:cs="Times New Roman"/>
          <w:b w:val="0"/>
          <w:i w:val="0"/>
          <w:sz w:val="22"/>
        </w:rPr>
        <w:t>- Authenticity Evidence</w:t>
      </w:r>
    </w:p>
    <w:p>
      <w:pPr>
        <w:spacing w:after="80" w:line="293" w:lineRule="auto"/>
        <w:ind w:left="283"/>
        <w:jc w:val="left"/>
      </w:pPr>
      <w:r>
        <w:rPr>
          <w:rFonts w:ascii="Times New Roman" w:hAnsi="Times New Roman" w:cs="Times New Roman"/>
          <w:b w:val="0"/>
          <w:i w:val="0"/>
          <w:sz w:val="22"/>
        </w:rPr>
        <w:t>- Status</w:t>
      </w:r>
    </w:p>
    <w:p>
      <w:pPr>
        <w:spacing w:after="80" w:line="293" w:lineRule="auto"/>
        <w:ind w:left="283"/>
        <w:jc w:val="left"/>
      </w:pPr>
      <w:r>
        <w:rPr>
          <w:rFonts w:ascii="Times New Roman" w:hAnsi="Times New Roman" w:cs="Times New Roman"/>
          <w:b w:val="0"/>
          <w:i w:val="0"/>
          <w:sz w:val="22"/>
        </w:rPr>
        <w:t>- Revocation Status</w:t>
      </w:r>
    </w:p>
    <w:p>
      <w:pPr>
        <w:spacing w:after="80" w:line="293" w:lineRule="auto"/>
        <w:ind w:left="283"/>
        <w:jc w:val="left"/>
      </w:pPr>
      <w:r>
        <w:rPr>
          <w:rFonts w:ascii="Times New Roman" w:hAnsi="Times New Roman" w:cs="Times New Roman"/>
          <w:b w:val="0"/>
          <w:i w:val="0"/>
          <w:sz w:val="22"/>
        </w:rPr>
        <w:t>- Superseding Document</w:t>
      </w:r>
    </w:p>
    <w:p>
      <w:pPr>
        <w:spacing w:after="80" w:line="293" w:lineRule="auto"/>
        <w:ind w:left="283"/>
        <w:jc w:val="left"/>
      </w:pPr>
      <w:r>
        <w:rPr>
          <w:rFonts w:ascii="Times New Roman" w:hAnsi="Times New Roman" w:cs="Times New Roman"/>
          <w:b w:val="0"/>
          <w:i w:val="0"/>
          <w:sz w:val="22"/>
        </w:rPr>
        <w:t>- Source</w:t>
      </w:r>
    </w:p>
    <w:p>
      <w:pPr>
        <w:spacing w:after="80" w:line="293" w:lineRule="auto"/>
        <w:ind w:left="283"/>
        <w:jc w:val="left"/>
      </w:pPr>
      <w:r>
        <w:rPr>
          <w:rFonts w:ascii="Times New Roman" w:hAnsi="Times New Roman" w:cs="Times New Roman"/>
          <w:b w:val="0"/>
          <w:i w:val="0"/>
          <w:sz w:val="22"/>
        </w:rPr>
        <w:t>- Related USTN</w:t>
      </w:r>
    </w:p>
    <w:p>
      <w:pPr>
        <w:spacing w:after="80" w:line="293" w:lineRule="auto"/>
        <w:jc w:val="left"/>
      </w:pPr>
      <w:r>
        <w:rPr>
          <w:rFonts w:ascii="Times New Roman" w:hAnsi="Times New Roman" w:cs="Times New Roman"/>
          <w:b w:val="0"/>
          <w:i w:val="0"/>
          <w:sz w:val="22"/>
        </w:rPr>
        <w:t>Rules: document supersession is not document deletion. Revocation is an event, not erasure.</w:t>
      </w:r>
    </w:p>
    <w:p>
      <w:pPr>
        <w:keepNext/>
        <w:spacing w:before="180" w:after="80"/>
        <w:outlineLvl w:val="2"/>
      </w:pPr>
      <w:r>
        <w:rPr>
          <w:rFonts w:ascii="Arial" w:hAnsi="Arial" w:cs="Arial"/>
          <w:b/>
          <w:i w:val="0"/>
          <w:color w:val="333333"/>
          <w:sz w:val="23"/>
        </w:rPr>
        <w:t>19.74.1 Signature–Version Binding</w:t>
      </w:r>
    </w:p>
    <w:p>
      <w:pPr>
        <w:spacing w:after="80" w:line="293" w:lineRule="auto"/>
        <w:jc w:val="left"/>
      </w:pPr>
      <w:r>
        <w:rPr>
          <w:rFonts w:ascii="Times New Roman" w:hAnsi="Times New Roman" w:cs="Times New Roman"/>
          <w:b w:val="0"/>
          <w:i w:val="0"/>
          <w:sz w:val="22"/>
        </w:rPr>
        <w:t>A signature binds to the exact document version reviewed. When a document changes after a signature cycle has begun, a new document version is created, the pending signature on the old version is invalidated where applicable, and a new signing cycle begins. No signature silently survives an altered document version; a signature recorded against a superseded version never counts toward execution of the current version. All document hashes and signature evidence are immutable, and the signing cycle records the hash chain from reviewed version to executed signature.</w:t>
      </w:r>
    </w:p>
    <w:p>
      <w:pPr>
        <w:spacing w:after="80" w:line="293" w:lineRule="auto"/>
        <w:jc w:val="left"/>
      </w:pPr>
      <w:r>
        <w:rPr>
          <w:rFonts w:ascii="Times New Roman" w:hAnsi="Times New Roman" w:cs="Times New Roman"/>
          <w:b w:val="0"/>
          <w:i w:val="0"/>
          <w:sz w:val="22"/>
        </w:rPr>
        <w:t>The document consistency engine (Section 9.18) and the no-signature-version-mismatch rule (Section 9.26) enforce this binding at the contract level; this section generalizes it to every signed document class — contracts, financing agreements, logistics addenda, commercial addenda, and government submissions. The invalidation event is a governed event carrying the old and new version hashes, and re-signing follows the signature authority class rules of Section 9.24.1.</w:t>
      </w:r>
    </w:p>
    <w:p>
      <w:pPr>
        <w:keepNext/>
        <w:spacing w:before="240" w:after="100"/>
        <w:outlineLvl w:val="1"/>
      </w:pPr>
      <w:r>
        <w:rPr>
          <w:rFonts w:ascii="Arial" w:hAnsi="Arial" w:cs="Arial"/>
          <w:b/>
          <w:i w:val="0"/>
          <w:color w:val="2E528F"/>
          <w:sz w:val="26"/>
        </w:rPr>
        <w:t>19.75 Document Revocation Flow</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DOCUMENT VALID → REVOCATION RECEIVED → AUTHENTICITY VERIFIED → REVOCATION RECORDED →</w:t>
      </w:r>
    </w:p>
    <w:p>
      <w:pPr>
        <w:spacing w:after="0" w:before="0" w:line="240" w:lineRule="auto"/>
        <w:ind w:left="57"/>
        <w:jc w:val="left"/>
        <w:shd w:val="clear" w:fill="F2F2F2"/>
      </w:pPr>
      <w:r>
        <w:rPr>
          <w:rFonts w:ascii="Consolas" w:hAnsi="Consolas" w:cs="Consolas"/>
          <w:b w:val="0"/>
          <w:i w:val="0"/>
          <w:sz w:val="15"/>
        </w:rPr>
        <w:t>OBLIGATION IMPACT ANALYSIS → DEPENDENT STATES REVIEWED → RECONCILIATION / RECOVERY</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19.76 Counterparty Reality &amp; Evidence Layer</w:t>
      </w:r>
    </w:p>
    <w:p>
      <w:pPr>
        <w:spacing w:after="80" w:line="293" w:lineRule="auto"/>
        <w:jc w:val="left"/>
      </w:pPr>
      <w:r>
        <w:rPr>
          <w:rFonts w:ascii="Times New Roman" w:hAnsi="Times New Roman" w:cs="Times New Roman"/>
          <w:b w:val="0"/>
          <w:i w:val="0"/>
          <w:sz w:val="22"/>
        </w:rPr>
        <w:t>SGTX explicitly represents what each relevant party claims occurred. It tracks, as applicable:</w:t>
      </w:r>
    </w:p>
    <w:p>
      <w:pPr>
        <w:spacing w:after="80" w:line="293" w:lineRule="auto"/>
        <w:ind w:left="283"/>
        <w:jc w:val="left"/>
      </w:pPr>
      <w:r>
        <w:rPr>
          <w:rFonts w:ascii="Times New Roman" w:hAnsi="Times New Roman" w:cs="Times New Roman"/>
          <w:b w:val="0"/>
          <w:i w:val="0"/>
          <w:sz w:val="22"/>
        </w:rPr>
        <w:t>- counterparty assertion;</w:t>
      </w:r>
    </w:p>
    <w:p>
      <w:pPr>
        <w:spacing w:after="80" w:line="293" w:lineRule="auto"/>
        <w:ind w:left="283"/>
        <w:jc w:val="left"/>
      </w:pPr>
      <w:r>
        <w:rPr>
          <w:rFonts w:ascii="Times New Roman" w:hAnsi="Times New Roman" w:cs="Times New Roman"/>
          <w:b w:val="0"/>
          <w:i w:val="0"/>
          <w:sz w:val="22"/>
        </w:rPr>
        <w:t>- acknowledgment;</w:t>
      </w:r>
    </w:p>
    <w:p>
      <w:pPr>
        <w:spacing w:after="80" w:line="293" w:lineRule="auto"/>
        <w:ind w:left="283"/>
        <w:jc w:val="left"/>
      </w:pPr>
      <w:r>
        <w:rPr>
          <w:rFonts w:ascii="Times New Roman" w:hAnsi="Times New Roman" w:cs="Times New Roman"/>
          <w:b w:val="0"/>
          <w:i w:val="0"/>
          <w:sz w:val="22"/>
        </w:rPr>
        <w:t>- consent;</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dispute;</w:t>
      </w:r>
    </w:p>
    <w:p>
      <w:pPr>
        <w:spacing w:after="80" w:line="293" w:lineRule="auto"/>
        <w:ind w:left="283"/>
        <w:jc w:val="left"/>
      </w:pPr>
      <w:r>
        <w:rPr>
          <w:rFonts w:ascii="Times New Roman" w:hAnsi="Times New Roman" w:cs="Times New Roman"/>
          <w:b w:val="0"/>
          <w:i w:val="0"/>
          <w:sz w:val="22"/>
        </w:rPr>
        <w:t>- contractual obligation;</w:t>
      </w:r>
    </w:p>
    <w:p>
      <w:pPr>
        <w:spacing w:after="80" w:line="293" w:lineRule="auto"/>
        <w:ind w:left="283"/>
        <w:jc w:val="left"/>
      </w:pPr>
      <w:r>
        <w:rPr>
          <w:rFonts w:ascii="Times New Roman" w:hAnsi="Times New Roman" w:cs="Times New Roman"/>
          <w:b w:val="0"/>
          <w:i w:val="0"/>
          <w:sz w:val="22"/>
        </w:rPr>
        <w:t>- response deadline;</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timestamps;</w:t>
      </w:r>
    </w:p>
    <w:p>
      <w:pPr>
        <w:spacing w:after="80" w:line="293" w:lineRule="auto"/>
        <w:ind w:left="283"/>
        <w:jc w:val="left"/>
      </w:pPr>
      <w:r>
        <w:rPr>
          <w:rFonts w:ascii="Times New Roman" w:hAnsi="Times New Roman" w:cs="Times New Roman"/>
          <w:b w:val="0"/>
          <w:i w:val="0"/>
          <w:sz w:val="22"/>
        </w:rPr>
        <w:t>- provenance.</w:t>
      </w:r>
    </w:p>
    <w:p>
      <w:pPr>
        <w:spacing w:after="80" w:line="293" w:lineRule="auto"/>
        <w:jc w:val="left"/>
      </w:pPr>
      <w:r>
        <w:rPr>
          <w:rFonts w:ascii="Times New Roman" w:hAnsi="Times New Roman" w:cs="Times New Roman"/>
          <w:b w:val="0"/>
          <w:i w:val="0"/>
          <w:sz w:val="22"/>
        </w:rPr>
        <w:t>This creates an explicit Counterparty Reality Model without automatically treating counterparty assertions as truth.</w:t>
      </w:r>
    </w:p>
    <w:p>
      <w:pPr>
        <w:keepNext/>
        <w:spacing w:before="240" w:after="100"/>
        <w:outlineLvl w:val="1"/>
      </w:pPr>
      <w:r>
        <w:rPr>
          <w:rFonts w:ascii="Arial" w:hAnsi="Arial" w:cs="Arial"/>
          <w:b/>
          <w:i w:val="0"/>
          <w:color w:val="2E528F"/>
          <w:sz w:val="26"/>
        </w:rPr>
        <w:t>19.77 Cross-Border &amp; Jurisdiction Reality Layer</w:t>
      </w:r>
    </w:p>
    <w:p>
      <w:pPr>
        <w:spacing w:after="80" w:line="293" w:lineRule="auto"/>
        <w:jc w:val="left"/>
      </w:pPr>
      <w:r>
        <w:rPr>
          <w:rFonts w:ascii="Times New Roman" w:hAnsi="Times New Roman" w:cs="Times New Roman"/>
          <w:b w:val="0"/>
          <w:i w:val="0"/>
          <w:sz w:val="22"/>
        </w:rPr>
        <w:t>SGTX models:</w:t>
      </w:r>
    </w:p>
    <w:p>
      <w:pPr>
        <w:spacing w:after="80" w:line="293" w:lineRule="auto"/>
        <w:ind w:left="283"/>
        <w:jc w:val="left"/>
      </w:pPr>
      <w:r>
        <w:rPr>
          <w:rFonts w:ascii="Times New Roman" w:hAnsi="Times New Roman" w:cs="Times New Roman"/>
          <w:b w:val="0"/>
          <w:i w:val="0"/>
          <w:sz w:val="22"/>
        </w:rPr>
        <w:t>- governing law;</w:t>
      </w:r>
    </w:p>
    <w:p>
      <w:pPr>
        <w:spacing w:after="80" w:line="293" w:lineRule="auto"/>
        <w:ind w:left="283"/>
        <w:jc w:val="left"/>
      </w:pPr>
      <w:r>
        <w:rPr>
          <w:rFonts w:ascii="Times New Roman" w:hAnsi="Times New Roman" w:cs="Times New Roman"/>
          <w:b w:val="0"/>
          <w:i w:val="0"/>
          <w:sz w:val="22"/>
        </w:rPr>
        <w:t>- applicable jurisdictions;</w:t>
      </w:r>
    </w:p>
    <w:p>
      <w:pPr>
        <w:spacing w:after="80" w:line="293" w:lineRule="auto"/>
        <w:ind w:left="283"/>
        <w:jc w:val="left"/>
      </w:pPr>
      <w:r>
        <w:rPr>
          <w:rFonts w:ascii="Times New Roman" w:hAnsi="Times New Roman" w:cs="Times New Roman"/>
          <w:b w:val="0"/>
          <w:i w:val="0"/>
          <w:sz w:val="22"/>
        </w:rPr>
        <w:t>- transaction location;</w:t>
      </w:r>
    </w:p>
    <w:p>
      <w:pPr>
        <w:spacing w:after="80" w:line="293" w:lineRule="auto"/>
        <w:ind w:left="283"/>
        <w:jc w:val="left"/>
      </w:pPr>
      <w:r>
        <w:rPr>
          <w:rFonts w:ascii="Times New Roman" w:hAnsi="Times New Roman" w:cs="Times New Roman"/>
          <w:b w:val="0"/>
          <w:i w:val="0"/>
          <w:sz w:val="22"/>
        </w:rPr>
        <w:t>- asset location;</w:t>
      </w:r>
    </w:p>
    <w:p>
      <w:pPr>
        <w:spacing w:after="80" w:line="293" w:lineRule="auto"/>
        <w:ind w:left="283"/>
        <w:jc w:val="left"/>
      </w:pPr>
      <w:r>
        <w:rPr>
          <w:rFonts w:ascii="Times New Roman" w:hAnsi="Times New Roman" w:cs="Times New Roman"/>
          <w:b w:val="0"/>
          <w:i w:val="0"/>
          <w:sz w:val="22"/>
        </w:rPr>
        <w:t>- bank location;</w:t>
      </w:r>
    </w:p>
    <w:p>
      <w:pPr>
        <w:spacing w:after="80" w:line="293" w:lineRule="auto"/>
        <w:ind w:left="283"/>
        <w:jc w:val="left"/>
      </w:pPr>
      <w:r>
        <w:rPr>
          <w:rFonts w:ascii="Times New Roman" w:hAnsi="Times New Roman" w:cs="Times New Roman"/>
          <w:b w:val="0"/>
          <w:i w:val="0"/>
          <w:sz w:val="22"/>
        </w:rPr>
        <w:t>- counterparty location;</w:t>
      </w:r>
    </w:p>
    <w:p>
      <w:pPr>
        <w:spacing w:after="80" w:line="293" w:lineRule="auto"/>
        <w:ind w:left="283"/>
        <w:jc w:val="left"/>
      </w:pPr>
      <w:r>
        <w:rPr>
          <w:rFonts w:ascii="Times New Roman" w:hAnsi="Times New Roman" w:cs="Times New Roman"/>
          <w:b w:val="0"/>
          <w:i w:val="0"/>
          <w:sz w:val="22"/>
        </w:rPr>
        <w:t>- customs jurisdiction;</w:t>
      </w:r>
    </w:p>
    <w:p>
      <w:pPr>
        <w:spacing w:after="80" w:line="293" w:lineRule="auto"/>
        <w:ind w:left="283"/>
        <w:jc w:val="left"/>
      </w:pPr>
      <w:r>
        <w:rPr>
          <w:rFonts w:ascii="Times New Roman" w:hAnsi="Times New Roman" w:cs="Times New Roman"/>
          <w:b w:val="0"/>
          <w:i w:val="0"/>
          <w:sz w:val="22"/>
        </w:rPr>
        <w:t>- tax jurisdiction;</w:t>
      </w:r>
    </w:p>
    <w:p>
      <w:pPr>
        <w:spacing w:after="80" w:line="293" w:lineRule="auto"/>
        <w:ind w:left="283"/>
        <w:jc w:val="left"/>
      </w:pPr>
      <w:r>
        <w:rPr>
          <w:rFonts w:ascii="Times New Roman" w:hAnsi="Times New Roman" w:cs="Times New Roman"/>
          <w:b w:val="0"/>
          <w:i w:val="0"/>
          <w:sz w:val="22"/>
        </w:rPr>
        <w:t>- regulatory jurisdiction;</w:t>
      </w:r>
    </w:p>
    <w:p>
      <w:pPr>
        <w:spacing w:after="80" w:line="293" w:lineRule="auto"/>
        <w:ind w:left="283"/>
        <w:jc w:val="left"/>
      </w:pPr>
      <w:r>
        <w:rPr>
          <w:rFonts w:ascii="Times New Roman" w:hAnsi="Times New Roman" w:cs="Times New Roman"/>
          <w:b w:val="0"/>
          <w:i w:val="0"/>
          <w:sz w:val="22"/>
        </w:rPr>
        <w:t>- legal-recognition requirements;</w:t>
      </w:r>
    </w:p>
    <w:p>
      <w:pPr>
        <w:spacing w:after="80" w:line="293" w:lineRule="auto"/>
        <w:ind w:left="283"/>
        <w:jc w:val="left"/>
      </w:pPr>
      <w:r>
        <w:rPr>
          <w:rFonts w:ascii="Times New Roman" w:hAnsi="Times New Roman" w:cs="Times New Roman"/>
          <w:b w:val="0"/>
          <w:i w:val="0"/>
          <w:sz w:val="22"/>
        </w:rPr>
        <w:t>- evidence requirements;</w:t>
      </w:r>
    </w:p>
    <w:p>
      <w:pPr>
        <w:spacing w:after="80" w:line="293" w:lineRule="auto"/>
        <w:ind w:left="283"/>
        <w:jc w:val="left"/>
      </w:pPr>
      <w:r>
        <w:rPr>
          <w:rFonts w:ascii="Times New Roman" w:hAnsi="Times New Roman" w:cs="Times New Roman"/>
          <w:b w:val="0"/>
          <w:i w:val="0"/>
          <w:sz w:val="22"/>
        </w:rPr>
        <w:t>- electronic-document rules;</w:t>
      </w:r>
    </w:p>
    <w:p>
      <w:pPr>
        <w:spacing w:after="80" w:line="293" w:lineRule="auto"/>
        <w:ind w:left="283"/>
        <w:jc w:val="left"/>
      </w:pPr>
      <w:r>
        <w:rPr>
          <w:rFonts w:ascii="Times New Roman" w:hAnsi="Times New Roman" w:cs="Times New Roman"/>
          <w:b w:val="0"/>
          <w:i w:val="0"/>
          <w:sz w:val="22"/>
        </w:rPr>
        <w:t>- authority mapping;</w:t>
      </w:r>
    </w:p>
    <w:p>
      <w:pPr>
        <w:spacing w:after="80" w:line="293" w:lineRule="auto"/>
        <w:ind w:left="283"/>
        <w:jc w:val="left"/>
      </w:pPr>
      <w:r>
        <w:rPr>
          <w:rFonts w:ascii="Times New Roman" w:hAnsi="Times New Roman" w:cs="Times New Roman"/>
          <w:b w:val="0"/>
          <w:i w:val="0"/>
          <w:sz w:val="22"/>
        </w:rPr>
        <w:t>- cross-border constraints;</w:t>
      </w:r>
    </w:p>
    <w:p>
      <w:pPr>
        <w:spacing w:after="80" w:line="293" w:lineRule="auto"/>
        <w:ind w:left="283"/>
        <w:jc w:val="left"/>
      </w:pPr>
      <w:r>
        <w:rPr>
          <w:rFonts w:ascii="Times New Roman" w:hAnsi="Times New Roman" w:cs="Times New Roman"/>
          <w:b w:val="0"/>
          <w:i w:val="0"/>
          <w:sz w:val="22"/>
        </w:rPr>
        <w:t>- conflict-of-law considerations.</w:t>
      </w:r>
    </w:p>
    <w:p>
      <w:pPr>
        <w:keepNext/>
        <w:spacing w:before="240" w:after="100"/>
        <w:outlineLvl w:val="1"/>
      </w:pPr>
      <w:r>
        <w:rPr>
          <w:rFonts w:ascii="Arial" w:hAnsi="Arial" w:cs="Arial"/>
          <w:b/>
          <w:i w:val="0"/>
          <w:color w:val="2E528F"/>
          <w:sz w:val="26"/>
        </w:rPr>
        <w:t>19.78 No Universal Legal Oracle</w:t>
      </w:r>
    </w:p>
    <w:p>
      <w:pPr>
        <w:spacing w:after="80" w:line="293" w:lineRule="auto"/>
        <w:jc w:val="left"/>
      </w:pPr>
      <w:r>
        <w:rPr>
          <w:rFonts w:ascii="Times New Roman" w:hAnsi="Times New Roman" w:cs="Times New Roman"/>
          <w:b w:val="0"/>
          <w:i w:val="0"/>
          <w:sz w:val="22"/>
        </w:rPr>
        <w:t>SGTX does not model "the legal system" as a simplistic external oracle. Instead: legally authoritative determinations become authoritative external inputs into the applicable SGTX state model. SGTX:</w:t>
      </w:r>
    </w:p>
    <w:p>
      <w:pPr>
        <w:spacing w:after="80" w:line="293" w:lineRule="auto"/>
        <w:ind w:left="283"/>
        <w:jc w:val="left"/>
      </w:pPr>
      <w:r>
        <w:rPr>
          <w:rFonts w:ascii="Times New Roman" w:hAnsi="Times New Roman" w:cs="Times New Roman"/>
          <w:b w:val="0"/>
          <w:i w:val="0"/>
          <w:sz w:val="22"/>
        </w:rPr>
        <w:t>- records them;</w:t>
      </w:r>
    </w:p>
    <w:p>
      <w:pPr>
        <w:spacing w:after="80" w:line="293" w:lineRule="auto"/>
        <w:ind w:left="283"/>
        <w:jc w:val="left"/>
      </w:pPr>
      <w:r>
        <w:rPr>
          <w:rFonts w:ascii="Times New Roman" w:hAnsi="Times New Roman" w:cs="Times New Roman"/>
          <w:b w:val="0"/>
          <w:i w:val="0"/>
          <w:sz w:val="22"/>
        </w:rPr>
        <w:t>- validates their provenance;</w:t>
      </w:r>
    </w:p>
    <w:p>
      <w:pPr>
        <w:spacing w:after="80" w:line="293" w:lineRule="auto"/>
        <w:ind w:left="283"/>
        <w:jc w:val="left"/>
      </w:pPr>
      <w:r>
        <w:rPr>
          <w:rFonts w:ascii="Times New Roman" w:hAnsi="Times New Roman" w:cs="Times New Roman"/>
          <w:b w:val="0"/>
          <w:i w:val="0"/>
          <w:sz w:val="22"/>
        </w:rPr>
        <w:t>- associates them with the affected transaction;</w:t>
      </w:r>
    </w:p>
    <w:p>
      <w:pPr>
        <w:spacing w:after="80" w:line="293" w:lineRule="auto"/>
        <w:ind w:left="283"/>
        <w:jc w:val="left"/>
      </w:pPr>
      <w:r>
        <w:rPr>
          <w:rFonts w:ascii="Times New Roman" w:hAnsi="Times New Roman" w:cs="Times New Roman"/>
          <w:b w:val="0"/>
          <w:i w:val="0"/>
          <w:sz w:val="22"/>
        </w:rPr>
        <w:t>- applies permitted operational consequences;</w:t>
      </w:r>
    </w:p>
    <w:p>
      <w:pPr>
        <w:spacing w:after="80" w:line="293" w:lineRule="auto"/>
        <w:ind w:left="283"/>
        <w:jc w:val="left"/>
      </w:pPr>
      <w:r>
        <w:rPr>
          <w:rFonts w:ascii="Times New Roman" w:hAnsi="Times New Roman" w:cs="Times New Roman"/>
          <w:b w:val="0"/>
          <w:i w:val="0"/>
          <w:sz w:val="22"/>
        </w:rPr>
        <w:t>- preserves the historical event.</w:t>
      </w:r>
    </w:p>
    <w:p>
      <w:pPr>
        <w:spacing w:after="80" w:line="293" w:lineRule="auto"/>
        <w:jc w:val="left"/>
      </w:pPr>
      <w:r>
        <w:rPr>
          <w:rFonts w:ascii="Times New Roman" w:hAnsi="Times New Roman" w:cs="Times New Roman"/>
          <w:b w:val="0"/>
          <w:i w:val="0"/>
          <w:sz w:val="22"/>
        </w:rPr>
        <w:t>SGTX does not replace legal authority.</w:t>
      </w:r>
    </w:p>
    <w:p>
      <w:pPr>
        <w:keepNext/>
        <w:spacing w:before="240" w:after="100"/>
        <w:outlineLvl w:val="1"/>
      </w:pPr>
      <w:r>
        <w:rPr>
          <w:rFonts w:ascii="Arial" w:hAnsi="Arial" w:cs="Arial"/>
          <w:b/>
          <w:i w:val="0"/>
          <w:color w:val="2E528F"/>
          <w:sz w:val="26"/>
        </w:rPr>
        <w:t>19.79 AI Governance</w:t>
      </w:r>
    </w:p>
    <w:p>
      <w:pPr>
        <w:spacing w:after="80" w:line="293" w:lineRule="auto"/>
        <w:jc w:val="left"/>
      </w:pPr>
      <w:r>
        <w:rPr>
          <w:rFonts w:ascii="Times New Roman" w:hAnsi="Times New Roman" w:cs="Times New Roman"/>
          <w:b w:val="0"/>
          <w:i w:val="0"/>
          <w:sz w:val="22"/>
        </w:rPr>
        <w:t>Constitutional rule: AI assists; AI never possesses independent authoritative decision rights. AI may:</w:t>
      </w:r>
    </w:p>
    <w:p>
      <w:pPr>
        <w:spacing w:after="80" w:line="293" w:lineRule="auto"/>
        <w:ind w:left="283"/>
        <w:jc w:val="left"/>
      </w:pPr>
      <w:r>
        <w:rPr>
          <w:rFonts w:ascii="Times New Roman" w:hAnsi="Times New Roman" w:cs="Times New Roman"/>
          <w:b w:val="0"/>
          <w:i w:val="0"/>
          <w:sz w:val="22"/>
        </w:rPr>
        <w:t>- classify;</w:t>
      </w:r>
    </w:p>
    <w:p>
      <w:pPr>
        <w:spacing w:after="80" w:line="293" w:lineRule="auto"/>
        <w:ind w:left="283"/>
        <w:jc w:val="left"/>
      </w:pPr>
      <w:r>
        <w:rPr>
          <w:rFonts w:ascii="Times New Roman" w:hAnsi="Times New Roman" w:cs="Times New Roman"/>
          <w:b w:val="0"/>
          <w:i w:val="0"/>
          <w:sz w:val="22"/>
        </w:rPr>
        <w:t>- summarize;</w:t>
      </w:r>
    </w:p>
    <w:p>
      <w:pPr>
        <w:spacing w:after="80" w:line="293" w:lineRule="auto"/>
        <w:ind w:left="283"/>
        <w:jc w:val="left"/>
      </w:pPr>
      <w:r>
        <w:rPr>
          <w:rFonts w:ascii="Times New Roman" w:hAnsi="Times New Roman" w:cs="Times New Roman"/>
          <w:b w:val="0"/>
          <w:i w:val="0"/>
          <w:sz w:val="22"/>
        </w:rPr>
        <w:t>- detect anomalies;</w:t>
      </w:r>
    </w:p>
    <w:p>
      <w:pPr>
        <w:spacing w:after="80" w:line="293" w:lineRule="auto"/>
        <w:ind w:left="283"/>
        <w:jc w:val="left"/>
      </w:pPr>
      <w:r>
        <w:rPr>
          <w:rFonts w:ascii="Times New Roman" w:hAnsi="Times New Roman" w:cs="Times New Roman"/>
          <w:b w:val="0"/>
          <w:i w:val="0"/>
          <w:sz w:val="22"/>
        </w:rPr>
        <w:t>- detect contradictions;</w:t>
      </w:r>
    </w:p>
    <w:p>
      <w:pPr>
        <w:spacing w:after="80" w:line="293" w:lineRule="auto"/>
        <w:ind w:left="283"/>
        <w:jc w:val="left"/>
      </w:pPr>
      <w:r>
        <w:rPr>
          <w:rFonts w:ascii="Times New Roman" w:hAnsi="Times New Roman" w:cs="Times New Roman"/>
          <w:b w:val="0"/>
          <w:i w:val="0"/>
          <w:sz w:val="22"/>
        </w:rPr>
        <w:t>- identify missing evidence;</w:t>
      </w:r>
    </w:p>
    <w:p>
      <w:pPr>
        <w:spacing w:after="80" w:line="293" w:lineRule="auto"/>
        <w:ind w:left="283"/>
        <w:jc w:val="left"/>
      </w:pPr>
      <w:r>
        <w:rPr>
          <w:rFonts w:ascii="Times New Roman" w:hAnsi="Times New Roman" w:cs="Times New Roman"/>
          <w:b w:val="0"/>
          <w:i w:val="0"/>
          <w:sz w:val="22"/>
        </w:rPr>
        <w:t>- predict reconciliation problems;</w:t>
      </w:r>
    </w:p>
    <w:p>
      <w:pPr>
        <w:spacing w:after="80" w:line="293" w:lineRule="auto"/>
        <w:ind w:left="283"/>
        <w:jc w:val="left"/>
      </w:pPr>
      <w:r>
        <w:rPr>
          <w:rFonts w:ascii="Times New Roman" w:hAnsi="Times New Roman" w:cs="Times New Roman"/>
          <w:b w:val="0"/>
          <w:i w:val="0"/>
          <w:sz w:val="22"/>
        </w:rPr>
        <w:t>- prioritize cases;</w:t>
      </w:r>
    </w:p>
    <w:p>
      <w:pPr>
        <w:spacing w:after="80" w:line="293" w:lineRule="auto"/>
        <w:ind w:left="283"/>
        <w:jc w:val="left"/>
      </w:pPr>
      <w:r>
        <w:rPr>
          <w:rFonts w:ascii="Times New Roman" w:hAnsi="Times New Roman" w:cs="Times New Roman"/>
          <w:b w:val="0"/>
          <w:i w:val="0"/>
          <w:sz w:val="22"/>
        </w:rPr>
        <w:t>- recommend actions;</w:t>
      </w:r>
    </w:p>
    <w:p>
      <w:pPr>
        <w:spacing w:after="80" w:line="293" w:lineRule="auto"/>
        <w:ind w:left="283"/>
        <w:jc w:val="left"/>
      </w:pPr>
      <w:r>
        <w:rPr>
          <w:rFonts w:ascii="Times New Roman" w:hAnsi="Times New Roman" w:cs="Times New Roman"/>
          <w:b w:val="0"/>
          <w:i w:val="0"/>
          <w:sz w:val="22"/>
        </w:rPr>
        <w:t>- assemble investigation packages;</w:t>
      </w:r>
    </w:p>
    <w:p>
      <w:pPr>
        <w:spacing w:after="80" w:line="293" w:lineRule="auto"/>
        <w:ind w:left="283"/>
        <w:jc w:val="left"/>
      </w:pPr>
      <w:r>
        <w:rPr>
          <w:rFonts w:ascii="Times New Roman" w:hAnsi="Times New Roman" w:cs="Times New Roman"/>
          <w:b w:val="0"/>
          <w:i w:val="0"/>
          <w:sz w:val="22"/>
        </w:rPr>
        <w:t>- identify patterns;</w:t>
      </w:r>
    </w:p>
    <w:p>
      <w:pPr>
        <w:spacing w:after="80" w:line="293" w:lineRule="auto"/>
        <w:ind w:left="283"/>
        <w:jc w:val="left"/>
      </w:pPr>
      <w:r>
        <w:rPr>
          <w:rFonts w:ascii="Times New Roman" w:hAnsi="Times New Roman" w:cs="Times New Roman"/>
          <w:b w:val="0"/>
          <w:i w:val="0"/>
          <w:sz w:val="22"/>
        </w:rPr>
        <w:t>- generate structured summaries.</w:t>
      </w:r>
    </w:p>
    <w:p>
      <w:pPr>
        <w:spacing w:after="80" w:line="293" w:lineRule="auto"/>
        <w:jc w:val="left"/>
      </w:pPr>
      <w:r>
        <w:rPr>
          <w:rFonts w:ascii="Times New Roman" w:hAnsi="Times New Roman" w:cs="Times New Roman"/>
          <w:b w:val="0"/>
          <w:i w:val="0"/>
          <w:sz w:val="22"/>
        </w:rPr>
        <w:t>AI may not independently:</w:t>
      </w:r>
    </w:p>
    <w:p>
      <w:pPr>
        <w:spacing w:after="80" w:line="293" w:lineRule="auto"/>
        <w:ind w:left="283"/>
        <w:jc w:val="left"/>
      </w:pPr>
      <w:r>
        <w:rPr>
          <w:rFonts w:ascii="Times New Roman" w:hAnsi="Times New Roman" w:cs="Times New Roman"/>
          <w:b w:val="0"/>
          <w:i w:val="0"/>
          <w:sz w:val="22"/>
        </w:rPr>
        <w:t>- finalize material settlement;</w:t>
      </w:r>
    </w:p>
    <w:p>
      <w:pPr>
        <w:spacing w:after="80" w:line="293" w:lineRule="auto"/>
        <w:ind w:left="283"/>
        <w:jc w:val="left"/>
      </w:pPr>
      <w:r>
        <w:rPr>
          <w:rFonts w:ascii="Times New Roman" w:hAnsi="Times New Roman" w:cs="Times New Roman"/>
          <w:b w:val="0"/>
          <w:i w:val="0"/>
          <w:sz w:val="22"/>
        </w:rPr>
        <w:t>- reverse a financial transaction;</w:t>
      </w:r>
    </w:p>
    <w:p>
      <w:pPr>
        <w:spacing w:after="80" w:line="293" w:lineRule="auto"/>
        <w:ind w:left="283"/>
        <w:jc w:val="left"/>
      </w:pPr>
      <w:r>
        <w:rPr>
          <w:rFonts w:ascii="Times New Roman" w:hAnsi="Times New Roman" w:cs="Times New Roman"/>
          <w:b w:val="0"/>
          <w:i w:val="0"/>
          <w:sz w:val="22"/>
        </w:rPr>
        <w:t>- rewrite authoritative records;</w:t>
      </w:r>
    </w:p>
    <w:p>
      <w:pPr>
        <w:spacing w:after="80" w:line="293" w:lineRule="auto"/>
        <w:ind w:left="283"/>
        <w:jc w:val="left"/>
      </w:pPr>
      <w:r>
        <w:rPr>
          <w:rFonts w:ascii="Times New Roman" w:hAnsi="Times New Roman" w:cs="Times New Roman"/>
          <w:b w:val="0"/>
          <w:i w:val="0"/>
          <w:sz w:val="22"/>
        </w:rPr>
        <w:t>- resolve a legal dispute;</w:t>
      </w:r>
    </w:p>
    <w:p>
      <w:pPr>
        <w:spacing w:after="80" w:line="293" w:lineRule="auto"/>
        <w:ind w:left="283"/>
        <w:jc w:val="left"/>
      </w:pPr>
      <w:r>
        <w:rPr>
          <w:rFonts w:ascii="Times New Roman" w:hAnsi="Times New Roman" w:cs="Times New Roman"/>
          <w:b w:val="0"/>
          <w:i w:val="0"/>
          <w:sz w:val="22"/>
        </w:rPr>
        <w:t>- override a bank;</w:t>
      </w:r>
    </w:p>
    <w:p>
      <w:pPr>
        <w:spacing w:after="80" w:line="293" w:lineRule="auto"/>
        <w:ind w:left="283"/>
        <w:jc w:val="left"/>
      </w:pPr>
      <w:r>
        <w:rPr>
          <w:rFonts w:ascii="Times New Roman" w:hAnsi="Times New Roman" w:cs="Times New Roman"/>
          <w:b w:val="0"/>
          <w:i w:val="0"/>
          <w:sz w:val="22"/>
        </w:rPr>
        <w:t>- override a regulator;</w:t>
      </w:r>
    </w:p>
    <w:p>
      <w:pPr>
        <w:spacing w:after="80" w:line="293" w:lineRule="auto"/>
        <w:ind w:left="283"/>
        <w:jc w:val="left"/>
      </w:pPr>
      <w:r>
        <w:rPr>
          <w:rFonts w:ascii="Times New Roman" w:hAnsi="Times New Roman" w:cs="Times New Roman"/>
          <w:b w:val="0"/>
          <w:i w:val="0"/>
          <w:sz w:val="22"/>
        </w:rPr>
        <w:t>- delete evidence;</w:t>
      </w:r>
    </w:p>
    <w:p>
      <w:pPr>
        <w:spacing w:after="80" w:line="293" w:lineRule="auto"/>
        <w:ind w:left="283"/>
        <w:jc w:val="left"/>
      </w:pPr>
      <w:r>
        <w:rPr>
          <w:rFonts w:ascii="Times New Roman" w:hAnsi="Times New Roman" w:cs="Times New Roman"/>
          <w:b w:val="0"/>
          <w:i w:val="0"/>
          <w:sz w:val="22"/>
        </w:rPr>
        <w:t>- bypass policy;</w:t>
      </w:r>
    </w:p>
    <w:p>
      <w:pPr>
        <w:spacing w:after="80" w:line="293" w:lineRule="auto"/>
        <w:ind w:left="283"/>
        <w:jc w:val="left"/>
      </w:pPr>
      <w:r>
        <w:rPr>
          <w:rFonts w:ascii="Times New Roman" w:hAnsi="Times New Roman" w:cs="Times New Roman"/>
          <w:b w:val="0"/>
          <w:i w:val="0"/>
          <w:sz w:val="22"/>
        </w:rPr>
        <w:t>- change authority;</w:t>
      </w:r>
    </w:p>
    <w:p>
      <w:pPr>
        <w:spacing w:after="80" w:line="293" w:lineRule="auto"/>
        <w:ind w:left="283"/>
        <w:jc w:val="left"/>
      </w:pPr>
      <w:r>
        <w:rPr>
          <w:rFonts w:ascii="Times New Roman" w:hAnsi="Times New Roman" w:cs="Times New Roman"/>
          <w:b w:val="0"/>
          <w:i w:val="0"/>
          <w:sz w:val="22"/>
        </w:rPr>
        <w:t>- convert a recommendation into an unauthorized material action.</w:t>
      </w:r>
    </w:p>
    <w:p>
      <w:pPr>
        <w:keepNext/>
        <w:spacing w:before="180" w:after="80"/>
        <w:outlineLvl w:val="2"/>
      </w:pPr>
      <w:r>
        <w:rPr>
          <w:rFonts w:ascii="Arial" w:hAnsi="Arial" w:cs="Arial"/>
          <w:b/>
          <w:i w:val="0"/>
          <w:color w:val="333333"/>
          <w:sz w:val="23"/>
        </w:rPr>
        <w:t>19.79.1 AI Capability Boundaries &amp; Output Metadata</w:t>
      </w:r>
    </w:p>
    <w:p>
      <w:pPr>
        <w:spacing w:after="80" w:line="293" w:lineRule="auto"/>
        <w:jc w:val="left"/>
      </w:pPr>
      <w:r>
        <w:rPr>
          <w:rFonts w:ascii="Times New Roman" w:hAnsi="Times New Roman" w:cs="Times New Roman"/>
          <w:b w:val="0"/>
          <w:i w:val="0"/>
          <w:sz w:val="22"/>
        </w:rPr>
        <w:t>AI capabilities and prohibitions are fixed by the authority ladder (Section 3.3). AI may: classify; summarize; extract; suggest; identify anomalies; identify missing evidence; estimate risk; explain blockers; surface contradictions; and propose non-authoritative options. AI may never independently: sign; pay; lock; generate a USTN; approve credit; approve financing; declare legal finality; declare regulatory compliance; declare bank settlement; or close a transaction. Deterministic policy outranks AI recommendation (constitutional Point 9), and no AI output ever authorizes an irreversible action (invariant I-7).</w:t>
      </w:r>
    </w:p>
    <w:p>
      <w:pPr>
        <w:spacing w:after="80" w:line="293" w:lineRule="auto"/>
        <w:jc w:val="left"/>
      </w:pPr>
      <w:r>
        <w:rPr>
          <w:rFonts w:ascii="Times New Roman" w:hAnsi="Times New Roman" w:cs="Times New Roman"/>
          <w:b w:val="0"/>
          <w:i w:val="0"/>
          <w:sz w:val="22"/>
        </w:rPr>
        <w:t>Every AI output carries its complete provenance metadata: model, version, provider, timestamp, input provenance, confidence where applicable, and authority level. AI output enters the Governor as structured advisory data; the Governor and deterministic policy remain authoritative, and the enforcement pipeline (Section 3.5.1) processes AI advisory context without ever granting it decision authority. AI outputs are recorded in ai_inference_records (Section 3.4.4) and are auditable end-to-end.</w:t>
      </w:r>
    </w:p>
    <w:p>
      <w:pPr>
        <w:spacing w:after="80" w:line="293" w:lineRule="auto"/>
        <w:jc w:val="left"/>
      </w:pPr>
      <w:r>
        <w:rPr>
          <w:rFonts w:ascii="Times New Roman" w:hAnsi="Times New Roman" w:cs="Times New Roman"/>
          <w:b w:val="0"/>
          <w:i w:val="0"/>
          <w:sz w:val="22"/>
        </w:rPr>
        <w:t>Credential and data-privacy discipline: sensitive data remains inside its controlled domain; sensitive data is never sent to external AI providers unless expressly permitted by policy and privacy controls; privacy-critical inference uses local models (Section 3.4.5); and every AI inference is auditable (Section 21.9 for the Egyptian PDPL data-protection regime). The decision merger (Section 3.5.1) composes AI advisory context with policy and constitution into the auditable explanation of Section 16.4.5, so no irreversible action ever rests on an unattributed AI conclusion.</w:t>
      </w:r>
    </w:p>
    <w:p>
      <w:pPr>
        <w:keepNext/>
        <w:spacing w:before="240" w:after="100"/>
        <w:outlineLvl w:val="1"/>
      </w:pPr>
      <w:r>
        <w:rPr>
          <w:rFonts w:ascii="Arial" w:hAnsi="Arial" w:cs="Arial"/>
          <w:b/>
          <w:i w:val="0"/>
          <w:color w:val="2E528F"/>
          <w:sz w:val="26"/>
        </w:rPr>
        <w:t>19.80 AI Recommendation Gateway</w:t>
      </w:r>
    </w:p>
    <w:p>
      <w:pPr>
        <w:spacing w:after="80" w:line="293" w:lineRule="auto"/>
        <w:jc w:val="left"/>
      </w:pPr>
      <w:r>
        <w:rPr>
          <w:rFonts w:ascii="Times New Roman" w:hAnsi="Times New Roman" w:cs="Times New Roman"/>
          <w:b w:val="0"/>
          <w:i w:val="0"/>
          <w:sz w:val="22"/>
        </w:rPr>
        <w:t>Canonical flow:</w:t>
      </w:r>
    </w:p>
    <w:p>
      <w:pPr>
        <w:spacing w:after="0" w:before="0" w:line="240" w:lineRule="auto"/>
        <w:ind w:left="57"/>
        <w:jc w:val="left"/>
        <w:shd w:val="clear" w:fill="F2F2F2"/>
      </w:pPr>
      <w:r>
        <w:rPr>
          <w:rFonts w:ascii="Consolas" w:hAnsi="Consolas" w:cs="Consolas"/>
          <w:b w:val="0"/>
          <w:i w:val="0"/>
          <w:sz w:val="15"/>
        </w:rPr>
        <w:t>AI Recommendation → Evidence Check → Deterministic Policy Check → Authority Check →</w:t>
      </w:r>
    </w:p>
    <w:p>
      <w:pPr>
        <w:spacing w:after="0" w:before="0" w:line="240" w:lineRule="auto"/>
        <w:ind w:left="57"/>
        <w:jc w:val="left"/>
        <w:shd w:val="clear" w:fill="F2F2F2"/>
      </w:pPr>
      <w:r>
        <w:rPr>
          <w:rFonts w:ascii="Consolas" w:hAnsi="Consolas" w:cs="Consolas"/>
          <w:b w:val="0"/>
          <w:i w:val="0"/>
          <w:sz w:val="15"/>
        </w:rPr>
        <w:t>Human / Institutional Approval if Required → Execution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Never: AI → Independent Authority → Uncontrolled Authoritative Execution.</w:t>
      </w:r>
    </w:p>
    <w:p>
      <w:pPr>
        <w:spacing w:after="80" w:line="293" w:lineRule="auto"/>
        <w:jc w:val="left"/>
      </w:pPr>
      <w:r>
        <w:rPr>
          <w:rFonts w:ascii="Times New Roman" w:hAnsi="Times New Roman" w:cs="Times New Roman"/>
          <w:b w:val="0"/>
          <w:i w:val="0"/>
          <w:sz w:val="22"/>
        </w:rPr>
        <w:t>Low-risk automation may execute automatically only where deterministic policy explicitly authorizes the action independently of AI authority. The AI remains an input, not the governing authority.</w:t>
      </w:r>
    </w:p>
    <w:p>
      <w:pPr>
        <w:keepNext/>
        <w:spacing w:before="240" w:after="100"/>
        <w:outlineLvl w:val="1"/>
      </w:pPr>
      <w:r>
        <w:rPr>
          <w:rFonts w:ascii="Arial" w:hAnsi="Arial" w:cs="Arial"/>
          <w:b/>
          <w:i w:val="0"/>
          <w:color w:val="2E528F"/>
          <w:sz w:val="26"/>
        </w:rPr>
        <w:t>19.81 Risk-Tiered Human / Institutional Involvement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Tier</w:t>
            </w:r>
          </w:p>
        </w:tc>
        <w:tc>
          <w:tcPr>
            <w:tcW w:type="dxa" w:w="4819"/>
            <w:shd w:val="clear" w:fill="D9E2F3"/>
          </w:tcPr>
          <w:p>
            <w:pPr>
              <w:spacing w:after="20" w:before="20" w:line="240" w:lineRule="auto"/>
            </w:pPr>
            <w:r/>
            <w:r>
              <w:rPr>
                <w:rFonts w:ascii="Arial" w:hAnsi="Arial" w:cs="Arial"/>
                <w:b/>
                <w:i w:val="0"/>
                <w:sz w:val="18"/>
              </w:rPr>
              <w:t>Involvement</w:t>
            </w:r>
          </w:p>
        </w:tc>
      </w:tr>
      <w:tr>
        <w:tc>
          <w:tcPr>
            <w:tcW w:type="dxa" w:w="4819"/>
          </w:tcPr>
          <w:p>
            <w:pPr>
              <w:spacing w:after="20" w:before="20" w:line="240" w:lineRule="auto"/>
            </w:pPr>
            <w:r/>
            <w:r>
              <w:rPr>
                <w:rFonts w:ascii="Arial" w:hAnsi="Arial" w:cs="Arial"/>
                <w:b w:val="0"/>
                <w:i w:val="0"/>
                <w:sz w:val="17"/>
              </w:rPr>
              <w:t>Tier 0</w:t>
            </w:r>
          </w:p>
        </w:tc>
        <w:tc>
          <w:tcPr>
            <w:tcW w:type="dxa" w:w="4819"/>
          </w:tcPr>
          <w:p>
            <w:pPr>
              <w:spacing w:after="20" w:before="20" w:line="240" w:lineRule="auto"/>
            </w:pPr>
            <w:r/>
            <w:r>
              <w:rPr>
                <w:rFonts w:ascii="Arial" w:hAnsi="Arial" w:cs="Arial"/>
                <w:b w:val="0"/>
                <w:i w:val="0"/>
                <w:sz w:val="17"/>
              </w:rPr>
              <w:t>Deterministic automation.</w:t>
            </w:r>
          </w:p>
        </w:tc>
      </w:tr>
      <w:tr>
        <w:tc>
          <w:tcPr>
            <w:tcW w:type="dxa" w:w="4819"/>
          </w:tcPr>
          <w:p>
            <w:pPr>
              <w:spacing w:after="20" w:before="20" w:line="240" w:lineRule="auto"/>
            </w:pPr>
            <w:r/>
            <w:r>
              <w:rPr>
                <w:rFonts w:ascii="Arial" w:hAnsi="Arial" w:cs="Arial"/>
                <w:b w:val="0"/>
                <w:i w:val="0"/>
                <w:sz w:val="17"/>
              </w:rPr>
              <w:t>Tier 1</w:t>
            </w:r>
          </w:p>
        </w:tc>
        <w:tc>
          <w:tcPr>
            <w:tcW w:type="dxa" w:w="4819"/>
          </w:tcPr>
          <w:p>
            <w:pPr>
              <w:spacing w:after="20" w:before="20" w:line="240" w:lineRule="auto"/>
            </w:pPr>
            <w:r/>
            <w:r>
              <w:rPr>
                <w:rFonts w:ascii="Arial" w:hAnsi="Arial" w:cs="Arial"/>
                <w:b w:val="0"/>
                <w:i w:val="0"/>
                <w:sz w:val="17"/>
              </w:rPr>
              <w:t>Automation + monitoring.</w:t>
            </w:r>
          </w:p>
        </w:tc>
      </w:tr>
      <w:tr>
        <w:tc>
          <w:tcPr>
            <w:tcW w:type="dxa" w:w="4819"/>
          </w:tcPr>
          <w:p>
            <w:pPr>
              <w:spacing w:after="20" w:before="20" w:line="240" w:lineRule="auto"/>
            </w:pPr>
            <w:r/>
            <w:r>
              <w:rPr>
                <w:rFonts w:ascii="Arial" w:hAnsi="Arial" w:cs="Arial"/>
                <w:b w:val="0"/>
                <w:i w:val="0"/>
                <w:sz w:val="17"/>
              </w:rPr>
              <w:t>Tier 2</w:t>
            </w:r>
          </w:p>
        </w:tc>
        <w:tc>
          <w:tcPr>
            <w:tcW w:type="dxa" w:w="4819"/>
          </w:tcPr>
          <w:p>
            <w:pPr>
              <w:spacing w:after="20" w:before="20" w:line="240" w:lineRule="auto"/>
            </w:pPr>
            <w:r/>
            <w:r>
              <w:rPr>
                <w:rFonts w:ascii="Arial" w:hAnsi="Arial" w:cs="Arial"/>
                <w:b w:val="0"/>
                <w:i w:val="0"/>
                <w:sz w:val="17"/>
              </w:rPr>
              <w:t>AI recommendation + deterministic policy validation.</w:t>
            </w:r>
          </w:p>
        </w:tc>
      </w:tr>
      <w:tr>
        <w:tc>
          <w:tcPr>
            <w:tcW w:type="dxa" w:w="4819"/>
          </w:tcPr>
          <w:p>
            <w:pPr>
              <w:spacing w:after="20" w:before="20" w:line="240" w:lineRule="auto"/>
            </w:pPr>
            <w:r/>
            <w:r>
              <w:rPr>
                <w:rFonts w:ascii="Arial" w:hAnsi="Arial" w:cs="Arial"/>
                <w:b w:val="0"/>
                <w:i w:val="0"/>
                <w:sz w:val="17"/>
              </w:rPr>
              <w:t>Tier 3</w:t>
            </w:r>
          </w:p>
        </w:tc>
        <w:tc>
          <w:tcPr>
            <w:tcW w:type="dxa" w:w="4819"/>
          </w:tcPr>
          <w:p>
            <w:pPr>
              <w:spacing w:after="20" w:before="20" w:line="240" w:lineRule="auto"/>
            </w:pPr>
            <w:r/>
            <w:r>
              <w:rPr>
                <w:rFonts w:ascii="Arial" w:hAnsi="Arial" w:cs="Arial"/>
                <w:b w:val="0"/>
                <w:i w:val="0"/>
                <w:sz w:val="17"/>
              </w:rPr>
              <w:t>Institutional approval required.</w:t>
            </w:r>
          </w:p>
        </w:tc>
      </w:tr>
      <w:tr>
        <w:tc>
          <w:tcPr>
            <w:tcW w:type="dxa" w:w="4819"/>
          </w:tcPr>
          <w:p>
            <w:pPr>
              <w:spacing w:after="20" w:before="20" w:line="240" w:lineRule="auto"/>
            </w:pPr>
            <w:r/>
            <w:r>
              <w:rPr>
                <w:rFonts w:ascii="Arial" w:hAnsi="Arial" w:cs="Arial"/>
                <w:b w:val="0"/>
                <w:i w:val="0"/>
                <w:sz w:val="17"/>
              </w:rPr>
              <w:t>Tier 4</w:t>
            </w:r>
          </w:p>
        </w:tc>
        <w:tc>
          <w:tcPr>
            <w:tcW w:type="dxa" w:w="4819"/>
          </w:tcPr>
          <w:p>
            <w:pPr>
              <w:spacing w:after="20" w:before="20" w:line="240" w:lineRule="auto"/>
            </w:pPr>
            <w:r/>
            <w:r>
              <w:rPr>
                <w:rFonts w:ascii="Arial" w:hAnsi="Arial" w:cs="Arial"/>
                <w:b w:val="0"/>
                <w:i w:val="0"/>
                <w:sz w:val="17"/>
              </w:rPr>
              <w:t>Human/legal/regulatory authority required.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transaction type and action determine the tier.</w:t>
      </w:r>
    </w:p>
    <w:p>
      <w:pPr>
        <w:keepNext/>
        <w:spacing w:before="240" w:after="100"/>
        <w:outlineLvl w:val="1"/>
      </w:pPr>
      <w:r>
        <w:rPr>
          <w:rFonts w:ascii="Arial" w:hAnsi="Arial" w:cs="Arial"/>
          <w:b/>
          <w:i w:val="0"/>
          <w:color w:val="2E528F"/>
          <w:sz w:val="26"/>
        </w:rPr>
        <w:t>19.82 USTN Lineage</w:t>
      </w:r>
    </w:p>
    <w:p>
      <w:pPr>
        <w:spacing w:after="80" w:line="293" w:lineRule="auto"/>
        <w:jc w:val="left"/>
      </w:pPr>
      <w:r>
        <w:rPr>
          <w:rFonts w:ascii="Times New Roman" w:hAnsi="Times New Roman" w:cs="Times New Roman"/>
          <w:b w:val="0"/>
          <w:i w:val="0"/>
          <w:sz w:val="22"/>
        </w:rPr>
        <w:t>Canonical lineage:</w:t>
      </w:r>
    </w:p>
    <w:p>
      <w:pPr>
        <w:spacing w:after="0" w:before="0" w:line="240" w:lineRule="auto"/>
        <w:ind w:left="57"/>
        <w:jc w:val="left"/>
        <w:shd w:val="clear" w:fill="F2F2F2"/>
      </w:pPr>
      <w:r>
        <w:rPr>
          <w:rFonts w:ascii="Consolas" w:hAnsi="Consolas" w:cs="Consolas"/>
          <w:b w:val="0"/>
          <w:i w:val="0"/>
          <w:sz w:val="15"/>
        </w:rPr>
        <w:t>USTN → Parent Event → Child Event → Exception Event → Compensation Event → Resolution Event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material downstream event remains traceable through USTN.</w:t>
      </w:r>
    </w:p>
    <w:p>
      <w:pPr>
        <w:keepNext/>
        <w:spacing w:before="240" w:after="100"/>
        <w:outlineLvl w:val="1"/>
      </w:pPr>
      <w:r>
        <w:rPr>
          <w:rFonts w:ascii="Arial" w:hAnsi="Arial" w:cs="Arial"/>
          <w:b/>
          <w:i w:val="0"/>
          <w:color w:val="2E528F"/>
          <w:sz w:val="26"/>
        </w:rPr>
        <w:t>19.83 Event Lineage &amp; Correlation</w:t>
      </w:r>
    </w:p>
    <w:p>
      <w:pPr>
        <w:spacing w:after="80" w:line="293" w:lineRule="auto"/>
        <w:jc w:val="left"/>
      </w:pPr>
      <w:r>
        <w:rPr>
          <w:rFonts w:ascii="Times New Roman" w:hAnsi="Times New Roman" w:cs="Times New Roman"/>
          <w:b w:val="0"/>
          <w:i w:val="0"/>
          <w:sz w:val="22"/>
        </w:rPr>
        <w:t>A material event may be linked to:</w:t>
      </w:r>
    </w:p>
    <w:p>
      <w:pPr>
        <w:spacing w:after="80" w:line="293" w:lineRule="auto"/>
        <w:ind w:left="283"/>
        <w:jc w:val="left"/>
      </w:pPr>
      <w:r>
        <w:rPr>
          <w:rFonts w:ascii="Times New Roman" w:hAnsi="Times New Roman" w:cs="Times New Roman"/>
          <w:b w:val="0"/>
          <w:i w:val="0"/>
          <w:sz w:val="22"/>
        </w:rPr>
        <w:t>- trade;</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obligation;</w:t>
      </w:r>
    </w:p>
    <w:p>
      <w:pPr>
        <w:spacing w:after="80" w:line="293" w:lineRule="auto"/>
        <w:ind w:left="283"/>
        <w:jc w:val="left"/>
      </w:pPr>
      <w:r>
        <w:rPr>
          <w:rFonts w:ascii="Times New Roman" w:hAnsi="Times New Roman" w:cs="Times New Roman"/>
          <w:b w:val="0"/>
          <w:i w:val="0"/>
          <w:sz w:val="22"/>
        </w:rPr>
        <w:t>- settlement instruction;</w:t>
      </w:r>
    </w:p>
    <w:p>
      <w:pPr>
        <w:spacing w:after="80" w:line="293" w:lineRule="auto"/>
        <w:ind w:left="283"/>
        <w:jc w:val="left"/>
      </w:pPr>
      <w:r>
        <w:rPr>
          <w:rFonts w:ascii="Times New Roman" w:hAnsi="Times New Roman" w:cs="Times New Roman"/>
          <w:b w:val="0"/>
          <w:i w:val="0"/>
          <w:sz w:val="22"/>
        </w:rPr>
        <w:t>- settlement leg;</w:t>
      </w:r>
    </w:p>
    <w:p>
      <w:pPr>
        <w:spacing w:after="80" w:line="293" w:lineRule="auto"/>
        <w:ind w:left="283"/>
        <w:jc w:val="left"/>
      </w:pPr>
      <w:r>
        <w:rPr>
          <w:rFonts w:ascii="Times New Roman" w:hAnsi="Times New Roman" w:cs="Times New Roman"/>
          <w:b w:val="0"/>
          <w:i w:val="0"/>
          <w:sz w:val="22"/>
        </w:rPr>
        <w:t>- external bank transaction;</w:t>
      </w:r>
    </w:p>
    <w:p>
      <w:pPr>
        <w:spacing w:after="80" w:line="293" w:lineRule="auto"/>
        <w:ind w:left="283"/>
        <w:jc w:val="left"/>
      </w:pPr>
      <w:r>
        <w:rPr>
          <w:rFonts w:ascii="Times New Roman" w:hAnsi="Times New Roman" w:cs="Times New Roman"/>
          <w:b w:val="0"/>
          <w:i w:val="0"/>
          <w:sz w:val="22"/>
        </w:rPr>
        <w:t>- document;</w:t>
      </w:r>
    </w:p>
    <w:p>
      <w:pPr>
        <w:spacing w:after="80" w:line="293" w:lineRule="auto"/>
        <w:ind w:left="283"/>
        <w:jc w:val="left"/>
      </w:pPr>
      <w:r>
        <w:rPr>
          <w:rFonts w:ascii="Times New Roman" w:hAnsi="Times New Roman" w:cs="Times New Roman"/>
          <w:b w:val="0"/>
          <w:i w:val="0"/>
          <w:sz w:val="22"/>
        </w:rPr>
        <w:t>- logistics event;</w:t>
      </w:r>
    </w:p>
    <w:p>
      <w:pPr>
        <w:spacing w:after="80" w:line="293" w:lineRule="auto"/>
        <w:ind w:left="283"/>
        <w:jc w:val="left"/>
      </w:pPr>
      <w:r>
        <w:rPr>
          <w:rFonts w:ascii="Times New Roman" w:hAnsi="Times New Roman" w:cs="Times New Roman"/>
          <w:b w:val="0"/>
          <w:i w:val="0"/>
          <w:sz w:val="22"/>
        </w:rPr>
        <w:t>- customs identifier;</w:t>
      </w:r>
    </w:p>
    <w:p>
      <w:pPr>
        <w:spacing w:after="80" w:line="293" w:lineRule="auto"/>
        <w:ind w:left="283"/>
        <w:jc w:val="left"/>
      </w:pPr>
      <w:r>
        <w:rPr>
          <w:rFonts w:ascii="Times New Roman" w:hAnsi="Times New Roman" w:cs="Times New Roman"/>
          <w:b w:val="0"/>
          <w:i w:val="0"/>
          <w:sz w:val="22"/>
        </w:rPr>
        <w:t>- dispute;</w:t>
      </w:r>
    </w:p>
    <w:p>
      <w:pPr>
        <w:spacing w:after="80" w:line="293" w:lineRule="auto"/>
        <w:ind w:left="283"/>
        <w:jc w:val="left"/>
      </w:pPr>
      <w:r>
        <w:rPr>
          <w:rFonts w:ascii="Times New Roman" w:hAnsi="Times New Roman" w:cs="Times New Roman"/>
          <w:b w:val="0"/>
          <w:i w:val="0"/>
          <w:sz w:val="22"/>
        </w:rPr>
        <w:t>- legal event;</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recovery event.</w:t>
      </w:r>
    </w:p>
    <w:p>
      <w:pPr>
        <w:spacing w:after="80" w:line="293" w:lineRule="auto"/>
        <w:jc w:val="left"/>
      </w:pPr>
      <w:r>
        <w:rPr>
          <w:rFonts w:ascii="Times New Roman" w:hAnsi="Times New Roman" w:cs="Times New Roman"/>
          <w:b w:val="0"/>
          <w:i w:val="0"/>
          <w:sz w:val="22"/>
        </w:rPr>
        <w:t>USTN remains the principal cross-domain namespace.</w:t>
      </w:r>
    </w:p>
    <w:p>
      <w:pPr>
        <w:keepNext/>
        <w:spacing w:before="240" w:after="100"/>
        <w:outlineLvl w:val="1"/>
      </w:pPr>
      <w:r>
        <w:rPr>
          <w:rFonts w:ascii="Arial" w:hAnsi="Arial" w:cs="Arial"/>
          <w:b/>
          <w:i w:val="0"/>
          <w:color w:val="2E528F"/>
          <w:sz w:val="26"/>
        </w:rPr>
        <w:t>19.84 Policy Versioning</w:t>
      </w:r>
    </w:p>
    <w:p>
      <w:pPr>
        <w:spacing w:after="80" w:line="293" w:lineRule="auto"/>
        <w:jc w:val="left"/>
      </w:pPr>
      <w:r>
        <w:rPr>
          <w:rFonts w:ascii="Times New Roman" w:hAnsi="Times New Roman" w:cs="Times New Roman"/>
          <w:b w:val="0"/>
          <w:i w:val="0"/>
          <w:sz w:val="22"/>
        </w:rPr>
        <w:t>Every material policy-driven decision identifies:</w:t>
      </w:r>
    </w:p>
    <w:p>
      <w:pPr>
        <w:spacing w:after="80" w:line="293" w:lineRule="auto"/>
        <w:ind w:left="283"/>
        <w:jc w:val="left"/>
      </w:pPr>
      <w:r>
        <w:rPr>
          <w:rFonts w:ascii="Times New Roman" w:hAnsi="Times New Roman" w:cs="Times New Roman"/>
          <w:b w:val="0"/>
          <w:i w:val="0"/>
          <w:sz w:val="22"/>
        </w:rPr>
        <w:t>- Policy Name</w:t>
      </w:r>
    </w:p>
    <w:p>
      <w:pPr>
        <w:spacing w:after="80" w:line="293" w:lineRule="auto"/>
        <w:ind w:left="283"/>
        <w:jc w:val="left"/>
      </w:pPr>
      <w:r>
        <w:rPr>
          <w:rFonts w:ascii="Times New Roman" w:hAnsi="Times New Roman" w:cs="Times New Roman"/>
          <w:b w:val="0"/>
          <w:i w:val="0"/>
          <w:sz w:val="22"/>
        </w:rPr>
        <w:t>- Policy Version</w:t>
      </w:r>
    </w:p>
    <w:p>
      <w:pPr>
        <w:spacing w:after="80" w:line="293" w:lineRule="auto"/>
        <w:ind w:left="283"/>
        <w:jc w:val="left"/>
      </w:pPr>
      <w:r>
        <w:rPr>
          <w:rFonts w:ascii="Times New Roman" w:hAnsi="Times New Roman" w:cs="Times New Roman"/>
          <w:b w:val="0"/>
          <w:i w:val="0"/>
          <w:sz w:val="22"/>
        </w:rPr>
        <w:t>- Decision</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Timestamp</w:t>
      </w:r>
    </w:p>
    <w:p>
      <w:pPr>
        <w:spacing w:after="80" w:line="293" w:lineRule="auto"/>
        <w:ind w:left="283"/>
        <w:jc w:val="left"/>
      </w:pPr>
      <w:r>
        <w:rPr>
          <w:rFonts w:ascii="Times New Roman" w:hAnsi="Times New Roman" w:cs="Times New Roman"/>
          <w:b w:val="0"/>
          <w:i w:val="0"/>
          <w:sz w:val="22"/>
        </w:rPr>
        <w:t>- Actor/System</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`SettlementPolicy v3.7`, Decision = ALLOWED, Evidence = …, Authority = … . Historical policy decisions are never rewritten simply because a new policy later becomes active.</w:t>
      </w:r>
    </w:p>
    <w:p>
      <w:pPr>
        <w:keepNext/>
        <w:spacing w:before="240" w:after="100"/>
        <w:outlineLvl w:val="1"/>
      </w:pPr>
      <w:r>
        <w:rPr>
          <w:rFonts w:ascii="Arial" w:hAnsi="Arial" w:cs="Arial"/>
          <w:b/>
          <w:i w:val="0"/>
          <w:color w:val="2E528F"/>
          <w:sz w:val="26"/>
        </w:rPr>
        <w:t>19.85 Policy Time Travel</w:t>
      </w:r>
    </w:p>
    <w:p>
      <w:pPr>
        <w:spacing w:after="80" w:line="293" w:lineRule="auto"/>
        <w:jc w:val="left"/>
      </w:pPr>
      <w:r>
        <w:rPr>
          <w:rFonts w:ascii="Times New Roman" w:hAnsi="Times New Roman" w:cs="Times New Roman"/>
          <w:b w:val="0"/>
          <w:i w:val="0"/>
          <w:sz w:val="22"/>
        </w:rPr>
        <w:t>Authorized institutional users can ask:</w:t>
      </w:r>
    </w:p>
    <w:p>
      <w:pPr>
        <w:spacing w:after="80" w:line="293" w:lineRule="auto"/>
        <w:ind w:left="283"/>
        <w:jc w:val="left"/>
      </w:pPr>
      <w:r>
        <w:rPr>
          <w:rFonts w:ascii="Times New Roman" w:hAnsi="Times New Roman" w:cs="Times New Roman"/>
          <w:b w:val="0"/>
          <w:i w:val="0"/>
          <w:sz w:val="22"/>
        </w:rPr>
        <w:t>- What policy was in force when this event occurred?</w:t>
      </w:r>
    </w:p>
    <w:p>
      <w:pPr>
        <w:spacing w:after="80" w:line="293" w:lineRule="auto"/>
        <w:ind w:left="283"/>
        <w:jc w:val="left"/>
      </w:pPr>
      <w:r>
        <w:rPr>
          <w:rFonts w:ascii="Times New Roman" w:hAnsi="Times New Roman" w:cs="Times New Roman"/>
          <w:b w:val="0"/>
          <w:i w:val="0"/>
          <w:sz w:val="22"/>
        </w:rPr>
        <w:t>- What would the current policy say today?</w:t>
      </w:r>
    </w:p>
    <w:p>
      <w:pPr>
        <w:spacing w:after="80" w:line="293" w:lineRule="auto"/>
        <w:jc w:val="left"/>
      </w:pPr>
      <w:r>
        <w:rPr>
          <w:rFonts w:ascii="Times New Roman" w:hAnsi="Times New Roman" w:cs="Times New Roman"/>
          <w:b w:val="0"/>
          <w:i w:val="0"/>
          <w:sz w:val="22"/>
        </w:rPr>
        <w:t>These are different analytical questions.</w:t>
      </w:r>
    </w:p>
    <w:p>
      <w:pPr>
        <w:keepNext/>
        <w:spacing w:before="240" w:after="100"/>
        <w:outlineLvl w:val="1"/>
      </w:pPr>
      <w:r>
        <w:rPr>
          <w:rFonts w:ascii="Arial" w:hAnsi="Arial" w:cs="Arial"/>
          <w:b/>
          <w:i w:val="0"/>
          <w:color w:val="2E528F"/>
          <w:sz w:val="26"/>
        </w:rPr>
        <w:t>19.86 Replay Mode</w:t>
      </w:r>
    </w:p>
    <w:p>
      <w:pPr>
        <w:spacing w:after="80" w:line="293" w:lineRule="auto"/>
        <w:jc w:val="left"/>
      </w:pPr>
      <w:r>
        <w:rPr>
          <w:rFonts w:ascii="Times New Roman" w:hAnsi="Times New Roman" w:cs="Times New Roman"/>
          <w:b w:val="0"/>
          <w:i w:val="0"/>
          <w:sz w:val="22"/>
        </w:rPr>
        <w:t>Given USTN + Event History + Policy Versions + Authority Inputs + Evidence References, SGTX reconstructs: what did the system know at that moment, and why did it produce that state? Replay supports:</w:t>
      </w:r>
    </w:p>
    <w:p>
      <w:pPr>
        <w:spacing w:after="80" w:line="293" w:lineRule="auto"/>
        <w:ind w:left="283"/>
        <w:jc w:val="left"/>
      </w:pPr>
      <w:r>
        <w:rPr>
          <w:rFonts w:ascii="Times New Roman" w:hAnsi="Times New Roman" w:cs="Times New Roman"/>
          <w:b w:val="0"/>
          <w:i w:val="0"/>
          <w:sz w:val="22"/>
        </w:rPr>
        <w:t>- audits;</w:t>
      </w:r>
    </w:p>
    <w:p>
      <w:pPr>
        <w:spacing w:after="80" w:line="293" w:lineRule="auto"/>
        <w:ind w:left="283"/>
        <w:jc w:val="left"/>
      </w:pPr>
      <w:r>
        <w:rPr>
          <w:rFonts w:ascii="Times New Roman" w:hAnsi="Times New Roman" w:cs="Times New Roman"/>
          <w:b w:val="0"/>
          <w:i w:val="0"/>
          <w:sz w:val="22"/>
        </w:rPr>
        <w:t>- investigations;</w:t>
      </w:r>
    </w:p>
    <w:p>
      <w:pPr>
        <w:spacing w:after="80" w:line="293" w:lineRule="auto"/>
        <w:ind w:left="283"/>
        <w:jc w:val="left"/>
      </w:pPr>
      <w:r>
        <w:rPr>
          <w:rFonts w:ascii="Times New Roman" w:hAnsi="Times New Roman" w:cs="Times New Roman"/>
          <w:b w:val="0"/>
          <w:i w:val="0"/>
          <w:sz w:val="22"/>
        </w:rPr>
        <w:t>- legal review;</w:t>
      </w:r>
    </w:p>
    <w:p>
      <w:pPr>
        <w:spacing w:after="80" w:line="293" w:lineRule="auto"/>
        <w:ind w:left="283"/>
        <w:jc w:val="left"/>
      </w:pPr>
      <w:r>
        <w:rPr>
          <w:rFonts w:ascii="Times New Roman" w:hAnsi="Times New Roman" w:cs="Times New Roman"/>
          <w:b w:val="0"/>
          <w:i w:val="0"/>
          <w:sz w:val="22"/>
        </w:rPr>
        <w:t>- regulator examination;</w:t>
      </w:r>
    </w:p>
    <w:p>
      <w:pPr>
        <w:spacing w:after="80" w:line="293" w:lineRule="auto"/>
        <w:ind w:left="283"/>
        <w:jc w:val="left"/>
      </w:pPr>
      <w:r>
        <w:rPr>
          <w:rFonts w:ascii="Times New Roman" w:hAnsi="Times New Roman" w:cs="Times New Roman"/>
          <w:b w:val="0"/>
          <w:i w:val="0"/>
          <w:sz w:val="22"/>
        </w:rPr>
        <w:t>- incident response;</w:t>
      </w:r>
    </w:p>
    <w:p>
      <w:pPr>
        <w:spacing w:after="80" w:line="293" w:lineRule="auto"/>
        <w:ind w:left="283"/>
        <w:jc w:val="left"/>
      </w:pPr>
      <w:r>
        <w:rPr>
          <w:rFonts w:ascii="Times New Roman" w:hAnsi="Times New Roman" w:cs="Times New Roman"/>
          <w:b w:val="0"/>
          <w:i w:val="0"/>
          <w:sz w:val="22"/>
        </w:rPr>
        <w:t>- debugging;</w:t>
      </w:r>
    </w:p>
    <w:p>
      <w:pPr>
        <w:spacing w:after="80" w:line="293" w:lineRule="auto"/>
        <w:ind w:left="283"/>
        <w:jc w:val="left"/>
      </w:pPr>
      <w:r>
        <w:rPr>
          <w:rFonts w:ascii="Times New Roman" w:hAnsi="Times New Roman" w:cs="Times New Roman"/>
          <w:b w:val="0"/>
          <w:i w:val="0"/>
          <w:sz w:val="22"/>
        </w:rPr>
        <w:t>- AI validation;</w:t>
      </w:r>
    </w:p>
    <w:p>
      <w:pPr>
        <w:spacing w:after="80" w:line="293" w:lineRule="auto"/>
        <w:ind w:left="283"/>
        <w:jc w:val="left"/>
      </w:pPr>
      <w:r>
        <w:rPr>
          <w:rFonts w:ascii="Times New Roman" w:hAnsi="Times New Roman" w:cs="Times New Roman"/>
          <w:b w:val="0"/>
          <w:i w:val="0"/>
          <w:sz w:val="22"/>
        </w:rPr>
        <w:t>- policy testing.</w:t>
      </w:r>
    </w:p>
    <w:p>
      <w:pPr>
        <w:keepNext/>
        <w:spacing w:before="240" w:after="100"/>
        <w:outlineLvl w:val="1"/>
      </w:pPr>
      <w:r>
        <w:rPr>
          <w:rFonts w:ascii="Arial" w:hAnsi="Arial" w:cs="Arial"/>
          <w:b/>
          <w:i w:val="0"/>
          <w:color w:val="2E528F"/>
          <w:sz w:val="26"/>
        </w:rPr>
        <w:t>19.87 Proof-of-Execution Certificate</w:t>
      </w:r>
    </w:p>
    <w:p>
      <w:pPr>
        <w:spacing w:after="80" w:line="293" w:lineRule="auto"/>
        <w:jc w:val="left"/>
      </w:pPr>
      <w:r>
        <w:rPr>
          <w:rFonts w:ascii="Times New Roman" w:hAnsi="Times New Roman" w:cs="Times New Roman"/>
          <w:b w:val="0"/>
          <w:i w:val="0"/>
          <w:sz w:val="22"/>
        </w:rPr>
        <w:t>For applicable milestones SGTX generates a structured certificate containing:</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Contract Reference</w:t>
      </w:r>
    </w:p>
    <w:p>
      <w:pPr>
        <w:spacing w:after="80" w:line="293" w:lineRule="auto"/>
        <w:ind w:left="283"/>
        <w:jc w:val="left"/>
      </w:pPr>
      <w:r>
        <w:rPr>
          <w:rFonts w:ascii="Times New Roman" w:hAnsi="Times New Roman" w:cs="Times New Roman"/>
          <w:b w:val="0"/>
          <w:i w:val="0"/>
          <w:sz w:val="22"/>
        </w:rPr>
        <w:t>- Execution State</w:t>
      </w:r>
    </w:p>
    <w:p>
      <w:pPr>
        <w:spacing w:after="80" w:line="293" w:lineRule="auto"/>
        <w:ind w:left="283"/>
        <w:jc w:val="left"/>
      </w:pPr>
      <w:r>
        <w:rPr>
          <w:rFonts w:ascii="Times New Roman" w:hAnsi="Times New Roman" w:cs="Times New Roman"/>
          <w:b w:val="0"/>
          <w:i w:val="0"/>
          <w:sz w:val="22"/>
        </w:rPr>
        <w:t>- Financial State</w:t>
      </w:r>
    </w:p>
    <w:p>
      <w:pPr>
        <w:spacing w:after="80" w:line="293" w:lineRule="auto"/>
        <w:ind w:left="283"/>
        <w:jc w:val="left"/>
      </w:pPr>
      <w:r>
        <w:rPr>
          <w:rFonts w:ascii="Times New Roman" w:hAnsi="Times New Roman" w:cs="Times New Roman"/>
          <w:b w:val="0"/>
          <w:i w:val="0"/>
          <w:sz w:val="22"/>
        </w:rPr>
        <w:t>- Legal State</w:t>
      </w:r>
    </w:p>
    <w:p>
      <w:pPr>
        <w:spacing w:after="80" w:line="293" w:lineRule="auto"/>
        <w:ind w:left="283"/>
        <w:jc w:val="left"/>
      </w:pPr>
      <w:r>
        <w:rPr>
          <w:rFonts w:ascii="Times New Roman" w:hAnsi="Times New Roman" w:cs="Times New Roman"/>
          <w:b w:val="0"/>
          <w:i w:val="0"/>
          <w:sz w:val="22"/>
        </w:rPr>
        <w:t>- Physical/Operational State</w:t>
      </w:r>
    </w:p>
    <w:p>
      <w:pPr>
        <w:spacing w:after="80" w:line="293" w:lineRule="auto"/>
        <w:ind w:left="283"/>
        <w:jc w:val="left"/>
      </w:pPr>
      <w:r>
        <w:rPr>
          <w:rFonts w:ascii="Times New Roman" w:hAnsi="Times New Roman" w:cs="Times New Roman"/>
          <w:b w:val="0"/>
          <w:i w:val="0"/>
          <w:sz w:val="22"/>
        </w:rPr>
        <w:t>- Evidence References</w:t>
      </w:r>
    </w:p>
    <w:p>
      <w:pPr>
        <w:spacing w:after="80" w:line="293" w:lineRule="auto"/>
        <w:ind w:left="283"/>
        <w:jc w:val="left"/>
      </w:pPr>
      <w:r>
        <w:rPr>
          <w:rFonts w:ascii="Times New Roman" w:hAnsi="Times New Roman" w:cs="Times New Roman"/>
          <w:b w:val="0"/>
          <w:i w:val="0"/>
          <w:sz w:val="22"/>
        </w:rPr>
        <w:t>- Event Timestamps</w:t>
      </w:r>
    </w:p>
    <w:p>
      <w:pPr>
        <w:spacing w:after="80" w:line="293" w:lineRule="auto"/>
        <w:ind w:left="283"/>
        <w:jc w:val="left"/>
      </w:pPr>
      <w:r>
        <w:rPr>
          <w:rFonts w:ascii="Times New Roman" w:hAnsi="Times New Roman" w:cs="Times New Roman"/>
          <w:b w:val="0"/>
          <w:i w:val="0"/>
          <w:sz w:val="22"/>
        </w:rPr>
        <w:t>- Authority Sources</w:t>
      </w:r>
    </w:p>
    <w:p>
      <w:pPr>
        <w:spacing w:after="80" w:line="293" w:lineRule="auto"/>
        <w:ind w:left="283"/>
        <w:jc w:val="left"/>
      </w:pPr>
      <w:r>
        <w:rPr>
          <w:rFonts w:ascii="Times New Roman" w:hAnsi="Times New Roman" w:cs="Times New Roman"/>
          <w:b w:val="0"/>
          <w:i w:val="0"/>
          <w:sz w:val="22"/>
        </w:rPr>
        <w:t>- Cryptographic Event Root</w:t>
      </w:r>
    </w:p>
    <w:p>
      <w:pPr>
        <w:spacing w:after="80" w:line="293" w:lineRule="auto"/>
        <w:ind w:left="283"/>
        <w:jc w:val="left"/>
      </w:pPr>
      <w:r>
        <w:rPr>
          <w:rFonts w:ascii="Times New Roman" w:hAnsi="Times New Roman" w:cs="Times New Roman"/>
          <w:b w:val="0"/>
          <w:i w:val="0"/>
          <w:sz w:val="22"/>
        </w:rPr>
        <w:t>- Policy Version</w:t>
      </w:r>
    </w:p>
    <w:p>
      <w:pPr>
        <w:spacing w:after="80" w:line="293" w:lineRule="auto"/>
        <w:ind w:left="283"/>
        <w:jc w:val="left"/>
      </w:pPr>
      <w:r>
        <w:rPr>
          <w:rFonts w:ascii="Times New Roman" w:hAnsi="Times New Roman" w:cs="Times New Roman"/>
          <w:b w:val="0"/>
          <w:i w:val="0"/>
          <w:sz w:val="22"/>
        </w:rPr>
        <w:t>- Reconciliation Status</w:t>
      </w:r>
    </w:p>
    <w:p>
      <w:pPr>
        <w:spacing w:after="80" w:line="293" w:lineRule="auto"/>
        <w:ind w:left="283"/>
        <w:jc w:val="left"/>
      </w:pPr>
      <w:r>
        <w:rPr>
          <w:rFonts w:ascii="Times New Roman" w:hAnsi="Times New Roman" w:cs="Times New Roman"/>
          <w:b w:val="0"/>
          <w:i w:val="0"/>
          <w:sz w:val="22"/>
        </w:rPr>
        <w:t>- Exceptions</w:t>
      </w:r>
    </w:p>
    <w:p>
      <w:pPr>
        <w:spacing w:after="80" w:line="293" w:lineRule="auto"/>
        <w:ind w:left="283"/>
        <w:jc w:val="left"/>
      </w:pPr>
      <w:r>
        <w:rPr>
          <w:rFonts w:ascii="Times New Roman" w:hAnsi="Times New Roman" w:cs="Times New Roman"/>
          <w:b w:val="0"/>
          <w:i w:val="0"/>
          <w:sz w:val="22"/>
        </w:rPr>
        <w:t>- Settlement References</w:t>
      </w:r>
    </w:p>
    <w:p>
      <w:pPr>
        <w:spacing w:after="80" w:line="293" w:lineRule="auto"/>
        <w:jc w:val="left"/>
      </w:pPr>
      <w:r>
        <w:rPr>
          <w:rFonts w:ascii="Times New Roman" w:hAnsi="Times New Roman" w:cs="Times New Roman"/>
          <w:b w:val="0"/>
          <w:i w:val="0"/>
          <w:sz w:val="22"/>
        </w:rPr>
        <w:t>This becomes an institutional integration artifact.</w:t>
      </w:r>
    </w:p>
    <w:p>
      <w:pPr>
        <w:keepNext/>
        <w:spacing w:before="240" w:after="100"/>
        <w:outlineLvl w:val="1"/>
      </w:pPr>
      <w:r>
        <w:rPr>
          <w:rFonts w:ascii="Arial" w:hAnsi="Arial" w:cs="Arial"/>
          <w:b/>
          <w:i w:val="0"/>
          <w:color w:val="2E528F"/>
          <w:sz w:val="26"/>
        </w:rPr>
        <w:t>19.88 Settlement Certificate ≠ Closure Certificate</w:t>
      </w:r>
    </w:p>
    <w:p>
      <w:pPr>
        <w:spacing w:after="80" w:line="293" w:lineRule="auto"/>
        <w:ind w:left="283"/>
        <w:jc w:val="left"/>
      </w:pPr>
      <w:r>
        <w:rPr>
          <w:rFonts w:ascii="Times New Roman" w:hAnsi="Times New Roman" w:cs="Times New Roman"/>
          <w:b w:val="0"/>
          <w:i w:val="0"/>
          <w:sz w:val="22"/>
        </w:rPr>
        <w:t>- Settlement Certificate — confirms that the defined settlement condition was satisfied according to the specified evidence and applicable financial authority.</w:t>
      </w:r>
    </w:p>
    <w:p>
      <w:pPr>
        <w:spacing w:after="80" w:line="293" w:lineRule="auto"/>
        <w:ind w:left="283"/>
        <w:jc w:val="left"/>
      </w:pPr>
      <w:r>
        <w:rPr>
          <w:rFonts w:ascii="Times New Roman" w:hAnsi="Times New Roman" w:cs="Times New Roman"/>
          <w:b w:val="0"/>
          <w:i w:val="0"/>
          <w:sz w:val="22"/>
        </w:rPr>
        <w:t>- Closure Certificate — confirms that required operational, financial, documentary, compliance, reconciliation and closure conditions have been satisfied according to the applicable closure policy.</w:t>
      </w:r>
    </w:p>
    <w:p>
      <w:pPr>
        <w:spacing w:after="80" w:line="293" w:lineRule="auto"/>
        <w:jc w:val="left"/>
      </w:pPr>
      <w:r>
        <w:rPr>
          <w:rFonts w:ascii="Times New Roman" w:hAnsi="Times New Roman" w:cs="Times New Roman"/>
          <w:b w:val="0"/>
          <w:i w:val="0"/>
          <w:sz w:val="22"/>
        </w:rPr>
        <w:t>These certificates remain separate.</w:t>
      </w:r>
    </w:p>
    <w:p>
      <w:pPr>
        <w:keepNext/>
        <w:spacing w:before="240" w:after="100"/>
        <w:outlineLvl w:val="1"/>
      </w:pPr>
      <w:r>
        <w:rPr>
          <w:rFonts w:ascii="Arial" w:hAnsi="Arial" w:cs="Arial"/>
          <w:b/>
          <w:i w:val="0"/>
          <w:color w:val="2E528F"/>
          <w:sz w:val="26"/>
        </w:rPr>
        <w:t>19.89 Transaction Twin</w:t>
      </w:r>
    </w:p>
    <w:p>
      <w:pPr>
        <w:spacing w:after="80" w:line="293" w:lineRule="auto"/>
        <w:jc w:val="left"/>
      </w:pPr>
      <w:r>
        <w:rPr>
          <w:rFonts w:ascii="Times New Roman" w:hAnsi="Times New Roman" w:cs="Times New Roman"/>
          <w:b w:val="0"/>
          <w:i w:val="0"/>
          <w:sz w:val="22"/>
        </w:rPr>
        <w:t>The platform defines the SGTX Transaction Twin. The Transaction Twin is the live logical representation of:</w:t>
      </w:r>
    </w:p>
    <w:p>
      <w:pPr>
        <w:spacing w:after="80" w:line="293" w:lineRule="auto"/>
        <w:ind w:left="283"/>
        <w:jc w:val="left"/>
      </w:pPr>
      <w:r>
        <w:rPr>
          <w:rFonts w:ascii="Times New Roman" w:hAnsi="Times New Roman" w:cs="Times New Roman"/>
          <w:b w:val="0"/>
          <w:i w:val="0"/>
          <w:sz w:val="22"/>
        </w:rPr>
        <w:t>- obligations;</w:t>
      </w:r>
    </w:p>
    <w:p>
      <w:pPr>
        <w:spacing w:after="80" w:line="293" w:lineRule="auto"/>
        <w:ind w:left="283"/>
        <w:jc w:val="left"/>
      </w:pPr>
      <w:r>
        <w:rPr>
          <w:rFonts w:ascii="Times New Roman" w:hAnsi="Times New Roman" w:cs="Times New Roman"/>
          <w:b w:val="0"/>
          <w:i w:val="0"/>
          <w:sz w:val="22"/>
        </w:rPr>
        <w:t>- actors;</w:t>
      </w:r>
    </w:p>
    <w:p>
      <w:pPr>
        <w:spacing w:after="80" w:line="293" w:lineRule="auto"/>
        <w:ind w:left="283"/>
        <w:jc w:val="left"/>
      </w:pPr>
      <w:r>
        <w:rPr>
          <w:rFonts w:ascii="Times New Roman" w:hAnsi="Times New Roman" w:cs="Times New Roman"/>
          <w:b w:val="0"/>
          <w:i w:val="0"/>
          <w:sz w:val="22"/>
        </w:rPr>
        <w:t>- dependencies;</w:t>
      </w:r>
    </w:p>
    <w:p>
      <w:pPr>
        <w:spacing w:after="80" w:line="293" w:lineRule="auto"/>
        <w:ind w:left="283"/>
        <w:jc w:val="left"/>
      </w:pPr>
      <w:r>
        <w:rPr>
          <w:rFonts w:ascii="Times New Roman" w:hAnsi="Times New Roman" w:cs="Times New Roman"/>
          <w:b w:val="0"/>
          <w:i w:val="0"/>
          <w:sz w:val="22"/>
        </w:rPr>
        <w:t>- documents;</w:t>
      </w:r>
    </w:p>
    <w:p>
      <w:pPr>
        <w:spacing w:after="80" w:line="293" w:lineRule="auto"/>
        <w:ind w:left="283"/>
        <w:jc w:val="left"/>
      </w:pPr>
      <w:r>
        <w:rPr>
          <w:rFonts w:ascii="Times New Roman" w:hAnsi="Times New Roman" w:cs="Times New Roman"/>
          <w:b w:val="0"/>
          <w:i w:val="0"/>
          <w:sz w:val="22"/>
        </w:rPr>
        <w:t>- financial state;</w:t>
      </w:r>
    </w:p>
    <w:p>
      <w:pPr>
        <w:spacing w:after="80" w:line="293" w:lineRule="auto"/>
        <w:ind w:left="283"/>
        <w:jc w:val="left"/>
      </w:pPr>
      <w:r>
        <w:rPr>
          <w:rFonts w:ascii="Times New Roman" w:hAnsi="Times New Roman" w:cs="Times New Roman"/>
          <w:b w:val="0"/>
          <w:i w:val="0"/>
          <w:sz w:val="22"/>
        </w:rPr>
        <w:t>- legal state;</w:t>
      </w:r>
    </w:p>
    <w:p>
      <w:pPr>
        <w:spacing w:after="80" w:line="293" w:lineRule="auto"/>
        <w:ind w:left="283"/>
        <w:jc w:val="left"/>
      </w:pPr>
      <w:r>
        <w:rPr>
          <w:rFonts w:ascii="Times New Roman" w:hAnsi="Times New Roman" w:cs="Times New Roman"/>
          <w:b w:val="0"/>
          <w:i w:val="0"/>
          <w:sz w:val="22"/>
        </w:rPr>
        <w:t>- execution state;</w:t>
      </w:r>
    </w:p>
    <w:p>
      <w:pPr>
        <w:spacing w:after="80" w:line="293" w:lineRule="auto"/>
        <w:ind w:left="283"/>
        <w:jc w:val="left"/>
      </w:pPr>
      <w:r>
        <w:rPr>
          <w:rFonts w:ascii="Times New Roman" w:hAnsi="Times New Roman" w:cs="Times New Roman"/>
          <w:b w:val="0"/>
          <w:i w:val="0"/>
          <w:sz w:val="22"/>
        </w:rPr>
        <w:t>- physical state;</w:t>
      </w:r>
    </w:p>
    <w:p>
      <w:pPr>
        <w:spacing w:after="80" w:line="293" w:lineRule="auto"/>
        <w:ind w:left="283"/>
        <w:jc w:val="left"/>
      </w:pPr>
      <w:r>
        <w:rPr>
          <w:rFonts w:ascii="Times New Roman" w:hAnsi="Times New Roman" w:cs="Times New Roman"/>
          <w:b w:val="0"/>
          <w:i w:val="0"/>
          <w:sz w:val="22"/>
        </w:rPr>
        <w:t>- compliance state;</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exceptions;</w:t>
      </w:r>
    </w:p>
    <w:p>
      <w:pPr>
        <w:spacing w:after="80" w:line="293" w:lineRule="auto"/>
        <w:ind w:left="283"/>
        <w:jc w:val="left"/>
      </w:pPr>
      <w:r>
        <w:rPr>
          <w:rFonts w:ascii="Times New Roman" w:hAnsi="Times New Roman" w:cs="Times New Roman"/>
          <w:b w:val="0"/>
          <w:i w:val="0"/>
          <w:sz w:val="22"/>
        </w:rPr>
        <w:t>- exposure;</w:t>
      </w:r>
    </w:p>
    <w:p>
      <w:pPr>
        <w:spacing w:after="80" w:line="293" w:lineRule="auto"/>
        <w:ind w:left="283"/>
        <w:jc w:val="left"/>
      </w:pPr>
      <w:r>
        <w:rPr>
          <w:rFonts w:ascii="Times New Roman" w:hAnsi="Times New Roman" w:cs="Times New Roman"/>
          <w:b w:val="0"/>
          <w:i w:val="0"/>
          <w:sz w:val="22"/>
        </w:rPr>
        <w:t>- recovery paths;</w:t>
      </w:r>
    </w:p>
    <w:p>
      <w:pPr>
        <w:spacing w:after="80" w:line="293" w:lineRule="auto"/>
        <w:ind w:left="283"/>
        <w:jc w:val="left"/>
      </w:pPr>
      <w:r>
        <w:rPr>
          <w:rFonts w:ascii="Times New Roman" w:hAnsi="Times New Roman" w:cs="Times New Roman"/>
          <w:b w:val="0"/>
          <w:i w:val="0"/>
          <w:sz w:val="22"/>
        </w:rPr>
        <w:t>- closure conditions.</w:t>
      </w:r>
    </w:p>
    <w:p>
      <w:pPr>
        <w:spacing w:after="80" w:line="293" w:lineRule="auto"/>
        <w:jc w:val="left"/>
      </w:pPr>
      <w:r>
        <w:rPr>
          <w:rFonts w:ascii="Times New Roman" w:hAnsi="Times New Roman" w:cs="Times New Roman"/>
          <w:b w:val="0"/>
          <w:i w:val="0"/>
          <w:sz w:val="22"/>
        </w:rPr>
        <w:t>It is not a metaverse or speculative virtual-world product. It is the structured operational representation of the transaction.</w:t>
      </w:r>
    </w:p>
    <w:p>
      <w:pPr>
        <w:keepNext/>
        <w:spacing w:before="240" w:after="100"/>
        <w:outlineLvl w:val="1"/>
      </w:pPr>
      <w:r>
        <w:rPr>
          <w:rFonts w:ascii="Arial" w:hAnsi="Arial" w:cs="Arial"/>
          <w:b/>
          <w:i w:val="0"/>
          <w:color w:val="2E528F"/>
          <w:sz w:val="26"/>
        </w:rPr>
        <w:t>19.90 Dispute Packet</w:t>
      </w:r>
    </w:p>
    <w:p>
      <w:pPr>
        <w:spacing w:after="80" w:line="293" w:lineRule="auto"/>
        <w:jc w:val="left"/>
      </w:pPr>
      <w:r>
        <w:rPr>
          <w:rFonts w:ascii="Times New Roman" w:hAnsi="Times New Roman" w:cs="Times New Roman"/>
          <w:b w:val="0"/>
          <w:i w:val="0"/>
          <w:sz w:val="22"/>
        </w:rPr>
        <w:t>When a dispute occurs, SGTX assembles:</w:t>
      </w:r>
    </w:p>
    <w:p>
      <w:pPr>
        <w:spacing w:after="80" w:line="293" w:lineRule="auto"/>
        <w:ind w:left="283"/>
        <w:jc w:val="left"/>
      </w:pPr>
      <w:r>
        <w:rPr>
          <w:rFonts w:ascii="Times New Roman" w:hAnsi="Times New Roman" w:cs="Times New Roman"/>
          <w:b w:val="0"/>
          <w:i w:val="0"/>
          <w:sz w:val="22"/>
        </w:rPr>
        <w:t>- transaction history;</w:t>
      </w:r>
    </w:p>
    <w:p>
      <w:pPr>
        <w:spacing w:after="80" w:line="293" w:lineRule="auto"/>
        <w:ind w:left="283"/>
        <w:jc w:val="left"/>
      </w:pPr>
      <w:r>
        <w:rPr>
          <w:rFonts w:ascii="Times New Roman" w:hAnsi="Times New Roman" w:cs="Times New Roman"/>
          <w:b w:val="0"/>
          <w:i w:val="0"/>
          <w:sz w:val="22"/>
        </w:rPr>
        <w:t>- timeline;</w:t>
      </w:r>
    </w:p>
    <w:p>
      <w:pPr>
        <w:spacing w:after="80" w:line="293" w:lineRule="auto"/>
        <w:ind w:left="283"/>
        <w:jc w:val="left"/>
      </w:pPr>
      <w:r>
        <w:rPr>
          <w:rFonts w:ascii="Times New Roman" w:hAnsi="Times New Roman" w:cs="Times New Roman"/>
          <w:b w:val="0"/>
          <w:i w:val="0"/>
          <w:sz w:val="22"/>
        </w:rPr>
        <w:t>- contract references;</w:t>
      </w:r>
    </w:p>
    <w:p>
      <w:pPr>
        <w:spacing w:after="80" w:line="293" w:lineRule="auto"/>
        <w:ind w:left="283"/>
        <w:jc w:val="left"/>
      </w:pPr>
      <w:r>
        <w:rPr>
          <w:rFonts w:ascii="Times New Roman" w:hAnsi="Times New Roman" w:cs="Times New Roman"/>
          <w:b w:val="0"/>
          <w:i w:val="0"/>
          <w:sz w:val="22"/>
        </w:rPr>
        <w:t>- applicable clauses;</w:t>
      </w:r>
    </w:p>
    <w:p>
      <w:pPr>
        <w:spacing w:after="80" w:line="293" w:lineRule="auto"/>
        <w:ind w:left="283"/>
        <w:jc w:val="left"/>
      </w:pPr>
      <w:r>
        <w:rPr>
          <w:rFonts w:ascii="Times New Roman" w:hAnsi="Times New Roman" w:cs="Times New Roman"/>
          <w:b w:val="0"/>
          <w:i w:val="0"/>
          <w:sz w:val="22"/>
        </w:rPr>
        <w:t>- documents;</w:t>
      </w:r>
    </w:p>
    <w:p>
      <w:pPr>
        <w:spacing w:after="80" w:line="293" w:lineRule="auto"/>
        <w:ind w:left="283"/>
        <w:jc w:val="left"/>
      </w:pPr>
      <w:r>
        <w:rPr>
          <w:rFonts w:ascii="Times New Roman" w:hAnsi="Times New Roman" w:cs="Times New Roman"/>
          <w:b w:val="0"/>
          <w:i w:val="0"/>
          <w:sz w:val="22"/>
        </w:rPr>
        <w:t>- signatures;</w:t>
      </w:r>
    </w:p>
    <w:p>
      <w:pPr>
        <w:spacing w:after="80" w:line="293" w:lineRule="auto"/>
        <w:ind w:left="283"/>
        <w:jc w:val="left"/>
      </w:pPr>
      <w:r>
        <w:rPr>
          <w:rFonts w:ascii="Times New Roman" w:hAnsi="Times New Roman" w:cs="Times New Roman"/>
          <w:b w:val="0"/>
          <w:i w:val="0"/>
          <w:sz w:val="22"/>
        </w:rPr>
        <w:t>- bank/payment events;</w:t>
      </w:r>
    </w:p>
    <w:p>
      <w:pPr>
        <w:spacing w:after="80" w:line="293" w:lineRule="auto"/>
        <w:ind w:left="283"/>
        <w:jc w:val="left"/>
      </w:pPr>
      <w:r>
        <w:rPr>
          <w:rFonts w:ascii="Times New Roman" w:hAnsi="Times New Roman" w:cs="Times New Roman"/>
          <w:b w:val="0"/>
          <w:i w:val="0"/>
          <w:sz w:val="22"/>
        </w:rPr>
        <w:t>- logistics evidence;</w:t>
      </w:r>
    </w:p>
    <w:p>
      <w:pPr>
        <w:spacing w:after="80" w:line="293" w:lineRule="auto"/>
        <w:ind w:left="283"/>
        <w:jc w:val="left"/>
      </w:pPr>
      <w:r>
        <w:rPr>
          <w:rFonts w:ascii="Times New Roman" w:hAnsi="Times New Roman" w:cs="Times New Roman"/>
          <w:b w:val="0"/>
          <w:i w:val="0"/>
          <w:sz w:val="22"/>
        </w:rPr>
        <w:t>- authority events;</w:t>
      </w:r>
    </w:p>
    <w:p>
      <w:pPr>
        <w:spacing w:after="80" w:line="293" w:lineRule="auto"/>
        <w:ind w:left="283"/>
        <w:jc w:val="left"/>
      </w:pPr>
      <w:r>
        <w:rPr>
          <w:rFonts w:ascii="Times New Roman" w:hAnsi="Times New Roman" w:cs="Times New Roman"/>
          <w:b w:val="0"/>
          <w:i w:val="0"/>
          <w:sz w:val="22"/>
        </w:rPr>
        <w:t>- reconciliation discrepancies;</w:t>
      </w:r>
    </w:p>
    <w:p>
      <w:pPr>
        <w:spacing w:after="80" w:line="293" w:lineRule="auto"/>
        <w:ind w:left="283"/>
        <w:jc w:val="left"/>
      </w:pPr>
      <w:r>
        <w:rPr>
          <w:rFonts w:ascii="Times New Roman" w:hAnsi="Times New Roman" w:cs="Times New Roman"/>
          <w:b w:val="0"/>
          <w:i w:val="0"/>
          <w:sz w:val="22"/>
        </w:rPr>
        <w:t>- state changes;</w:t>
      </w:r>
    </w:p>
    <w:p>
      <w:pPr>
        <w:spacing w:after="80" w:line="293" w:lineRule="auto"/>
        <w:ind w:left="283"/>
        <w:jc w:val="left"/>
      </w:pPr>
      <w:r>
        <w:rPr>
          <w:rFonts w:ascii="Times New Roman" w:hAnsi="Times New Roman" w:cs="Times New Roman"/>
          <w:b w:val="0"/>
          <w:i w:val="0"/>
          <w:sz w:val="22"/>
        </w:rPr>
        <w:t>- event reasons;</w:t>
      </w:r>
    </w:p>
    <w:p>
      <w:pPr>
        <w:spacing w:after="80" w:line="293" w:lineRule="auto"/>
        <w:ind w:left="283"/>
        <w:jc w:val="left"/>
      </w:pPr>
      <w:r>
        <w:rPr>
          <w:rFonts w:ascii="Times New Roman" w:hAnsi="Times New Roman" w:cs="Times New Roman"/>
          <w:b w:val="0"/>
          <w:i w:val="0"/>
          <w:sz w:val="22"/>
        </w:rPr>
        <w:t>- supporting evidence;</w:t>
      </w:r>
    </w:p>
    <w:p>
      <w:pPr>
        <w:spacing w:after="80" w:line="293" w:lineRule="auto"/>
        <w:ind w:left="283"/>
        <w:jc w:val="left"/>
      </w:pPr>
      <w:r>
        <w:rPr>
          <w:rFonts w:ascii="Times New Roman" w:hAnsi="Times New Roman" w:cs="Times New Roman"/>
          <w:b w:val="0"/>
          <w:i w:val="0"/>
          <w:sz w:val="22"/>
        </w:rPr>
        <w:t>- AI-generated summary;</w:t>
      </w:r>
    </w:p>
    <w:p>
      <w:pPr>
        <w:spacing w:after="80" w:line="293" w:lineRule="auto"/>
        <w:ind w:left="283"/>
        <w:jc w:val="left"/>
      </w:pPr>
      <w:r>
        <w:rPr>
          <w:rFonts w:ascii="Times New Roman" w:hAnsi="Times New Roman" w:cs="Times New Roman"/>
          <w:b w:val="0"/>
          <w:i w:val="0"/>
          <w:sz w:val="22"/>
        </w:rPr>
        <w:t>- source references.</w:t>
      </w:r>
    </w:p>
    <w:p>
      <w:pPr>
        <w:spacing w:after="80" w:line="293" w:lineRule="auto"/>
        <w:jc w:val="left"/>
      </w:pPr>
      <w:r>
        <w:rPr>
          <w:rFonts w:ascii="Times New Roman" w:hAnsi="Times New Roman" w:cs="Times New Roman"/>
          <w:b w:val="0"/>
          <w:i w:val="0"/>
          <w:sz w:val="22"/>
        </w:rPr>
        <w:t>The AI-generated portion is advisory; source evidence remains authoritative.</w:t>
      </w:r>
    </w:p>
    <w:p>
      <w:pPr>
        <w:keepNext/>
        <w:spacing w:before="240" w:after="100"/>
        <w:outlineLvl w:val="1"/>
      </w:pPr>
      <w:r>
        <w:rPr>
          <w:rFonts w:ascii="Arial" w:hAnsi="Arial" w:cs="Arial"/>
          <w:b/>
          <w:i w:val="0"/>
          <w:color w:val="2E528F"/>
          <w:sz w:val="26"/>
        </w:rPr>
        <w:t>19.91 Recovery Vault</w:t>
      </w:r>
    </w:p>
    <w:p>
      <w:pPr>
        <w:spacing w:after="80" w:line="293" w:lineRule="auto"/>
        <w:jc w:val="left"/>
      </w:pPr>
      <w:r>
        <w:rPr>
          <w:rFonts w:ascii="Times New Roman" w:hAnsi="Times New Roman" w:cs="Times New Roman"/>
          <w:b w:val="0"/>
          <w:i w:val="0"/>
          <w:sz w:val="22"/>
        </w:rPr>
        <w:t>The platform maintains an evidence/recovery repository, the Recovery Vault. It is not a financial custody account. It contains or references:</w:t>
      </w:r>
    </w:p>
    <w:p>
      <w:pPr>
        <w:spacing w:after="80" w:line="293" w:lineRule="auto"/>
        <w:ind w:left="283"/>
        <w:jc w:val="left"/>
      </w:pPr>
      <w:r>
        <w:rPr>
          <w:rFonts w:ascii="Times New Roman" w:hAnsi="Times New Roman" w:cs="Times New Roman"/>
          <w:b w:val="0"/>
          <w:i w:val="0"/>
          <w:sz w:val="22"/>
        </w:rPr>
        <w:t>- event history;</w:t>
      </w:r>
    </w:p>
    <w:p>
      <w:pPr>
        <w:spacing w:after="80" w:line="293" w:lineRule="auto"/>
        <w:ind w:left="283"/>
        <w:jc w:val="left"/>
      </w:pPr>
      <w:r>
        <w:rPr>
          <w:rFonts w:ascii="Times New Roman" w:hAnsi="Times New Roman" w:cs="Times New Roman"/>
          <w:b w:val="0"/>
          <w:i w:val="0"/>
          <w:sz w:val="22"/>
        </w:rPr>
        <w:t>- state transitions;</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authority determinations;</w:t>
      </w:r>
    </w:p>
    <w:p>
      <w:pPr>
        <w:spacing w:after="80" w:line="293" w:lineRule="auto"/>
        <w:ind w:left="283"/>
        <w:jc w:val="left"/>
      </w:pPr>
      <w:r>
        <w:rPr>
          <w:rFonts w:ascii="Times New Roman" w:hAnsi="Times New Roman" w:cs="Times New Roman"/>
          <w:b w:val="0"/>
          <w:i w:val="0"/>
          <w:sz w:val="22"/>
        </w:rPr>
        <w:t>- policies;</w:t>
      </w:r>
    </w:p>
    <w:p>
      <w:pPr>
        <w:spacing w:after="80" w:line="293" w:lineRule="auto"/>
        <w:ind w:left="283"/>
        <w:jc w:val="left"/>
      </w:pPr>
      <w:r>
        <w:rPr>
          <w:rFonts w:ascii="Times New Roman" w:hAnsi="Times New Roman" w:cs="Times New Roman"/>
          <w:b w:val="0"/>
          <w:i w:val="0"/>
          <w:sz w:val="22"/>
        </w:rPr>
        <w:t>- reconciliation cases;</w:t>
      </w:r>
    </w:p>
    <w:p>
      <w:pPr>
        <w:spacing w:after="80" w:line="293" w:lineRule="auto"/>
        <w:ind w:left="283"/>
        <w:jc w:val="left"/>
      </w:pPr>
      <w:r>
        <w:rPr>
          <w:rFonts w:ascii="Times New Roman" w:hAnsi="Times New Roman" w:cs="Times New Roman"/>
          <w:b w:val="0"/>
          <w:i w:val="0"/>
          <w:sz w:val="22"/>
        </w:rPr>
        <w:t>- dispute packages;</w:t>
      </w:r>
    </w:p>
    <w:p>
      <w:pPr>
        <w:spacing w:after="80" w:line="293" w:lineRule="auto"/>
        <w:ind w:left="283"/>
        <w:jc w:val="left"/>
      </w:pPr>
      <w:r>
        <w:rPr>
          <w:rFonts w:ascii="Times New Roman" w:hAnsi="Times New Roman" w:cs="Times New Roman"/>
          <w:b w:val="0"/>
          <w:i w:val="0"/>
          <w:sz w:val="22"/>
        </w:rPr>
        <w:t>- corrective actions;</w:t>
      </w:r>
    </w:p>
    <w:p>
      <w:pPr>
        <w:spacing w:after="80" w:line="293" w:lineRule="auto"/>
        <w:ind w:left="283"/>
        <w:jc w:val="left"/>
      </w:pPr>
      <w:r>
        <w:rPr>
          <w:rFonts w:ascii="Times New Roman" w:hAnsi="Times New Roman" w:cs="Times New Roman"/>
          <w:b w:val="0"/>
          <w:i w:val="0"/>
          <w:sz w:val="22"/>
        </w:rPr>
        <w:t>- recovery actions;</w:t>
      </w:r>
    </w:p>
    <w:p>
      <w:pPr>
        <w:spacing w:after="80" w:line="293" w:lineRule="auto"/>
        <w:ind w:left="283"/>
        <w:jc w:val="left"/>
      </w:pPr>
      <w:r>
        <w:rPr>
          <w:rFonts w:ascii="Times New Roman" w:hAnsi="Times New Roman" w:cs="Times New Roman"/>
          <w:b w:val="0"/>
          <w:i w:val="0"/>
          <w:sz w:val="22"/>
        </w:rPr>
        <w:t>- certificates.</w:t>
      </w:r>
    </w:p>
    <w:p>
      <w:pPr>
        <w:spacing w:after="80" w:line="293" w:lineRule="auto"/>
        <w:jc w:val="left"/>
      </w:pPr>
      <w:r>
        <w:rPr>
          <w:rFonts w:ascii="Times New Roman" w:hAnsi="Times New Roman" w:cs="Times New Roman"/>
          <w:b w:val="0"/>
          <w:i w:val="0"/>
          <w:sz w:val="22"/>
        </w:rPr>
        <w:t>This becomes the forensic backbone.</w:t>
      </w:r>
    </w:p>
    <w:p>
      <w:pPr>
        <w:keepNext/>
        <w:spacing w:before="240" w:after="100"/>
        <w:outlineLvl w:val="1"/>
      </w:pPr>
      <w:r>
        <w:rPr>
          <w:rFonts w:ascii="Arial" w:hAnsi="Arial" w:cs="Arial"/>
          <w:b/>
          <w:i w:val="0"/>
          <w:color w:val="2E528F"/>
          <w:sz w:val="26"/>
        </w:rPr>
        <w:t>19.92 Evidence-First Principle</w:t>
      </w:r>
    </w:p>
    <w:p>
      <w:pPr>
        <w:spacing w:after="80" w:line="293" w:lineRule="auto"/>
        <w:jc w:val="left"/>
      </w:pPr>
      <w:r>
        <w:rPr>
          <w:rFonts w:ascii="Times New Roman" w:hAnsi="Times New Roman" w:cs="Times New Roman"/>
          <w:b w:val="0"/>
          <w:i w:val="0"/>
          <w:sz w:val="22"/>
        </w:rPr>
        <w:t>No material state transition occurs without the evidence or authority required by applicable policy. Permitted provisional states are the explicit exception. Where evidence is incomplete, SGTX prefers PROVISIONALLY_VERIFIED or UNKNOWN over unjustified certainty.</w:t>
      </w:r>
    </w:p>
    <w:p>
      <w:pPr>
        <w:keepNext/>
        <w:spacing w:before="240" w:after="100"/>
        <w:outlineLvl w:val="1"/>
      </w:pPr>
      <w:r>
        <w:rPr>
          <w:rFonts w:ascii="Arial" w:hAnsi="Arial" w:cs="Arial"/>
          <w:b/>
          <w:i w:val="0"/>
          <w:color w:val="2E528F"/>
          <w:sz w:val="26"/>
        </w:rPr>
        <w:t>19.93 Provisional States</w:t>
      </w:r>
    </w:p>
    <w:p>
      <w:pPr>
        <w:spacing w:after="80" w:line="293" w:lineRule="auto"/>
        <w:jc w:val="left"/>
      </w:pPr>
      <w:r>
        <w:rPr>
          <w:rFonts w:ascii="Times New Roman" w:hAnsi="Times New Roman" w:cs="Times New Roman"/>
          <w:b w:val="0"/>
          <w:i w:val="0"/>
          <w:sz w:val="22"/>
        </w:rPr>
        <w:t>Where policy permits, PROVISIONALLY_VERIFIED and PROVISIONALLY_SETTLED may be used. These are not equivalent to definitive confirmation. A provisional state identifies:</w:t>
      </w:r>
    </w:p>
    <w:p>
      <w:pPr>
        <w:spacing w:after="80" w:line="293" w:lineRule="auto"/>
        <w:ind w:left="283"/>
        <w:jc w:val="left"/>
      </w:pPr>
      <w:r>
        <w:rPr>
          <w:rFonts w:ascii="Times New Roman" w:hAnsi="Times New Roman" w:cs="Times New Roman"/>
          <w:b w:val="0"/>
          <w:i w:val="0"/>
          <w:sz w:val="22"/>
        </w:rPr>
        <w:t>- missing evidence;</w:t>
      </w:r>
    </w:p>
    <w:p>
      <w:pPr>
        <w:spacing w:after="80" w:line="293" w:lineRule="auto"/>
        <w:ind w:left="283"/>
        <w:jc w:val="left"/>
      </w:pPr>
      <w:r>
        <w:rPr>
          <w:rFonts w:ascii="Times New Roman" w:hAnsi="Times New Roman" w:cs="Times New Roman"/>
          <w:b w:val="0"/>
          <w:i w:val="0"/>
          <w:sz w:val="22"/>
        </w:rPr>
        <w:t>- validation deadline;</w:t>
      </w:r>
    </w:p>
    <w:p>
      <w:pPr>
        <w:spacing w:after="80" w:line="293" w:lineRule="auto"/>
        <w:ind w:left="283"/>
        <w:jc w:val="left"/>
      </w:pPr>
      <w:r>
        <w:rPr>
          <w:rFonts w:ascii="Times New Roman" w:hAnsi="Times New Roman" w:cs="Times New Roman"/>
          <w:b w:val="0"/>
          <w:i w:val="0"/>
          <w:sz w:val="22"/>
        </w:rPr>
        <w:t>- authority source;</w:t>
      </w:r>
    </w:p>
    <w:p>
      <w:pPr>
        <w:spacing w:after="80" w:line="293" w:lineRule="auto"/>
        <w:ind w:left="283"/>
        <w:jc w:val="left"/>
      </w:pPr>
      <w:r>
        <w:rPr>
          <w:rFonts w:ascii="Times New Roman" w:hAnsi="Times New Roman" w:cs="Times New Roman"/>
          <w:b w:val="0"/>
          <w:i w:val="0"/>
          <w:sz w:val="22"/>
        </w:rPr>
        <w:t>- conditions for conversion to definitive status.</w:t>
      </w:r>
    </w:p>
    <w:p>
      <w:pPr>
        <w:keepNext/>
        <w:spacing w:before="240" w:after="100"/>
        <w:outlineLvl w:val="1"/>
      </w:pPr>
      <w:r>
        <w:rPr>
          <w:rFonts w:ascii="Arial" w:hAnsi="Arial" w:cs="Arial"/>
          <w:b/>
          <w:i w:val="0"/>
          <w:color w:val="2E528F"/>
          <w:sz w:val="26"/>
        </w:rPr>
        <w:t>19.94 No Silent Repair</w:t>
      </w:r>
    </w:p>
    <w:p>
      <w:pPr>
        <w:spacing w:after="80" w:line="293" w:lineRule="auto"/>
        <w:jc w:val="left"/>
      </w:pPr>
      <w:r>
        <w:rPr>
          <w:rFonts w:ascii="Times New Roman" w:hAnsi="Times New Roman" w:cs="Times New Roman"/>
          <w:b w:val="0"/>
          <w:i w:val="0"/>
          <w:sz w:val="22"/>
        </w:rPr>
        <w:t>Every correction produces an explicit event containing, as applicable:</w:t>
      </w:r>
    </w:p>
    <w:p>
      <w:pPr>
        <w:spacing w:after="80" w:line="293" w:lineRule="auto"/>
        <w:ind w:left="283"/>
        <w:jc w:val="left"/>
      </w:pPr>
      <w:r>
        <w:rPr>
          <w:rFonts w:ascii="Times New Roman" w:hAnsi="Times New Roman" w:cs="Times New Roman"/>
          <w:b w:val="0"/>
          <w:i w:val="0"/>
          <w:sz w:val="22"/>
        </w:rPr>
        <w:t>- Previous State</w:t>
      </w:r>
    </w:p>
    <w:p>
      <w:pPr>
        <w:spacing w:after="80" w:line="293" w:lineRule="auto"/>
        <w:ind w:left="283"/>
        <w:jc w:val="left"/>
      </w:pPr>
      <w:r>
        <w:rPr>
          <w:rFonts w:ascii="Times New Roman" w:hAnsi="Times New Roman" w:cs="Times New Roman"/>
          <w:b w:val="0"/>
          <w:i w:val="0"/>
          <w:sz w:val="22"/>
        </w:rPr>
        <w:t>- New State</w:t>
      </w:r>
    </w:p>
    <w:p>
      <w:pPr>
        <w:spacing w:after="80" w:line="293" w:lineRule="auto"/>
        <w:ind w:left="283"/>
        <w:jc w:val="left"/>
      </w:pPr>
      <w:r>
        <w:rPr>
          <w:rFonts w:ascii="Times New Roman" w:hAnsi="Times New Roman" w:cs="Times New Roman"/>
          <w:b w:val="0"/>
          <w:i w:val="0"/>
          <w:sz w:val="22"/>
        </w:rPr>
        <w:t>- Reason</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Actor/System</w:t>
      </w:r>
    </w:p>
    <w:p>
      <w:pPr>
        <w:spacing w:after="80" w:line="293" w:lineRule="auto"/>
        <w:ind w:left="283"/>
        <w:jc w:val="left"/>
      </w:pPr>
      <w:r>
        <w:rPr>
          <w:rFonts w:ascii="Times New Roman" w:hAnsi="Times New Roman" w:cs="Times New Roman"/>
          <w:b w:val="0"/>
          <w:i w:val="0"/>
          <w:sz w:val="22"/>
        </w:rPr>
        <w:t>- Timestamp</w:t>
      </w:r>
    </w:p>
    <w:p>
      <w:pPr>
        <w:spacing w:after="80" w:line="293" w:lineRule="auto"/>
        <w:ind w:left="283"/>
        <w:jc w:val="left"/>
      </w:pPr>
      <w:r>
        <w:rPr>
          <w:rFonts w:ascii="Times New Roman" w:hAnsi="Times New Roman" w:cs="Times New Roman"/>
          <w:b w:val="0"/>
          <w:i w:val="0"/>
          <w:sz w:val="22"/>
        </w:rPr>
        <w:t>- Policy Version</w:t>
      </w:r>
    </w:p>
    <w:p>
      <w:pPr>
        <w:spacing w:after="80" w:line="293" w:lineRule="auto"/>
        <w:ind w:left="283"/>
        <w:jc w:val="left"/>
      </w:pPr>
      <w:r>
        <w:rPr>
          <w:rFonts w:ascii="Times New Roman" w:hAnsi="Times New Roman" w:cs="Times New Roman"/>
          <w:b w:val="0"/>
          <w:i w:val="0"/>
          <w:sz w:val="22"/>
        </w:rPr>
        <w:t>- Parent Event</w:t>
      </w:r>
    </w:p>
    <w:p>
      <w:pPr>
        <w:spacing w:after="80" w:line="293" w:lineRule="auto"/>
        <w:jc w:val="left"/>
      </w:pPr>
      <w:r>
        <w:rPr>
          <w:rFonts w:ascii="Times New Roman" w:hAnsi="Times New Roman" w:cs="Times New Roman"/>
          <w:b w:val="0"/>
          <w:i w:val="0"/>
          <w:sz w:val="22"/>
        </w:rPr>
        <w:t>No hidden database repair may silently become authoritative truth.</w:t>
      </w:r>
    </w:p>
    <w:p>
      <w:pPr>
        <w:keepNext/>
        <w:spacing w:before="240" w:after="100"/>
        <w:outlineLvl w:val="1"/>
      </w:pPr>
      <w:r>
        <w:rPr>
          <w:rFonts w:ascii="Arial" w:hAnsi="Arial" w:cs="Arial"/>
          <w:b/>
          <w:i w:val="0"/>
          <w:color w:val="2E528F"/>
          <w:sz w:val="26"/>
        </w:rPr>
        <w:t>19.95 State Integrity</w:t>
      </w:r>
    </w:p>
    <w:p>
      <w:pPr>
        <w:spacing w:after="80" w:line="293" w:lineRule="auto"/>
        <w:jc w:val="left"/>
      </w:pPr>
      <w:r>
        <w:rPr>
          <w:rFonts w:ascii="Times New Roman" w:hAnsi="Times New Roman" w:cs="Times New Roman"/>
          <w:b w:val="0"/>
          <w:i w:val="0"/>
          <w:sz w:val="22"/>
        </w:rPr>
        <w:t>SGTX provides a non-authoritative measure of how strongly the current state is supported by evidence. Potential factors:</w:t>
      </w:r>
    </w:p>
    <w:p>
      <w:pPr>
        <w:spacing w:after="80" w:line="293" w:lineRule="auto"/>
        <w:ind w:left="283"/>
        <w:jc w:val="left"/>
      </w:pPr>
      <w:r>
        <w:rPr>
          <w:rFonts w:ascii="Times New Roman" w:hAnsi="Times New Roman" w:cs="Times New Roman"/>
          <w:b w:val="0"/>
          <w:i w:val="0"/>
          <w:sz w:val="22"/>
        </w:rPr>
        <w:t>- source agreement;</w:t>
      </w:r>
    </w:p>
    <w:p>
      <w:pPr>
        <w:spacing w:after="80" w:line="293" w:lineRule="auto"/>
        <w:ind w:left="283"/>
        <w:jc w:val="left"/>
      </w:pPr>
      <w:r>
        <w:rPr>
          <w:rFonts w:ascii="Times New Roman" w:hAnsi="Times New Roman" w:cs="Times New Roman"/>
          <w:b w:val="0"/>
          <w:i w:val="0"/>
          <w:sz w:val="22"/>
        </w:rPr>
        <w:t>- evidence completeness;</w:t>
      </w:r>
    </w:p>
    <w:p>
      <w:pPr>
        <w:spacing w:after="80" w:line="293" w:lineRule="auto"/>
        <w:ind w:left="283"/>
        <w:jc w:val="left"/>
      </w:pPr>
      <w:r>
        <w:rPr>
          <w:rFonts w:ascii="Times New Roman" w:hAnsi="Times New Roman" w:cs="Times New Roman"/>
          <w:b w:val="0"/>
          <w:i w:val="0"/>
          <w:sz w:val="22"/>
        </w:rPr>
        <w:t>- authority validity;</w:t>
      </w:r>
    </w:p>
    <w:p>
      <w:pPr>
        <w:spacing w:after="80" w:line="293" w:lineRule="auto"/>
        <w:ind w:left="283"/>
        <w:jc w:val="left"/>
      </w:pPr>
      <w:r>
        <w:rPr>
          <w:rFonts w:ascii="Times New Roman" w:hAnsi="Times New Roman" w:cs="Times New Roman"/>
          <w:b w:val="0"/>
          <w:i w:val="0"/>
          <w:sz w:val="22"/>
        </w:rPr>
        <w:t>- temporal consistency;</w:t>
      </w:r>
    </w:p>
    <w:p>
      <w:pPr>
        <w:spacing w:after="80" w:line="293" w:lineRule="auto"/>
        <w:ind w:left="283"/>
        <w:jc w:val="left"/>
      </w:pPr>
      <w:r>
        <w:rPr>
          <w:rFonts w:ascii="Times New Roman" w:hAnsi="Times New Roman" w:cs="Times New Roman"/>
          <w:b w:val="0"/>
          <w:i w:val="0"/>
          <w:sz w:val="22"/>
        </w:rPr>
        <w:t>- document integrity;</w:t>
      </w:r>
    </w:p>
    <w:p>
      <w:pPr>
        <w:spacing w:after="80" w:line="293" w:lineRule="auto"/>
        <w:ind w:left="283"/>
        <w:jc w:val="left"/>
      </w:pPr>
      <w:r>
        <w:rPr>
          <w:rFonts w:ascii="Times New Roman" w:hAnsi="Times New Roman" w:cs="Times New Roman"/>
          <w:b w:val="0"/>
          <w:i w:val="0"/>
          <w:sz w:val="22"/>
        </w:rPr>
        <w:t>- payment confirmation;</w:t>
      </w:r>
    </w:p>
    <w:p>
      <w:pPr>
        <w:spacing w:after="80" w:line="293" w:lineRule="auto"/>
        <w:ind w:left="283"/>
        <w:jc w:val="left"/>
      </w:pPr>
      <w:r>
        <w:rPr>
          <w:rFonts w:ascii="Times New Roman" w:hAnsi="Times New Roman" w:cs="Times New Roman"/>
          <w:b w:val="0"/>
          <w:i w:val="0"/>
          <w:sz w:val="22"/>
        </w:rPr>
        <w:t>- reconciliation completeness.</w:t>
      </w:r>
    </w:p>
    <w:p>
      <w:pPr>
        <w:spacing w:after="80" w:line="293" w:lineRule="auto"/>
        <w:jc w:val="left"/>
      </w:pPr>
      <w:r>
        <w:rPr>
          <w:rFonts w:ascii="Times New Roman" w:hAnsi="Times New Roman" w:cs="Times New Roman"/>
          <w:b w:val="0"/>
          <w:i w:val="0"/>
          <w:sz w:val="22"/>
        </w:rPr>
        <w:t>This is separate from financial risk, credit risk and legal judgment.</w:t>
      </w:r>
    </w:p>
    <w:p>
      <w:pPr>
        <w:keepNext/>
        <w:spacing w:before="240" w:after="100"/>
        <w:outlineLvl w:val="1"/>
      </w:pPr>
      <w:r>
        <w:rPr>
          <w:rFonts w:ascii="Arial" w:hAnsi="Arial" w:cs="Arial"/>
          <w:b/>
          <w:i w:val="0"/>
          <w:color w:val="2E528F"/>
          <w:sz w:val="26"/>
        </w:rPr>
        <w:t>19.96 Reconciliation Confidence</w:t>
      </w:r>
    </w:p>
    <w:p>
      <w:pPr>
        <w:spacing w:after="80" w:line="293" w:lineRule="auto"/>
        <w:jc w:val="left"/>
      </w:pPr>
      <w:r>
        <w:rPr>
          <w:rFonts w:ascii="Times New Roman" w:hAnsi="Times New Roman" w:cs="Times New Roman"/>
          <w:b w:val="0"/>
          <w:i w:val="0"/>
          <w:sz w:val="22"/>
        </w:rPr>
        <w:t>SGTX maintains an operational evidence-consistency measure. Example scale: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Score</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100</w:t>
            </w:r>
          </w:p>
        </w:tc>
        <w:tc>
          <w:tcPr>
            <w:tcW w:type="dxa" w:w="4819"/>
          </w:tcPr>
          <w:p>
            <w:pPr>
              <w:spacing w:after="20" w:before="20" w:line="240" w:lineRule="auto"/>
            </w:pPr>
            <w:r/>
            <w:r>
              <w:rPr>
                <w:rFonts w:ascii="Arial" w:hAnsi="Arial" w:cs="Arial"/>
                <w:b w:val="0"/>
                <w:i w:val="0"/>
                <w:sz w:val="17"/>
              </w:rPr>
              <w:t>Fully reconciled</w:t>
            </w:r>
          </w:p>
        </w:tc>
      </w:tr>
      <w:tr>
        <w:tc>
          <w:tcPr>
            <w:tcW w:type="dxa" w:w="4819"/>
          </w:tcPr>
          <w:p>
            <w:pPr>
              <w:spacing w:after="20" w:before="20" w:line="240" w:lineRule="auto"/>
            </w:pPr>
            <w:r/>
            <w:r>
              <w:rPr>
                <w:rFonts w:ascii="Arial" w:hAnsi="Arial" w:cs="Arial"/>
                <w:b w:val="0"/>
                <w:i w:val="0"/>
                <w:sz w:val="17"/>
              </w:rPr>
              <w:t>85</w:t>
            </w:r>
          </w:p>
        </w:tc>
        <w:tc>
          <w:tcPr>
            <w:tcW w:type="dxa" w:w="4819"/>
          </w:tcPr>
          <w:p>
            <w:pPr>
              <w:spacing w:after="20" w:before="20" w:line="240" w:lineRule="auto"/>
            </w:pPr>
            <w:r/>
            <w:r>
              <w:rPr>
                <w:rFonts w:ascii="Arial" w:hAnsi="Arial" w:cs="Arial"/>
                <w:b w:val="0"/>
                <w:i w:val="0"/>
                <w:sz w:val="17"/>
              </w:rPr>
              <w:t>Minor non-critical evidence pending</w:t>
            </w:r>
          </w:p>
        </w:tc>
      </w:tr>
      <w:tr>
        <w:tc>
          <w:tcPr>
            <w:tcW w:type="dxa" w:w="4819"/>
          </w:tcPr>
          <w:p>
            <w:pPr>
              <w:spacing w:after="20" w:before="20" w:line="240" w:lineRule="auto"/>
            </w:pPr>
            <w:r/>
            <w:r>
              <w:rPr>
                <w:rFonts w:ascii="Arial" w:hAnsi="Arial" w:cs="Arial"/>
                <w:b w:val="0"/>
                <w:i w:val="0"/>
                <w:sz w:val="17"/>
              </w:rPr>
              <w:t>60</w:t>
            </w:r>
          </w:p>
        </w:tc>
        <w:tc>
          <w:tcPr>
            <w:tcW w:type="dxa" w:w="4819"/>
          </w:tcPr>
          <w:p>
            <w:pPr>
              <w:spacing w:after="20" w:before="20" w:line="240" w:lineRule="auto"/>
            </w:pPr>
            <w:r/>
            <w:r>
              <w:rPr>
                <w:rFonts w:ascii="Arial" w:hAnsi="Arial" w:cs="Arial"/>
                <w:b w:val="0"/>
                <w:i w:val="0"/>
                <w:sz w:val="17"/>
              </w:rPr>
              <w:t>Material divergence</w:t>
            </w:r>
          </w:p>
        </w:tc>
      </w:tr>
      <w:tr>
        <w:tc>
          <w:tcPr>
            <w:tcW w:type="dxa" w:w="4819"/>
          </w:tcPr>
          <w:p>
            <w:pPr>
              <w:spacing w:after="20" w:before="20" w:line="240" w:lineRule="auto"/>
            </w:pPr>
            <w:r/>
            <w:r>
              <w:rPr>
                <w:rFonts w:ascii="Arial" w:hAnsi="Arial" w:cs="Arial"/>
                <w:b w:val="0"/>
                <w:i w:val="0"/>
                <w:sz w:val="17"/>
              </w:rPr>
              <w:t>30</w:t>
            </w:r>
          </w:p>
        </w:tc>
        <w:tc>
          <w:tcPr>
            <w:tcW w:type="dxa" w:w="4819"/>
          </w:tcPr>
          <w:p>
            <w:pPr>
              <w:spacing w:after="20" w:before="20" w:line="240" w:lineRule="auto"/>
            </w:pPr>
            <w:r/>
            <w:r>
              <w:rPr>
                <w:rFonts w:ascii="Arial" w:hAnsi="Arial" w:cs="Arial"/>
                <w:b w:val="0"/>
                <w:i w:val="0"/>
                <w:sz w:val="17"/>
              </w:rPr>
              <w:t>Critical unresolved divergence</w:t>
            </w:r>
          </w:p>
        </w:tc>
      </w:tr>
      <w:tr>
        <w:tc>
          <w:tcPr>
            <w:tcW w:type="dxa" w:w="4819"/>
          </w:tcPr>
          <w:p>
            <w:pPr>
              <w:spacing w:after="20" w:before="20" w:line="240" w:lineRule="auto"/>
            </w:pPr>
            <w:r/>
            <w:r>
              <w:rPr>
                <w:rFonts w:ascii="Arial" w:hAnsi="Arial" w:cs="Arial"/>
                <w:b w:val="0"/>
                <w:i w:val="0"/>
                <w:sz w:val="17"/>
              </w:rPr>
              <w:t>0</w:t>
            </w:r>
          </w:p>
        </w:tc>
        <w:tc>
          <w:tcPr>
            <w:tcW w:type="dxa" w:w="4819"/>
          </w:tcPr>
          <w:p>
            <w:pPr>
              <w:spacing w:after="20" w:before="20" w:line="240" w:lineRule="auto"/>
            </w:pPr>
            <w:r/>
            <w:r>
              <w:rPr>
                <w:rFonts w:ascii="Arial" w:hAnsi="Arial" w:cs="Arial"/>
                <w:b w:val="0"/>
                <w:i w:val="0"/>
                <w:sz w:val="17"/>
              </w:rPr>
              <w:t>Contradictory / unusable evidence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is a prioritization indicator. It does not replace deterministic state.</w:t>
      </w:r>
    </w:p>
    <w:p>
      <w:pPr>
        <w:keepNext/>
        <w:spacing w:before="240" w:after="100"/>
        <w:outlineLvl w:val="1"/>
      </w:pPr>
      <w:r>
        <w:rPr>
          <w:rFonts w:ascii="Arial" w:hAnsi="Arial" w:cs="Arial"/>
          <w:b/>
          <w:i w:val="0"/>
          <w:color w:val="2E528F"/>
          <w:sz w:val="26"/>
        </w:rPr>
        <w:t>19.97 Divergence Index</w:t>
      </w:r>
    </w:p>
    <w:p>
      <w:pPr>
        <w:spacing w:after="80" w:line="293" w:lineRule="auto"/>
        <w:jc w:val="left"/>
      </w:pPr>
      <w:r>
        <w:rPr>
          <w:rFonts w:ascii="Times New Roman" w:hAnsi="Times New Roman" w:cs="Times New Roman"/>
          <w:b w:val="0"/>
          <w:i w:val="0"/>
          <w:sz w:val="22"/>
        </w:rPr>
        <w:t>The Divergence Index measures how far transaction dimensions have diverged. Example:</w:t>
      </w:r>
    </w:p>
    <w:p>
      <w:pPr>
        <w:spacing w:after="80" w:line="293" w:lineRule="auto"/>
        <w:ind w:left="283"/>
        <w:jc w:val="left"/>
      </w:pPr>
      <w:r>
        <w:rPr>
          <w:rFonts w:ascii="Times New Roman" w:hAnsi="Times New Roman" w:cs="Times New Roman"/>
          <w:b w:val="0"/>
          <w:i w:val="0"/>
          <w:sz w:val="22"/>
        </w:rPr>
        <w:t>- Execution = SETTLED</w:t>
      </w:r>
    </w:p>
    <w:p>
      <w:pPr>
        <w:spacing w:after="80" w:line="293" w:lineRule="auto"/>
        <w:ind w:left="283"/>
        <w:jc w:val="left"/>
      </w:pPr>
      <w:r>
        <w:rPr>
          <w:rFonts w:ascii="Times New Roman" w:hAnsi="Times New Roman" w:cs="Times New Roman"/>
          <w:b w:val="0"/>
          <w:i w:val="0"/>
          <w:sz w:val="22"/>
        </w:rPr>
        <w:t>- Financial = RETURNED</w:t>
      </w:r>
    </w:p>
    <w:p>
      <w:pPr>
        <w:spacing w:after="80" w:line="293" w:lineRule="auto"/>
        <w:ind w:left="283"/>
        <w:jc w:val="left"/>
      </w:pPr>
      <w:r>
        <w:rPr>
          <w:rFonts w:ascii="Times New Roman" w:hAnsi="Times New Roman" w:cs="Times New Roman"/>
          <w:b w:val="0"/>
          <w:i w:val="0"/>
          <w:sz w:val="22"/>
        </w:rPr>
        <w:t>- Legal = DISPUTED</w:t>
      </w:r>
    </w:p>
    <w:p>
      <w:pPr>
        <w:spacing w:after="80" w:line="293" w:lineRule="auto"/>
        <w:ind w:left="283"/>
        <w:jc w:val="left"/>
      </w:pPr>
      <w:r>
        <w:rPr>
          <w:rFonts w:ascii="Times New Roman" w:hAnsi="Times New Roman" w:cs="Times New Roman"/>
          <w:b w:val="0"/>
          <w:i w:val="0"/>
          <w:sz w:val="22"/>
        </w:rPr>
        <w:t>- Divergence = HIGH</w:t>
      </w:r>
    </w:p>
    <w:p>
      <w:pPr>
        <w:spacing w:after="80" w:line="293" w:lineRule="auto"/>
        <w:jc w:val="left"/>
      </w:pPr>
      <w:r>
        <w:rPr>
          <w:rFonts w:ascii="Times New Roman" w:hAnsi="Times New Roman" w:cs="Times New Roman"/>
          <w:b w:val="0"/>
          <w:i w:val="0"/>
          <w:sz w:val="22"/>
        </w:rPr>
        <w:t>Where required dimensions align: Divergence = NONE / LOW. This remains an operational analytics metric, not authoritative transaction truth.</w:t>
      </w:r>
    </w:p>
    <w:p>
      <w:pPr>
        <w:keepNext/>
        <w:spacing w:before="240" w:after="100"/>
        <w:outlineLvl w:val="1"/>
      </w:pPr>
      <w:r>
        <w:rPr>
          <w:rFonts w:ascii="Arial" w:hAnsi="Arial" w:cs="Arial"/>
          <w:b/>
          <w:i w:val="0"/>
          <w:color w:val="2E528F"/>
          <w:sz w:val="26"/>
        </w:rPr>
        <w:t>19.98 Transaction Health</w:t>
      </w:r>
    </w:p>
    <w:p>
      <w:pPr>
        <w:spacing w:after="80" w:line="293" w:lineRule="auto"/>
        <w:jc w:val="left"/>
      </w:pPr>
      <w:r>
        <w:rPr>
          <w:rFonts w:ascii="Times New Roman" w:hAnsi="Times New Roman" w:cs="Times New Roman"/>
          <w:b w:val="0"/>
          <w:i w:val="0"/>
          <w:sz w:val="22"/>
        </w:rPr>
        <w:t>Operational dashboard states: GREEN, YELLOW, ORANGE, RED, BLACK. It may consider:</w:t>
      </w:r>
    </w:p>
    <w:p>
      <w:pPr>
        <w:spacing w:after="80" w:line="293" w:lineRule="auto"/>
        <w:ind w:left="283"/>
        <w:jc w:val="left"/>
      </w:pPr>
      <w:r>
        <w:rPr>
          <w:rFonts w:ascii="Times New Roman" w:hAnsi="Times New Roman" w:cs="Times New Roman"/>
          <w:b w:val="0"/>
          <w:i w:val="0"/>
          <w:sz w:val="22"/>
        </w:rPr>
        <w:t>- financial divergence;</w:t>
      </w:r>
    </w:p>
    <w:p>
      <w:pPr>
        <w:spacing w:after="80" w:line="293" w:lineRule="auto"/>
        <w:ind w:left="283"/>
        <w:jc w:val="left"/>
      </w:pPr>
      <w:r>
        <w:rPr>
          <w:rFonts w:ascii="Times New Roman" w:hAnsi="Times New Roman" w:cs="Times New Roman"/>
          <w:b w:val="0"/>
          <w:i w:val="0"/>
          <w:sz w:val="22"/>
        </w:rPr>
        <w:t>- legal issues;</w:t>
      </w:r>
    </w:p>
    <w:p>
      <w:pPr>
        <w:spacing w:after="80" w:line="293" w:lineRule="auto"/>
        <w:ind w:left="283"/>
        <w:jc w:val="left"/>
      </w:pPr>
      <w:r>
        <w:rPr>
          <w:rFonts w:ascii="Times New Roman" w:hAnsi="Times New Roman" w:cs="Times New Roman"/>
          <w:b w:val="0"/>
          <w:i w:val="0"/>
          <w:sz w:val="22"/>
        </w:rPr>
        <w:t>- documents;</w:t>
      </w:r>
    </w:p>
    <w:p>
      <w:pPr>
        <w:spacing w:after="80" w:line="293" w:lineRule="auto"/>
        <w:ind w:left="283"/>
        <w:jc w:val="left"/>
      </w:pPr>
      <w:r>
        <w:rPr>
          <w:rFonts w:ascii="Times New Roman" w:hAnsi="Times New Roman" w:cs="Times New Roman"/>
          <w:b w:val="0"/>
          <w:i w:val="0"/>
          <w:sz w:val="22"/>
        </w:rPr>
        <w:t>- compliance;</w:t>
      </w:r>
    </w:p>
    <w:p>
      <w:pPr>
        <w:spacing w:after="80" w:line="293" w:lineRule="auto"/>
        <w:ind w:left="283"/>
        <w:jc w:val="left"/>
      </w:pPr>
      <w:r>
        <w:rPr>
          <w:rFonts w:ascii="Times New Roman" w:hAnsi="Times New Roman" w:cs="Times New Roman"/>
          <w:b w:val="0"/>
          <w:i w:val="0"/>
          <w:sz w:val="22"/>
        </w:rPr>
        <w:t>- logistics;</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deadlines;</w:t>
      </w:r>
    </w:p>
    <w:p>
      <w:pPr>
        <w:spacing w:after="80" w:line="293" w:lineRule="auto"/>
        <w:ind w:left="283"/>
        <w:jc w:val="left"/>
      </w:pPr>
      <w:r>
        <w:rPr>
          <w:rFonts w:ascii="Times New Roman" w:hAnsi="Times New Roman" w:cs="Times New Roman"/>
          <w:b w:val="0"/>
          <w:i w:val="0"/>
          <w:sz w:val="22"/>
        </w:rPr>
        <w:t>- exposure.</w:t>
      </w:r>
    </w:p>
    <w:p>
      <w:pPr>
        <w:spacing w:after="80" w:line="293" w:lineRule="auto"/>
        <w:jc w:val="left"/>
      </w:pPr>
      <w:r>
        <w:rPr>
          <w:rFonts w:ascii="Times New Roman" w:hAnsi="Times New Roman" w:cs="Times New Roman"/>
          <w:b w:val="0"/>
          <w:i w:val="0"/>
          <w:sz w:val="22"/>
        </w:rPr>
        <w:t>Transaction Health never replaces the canonical state vector.</w:t>
      </w:r>
    </w:p>
    <w:p>
      <w:pPr>
        <w:keepNext/>
        <w:spacing w:before="240" w:after="100"/>
        <w:outlineLvl w:val="1"/>
      </w:pPr>
      <w:r>
        <w:rPr>
          <w:rFonts w:ascii="Arial" w:hAnsi="Arial" w:cs="Arial"/>
          <w:b/>
          <w:i w:val="0"/>
          <w:color w:val="2E528F"/>
          <w:sz w:val="26"/>
        </w:rPr>
        <w:t>19.99 Responsibility &amp; Liability Model</w:t>
      </w:r>
    </w:p>
    <w:p>
      <w:pPr>
        <w:spacing w:after="80" w:line="293" w:lineRule="auto"/>
        <w:jc w:val="left"/>
      </w:pPr>
      <w:r>
        <w:rPr>
          <w:rFonts w:ascii="Times New Roman" w:hAnsi="Times New Roman" w:cs="Times New Roman"/>
          <w:b w:val="0"/>
          <w:i w:val="0"/>
          <w:sz w:val="22"/>
        </w:rPr>
        <w:t>SGTX does not make absolute liability assumptions from technical architecture. Responsibility follows:</w:t>
      </w:r>
    </w:p>
    <w:p>
      <w:pPr>
        <w:spacing w:after="80" w:line="293" w:lineRule="auto"/>
        <w:ind w:left="283"/>
        <w:jc w:val="left"/>
      </w:pPr>
      <w:r>
        <w:rPr>
          <w:rFonts w:ascii="Times New Roman" w:hAnsi="Times New Roman" w:cs="Times New Roman"/>
          <w:b w:val="0"/>
          <w:i w:val="0"/>
          <w:sz w:val="22"/>
        </w:rPr>
        <w:t>- data provenance;</w:t>
      </w:r>
    </w:p>
    <w:p>
      <w:pPr>
        <w:spacing w:after="80" w:line="293" w:lineRule="auto"/>
        <w:ind w:left="283"/>
        <w:jc w:val="left"/>
      </w:pPr>
      <w:r>
        <w:rPr>
          <w:rFonts w:ascii="Times New Roman" w:hAnsi="Times New Roman" w:cs="Times New Roman"/>
          <w:b w:val="0"/>
          <w:i w:val="0"/>
          <w:sz w:val="22"/>
        </w:rPr>
        <w:t>- contractual control;</w:t>
      </w:r>
    </w:p>
    <w:p>
      <w:pPr>
        <w:spacing w:after="80" w:line="293" w:lineRule="auto"/>
        <w:ind w:left="283"/>
        <w:jc w:val="left"/>
      </w:pPr>
      <w:r>
        <w:rPr>
          <w:rFonts w:ascii="Times New Roman" w:hAnsi="Times New Roman" w:cs="Times New Roman"/>
          <w:b w:val="0"/>
          <w:i w:val="0"/>
          <w:sz w:val="22"/>
        </w:rPr>
        <w:t>- authorization;</w:t>
      </w:r>
    </w:p>
    <w:p>
      <w:pPr>
        <w:spacing w:after="80" w:line="293" w:lineRule="auto"/>
        <w:ind w:left="283"/>
        <w:jc w:val="left"/>
      </w:pPr>
      <w:r>
        <w:rPr>
          <w:rFonts w:ascii="Times New Roman" w:hAnsi="Times New Roman" w:cs="Times New Roman"/>
          <w:b w:val="0"/>
          <w:i w:val="0"/>
          <w:sz w:val="22"/>
        </w:rPr>
        <w:t>- validation responsibility;</w:t>
      </w:r>
    </w:p>
    <w:p>
      <w:pPr>
        <w:spacing w:after="80" w:line="293" w:lineRule="auto"/>
        <w:ind w:left="283"/>
        <w:jc w:val="left"/>
      </w:pPr>
      <w:r>
        <w:rPr>
          <w:rFonts w:ascii="Times New Roman" w:hAnsi="Times New Roman" w:cs="Times New Roman"/>
          <w:b w:val="0"/>
          <w:i w:val="0"/>
          <w:sz w:val="22"/>
        </w:rPr>
        <w:t>- system control;</w:t>
      </w:r>
    </w:p>
    <w:p>
      <w:pPr>
        <w:spacing w:after="80" w:line="293" w:lineRule="auto"/>
        <w:ind w:left="283"/>
        <w:jc w:val="left"/>
      </w:pPr>
      <w:r>
        <w:rPr>
          <w:rFonts w:ascii="Times New Roman" w:hAnsi="Times New Roman" w:cs="Times New Roman"/>
          <w:b w:val="0"/>
          <w:i w:val="0"/>
          <w:sz w:val="22"/>
        </w:rPr>
        <w:t>- actor responsibility;</w:t>
      </w:r>
    </w:p>
    <w:p>
      <w:pPr>
        <w:spacing w:after="80" w:line="293" w:lineRule="auto"/>
        <w:ind w:left="283"/>
        <w:jc w:val="left"/>
      </w:pPr>
      <w:r>
        <w:rPr>
          <w:rFonts w:ascii="Times New Roman" w:hAnsi="Times New Roman" w:cs="Times New Roman"/>
          <w:b w:val="0"/>
          <w:i w:val="0"/>
          <w:sz w:val="22"/>
        </w:rPr>
        <w:t>- applicable law.</w:t>
      </w:r>
    </w:p>
    <w:p>
      <w:pPr>
        <w:spacing w:after="80" w:line="293" w:lineRule="auto"/>
        <w:jc w:val="left"/>
      </w:pPr>
      <w:r>
        <w:rPr>
          <w:rFonts w:ascii="Times New Roman" w:hAnsi="Times New Roman" w:cs="Times New Roman"/>
          <w:b w:val="0"/>
          <w:i w:val="0"/>
          <w:sz w:val="22"/>
        </w:rPr>
        <w:t>Examples: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Scenario</w:t>
            </w:r>
          </w:p>
        </w:tc>
        <w:tc>
          <w:tcPr>
            <w:tcW w:type="dxa" w:w="4819"/>
            <w:shd w:val="clear" w:fill="D9E2F3"/>
          </w:tcPr>
          <w:p>
            <w:pPr>
              <w:spacing w:after="20" w:before="20" w:line="240" w:lineRule="auto"/>
            </w:pPr>
            <w:r/>
            <w:r>
              <w:rPr>
                <w:rFonts w:ascii="Arial" w:hAnsi="Arial" w:cs="Arial"/>
                <w:b/>
                <w:i w:val="0"/>
                <w:sz w:val="18"/>
              </w:rPr>
              <w:t>Potential Responsibility</w:t>
            </w:r>
          </w:p>
        </w:tc>
      </w:tr>
      <w:tr>
        <w:tc>
          <w:tcPr>
            <w:tcW w:type="dxa" w:w="4819"/>
          </w:tcPr>
          <w:p>
            <w:pPr>
              <w:spacing w:after="20" w:before="20" w:line="240" w:lineRule="auto"/>
            </w:pPr>
            <w:r/>
            <w:r>
              <w:rPr>
                <w:rFonts w:ascii="Arial" w:hAnsi="Arial" w:cs="Arial"/>
                <w:b w:val="0"/>
                <w:i w:val="0"/>
                <w:sz w:val="17"/>
              </w:rPr>
              <w:t>SGTX-generated data error</w:t>
            </w:r>
          </w:p>
        </w:tc>
        <w:tc>
          <w:tcPr>
            <w:tcW w:type="dxa" w:w="4819"/>
          </w:tcPr>
          <w:p>
            <w:pPr>
              <w:spacing w:after="20" w:before="20" w:line="240" w:lineRule="auto"/>
            </w:pPr>
            <w:r/>
            <w:r>
              <w:rPr>
                <w:rFonts w:ascii="Arial" w:hAnsi="Arial" w:cs="Arial"/>
                <w:b w:val="0"/>
                <w:i w:val="0"/>
                <w:sz w:val="17"/>
              </w:rPr>
              <w:t>Potentially SGTX responsibility</w:t>
            </w:r>
          </w:p>
        </w:tc>
      </w:tr>
      <w:tr>
        <w:tc>
          <w:tcPr>
            <w:tcW w:type="dxa" w:w="4819"/>
          </w:tcPr>
          <w:p>
            <w:pPr>
              <w:spacing w:after="20" w:before="20" w:line="240" w:lineRule="auto"/>
            </w:pPr>
            <w:r/>
            <w:r>
              <w:rPr>
                <w:rFonts w:ascii="Arial" w:hAnsi="Arial" w:cs="Arial"/>
                <w:b w:val="0"/>
                <w:i w:val="0"/>
                <w:sz w:val="17"/>
              </w:rPr>
              <w:t>Buyer-supplied wrong beneficiary</w:t>
            </w:r>
          </w:p>
        </w:tc>
        <w:tc>
          <w:tcPr>
            <w:tcW w:type="dxa" w:w="4819"/>
          </w:tcPr>
          <w:p>
            <w:pPr>
              <w:spacing w:after="20" w:before="20" w:line="240" w:lineRule="auto"/>
            </w:pPr>
            <w:r/>
            <w:r>
              <w:rPr>
                <w:rFonts w:ascii="Arial" w:hAnsi="Arial" w:cs="Arial"/>
                <w:b w:val="0"/>
                <w:i w:val="0"/>
                <w:sz w:val="17"/>
              </w:rPr>
              <w:t>Potentially buyer responsibility</w:t>
            </w:r>
          </w:p>
        </w:tc>
      </w:tr>
      <w:tr>
        <w:tc>
          <w:tcPr>
            <w:tcW w:type="dxa" w:w="4819"/>
          </w:tcPr>
          <w:p>
            <w:pPr>
              <w:spacing w:after="20" w:before="20" w:line="240" w:lineRule="auto"/>
            </w:pPr>
            <w:r/>
            <w:r>
              <w:rPr>
                <w:rFonts w:ascii="Arial" w:hAnsi="Arial" w:cs="Arial"/>
                <w:b w:val="0"/>
                <w:i w:val="0"/>
                <w:sz w:val="17"/>
              </w:rPr>
              <w:t>Bank execution error</w:t>
            </w:r>
          </w:p>
        </w:tc>
        <w:tc>
          <w:tcPr>
            <w:tcW w:type="dxa" w:w="4819"/>
          </w:tcPr>
          <w:p>
            <w:pPr>
              <w:spacing w:after="20" w:before="20" w:line="240" w:lineRule="auto"/>
            </w:pPr>
            <w:r/>
            <w:r>
              <w:rPr>
                <w:rFonts w:ascii="Arial" w:hAnsi="Arial" w:cs="Arial"/>
                <w:b w:val="0"/>
                <w:i w:val="0"/>
                <w:sz w:val="17"/>
              </w:rPr>
              <w:t>Potentially bank responsibility</w:t>
            </w:r>
          </w:p>
        </w:tc>
      </w:tr>
      <w:tr>
        <w:tc>
          <w:tcPr>
            <w:tcW w:type="dxa" w:w="4819"/>
          </w:tcPr>
          <w:p>
            <w:pPr>
              <w:spacing w:after="20" w:before="20" w:line="240" w:lineRule="auto"/>
            </w:pPr>
            <w:r/>
            <w:r>
              <w:rPr>
                <w:rFonts w:ascii="Arial" w:hAnsi="Arial" w:cs="Arial"/>
                <w:b w:val="0"/>
                <w:i w:val="0"/>
                <w:sz w:val="17"/>
              </w:rPr>
              <w:t>External regulatory change</w:t>
            </w:r>
          </w:p>
        </w:tc>
        <w:tc>
          <w:tcPr>
            <w:tcW w:type="dxa" w:w="4819"/>
          </w:tcPr>
          <w:p>
            <w:pPr>
              <w:spacing w:after="20" w:before="20" w:line="240" w:lineRule="auto"/>
            </w:pPr>
            <w:r/>
            <w:r>
              <w:rPr>
                <w:rFonts w:ascii="Arial" w:hAnsi="Arial" w:cs="Arial"/>
                <w:b w:val="0"/>
                <w:i w:val="0"/>
                <w:sz w:val="17"/>
              </w:rPr>
              <w:t>Contract/law dependent</w:t>
            </w:r>
          </w:p>
        </w:tc>
      </w:tr>
      <w:tr>
        <w:tc>
          <w:tcPr>
            <w:tcW w:type="dxa" w:w="4819"/>
          </w:tcPr>
          <w:p>
            <w:pPr>
              <w:spacing w:after="20" w:before="20" w:line="240" w:lineRule="auto"/>
            </w:pPr>
            <w:r/>
            <w:r>
              <w:rPr>
                <w:rFonts w:ascii="Arial" w:hAnsi="Arial" w:cs="Arial"/>
                <w:b w:val="0"/>
                <w:i w:val="0"/>
                <w:sz w:val="17"/>
              </w:rPr>
              <w:t>Credential compromise</w:t>
            </w:r>
          </w:p>
        </w:tc>
        <w:tc>
          <w:tcPr>
            <w:tcW w:type="dxa" w:w="4819"/>
          </w:tcPr>
          <w:p>
            <w:pPr>
              <w:spacing w:after="20" w:before="20" w:line="240" w:lineRule="auto"/>
            </w:pPr>
            <w:r/>
            <w:r>
              <w:rPr>
                <w:rFonts w:ascii="Arial" w:hAnsi="Arial" w:cs="Arial"/>
                <w:b w:val="0"/>
                <w:i w:val="0"/>
                <w:sz w:val="17"/>
              </w:rPr>
              <w:t>Depends on control failure and applicable law</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formal contractual responsibility matrix is required for institutional deployments.</w:t>
      </w:r>
    </w:p>
    <w:p>
      <w:pPr>
        <w:keepNext/>
        <w:spacing w:before="240" w:after="100"/>
        <w:outlineLvl w:val="1"/>
      </w:pPr>
      <w:r>
        <w:rPr>
          <w:rFonts w:ascii="Arial" w:hAnsi="Arial" w:cs="Arial"/>
          <w:b/>
          <w:i w:val="0"/>
          <w:color w:val="2E528F"/>
          <w:sz w:val="26"/>
        </w:rPr>
        <w:t>19.100 Instruction Responsibility Matrix</w:t>
      </w:r>
    </w:p>
    <w:p>
      <w:pPr>
        <w:spacing w:after="80" w:line="293" w:lineRule="auto"/>
        <w:jc w:val="left"/>
      </w:pPr>
      <w:r>
        <w:rPr>
          <w:rFonts w:ascii="Times New Roman" w:hAnsi="Times New Roman" w:cs="Times New Roman"/>
          <w:b w:val="0"/>
          <w:i w:val="0"/>
          <w:sz w:val="22"/>
        </w:rPr>
        <w:t>For each material settlement field, the platform defines:</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Field</w:t>
            </w:r>
          </w:p>
        </w:tc>
        <w:tc>
          <w:tcPr>
            <w:tcW w:type="dxa" w:w="1928"/>
            <w:shd w:val="clear" w:fill="D9E2F3"/>
          </w:tcPr>
          <w:p>
            <w:pPr>
              <w:spacing w:after="20" w:before="20" w:line="240" w:lineRule="auto"/>
            </w:pPr>
            <w:r/>
            <w:r>
              <w:rPr>
                <w:rFonts w:ascii="Arial" w:hAnsi="Arial" w:cs="Arial"/>
                <w:b/>
                <w:i w:val="0"/>
                <w:sz w:val="18"/>
              </w:rPr>
              <w:t>Data Originator</w:t>
            </w:r>
          </w:p>
        </w:tc>
        <w:tc>
          <w:tcPr>
            <w:tcW w:type="dxa" w:w="1928"/>
            <w:shd w:val="clear" w:fill="D9E2F3"/>
          </w:tcPr>
          <w:p>
            <w:pPr>
              <w:spacing w:after="20" w:before="20" w:line="240" w:lineRule="auto"/>
            </w:pPr>
            <w:r/>
            <w:r>
              <w:rPr>
                <w:rFonts w:ascii="Arial" w:hAnsi="Arial" w:cs="Arial"/>
                <w:b/>
                <w:i w:val="0"/>
                <w:sz w:val="18"/>
              </w:rPr>
              <w:t>Validator</w:t>
            </w:r>
          </w:p>
        </w:tc>
        <w:tc>
          <w:tcPr>
            <w:tcW w:type="dxa" w:w="1928"/>
            <w:shd w:val="clear" w:fill="D9E2F3"/>
          </w:tcPr>
          <w:p>
            <w:pPr>
              <w:spacing w:after="20" w:before="20" w:line="240" w:lineRule="auto"/>
            </w:pPr>
            <w:r/>
            <w:r>
              <w:rPr>
                <w:rFonts w:ascii="Arial" w:hAnsi="Arial" w:cs="Arial"/>
                <w:b/>
                <w:i w:val="0"/>
                <w:sz w:val="18"/>
              </w:rPr>
              <w:t>Authoritative Party</w:t>
            </w:r>
          </w:p>
        </w:tc>
        <w:tc>
          <w:tcPr>
            <w:tcW w:type="dxa" w:w="1928"/>
            <w:shd w:val="clear" w:fill="D9E2F3"/>
          </w:tcPr>
          <w:p>
            <w:pPr>
              <w:spacing w:after="20" w:before="20" w:line="240" w:lineRule="auto"/>
            </w:pPr>
            <w:r/>
            <w:r>
              <w:rPr>
                <w:rFonts w:ascii="Arial" w:hAnsi="Arial" w:cs="Arial"/>
                <w:b/>
                <w:i w:val="0"/>
                <w:sz w:val="18"/>
              </w:rPr>
              <w:t>Executor</w:t>
            </w:r>
          </w:p>
        </w:tc>
      </w:tr>
      <w:tr>
        <w:tc>
          <w:tcPr>
            <w:tcW w:type="dxa" w:w="1928"/>
          </w:tcPr>
          <w:p>
            <w:pPr>
              <w:spacing w:after="20" w:before="20" w:line="240" w:lineRule="auto"/>
            </w:pPr>
            <w:r/>
            <w:r>
              <w:rPr>
                <w:rFonts w:ascii="Arial" w:hAnsi="Arial" w:cs="Arial"/>
                <w:b w:val="0"/>
                <w:i w:val="0"/>
                <w:sz w:val="17"/>
              </w:rPr>
              <w:t>Amount</w:t>
            </w:r>
          </w:p>
        </w:tc>
        <w:tc>
          <w:tcPr>
            <w:tcW w:type="dxa" w:w="1928"/>
          </w:tcPr>
          <w:p>
            <w:pPr>
              <w:spacing w:after="20" w:before="20" w:line="240" w:lineRule="auto"/>
            </w:pPr>
            <w:r/>
            <w:r>
              <w:rPr>
                <w:rFonts w:ascii="Arial" w:hAnsi="Arial" w:cs="Arial"/>
                <w:b w:val="0"/>
                <w:i w:val="0"/>
                <w:sz w:val="17"/>
              </w:rPr>
              <w:t>Contract/authorized party</w:t>
            </w:r>
          </w:p>
        </w:tc>
        <w:tc>
          <w:tcPr>
            <w:tcW w:type="dxa" w:w="1928"/>
          </w:tcPr>
          <w:p>
            <w:pPr>
              <w:spacing w:after="20" w:before="20" w:line="240" w:lineRule="auto"/>
            </w:pPr>
            <w:r/>
            <w:r>
              <w:rPr>
                <w:rFonts w:ascii="Arial" w:hAnsi="Arial" w:cs="Arial"/>
                <w:b w:val="0"/>
                <w:i w:val="0"/>
                <w:sz w:val="17"/>
              </w:rPr>
              <w:t>SGTX/Bank</w:t>
            </w:r>
          </w:p>
        </w:tc>
        <w:tc>
          <w:tcPr>
            <w:tcW w:type="dxa" w:w="1928"/>
          </w:tcPr>
          <w:p>
            <w:pPr>
              <w:spacing w:after="20" w:before="20" w:line="240" w:lineRule="auto"/>
            </w:pPr>
            <w:r/>
            <w:r>
              <w:rPr>
                <w:rFonts w:ascii="Arial" w:hAnsi="Arial" w:cs="Arial"/>
                <w:b w:val="0"/>
                <w:i w:val="0"/>
                <w:sz w:val="17"/>
              </w:rPr>
              <w:t>Contracting parties/bank as applicable</w:t>
            </w:r>
          </w:p>
        </w:tc>
        <w:tc>
          <w:tcPr>
            <w:tcW w:type="dxa" w:w="1928"/>
          </w:tcPr>
          <w:p>
            <w:pPr>
              <w:spacing w:after="20" w:before="20" w:line="240" w:lineRule="auto"/>
            </w:pPr>
            <w:r/>
            <w:r>
              <w:rPr>
                <w:rFonts w:ascii="Arial" w:hAnsi="Arial" w:cs="Arial"/>
                <w:b w:val="0"/>
                <w:i w:val="0"/>
                <w:sz w:val="17"/>
              </w:rPr>
              <w:t>Bank</w:t>
            </w:r>
          </w:p>
        </w:tc>
      </w:tr>
      <w:tr>
        <w:tc>
          <w:tcPr>
            <w:tcW w:type="dxa" w:w="1928"/>
          </w:tcPr>
          <w:p>
            <w:pPr>
              <w:spacing w:after="20" w:before="20" w:line="240" w:lineRule="auto"/>
            </w:pPr>
            <w:r/>
            <w:r>
              <w:rPr>
                <w:rFonts w:ascii="Arial" w:hAnsi="Arial" w:cs="Arial"/>
                <w:b w:val="0"/>
                <w:i w:val="0"/>
                <w:sz w:val="17"/>
              </w:rPr>
              <w:t>Beneficiary</w:t>
            </w:r>
          </w:p>
        </w:tc>
        <w:tc>
          <w:tcPr>
            <w:tcW w:type="dxa" w:w="1928"/>
          </w:tcPr>
          <w:p>
            <w:pPr>
              <w:spacing w:after="20" w:before="20" w:line="240" w:lineRule="auto"/>
            </w:pPr>
            <w:r/>
            <w:r>
              <w:rPr>
                <w:rFonts w:ascii="Arial" w:hAnsi="Arial" w:cs="Arial"/>
                <w:b w:val="0"/>
                <w:i w:val="0"/>
                <w:sz w:val="17"/>
              </w:rPr>
              <w:t>Authorized commercial party</w:t>
            </w:r>
          </w:p>
        </w:tc>
        <w:tc>
          <w:tcPr>
            <w:tcW w:type="dxa" w:w="1928"/>
          </w:tcPr>
          <w:p>
            <w:pPr>
              <w:spacing w:after="20" w:before="20" w:line="240" w:lineRule="auto"/>
            </w:pPr>
            <w:r/>
            <w:r>
              <w:rPr>
                <w:rFonts w:ascii="Arial" w:hAnsi="Arial" w:cs="Arial"/>
                <w:b w:val="0"/>
                <w:i w:val="0"/>
                <w:sz w:val="17"/>
              </w:rPr>
              <w:t>Bank/SGTX workflow</w:t>
            </w:r>
          </w:p>
        </w:tc>
        <w:tc>
          <w:tcPr>
            <w:tcW w:type="dxa" w:w="1928"/>
          </w:tcPr>
          <w:p>
            <w:pPr>
              <w:spacing w:after="20" w:before="20" w:line="240" w:lineRule="auto"/>
            </w:pPr>
            <w:r/>
            <w:r>
              <w:rPr>
                <w:rFonts w:ascii="Arial" w:hAnsi="Arial" w:cs="Arial"/>
                <w:b w:val="0"/>
                <w:i w:val="0"/>
                <w:sz w:val="17"/>
              </w:rPr>
              <w:t>Bank/account authority</w:t>
            </w:r>
          </w:p>
        </w:tc>
        <w:tc>
          <w:tcPr>
            <w:tcW w:type="dxa" w:w="1928"/>
          </w:tcPr>
          <w:p>
            <w:pPr>
              <w:spacing w:after="20" w:before="20" w:line="240" w:lineRule="auto"/>
            </w:pPr>
            <w:r/>
            <w:r>
              <w:rPr>
                <w:rFonts w:ascii="Arial" w:hAnsi="Arial" w:cs="Arial"/>
                <w:b w:val="0"/>
                <w:i w:val="0"/>
                <w:sz w:val="17"/>
              </w:rPr>
              <w:t>Bank</w:t>
            </w:r>
          </w:p>
        </w:tc>
      </w:tr>
      <w:tr>
        <w:tc>
          <w:tcPr>
            <w:tcW w:type="dxa" w:w="1928"/>
          </w:tcPr>
          <w:p>
            <w:pPr>
              <w:spacing w:after="20" w:before="20" w:line="240" w:lineRule="auto"/>
            </w:pPr>
            <w:r/>
            <w:r>
              <w:rPr>
                <w:rFonts w:ascii="Arial" w:hAnsi="Arial" w:cs="Arial"/>
                <w:b w:val="0"/>
                <w:i w:val="0"/>
                <w:sz w:val="17"/>
              </w:rPr>
              <w:t>Currency</w:t>
            </w:r>
          </w:p>
        </w:tc>
        <w:tc>
          <w:tcPr>
            <w:tcW w:type="dxa" w:w="1928"/>
          </w:tcPr>
          <w:p>
            <w:pPr>
              <w:spacing w:after="20" w:before="20" w:line="240" w:lineRule="auto"/>
            </w:pPr>
            <w:r/>
            <w:r>
              <w:rPr>
                <w:rFonts w:ascii="Arial" w:hAnsi="Arial" w:cs="Arial"/>
                <w:b w:val="0"/>
                <w:i w:val="0"/>
                <w:sz w:val="17"/>
              </w:rPr>
              <w:t>Contract/authorized instruction</w:t>
            </w:r>
          </w:p>
        </w:tc>
        <w:tc>
          <w:tcPr>
            <w:tcW w:type="dxa" w:w="1928"/>
          </w:tcPr>
          <w:p>
            <w:pPr>
              <w:spacing w:after="20" w:before="20" w:line="240" w:lineRule="auto"/>
            </w:pPr>
            <w:r/>
            <w:r>
              <w:rPr>
                <w:rFonts w:ascii="Arial" w:hAnsi="Arial" w:cs="Arial"/>
                <w:b w:val="0"/>
                <w:i w:val="0"/>
                <w:sz w:val="17"/>
              </w:rPr>
              <w:t>Bank</w:t>
            </w:r>
          </w:p>
        </w:tc>
        <w:tc>
          <w:tcPr>
            <w:tcW w:type="dxa" w:w="1928"/>
          </w:tcPr>
          <w:p>
            <w:pPr>
              <w:spacing w:after="20" w:before="20" w:line="240" w:lineRule="auto"/>
            </w:pPr>
            <w:r/>
            <w:r>
              <w:rPr>
                <w:rFonts w:ascii="Arial" w:hAnsi="Arial" w:cs="Arial"/>
                <w:b w:val="0"/>
                <w:i w:val="0"/>
                <w:sz w:val="17"/>
              </w:rPr>
              <w:t>Contract/bank rules</w:t>
            </w:r>
          </w:p>
        </w:tc>
        <w:tc>
          <w:tcPr>
            <w:tcW w:type="dxa" w:w="1928"/>
          </w:tcPr>
          <w:p>
            <w:pPr>
              <w:spacing w:after="20" w:before="20" w:line="240" w:lineRule="auto"/>
            </w:pPr>
            <w:r/>
            <w:r>
              <w:rPr>
                <w:rFonts w:ascii="Arial" w:hAnsi="Arial" w:cs="Arial"/>
                <w:b w:val="0"/>
                <w:i w:val="0"/>
                <w:sz w:val="17"/>
              </w:rPr>
              <w:t>Bank</w:t>
            </w:r>
          </w:p>
        </w:tc>
      </w:tr>
      <w:tr>
        <w:tc>
          <w:tcPr>
            <w:tcW w:type="dxa" w:w="1928"/>
          </w:tcPr>
          <w:p>
            <w:pPr>
              <w:spacing w:after="20" w:before="20" w:line="240" w:lineRule="auto"/>
            </w:pPr>
            <w:r/>
            <w:r>
              <w:rPr>
                <w:rFonts w:ascii="Arial" w:hAnsi="Arial" w:cs="Arial"/>
                <w:b w:val="0"/>
                <w:i w:val="0"/>
                <w:sz w:val="17"/>
              </w:rPr>
              <w:t>Payment Purpose</w:t>
            </w:r>
          </w:p>
        </w:tc>
        <w:tc>
          <w:tcPr>
            <w:tcW w:type="dxa" w:w="1928"/>
          </w:tcPr>
          <w:p>
            <w:pPr>
              <w:spacing w:after="20" w:before="20" w:line="240" w:lineRule="auto"/>
            </w:pPr>
            <w:r/>
            <w:r>
              <w:rPr>
                <w:rFonts w:ascii="Arial" w:hAnsi="Arial" w:cs="Arial"/>
                <w:b w:val="0"/>
                <w:i w:val="0"/>
                <w:sz w:val="17"/>
              </w:rPr>
              <w:t>Authorized party</w:t>
            </w:r>
          </w:p>
        </w:tc>
        <w:tc>
          <w:tcPr>
            <w:tcW w:type="dxa" w:w="1928"/>
          </w:tcPr>
          <w:p>
            <w:pPr>
              <w:spacing w:after="20" w:before="20" w:line="240" w:lineRule="auto"/>
            </w:pPr>
            <w:r/>
            <w:r>
              <w:rPr>
                <w:rFonts w:ascii="Arial" w:hAnsi="Arial" w:cs="Arial"/>
                <w:b w:val="0"/>
                <w:i w:val="0"/>
                <w:sz w:val="17"/>
              </w:rPr>
              <w:t>Bank/SGTX</w:t>
            </w:r>
          </w:p>
        </w:tc>
        <w:tc>
          <w:tcPr>
            <w:tcW w:type="dxa" w:w="1928"/>
          </w:tcPr>
          <w:p>
            <w:pPr>
              <w:spacing w:after="20" w:before="20" w:line="240" w:lineRule="auto"/>
            </w:pPr>
            <w:r/>
            <w:r>
              <w:rPr>
                <w:rFonts w:ascii="Arial" w:hAnsi="Arial" w:cs="Arial"/>
                <w:b w:val="0"/>
                <w:i w:val="0"/>
                <w:sz w:val="17"/>
              </w:rPr>
              <w:t>Applicable framework</w:t>
            </w:r>
          </w:p>
        </w:tc>
        <w:tc>
          <w:tcPr>
            <w:tcW w:type="dxa" w:w="1928"/>
          </w:tcPr>
          <w:p>
            <w:pPr>
              <w:spacing w:after="20" w:before="20" w:line="240" w:lineRule="auto"/>
            </w:pPr>
            <w:r/>
            <w:r>
              <w:rPr>
                <w:rFonts w:ascii="Arial" w:hAnsi="Arial" w:cs="Arial"/>
                <w:b w:val="0"/>
                <w:i w:val="0"/>
                <w:sz w:val="17"/>
              </w:rPr>
              <w:t>Bank</w:t>
            </w:r>
          </w:p>
        </w:tc>
      </w:tr>
      <w:tr>
        <w:tc>
          <w:tcPr>
            <w:tcW w:type="dxa" w:w="1928"/>
          </w:tcPr>
          <w:p>
            <w:pPr>
              <w:spacing w:after="20" w:before="20" w:line="240" w:lineRule="auto"/>
            </w:pPr>
            <w:r/>
            <w:r>
              <w:rPr>
                <w:rFonts w:ascii="Arial" w:hAnsi="Arial" w:cs="Arial"/>
                <w:b w:val="0"/>
                <w:i w:val="0"/>
                <w:sz w:val="17"/>
              </w:rPr>
              <w:t>Sanctions Result</w:t>
            </w:r>
          </w:p>
        </w:tc>
        <w:tc>
          <w:tcPr>
            <w:tcW w:type="dxa" w:w="1928"/>
          </w:tcPr>
          <w:p>
            <w:pPr>
              <w:spacing w:after="20" w:before="20" w:line="240" w:lineRule="auto"/>
            </w:pPr>
            <w:r/>
            <w:r>
              <w:rPr>
                <w:rFonts w:ascii="Arial" w:hAnsi="Arial" w:cs="Arial"/>
                <w:b w:val="0"/>
                <w:i w:val="0"/>
                <w:sz w:val="17"/>
              </w:rPr>
              <w:t>Bank / authorized screening source</w:t>
            </w:r>
          </w:p>
        </w:tc>
        <w:tc>
          <w:tcPr>
            <w:tcW w:type="dxa" w:w="1928"/>
          </w:tcPr>
          <w:p>
            <w:pPr>
              <w:spacing w:after="20" w:before="20" w:line="240" w:lineRule="auto"/>
            </w:pPr>
            <w:r/>
            <w:r>
              <w:rPr>
                <w:rFonts w:ascii="Arial" w:hAnsi="Arial" w:cs="Arial"/>
                <w:b w:val="0"/>
                <w:i w:val="0"/>
                <w:sz w:val="17"/>
              </w:rPr>
              <w:t>Bank</w:t>
            </w:r>
          </w:p>
        </w:tc>
        <w:tc>
          <w:tcPr>
            <w:tcW w:type="dxa" w:w="1928"/>
          </w:tcPr>
          <w:p>
            <w:pPr>
              <w:spacing w:after="20" w:before="20" w:line="240" w:lineRule="auto"/>
            </w:pPr>
            <w:r/>
            <w:r>
              <w:rPr>
                <w:rFonts w:ascii="Arial" w:hAnsi="Arial" w:cs="Arial"/>
                <w:b w:val="0"/>
                <w:i w:val="0"/>
                <w:sz w:val="17"/>
              </w:rPr>
              <w:t>Bank/regulatory framework</w:t>
            </w:r>
          </w:p>
        </w:tc>
        <w:tc>
          <w:tcPr>
            <w:tcW w:type="dxa" w:w="1928"/>
          </w:tcPr>
          <w:p>
            <w:pPr>
              <w:spacing w:after="20" w:before="20" w:line="240" w:lineRule="auto"/>
            </w:pPr>
            <w:r/>
            <w:r>
              <w:rPr>
                <w:rFonts w:ascii="Arial" w:hAnsi="Arial" w:cs="Arial"/>
                <w:b w:val="0"/>
                <w:i w:val="0"/>
                <w:sz w:val="17"/>
              </w:rPr>
              <w:t>Bank</w:t>
            </w:r>
          </w:p>
        </w:tc>
      </w:tr>
      <w:tr>
        <w:tc>
          <w:tcPr>
            <w:tcW w:type="dxa" w:w="1928"/>
          </w:tcPr>
          <w:p>
            <w:pPr>
              <w:spacing w:after="20" w:before="20" w:line="240" w:lineRule="auto"/>
            </w:pPr>
            <w:r/>
            <w:r>
              <w:rPr>
                <w:rFonts w:ascii="Arial" w:hAnsi="Arial" w:cs="Arial"/>
                <w:b w:val="0"/>
                <w:i w:val="0"/>
                <w:sz w:val="17"/>
              </w:rPr>
              <w:t>Value Date</w:t>
            </w:r>
          </w:p>
        </w:tc>
        <w:tc>
          <w:tcPr>
            <w:tcW w:type="dxa" w:w="1928"/>
          </w:tcPr>
          <w:p>
            <w:pPr>
              <w:spacing w:after="20" w:before="20" w:line="240" w:lineRule="auto"/>
            </w:pPr>
            <w:r/>
            <w:r>
              <w:rPr>
                <w:rFonts w:ascii="Arial" w:hAnsi="Arial" w:cs="Arial"/>
                <w:b w:val="0"/>
                <w:i w:val="0"/>
                <w:sz w:val="17"/>
              </w:rPr>
              <w:t>Instruction/Bank</w:t>
            </w:r>
          </w:p>
        </w:tc>
        <w:tc>
          <w:tcPr>
            <w:tcW w:type="dxa" w:w="1928"/>
          </w:tcPr>
          <w:p>
            <w:pPr>
              <w:spacing w:after="20" w:before="20" w:line="240" w:lineRule="auto"/>
            </w:pPr>
            <w:r/>
            <w:r>
              <w:rPr>
                <w:rFonts w:ascii="Arial" w:hAnsi="Arial" w:cs="Arial"/>
                <w:b w:val="0"/>
                <w:i w:val="0"/>
                <w:sz w:val="17"/>
              </w:rPr>
              <w:t>Bank</w:t>
            </w:r>
          </w:p>
        </w:tc>
        <w:tc>
          <w:tcPr>
            <w:tcW w:type="dxa" w:w="1928"/>
          </w:tcPr>
          <w:p>
            <w:pPr>
              <w:spacing w:after="20" w:before="20" w:line="240" w:lineRule="auto"/>
            </w:pPr>
            <w:r/>
            <w:r>
              <w:rPr>
                <w:rFonts w:ascii="Arial" w:hAnsi="Arial" w:cs="Arial"/>
                <w:b w:val="0"/>
                <w:i w:val="0"/>
                <w:sz w:val="17"/>
              </w:rPr>
              <w:t>Bank/payment system</w:t>
            </w:r>
          </w:p>
        </w:tc>
        <w:tc>
          <w:tcPr>
            <w:tcW w:type="dxa" w:w="1928"/>
          </w:tcPr>
          <w:p>
            <w:pPr>
              <w:spacing w:after="20" w:before="20" w:line="240" w:lineRule="auto"/>
            </w:pPr>
            <w:r/>
            <w:r>
              <w:rPr>
                <w:rFonts w:ascii="Arial" w:hAnsi="Arial" w:cs="Arial"/>
                <w:b w:val="0"/>
                <w:i w:val="0"/>
                <w:sz w:val="17"/>
              </w:rPr>
              <w:t>Bank</w:t>
            </w:r>
          </w:p>
        </w:tc>
      </w:tr>
      <w:tr>
        <w:tc>
          <w:tcPr>
            <w:tcW w:type="dxa" w:w="1928"/>
          </w:tcPr>
          <w:p>
            <w:pPr>
              <w:spacing w:after="20" w:before="20" w:line="240" w:lineRule="auto"/>
            </w:pPr>
            <w:r/>
            <w:r>
              <w:rPr>
                <w:rFonts w:ascii="Arial" w:hAnsi="Arial" w:cs="Arial"/>
                <w:b w:val="0"/>
                <w:i w:val="0"/>
                <w:sz w:val="17"/>
              </w:rPr>
              <w:t>Tax Amount</w:t>
            </w:r>
          </w:p>
        </w:tc>
        <w:tc>
          <w:tcPr>
            <w:tcW w:type="dxa" w:w="1928"/>
          </w:tcPr>
          <w:p>
            <w:pPr>
              <w:spacing w:after="20" w:before="20" w:line="240" w:lineRule="auto"/>
            </w:pPr>
            <w:r/>
            <w:r>
              <w:rPr>
                <w:rFonts w:ascii="Arial" w:hAnsi="Arial" w:cs="Arial"/>
                <w:b w:val="0"/>
                <w:i w:val="0"/>
                <w:sz w:val="17"/>
              </w:rPr>
              <w:t>Applicable source</w:t>
            </w:r>
          </w:p>
        </w:tc>
        <w:tc>
          <w:tcPr>
            <w:tcW w:type="dxa" w:w="1928"/>
          </w:tcPr>
          <w:p>
            <w:pPr>
              <w:spacing w:after="20" w:before="20" w:line="240" w:lineRule="auto"/>
            </w:pPr>
            <w:r/>
            <w:r>
              <w:rPr>
                <w:rFonts w:ascii="Arial" w:hAnsi="Arial" w:cs="Arial"/>
                <w:b w:val="0"/>
                <w:i w:val="0"/>
                <w:sz w:val="17"/>
              </w:rPr>
              <w:t>Relevant authority/bank</w:t>
            </w:r>
          </w:p>
        </w:tc>
        <w:tc>
          <w:tcPr>
            <w:tcW w:type="dxa" w:w="1928"/>
          </w:tcPr>
          <w:p>
            <w:pPr>
              <w:spacing w:after="20" w:before="20" w:line="240" w:lineRule="auto"/>
            </w:pPr>
            <w:r/>
            <w:r>
              <w:rPr>
                <w:rFonts w:ascii="Arial" w:hAnsi="Arial" w:cs="Arial"/>
                <w:b w:val="0"/>
                <w:i w:val="0"/>
                <w:sz w:val="17"/>
              </w:rPr>
              <w:t>Tax framework</w:t>
            </w:r>
          </w:p>
        </w:tc>
        <w:tc>
          <w:tcPr>
            <w:tcW w:type="dxa" w:w="1928"/>
          </w:tcPr>
          <w:p>
            <w:pPr>
              <w:spacing w:after="20" w:before="20" w:line="240" w:lineRule="auto"/>
            </w:pPr>
            <w:r/>
            <w:r>
              <w:rPr>
                <w:rFonts w:ascii="Arial" w:hAnsi="Arial" w:cs="Arial"/>
                <w:b w:val="0"/>
                <w:i w:val="0"/>
                <w:sz w:val="17"/>
              </w:rPr>
              <w:t>Authorized channel</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actual responsibility mapping is jurisdiction- and product-specific.</w:t>
      </w:r>
    </w:p>
    <w:p>
      <w:pPr>
        <w:keepNext/>
        <w:spacing w:before="240" w:after="100"/>
        <w:outlineLvl w:val="1"/>
      </w:pPr>
      <w:r>
        <w:rPr>
          <w:rFonts w:ascii="Arial" w:hAnsi="Arial" w:cs="Arial"/>
          <w:b/>
          <w:i w:val="0"/>
          <w:color w:val="2E528F"/>
          <w:sz w:val="26"/>
        </w:rPr>
        <w:t>19.101 Financial Safety Boundary</w:t>
      </w:r>
    </w:p>
    <w:p>
      <w:pPr>
        <w:spacing w:after="80" w:line="293" w:lineRule="auto"/>
        <w:jc w:val="left"/>
      </w:pPr>
      <w:r>
        <w:rPr>
          <w:rFonts w:ascii="Times New Roman" w:hAnsi="Times New Roman" w:cs="Times New Roman"/>
          <w:b w:val="0"/>
          <w:i w:val="0"/>
          <w:sz w:val="22"/>
        </w:rPr>
        <w:t>SGTX can:</w:t>
      </w:r>
    </w:p>
    <w:p>
      <w:pPr>
        <w:spacing w:after="80" w:line="293" w:lineRule="auto"/>
        <w:ind w:left="283"/>
        <w:jc w:val="left"/>
      </w:pPr>
      <w:r>
        <w:rPr>
          <w:rFonts w:ascii="Times New Roman" w:hAnsi="Times New Roman" w:cs="Times New Roman"/>
          <w:b w:val="0"/>
          <w:i w:val="0"/>
          <w:sz w:val="22"/>
        </w:rPr>
        <w:t>- orchestrate;</w:t>
      </w:r>
    </w:p>
    <w:p>
      <w:pPr>
        <w:spacing w:after="80" w:line="293" w:lineRule="auto"/>
        <w:ind w:left="283"/>
        <w:jc w:val="left"/>
      </w:pPr>
      <w:r>
        <w:rPr>
          <w:rFonts w:ascii="Times New Roman" w:hAnsi="Times New Roman" w:cs="Times New Roman"/>
          <w:b w:val="0"/>
          <w:i w:val="0"/>
          <w:sz w:val="22"/>
        </w:rPr>
        <w:t>- verify;</w:t>
      </w:r>
    </w:p>
    <w:p>
      <w:pPr>
        <w:spacing w:after="80" w:line="293" w:lineRule="auto"/>
        <w:ind w:left="283"/>
        <w:jc w:val="left"/>
      </w:pPr>
      <w:r>
        <w:rPr>
          <w:rFonts w:ascii="Times New Roman" w:hAnsi="Times New Roman" w:cs="Times New Roman"/>
          <w:b w:val="0"/>
          <w:i w:val="0"/>
          <w:sz w:val="22"/>
        </w:rPr>
        <w:t>- reconcile;</w:t>
      </w:r>
    </w:p>
    <w:p>
      <w:pPr>
        <w:spacing w:after="80" w:line="293" w:lineRule="auto"/>
        <w:ind w:left="283"/>
        <w:jc w:val="left"/>
      </w:pPr>
      <w:r>
        <w:rPr>
          <w:rFonts w:ascii="Times New Roman" w:hAnsi="Times New Roman" w:cs="Times New Roman"/>
          <w:b w:val="0"/>
          <w:i w:val="0"/>
          <w:sz w:val="22"/>
        </w:rPr>
        <w:t>- observe;</w:t>
      </w:r>
    </w:p>
    <w:p>
      <w:pPr>
        <w:spacing w:after="80" w:line="293" w:lineRule="auto"/>
        <w:ind w:left="283"/>
        <w:jc w:val="left"/>
      </w:pPr>
      <w:r>
        <w:rPr>
          <w:rFonts w:ascii="Times New Roman" w:hAnsi="Times New Roman" w:cs="Times New Roman"/>
          <w:b w:val="0"/>
          <w:i w:val="0"/>
          <w:sz w:val="22"/>
        </w:rPr>
        <w:t>- record;</w:t>
      </w:r>
    </w:p>
    <w:p>
      <w:pPr>
        <w:spacing w:after="80" w:line="293" w:lineRule="auto"/>
        <w:ind w:left="283"/>
        <w:jc w:val="left"/>
      </w:pPr>
      <w:r>
        <w:rPr>
          <w:rFonts w:ascii="Times New Roman" w:hAnsi="Times New Roman" w:cs="Times New Roman"/>
          <w:b w:val="0"/>
          <w:i w:val="0"/>
          <w:sz w:val="22"/>
        </w:rPr>
        <w:t>- coordinate;</w:t>
      </w:r>
    </w:p>
    <w:p>
      <w:pPr>
        <w:spacing w:after="80" w:line="293" w:lineRule="auto"/>
        <w:ind w:left="283"/>
        <w:jc w:val="left"/>
      </w:pPr>
      <w:r>
        <w:rPr>
          <w:rFonts w:ascii="Times New Roman" w:hAnsi="Times New Roman" w:cs="Times New Roman"/>
          <w:b w:val="0"/>
          <w:i w:val="0"/>
          <w:sz w:val="22"/>
        </w:rPr>
        <w:t>- generate evidence;</w:t>
      </w:r>
    </w:p>
    <w:p>
      <w:pPr>
        <w:spacing w:after="80" w:line="293" w:lineRule="auto"/>
        <w:ind w:left="283"/>
        <w:jc w:val="left"/>
      </w:pPr>
      <w:r>
        <w:rPr>
          <w:rFonts w:ascii="Times New Roman" w:hAnsi="Times New Roman" w:cs="Times New Roman"/>
          <w:b w:val="0"/>
          <w:i w:val="0"/>
          <w:sz w:val="22"/>
        </w:rPr>
        <w:t>- create authenticated instructions;</w:t>
      </w:r>
    </w:p>
    <w:p>
      <w:pPr>
        <w:spacing w:after="80" w:line="293" w:lineRule="auto"/>
        <w:ind w:left="283"/>
        <w:jc w:val="left"/>
      </w:pPr>
      <w:r>
        <w:rPr>
          <w:rFonts w:ascii="Times New Roman" w:hAnsi="Times New Roman" w:cs="Times New Roman"/>
          <w:b w:val="0"/>
          <w:i w:val="0"/>
          <w:sz w:val="22"/>
        </w:rPr>
        <w:t>- initiate authorized workflows.</w:t>
      </w:r>
    </w:p>
    <w:p>
      <w:pPr>
        <w:spacing w:after="80" w:line="293" w:lineRule="auto"/>
        <w:jc w:val="left"/>
      </w:pPr>
      <w:r>
        <w:rPr>
          <w:rFonts w:ascii="Times New Roman" w:hAnsi="Times New Roman" w:cs="Times New Roman"/>
          <w:b w:val="0"/>
          <w:i w:val="0"/>
          <w:sz w:val="22"/>
        </w:rPr>
        <w:t>SGTX does not inherently:</w:t>
      </w:r>
    </w:p>
    <w:p>
      <w:pPr>
        <w:spacing w:after="80" w:line="293" w:lineRule="auto"/>
        <w:ind w:left="283"/>
        <w:jc w:val="left"/>
      </w:pPr>
      <w:r>
        <w:rPr>
          <w:rFonts w:ascii="Times New Roman" w:hAnsi="Times New Roman" w:cs="Times New Roman"/>
          <w:b w:val="0"/>
          <w:i w:val="0"/>
          <w:sz w:val="22"/>
        </w:rPr>
        <w:t>- custody;</w:t>
      </w:r>
    </w:p>
    <w:p>
      <w:pPr>
        <w:spacing w:after="80" w:line="293" w:lineRule="auto"/>
        <w:ind w:left="283"/>
        <w:jc w:val="left"/>
      </w:pPr>
      <w:r>
        <w:rPr>
          <w:rFonts w:ascii="Times New Roman" w:hAnsi="Times New Roman" w:cs="Times New Roman"/>
          <w:b w:val="0"/>
          <w:i w:val="0"/>
          <w:sz w:val="22"/>
        </w:rPr>
        <w:t>- become a bank;</w:t>
      </w:r>
    </w:p>
    <w:p>
      <w:pPr>
        <w:spacing w:after="80" w:line="293" w:lineRule="auto"/>
        <w:ind w:left="283"/>
        <w:jc w:val="left"/>
      </w:pPr>
      <w:r>
        <w:rPr>
          <w:rFonts w:ascii="Times New Roman" w:hAnsi="Times New Roman" w:cs="Times New Roman"/>
          <w:b w:val="0"/>
          <w:i w:val="0"/>
          <w:sz w:val="22"/>
        </w:rPr>
        <w:t>- replace corporate accounting systems;</w:t>
      </w:r>
    </w:p>
    <w:p>
      <w:pPr>
        <w:spacing w:after="80" w:line="293" w:lineRule="auto"/>
        <w:ind w:left="283"/>
        <w:jc w:val="left"/>
      </w:pPr>
      <w:r>
        <w:rPr>
          <w:rFonts w:ascii="Times New Roman" w:hAnsi="Times New Roman" w:cs="Times New Roman"/>
          <w:b w:val="0"/>
          <w:i w:val="0"/>
          <w:sz w:val="22"/>
        </w:rPr>
        <w:t>- override banks;</w:t>
      </w:r>
    </w:p>
    <w:p>
      <w:pPr>
        <w:spacing w:after="80" w:line="293" w:lineRule="auto"/>
        <w:ind w:left="283"/>
        <w:jc w:val="left"/>
      </w:pPr>
      <w:r>
        <w:rPr>
          <w:rFonts w:ascii="Times New Roman" w:hAnsi="Times New Roman" w:cs="Times New Roman"/>
          <w:b w:val="0"/>
          <w:i w:val="0"/>
          <w:sz w:val="22"/>
        </w:rPr>
        <w:t>- make legal judgments;</w:t>
      </w:r>
    </w:p>
    <w:p>
      <w:pPr>
        <w:spacing w:after="80" w:line="293" w:lineRule="auto"/>
        <w:ind w:left="283"/>
        <w:jc w:val="left"/>
      </w:pPr>
      <w:r>
        <w:rPr>
          <w:rFonts w:ascii="Times New Roman" w:hAnsi="Times New Roman" w:cs="Times New Roman"/>
          <w:b w:val="0"/>
          <w:i w:val="0"/>
          <w:sz w:val="22"/>
        </w:rPr>
        <w:t>- become a regulator;</w:t>
      </w:r>
    </w:p>
    <w:p>
      <w:pPr>
        <w:spacing w:after="80" w:line="293" w:lineRule="auto"/>
        <w:ind w:left="283"/>
        <w:jc w:val="left"/>
      </w:pPr>
      <w:r>
        <w:rPr>
          <w:rFonts w:ascii="Times New Roman" w:hAnsi="Times New Roman" w:cs="Times New Roman"/>
          <w:b w:val="0"/>
          <w:i w:val="0"/>
          <w:sz w:val="22"/>
        </w:rPr>
        <w:t>- become a central bank;</w:t>
      </w:r>
    </w:p>
    <w:p>
      <w:pPr>
        <w:spacing w:after="80" w:line="293" w:lineRule="auto"/>
        <w:ind w:left="283"/>
        <w:jc w:val="left"/>
      </w:pPr>
      <w:r>
        <w:rPr>
          <w:rFonts w:ascii="Times New Roman" w:hAnsi="Times New Roman" w:cs="Times New Roman"/>
          <w:b w:val="0"/>
          <w:i w:val="0"/>
          <w:sz w:val="22"/>
        </w:rPr>
        <w:t>- unilaterally execute regulated payment activity where authorization is required.</w:t>
      </w:r>
    </w:p>
    <w:p>
      <w:pPr>
        <w:spacing w:after="80" w:line="293" w:lineRule="auto"/>
        <w:jc w:val="left"/>
      </w:pPr>
      <w:r>
        <w:rPr>
          <w:rFonts w:ascii="Times New Roman" w:hAnsi="Times New Roman" w:cs="Times New Roman"/>
          <w:b w:val="0"/>
          <w:i w:val="0"/>
          <w:sz w:val="22"/>
        </w:rPr>
        <w:t>Actual functionality remains subject to applicable law and regulatory classification.</w:t>
      </w:r>
    </w:p>
    <w:p>
      <w:pPr>
        <w:keepNext/>
        <w:spacing w:before="240" w:after="100"/>
        <w:outlineLvl w:val="1"/>
      </w:pPr>
      <w:r>
        <w:rPr>
          <w:rFonts w:ascii="Arial" w:hAnsi="Arial" w:cs="Arial"/>
          <w:b/>
          <w:i w:val="0"/>
          <w:color w:val="2E528F"/>
          <w:sz w:val="26"/>
        </w:rPr>
        <w:t>19.102 Bank Institutional Identity</w:t>
      </w:r>
    </w:p>
    <w:p>
      <w:pPr>
        <w:spacing w:after="80" w:line="293" w:lineRule="auto"/>
        <w:jc w:val="left"/>
      </w:pPr>
      <w:r>
        <w:rPr>
          <w:rFonts w:ascii="Times New Roman" w:hAnsi="Times New Roman" w:cs="Times New Roman"/>
          <w:b w:val="0"/>
          <w:i w:val="0"/>
          <w:sz w:val="22"/>
        </w:rPr>
        <w:t>Institutional identity is modeled as:</w:t>
      </w:r>
    </w:p>
    <w:p>
      <w:pPr>
        <w:spacing w:after="0" w:before="0" w:line="240" w:lineRule="auto"/>
        <w:ind w:left="57"/>
        <w:jc w:val="left"/>
        <w:shd w:val="clear" w:fill="F2F2F2"/>
      </w:pPr>
      <w:r>
        <w:rPr>
          <w:rFonts w:ascii="Consolas" w:hAnsi="Consolas" w:cs="Consolas"/>
          <w:b w:val="0"/>
          <w:i w:val="0"/>
          <w:sz w:val="15"/>
        </w:rPr>
        <w:t>ENTITY → INSTITUTION TYPE → REGULATORY STATUS → JURISDICTION → CAPABILITIES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p>
    <w:p>
      <w:pPr>
        <w:spacing w:after="80" w:line="293" w:lineRule="auto"/>
        <w:ind w:left="283"/>
        <w:jc w:val="left"/>
      </w:pPr>
      <w:r>
        <w:rPr>
          <w:rFonts w:ascii="Times New Roman" w:hAnsi="Times New Roman" w:cs="Times New Roman"/>
          <w:b w:val="0"/>
          <w:i w:val="0"/>
          <w:sz w:val="22"/>
        </w:rPr>
        <w:t>- Institution Type = BANK</w:t>
      </w:r>
    </w:p>
    <w:p>
      <w:pPr>
        <w:spacing w:after="80" w:line="293" w:lineRule="auto"/>
        <w:ind w:left="283"/>
        <w:jc w:val="left"/>
      </w:pPr>
      <w:r>
        <w:rPr>
          <w:rFonts w:ascii="Times New Roman" w:hAnsi="Times New Roman" w:cs="Times New Roman"/>
          <w:b w:val="0"/>
          <w:i w:val="0"/>
          <w:sz w:val="22"/>
        </w:rPr>
        <w:t>- Regulatory Status = APPROPRIATELY AUTHORIZED</w:t>
      </w:r>
    </w:p>
    <w:p>
      <w:pPr>
        <w:spacing w:after="80" w:line="293" w:lineRule="auto"/>
        <w:ind w:left="283"/>
        <w:jc w:val="left"/>
      </w:pPr>
      <w:r>
        <w:rPr>
          <w:rFonts w:ascii="Times New Roman" w:hAnsi="Times New Roman" w:cs="Times New Roman"/>
          <w:b w:val="0"/>
          <w:i w:val="0"/>
          <w:sz w:val="22"/>
        </w:rPr>
        <w:t>- Jurisdiction = EGYPT</w:t>
      </w:r>
    </w:p>
    <w:p>
      <w:pPr>
        <w:spacing w:after="80" w:line="293" w:lineRule="auto"/>
        <w:ind w:left="283"/>
        <w:jc w:val="left"/>
      </w:pPr>
      <w:r>
        <w:rPr>
          <w:rFonts w:ascii="Times New Roman" w:hAnsi="Times New Roman" w:cs="Times New Roman"/>
          <w:b w:val="0"/>
          <w:i w:val="0"/>
          <w:sz w:val="22"/>
        </w:rPr>
        <w:t>- Capabilities = PAYMENT, SETTLEMENT, FX, TRADE_SERVICES</w:t>
      </w:r>
    </w:p>
    <w:p>
      <w:pPr>
        <w:spacing w:after="80" w:line="293" w:lineRule="auto"/>
        <w:jc w:val="left"/>
      </w:pPr>
      <w:r>
        <w:rPr>
          <w:rFonts w:ascii="Times New Roman" w:hAnsi="Times New Roman" w:cs="Times New Roman"/>
          <w:b w:val="0"/>
          <w:i w:val="0"/>
          <w:sz w:val="22"/>
        </w:rPr>
        <w:t>The actual regulatory status must be established from appropriate authoritative sources. SGTX must not invent regulatory classifications.</w:t>
      </w:r>
    </w:p>
    <w:p>
      <w:pPr>
        <w:keepNext/>
        <w:spacing w:before="240" w:after="100"/>
        <w:outlineLvl w:val="1"/>
      </w:pPr>
      <w:r>
        <w:rPr>
          <w:rFonts w:ascii="Arial" w:hAnsi="Arial" w:cs="Arial"/>
          <w:b/>
          <w:i w:val="0"/>
          <w:color w:val="2E528F"/>
          <w:sz w:val="26"/>
        </w:rPr>
        <w:t>19.103 Regulatory Status Verification</w:t>
      </w:r>
    </w:p>
    <w:p>
      <w:pPr>
        <w:spacing w:after="80" w:line="293" w:lineRule="auto"/>
        <w:jc w:val="left"/>
      </w:pPr>
      <w:r>
        <w:rPr>
          <w:rFonts w:ascii="Times New Roman" w:hAnsi="Times New Roman" w:cs="Times New Roman"/>
          <w:b w:val="0"/>
          <w:i w:val="0"/>
          <w:sz w:val="22"/>
        </w:rPr>
        <w:t>For institutional onboarding:</w:t>
      </w:r>
    </w:p>
    <w:p>
      <w:pPr>
        <w:spacing w:after="0" w:before="0" w:line="240" w:lineRule="auto"/>
        <w:ind w:left="57"/>
        <w:jc w:val="left"/>
        <w:shd w:val="clear" w:fill="F2F2F2"/>
      </w:pPr>
      <w:r>
        <w:rPr>
          <w:rFonts w:ascii="Consolas" w:hAnsi="Consolas" w:cs="Consolas"/>
          <w:b w:val="0"/>
          <w:i w:val="0"/>
          <w:sz w:val="15"/>
        </w:rPr>
        <w:t>Institution → Regulatory Authority → Authorization Status Verification →</w:t>
      </w:r>
    </w:p>
    <w:p>
      <w:pPr>
        <w:spacing w:after="0" w:before="0" w:line="240" w:lineRule="auto"/>
        <w:ind w:left="57"/>
        <w:jc w:val="left"/>
        <w:shd w:val="clear" w:fill="F2F2F2"/>
      </w:pPr>
      <w:r>
        <w:rPr>
          <w:rFonts w:ascii="Consolas" w:hAnsi="Consolas" w:cs="Consolas"/>
          <w:b w:val="0"/>
          <w:i w:val="0"/>
          <w:sz w:val="15"/>
        </w:rPr>
        <w:t>Capability Verification → Jurisdiction Profile → SGTX Enablement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 Egypt, the CBE maintains licensing and oversight frameworks for payment system operators and payment service providers under the Central Bank and Banking System Law No. 194 of 2020.</w:t>
      </w:r>
    </w:p>
    <w:p>
      <w:pPr>
        <w:keepNext/>
        <w:spacing w:before="240" w:after="100"/>
        <w:outlineLvl w:val="1"/>
      </w:pPr>
      <w:r>
        <w:rPr>
          <w:rFonts w:ascii="Arial" w:hAnsi="Arial" w:cs="Arial"/>
          <w:b/>
          <w:i w:val="0"/>
          <w:color w:val="2E528F"/>
          <w:sz w:val="26"/>
        </w:rPr>
        <w:t>19.104 Cross-Border Reality</w:t>
      </w:r>
    </w:p>
    <w:p>
      <w:pPr>
        <w:spacing w:after="80" w:line="293" w:lineRule="auto"/>
        <w:jc w:val="left"/>
      </w:pPr>
      <w:r>
        <w:rPr>
          <w:rFonts w:ascii="Times New Roman" w:hAnsi="Times New Roman" w:cs="Times New Roman"/>
          <w:b w:val="0"/>
          <w:i w:val="0"/>
          <w:sz w:val="22"/>
        </w:rPr>
        <w:t>SGTX country/jurisdiction adapters cover:</w:t>
      </w:r>
    </w:p>
    <w:p>
      <w:pPr>
        <w:spacing w:after="80" w:line="293" w:lineRule="auto"/>
        <w:ind w:left="283"/>
        <w:jc w:val="left"/>
      </w:pPr>
      <w:r>
        <w:rPr>
          <w:rFonts w:ascii="Times New Roman" w:hAnsi="Times New Roman" w:cs="Times New Roman"/>
          <w:b w:val="0"/>
          <w:i w:val="0"/>
          <w:sz w:val="22"/>
        </w:rPr>
        <w:t>- identity/KYB (Know Your Business);</w:t>
      </w:r>
    </w:p>
    <w:p>
      <w:pPr>
        <w:spacing w:after="80" w:line="293" w:lineRule="auto"/>
        <w:ind w:left="283"/>
        <w:jc w:val="left"/>
      </w:pPr>
      <w:r>
        <w:rPr>
          <w:rFonts w:ascii="Times New Roman" w:hAnsi="Times New Roman" w:cs="Times New Roman"/>
          <w:b w:val="0"/>
          <w:i w:val="0"/>
          <w:sz w:val="22"/>
        </w:rPr>
        <w:t>- tax;</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regulatory authorities;</w:t>
      </w:r>
    </w:p>
    <w:p>
      <w:pPr>
        <w:spacing w:after="80" w:line="293" w:lineRule="auto"/>
        <w:ind w:left="283"/>
        <w:jc w:val="left"/>
      </w:pPr>
      <w:r>
        <w:rPr>
          <w:rFonts w:ascii="Times New Roman" w:hAnsi="Times New Roman" w:cs="Times New Roman"/>
          <w:b w:val="0"/>
          <w:i w:val="0"/>
          <w:sz w:val="22"/>
        </w:rPr>
        <w:t>- trade documents;</w:t>
      </w:r>
    </w:p>
    <w:p>
      <w:pPr>
        <w:spacing w:after="80" w:line="293" w:lineRule="auto"/>
        <w:ind w:left="283"/>
        <w:jc w:val="left"/>
      </w:pPr>
      <w:r>
        <w:rPr>
          <w:rFonts w:ascii="Times New Roman" w:hAnsi="Times New Roman" w:cs="Times New Roman"/>
          <w:b w:val="0"/>
          <w:i w:val="0"/>
          <w:sz w:val="22"/>
        </w:rPr>
        <w:t>- logistics;</w:t>
      </w:r>
    </w:p>
    <w:p>
      <w:pPr>
        <w:spacing w:after="80" w:line="293" w:lineRule="auto"/>
        <w:ind w:left="283"/>
        <w:jc w:val="left"/>
      </w:pPr>
      <w:r>
        <w:rPr>
          <w:rFonts w:ascii="Times New Roman" w:hAnsi="Times New Roman" w:cs="Times New Roman"/>
          <w:b w:val="0"/>
          <w:i w:val="0"/>
          <w:sz w:val="22"/>
        </w:rPr>
        <w:t>- banking/payment status;</w:t>
      </w:r>
    </w:p>
    <w:p>
      <w:pPr>
        <w:spacing w:after="80" w:line="293" w:lineRule="auto"/>
        <w:ind w:left="283"/>
        <w:jc w:val="left"/>
      </w:pPr>
      <w:r>
        <w:rPr>
          <w:rFonts w:ascii="Times New Roman" w:hAnsi="Times New Roman" w:cs="Times New Roman"/>
          <w:b w:val="0"/>
          <w:i w:val="0"/>
          <w:sz w:val="22"/>
        </w:rPr>
        <w:t>- FX;</w:t>
      </w:r>
    </w:p>
    <w:p>
      <w:pPr>
        <w:spacing w:after="80" w:line="293" w:lineRule="auto"/>
        <w:ind w:left="283"/>
        <w:jc w:val="left"/>
      </w:pPr>
      <w:r>
        <w:rPr>
          <w:rFonts w:ascii="Times New Roman" w:hAnsi="Times New Roman" w:cs="Times New Roman"/>
          <w:b w:val="0"/>
          <w:i w:val="0"/>
          <w:sz w:val="22"/>
        </w:rPr>
        <w:t>- compliance;</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document recognition;</w:t>
      </w:r>
    </w:p>
    <w:p>
      <w:pPr>
        <w:spacing w:after="80" w:line="293" w:lineRule="auto"/>
        <w:ind w:left="283"/>
        <w:jc w:val="left"/>
      </w:pPr>
      <w:r>
        <w:rPr>
          <w:rFonts w:ascii="Times New Roman" w:hAnsi="Times New Roman" w:cs="Times New Roman"/>
          <w:b w:val="0"/>
          <w:i w:val="0"/>
          <w:sz w:val="22"/>
        </w:rPr>
        <w:t>- evidence requirements;</w:t>
      </w:r>
    </w:p>
    <w:p>
      <w:pPr>
        <w:spacing w:after="80" w:line="293" w:lineRule="auto"/>
        <w:ind w:left="283"/>
        <w:jc w:val="left"/>
      </w:pPr>
      <w:r>
        <w:rPr>
          <w:rFonts w:ascii="Times New Roman" w:hAnsi="Times New Roman" w:cs="Times New Roman"/>
          <w:b w:val="0"/>
          <w:i w:val="0"/>
          <w:sz w:val="22"/>
        </w:rPr>
        <w:t>- authority mappings;</w:t>
      </w:r>
    </w:p>
    <w:p>
      <w:pPr>
        <w:spacing w:after="80" w:line="293" w:lineRule="auto"/>
        <w:ind w:left="283"/>
        <w:jc w:val="left"/>
      </w:pPr>
      <w:r>
        <w:rPr>
          <w:rFonts w:ascii="Times New Roman" w:hAnsi="Times New Roman" w:cs="Times New Roman"/>
          <w:b w:val="0"/>
          <w:i w:val="0"/>
          <w:sz w:val="22"/>
        </w:rPr>
        <w:t>- cross-border rules;</w:t>
      </w:r>
    </w:p>
    <w:p>
      <w:pPr>
        <w:spacing w:after="80" w:line="293" w:lineRule="auto"/>
        <w:ind w:left="283"/>
        <w:jc w:val="left"/>
      </w:pPr>
      <w:r>
        <w:rPr>
          <w:rFonts w:ascii="Times New Roman" w:hAnsi="Times New Roman" w:cs="Times New Roman"/>
          <w:b w:val="0"/>
          <w:i w:val="0"/>
          <w:sz w:val="22"/>
        </w:rPr>
        <w:t>- regulatory classification;</w:t>
      </w:r>
    </w:p>
    <w:p>
      <w:pPr>
        <w:spacing w:after="80" w:line="293" w:lineRule="auto"/>
        <w:ind w:left="283"/>
        <w:jc w:val="left"/>
      </w:pPr>
      <w:r>
        <w:rPr>
          <w:rFonts w:ascii="Times New Roman" w:hAnsi="Times New Roman" w:cs="Times New Roman"/>
          <w:b w:val="0"/>
          <w:i w:val="0"/>
          <w:sz w:val="22"/>
        </w:rPr>
        <w:t>- permitted operating model.</w:t>
      </w:r>
    </w:p>
    <w:p>
      <w:pPr>
        <w:keepNext/>
        <w:spacing w:before="240" w:after="100"/>
        <w:outlineLvl w:val="1"/>
      </w:pPr>
      <w:r>
        <w:rPr>
          <w:rFonts w:ascii="Arial" w:hAnsi="Arial" w:cs="Arial"/>
          <w:b/>
          <w:i w:val="0"/>
          <w:color w:val="2E528F"/>
          <w:sz w:val="26"/>
        </w:rPr>
        <w:t>19.105 Country Capability Adapters</w:t>
      </w:r>
    </w:p>
    <w:p>
      <w:pPr>
        <w:spacing w:after="80" w:line="293" w:lineRule="auto"/>
        <w:jc w:val="left"/>
      </w:pPr>
      <w:r>
        <w:rPr>
          <w:rFonts w:ascii="Times New Roman" w:hAnsi="Times New Roman" w:cs="Times New Roman"/>
          <w:b w:val="0"/>
          <w:i w:val="0"/>
          <w:sz w:val="22"/>
        </w:rPr>
        <w:t>A country adapter is not merely `Country = Egypt`. It is:</w:t>
      </w:r>
    </w:p>
    <w:p>
      <w:pPr>
        <w:spacing w:after="0" w:before="0" w:line="240" w:lineRule="auto"/>
        <w:ind w:left="57"/>
        <w:jc w:val="left"/>
        <w:shd w:val="clear" w:fill="F2F2F2"/>
      </w:pPr>
      <w:r>
        <w:rPr>
          <w:rFonts w:ascii="Consolas" w:hAnsi="Consolas" w:cs="Consolas"/>
          <w:b w:val="0"/>
          <w:i w:val="0"/>
          <w:sz w:val="15"/>
        </w:rPr>
        <w:t>COUNTRY PROFILE</w:t>
      </w:r>
    </w:p>
    <w:p>
      <w:pPr>
        <w:spacing w:after="0" w:before="0" w:line="240" w:lineRule="auto"/>
        <w:ind w:left="57"/>
        <w:jc w:val="left"/>
        <w:shd w:val="clear" w:fill="F2F2F2"/>
      </w:pPr>
      <w:r>
        <w:rPr>
          <w:rFonts w:ascii="Consolas" w:hAnsi="Consolas" w:cs="Consolas"/>
          <w:b w:val="0"/>
          <w:i w:val="0"/>
          <w:sz w:val="15"/>
        </w:rPr>
        <w:t>+ JURISDICTION PROFILE</w:t>
      </w:r>
    </w:p>
    <w:p>
      <w:pPr>
        <w:spacing w:after="0" w:before="0" w:line="240" w:lineRule="auto"/>
        <w:ind w:left="57"/>
        <w:jc w:val="left"/>
        <w:shd w:val="clear" w:fill="F2F2F2"/>
      </w:pPr>
      <w:r>
        <w:rPr>
          <w:rFonts w:ascii="Consolas" w:hAnsi="Consolas" w:cs="Consolas"/>
          <w:b w:val="0"/>
          <w:i w:val="0"/>
          <w:sz w:val="15"/>
        </w:rPr>
        <w:t>+ CAPABILITY MATRIX</w:t>
      </w:r>
    </w:p>
    <w:p>
      <w:pPr>
        <w:spacing w:after="0" w:before="0" w:line="240" w:lineRule="auto"/>
        <w:ind w:left="57"/>
        <w:jc w:val="left"/>
        <w:shd w:val="clear" w:fill="F2F2F2"/>
      </w:pPr>
      <w:r>
        <w:rPr>
          <w:rFonts w:ascii="Consolas" w:hAnsi="Consolas" w:cs="Consolas"/>
          <w:b w:val="0"/>
          <w:i w:val="0"/>
          <w:sz w:val="15"/>
        </w:rPr>
        <w:t>+ AUTHORITY MAP</w:t>
      </w:r>
    </w:p>
    <w:p>
      <w:pPr>
        <w:spacing w:after="0" w:before="0" w:line="240" w:lineRule="auto"/>
        <w:ind w:left="57"/>
        <w:jc w:val="left"/>
        <w:shd w:val="clear" w:fill="F2F2F2"/>
      </w:pPr>
      <w:r>
        <w:rPr>
          <w:rFonts w:ascii="Consolas" w:hAnsi="Consolas" w:cs="Consolas"/>
          <w:b w:val="0"/>
          <w:i w:val="0"/>
          <w:sz w:val="15"/>
        </w:rPr>
        <w:t>+ EVIDENCE PROFILE</w:t>
      </w:r>
    </w:p>
    <w:p>
      <w:pPr>
        <w:spacing w:after="0" w:before="0" w:line="240" w:lineRule="auto"/>
        <w:ind w:left="57"/>
        <w:jc w:val="left"/>
        <w:shd w:val="clear" w:fill="F2F2F2"/>
      </w:pPr>
      <w:r>
        <w:rPr>
          <w:rFonts w:ascii="Consolas" w:hAnsi="Consolas" w:cs="Consolas"/>
          <w:b w:val="0"/>
          <w:i w:val="0"/>
          <w:sz w:val="15"/>
        </w:rPr>
        <w:t>+ PAYMENT RAIL PROFILE</w:t>
      </w:r>
    </w:p>
    <w:p>
      <w:pPr>
        <w:spacing w:after="0" w:before="0" w:line="240" w:lineRule="auto"/>
        <w:ind w:left="57"/>
        <w:jc w:val="left"/>
        <w:shd w:val="clear" w:fill="F2F2F2"/>
      </w:pPr>
      <w:r>
        <w:rPr>
          <w:rFonts w:ascii="Consolas" w:hAnsi="Consolas" w:cs="Consolas"/>
          <w:b w:val="0"/>
          <w:i w:val="0"/>
          <w:sz w:val="15"/>
        </w:rPr>
        <w:t>+ DOCUMENT PROFILE</w:t>
      </w:r>
    </w:p>
    <w:p>
      <w:pPr>
        <w:spacing w:after="0" w:before="0" w:line="240" w:lineRule="auto"/>
        <w:ind w:left="57"/>
        <w:jc w:val="left"/>
        <w:shd w:val="clear" w:fill="F2F2F2"/>
      </w:pPr>
      <w:r>
        <w:rPr>
          <w:rFonts w:ascii="Consolas" w:hAnsi="Consolas" w:cs="Consolas"/>
          <w:b w:val="0"/>
          <w:i w:val="0"/>
          <w:sz w:val="15"/>
        </w:rPr>
        <w:t>+ CUSTOMS PROFILE</w:t>
      </w:r>
    </w:p>
    <w:p>
      <w:pPr>
        <w:spacing w:after="0" w:before="0" w:line="240" w:lineRule="auto"/>
        <w:ind w:left="57"/>
        <w:jc w:val="left"/>
        <w:shd w:val="clear" w:fill="F2F2F2"/>
      </w:pPr>
      <w:r>
        <w:rPr>
          <w:rFonts w:ascii="Consolas" w:hAnsi="Consolas" w:cs="Consolas"/>
          <w:b w:val="0"/>
          <w:i w:val="0"/>
          <w:sz w:val="15"/>
        </w:rPr>
        <w:t>+ REGULATORY PROFILE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19.106 Bank-Side / Payment Integration Standard</w:t>
      </w:r>
    </w:p>
    <w:p>
      <w:pPr>
        <w:spacing w:after="80" w:line="293" w:lineRule="auto"/>
        <w:jc w:val="left"/>
      </w:pPr>
      <w:r>
        <w:rPr>
          <w:rFonts w:ascii="Times New Roman" w:hAnsi="Times New Roman" w:cs="Times New Roman"/>
          <w:b w:val="0"/>
          <w:i w:val="0"/>
          <w:sz w:val="22"/>
        </w:rPr>
        <w:t>SGTX supports a bank-approved integration spectrum:</w:t>
      </w:r>
    </w:p>
    <w:p>
      <w:pPr>
        <w:spacing w:after="80" w:line="293" w:lineRule="auto"/>
        <w:ind w:left="283"/>
        <w:jc w:val="left"/>
      </w:pPr>
      <w:r>
        <w:rPr>
          <w:rFonts w:ascii="Times New Roman" w:hAnsi="Times New Roman" w:cs="Times New Roman"/>
          <w:b w:val="0"/>
          <w:i w:val="0"/>
          <w:sz w:val="22"/>
        </w:rPr>
        <w:t>- ISO 20022</w:t>
      </w:r>
    </w:p>
    <w:p>
      <w:pPr>
        <w:spacing w:after="80" w:line="293" w:lineRule="auto"/>
        <w:ind w:left="283"/>
        <w:jc w:val="left"/>
      </w:pPr>
      <w:r>
        <w:rPr>
          <w:rFonts w:ascii="Times New Roman" w:hAnsi="Times New Roman" w:cs="Times New Roman"/>
          <w:b w:val="0"/>
          <w:i w:val="0"/>
          <w:sz w:val="22"/>
        </w:rPr>
        <w:t>- Bank APIs</w:t>
      </w:r>
    </w:p>
    <w:p>
      <w:pPr>
        <w:spacing w:after="80" w:line="293" w:lineRule="auto"/>
        <w:ind w:left="283"/>
        <w:jc w:val="left"/>
      </w:pPr>
      <w:r>
        <w:rPr>
          <w:rFonts w:ascii="Times New Roman" w:hAnsi="Times New Roman" w:cs="Times New Roman"/>
          <w:b w:val="0"/>
          <w:i w:val="0"/>
          <w:sz w:val="22"/>
        </w:rPr>
        <w:t>- Host-to-Host</w:t>
      </w:r>
    </w:p>
    <w:p>
      <w:pPr>
        <w:spacing w:after="80" w:line="293" w:lineRule="auto"/>
        <w:ind w:left="283"/>
        <w:jc w:val="left"/>
      </w:pPr>
      <w:r>
        <w:rPr>
          <w:rFonts w:ascii="Times New Roman" w:hAnsi="Times New Roman" w:cs="Times New Roman"/>
          <w:b w:val="0"/>
          <w:i w:val="0"/>
          <w:sz w:val="22"/>
        </w:rPr>
        <w:t>- SFTP</w:t>
      </w:r>
    </w:p>
    <w:p>
      <w:pPr>
        <w:spacing w:after="80" w:line="293" w:lineRule="auto"/>
        <w:ind w:left="283"/>
        <w:jc w:val="left"/>
      </w:pPr>
      <w:r>
        <w:rPr>
          <w:rFonts w:ascii="Times New Roman" w:hAnsi="Times New Roman" w:cs="Times New Roman"/>
          <w:b w:val="0"/>
          <w:i w:val="0"/>
          <w:sz w:val="22"/>
        </w:rPr>
        <w:t>- Treasury Connectivity</w:t>
      </w:r>
    </w:p>
    <w:p>
      <w:pPr>
        <w:spacing w:after="80" w:line="293" w:lineRule="auto"/>
        <w:ind w:left="283"/>
        <w:jc w:val="left"/>
      </w:pPr>
      <w:r>
        <w:rPr>
          <w:rFonts w:ascii="Times New Roman" w:hAnsi="Times New Roman" w:cs="Times New Roman"/>
          <w:b w:val="0"/>
          <w:i w:val="0"/>
          <w:sz w:val="22"/>
        </w:rPr>
        <w:t>- ERP Connectivity</w:t>
      </w:r>
    </w:p>
    <w:p>
      <w:pPr>
        <w:spacing w:after="80" w:line="293" w:lineRule="auto"/>
        <w:ind w:left="283"/>
        <w:jc w:val="left"/>
      </w:pPr>
      <w:r>
        <w:rPr>
          <w:rFonts w:ascii="Times New Roman" w:hAnsi="Times New Roman" w:cs="Times New Roman"/>
          <w:b w:val="0"/>
          <w:i w:val="0"/>
          <w:sz w:val="22"/>
        </w:rPr>
        <w:t>- Other Approved Institutional Interfaces</w:t>
      </w:r>
    </w:p>
    <w:p>
      <w:pPr>
        <w:spacing w:after="80" w:line="293" w:lineRule="auto"/>
        <w:jc w:val="left"/>
      </w:pPr>
      <w:r>
        <w:rPr>
          <w:rFonts w:ascii="Times New Roman" w:hAnsi="Times New Roman" w:cs="Times New Roman"/>
          <w:b w:val="0"/>
          <w:i w:val="0"/>
          <w:sz w:val="22"/>
        </w:rPr>
        <w:t>The architecture does not make one transport mandatory for all institutions.</w:t>
      </w:r>
    </w:p>
    <w:p>
      <w:pPr>
        <w:keepNext/>
        <w:spacing w:before="240" w:after="100"/>
        <w:outlineLvl w:val="1"/>
      </w:pPr>
      <w:r>
        <w:rPr>
          <w:rFonts w:ascii="Arial" w:hAnsi="Arial" w:cs="Arial"/>
          <w:b/>
          <w:i w:val="0"/>
          <w:color w:val="2E528F"/>
          <w:sz w:val="26"/>
        </w:rPr>
        <w:t>19.107 Marketplace / ERP Integration</w:t>
      </w:r>
    </w:p>
    <w:p>
      <w:pPr>
        <w:spacing w:after="80" w:line="293" w:lineRule="auto"/>
        <w:jc w:val="left"/>
      </w:pPr>
      <w:r>
        <w:rPr>
          <w:rFonts w:ascii="Times New Roman" w:hAnsi="Times New Roman" w:cs="Times New Roman"/>
          <w:b w:val="0"/>
          <w:i w:val="0"/>
          <w:sz w:val="22"/>
        </w:rPr>
        <w:t>Marketplaces and ERPs do not have to understand the entire SGTX internal architecture. They consume stable canonical outputs such as:</w:t>
      </w:r>
    </w:p>
    <w:p>
      <w:pPr>
        <w:spacing w:after="80" w:line="293" w:lineRule="auto"/>
        <w:ind w:left="283"/>
        <w:jc w:val="left"/>
      </w:pPr>
      <w:r>
        <w:rPr>
          <w:rFonts w:ascii="Times New Roman" w:hAnsi="Times New Roman" w:cs="Times New Roman"/>
          <w:b w:val="0"/>
          <w:i w:val="0"/>
          <w:sz w:val="22"/>
        </w:rPr>
        <w:t>- TRADE_ACCEPTED</w:t>
      </w:r>
    </w:p>
    <w:p>
      <w:pPr>
        <w:spacing w:after="80" w:line="293" w:lineRule="auto"/>
        <w:ind w:left="283"/>
        <w:jc w:val="left"/>
      </w:pPr>
      <w:r>
        <w:rPr>
          <w:rFonts w:ascii="Times New Roman" w:hAnsi="Times New Roman" w:cs="Times New Roman"/>
          <w:b w:val="0"/>
          <w:i w:val="0"/>
          <w:sz w:val="22"/>
        </w:rPr>
        <w:t>- EXECUTION_STARTED</w:t>
      </w:r>
    </w:p>
    <w:p>
      <w:pPr>
        <w:spacing w:after="80" w:line="293" w:lineRule="auto"/>
        <w:ind w:left="283"/>
        <w:jc w:val="left"/>
      </w:pPr>
      <w:r>
        <w:rPr>
          <w:rFonts w:ascii="Times New Roman" w:hAnsi="Times New Roman" w:cs="Times New Roman"/>
          <w:b w:val="0"/>
          <w:i w:val="0"/>
          <w:sz w:val="22"/>
        </w:rPr>
        <w:t>- OBLIGATION_COMPLETED</w:t>
      </w:r>
    </w:p>
    <w:p>
      <w:pPr>
        <w:spacing w:after="80" w:line="293" w:lineRule="auto"/>
        <w:ind w:left="283"/>
        <w:jc w:val="left"/>
      </w:pPr>
      <w:r>
        <w:rPr>
          <w:rFonts w:ascii="Times New Roman" w:hAnsi="Times New Roman" w:cs="Times New Roman"/>
          <w:b w:val="0"/>
          <w:i w:val="0"/>
          <w:sz w:val="22"/>
        </w:rPr>
        <w:t>- SETTLEMENT_CONFIRMED</w:t>
      </w:r>
    </w:p>
    <w:p>
      <w:pPr>
        <w:spacing w:after="80" w:line="293" w:lineRule="auto"/>
        <w:ind w:left="283"/>
        <w:jc w:val="left"/>
      </w:pPr>
      <w:r>
        <w:rPr>
          <w:rFonts w:ascii="Times New Roman" w:hAnsi="Times New Roman" w:cs="Times New Roman"/>
          <w:b w:val="0"/>
          <w:i w:val="0"/>
          <w:sz w:val="22"/>
        </w:rPr>
        <w:t>- SETTLEMENT_PARTIALLY_COMPLETED</w:t>
      </w:r>
    </w:p>
    <w:p>
      <w:pPr>
        <w:spacing w:after="80" w:line="293" w:lineRule="auto"/>
        <w:ind w:left="283"/>
        <w:jc w:val="left"/>
      </w:pPr>
      <w:r>
        <w:rPr>
          <w:rFonts w:ascii="Times New Roman" w:hAnsi="Times New Roman" w:cs="Times New Roman"/>
          <w:b w:val="0"/>
          <w:i w:val="0"/>
          <w:sz w:val="22"/>
        </w:rPr>
        <w:t>- EXCEPTION_OPENED</w:t>
      </w:r>
    </w:p>
    <w:p>
      <w:pPr>
        <w:spacing w:after="80" w:line="293" w:lineRule="auto"/>
        <w:ind w:left="283"/>
        <w:jc w:val="left"/>
      </w:pPr>
      <w:r>
        <w:rPr>
          <w:rFonts w:ascii="Times New Roman" w:hAnsi="Times New Roman" w:cs="Times New Roman"/>
          <w:b w:val="0"/>
          <w:i w:val="0"/>
          <w:sz w:val="22"/>
        </w:rPr>
        <w:t>- RECONCILIATION_REQUIRED</w:t>
      </w:r>
    </w:p>
    <w:p>
      <w:pPr>
        <w:spacing w:after="80" w:line="293" w:lineRule="auto"/>
        <w:ind w:left="283"/>
        <w:jc w:val="left"/>
      </w:pPr>
      <w:r>
        <w:rPr>
          <w:rFonts w:ascii="Times New Roman" w:hAnsi="Times New Roman" w:cs="Times New Roman"/>
          <w:b w:val="0"/>
          <w:i w:val="0"/>
          <w:sz w:val="22"/>
        </w:rPr>
        <w:t>- DISPUTE_OPENED</w:t>
      </w:r>
    </w:p>
    <w:p>
      <w:pPr>
        <w:spacing w:after="80" w:line="293" w:lineRule="auto"/>
        <w:ind w:left="283"/>
        <w:jc w:val="left"/>
      </w:pPr>
      <w:r>
        <w:rPr>
          <w:rFonts w:ascii="Times New Roman" w:hAnsi="Times New Roman" w:cs="Times New Roman"/>
          <w:b w:val="0"/>
          <w:i w:val="0"/>
          <w:sz w:val="22"/>
        </w:rPr>
        <w:t>- TRANSACTION_CLOSED</w:t>
      </w:r>
    </w:p>
    <w:p>
      <w:pPr>
        <w:spacing w:after="80" w:line="293" w:lineRule="auto"/>
        <w:ind w:left="283"/>
        <w:jc w:val="left"/>
      </w:pPr>
      <w:r>
        <w:rPr>
          <w:rFonts w:ascii="Times New Roman" w:hAnsi="Times New Roman" w:cs="Times New Roman"/>
          <w:b w:val="0"/>
          <w:i w:val="0"/>
          <w:sz w:val="22"/>
        </w:rPr>
        <w:t>- POST_CLOSURE_EVENT</w:t>
      </w:r>
    </w:p>
    <w:p>
      <w:pPr>
        <w:spacing w:after="80" w:line="293" w:lineRule="auto"/>
        <w:jc w:val="left"/>
      </w:pPr>
      <w:r>
        <w:rPr>
          <w:rFonts w:ascii="Times New Roman" w:hAnsi="Times New Roman" w:cs="Times New Roman"/>
          <w:b w:val="0"/>
          <w:i w:val="0"/>
          <w:sz w:val="22"/>
        </w:rPr>
        <w:t>and machine-readable state queries.</w:t>
      </w:r>
    </w:p>
    <w:p>
      <w:pPr>
        <w:keepNext/>
        <w:spacing w:before="240" w:after="100"/>
        <w:outlineLvl w:val="1"/>
      </w:pPr>
      <w:r>
        <w:rPr>
          <w:rFonts w:ascii="Arial" w:hAnsi="Arial" w:cs="Arial"/>
          <w:b/>
          <w:i w:val="0"/>
          <w:color w:val="2E528F"/>
          <w:sz w:val="26"/>
        </w:rPr>
        <w:t>19.108 ERP / Marketplace Output Model</w:t>
      </w:r>
    </w:p>
    <w:p>
      <w:pPr>
        <w:spacing w:after="80" w:line="293" w:lineRule="auto"/>
        <w:jc w:val="left"/>
      </w:pPr>
      <w:r>
        <w:rPr>
          <w:rFonts w:ascii="Times New Roman" w:hAnsi="Times New Roman" w:cs="Times New Roman"/>
          <w:b w:val="0"/>
          <w:i w:val="0"/>
          <w:sz w:val="22"/>
        </w:rPr>
        <w:t>An external system can request:</w:t>
      </w:r>
    </w:p>
    <w:p>
      <w:pPr>
        <w:spacing w:after="80" w:line="293" w:lineRule="auto"/>
        <w:ind w:left="283"/>
        <w:jc w:val="left"/>
      </w:pPr>
      <w:r>
        <w:rPr>
          <w:rFonts w:ascii="Times New Roman" w:hAnsi="Times New Roman" w:cs="Times New Roman"/>
          <w:b w:val="0"/>
          <w:i w:val="0"/>
          <w:sz w:val="22"/>
        </w:rPr>
        <w:t>- Current Execution Status</w:t>
      </w:r>
    </w:p>
    <w:p>
      <w:pPr>
        <w:spacing w:after="80" w:line="293" w:lineRule="auto"/>
        <w:ind w:left="283"/>
        <w:jc w:val="left"/>
      </w:pPr>
      <w:r>
        <w:rPr>
          <w:rFonts w:ascii="Times New Roman" w:hAnsi="Times New Roman" w:cs="Times New Roman"/>
          <w:b w:val="0"/>
          <w:i w:val="0"/>
          <w:sz w:val="22"/>
        </w:rPr>
        <w:t>- Financial Status</w:t>
      </w:r>
    </w:p>
    <w:p>
      <w:pPr>
        <w:spacing w:after="80" w:line="293" w:lineRule="auto"/>
        <w:ind w:left="283"/>
        <w:jc w:val="left"/>
      </w:pPr>
      <w:r>
        <w:rPr>
          <w:rFonts w:ascii="Times New Roman" w:hAnsi="Times New Roman" w:cs="Times New Roman"/>
          <w:b w:val="0"/>
          <w:i w:val="0"/>
          <w:sz w:val="22"/>
        </w:rPr>
        <w:t>- Exception Status</w:t>
      </w:r>
    </w:p>
    <w:p>
      <w:pPr>
        <w:spacing w:after="80" w:line="293" w:lineRule="auto"/>
        <w:ind w:left="283"/>
        <w:jc w:val="left"/>
      </w:pPr>
      <w:r>
        <w:rPr>
          <w:rFonts w:ascii="Times New Roman" w:hAnsi="Times New Roman" w:cs="Times New Roman"/>
          <w:b w:val="0"/>
          <w:i w:val="0"/>
          <w:sz w:val="22"/>
        </w:rPr>
        <w:t>- Reconciliation Status</w:t>
      </w:r>
    </w:p>
    <w:p>
      <w:pPr>
        <w:spacing w:after="80" w:line="293" w:lineRule="auto"/>
        <w:ind w:left="283"/>
        <w:jc w:val="left"/>
      </w:pPr>
      <w:r>
        <w:rPr>
          <w:rFonts w:ascii="Times New Roman" w:hAnsi="Times New Roman" w:cs="Times New Roman"/>
          <w:b w:val="0"/>
          <w:i w:val="0"/>
          <w:sz w:val="22"/>
        </w:rPr>
        <w:t>- Closure Status</w:t>
      </w:r>
    </w:p>
    <w:p>
      <w:pPr>
        <w:spacing w:after="80" w:line="293" w:lineRule="auto"/>
        <w:ind w:left="283"/>
        <w:jc w:val="left"/>
      </w:pPr>
      <w:r>
        <w:rPr>
          <w:rFonts w:ascii="Times New Roman" w:hAnsi="Times New Roman" w:cs="Times New Roman"/>
          <w:b w:val="0"/>
          <w:i w:val="0"/>
          <w:sz w:val="22"/>
        </w:rPr>
        <w:t>- Exposure Status</w:t>
      </w:r>
    </w:p>
    <w:p>
      <w:pPr>
        <w:spacing w:after="80" w:line="293" w:lineRule="auto"/>
        <w:ind w:left="283"/>
        <w:jc w:val="left"/>
      </w:pPr>
      <w:r>
        <w:rPr>
          <w:rFonts w:ascii="Times New Roman" w:hAnsi="Times New Roman" w:cs="Times New Roman"/>
          <w:b w:val="0"/>
          <w:i w:val="0"/>
          <w:sz w:val="22"/>
        </w:rPr>
        <w:t>- Evidence References</w:t>
      </w:r>
    </w:p>
    <w:p>
      <w:pPr>
        <w:spacing w:after="80" w:line="293" w:lineRule="auto"/>
        <w:ind w:left="283"/>
        <w:jc w:val="left"/>
      </w:pPr>
      <w:r>
        <w:rPr>
          <w:rFonts w:ascii="Times New Roman" w:hAnsi="Times New Roman" w:cs="Times New Roman"/>
          <w:b w:val="0"/>
          <w:i w:val="0"/>
          <w:sz w:val="22"/>
        </w:rPr>
        <w:t>- Proof-of-Execution</w:t>
      </w:r>
    </w:p>
    <w:p>
      <w:pPr>
        <w:spacing w:after="80" w:line="293" w:lineRule="auto"/>
        <w:ind w:left="283"/>
        <w:jc w:val="left"/>
      </w:pPr>
      <w:r>
        <w:rPr>
          <w:rFonts w:ascii="Times New Roman" w:hAnsi="Times New Roman" w:cs="Times New Roman"/>
          <w:b w:val="0"/>
          <w:i w:val="0"/>
          <w:sz w:val="22"/>
        </w:rPr>
        <w:t>- Settlement Certificates</w:t>
      </w:r>
    </w:p>
    <w:p>
      <w:pPr>
        <w:spacing w:after="80" w:line="293" w:lineRule="auto"/>
        <w:jc w:val="left"/>
      </w:pPr>
      <w:r>
        <w:rPr>
          <w:rFonts w:ascii="Times New Roman" w:hAnsi="Times New Roman" w:cs="Times New Roman"/>
          <w:b w:val="0"/>
          <w:i w:val="0"/>
          <w:sz w:val="22"/>
        </w:rPr>
        <w:t>without importing the entire internal event history. Full history remains available through controlled authorized access.</w:t>
      </w:r>
    </w:p>
    <w:p>
      <w:pPr>
        <w:keepNext/>
        <w:spacing w:before="240" w:after="100"/>
        <w:outlineLvl w:val="1"/>
      </w:pPr>
      <w:r>
        <w:rPr>
          <w:rFonts w:ascii="Arial" w:hAnsi="Arial" w:cs="Arial"/>
          <w:b/>
          <w:i w:val="0"/>
          <w:color w:val="2E528F"/>
          <w:sz w:val="26"/>
        </w:rPr>
        <w:t>19.109 Interoperability Event Contract</w:t>
      </w:r>
    </w:p>
    <w:p>
      <w:pPr>
        <w:spacing w:after="80" w:line="293" w:lineRule="auto"/>
        <w:jc w:val="left"/>
      </w:pPr>
      <w:r>
        <w:rPr>
          <w:rFonts w:ascii="Times New Roman" w:hAnsi="Times New Roman" w:cs="Times New Roman"/>
          <w:b w:val="0"/>
          <w:i w:val="0"/>
          <w:sz w:val="22"/>
        </w:rPr>
        <w:t>External systems consume a stable canonical event interface:</w:t>
      </w:r>
    </w:p>
    <w:p>
      <w:pPr>
        <w:spacing w:after="0" w:before="0" w:line="240" w:lineRule="auto"/>
        <w:ind w:left="57"/>
        <w:jc w:val="left"/>
        <w:shd w:val="clear" w:fill="F2F2F2"/>
      </w:pPr>
      <w:r>
        <w:rPr>
          <w:rFonts w:ascii="Consolas" w:hAnsi="Consolas" w:cs="Consolas"/>
          <w:b w:val="0"/>
          <w:i w:val="0"/>
          <w:sz w:val="15"/>
        </w:rPr>
        <w:t>Marketplace / ERP → SGTX Integration API → Canonical Event Contract →</w:t>
      </w:r>
    </w:p>
    <w:p>
      <w:pPr>
        <w:spacing w:after="0" w:before="0" w:line="240" w:lineRule="auto"/>
        <w:ind w:left="57"/>
        <w:jc w:val="left"/>
        <w:shd w:val="clear" w:fill="F2F2F2"/>
      </w:pPr>
      <w:r>
        <w:rPr>
          <w:rFonts w:ascii="Consolas" w:hAnsi="Consolas" w:cs="Consolas"/>
          <w:b w:val="0"/>
          <w:i w:val="0"/>
          <w:sz w:val="15"/>
        </w:rPr>
        <w:t>SGTX → Execution / State / Settlement / Reconciliation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Internal implementation details do not unnecessarily leak into the external contract.</w:t>
      </w:r>
    </w:p>
    <w:p>
      <w:pPr>
        <w:keepNext/>
        <w:spacing w:before="240" w:after="100"/>
        <w:outlineLvl w:val="1"/>
      </w:pPr>
      <w:r>
        <w:rPr>
          <w:rFonts w:ascii="Arial" w:hAnsi="Arial" w:cs="Arial"/>
          <w:b/>
          <w:i w:val="0"/>
          <w:color w:val="2E528F"/>
          <w:sz w:val="26"/>
        </w:rPr>
        <w:t>19.110 Settlement Orchestration Control Plane</w:t>
      </w:r>
    </w:p>
    <w:p>
      <w:pPr>
        <w:spacing w:after="80" w:line="293" w:lineRule="auto"/>
        <w:jc w:val="left"/>
      </w:pPr>
      <w:r>
        <w:rPr>
          <w:rFonts w:ascii="Times New Roman" w:hAnsi="Times New Roman" w:cs="Times New Roman"/>
          <w:b w:val="0"/>
          <w:i w:val="0"/>
          <w:sz w:val="22"/>
        </w:rPr>
        <w:t>The platform formalizes the SGTX Settlement Orchestration Control Plane. This is the logical bridge between the Obligation Graph and the Bank Settlement Gateway. Architecture:</w:t>
      </w:r>
    </w:p>
    <w:p>
      <w:pPr>
        <w:spacing w:after="0" w:before="0" w:line="240" w:lineRule="auto"/>
        <w:ind w:left="57"/>
        <w:jc w:val="left"/>
        <w:shd w:val="clear" w:fill="F2F2F2"/>
      </w:pPr>
      <w:r>
        <w:rPr>
          <w:rFonts w:ascii="Consolas" w:hAnsi="Consolas" w:cs="Consolas"/>
          <w:b w:val="0"/>
          <w:i w:val="0"/>
          <w:sz w:val="15"/>
        </w:rPr>
        <w:t>Contract / Obligation Graph → Settlement Orchestration → Multi-Leg Settlement Instruction →</w:t>
      </w:r>
    </w:p>
    <w:p>
      <w:pPr>
        <w:spacing w:after="0" w:before="0" w:line="240" w:lineRule="auto"/>
        <w:ind w:left="57"/>
        <w:jc w:val="left"/>
        <w:shd w:val="clear" w:fill="F2F2F2"/>
      </w:pPr>
      <w:r>
        <w:rPr>
          <w:rFonts w:ascii="Consolas" w:hAnsi="Consolas" w:cs="Consolas"/>
          <w:b w:val="0"/>
          <w:i w:val="0"/>
          <w:sz w:val="15"/>
        </w:rPr>
        <w:t>Bank Settlement Gateway → Bank → Financial State → Reconciliation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It does not custody funds.</w:t>
      </w:r>
    </w:p>
    <w:p>
      <w:pPr>
        <w:keepNext/>
        <w:spacing w:before="240" w:after="100"/>
        <w:outlineLvl w:val="1"/>
      </w:pPr>
      <w:r>
        <w:rPr>
          <w:rFonts w:ascii="Arial" w:hAnsi="Arial" w:cs="Arial"/>
          <w:b/>
          <w:i w:val="0"/>
          <w:color w:val="2E528F"/>
          <w:sz w:val="26"/>
        </w:rPr>
        <w:t>19.111 Technology Stack Alignment</w:t>
      </w:r>
    </w:p>
    <w:p>
      <w:pPr>
        <w:spacing w:after="80" w:line="293" w:lineRule="auto"/>
        <w:jc w:val="left"/>
      </w:pPr>
      <w:r>
        <w:rPr>
          <w:rFonts w:ascii="Times New Roman" w:hAnsi="Times New Roman" w:cs="Times New Roman"/>
          <w:b w:val="0"/>
          <w:i w:val="0"/>
          <w:sz w:val="22"/>
        </w:rPr>
        <w:t>The architecture aligns with the platform technology stack.</w:t>
      </w:r>
    </w:p>
    <w:p>
      <w:pPr>
        <w:spacing w:after="80" w:line="293" w:lineRule="auto"/>
        <w:jc w:val="left"/>
      </w:pPr>
      <w:r>
        <w:rPr>
          <w:rFonts w:ascii="Times New Roman" w:hAnsi="Times New Roman" w:cs="Times New Roman"/>
          <w:b w:val="0"/>
          <w:i w:val="0"/>
          <w:sz w:val="22"/>
        </w:rPr>
        <w:t>NATS JetStream — used for:</w:t>
      </w:r>
    </w:p>
    <w:p>
      <w:pPr>
        <w:spacing w:after="80" w:line="293" w:lineRule="auto"/>
        <w:ind w:left="283"/>
        <w:jc w:val="left"/>
      </w:pPr>
      <w:r>
        <w:rPr>
          <w:rFonts w:ascii="Times New Roman" w:hAnsi="Times New Roman" w:cs="Times New Roman"/>
          <w:b w:val="0"/>
          <w:i w:val="0"/>
          <w:sz w:val="22"/>
        </w:rPr>
        <w:t>- durable event streams;</w:t>
      </w:r>
    </w:p>
    <w:p>
      <w:pPr>
        <w:spacing w:after="80" w:line="293" w:lineRule="auto"/>
        <w:ind w:left="283"/>
        <w:jc w:val="left"/>
      </w:pPr>
      <w:r>
        <w:rPr>
          <w:rFonts w:ascii="Times New Roman" w:hAnsi="Times New Roman" w:cs="Times New Roman"/>
          <w:b w:val="0"/>
          <w:i w:val="0"/>
          <w:sz w:val="22"/>
        </w:rPr>
        <w:t>- event propagation;</w:t>
      </w:r>
    </w:p>
    <w:p>
      <w:pPr>
        <w:spacing w:after="80" w:line="293" w:lineRule="auto"/>
        <w:ind w:left="283"/>
        <w:jc w:val="left"/>
      </w:pPr>
      <w:r>
        <w:rPr>
          <w:rFonts w:ascii="Times New Roman" w:hAnsi="Times New Roman" w:cs="Times New Roman"/>
          <w:b w:val="0"/>
          <w:i w:val="0"/>
          <w:sz w:val="22"/>
        </w:rPr>
        <w:t>- integration events;</w:t>
      </w:r>
    </w:p>
    <w:p>
      <w:pPr>
        <w:spacing w:after="80" w:line="293" w:lineRule="auto"/>
        <w:ind w:left="283"/>
        <w:jc w:val="left"/>
      </w:pPr>
      <w:r>
        <w:rPr>
          <w:rFonts w:ascii="Times New Roman" w:hAnsi="Times New Roman" w:cs="Times New Roman"/>
          <w:b w:val="0"/>
          <w:i w:val="0"/>
          <w:sz w:val="22"/>
        </w:rPr>
        <w:t>- asynchronous notifications;</w:t>
      </w:r>
    </w:p>
    <w:p>
      <w:pPr>
        <w:spacing w:after="80" w:line="293" w:lineRule="auto"/>
        <w:ind w:left="283"/>
        <w:jc w:val="left"/>
      </w:pPr>
      <w:r>
        <w:rPr>
          <w:rFonts w:ascii="Times New Roman" w:hAnsi="Times New Roman" w:cs="Times New Roman"/>
          <w:b w:val="0"/>
          <w:i w:val="0"/>
          <w:sz w:val="22"/>
        </w:rPr>
        <w:t>- external event ingestion.</w:t>
      </w:r>
    </w:p>
    <w:p>
      <w:pPr>
        <w:spacing w:after="80" w:line="293" w:lineRule="auto"/>
        <w:jc w:val="left"/>
      </w:pPr>
      <w:r>
        <w:rPr>
          <w:rFonts w:ascii="Times New Roman" w:hAnsi="Times New Roman" w:cs="Times New Roman"/>
          <w:b w:val="0"/>
          <w:i w:val="0"/>
          <w:sz w:val="22"/>
        </w:rPr>
        <w:t>NATS is transport/event infrastructure, not the ultimate historical authority by itself.</w:t>
      </w:r>
    </w:p>
    <w:p>
      <w:pPr>
        <w:spacing w:after="80" w:line="293" w:lineRule="auto"/>
        <w:jc w:val="left"/>
      </w:pPr>
      <w:r>
        <w:rPr>
          <w:rFonts w:ascii="Times New Roman" w:hAnsi="Times New Roman" w:cs="Times New Roman"/>
          <w:b w:val="0"/>
          <w:i w:val="0"/>
          <w:sz w:val="22"/>
        </w:rPr>
        <w:t>Temporal — used for:</w:t>
      </w:r>
    </w:p>
    <w:p>
      <w:pPr>
        <w:spacing w:after="80" w:line="293" w:lineRule="auto"/>
        <w:ind w:left="283"/>
        <w:jc w:val="left"/>
      </w:pPr>
      <w:r>
        <w:rPr>
          <w:rFonts w:ascii="Times New Roman" w:hAnsi="Times New Roman" w:cs="Times New Roman"/>
          <w:b w:val="0"/>
          <w:i w:val="0"/>
          <w:sz w:val="22"/>
        </w:rPr>
        <w:t>- long-running workflows;</w:t>
      </w:r>
    </w:p>
    <w:p>
      <w:pPr>
        <w:spacing w:after="80" w:line="293" w:lineRule="auto"/>
        <w:ind w:left="283"/>
        <w:jc w:val="left"/>
      </w:pPr>
      <w:r>
        <w:rPr>
          <w:rFonts w:ascii="Times New Roman" w:hAnsi="Times New Roman" w:cs="Times New Roman"/>
          <w:b w:val="0"/>
          <w:i w:val="0"/>
          <w:sz w:val="22"/>
        </w:rPr>
        <w:t>- retries;</w:t>
      </w:r>
    </w:p>
    <w:p>
      <w:pPr>
        <w:spacing w:after="80" w:line="293" w:lineRule="auto"/>
        <w:ind w:left="283"/>
        <w:jc w:val="left"/>
      </w:pPr>
      <w:r>
        <w:rPr>
          <w:rFonts w:ascii="Times New Roman" w:hAnsi="Times New Roman" w:cs="Times New Roman"/>
          <w:b w:val="0"/>
          <w:i w:val="0"/>
          <w:sz w:val="22"/>
        </w:rPr>
        <w:t>- compensation;</w:t>
      </w:r>
    </w:p>
    <w:p>
      <w:pPr>
        <w:spacing w:after="80" w:line="293" w:lineRule="auto"/>
        <w:ind w:left="283"/>
        <w:jc w:val="left"/>
      </w:pPr>
      <w:r>
        <w:rPr>
          <w:rFonts w:ascii="Times New Roman" w:hAnsi="Times New Roman" w:cs="Times New Roman"/>
          <w:b w:val="0"/>
          <w:i w:val="0"/>
          <w:sz w:val="22"/>
        </w:rPr>
        <w:t>- recovery;</w:t>
      </w:r>
    </w:p>
    <w:p>
      <w:pPr>
        <w:spacing w:after="80" w:line="293" w:lineRule="auto"/>
        <w:ind w:left="283"/>
        <w:jc w:val="left"/>
      </w:pPr>
      <w:r>
        <w:rPr>
          <w:rFonts w:ascii="Times New Roman" w:hAnsi="Times New Roman" w:cs="Times New Roman"/>
          <w:b w:val="0"/>
          <w:i w:val="0"/>
          <w:sz w:val="22"/>
        </w:rPr>
        <w:t>- reconciliation workflows;</w:t>
      </w:r>
    </w:p>
    <w:p>
      <w:pPr>
        <w:spacing w:after="80" w:line="293" w:lineRule="auto"/>
        <w:ind w:left="283"/>
        <w:jc w:val="left"/>
      </w:pPr>
      <w:r>
        <w:rPr>
          <w:rFonts w:ascii="Times New Roman" w:hAnsi="Times New Roman" w:cs="Times New Roman"/>
          <w:b w:val="0"/>
          <w:i w:val="0"/>
          <w:sz w:val="22"/>
        </w:rPr>
        <w:t>- disputes;</w:t>
      </w:r>
    </w:p>
    <w:p>
      <w:pPr>
        <w:spacing w:after="80" w:line="293" w:lineRule="auto"/>
        <w:ind w:left="283"/>
        <w:jc w:val="left"/>
      </w:pPr>
      <w:r>
        <w:rPr>
          <w:rFonts w:ascii="Times New Roman" w:hAnsi="Times New Roman" w:cs="Times New Roman"/>
          <w:b w:val="0"/>
          <w:i w:val="0"/>
          <w:sz w:val="22"/>
        </w:rPr>
        <w:t>- human approval;</w:t>
      </w:r>
    </w:p>
    <w:p>
      <w:pPr>
        <w:spacing w:after="80" w:line="293" w:lineRule="auto"/>
        <w:ind w:left="283"/>
        <w:jc w:val="left"/>
      </w:pPr>
      <w:r>
        <w:rPr>
          <w:rFonts w:ascii="Times New Roman" w:hAnsi="Times New Roman" w:cs="Times New Roman"/>
          <w:b w:val="0"/>
          <w:i w:val="0"/>
          <w:sz w:val="22"/>
        </w:rPr>
        <w:t>- post-closure workflows;</w:t>
      </w:r>
    </w:p>
    <w:p>
      <w:pPr>
        <w:spacing w:after="80" w:line="293" w:lineRule="auto"/>
        <w:ind w:left="283"/>
        <w:jc w:val="left"/>
      </w:pPr>
      <w:r>
        <w:rPr>
          <w:rFonts w:ascii="Times New Roman" w:hAnsi="Times New Roman" w:cs="Times New Roman"/>
          <w:b w:val="0"/>
          <w:i w:val="0"/>
          <w:sz w:val="22"/>
        </w:rPr>
        <w:t>- timeout orchestration.</w:t>
      </w:r>
    </w:p>
    <w:p>
      <w:pPr>
        <w:spacing w:after="80" w:line="293" w:lineRule="auto"/>
        <w:jc w:val="left"/>
      </w:pPr>
      <w:r>
        <w:rPr>
          <w:rFonts w:ascii="Times New Roman" w:hAnsi="Times New Roman" w:cs="Times New Roman"/>
          <w:b w:val="0"/>
          <w:i w:val="0"/>
          <w:sz w:val="22"/>
        </w:rPr>
        <w:t>Temporal workflow state is not the canonical historical event record.</w:t>
      </w:r>
    </w:p>
    <w:p>
      <w:pPr>
        <w:spacing w:after="80" w:line="293" w:lineRule="auto"/>
        <w:jc w:val="left"/>
      </w:pPr>
      <w:r>
        <w:rPr>
          <w:rFonts w:ascii="Times New Roman" w:hAnsi="Times New Roman" w:cs="Times New Roman"/>
          <w:b w:val="0"/>
          <w:i w:val="0"/>
          <w:sz w:val="22"/>
        </w:rPr>
        <w:t>PostgreSQL — used for:</w:t>
      </w:r>
    </w:p>
    <w:p>
      <w:pPr>
        <w:spacing w:after="80" w:line="293" w:lineRule="auto"/>
        <w:ind w:left="283"/>
        <w:jc w:val="left"/>
      </w:pPr>
      <w:r>
        <w:rPr>
          <w:rFonts w:ascii="Times New Roman" w:hAnsi="Times New Roman" w:cs="Times New Roman"/>
          <w:b w:val="0"/>
          <w:i w:val="0"/>
          <w:sz w:val="22"/>
        </w:rPr>
        <w:t>- canonical relational metadata;</w:t>
      </w:r>
    </w:p>
    <w:p>
      <w:pPr>
        <w:spacing w:after="80" w:line="293" w:lineRule="auto"/>
        <w:ind w:left="283"/>
        <w:jc w:val="left"/>
      </w:pPr>
      <w:r>
        <w:rPr>
          <w:rFonts w:ascii="Times New Roman" w:hAnsi="Times New Roman" w:cs="Times New Roman"/>
          <w:b w:val="0"/>
          <w:i w:val="0"/>
          <w:sz w:val="22"/>
        </w:rPr>
        <w:t>- state projections;</w:t>
      </w:r>
    </w:p>
    <w:p>
      <w:pPr>
        <w:spacing w:after="80" w:line="293" w:lineRule="auto"/>
        <w:ind w:left="283"/>
        <w:jc w:val="left"/>
      </w:pPr>
      <w:r>
        <w:rPr>
          <w:rFonts w:ascii="Times New Roman" w:hAnsi="Times New Roman" w:cs="Times New Roman"/>
          <w:b w:val="0"/>
          <w:i w:val="0"/>
          <w:sz w:val="22"/>
        </w:rPr>
        <w:t>- authority mappings;</w:t>
      </w:r>
    </w:p>
    <w:p>
      <w:pPr>
        <w:spacing w:after="80" w:line="293" w:lineRule="auto"/>
        <w:ind w:left="283"/>
        <w:jc w:val="left"/>
      </w:pPr>
      <w:r>
        <w:rPr>
          <w:rFonts w:ascii="Times New Roman" w:hAnsi="Times New Roman" w:cs="Times New Roman"/>
          <w:b w:val="0"/>
          <w:i w:val="0"/>
          <w:sz w:val="22"/>
        </w:rPr>
        <w:t>- policy references;</w:t>
      </w:r>
    </w:p>
    <w:p>
      <w:pPr>
        <w:spacing w:after="80" w:line="293" w:lineRule="auto"/>
        <w:ind w:left="283"/>
        <w:jc w:val="left"/>
      </w:pPr>
      <w:r>
        <w:rPr>
          <w:rFonts w:ascii="Times New Roman" w:hAnsi="Times New Roman" w:cs="Times New Roman"/>
          <w:b w:val="0"/>
          <w:i w:val="0"/>
          <w:sz w:val="22"/>
        </w:rPr>
        <w:t>- obligation metadata;</w:t>
      </w:r>
    </w:p>
    <w:p>
      <w:pPr>
        <w:spacing w:after="80" w:line="293" w:lineRule="auto"/>
        <w:ind w:left="283"/>
        <w:jc w:val="left"/>
      </w:pPr>
      <w:r>
        <w:rPr>
          <w:rFonts w:ascii="Times New Roman" w:hAnsi="Times New Roman" w:cs="Times New Roman"/>
          <w:b w:val="0"/>
          <w:i w:val="0"/>
          <w:sz w:val="22"/>
        </w:rPr>
        <w:t>- transaction projections;</w:t>
      </w:r>
    </w:p>
    <w:p>
      <w:pPr>
        <w:spacing w:after="80" w:line="293" w:lineRule="auto"/>
        <w:ind w:left="283"/>
        <w:jc w:val="left"/>
      </w:pPr>
      <w:r>
        <w:rPr>
          <w:rFonts w:ascii="Times New Roman" w:hAnsi="Times New Roman" w:cs="Times New Roman"/>
          <w:b w:val="0"/>
          <w:i w:val="0"/>
          <w:sz w:val="22"/>
        </w:rPr>
        <w:t>- settlement instruction metadata;</w:t>
      </w:r>
    </w:p>
    <w:p>
      <w:pPr>
        <w:spacing w:after="80" w:line="293" w:lineRule="auto"/>
        <w:ind w:left="283"/>
        <w:jc w:val="left"/>
      </w:pPr>
      <w:r>
        <w:rPr>
          <w:rFonts w:ascii="Times New Roman" w:hAnsi="Times New Roman" w:cs="Times New Roman"/>
          <w:b w:val="0"/>
          <w:i w:val="0"/>
          <w:sz w:val="22"/>
        </w:rPr>
        <w:t>- reconciliation cases.</w:t>
      </w:r>
    </w:p>
    <w:p>
      <w:pPr>
        <w:spacing w:after="80" w:line="293" w:lineRule="auto"/>
        <w:jc w:val="left"/>
      </w:pPr>
      <w:r>
        <w:rPr>
          <w:rFonts w:ascii="Times New Roman" w:hAnsi="Times New Roman" w:cs="Times New Roman"/>
          <w:b w:val="0"/>
          <w:i w:val="0"/>
          <w:sz w:val="22"/>
        </w:rPr>
        <w:t>ClickHouse — used for:</w:t>
      </w:r>
    </w:p>
    <w:p>
      <w:pPr>
        <w:spacing w:after="80" w:line="293" w:lineRule="auto"/>
        <w:ind w:left="283"/>
        <w:jc w:val="left"/>
      </w:pPr>
      <w:r>
        <w:rPr>
          <w:rFonts w:ascii="Times New Roman" w:hAnsi="Times New Roman" w:cs="Times New Roman"/>
          <w:b w:val="0"/>
          <w:i w:val="0"/>
          <w:sz w:val="22"/>
        </w:rPr>
        <w:t>- historical analytics;</w:t>
      </w:r>
    </w:p>
    <w:p>
      <w:pPr>
        <w:spacing w:after="80" w:line="293" w:lineRule="auto"/>
        <w:ind w:left="283"/>
        <w:jc w:val="left"/>
      </w:pPr>
      <w:r>
        <w:rPr>
          <w:rFonts w:ascii="Times New Roman" w:hAnsi="Times New Roman" w:cs="Times New Roman"/>
          <w:b w:val="0"/>
          <w:i w:val="0"/>
          <w:sz w:val="22"/>
        </w:rPr>
        <w:t>- reconciliation analytics;</w:t>
      </w:r>
    </w:p>
    <w:p>
      <w:pPr>
        <w:spacing w:after="80" w:line="293" w:lineRule="auto"/>
        <w:ind w:left="283"/>
        <w:jc w:val="left"/>
      </w:pPr>
      <w:r>
        <w:rPr>
          <w:rFonts w:ascii="Times New Roman" w:hAnsi="Times New Roman" w:cs="Times New Roman"/>
          <w:b w:val="0"/>
          <w:i w:val="0"/>
          <w:sz w:val="22"/>
        </w:rPr>
        <w:t>- exception analytics;</w:t>
      </w:r>
    </w:p>
    <w:p>
      <w:pPr>
        <w:spacing w:after="80" w:line="293" w:lineRule="auto"/>
        <w:ind w:left="283"/>
        <w:jc w:val="left"/>
      </w:pPr>
      <w:r>
        <w:rPr>
          <w:rFonts w:ascii="Times New Roman" w:hAnsi="Times New Roman" w:cs="Times New Roman"/>
          <w:b w:val="0"/>
          <w:i w:val="0"/>
          <w:sz w:val="22"/>
        </w:rPr>
        <w:t>- operational intelligence;</w:t>
      </w:r>
    </w:p>
    <w:p>
      <w:pPr>
        <w:spacing w:after="80" w:line="293" w:lineRule="auto"/>
        <w:ind w:left="283"/>
        <w:jc w:val="left"/>
      </w:pPr>
      <w:r>
        <w:rPr>
          <w:rFonts w:ascii="Times New Roman" w:hAnsi="Times New Roman" w:cs="Times New Roman"/>
          <w:b w:val="0"/>
          <w:i w:val="0"/>
          <w:sz w:val="22"/>
        </w:rPr>
        <w:t>- institutional reporting;</w:t>
      </w:r>
    </w:p>
    <w:p>
      <w:pPr>
        <w:spacing w:after="80" w:line="293" w:lineRule="auto"/>
        <w:ind w:left="283"/>
        <w:jc w:val="left"/>
      </w:pPr>
      <w:r>
        <w:rPr>
          <w:rFonts w:ascii="Times New Roman" w:hAnsi="Times New Roman" w:cs="Times New Roman"/>
          <w:b w:val="0"/>
          <w:i w:val="0"/>
          <w:sz w:val="22"/>
        </w:rPr>
        <w:t>- trend analysis.</w:t>
      </w:r>
    </w:p>
    <w:p>
      <w:pPr>
        <w:spacing w:after="80" w:line="293" w:lineRule="auto"/>
        <w:jc w:val="left"/>
      </w:pPr>
      <w:r>
        <w:rPr>
          <w:rFonts w:ascii="Times New Roman" w:hAnsi="Times New Roman" w:cs="Times New Roman"/>
          <w:b w:val="0"/>
          <w:i w:val="0"/>
          <w:sz w:val="22"/>
        </w:rPr>
        <w:t>ClickHouse is not the authoritative transactional state store.</w:t>
      </w:r>
    </w:p>
    <w:p>
      <w:pPr>
        <w:keepNext/>
        <w:spacing w:before="240" w:after="100"/>
        <w:outlineLvl w:val="1"/>
      </w:pPr>
      <w:r>
        <w:rPr>
          <w:rFonts w:ascii="Arial" w:hAnsi="Arial" w:cs="Arial"/>
          <w:b/>
          <w:i w:val="0"/>
          <w:color w:val="2E528F"/>
          <w:sz w:val="26"/>
        </w:rPr>
        <w:t>19.112 Settlement Graph Hierarchy</w:t>
      </w:r>
    </w:p>
    <w:p>
      <w:pPr>
        <w:spacing w:after="80" w:line="293" w:lineRule="auto"/>
        <w:jc w:val="left"/>
      </w:pPr>
      <w:r>
        <w:rPr>
          <w:rFonts w:ascii="Times New Roman" w:hAnsi="Times New Roman" w:cs="Times New Roman"/>
          <w:b w:val="0"/>
          <w:i w:val="0"/>
          <w:sz w:val="22"/>
        </w:rPr>
        <w:t>The data model distinguishes:</w:t>
      </w:r>
    </w:p>
    <w:p>
      <w:pPr>
        <w:spacing w:after="0" w:before="0" w:line="240" w:lineRule="auto"/>
        <w:ind w:left="57"/>
        <w:jc w:val="left"/>
        <w:shd w:val="clear" w:fill="F2F2F2"/>
      </w:pPr>
      <w:r>
        <w:rPr>
          <w:rFonts w:ascii="Consolas" w:hAnsi="Consolas" w:cs="Consolas"/>
          <w:b w:val="0"/>
          <w:i w:val="0"/>
          <w:sz w:val="15"/>
        </w:rPr>
        <w:t>TRADE → CONTRACT → OBLIGATIONS → SETTLEMENT INSTRUCTIONS (1..n)</w:t>
      </w:r>
    </w:p>
    <w:p>
      <w:pPr>
        <w:spacing w:after="0" w:before="0" w:line="240" w:lineRule="auto"/>
        <w:ind w:left="57"/>
        <w:jc w:val="left"/>
        <w:shd w:val="clear" w:fill="F2F2F2"/>
      </w:pPr>
      <w:r>
        <w:rPr>
          <w:rFonts w:ascii="Consolas" w:hAnsi="Consolas" w:cs="Consolas"/>
          <w:b w:val="0"/>
          <w:i w:val="0"/>
          <w:sz w:val="15"/>
        </w:rPr>
        <w:t xml:space="preserve">    → SETTLEMENT LEG 1 → SETTLEMENT LEG 2 → SETTLEMENT LEG N</w:t>
      </w:r>
    </w:p>
    <w:p>
      <w:pPr>
        <w:spacing w:after="0" w:before="0" w:line="240" w:lineRule="auto"/>
        <w:ind w:left="57"/>
        <w:jc w:val="left"/>
        <w:shd w:val="clear" w:fill="F2F2F2"/>
      </w:pPr>
      <w:r>
        <w:rPr>
          <w:rFonts w:ascii="Consolas" w:hAnsi="Consolas" w:cs="Consolas"/>
          <w:b w:val="0"/>
          <w:i w:val="0"/>
          <w:sz w:val="15"/>
        </w:rPr>
        <w:t xml:space="preserve">    → DOCUMENTS → LOGISTICS → CUSTOMS → COMPLIANCE → DISPUTES → RECOVERY EVENTS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prevents duplication and keeps parent/child relationships explicit.</w:t>
      </w:r>
    </w:p>
    <w:p>
      <w:pPr>
        <w:keepNext/>
        <w:spacing w:before="240" w:after="100"/>
        <w:outlineLvl w:val="1"/>
      </w:pPr>
      <w:r>
        <w:rPr>
          <w:rFonts w:ascii="Arial" w:hAnsi="Arial" w:cs="Arial"/>
          <w:b/>
          <w:i w:val="0"/>
          <w:color w:val="2E528F"/>
          <w:sz w:val="26"/>
        </w:rPr>
        <w:t>19.113 Closure with Exception</w:t>
      </w:r>
    </w:p>
    <w:p>
      <w:pPr>
        <w:spacing w:after="80" w:line="293" w:lineRule="auto"/>
        <w:jc w:val="left"/>
      </w:pPr>
      <w:r>
        <w:rPr>
          <w:rFonts w:ascii="Times New Roman" w:hAnsi="Times New Roman" w:cs="Times New Roman"/>
          <w:b w:val="0"/>
          <w:i w:val="0"/>
          <w:sz w:val="22"/>
        </w:rPr>
        <w:t>Where policy permits closure despite defined non-critical unresolved matters, CLOSED_WITH_EXCEPTION preserves:</w:t>
      </w:r>
    </w:p>
    <w:p>
      <w:pPr>
        <w:spacing w:after="80" w:line="293" w:lineRule="auto"/>
        <w:ind w:left="283"/>
        <w:jc w:val="left"/>
      </w:pPr>
      <w:r>
        <w:rPr>
          <w:rFonts w:ascii="Times New Roman" w:hAnsi="Times New Roman" w:cs="Times New Roman"/>
          <w:b w:val="0"/>
          <w:i w:val="0"/>
          <w:sz w:val="22"/>
        </w:rPr>
        <w:t>- exception ID;</w:t>
      </w:r>
    </w:p>
    <w:p>
      <w:pPr>
        <w:spacing w:after="80" w:line="293" w:lineRule="auto"/>
        <w:ind w:left="283"/>
        <w:jc w:val="left"/>
      </w:pPr>
      <w:r>
        <w:rPr>
          <w:rFonts w:ascii="Times New Roman" w:hAnsi="Times New Roman" w:cs="Times New Roman"/>
          <w:b w:val="0"/>
          <w:i w:val="0"/>
          <w:sz w:val="22"/>
        </w:rPr>
        <w:t>- severity;</w:t>
      </w:r>
    </w:p>
    <w:p>
      <w:pPr>
        <w:spacing w:after="80" w:line="293" w:lineRule="auto"/>
        <w:ind w:left="283"/>
        <w:jc w:val="left"/>
      </w:pPr>
      <w:r>
        <w:rPr>
          <w:rFonts w:ascii="Times New Roman" w:hAnsi="Times New Roman" w:cs="Times New Roman"/>
          <w:b w:val="0"/>
          <w:i w:val="0"/>
          <w:sz w:val="22"/>
        </w:rPr>
        <w:t>- outstanding obligation;</w:t>
      </w:r>
    </w:p>
    <w:p>
      <w:pPr>
        <w:spacing w:after="80" w:line="293" w:lineRule="auto"/>
        <w:ind w:left="283"/>
        <w:jc w:val="left"/>
      </w:pPr>
      <w:r>
        <w:rPr>
          <w:rFonts w:ascii="Times New Roman" w:hAnsi="Times New Roman" w:cs="Times New Roman"/>
          <w:b w:val="0"/>
          <w:i w:val="0"/>
          <w:sz w:val="22"/>
        </w:rPr>
        <w:t>- financial exposure;</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reason;</w:t>
      </w:r>
    </w:p>
    <w:p>
      <w:pPr>
        <w:spacing w:after="80" w:line="293" w:lineRule="auto"/>
        <w:ind w:left="283"/>
        <w:jc w:val="left"/>
      </w:pPr>
      <w:r>
        <w:rPr>
          <w:rFonts w:ascii="Times New Roman" w:hAnsi="Times New Roman" w:cs="Times New Roman"/>
          <w:b w:val="0"/>
          <w:i w:val="0"/>
          <w:sz w:val="22"/>
        </w:rPr>
        <w:t>- required post-closure action;</w:t>
      </w:r>
    </w:p>
    <w:p>
      <w:pPr>
        <w:spacing w:after="80" w:line="293" w:lineRule="auto"/>
        <w:ind w:left="283"/>
        <w:jc w:val="left"/>
      </w:pPr>
      <w:r>
        <w:rPr>
          <w:rFonts w:ascii="Times New Roman" w:hAnsi="Times New Roman" w:cs="Times New Roman"/>
          <w:b w:val="0"/>
          <w:i w:val="0"/>
          <w:sz w:val="22"/>
        </w:rPr>
        <w:t>- responsible party;</w:t>
      </w:r>
    </w:p>
    <w:p>
      <w:pPr>
        <w:spacing w:after="80" w:line="293" w:lineRule="auto"/>
        <w:ind w:left="283"/>
        <w:jc w:val="left"/>
      </w:pPr>
      <w:r>
        <w:rPr>
          <w:rFonts w:ascii="Times New Roman" w:hAnsi="Times New Roman" w:cs="Times New Roman"/>
          <w:b w:val="0"/>
          <w:i w:val="0"/>
          <w:sz w:val="22"/>
        </w:rPr>
        <w:t>- deadline.</w:t>
      </w:r>
    </w:p>
    <w:p>
      <w:pPr>
        <w:spacing w:after="80" w:line="293" w:lineRule="auto"/>
        <w:jc w:val="left"/>
      </w:pPr>
      <w:r>
        <w:rPr>
          <w:rFonts w:ascii="Times New Roman" w:hAnsi="Times New Roman" w:cs="Times New Roman"/>
          <w:b w:val="0"/>
          <w:i w:val="0"/>
          <w:sz w:val="22"/>
        </w:rPr>
        <w:t>Closure with exception is not equivalent to full closure.</w:t>
      </w:r>
    </w:p>
    <w:p>
      <w:pPr>
        <w:keepNext/>
        <w:spacing w:before="180" w:after="80"/>
        <w:outlineLvl w:val="2"/>
      </w:pPr>
      <w:r>
        <w:rPr>
          <w:rFonts w:ascii="Arial" w:hAnsi="Arial" w:cs="Arial"/>
          <w:b/>
          <w:i w:val="0"/>
          <w:color w:val="333333"/>
          <w:sz w:val="23"/>
        </w:rPr>
        <w:t>19.113.1 Closure-With-Exception Record</w:t>
      </w:r>
    </w:p>
    <w:p>
      <w:pPr>
        <w:spacing w:after="80" w:line="293" w:lineRule="auto"/>
        <w:jc w:val="left"/>
      </w:pPr>
      <w:r>
        <w:rPr>
          <w:rFonts w:ascii="Times New Roman" w:hAnsi="Times New Roman" w:cs="Times New Roman"/>
          <w:b w:val="0"/>
          <w:i w:val="0"/>
          <w:sz w:val="22"/>
        </w:rPr>
        <w:t>Where closure policy expressly permits closure with documented exceptions, the closure state CLOSED_WITH_EXCEPTION carries a complete exception record:</w:t>
      </w:r>
    </w:p>
    <w:p>
      <w:pPr>
        <w:spacing w:after="0" w:before="0" w:line="240" w:lineRule="auto"/>
        <w:ind w:left="57"/>
        <w:jc w:val="left"/>
        <w:shd w:val="clear" w:fill="F2F2F2"/>
      </w:pPr>
      <w:r>
        <w:rPr>
          <w:rFonts w:ascii="Consolas" w:hAnsi="Consolas" w:cs="Consolas"/>
          <w:b w:val="0"/>
          <w:i w:val="0"/>
          <w:sz w:val="15"/>
        </w:rPr>
        <w:t>exception_id                unique exception identifier</w:t>
      </w:r>
    </w:p>
    <w:p>
      <w:pPr>
        <w:spacing w:after="0" w:before="0" w:line="240" w:lineRule="auto"/>
        <w:ind w:left="57"/>
        <w:jc w:val="left"/>
        <w:shd w:val="clear" w:fill="F2F2F2"/>
      </w:pPr>
      <w:r>
        <w:rPr>
          <w:rFonts w:ascii="Consolas" w:hAnsi="Consolas" w:cs="Consolas"/>
          <w:b w:val="0"/>
          <w:i w:val="0"/>
          <w:sz w:val="15"/>
        </w:rPr>
        <w:t>exception_reason            documented reason the exception is permitted</w:t>
      </w:r>
    </w:p>
    <w:p>
      <w:pPr>
        <w:spacing w:after="0" w:before="0" w:line="240" w:lineRule="auto"/>
        <w:ind w:left="57"/>
        <w:jc w:val="left"/>
        <w:shd w:val="clear" w:fill="F2F2F2"/>
      </w:pPr>
      <w:r>
        <w:rPr>
          <w:rFonts w:ascii="Consolas" w:hAnsi="Consolas" w:cs="Consolas"/>
          <w:b w:val="0"/>
          <w:i w:val="0"/>
          <w:sz w:val="15"/>
        </w:rPr>
        <w:t>authorized_by               the authority that authorized the exception</w:t>
      </w:r>
    </w:p>
    <w:p>
      <w:pPr>
        <w:spacing w:after="0" w:before="0" w:line="240" w:lineRule="auto"/>
        <w:ind w:left="57"/>
        <w:jc w:val="left"/>
        <w:shd w:val="clear" w:fill="F2F2F2"/>
      </w:pPr>
      <w:r>
        <w:rPr>
          <w:rFonts w:ascii="Consolas" w:hAnsi="Consolas" w:cs="Consolas"/>
          <w:b w:val="0"/>
          <w:i w:val="0"/>
          <w:sz w:val="15"/>
        </w:rPr>
        <w:t>policy_version              closure policy version permitting the exception</w:t>
      </w:r>
    </w:p>
    <w:p>
      <w:pPr>
        <w:spacing w:after="0" w:before="0" w:line="240" w:lineRule="auto"/>
        <w:ind w:left="57"/>
        <w:jc w:val="left"/>
        <w:shd w:val="clear" w:fill="F2F2F2"/>
      </w:pPr>
      <w:r>
        <w:rPr>
          <w:rFonts w:ascii="Consolas" w:hAnsi="Consolas" w:cs="Consolas"/>
          <w:b w:val="0"/>
          <w:i w:val="0"/>
          <w:sz w:val="15"/>
        </w:rPr>
        <w:t>evidence                    evidence supporting the exception</w:t>
      </w:r>
    </w:p>
    <w:p>
      <w:pPr>
        <w:spacing w:after="0" w:before="0" w:line="240" w:lineRule="auto"/>
        <w:ind w:left="57"/>
        <w:jc w:val="left"/>
        <w:shd w:val="clear" w:fill="F2F2F2"/>
      </w:pPr>
      <w:r>
        <w:rPr>
          <w:rFonts w:ascii="Consolas" w:hAnsi="Consolas" w:cs="Consolas"/>
          <w:b w:val="0"/>
          <w:i w:val="0"/>
          <w:sz w:val="15"/>
        </w:rPr>
        <w:t>financial_exposure_status   status of any exposure permitted to remain open</w:t>
      </w:r>
    </w:p>
    <w:p>
      <w:pPr>
        <w:spacing w:after="0" w:before="0" w:line="240" w:lineRule="auto"/>
        <w:ind w:left="57"/>
        <w:jc w:val="left"/>
        <w:shd w:val="clear" w:fill="F2F2F2"/>
      </w:pPr>
      <w:r>
        <w:rPr>
          <w:rFonts w:ascii="Consolas" w:hAnsi="Consolas" w:cs="Consolas"/>
          <w:b w:val="0"/>
          <w:i w:val="0"/>
          <w:sz w:val="15"/>
        </w:rPr>
        <w:t>legal_basis                 legal basis where applicable</w:t>
      </w:r>
    </w:p>
    <w:p>
      <w:pPr>
        <w:spacing w:after="0" w:before="0" w:line="240" w:lineRule="auto"/>
        <w:ind w:left="57"/>
        <w:jc w:val="left"/>
        <w:shd w:val="clear" w:fill="F2F2F2"/>
      </w:pPr>
      <w:r>
        <w:rPr>
          <w:rFonts w:ascii="Consolas" w:hAnsi="Consolas" w:cs="Consolas"/>
          <w:b w:val="0"/>
          <w:i w:val="0"/>
          <w:sz w:val="15"/>
        </w:rPr>
        <w:t>expiry_or_review_date       when the exception must be reviewed or expires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 unresolved exposure is never silently converted into ordinary CLOSED (constitutional Point 36): if exposure remains open at closure, the closure-with-exception record documents it, the exposure remains visible in the exposure engine (Section 19.64), and the exception carries a review date. Closure-with-exception is produced only by the closure engine under policy — never by manual state assignment (Section 19.24) — and the exception record is sealed into the evidence package (Section 5.10).</w:t>
      </w:r>
    </w:p>
    <w:p>
      <w:pPr>
        <w:keepNext/>
        <w:spacing w:before="240" w:after="100"/>
        <w:outlineLvl w:val="1"/>
      </w:pPr>
      <w:r>
        <w:rPr>
          <w:rFonts w:ascii="Arial" w:hAnsi="Arial" w:cs="Arial"/>
          <w:b/>
          <w:i w:val="0"/>
          <w:color w:val="2E528F"/>
          <w:sz w:val="26"/>
        </w:rPr>
        <w:t>19.114 Post-Closure Event Processing</w:t>
      </w:r>
    </w:p>
    <w:p>
      <w:pPr>
        <w:spacing w:after="80" w:line="293" w:lineRule="auto"/>
        <w:jc w:val="left"/>
      </w:pPr>
      <w:r>
        <w:rPr>
          <w:rFonts w:ascii="Times New Roman" w:hAnsi="Times New Roman" w:cs="Times New Roman"/>
          <w:b w:val="0"/>
          <w:i w:val="0"/>
          <w:sz w:val="22"/>
        </w:rPr>
        <w:t>Late evidence or authority events follow:</w:t>
      </w:r>
    </w:p>
    <w:p>
      <w:pPr>
        <w:spacing w:after="0" w:before="0" w:line="240" w:lineRule="auto"/>
        <w:ind w:left="57"/>
        <w:jc w:val="left"/>
        <w:shd w:val="clear" w:fill="F2F2F2"/>
      </w:pPr>
      <w:r>
        <w:rPr>
          <w:rFonts w:ascii="Consolas" w:hAnsi="Consolas" w:cs="Consolas"/>
          <w:b w:val="0"/>
          <w:i w:val="0"/>
          <w:sz w:val="15"/>
        </w:rPr>
        <w:t>POST-CLOSURE EVENT → AUTHENTICITY / AUTHORITY CHECK → IMPACT ASSESSMENT →</w:t>
      </w:r>
    </w:p>
    <w:p>
      <w:pPr>
        <w:spacing w:after="0" w:before="0" w:line="240" w:lineRule="auto"/>
        <w:ind w:left="57"/>
        <w:jc w:val="left"/>
        <w:shd w:val="clear" w:fill="F2F2F2"/>
      </w:pPr>
      <w:r>
        <w:rPr>
          <w:rFonts w:ascii="Consolas" w:hAnsi="Consolas" w:cs="Consolas"/>
          <w:b w:val="0"/>
          <w:i w:val="0"/>
          <w:sz w:val="15"/>
        </w:rPr>
        <w:t>DEPENDENCY ANALYSIS → RECONCILIATION → CURRENT STATE UPDATE → RECOVERY / CORRECTION IF REQUIRED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Historical events remain immutable.</w:t>
      </w:r>
    </w:p>
    <w:p>
      <w:pPr>
        <w:keepNext/>
        <w:spacing w:before="240" w:after="100"/>
        <w:outlineLvl w:val="1"/>
      </w:pPr>
      <w:r>
        <w:rPr>
          <w:rFonts w:ascii="Arial" w:hAnsi="Arial" w:cs="Arial"/>
          <w:b/>
          <w:i w:val="0"/>
          <w:color w:val="2E528F"/>
          <w:sz w:val="26"/>
        </w:rPr>
        <w:t>19.115 Policy-Governed Recovery</w:t>
      </w:r>
    </w:p>
    <w:p>
      <w:pPr>
        <w:spacing w:after="80" w:line="293" w:lineRule="auto"/>
        <w:jc w:val="left"/>
      </w:pPr>
      <w:r>
        <w:rPr>
          <w:rFonts w:ascii="Times New Roman" w:hAnsi="Times New Roman" w:cs="Times New Roman"/>
          <w:b w:val="0"/>
          <w:i w:val="0"/>
          <w:sz w:val="22"/>
        </w:rPr>
        <w:t>Recovery actions are never invented by an AI system or arbitrary application code. Recovery paths are predefined through:</w:t>
      </w:r>
    </w:p>
    <w:p>
      <w:pPr>
        <w:spacing w:after="80" w:line="293" w:lineRule="auto"/>
        <w:ind w:left="283"/>
        <w:jc w:val="left"/>
      </w:pPr>
      <w:r>
        <w:rPr>
          <w:rFonts w:ascii="Times New Roman" w:hAnsi="Times New Roman" w:cs="Times New Roman"/>
          <w:b w:val="0"/>
          <w:i w:val="0"/>
          <w:sz w:val="22"/>
        </w:rPr>
        <w:t>- policy;</w:t>
      </w:r>
    </w:p>
    <w:p>
      <w:pPr>
        <w:spacing w:after="80" w:line="293" w:lineRule="auto"/>
        <w:ind w:left="283"/>
        <w:jc w:val="left"/>
      </w:pPr>
      <w:r>
        <w:rPr>
          <w:rFonts w:ascii="Times New Roman" w:hAnsi="Times New Roman" w:cs="Times New Roman"/>
          <w:b w:val="0"/>
          <w:i w:val="0"/>
          <w:sz w:val="22"/>
        </w:rPr>
        <w:t>- obligation graph;</w:t>
      </w:r>
    </w:p>
    <w:p>
      <w:pPr>
        <w:spacing w:after="80" w:line="293" w:lineRule="auto"/>
        <w:ind w:left="283"/>
        <w:jc w:val="left"/>
      </w:pPr>
      <w:r>
        <w:rPr>
          <w:rFonts w:ascii="Times New Roman" w:hAnsi="Times New Roman" w:cs="Times New Roman"/>
          <w:b w:val="0"/>
          <w:i w:val="0"/>
          <w:sz w:val="22"/>
        </w:rPr>
        <w:t>- dependency graph;</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jurisdiction.</w:t>
      </w:r>
    </w:p>
    <w:p>
      <w:pPr>
        <w:keepNext/>
        <w:spacing w:before="240" w:after="100"/>
        <w:outlineLvl w:val="1"/>
      </w:pPr>
      <w:r>
        <w:rPr>
          <w:rFonts w:ascii="Arial" w:hAnsi="Arial" w:cs="Arial"/>
          <w:b/>
          <w:i w:val="0"/>
          <w:color w:val="2E528F"/>
          <w:sz w:val="26"/>
        </w:rPr>
        <w:t>19.116 Protected State Transitions</w:t>
      </w:r>
    </w:p>
    <w:p>
      <w:pPr>
        <w:spacing w:after="80" w:line="293" w:lineRule="auto"/>
        <w:jc w:val="left"/>
      </w:pPr>
      <w:r>
        <w:rPr>
          <w:rFonts w:ascii="Times New Roman" w:hAnsi="Times New Roman" w:cs="Times New Roman"/>
          <w:b w:val="0"/>
          <w:i w:val="0"/>
          <w:sz w:val="22"/>
        </w:rPr>
        <w:t>Material state transitions pass through:</w:t>
      </w:r>
    </w:p>
    <w:p>
      <w:pPr>
        <w:spacing w:after="0" w:before="0" w:line="240" w:lineRule="auto"/>
        <w:ind w:left="57"/>
        <w:jc w:val="left"/>
        <w:shd w:val="clear" w:fill="F2F2F2"/>
      </w:pPr>
      <w:r>
        <w:rPr>
          <w:rFonts w:ascii="Consolas" w:hAnsi="Consolas" w:cs="Consolas"/>
          <w:b w:val="0"/>
          <w:i w:val="0"/>
          <w:sz w:val="15"/>
        </w:rPr>
        <w:t>Event Validation → Authority Validation → Evidence Validation → Policy Validation →</w:t>
      </w:r>
    </w:p>
    <w:p>
      <w:pPr>
        <w:spacing w:after="0" w:before="0" w:line="240" w:lineRule="auto"/>
        <w:ind w:left="57"/>
        <w:jc w:val="left"/>
        <w:shd w:val="clear" w:fill="F2F2F2"/>
      </w:pPr>
      <w:r>
        <w:rPr>
          <w:rFonts w:ascii="Consolas" w:hAnsi="Consolas" w:cs="Consolas"/>
          <w:b w:val="0"/>
          <w:i w:val="0"/>
          <w:sz w:val="15"/>
        </w:rPr>
        <w:t>Dependency Validation → State Transition → Event Append → Projection Update → Reconciliation Trigger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 material authoritative transition may bypass the control path.</w:t>
      </w:r>
    </w:p>
    <w:p>
      <w:pPr>
        <w:keepNext/>
        <w:spacing w:before="240" w:after="100"/>
        <w:outlineLvl w:val="1"/>
      </w:pPr>
      <w:r>
        <w:rPr>
          <w:rFonts w:ascii="Arial" w:hAnsi="Arial" w:cs="Arial"/>
          <w:b/>
          <w:i w:val="0"/>
          <w:color w:val="2E528F"/>
          <w:sz w:val="26"/>
        </w:rPr>
        <w:t>19.117 No Silent Authority Escalation</w:t>
      </w:r>
    </w:p>
    <w:p>
      <w:pPr>
        <w:spacing w:after="80" w:line="293" w:lineRule="auto"/>
        <w:jc w:val="left"/>
      </w:pPr>
      <w:r>
        <w:rPr>
          <w:rFonts w:ascii="Times New Roman" w:hAnsi="Times New Roman" w:cs="Times New Roman"/>
          <w:b w:val="0"/>
          <w:i w:val="0"/>
          <w:sz w:val="22"/>
        </w:rPr>
        <w:t>A component does not acquire authority merely because it receives an external event. Example: a bank message received does not automatically mean SGTX may alter legal state. The system determines the event's domain and authority.</w:t>
      </w:r>
    </w:p>
    <w:p>
      <w:pPr>
        <w:keepNext/>
        <w:spacing w:before="240" w:after="100"/>
        <w:outlineLvl w:val="1"/>
      </w:pPr>
      <w:r>
        <w:rPr>
          <w:rFonts w:ascii="Arial" w:hAnsi="Arial" w:cs="Arial"/>
          <w:b/>
          <w:i w:val="0"/>
          <w:color w:val="2E528F"/>
          <w:sz w:val="26"/>
        </w:rPr>
        <w:t>19.118 No Silent State Collapse</w:t>
      </w:r>
    </w:p>
    <w:p>
      <w:pPr>
        <w:spacing w:after="80" w:line="293" w:lineRule="auto"/>
        <w:jc w:val="left"/>
      </w:pPr>
      <w:r>
        <w:rPr>
          <w:rFonts w:ascii="Times New Roman" w:hAnsi="Times New Roman" w:cs="Times New Roman"/>
          <w:b w:val="0"/>
          <w:i w:val="0"/>
          <w:sz w:val="22"/>
        </w:rPr>
        <w:t>The system does not convert:</w:t>
      </w:r>
    </w:p>
    <w:p>
      <w:pPr>
        <w:spacing w:after="80" w:line="293" w:lineRule="auto"/>
        <w:ind w:left="283"/>
        <w:jc w:val="left"/>
      </w:pPr>
      <w:r>
        <w:rPr>
          <w:rFonts w:ascii="Times New Roman" w:hAnsi="Times New Roman" w:cs="Times New Roman"/>
          <w:b w:val="0"/>
          <w:i w:val="0"/>
          <w:sz w:val="22"/>
        </w:rPr>
        <w:t>- Execution = SETTLED</w:t>
      </w:r>
    </w:p>
    <w:p>
      <w:pPr>
        <w:spacing w:after="80" w:line="293" w:lineRule="auto"/>
        <w:ind w:left="283"/>
        <w:jc w:val="left"/>
      </w:pPr>
      <w:r>
        <w:rPr>
          <w:rFonts w:ascii="Times New Roman" w:hAnsi="Times New Roman" w:cs="Times New Roman"/>
          <w:b w:val="0"/>
          <w:i w:val="0"/>
          <w:sz w:val="22"/>
        </w:rPr>
        <w:t>- Financial = UNKNOWN</w:t>
      </w:r>
    </w:p>
    <w:p>
      <w:pPr>
        <w:spacing w:after="80" w:line="293" w:lineRule="auto"/>
        <w:ind w:left="283"/>
        <w:jc w:val="left"/>
      </w:pPr>
      <w:r>
        <w:rPr>
          <w:rFonts w:ascii="Times New Roman" w:hAnsi="Times New Roman" w:cs="Times New Roman"/>
          <w:b w:val="0"/>
          <w:i w:val="0"/>
          <w:sz w:val="22"/>
        </w:rPr>
        <w:t>- Legal = DISPUTED</w:t>
      </w:r>
    </w:p>
    <w:p>
      <w:pPr>
        <w:spacing w:after="80" w:line="293" w:lineRule="auto"/>
        <w:jc w:val="left"/>
      </w:pPr>
      <w:r>
        <w:rPr>
          <w:rFonts w:ascii="Times New Roman" w:hAnsi="Times New Roman" w:cs="Times New Roman"/>
          <w:b w:val="0"/>
          <w:i w:val="0"/>
          <w:sz w:val="22"/>
        </w:rPr>
        <w:t>into `Transaction = FAILED` unless a governed policy explicitly defines that derived condition. Multidimensional divergence remains visible.</w:t>
      </w:r>
    </w:p>
    <w:p>
      <w:pPr>
        <w:keepNext/>
        <w:spacing w:before="240" w:after="100"/>
        <w:outlineLvl w:val="1"/>
      </w:pPr>
      <w:r>
        <w:rPr>
          <w:rFonts w:ascii="Arial" w:hAnsi="Arial" w:cs="Arial"/>
          <w:b/>
          <w:i w:val="0"/>
          <w:color w:val="2E528F"/>
          <w:sz w:val="26"/>
        </w:rPr>
        <w:t>19.119 Transaction Health vs Authoritative State</w:t>
      </w:r>
    </w:p>
    <w:p>
      <w:pPr>
        <w:spacing w:after="80" w:line="293" w:lineRule="auto"/>
        <w:jc w:val="left"/>
      </w:pPr>
      <w:r>
        <w:rPr>
          <w:rFonts w:ascii="Times New Roman" w:hAnsi="Times New Roman" w:cs="Times New Roman"/>
          <w:b w:val="0"/>
          <w:i w:val="0"/>
          <w:sz w:val="22"/>
        </w:rPr>
        <w:t>The following are operational analytics:</w:t>
      </w:r>
    </w:p>
    <w:p>
      <w:pPr>
        <w:spacing w:after="80" w:line="293" w:lineRule="auto"/>
        <w:ind w:left="283"/>
        <w:jc w:val="left"/>
      </w:pPr>
      <w:r>
        <w:rPr>
          <w:rFonts w:ascii="Times New Roman" w:hAnsi="Times New Roman" w:cs="Times New Roman"/>
          <w:b w:val="0"/>
          <w:i w:val="0"/>
          <w:sz w:val="22"/>
        </w:rPr>
        <w:t>- Transaction Health;</w:t>
      </w:r>
    </w:p>
    <w:p>
      <w:pPr>
        <w:spacing w:after="80" w:line="293" w:lineRule="auto"/>
        <w:ind w:left="283"/>
        <w:jc w:val="left"/>
      </w:pPr>
      <w:r>
        <w:rPr>
          <w:rFonts w:ascii="Times New Roman" w:hAnsi="Times New Roman" w:cs="Times New Roman"/>
          <w:b w:val="0"/>
          <w:i w:val="0"/>
          <w:sz w:val="22"/>
        </w:rPr>
        <w:t>- Divergence Index;</w:t>
      </w:r>
    </w:p>
    <w:p>
      <w:pPr>
        <w:spacing w:after="80" w:line="293" w:lineRule="auto"/>
        <w:ind w:left="283"/>
        <w:jc w:val="left"/>
      </w:pPr>
      <w:r>
        <w:rPr>
          <w:rFonts w:ascii="Times New Roman" w:hAnsi="Times New Roman" w:cs="Times New Roman"/>
          <w:b w:val="0"/>
          <w:i w:val="0"/>
          <w:sz w:val="22"/>
        </w:rPr>
        <w:t>- Reconciliation Confidence;</w:t>
      </w:r>
    </w:p>
    <w:p>
      <w:pPr>
        <w:spacing w:after="80" w:line="293" w:lineRule="auto"/>
        <w:ind w:left="283"/>
        <w:jc w:val="left"/>
      </w:pPr>
      <w:r>
        <w:rPr>
          <w:rFonts w:ascii="Times New Roman" w:hAnsi="Times New Roman" w:cs="Times New Roman"/>
          <w:b w:val="0"/>
          <w:i w:val="0"/>
          <w:sz w:val="22"/>
        </w:rPr>
        <w:t>- State Integrity Score.</w:t>
      </w:r>
    </w:p>
    <w:p>
      <w:pPr>
        <w:spacing w:after="80" w:line="293" w:lineRule="auto"/>
        <w:jc w:val="left"/>
      </w:pPr>
      <w:r>
        <w:rPr>
          <w:rFonts w:ascii="Times New Roman" w:hAnsi="Times New Roman" w:cs="Times New Roman"/>
          <w:b w:val="0"/>
          <w:i w:val="0"/>
          <w:sz w:val="22"/>
        </w:rPr>
        <w:t>They must never overwrite or replace:</w:t>
      </w:r>
    </w:p>
    <w:p>
      <w:pPr>
        <w:spacing w:after="80" w:line="293" w:lineRule="auto"/>
        <w:ind w:left="283"/>
        <w:jc w:val="left"/>
      </w:pPr>
      <w:r>
        <w:rPr>
          <w:rFonts w:ascii="Times New Roman" w:hAnsi="Times New Roman" w:cs="Times New Roman"/>
          <w:b w:val="0"/>
          <w:i w:val="0"/>
          <w:sz w:val="22"/>
        </w:rPr>
        <w:t>- state vector;</w:t>
      </w:r>
    </w:p>
    <w:p>
      <w:pPr>
        <w:spacing w:after="80" w:line="293" w:lineRule="auto"/>
        <w:ind w:left="283"/>
        <w:jc w:val="left"/>
      </w:pPr>
      <w:r>
        <w:rPr>
          <w:rFonts w:ascii="Times New Roman" w:hAnsi="Times New Roman" w:cs="Times New Roman"/>
          <w:b w:val="0"/>
          <w:i w:val="0"/>
          <w:sz w:val="22"/>
        </w:rPr>
        <w:t>- event history;</w:t>
      </w:r>
    </w:p>
    <w:p>
      <w:pPr>
        <w:spacing w:after="80" w:line="293" w:lineRule="auto"/>
        <w:ind w:left="283"/>
        <w:jc w:val="left"/>
      </w:pPr>
      <w:r>
        <w:rPr>
          <w:rFonts w:ascii="Times New Roman" w:hAnsi="Times New Roman" w:cs="Times New Roman"/>
          <w:b w:val="0"/>
          <w:i w:val="0"/>
          <w:sz w:val="22"/>
        </w:rPr>
        <w:t>- external authority state.</w:t>
      </w:r>
    </w:p>
    <w:p>
      <w:pPr>
        <w:keepNext/>
        <w:spacing w:before="240" w:after="100"/>
        <w:outlineLvl w:val="1"/>
      </w:pPr>
      <w:r>
        <w:rPr>
          <w:rFonts w:ascii="Arial" w:hAnsi="Arial" w:cs="Arial"/>
          <w:b/>
          <w:i w:val="0"/>
          <w:color w:val="2E528F"/>
          <w:sz w:val="26"/>
        </w:rPr>
        <w:t>19.120 Financial Risk vs State Integrity</w:t>
      </w:r>
    </w:p>
    <w:p>
      <w:pPr>
        <w:spacing w:after="80" w:line="293" w:lineRule="auto"/>
        <w:jc w:val="left"/>
      </w:pPr>
      <w:r>
        <w:rPr>
          <w:rFonts w:ascii="Times New Roman" w:hAnsi="Times New Roman" w:cs="Times New Roman"/>
          <w:b w:val="0"/>
          <w:i w:val="0"/>
          <w:sz w:val="22"/>
        </w:rPr>
        <w:t>These concepts remain separate: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Concept</w:t>
            </w:r>
          </w:p>
        </w:tc>
        <w:tc>
          <w:tcPr>
            <w:tcW w:type="dxa" w:w="4819"/>
            <w:shd w:val="clear" w:fill="D9E2F3"/>
          </w:tcPr>
          <w:p>
            <w:pPr>
              <w:spacing w:after="20" w:before="20" w:line="240" w:lineRule="auto"/>
            </w:pPr>
            <w:r/>
            <w:r>
              <w:rPr>
                <w:rFonts w:ascii="Arial" w:hAnsi="Arial" w:cs="Arial"/>
                <w:b/>
                <w:i w:val="0"/>
                <w:sz w:val="18"/>
              </w:rPr>
              <w:t>Question</w:t>
            </w:r>
          </w:p>
        </w:tc>
      </w:tr>
      <w:tr>
        <w:tc>
          <w:tcPr>
            <w:tcW w:type="dxa" w:w="4819"/>
          </w:tcPr>
          <w:p>
            <w:pPr>
              <w:spacing w:after="20" w:before="20" w:line="240" w:lineRule="auto"/>
            </w:pPr>
            <w:r/>
            <w:r>
              <w:rPr>
                <w:rFonts w:ascii="Arial" w:hAnsi="Arial" w:cs="Arial"/>
                <w:b w:val="0"/>
                <w:i w:val="0"/>
                <w:sz w:val="17"/>
              </w:rPr>
              <w:t>Financial Exposure</w:t>
            </w:r>
          </w:p>
        </w:tc>
        <w:tc>
          <w:tcPr>
            <w:tcW w:type="dxa" w:w="4819"/>
          </w:tcPr>
          <w:p>
            <w:pPr>
              <w:spacing w:after="20" w:before="20" w:line="240" w:lineRule="auto"/>
            </w:pPr>
            <w:r/>
            <w:r>
              <w:rPr>
                <w:rFonts w:ascii="Arial" w:hAnsi="Arial" w:cs="Arial"/>
                <w:b w:val="0"/>
                <w:i w:val="0"/>
                <w:sz w:val="17"/>
              </w:rPr>
              <w:t>How much economic exposure exists?</w:t>
            </w:r>
          </w:p>
        </w:tc>
      </w:tr>
      <w:tr>
        <w:tc>
          <w:tcPr>
            <w:tcW w:type="dxa" w:w="4819"/>
          </w:tcPr>
          <w:p>
            <w:pPr>
              <w:spacing w:after="20" w:before="20" w:line="240" w:lineRule="auto"/>
            </w:pPr>
            <w:r/>
            <w:r>
              <w:rPr>
                <w:rFonts w:ascii="Arial" w:hAnsi="Arial" w:cs="Arial"/>
                <w:b w:val="0"/>
                <w:i w:val="0"/>
                <w:sz w:val="17"/>
              </w:rPr>
              <w:t>State Integrity</w:t>
            </w:r>
          </w:p>
        </w:tc>
        <w:tc>
          <w:tcPr>
            <w:tcW w:type="dxa" w:w="4819"/>
          </w:tcPr>
          <w:p>
            <w:pPr>
              <w:spacing w:after="20" w:before="20" w:line="240" w:lineRule="auto"/>
            </w:pPr>
            <w:r/>
            <w:r>
              <w:rPr>
                <w:rFonts w:ascii="Arial" w:hAnsi="Arial" w:cs="Arial"/>
                <w:b w:val="0"/>
                <w:i w:val="0"/>
                <w:sz w:val="17"/>
              </w:rPr>
              <w:t>How strongly is the current state supported by evidence?</w:t>
            </w:r>
          </w:p>
        </w:tc>
      </w:tr>
      <w:tr>
        <w:tc>
          <w:tcPr>
            <w:tcW w:type="dxa" w:w="4819"/>
          </w:tcPr>
          <w:p>
            <w:pPr>
              <w:spacing w:after="20" w:before="20" w:line="240" w:lineRule="auto"/>
            </w:pPr>
            <w:r/>
            <w:r>
              <w:rPr>
                <w:rFonts w:ascii="Arial" w:hAnsi="Arial" w:cs="Arial"/>
                <w:b w:val="0"/>
                <w:i w:val="0"/>
                <w:sz w:val="17"/>
              </w:rPr>
              <w:t>Reconciliation Confidence</w:t>
            </w:r>
          </w:p>
        </w:tc>
        <w:tc>
          <w:tcPr>
            <w:tcW w:type="dxa" w:w="4819"/>
          </w:tcPr>
          <w:p>
            <w:pPr>
              <w:spacing w:after="20" w:before="20" w:line="240" w:lineRule="auto"/>
            </w:pPr>
            <w:r/>
            <w:r>
              <w:rPr>
                <w:rFonts w:ascii="Arial" w:hAnsi="Arial" w:cs="Arial"/>
                <w:b w:val="0"/>
                <w:i w:val="0"/>
                <w:sz w:val="17"/>
              </w:rPr>
              <w:t>How well do relevant systems agree?</w:t>
            </w:r>
          </w:p>
        </w:tc>
      </w:tr>
      <w:tr>
        <w:tc>
          <w:tcPr>
            <w:tcW w:type="dxa" w:w="4819"/>
          </w:tcPr>
          <w:p>
            <w:pPr>
              <w:spacing w:after="20" w:before="20" w:line="240" w:lineRule="auto"/>
            </w:pPr>
            <w:r/>
            <w:r>
              <w:rPr>
                <w:rFonts w:ascii="Arial" w:hAnsi="Arial" w:cs="Arial"/>
                <w:b w:val="0"/>
                <w:i w:val="0"/>
                <w:sz w:val="17"/>
              </w:rPr>
              <w:t>Transaction Health</w:t>
            </w:r>
          </w:p>
        </w:tc>
        <w:tc>
          <w:tcPr>
            <w:tcW w:type="dxa" w:w="4819"/>
          </w:tcPr>
          <w:p>
            <w:pPr>
              <w:spacing w:after="20" w:before="20" w:line="240" w:lineRule="auto"/>
            </w:pPr>
            <w:r/>
            <w:r>
              <w:rPr>
                <w:rFonts w:ascii="Arial" w:hAnsi="Arial" w:cs="Arial"/>
                <w:b w:val="0"/>
                <w:i w:val="0"/>
                <w:sz w:val="17"/>
              </w:rPr>
              <w:t>What is the operational condition?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trade can have High Financial Exposure + High State Integrity, or Low Financial Exposure + Low State Integrity. These are different concepts.</w:t>
      </w:r>
    </w:p>
    <w:p>
      <w:pPr>
        <w:keepNext/>
        <w:spacing w:before="240" w:after="100"/>
        <w:outlineLvl w:val="1"/>
      </w:pPr>
      <w:r>
        <w:rPr>
          <w:rFonts w:ascii="Arial" w:hAnsi="Arial" w:cs="Arial"/>
          <w:b/>
          <w:i w:val="0"/>
          <w:color w:val="2E528F"/>
          <w:sz w:val="26"/>
        </w:rPr>
        <w:t>19.121 SGTX Transaction Constitution</w:t>
      </w:r>
    </w:p>
    <w:p>
      <w:pPr>
        <w:spacing w:after="80" w:line="293" w:lineRule="auto"/>
        <w:jc w:val="left"/>
      </w:pPr>
      <w:r>
        <w:rPr>
          <w:rFonts w:ascii="Times New Roman" w:hAnsi="Times New Roman" w:cs="Times New Roman"/>
          <w:b w:val="0"/>
          <w:i w:val="0"/>
          <w:sz w:val="22"/>
        </w:rPr>
        <w:t>The following are non-negotiable constitutional rules:</w:t>
      </w:r>
    </w:p>
    <w:p>
      <w:pPr>
        <w:spacing w:after="80" w:line="293" w:lineRule="auto"/>
        <w:jc w:val="left"/>
      </w:pPr>
      <w:r>
        <w:rPr>
          <w:rFonts w:ascii="Times New Roman" w:hAnsi="Times New Roman" w:cs="Times New Roman"/>
          <w:b w:val="0"/>
          <w:i w:val="0"/>
          <w:sz w:val="22"/>
        </w:rPr>
        <w:t>1. No silent state mutation. 2. No destructive rollback of authoritative history. 3. External authority remains authoritative within its domain. 4. AI cannot independently create unauthorized material authoritative state. 5. Every material correction is traceable. 6. Every reversal is a new event. 7. Financial, legal, execution and physical states remain distinct. 8. Unknown is a valid state. 9. Authority must be explicit. 10. Evidence must support material state transitions. 11. Reconciliation is a first-class lifecycle. 12. Post-closure events remain addressable. 13. No subsystem may silently redefine transaction truth. 14. No forced closure on timeout. 15. Assertions are not automatically confirmations. 16. Evidence integrity is distinct from legal authority. 17. Policy version must be traceable. 18. Historical events remain immutable. 19. Current operational state is derived from governed events. 20. Recovery uses compensating execution, not historical erasure. 21. USTN is a canonical namespace, not universal external authority. 22. Bank settlement remains bank-authoritative. 23. Regulatory classification depends on actual functionality. 24. ISO 20022 is an external interoperability standard, not the SGTX canonical state model. 25. Multi-leg settlement requires an explicit atomicity policy. 26. Settlement instruction state is distinct from trade state. 27. Settlement leg state is distinct from parent settlement state. 28. Closure is derived through closure policy. 29. Evidence may be provisional, but provisional status must be explicit. 30. A timeout cannot be interpreted as successful settlement without authoritative evidence. 31. Observations, Assertions, and Confirmations are distinct event types with distinct authority characteristics. 32. Commands and Events are distinct architectural constructs. A Command is a request for action; an Event is a record that an action occurred or was accepted/rejected. No command becomes an authoritative event without passing through the governed control path.</w:t>
      </w:r>
    </w:p>
    <w:p>
      <w:pPr>
        <w:keepNext/>
        <w:spacing w:before="240" w:after="100"/>
        <w:outlineLvl w:val="1"/>
      </w:pPr>
      <w:r>
        <w:rPr>
          <w:rFonts w:ascii="Arial" w:hAnsi="Arial" w:cs="Arial"/>
          <w:b/>
          <w:i w:val="0"/>
          <w:color w:val="2E528F"/>
          <w:sz w:val="26"/>
        </w:rPr>
        <w:t>19.122 SGTX Bank / Financial Boundary</w:t>
      </w:r>
    </w:p>
    <w:p>
      <w:pPr>
        <w:spacing w:after="80" w:line="293" w:lineRule="auto"/>
        <w:jc w:val="left"/>
      </w:pPr>
      <w:r>
        <w:rPr>
          <w:rFonts w:ascii="Times New Roman" w:hAnsi="Times New Roman" w:cs="Times New Roman"/>
          <w:b w:val="0"/>
          <w:i w:val="0"/>
          <w:sz w:val="22"/>
        </w:rPr>
        <w:t>The bank controls: funds, bank ledger, account authorization, bank compliance, payment execution, settlement confirmation, bank-side risk controls.</w:t>
      </w:r>
    </w:p>
    <w:p>
      <w:pPr>
        <w:spacing w:after="80" w:line="293" w:lineRule="auto"/>
        <w:jc w:val="left"/>
      </w:pPr>
      <w:r>
        <w:rPr>
          <w:rFonts w:ascii="Times New Roman" w:hAnsi="Times New Roman" w:cs="Times New Roman"/>
          <w:b w:val="0"/>
          <w:i w:val="0"/>
          <w:sz w:val="22"/>
        </w:rPr>
        <w:t>SGTX controls or coordinates, within its authorized scope: transaction orchestration, obligation state, execution state, USTN correlation, settlement instruction state, settlement leg state, evidence, reconciliation, exception workflow, recovery orchestration, certificates, cross-system state.</w:t>
      </w:r>
    </w:p>
    <w:p>
      <w:pPr>
        <w:spacing w:after="80" w:line="293" w:lineRule="auto"/>
        <w:jc w:val="left"/>
      </w:pPr>
      <w:r>
        <w:rPr>
          <w:rFonts w:ascii="Times New Roman" w:hAnsi="Times New Roman" w:cs="Times New Roman"/>
          <w:b w:val="0"/>
          <w:i w:val="0"/>
          <w:sz w:val="22"/>
        </w:rPr>
        <w:t>Neither side silently replaces the other's authority.</w:t>
      </w:r>
    </w:p>
    <w:p>
      <w:pPr>
        <w:keepNext/>
        <w:spacing w:before="240" w:after="100"/>
        <w:outlineLvl w:val="1"/>
      </w:pPr>
      <w:r>
        <w:rPr>
          <w:rFonts w:ascii="Arial" w:hAnsi="Arial" w:cs="Arial"/>
          <w:b/>
          <w:i w:val="0"/>
          <w:color w:val="2E528F"/>
          <w:sz w:val="26"/>
        </w:rPr>
        <w:t>19.123 SGTX Institutional Control Boundary</w:t>
      </w:r>
    </w:p>
    <w:p>
      <w:pPr>
        <w:spacing w:after="80" w:line="293" w:lineRule="auto"/>
        <w:jc w:val="left"/>
      </w:pPr>
      <w:r>
        <w:rPr>
          <w:rFonts w:ascii="Times New Roman" w:hAnsi="Times New Roman" w:cs="Times New Roman"/>
          <w:b w:val="0"/>
          <w:i w:val="0"/>
          <w:sz w:val="22"/>
        </w:rPr>
        <w:t>SGTX is:</w:t>
      </w:r>
    </w:p>
    <w:p>
      <w:pPr>
        <w:spacing w:after="80" w:line="293" w:lineRule="auto"/>
        <w:ind w:left="283"/>
        <w:jc w:val="left"/>
      </w:pPr>
      <w:r>
        <w:rPr>
          <w:rFonts w:ascii="Times New Roman" w:hAnsi="Times New Roman" w:cs="Times New Roman"/>
          <w:b w:val="0"/>
          <w:i w:val="0"/>
          <w:sz w:val="22"/>
        </w:rPr>
        <w:t>- execution infrastructure;</w:t>
      </w:r>
    </w:p>
    <w:p>
      <w:pPr>
        <w:spacing w:after="80" w:line="293" w:lineRule="auto"/>
        <w:ind w:left="283"/>
        <w:jc w:val="left"/>
      </w:pPr>
      <w:r>
        <w:rPr>
          <w:rFonts w:ascii="Times New Roman" w:hAnsi="Times New Roman" w:cs="Times New Roman"/>
          <w:b w:val="0"/>
          <w:i w:val="0"/>
          <w:sz w:val="22"/>
        </w:rPr>
        <w:t>- state infrastructure;</w:t>
      </w:r>
    </w:p>
    <w:p>
      <w:pPr>
        <w:spacing w:after="80" w:line="293" w:lineRule="auto"/>
        <w:ind w:left="283"/>
        <w:jc w:val="left"/>
      </w:pPr>
      <w:r>
        <w:rPr>
          <w:rFonts w:ascii="Times New Roman" w:hAnsi="Times New Roman" w:cs="Times New Roman"/>
          <w:b w:val="0"/>
          <w:i w:val="0"/>
          <w:sz w:val="22"/>
        </w:rPr>
        <w:t>- orchestration infrastructure;</w:t>
      </w:r>
    </w:p>
    <w:p>
      <w:pPr>
        <w:spacing w:after="80" w:line="293" w:lineRule="auto"/>
        <w:ind w:left="283"/>
        <w:jc w:val="left"/>
      </w:pPr>
      <w:r>
        <w:rPr>
          <w:rFonts w:ascii="Times New Roman" w:hAnsi="Times New Roman" w:cs="Times New Roman"/>
          <w:b w:val="0"/>
          <w:i w:val="0"/>
          <w:sz w:val="22"/>
        </w:rPr>
        <w:t>- reconciliation infrastructure;</w:t>
      </w:r>
    </w:p>
    <w:p>
      <w:pPr>
        <w:spacing w:after="80" w:line="293" w:lineRule="auto"/>
        <w:ind w:left="283"/>
        <w:jc w:val="left"/>
      </w:pPr>
      <w:r>
        <w:rPr>
          <w:rFonts w:ascii="Times New Roman" w:hAnsi="Times New Roman" w:cs="Times New Roman"/>
          <w:b w:val="0"/>
          <w:i w:val="0"/>
          <w:sz w:val="22"/>
        </w:rPr>
        <w:t>- evidence infrastructure;</w:t>
      </w:r>
    </w:p>
    <w:p>
      <w:pPr>
        <w:spacing w:after="80" w:line="293" w:lineRule="auto"/>
        <w:ind w:left="283"/>
        <w:jc w:val="left"/>
      </w:pPr>
      <w:r>
        <w:rPr>
          <w:rFonts w:ascii="Times New Roman" w:hAnsi="Times New Roman" w:cs="Times New Roman"/>
          <w:b w:val="0"/>
          <w:i w:val="0"/>
          <w:sz w:val="22"/>
        </w:rPr>
        <w:t>- exception/recovery infrastructure.</w:t>
      </w:r>
    </w:p>
    <w:p>
      <w:pPr>
        <w:spacing w:after="80" w:line="293" w:lineRule="auto"/>
        <w:jc w:val="left"/>
      </w:pPr>
      <w:r>
        <w:rPr>
          <w:rFonts w:ascii="Times New Roman" w:hAnsi="Times New Roman" w:cs="Times New Roman"/>
          <w:b w:val="0"/>
          <w:i w:val="0"/>
          <w:sz w:val="22"/>
        </w:rPr>
        <w:t>SGTX is not inherently:</w:t>
      </w:r>
    </w:p>
    <w:p>
      <w:pPr>
        <w:spacing w:after="80" w:line="293" w:lineRule="auto"/>
        <w:ind w:left="283"/>
        <w:jc w:val="left"/>
      </w:pPr>
      <w:r>
        <w:rPr>
          <w:rFonts w:ascii="Times New Roman" w:hAnsi="Times New Roman" w:cs="Times New Roman"/>
          <w:b w:val="0"/>
          <w:i w:val="0"/>
          <w:sz w:val="22"/>
        </w:rPr>
        <w:t>- commercial bank;</w:t>
      </w:r>
    </w:p>
    <w:p>
      <w:pPr>
        <w:spacing w:after="80" w:line="293" w:lineRule="auto"/>
        <w:ind w:left="283"/>
        <w:jc w:val="left"/>
      </w:pPr>
      <w:r>
        <w:rPr>
          <w:rFonts w:ascii="Times New Roman" w:hAnsi="Times New Roman" w:cs="Times New Roman"/>
          <w:b w:val="0"/>
          <w:i w:val="0"/>
          <w:sz w:val="22"/>
        </w:rPr>
        <w:t>- central bank;</w:t>
      </w:r>
    </w:p>
    <w:p>
      <w:pPr>
        <w:spacing w:after="80" w:line="293" w:lineRule="auto"/>
        <w:ind w:left="283"/>
        <w:jc w:val="left"/>
      </w:pPr>
      <w:r>
        <w:rPr>
          <w:rFonts w:ascii="Times New Roman" w:hAnsi="Times New Roman" w:cs="Times New Roman"/>
          <w:b w:val="0"/>
          <w:i w:val="0"/>
          <w:sz w:val="22"/>
        </w:rPr>
        <w:t>- customer-funds custodian;</w:t>
      </w:r>
    </w:p>
    <w:p>
      <w:pPr>
        <w:spacing w:after="80" w:line="293" w:lineRule="auto"/>
        <w:ind w:left="283"/>
        <w:jc w:val="left"/>
      </w:pPr>
      <w:r>
        <w:rPr>
          <w:rFonts w:ascii="Times New Roman" w:hAnsi="Times New Roman" w:cs="Times New Roman"/>
          <w:b w:val="0"/>
          <w:i w:val="0"/>
          <w:sz w:val="22"/>
        </w:rPr>
        <w:t>- escrow institution;</w:t>
      </w:r>
    </w:p>
    <w:p>
      <w:pPr>
        <w:spacing w:after="80" w:line="293" w:lineRule="auto"/>
        <w:ind w:left="283"/>
        <w:jc w:val="left"/>
      </w:pPr>
      <w:r>
        <w:rPr>
          <w:rFonts w:ascii="Times New Roman" w:hAnsi="Times New Roman" w:cs="Times New Roman"/>
          <w:b w:val="0"/>
          <w:i w:val="0"/>
          <w:sz w:val="22"/>
        </w:rPr>
        <w:t>- payment rail;</w:t>
      </w:r>
    </w:p>
    <w:p>
      <w:pPr>
        <w:spacing w:after="80" w:line="293" w:lineRule="auto"/>
        <w:ind w:left="283"/>
        <w:jc w:val="left"/>
      </w:pPr>
      <w:r>
        <w:rPr>
          <w:rFonts w:ascii="Times New Roman" w:hAnsi="Times New Roman" w:cs="Times New Roman"/>
          <w:b w:val="0"/>
          <w:i w:val="0"/>
          <w:sz w:val="22"/>
        </w:rPr>
        <w:t>- legal adjudicator;</w:t>
      </w:r>
    </w:p>
    <w:p>
      <w:pPr>
        <w:spacing w:after="80" w:line="293" w:lineRule="auto"/>
        <w:ind w:left="283"/>
        <w:jc w:val="left"/>
      </w:pPr>
      <w:r>
        <w:rPr>
          <w:rFonts w:ascii="Times New Roman" w:hAnsi="Times New Roman" w:cs="Times New Roman"/>
          <w:b w:val="0"/>
          <w:i w:val="0"/>
          <w:sz w:val="22"/>
        </w:rPr>
        <w:t>- regulatory authority;</w:t>
      </w:r>
    </w:p>
    <w:p>
      <w:pPr>
        <w:spacing w:after="80" w:line="293" w:lineRule="auto"/>
        <w:ind w:left="283"/>
        <w:jc w:val="left"/>
      </w:pPr>
      <w:r>
        <w:rPr>
          <w:rFonts w:ascii="Times New Roman" w:hAnsi="Times New Roman" w:cs="Times New Roman"/>
          <w:b w:val="0"/>
          <w:i w:val="0"/>
          <w:sz w:val="22"/>
        </w:rPr>
        <w:t>- ERP replacement;</w:t>
      </w:r>
    </w:p>
    <w:p>
      <w:pPr>
        <w:spacing w:after="80" w:line="293" w:lineRule="auto"/>
        <w:ind w:left="283"/>
        <w:jc w:val="left"/>
      </w:pPr>
      <w:r>
        <w:rPr>
          <w:rFonts w:ascii="Times New Roman" w:hAnsi="Times New Roman" w:cs="Times New Roman"/>
          <w:b w:val="0"/>
          <w:i w:val="0"/>
          <w:sz w:val="22"/>
        </w:rPr>
        <w:t>- marketplace replacement;</w:t>
      </w:r>
    </w:p>
    <w:p>
      <w:pPr>
        <w:spacing w:after="80" w:line="293" w:lineRule="auto"/>
        <w:ind w:left="283"/>
        <w:jc w:val="left"/>
      </w:pPr>
      <w:r>
        <w:rPr>
          <w:rFonts w:ascii="Times New Roman" w:hAnsi="Times New Roman" w:cs="Times New Roman"/>
          <w:b w:val="0"/>
          <w:i w:val="0"/>
          <w:sz w:val="22"/>
        </w:rPr>
        <w:t>- autonomous AI sovereign.</w:t>
      </w:r>
    </w:p>
    <w:p>
      <w:pPr>
        <w:spacing w:after="80" w:line="293" w:lineRule="auto"/>
        <w:jc w:val="left"/>
      </w:pPr>
      <w:r>
        <w:rPr>
          <w:rFonts w:ascii="Times New Roman" w:hAnsi="Times New Roman" w:cs="Times New Roman"/>
          <w:b w:val="0"/>
          <w:i w:val="0"/>
          <w:sz w:val="22"/>
        </w:rPr>
        <w:t>Actual regulatory treatment depends on jurisdiction and implemented functionality.</w:t>
      </w:r>
    </w:p>
    <w:p>
      <w:pPr>
        <w:keepNext/>
        <w:spacing w:before="240" w:after="100"/>
        <w:outlineLvl w:val="1"/>
      </w:pPr>
      <w:r>
        <w:rPr>
          <w:rFonts w:ascii="Arial" w:hAnsi="Arial" w:cs="Arial"/>
          <w:b/>
          <w:i w:val="0"/>
          <w:color w:val="2E528F"/>
          <w:sz w:val="26"/>
        </w:rPr>
        <w:t>19.124 Implementation Priority Framework</w:t>
      </w:r>
    </w:p>
    <w:p>
      <w:pPr>
        <w:spacing w:after="80" w:line="293" w:lineRule="auto"/>
        <w:jc w:val="left"/>
      </w:pPr>
      <w:r>
        <w:rPr>
          <w:rFonts w:ascii="Times New Roman" w:hAnsi="Times New Roman" w:cs="Times New Roman"/>
          <w:b w:val="0"/>
          <w:i w:val="0"/>
          <w:sz w:val="22"/>
        </w:rPr>
        <w:t>Implementation follows dependency-based architecture waves; calendar estimates are planning references, not contractual project commitments.</w:t>
      </w:r>
    </w:p>
    <w:p>
      <w:pPr>
        <w:spacing w:after="80" w:line="293" w:lineRule="auto"/>
        <w:jc w:val="left"/>
      </w:pPr>
      <w:r>
        <w:rPr>
          <w:rFonts w:ascii="Times New Roman" w:hAnsi="Times New Roman" w:cs="Times New Roman"/>
          <w:b w:val="0"/>
          <w:i w:val="0"/>
          <w:sz w:val="22"/>
        </w:rPr>
        <w:t>P0 — Constitutional Core. Implement:</w:t>
      </w:r>
    </w:p>
    <w:p>
      <w:pPr>
        <w:spacing w:after="80" w:line="293" w:lineRule="auto"/>
        <w:ind w:left="283"/>
        <w:jc w:val="left"/>
      </w:pPr>
      <w:r>
        <w:rPr>
          <w:rFonts w:ascii="Times New Roman" w:hAnsi="Times New Roman" w:cs="Times New Roman"/>
          <w:b w:val="0"/>
          <w:i w:val="0"/>
          <w:sz w:val="22"/>
        </w:rPr>
        <w:t>- multi-clock architecture;</w:t>
      </w:r>
    </w:p>
    <w:p>
      <w:pPr>
        <w:spacing w:after="80" w:line="293" w:lineRule="auto"/>
        <w:ind w:left="283"/>
        <w:jc w:val="left"/>
      </w:pPr>
      <w:r>
        <w:rPr>
          <w:rFonts w:ascii="Times New Roman" w:hAnsi="Times New Roman" w:cs="Times New Roman"/>
          <w:b w:val="0"/>
          <w:i w:val="0"/>
          <w:sz w:val="22"/>
        </w:rPr>
        <w:t>- state vector;</w:t>
      </w:r>
    </w:p>
    <w:p>
      <w:pPr>
        <w:spacing w:after="80" w:line="293" w:lineRule="auto"/>
        <w:ind w:left="283"/>
        <w:jc w:val="left"/>
      </w:pPr>
      <w:r>
        <w:rPr>
          <w:rFonts w:ascii="Times New Roman" w:hAnsi="Times New Roman" w:cs="Times New Roman"/>
          <w:b w:val="0"/>
          <w:i w:val="0"/>
          <w:sz w:val="22"/>
        </w:rPr>
        <w:t>- finality classes;</w:t>
      </w:r>
    </w:p>
    <w:p>
      <w:pPr>
        <w:spacing w:after="80" w:line="293" w:lineRule="auto"/>
        <w:ind w:left="283"/>
        <w:jc w:val="left"/>
      </w:pPr>
      <w:r>
        <w:rPr>
          <w:rFonts w:ascii="Times New Roman" w:hAnsi="Times New Roman" w:cs="Times New Roman"/>
          <w:b w:val="0"/>
          <w:i w:val="0"/>
          <w:sz w:val="22"/>
        </w:rPr>
        <w:t>- canonical event spine;</w:t>
      </w:r>
    </w:p>
    <w:p>
      <w:pPr>
        <w:spacing w:after="80" w:line="293" w:lineRule="auto"/>
        <w:ind w:left="283"/>
        <w:jc w:val="left"/>
      </w:pPr>
      <w:r>
        <w:rPr>
          <w:rFonts w:ascii="Times New Roman" w:hAnsi="Times New Roman" w:cs="Times New Roman"/>
          <w:b w:val="0"/>
          <w:i w:val="0"/>
          <w:sz w:val="22"/>
        </w:rPr>
        <w:t>- USTN lineage;</w:t>
      </w:r>
    </w:p>
    <w:p>
      <w:pPr>
        <w:spacing w:after="80" w:line="293" w:lineRule="auto"/>
        <w:ind w:left="283"/>
        <w:jc w:val="left"/>
      </w:pPr>
      <w:r>
        <w:rPr>
          <w:rFonts w:ascii="Times New Roman" w:hAnsi="Times New Roman" w:cs="Times New Roman"/>
          <w:b w:val="0"/>
          <w:i w:val="0"/>
          <w:sz w:val="22"/>
        </w:rPr>
        <w:t>- immutable history;</w:t>
      </w:r>
    </w:p>
    <w:p>
      <w:pPr>
        <w:spacing w:after="80" w:line="293" w:lineRule="auto"/>
        <w:ind w:left="283"/>
        <w:jc w:val="left"/>
      </w:pPr>
      <w:r>
        <w:rPr>
          <w:rFonts w:ascii="Times New Roman" w:hAnsi="Times New Roman" w:cs="Times New Roman"/>
          <w:b w:val="0"/>
          <w:i w:val="0"/>
          <w:sz w:val="22"/>
        </w:rPr>
        <w:t>- authority matrix;</w:t>
      </w:r>
    </w:p>
    <w:p>
      <w:pPr>
        <w:spacing w:after="80" w:line="293" w:lineRule="auto"/>
        <w:ind w:left="283"/>
        <w:jc w:val="left"/>
      </w:pPr>
      <w:r>
        <w:rPr>
          <w:rFonts w:ascii="Times New Roman" w:hAnsi="Times New Roman" w:cs="Times New Roman"/>
          <w:b w:val="0"/>
          <w:i w:val="0"/>
          <w:sz w:val="22"/>
        </w:rPr>
        <w:t>- policy versioning;</w:t>
      </w:r>
    </w:p>
    <w:p>
      <w:pPr>
        <w:spacing w:after="80" w:line="293" w:lineRule="auto"/>
        <w:ind w:left="283"/>
        <w:jc w:val="left"/>
      </w:pPr>
      <w:r>
        <w:rPr>
          <w:rFonts w:ascii="Times New Roman" w:hAnsi="Times New Roman" w:cs="Times New Roman"/>
          <w:b w:val="0"/>
          <w:i w:val="0"/>
          <w:sz w:val="22"/>
        </w:rPr>
        <w:t>- three timestamps;</w:t>
      </w:r>
    </w:p>
    <w:p>
      <w:pPr>
        <w:spacing w:after="80" w:line="293" w:lineRule="auto"/>
        <w:ind w:left="283"/>
        <w:jc w:val="left"/>
      </w:pPr>
      <w:r>
        <w:rPr>
          <w:rFonts w:ascii="Times New Roman" w:hAnsi="Times New Roman" w:cs="Times New Roman"/>
          <w:b w:val="0"/>
          <w:i w:val="0"/>
          <w:sz w:val="22"/>
        </w:rPr>
        <w:t>- idempotency;</w:t>
      </w:r>
    </w:p>
    <w:p>
      <w:pPr>
        <w:spacing w:after="80" w:line="293" w:lineRule="auto"/>
        <w:ind w:left="283"/>
        <w:jc w:val="left"/>
      </w:pPr>
      <w:r>
        <w:rPr>
          <w:rFonts w:ascii="Times New Roman" w:hAnsi="Times New Roman" w:cs="Times New Roman"/>
          <w:b w:val="0"/>
          <w:i w:val="0"/>
          <w:sz w:val="22"/>
        </w:rPr>
        <w:t>- out-of-order event handling;</w:t>
      </w:r>
    </w:p>
    <w:p>
      <w:pPr>
        <w:spacing w:after="80" w:line="293" w:lineRule="auto"/>
        <w:ind w:left="283"/>
        <w:jc w:val="left"/>
      </w:pPr>
      <w:r>
        <w:rPr>
          <w:rFonts w:ascii="Times New Roman" w:hAnsi="Times New Roman" w:cs="Times New Roman"/>
          <w:b w:val="0"/>
          <w:i w:val="0"/>
          <w:sz w:val="22"/>
        </w:rPr>
        <w:t>- unknown/provisional states;</w:t>
      </w:r>
    </w:p>
    <w:p>
      <w:pPr>
        <w:spacing w:after="80" w:line="293" w:lineRule="auto"/>
        <w:ind w:left="283"/>
        <w:jc w:val="left"/>
      </w:pPr>
      <w:r>
        <w:rPr>
          <w:rFonts w:ascii="Times New Roman" w:hAnsi="Times New Roman" w:cs="Times New Roman"/>
          <w:b w:val="0"/>
          <w:i w:val="0"/>
          <w:sz w:val="22"/>
        </w:rPr>
        <w:t>- state conflict protocol;</w:t>
      </w:r>
    </w:p>
    <w:p>
      <w:pPr>
        <w:spacing w:after="80" w:line="293" w:lineRule="auto"/>
        <w:ind w:left="283"/>
        <w:jc w:val="left"/>
      </w:pPr>
      <w:r>
        <w:rPr>
          <w:rFonts w:ascii="Times New Roman" w:hAnsi="Times New Roman" w:cs="Times New Roman"/>
          <w:b w:val="0"/>
          <w:i w:val="0"/>
          <w:sz w:val="22"/>
        </w:rPr>
        <w:t>- assertion vs confirmation;</w:t>
      </w:r>
    </w:p>
    <w:p>
      <w:pPr>
        <w:spacing w:after="80" w:line="293" w:lineRule="auto"/>
        <w:ind w:left="283"/>
        <w:jc w:val="left"/>
      </w:pPr>
      <w:r>
        <w:rPr>
          <w:rFonts w:ascii="Times New Roman" w:hAnsi="Times New Roman" w:cs="Times New Roman"/>
          <w:b w:val="0"/>
          <w:i w:val="0"/>
          <w:sz w:val="22"/>
        </w:rPr>
        <w:t>- evidence vs authority separation;</w:t>
      </w:r>
    </w:p>
    <w:p>
      <w:pPr>
        <w:spacing w:after="80" w:line="293" w:lineRule="auto"/>
        <w:ind w:left="283"/>
        <w:jc w:val="left"/>
      </w:pPr>
      <w:r>
        <w:rPr>
          <w:rFonts w:ascii="Times New Roman" w:hAnsi="Times New Roman" w:cs="Times New Roman"/>
          <w:b w:val="0"/>
          <w:i w:val="0"/>
          <w:sz w:val="22"/>
        </w:rPr>
        <w:t>- no-forced-closure rules;</w:t>
      </w:r>
    </w:p>
    <w:p>
      <w:pPr>
        <w:spacing w:after="80" w:line="293" w:lineRule="auto"/>
        <w:ind w:left="283"/>
        <w:jc w:val="left"/>
      </w:pPr>
      <w:r>
        <w:rPr>
          <w:rFonts w:ascii="Times New Roman" w:hAnsi="Times New Roman" w:cs="Times New Roman"/>
          <w:b w:val="0"/>
          <w:i w:val="0"/>
          <w:sz w:val="22"/>
        </w:rPr>
        <w:t>- closure policy model;</w:t>
      </w:r>
    </w:p>
    <w:p>
      <w:pPr>
        <w:spacing w:after="80" w:line="293" w:lineRule="auto"/>
        <w:ind w:left="283"/>
        <w:jc w:val="left"/>
      </w:pPr>
      <w:r>
        <w:rPr>
          <w:rFonts w:ascii="Times New Roman" w:hAnsi="Times New Roman" w:cs="Times New Roman"/>
          <w:b w:val="0"/>
          <w:i w:val="0"/>
          <w:sz w:val="22"/>
        </w:rPr>
        <w:t>- settlement/transaction state separation;</w:t>
      </w:r>
    </w:p>
    <w:p>
      <w:pPr>
        <w:spacing w:after="80" w:line="293" w:lineRule="auto"/>
        <w:ind w:left="283"/>
        <w:jc w:val="left"/>
      </w:pPr>
      <w:r>
        <w:rPr>
          <w:rFonts w:ascii="Times New Roman" w:hAnsi="Times New Roman" w:cs="Times New Roman"/>
          <w:b w:val="0"/>
          <w:i w:val="0"/>
          <w:sz w:val="22"/>
        </w:rPr>
        <w:t>- observation vs assertion vs confirmation distinction;</w:t>
      </w:r>
    </w:p>
    <w:p>
      <w:pPr>
        <w:spacing w:after="80" w:line="293" w:lineRule="auto"/>
        <w:ind w:left="283"/>
        <w:jc w:val="left"/>
      </w:pPr>
      <w:r>
        <w:rPr>
          <w:rFonts w:ascii="Times New Roman" w:hAnsi="Times New Roman" w:cs="Times New Roman"/>
          <w:b w:val="0"/>
          <w:i w:val="0"/>
          <w:sz w:val="22"/>
        </w:rPr>
        <w:t>- command vs event architectural pattern.</w:t>
      </w:r>
    </w:p>
    <w:p>
      <w:pPr>
        <w:spacing w:after="80" w:line="293" w:lineRule="auto"/>
        <w:jc w:val="left"/>
      </w:pPr>
      <w:r>
        <w:rPr>
          <w:rFonts w:ascii="Times New Roman" w:hAnsi="Times New Roman" w:cs="Times New Roman"/>
          <w:b w:val="0"/>
          <w:i w:val="0"/>
          <w:sz w:val="22"/>
        </w:rPr>
        <w:t>P1 — Settlement &amp; Execution Integrity. Implement:</w:t>
      </w:r>
    </w:p>
    <w:p>
      <w:pPr>
        <w:spacing w:after="80" w:line="293" w:lineRule="auto"/>
        <w:ind w:left="283"/>
        <w:jc w:val="left"/>
      </w:pPr>
      <w:r>
        <w:rPr>
          <w:rFonts w:ascii="Times New Roman" w:hAnsi="Times New Roman" w:cs="Times New Roman"/>
          <w:b w:val="0"/>
          <w:i w:val="0"/>
          <w:sz w:val="22"/>
        </w:rPr>
        <w:t>- Settlement Orchestration Control Plane;</w:t>
      </w:r>
    </w:p>
    <w:p>
      <w:pPr>
        <w:spacing w:after="80" w:line="293" w:lineRule="auto"/>
        <w:ind w:left="283"/>
        <w:jc w:val="left"/>
      </w:pPr>
      <w:r>
        <w:rPr>
          <w:rFonts w:ascii="Times New Roman" w:hAnsi="Times New Roman" w:cs="Times New Roman"/>
          <w:b w:val="0"/>
          <w:i w:val="0"/>
          <w:sz w:val="22"/>
        </w:rPr>
        <w:t>- Bank Settlement Gateway;</w:t>
      </w:r>
    </w:p>
    <w:p>
      <w:pPr>
        <w:spacing w:after="80" w:line="293" w:lineRule="auto"/>
        <w:ind w:left="283"/>
        <w:jc w:val="left"/>
      </w:pPr>
      <w:r>
        <w:rPr>
          <w:rFonts w:ascii="Times New Roman" w:hAnsi="Times New Roman" w:cs="Times New Roman"/>
          <w:b w:val="0"/>
          <w:i w:val="0"/>
          <w:sz w:val="22"/>
        </w:rPr>
        <w:t>- settlement instruction lifecycle;</w:t>
      </w:r>
    </w:p>
    <w:p>
      <w:pPr>
        <w:spacing w:after="80" w:line="293" w:lineRule="auto"/>
        <w:ind w:left="283"/>
        <w:jc w:val="left"/>
      </w:pPr>
      <w:r>
        <w:rPr>
          <w:rFonts w:ascii="Times New Roman" w:hAnsi="Times New Roman" w:cs="Times New Roman"/>
          <w:b w:val="0"/>
          <w:i w:val="0"/>
          <w:sz w:val="22"/>
        </w:rPr>
        <w:t>- settlement leg model;</w:t>
      </w:r>
    </w:p>
    <w:p>
      <w:pPr>
        <w:spacing w:after="80" w:line="293" w:lineRule="auto"/>
        <w:ind w:left="283"/>
        <w:jc w:val="left"/>
      </w:pPr>
      <w:r>
        <w:rPr>
          <w:rFonts w:ascii="Times New Roman" w:hAnsi="Times New Roman" w:cs="Times New Roman"/>
          <w:b w:val="0"/>
          <w:i w:val="0"/>
          <w:sz w:val="22"/>
        </w:rPr>
        <w:t>- settlement atomicity policy;</w:t>
      </w:r>
    </w:p>
    <w:p>
      <w:pPr>
        <w:spacing w:after="80" w:line="293" w:lineRule="auto"/>
        <w:ind w:left="283"/>
        <w:jc w:val="left"/>
      </w:pPr>
      <w:r>
        <w:rPr>
          <w:rFonts w:ascii="Times New Roman" w:hAnsi="Times New Roman" w:cs="Times New Roman"/>
          <w:b w:val="0"/>
          <w:i w:val="0"/>
          <w:sz w:val="22"/>
        </w:rPr>
        <w:t>- bank reality adapters;</w:t>
      </w:r>
    </w:p>
    <w:p>
      <w:pPr>
        <w:spacing w:after="80" w:line="293" w:lineRule="auto"/>
        <w:ind w:left="283"/>
        <w:jc w:val="left"/>
      </w:pPr>
      <w:r>
        <w:rPr>
          <w:rFonts w:ascii="Times New Roman" w:hAnsi="Times New Roman" w:cs="Times New Roman"/>
          <w:b w:val="0"/>
          <w:i w:val="0"/>
          <w:sz w:val="22"/>
        </w:rPr>
        <w:t>- ISO 20022 adapters;</w:t>
      </w:r>
    </w:p>
    <w:p>
      <w:pPr>
        <w:spacing w:after="80" w:line="293" w:lineRule="auto"/>
        <w:ind w:left="283"/>
        <w:jc w:val="left"/>
      </w:pPr>
      <w:r>
        <w:rPr>
          <w:rFonts w:ascii="Times New Roman" w:hAnsi="Times New Roman" w:cs="Times New Roman"/>
          <w:b w:val="0"/>
          <w:i w:val="0"/>
          <w:sz w:val="22"/>
        </w:rPr>
        <w:t>- reversal engine;</w:t>
      </w:r>
    </w:p>
    <w:p>
      <w:pPr>
        <w:spacing w:after="80" w:line="293" w:lineRule="auto"/>
        <w:ind w:left="283"/>
        <w:jc w:val="left"/>
      </w:pPr>
      <w:r>
        <w:rPr>
          <w:rFonts w:ascii="Times New Roman" w:hAnsi="Times New Roman" w:cs="Times New Roman"/>
          <w:b w:val="0"/>
          <w:i w:val="0"/>
          <w:sz w:val="22"/>
        </w:rPr>
        <w:t>- compensating execution;</w:t>
      </w:r>
    </w:p>
    <w:p>
      <w:pPr>
        <w:spacing w:after="80" w:line="293" w:lineRule="auto"/>
        <w:ind w:left="283"/>
        <w:jc w:val="left"/>
      </w:pPr>
      <w:r>
        <w:rPr>
          <w:rFonts w:ascii="Times New Roman" w:hAnsi="Times New Roman" w:cs="Times New Roman"/>
          <w:b w:val="0"/>
          <w:i w:val="0"/>
          <w:sz w:val="22"/>
        </w:rPr>
        <w:t>- recovery engine;</w:t>
      </w:r>
    </w:p>
    <w:p>
      <w:pPr>
        <w:spacing w:after="80" w:line="293" w:lineRule="auto"/>
        <w:ind w:left="283"/>
        <w:jc w:val="left"/>
      </w:pPr>
      <w:r>
        <w:rPr>
          <w:rFonts w:ascii="Times New Roman" w:hAnsi="Times New Roman" w:cs="Times New Roman"/>
          <w:b w:val="0"/>
          <w:i w:val="0"/>
          <w:sz w:val="22"/>
        </w:rPr>
        <w:t>- exception engine;</w:t>
      </w:r>
    </w:p>
    <w:p>
      <w:pPr>
        <w:spacing w:after="80" w:line="293" w:lineRule="auto"/>
        <w:ind w:left="283"/>
        <w:jc w:val="left"/>
      </w:pPr>
      <w:r>
        <w:rPr>
          <w:rFonts w:ascii="Times New Roman" w:hAnsi="Times New Roman" w:cs="Times New Roman"/>
          <w:b w:val="0"/>
          <w:i w:val="0"/>
          <w:sz w:val="22"/>
        </w:rPr>
        <w:t>- reconciliation control plane;</w:t>
      </w:r>
    </w:p>
    <w:p>
      <w:pPr>
        <w:spacing w:after="80" w:line="293" w:lineRule="auto"/>
        <w:ind w:left="283"/>
        <w:jc w:val="left"/>
      </w:pPr>
      <w:r>
        <w:rPr>
          <w:rFonts w:ascii="Times New Roman" w:hAnsi="Times New Roman" w:cs="Times New Roman"/>
          <w:b w:val="0"/>
          <w:i w:val="0"/>
          <w:sz w:val="22"/>
        </w:rPr>
        <w:t>- document authenticity/versioning;</w:t>
      </w:r>
    </w:p>
    <w:p>
      <w:pPr>
        <w:spacing w:after="80" w:line="293" w:lineRule="auto"/>
        <w:ind w:left="283"/>
        <w:jc w:val="left"/>
      </w:pPr>
      <w:r>
        <w:rPr>
          <w:rFonts w:ascii="Times New Roman" w:hAnsi="Times New Roman" w:cs="Times New Roman"/>
          <w:b w:val="0"/>
          <w:i w:val="0"/>
          <w:sz w:val="22"/>
        </w:rPr>
        <w:t>- counterparty reality/evidence;</w:t>
      </w:r>
    </w:p>
    <w:p>
      <w:pPr>
        <w:spacing w:after="80" w:line="293" w:lineRule="auto"/>
        <w:ind w:left="283"/>
        <w:jc w:val="left"/>
      </w:pPr>
      <w:r>
        <w:rPr>
          <w:rFonts w:ascii="Times New Roman" w:hAnsi="Times New Roman" w:cs="Times New Roman"/>
          <w:b w:val="0"/>
          <w:i w:val="0"/>
          <w:sz w:val="22"/>
        </w:rPr>
        <w:t>- late evidence;</w:t>
      </w:r>
    </w:p>
    <w:p>
      <w:pPr>
        <w:spacing w:after="80" w:line="293" w:lineRule="auto"/>
        <w:ind w:left="283"/>
        <w:jc w:val="left"/>
      </w:pPr>
      <w:r>
        <w:rPr>
          <w:rFonts w:ascii="Times New Roman" w:hAnsi="Times New Roman" w:cs="Times New Roman"/>
          <w:b w:val="0"/>
          <w:i w:val="0"/>
          <w:sz w:val="22"/>
        </w:rPr>
        <w:t>- post-closure events.</w:t>
      </w:r>
    </w:p>
    <w:p>
      <w:pPr>
        <w:spacing w:after="80" w:line="293" w:lineRule="auto"/>
        <w:jc w:val="left"/>
      </w:pPr>
      <w:r>
        <w:rPr>
          <w:rFonts w:ascii="Times New Roman" w:hAnsi="Times New Roman" w:cs="Times New Roman"/>
          <w:b w:val="0"/>
          <w:i w:val="0"/>
          <w:sz w:val="22"/>
        </w:rPr>
        <w:t>P2 — Trade Intelligence &amp; Financial Consequences. Implement:</w:t>
      </w:r>
    </w:p>
    <w:p>
      <w:pPr>
        <w:spacing w:after="80" w:line="293" w:lineRule="auto"/>
        <w:ind w:left="283"/>
        <w:jc w:val="left"/>
      </w:pPr>
      <w:r>
        <w:rPr>
          <w:rFonts w:ascii="Times New Roman" w:hAnsi="Times New Roman" w:cs="Times New Roman"/>
          <w:b w:val="0"/>
          <w:i w:val="0"/>
          <w:sz w:val="22"/>
        </w:rPr>
        <w:t>- obligation graph;</w:t>
      </w:r>
    </w:p>
    <w:p>
      <w:pPr>
        <w:spacing w:after="80" w:line="293" w:lineRule="auto"/>
        <w:ind w:left="283"/>
        <w:jc w:val="left"/>
      </w:pPr>
      <w:r>
        <w:rPr>
          <w:rFonts w:ascii="Times New Roman" w:hAnsi="Times New Roman" w:cs="Times New Roman"/>
          <w:b w:val="0"/>
          <w:i w:val="0"/>
          <w:sz w:val="22"/>
        </w:rPr>
        <w:t>- dependency graph;</w:t>
      </w:r>
    </w:p>
    <w:p>
      <w:pPr>
        <w:spacing w:after="80" w:line="293" w:lineRule="auto"/>
        <w:ind w:left="283"/>
        <w:jc w:val="left"/>
      </w:pPr>
      <w:r>
        <w:rPr>
          <w:rFonts w:ascii="Times New Roman" w:hAnsi="Times New Roman" w:cs="Times New Roman"/>
          <w:b w:val="0"/>
          <w:i w:val="0"/>
          <w:sz w:val="22"/>
        </w:rPr>
        <w:t>- recovery graph;</w:t>
      </w:r>
    </w:p>
    <w:p>
      <w:pPr>
        <w:spacing w:after="80" w:line="293" w:lineRule="auto"/>
        <w:ind w:left="283"/>
        <w:jc w:val="left"/>
      </w:pPr>
      <w:r>
        <w:rPr>
          <w:rFonts w:ascii="Times New Roman" w:hAnsi="Times New Roman" w:cs="Times New Roman"/>
          <w:b w:val="0"/>
          <w:i w:val="0"/>
          <w:sz w:val="22"/>
        </w:rPr>
        <w:t>- causal impact engine;</w:t>
      </w:r>
    </w:p>
    <w:p>
      <w:pPr>
        <w:spacing w:after="80" w:line="293" w:lineRule="auto"/>
        <w:ind w:left="283"/>
        <w:jc w:val="left"/>
      </w:pPr>
      <w:r>
        <w:rPr>
          <w:rFonts w:ascii="Times New Roman" w:hAnsi="Times New Roman" w:cs="Times New Roman"/>
          <w:b w:val="0"/>
          <w:i w:val="0"/>
          <w:sz w:val="22"/>
        </w:rPr>
        <w:t>- truth triangulation;</w:t>
      </w:r>
    </w:p>
    <w:p>
      <w:pPr>
        <w:spacing w:after="80" w:line="293" w:lineRule="auto"/>
        <w:ind w:left="283"/>
        <w:jc w:val="left"/>
      </w:pPr>
      <w:r>
        <w:rPr>
          <w:rFonts w:ascii="Times New Roman" w:hAnsi="Times New Roman" w:cs="Times New Roman"/>
          <w:b w:val="0"/>
          <w:i w:val="0"/>
          <w:sz w:val="22"/>
        </w:rPr>
        <w:t>- Financial Position &amp; Consequence Subledger;</w:t>
      </w:r>
    </w:p>
    <w:p>
      <w:pPr>
        <w:spacing w:after="80" w:line="293" w:lineRule="auto"/>
        <w:ind w:left="283"/>
        <w:jc w:val="left"/>
      </w:pPr>
      <w:r>
        <w:rPr>
          <w:rFonts w:ascii="Times New Roman" w:hAnsi="Times New Roman" w:cs="Times New Roman"/>
          <w:b w:val="0"/>
          <w:i w:val="0"/>
          <w:sz w:val="22"/>
        </w:rPr>
        <w:t>- Financial Exposure Engine;</w:t>
      </w:r>
    </w:p>
    <w:p>
      <w:pPr>
        <w:spacing w:after="80" w:line="293" w:lineRule="auto"/>
        <w:ind w:left="283"/>
        <w:jc w:val="left"/>
      </w:pPr>
      <w:r>
        <w:rPr>
          <w:rFonts w:ascii="Times New Roman" w:hAnsi="Times New Roman" w:cs="Times New Roman"/>
          <w:b w:val="0"/>
          <w:i w:val="0"/>
          <w:sz w:val="22"/>
        </w:rPr>
        <w:t>- dispute packet;</w:t>
      </w:r>
    </w:p>
    <w:p>
      <w:pPr>
        <w:spacing w:after="80" w:line="293" w:lineRule="auto"/>
        <w:ind w:left="283"/>
        <w:jc w:val="left"/>
      </w:pPr>
      <w:r>
        <w:rPr>
          <w:rFonts w:ascii="Times New Roman" w:hAnsi="Times New Roman" w:cs="Times New Roman"/>
          <w:b w:val="0"/>
          <w:i w:val="0"/>
          <w:sz w:val="22"/>
        </w:rPr>
        <w:t>- payment-leg reconciliation;</w:t>
      </w:r>
    </w:p>
    <w:p>
      <w:pPr>
        <w:spacing w:after="80" w:line="293" w:lineRule="auto"/>
        <w:ind w:left="283"/>
        <w:jc w:val="left"/>
      </w:pPr>
      <w:r>
        <w:rPr>
          <w:rFonts w:ascii="Times New Roman" w:hAnsi="Times New Roman" w:cs="Times New Roman"/>
          <w:b w:val="0"/>
          <w:i w:val="0"/>
          <w:sz w:val="22"/>
        </w:rPr>
        <w:t>- settlement completion matrix.</w:t>
      </w:r>
    </w:p>
    <w:p>
      <w:pPr>
        <w:spacing w:after="80" w:line="293" w:lineRule="auto"/>
        <w:jc w:val="left"/>
      </w:pPr>
      <w:r>
        <w:rPr>
          <w:rFonts w:ascii="Times New Roman" w:hAnsi="Times New Roman" w:cs="Times New Roman"/>
          <w:b w:val="0"/>
          <w:i w:val="0"/>
          <w:sz w:val="22"/>
        </w:rPr>
        <w:t>P3 — Institutional Assurance. Implement:</w:t>
      </w:r>
    </w:p>
    <w:p>
      <w:pPr>
        <w:spacing w:after="80" w:line="293" w:lineRule="auto"/>
        <w:ind w:left="283"/>
        <w:jc w:val="left"/>
      </w:pPr>
      <w:r>
        <w:rPr>
          <w:rFonts w:ascii="Times New Roman" w:hAnsi="Times New Roman" w:cs="Times New Roman"/>
          <w:b w:val="0"/>
          <w:i w:val="0"/>
          <w:sz w:val="22"/>
        </w:rPr>
        <w:t>- Proof-of-Execution Certificate;</w:t>
      </w:r>
    </w:p>
    <w:p>
      <w:pPr>
        <w:spacing w:after="80" w:line="293" w:lineRule="auto"/>
        <w:ind w:left="283"/>
        <w:jc w:val="left"/>
      </w:pPr>
      <w:r>
        <w:rPr>
          <w:rFonts w:ascii="Times New Roman" w:hAnsi="Times New Roman" w:cs="Times New Roman"/>
          <w:b w:val="0"/>
          <w:i w:val="0"/>
          <w:sz w:val="22"/>
        </w:rPr>
        <w:t>- Settlement Certificate;</w:t>
      </w:r>
    </w:p>
    <w:p>
      <w:pPr>
        <w:spacing w:after="80" w:line="293" w:lineRule="auto"/>
        <w:ind w:left="283"/>
        <w:jc w:val="left"/>
      </w:pPr>
      <w:r>
        <w:rPr>
          <w:rFonts w:ascii="Times New Roman" w:hAnsi="Times New Roman" w:cs="Times New Roman"/>
          <w:b w:val="0"/>
          <w:i w:val="0"/>
          <w:sz w:val="22"/>
        </w:rPr>
        <w:t>- Closure Certificate;</w:t>
      </w:r>
    </w:p>
    <w:p>
      <w:pPr>
        <w:spacing w:after="80" w:line="293" w:lineRule="auto"/>
        <w:ind w:left="283"/>
        <w:jc w:val="left"/>
      </w:pPr>
      <w:r>
        <w:rPr>
          <w:rFonts w:ascii="Times New Roman" w:hAnsi="Times New Roman" w:cs="Times New Roman"/>
          <w:b w:val="0"/>
          <w:i w:val="0"/>
          <w:sz w:val="22"/>
        </w:rPr>
        <w:t>- Transaction Twin;</w:t>
      </w:r>
    </w:p>
    <w:p>
      <w:pPr>
        <w:spacing w:after="80" w:line="293" w:lineRule="auto"/>
        <w:ind w:left="283"/>
        <w:jc w:val="left"/>
      </w:pPr>
      <w:r>
        <w:rPr>
          <w:rFonts w:ascii="Times New Roman" w:hAnsi="Times New Roman" w:cs="Times New Roman"/>
          <w:b w:val="0"/>
          <w:i w:val="0"/>
          <w:sz w:val="22"/>
        </w:rPr>
        <w:t>- Replay Mode;</w:t>
      </w:r>
    </w:p>
    <w:p>
      <w:pPr>
        <w:spacing w:after="80" w:line="293" w:lineRule="auto"/>
        <w:ind w:left="283"/>
        <w:jc w:val="left"/>
      </w:pPr>
      <w:r>
        <w:rPr>
          <w:rFonts w:ascii="Times New Roman" w:hAnsi="Times New Roman" w:cs="Times New Roman"/>
          <w:b w:val="0"/>
          <w:i w:val="0"/>
          <w:sz w:val="22"/>
        </w:rPr>
        <w:t>- Policy Time Travel;</w:t>
      </w:r>
    </w:p>
    <w:p>
      <w:pPr>
        <w:spacing w:after="80" w:line="293" w:lineRule="auto"/>
        <w:ind w:left="283"/>
        <w:jc w:val="left"/>
      </w:pPr>
      <w:r>
        <w:rPr>
          <w:rFonts w:ascii="Times New Roman" w:hAnsi="Times New Roman" w:cs="Times New Roman"/>
          <w:b w:val="0"/>
          <w:i w:val="0"/>
          <w:sz w:val="22"/>
        </w:rPr>
        <w:t>- State Integrity;</w:t>
      </w:r>
    </w:p>
    <w:p>
      <w:pPr>
        <w:spacing w:after="80" w:line="293" w:lineRule="auto"/>
        <w:ind w:left="283"/>
        <w:jc w:val="left"/>
      </w:pPr>
      <w:r>
        <w:rPr>
          <w:rFonts w:ascii="Times New Roman" w:hAnsi="Times New Roman" w:cs="Times New Roman"/>
          <w:b w:val="0"/>
          <w:i w:val="0"/>
          <w:sz w:val="22"/>
        </w:rPr>
        <w:t>- Reconciliation Confidence;</w:t>
      </w:r>
    </w:p>
    <w:p>
      <w:pPr>
        <w:spacing w:after="80" w:line="293" w:lineRule="auto"/>
        <w:ind w:left="283"/>
        <w:jc w:val="left"/>
      </w:pPr>
      <w:r>
        <w:rPr>
          <w:rFonts w:ascii="Times New Roman" w:hAnsi="Times New Roman" w:cs="Times New Roman"/>
          <w:b w:val="0"/>
          <w:i w:val="0"/>
          <w:sz w:val="22"/>
        </w:rPr>
        <w:t>- Divergence Index;</w:t>
      </w:r>
    </w:p>
    <w:p>
      <w:pPr>
        <w:spacing w:after="80" w:line="293" w:lineRule="auto"/>
        <w:ind w:left="283"/>
        <w:jc w:val="left"/>
      </w:pPr>
      <w:r>
        <w:rPr>
          <w:rFonts w:ascii="Times New Roman" w:hAnsi="Times New Roman" w:cs="Times New Roman"/>
          <w:b w:val="0"/>
          <w:i w:val="0"/>
          <w:sz w:val="22"/>
        </w:rPr>
        <w:t>- Transaction Health;</w:t>
      </w:r>
    </w:p>
    <w:p>
      <w:pPr>
        <w:spacing w:after="80" w:line="293" w:lineRule="auto"/>
        <w:ind w:left="283"/>
        <w:jc w:val="left"/>
      </w:pPr>
      <w:r>
        <w:rPr>
          <w:rFonts w:ascii="Times New Roman" w:hAnsi="Times New Roman" w:cs="Times New Roman"/>
          <w:b w:val="0"/>
          <w:i w:val="0"/>
          <w:sz w:val="22"/>
        </w:rPr>
        <w:t>- Recovery Vault.</w:t>
      </w:r>
    </w:p>
    <w:p>
      <w:pPr>
        <w:spacing w:after="80" w:line="293" w:lineRule="auto"/>
        <w:jc w:val="left"/>
      </w:pPr>
      <w:r>
        <w:rPr>
          <w:rFonts w:ascii="Times New Roman" w:hAnsi="Times New Roman" w:cs="Times New Roman"/>
          <w:b w:val="0"/>
          <w:i w:val="0"/>
          <w:sz w:val="22"/>
        </w:rPr>
        <w:t>P4 — Cross-Border Expansion. Implement:</w:t>
      </w:r>
    </w:p>
    <w:p>
      <w:pPr>
        <w:spacing w:after="80" w:line="293" w:lineRule="auto"/>
        <w:ind w:left="283"/>
        <w:jc w:val="left"/>
      </w:pPr>
      <w:r>
        <w:rPr>
          <w:rFonts w:ascii="Times New Roman" w:hAnsi="Times New Roman" w:cs="Times New Roman"/>
          <w:b w:val="0"/>
          <w:i w:val="0"/>
          <w:sz w:val="22"/>
        </w:rPr>
        <w:t>- jurisdiction intelligence;</w:t>
      </w:r>
    </w:p>
    <w:p>
      <w:pPr>
        <w:spacing w:after="80" w:line="293" w:lineRule="auto"/>
        <w:ind w:left="283"/>
        <w:jc w:val="left"/>
      </w:pPr>
      <w:r>
        <w:rPr>
          <w:rFonts w:ascii="Times New Roman" w:hAnsi="Times New Roman" w:cs="Times New Roman"/>
          <w:b w:val="0"/>
          <w:i w:val="0"/>
          <w:sz w:val="22"/>
        </w:rPr>
        <w:t>- capability-based jurisdiction profiles;</w:t>
      </w:r>
    </w:p>
    <w:p>
      <w:pPr>
        <w:spacing w:after="80" w:line="293" w:lineRule="auto"/>
        <w:ind w:left="283"/>
        <w:jc w:val="left"/>
      </w:pPr>
      <w:r>
        <w:rPr>
          <w:rFonts w:ascii="Times New Roman" w:hAnsi="Times New Roman" w:cs="Times New Roman"/>
          <w:b w:val="0"/>
          <w:i w:val="0"/>
          <w:sz w:val="22"/>
        </w:rPr>
        <w:t>- regulatory classification gate;</w:t>
      </w:r>
    </w:p>
    <w:p>
      <w:pPr>
        <w:spacing w:after="80" w:line="293" w:lineRule="auto"/>
        <w:ind w:left="283"/>
        <w:jc w:val="left"/>
      </w:pPr>
      <w:r>
        <w:rPr>
          <w:rFonts w:ascii="Times New Roman" w:hAnsi="Times New Roman" w:cs="Times New Roman"/>
          <w:b w:val="0"/>
          <w:i w:val="0"/>
          <w:sz w:val="22"/>
        </w:rPr>
        <w:t>- country profiles;</w:t>
      </w:r>
    </w:p>
    <w:p>
      <w:pPr>
        <w:spacing w:after="80" w:line="293" w:lineRule="auto"/>
        <w:ind w:left="283"/>
        <w:jc w:val="left"/>
      </w:pPr>
      <w:r>
        <w:rPr>
          <w:rFonts w:ascii="Times New Roman" w:hAnsi="Times New Roman" w:cs="Times New Roman"/>
          <w:b w:val="0"/>
          <w:i w:val="0"/>
          <w:sz w:val="22"/>
        </w:rPr>
        <w:t>- payment-rail adapters;</w:t>
      </w:r>
    </w:p>
    <w:p>
      <w:pPr>
        <w:spacing w:after="80" w:line="293" w:lineRule="auto"/>
        <w:ind w:left="283"/>
        <w:jc w:val="left"/>
      </w:pPr>
      <w:r>
        <w:rPr>
          <w:rFonts w:ascii="Times New Roman" w:hAnsi="Times New Roman" w:cs="Times New Roman"/>
          <w:b w:val="0"/>
          <w:i w:val="0"/>
          <w:sz w:val="22"/>
        </w:rPr>
        <w:t>- customs profiles;</w:t>
      </w:r>
    </w:p>
    <w:p>
      <w:pPr>
        <w:spacing w:after="80" w:line="293" w:lineRule="auto"/>
        <w:ind w:left="283"/>
        <w:jc w:val="left"/>
      </w:pPr>
      <w:r>
        <w:rPr>
          <w:rFonts w:ascii="Times New Roman" w:hAnsi="Times New Roman" w:cs="Times New Roman"/>
          <w:b w:val="0"/>
          <w:i w:val="0"/>
          <w:sz w:val="22"/>
        </w:rPr>
        <w:t>- tax profiles;</w:t>
      </w:r>
    </w:p>
    <w:p>
      <w:pPr>
        <w:spacing w:after="80" w:line="293" w:lineRule="auto"/>
        <w:ind w:left="283"/>
        <w:jc w:val="left"/>
      </w:pPr>
      <w:r>
        <w:rPr>
          <w:rFonts w:ascii="Times New Roman" w:hAnsi="Times New Roman" w:cs="Times New Roman"/>
          <w:b w:val="0"/>
          <w:i w:val="0"/>
          <w:sz w:val="22"/>
        </w:rPr>
        <w:t>- regulatory profiles;</w:t>
      </w:r>
    </w:p>
    <w:p>
      <w:pPr>
        <w:spacing w:after="80" w:line="293" w:lineRule="auto"/>
        <w:ind w:left="283"/>
        <w:jc w:val="left"/>
      </w:pPr>
      <w:r>
        <w:rPr>
          <w:rFonts w:ascii="Times New Roman" w:hAnsi="Times New Roman" w:cs="Times New Roman"/>
          <w:b w:val="0"/>
          <w:i w:val="0"/>
          <w:sz w:val="22"/>
        </w:rPr>
        <w:t>- electronic-document recognition;</w:t>
      </w:r>
    </w:p>
    <w:p>
      <w:pPr>
        <w:spacing w:after="80" w:line="293" w:lineRule="auto"/>
        <w:ind w:left="283"/>
        <w:jc w:val="left"/>
      </w:pPr>
      <w:r>
        <w:rPr>
          <w:rFonts w:ascii="Times New Roman" w:hAnsi="Times New Roman" w:cs="Times New Roman"/>
          <w:b w:val="0"/>
          <w:i w:val="0"/>
          <w:sz w:val="22"/>
        </w:rPr>
        <w:t>- evidence profiles;</w:t>
      </w:r>
    </w:p>
    <w:p>
      <w:pPr>
        <w:spacing w:after="80" w:line="293" w:lineRule="auto"/>
        <w:ind w:left="283"/>
        <w:jc w:val="left"/>
      </w:pPr>
      <w:r>
        <w:rPr>
          <w:rFonts w:ascii="Times New Roman" w:hAnsi="Times New Roman" w:cs="Times New Roman"/>
          <w:b w:val="0"/>
          <w:i w:val="0"/>
          <w:sz w:val="22"/>
        </w:rPr>
        <w:t>- authority profiles;</w:t>
      </w:r>
    </w:p>
    <w:p>
      <w:pPr>
        <w:spacing w:after="80" w:line="293" w:lineRule="auto"/>
        <w:ind w:left="283"/>
        <w:jc w:val="left"/>
      </w:pPr>
      <w:r>
        <w:rPr>
          <w:rFonts w:ascii="Times New Roman" w:hAnsi="Times New Roman" w:cs="Times New Roman"/>
          <w:b w:val="0"/>
          <w:i w:val="0"/>
          <w:sz w:val="22"/>
        </w:rPr>
        <w:t>- external identifier registry;</w:t>
      </w:r>
    </w:p>
    <w:p>
      <w:pPr>
        <w:spacing w:after="80" w:line="293" w:lineRule="auto"/>
        <w:ind w:left="283"/>
        <w:jc w:val="left"/>
      </w:pPr>
      <w:r>
        <w:rPr>
          <w:rFonts w:ascii="Times New Roman" w:hAnsi="Times New Roman" w:cs="Times New Roman"/>
          <w:b w:val="0"/>
          <w:i w:val="0"/>
          <w:sz w:val="22"/>
        </w:rPr>
        <w:t>- cross-border conflict handling.</w:t>
      </w:r>
    </w:p>
    <w:p>
      <w:pPr>
        <w:keepNext/>
        <w:spacing w:before="180" w:after="80"/>
        <w:outlineLvl w:val="2"/>
      </w:pPr>
      <w:r>
        <w:rPr>
          <w:rFonts w:ascii="Arial" w:hAnsi="Arial" w:cs="Arial"/>
          <w:b/>
          <w:i w:val="0"/>
          <w:color w:val="333333"/>
          <w:sz w:val="23"/>
        </w:rPr>
        <w:t>19.124A Implementation Timeline (Planning Estimate)</w:t>
      </w:r>
    </w:p>
    <w:p>
      <w:pPr>
        <w:spacing w:after="80" w:line="293" w:lineRule="auto"/>
        <w:jc w:val="left"/>
      </w:pPr>
      <w:r>
        <w:rPr>
          <w:rFonts w:ascii="Times New Roman" w:hAnsi="Times New Roman" w:cs="Times New Roman"/>
          <w:b w:val="0"/>
          <w:i w:val="0"/>
          <w:sz w:val="22"/>
        </w:rPr>
        <w:t>This subsection is provided as a planning roadmap for internal estimation and resource planning. It is not a contractual commitment. The estimates are based on the assumption of parallel workstreams and are contingent on:</w:t>
      </w:r>
    </w:p>
    <w:p>
      <w:pPr>
        <w:spacing w:after="80" w:line="293" w:lineRule="auto"/>
        <w:ind w:left="283"/>
        <w:jc w:val="left"/>
      </w:pPr>
      <w:r>
        <w:rPr>
          <w:rFonts w:ascii="Times New Roman" w:hAnsi="Times New Roman" w:cs="Times New Roman"/>
          <w:b w:val="0"/>
          <w:i w:val="0"/>
          <w:sz w:val="22"/>
        </w:rPr>
        <w:t>- Team capacity and availability</w:t>
      </w:r>
    </w:p>
    <w:p>
      <w:pPr>
        <w:spacing w:after="80" w:line="293" w:lineRule="auto"/>
        <w:ind w:left="283"/>
        <w:jc w:val="left"/>
      </w:pPr>
      <w:r>
        <w:rPr>
          <w:rFonts w:ascii="Times New Roman" w:hAnsi="Times New Roman" w:cs="Times New Roman"/>
          <w:b w:val="0"/>
          <w:i w:val="0"/>
          <w:sz w:val="22"/>
        </w:rPr>
        <w:t>- Number of parallel workstreams</w:t>
      </w:r>
    </w:p>
    <w:p>
      <w:pPr>
        <w:spacing w:after="80" w:line="293" w:lineRule="auto"/>
        <w:ind w:left="283"/>
        <w:jc w:val="left"/>
      </w:pPr>
      <w:r>
        <w:rPr>
          <w:rFonts w:ascii="Times New Roman" w:hAnsi="Times New Roman" w:cs="Times New Roman"/>
          <w:b w:val="0"/>
          <w:i w:val="0"/>
          <w:sz w:val="22"/>
        </w:rPr>
        <w:t>- Architectural dependencies being resolved according to the specified order</w:t>
      </w:r>
    </w:p>
    <w:p>
      <w:pPr>
        <w:spacing w:after="80" w:line="293" w:lineRule="auto"/>
        <w:ind w:left="283"/>
        <w:jc w:val="left"/>
      </w:pPr>
      <w:r>
        <w:rPr>
          <w:rFonts w:ascii="Times New Roman" w:hAnsi="Times New Roman" w:cs="Times New Roman"/>
          <w:b w:val="0"/>
          <w:i w:val="0"/>
          <w:sz w:val="22"/>
        </w:rPr>
        <w:t>- External bank integration timelines</w:t>
      </w:r>
    </w:p>
    <w:p>
      <w:pPr>
        <w:spacing w:after="80" w:line="293" w:lineRule="auto"/>
        <w:ind w:left="283"/>
        <w:jc w:val="left"/>
      </w:pPr>
      <w:r>
        <w:rPr>
          <w:rFonts w:ascii="Times New Roman" w:hAnsi="Times New Roman" w:cs="Times New Roman"/>
          <w:b w:val="0"/>
          <w:i w:val="0"/>
          <w:sz w:val="22"/>
        </w:rPr>
        <w:t>- Regulatory approval processes</w:t>
      </w:r>
    </w:p>
    <w:p>
      <w:pPr>
        <w:spacing w:after="80" w:line="293" w:lineRule="auto"/>
        <w:ind w:left="283"/>
        <w:jc w:val="left"/>
      </w:pPr>
      <w:r>
        <w:rPr>
          <w:rFonts w:ascii="Times New Roman" w:hAnsi="Times New Roman" w:cs="Times New Roman"/>
          <w:b w:val="0"/>
          <w:i w:val="0"/>
          <w:sz w:val="22"/>
        </w:rPr>
        <w:t>- Testing and certification cycles</w:t>
      </w:r>
    </w:p>
    <w:p>
      <w:pPr>
        <w:spacing w:after="80" w:line="293" w:lineRule="auto"/>
        <w:jc w:val="left"/>
      </w:pPr>
      <w:r>
        <w:rPr>
          <w:rFonts w:ascii="Times New Roman" w:hAnsi="Times New Roman" w:cs="Times New Roman"/>
          <w:b w:val="0"/>
          <w:i w:val="0"/>
          <w:sz w:val="22"/>
        </w:rPr>
        <w:t>These estimates are used for high-level planning only and must be regularly updated as actual engineering velocity and institutional dependencies become known.</w:t>
      </w:r>
    </w:p>
    <w:p>
      <w:pPr>
        <w:keepNext/>
        <w:spacing w:before="180" w:after="80"/>
        <w:outlineLvl w:val="2"/>
      </w:pPr>
      <w:r>
        <w:rPr>
          <w:rFonts w:ascii="Arial" w:hAnsi="Arial" w:cs="Arial"/>
          <w:b/>
          <w:i w:val="0"/>
          <w:color w:val="333333"/>
          <w:sz w:val="23"/>
        </w:rPr>
        <w:t>19.124B Data Retention and Archiving (Architecture Definition)</w:t>
      </w:r>
    </w:p>
    <w:p>
      <w:pPr>
        <w:spacing w:after="80" w:line="293" w:lineRule="auto"/>
        <w:jc w:val="left"/>
      </w:pPr>
      <w:r>
        <w:rPr>
          <w:rFonts w:ascii="Times New Roman" w:hAnsi="Times New Roman" w:cs="Times New Roman"/>
          <w:b w:val="0"/>
          <w:i w:val="0"/>
          <w:sz w:val="22"/>
        </w:rPr>
        <w:t>SGTX retention is policy-driven and jurisdiction-aware. Minimum legal retention requirements are determined from the applicable law, regulation, contract, regulatory instruction and litigation/dispute hold applicable to the specific data class and jurisdiction. Where multiple requirements apply, SGTX applies the legally required retention rule identified by the applicable jurisdictional profile and does not infer a universal retention period from a single statute.</w:t>
      </w:r>
    </w:p>
    <w:p>
      <w:pPr>
        <w:keepNext/>
        <w:spacing w:before="140" w:after="60"/>
        <w:outlineLvl w:val="3"/>
      </w:pPr>
      <w:r>
        <w:rPr>
          <w:rFonts w:ascii="Arial" w:hAnsi="Arial" w:cs="Arial"/>
          <w:b/>
          <w:i/>
          <w:color w:val="333333"/>
          <w:sz w:val="22"/>
        </w:rPr>
        <w:t>19.124B.1 Jurisdictional Retention Profile Architecture</w:t>
      </w:r>
    </w:p>
    <w:p>
      <w:pPr>
        <w:spacing w:after="80" w:line="293" w:lineRule="auto"/>
        <w:jc w:val="left"/>
      </w:pPr>
      <w:r>
        <w:rPr>
          <w:rFonts w:ascii="Times New Roman" w:hAnsi="Times New Roman" w:cs="Times New Roman"/>
          <w:b w:val="0"/>
          <w:i w:val="0"/>
          <w:sz w:val="22"/>
        </w:rPr>
        <w:t>The architecture supports the definition of retention policies within jurisdiction capability profiles. Example profile structure (configuration dimensions, not constitutional values):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Jurisdiction: Egypt — Data Retention Policies</w:t>
            </w:r>
          </w:p>
        </w:tc>
        <w:tc>
          <w:tcPr>
            <w:tcW w:type="dxa" w:w="4819"/>
            <w:shd w:val="clear" w:fill="D9E2F3"/>
          </w:tcPr>
          <w:p>
            <w:pPr>
              <w:spacing w:after="20" w:before="20" w:line="240" w:lineRule="auto"/>
            </w:pPr>
            <w:r/>
            <w:r>
              <w:rPr>
                <w:rFonts w:ascii="Arial" w:hAnsi="Arial" w:cs="Arial"/>
                <w:b/>
                <w:i w:val="0"/>
                <w:sz w:val="18"/>
              </w:rPr>
              <w:t>Determination</w:t>
            </w:r>
          </w:p>
        </w:tc>
      </w:tr>
      <w:tr>
        <w:tc>
          <w:tcPr>
            <w:tcW w:type="dxa" w:w="4819"/>
          </w:tcPr>
          <w:p>
            <w:pPr>
              <w:spacing w:after="20" w:before="20" w:line="240" w:lineRule="auto"/>
            </w:pPr>
            <w:r/>
            <w:r>
              <w:rPr>
                <w:rFonts w:ascii="Arial" w:hAnsi="Arial" w:cs="Arial"/>
                <w:b w:val="0"/>
                <w:i w:val="0"/>
                <w:sz w:val="17"/>
              </w:rPr>
              <w:t>Event History</w:t>
            </w:r>
          </w:p>
        </w:tc>
        <w:tc>
          <w:tcPr>
            <w:tcW w:type="dxa" w:w="4819"/>
          </w:tcPr>
          <w:p>
            <w:pPr>
              <w:spacing w:after="20" w:before="20" w:line="240" w:lineRule="auto"/>
            </w:pPr>
            <w:r/>
            <w:r>
              <w:rPr>
                <w:rFonts w:ascii="Arial" w:hAnsi="Arial" w:cs="Arial"/>
                <w:b w:val="0"/>
                <w:i w:val="0"/>
                <w:sz w:val="17"/>
              </w:rPr>
              <w:t>Determined by applicable tax/commercial law</w:t>
            </w:r>
          </w:p>
        </w:tc>
      </w:tr>
      <w:tr>
        <w:tc>
          <w:tcPr>
            <w:tcW w:type="dxa" w:w="4819"/>
          </w:tcPr>
          <w:p>
            <w:pPr>
              <w:spacing w:after="20" w:before="20" w:line="240" w:lineRule="auto"/>
            </w:pPr>
            <w:r/>
            <w:r>
              <w:rPr>
                <w:rFonts w:ascii="Arial" w:hAnsi="Arial" w:cs="Arial"/>
                <w:b w:val="0"/>
                <w:i w:val="0"/>
                <w:sz w:val="17"/>
              </w:rPr>
              <w:t>State Vector History</w:t>
            </w:r>
          </w:p>
        </w:tc>
        <w:tc>
          <w:tcPr>
            <w:tcW w:type="dxa" w:w="4819"/>
          </w:tcPr>
          <w:p>
            <w:pPr>
              <w:spacing w:after="20" w:before="20" w:line="240" w:lineRule="auto"/>
            </w:pPr>
            <w:r/>
            <w:r>
              <w:rPr>
                <w:rFonts w:ascii="Arial" w:hAnsi="Arial" w:cs="Arial"/>
                <w:b w:val="0"/>
                <w:i w:val="0"/>
                <w:sz w:val="17"/>
              </w:rPr>
              <w:t>Determined by applicable tax/commercial law</w:t>
            </w:r>
          </w:p>
        </w:tc>
      </w:tr>
      <w:tr>
        <w:tc>
          <w:tcPr>
            <w:tcW w:type="dxa" w:w="4819"/>
          </w:tcPr>
          <w:p>
            <w:pPr>
              <w:spacing w:after="20" w:before="20" w:line="240" w:lineRule="auto"/>
            </w:pPr>
            <w:r/>
            <w:r>
              <w:rPr>
                <w:rFonts w:ascii="Arial" w:hAnsi="Arial" w:cs="Arial"/>
                <w:b w:val="0"/>
                <w:i w:val="0"/>
                <w:sz w:val="17"/>
              </w:rPr>
              <w:t>Settlement Instructions</w:t>
            </w:r>
          </w:p>
        </w:tc>
        <w:tc>
          <w:tcPr>
            <w:tcW w:type="dxa" w:w="4819"/>
          </w:tcPr>
          <w:p>
            <w:pPr>
              <w:spacing w:after="20" w:before="20" w:line="240" w:lineRule="auto"/>
            </w:pPr>
            <w:r/>
            <w:r>
              <w:rPr>
                <w:rFonts w:ascii="Arial" w:hAnsi="Arial" w:cs="Arial"/>
                <w:b w:val="0"/>
                <w:i w:val="0"/>
                <w:sz w:val="17"/>
              </w:rPr>
              <w:t>Determined by applicable tax/commercial law</w:t>
            </w:r>
          </w:p>
        </w:tc>
      </w:tr>
      <w:tr>
        <w:tc>
          <w:tcPr>
            <w:tcW w:type="dxa" w:w="4819"/>
          </w:tcPr>
          <w:p>
            <w:pPr>
              <w:spacing w:after="20" w:before="20" w:line="240" w:lineRule="auto"/>
            </w:pPr>
            <w:r/>
            <w:r>
              <w:rPr>
                <w:rFonts w:ascii="Arial" w:hAnsi="Arial" w:cs="Arial"/>
                <w:b w:val="0"/>
                <w:i w:val="0"/>
                <w:sz w:val="17"/>
              </w:rPr>
              <w:t>Bank Confirmations</w:t>
            </w:r>
          </w:p>
        </w:tc>
        <w:tc>
          <w:tcPr>
            <w:tcW w:type="dxa" w:w="4819"/>
          </w:tcPr>
          <w:p>
            <w:pPr>
              <w:spacing w:after="20" w:before="20" w:line="240" w:lineRule="auto"/>
            </w:pPr>
            <w:r/>
            <w:r>
              <w:rPr>
                <w:rFonts w:ascii="Arial" w:hAnsi="Arial" w:cs="Arial"/>
                <w:b w:val="0"/>
                <w:i w:val="0"/>
                <w:sz w:val="17"/>
              </w:rPr>
              <w:t>Determined by applicable AML/regulatory law</w:t>
            </w:r>
          </w:p>
        </w:tc>
      </w:tr>
      <w:tr>
        <w:tc>
          <w:tcPr>
            <w:tcW w:type="dxa" w:w="4819"/>
          </w:tcPr>
          <w:p>
            <w:pPr>
              <w:spacing w:after="20" w:before="20" w:line="240" w:lineRule="auto"/>
            </w:pPr>
            <w:r/>
            <w:r>
              <w:rPr>
                <w:rFonts w:ascii="Arial" w:hAnsi="Arial" w:cs="Arial"/>
                <w:b w:val="0"/>
                <w:i w:val="0"/>
                <w:sz w:val="17"/>
              </w:rPr>
              <w:t>Customs Declarations</w:t>
            </w:r>
          </w:p>
        </w:tc>
        <w:tc>
          <w:tcPr>
            <w:tcW w:type="dxa" w:w="4819"/>
          </w:tcPr>
          <w:p>
            <w:pPr>
              <w:spacing w:after="20" w:before="20" w:line="240" w:lineRule="auto"/>
            </w:pPr>
            <w:r/>
            <w:r>
              <w:rPr>
                <w:rFonts w:ascii="Arial" w:hAnsi="Arial" w:cs="Arial"/>
                <w:b w:val="0"/>
                <w:i w:val="0"/>
                <w:sz w:val="17"/>
              </w:rPr>
              <w:t>Determined by applicable customs law</w:t>
            </w:r>
          </w:p>
        </w:tc>
      </w:tr>
      <w:tr>
        <w:tc>
          <w:tcPr>
            <w:tcW w:type="dxa" w:w="4819"/>
          </w:tcPr>
          <w:p>
            <w:pPr>
              <w:spacing w:after="20" w:before="20" w:line="240" w:lineRule="auto"/>
            </w:pPr>
            <w:r/>
            <w:r>
              <w:rPr>
                <w:rFonts w:ascii="Arial" w:hAnsi="Arial" w:cs="Arial"/>
                <w:b w:val="0"/>
                <w:i w:val="0"/>
                <w:sz w:val="17"/>
              </w:rPr>
              <w:t>Legal Hold Procedures</w:t>
            </w:r>
          </w:p>
        </w:tc>
        <w:tc>
          <w:tcPr>
            <w:tcW w:type="dxa" w:w="4819"/>
          </w:tcPr>
          <w:p>
            <w:pPr>
              <w:spacing w:after="20" w:before="20" w:line="240" w:lineRule="auto"/>
            </w:pPr>
            <w:r/>
            <w:r>
              <w:rPr>
                <w:rFonts w:ascii="Arial" w:hAnsi="Arial" w:cs="Arial"/>
                <w:b w:val="0"/>
                <w:i w:val="0"/>
                <w:sz w:val="17"/>
              </w:rPr>
              <w:t>Defined per jurisdictional profile</w:t>
            </w:r>
          </w:p>
        </w:tc>
      </w:tr>
      <w:tr>
        <w:tc>
          <w:tcPr>
            <w:tcW w:type="dxa" w:w="4819"/>
          </w:tcPr>
          <w:p>
            <w:pPr>
              <w:spacing w:after="20" w:before="20" w:line="240" w:lineRule="auto"/>
            </w:pPr>
            <w:r/>
            <w:r>
              <w:rPr>
                <w:rFonts w:ascii="Arial" w:hAnsi="Arial" w:cs="Arial"/>
                <w:b w:val="0"/>
                <w:i w:val="0"/>
                <w:sz w:val="17"/>
              </w:rPr>
              <w:t>Regulatory Hold Procedures</w:t>
            </w:r>
          </w:p>
        </w:tc>
        <w:tc>
          <w:tcPr>
            <w:tcW w:type="dxa" w:w="4819"/>
          </w:tcPr>
          <w:p>
            <w:pPr>
              <w:spacing w:after="20" w:before="20" w:line="240" w:lineRule="auto"/>
            </w:pPr>
            <w:r/>
            <w:r>
              <w:rPr>
                <w:rFonts w:ascii="Arial" w:hAnsi="Arial" w:cs="Arial"/>
                <w:b w:val="0"/>
                <w:i w:val="0"/>
                <w:sz w:val="17"/>
              </w:rPr>
              <w:t>Defined per jurisdictional profile</w:t>
            </w:r>
          </w:p>
        </w:tc>
      </w:tr>
      <w:tr>
        <w:tc>
          <w:tcPr>
            <w:tcW w:type="dxa" w:w="4819"/>
          </w:tcPr>
          <w:p>
            <w:pPr>
              <w:spacing w:after="20" w:before="20" w:line="240" w:lineRule="auto"/>
            </w:pPr>
            <w:r/>
            <w:r>
              <w:rPr>
                <w:rFonts w:ascii="Arial" w:hAnsi="Arial" w:cs="Arial"/>
                <w:b w:val="0"/>
                <w:i w:val="0"/>
                <w:sz w:val="17"/>
              </w:rPr>
              <w:t>Disposition Process</w:t>
            </w:r>
          </w:p>
        </w:tc>
        <w:tc>
          <w:tcPr>
            <w:tcW w:type="dxa" w:w="4819"/>
          </w:tcPr>
          <w:p>
            <w:pPr>
              <w:spacing w:after="20" w:before="20" w:line="240" w:lineRule="auto"/>
            </w:pPr>
            <w:r/>
            <w:r>
              <w:rPr>
                <w:rFonts w:ascii="Arial" w:hAnsi="Arial" w:cs="Arial"/>
                <w:b w:val="0"/>
                <w:i w:val="0"/>
                <w:sz w:val="17"/>
              </w:rPr>
              <w:t>Defined per jurisdictional profile</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19.124B.2 Archiving Strategy</w:t>
      </w:r>
    </w:p>
    <w:p>
      <w:pPr>
        <w:spacing w:after="80" w:line="293" w:lineRule="auto"/>
        <w:jc w:val="left"/>
      </w:pPr>
      <w:r>
        <w:rPr>
          <w:rFonts w:ascii="Times New Roman" w:hAnsi="Times New Roman" w:cs="Times New Roman"/>
          <w:b w:val="0"/>
          <w:i w:val="0"/>
          <w:sz w:val="22"/>
        </w:rPr>
        <w:t>The Recovery Vault is the primary archiving mechanism. It stores or references:</w:t>
      </w:r>
    </w:p>
    <w:p>
      <w:pPr>
        <w:spacing w:after="80" w:line="293" w:lineRule="auto"/>
        <w:ind w:left="283"/>
        <w:jc w:val="left"/>
      </w:pPr>
      <w:r>
        <w:rPr>
          <w:rFonts w:ascii="Times New Roman" w:hAnsi="Times New Roman" w:cs="Times New Roman"/>
          <w:b w:val="0"/>
          <w:i w:val="0"/>
          <w:sz w:val="22"/>
        </w:rPr>
        <w:t>- Complete event history</w:t>
      </w:r>
    </w:p>
    <w:p>
      <w:pPr>
        <w:spacing w:after="80" w:line="293" w:lineRule="auto"/>
        <w:ind w:left="283"/>
        <w:jc w:val="left"/>
      </w:pPr>
      <w:r>
        <w:rPr>
          <w:rFonts w:ascii="Times New Roman" w:hAnsi="Times New Roman" w:cs="Times New Roman"/>
          <w:b w:val="0"/>
          <w:i w:val="0"/>
          <w:sz w:val="22"/>
        </w:rPr>
        <w:t>- All state transitions</w:t>
      </w:r>
    </w:p>
    <w:p>
      <w:pPr>
        <w:spacing w:after="80" w:line="293" w:lineRule="auto"/>
        <w:ind w:left="283"/>
        <w:jc w:val="left"/>
      </w:pPr>
      <w:r>
        <w:rPr>
          <w:rFonts w:ascii="Times New Roman" w:hAnsi="Times New Roman" w:cs="Times New Roman"/>
          <w:b w:val="0"/>
          <w:i w:val="0"/>
          <w:sz w:val="22"/>
        </w:rPr>
        <w:t>- Evidence packages</w:t>
      </w:r>
    </w:p>
    <w:p>
      <w:pPr>
        <w:spacing w:after="80" w:line="293" w:lineRule="auto"/>
        <w:ind w:left="283"/>
        <w:jc w:val="left"/>
      </w:pPr>
      <w:r>
        <w:rPr>
          <w:rFonts w:ascii="Times New Roman" w:hAnsi="Times New Roman" w:cs="Times New Roman"/>
          <w:b w:val="0"/>
          <w:i w:val="0"/>
          <w:sz w:val="22"/>
        </w:rPr>
        <w:t>- Authority determinations</w:t>
      </w:r>
    </w:p>
    <w:p>
      <w:pPr>
        <w:spacing w:after="80" w:line="293" w:lineRule="auto"/>
        <w:ind w:left="283"/>
        <w:jc w:val="left"/>
      </w:pPr>
      <w:r>
        <w:rPr>
          <w:rFonts w:ascii="Times New Roman" w:hAnsi="Times New Roman" w:cs="Times New Roman"/>
          <w:b w:val="0"/>
          <w:i w:val="0"/>
          <w:sz w:val="22"/>
        </w:rPr>
        <w:t>- Policy versions</w:t>
      </w:r>
    </w:p>
    <w:p>
      <w:pPr>
        <w:spacing w:after="80" w:line="293" w:lineRule="auto"/>
        <w:ind w:left="283"/>
        <w:jc w:val="left"/>
      </w:pPr>
      <w:r>
        <w:rPr>
          <w:rFonts w:ascii="Times New Roman" w:hAnsi="Times New Roman" w:cs="Times New Roman"/>
          <w:b w:val="0"/>
          <w:i w:val="0"/>
          <w:sz w:val="22"/>
        </w:rPr>
        <w:t>- Reconciliation cases</w:t>
      </w:r>
    </w:p>
    <w:p>
      <w:pPr>
        <w:spacing w:after="80" w:line="293" w:lineRule="auto"/>
        <w:ind w:left="283"/>
        <w:jc w:val="left"/>
      </w:pPr>
      <w:r>
        <w:rPr>
          <w:rFonts w:ascii="Times New Roman" w:hAnsi="Times New Roman" w:cs="Times New Roman"/>
          <w:b w:val="0"/>
          <w:i w:val="0"/>
          <w:sz w:val="22"/>
        </w:rPr>
        <w:t>- Dispute packages</w:t>
      </w:r>
    </w:p>
    <w:p>
      <w:pPr>
        <w:spacing w:after="80" w:line="293" w:lineRule="auto"/>
        <w:ind w:left="283"/>
        <w:jc w:val="left"/>
      </w:pPr>
      <w:r>
        <w:rPr>
          <w:rFonts w:ascii="Times New Roman" w:hAnsi="Times New Roman" w:cs="Times New Roman"/>
          <w:b w:val="0"/>
          <w:i w:val="0"/>
          <w:sz w:val="22"/>
        </w:rPr>
        <w:t>- Corrective actions</w:t>
      </w:r>
    </w:p>
    <w:p>
      <w:pPr>
        <w:spacing w:after="80" w:line="293" w:lineRule="auto"/>
        <w:ind w:left="283"/>
        <w:jc w:val="left"/>
      </w:pPr>
      <w:r>
        <w:rPr>
          <w:rFonts w:ascii="Times New Roman" w:hAnsi="Times New Roman" w:cs="Times New Roman"/>
          <w:b w:val="0"/>
          <w:i w:val="0"/>
          <w:sz w:val="22"/>
        </w:rPr>
        <w:t>- Recovery actions</w:t>
      </w:r>
    </w:p>
    <w:p>
      <w:pPr>
        <w:spacing w:after="80" w:line="293" w:lineRule="auto"/>
        <w:ind w:left="283"/>
        <w:jc w:val="left"/>
      </w:pPr>
      <w:r>
        <w:rPr>
          <w:rFonts w:ascii="Times New Roman" w:hAnsi="Times New Roman" w:cs="Times New Roman"/>
          <w:b w:val="0"/>
          <w:i w:val="0"/>
          <w:sz w:val="22"/>
        </w:rPr>
        <w:t>- Settlement certificates</w:t>
      </w:r>
    </w:p>
    <w:p>
      <w:pPr>
        <w:spacing w:after="80" w:line="293" w:lineRule="auto"/>
        <w:ind w:left="283"/>
        <w:jc w:val="left"/>
      </w:pPr>
      <w:r>
        <w:rPr>
          <w:rFonts w:ascii="Times New Roman" w:hAnsi="Times New Roman" w:cs="Times New Roman"/>
          <w:b w:val="0"/>
          <w:i w:val="0"/>
          <w:sz w:val="22"/>
        </w:rPr>
        <w:t>- Closure certificates</w:t>
      </w:r>
    </w:p>
    <w:p>
      <w:pPr>
        <w:keepNext/>
        <w:spacing w:before="140" w:after="60"/>
        <w:outlineLvl w:val="3"/>
      </w:pPr>
      <w:r>
        <w:rPr>
          <w:rFonts w:ascii="Arial" w:hAnsi="Arial" w:cs="Arial"/>
          <w:b/>
          <w:i/>
          <w:color w:val="333333"/>
          <w:sz w:val="22"/>
        </w:rPr>
        <w:t>19.124B.3 Data Disposition</w:t>
      </w:r>
    </w:p>
    <w:p>
      <w:pPr>
        <w:spacing w:after="80" w:line="293" w:lineRule="auto"/>
        <w:jc w:val="left"/>
      </w:pPr>
      <w:r>
        <w:rPr>
          <w:rFonts w:ascii="Times New Roman" w:hAnsi="Times New Roman" w:cs="Times New Roman"/>
          <w:b w:val="0"/>
          <w:i w:val="0"/>
          <w:sz w:val="22"/>
        </w:rPr>
        <w:t>At the end of the applicable retention period, records enter a governed disposition process that evaluates:</w:t>
      </w:r>
    </w:p>
    <w:p>
      <w:pPr>
        <w:spacing w:after="80" w:line="293" w:lineRule="auto"/>
        <w:ind w:left="283"/>
        <w:jc w:val="left"/>
      </w:pPr>
      <w:r>
        <w:rPr>
          <w:rFonts w:ascii="Times New Roman" w:hAnsi="Times New Roman" w:cs="Times New Roman"/>
          <w:b w:val="0"/>
          <w:i w:val="0"/>
          <w:sz w:val="22"/>
        </w:rPr>
        <w:t>- Legal holds</w:t>
      </w:r>
    </w:p>
    <w:p>
      <w:pPr>
        <w:spacing w:after="80" w:line="293" w:lineRule="auto"/>
        <w:ind w:left="283"/>
        <w:jc w:val="left"/>
      </w:pPr>
      <w:r>
        <w:rPr>
          <w:rFonts w:ascii="Times New Roman" w:hAnsi="Times New Roman" w:cs="Times New Roman"/>
          <w:b w:val="0"/>
          <w:i w:val="0"/>
          <w:sz w:val="22"/>
        </w:rPr>
        <w:t>- Regulatory holds</w:t>
      </w:r>
    </w:p>
    <w:p>
      <w:pPr>
        <w:spacing w:after="80" w:line="293" w:lineRule="auto"/>
        <w:ind w:left="283"/>
        <w:jc w:val="left"/>
      </w:pPr>
      <w:r>
        <w:rPr>
          <w:rFonts w:ascii="Times New Roman" w:hAnsi="Times New Roman" w:cs="Times New Roman"/>
          <w:b w:val="0"/>
          <w:i w:val="0"/>
          <w:sz w:val="22"/>
        </w:rPr>
        <w:t>- Contractual requirements</w:t>
      </w:r>
    </w:p>
    <w:p>
      <w:pPr>
        <w:spacing w:after="80" w:line="293" w:lineRule="auto"/>
        <w:ind w:left="283"/>
        <w:jc w:val="left"/>
      </w:pPr>
      <w:r>
        <w:rPr>
          <w:rFonts w:ascii="Times New Roman" w:hAnsi="Times New Roman" w:cs="Times New Roman"/>
          <w:b w:val="0"/>
          <w:i w:val="0"/>
          <w:sz w:val="22"/>
        </w:rPr>
        <w:t>- Evidentiary requirements</w:t>
      </w:r>
    </w:p>
    <w:p>
      <w:pPr>
        <w:spacing w:after="80" w:line="293" w:lineRule="auto"/>
        <w:ind w:left="283"/>
        <w:jc w:val="left"/>
      </w:pPr>
      <w:r>
        <w:rPr>
          <w:rFonts w:ascii="Times New Roman" w:hAnsi="Times New Roman" w:cs="Times New Roman"/>
          <w:b w:val="0"/>
          <w:i w:val="0"/>
          <w:sz w:val="22"/>
        </w:rPr>
        <w:t>- Applicable data-protection rules</w:t>
      </w:r>
    </w:p>
    <w:p>
      <w:pPr>
        <w:spacing w:after="80" w:line="293" w:lineRule="auto"/>
        <w:jc w:val="left"/>
      </w:pPr>
      <w:r>
        <w:rPr>
          <w:rFonts w:ascii="Times New Roman" w:hAnsi="Times New Roman" w:cs="Times New Roman"/>
          <w:b w:val="0"/>
          <w:i w:val="0"/>
          <w:sz w:val="22"/>
        </w:rPr>
        <w:t>Following this evaluation, records may be subject to:</w:t>
      </w:r>
    </w:p>
    <w:p>
      <w:pPr>
        <w:spacing w:after="80" w:line="293" w:lineRule="auto"/>
        <w:ind w:left="283"/>
        <w:jc w:val="left"/>
      </w:pPr>
      <w:r>
        <w:rPr>
          <w:rFonts w:ascii="Times New Roman" w:hAnsi="Times New Roman" w:cs="Times New Roman"/>
          <w:b w:val="0"/>
          <w:i w:val="0"/>
          <w:sz w:val="22"/>
        </w:rPr>
        <w:t>- Deletion</w:t>
      </w:r>
    </w:p>
    <w:p>
      <w:pPr>
        <w:spacing w:after="80" w:line="293" w:lineRule="auto"/>
        <w:ind w:left="283"/>
        <w:jc w:val="left"/>
      </w:pPr>
      <w:r>
        <w:rPr>
          <w:rFonts w:ascii="Times New Roman" w:hAnsi="Times New Roman" w:cs="Times New Roman"/>
          <w:b w:val="0"/>
          <w:i w:val="0"/>
          <w:sz w:val="22"/>
        </w:rPr>
        <w:t>- Anonymization</w:t>
      </w:r>
    </w:p>
    <w:p>
      <w:pPr>
        <w:spacing w:after="80" w:line="293" w:lineRule="auto"/>
        <w:ind w:left="283"/>
        <w:jc w:val="left"/>
      </w:pPr>
      <w:r>
        <w:rPr>
          <w:rFonts w:ascii="Times New Roman" w:hAnsi="Times New Roman" w:cs="Times New Roman"/>
          <w:b w:val="0"/>
          <w:i w:val="0"/>
          <w:sz w:val="22"/>
        </w:rPr>
        <w:t>- Archival</w:t>
      </w:r>
    </w:p>
    <w:p>
      <w:pPr>
        <w:spacing w:after="80" w:line="293" w:lineRule="auto"/>
        <w:ind w:left="283"/>
        <w:jc w:val="left"/>
      </w:pPr>
      <w:r>
        <w:rPr>
          <w:rFonts w:ascii="Times New Roman" w:hAnsi="Times New Roman" w:cs="Times New Roman"/>
          <w:b w:val="0"/>
          <w:i w:val="0"/>
          <w:sz w:val="22"/>
        </w:rPr>
        <w:t>- Other permitted disposition</w:t>
      </w:r>
    </w:p>
    <w:p>
      <w:pPr>
        <w:spacing w:after="80" w:line="293" w:lineRule="auto"/>
        <w:jc w:val="left"/>
      </w:pPr>
      <w:r>
        <w:rPr>
          <w:rFonts w:ascii="Times New Roman" w:hAnsi="Times New Roman" w:cs="Times New Roman"/>
          <w:b w:val="0"/>
          <w:i w:val="0"/>
          <w:sz w:val="22"/>
        </w:rPr>
        <w:t>Records are not automatically anonymized or deleted unless explicitly permitted by the applicable legal, regulatory, and contractual frameworks.</w:t>
      </w:r>
    </w:p>
    <w:p>
      <w:pPr>
        <w:keepNext/>
        <w:spacing w:before="180" w:after="80"/>
        <w:outlineLvl w:val="2"/>
      </w:pPr>
      <w:r>
        <w:rPr>
          <w:rFonts w:ascii="Arial" w:hAnsi="Arial" w:cs="Arial"/>
          <w:b/>
          <w:i w:val="0"/>
          <w:color w:val="333333"/>
          <w:sz w:val="23"/>
        </w:rPr>
        <w:t>19.124C Bank Onboarding Requirements</w:t>
      </w:r>
    </w:p>
    <w:p>
      <w:pPr>
        <w:keepNext/>
        <w:spacing w:before="140" w:after="60"/>
        <w:outlineLvl w:val="3"/>
      </w:pPr>
      <w:r>
        <w:rPr>
          <w:rFonts w:ascii="Arial" w:hAnsi="Arial" w:cs="Arial"/>
          <w:b/>
          <w:i/>
          <w:color w:val="333333"/>
          <w:sz w:val="22"/>
        </w:rPr>
        <w:t>19.124C.1 Legal Agreements Required</w:t>
      </w:r>
    </w:p>
    <w:p>
      <w:pPr>
        <w:spacing w:after="80" w:line="293" w:lineRule="auto"/>
        <w:ind w:left="283"/>
        <w:jc w:val="left"/>
      </w:pPr>
      <w:r>
        <w:rPr>
          <w:rFonts w:ascii="Times New Roman" w:hAnsi="Times New Roman" w:cs="Times New Roman"/>
          <w:b w:val="0"/>
          <w:i w:val="0"/>
          <w:sz w:val="22"/>
        </w:rPr>
        <w:t>- Master Services Agreement</w:t>
      </w:r>
    </w:p>
    <w:p>
      <w:pPr>
        <w:spacing w:after="80" w:line="293" w:lineRule="auto"/>
        <w:ind w:left="283"/>
        <w:jc w:val="left"/>
      </w:pPr>
      <w:r>
        <w:rPr>
          <w:rFonts w:ascii="Times New Roman" w:hAnsi="Times New Roman" w:cs="Times New Roman"/>
          <w:b w:val="0"/>
          <w:i w:val="0"/>
          <w:sz w:val="22"/>
        </w:rPr>
        <w:t>- Data Processing Agreement (GDPR/PDPL compliant — General Data Protection Regulation / Egyptian Personal Data Protection Law)</w:t>
      </w:r>
    </w:p>
    <w:p>
      <w:pPr>
        <w:spacing w:after="80" w:line="293" w:lineRule="auto"/>
        <w:ind w:left="283"/>
        <w:jc w:val="left"/>
      </w:pPr>
      <w:r>
        <w:rPr>
          <w:rFonts w:ascii="Times New Roman" w:hAnsi="Times New Roman" w:cs="Times New Roman"/>
          <w:b w:val="0"/>
          <w:i w:val="0"/>
          <w:sz w:val="22"/>
        </w:rPr>
        <w:t>- Information Security Schedule</w:t>
      </w:r>
    </w:p>
    <w:p>
      <w:pPr>
        <w:spacing w:after="80" w:line="293" w:lineRule="auto"/>
        <w:ind w:left="283"/>
        <w:jc w:val="left"/>
      </w:pPr>
      <w:r>
        <w:rPr>
          <w:rFonts w:ascii="Times New Roman" w:hAnsi="Times New Roman" w:cs="Times New Roman"/>
          <w:b w:val="0"/>
          <w:i w:val="0"/>
          <w:sz w:val="22"/>
        </w:rPr>
        <w:t>- Operational SLA</w:t>
      </w:r>
    </w:p>
    <w:p>
      <w:pPr>
        <w:spacing w:after="80" w:line="293" w:lineRule="auto"/>
        <w:ind w:left="283"/>
        <w:jc w:val="left"/>
      </w:pPr>
      <w:r>
        <w:rPr>
          <w:rFonts w:ascii="Times New Roman" w:hAnsi="Times New Roman" w:cs="Times New Roman"/>
          <w:b w:val="0"/>
          <w:i w:val="0"/>
          <w:sz w:val="22"/>
        </w:rPr>
        <w:t>- Incident/Breach Procedures</w:t>
      </w:r>
    </w:p>
    <w:p>
      <w:pPr>
        <w:spacing w:after="80" w:line="293" w:lineRule="auto"/>
        <w:ind w:left="283"/>
        <w:jc w:val="left"/>
      </w:pPr>
      <w:r>
        <w:rPr>
          <w:rFonts w:ascii="Times New Roman" w:hAnsi="Times New Roman" w:cs="Times New Roman"/>
          <w:b w:val="0"/>
          <w:i w:val="0"/>
          <w:sz w:val="22"/>
        </w:rPr>
        <w:t>- Liability Framework</w:t>
      </w:r>
    </w:p>
    <w:p>
      <w:pPr>
        <w:spacing w:after="80" w:line="293" w:lineRule="auto"/>
        <w:ind w:left="283"/>
        <w:jc w:val="left"/>
      </w:pPr>
      <w:r>
        <w:rPr>
          <w:rFonts w:ascii="Times New Roman" w:hAnsi="Times New Roman" w:cs="Times New Roman"/>
          <w:b w:val="0"/>
          <w:i w:val="0"/>
          <w:sz w:val="22"/>
        </w:rPr>
        <w:t>- Business Continuity/Disaster Recovery</w:t>
      </w:r>
    </w:p>
    <w:p>
      <w:pPr>
        <w:spacing w:after="80" w:line="293" w:lineRule="auto"/>
        <w:ind w:left="283"/>
        <w:jc w:val="left"/>
      </w:pPr>
      <w:r>
        <w:rPr>
          <w:rFonts w:ascii="Times New Roman" w:hAnsi="Times New Roman" w:cs="Times New Roman"/>
          <w:b w:val="0"/>
          <w:i w:val="0"/>
          <w:sz w:val="22"/>
        </w:rPr>
        <w:t>- Audit Rights</w:t>
      </w:r>
    </w:p>
    <w:p>
      <w:pPr>
        <w:spacing w:after="80" w:line="293" w:lineRule="auto"/>
        <w:ind w:left="283"/>
        <w:jc w:val="left"/>
      </w:pPr>
      <w:r>
        <w:rPr>
          <w:rFonts w:ascii="Times New Roman" w:hAnsi="Times New Roman" w:cs="Times New Roman"/>
          <w:b w:val="0"/>
          <w:i w:val="0"/>
          <w:sz w:val="22"/>
        </w:rPr>
        <w:t>- Subprocessor Provisions</w:t>
      </w:r>
    </w:p>
    <w:p>
      <w:pPr>
        <w:spacing w:after="80" w:line="293" w:lineRule="auto"/>
        <w:ind w:left="283"/>
        <w:jc w:val="left"/>
      </w:pPr>
      <w:r>
        <w:rPr>
          <w:rFonts w:ascii="Times New Roman" w:hAnsi="Times New Roman" w:cs="Times New Roman"/>
          <w:b w:val="0"/>
          <w:i w:val="0"/>
          <w:sz w:val="22"/>
        </w:rPr>
        <w:t>- Change Management Procedure</w:t>
      </w:r>
    </w:p>
    <w:p>
      <w:pPr>
        <w:spacing w:after="80" w:line="293" w:lineRule="auto"/>
        <w:ind w:left="283"/>
        <w:jc w:val="left"/>
      </w:pPr>
      <w:r>
        <w:rPr>
          <w:rFonts w:ascii="Times New Roman" w:hAnsi="Times New Roman" w:cs="Times New Roman"/>
          <w:b w:val="0"/>
          <w:i w:val="0"/>
          <w:sz w:val="22"/>
        </w:rPr>
        <w:t>- Regulatory Cooperation Provisions</w:t>
      </w:r>
    </w:p>
    <w:p>
      <w:pPr>
        <w:keepNext/>
        <w:spacing w:before="140" w:after="60"/>
        <w:outlineLvl w:val="3"/>
      </w:pPr>
      <w:r>
        <w:rPr>
          <w:rFonts w:ascii="Arial" w:hAnsi="Arial" w:cs="Arial"/>
          <w:b/>
          <w:i/>
          <w:color w:val="333333"/>
          <w:sz w:val="22"/>
        </w:rPr>
        <w:t>19.124C.2 Technical Integration Requirements</w:t>
      </w:r>
    </w:p>
    <w:p>
      <w:pPr>
        <w:spacing w:after="80" w:line="293" w:lineRule="auto"/>
        <w:ind w:left="283"/>
        <w:jc w:val="left"/>
      </w:pPr>
      <w:r>
        <w:rPr>
          <w:rFonts w:ascii="Times New Roman" w:hAnsi="Times New Roman" w:cs="Times New Roman"/>
          <w:b w:val="0"/>
          <w:i w:val="0"/>
          <w:sz w:val="22"/>
        </w:rPr>
        <w:t>- Connectivity validation (API, ISO 20022, H2H, SFTP)</w:t>
      </w:r>
    </w:p>
    <w:p>
      <w:pPr>
        <w:spacing w:after="80" w:line="293" w:lineRule="auto"/>
        <w:ind w:left="283"/>
        <w:jc w:val="left"/>
      </w:pPr>
      <w:r>
        <w:rPr>
          <w:rFonts w:ascii="Times New Roman" w:hAnsi="Times New Roman" w:cs="Times New Roman"/>
          <w:b w:val="0"/>
          <w:i w:val="0"/>
          <w:sz w:val="22"/>
        </w:rPr>
        <w:t>- Message format validation (ISO 20022, bank-native)</w:t>
      </w:r>
    </w:p>
    <w:p>
      <w:pPr>
        <w:spacing w:after="80" w:line="293" w:lineRule="auto"/>
        <w:ind w:left="283"/>
        <w:jc w:val="left"/>
      </w:pPr>
      <w:r>
        <w:rPr>
          <w:rFonts w:ascii="Times New Roman" w:hAnsi="Times New Roman" w:cs="Times New Roman"/>
          <w:b w:val="0"/>
          <w:i w:val="0"/>
          <w:sz w:val="22"/>
        </w:rPr>
        <w:t>- Certificate validation (mutual TLS, public-key infrastructure)</w:t>
      </w:r>
    </w:p>
    <w:p>
      <w:pPr>
        <w:spacing w:after="80" w:line="293" w:lineRule="auto"/>
        <w:ind w:left="283"/>
        <w:jc w:val="left"/>
      </w:pPr>
      <w:r>
        <w:rPr>
          <w:rFonts w:ascii="Times New Roman" w:hAnsi="Times New Roman" w:cs="Times New Roman"/>
          <w:b w:val="0"/>
          <w:i w:val="0"/>
          <w:sz w:val="22"/>
        </w:rPr>
        <w:t>- Idempotency testing</w:t>
      </w:r>
    </w:p>
    <w:p>
      <w:pPr>
        <w:spacing w:after="80" w:line="293" w:lineRule="auto"/>
        <w:ind w:left="283"/>
        <w:jc w:val="left"/>
      </w:pPr>
      <w:r>
        <w:rPr>
          <w:rFonts w:ascii="Times New Roman" w:hAnsi="Times New Roman" w:cs="Times New Roman"/>
          <w:b w:val="0"/>
          <w:i w:val="0"/>
          <w:sz w:val="22"/>
        </w:rPr>
        <w:t>- Replay protection testing</w:t>
      </w:r>
    </w:p>
    <w:p>
      <w:pPr>
        <w:spacing w:after="80" w:line="293" w:lineRule="auto"/>
        <w:ind w:left="283"/>
        <w:jc w:val="left"/>
      </w:pPr>
      <w:r>
        <w:rPr>
          <w:rFonts w:ascii="Times New Roman" w:hAnsi="Times New Roman" w:cs="Times New Roman"/>
          <w:b w:val="0"/>
          <w:i w:val="0"/>
          <w:sz w:val="22"/>
        </w:rPr>
        <w:t>- Latency testing</w:t>
      </w:r>
    </w:p>
    <w:p>
      <w:pPr>
        <w:spacing w:after="80" w:line="293" w:lineRule="auto"/>
        <w:ind w:left="283"/>
        <w:jc w:val="left"/>
      </w:pPr>
      <w:r>
        <w:rPr>
          <w:rFonts w:ascii="Times New Roman" w:hAnsi="Times New Roman" w:cs="Times New Roman"/>
          <w:b w:val="0"/>
          <w:i w:val="0"/>
          <w:sz w:val="22"/>
        </w:rPr>
        <w:t>- Throughput testing</w:t>
      </w:r>
    </w:p>
    <w:p>
      <w:pPr>
        <w:spacing w:after="80" w:line="293" w:lineRule="auto"/>
        <w:ind w:left="283"/>
        <w:jc w:val="left"/>
      </w:pPr>
      <w:r>
        <w:rPr>
          <w:rFonts w:ascii="Times New Roman" w:hAnsi="Times New Roman" w:cs="Times New Roman"/>
          <w:b w:val="0"/>
          <w:i w:val="0"/>
          <w:sz w:val="22"/>
        </w:rPr>
        <w:t>- Exception handling testing</w:t>
      </w:r>
    </w:p>
    <w:p>
      <w:pPr>
        <w:spacing w:after="80" w:line="293" w:lineRule="auto"/>
        <w:ind w:left="283"/>
        <w:jc w:val="left"/>
      </w:pPr>
      <w:r>
        <w:rPr>
          <w:rFonts w:ascii="Times New Roman" w:hAnsi="Times New Roman" w:cs="Times New Roman"/>
          <w:b w:val="0"/>
          <w:i w:val="0"/>
          <w:sz w:val="22"/>
        </w:rPr>
        <w:t>- Reconciliation testing</w:t>
      </w:r>
    </w:p>
    <w:p>
      <w:pPr>
        <w:keepNext/>
        <w:spacing w:before="140" w:after="60"/>
        <w:outlineLvl w:val="3"/>
      </w:pPr>
      <w:r>
        <w:rPr>
          <w:rFonts w:ascii="Arial" w:hAnsi="Arial" w:cs="Arial"/>
          <w:b/>
          <w:i/>
          <w:color w:val="333333"/>
          <w:sz w:val="22"/>
        </w:rPr>
        <w:t>19.124C.3 Testing Requirements</w:t>
      </w:r>
    </w:p>
    <w:p>
      <w:pPr>
        <w:spacing w:after="80" w:line="293" w:lineRule="auto"/>
        <w:ind w:left="283"/>
        <w:jc w:val="left"/>
      </w:pPr>
      <w:r>
        <w:rPr>
          <w:rFonts w:ascii="Times New Roman" w:hAnsi="Times New Roman" w:cs="Times New Roman"/>
          <w:b w:val="0"/>
          <w:i w:val="0"/>
          <w:sz w:val="22"/>
        </w:rPr>
        <w:t>- Connectivity testing</w:t>
      </w:r>
    </w:p>
    <w:p>
      <w:pPr>
        <w:spacing w:after="80" w:line="293" w:lineRule="auto"/>
        <w:ind w:left="283"/>
        <w:jc w:val="left"/>
      </w:pPr>
      <w:r>
        <w:rPr>
          <w:rFonts w:ascii="Times New Roman" w:hAnsi="Times New Roman" w:cs="Times New Roman"/>
          <w:b w:val="0"/>
          <w:i w:val="0"/>
          <w:sz w:val="22"/>
        </w:rPr>
        <w:t>- Unit testing (all message types)</w:t>
      </w:r>
    </w:p>
    <w:p>
      <w:pPr>
        <w:spacing w:after="80" w:line="293" w:lineRule="auto"/>
        <w:ind w:left="283"/>
        <w:jc w:val="left"/>
      </w:pPr>
      <w:r>
        <w:rPr>
          <w:rFonts w:ascii="Times New Roman" w:hAnsi="Times New Roman" w:cs="Times New Roman"/>
          <w:b w:val="0"/>
          <w:i w:val="0"/>
          <w:sz w:val="22"/>
        </w:rPr>
        <w:t>- Integration testing</w:t>
      </w:r>
    </w:p>
    <w:p>
      <w:pPr>
        <w:spacing w:after="80" w:line="293" w:lineRule="auto"/>
        <w:ind w:left="283"/>
        <w:jc w:val="left"/>
      </w:pPr>
      <w:r>
        <w:rPr>
          <w:rFonts w:ascii="Times New Roman" w:hAnsi="Times New Roman" w:cs="Times New Roman"/>
          <w:b w:val="0"/>
          <w:i w:val="0"/>
          <w:sz w:val="22"/>
        </w:rPr>
        <w:t>- End-to-end testing (full transaction lifecycle)</w:t>
      </w:r>
    </w:p>
    <w:p>
      <w:pPr>
        <w:spacing w:after="80" w:line="293" w:lineRule="auto"/>
        <w:ind w:left="283"/>
        <w:jc w:val="left"/>
      </w:pPr>
      <w:r>
        <w:rPr>
          <w:rFonts w:ascii="Times New Roman" w:hAnsi="Times New Roman" w:cs="Times New Roman"/>
          <w:b w:val="0"/>
          <w:i w:val="0"/>
          <w:sz w:val="22"/>
        </w:rPr>
        <w:t>- Disaster recovery testing</w:t>
      </w:r>
    </w:p>
    <w:p>
      <w:pPr>
        <w:spacing w:after="80" w:line="293" w:lineRule="auto"/>
        <w:ind w:left="283"/>
        <w:jc w:val="left"/>
      </w:pPr>
      <w:r>
        <w:rPr>
          <w:rFonts w:ascii="Times New Roman" w:hAnsi="Times New Roman" w:cs="Times New Roman"/>
          <w:b w:val="0"/>
          <w:i w:val="0"/>
          <w:sz w:val="22"/>
        </w:rPr>
        <w:t>- Security penetration testing</w:t>
      </w:r>
    </w:p>
    <w:p>
      <w:pPr>
        <w:spacing w:after="80" w:line="293" w:lineRule="auto"/>
        <w:ind w:left="283"/>
        <w:jc w:val="left"/>
      </w:pPr>
      <w:r>
        <w:rPr>
          <w:rFonts w:ascii="Times New Roman" w:hAnsi="Times New Roman" w:cs="Times New Roman"/>
          <w:b w:val="0"/>
          <w:i w:val="0"/>
          <w:sz w:val="22"/>
        </w:rPr>
        <w:t>- Load testing</w:t>
      </w:r>
    </w:p>
    <w:p>
      <w:pPr>
        <w:spacing w:after="80" w:line="293" w:lineRule="auto"/>
        <w:ind w:left="283"/>
        <w:jc w:val="left"/>
      </w:pPr>
      <w:r>
        <w:rPr>
          <w:rFonts w:ascii="Times New Roman" w:hAnsi="Times New Roman" w:cs="Times New Roman"/>
          <w:b w:val="0"/>
          <w:i w:val="0"/>
          <w:sz w:val="22"/>
        </w:rPr>
        <w:t>- Exception testing</w:t>
      </w:r>
    </w:p>
    <w:p>
      <w:pPr>
        <w:keepNext/>
        <w:spacing w:before="140" w:after="60"/>
        <w:outlineLvl w:val="3"/>
      </w:pPr>
      <w:r>
        <w:rPr>
          <w:rFonts w:ascii="Arial" w:hAnsi="Arial" w:cs="Arial"/>
          <w:b/>
          <w:i/>
          <w:color w:val="333333"/>
          <w:sz w:val="22"/>
        </w:rPr>
        <w:t>19.124C.4 Operational SLA (Targets)</w:t>
      </w:r>
    </w:p>
    <w:p>
      <w:pPr>
        <w:spacing w:after="80" w:line="293" w:lineRule="auto"/>
        <w:jc w:val="left"/>
      </w:pPr>
      <w:r>
        <w:rPr>
          <w:rFonts w:ascii="Times New Roman" w:hAnsi="Times New Roman" w:cs="Times New Roman"/>
          <w:b w:val="0"/>
          <w:i w:val="0"/>
          <w:sz w:val="22"/>
        </w:rPr>
        <w:t>This subsection specifies SGTX technical delivery targets, not bank/external settlement SLAs. SGTX distinguishes three latency domains: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Domain</w:t>
            </w:r>
          </w:p>
        </w:tc>
        <w:tc>
          <w:tcPr>
            <w:tcW w:type="dxa" w:w="4819"/>
            <w:shd w:val="clear" w:fill="D9E2F3"/>
          </w:tcPr>
          <w:p>
            <w:pPr>
              <w:spacing w:after="20" w:before="20" w:line="240" w:lineRule="auto"/>
            </w:pPr>
            <w:r/>
            <w:r>
              <w:rPr>
                <w:rFonts w:ascii="Arial" w:hAnsi="Arial" w:cs="Arial"/>
                <w:b/>
                <w:i w:val="0"/>
                <w:sz w:val="18"/>
              </w:rPr>
              <w:t>Scope</w:t>
            </w:r>
          </w:p>
        </w:tc>
      </w:tr>
      <w:tr>
        <w:tc>
          <w:tcPr>
            <w:tcW w:type="dxa" w:w="4819"/>
          </w:tcPr>
          <w:p>
            <w:pPr>
              <w:spacing w:after="20" w:before="20" w:line="240" w:lineRule="auto"/>
            </w:pPr>
            <w:r/>
            <w:r>
              <w:rPr>
                <w:rFonts w:ascii="Arial" w:hAnsi="Arial" w:cs="Arial"/>
                <w:b w:val="0"/>
                <w:i w:val="0"/>
                <w:sz w:val="17"/>
              </w:rPr>
              <w:t>L1 — SGTX Internal Processing</w:t>
            </w:r>
          </w:p>
        </w:tc>
        <w:tc>
          <w:tcPr>
            <w:tcW w:type="dxa" w:w="4819"/>
          </w:tcPr>
          <w:p>
            <w:pPr>
              <w:spacing w:after="20" w:before="20" w:line="240" w:lineRule="auto"/>
            </w:pPr>
            <w:r/>
            <w:r>
              <w:rPr>
                <w:rFonts w:ascii="Arial" w:hAnsi="Arial" w:cs="Arial"/>
                <w:b w:val="0"/>
                <w:i w:val="0"/>
                <w:sz w:val="17"/>
              </w:rPr>
              <w:t>API acceptance / validation latency; internal system processing.</w:t>
            </w:r>
          </w:p>
        </w:tc>
      </w:tr>
      <w:tr>
        <w:tc>
          <w:tcPr>
            <w:tcW w:type="dxa" w:w="4819"/>
          </w:tcPr>
          <w:p>
            <w:pPr>
              <w:spacing w:after="20" w:before="20" w:line="240" w:lineRule="auto"/>
            </w:pPr>
            <w:r/>
            <w:r>
              <w:rPr>
                <w:rFonts w:ascii="Arial" w:hAnsi="Arial" w:cs="Arial"/>
                <w:b w:val="0"/>
                <w:i w:val="0"/>
                <w:sz w:val="17"/>
              </w:rPr>
              <w:t>L2 — Bank Gateway Delivery</w:t>
            </w:r>
          </w:p>
        </w:tc>
        <w:tc>
          <w:tcPr>
            <w:tcW w:type="dxa" w:w="4819"/>
          </w:tcPr>
          <w:p>
            <w:pPr>
              <w:spacing w:after="20" w:before="20" w:line="240" w:lineRule="auto"/>
            </w:pPr>
            <w:r/>
            <w:r>
              <w:rPr>
                <w:rFonts w:ascii="Arial" w:hAnsi="Arial" w:cs="Arial"/>
                <w:b w:val="0"/>
                <w:i w:val="0"/>
                <w:sz w:val="17"/>
              </w:rPr>
              <w:t>Time to transmit and receive gateway acknowledgment.</w:t>
            </w:r>
          </w:p>
        </w:tc>
      </w:tr>
      <w:tr>
        <w:tc>
          <w:tcPr>
            <w:tcW w:type="dxa" w:w="4819"/>
          </w:tcPr>
          <w:p>
            <w:pPr>
              <w:spacing w:after="20" w:before="20" w:line="240" w:lineRule="auto"/>
            </w:pPr>
            <w:r/>
            <w:r>
              <w:rPr>
                <w:rFonts w:ascii="Arial" w:hAnsi="Arial" w:cs="Arial"/>
                <w:b w:val="0"/>
                <w:i w:val="0"/>
                <w:sz w:val="17"/>
              </w:rPr>
              <w:t>L3 — External Financial Execution</w:t>
            </w:r>
          </w:p>
        </w:tc>
        <w:tc>
          <w:tcPr>
            <w:tcW w:type="dxa" w:w="4819"/>
          </w:tcPr>
          <w:p>
            <w:pPr>
              <w:spacing w:after="20" w:before="20" w:line="240" w:lineRule="auto"/>
            </w:pPr>
            <w:r/>
            <w:r>
              <w:rPr>
                <w:rFonts w:ascii="Arial" w:hAnsi="Arial" w:cs="Arial"/>
                <w:b w:val="0"/>
                <w:i w:val="0"/>
                <w:sz w:val="17"/>
              </w:rPr>
              <w:t>Bank/payment rail settlement duration; external compliance screening; correspondent routing; batch/rail constraints.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L3 is external and must not be presented as an SGTX deterministic latency commitment.</w:t>
      </w:r>
    </w:p>
    <w:p>
      <w:pPr>
        <w:keepNext/>
        <w:spacing w:before="180" w:after="80"/>
        <w:outlineLvl w:val="2"/>
      </w:pPr>
      <w:r>
        <w:rPr>
          <w:rFonts w:ascii="Arial" w:hAnsi="Arial" w:cs="Arial"/>
          <w:b/>
          <w:i w:val="0"/>
          <w:color w:val="333333"/>
          <w:sz w:val="23"/>
        </w:rPr>
        <w:t>19.124D Regulatory Impact Assessment (Preliminary Alignment)</w:t>
      </w:r>
    </w:p>
    <w:p>
      <w:pPr>
        <w:spacing w:after="80" w:line="293" w:lineRule="auto"/>
        <w:jc w:val="left"/>
      </w:pPr>
      <w:r>
        <w:rPr>
          <w:rFonts w:ascii="Times New Roman" w:hAnsi="Times New Roman" w:cs="Times New Roman"/>
          <w:b w:val="0"/>
          <w:i w:val="0"/>
          <w:sz w:val="22"/>
        </w:rPr>
        <w:t>This subsection represents a preliminary architecture alignment with known regulatory frameworks. SGTX's actual regulatory classification cannot be confirmed purely from this Blueprint. The operative question is: what functionality will SGTX actually perform in each jurisdiction? The final regulatory treatment depends on actual:</w:t>
      </w:r>
    </w:p>
    <w:p>
      <w:pPr>
        <w:spacing w:after="80" w:line="293" w:lineRule="auto"/>
        <w:ind w:left="283"/>
        <w:jc w:val="left"/>
      </w:pPr>
      <w:r>
        <w:rPr>
          <w:rFonts w:ascii="Times New Roman" w:hAnsi="Times New Roman" w:cs="Times New Roman"/>
          <w:b w:val="0"/>
          <w:i w:val="0"/>
          <w:sz w:val="22"/>
        </w:rPr>
        <w:t>- Functionality</w:t>
      </w:r>
    </w:p>
    <w:p>
      <w:pPr>
        <w:spacing w:after="80" w:line="293" w:lineRule="auto"/>
        <w:ind w:left="283"/>
        <w:jc w:val="left"/>
      </w:pPr>
      <w:r>
        <w:rPr>
          <w:rFonts w:ascii="Times New Roman" w:hAnsi="Times New Roman" w:cs="Times New Roman"/>
          <w:b w:val="0"/>
          <w:i w:val="0"/>
          <w:sz w:val="22"/>
        </w:rPr>
        <w:t>- Technical control</w:t>
      </w:r>
    </w:p>
    <w:p>
      <w:pPr>
        <w:spacing w:after="80" w:line="293" w:lineRule="auto"/>
        <w:ind w:left="283"/>
        <w:jc w:val="left"/>
      </w:pPr>
      <w:r>
        <w:rPr>
          <w:rFonts w:ascii="Times New Roman" w:hAnsi="Times New Roman" w:cs="Times New Roman"/>
          <w:b w:val="0"/>
          <w:i w:val="0"/>
          <w:sz w:val="22"/>
        </w:rPr>
        <w:t>- Customer interaction</w:t>
      </w:r>
    </w:p>
    <w:p>
      <w:pPr>
        <w:spacing w:after="80" w:line="293" w:lineRule="auto"/>
        <w:ind w:left="283"/>
        <w:jc w:val="left"/>
      </w:pPr>
      <w:r>
        <w:rPr>
          <w:rFonts w:ascii="Times New Roman" w:hAnsi="Times New Roman" w:cs="Times New Roman"/>
          <w:b w:val="0"/>
          <w:i w:val="0"/>
          <w:sz w:val="22"/>
        </w:rPr>
        <w:t>- Contractual structure</w:t>
      </w:r>
    </w:p>
    <w:p>
      <w:pPr>
        <w:spacing w:after="80" w:line="293" w:lineRule="auto"/>
        <w:ind w:left="283"/>
        <w:jc w:val="left"/>
      </w:pPr>
      <w:r>
        <w:rPr>
          <w:rFonts w:ascii="Times New Roman" w:hAnsi="Times New Roman" w:cs="Times New Roman"/>
          <w:b w:val="0"/>
          <w:i w:val="0"/>
          <w:sz w:val="22"/>
        </w:rPr>
        <w:t>- Payment involvement</w:t>
      </w:r>
    </w:p>
    <w:p>
      <w:pPr>
        <w:spacing w:after="80" w:line="293" w:lineRule="auto"/>
        <w:ind w:left="283"/>
        <w:jc w:val="left"/>
      </w:pPr>
      <w:r>
        <w:rPr>
          <w:rFonts w:ascii="Times New Roman" w:hAnsi="Times New Roman" w:cs="Times New Roman"/>
          <w:b w:val="0"/>
          <w:i w:val="0"/>
          <w:sz w:val="22"/>
        </w:rPr>
        <w:t>- Funds movement role</w:t>
      </w:r>
    </w:p>
    <w:p>
      <w:pPr>
        <w:spacing w:after="80" w:line="293" w:lineRule="auto"/>
        <w:ind w:left="283"/>
        <w:jc w:val="left"/>
      </w:pPr>
      <w:r>
        <w:rPr>
          <w:rFonts w:ascii="Times New Roman" w:hAnsi="Times New Roman" w:cs="Times New Roman"/>
          <w:b w:val="0"/>
          <w:i w:val="0"/>
          <w:sz w:val="22"/>
        </w:rPr>
        <w:t>- Authorization role</w:t>
      </w:r>
    </w:p>
    <w:p>
      <w:pPr>
        <w:spacing w:after="80" w:line="293" w:lineRule="auto"/>
        <w:ind w:left="283"/>
        <w:jc w:val="left"/>
      </w:pPr>
      <w:r>
        <w:rPr>
          <w:rFonts w:ascii="Times New Roman" w:hAnsi="Times New Roman" w:cs="Times New Roman"/>
          <w:b w:val="0"/>
          <w:i w:val="0"/>
          <w:sz w:val="22"/>
        </w:rPr>
        <w:t>- Data access</w:t>
      </w:r>
    </w:p>
    <w:p>
      <w:pPr>
        <w:spacing w:after="80" w:line="293" w:lineRule="auto"/>
        <w:ind w:left="283"/>
        <w:jc w:val="left"/>
      </w:pPr>
      <w:r>
        <w:rPr>
          <w:rFonts w:ascii="Times New Roman" w:hAnsi="Times New Roman" w:cs="Times New Roman"/>
          <w:b w:val="0"/>
          <w:i w:val="0"/>
          <w:sz w:val="22"/>
        </w:rPr>
        <w:t>- Regulatory perimeter</w:t>
      </w:r>
    </w:p>
    <w:p>
      <w:pPr>
        <w:spacing w:after="80" w:line="293" w:lineRule="auto"/>
        <w:ind w:left="283"/>
        <w:jc w:val="left"/>
      </w:pPr>
      <w:r>
        <w:rPr>
          <w:rFonts w:ascii="Times New Roman" w:hAnsi="Times New Roman" w:cs="Times New Roman"/>
          <w:b w:val="0"/>
          <w:i w:val="0"/>
          <w:sz w:val="22"/>
        </w:rPr>
        <w:t>- Jurisdiction</w:t>
      </w:r>
    </w:p>
    <w:p>
      <w:pPr>
        <w:keepNext/>
        <w:spacing w:before="140" w:after="60"/>
        <w:outlineLvl w:val="3"/>
      </w:pPr>
      <w:r>
        <w:rPr>
          <w:rFonts w:ascii="Arial" w:hAnsi="Arial" w:cs="Arial"/>
          <w:b/>
          <w:i/>
          <w:color w:val="333333"/>
          <w:sz w:val="22"/>
        </w:rPr>
        <w:t>19.124D.1 CBE Regulatory Alignment (Preliminary)</w:t>
      </w:r>
    </w:p>
    <w:p>
      <w:pPr>
        <w:spacing w:after="80" w:line="293" w:lineRule="auto"/>
        <w:jc w:val="left"/>
      </w:pPr>
      <w:r>
        <w:rPr>
          <w:rFonts w:ascii="Times New Roman" w:hAnsi="Times New Roman" w:cs="Times New Roman"/>
          <w:b w:val="0"/>
          <w:i w:val="0"/>
          <w:sz w:val="22"/>
        </w:rPr>
        <w:t>The architecture aligns with known elements of CBE regulations under Law No. 194 of 2020, which covers payment system operators and payment service providers, including activities such as payment execution, transfers, payment initiation, and account-information services. Key alignment points:</w:t>
      </w:r>
    </w:p>
    <w:p>
      <w:pPr>
        <w:spacing w:after="80" w:line="293" w:lineRule="auto"/>
        <w:ind w:left="283"/>
        <w:jc w:val="left"/>
      </w:pPr>
      <w:r>
        <w:rPr>
          <w:rFonts w:ascii="Times New Roman" w:hAnsi="Times New Roman" w:cs="Times New Roman"/>
          <w:b w:val="0"/>
          <w:i w:val="0"/>
          <w:sz w:val="22"/>
        </w:rPr>
        <w:t>- Non-custodial control-plane principle preserves bank authority over funds</w:t>
      </w:r>
    </w:p>
    <w:p>
      <w:pPr>
        <w:spacing w:after="80" w:line="293" w:lineRule="auto"/>
        <w:ind w:left="283"/>
        <w:jc w:val="left"/>
      </w:pPr>
      <w:r>
        <w:rPr>
          <w:rFonts w:ascii="Times New Roman" w:hAnsi="Times New Roman" w:cs="Times New Roman"/>
          <w:b w:val="0"/>
          <w:i w:val="0"/>
          <w:sz w:val="22"/>
        </w:rPr>
        <w:t>- Multi-clock state separation enables proper financial reporting</w:t>
      </w:r>
    </w:p>
    <w:p>
      <w:pPr>
        <w:spacing w:after="80" w:line="293" w:lineRule="auto"/>
        <w:ind w:left="283"/>
        <w:jc w:val="left"/>
      </w:pPr>
      <w:r>
        <w:rPr>
          <w:rFonts w:ascii="Times New Roman" w:hAnsi="Times New Roman" w:cs="Times New Roman"/>
          <w:b w:val="0"/>
          <w:i w:val="0"/>
          <w:sz w:val="22"/>
        </w:rPr>
        <w:t>- Bank Settlement Gateway provides clear regulatory boundary</w:t>
      </w:r>
    </w:p>
    <w:p>
      <w:pPr>
        <w:spacing w:after="80" w:line="293" w:lineRule="auto"/>
        <w:ind w:left="283"/>
        <w:jc w:val="left"/>
      </w:pPr>
      <w:r>
        <w:rPr>
          <w:rFonts w:ascii="Times New Roman" w:hAnsi="Times New Roman" w:cs="Times New Roman"/>
          <w:b w:val="0"/>
          <w:i w:val="0"/>
          <w:sz w:val="22"/>
        </w:rPr>
        <w:t>- Regulatory Classification Gate ensures jurisdiction-specific compliance</w:t>
      </w:r>
    </w:p>
    <w:p>
      <w:pPr>
        <w:keepNext/>
        <w:spacing w:before="140" w:after="60"/>
        <w:outlineLvl w:val="3"/>
      </w:pPr>
      <w:r>
        <w:rPr>
          <w:rFonts w:ascii="Arial" w:hAnsi="Arial" w:cs="Arial"/>
          <w:b/>
          <w:i/>
          <w:color w:val="333333"/>
          <w:sz w:val="22"/>
        </w:rPr>
        <w:t>19.124D.2 FATF Recommendations</w:t>
      </w:r>
    </w:p>
    <w:p>
      <w:pPr>
        <w:spacing w:after="80" w:line="293" w:lineRule="auto"/>
        <w:jc w:val="left"/>
      </w:pPr>
      <w:r>
        <w:rPr>
          <w:rFonts w:ascii="Times New Roman" w:hAnsi="Times New Roman" w:cs="Times New Roman"/>
          <w:b w:val="0"/>
          <w:i w:val="0"/>
          <w:sz w:val="22"/>
        </w:rPr>
        <w:t>The architecture aligns with Financial Action Task Force (FATF) recommendations:</w:t>
      </w:r>
    </w:p>
    <w:p>
      <w:pPr>
        <w:spacing w:after="80" w:line="293" w:lineRule="auto"/>
        <w:ind w:left="283"/>
        <w:jc w:val="left"/>
      </w:pPr>
      <w:r>
        <w:rPr>
          <w:rFonts w:ascii="Times New Roman" w:hAnsi="Times New Roman" w:cs="Times New Roman"/>
          <w:b w:val="0"/>
          <w:i w:val="0"/>
          <w:sz w:val="22"/>
        </w:rPr>
        <w:t>- Authority matrix ensures clear responsibility</w:t>
      </w:r>
    </w:p>
    <w:p>
      <w:pPr>
        <w:spacing w:after="80" w:line="293" w:lineRule="auto"/>
        <w:ind w:left="283"/>
        <w:jc w:val="left"/>
      </w:pPr>
      <w:r>
        <w:rPr>
          <w:rFonts w:ascii="Times New Roman" w:hAnsi="Times New Roman" w:cs="Times New Roman"/>
          <w:b w:val="0"/>
          <w:i w:val="0"/>
          <w:sz w:val="22"/>
        </w:rPr>
        <w:t>- Evidence-first principle supports audit trails</w:t>
      </w:r>
    </w:p>
    <w:p>
      <w:pPr>
        <w:spacing w:after="80" w:line="293" w:lineRule="auto"/>
        <w:ind w:left="283"/>
        <w:jc w:val="left"/>
      </w:pPr>
      <w:r>
        <w:rPr>
          <w:rFonts w:ascii="Times New Roman" w:hAnsi="Times New Roman" w:cs="Times New Roman"/>
          <w:b w:val="0"/>
          <w:i w:val="0"/>
          <w:sz w:val="22"/>
        </w:rPr>
        <w:t>- State vector supports proper record-keeping</w:t>
      </w:r>
    </w:p>
    <w:p>
      <w:pPr>
        <w:spacing w:after="80" w:line="293" w:lineRule="auto"/>
        <w:ind w:left="283"/>
        <w:jc w:val="left"/>
      </w:pPr>
      <w:r>
        <w:rPr>
          <w:rFonts w:ascii="Times New Roman" w:hAnsi="Times New Roman" w:cs="Times New Roman"/>
          <w:b w:val="0"/>
          <w:i w:val="0"/>
          <w:sz w:val="22"/>
        </w:rPr>
        <w:t>- Reconciliation control plane supports transaction monitoring</w:t>
      </w:r>
    </w:p>
    <w:p>
      <w:pPr>
        <w:keepNext/>
        <w:spacing w:before="140" w:after="60"/>
        <w:outlineLvl w:val="3"/>
      </w:pPr>
      <w:r>
        <w:rPr>
          <w:rFonts w:ascii="Arial" w:hAnsi="Arial" w:cs="Arial"/>
          <w:b/>
          <w:i/>
          <w:color w:val="333333"/>
          <w:sz w:val="22"/>
        </w:rPr>
        <w:t>19.124D.3 AML/CFT Compliance (Architecture)</w:t>
      </w:r>
    </w:p>
    <w:p>
      <w:pPr>
        <w:spacing w:after="80" w:line="293" w:lineRule="auto"/>
        <w:jc w:val="left"/>
      </w:pPr>
      <w:r>
        <w:rPr>
          <w:rFonts w:ascii="Times New Roman" w:hAnsi="Times New Roman" w:cs="Times New Roman"/>
          <w:b w:val="0"/>
          <w:i w:val="0"/>
          <w:sz w:val="22"/>
        </w:rPr>
        <w:t>The architecture supports anti-money-laundering / counter-terrorist-financing (AML/CFT) compliance through:</w:t>
      </w:r>
    </w:p>
    <w:p>
      <w:pPr>
        <w:spacing w:after="80" w:line="293" w:lineRule="auto"/>
        <w:ind w:left="283"/>
        <w:jc w:val="left"/>
      </w:pPr>
      <w:r>
        <w:rPr>
          <w:rFonts w:ascii="Times New Roman" w:hAnsi="Times New Roman" w:cs="Times New Roman"/>
          <w:b w:val="0"/>
          <w:i w:val="0"/>
          <w:sz w:val="22"/>
        </w:rPr>
        <w:t>- Screening integration</w:t>
      </w:r>
    </w:p>
    <w:p>
      <w:pPr>
        <w:spacing w:after="80" w:line="293" w:lineRule="auto"/>
        <w:ind w:left="283"/>
        <w:jc w:val="left"/>
      </w:pPr>
      <w:r>
        <w:rPr>
          <w:rFonts w:ascii="Times New Roman" w:hAnsi="Times New Roman" w:cs="Times New Roman"/>
          <w:b w:val="0"/>
          <w:i w:val="0"/>
          <w:sz w:val="22"/>
        </w:rPr>
        <w:t>- Suspicious Activity Report generation</w:t>
      </w:r>
    </w:p>
    <w:p>
      <w:pPr>
        <w:spacing w:after="80" w:line="293" w:lineRule="auto"/>
        <w:ind w:left="283"/>
        <w:jc w:val="left"/>
      </w:pPr>
      <w:r>
        <w:rPr>
          <w:rFonts w:ascii="Times New Roman" w:hAnsi="Times New Roman" w:cs="Times New Roman"/>
          <w:b w:val="0"/>
          <w:i w:val="0"/>
          <w:sz w:val="22"/>
        </w:rPr>
        <w:t>- Beneficiary verification</w:t>
      </w:r>
    </w:p>
    <w:p>
      <w:pPr>
        <w:spacing w:after="80" w:line="293" w:lineRule="auto"/>
        <w:ind w:left="283"/>
        <w:jc w:val="left"/>
      </w:pPr>
      <w:r>
        <w:rPr>
          <w:rFonts w:ascii="Times New Roman" w:hAnsi="Times New Roman" w:cs="Times New Roman"/>
          <w:b w:val="0"/>
          <w:i w:val="0"/>
          <w:sz w:val="22"/>
        </w:rPr>
        <w:t>- Sanctions status tracking</w:t>
      </w:r>
    </w:p>
    <w:p>
      <w:pPr>
        <w:spacing w:after="80" w:line="293" w:lineRule="auto"/>
        <w:ind w:left="283"/>
        <w:jc w:val="left"/>
      </w:pPr>
      <w:r>
        <w:rPr>
          <w:rFonts w:ascii="Times New Roman" w:hAnsi="Times New Roman" w:cs="Times New Roman"/>
          <w:b w:val="0"/>
          <w:i w:val="0"/>
          <w:sz w:val="22"/>
        </w:rPr>
        <w:t>- Politically Exposed Person (PEP) screening</w:t>
      </w:r>
    </w:p>
    <w:p>
      <w:pPr>
        <w:spacing w:after="80" w:line="293" w:lineRule="auto"/>
        <w:jc w:val="left"/>
      </w:pPr>
      <w:r>
        <w:rPr>
          <w:rFonts w:ascii="Times New Roman" w:hAnsi="Times New Roman" w:cs="Times New Roman"/>
          <w:b w:val="0"/>
          <w:i w:val="0"/>
          <w:sz w:val="22"/>
        </w:rPr>
        <w:t>The regulated institution retains its own responsibility for compliance. SGTX provides:</w:t>
      </w:r>
    </w:p>
    <w:p>
      <w:pPr>
        <w:spacing w:after="80" w:line="293" w:lineRule="auto"/>
        <w:ind w:left="283"/>
        <w:jc w:val="left"/>
      </w:pPr>
      <w:r>
        <w:rPr>
          <w:rFonts w:ascii="Times New Roman" w:hAnsi="Times New Roman" w:cs="Times New Roman"/>
          <w:b w:val="0"/>
          <w:i w:val="0"/>
          <w:sz w:val="22"/>
        </w:rPr>
        <w:t>- Screening result integration</w:t>
      </w:r>
    </w:p>
    <w:p>
      <w:pPr>
        <w:spacing w:after="80" w:line="293" w:lineRule="auto"/>
        <w:ind w:left="283"/>
        <w:jc w:val="left"/>
      </w:pPr>
      <w:r>
        <w:rPr>
          <w:rFonts w:ascii="Times New Roman" w:hAnsi="Times New Roman" w:cs="Times New Roman"/>
          <w:b w:val="0"/>
          <w:i w:val="0"/>
          <w:sz w:val="22"/>
        </w:rPr>
        <w:t>- Evidence collection and correlation</w:t>
      </w:r>
    </w:p>
    <w:p>
      <w:pPr>
        <w:spacing w:after="80" w:line="293" w:lineRule="auto"/>
        <w:ind w:left="283"/>
        <w:jc w:val="left"/>
      </w:pPr>
      <w:r>
        <w:rPr>
          <w:rFonts w:ascii="Times New Roman" w:hAnsi="Times New Roman" w:cs="Times New Roman"/>
          <w:b w:val="0"/>
          <w:i w:val="0"/>
          <w:sz w:val="22"/>
        </w:rPr>
        <w:t>- Workflow enforcement</w:t>
      </w:r>
    </w:p>
    <w:p>
      <w:pPr>
        <w:spacing w:after="80" w:line="293" w:lineRule="auto"/>
        <w:ind w:left="283"/>
        <w:jc w:val="left"/>
      </w:pPr>
      <w:r>
        <w:rPr>
          <w:rFonts w:ascii="Times New Roman" w:hAnsi="Times New Roman" w:cs="Times New Roman"/>
          <w:b w:val="0"/>
          <w:i w:val="0"/>
          <w:sz w:val="22"/>
        </w:rPr>
        <w:t>- Exception routing</w:t>
      </w:r>
    </w:p>
    <w:p>
      <w:pPr>
        <w:keepNext/>
        <w:spacing w:before="140" w:after="60"/>
        <w:outlineLvl w:val="3"/>
      </w:pPr>
      <w:r>
        <w:rPr>
          <w:rFonts w:ascii="Arial" w:hAnsi="Arial" w:cs="Arial"/>
          <w:b/>
          <w:i/>
          <w:color w:val="333333"/>
          <w:sz w:val="22"/>
        </w:rPr>
        <w:t>19.124D.4 Data Protection Compliance</w:t>
      </w:r>
    </w:p>
    <w:p>
      <w:pPr>
        <w:spacing w:after="80" w:line="293" w:lineRule="auto"/>
        <w:jc w:val="left"/>
      </w:pPr>
      <w:r>
        <w:rPr>
          <w:rFonts w:ascii="Times New Roman" w:hAnsi="Times New Roman" w:cs="Times New Roman"/>
          <w:b w:val="0"/>
          <w:i w:val="0"/>
          <w:sz w:val="22"/>
        </w:rPr>
        <w:t>The architecture supports:</w:t>
      </w:r>
    </w:p>
    <w:p>
      <w:pPr>
        <w:spacing w:after="80" w:line="293" w:lineRule="auto"/>
        <w:ind w:left="283"/>
        <w:jc w:val="left"/>
      </w:pPr>
      <w:r>
        <w:rPr>
          <w:rFonts w:ascii="Times New Roman" w:hAnsi="Times New Roman" w:cs="Times New Roman"/>
          <w:b w:val="0"/>
          <w:i w:val="0"/>
          <w:sz w:val="22"/>
        </w:rPr>
        <w:t>- Data localisation mandates</w:t>
      </w:r>
    </w:p>
    <w:p>
      <w:pPr>
        <w:spacing w:after="80" w:line="293" w:lineRule="auto"/>
        <w:ind w:left="283"/>
        <w:jc w:val="left"/>
      </w:pPr>
      <w:r>
        <w:rPr>
          <w:rFonts w:ascii="Times New Roman" w:hAnsi="Times New Roman" w:cs="Times New Roman"/>
          <w:b w:val="0"/>
          <w:i w:val="0"/>
          <w:sz w:val="22"/>
        </w:rPr>
        <w:t>- PDPL compliance</w:t>
      </w:r>
    </w:p>
    <w:p>
      <w:pPr>
        <w:spacing w:after="80" w:line="293" w:lineRule="auto"/>
        <w:ind w:left="283"/>
        <w:jc w:val="left"/>
      </w:pPr>
      <w:r>
        <w:rPr>
          <w:rFonts w:ascii="Times New Roman" w:hAnsi="Times New Roman" w:cs="Times New Roman"/>
          <w:b w:val="0"/>
          <w:i w:val="0"/>
          <w:sz w:val="22"/>
        </w:rPr>
        <w:t>- Cross-border data transfer controls</w:t>
      </w:r>
    </w:p>
    <w:p>
      <w:pPr>
        <w:spacing w:after="80" w:line="293" w:lineRule="auto"/>
        <w:ind w:left="283"/>
        <w:jc w:val="left"/>
      </w:pPr>
      <w:r>
        <w:rPr>
          <w:rFonts w:ascii="Times New Roman" w:hAnsi="Times New Roman" w:cs="Times New Roman"/>
          <w:b w:val="0"/>
          <w:i w:val="0"/>
          <w:sz w:val="22"/>
        </w:rPr>
        <w:t>- Data retention policies</w:t>
      </w:r>
    </w:p>
    <w:p>
      <w:pPr>
        <w:spacing w:after="80" w:line="293" w:lineRule="auto"/>
        <w:ind w:left="283"/>
        <w:jc w:val="left"/>
      </w:pPr>
      <w:r>
        <w:rPr>
          <w:rFonts w:ascii="Times New Roman" w:hAnsi="Times New Roman" w:cs="Times New Roman"/>
          <w:b w:val="0"/>
          <w:i w:val="0"/>
          <w:sz w:val="22"/>
        </w:rPr>
        <w:t>- Evidence integrity requirements</w:t>
      </w:r>
    </w:p>
    <w:p>
      <w:pPr>
        <w:keepNext/>
        <w:spacing w:before="180" w:after="80"/>
        <w:outlineLvl w:val="2"/>
      </w:pPr>
      <w:r>
        <w:rPr>
          <w:rFonts w:ascii="Arial" w:hAnsi="Arial" w:cs="Arial"/>
          <w:b/>
          <w:i w:val="0"/>
          <w:color w:val="333333"/>
          <w:sz w:val="23"/>
        </w:rPr>
        <w:t>19.124E Business Continuity and Disaster Recovery (Targets)</w:t>
      </w:r>
    </w:p>
    <w:p>
      <w:pPr>
        <w:spacing w:after="80" w:line="293" w:lineRule="auto"/>
        <w:jc w:val="left"/>
      </w:pPr>
      <w:r>
        <w:rPr>
          <w:rFonts w:ascii="Times New Roman" w:hAnsi="Times New Roman" w:cs="Times New Roman"/>
          <w:b w:val="0"/>
          <w:i w:val="0"/>
          <w:sz w:val="22"/>
        </w:rPr>
        <w:t>This subsection defines targets for SGTX internal system resilience and disaster recovery.</w:t>
      </w:r>
    </w:p>
    <w:p>
      <w:pPr>
        <w:keepNext/>
        <w:spacing w:before="140" w:after="60"/>
        <w:outlineLvl w:val="3"/>
      </w:pPr>
      <w:r>
        <w:rPr>
          <w:rFonts w:ascii="Arial" w:hAnsi="Arial" w:cs="Arial"/>
          <w:b/>
          <w:i/>
          <w:color w:val="333333"/>
          <w:sz w:val="22"/>
        </w:rPr>
        <w:t>19.124E.1 RTO/RPO Targets</w:t>
      </w:r>
    </w:p>
    <w:p>
      <w:pPr>
        <w:spacing w:after="80" w:line="293" w:lineRule="auto"/>
        <w:jc w:val="left"/>
      </w:pPr>
      <w:r>
        <w:rPr>
          <w:rFonts w:ascii="Times New Roman" w:hAnsi="Times New Roman" w:cs="Times New Roman"/>
          <w:b w:val="0"/>
          <w:i w:val="0"/>
          <w:sz w:val="22"/>
        </w:rPr>
        <w:t>These are engineering targets subject to explicit durability/quorum definitions and operational testing. RTO denotes Recovery Time Objective; RPO denotes Recovery Point Objective.</w:t>
      </w:r>
    </w:p>
    <w:p>
      <w:pPr>
        <w:keepNext/>
        <w:spacing w:before="140" w:after="60"/>
        <w:outlineLvl w:val="3"/>
      </w:pPr>
      <w:r>
        <w:rPr>
          <w:rFonts w:ascii="Arial" w:hAnsi="Arial" w:cs="Arial"/>
          <w:b/>
          <w:i/>
          <w:color w:val="333333"/>
          <w:sz w:val="22"/>
        </w:rPr>
        <w:t>19.124E.2 Data Replication</w:t>
      </w:r>
    </w:p>
    <w:p>
      <w:pPr>
        <w:spacing w:after="80" w:line="293" w:lineRule="auto"/>
        <w:jc w:val="left"/>
      </w:pPr>
      <w:r>
        <w:rPr>
          <w:rFonts w:ascii="Times New Roman" w:hAnsi="Times New Roman" w:cs="Times New Roman"/>
          <w:b w:val="0"/>
          <w:i w:val="0"/>
          <w:sz w:val="22"/>
        </w:rPr>
        <w:t>The architecture supports:</w:t>
      </w:r>
    </w:p>
    <w:p>
      <w:pPr>
        <w:spacing w:after="80" w:line="293" w:lineRule="auto"/>
        <w:ind w:left="283"/>
        <w:jc w:val="left"/>
      </w:pPr>
      <w:r>
        <w:rPr>
          <w:rFonts w:ascii="Times New Roman" w:hAnsi="Times New Roman" w:cs="Times New Roman"/>
          <w:b w:val="0"/>
          <w:i w:val="0"/>
          <w:sz w:val="22"/>
        </w:rPr>
        <w:t>- Active-active replication for selected critical services</w:t>
      </w:r>
    </w:p>
    <w:p>
      <w:pPr>
        <w:spacing w:after="80" w:line="293" w:lineRule="auto"/>
        <w:ind w:left="283"/>
        <w:jc w:val="left"/>
      </w:pPr>
      <w:r>
        <w:rPr>
          <w:rFonts w:ascii="Times New Roman" w:hAnsi="Times New Roman" w:cs="Times New Roman"/>
          <w:b w:val="0"/>
          <w:i w:val="0"/>
          <w:sz w:val="22"/>
        </w:rPr>
        <w:t>- Synchronous replication for the Event Spine</w:t>
      </w:r>
    </w:p>
    <w:p>
      <w:pPr>
        <w:spacing w:after="80" w:line="293" w:lineRule="auto"/>
        <w:ind w:left="283"/>
        <w:jc w:val="left"/>
      </w:pPr>
      <w:r>
        <w:rPr>
          <w:rFonts w:ascii="Times New Roman" w:hAnsi="Times New Roman" w:cs="Times New Roman"/>
          <w:b w:val="0"/>
          <w:i w:val="0"/>
          <w:sz w:val="22"/>
        </w:rPr>
        <w:t>- Asynchronous replication for analytics (ClickHouse)</w:t>
      </w:r>
    </w:p>
    <w:p>
      <w:pPr>
        <w:spacing w:after="80" w:line="293" w:lineRule="auto"/>
        <w:jc w:val="left"/>
      </w:pPr>
      <w:r>
        <w:rPr>
          <w:rFonts w:ascii="Times New Roman" w:hAnsi="Times New Roman" w:cs="Times New Roman"/>
          <w:b w:val="0"/>
          <w:i w:val="0"/>
          <w:sz w:val="22"/>
        </w:rPr>
        <w:t>The exact replication topology is implementation-specific and is defined in the detailed infrastructure specification.</w:t>
      </w:r>
    </w:p>
    <w:p>
      <w:pPr>
        <w:keepNext/>
        <w:spacing w:before="140" w:after="60"/>
        <w:outlineLvl w:val="3"/>
      </w:pPr>
      <w:r>
        <w:rPr>
          <w:rFonts w:ascii="Arial" w:hAnsi="Arial" w:cs="Arial"/>
          <w:b/>
          <w:i/>
          <w:color w:val="333333"/>
          <w:sz w:val="22"/>
        </w:rPr>
        <w:t>19.124E.3 Failover Architecture</w:t>
      </w:r>
    </w:p>
    <w:p>
      <w:pPr>
        <w:spacing w:after="80" w:line="293" w:lineRule="auto"/>
        <w:jc w:val="left"/>
      </w:pPr>
      <w:r>
        <w:rPr>
          <w:rFonts w:ascii="Times New Roman" w:hAnsi="Times New Roman" w:cs="Times New Roman"/>
          <w:b w:val="0"/>
          <w:i w:val="0"/>
          <w:sz w:val="22"/>
        </w:rPr>
        <w:t>The architecture supports:</w:t>
      </w:r>
    </w:p>
    <w:p>
      <w:pPr>
        <w:spacing w:after="80" w:line="293" w:lineRule="auto"/>
        <w:ind w:left="283"/>
        <w:jc w:val="left"/>
      </w:pPr>
      <w:r>
        <w:rPr>
          <w:rFonts w:ascii="Times New Roman" w:hAnsi="Times New Roman" w:cs="Times New Roman"/>
          <w:b w:val="0"/>
          <w:i w:val="0"/>
          <w:sz w:val="22"/>
        </w:rPr>
        <w:t>- Automatic failover within defined targets</w:t>
      </w:r>
    </w:p>
    <w:p>
      <w:pPr>
        <w:spacing w:after="80" w:line="293" w:lineRule="auto"/>
        <w:ind w:left="283"/>
        <w:jc w:val="left"/>
      </w:pPr>
      <w:r>
        <w:rPr>
          <w:rFonts w:ascii="Times New Roman" w:hAnsi="Times New Roman" w:cs="Times New Roman"/>
          <w:b w:val="0"/>
          <w:i w:val="0"/>
          <w:sz w:val="22"/>
        </w:rPr>
        <w:t>- Manual failover with multi-sig approval</w:t>
      </w:r>
    </w:p>
    <w:p>
      <w:pPr>
        <w:spacing w:after="80" w:line="293" w:lineRule="auto"/>
        <w:ind w:left="283"/>
        <w:jc w:val="left"/>
      </w:pPr>
      <w:r>
        <w:rPr>
          <w:rFonts w:ascii="Times New Roman" w:hAnsi="Times New Roman" w:cs="Times New Roman"/>
          <w:b w:val="0"/>
          <w:i w:val="0"/>
          <w:sz w:val="22"/>
        </w:rPr>
        <w:t>- Regular failover testing</w:t>
      </w:r>
    </w:p>
    <w:p>
      <w:pPr>
        <w:keepNext/>
        <w:spacing w:before="140" w:after="60"/>
        <w:outlineLvl w:val="3"/>
      </w:pPr>
      <w:r>
        <w:rPr>
          <w:rFonts w:ascii="Arial" w:hAnsi="Arial" w:cs="Arial"/>
          <w:b/>
          <w:i/>
          <w:color w:val="333333"/>
          <w:sz w:val="22"/>
        </w:rPr>
        <w:t>19.124E.4 Disaster Recovery Testing</w:t>
      </w:r>
    </w:p>
    <w:p>
      <w:pPr>
        <w:spacing w:after="80" w:line="293" w:lineRule="auto"/>
        <w:jc w:val="left"/>
      </w:pPr>
      <w:r>
        <w:rPr>
          <w:rFonts w:ascii="Times New Roman" w:hAnsi="Times New Roman" w:cs="Times New Roman"/>
          <w:b w:val="0"/>
          <w:i w:val="0"/>
          <w:sz w:val="22"/>
        </w:rPr>
        <w:t>The architecture supports:</w:t>
      </w:r>
    </w:p>
    <w:p>
      <w:pPr>
        <w:spacing w:after="80" w:line="293" w:lineRule="auto"/>
        <w:ind w:left="283"/>
        <w:jc w:val="left"/>
      </w:pPr>
      <w:r>
        <w:rPr>
          <w:rFonts w:ascii="Times New Roman" w:hAnsi="Times New Roman" w:cs="Times New Roman"/>
          <w:b w:val="0"/>
          <w:i w:val="0"/>
          <w:sz w:val="22"/>
        </w:rPr>
        <w:t>- Regular disaster-recovery (DR) testing</w:t>
      </w:r>
    </w:p>
    <w:p>
      <w:pPr>
        <w:spacing w:after="80" w:line="293" w:lineRule="auto"/>
        <w:ind w:left="283"/>
        <w:jc w:val="left"/>
      </w:pPr>
      <w:r>
        <w:rPr>
          <w:rFonts w:ascii="Times New Roman" w:hAnsi="Times New Roman" w:cs="Times New Roman"/>
          <w:b w:val="0"/>
          <w:i w:val="0"/>
          <w:sz w:val="22"/>
        </w:rPr>
        <w:t>- Quarterly failover testing</w:t>
      </w:r>
    </w:p>
    <w:p>
      <w:pPr>
        <w:spacing w:after="80" w:line="293" w:lineRule="auto"/>
        <w:ind w:left="283"/>
        <w:jc w:val="left"/>
      </w:pPr>
      <w:r>
        <w:rPr>
          <w:rFonts w:ascii="Times New Roman" w:hAnsi="Times New Roman" w:cs="Times New Roman"/>
          <w:b w:val="0"/>
          <w:i w:val="0"/>
          <w:sz w:val="22"/>
        </w:rPr>
        <w:t>- Annual full failover exercise</w:t>
      </w:r>
    </w:p>
    <w:p>
      <w:pPr>
        <w:spacing w:after="80" w:line="293" w:lineRule="auto"/>
        <w:ind w:left="283"/>
        <w:jc w:val="left"/>
      </w:pPr>
      <w:r>
        <w:rPr>
          <w:rFonts w:ascii="Times New Roman" w:hAnsi="Times New Roman" w:cs="Times New Roman"/>
          <w:b w:val="0"/>
          <w:i w:val="0"/>
          <w:sz w:val="22"/>
        </w:rPr>
        <w:t>- DR drill reporting for audit purposes</w:t>
      </w:r>
    </w:p>
    <w:p>
      <w:pPr>
        <w:keepNext/>
        <w:spacing w:before="240" w:after="100"/>
        <w:outlineLvl w:val="1"/>
      </w:pPr>
      <w:r>
        <w:rPr>
          <w:rFonts w:ascii="Arial" w:hAnsi="Arial" w:cs="Arial"/>
          <w:b/>
          <w:i w:val="0"/>
          <w:color w:val="2E528F"/>
          <w:sz w:val="26"/>
        </w:rPr>
        <w:t>19.125 Dependency Rule</w:t>
      </w:r>
    </w:p>
    <w:p>
      <w:pPr>
        <w:spacing w:after="80" w:line="293" w:lineRule="auto"/>
        <w:jc w:val="left"/>
      </w:pPr>
      <w:r>
        <w:rPr>
          <w:rFonts w:ascii="Times New Roman" w:hAnsi="Times New Roman" w:cs="Times New Roman"/>
          <w:b w:val="0"/>
          <w:i w:val="0"/>
          <w:sz w:val="22"/>
        </w:rPr>
        <w:t>P0 must establish the data/state/authority model before P1–P4 implementations attempt to build independent state logic. No feature may create its own competing:</w:t>
      </w:r>
    </w:p>
    <w:p>
      <w:pPr>
        <w:spacing w:after="80" w:line="293" w:lineRule="auto"/>
        <w:ind w:left="283"/>
        <w:jc w:val="left"/>
      </w:pPr>
      <w:r>
        <w:rPr>
          <w:rFonts w:ascii="Times New Roman" w:hAnsi="Times New Roman" w:cs="Times New Roman"/>
          <w:b w:val="0"/>
          <w:i w:val="0"/>
          <w:sz w:val="22"/>
        </w:rPr>
        <w:t>- transaction state;</w:t>
      </w:r>
    </w:p>
    <w:p>
      <w:pPr>
        <w:spacing w:after="80" w:line="293" w:lineRule="auto"/>
        <w:ind w:left="283"/>
        <w:jc w:val="left"/>
      </w:pPr>
      <w:r>
        <w:rPr>
          <w:rFonts w:ascii="Times New Roman" w:hAnsi="Times New Roman" w:cs="Times New Roman"/>
          <w:b w:val="0"/>
          <w:i w:val="0"/>
          <w:sz w:val="22"/>
        </w:rPr>
        <w:t>- authority model;</w:t>
      </w:r>
    </w:p>
    <w:p>
      <w:pPr>
        <w:spacing w:after="80" w:line="293" w:lineRule="auto"/>
        <w:ind w:left="283"/>
        <w:jc w:val="left"/>
      </w:pPr>
      <w:r>
        <w:rPr>
          <w:rFonts w:ascii="Times New Roman" w:hAnsi="Times New Roman" w:cs="Times New Roman"/>
          <w:b w:val="0"/>
          <w:i w:val="0"/>
          <w:sz w:val="22"/>
        </w:rPr>
        <w:t>- event history;</w:t>
      </w:r>
    </w:p>
    <w:p>
      <w:pPr>
        <w:spacing w:after="80" w:line="293" w:lineRule="auto"/>
        <w:ind w:left="283"/>
        <w:jc w:val="left"/>
      </w:pPr>
      <w:r>
        <w:rPr>
          <w:rFonts w:ascii="Times New Roman" w:hAnsi="Times New Roman" w:cs="Times New Roman"/>
          <w:b w:val="0"/>
          <w:i w:val="0"/>
          <w:sz w:val="22"/>
        </w:rPr>
        <w:t>- reconciliation semantics;</w:t>
      </w:r>
    </w:p>
    <w:p>
      <w:pPr>
        <w:spacing w:after="80" w:line="293" w:lineRule="auto"/>
        <w:ind w:left="283"/>
        <w:jc w:val="left"/>
      </w:pPr>
      <w:r>
        <w:rPr>
          <w:rFonts w:ascii="Times New Roman" w:hAnsi="Times New Roman" w:cs="Times New Roman"/>
          <w:b w:val="0"/>
          <w:i w:val="0"/>
          <w:sz w:val="22"/>
        </w:rPr>
        <w:t>- identity namespace.</w:t>
      </w:r>
    </w:p>
    <w:p>
      <w:pPr>
        <w:spacing w:after="80" w:line="293" w:lineRule="auto"/>
        <w:jc w:val="left"/>
      </w:pPr>
      <w:r>
        <w:rPr>
          <w:rFonts w:ascii="Times New Roman" w:hAnsi="Times New Roman" w:cs="Times New Roman"/>
          <w:b w:val="0"/>
          <w:i w:val="0"/>
          <w:sz w:val="22"/>
        </w:rPr>
        <w:t>All components must consume the canonical constitutional models.</w:t>
      </w:r>
    </w:p>
    <w:p>
      <w:pPr>
        <w:keepNext/>
        <w:spacing w:before="240" w:after="100"/>
        <w:outlineLvl w:val="1"/>
      </w:pPr>
      <w:r>
        <w:rPr>
          <w:rFonts w:ascii="Arial" w:hAnsi="Arial" w:cs="Arial"/>
          <w:b/>
          <w:i w:val="0"/>
          <w:color w:val="2E528F"/>
          <w:sz w:val="26"/>
        </w:rPr>
        <w:t>19.126 Design Rule: "One Constitution, Many Adapters"</w:t>
      </w:r>
    </w:p>
    <w:p>
      <w:pPr>
        <w:spacing w:after="80" w:line="293" w:lineRule="auto"/>
        <w:jc w:val="left"/>
      </w:pPr>
      <w:r>
        <w:rPr>
          <w:rFonts w:ascii="Times New Roman" w:hAnsi="Times New Roman" w:cs="Times New Roman"/>
          <w:b w:val="0"/>
          <w:i w:val="0"/>
          <w:sz w:val="22"/>
        </w:rPr>
        <w:t>SGTX has one:</w:t>
      </w:r>
    </w:p>
    <w:p>
      <w:pPr>
        <w:spacing w:after="80" w:line="293" w:lineRule="auto"/>
        <w:ind w:left="283"/>
        <w:jc w:val="left"/>
      </w:pPr>
      <w:r>
        <w:rPr>
          <w:rFonts w:ascii="Times New Roman" w:hAnsi="Times New Roman" w:cs="Times New Roman"/>
          <w:b w:val="0"/>
          <w:i w:val="0"/>
          <w:sz w:val="22"/>
        </w:rPr>
        <w:t>- canonical event model;</w:t>
      </w:r>
    </w:p>
    <w:p>
      <w:pPr>
        <w:spacing w:after="80" w:line="293" w:lineRule="auto"/>
        <w:ind w:left="283"/>
        <w:jc w:val="left"/>
      </w:pPr>
      <w:r>
        <w:rPr>
          <w:rFonts w:ascii="Times New Roman" w:hAnsi="Times New Roman" w:cs="Times New Roman"/>
          <w:b w:val="0"/>
          <w:i w:val="0"/>
          <w:sz w:val="22"/>
        </w:rPr>
        <w:t>- canonical state model;</w:t>
      </w:r>
    </w:p>
    <w:p>
      <w:pPr>
        <w:spacing w:after="80" w:line="293" w:lineRule="auto"/>
        <w:ind w:left="283"/>
        <w:jc w:val="left"/>
      </w:pPr>
      <w:r>
        <w:rPr>
          <w:rFonts w:ascii="Times New Roman" w:hAnsi="Times New Roman" w:cs="Times New Roman"/>
          <w:b w:val="0"/>
          <w:i w:val="0"/>
          <w:sz w:val="22"/>
        </w:rPr>
        <w:t>- canonical obligation model;</w:t>
      </w:r>
    </w:p>
    <w:p>
      <w:pPr>
        <w:spacing w:after="80" w:line="293" w:lineRule="auto"/>
        <w:ind w:left="283"/>
        <w:jc w:val="left"/>
      </w:pPr>
      <w:r>
        <w:rPr>
          <w:rFonts w:ascii="Times New Roman" w:hAnsi="Times New Roman" w:cs="Times New Roman"/>
          <w:b w:val="0"/>
          <w:i w:val="0"/>
          <w:sz w:val="22"/>
        </w:rPr>
        <w:t>- canonical authority model;</w:t>
      </w:r>
    </w:p>
    <w:p>
      <w:pPr>
        <w:spacing w:after="80" w:line="293" w:lineRule="auto"/>
        <w:ind w:left="283"/>
        <w:jc w:val="left"/>
      </w:pPr>
      <w:r>
        <w:rPr>
          <w:rFonts w:ascii="Times New Roman" w:hAnsi="Times New Roman" w:cs="Times New Roman"/>
          <w:b w:val="0"/>
          <w:i w:val="0"/>
          <w:sz w:val="22"/>
        </w:rPr>
        <w:t>- canonical evidence model;</w:t>
      </w:r>
    </w:p>
    <w:p>
      <w:pPr>
        <w:spacing w:after="80" w:line="293" w:lineRule="auto"/>
        <w:ind w:left="283"/>
        <w:jc w:val="left"/>
      </w:pPr>
      <w:r>
        <w:rPr>
          <w:rFonts w:ascii="Times New Roman" w:hAnsi="Times New Roman" w:cs="Times New Roman"/>
          <w:b w:val="0"/>
          <w:i w:val="0"/>
          <w:sz w:val="22"/>
        </w:rPr>
        <w:t>- canonical USTN model.</w:t>
      </w:r>
    </w:p>
    <w:p>
      <w:pPr>
        <w:spacing w:after="80" w:line="293" w:lineRule="auto"/>
        <w:jc w:val="left"/>
      </w:pPr>
      <w:r>
        <w:rPr>
          <w:rFonts w:ascii="Times New Roman" w:hAnsi="Times New Roman" w:cs="Times New Roman"/>
          <w:b w:val="0"/>
          <w:i w:val="0"/>
          <w:sz w:val="22"/>
        </w:rPr>
        <w:t>But many:</w:t>
      </w:r>
    </w:p>
    <w:p>
      <w:pPr>
        <w:spacing w:after="80" w:line="293" w:lineRule="auto"/>
        <w:ind w:left="283"/>
        <w:jc w:val="left"/>
      </w:pPr>
      <w:r>
        <w:rPr>
          <w:rFonts w:ascii="Times New Roman" w:hAnsi="Times New Roman" w:cs="Times New Roman"/>
          <w:b w:val="0"/>
          <w:i w:val="0"/>
          <w:sz w:val="22"/>
        </w:rPr>
        <w:t>- bank adapters;</w:t>
      </w:r>
    </w:p>
    <w:p>
      <w:pPr>
        <w:spacing w:after="80" w:line="293" w:lineRule="auto"/>
        <w:ind w:left="283"/>
        <w:jc w:val="left"/>
      </w:pPr>
      <w:r>
        <w:rPr>
          <w:rFonts w:ascii="Times New Roman" w:hAnsi="Times New Roman" w:cs="Times New Roman"/>
          <w:b w:val="0"/>
          <w:i w:val="0"/>
          <w:sz w:val="22"/>
        </w:rPr>
        <w:t>- country adapters;</w:t>
      </w:r>
    </w:p>
    <w:p>
      <w:pPr>
        <w:spacing w:after="80" w:line="293" w:lineRule="auto"/>
        <w:ind w:left="283"/>
        <w:jc w:val="left"/>
      </w:pPr>
      <w:r>
        <w:rPr>
          <w:rFonts w:ascii="Times New Roman" w:hAnsi="Times New Roman" w:cs="Times New Roman"/>
          <w:b w:val="0"/>
          <w:i w:val="0"/>
          <w:sz w:val="22"/>
        </w:rPr>
        <w:t>- payment-rail adapters;</w:t>
      </w:r>
    </w:p>
    <w:p>
      <w:pPr>
        <w:spacing w:after="80" w:line="293" w:lineRule="auto"/>
        <w:ind w:left="283"/>
        <w:jc w:val="left"/>
      </w:pPr>
      <w:r>
        <w:rPr>
          <w:rFonts w:ascii="Times New Roman" w:hAnsi="Times New Roman" w:cs="Times New Roman"/>
          <w:b w:val="0"/>
          <w:i w:val="0"/>
          <w:sz w:val="22"/>
        </w:rPr>
        <w:t>- ERP adapters;</w:t>
      </w:r>
    </w:p>
    <w:p>
      <w:pPr>
        <w:spacing w:after="80" w:line="293" w:lineRule="auto"/>
        <w:ind w:left="283"/>
        <w:jc w:val="left"/>
      </w:pPr>
      <w:r>
        <w:rPr>
          <w:rFonts w:ascii="Times New Roman" w:hAnsi="Times New Roman" w:cs="Times New Roman"/>
          <w:b w:val="0"/>
          <w:i w:val="0"/>
          <w:sz w:val="22"/>
        </w:rPr>
        <w:t>- marketplace adapters;</w:t>
      </w:r>
    </w:p>
    <w:p>
      <w:pPr>
        <w:spacing w:after="80" w:line="293" w:lineRule="auto"/>
        <w:ind w:left="283"/>
        <w:jc w:val="left"/>
      </w:pPr>
      <w:r>
        <w:rPr>
          <w:rFonts w:ascii="Times New Roman" w:hAnsi="Times New Roman" w:cs="Times New Roman"/>
          <w:b w:val="0"/>
          <w:i w:val="0"/>
          <w:sz w:val="22"/>
        </w:rPr>
        <w:t>- customs adapters;</w:t>
      </w:r>
    </w:p>
    <w:p>
      <w:pPr>
        <w:spacing w:after="80" w:line="293" w:lineRule="auto"/>
        <w:ind w:left="283"/>
        <w:jc w:val="left"/>
      </w:pPr>
      <w:r>
        <w:rPr>
          <w:rFonts w:ascii="Times New Roman" w:hAnsi="Times New Roman" w:cs="Times New Roman"/>
          <w:b w:val="0"/>
          <w:i w:val="0"/>
          <w:sz w:val="22"/>
        </w:rPr>
        <w:t>- document adapters;</w:t>
      </w:r>
    </w:p>
    <w:p>
      <w:pPr>
        <w:spacing w:after="80" w:line="293" w:lineRule="auto"/>
        <w:ind w:left="283"/>
        <w:jc w:val="left"/>
      </w:pPr>
      <w:r>
        <w:rPr>
          <w:rFonts w:ascii="Times New Roman" w:hAnsi="Times New Roman" w:cs="Times New Roman"/>
          <w:b w:val="0"/>
          <w:i w:val="0"/>
          <w:sz w:val="22"/>
        </w:rPr>
        <w:t>- logistics adapters.</w:t>
      </w:r>
    </w:p>
    <w:p>
      <w:pPr>
        <w:spacing w:after="80" w:line="293" w:lineRule="auto"/>
        <w:jc w:val="left"/>
      </w:pPr>
      <w:r>
        <w:rPr>
          <w:rFonts w:ascii="Times New Roman" w:hAnsi="Times New Roman" w:cs="Times New Roman"/>
          <w:b w:val="0"/>
          <w:i w:val="0"/>
          <w:sz w:val="22"/>
        </w:rPr>
        <w:t>Adapters translate external reality into the canonical SGTX model without erasing the external native representation.</w:t>
      </w:r>
    </w:p>
    <w:p>
      <w:pPr>
        <w:keepNext/>
        <w:spacing w:before="240" w:after="100"/>
        <w:outlineLvl w:val="1"/>
      </w:pPr>
      <w:r>
        <w:rPr>
          <w:rFonts w:ascii="Arial" w:hAnsi="Arial" w:cs="Arial"/>
          <w:b/>
          <w:i w:val="0"/>
          <w:color w:val="2E528F"/>
          <w:sz w:val="26"/>
        </w:rPr>
        <w:t>19.127 Design Rule: "Translation, Not Transformation"</w:t>
      </w:r>
    </w:p>
    <w:p>
      <w:pPr>
        <w:spacing w:after="80" w:line="293" w:lineRule="auto"/>
        <w:jc w:val="left"/>
      </w:pPr>
      <w:r>
        <w:rPr>
          <w:rFonts w:ascii="Times New Roman" w:hAnsi="Times New Roman" w:cs="Times New Roman"/>
          <w:b w:val="0"/>
          <w:i w:val="0"/>
          <w:sz w:val="22"/>
        </w:rPr>
        <w:t>SGTX translates external semantics into canonical state while preserving original external semantics. For example: BANK NATIVE STATUS = XYZ → SGTX ADAPTER → CANONICAL FINANCIAL STATE = PROCESSING. But the original XYZ remains preserved. This is critical for institutional auditability.</w:t>
      </w:r>
    </w:p>
    <w:p>
      <w:pPr>
        <w:keepNext/>
        <w:spacing w:before="240" w:after="100"/>
        <w:outlineLvl w:val="1"/>
      </w:pPr>
      <w:r>
        <w:rPr>
          <w:rFonts w:ascii="Arial" w:hAnsi="Arial" w:cs="Arial"/>
          <w:b/>
          <w:i w:val="0"/>
          <w:color w:val="2E528F"/>
          <w:sz w:val="26"/>
        </w:rPr>
        <w:t>19.128 Design Rule: "Orchestration, Not Custody"</w:t>
      </w:r>
    </w:p>
    <w:p>
      <w:pPr>
        <w:spacing w:after="80" w:line="293" w:lineRule="auto"/>
        <w:jc w:val="left"/>
      </w:pPr>
      <w:r>
        <w:rPr>
          <w:rFonts w:ascii="Times New Roman" w:hAnsi="Times New Roman" w:cs="Times New Roman"/>
          <w:b w:val="0"/>
          <w:i w:val="0"/>
          <w:sz w:val="22"/>
        </w:rPr>
        <w:t>SGTX coordinates financial activity without assuming ownership or custody of the underlying funds.</w:t>
      </w:r>
    </w:p>
    <w:p>
      <w:pPr>
        <w:keepNext/>
        <w:spacing w:before="240" w:after="100"/>
        <w:outlineLvl w:val="1"/>
      </w:pPr>
      <w:r>
        <w:rPr>
          <w:rFonts w:ascii="Arial" w:hAnsi="Arial" w:cs="Arial"/>
          <w:b/>
          <w:i w:val="0"/>
          <w:color w:val="2E528F"/>
          <w:sz w:val="26"/>
        </w:rPr>
        <w:t>19.129 Design Rule: "Evidence, Not Claim"</w:t>
      </w:r>
    </w:p>
    <w:p>
      <w:pPr>
        <w:spacing w:after="80" w:line="293" w:lineRule="auto"/>
        <w:jc w:val="left"/>
      </w:pPr>
      <w:r>
        <w:rPr>
          <w:rFonts w:ascii="Times New Roman" w:hAnsi="Times New Roman" w:cs="Times New Roman"/>
          <w:b w:val="0"/>
          <w:i w:val="0"/>
          <w:sz w:val="22"/>
        </w:rPr>
        <w:t>SGTX prefers verified evidence over unverified assertion, and Unknown over false certainty.</w:t>
      </w:r>
    </w:p>
    <w:p>
      <w:pPr>
        <w:keepNext/>
        <w:spacing w:before="240" w:after="100"/>
        <w:outlineLvl w:val="1"/>
      </w:pPr>
      <w:r>
        <w:rPr>
          <w:rFonts w:ascii="Arial" w:hAnsi="Arial" w:cs="Arial"/>
          <w:b/>
          <w:i w:val="0"/>
          <w:color w:val="2E528F"/>
          <w:sz w:val="26"/>
        </w:rPr>
        <w:t>19.130 Design Rule: "Recovery, Not Erasure"</w:t>
      </w:r>
    </w:p>
    <w:p>
      <w:pPr>
        <w:spacing w:after="80" w:line="293" w:lineRule="auto"/>
        <w:jc w:val="left"/>
      </w:pPr>
      <w:r>
        <w:rPr>
          <w:rFonts w:ascii="Times New Roman" w:hAnsi="Times New Roman" w:cs="Times New Roman"/>
          <w:b w:val="0"/>
          <w:i w:val="0"/>
          <w:sz w:val="22"/>
        </w:rPr>
        <w:t>The system moves forward through:</w:t>
      </w:r>
    </w:p>
    <w:p>
      <w:pPr>
        <w:spacing w:after="80" w:line="293" w:lineRule="auto"/>
        <w:ind w:left="283"/>
        <w:jc w:val="left"/>
      </w:pPr>
      <w:r>
        <w:rPr>
          <w:rFonts w:ascii="Times New Roman" w:hAnsi="Times New Roman" w:cs="Times New Roman"/>
          <w:b w:val="0"/>
          <w:i w:val="0"/>
          <w:sz w:val="22"/>
        </w:rPr>
        <w:t>- correction;</w:t>
      </w:r>
    </w:p>
    <w:p>
      <w:pPr>
        <w:spacing w:after="80" w:line="293" w:lineRule="auto"/>
        <w:ind w:left="283"/>
        <w:jc w:val="left"/>
      </w:pPr>
      <w:r>
        <w:rPr>
          <w:rFonts w:ascii="Times New Roman" w:hAnsi="Times New Roman" w:cs="Times New Roman"/>
          <w:b w:val="0"/>
          <w:i w:val="0"/>
          <w:sz w:val="22"/>
        </w:rPr>
        <w:t>- compensation;</w:t>
      </w:r>
    </w:p>
    <w:p>
      <w:pPr>
        <w:spacing w:after="80" w:line="293" w:lineRule="auto"/>
        <w:ind w:left="283"/>
        <w:jc w:val="left"/>
      </w:pPr>
      <w:r>
        <w:rPr>
          <w:rFonts w:ascii="Times New Roman" w:hAnsi="Times New Roman" w:cs="Times New Roman"/>
          <w:b w:val="0"/>
          <w:i w:val="0"/>
          <w:sz w:val="22"/>
        </w:rPr>
        <w:t>- recovery;</w:t>
      </w:r>
    </w:p>
    <w:p>
      <w:pPr>
        <w:spacing w:after="80" w:line="293" w:lineRule="auto"/>
        <w:ind w:left="283"/>
        <w:jc w:val="left"/>
      </w:pPr>
      <w:r>
        <w:rPr>
          <w:rFonts w:ascii="Times New Roman" w:hAnsi="Times New Roman" w:cs="Times New Roman"/>
          <w:b w:val="0"/>
          <w:i w:val="0"/>
          <w:sz w:val="22"/>
        </w:rPr>
        <w:t>- new authorization;</w:t>
      </w:r>
    </w:p>
    <w:p>
      <w:pPr>
        <w:spacing w:after="80" w:line="293" w:lineRule="auto"/>
        <w:ind w:left="283"/>
        <w:jc w:val="left"/>
      </w:pPr>
      <w:r>
        <w:rPr>
          <w:rFonts w:ascii="Times New Roman" w:hAnsi="Times New Roman" w:cs="Times New Roman"/>
          <w:b w:val="0"/>
          <w:i w:val="0"/>
          <w:sz w:val="22"/>
        </w:rPr>
        <w:t>- reconciliation.</w:t>
      </w:r>
    </w:p>
    <w:p>
      <w:pPr>
        <w:spacing w:after="80" w:line="293" w:lineRule="auto"/>
        <w:jc w:val="left"/>
      </w:pPr>
      <w:r>
        <w:rPr>
          <w:rFonts w:ascii="Times New Roman" w:hAnsi="Times New Roman" w:cs="Times New Roman"/>
          <w:b w:val="0"/>
          <w:i w:val="0"/>
          <w:sz w:val="22"/>
        </w:rPr>
        <w:t>It does not erase historical reality.</w:t>
      </w:r>
    </w:p>
    <w:p>
      <w:pPr>
        <w:keepNext/>
        <w:spacing w:before="240" w:after="100"/>
        <w:outlineLvl w:val="1"/>
      </w:pPr>
      <w:r>
        <w:rPr>
          <w:rFonts w:ascii="Arial" w:hAnsi="Arial" w:cs="Arial"/>
          <w:b/>
          <w:i w:val="0"/>
          <w:color w:val="2E528F"/>
          <w:sz w:val="26"/>
        </w:rPr>
        <w:t>19.131 Design Rule: "Authority, Not Majority"</w:t>
      </w:r>
    </w:p>
    <w:p>
      <w:pPr>
        <w:spacing w:after="80" w:line="293" w:lineRule="auto"/>
        <w:jc w:val="left"/>
      </w:pPr>
      <w:r>
        <w:rPr>
          <w:rFonts w:ascii="Times New Roman" w:hAnsi="Times New Roman" w:cs="Times New Roman"/>
          <w:b w:val="0"/>
          <w:i w:val="0"/>
          <w:sz w:val="22"/>
        </w:rPr>
        <w:t>When sources conflict, SGTX does not simply count votes. It evaluates:</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provenance;</w:t>
      </w:r>
    </w:p>
    <w:p>
      <w:pPr>
        <w:spacing w:after="80" w:line="293" w:lineRule="auto"/>
        <w:ind w:left="283"/>
        <w:jc w:val="left"/>
      </w:pPr>
      <w:r>
        <w:rPr>
          <w:rFonts w:ascii="Times New Roman" w:hAnsi="Times New Roman" w:cs="Times New Roman"/>
          <w:b w:val="0"/>
          <w:i w:val="0"/>
          <w:sz w:val="22"/>
        </w:rPr>
        <w:t>- evidence integrity;</w:t>
      </w:r>
    </w:p>
    <w:p>
      <w:pPr>
        <w:spacing w:after="80" w:line="293" w:lineRule="auto"/>
        <w:ind w:left="283"/>
        <w:jc w:val="left"/>
      </w:pPr>
      <w:r>
        <w:rPr>
          <w:rFonts w:ascii="Times New Roman" w:hAnsi="Times New Roman" w:cs="Times New Roman"/>
          <w:b w:val="0"/>
          <w:i w:val="0"/>
          <w:sz w:val="22"/>
        </w:rPr>
        <w:t>- temporal consistency;</w:t>
      </w:r>
    </w:p>
    <w:p>
      <w:pPr>
        <w:spacing w:after="80" w:line="293" w:lineRule="auto"/>
        <w:ind w:left="283"/>
        <w:jc w:val="left"/>
      </w:pPr>
      <w:r>
        <w:rPr>
          <w:rFonts w:ascii="Times New Roman" w:hAnsi="Times New Roman" w:cs="Times New Roman"/>
          <w:b w:val="0"/>
          <w:i w:val="0"/>
          <w:sz w:val="22"/>
        </w:rPr>
        <w:t>- contractual relevance;</w:t>
      </w:r>
    </w:p>
    <w:p>
      <w:pPr>
        <w:spacing w:after="80" w:line="293" w:lineRule="auto"/>
        <w:ind w:left="283"/>
        <w:jc w:val="left"/>
      </w:pPr>
      <w:r>
        <w:rPr>
          <w:rFonts w:ascii="Times New Roman" w:hAnsi="Times New Roman" w:cs="Times New Roman"/>
          <w:b w:val="0"/>
          <w:i w:val="0"/>
          <w:sz w:val="22"/>
        </w:rPr>
        <w:t>- policy.</w:t>
      </w:r>
    </w:p>
    <w:p>
      <w:pPr>
        <w:keepNext/>
        <w:spacing w:before="240" w:after="100"/>
        <w:outlineLvl w:val="1"/>
      </w:pPr>
      <w:r>
        <w:rPr>
          <w:rFonts w:ascii="Arial" w:hAnsi="Arial" w:cs="Arial"/>
          <w:b/>
          <w:i w:val="0"/>
          <w:color w:val="2E528F"/>
          <w:sz w:val="26"/>
        </w:rPr>
        <w:t>19.132 Design Rule: "State Is a Vector"</w:t>
      </w:r>
    </w:p>
    <w:p>
      <w:pPr>
        <w:spacing w:after="80" w:line="293" w:lineRule="auto"/>
        <w:jc w:val="left"/>
      </w:pPr>
      <w:r>
        <w:rPr>
          <w:rFonts w:ascii="Times New Roman" w:hAnsi="Times New Roman" w:cs="Times New Roman"/>
          <w:b w:val="0"/>
          <w:i w:val="0"/>
          <w:sz w:val="22"/>
        </w:rPr>
        <w:t>No single global status may silently collapse multiple real-world dimensions into one oversimplified conclusion.</w:t>
      </w:r>
    </w:p>
    <w:p>
      <w:pPr>
        <w:keepNext/>
        <w:spacing w:before="240" w:after="100"/>
        <w:outlineLvl w:val="1"/>
      </w:pPr>
      <w:r>
        <w:rPr>
          <w:rFonts w:ascii="Arial" w:hAnsi="Arial" w:cs="Arial"/>
          <w:b/>
          <w:i w:val="0"/>
          <w:color w:val="2E528F"/>
          <w:sz w:val="26"/>
        </w:rPr>
        <w:t>19.133 Design Rule: "Closure Is Earned"</w:t>
      </w:r>
    </w:p>
    <w:p>
      <w:pPr>
        <w:spacing w:after="80" w:line="293" w:lineRule="auto"/>
        <w:jc w:val="left"/>
      </w:pPr>
      <w:r>
        <w:rPr>
          <w:rFonts w:ascii="Times New Roman" w:hAnsi="Times New Roman" w:cs="Times New Roman"/>
          <w:b w:val="0"/>
          <w:i w:val="0"/>
          <w:sz w:val="22"/>
        </w:rPr>
        <w:t>A transaction becomes closed because closure policy conditions are satisfied, not because a workflow reached its last screen or because a timer expired.</w:t>
      </w:r>
    </w:p>
    <w:p>
      <w:pPr>
        <w:keepNext/>
        <w:spacing w:before="240" w:after="100"/>
        <w:outlineLvl w:val="1"/>
      </w:pPr>
      <w:r>
        <w:rPr>
          <w:rFonts w:ascii="Arial" w:hAnsi="Arial" w:cs="Arial"/>
          <w:b/>
          <w:i w:val="0"/>
          <w:color w:val="2E528F"/>
          <w:sz w:val="26"/>
        </w:rPr>
        <w:t>19.134 Final Canonical SGTX Architecture</w:t>
      </w:r>
    </w:p>
    <w:p>
      <w:pPr>
        <w:spacing w:after="80" w:line="293" w:lineRule="auto"/>
        <w:jc w:val="left"/>
      </w:pPr>
      <w:r>
        <w:rPr>
          <w:rFonts w:ascii="Times New Roman" w:hAnsi="Times New Roman" w:cs="Times New Roman"/>
          <w:b w:val="0"/>
          <w:i w:val="0"/>
          <w:sz w:val="22"/>
        </w:rPr>
        <w:t>The final canonical architecture is layered as follows:</w:t>
      </w:r>
    </w:p>
    <w:p>
      <w:pPr>
        <w:spacing w:after="0" w:before="0" w:line="240" w:lineRule="auto"/>
        <w:ind w:left="57"/>
        <w:jc w:val="left"/>
        <w:shd w:val="clear" w:fill="F2F2F2"/>
      </w:pPr>
      <w:r>
        <w:rPr>
          <w:rFonts w:ascii="Consolas" w:hAnsi="Consolas" w:cs="Consolas"/>
          <w:b w:val="0"/>
          <w:i w:val="0"/>
          <w:sz w:val="15"/>
        </w:rPr>
        <w:t>COMMERCIAL ECOSYSTEM</w:t>
      </w:r>
    </w:p>
    <w:p>
      <w:pPr>
        <w:spacing w:after="0" w:before="0" w:line="240" w:lineRule="auto"/>
        <w:ind w:left="57"/>
        <w:jc w:val="left"/>
        <w:shd w:val="clear" w:fill="F2F2F2"/>
      </w:pPr>
      <w:r>
        <w:rPr>
          <w:rFonts w:ascii="Consolas" w:hAnsi="Consolas" w:cs="Consolas"/>
          <w:b w:val="0"/>
          <w:i w:val="0"/>
          <w:sz w:val="15"/>
        </w:rPr>
        <w:t xml:space="preserve">    Marketplace | ERP | Corporate | Logistics | Bank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EXECUTION API</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OBLIGATION ENGINE  +  AUTHORITY ENGINE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SGTX TRANSACTION TWIN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EXECUTION ENGINE  +  SETTLEMENT ORCHESTRATION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MULTI-LEG INSTRUCTION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SETTLEMENT GATEWAY</w:t>
      </w:r>
    </w:p>
    <w:p>
      <w:pPr>
        <w:spacing w:after="0" w:before="0" w:line="240" w:lineRule="auto"/>
        <w:ind w:left="57"/>
        <w:jc w:val="left"/>
        <w:shd w:val="clear" w:fill="F2F2F2"/>
      </w:pPr>
      <w:r>
        <w:rPr>
          <w:rFonts w:ascii="Consolas" w:hAnsi="Consolas" w:cs="Consolas"/>
          <w:b w:val="0"/>
          <w:i w:val="0"/>
          <w:sz w:val="15"/>
        </w:rPr>
        <w:t xml:space="preserve">    API | ISO 20022 | H2H/SFTP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BANK SYSTEMS (BANK CONTROL)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PAYMENT RAIL → EXTERNAL EXECUTION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CANONICAL EVENT SPINE</w:t>
      </w:r>
    </w:p>
    <w:p>
      <w:pPr>
        <w:spacing w:after="0" w:before="0" w:line="240" w:lineRule="auto"/>
        <w:ind w:left="57"/>
        <w:jc w:val="left"/>
        <w:shd w:val="clear" w:fill="F2F2F2"/>
      </w:pPr>
      <w:r>
        <w:rPr>
          <w:rFonts w:ascii="Consolas" w:hAnsi="Consolas" w:cs="Consolas"/>
          <w:b w:val="0"/>
          <w:i w:val="0"/>
          <w:sz w:val="15"/>
        </w:rPr>
        <w:t xml:space="preserve">    Execution Clock | Financial Clock | Legal Clock | Physical Clock | Document State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STATE VECTOR</w:t>
      </w:r>
    </w:p>
    <w:p>
      <w:pPr>
        <w:spacing w:after="0" w:before="0" w:line="240" w:lineRule="auto"/>
        <w:ind w:left="57"/>
        <w:jc w:val="left"/>
        <w:shd w:val="clear" w:fill="F2F2F2"/>
      </w:pPr>
      <w:r>
        <w:rPr>
          <w:rFonts w:ascii="Consolas" w:hAnsi="Consolas" w:cs="Consolas"/>
          <w:b w:val="0"/>
          <w:i w:val="0"/>
          <w:sz w:val="15"/>
        </w:rPr>
        <w:t xml:space="preserve">    Reconciliation Control Plane | Exception Engine | Obligation Graph |</w:t>
      </w:r>
    </w:p>
    <w:p>
      <w:pPr>
        <w:spacing w:after="0" w:before="0" w:line="240" w:lineRule="auto"/>
        <w:ind w:left="57"/>
        <w:jc w:val="left"/>
        <w:shd w:val="clear" w:fill="F2F2F2"/>
      </w:pPr>
      <w:r>
        <w:rPr>
          <w:rFonts w:ascii="Consolas" w:hAnsi="Consolas" w:cs="Consolas"/>
          <w:b w:val="0"/>
          <w:i w:val="0"/>
          <w:sz w:val="15"/>
        </w:rPr>
        <w:t xml:space="preserve">    Exposure Engine | Closure Policy</w:t>
      </w:r>
    </w:p>
    <w:p>
      <w:pPr>
        <w:spacing w:after="0" w:before="0" w:line="240" w:lineRule="auto"/>
        <w:ind w:left="57"/>
        <w:jc w:val="left"/>
        <w:shd w:val="clear" w:fill="F2F2F2"/>
      </w:pPr>
      <w:r>
        <w:rPr>
          <w:rFonts w:ascii="Consolas" w:hAnsi="Consolas" w:cs="Consolas"/>
          <w:b w:val="0"/>
          <w:i w:val="0"/>
          <w:sz w:val="15"/>
        </w:rPr>
        <w:t xml:space="preserve">        ←  CAUSAL IMPACT ENGINE / DEPENDENCY GRAPH</w:t>
      </w:r>
    </w:p>
    <w:p>
      <w:pPr>
        <w:spacing w:after="0" w:before="0" w:line="240" w:lineRule="auto"/>
        <w:ind w:left="57"/>
        <w:jc w:val="left"/>
        <w:shd w:val="clear" w:fill="F2F2F2"/>
      </w:pPr>
      <w:r>
        <w:rPr>
          <w:rFonts w:ascii="Consolas" w:hAnsi="Consolas" w:cs="Consolas"/>
          <w:b w:val="0"/>
          <w:i w:val="0"/>
          <w:sz w:val="15"/>
        </w:rPr>
        <w:t xml:space="preserve">        ←  STATE CONFLICT PROTOCOL</w:t>
      </w:r>
    </w:p>
    <w:p>
      <w:pPr>
        <w:spacing w:after="0" w:before="0" w:line="240" w:lineRule="auto"/>
        <w:ind w:left="57"/>
        <w:jc w:val="left"/>
        <w:shd w:val="clear" w:fill="F2F2F2"/>
      </w:pPr>
      <w:r>
        <w:rPr>
          <w:rFonts w:ascii="Consolas" w:hAnsi="Consolas" w:cs="Consolas"/>
          <w:b w:val="0"/>
          <w:i w:val="0"/>
          <w:sz w:val="15"/>
        </w:rPr>
        <w:t xml:space="preserve">        ←  DISPUTE ENGINE / RECOVERY ENGINE / CORRECTION ENGINE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EVIDENCE LAYER</w:t>
      </w:r>
    </w:p>
    <w:p>
      <w:pPr>
        <w:spacing w:after="0" w:before="0" w:line="240" w:lineRule="auto"/>
        <w:ind w:left="57"/>
        <w:jc w:val="left"/>
        <w:shd w:val="clear" w:fill="F2F2F2"/>
      </w:pPr>
      <w:r>
        <w:rPr>
          <w:rFonts w:ascii="Consolas" w:hAnsi="Consolas" w:cs="Consolas"/>
          <w:b w:val="0"/>
          <w:i w:val="0"/>
          <w:sz w:val="15"/>
        </w:rPr>
        <w:t xml:space="preserve">    Dispute Packet | Proof of Execution | Recovery Vault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SETTLEMENT / CLOSURE CERTIFICATES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INSTITUTIONAL OUTPUT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19.134.1 Canonical Convergence Formula</w:t>
      </w:r>
    </w:p>
    <w:p>
      <w:pPr>
        <w:spacing w:after="80" w:line="293" w:lineRule="auto"/>
        <w:jc w:val="left"/>
      </w:pPr>
      <w:r>
        <w:rPr>
          <w:rFonts w:ascii="Times New Roman" w:hAnsi="Times New Roman" w:cs="Times New Roman"/>
          <w:b w:val="0"/>
          <w:i w:val="0"/>
          <w:sz w:val="22"/>
        </w:rPr>
        <w:t>The final platform architecture converges on the following canonical composition; every subsystem, adapter, and portal is a projection of exactly this composition and never a competing variant:</w:t>
      </w:r>
    </w:p>
    <w:p>
      <w:pPr>
        <w:spacing w:after="0" w:before="0" w:line="240" w:lineRule="auto"/>
        <w:ind w:left="57"/>
        <w:jc w:val="left"/>
        <w:shd w:val="clear" w:fill="F2F2F2"/>
      </w:pPr>
      <w:r>
        <w:rPr>
          <w:rFonts w:ascii="Consolas" w:hAnsi="Consolas" w:cs="Consolas"/>
          <w:b w:val="0"/>
          <w:i w:val="0"/>
          <w:sz w:val="15"/>
        </w:rPr>
        <w:t>REQUEST UUID</w:t>
      </w:r>
    </w:p>
    <w:p>
      <w:pPr>
        <w:spacing w:after="0" w:before="0" w:line="240" w:lineRule="auto"/>
        <w:ind w:left="57"/>
        <w:jc w:val="left"/>
        <w:shd w:val="clear" w:fill="F2F2F2"/>
      </w:pPr>
      <w:r>
        <w:rPr>
          <w:rFonts w:ascii="Consolas" w:hAnsi="Consolas" w:cs="Consolas"/>
          <w:b w:val="0"/>
          <w:i w:val="0"/>
          <w:sz w:val="15"/>
        </w:rPr>
        <w:t xml:space="preserve">  +  CONTRACT / SHIPMENT IDENTITY</w:t>
      </w:r>
    </w:p>
    <w:p>
      <w:pPr>
        <w:spacing w:after="0" w:before="0" w:line="240" w:lineRule="auto"/>
        <w:ind w:left="57"/>
        <w:jc w:val="left"/>
        <w:shd w:val="clear" w:fill="F2F2F2"/>
      </w:pPr>
      <w:r>
        <w:rPr>
          <w:rFonts w:ascii="Consolas" w:hAnsi="Consolas" w:cs="Consolas"/>
          <w:b w:val="0"/>
          <w:i w:val="0"/>
          <w:sz w:val="15"/>
        </w:rPr>
        <w:t xml:space="preserve">  +  USTN</w:t>
      </w:r>
    </w:p>
    <w:p>
      <w:pPr>
        <w:spacing w:after="0" w:before="0" w:line="240" w:lineRule="auto"/>
        <w:ind w:left="57"/>
        <w:jc w:val="left"/>
        <w:shd w:val="clear" w:fill="F2F2F2"/>
      </w:pPr>
      <w:r>
        <w:rPr>
          <w:rFonts w:ascii="Consolas" w:hAnsi="Consolas" w:cs="Consolas"/>
          <w:b w:val="0"/>
          <w:i w:val="0"/>
          <w:sz w:val="15"/>
        </w:rPr>
        <w:t xml:space="preserve">  +  MULTI-CLOCK STATE VECTOR</w:t>
      </w:r>
    </w:p>
    <w:p>
      <w:pPr>
        <w:spacing w:after="0" w:before="0" w:line="240" w:lineRule="auto"/>
        <w:ind w:left="57"/>
        <w:jc w:val="left"/>
        <w:shd w:val="clear" w:fill="F2F2F2"/>
      </w:pPr>
      <w:r>
        <w:rPr>
          <w:rFonts w:ascii="Consolas" w:hAnsi="Consolas" w:cs="Consolas"/>
          <w:b w:val="0"/>
          <w:i w:val="0"/>
          <w:sz w:val="15"/>
        </w:rPr>
        <w:t xml:space="preserve">  +  IMMUTABLE EVENT SPINE</w:t>
      </w:r>
    </w:p>
    <w:p>
      <w:pPr>
        <w:spacing w:after="0" w:before="0" w:line="240" w:lineRule="auto"/>
        <w:ind w:left="57"/>
        <w:jc w:val="left"/>
        <w:shd w:val="clear" w:fill="F2F2F2"/>
      </w:pPr>
      <w:r>
        <w:rPr>
          <w:rFonts w:ascii="Consolas" w:hAnsi="Consolas" w:cs="Consolas"/>
          <w:b w:val="0"/>
          <w:i w:val="0"/>
          <w:sz w:val="15"/>
        </w:rPr>
        <w:t xml:space="preserve">  +  DEPENDENCY GRAPH</w:t>
      </w:r>
    </w:p>
    <w:p>
      <w:pPr>
        <w:spacing w:after="0" w:before="0" w:line="240" w:lineRule="auto"/>
        <w:ind w:left="57"/>
        <w:jc w:val="left"/>
        <w:shd w:val="clear" w:fill="F2F2F2"/>
      </w:pPr>
      <w:r>
        <w:rPr>
          <w:rFonts w:ascii="Consolas" w:hAnsi="Consolas" w:cs="Consolas"/>
          <w:b w:val="0"/>
          <w:i w:val="0"/>
          <w:sz w:val="15"/>
        </w:rPr>
        <w:t xml:space="preserve">  +  ECONOMIC EXPOSURE GRAPH</w:t>
      </w:r>
    </w:p>
    <w:p>
      <w:pPr>
        <w:spacing w:after="0" w:before="0" w:line="240" w:lineRule="auto"/>
        <w:ind w:left="57"/>
        <w:jc w:val="left"/>
        <w:shd w:val="clear" w:fill="F2F2F2"/>
      </w:pPr>
      <w:r>
        <w:rPr>
          <w:rFonts w:ascii="Consolas" w:hAnsi="Consolas" w:cs="Consolas"/>
          <w:b w:val="0"/>
          <w:i w:val="0"/>
          <w:sz w:val="15"/>
        </w:rPr>
        <w:t xml:space="preserve">  +  BANK-AGNOSTIC PAYMENT MODEL</w:t>
      </w:r>
    </w:p>
    <w:p>
      <w:pPr>
        <w:spacing w:after="0" w:before="0" w:line="240" w:lineRule="auto"/>
        <w:ind w:left="57"/>
        <w:jc w:val="left"/>
        <w:shd w:val="clear" w:fill="F2F2F2"/>
      </w:pPr>
      <w:r>
        <w:rPr>
          <w:rFonts w:ascii="Consolas" w:hAnsi="Consolas" w:cs="Consolas"/>
          <w:b w:val="0"/>
          <w:i w:val="0"/>
          <w:sz w:val="15"/>
        </w:rPr>
        <w:t xml:space="preserve">  +  AUTHORITY-AWARE RECONCILIATION</w:t>
      </w:r>
    </w:p>
    <w:p>
      <w:pPr>
        <w:spacing w:after="0" w:before="0" w:line="240" w:lineRule="auto"/>
        <w:ind w:left="57"/>
        <w:jc w:val="left"/>
        <w:shd w:val="clear" w:fill="F2F2F2"/>
      </w:pPr>
      <w:r>
        <w:rPr>
          <w:rFonts w:ascii="Consolas" w:hAnsi="Consolas" w:cs="Consolas"/>
          <w:b w:val="0"/>
          <w:i w:val="0"/>
          <w:sz w:val="15"/>
        </w:rPr>
        <w:t xml:space="preserve">  +  CONFIGURATION-DRIVEN INCOTERM / ERR</w:t>
      </w:r>
    </w:p>
    <w:p>
      <w:pPr>
        <w:spacing w:after="0" w:before="0" w:line="240" w:lineRule="auto"/>
        <w:ind w:left="57"/>
        <w:jc w:val="left"/>
        <w:shd w:val="clear" w:fill="F2F2F2"/>
      </w:pPr>
      <w:r>
        <w:rPr>
          <w:rFonts w:ascii="Consolas" w:hAnsi="Consolas" w:cs="Consolas"/>
          <w:b w:val="0"/>
          <w:i w:val="0"/>
          <w:sz w:val="15"/>
        </w:rPr>
        <w:t xml:space="preserve">  +  JURISDICTION / CORRIDOR ADAPTERS</w:t>
      </w:r>
    </w:p>
    <w:p>
      <w:pPr>
        <w:spacing w:after="0" w:before="0" w:line="240" w:lineRule="auto"/>
        <w:ind w:left="57"/>
        <w:jc w:val="left"/>
        <w:shd w:val="clear" w:fill="F2F2F2"/>
      </w:pPr>
      <w:r>
        <w:rPr>
          <w:rFonts w:ascii="Consolas" w:hAnsi="Consolas" w:cs="Consolas"/>
          <w:b w:val="0"/>
          <w:i w:val="0"/>
          <w:sz w:val="15"/>
        </w:rPr>
        <w:t xml:space="preserve">  +  AI AS ADVISOR</w:t>
      </w:r>
    </w:p>
    <w:p>
      <w:pPr>
        <w:spacing w:after="0" w:before="0" w:line="240" w:lineRule="auto"/>
        <w:ind w:left="57"/>
        <w:jc w:val="left"/>
        <w:shd w:val="clear" w:fill="F2F2F2"/>
      </w:pPr>
      <w:r>
        <w:rPr>
          <w:rFonts w:ascii="Consolas" w:hAnsi="Consolas" w:cs="Consolas"/>
          <w:b w:val="0"/>
          <w:i w:val="0"/>
          <w:sz w:val="15"/>
        </w:rPr>
        <w:t xml:space="preserve">  +  GOVERNOR / OPA / WASMEDGE ENFORCEMENT</w:t>
      </w:r>
    </w:p>
    <w:p>
      <w:pPr>
        <w:spacing w:after="0" w:before="0" w:line="240" w:lineRule="auto"/>
        <w:ind w:left="57"/>
        <w:jc w:val="left"/>
        <w:shd w:val="clear" w:fill="F2F2F2"/>
      </w:pPr>
      <w:r>
        <w:rPr>
          <w:rFonts w:ascii="Consolas" w:hAnsi="Consolas" w:cs="Consolas"/>
          <w:b w:val="0"/>
          <w:i w:val="0"/>
          <w:sz w:val="15"/>
        </w:rPr>
        <w:t xml:space="preserve">  +  EARNED CLOSURE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architecture is one unified whole: the corrections, extensions, and domain models specified throughout this document are parts of a single architecture, not independent feature patches. No subsystem introduces a second state architecture; no adapter redefines USTN or Section 19 semantics; no confidence score becomes authoritative evidence; no payment state becomes settlement truth; no settlement becomes closure; and no witness signature becomes trade-party status (Section 19.153, What This Architecture Does Not Mean).</w:t>
      </w:r>
    </w:p>
    <w:p>
      <w:pPr>
        <w:keepNext/>
        <w:spacing w:before="240" w:after="100"/>
        <w:outlineLvl w:val="1"/>
      </w:pPr>
      <w:r>
        <w:rPr>
          <w:rFonts w:ascii="Arial" w:hAnsi="Arial" w:cs="Arial"/>
          <w:b/>
          <w:i w:val="0"/>
          <w:color w:val="2E528F"/>
          <w:sz w:val="26"/>
        </w:rPr>
        <w:t>19.135 Canonical Transaction Hierarchy</w:t>
      </w:r>
    </w:p>
    <w:p>
      <w:pPr>
        <w:spacing w:after="80" w:line="293" w:lineRule="auto"/>
        <w:jc w:val="left"/>
      </w:pPr>
      <w:r>
        <w:rPr>
          <w:rFonts w:ascii="Times New Roman" w:hAnsi="Times New Roman" w:cs="Times New Roman"/>
          <w:b w:val="0"/>
          <w:i w:val="0"/>
          <w:sz w:val="22"/>
        </w:rPr>
        <w:t>The canonical object hierarchy is:</w:t>
      </w:r>
    </w:p>
    <w:p>
      <w:pPr>
        <w:spacing w:after="0" w:before="0" w:line="240" w:lineRule="auto"/>
        <w:ind w:left="57"/>
        <w:jc w:val="left"/>
        <w:shd w:val="clear" w:fill="F2F2F2"/>
      </w:pPr>
      <w:r>
        <w:rPr>
          <w:rFonts w:ascii="Consolas" w:hAnsi="Consolas" w:cs="Consolas"/>
          <w:b w:val="0"/>
          <w:i w:val="0"/>
          <w:sz w:val="15"/>
        </w:rPr>
        <w:t>TRADE</w:t>
      </w:r>
    </w:p>
    <w:p>
      <w:pPr>
        <w:spacing w:after="0" w:before="0" w:line="240" w:lineRule="auto"/>
        <w:ind w:left="57"/>
        <w:jc w:val="left"/>
        <w:shd w:val="clear" w:fill="F2F2F2"/>
      </w:pPr>
      <w:r>
        <w:rPr>
          <w:rFonts w:ascii="Consolas" w:hAnsi="Consolas" w:cs="Consolas"/>
          <w:b w:val="0"/>
          <w:i w:val="0"/>
          <w:sz w:val="15"/>
        </w:rPr>
        <w:t xml:space="preserve"> └→ CONTRACT</w:t>
      </w:r>
    </w:p>
    <w:p>
      <w:pPr>
        <w:spacing w:after="0" w:before="0" w:line="240" w:lineRule="auto"/>
        <w:ind w:left="57"/>
        <w:jc w:val="left"/>
        <w:shd w:val="clear" w:fill="F2F2F2"/>
      </w:pPr>
      <w:r>
        <w:rPr>
          <w:rFonts w:ascii="Consolas" w:hAnsi="Consolas" w:cs="Consolas"/>
          <w:b w:val="0"/>
          <w:i w:val="0"/>
          <w:sz w:val="15"/>
        </w:rPr>
        <w:t xml:space="preserve">     └→ OBLIGATION GRAPH</w:t>
      </w:r>
    </w:p>
    <w:p>
      <w:pPr>
        <w:spacing w:after="0" w:before="0" w:line="240" w:lineRule="auto"/>
        <w:ind w:left="57"/>
        <w:jc w:val="left"/>
        <w:shd w:val="clear" w:fill="F2F2F2"/>
      </w:pPr>
      <w:r>
        <w:rPr>
          <w:rFonts w:ascii="Consolas" w:hAnsi="Consolas" w:cs="Consolas"/>
          <w:b w:val="0"/>
          <w:i w:val="0"/>
          <w:sz w:val="15"/>
        </w:rPr>
        <w:t xml:space="preserve">         ├→ COMMERCIAL OBLIGATION</w:t>
      </w:r>
    </w:p>
    <w:p>
      <w:pPr>
        <w:spacing w:after="0" w:before="0" w:line="240" w:lineRule="auto"/>
        <w:ind w:left="57"/>
        <w:jc w:val="left"/>
        <w:shd w:val="clear" w:fill="F2F2F2"/>
      </w:pPr>
      <w:r>
        <w:rPr>
          <w:rFonts w:ascii="Consolas" w:hAnsi="Consolas" w:cs="Consolas"/>
          <w:b w:val="0"/>
          <w:i w:val="0"/>
          <w:sz w:val="15"/>
        </w:rPr>
        <w:t xml:space="preserve">         ├→ DOCUMENT OBLIGATION</w:t>
      </w:r>
    </w:p>
    <w:p>
      <w:pPr>
        <w:spacing w:after="0" w:before="0" w:line="240" w:lineRule="auto"/>
        <w:ind w:left="57"/>
        <w:jc w:val="left"/>
        <w:shd w:val="clear" w:fill="F2F2F2"/>
      </w:pPr>
      <w:r>
        <w:rPr>
          <w:rFonts w:ascii="Consolas" w:hAnsi="Consolas" w:cs="Consolas"/>
          <w:b w:val="0"/>
          <w:i w:val="0"/>
          <w:sz w:val="15"/>
        </w:rPr>
        <w:t xml:space="preserve">         ├→ LOGISTICS OBLIGATION</w:t>
      </w:r>
    </w:p>
    <w:p>
      <w:pPr>
        <w:spacing w:after="0" w:before="0" w:line="240" w:lineRule="auto"/>
        <w:ind w:left="57"/>
        <w:jc w:val="left"/>
        <w:shd w:val="clear" w:fill="F2F2F2"/>
      </w:pPr>
      <w:r>
        <w:rPr>
          <w:rFonts w:ascii="Consolas" w:hAnsi="Consolas" w:cs="Consolas"/>
          <w:b w:val="0"/>
          <w:i w:val="0"/>
          <w:sz w:val="15"/>
        </w:rPr>
        <w:t xml:space="preserve">         ├→ CUSTOMS OBLIGATION</w:t>
      </w:r>
    </w:p>
    <w:p>
      <w:pPr>
        <w:spacing w:after="0" w:before="0" w:line="240" w:lineRule="auto"/>
        <w:ind w:left="57"/>
        <w:jc w:val="left"/>
        <w:shd w:val="clear" w:fill="F2F2F2"/>
      </w:pPr>
      <w:r>
        <w:rPr>
          <w:rFonts w:ascii="Consolas" w:hAnsi="Consolas" w:cs="Consolas"/>
          <w:b w:val="0"/>
          <w:i w:val="0"/>
          <w:sz w:val="15"/>
        </w:rPr>
        <w:t xml:space="preserve">         ├→ COMPLIANCE OBLIGATION</w:t>
      </w:r>
    </w:p>
    <w:p>
      <w:pPr>
        <w:spacing w:after="0" w:before="0" w:line="240" w:lineRule="auto"/>
        <w:ind w:left="57"/>
        <w:jc w:val="left"/>
        <w:shd w:val="clear" w:fill="F2F2F2"/>
      </w:pPr>
      <w:r>
        <w:rPr>
          <w:rFonts w:ascii="Consolas" w:hAnsi="Consolas" w:cs="Consolas"/>
          <w:b w:val="0"/>
          <w:i w:val="0"/>
          <w:sz w:val="15"/>
        </w:rPr>
        <w:t xml:space="preserve">         └→ FINANCIAL OBLIGATION</w:t>
      </w:r>
    </w:p>
    <w:p>
      <w:pPr>
        <w:spacing w:after="0" w:before="0" w:line="240" w:lineRule="auto"/>
        <w:ind w:left="57"/>
        <w:jc w:val="left"/>
        <w:shd w:val="clear" w:fill="F2F2F2"/>
      </w:pPr>
      <w:r>
        <w:rPr>
          <w:rFonts w:ascii="Consolas" w:hAnsi="Consolas" w:cs="Consolas"/>
          <w:b w:val="0"/>
          <w:i w:val="0"/>
          <w:sz w:val="15"/>
        </w:rPr>
        <w:t xml:space="preserve">             └→ SETTLEMENT INSTRUCTIONS (1..n)</w:t>
      </w:r>
    </w:p>
    <w:p>
      <w:pPr>
        <w:spacing w:after="0" w:before="0" w:line="240" w:lineRule="auto"/>
        <w:ind w:left="57"/>
        <w:jc w:val="left"/>
        <w:shd w:val="clear" w:fill="F2F2F2"/>
      </w:pPr>
      <w:r>
        <w:rPr>
          <w:rFonts w:ascii="Consolas" w:hAnsi="Consolas" w:cs="Consolas"/>
          <w:b w:val="0"/>
          <w:i w:val="0"/>
          <w:sz w:val="15"/>
        </w:rPr>
        <w:t xml:space="preserve">                 ├→ SETTLEMENT LEG 1</w:t>
      </w:r>
    </w:p>
    <w:p>
      <w:pPr>
        <w:spacing w:after="0" w:before="0" w:line="240" w:lineRule="auto"/>
        <w:ind w:left="57"/>
        <w:jc w:val="left"/>
        <w:shd w:val="clear" w:fill="F2F2F2"/>
      </w:pPr>
      <w:r>
        <w:rPr>
          <w:rFonts w:ascii="Consolas" w:hAnsi="Consolas" w:cs="Consolas"/>
          <w:b w:val="0"/>
          <w:i w:val="0"/>
          <w:sz w:val="15"/>
        </w:rPr>
        <w:t xml:space="preserve">                 ├→ SETTLEMENT LEG 2</w:t>
      </w:r>
    </w:p>
    <w:p>
      <w:pPr>
        <w:spacing w:after="0" w:before="0" w:line="240" w:lineRule="auto"/>
        <w:ind w:left="57"/>
        <w:jc w:val="left"/>
        <w:shd w:val="clear" w:fill="F2F2F2"/>
      </w:pPr>
      <w:r>
        <w:rPr>
          <w:rFonts w:ascii="Consolas" w:hAnsi="Consolas" w:cs="Consolas"/>
          <w:b w:val="0"/>
          <w:i w:val="0"/>
          <w:sz w:val="15"/>
        </w:rPr>
        <w:t xml:space="preserve">                 ├→ SETTLEMENT LEG N</w:t>
      </w:r>
    </w:p>
    <w:p>
      <w:pPr>
        <w:spacing w:after="0" w:before="0" w:line="240" w:lineRule="auto"/>
        <w:ind w:left="57"/>
        <w:jc w:val="left"/>
        <w:shd w:val="clear" w:fill="F2F2F2"/>
      </w:pPr>
      <w:r>
        <w:rPr>
          <w:rFonts w:ascii="Consolas" w:hAnsi="Consolas" w:cs="Consolas"/>
          <w:b w:val="0"/>
          <w:i w:val="0"/>
          <w:sz w:val="15"/>
        </w:rPr>
        <w:t xml:space="preserve">                 └→ PAYMENT / BANK EVENTS</w:t>
      </w:r>
    </w:p>
    <w:p>
      <w:pPr>
        <w:spacing w:after="0" w:before="0" w:line="240" w:lineRule="auto"/>
        <w:ind w:left="57"/>
        <w:jc w:val="left"/>
        <w:shd w:val="clear" w:fill="F2F2F2"/>
      </w:pPr>
      <w:r>
        <w:rPr>
          <w:rFonts w:ascii="Consolas" w:hAnsi="Consolas" w:cs="Consolas"/>
          <w:b w:val="0"/>
          <w:i w:val="0"/>
          <w:sz w:val="15"/>
        </w:rPr>
        <w:t xml:space="preserve"> ├→ DOCUMENTS</w:t>
      </w:r>
    </w:p>
    <w:p>
      <w:pPr>
        <w:spacing w:after="0" w:before="0" w:line="240" w:lineRule="auto"/>
        <w:ind w:left="57"/>
        <w:jc w:val="left"/>
        <w:shd w:val="clear" w:fill="F2F2F2"/>
      </w:pPr>
      <w:r>
        <w:rPr>
          <w:rFonts w:ascii="Consolas" w:hAnsi="Consolas" w:cs="Consolas"/>
          <w:b w:val="0"/>
          <w:i w:val="0"/>
          <w:sz w:val="15"/>
        </w:rPr>
        <w:t xml:space="preserve"> ├→ LOGISTICS EVENTS</w:t>
      </w:r>
    </w:p>
    <w:p>
      <w:pPr>
        <w:spacing w:after="0" w:before="0" w:line="240" w:lineRule="auto"/>
        <w:ind w:left="57"/>
        <w:jc w:val="left"/>
        <w:shd w:val="clear" w:fill="F2F2F2"/>
      </w:pPr>
      <w:r>
        <w:rPr>
          <w:rFonts w:ascii="Consolas" w:hAnsi="Consolas" w:cs="Consolas"/>
          <w:b w:val="0"/>
          <w:i w:val="0"/>
          <w:sz w:val="15"/>
        </w:rPr>
        <w:t xml:space="preserve"> ├→ CUSTOMS EVENTS</w:t>
      </w:r>
    </w:p>
    <w:p>
      <w:pPr>
        <w:spacing w:after="0" w:before="0" w:line="240" w:lineRule="auto"/>
        <w:ind w:left="57"/>
        <w:jc w:val="left"/>
        <w:shd w:val="clear" w:fill="F2F2F2"/>
      </w:pPr>
      <w:r>
        <w:rPr>
          <w:rFonts w:ascii="Consolas" w:hAnsi="Consolas" w:cs="Consolas"/>
          <w:b w:val="0"/>
          <w:i w:val="0"/>
          <w:sz w:val="15"/>
        </w:rPr>
        <w:t xml:space="preserve"> ├→ COMPLIANCE EVENTS</w:t>
      </w:r>
    </w:p>
    <w:p>
      <w:pPr>
        <w:spacing w:after="0" w:before="0" w:line="240" w:lineRule="auto"/>
        <w:ind w:left="57"/>
        <w:jc w:val="left"/>
        <w:shd w:val="clear" w:fill="F2F2F2"/>
      </w:pPr>
      <w:r>
        <w:rPr>
          <w:rFonts w:ascii="Consolas" w:hAnsi="Consolas" w:cs="Consolas"/>
          <w:b w:val="0"/>
          <w:i w:val="0"/>
          <w:sz w:val="15"/>
        </w:rPr>
        <w:t xml:space="preserve"> ├→ LEGAL EVENTS</w:t>
      </w:r>
    </w:p>
    <w:p>
      <w:pPr>
        <w:spacing w:after="0" w:before="0" w:line="240" w:lineRule="auto"/>
        <w:ind w:left="57"/>
        <w:jc w:val="left"/>
        <w:shd w:val="clear" w:fill="F2F2F2"/>
      </w:pPr>
      <w:r>
        <w:rPr>
          <w:rFonts w:ascii="Consolas" w:hAnsi="Consolas" w:cs="Consolas"/>
          <w:b w:val="0"/>
          <w:i w:val="0"/>
          <w:sz w:val="15"/>
        </w:rPr>
        <w:t xml:space="preserve"> ├→ RECONCILIATION CASES</w:t>
      </w:r>
    </w:p>
    <w:p>
      <w:pPr>
        <w:spacing w:after="0" w:before="0" w:line="240" w:lineRule="auto"/>
        <w:ind w:left="57"/>
        <w:jc w:val="left"/>
        <w:shd w:val="clear" w:fill="F2F2F2"/>
      </w:pPr>
      <w:r>
        <w:rPr>
          <w:rFonts w:ascii="Consolas" w:hAnsi="Consolas" w:cs="Consolas"/>
          <w:b w:val="0"/>
          <w:i w:val="0"/>
          <w:sz w:val="15"/>
        </w:rPr>
        <w:t xml:space="preserve"> ├→ DISPUTES</w:t>
      </w:r>
    </w:p>
    <w:p>
      <w:pPr>
        <w:spacing w:after="0" w:before="0" w:line="240" w:lineRule="auto"/>
        <w:ind w:left="57"/>
        <w:jc w:val="left"/>
        <w:shd w:val="clear" w:fill="F2F2F2"/>
      </w:pPr>
      <w:r>
        <w:rPr>
          <w:rFonts w:ascii="Consolas" w:hAnsi="Consolas" w:cs="Consolas"/>
          <w:b w:val="0"/>
          <w:i w:val="0"/>
          <w:sz w:val="15"/>
        </w:rPr>
        <w:t xml:space="preserve"> ├→ RECOVERY EVENTS</w:t>
      </w:r>
    </w:p>
    <w:p>
      <w:pPr>
        <w:spacing w:after="0" w:before="0" w:line="240" w:lineRule="auto"/>
        <w:ind w:left="57"/>
        <w:jc w:val="left"/>
        <w:shd w:val="clear" w:fill="F2F2F2"/>
      </w:pPr>
      <w:r>
        <w:rPr>
          <w:rFonts w:ascii="Consolas" w:hAnsi="Consolas" w:cs="Consolas"/>
          <w:b w:val="0"/>
          <w:i w:val="0"/>
          <w:sz w:val="15"/>
        </w:rPr>
        <w:t xml:space="preserve"> └→ CLOSURE EVENTS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Everything remains correlated through USTN and event lineage.</w:t>
      </w:r>
    </w:p>
    <w:p>
      <w:pPr>
        <w:keepNext/>
        <w:spacing w:before="240" w:after="100"/>
        <w:outlineLvl w:val="1"/>
      </w:pPr>
      <w:r>
        <w:rPr>
          <w:rFonts w:ascii="Arial" w:hAnsi="Arial" w:cs="Arial"/>
          <w:b/>
          <w:i w:val="0"/>
          <w:color w:val="2E528F"/>
          <w:sz w:val="26"/>
        </w:rPr>
        <w:t>19.136 Canonical Settlement Hierarchy</w:t>
      </w:r>
    </w:p>
    <w:p>
      <w:pPr>
        <w:spacing w:after="0" w:before="0" w:line="240" w:lineRule="auto"/>
        <w:ind w:left="57"/>
        <w:jc w:val="left"/>
        <w:shd w:val="clear" w:fill="F2F2F2"/>
      </w:pPr>
      <w:r>
        <w:rPr>
          <w:rFonts w:ascii="Consolas" w:hAnsi="Consolas" w:cs="Consolas"/>
          <w:b w:val="0"/>
          <w:i w:val="0"/>
          <w:sz w:val="15"/>
        </w:rPr>
        <w:t>TRADE → FINANCIAL OBLIGATION → SETTLEMENT INSTRUCTION → SETTLEMENT LEG →</w:t>
      </w:r>
    </w:p>
    <w:p>
      <w:pPr>
        <w:spacing w:after="0" w:before="0" w:line="240" w:lineRule="auto"/>
        <w:ind w:left="57"/>
        <w:jc w:val="left"/>
        <w:shd w:val="clear" w:fill="F2F2F2"/>
      </w:pPr>
      <w:r>
        <w:rPr>
          <w:rFonts w:ascii="Consolas" w:hAnsi="Consolas" w:cs="Consolas"/>
          <w:b w:val="0"/>
          <w:i w:val="0"/>
          <w:sz w:val="15"/>
        </w:rPr>
        <w:t>BANK-SIDE INSTRUCTION → BANK TRANSACTION → PAYMENT RAIL EVENT → BANK CONFIRMATION →</w:t>
      </w:r>
    </w:p>
    <w:p>
      <w:pPr>
        <w:spacing w:after="0" w:before="0" w:line="240" w:lineRule="auto"/>
        <w:ind w:left="57"/>
        <w:jc w:val="left"/>
        <w:shd w:val="clear" w:fill="F2F2F2"/>
      </w:pPr>
      <w:r>
        <w:rPr>
          <w:rFonts w:ascii="Consolas" w:hAnsi="Consolas" w:cs="Consolas"/>
          <w:b w:val="0"/>
          <w:i w:val="0"/>
          <w:sz w:val="15"/>
        </w:rPr>
        <w:t>SGTX FINANCIAL STATE → RECONCILIATION → PARENT SETTLEMENT STATE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19.137 Canonical Reversal Model</w:t>
      </w:r>
    </w:p>
    <w:p>
      <w:pPr>
        <w:spacing w:after="0" w:before="0" w:line="240" w:lineRule="auto"/>
        <w:ind w:left="57"/>
        <w:jc w:val="left"/>
        <w:shd w:val="clear" w:fill="F2F2F2"/>
      </w:pPr>
      <w:r>
        <w:rPr>
          <w:rFonts w:ascii="Consolas" w:hAnsi="Consolas" w:cs="Consolas"/>
          <w:b w:val="0"/>
          <w:i w:val="0"/>
          <w:sz w:val="15"/>
        </w:rPr>
        <w:t>ORIGINAL EVENT → EXTERNAL REVERSAL / DISPUTE / CORRECTION → NEW EVENT →</w:t>
      </w:r>
    </w:p>
    <w:p>
      <w:pPr>
        <w:spacing w:after="0" w:before="0" w:line="240" w:lineRule="auto"/>
        <w:ind w:left="57"/>
        <w:jc w:val="left"/>
        <w:shd w:val="clear" w:fill="F2F2F2"/>
      </w:pPr>
      <w:r>
        <w:rPr>
          <w:rFonts w:ascii="Consolas" w:hAnsi="Consolas" w:cs="Consolas"/>
          <w:b w:val="0"/>
          <w:i w:val="0"/>
          <w:sz w:val="15"/>
        </w:rPr>
        <w:t>AUTHORITY / EVIDENCE CHECK → STATE VECTOR UPDATE → FINANCIAL EXPOSURE UPDATE →</w:t>
      </w:r>
    </w:p>
    <w:p>
      <w:pPr>
        <w:spacing w:after="0" w:before="0" w:line="240" w:lineRule="auto"/>
        <w:ind w:left="57"/>
        <w:jc w:val="left"/>
        <w:shd w:val="clear" w:fill="F2F2F2"/>
      </w:pPr>
      <w:r>
        <w:rPr>
          <w:rFonts w:ascii="Consolas" w:hAnsi="Consolas" w:cs="Consolas"/>
          <w:b w:val="0"/>
          <w:i w:val="0"/>
          <w:sz w:val="15"/>
        </w:rPr>
        <w:t>CAUSAL IMPACT ANALYSIS → RECONCILIATION → RECOVERY / COMPENSATION IF REQUIRED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History remains intact.</w:t>
      </w:r>
    </w:p>
    <w:p>
      <w:pPr>
        <w:keepNext/>
        <w:spacing w:before="240" w:after="100"/>
        <w:outlineLvl w:val="1"/>
      </w:pPr>
      <w:r>
        <w:rPr>
          <w:rFonts w:ascii="Arial" w:hAnsi="Arial" w:cs="Arial"/>
          <w:b/>
          <w:i w:val="0"/>
          <w:color w:val="2E528F"/>
          <w:sz w:val="26"/>
        </w:rPr>
        <w:t>19.138 Canonical Dispute Model</w:t>
      </w:r>
    </w:p>
    <w:p>
      <w:pPr>
        <w:spacing w:after="0" w:before="0" w:line="240" w:lineRule="auto"/>
        <w:ind w:left="57"/>
        <w:jc w:val="left"/>
        <w:shd w:val="clear" w:fill="F2F2F2"/>
      </w:pPr>
      <w:r>
        <w:rPr>
          <w:rFonts w:ascii="Consolas" w:hAnsi="Consolas" w:cs="Consolas"/>
          <w:b w:val="0"/>
          <w:i w:val="0"/>
          <w:sz w:val="15"/>
        </w:rPr>
        <w:t>DISPUTE ASSERTION → AUTHORITY / EVIDENCE CLASSIFICATION → DISPUTE OPEN →</w:t>
      </w:r>
    </w:p>
    <w:p>
      <w:pPr>
        <w:spacing w:after="0" w:before="0" w:line="240" w:lineRule="auto"/>
        <w:ind w:left="57"/>
        <w:jc w:val="left"/>
        <w:shd w:val="clear" w:fill="F2F2F2"/>
      </w:pPr>
      <w:r>
        <w:rPr>
          <w:rFonts w:ascii="Consolas" w:hAnsi="Consolas" w:cs="Consolas"/>
          <w:b w:val="0"/>
          <w:i w:val="0"/>
          <w:sz w:val="15"/>
        </w:rPr>
        <w:t>AFFECTED OBLIGATIONS IDENTIFIED → AFFECTED FINANCIAL EXPOSURE IDENTIFIED →</w:t>
      </w:r>
    </w:p>
    <w:p>
      <w:pPr>
        <w:spacing w:after="0" w:before="0" w:line="240" w:lineRule="auto"/>
        <w:ind w:left="57"/>
        <w:jc w:val="left"/>
        <w:shd w:val="clear" w:fill="F2F2F2"/>
      </w:pPr>
      <w:r>
        <w:rPr>
          <w:rFonts w:ascii="Consolas" w:hAnsi="Consolas" w:cs="Consolas"/>
          <w:b w:val="0"/>
          <w:i w:val="0"/>
          <w:sz w:val="15"/>
        </w:rPr>
        <w:t>EVIDENCE PACKAGE ASSEMBLED → RECONCILIATION → AUTHORIZED RESOLUTION → NEW EVENT →</w:t>
      </w:r>
    </w:p>
    <w:p>
      <w:pPr>
        <w:spacing w:after="0" w:before="0" w:line="240" w:lineRule="auto"/>
        <w:ind w:left="57"/>
        <w:jc w:val="left"/>
        <w:shd w:val="clear" w:fill="F2F2F2"/>
      </w:pPr>
      <w:r>
        <w:rPr>
          <w:rFonts w:ascii="Consolas" w:hAnsi="Consolas" w:cs="Consolas"/>
          <w:b w:val="0"/>
          <w:i w:val="0"/>
          <w:sz w:val="15"/>
        </w:rPr>
        <w:t>RECOVERY / CORRECTION / CLOSURE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records and orchestrates the process; it does not independently adjudicate legal disputes.</w:t>
      </w:r>
    </w:p>
    <w:p>
      <w:pPr>
        <w:keepNext/>
        <w:spacing w:before="240" w:after="100"/>
        <w:outlineLvl w:val="1"/>
      </w:pPr>
      <w:r>
        <w:rPr>
          <w:rFonts w:ascii="Arial" w:hAnsi="Arial" w:cs="Arial"/>
          <w:b/>
          <w:i w:val="0"/>
          <w:color w:val="2E528F"/>
          <w:sz w:val="26"/>
        </w:rPr>
        <w:t>19.139 Canonical Late-Evidence Model</w:t>
      </w:r>
    </w:p>
    <w:p>
      <w:pPr>
        <w:spacing w:after="0" w:before="0" w:line="240" w:lineRule="auto"/>
        <w:ind w:left="57"/>
        <w:jc w:val="left"/>
        <w:shd w:val="clear" w:fill="F2F2F2"/>
      </w:pPr>
      <w:r>
        <w:rPr>
          <w:rFonts w:ascii="Consolas" w:hAnsi="Consolas" w:cs="Consolas"/>
          <w:b w:val="0"/>
          <w:i w:val="0"/>
          <w:sz w:val="15"/>
        </w:rPr>
        <w:t>TRADE CLOSED → LATE EVENT RECEIVED → AUTHENTICITY / AUTHORITY CHECK →</w:t>
      </w:r>
    </w:p>
    <w:p>
      <w:pPr>
        <w:spacing w:after="0" w:before="0" w:line="240" w:lineRule="auto"/>
        <w:ind w:left="57"/>
        <w:jc w:val="left"/>
        <w:shd w:val="clear" w:fill="F2F2F2"/>
      </w:pPr>
      <w:r>
        <w:rPr>
          <w:rFonts w:ascii="Consolas" w:hAnsi="Consolas" w:cs="Consolas"/>
          <w:b w:val="0"/>
          <w:i w:val="0"/>
          <w:sz w:val="15"/>
        </w:rPr>
        <w:t>POST-CLOSURE EVENT → CAUSAL IMPACT ANALYSIS → RECONCILIATION →</w:t>
      </w:r>
    </w:p>
    <w:p>
      <w:pPr>
        <w:spacing w:after="0" w:before="0" w:line="240" w:lineRule="auto"/>
        <w:ind w:left="57"/>
        <w:jc w:val="left"/>
        <w:shd w:val="clear" w:fill="F2F2F2"/>
      </w:pPr>
      <w:r>
        <w:rPr>
          <w:rFonts w:ascii="Consolas" w:hAnsi="Consolas" w:cs="Consolas"/>
          <w:b w:val="0"/>
          <w:i w:val="0"/>
          <w:sz w:val="15"/>
        </w:rPr>
        <w:t>CURRENT STATE EVALUATION → RECOVERY / CORRECTION IF REQUIRED</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19.140 Canonical Multi-Party Payment Model</w:t>
      </w:r>
    </w:p>
    <w:p>
      <w:pPr>
        <w:spacing w:after="0" w:before="0" w:line="240" w:lineRule="auto"/>
        <w:ind w:left="57"/>
        <w:jc w:val="left"/>
        <w:shd w:val="clear" w:fill="F2F2F2"/>
      </w:pPr>
      <w:r>
        <w:rPr>
          <w:rFonts w:ascii="Consolas" w:hAnsi="Consolas" w:cs="Consolas"/>
          <w:b w:val="0"/>
          <w:i w:val="0"/>
          <w:sz w:val="15"/>
        </w:rPr>
        <w:t>USTN</w:t>
      </w:r>
    </w:p>
    <w:p>
      <w:pPr>
        <w:spacing w:after="0" w:before="0" w:line="240" w:lineRule="auto"/>
        <w:ind w:left="57"/>
        <w:jc w:val="left"/>
        <w:shd w:val="clear" w:fill="F2F2F2"/>
      </w:pPr>
      <w:r>
        <w:rPr>
          <w:rFonts w:ascii="Consolas" w:hAnsi="Consolas" w:cs="Consolas"/>
          <w:b w:val="0"/>
          <w:i w:val="0"/>
          <w:sz w:val="15"/>
        </w:rPr>
        <w:t xml:space="preserve"> ├→ Seller Obligation      → Leg A</w:t>
      </w:r>
    </w:p>
    <w:p>
      <w:pPr>
        <w:spacing w:after="0" w:before="0" w:line="240" w:lineRule="auto"/>
        <w:ind w:left="57"/>
        <w:jc w:val="left"/>
        <w:shd w:val="clear" w:fill="F2F2F2"/>
      </w:pPr>
      <w:r>
        <w:rPr>
          <w:rFonts w:ascii="Consolas" w:hAnsi="Consolas" w:cs="Consolas"/>
          <w:b w:val="0"/>
          <w:i w:val="0"/>
          <w:sz w:val="15"/>
        </w:rPr>
        <w:t xml:space="preserve"> ├→ Logistics Obligation   → Leg B</w:t>
      </w:r>
    </w:p>
    <w:p>
      <w:pPr>
        <w:spacing w:after="0" w:before="0" w:line="240" w:lineRule="auto"/>
        <w:ind w:left="57"/>
        <w:jc w:val="left"/>
        <w:shd w:val="clear" w:fill="F2F2F2"/>
      </w:pPr>
      <w:r>
        <w:rPr>
          <w:rFonts w:ascii="Consolas" w:hAnsi="Consolas" w:cs="Consolas"/>
          <w:b w:val="0"/>
          <w:i w:val="0"/>
          <w:sz w:val="15"/>
        </w:rPr>
        <w:t xml:space="preserve"> ├→ Customs Obligation     → Leg C</w:t>
      </w:r>
    </w:p>
    <w:p>
      <w:pPr>
        <w:spacing w:after="0" w:before="0" w:line="240" w:lineRule="auto"/>
        <w:ind w:left="57"/>
        <w:jc w:val="left"/>
        <w:shd w:val="clear" w:fill="F2F2F2"/>
      </w:pPr>
      <w:r>
        <w:rPr>
          <w:rFonts w:ascii="Consolas" w:hAnsi="Consolas" w:cs="Consolas"/>
          <w:b w:val="0"/>
          <w:i w:val="0"/>
          <w:sz w:val="15"/>
        </w:rPr>
        <w:t xml:space="preserve"> ├→ Laboratory Obligation  → Leg D</w:t>
      </w:r>
    </w:p>
    <w:p>
      <w:pPr>
        <w:spacing w:after="0" w:before="0" w:line="240" w:lineRule="auto"/>
        <w:ind w:left="57"/>
        <w:jc w:val="left"/>
        <w:shd w:val="clear" w:fill="F2F2F2"/>
      </w:pPr>
      <w:r>
        <w:rPr>
          <w:rFonts w:ascii="Consolas" w:hAnsi="Consolas" w:cs="Consolas"/>
          <w:b w:val="0"/>
          <w:i w:val="0"/>
          <w:sz w:val="15"/>
        </w:rPr>
        <w:t xml:space="preserve"> ├→ Broker Obligation      → Leg E</w:t>
      </w:r>
    </w:p>
    <w:p>
      <w:pPr>
        <w:spacing w:after="0" w:before="0" w:line="240" w:lineRule="auto"/>
        <w:ind w:left="57"/>
        <w:jc w:val="left"/>
        <w:shd w:val="clear" w:fill="F2F2F2"/>
      </w:pPr>
      <w:r>
        <w:rPr>
          <w:rFonts w:ascii="Consolas" w:hAnsi="Consolas" w:cs="Consolas"/>
          <w:b w:val="0"/>
          <w:i w:val="0"/>
          <w:sz w:val="15"/>
        </w:rPr>
        <w:t xml:space="preserve"> └→ SGTX Fee Obligation    → Leg F</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leg can independently have: PENDING, AUTHORIZED, SUBMITTED, PROCESSING, SETTLED, PARTIALLY_SETTLED, REJECTED, RETURNED, RECALLED, REVERSED, UNKNOWN.</w:t>
      </w:r>
    </w:p>
    <w:p>
      <w:pPr>
        <w:spacing w:after="80" w:line="293" w:lineRule="auto"/>
        <w:jc w:val="left"/>
      </w:pPr>
      <w:r>
        <w:rPr>
          <w:rFonts w:ascii="Times New Roman" w:hAnsi="Times New Roman" w:cs="Times New Roman"/>
          <w:b w:val="0"/>
          <w:i w:val="0"/>
          <w:sz w:val="22"/>
        </w:rPr>
        <w:t>The parent transaction derives its aggregate settlement state from the governed leg states and settlement policy.</w:t>
      </w:r>
    </w:p>
    <w:p>
      <w:pPr>
        <w:keepNext/>
        <w:spacing w:before="240" w:after="100"/>
        <w:outlineLvl w:val="1"/>
      </w:pPr>
      <w:r>
        <w:rPr>
          <w:rFonts w:ascii="Arial" w:hAnsi="Arial" w:cs="Arial"/>
          <w:b/>
          <w:i w:val="0"/>
          <w:color w:val="2E528F"/>
          <w:sz w:val="26"/>
        </w:rPr>
        <w:t>19.141 Canonical Commercial / Bank / SGTX Division</w:t>
      </w:r>
    </w:p>
    <w:p>
      <w:pPr>
        <w:spacing w:after="80" w:line="293" w:lineRule="auto"/>
        <w:jc w:val="left"/>
      </w:pPr>
      <w:r>
        <w:rPr>
          <w:rFonts w:ascii="Times New Roman" w:hAnsi="Times New Roman" w:cs="Times New Roman"/>
          <w:b w:val="0"/>
          <w:i w:val="0"/>
          <w:sz w:val="22"/>
        </w:rPr>
        <w:t>Commercial Parties determine:</w:t>
      </w:r>
    </w:p>
    <w:p>
      <w:pPr>
        <w:spacing w:after="80" w:line="293" w:lineRule="auto"/>
        <w:ind w:left="283"/>
        <w:jc w:val="left"/>
      </w:pPr>
      <w:r>
        <w:rPr>
          <w:rFonts w:ascii="Times New Roman" w:hAnsi="Times New Roman" w:cs="Times New Roman"/>
          <w:b w:val="0"/>
          <w:i w:val="0"/>
          <w:sz w:val="22"/>
        </w:rPr>
        <w:t>- commercial agreement;</w:t>
      </w:r>
    </w:p>
    <w:p>
      <w:pPr>
        <w:spacing w:after="80" w:line="293" w:lineRule="auto"/>
        <w:ind w:left="283"/>
        <w:jc w:val="left"/>
      </w:pPr>
      <w:r>
        <w:rPr>
          <w:rFonts w:ascii="Times New Roman" w:hAnsi="Times New Roman" w:cs="Times New Roman"/>
          <w:b w:val="0"/>
          <w:i w:val="0"/>
          <w:sz w:val="22"/>
        </w:rPr>
        <w:t>- commercial obligations;</w:t>
      </w:r>
    </w:p>
    <w:p>
      <w:pPr>
        <w:spacing w:after="80" w:line="293" w:lineRule="auto"/>
        <w:ind w:left="283"/>
        <w:jc w:val="left"/>
      </w:pPr>
      <w:r>
        <w:rPr>
          <w:rFonts w:ascii="Times New Roman" w:hAnsi="Times New Roman" w:cs="Times New Roman"/>
          <w:b w:val="0"/>
          <w:i w:val="0"/>
          <w:sz w:val="22"/>
        </w:rPr>
        <w:t>- contractual data;</w:t>
      </w:r>
    </w:p>
    <w:p>
      <w:pPr>
        <w:spacing w:after="80" w:line="293" w:lineRule="auto"/>
        <w:ind w:left="283"/>
        <w:jc w:val="left"/>
      </w:pPr>
      <w:r>
        <w:rPr>
          <w:rFonts w:ascii="Times New Roman" w:hAnsi="Times New Roman" w:cs="Times New Roman"/>
          <w:b w:val="0"/>
          <w:i w:val="0"/>
          <w:sz w:val="22"/>
        </w:rPr>
        <w:t>- beneficiary instructions;</w:t>
      </w:r>
    </w:p>
    <w:p>
      <w:pPr>
        <w:spacing w:after="80" w:line="293" w:lineRule="auto"/>
        <w:ind w:left="283"/>
        <w:jc w:val="left"/>
      </w:pPr>
      <w:r>
        <w:rPr>
          <w:rFonts w:ascii="Times New Roman" w:hAnsi="Times New Roman" w:cs="Times New Roman"/>
          <w:b w:val="0"/>
          <w:i w:val="0"/>
          <w:sz w:val="22"/>
        </w:rPr>
        <w:t>- accepted conditions.</w:t>
      </w:r>
    </w:p>
    <w:p>
      <w:pPr>
        <w:spacing w:after="80" w:line="293" w:lineRule="auto"/>
        <w:jc w:val="left"/>
      </w:pPr>
      <w:r>
        <w:rPr>
          <w:rFonts w:ascii="Times New Roman" w:hAnsi="Times New Roman" w:cs="Times New Roman"/>
          <w:b w:val="0"/>
          <w:i w:val="0"/>
          <w:sz w:val="22"/>
        </w:rPr>
        <w:t>SGTX provides:</w:t>
      </w:r>
    </w:p>
    <w:p>
      <w:pPr>
        <w:spacing w:after="80" w:line="293" w:lineRule="auto"/>
        <w:ind w:left="283"/>
        <w:jc w:val="left"/>
      </w:pPr>
      <w:r>
        <w:rPr>
          <w:rFonts w:ascii="Times New Roman" w:hAnsi="Times New Roman" w:cs="Times New Roman"/>
          <w:b w:val="0"/>
          <w:i w:val="0"/>
          <w:sz w:val="22"/>
        </w:rPr>
        <w:t>- orchestration;</w:t>
      </w:r>
    </w:p>
    <w:p>
      <w:pPr>
        <w:spacing w:after="80" w:line="293" w:lineRule="auto"/>
        <w:ind w:left="283"/>
        <w:jc w:val="left"/>
      </w:pPr>
      <w:r>
        <w:rPr>
          <w:rFonts w:ascii="Times New Roman" w:hAnsi="Times New Roman" w:cs="Times New Roman"/>
          <w:b w:val="0"/>
          <w:i w:val="0"/>
          <w:sz w:val="22"/>
        </w:rPr>
        <w:t>- execution state;</w:t>
      </w:r>
    </w:p>
    <w:p>
      <w:pPr>
        <w:spacing w:after="80" w:line="293" w:lineRule="auto"/>
        <w:ind w:left="283"/>
        <w:jc w:val="left"/>
      </w:pPr>
      <w:r>
        <w:rPr>
          <w:rFonts w:ascii="Times New Roman" w:hAnsi="Times New Roman" w:cs="Times New Roman"/>
          <w:b w:val="0"/>
          <w:i w:val="0"/>
          <w:sz w:val="22"/>
        </w:rPr>
        <w:t>- obligation graph;</w:t>
      </w:r>
    </w:p>
    <w:p>
      <w:pPr>
        <w:spacing w:after="80" w:line="293" w:lineRule="auto"/>
        <w:ind w:left="283"/>
        <w:jc w:val="left"/>
      </w:pPr>
      <w:r>
        <w:rPr>
          <w:rFonts w:ascii="Times New Roman" w:hAnsi="Times New Roman" w:cs="Times New Roman"/>
          <w:b w:val="0"/>
          <w:i w:val="0"/>
          <w:sz w:val="22"/>
        </w:rPr>
        <w:t>- correlation;</w:t>
      </w:r>
    </w:p>
    <w:p>
      <w:pPr>
        <w:spacing w:after="80" w:line="293" w:lineRule="auto"/>
        <w:ind w:left="283"/>
        <w:jc w:val="left"/>
      </w:pPr>
      <w:r>
        <w:rPr>
          <w:rFonts w:ascii="Times New Roman" w:hAnsi="Times New Roman" w:cs="Times New Roman"/>
          <w:b w:val="0"/>
          <w:i w:val="0"/>
          <w:sz w:val="22"/>
        </w:rPr>
        <w:t>- evidence;</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exceptions;</w:t>
      </w:r>
    </w:p>
    <w:p>
      <w:pPr>
        <w:spacing w:after="80" w:line="293" w:lineRule="auto"/>
        <w:ind w:left="283"/>
        <w:jc w:val="left"/>
      </w:pPr>
      <w:r>
        <w:rPr>
          <w:rFonts w:ascii="Times New Roman" w:hAnsi="Times New Roman" w:cs="Times New Roman"/>
          <w:b w:val="0"/>
          <w:i w:val="0"/>
          <w:sz w:val="22"/>
        </w:rPr>
        <w:t>- recovery workflow;</w:t>
      </w:r>
    </w:p>
    <w:p>
      <w:pPr>
        <w:spacing w:after="80" w:line="293" w:lineRule="auto"/>
        <w:ind w:left="283"/>
        <w:jc w:val="left"/>
      </w:pPr>
      <w:r>
        <w:rPr>
          <w:rFonts w:ascii="Times New Roman" w:hAnsi="Times New Roman" w:cs="Times New Roman"/>
          <w:b w:val="0"/>
          <w:i w:val="0"/>
          <w:sz w:val="22"/>
        </w:rPr>
        <w:t>- certificates.</w:t>
      </w:r>
    </w:p>
    <w:p>
      <w:pPr>
        <w:spacing w:after="80" w:line="293" w:lineRule="auto"/>
        <w:jc w:val="left"/>
      </w:pPr>
      <w:r>
        <w:rPr>
          <w:rFonts w:ascii="Times New Roman" w:hAnsi="Times New Roman" w:cs="Times New Roman"/>
          <w:b w:val="0"/>
          <w:i w:val="0"/>
          <w:sz w:val="22"/>
        </w:rPr>
        <w:t>Bank controls:</w:t>
      </w:r>
    </w:p>
    <w:p>
      <w:pPr>
        <w:spacing w:after="80" w:line="293" w:lineRule="auto"/>
        <w:ind w:left="283"/>
        <w:jc w:val="left"/>
      </w:pPr>
      <w:r>
        <w:rPr>
          <w:rFonts w:ascii="Times New Roman" w:hAnsi="Times New Roman" w:cs="Times New Roman"/>
          <w:b w:val="0"/>
          <w:i w:val="0"/>
          <w:sz w:val="22"/>
        </w:rPr>
        <w:t>- customer account;</w:t>
      </w:r>
    </w:p>
    <w:p>
      <w:pPr>
        <w:spacing w:after="80" w:line="293" w:lineRule="auto"/>
        <w:ind w:left="283"/>
        <w:jc w:val="left"/>
      </w:pPr>
      <w:r>
        <w:rPr>
          <w:rFonts w:ascii="Times New Roman" w:hAnsi="Times New Roman" w:cs="Times New Roman"/>
          <w:b w:val="0"/>
          <w:i w:val="0"/>
          <w:sz w:val="22"/>
        </w:rPr>
        <w:t>- funds;</w:t>
      </w:r>
    </w:p>
    <w:p>
      <w:pPr>
        <w:spacing w:after="80" w:line="293" w:lineRule="auto"/>
        <w:ind w:left="283"/>
        <w:jc w:val="left"/>
      </w:pPr>
      <w:r>
        <w:rPr>
          <w:rFonts w:ascii="Times New Roman" w:hAnsi="Times New Roman" w:cs="Times New Roman"/>
          <w:b w:val="0"/>
          <w:i w:val="0"/>
          <w:sz w:val="22"/>
        </w:rPr>
        <w:t>- banking authorization;</w:t>
      </w:r>
    </w:p>
    <w:p>
      <w:pPr>
        <w:spacing w:after="80" w:line="293" w:lineRule="auto"/>
        <w:ind w:left="283"/>
        <w:jc w:val="left"/>
      </w:pPr>
      <w:r>
        <w:rPr>
          <w:rFonts w:ascii="Times New Roman" w:hAnsi="Times New Roman" w:cs="Times New Roman"/>
          <w:b w:val="0"/>
          <w:i w:val="0"/>
          <w:sz w:val="22"/>
        </w:rPr>
        <w:t>- bank-side compliance;</w:t>
      </w:r>
    </w:p>
    <w:p>
      <w:pPr>
        <w:spacing w:after="80" w:line="293" w:lineRule="auto"/>
        <w:ind w:left="283"/>
        <w:jc w:val="left"/>
      </w:pPr>
      <w:r>
        <w:rPr>
          <w:rFonts w:ascii="Times New Roman" w:hAnsi="Times New Roman" w:cs="Times New Roman"/>
          <w:b w:val="0"/>
          <w:i w:val="0"/>
          <w:sz w:val="22"/>
        </w:rPr>
        <w:t>- payment execution;</w:t>
      </w:r>
    </w:p>
    <w:p>
      <w:pPr>
        <w:spacing w:after="80" w:line="293" w:lineRule="auto"/>
        <w:ind w:left="283"/>
        <w:jc w:val="left"/>
      </w:pPr>
      <w:r>
        <w:rPr>
          <w:rFonts w:ascii="Times New Roman" w:hAnsi="Times New Roman" w:cs="Times New Roman"/>
          <w:b w:val="0"/>
          <w:i w:val="0"/>
          <w:sz w:val="22"/>
        </w:rPr>
        <w:t>- bank ledger;</w:t>
      </w:r>
    </w:p>
    <w:p>
      <w:pPr>
        <w:spacing w:after="80" w:line="293" w:lineRule="auto"/>
        <w:ind w:left="283"/>
        <w:jc w:val="left"/>
      </w:pPr>
      <w:r>
        <w:rPr>
          <w:rFonts w:ascii="Times New Roman" w:hAnsi="Times New Roman" w:cs="Times New Roman"/>
          <w:b w:val="0"/>
          <w:i w:val="0"/>
          <w:sz w:val="22"/>
        </w:rPr>
        <w:t>- financial confirmation.</w:t>
      </w:r>
    </w:p>
    <w:p>
      <w:pPr>
        <w:spacing w:after="80" w:line="293" w:lineRule="auto"/>
        <w:jc w:val="left"/>
      </w:pPr>
      <w:r>
        <w:rPr>
          <w:rFonts w:ascii="Times New Roman" w:hAnsi="Times New Roman" w:cs="Times New Roman"/>
          <w:b w:val="0"/>
          <w:i w:val="0"/>
          <w:sz w:val="22"/>
        </w:rPr>
        <w:t>Government / Regulatory Authority controls:</w:t>
      </w:r>
    </w:p>
    <w:p>
      <w:pPr>
        <w:spacing w:after="80" w:line="293" w:lineRule="auto"/>
        <w:ind w:left="283"/>
        <w:jc w:val="left"/>
      </w:pPr>
      <w:r>
        <w:rPr>
          <w:rFonts w:ascii="Times New Roman" w:hAnsi="Times New Roman" w:cs="Times New Roman"/>
          <w:b w:val="0"/>
          <w:i w:val="0"/>
          <w:sz w:val="22"/>
        </w:rPr>
        <w:t>- regulatory decisions;</w:t>
      </w:r>
    </w:p>
    <w:p>
      <w:pPr>
        <w:spacing w:after="80" w:line="293" w:lineRule="auto"/>
        <w:ind w:left="283"/>
        <w:jc w:val="left"/>
      </w:pPr>
      <w:r>
        <w:rPr>
          <w:rFonts w:ascii="Times New Roman" w:hAnsi="Times New Roman" w:cs="Times New Roman"/>
          <w:b w:val="0"/>
          <w:i w:val="0"/>
          <w:sz w:val="22"/>
        </w:rPr>
        <w:t>- customs determinations;</w:t>
      </w:r>
    </w:p>
    <w:p>
      <w:pPr>
        <w:spacing w:after="80" w:line="293" w:lineRule="auto"/>
        <w:ind w:left="283"/>
        <w:jc w:val="left"/>
      </w:pPr>
      <w:r>
        <w:rPr>
          <w:rFonts w:ascii="Times New Roman" w:hAnsi="Times New Roman" w:cs="Times New Roman"/>
          <w:b w:val="0"/>
          <w:i w:val="0"/>
          <w:sz w:val="22"/>
        </w:rPr>
        <w:t>- tax determinations;</w:t>
      </w:r>
    </w:p>
    <w:p>
      <w:pPr>
        <w:spacing w:after="80" w:line="293" w:lineRule="auto"/>
        <w:ind w:left="283"/>
        <w:jc w:val="left"/>
      </w:pPr>
      <w:r>
        <w:rPr>
          <w:rFonts w:ascii="Times New Roman" w:hAnsi="Times New Roman" w:cs="Times New Roman"/>
          <w:b w:val="0"/>
          <w:i w:val="0"/>
          <w:sz w:val="22"/>
        </w:rPr>
        <w:t>- legally authoritative actions.</w:t>
      </w:r>
    </w:p>
    <w:p>
      <w:pPr>
        <w:spacing w:after="80" w:line="293" w:lineRule="auto"/>
        <w:jc w:val="left"/>
      </w:pPr>
      <w:r>
        <w:rPr>
          <w:rFonts w:ascii="Times New Roman" w:hAnsi="Times New Roman" w:cs="Times New Roman"/>
          <w:b w:val="0"/>
          <w:i w:val="0"/>
          <w:sz w:val="22"/>
        </w:rPr>
        <w:t>This separation is fundamental.</w:t>
      </w:r>
    </w:p>
    <w:p>
      <w:pPr>
        <w:keepNext/>
        <w:spacing w:before="240" w:after="100"/>
        <w:outlineLvl w:val="1"/>
      </w:pPr>
      <w:r>
        <w:rPr>
          <w:rFonts w:ascii="Arial" w:hAnsi="Arial" w:cs="Arial"/>
          <w:b/>
          <w:i w:val="0"/>
          <w:color w:val="2E528F"/>
          <w:sz w:val="26"/>
        </w:rPr>
        <w:t>19.142 External Institution Outputs</w:t>
      </w:r>
    </w:p>
    <w:p>
      <w:pPr>
        <w:spacing w:after="80" w:line="293" w:lineRule="auto"/>
        <w:jc w:val="left"/>
      </w:pPr>
      <w:r>
        <w:rPr>
          <w:rFonts w:ascii="Times New Roman" w:hAnsi="Times New Roman" w:cs="Times New Roman"/>
          <w:b w:val="0"/>
          <w:i w:val="0"/>
          <w:sz w:val="22"/>
        </w:rPr>
        <w:t>SGTX exposes institutional views:</w:t>
      </w:r>
    </w:p>
    <w:p>
      <w:pPr>
        <w:spacing w:after="80" w:line="293" w:lineRule="auto"/>
        <w:jc w:val="left"/>
      </w:pPr>
      <w:r>
        <w:rPr>
          <w:rFonts w:ascii="Times New Roman" w:hAnsi="Times New Roman" w:cs="Times New Roman"/>
          <w:b w:val="0"/>
          <w:i w:val="0"/>
          <w:sz w:val="22"/>
        </w:rPr>
        <w:t>Marketplace View</w:t>
      </w:r>
    </w:p>
    <w:p>
      <w:pPr>
        <w:spacing w:after="80" w:line="293" w:lineRule="auto"/>
        <w:ind w:left="283"/>
        <w:jc w:val="left"/>
      </w:pPr>
      <w:r>
        <w:rPr>
          <w:rFonts w:ascii="Times New Roman" w:hAnsi="Times New Roman" w:cs="Times New Roman"/>
          <w:b w:val="0"/>
          <w:i w:val="0"/>
          <w:sz w:val="22"/>
        </w:rPr>
        <w:t>- trade status;</w:t>
      </w:r>
    </w:p>
    <w:p>
      <w:pPr>
        <w:spacing w:after="80" w:line="293" w:lineRule="auto"/>
        <w:ind w:left="283"/>
        <w:jc w:val="left"/>
      </w:pPr>
      <w:r>
        <w:rPr>
          <w:rFonts w:ascii="Times New Roman" w:hAnsi="Times New Roman" w:cs="Times New Roman"/>
          <w:b w:val="0"/>
          <w:i w:val="0"/>
          <w:sz w:val="22"/>
        </w:rPr>
        <w:t>- execution status;</w:t>
      </w:r>
    </w:p>
    <w:p>
      <w:pPr>
        <w:spacing w:after="80" w:line="293" w:lineRule="auto"/>
        <w:ind w:left="283"/>
        <w:jc w:val="left"/>
      </w:pPr>
      <w:r>
        <w:rPr>
          <w:rFonts w:ascii="Times New Roman" w:hAnsi="Times New Roman" w:cs="Times New Roman"/>
          <w:b w:val="0"/>
          <w:i w:val="0"/>
          <w:sz w:val="22"/>
        </w:rPr>
        <w:t>- exception state;</w:t>
      </w:r>
    </w:p>
    <w:p>
      <w:pPr>
        <w:spacing w:after="80" w:line="293" w:lineRule="auto"/>
        <w:ind w:left="283"/>
        <w:jc w:val="left"/>
      </w:pPr>
      <w:r>
        <w:rPr>
          <w:rFonts w:ascii="Times New Roman" w:hAnsi="Times New Roman" w:cs="Times New Roman"/>
          <w:b w:val="0"/>
          <w:i w:val="0"/>
          <w:sz w:val="22"/>
        </w:rPr>
        <w:t>- settlement confirmation;</w:t>
      </w:r>
    </w:p>
    <w:p>
      <w:pPr>
        <w:spacing w:after="80" w:line="293" w:lineRule="auto"/>
        <w:ind w:left="283"/>
        <w:jc w:val="left"/>
      </w:pPr>
      <w:r>
        <w:rPr>
          <w:rFonts w:ascii="Times New Roman" w:hAnsi="Times New Roman" w:cs="Times New Roman"/>
          <w:b w:val="0"/>
          <w:i w:val="0"/>
          <w:sz w:val="22"/>
        </w:rPr>
        <w:t>- delivery state.</w:t>
      </w:r>
    </w:p>
    <w:p>
      <w:pPr>
        <w:spacing w:after="80" w:line="293" w:lineRule="auto"/>
        <w:jc w:val="left"/>
      </w:pPr>
      <w:r>
        <w:rPr>
          <w:rFonts w:ascii="Times New Roman" w:hAnsi="Times New Roman" w:cs="Times New Roman"/>
          <w:b w:val="0"/>
          <w:i w:val="0"/>
          <w:sz w:val="22"/>
        </w:rPr>
        <w:t>ERP View</w:t>
      </w:r>
    </w:p>
    <w:p>
      <w:pPr>
        <w:spacing w:after="80" w:line="293" w:lineRule="auto"/>
        <w:ind w:left="283"/>
        <w:jc w:val="left"/>
      </w:pPr>
      <w:r>
        <w:rPr>
          <w:rFonts w:ascii="Times New Roman" w:hAnsi="Times New Roman" w:cs="Times New Roman"/>
          <w:b w:val="0"/>
          <w:i w:val="0"/>
          <w:sz w:val="22"/>
        </w:rPr>
        <w:t>- transaction status;</w:t>
      </w:r>
    </w:p>
    <w:p>
      <w:pPr>
        <w:spacing w:after="80" w:line="293" w:lineRule="auto"/>
        <w:ind w:left="283"/>
        <w:jc w:val="left"/>
      </w:pPr>
      <w:r>
        <w:rPr>
          <w:rFonts w:ascii="Times New Roman" w:hAnsi="Times New Roman" w:cs="Times New Roman"/>
          <w:b w:val="0"/>
          <w:i w:val="0"/>
          <w:sz w:val="22"/>
        </w:rPr>
        <w:t>- financial state;</w:t>
      </w:r>
    </w:p>
    <w:p>
      <w:pPr>
        <w:spacing w:after="80" w:line="293" w:lineRule="auto"/>
        <w:ind w:left="283"/>
        <w:jc w:val="left"/>
      </w:pPr>
      <w:r>
        <w:rPr>
          <w:rFonts w:ascii="Times New Roman" w:hAnsi="Times New Roman" w:cs="Times New Roman"/>
          <w:b w:val="0"/>
          <w:i w:val="0"/>
          <w:sz w:val="22"/>
        </w:rPr>
        <w:t>- obligation completion;</w:t>
      </w:r>
    </w:p>
    <w:p>
      <w:pPr>
        <w:spacing w:after="80" w:line="293" w:lineRule="auto"/>
        <w:ind w:left="283"/>
        <w:jc w:val="left"/>
      </w:pPr>
      <w:r>
        <w:rPr>
          <w:rFonts w:ascii="Times New Roman" w:hAnsi="Times New Roman" w:cs="Times New Roman"/>
          <w:b w:val="0"/>
          <w:i w:val="0"/>
          <w:sz w:val="22"/>
        </w:rPr>
        <w:t>- exposure;</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evidence references.</w:t>
      </w:r>
    </w:p>
    <w:p>
      <w:pPr>
        <w:spacing w:after="80" w:line="293" w:lineRule="auto"/>
        <w:jc w:val="left"/>
      </w:pPr>
      <w:r>
        <w:rPr>
          <w:rFonts w:ascii="Times New Roman" w:hAnsi="Times New Roman" w:cs="Times New Roman"/>
          <w:b w:val="0"/>
          <w:i w:val="0"/>
          <w:sz w:val="22"/>
        </w:rPr>
        <w:t>Bank View</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settlement instructions;</w:t>
      </w:r>
    </w:p>
    <w:p>
      <w:pPr>
        <w:spacing w:after="80" w:line="293" w:lineRule="auto"/>
        <w:ind w:left="283"/>
        <w:jc w:val="left"/>
      </w:pPr>
      <w:r>
        <w:rPr>
          <w:rFonts w:ascii="Times New Roman" w:hAnsi="Times New Roman" w:cs="Times New Roman"/>
          <w:b w:val="0"/>
          <w:i w:val="0"/>
          <w:sz w:val="22"/>
        </w:rPr>
        <w:t>- legs;</w:t>
      </w:r>
    </w:p>
    <w:p>
      <w:pPr>
        <w:spacing w:after="80" w:line="293" w:lineRule="auto"/>
        <w:ind w:left="283"/>
        <w:jc w:val="left"/>
      </w:pPr>
      <w:r>
        <w:rPr>
          <w:rFonts w:ascii="Times New Roman" w:hAnsi="Times New Roman" w:cs="Times New Roman"/>
          <w:b w:val="0"/>
          <w:i w:val="0"/>
          <w:sz w:val="22"/>
        </w:rPr>
        <w:t>- authorization;</w:t>
      </w:r>
    </w:p>
    <w:p>
      <w:pPr>
        <w:spacing w:after="80" w:line="293" w:lineRule="auto"/>
        <w:ind w:left="283"/>
        <w:jc w:val="left"/>
      </w:pPr>
      <w:r>
        <w:rPr>
          <w:rFonts w:ascii="Times New Roman" w:hAnsi="Times New Roman" w:cs="Times New Roman"/>
          <w:b w:val="0"/>
          <w:i w:val="0"/>
          <w:sz w:val="22"/>
        </w:rPr>
        <w:t>- contractual basis;</w:t>
      </w:r>
    </w:p>
    <w:p>
      <w:pPr>
        <w:spacing w:after="80" w:line="293" w:lineRule="auto"/>
        <w:ind w:left="283"/>
        <w:jc w:val="left"/>
      </w:pPr>
      <w:r>
        <w:rPr>
          <w:rFonts w:ascii="Times New Roman" w:hAnsi="Times New Roman" w:cs="Times New Roman"/>
          <w:b w:val="0"/>
          <w:i w:val="0"/>
          <w:sz w:val="22"/>
        </w:rPr>
        <w:t>- beneficiary information;</w:t>
      </w:r>
    </w:p>
    <w:p>
      <w:pPr>
        <w:spacing w:after="80" w:line="293" w:lineRule="auto"/>
        <w:ind w:left="283"/>
        <w:jc w:val="left"/>
      </w:pPr>
      <w:r>
        <w:rPr>
          <w:rFonts w:ascii="Times New Roman" w:hAnsi="Times New Roman" w:cs="Times New Roman"/>
          <w:b w:val="0"/>
          <w:i w:val="0"/>
          <w:sz w:val="22"/>
        </w:rPr>
        <w:t>- reconciliation status;</w:t>
      </w:r>
    </w:p>
    <w:p>
      <w:pPr>
        <w:spacing w:after="80" w:line="293" w:lineRule="auto"/>
        <w:ind w:left="283"/>
        <w:jc w:val="left"/>
      </w:pPr>
      <w:r>
        <w:rPr>
          <w:rFonts w:ascii="Times New Roman" w:hAnsi="Times New Roman" w:cs="Times New Roman"/>
          <w:b w:val="0"/>
          <w:i w:val="0"/>
          <w:sz w:val="22"/>
        </w:rPr>
        <w:t>- required evidence.</w:t>
      </w:r>
    </w:p>
    <w:p>
      <w:pPr>
        <w:spacing w:after="80" w:line="293" w:lineRule="auto"/>
        <w:jc w:val="left"/>
      </w:pPr>
      <w:r>
        <w:rPr>
          <w:rFonts w:ascii="Times New Roman" w:hAnsi="Times New Roman" w:cs="Times New Roman"/>
          <w:b w:val="0"/>
          <w:i w:val="0"/>
          <w:sz w:val="22"/>
        </w:rPr>
        <w:t>Regulatory / Authority View</w:t>
      </w:r>
    </w:p>
    <w:p>
      <w:pPr>
        <w:spacing w:after="80" w:line="293" w:lineRule="auto"/>
        <w:ind w:left="283"/>
        <w:jc w:val="left"/>
      </w:pPr>
      <w:r>
        <w:rPr>
          <w:rFonts w:ascii="Times New Roman" w:hAnsi="Times New Roman" w:cs="Times New Roman"/>
          <w:b w:val="0"/>
          <w:i w:val="0"/>
          <w:sz w:val="22"/>
        </w:rPr>
        <w:t>- applicable transaction identifiers;</w:t>
      </w:r>
    </w:p>
    <w:p>
      <w:pPr>
        <w:spacing w:after="80" w:line="293" w:lineRule="auto"/>
        <w:ind w:left="283"/>
        <w:jc w:val="left"/>
      </w:pPr>
      <w:r>
        <w:rPr>
          <w:rFonts w:ascii="Times New Roman" w:hAnsi="Times New Roman" w:cs="Times New Roman"/>
          <w:b w:val="0"/>
          <w:i w:val="0"/>
          <w:sz w:val="22"/>
        </w:rPr>
        <w:t>- authorized evidence;</w:t>
      </w:r>
    </w:p>
    <w:p>
      <w:pPr>
        <w:spacing w:after="80" w:line="293" w:lineRule="auto"/>
        <w:ind w:left="283"/>
        <w:jc w:val="left"/>
      </w:pPr>
      <w:r>
        <w:rPr>
          <w:rFonts w:ascii="Times New Roman" w:hAnsi="Times New Roman" w:cs="Times New Roman"/>
          <w:b w:val="0"/>
          <w:i w:val="0"/>
          <w:sz w:val="22"/>
        </w:rPr>
        <w:t>- relevant events;</w:t>
      </w:r>
    </w:p>
    <w:p>
      <w:pPr>
        <w:spacing w:after="80" w:line="293" w:lineRule="auto"/>
        <w:ind w:left="283"/>
        <w:jc w:val="left"/>
      </w:pPr>
      <w:r>
        <w:rPr>
          <w:rFonts w:ascii="Times New Roman" w:hAnsi="Times New Roman" w:cs="Times New Roman"/>
          <w:b w:val="0"/>
          <w:i w:val="0"/>
          <w:sz w:val="22"/>
        </w:rPr>
        <w:t>- required documents;</w:t>
      </w:r>
    </w:p>
    <w:p>
      <w:pPr>
        <w:spacing w:after="80" w:line="293" w:lineRule="auto"/>
        <w:ind w:left="283"/>
        <w:jc w:val="left"/>
      </w:pPr>
      <w:r>
        <w:rPr>
          <w:rFonts w:ascii="Times New Roman" w:hAnsi="Times New Roman" w:cs="Times New Roman"/>
          <w:b w:val="0"/>
          <w:i w:val="0"/>
          <w:sz w:val="22"/>
        </w:rPr>
        <w:t>- applicable obligations;</w:t>
      </w:r>
    </w:p>
    <w:p>
      <w:pPr>
        <w:spacing w:after="80" w:line="293" w:lineRule="auto"/>
        <w:ind w:left="283"/>
        <w:jc w:val="left"/>
      </w:pPr>
      <w:r>
        <w:rPr>
          <w:rFonts w:ascii="Times New Roman" w:hAnsi="Times New Roman" w:cs="Times New Roman"/>
          <w:b w:val="0"/>
          <w:i w:val="0"/>
          <w:sz w:val="22"/>
        </w:rPr>
        <w:t>- state history where authorized.</w:t>
      </w:r>
    </w:p>
    <w:p>
      <w:pPr>
        <w:keepNext/>
        <w:spacing w:before="240" w:after="100"/>
        <w:outlineLvl w:val="1"/>
      </w:pPr>
      <w:r>
        <w:rPr>
          <w:rFonts w:ascii="Arial" w:hAnsi="Arial" w:cs="Arial"/>
          <w:b/>
          <w:i w:val="0"/>
          <w:color w:val="2E528F"/>
          <w:sz w:val="26"/>
        </w:rPr>
        <w:t>19.143 Security and Control Principles</w:t>
      </w:r>
    </w:p>
    <w:p>
      <w:pPr>
        <w:spacing w:after="80" w:line="293" w:lineRule="auto"/>
        <w:jc w:val="left"/>
      </w:pPr>
      <w:r>
        <w:rPr>
          <w:rFonts w:ascii="Times New Roman" w:hAnsi="Times New Roman" w:cs="Times New Roman"/>
          <w:b w:val="0"/>
          <w:i w:val="0"/>
          <w:sz w:val="22"/>
        </w:rPr>
        <w:t>All authoritative transaction actions support, as applicable:</w:t>
      </w:r>
    </w:p>
    <w:p>
      <w:pPr>
        <w:spacing w:after="80" w:line="293" w:lineRule="auto"/>
        <w:ind w:left="283"/>
        <w:jc w:val="left"/>
      </w:pPr>
      <w:r>
        <w:rPr>
          <w:rFonts w:ascii="Times New Roman" w:hAnsi="Times New Roman" w:cs="Times New Roman"/>
          <w:b w:val="0"/>
          <w:i w:val="0"/>
          <w:sz w:val="22"/>
        </w:rPr>
        <w:t>- authenticated actors;</w:t>
      </w:r>
    </w:p>
    <w:p>
      <w:pPr>
        <w:spacing w:after="80" w:line="293" w:lineRule="auto"/>
        <w:ind w:left="283"/>
        <w:jc w:val="left"/>
      </w:pPr>
      <w:r>
        <w:rPr>
          <w:rFonts w:ascii="Times New Roman" w:hAnsi="Times New Roman" w:cs="Times New Roman"/>
          <w:b w:val="0"/>
          <w:i w:val="0"/>
          <w:sz w:val="22"/>
        </w:rPr>
        <w:t>- authorization context;</w:t>
      </w:r>
    </w:p>
    <w:p>
      <w:pPr>
        <w:spacing w:after="80" w:line="293" w:lineRule="auto"/>
        <w:ind w:left="283"/>
        <w:jc w:val="left"/>
      </w:pPr>
      <w:r>
        <w:rPr>
          <w:rFonts w:ascii="Times New Roman" w:hAnsi="Times New Roman" w:cs="Times New Roman"/>
          <w:b w:val="0"/>
          <w:i w:val="0"/>
          <w:sz w:val="22"/>
        </w:rPr>
        <w:t>- least privilege;</w:t>
      </w:r>
    </w:p>
    <w:p>
      <w:pPr>
        <w:spacing w:after="80" w:line="293" w:lineRule="auto"/>
        <w:ind w:left="283"/>
        <w:jc w:val="left"/>
      </w:pPr>
      <w:r>
        <w:rPr>
          <w:rFonts w:ascii="Times New Roman" w:hAnsi="Times New Roman" w:cs="Times New Roman"/>
          <w:b w:val="0"/>
          <w:i w:val="0"/>
          <w:sz w:val="22"/>
        </w:rPr>
        <w:t>- versioned policies;</w:t>
      </w:r>
    </w:p>
    <w:p>
      <w:pPr>
        <w:spacing w:after="80" w:line="293" w:lineRule="auto"/>
        <w:ind w:left="283"/>
        <w:jc w:val="left"/>
      </w:pPr>
      <w:r>
        <w:rPr>
          <w:rFonts w:ascii="Times New Roman" w:hAnsi="Times New Roman" w:cs="Times New Roman"/>
          <w:b w:val="0"/>
          <w:i w:val="0"/>
          <w:sz w:val="22"/>
        </w:rPr>
        <w:t>- cryptographic integrity;</w:t>
      </w:r>
    </w:p>
    <w:p>
      <w:pPr>
        <w:spacing w:after="80" w:line="293" w:lineRule="auto"/>
        <w:ind w:left="283"/>
        <w:jc w:val="left"/>
      </w:pPr>
      <w:r>
        <w:rPr>
          <w:rFonts w:ascii="Times New Roman" w:hAnsi="Times New Roman" w:cs="Times New Roman"/>
          <w:b w:val="0"/>
          <w:i w:val="0"/>
          <w:sz w:val="22"/>
        </w:rPr>
        <w:t>- immutable event history;</w:t>
      </w:r>
    </w:p>
    <w:p>
      <w:pPr>
        <w:spacing w:after="80" w:line="293" w:lineRule="auto"/>
        <w:ind w:left="283"/>
        <w:jc w:val="left"/>
      </w:pPr>
      <w:r>
        <w:rPr>
          <w:rFonts w:ascii="Times New Roman" w:hAnsi="Times New Roman" w:cs="Times New Roman"/>
          <w:b w:val="0"/>
          <w:i w:val="0"/>
          <w:sz w:val="22"/>
        </w:rPr>
        <w:t>- idempotency;</w:t>
      </w:r>
    </w:p>
    <w:p>
      <w:pPr>
        <w:spacing w:after="80" w:line="293" w:lineRule="auto"/>
        <w:ind w:left="283"/>
        <w:jc w:val="left"/>
      </w:pPr>
      <w:r>
        <w:rPr>
          <w:rFonts w:ascii="Times New Roman" w:hAnsi="Times New Roman" w:cs="Times New Roman"/>
          <w:b w:val="0"/>
          <w:i w:val="0"/>
          <w:sz w:val="22"/>
        </w:rPr>
        <w:t>- replay protection;</w:t>
      </w:r>
    </w:p>
    <w:p>
      <w:pPr>
        <w:spacing w:after="80" w:line="293" w:lineRule="auto"/>
        <w:ind w:left="283"/>
        <w:jc w:val="left"/>
      </w:pPr>
      <w:r>
        <w:rPr>
          <w:rFonts w:ascii="Times New Roman" w:hAnsi="Times New Roman" w:cs="Times New Roman"/>
          <w:b w:val="0"/>
          <w:i w:val="0"/>
          <w:sz w:val="22"/>
        </w:rPr>
        <w:t>- auditability;</w:t>
      </w:r>
    </w:p>
    <w:p>
      <w:pPr>
        <w:spacing w:after="80" w:line="293" w:lineRule="auto"/>
        <w:ind w:left="283"/>
        <w:jc w:val="left"/>
      </w:pPr>
      <w:r>
        <w:rPr>
          <w:rFonts w:ascii="Times New Roman" w:hAnsi="Times New Roman" w:cs="Times New Roman"/>
          <w:b w:val="0"/>
          <w:i w:val="0"/>
          <w:sz w:val="22"/>
        </w:rPr>
        <w:t>- evidence provenance;</w:t>
      </w:r>
    </w:p>
    <w:p>
      <w:pPr>
        <w:spacing w:after="80" w:line="293" w:lineRule="auto"/>
        <w:ind w:left="283"/>
        <w:jc w:val="left"/>
      </w:pPr>
      <w:r>
        <w:rPr>
          <w:rFonts w:ascii="Times New Roman" w:hAnsi="Times New Roman" w:cs="Times New Roman"/>
          <w:b w:val="0"/>
          <w:i w:val="0"/>
          <w:sz w:val="22"/>
        </w:rPr>
        <w:t>- role separation;</w:t>
      </w:r>
    </w:p>
    <w:p>
      <w:pPr>
        <w:spacing w:after="80" w:line="293" w:lineRule="auto"/>
        <w:ind w:left="283"/>
        <w:jc w:val="left"/>
      </w:pPr>
      <w:r>
        <w:rPr>
          <w:rFonts w:ascii="Times New Roman" w:hAnsi="Times New Roman" w:cs="Times New Roman"/>
          <w:b w:val="0"/>
          <w:i w:val="0"/>
          <w:sz w:val="22"/>
        </w:rPr>
        <w:t>- maker/checker where required;</w:t>
      </w:r>
    </w:p>
    <w:p>
      <w:pPr>
        <w:spacing w:after="80" w:line="293" w:lineRule="auto"/>
        <w:ind w:left="283"/>
        <w:jc w:val="left"/>
      </w:pPr>
      <w:r>
        <w:rPr>
          <w:rFonts w:ascii="Times New Roman" w:hAnsi="Times New Roman" w:cs="Times New Roman"/>
          <w:b w:val="0"/>
          <w:i w:val="0"/>
          <w:sz w:val="22"/>
        </w:rPr>
        <w:t>- institutional access control.</w:t>
      </w:r>
    </w:p>
    <w:p>
      <w:pPr>
        <w:keepNext/>
        <w:spacing w:before="240" w:after="100"/>
        <w:outlineLvl w:val="1"/>
      </w:pPr>
      <w:r>
        <w:rPr>
          <w:rFonts w:ascii="Arial" w:hAnsi="Arial" w:cs="Arial"/>
          <w:b/>
          <w:i w:val="0"/>
          <w:color w:val="2E528F"/>
          <w:sz w:val="26"/>
        </w:rPr>
        <w:t>19.144 Business Continuity Principle</w:t>
      </w:r>
    </w:p>
    <w:p>
      <w:pPr>
        <w:spacing w:after="80" w:line="293" w:lineRule="auto"/>
        <w:jc w:val="left"/>
      </w:pPr>
      <w:r>
        <w:rPr>
          <w:rFonts w:ascii="Times New Roman" w:hAnsi="Times New Roman" w:cs="Times New Roman"/>
          <w:b w:val="0"/>
          <w:i w:val="0"/>
          <w:sz w:val="22"/>
        </w:rPr>
        <w:t>SGTX is capable of operating safely during:</w:t>
      </w:r>
    </w:p>
    <w:p>
      <w:pPr>
        <w:spacing w:after="80" w:line="293" w:lineRule="auto"/>
        <w:ind w:left="283"/>
        <w:jc w:val="left"/>
      </w:pPr>
      <w:r>
        <w:rPr>
          <w:rFonts w:ascii="Times New Roman" w:hAnsi="Times New Roman" w:cs="Times New Roman"/>
          <w:b w:val="0"/>
          <w:i w:val="0"/>
          <w:sz w:val="22"/>
        </w:rPr>
        <w:t>- bank connectivity failure;</w:t>
      </w:r>
    </w:p>
    <w:p>
      <w:pPr>
        <w:spacing w:after="80" w:line="293" w:lineRule="auto"/>
        <w:ind w:left="283"/>
        <w:jc w:val="left"/>
      </w:pPr>
      <w:r>
        <w:rPr>
          <w:rFonts w:ascii="Times New Roman" w:hAnsi="Times New Roman" w:cs="Times New Roman"/>
          <w:b w:val="0"/>
          <w:i w:val="0"/>
          <w:sz w:val="22"/>
        </w:rPr>
        <w:t>- customs connectivity failure;</w:t>
      </w:r>
    </w:p>
    <w:p>
      <w:pPr>
        <w:spacing w:after="80" w:line="293" w:lineRule="auto"/>
        <w:ind w:left="283"/>
        <w:jc w:val="left"/>
      </w:pPr>
      <w:r>
        <w:rPr>
          <w:rFonts w:ascii="Times New Roman" w:hAnsi="Times New Roman" w:cs="Times New Roman"/>
          <w:b w:val="0"/>
          <w:i w:val="0"/>
          <w:sz w:val="22"/>
        </w:rPr>
        <w:t>- ERP downtime;</w:t>
      </w:r>
    </w:p>
    <w:p>
      <w:pPr>
        <w:spacing w:after="80" w:line="293" w:lineRule="auto"/>
        <w:ind w:left="283"/>
        <w:jc w:val="left"/>
      </w:pPr>
      <w:r>
        <w:rPr>
          <w:rFonts w:ascii="Times New Roman" w:hAnsi="Times New Roman" w:cs="Times New Roman"/>
          <w:b w:val="0"/>
          <w:i w:val="0"/>
          <w:sz w:val="22"/>
        </w:rPr>
        <w:t>- marketplace downtime;</w:t>
      </w:r>
    </w:p>
    <w:p>
      <w:pPr>
        <w:spacing w:after="80" w:line="293" w:lineRule="auto"/>
        <w:ind w:left="283"/>
        <w:jc w:val="left"/>
      </w:pPr>
      <w:r>
        <w:rPr>
          <w:rFonts w:ascii="Times New Roman" w:hAnsi="Times New Roman" w:cs="Times New Roman"/>
          <w:b w:val="0"/>
          <w:i w:val="0"/>
          <w:sz w:val="22"/>
        </w:rPr>
        <w:t>- delayed external events;</w:t>
      </w:r>
    </w:p>
    <w:p>
      <w:pPr>
        <w:spacing w:after="80" w:line="293" w:lineRule="auto"/>
        <w:ind w:left="283"/>
        <w:jc w:val="left"/>
      </w:pPr>
      <w:r>
        <w:rPr>
          <w:rFonts w:ascii="Times New Roman" w:hAnsi="Times New Roman" w:cs="Times New Roman"/>
          <w:b w:val="0"/>
          <w:i w:val="0"/>
          <w:sz w:val="22"/>
        </w:rPr>
        <w:t>- incomplete webhook delivery;</w:t>
      </w:r>
    </w:p>
    <w:p>
      <w:pPr>
        <w:spacing w:after="80" w:line="293" w:lineRule="auto"/>
        <w:ind w:left="283"/>
        <w:jc w:val="left"/>
      </w:pPr>
      <w:r>
        <w:rPr>
          <w:rFonts w:ascii="Times New Roman" w:hAnsi="Times New Roman" w:cs="Times New Roman"/>
          <w:b w:val="0"/>
          <w:i w:val="0"/>
          <w:sz w:val="22"/>
        </w:rPr>
        <w:t>- network interruption.</w:t>
      </w:r>
    </w:p>
    <w:p>
      <w:pPr>
        <w:spacing w:after="80" w:line="293" w:lineRule="auto"/>
        <w:jc w:val="left"/>
      </w:pPr>
      <w:r>
        <w:rPr>
          <w:rFonts w:ascii="Times New Roman" w:hAnsi="Times New Roman" w:cs="Times New Roman"/>
          <w:b w:val="0"/>
          <w:i w:val="0"/>
          <w:sz w:val="22"/>
        </w:rPr>
        <w:t>Failure of connectivity must not create artificial success. Where state cannot be verified, UNKNOWN or RECONCILIATION_REQUIRED is preferred over false confirmation.</w:t>
      </w:r>
    </w:p>
    <w:p>
      <w:pPr>
        <w:keepNext/>
        <w:spacing w:before="240" w:after="100"/>
        <w:outlineLvl w:val="1"/>
      </w:pPr>
      <w:r>
        <w:rPr>
          <w:rFonts w:ascii="Arial" w:hAnsi="Arial" w:cs="Arial"/>
          <w:b/>
          <w:i w:val="0"/>
          <w:color w:val="2E528F"/>
          <w:sz w:val="26"/>
        </w:rPr>
        <w:t>19.145 Offline / Delayed External Evidence</w:t>
      </w:r>
    </w:p>
    <w:p>
      <w:pPr>
        <w:spacing w:after="80" w:line="293" w:lineRule="auto"/>
        <w:jc w:val="left"/>
      </w:pPr>
      <w:r>
        <w:rPr>
          <w:rFonts w:ascii="Times New Roman" w:hAnsi="Times New Roman" w:cs="Times New Roman"/>
          <w:b w:val="0"/>
          <w:i w:val="0"/>
          <w:sz w:val="22"/>
        </w:rPr>
        <w:t>Where courthouse, bank, customs or other external connectivity fails, SGTX may continue activities that policy explicitly permits without external confirmation. However: lack of connectivity is never converted into fabricated authoritative evidence. Pending operations remain PENDING, UNKNOWN or PROVISIONAL until required evidence arrives.</w:t>
      </w:r>
    </w:p>
    <w:p>
      <w:pPr>
        <w:keepNext/>
        <w:spacing w:before="240" w:after="100"/>
        <w:outlineLvl w:val="1"/>
      </w:pPr>
      <w:r>
        <w:rPr>
          <w:rFonts w:ascii="Arial" w:hAnsi="Arial" w:cs="Arial"/>
          <w:b/>
          <w:i w:val="0"/>
          <w:color w:val="2E528F"/>
          <w:sz w:val="26"/>
        </w:rPr>
        <w:t>19.146 Observability Requirements</w:t>
      </w:r>
    </w:p>
    <w:p>
      <w:pPr>
        <w:spacing w:after="80" w:line="293" w:lineRule="auto"/>
        <w:jc w:val="left"/>
      </w:pPr>
      <w:r>
        <w:rPr>
          <w:rFonts w:ascii="Times New Roman" w:hAnsi="Times New Roman" w:cs="Times New Roman"/>
          <w:b w:val="0"/>
          <w:i w:val="0"/>
          <w:sz w:val="22"/>
        </w:rPr>
        <w:t>Operational observability distinguishes:</w:t>
      </w:r>
    </w:p>
    <w:p>
      <w:pPr>
        <w:spacing w:after="80" w:line="293" w:lineRule="auto"/>
        <w:ind w:left="283"/>
        <w:jc w:val="left"/>
      </w:pPr>
      <w:r>
        <w:rPr>
          <w:rFonts w:ascii="Times New Roman" w:hAnsi="Times New Roman" w:cs="Times New Roman"/>
          <w:b w:val="0"/>
          <w:i w:val="0"/>
          <w:sz w:val="22"/>
        </w:rPr>
        <w:t>- event ingestion;</w:t>
      </w:r>
    </w:p>
    <w:p>
      <w:pPr>
        <w:spacing w:after="80" w:line="293" w:lineRule="auto"/>
        <w:ind w:left="283"/>
        <w:jc w:val="left"/>
      </w:pPr>
      <w:r>
        <w:rPr>
          <w:rFonts w:ascii="Times New Roman" w:hAnsi="Times New Roman" w:cs="Times New Roman"/>
          <w:b w:val="0"/>
          <w:i w:val="0"/>
          <w:sz w:val="22"/>
        </w:rPr>
        <w:t>- event processing;</w:t>
      </w:r>
    </w:p>
    <w:p>
      <w:pPr>
        <w:spacing w:after="80" w:line="293" w:lineRule="auto"/>
        <w:ind w:left="283"/>
        <w:jc w:val="left"/>
      </w:pPr>
      <w:r>
        <w:rPr>
          <w:rFonts w:ascii="Times New Roman" w:hAnsi="Times New Roman" w:cs="Times New Roman"/>
          <w:b w:val="0"/>
          <w:i w:val="0"/>
          <w:sz w:val="22"/>
        </w:rPr>
        <w:t>- state projection;</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bank connectivity;</w:t>
      </w:r>
    </w:p>
    <w:p>
      <w:pPr>
        <w:spacing w:after="80" w:line="293" w:lineRule="auto"/>
        <w:ind w:left="283"/>
        <w:jc w:val="left"/>
      </w:pPr>
      <w:r>
        <w:rPr>
          <w:rFonts w:ascii="Times New Roman" w:hAnsi="Times New Roman" w:cs="Times New Roman"/>
          <w:b w:val="0"/>
          <w:i w:val="0"/>
          <w:sz w:val="22"/>
        </w:rPr>
        <w:t>- document verification;</w:t>
      </w:r>
    </w:p>
    <w:p>
      <w:pPr>
        <w:spacing w:after="80" w:line="293" w:lineRule="auto"/>
        <w:ind w:left="283"/>
        <w:jc w:val="left"/>
      </w:pPr>
      <w:r>
        <w:rPr>
          <w:rFonts w:ascii="Times New Roman" w:hAnsi="Times New Roman" w:cs="Times New Roman"/>
          <w:b w:val="0"/>
          <w:i w:val="0"/>
          <w:sz w:val="22"/>
        </w:rPr>
        <w:t>- external identifier correlation;</w:t>
      </w:r>
    </w:p>
    <w:p>
      <w:pPr>
        <w:spacing w:after="80" w:line="293" w:lineRule="auto"/>
        <w:ind w:left="283"/>
        <w:jc w:val="left"/>
      </w:pPr>
      <w:r>
        <w:rPr>
          <w:rFonts w:ascii="Times New Roman" w:hAnsi="Times New Roman" w:cs="Times New Roman"/>
          <w:b w:val="0"/>
          <w:i w:val="0"/>
          <w:sz w:val="22"/>
        </w:rPr>
        <w:t>- exception queues;</w:t>
      </w:r>
    </w:p>
    <w:p>
      <w:pPr>
        <w:spacing w:after="80" w:line="293" w:lineRule="auto"/>
        <w:ind w:left="283"/>
        <w:jc w:val="left"/>
      </w:pPr>
      <w:r>
        <w:rPr>
          <w:rFonts w:ascii="Times New Roman" w:hAnsi="Times New Roman" w:cs="Times New Roman"/>
          <w:b w:val="0"/>
          <w:i w:val="0"/>
          <w:sz w:val="22"/>
        </w:rPr>
        <w:t>- recovery workflows.</w:t>
      </w:r>
    </w:p>
    <w:p>
      <w:pPr>
        <w:spacing w:after="80" w:line="293" w:lineRule="auto"/>
        <w:jc w:val="left"/>
      </w:pPr>
      <w:r>
        <w:rPr>
          <w:rFonts w:ascii="Times New Roman" w:hAnsi="Times New Roman" w:cs="Times New Roman"/>
          <w:b w:val="0"/>
          <w:i w:val="0"/>
          <w:sz w:val="22"/>
        </w:rPr>
        <w:t>Critical observability metrics include:</w:t>
      </w:r>
    </w:p>
    <w:p>
      <w:pPr>
        <w:spacing w:after="80" w:line="293" w:lineRule="auto"/>
        <w:ind w:left="283"/>
        <w:jc w:val="left"/>
      </w:pPr>
      <w:r>
        <w:rPr>
          <w:rFonts w:ascii="Times New Roman" w:hAnsi="Times New Roman" w:cs="Times New Roman"/>
          <w:b w:val="0"/>
          <w:i w:val="0"/>
          <w:sz w:val="22"/>
        </w:rPr>
        <w:t>- reconciliation backlog;</w:t>
      </w:r>
    </w:p>
    <w:p>
      <w:pPr>
        <w:spacing w:after="80" w:line="293" w:lineRule="auto"/>
        <w:ind w:left="283"/>
        <w:jc w:val="left"/>
      </w:pPr>
      <w:r>
        <w:rPr>
          <w:rFonts w:ascii="Times New Roman" w:hAnsi="Times New Roman" w:cs="Times New Roman"/>
          <w:b w:val="0"/>
          <w:i w:val="0"/>
          <w:sz w:val="22"/>
        </w:rPr>
        <w:t>- unresolved divergence;</w:t>
      </w:r>
    </w:p>
    <w:p>
      <w:pPr>
        <w:spacing w:after="80" w:line="293" w:lineRule="auto"/>
        <w:ind w:left="283"/>
        <w:jc w:val="left"/>
      </w:pPr>
      <w:r>
        <w:rPr>
          <w:rFonts w:ascii="Times New Roman" w:hAnsi="Times New Roman" w:cs="Times New Roman"/>
          <w:b w:val="0"/>
          <w:i w:val="0"/>
          <w:sz w:val="22"/>
        </w:rPr>
        <w:t>- stale financial states;</w:t>
      </w:r>
    </w:p>
    <w:p>
      <w:pPr>
        <w:spacing w:after="80" w:line="293" w:lineRule="auto"/>
        <w:ind w:left="283"/>
        <w:jc w:val="left"/>
      </w:pPr>
      <w:r>
        <w:rPr>
          <w:rFonts w:ascii="Times New Roman" w:hAnsi="Times New Roman" w:cs="Times New Roman"/>
          <w:b w:val="0"/>
          <w:i w:val="0"/>
          <w:sz w:val="22"/>
        </w:rPr>
        <w:t>- unknown-state age;</w:t>
      </w:r>
    </w:p>
    <w:p>
      <w:pPr>
        <w:spacing w:after="80" w:line="293" w:lineRule="auto"/>
        <w:ind w:left="283"/>
        <w:jc w:val="left"/>
      </w:pPr>
      <w:r>
        <w:rPr>
          <w:rFonts w:ascii="Times New Roman" w:hAnsi="Times New Roman" w:cs="Times New Roman"/>
          <w:b w:val="0"/>
          <w:i w:val="0"/>
          <w:sz w:val="22"/>
        </w:rPr>
        <w:t>- exception age;</w:t>
      </w:r>
    </w:p>
    <w:p>
      <w:pPr>
        <w:spacing w:after="80" w:line="293" w:lineRule="auto"/>
        <w:ind w:left="283"/>
        <w:jc w:val="left"/>
      </w:pPr>
      <w:r>
        <w:rPr>
          <w:rFonts w:ascii="Times New Roman" w:hAnsi="Times New Roman" w:cs="Times New Roman"/>
          <w:b w:val="0"/>
          <w:i w:val="0"/>
          <w:sz w:val="22"/>
        </w:rPr>
        <w:t>- settlement-leg failure rate;</w:t>
      </w:r>
    </w:p>
    <w:p>
      <w:pPr>
        <w:spacing w:after="80" w:line="293" w:lineRule="auto"/>
        <w:ind w:left="283"/>
        <w:jc w:val="left"/>
      </w:pPr>
      <w:r>
        <w:rPr>
          <w:rFonts w:ascii="Times New Roman" w:hAnsi="Times New Roman" w:cs="Times New Roman"/>
          <w:b w:val="0"/>
          <w:i w:val="0"/>
          <w:sz w:val="22"/>
        </w:rPr>
        <w:t>- duplicate event rate;</w:t>
      </w:r>
    </w:p>
    <w:p>
      <w:pPr>
        <w:spacing w:after="80" w:line="293" w:lineRule="auto"/>
        <w:ind w:left="283"/>
        <w:jc w:val="left"/>
      </w:pPr>
      <w:r>
        <w:rPr>
          <w:rFonts w:ascii="Times New Roman" w:hAnsi="Times New Roman" w:cs="Times New Roman"/>
          <w:b w:val="0"/>
          <w:i w:val="0"/>
          <w:sz w:val="22"/>
        </w:rPr>
        <w:t>- late-event rate;</w:t>
      </w:r>
    </w:p>
    <w:p>
      <w:pPr>
        <w:spacing w:after="80" w:line="293" w:lineRule="auto"/>
        <w:ind w:left="283"/>
        <w:jc w:val="left"/>
      </w:pPr>
      <w:r>
        <w:rPr>
          <w:rFonts w:ascii="Times New Roman" w:hAnsi="Times New Roman" w:cs="Times New Roman"/>
          <w:b w:val="0"/>
          <w:i w:val="0"/>
          <w:sz w:val="22"/>
        </w:rPr>
        <w:t>- post-closure event rate.</w:t>
      </w:r>
    </w:p>
    <w:p>
      <w:pPr>
        <w:keepNext/>
        <w:spacing w:before="240" w:after="100"/>
        <w:outlineLvl w:val="1"/>
      </w:pPr>
      <w:r>
        <w:rPr>
          <w:rFonts w:ascii="Arial" w:hAnsi="Arial" w:cs="Arial"/>
          <w:b/>
          <w:i w:val="0"/>
          <w:color w:val="2E528F"/>
          <w:sz w:val="26"/>
        </w:rPr>
        <w:t>19.147 Testing Principle</w:t>
      </w:r>
    </w:p>
    <w:p>
      <w:pPr>
        <w:spacing w:after="80" w:line="293" w:lineRule="auto"/>
        <w:jc w:val="left"/>
      </w:pPr>
      <w:r>
        <w:rPr>
          <w:rFonts w:ascii="Times New Roman" w:hAnsi="Times New Roman" w:cs="Times New Roman"/>
          <w:b w:val="0"/>
          <w:i w:val="0"/>
          <w:sz w:val="22"/>
        </w:rPr>
        <w:t>The SGTX test strategy is failure-path-first, not happy-path-first. Tests explicitly include:</w:t>
      </w:r>
    </w:p>
    <w:p>
      <w:pPr>
        <w:spacing w:after="80" w:line="293" w:lineRule="auto"/>
        <w:ind w:left="283"/>
        <w:jc w:val="left"/>
      </w:pPr>
      <w:r>
        <w:rPr>
          <w:rFonts w:ascii="Times New Roman" w:hAnsi="Times New Roman" w:cs="Times New Roman"/>
          <w:b w:val="0"/>
          <w:i w:val="0"/>
          <w:sz w:val="22"/>
        </w:rPr>
        <w:t>- partial settlement;</w:t>
      </w:r>
    </w:p>
    <w:p>
      <w:pPr>
        <w:spacing w:after="80" w:line="293" w:lineRule="auto"/>
        <w:ind w:left="283"/>
        <w:jc w:val="left"/>
      </w:pPr>
      <w:r>
        <w:rPr>
          <w:rFonts w:ascii="Times New Roman" w:hAnsi="Times New Roman" w:cs="Times New Roman"/>
          <w:b w:val="0"/>
          <w:i w:val="0"/>
          <w:sz w:val="22"/>
        </w:rPr>
        <w:t>- duplicate payment event;</w:t>
      </w:r>
    </w:p>
    <w:p>
      <w:pPr>
        <w:spacing w:after="80" w:line="293" w:lineRule="auto"/>
        <w:ind w:left="283"/>
        <w:jc w:val="left"/>
      </w:pPr>
      <w:r>
        <w:rPr>
          <w:rFonts w:ascii="Times New Roman" w:hAnsi="Times New Roman" w:cs="Times New Roman"/>
          <w:b w:val="0"/>
          <w:i w:val="0"/>
          <w:sz w:val="22"/>
        </w:rPr>
        <w:t>- out-of-order payment event;</w:t>
      </w:r>
    </w:p>
    <w:p>
      <w:pPr>
        <w:spacing w:after="80" w:line="293" w:lineRule="auto"/>
        <w:ind w:left="283"/>
        <w:jc w:val="left"/>
      </w:pPr>
      <w:r>
        <w:rPr>
          <w:rFonts w:ascii="Times New Roman" w:hAnsi="Times New Roman" w:cs="Times New Roman"/>
          <w:b w:val="0"/>
          <w:i w:val="0"/>
          <w:sz w:val="22"/>
        </w:rPr>
        <w:t>- delayed bank confirmation;</w:t>
      </w:r>
    </w:p>
    <w:p>
      <w:pPr>
        <w:spacing w:after="80" w:line="293" w:lineRule="auto"/>
        <w:ind w:left="283"/>
        <w:jc w:val="left"/>
      </w:pPr>
      <w:r>
        <w:rPr>
          <w:rFonts w:ascii="Times New Roman" w:hAnsi="Times New Roman" w:cs="Times New Roman"/>
          <w:b w:val="0"/>
          <w:i w:val="0"/>
          <w:sz w:val="22"/>
        </w:rPr>
        <w:t>- payment reversal;</w:t>
      </w:r>
    </w:p>
    <w:p>
      <w:pPr>
        <w:spacing w:after="80" w:line="293" w:lineRule="auto"/>
        <w:ind w:left="283"/>
        <w:jc w:val="left"/>
      </w:pPr>
      <w:r>
        <w:rPr>
          <w:rFonts w:ascii="Times New Roman" w:hAnsi="Times New Roman" w:cs="Times New Roman"/>
          <w:b w:val="0"/>
          <w:i w:val="0"/>
          <w:sz w:val="22"/>
        </w:rPr>
        <w:t>- bank timeout;</w:t>
      </w:r>
    </w:p>
    <w:p>
      <w:pPr>
        <w:spacing w:after="80" w:line="293" w:lineRule="auto"/>
        <w:ind w:left="283"/>
        <w:jc w:val="left"/>
      </w:pPr>
      <w:r>
        <w:rPr>
          <w:rFonts w:ascii="Times New Roman" w:hAnsi="Times New Roman" w:cs="Times New Roman"/>
          <w:b w:val="0"/>
          <w:i w:val="0"/>
          <w:sz w:val="22"/>
        </w:rPr>
        <w:t>- document revocation;</w:t>
      </w:r>
    </w:p>
    <w:p>
      <w:pPr>
        <w:spacing w:after="80" w:line="293" w:lineRule="auto"/>
        <w:ind w:left="283"/>
        <w:jc w:val="left"/>
      </w:pPr>
      <w:r>
        <w:rPr>
          <w:rFonts w:ascii="Times New Roman" w:hAnsi="Times New Roman" w:cs="Times New Roman"/>
          <w:b w:val="0"/>
          <w:i w:val="0"/>
          <w:sz w:val="22"/>
        </w:rPr>
        <w:t>- document supersession;</w:t>
      </w:r>
    </w:p>
    <w:p>
      <w:pPr>
        <w:spacing w:after="80" w:line="293" w:lineRule="auto"/>
        <w:ind w:left="283"/>
        <w:jc w:val="left"/>
      </w:pPr>
      <w:r>
        <w:rPr>
          <w:rFonts w:ascii="Times New Roman" w:hAnsi="Times New Roman" w:cs="Times New Roman"/>
          <w:b w:val="0"/>
          <w:i w:val="0"/>
          <w:sz w:val="22"/>
        </w:rPr>
        <w:t>- milestone dispute;</w:t>
      </w:r>
    </w:p>
    <w:p>
      <w:pPr>
        <w:spacing w:after="80" w:line="293" w:lineRule="auto"/>
        <w:ind w:left="283"/>
        <w:jc w:val="left"/>
      </w:pPr>
      <w:r>
        <w:rPr>
          <w:rFonts w:ascii="Times New Roman" w:hAnsi="Times New Roman" w:cs="Times New Roman"/>
          <w:b w:val="0"/>
          <w:i w:val="0"/>
          <w:sz w:val="22"/>
        </w:rPr>
        <w:t>- customs hold;</w:t>
      </w:r>
    </w:p>
    <w:p>
      <w:pPr>
        <w:spacing w:after="80" w:line="293" w:lineRule="auto"/>
        <w:ind w:left="283"/>
        <w:jc w:val="left"/>
      </w:pPr>
      <w:r>
        <w:rPr>
          <w:rFonts w:ascii="Times New Roman" w:hAnsi="Times New Roman" w:cs="Times New Roman"/>
          <w:b w:val="0"/>
          <w:i w:val="0"/>
          <w:sz w:val="22"/>
        </w:rPr>
        <w:t>- legal event after closure;</w:t>
      </w:r>
    </w:p>
    <w:p>
      <w:pPr>
        <w:spacing w:after="80" w:line="293" w:lineRule="auto"/>
        <w:ind w:left="283"/>
        <w:jc w:val="left"/>
      </w:pPr>
      <w:r>
        <w:rPr>
          <w:rFonts w:ascii="Times New Roman" w:hAnsi="Times New Roman" w:cs="Times New Roman"/>
          <w:b w:val="0"/>
          <w:i w:val="0"/>
          <w:sz w:val="22"/>
        </w:rPr>
        <w:t>- contradictory source assertions;</w:t>
      </w:r>
    </w:p>
    <w:p>
      <w:pPr>
        <w:spacing w:after="80" w:line="293" w:lineRule="auto"/>
        <w:ind w:left="283"/>
        <w:jc w:val="left"/>
      </w:pPr>
      <w:r>
        <w:rPr>
          <w:rFonts w:ascii="Times New Roman" w:hAnsi="Times New Roman" w:cs="Times New Roman"/>
          <w:b w:val="0"/>
          <w:i w:val="0"/>
          <w:sz w:val="22"/>
        </w:rPr>
        <w:t>- invalid evidence;</w:t>
      </w:r>
    </w:p>
    <w:p>
      <w:pPr>
        <w:spacing w:after="80" w:line="293" w:lineRule="auto"/>
        <w:ind w:left="283"/>
        <w:jc w:val="left"/>
      </w:pPr>
      <w:r>
        <w:rPr>
          <w:rFonts w:ascii="Times New Roman" w:hAnsi="Times New Roman" w:cs="Times New Roman"/>
          <w:b w:val="0"/>
          <w:i w:val="0"/>
          <w:sz w:val="22"/>
        </w:rPr>
        <w:t>- authority mismatch;</w:t>
      </w:r>
    </w:p>
    <w:p>
      <w:pPr>
        <w:spacing w:after="80" w:line="293" w:lineRule="auto"/>
        <w:ind w:left="283"/>
        <w:jc w:val="left"/>
      </w:pPr>
      <w:r>
        <w:rPr>
          <w:rFonts w:ascii="Times New Roman" w:hAnsi="Times New Roman" w:cs="Times New Roman"/>
          <w:b w:val="0"/>
          <w:i w:val="0"/>
          <w:sz w:val="22"/>
        </w:rPr>
        <w:t>- policy version change;</w:t>
      </w:r>
    </w:p>
    <w:p>
      <w:pPr>
        <w:spacing w:after="80" w:line="293" w:lineRule="auto"/>
        <w:ind w:left="283"/>
        <w:jc w:val="left"/>
      </w:pPr>
      <w:r>
        <w:rPr>
          <w:rFonts w:ascii="Times New Roman" w:hAnsi="Times New Roman" w:cs="Times New Roman"/>
          <w:b w:val="0"/>
          <w:i w:val="0"/>
          <w:sz w:val="22"/>
        </w:rPr>
        <w:t>- late evidence;</w:t>
      </w:r>
    </w:p>
    <w:p>
      <w:pPr>
        <w:spacing w:after="80" w:line="293" w:lineRule="auto"/>
        <w:ind w:left="283"/>
        <w:jc w:val="left"/>
      </w:pPr>
      <w:r>
        <w:rPr>
          <w:rFonts w:ascii="Times New Roman" w:hAnsi="Times New Roman" w:cs="Times New Roman"/>
          <w:b w:val="0"/>
          <w:i w:val="0"/>
          <w:sz w:val="22"/>
        </w:rPr>
        <w:t>- compensation;</w:t>
      </w:r>
    </w:p>
    <w:p>
      <w:pPr>
        <w:spacing w:after="80" w:line="293" w:lineRule="auto"/>
        <w:ind w:left="283"/>
        <w:jc w:val="left"/>
      </w:pPr>
      <w:r>
        <w:rPr>
          <w:rFonts w:ascii="Times New Roman" w:hAnsi="Times New Roman" w:cs="Times New Roman"/>
          <w:b w:val="0"/>
          <w:i w:val="0"/>
          <w:sz w:val="22"/>
        </w:rPr>
        <w:t>- recovery;</w:t>
      </w:r>
    </w:p>
    <w:p>
      <w:pPr>
        <w:spacing w:after="80" w:line="293" w:lineRule="auto"/>
        <w:ind w:left="283"/>
        <w:jc w:val="left"/>
      </w:pPr>
      <w:r>
        <w:rPr>
          <w:rFonts w:ascii="Times New Roman" w:hAnsi="Times New Roman" w:cs="Times New Roman"/>
          <w:b w:val="0"/>
          <w:i w:val="0"/>
          <w:sz w:val="22"/>
        </w:rPr>
        <w:t>- closure with exception;</w:t>
      </w:r>
    </w:p>
    <w:p>
      <w:pPr>
        <w:spacing w:after="80" w:line="293" w:lineRule="auto"/>
        <w:ind w:left="283"/>
        <w:jc w:val="left"/>
      </w:pPr>
      <w:r>
        <w:rPr>
          <w:rFonts w:ascii="Times New Roman" w:hAnsi="Times New Roman" w:cs="Times New Roman"/>
          <w:b w:val="0"/>
          <w:i w:val="0"/>
          <w:sz w:val="22"/>
        </w:rPr>
        <w:t>- prohibited AI action;</w:t>
      </w:r>
    </w:p>
    <w:p>
      <w:pPr>
        <w:spacing w:after="80" w:line="293" w:lineRule="auto"/>
        <w:ind w:left="283"/>
        <w:jc w:val="left"/>
      </w:pPr>
      <w:r>
        <w:rPr>
          <w:rFonts w:ascii="Times New Roman" w:hAnsi="Times New Roman" w:cs="Times New Roman"/>
          <w:b w:val="0"/>
          <w:i w:val="0"/>
          <w:sz w:val="22"/>
        </w:rPr>
        <w:t>- unauthorized state transition;</w:t>
      </w:r>
    </w:p>
    <w:p>
      <w:pPr>
        <w:spacing w:after="80" w:line="293" w:lineRule="auto"/>
        <w:ind w:left="283"/>
        <w:jc w:val="left"/>
      </w:pPr>
      <w:r>
        <w:rPr>
          <w:rFonts w:ascii="Times New Roman" w:hAnsi="Times New Roman" w:cs="Times New Roman"/>
          <w:b w:val="0"/>
          <w:i w:val="0"/>
          <w:sz w:val="22"/>
        </w:rPr>
        <w:t>- corrupted projection and replay from event spine.</w:t>
      </w:r>
    </w:p>
    <w:p>
      <w:pPr>
        <w:keepNext/>
        <w:spacing w:before="240" w:after="100"/>
        <w:outlineLvl w:val="1"/>
      </w:pPr>
      <w:r>
        <w:rPr>
          <w:rFonts w:ascii="Arial" w:hAnsi="Arial" w:cs="Arial"/>
          <w:b/>
          <w:i w:val="0"/>
          <w:color w:val="2E528F"/>
          <w:sz w:val="26"/>
        </w:rPr>
        <w:t>19.148 Adversarial Testing</w:t>
      </w:r>
    </w:p>
    <w:p>
      <w:pPr>
        <w:spacing w:after="80" w:line="293" w:lineRule="auto"/>
        <w:jc w:val="left"/>
      </w:pPr>
      <w:r>
        <w:rPr>
          <w:rFonts w:ascii="Times New Roman" w:hAnsi="Times New Roman" w:cs="Times New Roman"/>
          <w:b w:val="0"/>
          <w:i w:val="0"/>
          <w:sz w:val="22"/>
        </w:rPr>
        <w:t>Every critical state transition has tests asking: what happens if the external world does the opposite of what SGTX expects? Examples: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Expected</w:t>
            </w:r>
          </w:p>
        </w:tc>
        <w:tc>
          <w:tcPr>
            <w:tcW w:type="dxa" w:w="4819"/>
            <w:shd w:val="clear" w:fill="D9E2F3"/>
          </w:tcPr>
          <w:p>
            <w:pPr>
              <w:spacing w:after="20" w:before="20" w:line="240" w:lineRule="auto"/>
            </w:pPr>
            <w:r/>
            <w:r>
              <w:rPr>
                <w:rFonts w:ascii="Arial" w:hAnsi="Arial" w:cs="Arial"/>
                <w:b/>
                <w:i w:val="0"/>
                <w:sz w:val="18"/>
              </w:rPr>
              <w:t>Actual</w:t>
            </w:r>
          </w:p>
        </w:tc>
      </w:tr>
      <w:tr>
        <w:tc>
          <w:tcPr>
            <w:tcW w:type="dxa" w:w="4819"/>
          </w:tcPr>
          <w:p>
            <w:pPr>
              <w:spacing w:after="20" w:before="20" w:line="240" w:lineRule="auto"/>
            </w:pPr>
            <w:r/>
            <w:r>
              <w:rPr>
                <w:rFonts w:ascii="Arial" w:hAnsi="Arial" w:cs="Arial"/>
                <w:b w:val="0"/>
                <w:i w:val="0"/>
                <w:sz w:val="17"/>
              </w:rPr>
              <w:t>SETTLED</w:t>
            </w:r>
          </w:p>
        </w:tc>
        <w:tc>
          <w:tcPr>
            <w:tcW w:type="dxa" w:w="4819"/>
          </w:tcPr>
          <w:p>
            <w:pPr>
              <w:spacing w:after="20" w:before="20" w:line="240" w:lineRule="auto"/>
            </w:pPr>
            <w:r/>
            <w:r>
              <w:rPr>
                <w:rFonts w:ascii="Arial" w:hAnsi="Arial" w:cs="Arial"/>
                <w:b w:val="0"/>
                <w:i w:val="0"/>
                <w:sz w:val="17"/>
              </w:rPr>
              <w:t>RETURNED</w:t>
            </w:r>
          </w:p>
        </w:tc>
      </w:tr>
      <w:tr>
        <w:tc>
          <w:tcPr>
            <w:tcW w:type="dxa" w:w="4819"/>
          </w:tcPr>
          <w:p>
            <w:pPr>
              <w:spacing w:after="20" w:before="20" w:line="240" w:lineRule="auto"/>
            </w:pPr>
            <w:r/>
            <w:r>
              <w:rPr>
                <w:rFonts w:ascii="Arial" w:hAnsi="Arial" w:cs="Arial"/>
                <w:b w:val="0"/>
                <w:i w:val="0"/>
                <w:sz w:val="17"/>
              </w:rPr>
              <w:t>DOCUMENT_VALID</w:t>
            </w:r>
          </w:p>
        </w:tc>
        <w:tc>
          <w:tcPr>
            <w:tcW w:type="dxa" w:w="4819"/>
          </w:tcPr>
          <w:p>
            <w:pPr>
              <w:spacing w:after="20" w:before="20" w:line="240" w:lineRule="auto"/>
            </w:pPr>
            <w:r/>
            <w:r>
              <w:rPr>
                <w:rFonts w:ascii="Arial" w:hAnsi="Arial" w:cs="Arial"/>
                <w:b w:val="0"/>
                <w:i w:val="0"/>
                <w:sz w:val="17"/>
              </w:rPr>
              <w:t>REVOKED</w:t>
            </w:r>
          </w:p>
        </w:tc>
      </w:tr>
      <w:tr>
        <w:tc>
          <w:tcPr>
            <w:tcW w:type="dxa" w:w="4819"/>
          </w:tcPr>
          <w:p>
            <w:pPr>
              <w:spacing w:after="20" w:before="20" w:line="240" w:lineRule="auto"/>
            </w:pPr>
            <w:r/>
            <w:r>
              <w:rPr>
                <w:rFonts w:ascii="Arial" w:hAnsi="Arial" w:cs="Arial"/>
                <w:b w:val="0"/>
                <w:i w:val="0"/>
                <w:sz w:val="17"/>
              </w:rPr>
              <w:t>DELIVERED</w:t>
            </w:r>
          </w:p>
        </w:tc>
        <w:tc>
          <w:tcPr>
            <w:tcW w:type="dxa" w:w="4819"/>
          </w:tcPr>
          <w:p>
            <w:pPr>
              <w:spacing w:after="20" w:before="20" w:line="240" w:lineRule="auto"/>
            </w:pPr>
            <w:r/>
            <w:r>
              <w:rPr>
                <w:rFonts w:ascii="Arial" w:hAnsi="Arial" w:cs="Arial"/>
                <w:b w:val="0"/>
                <w:i w:val="0"/>
                <w:sz w:val="17"/>
              </w:rPr>
              <w:t>LOST / DISPUTED</w:t>
            </w:r>
          </w:p>
        </w:tc>
      </w:tr>
      <w:tr>
        <w:tc>
          <w:tcPr>
            <w:tcW w:type="dxa" w:w="4819"/>
          </w:tcPr>
          <w:p>
            <w:pPr>
              <w:spacing w:after="20" w:before="20" w:line="240" w:lineRule="auto"/>
            </w:pPr>
            <w:r/>
            <w:r>
              <w:rPr>
                <w:rFonts w:ascii="Arial" w:hAnsi="Arial" w:cs="Arial"/>
                <w:b w:val="0"/>
                <w:i w:val="0"/>
                <w:sz w:val="17"/>
              </w:rPr>
              <w:t>BANK_ACCEPTED</w:t>
            </w:r>
          </w:p>
        </w:tc>
        <w:tc>
          <w:tcPr>
            <w:tcW w:type="dxa" w:w="4819"/>
          </w:tcPr>
          <w:p>
            <w:pPr>
              <w:spacing w:after="20" w:before="20" w:line="240" w:lineRule="auto"/>
            </w:pPr>
            <w:r/>
            <w:r>
              <w:rPr>
                <w:rFonts w:ascii="Arial" w:hAnsi="Arial" w:cs="Arial"/>
                <w:b w:val="0"/>
                <w:i w:val="0"/>
                <w:sz w:val="17"/>
              </w:rPr>
              <w:t>UNKNOWN</w:t>
            </w:r>
          </w:p>
        </w:tc>
      </w:tr>
      <w:tr>
        <w:tc>
          <w:tcPr>
            <w:tcW w:type="dxa" w:w="4819"/>
          </w:tcPr>
          <w:p>
            <w:pPr>
              <w:spacing w:after="20" w:before="20" w:line="240" w:lineRule="auto"/>
            </w:pPr>
            <w:r/>
            <w:r>
              <w:rPr>
                <w:rFonts w:ascii="Arial" w:hAnsi="Arial" w:cs="Arial"/>
                <w:b w:val="0"/>
                <w:i w:val="0"/>
                <w:sz w:val="17"/>
              </w:rPr>
              <w:t>LEGAL_EFFECTIVE</w:t>
            </w:r>
          </w:p>
        </w:tc>
        <w:tc>
          <w:tcPr>
            <w:tcW w:type="dxa" w:w="4819"/>
          </w:tcPr>
          <w:p>
            <w:pPr>
              <w:spacing w:after="20" w:before="20" w:line="240" w:lineRule="auto"/>
            </w:pPr>
            <w:r/>
            <w:r>
              <w:rPr>
                <w:rFonts w:ascii="Arial" w:hAnsi="Arial" w:cs="Arial"/>
                <w:b w:val="0"/>
                <w:i w:val="0"/>
                <w:sz w:val="17"/>
              </w:rPr>
              <w:t>COURT_STAY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expected behavior is always governed state transition, not silent correction.</w:t>
      </w:r>
    </w:p>
    <w:p>
      <w:pPr>
        <w:keepNext/>
        <w:spacing w:before="240" w:after="100"/>
        <w:outlineLvl w:val="1"/>
      </w:pPr>
      <w:r>
        <w:rPr>
          <w:rFonts w:ascii="Arial" w:hAnsi="Arial" w:cs="Arial"/>
          <w:b/>
          <w:i w:val="0"/>
          <w:color w:val="2E528F"/>
          <w:sz w:val="26"/>
        </w:rPr>
        <w:t>19.149 AI Safety Testing</w:t>
      </w:r>
    </w:p>
    <w:p>
      <w:pPr>
        <w:spacing w:after="80" w:line="293" w:lineRule="auto"/>
        <w:jc w:val="left"/>
      </w:pPr>
      <w:r>
        <w:rPr>
          <w:rFonts w:ascii="Times New Roman" w:hAnsi="Times New Roman" w:cs="Times New Roman"/>
          <w:b w:val="0"/>
          <w:i w:val="0"/>
          <w:sz w:val="22"/>
        </w:rPr>
        <w:t>AI is tested against:</w:t>
      </w:r>
    </w:p>
    <w:p>
      <w:pPr>
        <w:spacing w:after="80" w:line="293" w:lineRule="auto"/>
        <w:ind w:left="283"/>
        <w:jc w:val="left"/>
      </w:pPr>
      <w:r>
        <w:rPr>
          <w:rFonts w:ascii="Times New Roman" w:hAnsi="Times New Roman" w:cs="Times New Roman"/>
          <w:b w:val="0"/>
          <w:i w:val="0"/>
          <w:sz w:val="22"/>
        </w:rPr>
        <w:t>- hallucinated evidence;</w:t>
      </w:r>
    </w:p>
    <w:p>
      <w:pPr>
        <w:spacing w:after="80" w:line="293" w:lineRule="auto"/>
        <w:ind w:left="283"/>
        <w:jc w:val="left"/>
      </w:pPr>
      <w:r>
        <w:rPr>
          <w:rFonts w:ascii="Times New Roman" w:hAnsi="Times New Roman" w:cs="Times New Roman"/>
          <w:b w:val="0"/>
          <w:i w:val="0"/>
          <w:sz w:val="22"/>
        </w:rPr>
        <w:t>- fabricated authority;</w:t>
      </w:r>
    </w:p>
    <w:p>
      <w:pPr>
        <w:spacing w:after="80" w:line="293" w:lineRule="auto"/>
        <w:ind w:left="283"/>
        <w:jc w:val="left"/>
      </w:pPr>
      <w:r>
        <w:rPr>
          <w:rFonts w:ascii="Times New Roman" w:hAnsi="Times New Roman" w:cs="Times New Roman"/>
          <w:b w:val="0"/>
          <w:i w:val="0"/>
          <w:sz w:val="22"/>
        </w:rPr>
        <w:t>- incorrect document interpretation;</w:t>
      </w:r>
    </w:p>
    <w:p>
      <w:pPr>
        <w:spacing w:after="80" w:line="293" w:lineRule="auto"/>
        <w:ind w:left="283"/>
        <w:jc w:val="left"/>
      </w:pPr>
      <w:r>
        <w:rPr>
          <w:rFonts w:ascii="Times New Roman" w:hAnsi="Times New Roman" w:cs="Times New Roman"/>
          <w:b w:val="0"/>
          <w:i w:val="0"/>
          <w:sz w:val="22"/>
        </w:rPr>
        <w:t>- conflicting sources;</w:t>
      </w:r>
    </w:p>
    <w:p>
      <w:pPr>
        <w:spacing w:after="80" w:line="293" w:lineRule="auto"/>
        <w:ind w:left="283"/>
        <w:jc w:val="left"/>
      </w:pPr>
      <w:r>
        <w:rPr>
          <w:rFonts w:ascii="Times New Roman" w:hAnsi="Times New Roman" w:cs="Times New Roman"/>
          <w:b w:val="0"/>
          <w:i w:val="0"/>
          <w:sz w:val="22"/>
        </w:rPr>
        <w:t>- prompt injection from documents;</w:t>
      </w:r>
    </w:p>
    <w:p>
      <w:pPr>
        <w:spacing w:after="80" w:line="293" w:lineRule="auto"/>
        <w:ind w:left="283"/>
        <w:jc w:val="left"/>
      </w:pPr>
      <w:r>
        <w:rPr>
          <w:rFonts w:ascii="Times New Roman" w:hAnsi="Times New Roman" w:cs="Times New Roman"/>
          <w:b w:val="0"/>
          <w:i w:val="0"/>
          <w:sz w:val="22"/>
        </w:rPr>
        <w:t>- malicious counterparty content;</w:t>
      </w:r>
    </w:p>
    <w:p>
      <w:pPr>
        <w:spacing w:after="80" w:line="293" w:lineRule="auto"/>
        <w:ind w:left="283"/>
        <w:jc w:val="left"/>
      </w:pPr>
      <w:r>
        <w:rPr>
          <w:rFonts w:ascii="Times New Roman" w:hAnsi="Times New Roman" w:cs="Times New Roman"/>
          <w:b w:val="0"/>
          <w:i w:val="0"/>
          <w:sz w:val="22"/>
        </w:rPr>
        <w:t>- recommendation escalation;</w:t>
      </w:r>
    </w:p>
    <w:p>
      <w:pPr>
        <w:spacing w:after="80" w:line="293" w:lineRule="auto"/>
        <w:ind w:left="283"/>
        <w:jc w:val="left"/>
      </w:pPr>
      <w:r>
        <w:rPr>
          <w:rFonts w:ascii="Times New Roman" w:hAnsi="Times New Roman" w:cs="Times New Roman"/>
          <w:b w:val="0"/>
          <w:i w:val="0"/>
          <w:sz w:val="22"/>
        </w:rPr>
        <w:t>- attempted direct state manipulation.</w:t>
      </w:r>
    </w:p>
    <w:p>
      <w:pPr>
        <w:spacing w:after="80" w:line="293" w:lineRule="auto"/>
        <w:jc w:val="left"/>
      </w:pPr>
      <w:r>
        <w:rPr>
          <w:rFonts w:ascii="Times New Roman" w:hAnsi="Times New Roman" w:cs="Times New Roman"/>
          <w:b w:val="0"/>
          <w:i w:val="0"/>
          <w:sz w:val="22"/>
        </w:rPr>
        <w:t>AI outputs must never bypass deterministic policy and authority controls.</w:t>
      </w:r>
    </w:p>
    <w:p>
      <w:pPr>
        <w:keepNext/>
        <w:spacing w:before="240" w:after="100"/>
        <w:outlineLvl w:val="1"/>
      </w:pPr>
      <w:r>
        <w:rPr>
          <w:rFonts w:ascii="Arial" w:hAnsi="Arial" w:cs="Arial"/>
          <w:b/>
          <w:i w:val="0"/>
          <w:color w:val="2E528F"/>
          <w:sz w:val="26"/>
        </w:rPr>
        <w:t>19.150 Institutional Deployment Gate</w:t>
      </w:r>
    </w:p>
    <w:p>
      <w:pPr>
        <w:spacing w:after="80" w:line="293" w:lineRule="auto"/>
        <w:jc w:val="left"/>
      </w:pPr>
      <w:r>
        <w:rPr>
          <w:rFonts w:ascii="Times New Roman" w:hAnsi="Times New Roman" w:cs="Times New Roman"/>
          <w:b w:val="0"/>
          <w:i w:val="0"/>
          <w:sz w:val="22"/>
        </w:rPr>
        <w:t>A new institution passes:</w:t>
      </w:r>
    </w:p>
    <w:p>
      <w:pPr>
        <w:spacing w:after="0" w:before="0" w:line="240" w:lineRule="auto"/>
        <w:ind w:left="57"/>
        <w:jc w:val="left"/>
        <w:shd w:val="clear" w:fill="F2F2F2"/>
      </w:pPr>
      <w:r>
        <w:rPr>
          <w:rFonts w:ascii="Consolas" w:hAnsi="Consolas" w:cs="Consolas"/>
          <w:b w:val="0"/>
          <w:i w:val="0"/>
          <w:sz w:val="15"/>
        </w:rPr>
        <w:t>Identity → Jurisdiction → Regulatory Status → Capabilities → Security →</w:t>
      </w:r>
    </w:p>
    <w:p>
      <w:pPr>
        <w:spacing w:after="0" w:before="0" w:line="240" w:lineRule="auto"/>
        <w:ind w:left="57"/>
        <w:jc w:val="left"/>
        <w:shd w:val="clear" w:fill="F2F2F2"/>
      </w:pPr>
      <w:r>
        <w:rPr>
          <w:rFonts w:ascii="Consolas" w:hAnsi="Consolas" w:cs="Consolas"/>
          <w:b w:val="0"/>
          <w:i w:val="0"/>
          <w:sz w:val="15"/>
        </w:rPr>
        <w:t>Connectivity → Authority Mapping → Data Contract → Operational SLA → Testing →</w:t>
      </w:r>
    </w:p>
    <w:p>
      <w:pPr>
        <w:spacing w:after="0" w:before="0" w:line="240" w:lineRule="auto"/>
        <w:ind w:left="57"/>
        <w:jc w:val="left"/>
        <w:shd w:val="clear" w:fill="F2F2F2"/>
      </w:pPr>
      <w:r>
        <w:rPr>
          <w:rFonts w:ascii="Consolas" w:hAnsi="Consolas" w:cs="Consolas"/>
          <w:b w:val="0"/>
          <w:i w:val="0"/>
          <w:sz w:val="15"/>
        </w:rPr>
        <w:t>Certification → Production Enablement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19.151 Regulatory / Bank Change Management</w:t>
      </w:r>
    </w:p>
    <w:p>
      <w:pPr>
        <w:spacing w:after="80" w:line="293" w:lineRule="auto"/>
        <w:jc w:val="left"/>
      </w:pPr>
      <w:r>
        <w:rPr>
          <w:rFonts w:ascii="Times New Roman" w:hAnsi="Times New Roman" w:cs="Times New Roman"/>
          <w:b w:val="0"/>
          <w:i w:val="0"/>
          <w:sz w:val="22"/>
        </w:rPr>
        <w:t>When a jurisdiction or bank changes:</w:t>
      </w:r>
    </w:p>
    <w:p>
      <w:pPr>
        <w:spacing w:after="80" w:line="293" w:lineRule="auto"/>
        <w:ind w:left="283"/>
        <w:jc w:val="left"/>
      </w:pPr>
      <w:r>
        <w:rPr>
          <w:rFonts w:ascii="Times New Roman" w:hAnsi="Times New Roman" w:cs="Times New Roman"/>
          <w:b w:val="0"/>
          <w:i w:val="0"/>
          <w:sz w:val="22"/>
        </w:rPr>
        <w:t>- payment message format;</w:t>
      </w:r>
    </w:p>
    <w:p>
      <w:pPr>
        <w:spacing w:after="80" w:line="293" w:lineRule="auto"/>
        <w:ind w:left="283"/>
        <w:jc w:val="left"/>
      </w:pPr>
      <w:r>
        <w:rPr>
          <w:rFonts w:ascii="Times New Roman" w:hAnsi="Times New Roman" w:cs="Times New Roman"/>
          <w:b w:val="0"/>
          <w:i w:val="0"/>
          <w:sz w:val="22"/>
        </w:rPr>
        <w:t>- regulatory rule;</w:t>
      </w:r>
    </w:p>
    <w:p>
      <w:pPr>
        <w:spacing w:after="80" w:line="293" w:lineRule="auto"/>
        <w:ind w:left="283"/>
        <w:jc w:val="left"/>
      </w:pPr>
      <w:r>
        <w:rPr>
          <w:rFonts w:ascii="Times New Roman" w:hAnsi="Times New Roman" w:cs="Times New Roman"/>
          <w:b w:val="0"/>
          <w:i w:val="0"/>
          <w:sz w:val="22"/>
        </w:rPr>
        <w:t>- required data;</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document;</w:t>
      </w:r>
    </w:p>
    <w:p>
      <w:pPr>
        <w:spacing w:after="80" w:line="293" w:lineRule="auto"/>
        <w:ind w:left="283"/>
        <w:jc w:val="left"/>
      </w:pPr>
      <w:r>
        <w:rPr>
          <w:rFonts w:ascii="Times New Roman" w:hAnsi="Times New Roman" w:cs="Times New Roman"/>
          <w:b w:val="0"/>
          <w:i w:val="0"/>
          <w:sz w:val="22"/>
        </w:rPr>
        <w:t>- authentication;</w:t>
      </w:r>
    </w:p>
    <w:p>
      <w:pPr>
        <w:spacing w:after="80" w:line="293" w:lineRule="auto"/>
        <w:ind w:left="283"/>
        <w:jc w:val="left"/>
      </w:pPr>
      <w:r>
        <w:rPr>
          <w:rFonts w:ascii="Times New Roman" w:hAnsi="Times New Roman" w:cs="Times New Roman"/>
          <w:b w:val="0"/>
          <w:i w:val="0"/>
          <w:sz w:val="22"/>
        </w:rPr>
        <w:t>- API;</w:t>
      </w:r>
    </w:p>
    <w:p>
      <w:pPr>
        <w:spacing w:after="80" w:line="293" w:lineRule="auto"/>
        <w:ind w:left="283"/>
        <w:jc w:val="left"/>
      </w:pPr>
      <w:r>
        <w:rPr>
          <w:rFonts w:ascii="Times New Roman" w:hAnsi="Times New Roman" w:cs="Times New Roman"/>
          <w:b w:val="0"/>
          <w:i w:val="0"/>
          <w:sz w:val="22"/>
        </w:rPr>
        <w:t>- settlement requirement;</w:t>
      </w:r>
    </w:p>
    <w:p>
      <w:pPr>
        <w:spacing w:after="80" w:line="293" w:lineRule="auto"/>
        <w:jc w:val="left"/>
      </w:pPr>
      <w:r>
        <w:rPr>
          <w:rFonts w:ascii="Times New Roman" w:hAnsi="Times New Roman" w:cs="Times New Roman"/>
          <w:b w:val="0"/>
          <w:i w:val="0"/>
          <w:sz w:val="22"/>
        </w:rPr>
        <w:t>SGTX updates its adapter/policy profile without rewriting historical transaction events. Historical policy versions remain intact.</w:t>
      </w:r>
    </w:p>
    <w:p>
      <w:pPr>
        <w:keepNext/>
        <w:spacing w:before="240" w:after="100"/>
        <w:outlineLvl w:val="1"/>
      </w:pPr>
      <w:r>
        <w:rPr>
          <w:rFonts w:ascii="Arial" w:hAnsi="Arial" w:cs="Arial"/>
          <w:b/>
          <w:i w:val="0"/>
          <w:color w:val="2E528F"/>
          <w:sz w:val="26"/>
        </w:rPr>
        <w:t>19.152 Master Design Invariant</w:t>
      </w:r>
    </w:p>
    <w:p>
      <w:pPr>
        <w:spacing w:after="80" w:line="293" w:lineRule="auto"/>
        <w:jc w:val="left"/>
      </w:pPr>
      <w:r>
        <w:rPr>
          <w:rFonts w:ascii="Times New Roman" w:hAnsi="Times New Roman" w:cs="Times New Roman"/>
          <w:b w:val="0"/>
          <w:i w:val="0"/>
          <w:sz w:val="22"/>
        </w:rPr>
        <w:t>The following remains true regardless of country, bank, ERP, marketplace or payment rail: external systems may change; SGTX's canonical transaction semantics and constitutional controls remain stable. Adapters absorb external change.</w:t>
      </w:r>
    </w:p>
    <w:p>
      <w:pPr>
        <w:keepNext/>
        <w:spacing w:before="240" w:after="100"/>
        <w:outlineLvl w:val="1"/>
      </w:pPr>
      <w:r>
        <w:rPr>
          <w:rFonts w:ascii="Arial" w:hAnsi="Arial" w:cs="Arial"/>
          <w:b/>
          <w:i w:val="0"/>
          <w:color w:val="2E528F"/>
          <w:sz w:val="26"/>
        </w:rPr>
        <w:t>19.153 What This Architecture Does Not Mean</w:t>
      </w:r>
    </w:p>
    <w:p>
      <w:pPr>
        <w:spacing w:after="80" w:line="293" w:lineRule="auto"/>
        <w:jc w:val="left"/>
      </w:pPr>
      <w:r>
        <w:rPr>
          <w:rFonts w:ascii="Times New Roman" w:hAnsi="Times New Roman" w:cs="Times New Roman"/>
          <w:b w:val="0"/>
          <w:i w:val="0"/>
          <w:sz w:val="22"/>
        </w:rPr>
        <w:t>This architecture does not turn SGTX into:</w:t>
      </w:r>
    </w:p>
    <w:p>
      <w:pPr>
        <w:spacing w:after="80" w:line="293" w:lineRule="auto"/>
        <w:ind w:left="283"/>
        <w:jc w:val="left"/>
      </w:pPr>
      <w:r>
        <w:rPr>
          <w:rFonts w:ascii="Times New Roman" w:hAnsi="Times New Roman" w:cs="Times New Roman"/>
          <w:b w:val="0"/>
          <w:i w:val="0"/>
          <w:sz w:val="22"/>
        </w:rPr>
        <w:t>- a commercial bank;</w:t>
      </w:r>
    </w:p>
    <w:p>
      <w:pPr>
        <w:spacing w:after="80" w:line="293" w:lineRule="auto"/>
        <w:ind w:left="283"/>
        <w:jc w:val="left"/>
      </w:pPr>
      <w:r>
        <w:rPr>
          <w:rFonts w:ascii="Times New Roman" w:hAnsi="Times New Roman" w:cs="Times New Roman"/>
          <w:b w:val="0"/>
          <w:i w:val="0"/>
          <w:sz w:val="22"/>
        </w:rPr>
        <w:t>- a central bank;</w:t>
      </w:r>
    </w:p>
    <w:p>
      <w:pPr>
        <w:spacing w:after="80" w:line="293" w:lineRule="auto"/>
        <w:ind w:left="283"/>
        <w:jc w:val="left"/>
      </w:pPr>
      <w:r>
        <w:rPr>
          <w:rFonts w:ascii="Times New Roman" w:hAnsi="Times New Roman" w:cs="Times New Roman"/>
          <w:b w:val="0"/>
          <w:i w:val="0"/>
          <w:sz w:val="22"/>
        </w:rPr>
        <w:t>- a sovereign currency issuer;</w:t>
      </w:r>
    </w:p>
    <w:p>
      <w:pPr>
        <w:spacing w:after="80" w:line="293" w:lineRule="auto"/>
        <w:ind w:left="283"/>
        <w:jc w:val="left"/>
      </w:pPr>
      <w:r>
        <w:rPr>
          <w:rFonts w:ascii="Times New Roman" w:hAnsi="Times New Roman" w:cs="Times New Roman"/>
          <w:b w:val="0"/>
          <w:i w:val="0"/>
          <w:sz w:val="22"/>
        </w:rPr>
        <w:t>- a custodian;</w:t>
      </w:r>
    </w:p>
    <w:p>
      <w:pPr>
        <w:spacing w:after="80" w:line="293" w:lineRule="auto"/>
        <w:ind w:left="283"/>
        <w:jc w:val="left"/>
      </w:pPr>
      <w:r>
        <w:rPr>
          <w:rFonts w:ascii="Times New Roman" w:hAnsi="Times New Roman" w:cs="Times New Roman"/>
          <w:b w:val="0"/>
          <w:i w:val="0"/>
          <w:sz w:val="22"/>
        </w:rPr>
        <w:t>- an escrow institution;</w:t>
      </w:r>
    </w:p>
    <w:p>
      <w:pPr>
        <w:spacing w:after="80" w:line="293" w:lineRule="auto"/>
        <w:ind w:left="283"/>
        <w:jc w:val="left"/>
      </w:pPr>
      <w:r>
        <w:rPr>
          <w:rFonts w:ascii="Times New Roman" w:hAnsi="Times New Roman" w:cs="Times New Roman"/>
          <w:b w:val="0"/>
          <w:i w:val="0"/>
          <w:sz w:val="22"/>
        </w:rPr>
        <w:t>- a payment rail;</w:t>
      </w:r>
    </w:p>
    <w:p>
      <w:pPr>
        <w:spacing w:after="80" w:line="293" w:lineRule="auto"/>
        <w:ind w:left="283"/>
        <w:jc w:val="left"/>
      </w:pPr>
      <w:r>
        <w:rPr>
          <w:rFonts w:ascii="Times New Roman" w:hAnsi="Times New Roman" w:cs="Times New Roman"/>
          <w:b w:val="0"/>
          <w:i w:val="0"/>
          <w:sz w:val="22"/>
        </w:rPr>
        <w:t>- an accounting ERP;</w:t>
      </w:r>
    </w:p>
    <w:p>
      <w:pPr>
        <w:spacing w:after="80" w:line="293" w:lineRule="auto"/>
        <w:ind w:left="283"/>
        <w:jc w:val="left"/>
      </w:pPr>
      <w:r>
        <w:rPr>
          <w:rFonts w:ascii="Times New Roman" w:hAnsi="Times New Roman" w:cs="Times New Roman"/>
          <w:b w:val="0"/>
          <w:i w:val="0"/>
          <w:sz w:val="22"/>
        </w:rPr>
        <w:t>- a marketplace replacement;</w:t>
      </w:r>
    </w:p>
    <w:p>
      <w:pPr>
        <w:spacing w:after="80" w:line="293" w:lineRule="auto"/>
        <w:ind w:left="283"/>
        <w:jc w:val="left"/>
      </w:pPr>
      <w:r>
        <w:rPr>
          <w:rFonts w:ascii="Times New Roman" w:hAnsi="Times New Roman" w:cs="Times New Roman"/>
          <w:b w:val="0"/>
          <w:i w:val="0"/>
          <w:sz w:val="22"/>
        </w:rPr>
        <w:t>- a legal court;</w:t>
      </w:r>
    </w:p>
    <w:p>
      <w:pPr>
        <w:spacing w:after="80" w:line="293" w:lineRule="auto"/>
        <w:ind w:left="283"/>
        <w:jc w:val="left"/>
      </w:pPr>
      <w:r>
        <w:rPr>
          <w:rFonts w:ascii="Times New Roman" w:hAnsi="Times New Roman" w:cs="Times New Roman"/>
          <w:b w:val="0"/>
          <w:i w:val="0"/>
          <w:sz w:val="22"/>
        </w:rPr>
        <w:t>- a regulator;</w:t>
      </w:r>
    </w:p>
    <w:p>
      <w:pPr>
        <w:spacing w:after="80" w:line="293" w:lineRule="auto"/>
        <w:ind w:left="283"/>
        <w:jc w:val="left"/>
      </w:pPr>
      <w:r>
        <w:rPr>
          <w:rFonts w:ascii="Times New Roman" w:hAnsi="Times New Roman" w:cs="Times New Roman"/>
          <w:b w:val="0"/>
          <w:i w:val="0"/>
          <w:sz w:val="22"/>
        </w:rPr>
        <w:t>- a generalized blockchain;</w:t>
      </w:r>
    </w:p>
    <w:p>
      <w:pPr>
        <w:spacing w:after="80" w:line="293" w:lineRule="auto"/>
        <w:ind w:left="283"/>
        <w:jc w:val="left"/>
      </w:pPr>
      <w:r>
        <w:rPr>
          <w:rFonts w:ascii="Times New Roman" w:hAnsi="Times New Roman" w:cs="Times New Roman"/>
          <w:b w:val="0"/>
          <w:i w:val="0"/>
          <w:sz w:val="22"/>
        </w:rPr>
        <w:t>- an autonomous AI decision system.</w:t>
      </w:r>
    </w:p>
    <w:p>
      <w:pPr>
        <w:spacing w:after="80" w:line="293" w:lineRule="auto"/>
        <w:jc w:val="left"/>
      </w:pPr>
      <w:r>
        <w:rPr>
          <w:rFonts w:ascii="Times New Roman" w:hAnsi="Times New Roman" w:cs="Times New Roman"/>
          <w:b w:val="0"/>
          <w:i w:val="0"/>
          <w:sz w:val="22"/>
        </w:rPr>
        <w:t>SGTX remains the controlled infrastructure layer between commercial intent and real-world execution, subject to jurisdiction-specific regulatory treatment based on implemented functionality.</w:t>
      </w:r>
    </w:p>
    <w:p>
      <w:pPr>
        <w:keepNext/>
        <w:spacing w:before="240" w:after="100"/>
        <w:outlineLvl w:val="1"/>
      </w:pPr>
      <w:r>
        <w:rPr>
          <w:rFonts w:ascii="Arial" w:hAnsi="Arial" w:cs="Arial"/>
          <w:b/>
          <w:i w:val="0"/>
          <w:color w:val="2E528F"/>
          <w:sz w:val="26"/>
        </w:rPr>
        <w:t>19.154 Final SGTX Architectural Proposition</w:t>
      </w:r>
    </w:p>
    <w:p>
      <w:pPr>
        <w:spacing w:after="80" w:line="293" w:lineRule="auto"/>
        <w:jc w:val="left"/>
      </w:pPr>
      <w:r>
        <w:rPr>
          <w:rFonts w:ascii="Times New Roman" w:hAnsi="Times New Roman" w:cs="Times New Roman"/>
          <w:b w:val="0"/>
          <w:i w:val="0"/>
          <w:sz w:val="22"/>
        </w:rPr>
        <w:t>SGTX is not a system designed to force a trade into one simplistic lifecycle. It is infrastructure that maintains a cryptographically verifiable, authority-aware, multidimensional representation of a trade throughout its entire life. That includes:</w:t>
      </w:r>
    </w:p>
    <w:p>
      <w:pPr>
        <w:spacing w:after="80" w:line="293" w:lineRule="auto"/>
        <w:ind w:left="283"/>
        <w:jc w:val="left"/>
      </w:pPr>
      <w:r>
        <w:rPr>
          <w:rFonts w:ascii="Times New Roman" w:hAnsi="Times New Roman" w:cs="Times New Roman"/>
          <w:b w:val="0"/>
          <w:i w:val="0"/>
          <w:sz w:val="22"/>
        </w:rPr>
        <w:t>- intent;</w:t>
      </w:r>
    </w:p>
    <w:p>
      <w:pPr>
        <w:spacing w:after="80" w:line="293" w:lineRule="auto"/>
        <w:ind w:left="283"/>
        <w:jc w:val="left"/>
      </w:pPr>
      <w:r>
        <w:rPr>
          <w:rFonts w:ascii="Times New Roman" w:hAnsi="Times New Roman" w:cs="Times New Roman"/>
          <w:b w:val="0"/>
          <w:i w:val="0"/>
          <w:sz w:val="22"/>
        </w:rPr>
        <w:t>- agreement;</w:t>
      </w:r>
    </w:p>
    <w:p>
      <w:pPr>
        <w:spacing w:after="80" w:line="293" w:lineRule="auto"/>
        <w:ind w:left="283"/>
        <w:jc w:val="left"/>
      </w:pPr>
      <w:r>
        <w:rPr>
          <w:rFonts w:ascii="Times New Roman" w:hAnsi="Times New Roman" w:cs="Times New Roman"/>
          <w:b w:val="0"/>
          <w:i w:val="0"/>
          <w:sz w:val="22"/>
        </w:rPr>
        <w:t>- obligations;</w:t>
      </w:r>
    </w:p>
    <w:p>
      <w:pPr>
        <w:spacing w:after="80" w:line="293" w:lineRule="auto"/>
        <w:ind w:left="283"/>
        <w:jc w:val="left"/>
      </w:pPr>
      <w:r>
        <w:rPr>
          <w:rFonts w:ascii="Times New Roman" w:hAnsi="Times New Roman" w:cs="Times New Roman"/>
          <w:b w:val="0"/>
          <w:i w:val="0"/>
          <w:sz w:val="22"/>
        </w:rPr>
        <w:t>- execution;</w:t>
      </w:r>
    </w:p>
    <w:p>
      <w:pPr>
        <w:spacing w:after="80" w:line="293" w:lineRule="auto"/>
        <w:ind w:left="283"/>
        <w:jc w:val="left"/>
      </w:pPr>
      <w:r>
        <w:rPr>
          <w:rFonts w:ascii="Times New Roman" w:hAnsi="Times New Roman" w:cs="Times New Roman"/>
          <w:b w:val="0"/>
          <w:i w:val="0"/>
          <w:sz w:val="22"/>
        </w:rPr>
        <w:t>- settlement;</w:t>
      </w:r>
    </w:p>
    <w:p>
      <w:pPr>
        <w:spacing w:after="80" w:line="293" w:lineRule="auto"/>
        <w:ind w:left="283"/>
        <w:jc w:val="left"/>
      </w:pPr>
      <w:r>
        <w:rPr>
          <w:rFonts w:ascii="Times New Roman" w:hAnsi="Times New Roman" w:cs="Times New Roman"/>
          <w:b w:val="0"/>
          <w:i w:val="0"/>
          <w:sz w:val="22"/>
        </w:rPr>
        <w:t>- partial settlement;</w:t>
      </w:r>
    </w:p>
    <w:p>
      <w:pPr>
        <w:spacing w:after="80" w:line="293" w:lineRule="auto"/>
        <w:ind w:left="283"/>
        <w:jc w:val="left"/>
      </w:pPr>
      <w:r>
        <w:rPr>
          <w:rFonts w:ascii="Times New Roman" w:hAnsi="Times New Roman" w:cs="Times New Roman"/>
          <w:b w:val="0"/>
          <w:i w:val="0"/>
          <w:sz w:val="22"/>
        </w:rPr>
        <w:t>- financial reversal;</w:t>
      </w:r>
    </w:p>
    <w:p>
      <w:pPr>
        <w:spacing w:after="80" w:line="293" w:lineRule="auto"/>
        <w:ind w:left="283"/>
        <w:jc w:val="left"/>
      </w:pPr>
      <w:r>
        <w:rPr>
          <w:rFonts w:ascii="Times New Roman" w:hAnsi="Times New Roman" w:cs="Times New Roman"/>
          <w:b w:val="0"/>
          <w:i w:val="0"/>
          <w:sz w:val="22"/>
        </w:rPr>
        <w:t>- legal dispute;</w:t>
      </w:r>
    </w:p>
    <w:p>
      <w:pPr>
        <w:spacing w:after="80" w:line="293" w:lineRule="auto"/>
        <w:ind w:left="283"/>
        <w:jc w:val="left"/>
      </w:pPr>
      <w:r>
        <w:rPr>
          <w:rFonts w:ascii="Times New Roman" w:hAnsi="Times New Roman" w:cs="Times New Roman"/>
          <w:b w:val="0"/>
          <w:i w:val="0"/>
          <w:sz w:val="22"/>
        </w:rPr>
        <w:t>- document revocation;</w:t>
      </w:r>
    </w:p>
    <w:p>
      <w:pPr>
        <w:spacing w:after="80" w:line="293" w:lineRule="auto"/>
        <w:ind w:left="283"/>
        <w:jc w:val="left"/>
      </w:pPr>
      <w:r>
        <w:rPr>
          <w:rFonts w:ascii="Times New Roman" w:hAnsi="Times New Roman" w:cs="Times New Roman"/>
          <w:b w:val="0"/>
          <w:i w:val="0"/>
          <w:sz w:val="22"/>
        </w:rPr>
        <w:t>- customs intervention;</w:t>
      </w:r>
    </w:p>
    <w:p>
      <w:pPr>
        <w:spacing w:after="80" w:line="293" w:lineRule="auto"/>
        <w:ind w:left="283"/>
        <w:jc w:val="left"/>
      </w:pPr>
      <w:r>
        <w:rPr>
          <w:rFonts w:ascii="Times New Roman" w:hAnsi="Times New Roman" w:cs="Times New Roman"/>
          <w:b w:val="0"/>
          <w:i w:val="0"/>
          <w:sz w:val="22"/>
        </w:rPr>
        <w:t>- logistics failure;</w:t>
      </w:r>
    </w:p>
    <w:p>
      <w:pPr>
        <w:spacing w:after="80" w:line="293" w:lineRule="auto"/>
        <w:ind w:left="283"/>
        <w:jc w:val="left"/>
      </w:pPr>
      <w:r>
        <w:rPr>
          <w:rFonts w:ascii="Times New Roman" w:hAnsi="Times New Roman" w:cs="Times New Roman"/>
          <w:b w:val="0"/>
          <w:i w:val="0"/>
          <w:sz w:val="22"/>
        </w:rPr>
        <w:t>- reconciliation;</w:t>
      </w:r>
    </w:p>
    <w:p>
      <w:pPr>
        <w:spacing w:after="80" w:line="293" w:lineRule="auto"/>
        <w:ind w:left="283"/>
        <w:jc w:val="left"/>
      </w:pPr>
      <w:r>
        <w:rPr>
          <w:rFonts w:ascii="Times New Roman" w:hAnsi="Times New Roman" w:cs="Times New Roman"/>
          <w:b w:val="0"/>
          <w:i w:val="0"/>
          <w:sz w:val="22"/>
        </w:rPr>
        <w:t>- recovery;</w:t>
      </w:r>
    </w:p>
    <w:p>
      <w:pPr>
        <w:spacing w:after="80" w:line="293" w:lineRule="auto"/>
        <w:ind w:left="283"/>
        <w:jc w:val="left"/>
      </w:pPr>
      <w:r>
        <w:rPr>
          <w:rFonts w:ascii="Times New Roman" w:hAnsi="Times New Roman" w:cs="Times New Roman"/>
          <w:b w:val="0"/>
          <w:i w:val="0"/>
          <w:sz w:val="22"/>
        </w:rPr>
        <w:t>- financial exposure;</w:t>
      </w:r>
    </w:p>
    <w:p>
      <w:pPr>
        <w:spacing w:after="80" w:line="293" w:lineRule="auto"/>
        <w:ind w:left="283"/>
        <w:jc w:val="left"/>
      </w:pPr>
      <w:r>
        <w:rPr>
          <w:rFonts w:ascii="Times New Roman" w:hAnsi="Times New Roman" w:cs="Times New Roman"/>
          <w:b w:val="0"/>
          <w:i w:val="0"/>
          <w:sz w:val="22"/>
        </w:rPr>
        <w:t>- late evidence;</w:t>
      </w:r>
    </w:p>
    <w:p>
      <w:pPr>
        <w:spacing w:after="80" w:line="293" w:lineRule="auto"/>
        <w:ind w:left="283"/>
        <w:jc w:val="left"/>
      </w:pPr>
      <w:r>
        <w:rPr>
          <w:rFonts w:ascii="Times New Roman" w:hAnsi="Times New Roman" w:cs="Times New Roman"/>
          <w:b w:val="0"/>
          <w:i w:val="0"/>
          <w:sz w:val="22"/>
        </w:rPr>
        <w:t>- post-closure events.</w:t>
      </w:r>
    </w:p>
    <w:p>
      <w:pPr>
        <w:spacing w:after="80" w:line="293" w:lineRule="auto"/>
        <w:jc w:val="left"/>
      </w:pPr>
      <w:r>
        <w:rPr>
          <w:rFonts w:ascii="Times New Roman" w:hAnsi="Times New Roman" w:cs="Times New Roman"/>
          <w:b w:val="0"/>
          <w:i w:val="0"/>
          <w:sz w:val="22"/>
        </w:rPr>
        <w:t>SGTX therefore answers not only "Did the trade execute?" but also:</w:t>
      </w:r>
    </w:p>
    <w:p>
      <w:pPr>
        <w:spacing w:after="80" w:line="293" w:lineRule="auto"/>
        <w:ind w:left="283"/>
        <w:jc w:val="left"/>
      </w:pPr>
      <w:r>
        <w:rPr>
          <w:rFonts w:ascii="Times New Roman" w:hAnsi="Times New Roman" w:cs="Times New Roman"/>
          <w:b w:val="0"/>
          <w:i w:val="0"/>
          <w:sz w:val="22"/>
        </w:rPr>
        <w:t>- What happened?</w:t>
      </w:r>
    </w:p>
    <w:p>
      <w:pPr>
        <w:spacing w:after="80" w:line="293" w:lineRule="auto"/>
        <w:ind w:left="283"/>
        <w:jc w:val="left"/>
      </w:pPr>
      <w:r>
        <w:rPr>
          <w:rFonts w:ascii="Times New Roman" w:hAnsi="Times New Roman" w:cs="Times New Roman"/>
          <w:b w:val="0"/>
          <w:i w:val="0"/>
          <w:sz w:val="22"/>
        </w:rPr>
        <w:t>- When did it happen?</w:t>
      </w:r>
    </w:p>
    <w:p>
      <w:pPr>
        <w:spacing w:after="80" w:line="293" w:lineRule="auto"/>
        <w:ind w:left="283"/>
        <w:jc w:val="left"/>
      </w:pPr>
      <w:r>
        <w:rPr>
          <w:rFonts w:ascii="Times New Roman" w:hAnsi="Times New Roman" w:cs="Times New Roman"/>
          <w:b w:val="0"/>
          <w:i w:val="0"/>
          <w:sz w:val="22"/>
        </w:rPr>
        <w:t>- When did SGTX learn about it?</w:t>
      </w:r>
    </w:p>
    <w:p>
      <w:pPr>
        <w:spacing w:after="80" w:line="293" w:lineRule="auto"/>
        <w:ind w:left="283"/>
        <w:jc w:val="left"/>
      </w:pPr>
      <w:r>
        <w:rPr>
          <w:rFonts w:ascii="Times New Roman" w:hAnsi="Times New Roman" w:cs="Times New Roman"/>
          <w:b w:val="0"/>
          <w:i w:val="0"/>
          <w:sz w:val="22"/>
        </w:rPr>
        <w:t>- Who or what had authority?</w:t>
      </w:r>
    </w:p>
    <w:p>
      <w:pPr>
        <w:spacing w:after="80" w:line="293" w:lineRule="auto"/>
        <w:ind w:left="283"/>
        <w:jc w:val="left"/>
      </w:pPr>
      <w:r>
        <w:rPr>
          <w:rFonts w:ascii="Times New Roman" w:hAnsi="Times New Roman" w:cs="Times New Roman"/>
          <w:b w:val="0"/>
          <w:i w:val="0"/>
          <w:sz w:val="22"/>
        </w:rPr>
        <w:t>- What evidence supports it?</w:t>
      </w:r>
    </w:p>
    <w:p>
      <w:pPr>
        <w:spacing w:after="80" w:line="293" w:lineRule="auto"/>
        <w:ind w:left="283"/>
        <w:jc w:val="left"/>
      </w:pPr>
      <w:r>
        <w:rPr>
          <w:rFonts w:ascii="Times New Roman" w:hAnsi="Times New Roman" w:cs="Times New Roman"/>
          <w:b w:val="0"/>
          <w:i w:val="0"/>
          <w:sz w:val="22"/>
        </w:rPr>
        <w:t>- Which systems agree?</w:t>
      </w:r>
    </w:p>
    <w:p>
      <w:pPr>
        <w:spacing w:after="80" w:line="293" w:lineRule="auto"/>
        <w:ind w:left="283"/>
        <w:jc w:val="left"/>
      </w:pPr>
      <w:r>
        <w:rPr>
          <w:rFonts w:ascii="Times New Roman" w:hAnsi="Times New Roman" w:cs="Times New Roman"/>
          <w:b w:val="0"/>
          <w:i w:val="0"/>
          <w:sz w:val="22"/>
        </w:rPr>
        <w:t>- Which systems disagree?</w:t>
      </w:r>
    </w:p>
    <w:p>
      <w:pPr>
        <w:spacing w:after="80" w:line="293" w:lineRule="auto"/>
        <w:ind w:left="283"/>
        <w:jc w:val="left"/>
      </w:pPr>
      <w:r>
        <w:rPr>
          <w:rFonts w:ascii="Times New Roman" w:hAnsi="Times New Roman" w:cs="Times New Roman"/>
          <w:b w:val="0"/>
          <w:i w:val="0"/>
          <w:sz w:val="22"/>
        </w:rPr>
        <w:t>- What financial exposure exists?</w:t>
      </w:r>
    </w:p>
    <w:p>
      <w:pPr>
        <w:spacing w:after="80" w:line="293" w:lineRule="auto"/>
        <w:ind w:left="283"/>
        <w:jc w:val="left"/>
      </w:pPr>
      <w:r>
        <w:rPr>
          <w:rFonts w:ascii="Times New Roman" w:hAnsi="Times New Roman" w:cs="Times New Roman"/>
          <w:b w:val="0"/>
          <w:i w:val="0"/>
          <w:sz w:val="22"/>
        </w:rPr>
        <w:t>- What obligations are affected?</w:t>
      </w:r>
    </w:p>
    <w:p>
      <w:pPr>
        <w:spacing w:after="80" w:line="293" w:lineRule="auto"/>
        <w:ind w:left="283"/>
        <w:jc w:val="left"/>
      </w:pPr>
      <w:r>
        <w:rPr>
          <w:rFonts w:ascii="Times New Roman" w:hAnsi="Times New Roman" w:cs="Times New Roman"/>
          <w:b w:val="0"/>
          <w:i w:val="0"/>
          <w:sz w:val="22"/>
        </w:rPr>
        <w:t>- What recovery paths are permitted?</w:t>
      </w:r>
    </w:p>
    <w:p>
      <w:pPr>
        <w:spacing w:after="80" w:line="293" w:lineRule="auto"/>
        <w:ind w:left="283"/>
        <w:jc w:val="left"/>
      </w:pPr>
      <w:r>
        <w:rPr>
          <w:rFonts w:ascii="Times New Roman" w:hAnsi="Times New Roman" w:cs="Times New Roman"/>
          <w:b w:val="0"/>
          <w:i w:val="0"/>
          <w:sz w:val="22"/>
        </w:rPr>
        <w:t>- What remains unresolved?</w:t>
      </w:r>
    </w:p>
    <w:p>
      <w:pPr>
        <w:spacing w:after="80" w:line="293" w:lineRule="auto"/>
        <w:ind w:left="283"/>
        <w:jc w:val="left"/>
      </w:pPr>
      <w:r>
        <w:rPr>
          <w:rFonts w:ascii="Times New Roman" w:hAnsi="Times New Roman" w:cs="Times New Roman"/>
          <w:b w:val="0"/>
          <w:i w:val="0"/>
          <w:sz w:val="22"/>
        </w:rPr>
        <w:t>- What is the legally and financially recognized state?</w:t>
      </w:r>
    </w:p>
    <w:p>
      <w:pPr>
        <w:keepNext/>
        <w:spacing w:before="240" w:after="100"/>
        <w:outlineLvl w:val="1"/>
      </w:pPr>
      <w:r>
        <w:rPr>
          <w:rFonts w:ascii="Arial" w:hAnsi="Arial" w:cs="Arial"/>
          <w:b/>
          <w:i w:val="0"/>
          <w:color w:val="2E528F"/>
          <w:sz w:val="26"/>
        </w:rPr>
        <w:t>19.155 Final SGTX Design Philosophy</w:t>
      </w:r>
    </w:p>
    <w:p>
      <w:pPr>
        <w:spacing w:after="80" w:line="293" w:lineRule="auto"/>
        <w:jc w:val="left"/>
      </w:pPr>
      <w:r>
        <w:rPr>
          <w:rFonts w:ascii="Times New Roman" w:hAnsi="Times New Roman" w:cs="Times New Roman"/>
          <w:b w:val="0"/>
          <w:i w:val="0"/>
          <w:sz w:val="22"/>
        </w:rPr>
        <w:t>The architecture is ultimately governed by these principles:</w:t>
      </w:r>
    </w:p>
    <w:p>
      <w:pPr>
        <w:spacing w:after="80" w:line="293" w:lineRule="auto"/>
        <w:jc w:val="left"/>
      </w:pPr>
      <w:r>
        <w:rPr>
          <w:rFonts w:ascii="Times New Roman" w:hAnsi="Times New Roman" w:cs="Times New Roman"/>
          <w:b w:val="0"/>
          <w:i w:val="0"/>
          <w:sz w:val="22"/>
        </w:rPr>
        <w:t>1. Trade is not linear. SGTX models the real world rather than pretending it is synchronized. 2. Settlement is not always closure. A financial settlement does not automatically close the entire transaction. 3. Finality is multidimensional. Execution, financial, legal and physical finality may differ. 4. History is immutable. Reversals create new events. 5. State is derived. Current state is calculated from governed events and authoritative inputs. 6. Reconciliation is execution. It is a core operational subsystem. 7. Unknown is safer than false certainty. SGTX must be allowed to say: we do not yet know. 8. Authority is domain-specific. SGTX does not replace banks, courts, regulators, customs, issuers or counterparties. 9. AI assists; policy and authorized institutions govern. AI does not become sovereign authority. 10. Recovery replaces rollback. The system moves forward by recording what happened and executing a permitted corrective path. 11. USTN correlates; it does not override. USTN is the Universal State &amp; Transaction Namespace, not the external world's universal authority. 12. The bank controls money. The bank remains responsible for funds movement and banking authorization. 13. SGTX controls orchestration. SGTX provides execution coordination, state, reconciliation, evidence, exception and recovery infrastructure within its authorized scope. 14. Closure is earned. Closure occurs only when governed closure conditions are satisfied. 15. External reality remains authoritative. SGTX integrates with the real world; it does not attempt to replace it.</w:t>
      </w:r>
    </w:p>
    <w:p>
      <w:pPr>
        <w:keepNext/>
        <w:spacing w:before="240" w:after="100"/>
        <w:outlineLvl w:val="1"/>
      </w:pPr>
      <w:r>
        <w:rPr>
          <w:rFonts w:ascii="Arial" w:hAnsi="Arial" w:cs="Arial"/>
          <w:b/>
          <w:i w:val="0"/>
          <w:color w:val="2E528F"/>
          <w:sz w:val="26"/>
        </w:rPr>
        <w:t>19.156 Final Master Architectural Statement</w:t>
      </w:r>
    </w:p>
    <w:p>
      <w:pPr>
        <w:spacing w:after="80" w:line="293" w:lineRule="auto"/>
        <w:jc w:val="left"/>
      </w:pPr>
      <w:r>
        <w:rPr>
          <w:rFonts w:ascii="Times New Roman" w:hAnsi="Times New Roman" w:cs="Times New Roman"/>
          <w:b w:val="0"/>
          <w:i w:val="0"/>
          <w:sz w:val="22"/>
        </w:rPr>
        <w:t>SGTX is a sovereign, non-custodial, AI-governed cross-border trade execution and reconciliation infrastructure that maintains a cryptographically verifiable, authority-aware, multidimensional transaction state across commercial, financial, legal, physical, documentary, compliance and regulatory domains. It does not require these domains to agree at the same moment. It preserves their differences, records their provenance, reconciles their divergence, calculates economic consequences, orchestrates permitted execution and recovery, and maintains an immutable causal history throughout the transaction lifecycle. SGTX does not erase reversals, disputes, corrections or late evidence. It records them as new governed events. It does not replace banks, courts, regulators, customs authorities, document issuers, ERPs or marketplaces. It provides the infrastructure layer through which those systems can remain authoritative within their respective domains while participating in one coherent transaction lifecycle. SGTX is therefore not merely an execution engine. It is a governed transaction-state, settlement-orchestration, reconciliation, exception, recovery and evidence infrastructure for real-world cross-border trade.</w:t>
      </w:r>
    </w:p>
    <w:p>
      <w:pPr>
        <w:keepNext/>
        <w:spacing w:before="240" w:after="100"/>
        <w:outlineLvl w:val="1"/>
      </w:pPr>
      <w:r>
        <w:rPr>
          <w:rFonts w:ascii="Arial" w:hAnsi="Arial" w:cs="Arial"/>
          <w:b/>
          <w:i w:val="0"/>
          <w:color w:val="2E528F"/>
          <w:sz w:val="26"/>
        </w:rPr>
        <w:t>19.157 Master Implementation Invariant</w:t>
      </w:r>
    </w:p>
    <w:p>
      <w:pPr>
        <w:spacing w:after="80" w:line="293" w:lineRule="auto"/>
        <w:jc w:val="left"/>
      </w:pPr>
      <w:r>
        <w:rPr>
          <w:rFonts w:ascii="Times New Roman" w:hAnsi="Times New Roman" w:cs="Times New Roman"/>
          <w:b w:val="0"/>
          <w:i w:val="0"/>
          <w:sz w:val="22"/>
        </w:rPr>
        <w:t>Before any SGTX feature, connector, workflow, AI capability, payment function, banking integration, country adapter or developer implementation is approved, it must answer:</w:t>
      </w:r>
    </w:p>
    <w:p>
      <w:pPr>
        <w:spacing w:after="80" w:line="293" w:lineRule="auto"/>
        <w:jc w:val="left"/>
      </w:pPr>
      <w:r>
        <w:rPr>
          <w:rFonts w:ascii="Times New Roman" w:hAnsi="Times New Roman" w:cs="Times New Roman"/>
          <w:b w:val="0"/>
          <w:i w:val="0"/>
          <w:sz w:val="22"/>
        </w:rPr>
        <w:t>1. Which transaction domain does it affect? 2. Which clock does it affect? 3. Which state-vector dimension does it affect? 4. Who is authoritative for that dimension? 5. What evidence is required? 6. What event records the action? 7. What USTN/lineage relationships are created? 8. Can the event arrive late or out of order? 9. Can it be duplicated? 10. Can it be reversed? 11. What financial exposure can it create? 12. What obligations can it affect? 13. What downstream dependencies can it affect? 14. What exception states can result? 15. What recovery paths are permitted? 16. Can it create a post-closure event? 17. Which policy version governs it? 18. What role, if any, can AI play? 19. What human/institutional authorization is required? 20. What jurisdiction/regulatory classification applies? 21. Does it preserve the non-custodial boundary? 22. Does it preserve external institutional authority? 23. Can the complete causal history be reconstructed? 24. Can the current state be rebuilt from the event history? 25. Can the transaction be safely reconciled if external systems disagree?</w:t>
      </w:r>
    </w:p>
    <w:p>
      <w:pPr>
        <w:spacing w:after="80" w:line="293" w:lineRule="auto"/>
        <w:jc w:val="left"/>
      </w:pPr>
      <w:r>
        <w:rPr>
          <w:rFonts w:ascii="Times New Roman" w:hAnsi="Times New Roman" w:cs="Times New Roman"/>
          <w:b w:val="0"/>
          <w:i w:val="0"/>
          <w:sz w:val="22"/>
        </w:rPr>
        <w:t>A feature that cannot answer these questions is not yet constitutionally ready for production SGTX.</w:t>
      </w:r>
    </w:p>
    <w:p>
      <w:pPr>
        <w:keepNext/>
        <w:spacing w:before="240" w:after="100"/>
        <w:outlineLvl w:val="1"/>
      </w:pPr>
      <w:r>
        <w:rPr>
          <w:rFonts w:ascii="Arial" w:hAnsi="Arial" w:cs="Arial"/>
          <w:b/>
          <w:i w:val="0"/>
          <w:color w:val="2E528F"/>
          <w:sz w:val="26"/>
        </w:rPr>
        <w:t>19.158 Master Governance Rule</w:t>
      </w:r>
    </w:p>
    <w:p>
      <w:pPr>
        <w:spacing w:after="80" w:line="293" w:lineRule="auto"/>
        <w:jc w:val="left"/>
      </w:pPr>
      <w:r>
        <w:rPr>
          <w:rFonts w:ascii="Times New Roman" w:hAnsi="Times New Roman" w:cs="Times New Roman"/>
          <w:b w:val="0"/>
          <w:i w:val="0"/>
          <w:sz w:val="22"/>
        </w:rPr>
        <w:t>No future change may introduce a new:</w:t>
      </w:r>
    </w:p>
    <w:p>
      <w:pPr>
        <w:spacing w:after="80" w:line="293" w:lineRule="auto"/>
        <w:ind w:left="283"/>
        <w:jc w:val="left"/>
      </w:pPr>
      <w:r>
        <w:rPr>
          <w:rFonts w:ascii="Times New Roman" w:hAnsi="Times New Roman" w:cs="Times New Roman"/>
          <w:b w:val="0"/>
          <w:i w:val="0"/>
          <w:sz w:val="22"/>
        </w:rPr>
        <w:t>- transaction state;</w:t>
      </w:r>
    </w:p>
    <w:p>
      <w:pPr>
        <w:spacing w:after="80" w:line="293" w:lineRule="auto"/>
        <w:ind w:left="283"/>
        <w:jc w:val="left"/>
      </w:pPr>
      <w:r>
        <w:rPr>
          <w:rFonts w:ascii="Times New Roman" w:hAnsi="Times New Roman" w:cs="Times New Roman"/>
          <w:b w:val="0"/>
          <w:i w:val="0"/>
          <w:sz w:val="22"/>
        </w:rPr>
        <w:t>- settlement state;</w:t>
      </w:r>
    </w:p>
    <w:p>
      <w:pPr>
        <w:spacing w:after="80" w:line="293" w:lineRule="auto"/>
        <w:ind w:left="283"/>
        <w:jc w:val="left"/>
      </w:pPr>
      <w:r>
        <w:rPr>
          <w:rFonts w:ascii="Times New Roman" w:hAnsi="Times New Roman" w:cs="Times New Roman"/>
          <w:b w:val="0"/>
          <w:i w:val="0"/>
          <w:sz w:val="22"/>
        </w:rPr>
        <w:t>- authority model;</w:t>
      </w:r>
    </w:p>
    <w:p>
      <w:pPr>
        <w:spacing w:after="80" w:line="293" w:lineRule="auto"/>
        <w:ind w:left="283"/>
        <w:jc w:val="left"/>
      </w:pPr>
      <w:r>
        <w:rPr>
          <w:rFonts w:ascii="Times New Roman" w:hAnsi="Times New Roman" w:cs="Times New Roman"/>
          <w:b w:val="0"/>
          <w:i w:val="0"/>
          <w:sz w:val="22"/>
        </w:rPr>
        <w:t>- financial truth model;</w:t>
      </w:r>
    </w:p>
    <w:p>
      <w:pPr>
        <w:spacing w:after="80" w:line="293" w:lineRule="auto"/>
        <w:ind w:left="283"/>
        <w:jc w:val="left"/>
      </w:pPr>
      <w:r>
        <w:rPr>
          <w:rFonts w:ascii="Times New Roman" w:hAnsi="Times New Roman" w:cs="Times New Roman"/>
          <w:b w:val="0"/>
          <w:i w:val="0"/>
          <w:sz w:val="22"/>
        </w:rPr>
        <w:t>- document truth model;</w:t>
      </w:r>
    </w:p>
    <w:p>
      <w:pPr>
        <w:spacing w:after="80" w:line="293" w:lineRule="auto"/>
        <w:ind w:left="283"/>
        <w:jc w:val="left"/>
      </w:pPr>
      <w:r>
        <w:rPr>
          <w:rFonts w:ascii="Times New Roman" w:hAnsi="Times New Roman" w:cs="Times New Roman"/>
          <w:b w:val="0"/>
          <w:i w:val="0"/>
          <w:sz w:val="22"/>
        </w:rPr>
        <w:t>- event history;</w:t>
      </w:r>
    </w:p>
    <w:p>
      <w:pPr>
        <w:spacing w:after="80" w:line="293" w:lineRule="auto"/>
        <w:ind w:left="283"/>
        <w:jc w:val="left"/>
      </w:pPr>
      <w:r>
        <w:rPr>
          <w:rFonts w:ascii="Times New Roman" w:hAnsi="Times New Roman" w:cs="Times New Roman"/>
          <w:b w:val="0"/>
          <w:i w:val="0"/>
          <w:sz w:val="22"/>
        </w:rPr>
        <w:t>- identifier namespace;</w:t>
      </w:r>
    </w:p>
    <w:p>
      <w:pPr>
        <w:spacing w:after="80" w:line="293" w:lineRule="auto"/>
        <w:ind w:left="283"/>
        <w:jc w:val="left"/>
      </w:pPr>
      <w:r>
        <w:rPr>
          <w:rFonts w:ascii="Times New Roman" w:hAnsi="Times New Roman" w:cs="Times New Roman"/>
          <w:b w:val="0"/>
          <w:i w:val="0"/>
          <w:sz w:val="22"/>
        </w:rPr>
        <w:t>- exception path;</w:t>
      </w:r>
    </w:p>
    <w:p>
      <w:pPr>
        <w:spacing w:after="80" w:line="293" w:lineRule="auto"/>
        <w:ind w:left="283"/>
        <w:jc w:val="left"/>
      </w:pPr>
      <w:r>
        <w:rPr>
          <w:rFonts w:ascii="Times New Roman" w:hAnsi="Times New Roman" w:cs="Times New Roman"/>
          <w:b w:val="0"/>
          <w:i w:val="0"/>
          <w:sz w:val="22"/>
        </w:rPr>
        <w:t>- AI authority;</w:t>
      </w:r>
    </w:p>
    <w:p>
      <w:pPr>
        <w:spacing w:after="80" w:line="293" w:lineRule="auto"/>
        <w:ind w:left="283"/>
        <w:jc w:val="left"/>
      </w:pPr>
      <w:r>
        <w:rPr>
          <w:rFonts w:ascii="Times New Roman" w:hAnsi="Times New Roman" w:cs="Times New Roman"/>
          <w:b w:val="0"/>
          <w:i w:val="0"/>
          <w:sz w:val="22"/>
        </w:rPr>
        <w:t>- recovery mechanism</w:t>
      </w:r>
    </w:p>
    <w:p>
      <w:pPr>
        <w:spacing w:after="80" w:line="293" w:lineRule="auto"/>
        <w:jc w:val="left"/>
      </w:pPr>
      <w:r>
        <w:rPr>
          <w:rFonts w:ascii="Times New Roman" w:hAnsi="Times New Roman" w:cs="Times New Roman"/>
          <w:b w:val="0"/>
          <w:i w:val="0"/>
          <w:sz w:val="22"/>
        </w:rPr>
        <w:t>without explicitly mapping it to this constitutional architecture. Duplicate concepts must be merged. Conflicting concepts must be resolved. New functionality must extend the canonical model rather than create a parallel model.</w:t>
      </w:r>
    </w:p>
    <w:p>
      <w:pPr>
        <w:keepNext/>
        <w:spacing w:before="240" w:after="100"/>
        <w:outlineLvl w:val="1"/>
      </w:pPr>
      <w:r>
        <w:rPr>
          <w:rFonts w:ascii="Arial" w:hAnsi="Arial" w:cs="Arial"/>
          <w:b/>
          <w:i w:val="0"/>
          <w:color w:val="2E528F"/>
          <w:sz w:val="26"/>
        </w:rPr>
        <w:t>19.159 Master Baseline Status</w:t>
      </w:r>
    </w:p>
    <w:p>
      <w:pPr>
        <w:spacing w:after="80" w:line="293" w:lineRule="auto"/>
        <w:jc w:val="left"/>
      </w:pPr>
      <w:r>
        <w:rPr>
          <w:rFonts w:ascii="Times New Roman" w:hAnsi="Times New Roman" w:cs="Times New Roman"/>
          <w:b w:val="0"/>
          <w:i w:val="0"/>
          <w:sz w:val="22"/>
        </w:rPr>
        <w:t>This section is the canonical SGTX baseline for transaction finality, multi-clock state, event integrity, settlement orchestration, reconciliation, exception, recovery, evidence, financial exposure, cross-border and institutional governance. The following are therefore integrated and accepted platform architecture:</w:t>
      </w:r>
    </w:p>
    <w:p>
      <w:pPr>
        <w:spacing w:after="80" w:line="293" w:lineRule="auto"/>
        <w:ind w:left="283"/>
        <w:jc w:val="left"/>
      </w:pPr>
      <w:r>
        <w:rPr>
          <w:rFonts w:ascii="Times New Roman" w:hAnsi="Times New Roman" w:cs="Times New Roman"/>
          <w:b w:val="0"/>
          <w:i w:val="0"/>
          <w:sz w:val="22"/>
        </w:rPr>
        <w:t>- Three-Clock / Multi-Clock Architecture;</w:t>
      </w:r>
    </w:p>
    <w:p>
      <w:pPr>
        <w:spacing w:after="80" w:line="293" w:lineRule="auto"/>
        <w:ind w:left="283"/>
        <w:jc w:val="left"/>
      </w:pPr>
      <w:r>
        <w:rPr>
          <w:rFonts w:ascii="Times New Roman" w:hAnsi="Times New Roman" w:cs="Times New Roman"/>
          <w:b w:val="0"/>
          <w:i w:val="0"/>
          <w:sz w:val="22"/>
        </w:rPr>
        <w:t>- Physical/Operational Clock;</w:t>
      </w:r>
    </w:p>
    <w:p>
      <w:pPr>
        <w:spacing w:after="80" w:line="293" w:lineRule="auto"/>
        <w:ind w:left="283"/>
        <w:jc w:val="left"/>
      </w:pPr>
      <w:r>
        <w:rPr>
          <w:rFonts w:ascii="Times New Roman" w:hAnsi="Times New Roman" w:cs="Times New Roman"/>
          <w:b w:val="0"/>
          <w:i w:val="0"/>
          <w:sz w:val="22"/>
        </w:rPr>
        <w:t>- State Vector;</w:t>
      </w:r>
    </w:p>
    <w:p>
      <w:pPr>
        <w:spacing w:after="80" w:line="293" w:lineRule="auto"/>
        <w:ind w:left="283"/>
        <w:jc w:val="left"/>
      </w:pPr>
      <w:r>
        <w:rPr>
          <w:rFonts w:ascii="Times New Roman" w:hAnsi="Times New Roman" w:cs="Times New Roman"/>
          <w:b w:val="0"/>
          <w:i w:val="0"/>
          <w:sz w:val="22"/>
        </w:rPr>
        <w:t>- Finality Classes;</w:t>
      </w:r>
    </w:p>
    <w:p>
      <w:pPr>
        <w:spacing w:after="80" w:line="293" w:lineRule="auto"/>
        <w:ind w:left="283"/>
        <w:jc w:val="left"/>
      </w:pPr>
      <w:r>
        <w:rPr>
          <w:rFonts w:ascii="Times New Roman" w:hAnsi="Times New Roman" w:cs="Times New Roman"/>
          <w:b w:val="0"/>
          <w:i w:val="0"/>
          <w:sz w:val="22"/>
        </w:rPr>
        <w:t>- Settlement-versus-Closure distinction;</w:t>
      </w:r>
    </w:p>
    <w:p>
      <w:pPr>
        <w:spacing w:after="80" w:line="293" w:lineRule="auto"/>
        <w:ind w:left="283"/>
        <w:jc w:val="left"/>
      </w:pPr>
      <w:r>
        <w:rPr>
          <w:rFonts w:ascii="Times New Roman" w:hAnsi="Times New Roman" w:cs="Times New Roman"/>
          <w:b w:val="0"/>
          <w:i w:val="0"/>
          <w:sz w:val="22"/>
        </w:rPr>
        <w:t>- Closure Policy Engine;</w:t>
      </w:r>
    </w:p>
    <w:p>
      <w:pPr>
        <w:spacing w:after="80" w:line="293" w:lineRule="auto"/>
        <w:ind w:left="283"/>
        <w:jc w:val="left"/>
      </w:pPr>
      <w:r>
        <w:rPr>
          <w:rFonts w:ascii="Times New Roman" w:hAnsi="Times New Roman" w:cs="Times New Roman"/>
          <w:b w:val="0"/>
          <w:i w:val="0"/>
          <w:sz w:val="22"/>
        </w:rPr>
        <w:t>- Immutable Canonical Event Spine;</w:t>
      </w:r>
    </w:p>
    <w:p>
      <w:pPr>
        <w:spacing w:after="80" w:line="293" w:lineRule="auto"/>
        <w:ind w:left="283"/>
        <w:jc w:val="left"/>
      </w:pPr>
      <w:r>
        <w:rPr>
          <w:rFonts w:ascii="Times New Roman" w:hAnsi="Times New Roman" w:cs="Times New Roman"/>
          <w:b w:val="0"/>
          <w:i w:val="0"/>
          <w:sz w:val="22"/>
        </w:rPr>
        <w:t>- Event Sourcing;</w:t>
      </w:r>
    </w:p>
    <w:p>
      <w:pPr>
        <w:spacing w:after="80" w:line="293" w:lineRule="auto"/>
        <w:ind w:left="283"/>
        <w:jc w:val="left"/>
      </w:pPr>
      <w:r>
        <w:rPr>
          <w:rFonts w:ascii="Times New Roman" w:hAnsi="Times New Roman" w:cs="Times New Roman"/>
          <w:b w:val="0"/>
          <w:i w:val="0"/>
          <w:sz w:val="22"/>
        </w:rPr>
        <w:t>- Event Causality;</w:t>
      </w:r>
    </w:p>
    <w:p>
      <w:pPr>
        <w:spacing w:after="80" w:line="293" w:lineRule="auto"/>
        <w:ind w:left="283"/>
        <w:jc w:val="left"/>
      </w:pPr>
      <w:r>
        <w:rPr>
          <w:rFonts w:ascii="Times New Roman" w:hAnsi="Times New Roman" w:cs="Times New Roman"/>
          <w:b w:val="0"/>
          <w:i w:val="0"/>
          <w:sz w:val="22"/>
        </w:rPr>
        <w:t>- Three-Timestamp Model;</w:t>
      </w:r>
    </w:p>
    <w:p>
      <w:pPr>
        <w:spacing w:after="80" w:line="293" w:lineRule="auto"/>
        <w:ind w:left="283"/>
        <w:jc w:val="left"/>
      </w:pPr>
      <w:r>
        <w:rPr>
          <w:rFonts w:ascii="Times New Roman" w:hAnsi="Times New Roman" w:cs="Times New Roman"/>
          <w:b w:val="0"/>
          <w:i w:val="0"/>
          <w:sz w:val="22"/>
        </w:rPr>
        <w:t>- Idempotency;</w:t>
      </w:r>
    </w:p>
    <w:p>
      <w:pPr>
        <w:spacing w:after="80" w:line="293" w:lineRule="auto"/>
        <w:ind w:left="283"/>
        <w:jc w:val="left"/>
      </w:pPr>
      <w:r>
        <w:rPr>
          <w:rFonts w:ascii="Times New Roman" w:hAnsi="Times New Roman" w:cs="Times New Roman"/>
          <w:b w:val="0"/>
          <w:i w:val="0"/>
          <w:sz w:val="22"/>
        </w:rPr>
        <w:t>- Out-of-Order Event Handling;</w:t>
      </w:r>
    </w:p>
    <w:p>
      <w:pPr>
        <w:spacing w:after="80" w:line="293" w:lineRule="auto"/>
        <w:ind w:left="283"/>
        <w:jc w:val="left"/>
      </w:pPr>
      <w:r>
        <w:rPr>
          <w:rFonts w:ascii="Times New Roman" w:hAnsi="Times New Roman" w:cs="Times New Roman"/>
          <w:b w:val="0"/>
          <w:i w:val="0"/>
          <w:sz w:val="22"/>
        </w:rPr>
        <w:t>- Reversal-as-New-State;</w:t>
      </w:r>
    </w:p>
    <w:p>
      <w:pPr>
        <w:spacing w:after="80" w:line="293" w:lineRule="auto"/>
        <w:ind w:left="283"/>
        <w:jc w:val="left"/>
      </w:pPr>
      <w:r>
        <w:rPr>
          <w:rFonts w:ascii="Times New Roman" w:hAnsi="Times New Roman" w:cs="Times New Roman"/>
          <w:b w:val="0"/>
          <w:i w:val="0"/>
          <w:sz w:val="22"/>
        </w:rPr>
        <w:t>- Recovery-not-Rollback;</w:t>
      </w:r>
    </w:p>
    <w:p>
      <w:pPr>
        <w:spacing w:after="80" w:line="293" w:lineRule="auto"/>
        <w:ind w:left="283"/>
        <w:jc w:val="left"/>
      </w:pPr>
      <w:r>
        <w:rPr>
          <w:rFonts w:ascii="Times New Roman" w:hAnsi="Times New Roman" w:cs="Times New Roman"/>
          <w:b w:val="0"/>
          <w:i w:val="0"/>
          <w:sz w:val="22"/>
        </w:rPr>
        <w:t>- Exception State Taxonomy;</w:t>
      </w:r>
    </w:p>
    <w:p>
      <w:pPr>
        <w:spacing w:after="80" w:line="293" w:lineRule="auto"/>
        <w:ind w:left="283"/>
        <w:jc w:val="left"/>
      </w:pPr>
      <w:r>
        <w:rPr>
          <w:rFonts w:ascii="Times New Roman" w:hAnsi="Times New Roman" w:cs="Times New Roman"/>
          <w:b w:val="0"/>
          <w:i w:val="0"/>
          <w:sz w:val="22"/>
        </w:rPr>
        <w:t>- Unknown State;</w:t>
      </w:r>
    </w:p>
    <w:p>
      <w:pPr>
        <w:spacing w:after="80" w:line="293" w:lineRule="auto"/>
        <w:ind w:left="283"/>
        <w:jc w:val="left"/>
      </w:pPr>
      <w:r>
        <w:rPr>
          <w:rFonts w:ascii="Times New Roman" w:hAnsi="Times New Roman" w:cs="Times New Roman"/>
          <w:b w:val="0"/>
          <w:i w:val="0"/>
          <w:sz w:val="22"/>
        </w:rPr>
        <w:t>- No Forced Closure;</w:t>
      </w:r>
    </w:p>
    <w:p>
      <w:pPr>
        <w:spacing w:after="80" w:line="293" w:lineRule="auto"/>
        <w:ind w:left="283"/>
        <w:jc w:val="left"/>
      </w:pPr>
      <w:r>
        <w:rPr>
          <w:rFonts w:ascii="Times New Roman" w:hAnsi="Times New Roman" w:cs="Times New Roman"/>
          <w:b w:val="0"/>
          <w:i w:val="0"/>
          <w:sz w:val="22"/>
        </w:rPr>
        <w:t>- Controlled Post-Closure Mutation;</w:t>
      </w:r>
    </w:p>
    <w:p>
      <w:pPr>
        <w:spacing w:after="80" w:line="293" w:lineRule="auto"/>
        <w:ind w:left="283"/>
        <w:jc w:val="left"/>
      </w:pPr>
      <w:r>
        <w:rPr>
          <w:rFonts w:ascii="Times New Roman" w:hAnsi="Times New Roman" w:cs="Times New Roman"/>
          <w:b w:val="0"/>
          <w:i w:val="0"/>
          <w:sz w:val="22"/>
        </w:rPr>
        <w:t>- Post-Closure Observation (with jurisdiction-specific period definition);</w:t>
      </w:r>
    </w:p>
    <w:p>
      <w:pPr>
        <w:spacing w:after="80" w:line="293" w:lineRule="auto"/>
        <w:ind w:left="283"/>
        <w:jc w:val="left"/>
      </w:pPr>
      <w:r>
        <w:rPr>
          <w:rFonts w:ascii="Times New Roman" w:hAnsi="Times New Roman" w:cs="Times New Roman"/>
          <w:b w:val="0"/>
          <w:i w:val="0"/>
          <w:sz w:val="22"/>
        </w:rPr>
        <w:t>- Reconciliation Control Plane;</w:t>
      </w:r>
    </w:p>
    <w:p>
      <w:pPr>
        <w:spacing w:after="80" w:line="293" w:lineRule="auto"/>
        <w:ind w:left="283"/>
        <w:jc w:val="left"/>
      </w:pPr>
      <w:r>
        <w:rPr>
          <w:rFonts w:ascii="Times New Roman" w:hAnsi="Times New Roman" w:cs="Times New Roman"/>
          <w:b w:val="0"/>
          <w:i w:val="0"/>
          <w:sz w:val="22"/>
        </w:rPr>
        <w:t>- State Conflict Protocol;</w:t>
      </w:r>
    </w:p>
    <w:p>
      <w:pPr>
        <w:spacing w:after="80" w:line="293" w:lineRule="auto"/>
        <w:ind w:left="283"/>
        <w:jc w:val="left"/>
      </w:pPr>
      <w:r>
        <w:rPr>
          <w:rFonts w:ascii="Times New Roman" w:hAnsi="Times New Roman" w:cs="Times New Roman"/>
          <w:b w:val="0"/>
          <w:i w:val="0"/>
          <w:sz w:val="22"/>
        </w:rPr>
        <w:t>- Authority Matrix;</w:t>
      </w:r>
    </w:p>
    <w:p>
      <w:pPr>
        <w:spacing w:after="80" w:line="293" w:lineRule="auto"/>
        <w:ind w:left="283"/>
        <w:jc w:val="left"/>
      </w:pPr>
      <w:r>
        <w:rPr>
          <w:rFonts w:ascii="Times New Roman" w:hAnsi="Times New Roman" w:cs="Times New Roman"/>
          <w:b w:val="0"/>
          <w:i w:val="0"/>
          <w:sz w:val="22"/>
        </w:rPr>
        <w:t>- Domain-Specific Authority;</w:t>
      </w:r>
    </w:p>
    <w:p>
      <w:pPr>
        <w:spacing w:after="80" w:line="293" w:lineRule="auto"/>
        <w:ind w:left="283"/>
        <w:jc w:val="left"/>
      </w:pPr>
      <w:r>
        <w:rPr>
          <w:rFonts w:ascii="Times New Roman" w:hAnsi="Times New Roman" w:cs="Times New Roman"/>
          <w:b w:val="0"/>
          <w:i w:val="0"/>
          <w:sz w:val="22"/>
        </w:rPr>
        <w:t>- Assertion-versus-Confirmation;</w:t>
      </w:r>
    </w:p>
    <w:p>
      <w:pPr>
        <w:spacing w:after="80" w:line="293" w:lineRule="auto"/>
        <w:ind w:left="283"/>
        <w:jc w:val="left"/>
      </w:pPr>
      <w:r>
        <w:rPr>
          <w:rFonts w:ascii="Times New Roman" w:hAnsi="Times New Roman" w:cs="Times New Roman"/>
          <w:b w:val="0"/>
          <w:i w:val="0"/>
          <w:sz w:val="22"/>
        </w:rPr>
        <w:t>- Evidence Integrity-versus-Authority;</w:t>
      </w:r>
    </w:p>
    <w:p>
      <w:pPr>
        <w:spacing w:after="80" w:line="293" w:lineRule="auto"/>
        <w:ind w:left="283"/>
        <w:jc w:val="left"/>
      </w:pPr>
      <w:r>
        <w:rPr>
          <w:rFonts w:ascii="Times New Roman" w:hAnsi="Times New Roman" w:cs="Times New Roman"/>
          <w:b w:val="0"/>
          <w:i w:val="0"/>
          <w:sz w:val="22"/>
        </w:rPr>
        <w:t>- Truth Triangulation;</w:t>
      </w:r>
    </w:p>
    <w:p>
      <w:pPr>
        <w:spacing w:after="80" w:line="293" w:lineRule="auto"/>
        <w:ind w:left="283"/>
        <w:jc w:val="left"/>
      </w:pPr>
      <w:r>
        <w:rPr>
          <w:rFonts w:ascii="Times New Roman" w:hAnsi="Times New Roman" w:cs="Times New Roman"/>
          <w:b w:val="0"/>
          <w:i w:val="0"/>
          <w:sz w:val="22"/>
        </w:rPr>
        <w:t>- Bank Reality Adapter;</w:t>
      </w:r>
    </w:p>
    <w:p>
      <w:pPr>
        <w:spacing w:after="80" w:line="293" w:lineRule="auto"/>
        <w:ind w:left="283"/>
        <w:jc w:val="left"/>
      </w:pPr>
      <w:r>
        <w:rPr>
          <w:rFonts w:ascii="Times New Roman" w:hAnsi="Times New Roman" w:cs="Times New Roman"/>
          <w:b w:val="0"/>
          <w:i w:val="0"/>
          <w:sz w:val="22"/>
        </w:rPr>
        <w:t>- Bank Settlement Gateway;</w:t>
      </w:r>
    </w:p>
    <w:p>
      <w:pPr>
        <w:spacing w:after="80" w:line="293" w:lineRule="auto"/>
        <w:ind w:left="283"/>
        <w:jc w:val="left"/>
      </w:pPr>
      <w:r>
        <w:rPr>
          <w:rFonts w:ascii="Times New Roman" w:hAnsi="Times New Roman" w:cs="Times New Roman"/>
          <w:b w:val="0"/>
          <w:i w:val="0"/>
          <w:sz w:val="22"/>
        </w:rPr>
        <w:t>- ISO 20022-first banking integration;</w:t>
      </w:r>
    </w:p>
    <w:p>
      <w:pPr>
        <w:spacing w:after="80" w:line="293" w:lineRule="auto"/>
        <w:ind w:left="283"/>
        <w:jc w:val="left"/>
      </w:pPr>
      <w:r>
        <w:rPr>
          <w:rFonts w:ascii="Times New Roman" w:hAnsi="Times New Roman" w:cs="Times New Roman"/>
          <w:b w:val="0"/>
          <w:i w:val="0"/>
          <w:sz w:val="22"/>
        </w:rPr>
        <w:t>- Bank/API/H2H/SFTP adapter model;</w:t>
      </w:r>
    </w:p>
    <w:p>
      <w:pPr>
        <w:spacing w:after="80" w:line="293" w:lineRule="auto"/>
        <w:ind w:left="283"/>
        <w:jc w:val="left"/>
      </w:pPr>
      <w:r>
        <w:rPr>
          <w:rFonts w:ascii="Times New Roman" w:hAnsi="Times New Roman" w:cs="Times New Roman"/>
          <w:b w:val="0"/>
          <w:i w:val="0"/>
          <w:sz w:val="22"/>
        </w:rPr>
        <w:t>- Bank-side authorization boundary;</w:t>
      </w:r>
    </w:p>
    <w:p>
      <w:pPr>
        <w:spacing w:after="80" w:line="293" w:lineRule="auto"/>
        <w:ind w:left="283"/>
        <w:jc w:val="left"/>
      </w:pPr>
      <w:r>
        <w:rPr>
          <w:rFonts w:ascii="Times New Roman" w:hAnsi="Times New Roman" w:cs="Times New Roman"/>
          <w:b w:val="0"/>
          <w:i w:val="0"/>
          <w:sz w:val="22"/>
        </w:rPr>
        <w:t>- Non-Custodial Control-Plane principle;</w:t>
      </w:r>
    </w:p>
    <w:p>
      <w:pPr>
        <w:spacing w:after="80" w:line="293" w:lineRule="auto"/>
        <w:ind w:left="283"/>
        <w:jc w:val="left"/>
      </w:pPr>
      <w:r>
        <w:rPr>
          <w:rFonts w:ascii="Times New Roman" w:hAnsi="Times New Roman" w:cs="Times New Roman"/>
          <w:b w:val="0"/>
          <w:i w:val="0"/>
          <w:sz w:val="22"/>
        </w:rPr>
        <w:t>- Regulatory Classification Gate;</w:t>
      </w:r>
    </w:p>
    <w:p>
      <w:pPr>
        <w:spacing w:after="80" w:line="293" w:lineRule="auto"/>
        <w:ind w:left="283"/>
        <w:jc w:val="left"/>
      </w:pPr>
      <w:r>
        <w:rPr>
          <w:rFonts w:ascii="Times New Roman" w:hAnsi="Times New Roman" w:cs="Times New Roman"/>
          <w:b w:val="0"/>
          <w:i w:val="0"/>
          <w:sz w:val="22"/>
        </w:rPr>
        <w:t>- Jurisdiction Capability Profiles;</w:t>
      </w:r>
    </w:p>
    <w:p>
      <w:pPr>
        <w:spacing w:after="80" w:line="293" w:lineRule="auto"/>
        <w:ind w:left="283"/>
        <w:jc w:val="left"/>
      </w:pPr>
      <w:r>
        <w:rPr>
          <w:rFonts w:ascii="Times New Roman" w:hAnsi="Times New Roman" w:cs="Times New Roman"/>
          <w:b w:val="0"/>
          <w:i w:val="0"/>
          <w:sz w:val="22"/>
        </w:rPr>
        <w:t>- Counterparty Reality &amp; Evidence;</w:t>
      </w:r>
    </w:p>
    <w:p>
      <w:pPr>
        <w:spacing w:after="80" w:line="293" w:lineRule="auto"/>
        <w:ind w:left="283"/>
        <w:jc w:val="left"/>
      </w:pPr>
      <w:r>
        <w:rPr>
          <w:rFonts w:ascii="Times New Roman" w:hAnsi="Times New Roman" w:cs="Times New Roman"/>
          <w:b w:val="0"/>
          <w:i w:val="0"/>
          <w:sz w:val="22"/>
        </w:rPr>
        <w:t>- Document Authenticity &amp; Versioning;</w:t>
      </w:r>
    </w:p>
    <w:p>
      <w:pPr>
        <w:spacing w:after="80" w:line="293" w:lineRule="auto"/>
        <w:ind w:left="283"/>
        <w:jc w:val="left"/>
      </w:pPr>
      <w:r>
        <w:rPr>
          <w:rFonts w:ascii="Times New Roman" w:hAnsi="Times New Roman" w:cs="Times New Roman"/>
          <w:b w:val="0"/>
          <w:i w:val="0"/>
          <w:sz w:val="22"/>
        </w:rPr>
        <w:t>- Cross-Border Reality Layer;</w:t>
      </w:r>
    </w:p>
    <w:p>
      <w:pPr>
        <w:spacing w:after="80" w:line="293" w:lineRule="auto"/>
        <w:ind w:left="283"/>
        <w:jc w:val="left"/>
      </w:pPr>
      <w:r>
        <w:rPr>
          <w:rFonts w:ascii="Times New Roman" w:hAnsi="Times New Roman" w:cs="Times New Roman"/>
          <w:b w:val="0"/>
          <w:i w:val="0"/>
          <w:sz w:val="22"/>
        </w:rPr>
        <w:t>- Obligation Graph;</w:t>
      </w:r>
    </w:p>
    <w:p>
      <w:pPr>
        <w:spacing w:after="80" w:line="293" w:lineRule="auto"/>
        <w:ind w:left="283"/>
        <w:jc w:val="left"/>
      </w:pPr>
      <w:r>
        <w:rPr>
          <w:rFonts w:ascii="Times New Roman" w:hAnsi="Times New Roman" w:cs="Times New Roman"/>
          <w:b w:val="0"/>
          <w:i w:val="0"/>
          <w:sz w:val="22"/>
        </w:rPr>
        <w:t>- Dependency Graph;</w:t>
      </w:r>
    </w:p>
    <w:p>
      <w:pPr>
        <w:spacing w:after="80" w:line="293" w:lineRule="auto"/>
        <w:ind w:left="283"/>
        <w:jc w:val="left"/>
      </w:pPr>
      <w:r>
        <w:rPr>
          <w:rFonts w:ascii="Times New Roman" w:hAnsi="Times New Roman" w:cs="Times New Roman"/>
          <w:b w:val="0"/>
          <w:i w:val="0"/>
          <w:sz w:val="22"/>
        </w:rPr>
        <w:t>- Recovery Graph;</w:t>
      </w:r>
    </w:p>
    <w:p>
      <w:pPr>
        <w:spacing w:after="80" w:line="293" w:lineRule="auto"/>
        <w:ind w:left="283"/>
        <w:jc w:val="left"/>
      </w:pPr>
      <w:r>
        <w:rPr>
          <w:rFonts w:ascii="Times New Roman" w:hAnsi="Times New Roman" w:cs="Times New Roman"/>
          <w:b w:val="0"/>
          <w:i w:val="0"/>
          <w:sz w:val="22"/>
        </w:rPr>
        <w:t>- Causal Impact Engine;</w:t>
      </w:r>
    </w:p>
    <w:p>
      <w:pPr>
        <w:spacing w:after="80" w:line="293" w:lineRule="auto"/>
        <w:ind w:left="283"/>
        <w:jc w:val="left"/>
      </w:pPr>
      <w:r>
        <w:rPr>
          <w:rFonts w:ascii="Times New Roman" w:hAnsi="Times New Roman" w:cs="Times New Roman"/>
          <w:b w:val="0"/>
          <w:i w:val="0"/>
          <w:sz w:val="22"/>
        </w:rPr>
        <w:t>- Exception Engine;</w:t>
      </w:r>
    </w:p>
    <w:p>
      <w:pPr>
        <w:spacing w:after="80" w:line="293" w:lineRule="auto"/>
        <w:ind w:left="283"/>
        <w:jc w:val="left"/>
      </w:pPr>
      <w:r>
        <w:rPr>
          <w:rFonts w:ascii="Times New Roman" w:hAnsi="Times New Roman" w:cs="Times New Roman"/>
          <w:b w:val="0"/>
          <w:i w:val="0"/>
          <w:sz w:val="22"/>
        </w:rPr>
        <w:t>- Exception Containment;</w:t>
      </w:r>
    </w:p>
    <w:p>
      <w:pPr>
        <w:spacing w:after="80" w:line="293" w:lineRule="auto"/>
        <w:ind w:left="283"/>
        <w:jc w:val="left"/>
      </w:pPr>
      <w:r>
        <w:rPr>
          <w:rFonts w:ascii="Times New Roman" w:hAnsi="Times New Roman" w:cs="Times New Roman"/>
          <w:b w:val="0"/>
          <w:i w:val="0"/>
          <w:sz w:val="22"/>
        </w:rPr>
        <w:t>- Exception Severity;</w:t>
      </w:r>
    </w:p>
    <w:p>
      <w:pPr>
        <w:spacing w:after="80" w:line="293" w:lineRule="auto"/>
        <w:ind w:left="283"/>
        <w:jc w:val="left"/>
      </w:pPr>
      <w:r>
        <w:rPr>
          <w:rFonts w:ascii="Times New Roman" w:hAnsi="Times New Roman" w:cs="Times New Roman"/>
          <w:b w:val="0"/>
          <w:i w:val="0"/>
          <w:sz w:val="22"/>
        </w:rPr>
        <w:t>- Exception SLAs;</w:t>
      </w:r>
    </w:p>
    <w:p>
      <w:pPr>
        <w:spacing w:after="80" w:line="293" w:lineRule="auto"/>
        <w:ind w:left="283"/>
        <w:jc w:val="left"/>
      </w:pPr>
      <w:r>
        <w:rPr>
          <w:rFonts w:ascii="Times New Roman" w:hAnsi="Times New Roman" w:cs="Times New Roman"/>
          <w:b w:val="0"/>
          <w:i w:val="0"/>
          <w:sz w:val="22"/>
        </w:rPr>
        <w:t>- Financial Position &amp; Consequence Subledger;</w:t>
      </w:r>
    </w:p>
    <w:p>
      <w:pPr>
        <w:spacing w:after="80" w:line="293" w:lineRule="auto"/>
        <w:ind w:left="283"/>
        <w:jc w:val="left"/>
      </w:pPr>
      <w:r>
        <w:rPr>
          <w:rFonts w:ascii="Times New Roman" w:hAnsi="Times New Roman" w:cs="Times New Roman"/>
          <w:b w:val="0"/>
          <w:i w:val="0"/>
          <w:sz w:val="22"/>
        </w:rPr>
        <w:t>- Financial Exposure Engine;</w:t>
      </w:r>
    </w:p>
    <w:p>
      <w:pPr>
        <w:spacing w:after="80" w:line="293" w:lineRule="auto"/>
        <w:ind w:left="283"/>
        <w:jc w:val="left"/>
      </w:pPr>
      <w:r>
        <w:rPr>
          <w:rFonts w:ascii="Times New Roman" w:hAnsi="Times New Roman" w:cs="Times New Roman"/>
          <w:b w:val="0"/>
          <w:i w:val="0"/>
          <w:sz w:val="22"/>
        </w:rPr>
        <w:t>- Leg-Level Settlement State;</w:t>
      </w:r>
    </w:p>
    <w:p>
      <w:pPr>
        <w:spacing w:after="80" w:line="293" w:lineRule="auto"/>
        <w:ind w:left="283"/>
        <w:jc w:val="left"/>
      </w:pPr>
      <w:r>
        <w:rPr>
          <w:rFonts w:ascii="Times New Roman" w:hAnsi="Times New Roman" w:cs="Times New Roman"/>
          <w:b w:val="0"/>
          <w:i w:val="0"/>
          <w:sz w:val="22"/>
        </w:rPr>
        <w:t>- Settlement Leg ID;</w:t>
      </w:r>
    </w:p>
    <w:p>
      <w:pPr>
        <w:spacing w:after="80" w:line="293" w:lineRule="auto"/>
        <w:ind w:left="283"/>
        <w:jc w:val="left"/>
      </w:pPr>
      <w:r>
        <w:rPr>
          <w:rFonts w:ascii="Times New Roman" w:hAnsi="Times New Roman" w:cs="Times New Roman"/>
          <w:b w:val="0"/>
          <w:i w:val="0"/>
          <w:sz w:val="22"/>
        </w:rPr>
        <w:t>- Settlement Instruction Lifecycle;</w:t>
      </w:r>
    </w:p>
    <w:p>
      <w:pPr>
        <w:spacing w:after="80" w:line="293" w:lineRule="auto"/>
        <w:ind w:left="283"/>
        <w:jc w:val="left"/>
      </w:pPr>
      <w:r>
        <w:rPr>
          <w:rFonts w:ascii="Times New Roman" w:hAnsi="Times New Roman" w:cs="Times New Roman"/>
          <w:b w:val="0"/>
          <w:i w:val="0"/>
          <w:sz w:val="22"/>
        </w:rPr>
        <w:t>- Settlement Instruction Versioning;</w:t>
      </w:r>
    </w:p>
    <w:p>
      <w:pPr>
        <w:spacing w:after="80" w:line="293" w:lineRule="auto"/>
        <w:ind w:left="283"/>
        <w:jc w:val="left"/>
      </w:pPr>
      <w:r>
        <w:rPr>
          <w:rFonts w:ascii="Times New Roman" w:hAnsi="Times New Roman" w:cs="Times New Roman"/>
          <w:b w:val="0"/>
          <w:i w:val="0"/>
          <w:sz w:val="22"/>
        </w:rPr>
        <w:t>- Settlement Atomicity Policy;</w:t>
      </w:r>
    </w:p>
    <w:p>
      <w:pPr>
        <w:spacing w:after="80" w:line="293" w:lineRule="auto"/>
        <w:ind w:left="283"/>
        <w:jc w:val="left"/>
      </w:pPr>
      <w:r>
        <w:rPr>
          <w:rFonts w:ascii="Times New Roman" w:hAnsi="Times New Roman" w:cs="Times New Roman"/>
          <w:b w:val="0"/>
          <w:i w:val="0"/>
          <w:sz w:val="22"/>
        </w:rPr>
        <w:t>- Payment Dependency Graph;</w:t>
      </w:r>
    </w:p>
    <w:p>
      <w:pPr>
        <w:spacing w:after="80" w:line="293" w:lineRule="auto"/>
        <w:ind w:left="283"/>
        <w:jc w:val="left"/>
      </w:pPr>
      <w:r>
        <w:rPr>
          <w:rFonts w:ascii="Times New Roman" w:hAnsi="Times New Roman" w:cs="Times New Roman"/>
          <w:b w:val="0"/>
          <w:i w:val="0"/>
          <w:sz w:val="22"/>
        </w:rPr>
        <w:t>- Funds Sufficiency Snapshot;</w:t>
      </w:r>
    </w:p>
    <w:p>
      <w:pPr>
        <w:spacing w:after="80" w:line="293" w:lineRule="auto"/>
        <w:ind w:left="283"/>
        <w:jc w:val="left"/>
      </w:pPr>
      <w:r>
        <w:rPr>
          <w:rFonts w:ascii="Times New Roman" w:hAnsi="Times New Roman" w:cs="Times New Roman"/>
          <w:b w:val="0"/>
          <w:i w:val="0"/>
          <w:sz w:val="22"/>
        </w:rPr>
        <w:t>- Payment Leg Certificate;</w:t>
      </w:r>
    </w:p>
    <w:p>
      <w:pPr>
        <w:spacing w:after="80" w:line="293" w:lineRule="auto"/>
        <w:ind w:left="283"/>
        <w:jc w:val="left"/>
      </w:pPr>
      <w:r>
        <w:rPr>
          <w:rFonts w:ascii="Times New Roman" w:hAnsi="Times New Roman" w:cs="Times New Roman"/>
          <w:b w:val="0"/>
          <w:i w:val="0"/>
          <w:sz w:val="22"/>
        </w:rPr>
        <w:t>- Bank Reference Mapping;</w:t>
      </w:r>
    </w:p>
    <w:p>
      <w:pPr>
        <w:spacing w:after="80" w:line="293" w:lineRule="auto"/>
        <w:ind w:left="283"/>
        <w:jc w:val="left"/>
      </w:pPr>
      <w:r>
        <w:rPr>
          <w:rFonts w:ascii="Times New Roman" w:hAnsi="Times New Roman" w:cs="Times New Roman"/>
          <w:b w:val="0"/>
          <w:i w:val="0"/>
          <w:sz w:val="22"/>
        </w:rPr>
        <w:t>- External Identifier Registry;</w:t>
      </w:r>
    </w:p>
    <w:p>
      <w:pPr>
        <w:spacing w:after="80" w:line="293" w:lineRule="auto"/>
        <w:ind w:left="283"/>
        <w:jc w:val="left"/>
      </w:pPr>
      <w:r>
        <w:rPr>
          <w:rFonts w:ascii="Times New Roman" w:hAnsi="Times New Roman" w:cs="Times New Roman"/>
          <w:b w:val="0"/>
          <w:i w:val="0"/>
          <w:sz w:val="22"/>
        </w:rPr>
        <w:t>- USTN as Universal State &amp; Transaction Namespace;</w:t>
      </w:r>
    </w:p>
    <w:p>
      <w:pPr>
        <w:spacing w:after="80" w:line="293" w:lineRule="auto"/>
        <w:ind w:left="283"/>
        <w:jc w:val="left"/>
      </w:pPr>
      <w:r>
        <w:rPr>
          <w:rFonts w:ascii="Times New Roman" w:hAnsi="Times New Roman" w:cs="Times New Roman"/>
          <w:b w:val="0"/>
          <w:i w:val="0"/>
          <w:sz w:val="22"/>
        </w:rPr>
        <w:t>- Nafeza/Customs Identifier Correlation;</w:t>
      </w:r>
    </w:p>
    <w:p>
      <w:pPr>
        <w:spacing w:after="80" w:line="293" w:lineRule="auto"/>
        <w:ind w:left="283"/>
        <w:jc w:val="left"/>
      </w:pPr>
      <w:r>
        <w:rPr>
          <w:rFonts w:ascii="Times New Roman" w:hAnsi="Times New Roman" w:cs="Times New Roman"/>
          <w:b w:val="0"/>
          <w:i w:val="0"/>
          <w:sz w:val="22"/>
        </w:rPr>
        <w:t>- AI Governance;</w:t>
      </w:r>
    </w:p>
    <w:p>
      <w:pPr>
        <w:spacing w:after="80" w:line="293" w:lineRule="auto"/>
        <w:ind w:left="283"/>
        <w:jc w:val="left"/>
      </w:pPr>
      <w:r>
        <w:rPr>
          <w:rFonts w:ascii="Times New Roman" w:hAnsi="Times New Roman" w:cs="Times New Roman"/>
          <w:b w:val="0"/>
          <w:i w:val="0"/>
          <w:sz w:val="22"/>
        </w:rPr>
        <w:t>- AI Recommendation Gateway;</w:t>
      </w:r>
    </w:p>
    <w:p>
      <w:pPr>
        <w:spacing w:after="80" w:line="293" w:lineRule="auto"/>
        <w:ind w:left="283"/>
        <w:jc w:val="left"/>
      </w:pPr>
      <w:r>
        <w:rPr>
          <w:rFonts w:ascii="Times New Roman" w:hAnsi="Times New Roman" w:cs="Times New Roman"/>
          <w:b w:val="0"/>
          <w:i w:val="0"/>
          <w:sz w:val="22"/>
        </w:rPr>
        <w:t>- Risk-Tiered Human/Institutional Involvement;</w:t>
      </w:r>
    </w:p>
    <w:p>
      <w:pPr>
        <w:spacing w:after="80" w:line="293" w:lineRule="auto"/>
        <w:ind w:left="283"/>
        <w:jc w:val="left"/>
      </w:pPr>
      <w:r>
        <w:rPr>
          <w:rFonts w:ascii="Times New Roman" w:hAnsi="Times New Roman" w:cs="Times New Roman"/>
          <w:b w:val="0"/>
          <w:i w:val="0"/>
          <w:sz w:val="22"/>
        </w:rPr>
        <w:t>- USTN Event Lineage;</w:t>
      </w:r>
    </w:p>
    <w:p>
      <w:pPr>
        <w:spacing w:after="80" w:line="293" w:lineRule="auto"/>
        <w:ind w:left="283"/>
        <w:jc w:val="left"/>
      </w:pPr>
      <w:r>
        <w:rPr>
          <w:rFonts w:ascii="Times New Roman" w:hAnsi="Times New Roman" w:cs="Times New Roman"/>
          <w:b w:val="0"/>
          <w:i w:val="0"/>
          <w:sz w:val="22"/>
        </w:rPr>
        <w:t>- Policy Versioning;</w:t>
      </w:r>
    </w:p>
    <w:p>
      <w:pPr>
        <w:spacing w:after="80" w:line="293" w:lineRule="auto"/>
        <w:ind w:left="283"/>
        <w:jc w:val="left"/>
      </w:pPr>
      <w:r>
        <w:rPr>
          <w:rFonts w:ascii="Times New Roman" w:hAnsi="Times New Roman" w:cs="Times New Roman"/>
          <w:b w:val="0"/>
          <w:i w:val="0"/>
          <w:sz w:val="22"/>
        </w:rPr>
        <w:t>- Policy Time Travel;</w:t>
      </w:r>
    </w:p>
    <w:p>
      <w:pPr>
        <w:spacing w:after="80" w:line="293" w:lineRule="auto"/>
        <w:ind w:left="283"/>
        <w:jc w:val="left"/>
      </w:pPr>
      <w:r>
        <w:rPr>
          <w:rFonts w:ascii="Times New Roman" w:hAnsi="Times New Roman" w:cs="Times New Roman"/>
          <w:b w:val="0"/>
          <w:i w:val="0"/>
          <w:sz w:val="22"/>
        </w:rPr>
        <w:t>- Replay Mode;</w:t>
      </w:r>
    </w:p>
    <w:p>
      <w:pPr>
        <w:spacing w:after="80" w:line="293" w:lineRule="auto"/>
        <w:ind w:left="283"/>
        <w:jc w:val="left"/>
      </w:pPr>
      <w:r>
        <w:rPr>
          <w:rFonts w:ascii="Times New Roman" w:hAnsi="Times New Roman" w:cs="Times New Roman"/>
          <w:b w:val="0"/>
          <w:i w:val="0"/>
          <w:sz w:val="22"/>
        </w:rPr>
        <w:t>- Proof-of-Execution Certificate;</w:t>
      </w:r>
    </w:p>
    <w:p>
      <w:pPr>
        <w:spacing w:after="80" w:line="293" w:lineRule="auto"/>
        <w:ind w:left="283"/>
        <w:jc w:val="left"/>
      </w:pPr>
      <w:r>
        <w:rPr>
          <w:rFonts w:ascii="Times New Roman" w:hAnsi="Times New Roman" w:cs="Times New Roman"/>
          <w:b w:val="0"/>
          <w:i w:val="0"/>
          <w:sz w:val="22"/>
        </w:rPr>
        <w:t>- Settlement Certificate;</w:t>
      </w:r>
    </w:p>
    <w:p>
      <w:pPr>
        <w:spacing w:after="80" w:line="293" w:lineRule="auto"/>
        <w:ind w:left="283"/>
        <w:jc w:val="left"/>
      </w:pPr>
      <w:r>
        <w:rPr>
          <w:rFonts w:ascii="Times New Roman" w:hAnsi="Times New Roman" w:cs="Times New Roman"/>
          <w:b w:val="0"/>
          <w:i w:val="0"/>
          <w:sz w:val="22"/>
        </w:rPr>
        <w:t>- Closure Certificate;</w:t>
      </w:r>
    </w:p>
    <w:p>
      <w:pPr>
        <w:spacing w:after="80" w:line="293" w:lineRule="auto"/>
        <w:ind w:left="283"/>
        <w:jc w:val="left"/>
      </w:pPr>
      <w:r>
        <w:rPr>
          <w:rFonts w:ascii="Times New Roman" w:hAnsi="Times New Roman" w:cs="Times New Roman"/>
          <w:b w:val="0"/>
          <w:i w:val="0"/>
          <w:sz w:val="22"/>
        </w:rPr>
        <w:t>- Transaction Twin;</w:t>
      </w:r>
    </w:p>
    <w:p>
      <w:pPr>
        <w:spacing w:after="80" w:line="293" w:lineRule="auto"/>
        <w:ind w:left="283"/>
        <w:jc w:val="left"/>
      </w:pPr>
      <w:r>
        <w:rPr>
          <w:rFonts w:ascii="Times New Roman" w:hAnsi="Times New Roman" w:cs="Times New Roman"/>
          <w:b w:val="0"/>
          <w:i w:val="0"/>
          <w:sz w:val="22"/>
        </w:rPr>
        <w:t>- Dispute Packet;</w:t>
      </w:r>
    </w:p>
    <w:p>
      <w:pPr>
        <w:spacing w:after="80" w:line="293" w:lineRule="auto"/>
        <w:ind w:left="283"/>
        <w:jc w:val="left"/>
      </w:pPr>
      <w:r>
        <w:rPr>
          <w:rFonts w:ascii="Times New Roman" w:hAnsi="Times New Roman" w:cs="Times New Roman"/>
          <w:b w:val="0"/>
          <w:i w:val="0"/>
          <w:sz w:val="22"/>
        </w:rPr>
        <w:t>- Recovery Vault;</w:t>
      </w:r>
    </w:p>
    <w:p>
      <w:pPr>
        <w:spacing w:after="80" w:line="293" w:lineRule="auto"/>
        <w:ind w:left="283"/>
        <w:jc w:val="left"/>
      </w:pPr>
      <w:r>
        <w:rPr>
          <w:rFonts w:ascii="Times New Roman" w:hAnsi="Times New Roman" w:cs="Times New Roman"/>
          <w:b w:val="0"/>
          <w:i w:val="0"/>
          <w:sz w:val="22"/>
        </w:rPr>
        <w:t>- Evidence-First Principle;</w:t>
      </w:r>
    </w:p>
    <w:p>
      <w:pPr>
        <w:spacing w:after="80" w:line="293" w:lineRule="auto"/>
        <w:ind w:left="283"/>
        <w:jc w:val="left"/>
      </w:pPr>
      <w:r>
        <w:rPr>
          <w:rFonts w:ascii="Times New Roman" w:hAnsi="Times New Roman" w:cs="Times New Roman"/>
          <w:b w:val="0"/>
          <w:i w:val="0"/>
          <w:sz w:val="22"/>
        </w:rPr>
        <w:t>- Provisional States;</w:t>
      </w:r>
    </w:p>
    <w:p>
      <w:pPr>
        <w:spacing w:after="80" w:line="293" w:lineRule="auto"/>
        <w:ind w:left="283"/>
        <w:jc w:val="left"/>
      </w:pPr>
      <w:r>
        <w:rPr>
          <w:rFonts w:ascii="Times New Roman" w:hAnsi="Times New Roman" w:cs="Times New Roman"/>
          <w:b w:val="0"/>
          <w:i w:val="0"/>
          <w:sz w:val="22"/>
        </w:rPr>
        <w:t>- No Silent Repair;</w:t>
      </w:r>
    </w:p>
    <w:p>
      <w:pPr>
        <w:spacing w:after="80" w:line="293" w:lineRule="auto"/>
        <w:ind w:left="283"/>
        <w:jc w:val="left"/>
      </w:pPr>
      <w:r>
        <w:rPr>
          <w:rFonts w:ascii="Times New Roman" w:hAnsi="Times New Roman" w:cs="Times New Roman"/>
          <w:b w:val="0"/>
          <w:i w:val="0"/>
          <w:sz w:val="22"/>
        </w:rPr>
        <w:t>- State Integrity;</w:t>
      </w:r>
    </w:p>
    <w:p>
      <w:pPr>
        <w:spacing w:after="80" w:line="293" w:lineRule="auto"/>
        <w:ind w:left="283"/>
        <w:jc w:val="left"/>
      </w:pPr>
      <w:r>
        <w:rPr>
          <w:rFonts w:ascii="Times New Roman" w:hAnsi="Times New Roman" w:cs="Times New Roman"/>
          <w:b w:val="0"/>
          <w:i w:val="0"/>
          <w:sz w:val="22"/>
        </w:rPr>
        <w:t>- Reconciliation Confidence;</w:t>
      </w:r>
    </w:p>
    <w:p>
      <w:pPr>
        <w:spacing w:after="80" w:line="293" w:lineRule="auto"/>
        <w:ind w:left="283"/>
        <w:jc w:val="left"/>
      </w:pPr>
      <w:r>
        <w:rPr>
          <w:rFonts w:ascii="Times New Roman" w:hAnsi="Times New Roman" w:cs="Times New Roman"/>
          <w:b w:val="0"/>
          <w:i w:val="0"/>
          <w:sz w:val="22"/>
        </w:rPr>
        <w:t>- Divergence Index;</w:t>
      </w:r>
    </w:p>
    <w:p>
      <w:pPr>
        <w:spacing w:after="80" w:line="293" w:lineRule="auto"/>
        <w:ind w:left="283"/>
        <w:jc w:val="left"/>
      </w:pPr>
      <w:r>
        <w:rPr>
          <w:rFonts w:ascii="Times New Roman" w:hAnsi="Times New Roman" w:cs="Times New Roman"/>
          <w:b w:val="0"/>
          <w:i w:val="0"/>
          <w:sz w:val="22"/>
        </w:rPr>
        <w:t>- Transaction Health;</w:t>
      </w:r>
    </w:p>
    <w:p>
      <w:pPr>
        <w:spacing w:after="80" w:line="293" w:lineRule="auto"/>
        <w:ind w:left="283"/>
        <w:jc w:val="left"/>
      </w:pPr>
      <w:r>
        <w:rPr>
          <w:rFonts w:ascii="Times New Roman" w:hAnsi="Times New Roman" w:cs="Times New Roman"/>
          <w:b w:val="0"/>
          <w:i w:val="0"/>
          <w:sz w:val="22"/>
        </w:rPr>
        <w:t>- Responsibility / Liability Matrix;</w:t>
      </w:r>
    </w:p>
    <w:p>
      <w:pPr>
        <w:spacing w:after="80" w:line="293" w:lineRule="auto"/>
        <w:ind w:left="283"/>
        <w:jc w:val="left"/>
      </w:pPr>
      <w:r>
        <w:rPr>
          <w:rFonts w:ascii="Times New Roman" w:hAnsi="Times New Roman" w:cs="Times New Roman"/>
          <w:b w:val="0"/>
          <w:i w:val="0"/>
          <w:sz w:val="22"/>
        </w:rPr>
        <w:t>- Institutional Output Model;</w:t>
      </w:r>
    </w:p>
    <w:p>
      <w:pPr>
        <w:spacing w:after="80" w:line="293" w:lineRule="auto"/>
        <w:ind w:left="283"/>
        <w:jc w:val="left"/>
      </w:pPr>
      <w:r>
        <w:rPr>
          <w:rFonts w:ascii="Times New Roman" w:hAnsi="Times New Roman" w:cs="Times New Roman"/>
          <w:b w:val="0"/>
          <w:i w:val="0"/>
          <w:sz w:val="22"/>
        </w:rPr>
        <w:t>- Technology Stack Alignment;</w:t>
      </w:r>
    </w:p>
    <w:p>
      <w:pPr>
        <w:spacing w:after="80" w:line="293" w:lineRule="auto"/>
        <w:ind w:left="283"/>
        <w:jc w:val="left"/>
      </w:pPr>
      <w:r>
        <w:rPr>
          <w:rFonts w:ascii="Times New Roman" w:hAnsi="Times New Roman" w:cs="Times New Roman"/>
          <w:b w:val="0"/>
          <w:i w:val="0"/>
          <w:sz w:val="22"/>
        </w:rPr>
        <w:t>- Constitutional Governance;</w:t>
      </w:r>
    </w:p>
    <w:p>
      <w:pPr>
        <w:spacing w:after="80" w:line="293" w:lineRule="auto"/>
        <w:ind w:left="283"/>
        <w:jc w:val="left"/>
      </w:pPr>
      <w:r>
        <w:rPr>
          <w:rFonts w:ascii="Times New Roman" w:hAnsi="Times New Roman" w:cs="Times New Roman"/>
          <w:b w:val="0"/>
          <w:i w:val="0"/>
          <w:sz w:val="22"/>
        </w:rPr>
        <w:t>- Failure-path-first testing;</w:t>
      </w:r>
    </w:p>
    <w:p>
      <w:pPr>
        <w:spacing w:after="80" w:line="293" w:lineRule="auto"/>
        <w:ind w:left="283"/>
        <w:jc w:val="left"/>
      </w:pPr>
      <w:r>
        <w:rPr>
          <w:rFonts w:ascii="Times New Roman" w:hAnsi="Times New Roman" w:cs="Times New Roman"/>
          <w:b w:val="0"/>
          <w:i w:val="0"/>
          <w:sz w:val="22"/>
        </w:rPr>
        <w:t>- Regulatory Classification by actual functionality;</w:t>
      </w:r>
    </w:p>
    <w:p>
      <w:pPr>
        <w:spacing w:after="80" w:line="293" w:lineRule="auto"/>
        <w:ind w:left="283"/>
        <w:jc w:val="left"/>
      </w:pPr>
      <w:r>
        <w:rPr>
          <w:rFonts w:ascii="Times New Roman" w:hAnsi="Times New Roman" w:cs="Times New Roman"/>
          <w:b w:val="0"/>
          <w:i w:val="0"/>
          <w:sz w:val="22"/>
        </w:rPr>
        <w:t>- Bank-controlled funds execution;</w:t>
      </w:r>
    </w:p>
    <w:p>
      <w:pPr>
        <w:spacing w:after="80" w:line="293" w:lineRule="auto"/>
        <w:ind w:left="283"/>
        <w:jc w:val="left"/>
      </w:pPr>
      <w:r>
        <w:rPr>
          <w:rFonts w:ascii="Times New Roman" w:hAnsi="Times New Roman" w:cs="Times New Roman"/>
          <w:b w:val="0"/>
          <w:i w:val="0"/>
          <w:sz w:val="22"/>
        </w:rPr>
        <w:t>- Cross-system state reconciliation;</w:t>
      </w:r>
    </w:p>
    <w:p>
      <w:pPr>
        <w:spacing w:after="80" w:line="293" w:lineRule="auto"/>
        <w:ind w:left="283"/>
        <w:jc w:val="left"/>
      </w:pPr>
      <w:r>
        <w:rPr>
          <w:rFonts w:ascii="Times New Roman" w:hAnsi="Times New Roman" w:cs="Times New Roman"/>
          <w:b w:val="0"/>
          <w:i w:val="0"/>
          <w:sz w:val="22"/>
        </w:rPr>
        <w:t>- Observation vs Assertion vs Confirmation distinction;</w:t>
      </w:r>
    </w:p>
    <w:p>
      <w:pPr>
        <w:spacing w:after="80" w:line="293" w:lineRule="auto"/>
        <w:ind w:left="283"/>
        <w:jc w:val="left"/>
      </w:pPr>
      <w:r>
        <w:rPr>
          <w:rFonts w:ascii="Times New Roman" w:hAnsi="Times New Roman" w:cs="Times New Roman"/>
          <w:b w:val="0"/>
          <w:i w:val="0"/>
          <w:sz w:val="22"/>
        </w:rPr>
        <w:t>- Command vs Event architectural pattern.</w:t>
      </w:r>
    </w:p>
    <w:p>
      <w:pPr>
        <w:spacing w:after="80" w:line="293" w:lineRule="auto"/>
        <w:jc w:val="left"/>
      </w:pPr>
      <w:r>
        <w:rPr>
          <w:rFonts w:ascii="Times New Roman" w:hAnsi="Times New Roman" w:cs="Times New Roman"/>
          <w:b w:val="0"/>
          <w:i w:val="0"/>
          <w:sz w:val="22"/>
        </w:rPr>
        <w:t>These concepts are defined once in this canonical framework. Components consume the canonical definitions rather than maintaining parallel variants (see Article 19.158).</w:t>
      </w:r>
    </w:p>
    <w:p>
      <w:pPr>
        <w:keepNext/>
        <w:spacing w:before="180" w:after="80"/>
        <w:outlineLvl w:val="2"/>
      </w:pPr>
      <w:r>
        <w:rPr>
          <w:rFonts w:ascii="Arial" w:hAnsi="Arial" w:cs="Arial"/>
          <w:b/>
          <w:i w:val="0"/>
          <w:color w:val="333333"/>
          <w:sz w:val="23"/>
        </w:rPr>
        <w:t>19.159.1 Canonical Distinction: Observation, Assertion, Confirmation</w:t>
      </w:r>
    </w:p>
    <w:p>
      <w:pPr>
        <w:spacing w:after="80" w:line="293" w:lineRule="auto"/>
        <w:jc w:val="left"/>
      </w:pPr>
      <w:r>
        <w:rPr>
          <w:rFonts w:ascii="Times New Roman" w:hAnsi="Times New Roman" w:cs="Times New Roman"/>
          <w:b w:val="0"/>
          <w:i w:val="0"/>
          <w:sz w:val="22"/>
        </w:rPr>
        <w:t>SGTX explicitly distinguishes three types of events: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Event Type</w:t>
            </w:r>
          </w:p>
        </w:tc>
        <w:tc>
          <w:tcPr>
            <w:tcW w:type="dxa" w:w="3213"/>
            <w:shd w:val="clear" w:fill="D9E2F3"/>
          </w:tcPr>
          <w:p>
            <w:pPr>
              <w:spacing w:after="20" w:before="20" w:line="240" w:lineRule="auto"/>
            </w:pPr>
            <w:r/>
            <w:r>
              <w:rPr>
                <w:rFonts w:ascii="Arial" w:hAnsi="Arial" w:cs="Arial"/>
                <w:b/>
                <w:i w:val="0"/>
                <w:sz w:val="18"/>
              </w:rPr>
              <w:t>Meaning</w:t>
            </w:r>
          </w:p>
        </w:tc>
        <w:tc>
          <w:tcPr>
            <w:tcW w:type="dxa" w:w="3213"/>
            <w:shd w:val="clear" w:fill="D9E2F3"/>
          </w:tcPr>
          <w:p>
            <w:pPr>
              <w:spacing w:after="20" w:before="20" w:line="240" w:lineRule="auto"/>
            </w:pPr>
            <w:r/>
            <w:r>
              <w:rPr>
                <w:rFonts w:ascii="Arial" w:hAnsi="Arial" w:cs="Arial"/>
                <w:b/>
                <w:i w:val="0"/>
                <w:sz w:val="18"/>
              </w:rPr>
              <w:t>Example</w:t>
            </w:r>
          </w:p>
        </w:tc>
      </w:tr>
      <w:tr>
        <w:tc>
          <w:tcPr>
            <w:tcW w:type="dxa" w:w="3213"/>
          </w:tcPr>
          <w:p>
            <w:pPr>
              <w:spacing w:after="20" w:before="20" w:line="240" w:lineRule="auto"/>
            </w:pPr>
            <w:r/>
            <w:r>
              <w:rPr>
                <w:rFonts w:ascii="Arial" w:hAnsi="Arial" w:cs="Arial"/>
                <w:b w:val="0"/>
                <w:i w:val="0"/>
                <w:sz w:val="17"/>
              </w:rPr>
              <w:t>Observation</w:t>
            </w:r>
          </w:p>
        </w:tc>
        <w:tc>
          <w:tcPr>
            <w:tcW w:type="dxa" w:w="3213"/>
          </w:tcPr>
          <w:p>
            <w:pPr>
              <w:spacing w:after="20" w:before="20" w:line="240" w:lineRule="auto"/>
            </w:pPr>
            <w:r/>
            <w:r>
              <w:rPr>
                <w:rFonts w:ascii="Arial" w:hAnsi="Arial" w:cs="Arial"/>
                <w:b w:val="0"/>
                <w:i w:val="0"/>
                <w:sz w:val="17"/>
              </w:rPr>
              <w:t>SGTX observed an external condition or message. An observation is a record of receipt. It does not by itself imply authenticity or authority.</w:t>
            </w:r>
          </w:p>
        </w:tc>
        <w:tc>
          <w:tcPr>
            <w:tcW w:type="dxa" w:w="3213"/>
          </w:tcPr>
          <w:p>
            <w:pPr>
              <w:spacing w:after="20" w:before="20" w:line="240" w:lineRule="auto"/>
            </w:pPr>
            <w:r/>
            <w:r>
              <w:rPr>
                <w:rFonts w:ascii="Arial" w:hAnsi="Arial" w:cs="Arial"/>
                <w:b w:val="0"/>
                <w:i w:val="0"/>
                <w:sz w:val="17"/>
              </w:rPr>
              <w:t>Bank webhook received.</w:t>
            </w:r>
          </w:p>
        </w:tc>
      </w:tr>
      <w:tr>
        <w:tc>
          <w:tcPr>
            <w:tcW w:type="dxa" w:w="3213"/>
          </w:tcPr>
          <w:p>
            <w:pPr>
              <w:spacing w:after="20" w:before="20" w:line="240" w:lineRule="auto"/>
            </w:pPr>
            <w:r/>
            <w:r>
              <w:rPr>
                <w:rFonts w:ascii="Arial" w:hAnsi="Arial" w:cs="Arial"/>
                <w:b w:val="0"/>
                <w:i w:val="0"/>
                <w:sz w:val="17"/>
              </w:rPr>
              <w:t>Assertion</w:t>
            </w:r>
          </w:p>
        </w:tc>
        <w:tc>
          <w:tcPr>
            <w:tcW w:type="dxa" w:w="3213"/>
          </w:tcPr>
          <w:p>
            <w:pPr>
              <w:spacing w:after="20" w:before="20" w:line="240" w:lineRule="auto"/>
            </w:pPr>
            <w:r/>
            <w:r>
              <w:rPr>
                <w:rFonts w:ascii="Arial" w:hAnsi="Arial" w:cs="Arial"/>
                <w:b w:val="0"/>
                <w:i w:val="0"/>
                <w:sz w:val="17"/>
              </w:rPr>
              <w:t>A person or system claims that something happened. An assertion is a claim. It has evidentiary value but is not authoritative confirmation.</w:t>
            </w:r>
          </w:p>
        </w:tc>
        <w:tc>
          <w:tcPr>
            <w:tcW w:type="dxa" w:w="3213"/>
          </w:tcPr>
          <w:p>
            <w:pPr>
              <w:spacing w:after="20" w:before="20" w:line="240" w:lineRule="auto"/>
            </w:pPr>
            <w:r/>
            <w:r>
              <w:rPr>
                <w:rFonts w:ascii="Arial" w:hAnsi="Arial" w:cs="Arial"/>
                <w:b w:val="0"/>
                <w:i w:val="0"/>
                <w:sz w:val="17"/>
              </w:rPr>
              <w:t>Counterparty says payment was received.</w:t>
            </w:r>
          </w:p>
        </w:tc>
      </w:tr>
      <w:tr>
        <w:tc>
          <w:tcPr>
            <w:tcW w:type="dxa" w:w="3213"/>
          </w:tcPr>
          <w:p>
            <w:pPr>
              <w:spacing w:after="20" w:before="20" w:line="240" w:lineRule="auto"/>
            </w:pPr>
            <w:r/>
            <w:r>
              <w:rPr>
                <w:rFonts w:ascii="Arial" w:hAnsi="Arial" w:cs="Arial"/>
                <w:b w:val="0"/>
                <w:i w:val="0"/>
                <w:sz w:val="17"/>
              </w:rPr>
              <w:t>Confirmation</w:t>
            </w:r>
          </w:p>
        </w:tc>
        <w:tc>
          <w:tcPr>
            <w:tcW w:type="dxa" w:w="3213"/>
          </w:tcPr>
          <w:p>
            <w:pPr>
              <w:spacing w:after="20" w:before="20" w:line="240" w:lineRule="auto"/>
            </w:pPr>
            <w:r/>
            <w:r>
              <w:rPr>
                <w:rFonts w:ascii="Arial" w:hAnsi="Arial" w:cs="Arial"/>
                <w:b w:val="0"/>
                <w:i w:val="0"/>
                <w:sz w:val="17"/>
              </w:rPr>
              <w:t>An authoritative system confirms that something happened. A confirmation is authoritative within the relevant domain.</w:t>
            </w:r>
          </w:p>
        </w:tc>
        <w:tc>
          <w:tcPr>
            <w:tcW w:type="dxa" w:w="3213"/>
          </w:tcPr>
          <w:p>
            <w:pPr>
              <w:spacing w:after="20" w:before="20" w:line="240" w:lineRule="auto"/>
            </w:pPr>
            <w:r/>
            <w:r>
              <w:rPr>
                <w:rFonts w:ascii="Arial" w:hAnsi="Arial" w:cs="Arial"/>
                <w:b w:val="0"/>
                <w:i w:val="0"/>
                <w:sz w:val="17"/>
              </w:rPr>
              <w:t>Bank confirms settlement.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These are distinct event types in the event spine. The reconciliation engine uses this distinction to evaluate evidence strength and authority.</w:t>
      </w:r>
    </w:p>
    <w:p>
      <w:pPr>
        <w:keepNext/>
        <w:spacing w:before="180" w:after="80"/>
        <w:outlineLvl w:val="2"/>
      </w:pPr>
      <w:r>
        <w:rPr>
          <w:rFonts w:ascii="Arial" w:hAnsi="Arial" w:cs="Arial"/>
          <w:b/>
          <w:i w:val="0"/>
          <w:color w:val="333333"/>
          <w:sz w:val="23"/>
        </w:rPr>
        <w:t>19.159.2 Canonical Distinction: Command vs Event</w:t>
      </w:r>
    </w:p>
    <w:p>
      <w:pPr>
        <w:spacing w:after="80" w:line="293" w:lineRule="auto"/>
        <w:jc w:val="left"/>
      </w:pPr>
      <w:r>
        <w:rPr>
          <w:rFonts w:ascii="Times New Roman" w:hAnsi="Times New Roman" w:cs="Times New Roman"/>
          <w:b w:val="0"/>
          <w:i w:val="0"/>
          <w:sz w:val="22"/>
        </w:rPr>
        <w:t>SGTX explicitly distinguishes: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Construct</w:t>
            </w:r>
          </w:p>
        </w:tc>
        <w:tc>
          <w:tcPr>
            <w:tcW w:type="dxa" w:w="3213"/>
            <w:shd w:val="clear" w:fill="D9E2F3"/>
          </w:tcPr>
          <w:p>
            <w:pPr>
              <w:spacing w:after="20" w:before="20" w:line="240" w:lineRule="auto"/>
            </w:pPr>
            <w:r/>
            <w:r>
              <w:rPr>
                <w:rFonts w:ascii="Arial" w:hAnsi="Arial" w:cs="Arial"/>
                <w:b/>
                <w:i w:val="0"/>
                <w:sz w:val="18"/>
              </w:rPr>
              <w:t>Meaning</w:t>
            </w:r>
          </w:p>
        </w:tc>
        <w:tc>
          <w:tcPr>
            <w:tcW w:type="dxa" w:w="3213"/>
            <w:shd w:val="clear" w:fill="D9E2F3"/>
          </w:tcPr>
          <w:p>
            <w:pPr>
              <w:spacing w:after="20" w:before="20" w:line="240" w:lineRule="auto"/>
            </w:pPr>
            <w:r/>
            <w:r>
              <w:rPr>
                <w:rFonts w:ascii="Arial" w:hAnsi="Arial" w:cs="Arial"/>
                <w:b/>
                <w:i w:val="0"/>
                <w:sz w:val="18"/>
              </w:rPr>
              <w:t>Example</w:t>
            </w:r>
          </w:p>
        </w:tc>
      </w:tr>
      <w:tr>
        <w:tc>
          <w:tcPr>
            <w:tcW w:type="dxa" w:w="3213"/>
          </w:tcPr>
          <w:p>
            <w:pPr>
              <w:spacing w:after="20" w:before="20" w:line="240" w:lineRule="auto"/>
            </w:pPr>
            <w:r/>
            <w:r>
              <w:rPr>
                <w:rFonts w:ascii="Arial" w:hAnsi="Arial" w:cs="Arial"/>
                <w:b w:val="0"/>
                <w:i w:val="0"/>
                <w:sz w:val="17"/>
              </w:rPr>
              <w:t>Command</w:t>
            </w:r>
          </w:p>
        </w:tc>
        <w:tc>
          <w:tcPr>
            <w:tcW w:type="dxa" w:w="3213"/>
          </w:tcPr>
          <w:p>
            <w:pPr>
              <w:spacing w:after="20" w:before="20" w:line="240" w:lineRule="auto"/>
            </w:pPr>
            <w:r/>
            <w:r>
              <w:rPr>
                <w:rFonts w:ascii="Arial" w:hAnsi="Arial" w:cs="Arial"/>
                <w:b w:val="0"/>
                <w:i w:val="0"/>
                <w:sz w:val="17"/>
              </w:rPr>
              <w:t>A request to cause an action. A command is a request. It is not yet authoritative history.</w:t>
            </w:r>
          </w:p>
        </w:tc>
        <w:tc>
          <w:tcPr>
            <w:tcW w:type="dxa" w:w="3213"/>
          </w:tcPr>
          <w:p>
            <w:pPr>
              <w:spacing w:after="20" w:before="20" w:line="240" w:lineRule="auto"/>
            </w:pPr>
            <w:r/>
            <w:r>
              <w:rPr>
                <w:rFonts w:ascii="Arial" w:hAnsi="Arial" w:cs="Arial"/>
                <w:b w:val="0"/>
                <w:i w:val="0"/>
                <w:sz w:val="17"/>
              </w:rPr>
              <w:t>Submit Settlement Instruction.</w:t>
            </w:r>
          </w:p>
        </w:tc>
      </w:tr>
      <w:tr>
        <w:tc>
          <w:tcPr>
            <w:tcW w:type="dxa" w:w="3213"/>
          </w:tcPr>
          <w:p>
            <w:pPr>
              <w:spacing w:after="20" w:before="20" w:line="240" w:lineRule="auto"/>
            </w:pPr>
            <w:r/>
            <w:r>
              <w:rPr>
                <w:rFonts w:ascii="Arial" w:hAnsi="Arial" w:cs="Arial"/>
                <w:b w:val="0"/>
                <w:i w:val="0"/>
                <w:sz w:val="17"/>
              </w:rPr>
              <w:t>Event</w:t>
            </w:r>
          </w:p>
        </w:tc>
        <w:tc>
          <w:tcPr>
            <w:tcW w:type="dxa" w:w="3213"/>
          </w:tcPr>
          <w:p>
            <w:pPr>
              <w:spacing w:after="20" w:before="20" w:line="240" w:lineRule="auto"/>
            </w:pPr>
            <w:r/>
            <w:r>
              <w:rPr>
                <w:rFonts w:ascii="Arial" w:hAnsi="Arial" w:cs="Arial"/>
                <w:b w:val="0"/>
                <w:i w:val="0"/>
                <w:sz w:val="17"/>
              </w:rPr>
              <w:t>A record that the action occurred, was accepted, or was rejected. An event is authoritative history.</w:t>
            </w:r>
          </w:p>
        </w:tc>
        <w:tc>
          <w:tcPr>
            <w:tcW w:type="dxa" w:w="3213"/>
          </w:tcPr>
          <w:p>
            <w:pPr>
              <w:spacing w:after="20" w:before="20" w:line="240" w:lineRule="auto"/>
            </w:pPr>
            <w:r/>
            <w:r>
              <w:rPr>
                <w:rFonts w:ascii="Arial" w:hAnsi="Arial" w:cs="Arial"/>
                <w:b w:val="0"/>
                <w:i w:val="0"/>
                <w:sz w:val="17"/>
              </w:rPr>
              <w:t>SETTLEMENT_INSTRUCTION_SUBMITTED.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Command is not an Event. The flow is:</w:t>
      </w:r>
    </w:p>
    <w:p>
      <w:pPr>
        <w:spacing w:after="0" w:before="0" w:line="240" w:lineRule="auto"/>
        <w:ind w:left="57"/>
        <w:jc w:val="left"/>
        <w:shd w:val="clear" w:fill="F2F2F2"/>
      </w:pPr>
      <w:r>
        <w:rPr>
          <w:rFonts w:ascii="Consolas" w:hAnsi="Consolas" w:cs="Consolas"/>
          <w:b w:val="0"/>
          <w:i w:val="0"/>
          <w:sz w:val="15"/>
        </w:rPr>
        <w:t>COMMAND → Policy / Authority / Evidence Validation → EVENT (if accepted)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or:</w:t>
      </w:r>
    </w:p>
    <w:p>
      <w:pPr>
        <w:spacing w:after="0" w:before="0" w:line="240" w:lineRule="auto"/>
        <w:ind w:left="57"/>
        <w:jc w:val="left"/>
        <w:shd w:val="clear" w:fill="F2F2F2"/>
      </w:pPr>
      <w:r>
        <w:rPr>
          <w:rFonts w:ascii="Consolas" w:hAnsi="Consolas" w:cs="Consolas"/>
          <w:b w:val="0"/>
          <w:i w:val="0"/>
          <w:sz w:val="15"/>
        </w:rPr>
        <w:t>COMMAND → Policy / Authority / Evidence Validation → REJECTION_EVENT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An API request itself must not become authoritative history unless it passes through the governed control path. This prevents unauthorized state mutations and preserves the integrity of the event spine.</w:t>
      </w:r>
    </w:p>
    <w:p>
      <w:pPr>
        <w:keepNext/>
        <w:spacing w:before="240" w:after="100"/>
        <w:outlineLvl w:val="1"/>
      </w:pPr>
      <w:r>
        <w:rPr>
          <w:rFonts w:ascii="Arial" w:hAnsi="Arial" w:cs="Arial"/>
          <w:b/>
          <w:i w:val="0"/>
          <w:color w:val="2E528F"/>
          <w:sz w:val="26"/>
        </w:rPr>
        <w:t>19.160 Canonical Data Model</w:t>
      </w:r>
    </w:p>
    <w:p>
      <w:pPr>
        <w:spacing w:after="80" w:line="293" w:lineRule="auto"/>
        <w:jc w:val="left"/>
      </w:pPr>
      <w:r>
        <w:rPr>
          <w:rFonts w:ascii="Times New Roman" w:hAnsi="Times New Roman" w:cs="Times New Roman"/>
          <w:b w:val="0"/>
          <w:i w:val="0"/>
          <w:sz w:val="22"/>
        </w:rPr>
        <w:t>The canonical data model is maintained as a supporting specification to this architecture, implemented in the platform schema (see Section 17). It includes:</w:t>
      </w:r>
    </w:p>
    <w:p>
      <w:pPr>
        <w:spacing w:after="80" w:line="293" w:lineRule="auto"/>
        <w:ind w:left="283"/>
        <w:jc w:val="left"/>
      </w:pPr>
      <w:r>
        <w:rPr>
          <w:rFonts w:ascii="Times New Roman" w:hAnsi="Times New Roman" w:cs="Times New Roman"/>
          <w:b w:val="0"/>
          <w:i w:val="0"/>
          <w:sz w:val="22"/>
        </w:rPr>
        <w:t>- State Vector Store</w:t>
      </w:r>
    </w:p>
    <w:p>
      <w:pPr>
        <w:spacing w:after="80" w:line="293" w:lineRule="auto"/>
        <w:ind w:left="283"/>
        <w:jc w:val="left"/>
      </w:pPr>
      <w:r>
        <w:rPr>
          <w:rFonts w:ascii="Times New Roman" w:hAnsi="Times New Roman" w:cs="Times New Roman"/>
          <w:b w:val="0"/>
          <w:i w:val="0"/>
          <w:sz w:val="22"/>
        </w:rPr>
        <w:t>- Event Spine</w:t>
      </w:r>
    </w:p>
    <w:p>
      <w:pPr>
        <w:spacing w:after="80" w:line="293" w:lineRule="auto"/>
        <w:ind w:left="283"/>
        <w:jc w:val="left"/>
      </w:pPr>
      <w:r>
        <w:rPr>
          <w:rFonts w:ascii="Times New Roman" w:hAnsi="Times New Roman" w:cs="Times New Roman"/>
          <w:b w:val="0"/>
          <w:i w:val="0"/>
          <w:sz w:val="22"/>
        </w:rPr>
        <w:t>- Authority Matrix</w:t>
      </w:r>
    </w:p>
    <w:p>
      <w:pPr>
        <w:spacing w:after="80" w:line="293" w:lineRule="auto"/>
        <w:ind w:left="283"/>
        <w:jc w:val="left"/>
      </w:pPr>
      <w:r>
        <w:rPr>
          <w:rFonts w:ascii="Times New Roman" w:hAnsi="Times New Roman" w:cs="Times New Roman"/>
          <w:b w:val="0"/>
          <w:i w:val="0"/>
          <w:sz w:val="22"/>
        </w:rPr>
        <w:t>- Finality Classes</w:t>
      </w:r>
    </w:p>
    <w:p>
      <w:pPr>
        <w:spacing w:after="80" w:line="293" w:lineRule="auto"/>
        <w:ind w:left="283"/>
        <w:jc w:val="left"/>
      </w:pPr>
      <w:r>
        <w:rPr>
          <w:rFonts w:ascii="Times New Roman" w:hAnsi="Times New Roman" w:cs="Times New Roman"/>
          <w:b w:val="0"/>
          <w:i w:val="0"/>
          <w:sz w:val="22"/>
        </w:rPr>
        <w:t>- Settlement Instructions</w:t>
      </w:r>
    </w:p>
    <w:p>
      <w:pPr>
        <w:spacing w:after="80" w:line="293" w:lineRule="auto"/>
        <w:ind w:left="283"/>
        <w:jc w:val="left"/>
      </w:pPr>
      <w:r>
        <w:rPr>
          <w:rFonts w:ascii="Times New Roman" w:hAnsi="Times New Roman" w:cs="Times New Roman"/>
          <w:b w:val="0"/>
          <w:i w:val="0"/>
          <w:sz w:val="22"/>
        </w:rPr>
        <w:t>- Settlement Instruction Versions</w:t>
      </w:r>
    </w:p>
    <w:p>
      <w:pPr>
        <w:spacing w:after="80" w:line="293" w:lineRule="auto"/>
        <w:ind w:left="283"/>
        <w:jc w:val="left"/>
      </w:pPr>
      <w:r>
        <w:rPr>
          <w:rFonts w:ascii="Times New Roman" w:hAnsi="Times New Roman" w:cs="Times New Roman"/>
          <w:b w:val="0"/>
          <w:i w:val="0"/>
          <w:sz w:val="22"/>
        </w:rPr>
        <w:t>- Settlement Legs</w:t>
      </w:r>
    </w:p>
    <w:p>
      <w:pPr>
        <w:spacing w:after="80" w:line="293" w:lineRule="auto"/>
        <w:ind w:left="283"/>
        <w:jc w:val="left"/>
      </w:pPr>
      <w:r>
        <w:rPr>
          <w:rFonts w:ascii="Times New Roman" w:hAnsi="Times New Roman" w:cs="Times New Roman"/>
          <w:b w:val="0"/>
          <w:i w:val="0"/>
          <w:sz w:val="22"/>
        </w:rPr>
        <w:t>- Reconciliation Cases</w:t>
      </w:r>
    </w:p>
    <w:p>
      <w:pPr>
        <w:spacing w:after="80" w:line="293" w:lineRule="auto"/>
        <w:ind w:left="283"/>
        <w:jc w:val="left"/>
      </w:pPr>
      <w:r>
        <w:rPr>
          <w:rFonts w:ascii="Times New Roman" w:hAnsi="Times New Roman" w:cs="Times New Roman"/>
          <w:b w:val="0"/>
          <w:i w:val="0"/>
          <w:sz w:val="22"/>
        </w:rPr>
        <w:t>- Obligation Graph</w:t>
      </w:r>
    </w:p>
    <w:p>
      <w:pPr>
        <w:spacing w:after="80" w:line="293" w:lineRule="auto"/>
        <w:ind w:left="283"/>
        <w:jc w:val="left"/>
      </w:pPr>
      <w:r>
        <w:rPr>
          <w:rFonts w:ascii="Times New Roman" w:hAnsi="Times New Roman" w:cs="Times New Roman"/>
          <w:b w:val="0"/>
          <w:i w:val="0"/>
          <w:sz w:val="22"/>
        </w:rPr>
        <w:t>- Financial Exposure</w:t>
      </w:r>
    </w:p>
    <w:p>
      <w:pPr>
        <w:spacing w:after="80" w:line="293" w:lineRule="auto"/>
        <w:ind w:left="283"/>
        <w:jc w:val="left"/>
      </w:pPr>
      <w:r>
        <w:rPr>
          <w:rFonts w:ascii="Times New Roman" w:hAnsi="Times New Roman" w:cs="Times New Roman"/>
          <w:b w:val="0"/>
          <w:i w:val="0"/>
          <w:sz w:val="22"/>
        </w:rPr>
        <w:t>- External Identifier Registry</w:t>
      </w:r>
    </w:p>
    <w:p>
      <w:pPr>
        <w:spacing w:after="80" w:line="293" w:lineRule="auto"/>
        <w:ind w:left="283"/>
        <w:jc w:val="left"/>
      </w:pPr>
      <w:r>
        <w:rPr>
          <w:rFonts w:ascii="Times New Roman" w:hAnsi="Times New Roman" w:cs="Times New Roman"/>
          <w:b w:val="0"/>
          <w:i w:val="0"/>
          <w:sz w:val="22"/>
        </w:rPr>
        <w:t>- Exception Events</w:t>
      </w:r>
    </w:p>
    <w:p>
      <w:pPr>
        <w:spacing w:after="80" w:line="293" w:lineRule="auto"/>
        <w:ind w:left="283"/>
        <w:jc w:val="left"/>
      </w:pPr>
      <w:r>
        <w:rPr>
          <w:rFonts w:ascii="Times New Roman" w:hAnsi="Times New Roman" w:cs="Times New Roman"/>
          <w:b w:val="0"/>
          <w:i w:val="0"/>
          <w:sz w:val="22"/>
        </w:rPr>
        <w:t>- Transaction Twin</w:t>
      </w:r>
    </w:p>
    <w:p>
      <w:pPr>
        <w:spacing w:after="80" w:line="293" w:lineRule="auto"/>
        <w:jc w:val="left"/>
      </w:pPr>
      <w:r>
        <w:rPr>
          <w:rFonts w:ascii="Times New Roman" w:hAnsi="Times New Roman" w:cs="Times New Roman"/>
          <w:b w:val="0"/>
          <w:i w:val="0"/>
          <w:sz w:val="22"/>
        </w:rPr>
        <w:t>The implementation of these schemas may use various database technologies, but must adhere to the constitutional principles defined in this section.</w:t>
      </w:r>
    </w:p>
    <w:p>
      <w:pPr>
        <w:keepNext/>
        <w:spacing w:before="240" w:after="100"/>
        <w:outlineLvl w:val="1"/>
      </w:pPr>
      <w:r>
        <w:rPr>
          <w:rFonts w:ascii="Arial" w:hAnsi="Arial" w:cs="Arial"/>
          <w:b/>
          <w:i w:val="0"/>
          <w:color w:val="2E528F"/>
          <w:sz w:val="26"/>
        </w:rPr>
        <w:t>19.161 Canonical API Endpoints</w:t>
      </w:r>
    </w:p>
    <w:p>
      <w:pPr>
        <w:spacing w:after="80" w:line="293" w:lineRule="auto"/>
        <w:jc w:val="left"/>
      </w:pPr>
      <w:r>
        <w:rPr>
          <w:rFonts w:ascii="Times New Roman" w:hAnsi="Times New Roman" w:cs="Times New Roman"/>
          <w:b w:val="0"/>
          <w:i w:val="0"/>
          <w:sz w:val="22"/>
        </w:rPr>
        <w:t>The canonical API contract is maintained as a supporting specification to this architecture and is published in the API Endpoint Index (see Section 18). It defines:</w:t>
      </w:r>
    </w:p>
    <w:p>
      <w:pPr>
        <w:spacing w:after="80" w:line="293" w:lineRule="auto"/>
        <w:ind w:left="283"/>
        <w:jc w:val="left"/>
      </w:pPr>
      <w:r>
        <w:rPr>
          <w:rFonts w:ascii="Times New Roman" w:hAnsi="Times New Roman" w:cs="Times New Roman"/>
          <w:b w:val="0"/>
          <w:i w:val="0"/>
          <w:sz w:val="22"/>
        </w:rPr>
        <w:t>- State Management APIs</w:t>
      </w:r>
    </w:p>
    <w:p>
      <w:pPr>
        <w:spacing w:after="80" w:line="293" w:lineRule="auto"/>
        <w:ind w:left="283"/>
        <w:jc w:val="left"/>
      </w:pPr>
      <w:r>
        <w:rPr>
          <w:rFonts w:ascii="Times New Roman" w:hAnsi="Times New Roman" w:cs="Times New Roman"/>
          <w:b w:val="0"/>
          <w:i w:val="0"/>
          <w:sz w:val="22"/>
        </w:rPr>
        <w:t>- Event Management APIs</w:t>
      </w:r>
    </w:p>
    <w:p>
      <w:pPr>
        <w:spacing w:after="80" w:line="293" w:lineRule="auto"/>
        <w:ind w:left="283"/>
        <w:jc w:val="left"/>
      </w:pPr>
      <w:r>
        <w:rPr>
          <w:rFonts w:ascii="Times New Roman" w:hAnsi="Times New Roman" w:cs="Times New Roman"/>
          <w:b w:val="0"/>
          <w:i w:val="0"/>
          <w:sz w:val="22"/>
        </w:rPr>
        <w:t>- Settlement Management APIs</w:t>
      </w:r>
    </w:p>
    <w:p>
      <w:pPr>
        <w:spacing w:after="80" w:line="293" w:lineRule="auto"/>
        <w:ind w:left="283"/>
        <w:jc w:val="left"/>
      </w:pPr>
      <w:r>
        <w:rPr>
          <w:rFonts w:ascii="Times New Roman" w:hAnsi="Times New Roman" w:cs="Times New Roman"/>
          <w:b w:val="0"/>
          <w:i w:val="0"/>
          <w:sz w:val="22"/>
        </w:rPr>
        <w:t>- Reconciliation Management APIs</w:t>
      </w:r>
    </w:p>
    <w:p>
      <w:pPr>
        <w:spacing w:after="80" w:line="293" w:lineRule="auto"/>
        <w:ind w:left="283"/>
        <w:jc w:val="left"/>
      </w:pPr>
      <w:r>
        <w:rPr>
          <w:rFonts w:ascii="Times New Roman" w:hAnsi="Times New Roman" w:cs="Times New Roman"/>
          <w:b w:val="0"/>
          <w:i w:val="0"/>
          <w:sz w:val="22"/>
        </w:rPr>
        <w:t>- Evidence Management APIs</w:t>
      </w:r>
    </w:p>
    <w:p>
      <w:pPr>
        <w:spacing w:after="80" w:line="293" w:lineRule="auto"/>
        <w:ind w:left="283"/>
        <w:jc w:val="left"/>
      </w:pPr>
      <w:r>
        <w:rPr>
          <w:rFonts w:ascii="Times New Roman" w:hAnsi="Times New Roman" w:cs="Times New Roman"/>
          <w:b w:val="0"/>
          <w:i w:val="0"/>
          <w:sz w:val="22"/>
        </w:rPr>
        <w:t>- Authority Management APIs</w:t>
      </w:r>
    </w:p>
    <w:p>
      <w:pPr>
        <w:spacing w:after="80" w:line="293" w:lineRule="auto"/>
        <w:ind w:left="283"/>
        <w:jc w:val="left"/>
      </w:pPr>
      <w:r>
        <w:rPr>
          <w:rFonts w:ascii="Times New Roman" w:hAnsi="Times New Roman" w:cs="Times New Roman"/>
          <w:b w:val="0"/>
          <w:i w:val="0"/>
          <w:sz w:val="22"/>
        </w:rPr>
        <w:t>- Transaction Twin APIs</w:t>
      </w:r>
    </w:p>
    <w:p>
      <w:pPr>
        <w:spacing w:after="80" w:line="293" w:lineRule="auto"/>
        <w:ind w:left="283"/>
        <w:jc w:val="left"/>
      </w:pPr>
      <w:r>
        <w:rPr>
          <w:rFonts w:ascii="Times New Roman" w:hAnsi="Times New Roman" w:cs="Times New Roman"/>
          <w:b w:val="0"/>
          <w:i w:val="0"/>
          <w:sz w:val="22"/>
        </w:rPr>
        <w:t>- Certificate APIs</w:t>
      </w:r>
    </w:p>
    <w:p>
      <w:pPr>
        <w:spacing w:after="80" w:line="293" w:lineRule="auto"/>
        <w:ind w:left="283"/>
        <w:jc w:val="left"/>
      </w:pPr>
      <w:r>
        <w:rPr>
          <w:rFonts w:ascii="Times New Roman" w:hAnsi="Times New Roman" w:cs="Times New Roman"/>
          <w:b w:val="0"/>
          <w:i w:val="0"/>
          <w:sz w:val="22"/>
        </w:rPr>
        <w:t>- Exception Management APIs</w:t>
      </w:r>
    </w:p>
    <w:p>
      <w:pPr>
        <w:spacing w:after="80" w:line="293" w:lineRule="auto"/>
        <w:ind w:left="283"/>
        <w:jc w:val="left"/>
      </w:pPr>
      <w:r>
        <w:rPr>
          <w:rFonts w:ascii="Times New Roman" w:hAnsi="Times New Roman" w:cs="Times New Roman"/>
          <w:b w:val="0"/>
          <w:i w:val="0"/>
          <w:sz w:val="22"/>
        </w:rPr>
        <w:t>- Bank Settlement Gateway APIs</w:t>
      </w:r>
    </w:p>
    <w:p>
      <w:pPr>
        <w:spacing w:after="80" w:line="293" w:lineRule="auto"/>
        <w:jc w:val="left"/>
      </w:pPr>
      <w:r>
        <w:rPr>
          <w:rFonts w:ascii="Times New Roman" w:hAnsi="Times New Roman" w:cs="Times New Roman"/>
          <w:b w:val="0"/>
          <w:i w:val="0"/>
          <w:sz w:val="22"/>
        </w:rPr>
        <w:t>The API contract enforces the Command vs Event pattern and the Observation vs Assertion vs Confirmation distinction.</w:t>
      </w:r>
    </w:p>
    <w:p>
      <w:pPr>
        <w:keepNext/>
        <w:spacing w:before="240" w:after="100"/>
        <w:outlineLvl w:val="1"/>
      </w:pPr>
      <w:r>
        <w:rPr>
          <w:rFonts w:ascii="Arial" w:hAnsi="Arial" w:cs="Arial"/>
          <w:b/>
          <w:i w:val="0"/>
          <w:color w:val="2E528F"/>
          <w:sz w:val="26"/>
        </w:rPr>
        <w:t>19.162 Implementation Mapping (Logical Domains)</w:t>
      </w:r>
    </w:p>
    <w:p>
      <w:pPr>
        <w:spacing w:after="80" w:line="293" w:lineRule="auto"/>
        <w:jc w:val="left"/>
      </w:pPr>
      <w:r>
        <w:rPr>
          <w:rFonts w:ascii="Times New Roman" w:hAnsi="Times New Roman" w:cs="Times New Roman"/>
          <w:b w:val="0"/>
          <w:i w:val="0"/>
          <w:sz w:val="22"/>
        </w:rPr>
        <w:t>The constitutional concepts map to logical ownership domains. Each concept defined in this section has exactly one owning logical domain (state, settlement, reconciliation, exception, recovery, evidence, authority or orchestration); components that implement a constitutional concept declare their owning domain, and no concept is implemented outside its declared domain. This mapping keeps implementation responsibility unambiguous across engineering teams.</w:t>
      </w:r>
    </w:p>
    <w:p>
      <w:pPr>
        <w:keepNext/>
        <w:spacing w:before="360" w:after="160"/>
        <w:outlineLvl w:val="0"/>
      </w:pPr>
      <w:r>
        <w:rPr>
          <w:rFonts w:ascii="Arial" w:hAnsi="Arial" w:cs="Arial"/>
          <w:b/>
          <w:i w:val="0"/>
          <w:color w:val="1F3864"/>
          <w:sz w:val="32"/>
        </w:rPr>
        <w:t>20. Global Trade Graph, Jurisdiction Fabric &amp; Transport Engines</w:t>
      </w:r>
    </w:p>
    <w:p>
      <w:pPr>
        <w:spacing w:after="80" w:line="293" w:lineRule="auto"/>
        <w:jc w:val="left"/>
      </w:pPr>
      <w:r>
        <w:rPr>
          <w:rFonts w:ascii="Times New Roman" w:hAnsi="Times New Roman" w:cs="Times New Roman"/>
          <w:b w:val="0"/>
          <w:i w:val="0"/>
          <w:sz w:val="22"/>
        </w:rPr>
        <w:t>This section defines the global completion architecture of SGTX (Sovereign Global Trade Exchange): the master trade graph, the worldwide jurisdiction fabric, the regulatory engines, the government integration model, the transport engines for every cargo mode, and the global financial, tax and post-trade flows that close a trade. The Universal State &amp; Transaction Namespace (USTN; see Section 5) is the correlation identity across the entire graph. This section builds on the canonical transaction-state architecture defined in Section 19: every trade object, transport event, government reference and payment described here is projected onto the state vector and the immutable event spine defined there. Key acronyms used throughout this section: GTID (Global Trade Identity, see Section 4), TCN (Trade Corridor Network, see Section 23), RIA (Regulatory Intelligence Agent), WCO (World Customs Organization), HS (Harmonized System), SPS (sanitary and phytosanitary), TBT (technical barriers to trade), EDI (Electronic Data Interchange), and API (Application Programming Interface).</w:t>
      </w:r>
    </w:p>
    <w:p>
      <w:pPr>
        <w:keepNext/>
        <w:spacing w:before="240" w:after="100"/>
        <w:outlineLvl w:val="1"/>
      </w:pPr>
      <w:r>
        <w:rPr>
          <w:rFonts w:ascii="Arial" w:hAnsi="Arial" w:cs="Arial"/>
          <w:b/>
          <w:i w:val="0"/>
          <w:color w:val="2E528F"/>
          <w:sz w:val="26"/>
        </w:rPr>
        <w:t>20.0 Purpose</w:t>
      </w:r>
    </w:p>
    <w:p>
      <w:pPr>
        <w:spacing w:after="80" w:line="293" w:lineRule="auto"/>
        <w:jc w:val="left"/>
      </w:pPr>
      <w:r>
        <w:rPr>
          <w:rFonts w:ascii="Times New Roman" w:hAnsi="Times New Roman" w:cs="Times New Roman"/>
          <w:b w:val="0"/>
          <w:i w:val="0"/>
          <w:sz w:val="22"/>
        </w:rPr>
        <w:t>This section defines the target architecture for SGTX as a: global, non-custodial, relationship-controlled, sovereign-governed trade execution infrastructure connecting commercial trade, regulation, customs, government systems, logistics, financial settlement, delivery, post-clearance and evidence through one canonical USTN graph.</w:t>
      </w:r>
    </w:p>
    <w:p>
      <w:pPr>
        <w:spacing w:after="80" w:line="293" w:lineRule="auto"/>
        <w:jc w:val="left"/>
      </w:pPr>
      <w:r>
        <w:rPr>
          <w:rFonts w:ascii="Times New Roman" w:hAnsi="Times New Roman" w:cs="Times New Roman"/>
          <w:b w:val="0"/>
          <w:i w:val="0"/>
          <w:sz w:val="22"/>
        </w:rPr>
        <w:t>The objective is not to make SGTX a marketplace. The objective is to make SGTX capable of taking an authorized trade between known parties and orchestrating everything required to execute that trade legally and operationally across jurisdictions.</w:t>
      </w:r>
    </w:p>
    <w:p>
      <w:pPr>
        <w:keepNext/>
        <w:spacing w:before="240" w:after="100"/>
        <w:outlineLvl w:val="1"/>
      </w:pPr>
      <w:r>
        <w:rPr>
          <w:rFonts w:ascii="Arial" w:hAnsi="Arial" w:cs="Arial"/>
          <w:b/>
          <w:i w:val="0"/>
          <w:color w:val="2E528F"/>
          <w:sz w:val="26"/>
        </w:rPr>
        <w:t>20.1 SGTX Constitution — Final Form</w:t>
      </w:r>
    </w:p>
    <w:p>
      <w:pPr>
        <w:spacing w:after="80" w:line="293" w:lineRule="auto"/>
        <w:jc w:val="left"/>
      </w:pPr>
      <w:r>
        <w:rPr>
          <w:rFonts w:ascii="Times New Roman" w:hAnsi="Times New Roman" w:cs="Times New Roman"/>
          <w:b w:val="0"/>
          <w:i w:val="0"/>
          <w:sz w:val="22"/>
        </w:rPr>
        <w:t>SGTX remains:</w:t>
      </w:r>
    </w:p>
    <w:p>
      <w:pPr>
        <w:spacing w:after="80" w:line="293" w:lineRule="auto"/>
        <w:ind w:left="283"/>
        <w:jc w:val="left"/>
      </w:pPr>
      <w:r>
        <w:rPr>
          <w:rFonts w:ascii="Times New Roman" w:hAnsi="Times New Roman" w:cs="Times New Roman"/>
          <w:b w:val="0"/>
          <w:i w:val="0"/>
          <w:sz w:val="22"/>
        </w:rPr>
        <w:t>- non-custodial</w:t>
      </w:r>
    </w:p>
    <w:p>
      <w:pPr>
        <w:spacing w:after="80" w:line="293" w:lineRule="auto"/>
        <w:ind w:left="283"/>
        <w:jc w:val="left"/>
      </w:pPr>
      <w:r>
        <w:rPr>
          <w:rFonts w:ascii="Times New Roman" w:hAnsi="Times New Roman" w:cs="Times New Roman"/>
          <w:b w:val="0"/>
          <w:i w:val="0"/>
          <w:sz w:val="22"/>
        </w:rPr>
        <w:t>- non-marketplace</w:t>
      </w:r>
    </w:p>
    <w:p>
      <w:pPr>
        <w:spacing w:after="80" w:line="293" w:lineRule="auto"/>
        <w:ind w:left="283"/>
        <w:jc w:val="left"/>
      </w:pPr>
      <w:r>
        <w:rPr>
          <w:rFonts w:ascii="Times New Roman" w:hAnsi="Times New Roman" w:cs="Times New Roman"/>
          <w:b w:val="0"/>
          <w:i w:val="0"/>
          <w:sz w:val="22"/>
        </w:rPr>
        <w:t>- non-title-taking</w:t>
      </w:r>
    </w:p>
    <w:p>
      <w:pPr>
        <w:spacing w:after="80" w:line="293" w:lineRule="auto"/>
        <w:ind w:left="283"/>
        <w:jc w:val="left"/>
      </w:pPr>
      <w:r>
        <w:rPr>
          <w:rFonts w:ascii="Times New Roman" w:hAnsi="Times New Roman" w:cs="Times New Roman"/>
          <w:b w:val="0"/>
          <w:i w:val="0"/>
          <w:sz w:val="22"/>
        </w:rPr>
        <w:t>- non-carrier</w:t>
      </w:r>
    </w:p>
    <w:p>
      <w:pPr>
        <w:spacing w:after="80" w:line="293" w:lineRule="auto"/>
        <w:ind w:left="283"/>
        <w:jc w:val="left"/>
      </w:pPr>
      <w:r>
        <w:rPr>
          <w:rFonts w:ascii="Times New Roman" w:hAnsi="Times New Roman" w:cs="Times New Roman"/>
          <w:b w:val="0"/>
          <w:i w:val="0"/>
          <w:sz w:val="22"/>
        </w:rPr>
        <w:t>- non-customs-authority</w:t>
      </w:r>
    </w:p>
    <w:p>
      <w:pPr>
        <w:spacing w:after="80" w:line="293" w:lineRule="auto"/>
        <w:ind w:left="283"/>
        <w:jc w:val="left"/>
      </w:pPr>
      <w:r>
        <w:rPr>
          <w:rFonts w:ascii="Times New Roman" w:hAnsi="Times New Roman" w:cs="Times New Roman"/>
          <w:b w:val="0"/>
          <w:i w:val="0"/>
          <w:sz w:val="22"/>
        </w:rPr>
        <w:t>- non-bank</w:t>
      </w:r>
    </w:p>
    <w:p>
      <w:pPr>
        <w:spacing w:after="80" w:line="293" w:lineRule="auto"/>
        <w:ind w:left="283"/>
        <w:jc w:val="left"/>
      </w:pPr>
      <w:r>
        <w:rPr>
          <w:rFonts w:ascii="Times New Roman" w:hAnsi="Times New Roman" w:cs="Times New Roman"/>
          <w:b w:val="0"/>
          <w:i w:val="0"/>
          <w:sz w:val="22"/>
        </w:rPr>
        <w:t>- non-deposit-taking</w:t>
      </w:r>
    </w:p>
    <w:p>
      <w:pPr>
        <w:spacing w:after="80" w:line="293" w:lineRule="auto"/>
        <w:ind w:left="283"/>
        <w:jc w:val="left"/>
      </w:pPr>
      <w:r>
        <w:rPr>
          <w:rFonts w:ascii="Times New Roman" w:hAnsi="Times New Roman" w:cs="Times New Roman"/>
          <w:b w:val="0"/>
          <w:i w:val="0"/>
          <w:sz w:val="22"/>
        </w:rPr>
        <w:t>- non-government</w:t>
      </w:r>
    </w:p>
    <w:p>
      <w:pPr>
        <w:spacing w:after="80" w:line="293" w:lineRule="auto"/>
        <w:ind w:left="283"/>
        <w:jc w:val="left"/>
      </w:pPr>
      <w:r>
        <w:rPr>
          <w:rFonts w:ascii="Times New Roman" w:hAnsi="Times New Roman" w:cs="Times New Roman"/>
          <w:b w:val="0"/>
          <w:i w:val="0"/>
          <w:sz w:val="22"/>
        </w:rPr>
        <w:t>- AI-assisted</w:t>
      </w:r>
    </w:p>
    <w:p>
      <w:pPr>
        <w:spacing w:after="80" w:line="293" w:lineRule="auto"/>
        <w:ind w:left="283"/>
        <w:jc w:val="left"/>
      </w:pPr>
      <w:r>
        <w:rPr>
          <w:rFonts w:ascii="Times New Roman" w:hAnsi="Times New Roman" w:cs="Times New Roman"/>
          <w:b w:val="0"/>
          <w:i w:val="0"/>
          <w:sz w:val="22"/>
        </w:rPr>
        <w:t>- Governor-governed</w:t>
      </w:r>
    </w:p>
    <w:p>
      <w:pPr>
        <w:spacing w:after="80" w:line="293" w:lineRule="auto"/>
        <w:ind w:left="283"/>
        <w:jc w:val="left"/>
      </w:pPr>
      <w:r>
        <w:rPr>
          <w:rFonts w:ascii="Times New Roman" w:hAnsi="Times New Roman" w:cs="Times New Roman"/>
          <w:b w:val="0"/>
          <w:i w:val="0"/>
          <w:sz w:val="22"/>
        </w:rPr>
        <w:t>- OPA-enforced</w:t>
      </w:r>
    </w:p>
    <w:p>
      <w:pPr>
        <w:spacing w:after="80" w:line="293" w:lineRule="auto"/>
        <w:ind w:left="283"/>
        <w:jc w:val="left"/>
      </w:pPr>
      <w:r>
        <w:rPr>
          <w:rFonts w:ascii="Times New Roman" w:hAnsi="Times New Roman" w:cs="Times New Roman"/>
          <w:b w:val="0"/>
          <w:i w:val="0"/>
          <w:sz w:val="22"/>
        </w:rPr>
        <w:t>- WasmEdge-enforced</w:t>
      </w:r>
    </w:p>
    <w:p>
      <w:pPr>
        <w:spacing w:after="80" w:line="293" w:lineRule="auto"/>
        <w:ind w:left="283"/>
        <w:jc w:val="left"/>
      </w:pPr>
      <w:r>
        <w:rPr>
          <w:rFonts w:ascii="Times New Roman" w:hAnsi="Times New Roman" w:cs="Times New Roman"/>
          <w:b w:val="0"/>
          <w:i w:val="0"/>
          <w:sz w:val="22"/>
        </w:rPr>
        <w:t>- Loom-audited</w:t>
      </w:r>
    </w:p>
    <w:p>
      <w:pPr>
        <w:spacing w:after="80" w:line="293" w:lineRule="auto"/>
        <w:ind w:left="283"/>
        <w:jc w:val="left"/>
      </w:pPr>
      <w:r>
        <w:rPr>
          <w:rFonts w:ascii="Times New Roman" w:hAnsi="Times New Roman" w:cs="Times New Roman"/>
          <w:b w:val="0"/>
          <w:i w:val="0"/>
          <w:sz w:val="22"/>
        </w:rPr>
        <w:t>- USTN-centric</w:t>
      </w:r>
    </w:p>
    <w:p>
      <w:pPr>
        <w:spacing w:after="80" w:line="293" w:lineRule="auto"/>
        <w:ind w:left="283"/>
        <w:jc w:val="left"/>
      </w:pPr>
      <w:r>
        <w:rPr>
          <w:rFonts w:ascii="Times New Roman" w:hAnsi="Times New Roman" w:cs="Times New Roman"/>
          <w:b w:val="0"/>
          <w:i w:val="0"/>
          <w:sz w:val="22"/>
        </w:rPr>
        <w:t>- jurisdiction-aware</w:t>
      </w:r>
    </w:p>
    <w:p>
      <w:pPr>
        <w:spacing w:after="80" w:line="293" w:lineRule="auto"/>
        <w:ind w:left="283"/>
        <w:jc w:val="left"/>
      </w:pPr>
      <w:r>
        <w:rPr>
          <w:rFonts w:ascii="Times New Roman" w:hAnsi="Times New Roman" w:cs="Times New Roman"/>
          <w:b w:val="0"/>
          <w:i w:val="0"/>
          <w:sz w:val="22"/>
        </w:rPr>
        <w:t>- relationship-controlled</w:t>
      </w:r>
    </w:p>
    <w:p>
      <w:pPr>
        <w:spacing w:after="80" w:line="293" w:lineRule="auto"/>
        <w:jc w:val="left"/>
      </w:pPr>
      <w:r>
        <w:rPr>
          <w:rFonts w:ascii="Times New Roman" w:hAnsi="Times New Roman" w:cs="Times New Roman"/>
          <w:b w:val="0"/>
          <w:i w:val="0"/>
          <w:sz w:val="22"/>
        </w:rPr>
        <w:t>In this list, the Governor is the deterministic constitutional gate engine (see Section 15), OPA (Open Policy Agent) is the policy decision engine, WasmEdge is the WebAssembly runtime that executes validated policy modules, and Loom is the cryptographic audit trail layer. AI denotes the platform's artificial intelligence authority tiers A1–A5 (see Article 20.127).</w:t>
      </w:r>
    </w:p>
    <w:p>
      <w:pPr>
        <w:spacing w:after="80" w:line="293" w:lineRule="auto"/>
        <w:jc w:val="left"/>
      </w:pPr>
      <w:r>
        <w:rPr>
          <w:rFonts w:ascii="Times New Roman" w:hAnsi="Times New Roman" w:cs="Times New Roman"/>
          <w:b w:val="0"/>
          <w:i w:val="0"/>
          <w:sz w:val="22"/>
        </w:rPr>
        <w:t>SGTX does facilitate commercial/logistics services. The platform may facilitate:</w:t>
      </w:r>
    </w:p>
    <w:p>
      <w:pPr>
        <w:spacing w:after="80" w:line="293" w:lineRule="auto"/>
        <w:ind w:left="283"/>
        <w:jc w:val="left"/>
      </w:pPr>
      <w:r>
        <w:rPr>
          <w:rFonts w:ascii="Times New Roman" w:hAnsi="Times New Roman" w:cs="Times New Roman"/>
          <w:b w:val="0"/>
          <w:i w:val="0"/>
          <w:sz w:val="22"/>
        </w:rPr>
        <w:t>- approved freight forwarders</w:t>
      </w:r>
    </w:p>
    <w:p>
      <w:pPr>
        <w:spacing w:after="80" w:line="293" w:lineRule="auto"/>
        <w:ind w:left="283"/>
        <w:jc w:val="left"/>
      </w:pPr>
      <w:r>
        <w:rPr>
          <w:rFonts w:ascii="Times New Roman" w:hAnsi="Times New Roman" w:cs="Times New Roman"/>
          <w:b w:val="0"/>
          <w:i w:val="0"/>
          <w:sz w:val="22"/>
        </w:rPr>
        <w:t>- approved logistics service providers (LSPs)</w:t>
      </w:r>
    </w:p>
    <w:p>
      <w:pPr>
        <w:spacing w:after="80" w:line="293" w:lineRule="auto"/>
        <w:ind w:left="283"/>
        <w:jc w:val="left"/>
      </w:pPr>
      <w:r>
        <w:rPr>
          <w:rFonts w:ascii="Times New Roman" w:hAnsi="Times New Roman" w:cs="Times New Roman"/>
          <w:b w:val="0"/>
          <w:i w:val="0"/>
          <w:sz w:val="22"/>
        </w:rPr>
        <w:t>- shipping lines</w:t>
      </w:r>
    </w:p>
    <w:p>
      <w:pPr>
        <w:spacing w:after="80" w:line="293" w:lineRule="auto"/>
        <w:ind w:left="283"/>
        <w:jc w:val="left"/>
      </w:pPr>
      <w:r>
        <w:rPr>
          <w:rFonts w:ascii="Times New Roman" w:hAnsi="Times New Roman" w:cs="Times New Roman"/>
          <w:b w:val="0"/>
          <w:i w:val="0"/>
          <w:sz w:val="22"/>
        </w:rPr>
        <w:t>- airlines</w:t>
      </w:r>
    </w:p>
    <w:p>
      <w:pPr>
        <w:spacing w:after="80" w:line="293" w:lineRule="auto"/>
        <w:ind w:left="283"/>
        <w:jc w:val="left"/>
      </w:pPr>
      <w:r>
        <w:rPr>
          <w:rFonts w:ascii="Times New Roman" w:hAnsi="Times New Roman" w:cs="Times New Roman"/>
          <w:b w:val="0"/>
          <w:i w:val="0"/>
          <w:sz w:val="22"/>
        </w:rPr>
        <w:t>- rail operators</w:t>
      </w:r>
    </w:p>
    <w:p>
      <w:pPr>
        <w:spacing w:after="80" w:line="293" w:lineRule="auto"/>
        <w:ind w:left="283"/>
        <w:jc w:val="left"/>
      </w:pPr>
      <w:r>
        <w:rPr>
          <w:rFonts w:ascii="Times New Roman" w:hAnsi="Times New Roman" w:cs="Times New Roman"/>
          <w:b w:val="0"/>
          <w:i w:val="0"/>
          <w:sz w:val="22"/>
        </w:rPr>
        <w:t>- ferry operators</w:t>
      </w:r>
    </w:p>
    <w:p>
      <w:pPr>
        <w:spacing w:after="80" w:line="293" w:lineRule="auto"/>
        <w:ind w:left="283"/>
        <w:jc w:val="left"/>
      </w:pPr>
      <w:r>
        <w:rPr>
          <w:rFonts w:ascii="Times New Roman" w:hAnsi="Times New Roman" w:cs="Times New Roman"/>
          <w:b w:val="0"/>
          <w:i w:val="0"/>
          <w:sz w:val="22"/>
        </w:rPr>
        <w:t>- warehouses</w:t>
      </w:r>
    </w:p>
    <w:p>
      <w:pPr>
        <w:spacing w:after="80" w:line="293" w:lineRule="auto"/>
        <w:ind w:left="283"/>
        <w:jc w:val="left"/>
      </w:pPr>
      <w:r>
        <w:rPr>
          <w:rFonts w:ascii="Times New Roman" w:hAnsi="Times New Roman" w:cs="Times New Roman"/>
          <w:b w:val="0"/>
          <w:i w:val="0"/>
          <w:sz w:val="22"/>
        </w:rPr>
        <w:t>- ground handlers</w:t>
      </w:r>
    </w:p>
    <w:p>
      <w:pPr>
        <w:spacing w:after="80" w:line="293" w:lineRule="auto"/>
        <w:ind w:left="283"/>
        <w:jc w:val="left"/>
      </w:pPr>
      <w:r>
        <w:rPr>
          <w:rFonts w:ascii="Times New Roman" w:hAnsi="Times New Roman" w:cs="Times New Roman"/>
          <w:b w:val="0"/>
          <w:i w:val="0"/>
          <w:sz w:val="22"/>
        </w:rPr>
        <w:t>- terminals</w:t>
      </w:r>
    </w:p>
    <w:p>
      <w:pPr>
        <w:spacing w:after="80" w:line="293" w:lineRule="auto"/>
        <w:ind w:left="283"/>
        <w:jc w:val="left"/>
      </w:pPr>
      <w:r>
        <w:rPr>
          <w:rFonts w:ascii="Times New Roman" w:hAnsi="Times New Roman" w:cs="Times New Roman"/>
          <w:b w:val="0"/>
          <w:i w:val="0"/>
          <w:sz w:val="22"/>
        </w:rPr>
        <w:t>- customs brokers</w:t>
      </w:r>
    </w:p>
    <w:p>
      <w:pPr>
        <w:spacing w:after="80" w:line="293" w:lineRule="auto"/>
        <w:ind w:left="283"/>
        <w:jc w:val="left"/>
      </w:pPr>
      <w:r>
        <w:rPr>
          <w:rFonts w:ascii="Times New Roman" w:hAnsi="Times New Roman" w:cs="Times New Roman"/>
          <w:b w:val="0"/>
          <w:i w:val="0"/>
          <w:sz w:val="22"/>
        </w:rPr>
        <w:t>- laboratories</w:t>
      </w:r>
    </w:p>
    <w:p>
      <w:pPr>
        <w:spacing w:after="80" w:line="293" w:lineRule="auto"/>
        <w:ind w:left="283"/>
        <w:jc w:val="left"/>
      </w:pPr>
      <w:r>
        <w:rPr>
          <w:rFonts w:ascii="Times New Roman" w:hAnsi="Times New Roman" w:cs="Times New Roman"/>
          <w:b w:val="0"/>
          <w:i w:val="0"/>
          <w:sz w:val="22"/>
        </w:rPr>
        <w:t>- QC/inspection providers</w:t>
      </w:r>
    </w:p>
    <w:p>
      <w:pPr>
        <w:spacing w:after="80" w:line="293" w:lineRule="auto"/>
        <w:ind w:left="283"/>
        <w:jc w:val="left"/>
      </w:pPr>
      <w:r>
        <w:rPr>
          <w:rFonts w:ascii="Times New Roman" w:hAnsi="Times New Roman" w:cs="Times New Roman"/>
          <w:b w:val="0"/>
          <w:i w:val="0"/>
          <w:sz w:val="22"/>
        </w:rPr>
        <w:t>- insurance providers</w:t>
      </w:r>
    </w:p>
    <w:p>
      <w:pPr>
        <w:spacing w:after="80" w:line="293" w:lineRule="auto"/>
        <w:ind w:left="283"/>
        <w:jc w:val="left"/>
      </w:pPr>
      <w:r>
        <w:rPr>
          <w:rFonts w:ascii="Times New Roman" w:hAnsi="Times New Roman" w:cs="Times New Roman"/>
          <w:b w:val="0"/>
          <w:i w:val="0"/>
          <w:sz w:val="22"/>
        </w:rPr>
        <w:t>- connected banks</w:t>
      </w:r>
    </w:p>
    <w:p>
      <w:pPr>
        <w:spacing w:after="80" w:line="293" w:lineRule="auto"/>
        <w:ind w:left="283"/>
        <w:jc w:val="left"/>
      </w:pPr>
      <w:r>
        <w:rPr>
          <w:rFonts w:ascii="Times New Roman" w:hAnsi="Times New Roman" w:cs="Times New Roman"/>
          <w:b w:val="0"/>
          <w:i w:val="0"/>
          <w:sz w:val="22"/>
        </w:rPr>
        <w:t>- trader-saved financing institutions</w:t>
      </w:r>
    </w:p>
    <w:p>
      <w:pPr>
        <w:spacing w:after="80" w:line="293" w:lineRule="auto"/>
        <w:ind w:left="283"/>
        <w:jc w:val="left"/>
      </w:pPr>
      <w:r>
        <w:rPr>
          <w:rFonts w:ascii="Times New Roman" w:hAnsi="Times New Roman" w:cs="Times New Roman"/>
          <w:b w:val="0"/>
          <w:i w:val="0"/>
          <w:sz w:val="22"/>
        </w:rPr>
        <w:t>- government-authorized agencies</w:t>
      </w:r>
    </w:p>
    <w:p>
      <w:pPr>
        <w:spacing w:after="80" w:line="293" w:lineRule="auto"/>
        <w:jc w:val="left"/>
      </w:pPr>
      <w:r>
        <w:rPr>
          <w:rFonts w:ascii="Times New Roman" w:hAnsi="Times New Roman" w:cs="Times New Roman"/>
          <w:b w:val="0"/>
          <w:i w:val="0"/>
          <w:sz w:val="22"/>
        </w:rPr>
        <w:t>The distinction is: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Model</w:t>
            </w:r>
          </w:p>
        </w:tc>
        <w:tc>
          <w:tcPr>
            <w:tcW w:type="dxa" w:w="4819"/>
            <w:shd w:val="clear" w:fill="D9E2F3"/>
          </w:tcPr>
          <w:p>
            <w:pPr>
              <w:spacing w:after="20" w:before="20" w:line="240" w:lineRule="auto"/>
            </w:pPr>
            <w:r/>
            <w:r>
              <w:rPr>
                <w:rFonts w:ascii="Arial" w:hAnsi="Arial" w:cs="Arial"/>
                <w:b/>
                <w:i w:val="0"/>
                <w:sz w:val="18"/>
              </w:rPr>
              <w:t>Applicable to SGTX</w:t>
            </w:r>
          </w:p>
        </w:tc>
      </w:tr>
      <w:tr>
        <w:tc>
          <w:tcPr>
            <w:tcW w:type="dxa" w:w="4819"/>
          </w:tcPr>
          <w:p>
            <w:pPr>
              <w:spacing w:after="20" w:before="20" w:line="240" w:lineRule="auto"/>
            </w:pPr>
            <w:r/>
            <w:r>
              <w:rPr>
                <w:rFonts w:ascii="Arial" w:hAnsi="Arial" w:cs="Arial"/>
                <w:b w:val="0"/>
                <w:i w:val="0"/>
                <w:sz w:val="17"/>
              </w:rPr>
              <w:t>Public marketplace</w:t>
            </w:r>
          </w:p>
        </w:tc>
        <w:tc>
          <w:tcPr>
            <w:tcW w:type="dxa" w:w="4819"/>
          </w:tcPr>
          <w:p>
            <w:pPr>
              <w:spacing w:after="20" w:before="20" w:line="240" w:lineRule="auto"/>
            </w:pPr>
            <w:r/>
            <w:r>
              <w:rPr>
                <w:rFonts w:ascii="Arial" w:hAnsi="Arial" w:cs="Arial"/>
                <w:b w:val="0"/>
                <w:i w:val="0"/>
                <w:sz w:val="17"/>
              </w:rPr>
              <w:t>No</w:t>
            </w:r>
          </w:p>
        </w:tc>
      </w:tr>
      <w:tr>
        <w:tc>
          <w:tcPr>
            <w:tcW w:type="dxa" w:w="4819"/>
          </w:tcPr>
          <w:p>
            <w:pPr>
              <w:spacing w:after="20" w:before="20" w:line="240" w:lineRule="auto"/>
            </w:pPr>
            <w:r/>
            <w:r>
              <w:rPr>
                <w:rFonts w:ascii="Arial" w:hAnsi="Arial" w:cs="Arial"/>
                <w:b w:val="0"/>
                <w:i w:val="0"/>
                <w:sz w:val="17"/>
              </w:rPr>
              <w:t>Relationship-controlled trade orchestration</w:t>
            </w:r>
          </w:p>
        </w:tc>
        <w:tc>
          <w:tcPr>
            <w:tcW w:type="dxa" w:w="4819"/>
          </w:tcPr>
          <w:p>
            <w:pPr>
              <w:spacing w:after="20" w:before="20" w:line="240" w:lineRule="auto"/>
            </w:pPr>
            <w:r/>
            <w:r>
              <w:rPr>
                <w:rFonts w:ascii="Arial" w:hAnsi="Arial" w:cs="Arial"/>
                <w:b w:val="0"/>
                <w:i w:val="0"/>
                <w:sz w:val="17"/>
              </w:rPr>
              <w:t>Yes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20.2 Provider Relationship Model</w:t>
      </w:r>
    </w:p>
    <w:p>
      <w:pPr>
        <w:spacing w:after="80" w:line="293" w:lineRule="auto"/>
        <w:jc w:val="left"/>
      </w:pPr>
      <w:r>
        <w:rPr>
          <w:rFonts w:ascii="Times New Roman" w:hAnsi="Times New Roman" w:cs="Times New Roman"/>
          <w:b w:val="0"/>
          <w:i w:val="0"/>
          <w:sz w:val="22"/>
        </w:rPr>
        <w:t>The provider model is:</w:t>
      </w:r>
    </w:p>
    <w:p>
      <w:pPr>
        <w:spacing w:after="0" w:before="0" w:line="240" w:lineRule="auto"/>
        <w:ind w:left="57"/>
        <w:jc w:val="left"/>
        <w:shd w:val="clear" w:fill="F2F2F2"/>
      </w:pPr>
      <w:r>
        <w:rPr>
          <w:rFonts w:ascii="Consolas" w:hAnsi="Consolas" w:cs="Consolas"/>
          <w:b w:val="0"/>
          <w:i w:val="0"/>
          <w:sz w:val="15"/>
        </w:rPr>
        <w:t>TRADER</w:t>
      </w:r>
    </w:p>
    <w:p>
      <w:pPr>
        <w:spacing w:after="0" w:before="0" w:line="240" w:lineRule="auto"/>
        <w:ind w:left="57"/>
        <w:jc w:val="left"/>
        <w:shd w:val="clear" w:fill="F2F2F2"/>
      </w:pPr>
      <w:r>
        <w:rPr>
          <w:rFonts w:ascii="Consolas" w:hAnsi="Consolas" w:cs="Consolas"/>
          <w:b w:val="0"/>
          <w:i w:val="0"/>
          <w:sz w:val="15"/>
        </w:rPr>
        <w:t xml:space="preserve">  → APPROVED / CONNECTED / SAVED PROVIDER</w:t>
      </w:r>
    </w:p>
    <w:p>
      <w:pPr>
        <w:spacing w:after="0" w:before="0" w:line="240" w:lineRule="auto"/>
        <w:ind w:left="57"/>
        <w:jc w:val="left"/>
        <w:shd w:val="clear" w:fill="F2F2F2"/>
      </w:pPr>
      <w:r>
        <w:rPr>
          <w:rFonts w:ascii="Consolas" w:hAnsi="Consolas" w:cs="Consolas"/>
          <w:b w:val="0"/>
          <w:i w:val="0"/>
          <w:sz w:val="15"/>
        </w:rPr>
        <w:t xml:space="preserve">  → RFQ / QUOTE</w:t>
      </w:r>
    </w:p>
    <w:p>
      <w:pPr>
        <w:spacing w:after="0" w:before="0" w:line="240" w:lineRule="auto"/>
        <w:ind w:left="57"/>
        <w:jc w:val="left"/>
        <w:shd w:val="clear" w:fill="F2F2F2"/>
      </w:pPr>
      <w:r>
        <w:rPr>
          <w:rFonts w:ascii="Consolas" w:hAnsi="Consolas" w:cs="Consolas"/>
          <w:b w:val="0"/>
          <w:i w:val="0"/>
          <w:sz w:val="15"/>
        </w:rPr>
        <w:t xml:space="preserve">  → TRADER REVIEW</w:t>
      </w:r>
    </w:p>
    <w:p>
      <w:pPr>
        <w:spacing w:after="0" w:before="0" w:line="240" w:lineRule="auto"/>
        <w:ind w:left="57"/>
        <w:jc w:val="left"/>
        <w:shd w:val="clear" w:fill="F2F2F2"/>
      </w:pPr>
      <w:r>
        <w:rPr>
          <w:rFonts w:ascii="Consolas" w:hAnsi="Consolas" w:cs="Consolas"/>
          <w:b w:val="0"/>
          <w:i w:val="0"/>
          <w:sz w:val="15"/>
        </w:rPr>
        <w:t xml:space="preserve">  → TRADER EXPLICIT SELECTION</w:t>
      </w:r>
    </w:p>
    <w:p>
      <w:pPr>
        <w:spacing w:after="0" w:before="0" w:line="240" w:lineRule="auto"/>
        <w:ind w:left="57"/>
        <w:jc w:val="left"/>
        <w:shd w:val="clear" w:fill="F2F2F2"/>
      </w:pPr>
      <w:r>
        <w:rPr>
          <w:rFonts w:ascii="Consolas" w:hAnsi="Consolas" w:cs="Consolas"/>
          <w:b w:val="0"/>
          <w:i w:val="0"/>
          <w:sz w:val="15"/>
        </w:rPr>
        <w:t xml:space="preserve">  → SERVICE AGREEMENT / ADDENDUM</w:t>
      </w:r>
    </w:p>
    <w:p>
      <w:pPr>
        <w:spacing w:after="0" w:before="0" w:line="240" w:lineRule="auto"/>
        <w:ind w:left="57"/>
        <w:jc w:val="left"/>
        <w:shd w:val="clear" w:fill="F2F2F2"/>
      </w:pPr>
      <w:r>
        <w:rPr>
          <w:rFonts w:ascii="Consolas" w:hAnsi="Consolas" w:cs="Consolas"/>
          <w:b w:val="0"/>
          <w:i w:val="0"/>
          <w:sz w:val="15"/>
        </w:rPr>
        <w:t xml:space="preserve">  → EXECUTION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 provider can become available to a trader because:</w:t>
      </w:r>
    </w:p>
    <w:p>
      <w:pPr>
        <w:spacing w:after="80" w:line="293" w:lineRule="auto"/>
        <w:jc w:val="left"/>
      </w:pPr>
      <w:r>
        <w:rPr>
          <w:rFonts w:ascii="Times New Roman" w:hAnsi="Times New Roman" w:cs="Times New Roman"/>
          <w:b w:val="0"/>
          <w:i w:val="0"/>
          <w:sz w:val="22"/>
        </w:rPr>
        <w:t>1. It is already approved and connected. 2. The trader has saved its GTID. 3. The trader explicitly selects it. 4. A government-mandated service relationship exists.</w:t>
      </w:r>
    </w:p>
    <w:p>
      <w:pPr>
        <w:spacing w:after="80" w:line="293" w:lineRule="auto"/>
        <w:jc w:val="left"/>
      </w:pPr>
      <w:r>
        <w:rPr>
          <w:rFonts w:ascii="Times New Roman" w:hAnsi="Times New Roman" w:cs="Times New Roman"/>
          <w:b w:val="0"/>
          <w:i w:val="0"/>
          <w:sz w:val="22"/>
        </w:rPr>
        <w:t>The platform does not introduce:</w:t>
      </w:r>
    </w:p>
    <w:p>
      <w:pPr>
        <w:spacing w:after="80" w:line="293" w:lineRule="auto"/>
        <w:ind w:left="283"/>
        <w:jc w:val="left"/>
      </w:pPr>
      <w:r>
        <w:rPr>
          <w:rFonts w:ascii="Times New Roman" w:hAnsi="Times New Roman" w:cs="Times New Roman"/>
          <w:b w:val="0"/>
          <w:i w:val="0"/>
          <w:sz w:val="22"/>
        </w:rPr>
        <w:t>- random provider matching</w:t>
      </w:r>
    </w:p>
    <w:p>
      <w:pPr>
        <w:spacing w:after="80" w:line="293" w:lineRule="auto"/>
        <w:ind w:left="283"/>
        <w:jc w:val="left"/>
      </w:pPr>
      <w:r>
        <w:rPr>
          <w:rFonts w:ascii="Times New Roman" w:hAnsi="Times New Roman" w:cs="Times New Roman"/>
          <w:b w:val="0"/>
          <w:i w:val="0"/>
          <w:sz w:val="22"/>
        </w:rPr>
        <w:t>- unsolicited provider recommendations</w:t>
      </w:r>
    </w:p>
    <w:p>
      <w:pPr>
        <w:spacing w:after="80" w:line="293" w:lineRule="auto"/>
        <w:ind w:left="283"/>
        <w:jc w:val="left"/>
      </w:pPr>
      <w:r>
        <w:rPr>
          <w:rFonts w:ascii="Times New Roman" w:hAnsi="Times New Roman" w:cs="Times New Roman"/>
          <w:b w:val="0"/>
          <w:i w:val="0"/>
          <w:sz w:val="22"/>
        </w:rPr>
        <w:t>- "best provider"</w:t>
      </w:r>
    </w:p>
    <w:p>
      <w:pPr>
        <w:spacing w:after="80" w:line="293" w:lineRule="auto"/>
        <w:ind w:left="283"/>
        <w:jc w:val="left"/>
      </w:pPr>
      <w:r>
        <w:rPr>
          <w:rFonts w:ascii="Times New Roman" w:hAnsi="Times New Roman" w:cs="Times New Roman"/>
          <w:b w:val="0"/>
          <w:i w:val="0"/>
          <w:sz w:val="22"/>
        </w:rPr>
        <w:t>- public provider rankings</w:t>
      </w:r>
    </w:p>
    <w:p>
      <w:pPr>
        <w:spacing w:after="80" w:line="293" w:lineRule="auto"/>
        <w:ind w:left="283"/>
        <w:jc w:val="left"/>
      </w:pPr>
      <w:r>
        <w:rPr>
          <w:rFonts w:ascii="Times New Roman" w:hAnsi="Times New Roman" w:cs="Times New Roman"/>
          <w:b w:val="0"/>
          <w:i w:val="0"/>
          <w:sz w:val="22"/>
        </w:rPr>
        <w:t>- public provider marketplace</w:t>
      </w:r>
    </w:p>
    <w:p>
      <w:pPr>
        <w:spacing w:after="80" w:line="293" w:lineRule="auto"/>
        <w:ind w:left="283"/>
        <w:jc w:val="left"/>
      </w:pPr>
      <w:r>
        <w:rPr>
          <w:rFonts w:ascii="Times New Roman" w:hAnsi="Times New Roman" w:cs="Times New Roman"/>
          <w:b w:val="0"/>
          <w:i w:val="0"/>
          <w:sz w:val="22"/>
        </w:rPr>
        <w:t>- autonomous provider selection</w:t>
      </w:r>
    </w:p>
    <w:p>
      <w:pPr>
        <w:spacing w:after="80" w:line="293" w:lineRule="auto"/>
        <w:jc w:val="left"/>
      </w:pPr>
      <w:r>
        <w:rPr>
          <w:rFonts w:ascii="Times New Roman" w:hAnsi="Times New Roman" w:cs="Times New Roman"/>
          <w:b w:val="0"/>
          <w:i w:val="0"/>
          <w:sz w:val="22"/>
        </w:rPr>
        <w:t>This preserves the platform's explicit non-marketplace, relationship-controlled orchestration principle (see Section 11).</w:t>
      </w:r>
    </w:p>
    <w:p>
      <w:pPr>
        <w:keepNext/>
        <w:spacing w:before="240" w:after="100"/>
        <w:outlineLvl w:val="1"/>
      </w:pPr>
      <w:r>
        <w:rPr>
          <w:rFonts w:ascii="Arial" w:hAnsi="Arial" w:cs="Arial"/>
          <w:b/>
          <w:i w:val="0"/>
          <w:color w:val="2E528F"/>
          <w:sz w:val="26"/>
        </w:rPr>
        <w:t>20.3 Financing Relationship Model</w:t>
      </w:r>
    </w:p>
    <w:p>
      <w:pPr>
        <w:spacing w:after="80" w:line="293" w:lineRule="auto"/>
        <w:jc w:val="left"/>
      </w:pPr>
      <w:r>
        <w:rPr>
          <w:rFonts w:ascii="Times New Roman" w:hAnsi="Times New Roman" w:cs="Times New Roman"/>
          <w:b w:val="0"/>
          <w:i w:val="0"/>
          <w:sz w:val="22"/>
        </w:rPr>
        <w:t>Financing remains legitimate SGTX functionality. Valid financing relationships: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Financing Relationship</w:t>
            </w:r>
          </w:p>
        </w:tc>
        <w:tc>
          <w:tcPr>
            <w:tcW w:type="dxa" w:w="4819"/>
            <w:shd w:val="clear" w:fill="D9E2F3"/>
          </w:tcPr>
          <w:p>
            <w:pPr>
              <w:spacing w:after="20" w:before="20" w:line="240" w:lineRule="auto"/>
            </w:pPr>
            <w:r/>
            <w:r>
              <w:rPr>
                <w:rFonts w:ascii="Arial" w:hAnsi="Arial" w:cs="Arial"/>
                <w:b/>
                <w:i w:val="0"/>
                <w:sz w:val="18"/>
              </w:rPr>
              <w:t>Valid</w:t>
            </w:r>
          </w:p>
        </w:tc>
      </w:tr>
      <w:tr>
        <w:tc>
          <w:tcPr>
            <w:tcW w:type="dxa" w:w="4819"/>
          </w:tcPr>
          <w:p>
            <w:pPr>
              <w:spacing w:after="20" w:before="20" w:line="240" w:lineRule="auto"/>
            </w:pPr>
            <w:r/>
            <w:r>
              <w:rPr>
                <w:rFonts w:ascii="Arial" w:hAnsi="Arial" w:cs="Arial"/>
                <w:b w:val="0"/>
                <w:i w:val="0"/>
                <w:sz w:val="17"/>
              </w:rPr>
              <w:t>Trader</w:t>
            </w:r>
          </w:p>
        </w:tc>
        <w:tc>
          <w:tcPr>
            <w:tcW w:type="dxa" w:w="4819"/>
          </w:tcPr>
          <w:p>
            <w:pPr>
              <w:spacing w:after="20" w:before="20" w:line="240" w:lineRule="auto"/>
            </w:pPr>
            <w:r/>
            <w:r>
              <w:rPr>
                <w:rFonts w:ascii="Arial" w:hAnsi="Arial" w:cs="Arial"/>
                <w:b w:val="0"/>
                <w:i w:val="0"/>
                <w:sz w:val="17"/>
              </w:rPr>
              <w:t>Yes</w:t>
            </w:r>
          </w:p>
        </w:tc>
      </w:tr>
      <w:tr>
        <w:tc>
          <w:tcPr>
            <w:tcW w:type="dxa" w:w="4819"/>
          </w:tcPr>
          <w:p>
            <w:pPr>
              <w:spacing w:after="20" w:before="20" w:line="240" w:lineRule="auto"/>
            </w:pPr>
            <w:r/>
            <w:r>
              <w:rPr>
                <w:rFonts w:ascii="Arial" w:hAnsi="Arial" w:cs="Arial"/>
                <w:b w:val="0"/>
                <w:i w:val="0"/>
                <w:sz w:val="17"/>
              </w:rPr>
              <w:t>Connected bank</w:t>
            </w:r>
          </w:p>
        </w:tc>
        <w:tc>
          <w:tcPr>
            <w:tcW w:type="dxa" w:w="4819"/>
          </w:tcPr>
          <w:p>
            <w:pPr>
              <w:spacing w:after="20" w:before="20" w:line="240" w:lineRule="auto"/>
            </w:pPr>
            <w:r/>
            <w:r>
              <w:rPr>
                <w:rFonts w:ascii="Arial" w:hAnsi="Arial" w:cs="Arial"/>
                <w:b w:val="0"/>
                <w:i w:val="0"/>
                <w:sz w:val="17"/>
              </w:rPr>
              <w:t>Yes</w:t>
            </w:r>
          </w:p>
        </w:tc>
      </w:tr>
      <w:tr>
        <w:tc>
          <w:tcPr>
            <w:tcW w:type="dxa" w:w="4819"/>
          </w:tcPr>
          <w:p>
            <w:pPr>
              <w:spacing w:after="20" w:before="20" w:line="240" w:lineRule="auto"/>
            </w:pPr>
            <w:r/>
            <w:r>
              <w:rPr>
                <w:rFonts w:ascii="Arial" w:hAnsi="Arial" w:cs="Arial"/>
                <w:b w:val="0"/>
                <w:i w:val="0"/>
                <w:sz w:val="17"/>
              </w:rPr>
              <w:t>Connected financial institution</w:t>
            </w:r>
          </w:p>
        </w:tc>
        <w:tc>
          <w:tcPr>
            <w:tcW w:type="dxa" w:w="4819"/>
          </w:tcPr>
          <w:p>
            <w:pPr>
              <w:spacing w:after="20" w:before="20" w:line="240" w:lineRule="auto"/>
            </w:pPr>
            <w:r/>
            <w:r>
              <w:rPr>
                <w:rFonts w:ascii="Arial" w:hAnsi="Arial" w:cs="Arial"/>
                <w:b w:val="0"/>
                <w:i w:val="0"/>
                <w:sz w:val="17"/>
              </w:rPr>
              <w:t>Yes</w:t>
            </w:r>
          </w:p>
        </w:tc>
      </w:tr>
      <w:tr>
        <w:tc>
          <w:tcPr>
            <w:tcW w:type="dxa" w:w="4819"/>
          </w:tcPr>
          <w:p>
            <w:pPr>
              <w:spacing w:after="20" w:before="20" w:line="240" w:lineRule="auto"/>
            </w:pPr>
            <w:r/>
            <w:r>
              <w:rPr>
                <w:rFonts w:ascii="Arial" w:hAnsi="Arial" w:cs="Arial"/>
                <w:b w:val="0"/>
                <w:i w:val="0"/>
                <w:sz w:val="17"/>
              </w:rPr>
              <w:t>Saved financier (via saved GTID)</w:t>
            </w:r>
          </w:p>
        </w:tc>
        <w:tc>
          <w:tcPr>
            <w:tcW w:type="dxa" w:w="4819"/>
          </w:tcPr>
          <w:p>
            <w:pPr>
              <w:spacing w:after="20" w:before="20" w:line="240" w:lineRule="auto"/>
            </w:pPr>
            <w:r/>
            <w:r>
              <w:rPr>
                <w:rFonts w:ascii="Arial" w:hAnsi="Arial" w:cs="Arial"/>
                <w:b w:val="0"/>
                <w:i w:val="0"/>
                <w:sz w:val="17"/>
              </w:rPr>
              <w:t>Yes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Workflow:</w:t>
      </w:r>
    </w:p>
    <w:p>
      <w:pPr>
        <w:spacing w:after="0" w:before="0" w:line="240" w:lineRule="auto"/>
        <w:ind w:left="57"/>
        <w:jc w:val="left"/>
        <w:shd w:val="clear" w:fill="F2F2F2"/>
      </w:pPr>
      <w:r>
        <w:rPr>
          <w:rFonts w:ascii="Consolas" w:hAnsi="Consolas" w:cs="Consolas"/>
          <w:b w:val="0"/>
          <w:i w:val="0"/>
          <w:sz w:val="15"/>
        </w:rPr>
        <w:t>Financing Need → Trader selects connected bank / saved financier → Financing request →</w:t>
      </w:r>
    </w:p>
    <w:p>
      <w:pPr>
        <w:spacing w:after="0" w:before="0" w:line="240" w:lineRule="auto"/>
        <w:ind w:left="57"/>
        <w:jc w:val="left"/>
        <w:shd w:val="clear" w:fill="F2F2F2"/>
      </w:pPr>
      <w:r>
        <w:rPr>
          <w:rFonts w:ascii="Consolas" w:hAnsi="Consolas" w:cs="Consolas"/>
          <w:b w:val="0"/>
          <w:i w:val="0"/>
          <w:sz w:val="15"/>
        </w:rPr>
        <w:t>Financier assessment → Offer → Trader acceptance → Financing execution → Disbursement →</w:t>
      </w:r>
    </w:p>
    <w:p>
      <w:pPr>
        <w:spacing w:after="0" w:before="0" w:line="240" w:lineRule="auto"/>
        <w:ind w:left="57"/>
        <w:jc w:val="left"/>
        <w:shd w:val="clear" w:fill="F2F2F2"/>
      </w:pPr>
      <w:r>
        <w:rPr>
          <w:rFonts w:ascii="Consolas" w:hAnsi="Consolas" w:cs="Consolas"/>
          <w:b w:val="0"/>
          <w:i w:val="0"/>
          <w:sz w:val="15"/>
        </w:rPr>
        <w:t>Repayment / settlement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model is never transformed into random public matching. No unsolicited financier recommendations. No public financier marketplace. The platform's bank and private-financing-institution portal architecture (see Section 10) remains usable, but access is governed by relationship/GTID controls.</w:t>
      </w:r>
    </w:p>
    <w:p>
      <w:pPr>
        <w:keepNext/>
        <w:spacing w:before="240" w:after="100"/>
        <w:outlineLvl w:val="1"/>
      </w:pPr>
      <w:r>
        <w:rPr>
          <w:rFonts w:ascii="Arial" w:hAnsi="Arial" w:cs="Arial"/>
          <w:b/>
          <w:i w:val="0"/>
          <w:color w:val="2E528F"/>
          <w:sz w:val="26"/>
        </w:rPr>
        <w:t>20.4 Master Global Trade Graph</w:t>
      </w:r>
    </w:p>
    <w:p>
      <w:pPr>
        <w:spacing w:after="80" w:line="293" w:lineRule="auto"/>
        <w:jc w:val="left"/>
      </w:pPr>
      <w:r>
        <w:rPr>
          <w:rFonts w:ascii="Times New Roman" w:hAnsi="Times New Roman" w:cs="Times New Roman"/>
          <w:b w:val="0"/>
          <w:i w:val="0"/>
          <w:sz w:val="22"/>
        </w:rPr>
        <w:t>The entire SGTX platform is ultimately represented as one graph:</w:t>
      </w:r>
    </w:p>
    <w:p>
      <w:pPr>
        <w:spacing w:after="0" w:before="0" w:line="240" w:lineRule="auto"/>
        <w:ind w:left="57"/>
        <w:jc w:val="left"/>
        <w:shd w:val="clear" w:fill="F2F2F2"/>
      </w:pPr>
      <w:r>
        <w:rPr>
          <w:rFonts w:ascii="Consolas" w:hAnsi="Consolas" w:cs="Consolas"/>
          <w:b w:val="0"/>
          <w:i w:val="0"/>
          <w:sz w:val="15"/>
        </w:rPr>
        <w:t>GTID</w:t>
      </w:r>
    </w:p>
    <w:p>
      <w:pPr>
        <w:spacing w:after="0" w:before="0" w:line="240" w:lineRule="auto"/>
        <w:ind w:left="57"/>
        <w:jc w:val="left"/>
        <w:shd w:val="clear" w:fill="F2F2F2"/>
      </w:pPr>
      <w:r>
        <w:rPr>
          <w:rFonts w:ascii="Consolas" w:hAnsi="Consolas" w:cs="Consolas"/>
          <w:b w:val="0"/>
          <w:i w:val="0"/>
          <w:sz w:val="15"/>
        </w:rPr>
        <w:t xml:space="preserve"> └→ TRADE</w:t>
      </w:r>
    </w:p>
    <w:p>
      <w:pPr>
        <w:spacing w:after="0" w:before="0" w:line="240" w:lineRule="auto"/>
        <w:ind w:left="57"/>
        <w:jc w:val="left"/>
        <w:shd w:val="clear" w:fill="F2F2F2"/>
      </w:pPr>
      <w:r>
        <w:rPr>
          <w:rFonts w:ascii="Consolas" w:hAnsi="Consolas" w:cs="Consolas"/>
          <w:b w:val="0"/>
          <w:i w:val="0"/>
          <w:sz w:val="15"/>
        </w:rPr>
        <w:t xml:space="preserve">     └→ RFQ</w:t>
      </w:r>
    </w:p>
    <w:p>
      <w:pPr>
        <w:spacing w:after="0" w:before="0" w:line="240" w:lineRule="auto"/>
        <w:ind w:left="57"/>
        <w:jc w:val="left"/>
        <w:shd w:val="clear" w:fill="F2F2F2"/>
      </w:pPr>
      <w:r>
        <w:rPr>
          <w:rFonts w:ascii="Consolas" w:hAnsi="Consolas" w:cs="Consolas"/>
          <w:b w:val="0"/>
          <w:i w:val="0"/>
          <w:sz w:val="15"/>
        </w:rPr>
        <w:t xml:space="preserve">         └→ QUOTATION</w:t>
      </w:r>
    </w:p>
    <w:p>
      <w:pPr>
        <w:spacing w:after="0" w:before="0" w:line="240" w:lineRule="auto"/>
        <w:ind w:left="57"/>
        <w:jc w:val="left"/>
        <w:shd w:val="clear" w:fill="F2F2F2"/>
      </w:pPr>
      <w:r>
        <w:rPr>
          <w:rFonts w:ascii="Consolas" w:hAnsi="Consolas" w:cs="Consolas"/>
          <w:b w:val="0"/>
          <w:i w:val="0"/>
          <w:sz w:val="15"/>
        </w:rPr>
        <w:t xml:space="preserve">             └→ ORDER</w:t>
      </w:r>
    </w:p>
    <w:p>
      <w:pPr>
        <w:spacing w:after="0" w:before="0" w:line="240" w:lineRule="auto"/>
        <w:ind w:left="57"/>
        <w:jc w:val="left"/>
        <w:shd w:val="clear" w:fill="F2F2F2"/>
      </w:pPr>
      <w:r>
        <w:rPr>
          <w:rFonts w:ascii="Consolas" w:hAnsi="Consolas" w:cs="Consolas"/>
          <w:b w:val="0"/>
          <w:i w:val="0"/>
          <w:sz w:val="15"/>
        </w:rPr>
        <w:t xml:space="preserve">                 └→ CONTRACT</w:t>
      </w:r>
    </w:p>
    <w:p>
      <w:pPr>
        <w:spacing w:after="0" w:before="0" w:line="240" w:lineRule="auto"/>
        <w:ind w:left="57"/>
        <w:jc w:val="left"/>
        <w:shd w:val="clear" w:fill="F2F2F2"/>
      </w:pPr>
      <w:r>
        <w:rPr>
          <w:rFonts w:ascii="Consolas" w:hAnsi="Consolas" w:cs="Consolas"/>
          <w:b w:val="0"/>
          <w:i w:val="0"/>
          <w:sz w:val="15"/>
        </w:rPr>
        <w:t xml:space="preserve">                     └→ REGULATORY SNAPSHOT</w:t>
      </w:r>
    </w:p>
    <w:p>
      <w:pPr>
        <w:spacing w:after="0" w:before="0" w:line="240" w:lineRule="auto"/>
        <w:ind w:left="57"/>
        <w:jc w:val="left"/>
        <w:shd w:val="clear" w:fill="F2F2F2"/>
      </w:pPr>
      <w:r>
        <w:rPr>
          <w:rFonts w:ascii="Consolas" w:hAnsi="Consolas" w:cs="Consolas"/>
          <w:b w:val="0"/>
          <w:i w:val="0"/>
          <w:sz w:val="15"/>
        </w:rPr>
        <w:t xml:space="preserve">                         └→ USTN</w:t>
      </w:r>
    </w:p>
    <w:p>
      <w:pPr>
        <w:spacing w:after="0" w:before="0" w:line="240" w:lineRule="auto"/>
        <w:ind w:left="57"/>
        <w:jc w:val="left"/>
        <w:shd w:val="clear" w:fill="F2F2F2"/>
      </w:pPr>
      <w:r>
        <w:rPr>
          <w:rFonts w:ascii="Consolas" w:hAnsi="Consolas" w:cs="Consolas"/>
          <w:b w:val="0"/>
          <w:i w:val="0"/>
          <w:sz w:val="15"/>
        </w:rPr>
        <w:t xml:space="preserve">                             └→ TRANSPORT GRAPH</w:t>
      </w:r>
    </w:p>
    <w:p>
      <w:pPr>
        <w:spacing w:after="0" w:before="0" w:line="240" w:lineRule="auto"/>
        <w:ind w:left="57"/>
        <w:jc w:val="left"/>
        <w:shd w:val="clear" w:fill="F2F2F2"/>
      </w:pPr>
      <w:r>
        <w:rPr>
          <w:rFonts w:ascii="Consolas" w:hAnsi="Consolas" w:cs="Consolas"/>
          <w:b w:val="0"/>
          <w:i w:val="0"/>
          <w:sz w:val="15"/>
        </w:rPr>
        <w:t xml:space="preserve">                                 └→ CUSTOMS OPERATIONS</w:t>
      </w:r>
    </w:p>
    <w:p>
      <w:pPr>
        <w:spacing w:after="0" w:before="0" w:line="240" w:lineRule="auto"/>
        <w:ind w:left="57"/>
        <w:jc w:val="left"/>
        <w:shd w:val="clear" w:fill="F2F2F2"/>
      </w:pPr>
      <w:r>
        <w:rPr>
          <w:rFonts w:ascii="Consolas" w:hAnsi="Consolas" w:cs="Consolas"/>
          <w:b w:val="0"/>
          <w:i w:val="0"/>
          <w:sz w:val="15"/>
        </w:rPr>
        <w:t xml:space="preserve">                                     └→ DOCUMENTS</w:t>
      </w:r>
    </w:p>
    <w:p>
      <w:pPr>
        <w:spacing w:after="0" w:before="0" w:line="240" w:lineRule="auto"/>
        <w:ind w:left="57"/>
        <w:jc w:val="left"/>
        <w:shd w:val="clear" w:fill="F2F2F2"/>
      </w:pPr>
      <w:r>
        <w:rPr>
          <w:rFonts w:ascii="Consolas" w:hAnsi="Consolas" w:cs="Consolas"/>
          <w:b w:val="0"/>
          <w:i w:val="0"/>
          <w:sz w:val="15"/>
        </w:rPr>
        <w:t xml:space="preserve">                                         └→ GOVERNMENT REFERENCES</w:t>
      </w:r>
    </w:p>
    <w:p>
      <w:pPr>
        <w:spacing w:after="0" w:before="0" w:line="240" w:lineRule="auto"/>
        <w:ind w:left="57"/>
        <w:jc w:val="left"/>
        <w:shd w:val="clear" w:fill="F2F2F2"/>
      </w:pPr>
      <w:r>
        <w:rPr>
          <w:rFonts w:ascii="Consolas" w:hAnsi="Consolas" w:cs="Consolas"/>
          <w:b w:val="0"/>
          <w:i w:val="0"/>
          <w:sz w:val="15"/>
        </w:rPr>
        <w:t xml:space="preserve">                                             └→ PAYMENT / FINANCE</w:t>
      </w:r>
    </w:p>
    <w:p>
      <w:pPr>
        <w:spacing w:after="0" w:before="0" w:line="240" w:lineRule="auto"/>
        <w:ind w:left="57"/>
        <w:jc w:val="left"/>
        <w:shd w:val="clear" w:fill="F2F2F2"/>
      </w:pPr>
      <w:r>
        <w:rPr>
          <w:rFonts w:ascii="Consolas" w:hAnsi="Consolas" w:cs="Consolas"/>
          <w:b w:val="0"/>
          <w:i w:val="0"/>
          <w:sz w:val="15"/>
        </w:rPr>
        <w:t xml:space="preserve">                                                 └→ PHYSICAL EXECUTION</w:t>
      </w:r>
    </w:p>
    <w:p>
      <w:pPr>
        <w:spacing w:after="0" w:before="0" w:line="240" w:lineRule="auto"/>
        <w:ind w:left="57"/>
        <w:jc w:val="left"/>
        <w:shd w:val="clear" w:fill="F2F2F2"/>
      </w:pPr>
      <w:r>
        <w:rPr>
          <w:rFonts w:ascii="Consolas" w:hAnsi="Consolas" w:cs="Consolas"/>
          <w:b w:val="0"/>
          <w:i w:val="0"/>
          <w:sz w:val="15"/>
        </w:rPr>
        <w:t xml:space="preserve">                                                     └→ DELIVERY</w:t>
      </w:r>
    </w:p>
    <w:p>
      <w:pPr>
        <w:spacing w:after="0" w:before="0" w:line="240" w:lineRule="auto"/>
        <w:ind w:left="57"/>
        <w:jc w:val="left"/>
        <w:shd w:val="clear" w:fill="F2F2F2"/>
      </w:pPr>
      <w:r>
        <w:rPr>
          <w:rFonts w:ascii="Consolas" w:hAnsi="Consolas" w:cs="Consolas"/>
          <w:b w:val="0"/>
          <w:i w:val="0"/>
          <w:sz w:val="15"/>
        </w:rPr>
        <w:t xml:space="preserve">                                                         └→ ACCEPTANCE</w:t>
      </w:r>
    </w:p>
    <w:p>
      <w:pPr>
        <w:spacing w:after="0" w:before="0" w:line="240" w:lineRule="auto"/>
        <w:ind w:left="57"/>
        <w:jc w:val="left"/>
        <w:shd w:val="clear" w:fill="F2F2F2"/>
      </w:pPr>
      <w:r>
        <w:rPr>
          <w:rFonts w:ascii="Consolas" w:hAnsi="Consolas" w:cs="Consolas"/>
          <w:b w:val="0"/>
          <w:i w:val="0"/>
          <w:sz w:val="15"/>
        </w:rPr>
        <w:t xml:space="preserve">                                                             └→ SETTLEMENT</w:t>
      </w:r>
    </w:p>
    <w:p>
      <w:pPr>
        <w:spacing w:after="0" w:before="0" w:line="240" w:lineRule="auto"/>
        <w:ind w:left="57"/>
        <w:jc w:val="left"/>
        <w:shd w:val="clear" w:fill="F2F2F2"/>
      </w:pPr>
      <w:r>
        <w:rPr>
          <w:rFonts w:ascii="Consolas" w:hAnsi="Consolas" w:cs="Consolas"/>
          <w:b w:val="0"/>
          <w:i w:val="0"/>
          <w:sz w:val="15"/>
        </w:rPr>
        <w:t xml:space="preserve">                                                                 └→ RECONCILIATION</w:t>
      </w:r>
    </w:p>
    <w:p>
      <w:pPr>
        <w:spacing w:after="0" w:before="0" w:line="240" w:lineRule="auto"/>
        <w:ind w:left="57"/>
        <w:jc w:val="left"/>
        <w:shd w:val="clear" w:fill="F2F2F2"/>
      </w:pPr>
      <w:r>
        <w:rPr>
          <w:rFonts w:ascii="Consolas" w:hAnsi="Consolas" w:cs="Consolas"/>
          <w:b w:val="0"/>
          <w:i w:val="0"/>
          <w:sz w:val="15"/>
        </w:rPr>
        <w:t xml:space="preserve">                                                                     └→ POST-CLEARANCE</w:t>
      </w:r>
    </w:p>
    <w:p>
      <w:pPr>
        <w:spacing w:after="0" w:before="0" w:line="240" w:lineRule="auto"/>
        <w:ind w:left="57"/>
        <w:jc w:val="left"/>
        <w:shd w:val="clear" w:fill="F2F2F2"/>
      </w:pPr>
      <w:r>
        <w:rPr>
          <w:rFonts w:ascii="Consolas" w:hAnsi="Consolas" w:cs="Consolas"/>
          <w:b w:val="0"/>
          <w:i w:val="0"/>
          <w:sz w:val="15"/>
        </w:rPr>
        <w:t xml:space="preserve">                                                                         └→ CLAIMS / RETURNS</w:t>
      </w:r>
    </w:p>
    <w:p>
      <w:pPr>
        <w:spacing w:after="0" w:before="0" w:line="240" w:lineRule="auto"/>
        <w:ind w:left="57"/>
        <w:jc w:val="left"/>
        <w:shd w:val="clear" w:fill="F2F2F2"/>
      </w:pPr>
      <w:r>
        <w:rPr>
          <w:rFonts w:ascii="Consolas" w:hAnsi="Consolas" w:cs="Consolas"/>
          <w:b w:val="0"/>
          <w:i w:val="0"/>
          <w:sz w:val="15"/>
        </w:rPr>
        <w:t xml:space="preserve">                                                                             └→ EVIDENCE</w:t>
      </w:r>
    </w:p>
    <w:p>
      <w:pPr>
        <w:spacing w:after="0" w:before="0" w:line="240" w:lineRule="auto"/>
        <w:ind w:left="57"/>
        <w:jc w:val="left"/>
        <w:shd w:val="clear" w:fill="F2F2F2"/>
      </w:pPr>
      <w:r>
        <w:rPr>
          <w:rFonts w:ascii="Consolas" w:hAnsi="Consolas" w:cs="Consolas"/>
          <w:b w:val="0"/>
          <w:i w:val="0"/>
          <w:sz w:val="15"/>
        </w:rPr>
        <w:t xml:space="preserve">                                                                                 └→ USTN CLOSED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downstream record ultimately references USTN.</w:t>
      </w:r>
    </w:p>
    <w:p>
      <w:pPr>
        <w:keepNext/>
        <w:spacing w:before="240" w:after="100"/>
        <w:outlineLvl w:val="1"/>
      </w:pPr>
      <w:r>
        <w:rPr>
          <w:rFonts w:ascii="Arial" w:hAnsi="Arial" w:cs="Arial"/>
          <w:b/>
          <w:i w:val="0"/>
          <w:color w:val="2E528F"/>
          <w:sz w:val="26"/>
        </w:rPr>
        <w:t>20.5 Global Canonical Data Model</w:t>
      </w:r>
    </w:p>
    <w:p>
      <w:pPr>
        <w:spacing w:after="80" w:line="293" w:lineRule="auto"/>
        <w:jc w:val="left"/>
      </w:pPr>
      <w:r>
        <w:rPr>
          <w:rFonts w:ascii="Times New Roman" w:hAnsi="Times New Roman" w:cs="Times New Roman"/>
          <w:b w:val="0"/>
          <w:i w:val="0"/>
          <w:sz w:val="22"/>
        </w:rPr>
        <w:t>The platform maintains and extends the canonical objects:</w:t>
      </w:r>
    </w:p>
    <w:p>
      <w:pPr>
        <w:spacing w:after="80" w:line="293" w:lineRule="auto"/>
        <w:ind w:left="283"/>
        <w:jc w:val="left"/>
      </w:pPr>
      <w:r>
        <w:rPr>
          <w:rFonts w:ascii="Times New Roman" w:hAnsi="Times New Roman" w:cs="Times New Roman"/>
          <w:b w:val="0"/>
          <w:i w:val="0"/>
          <w:sz w:val="22"/>
        </w:rPr>
        <w:t>- TRADE_PARTY</w:t>
      </w:r>
    </w:p>
    <w:p>
      <w:pPr>
        <w:spacing w:after="80" w:line="293" w:lineRule="auto"/>
        <w:ind w:left="283"/>
        <w:jc w:val="left"/>
      </w:pPr>
      <w:r>
        <w:rPr>
          <w:rFonts w:ascii="Times New Roman" w:hAnsi="Times New Roman" w:cs="Times New Roman"/>
          <w:b w:val="0"/>
          <w:i w:val="0"/>
          <w:sz w:val="22"/>
        </w:rPr>
        <w:t>- PRODUCT</w:t>
      </w:r>
    </w:p>
    <w:p>
      <w:pPr>
        <w:spacing w:after="80" w:line="293" w:lineRule="auto"/>
        <w:ind w:left="283"/>
        <w:jc w:val="left"/>
      </w:pPr>
      <w:r>
        <w:rPr>
          <w:rFonts w:ascii="Times New Roman" w:hAnsi="Times New Roman" w:cs="Times New Roman"/>
          <w:b w:val="0"/>
          <w:i w:val="0"/>
          <w:sz w:val="22"/>
        </w:rPr>
        <w:t>- TRADE_ITEM</w:t>
      </w:r>
    </w:p>
    <w:p>
      <w:pPr>
        <w:spacing w:after="80" w:line="293" w:lineRule="auto"/>
        <w:ind w:left="283"/>
        <w:jc w:val="left"/>
      </w:pPr>
      <w:r>
        <w:rPr>
          <w:rFonts w:ascii="Times New Roman" w:hAnsi="Times New Roman" w:cs="Times New Roman"/>
          <w:b w:val="0"/>
          <w:i w:val="0"/>
          <w:sz w:val="22"/>
        </w:rPr>
        <w:t>- RFQ</w:t>
      </w:r>
    </w:p>
    <w:p>
      <w:pPr>
        <w:spacing w:after="80" w:line="293" w:lineRule="auto"/>
        <w:ind w:left="283"/>
        <w:jc w:val="left"/>
      </w:pPr>
      <w:r>
        <w:rPr>
          <w:rFonts w:ascii="Times New Roman" w:hAnsi="Times New Roman" w:cs="Times New Roman"/>
          <w:b w:val="0"/>
          <w:i w:val="0"/>
          <w:sz w:val="22"/>
        </w:rPr>
        <w:t>- QUOTATION</w:t>
      </w:r>
    </w:p>
    <w:p>
      <w:pPr>
        <w:spacing w:after="80" w:line="293" w:lineRule="auto"/>
        <w:ind w:left="283"/>
        <w:jc w:val="left"/>
      </w:pPr>
      <w:r>
        <w:rPr>
          <w:rFonts w:ascii="Times New Roman" w:hAnsi="Times New Roman" w:cs="Times New Roman"/>
          <w:b w:val="0"/>
          <w:i w:val="0"/>
          <w:sz w:val="22"/>
        </w:rPr>
        <w:t>- ORDER</w:t>
      </w:r>
    </w:p>
    <w:p>
      <w:pPr>
        <w:spacing w:after="80" w:line="293" w:lineRule="auto"/>
        <w:ind w:left="283"/>
        <w:jc w:val="left"/>
      </w:pPr>
      <w:r>
        <w:rPr>
          <w:rFonts w:ascii="Times New Roman" w:hAnsi="Times New Roman" w:cs="Times New Roman"/>
          <w:b w:val="0"/>
          <w:i w:val="0"/>
          <w:sz w:val="22"/>
        </w:rPr>
        <w:t>- PURCHASE_ORDER</w:t>
      </w:r>
    </w:p>
    <w:p>
      <w:pPr>
        <w:spacing w:after="80" w:line="293" w:lineRule="auto"/>
        <w:ind w:left="283"/>
        <w:jc w:val="left"/>
      </w:pPr>
      <w:r>
        <w:rPr>
          <w:rFonts w:ascii="Times New Roman" w:hAnsi="Times New Roman" w:cs="Times New Roman"/>
          <w:b w:val="0"/>
          <w:i w:val="0"/>
          <w:sz w:val="22"/>
        </w:rPr>
        <w:t>- SALES_ORDER</w:t>
      </w:r>
    </w:p>
    <w:p>
      <w:pPr>
        <w:spacing w:after="80" w:line="293" w:lineRule="auto"/>
        <w:ind w:left="283"/>
        <w:jc w:val="left"/>
      </w:pPr>
      <w:r>
        <w:rPr>
          <w:rFonts w:ascii="Times New Roman" w:hAnsi="Times New Roman" w:cs="Times New Roman"/>
          <w:b w:val="0"/>
          <w:i w:val="0"/>
          <w:sz w:val="22"/>
        </w:rPr>
        <w:t>- PROFORMA</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INCOTERM</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REGULATORY_PROFILE</w:t>
      </w:r>
    </w:p>
    <w:p>
      <w:pPr>
        <w:spacing w:after="80" w:line="293" w:lineRule="auto"/>
        <w:ind w:left="283"/>
        <w:jc w:val="left"/>
      </w:pPr>
      <w:r>
        <w:rPr>
          <w:rFonts w:ascii="Times New Roman" w:hAnsi="Times New Roman" w:cs="Times New Roman"/>
          <w:b w:val="0"/>
          <w:i w:val="0"/>
          <w:sz w:val="22"/>
        </w:rPr>
        <w:t>- LICENSE</w:t>
      </w:r>
    </w:p>
    <w:p>
      <w:pPr>
        <w:spacing w:after="80" w:line="293" w:lineRule="auto"/>
        <w:ind w:left="283"/>
        <w:jc w:val="left"/>
      </w:pPr>
      <w:r>
        <w:rPr>
          <w:rFonts w:ascii="Times New Roman" w:hAnsi="Times New Roman" w:cs="Times New Roman"/>
          <w:b w:val="0"/>
          <w:i w:val="0"/>
          <w:sz w:val="22"/>
        </w:rPr>
        <w:t>- PERMIT</w:t>
      </w:r>
    </w:p>
    <w:p>
      <w:pPr>
        <w:spacing w:after="80" w:line="293" w:lineRule="auto"/>
        <w:ind w:left="283"/>
        <w:jc w:val="left"/>
      </w:pPr>
      <w:r>
        <w:rPr>
          <w:rFonts w:ascii="Times New Roman" w:hAnsi="Times New Roman" w:cs="Times New Roman"/>
          <w:b w:val="0"/>
          <w:i w:val="0"/>
          <w:sz w:val="22"/>
        </w:rPr>
        <w:t>- CERTIFICATE</w:t>
      </w:r>
    </w:p>
    <w:p>
      <w:pPr>
        <w:spacing w:after="80" w:line="293" w:lineRule="auto"/>
        <w:ind w:left="283"/>
        <w:jc w:val="left"/>
      </w:pPr>
      <w:r>
        <w:rPr>
          <w:rFonts w:ascii="Times New Roman" w:hAnsi="Times New Roman" w:cs="Times New Roman"/>
          <w:b w:val="0"/>
          <w:i w:val="0"/>
          <w:sz w:val="22"/>
        </w:rPr>
        <w:t>- DOCUMENT</w:t>
      </w:r>
    </w:p>
    <w:p>
      <w:pPr>
        <w:spacing w:after="80" w:line="293" w:lineRule="auto"/>
        <w:ind w:left="283"/>
        <w:jc w:val="left"/>
      </w:pPr>
      <w:r>
        <w:rPr>
          <w:rFonts w:ascii="Times New Roman" w:hAnsi="Times New Roman" w:cs="Times New Roman"/>
          <w:b w:val="0"/>
          <w:i w:val="0"/>
          <w:sz w:val="22"/>
        </w:rPr>
        <w:t>- CUSTOMS_OPERATION</w:t>
      </w:r>
    </w:p>
    <w:p>
      <w:pPr>
        <w:spacing w:after="80" w:line="293" w:lineRule="auto"/>
        <w:ind w:left="283"/>
        <w:jc w:val="left"/>
      </w:pPr>
      <w:r>
        <w:rPr>
          <w:rFonts w:ascii="Times New Roman" w:hAnsi="Times New Roman" w:cs="Times New Roman"/>
          <w:b w:val="0"/>
          <w:i w:val="0"/>
          <w:sz w:val="22"/>
        </w:rPr>
        <w:t>- TRANSPORT_GRAPH</w:t>
      </w:r>
    </w:p>
    <w:p>
      <w:pPr>
        <w:spacing w:after="80" w:line="293" w:lineRule="auto"/>
        <w:ind w:left="283"/>
        <w:jc w:val="left"/>
      </w:pPr>
      <w:r>
        <w:rPr>
          <w:rFonts w:ascii="Times New Roman" w:hAnsi="Times New Roman" w:cs="Times New Roman"/>
          <w:b w:val="0"/>
          <w:i w:val="0"/>
          <w:sz w:val="22"/>
        </w:rPr>
        <w:t>- SHIPMENT</w:t>
      </w:r>
    </w:p>
    <w:p>
      <w:pPr>
        <w:spacing w:after="80" w:line="293" w:lineRule="auto"/>
        <w:ind w:left="283"/>
        <w:jc w:val="left"/>
      </w:pPr>
      <w:r>
        <w:rPr>
          <w:rFonts w:ascii="Times New Roman" w:hAnsi="Times New Roman" w:cs="Times New Roman"/>
          <w:b w:val="0"/>
          <w:i w:val="0"/>
          <w:sz w:val="22"/>
        </w:rPr>
        <w:t>- TRANSPORT_LEG</w:t>
      </w:r>
    </w:p>
    <w:p>
      <w:pPr>
        <w:spacing w:after="80" w:line="293" w:lineRule="auto"/>
        <w:ind w:left="283"/>
        <w:jc w:val="left"/>
      </w:pPr>
      <w:r>
        <w:rPr>
          <w:rFonts w:ascii="Times New Roman" w:hAnsi="Times New Roman" w:cs="Times New Roman"/>
          <w:b w:val="0"/>
          <w:i w:val="0"/>
          <w:sz w:val="22"/>
        </w:rPr>
        <w:t>- DUTY</w:t>
      </w:r>
    </w:p>
    <w:p>
      <w:pPr>
        <w:spacing w:after="80" w:line="293" w:lineRule="auto"/>
        <w:ind w:left="283"/>
        <w:jc w:val="left"/>
      </w:pPr>
      <w:r>
        <w:rPr>
          <w:rFonts w:ascii="Times New Roman" w:hAnsi="Times New Roman" w:cs="Times New Roman"/>
          <w:b w:val="0"/>
          <w:i w:val="0"/>
          <w:sz w:val="22"/>
        </w:rPr>
        <w:t>- TAX</w:t>
      </w:r>
    </w:p>
    <w:p>
      <w:pPr>
        <w:spacing w:after="80" w:line="293" w:lineRule="auto"/>
        <w:ind w:left="283"/>
        <w:jc w:val="left"/>
      </w:pPr>
      <w:r>
        <w:rPr>
          <w:rFonts w:ascii="Times New Roman" w:hAnsi="Times New Roman" w:cs="Times New Roman"/>
          <w:b w:val="0"/>
          <w:i w:val="0"/>
          <w:sz w:val="22"/>
        </w:rPr>
        <w:t>- GUARANTEE</w:t>
      </w:r>
    </w:p>
    <w:p>
      <w:pPr>
        <w:spacing w:after="80" w:line="293" w:lineRule="auto"/>
        <w:ind w:left="283"/>
        <w:jc w:val="left"/>
      </w:pPr>
      <w:r>
        <w:rPr>
          <w:rFonts w:ascii="Times New Roman" w:hAnsi="Times New Roman" w:cs="Times New Roman"/>
          <w:b w:val="0"/>
          <w:i w:val="0"/>
          <w:sz w:val="22"/>
        </w:rPr>
        <w:t>- PAYMENT</w:t>
      </w:r>
    </w:p>
    <w:p>
      <w:pPr>
        <w:spacing w:after="80" w:line="293" w:lineRule="auto"/>
        <w:ind w:left="283"/>
        <w:jc w:val="left"/>
      </w:pPr>
      <w:r>
        <w:rPr>
          <w:rFonts w:ascii="Times New Roman" w:hAnsi="Times New Roman" w:cs="Times New Roman"/>
          <w:b w:val="0"/>
          <w:i w:val="0"/>
          <w:sz w:val="22"/>
        </w:rPr>
        <w:t>- SETTLEMENT</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INSPECTION</w:t>
      </w:r>
    </w:p>
    <w:p>
      <w:pPr>
        <w:spacing w:after="80" w:line="293" w:lineRule="auto"/>
        <w:ind w:left="283"/>
        <w:jc w:val="left"/>
      </w:pPr>
      <w:r>
        <w:rPr>
          <w:rFonts w:ascii="Times New Roman" w:hAnsi="Times New Roman" w:cs="Times New Roman"/>
          <w:b w:val="0"/>
          <w:i w:val="0"/>
          <w:sz w:val="22"/>
        </w:rPr>
        <w:t>- SECURITY</w:t>
      </w:r>
    </w:p>
    <w:p>
      <w:pPr>
        <w:spacing w:after="80" w:line="293" w:lineRule="auto"/>
        <w:ind w:left="283"/>
        <w:jc w:val="left"/>
      </w:pPr>
      <w:r>
        <w:rPr>
          <w:rFonts w:ascii="Times New Roman" w:hAnsi="Times New Roman" w:cs="Times New Roman"/>
          <w:b w:val="0"/>
          <w:i w:val="0"/>
          <w:sz w:val="22"/>
        </w:rPr>
        <w:t>- DELIVERY</w:t>
      </w:r>
    </w:p>
    <w:p>
      <w:pPr>
        <w:spacing w:after="80" w:line="293" w:lineRule="auto"/>
        <w:ind w:left="283"/>
        <w:jc w:val="left"/>
      </w:pPr>
      <w:r>
        <w:rPr>
          <w:rFonts w:ascii="Times New Roman" w:hAnsi="Times New Roman" w:cs="Times New Roman"/>
          <w:b w:val="0"/>
          <w:i w:val="0"/>
          <w:sz w:val="22"/>
        </w:rPr>
        <w:t>- ACCEPTANCE</w:t>
      </w:r>
    </w:p>
    <w:p>
      <w:pPr>
        <w:spacing w:after="80" w:line="293" w:lineRule="auto"/>
        <w:ind w:left="283"/>
        <w:jc w:val="left"/>
      </w:pPr>
      <w:r>
        <w:rPr>
          <w:rFonts w:ascii="Times New Roman" w:hAnsi="Times New Roman" w:cs="Times New Roman"/>
          <w:b w:val="0"/>
          <w:i w:val="0"/>
          <w:sz w:val="22"/>
        </w:rPr>
        <w:t>- CLAIM</w:t>
      </w:r>
    </w:p>
    <w:p>
      <w:pPr>
        <w:spacing w:after="80" w:line="293" w:lineRule="auto"/>
        <w:ind w:left="283"/>
        <w:jc w:val="left"/>
      </w:pPr>
      <w:r>
        <w:rPr>
          <w:rFonts w:ascii="Times New Roman" w:hAnsi="Times New Roman" w:cs="Times New Roman"/>
          <w:b w:val="0"/>
          <w:i w:val="0"/>
          <w:sz w:val="22"/>
        </w:rPr>
        <w:t>- RETURN</w:t>
      </w:r>
    </w:p>
    <w:p>
      <w:pPr>
        <w:spacing w:after="80" w:line="293" w:lineRule="auto"/>
        <w:ind w:left="283"/>
        <w:jc w:val="left"/>
      </w:pPr>
      <w:r>
        <w:rPr>
          <w:rFonts w:ascii="Times New Roman" w:hAnsi="Times New Roman" w:cs="Times New Roman"/>
          <w:b w:val="0"/>
          <w:i w:val="0"/>
          <w:sz w:val="22"/>
        </w:rPr>
        <w:t>- POST_CLEARANCE</w:t>
      </w:r>
    </w:p>
    <w:p>
      <w:pPr>
        <w:spacing w:after="80" w:line="293" w:lineRule="auto"/>
        <w:ind w:left="283"/>
        <w:jc w:val="left"/>
      </w:pPr>
      <w:r>
        <w:rPr>
          <w:rFonts w:ascii="Times New Roman" w:hAnsi="Times New Roman" w:cs="Times New Roman"/>
          <w:b w:val="0"/>
          <w:i w:val="0"/>
          <w:sz w:val="22"/>
        </w:rPr>
        <w:t>- ACCOUNTING</w:t>
      </w:r>
    </w:p>
    <w:p>
      <w:pPr>
        <w:spacing w:after="80" w:line="293" w:lineRule="auto"/>
        <w:ind w:left="283"/>
        <w:jc w:val="left"/>
      </w:pPr>
      <w:r>
        <w:rPr>
          <w:rFonts w:ascii="Times New Roman" w:hAnsi="Times New Roman" w:cs="Times New Roman"/>
          <w:b w:val="0"/>
          <w:i w:val="0"/>
          <w:sz w:val="22"/>
        </w:rPr>
        <w:t>- EVIDENCE</w:t>
      </w:r>
    </w:p>
    <w:p>
      <w:pPr>
        <w:spacing w:after="80" w:line="293" w:lineRule="auto"/>
        <w:jc w:val="left"/>
      </w:pPr>
      <w:r>
        <w:rPr>
          <w:rFonts w:ascii="Times New Roman" w:hAnsi="Times New Roman" w:cs="Times New Roman"/>
          <w:b w:val="0"/>
          <w:i w:val="0"/>
          <w:sz w:val="22"/>
        </w:rPr>
        <w:t>The platform does not duplicate concepts already present in the core model; existing canonical models are extended where possible (see Section 17).</w:t>
      </w:r>
    </w:p>
    <w:p>
      <w:pPr>
        <w:keepNext/>
        <w:spacing w:before="240" w:after="100"/>
        <w:outlineLvl w:val="1"/>
      </w:pPr>
      <w:r>
        <w:rPr>
          <w:rFonts w:ascii="Arial" w:hAnsi="Arial" w:cs="Arial"/>
          <w:b/>
          <w:i w:val="0"/>
          <w:color w:val="2E528F"/>
          <w:sz w:val="26"/>
        </w:rPr>
        <w:t>20.6 Global Jurisdiction Fabric</w:t>
      </w:r>
    </w:p>
    <w:p>
      <w:pPr>
        <w:spacing w:after="80" w:line="293" w:lineRule="auto"/>
        <w:jc w:val="left"/>
      </w:pPr>
      <w:r>
        <w:rPr>
          <w:rFonts w:ascii="Times New Roman" w:hAnsi="Times New Roman" w:cs="Times New Roman"/>
          <w:b w:val="0"/>
          <w:i w:val="0"/>
          <w:sz w:val="22"/>
        </w:rPr>
        <w:t>"Country" is insufficient as the fundamental legal object. The platform defines JURISDICTION as the fundamental legal object, supporting:</w:t>
      </w:r>
    </w:p>
    <w:p>
      <w:pPr>
        <w:spacing w:after="80" w:line="293" w:lineRule="auto"/>
        <w:ind w:left="283"/>
        <w:jc w:val="left"/>
      </w:pPr>
      <w:r>
        <w:rPr>
          <w:rFonts w:ascii="Times New Roman" w:hAnsi="Times New Roman" w:cs="Times New Roman"/>
          <w:b w:val="0"/>
          <w:i w:val="0"/>
          <w:sz w:val="22"/>
        </w:rPr>
        <w:t>- sovereign country</w:t>
      </w:r>
    </w:p>
    <w:p>
      <w:pPr>
        <w:spacing w:after="80" w:line="293" w:lineRule="auto"/>
        <w:ind w:left="283"/>
        <w:jc w:val="left"/>
      </w:pPr>
      <w:r>
        <w:rPr>
          <w:rFonts w:ascii="Times New Roman" w:hAnsi="Times New Roman" w:cs="Times New Roman"/>
          <w:b w:val="0"/>
          <w:i w:val="0"/>
          <w:sz w:val="22"/>
        </w:rPr>
        <w:t>- customs territory</w:t>
      </w:r>
    </w:p>
    <w:p>
      <w:pPr>
        <w:spacing w:after="80" w:line="293" w:lineRule="auto"/>
        <w:ind w:left="283"/>
        <w:jc w:val="left"/>
      </w:pPr>
      <w:r>
        <w:rPr>
          <w:rFonts w:ascii="Times New Roman" w:hAnsi="Times New Roman" w:cs="Times New Roman"/>
          <w:b w:val="0"/>
          <w:i w:val="0"/>
          <w:sz w:val="22"/>
        </w:rPr>
        <w:t>- customs union</w:t>
      </w:r>
    </w:p>
    <w:p>
      <w:pPr>
        <w:spacing w:after="80" w:line="293" w:lineRule="auto"/>
        <w:ind w:left="283"/>
        <w:jc w:val="left"/>
      </w:pPr>
      <w:r>
        <w:rPr>
          <w:rFonts w:ascii="Times New Roman" w:hAnsi="Times New Roman" w:cs="Times New Roman"/>
          <w:b w:val="0"/>
          <w:i w:val="0"/>
          <w:sz w:val="22"/>
        </w:rPr>
        <w:t>- economic union</w:t>
      </w:r>
    </w:p>
    <w:p>
      <w:pPr>
        <w:spacing w:after="80" w:line="293" w:lineRule="auto"/>
        <w:ind w:left="283"/>
        <w:jc w:val="left"/>
      </w:pPr>
      <w:r>
        <w:rPr>
          <w:rFonts w:ascii="Times New Roman" w:hAnsi="Times New Roman" w:cs="Times New Roman"/>
          <w:b w:val="0"/>
          <w:i w:val="0"/>
          <w:sz w:val="22"/>
        </w:rPr>
        <w:t>- autonomous territory</w:t>
      </w:r>
    </w:p>
    <w:p>
      <w:pPr>
        <w:spacing w:after="80" w:line="293" w:lineRule="auto"/>
        <w:ind w:left="283"/>
        <w:jc w:val="left"/>
      </w:pPr>
      <w:r>
        <w:rPr>
          <w:rFonts w:ascii="Times New Roman" w:hAnsi="Times New Roman" w:cs="Times New Roman"/>
          <w:b w:val="0"/>
          <w:i w:val="0"/>
          <w:sz w:val="22"/>
        </w:rPr>
        <w:t>- special administrative region</w:t>
      </w:r>
    </w:p>
    <w:p>
      <w:pPr>
        <w:spacing w:after="80" w:line="293" w:lineRule="auto"/>
        <w:ind w:left="283"/>
        <w:jc w:val="left"/>
      </w:pPr>
      <w:r>
        <w:rPr>
          <w:rFonts w:ascii="Times New Roman" w:hAnsi="Times New Roman" w:cs="Times New Roman"/>
          <w:b w:val="0"/>
          <w:i w:val="0"/>
          <w:sz w:val="22"/>
        </w:rPr>
        <w:t>- free zone</w:t>
      </w:r>
    </w:p>
    <w:p>
      <w:pPr>
        <w:spacing w:after="80" w:line="293" w:lineRule="auto"/>
        <w:ind w:left="283"/>
        <w:jc w:val="left"/>
      </w:pPr>
      <w:r>
        <w:rPr>
          <w:rFonts w:ascii="Times New Roman" w:hAnsi="Times New Roman" w:cs="Times New Roman"/>
          <w:b w:val="0"/>
          <w:i w:val="0"/>
          <w:sz w:val="22"/>
        </w:rPr>
        <w:t>- free port</w:t>
      </w:r>
    </w:p>
    <w:p>
      <w:pPr>
        <w:spacing w:after="80" w:line="293" w:lineRule="auto"/>
        <w:ind w:left="283"/>
        <w:jc w:val="left"/>
      </w:pPr>
      <w:r>
        <w:rPr>
          <w:rFonts w:ascii="Times New Roman" w:hAnsi="Times New Roman" w:cs="Times New Roman"/>
          <w:b w:val="0"/>
          <w:i w:val="0"/>
          <w:sz w:val="22"/>
        </w:rPr>
        <w:t>- bonded zone</w:t>
      </w:r>
    </w:p>
    <w:p>
      <w:pPr>
        <w:spacing w:after="80" w:line="293" w:lineRule="auto"/>
        <w:ind w:left="283"/>
        <w:jc w:val="left"/>
      </w:pPr>
      <w:r>
        <w:rPr>
          <w:rFonts w:ascii="Times New Roman" w:hAnsi="Times New Roman" w:cs="Times New Roman"/>
          <w:b w:val="0"/>
          <w:i w:val="0"/>
          <w:sz w:val="22"/>
        </w:rPr>
        <w:t>- special economic zone</w:t>
      </w:r>
    </w:p>
    <w:p>
      <w:pPr>
        <w:spacing w:after="80" w:line="293" w:lineRule="auto"/>
        <w:ind w:left="283"/>
        <w:jc w:val="left"/>
      </w:pPr>
      <w:r>
        <w:rPr>
          <w:rFonts w:ascii="Times New Roman" w:hAnsi="Times New Roman" w:cs="Times New Roman"/>
          <w:b w:val="0"/>
          <w:i w:val="0"/>
          <w:sz w:val="22"/>
        </w:rPr>
        <w:t>- airport customs jurisdiction</w:t>
      </w:r>
    </w:p>
    <w:p>
      <w:pPr>
        <w:spacing w:after="80" w:line="293" w:lineRule="auto"/>
        <w:ind w:left="283"/>
        <w:jc w:val="left"/>
      </w:pPr>
      <w:r>
        <w:rPr>
          <w:rFonts w:ascii="Times New Roman" w:hAnsi="Times New Roman" w:cs="Times New Roman"/>
          <w:b w:val="0"/>
          <w:i w:val="0"/>
          <w:sz w:val="22"/>
        </w:rPr>
        <w:t>- port customs jurisdiction</w:t>
      </w:r>
    </w:p>
    <w:p>
      <w:pPr>
        <w:spacing w:after="80" w:line="293" w:lineRule="auto"/>
        <w:ind w:left="283"/>
        <w:jc w:val="left"/>
      </w:pPr>
      <w:r>
        <w:rPr>
          <w:rFonts w:ascii="Times New Roman" w:hAnsi="Times New Roman" w:cs="Times New Roman"/>
          <w:b w:val="0"/>
          <w:i w:val="0"/>
          <w:sz w:val="22"/>
        </w:rPr>
        <w:t>- tax territory</w:t>
      </w:r>
    </w:p>
    <w:p>
      <w:pPr>
        <w:spacing w:after="80" w:line="293" w:lineRule="auto"/>
        <w:ind w:left="283"/>
        <w:jc w:val="left"/>
      </w:pPr>
      <w:r>
        <w:rPr>
          <w:rFonts w:ascii="Times New Roman" w:hAnsi="Times New Roman" w:cs="Times New Roman"/>
          <w:b w:val="0"/>
          <w:i w:val="0"/>
          <w:sz w:val="22"/>
        </w:rPr>
        <w:t>- export-control territory</w:t>
      </w:r>
    </w:p>
    <w:p>
      <w:pPr>
        <w:spacing w:after="80" w:line="293" w:lineRule="auto"/>
        <w:ind w:left="283"/>
        <w:jc w:val="left"/>
      </w:pPr>
      <w:r>
        <w:rPr>
          <w:rFonts w:ascii="Times New Roman" w:hAnsi="Times New Roman" w:cs="Times New Roman"/>
          <w:b w:val="0"/>
          <w:i w:val="0"/>
          <w:sz w:val="22"/>
        </w:rPr>
        <w:t>- special regime</w:t>
      </w:r>
    </w:p>
    <w:p>
      <w:pPr>
        <w:spacing w:after="80" w:line="293" w:lineRule="auto"/>
        <w:jc w:val="left"/>
      </w:pPr>
      <w:r>
        <w:rPr>
          <w:rFonts w:ascii="Times New Roman" w:hAnsi="Times New Roman" w:cs="Times New Roman"/>
          <w:b w:val="0"/>
          <w:i w:val="0"/>
          <w:sz w:val="22"/>
        </w:rPr>
        <w:t>Each jurisdiction stores:</w:t>
      </w:r>
    </w:p>
    <w:p>
      <w:pPr>
        <w:spacing w:after="80" w:line="293" w:lineRule="auto"/>
        <w:ind w:left="283"/>
        <w:jc w:val="left"/>
      </w:pPr>
      <w:r>
        <w:rPr>
          <w:rFonts w:ascii="Times New Roman" w:hAnsi="Times New Roman" w:cs="Times New Roman"/>
          <w:b w:val="0"/>
          <w:i w:val="0"/>
          <w:sz w:val="22"/>
        </w:rPr>
        <w:t>- jurisdiction_id</w:t>
      </w:r>
    </w:p>
    <w:p>
      <w:pPr>
        <w:spacing w:after="80" w:line="293" w:lineRule="auto"/>
        <w:ind w:left="283"/>
        <w:jc w:val="left"/>
      </w:pPr>
      <w:r>
        <w:rPr>
          <w:rFonts w:ascii="Times New Roman" w:hAnsi="Times New Roman" w:cs="Times New Roman"/>
          <w:b w:val="0"/>
          <w:i w:val="0"/>
          <w:sz w:val="22"/>
        </w:rPr>
        <w:t>- ISO references</w:t>
      </w:r>
    </w:p>
    <w:p>
      <w:pPr>
        <w:spacing w:after="80" w:line="293" w:lineRule="auto"/>
        <w:ind w:left="283"/>
        <w:jc w:val="left"/>
      </w:pPr>
      <w:r>
        <w:rPr>
          <w:rFonts w:ascii="Times New Roman" w:hAnsi="Times New Roman" w:cs="Times New Roman"/>
          <w:b w:val="0"/>
          <w:i w:val="0"/>
          <w:sz w:val="22"/>
        </w:rPr>
        <w:t>- parent jurisdiction</w:t>
      </w:r>
    </w:p>
    <w:p>
      <w:pPr>
        <w:spacing w:after="80" w:line="293" w:lineRule="auto"/>
        <w:ind w:left="283"/>
        <w:jc w:val="left"/>
      </w:pPr>
      <w:r>
        <w:rPr>
          <w:rFonts w:ascii="Times New Roman" w:hAnsi="Times New Roman" w:cs="Times New Roman"/>
          <w:b w:val="0"/>
          <w:i w:val="0"/>
          <w:sz w:val="22"/>
        </w:rPr>
        <w:t>- customs territory</w:t>
      </w:r>
    </w:p>
    <w:p>
      <w:pPr>
        <w:spacing w:after="80" w:line="293" w:lineRule="auto"/>
        <w:ind w:left="283"/>
        <w:jc w:val="left"/>
      </w:pPr>
      <w:r>
        <w:rPr>
          <w:rFonts w:ascii="Times New Roman" w:hAnsi="Times New Roman" w:cs="Times New Roman"/>
          <w:b w:val="0"/>
          <w:i w:val="0"/>
          <w:sz w:val="22"/>
        </w:rPr>
        <w:t>- tax territory</w:t>
      </w:r>
    </w:p>
    <w:p>
      <w:pPr>
        <w:spacing w:after="80" w:line="293" w:lineRule="auto"/>
        <w:ind w:left="283"/>
        <w:jc w:val="left"/>
      </w:pPr>
      <w:r>
        <w:rPr>
          <w:rFonts w:ascii="Times New Roman" w:hAnsi="Times New Roman" w:cs="Times New Roman"/>
          <w:b w:val="0"/>
          <w:i w:val="0"/>
          <w:sz w:val="22"/>
        </w:rPr>
        <w:t>- regional bloc</w:t>
      </w:r>
    </w:p>
    <w:p>
      <w:pPr>
        <w:spacing w:after="80" w:line="293" w:lineRule="auto"/>
        <w:ind w:left="283"/>
        <w:jc w:val="left"/>
      </w:pPr>
      <w:r>
        <w:rPr>
          <w:rFonts w:ascii="Times New Roman" w:hAnsi="Times New Roman" w:cs="Times New Roman"/>
          <w:b w:val="0"/>
          <w:i w:val="0"/>
          <w:sz w:val="22"/>
        </w:rPr>
        <w:t>- customs authority</w:t>
      </w:r>
    </w:p>
    <w:p>
      <w:pPr>
        <w:spacing w:after="80" w:line="293" w:lineRule="auto"/>
        <w:ind w:left="283"/>
        <w:jc w:val="left"/>
      </w:pPr>
      <w:r>
        <w:rPr>
          <w:rFonts w:ascii="Times New Roman" w:hAnsi="Times New Roman" w:cs="Times New Roman"/>
          <w:b w:val="0"/>
          <w:i w:val="0"/>
          <w:sz w:val="22"/>
        </w:rPr>
        <w:t>- tax authority</w:t>
      </w:r>
    </w:p>
    <w:p>
      <w:pPr>
        <w:spacing w:after="80" w:line="293" w:lineRule="auto"/>
        <w:ind w:left="283"/>
        <w:jc w:val="left"/>
      </w:pPr>
      <w:r>
        <w:rPr>
          <w:rFonts w:ascii="Times New Roman" w:hAnsi="Times New Roman" w:cs="Times New Roman"/>
          <w:b w:val="0"/>
          <w:i w:val="0"/>
          <w:sz w:val="22"/>
        </w:rPr>
        <w:t>- SPS authority</w:t>
      </w:r>
    </w:p>
    <w:p>
      <w:pPr>
        <w:spacing w:after="80" w:line="293" w:lineRule="auto"/>
        <w:ind w:left="283"/>
        <w:jc w:val="left"/>
      </w:pPr>
      <w:r>
        <w:rPr>
          <w:rFonts w:ascii="Times New Roman" w:hAnsi="Times New Roman" w:cs="Times New Roman"/>
          <w:b w:val="0"/>
          <w:i w:val="0"/>
          <w:sz w:val="22"/>
        </w:rPr>
        <w:t>- TBT authority</w:t>
      </w:r>
    </w:p>
    <w:p>
      <w:pPr>
        <w:spacing w:after="80" w:line="293" w:lineRule="auto"/>
        <w:ind w:left="283"/>
        <w:jc w:val="left"/>
      </w:pPr>
      <w:r>
        <w:rPr>
          <w:rFonts w:ascii="Times New Roman" w:hAnsi="Times New Roman" w:cs="Times New Roman"/>
          <w:b w:val="0"/>
          <w:i w:val="0"/>
          <w:sz w:val="22"/>
        </w:rPr>
        <w:t>- export-control authority</w:t>
      </w:r>
    </w:p>
    <w:p>
      <w:pPr>
        <w:spacing w:after="80" w:line="293" w:lineRule="auto"/>
        <w:ind w:left="283"/>
        <w:jc w:val="left"/>
      </w:pPr>
      <w:r>
        <w:rPr>
          <w:rFonts w:ascii="Times New Roman" w:hAnsi="Times New Roman" w:cs="Times New Roman"/>
          <w:b w:val="0"/>
          <w:i w:val="0"/>
          <w:sz w:val="22"/>
        </w:rPr>
        <w:t>- transport authority</w:t>
      </w:r>
    </w:p>
    <w:p>
      <w:pPr>
        <w:spacing w:after="80" w:line="293" w:lineRule="auto"/>
        <w:ind w:left="283"/>
        <w:jc w:val="left"/>
      </w:pPr>
      <w:r>
        <w:rPr>
          <w:rFonts w:ascii="Times New Roman" w:hAnsi="Times New Roman" w:cs="Times New Roman"/>
          <w:b w:val="0"/>
          <w:i w:val="0"/>
          <w:sz w:val="22"/>
        </w:rPr>
        <w:t>- immigration authority</w:t>
      </w:r>
    </w:p>
    <w:p>
      <w:pPr>
        <w:spacing w:after="80" w:line="293" w:lineRule="auto"/>
        <w:ind w:left="283"/>
        <w:jc w:val="left"/>
      </w:pPr>
      <w:r>
        <w:rPr>
          <w:rFonts w:ascii="Times New Roman" w:hAnsi="Times New Roman" w:cs="Times New Roman"/>
          <w:b w:val="0"/>
          <w:i w:val="0"/>
          <w:sz w:val="22"/>
        </w:rPr>
        <w:t>- ports</w:t>
      </w:r>
    </w:p>
    <w:p>
      <w:pPr>
        <w:spacing w:after="80" w:line="293" w:lineRule="auto"/>
        <w:ind w:left="283"/>
        <w:jc w:val="left"/>
      </w:pPr>
      <w:r>
        <w:rPr>
          <w:rFonts w:ascii="Times New Roman" w:hAnsi="Times New Roman" w:cs="Times New Roman"/>
          <w:b w:val="0"/>
          <w:i w:val="0"/>
          <w:sz w:val="22"/>
        </w:rPr>
        <w:t>- airports</w:t>
      </w:r>
    </w:p>
    <w:p>
      <w:pPr>
        <w:spacing w:after="80" w:line="293" w:lineRule="auto"/>
        <w:ind w:left="283"/>
        <w:jc w:val="left"/>
      </w:pPr>
      <w:r>
        <w:rPr>
          <w:rFonts w:ascii="Times New Roman" w:hAnsi="Times New Roman" w:cs="Times New Roman"/>
          <w:b w:val="0"/>
          <w:i w:val="0"/>
          <w:sz w:val="22"/>
        </w:rPr>
        <w:t>- customs offices</w:t>
      </w:r>
    </w:p>
    <w:p>
      <w:pPr>
        <w:spacing w:after="80" w:line="293" w:lineRule="auto"/>
        <w:ind w:left="283"/>
        <w:jc w:val="left"/>
      </w:pPr>
      <w:r>
        <w:rPr>
          <w:rFonts w:ascii="Times New Roman" w:hAnsi="Times New Roman" w:cs="Times New Roman"/>
          <w:b w:val="0"/>
          <w:i w:val="0"/>
          <w:sz w:val="22"/>
        </w:rPr>
        <w:t>- special regimes</w:t>
      </w:r>
    </w:p>
    <w:p>
      <w:pPr>
        <w:spacing w:after="80" w:line="293" w:lineRule="auto"/>
        <w:ind w:left="283"/>
        <w:jc w:val="left"/>
      </w:pPr>
      <w:r>
        <w:rPr>
          <w:rFonts w:ascii="Times New Roman" w:hAnsi="Times New Roman" w:cs="Times New Roman"/>
          <w:b w:val="0"/>
          <w:i w:val="0"/>
          <w:sz w:val="22"/>
        </w:rPr>
        <w:t>- legal sources</w:t>
      </w:r>
    </w:p>
    <w:p>
      <w:pPr>
        <w:spacing w:after="80" w:line="293" w:lineRule="auto"/>
        <w:ind w:left="283"/>
        <w:jc w:val="left"/>
      </w:pPr>
      <w:r>
        <w:rPr>
          <w:rFonts w:ascii="Times New Roman" w:hAnsi="Times New Roman" w:cs="Times New Roman"/>
          <w:b w:val="0"/>
          <w:i w:val="0"/>
          <w:sz w:val="22"/>
        </w:rPr>
        <w:t>- effective dates</w:t>
      </w:r>
    </w:p>
    <w:p>
      <w:pPr>
        <w:keepNext/>
        <w:spacing w:before="180" w:after="80"/>
        <w:outlineLvl w:val="2"/>
      </w:pPr>
      <w:r>
        <w:rPr>
          <w:rFonts w:ascii="Arial" w:hAnsi="Arial" w:cs="Arial"/>
          <w:b/>
          <w:i w:val="0"/>
          <w:color w:val="333333"/>
          <w:sz w:val="23"/>
        </w:rPr>
        <w:t>20.6.1 Regulatory Applicability Model (YES / NO / UNKNOWN)</w:t>
      </w:r>
    </w:p>
    <w:p>
      <w:pPr>
        <w:spacing w:after="80" w:line="293" w:lineRule="auto"/>
        <w:jc w:val="left"/>
      </w:pPr>
      <w:r>
        <w:rPr>
          <w:rFonts w:ascii="Times New Roman" w:hAnsi="Times New Roman" w:cs="Times New Roman"/>
          <w:b w:val="0"/>
          <w:i w:val="0"/>
          <w:sz w:val="22"/>
        </w:rPr>
        <w:t>Regulatory applicability is never a universal boolean. Any rule that would be modelled as universally true — for example, that ICS2, EUDR, or CBAM applies to every EU-bound shipment — is instead modelled with a three-valued applicability:</w:t>
      </w:r>
    </w:p>
    <w:p>
      <w:pPr>
        <w:spacing w:after="0" w:before="0" w:line="240" w:lineRule="auto"/>
        <w:ind w:left="57"/>
        <w:jc w:val="left"/>
        <w:shd w:val="clear" w:fill="F2F2F2"/>
      </w:pPr>
      <w:r>
        <w:rPr>
          <w:rFonts w:ascii="Consolas" w:hAnsi="Consolas" w:cs="Consolas"/>
          <w:b w:val="0"/>
          <w:i w:val="0"/>
          <w:sz w:val="15"/>
        </w:rPr>
        <w:t>applicability:  YES | NO | UNKNOWN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regulatory applicability record carries: responsible_party, evidence_reference, due_date, status, regulatory_snapshot_version, jurisdiction, commodity_scope, transport_scope, and effective_date. The three-valued model lets a rule evolve as law and applicability change, and lets the platform represent "not yet determinable" honestly rather than defaulting to either compliant or non-compliant.</w:t>
      </w:r>
    </w:p>
    <w:p>
      <w:pPr>
        <w:spacing w:after="80" w:line="293" w:lineRule="auto"/>
        <w:jc w:val="left"/>
      </w:pPr>
      <w:r>
        <w:rPr>
          <w:rFonts w:ascii="Times New Roman" w:hAnsi="Times New Roman" w:cs="Times New Roman"/>
          <w:b w:val="0"/>
          <w:i w:val="0"/>
          <w:sz w:val="22"/>
        </w:rPr>
        <w:t>The regulatory engine evaluates applicability from: jurisdiction; origin; destination; commodity / HS classification; transport mode; trade value; party role; effective date; and regulatory version. An UNKNOWN applicability fails closed where the rule is compliance-blocking (constitutional Point 37): the trade proceeds only when applicability resolves to YES with its conditions satisfied or to NO with recorded justification. Applicability decisions reference the regulatory snapshot version (Section 20.9) in force at decision time, so every historical decision is reproducible.</w:t>
      </w:r>
    </w:p>
    <w:p>
      <w:pPr>
        <w:keepNext/>
        <w:spacing w:before="240" w:after="100"/>
        <w:outlineLvl w:val="1"/>
      </w:pPr>
      <w:r>
        <w:rPr>
          <w:rFonts w:ascii="Arial" w:hAnsi="Arial" w:cs="Arial"/>
          <w:b/>
          <w:i w:val="0"/>
          <w:color w:val="2E528F"/>
          <w:sz w:val="26"/>
        </w:rPr>
        <w:t>20.7 Worldwide Jurisdiction Registry</w:t>
      </w:r>
    </w:p>
    <w:p>
      <w:pPr>
        <w:spacing w:after="80" w:line="293" w:lineRule="auto"/>
        <w:jc w:val="left"/>
      </w:pPr>
      <w:r>
        <w:rPr>
          <w:rFonts w:ascii="Times New Roman" w:hAnsi="Times New Roman" w:cs="Times New Roman"/>
          <w:b w:val="0"/>
          <w:i w:val="0"/>
          <w:sz w:val="22"/>
        </w:rPr>
        <w:t>The architecture supports all countries worldwide, plus relevant customs and special jurisdictions. Every jurisdiction begins NOT_ACTIVE unless actually configured. Possible states:</w:t>
      </w:r>
    </w:p>
    <w:p>
      <w:pPr>
        <w:spacing w:after="80" w:line="293" w:lineRule="auto"/>
        <w:ind w:left="283"/>
        <w:jc w:val="left"/>
      </w:pPr>
      <w:r>
        <w:rPr>
          <w:rFonts w:ascii="Times New Roman" w:hAnsi="Times New Roman" w:cs="Times New Roman"/>
          <w:b w:val="0"/>
          <w:i w:val="0"/>
          <w:sz w:val="22"/>
        </w:rPr>
        <w:t>- NOT_ACTIVE</w:t>
      </w:r>
    </w:p>
    <w:p>
      <w:pPr>
        <w:spacing w:after="80" w:line="293" w:lineRule="auto"/>
        <w:ind w:left="283"/>
        <w:jc w:val="left"/>
      </w:pPr>
      <w:r>
        <w:rPr>
          <w:rFonts w:ascii="Times New Roman" w:hAnsi="Times New Roman" w:cs="Times New Roman"/>
          <w:b w:val="0"/>
          <w:i w:val="0"/>
          <w:sz w:val="22"/>
        </w:rPr>
        <w:t>- COUNTRY_CONFIGURED</w:t>
      </w:r>
    </w:p>
    <w:p>
      <w:pPr>
        <w:spacing w:after="80" w:line="293" w:lineRule="auto"/>
        <w:ind w:left="283"/>
        <w:jc w:val="left"/>
      </w:pPr>
      <w:r>
        <w:rPr>
          <w:rFonts w:ascii="Times New Roman" w:hAnsi="Times New Roman" w:cs="Times New Roman"/>
          <w:b w:val="0"/>
          <w:i w:val="0"/>
          <w:sz w:val="22"/>
        </w:rPr>
        <w:t>- ADAPTER_READY</w:t>
      </w:r>
    </w:p>
    <w:p>
      <w:pPr>
        <w:spacing w:after="80" w:line="293" w:lineRule="auto"/>
        <w:ind w:left="283"/>
        <w:jc w:val="left"/>
      </w:pPr>
      <w:r>
        <w:rPr>
          <w:rFonts w:ascii="Times New Roman" w:hAnsi="Times New Roman" w:cs="Times New Roman"/>
          <w:b w:val="0"/>
          <w:i w:val="0"/>
          <w:sz w:val="22"/>
        </w:rPr>
        <w:t>- SANDBOX_CONNECTED</w:t>
      </w:r>
    </w:p>
    <w:p>
      <w:pPr>
        <w:spacing w:after="80" w:line="293" w:lineRule="auto"/>
        <w:ind w:left="283"/>
        <w:jc w:val="left"/>
      </w:pPr>
      <w:r>
        <w:rPr>
          <w:rFonts w:ascii="Times New Roman" w:hAnsi="Times New Roman" w:cs="Times New Roman"/>
          <w:b w:val="0"/>
          <w:i w:val="0"/>
          <w:sz w:val="22"/>
        </w:rPr>
        <w:t>- PRODUCTION_READY</w:t>
      </w:r>
    </w:p>
    <w:p>
      <w:pPr>
        <w:spacing w:after="80" w:line="293" w:lineRule="auto"/>
        <w:ind w:left="283"/>
        <w:jc w:val="left"/>
      </w:pPr>
      <w:r>
        <w:rPr>
          <w:rFonts w:ascii="Times New Roman" w:hAnsi="Times New Roman" w:cs="Times New Roman"/>
          <w:b w:val="0"/>
          <w:i w:val="0"/>
          <w:sz w:val="22"/>
        </w:rPr>
        <w:t>- PRODUCTION_CONNECTED</w:t>
      </w:r>
    </w:p>
    <w:p>
      <w:pPr>
        <w:spacing w:after="80" w:line="293" w:lineRule="auto"/>
        <w:ind w:left="283"/>
        <w:jc w:val="left"/>
      </w:pPr>
      <w:r>
        <w:rPr>
          <w:rFonts w:ascii="Times New Roman" w:hAnsi="Times New Roman" w:cs="Times New Roman"/>
          <w:b w:val="0"/>
          <w:i w:val="0"/>
          <w:sz w:val="22"/>
        </w:rPr>
        <w:t>- MANUAL_ONLY</w:t>
      </w:r>
    </w:p>
    <w:p>
      <w:pPr>
        <w:spacing w:after="80" w:line="293" w:lineRule="auto"/>
        <w:ind w:left="283"/>
        <w:jc w:val="left"/>
      </w:pPr>
      <w:r>
        <w:rPr>
          <w:rFonts w:ascii="Times New Roman" w:hAnsi="Times New Roman" w:cs="Times New Roman"/>
          <w:b w:val="0"/>
          <w:i w:val="0"/>
          <w:sz w:val="22"/>
        </w:rPr>
        <w:t>- PORTAL_ONLY</w:t>
      </w:r>
    </w:p>
    <w:p>
      <w:pPr>
        <w:spacing w:after="80" w:line="293" w:lineRule="auto"/>
        <w:ind w:left="283"/>
        <w:jc w:val="left"/>
      </w:pPr>
      <w:r>
        <w:rPr>
          <w:rFonts w:ascii="Times New Roman" w:hAnsi="Times New Roman" w:cs="Times New Roman"/>
          <w:b w:val="0"/>
          <w:i w:val="0"/>
          <w:sz w:val="22"/>
        </w:rPr>
        <w:t>- INTEGRATION_REQUIRED</w:t>
      </w:r>
    </w:p>
    <w:p>
      <w:pPr>
        <w:spacing w:after="80" w:line="293" w:lineRule="auto"/>
        <w:ind w:left="283"/>
        <w:jc w:val="left"/>
      </w:pPr>
      <w:r>
        <w:rPr>
          <w:rFonts w:ascii="Times New Roman" w:hAnsi="Times New Roman" w:cs="Times New Roman"/>
          <w:b w:val="0"/>
          <w:i w:val="0"/>
          <w:sz w:val="22"/>
        </w:rPr>
        <w:t>- LEGAL_AUTHORIZATION_REQUIRED</w:t>
      </w:r>
    </w:p>
    <w:p>
      <w:pPr>
        <w:spacing w:after="80" w:line="293" w:lineRule="auto"/>
        <w:ind w:left="283"/>
        <w:jc w:val="left"/>
      </w:pPr>
      <w:r>
        <w:rPr>
          <w:rFonts w:ascii="Times New Roman" w:hAnsi="Times New Roman" w:cs="Times New Roman"/>
          <w:b w:val="0"/>
          <w:i w:val="0"/>
          <w:sz w:val="22"/>
        </w:rPr>
        <w:t>- DEGRADED</w:t>
      </w:r>
    </w:p>
    <w:p>
      <w:pPr>
        <w:spacing w:after="80" w:line="293" w:lineRule="auto"/>
        <w:ind w:left="283"/>
        <w:jc w:val="left"/>
      </w:pPr>
      <w:r>
        <w:rPr>
          <w:rFonts w:ascii="Times New Roman" w:hAnsi="Times New Roman" w:cs="Times New Roman"/>
          <w:b w:val="0"/>
          <w:i w:val="0"/>
          <w:sz w:val="22"/>
        </w:rPr>
        <w:t>- DEPRECATED</w:t>
      </w:r>
    </w:p>
    <w:p>
      <w:pPr>
        <w:spacing w:after="80" w:line="293" w:lineRule="auto"/>
        <w:jc w:val="left"/>
      </w:pPr>
      <w:r>
        <w:rPr>
          <w:rFonts w:ascii="Times New Roman" w:hAnsi="Times New Roman" w:cs="Times New Roman"/>
          <w:b w:val="0"/>
          <w:i w:val="0"/>
          <w:sz w:val="22"/>
        </w:rPr>
        <w:t>The jurisdiction registry state is never confused with the production state of that jurisdiction's government connectors: a jurisdiction may be COUNTRY_CONFIGURED while its connectors remain INTEGRATION_REQUIRED (see Article 20.40).</w:t>
      </w:r>
    </w:p>
    <w:p>
      <w:pPr>
        <w:keepNext/>
        <w:spacing w:before="240" w:after="100"/>
        <w:outlineLvl w:val="1"/>
      </w:pPr>
      <w:r>
        <w:rPr>
          <w:rFonts w:ascii="Arial" w:hAnsi="Arial" w:cs="Arial"/>
          <w:b/>
          <w:i w:val="0"/>
          <w:color w:val="2E528F"/>
          <w:sz w:val="26"/>
        </w:rPr>
        <w:t>20.8 Global Regulatory Source Registry</w:t>
      </w:r>
    </w:p>
    <w:p>
      <w:pPr>
        <w:spacing w:after="80" w:line="293" w:lineRule="auto"/>
        <w:jc w:val="left"/>
      </w:pPr>
      <w:r>
        <w:rPr>
          <w:rFonts w:ascii="Times New Roman" w:hAnsi="Times New Roman" w:cs="Times New Roman"/>
          <w:b w:val="0"/>
          <w:i w:val="0"/>
          <w:sz w:val="22"/>
        </w:rPr>
        <w:t>The platform maintains a REGULATORY_SOURCE registry. Each regulatory rule carries:</w:t>
      </w:r>
    </w:p>
    <w:p>
      <w:pPr>
        <w:spacing w:after="80" w:line="293" w:lineRule="auto"/>
        <w:ind w:left="283"/>
        <w:jc w:val="left"/>
      </w:pPr>
      <w:r>
        <w:rPr>
          <w:rFonts w:ascii="Times New Roman" w:hAnsi="Times New Roman" w:cs="Times New Roman"/>
          <w:b w:val="0"/>
          <w:i w:val="0"/>
          <w:sz w:val="22"/>
        </w:rPr>
        <w:t>- source</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jurisdiction</w:t>
      </w:r>
    </w:p>
    <w:p>
      <w:pPr>
        <w:spacing w:after="80" w:line="293" w:lineRule="auto"/>
        <w:ind w:left="283"/>
        <w:jc w:val="left"/>
      </w:pPr>
      <w:r>
        <w:rPr>
          <w:rFonts w:ascii="Times New Roman" w:hAnsi="Times New Roman" w:cs="Times New Roman"/>
          <w:b w:val="0"/>
          <w:i w:val="0"/>
          <w:sz w:val="22"/>
        </w:rPr>
        <w:t>- law/regulation</w:t>
      </w:r>
    </w:p>
    <w:p>
      <w:pPr>
        <w:spacing w:after="80" w:line="293" w:lineRule="auto"/>
        <w:ind w:left="283"/>
        <w:jc w:val="left"/>
      </w:pPr>
      <w:r>
        <w:rPr>
          <w:rFonts w:ascii="Times New Roman" w:hAnsi="Times New Roman" w:cs="Times New Roman"/>
          <w:b w:val="0"/>
          <w:i w:val="0"/>
          <w:sz w:val="22"/>
        </w:rPr>
        <w:t>- article/section</w:t>
      </w:r>
    </w:p>
    <w:p>
      <w:pPr>
        <w:spacing w:after="80" w:line="293" w:lineRule="auto"/>
        <w:ind w:left="283"/>
        <w:jc w:val="left"/>
      </w:pPr>
      <w:r>
        <w:rPr>
          <w:rFonts w:ascii="Times New Roman" w:hAnsi="Times New Roman" w:cs="Times New Roman"/>
          <w:b w:val="0"/>
          <w:i w:val="0"/>
          <w:sz w:val="22"/>
        </w:rPr>
        <w:t>- official URL</w:t>
      </w:r>
    </w:p>
    <w:p>
      <w:pPr>
        <w:spacing w:after="80" w:line="293" w:lineRule="auto"/>
        <w:ind w:left="283"/>
        <w:jc w:val="left"/>
      </w:pPr>
      <w:r>
        <w:rPr>
          <w:rFonts w:ascii="Times New Roman" w:hAnsi="Times New Roman" w:cs="Times New Roman"/>
          <w:b w:val="0"/>
          <w:i w:val="0"/>
          <w:sz w:val="22"/>
        </w:rPr>
        <w:t>- publication date</w:t>
      </w:r>
    </w:p>
    <w:p>
      <w:pPr>
        <w:spacing w:after="80" w:line="293" w:lineRule="auto"/>
        <w:ind w:left="283"/>
        <w:jc w:val="left"/>
      </w:pPr>
      <w:r>
        <w:rPr>
          <w:rFonts w:ascii="Times New Roman" w:hAnsi="Times New Roman" w:cs="Times New Roman"/>
          <w:b w:val="0"/>
          <w:i w:val="0"/>
          <w:sz w:val="22"/>
        </w:rPr>
        <w:t>- effective date</w:t>
      </w:r>
    </w:p>
    <w:p>
      <w:pPr>
        <w:spacing w:after="80" w:line="293" w:lineRule="auto"/>
        <w:ind w:left="283"/>
        <w:jc w:val="left"/>
      </w:pPr>
      <w:r>
        <w:rPr>
          <w:rFonts w:ascii="Times New Roman" w:hAnsi="Times New Roman" w:cs="Times New Roman"/>
          <w:b w:val="0"/>
          <w:i w:val="0"/>
          <w:sz w:val="22"/>
        </w:rPr>
        <w:t>- expiry</w:t>
      </w:r>
    </w:p>
    <w:p>
      <w:pPr>
        <w:spacing w:after="80" w:line="293" w:lineRule="auto"/>
        <w:ind w:left="283"/>
        <w:jc w:val="left"/>
      </w:pPr>
      <w:r>
        <w:rPr>
          <w:rFonts w:ascii="Times New Roman" w:hAnsi="Times New Roman" w:cs="Times New Roman"/>
          <w:b w:val="0"/>
          <w:i w:val="0"/>
          <w:sz w:val="22"/>
        </w:rPr>
        <w:t>- language</w:t>
      </w:r>
    </w:p>
    <w:p>
      <w:pPr>
        <w:spacing w:after="80" w:line="293" w:lineRule="auto"/>
        <w:ind w:left="283"/>
        <w:jc w:val="left"/>
      </w:pPr>
      <w:r>
        <w:rPr>
          <w:rFonts w:ascii="Times New Roman" w:hAnsi="Times New Roman" w:cs="Times New Roman"/>
          <w:b w:val="0"/>
          <w:i w:val="0"/>
          <w:sz w:val="22"/>
        </w:rPr>
        <w:t>- hash</w:t>
      </w:r>
    </w:p>
    <w:p>
      <w:pPr>
        <w:spacing w:after="80" w:line="293" w:lineRule="auto"/>
        <w:ind w:left="283"/>
        <w:jc w:val="left"/>
      </w:pPr>
      <w:r>
        <w:rPr>
          <w:rFonts w:ascii="Times New Roman" w:hAnsi="Times New Roman" w:cs="Times New Roman"/>
          <w:b w:val="0"/>
          <w:i w:val="0"/>
          <w:sz w:val="22"/>
        </w:rPr>
        <w:t>- verification status</w:t>
      </w:r>
    </w:p>
    <w:p>
      <w:pPr>
        <w:spacing w:after="80" w:line="293" w:lineRule="auto"/>
        <w:ind w:left="283"/>
        <w:jc w:val="left"/>
      </w:pPr>
      <w:r>
        <w:rPr>
          <w:rFonts w:ascii="Times New Roman" w:hAnsi="Times New Roman" w:cs="Times New Roman"/>
          <w:b w:val="0"/>
          <w:i w:val="0"/>
          <w:sz w:val="22"/>
        </w:rPr>
        <w:t>- last checked</w:t>
      </w:r>
    </w:p>
    <w:p>
      <w:pPr>
        <w:spacing w:after="80" w:line="293" w:lineRule="auto"/>
        <w:ind w:left="283"/>
        <w:jc w:val="left"/>
      </w:pPr>
      <w:r>
        <w:rPr>
          <w:rFonts w:ascii="Times New Roman" w:hAnsi="Times New Roman" w:cs="Times New Roman"/>
          <w:b w:val="0"/>
          <w:i w:val="0"/>
          <w:sz w:val="22"/>
        </w:rPr>
        <w:t>- next review</w:t>
      </w:r>
    </w:p>
    <w:p>
      <w:pPr>
        <w:spacing w:after="80" w:line="293" w:lineRule="auto"/>
        <w:jc w:val="left"/>
      </w:pPr>
      <w:r>
        <w:rPr>
          <w:rFonts w:ascii="Times New Roman" w:hAnsi="Times New Roman" w:cs="Times New Roman"/>
          <w:b w:val="0"/>
          <w:i w:val="0"/>
          <w:sz w:val="22"/>
        </w:rPr>
        <w:t>The WCO Data Model is particularly appropriate as the interoperability foundation because the WCO describes it as a harmonized universal language for cross-border exchange and Single Window implementation.</w:t>
      </w:r>
    </w:p>
    <w:p>
      <w:pPr>
        <w:keepNext/>
        <w:spacing w:before="240" w:after="100"/>
        <w:outlineLvl w:val="1"/>
      </w:pPr>
      <w:r>
        <w:rPr>
          <w:rFonts w:ascii="Arial" w:hAnsi="Arial" w:cs="Arial"/>
          <w:b/>
          <w:i w:val="0"/>
          <w:color w:val="2E528F"/>
          <w:sz w:val="26"/>
        </w:rPr>
        <w:t>20.9 Regulatory Snapshot</w:t>
      </w:r>
    </w:p>
    <w:p>
      <w:pPr>
        <w:spacing w:after="80" w:line="293" w:lineRule="auto"/>
        <w:jc w:val="left"/>
      </w:pPr>
      <w:r>
        <w:rPr>
          <w:rFonts w:ascii="Times New Roman" w:hAnsi="Times New Roman" w:cs="Times New Roman"/>
          <w:b w:val="0"/>
          <w:i w:val="0"/>
          <w:sz w:val="22"/>
        </w:rPr>
        <w:t>At contract/trade lock, the platform captures a REGULATORY_SNAPSHOT:</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commodity</w:t>
      </w:r>
    </w:p>
    <w:p>
      <w:pPr>
        <w:spacing w:after="80" w:line="293" w:lineRule="auto"/>
        <w:ind w:left="283"/>
        <w:jc w:val="left"/>
      </w:pPr>
      <w:r>
        <w:rPr>
          <w:rFonts w:ascii="Times New Roman" w:hAnsi="Times New Roman" w:cs="Times New Roman"/>
          <w:b w:val="0"/>
          <w:i w:val="0"/>
          <w:sz w:val="22"/>
        </w:rPr>
        <w:t>- Incoterm</w:t>
      </w:r>
    </w:p>
    <w:p>
      <w:pPr>
        <w:spacing w:after="80" w:line="293" w:lineRule="auto"/>
        <w:ind w:left="283"/>
        <w:jc w:val="left"/>
      </w:pPr>
      <w:r>
        <w:rPr>
          <w:rFonts w:ascii="Times New Roman" w:hAnsi="Times New Roman" w:cs="Times New Roman"/>
          <w:b w:val="0"/>
          <w:i w:val="0"/>
          <w:sz w:val="22"/>
        </w:rPr>
        <w:t>- tariff</w:t>
      </w:r>
    </w:p>
    <w:p>
      <w:pPr>
        <w:spacing w:after="80" w:line="293" w:lineRule="auto"/>
        <w:ind w:left="283"/>
        <w:jc w:val="left"/>
      </w:pPr>
      <w:r>
        <w:rPr>
          <w:rFonts w:ascii="Times New Roman" w:hAnsi="Times New Roman" w:cs="Times New Roman"/>
          <w:b w:val="0"/>
          <w:i w:val="0"/>
          <w:sz w:val="22"/>
        </w:rPr>
        <w:t>- tax</w:t>
      </w:r>
    </w:p>
    <w:p>
      <w:pPr>
        <w:spacing w:after="80" w:line="293" w:lineRule="auto"/>
        <w:ind w:left="283"/>
        <w:jc w:val="left"/>
      </w:pPr>
      <w:r>
        <w:rPr>
          <w:rFonts w:ascii="Times New Roman" w:hAnsi="Times New Roman" w:cs="Times New Roman"/>
          <w:b w:val="0"/>
          <w:i w:val="0"/>
          <w:sz w:val="22"/>
        </w:rPr>
        <w:t>- origin rules</w:t>
      </w:r>
    </w:p>
    <w:p>
      <w:pPr>
        <w:spacing w:after="80" w:line="293" w:lineRule="auto"/>
        <w:ind w:left="283"/>
        <w:jc w:val="left"/>
      </w:pPr>
      <w:r>
        <w:rPr>
          <w:rFonts w:ascii="Times New Roman" w:hAnsi="Times New Roman" w:cs="Times New Roman"/>
          <w:b w:val="0"/>
          <w:i w:val="0"/>
          <w:sz w:val="22"/>
        </w:rPr>
        <w:t>- applicable agreements</w:t>
      </w:r>
    </w:p>
    <w:p>
      <w:pPr>
        <w:spacing w:after="80" w:line="293" w:lineRule="auto"/>
        <w:ind w:left="283"/>
        <w:jc w:val="left"/>
      </w:pPr>
      <w:r>
        <w:rPr>
          <w:rFonts w:ascii="Times New Roman" w:hAnsi="Times New Roman" w:cs="Times New Roman"/>
          <w:b w:val="0"/>
          <w:i w:val="0"/>
          <w:sz w:val="22"/>
        </w:rPr>
        <w:t>- licenses</w:t>
      </w:r>
    </w:p>
    <w:p>
      <w:pPr>
        <w:spacing w:after="80" w:line="293" w:lineRule="auto"/>
        <w:ind w:left="283"/>
        <w:jc w:val="left"/>
      </w:pPr>
      <w:r>
        <w:rPr>
          <w:rFonts w:ascii="Times New Roman" w:hAnsi="Times New Roman" w:cs="Times New Roman"/>
          <w:b w:val="0"/>
          <w:i w:val="0"/>
          <w:sz w:val="22"/>
        </w:rPr>
        <w:t>- permits</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customs procedure</w:t>
      </w:r>
    </w:p>
    <w:p>
      <w:pPr>
        <w:spacing w:after="80" w:line="293" w:lineRule="auto"/>
        <w:ind w:left="283"/>
        <w:jc w:val="left"/>
      </w:pPr>
      <w:r>
        <w:rPr>
          <w:rFonts w:ascii="Times New Roman" w:hAnsi="Times New Roman" w:cs="Times New Roman"/>
          <w:b w:val="0"/>
          <w:i w:val="0"/>
          <w:sz w:val="22"/>
        </w:rPr>
        <w:t>- SPS</w:t>
      </w:r>
    </w:p>
    <w:p>
      <w:pPr>
        <w:spacing w:after="80" w:line="293" w:lineRule="auto"/>
        <w:ind w:left="283"/>
        <w:jc w:val="left"/>
      </w:pPr>
      <w:r>
        <w:rPr>
          <w:rFonts w:ascii="Times New Roman" w:hAnsi="Times New Roman" w:cs="Times New Roman"/>
          <w:b w:val="0"/>
          <w:i w:val="0"/>
          <w:sz w:val="22"/>
        </w:rPr>
        <w:t>- TBT</w:t>
      </w:r>
    </w:p>
    <w:p>
      <w:pPr>
        <w:spacing w:after="80" w:line="293" w:lineRule="auto"/>
        <w:ind w:left="283"/>
        <w:jc w:val="left"/>
      </w:pPr>
      <w:r>
        <w:rPr>
          <w:rFonts w:ascii="Times New Roman" w:hAnsi="Times New Roman" w:cs="Times New Roman"/>
          <w:b w:val="0"/>
          <w:i w:val="0"/>
          <w:sz w:val="22"/>
        </w:rPr>
        <w:t>- sanctions</w:t>
      </w:r>
    </w:p>
    <w:p>
      <w:pPr>
        <w:spacing w:after="80" w:line="293" w:lineRule="auto"/>
        <w:ind w:left="283"/>
        <w:jc w:val="left"/>
      </w:pPr>
      <w:r>
        <w:rPr>
          <w:rFonts w:ascii="Times New Roman" w:hAnsi="Times New Roman" w:cs="Times New Roman"/>
          <w:b w:val="0"/>
          <w:i w:val="0"/>
          <w:sz w:val="22"/>
        </w:rPr>
        <w:t>- export controls</w:t>
      </w:r>
    </w:p>
    <w:p>
      <w:pPr>
        <w:spacing w:after="80" w:line="293" w:lineRule="auto"/>
        <w:ind w:left="283"/>
        <w:jc w:val="left"/>
      </w:pPr>
      <w:r>
        <w:rPr>
          <w:rFonts w:ascii="Times New Roman" w:hAnsi="Times New Roman" w:cs="Times New Roman"/>
          <w:b w:val="0"/>
          <w:i w:val="0"/>
          <w:sz w:val="22"/>
        </w:rPr>
        <w:t>- transport restrictions</w:t>
      </w:r>
    </w:p>
    <w:p>
      <w:pPr>
        <w:spacing w:after="80" w:line="293" w:lineRule="auto"/>
        <w:ind w:left="283"/>
        <w:jc w:val="left"/>
      </w:pPr>
      <w:r>
        <w:rPr>
          <w:rFonts w:ascii="Times New Roman" w:hAnsi="Times New Roman" w:cs="Times New Roman"/>
          <w:b w:val="0"/>
          <w:i w:val="0"/>
          <w:sz w:val="22"/>
        </w:rPr>
        <w:t>- government integration state</w:t>
      </w:r>
    </w:p>
    <w:p>
      <w:pPr>
        <w:spacing w:after="80" w:line="293" w:lineRule="auto"/>
        <w:jc w:val="left"/>
      </w:pPr>
      <w:r>
        <w:rPr>
          <w:rFonts w:ascii="Times New Roman" w:hAnsi="Times New Roman" w:cs="Times New Roman"/>
          <w:b w:val="0"/>
          <w:i w:val="0"/>
          <w:sz w:val="22"/>
        </w:rPr>
        <w:t>The snapshot must be immutable.</w:t>
      </w:r>
    </w:p>
    <w:p>
      <w:pPr>
        <w:keepNext/>
        <w:spacing w:before="240" w:after="100"/>
        <w:outlineLvl w:val="1"/>
      </w:pPr>
      <w:r>
        <w:rPr>
          <w:rFonts w:ascii="Arial" w:hAnsi="Arial" w:cs="Arial"/>
          <w:b/>
          <w:i w:val="0"/>
          <w:color w:val="2E528F"/>
          <w:sz w:val="26"/>
        </w:rPr>
        <w:t>20.10 Regulatory Change Management</w:t>
      </w:r>
    </w:p>
    <w:p>
      <w:pPr>
        <w:spacing w:after="80" w:line="293" w:lineRule="auto"/>
        <w:jc w:val="left"/>
      </w:pPr>
      <w:r>
        <w:rPr>
          <w:rFonts w:ascii="Times New Roman" w:hAnsi="Times New Roman" w:cs="Times New Roman"/>
          <w:b w:val="0"/>
          <w:i w:val="0"/>
          <w:sz w:val="22"/>
        </w:rPr>
        <w:t>The Regulatory Intelligence Agent (RIA) operates as a complete regulatory-change pipeline:</w:t>
      </w:r>
    </w:p>
    <w:p>
      <w:pPr>
        <w:spacing w:after="0" w:before="0" w:line="240" w:lineRule="auto"/>
        <w:ind w:left="57"/>
        <w:jc w:val="left"/>
        <w:shd w:val="clear" w:fill="F2F2F2"/>
      </w:pPr>
      <w:r>
        <w:rPr>
          <w:rFonts w:ascii="Consolas" w:hAnsi="Consolas" w:cs="Consolas"/>
          <w:b w:val="0"/>
          <w:i w:val="0"/>
          <w:sz w:val="15"/>
        </w:rPr>
        <w:t>DISCOVER → VERIFY → CLASSIFY → IMPACT ANALYSIS → AFFECTED TRADES → POLICY UPDATE →</w:t>
      </w:r>
    </w:p>
    <w:p>
      <w:pPr>
        <w:spacing w:after="0" w:before="0" w:line="240" w:lineRule="auto"/>
        <w:ind w:left="57"/>
        <w:jc w:val="left"/>
        <w:shd w:val="clear" w:fill="F2F2F2"/>
      </w:pPr>
      <w:r>
        <w:rPr>
          <w:rFonts w:ascii="Consolas" w:hAnsi="Consolas" w:cs="Consolas"/>
          <w:b w:val="0"/>
          <w:i w:val="0"/>
          <w:sz w:val="15"/>
        </w:rPr>
        <w:t>SIMULATION → APPROVAL → WASM/POLICY RELEASE → DEPLOYMENT → LOOM</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Production regulatory behavior is never silently changed.</w:t>
      </w:r>
    </w:p>
    <w:p>
      <w:pPr>
        <w:keepNext/>
        <w:spacing w:before="240" w:after="100"/>
        <w:outlineLvl w:val="1"/>
      </w:pPr>
      <w:r>
        <w:rPr>
          <w:rFonts w:ascii="Arial" w:hAnsi="Arial" w:cs="Arial"/>
          <w:b/>
          <w:i w:val="0"/>
          <w:color w:val="2E528F"/>
          <w:sz w:val="26"/>
        </w:rPr>
        <w:t>20.11 Product Regulatory Profile</w:t>
      </w:r>
    </w:p>
    <w:p>
      <w:pPr>
        <w:spacing w:after="80" w:line="293" w:lineRule="auto"/>
        <w:jc w:val="left"/>
      </w:pPr>
      <w:r>
        <w:rPr>
          <w:rFonts w:ascii="Times New Roman" w:hAnsi="Times New Roman" w:cs="Times New Roman"/>
          <w:b w:val="0"/>
          <w:i w:val="0"/>
          <w:sz w:val="22"/>
        </w:rPr>
        <w:t>Product intelligence is extended with:</w:t>
      </w:r>
    </w:p>
    <w:p>
      <w:pPr>
        <w:spacing w:after="80" w:line="293" w:lineRule="auto"/>
        <w:ind w:left="283"/>
        <w:jc w:val="left"/>
      </w:pPr>
      <w:r>
        <w:rPr>
          <w:rFonts w:ascii="Times New Roman" w:hAnsi="Times New Roman" w:cs="Times New Roman"/>
          <w:b w:val="0"/>
          <w:i w:val="0"/>
          <w:sz w:val="22"/>
        </w:rPr>
        <w:t>- HS6</w:t>
      </w:r>
    </w:p>
    <w:p>
      <w:pPr>
        <w:spacing w:after="80" w:line="293" w:lineRule="auto"/>
        <w:ind w:left="283"/>
        <w:jc w:val="left"/>
      </w:pPr>
      <w:r>
        <w:rPr>
          <w:rFonts w:ascii="Times New Roman" w:hAnsi="Times New Roman" w:cs="Times New Roman"/>
          <w:b w:val="0"/>
          <w:i w:val="0"/>
          <w:sz w:val="22"/>
        </w:rPr>
        <w:t>- national tariff codes</w:t>
      </w:r>
    </w:p>
    <w:p>
      <w:pPr>
        <w:spacing w:after="80" w:line="293" w:lineRule="auto"/>
        <w:ind w:left="283"/>
        <w:jc w:val="left"/>
      </w:pPr>
      <w:r>
        <w:rPr>
          <w:rFonts w:ascii="Times New Roman" w:hAnsi="Times New Roman" w:cs="Times New Roman"/>
          <w:b w:val="0"/>
          <w:i w:val="0"/>
          <w:sz w:val="22"/>
        </w:rPr>
        <w:t>- alternate classifications</w:t>
      </w:r>
    </w:p>
    <w:p>
      <w:pPr>
        <w:spacing w:after="80" w:line="293" w:lineRule="auto"/>
        <w:ind w:left="283"/>
        <w:jc w:val="left"/>
      </w:pPr>
      <w:r>
        <w:rPr>
          <w:rFonts w:ascii="Times New Roman" w:hAnsi="Times New Roman" w:cs="Times New Roman"/>
          <w:b w:val="0"/>
          <w:i w:val="0"/>
          <w:sz w:val="22"/>
        </w:rPr>
        <w:t>- composition</w:t>
      </w:r>
    </w:p>
    <w:p>
      <w:pPr>
        <w:spacing w:after="80" w:line="293" w:lineRule="auto"/>
        <w:ind w:left="283"/>
        <w:jc w:val="left"/>
      </w:pPr>
      <w:r>
        <w:rPr>
          <w:rFonts w:ascii="Times New Roman" w:hAnsi="Times New Roman" w:cs="Times New Roman"/>
          <w:b w:val="0"/>
          <w:i w:val="0"/>
          <w:sz w:val="22"/>
        </w:rPr>
        <w:t>- materials</w:t>
      </w:r>
    </w:p>
    <w:p>
      <w:pPr>
        <w:spacing w:after="80" w:line="293" w:lineRule="auto"/>
        <w:ind w:left="283"/>
        <w:jc w:val="left"/>
      </w:pPr>
      <w:r>
        <w:rPr>
          <w:rFonts w:ascii="Times New Roman" w:hAnsi="Times New Roman" w:cs="Times New Roman"/>
          <w:b w:val="0"/>
          <w:i w:val="0"/>
          <w:sz w:val="22"/>
        </w:rPr>
        <w:t>- CAS (Chemical Abstracts Service registry numbers)</w:t>
      </w:r>
    </w:p>
    <w:p>
      <w:pPr>
        <w:spacing w:after="80" w:line="293" w:lineRule="auto"/>
        <w:ind w:left="283"/>
        <w:jc w:val="left"/>
      </w:pPr>
      <w:r>
        <w:rPr>
          <w:rFonts w:ascii="Times New Roman" w:hAnsi="Times New Roman" w:cs="Times New Roman"/>
          <w:b w:val="0"/>
          <w:i w:val="0"/>
          <w:sz w:val="22"/>
        </w:rPr>
        <w:t>- brand</w:t>
      </w:r>
    </w:p>
    <w:p>
      <w:pPr>
        <w:spacing w:after="80" w:line="293" w:lineRule="auto"/>
        <w:ind w:left="283"/>
        <w:jc w:val="left"/>
      </w:pPr>
      <w:r>
        <w:rPr>
          <w:rFonts w:ascii="Times New Roman" w:hAnsi="Times New Roman" w:cs="Times New Roman"/>
          <w:b w:val="0"/>
          <w:i w:val="0"/>
          <w:sz w:val="22"/>
        </w:rPr>
        <w:t>- model</w:t>
      </w:r>
    </w:p>
    <w:p>
      <w:pPr>
        <w:spacing w:after="80" w:line="293" w:lineRule="auto"/>
        <w:ind w:left="283"/>
        <w:jc w:val="left"/>
      </w:pPr>
      <w:r>
        <w:rPr>
          <w:rFonts w:ascii="Times New Roman" w:hAnsi="Times New Roman" w:cs="Times New Roman"/>
          <w:b w:val="0"/>
          <w:i w:val="0"/>
          <w:sz w:val="22"/>
        </w:rPr>
        <w:t>- serial requirements</w:t>
      </w:r>
    </w:p>
    <w:p>
      <w:pPr>
        <w:spacing w:after="80" w:line="293" w:lineRule="auto"/>
        <w:ind w:left="283"/>
        <w:jc w:val="left"/>
      </w:pPr>
      <w:r>
        <w:rPr>
          <w:rFonts w:ascii="Times New Roman" w:hAnsi="Times New Roman" w:cs="Times New Roman"/>
          <w:b w:val="0"/>
          <w:i w:val="0"/>
          <w:sz w:val="22"/>
        </w:rPr>
        <w:t>- agricultural classification</w:t>
      </w:r>
    </w:p>
    <w:p>
      <w:pPr>
        <w:spacing w:after="80" w:line="293" w:lineRule="auto"/>
        <w:ind w:left="283"/>
        <w:jc w:val="left"/>
      </w:pPr>
      <w:r>
        <w:rPr>
          <w:rFonts w:ascii="Times New Roman" w:hAnsi="Times New Roman" w:cs="Times New Roman"/>
          <w:b w:val="0"/>
          <w:i w:val="0"/>
          <w:sz w:val="22"/>
        </w:rPr>
        <w:t>- food</w:t>
      </w:r>
    </w:p>
    <w:p>
      <w:pPr>
        <w:spacing w:after="80" w:line="293" w:lineRule="auto"/>
        <w:ind w:left="283"/>
        <w:jc w:val="left"/>
      </w:pPr>
      <w:r>
        <w:rPr>
          <w:rFonts w:ascii="Times New Roman" w:hAnsi="Times New Roman" w:cs="Times New Roman"/>
          <w:b w:val="0"/>
          <w:i w:val="0"/>
          <w:sz w:val="22"/>
        </w:rPr>
        <w:t>- pharmaceutical</w:t>
      </w:r>
    </w:p>
    <w:p>
      <w:pPr>
        <w:spacing w:after="80" w:line="293" w:lineRule="auto"/>
        <w:ind w:left="283"/>
        <w:jc w:val="left"/>
      </w:pPr>
      <w:r>
        <w:rPr>
          <w:rFonts w:ascii="Times New Roman" w:hAnsi="Times New Roman" w:cs="Times New Roman"/>
          <w:b w:val="0"/>
          <w:i w:val="0"/>
          <w:sz w:val="22"/>
        </w:rPr>
        <w:t>- veterinary</w:t>
      </w:r>
    </w:p>
    <w:p>
      <w:pPr>
        <w:spacing w:after="80" w:line="293" w:lineRule="auto"/>
        <w:ind w:left="283"/>
        <w:jc w:val="left"/>
      </w:pPr>
      <w:r>
        <w:rPr>
          <w:rFonts w:ascii="Times New Roman" w:hAnsi="Times New Roman" w:cs="Times New Roman"/>
          <w:b w:val="0"/>
          <w:i w:val="0"/>
          <w:sz w:val="22"/>
        </w:rPr>
        <w:t>- chemical</w:t>
      </w:r>
    </w:p>
    <w:p>
      <w:pPr>
        <w:spacing w:after="80" w:line="293" w:lineRule="auto"/>
        <w:ind w:left="283"/>
        <w:jc w:val="left"/>
      </w:pPr>
      <w:r>
        <w:rPr>
          <w:rFonts w:ascii="Times New Roman" w:hAnsi="Times New Roman" w:cs="Times New Roman"/>
          <w:b w:val="0"/>
          <w:i w:val="0"/>
          <w:sz w:val="22"/>
        </w:rPr>
        <w:t>- DG (dangerous goods)</w:t>
      </w:r>
    </w:p>
    <w:p>
      <w:pPr>
        <w:spacing w:after="80" w:line="293" w:lineRule="auto"/>
        <w:ind w:left="283"/>
        <w:jc w:val="left"/>
      </w:pPr>
      <w:r>
        <w:rPr>
          <w:rFonts w:ascii="Times New Roman" w:hAnsi="Times New Roman" w:cs="Times New Roman"/>
          <w:b w:val="0"/>
          <w:i w:val="0"/>
          <w:sz w:val="22"/>
        </w:rPr>
        <w:t>- dual-use</w:t>
      </w:r>
    </w:p>
    <w:p>
      <w:pPr>
        <w:spacing w:after="80" w:line="293" w:lineRule="auto"/>
        <w:ind w:left="283"/>
        <w:jc w:val="left"/>
      </w:pPr>
      <w:r>
        <w:rPr>
          <w:rFonts w:ascii="Times New Roman" w:hAnsi="Times New Roman" w:cs="Times New Roman"/>
          <w:b w:val="0"/>
          <w:i w:val="0"/>
          <w:sz w:val="22"/>
        </w:rPr>
        <w:t>- strategic</w:t>
      </w:r>
    </w:p>
    <w:p>
      <w:pPr>
        <w:spacing w:after="80" w:line="293" w:lineRule="auto"/>
        <w:ind w:left="283"/>
        <w:jc w:val="left"/>
      </w:pPr>
      <w:r>
        <w:rPr>
          <w:rFonts w:ascii="Times New Roman" w:hAnsi="Times New Roman" w:cs="Times New Roman"/>
          <w:b w:val="0"/>
          <w:i w:val="0"/>
          <w:sz w:val="22"/>
        </w:rPr>
        <w:t>- CITES (Convention on International Trade in Endangered Species)</w:t>
      </w:r>
    </w:p>
    <w:p>
      <w:pPr>
        <w:spacing w:after="80" w:line="293" w:lineRule="auto"/>
        <w:ind w:left="283"/>
        <w:jc w:val="left"/>
      </w:pPr>
      <w:r>
        <w:rPr>
          <w:rFonts w:ascii="Times New Roman" w:hAnsi="Times New Roman" w:cs="Times New Roman"/>
          <w:b w:val="0"/>
          <w:i w:val="0"/>
          <w:sz w:val="22"/>
        </w:rPr>
        <w:t>- packaging</w:t>
      </w:r>
    </w:p>
    <w:p>
      <w:pPr>
        <w:spacing w:after="80" w:line="293" w:lineRule="auto"/>
        <w:ind w:left="283"/>
        <w:jc w:val="left"/>
      </w:pPr>
      <w:r>
        <w:rPr>
          <w:rFonts w:ascii="Times New Roman" w:hAnsi="Times New Roman" w:cs="Times New Roman"/>
          <w:b w:val="0"/>
          <w:i w:val="0"/>
          <w:sz w:val="22"/>
        </w:rPr>
        <w:t>- labeling</w:t>
      </w:r>
    </w:p>
    <w:p>
      <w:pPr>
        <w:spacing w:after="80" w:line="293" w:lineRule="auto"/>
        <w:ind w:left="283"/>
        <w:jc w:val="left"/>
      </w:pPr>
      <w:r>
        <w:rPr>
          <w:rFonts w:ascii="Times New Roman" w:hAnsi="Times New Roman" w:cs="Times New Roman"/>
          <w:b w:val="0"/>
          <w:i w:val="0"/>
          <w:sz w:val="22"/>
        </w:rPr>
        <w:t>- shelf life</w:t>
      </w:r>
    </w:p>
    <w:p>
      <w:pPr>
        <w:spacing w:after="80" w:line="293" w:lineRule="auto"/>
        <w:ind w:left="283"/>
        <w:jc w:val="left"/>
      </w:pPr>
      <w:r>
        <w:rPr>
          <w:rFonts w:ascii="Times New Roman" w:hAnsi="Times New Roman" w:cs="Times New Roman"/>
          <w:b w:val="0"/>
          <w:i w:val="0"/>
          <w:sz w:val="22"/>
        </w:rPr>
        <w:t>- temperature</w:t>
      </w:r>
    </w:p>
    <w:p>
      <w:pPr>
        <w:spacing w:after="80" w:line="293" w:lineRule="auto"/>
        <w:ind w:left="283"/>
        <w:jc w:val="left"/>
      </w:pPr>
      <w:r>
        <w:rPr>
          <w:rFonts w:ascii="Times New Roman" w:hAnsi="Times New Roman" w:cs="Times New Roman"/>
          <w:b w:val="0"/>
          <w:i w:val="0"/>
          <w:sz w:val="22"/>
        </w:rPr>
        <w:t>- conformity</w:t>
      </w:r>
    </w:p>
    <w:p>
      <w:pPr>
        <w:spacing w:after="80" w:line="293" w:lineRule="auto"/>
        <w:ind w:left="283"/>
        <w:jc w:val="left"/>
      </w:pPr>
      <w:r>
        <w:rPr>
          <w:rFonts w:ascii="Times New Roman" w:hAnsi="Times New Roman" w:cs="Times New Roman"/>
          <w:b w:val="0"/>
          <w:i w:val="0"/>
          <w:sz w:val="22"/>
        </w:rPr>
        <w:t>- SPS</w:t>
      </w:r>
    </w:p>
    <w:p>
      <w:pPr>
        <w:keepNext/>
        <w:spacing w:before="240" w:after="100"/>
        <w:outlineLvl w:val="1"/>
      </w:pPr>
      <w:r>
        <w:rPr>
          <w:rFonts w:ascii="Arial" w:hAnsi="Arial" w:cs="Arial"/>
          <w:b/>
          <w:i w:val="0"/>
          <w:color w:val="2E528F"/>
          <w:sz w:val="26"/>
        </w:rPr>
        <w:t>20.12 Classification Engine</w:t>
      </w:r>
    </w:p>
    <w:p>
      <w:pPr>
        <w:spacing w:after="80" w:line="293" w:lineRule="auto"/>
        <w:jc w:val="left"/>
      </w:pPr>
      <w:r>
        <w:rPr>
          <w:rFonts w:ascii="Times New Roman" w:hAnsi="Times New Roman" w:cs="Times New Roman"/>
          <w:b w:val="0"/>
          <w:i w:val="0"/>
          <w:sz w:val="22"/>
        </w:rPr>
        <w:t>The Classification Engine supports:</w:t>
      </w:r>
    </w:p>
    <w:p>
      <w:pPr>
        <w:spacing w:after="80" w:line="293" w:lineRule="auto"/>
        <w:ind w:left="283"/>
        <w:jc w:val="left"/>
      </w:pPr>
      <w:r>
        <w:rPr>
          <w:rFonts w:ascii="Times New Roman" w:hAnsi="Times New Roman" w:cs="Times New Roman"/>
          <w:b w:val="0"/>
          <w:i w:val="0"/>
          <w:sz w:val="22"/>
        </w:rPr>
        <w:t>- HS classification</w:t>
      </w:r>
    </w:p>
    <w:p>
      <w:pPr>
        <w:spacing w:after="80" w:line="293" w:lineRule="auto"/>
        <w:ind w:left="283"/>
        <w:jc w:val="left"/>
      </w:pPr>
      <w:r>
        <w:rPr>
          <w:rFonts w:ascii="Times New Roman" w:hAnsi="Times New Roman" w:cs="Times New Roman"/>
          <w:b w:val="0"/>
          <w:i w:val="0"/>
          <w:sz w:val="22"/>
        </w:rPr>
        <w:t>- national tariff code</w:t>
      </w:r>
    </w:p>
    <w:p>
      <w:pPr>
        <w:spacing w:after="80" w:line="293" w:lineRule="auto"/>
        <w:ind w:left="283"/>
        <w:jc w:val="left"/>
      </w:pPr>
      <w:r>
        <w:rPr>
          <w:rFonts w:ascii="Times New Roman" w:hAnsi="Times New Roman" w:cs="Times New Roman"/>
          <w:b w:val="0"/>
          <w:i w:val="0"/>
          <w:sz w:val="22"/>
        </w:rPr>
        <w:t>- statistical classification</w:t>
      </w:r>
    </w:p>
    <w:p>
      <w:pPr>
        <w:spacing w:after="80" w:line="293" w:lineRule="auto"/>
        <w:ind w:left="283"/>
        <w:jc w:val="left"/>
      </w:pPr>
      <w:r>
        <w:rPr>
          <w:rFonts w:ascii="Times New Roman" w:hAnsi="Times New Roman" w:cs="Times New Roman"/>
          <w:b w:val="0"/>
          <w:i w:val="0"/>
          <w:sz w:val="22"/>
        </w:rPr>
        <w:t>- export classification</w:t>
      </w:r>
    </w:p>
    <w:p>
      <w:pPr>
        <w:spacing w:after="80" w:line="293" w:lineRule="auto"/>
        <w:ind w:left="283"/>
        <w:jc w:val="left"/>
      </w:pPr>
      <w:r>
        <w:rPr>
          <w:rFonts w:ascii="Times New Roman" w:hAnsi="Times New Roman" w:cs="Times New Roman"/>
          <w:b w:val="0"/>
          <w:i w:val="0"/>
          <w:sz w:val="22"/>
        </w:rPr>
        <w:t>- dual-use classification</w:t>
      </w:r>
    </w:p>
    <w:p>
      <w:pPr>
        <w:spacing w:after="80" w:line="293" w:lineRule="auto"/>
        <w:ind w:left="283"/>
        <w:jc w:val="left"/>
      </w:pPr>
      <w:r>
        <w:rPr>
          <w:rFonts w:ascii="Times New Roman" w:hAnsi="Times New Roman" w:cs="Times New Roman"/>
          <w:b w:val="0"/>
          <w:i w:val="0"/>
          <w:sz w:val="22"/>
        </w:rPr>
        <w:t>- strategic goods classification</w:t>
      </w:r>
    </w:p>
    <w:p>
      <w:pPr>
        <w:spacing w:after="80" w:line="293" w:lineRule="auto"/>
        <w:jc w:val="left"/>
      </w:pPr>
      <w:r>
        <w:rPr>
          <w:rFonts w:ascii="Times New Roman" w:hAnsi="Times New Roman" w:cs="Times New Roman"/>
          <w:b w:val="0"/>
          <w:i w:val="0"/>
          <w:sz w:val="22"/>
        </w:rPr>
        <w:t>AI assists classification. AI does not become final legal authority. Low-confidence classifications resolve to CONDITIONAL status and require human review.</w:t>
      </w:r>
    </w:p>
    <w:p>
      <w:pPr>
        <w:keepNext/>
        <w:spacing w:before="240" w:after="100"/>
        <w:outlineLvl w:val="1"/>
      </w:pPr>
      <w:r>
        <w:rPr>
          <w:rFonts w:ascii="Arial" w:hAnsi="Arial" w:cs="Arial"/>
          <w:b/>
          <w:i w:val="0"/>
          <w:color w:val="2E528F"/>
          <w:sz w:val="26"/>
        </w:rPr>
        <w:t>20.13 Tariff Engine</w:t>
      </w:r>
    </w:p>
    <w:p>
      <w:pPr>
        <w:spacing w:after="80" w:line="293" w:lineRule="auto"/>
        <w:jc w:val="left"/>
      </w:pPr>
      <w:r>
        <w:rPr>
          <w:rFonts w:ascii="Times New Roman" w:hAnsi="Times New Roman" w:cs="Times New Roman"/>
          <w:b w:val="0"/>
          <w:i w:val="0"/>
          <w:sz w:val="22"/>
        </w:rPr>
        <w:t>The Tariff Engine supports:</w:t>
      </w:r>
    </w:p>
    <w:p>
      <w:pPr>
        <w:spacing w:after="80" w:line="293" w:lineRule="auto"/>
        <w:ind w:left="283"/>
        <w:jc w:val="left"/>
      </w:pPr>
      <w:r>
        <w:rPr>
          <w:rFonts w:ascii="Times New Roman" w:hAnsi="Times New Roman" w:cs="Times New Roman"/>
          <w:b w:val="0"/>
          <w:i w:val="0"/>
          <w:sz w:val="22"/>
        </w:rPr>
        <w:t>- MFN (most-favoured-nation)</w:t>
      </w:r>
    </w:p>
    <w:p>
      <w:pPr>
        <w:spacing w:after="80" w:line="293" w:lineRule="auto"/>
        <w:ind w:left="283"/>
        <w:jc w:val="left"/>
      </w:pPr>
      <w:r>
        <w:rPr>
          <w:rFonts w:ascii="Times New Roman" w:hAnsi="Times New Roman" w:cs="Times New Roman"/>
          <w:b w:val="0"/>
          <w:i w:val="0"/>
          <w:sz w:val="22"/>
        </w:rPr>
        <w:t>- preferential</w:t>
      </w:r>
    </w:p>
    <w:p>
      <w:pPr>
        <w:spacing w:after="80" w:line="293" w:lineRule="auto"/>
        <w:ind w:left="283"/>
        <w:jc w:val="left"/>
      </w:pPr>
      <w:r>
        <w:rPr>
          <w:rFonts w:ascii="Times New Roman" w:hAnsi="Times New Roman" w:cs="Times New Roman"/>
          <w:b w:val="0"/>
          <w:i w:val="0"/>
          <w:sz w:val="22"/>
        </w:rPr>
        <w:t>- quotas</w:t>
      </w:r>
    </w:p>
    <w:p>
      <w:pPr>
        <w:spacing w:after="80" w:line="293" w:lineRule="auto"/>
        <w:ind w:left="283"/>
        <w:jc w:val="left"/>
      </w:pPr>
      <w:r>
        <w:rPr>
          <w:rFonts w:ascii="Times New Roman" w:hAnsi="Times New Roman" w:cs="Times New Roman"/>
          <w:b w:val="0"/>
          <w:i w:val="0"/>
          <w:sz w:val="22"/>
        </w:rPr>
        <w:t>- anti-dumping</w:t>
      </w:r>
    </w:p>
    <w:p>
      <w:pPr>
        <w:spacing w:after="80" w:line="293" w:lineRule="auto"/>
        <w:ind w:left="283"/>
        <w:jc w:val="left"/>
      </w:pPr>
      <w:r>
        <w:rPr>
          <w:rFonts w:ascii="Times New Roman" w:hAnsi="Times New Roman" w:cs="Times New Roman"/>
          <w:b w:val="0"/>
          <w:i w:val="0"/>
          <w:sz w:val="22"/>
        </w:rPr>
        <w:t>- countervailing</w:t>
      </w:r>
    </w:p>
    <w:p>
      <w:pPr>
        <w:spacing w:after="80" w:line="293" w:lineRule="auto"/>
        <w:ind w:left="283"/>
        <w:jc w:val="left"/>
      </w:pPr>
      <w:r>
        <w:rPr>
          <w:rFonts w:ascii="Times New Roman" w:hAnsi="Times New Roman" w:cs="Times New Roman"/>
          <w:b w:val="0"/>
          <w:i w:val="0"/>
          <w:sz w:val="22"/>
        </w:rPr>
        <w:t>- safeguard</w:t>
      </w:r>
    </w:p>
    <w:p>
      <w:pPr>
        <w:spacing w:after="80" w:line="293" w:lineRule="auto"/>
        <w:ind w:left="283"/>
        <w:jc w:val="left"/>
      </w:pPr>
      <w:r>
        <w:rPr>
          <w:rFonts w:ascii="Times New Roman" w:hAnsi="Times New Roman" w:cs="Times New Roman"/>
          <w:b w:val="0"/>
          <w:i w:val="0"/>
          <w:sz w:val="22"/>
        </w:rPr>
        <w:t>- agricultural levy</w:t>
      </w:r>
    </w:p>
    <w:p>
      <w:pPr>
        <w:spacing w:after="80" w:line="293" w:lineRule="auto"/>
        <w:ind w:left="283"/>
        <w:jc w:val="left"/>
      </w:pPr>
      <w:r>
        <w:rPr>
          <w:rFonts w:ascii="Times New Roman" w:hAnsi="Times New Roman" w:cs="Times New Roman"/>
          <w:b w:val="0"/>
          <w:i w:val="0"/>
          <w:sz w:val="22"/>
        </w:rPr>
        <w:t>- excise</w:t>
      </w:r>
    </w:p>
    <w:p>
      <w:pPr>
        <w:spacing w:after="80" w:line="293" w:lineRule="auto"/>
        <w:ind w:left="283"/>
        <w:jc w:val="left"/>
      </w:pPr>
      <w:r>
        <w:rPr>
          <w:rFonts w:ascii="Times New Roman" w:hAnsi="Times New Roman" w:cs="Times New Roman"/>
          <w:b w:val="0"/>
          <w:i w:val="0"/>
          <w:sz w:val="22"/>
        </w:rPr>
        <w:t>- environmental fee</w:t>
      </w:r>
    </w:p>
    <w:p>
      <w:pPr>
        <w:spacing w:after="80" w:line="293" w:lineRule="auto"/>
        <w:ind w:left="283"/>
        <w:jc w:val="left"/>
      </w:pPr>
      <w:r>
        <w:rPr>
          <w:rFonts w:ascii="Times New Roman" w:hAnsi="Times New Roman" w:cs="Times New Roman"/>
          <w:b w:val="0"/>
          <w:i w:val="0"/>
          <w:sz w:val="22"/>
        </w:rPr>
        <w:t>- import surcharge</w:t>
      </w:r>
    </w:p>
    <w:p>
      <w:pPr>
        <w:spacing w:after="80" w:line="293" w:lineRule="auto"/>
        <w:ind w:left="283"/>
        <w:jc w:val="left"/>
      </w:pPr>
      <w:r>
        <w:rPr>
          <w:rFonts w:ascii="Times New Roman" w:hAnsi="Times New Roman" w:cs="Times New Roman"/>
          <w:b w:val="0"/>
          <w:i w:val="0"/>
          <w:sz w:val="22"/>
        </w:rPr>
        <w:t>- other measures</w:t>
      </w:r>
    </w:p>
    <w:p>
      <w:pPr>
        <w:spacing w:after="80" w:line="293" w:lineRule="auto"/>
        <w:jc w:val="left"/>
      </w:pPr>
      <w:r>
        <w:rPr>
          <w:rFonts w:ascii="Times New Roman" w:hAnsi="Times New Roman" w:cs="Times New Roman"/>
          <w:b w:val="0"/>
          <w:i w:val="0"/>
          <w:sz w:val="22"/>
        </w:rPr>
        <w:t>Every rule carries:</w:t>
      </w:r>
    </w:p>
    <w:p>
      <w:pPr>
        <w:spacing w:after="80" w:line="293" w:lineRule="auto"/>
        <w:ind w:left="283"/>
        <w:jc w:val="left"/>
      </w:pPr>
      <w:r>
        <w:rPr>
          <w:rFonts w:ascii="Times New Roman" w:hAnsi="Times New Roman" w:cs="Times New Roman"/>
          <w:b w:val="0"/>
          <w:i w:val="0"/>
          <w:sz w:val="22"/>
        </w:rPr>
        <w:t>- jurisdiction</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effective date</w:t>
      </w:r>
    </w:p>
    <w:p>
      <w:pPr>
        <w:spacing w:after="80" w:line="293" w:lineRule="auto"/>
        <w:ind w:left="283"/>
        <w:jc w:val="left"/>
      </w:pPr>
      <w:r>
        <w:rPr>
          <w:rFonts w:ascii="Times New Roman" w:hAnsi="Times New Roman" w:cs="Times New Roman"/>
          <w:b w:val="0"/>
          <w:i w:val="0"/>
          <w:sz w:val="22"/>
        </w:rPr>
        <w:t>- legal source</w:t>
      </w:r>
    </w:p>
    <w:p>
      <w:pPr>
        <w:keepNext/>
        <w:spacing w:before="240" w:after="100"/>
        <w:outlineLvl w:val="1"/>
      </w:pPr>
      <w:r>
        <w:rPr>
          <w:rFonts w:ascii="Arial" w:hAnsi="Arial" w:cs="Arial"/>
          <w:b/>
          <w:i w:val="0"/>
          <w:color w:val="2E528F"/>
          <w:sz w:val="26"/>
        </w:rPr>
        <w:t>20.14 Origin Engine</w:t>
      </w:r>
    </w:p>
    <w:p>
      <w:pPr>
        <w:spacing w:after="80" w:line="293" w:lineRule="auto"/>
        <w:jc w:val="left"/>
      </w:pPr>
      <w:r>
        <w:rPr>
          <w:rFonts w:ascii="Times New Roman" w:hAnsi="Times New Roman" w:cs="Times New Roman"/>
          <w:b w:val="0"/>
          <w:i w:val="0"/>
          <w:sz w:val="22"/>
        </w:rPr>
        <w:t>The Origin Engine supports:</w:t>
      </w:r>
    </w:p>
    <w:p>
      <w:pPr>
        <w:spacing w:after="80" w:line="293" w:lineRule="auto"/>
        <w:ind w:left="283"/>
        <w:jc w:val="left"/>
      </w:pPr>
      <w:r>
        <w:rPr>
          <w:rFonts w:ascii="Times New Roman" w:hAnsi="Times New Roman" w:cs="Times New Roman"/>
          <w:b w:val="0"/>
          <w:i w:val="0"/>
          <w:sz w:val="22"/>
        </w:rPr>
        <w:t>- non-preferential origin</w:t>
      </w:r>
    </w:p>
    <w:p>
      <w:pPr>
        <w:spacing w:after="80" w:line="293" w:lineRule="auto"/>
        <w:ind w:left="283"/>
        <w:jc w:val="left"/>
      </w:pPr>
      <w:r>
        <w:rPr>
          <w:rFonts w:ascii="Times New Roman" w:hAnsi="Times New Roman" w:cs="Times New Roman"/>
          <w:b w:val="0"/>
          <w:i w:val="0"/>
          <w:sz w:val="22"/>
        </w:rPr>
        <w:t>- preferential origin</w:t>
      </w:r>
    </w:p>
    <w:p>
      <w:pPr>
        <w:spacing w:after="80" w:line="293" w:lineRule="auto"/>
        <w:ind w:left="283"/>
        <w:jc w:val="left"/>
      </w:pPr>
      <w:r>
        <w:rPr>
          <w:rFonts w:ascii="Times New Roman" w:hAnsi="Times New Roman" w:cs="Times New Roman"/>
          <w:b w:val="0"/>
          <w:i w:val="0"/>
          <w:sz w:val="22"/>
        </w:rPr>
        <w:t>- wholly obtained</w:t>
      </w:r>
    </w:p>
    <w:p>
      <w:pPr>
        <w:spacing w:after="80" w:line="293" w:lineRule="auto"/>
        <w:ind w:left="283"/>
        <w:jc w:val="left"/>
      </w:pPr>
      <w:r>
        <w:rPr>
          <w:rFonts w:ascii="Times New Roman" w:hAnsi="Times New Roman" w:cs="Times New Roman"/>
          <w:b w:val="0"/>
          <w:i w:val="0"/>
          <w:sz w:val="22"/>
        </w:rPr>
        <w:t>- substantial transformation</w:t>
      </w:r>
    </w:p>
    <w:p>
      <w:pPr>
        <w:spacing w:after="80" w:line="293" w:lineRule="auto"/>
        <w:ind w:left="283"/>
        <w:jc w:val="left"/>
      </w:pPr>
      <w:r>
        <w:rPr>
          <w:rFonts w:ascii="Times New Roman" w:hAnsi="Times New Roman" w:cs="Times New Roman"/>
          <w:b w:val="0"/>
          <w:i w:val="0"/>
          <w:sz w:val="22"/>
        </w:rPr>
        <w:t>- tariff shift</w:t>
      </w:r>
    </w:p>
    <w:p>
      <w:pPr>
        <w:spacing w:after="80" w:line="293" w:lineRule="auto"/>
        <w:ind w:left="283"/>
        <w:jc w:val="left"/>
      </w:pPr>
      <w:r>
        <w:rPr>
          <w:rFonts w:ascii="Times New Roman" w:hAnsi="Times New Roman" w:cs="Times New Roman"/>
          <w:b w:val="0"/>
          <w:i w:val="0"/>
          <w:sz w:val="22"/>
        </w:rPr>
        <w:t>- regional value content</w:t>
      </w:r>
    </w:p>
    <w:p>
      <w:pPr>
        <w:spacing w:after="80" w:line="293" w:lineRule="auto"/>
        <w:ind w:left="283"/>
        <w:jc w:val="left"/>
      </w:pPr>
      <w:r>
        <w:rPr>
          <w:rFonts w:ascii="Times New Roman" w:hAnsi="Times New Roman" w:cs="Times New Roman"/>
          <w:b w:val="0"/>
          <w:i w:val="0"/>
          <w:sz w:val="22"/>
        </w:rPr>
        <w:t>- processing rules</w:t>
      </w:r>
    </w:p>
    <w:p>
      <w:pPr>
        <w:spacing w:after="80" w:line="293" w:lineRule="auto"/>
        <w:ind w:left="283"/>
        <w:jc w:val="left"/>
      </w:pPr>
      <w:r>
        <w:rPr>
          <w:rFonts w:ascii="Times New Roman" w:hAnsi="Times New Roman" w:cs="Times New Roman"/>
          <w:b w:val="0"/>
          <w:i w:val="0"/>
          <w:sz w:val="22"/>
        </w:rPr>
        <w:t>- cumulation</w:t>
      </w:r>
    </w:p>
    <w:p>
      <w:pPr>
        <w:spacing w:after="80" w:line="293" w:lineRule="auto"/>
        <w:ind w:left="283"/>
        <w:jc w:val="left"/>
      </w:pPr>
      <w:r>
        <w:rPr>
          <w:rFonts w:ascii="Times New Roman" w:hAnsi="Times New Roman" w:cs="Times New Roman"/>
          <w:b w:val="0"/>
          <w:i w:val="0"/>
          <w:sz w:val="22"/>
        </w:rPr>
        <w:t>- direct shipment</w:t>
      </w:r>
    </w:p>
    <w:p>
      <w:pPr>
        <w:spacing w:after="80" w:line="293" w:lineRule="auto"/>
        <w:ind w:left="283"/>
        <w:jc w:val="left"/>
      </w:pPr>
      <w:r>
        <w:rPr>
          <w:rFonts w:ascii="Times New Roman" w:hAnsi="Times New Roman" w:cs="Times New Roman"/>
          <w:b w:val="0"/>
          <w:i w:val="0"/>
          <w:sz w:val="22"/>
        </w:rPr>
        <w:t>- approved exporter</w:t>
      </w:r>
    </w:p>
    <w:p>
      <w:pPr>
        <w:spacing w:after="80" w:line="293" w:lineRule="auto"/>
        <w:ind w:left="283"/>
        <w:jc w:val="left"/>
      </w:pPr>
      <w:r>
        <w:rPr>
          <w:rFonts w:ascii="Times New Roman" w:hAnsi="Times New Roman" w:cs="Times New Roman"/>
          <w:b w:val="0"/>
          <w:i w:val="0"/>
          <w:sz w:val="22"/>
        </w:rPr>
        <w:t>- origin declaration</w:t>
      </w:r>
    </w:p>
    <w:p>
      <w:pPr>
        <w:spacing w:after="80" w:line="293" w:lineRule="auto"/>
        <w:ind w:left="283"/>
        <w:jc w:val="left"/>
      </w:pPr>
      <w:r>
        <w:rPr>
          <w:rFonts w:ascii="Times New Roman" w:hAnsi="Times New Roman" w:cs="Times New Roman"/>
          <w:b w:val="0"/>
          <w:i w:val="0"/>
          <w:sz w:val="22"/>
        </w:rPr>
        <w:t>- COO (Certificate of Origin)</w:t>
      </w:r>
    </w:p>
    <w:p>
      <w:pPr>
        <w:spacing w:after="80" w:line="293" w:lineRule="auto"/>
        <w:ind w:left="283"/>
        <w:jc w:val="left"/>
      </w:pPr>
      <w:r>
        <w:rPr>
          <w:rFonts w:ascii="Times New Roman" w:hAnsi="Times New Roman" w:cs="Times New Roman"/>
          <w:b w:val="0"/>
          <w:i w:val="0"/>
          <w:sz w:val="22"/>
        </w:rPr>
        <w:t>- EUR.1 / equivalent movement certificates</w:t>
      </w:r>
    </w:p>
    <w:p>
      <w:pPr>
        <w:spacing w:after="80" w:line="293" w:lineRule="auto"/>
        <w:jc w:val="left"/>
      </w:pPr>
      <w:r>
        <w:rPr>
          <w:rFonts w:ascii="Times New Roman" w:hAnsi="Times New Roman" w:cs="Times New Roman"/>
          <w:b w:val="0"/>
          <w:i w:val="0"/>
          <w:sz w:val="22"/>
        </w:rPr>
        <w:t>The engine determines whether preferential tariff eligibility actually exists.</w:t>
      </w:r>
    </w:p>
    <w:p>
      <w:pPr>
        <w:keepNext/>
        <w:spacing w:before="240" w:after="100"/>
        <w:outlineLvl w:val="1"/>
      </w:pPr>
      <w:r>
        <w:rPr>
          <w:rFonts w:ascii="Arial" w:hAnsi="Arial" w:cs="Arial"/>
          <w:b/>
          <w:i w:val="0"/>
          <w:color w:val="2E528F"/>
          <w:sz w:val="26"/>
        </w:rPr>
        <w:t>20.15 Trade Agreement Engine</w:t>
      </w:r>
    </w:p>
    <w:p>
      <w:pPr>
        <w:spacing w:after="80" w:line="293" w:lineRule="auto"/>
        <w:jc w:val="left"/>
      </w:pPr>
      <w:r>
        <w:rPr>
          <w:rFonts w:ascii="Times New Roman" w:hAnsi="Times New Roman" w:cs="Times New Roman"/>
          <w:b w:val="0"/>
          <w:i w:val="0"/>
          <w:sz w:val="22"/>
        </w:rPr>
        <w:t>The platform maintains a registry for:</w:t>
      </w:r>
    </w:p>
    <w:p>
      <w:pPr>
        <w:spacing w:after="80" w:line="293" w:lineRule="auto"/>
        <w:ind w:left="283"/>
        <w:jc w:val="left"/>
      </w:pPr>
      <w:r>
        <w:rPr>
          <w:rFonts w:ascii="Times New Roman" w:hAnsi="Times New Roman" w:cs="Times New Roman"/>
          <w:b w:val="0"/>
          <w:i w:val="0"/>
          <w:sz w:val="22"/>
        </w:rPr>
        <w:t>- bilateral</w:t>
      </w:r>
    </w:p>
    <w:p>
      <w:pPr>
        <w:spacing w:after="80" w:line="293" w:lineRule="auto"/>
        <w:ind w:left="283"/>
        <w:jc w:val="left"/>
      </w:pPr>
      <w:r>
        <w:rPr>
          <w:rFonts w:ascii="Times New Roman" w:hAnsi="Times New Roman" w:cs="Times New Roman"/>
          <w:b w:val="0"/>
          <w:i w:val="0"/>
          <w:sz w:val="22"/>
        </w:rPr>
        <w:t>- multilateral</w:t>
      </w:r>
    </w:p>
    <w:p>
      <w:pPr>
        <w:spacing w:after="80" w:line="293" w:lineRule="auto"/>
        <w:ind w:left="283"/>
        <w:jc w:val="left"/>
      </w:pPr>
      <w:r>
        <w:rPr>
          <w:rFonts w:ascii="Times New Roman" w:hAnsi="Times New Roman" w:cs="Times New Roman"/>
          <w:b w:val="0"/>
          <w:i w:val="0"/>
          <w:sz w:val="22"/>
        </w:rPr>
        <w:t>- FTA (free trade agreement)</w:t>
      </w:r>
    </w:p>
    <w:p>
      <w:pPr>
        <w:spacing w:after="80" w:line="293" w:lineRule="auto"/>
        <w:ind w:left="283"/>
        <w:jc w:val="left"/>
      </w:pPr>
      <w:r>
        <w:rPr>
          <w:rFonts w:ascii="Times New Roman" w:hAnsi="Times New Roman" w:cs="Times New Roman"/>
          <w:b w:val="0"/>
          <w:i w:val="0"/>
          <w:sz w:val="22"/>
        </w:rPr>
        <w:t>- PTA (preferential trade agreement)</w:t>
      </w:r>
    </w:p>
    <w:p>
      <w:pPr>
        <w:spacing w:after="80" w:line="293" w:lineRule="auto"/>
        <w:ind w:left="283"/>
        <w:jc w:val="left"/>
      </w:pPr>
      <w:r>
        <w:rPr>
          <w:rFonts w:ascii="Times New Roman" w:hAnsi="Times New Roman" w:cs="Times New Roman"/>
          <w:b w:val="0"/>
          <w:i w:val="0"/>
          <w:sz w:val="22"/>
        </w:rPr>
        <w:t>- customs union</w:t>
      </w:r>
    </w:p>
    <w:p>
      <w:pPr>
        <w:spacing w:after="80" w:line="293" w:lineRule="auto"/>
        <w:ind w:left="283"/>
        <w:jc w:val="left"/>
      </w:pPr>
      <w:r>
        <w:rPr>
          <w:rFonts w:ascii="Times New Roman" w:hAnsi="Times New Roman" w:cs="Times New Roman"/>
          <w:b w:val="0"/>
          <w:i w:val="0"/>
          <w:sz w:val="22"/>
        </w:rPr>
        <w:t>- regional agreements</w:t>
      </w:r>
    </w:p>
    <w:p>
      <w:pPr>
        <w:spacing w:after="80" w:line="293" w:lineRule="auto"/>
        <w:ind w:left="283"/>
        <w:jc w:val="left"/>
      </w:pPr>
      <w:r>
        <w:rPr>
          <w:rFonts w:ascii="Times New Roman" w:hAnsi="Times New Roman" w:cs="Times New Roman"/>
          <w:b w:val="0"/>
          <w:i w:val="0"/>
          <w:sz w:val="22"/>
        </w:rPr>
        <w:t>- sectoral agreements</w:t>
      </w:r>
    </w:p>
    <w:p>
      <w:pPr>
        <w:spacing w:after="80" w:line="293" w:lineRule="auto"/>
        <w:jc w:val="left"/>
      </w:pPr>
      <w:r>
        <w:rPr>
          <w:rFonts w:ascii="Times New Roman" w:hAnsi="Times New Roman" w:cs="Times New Roman"/>
          <w:b w:val="0"/>
          <w:i w:val="0"/>
          <w:sz w:val="22"/>
        </w:rPr>
        <w:t>Each agreement stores:</w:t>
      </w:r>
    </w:p>
    <w:p>
      <w:pPr>
        <w:spacing w:after="80" w:line="293" w:lineRule="auto"/>
        <w:ind w:left="283"/>
        <w:jc w:val="left"/>
      </w:pPr>
      <w:r>
        <w:rPr>
          <w:rFonts w:ascii="Times New Roman" w:hAnsi="Times New Roman" w:cs="Times New Roman"/>
          <w:b w:val="0"/>
          <w:i w:val="0"/>
          <w:sz w:val="22"/>
        </w:rPr>
        <w:t>- parties</w:t>
      </w:r>
    </w:p>
    <w:p>
      <w:pPr>
        <w:spacing w:after="80" w:line="293" w:lineRule="auto"/>
        <w:ind w:left="283"/>
        <w:jc w:val="left"/>
      </w:pPr>
      <w:r>
        <w:rPr>
          <w:rFonts w:ascii="Times New Roman" w:hAnsi="Times New Roman" w:cs="Times New Roman"/>
          <w:b w:val="0"/>
          <w:i w:val="0"/>
          <w:sz w:val="22"/>
        </w:rPr>
        <w:t>- dates</w:t>
      </w:r>
    </w:p>
    <w:p>
      <w:pPr>
        <w:spacing w:after="80" w:line="293" w:lineRule="auto"/>
        <w:ind w:left="283"/>
        <w:jc w:val="left"/>
      </w:pPr>
      <w:r>
        <w:rPr>
          <w:rFonts w:ascii="Times New Roman" w:hAnsi="Times New Roman" w:cs="Times New Roman"/>
          <w:b w:val="0"/>
          <w:i w:val="0"/>
          <w:sz w:val="22"/>
        </w:rPr>
        <w:t>- tariff schedule</w:t>
      </w:r>
    </w:p>
    <w:p>
      <w:pPr>
        <w:spacing w:after="80" w:line="293" w:lineRule="auto"/>
        <w:ind w:left="283"/>
        <w:jc w:val="left"/>
      </w:pPr>
      <w:r>
        <w:rPr>
          <w:rFonts w:ascii="Times New Roman" w:hAnsi="Times New Roman" w:cs="Times New Roman"/>
          <w:b w:val="0"/>
          <w:i w:val="0"/>
          <w:sz w:val="22"/>
        </w:rPr>
        <w:t>- product coverage</w:t>
      </w:r>
    </w:p>
    <w:p>
      <w:pPr>
        <w:spacing w:after="80" w:line="293" w:lineRule="auto"/>
        <w:ind w:left="283"/>
        <w:jc w:val="left"/>
      </w:pPr>
      <w:r>
        <w:rPr>
          <w:rFonts w:ascii="Times New Roman" w:hAnsi="Times New Roman" w:cs="Times New Roman"/>
          <w:b w:val="0"/>
          <w:i w:val="0"/>
          <w:sz w:val="22"/>
        </w:rPr>
        <w:t>- origin rules</w:t>
      </w:r>
    </w:p>
    <w:p>
      <w:pPr>
        <w:spacing w:after="80" w:line="293" w:lineRule="auto"/>
        <w:ind w:left="283"/>
        <w:jc w:val="left"/>
      </w:pPr>
      <w:r>
        <w:rPr>
          <w:rFonts w:ascii="Times New Roman" w:hAnsi="Times New Roman" w:cs="Times New Roman"/>
          <w:b w:val="0"/>
          <w:i w:val="0"/>
          <w:sz w:val="22"/>
        </w:rPr>
        <w:t>- quotas</w:t>
      </w:r>
    </w:p>
    <w:p>
      <w:pPr>
        <w:spacing w:after="80" w:line="293" w:lineRule="auto"/>
        <w:ind w:left="283"/>
        <w:jc w:val="left"/>
      </w:pPr>
      <w:r>
        <w:rPr>
          <w:rFonts w:ascii="Times New Roman" w:hAnsi="Times New Roman" w:cs="Times New Roman"/>
          <w:b w:val="0"/>
          <w:i w:val="0"/>
          <w:sz w:val="22"/>
        </w:rPr>
        <w:t>- certification</w:t>
      </w:r>
    </w:p>
    <w:p>
      <w:pPr>
        <w:spacing w:after="80" w:line="293" w:lineRule="auto"/>
        <w:ind w:left="283"/>
        <w:jc w:val="left"/>
      </w:pPr>
      <w:r>
        <w:rPr>
          <w:rFonts w:ascii="Times New Roman" w:hAnsi="Times New Roman" w:cs="Times New Roman"/>
          <w:b w:val="0"/>
          <w:i w:val="0"/>
          <w:sz w:val="22"/>
        </w:rPr>
        <w:t>- cumulation</w:t>
      </w:r>
    </w:p>
    <w:p>
      <w:pPr>
        <w:spacing w:after="80" w:line="293" w:lineRule="auto"/>
        <w:ind w:left="283"/>
        <w:jc w:val="left"/>
      </w:pPr>
      <w:r>
        <w:rPr>
          <w:rFonts w:ascii="Times New Roman" w:hAnsi="Times New Roman" w:cs="Times New Roman"/>
          <w:b w:val="0"/>
          <w:i w:val="0"/>
          <w:sz w:val="22"/>
        </w:rPr>
        <w:t>- exclusions</w:t>
      </w:r>
    </w:p>
    <w:p>
      <w:pPr>
        <w:spacing w:after="80" w:line="293" w:lineRule="auto"/>
        <w:ind w:left="283"/>
        <w:jc w:val="left"/>
      </w:pPr>
      <w:r>
        <w:rPr>
          <w:rFonts w:ascii="Times New Roman" w:hAnsi="Times New Roman" w:cs="Times New Roman"/>
          <w:b w:val="0"/>
          <w:i w:val="0"/>
          <w:sz w:val="22"/>
        </w:rPr>
        <w:t>- direct transport</w:t>
      </w:r>
    </w:p>
    <w:p>
      <w:pPr>
        <w:spacing w:after="80" w:line="293" w:lineRule="auto"/>
        <w:ind w:left="283"/>
        <w:jc w:val="left"/>
      </w:pPr>
      <w:r>
        <w:rPr>
          <w:rFonts w:ascii="Times New Roman" w:hAnsi="Times New Roman" w:cs="Times New Roman"/>
          <w:b w:val="0"/>
          <w:i w:val="0"/>
          <w:sz w:val="22"/>
        </w:rPr>
        <w:t>- suspension</w:t>
      </w:r>
    </w:p>
    <w:p>
      <w:pPr>
        <w:keepNext/>
        <w:spacing w:before="240" w:after="100"/>
        <w:outlineLvl w:val="1"/>
      </w:pPr>
      <w:r>
        <w:rPr>
          <w:rFonts w:ascii="Arial" w:hAnsi="Arial" w:cs="Arial"/>
          <w:b/>
          <w:i w:val="0"/>
          <w:color w:val="2E528F"/>
          <w:sz w:val="26"/>
        </w:rPr>
        <w:t>20.16 License Engine</w:t>
      </w:r>
    </w:p>
    <w:p>
      <w:pPr>
        <w:spacing w:after="80" w:line="293" w:lineRule="auto"/>
        <w:jc w:val="left"/>
      </w:pPr>
      <w:r>
        <w:rPr>
          <w:rFonts w:ascii="Times New Roman" w:hAnsi="Times New Roman" w:cs="Times New Roman"/>
          <w:b w:val="0"/>
          <w:i w:val="0"/>
          <w:sz w:val="22"/>
        </w:rPr>
        <w:t>The License Engine supports:</w:t>
      </w:r>
    </w:p>
    <w:p>
      <w:pPr>
        <w:spacing w:after="80" w:line="293" w:lineRule="auto"/>
        <w:ind w:left="283"/>
        <w:jc w:val="left"/>
      </w:pPr>
      <w:r>
        <w:rPr>
          <w:rFonts w:ascii="Times New Roman" w:hAnsi="Times New Roman" w:cs="Times New Roman"/>
          <w:b w:val="0"/>
          <w:i w:val="0"/>
          <w:sz w:val="22"/>
        </w:rPr>
        <w:t>- import licenses</w:t>
      </w:r>
    </w:p>
    <w:p>
      <w:pPr>
        <w:spacing w:after="80" w:line="293" w:lineRule="auto"/>
        <w:ind w:left="283"/>
        <w:jc w:val="left"/>
      </w:pPr>
      <w:r>
        <w:rPr>
          <w:rFonts w:ascii="Times New Roman" w:hAnsi="Times New Roman" w:cs="Times New Roman"/>
          <w:b w:val="0"/>
          <w:i w:val="0"/>
          <w:sz w:val="22"/>
        </w:rPr>
        <w:t>- export licenses</w:t>
      </w:r>
    </w:p>
    <w:p>
      <w:pPr>
        <w:spacing w:after="80" w:line="293" w:lineRule="auto"/>
        <w:ind w:left="283"/>
        <w:jc w:val="left"/>
      </w:pPr>
      <w:r>
        <w:rPr>
          <w:rFonts w:ascii="Times New Roman" w:hAnsi="Times New Roman" w:cs="Times New Roman"/>
          <w:b w:val="0"/>
          <w:i w:val="0"/>
          <w:sz w:val="22"/>
        </w:rPr>
        <w:t>- transit licenses</w:t>
      </w:r>
    </w:p>
    <w:p>
      <w:pPr>
        <w:spacing w:after="80" w:line="293" w:lineRule="auto"/>
        <w:ind w:left="283"/>
        <w:jc w:val="left"/>
      </w:pPr>
      <w:r>
        <w:rPr>
          <w:rFonts w:ascii="Times New Roman" w:hAnsi="Times New Roman" w:cs="Times New Roman"/>
          <w:b w:val="0"/>
          <w:i w:val="0"/>
          <w:sz w:val="22"/>
        </w:rPr>
        <w:t>- controlled-goods licenses</w:t>
      </w:r>
    </w:p>
    <w:p>
      <w:pPr>
        <w:spacing w:after="80" w:line="293" w:lineRule="auto"/>
        <w:ind w:left="283"/>
        <w:jc w:val="left"/>
      </w:pPr>
      <w:r>
        <w:rPr>
          <w:rFonts w:ascii="Times New Roman" w:hAnsi="Times New Roman" w:cs="Times New Roman"/>
          <w:b w:val="0"/>
          <w:i w:val="0"/>
          <w:sz w:val="22"/>
        </w:rPr>
        <w:t>- strategic-goods licenses</w:t>
      </w:r>
    </w:p>
    <w:p>
      <w:pPr>
        <w:spacing w:after="80" w:line="293" w:lineRule="auto"/>
        <w:ind w:left="283"/>
        <w:jc w:val="left"/>
      </w:pPr>
      <w:r>
        <w:rPr>
          <w:rFonts w:ascii="Times New Roman" w:hAnsi="Times New Roman" w:cs="Times New Roman"/>
          <w:b w:val="0"/>
          <w:i w:val="0"/>
          <w:sz w:val="22"/>
        </w:rPr>
        <w:t>- special product licenses</w:t>
      </w:r>
    </w:p>
    <w:p>
      <w:pPr>
        <w:spacing w:after="80" w:line="293" w:lineRule="auto"/>
        <w:jc w:val="left"/>
      </w:pPr>
      <w:r>
        <w:rPr>
          <w:rFonts w:ascii="Times New Roman" w:hAnsi="Times New Roman" w:cs="Times New Roman"/>
          <w:b w:val="0"/>
          <w:i w:val="0"/>
          <w:sz w:val="22"/>
        </w:rPr>
        <w:t>States: NOT_REQUIRED, REQUIRED, APPLICATION_READY, SUBMITTED, PENDING, ISSUED, EXPIRED, REVOKED, REJECTED.</w:t>
      </w:r>
    </w:p>
    <w:p>
      <w:pPr>
        <w:keepNext/>
        <w:spacing w:before="240" w:after="100"/>
        <w:outlineLvl w:val="1"/>
      </w:pPr>
      <w:r>
        <w:rPr>
          <w:rFonts w:ascii="Arial" w:hAnsi="Arial" w:cs="Arial"/>
          <w:b/>
          <w:i w:val="0"/>
          <w:color w:val="2E528F"/>
          <w:sz w:val="26"/>
        </w:rPr>
        <w:t>20.17 Permit Engine</w:t>
      </w:r>
    </w:p>
    <w:p>
      <w:pPr>
        <w:spacing w:after="80" w:line="293" w:lineRule="auto"/>
        <w:jc w:val="left"/>
      </w:pPr>
      <w:r>
        <w:rPr>
          <w:rFonts w:ascii="Times New Roman" w:hAnsi="Times New Roman" w:cs="Times New Roman"/>
          <w:b w:val="0"/>
          <w:i w:val="0"/>
          <w:sz w:val="22"/>
        </w:rPr>
        <w:t>The Permit Engine supports:</w:t>
      </w:r>
    </w:p>
    <w:p>
      <w:pPr>
        <w:spacing w:after="80" w:line="293" w:lineRule="auto"/>
        <w:ind w:left="283"/>
        <w:jc w:val="left"/>
      </w:pPr>
      <w:r>
        <w:rPr>
          <w:rFonts w:ascii="Times New Roman" w:hAnsi="Times New Roman" w:cs="Times New Roman"/>
          <w:b w:val="0"/>
          <w:i w:val="0"/>
          <w:sz w:val="22"/>
        </w:rPr>
        <w:t>- SPS</w:t>
      </w:r>
    </w:p>
    <w:p>
      <w:pPr>
        <w:spacing w:after="80" w:line="293" w:lineRule="auto"/>
        <w:ind w:left="283"/>
        <w:jc w:val="left"/>
      </w:pPr>
      <w:r>
        <w:rPr>
          <w:rFonts w:ascii="Times New Roman" w:hAnsi="Times New Roman" w:cs="Times New Roman"/>
          <w:b w:val="0"/>
          <w:i w:val="0"/>
          <w:sz w:val="22"/>
        </w:rPr>
        <w:t>- agriculture</w:t>
      </w:r>
    </w:p>
    <w:p>
      <w:pPr>
        <w:spacing w:after="80" w:line="293" w:lineRule="auto"/>
        <w:ind w:left="283"/>
        <w:jc w:val="left"/>
      </w:pPr>
      <w:r>
        <w:rPr>
          <w:rFonts w:ascii="Times New Roman" w:hAnsi="Times New Roman" w:cs="Times New Roman"/>
          <w:b w:val="0"/>
          <w:i w:val="0"/>
          <w:sz w:val="22"/>
        </w:rPr>
        <w:t>- veterinary</w:t>
      </w:r>
    </w:p>
    <w:p>
      <w:pPr>
        <w:spacing w:after="80" w:line="293" w:lineRule="auto"/>
        <w:ind w:left="283"/>
        <w:jc w:val="left"/>
      </w:pPr>
      <w:r>
        <w:rPr>
          <w:rFonts w:ascii="Times New Roman" w:hAnsi="Times New Roman" w:cs="Times New Roman"/>
          <w:b w:val="0"/>
          <w:i w:val="0"/>
          <w:sz w:val="22"/>
        </w:rPr>
        <w:t>- food</w:t>
      </w:r>
    </w:p>
    <w:p>
      <w:pPr>
        <w:spacing w:after="80" w:line="293" w:lineRule="auto"/>
        <w:ind w:left="283"/>
        <w:jc w:val="left"/>
      </w:pPr>
      <w:r>
        <w:rPr>
          <w:rFonts w:ascii="Times New Roman" w:hAnsi="Times New Roman" w:cs="Times New Roman"/>
          <w:b w:val="0"/>
          <w:i w:val="0"/>
          <w:sz w:val="22"/>
        </w:rPr>
        <w:t>- pharmaceuticals</w:t>
      </w:r>
    </w:p>
    <w:p>
      <w:pPr>
        <w:spacing w:after="80" w:line="293" w:lineRule="auto"/>
        <w:ind w:left="283"/>
        <w:jc w:val="left"/>
      </w:pPr>
      <w:r>
        <w:rPr>
          <w:rFonts w:ascii="Times New Roman" w:hAnsi="Times New Roman" w:cs="Times New Roman"/>
          <w:b w:val="0"/>
          <w:i w:val="0"/>
          <w:sz w:val="22"/>
        </w:rPr>
        <w:t>- environment</w:t>
      </w:r>
    </w:p>
    <w:p>
      <w:pPr>
        <w:spacing w:after="80" w:line="293" w:lineRule="auto"/>
        <w:ind w:left="283"/>
        <w:jc w:val="left"/>
      </w:pPr>
      <w:r>
        <w:rPr>
          <w:rFonts w:ascii="Times New Roman" w:hAnsi="Times New Roman" w:cs="Times New Roman"/>
          <w:b w:val="0"/>
          <w:i w:val="0"/>
          <w:sz w:val="22"/>
        </w:rPr>
        <w:t>- chemicals</w:t>
      </w:r>
    </w:p>
    <w:p>
      <w:pPr>
        <w:spacing w:after="80" w:line="293" w:lineRule="auto"/>
        <w:ind w:left="283"/>
        <w:jc w:val="left"/>
      </w:pPr>
      <w:r>
        <w:rPr>
          <w:rFonts w:ascii="Times New Roman" w:hAnsi="Times New Roman" w:cs="Times New Roman"/>
          <w:b w:val="0"/>
          <w:i w:val="0"/>
          <w:sz w:val="22"/>
        </w:rPr>
        <w:t>- communications</w:t>
      </w:r>
    </w:p>
    <w:p>
      <w:pPr>
        <w:spacing w:after="80" w:line="293" w:lineRule="auto"/>
        <w:ind w:left="283"/>
        <w:jc w:val="left"/>
      </w:pPr>
      <w:r>
        <w:rPr>
          <w:rFonts w:ascii="Times New Roman" w:hAnsi="Times New Roman" w:cs="Times New Roman"/>
          <w:b w:val="0"/>
          <w:i w:val="0"/>
          <w:sz w:val="22"/>
        </w:rPr>
        <w:t>- strategic goods</w:t>
      </w:r>
    </w:p>
    <w:p>
      <w:pPr>
        <w:spacing w:after="80" w:line="293" w:lineRule="auto"/>
        <w:ind w:left="283"/>
        <w:jc w:val="left"/>
      </w:pPr>
      <w:r>
        <w:rPr>
          <w:rFonts w:ascii="Times New Roman" w:hAnsi="Times New Roman" w:cs="Times New Roman"/>
          <w:b w:val="0"/>
          <w:i w:val="0"/>
          <w:sz w:val="22"/>
        </w:rPr>
        <w:t>- import</w:t>
      </w:r>
    </w:p>
    <w:p>
      <w:pPr>
        <w:spacing w:after="80" w:line="293" w:lineRule="auto"/>
        <w:ind w:left="283"/>
        <w:jc w:val="left"/>
      </w:pPr>
      <w:r>
        <w:rPr>
          <w:rFonts w:ascii="Times New Roman" w:hAnsi="Times New Roman" w:cs="Times New Roman"/>
          <w:b w:val="0"/>
          <w:i w:val="0"/>
          <w:sz w:val="22"/>
        </w:rPr>
        <w:t>- export</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transport</w:t>
      </w:r>
    </w:p>
    <w:p>
      <w:pPr>
        <w:spacing w:after="80" w:line="293" w:lineRule="auto"/>
        <w:jc w:val="left"/>
      </w:pPr>
      <w:r>
        <w:rPr>
          <w:rFonts w:ascii="Times New Roman" w:hAnsi="Times New Roman" w:cs="Times New Roman"/>
          <w:b w:val="0"/>
          <w:i w:val="0"/>
          <w:sz w:val="22"/>
        </w:rPr>
        <w:t>Permit requirements are determined dynamically from product + jurisdiction + transaction.</w:t>
      </w:r>
    </w:p>
    <w:p>
      <w:pPr>
        <w:keepNext/>
        <w:spacing w:before="240" w:after="100"/>
        <w:outlineLvl w:val="1"/>
      </w:pPr>
      <w:r>
        <w:rPr>
          <w:rFonts w:ascii="Arial" w:hAnsi="Arial" w:cs="Arial"/>
          <w:b/>
          <w:i w:val="0"/>
          <w:color w:val="2E528F"/>
          <w:sz w:val="26"/>
        </w:rPr>
        <w:t>20.18 Certificate Engine</w:t>
      </w:r>
    </w:p>
    <w:p>
      <w:pPr>
        <w:spacing w:after="80" w:line="293" w:lineRule="auto"/>
        <w:jc w:val="left"/>
      </w:pPr>
      <w:r>
        <w:rPr>
          <w:rFonts w:ascii="Times New Roman" w:hAnsi="Times New Roman" w:cs="Times New Roman"/>
          <w:b w:val="0"/>
          <w:i w:val="0"/>
          <w:sz w:val="22"/>
        </w:rPr>
        <w:t>The Certificate Engine supports:</w:t>
      </w:r>
    </w:p>
    <w:p>
      <w:pPr>
        <w:spacing w:after="80" w:line="293" w:lineRule="auto"/>
        <w:ind w:left="283"/>
        <w:jc w:val="left"/>
      </w:pPr>
      <w:r>
        <w:rPr>
          <w:rFonts w:ascii="Times New Roman" w:hAnsi="Times New Roman" w:cs="Times New Roman"/>
          <w:b w:val="0"/>
          <w:i w:val="0"/>
          <w:sz w:val="22"/>
        </w:rPr>
        <w:t>- COO</w:t>
      </w:r>
    </w:p>
    <w:p>
      <w:pPr>
        <w:spacing w:after="80" w:line="293" w:lineRule="auto"/>
        <w:ind w:left="283"/>
        <w:jc w:val="left"/>
      </w:pPr>
      <w:r>
        <w:rPr>
          <w:rFonts w:ascii="Times New Roman" w:hAnsi="Times New Roman" w:cs="Times New Roman"/>
          <w:b w:val="0"/>
          <w:i w:val="0"/>
          <w:sz w:val="22"/>
        </w:rPr>
        <w:t>- preferential COO</w:t>
      </w:r>
    </w:p>
    <w:p>
      <w:pPr>
        <w:spacing w:after="80" w:line="293" w:lineRule="auto"/>
        <w:ind w:left="283"/>
        <w:jc w:val="left"/>
      </w:pPr>
      <w:r>
        <w:rPr>
          <w:rFonts w:ascii="Times New Roman" w:hAnsi="Times New Roman" w:cs="Times New Roman"/>
          <w:b w:val="0"/>
          <w:i w:val="0"/>
          <w:sz w:val="22"/>
        </w:rPr>
        <w:t>- EUR.1</w:t>
      </w:r>
    </w:p>
    <w:p>
      <w:pPr>
        <w:spacing w:after="80" w:line="293" w:lineRule="auto"/>
        <w:ind w:left="283"/>
        <w:jc w:val="left"/>
      </w:pPr>
      <w:r>
        <w:rPr>
          <w:rFonts w:ascii="Times New Roman" w:hAnsi="Times New Roman" w:cs="Times New Roman"/>
          <w:b w:val="0"/>
          <w:i w:val="0"/>
          <w:sz w:val="22"/>
        </w:rPr>
        <w:t>- phytosanitary</w:t>
      </w:r>
    </w:p>
    <w:p>
      <w:pPr>
        <w:spacing w:after="80" w:line="293" w:lineRule="auto"/>
        <w:ind w:left="283"/>
        <w:jc w:val="left"/>
      </w:pPr>
      <w:r>
        <w:rPr>
          <w:rFonts w:ascii="Times New Roman" w:hAnsi="Times New Roman" w:cs="Times New Roman"/>
          <w:b w:val="0"/>
          <w:i w:val="0"/>
          <w:sz w:val="22"/>
        </w:rPr>
        <w:t>- health</w:t>
      </w:r>
    </w:p>
    <w:p>
      <w:pPr>
        <w:spacing w:after="80" w:line="293" w:lineRule="auto"/>
        <w:ind w:left="283"/>
        <w:jc w:val="left"/>
      </w:pPr>
      <w:r>
        <w:rPr>
          <w:rFonts w:ascii="Times New Roman" w:hAnsi="Times New Roman" w:cs="Times New Roman"/>
          <w:b w:val="0"/>
          <w:i w:val="0"/>
          <w:sz w:val="22"/>
        </w:rPr>
        <w:t>- veterinary</w:t>
      </w:r>
    </w:p>
    <w:p>
      <w:pPr>
        <w:spacing w:after="80" w:line="293" w:lineRule="auto"/>
        <w:ind w:left="283"/>
        <w:jc w:val="left"/>
      </w:pPr>
      <w:r>
        <w:rPr>
          <w:rFonts w:ascii="Times New Roman" w:hAnsi="Times New Roman" w:cs="Times New Roman"/>
          <w:b w:val="0"/>
          <w:i w:val="0"/>
          <w:sz w:val="22"/>
        </w:rPr>
        <w:t>- laboratory</w:t>
      </w:r>
    </w:p>
    <w:p>
      <w:pPr>
        <w:spacing w:after="80" w:line="293" w:lineRule="auto"/>
        <w:ind w:left="283"/>
        <w:jc w:val="left"/>
      </w:pPr>
      <w:r>
        <w:rPr>
          <w:rFonts w:ascii="Times New Roman" w:hAnsi="Times New Roman" w:cs="Times New Roman"/>
          <w:b w:val="0"/>
          <w:i w:val="0"/>
          <w:sz w:val="22"/>
        </w:rPr>
        <w:t>- analysis</w:t>
      </w:r>
    </w:p>
    <w:p>
      <w:pPr>
        <w:spacing w:after="80" w:line="293" w:lineRule="auto"/>
        <w:ind w:left="283"/>
        <w:jc w:val="left"/>
      </w:pPr>
      <w:r>
        <w:rPr>
          <w:rFonts w:ascii="Times New Roman" w:hAnsi="Times New Roman" w:cs="Times New Roman"/>
          <w:b w:val="0"/>
          <w:i w:val="0"/>
          <w:sz w:val="22"/>
        </w:rPr>
        <w:t>- conformity</w:t>
      </w:r>
    </w:p>
    <w:p>
      <w:pPr>
        <w:spacing w:after="80" w:line="293" w:lineRule="auto"/>
        <w:ind w:left="283"/>
        <w:jc w:val="left"/>
      </w:pPr>
      <w:r>
        <w:rPr>
          <w:rFonts w:ascii="Times New Roman" w:hAnsi="Times New Roman" w:cs="Times New Roman"/>
          <w:b w:val="0"/>
          <w:i w:val="0"/>
          <w:sz w:val="22"/>
        </w:rPr>
        <w:t>- inspection</w:t>
      </w:r>
    </w:p>
    <w:p>
      <w:pPr>
        <w:spacing w:after="80" w:line="293" w:lineRule="auto"/>
        <w:ind w:left="283"/>
        <w:jc w:val="left"/>
      </w:pPr>
      <w:r>
        <w:rPr>
          <w:rFonts w:ascii="Times New Roman" w:hAnsi="Times New Roman" w:cs="Times New Roman"/>
          <w:b w:val="0"/>
          <w:i w:val="0"/>
          <w:sz w:val="22"/>
        </w:rPr>
        <w:t>- fumigation</w:t>
      </w:r>
    </w:p>
    <w:p>
      <w:pPr>
        <w:spacing w:after="80" w:line="293" w:lineRule="auto"/>
        <w:ind w:left="283"/>
        <w:jc w:val="left"/>
      </w:pPr>
      <w:r>
        <w:rPr>
          <w:rFonts w:ascii="Times New Roman" w:hAnsi="Times New Roman" w:cs="Times New Roman"/>
          <w:b w:val="0"/>
          <w:i w:val="0"/>
          <w:sz w:val="22"/>
        </w:rPr>
        <w:t>- treatment</w:t>
      </w:r>
    </w:p>
    <w:p>
      <w:pPr>
        <w:spacing w:after="80" w:line="293" w:lineRule="auto"/>
        <w:ind w:left="283"/>
        <w:jc w:val="left"/>
      </w:pPr>
      <w:r>
        <w:rPr>
          <w:rFonts w:ascii="Times New Roman" w:hAnsi="Times New Roman" w:cs="Times New Roman"/>
          <w:b w:val="0"/>
          <w:i w:val="0"/>
          <w:sz w:val="22"/>
        </w:rPr>
        <w:t>- cold treatment</w:t>
      </w:r>
    </w:p>
    <w:p>
      <w:pPr>
        <w:spacing w:after="80" w:line="293" w:lineRule="auto"/>
        <w:ind w:left="283"/>
        <w:jc w:val="left"/>
      </w:pPr>
      <w:r>
        <w:rPr>
          <w:rFonts w:ascii="Times New Roman" w:hAnsi="Times New Roman" w:cs="Times New Roman"/>
          <w:b w:val="0"/>
          <w:i w:val="0"/>
          <w:sz w:val="22"/>
        </w:rPr>
        <w:t>- Halal</w:t>
      </w:r>
    </w:p>
    <w:p>
      <w:pPr>
        <w:spacing w:after="80" w:line="293" w:lineRule="auto"/>
        <w:ind w:left="283"/>
        <w:jc w:val="left"/>
      </w:pPr>
      <w:r>
        <w:rPr>
          <w:rFonts w:ascii="Times New Roman" w:hAnsi="Times New Roman" w:cs="Times New Roman"/>
          <w:b w:val="0"/>
          <w:i w:val="0"/>
          <w:sz w:val="22"/>
        </w:rPr>
        <w:t>- organic</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security</w:t>
      </w:r>
    </w:p>
    <w:p>
      <w:pPr>
        <w:keepNext/>
        <w:spacing w:before="240" w:after="100"/>
        <w:outlineLvl w:val="1"/>
      </w:pPr>
      <w:r>
        <w:rPr>
          <w:rFonts w:ascii="Arial" w:hAnsi="Arial" w:cs="Arial"/>
          <w:b/>
          <w:i w:val="0"/>
          <w:color w:val="2E528F"/>
          <w:sz w:val="26"/>
        </w:rPr>
        <w:t>20.19 SPS Engine</w:t>
      </w:r>
    </w:p>
    <w:p>
      <w:pPr>
        <w:spacing w:after="80" w:line="293" w:lineRule="auto"/>
        <w:jc w:val="left"/>
      </w:pPr>
      <w:r>
        <w:rPr>
          <w:rFonts w:ascii="Times New Roman" w:hAnsi="Times New Roman" w:cs="Times New Roman"/>
          <w:b w:val="0"/>
          <w:i w:val="0"/>
          <w:sz w:val="22"/>
        </w:rPr>
        <w:t>The SPS Engine determines requirements from:</w:t>
      </w:r>
    </w:p>
    <w:p>
      <w:pPr>
        <w:spacing w:after="80" w:line="293" w:lineRule="auto"/>
        <w:ind w:left="283"/>
        <w:jc w:val="left"/>
      </w:pPr>
      <w:r>
        <w:rPr>
          <w:rFonts w:ascii="Times New Roman" w:hAnsi="Times New Roman" w:cs="Times New Roman"/>
          <w:b w:val="0"/>
          <w:i w:val="0"/>
          <w:sz w:val="22"/>
        </w:rPr>
        <w:t>- commodity</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season</w:t>
      </w:r>
    </w:p>
    <w:p>
      <w:pPr>
        <w:spacing w:after="80" w:line="293" w:lineRule="auto"/>
        <w:ind w:left="283"/>
        <w:jc w:val="left"/>
      </w:pPr>
      <w:r>
        <w:rPr>
          <w:rFonts w:ascii="Times New Roman" w:hAnsi="Times New Roman" w:cs="Times New Roman"/>
          <w:b w:val="0"/>
          <w:i w:val="0"/>
          <w:sz w:val="22"/>
        </w:rPr>
        <w:t>- intended use</w:t>
      </w:r>
    </w:p>
    <w:p>
      <w:pPr>
        <w:spacing w:after="80" w:line="293" w:lineRule="auto"/>
        <w:ind w:left="283"/>
        <w:jc w:val="left"/>
      </w:pPr>
      <w:r>
        <w:rPr>
          <w:rFonts w:ascii="Times New Roman" w:hAnsi="Times New Roman" w:cs="Times New Roman"/>
          <w:b w:val="0"/>
          <w:i w:val="0"/>
          <w:sz w:val="22"/>
        </w:rPr>
        <w:t>- mode</w:t>
      </w:r>
    </w:p>
    <w:p>
      <w:pPr>
        <w:spacing w:after="80" w:line="293" w:lineRule="auto"/>
        <w:jc w:val="left"/>
      </w:pPr>
      <w:r>
        <w:rPr>
          <w:rFonts w:ascii="Times New Roman" w:hAnsi="Times New Roman" w:cs="Times New Roman"/>
          <w:b w:val="0"/>
          <w:i w:val="0"/>
          <w:sz w:val="22"/>
        </w:rPr>
        <w:t>It supports:</w:t>
      </w:r>
    </w:p>
    <w:p>
      <w:pPr>
        <w:spacing w:after="80" w:line="293" w:lineRule="auto"/>
        <w:ind w:left="283"/>
        <w:jc w:val="left"/>
      </w:pPr>
      <w:r>
        <w:rPr>
          <w:rFonts w:ascii="Times New Roman" w:hAnsi="Times New Roman" w:cs="Times New Roman"/>
          <w:b w:val="0"/>
          <w:i w:val="0"/>
          <w:sz w:val="22"/>
        </w:rPr>
        <w:t>- plant health</w:t>
      </w:r>
    </w:p>
    <w:p>
      <w:pPr>
        <w:spacing w:after="80" w:line="293" w:lineRule="auto"/>
        <w:ind w:left="283"/>
        <w:jc w:val="left"/>
      </w:pPr>
      <w:r>
        <w:rPr>
          <w:rFonts w:ascii="Times New Roman" w:hAnsi="Times New Roman" w:cs="Times New Roman"/>
          <w:b w:val="0"/>
          <w:i w:val="0"/>
          <w:sz w:val="22"/>
        </w:rPr>
        <w:t>- animal health</w:t>
      </w:r>
    </w:p>
    <w:p>
      <w:pPr>
        <w:spacing w:after="80" w:line="293" w:lineRule="auto"/>
        <w:ind w:left="283"/>
        <w:jc w:val="left"/>
      </w:pPr>
      <w:r>
        <w:rPr>
          <w:rFonts w:ascii="Times New Roman" w:hAnsi="Times New Roman" w:cs="Times New Roman"/>
          <w:b w:val="0"/>
          <w:i w:val="0"/>
          <w:sz w:val="22"/>
        </w:rPr>
        <w:t>- food safety</w:t>
      </w:r>
    </w:p>
    <w:p>
      <w:pPr>
        <w:spacing w:after="80" w:line="293" w:lineRule="auto"/>
        <w:ind w:left="283"/>
        <w:jc w:val="left"/>
      </w:pPr>
      <w:r>
        <w:rPr>
          <w:rFonts w:ascii="Times New Roman" w:hAnsi="Times New Roman" w:cs="Times New Roman"/>
          <w:b w:val="0"/>
          <w:i w:val="0"/>
          <w:sz w:val="22"/>
        </w:rPr>
        <w:t>- quarantine</w:t>
      </w:r>
    </w:p>
    <w:p>
      <w:pPr>
        <w:spacing w:after="80" w:line="293" w:lineRule="auto"/>
        <w:ind w:left="283"/>
        <w:jc w:val="left"/>
      </w:pPr>
      <w:r>
        <w:rPr>
          <w:rFonts w:ascii="Times New Roman" w:hAnsi="Times New Roman" w:cs="Times New Roman"/>
          <w:b w:val="0"/>
          <w:i w:val="0"/>
          <w:sz w:val="22"/>
        </w:rPr>
        <w:t>- sampling</w:t>
      </w:r>
    </w:p>
    <w:p>
      <w:pPr>
        <w:spacing w:after="80" w:line="293" w:lineRule="auto"/>
        <w:ind w:left="283"/>
        <w:jc w:val="left"/>
      </w:pPr>
      <w:r>
        <w:rPr>
          <w:rFonts w:ascii="Times New Roman" w:hAnsi="Times New Roman" w:cs="Times New Roman"/>
          <w:b w:val="0"/>
          <w:i w:val="0"/>
          <w:sz w:val="22"/>
        </w:rPr>
        <w:t>- treatment</w:t>
      </w:r>
    </w:p>
    <w:p>
      <w:pPr>
        <w:spacing w:after="80" w:line="293" w:lineRule="auto"/>
        <w:ind w:left="283"/>
        <w:jc w:val="left"/>
      </w:pPr>
      <w:r>
        <w:rPr>
          <w:rFonts w:ascii="Times New Roman" w:hAnsi="Times New Roman" w:cs="Times New Roman"/>
          <w:b w:val="0"/>
          <w:i w:val="0"/>
          <w:sz w:val="22"/>
        </w:rPr>
        <w:t>- lab</w:t>
      </w:r>
    </w:p>
    <w:p>
      <w:pPr>
        <w:spacing w:after="80" w:line="293" w:lineRule="auto"/>
        <w:ind w:left="283"/>
        <w:jc w:val="left"/>
      </w:pPr>
      <w:r>
        <w:rPr>
          <w:rFonts w:ascii="Times New Roman" w:hAnsi="Times New Roman" w:cs="Times New Roman"/>
          <w:b w:val="0"/>
          <w:i w:val="0"/>
          <w:sz w:val="22"/>
        </w:rPr>
        <w:t>- inspection</w:t>
      </w:r>
    </w:p>
    <w:p>
      <w:pPr>
        <w:spacing w:after="80" w:line="293" w:lineRule="auto"/>
        <w:ind w:left="283"/>
        <w:jc w:val="left"/>
      </w:pPr>
      <w:r>
        <w:rPr>
          <w:rFonts w:ascii="Times New Roman" w:hAnsi="Times New Roman" w:cs="Times New Roman"/>
          <w:b w:val="0"/>
          <w:i w:val="0"/>
          <w:sz w:val="22"/>
        </w:rPr>
        <w:t>- release</w:t>
      </w:r>
    </w:p>
    <w:p>
      <w:pPr>
        <w:keepNext/>
        <w:spacing w:before="240" w:after="100"/>
        <w:outlineLvl w:val="1"/>
      </w:pPr>
      <w:r>
        <w:rPr>
          <w:rFonts w:ascii="Arial" w:hAnsi="Arial" w:cs="Arial"/>
          <w:b/>
          <w:i w:val="0"/>
          <w:color w:val="2E528F"/>
          <w:sz w:val="26"/>
        </w:rPr>
        <w:t>20.20 TBT Engine</w:t>
      </w:r>
    </w:p>
    <w:p>
      <w:pPr>
        <w:spacing w:after="80" w:line="293" w:lineRule="auto"/>
        <w:jc w:val="left"/>
      </w:pPr>
      <w:r>
        <w:rPr>
          <w:rFonts w:ascii="Times New Roman" w:hAnsi="Times New Roman" w:cs="Times New Roman"/>
          <w:b w:val="0"/>
          <w:i w:val="0"/>
          <w:sz w:val="22"/>
        </w:rPr>
        <w:t>The TBT Engine supports:</w:t>
      </w:r>
    </w:p>
    <w:p>
      <w:pPr>
        <w:spacing w:after="80" w:line="293" w:lineRule="auto"/>
        <w:ind w:left="283"/>
        <w:jc w:val="left"/>
      </w:pPr>
      <w:r>
        <w:rPr>
          <w:rFonts w:ascii="Times New Roman" w:hAnsi="Times New Roman" w:cs="Times New Roman"/>
          <w:b w:val="0"/>
          <w:i w:val="0"/>
          <w:sz w:val="22"/>
        </w:rPr>
        <w:t>- technical regulations</w:t>
      </w:r>
    </w:p>
    <w:p>
      <w:pPr>
        <w:spacing w:after="80" w:line="293" w:lineRule="auto"/>
        <w:ind w:left="283"/>
        <w:jc w:val="left"/>
      </w:pPr>
      <w:r>
        <w:rPr>
          <w:rFonts w:ascii="Times New Roman" w:hAnsi="Times New Roman" w:cs="Times New Roman"/>
          <w:b w:val="0"/>
          <w:i w:val="0"/>
          <w:sz w:val="22"/>
        </w:rPr>
        <w:t>- mandatory standards</w:t>
      </w:r>
    </w:p>
    <w:p>
      <w:pPr>
        <w:spacing w:after="80" w:line="293" w:lineRule="auto"/>
        <w:ind w:left="283"/>
        <w:jc w:val="left"/>
      </w:pPr>
      <w:r>
        <w:rPr>
          <w:rFonts w:ascii="Times New Roman" w:hAnsi="Times New Roman" w:cs="Times New Roman"/>
          <w:b w:val="0"/>
          <w:i w:val="0"/>
          <w:sz w:val="22"/>
        </w:rPr>
        <w:t>- conformity</w:t>
      </w:r>
    </w:p>
    <w:p>
      <w:pPr>
        <w:spacing w:after="80" w:line="293" w:lineRule="auto"/>
        <w:ind w:left="283"/>
        <w:jc w:val="left"/>
      </w:pPr>
      <w:r>
        <w:rPr>
          <w:rFonts w:ascii="Times New Roman" w:hAnsi="Times New Roman" w:cs="Times New Roman"/>
          <w:b w:val="0"/>
          <w:i w:val="0"/>
          <w:sz w:val="22"/>
        </w:rPr>
        <w:t>- testing</w:t>
      </w:r>
    </w:p>
    <w:p>
      <w:pPr>
        <w:spacing w:after="80" w:line="293" w:lineRule="auto"/>
        <w:ind w:left="283"/>
        <w:jc w:val="left"/>
      </w:pPr>
      <w:r>
        <w:rPr>
          <w:rFonts w:ascii="Times New Roman" w:hAnsi="Times New Roman" w:cs="Times New Roman"/>
          <w:b w:val="0"/>
          <w:i w:val="0"/>
          <w:sz w:val="22"/>
        </w:rPr>
        <w:t>- product registration</w:t>
      </w:r>
    </w:p>
    <w:p>
      <w:pPr>
        <w:spacing w:after="80" w:line="293" w:lineRule="auto"/>
        <w:ind w:left="283"/>
        <w:jc w:val="left"/>
      </w:pPr>
      <w:r>
        <w:rPr>
          <w:rFonts w:ascii="Times New Roman" w:hAnsi="Times New Roman" w:cs="Times New Roman"/>
          <w:b w:val="0"/>
          <w:i w:val="0"/>
          <w:sz w:val="22"/>
        </w:rPr>
        <w:t>- labeling</w:t>
      </w:r>
    </w:p>
    <w:p>
      <w:pPr>
        <w:spacing w:after="80" w:line="293" w:lineRule="auto"/>
        <w:ind w:left="283"/>
        <w:jc w:val="left"/>
      </w:pPr>
      <w:r>
        <w:rPr>
          <w:rFonts w:ascii="Times New Roman" w:hAnsi="Times New Roman" w:cs="Times New Roman"/>
          <w:b w:val="0"/>
          <w:i w:val="0"/>
          <w:sz w:val="22"/>
        </w:rPr>
        <w:t>- energy</w:t>
      </w:r>
    </w:p>
    <w:p>
      <w:pPr>
        <w:spacing w:after="80" w:line="293" w:lineRule="auto"/>
        <w:ind w:left="283"/>
        <w:jc w:val="left"/>
      </w:pPr>
      <w:r>
        <w:rPr>
          <w:rFonts w:ascii="Times New Roman" w:hAnsi="Times New Roman" w:cs="Times New Roman"/>
          <w:b w:val="0"/>
          <w:i w:val="0"/>
          <w:sz w:val="22"/>
        </w:rPr>
        <w:t>- electrical safety</w:t>
      </w:r>
    </w:p>
    <w:p>
      <w:pPr>
        <w:spacing w:after="80" w:line="293" w:lineRule="auto"/>
        <w:ind w:left="283"/>
        <w:jc w:val="left"/>
      </w:pPr>
      <w:r>
        <w:rPr>
          <w:rFonts w:ascii="Times New Roman" w:hAnsi="Times New Roman" w:cs="Times New Roman"/>
          <w:b w:val="0"/>
          <w:i w:val="0"/>
          <w:sz w:val="22"/>
        </w:rPr>
        <w:t>- EMC (electromagnetic compatibility)</w:t>
      </w:r>
    </w:p>
    <w:p>
      <w:pPr>
        <w:spacing w:after="80" w:line="293" w:lineRule="auto"/>
        <w:ind w:left="283"/>
        <w:jc w:val="left"/>
      </w:pPr>
      <w:r>
        <w:rPr>
          <w:rFonts w:ascii="Times New Roman" w:hAnsi="Times New Roman" w:cs="Times New Roman"/>
          <w:b w:val="0"/>
          <w:i w:val="0"/>
          <w:sz w:val="22"/>
        </w:rPr>
        <w:t>- radio</w:t>
      </w:r>
    </w:p>
    <w:p>
      <w:pPr>
        <w:spacing w:after="80" w:line="293" w:lineRule="auto"/>
        <w:ind w:left="283"/>
        <w:jc w:val="left"/>
      </w:pPr>
      <w:r>
        <w:rPr>
          <w:rFonts w:ascii="Times New Roman" w:hAnsi="Times New Roman" w:cs="Times New Roman"/>
          <w:b w:val="0"/>
          <w:i w:val="0"/>
          <w:sz w:val="22"/>
        </w:rPr>
        <w:t>- environmental requirements</w:t>
      </w:r>
    </w:p>
    <w:p>
      <w:pPr>
        <w:keepNext/>
        <w:spacing w:before="240" w:after="100"/>
        <w:outlineLvl w:val="1"/>
      </w:pPr>
      <w:r>
        <w:rPr>
          <w:rFonts w:ascii="Arial" w:hAnsi="Arial" w:cs="Arial"/>
          <w:b/>
          <w:i w:val="0"/>
          <w:color w:val="2E528F"/>
          <w:sz w:val="26"/>
        </w:rPr>
        <w:t>20.21 Controlled-Goods Engine</w:t>
      </w:r>
    </w:p>
    <w:p>
      <w:pPr>
        <w:spacing w:after="80" w:line="293" w:lineRule="auto"/>
        <w:jc w:val="left"/>
      </w:pPr>
      <w:r>
        <w:rPr>
          <w:rFonts w:ascii="Times New Roman" w:hAnsi="Times New Roman" w:cs="Times New Roman"/>
          <w:b w:val="0"/>
          <w:i w:val="0"/>
          <w:sz w:val="22"/>
        </w:rPr>
        <w:t>The Controlled-Goods Engine supports:</w:t>
      </w:r>
    </w:p>
    <w:p>
      <w:pPr>
        <w:spacing w:after="80" w:line="293" w:lineRule="auto"/>
        <w:ind w:left="283"/>
        <w:jc w:val="left"/>
      </w:pPr>
      <w:r>
        <w:rPr>
          <w:rFonts w:ascii="Times New Roman" w:hAnsi="Times New Roman" w:cs="Times New Roman"/>
          <w:b w:val="0"/>
          <w:i w:val="0"/>
          <w:sz w:val="22"/>
        </w:rPr>
        <w:t>- dual-use</w:t>
      </w:r>
    </w:p>
    <w:p>
      <w:pPr>
        <w:spacing w:after="80" w:line="293" w:lineRule="auto"/>
        <w:ind w:left="283"/>
        <w:jc w:val="left"/>
      </w:pPr>
      <w:r>
        <w:rPr>
          <w:rFonts w:ascii="Times New Roman" w:hAnsi="Times New Roman" w:cs="Times New Roman"/>
          <w:b w:val="0"/>
          <w:i w:val="0"/>
          <w:sz w:val="22"/>
        </w:rPr>
        <w:t>- military/strategic</w:t>
      </w:r>
    </w:p>
    <w:p>
      <w:pPr>
        <w:spacing w:after="80" w:line="293" w:lineRule="auto"/>
        <w:ind w:left="283"/>
        <w:jc w:val="left"/>
      </w:pPr>
      <w:r>
        <w:rPr>
          <w:rFonts w:ascii="Times New Roman" w:hAnsi="Times New Roman" w:cs="Times New Roman"/>
          <w:b w:val="0"/>
          <w:i w:val="0"/>
          <w:sz w:val="22"/>
        </w:rPr>
        <w:t>- chemicals</w:t>
      </w:r>
    </w:p>
    <w:p>
      <w:pPr>
        <w:spacing w:after="80" w:line="293" w:lineRule="auto"/>
        <w:ind w:left="283"/>
        <w:jc w:val="left"/>
      </w:pPr>
      <w:r>
        <w:rPr>
          <w:rFonts w:ascii="Times New Roman" w:hAnsi="Times New Roman" w:cs="Times New Roman"/>
          <w:b w:val="0"/>
          <w:i w:val="0"/>
          <w:sz w:val="22"/>
        </w:rPr>
        <w:t>- biological</w:t>
      </w:r>
    </w:p>
    <w:p>
      <w:pPr>
        <w:spacing w:after="80" w:line="293" w:lineRule="auto"/>
        <w:ind w:left="283"/>
        <w:jc w:val="left"/>
      </w:pPr>
      <w:r>
        <w:rPr>
          <w:rFonts w:ascii="Times New Roman" w:hAnsi="Times New Roman" w:cs="Times New Roman"/>
          <w:b w:val="0"/>
          <w:i w:val="0"/>
          <w:sz w:val="22"/>
        </w:rPr>
        <w:t>- radioactive</w:t>
      </w:r>
    </w:p>
    <w:p>
      <w:pPr>
        <w:spacing w:after="80" w:line="293" w:lineRule="auto"/>
        <w:ind w:left="283"/>
        <w:jc w:val="left"/>
      </w:pPr>
      <w:r>
        <w:rPr>
          <w:rFonts w:ascii="Times New Roman" w:hAnsi="Times New Roman" w:cs="Times New Roman"/>
          <w:b w:val="0"/>
          <w:i w:val="0"/>
          <w:sz w:val="22"/>
        </w:rPr>
        <w:t>- controlled medicine</w:t>
      </w:r>
    </w:p>
    <w:p>
      <w:pPr>
        <w:spacing w:after="80" w:line="293" w:lineRule="auto"/>
        <w:ind w:left="283"/>
        <w:jc w:val="left"/>
      </w:pPr>
      <w:r>
        <w:rPr>
          <w:rFonts w:ascii="Times New Roman" w:hAnsi="Times New Roman" w:cs="Times New Roman"/>
          <w:b w:val="0"/>
          <w:i w:val="0"/>
          <w:sz w:val="22"/>
        </w:rPr>
        <w:t>- weapons-related</w:t>
      </w:r>
    </w:p>
    <w:p>
      <w:pPr>
        <w:spacing w:after="80" w:line="293" w:lineRule="auto"/>
        <w:ind w:left="283"/>
        <w:jc w:val="left"/>
      </w:pPr>
      <w:r>
        <w:rPr>
          <w:rFonts w:ascii="Times New Roman" w:hAnsi="Times New Roman" w:cs="Times New Roman"/>
          <w:b w:val="0"/>
          <w:i w:val="0"/>
          <w:sz w:val="22"/>
        </w:rPr>
        <w:t>- cyber/advanced technology</w:t>
      </w:r>
    </w:p>
    <w:p>
      <w:pPr>
        <w:spacing w:after="80" w:line="293" w:lineRule="auto"/>
        <w:ind w:left="283"/>
        <w:jc w:val="left"/>
      </w:pPr>
      <w:r>
        <w:rPr>
          <w:rFonts w:ascii="Times New Roman" w:hAnsi="Times New Roman" w:cs="Times New Roman"/>
          <w:b w:val="0"/>
          <w:i w:val="0"/>
          <w:sz w:val="22"/>
        </w:rPr>
        <w:t>- CITES</w:t>
      </w:r>
    </w:p>
    <w:p>
      <w:pPr>
        <w:spacing w:after="80" w:line="293" w:lineRule="auto"/>
        <w:jc w:val="left"/>
      </w:pPr>
      <w:r>
        <w:rPr>
          <w:rFonts w:ascii="Times New Roman" w:hAnsi="Times New Roman" w:cs="Times New Roman"/>
          <w:b w:val="0"/>
          <w:i w:val="0"/>
          <w:sz w:val="22"/>
        </w:rPr>
        <w:t>and the associated control instruments:</w:t>
      </w:r>
    </w:p>
    <w:p>
      <w:pPr>
        <w:spacing w:after="80" w:line="293" w:lineRule="auto"/>
        <w:ind w:left="283"/>
        <w:jc w:val="left"/>
      </w:pPr>
      <w:r>
        <w:rPr>
          <w:rFonts w:ascii="Times New Roman" w:hAnsi="Times New Roman" w:cs="Times New Roman"/>
          <w:b w:val="0"/>
          <w:i w:val="0"/>
          <w:sz w:val="22"/>
        </w:rPr>
        <w:t>- export licenses</w:t>
      </w:r>
    </w:p>
    <w:p>
      <w:pPr>
        <w:spacing w:after="80" w:line="293" w:lineRule="auto"/>
        <w:ind w:left="283"/>
        <w:jc w:val="left"/>
      </w:pPr>
      <w:r>
        <w:rPr>
          <w:rFonts w:ascii="Times New Roman" w:hAnsi="Times New Roman" w:cs="Times New Roman"/>
          <w:b w:val="0"/>
          <w:i w:val="0"/>
          <w:sz w:val="22"/>
        </w:rPr>
        <w:t>- import licenses</w:t>
      </w:r>
    </w:p>
    <w:p>
      <w:pPr>
        <w:spacing w:after="80" w:line="293" w:lineRule="auto"/>
        <w:ind w:left="283"/>
        <w:jc w:val="left"/>
      </w:pPr>
      <w:r>
        <w:rPr>
          <w:rFonts w:ascii="Times New Roman" w:hAnsi="Times New Roman" w:cs="Times New Roman"/>
          <w:b w:val="0"/>
          <w:i w:val="0"/>
          <w:sz w:val="22"/>
        </w:rPr>
        <w:t>- end-user statements</w:t>
      </w:r>
    </w:p>
    <w:p>
      <w:pPr>
        <w:spacing w:after="80" w:line="293" w:lineRule="auto"/>
        <w:ind w:left="283"/>
        <w:jc w:val="left"/>
      </w:pPr>
      <w:r>
        <w:rPr>
          <w:rFonts w:ascii="Times New Roman" w:hAnsi="Times New Roman" w:cs="Times New Roman"/>
          <w:b w:val="0"/>
          <w:i w:val="0"/>
          <w:sz w:val="22"/>
        </w:rPr>
        <w:t>- end-use certificates</w:t>
      </w:r>
    </w:p>
    <w:p>
      <w:pPr>
        <w:spacing w:after="80" w:line="293" w:lineRule="auto"/>
        <w:ind w:left="283"/>
        <w:jc w:val="left"/>
      </w:pPr>
      <w:r>
        <w:rPr>
          <w:rFonts w:ascii="Times New Roman" w:hAnsi="Times New Roman" w:cs="Times New Roman"/>
          <w:b w:val="0"/>
          <w:i w:val="0"/>
          <w:sz w:val="22"/>
        </w:rPr>
        <w:t>- re-export restrictions</w:t>
      </w:r>
    </w:p>
    <w:p>
      <w:pPr>
        <w:spacing w:after="80" w:line="293" w:lineRule="auto"/>
        <w:ind w:left="283"/>
        <w:jc w:val="left"/>
      </w:pPr>
      <w:r>
        <w:rPr>
          <w:rFonts w:ascii="Times New Roman" w:hAnsi="Times New Roman" w:cs="Times New Roman"/>
          <w:b w:val="0"/>
          <w:i w:val="0"/>
          <w:sz w:val="22"/>
        </w:rPr>
        <w:t>- transit controls</w:t>
      </w:r>
    </w:p>
    <w:p>
      <w:pPr>
        <w:keepNext/>
        <w:spacing w:before="240" w:after="100"/>
        <w:outlineLvl w:val="1"/>
      </w:pPr>
      <w:r>
        <w:rPr>
          <w:rFonts w:ascii="Arial" w:hAnsi="Arial" w:cs="Arial"/>
          <w:b/>
          <w:i w:val="0"/>
          <w:color w:val="2E528F"/>
          <w:sz w:val="26"/>
        </w:rPr>
        <w:t>20.22 Sanctions Engine</w:t>
      </w:r>
    </w:p>
    <w:p>
      <w:pPr>
        <w:spacing w:after="80" w:line="293" w:lineRule="auto"/>
        <w:jc w:val="left"/>
      </w:pPr>
      <w:r>
        <w:rPr>
          <w:rFonts w:ascii="Times New Roman" w:hAnsi="Times New Roman" w:cs="Times New Roman"/>
          <w:b w:val="0"/>
          <w:i w:val="0"/>
          <w:sz w:val="22"/>
        </w:rPr>
        <w:t>The Sanctions Engine screens:</w:t>
      </w:r>
    </w:p>
    <w:p>
      <w:pPr>
        <w:spacing w:after="80" w:line="293" w:lineRule="auto"/>
        <w:ind w:left="283"/>
        <w:jc w:val="left"/>
      </w:pPr>
      <w:r>
        <w:rPr>
          <w:rFonts w:ascii="Times New Roman" w:hAnsi="Times New Roman" w:cs="Times New Roman"/>
          <w:b w:val="0"/>
          <w:i w:val="0"/>
          <w:sz w:val="22"/>
        </w:rPr>
        <w:t>- trader</w:t>
      </w:r>
    </w:p>
    <w:p>
      <w:pPr>
        <w:spacing w:after="80" w:line="293" w:lineRule="auto"/>
        <w:ind w:left="283"/>
        <w:jc w:val="left"/>
      </w:pPr>
      <w:r>
        <w:rPr>
          <w:rFonts w:ascii="Times New Roman" w:hAnsi="Times New Roman" w:cs="Times New Roman"/>
          <w:b w:val="0"/>
          <w:i w:val="0"/>
          <w:sz w:val="22"/>
        </w:rPr>
        <w:t>- seller</w:t>
      </w:r>
    </w:p>
    <w:p>
      <w:pPr>
        <w:spacing w:after="80" w:line="293" w:lineRule="auto"/>
        <w:ind w:left="283"/>
        <w:jc w:val="left"/>
      </w:pPr>
      <w:r>
        <w:rPr>
          <w:rFonts w:ascii="Times New Roman" w:hAnsi="Times New Roman" w:cs="Times New Roman"/>
          <w:b w:val="0"/>
          <w:i w:val="0"/>
          <w:sz w:val="22"/>
        </w:rPr>
        <w:t>- buyer</w:t>
      </w:r>
    </w:p>
    <w:p>
      <w:pPr>
        <w:spacing w:after="80" w:line="293" w:lineRule="auto"/>
        <w:ind w:left="283"/>
        <w:jc w:val="left"/>
      </w:pPr>
      <w:r>
        <w:rPr>
          <w:rFonts w:ascii="Times New Roman" w:hAnsi="Times New Roman" w:cs="Times New Roman"/>
          <w:b w:val="0"/>
          <w:i w:val="0"/>
          <w:sz w:val="22"/>
        </w:rPr>
        <w:t>- UBO (ultimate beneficial owner)</w:t>
      </w:r>
    </w:p>
    <w:p>
      <w:pPr>
        <w:spacing w:after="80" w:line="293" w:lineRule="auto"/>
        <w:ind w:left="283"/>
        <w:jc w:val="left"/>
      </w:pPr>
      <w:r>
        <w:rPr>
          <w:rFonts w:ascii="Times New Roman" w:hAnsi="Times New Roman" w:cs="Times New Roman"/>
          <w:b w:val="0"/>
          <w:i w:val="0"/>
          <w:sz w:val="22"/>
        </w:rPr>
        <w:t>- banks</w:t>
      </w:r>
    </w:p>
    <w:p>
      <w:pPr>
        <w:spacing w:after="80" w:line="293" w:lineRule="auto"/>
        <w:ind w:left="283"/>
        <w:jc w:val="left"/>
      </w:pPr>
      <w:r>
        <w:rPr>
          <w:rFonts w:ascii="Times New Roman" w:hAnsi="Times New Roman" w:cs="Times New Roman"/>
          <w:b w:val="0"/>
          <w:i w:val="0"/>
          <w:sz w:val="22"/>
        </w:rPr>
        <w:t>- logistics providers</w:t>
      </w:r>
    </w:p>
    <w:p>
      <w:pPr>
        <w:spacing w:after="80" w:line="293" w:lineRule="auto"/>
        <w:ind w:left="283"/>
        <w:jc w:val="left"/>
      </w:pPr>
      <w:r>
        <w:rPr>
          <w:rFonts w:ascii="Times New Roman" w:hAnsi="Times New Roman" w:cs="Times New Roman"/>
          <w:b w:val="0"/>
          <w:i w:val="0"/>
          <w:sz w:val="22"/>
        </w:rPr>
        <w:t>- vessels</w:t>
      </w:r>
    </w:p>
    <w:p>
      <w:pPr>
        <w:spacing w:after="80" w:line="293" w:lineRule="auto"/>
        <w:ind w:left="283"/>
        <w:jc w:val="left"/>
      </w:pPr>
      <w:r>
        <w:rPr>
          <w:rFonts w:ascii="Times New Roman" w:hAnsi="Times New Roman" w:cs="Times New Roman"/>
          <w:b w:val="0"/>
          <w:i w:val="0"/>
          <w:sz w:val="22"/>
        </w:rPr>
        <w:t>- aircraft</w:t>
      </w:r>
    </w:p>
    <w:p>
      <w:pPr>
        <w:spacing w:after="80" w:line="293" w:lineRule="auto"/>
        <w:ind w:left="283"/>
        <w:jc w:val="left"/>
      </w:pPr>
      <w:r>
        <w:rPr>
          <w:rFonts w:ascii="Times New Roman" w:hAnsi="Times New Roman" w:cs="Times New Roman"/>
          <w:b w:val="0"/>
          <w:i w:val="0"/>
          <w:sz w:val="22"/>
        </w:rPr>
        <w:t>- ports</w:t>
      </w:r>
    </w:p>
    <w:p>
      <w:pPr>
        <w:spacing w:after="80" w:line="293" w:lineRule="auto"/>
        <w:ind w:left="283"/>
        <w:jc w:val="left"/>
      </w:pPr>
      <w:r>
        <w:rPr>
          <w:rFonts w:ascii="Times New Roman" w:hAnsi="Times New Roman" w:cs="Times New Roman"/>
          <w:b w:val="0"/>
          <w:i w:val="0"/>
          <w:sz w:val="22"/>
        </w:rPr>
        <w:t>- relevant intermediaries</w:t>
      </w:r>
    </w:p>
    <w:p>
      <w:pPr>
        <w:spacing w:after="80" w:line="293" w:lineRule="auto"/>
        <w:jc w:val="left"/>
      </w:pPr>
      <w:r>
        <w:rPr>
          <w:rFonts w:ascii="Times New Roman" w:hAnsi="Times New Roman" w:cs="Times New Roman"/>
          <w:b w:val="0"/>
          <w:i w:val="0"/>
          <w:sz w:val="22"/>
        </w:rPr>
        <w:t>States: CLEAR, POTENTIAL_MATCH, ENHANCED_DD (enhanced due diligence), BLOCKED. AI assists screening; tier A4 enforces outcomes (see Article 20.127).</w:t>
      </w:r>
    </w:p>
    <w:p>
      <w:pPr>
        <w:keepNext/>
        <w:spacing w:before="240" w:after="100"/>
        <w:outlineLvl w:val="1"/>
      </w:pPr>
      <w:r>
        <w:rPr>
          <w:rFonts w:ascii="Arial" w:hAnsi="Arial" w:cs="Arial"/>
          <w:b/>
          <w:i w:val="0"/>
          <w:color w:val="2E528F"/>
          <w:sz w:val="26"/>
        </w:rPr>
        <w:t>20.23 Customs Valuation Engine</w:t>
      </w:r>
    </w:p>
    <w:p>
      <w:pPr>
        <w:spacing w:after="80" w:line="293" w:lineRule="auto"/>
        <w:jc w:val="left"/>
      </w:pPr>
      <w:r>
        <w:rPr>
          <w:rFonts w:ascii="Times New Roman" w:hAnsi="Times New Roman" w:cs="Times New Roman"/>
          <w:b w:val="0"/>
          <w:i w:val="0"/>
          <w:sz w:val="22"/>
        </w:rPr>
        <w:t>The Customs Valuation Engine calculates and validates:</w:t>
      </w:r>
    </w:p>
    <w:p>
      <w:pPr>
        <w:spacing w:after="80" w:line="293" w:lineRule="auto"/>
        <w:ind w:left="283"/>
        <w:jc w:val="left"/>
      </w:pPr>
      <w:r>
        <w:rPr>
          <w:rFonts w:ascii="Times New Roman" w:hAnsi="Times New Roman" w:cs="Times New Roman"/>
          <w:b w:val="0"/>
          <w:i w:val="0"/>
          <w:sz w:val="22"/>
        </w:rPr>
        <w:t>- transaction value</w:t>
      </w:r>
    </w:p>
    <w:p>
      <w:pPr>
        <w:spacing w:after="80" w:line="293" w:lineRule="auto"/>
        <w:ind w:left="283"/>
        <w:jc w:val="left"/>
      </w:pPr>
      <w:r>
        <w:rPr>
          <w:rFonts w:ascii="Times New Roman" w:hAnsi="Times New Roman" w:cs="Times New Roman"/>
          <w:b w:val="0"/>
          <w:i w:val="0"/>
          <w:sz w:val="22"/>
        </w:rPr>
        <w:t>- freight</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assists</w:t>
      </w:r>
    </w:p>
    <w:p>
      <w:pPr>
        <w:spacing w:after="80" w:line="293" w:lineRule="auto"/>
        <w:ind w:left="283"/>
        <w:jc w:val="left"/>
      </w:pPr>
      <w:r>
        <w:rPr>
          <w:rFonts w:ascii="Times New Roman" w:hAnsi="Times New Roman" w:cs="Times New Roman"/>
          <w:b w:val="0"/>
          <w:i w:val="0"/>
          <w:sz w:val="22"/>
        </w:rPr>
        <w:t>- royalties</w:t>
      </w:r>
    </w:p>
    <w:p>
      <w:pPr>
        <w:spacing w:after="80" w:line="293" w:lineRule="auto"/>
        <w:ind w:left="283"/>
        <w:jc w:val="left"/>
      </w:pPr>
      <w:r>
        <w:rPr>
          <w:rFonts w:ascii="Times New Roman" w:hAnsi="Times New Roman" w:cs="Times New Roman"/>
          <w:b w:val="0"/>
          <w:i w:val="0"/>
          <w:sz w:val="22"/>
        </w:rPr>
        <w:t>- commissions</w:t>
      </w:r>
    </w:p>
    <w:p>
      <w:pPr>
        <w:spacing w:after="80" w:line="293" w:lineRule="auto"/>
        <w:ind w:left="283"/>
        <w:jc w:val="left"/>
      </w:pPr>
      <w:r>
        <w:rPr>
          <w:rFonts w:ascii="Times New Roman" w:hAnsi="Times New Roman" w:cs="Times New Roman"/>
          <w:b w:val="0"/>
          <w:i w:val="0"/>
          <w:sz w:val="22"/>
        </w:rPr>
        <w:t>- related-party adjustments</w:t>
      </w:r>
    </w:p>
    <w:p>
      <w:pPr>
        <w:spacing w:after="80" w:line="293" w:lineRule="auto"/>
        <w:ind w:left="283"/>
        <w:jc w:val="left"/>
      </w:pPr>
      <w:r>
        <w:rPr>
          <w:rFonts w:ascii="Times New Roman" w:hAnsi="Times New Roman" w:cs="Times New Roman"/>
          <w:b w:val="0"/>
          <w:i w:val="0"/>
          <w:sz w:val="22"/>
        </w:rPr>
        <w:t>- currency</w:t>
      </w:r>
    </w:p>
    <w:p>
      <w:pPr>
        <w:spacing w:after="80" w:line="293" w:lineRule="auto"/>
        <w:ind w:left="283"/>
        <w:jc w:val="left"/>
      </w:pPr>
      <w:r>
        <w:rPr>
          <w:rFonts w:ascii="Times New Roman" w:hAnsi="Times New Roman" w:cs="Times New Roman"/>
          <w:b w:val="0"/>
          <w:i w:val="0"/>
          <w:sz w:val="22"/>
        </w:rPr>
        <w:t>- customs valuation method</w:t>
      </w:r>
    </w:p>
    <w:p>
      <w:pPr>
        <w:spacing w:after="80" w:line="293" w:lineRule="auto"/>
        <w:ind w:left="283"/>
        <w:jc w:val="left"/>
      </w:pPr>
      <w:r>
        <w:rPr>
          <w:rFonts w:ascii="Times New Roman" w:hAnsi="Times New Roman" w:cs="Times New Roman"/>
          <w:b w:val="0"/>
          <w:i w:val="0"/>
          <w:sz w:val="22"/>
        </w:rPr>
        <w:t>- tax base</w:t>
      </w:r>
    </w:p>
    <w:p>
      <w:pPr>
        <w:keepNext/>
        <w:spacing w:before="240" w:after="100"/>
        <w:outlineLvl w:val="1"/>
      </w:pPr>
      <w:r>
        <w:rPr>
          <w:rFonts w:ascii="Arial" w:hAnsi="Arial" w:cs="Arial"/>
          <w:b/>
          <w:i w:val="0"/>
          <w:color w:val="2E528F"/>
          <w:sz w:val="26"/>
        </w:rPr>
        <w:t>20.24 True Landed Cost Engine</w:t>
      </w:r>
    </w:p>
    <w:p>
      <w:pPr>
        <w:spacing w:after="80" w:line="293" w:lineRule="auto"/>
        <w:jc w:val="left"/>
      </w:pPr>
      <w:r>
        <w:rPr>
          <w:rFonts w:ascii="Times New Roman" w:hAnsi="Times New Roman" w:cs="Times New Roman"/>
          <w:b w:val="0"/>
          <w:i w:val="0"/>
          <w:sz w:val="22"/>
        </w:rPr>
        <w:t>The True Landed Cost Engine calculates:</w:t>
      </w:r>
    </w:p>
    <w:p>
      <w:pPr>
        <w:spacing w:after="0" w:before="0" w:line="240" w:lineRule="auto"/>
        <w:ind w:left="57"/>
        <w:jc w:val="left"/>
        <w:shd w:val="clear" w:fill="F2F2F2"/>
      </w:pPr>
      <w:r>
        <w:rPr>
          <w:rFonts w:ascii="Consolas" w:hAnsi="Consolas" w:cs="Consolas"/>
          <w:b w:val="0"/>
          <w:i w:val="0"/>
          <w:sz w:val="15"/>
        </w:rPr>
        <w:t>GOODS + ORIGIN COST + PACKAGING + INLAND + EXPORT CLEARANCE + CERTIFICATES +</w:t>
      </w:r>
    </w:p>
    <w:p>
      <w:pPr>
        <w:spacing w:after="0" w:before="0" w:line="240" w:lineRule="auto"/>
        <w:ind w:left="57"/>
        <w:jc w:val="left"/>
        <w:shd w:val="clear" w:fill="F2F2F2"/>
      </w:pPr>
      <w:r>
        <w:rPr>
          <w:rFonts w:ascii="Consolas" w:hAnsi="Consolas" w:cs="Consolas"/>
          <w:b w:val="0"/>
          <w:i w:val="0"/>
          <w:sz w:val="15"/>
        </w:rPr>
        <w:t>INSPECTION + INSURANCE + INTERNATIONAL FREIGHT + TRANSIT + DESTINATION HANDLING +</w:t>
      </w:r>
    </w:p>
    <w:p>
      <w:pPr>
        <w:spacing w:after="0" w:before="0" w:line="240" w:lineRule="auto"/>
        <w:ind w:left="57"/>
        <w:jc w:val="left"/>
        <w:shd w:val="clear" w:fill="F2F2F2"/>
      </w:pPr>
      <w:r>
        <w:rPr>
          <w:rFonts w:ascii="Consolas" w:hAnsi="Consolas" w:cs="Consolas"/>
          <w:b w:val="0"/>
          <w:i w:val="0"/>
          <w:sz w:val="15"/>
        </w:rPr>
        <w:t>DUTY + VAT/GST + EXCISE + BROKER + LOCAL DELIVERY + OTHER FEES + SGTX FEES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VAT/GST denotes value-added tax / goods and services tax. This becomes a decision-support component before trade lock.</w:t>
      </w:r>
    </w:p>
    <w:p>
      <w:pPr>
        <w:keepNext/>
        <w:spacing w:before="240" w:after="100"/>
        <w:outlineLvl w:val="1"/>
      </w:pPr>
      <w:r>
        <w:rPr>
          <w:rFonts w:ascii="Arial" w:hAnsi="Arial" w:cs="Arial"/>
          <w:b/>
          <w:i w:val="0"/>
          <w:color w:val="2E528F"/>
          <w:sz w:val="26"/>
        </w:rPr>
        <w:t>20.25 Order Management</w:t>
      </w:r>
    </w:p>
    <w:p>
      <w:pPr>
        <w:spacing w:after="80" w:line="293" w:lineRule="auto"/>
        <w:jc w:val="left"/>
      </w:pPr>
      <w:r>
        <w:rPr>
          <w:rFonts w:ascii="Times New Roman" w:hAnsi="Times New Roman" w:cs="Times New Roman"/>
          <w:b w:val="0"/>
          <w:i w:val="0"/>
          <w:sz w:val="22"/>
        </w:rPr>
        <w:t>The commercial flow expands to:</w:t>
      </w:r>
    </w:p>
    <w:p>
      <w:pPr>
        <w:spacing w:after="0" w:before="0" w:line="240" w:lineRule="auto"/>
        <w:ind w:left="57"/>
        <w:jc w:val="left"/>
        <w:shd w:val="clear" w:fill="F2F2F2"/>
      </w:pPr>
      <w:r>
        <w:rPr>
          <w:rFonts w:ascii="Consolas" w:hAnsi="Consolas" w:cs="Consolas"/>
          <w:b w:val="0"/>
          <w:i w:val="0"/>
          <w:sz w:val="15"/>
        </w:rPr>
        <w:t>RFQ → QUOTE → NEGOTIATION → PO → SO → PROFORMA → CONTRACT → FULFILLMENT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where PO denotes Purchase Order and SO denotes Sales Order. The engine supports:</w:t>
      </w:r>
    </w:p>
    <w:p>
      <w:pPr>
        <w:spacing w:after="80" w:line="293" w:lineRule="auto"/>
        <w:ind w:left="283"/>
        <w:jc w:val="left"/>
      </w:pPr>
      <w:r>
        <w:rPr>
          <w:rFonts w:ascii="Times New Roman" w:hAnsi="Times New Roman" w:cs="Times New Roman"/>
          <w:b w:val="0"/>
          <w:i w:val="0"/>
          <w:sz w:val="22"/>
        </w:rPr>
        <w:t>- partial fulfillment</w:t>
      </w:r>
    </w:p>
    <w:p>
      <w:pPr>
        <w:spacing w:after="80" w:line="293" w:lineRule="auto"/>
        <w:ind w:left="283"/>
        <w:jc w:val="left"/>
      </w:pPr>
      <w:r>
        <w:rPr>
          <w:rFonts w:ascii="Times New Roman" w:hAnsi="Times New Roman" w:cs="Times New Roman"/>
          <w:b w:val="0"/>
          <w:i w:val="0"/>
          <w:sz w:val="22"/>
        </w:rPr>
        <w:t>- order modification</w:t>
      </w:r>
    </w:p>
    <w:p>
      <w:pPr>
        <w:spacing w:after="80" w:line="293" w:lineRule="auto"/>
        <w:ind w:left="283"/>
        <w:jc w:val="left"/>
      </w:pPr>
      <w:r>
        <w:rPr>
          <w:rFonts w:ascii="Times New Roman" w:hAnsi="Times New Roman" w:cs="Times New Roman"/>
          <w:b w:val="0"/>
          <w:i w:val="0"/>
          <w:sz w:val="22"/>
        </w:rPr>
        <w:t>- cancellation</w:t>
      </w:r>
    </w:p>
    <w:p>
      <w:pPr>
        <w:spacing w:after="80" w:line="293" w:lineRule="auto"/>
        <w:ind w:left="283"/>
        <w:jc w:val="left"/>
      </w:pPr>
      <w:r>
        <w:rPr>
          <w:rFonts w:ascii="Times New Roman" w:hAnsi="Times New Roman" w:cs="Times New Roman"/>
          <w:b w:val="0"/>
          <w:i w:val="0"/>
          <w:sz w:val="22"/>
        </w:rPr>
        <w:t>- split shipment</w:t>
      </w:r>
    </w:p>
    <w:p>
      <w:pPr>
        <w:spacing w:after="80" w:line="293" w:lineRule="auto"/>
        <w:ind w:left="283"/>
        <w:jc w:val="left"/>
      </w:pPr>
      <w:r>
        <w:rPr>
          <w:rFonts w:ascii="Times New Roman" w:hAnsi="Times New Roman" w:cs="Times New Roman"/>
          <w:b w:val="0"/>
          <w:i w:val="0"/>
          <w:sz w:val="22"/>
        </w:rPr>
        <w:t>- backorder</w:t>
      </w:r>
    </w:p>
    <w:p>
      <w:pPr>
        <w:spacing w:after="80" w:line="293" w:lineRule="auto"/>
        <w:ind w:left="283"/>
        <w:jc w:val="left"/>
      </w:pPr>
      <w:r>
        <w:rPr>
          <w:rFonts w:ascii="Times New Roman" w:hAnsi="Times New Roman" w:cs="Times New Roman"/>
          <w:b w:val="0"/>
          <w:i w:val="0"/>
          <w:sz w:val="22"/>
        </w:rPr>
        <w:t>- replacement</w:t>
      </w:r>
    </w:p>
    <w:p>
      <w:pPr>
        <w:spacing w:after="80" w:line="293" w:lineRule="auto"/>
        <w:ind w:left="283"/>
        <w:jc w:val="left"/>
      </w:pPr>
      <w:r>
        <w:rPr>
          <w:rFonts w:ascii="Times New Roman" w:hAnsi="Times New Roman" w:cs="Times New Roman"/>
          <w:b w:val="0"/>
          <w:i w:val="0"/>
          <w:sz w:val="22"/>
        </w:rPr>
        <w:t>- return</w:t>
      </w:r>
    </w:p>
    <w:p>
      <w:pPr>
        <w:keepNext/>
        <w:spacing w:before="240" w:after="100"/>
        <w:outlineLvl w:val="1"/>
      </w:pPr>
      <w:r>
        <w:rPr>
          <w:rFonts w:ascii="Arial" w:hAnsi="Arial" w:cs="Arial"/>
          <w:b/>
          <w:i w:val="0"/>
          <w:color w:val="2E528F"/>
          <w:sz w:val="26"/>
        </w:rPr>
        <w:t>20.26 Incoterm Engine</w:t>
      </w:r>
    </w:p>
    <w:p>
      <w:pPr>
        <w:spacing w:after="80" w:line="293" w:lineRule="auto"/>
        <w:jc w:val="left"/>
      </w:pPr>
      <w:r>
        <w:rPr>
          <w:rFonts w:ascii="Times New Roman" w:hAnsi="Times New Roman" w:cs="Times New Roman"/>
          <w:b w:val="0"/>
          <w:i w:val="0"/>
          <w:sz w:val="22"/>
        </w:rPr>
        <w:t>The Incoterm Engine machine-reads each Incoterm into:</w:t>
      </w:r>
    </w:p>
    <w:p>
      <w:pPr>
        <w:spacing w:after="80" w:line="293" w:lineRule="auto"/>
        <w:ind w:left="283"/>
        <w:jc w:val="left"/>
      </w:pPr>
      <w:r>
        <w:rPr>
          <w:rFonts w:ascii="Times New Roman" w:hAnsi="Times New Roman" w:cs="Times New Roman"/>
          <w:b w:val="0"/>
          <w:i w:val="0"/>
          <w:sz w:val="22"/>
        </w:rPr>
        <w:t>- cost responsibility</w:t>
      </w:r>
    </w:p>
    <w:p>
      <w:pPr>
        <w:spacing w:after="80" w:line="293" w:lineRule="auto"/>
        <w:ind w:left="283"/>
        <w:jc w:val="left"/>
      </w:pPr>
      <w:r>
        <w:rPr>
          <w:rFonts w:ascii="Times New Roman" w:hAnsi="Times New Roman" w:cs="Times New Roman"/>
          <w:b w:val="0"/>
          <w:i w:val="0"/>
          <w:sz w:val="22"/>
        </w:rPr>
        <w:t>- risk responsibility</w:t>
      </w:r>
    </w:p>
    <w:p>
      <w:pPr>
        <w:spacing w:after="80" w:line="293" w:lineRule="auto"/>
        <w:ind w:left="283"/>
        <w:jc w:val="left"/>
      </w:pPr>
      <w:r>
        <w:rPr>
          <w:rFonts w:ascii="Times New Roman" w:hAnsi="Times New Roman" w:cs="Times New Roman"/>
          <w:b w:val="0"/>
          <w:i w:val="0"/>
          <w:sz w:val="22"/>
        </w:rPr>
        <w:t>- transport</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export clearance</w:t>
      </w:r>
    </w:p>
    <w:p>
      <w:pPr>
        <w:spacing w:after="80" w:line="293" w:lineRule="auto"/>
        <w:ind w:left="283"/>
        <w:jc w:val="left"/>
      </w:pPr>
      <w:r>
        <w:rPr>
          <w:rFonts w:ascii="Times New Roman" w:hAnsi="Times New Roman" w:cs="Times New Roman"/>
          <w:b w:val="0"/>
          <w:i w:val="0"/>
          <w:sz w:val="22"/>
        </w:rPr>
        <w:t>- import clearance</w:t>
      </w:r>
    </w:p>
    <w:p>
      <w:pPr>
        <w:spacing w:after="80" w:line="293" w:lineRule="auto"/>
        <w:ind w:left="283"/>
        <w:jc w:val="left"/>
      </w:pPr>
      <w:r>
        <w:rPr>
          <w:rFonts w:ascii="Times New Roman" w:hAnsi="Times New Roman" w:cs="Times New Roman"/>
          <w:b w:val="0"/>
          <w:i w:val="0"/>
          <w:sz w:val="22"/>
        </w:rPr>
        <w:t>- permits</w:t>
      </w:r>
    </w:p>
    <w:p>
      <w:pPr>
        <w:spacing w:after="80" w:line="293" w:lineRule="auto"/>
        <w:ind w:left="283"/>
        <w:jc w:val="left"/>
      </w:pPr>
      <w:r>
        <w:rPr>
          <w:rFonts w:ascii="Times New Roman" w:hAnsi="Times New Roman" w:cs="Times New Roman"/>
          <w:b w:val="0"/>
          <w:i w:val="0"/>
          <w:sz w:val="22"/>
        </w:rPr>
        <w:t>- duty</w:t>
      </w:r>
    </w:p>
    <w:p>
      <w:pPr>
        <w:spacing w:after="80" w:line="293" w:lineRule="auto"/>
        <w:ind w:left="283"/>
        <w:jc w:val="left"/>
      </w:pPr>
      <w:r>
        <w:rPr>
          <w:rFonts w:ascii="Times New Roman" w:hAnsi="Times New Roman" w:cs="Times New Roman"/>
          <w:b w:val="0"/>
          <w:i w:val="0"/>
          <w:sz w:val="22"/>
        </w:rPr>
        <w:t>- tax</w:t>
      </w:r>
    </w:p>
    <w:p>
      <w:pPr>
        <w:spacing w:after="80" w:line="293" w:lineRule="auto"/>
        <w:ind w:left="283"/>
        <w:jc w:val="left"/>
      </w:pPr>
      <w:r>
        <w:rPr>
          <w:rFonts w:ascii="Times New Roman" w:hAnsi="Times New Roman" w:cs="Times New Roman"/>
          <w:b w:val="0"/>
          <w:i w:val="0"/>
          <w:sz w:val="22"/>
        </w:rPr>
        <w:t>- documents</w:t>
      </w:r>
    </w:p>
    <w:p>
      <w:pPr>
        <w:spacing w:after="80" w:line="293" w:lineRule="auto"/>
        <w:ind w:left="283"/>
        <w:jc w:val="left"/>
      </w:pPr>
      <w:r>
        <w:rPr>
          <w:rFonts w:ascii="Times New Roman" w:hAnsi="Times New Roman" w:cs="Times New Roman"/>
          <w:b w:val="0"/>
          <w:i w:val="0"/>
          <w:sz w:val="22"/>
        </w:rPr>
        <w:t>- transfer point</w:t>
      </w:r>
    </w:p>
    <w:p>
      <w:pPr>
        <w:spacing w:after="80" w:line="293" w:lineRule="auto"/>
        <w:ind w:left="283"/>
        <w:jc w:val="left"/>
      </w:pPr>
      <w:r>
        <w:rPr>
          <w:rFonts w:ascii="Times New Roman" w:hAnsi="Times New Roman" w:cs="Times New Roman"/>
          <w:b w:val="0"/>
          <w:i w:val="0"/>
          <w:sz w:val="22"/>
        </w:rPr>
        <w:t>- delivery</w:t>
      </w:r>
    </w:p>
    <w:p>
      <w:pPr>
        <w:spacing w:after="80" w:line="293" w:lineRule="auto"/>
        <w:jc w:val="left"/>
      </w:pPr>
      <w:r>
        <w:rPr>
          <w:rFonts w:ascii="Times New Roman" w:hAnsi="Times New Roman" w:cs="Times New Roman"/>
          <w:b w:val="0"/>
          <w:i w:val="0"/>
          <w:sz w:val="22"/>
        </w:rPr>
        <w:t>The platform ties transport configuration and Incoterms to the trade request at initiation (see Section 6).</w:t>
      </w:r>
    </w:p>
    <w:p>
      <w:pPr>
        <w:keepNext/>
        <w:spacing w:before="240" w:after="100"/>
        <w:outlineLvl w:val="1"/>
      </w:pPr>
      <w:r>
        <w:rPr>
          <w:rFonts w:ascii="Arial" w:hAnsi="Arial" w:cs="Arial"/>
          <w:b/>
          <w:i w:val="0"/>
          <w:color w:val="2E528F"/>
          <w:sz w:val="26"/>
        </w:rPr>
        <w:t>20.27 Unified Document Engine</w:t>
      </w:r>
    </w:p>
    <w:p>
      <w:pPr>
        <w:spacing w:after="80" w:line="293" w:lineRule="auto"/>
        <w:jc w:val="left"/>
      </w:pPr>
      <w:r>
        <w:rPr>
          <w:rFonts w:ascii="Times New Roman" w:hAnsi="Times New Roman" w:cs="Times New Roman"/>
          <w:b w:val="0"/>
          <w:i w:val="0"/>
          <w:sz w:val="22"/>
        </w:rPr>
        <w:t>All documents remain centralized in one engine. Documents are classified as:</w:t>
      </w:r>
    </w:p>
    <w:p>
      <w:pPr>
        <w:spacing w:after="80" w:line="293" w:lineRule="auto"/>
        <w:ind w:left="283"/>
        <w:jc w:val="left"/>
      </w:pPr>
      <w:r>
        <w:rPr>
          <w:rFonts w:ascii="Times New Roman" w:hAnsi="Times New Roman" w:cs="Times New Roman"/>
          <w:b w:val="0"/>
          <w:i w:val="0"/>
          <w:sz w:val="22"/>
        </w:rPr>
        <w:t>- COMMERCIAL</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REGULATORY</w:t>
      </w:r>
    </w:p>
    <w:p>
      <w:pPr>
        <w:spacing w:after="80" w:line="293" w:lineRule="auto"/>
        <w:ind w:left="283"/>
        <w:jc w:val="left"/>
      </w:pPr>
      <w:r>
        <w:rPr>
          <w:rFonts w:ascii="Times New Roman" w:hAnsi="Times New Roman" w:cs="Times New Roman"/>
          <w:b w:val="0"/>
          <w:i w:val="0"/>
          <w:sz w:val="22"/>
        </w:rPr>
        <w:t>- TRANSPORT</w:t>
      </w:r>
    </w:p>
    <w:p>
      <w:pPr>
        <w:spacing w:after="80" w:line="293" w:lineRule="auto"/>
        <w:ind w:left="283"/>
        <w:jc w:val="left"/>
      </w:pPr>
      <w:r>
        <w:rPr>
          <w:rFonts w:ascii="Times New Roman" w:hAnsi="Times New Roman" w:cs="Times New Roman"/>
          <w:b w:val="0"/>
          <w:i w:val="0"/>
          <w:sz w:val="22"/>
        </w:rPr>
        <w:t>- FINANCIAL</w:t>
      </w:r>
    </w:p>
    <w:p>
      <w:pPr>
        <w:spacing w:after="80" w:line="293" w:lineRule="auto"/>
        <w:ind w:left="283"/>
        <w:jc w:val="left"/>
      </w:pPr>
      <w:r>
        <w:rPr>
          <w:rFonts w:ascii="Times New Roman" w:hAnsi="Times New Roman" w:cs="Times New Roman"/>
          <w:b w:val="0"/>
          <w:i w:val="0"/>
          <w:sz w:val="22"/>
        </w:rPr>
        <w:t>- SECURITY</w:t>
      </w:r>
    </w:p>
    <w:p>
      <w:pPr>
        <w:spacing w:after="80" w:line="293" w:lineRule="auto"/>
        <w:ind w:left="283"/>
        <w:jc w:val="left"/>
      </w:pPr>
      <w:r>
        <w:rPr>
          <w:rFonts w:ascii="Times New Roman" w:hAnsi="Times New Roman" w:cs="Times New Roman"/>
          <w:b w:val="0"/>
          <w:i w:val="0"/>
          <w:sz w:val="22"/>
        </w:rPr>
        <w:t>- INSURANCE</w:t>
      </w:r>
    </w:p>
    <w:p>
      <w:pPr>
        <w:spacing w:after="80" w:line="293" w:lineRule="auto"/>
        <w:jc w:val="left"/>
      </w:pPr>
      <w:r>
        <w:rPr>
          <w:rFonts w:ascii="Times New Roman" w:hAnsi="Times New Roman" w:cs="Times New Roman"/>
          <w:b w:val="0"/>
          <w:i w:val="0"/>
          <w:sz w:val="22"/>
        </w:rPr>
        <w:t>Each class carries legal metadata.</w:t>
      </w:r>
    </w:p>
    <w:p>
      <w:pPr>
        <w:keepNext/>
        <w:spacing w:before="240" w:after="100"/>
        <w:outlineLvl w:val="1"/>
      </w:pPr>
      <w:r>
        <w:rPr>
          <w:rFonts w:ascii="Arial" w:hAnsi="Arial" w:cs="Arial"/>
          <w:b/>
          <w:i w:val="0"/>
          <w:color w:val="2E528F"/>
          <w:sz w:val="26"/>
        </w:rPr>
        <w:t>20.28 Document Consistency Engine</w:t>
      </w:r>
    </w:p>
    <w:p>
      <w:pPr>
        <w:spacing w:after="80" w:line="293" w:lineRule="auto"/>
        <w:jc w:val="left"/>
      </w:pPr>
      <w:r>
        <w:rPr>
          <w:rFonts w:ascii="Times New Roman" w:hAnsi="Times New Roman" w:cs="Times New Roman"/>
          <w:b w:val="0"/>
          <w:i w:val="0"/>
          <w:sz w:val="22"/>
        </w:rPr>
        <w:t>The Document Consistency Engine cross-checks:</w:t>
      </w:r>
    </w:p>
    <w:p>
      <w:pPr>
        <w:spacing w:after="80" w:line="293" w:lineRule="auto"/>
        <w:ind w:left="283"/>
        <w:jc w:val="left"/>
      </w:pPr>
      <w:r>
        <w:rPr>
          <w:rFonts w:ascii="Times New Roman" w:hAnsi="Times New Roman" w:cs="Times New Roman"/>
          <w:b w:val="0"/>
          <w:i w:val="0"/>
          <w:sz w:val="22"/>
        </w:rPr>
        <w:t>- order</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invoice</w:t>
      </w:r>
    </w:p>
    <w:p>
      <w:pPr>
        <w:spacing w:after="80" w:line="293" w:lineRule="auto"/>
        <w:ind w:left="283"/>
        <w:jc w:val="left"/>
      </w:pPr>
      <w:r>
        <w:rPr>
          <w:rFonts w:ascii="Times New Roman" w:hAnsi="Times New Roman" w:cs="Times New Roman"/>
          <w:b w:val="0"/>
          <w:i w:val="0"/>
          <w:sz w:val="22"/>
        </w:rPr>
        <w:t>- packing list</w:t>
      </w:r>
    </w:p>
    <w:p>
      <w:pPr>
        <w:spacing w:after="80" w:line="293" w:lineRule="auto"/>
        <w:ind w:left="283"/>
        <w:jc w:val="left"/>
      </w:pPr>
      <w:r>
        <w:rPr>
          <w:rFonts w:ascii="Times New Roman" w:hAnsi="Times New Roman" w:cs="Times New Roman"/>
          <w:b w:val="0"/>
          <w:i w:val="0"/>
          <w:sz w:val="22"/>
        </w:rPr>
        <w:t>- COO</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customs declarations</w:t>
      </w:r>
    </w:p>
    <w:p>
      <w:pPr>
        <w:spacing w:after="80" w:line="293" w:lineRule="auto"/>
        <w:ind w:left="283"/>
        <w:jc w:val="left"/>
      </w:pPr>
      <w:r>
        <w:rPr>
          <w:rFonts w:ascii="Times New Roman" w:hAnsi="Times New Roman" w:cs="Times New Roman"/>
          <w:b w:val="0"/>
          <w:i w:val="0"/>
          <w:sz w:val="22"/>
        </w:rPr>
        <w:t>- AWB (Air Waybill)</w:t>
      </w:r>
    </w:p>
    <w:p>
      <w:pPr>
        <w:spacing w:after="80" w:line="293" w:lineRule="auto"/>
        <w:ind w:left="283"/>
        <w:jc w:val="left"/>
      </w:pPr>
      <w:r>
        <w:rPr>
          <w:rFonts w:ascii="Times New Roman" w:hAnsi="Times New Roman" w:cs="Times New Roman"/>
          <w:b w:val="0"/>
          <w:i w:val="0"/>
          <w:sz w:val="22"/>
        </w:rPr>
        <w:t>- B/L (Bill of Lading)</w:t>
      </w:r>
    </w:p>
    <w:p>
      <w:pPr>
        <w:spacing w:after="80" w:line="293" w:lineRule="auto"/>
        <w:ind w:left="283"/>
        <w:jc w:val="left"/>
      </w:pPr>
      <w:r>
        <w:rPr>
          <w:rFonts w:ascii="Times New Roman" w:hAnsi="Times New Roman" w:cs="Times New Roman"/>
          <w:b w:val="0"/>
          <w:i w:val="0"/>
          <w:sz w:val="22"/>
        </w:rPr>
        <w:t>- e-CMR (electronic consignment note for international road transport)</w:t>
      </w:r>
    </w:p>
    <w:p>
      <w:pPr>
        <w:spacing w:after="80" w:line="293" w:lineRule="auto"/>
        <w:ind w:left="283"/>
        <w:jc w:val="left"/>
      </w:pPr>
      <w:r>
        <w:rPr>
          <w:rFonts w:ascii="Times New Roman" w:hAnsi="Times New Roman" w:cs="Times New Roman"/>
          <w:b w:val="0"/>
          <w:i w:val="0"/>
          <w:sz w:val="22"/>
        </w:rPr>
        <w:t>- RoRo documents</w:t>
      </w:r>
    </w:p>
    <w:p>
      <w:pPr>
        <w:spacing w:after="80" w:line="293" w:lineRule="auto"/>
        <w:ind w:left="283"/>
        <w:jc w:val="left"/>
      </w:pPr>
      <w:r>
        <w:rPr>
          <w:rFonts w:ascii="Times New Roman" w:hAnsi="Times New Roman" w:cs="Times New Roman"/>
          <w:b w:val="0"/>
          <w:i w:val="0"/>
          <w:sz w:val="22"/>
        </w:rPr>
        <w:t>- permits</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manifest</w:t>
      </w:r>
    </w:p>
    <w:p>
      <w:pPr>
        <w:spacing w:after="80" w:line="293" w:lineRule="auto"/>
        <w:ind w:left="283"/>
        <w:jc w:val="left"/>
      </w:pPr>
      <w:r>
        <w:rPr>
          <w:rFonts w:ascii="Times New Roman" w:hAnsi="Times New Roman" w:cs="Times New Roman"/>
          <w:b w:val="0"/>
          <w:i w:val="0"/>
          <w:sz w:val="22"/>
        </w:rPr>
        <w:t>- settlement records</w:t>
      </w:r>
    </w:p>
    <w:p>
      <w:pPr>
        <w:spacing w:after="80" w:line="293" w:lineRule="auto"/>
        <w:jc w:val="left"/>
      </w:pPr>
      <w:r>
        <w:rPr>
          <w:rFonts w:ascii="Times New Roman" w:hAnsi="Times New Roman" w:cs="Times New Roman"/>
          <w:b w:val="0"/>
          <w:i w:val="0"/>
          <w:sz w:val="22"/>
        </w:rPr>
        <w:t>It checks:</w:t>
      </w:r>
    </w:p>
    <w:p>
      <w:pPr>
        <w:spacing w:after="80" w:line="293" w:lineRule="auto"/>
        <w:ind w:left="283"/>
        <w:jc w:val="left"/>
      </w:pPr>
      <w:r>
        <w:rPr>
          <w:rFonts w:ascii="Times New Roman" w:hAnsi="Times New Roman" w:cs="Times New Roman"/>
          <w:b w:val="0"/>
          <w:i w:val="0"/>
          <w:sz w:val="22"/>
        </w:rPr>
        <w:t>- party</w:t>
      </w:r>
    </w:p>
    <w:p>
      <w:pPr>
        <w:spacing w:after="80" w:line="293" w:lineRule="auto"/>
        <w:ind w:left="283"/>
        <w:jc w:val="left"/>
      </w:pPr>
      <w:r>
        <w:rPr>
          <w:rFonts w:ascii="Times New Roman" w:hAnsi="Times New Roman" w:cs="Times New Roman"/>
          <w:b w:val="0"/>
          <w:i w:val="0"/>
          <w:sz w:val="22"/>
        </w:rPr>
        <w:t>- quantity</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value</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currency</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dates</w:t>
      </w:r>
    </w:p>
    <w:p>
      <w:pPr>
        <w:spacing w:after="80" w:line="293" w:lineRule="auto"/>
        <w:ind w:left="283"/>
        <w:jc w:val="left"/>
      </w:pPr>
      <w:r>
        <w:rPr>
          <w:rFonts w:ascii="Times New Roman" w:hAnsi="Times New Roman" w:cs="Times New Roman"/>
          <w:b w:val="0"/>
          <w:i w:val="0"/>
          <w:sz w:val="22"/>
        </w:rPr>
        <w:t>- transport identity</w:t>
      </w:r>
    </w:p>
    <w:p>
      <w:pPr>
        <w:keepNext/>
        <w:spacing w:before="240" w:after="100"/>
        <w:outlineLvl w:val="1"/>
      </w:pPr>
      <w:r>
        <w:rPr>
          <w:rFonts w:ascii="Arial" w:hAnsi="Arial" w:cs="Arial"/>
          <w:b/>
          <w:i w:val="0"/>
          <w:color w:val="2E528F"/>
          <w:sz w:val="26"/>
        </w:rPr>
        <w:t>20.29 Document Authentication / Legalization</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chamber authentication</w:t>
      </w:r>
    </w:p>
    <w:p>
      <w:pPr>
        <w:spacing w:after="80" w:line="293" w:lineRule="auto"/>
        <w:ind w:left="283"/>
        <w:jc w:val="left"/>
      </w:pPr>
      <w:r>
        <w:rPr>
          <w:rFonts w:ascii="Times New Roman" w:hAnsi="Times New Roman" w:cs="Times New Roman"/>
          <w:b w:val="0"/>
          <w:i w:val="0"/>
          <w:sz w:val="22"/>
        </w:rPr>
        <w:t>- government authentication</w:t>
      </w:r>
    </w:p>
    <w:p>
      <w:pPr>
        <w:spacing w:after="80" w:line="293" w:lineRule="auto"/>
        <w:ind w:left="283"/>
        <w:jc w:val="left"/>
      </w:pPr>
      <w:r>
        <w:rPr>
          <w:rFonts w:ascii="Times New Roman" w:hAnsi="Times New Roman" w:cs="Times New Roman"/>
          <w:b w:val="0"/>
          <w:i w:val="0"/>
          <w:sz w:val="22"/>
        </w:rPr>
        <w:t>- foreign ministry legalization</w:t>
      </w:r>
    </w:p>
    <w:p>
      <w:pPr>
        <w:spacing w:after="80" w:line="293" w:lineRule="auto"/>
        <w:ind w:left="283"/>
        <w:jc w:val="left"/>
      </w:pPr>
      <w:r>
        <w:rPr>
          <w:rFonts w:ascii="Times New Roman" w:hAnsi="Times New Roman" w:cs="Times New Roman"/>
          <w:b w:val="0"/>
          <w:i w:val="0"/>
          <w:sz w:val="22"/>
        </w:rPr>
        <w:t>- consular legalization</w:t>
      </w:r>
    </w:p>
    <w:p>
      <w:pPr>
        <w:spacing w:after="80" w:line="293" w:lineRule="auto"/>
        <w:ind w:left="283"/>
        <w:jc w:val="left"/>
      </w:pPr>
      <w:r>
        <w:rPr>
          <w:rFonts w:ascii="Times New Roman" w:hAnsi="Times New Roman" w:cs="Times New Roman"/>
          <w:b w:val="0"/>
          <w:i w:val="0"/>
          <w:sz w:val="22"/>
        </w:rPr>
        <w:t>- apostille</w:t>
      </w:r>
    </w:p>
    <w:p>
      <w:pPr>
        <w:spacing w:after="80" w:line="293" w:lineRule="auto"/>
        <w:ind w:left="283"/>
        <w:jc w:val="left"/>
      </w:pPr>
      <w:r>
        <w:rPr>
          <w:rFonts w:ascii="Times New Roman" w:hAnsi="Times New Roman" w:cs="Times New Roman"/>
          <w:b w:val="0"/>
          <w:i w:val="0"/>
          <w:sz w:val="22"/>
        </w:rPr>
        <w:t>- certified translation</w:t>
      </w:r>
    </w:p>
    <w:p>
      <w:pPr>
        <w:spacing w:after="80" w:line="293" w:lineRule="auto"/>
        <w:ind w:left="283"/>
        <w:jc w:val="left"/>
      </w:pPr>
      <w:r>
        <w:rPr>
          <w:rFonts w:ascii="Times New Roman" w:hAnsi="Times New Roman" w:cs="Times New Roman"/>
          <w:b w:val="0"/>
          <w:i w:val="0"/>
          <w:sz w:val="22"/>
        </w:rPr>
        <w:t>- digital signature</w:t>
      </w:r>
    </w:p>
    <w:p>
      <w:pPr>
        <w:spacing w:after="80" w:line="293" w:lineRule="auto"/>
        <w:ind w:left="283"/>
        <w:jc w:val="left"/>
      </w:pPr>
      <w:r>
        <w:rPr>
          <w:rFonts w:ascii="Times New Roman" w:hAnsi="Times New Roman" w:cs="Times New Roman"/>
          <w:b w:val="0"/>
          <w:i w:val="0"/>
          <w:sz w:val="22"/>
        </w:rPr>
        <w:t>- electronic seal</w:t>
      </w:r>
    </w:p>
    <w:p>
      <w:pPr>
        <w:spacing w:after="80" w:line="293" w:lineRule="auto"/>
        <w:ind w:left="283"/>
        <w:jc w:val="left"/>
      </w:pPr>
      <w:r>
        <w:rPr>
          <w:rFonts w:ascii="Times New Roman" w:hAnsi="Times New Roman" w:cs="Times New Roman"/>
          <w:b w:val="0"/>
          <w:i w:val="0"/>
          <w:sz w:val="22"/>
        </w:rPr>
        <w:t>- qualified electronic signature</w:t>
      </w:r>
    </w:p>
    <w:p>
      <w:pPr>
        <w:keepNext/>
        <w:spacing w:before="240" w:after="100"/>
        <w:outlineLvl w:val="1"/>
      </w:pPr>
      <w:r>
        <w:rPr>
          <w:rFonts w:ascii="Arial" w:hAnsi="Arial" w:cs="Arial"/>
          <w:b/>
          <w:i w:val="0"/>
          <w:color w:val="2E528F"/>
          <w:sz w:val="26"/>
        </w:rPr>
        <w:t>20.30 Multi-Agency Government Engine</w:t>
      </w:r>
    </w:p>
    <w:p>
      <w:pPr>
        <w:spacing w:after="80" w:line="293" w:lineRule="auto"/>
        <w:jc w:val="left"/>
      </w:pPr>
      <w:r>
        <w:rPr>
          <w:rFonts w:ascii="Times New Roman" w:hAnsi="Times New Roman" w:cs="Times New Roman"/>
          <w:b w:val="0"/>
          <w:i w:val="0"/>
          <w:sz w:val="22"/>
        </w:rPr>
        <w:t>The Multi-Agency Government Engine uses execution patterns:</w:t>
      </w:r>
    </w:p>
    <w:p>
      <w:pPr>
        <w:spacing w:after="80" w:line="293" w:lineRule="auto"/>
        <w:ind w:left="283"/>
        <w:jc w:val="left"/>
      </w:pPr>
      <w:r>
        <w:rPr>
          <w:rFonts w:ascii="Times New Roman" w:hAnsi="Times New Roman" w:cs="Times New Roman"/>
          <w:b w:val="0"/>
          <w:i w:val="0"/>
          <w:sz w:val="22"/>
        </w:rPr>
        <w:t>- SEQUENTIAL</w:t>
      </w:r>
    </w:p>
    <w:p>
      <w:pPr>
        <w:spacing w:after="80" w:line="293" w:lineRule="auto"/>
        <w:ind w:left="283"/>
        <w:jc w:val="left"/>
      </w:pPr>
      <w:r>
        <w:rPr>
          <w:rFonts w:ascii="Times New Roman" w:hAnsi="Times New Roman" w:cs="Times New Roman"/>
          <w:b w:val="0"/>
          <w:i w:val="0"/>
          <w:sz w:val="22"/>
        </w:rPr>
        <w:t>- PARALLEL</w:t>
      </w:r>
    </w:p>
    <w:p>
      <w:pPr>
        <w:spacing w:after="80" w:line="293" w:lineRule="auto"/>
        <w:ind w:left="283"/>
        <w:jc w:val="left"/>
      </w:pPr>
      <w:r>
        <w:rPr>
          <w:rFonts w:ascii="Times New Roman" w:hAnsi="Times New Roman" w:cs="Times New Roman"/>
          <w:b w:val="0"/>
          <w:i w:val="0"/>
          <w:sz w:val="22"/>
        </w:rPr>
        <w:t>- CONDITIONAL</w:t>
      </w:r>
    </w:p>
    <w:p>
      <w:pPr>
        <w:spacing w:after="80" w:line="293" w:lineRule="auto"/>
        <w:ind w:left="283"/>
        <w:jc w:val="left"/>
      </w:pPr>
      <w:r>
        <w:rPr>
          <w:rFonts w:ascii="Times New Roman" w:hAnsi="Times New Roman" w:cs="Times New Roman"/>
          <w:b w:val="0"/>
          <w:i w:val="0"/>
          <w:sz w:val="22"/>
        </w:rPr>
        <w:t>- RISK_TRIGGERED</w:t>
      </w:r>
    </w:p>
    <w:p>
      <w:pPr>
        <w:spacing w:after="80" w:line="293" w:lineRule="auto"/>
        <w:ind w:left="283"/>
        <w:jc w:val="left"/>
      </w:pPr>
      <w:r>
        <w:rPr>
          <w:rFonts w:ascii="Times New Roman" w:hAnsi="Times New Roman" w:cs="Times New Roman"/>
          <w:b w:val="0"/>
          <w:i w:val="0"/>
          <w:sz w:val="22"/>
        </w:rPr>
        <w:t>- OPTIONAL</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CUSTOMS + AGRICULTURE + FOOD + HEALTH + STANDARDS + SECURITY → RELEASE. This engine executes within the platform's multi-agency workflow architecture (see Section 12).</w:t>
      </w:r>
    </w:p>
    <w:p>
      <w:pPr>
        <w:keepNext/>
        <w:spacing w:before="240" w:after="100"/>
        <w:outlineLvl w:val="1"/>
      </w:pPr>
      <w:r>
        <w:rPr>
          <w:rFonts w:ascii="Arial" w:hAnsi="Arial" w:cs="Arial"/>
          <w:b/>
          <w:i w:val="0"/>
          <w:color w:val="2E528F"/>
          <w:sz w:val="26"/>
        </w:rPr>
        <w:t>20.31 Global Customs Engine</w:t>
      </w:r>
    </w:p>
    <w:p>
      <w:pPr>
        <w:spacing w:after="80" w:line="293" w:lineRule="auto"/>
        <w:jc w:val="left"/>
      </w:pPr>
      <w:r>
        <w:rPr>
          <w:rFonts w:ascii="Times New Roman" w:hAnsi="Times New Roman" w:cs="Times New Roman"/>
          <w:b w:val="0"/>
          <w:i w:val="0"/>
          <w:sz w:val="22"/>
        </w:rPr>
        <w:t>The Global Customs Engine supports:</w:t>
      </w:r>
    </w:p>
    <w:p>
      <w:pPr>
        <w:spacing w:after="80" w:line="293" w:lineRule="auto"/>
        <w:ind w:left="283"/>
        <w:jc w:val="left"/>
      </w:pPr>
      <w:r>
        <w:rPr>
          <w:rFonts w:ascii="Times New Roman" w:hAnsi="Times New Roman" w:cs="Times New Roman"/>
          <w:b w:val="0"/>
          <w:i w:val="0"/>
          <w:sz w:val="22"/>
        </w:rPr>
        <w:t>- import</w:t>
      </w:r>
    </w:p>
    <w:p>
      <w:pPr>
        <w:spacing w:after="80" w:line="293" w:lineRule="auto"/>
        <w:ind w:left="283"/>
        <w:jc w:val="left"/>
      </w:pPr>
      <w:r>
        <w:rPr>
          <w:rFonts w:ascii="Times New Roman" w:hAnsi="Times New Roman" w:cs="Times New Roman"/>
          <w:b w:val="0"/>
          <w:i w:val="0"/>
          <w:sz w:val="22"/>
        </w:rPr>
        <w:t>- export</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temporary import</w:t>
      </w:r>
    </w:p>
    <w:p>
      <w:pPr>
        <w:spacing w:after="80" w:line="293" w:lineRule="auto"/>
        <w:ind w:left="283"/>
        <w:jc w:val="left"/>
      </w:pPr>
      <w:r>
        <w:rPr>
          <w:rFonts w:ascii="Times New Roman" w:hAnsi="Times New Roman" w:cs="Times New Roman"/>
          <w:b w:val="0"/>
          <w:i w:val="0"/>
          <w:sz w:val="22"/>
        </w:rPr>
        <w:t>- temporary export</w:t>
      </w:r>
    </w:p>
    <w:p>
      <w:pPr>
        <w:spacing w:after="80" w:line="293" w:lineRule="auto"/>
        <w:ind w:left="283"/>
        <w:jc w:val="left"/>
      </w:pPr>
      <w:r>
        <w:rPr>
          <w:rFonts w:ascii="Times New Roman" w:hAnsi="Times New Roman" w:cs="Times New Roman"/>
          <w:b w:val="0"/>
          <w:i w:val="0"/>
          <w:sz w:val="22"/>
        </w:rPr>
        <w:t>- inward processing</w:t>
      </w:r>
    </w:p>
    <w:p>
      <w:pPr>
        <w:spacing w:after="80" w:line="293" w:lineRule="auto"/>
        <w:ind w:left="283"/>
        <w:jc w:val="left"/>
      </w:pPr>
      <w:r>
        <w:rPr>
          <w:rFonts w:ascii="Times New Roman" w:hAnsi="Times New Roman" w:cs="Times New Roman"/>
          <w:b w:val="0"/>
          <w:i w:val="0"/>
          <w:sz w:val="22"/>
        </w:rPr>
        <w:t>- outward processing</w:t>
      </w:r>
    </w:p>
    <w:p>
      <w:pPr>
        <w:spacing w:after="80" w:line="293" w:lineRule="auto"/>
        <w:ind w:left="283"/>
        <w:jc w:val="left"/>
      </w:pPr>
      <w:r>
        <w:rPr>
          <w:rFonts w:ascii="Times New Roman" w:hAnsi="Times New Roman" w:cs="Times New Roman"/>
          <w:b w:val="0"/>
          <w:i w:val="0"/>
          <w:sz w:val="22"/>
        </w:rPr>
        <w:t>- bonded warehouse</w:t>
      </w:r>
    </w:p>
    <w:p>
      <w:pPr>
        <w:spacing w:after="80" w:line="293" w:lineRule="auto"/>
        <w:ind w:left="283"/>
        <w:jc w:val="left"/>
      </w:pPr>
      <w:r>
        <w:rPr>
          <w:rFonts w:ascii="Times New Roman" w:hAnsi="Times New Roman" w:cs="Times New Roman"/>
          <w:b w:val="0"/>
          <w:i w:val="0"/>
          <w:sz w:val="22"/>
        </w:rPr>
        <w:t>- customs warehouse</w:t>
      </w:r>
    </w:p>
    <w:p>
      <w:pPr>
        <w:spacing w:after="80" w:line="293" w:lineRule="auto"/>
        <w:ind w:left="283"/>
        <w:jc w:val="left"/>
      </w:pPr>
      <w:r>
        <w:rPr>
          <w:rFonts w:ascii="Times New Roman" w:hAnsi="Times New Roman" w:cs="Times New Roman"/>
          <w:b w:val="0"/>
          <w:i w:val="0"/>
          <w:sz w:val="22"/>
        </w:rPr>
        <w:t>- free zone</w:t>
      </w:r>
    </w:p>
    <w:p>
      <w:pPr>
        <w:spacing w:after="80" w:line="293" w:lineRule="auto"/>
        <w:ind w:left="283"/>
        <w:jc w:val="left"/>
      </w:pPr>
      <w:r>
        <w:rPr>
          <w:rFonts w:ascii="Times New Roman" w:hAnsi="Times New Roman" w:cs="Times New Roman"/>
          <w:b w:val="0"/>
          <w:i w:val="0"/>
          <w:sz w:val="22"/>
        </w:rPr>
        <w:t>- re-export</w:t>
      </w:r>
    </w:p>
    <w:p>
      <w:pPr>
        <w:spacing w:after="80" w:line="293" w:lineRule="auto"/>
        <w:ind w:left="283"/>
        <w:jc w:val="left"/>
      </w:pPr>
      <w:r>
        <w:rPr>
          <w:rFonts w:ascii="Times New Roman" w:hAnsi="Times New Roman" w:cs="Times New Roman"/>
          <w:b w:val="0"/>
          <w:i w:val="0"/>
          <w:sz w:val="22"/>
        </w:rPr>
        <w:t>- re-import</w:t>
      </w:r>
    </w:p>
    <w:p>
      <w:pPr>
        <w:spacing w:after="80" w:line="293" w:lineRule="auto"/>
        <w:ind w:left="283"/>
        <w:jc w:val="left"/>
      </w:pPr>
      <w:r>
        <w:rPr>
          <w:rFonts w:ascii="Times New Roman" w:hAnsi="Times New Roman" w:cs="Times New Roman"/>
          <w:b w:val="0"/>
          <w:i w:val="0"/>
          <w:sz w:val="22"/>
        </w:rPr>
        <w:t>- destruction</w:t>
      </w:r>
    </w:p>
    <w:p>
      <w:pPr>
        <w:spacing w:after="80" w:line="293" w:lineRule="auto"/>
        <w:ind w:left="283"/>
        <w:jc w:val="left"/>
      </w:pPr>
      <w:r>
        <w:rPr>
          <w:rFonts w:ascii="Times New Roman" w:hAnsi="Times New Roman" w:cs="Times New Roman"/>
          <w:b w:val="0"/>
          <w:i w:val="0"/>
          <w:sz w:val="22"/>
        </w:rPr>
        <w:t>- abandonment</w:t>
      </w:r>
    </w:p>
    <w:p>
      <w:pPr>
        <w:spacing w:after="80" w:line="293" w:lineRule="auto"/>
        <w:ind w:left="283"/>
        <w:jc w:val="left"/>
      </w:pPr>
      <w:r>
        <w:rPr>
          <w:rFonts w:ascii="Times New Roman" w:hAnsi="Times New Roman" w:cs="Times New Roman"/>
          <w:b w:val="0"/>
          <w:i w:val="0"/>
          <w:sz w:val="22"/>
        </w:rPr>
        <w:t>- drawback</w:t>
      </w:r>
    </w:p>
    <w:p>
      <w:pPr>
        <w:spacing w:after="80" w:line="293" w:lineRule="auto"/>
        <w:ind w:left="283"/>
        <w:jc w:val="left"/>
      </w:pPr>
      <w:r>
        <w:rPr>
          <w:rFonts w:ascii="Times New Roman" w:hAnsi="Times New Roman" w:cs="Times New Roman"/>
          <w:b w:val="0"/>
          <w:i w:val="0"/>
          <w:sz w:val="22"/>
        </w:rPr>
        <w:t>- post-clearance</w:t>
      </w:r>
    </w:p>
    <w:p>
      <w:pPr>
        <w:keepNext/>
        <w:spacing w:before="240" w:after="100"/>
        <w:outlineLvl w:val="1"/>
      </w:pPr>
      <w:r>
        <w:rPr>
          <w:rFonts w:ascii="Arial" w:hAnsi="Arial" w:cs="Arial"/>
          <w:b/>
          <w:i w:val="0"/>
          <w:color w:val="2E528F"/>
          <w:sz w:val="26"/>
        </w:rPr>
        <w:t>20.32 Global Single-Window Gateway</w:t>
      </w:r>
    </w:p>
    <w:p>
      <w:pPr>
        <w:spacing w:after="80" w:line="293" w:lineRule="auto"/>
        <w:jc w:val="left"/>
      </w:pPr>
      <w:r>
        <w:rPr>
          <w:rFonts w:ascii="Times New Roman" w:hAnsi="Times New Roman" w:cs="Times New Roman"/>
          <w:b w:val="0"/>
          <w:i w:val="0"/>
          <w:sz w:val="22"/>
        </w:rPr>
        <w:t>The Global Single-Window Gateway uses:</w:t>
      </w:r>
    </w:p>
    <w:p>
      <w:pPr>
        <w:spacing w:after="80" w:line="293" w:lineRule="auto"/>
        <w:ind w:left="283"/>
        <w:jc w:val="left"/>
      </w:pPr>
      <w:r>
        <w:rPr>
          <w:rFonts w:ascii="Times New Roman" w:hAnsi="Times New Roman" w:cs="Times New Roman"/>
          <w:b w:val="0"/>
          <w:i w:val="0"/>
          <w:sz w:val="22"/>
        </w:rPr>
        <w:t>- API</w:t>
      </w:r>
    </w:p>
    <w:p>
      <w:pPr>
        <w:spacing w:after="80" w:line="293" w:lineRule="auto"/>
        <w:ind w:left="283"/>
        <w:jc w:val="left"/>
      </w:pPr>
      <w:r>
        <w:rPr>
          <w:rFonts w:ascii="Times New Roman" w:hAnsi="Times New Roman" w:cs="Times New Roman"/>
          <w:b w:val="0"/>
          <w:i w:val="0"/>
          <w:sz w:val="22"/>
        </w:rPr>
        <w:t>- EDI</w:t>
      </w:r>
    </w:p>
    <w:p>
      <w:pPr>
        <w:spacing w:after="80" w:line="293" w:lineRule="auto"/>
        <w:ind w:left="283"/>
        <w:jc w:val="left"/>
      </w:pPr>
      <w:r>
        <w:rPr>
          <w:rFonts w:ascii="Times New Roman" w:hAnsi="Times New Roman" w:cs="Times New Roman"/>
          <w:b w:val="0"/>
          <w:i w:val="0"/>
          <w:sz w:val="22"/>
        </w:rPr>
        <w:t>- XML</w:t>
      </w:r>
    </w:p>
    <w:p>
      <w:pPr>
        <w:spacing w:after="80" w:line="293" w:lineRule="auto"/>
        <w:ind w:left="283"/>
        <w:jc w:val="left"/>
      </w:pPr>
      <w:r>
        <w:rPr>
          <w:rFonts w:ascii="Times New Roman" w:hAnsi="Times New Roman" w:cs="Times New Roman"/>
          <w:b w:val="0"/>
          <w:i w:val="0"/>
          <w:sz w:val="22"/>
        </w:rPr>
        <w:t>- JSON</w:t>
      </w:r>
    </w:p>
    <w:p>
      <w:pPr>
        <w:spacing w:after="80" w:line="293" w:lineRule="auto"/>
        <w:ind w:left="283"/>
        <w:jc w:val="left"/>
      </w:pPr>
      <w:r>
        <w:rPr>
          <w:rFonts w:ascii="Times New Roman" w:hAnsi="Times New Roman" w:cs="Times New Roman"/>
          <w:b w:val="0"/>
          <w:i w:val="0"/>
          <w:sz w:val="22"/>
        </w:rPr>
        <w:t>- UN/EDIFACT</w:t>
      </w:r>
    </w:p>
    <w:p>
      <w:pPr>
        <w:spacing w:after="80" w:line="293" w:lineRule="auto"/>
        <w:ind w:left="283"/>
        <w:jc w:val="left"/>
      </w:pPr>
      <w:r>
        <w:rPr>
          <w:rFonts w:ascii="Times New Roman" w:hAnsi="Times New Roman" w:cs="Times New Roman"/>
          <w:b w:val="0"/>
          <w:i w:val="0"/>
          <w:sz w:val="22"/>
        </w:rPr>
        <w:t>- SFTP</w:t>
      </w:r>
    </w:p>
    <w:p>
      <w:pPr>
        <w:spacing w:after="80" w:line="293" w:lineRule="auto"/>
        <w:ind w:left="283"/>
        <w:jc w:val="left"/>
      </w:pPr>
      <w:r>
        <w:rPr>
          <w:rFonts w:ascii="Times New Roman" w:hAnsi="Times New Roman" w:cs="Times New Roman"/>
          <w:b w:val="0"/>
          <w:i w:val="0"/>
          <w:sz w:val="22"/>
        </w:rPr>
        <w:t>- portal</w:t>
      </w:r>
    </w:p>
    <w:p>
      <w:pPr>
        <w:spacing w:after="80" w:line="293" w:lineRule="auto"/>
        <w:ind w:left="283"/>
        <w:jc w:val="left"/>
      </w:pPr>
      <w:r>
        <w:rPr>
          <w:rFonts w:ascii="Times New Roman" w:hAnsi="Times New Roman" w:cs="Times New Roman"/>
          <w:b w:val="0"/>
          <w:i w:val="0"/>
          <w:sz w:val="22"/>
        </w:rPr>
        <w:t>- broker</w:t>
      </w:r>
    </w:p>
    <w:p>
      <w:pPr>
        <w:spacing w:after="80" w:line="293" w:lineRule="auto"/>
        <w:ind w:left="283"/>
        <w:jc w:val="left"/>
      </w:pPr>
      <w:r>
        <w:rPr>
          <w:rFonts w:ascii="Times New Roman" w:hAnsi="Times New Roman" w:cs="Times New Roman"/>
          <w:b w:val="0"/>
          <w:i w:val="0"/>
          <w:sz w:val="22"/>
        </w:rPr>
        <w:t>- manual</w:t>
      </w:r>
    </w:p>
    <w:p>
      <w:pPr>
        <w:spacing w:after="80" w:line="293" w:lineRule="auto"/>
        <w:jc w:val="left"/>
      </w:pPr>
      <w:r>
        <w:rPr>
          <w:rFonts w:ascii="Times New Roman" w:hAnsi="Times New Roman" w:cs="Times New Roman"/>
          <w:b w:val="0"/>
          <w:i w:val="0"/>
          <w:sz w:val="22"/>
        </w:rPr>
        <w:t>It maps:</w:t>
      </w:r>
    </w:p>
    <w:p>
      <w:pPr>
        <w:spacing w:after="0" w:before="0" w:line="240" w:lineRule="auto"/>
        <w:ind w:left="57"/>
        <w:jc w:val="left"/>
        <w:shd w:val="clear" w:fill="F2F2F2"/>
      </w:pPr>
      <w:r>
        <w:rPr>
          <w:rFonts w:ascii="Consolas" w:hAnsi="Consolas" w:cs="Consolas"/>
          <w:b w:val="0"/>
          <w:i w:val="0"/>
          <w:sz w:val="15"/>
        </w:rPr>
        <w:t>SGTX Canonical Model → WCO / Regional Model → National Model → Authority System</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WCO Data Model specifically supports harmonized datasets for customs and other border agencies in Single Window environments.</w:t>
      </w:r>
    </w:p>
    <w:p>
      <w:pPr>
        <w:keepNext/>
        <w:spacing w:before="240" w:after="100"/>
        <w:outlineLvl w:val="1"/>
      </w:pPr>
      <w:r>
        <w:rPr>
          <w:rFonts w:ascii="Arial" w:hAnsi="Arial" w:cs="Arial"/>
          <w:b/>
          <w:i w:val="0"/>
          <w:color w:val="2E528F"/>
          <w:sz w:val="26"/>
        </w:rPr>
        <w:t>20.33 Government Connector Standard</w:t>
      </w:r>
    </w:p>
    <w:p>
      <w:pPr>
        <w:spacing w:after="80" w:line="293" w:lineRule="auto"/>
        <w:jc w:val="left"/>
      </w:pPr>
      <w:r>
        <w:rPr>
          <w:rFonts w:ascii="Times New Roman" w:hAnsi="Times New Roman" w:cs="Times New Roman"/>
          <w:b w:val="0"/>
          <w:i w:val="0"/>
          <w:sz w:val="22"/>
        </w:rPr>
        <w:t>Every connector supports:</w:t>
      </w:r>
    </w:p>
    <w:p>
      <w:pPr>
        <w:spacing w:after="80" w:line="293" w:lineRule="auto"/>
        <w:ind w:left="283"/>
        <w:jc w:val="left"/>
      </w:pPr>
      <w:r>
        <w:rPr>
          <w:rFonts w:ascii="Times New Roman" w:hAnsi="Times New Roman" w:cs="Times New Roman"/>
          <w:b w:val="0"/>
          <w:i w:val="0"/>
          <w:sz w:val="22"/>
        </w:rPr>
        <w:t>- DISCOVER</w:t>
      </w:r>
    </w:p>
    <w:p>
      <w:pPr>
        <w:spacing w:after="80" w:line="293" w:lineRule="auto"/>
        <w:ind w:left="283"/>
        <w:jc w:val="left"/>
      </w:pPr>
      <w:r>
        <w:rPr>
          <w:rFonts w:ascii="Times New Roman" w:hAnsi="Times New Roman" w:cs="Times New Roman"/>
          <w:b w:val="0"/>
          <w:i w:val="0"/>
          <w:sz w:val="22"/>
        </w:rPr>
        <w:t>- AUTHENTICATE</w:t>
      </w:r>
    </w:p>
    <w:p>
      <w:pPr>
        <w:spacing w:after="80" w:line="293" w:lineRule="auto"/>
        <w:ind w:left="283"/>
        <w:jc w:val="left"/>
      </w:pPr>
      <w:r>
        <w:rPr>
          <w:rFonts w:ascii="Times New Roman" w:hAnsi="Times New Roman" w:cs="Times New Roman"/>
          <w:b w:val="0"/>
          <w:i w:val="0"/>
          <w:sz w:val="22"/>
        </w:rPr>
        <w:t>- VALIDATE</w:t>
      </w:r>
    </w:p>
    <w:p>
      <w:pPr>
        <w:spacing w:after="80" w:line="293" w:lineRule="auto"/>
        <w:ind w:left="283"/>
        <w:jc w:val="left"/>
      </w:pPr>
      <w:r>
        <w:rPr>
          <w:rFonts w:ascii="Times New Roman" w:hAnsi="Times New Roman" w:cs="Times New Roman"/>
          <w:b w:val="0"/>
          <w:i w:val="0"/>
          <w:sz w:val="22"/>
        </w:rPr>
        <w:t>- PREPARE</w:t>
      </w:r>
    </w:p>
    <w:p>
      <w:pPr>
        <w:spacing w:after="80" w:line="293" w:lineRule="auto"/>
        <w:ind w:left="283"/>
        <w:jc w:val="left"/>
      </w:pPr>
      <w:r>
        <w:rPr>
          <w:rFonts w:ascii="Times New Roman" w:hAnsi="Times New Roman" w:cs="Times New Roman"/>
          <w:b w:val="0"/>
          <w:i w:val="0"/>
          <w:sz w:val="22"/>
        </w:rPr>
        <w:t>- SUBMIT</w:t>
      </w:r>
    </w:p>
    <w:p>
      <w:pPr>
        <w:spacing w:after="80" w:line="293" w:lineRule="auto"/>
        <w:ind w:left="283"/>
        <w:jc w:val="left"/>
      </w:pPr>
      <w:r>
        <w:rPr>
          <w:rFonts w:ascii="Times New Roman" w:hAnsi="Times New Roman" w:cs="Times New Roman"/>
          <w:b w:val="0"/>
          <w:i w:val="0"/>
          <w:sz w:val="22"/>
        </w:rPr>
        <w:t>- STATUS</w:t>
      </w:r>
    </w:p>
    <w:p>
      <w:pPr>
        <w:spacing w:after="80" w:line="293" w:lineRule="auto"/>
        <w:ind w:left="283"/>
        <w:jc w:val="left"/>
      </w:pPr>
      <w:r>
        <w:rPr>
          <w:rFonts w:ascii="Times New Roman" w:hAnsi="Times New Roman" w:cs="Times New Roman"/>
          <w:b w:val="0"/>
          <w:i w:val="0"/>
          <w:sz w:val="22"/>
        </w:rPr>
        <w:t>- AMEND</w:t>
      </w:r>
    </w:p>
    <w:p>
      <w:pPr>
        <w:spacing w:after="80" w:line="293" w:lineRule="auto"/>
        <w:ind w:left="283"/>
        <w:jc w:val="left"/>
      </w:pPr>
      <w:r>
        <w:rPr>
          <w:rFonts w:ascii="Times New Roman" w:hAnsi="Times New Roman" w:cs="Times New Roman"/>
          <w:b w:val="0"/>
          <w:i w:val="0"/>
          <w:sz w:val="22"/>
        </w:rPr>
        <w:t>- CANCEL</w:t>
      </w:r>
    </w:p>
    <w:p>
      <w:pPr>
        <w:spacing w:after="80" w:line="293" w:lineRule="auto"/>
        <w:ind w:left="283"/>
        <w:jc w:val="left"/>
      </w:pPr>
      <w:r>
        <w:rPr>
          <w:rFonts w:ascii="Times New Roman" w:hAnsi="Times New Roman" w:cs="Times New Roman"/>
          <w:b w:val="0"/>
          <w:i w:val="0"/>
          <w:sz w:val="22"/>
        </w:rPr>
        <w:t>- INSPECT</w:t>
      </w:r>
    </w:p>
    <w:p>
      <w:pPr>
        <w:spacing w:after="80" w:line="293" w:lineRule="auto"/>
        <w:ind w:left="283"/>
        <w:jc w:val="left"/>
      </w:pPr>
      <w:r>
        <w:rPr>
          <w:rFonts w:ascii="Times New Roman" w:hAnsi="Times New Roman" w:cs="Times New Roman"/>
          <w:b w:val="0"/>
          <w:i w:val="0"/>
          <w:sz w:val="22"/>
        </w:rPr>
        <w:t>- RELEASE</w:t>
      </w:r>
    </w:p>
    <w:p>
      <w:pPr>
        <w:spacing w:after="80" w:line="293" w:lineRule="auto"/>
        <w:ind w:left="283"/>
        <w:jc w:val="left"/>
      </w:pPr>
      <w:r>
        <w:rPr>
          <w:rFonts w:ascii="Times New Roman" w:hAnsi="Times New Roman" w:cs="Times New Roman"/>
          <w:b w:val="0"/>
          <w:i w:val="0"/>
          <w:sz w:val="22"/>
        </w:rPr>
        <w:t>- DOCUMENT</w:t>
      </w:r>
    </w:p>
    <w:p>
      <w:pPr>
        <w:spacing w:after="80" w:line="293" w:lineRule="auto"/>
        <w:ind w:left="283"/>
        <w:jc w:val="left"/>
      </w:pPr>
      <w:r>
        <w:rPr>
          <w:rFonts w:ascii="Times New Roman" w:hAnsi="Times New Roman" w:cs="Times New Roman"/>
          <w:b w:val="0"/>
          <w:i w:val="0"/>
          <w:sz w:val="22"/>
        </w:rPr>
        <w:t>- PERMIT</w:t>
      </w:r>
    </w:p>
    <w:p>
      <w:pPr>
        <w:spacing w:after="80" w:line="293" w:lineRule="auto"/>
        <w:ind w:left="283"/>
        <w:jc w:val="left"/>
      </w:pPr>
      <w:r>
        <w:rPr>
          <w:rFonts w:ascii="Times New Roman" w:hAnsi="Times New Roman" w:cs="Times New Roman"/>
          <w:b w:val="0"/>
          <w:i w:val="0"/>
          <w:sz w:val="22"/>
        </w:rPr>
        <w:t>- CERTIFICATE</w:t>
      </w:r>
    </w:p>
    <w:p>
      <w:pPr>
        <w:spacing w:after="80" w:line="293" w:lineRule="auto"/>
        <w:ind w:left="283"/>
        <w:jc w:val="left"/>
      </w:pPr>
      <w:r>
        <w:rPr>
          <w:rFonts w:ascii="Times New Roman" w:hAnsi="Times New Roman" w:cs="Times New Roman"/>
          <w:b w:val="0"/>
          <w:i w:val="0"/>
          <w:sz w:val="22"/>
        </w:rPr>
        <w:t>- PAYMENT</w:t>
      </w:r>
    </w:p>
    <w:p>
      <w:pPr>
        <w:spacing w:after="80" w:line="293" w:lineRule="auto"/>
        <w:ind w:left="283"/>
        <w:jc w:val="left"/>
      </w:pPr>
      <w:r>
        <w:rPr>
          <w:rFonts w:ascii="Times New Roman" w:hAnsi="Times New Roman" w:cs="Times New Roman"/>
          <w:b w:val="0"/>
          <w:i w:val="0"/>
          <w:sz w:val="22"/>
        </w:rPr>
        <w:t>- RECONCILE</w:t>
      </w:r>
    </w:p>
    <w:p>
      <w:pPr>
        <w:keepNext/>
        <w:spacing w:before="240" w:after="100"/>
        <w:outlineLvl w:val="1"/>
      </w:pPr>
      <w:r>
        <w:rPr>
          <w:rFonts w:ascii="Arial" w:hAnsi="Arial" w:cs="Arial"/>
          <w:b/>
          <w:i w:val="0"/>
          <w:color w:val="2E528F"/>
          <w:sz w:val="26"/>
        </w:rPr>
        <w:t>20.34 Government Connector States</w:t>
      </w:r>
    </w:p>
    <w:p>
      <w:pPr>
        <w:spacing w:after="80" w:line="293" w:lineRule="auto"/>
        <w:jc w:val="left"/>
      </w:pPr>
      <w:r>
        <w:rPr>
          <w:rFonts w:ascii="Times New Roman" w:hAnsi="Times New Roman" w:cs="Times New Roman"/>
          <w:b w:val="0"/>
          <w:i w:val="0"/>
          <w:sz w:val="22"/>
        </w:rPr>
        <w:t>Connectors use the states:</w:t>
      </w:r>
    </w:p>
    <w:p>
      <w:pPr>
        <w:spacing w:after="80" w:line="293" w:lineRule="auto"/>
        <w:ind w:left="283"/>
        <w:jc w:val="left"/>
      </w:pPr>
      <w:r>
        <w:rPr>
          <w:rFonts w:ascii="Times New Roman" w:hAnsi="Times New Roman" w:cs="Times New Roman"/>
          <w:b w:val="0"/>
          <w:i w:val="0"/>
          <w:sz w:val="22"/>
        </w:rPr>
        <w:t>- NOT_DISCOVERED</w:t>
      </w:r>
    </w:p>
    <w:p>
      <w:pPr>
        <w:spacing w:after="80" w:line="293" w:lineRule="auto"/>
        <w:ind w:left="283"/>
        <w:jc w:val="left"/>
      </w:pPr>
      <w:r>
        <w:rPr>
          <w:rFonts w:ascii="Times New Roman" w:hAnsi="Times New Roman" w:cs="Times New Roman"/>
          <w:b w:val="0"/>
          <w:i w:val="0"/>
          <w:sz w:val="22"/>
        </w:rPr>
        <w:t>- DISCOVERED</w:t>
      </w:r>
    </w:p>
    <w:p>
      <w:pPr>
        <w:spacing w:after="80" w:line="293" w:lineRule="auto"/>
        <w:ind w:left="283"/>
        <w:jc w:val="left"/>
      </w:pPr>
      <w:r>
        <w:rPr>
          <w:rFonts w:ascii="Times New Roman" w:hAnsi="Times New Roman" w:cs="Times New Roman"/>
          <w:b w:val="0"/>
          <w:i w:val="0"/>
          <w:sz w:val="22"/>
        </w:rPr>
        <w:t>- DOCUMENTED</w:t>
      </w:r>
    </w:p>
    <w:p>
      <w:pPr>
        <w:spacing w:after="80" w:line="293" w:lineRule="auto"/>
        <w:ind w:left="283"/>
        <w:jc w:val="left"/>
      </w:pPr>
      <w:r>
        <w:rPr>
          <w:rFonts w:ascii="Times New Roman" w:hAnsi="Times New Roman" w:cs="Times New Roman"/>
          <w:b w:val="0"/>
          <w:i w:val="0"/>
          <w:sz w:val="22"/>
        </w:rPr>
        <w:t>- CONTACT_REQUIRED</w:t>
      </w:r>
    </w:p>
    <w:p>
      <w:pPr>
        <w:spacing w:after="80" w:line="293" w:lineRule="auto"/>
        <w:ind w:left="283"/>
        <w:jc w:val="left"/>
      </w:pPr>
      <w:r>
        <w:rPr>
          <w:rFonts w:ascii="Times New Roman" w:hAnsi="Times New Roman" w:cs="Times New Roman"/>
          <w:b w:val="0"/>
          <w:i w:val="0"/>
          <w:sz w:val="22"/>
        </w:rPr>
        <w:t>- CREDENTIALS_REQUIRED</w:t>
      </w:r>
    </w:p>
    <w:p>
      <w:pPr>
        <w:spacing w:after="80" w:line="293" w:lineRule="auto"/>
        <w:ind w:left="283"/>
        <w:jc w:val="left"/>
      </w:pPr>
      <w:r>
        <w:rPr>
          <w:rFonts w:ascii="Times New Roman" w:hAnsi="Times New Roman" w:cs="Times New Roman"/>
          <w:b w:val="0"/>
          <w:i w:val="0"/>
          <w:sz w:val="22"/>
        </w:rPr>
        <w:t>- SANDBOX_AVAILABLE</w:t>
      </w:r>
    </w:p>
    <w:p>
      <w:pPr>
        <w:spacing w:after="80" w:line="293" w:lineRule="auto"/>
        <w:ind w:left="283"/>
        <w:jc w:val="left"/>
      </w:pPr>
      <w:r>
        <w:rPr>
          <w:rFonts w:ascii="Times New Roman" w:hAnsi="Times New Roman" w:cs="Times New Roman"/>
          <w:b w:val="0"/>
          <w:i w:val="0"/>
          <w:sz w:val="22"/>
        </w:rPr>
        <w:t>- SANDBOX_CONNECTED</w:t>
      </w:r>
    </w:p>
    <w:p>
      <w:pPr>
        <w:spacing w:after="80" w:line="293" w:lineRule="auto"/>
        <w:ind w:left="283"/>
        <w:jc w:val="left"/>
      </w:pPr>
      <w:r>
        <w:rPr>
          <w:rFonts w:ascii="Times New Roman" w:hAnsi="Times New Roman" w:cs="Times New Roman"/>
          <w:b w:val="0"/>
          <w:i w:val="0"/>
          <w:sz w:val="22"/>
        </w:rPr>
        <w:t>- CERTIFICATION_REQUIRED</w:t>
      </w:r>
    </w:p>
    <w:p>
      <w:pPr>
        <w:spacing w:after="80" w:line="293" w:lineRule="auto"/>
        <w:ind w:left="283"/>
        <w:jc w:val="left"/>
      </w:pPr>
      <w:r>
        <w:rPr>
          <w:rFonts w:ascii="Times New Roman" w:hAnsi="Times New Roman" w:cs="Times New Roman"/>
          <w:b w:val="0"/>
          <w:i w:val="0"/>
          <w:sz w:val="22"/>
        </w:rPr>
        <w:t>- CERTIFICATION_PENDING</w:t>
      </w:r>
    </w:p>
    <w:p>
      <w:pPr>
        <w:spacing w:after="80" w:line="293" w:lineRule="auto"/>
        <w:ind w:left="283"/>
        <w:jc w:val="left"/>
      </w:pPr>
      <w:r>
        <w:rPr>
          <w:rFonts w:ascii="Times New Roman" w:hAnsi="Times New Roman" w:cs="Times New Roman"/>
          <w:b w:val="0"/>
          <w:i w:val="0"/>
          <w:sz w:val="22"/>
        </w:rPr>
        <w:t>- PRODUCTION_READY</w:t>
      </w:r>
    </w:p>
    <w:p>
      <w:pPr>
        <w:spacing w:after="80" w:line="293" w:lineRule="auto"/>
        <w:ind w:left="283"/>
        <w:jc w:val="left"/>
      </w:pPr>
      <w:r>
        <w:rPr>
          <w:rFonts w:ascii="Times New Roman" w:hAnsi="Times New Roman" w:cs="Times New Roman"/>
          <w:b w:val="0"/>
          <w:i w:val="0"/>
          <w:sz w:val="22"/>
        </w:rPr>
        <w:t>- PRODUCTION_CONNECTED</w:t>
      </w:r>
    </w:p>
    <w:p>
      <w:pPr>
        <w:spacing w:after="80" w:line="293" w:lineRule="auto"/>
        <w:ind w:left="283"/>
        <w:jc w:val="left"/>
      </w:pPr>
      <w:r>
        <w:rPr>
          <w:rFonts w:ascii="Times New Roman" w:hAnsi="Times New Roman" w:cs="Times New Roman"/>
          <w:b w:val="0"/>
          <w:i w:val="0"/>
          <w:sz w:val="22"/>
        </w:rPr>
        <w:t>- DEGRADED</w:t>
      </w:r>
    </w:p>
    <w:p>
      <w:pPr>
        <w:spacing w:after="80" w:line="293" w:lineRule="auto"/>
        <w:ind w:left="283"/>
        <w:jc w:val="left"/>
      </w:pPr>
      <w:r>
        <w:rPr>
          <w:rFonts w:ascii="Times New Roman" w:hAnsi="Times New Roman" w:cs="Times New Roman"/>
          <w:b w:val="0"/>
          <w:i w:val="0"/>
          <w:sz w:val="22"/>
        </w:rPr>
        <w:t>- OUTAGE</w:t>
      </w:r>
    </w:p>
    <w:p>
      <w:pPr>
        <w:spacing w:after="80" w:line="293" w:lineRule="auto"/>
        <w:ind w:left="283"/>
        <w:jc w:val="left"/>
      </w:pPr>
      <w:r>
        <w:rPr>
          <w:rFonts w:ascii="Times New Roman" w:hAnsi="Times New Roman" w:cs="Times New Roman"/>
          <w:b w:val="0"/>
          <w:i w:val="0"/>
          <w:sz w:val="22"/>
        </w:rPr>
        <w:t>- PORTAL_ONLY</w:t>
      </w:r>
    </w:p>
    <w:p>
      <w:pPr>
        <w:spacing w:after="80" w:line="293" w:lineRule="auto"/>
        <w:ind w:left="283"/>
        <w:jc w:val="left"/>
      </w:pPr>
      <w:r>
        <w:rPr>
          <w:rFonts w:ascii="Times New Roman" w:hAnsi="Times New Roman" w:cs="Times New Roman"/>
          <w:b w:val="0"/>
          <w:i w:val="0"/>
          <w:sz w:val="22"/>
        </w:rPr>
        <w:t>- MANUAL_ONLY</w:t>
      </w:r>
    </w:p>
    <w:p>
      <w:pPr>
        <w:spacing w:after="80" w:line="293" w:lineRule="auto"/>
        <w:ind w:left="283"/>
        <w:jc w:val="left"/>
      </w:pPr>
      <w:r>
        <w:rPr>
          <w:rFonts w:ascii="Times New Roman" w:hAnsi="Times New Roman" w:cs="Times New Roman"/>
          <w:b w:val="0"/>
          <w:i w:val="0"/>
          <w:sz w:val="22"/>
        </w:rPr>
        <w:t>- DEPRECATED</w:t>
      </w:r>
    </w:p>
    <w:p>
      <w:pPr>
        <w:keepNext/>
        <w:spacing w:before="240" w:after="100"/>
        <w:outlineLvl w:val="1"/>
      </w:pPr>
      <w:r>
        <w:rPr>
          <w:rFonts w:ascii="Arial" w:hAnsi="Arial" w:cs="Arial"/>
          <w:b/>
          <w:i w:val="0"/>
          <w:color w:val="2E528F"/>
          <w:sz w:val="26"/>
        </w:rPr>
        <w:t>20.35 Government Authoritative Status</w:t>
      </w:r>
    </w:p>
    <w:p>
      <w:pPr>
        <w:spacing w:after="80" w:line="293" w:lineRule="auto"/>
        <w:jc w:val="left"/>
      </w:pPr>
      <w:r>
        <w:rPr>
          <w:rFonts w:ascii="Times New Roman" w:hAnsi="Times New Roman" w:cs="Times New Roman"/>
          <w:b w:val="0"/>
          <w:i w:val="0"/>
          <w:sz w:val="22"/>
        </w:rPr>
        <w:t>The engine separates:</w:t>
      </w:r>
    </w:p>
    <w:p>
      <w:pPr>
        <w:spacing w:after="80" w:line="293" w:lineRule="auto"/>
        <w:ind w:left="283"/>
        <w:jc w:val="left"/>
      </w:pPr>
      <w:r>
        <w:rPr>
          <w:rFonts w:ascii="Times New Roman" w:hAnsi="Times New Roman" w:cs="Times New Roman"/>
          <w:b w:val="0"/>
          <w:i w:val="0"/>
          <w:sz w:val="22"/>
        </w:rPr>
        <w:t>- SGTX_READY</w:t>
      </w:r>
    </w:p>
    <w:p>
      <w:pPr>
        <w:spacing w:after="80" w:line="293" w:lineRule="auto"/>
        <w:ind w:left="283"/>
        <w:jc w:val="left"/>
      </w:pPr>
      <w:r>
        <w:rPr>
          <w:rFonts w:ascii="Times New Roman" w:hAnsi="Times New Roman" w:cs="Times New Roman"/>
          <w:b w:val="0"/>
          <w:i w:val="0"/>
          <w:sz w:val="22"/>
        </w:rPr>
        <w:t>- SUBMITTED</w:t>
      </w:r>
    </w:p>
    <w:p>
      <w:pPr>
        <w:spacing w:after="80" w:line="293" w:lineRule="auto"/>
        <w:ind w:left="283"/>
        <w:jc w:val="left"/>
      </w:pPr>
      <w:r>
        <w:rPr>
          <w:rFonts w:ascii="Times New Roman" w:hAnsi="Times New Roman" w:cs="Times New Roman"/>
          <w:b w:val="0"/>
          <w:i w:val="0"/>
          <w:sz w:val="22"/>
        </w:rPr>
        <w:t>- GOVERNMENT_ACCEPTED</w:t>
      </w:r>
    </w:p>
    <w:p>
      <w:pPr>
        <w:spacing w:after="80" w:line="293" w:lineRule="auto"/>
        <w:ind w:left="283"/>
        <w:jc w:val="left"/>
      </w:pPr>
      <w:r>
        <w:rPr>
          <w:rFonts w:ascii="Times New Roman" w:hAnsi="Times New Roman" w:cs="Times New Roman"/>
          <w:b w:val="0"/>
          <w:i w:val="0"/>
          <w:sz w:val="22"/>
        </w:rPr>
        <w:t>- GOVERNMENT_REJECTED</w:t>
      </w:r>
    </w:p>
    <w:p>
      <w:pPr>
        <w:spacing w:after="80" w:line="293" w:lineRule="auto"/>
        <w:ind w:left="283"/>
        <w:jc w:val="left"/>
      </w:pPr>
      <w:r>
        <w:rPr>
          <w:rFonts w:ascii="Times New Roman" w:hAnsi="Times New Roman" w:cs="Times New Roman"/>
          <w:b w:val="0"/>
          <w:i w:val="0"/>
          <w:sz w:val="22"/>
        </w:rPr>
        <w:t>- GOVERNMENT_HOLD</w:t>
      </w:r>
    </w:p>
    <w:p>
      <w:pPr>
        <w:spacing w:after="80" w:line="293" w:lineRule="auto"/>
        <w:ind w:left="283"/>
        <w:jc w:val="left"/>
      </w:pPr>
      <w:r>
        <w:rPr>
          <w:rFonts w:ascii="Times New Roman" w:hAnsi="Times New Roman" w:cs="Times New Roman"/>
          <w:b w:val="0"/>
          <w:i w:val="0"/>
          <w:sz w:val="22"/>
        </w:rPr>
        <w:t>- GOVERNMENT_RELEASED</w:t>
      </w:r>
    </w:p>
    <w:p>
      <w:pPr>
        <w:spacing w:after="80" w:line="293" w:lineRule="auto"/>
        <w:ind w:left="283"/>
        <w:jc w:val="left"/>
      </w:pPr>
      <w:r>
        <w:rPr>
          <w:rFonts w:ascii="Times New Roman" w:hAnsi="Times New Roman" w:cs="Times New Roman"/>
          <w:b w:val="0"/>
          <w:i w:val="0"/>
          <w:sz w:val="22"/>
        </w:rPr>
        <w:t>- MANUAL_AUTHORITY_CONFIRMED</w:t>
      </w:r>
    </w:p>
    <w:p>
      <w:pPr>
        <w:spacing w:after="80" w:line="293" w:lineRule="auto"/>
        <w:jc w:val="left"/>
      </w:pPr>
      <w:r>
        <w:rPr>
          <w:rFonts w:ascii="Times New Roman" w:hAnsi="Times New Roman" w:cs="Times New Roman"/>
          <w:b w:val="0"/>
          <w:i w:val="0"/>
          <w:sz w:val="22"/>
        </w:rPr>
        <w:t>SGTX never invents government approval.</w:t>
      </w:r>
    </w:p>
    <w:p>
      <w:pPr>
        <w:keepNext/>
        <w:spacing w:before="240" w:after="100"/>
        <w:outlineLvl w:val="1"/>
      </w:pPr>
      <w:r>
        <w:rPr>
          <w:rFonts w:ascii="Arial" w:hAnsi="Arial" w:cs="Arial"/>
          <w:b/>
          <w:i w:val="0"/>
          <w:color w:val="2E528F"/>
          <w:sz w:val="26"/>
        </w:rPr>
        <w:t>20.36 Government Integration Control Center</w:t>
      </w:r>
    </w:p>
    <w:p>
      <w:pPr>
        <w:spacing w:after="80" w:line="293" w:lineRule="auto"/>
        <w:jc w:val="left"/>
      </w:pPr>
      <w:r>
        <w:rPr>
          <w:rFonts w:ascii="Times New Roman" w:hAnsi="Times New Roman" w:cs="Times New Roman"/>
          <w:b w:val="0"/>
          <w:i w:val="0"/>
          <w:sz w:val="22"/>
        </w:rPr>
        <w:t>The Government Integration Control Center extends the platform's government integration management, connection testing and connector logging (see Section 16) to global scope. It displays:</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system</w:t>
      </w:r>
    </w:p>
    <w:p>
      <w:pPr>
        <w:spacing w:after="80" w:line="293" w:lineRule="auto"/>
        <w:ind w:left="283"/>
        <w:jc w:val="left"/>
      </w:pPr>
      <w:r>
        <w:rPr>
          <w:rFonts w:ascii="Times New Roman" w:hAnsi="Times New Roman" w:cs="Times New Roman"/>
          <w:b w:val="0"/>
          <w:i w:val="0"/>
          <w:sz w:val="22"/>
        </w:rPr>
        <w:t>- jurisdiction</w:t>
      </w:r>
    </w:p>
    <w:p>
      <w:pPr>
        <w:spacing w:after="80" w:line="293" w:lineRule="auto"/>
        <w:ind w:left="283"/>
        <w:jc w:val="left"/>
      </w:pPr>
      <w:r>
        <w:rPr>
          <w:rFonts w:ascii="Times New Roman" w:hAnsi="Times New Roman" w:cs="Times New Roman"/>
          <w:b w:val="0"/>
          <w:i w:val="0"/>
          <w:sz w:val="22"/>
        </w:rPr>
        <w:t>- mode</w:t>
      </w:r>
    </w:p>
    <w:p>
      <w:pPr>
        <w:spacing w:after="80" w:line="293" w:lineRule="auto"/>
        <w:ind w:left="283"/>
        <w:jc w:val="left"/>
      </w:pPr>
      <w:r>
        <w:rPr>
          <w:rFonts w:ascii="Times New Roman" w:hAnsi="Times New Roman" w:cs="Times New Roman"/>
          <w:b w:val="0"/>
          <w:i w:val="0"/>
          <w:sz w:val="22"/>
        </w:rPr>
        <w:t>- procedure</w:t>
      </w:r>
    </w:p>
    <w:p>
      <w:pPr>
        <w:spacing w:after="80" w:line="293" w:lineRule="auto"/>
        <w:ind w:left="283"/>
        <w:jc w:val="left"/>
      </w:pPr>
      <w:r>
        <w:rPr>
          <w:rFonts w:ascii="Times New Roman" w:hAnsi="Times New Roman" w:cs="Times New Roman"/>
          <w:b w:val="0"/>
          <w:i w:val="0"/>
          <w:sz w:val="22"/>
        </w:rPr>
        <w:t>- API</w:t>
      </w:r>
    </w:p>
    <w:p>
      <w:pPr>
        <w:spacing w:after="80" w:line="293" w:lineRule="auto"/>
        <w:ind w:left="283"/>
        <w:jc w:val="left"/>
      </w:pPr>
      <w:r>
        <w:rPr>
          <w:rFonts w:ascii="Times New Roman" w:hAnsi="Times New Roman" w:cs="Times New Roman"/>
          <w:b w:val="0"/>
          <w:i w:val="0"/>
          <w:sz w:val="22"/>
        </w:rPr>
        <w:t>- EDI</w:t>
      </w:r>
    </w:p>
    <w:p>
      <w:pPr>
        <w:spacing w:after="80" w:line="293" w:lineRule="auto"/>
        <w:ind w:left="283"/>
        <w:jc w:val="left"/>
      </w:pPr>
      <w:r>
        <w:rPr>
          <w:rFonts w:ascii="Times New Roman" w:hAnsi="Times New Roman" w:cs="Times New Roman"/>
          <w:b w:val="0"/>
          <w:i w:val="0"/>
          <w:sz w:val="22"/>
        </w:rPr>
        <w:t>- portal</w:t>
      </w:r>
    </w:p>
    <w:p>
      <w:pPr>
        <w:spacing w:after="80" w:line="293" w:lineRule="auto"/>
        <w:ind w:left="283"/>
        <w:jc w:val="left"/>
      </w:pPr>
      <w:r>
        <w:rPr>
          <w:rFonts w:ascii="Times New Roman" w:hAnsi="Times New Roman" w:cs="Times New Roman"/>
          <w:b w:val="0"/>
          <w:i w:val="0"/>
          <w:sz w:val="22"/>
        </w:rPr>
        <w:t>- credentials</w:t>
      </w:r>
    </w:p>
    <w:p>
      <w:pPr>
        <w:spacing w:after="80" w:line="293" w:lineRule="auto"/>
        <w:ind w:left="283"/>
        <w:jc w:val="left"/>
      </w:pPr>
      <w:r>
        <w:rPr>
          <w:rFonts w:ascii="Times New Roman" w:hAnsi="Times New Roman" w:cs="Times New Roman"/>
          <w:b w:val="0"/>
          <w:i w:val="0"/>
          <w:sz w:val="22"/>
        </w:rPr>
        <w:t>- certificate</w:t>
      </w:r>
    </w:p>
    <w:p>
      <w:pPr>
        <w:spacing w:after="80" w:line="293" w:lineRule="auto"/>
        <w:ind w:left="283"/>
        <w:jc w:val="left"/>
      </w:pPr>
      <w:r>
        <w:rPr>
          <w:rFonts w:ascii="Times New Roman" w:hAnsi="Times New Roman" w:cs="Times New Roman"/>
          <w:b w:val="0"/>
          <w:i w:val="0"/>
          <w:sz w:val="22"/>
        </w:rPr>
        <w:t>- sandbox</w:t>
      </w:r>
    </w:p>
    <w:p>
      <w:pPr>
        <w:spacing w:after="80" w:line="293" w:lineRule="auto"/>
        <w:ind w:left="283"/>
        <w:jc w:val="left"/>
      </w:pPr>
      <w:r>
        <w:rPr>
          <w:rFonts w:ascii="Times New Roman" w:hAnsi="Times New Roman" w:cs="Times New Roman"/>
          <w:b w:val="0"/>
          <w:i w:val="0"/>
          <w:sz w:val="22"/>
        </w:rPr>
        <w:t>- certification</w:t>
      </w:r>
    </w:p>
    <w:p>
      <w:pPr>
        <w:spacing w:after="80" w:line="293" w:lineRule="auto"/>
        <w:ind w:left="283"/>
        <w:jc w:val="left"/>
      </w:pPr>
      <w:r>
        <w:rPr>
          <w:rFonts w:ascii="Times New Roman" w:hAnsi="Times New Roman" w:cs="Times New Roman"/>
          <w:b w:val="0"/>
          <w:i w:val="0"/>
          <w:sz w:val="22"/>
        </w:rPr>
        <w:t>- legal agreement</w:t>
      </w:r>
    </w:p>
    <w:p>
      <w:pPr>
        <w:spacing w:after="80" w:line="293" w:lineRule="auto"/>
        <w:ind w:left="283"/>
        <w:jc w:val="left"/>
      </w:pPr>
      <w:r>
        <w:rPr>
          <w:rFonts w:ascii="Times New Roman" w:hAnsi="Times New Roman" w:cs="Times New Roman"/>
          <w:b w:val="0"/>
          <w:i w:val="0"/>
          <w:sz w:val="22"/>
        </w:rPr>
        <w:t>- production status</w:t>
      </w:r>
    </w:p>
    <w:p>
      <w:pPr>
        <w:spacing w:after="80" w:line="293" w:lineRule="auto"/>
        <w:ind w:left="283"/>
        <w:jc w:val="left"/>
      </w:pPr>
      <w:r>
        <w:rPr>
          <w:rFonts w:ascii="Times New Roman" w:hAnsi="Times New Roman" w:cs="Times New Roman"/>
          <w:b w:val="0"/>
          <w:i w:val="0"/>
          <w:sz w:val="22"/>
        </w:rPr>
        <w:t>- last success</w:t>
      </w:r>
    </w:p>
    <w:p>
      <w:pPr>
        <w:spacing w:after="80" w:line="293" w:lineRule="auto"/>
        <w:ind w:left="283"/>
        <w:jc w:val="left"/>
      </w:pPr>
      <w:r>
        <w:rPr>
          <w:rFonts w:ascii="Times New Roman" w:hAnsi="Times New Roman" w:cs="Times New Roman"/>
          <w:b w:val="0"/>
          <w:i w:val="0"/>
          <w:sz w:val="22"/>
        </w:rPr>
        <w:t>- last error</w:t>
      </w:r>
    </w:p>
    <w:p>
      <w:pPr>
        <w:spacing w:after="80" w:line="293" w:lineRule="auto"/>
        <w:ind w:left="283"/>
        <w:jc w:val="left"/>
      </w:pPr>
      <w:r>
        <w:rPr>
          <w:rFonts w:ascii="Times New Roman" w:hAnsi="Times New Roman" w:cs="Times New Roman"/>
          <w:b w:val="0"/>
          <w:i w:val="0"/>
          <w:sz w:val="22"/>
        </w:rPr>
        <w:t>- version</w:t>
      </w:r>
    </w:p>
    <w:p>
      <w:pPr>
        <w:spacing w:after="80" w:line="293" w:lineRule="auto"/>
        <w:ind w:left="283"/>
        <w:jc w:val="left"/>
      </w:pPr>
      <w:r>
        <w:rPr>
          <w:rFonts w:ascii="Times New Roman" w:hAnsi="Times New Roman" w:cs="Times New Roman"/>
          <w:b w:val="0"/>
          <w:i w:val="0"/>
          <w:sz w:val="22"/>
        </w:rPr>
        <w:t>- owner</w:t>
      </w:r>
    </w:p>
    <w:p>
      <w:pPr>
        <w:keepNext/>
        <w:spacing w:before="240" w:after="100"/>
        <w:outlineLvl w:val="1"/>
      </w:pPr>
      <w:r>
        <w:rPr>
          <w:rFonts w:ascii="Arial" w:hAnsi="Arial" w:cs="Arial"/>
          <w:b/>
          <w:i w:val="0"/>
          <w:color w:val="2E528F"/>
          <w:sz w:val="26"/>
        </w:rPr>
        <w:t>20.37 Four-Dimension External Readiness</w:t>
      </w:r>
    </w:p>
    <w:p>
      <w:pPr>
        <w:spacing w:after="80" w:line="293" w:lineRule="auto"/>
        <w:jc w:val="left"/>
      </w:pPr>
      <w:r>
        <w:rPr>
          <w:rFonts w:ascii="Times New Roman" w:hAnsi="Times New Roman" w:cs="Times New Roman"/>
          <w:b w:val="0"/>
          <w:i w:val="0"/>
          <w:sz w:val="22"/>
        </w:rPr>
        <w:t>Every integration reports independently on four dimensions:</w:t>
      </w:r>
    </w:p>
    <w:p>
      <w:pPr>
        <w:spacing w:after="80" w:line="293" w:lineRule="auto"/>
        <w:ind w:left="283"/>
        <w:jc w:val="left"/>
      </w:pPr>
      <w:r>
        <w:rPr>
          <w:rFonts w:ascii="Times New Roman" w:hAnsi="Times New Roman" w:cs="Times New Roman"/>
          <w:b w:val="0"/>
          <w:i w:val="0"/>
          <w:sz w:val="22"/>
        </w:rPr>
        <w:t>- TECHNICAL</w:t>
      </w:r>
    </w:p>
    <w:p>
      <w:pPr>
        <w:spacing w:after="80" w:line="293" w:lineRule="auto"/>
        <w:ind w:left="283"/>
        <w:jc w:val="left"/>
      </w:pPr>
      <w:r>
        <w:rPr>
          <w:rFonts w:ascii="Times New Roman" w:hAnsi="Times New Roman" w:cs="Times New Roman"/>
          <w:b w:val="0"/>
          <w:i w:val="0"/>
          <w:sz w:val="22"/>
        </w:rPr>
        <w:t>- LEGAL</w:t>
      </w:r>
    </w:p>
    <w:p>
      <w:pPr>
        <w:spacing w:after="80" w:line="293" w:lineRule="auto"/>
        <w:ind w:left="283"/>
        <w:jc w:val="left"/>
      </w:pPr>
      <w:r>
        <w:rPr>
          <w:rFonts w:ascii="Times New Roman" w:hAnsi="Times New Roman" w:cs="Times New Roman"/>
          <w:b w:val="0"/>
          <w:i w:val="0"/>
          <w:sz w:val="22"/>
        </w:rPr>
        <w:t>- OPERATIONAL</w:t>
      </w:r>
    </w:p>
    <w:p>
      <w:pPr>
        <w:spacing w:after="80" w:line="293" w:lineRule="auto"/>
        <w:ind w:left="283"/>
        <w:jc w:val="left"/>
      </w:pPr>
      <w:r>
        <w:rPr>
          <w:rFonts w:ascii="Times New Roman" w:hAnsi="Times New Roman" w:cs="Times New Roman"/>
          <w:b w:val="0"/>
          <w:i w:val="0"/>
          <w:sz w:val="22"/>
        </w:rPr>
        <w:t>- COMMERCIAL</w:t>
      </w:r>
    </w:p>
    <w:p>
      <w:pPr>
        <w:spacing w:after="80" w:line="293" w:lineRule="auto"/>
        <w:jc w:val="left"/>
      </w:pPr>
      <w:r>
        <w:rPr>
          <w:rFonts w:ascii="Times New Roman" w:hAnsi="Times New Roman" w:cs="Times New Roman"/>
          <w:b w:val="0"/>
          <w:i w:val="0"/>
          <w:sz w:val="22"/>
        </w:rPr>
        <w:t>This avoids saying "Connected" when a connector is technically connected but legally uncertified.</w:t>
      </w:r>
    </w:p>
    <w:p>
      <w:pPr>
        <w:keepNext/>
        <w:spacing w:before="240" w:after="100"/>
        <w:outlineLvl w:val="1"/>
      </w:pPr>
      <w:r>
        <w:rPr>
          <w:rFonts w:ascii="Arial" w:hAnsi="Arial" w:cs="Arial"/>
          <w:b/>
          <w:i w:val="0"/>
          <w:color w:val="2E528F"/>
          <w:sz w:val="26"/>
        </w:rPr>
        <w:t>20.38 Missing-Integration Center</w:t>
      </w:r>
    </w:p>
    <w:p>
      <w:pPr>
        <w:spacing w:after="80" w:line="293" w:lineRule="auto"/>
        <w:jc w:val="left"/>
      </w:pPr>
      <w:r>
        <w:rPr>
          <w:rFonts w:ascii="Times New Roman" w:hAnsi="Times New Roman" w:cs="Times New Roman"/>
          <w:b w:val="0"/>
          <w:i w:val="0"/>
          <w:sz w:val="22"/>
        </w:rPr>
        <w:t>Every missing requirement shows:</w:t>
      </w:r>
    </w:p>
    <w:p>
      <w:pPr>
        <w:spacing w:after="80" w:line="293" w:lineRule="auto"/>
        <w:ind w:left="283"/>
        <w:jc w:val="left"/>
      </w:pPr>
      <w:r>
        <w:rPr>
          <w:rFonts w:ascii="Times New Roman" w:hAnsi="Times New Roman" w:cs="Times New Roman"/>
          <w:b w:val="0"/>
          <w:i w:val="0"/>
          <w:sz w:val="22"/>
        </w:rPr>
        <w:t>- JURISDICTION</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SYSTEM</w:t>
      </w:r>
    </w:p>
    <w:p>
      <w:pPr>
        <w:spacing w:after="80" w:line="293" w:lineRule="auto"/>
        <w:ind w:left="283"/>
        <w:jc w:val="left"/>
      </w:pPr>
      <w:r>
        <w:rPr>
          <w:rFonts w:ascii="Times New Roman" w:hAnsi="Times New Roman" w:cs="Times New Roman"/>
          <w:b w:val="0"/>
          <w:i w:val="0"/>
          <w:sz w:val="22"/>
        </w:rPr>
        <w:t>- PROCEDURE</w:t>
      </w:r>
    </w:p>
    <w:p>
      <w:pPr>
        <w:spacing w:after="80" w:line="293" w:lineRule="auto"/>
        <w:ind w:left="283"/>
        <w:jc w:val="left"/>
      </w:pPr>
      <w:r>
        <w:rPr>
          <w:rFonts w:ascii="Times New Roman" w:hAnsi="Times New Roman" w:cs="Times New Roman"/>
          <w:b w:val="0"/>
          <w:i w:val="0"/>
          <w:sz w:val="22"/>
        </w:rPr>
        <w:t>- MODE</w:t>
      </w:r>
    </w:p>
    <w:p>
      <w:pPr>
        <w:spacing w:after="80" w:line="293" w:lineRule="auto"/>
        <w:ind w:left="283"/>
        <w:jc w:val="left"/>
      </w:pPr>
      <w:r>
        <w:rPr>
          <w:rFonts w:ascii="Times New Roman" w:hAnsi="Times New Roman" w:cs="Times New Roman"/>
          <w:b w:val="0"/>
          <w:i w:val="0"/>
          <w:sz w:val="22"/>
        </w:rPr>
        <w:t>- WHY_REQUIRED</w:t>
      </w:r>
    </w:p>
    <w:p>
      <w:pPr>
        <w:spacing w:after="80" w:line="293" w:lineRule="auto"/>
        <w:ind w:left="283"/>
        <w:jc w:val="left"/>
      </w:pPr>
      <w:r>
        <w:rPr>
          <w:rFonts w:ascii="Times New Roman" w:hAnsi="Times New Roman" w:cs="Times New Roman"/>
          <w:b w:val="0"/>
          <w:i w:val="0"/>
          <w:sz w:val="22"/>
        </w:rPr>
        <w:t>- API</w:t>
      </w:r>
    </w:p>
    <w:p>
      <w:pPr>
        <w:spacing w:after="80" w:line="293" w:lineRule="auto"/>
        <w:ind w:left="283"/>
        <w:jc w:val="left"/>
      </w:pPr>
      <w:r>
        <w:rPr>
          <w:rFonts w:ascii="Times New Roman" w:hAnsi="Times New Roman" w:cs="Times New Roman"/>
          <w:b w:val="0"/>
          <w:i w:val="0"/>
          <w:sz w:val="22"/>
        </w:rPr>
        <w:t>- EDI</w:t>
      </w:r>
    </w:p>
    <w:p>
      <w:pPr>
        <w:spacing w:after="80" w:line="293" w:lineRule="auto"/>
        <w:ind w:left="283"/>
        <w:jc w:val="left"/>
      </w:pPr>
      <w:r>
        <w:rPr>
          <w:rFonts w:ascii="Times New Roman" w:hAnsi="Times New Roman" w:cs="Times New Roman"/>
          <w:b w:val="0"/>
          <w:i w:val="0"/>
          <w:sz w:val="22"/>
        </w:rPr>
        <w:t>- PORTAL</w:t>
      </w:r>
    </w:p>
    <w:p>
      <w:pPr>
        <w:spacing w:after="80" w:line="293" w:lineRule="auto"/>
        <w:ind w:left="283"/>
        <w:jc w:val="left"/>
      </w:pPr>
      <w:r>
        <w:rPr>
          <w:rFonts w:ascii="Times New Roman" w:hAnsi="Times New Roman" w:cs="Times New Roman"/>
          <w:b w:val="0"/>
          <w:i w:val="0"/>
          <w:sz w:val="22"/>
        </w:rPr>
        <w:t>- SANDBOX</w:t>
      </w:r>
    </w:p>
    <w:p>
      <w:pPr>
        <w:spacing w:after="80" w:line="293" w:lineRule="auto"/>
        <w:ind w:left="283"/>
        <w:jc w:val="left"/>
      </w:pPr>
      <w:r>
        <w:rPr>
          <w:rFonts w:ascii="Times New Roman" w:hAnsi="Times New Roman" w:cs="Times New Roman"/>
          <w:b w:val="0"/>
          <w:i w:val="0"/>
          <w:sz w:val="22"/>
        </w:rPr>
        <w:t>- CREDENTIALS</w:t>
      </w:r>
    </w:p>
    <w:p>
      <w:pPr>
        <w:spacing w:after="80" w:line="293" w:lineRule="auto"/>
        <w:ind w:left="283"/>
        <w:jc w:val="left"/>
      </w:pPr>
      <w:r>
        <w:rPr>
          <w:rFonts w:ascii="Times New Roman" w:hAnsi="Times New Roman" w:cs="Times New Roman"/>
          <w:b w:val="0"/>
          <w:i w:val="0"/>
          <w:sz w:val="22"/>
        </w:rPr>
        <w:t>- CERTIFICATION</w:t>
      </w:r>
    </w:p>
    <w:p>
      <w:pPr>
        <w:spacing w:after="80" w:line="293" w:lineRule="auto"/>
        <w:ind w:left="283"/>
        <w:jc w:val="left"/>
      </w:pPr>
      <w:r>
        <w:rPr>
          <w:rFonts w:ascii="Times New Roman" w:hAnsi="Times New Roman" w:cs="Times New Roman"/>
          <w:b w:val="0"/>
          <w:i w:val="0"/>
          <w:sz w:val="22"/>
        </w:rPr>
        <w:t>- LEGAL_AGREEMENT</w:t>
      </w:r>
    </w:p>
    <w:p>
      <w:pPr>
        <w:spacing w:after="80" w:line="293" w:lineRule="auto"/>
        <w:ind w:left="283"/>
        <w:jc w:val="left"/>
      </w:pPr>
      <w:r>
        <w:rPr>
          <w:rFonts w:ascii="Times New Roman" w:hAnsi="Times New Roman" w:cs="Times New Roman"/>
          <w:b w:val="0"/>
          <w:i w:val="0"/>
          <w:sz w:val="22"/>
        </w:rPr>
        <w:t>- STATUS</w:t>
      </w:r>
    </w:p>
    <w:p>
      <w:pPr>
        <w:spacing w:after="80" w:line="293" w:lineRule="auto"/>
        <w:ind w:left="283"/>
        <w:jc w:val="left"/>
      </w:pPr>
      <w:r>
        <w:rPr>
          <w:rFonts w:ascii="Times New Roman" w:hAnsi="Times New Roman" w:cs="Times New Roman"/>
          <w:b w:val="0"/>
          <w:i w:val="0"/>
          <w:sz w:val="22"/>
        </w:rPr>
        <w:t>- PRIORITY</w:t>
      </w:r>
    </w:p>
    <w:p>
      <w:pPr>
        <w:spacing w:after="80" w:line="293" w:lineRule="auto"/>
        <w:ind w:left="283"/>
        <w:jc w:val="left"/>
      </w:pPr>
      <w:r>
        <w:rPr>
          <w:rFonts w:ascii="Times New Roman" w:hAnsi="Times New Roman" w:cs="Times New Roman"/>
          <w:b w:val="0"/>
          <w:i w:val="0"/>
          <w:sz w:val="22"/>
        </w:rPr>
        <w:t>- OWNER</w:t>
      </w:r>
    </w:p>
    <w:p>
      <w:pPr>
        <w:spacing w:after="80" w:line="293" w:lineRule="auto"/>
        <w:ind w:left="283"/>
        <w:jc w:val="left"/>
      </w:pPr>
      <w:r>
        <w:rPr>
          <w:rFonts w:ascii="Times New Roman" w:hAnsi="Times New Roman" w:cs="Times New Roman"/>
          <w:b w:val="0"/>
          <w:i w:val="0"/>
          <w:sz w:val="22"/>
        </w:rPr>
        <w:t>- NEXT_ACTION</w:t>
      </w:r>
    </w:p>
    <w:p>
      <w:pPr>
        <w:spacing w:after="80" w:line="293" w:lineRule="auto"/>
        <w:ind w:left="283"/>
        <w:jc w:val="left"/>
      </w:pPr>
      <w:r>
        <w:rPr>
          <w:rFonts w:ascii="Times New Roman" w:hAnsi="Times New Roman" w:cs="Times New Roman"/>
          <w:b w:val="0"/>
          <w:i w:val="0"/>
          <w:sz w:val="22"/>
        </w:rPr>
        <w:t>- AFFECTED_USTNs</w:t>
      </w:r>
    </w:p>
    <w:p>
      <w:pPr>
        <w:spacing w:after="80" w:line="293" w:lineRule="auto"/>
        <w:ind w:left="283"/>
        <w:jc w:val="left"/>
      </w:pPr>
      <w:r>
        <w:rPr>
          <w:rFonts w:ascii="Times New Roman" w:hAnsi="Times New Roman" w:cs="Times New Roman"/>
          <w:b w:val="0"/>
          <w:i w:val="0"/>
          <w:sz w:val="22"/>
        </w:rPr>
        <w:t>- AFFECTED_TRADE_LANES</w:t>
      </w:r>
    </w:p>
    <w:p>
      <w:pPr>
        <w:spacing w:after="80" w:line="293" w:lineRule="auto"/>
        <w:jc w:val="left"/>
      </w:pPr>
      <w:r>
        <w:rPr>
          <w:rFonts w:ascii="Times New Roman" w:hAnsi="Times New Roman" w:cs="Times New Roman"/>
          <w:b w:val="0"/>
          <w:i w:val="0"/>
          <w:sz w:val="22"/>
        </w:rPr>
        <w:t>Priority: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Priority</w:t>
            </w:r>
          </w:p>
        </w:tc>
        <w:tc>
          <w:tcPr>
            <w:tcW w:type="dxa" w:w="4819"/>
            <w:shd w:val="clear" w:fill="D9E2F3"/>
          </w:tcPr>
          <w:p>
            <w:pPr>
              <w:spacing w:after="20" w:before="20" w:line="240" w:lineRule="auto"/>
            </w:pPr>
            <w:r/>
            <w:r>
              <w:rPr>
                <w:rFonts w:ascii="Arial" w:hAnsi="Arial" w:cs="Arial"/>
                <w:b/>
                <w:i w:val="0"/>
                <w:sz w:val="18"/>
              </w:rPr>
              <w:t>Meaning</w:t>
            </w:r>
          </w:p>
        </w:tc>
      </w:tr>
      <w:tr>
        <w:tc>
          <w:tcPr>
            <w:tcW w:type="dxa" w:w="4819"/>
          </w:tcPr>
          <w:p>
            <w:pPr>
              <w:spacing w:after="20" w:before="20" w:line="240" w:lineRule="auto"/>
            </w:pPr>
            <w:r/>
            <w:r>
              <w:rPr>
                <w:rFonts w:ascii="Arial" w:hAnsi="Arial" w:cs="Arial"/>
                <w:b w:val="0"/>
                <w:i w:val="0"/>
                <w:sz w:val="17"/>
              </w:rPr>
              <w:t>P0</w:t>
            </w:r>
          </w:p>
        </w:tc>
        <w:tc>
          <w:tcPr>
            <w:tcW w:type="dxa" w:w="4819"/>
          </w:tcPr>
          <w:p>
            <w:pPr>
              <w:spacing w:after="20" w:before="20" w:line="240" w:lineRule="auto"/>
            </w:pPr>
            <w:r/>
            <w:r>
              <w:rPr>
                <w:rFonts w:ascii="Arial" w:hAnsi="Arial" w:cs="Arial"/>
                <w:b w:val="0"/>
                <w:i w:val="0"/>
                <w:sz w:val="17"/>
              </w:rPr>
              <w:t>Legally blocks</w:t>
            </w:r>
          </w:p>
        </w:tc>
      </w:tr>
      <w:tr>
        <w:tc>
          <w:tcPr>
            <w:tcW w:type="dxa" w:w="4819"/>
          </w:tcPr>
          <w:p>
            <w:pPr>
              <w:spacing w:after="20" w:before="20" w:line="240" w:lineRule="auto"/>
            </w:pPr>
            <w:r/>
            <w:r>
              <w:rPr>
                <w:rFonts w:ascii="Arial" w:hAnsi="Arial" w:cs="Arial"/>
                <w:b w:val="0"/>
                <w:i w:val="0"/>
                <w:sz w:val="17"/>
              </w:rPr>
              <w:t>P1</w:t>
            </w:r>
          </w:p>
        </w:tc>
        <w:tc>
          <w:tcPr>
            <w:tcW w:type="dxa" w:w="4819"/>
          </w:tcPr>
          <w:p>
            <w:pPr>
              <w:spacing w:after="20" w:before="20" w:line="240" w:lineRule="auto"/>
            </w:pPr>
            <w:r/>
            <w:r>
              <w:rPr>
                <w:rFonts w:ascii="Arial" w:hAnsi="Arial" w:cs="Arial"/>
                <w:b w:val="0"/>
                <w:i w:val="0"/>
                <w:sz w:val="17"/>
              </w:rPr>
              <w:t>Major trade-lane blocker</w:t>
            </w:r>
          </w:p>
        </w:tc>
      </w:tr>
      <w:tr>
        <w:tc>
          <w:tcPr>
            <w:tcW w:type="dxa" w:w="4819"/>
          </w:tcPr>
          <w:p>
            <w:pPr>
              <w:spacing w:after="20" w:before="20" w:line="240" w:lineRule="auto"/>
            </w:pPr>
            <w:r/>
            <w:r>
              <w:rPr>
                <w:rFonts w:ascii="Arial" w:hAnsi="Arial" w:cs="Arial"/>
                <w:b w:val="0"/>
                <w:i w:val="0"/>
                <w:sz w:val="17"/>
              </w:rPr>
              <w:t>P2</w:t>
            </w:r>
          </w:p>
        </w:tc>
        <w:tc>
          <w:tcPr>
            <w:tcW w:type="dxa" w:w="4819"/>
          </w:tcPr>
          <w:p>
            <w:pPr>
              <w:spacing w:after="20" w:before="20" w:line="240" w:lineRule="auto"/>
            </w:pPr>
            <w:r/>
            <w:r>
              <w:rPr>
                <w:rFonts w:ascii="Arial" w:hAnsi="Arial" w:cs="Arial"/>
                <w:b w:val="0"/>
                <w:i w:val="0"/>
                <w:sz w:val="17"/>
              </w:rPr>
              <w:t>Manual operation</w:t>
            </w:r>
          </w:p>
        </w:tc>
      </w:tr>
      <w:tr>
        <w:tc>
          <w:tcPr>
            <w:tcW w:type="dxa" w:w="4819"/>
          </w:tcPr>
          <w:p>
            <w:pPr>
              <w:spacing w:after="20" w:before="20" w:line="240" w:lineRule="auto"/>
            </w:pPr>
            <w:r/>
            <w:r>
              <w:rPr>
                <w:rFonts w:ascii="Arial" w:hAnsi="Arial" w:cs="Arial"/>
                <w:b w:val="0"/>
                <w:i w:val="0"/>
                <w:sz w:val="17"/>
              </w:rPr>
              <w:t>P3</w:t>
            </w:r>
          </w:p>
        </w:tc>
        <w:tc>
          <w:tcPr>
            <w:tcW w:type="dxa" w:w="4819"/>
          </w:tcPr>
          <w:p>
            <w:pPr>
              <w:spacing w:after="20" w:before="20" w:line="240" w:lineRule="auto"/>
            </w:pPr>
            <w:r/>
            <w:r>
              <w:rPr>
                <w:rFonts w:ascii="Arial" w:hAnsi="Arial" w:cs="Arial"/>
                <w:b w:val="0"/>
                <w:i w:val="0"/>
                <w:sz w:val="17"/>
              </w:rPr>
              <w:t>Optimization</w:t>
            </w:r>
          </w:p>
        </w:tc>
      </w:tr>
      <w:tr>
        <w:tc>
          <w:tcPr>
            <w:tcW w:type="dxa" w:w="4819"/>
          </w:tcPr>
          <w:p>
            <w:pPr>
              <w:spacing w:after="20" w:before="20" w:line="240" w:lineRule="auto"/>
            </w:pPr>
            <w:r/>
            <w:r>
              <w:rPr>
                <w:rFonts w:ascii="Arial" w:hAnsi="Arial" w:cs="Arial"/>
                <w:b w:val="0"/>
                <w:i w:val="0"/>
                <w:sz w:val="17"/>
              </w:rPr>
              <w:t>P4</w:t>
            </w:r>
          </w:p>
        </w:tc>
        <w:tc>
          <w:tcPr>
            <w:tcW w:type="dxa" w:w="4819"/>
          </w:tcPr>
          <w:p>
            <w:pPr>
              <w:spacing w:after="20" w:before="20" w:line="240" w:lineRule="auto"/>
            </w:pPr>
            <w:r/>
            <w:r>
              <w:rPr>
                <w:rFonts w:ascii="Arial" w:hAnsi="Arial" w:cs="Arial"/>
                <w:b w:val="0"/>
                <w:i w:val="0"/>
                <w:sz w:val="17"/>
              </w:rPr>
              <w:t>Optional</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20.39 Country Activation</w:t>
      </w:r>
    </w:p>
    <w:p>
      <w:pPr>
        <w:spacing w:after="80" w:line="293" w:lineRule="auto"/>
        <w:jc w:val="left"/>
      </w:pPr>
      <w:r>
        <w:rPr>
          <w:rFonts w:ascii="Times New Roman" w:hAnsi="Times New Roman" w:cs="Times New Roman"/>
          <w:b w:val="0"/>
          <w:i w:val="0"/>
          <w:sz w:val="22"/>
        </w:rPr>
        <w:t>Country activation workflow:</w:t>
      </w:r>
    </w:p>
    <w:p>
      <w:pPr>
        <w:spacing w:after="0" w:before="0" w:line="240" w:lineRule="auto"/>
        <w:ind w:left="57"/>
        <w:jc w:val="left"/>
        <w:shd w:val="clear" w:fill="F2F2F2"/>
      </w:pPr>
      <w:r>
        <w:rPr>
          <w:rFonts w:ascii="Consolas" w:hAnsi="Consolas" w:cs="Consolas"/>
          <w:b w:val="0"/>
          <w:i w:val="0"/>
          <w:sz w:val="15"/>
        </w:rPr>
        <w:t>SELECT JURISDICTION → LOAD OFFICIAL SOURCES → CONFIGURE CUSTOMS → CONFIGURE TAX →</w:t>
      </w:r>
    </w:p>
    <w:p>
      <w:pPr>
        <w:spacing w:after="0" w:before="0" w:line="240" w:lineRule="auto"/>
        <w:ind w:left="57"/>
        <w:jc w:val="left"/>
        <w:shd w:val="clear" w:fill="F2F2F2"/>
      </w:pPr>
      <w:r>
        <w:rPr>
          <w:rFonts w:ascii="Consolas" w:hAnsi="Consolas" w:cs="Consolas"/>
          <w:b w:val="0"/>
          <w:i w:val="0"/>
          <w:sz w:val="15"/>
        </w:rPr>
        <w:t>CONFIGURE SPS → CONFIGURE TBT → CONFIGURE LICENSES → CONFIGURE TRANSPORT →</w:t>
      </w:r>
    </w:p>
    <w:p>
      <w:pPr>
        <w:spacing w:after="0" w:before="0" w:line="240" w:lineRule="auto"/>
        <w:ind w:left="57"/>
        <w:jc w:val="left"/>
        <w:shd w:val="clear" w:fill="F2F2F2"/>
      </w:pPr>
      <w:r>
        <w:rPr>
          <w:rFonts w:ascii="Consolas" w:hAnsi="Consolas" w:cs="Consolas"/>
          <w:b w:val="0"/>
          <w:i w:val="0"/>
          <w:sz w:val="15"/>
        </w:rPr>
        <w:t>IDENTIFY GOVERNMENT SYSTEMS → IDENTIFY APIs/EDI/PORTALS → CREDENTIALS → SANDBOX →</w:t>
      </w:r>
    </w:p>
    <w:p>
      <w:pPr>
        <w:spacing w:after="0" w:before="0" w:line="240" w:lineRule="auto"/>
        <w:ind w:left="57"/>
        <w:jc w:val="left"/>
        <w:shd w:val="clear" w:fill="F2F2F2"/>
      </w:pPr>
      <w:r>
        <w:rPr>
          <w:rFonts w:ascii="Consolas" w:hAnsi="Consolas" w:cs="Consolas"/>
          <w:b w:val="0"/>
          <w:i w:val="0"/>
          <w:sz w:val="15"/>
        </w:rPr>
        <w:t>CONFORMANCE → LEGAL REVIEW → PRODUCTION AUTHORIZATION → ACTIVATE → LOOM</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20.40 Country Activation ≠ Production Activation</w:t>
      </w:r>
    </w:p>
    <w:p>
      <w:pPr>
        <w:spacing w:after="80" w:line="293" w:lineRule="auto"/>
        <w:jc w:val="left"/>
      </w:pPr>
      <w:r>
        <w:rPr>
          <w:rFonts w:ascii="Times New Roman" w:hAnsi="Times New Roman" w:cs="Times New Roman"/>
          <w:b w:val="0"/>
          <w:i w:val="0"/>
          <w:sz w:val="22"/>
        </w:rPr>
        <w:t>This rule is enforced everywhere. For example: COUNTRY_CONFIGURED + ADAPTER_READY + NO PRODUCTION CREDENTIALS must remain INTEGRATION_REQUIRED, not PRODUCTION_CONNECTED.</w:t>
      </w:r>
    </w:p>
    <w:p>
      <w:pPr>
        <w:keepNext/>
        <w:spacing w:before="240" w:after="100"/>
        <w:outlineLvl w:val="1"/>
      </w:pPr>
      <w:r>
        <w:rPr>
          <w:rFonts w:ascii="Arial" w:hAnsi="Arial" w:cs="Arial"/>
          <w:b/>
          <w:i w:val="0"/>
          <w:color w:val="2E528F"/>
          <w:sz w:val="26"/>
        </w:rPr>
        <w:t>20.41 Trade Lane Passport</w:t>
      </w:r>
    </w:p>
    <w:p>
      <w:pPr>
        <w:spacing w:after="80" w:line="293" w:lineRule="auto"/>
        <w:jc w:val="left"/>
      </w:pPr>
      <w:r>
        <w:rPr>
          <w:rFonts w:ascii="Times New Roman" w:hAnsi="Times New Roman" w:cs="Times New Roman"/>
          <w:b w:val="0"/>
          <w:i w:val="0"/>
          <w:sz w:val="22"/>
        </w:rPr>
        <w:t>For every:</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COMMODITY</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MODE</w:t>
      </w:r>
    </w:p>
    <w:p>
      <w:pPr>
        <w:spacing w:after="80" w:line="293" w:lineRule="auto"/>
        <w:ind w:left="283"/>
        <w:jc w:val="left"/>
      </w:pPr>
      <w:r>
        <w:rPr>
          <w:rFonts w:ascii="Times New Roman" w:hAnsi="Times New Roman" w:cs="Times New Roman"/>
          <w:b w:val="0"/>
          <w:i w:val="0"/>
          <w:sz w:val="22"/>
        </w:rPr>
        <w:t>- INCOTERM</w:t>
      </w:r>
    </w:p>
    <w:p>
      <w:pPr>
        <w:spacing w:after="80" w:line="293" w:lineRule="auto"/>
        <w:jc w:val="left"/>
      </w:pPr>
      <w:r>
        <w:rPr>
          <w:rFonts w:ascii="Times New Roman" w:hAnsi="Times New Roman" w:cs="Times New Roman"/>
          <w:b w:val="0"/>
          <w:i w:val="0"/>
          <w:sz w:val="22"/>
        </w:rPr>
        <w:t>the platform generates a TRADE_LANE_PASSPORT containing:</w:t>
      </w:r>
    </w:p>
    <w:p>
      <w:pPr>
        <w:spacing w:after="80" w:line="293" w:lineRule="auto"/>
        <w:ind w:left="283"/>
        <w:jc w:val="left"/>
      </w:pPr>
      <w:r>
        <w:rPr>
          <w:rFonts w:ascii="Times New Roman" w:hAnsi="Times New Roman" w:cs="Times New Roman"/>
          <w:b w:val="0"/>
          <w:i w:val="0"/>
          <w:sz w:val="22"/>
        </w:rPr>
        <w:t>- legal</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licenses</w:t>
      </w:r>
    </w:p>
    <w:p>
      <w:pPr>
        <w:spacing w:after="80" w:line="293" w:lineRule="auto"/>
        <w:ind w:left="283"/>
        <w:jc w:val="left"/>
      </w:pPr>
      <w:r>
        <w:rPr>
          <w:rFonts w:ascii="Times New Roman" w:hAnsi="Times New Roman" w:cs="Times New Roman"/>
          <w:b w:val="0"/>
          <w:i w:val="0"/>
          <w:sz w:val="22"/>
        </w:rPr>
        <w:t>- permits</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transport</w:t>
      </w:r>
    </w:p>
    <w:p>
      <w:pPr>
        <w:spacing w:after="80" w:line="293" w:lineRule="auto"/>
        <w:ind w:left="283"/>
        <w:jc w:val="left"/>
      </w:pPr>
      <w:r>
        <w:rPr>
          <w:rFonts w:ascii="Times New Roman" w:hAnsi="Times New Roman" w:cs="Times New Roman"/>
          <w:b w:val="0"/>
          <w:i w:val="0"/>
          <w:sz w:val="22"/>
        </w:rPr>
        <w:t>- providers</w:t>
      </w:r>
    </w:p>
    <w:p>
      <w:pPr>
        <w:spacing w:after="80" w:line="293" w:lineRule="auto"/>
        <w:ind w:left="283"/>
        <w:jc w:val="left"/>
      </w:pPr>
      <w:r>
        <w:rPr>
          <w:rFonts w:ascii="Times New Roman" w:hAnsi="Times New Roman" w:cs="Times New Roman"/>
          <w:b w:val="0"/>
          <w:i w:val="0"/>
          <w:sz w:val="22"/>
        </w:rPr>
        <w:t>- broker</w:t>
      </w:r>
    </w:p>
    <w:p>
      <w:pPr>
        <w:spacing w:after="80" w:line="293" w:lineRule="auto"/>
        <w:ind w:left="283"/>
        <w:jc w:val="left"/>
      </w:pPr>
      <w:r>
        <w:rPr>
          <w:rFonts w:ascii="Times New Roman" w:hAnsi="Times New Roman" w:cs="Times New Roman"/>
          <w:b w:val="0"/>
          <w:i w:val="0"/>
          <w:sz w:val="22"/>
        </w:rPr>
        <w:t>- tax</w:t>
      </w:r>
    </w:p>
    <w:p>
      <w:pPr>
        <w:spacing w:after="80" w:line="293" w:lineRule="auto"/>
        <w:ind w:left="283"/>
        <w:jc w:val="left"/>
      </w:pPr>
      <w:r>
        <w:rPr>
          <w:rFonts w:ascii="Times New Roman" w:hAnsi="Times New Roman" w:cs="Times New Roman"/>
          <w:b w:val="0"/>
          <w:i w:val="0"/>
          <w:sz w:val="22"/>
        </w:rPr>
        <w:t>- duty</w:t>
      </w:r>
    </w:p>
    <w:p>
      <w:pPr>
        <w:spacing w:after="80" w:line="293" w:lineRule="auto"/>
        <w:ind w:left="283"/>
        <w:jc w:val="left"/>
      </w:pPr>
      <w:r>
        <w:rPr>
          <w:rFonts w:ascii="Times New Roman" w:hAnsi="Times New Roman" w:cs="Times New Roman"/>
          <w:b w:val="0"/>
          <w:i w:val="0"/>
          <w:sz w:val="22"/>
        </w:rPr>
        <w:t>- government systems</w:t>
      </w:r>
    </w:p>
    <w:p>
      <w:pPr>
        <w:spacing w:after="80" w:line="293" w:lineRule="auto"/>
        <w:ind w:left="283"/>
        <w:jc w:val="left"/>
      </w:pPr>
      <w:r>
        <w:rPr>
          <w:rFonts w:ascii="Times New Roman" w:hAnsi="Times New Roman" w:cs="Times New Roman"/>
          <w:b w:val="0"/>
          <w:i w:val="0"/>
          <w:sz w:val="22"/>
        </w:rPr>
        <w:t>- payment</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manual steps</w:t>
      </w:r>
    </w:p>
    <w:p>
      <w:pPr>
        <w:spacing w:after="80" w:line="293" w:lineRule="auto"/>
        <w:ind w:left="283"/>
        <w:jc w:val="left"/>
      </w:pPr>
      <w:r>
        <w:rPr>
          <w:rFonts w:ascii="Times New Roman" w:hAnsi="Times New Roman" w:cs="Times New Roman"/>
          <w:b w:val="0"/>
          <w:i w:val="0"/>
          <w:sz w:val="22"/>
        </w:rPr>
        <w:t>- expected exceptions</w:t>
      </w:r>
    </w:p>
    <w:p>
      <w:pPr>
        <w:spacing w:after="80" w:line="293" w:lineRule="auto"/>
        <w:jc w:val="left"/>
      </w:pPr>
      <w:r>
        <w:rPr>
          <w:rFonts w:ascii="Times New Roman" w:hAnsi="Times New Roman" w:cs="Times New Roman"/>
          <w:b w:val="0"/>
          <w:i w:val="0"/>
          <w:sz w:val="22"/>
        </w:rPr>
        <w:t>Trade Lane Passport and Corridor Registry are core Trade Corridor Network (TCN) concepts (see Section 23).</w:t>
      </w:r>
    </w:p>
    <w:p>
      <w:pPr>
        <w:keepNext/>
        <w:spacing w:before="240" w:after="100"/>
        <w:outlineLvl w:val="1"/>
      </w:pPr>
      <w:r>
        <w:rPr>
          <w:rFonts w:ascii="Arial" w:hAnsi="Arial" w:cs="Arial"/>
          <w:b/>
          <w:i w:val="0"/>
          <w:color w:val="2E528F"/>
          <w:sz w:val="26"/>
        </w:rPr>
        <w:t>20.42 Trade-Lane Readiness</w:t>
      </w:r>
    </w:p>
    <w:p>
      <w:pPr>
        <w:spacing w:after="80" w:line="293" w:lineRule="auto"/>
        <w:jc w:val="left"/>
      </w:pPr>
      <w:r>
        <w:rPr>
          <w:rFonts w:ascii="Times New Roman" w:hAnsi="Times New Roman" w:cs="Times New Roman"/>
          <w:b w:val="0"/>
          <w:i w:val="0"/>
          <w:sz w:val="22"/>
        </w:rPr>
        <w:t>The platform calculates:</w:t>
      </w:r>
    </w:p>
    <w:p>
      <w:pPr>
        <w:spacing w:after="80" w:line="293" w:lineRule="auto"/>
        <w:ind w:left="283"/>
        <w:jc w:val="left"/>
      </w:pPr>
      <w:r>
        <w:rPr>
          <w:rFonts w:ascii="Times New Roman" w:hAnsi="Times New Roman" w:cs="Times New Roman"/>
          <w:b w:val="0"/>
          <w:i w:val="0"/>
          <w:sz w:val="22"/>
        </w:rPr>
        <w:t>- PARTY_READY</w:t>
      </w:r>
    </w:p>
    <w:p>
      <w:pPr>
        <w:spacing w:after="80" w:line="293" w:lineRule="auto"/>
        <w:ind w:left="283"/>
        <w:jc w:val="left"/>
      </w:pPr>
      <w:r>
        <w:rPr>
          <w:rFonts w:ascii="Times New Roman" w:hAnsi="Times New Roman" w:cs="Times New Roman"/>
          <w:b w:val="0"/>
          <w:i w:val="0"/>
          <w:sz w:val="22"/>
        </w:rPr>
        <w:t>- PRODUCT_READY</w:t>
      </w:r>
    </w:p>
    <w:p>
      <w:pPr>
        <w:spacing w:after="80" w:line="293" w:lineRule="auto"/>
        <w:ind w:left="283"/>
        <w:jc w:val="left"/>
      </w:pPr>
      <w:r>
        <w:rPr>
          <w:rFonts w:ascii="Times New Roman" w:hAnsi="Times New Roman" w:cs="Times New Roman"/>
          <w:b w:val="0"/>
          <w:i w:val="0"/>
          <w:sz w:val="22"/>
        </w:rPr>
        <w:t>- CLASSIFICATION_READY</w:t>
      </w:r>
    </w:p>
    <w:p>
      <w:pPr>
        <w:spacing w:after="80" w:line="293" w:lineRule="auto"/>
        <w:ind w:left="283"/>
        <w:jc w:val="left"/>
      </w:pPr>
      <w:r>
        <w:rPr>
          <w:rFonts w:ascii="Times New Roman" w:hAnsi="Times New Roman" w:cs="Times New Roman"/>
          <w:b w:val="0"/>
          <w:i w:val="0"/>
          <w:sz w:val="22"/>
        </w:rPr>
        <w:t>- ORIGIN_READY</w:t>
      </w:r>
    </w:p>
    <w:p>
      <w:pPr>
        <w:spacing w:after="80" w:line="293" w:lineRule="auto"/>
        <w:ind w:left="283"/>
        <w:jc w:val="left"/>
      </w:pPr>
      <w:r>
        <w:rPr>
          <w:rFonts w:ascii="Times New Roman" w:hAnsi="Times New Roman" w:cs="Times New Roman"/>
          <w:b w:val="0"/>
          <w:i w:val="0"/>
          <w:sz w:val="22"/>
        </w:rPr>
        <w:t>- LICENSE_READY</w:t>
      </w:r>
    </w:p>
    <w:p>
      <w:pPr>
        <w:spacing w:after="80" w:line="293" w:lineRule="auto"/>
        <w:ind w:left="283"/>
        <w:jc w:val="left"/>
      </w:pPr>
      <w:r>
        <w:rPr>
          <w:rFonts w:ascii="Times New Roman" w:hAnsi="Times New Roman" w:cs="Times New Roman"/>
          <w:b w:val="0"/>
          <w:i w:val="0"/>
          <w:sz w:val="22"/>
        </w:rPr>
        <w:t>- PERMIT_READY</w:t>
      </w:r>
    </w:p>
    <w:p>
      <w:pPr>
        <w:spacing w:after="80" w:line="293" w:lineRule="auto"/>
        <w:ind w:left="283"/>
        <w:jc w:val="left"/>
      </w:pPr>
      <w:r>
        <w:rPr>
          <w:rFonts w:ascii="Times New Roman" w:hAnsi="Times New Roman" w:cs="Times New Roman"/>
          <w:b w:val="0"/>
          <w:i w:val="0"/>
          <w:sz w:val="22"/>
        </w:rPr>
        <w:t>- CERTIFICATE_READY</w:t>
      </w:r>
    </w:p>
    <w:p>
      <w:pPr>
        <w:spacing w:after="80" w:line="293" w:lineRule="auto"/>
        <w:ind w:left="283"/>
        <w:jc w:val="left"/>
      </w:pPr>
      <w:r>
        <w:rPr>
          <w:rFonts w:ascii="Times New Roman" w:hAnsi="Times New Roman" w:cs="Times New Roman"/>
          <w:b w:val="0"/>
          <w:i w:val="0"/>
          <w:sz w:val="22"/>
        </w:rPr>
        <w:t>- CUSTOMS_READY</w:t>
      </w:r>
    </w:p>
    <w:p>
      <w:pPr>
        <w:spacing w:after="80" w:line="293" w:lineRule="auto"/>
        <w:ind w:left="283"/>
        <w:jc w:val="left"/>
      </w:pPr>
      <w:r>
        <w:rPr>
          <w:rFonts w:ascii="Times New Roman" w:hAnsi="Times New Roman" w:cs="Times New Roman"/>
          <w:b w:val="0"/>
          <w:i w:val="0"/>
          <w:sz w:val="22"/>
        </w:rPr>
        <w:t>- TRANSPORT_READY</w:t>
      </w:r>
    </w:p>
    <w:p>
      <w:pPr>
        <w:spacing w:after="80" w:line="293" w:lineRule="auto"/>
        <w:ind w:left="283"/>
        <w:jc w:val="left"/>
      </w:pPr>
      <w:r>
        <w:rPr>
          <w:rFonts w:ascii="Times New Roman" w:hAnsi="Times New Roman" w:cs="Times New Roman"/>
          <w:b w:val="0"/>
          <w:i w:val="0"/>
          <w:sz w:val="22"/>
        </w:rPr>
        <w:t>- SECURITY_READY</w:t>
      </w:r>
    </w:p>
    <w:p>
      <w:pPr>
        <w:spacing w:after="80" w:line="293" w:lineRule="auto"/>
        <w:ind w:left="283"/>
        <w:jc w:val="left"/>
      </w:pPr>
      <w:r>
        <w:rPr>
          <w:rFonts w:ascii="Times New Roman" w:hAnsi="Times New Roman" w:cs="Times New Roman"/>
          <w:b w:val="0"/>
          <w:i w:val="0"/>
          <w:sz w:val="22"/>
        </w:rPr>
        <w:t>- TAX_READY</w:t>
      </w:r>
    </w:p>
    <w:p>
      <w:pPr>
        <w:spacing w:after="80" w:line="293" w:lineRule="auto"/>
        <w:ind w:left="283"/>
        <w:jc w:val="left"/>
      </w:pPr>
      <w:r>
        <w:rPr>
          <w:rFonts w:ascii="Times New Roman" w:hAnsi="Times New Roman" w:cs="Times New Roman"/>
          <w:b w:val="0"/>
          <w:i w:val="0"/>
          <w:sz w:val="22"/>
        </w:rPr>
        <w:t>- PAYMENT_READY</w:t>
      </w:r>
    </w:p>
    <w:p>
      <w:pPr>
        <w:spacing w:after="80" w:line="293" w:lineRule="auto"/>
        <w:ind w:left="283"/>
        <w:jc w:val="left"/>
      </w:pPr>
      <w:r>
        <w:rPr>
          <w:rFonts w:ascii="Times New Roman" w:hAnsi="Times New Roman" w:cs="Times New Roman"/>
          <w:b w:val="0"/>
          <w:i w:val="0"/>
          <w:sz w:val="22"/>
        </w:rPr>
        <w:t>- INSURANCE_READY</w:t>
      </w:r>
    </w:p>
    <w:p>
      <w:pPr>
        <w:spacing w:after="80" w:line="293" w:lineRule="auto"/>
        <w:ind w:left="283"/>
        <w:jc w:val="left"/>
      </w:pPr>
      <w:r>
        <w:rPr>
          <w:rFonts w:ascii="Times New Roman" w:hAnsi="Times New Roman" w:cs="Times New Roman"/>
          <w:b w:val="0"/>
          <w:i w:val="0"/>
          <w:sz w:val="22"/>
        </w:rPr>
        <w:t>- DELIVERY_READY</w:t>
      </w:r>
    </w:p>
    <w:p>
      <w:pPr>
        <w:spacing w:after="80" w:line="293" w:lineRule="auto"/>
        <w:ind w:left="283"/>
        <w:jc w:val="left"/>
      </w:pPr>
      <w:r>
        <w:rPr>
          <w:rFonts w:ascii="Times New Roman" w:hAnsi="Times New Roman" w:cs="Times New Roman"/>
          <w:b w:val="0"/>
          <w:i w:val="0"/>
          <w:sz w:val="22"/>
        </w:rPr>
        <w:t>- GOVERNMENT_CONNECTIVITY_READY</w:t>
      </w:r>
    </w:p>
    <w:p>
      <w:pPr>
        <w:keepNext/>
        <w:spacing w:before="240" w:after="100"/>
        <w:outlineLvl w:val="1"/>
      </w:pPr>
      <w:r>
        <w:rPr>
          <w:rFonts w:ascii="Arial" w:hAnsi="Arial" w:cs="Arial"/>
          <w:b/>
          <w:i w:val="0"/>
          <w:color w:val="2E528F"/>
          <w:sz w:val="26"/>
        </w:rPr>
        <w:t>20.43 Road Corridor Engine</w:t>
      </w:r>
    </w:p>
    <w:p>
      <w:pPr>
        <w:spacing w:after="80" w:line="293" w:lineRule="auto"/>
        <w:jc w:val="left"/>
      </w:pPr>
      <w:r>
        <w:rPr>
          <w:rFonts w:ascii="Times New Roman" w:hAnsi="Times New Roman" w:cs="Times New Roman"/>
          <w:b w:val="0"/>
          <w:i w:val="0"/>
          <w:sz w:val="22"/>
        </w:rPr>
        <w:t>Road is a first-class engine. Core objects:</w:t>
      </w:r>
    </w:p>
    <w:p>
      <w:pPr>
        <w:spacing w:after="80" w:line="293" w:lineRule="auto"/>
        <w:ind w:left="283"/>
        <w:jc w:val="left"/>
      </w:pPr>
      <w:r>
        <w:rPr>
          <w:rFonts w:ascii="Times New Roman" w:hAnsi="Times New Roman" w:cs="Times New Roman"/>
          <w:b w:val="0"/>
          <w:i w:val="0"/>
          <w:sz w:val="22"/>
        </w:rPr>
        <w:t>- ROAD_CORRIDOR</w:t>
      </w:r>
    </w:p>
    <w:p>
      <w:pPr>
        <w:spacing w:after="80" w:line="293" w:lineRule="auto"/>
        <w:ind w:left="283"/>
        <w:jc w:val="left"/>
      </w:pPr>
      <w:r>
        <w:rPr>
          <w:rFonts w:ascii="Times New Roman" w:hAnsi="Times New Roman" w:cs="Times New Roman"/>
          <w:b w:val="0"/>
          <w:i w:val="0"/>
          <w:sz w:val="22"/>
        </w:rPr>
        <w:t>- ROAD_LEG</w:t>
      </w:r>
    </w:p>
    <w:p>
      <w:pPr>
        <w:spacing w:after="80" w:line="293" w:lineRule="auto"/>
        <w:ind w:left="283"/>
        <w:jc w:val="left"/>
      </w:pPr>
      <w:r>
        <w:rPr>
          <w:rFonts w:ascii="Times New Roman" w:hAnsi="Times New Roman" w:cs="Times New Roman"/>
          <w:b w:val="0"/>
          <w:i w:val="0"/>
          <w:sz w:val="22"/>
        </w:rPr>
        <w:t>- BORDER</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GUARANTEE</w:t>
      </w:r>
    </w:p>
    <w:p>
      <w:pPr>
        <w:spacing w:after="80" w:line="293" w:lineRule="auto"/>
        <w:ind w:left="283"/>
        <w:jc w:val="left"/>
      </w:pPr>
      <w:r>
        <w:rPr>
          <w:rFonts w:ascii="Times New Roman" w:hAnsi="Times New Roman" w:cs="Times New Roman"/>
          <w:b w:val="0"/>
          <w:i w:val="0"/>
          <w:sz w:val="22"/>
        </w:rPr>
        <w:t>- DRIVER</w:t>
      </w:r>
    </w:p>
    <w:p>
      <w:pPr>
        <w:spacing w:after="80" w:line="293" w:lineRule="auto"/>
        <w:ind w:left="283"/>
        <w:jc w:val="left"/>
      </w:pPr>
      <w:r>
        <w:rPr>
          <w:rFonts w:ascii="Times New Roman" w:hAnsi="Times New Roman" w:cs="Times New Roman"/>
          <w:b w:val="0"/>
          <w:i w:val="0"/>
          <w:sz w:val="22"/>
        </w:rPr>
        <w:t>- VEHICLE</w:t>
      </w:r>
    </w:p>
    <w:p>
      <w:pPr>
        <w:spacing w:after="80" w:line="293" w:lineRule="auto"/>
        <w:ind w:left="283"/>
        <w:jc w:val="left"/>
      </w:pPr>
      <w:r>
        <w:rPr>
          <w:rFonts w:ascii="Times New Roman" w:hAnsi="Times New Roman" w:cs="Times New Roman"/>
          <w:b w:val="0"/>
          <w:i w:val="0"/>
          <w:sz w:val="22"/>
        </w:rPr>
        <w:t>- TRAILER</w:t>
      </w:r>
    </w:p>
    <w:p>
      <w:pPr>
        <w:spacing w:after="80" w:line="293" w:lineRule="auto"/>
        <w:ind w:left="283"/>
        <w:jc w:val="left"/>
      </w:pPr>
      <w:r>
        <w:rPr>
          <w:rFonts w:ascii="Times New Roman" w:hAnsi="Times New Roman" w:cs="Times New Roman"/>
          <w:b w:val="0"/>
          <w:i w:val="0"/>
          <w:sz w:val="22"/>
        </w:rPr>
        <w:t>- SEAL</w:t>
      </w:r>
    </w:p>
    <w:p>
      <w:pPr>
        <w:spacing w:after="80" w:line="293" w:lineRule="auto"/>
        <w:ind w:left="283"/>
        <w:jc w:val="left"/>
      </w:pPr>
      <w:r>
        <w:rPr>
          <w:rFonts w:ascii="Times New Roman" w:hAnsi="Times New Roman" w:cs="Times New Roman"/>
          <w:b w:val="0"/>
          <w:i w:val="0"/>
          <w:sz w:val="22"/>
        </w:rPr>
        <w:t>- WAYBILL</w:t>
      </w:r>
    </w:p>
    <w:p>
      <w:pPr>
        <w:spacing w:after="80" w:line="293" w:lineRule="auto"/>
        <w:ind w:left="283"/>
        <w:jc w:val="left"/>
      </w:pPr>
      <w:r>
        <w:rPr>
          <w:rFonts w:ascii="Times New Roman" w:hAnsi="Times New Roman" w:cs="Times New Roman"/>
          <w:b w:val="0"/>
          <w:i w:val="0"/>
          <w:sz w:val="22"/>
        </w:rPr>
        <w:t>- GPS (Global Positioning System)</w:t>
      </w:r>
    </w:p>
    <w:p>
      <w:pPr>
        <w:spacing w:after="80" w:line="293" w:lineRule="auto"/>
        <w:ind w:left="283"/>
        <w:jc w:val="left"/>
      </w:pPr>
      <w:r>
        <w:rPr>
          <w:rFonts w:ascii="Times New Roman" w:hAnsi="Times New Roman" w:cs="Times New Roman"/>
          <w:b w:val="0"/>
          <w:i w:val="0"/>
          <w:sz w:val="22"/>
        </w:rPr>
        <w:t>- GEOFENCE</w:t>
      </w:r>
    </w:p>
    <w:p>
      <w:pPr>
        <w:spacing w:after="80" w:line="293" w:lineRule="auto"/>
        <w:ind w:left="283"/>
        <w:jc w:val="left"/>
      </w:pPr>
      <w:r>
        <w:rPr>
          <w:rFonts w:ascii="Times New Roman" w:hAnsi="Times New Roman" w:cs="Times New Roman"/>
          <w:b w:val="0"/>
          <w:i w:val="0"/>
          <w:sz w:val="22"/>
        </w:rPr>
        <w:t>- INCIDENT</w:t>
      </w:r>
    </w:p>
    <w:p>
      <w:pPr>
        <w:spacing w:after="80" w:line="293" w:lineRule="auto"/>
        <w:ind w:left="283"/>
        <w:jc w:val="left"/>
      </w:pPr>
      <w:r>
        <w:rPr>
          <w:rFonts w:ascii="Times New Roman" w:hAnsi="Times New Roman" w:cs="Times New Roman"/>
          <w:b w:val="0"/>
          <w:i w:val="0"/>
          <w:sz w:val="22"/>
        </w:rPr>
        <w:t>- POD (Proof of Delivery)</w:t>
      </w:r>
    </w:p>
    <w:p>
      <w:pPr>
        <w:spacing w:after="80" w:line="293" w:lineRule="auto"/>
        <w:jc w:val="left"/>
      </w:pPr>
      <w:r>
        <w:rPr>
          <w:rFonts w:ascii="Times New Roman" w:hAnsi="Times New Roman" w:cs="Times New Roman"/>
          <w:b w:val="0"/>
          <w:i w:val="0"/>
          <w:sz w:val="22"/>
        </w:rPr>
        <w:t>Supported corridors include:</w:t>
      </w:r>
    </w:p>
    <w:p>
      <w:pPr>
        <w:spacing w:after="80" w:line="293" w:lineRule="auto"/>
        <w:ind w:left="283"/>
        <w:jc w:val="left"/>
      </w:pPr>
      <w:r>
        <w:rPr>
          <w:rFonts w:ascii="Times New Roman" w:hAnsi="Times New Roman" w:cs="Times New Roman"/>
          <w:b w:val="0"/>
          <w:i w:val="0"/>
          <w:sz w:val="22"/>
        </w:rPr>
        <w:t>- Egypt</w:t>
      </w:r>
    </w:p>
    <w:p>
      <w:pPr>
        <w:spacing w:after="80" w:line="293" w:lineRule="auto"/>
        <w:ind w:left="283"/>
        <w:jc w:val="left"/>
      </w:pPr>
      <w:r>
        <w:rPr>
          <w:rFonts w:ascii="Times New Roman" w:hAnsi="Times New Roman" w:cs="Times New Roman"/>
          <w:b w:val="0"/>
          <w:i w:val="0"/>
          <w:sz w:val="22"/>
        </w:rPr>
        <w:t>- Jordan</w:t>
      </w:r>
    </w:p>
    <w:p>
      <w:pPr>
        <w:spacing w:after="80" w:line="293" w:lineRule="auto"/>
        <w:ind w:left="283"/>
        <w:jc w:val="left"/>
      </w:pPr>
      <w:r>
        <w:rPr>
          <w:rFonts w:ascii="Times New Roman" w:hAnsi="Times New Roman" w:cs="Times New Roman"/>
          <w:b w:val="0"/>
          <w:i w:val="0"/>
          <w:sz w:val="22"/>
        </w:rPr>
        <w:t>- Saudi Arabia</w:t>
      </w:r>
    </w:p>
    <w:p>
      <w:pPr>
        <w:spacing w:after="80" w:line="293" w:lineRule="auto"/>
        <w:ind w:left="283"/>
        <w:jc w:val="left"/>
      </w:pPr>
      <w:r>
        <w:rPr>
          <w:rFonts w:ascii="Times New Roman" w:hAnsi="Times New Roman" w:cs="Times New Roman"/>
          <w:b w:val="0"/>
          <w:i w:val="0"/>
          <w:sz w:val="22"/>
        </w:rPr>
        <w:t>- United Arab Emirates</w:t>
      </w:r>
    </w:p>
    <w:p>
      <w:pPr>
        <w:spacing w:after="80" w:line="293" w:lineRule="auto"/>
        <w:ind w:left="283"/>
        <w:jc w:val="left"/>
      </w:pPr>
      <w:r>
        <w:rPr>
          <w:rFonts w:ascii="Times New Roman" w:hAnsi="Times New Roman" w:cs="Times New Roman"/>
          <w:b w:val="0"/>
          <w:i w:val="0"/>
          <w:sz w:val="22"/>
        </w:rPr>
        <w:t>- GCC (Gulf Cooperation Council)</w:t>
      </w:r>
    </w:p>
    <w:p>
      <w:pPr>
        <w:spacing w:after="80" w:line="293" w:lineRule="auto"/>
        <w:ind w:left="283"/>
        <w:jc w:val="left"/>
      </w:pPr>
      <w:r>
        <w:rPr>
          <w:rFonts w:ascii="Times New Roman" w:hAnsi="Times New Roman" w:cs="Times New Roman"/>
          <w:b w:val="0"/>
          <w:i w:val="0"/>
          <w:sz w:val="22"/>
        </w:rPr>
        <w:t>- Iraq</w:t>
      </w:r>
    </w:p>
    <w:p>
      <w:pPr>
        <w:spacing w:after="80" w:line="293" w:lineRule="auto"/>
        <w:ind w:left="283"/>
        <w:jc w:val="left"/>
      </w:pPr>
      <w:r>
        <w:rPr>
          <w:rFonts w:ascii="Times New Roman" w:hAnsi="Times New Roman" w:cs="Times New Roman"/>
          <w:b w:val="0"/>
          <w:i w:val="0"/>
          <w:sz w:val="22"/>
        </w:rPr>
        <w:t>- Libya</w:t>
      </w:r>
    </w:p>
    <w:p>
      <w:pPr>
        <w:spacing w:after="80" w:line="293" w:lineRule="auto"/>
        <w:ind w:left="283"/>
        <w:jc w:val="left"/>
      </w:pPr>
      <w:r>
        <w:rPr>
          <w:rFonts w:ascii="Times New Roman" w:hAnsi="Times New Roman" w:cs="Times New Roman"/>
          <w:b w:val="0"/>
          <w:i w:val="0"/>
          <w:sz w:val="22"/>
        </w:rPr>
        <w:t>- all future jurisdictions</w:t>
      </w:r>
    </w:p>
    <w:p>
      <w:pPr>
        <w:keepNext/>
        <w:spacing w:before="240" w:after="100"/>
        <w:outlineLvl w:val="1"/>
      </w:pPr>
      <w:r>
        <w:rPr>
          <w:rFonts w:ascii="Arial" w:hAnsi="Arial" w:cs="Arial"/>
          <w:b/>
          <w:i w:val="0"/>
          <w:color w:val="2E528F"/>
          <w:sz w:val="26"/>
        </w:rPr>
        <w:t>20.44 Road Multi-Country Workflow</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Egypt → Export Customs → Border → Jordan Transit → Saudi Transit →</w:t>
      </w:r>
    </w:p>
    <w:p>
      <w:pPr>
        <w:spacing w:after="0" w:before="0" w:line="240" w:lineRule="auto"/>
        <w:ind w:left="57"/>
        <w:jc w:val="left"/>
        <w:shd w:val="clear" w:fill="F2F2F2"/>
      </w:pPr>
      <w:r>
        <w:rPr>
          <w:rFonts w:ascii="Consolas" w:hAnsi="Consolas" w:cs="Consolas"/>
          <w:b w:val="0"/>
          <w:i w:val="0"/>
          <w:sz w:val="15"/>
        </w:rPr>
        <w:t>UAE Import Customs → Final Delivery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leg has its own legal/customs status.</w:t>
      </w:r>
    </w:p>
    <w:p>
      <w:pPr>
        <w:keepNext/>
        <w:spacing w:before="240" w:after="100"/>
        <w:outlineLvl w:val="1"/>
      </w:pPr>
      <w:r>
        <w:rPr>
          <w:rFonts w:ascii="Arial" w:hAnsi="Arial" w:cs="Arial"/>
          <w:b/>
          <w:i w:val="0"/>
          <w:color w:val="2E528F"/>
          <w:sz w:val="26"/>
        </w:rPr>
        <w:t>20.45 TIR / Customs Guarantee Engine</w:t>
      </w:r>
    </w:p>
    <w:p>
      <w:pPr>
        <w:spacing w:after="80" w:line="293" w:lineRule="auto"/>
        <w:jc w:val="left"/>
      </w:pPr>
      <w:r>
        <w:rPr>
          <w:rFonts w:ascii="Times New Roman" w:hAnsi="Times New Roman" w:cs="Times New Roman"/>
          <w:b w:val="0"/>
          <w:i w:val="0"/>
          <w:sz w:val="22"/>
        </w:rPr>
        <w:t>The guarantee model is generalized beyond TIR (Transports Internationaux Routiers, the international road transit system):</w:t>
      </w:r>
    </w:p>
    <w:p>
      <w:pPr>
        <w:spacing w:after="80" w:line="293" w:lineRule="auto"/>
        <w:ind w:left="283"/>
        <w:jc w:val="left"/>
      </w:pPr>
      <w:r>
        <w:rPr>
          <w:rFonts w:ascii="Times New Roman" w:hAnsi="Times New Roman" w:cs="Times New Roman"/>
          <w:b w:val="0"/>
          <w:i w:val="0"/>
          <w:sz w:val="22"/>
        </w:rPr>
        <w:t>- TIR</w:t>
      </w:r>
    </w:p>
    <w:p>
      <w:pPr>
        <w:spacing w:after="80" w:line="293" w:lineRule="auto"/>
        <w:ind w:left="283"/>
        <w:jc w:val="left"/>
      </w:pPr>
      <w:r>
        <w:rPr>
          <w:rFonts w:ascii="Times New Roman" w:hAnsi="Times New Roman" w:cs="Times New Roman"/>
          <w:b w:val="0"/>
          <w:i w:val="0"/>
          <w:sz w:val="22"/>
        </w:rPr>
        <w:t>- eTIR</w:t>
      </w:r>
    </w:p>
    <w:p>
      <w:pPr>
        <w:spacing w:after="80" w:line="293" w:lineRule="auto"/>
        <w:ind w:left="283"/>
        <w:jc w:val="left"/>
      </w:pPr>
      <w:r>
        <w:rPr>
          <w:rFonts w:ascii="Times New Roman" w:hAnsi="Times New Roman" w:cs="Times New Roman"/>
          <w:b w:val="0"/>
          <w:i w:val="0"/>
          <w:sz w:val="22"/>
        </w:rPr>
        <w:t>- CUSTOMS BOND</w:t>
      </w:r>
    </w:p>
    <w:p>
      <w:pPr>
        <w:spacing w:after="80" w:line="293" w:lineRule="auto"/>
        <w:ind w:left="283"/>
        <w:jc w:val="left"/>
      </w:pPr>
      <w:r>
        <w:rPr>
          <w:rFonts w:ascii="Times New Roman" w:hAnsi="Times New Roman" w:cs="Times New Roman"/>
          <w:b w:val="0"/>
          <w:i w:val="0"/>
          <w:sz w:val="22"/>
        </w:rPr>
        <w:t>- BANK GUARANTEE</w:t>
      </w:r>
    </w:p>
    <w:p>
      <w:pPr>
        <w:spacing w:after="80" w:line="293" w:lineRule="auto"/>
        <w:ind w:left="283"/>
        <w:jc w:val="left"/>
      </w:pPr>
      <w:r>
        <w:rPr>
          <w:rFonts w:ascii="Times New Roman" w:hAnsi="Times New Roman" w:cs="Times New Roman"/>
          <w:b w:val="0"/>
          <w:i w:val="0"/>
          <w:sz w:val="22"/>
        </w:rPr>
        <w:t>- TRANSIT GUARANTEE</w:t>
      </w:r>
    </w:p>
    <w:p>
      <w:pPr>
        <w:spacing w:after="80" w:line="293" w:lineRule="auto"/>
        <w:ind w:left="283"/>
        <w:jc w:val="left"/>
      </w:pPr>
      <w:r>
        <w:rPr>
          <w:rFonts w:ascii="Times New Roman" w:hAnsi="Times New Roman" w:cs="Times New Roman"/>
          <w:b w:val="0"/>
          <w:i w:val="0"/>
          <w:sz w:val="22"/>
        </w:rPr>
        <w:t>- COMPREHENSIVE GUARANTEE</w:t>
      </w:r>
    </w:p>
    <w:p>
      <w:pPr>
        <w:spacing w:after="80" w:line="293" w:lineRule="auto"/>
        <w:ind w:left="283"/>
        <w:jc w:val="left"/>
      </w:pPr>
      <w:r>
        <w:rPr>
          <w:rFonts w:ascii="Times New Roman" w:hAnsi="Times New Roman" w:cs="Times New Roman"/>
          <w:b w:val="0"/>
          <w:i w:val="0"/>
          <w:sz w:val="22"/>
        </w:rPr>
        <w:t>- DUTY DEFERRAL</w:t>
      </w:r>
    </w:p>
    <w:p>
      <w:pPr>
        <w:spacing w:after="80" w:line="293" w:lineRule="auto"/>
        <w:ind w:left="283"/>
        <w:jc w:val="left"/>
      </w:pPr>
      <w:r>
        <w:rPr>
          <w:rFonts w:ascii="Times New Roman" w:hAnsi="Times New Roman" w:cs="Times New Roman"/>
          <w:b w:val="0"/>
          <w:i w:val="0"/>
          <w:sz w:val="22"/>
        </w:rPr>
        <w:t>- TEMPORARY ADMISSION</w:t>
      </w:r>
    </w:p>
    <w:p>
      <w:pPr>
        <w:spacing w:after="80" w:line="293" w:lineRule="auto"/>
        <w:ind w:left="283"/>
        <w:jc w:val="left"/>
      </w:pPr>
      <w:r>
        <w:rPr>
          <w:rFonts w:ascii="Times New Roman" w:hAnsi="Times New Roman" w:cs="Times New Roman"/>
          <w:b w:val="0"/>
          <w:i w:val="0"/>
          <w:sz w:val="22"/>
        </w:rPr>
        <w:t>- WAREHOUSE GUARANTEE</w:t>
      </w:r>
    </w:p>
    <w:p>
      <w:pPr>
        <w:keepNext/>
        <w:spacing w:before="240" w:after="100"/>
        <w:outlineLvl w:val="1"/>
      </w:pPr>
      <w:r>
        <w:rPr>
          <w:rFonts w:ascii="Arial" w:hAnsi="Arial" w:cs="Arial"/>
          <w:b/>
          <w:i w:val="0"/>
          <w:color w:val="2E528F"/>
          <w:sz w:val="26"/>
        </w:rPr>
        <w:t>20.46 Road Vehicle / Driver Authorization</w:t>
      </w:r>
    </w:p>
    <w:p>
      <w:pPr>
        <w:spacing w:after="80" w:line="293" w:lineRule="auto"/>
        <w:jc w:val="left"/>
      </w:pPr>
      <w:r>
        <w:rPr>
          <w:rFonts w:ascii="Times New Roman" w:hAnsi="Times New Roman" w:cs="Times New Roman"/>
          <w:b w:val="0"/>
          <w:i w:val="0"/>
          <w:sz w:val="22"/>
        </w:rPr>
        <w:t>The engine validates:</w:t>
      </w:r>
    </w:p>
    <w:p>
      <w:pPr>
        <w:spacing w:after="80" w:line="293" w:lineRule="auto"/>
        <w:ind w:left="283"/>
        <w:jc w:val="left"/>
      </w:pPr>
      <w:r>
        <w:rPr>
          <w:rFonts w:ascii="Times New Roman" w:hAnsi="Times New Roman" w:cs="Times New Roman"/>
          <w:b w:val="0"/>
          <w:i w:val="0"/>
          <w:sz w:val="22"/>
        </w:rPr>
        <w:t>- vehicle registration</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roadworthiness</w:t>
      </w:r>
    </w:p>
    <w:p>
      <w:pPr>
        <w:spacing w:after="80" w:line="293" w:lineRule="auto"/>
        <w:ind w:left="283"/>
        <w:jc w:val="left"/>
      </w:pPr>
      <w:r>
        <w:rPr>
          <w:rFonts w:ascii="Times New Roman" w:hAnsi="Times New Roman" w:cs="Times New Roman"/>
          <w:b w:val="0"/>
          <w:i w:val="0"/>
          <w:sz w:val="22"/>
        </w:rPr>
        <w:t>- payload</w:t>
      </w:r>
    </w:p>
    <w:p>
      <w:pPr>
        <w:spacing w:after="80" w:line="293" w:lineRule="auto"/>
        <w:ind w:left="283"/>
        <w:jc w:val="left"/>
      </w:pPr>
      <w:r>
        <w:rPr>
          <w:rFonts w:ascii="Times New Roman" w:hAnsi="Times New Roman" w:cs="Times New Roman"/>
          <w:b w:val="0"/>
          <w:i w:val="0"/>
          <w:sz w:val="22"/>
        </w:rPr>
        <w:t>- trailer</w:t>
      </w:r>
    </w:p>
    <w:p>
      <w:pPr>
        <w:spacing w:after="80" w:line="293" w:lineRule="auto"/>
        <w:ind w:left="283"/>
        <w:jc w:val="left"/>
      </w:pPr>
      <w:r>
        <w:rPr>
          <w:rFonts w:ascii="Times New Roman" w:hAnsi="Times New Roman" w:cs="Times New Roman"/>
          <w:b w:val="0"/>
          <w:i w:val="0"/>
          <w:sz w:val="22"/>
        </w:rPr>
        <w:t>- reefer (refrigerated) capability</w:t>
      </w:r>
    </w:p>
    <w:p>
      <w:pPr>
        <w:spacing w:after="80" w:line="293" w:lineRule="auto"/>
        <w:ind w:left="283"/>
        <w:jc w:val="left"/>
      </w:pPr>
      <w:r>
        <w:rPr>
          <w:rFonts w:ascii="Times New Roman" w:hAnsi="Times New Roman" w:cs="Times New Roman"/>
          <w:b w:val="0"/>
          <w:i w:val="0"/>
          <w:sz w:val="22"/>
        </w:rPr>
        <w:t>- DG capability</w:t>
      </w:r>
    </w:p>
    <w:p>
      <w:pPr>
        <w:spacing w:after="80" w:line="293" w:lineRule="auto"/>
        <w:ind w:left="283"/>
        <w:jc w:val="left"/>
      </w:pPr>
      <w:r>
        <w:rPr>
          <w:rFonts w:ascii="Times New Roman" w:hAnsi="Times New Roman" w:cs="Times New Roman"/>
          <w:b w:val="0"/>
          <w:i w:val="0"/>
          <w:sz w:val="22"/>
        </w:rPr>
        <w:t>- country permits</w:t>
      </w:r>
    </w:p>
    <w:p>
      <w:pPr>
        <w:spacing w:after="80" w:line="293" w:lineRule="auto"/>
        <w:jc w:val="left"/>
      </w:pPr>
      <w:r>
        <w:rPr>
          <w:rFonts w:ascii="Times New Roman" w:hAnsi="Times New Roman" w:cs="Times New Roman"/>
          <w:b w:val="0"/>
          <w:i w:val="0"/>
          <w:sz w:val="22"/>
        </w:rPr>
        <w:t>Driver:</w:t>
      </w:r>
    </w:p>
    <w:p>
      <w:pPr>
        <w:spacing w:after="80" w:line="293" w:lineRule="auto"/>
        <w:ind w:left="283"/>
        <w:jc w:val="left"/>
      </w:pPr>
      <w:r>
        <w:rPr>
          <w:rFonts w:ascii="Times New Roman" w:hAnsi="Times New Roman" w:cs="Times New Roman"/>
          <w:b w:val="0"/>
          <w:i w:val="0"/>
          <w:sz w:val="22"/>
        </w:rPr>
        <w:t>- passport</w:t>
      </w:r>
    </w:p>
    <w:p>
      <w:pPr>
        <w:spacing w:after="80" w:line="293" w:lineRule="auto"/>
        <w:ind w:left="283"/>
        <w:jc w:val="left"/>
      </w:pPr>
      <w:r>
        <w:rPr>
          <w:rFonts w:ascii="Times New Roman" w:hAnsi="Times New Roman" w:cs="Times New Roman"/>
          <w:b w:val="0"/>
          <w:i w:val="0"/>
          <w:sz w:val="22"/>
        </w:rPr>
        <w:t>- license</w:t>
      </w:r>
    </w:p>
    <w:p>
      <w:pPr>
        <w:spacing w:after="80" w:line="293" w:lineRule="auto"/>
        <w:ind w:left="283"/>
        <w:jc w:val="left"/>
      </w:pPr>
      <w:r>
        <w:rPr>
          <w:rFonts w:ascii="Times New Roman" w:hAnsi="Times New Roman" w:cs="Times New Roman"/>
          <w:b w:val="0"/>
          <w:i w:val="0"/>
          <w:sz w:val="22"/>
        </w:rPr>
        <w:t>- visa</w:t>
      </w:r>
    </w:p>
    <w:p>
      <w:pPr>
        <w:spacing w:after="80" w:line="293" w:lineRule="auto"/>
        <w:ind w:left="283"/>
        <w:jc w:val="left"/>
      </w:pPr>
      <w:r>
        <w:rPr>
          <w:rFonts w:ascii="Times New Roman" w:hAnsi="Times New Roman" w:cs="Times New Roman"/>
          <w:b w:val="0"/>
          <w:i w:val="0"/>
          <w:sz w:val="22"/>
        </w:rPr>
        <w:t>- permit</w:t>
      </w:r>
    </w:p>
    <w:p>
      <w:pPr>
        <w:spacing w:after="80" w:line="293" w:lineRule="auto"/>
        <w:ind w:left="283"/>
        <w:jc w:val="left"/>
      </w:pPr>
      <w:r>
        <w:rPr>
          <w:rFonts w:ascii="Times New Roman" w:hAnsi="Times New Roman" w:cs="Times New Roman"/>
          <w:b w:val="0"/>
          <w:i w:val="0"/>
          <w:sz w:val="22"/>
        </w:rPr>
        <w:t>- international authorization</w:t>
      </w:r>
    </w:p>
    <w:p>
      <w:pPr>
        <w:spacing w:after="80" w:line="293" w:lineRule="auto"/>
        <w:ind w:left="283"/>
        <w:jc w:val="left"/>
      </w:pPr>
      <w:r>
        <w:rPr>
          <w:rFonts w:ascii="Times New Roman" w:hAnsi="Times New Roman" w:cs="Times New Roman"/>
          <w:b w:val="0"/>
          <w:i w:val="0"/>
          <w:sz w:val="22"/>
        </w:rPr>
        <w:t>- DG authorization</w:t>
      </w:r>
    </w:p>
    <w:p>
      <w:pPr>
        <w:keepNext/>
        <w:spacing w:before="240" w:after="100"/>
        <w:outlineLvl w:val="1"/>
      </w:pPr>
      <w:r>
        <w:rPr>
          <w:rFonts w:ascii="Arial" w:hAnsi="Arial" w:cs="Arial"/>
          <w:b/>
          <w:i w:val="0"/>
          <w:color w:val="2E528F"/>
          <w:sz w:val="26"/>
        </w:rPr>
        <w:t>20.47 Air Cargo Engine</w:t>
      </w:r>
    </w:p>
    <w:p>
      <w:pPr>
        <w:spacing w:after="80" w:line="293" w:lineRule="auto"/>
        <w:jc w:val="left"/>
      </w:pPr>
      <w:r>
        <w:rPr>
          <w:rFonts w:ascii="Times New Roman" w:hAnsi="Times New Roman" w:cs="Times New Roman"/>
          <w:b w:val="0"/>
          <w:i w:val="0"/>
          <w:sz w:val="22"/>
        </w:rPr>
        <w:t>Air cargo is a first-class engine. Core objects:</w:t>
      </w:r>
    </w:p>
    <w:p>
      <w:pPr>
        <w:spacing w:after="80" w:line="293" w:lineRule="auto"/>
        <w:ind w:left="283"/>
        <w:jc w:val="left"/>
      </w:pPr>
      <w:r>
        <w:rPr>
          <w:rFonts w:ascii="Times New Roman" w:hAnsi="Times New Roman" w:cs="Times New Roman"/>
          <w:b w:val="0"/>
          <w:i w:val="0"/>
          <w:sz w:val="22"/>
        </w:rPr>
        <w:t>- AIR_BOOKING</w:t>
      </w:r>
    </w:p>
    <w:p>
      <w:pPr>
        <w:spacing w:after="80" w:line="293" w:lineRule="auto"/>
        <w:ind w:left="283"/>
        <w:jc w:val="left"/>
      </w:pPr>
      <w:r>
        <w:rPr>
          <w:rFonts w:ascii="Times New Roman" w:hAnsi="Times New Roman" w:cs="Times New Roman"/>
          <w:b w:val="0"/>
          <w:i w:val="0"/>
          <w:sz w:val="22"/>
        </w:rPr>
        <w:t>- AIRLINE</w:t>
      </w:r>
    </w:p>
    <w:p>
      <w:pPr>
        <w:spacing w:after="80" w:line="293" w:lineRule="auto"/>
        <w:ind w:left="283"/>
        <w:jc w:val="left"/>
      </w:pPr>
      <w:r>
        <w:rPr>
          <w:rFonts w:ascii="Times New Roman" w:hAnsi="Times New Roman" w:cs="Times New Roman"/>
          <w:b w:val="0"/>
          <w:i w:val="0"/>
          <w:sz w:val="22"/>
        </w:rPr>
        <w:t>- AIRPORT</w:t>
      </w:r>
    </w:p>
    <w:p>
      <w:pPr>
        <w:spacing w:after="80" w:line="293" w:lineRule="auto"/>
        <w:ind w:left="283"/>
        <w:jc w:val="left"/>
      </w:pPr>
      <w:r>
        <w:rPr>
          <w:rFonts w:ascii="Times New Roman" w:hAnsi="Times New Roman" w:cs="Times New Roman"/>
          <w:b w:val="0"/>
          <w:i w:val="0"/>
          <w:sz w:val="22"/>
        </w:rPr>
        <w:t>- GHA (Ground Handling Agent)</w:t>
      </w:r>
    </w:p>
    <w:p>
      <w:pPr>
        <w:spacing w:after="80" w:line="293" w:lineRule="auto"/>
        <w:ind w:left="283"/>
        <w:jc w:val="left"/>
      </w:pPr>
      <w:r>
        <w:rPr>
          <w:rFonts w:ascii="Times New Roman" w:hAnsi="Times New Roman" w:cs="Times New Roman"/>
          <w:b w:val="0"/>
          <w:i w:val="0"/>
          <w:sz w:val="22"/>
        </w:rPr>
        <w:t>- FLIGHT</w:t>
      </w:r>
    </w:p>
    <w:p>
      <w:pPr>
        <w:spacing w:after="80" w:line="293" w:lineRule="auto"/>
        <w:ind w:left="283"/>
        <w:jc w:val="left"/>
      </w:pPr>
      <w:r>
        <w:rPr>
          <w:rFonts w:ascii="Times New Roman" w:hAnsi="Times New Roman" w:cs="Times New Roman"/>
          <w:b w:val="0"/>
          <w:i w:val="0"/>
          <w:sz w:val="22"/>
        </w:rPr>
        <w:t>- MAWB (Master Air Waybill)</w:t>
      </w:r>
    </w:p>
    <w:p>
      <w:pPr>
        <w:spacing w:after="80" w:line="293" w:lineRule="auto"/>
        <w:ind w:left="283"/>
        <w:jc w:val="left"/>
      </w:pPr>
      <w:r>
        <w:rPr>
          <w:rFonts w:ascii="Times New Roman" w:hAnsi="Times New Roman" w:cs="Times New Roman"/>
          <w:b w:val="0"/>
          <w:i w:val="0"/>
          <w:sz w:val="22"/>
        </w:rPr>
        <w:t>- HAWB (House Air Waybill)</w:t>
      </w:r>
    </w:p>
    <w:p>
      <w:pPr>
        <w:spacing w:after="80" w:line="293" w:lineRule="auto"/>
        <w:ind w:left="283"/>
        <w:jc w:val="left"/>
      </w:pPr>
      <w:r>
        <w:rPr>
          <w:rFonts w:ascii="Times New Roman" w:hAnsi="Times New Roman" w:cs="Times New Roman"/>
          <w:b w:val="0"/>
          <w:i w:val="0"/>
          <w:sz w:val="22"/>
        </w:rPr>
        <w:t>- e-AWB (electronic Air Waybill)</w:t>
      </w:r>
    </w:p>
    <w:p>
      <w:pPr>
        <w:spacing w:after="80" w:line="293" w:lineRule="auto"/>
        <w:ind w:left="283"/>
        <w:jc w:val="left"/>
      </w:pPr>
      <w:r>
        <w:rPr>
          <w:rFonts w:ascii="Times New Roman" w:hAnsi="Times New Roman" w:cs="Times New Roman"/>
          <w:b w:val="0"/>
          <w:i w:val="0"/>
          <w:sz w:val="22"/>
        </w:rPr>
        <w:t>- CARGO-XML</w:t>
      </w:r>
    </w:p>
    <w:p>
      <w:pPr>
        <w:spacing w:after="80" w:line="293" w:lineRule="auto"/>
        <w:ind w:left="283"/>
        <w:jc w:val="left"/>
      </w:pPr>
      <w:r>
        <w:rPr>
          <w:rFonts w:ascii="Times New Roman" w:hAnsi="Times New Roman" w:cs="Times New Roman"/>
          <w:b w:val="0"/>
          <w:i w:val="0"/>
          <w:sz w:val="22"/>
        </w:rPr>
        <w:t>- ONE RECORD</w:t>
      </w:r>
    </w:p>
    <w:p>
      <w:pPr>
        <w:spacing w:after="80" w:line="293" w:lineRule="auto"/>
        <w:ind w:left="283"/>
        <w:jc w:val="left"/>
      </w:pPr>
      <w:r>
        <w:rPr>
          <w:rFonts w:ascii="Times New Roman" w:hAnsi="Times New Roman" w:cs="Times New Roman"/>
          <w:b w:val="0"/>
          <w:i w:val="0"/>
          <w:sz w:val="22"/>
        </w:rPr>
        <w:t>- SECURITY</w:t>
      </w:r>
    </w:p>
    <w:p>
      <w:pPr>
        <w:spacing w:after="80" w:line="293" w:lineRule="auto"/>
        <w:ind w:left="283"/>
        <w:jc w:val="left"/>
      </w:pPr>
      <w:r>
        <w:rPr>
          <w:rFonts w:ascii="Times New Roman" w:hAnsi="Times New Roman" w:cs="Times New Roman"/>
          <w:b w:val="0"/>
          <w:i w:val="0"/>
          <w:sz w:val="22"/>
        </w:rPr>
        <w:t>- e-CSD (electronic Cargo Security Declaration)</w:t>
      </w:r>
    </w:p>
    <w:p>
      <w:pPr>
        <w:spacing w:after="80" w:line="293" w:lineRule="auto"/>
        <w:ind w:left="283"/>
        <w:jc w:val="left"/>
      </w:pPr>
      <w:r>
        <w:rPr>
          <w:rFonts w:ascii="Times New Roman" w:hAnsi="Times New Roman" w:cs="Times New Roman"/>
          <w:b w:val="0"/>
          <w:i w:val="0"/>
          <w:sz w:val="22"/>
        </w:rPr>
        <w:t>- DG</w:t>
      </w:r>
    </w:p>
    <w:p>
      <w:pPr>
        <w:spacing w:after="80" w:line="293" w:lineRule="auto"/>
        <w:ind w:left="283"/>
        <w:jc w:val="left"/>
      </w:pPr>
      <w:r>
        <w:rPr>
          <w:rFonts w:ascii="Times New Roman" w:hAnsi="Times New Roman" w:cs="Times New Roman"/>
          <w:b w:val="0"/>
          <w:i w:val="0"/>
          <w:sz w:val="22"/>
        </w:rPr>
        <w:t>- e-DGD (electronic Dangerous Goods Declaration)</w:t>
      </w:r>
    </w:p>
    <w:p>
      <w:pPr>
        <w:spacing w:after="80" w:line="293" w:lineRule="auto"/>
        <w:ind w:left="283"/>
        <w:jc w:val="left"/>
      </w:pPr>
      <w:r>
        <w:rPr>
          <w:rFonts w:ascii="Times New Roman" w:hAnsi="Times New Roman" w:cs="Times New Roman"/>
          <w:b w:val="0"/>
          <w:i w:val="0"/>
          <w:sz w:val="22"/>
        </w:rPr>
        <w:t>- ULD (Unit Load Device)</w:t>
      </w:r>
    </w:p>
    <w:p>
      <w:pPr>
        <w:spacing w:after="80" w:line="293" w:lineRule="auto"/>
        <w:ind w:left="283"/>
        <w:jc w:val="left"/>
      </w:pPr>
      <w:r>
        <w:rPr>
          <w:rFonts w:ascii="Times New Roman" w:hAnsi="Times New Roman" w:cs="Times New Roman"/>
          <w:b w:val="0"/>
          <w:i w:val="0"/>
          <w:sz w:val="22"/>
        </w:rPr>
        <w:t>- RCS, DEP, ARR, RCF, NFD, DLV (IATA cargo status milestones: received from shipper, departed, arrived, recovered on arrival, notified, delivered)</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ACI AIR (Advance Cargo Information for air)</w:t>
      </w:r>
    </w:p>
    <w:p>
      <w:pPr>
        <w:spacing w:after="80" w:line="293" w:lineRule="auto"/>
        <w:ind w:left="283"/>
        <w:jc w:val="left"/>
      </w:pPr>
      <w:r>
        <w:rPr>
          <w:rFonts w:ascii="Times New Roman" w:hAnsi="Times New Roman" w:cs="Times New Roman"/>
          <w:b w:val="0"/>
          <w:i w:val="0"/>
          <w:sz w:val="22"/>
        </w:rPr>
        <w:t>- WAREHOUSE</w:t>
      </w:r>
    </w:p>
    <w:p>
      <w:pPr>
        <w:spacing w:after="80" w:line="293" w:lineRule="auto"/>
        <w:ind w:left="283"/>
        <w:jc w:val="left"/>
      </w:pPr>
      <w:r>
        <w:rPr>
          <w:rFonts w:ascii="Times New Roman" w:hAnsi="Times New Roman" w:cs="Times New Roman"/>
          <w:b w:val="0"/>
          <w:i w:val="0"/>
          <w:sz w:val="22"/>
        </w:rPr>
        <w:t>- BUILD-UP</w:t>
      </w:r>
    </w:p>
    <w:p>
      <w:pPr>
        <w:spacing w:after="80" w:line="293" w:lineRule="auto"/>
        <w:ind w:left="283"/>
        <w:jc w:val="left"/>
      </w:pPr>
      <w:r>
        <w:rPr>
          <w:rFonts w:ascii="Times New Roman" w:hAnsi="Times New Roman" w:cs="Times New Roman"/>
          <w:b w:val="0"/>
          <w:i w:val="0"/>
          <w:sz w:val="22"/>
        </w:rPr>
        <w:t>- BREAKDOWN</w:t>
      </w:r>
    </w:p>
    <w:p>
      <w:pPr>
        <w:spacing w:after="80" w:line="293" w:lineRule="auto"/>
        <w:jc w:val="left"/>
      </w:pPr>
      <w:r>
        <w:rPr>
          <w:rFonts w:ascii="Times New Roman" w:hAnsi="Times New Roman" w:cs="Times New Roman"/>
          <w:b w:val="0"/>
          <w:i w:val="0"/>
          <w:sz w:val="22"/>
        </w:rPr>
        <w:t>IATA (International Air Transport Association) currently describes ONE Record as the air cargo standard for a single digital shipment view using a common data model and secured API. Its 2026 Cargo-XML toolkit explicitly includes mapping between Cargo-XML and ONE Record and e-CSD-related guidance.</w:t>
      </w:r>
    </w:p>
    <w:p>
      <w:pPr>
        <w:keepNext/>
        <w:spacing w:before="240" w:after="100"/>
        <w:outlineLvl w:val="1"/>
      </w:pPr>
      <w:r>
        <w:rPr>
          <w:rFonts w:ascii="Arial" w:hAnsi="Arial" w:cs="Arial"/>
          <w:b/>
          <w:i w:val="0"/>
          <w:color w:val="2E528F"/>
          <w:sz w:val="26"/>
        </w:rPr>
        <w:t>20.48 Air Cutoff Engine</w:t>
      </w:r>
    </w:p>
    <w:p>
      <w:pPr>
        <w:spacing w:after="80" w:line="293" w:lineRule="auto"/>
        <w:jc w:val="left"/>
      </w:pPr>
      <w:r>
        <w:rPr>
          <w:rFonts w:ascii="Times New Roman" w:hAnsi="Times New Roman" w:cs="Times New Roman"/>
          <w:b w:val="0"/>
          <w:i w:val="0"/>
          <w:sz w:val="22"/>
        </w:rPr>
        <w:t>The Air Cutoff Engine supports:</w:t>
      </w:r>
    </w:p>
    <w:p>
      <w:pPr>
        <w:spacing w:after="80" w:line="293" w:lineRule="auto"/>
        <w:ind w:left="283"/>
        <w:jc w:val="left"/>
      </w:pPr>
      <w:r>
        <w:rPr>
          <w:rFonts w:ascii="Times New Roman" w:hAnsi="Times New Roman" w:cs="Times New Roman"/>
          <w:b w:val="0"/>
          <w:i w:val="0"/>
          <w:sz w:val="22"/>
        </w:rPr>
        <w:t>- documentation cutoff</w:t>
      </w:r>
    </w:p>
    <w:p>
      <w:pPr>
        <w:spacing w:after="80" w:line="293" w:lineRule="auto"/>
        <w:ind w:left="283"/>
        <w:jc w:val="left"/>
      </w:pPr>
      <w:r>
        <w:rPr>
          <w:rFonts w:ascii="Times New Roman" w:hAnsi="Times New Roman" w:cs="Times New Roman"/>
          <w:b w:val="0"/>
          <w:i w:val="0"/>
          <w:sz w:val="22"/>
        </w:rPr>
        <w:t>- customs cutoff</w:t>
      </w:r>
    </w:p>
    <w:p>
      <w:pPr>
        <w:spacing w:after="80" w:line="293" w:lineRule="auto"/>
        <w:ind w:left="283"/>
        <w:jc w:val="left"/>
      </w:pPr>
      <w:r>
        <w:rPr>
          <w:rFonts w:ascii="Times New Roman" w:hAnsi="Times New Roman" w:cs="Times New Roman"/>
          <w:b w:val="0"/>
          <w:i w:val="0"/>
          <w:sz w:val="22"/>
        </w:rPr>
        <w:t>- security cutoff</w:t>
      </w:r>
    </w:p>
    <w:p>
      <w:pPr>
        <w:spacing w:after="80" w:line="293" w:lineRule="auto"/>
        <w:ind w:left="283"/>
        <w:jc w:val="left"/>
      </w:pPr>
      <w:r>
        <w:rPr>
          <w:rFonts w:ascii="Times New Roman" w:hAnsi="Times New Roman" w:cs="Times New Roman"/>
          <w:b w:val="0"/>
          <w:i w:val="0"/>
          <w:sz w:val="22"/>
        </w:rPr>
        <w:t>- acceptance cutoff</w:t>
      </w:r>
    </w:p>
    <w:p>
      <w:pPr>
        <w:spacing w:after="80" w:line="293" w:lineRule="auto"/>
        <w:ind w:left="283"/>
        <w:jc w:val="left"/>
      </w:pPr>
      <w:r>
        <w:rPr>
          <w:rFonts w:ascii="Times New Roman" w:hAnsi="Times New Roman" w:cs="Times New Roman"/>
          <w:b w:val="0"/>
          <w:i w:val="0"/>
          <w:sz w:val="22"/>
        </w:rPr>
        <w:t>- airline cutoff</w:t>
      </w:r>
    </w:p>
    <w:p>
      <w:pPr>
        <w:spacing w:after="80" w:line="293" w:lineRule="auto"/>
        <w:ind w:left="283"/>
        <w:jc w:val="left"/>
      </w:pPr>
      <w:r>
        <w:rPr>
          <w:rFonts w:ascii="Times New Roman" w:hAnsi="Times New Roman" w:cs="Times New Roman"/>
          <w:b w:val="0"/>
          <w:i w:val="0"/>
          <w:sz w:val="22"/>
        </w:rPr>
        <w:t>- buildup cutoff</w:t>
      </w:r>
    </w:p>
    <w:p>
      <w:pPr>
        <w:spacing w:after="80" w:line="293" w:lineRule="auto"/>
        <w:ind w:left="283"/>
        <w:jc w:val="left"/>
      </w:pPr>
      <w:r>
        <w:rPr>
          <w:rFonts w:ascii="Times New Roman" w:hAnsi="Times New Roman" w:cs="Times New Roman"/>
          <w:b w:val="0"/>
          <w:i w:val="0"/>
          <w:sz w:val="22"/>
        </w:rPr>
        <w:t>- ULD cutoff</w:t>
      </w:r>
    </w:p>
    <w:p>
      <w:pPr>
        <w:keepNext/>
        <w:spacing w:before="240" w:after="100"/>
        <w:outlineLvl w:val="1"/>
      </w:pPr>
      <w:r>
        <w:rPr>
          <w:rFonts w:ascii="Arial" w:hAnsi="Arial" w:cs="Arial"/>
          <w:b/>
          <w:i w:val="0"/>
          <w:color w:val="2E528F"/>
          <w:sz w:val="26"/>
        </w:rPr>
        <w:t>20.49 Air Chargeable Weight</w:t>
      </w:r>
    </w:p>
    <w:p>
      <w:pPr>
        <w:spacing w:after="80" w:line="293" w:lineRule="auto"/>
        <w:jc w:val="left"/>
      </w:pPr>
      <w:r>
        <w:rPr>
          <w:rFonts w:ascii="Times New Roman" w:hAnsi="Times New Roman" w:cs="Times New Roman"/>
          <w:b w:val="0"/>
          <w:i w:val="0"/>
          <w:sz w:val="22"/>
        </w:rPr>
        <w:t>The engine calculates:</w:t>
      </w:r>
    </w:p>
    <w:p>
      <w:pPr>
        <w:spacing w:after="80" w:line="293" w:lineRule="auto"/>
        <w:ind w:left="283"/>
        <w:jc w:val="left"/>
      </w:pPr>
      <w:r>
        <w:rPr>
          <w:rFonts w:ascii="Times New Roman" w:hAnsi="Times New Roman" w:cs="Times New Roman"/>
          <w:b w:val="0"/>
          <w:i w:val="0"/>
          <w:sz w:val="22"/>
        </w:rPr>
        <w:t>- actual weight</w:t>
      </w:r>
    </w:p>
    <w:p>
      <w:pPr>
        <w:spacing w:after="80" w:line="293" w:lineRule="auto"/>
        <w:ind w:left="283"/>
        <w:jc w:val="left"/>
      </w:pPr>
      <w:r>
        <w:rPr>
          <w:rFonts w:ascii="Times New Roman" w:hAnsi="Times New Roman" w:cs="Times New Roman"/>
          <w:b w:val="0"/>
          <w:i w:val="0"/>
          <w:sz w:val="22"/>
        </w:rPr>
        <w:t>- volumetric weight</w:t>
      </w:r>
    </w:p>
    <w:p>
      <w:pPr>
        <w:spacing w:after="80" w:line="293" w:lineRule="auto"/>
        <w:ind w:left="283"/>
        <w:jc w:val="left"/>
      </w:pPr>
      <w:r>
        <w:rPr>
          <w:rFonts w:ascii="Times New Roman" w:hAnsi="Times New Roman" w:cs="Times New Roman"/>
          <w:b w:val="0"/>
          <w:i w:val="0"/>
          <w:sz w:val="22"/>
        </w:rPr>
        <w:t>- dimensional weight</w:t>
      </w:r>
    </w:p>
    <w:p>
      <w:pPr>
        <w:spacing w:after="80" w:line="293" w:lineRule="auto"/>
        <w:ind w:left="283"/>
        <w:jc w:val="left"/>
      </w:pPr>
      <w:r>
        <w:rPr>
          <w:rFonts w:ascii="Times New Roman" w:hAnsi="Times New Roman" w:cs="Times New Roman"/>
          <w:b w:val="0"/>
          <w:i w:val="0"/>
          <w:sz w:val="22"/>
        </w:rPr>
        <w:t>- chargeable weight</w:t>
      </w:r>
    </w:p>
    <w:p>
      <w:pPr>
        <w:spacing w:after="80" w:line="293" w:lineRule="auto"/>
        <w:jc w:val="left"/>
      </w:pPr>
      <w:r>
        <w:rPr>
          <w:rFonts w:ascii="Times New Roman" w:hAnsi="Times New Roman" w:cs="Times New Roman"/>
          <w:b w:val="0"/>
          <w:i w:val="0"/>
          <w:sz w:val="22"/>
        </w:rPr>
        <w:t>and feeds:</w:t>
      </w:r>
    </w:p>
    <w:p>
      <w:pPr>
        <w:spacing w:after="80" w:line="293" w:lineRule="auto"/>
        <w:ind w:left="283"/>
        <w:jc w:val="left"/>
      </w:pPr>
      <w:r>
        <w:rPr>
          <w:rFonts w:ascii="Times New Roman" w:hAnsi="Times New Roman" w:cs="Times New Roman"/>
          <w:b w:val="0"/>
          <w:i w:val="0"/>
          <w:sz w:val="22"/>
        </w:rPr>
        <w:t>- quotation</w:t>
      </w:r>
    </w:p>
    <w:p>
      <w:pPr>
        <w:spacing w:after="80" w:line="293" w:lineRule="auto"/>
        <w:ind w:left="283"/>
        <w:jc w:val="left"/>
      </w:pPr>
      <w:r>
        <w:rPr>
          <w:rFonts w:ascii="Times New Roman" w:hAnsi="Times New Roman" w:cs="Times New Roman"/>
          <w:b w:val="0"/>
          <w:i w:val="0"/>
          <w:sz w:val="22"/>
        </w:rPr>
        <w:t>- booking</w:t>
      </w:r>
    </w:p>
    <w:p>
      <w:pPr>
        <w:spacing w:after="80" w:line="293" w:lineRule="auto"/>
        <w:ind w:left="283"/>
        <w:jc w:val="left"/>
      </w:pPr>
      <w:r>
        <w:rPr>
          <w:rFonts w:ascii="Times New Roman" w:hAnsi="Times New Roman" w:cs="Times New Roman"/>
          <w:b w:val="0"/>
          <w:i w:val="0"/>
          <w:sz w:val="22"/>
        </w:rPr>
        <w:t>- AWB</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settlement</w:t>
      </w:r>
    </w:p>
    <w:p>
      <w:pPr>
        <w:keepNext/>
        <w:spacing w:before="240" w:after="100"/>
        <w:outlineLvl w:val="1"/>
      </w:pPr>
      <w:r>
        <w:rPr>
          <w:rFonts w:ascii="Arial" w:hAnsi="Arial" w:cs="Arial"/>
          <w:b/>
          <w:i w:val="0"/>
          <w:color w:val="2E528F"/>
          <w:sz w:val="26"/>
        </w:rPr>
        <w:t>20.50 Air Security / DG / Special Cargo</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screening</w:t>
      </w:r>
    </w:p>
    <w:p>
      <w:pPr>
        <w:spacing w:after="80" w:line="293" w:lineRule="auto"/>
        <w:ind w:left="283"/>
        <w:jc w:val="left"/>
      </w:pPr>
      <w:r>
        <w:rPr>
          <w:rFonts w:ascii="Times New Roman" w:hAnsi="Times New Roman" w:cs="Times New Roman"/>
          <w:b w:val="0"/>
          <w:i w:val="0"/>
          <w:sz w:val="22"/>
        </w:rPr>
        <w:t>- e-CSD</w:t>
      </w:r>
    </w:p>
    <w:p>
      <w:pPr>
        <w:spacing w:after="80" w:line="293" w:lineRule="auto"/>
        <w:ind w:left="283"/>
        <w:jc w:val="left"/>
      </w:pPr>
      <w:r>
        <w:rPr>
          <w:rFonts w:ascii="Times New Roman" w:hAnsi="Times New Roman" w:cs="Times New Roman"/>
          <w:b w:val="0"/>
          <w:i w:val="0"/>
          <w:sz w:val="22"/>
        </w:rPr>
        <w:t>- DG</w:t>
      </w:r>
    </w:p>
    <w:p>
      <w:pPr>
        <w:spacing w:after="80" w:line="293" w:lineRule="auto"/>
        <w:ind w:left="283"/>
        <w:jc w:val="left"/>
      </w:pPr>
      <w:r>
        <w:rPr>
          <w:rFonts w:ascii="Times New Roman" w:hAnsi="Times New Roman" w:cs="Times New Roman"/>
          <w:b w:val="0"/>
          <w:i w:val="0"/>
          <w:sz w:val="22"/>
        </w:rPr>
        <w:t>- e-DGD</w:t>
      </w:r>
    </w:p>
    <w:p>
      <w:pPr>
        <w:spacing w:after="80" w:line="293" w:lineRule="auto"/>
        <w:ind w:left="283"/>
        <w:jc w:val="left"/>
      </w:pPr>
      <w:r>
        <w:rPr>
          <w:rFonts w:ascii="Times New Roman" w:hAnsi="Times New Roman" w:cs="Times New Roman"/>
          <w:b w:val="0"/>
          <w:i w:val="0"/>
          <w:sz w:val="22"/>
        </w:rPr>
        <w:t>- pharma</w:t>
      </w:r>
    </w:p>
    <w:p>
      <w:pPr>
        <w:spacing w:after="80" w:line="293" w:lineRule="auto"/>
        <w:ind w:left="283"/>
        <w:jc w:val="left"/>
      </w:pPr>
      <w:r>
        <w:rPr>
          <w:rFonts w:ascii="Times New Roman" w:hAnsi="Times New Roman" w:cs="Times New Roman"/>
          <w:b w:val="0"/>
          <w:i w:val="0"/>
          <w:sz w:val="22"/>
        </w:rPr>
        <w:t>- perishables</w:t>
      </w:r>
    </w:p>
    <w:p>
      <w:pPr>
        <w:spacing w:after="80" w:line="293" w:lineRule="auto"/>
        <w:ind w:left="283"/>
        <w:jc w:val="left"/>
      </w:pPr>
      <w:r>
        <w:rPr>
          <w:rFonts w:ascii="Times New Roman" w:hAnsi="Times New Roman" w:cs="Times New Roman"/>
          <w:b w:val="0"/>
          <w:i w:val="0"/>
          <w:sz w:val="22"/>
        </w:rPr>
        <w:t>- live animals</w:t>
      </w:r>
    </w:p>
    <w:p>
      <w:pPr>
        <w:spacing w:after="80" w:line="293" w:lineRule="auto"/>
        <w:ind w:left="283"/>
        <w:jc w:val="left"/>
      </w:pPr>
      <w:r>
        <w:rPr>
          <w:rFonts w:ascii="Times New Roman" w:hAnsi="Times New Roman" w:cs="Times New Roman"/>
          <w:b w:val="0"/>
          <w:i w:val="0"/>
          <w:sz w:val="22"/>
        </w:rPr>
        <w:t>- human remains</w:t>
      </w:r>
    </w:p>
    <w:p>
      <w:pPr>
        <w:spacing w:after="80" w:line="293" w:lineRule="auto"/>
        <w:ind w:left="283"/>
        <w:jc w:val="left"/>
      </w:pPr>
      <w:r>
        <w:rPr>
          <w:rFonts w:ascii="Times New Roman" w:hAnsi="Times New Roman" w:cs="Times New Roman"/>
          <w:b w:val="0"/>
          <w:i w:val="0"/>
          <w:sz w:val="22"/>
        </w:rPr>
        <w:t>- valuables</w:t>
      </w:r>
    </w:p>
    <w:p>
      <w:pPr>
        <w:spacing w:after="80" w:line="293" w:lineRule="auto"/>
        <w:ind w:left="283"/>
        <w:jc w:val="left"/>
      </w:pPr>
      <w:r>
        <w:rPr>
          <w:rFonts w:ascii="Times New Roman" w:hAnsi="Times New Roman" w:cs="Times New Roman"/>
          <w:b w:val="0"/>
          <w:i w:val="0"/>
          <w:sz w:val="22"/>
        </w:rPr>
        <w:t>- temperature controlled</w:t>
      </w:r>
    </w:p>
    <w:p>
      <w:pPr>
        <w:spacing w:after="80" w:line="293" w:lineRule="auto"/>
        <w:ind w:left="283"/>
        <w:jc w:val="left"/>
      </w:pPr>
      <w:r>
        <w:rPr>
          <w:rFonts w:ascii="Times New Roman" w:hAnsi="Times New Roman" w:cs="Times New Roman"/>
          <w:b w:val="0"/>
          <w:i w:val="0"/>
          <w:sz w:val="22"/>
        </w:rPr>
        <w:t>- oversized</w:t>
      </w:r>
    </w:p>
    <w:p>
      <w:pPr>
        <w:spacing w:after="80" w:line="293" w:lineRule="auto"/>
        <w:ind w:left="283"/>
        <w:jc w:val="left"/>
      </w:pPr>
      <w:r>
        <w:rPr>
          <w:rFonts w:ascii="Times New Roman" w:hAnsi="Times New Roman" w:cs="Times New Roman"/>
          <w:b w:val="0"/>
          <w:i w:val="0"/>
          <w:sz w:val="22"/>
        </w:rPr>
        <w:t>- lithium batteries</w:t>
      </w:r>
    </w:p>
    <w:p>
      <w:pPr>
        <w:spacing w:after="80" w:line="293" w:lineRule="auto"/>
        <w:jc w:val="left"/>
      </w:pPr>
      <w:r>
        <w:rPr>
          <w:rFonts w:ascii="Times New Roman" w:hAnsi="Times New Roman" w:cs="Times New Roman"/>
          <w:b w:val="0"/>
          <w:i w:val="0"/>
          <w:sz w:val="22"/>
        </w:rPr>
        <w:t>Rules must be versioned.</w:t>
      </w:r>
    </w:p>
    <w:p>
      <w:pPr>
        <w:keepNext/>
        <w:spacing w:before="240" w:after="100"/>
        <w:outlineLvl w:val="1"/>
      </w:pPr>
      <w:r>
        <w:rPr>
          <w:rFonts w:ascii="Arial" w:hAnsi="Arial" w:cs="Arial"/>
          <w:b/>
          <w:i w:val="0"/>
          <w:color w:val="2E528F"/>
          <w:sz w:val="26"/>
        </w:rPr>
        <w:t>20.51 Air Piece / ULD Tracking</w:t>
      </w:r>
    </w:p>
    <w:p>
      <w:pPr>
        <w:spacing w:after="80" w:line="293" w:lineRule="auto"/>
        <w:jc w:val="left"/>
      </w:pPr>
      <w:r>
        <w:rPr>
          <w:rFonts w:ascii="Times New Roman" w:hAnsi="Times New Roman" w:cs="Times New Roman"/>
          <w:b w:val="0"/>
          <w:i w:val="0"/>
          <w:sz w:val="22"/>
        </w:rPr>
        <w:t>The engine tracks:</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MAWB</w:t>
      </w:r>
    </w:p>
    <w:p>
      <w:pPr>
        <w:spacing w:after="80" w:line="293" w:lineRule="auto"/>
        <w:ind w:left="283"/>
        <w:jc w:val="left"/>
      </w:pPr>
      <w:r>
        <w:rPr>
          <w:rFonts w:ascii="Times New Roman" w:hAnsi="Times New Roman" w:cs="Times New Roman"/>
          <w:b w:val="0"/>
          <w:i w:val="0"/>
          <w:sz w:val="22"/>
        </w:rPr>
        <w:t>- HAWB</w:t>
      </w:r>
    </w:p>
    <w:p>
      <w:pPr>
        <w:spacing w:after="80" w:line="293" w:lineRule="auto"/>
        <w:ind w:left="283"/>
        <w:jc w:val="left"/>
      </w:pPr>
      <w:r>
        <w:rPr>
          <w:rFonts w:ascii="Times New Roman" w:hAnsi="Times New Roman" w:cs="Times New Roman"/>
          <w:b w:val="0"/>
          <w:i w:val="0"/>
          <w:sz w:val="22"/>
        </w:rPr>
        <w:t>- PIECE</w:t>
      </w:r>
    </w:p>
    <w:p>
      <w:pPr>
        <w:spacing w:after="80" w:line="293" w:lineRule="auto"/>
        <w:ind w:left="283"/>
        <w:jc w:val="left"/>
      </w:pPr>
      <w:r>
        <w:rPr>
          <w:rFonts w:ascii="Times New Roman" w:hAnsi="Times New Roman" w:cs="Times New Roman"/>
          <w:b w:val="0"/>
          <w:i w:val="0"/>
          <w:sz w:val="22"/>
        </w:rPr>
        <w:t>- SSCC (Serial Shipping Container Code)</w:t>
      </w:r>
    </w:p>
    <w:p>
      <w:pPr>
        <w:spacing w:after="80" w:line="293" w:lineRule="auto"/>
        <w:ind w:left="283"/>
        <w:jc w:val="left"/>
      </w:pPr>
      <w:r>
        <w:rPr>
          <w:rFonts w:ascii="Times New Roman" w:hAnsi="Times New Roman" w:cs="Times New Roman"/>
          <w:b w:val="0"/>
          <w:i w:val="0"/>
          <w:sz w:val="22"/>
        </w:rPr>
        <w:t>- ULD</w:t>
      </w:r>
    </w:p>
    <w:p>
      <w:pPr>
        <w:spacing w:after="80" w:line="293" w:lineRule="auto"/>
        <w:ind w:left="283"/>
        <w:jc w:val="left"/>
      </w:pPr>
      <w:r>
        <w:rPr>
          <w:rFonts w:ascii="Times New Roman" w:hAnsi="Times New Roman" w:cs="Times New Roman"/>
          <w:b w:val="0"/>
          <w:i w:val="0"/>
          <w:sz w:val="22"/>
        </w:rPr>
        <w:t>- FLIGHT</w:t>
      </w:r>
    </w:p>
    <w:p>
      <w:pPr>
        <w:spacing w:after="80" w:line="293" w:lineRule="auto"/>
        <w:ind w:left="283"/>
        <w:jc w:val="left"/>
      </w:pPr>
      <w:r>
        <w:rPr>
          <w:rFonts w:ascii="Times New Roman" w:hAnsi="Times New Roman" w:cs="Times New Roman"/>
          <w:b w:val="0"/>
          <w:i w:val="0"/>
          <w:sz w:val="22"/>
        </w:rPr>
        <w:t>- LOCATION</w:t>
      </w:r>
    </w:p>
    <w:p>
      <w:pPr>
        <w:spacing w:after="80" w:line="293" w:lineRule="auto"/>
        <w:ind w:left="283"/>
        <w:jc w:val="left"/>
      </w:pPr>
      <w:r>
        <w:rPr>
          <w:rFonts w:ascii="Times New Roman" w:hAnsi="Times New Roman" w:cs="Times New Roman"/>
          <w:b w:val="0"/>
          <w:i w:val="0"/>
          <w:sz w:val="22"/>
        </w:rPr>
        <w:t>- SECURITY</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TEMPERATURE</w:t>
      </w:r>
    </w:p>
    <w:p>
      <w:pPr>
        <w:keepNext/>
        <w:spacing w:before="240" w:after="100"/>
        <w:outlineLvl w:val="1"/>
      </w:pPr>
      <w:r>
        <w:rPr>
          <w:rFonts w:ascii="Arial" w:hAnsi="Arial" w:cs="Arial"/>
          <w:b/>
          <w:i w:val="0"/>
          <w:color w:val="2E528F"/>
          <w:sz w:val="26"/>
        </w:rPr>
        <w:t>20.52 Air Multimodal</w:t>
      </w:r>
    </w:p>
    <w:p>
      <w:pPr>
        <w:spacing w:after="80" w:line="293" w:lineRule="auto"/>
        <w:jc w:val="left"/>
      </w:pPr>
      <w:r>
        <w:rPr>
          <w:rFonts w:ascii="Times New Roman" w:hAnsi="Times New Roman" w:cs="Times New Roman"/>
          <w:b w:val="0"/>
          <w:i w:val="0"/>
          <w:sz w:val="22"/>
        </w:rPr>
        <w:t>The engine supports:</w:t>
      </w:r>
    </w:p>
    <w:p>
      <w:pPr>
        <w:spacing w:after="0" w:before="0" w:line="240" w:lineRule="auto"/>
        <w:ind w:left="57"/>
        <w:jc w:val="left"/>
        <w:shd w:val="clear" w:fill="F2F2F2"/>
      </w:pPr>
      <w:r>
        <w:rPr>
          <w:rFonts w:ascii="Consolas" w:hAnsi="Consolas" w:cs="Consolas"/>
          <w:b w:val="0"/>
          <w:i w:val="0"/>
          <w:sz w:val="15"/>
        </w:rPr>
        <w:t>ROAD → AIR</w:t>
      </w:r>
    </w:p>
    <w:p>
      <w:pPr>
        <w:spacing w:after="0" w:before="0" w:line="240" w:lineRule="auto"/>
        <w:ind w:left="57"/>
        <w:jc w:val="left"/>
        <w:shd w:val="clear" w:fill="F2F2F2"/>
      </w:pPr>
      <w:r>
        <w:rPr>
          <w:rFonts w:ascii="Consolas" w:hAnsi="Consolas" w:cs="Consolas"/>
          <w:b w:val="0"/>
          <w:i w:val="0"/>
          <w:sz w:val="15"/>
        </w:rPr>
        <w:t>AIR → ROAD</w:t>
      </w:r>
    </w:p>
    <w:p>
      <w:pPr>
        <w:spacing w:after="0" w:before="0" w:line="240" w:lineRule="auto"/>
        <w:ind w:left="57"/>
        <w:jc w:val="left"/>
        <w:shd w:val="clear" w:fill="F2F2F2"/>
      </w:pPr>
      <w:r>
        <w:rPr>
          <w:rFonts w:ascii="Consolas" w:hAnsi="Consolas" w:cs="Consolas"/>
          <w:b w:val="0"/>
          <w:i w:val="0"/>
          <w:sz w:val="15"/>
        </w:rPr>
        <w:t>ROAD → AIR → ROAD</w:t>
      </w:r>
    </w:p>
    <w:p>
      <w:pPr>
        <w:spacing w:after="0" w:before="0" w:line="240" w:lineRule="auto"/>
        <w:ind w:left="57"/>
        <w:jc w:val="left"/>
        <w:shd w:val="clear" w:fill="F2F2F2"/>
      </w:pPr>
      <w:r>
        <w:rPr>
          <w:rFonts w:ascii="Consolas" w:hAnsi="Consolas" w:cs="Consolas"/>
          <w:b w:val="0"/>
          <w:i w:val="0"/>
          <w:sz w:val="15"/>
        </w:rPr>
        <w:t>ROAD → AIR → AIR → ROAD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Road segments use the Road Corridor Engine (Article 20.43).</w:t>
      </w:r>
    </w:p>
    <w:p>
      <w:pPr>
        <w:keepNext/>
        <w:spacing w:before="240" w:after="100"/>
        <w:outlineLvl w:val="1"/>
      </w:pPr>
      <w:r>
        <w:rPr>
          <w:rFonts w:ascii="Arial" w:hAnsi="Arial" w:cs="Arial"/>
          <w:b/>
          <w:i w:val="0"/>
          <w:color w:val="2E528F"/>
          <w:sz w:val="26"/>
        </w:rPr>
        <w:t>20.53 Ocean Container Engine</w:t>
      </w:r>
    </w:p>
    <w:p>
      <w:pPr>
        <w:spacing w:after="80" w:line="293" w:lineRule="auto"/>
        <w:jc w:val="left"/>
      </w:pPr>
      <w:r>
        <w:rPr>
          <w:rFonts w:ascii="Times New Roman" w:hAnsi="Times New Roman" w:cs="Times New Roman"/>
          <w:b w:val="0"/>
          <w:i w:val="0"/>
          <w:sz w:val="22"/>
        </w:rPr>
        <w:t>Container ocean remains a distinct engine. Core objects:</w:t>
      </w:r>
    </w:p>
    <w:p>
      <w:pPr>
        <w:spacing w:after="80" w:line="293" w:lineRule="auto"/>
        <w:ind w:left="283"/>
        <w:jc w:val="left"/>
      </w:pPr>
      <w:r>
        <w:rPr>
          <w:rFonts w:ascii="Times New Roman" w:hAnsi="Times New Roman" w:cs="Times New Roman"/>
          <w:b w:val="0"/>
          <w:i w:val="0"/>
          <w:sz w:val="22"/>
        </w:rPr>
        <w:t>- BOOKING</w:t>
      </w:r>
    </w:p>
    <w:p>
      <w:pPr>
        <w:spacing w:after="80" w:line="293" w:lineRule="auto"/>
        <w:ind w:left="283"/>
        <w:jc w:val="left"/>
      </w:pPr>
      <w:r>
        <w:rPr>
          <w:rFonts w:ascii="Times New Roman" w:hAnsi="Times New Roman" w:cs="Times New Roman"/>
          <w:b w:val="0"/>
          <w:i w:val="0"/>
          <w:sz w:val="22"/>
        </w:rPr>
        <w:t>- VESSEL</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PORT</w:t>
      </w:r>
    </w:p>
    <w:p>
      <w:pPr>
        <w:spacing w:after="80" w:line="293" w:lineRule="auto"/>
        <w:ind w:left="283"/>
        <w:jc w:val="left"/>
      </w:pPr>
      <w:r>
        <w:rPr>
          <w:rFonts w:ascii="Times New Roman" w:hAnsi="Times New Roman" w:cs="Times New Roman"/>
          <w:b w:val="0"/>
          <w:i w:val="0"/>
          <w:sz w:val="22"/>
        </w:rPr>
        <w:t>- CONTAINER</w:t>
      </w:r>
    </w:p>
    <w:p>
      <w:pPr>
        <w:spacing w:after="80" w:line="293" w:lineRule="auto"/>
        <w:ind w:left="283"/>
        <w:jc w:val="left"/>
      </w:pPr>
      <w:r>
        <w:rPr>
          <w:rFonts w:ascii="Times New Roman" w:hAnsi="Times New Roman" w:cs="Times New Roman"/>
          <w:b w:val="0"/>
          <w:i w:val="0"/>
          <w:sz w:val="22"/>
        </w:rPr>
        <w:t>- VGM (Verified Gross Mass)</w:t>
      </w:r>
    </w:p>
    <w:p>
      <w:pPr>
        <w:spacing w:after="80" w:line="293" w:lineRule="auto"/>
        <w:ind w:left="283"/>
        <w:jc w:val="left"/>
      </w:pPr>
      <w:r>
        <w:rPr>
          <w:rFonts w:ascii="Times New Roman" w:hAnsi="Times New Roman" w:cs="Times New Roman"/>
          <w:b w:val="0"/>
          <w:i w:val="0"/>
          <w:sz w:val="22"/>
        </w:rPr>
        <w:t>- B/L</w:t>
      </w:r>
    </w:p>
    <w:p>
      <w:pPr>
        <w:spacing w:after="80" w:line="293" w:lineRule="auto"/>
        <w:ind w:left="283"/>
        <w:jc w:val="left"/>
      </w:pPr>
      <w:r>
        <w:rPr>
          <w:rFonts w:ascii="Times New Roman" w:hAnsi="Times New Roman" w:cs="Times New Roman"/>
          <w:b w:val="0"/>
          <w:i w:val="0"/>
          <w:sz w:val="22"/>
        </w:rPr>
        <w:t>- e-B/L (electronic Bill of Lading)</w:t>
      </w:r>
    </w:p>
    <w:p>
      <w:pPr>
        <w:spacing w:after="80" w:line="293" w:lineRule="auto"/>
        <w:ind w:left="283"/>
        <w:jc w:val="left"/>
      </w:pPr>
      <w:r>
        <w:rPr>
          <w:rFonts w:ascii="Times New Roman" w:hAnsi="Times New Roman" w:cs="Times New Roman"/>
          <w:b w:val="0"/>
          <w:i w:val="0"/>
          <w:sz w:val="22"/>
        </w:rPr>
        <w:t>- MANIFEST</w:t>
      </w:r>
    </w:p>
    <w:p>
      <w:pPr>
        <w:spacing w:after="80" w:line="293" w:lineRule="auto"/>
        <w:ind w:left="283"/>
        <w:jc w:val="left"/>
      </w:pPr>
      <w:r>
        <w:rPr>
          <w:rFonts w:ascii="Times New Roman" w:hAnsi="Times New Roman" w:cs="Times New Roman"/>
          <w:b w:val="0"/>
          <w:i w:val="0"/>
          <w:sz w:val="22"/>
        </w:rPr>
        <w:t>- ACI (Advance Cargo Information)</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TERMINAL</w:t>
      </w:r>
    </w:p>
    <w:p>
      <w:pPr>
        <w:spacing w:after="80" w:line="293" w:lineRule="auto"/>
        <w:ind w:left="283"/>
        <w:jc w:val="left"/>
      </w:pPr>
      <w:r>
        <w:rPr>
          <w:rFonts w:ascii="Times New Roman" w:hAnsi="Times New Roman" w:cs="Times New Roman"/>
          <w:b w:val="0"/>
          <w:i w:val="0"/>
          <w:sz w:val="22"/>
        </w:rPr>
        <w:t>- GATE</w:t>
      </w:r>
    </w:p>
    <w:p>
      <w:pPr>
        <w:spacing w:after="80" w:line="293" w:lineRule="auto"/>
        <w:ind w:left="283"/>
        <w:jc w:val="left"/>
      </w:pPr>
      <w:r>
        <w:rPr>
          <w:rFonts w:ascii="Times New Roman" w:hAnsi="Times New Roman" w:cs="Times New Roman"/>
          <w:b w:val="0"/>
          <w:i w:val="0"/>
          <w:sz w:val="22"/>
        </w:rPr>
        <w:t>- TRANSSHIPMENT</w:t>
      </w:r>
    </w:p>
    <w:p>
      <w:pPr>
        <w:spacing w:after="80" w:line="293" w:lineRule="auto"/>
        <w:ind w:left="283"/>
        <w:jc w:val="left"/>
      </w:pPr>
      <w:r>
        <w:rPr>
          <w:rFonts w:ascii="Times New Roman" w:hAnsi="Times New Roman" w:cs="Times New Roman"/>
          <w:b w:val="0"/>
          <w:i w:val="0"/>
          <w:sz w:val="22"/>
        </w:rPr>
        <w:t>- DEMURRAGE</w:t>
      </w:r>
    </w:p>
    <w:p>
      <w:pPr>
        <w:spacing w:after="80" w:line="293" w:lineRule="auto"/>
        <w:ind w:left="283"/>
        <w:jc w:val="left"/>
      </w:pPr>
      <w:r>
        <w:rPr>
          <w:rFonts w:ascii="Times New Roman" w:hAnsi="Times New Roman" w:cs="Times New Roman"/>
          <w:b w:val="0"/>
          <w:i w:val="0"/>
          <w:sz w:val="22"/>
        </w:rPr>
        <w:t>- DETENTION</w:t>
      </w:r>
    </w:p>
    <w:p>
      <w:pPr>
        <w:spacing w:after="80" w:line="293" w:lineRule="auto"/>
        <w:ind w:left="283"/>
        <w:jc w:val="left"/>
      </w:pPr>
      <w:r>
        <w:rPr>
          <w:rFonts w:ascii="Times New Roman" w:hAnsi="Times New Roman" w:cs="Times New Roman"/>
          <w:b w:val="0"/>
          <w:i w:val="0"/>
          <w:sz w:val="22"/>
        </w:rPr>
        <w:t>- DELIVERY</w:t>
      </w:r>
    </w:p>
    <w:p>
      <w:pPr>
        <w:keepNext/>
        <w:spacing w:before="240" w:after="100"/>
        <w:outlineLvl w:val="1"/>
      </w:pPr>
      <w:r>
        <w:rPr>
          <w:rFonts w:ascii="Arial" w:hAnsi="Arial" w:cs="Arial"/>
          <w:b/>
          <w:i w:val="0"/>
          <w:color w:val="2E528F"/>
          <w:sz w:val="26"/>
        </w:rPr>
        <w:t>20.54 Rail Engine</w:t>
      </w:r>
    </w:p>
    <w:p>
      <w:pPr>
        <w:spacing w:after="80" w:line="293" w:lineRule="auto"/>
        <w:jc w:val="left"/>
      </w:pPr>
      <w:r>
        <w:rPr>
          <w:rFonts w:ascii="Times New Roman" w:hAnsi="Times New Roman" w:cs="Times New Roman"/>
          <w:b w:val="0"/>
          <w:i w:val="0"/>
          <w:sz w:val="22"/>
        </w:rPr>
        <w:t>The Rail Engine supports:</w:t>
      </w:r>
    </w:p>
    <w:p>
      <w:pPr>
        <w:spacing w:after="80" w:line="293" w:lineRule="auto"/>
        <w:ind w:left="283"/>
        <w:jc w:val="left"/>
      </w:pPr>
      <w:r>
        <w:rPr>
          <w:rFonts w:ascii="Times New Roman" w:hAnsi="Times New Roman" w:cs="Times New Roman"/>
          <w:b w:val="0"/>
          <w:i w:val="0"/>
          <w:sz w:val="22"/>
        </w:rPr>
        <w:t>- rail booking</w:t>
      </w:r>
    </w:p>
    <w:p>
      <w:pPr>
        <w:spacing w:after="80" w:line="293" w:lineRule="auto"/>
        <w:ind w:left="283"/>
        <w:jc w:val="left"/>
      </w:pPr>
      <w:r>
        <w:rPr>
          <w:rFonts w:ascii="Times New Roman" w:hAnsi="Times New Roman" w:cs="Times New Roman"/>
          <w:b w:val="0"/>
          <w:i w:val="0"/>
          <w:sz w:val="22"/>
        </w:rPr>
        <w:t>- train</w:t>
      </w:r>
    </w:p>
    <w:p>
      <w:pPr>
        <w:spacing w:after="80" w:line="293" w:lineRule="auto"/>
        <w:ind w:left="283"/>
        <w:jc w:val="left"/>
      </w:pPr>
      <w:r>
        <w:rPr>
          <w:rFonts w:ascii="Times New Roman" w:hAnsi="Times New Roman" w:cs="Times New Roman"/>
          <w:b w:val="0"/>
          <w:i w:val="0"/>
          <w:sz w:val="22"/>
        </w:rPr>
        <w:t>- wagon</w:t>
      </w:r>
    </w:p>
    <w:p>
      <w:pPr>
        <w:spacing w:after="80" w:line="293" w:lineRule="auto"/>
        <w:ind w:left="283"/>
        <w:jc w:val="left"/>
      </w:pPr>
      <w:r>
        <w:rPr>
          <w:rFonts w:ascii="Times New Roman" w:hAnsi="Times New Roman" w:cs="Times New Roman"/>
          <w:b w:val="0"/>
          <w:i w:val="0"/>
          <w:sz w:val="22"/>
        </w:rPr>
        <w:t>- terminal</w:t>
      </w:r>
    </w:p>
    <w:p>
      <w:pPr>
        <w:spacing w:after="80" w:line="293" w:lineRule="auto"/>
        <w:ind w:left="283"/>
        <w:jc w:val="left"/>
      </w:pPr>
      <w:r>
        <w:rPr>
          <w:rFonts w:ascii="Times New Roman" w:hAnsi="Times New Roman" w:cs="Times New Roman"/>
          <w:b w:val="0"/>
          <w:i w:val="0"/>
          <w:sz w:val="22"/>
        </w:rPr>
        <w:t>- consignment</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tracking</w:t>
      </w:r>
    </w:p>
    <w:p>
      <w:pPr>
        <w:spacing w:after="80" w:line="293" w:lineRule="auto"/>
        <w:ind w:left="283"/>
        <w:jc w:val="left"/>
      </w:pPr>
      <w:r>
        <w:rPr>
          <w:rFonts w:ascii="Times New Roman" w:hAnsi="Times New Roman" w:cs="Times New Roman"/>
          <w:b w:val="0"/>
          <w:i w:val="0"/>
          <w:sz w:val="22"/>
        </w:rPr>
        <w:t>- interchange</w:t>
      </w:r>
    </w:p>
    <w:p>
      <w:pPr>
        <w:spacing w:after="80" w:line="293" w:lineRule="auto"/>
        <w:ind w:left="283"/>
        <w:jc w:val="left"/>
      </w:pPr>
      <w:r>
        <w:rPr>
          <w:rFonts w:ascii="Times New Roman" w:hAnsi="Times New Roman" w:cs="Times New Roman"/>
          <w:b w:val="0"/>
          <w:i w:val="0"/>
          <w:sz w:val="22"/>
        </w:rPr>
        <w:t>- delivery</w:t>
      </w:r>
    </w:p>
    <w:p>
      <w:pPr>
        <w:keepNext/>
        <w:spacing w:before="240" w:after="100"/>
        <w:outlineLvl w:val="1"/>
      </w:pPr>
      <w:r>
        <w:rPr>
          <w:rFonts w:ascii="Arial" w:hAnsi="Arial" w:cs="Arial"/>
          <w:b/>
          <w:i w:val="0"/>
          <w:color w:val="2E528F"/>
          <w:sz w:val="26"/>
        </w:rPr>
        <w:t>20.55 RoRo &amp; Rolling Cargo — First-Class Engine</w:t>
      </w:r>
    </w:p>
    <w:p>
      <w:pPr>
        <w:spacing w:after="80" w:line="293" w:lineRule="auto"/>
        <w:jc w:val="left"/>
      </w:pPr>
      <w:r>
        <w:rPr>
          <w:rFonts w:ascii="Times New Roman" w:hAnsi="Times New Roman" w:cs="Times New Roman"/>
          <w:b w:val="0"/>
          <w:i w:val="0"/>
          <w:sz w:val="22"/>
        </w:rPr>
        <w:t>RoRo (roll-on/roll-off) and rolling cargo are a distinct first-class engine. RoRo is not treated as simply Ocean. The platform defines the RORO &amp; ROLLING CARGO ENGINE.</w:t>
      </w:r>
    </w:p>
    <w:p>
      <w:pPr>
        <w:spacing w:after="80" w:line="293" w:lineRule="auto"/>
        <w:jc w:val="left"/>
      </w:pPr>
      <w:r>
        <w:rPr>
          <w:rFonts w:ascii="Times New Roman" w:hAnsi="Times New Roman" w:cs="Times New Roman"/>
          <w:b w:val="0"/>
          <w:i w:val="0"/>
          <w:sz w:val="22"/>
        </w:rPr>
        <w:t>The transport hierarchy becomes: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Engine</w:t>
            </w:r>
          </w:p>
        </w:tc>
        <w:tc>
          <w:tcPr>
            <w:tcW w:type="dxa" w:w="4819"/>
            <w:shd w:val="clear" w:fill="D9E2F3"/>
          </w:tcPr>
          <w:p>
            <w:pPr>
              <w:spacing w:after="20" w:before="20" w:line="240" w:lineRule="auto"/>
            </w:pPr>
            <w:r/>
            <w:r>
              <w:rPr>
                <w:rFonts w:ascii="Arial" w:hAnsi="Arial" w:cs="Arial"/>
                <w:b/>
                <w:i w:val="0"/>
                <w:sz w:val="18"/>
              </w:rPr>
              <w:t>Mode</w:t>
            </w:r>
          </w:p>
        </w:tc>
      </w:tr>
      <w:tr>
        <w:tc>
          <w:tcPr>
            <w:tcW w:type="dxa" w:w="4819"/>
          </w:tcPr>
          <w:p>
            <w:pPr>
              <w:spacing w:after="20" w:before="20" w:line="240" w:lineRule="auto"/>
            </w:pPr>
            <w:r/>
            <w:r>
              <w:rPr>
                <w:rFonts w:ascii="Arial" w:hAnsi="Arial" w:cs="Arial"/>
                <w:b w:val="0"/>
                <w:i w:val="0"/>
                <w:sz w:val="17"/>
              </w:rPr>
              <w:t>Transport Orchestrator</w:t>
            </w:r>
          </w:p>
        </w:tc>
        <w:tc>
          <w:tcPr>
            <w:tcW w:type="dxa" w:w="4819"/>
          </w:tcPr>
          <w:p>
            <w:pPr>
              <w:spacing w:after="20" w:before="20" w:line="240" w:lineRule="auto"/>
            </w:pPr>
            <w:r/>
            <w:r>
              <w:rPr>
                <w:rFonts w:ascii="Arial" w:hAnsi="Arial" w:cs="Arial"/>
                <w:b w:val="0"/>
                <w:i w:val="0"/>
                <w:sz w:val="17"/>
              </w:rPr>
              <w:t>Orchestrates all modes</w:t>
            </w:r>
          </w:p>
        </w:tc>
      </w:tr>
      <w:tr>
        <w:tc>
          <w:tcPr>
            <w:tcW w:type="dxa" w:w="4819"/>
          </w:tcPr>
          <w:p>
            <w:pPr>
              <w:spacing w:after="20" w:before="20" w:line="240" w:lineRule="auto"/>
            </w:pPr>
            <w:r/>
            <w:r>
              <w:rPr>
                <w:rFonts w:ascii="Arial" w:hAnsi="Arial" w:cs="Arial"/>
                <w:b w:val="0"/>
                <w:i w:val="0"/>
                <w:sz w:val="17"/>
              </w:rPr>
              <w:t>ROAD</w:t>
            </w:r>
          </w:p>
        </w:tc>
        <w:tc>
          <w:tcPr>
            <w:tcW w:type="dxa" w:w="4819"/>
          </w:tcPr>
          <w:p>
            <w:pPr>
              <w:spacing w:after="20" w:before="20" w:line="240" w:lineRule="auto"/>
            </w:pPr>
            <w:r/>
            <w:r>
              <w:rPr>
                <w:rFonts w:ascii="Arial" w:hAnsi="Arial" w:cs="Arial"/>
                <w:b w:val="0"/>
                <w:i w:val="0"/>
                <w:sz w:val="17"/>
              </w:rPr>
              <w:t>Road</w:t>
            </w:r>
          </w:p>
        </w:tc>
      </w:tr>
      <w:tr>
        <w:tc>
          <w:tcPr>
            <w:tcW w:type="dxa" w:w="4819"/>
          </w:tcPr>
          <w:p>
            <w:pPr>
              <w:spacing w:after="20" w:before="20" w:line="240" w:lineRule="auto"/>
            </w:pPr>
            <w:r/>
            <w:r>
              <w:rPr>
                <w:rFonts w:ascii="Arial" w:hAnsi="Arial" w:cs="Arial"/>
                <w:b w:val="0"/>
                <w:i w:val="0"/>
                <w:sz w:val="17"/>
              </w:rPr>
              <w:t>AIR</w:t>
            </w:r>
          </w:p>
        </w:tc>
        <w:tc>
          <w:tcPr>
            <w:tcW w:type="dxa" w:w="4819"/>
          </w:tcPr>
          <w:p>
            <w:pPr>
              <w:spacing w:after="20" w:before="20" w:line="240" w:lineRule="auto"/>
            </w:pPr>
            <w:r/>
            <w:r>
              <w:rPr>
                <w:rFonts w:ascii="Arial" w:hAnsi="Arial" w:cs="Arial"/>
                <w:b w:val="0"/>
                <w:i w:val="0"/>
                <w:sz w:val="17"/>
              </w:rPr>
              <w:t>Air</w:t>
            </w:r>
          </w:p>
        </w:tc>
      </w:tr>
      <w:tr>
        <w:tc>
          <w:tcPr>
            <w:tcW w:type="dxa" w:w="4819"/>
          </w:tcPr>
          <w:p>
            <w:pPr>
              <w:spacing w:after="20" w:before="20" w:line="240" w:lineRule="auto"/>
            </w:pPr>
            <w:r/>
            <w:r>
              <w:rPr>
                <w:rFonts w:ascii="Arial" w:hAnsi="Arial" w:cs="Arial"/>
                <w:b w:val="0"/>
                <w:i w:val="0"/>
                <w:sz w:val="17"/>
              </w:rPr>
              <w:t>OCEAN CONTAINER</w:t>
            </w:r>
          </w:p>
        </w:tc>
        <w:tc>
          <w:tcPr>
            <w:tcW w:type="dxa" w:w="4819"/>
          </w:tcPr>
          <w:p>
            <w:pPr>
              <w:spacing w:after="20" w:before="20" w:line="240" w:lineRule="auto"/>
            </w:pPr>
            <w:r/>
            <w:r>
              <w:rPr>
                <w:rFonts w:ascii="Arial" w:hAnsi="Arial" w:cs="Arial"/>
                <w:b w:val="0"/>
                <w:i w:val="0"/>
                <w:sz w:val="17"/>
              </w:rPr>
              <w:t>Ocean container</w:t>
            </w:r>
          </w:p>
        </w:tc>
      </w:tr>
      <w:tr>
        <w:tc>
          <w:tcPr>
            <w:tcW w:type="dxa" w:w="4819"/>
          </w:tcPr>
          <w:p>
            <w:pPr>
              <w:spacing w:after="20" w:before="20" w:line="240" w:lineRule="auto"/>
            </w:pPr>
            <w:r/>
            <w:r>
              <w:rPr>
                <w:rFonts w:ascii="Arial" w:hAnsi="Arial" w:cs="Arial"/>
                <w:b w:val="0"/>
                <w:i w:val="0"/>
                <w:sz w:val="17"/>
              </w:rPr>
              <w:t>RORO / ROLLING CARGO</w:t>
            </w:r>
          </w:p>
        </w:tc>
        <w:tc>
          <w:tcPr>
            <w:tcW w:type="dxa" w:w="4819"/>
          </w:tcPr>
          <w:p>
            <w:pPr>
              <w:spacing w:after="20" w:before="20" w:line="240" w:lineRule="auto"/>
            </w:pPr>
            <w:r/>
            <w:r>
              <w:rPr>
                <w:rFonts w:ascii="Arial" w:hAnsi="Arial" w:cs="Arial"/>
                <w:b w:val="0"/>
                <w:i w:val="0"/>
                <w:sz w:val="17"/>
              </w:rPr>
              <w:t>RoRo and rolling cargo</w:t>
            </w:r>
          </w:p>
        </w:tc>
      </w:tr>
      <w:tr>
        <w:tc>
          <w:tcPr>
            <w:tcW w:type="dxa" w:w="4819"/>
          </w:tcPr>
          <w:p>
            <w:pPr>
              <w:spacing w:after="20" w:before="20" w:line="240" w:lineRule="auto"/>
            </w:pPr>
            <w:r/>
            <w:r>
              <w:rPr>
                <w:rFonts w:ascii="Arial" w:hAnsi="Arial" w:cs="Arial"/>
                <w:b w:val="0"/>
                <w:i w:val="0"/>
                <w:sz w:val="17"/>
              </w:rPr>
              <w:t>RAIL</w:t>
            </w:r>
          </w:p>
        </w:tc>
        <w:tc>
          <w:tcPr>
            <w:tcW w:type="dxa" w:w="4819"/>
          </w:tcPr>
          <w:p>
            <w:pPr>
              <w:spacing w:after="20" w:before="20" w:line="240" w:lineRule="auto"/>
            </w:pPr>
            <w:r/>
            <w:r>
              <w:rPr>
                <w:rFonts w:ascii="Arial" w:hAnsi="Arial" w:cs="Arial"/>
                <w:b w:val="0"/>
                <w:i w:val="0"/>
                <w:sz w:val="17"/>
              </w:rPr>
              <w:t>Rail</w:t>
            </w:r>
          </w:p>
        </w:tc>
      </w:tr>
      <w:tr>
        <w:tc>
          <w:tcPr>
            <w:tcW w:type="dxa" w:w="4819"/>
          </w:tcPr>
          <w:p>
            <w:pPr>
              <w:spacing w:after="20" w:before="20" w:line="240" w:lineRule="auto"/>
            </w:pPr>
            <w:r/>
            <w:r>
              <w:rPr>
                <w:rFonts w:ascii="Arial" w:hAnsi="Arial" w:cs="Arial"/>
                <w:b w:val="0"/>
                <w:i w:val="0"/>
                <w:sz w:val="17"/>
              </w:rPr>
              <w:t>FERRY</w:t>
            </w:r>
          </w:p>
        </w:tc>
        <w:tc>
          <w:tcPr>
            <w:tcW w:type="dxa" w:w="4819"/>
          </w:tcPr>
          <w:p>
            <w:pPr>
              <w:spacing w:after="20" w:before="20" w:line="240" w:lineRule="auto"/>
            </w:pPr>
            <w:r/>
            <w:r>
              <w:rPr>
                <w:rFonts w:ascii="Arial" w:hAnsi="Arial" w:cs="Arial"/>
                <w:b w:val="0"/>
                <w:i w:val="0"/>
                <w:sz w:val="17"/>
              </w:rPr>
              <w:t>Ferry</w:t>
            </w:r>
          </w:p>
        </w:tc>
      </w:tr>
      <w:tr>
        <w:tc>
          <w:tcPr>
            <w:tcW w:type="dxa" w:w="4819"/>
          </w:tcPr>
          <w:p>
            <w:pPr>
              <w:spacing w:after="20" w:before="20" w:line="240" w:lineRule="auto"/>
            </w:pPr>
            <w:r/>
            <w:r>
              <w:rPr>
                <w:rFonts w:ascii="Arial" w:hAnsi="Arial" w:cs="Arial"/>
                <w:b w:val="0"/>
                <w:i w:val="0"/>
                <w:sz w:val="17"/>
              </w:rPr>
              <w:t>MULTIMODAL</w:t>
            </w:r>
          </w:p>
        </w:tc>
        <w:tc>
          <w:tcPr>
            <w:tcW w:type="dxa" w:w="4819"/>
          </w:tcPr>
          <w:p>
            <w:pPr>
              <w:spacing w:after="20" w:before="20" w:line="240" w:lineRule="auto"/>
            </w:pPr>
            <w:r/>
            <w:r>
              <w:rPr>
                <w:rFonts w:ascii="Arial" w:hAnsi="Arial" w:cs="Arial"/>
                <w:b w:val="0"/>
                <w:i w:val="0"/>
                <w:sz w:val="17"/>
              </w:rPr>
              <w:t>Multimodal</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20.56 RoRo Master Object</w:t>
      </w:r>
    </w:p>
    <w:p>
      <w:pPr>
        <w:spacing w:after="80" w:line="293" w:lineRule="auto"/>
        <w:jc w:val="left"/>
      </w:pPr>
      <w:r>
        <w:rPr>
          <w:rFonts w:ascii="Times New Roman" w:hAnsi="Times New Roman" w:cs="Times New Roman"/>
          <w:b w:val="0"/>
          <w:i w:val="0"/>
          <w:sz w:val="22"/>
        </w:rPr>
        <w:t>The platform creates the master object RORO_SHIPMENT under USTN. Structure:</w:t>
      </w:r>
    </w:p>
    <w:p>
      <w:pPr>
        <w:spacing w:after="0" w:before="0" w:line="240" w:lineRule="auto"/>
        <w:ind w:left="57"/>
        <w:jc w:val="left"/>
        <w:shd w:val="clear" w:fill="F2F2F2"/>
      </w:pPr>
      <w:r>
        <w:rPr>
          <w:rFonts w:ascii="Consolas" w:hAnsi="Consolas" w:cs="Consolas"/>
          <w:b w:val="0"/>
          <w:i w:val="0"/>
          <w:sz w:val="15"/>
        </w:rPr>
        <w:t>USTN</w:t>
      </w:r>
    </w:p>
    <w:p>
      <w:pPr>
        <w:spacing w:after="0" w:before="0" w:line="240" w:lineRule="auto"/>
        <w:ind w:left="57"/>
        <w:jc w:val="left"/>
        <w:shd w:val="clear" w:fill="F2F2F2"/>
      </w:pPr>
      <w:r>
        <w:rPr>
          <w:rFonts w:ascii="Consolas" w:hAnsi="Consolas" w:cs="Consolas"/>
          <w:b w:val="0"/>
          <w:i w:val="0"/>
          <w:sz w:val="15"/>
        </w:rPr>
        <w:t xml:space="preserve"> └→ RORO_SHIPMENT</w:t>
      </w:r>
    </w:p>
    <w:p>
      <w:pPr>
        <w:spacing w:after="0" w:before="0" w:line="240" w:lineRule="auto"/>
        <w:ind w:left="57"/>
        <w:jc w:val="left"/>
        <w:shd w:val="clear" w:fill="F2F2F2"/>
      </w:pPr>
      <w:r>
        <w:rPr>
          <w:rFonts w:ascii="Consolas" w:hAnsi="Consolas" w:cs="Consolas"/>
          <w:b w:val="0"/>
          <w:i w:val="0"/>
          <w:sz w:val="15"/>
        </w:rPr>
        <w:t xml:space="preserve">     ├→ BOOKING</w:t>
      </w:r>
    </w:p>
    <w:p>
      <w:pPr>
        <w:spacing w:after="0" w:before="0" w:line="240" w:lineRule="auto"/>
        <w:ind w:left="57"/>
        <w:jc w:val="left"/>
        <w:shd w:val="clear" w:fill="F2F2F2"/>
      </w:pPr>
      <w:r>
        <w:rPr>
          <w:rFonts w:ascii="Consolas" w:hAnsi="Consolas" w:cs="Consolas"/>
          <w:b w:val="0"/>
          <w:i w:val="0"/>
          <w:sz w:val="15"/>
        </w:rPr>
        <w:t xml:space="preserve">     ├→ VOYAGES</w:t>
      </w:r>
    </w:p>
    <w:p>
      <w:pPr>
        <w:spacing w:after="0" w:before="0" w:line="240" w:lineRule="auto"/>
        <w:ind w:left="57"/>
        <w:jc w:val="left"/>
        <w:shd w:val="clear" w:fill="F2F2F2"/>
      </w:pPr>
      <w:r>
        <w:rPr>
          <w:rFonts w:ascii="Consolas" w:hAnsi="Consolas" w:cs="Consolas"/>
          <w:b w:val="0"/>
          <w:i w:val="0"/>
          <w:sz w:val="15"/>
        </w:rPr>
        <w:t xml:space="preserve">     ├→ PORT_CALLS</w:t>
      </w:r>
    </w:p>
    <w:p>
      <w:pPr>
        <w:spacing w:after="0" w:before="0" w:line="240" w:lineRule="auto"/>
        <w:ind w:left="57"/>
        <w:jc w:val="left"/>
        <w:shd w:val="clear" w:fill="F2F2F2"/>
      </w:pPr>
      <w:r>
        <w:rPr>
          <w:rFonts w:ascii="Consolas" w:hAnsi="Consolas" w:cs="Consolas"/>
          <w:b w:val="0"/>
          <w:i w:val="0"/>
          <w:sz w:val="15"/>
        </w:rPr>
        <w:t xml:space="preserve">     ├→ MANIFEST</w:t>
      </w:r>
    </w:p>
    <w:p>
      <w:pPr>
        <w:spacing w:after="0" w:before="0" w:line="240" w:lineRule="auto"/>
        <w:ind w:left="57"/>
        <w:jc w:val="left"/>
        <w:shd w:val="clear" w:fill="F2F2F2"/>
      </w:pPr>
      <w:r>
        <w:rPr>
          <w:rFonts w:ascii="Consolas" w:hAnsi="Consolas" w:cs="Consolas"/>
          <w:b w:val="0"/>
          <w:i w:val="0"/>
          <w:sz w:val="15"/>
        </w:rPr>
        <w:t xml:space="preserve">     ├→ RORO_UNITS</w:t>
      </w:r>
    </w:p>
    <w:p>
      <w:pPr>
        <w:spacing w:after="0" w:before="0" w:line="240" w:lineRule="auto"/>
        <w:ind w:left="57"/>
        <w:jc w:val="left"/>
        <w:shd w:val="clear" w:fill="F2F2F2"/>
      </w:pPr>
      <w:r>
        <w:rPr>
          <w:rFonts w:ascii="Consolas" w:hAnsi="Consolas" w:cs="Consolas"/>
          <w:b w:val="0"/>
          <w:i w:val="0"/>
          <w:sz w:val="15"/>
        </w:rPr>
        <w:t xml:space="preserve">     ├→ CUSTOMS</w:t>
      </w:r>
    </w:p>
    <w:p>
      <w:pPr>
        <w:spacing w:after="0" w:before="0" w:line="240" w:lineRule="auto"/>
        <w:ind w:left="57"/>
        <w:jc w:val="left"/>
        <w:shd w:val="clear" w:fill="F2F2F2"/>
      </w:pPr>
      <w:r>
        <w:rPr>
          <w:rFonts w:ascii="Consolas" w:hAnsi="Consolas" w:cs="Consolas"/>
          <w:b w:val="0"/>
          <w:i w:val="0"/>
          <w:sz w:val="15"/>
        </w:rPr>
        <w:t xml:space="preserve">     ├→ INSPECTIONS</w:t>
      </w:r>
    </w:p>
    <w:p>
      <w:pPr>
        <w:spacing w:after="0" w:before="0" w:line="240" w:lineRule="auto"/>
        <w:ind w:left="57"/>
        <w:jc w:val="left"/>
        <w:shd w:val="clear" w:fill="F2F2F2"/>
      </w:pPr>
      <w:r>
        <w:rPr>
          <w:rFonts w:ascii="Consolas" w:hAnsi="Consolas" w:cs="Consolas"/>
          <w:b w:val="0"/>
          <w:i w:val="0"/>
          <w:sz w:val="15"/>
        </w:rPr>
        <w:t xml:space="preserve">     ├→ YARD</w:t>
      </w:r>
    </w:p>
    <w:p>
      <w:pPr>
        <w:spacing w:after="0" w:before="0" w:line="240" w:lineRule="auto"/>
        <w:ind w:left="57"/>
        <w:jc w:val="left"/>
        <w:shd w:val="clear" w:fill="F2F2F2"/>
      </w:pPr>
      <w:r>
        <w:rPr>
          <w:rFonts w:ascii="Consolas" w:hAnsi="Consolas" w:cs="Consolas"/>
          <w:b w:val="0"/>
          <w:i w:val="0"/>
          <w:sz w:val="15"/>
        </w:rPr>
        <w:t xml:space="preserve">     ├→ LOADING</w:t>
      </w:r>
    </w:p>
    <w:p>
      <w:pPr>
        <w:spacing w:after="0" w:before="0" w:line="240" w:lineRule="auto"/>
        <w:ind w:left="57"/>
        <w:jc w:val="left"/>
        <w:shd w:val="clear" w:fill="F2F2F2"/>
      </w:pPr>
      <w:r>
        <w:rPr>
          <w:rFonts w:ascii="Consolas" w:hAnsi="Consolas" w:cs="Consolas"/>
          <w:b w:val="0"/>
          <w:i w:val="0"/>
          <w:sz w:val="15"/>
        </w:rPr>
        <w:t xml:space="preserve">     ├→ DISCHARGE</w:t>
      </w:r>
    </w:p>
    <w:p>
      <w:pPr>
        <w:spacing w:after="0" w:before="0" w:line="240" w:lineRule="auto"/>
        <w:ind w:left="57"/>
        <w:jc w:val="left"/>
        <w:shd w:val="clear" w:fill="F2F2F2"/>
      </w:pPr>
      <w:r>
        <w:rPr>
          <w:rFonts w:ascii="Consolas" w:hAnsi="Consolas" w:cs="Consolas"/>
          <w:b w:val="0"/>
          <w:i w:val="0"/>
          <w:sz w:val="15"/>
        </w:rPr>
        <w:t xml:space="preserve">     ├→ DELIVERY</w:t>
      </w:r>
    </w:p>
    <w:p>
      <w:pPr>
        <w:spacing w:after="0" w:before="0" w:line="240" w:lineRule="auto"/>
        <w:ind w:left="57"/>
        <w:jc w:val="left"/>
        <w:shd w:val="clear" w:fill="F2F2F2"/>
      </w:pPr>
      <w:r>
        <w:rPr>
          <w:rFonts w:ascii="Consolas" w:hAnsi="Consolas" w:cs="Consolas"/>
          <w:b w:val="0"/>
          <w:i w:val="0"/>
          <w:sz w:val="15"/>
        </w:rPr>
        <w:t xml:space="preserve">     ├→ PAYMENTS</w:t>
      </w:r>
    </w:p>
    <w:p>
      <w:pPr>
        <w:spacing w:after="0" w:before="0" w:line="240" w:lineRule="auto"/>
        <w:ind w:left="57"/>
        <w:jc w:val="left"/>
        <w:shd w:val="clear" w:fill="F2F2F2"/>
      </w:pPr>
      <w:r>
        <w:rPr>
          <w:rFonts w:ascii="Consolas" w:hAnsi="Consolas" w:cs="Consolas"/>
          <w:b w:val="0"/>
          <w:i w:val="0"/>
          <w:sz w:val="15"/>
        </w:rPr>
        <w:t xml:space="preserve">     ├→ CLAIMS</w:t>
      </w:r>
    </w:p>
    <w:p>
      <w:pPr>
        <w:spacing w:after="0" w:before="0" w:line="240" w:lineRule="auto"/>
        <w:ind w:left="57"/>
        <w:jc w:val="left"/>
        <w:shd w:val="clear" w:fill="F2F2F2"/>
      </w:pPr>
      <w:r>
        <w:rPr>
          <w:rFonts w:ascii="Consolas" w:hAnsi="Consolas" w:cs="Consolas"/>
          <w:b w:val="0"/>
          <w:i w:val="0"/>
          <w:sz w:val="15"/>
        </w:rPr>
        <w:t xml:space="preserve">     └→ EVIDENCE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20.57 RoRo Unit Identity</w:t>
      </w:r>
    </w:p>
    <w:p>
      <w:pPr>
        <w:spacing w:after="80" w:line="293" w:lineRule="auto"/>
        <w:jc w:val="left"/>
      </w:pPr>
      <w:r>
        <w:rPr>
          <w:rFonts w:ascii="Times New Roman" w:hAnsi="Times New Roman" w:cs="Times New Roman"/>
          <w:b w:val="0"/>
          <w:i w:val="0"/>
          <w:sz w:val="22"/>
        </w:rPr>
        <w:t>Every rolling unit has:</w:t>
      </w:r>
    </w:p>
    <w:p>
      <w:pPr>
        <w:spacing w:after="80" w:line="293" w:lineRule="auto"/>
        <w:ind w:left="283"/>
        <w:jc w:val="left"/>
      </w:pPr>
      <w:r>
        <w:rPr>
          <w:rFonts w:ascii="Times New Roman" w:hAnsi="Times New Roman" w:cs="Times New Roman"/>
          <w:b w:val="0"/>
          <w:i w:val="0"/>
          <w:sz w:val="22"/>
        </w:rPr>
        <w:t>- RORO_UNIT_ID</w:t>
      </w:r>
    </w:p>
    <w:p>
      <w:pPr>
        <w:spacing w:after="80" w:line="293" w:lineRule="auto"/>
        <w:ind w:left="283"/>
        <w:jc w:val="left"/>
      </w:pPr>
      <w:r>
        <w:rPr>
          <w:rFonts w:ascii="Times New Roman" w:hAnsi="Times New Roman" w:cs="Times New Roman"/>
          <w:b w:val="0"/>
          <w:i w:val="0"/>
          <w:sz w:val="22"/>
        </w:rPr>
        <w:t>- VIN (Vehicle Identification Number)</w:t>
      </w:r>
    </w:p>
    <w:p>
      <w:pPr>
        <w:spacing w:after="80" w:line="293" w:lineRule="auto"/>
        <w:ind w:left="283"/>
        <w:jc w:val="left"/>
      </w:pPr>
      <w:r>
        <w:rPr>
          <w:rFonts w:ascii="Times New Roman" w:hAnsi="Times New Roman" w:cs="Times New Roman"/>
          <w:b w:val="0"/>
          <w:i w:val="0"/>
          <w:sz w:val="22"/>
        </w:rPr>
        <w:t>- CHASSIS</w:t>
      </w:r>
    </w:p>
    <w:p>
      <w:pPr>
        <w:spacing w:after="80" w:line="293" w:lineRule="auto"/>
        <w:ind w:left="283"/>
        <w:jc w:val="left"/>
      </w:pPr>
      <w:r>
        <w:rPr>
          <w:rFonts w:ascii="Times New Roman" w:hAnsi="Times New Roman" w:cs="Times New Roman"/>
          <w:b w:val="0"/>
          <w:i w:val="0"/>
          <w:sz w:val="22"/>
        </w:rPr>
        <w:t>- REGISTRATION</w:t>
      </w:r>
    </w:p>
    <w:p>
      <w:pPr>
        <w:spacing w:after="80" w:line="293" w:lineRule="auto"/>
        <w:ind w:left="283"/>
        <w:jc w:val="left"/>
      </w:pPr>
      <w:r>
        <w:rPr>
          <w:rFonts w:ascii="Times New Roman" w:hAnsi="Times New Roman" w:cs="Times New Roman"/>
          <w:b w:val="0"/>
          <w:i w:val="0"/>
          <w:sz w:val="22"/>
        </w:rPr>
        <w:t>- MAKE</w:t>
      </w:r>
    </w:p>
    <w:p>
      <w:pPr>
        <w:spacing w:after="80" w:line="293" w:lineRule="auto"/>
        <w:ind w:left="283"/>
        <w:jc w:val="left"/>
      </w:pPr>
      <w:r>
        <w:rPr>
          <w:rFonts w:ascii="Times New Roman" w:hAnsi="Times New Roman" w:cs="Times New Roman"/>
          <w:b w:val="0"/>
          <w:i w:val="0"/>
          <w:sz w:val="22"/>
        </w:rPr>
        <w:t>- MODEL</w:t>
      </w:r>
    </w:p>
    <w:p>
      <w:pPr>
        <w:spacing w:after="80" w:line="293" w:lineRule="auto"/>
        <w:ind w:left="283"/>
        <w:jc w:val="left"/>
      </w:pPr>
      <w:r>
        <w:rPr>
          <w:rFonts w:ascii="Times New Roman" w:hAnsi="Times New Roman" w:cs="Times New Roman"/>
          <w:b w:val="0"/>
          <w:i w:val="0"/>
          <w:sz w:val="22"/>
        </w:rPr>
        <w:t>- YEAR</w:t>
      </w:r>
    </w:p>
    <w:p>
      <w:pPr>
        <w:spacing w:after="80" w:line="293" w:lineRule="auto"/>
        <w:ind w:left="283"/>
        <w:jc w:val="left"/>
      </w:pPr>
      <w:r>
        <w:rPr>
          <w:rFonts w:ascii="Times New Roman" w:hAnsi="Times New Roman" w:cs="Times New Roman"/>
          <w:b w:val="0"/>
          <w:i w:val="0"/>
          <w:sz w:val="22"/>
        </w:rPr>
        <w:t>- VEHICLE_TYPE</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DIMENSIONS</w:t>
      </w:r>
    </w:p>
    <w:p>
      <w:pPr>
        <w:spacing w:after="80" w:line="293" w:lineRule="auto"/>
        <w:ind w:left="283"/>
        <w:jc w:val="left"/>
      </w:pPr>
      <w:r>
        <w:rPr>
          <w:rFonts w:ascii="Times New Roman" w:hAnsi="Times New Roman" w:cs="Times New Roman"/>
          <w:b w:val="0"/>
          <w:i w:val="0"/>
          <w:sz w:val="22"/>
        </w:rPr>
        <w:t>- FUEL</w:t>
      </w:r>
    </w:p>
    <w:p>
      <w:pPr>
        <w:spacing w:after="80" w:line="293" w:lineRule="auto"/>
        <w:ind w:left="283"/>
        <w:jc w:val="left"/>
      </w:pPr>
      <w:r>
        <w:rPr>
          <w:rFonts w:ascii="Times New Roman" w:hAnsi="Times New Roman" w:cs="Times New Roman"/>
          <w:b w:val="0"/>
          <w:i w:val="0"/>
          <w:sz w:val="22"/>
        </w:rPr>
        <w:t>- BATTERY</w:t>
      </w:r>
    </w:p>
    <w:p>
      <w:pPr>
        <w:spacing w:after="80" w:line="293" w:lineRule="auto"/>
        <w:ind w:left="283"/>
        <w:jc w:val="left"/>
      </w:pPr>
      <w:r>
        <w:rPr>
          <w:rFonts w:ascii="Times New Roman" w:hAnsi="Times New Roman" w:cs="Times New Roman"/>
          <w:b w:val="0"/>
          <w:i w:val="0"/>
          <w:sz w:val="22"/>
        </w:rPr>
        <w:t>- RUNNING_STATUS</w:t>
      </w:r>
    </w:p>
    <w:p>
      <w:pPr>
        <w:spacing w:after="80" w:line="293" w:lineRule="auto"/>
        <w:ind w:left="283"/>
        <w:jc w:val="left"/>
      </w:pPr>
      <w:r>
        <w:rPr>
          <w:rFonts w:ascii="Times New Roman" w:hAnsi="Times New Roman" w:cs="Times New Roman"/>
          <w:b w:val="0"/>
          <w:i w:val="0"/>
          <w:sz w:val="22"/>
        </w:rPr>
        <w:t>- CONDITION</w:t>
      </w:r>
    </w:p>
    <w:p>
      <w:pPr>
        <w:spacing w:after="80" w:line="293" w:lineRule="auto"/>
        <w:ind w:left="283"/>
        <w:jc w:val="left"/>
      </w:pPr>
      <w:r>
        <w:rPr>
          <w:rFonts w:ascii="Times New Roman" w:hAnsi="Times New Roman" w:cs="Times New Roman"/>
          <w:b w:val="0"/>
          <w:i w:val="0"/>
          <w:sz w:val="22"/>
        </w:rPr>
        <w:t>- OWNER</w:t>
      </w:r>
    </w:p>
    <w:p>
      <w:pPr>
        <w:spacing w:after="80" w:line="293" w:lineRule="auto"/>
        <w:ind w:left="283"/>
        <w:jc w:val="left"/>
      </w:pPr>
      <w:r>
        <w:rPr>
          <w:rFonts w:ascii="Times New Roman" w:hAnsi="Times New Roman" w:cs="Times New Roman"/>
          <w:b w:val="0"/>
          <w:i w:val="0"/>
          <w:sz w:val="22"/>
        </w:rPr>
        <w:t>- EXPORTER</w:t>
      </w:r>
    </w:p>
    <w:p>
      <w:pPr>
        <w:spacing w:after="80" w:line="293" w:lineRule="auto"/>
        <w:ind w:left="283"/>
        <w:jc w:val="left"/>
      </w:pPr>
      <w:r>
        <w:rPr>
          <w:rFonts w:ascii="Times New Roman" w:hAnsi="Times New Roman" w:cs="Times New Roman"/>
          <w:b w:val="0"/>
          <w:i w:val="0"/>
          <w:sz w:val="22"/>
        </w:rPr>
        <w:t>- IMPORTER</w:t>
      </w:r>
    </w:p>
    <w:p>
      <w:pPr>
        <w:spacing w:after="80" w:line="293" w:lineRule="auto"/>
        <w:ind w:left="283"/>
        <w:jc w:val="left"/>
      </w:pPr>
      <w:r>
        <w:rPr>
          <w:rFonts w:ascii="Times New Roman" w:hAnsi="Times New Roman" w:cs="Times New Roman"/>
          <w:b w:val="0"/>
          <w:i w:val="0"/>
          <w:sz w:val="22"/>
        </w:rPr>
        <w:t>- CONSIGNEE</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ORIGIN</w:t>
      </w:r>
    </w:p>
    <w:p>
      <w:pPr>
        <w:spacing w:after="80" w:line="293" w:lineRule="auto"/>
        <w:jc w:val="left"/>
      </w:pPr>
      <w:r>
        <w:rPr>
          <w:rFonts w:ascii="Times New Roman" w:hAnsi="Times New Roman" w:cs="Times New Roman"/>
          <w:b w:val="0"/>
          <w:i w:val="0"/>
          <w:sz w:val="22"/>
        </w:rPr>
        <w:t>For non-vehicle rolling cargo:</w:t>
      </w:r>
    </w:p>
    <w:p>
      <w:pPr>
        <w:spacing w:after="80" w:line="293" w:lineRule="auto"/>
        <w:ind w:left="283"/>
        <w:jc w:val="left"/>
      </w:pPr>
      <w:r>
        <w:rPr>
          <w:rFonts w:ascii="Times New Roman" w:hAnsi="Times New Roman" w:cs="Times New Roman"/>
          <w:b w:val="0"/>
          <w:i w:val="0"/>
          <w:sz w:val="22"/>
        </w:rPr>
        <w:t>- serial</w:t>
      </w:r>
    </w:p>
    <w:p>
      <w:pPr>
        <w:spacing w:after="80" w:line="293" w:lineRule="auto"/>
        <w:ind w:left="283"/>
        <w:jc w:val="left"/>
      </w:pPr>
      <w:r>
        <w:rPr>
          <w:rFonts w:ascii="Times New Roman" w:hAnsi="Times New Roman" w:cs="Times New Roman"/>
          <w:b w:val="0"/>
          <w:i w:val="0"/>
          <w:sz w:val="22"/>
        </w:rPr>
        <w:t>- equipment ID</w:t>
      </w:r>
    </w:p>
    <w:p>
      <w:pPr>
        <w:spacing w:after="80" w:line="293" w:lineRule="auto"/>
        <w:ind w:left="283"/>
        <w:jc w:val="left"/>
      </w:pPr>
      <w:r>
        <w:rPr>
          <w:rFonts w:ascii="Times New Roman" w:hAnsi="Times New Roman" w:cs="Times New Roman"/>
          <w:b w:val="0"/>
          <w:i w:val="0"/>
          <w:sz w:val="22"/>
        </w:rPr>
        <w:t>- dimensions</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condition</w:t>
      </w:r>
    </w:p>
    <w:p>
      <w:pPr>
        <w:keepNext/>
        <w:spacing w:before="240" w:after="100"/>
        <w:outlineLvl w:val="1"/>
      </w:pPr>
      <w:r>
        <w:rPr>
          <w:rFonts w:ascii="Arial" w:hAnsi="Arial" w:cs="Arial"/>
          <w:b/>
          <w:i w:val="0"/>
          <w:color w:val="2E528F"/>
          <w:sz w:val="26"/>
        </w:rPr>
        <w:t>20.58 RoRo Vehicle Types</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passenger vehicles</w:t>
      </w:r>
    </w:p>
    <w:p>
      <w:pPr>
        <w:spacing w:after="80" w:line="293" w:lineRule="auto"/>
        <w:ind w:left="283"/>
        <w:jc w:val="left"/>
      </w:pPr>
      <w:r>
        <w:rPr>
          <w:rFonts w:ascii="Times New Roman" w:hAnsi="Times New Roman" w:cs="Times New Roman"/>
          <w:b w:val="0"/>
          <w:i w:val="0"/>
          <w:sz w:val="22"/>
        </w:rPr>
        <w:t>- trucks</w:t>
      </w:r>
    </w:p>
    <w:p>
      <w:pPr>
        <w:spacing w:after="80" w:line="293" w:lineRule="auto"/>
        <w:ind w:left="283"/>
        <w:jc w:val="left"/>
      </w:pPr>
      <w:r>
        <w:rPr>
          <w:rFonts w:ascii="Times New Roman" w:hAnsi="Times New Roman" w:cs="Times New Roman"/>
          <w:b w:val="0"/>
          <w:i w:val="0"/>
          <w:sz w:val="22"/>
        </w:rPr>
        <w:t>- trailers</w:t>
      </w:r>
    </w:p>
    <w:p>
      <w:pPr>
        <w:spacing w:after="80" w:line="293" w:lineRule="auto"/>
        <w:ind w:left="283"/>
        <w:jc w:val="left"/>
      </w:pPr>
      <w:r>
        <w:rPr>
          <w:rFonts w:ascii="Times New Roman" w:hAnsi="Times New Roman" w:cs="Times New Roman"/>
          <w:b w:val="0"/>
          <w:i w:val="0"/>
          <w:sz w:val="22"/>
        </w:rPr>
        <w:t>- buses</w:t>
      </w:r>
    </w:p>
    <w:p>
      <w:pPr>
        <w:spacing w:after="80" w:line="293" w:lineRule="auto"/>
        <w:ind w:left="283"/>
        <w:jc w:val="left"/>
      </w:pPr>
      <w:r>
        <w:rPr>
          <w:rFonts w:ascii="Times New Roman" w:hAnsi="Times New Roman" w:cs="Times New Roman"/>
          <w:b w:val="0"/>
          <w:i w:val="0"/>
          <w:sz w:val="22"/>
        </w:rPr>
        <w:t>- tractors</w:t>
      </w:r>
    </w:p>
    <w:p>
      <w:pPr>
        <w:spacing w:after="80" w:line="293" w:lineRule="auto"/>
        <w:ind w:left="283"/>
        <w:jc w:val="left"/>
      </w:pPr>
      <w:r>
        <w:rPr>
          <w:rFonts w:ascii="Times New Roman" w:hAnsi="Times New Roman" w:cs="Times New Roman"/>
          <w:b w:val="0"/>
          <w:i w:val="0"/>
          <w:sz w:val="22"/>
        </w:rPr>
        <w:t>- agricultural equipment</w:t>
      </w:r>
    </w:p>
    <w:p>
      <w:pPr>
        <w:spacing w:after="80" w:line="293" w:lineRule="auto"/>
        <w:ind w:left="283"/>
        <w:jc w:val="left"/>
      </w:pPr>
      <w:r>
        <w:rPr>
          <w:rFonts w:ascii="Times New Roman" w:hAnsi="Times New Roman" w:cs="Times New Roman"/>
          <w:b w:val="0"/>
          <w:i w:val="0"/>
          <w:sz w:val="22"/>
        </w:rPr>
        <w:t>- construction machinery</w:t>
      </w:r>
    </w:p>
    <w:p>
      <w:pPr>
        <w:spacing w:after="80" w:line="293" w:lineRule="auto"/>
        <w:ind w:left="283"/>
        <w:jc w:val="left"/>
      </w:pPr>
      <w:r>
        <w:rPr>
          <w:rFonts w:ascii="Times New Roman" w:hAnsi="Times New Roman" w:cs="Times New Roman"/>
          <w:b w:val="0"/>
          <w:i w:val="0"/>
          <w:sz w:val="22"/>
        </w:rPr>
        <w:t>- industrial equipment</w:t>
      </w:r>
    </w:p>
    <w:p>
      <w:pPr>
        <w:spacing w:after="80" w:line="293" w:lineRule="auto"/>
        <w:ind w:left="283"/>
        <w:jc w:val="left"/>
      </w:pPr>
      <w:r>
        <w:rPr>
          <w:rFonts w:ascii="Times New Roman" w:hAnsi="Times New Roman" w:cs="Times New Roman"/>
          <w:b w:val="0"/>
          <w:i w:val="0"/>
          <w:sz w:val="22"/>
        </w:rPr>
        <w:t>- motorcycles</w:t>
      </w:r>
    </w:p>
    <w:p>
      <w:pPr>
        <w:spacing w:after="80" w:line="293" w:lineRule="auto"/>
        <w:ind w:left="283"/>
        <w:jc w:val="left"/>
      </w:pPr>
      <w:r>
        <w:rPr>
          <w:rFonts w:ascii="Times New Roman" w:hAnsi="Times New Roman" w:cs="Times New Roman"/>
          <w:b w:val="0"/>
          <w:i w:val="0"/>
          <w:sz w:val="22"/>
        </w:rPr>
        <w:t>- boats on trailers</w:t>
      </w:r>
    </w:p>
    <w:p>
      <w:pPr>
        <w:spacing w:after="80" w:line="293" w:lineRule="auto"/>
        <w:ind w:left="283"/>
        <w:jc w:val="left"/>
      </w:pPr>
      <w:r>
        <w:rPr>
          <w:rFonts w:ascii="Times New Roman" w:hAnsi="Times New Roman" w:cs="Times New Roman"/>
          <w:b w:val="0"/>
          <w:i w:val="0"/>
          <w:sz w:val="22"/>
        </w:rPr>
        <w:t>- non-running units</w:t>
      </w:r>
    </w:p>
    <w:p>
      <w:pPr>
        <w:spacing w:after="80" w:line="293" w:lineRule="auto"/>
        <w:ind w:left="283"/>
        <w:jc w:val="left"/>
      </w:pPr>
      <w:r>
        <w:rPr>
          <w:rFonts w:ascii="Times New Roman" w:hAnsi="Times New Roman" w:cs="Times New Roman"/>
          <w:b w:val="0"/>
          <w:i w:val="0"/>
          <w:sz w:val="22"/>
        </w:rPr>
        <w:t>- oversized machinery</w:t>
      </w:r>
    </w:p>
    <w:p>
      <w:pPr>
        <w:keepNext/>
        <w:spacing w:before="240" w:after="100"/>
        <w:outlineLvl w:val="1"/>
      </w:pPr>
      <w:r>
        <w:rPr>
          <w:rFonts w:ascii="Arial" w:hAnsi="Arial" w:cs="Arial"/>
          <w:b/>
          <w:i w:val="0"/>
          <w:color w:val="2E528F"/>
          <w:sz w:val="26"/>
        </w:rPr>
        <w:t>20.59 RoRo Booking Engine</w:t>
      </w:r>
    </w:p>
    <w:p>
      <w:pPr>
        <w:spacing w:after="80" w:line="293" w:lineRule="auto"/>
        <w:jc w:val="left"/>
      </w:pPr>
      <w:r>
        <w:rPr>
          <w:rFonts w:ascii="Times New Roman" w:hAnsi="Times New Roman" w:cs="Times New Roman"/>
          <w:b w:val="0"/>
          <w:i w:val="0"/>
          <w:sz w:val="22"/>
        </w:rPr>
        <w:t>The Booking Engine supports:</w:t>
      </w:r>
    </w:p>
    <w:p>
      <w:pPr>
        <w:spacing w:after="80" w:line="293" w:lineRule="auto"/>
        <w:ind w:left="283"/>
        <w:jc w:val="left"/>
      </w:pPr>
      <w:r>
        <w:rPr>
          <w:rFonts w:ascii="Times New Roman" w:hAnsi="Times New Roman" w:cs="Times New Roman"/>
          <w:b w:val="0"/>
          <w:i w:val="0"/>
          <w:sz w:val="22"/>
        </w:rPr>
        <w:t>- port pair</w:t>
      </w:r>
    </w:p>
    <w:p>
      <w:pPr>
        <w:spacing w:after="80" w:line="293" w:lineRule="auto"/>
        <w:ind w:left="283"/>
        <w:jc w:val="left"/>
      </w:pPr>
      <w:r>
        <w:rPr>
          <w:rFonts w:ascii="Times New Roman" w:hAnsi="Times New Roman" w:cs="Times New Roman"/>
          <w:b w:val="0"/>
          <w:i w:val="0"/>
          <w:sz w:val="22"/>
        </w:rPr>
        <w:t>- vessel</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number of units</w:t>
      </w:r>
    </w:p>
    <w:p>
      <w:pPr>
        <w:spacing w:after="80" w:line="293" w:lineRule="auto"/>
        <w:ind w:left="283"/>
        <w:jc w:val="left"/>
      </w:pPr>
      <w:r>
        <w:rPr>
          <w:rFonts w:ascii="Times New Roman" w:hAnsi="Times New Roman" w:cs="Times New Roman"/>
          <w:b w:val="0"/>
          <w:i w:val="0"/>
          <w:sz w:val="22"/>
        </w:rPr>
        <w:t>- VIN</w:t>
      </w:r>
    </w:p>
    <w:p>
      <w:pPr>
        <w:spacing w:after="80" w:line="293" w:lineRule="auto"/>
        <w:ind w:left="283"/>
        <w:jc w:val="left"/>
      </w:pPr>
      <w:r>
        <w:rPr>
          <w:rFonts w:ascii="Times New Roman" w:hAnsi="Times New Roman" w:cs="Times New Roman"/>
          <w:b w:val="0"/>
          <w:i w:val="0"/>
          <w:sz w:val="22"/>
        </w:rPr>
        <w:t>- dimensions</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running/non-running</w:t>
      </w:r>
    </w:p>
    <w:p>
      <w:pPr>
        <w:spacing w:after="80" w:line="293" w:lineRule="auto"/>
        <w:ind w:left="283"/>
        <w:jc w:val="left"/>
      </w:pPr>
      <w:r>
        <w:rPr>
          <w:rFonts w:ascii="Times New Roman" w:hAnsi="Times New Roman" w:cs="Times New Roman"/>
          <w:b w:val="0"/>
          <w:i w:val="0"/>
          <w:sz w:val="22"/>
        </w:rPr>
        <w:t>- special handling</w:t>
      </w:r>
    </w:p>
    <w:p>
      <w:pPr>
        <w:spacing w:after="80" w:line="293" w:lineRule="auto"/>
        <w:ind w:left="283"/>
        <w:jc w:val="left"/>
      </w:pPr>
      <w:r>
        <w:rPr>
          <w:rFonts w:ascii="Times New Roman" w:hAnsi="Times New Roman" w:cs="Times New Roman"/>
          <w:b w:val="0"/>
          <w:i w:val="0"/>
          <w:sz w:val="22"/>
        </w:rPr>
        <w:t>- hazardous status</w:t>
      </w:r>
    </w:p>
    <w:p>
      <w:pPr>
        <w:spacing w:after="80" w:line="293" w:lineRule="auto"/>
        <w:ind w:left="283"/>
        <w:jc w:val="left"/>
      </w:pPr>
      <w:r>
        <w:rPr>
          <w:rFonts w:ascii="Times New Roman" w:hAnsi="Times New Roman" w:cs="Times New Roman"/>
          <w:b w:val="0"/>
          <w:i w:val="0"/>
          <w:sz w:val="22"/>
        </w:rPr>
        <w:t>- oversized</w:t>
      </w:r>
    </w:p>
    <w:p>
      <w:pPr>
        <w:spacing w:after="80" w:line="293" w:lineRule="auto"/>
        <w:ind w:left="283"/>
        <w:jc w:val="left"/>
      </w:pPr>
      <w:r>
        <w:rPr>
          <w:rFonts w:ascii="Times New Roman" w:hAnsi="Times New Roman" w:cs="Times New Roman"/>
          <w:b w:val="0"/>
          <w:i w:val="0"/>
          <w:sz w:val="22"/>
        </w:rPr>
        <w:t>- preferred sailing</w:t>
      </w:r>
    </w:p>
    <w:p>
      <w:pPr>
        <w:spacing w:after="80" w:line="293" w:lineRule="auto"/>
        <w:ind w:left="283"/>
        <w:jc w:val="left"/>
      </w:pPr>
      <w:r>
        <w:rPr>
          <w:rFonts w:ascii="Times New Roman" w:hAnsi="Times New Roman" w:cs="Times New Roman"/>
          <w:b w:val="0"/>
          <w:i w:val="0"/>
          <w:sz w:val="22"/>
        </w:rPr>
        <w:t>- delivery window</w:t>
      </w:r>
    </w:p>
    <w:p>
      <w:pPr>
        <w:spacing w:after="80" w:line="293" w:lineRule="auto"/>
        <w:ind w:left="283"/>
        <w:jc w:val="left"/>
      </w:pPr>
      <w:r>
        <w:rPr>
          <w:rFonts w:ascii="Times New Roman" w:hAnsi="Times New Roman" w:cs="Times New Roman"/>
          <w:b w:val="0"/>
          <w:i w:val="0"/>
          <w:sz w:val="22"/>
        </w:rPr>
        <w:t>- Incoterm</w:t>
      </w:r>
    </w:p>
    <w:p>
      <w:pPr>
        <w:keepNext/>
        <w:spacing w:before="240" w:after="100"/>
        <w:outlineLvl w:val="1"/>
      </w:pPr>
      <w:r>
        <w:rPr>
          <w:rFonts w:ascii="Arial" w:hAnsi="Arial" w:cs="Arial"/>
          <w:b/>
          <w:i w:val="0"/>
          <w:color w:val="2E528F"/>
          <w:sz w:val="26"/>
        </w:rPr>
        <w:t>20.60 RoRo Voyage Model</w:t>
      </w:r>
    </w:p>
    <w:p>
      <w:pPr>
        <w:spacing w:after="80" w:line="293" w:lineRule="auto"/>
        <w:jc w:val="left"/>
      </w:pPr>
      <w:r>
        <w:rPr>
          <w:rFonts w:ascii="Times New Roman" w:hAnsi="Times New Roman" w:cs="Times New Roman"/>
          <w:b w:val="0"/>
          <w:i w:val="0"/>
          <w:sz w:val="22"/>
        </w:rPr>
        <w:t>The engine tracks:</w:t>
      </w:r>
    </w:p>
    <w:p>
      <w:pPr>
        <w:spacing w:after="80" w:line="293" w:lineRule="auto"/>
        <w:ind w:left="283"/>
        <w:jc w:val="left"/>
      </w:pPr>
      <w:r>
        <w:rPr>
          <w:rFonts w:ascii="Times New Roman" w:hAnsi="Times New Roman" w:cs="Times New Roman"/>
          <w:b w:val="0"/>
          <w:i w:val="0"/>
          <w:sz w:val="22"/>
        </w:rPr>
        <w:t>- VESSEL</w:t>
      </w:r>
    </w:p>
    <w:p>
      <w:pPr>
        <w:spacing w:after="80" w:line="293" w:lineRule="auto"/>
        <w:ind w:left="283"/>
        <w:jc w:val="left"/>
      </w:pPr>
      <w:r>
        <w:rPr>
          <w:rFonts w:ascii="Times New Roman" w:hAnsi="Times New Roman" w:cs="Times New Roman"/>
          <w:b w:val="0"/>
          <w:i w:val="0"/>
          <w:sz w:val="22"/>
        </w:rPr>
        <w:t>- IMO (International Maritime Organization) number</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OPERATOR</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TRANSIT PORTS</w:t>
      </w:r>
    </w:p>
    <w:p>
      <w:pPr>
        <w:spacing w:after="80" w:line="293" w:lineRule="auto"/>
        <w:ind w:left="283"/>
        <w:jc w:val="left"/>
      </w:pPr>
      <w:r>
        <w:rPr>
          <w:rFonts w:ascii="Times New Roman" w:hAnsi="Times New Roman" w:cs="Times New Roman"/>
          <w:b w:val="0"/>
          <w:i w:val="0"/>
          <w:sz w:val="22"/>
        </w:rPr>
        <w:t>- ETD (Estimated Time of Departure)</w:t>
      </w:r>
    </w:p>
    <w:p>
      <w:pPr>
        <w:spacing w:after="80" w:line="293" w:lineRule="auto"/>
        <w:ind w:left="283"/>
        <w:jc w:val="left"/>
      </w:pPr>
      <w:r>
        <w:rPr>
          <w:rFonts w:ascii="Times New Roman" w:hAnsi="Times New Roman" w:cs="Times New Roman"/>
          <w:b w:val="0"/>
          <w:i w:val="0"/>
          <w:sz w:val="22"/>
        </w:rPr>
        <w:t>- ETA (Estimated Time of Arrival)</w:t>
      </w:r>
    </w:p>
    <w:p>
      <w:pPr>
        <w:spacing w:after="80" w:line="293" w:lineRule="auto"/>
        <w:ind w:left="283"/>
        <w:jc w:val="left"/>
      </w:pPr>
      <w:r>
        <w:rPr>
          <w:rFonts w:ascii="Times New Roman" w:hAnsi="Times New Roman" w:cs="Times New Roman"/>
          <w:b w:val="0"/>
          <w:i w:val="0"/>
          <w:sz w:val="22"/>
        </w:rPr>
        <w:t>- ACTUAL DEPARTURE</w:t>
      </w:r>
    </w:p>
    <w:p>
      <w:pPr>
        <w:spacing w:after="80" w:line="293" w:lineRule="auto"/>
        <w:ind w:left="283"/>
        <w:jc w:val="left"/>
      </w:pPr>
      <w:r>
        <w:rPr>
          <w:rFonts w:ascii="Times New Roman" w:hAnsi="Times New Roman" w:cs="Times New Roman"/>
          <w:b w:val="0"/>
          <w:i w:val="0"/>
          <w:sz w:val="22"/>
        </w:rPr>
        <w:t>- ACTUAL ARRIVAL</w:t>
      </w:r>
    </w:p>
    <w:p>
      <w:pPr>
        <w:spacing w:after="80" w:line="293" w:lineRule="auto"/>
        <w:ind w:left="283"/>
        <w:jc w:val="left"/>
      </w:pPr>
      <w:r>
        <w:rPr>
          <w:rFonts w:ascii="Times New Roman" w:hAnsi="Times New Roman" w:cs="Times New Roman"/>
          <w:b w:val="0"/>
          <w:i w:val="0"/>
          <w:sz w:val="22"/>
        </w:rPr>
        <w:t>- BOOKING CUTOFF</w:t>
      </w:r>
    </w:p>
    <w:p>
      <w:pPr>
        <w:spacing w:after="80" w:line="293" w:lineRule="auto"/>
        <w:ind w:left="283"/>
        <w:jc w:val="left"/>
      </w:pPr>
      <w:r>
        <w:rPr>
          <w:rFonts w:ascii="Times New Roman" w:hAnsi="Times New Roman" w:cs="Times New Roman"/>
          <w:b w:val="0"/>
          <w:i w:val="0"/>
          <w:sz w:val="22"/>
        </w:rPr>
        <w:t>- DOCUMENT CUTOFF</w:t>
      </w:r>
    </w:p>
    <w:p>
      <w:pPr>
        <w:spacing w:after="80" w:line="293" w:lineRule="auto"/>
        <w:ind w:left="283"/>
        <w:jc w:val="left"/>
      </w:pPr>
      <w:r>
        <w:rPr>
          <w:rFonts w:ascii="Times New Roman" w:hAnsi="Times New Roman" w:cs="Times New Roman"/>
          <w:b w:val="0"/>
          <w:i w:val="0"/>
          <w:sz w:val="22"/>
        </w:rPr>
        <w:t>- GATE CUTOFF</w:t>
      </w:r>
    </w:p>
    <w:p>
      <w:pPr>
        <w:spacing w:after="80" w:line="293" w:lineRule="auto"/>
        <w:ind w:left="283"/>
        <w:jc w:val="left"/>
      </w:pPr>
      <w:r>
        <w:rPr>
          <w:rFonts w:ascii="Times New Roman" w:hAnsi="Times New Roman" w:cs="Times New Roman"/>
          <w:b w:val="0"/>
          <w:i w:val="0"/>
          <w:sz w:val="22"/>
        </w:rPr>
        <w:t>- CARGO CUTOFF</w:t>
      </w:r>
    </w:p>
    <w:p>
      <w:pPr>
        <w:spacing w:after="80" w:line="293" w:lineRule="auto"/>
        <w:ind w:left="283"/>
        <w:jc w:val="left"/>
      </w:pPr>
      <w:r>
        <w:rPr>
          <w:rFonts w:ascii="Times New Roman" w:hAnsi="Times New Roman" w:cs="Times New Roman"/>
          <w:b w:val="0"/>
          <w:i w:val="0"/>
          <w:sz w:val="22"/>
        </w:rPr>
        <w:t>- STATUS</w:t>
      </w:r>
    </w:p>
    <w:p>
      <w:pPr>
        <w:keepNext/>
        <w:spacing w:before="240" w:after="100"/>
        <w:outlineLvl w:val="1"/>
      </w:pPr>
      <w:r>
        <w:rPr>
          <w:rFonts w:ascii="Arial" w:hAnsi="Arial" w:cs="Arial"/>
          <w:b/>
          <w:i w:val="0"/>
          <w:color w:val="2E528F"/>
          <w:sz w:val="26"/>
        </w:rPr>
        <w:t>20.61 RoRo Manifest</w:t>
      </w:r>
    </w:p>
    <w:p>
      <w:pPr>
        <w:spacing w:after="80" w:line="293" w:lineRule="auto"/>
        <w:jc w:val="left"/>
      </w:pPr>
      <w:r>
        <w:rPr>
          <w:rFonts w:ascii="Times New Roman" w:hAnsi="Times New Roman" w:cs="Times New Roman"/>
          <w:b w:val="0"/>
          <w:i w:val="0"/>
          <w:sz w:val="22"/>
        </w:rPr>
        <w:t>The manifest is unit-level. Every unit links:</w:t>
      </w:r>
    </w:p>
    <w:p>
      <w:pPr>
        <w:spacing w:after="80" w:line="293" w:lineRule="auto"/>
        <w:ind w:left="283"/>
        <w:jc w:val="left"/>
      </w:pPr>
      <w:r>
        <w:rPr>
          <w:rFonts w:ascii="Times New Roman" w:hAnsi="Times New Roman" w:cs="Times New Roman"/>
          <w:b w:val="0"/>
          <w:i w:val="0"/>
          <w:sz w:val="22"/>
        </w:rPr>
        <w:t>- VIN</w:t>
      </w:r>
    </w:p>
    <w:p>
      <w:pPr>
        <w:spacing w:after="80" w:line="293" w:lineRule="auto"/>
        <w:ind w:left="283"/>
        <w:jc w:val="left"/>
      </w:pPr>
      <w:r>
        <w:rPr>
          <w:rFonts w:ascii="Times New Roman" w:hAnsi="Times New Roman" w:cs="Times New Roman"/>
          <w:b w:val="0"/>
          <w:i w:val="0"/>
          <w:sz w:val="22"/>
        </w:rPr>
        <w:t>- RORO_UNIT_ID</w:t>
      </w:r>
    </w:p>
    <w:p>
      <w:pPr>
        <w:spacing w:after="80" w:line="293" w:lineRule="auto"/>
        <w:ind w:left="283"/>
        <w:jc w:val="left"/>
      </w:pPr>
      <w:r>
        <w:rPr>
          <w:rFonts w:ascii="Times New Roman" w:hAnsi="Times New Roman" w:cs="Times New Roman"/>
          <w:b w:val="0"/>
          <w:i w:val="0"/>
          <w:sz w:val="22"/>
        </w:rPr>
        <w:t>- BOOKING</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SHIPPER</w:t>
      </w:r>
    </w:p>
    <w:p>
      <w:pPr>
        <w:spacing w:after="80" w:line="293" w:lineRule="auto"/>
        <w:ind w:left="283"/>
        <w:jc w:val="left"/>
      </w:pPr>
      <w:r>
        <w:rPr>
          <w:rFonts w:ascii="Times New Roman" w:hAnsi="Times New Roman" w:cs="Times New Roman"/>
          <w:b w:val="0"/>
          <w:i w:val="0"/>
          <w:sz w:val="22"/>
        </w:rPr>
        <w:t>- CONSIGNEE</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GATE</w:t>
      </w:r>
    </w:p>
    <w:p>
      <w:pPr>
        <w:spacing w:after="80" w:line="293" w:lineRule="auto"/>
        <w:ind w:left="283"/>
        <w:jc w:val="left"/>
      </w:pPr>
      <w:r>
        <w:rPr>
          <w:rFonts w:ascii="Times New Roman" w:hAnsi="Times New Roman" w:cs="Times New Roman"/>
          <w:b w:val="0"/>
          <w:i w:val="0"/>
          <w:sz w:val="22"/>
        </w:rPr>
        <w:t>- LOADING</w:t>
      </w:r>
    </w:p>
    <w:p>
      <w:pPr>
        <w:keepNext/>
        <w:spacing w:before="240" w:after="100"/>
        <w:outlineLvl w:val="1"/>
      </w:pPr>
      <w:r>
        <w:rPr>
          <w:rFonts w:ascii="Arial" w:hAnsi="Arial" w:cs="Arial"/>
          <w:b/>
          <w:i w:val="0"/>
          <w:color w:val="2E528F"/>
          <w:sz w:val="26"/>
        </w:rPr>
        <w:t>20.62 VIN-Level Customs Reconciliation</w:t>
      </w:r>
    </w:p>
    <w:p>
      <w:pPr>
        <w:spacing w:after="80" w:line="293" w:lineRule="auto"/>
        <w:jc w:val="left"/>
      </w:pPr>
      <w:r>
        <w:rPr>
          <w:rFonts w:ascii="Times New Roman" w:hAnsi="Times New Roman" w:cs="Times New Roman"/>
          <w:b w:val="0"/>
          <w:i w:val="0"/>
          <w:sz w:val="22"/>
        </w:rPr>
        <w:t>SGTX must answer:</w:t>
      </w:r>
    </w:p>
    <w:p>
      <w:pPr>
        <w:spacing w:after="80" w:line="293" w:lineRule="auto"/>
        <w:ind w:left="283"/>
        <w:jc w:val="left"/>
      </w:pPr>
      <w:r>
        <w:rPr>
          <w:rFonts w:ascii="Times New Roman" w:hAnsi="Times New Roman" w:cs="Times New Roman"/>
          <w:b w:val="0"/>
          <w:i w:val="0"/>
          <w:sz w:val="22"/>
        </w:rPr>
        <w:t>- Is this VIN customs-cleared?</w:t>
      </w:r>
    </w:p>
    <w:p>
      <w:pPr>
        <w:spacing w:after="80" w:line="293" w:lineRule="auto"/>
        <w:ind w:left="283"/>
        <w:jc w:val="left"/>
      </w:pPr>
      <w:r>
        <w:rPr>
          <w:rFonts w:ascii="Times New Roman" w:hAnsi="Times New Roman" w:cs="Times New Roman"/>
          <w:b w:val="0"/>
          <w:i w:val="0"/>
          <w:sz w:val="22"/>
        </w:rPr>
        <w:t>- Which declaration?</w:t>
      </w:r>
    </w:p>
    <w:p>
      <w:pPr>
        <w:spacing w:after="80" w:line="293" w:lineRule="auto"/>
        <w:ind w:left="283"/>
        <w:jc w:val="left"/>
      </w:pPr>
      <w:r>
        <w:rPr>
          <w:rFonts w:ascii="Times New Roman" w:hAnsi="Times New Roman" w:cs="Times New Roman"/>
          <w:b w:val="0"/>
          <w:i w:val="0"/>
          <w:sz w:val="22"/>
        </w:rPr>
        <w:t>- Which voyage?</w:t>
      </w:r>
    </w:p>
    <w:p>
      <w:pPr>
        <w:spacing w:after="80" w:line="293" w:lineRule="auto"/>
        <w:ind w:left="283"/>
        <w:jc w:val="left"/>
      </w:pPr>
      <w:r>
        <w:rPr>
          <w:rFonts w:ascii="Times New Roman" w:hAnsi="Times New Roman" w:cs="Times New Roman"/>
          <w:b w:val="0"/>
          <w:i w:val="0"/>
          <w:sz w:val="22"/>
        </w:rPr>
        <w:t>- Which port?</w:t>
      </w:r>
    </w:p>
    <w:p>
      <w:pPr>
        <w:spacing w:after="80" w:line="293" w:lineRule="auto"/>
        <w:ind w:left="283"/>
        <w:jc w:val="left"/>
      </w:pPr>
      <w:r>
        <w:rPr>
          <w:rFonts w:ascii="Times New Roman" w:hAnsi="Times New Roman" w:cs="Times New Roman"/>
          <w:b w:val="0"/>
          <w:i w:val="0"/>
          <w:sz w:val="22"/>
        </w:rPr>
        <w:t>- Was it gated in?</w:t>
      </w:r>
    </w:p>
    <w:p>
      <w:pPr>
        <w:spacing w:after="80" w:line="293" w:lineRule="auto"/>
        <w:ind w:left="283"/>
        <w:jc w:val="left"/>
      </w:pPr>
      <w:r>
        <w:rPr>
          <w:rFonts w:ascii="Times New Roman" w:hAnsi="Times New Roman" w:cs="Times New Roman"/>
          <w:b w:val="0"/>
          <w:i w:val="0"/>
          <w:sz w:val="22"/>
        </w:rPr>
        <w:t>- Was it loaded?</w:t>
      </w:r>
    </w:p>
    <w:p>
      <w:pPr>
        <w:spacing w:after="80" w:line="293" w:lineRule="auto"/>
        <w:ind w:left="283"/>
        <w:jc w:val="left"/>
      </w:pPr>
      <w:r>
        <w:rPr>
          <w:rFonts w:ascii="Times New Roman" w:hAnsi="Times New Roman" w:cs="Times New Roman"/>
          <w:b w:val="0"/>
          <w:i w:val="0"/>
          <w:sz w:val="22"/>
        </w:rPr>
        <w:t>- Was it discharged?</w:t>
      </w:r>
    </w:p>
    <w:p>
      <w:pPr>
        <w:spacing w:after="80" w:line="293" w:lineRule="auto"/>
        <w:ind w:left="283"/>
        <w:jc w:val="left"/>
      </w:pPr>
      <w:r>
        <w:rPr>
          <w:rFonts w:ascii="Times New Roman" w:hAnsi="Times New Roman" w:cs="Times New Roman"/>
          <w:b w:val="0"/>
          <w:i w:val="0"/>
          <w:sz w:val="22"/>
        </w:rPr>
        <w:t>- Where is it in the yard?</w:t>
      </w:r>
    </w:p>
    <w:p>
      <w:pPr>
        <w:spacing w:after="80" w:line="293" w:lineRule="auto"/>
        <w:ind w:left="283"/>
        <w:jc w:val="left"/>
      </w:pPr>
      <w:r>
        <w:rPr>
          <w:rFonts w:ascii="Times New Roman" w:hAnsi="Times New Roman" w:cs="Times New Roman"/>
          <w:b w:val="0"/>
          <w:i w:val="0"/>
          <w:sz w:val="22"/>
        </w:rPr>
        <w:t>- Has it gated out?</w:t>
      </w:r>
    </w:p>
    <w:p>
      <w:pPr>
        <w:spacing w:after="80" w:line="293" w:lineRule="auto"/>
        <w:ind w:left="283"/>
        <w:jc w:val="left"/>
      </w:pPr>
      <w:r>
        <w:rPr>
          <w:rFonts w:ascii="Times New Roman" w:hAnsi="Times New Roman" w:cs="Times New Roman"/>
          <w:b w:val="0"/>
          <w:i w:val="0"/>
          <w:sz w:val="22"/>
        </w:rPr>
        <w:t>- Has it been delivered?</w:t>
      </w:r>
    </w:p>
    <w:p>
      <w:pPr>
        <w:keepNext/>
        <w:spacing w:before="240" w:after="100"/>
        <w:outlineLvl w:val="1"/>
      </w:pPr>
      <w:r>
        <w:rPr>
          <w:rFonts w:ascii="Arial" w:hAnsi="Arial" w:cs="Arial"/>
          <w:b/>
          <w:i w:val="0"/>
          <w:color w:val="2E528F"/>
          <w:sz w:val="26"/>
        </w:rPr>
        <w:t>20.63 RoRo Terminal Adapter</w:t>
      </w:r>
    </w:p>
    <w:p>
      <w:pPr>
        <w:spacing w:after="80" w:line="293" w:lineRule="auto"/>
        <w:jc w:val="left"/>
      </w:pPr>
      <w:r>
        <w:rPr>
          <w:rFonts w:ascii="Times New Roman" w:hAnsi="Times New Roman" w:cs="Times New Roman"/>
          <w:b w:val="0"/>
          <w:i w:val="0"/>
          <w:sz w:val="22"/>
        </w:rPr>
        <w:t>The Terminal Adapter supports:</w:t>
      </w:r>
    </w:p>
    <w:p>
      <w:pPr>
        <w:spacing w:after="80" w:line="293" w:lineRule="auto"/>
        <w:ind w:left="283"/>
        <w:jc w:val="left"/>
      </w:pPr>
      <w:r>
        <w:rPr>
          <w:rFonts w:ascii="Times New Roman" w:hAnsi="Times New Roman" w:cs="Times New Roman"/>
          <w:b w:val="0"/>
          <w:i w:val="0"/>
          <w:sz w:val="22"/>
        </w:rPr>
        <w:t>- pre-advice</w:t>
      </w:r>
    </w:p>
    <w:p>
      <w:pPr>
        <w:spacing w:after="80" w:line="293" w:lineRule="auto"/>
        <w:ind w:left="283"/>
        <w:jc w:val="left"/>
      </w:pPr>
      <w:r>
        <w:rPr>
          <w:rFonts w:ascii="Times New Roman" w:hAnsi="Times New Roman" w:cs="Times New Roman"/>
          <w:b w:val="0"/>
          <w:i w:val="0"/>
          <w:sz w:val="22"/>
        </w:rPr>
        <w:t>- booking</w:t>
      </w:r>
    </w:p>
    <w:p>
      <w:pPr>
        <w:spacing w:after="80" w:line="293" w:lineRule="auto"/>
        <w:ind w:left="283"/>
        <w:jc w:val="left"/>
      </w:pPr>
      <w:r>
        <w:rPr>
          <w:rFonts w:ascii="Times New Roman" w:hAnsi="Times New Roman" w:cs="Times New Roman"/>
          <w:b w:val="0"/>
          <w:i w:val="0"/>
          <w:sz w:val="22"/>
        </w:rPr>
        <w:t>- gate appointment</w:t>
      </w:r>
    </w:p>
    <w:p>
      <w:pPr>
        <w:spacing w:after="80" w:line="293" w:lineRule="auto"/>
        <w:ind w:left="283"/>
        <w:jc w:val="left"/>
      </w:pPr>
      <w:r>
        <w:rPr>
          <w:rFonts w:ascii="Times New Roman" w:hAnsi="Times New Roman" w:cs="Times New Roman"/>
          <w:b w:val="0"/>
          <w:i w:val="0"/>
          <w:sz w:val="22"/>
        </w:rPr>
        <w:t>- gate-in</w:t>
      </w:r>
    </w:p>
    <w:p>
      <w:pPr>
        <w:spacing w:after="80" w:line="293" w:lineRule="auto"/>
        <w:ind w:left="283"/>
        <w:jc w:val="left"/>
      </w:pPr>
      <w:r>
        <w:rPr>
          <w:rFonts w:ascii="Times New Roman" w:hAnsi="Times New Roman" w:cs="Times New Roman"/>
          <w:b w:val="0"/>
          <w:i w:val="0"/>
          <w:sz w:val="22"/>
        </w:rPr>
        <w:t>- VIN scan</w:t>
      </w:r>
    </w:p>
    <w:p>
      <w:pPr>
        <w:spacing w:after="80" w:line="293" w:lineRule="auto"/>
        <w:ind w:left="283"/>
        <w:jc w:val="left"/>
      </w:pPr>
      <w:r>
        <w:rPr>
          <w:rFonts w:ascii="Times New Roman" w:hAnsi="Times New Roman" w:cs="Times New Roman"/>
          <w:b w:val="0"/>
          <w:i w:val="0"/>
          <w:sz w:val="22"/>
        </w:rPr>
        <w:t>- inspection</w:t>
      </w:r>
    </w:p>
    <w:p>
      <w:pPr>
        <w:spacing w:after="80" w:line="293" w:lineRule="auto"/>
        <w:ind w:left="283"/>
        <w:jc w:val="left"/>
      </w:pPr>
      <w:r>
        <w:rPr>
          <w:rFonts w:ascii="Times New Roman" w:hAnsi="Times New Roman" w:cs="Times New Roman"/>
          <w:b w:val="0"/>
          <w:i w:val="0"/>
          <w:sz w:val="22"/>
        </w:rPr>
        <w:t>- yard assignment</w:t>
      </w:r>
    </w:p>
    <w:p>
      <w:pPr>
        <w:spacing w:after="80" w:line="293" w:lineRule="auto"/>
        <w:ind w:left="283"/>
        <w:jc w:val="left"/>
      </w:pPr>
      <w:r>
        <w:rPr>
          <w:rFonts w:ascii="Times New Roman" w:hAnsi="Times New Roman" w:cs="Times New Roman"/>
          <w:b w:val="0"/>
          <w:i w:val="0"/>
          <w:sz w:val="22"/>
        </w:rPr>
        <w:t>- parking</w:t>
      </w:r>
    </w:p>
    <w:p>
      <w:pPr>
        <w:spacing w:after="80" w:line="293" w:lineRule="auto"/>
        <w:ind w:left="283"/>
        <w:jc w:val="left"/>
      </w:pPr>
      <w:r>
        <w:rPr>
          <w:rFonts w:ascii="Times New Roman" w:hAnsi="Times New Roman" w:cs="Times New Roman"/>
          <w:b w:val="0"/>
          <w:i w:val="0"/>
          <w:sz w:val="22"/>
        </w:rPr>
        <w:t>- stock</w:t>
      </w:r>
    </w:p>
    <w:p>
      <w:pPr>
        <w:spacing w:after="80" w:line="293" w:lineRule="auto"/>
        <w:ind w:left="283"/>
        <w:jc w:val="left"/>
      </w:pPr>
      <w:r>
        <w:rPr>
          <w:rFonts w:ascii="Times New Roman" w:hAnsi="Times New Roman" w:cs="Times New Roman"/>
          <w:b w:val="0"/>
          <w:i w:val="0"/>
          <w:sz w:val="22"/>
        </w:rPr>
        <w:t>- loading</w:t>
      </w:r>
    </w:p>
    <w:p>
      <w:pPr>
        <w:spacing w:after="80" w:line="293" w:lineRule="auto"/>
        <w:ind w:left="283"/>
        <w:jc w:val="left"/>
      </w:pPr>
      <w:r>
        <w:rPr>
          <w:rFonts w:ascii="Times New Roman" w:hAnsi="Times New Roman" w:cs="Times New Roman"/>
          <w:b w:val="0"/>
          <w:i w:val="0"/>
          <w:sz w:val="22"/>
        </w:rPr>
        <w:t>- ramp assignment</w:t>
      </w:r>
    </w:p>
    <w:p>
      <w:pPr>
        <w:spacing w:after="80" w:line="293" w:lineRule="auto"/>
        <w:ind w:left="283"/>
        <w:jc w:val="left"/>
      </w:pPr>
      <w:r>
        <w:rPr>
          <w:rFonts w:ascii="Times New Roman" w:hAnsi="Times New Roman" w:cs="Times New Roman"/>
          <w:b w:val="0"/>
          <w:i w:val="0"/>
          <w:sz w:val="22"/>
        </w:rPr>
        <w:t>- discharge</w:t>
      </w:r>
    </w:p>
    <w:p>
      <w:pPr>
        <w:spacing w:after="80" w:line="293" w:lineRule="auto"/>
        <w:ind w:left="283"/>
        <w:jc w:val="left"/>
      </w:pPr>
      <w:r>
        <w:rPr>
          <w:rFonts w:ascii="Times New Roman" w:hAnsi="Times New Roman" w:cs="Times New Roman"/>
          <w:b w:val="0"/>
          <w:i w:val="0"/>
          <w:sz w:val="22"/>
        </w:rPr>
        <w:t>- gate-out</w:t>
      </w:r>
    </w:p>
    <w:p>
      <w:pPr>
        <w:keepNext/>
        <w:spacing w:before="240" w:after="100"/>
        <w:outlineLvl w:val="1"/>
      </w:pPr>
      <w:r>
        <w:rPr>
          <w:rFonts w:ascii="Arial" w:hAnsi="Arial" w:cs="Arial"/>
          <w:b/>
          <w:i w:val="0"/>
          <w:color w:val="2E528F"/>
          <w:sz w:val="26"/>
        </w:rPr>
        <w:t>20.64 RoRo Yard Engine</w:t>
      </w:r>
    </w:p>
    <w:p>
      <w:pPr>
        <w:spacing w:after="80" w:line="293" w:lineRule="auto"/>
        <w:jc w:val="left"/>
      </w:pPr>
      <w:r>
        <w:rPr>
          <w:rFonts w:ascii="Times New Roman" w:hAnsi="Times New Roman" w:cs="Times New Roman"/>
          <w:b w:val="0"/>
          <w:i w:val="0"/>
          <w:sz w:val="22"/>
        </w:rPr>
        <w:t>The Yard Engine tracks:</w:t>
      </w:r>
    </w:p>
    <w:p>
      <w:pPr>
        <w:spacing w:after="80" w:line="293" w:lineRule="auto"/>
        <w:ind w:left="283"/>
        <w:jc w:val="left"/>
      </w:pPr>
      <w:r>
        <w:rPr>
          <w:rFonts w:ascii="Times New Roman" w:hAnsi="Times New Roman" w:cs="Times New Roman"/>
          <w:b w:val="0"/>
          <w:i w:val="0"/>
          <w:sz w:val="22"/>
        </w:rPr>
        <w:t>- YARD</w:t>
      </w:r>
    </w:p>
    <w:p>
      <w:pPr>
        <w:spacing w:after="80" w:line="293" w:lineRule="auto"/>
        <w:ind w:left="283"/>
        <w:jc w:val="left"/>
      </w:pPr>
      <w:r>
        <w:rPr>
          <w:rFonts w:ascii="Times New Roman" w:hAnsi="Times New Roman" w:cs="Times New Roman"/>
          <w:b w:val="0"/>
          <w:i w:val="0"/>
          <w:sz w:val="22"/>
        </w:rPr>
        <w:t>- ZONE</w:t>
      </w:r>
    </w:p>
    <w:p>
      <w:pPr>
        <w:spacing w:after="80" w:line="293" w:lineRule="auto"/>
        <w:ind w:left="283"/>
        <w:jc w:val="left"/>
      </w:pPr>
      <w:r>
        <w:rPr>
          <w:rFonts w:ascii="Times New Roman" w:hAnsi="Times New Roman" w:cs="Times New Roman"/>
          <w:b w:val="0"/>
          <w:i w:val="0"/>
          <w:sz w:val="22"/>
        </w:rPr>
        <w:t>- BLOCK</w:t>
      </w:r>
    </w:p>
    <w:p>
      <w:pPr>
        <w:spacing w:after="80" w:line="293" w:lineRule="auto"/>
        <w:ind w:left="283"/>
        <w:jc w:val="left"/>
      </w:pPr>
      <w:r>
        <w:rPr>
          <w:rFonts w:ascii="Times New Roman" w:hAnsi="Times New Roman" w:cs="Times New Roman"/>
          <w:b w:val="0"/>
          <w:i w:val="0"/>
          <w:sz w:val="22"/>
        </w:rPr>
        <w:t>- ROW</w:t>
      </w:r>
    </w:p>
    <w:p>
      <w:pPr>
        <w:spacing w:after="80" w:line="293" w:lineRule="auto"/>
        <w:ind w:left="283"/>
        <w:jc w:val="left"/>
      </w:pPr>
      <w:r>
        <w:rPr>
          <w:rFonts w:ascii="Times New Roman" w:hAnsi="Times New Roman" w:cs="Times New Roman"/>
          <w:b w:val="0"/>
          <w:i w:val="0"/>
          <w:sz w:val="22"/>
        </w:rPr>
        <w:t>- SLOT</w:t>
      </w:r>
    </w:p>
    <w:p>
      <w:pPr>
        <w:spacing w:after="80" w:line="293" w:lineRule="auto"/>
        <w:ind w:left="283"/>
        <w:jc w:val="left"/>
      </w:pPr>
      <w:r>
        <w:rPr>
          <w:rFonts w:ascii="Times New Roman" w:hAnsi="Times New Roman" w:cs="Times New Roman"/>
          <w:b w:val="0"/>
          <w:i w:val="0"/>
          <w:sz w:val="22"/>
        </w:rPr>
        <w:t>- DECK</w:t>
      </w:r>
    </w:p>
    <w:p>
      <w:pPr>
        <w:spacing w:after="80" w:line="293" w:lineRule="auto"/>
        <w:ind w:left="283"/>
        <w:jc w:val="left"/>
      </w:pPr>
      <w:r>
        <w:rPr>
          <w:rFonts w:ascii="Times New Roman" w:hAnsi="Times New Roman" w:cs="Times New Roman"/>
          <w:b w:val="0"/>
          <w:i w:val="0"/>
          <w:sz w:val="22"/>
        </w:rPr>
        <w:t>- POSITION</w:t>
      </w:r>
    </w:p>
    <w:p>
      <w:pPr>
        <w:spacing w:after="80" w:line="293" w:lineRule="auto"/>
        <w:ind w:left="283"/>
        <w:jc w:val="left"/>
      </w:pPr>
      <w:r>
        <w:rPr>
          <w:rFonts w:ascii="Times New Roman" w:hAnsi="Times New Roman" w:cs="Times New Roman"/>
          <w:b w:val="0"/>
          <w:i w:val="0"/>
          <w:sz w:val="22"/>
        </w:rPr>
        <w:t>- VIN</w:t>
      </w:r>
    </w:p>
    <w:p>
      <w:pPr>
        <w:spacing w:after="80" w:line="293" w:lineRule="auto"/>
        <w:ind w:left="283"/>
        <w:jc w:val="left"/>
      </w:pPr>
      <w:r>
        <w:rPr>
          <w:rFonts w:ascii="Times New Roman" w:hAnsi="Times New Roman" w:cs="Times New Roman"/>
          <w:b w:val="0"/>
          <w:i w:val="0"/>
          <w:sz w:val="22"/>
        </w:rPr>
        <w:t>- UNIT STATUS</w:t>
      </w:r>
    </w:p>
    <w:p>
      <w:pPr>
        <w:spacing w:after="80" w:line="293" w:lineRule="auto"/>
        <w:ind w:left="283"/>
        <w:jc w:val="left"/>
      </w:pPr>
      <w:r>
        <w:rPr>
          <w:rFonts w:ascii="Times New Roman" w:hAnsi="Times New Roman" w:cs="Times New Roman"/>
          <w:b w:val="0"/>
          <w:i w:val="0"/>
          <w:sz w:val="22"/>
        </w:rPr>
        <w:t>- ARRIVAL</w:t>
      </w:r>
    </w:p>
    <w:p>
      <w:pPr>
        <w:spacing w:after="80" w:line="293" w:lineRule="auto"/>
        <w:ind w:left="283"/>
        <w:jc w:val="left"/>
      </w:pPr>
      <w:r>
        <w:rPr>
          <w:rFonts w:ascii="Times New Roman" w:hAnsi="Times New Roman" w:cs="Times New Roman"/>
          <w:b w:val="0"/>
          <w:i w:val="0"/>
          <w:sz w:val="22"/>
        </w:rPr>
        <w:t>- STORAGE START</w:t>
      </w:r>
    </w:p>
    <w:p>
      <w:pPr>
        <w:spacing w:after="80" w:line="293" w:lineRule="auto"/>
        <w:ind w:left="283"/>
        <w:jc w:val="left"/>
      </w:pPr>
      <w:r>
        <w:rPr>
          <w:rFonts w:ascii="Times New Roman" w:hAnsi="Times New Roman" w:cs="Times New Roman"/>
          <w:b w:val="0"/>
          <w:i w:val="0"/>
          <w:sz w:val="22"/>
        </w:rPr>
        <w:t>- FREE TIME</w:t>
      </w:r>
    </w:p>
    <w:p>
      <w:pPr>
        <w:spacing w:after="80" w:line="293" w:lineRule="auto"/>
        <w:jc w:val="left"/>
      </w:pPr>
      <w:r>
        <w:rPr>
          <w:rFonts w:ascii="Times New Roman" w:hAnsi="Times New Roman" w:cs="Times New Roman"/>
          <w:b w:val="0"/>
          <w:i w:val="0"/>
          <w:sz w:val="22"/>
        </w:rPr>
        <w:t>Statuses: EXPECTED, ARRIVED, GATE_IN, INSPECTED, PARKED, READY_FOR_LOADING, LOADED, DISCHARGED, AVAILABLE, RELEASED, GATE_OUT.</w:t>
      </w:r>
    </w:p>
    <w:p>
      <w:pPr>
        <w:keepNext/>
        <w:spacing w:before="240" w:after="100"/>
        <w:outlineLvl w:val="1"/>
      </w:pPr>
      <w:r>
        <w:rPr>
          <w:rFonts w:ascii="Arial" w:hAnsi="Arial" w:cs="Arial"/>
          <w:b/>
          <w:i w:val="0"/>
          <w:color w:val="2E528F"/>
          <w:sz w:val="26"/>
        </w:rPr>
        <w:t>20.65 RoRo Gate Engine</w:t>
      </w:r>
    </w:p>
    <w:p>
      <w:pPr>
        <w:spacing w:after="80" w:line="293" w:lineRule="auto"/>
        <w:jc w:val="left"/>
      </w:pPr>
      <w:r>
        <w:rPr>
          <w:rFonts w:ascii="Times New Roman" w:hAnsi="Times New Roman" w:cs="Times New Roman"/>
          <w:b w:val="0"/>
          <w:i w:val="0"/>
          <w:sz w:val="22"/>
        </w:rPr>
        <w:t>Origin gate flow:</w:t>
      </w:r>
    </w:p>
    <w:p>
      <w:pPr>
        <w:spacing w:after="0" w:before="0" w:line="240" w:lineRule="auto"/>
        <w:ind w:left="57"/>
        <w:jc w:val="left"/>
        <w:shd w:val="clear" w:fill="F2F2F2"/>
      </w:pPr>
      <w:r>
        <w:rPr>
          <w:rFonts w:ascii="Consolas" w:hAnsi="Consolas" w:cs="Consolas"/>
          <w:b w:val="0"/>
          <w:i w:val="0"/>
          <w:sz w:val="15"/>
        </w:rPr>
        <w:t>APPOINTMENT → ARRIVAL → VIN SCAN → DOCUMENT CHECK → CUSTOMS CHECK → INSPECTION → GATE-IN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Destination gate flow:</w:t>
      </w:r>
    </w:p>
    <w:p>
      <w:pPr>
        <w:spacing w:after="0" w:before="0" w:line="240" w:lineRule="auto"/>
        <w:ind w:left="57"/>
        <w:jc w:val="left"/>
        <w:shd w:val="clear" w:fill="F2F2F2"/>
      </w:pPr>
      <w:r>
        <w:rPr>
          <w:rFonts w:ascii="Consolas" w:hAnsi="Consolas" w:cs="Consolas"/>
          <w:b w:val="0"/>
          <w:i w:val="0"/>
          <w:sz w:val="15"/>
        </w:rPr>
        <w:t>DELIVERY ORDER → CUSTOMS RELEASE → VIN SCAN → CONDITION CHECK → GATE-OUT</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20.66 RoRo Inspection Engine</w:t>
      </w:r>
    </w:p>
    <w:p>
      <w:pPr>
        <w:spacing w:after="80" w:line="293" w:lineRule="auto"/>
        <w:jc w:val="left"/>
      </w:pPr>
      <w:r>
        <w:rPr>
          <w:rFonts w:ascii="Times New Roman" w:hAnsi="Times New Roman" w:cs="Times New Roman"/>
          <w:b w:val="0"/>
          <w:i w:val="0"/>
          <w:sz w:val="22"/>
        </w:rPr>
        <w:t>The Inspection Engine captures:</w:t>
      </w:r>
    </w:p>
    <w:p>
      <w:pPr>
        <w:spacing w:after="80" w:line="293" w:lineRule="auto"/>
        <w:ind w:left="283"/>
        <w:jc w:val="left"/>
      </w:pPr>
      <w:r>
        <w:rPr>
          <w:rFonts w:ascii="Times New Roman" w:hAnsi="Times New Roman" w:cs="Times New Roman"/>
          <w:b w:val="0"/>
          <w:i w:val="0"/>
          <w:sz w:val="22"/>
        </w:rPr>
        <w:t>- VIN</w:t>
      </w:r>
    </w:p>
    <w:p>
      <w:pPr>
        <w:spacing w:after="80" w:line="293" w:lineRule="auto"/>
        <w:ind w:left="283"/>
        <w:jc w:val="left"/>
      </w:pPr>
      <w:r>
        <w:rPr>
          <w:rFonts w:ascii="Times New Roman" w:hAnsi="Times New Roman" w:cs="Times New Roman"/>
          <w:b w:val="0"/>
          <w:i w:val="0"/>
          <w:sz w:val="22"/>
        </w:rPr>
        <w:t>- time</w:t>
      </w:r>
    </w:p>
    <w:p>
      <w:pPr>
        <w:spacing w:after="80" w:line="293" w:lineRule="auto"/>
        <w:ind w:left="283"/>
        <w:jc w:val="left"/>
      </w:pPr>
      <w:r>
        <w:rPr>
          <w:rFonts w:ascii="Times New Roman" w:hAnsi="Times New Roman" w:cs="Times New Roman"/>
          <w:b w:val="0"/>
          <w:i w:val="0"/>
          <w:sz w:val="22"/>
        </w:rPr>
        <w:t>- inspector</w:t>
      </w:r>
    </w:p>
    <w:p>
      <w:pPr>
        <w:spacing w:after="80" w:line="293" w:lineRule="auto"/>
        <w:ind w:left="283"/>
        <w:jc w:val="left"/>
      </w:pPr>
      <w:r>
        <w:rPr>
          <w:rFonts w:ascii="Times New Roman" w:hAnsi="Times New Roman" w:cs="Times New Roman"/>
          <w:b w:val="0"/>
          <w:i w:val="0"/>
          <w:sz w:val="22"/>
        </w:rPr>
        <w:t>- location</w:t>
      </w:r>
    </w:p>
    <w:p>
      <w:pPr>
        <w:spacing w:after="80" w:line="293" w:lineRule="auto"/>
        <w:ind w:left="283"/>
        <w:jc w:val="left"/>
      </w:pPr>
      <w:r>
        <w:rPr>
          <w:rFonts w:ascii="Times New Roman" w:hAnsi="Times New Roman" w:cs="Times New Roman"/>
          <w:b w:val="0"/>
          <w:i w:val="0"/>
          <w:sz w:val="22"/>
        </w:rPr>
        <w:t>- photos</w:t>
      </w:r>
    </w:p>
    <w:p>
      <w:pPr>
        <w:spacing w:after="80" w:line="293" w:lineRule="auto"/>
        <w:ind w:left="283"/>
        <w:jc w:val="left"/>
      </w:pPr>
      <w:r>
        <w:rPr>
          <w:rFonts w:ascii="Times New Roman" w:hAnsi="Times New Roman" w:cs="Times New Roman"/>
          <w:b w:val="0"/>
          <w:i w:val="0"/>
          <w:sz w:val="22"/>
        </w:rPr>
        <w:t>- videos</w:t>
      </w:r>
    </w:p>
    <w:p>
      <w:pPr>
        <w:spacing w:after="80" w:line="293" w:lineRule="auto"/>
        <w:ind w:left="283"/>
        <w:jc w:val="left"/>
      </w:pPr>
      <w:r>
        <w:rPr>
          <w:rFonts w:ascii="Times New Roman" w:hAnsi="Times New Roman" w:cs="Times New Roman"/>
          <w:b w:val="0"/>
          <w:i w:val="0"/>
          <w:sz w:val="22"/>
        </w:rPr>
        <w:t>- mileage</w:t>
      </w:r>
    </w:p>
    <w:p>
      <w:pPr>
        <w:spacing w:after="80" w:line="293" w:lineRule="auto"/>
        <w:ind w:left="283"/>
        <w:jc w:val="left"/>
      </w:pPr>
      <w:r>
        <w:rPr>
          <w:rFonts w:ascii="Times New Roman" w:hAnsi="Times New Roman" w:cs="Times New Roman"/>
          <w:b w:val="0"/>
          <w:i w:val="0"/>
          <w:sz w:val="22"/>
        </w:rPr>
        <w:t>- fuel</w:t>
      </w:r>
    </w:p>
    <w:p>
      <w:pPr>
        <w:spacing w:after="80" w:line="293" w:lineRule="auto"/>
        <w:ind w:left="283"/>
        <w:jc w:val="left"/>
      </w:pPr>
      <w:r>
        <w:rPr>
          <w:rFonts w:ascii="Times New Roman" w:hAnsi="Times New Roman" w:cs="Times New Roman"/>
          <w:b w:val="0"/>
          <w:i w:val="0"/>
          <w:sz w:val="22"/>
        </w:rPr>
        <w:t>- battery</w:t>
      </w:r>
    </w:p>
    <w:p>
      <w:pPr>
        <w:spacing w:after="80" w:line="293" w:lineRule="auto"/>
        <w:ind w:left="283"/>
        <w:jc w:val="left"/>
      </w:pPr>
      <w:r>
        <w:rPr>
          <w:rFonts w:ascii="Times New Roman" w:hAnsi="Times New Roman" w:cs="Times New Roman"/>
          <w:b w:val="0"/>
          <w:i w:val="0"/>
          <w:sz w:val="22"/>
        </w:rPr>
        <w:t>- keys</w:t>
      </w:r>
    </w:p>
    <w:p>
      <w:pPr>
        <w:spacing w:after="80" w:line="293" w:lineRule="auto"/>
        <w:ind w:left="283"/>
        <w:jc w:val="left"/>
      </w:pPr>
      <w:r>
        <w:rPr>
          <w:rFonts w:ascii="Times New Roman" w:hAnsi="Times New Roman" w:cs="Times New Roman"/>
          <w:b w:val="0"/>
          <w:i w:val="0"/>
          <w:sz w:val="22"/>
        </w:rPr>
        <w:t>- tires</w:t>
      </w:r>
    </w:p>
    <w:p>
      <w:pPr>
        <w:spacing w:after="80" w:line="293" w:lineRule="auto"/>
        <w:ind w:left="283"/>
        <w:jc w:val="left"/>
      </w:pPr>
      <w:r>
        <w:rPr>
          <w:rFonts w:ascii="Times New Roman" w:hAnsi="Times New Roman" w:cs="Times New Roman"/>
          <w:b w:val="0"/>
          <w:i w:val="0"/>
          <w:sz w:val="22"/>
        </w:rPr>
        <w:t>- glass</w:t>
      </w:r>
    </w:p>
    <w:p>
      <w:pPr>
        <w:spacing w:after="80" w:line="293" w:lineRule="auto"/>
        <w:ind w:left="283"/>
        <w:jc w:val="left"/>
      </w:pPr>
      <w:r>
        <w:rPr>
          <w:rFonts w:ascii="Times New Roman" w:hAnsi="Times New Roman" w:cs="Times New Roman"/>
          <w:b w:val="0"/>
          <w:i w:val="0"/>
          <w:sz w:val="22"/>
        </w:rPr>
        <w:t>- mirrors</w:t>
      </w:r>
    </w:p>
    <w:p>
      <w:pPr>
        <w:spacing w:after="80" w:line="293" w:lineRule="auto"/>
        <w:ind w:left="283"/>
        <w:jc w:val="left"/>
      </w:pPr>
      <w:r>
        <w:rPr>
          <w:rFonts w:ascii="Times New Roman" w:hAnsi="Times New Roman" w:cs="Times New Roman"/>
          <w:b w:val="0"/>
          <w:i w:val="0"/>
          <w:sz w:val="22"/>
        </w:rPr>
        <w:t>- exterior</w:t>
      </w:r>
    </w:p>
    <w:p>
      <w:pPr>
        <w:spacing w:after="80" w:line="293" w:lineRule="auto"/>
        <w:ind w:left="283"/>
        <w:jc w:val="left"/>
      </w:pPr>
      <w:r>
        <w:rPr>
          <w:rFonts w:ascii="Times New Roman" w:hAnsi="Times New Roman" w:cs="Times New Roman"/>
          <w:b w:val="0"/>
          <w:i w:val="0"/>
          <w:sz w:val="22"/>
        </w:rPr>
        <w:t>- interior</w:t>
      </w:r>
    </w:p>
    <w:p>
      <w:pPr>
        <w:spacing w:after="80" w:line="293" w:lineRule="auto"/>
        <w:ind w:left="283"/>
        <w:jc w:val="left"/>
      </w:pPr>
      <w:r>
        <w:rPr>
          <w:rFonts w:ascii="Times New Roman" w:hAnsi="Times New Roman" w:cs="Times New Roman"/>
          <w:b w:val="0"/>
          <w:i w:val="0"/>
          <w:sz w:val="22"/>
        </w:rPr>
        <w:t>- pre-existing damage</w:t>
      </w:r>
    </w:p>
    <w:p>
      <w:pPr>
        <w:spacing w:after="80" w:line="293" w:lineRule="auto"/>
        <w:ind w:left="283"/>
        <w:jc w:val="left"/>
      </w:pPr>
      <w:r>
        <w:rPr>
          <w:rFonts w:ascii="Times New Roman" w:hAnsi="Times New Roman" w:cs="Times New Roman"/>
          <w:b w:val="0"/>
          <w:i w:val="0"/>
          <w:sz w:val="22"/>
        </w:rPr>
        <w:t>- new damage</w:t>
      </w:r>
    </w:p>
    <w:p>
      <w:pPr>
        <w:keepNext/>
        <w:spacing w:before="240" w:after="100"/>
        <w:outlineLvl w:val="1"/>
      </w:pPr>
      <w:r>
        <w:rPr>
          <w:rFonts w:ascii="Arial" w:hAnsi="Arial" w:cs="Arial"/>
          <w:b/>
          <w:i w:val="0"/>
          <w:color w:val="2E528F"/>
          <w:sz w:val="26"/>
        </w:rPr>
        <w:t>20.67 RoRo Damage Comparison</w:t>
      </w:r>
    </w:p>
    <w:p>
      <w:pPr>
        <w:spacing w:after="80" w:line="293" w:lineRule="auto"/>
        <w:jc w:val="left"/>
      </w:pPr>
      <w:r>
        <w:rPr>
          <w:rFonts w:ascii="Times New Roman" w:hAnsi="Times New Roman" w:cs="Times New Roman"/>
          <w:b w:val="0"/>
          <w:i w:val="0"/>
          <w:sz w:val="22"/>
        </w:rPr>
        <w:t>The engine compares origin versus destination condition. AI tier A2 proposes POSSIBLE_DAMAGE; a human or authorized inspector determines CONFIRMED_DAMAGE. States:</w:t>
      </w:r>
    </w:p>
    <w:p>
      <w:pPr>
        <w:spacing w:after="80" w:line="293" w:lineRule="auto"/>
        <w:ind w:left="283"/>
        <w:jc w:val="left"/>
      </w:pPr>
      <w:r>
        <w:rPr>
          <w:rFonts w:ascii="Times New Roman" w:hAnsi="Times New Roman" w:cs="Times New Roman"/>
          <w:b w:val="0"/>
          <w:i w:val="0"/>
          <w:sz w:val="22"/>
        </w:rPr>
        <w:t>- NO_CHANGE</w:t>
      </w:r>
    </w:p>
    <w:p>
      <w:pPr>
        <w:spacing w:after="80" w:line="293" w:lineRule="auto"/>
        <w:ind w:left="283"/>
        <w:jc w:val="left"/>
      </w:pPr>
      <w:r>
        <w:rPr>
          <w:rFonts w:ascii="Times New Roman" w:hAnsi="Times New Roman" w:cs="Times New Roman"/>
          <w:b w:val="0"/>
          <w:i w:val="0"/>
          <w:sz w:val="22"/>
        </w:rPr>
        <w:t>- POSSIBLE_DAMAGE</w:t>
      </w:r>
    </w:p>
    <w:p>
      <w:pPr>
        <w:spacing w:after="80" w:line="293" w:lineRule="auto"/>
        <w:ind w:left="283"/>
        <w:jc w:val="left"/>
      </w:pPr>
      <w:r>
        <w:rPr>
          <w:rFonts w:ascii="Times New Roman" w:hAnsi="Times New Roman" w:cs="Times New Roman"/>
          <w:b w:val="0"/>
          <w:i w:val="0"/>
          <w:sz w:val="22"/>
        </w:rPr>
        <w:t>- CONFIRMED_DAMAGE</w:t>
      </w:r>
    </w:p>
    <w:p>
      <w:pPr>
        <w:spacing w:after="80" w:line="293" w:lineRule="auto"/>
        <w:ind w:left="283"/>
        <w:jc w:val="left"/>
      </w:pPr>
      <w:r>
        <w:rPr>
          <w:rFonts w:ascii="Times New Roman" w:hAnsi="Times New Roman" w:cs="Times New Roman"/>
          <w:b w:val="0"/>
          <w:i w:val="0"/>
          <w:sz w:val="22"/>
        </w:rPr>
        <w:t>- DISPUTED_DAMAGE</w:t>
      </w:r>
    </w:p>
    <w:p>
      <w:pPr>
        <w:spacing w:after="80" w:line="293" w:lineRule="auto"/>
        <w:jc w:val="left"/>
      </w:pPr>
      <w:r>
        <w:rPr>
          <w:rFonts w:ascii="Times New Roman" w:hAnsi="Times New Roman" w:cs="Times New Roman"/>
          <w:b w:val="0"/>
          <w:i w:val="0"/>
          <w:sz w:val="22"/>
        </w:rPr>
        <w:t>AI must never determine liability autonomously.</w:t>
      </w:r>
    </w:p>
    <w:p>
      <w:pPr>
        <w:keepNext/>
        <w:spacing w:before="240" w:after="100"/>
        <w:outlineLvl w:val="1"/>
      </w:pPr>
      <w:r>
        <w:rPr>
          <w:rFonts w:ascii="Arial" w:hAnsi="Arial" w:cs="Arial"/>
          <w:b/>
          <w:i w:val="0"/>
          <w:color w:val="2E528F"/>
          <w:sz w:val="26"/>
        </w:rPr>
        <w:t>20.68 RoRo Security</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VIN</w:t>
      </w:r>
    </w:p>
    <w:p>
      <w:pPr>
        <w:spacing w:after="80" w:line="293" w:lineRule="auto"/>
        <w:ind w:left="283"/>
        <w:jc w:val="left"/>
      </w:pPr>
      <w:r>
        <w:rPr>
          <w:rFonts w:ascii="Times New Roman" w:hAnsi="Times New Roman" w:cs="Times New Roman"/>
          <w:b w:val="0"/>
          <w:i w:val="0"/>
          <w:sz w:val="22"/>
        </w:rPr>
        <w:t>- RFID (Radio Frequency Identification)</w:t>
      </w:r>
    </w:p>
    <w:p>
      <w:pPr>
        <w:spacing w:after="80" w:line="293" w:lineRule="auto"/>
        <w:ind w:left="283"/>
        <w:jc w:val="left"/>
      </w:pPr>
      <w:r>
        <w:rPr>
          <w:rFonts w:ascii="Times New Roman" w:hAnsi="Times New Roman" w:cs="Times New Roman"/>
          <w:b w:val="0"/>
          <w:i w:val="0"/>
          <w:sz w:val="22"/>
        </w:rPr>
        <w:t>- QR code</w:t>
      </w:r>
    </w:p>
    <w:p>
      <w:pPr>
        <w:spacing w:after="80" w:line="293" w:lineRule="auto"/>
        <w:ind w:left="283"/>
        <w:jc w:val="left"/>
      </w:pPr>
      <w:r>
        <w:rPr>
          <w:rFonts w:ascii="Times New Roman" w:hAnsi="Times New Roman" w:cs="Times New Roman"/>
          <w:b w:val="0"/>
          <w:i w:val="0"/>
          <w:sz w:val="22"/>
        </w:rPr>
        <w:t>- barcode</w:t>
      </w:r>
    </w:p>
    <w:p>
      <w:pPr>
        <w:spacing w:after="80" w:line="293" w:lineRule="auto"/>
        <w:ind w:left="283"/>
        <w:jc w:val="left"/>
      </w:pPr>
      <w:r>
        <w:rPr>
          <w:rFonts w:ascii="Times New Roman" w:hAnsi="Times New Roman" w:cs="Times New Roman"/>
          <w:b w:val="0"/>
          <w:i w:val="0"/>
          <w:sz w:val="22"/>
        </w:rPr>
        <w:t>- digital seal</w:t>
      </w:r>
    </w:p>
    <w:p>
      <w:pPr>
        <w:spacing w:after="80" w:line="293" w:lineRule="auto"/>
        <w:ind w:left="283"/>
        <w:jc w:val="left"/>
      </w:pPr>
      <w:r>
        <w:rPr>
          <w:rFonts w:ascii="Times New Roman" w:hAnsi="Times New Roman" w:cs="Times New Roman"/>
          <w:b w:val="0"/>
          <w:i w:val="0"/>
          <w:sz w:val="22"/>
        </w:rPr>
        <w:t>- GPS</w:t>
      </w:r>
    </w:p>
    <w:p>
      <w:pPr>
        <w:spacing w:after="80" w:line="293" w:lineRule="auto"/>
        <w:ind w:left="283"/>
        <w:jc w:val="left"/>
      </w:pPr>
      <w:r>
        <w:rPr>
          <w:rFonts w:ascii="Times New Roman" w:hAnsi="Times New Roman" w:cs="Times New Roman"/>
          <w:b w:val="0"/>
          <w:i w:val="0"/>
          <w:sz w:val="22"/>
        </w:rPr>
        <w:t>- access control</w:t>
      </w:r>
    </w:p>
    <w:p>
      <w:pPr>
        <w:spacing w:after="80" w:line="293" w:lineRule="auto"/>
        <w:ind w:left="283"/>
        <w:jc w:val="left"/>
      </w:pPr>
      <w:r>
        <w:rPr>
          <w:rFonts w:ascii="Times New Roman" w:hAnsi="Times New Roman" w:cs="Times New Roman"/>
          <w:b w:val="0"/>
          <w:i w:val="0"/>
          <w:sz w:val="22"/>
        </w:rPr>
        <w:t>- key custody</w:t>
      </w:r>
    </w:p>
    <w:p>
      <w:pPr>
        <w:spacing w:after="80" w:line="293" w:lineRule="auto"/>
        <w:ind w:left="283"/>
        <w:jc w:val="left"/>
      </w:pPr>
      <w:r>
        <w:rPr>
          <w:rFonts w:ascii="Times New Roman" w:hAnsi="Times New Roman" w:cs="Times New Roman"/>
          <w:b w:val="0"/>
          <w:i w:val="0"/>
          <w:sz w:val="22"/>
        </w:rPr>
        <w:t>- restricted yard</w:t>
      </w:r>
    </w:p>
    <w:p>
      <w:pPr>
        <w:spacing w:after="80" w:line="293" w:lineRule="auto"/>
        <w:ind w:left="283"/>
        <w:jc w:val="left"/>
      </w:pPr>
      <w:r>
        <w:rPr>
          <w:rFonts w:ascii="Times New Roman" w:hAnsi="Times New Roman" w:cs="Times New Roman"/>
          <w:b w:val="0"/>
          <w:i w:val="0"/>
          <w:sz w:val="22"/>
        </w:rPr>
        <w:t>- security events</w:t>
      </w:r>
    </w:p>
    <w:p>
      <w:pPr>
        <w:spacing w:after="80" w:line="293" w:lineRule="auto"/>
        <w:jc w:val="left"/>
      </w:pPr>
      <w:r>
        <w:rPr>
          <w:rFonts w:ascii="Times New Roman" w:hAnsi="Times New Roman" w:cs="Times New Roman"/>
          <w:b w:val="0"/>
          <w:i w:val="0"/>
          <w:sz w:val="22"/>
        </w:rPr>
        <w:t>Egypt's Ministry of Transport describes digital integration between Damietta and Trieste, exchange of official/customs data and RFID-based digital-seal safety for the Egypt–Italy RoRo line.</w:t>
      </w:r>
    </w:p>
    <w:p>
      <w:pPr>
        <w:keepNext/>
        <w:spacing w:before="240" w:after="100"/>
        <w:outlineLvl w:val="1"/>
      </w:pPr>
      <w:r>
        <w:rPr>
          <w:rFonts w:ascii="Arial" w:hAnsi="Arial" w:cs="Arial"/>
          <w:b/>
          <w:i w:val="0"/>
          <w:color w:val="2E528F"/>
          <w:sz w:val="26"/>
        </w:rPr>
        <w:t>20.69 RoRo Stowage Engine</w:t>
      </w:r>
    </w:p>
    <w:p>
      <w:pPr>
        <w:spacing w:after="80" w:line="293" w:lineRule="auto"/>
        <w:jc w:val="left"/>
      </w:pPr>
      <w:r>
        <w:rPr>
          <w:rFonts w:ascii="Times New Roman" w:hAnsi="Times New Roman" w:cs="Times New Roman"/>
          <w:b w:val="0"/>
          <w:i w:val="0"/>
          <w:sz w:val="22"/>
        </w:rPr>
        <w:t>Inputs:</w:t>
      </w:r>
    </w:p>
    <w:p>
      <w:pPr>
        <w:spacing w:after="80" w:line="293" w:lineRule="auto"/>
        <w:ind w:left="283"/>
        <w:jc w:val="left"/>
      </w:pPr>
      <w:r>
        <w:rPr>
          <w:rFonts w:ascii="Times New Roman" w:hAnsi="Times New Roman" w:cs="Times New Roman"/>
          <w:b w:val="0"/>
          <w:i w:val="0"/>
          <w:sz w:val="22"/>
        </w:rPr>
        <w:t>- dimensions</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destination</w:t>
      </w:r>
    </w:p>
    <w:p>
      <w:pPr>
        <w:spacing w:after="80" w:line="293" w:lineRule="auto"/>
        <w:ind w:left="283"/>
        <w:jc w:val="left"/>
      </w:pPr>
      <w:r>
        <w:rPr>
          <w:rFonts w:ascii="Times New Roman" w:hAnsi="Times New Roman" w:cs="Times New Roman"/>
          <w:b w:val="0"/>
          <w:i w:val="0"/>
          <w:sz w:val="22"/>
        </w:rPr>
        <w:t>- port sequence</w:t>
      </w:r>
    </w:p>
    <w:p>
      <w:pPr>
        <w:spacing w:after="80" w:line="293" w:lineRule="auto"/>
        <w:ind w:left="283"/>
        <w:jc w:val="left"/>
      </w:pPr>
      <w:r>
        <w:rPr>
          <w:rFonts w:ascii="Times New Roman" w:hAnsi="Times New Roman" w:cs="Times New Roman"/>
          <w:b w:val="0"/>
          <w:i w:val="0"/>
          <w:sz w:val="22"/>
        </w:rPr>
        <w:t>- deck</w:t>
      </w:r>
    </w:p>
    <w:p>
      <w:pPr>
        <w:spacing w:after="80" w:line="293" w:lineRule="auto"/>
        <w:ind w:left="283"/>
        <w:jc w:val="left"/>
      </w:pPr>
      <w:r>
        <w:rPr>
          <w:rFonts w:ascii="Times New Roman" w:hAnsi="Times New Roman" w:cs="Times New Roman"/>
          <w:b w:val="0"/>
          <w:i w:val="0"/>
          <w:sz w:val="22"/>
        </w:rPr>
        <w:t>- ramp</w:t>
      </w:r>
    </w:p>
    <w:p>
      <w:pPr>
        <w:spacing w:after="80" w:line="293" w:lineRule="auto"/>
        <w:ind w:left="283"/>
        <w:jc w:val="left"/>
      </w:pPr>
      <w:r>
        <w:rPr>
          <w:rFonts w:ascii="Times New Roman" w:hAnsi="Times New Roman" w:cs="Times New Roman"/>
          <w:b w:val="0"/>
          <w:i w:val="0"/>
          <w:sz w:val="22"/>
        </w:rPr>
        <w:t>- height</w:t>
      </w:r>
    </w:p>
    <w:p>
      <w:pPr>
        <w:spacing w:after="80" w:line="293" w:lineRule="auto"/>
        <w:ind w:left="283"/>
        <w:jc w:val="left"/>
      </w:pPr>
      <w:r>
        <w:rPr>
          <w:rFonts w:ascii="Times New Roman" w:hAnsi="Times New Roman" w:cs="Times New Roman"/>
          <w:b w:val="0"/>
          <w:i w:val="0"/>
          <w:sz w:val="22"/>
        </w:rPr>
        <w:t>- restrictions</w:t>
      </w:r>
    </w:p>
    <w:p>
      <w:pPr>
        <w:spacing w:after="80" w:line="293" w:lineRule="auto"/>
        <w:ind w:left="283"/>
        <w:jc w:val="left"/>
      </w:pPr>
      <w:r>
        <w:rPr>
          <w:rFonts w:ascii="Times New Roman" w:hAnsi="Times New Roman" w:cs="Times New Roman"/>
          <w:b w:val="0"/>
          <w:i w:val="0"/>
          <w:sz w:val="22"/>
        </w:rPr>
        <w:t>- vehicle type</w:t>
      </w:r>
    </w:p>
    <w:p>
      <w:pPr>
        <w:spacing w:after="80" w:line="293" w:lineRule="auto"/>
        <w:jc w:val="left"/>
      </w:pPr>
      <w:r>
        <w:rPr>
          <w:rFonts w:ascii="Times New Roman" w:hAnsi="Times New Roman" w:cs="Times New Roman"/>
          <w:b/>
          <w:i w:val="0"/>
          <w:sz w:val="22"/>
        </w:rPr>
        <w:t>Outputs:</w:t>
      </w:r>
    </w:p>
    <w:p>
      <w:pPr>
        <w:spacing w:after="80" w:line="293" w:lineRule="auto"/>
        <w:ind w:left="283"/>
        <w:jc w:val="left"/>
      </w:pPr>
      <w:r>
        <w:rPr>
          <w:rFonts w:ascii="Times New Roman" w:hAnsi="Times New Roman" w:cs="Times New Roman"/>
          <w:b w:val="0"/>
          <w:i w:val="0"/>
          <w:sz w:val="22"/>
        </w:rPr>
        <w:t>- deck</w:t>
      </w:r>
    </w:p>
    <w:p>
      <w:pPr>
        <w:spacing w:after="80" w:line="293" w:lineRule="auto"/>
        <w:ind w:left="283"/>
        <w:jc w:val="left"/>
      </w:pPr>
      <w:r>
        <w:rPr>
          <w:rFonts w:ascii="Times New Roman" w:hAnsi="Times New Roman" w:cs="Times New Roman"/>
          <w:b w:val="0"/>
          <w:i w:val="0"/>
          <w:sz w:val="22"/>
        </w:rPr>
        <w:t>- zone</w:t>
      </w:r>
    </w:p>
    <w:p>
      <w:pPr>
        <w:spacing w:after="80" w:line="293" w:lineRule="auto"/>
        <w:ind w:left="283"/>
        <w:jc w:val="left"/>
      </w:pPr>
      <w:r>
        <w:rPr>
          <w:rFonts w:ascii="Times New Roman" w:hAnsi="Times New Roman" w:cs="Times New Roman"/>
          <w:b w:val="0"/>
          <w:i w:val="0"/>
          <w:sz w:val="22"/>
        </w:rPr>
        <w:t>- position</w:t>
      </w:r>
    </w:p>
    <w:p>
      <w:pPr>
        <w:spacing w:after="80" w:line="293" w:lineRule="auto"/>
        <w:ind w:left="283"/>
        <w:jc w:val="left"/>
      </w:pPr>
      <w:r>
        <w:rPr>
          <w:rFonts w:ascii="Times New Roman" w:hAnsi="Times New Roman" w:cs="Times New Roman"/>
          <w:b w:val="0"/>
          <w:i w:val="0"/>
          <w:sz w:val="22"/>
        </w:rPr>
        <w:t>- load order</w:t>
      </w:r>
    </w:p>
    <w:p>
      <w:pPr>
        <w:spacing w:after="80" w:line="293" w:lineRule="auto"/>
        <w:ind w:left="283"/>
        <w:jc w:val="left"/>
      </w:pPr>
      <w:r>
        <w:rPr>
          <w:rFonts w:ascii="Times New Roman" w:hAnsi="Times New Roman" w:cs="Times New Roman"/>
          <w:b w:val="0"/>
          <w:i w:val="0"/>
          <w:sz w:val="22"/>
        </w:rPr>
        <w:t>- discharge order</w:t>
      </w:r>
    </w:p>
    <w:p>
      <w:pPr>
        <w:spacing w:after="80" w:line="293" w:lineRule="auto"/>
        <w:jc w:val="left"/>
      </w:pPr>
      <w:r>
        <w:rPr>
          <w:rFonts w:ascii="Times New Roman" w:hAnsi="Times New Roman" w:cs="Times New Roman"/>
          <w:b w:val="0"/>
          <w:i w:val="0"/>
          <w:sz w:val="22"/>
        </w:rPr>
        <w:t>AI tier A2 optimizes; tier A4 validates.</w:t>
      </w:r>
    </w:p>
    <w:p>
      <w:pPr>
        <w:keepNext/>
        <w:spacing w:before="240" w:after="100"/>
        <w:outlineLvl w:val="1"/>
      </w:pPr>
      <w:r>
        <w:rPr>
          <w:rFonts w:ascii="Arial" w:hAnsi="Arial" w:cs="Arial"/>
          <w:b/>
          <w:i w:val="0"/>
          <w:color w:val="2E528F"/>
          <w:sz w:val="26"/>
        </w:rPr>
        <w:t>20.70 RoRo Capacity Engine</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units</w:t>
      </w:r>
    </w:p>
    <w:p>
      <w:pPr>
        <w:spacing w:after="80" w:line="293" w:lineRule="auto"/>
        <w:ind w:left="283"/>
        <w:jc w:val="left"/>
      </w:pPr>
      <w:r>
        <w:rPr>
          <w:rFonts w:ascii="Times New Roman" w:hAnsi="Times New Roman" w:cs="Times New Roman"/>
          <w:b w:val="0"/>
          <w:i w:val="0"/>
          <w:sz w:val="22"/>
        </w:rPr>
        <w:t>- linear meters</w:t>
      </w:r>
    </w:p>
    <w:p>
      <w:pPr>
        <w:spacing w:after="80" w:line="293" w:lineRule="auto"/>
        <w:ind w:left="283"/>
        <w:jc w:val="left"/>
      </w:pPr>
      <w:r>
        <w:rPr>
          <w:rFonts w:ascii="Times New Roman" w:hAnsi="Times New Roman" w:cs="Times New Roman"/>
          <w:b w:val="0"/>
          <w:i w:val="0"/>
          <w:sz w:val="22"/>
        </w:rPr>
        <w:t>- square meters</w:t>
      </w:r>
    </w:p>
    <w:p>
      <w:pPr>
        <w:spacing w:after="80" w:line="293" w:lineRule="auto"/>
        <w:ind w:left="283"/>
        <w:jc w:val="left"/>
      </w:pPr>
      <w:r>
        <w:rPr>
          <w:rFonts w:ascii="Times New Roman" w:hAnsi="Times New Roman" w:cs="Times New Roman"/>
          <w:b w:val="0"/>
          <w:i w:val="0"/>
          <w:sz w:val="22"/>
        </w:rPr>
        <w:t>- cubic meters</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deck</w:t>
      </w:r>
    </w:p>
    <w:p>
      <w:pPr>
        <w:spacing w:after="80" w:line="293" w:lineRule="auto"/>
        <w:ind w:left="283"/>
        <w:jc w:val="left"/>
      </w:pPr>
      <w:r>
        <w:rPr>
          <w:rFonts w:ascii="Times New Roman" w:hAnsi="Times New Roman" w:cs="Times New Roman"/>
          <w:b w:val="0"/>
          <w:i w:val="0"/>
          <w:sz w:val="22"/>
        </w:rPr>
        <w:t>- height</w:t>
      </w:r>
    </w:p>
    <w:p>
      <w:pPr>
        <w:spacing w:after="80" w:line="293" w:lineRule="auto"/>
        <w:jc w:val="left"/>
      </w:pPr>
      <w:r>
        <w:rPr>
          <w:rFonts w:ascii="Times New Roman" w:hAnsi="Times New Roman" w:cs="Times New Roman"/>
          <w:b w:val="0"/>
          <w:i w:val="0"/>
          <w:sz w:val="22"/>
        </w:rPr>
        <w:t>The engine does not assume container TEU (twenty-foot equivalent unit) is the appropriate capacity metric.</w:t>
      </w:r>
    </w:p>
    <w:p>
      <w:pPr>
        <w:keepNext/>
        <w:spacing w:before="240" w:after="100"/>
        <w:outlineLvl w:val="1"/>
      </w:pPr>
      <w:r>
        <w:rPr>
          <w:rFonts w:ascii="Arial" w:hAnsi="Arial" w:cs="Arial"/>
          <w:b/>
          <w:i w:val="0"/>
          <w:color w:val="2E528F"/>
          <w:sz w:val="26"/>
        </w:rPr>
        <w:t>20.71 RoRo Cutoff Engine</w:t>
      </w:r>
    </w:p>
    <w:p>
      <w:pPr>
        <w:spacing w:after="80" w:line="293" w:lineRule="auto"/>
        <w:jc w:val="left"/>
      </w:pPr>
      <w:r>
        <w:rPr>
          <w:rFonts w:ascii="Times New Roman" w:hAnsi="Times New Roman" w:cs="Times New Roman"/>
          <w:b w:val="0"/>
          <w:i w:val="0"/>
          <w:sz w:val="22"/>
        </w:rPr>
        <w:t>The engine tracks:</w:t>
      </w:r>
    </w:p>
    <w:p>
      <w:pPr>
        <w:spacing w:after="80" w:line="293" w:lineRule="auto"/>
        <w:ind w:left="283"/>
        <w:jc w:val="left"/>
      </w:pPr>
      <w:r>
        <w:rPr>
          <w:rFonts w:ascii="Times New Roman" w:hAnsi="Times New Roman" w:cs="Times New Roman"/>
          <w:b w:val="0"/>
          <w:i w:val="0"/>
          <w:sz w:val="22"/>
        </w:rPr>
        <w:t>- BOOKING_CUTOFF</w:t>
      </w:r>
    </w:p>
    <w:p>
      <w:pPr>
        <w:spacing w:after="80" w:line="293" w:lineRule="auto"/>
        <w:ind w:left="283"/>
        <w:jc w:val="left"/>
      </w:pPr>
      <w:r>
        <w:rPr>
          <w:rFonts w:ascii="Times New Roman" w:hAnsi="Times New Roman" w:cs="Times New Roman"/>
          <w:b w:val="0"/>
          <w:i w:val="0"/>
          <w:sz w:val="22"/>
        </w:rPr>
        <w:t>- DOCUMENT_CUTOFF</w:t>
      </w:r>
    </w:p>
    <w:p>
      <w:pPr>
        <w:spacing w:after="80" w:line="293" w:lineRule="auto"/>
        <w:ind w:left="283"/>
        <w:jc w:val="left"/>
      </w:pPr>
      <w:r>
        <w:rPr>
          <w:rFonts w:ascii="Times New Roman" w:hAnsi="Times New Roman" w:cs="Times New Roman"/>
          <w:b w:val="0"/>
          <w:i w:val="0"/>
          <w:sz w:val="22"/>
        </w:rPr>
        <w:t>- CUSTOMS_CUTOFF</w:t>
      </w:r>
    </w:p>
    <w:p>
      <w:pPr>
        <w:spacing w:after="80" w:line="293" w:lineRule="auto"/>
        <w:ind w:left="283"/>
        <w:jc w:val="left"/>
      </w:pPr>
      <w:r>
        <w:rPr>
          <w:rFonts w:ascii="Times New Roman" w:hAnsi="Times New Roman" w:cs="Times New Roman"/>
          <w:b w:val="0"/>
          <w:i w:val="0"/>
          <w:sz w:val="22"/>
        </w:rPr>
        <w:t>- GATE_IN_CUTOFF</w:t>
      </w:r>
    </w:p>
    <w:p>
      <w:pPr>
        <w:spacing w:after="80" w:line="293" w:lineRule="auto"/>
        <w:ind w:left="283"/>
        <w:jc w:val="left"/>
      </w:pPr>
      <w:r>
        <w:rPr>
          <w:rFonts w:ascii="Times New Roman" w:hAnsi="Times New Roman" w:cs="Times New Roman"/>
          <w:b w:val="0"/>
          <w:i w:val="0"/>
          <w:sz w:val="22"/>
        </w:rPr>
        <w:t>- CARGO_CUTOFF</w:t>
      </w:r>
    </w:p>
    <w:p>
      <w:pPr>
        <w:spacing w:after="80" w:line="293" w:lineRule="auto"/>
        <w:ind w:left="283"/>
        <w:jc w:val="left"/>
      </w:pPr>
      <w:r>
        <w:rPr>
          <w:rFonts w:ascii="Times New Roman" w:hAnsi="Times New Roman" w:cs="Times New Roman"/>
          <w:b w:val="0"/>
          <w:i w:val="0"/>
          <w:sz w:val="22"/>
        </w:rPr>
        <w:t>- LOADING_CUTOFF</w:t>
      </w:r>
    </w:p>
    <w:p>
      <w:pPr>
        <w:keepNext/>
        <w:spacing w:before="240" w:after="100"/>
        <w:outlineLvl w:val="1"/>
      </w:pPr>
      <w:r>
        <w:rPr>
          <w:rFonts w:ascii="Arial" w:hAnsi="Arial" w:cs="Arial"/>
          <w:b/>
          <w:i w:val="0"/>
          <w:color w:val="2E528F"/>
          <w:sz w:val="26"/>
        </w:rPr>
        <w:t>20.72 RoRo B/L Engine</w:t>
      </w:r>
    </w:p>
    <w:p>
      <w:pPr>
        <w:spacing w:after="80" w:line="293" w:lineRule="auto"/>
        <w:jc w:val="left"/>
      </w:pPr>
      <w:r>
        <w:rPr>
          <w:rFonts w:ascii="Times New Roman" w:hAnsi="Times New Roman" w:cs="Times New Roman"/>
          <w:b w:val="0"/>
          <w:i w:val="0"/>
          <w:sz w:val="22"/>
        </w:rPr>
        <w:t>The platform creates RORO_BILL_OF_LADING. It supports:</w:t>
      </w:r>
    </w:p>
    <w:p>
      <w:pPr>
        <w:spacing w:after="80" w:line="293" w:lineRule="auto"/>
        <w:ind w:left="283"/>
        <w:jc w:val="left"/>
      </w:pPr>
      <w:r>
        <w:rPr>
          <w:rFonts w:ascii="Times New Roman" w:hAnsi="Times New Roman" w:cs="Times New Roman"/>
          <w:b w:val="0"/>
          <w:i w:val="0"/>
          <w:sz w:val="22"/>
        </w:rPr>
        <w:t>- master B/L</w:t>
      </w:r>
    </w:p>
    <w:p>
      <w:pPr>
        <w:spacing w:after="80" w:line="293" w:lineRule="auto"/>
        <w:ind w:left="283"/>
        <w:jc w:val="left"/>
      </w:pPr>
      <w:r>
        <w:rPr>
          <w:rFonts w:ascii="Times New Roman" w:hAnsi="Times New Roman" w:cs="Times New Roman"/>
          <w:b w:val="0"/>
          <w:i w:val="0"/>
          <w:sz w:val="22"/>
        </w:rPr>
        <w:t>- house references where applicable</w:t>
      </w:r>
    </w:p>
    <w:p>
      <w:pPr>
        <w:spacing w:after="80" w:line="293" w:lineRule="auto"/>
        <w:ind w:left="283"/>
        <w:jc w:val="left"/>
      </w:pPr>
      <w:r>
        <w:rPr>
          <w:rFonts w:ascii="Times New Roman" w:hAnsi="Times New Roman" w:cs="Times New Roman"/>
          <w:b w:val="0"/>
          <w:i w:val="0"/>
          <w:sz w:val="22"/>
        </w:rPr>
        <w:t>- shipper</w:t>
      </w:r>
    </w:p>
    <w:p>
      <w:pPr>
        <w:spacing w:after="80" w:line="293" w:lineRule="auto"/>
        <w:ind w:left="283"/>
        <w:jc w:val="left"/>
      </w:pPr>
      <w:r>
        <w:rPr>
          <w:rFonts w:ascii="Times New Roman" w:hAnsi="Times New Roman" w:cs="Times New Roman"/>
          <w:b w:val="0"/>
          <w:i w:val="0"/>
          <w:sz w:val="22"/>
        </w:rPr>
        <w:t>- consignee</w:t>
      </w:r>
    </w:p>
    <w:p>
      <w:pPr>
        <w:spacing w:after="80" w:line="293" w:lineRule="auto"/>
        <w:ind w:left="283"/>
        <w:jc w:val="left"/>
      </w:pPr>
      <w:r>
        <w:rPr>
          <w:rFonts w:ascii="Times New Roman" w:hAnsi="Times New Roman" w:cs="Times New Roman"/>
          <w:b w:val="0"/>
          <w:i w:val="0"/>
          <w:sz w:val="22"/>
        </w:rPr>
        <w:t>- notify party</w:t>
      </w:r>
    </w:p>
    <w:p>
      <w:pPr>
        <w:spacing w:after="80" w:line="293" w:lineRule="auto"/>
        <w:ind w:left="283"/>
        <w:jc w:val="left"/>
      </w:pPr>
      <w:r>
        <w:rPr>
          <w:rFonts w:ascii="Times New Roman" w:hAnsi="Times New Roman" w:cs="Times New Roman"/>
          <w:b w:val="0"/>
          <w:i w:val="0"/>
          <w:sz w:val="22"/>
        </w:rPr>
        <w:t>- vessel</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POL (Port of Loading)</w:t>
      </w:r>
    </w:p>
    <w:p>
      <w:pPr>
        <w:spacing w:after="80" w:line="293" w:lineRule="auto"/>
        <w:ind w:left="283"/>
        <w:jc w:val="left"/>
      </w:pPr>
      <w:r>
        <w:rPr>
          <w:rFonts w:ascii="Times New Roman" w:hAnsi="Times New Roman" w:cs="Times New Roman"/>
          <w:b w:val="0"/>
          <w:i w:val="0"/>
          <w:sz w:val="22"/>
        </w:rPr>
        <w:t>- POD (Port of Discharge)</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VINs</w:t>
      </w:r>
    </w:p>
    <w:p>
      <w:pPr>
        <w:spacing w:after="80" w:line="293" w:lineRule="auto"/>
        <w:ind w:left="283"/>
        <w:jc w:val="left"/>
      </w:pPr>
      <w:r>
        <w:rPr>
          <w:rFonts w:ascii="Times New Roman" w:hAnsi="Times New Roman" w:cs="Times New Roman"/>
          <w:b w:val="0"/>
          <w:i w:val="0"/>
          <w:sz w:val="22"/>
        </w:rPr>
        <w:t>- cargo descriptions</w:t>
      </w:r>
    </w:p>
    <w:p>
      <w:pPr>
        <w:spacing w:after="80" w:line="293" w:lineRule="auto"/>
        <w:ind w:left="283"/>
        <w:jc w:val="left"/>
      </w:pPr>
      <w:r>
        <w:rPr>
          <w:rFonts w:ascii="Times New Roman" w:hAnsi="Times New Roman" w:cs="Times New Roman"/>
          <w:b w:val="0"/>
          <w:i w:val="0"/>
          <w:sz w:val="22"/>
        </w:rPr>
        <w:t>- weight</w:t>
      </w:r>
    </w:p>
    <w:p>
      <w:pPr>
        <w:spacing w:after="80" w:line="293" w:lineRule="auto"/>
        <w:ind w:left="283"/>
        <w:jc w:val="left"/>
      </w:pPr>
      <w:r>
        <w:rPr>
          <w:rFonts w:ascii="Times New Roman" w:hAnsi="Times New Roman" w:cs="Times New Roman"/>
          <w:b w:val="0"/>
          <w:i w:val="0"/>
          <w:sz w:val="22"/>
        </w:rPr>
        <w:t>- dimensions</w:t>
      </w:r>
    </w:p>
    <w:p>
      <w:pPr>
        <w:spacing w:after="80" w:line="293" w:lineRule="auto"/>
        <w:ind w:left="283"/>
        <w:jc w:val="left"/>
      </w:pPr>
      <w:r>
        <w:rPr>
          <w:rFonts w:ascii="Times New Roman" w:hAnsi="Times New Roman" w:cs="Times New Roman"/>
          <w:b w:val="0"/>
          <w:i w:val="0"/>
          <w:sz w:val="22"/>
        </w:rPr>
        <w:t>- freight</w:t>
      </w:r>
    </w:p>
    <w:p>
      <w:pPr>
        <w:spacing w:after="80" w:line="293" w:lineRule="auto"/>
        <w:ind w:left="283"/>
        <w:jc w:val="left"/>
      </w:pPr>
      <w:r>
        <w:rPr>
          <w:rFonts w:ascii="Times New Roman" w:hAnsi="Times New Roman" w:cs="Times New Roman"/>
          <w:b w:val="0"/>
          <w:i w:val="0"/>
          <w:sz w:val="22"/>
        </w:rPr>
        <w:t>- charges</w:t>
      </w:r>
    </w:p>
    <w:p>
      <w:pPr>
        <w:keepNext/>
        <w:spacing w:before="240" w:after="100"/>
        <w:outlineLvl w:val="1"/>
      </w:pPr>
      <w:r>
        <w:rPr>
          <w:rFonts w:ascii="Arial" w:hAnsi="Arial" w:cs="Arial"/>
          <w:b/>
          <w:i w:val="0"/>
          <w:color w:val="2E528F"/>
          <w:sz w:val="26"/>
        </w:rPr>
        <w:t>20.73 RoRo Shipping-Instruction Engine</w:t>
      </w:r>
    </w:p>
    <w:p>
      <w:pPr>
        <w:spacing w:after="80" w:line="293" w:lineRule="auto"/>
        <w:jc w:val="left"/>
      </w:pPr>
      <w:r>
        <w:rPr>
          <w:rFonts w:ascii="Times New Roman" w:hAnsi="Times New Roman" w:cs="Times New Roman"/>
          <w:b w:val="0"/>
          <w:i w:val="0"/>
          <w:sz w:val="22"/>
        </w:rPr>
        <w:t>Shipping instructions are generated automatically from:</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units</w:t>
      </w:r>
    </w:p>
    <w:p>
      <w:pPr>
        <w:spacing w:after="80" w:line="293" w:lineRule="auto"/>
        <w:ind w:left="283"/>
        <w:jc w:val="left"/>
      </w:pPr>
      <w:r>
        <w:rPr>
          <w:rFonts w:ascii="Times New Roman" w:hAnsi="Times New Roman" w:cs="Times New Roman"/>
          <w:b w:val="0"/>
          <w:i w:val="0"/>
          <w:sz w:val="22"/>
        </w:rPr>
        <w:t>- VINs</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consignee</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destination</w:t>
      </w:r>
    </w:p>
    <w:p>
      <w:pPr>
        <w:spacing w:after="80" w:line="293" w:lineRule="auto"/>
        <w:jc w:val="left"/>
      </w:pPr>
      <w:r>
        <w:rPr>
          <w:rFonts w:ascii="Times New Roman" w:hAnsi="Times New Roman" w:cs="Times New Roman"/>
          <w:b w:val="0"/>
          <w:i w:val="0"/>
          <w:sz w:val="22"/>
        </w:rPr>
        <w:t>No re-entry.</w:t>
      </w:r>
    </w:p>
    <w:p>
      <w:pPr>
        <w:keepNext/>
        <w:spacing w:before="240" w:after="100"/>
        <w:outlineLvl w:val="1"/>
      </w:pPr>
      <w:r>
        <w:rPr>
          <w:rFonts w:ascii="Arial" w:hAnsi="Arial" w:cs="Arial"/>
          <w:b/>
          <w:i w:val="0"/>
          <w:color w:val="2E528F"/>
          <w:sz w:val="26"/>
        </w:rPr>
        <w:t>20.74 RoRo Unit State Machine</w:t>
      </w:r>
    </w:p>
    <w:p>
      <w:pPr>
        <w:spacing w:after="0" w:before="0" w:line="240" w:lineRule="auto"/>
        <w:ind w:left="57"/>
        <w:jc w:val="left"/>
        <w:shd w:val="clear" w:fill="F2F2F2"/>
      </w:pPr>
      <w:r>
        <w:rPr>
          <w:rFonts w:ascii="Consolas" w:hAnsi="Consolas" w:cs="Consolas"/>
          <w:b w:val="0"/>
          <w:i w:val="0"/>
          <w:sz w:val="15"/>
        </w:rPr>
        <w:t>BOOKED → DOCUMENTS_PENDING → CUSTOMS_PENDING → READY_FOR_GATE → GATE_IN →</w:t>
      </w:r>
    </w:p>
    <w:p>
      <w:pPr>
        <w:spacing w:after="0" w:before="0" w:line="240" w:lineRule="auto"/>
        <w:ind w:left="57"/>
        <w:jc w:val="left"/>
        <w:shd w:val="clear" w:fill="F2F2F2"/>
      </w:pPr>
      <w:r>
        <w:rPr>
          <w:rFonts w:ascii="Consolas" w:hAnsi="Consolas" w:cs="Consolas"/>
          <w:b w:val="0"/>
          <w:i w:val="0"/>
          <w:sz w:val="15"/>
        </w:rPr>
        <w:t>INSPECTION_PENDING → INSPECTED → YARD → READY_FOR_LOAD → LOADED → AT_SEA →</w:t>
      </w:r>
    </w:p>
    <w:p>
      <w:pPr>
        <w:spacing w:after="0" w:before="0" w:line="240" w:lineRule="auto"/>
        <w:ind w:left="57"/>
        <w:jc w:val="left"/>
        <w:shd w:val="clear" w:fill="F2F2F2"/>
      </w:pPr>
      <w:r>
        <w:rPr>
          <w:rFonts w:ascii="Consolas" w:hAnsi="Consolas" w:cs="Consolas"/>
          <w:b w:val="0"/>
          <w:i w:val="0"/>
          <w:sz w:val="15"/>
        </w:rPr>
        <w:t>TRANSSHIPMENT → DISCHARGED → DESTINATION_YARD → CUSTOMS_HOLD → CUSTOMS_RELEASED →</w:t>
      </w:r>
    </w:p>
    <w:p>
      <w:pPr>
        <w:spacing w:after="0" w:before="0" w:line="240" w:lineRule="auto"/>
        <w:ind w:left="57"/>
        <w:jc w:val="left"/>
        <w:shd w:val="clear" w:fill="F2F2F2"/>
      </w:pPr>
      <w:r>
        <w:rPr>
          <w:rFonts w:ascii="Consolas" w:hAnsi="Consolas" w:cs="Consolas"/>
          <w:b w:val="0"/>
          <w:i w:val="0"/>
          <w:sz w:val="15"/>
        </w:rPr>
        <w:t>DELIVERY_ORDER → READY_FOR_GATE_OUT → GATE_OUT → DELIVERED → ACCEPTED</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20.75 RoRo Vessel State</w:t>
      </w:r>
    </w:p>
    <w:p>
      <w:pPr>
        <w:spacing w:after="80" w:line="293" w:lineRule="auto"/>
        <w:jc w:val="left"/>
      </w:pPr>
      <w:r>
        <w:rPr>
          <w:rFonts w:ascii="Times New Roman" w:hAnsi="Times New Roman" w:cs="Times New Roman"/>
          <w:b w:val="0"/>
          <w:i w:val="0"/>
          <w:sz w:val="22"/>
        </w:rPr>
        <w:t>Separately, the vessel state machine is:</w:t>
      </w:r>
    </w:p>
    <w:p>
      <w:pPr>
        <w:spacing w:after="0" w:before="0" w:line="240" w:lineRule="auto"/>
        <w:ind w:left="57"/>
        <w:jc w:val="left"/>
        <w:shd w:val="clear" w:fill="F2F2F2"/>
      </w:pPr>
      <w:r>
        <w:rPr>
          <w:rFonts w:ascii="Consolas" w:hAnsi="Consolas" w:cs="Consolas"/>
          <w:b w:val="0"/>
          <w:i w:val="0"/>
          <w:sz w:val="15"/>
        </w:rPr>
        <w:t>SCHEDULED → BOOKING_OPEN → CUTOFF_APPROACHING → CARGO_ACCEPTING → LOADING →</w:t>
      </w:r>
    </w:p>
    <w:p>
      <w:pPr>
        <w:spacing w:after="0" w:before="0" w:line="240" w:lineRule="auto"/>
        <w:ind w:left="57"/>
        <w:jc w:val="left"/>
        <w:shd w:val="clear" w:fill="F2F2F2"/>
      </w:pPr>
      <w:r>
        <w:rPr>
          <w:rFonts w:ascii="Consolas" w:hAnsi="Consolas" w:cs="Consolas"/>
          <w:b w:val="0"/>
          <w:i w:val="0"/>
          <w:sz w:val="15"/>
        </w:rPr>
        <w:t>DEPARTED → AT_SEA → TRANSSHIPMENT → ARRIVED → DISCHARGING → COMPLETED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Vessel state is never mixed with cargo/unit state.</w:t>
      </w:r>
    </w:p>
    <w:p>
      <w:pPr>
        <w:keepNext/>
        <w:spacing w:before="240" w:after="100"/>
        <w:outlineLvl w:val="1"/>
      </w:pPr>
      <w:r>
        <w:rPr>
          <w:rFonts w:ascii="Arial" w:hAnsi="Arial" w:cs="Arial"/>
          <w:b/>
          <w:i w:val="0"/>
          <w:color w:val="2E528F"/>
          <w:sz w:val="26"/>
        </w:rPr>
        <w:t>20.76 RoRo Customs Reconciliation</w:t>
      </w:r>
    </w:p>
    <w:p>
      <w:pPr>
        <w:spacing w:after="80" w:line="293" w:lineRule="auto"/>
        <w:jc w:val="left"/>
      </w:pPr>
      <w:r>
        <w:rPr>
          <w:rFonts w:ascii="Times New Roman" w:hAnsi="Times New Roman" w:cs="Times New Roman"/>
          <w:b w:val="0"/>
          <w:i w:val="0"/>
          <w:sz w:val="22"/>
        </w:rPr>
        <w:t>The engine reconciles:</w:t>
      </w:r>
    </w:p>
    <w:p>
      <w:pPr>
        <w:spacing w:after="0" w:before="0" w:line="240" w:lineRule="auto"/>
        <w:ind w:left="57"/>
        <w:jc w:val="left"/>
        <w:shd w:val="clear" w:fill="F2F2F2"/>
      </w:pPr>
      <w:r>
        <w:rPr>
          <w:rFonts w:ascii="Consolas" w:hAnsi="Consolas" w:cs="Consolas"/>
          <w:b w:val="0"/>
          <w:i w:val="0"/>
          <w:sz w:val="15"/>
        </w:rPr>
        <w:t>VIN ↔ Commercial Docs ↔ Customs ↔ Manifest ↔ Vessel/Voyage ↔ Terminal ↔ Release ↔ Delivery</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20.77 Egypt RoRo Adapter</w:t>
      </w:r>
    </w:p>
    <w:p>
      <w:pPr>
        <w:spacing w:after="80" w:line="293" w:lineRule="auto"/>
        <w:jc w:val="left"/>
      </w:pPr>
      <w:r>
        <w:rPr>
          <w:rFonts w:ascii="Times New Roman" w:hAnsi="Times New Roman" w:cs="Times New Roman"/>
          <w:b w:val="0"/>
          <w:i w:val="0"/>
          <w:sz w:val="22"/>
        </w:rPr>
        <w:t>The platform defines EGYPT_RORO_ADAPTER. The adapter determines:</w:t>
      </w:r>
    </w:p>
    <w:p>
      <w:pPr>
        <w:spacing w:after="80" w:line="293" w:lineRule="auto"/>
        <w:ind w:left="283"/>
        <w:jc w:val="left"/>
      </w:pPr>
      <w:r>
        <w:rPr>
          <w:rFonts w:ascii="Times New Roman" w:hAnsi="Times New Roman" w:cs="Times New Roman"/>
          <w:b w:val="0"/>
          <w:i w:val="0"/>
          <w:sz w:val="22"/>
        </w:rPr>
        <w:t>- Nafeza applicability</w:t>
      </w:r>
    </w:p>
    <w:p>
      <w:pPr>
        <w:spacing w:after="80" w:line="293" w:lineRule="auto"/>
        <w:ind w:left="283"/>
        <w:jc w:val="left"/>
      </w:pPr>
      <w:r>
        <w:rPr>
          <w:rFonts w:ascii="Times New Roman" w:hAnsi="Times New Roman" w:cs="Times New Roman"/>
          <w:b w:val="0"/>
          <w:i w:val="0"/>
          <w:sz w:val="22"/>
        </w:rPr>
        <w:t>- UCR applicability</w:t>
      </w:r>
    </w:p>
    <w:p>
      <w:pPr>
        <w:spacing w:after="80" w:line="293" w:lineRule="auto"/>
        <w:ind w:left="283"/>
        <w:jc w:val="left"/>
      </w:pPr>
      <w:r>
        <w:rPr>
          <w:rFonts w:ascii="Times New Roman" w:hAnsi="Times New Roman" w:cs="Times New Roman"/>
          <w:b w:val="0"/>
          <w:i w:val="0"/>
          <w:sz w:val="22"/>
        </w:rPr>
        <w:t>- export declaration</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manifest</w:t>
      </w:r>
    </w:p>
    <w:p>
      <w:pPr>
        <w:spacing w:after="80" w:line="293" w:lineRule="auto"/>
        <w:ind w:left="283"/>
        <w:jc w:val="left"/>
      </w:pPr>
      <w:r>
        <w:rPr>
          <w:rFonts w:ascii="Times New Roman" w:hAnsi="Times New Roman" w:cs="Times New Roman"/>
          <w:b w:val="0"/>
          <w:i w:val="0"/>
          <w:sz w:val="22"/>
        </w:rPr>
        <w:t>- shipping-agent messages</w:t>
      </w:r>
    </w:p>
    <w:p>
      <w:pPr>
        <w:spacing w:after="80" w:line="293" w:lineRule="auto"/>
        <w:ind w:left="283"/>
        <w:jc w:val="left"/>
      </w:pPr>
      <w:r>
        <w:rPr>
          <w:rFonts w:ascii="Times New Roman" w:hAnsi="Times New Roman" w:cs="Times New Roman"/>
          <w:b w:val="0"/>
          <w:i w:val="0"/>
          <w:sz w:val="22"/>
        </w:rPr>
        <w:t>- terminal process</w:t>
      </w:r>
    </w:p>
    <w:p>
      <w:pPr>
        <w:spacing w:after="80" w:line="293" w:lineRule="auto"/>
        <w:ind w:left="283"/>
        <w:jc w:val="left"/>
      </w:pPr>
      <w:r>
        <w:rPr>
          <w:rFonts w:ascii="Times New Roman" w:hAnsi="Times New Roman" w:cs="Times New Roman"/>
          <w:b w:val="0"/>
          <w:i w:val="0"/>
          <w:sz w:val="22"/>
        </w:rPr>
        <w:t>- customs procedures</w:t>
      </w:r>
    </w:p>
    <w:p>
      <w:pPr>
        <w:spacing w:after="80" w:line="293" w:lineRule="auto"/>
        <w:ind w:left="283"/>
        <w:jc w:val="left"/>
      </w:pPr>
      <w:r>
        <w:rPr>
          <w:rFonts w:ascii="Times New Roman" w:hAnsi="Times New Roman" w:cs="Times New Roman"/>
          <w:b w:val="0"/>
          <w:i w:val="0"/>
          <w:sz w:val="22"/>
        </w:rPr>
        <w:t>- port requirements</w:t>
      </w:r>
    </w:p>
    <w:p>
      <w:pPr>
        <w:spacing w:after="80" w:line="293" w:lineRule="auto"/>
        <w:ind w:left="283"/>
        <w:jc w:val="left"/>
      </w:pPr>
      <w:r>
        <w:rPr>
          <w:rFonts w:ascii="Times New Roman" w:hAnsi="Times New Roman" w:cs="Times New Roman"/>
          <w:b w:val="0"/>
          <w:i w:val="0"/>
          <w:sz w:val="22"/>
        </w:rPr>
        <w:t>- unit documentation</w:t>
      </w:r>
    </w:p>
    <w:p>
      <w:pPr>
        <w:spacing w:after="80" w:line="293" w:lineRule="auto"/>
        <w:ind w:left="283"/>
        <w:jc w:val="left"/>
      </w:pPr>
      <w:r>
        <w:rPr>
          <w:rFonts w:ascii="Times New Roman" w:hAnsi="Times New Roman" w:cs="Times New Roman"/>
          <w:b w:val="0"/>
          <w:i w:val="0"/>
          <w:sz w:val="22"/>
        </w:rPr>
        <w:t>- vehicle documentation</w:t>
      </w:r>
    </w:p>
    <w:p>
      <w:pPr>
        <w:spacing w:after="80" w:line="293" w:lineRule="auto"/>
        <w:ind w:left="283"/>
        <w:jc w:val="left"/>
      </w:pPr>
      <w:r>
        <w:rPr>
          <w:rFonts w:ascii="Times New Roman" w:hAnsi="Times New Roman" w:cs="Times New Roman"/>
          <w:b w:val="0"/>
          <w:i w:val="0"/>
          <w:sz w:val="22"/>
        </w:rPr>
        <w:t>- destination/transit requirements</w:t>
      </w:r>
    </w:p>
    <w:p>
      <w:pPr>
        <w:spacing w:after="80" w:line="293" w:lineRule="auto"/>
        <w:jc w:val="left"/>
      </w:pPr>
      <w:r>
        <w:rPr>
          <w:rFonts w:ascii="Times New Roman" w:hAnsi="Times New Roman" w:cs="Times New Roman"/>
          <w:b w:val="0"/>
          <w:i w:val="0"/>
          <w:sz w:val="22"/>
        </w:rPr>
        <w:t>Nafeza is Egypt's national single window and trade platform. The adapter does not blindly apply container-only Enhanced Export messages to RoRo. Nafeza's July 18, 2026 Enhanced Export notice explicitly identifies its first five messages — UCR Verification, Booking Confirmation, Empty Containers, Shipment Inquiry and Manifest — for seaports/container shipping agents. The system therefore needs mode/procedure applicability rather than one universal maritime workflow.</w:t>
      </w:r>
    </w:p>
    <w:p>
      <w:pPr>
        <w:keepNext/>
        <w:spacing w:before="240" w:after="100"/>
        <w:outlineLvl w:val="1"/>
      </w:pPr>
      <w:r>
        <w:rPr>
          <w:rFonts w:ascii="Arial" w:hAnsi="Arial" w:cs="Arial"/>
          <w:b/>
          <w:i w:val="0"/>
          <w:color w:val="2E528F"/>
          <w:sz w:val="26"/>
        </w:rPr>
        <w:t>20.78 Egypt Air Adapter</w:t>
      </w:r>
    </w:p>
    <w:p>
      <w:pPr>
        <w:spacing w:after="80" w:line="293" w:lineRule="auto"/>
        <w:jc w:val="left"/>
      </w:pPr>
      <w:r>
        <w:rPr>
          <w:rFonts w:ascii="Times New Roman" w:hAnsi="Times New Roman" w:cs="Times New Roman"/>
          <w:b w:val="0"/>
          <w:i w:val="0"/>
          <w:sz w:val="22"/>
        </w:rPr>
        <w:t>Egypt's Nafeza system currently identifies an Aviation ACI system, with mandatory implementation beginning January 1, 2026, and a separate enhanced export cycle. Therefore the adapter supports:</w:t>
      </w:r>
    </w:p>
    <w:p>
      <w:pPr>
        <w:spacing w:after="80" w:line="293" w:lineRule="auto"/>
        <w:ind w:left="283"/>
        <w:jc w:val="left"/>
      </w:pPr>
      <w:r>
        <w:rPr>
          <w:rFonts w:ascii="Times New Roman" w:hAnsi="Times New Roman" w:cs="Times New Roman"/>
          <w:b w:val="0"/>
          <w:i w:val="0"/>
          <w:sz w:val="22"/>
        </w:rPr>
        <w:t>- Nafeza</w:t>
      </w:r>
    </w:p>
    <w:p>
      <w:pPr>
        <w:spacing w:after="80" w:line="293" w:lineRule="auto"/>
        <w:ind w:left="283"/>
        <w:jc w:val="left"/>
      </w:pPr>
      <w:r>
        <w:rPr>
          <w:rFonts w:ascii="Times New Roman" w:hAnsi="Times New Roman" w:cs="Times New Roman"/>
          <w:b w:val="0"/>
          <w:i w:val="0"/>
          <w:sz w:val="22"/>
        </w:rPr>
        <w:t>- ACI Air</w:t>
      </w:r>
    </w:p>
    <w:p>
      <w:pPr>
        <w:spacing w:after="80" w:line="293" w:lineRule="auto"/>
        <w:ind w:left="283"/>
        <w:jc w:val="left"/>
      </w:pPr>
      <w:r>
        <w:rPr>
          <w:rFonts w:ascii="Times New Roman" w:hAnsi="Times New Roman" w:cs="Times New Roman"/>
          <w:b w:val="0"/>
          <w:i w:val="0"/>
          <w:sz w:val="22"/>
        </w:rPr>
        <w:t>- export</w:t>
      </w:r>
    </w:p>
    <w:p>
      <w:pPr>
        <w:spacing w:after="80" w:line="293" w:lineRule="auto"/>
        <w:ind w:left="283"/>
        <w:jc w:val="left"/>
      </w:pPr>
      <w:r>
        <w:rPr>
          <w:rFonts w:ascii="Times New Roman" w:hAnsi="Times New Roman" w:cs="Times New Roman"/>
          <w:b w:val="0"/>
          <w:i w:val="0"/>
          <w:sz w:val="22"/>
        </w:rPr>
        <w:t>- import</w:t>
      </w:r>
    </w:p>
    <w:p>
      <w:pPr>
        <w:spacing w:after="80" w:line="293" w:lineRule="auto"/>
        <w:ind w:left="283"/>
        <w:jc w:val="left"/>
      </w:pPr>
      <w:r>
        <w:rPr>
          <w:rFonts w:ascii="Times New Roman" w:hAnsi="Times New Roman" w:cs="Times New Roman"/>
          <w:b w:val="0"/>
          <w:i w:val="0"/>
          <w:sz w:val="22"/>
        </w:rPr>
        <w:t>- transit where applicable</w:t>
      </w:r>
    </w:p>
    <w:p>
      <w:pPr>
        <w:spacing w:after="80" w:line="293" w:lineRule="auto"/>
        <w:ind w:left="283"/>
        <w:jc w:val="left"/>
      </w:pPr>
      <w:r>
        <w:rPr>
          <w:rFonts w:ascii="Times New Roman" w:hAnsi="Times New Roman" w:cs="Times New Roman"/>
          <w:b w:val="0"/>
          <w:i w:val="0"/>
          <w:sz w:val="22"/>
        </w:rPr>
        <w:t>- MAWB</w:t>
      </w:r>
    </w:p>
    <w:p>
      <w:pPr>
        <w:spacing w:after="80" w:line="293" w:lineRule="auto"/>
        <w:ind w:left="283"/>
        <w:jc w:val="left"/>
      </w:pPr>
      <w:r>
        <w:rPr>
          <w:rFonts w:ascii="Times New Roman" w:hAnsi="Times New Roman" w:cs="Times New Roman"/>
          <w:b w:val="0"/>
          <w:i w:val="0"/>
          <w:sz w:val="22"/>
        </w:rPr>
        <w:t>- HAWB</w:t>
      </w:r>
    </w:p>
    <w:p>
      <w:pPr>
        <w:spacing w:after="80" w:line="293" w:lineRule="auto"/>
        <w:ind w:left="283"/>
        <w:jc w:val="left"/>
      </w:pPr>
      <w:r>
        <w:rPr>
          <w:rFonts w:ascii="Times New Roman" w:hAnsi="Times New Roman" w:cs="Times New Roman"/>
          <w:b w:val="0"/>
          <w:i w:val="0"/>
          <w:sz w:val="22"/>
        </w:rPr>
        <w:t>- manifest</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release</w:t>
      </w:r>
    </w:p>
    <w:p>
      <w:pPr>
        <w:spacing w:after="80" w:line="293" w:lineRule="auto"/>
        <w:ind w:left="283"/>
        <w:jc w:val="left"/>
      </w:pPr>
      <w:r>
        <w:rPr>
          <w:rFonts w:ascii="Times New Roman" w:hAnsi="Times New Roman" w:cs="Times New Roman"/>
          <w:b w:val="0"/>
          <w:i w:val="0"/>
          <w:sz w:val="22"/>
        </w:rPr>
        <w:t>- government reference reconciliation</w:t>
      </w:r>
    </w:p>
    <w:p>
      <w:pPr>
        <w:keepNext/>
        <w:spacing w:before="240" w:after="100"/>
        <w:outlineLvl w:val="1"/>
      </w:pPr>
      <w:r>
        <w:rPr>
          <w:rFonts w:ascii="Arial" w:hAnsi="Arial" w:cs="Arial"/>
          <w:b/>
          <w:i w:val="0"/>
          <w:color w:val="2E528F"/>
          <w:sz w:val="26"/>
        </w:rPr>
        <w:t>20.79 Egypt Road Adapter</w:t>
      </w:r>
    </w:p>
    <w:p>
      <w:pPr>
        <w:spacing w:after="80" w:line="293" w:lineRule="auto"/>
        <w:jc w:val="left"/>
      </w:pPr>
      <w:r>
        <w:rPr>
          <w:rFonts w:ascii="Times New Roman" w:hAnsi="Times New Roman" w:cs="Times New Roman"/>
          <w:b w:val="0"/>
          <w:i w:val="0"/>
          <w:sz w:val="22"/>
        </w:rPr>
        <w:t>The adapter supports:</w:t>
      </w:r>
    </w:p>
    <w:p>
      <w:pPr>
        <w:spacing w:after="80" w:line="293" w:lineRule="auto"/>
        <w:ind w:left="283"/>
        <w:jc w:val="left"/>
      </w:pPr>
      <w:r>
        <w:rPr>
          <w:rFonts w:ascii="Times New Roman" w:hAnsi="Times New Roman" w:cs="Times New Roman"/>
          <w:b w:val="0"/>
          <w:i w:val="0"/>
          <w:sz w:val="22"/>
        </w:rPr>
        <w:t>- Nafeza export</w:t>
      </w:r>
    </w:p>
    <w:p>
      <w:pPr>
        <w:spacing w:after="80" w:line="293" w:lineRule="auto"/>
        <w:ind w:left="283"/>
        <w:jc w:val="left"/>
      </w:pPr>
      <w:r>
        <w:rPr>
          <w:rFonts w:ascii="Times New Roman" w:hAnsi="Times New Roman" w:cs="Times New Roman"/>
          <w:b w:val="0"/>
          <w:i w:val="0"/>
          <w:sz w:val="22"/>
        </w:rPr>
        <w:t>- UCR where applicable</w:t>
      </w:r>
    </w:p>
    <w:p>
      <w:pPr>
        <w:spacing w:after="80" w:line="293" w:lineRule="auto"/>
        <w:ind w:left="283"/>
        <w:jc w:val="left"/>
      </w:pPr>
      <w:r>
        <w:rPr>
          <w:rFonts w:ascii="Times New Roman" w:hAnsi="Times New Roman" w:cs="Times New Roman"/>
          <w:b w:val="0"/>
          <w:i w:val="0"/>
          <w:sz w:val="22"/>
        </w:rPr>
        <w:t>- export declaration</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SPS</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TIR</w:t>
      </w:r>
    </w:p>
    <w:p>
      <w:pPr>
        <w:spacing w:after="80" w:line="293" w:lineRule="auto"/>
        <w:ind w:left="283"/>
        <w:jc w:val="left"/>
      </w:pPr>
      <w:r>
        <w:rPr>
          <w:rFonts w:ascii="Times New Roman" w:hAnsi="Times New Roman" w:cs="Times New Roman"/>
          <w:b w:val="0"/>
          <w:i w:val="0"/>
          <w:sz w:val="22"/>
        </w:rPr>
        <w:t>- road waybill</w:t>
      </w:r>
    </w:p>
    <w:p>
      <w:pPr>
        <w:spacing w:after="80" w:line="293" w:lineRule="auto"/>
        <w:ind w:left="283"/>
        <w:jc w:val="left"/>
      </w:pPr>
      <w:r>
        <w:rPr>
          <w:rFonts w:ascii="Times New Roman" w:hAnsi="Times New Roman" w:cs="Times New Roman"/>
          <w:b w:val="0"/>
          <w:i w:val="0"/>
          <w:sz w:val="22"/>
        </w:rPr>
        <w:t>- border</w:t>
      </w:r>
    </w:p>
    <w:p>
      <w:pPr>
        <w:spacing w:after="80" w:line="293" w:lineRule="auto"/>
        <w:ind w:left="283"/>
        <w:jc w:val="left"/>
      </w:pPr>
      <w:r>
        <w:rPr>
          <w:rFonts w:ascii="Times New Roman" w:hAnsi="Times New Roman" w:cs="Times New Roman"/>
          <w:b w:val="0"/>
          <w:i w:val="0"/>
          <w:sz w:val="22"/>
        </w:rPr>
        <w:t>- vehicle</w:t>
      </w:r>
    </w:p>
    <w:p>
      <w:pPr>
        <w:spacing w:after="80" w:line="293" w:lineRule="auto"/>
        <w:ind w:left="283"/>
        <w:jc w:val="left"/>
      </w:pPr>
      <w:r>
        <w:rPr>
          <w:rFonts w:ascii="Times New Roman" w:hAnsi="Times New Roman" w:cs="Times New Roman"/>
          <w:b w:val="0"/>
          <w:i w:val="0"/>
          <w:sz w:val="22"/>
        </w:rPr>
        <w:t>- driver</w:t>
      </w:r>
    </w:p>
    <w:p>
      <w:pPr>
        <w:spacing w:after="80" w:line="293" w:lineRule="auto"/>
        <w:ind w:left="283"/>
        <w:jc w:val="left"/>
      </w:pPr>
      <w:r>
        <w:rPr>
          <w:rFonts w:ascii="Times New Roman" w:hAnsi="Times New Roman" w:cs="Times New Roman"/>
          <w:b w:val="0"/>
          <w:i w:val="0"/>
          <w:sz w:val="22"/>
        </w:rPr>
        <w:t>- seal</w:t>
      </w:r>
    </w:p>
    <w:p>
      <w:pPr>
        <w:spacing w:after="80" w:line="293" w:lineRule="auto"/>
        <w:jc w:val="left"/>
      </w:pPr>
      <w:r>
        <w:rPr>
          <w:rFonts w:ascii="Times New Roman" w:hAnsi="Times New Roman" w:cs="Times New Roman"/>
          <w:b w:val="0"/>
          <w:i w:val="0"/>
          <w:sz w:val="22"/>
        </w:rPr>
        <w:t>The adapter does not assume maritime ACI/CargoX logic applies to road exports.</w:t>
      </w:r>
    </w:p>
    <w:p>
      <w:pPr>
        <w:keepNext/>
        <w:spacing w:before="240" w:after="100"/>
        <w:outlineLvl w:val="1"/>
      </w:pPr>
      <w:r>
        <w:rPr>
          <w:rFonts w:ascii="Arial" w:hAnsi="Arial" w:cs="Arial"/>
          <w:b/>
          <w:i w:val="0"/>
          <w:color w:val="2E528F"/>
          <w:sz w:val="26"/>
        </w:rPr>
        <w:t>20.80 Egypt Mode-Applicability Engine</w:t>
      </w:r>
    </w:p>
    <w:p>
      <w:pPr>
        <w:spacing w:after="80" w:line="293" w:lineRule="auto"/>
        <w:jc w:val="left"/>
      </w:pPr>
      <w:r>
        <w:rPr>
          <w:rFonts w:ascii="Times New Roman" w:hAnsi="Times New Roman" w:cs="Times New Roman"/>
          <w:b w:val="0"/>
          <w:i w:val="0"/>
          <w:sz w:val="22"/>
        </w:rPr>
        <w:t>The platform defines TRANSPORT_MODE_PROCEDURE_ENGINE. Modes:</w:t>
      </w:r>
    </w:p>
    <w:p>
      <w:pPr>
        <w:spacing w:after="80" w:line="293" w:lineRule="auto"/>
        <w:ind w:left="283"/>
        <w:jc w:val="left"/>
      </w:pPr>
      <w:r>
        <w:rPr>
          <w:rFonts w:ascii="Times New Roman" w:hAnsi="Times New Roman" w:cs="Times New Roman"/>
          <w:b w:val="0"/>
          <w:i w:val="0"/>
          <w:sz w:val="22"/>
        </w:rPr>
        <w:t>- ROAD</w:t>
      </w:r>
    </w:p>
    <w:p>
      <w:pPr>
        <w:spacing w:after="80" w:line="293" w:lineRule="auto"/>
        <w:ind w:left="283"/>
        <w:jc w:val="left"/>
      </w:pPr>
      <w:r>
        <w:rPr>
          <w:rFonts w:ascii="Times New Roman" w:hAnsi="Times New Roman" w:cs="Times New Roman"/>
          <w:b w:val="0"/>
          <w:i w:val="0"/>
          <w:sz w:val="22"/>
        </w:rPr>
        <w:t>- AIR</w:t>
      </w:r>
    </w:p>
    <w:p>
      <w:pPr>
        <w:spacing w:after="80" w:line="293" w:lineRule="auto"/>
        <w:ind w:left="283"/>
        <w:jc w:val="left"/>
      </w:pPr>
      <w:r>
        <w:rPr>
          <w:rFonts w:ascii="Times New Roman" w:hAnsi="Times New Roman" w:cs="Times New Roman"/>
          <w:b w:val="0"/>
          <w:i w:val="0"/>
          <w:sz w:val="22"/>
        </w:rPr>
        <w:t>- OCEAN_CONTAINER</w:t>
      </w:r>
    </w:p>
    <w:p>
      <w:pPr>
        <w:spacing w:after="80" w:line="293" w:lineRule="auto"/>
        <w:ind w:left="283"/>
        <w:jc w:val="left"/>
      </w:pPr>
      <w:r>
        <w:rPr>
          <w:rFonts w:ascii="Times New Roman" w:hAnsi="Times New Roman" w:cs="Times New Roman"/>
          <w:b w:val="0"/>
          <w:i w:val="0"/>
          <w:sz w:val="22"/>
        </w:rPr>
        <w:t>- RORO</w:t>
      </w:r>
    </w:p>
    <w:p>
      <w:pPr>
        <w:spacing w:after="80" w:line="293" w:lineRule="auto"/>
        <w:ind w:left="283"/>
        <w:jc w:val="left"/>
      </w:pPr>
      <w:r>
        <w:rPr>
          <w:rFonts w:ascii="Times New Roman" w:hAnsi="Times New Roman" w:cs="Times New Roman"/>
          <w:b w:val="0"/>
          <w:i w:val="0"/>
          <w:sz w:val="22"/>
        </w:rPr>
        <w:t>- BULK</w:t>
      </w:r>
    </w:p>
    <w:p>
      <w:pPr>
        <w:spacing w:after="80" w:line="293" w:lineRule="auto"/>
        <w:ind w:left="283"/>
        <w:jc w:val="left"/>
      </w:pPr>
      <w:r>
        <w:rPr>
          <w:rFonts w:ascii="Times New Roman" w:hAnsi="Times New Roman" w:cs="Times New Roman"/>
          <w:b w:val="0"/>
          <w:i w:val="0"/>
          <w:sz w:val="22"/>
        </w:rPr>
        <w:t>- RAIL</w:t>
      </w:r>
    </w:p>
    <w:p>
      <w:pPr>
        <w:spacing w:after="80" w:line="293" w:lineRule="auto"/>
        <w:ind w:left="283"/>
        <w:jc w:val="left"/>
      </w:pPr>
      <w:r>
        <w:rPr>
          <w:rFonts w:ascii="Times New Roman" w:hAnsi="Times New Roman" w:cs="Times New Roman"/>
          <w:b w:val="0"/>
          <w:i w:val="0"/>
          <w:sz w:val="22"/>
        </w:rPr>
        <w:t>- FERRY</w:t>
      </w:r>
    </w:p>
    <w:p>
      <w:pPr>
        <w:spacing w:after="80" w:line="293" w:lineRule="auto"/>
        <w:ind w:left="283"/>
        <w:jc w:val="left"/>
      </w:pPr>
      <w:r>
        <w:rPr>
          <w:rFonts w:ascii="Times New Roman" w:hAnsi="Times New Roman" w:cs="Times New Roman"/>
          <w:b w:val="0"/>
          <w:i w:val="0"/>
          <w:sz w:val="22"/>
        </w:rPr>
        <w:t>- MULTIMODAL</w:t>
      </w:r>
    </w:p>
    <w:p>
      <w:pPr>
        <w:spacing w:after="80" w:line="293" w:lineRule="auto"/>
        <w:jc w:val="left"/>
      </w:pPr>
      <w:r>
        <w:rPr>
          <w:rFonts w:ascii="Times New Roman" w:hAnsi="Times New Roman" w:cs="Times New Roman"/>
          <w:b w:val="0"/>
          <w:i w:val="0"/>
          <w:sz w:val="22"/>
        </w:rPr>
        <w:t>The engine determines:</w:t>
      </w:r>
    </w:p>
    <w:p>
      <w:pPr>
        <w:spacing w:after="80" w:line="293" w:lineRule="auto"/>
        <w:ind w:left="283"/>
        <w:jc w:val="left"/>
      </w:pPr>
      <w:r>
        <w:rPr>
          <w:rFonts w:ascii="Times New Roman" w:hAnsi="Times New Roman" w:cs="Times New Roman"/>
          <w:b w:val="0"/>
          <w:i w:val="0"/>
          <w:sz w:val="22"/>
        </w:rPr>
        <w:t>- customs procedure</w:t>
      </w:r>
    </w:p>
    <w:p>
      <w:pPr>
        <w:spacing w:after="80" w:line="293" w:lineRule="auto"/>
        <w:ind w:left="283"/>
        <w:jc w:val="left"/>
      </w:pPr>
      <w:r>
        <w:rPr>
          <w:rFonts w:ascii="Times New Roman" w:hAnsi="Times New Roman" w:cs="Times New Roman"/>
          <w:b w:val="0"/>
          <w:i w:val="0"/>
          <w:sz w:val="22"/>
        </w:rPr>
        <w:t>- government messages</w:t>
      </w:r>
    </w:p>
    <w:p>
      <w:pPr>
        <w:spacing w:after="80" w:line="293" w:lineRule="auto"/>
        <w:ind w:left="283"/>
        <w:jc w:val="left"/>
      </w:pPr>
      <w:r>
        <w:rPr>
          <w:rFonts w:ascii="Times New Roman" w:hAnsi="Times New Roman" w:cs="Times New Roman"/>
          <w:b w:val="0"/>
          <w:i w:val="0"/>
          <w:sz w:val="22"/>
        </w:rPr>
        <w:t>- identifiers</w:t>
      </w:r>
    </w:p>
    <w:p>
      <w:pPr>
        <w:spacing w:after="80" w:line="293" w:lineRule="auto"/>
        <w:ind w:left="283"/>
        <w:jc w:val="left"/>
      </w:pPr>
      <w:r>
        <w:rPr>
          <w:rFonts w:ascii="Times New Roman" w:hAnsi="Times New Roman" w:cs="Times New Roman"/>
          <w:b w:val="0"/>
          <w:i w:val="0"/>
          <w:sz w:val="22"/>
        </w:rPr>
        <w:t>- ACI requirements</w:t>
      </w:r>
    </w:p>
    <w:p>
      <w:pPr>
        <w:spacing w:after="80" w:line="293" w:lineRule="auto"/>
        <w:ind w:left="283"/>
        <w:jc w:val="left"/>
      </w:pPr>
      <w:r>
        <w:rPr>
          <w:rFonts w:ascii="Times New Roman" w:hAnsi="Times New Roman" w:cs="Times New Roman"/>
          <w:b w:val="0"/>
          <w:i w:val="0"/>
          <w:sz w:val="22"/>
        </w:rPr>
        <w:t>- manifest</w:t>
      </w:r>
    </w:p>
    <w:p>
      <w:pPr>
        <w:spacing w:after="80" w:line="293" w:lineRule="auto"/>
        <w:ind w:left="283"/>
        <w:jc w:val="left"/>
      </w:pPr>
      <w:r>
        <w:rPr>
          <w:rFonts w:ascii="Times New Roman" w:hAnsi="Times New Roman" w:cs="Times New Roman"/>
          <w:b w:val="0"/>
          <w:i w:val="0"/>
          <w:sz w:val="22"/>
        </w:rPr>
        <w:t>- declaration</w:t>
      </w:r>
    </w:p>
    <w:p>
      <w:pPr>
        <w:spacing w:after="80" w:line="293" w:lineRule="auto"/>
        <w:ind w:left="283"/>
        <w:jc w:val="left"/>
      </w:pPr>
      <w:r>
        <w:rPr>
          <w:rFonts w:ascii="Times New Roman" w:hAnsi="Times New Roman" w:cs="Times New Roman"/>
          <w:b w:val="0"/>
          <w:i w:val="0"/>
          <w:sz w:val="22"/>
        </w:rPr>
        <w:t>- permits</w:t>
      </w:r>
    </w:p>
    <w:p>
      <w:pPr>
        <w:spacing w:after="80" w:line="293" w:lineRule="auto"/>
        <w:ind w:left="283"/>
        <w:jc w:val="left"/>
      </w:pPr>
      <w:r>
        <w:rPr>
          <w:rFonts w:ascii="Times New Roman" w:hAnsi="Times New Roman" w:cs="Times New Roman"/>
          <w:b w:val="0"/>
          <w:i w:val="0"/>
          <w:sz w:val="22"/>
        </w:rPr>
        <w:t>- terminal requirements</w:t>
      </w:r>
    </w:p>
    <w:p>
      <w:pPr>
        <w:keepNext/>
        <w:spacing w:before="180" w:after="80"/>
        <w:outlineLvl w:val="2"/>
      </w:pPr>
      <w:r>
        <w:rPr>
          <w:rFonts w:ascii="Arial" w:hAnsi="Arial" w:cs="Arial"/>
          <w:b/>
          <w:i w:val="0"/>
          <w:color w:val="333333"/>
          <w:sz w:val="23"/>
        </w:rPr>
        <w:t>20.80.1 Egypt Adapter Authority Declarations</w:t>
      </w:r>
    </w:p>
    <w:p>
      <w:pPr>
        <w:spacing w:after="80" w:line="293" w:lineRule="auto"/>
        <w:jc w:val="left"/>
      </w:pPr>
      <w:r>
        <w:rPr>
          <w:rFonts w:ascii="Times New Roman" w:hAnsi="Times New Roman" w:cs="Times New Roman"/>
          <w:b w:val="0"/>
          <w:i w:val="0"/>
          <w:sz w:val="22"/>
        </w:rPr>
        <w:t>The Egypt-specific integration architecture — Nafeza for customs, CargoX/ACI for document exchange, ETA e-Invoice for invoicing, and CBE-connected payment infrastructure — is preserved as specified in Sections 20.78–20.80. Every Egypt adapter declares its operational contract explicitly before integration:</w:t>
      </w:r>
    </w:p>
    <w:p>
      <w:pPr>
        <w:spacing w:after="0" w:before="0" w:line="240" w:lineRule="auto"/>
        <w:ind w:left="57"/>
        <w:jc w:val="left"/>
        <w:shd w:val="clear" w:fill="F2F2F2"/>
      </w:pPr>
      <w:r>
        <w:rPr>
          <w:rFonts w:ascii="Consolas" w:hAnsi="Consolas" w:cs="Consolas"/>
          <w:b w:val="0"/>
          <w:i w:val="0"/>
          <w:sz w:val="15"/>
        </w:rPr>
        <w:t>authority class        what the adapter is authoritative for (and not)</w:t>
      </w:r>
    </w:p>
    <w:p>
      <w:pPr>
        <w:spacing w:after="0" w:before="0" w:line="240" w:lineRule="auto"/>
        <w:ind w:left="57"/>
        <w:jc w:val="left"/>
        <w:shd w:val="clear" w:fill="F2F2F2"/>
      </w:pPr>
      <w:r>
        <w:rPr>
          <w:rFonts w:ascii="Consolas" w:hAnsi="Consolas" w:cs="Consolas"/>
          <w:b w:val="0"/>
          <w:i w:val="0"/>
          <w:sz w:val="15"/>
        </w:rPr>
        <w:t>API capability         the operations the integration actually supports</w:t>
      </w:r>
    </w:p>
    <w:p>
      <w:pPr>
        <w:spacing w:after="0" w:before="0" w:line="240" w:lineRule="auto"/>
        <w:ind w:left="57"/>
        <w:jc w:val="left"/>
        <w:shd w:val="clear" w:fill="F2F2F2"/>
      </w:pPr>
      <w:r>
        <w:rPr>
          <w:rFonts w:ascii="Consolas" w:hAnsi="Consolas" w:cs="Consolas"/>
          <w:b w:val="0"/>
          <w:i w:val="0"/>
          <w:sz w:val="15"/>
        </w:rPr>
        <w:t>confirmation semantics what constitutes an authoritative confirmation</w:t>
      </w:r>
    </w:p>
    <w:p>
      <w:pPr>
        <w:spacing w:after="0" w:before="0" w:line="240" w:lineRule="auto"/>
        <w:ind w:left="57"/>
        <w:jc w:val="left"/>
        <w:shd w:val="clear" w:fill="F2F2F2"/>
      </w:pPr>
      <w:r>
        <w:rPr>
          <w:rFonts w:ascii="Consolas" w:hAnsi="Consolas" w:cs="Consolas"/>
          <w:b w:val="0"/>
          <w:i w:val="0"/>
          <w:sz w:val="15"/>
        </w:rPr>
        <w:t>failure behaviour      what failures are explicit vs unknown (Section 19.23.1)</w:t>
      </w:r>
    </w:p>
    <w:p>
      <w:pPr>
        <w:spacing w:after="0" w:before="0" w:line="240" w:lineRule="auto"/>
        <w:ind w:left="57"/>
        <w:jc w:val="left"/>
        <w:shd w:val="clear" w:fill="F2F2F2"/>
      </w:pPr>
      <w:r>
        <w:rPr>
          <w:rFonts w:ascii="Consolas" w:hAnsi="Consolas" w:cs="Consolas"/>
          <w:b w:val="0"/>
          <w:i w:val="0"/>
          <w:sz w:val="15"/>
        </w:rPr>
        <w:t>retry semantics        safe retry and idempotency behaviour (Section 19.18.1)</w:t>
      </w:r>
    </w:p>
    <w:p>
      <w:pPr>
        <w:spacing w:after="0" w:before="0" w:line="240" w:lineRule="auto"/>
        <w:ind w:left="57"/>
        <w:jc w:val="left"/>
        <w:shd w:val="clear" w:fill="F2F2F2"/>
      </w:pPr>
      <w:r>
        <w:rPr>
          <w:rFonts w:ascii="Consolas" w:hAnsi="Consolas" w:cs="Consolas"/>
          <w:b w:val="0"/>
          <w:i w:val="0"/>
          <w:sz w:val="15"/>
        </w:rPr>
        <w:t>idempotency strategy   key derivation for mutating calls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API submission to an Egyptian government system is never equated with authoritative completion: submission produces a submitted state, and completion requires the authoritative confirmation semantics the adapter declares. The Nafeza correlation and evidence graph (Sections 19.59–19.60) applies to customs confirmations, and government payment limitations (Section 19.61) apply to fee collection. Mode-specific applicability follows the mode-applicability engine of Section 20.80; where a corridor or mode lacks a required integration, the missing-integration model of Section 20.38 surfaces it rather than silently degrading.</w:t>
      </w:r>
    </w:p>
    <w:p>
      <w:pPr>
        <w:keepNext/>
        <w:spacing w:before="240" w:after="100"/>
        <w:outlineLvl w:val="1"/>
      </w:pPr>
      <w:r>
        <w:rPr>
          <w:rFonts w:ascii="Arial" w:hAnsi="Arial" w:cs="Arial"/>
          <w:b/>
          <w:i w:val="0"/>
          <w:color w:val="2E528F"/>
          <w:sz w:val="26"/>
        </w:rPr>
        <w:t>20.81 Egypt Ro-Ro Corridors</w:t>
      </w:r>
    </w:p>
    <w:p>
      <w:pPr>
        <w:spacing w:after="80" w:line="293" w:lineRule="auto"/>
        <w:jc w:val="left"/>
      </w:pPr>
      <w:r>
        <w:rPr>
          <w:rFonts w:ascii="Times New Roman" w:hAnsi="Times New Roman" w:cs="Times New Roman"/>
          <w:b w:val="0"/>
          <w:i w:val="0"/>
          <w:sz w:val="22"/>
        </w:rPr>
        <w:t>The architecture supports the existing Egypt–Europe–Gulf RoRo corridor model. The Ministry of Transport describes the Damietta–Trieste line and multimodal onward movement by rail/road, including Gulf destinations. Such a corridor is represented as:</w:t>
      </w:r>
    </w:p>
    <w:p>
      <w:pPr>
        <w:spacing w:after="0" w:before="0" w:line="240" w:lineRule="auto"/>
        <w:ind w:left="57"/>
        <w:jc w:val="left"/>
        <w:shd w:val="clear" w:fill="F2F2F2"/>
      </w:pPr>
      <w:r>
        <w:rPr>
          <w:rFonts w:ascii="Consolas" w:hAnsi="Consolas" w:cs="Consolas"/>
          <w:b w:val="0"/>
          <w:i w:val="0"/>
          <w:sz w:val="15"/>
        </w:rPr>
        <w:t>Egypt → Damietta → RORO → Trieste → Rail → Rotterdam → Road → Destination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 USTN. Multiple mode legs.</w:t>
      </w:r>
    </w:p>
    <w:p>
      <w:pPr>
        <w:keepNext/>
        <w:spacing w:before="240" w:after="100"/>
        <w:outlineLvl w:val="1"/>
      </w:pPr>
      <w:r>
        <w:rPr>
          <w:rFonts w:ascii="Arial" w:hAnsi="Arial" w:cs="Arial"/>
          <w:b/>
          <w:i w:val="0"/>
          <w:color w:val="2E528F"/>
          <w:sz w:val="26"/>
        </w:rPr>
        <w:t>20.82 RoRo + Global TCN</w:t>
      </w:r>
    </w:p>
    <w:p>
      <w:pPr>
        <w:spacing w:after="80" w:line="293" w:lineRule="auto"/>
        <w:jc w:val="left"/>
      </w:pPr>
      <w:r>
        <w:rPr>
          <w:rFonts w:ascii="Times New Roman" w:hAnsi="Times New Roman" w:cs="Times New Roman"/>
          <w:b w:val="0"/>
          <w:i w:val="0"/>
          <w:sz w:val="22"/>
        </w:rPr>
        <w:t>The Trade Corridor Network (TCN) becomes:</w:t>
      </w:r>
    </w:p>
    <w:p>
      <w:pPr>
        <w:spacing w:after="0" w:before="0" w:line="240" w:lineRule="auto"/>
        <w:ind w:left="57"/>
        <w:jc w:val="left"/>
        <w:shd w:val="clear" w:fill="F2F2F2"/>
      </w:pPr>
      <w:r>
        <w:rPr>
          <w:rFonts w:ascii="Consolas" w:hAnsi="Consolas" w:cs="Consolas"/>
          <w:b w:val="0"/>
          <w:i w:val="0"/>
          <w:sz w:val="15"/>
        </w:rPr>
        <w:t>TCN → CORRIDOR → PORT → RORO SERVICE → VESSEL → VOYAGE → RORO UNITS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platform does not create another corridor database; RoRo services extend the existing TCN structure (see Section 23).</w:t>
      </w:r>
    </w:p>
    <w:p>
      <w:pPr>
        <w:keepNext/>
        <w:spacing w:before="240" w:after="100"/>
        <w:outlineLvl w:val="1"/>
      </w:pPr>
      <w:r>
        <w:rPr>
          <w:rFonts w:ascii="Arial" w:hAnsi="Arial" w:cs="Arial"/>
          <w:b/>
          <w:i w:val="0"/>
          <w:color w:val="2E528F"/>
          <w:sz w:val="26"/>
        </w:rPr>
        <w:t>20.83 Multimodal Orchestrator</w:t>
      </w:r>
    </w:p>
    <w:p>
      <w:pPr>
        <w:spacing w:after="80" w:line="293" w:lineRule="auto"/>
        <w:jc w:val="left"/>
      </w:pPr>
      <w:r>
        <w:rPr>
          <w:rFonts w:ascii="Times New Roman" w:hAnsi="Times New Roman" w:cs="Times New Roman"/>
          <w:b w:val="0"/>
          <w:i w:val="0"/>
          <w:sz w:val="22"/>
        </w:rPr>
        <w:t>Final transport hierarchy: the eight-engine hierarchy defined in Section 20.55 — the Transport Orchestrator orchestrating all modes above ROAD, AIR, OCEAN CONTAINER, RORO/ROLLING CARGO, RAIL, FERRY, and MULTIMODAL.</w:t>
      </w:r>
    </w:p>
    <w:p>
      <w:pPr>
        <w:spacing w:after="80" w:line="293" w:lineRule="auto"/>
        <w:jc w:val="left"/>
      </w:pPr>
      <w:r>
        <w:rPr>
          <w:rFonts w:ascii="Times New Roman" w:hAnsi="Times New Roman" w:cs="Times New Roman"/>
          <w:b w:val="0"/>
          <w:i w:val="0"/>
          <w:sz w:val="22"/>
        </w:rPr>
        <w:t>Each specialist engine owns its mode-specific rules. The Multimodal Orchestrator joins them.</w:t>
      </w:r>
    </w:p>
    <w:p>
      <w:pPr>
        <w:keepNext/>
        <w:spacing w:before="240" w:after="100"/>
        <w:outlineLvl w:val="1"/>
      </w:pPr>
      <w:r>
        <w:rPr>
          <w:rFonts w:ascii="Arial" w:hAnsi="Arial" w:cs="Arial"/>
          <w:b/>
          <w:i w:val="0"/>
          <w:color w:val="2E528F"/>
          <w:sz w:val="26"/>
        </w:rPr>
        <w:t>20.84 RoRo + Road</w:t>
      </w:r>
    </w:p>
    <w:p>
      <w:pPr>
        <w:spacing w:after="80" w:line="293" w:lineRule="auto"/>
        <w:jc w:val="left"/>
      </w:pPr>
      <w:r>
        <w:rPr>
          <w:rFonts w:ascii="Times New Roman" w:hAnsi="Times New Roman" w:cs="Times New Roman"/>
          <w:b w:val="0"/>
          <w:i w:val="0"/>
          <w:sz w:val="22"/>
        </w:rPr>
        <w:t>Typical combination:</w:t>
      </w:r>
    </w:p>
    <w:p>
      <w:pPr>
        <w:spacing w:after="0" w:before="0" w:line="240" w:lineRule="auto"/>
        <w:ind w:left="57"/>
        <w:jc w:val="left"/>
        <w:shd w:val="clear" w:fill="F2F2F2"/>
      </w:pPr>
      <w:r>
        <w:rPr>
          <w:rFonts w:ascii="Consolas" w:hAnsi="Consolas" w:cs="Consolas"/>
          <w:b w:val="0"/>
          <w:i w:val="0"/>
          <w:sz w:val="15"/>
        </w:rPr>
        <w:t>TRUCK → RORO TERMINAL → RORO VESSEL → DESTINATION RORO TERMINAL → TRUCK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 USTN.</w:t>
      </w:r>
    </w:p>
    <w:p>
      <w:pPr>
        <w:keepNext/>
        <w:spacing w:before="240" w:after="100"/>
        <w:outlineLvl w:val="1"/>
      </w:pPr>
      <w:r>
        <w:rPr>
          <w:rFonts w:ascii="Arial" w:hAnsi="Arial" w:cs="Arial"/>
          <w:b/>
          <w:i w:val="0"/>
          <w:color w:val="2E528F"/>
          <w:sz w:val="26"/>
        </w:rPr>
        <w:t>20.85 RoRo + Rail</w:t>
      </w:r>
    </w:p>
    <w:p>
      <w:pPr>
        <w:spacing w:after="80" w:line="293" w:lineRule="auto"/>
        <w:jc w:val="left"/>
      </w:pPr>
      <w:r>
        <w:rPr>
          <w:rFonts w:ascii="Times New Roman" w:hAnsi="Times New Roman" w:cs="Times New Roman"/>
          <w:b/>
          <w:i w:val="0"/>
          <w:sz w:val="22"/>
        </w:rPr>
        <w:t>Example:</w:t>
      </w:r>
    </w:p>
    <w:p>
      <w:pPr>
        <w:spacing w:after="0" w:before="0" w:line="240" w:lineRule="auto"/>
        <w:ind w:left="57"/>
        <w:jc w:val="left"/>
        <w:shd w:val="clear" w:fill="F2F2F2"/>
      </w:pPr>
      <w:r>
        <w:rPr>
          <w:rFonts w:ascii="Consolas" w:hAnsi="Consolas" w:cs="Consolas"/>
          <w:b w:val="0"/>
          <w:i w:val="0"/>
          <w:sz w:val="15"/>
        </w:rPr>
        <w:t>RORO → Trieste → RAIL → Rotterdam → ROAD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is explicitly aligned with the Egyptian RoRo corridor example (Article 20.81).</w:t>
      </w:r>
    </w:p>
    <w:p>
      <w:pPr>
        <w:keepNext/>
        <w:spacing w:before="240" w:after="100"/>
        <w:outlineLvl w:val="1"/>
      </w:pPr>
      <w:r>
        <w:rPr>
          <w:rFonts w:ascii="Arial" w:hAnsi="Arial" w:cs="Arial"/>
          <w:b/>
          <w:i w:val="0"/>
          <w:color w:val="2E528F"/>
          <w:sz w:val="26"/>
        </w:rPr>
        <w:t>20.86 RoRo + GCC Transit</w:t>
      </w:r>
    </w:p>
    <w:p>
      <w:pPr>
        <w:spacing w:after="80" w:line="293" w:lineRule="auto"/>
        <w:jc w:val="left"/>
      </w:pPr>
      <w:r>
        <w:rPr>
          <w:rFonts w:ascii="Times New Roman" w:hAnsi="Times New Roman" w:cs="Times New Roman"/>
          <w:b w:val="0"/>
          <w:i w:val="0"/>
          <w:sz w:val="22"/>
        </w:rPr>
        <w:t>The engine supports:</w:t>
      </w:r>
    </w:p>
    <w:p>
      <w:pPr>
        <w:spacing w:after="0" w:before="0" w:line="240" w:lineRule="auto"/>
        <w:ind w:left="57"/>
        <w:jc w:val="left"/>
        <w:shd w:val="clear" w:fill="F2F2F2"/>
      </w:pPr>
      <w:r>
        <w:rPr>
          <w:rFonts w:ascii="Consolas" w:hAnsi="Consolas" w:cs="Consolas"/>
          <w:b w:val="0"/>
          <w:i w:val="0"/>
          <w:sz w:val="15"/>
        </w:rPr>
        <w:t>Europe → Trieste → Egypt → Damietta → Indirect Transit → Gulf</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Egyptian Maritime Transport Sector reported in June 2026 that the Damietta–Trieste RoRo line was handling indirect-transit shipments toward Saudi Arabia, UAE, Qatar, Oman and Kuwait. SGTX represents those as actual multi-jurisdiction transit legs, not just "delivery."</w:t>
      </w:r>
    </w:p>
    <w:p>
      <w:pPr>
        <w:keepNext/>
        <w:spacing w:before="240" w:after="100"/>
        <w:outlineLvl w:val="1"/>
      </w:pPr>
      <w:r>
        <w:rPr>
          <w:rFonts w:ascii="Arial" w:hAnsi="Arial" w:cs="Arial"/>
          <w:b/>
          <w:i w:val="0"/>
          <w:color w:val="2E528F"/>
          <w:sz w:val="26"/>
        </w:rPr>
        <w:t>20.87 Global Transport Provider Adapter</w:t>
      </w:r>
    </w:p>
    <w:p>
      <w:pPr>
        <w:spacing w:after="80" w:line="293" w:lineRule="auto"/>
        <w:jc w:val="left"/>
      </w:pPr>
      <w:r>
        <w:rPr>
          <w:rFonts w:ascii="Times New Roman" w:hAnsi="Times New Roman" w:cs="Times New Roman"/>
          <w:b w:val="0"/>
          <w:i w:val="0"/>
          <w:sz w:val="22"/>
        </w:rPr>
        <w:t>Every approved provider receives:</w:t>
      </w:r>
    </w:p>
    <w:p>
      <w:pPr>
        <w:spacing w:after="80" w:line="293" w:lineRule="auto"/>
        <w:ind w:left="283"/>
        <w:jc w:val="left"/>
      </w:pPr>
      <w:r>
        <w:rPr>
          <w:rFonts w:ascii="Times New Roman" w:hAnsi="Times New Roman" w:cs="Times New Roman"/>
          <w:b w:val="0"/>
          <w:i w:val="0"/>
          <w:sz w:val="22"/>
        </w:rPr>
        <w:t>- GTID</w:t>
      </w:r>
    </w:p>
    <w:p>
      <w:pPr>
        <w:spacing w:after="80" w:line="293" w:lineRule="auto"/>
        <w:ind w:left="283"/>
        <w:jc w:val="left"/>
      </w:pPr>
      <w:r>
        <w:rPr>
          <w:rFonts w:ascii="Times New Roman" w:hAnsi="Times New Roman" w:cs="Times New Roman"/>
          <w:b w:val="0"/>
          <w:i w:val="0"/>
          <w:sz w:val="22"/>
        </w:rPr>
        <w:t>- service scope</w:t>
      </w:r>
    </w:p>
    <w:p>
      <w:pPr>
        <w:spacing w:after="80" w:line="293" w:lineRule="auto"/>
        <w:ind w:left="283"/>
        <w:jc w:val="left"/>
      </w:pPr>
      <w:r>
        <w:rPr>
          <w:rFonts w:ascii="Times New Roman" w:hAnsi="Times New Roman" w:cs="Times New Roman"/>
          <w:b w:val="0"/>
          <w:i w:val="0"/>
          <w:sz w:val="22"/>
        </w:rPr>
        <w:t>- jurisdictions</w:t>
      </w:r>
    </w:p>
    <w:p>
      <w:pPr>
        <w:spacing w:after="80" w:line="293" w:lineRule="auto"/>
        <w:ind w:left="283"/>
        <w:jc w:val="left"/>
      </w:pPr>
      <w:r>
        <w:rPr>
          <w:rFonts w:ascii="Times New Roman" w:hAnsi="Times New Roman" w:cs="Times New Roman"/>
          <w:b w:val="0"/>
          <w:i w:val="0"/>
          <w:sz w:val="22"/>
        </w:rPr>
        <w:t>- licenses</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routes</w:t>
      </w:r>
    </w:p>
    <w:p>
      <w:pPr>
        <w:spacing w:after="80" w:line="293" w:lineRule="auto"/>
        <w:ind w:left="283"/>
        <w:jc w:val="left"/>
      </w:pPr>
      <w:r>
        <w:rPr>
          <w:rFonts w:ascii="Times New Roman" w:hAnsi="Times New Roman" w:cs="Times New Roman"/>
          <w:b w:val="0"/>
          <w:i w:val="0"/>
          <w:sz w:val="22"/>
        </w:rPr>
        <w:t>- commodities</w:t>
      </w:r>
    </w:p>
    <w:p>
      <w:pPr>
        <w:spacing w:after="80" w:line="293" w:lineRule="auto"/>
        <w:ind w:left="283"/>
        <w:jc w:val="left"/>
      </w:pPr>
      <w:r>
        <w:rPr>
          <w:rFonts w:ascii="Times New Roman" w:hAnsi="Times New Roman" w:cs="Times New Roman"/>
          <w:b w:val="0"/>
          <w:i w:val="0"/>
          <w:sz w:val="22"/>
        </w:rPr>
        <w:t>- equipment</w:t>
      </w:r>
    </w:p>
    <w:p>
      <w:pPr>
        <w:spacing w:after="80" w:line="293" w:lineRule="auto"/>
        <w:ind w:left="283"/>
        <w:jc w:val="left"/>
      </w:pPr>
      <w:r>
        <w:rPr>
          <w:rFonts w:ascii="Times New Roman" w:hAnsi="Times New Roman" w:cs="Times New Roman"/>
          <w:b w:val="0"/>
          <w:i w:val="0"/>
          <w:sz w:val="22"/>
        </w:rPr>
        <w:t>- API/EDI/portal</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SLA (Service Level Agreement)</w:t>
      </w:r>
    </w:p>
    <w:p>
      <w:pPr>
        <w:spacing w:after="80" w:line="293" w:lineRule="auto"/>
        <w:ind w:left="283"/>
        <w:jc w:val="left"/>
      </w:pPr>
      <w:r>
        <w:rPr>
          <w:rFonts w:ascii="Times New Roman" w:hAnsi="Times New Roman" w:cs="Times New Roman"/>
          <w:b w:val="0"/>
          <w:i w:val="0"/>
          <w:sz w:val="22"/>
        </w:rPr>
        <w:t>- fees</w:t>
      </w:r>
    </w:p>
    <w:p>
      <w:pPr>
        <w:spacing w:after="80" w:line="293" w:lineRule="auto"/>
        <w:jc w:val="left"/>
      </w:pPr>
      <w:r>
        <w:rPr>
          <w:rFonts w:ascii="Times New Roman" w:hAnsi="Times New Roman" w:cs="Times New Roman"/>
          <w:b w:val="0"/>
          <w:i w:val="0"/>
          <w:sz w:val="22"/>
        </w:rPr>
        <w:t>Provider visibility remains controlled by relationship/approval (see Section 11).</w:t>
      </w:r>
    </w:p>
    <w:p>
      <w:pPr>
        <w:keepNext/>
        <w:spacing w:before="240" w:after="100"/>
        <w:outlineLvl w:val="1"/>
      </w:pPr>
      <w:r>
        <w:rPr>
          <w:rFonts w:ascii="Arial" w:hAnsi="Arial" w:cs="Arial"/>
          <w:b/>
          <w:i w:val="0"/>
          <w:color w:val="2E528F"/>
          <w:sz w:val="26"/>
        </w:rPr>
        <w:t>20.88 Customs Broker Engine</w:t>
      </w:r>
    </w:p>
    <w:p>
      <w:pPr>
        <w:spacing w:after="80" w:line="293" w:lineRule="auto"/>
        <w:jc w:val="left"/>
      </w:pPr>
      <w:r>
        <w:rPr>
          <w:rFonts w:ascii="Times New Roman" w:hAnsi="Times New Roman" w:cs="Times New Roman"/>
          <w:b w:val="0"/>
          <w:i w:val="0"/>
          <w:sz w:val="22"/>
        </w:rPr>
        <w:t>The global broker workspace supports:</w:t>
      </w:r>
    </w:p>
    <w:p>
      <w:pPr>
        <w:spacing w:after="80" w:line="293" w:lineRule="auto"/>
        <w:ind w:left="283"/>
        <w:jc w:val="left"/>
      </w:pPr>
      <w:r>
        <w:rPr>
          <w:rFonts w:ascii="Times New Roman" w:hAnsi="Times New Roman" w:cs="Times New Roman"/>
          <w:b w:val="0"/>
          <w:i w:val="0"/>
          <w:sz w:val="22"/>
        </w:rPr>
        <w:t>- declarations</w:t>
      </w:r>
    </w:p>
    <w:p>
      <w:pPr>
        <w:spacing w:after="80" w:line="293" w:lineRule="auto"/>
        <w:ind w:left="283"/>
        <w:jc w:val="left"/>
      </w:pPr>
      <w:r>
        <w:rPr>
          <w:rFonts w:ascii="Times New Roman" w:hAnsi="Times New Roman" w:cs="Times New Roman"/>
          <w:b w:val="0"/>
          <w:i w:val="0"/>
          <w:sz w:val="22"/>
        </w:rPr>
        <w:t>- documents</w:t>
      </w:r>
    </w:p>
    <w:p>
      <w:pPr>
        <w:spacing w:after="80" w:line="293" w:lineRule="auto"/>
        <w:ind w:left="283"/>
        <w:jc w:val="left"/>
      </w:pPr>
      <w:r>
        <w:rPr>
          <w:rFonts w:ascii="Times New Roman" w:hAnsi="Times New Roman" w:cs="Times New Roman"/>
          <w:b w:val="0"/>
          <w:i w:val="0"/>
          <w:sz w:val="22"/>
        </w:rPr>
        <w:t>- customs questions</w:t>
      </w:r>
    </w:p>
    <w:p>
      <w:pPr>
        <w:spacing w:after="80" w:line="293" w:lineRule="auto"/>
        <w:ind w:left="283"/>
        <w:jc w:val="left"/>
      </w:pPr>
      <w:r>
        <w:rPr>
          <w:rFonts w:ascii="Times New Roman" w:hAnsi="Times New Roman" w:cs="Times New Roman"/>
          <w:b w:val="0"/>
          <w:i w:val="0"/>
          <w:sz w:val="22"/>
        </w:rPr>
        <w:t>- inspections</w:t>
      </w:r>
    </w:p>
    <w:p>
      <w:pPr>
        <w:spacing w:after="80" w:line="293" w:lineRule="auto"/>
        <w:ind w:left="283"/>
        <w:jc w:val="left"/>
      </w:pPr>
      <w:r>
        <w:rPr>
          <w:rFonts w:ascii="Times New Roman" w:hAnsi="Times New Roman" w:cs="Times New Roman"/>
          <w:b w:val="0"/>
          <w:i w:val="0"/>
          <w:sz w:val="22"/>
        </w:rPr>
        <w:t>- declaration revisions</w:t>
      </w:r>
    </w:p>
    <w:p>
      <w:pPr>
        <w:spacing w:after="80" w:line="293" w:lineRule="auto"/>
        <w:ind w:left="283"/>
        <w:jc w:val="left"/>
      </w:pPr>
      <w:r>
        <w:rPr>
          <w:rFonts w:ascii="Times New Roman" w:hAnsi="Times New Roman" w:cs="Times New Roman"/>
          <w:b w:val="0"/>
          <w:i w:val="0"/>
          <w:sz w:val="22"/>
        </w:rPr>
        <w:t>- fees</w:t>
      </w:r>
    </w:p>
    <w:p>
      <w:pPr>
        <w:spacing w:after="80" w:line="293" w:lineRule="auto"/>
        <w:ind w:left="283"/>
        <w:jc w:val="left"/>
      </w:pPr>
      <w:r>
        <w:rPr>
          <w:rFonts w:ascii="Times New Roman" w:hAnsi="Times New Roman" w:cs="Times New Roman"/>
          <w:b w:val="0"/>
          <w:i w:val="0"/>
          <w:sz w:val="22"/>
        </w:rPr>
        <w:t>- guarantees</w:t>
      </w:r>
    </w:p>
    <w:p>
      <w:pPr>
        <w:spacing w:after="80" w:line="293" w:lineRule="auto"/>
        <w:ind w:left="283"/>
        <w:jc w:val="left"/>
      </w:pPr>
      <w:r>
        <w:rPr>
          <w:rFonts w:ascii="Times New Roman" w:hAnsi="Times New Roman" w:cs="Times New Roman"/>
          <w:b w:val="0"/>
          <w:i w:val="0"/>
          <w:sz w:val="22"/>
        </w:rPr>
        <w:t>- releases</w:t>
      </w:r>
    </w:p>
    <w:p>
      <w:pPr>
        <w:spacing w:after="80" w:line="293" w:lineRule="auto"/>
        <w:ind w:left="283"/>
        <w:jc w:val="left"/>
      </w:pPr>
      <w:r>
        <w:rPr>
          <w:rFonts w:ascii="Times New Roman" w:hAnsi="Times New Roman" w:cs="Times New Roman"/>
          <w:b w:val="0"/>
          <w:i w:val="0"/>
          <w:sz w:val="22"/>
        </w:rPr>
        <w:t>- transit</w:t>
      </w:r>
    </w:p>
    <w:p>
      <w:pPr>
        <w:spacing w:after="80" w:line="293" w:lineRule="auto"/>
        <w:ind w:left="283"/>
        <w:jc w:val="left"/>
      </w:pPr>
      <w:r>
        <w:rPr>
          <w:rFonts w:ascii="Times New Roman" w:hAnsi="Times New Roman" w:cs="Times New Roman"/>
          <w:b w:val="0"/>
          <w:i w:val="0"/>
          <w:sz w:val="22"/>
        </w:rPr>
        <w:t>- post-clearance</w:t>
      </w:r>
    </w:p>
    <w:p>
      <w:pPr>
        <w:spacing w:after="80" w:line="293" w:lineRule="auto"/>
        <w:jc w:val="left"/>
      </w:pPr>
      <w:r>
        <w:rPr>
          <w:rFonts w:ascii="Times New Roman" w:hAnsi="Times New Roman" w:cs="Times New Roman"/>
          <w:b w:val="0"/>
          <w:i w:val="0"/>
          <w:sz w:val="22"/>
        </w:rPr>
        <w:t>Broker licenses must be validated against jurisdiction/scope.</w:t>
      </w:r>
    </w:p>
    <w:p>
      <w:pPr>
        <w:keepNext/>
        <w:spacing w:before="240" w:after="100"/>
        <w:outlineLvl w:val="1"/>
      </w:pPr>
      <w:r>
        <w:rPr>
          <w:rFonts w:ascii="Arial" w:hAnsi="Arial" w:cs="Arial"/>
          <w:b/>
          <w:i w:val="0"/>
          <w:color w:val="2E528F"/>
          <w:sz w:val="26"/>
        </w:rPr>
        <w:t>20.89 Global Tax Engine</w:t>
      </w:r>
    </w:p>
    <w:p>
      <w:pPr>
        <w:spacing w:after="80" w:line="293" w:lineRule="auto"/>
        <w:jc w:val="left"/>
      </w:pPr>
      <w:r>
        <w:rPr>
          <w:rFonts w:ascii="Times New Roman" w:hAnsi="Times New Roman" w:cs="Times New Roman"/>
          <w:b w:val="0"/>
          <w:i w:val="0"/>
          <w:sz w:val="22"/>
        </w:rPr>
        <w:t>The Global Tax Engine supports:</w:t>
      </w:r>
    </w:p>
    <w:p>
      <w:pPr>
        <w:spacing w:after="80" w:line="293" w:lineRule="auto"/>
        <w:ind w:left="283"/>
        <w:jc w:val="left"/>
      </w:pPr>
      <w:r>
        <w:rPr>
          <w:rFonts w:ascii="Times New Roman" w:hAnsi="Times New Roman" w:cs="Times New Roman"/>
          <w:b w:val="0"/>
          <w:i w:val="0"/>
          <w:sz w:val="22"/>
        </w:rPr>
        <w:t>- VAT (value-added tax)</w:t>
      </w:r>
    </w:p>
    <w:p>
      <w:pPr>
        <w:spacing w:after="80" w:line="293" w:lineRule="auto"/>
        <w:ind w:left="283"/>
        <w:jc w:val="left"/>
      </w:pPr>
      <w:r>
        <w:rPr>
          <w:rFonts w:ascii="Times New Roman" w:hAnsi="Times New Roman" w:cs="Times New Roman"/>
          <w:b w:val="0"/>
          <w:i w:val="0"/>
          <w:sz w:val="22"/>
        </w:rPr>
        <w:t>- GST (goods and services tax)</w:t>
      </w:r>
    </w:p>
    <w:p>
      <w:pPr>
        <w:spacing w:after="80" w:line="293" w:lineRule="auto"/>
        <w:ind w:left="283"/>
        <w:jc w:val="left"/>
      </w:pPr>
      <w:r>
        <w:rPr>
          <w:rFonts w:ascii="Times New Roman" w:hAnsi="Times New Roman" w:cs="Times New Roman"/>
          <w:b w:val="0"/>
          <w:i w:val="0"/>
          <w:sz w:val="22"/>
        </w:rPr>
        <w:t>- sales tax</w:t>
      </w:r>
    </w:p>
    <w:p>
      <w:pPr>
        <w:spacing w:after="80" w:line="293" w:lineRule="auto"/>
        <w:ind w:left="283"/>
        <w:jc w:val="left"/>
      </w:pPr>
      <w:r>
        <w:rPr>
          <w:rFonts w:ascii="Times New Roman" w:hAnsi="Times New Roman" w:cs="Times New Roman"/>
          <w:b w:val="0"/>
          <w:i w:val="0"/>
          <w:sz w:val="22"/>
        </w:rPr>
        <w:t>- excise</w:t>
      </w:r>
    </w:p>
    <w:p>
      <w:pPr>
        <w:spacing w:after="80" w:line="293" w:lineRule="auto"/>
        <w:ind w:left="283"/>
        <w:jc w:val="left"/>
      </w:pPr>
      <w:r>
        <w:rPr>
          <w:rFonts w:ascii="Times New Roman" w:hAnsi="Times New Roman" w:cs="Times New Roman"/>
          <w:b w:val="0"/>
          <w:i w:val="0"/>
          <w:sz w:val="22"/>
        </w:rPr>
        <w:t>- import tax</w:t>
      </w:r>
    </w:p>
    <w:p>
      <w:pPr>
        <w:spacing w:after="80" w:line="293" w:lineRule="auto"/>
        <w:ind w:left="283"/>
        <w:jc w:val="left"/>
      </w:pPr>
      <w:r>
        <w:rPr>
          <w:rFonts w:ascii="Times New Roman" w:hAnsi="Times New Roman" w:cs="Times New Roman"/>
          <w:b w:val="0"/>
          <w:i w:val="0"/>
          <w:sz w:val="22"/>
        </w:rPr>
        <w:t>- withholding</w:t>
      </w:r>
    </w:p>
    <w:p>
      <w:pPr>
        <w:spacing w:after="80" w:line="293" w:lineRule="auto"/>
        <w:ind w:left="283"/>
        <w:jc w:val="left"/>
      </w:pPr>
      <w:r>
        <w:rPr>
          <w:rFonts w:ascii="Times New Roman" w:hAnsi="Times New Roman" w:cs="Times New Roman"/>
          <w:b w:val="0"/>
          <w:i w:val="0"/>
          <w:sz w:val="22"/>
        </w:rPr>
        <w:t>- environmental levy</w:t>
      </w:r>
    </w:p>
    <w:p>
      <w:pPr>
        <w:spacing w:after="80" w:line="293" w:lineRule="auto"/>
        <w:ind w:left="283"/>
        <w:jc w:val="left"/>
      </w:pPr>
      <w:r>
        <w:rPr>
          <w:rFonts w:ascii="Times New Roman" w:hAnsi="Times New Roman" w:cs="Times New Roman"/>
          <w:b w:val="0"/>
          <w:i w:val="0"/>
          <w:sz w:val="22"/>
        </w:rPr>
        <w:t>- special tax</w:t>
      </w:r>
    </w:p>
    <w:p>
      <w:pPr>
        <w:spacing w:after="80" w:line="293" w:lineRule="auto"/>
        <w:ind w:left="283"/>
        <w:jc w:val="left"/>
      </w:pPr>
      <w:r>
        <w:rPr>
          <w:rFonts w:ascii="Times New Roman" w:hAnsi="Times New Roman" w:cs="Times New Roman"/>
          <w:b w:val="0"/>
          <w:i w:val="0"/>
          <w:sz w:val="22"/>
        </w:rPr>
        <w:t>- e-invoice</w:t>
      </w:r>
    </w:p>
    <w:p>
      <w:pPr>
        <w:spacing w:after="80" w:line="293" w:lineRule="auto"/>
        <w:ind w:left="283"/>
        <w:jc w:val="left"/>
      </w:pPr>
      <w:r>
        <w:rPr>
          <w:rFonts w:ascii="Times New Roman" w:hAnsi="Times New Roman" w:cs="Times New Roman"/>
          <w:b w:val="0"/>
          <w:i w:val="0"/>
          <w:sz w:val="22"/>
        </w:rPr>
        <w:t>- e-receipt</w:t>
      </w:r>
    </w:p>
    <w:p>
      <w:pPr>
        <w:spacing w:after="80" w:line="293" w:lineRule="auto"/>
        <w:ind w:left="283"/>
        <w:jc w:val="left"/>
      </w:pPr>
      <w:r>
        <w:rPr>
          <w:rFonts w:ascii="Times New Roman" w:hAnsi="Times New Roman" w:cs="Times New Roman"/>
          <w:b w:val="0"/>
          <w:i w:val="0"/>
          <w:sz w:val="22"/>
        </w:rPr>
        <w:t>- tax payment</w:t>
      </w:r>
    </w:p>
    <w:p>
      <w:pPr>
        <w:spacing w:after="80" w:line="293" w:lineRule="auto"/>
        <w:ind w:left="283"/>
        <w:jc w:val="left"/>
      </w:pPr>
      <w:r>
        <w:rPr>
          <w:rFonts w:ascii="Times New Roman" w:hAnsi="Times New Roman" w:cs="Times New Roman"/>
          <w:b w:val="0"/>
          <w:i w:val="0"/>
          <w:sz w:val="22"/>
        </w:rPr>
        <w:t>- refund</w:t>
      </w:r>
    </w:p>
    <w:p>
      <w:pPr>
        <w:spacing w:after="80" w:line="293" w:lineRule="auto"/>
        <w:jc w:val="left"/>
      </w:pPr>
      <w:r>
        <w:rPr>
          <w:rFonts w:ascii="Times New Roman" w:hAnsi="Times New Roman" w:cs="Times New Roman"/>
          <w:b w:val="0"/>
          <w:i w:val="0"/>
          <w:sz w:val="22"/>
        </w:rPr>
        <w:t>The engine never infers: CUSTOMS RELEASED = TAX COMPLETE.</w:t>
      </w:r>
    </w:p>
    <w:p>
      <w:pPr>
        <w:keepNext/>
        <w:spacing w:before="240" w:after="100"/>
        <w:outlineLvl w:val="1"/>
      </w:pPr>
      <w:r>
        <w:rPr>
          <w:rFonts w:ascii="Arial" w:hAnsi="Arial" w:cs="Arial"/>
          <w:b/>
          <w:i w:val="0"/>
          <w:color w:val="2E528F"/>
          <w:sz w:val="26"/>
        </w:rPr>
        <w:t>20.90 Global Financial Execution</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bank transfer</w:t>
      </w:r>
    </w:p>
    <w:p>
      <w:pPr>
        <w:spacing w:after="80" w:line="293" w:lineRule="auto"/>
        <w:ind w:left="283"/>
        <w:jc w:val="left"/>
      </w:pPr>
      <w:r>
        <w:rPr>
          <w:rFonts w:ascii="Times New Roman" w:hAnsi="Times New Roman" w:cs="Times New Roman"/>
          <w:b w:val="0"/>
          <w:i w:val="0"/>
          <w:sz w:val="22"/>
        </w:rPr>
        <w:t>- open banking</w:t>
      </w:r>
    </w:p>
    <w:p>
      <w:pPr>
        <w:spacing w:after="80" w:line="293" w:lineRule="auto"/>
        <w:ind w:left="283"/>
        <w:jc w:val="left"/>
      </w:pPr>
      <w:r>
        <w:rPr>
          <w:rFonts w:ascii="Times New Roman" w:hAnsi="Times New Roman" w:cs="Times New Roman"/>
          <w:b w:val="0"/>
          <w:i w:val="0"/>
          <w:sz w:val="22"/>
        </w:rPr>
        <w:t>- local rails</w:t>
      </w:r>
    </w:p>
    <w:p>
      <w:pPr>
        <w:spacing w:after="80" w:line="293" w:lineRule="auto"/>
        <w:ind w:left="283"/>
        <w:jc w:val="left"/>
      </w:pPr>
      <w:r>
        <w:rPr>
          <w:rFonts w:ascii="Times New Roman" w:hAnsi="Times New Roman" w:cs="Times New Roman"/>
          <w:b w:val="0"/>
          <w:i w:val="0"/>
          <w:sz w:val="22"/>
        </w:rPr>
        <w:t>- SWIFT</w:t>
      </w:r>
    </w:p>
    <w:p>
      <w:pPr>
        <w:spacing w:after="80" w:line="293" w:lineRule="auto"/>
        <w:ind w:left="283"/>
        <w:jc w:val="left"/>
      </w:pPr>
      <w:r>
        <w:rPr>
          <w:rFonts w:ascii="Times New Roman" w:hAnsi="Times New Roman" w:cs="Times New Roman"/>
          <w:b w:val="0"/>
          <w:i w:val="0"/>
          <w:sz w:val="22"/>
        </w:rPr>
        <w:t>- ISO 20022</w:t>
      </w:r>
    </w:p>
    <w:p>
      <w:pPr>
        <w:spacing w:after="80" w:line="293" w:lineRule="auto"/>
        <w:ind w:left="283"/>
        <w:jc w:val="left"/>
      </w:pPr>
      <w:r>
        <w:rPr>
          <w:rFonts w:ascii="Times New Roman" w:hAnsi="Times New Roman" w:cs="Times New Roman"/>
          <w:b w:val="0"/>
          <w:i w:val="0"/>
          <w:sz w:val="22"/>
        </w:rPr>
        <w:t>- documentary collection</w:t>
      </w:r>
    </w:p>
    <w:p>
      <w:pPr>
        <w:spacing w:after="80" w:line="293" w:lineRule="auto"/>
        <w:ind w:left="283"/>
        <w:jc w:val="left"/>
      </w:pPr>
      <w:r>
        <w:rPr>
          <w:rFonts w:ascii="Times New Roman" w:hAnsi="Times New Roman" w:cs="Times New Roman"/>
          <w:b w:val="0"/>
          <w:i w:val="0"/>
          <w:sz w:val="22"/>
        </w:rPr>
        <w:t>- LC (letter of credit)</w:t>
      </w:r>
    </w:p>
    <w:p>
      <w:pPr>
        <w:spacing w:after="80" w:line="293" w:lineRule="auto"/>
        <w:ind w:left="283"/>
        <w:jc w:val="left"/>
      </w:pPr>
      <w:r>
        <w:rPr>
          <w:rFonts w:ascii="Times New Roman" w:hAnsi="Times New Roman" w:cs="Times New Roman"/>
          <w:b w:val="0"/>
          <w:i w:val="0"/>
          <w:sz w:val="22"/>
        </w:rPr>
        <w:t>- guarantees</w:t>
      </w:r>
    </w:p>
    <w:p>
      <w:pPr>
        <w:spacing w:after="80" w:line="293" w:lineRule="auto"/>
        <w:ind w:left="283"/>
        <w:jc w:val="left"/>
      </w:pPr>
      <w:r>
        <w:rPr>
          <w:rFonts w:ascii="Times New Roman" w:hAnsi="Times New Roman" w:cs="Times New Roman"/>
          <w:b w:val="0"/>
          <w:i w:val="0"/>
          <w:sz w:val="22"/>
        </w:rPr>
        <w:t>- deferred government fees</w:t>
      </w:r>
    </w:p>
    <w:p>
      <w:pPr>
        <w:spacing w:after="80" w:line="293" w:lineRule="auto"/>
        <w:ind w:left="283"/>
        <w:jc w:val="left"/>
      </w:pPr>
      <w:r>
        <w:rPr>
          <w:rFonts w:ascii="Times New Roman" w:hAnsi="Times New Roman" w:cs="Times New Roman"/>
          <w:b w:val="0"/>
          <w:i w:val="0"/>
          <w:sz w:val="22"/>
        </w:rPr>
        <w:t>- refunds</w:t>
      </w:r>
    </w:p>
    <w:p>
      <w:pPr>
        <w:spacing w:after="80" w:line="293" w:lineRule="auto"/>
        <w:jc w:val="left"/>
      </w:pPr>
      <w:r>
        <w:rPr>
          <w:rFonts w:ascii="Times New Roman" w:hAnsi="Times New Roman" w:cs="Times New Roman"/>
          <w:b w:val="0"/>
          <w:i w:val="0"/>
          <w:sz w:val="22"/>
        </w:rPr>
        <w:t>SGTX orchestrates instructions/status but does not become the bank (see Section 19.39).</w:t>
      </w:r>
    </w:p>
    <w:p>
      <w:pPr>
        <w:keepNext/>
        <w:spacing w:before="240" w:after="100"/>
        <w:outlineLvl w:val="1"/>
      </w:pPr>
      <w:r>
        <w:rPr>
          <w:rFonts w:ascii="Arial" w:hAnsi="Arial" w:cs="Arial"/>
          <w:b/>
          <w:i w:val="0"/>
          <w:color w:val="2E528F"/>
          <w:sz w:val="26"/>
        </w:rPr>
        <w:t>20.91 Trade Finance</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connected bank financing</w:t>
      </w:r>
    </w:p>
    <w:p>
      <w:pPr>
        <w:spacing w:after="80" w:line="293" w:lineRule="auto"/>
        <w:ind w:left="283"/>
        <w:jc w:val="left"/>
      </w:pPr>
      <w:r>
        <w:rPr>
          <w:rFonts w:ascii="Times New Roman" w:hAnsi="Times New Roman" w:cs="Times New Roman"/>
          <w:b w:val="0"/>
          <w:i w:val="0"/>
          <w:sz w:val="22"/>
        </w:rPr>
        <w:t>- trader-selected financier</w:t>
      </w:r>
    </w:p>
    <w:p>
      <w:pPr>
        <w:spacing w:after="80" w:line="293" w:lineRule="auto"/>
        <w:ind w:left="283"/>
        <w:jc w:val="left"/>
      </w:pPr>
      <w:r>
        <w:rPr>
          <w:rFonts w:ascii="Times New Roman" w:hAnsi="Times New Roman" w:cs="Times New Roman"/>
          <w:b w:val="0"/>
          <w:i w:val="0"/>
          <w:sz w:val="22"/>
        </w:rPr>
        <w:t>- LC</w:t>
      </w:r>
    </w:p>
    <w:p>
      <w:pPr>
        <w:spacing w:after="80" w:line="293" w:lineRule="auto"/>
        <w:ind w:left="283"/>
        <w:jc w:val="left"/>
      </w:pPr>
      <w:r>
        <w:rPr>
          <w:rFonts w:ascii="Times New Roman" w:hAnsi="Times New Roman" w:cs="Times New Roman"/>
          <w:b w:val="0"/>
          <w:i w:val="0"/>
          <w:sz w:val="22"/>
        </w:rPr>
        <w:t>- documentary collection</w:t>
      </w:r>
    </w:p>
    <w:p>
      <w:pPr>
        <w:spacing w:after="80" w:line="293" w:lineRule="auto"/>
        <w:ind w:left="283"/>
        <w:jc w:val="left"/>
      </w:pPr>
      <w:r>
        <w:rPr>
          <w:rFonts w:ascii="Times New Roman" w:hAnsi="Times New Roman" w:cs="Times New Roman"/>
          <w:b w:val="0"/>
          <w:i w:val="0"/>
          <w:sz w:val="22"/>
        </w:rPr>
        <w:t>- guarantee</w:t>
      </w:r>
    </w:p>
    <w:p>
      <w:pPr>
        <w:spacing w:after="80" w:line="293" w:lineRule="auto"/>
        <w:ind w:left="283"/>
        <w:jc w:val="left"/>
      </w:pPr>
      <w:r>
        <w:rPr>
          <w:rFonts w:ascii="Times New Roman" w:hAnsi="Times New Roman" w:cs="Times New Roman"/>
          <w:b w:val="0"/>
          <w:i w:val="0"/>
          <w:sz w:val="22"/>
        </w:rPr>
        <w:t>- standby</w:t>
      </w:r>
    </w:p>
    <w:p>
      <w:pPr>
        <w:spacing w:after="80" w:line="293" w:lineRule="auto"/>
        <w:ind w:left="283"/>
        <w:jc w:val="left"/>
      </w:pPr>
      <w:r>
        <w:rPr>
          <w:rFonts w:ascii="Times New Roman" w:hAnsi="Times New Roman" w:cs="Times New Roman"/>
          <w:b w:val="0"/>
          <w:i w:val="0"/>
          <w:sz w:val="22"/>
        </w:rPr>
        <w:t>- collateral</w:t>
      </w:r>
    </w:p>
    <w:p>
      <w:pPr>
        <w:spacing w:after="80" w:line="293" w:lineRule="auto"/>
        <w:ind w:left="283"/>
        <w:jc w:val="left"/>
      </w:pPr>
      <w:r>
        <w:rPr>
          <w:rFonts w:ascii="Times New Roman" w:hAnsi="Times New Roman" w:cs="Times New Roman"/>
          <w:b w:val="0"/>
          <w:i w:val="0"/>
          <w:sz w:val="22"/>
        </w:rPr>
        <w:t>- disbursement</w:t>
      </w:r>
    </w:p>
    <w:p>
      <w:pPr>
        <w:spacing w:after="80" w:line="293" w:lineRule="auto"/>
        <w:ind w:left="283"/>
        <w:jc w:val="left"/>
      </w:pPr>
      <w:r>
        <w:rPr>
          <w:rFonts w:ascii="Times New Roman" w:hAnsi="Times New Roman" w:cs="Times New Roman"/>
          <w:b w:val="0"/>
          <w:i w:val="0"/>
          <w:sz w:val="22"/>
        </w:rPr>
        <w:t>- repayment</w:t>
      </w:r>
    </w:p>
    <w:p>
      <w:pPr>
        <w:spacing w:after="80" w:line="293" w:lineRule="auto"/>
        <w:ind w:left="283"/>
        <w:jc w:val="left"/>
      </w:pPr>
      <w:r>
        <w:rPr>
          <w:rFonts w:ascii="Times New Roman" w:hAnsi="Times New Roman" w:cs="Times New Roman"/>
          <w:b w:val="0"/>
          <w:i w:val="0"/>
          <w:sz w:val="22"/>
        </w:rPr>
        <w:t>- reconciliation</w:t>
      </w:r>
    </w:p>
    <w:p>
      <w:pPr>
        <w:keepNext/>
        <w:spacing w:before="240" w:after="100"/>
        <w:outlineLvl w:val="1"/>
      </w:pPr>
      <w:r>
        <w:rPr>
          <w:rFonts w:ascii="Arial" w:hAnsi="Arial" w:cs="Arial"/>
          <w:b/>
          <w:i w:val="0"/>
          <w:color w:val="2E528F"/>
          <w:sz w:val="26"/>
        </w:rPr>
        <w:t>20.92 Insurance</w:t>
      </w:r>
    </w:p>
    <w:p>
      <w:pPr>
        <w:spacing w:after="80" w:line="293" w:lineRule="auto"/>
        <w:jc w:val="left"/>
      </w:pPr>
      <w:r>
        <w:rPr>
          <w:rFonts w:ascii="Times New Roman" w:hAnsi="Times New Roman" w:cs="Times New Roman"/>
          <w:b w:val="0"/>
          <w:i w:val="0"/>
          <w:sz w:val="22"/>
        </w:rPr>
        <w:t>Full lifecycle:</w:t>
      </w:r>
    </w:p>
    <w:p>
      <w:pPr>
        <w:spacing w:after="0" w:before="0" w:line="240" w:lineRule="auto"/>
        <w:ind w:left="57"/>
        <w:jc w:val="left"/>
        <w:shd w:val="clear" w:fill="F2F2F2"/>
      </w:pPr>
      <w:r>
        <w:rPr>
          <w:rFonts w:ascii="Consolas" w:hAnsi="Consolas" w:cs="Consolas"/>
          <w:b w:val="0"/>
          <w:i w:val="0"/>
          <w:sz w:val="15"/>
        </w:rPr>
        <w:t>QUOTE → BIND → POLICY → CERTIFICATE → INCIDENT → CLAIM → SURVEY → SETTLEMENT →</w:t>
      </w:r>
    </w:p>
    <w:p>
      <w:pPr>
        <w:spacing w:after="0" w:before="0" w:line="240" w:lineRule="auto"/>
        <w:ind w:left="57"/>
        <w:jc w:val="left"/>
        <w:shd w:val="clear" w:fill="F2F2F2"/>
      </w:pPr>
      <w:r>
        <w:rPr>
          <w:rFonts w:ascii="Consolas" w:hAnsi="Consolas" w:cs="Consolas"/>
          <w:b w:val="0"/>
          <w:i w:val="0"/>
          <w:sz w:val="15"/>
        </w:rPr>
        <w:t>RECOVERY → CLOSE</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20.93 Accounting</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AP (accounts payable)</w:t>
      </w:r>
    </w:p>
    <w:p>
      <w:pPr>
        <w:spacing w:after="80" w:line="293" w:lineRule="auto"/>
        <w:ind w:left="283"/>
        <w:jc w:val="left"/>
      </w:pPr>
      <w:r>
        <w:rPr>
          <w:rFonts w:ascii="Times New Roman" w:hAnsi="Times New Roman" w:cs="Times New Roman"/>
          <w:b w:val="0"/>
          <w:i w:val="0"/>
          <w:sz w:val="22"/>
        </w:rPr>
        <w:t>- AR (accounts receivable)</w:t>
      </w:r>
    </w:p>
    <w:p>
      <w:pPr>
        <w:spacing w:after="80" w:line="293" w:lineRule="auto"/>
        <w:ind w:left="283"/>
        <w:jc w:val="left"/>
      </w:pPr>
      <w:r>
        <w:rPr>
          <w:rFonts w:ascii="Times New Roman" w:hAnsi="Times New Roman" w:cs="Times New Roman"/>
          <w:b w:val="0"/>
          <w:i w:val="0"/>
          <w:sz w:val="22"/>
        </w:rPr>
        <w:t>- landed cost</w:t>
      </w:r>
    </w:p>
    <w:p>
      <w:pPr>
        <w:spacing w:after="80" w:line="293" w:lineRule="auto"/>
        <w:ind w:left="283"/>
        <w:jc w:val="left"/>
      </w:pPr>
      <w:r>
        <w:rPr>
          <w:rFonts w:ascii="Times New Roman" w:hAnsi="Times New Roman" w:cs="Times New Roman"/>
          <w:b w:val="0"/>
          <w:i w:val="0"/>
          <w:sz w:val="22"/>
        </w:rPr>
        <w:t>- freight</w:t>
      </w:r>
    </w:p>
    <w:p>
      <w:pPr>
        <w:spacing w:after="80" w:line="293" w:lineRule="auto"/>
        <w:ind w:left="283"/>
        <w:jc w:val="left"/>
      </w:pPr>
      <w:r>
        <w:rPr>
          <w:rFonts w:ascii="Times New Roman" w:hAnsi="Times New Roman" w:cs="Times New Roman"/>
          <w:b w:val="0"/>
          <w:i w:val="0"/>
          <w:sz w:val="22"/>
        </w:rPr>
        <w:t>- duty</w:t>
      </w:r>
    </w:p>
    <w:p>
      <w:pPr>
        <w:spacing w:after="80" w:line="293" w:lineRule="auto"/>
        <w:ind w:left="283"/>
        <w:jc w:val="left"/>
      </w:pPr>
      <w:r>
        <w:rPr>
          <w:rFonts w:ascii="Times New Roman" w:hAnsi="Times New Roman" w:cs="Times New Roman"/>
          <w:b w:val="0"/>
          <w:i w:val="0"/>
          <w:sz w:val="22"/>
        </w:rPr>
        <w:t>- tax</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accrual</w:t>
      </w:r>
    </w:p>
    <w:p>
      <w:pPr>
        <w:spacing w:after="80" w:line="293" w:lineRule="auto"/>
        <w:ind w:left="283"/>
        <w:jc w:val="left"/>
      </w:pPr>
      <w:r>
        <w:rPr>
          <w:rFonts w:ascii="Times New Roman" w:hAnsi="Times New Roman" w:cs="Times New Roman"/>
          <w:b w:val="0"/>
          <w:i w:val="0"/>
          <w:sz w:val="22"/>
        </w:rPr>
        <w:t>- settlement</w:t>
      </w:r>
    </w:p>
    <w:p>
      <w:pPr>
        <w:spacing w:after="80" w:line="293" w:lineRule="auto"/>
        <w:ind w:left="283"/>
        <w:jc w:val="left"/>
      </w:pPr>
      <w:r>
        <w:rPr>
          <w:rFonts w:ascii="Times New Roman" w:hAnsi="Times New Roman" w:cs="Times New Roman"/>
          <w:b w:val="0"/>
          <w:i w:val="0"/>
          <w:sz w:val="22"/>
        </w:rPr>
        <w:t>- refund</w:t>
      </w:r>
    </w:p>
    <w:p>
      <w:pPr>
        <w:spacing w:after="80" w:line="293" w:lineRule="auto"/>
        <w:ind w:left="283"/>
        <w:jc w:val="left"/>
      </w:pPr>
      <w:r>
        <w:rPr>
          <w:rFonts w:ascii="Times New Roman" w:hAnsi="Times New Roman" w:cs="Times New Roman"/>
          <w:b w:val="0"/>
          <w:i w:val="0"/>
          <w:sz w:val="22"/>
        </w:rPr>
        <w:t>- FX (foreign exchange)</w:t>
      </w:r>
    </w:p>
    <w:p>
      <w:pPr>
        <w:spacing w:after="80" w:line="293" w:lineRule="auto"/>
        <w:ind w:left="283"/>
        <w:jc w:val="left"/>
      </w:pPr>
      <w:r>
        <w:rPr>
          <w:rFonts w:ascii="Times New Roman" w:hAnsi="Times New Roman" w:cs="Times New Roman"/>
          <w:b w:val="0"/>
          <w:i w:val="0"/>
          <w:sz w:val="22"/>
        </w:rPr>
        <w:t>- inventory</w:t>
      </w:r>
    </w:p>
    <w:p>
      <w:pPr>
        <w:spacing w:after="80" w:line="293" w:lineRule="auto"/>
        <w:ind w:left="283"/>
        <w:jc w:val="left"/>
      </w:pPr>
      <w:r>
        <w:rPr>
          <w:rFonts w:ascii="Times New Roman" w:hAnsi="Times New Roman" w:cs="Times New Roman"/>
          <w:b w:val="0"/>
          <w:i w:val="0"/>
          <w:sz w:val="22"/>
        </w:rPr>
        <w:t>- COGS (cost of goods sold)</w:t>
      </w:r>
    </w:p>
    <w:p>
      <w:pPr>
        <w:keepNext/>
        <w:spacing w:before="240" w:after="100"/>
        <w:outlineLvl w:val="1"/>
      </w:pPr>
      <w:r>
        <w:rPr>
          <w:rFonts w:ascii="Arial" w:hAnsi="Arial" w:cs="Arial"/>
          <w:b/>
          <w:i w:val="0"/>
          <w:color w:val="2E528F"/>
          <w:sz w:val="26"/>
        </w:rPr>
        <w:t>20.94 ERP</w:t>
      </w:r>
    </w:p>
    <w:p>
      <w:pPr>
        <w:spacing w:after="80" w:line="293" w:lineRule="auto"/>
        <w:jc w:val="left"/>
      </w:pPr>
      <w:r>
        <w:rPr>
          <w:rFonts w:ascii="Times New Roman" w:hAnsi="Times New Roman" w:cs="Times New Roman"/>
          <w:b w:val="0"/>
          <w:i w:val="0"/>
          <w:sz w:val="22"/>
        </w:rPr>
        <w:t>Adapters:</w:t>
      </w:r>
    </w:p>
    <w:p>
      <w:pPr>
        <w:spacing w:after="80" w:line="293" w:lineRule="auto"/>
        <w:ind w:left="283"/>
        <w:jc w:val="left"/>
      </w:pPr>
      <w:r>
        <w:rPr>
          <w:rFonts w:ascii="Times New Roman" w:hAnsi="Times New Roman" w:cs="Times New Roman"/>
          <w:b w:val="0"/>
          <w:i w:val="0"/>
          <w:sz w:val="22"/>
        </w:rPr>
        <w:t>- SAP</w:t>
      </w:r>
    </w:p>
    <w:p>
      <w:pPr>
        <w:spacing w:after="80" w:line="293" w:lineRule="auto"/>
        <w:ind w:left="283"/>
        <w:jc w:val="left"/>
      </w:pPr>
      <w:r>
        <w:rPr>
          <w:rFonts w:ascii="Times New Roman" w:hAnsi="Times New Roman" w:cs="Times New Roman"/>
          <w:b w:val="0"/>
          <w:i w:val="0"/>
          <w:sz w:val="22"/>
        </w:rPr>
        <w:t>- Oracle</w:t>
      </w:r>
    </w:p>
    <w:p>
      <w:pPr>
        <w:spacing w:after="80" w:line="293" w:lineRule="auto"/>
        <w:ind w:left="283"/>
        <w:jc w:val="left"/>
      </w:pPr>
      <w:r>
        <w:rPr>
          <w:rFonts w:ascii="Times New Roman" w:hAnsi="Times New Roman" w:cs="Times New Roman"/>
          <w:b w:val="0"/>
          <w:i w:val="0"/>
          <w:sz w:val="22"/>
        </w:rPr>
        <w:t>- Dynamics</w:t>
      </w:r>
    </w:p>
    <w:p>
      <w:pPr>
        <w:spacing w:after="80" w:line="293" w:lineRule="auto"/>
        <w:ind w:left="283"/>
        <w:jc w:val="left"/>
      </w:pPr>
      <w:r>
        <w:rPr>
          <w:rFonts w:ascii="Times New Roman" w:hAnsi="Times New Roman" w:cs="Times New Roman"/>
          <w:b w:val="0"/>
          <w:i w:val="0"/>
          <w:sz w:val="22"/>
        </w:rPr>
        <w:t>- NetSuite</w:t>
      </w:r>
    </w:p>
    <w:p>
      <w:pPr>
        <w:spacing w:after="80" w:line="293" w:lineRule="auto"/>
        <w:ind w:left="283"/>
        <w:jc w:val="left"/>
      </w:pPr>
      <w:r>
        <w:rPr>
          <w:rFonts w:ascii="Times New Roman" w:hAnsi="Times New Roman" w:cs="Times New Roman"/>
          <w:b w:val="0"/>
          <w:i w:val="0"/>
          <w:sz w:val="22"/>
        </w:rPr>
        <w:t>- Odoo</w:t>
      </w:r>
    </w:p>
    <w:p>
      <w:pPr>
        <w:spacing w:after="80" w:line="293" w:lineRule="auto"/>
        <w:ind w:left="283"/>
        <w:jc w:val="left"/>
      </w:pPr>
      <w:r>
        <w:rPr>
          <w:rFonts w:ascii="Times New Roman" w:hAnsi="Times New Roman" w:cs="Times New Roman"/>
          <w:b w:val="0"/>
          <w:i w:val="0"/>
          <w:sz w:val="22"/>
        </w:rPr>
        <w:t>- generic REST</w:t>
      </w:r>
    </w:p>
    <w:p>
      <w:pPr>
        <w:spacing w:after="80" w:line="293" w:lineRule="auto"/>
        <w:ind w:left="283"/>
        <w:jc w:val="left"/>
      </w:pPr>
      <w:r>
        <w:rPr>
          <w:rFonts w:ascii="Times New Roman" w:hAnsi="Times New Roman" w:cs="Times New Roman"/>
          <w:b w:val="0"/>
          <w:i w:val="0"/>
          <w:sz w:val="22"/>
        </w:rPr>
        <w:t>- SOAP</w:t>
      </w:r>
    </w:p>
    <w:p>
      <w:pPr>
        <w:spacing w:after="80" w:line="293" w:lineRule="auto"/>
        <w:ind w:left="283"/>
        <w:jc w:val="left"/>
      </w:pPr>
      <w:r>
        <w:rPr>
          <w:rFonts w:ascii="Times New Roman" w:hAnsi="Times New Roman" w:cs="Times New Roman"/>
          <w:b w:val="0"/>
          <w:i w:val="0"/>
          <w:sz w:val="22"/>
        </w:rPr>
        <w:t>- EDI</w:t>
      </w:r>
    </w:p>
    <w:p>
      <w:pPr>
        <w:spacing w:after="80" w:line="293" w:lineRule="auto"/>
        <w:ind w:left="283"/>
        <w:jc w:val="left"/>
      </w:pPr>
      <w:r>
        <w:rPr>
          <w:rFonts w:ascii="Times New Roman" w:hAnsi="Times New Roman" w:cs="Times New Roman"/>
          <w:b w:val="0"/>
          <w:i w:val="0"/>
          <w:sz w:val="22"/>
        </w:rPr>
        <w:t>- SFTP</w:t>
      </w:r>
    </w:p>
    <w:p>
      <w:pPr>
        <w:spacing w:after="80" w:line="293" w:lineRule="auto"/>
        <w:jc w:val="left"/>
      </w:pPr>
      <w:r>
        <w:rPr>
          <w:rFonts w:ascii="Times New Roman" w:hAnsi="Times New Roman" w:cs="Times New Roman"/>
          <w:b w:val="0"/>
          <w:i w:val="0"/>
          <w:sz w:val="22"/>
        </w:rPr>
        <w:t>ERP denotes enterprise resource planning systems.</w:t>
      </w:r>
    </w:p>
    <w:p>
      <w:pPr>
        <w:keepNext/>
        <w:spacing w:before="240" w:after="100"/>
        <w:outlineLvl w:val="1"/>
      </w:pPr>
      <w:r>
        <w:rPr>
          <w:rFonts w:ascii="Arial" w:hAnsi="Arial" w:cs="Arial"/>
          <w:b/>
          <w:i w:val="0"/>
          <w:color w:val="2E528F"/>
          <w:sz w:val="26"/>
        </w:rPr>
        <w:t>20.95 Customs Guarantee Engine</w:t>
      </w:r>
    </w:p>
    <w:p>
      <w:pPr>
        <w:spacing w:after="80" w:line="293" w:lineRule="auto"/>
        <w:jc w:val="left"/>
      </w:pPr>
      <w:r>
        <w:rPr>
          <w:rFonts w:ascii="Times New Roman" w:hAnsi="Times New Roman" w:cs="Times New Roman"/>
          <w:b w:val="0"/>
          <w:i w:val="0"/>
          <w:sz w:val="22"/>
        </w:rPr>
        <w:t>The general guarantee system:</w:t>
      </w:r>
    </w:p>
    <w:p>
      <w:pPr>
        <w:spacing w:after="80" w:line="293" w:lineRule="auto"/>
        <w:ind w:left="283"/>
        <w:jc w:val="left"/>
      </w:pPr>
      <w:r>
        <w:rPr>
          <w:rFonts w:ascii="Times New Roman" w:hAnsi="Times New Roman" w:cs="Times New Roman"/>
          <w:b w:val="0"/>
          <w:i w:val="0"/>
          <w:sz w:val="22"/>
        </w:rPr>
        <w:t>- TIR</w:t>
      </w:r>
    </w:p>
    <w:p>
      <w:pPr>
        <w:spacing w:after="80" w:line="293" w:lineRule="auto"/>
        <w:ind w:left="283"/>
        <w:jc w:val="left"/>
      </w:pPr>
      <w:r>
        <w:rPr>
          <w:rFonts w:ascii="Times New Roman" w:hAnsi="Times New Roman" w:cs="Times New Roman"/>
          <w:b w:val="0"/>
          <w:i w:val="0"/>
          <w:sz w:val="22"/>
        </w:rPr>
        <w:t>- eTIR</w:t>
      </w:r>
    </w:p>
    <w:p>
      <w:pPr>
        <w:spacing w:after="80" w:line="293" w:lineRule="auto"/>
        <w:ind w:left="283"/>
        <w:jc w:val="left"/>
      </w:pPr>
      <w:r>
        <w:rPr>
          <w:rFonts w:ascii="Times New Roman" w:hAnsi="Times New Roman" w:cs="Times New Roman"/>
          <w:b w:val="0"/>
          <w:i w:val="0"/>
          <w:sz w:val="22"/>
        </w:rPr>
        <w:t>- customs bond</w:t>
      </w:r>
    </w:p>
    <w:p>
      <w:pPr>
        <w:spacing w:after="80" w:line="293" w:lineRule="auto"/>
        <w:ind w:left="283"/>
        <w:jc w:val="left"/>
      </w:pPr>
      <w:r>
        <w:rPr>
          <w:rFonts w:ascii="Times New Roman" w:hAnsi="Times New Roman" w:cs="Times New Roman"/>
          <w:b w:val="0"/>
          <w:i w:val="0"/>
          <w:sz w:val="22"/>
        </w:rPr>
        <w:t>- bank guarantee</w:t>
      </w:r>
    </w:p>
    <w:p>
      <w:pPr>
        <w:spacing w:after="80" w:line="293" w:lineRule="auto"/>
        <w:ind w:left="283"/>
        <w:jc w:val="left"/>
      </w:pPr>
      <w:r>
        <w:rPr>
          <w:rFonts w:ascii="Times New Roman" w:hAnsi="Times New Roman" w:cs="Times New Roman"/>
          <w:b w:val="0"/>
          <w:i w:val="0"/>
          <w:sz w:val="22"/>
        </w:rPr>
        <w:t>- comprehensive guarantee</w:t>
      </w:r>
    </w:p>
    <w:p>
      <w:pPr>
        <w:spacing w:after="80" w:line="293" w:lineRule="auto"/>
        <w:ind w:left="283"/>
        <w:jc w:val="left"/>
      </w:pPr>
      <w:r>
        <w:rPr>
          <w:rFonts w:ascii="Times New Roman" w:hAnsi="Times New Roman" w:cs="Times New Roman"/>
          <w:b w:val="0"/>
          <w:i w:val="0"/>
          <w:sz w:val="22"/>
        </w:rPr>
        <w:t>- transit guarantee</w:t>
      </w:r>
    </w:p>
    <w:p>
      <w:pPr>
        <w:spacing w:after="80" w:line="293" w:lineRule="auto"/>
        <w:ind w:left="283"/>
        <w:jc w:val="left"/>
      </w:pPr>
      <w:r>
        <w:rPr>
          <w:rFonts w:ascii="Times New Roman" w:hAnsi="Times New Roman" w:cs="Times New Roman"/>
          <w:b w:val="0"/>
          <w:i w:val="0"/>
          <w:sz w:val="22"/>
        </w:rPr>
        <w:t>- temporary admission</w:t>
      </w:r>
    </w:p>
    <w:p>
      <w:pPr>
        <w:spacing w:after="80" w:line="293" w:lineRule="auto"/>
        <w:ind w:left="283"/>
        <w:jc w:val="left"/>
      </w:pPr>
      <w:r>
        <w:rPr>
          <w:rFonts w:ascii="Times New Roman" w:hAnsi="Times New Roman" w:cs="Times New Roman"/>
          <w:b w:val="0"/>
          <w:i w:val="0"/>
          <w:sz w:val="22"/>
        </w:rPr>
        <w:t>- duty deferral</w:t>
      </w:r>
    </w:p>
    <w:p>
      <w:pPr>
        <w:spacing w:after="80" w:line="293" w:lineRule="auto"/>
        <w:ind w:left="283"/>
        <w:jc w:val="left"/>
      </w:pPr>
      <w:r>
        <w:rPr>
          <w:rFonts w:ascii="Times New Roman" w:hAnsi="Times New Roman" w:cs="Times New Roman"/>
          <w:b w:val="0"/>
          <w:i w:val="0"/>
          <w:sz w:val="22"/>
        </w:rPr>
        <w:t>- warehouse guarantee</w:t>
      </w:r>
    </w:p>
    <w:p>
      <w:pPr>
        <w:keepNext/>
        <w:spacing w:before="240" w:after="100"/>
        <w:outlineLvl w:val="1"/>
      </w:pPr>
      <w:r>
        <w:rPr>
          <w:rFonts w:ascii="Arial" w:hAnsi="Arial" w:cs="Arial"/>
          <w:b/>
          <w:i w:val="0"/>
          <w:color w:val="2E528F"/>
          <w:sz w:val="26"/>
        </w:rPr>
        <w:t>20.96 Bonded / Special Regimes</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bonded warehouse</w:t>
      </w:r>
    </w:p>
    <w:p>
      <w:pPr>
        <w:spacing w:after="80" w:line="293" w:lineRule="auto"/>
        <w:ind w:left="283"/>
        <w:jc w:val="left"/>
      </w:pPr>
      <w:r>
        <w:rPr>
          <w:rFonts w:ascii="Times New Roman" w:hAnsi="Times New Roman" w:cs="Times New Roman"/>
          <w:b w:val="0"/>
          <w:i w:val="0"/>
          <w:sz w:val="22"/>
        </w:rPr>
        <w:t>- customs warehouse</w:t>
      </w:r>
    </w:p>
    <w:p>
      <w:pPr>
        <w:spacing w:after="80" w:line="293" w:lineRule="auto"/>
        <w:ind w:left="283"/>
        <w:jc w:val="left"/>
      </w:pPr>
      <w:r>
        <w:rPr>
          <w:rFonts w:ascii="Times New Roman" w:hAnsi="Times New Roman" w:cs="Times New Roman"/>
          <w:b w:val="0"/>
          <w:i w:val="0"/>
          <w:sz w:val="22"/>
        </w:rPr>
        <w:t>- free zone</w:t>
      </w:r>
    </w:p>
    <w:p>
      <w:pPr>
        <w:spacing w:after="80" w:line="293" w:lineRule="auto"/>
        <w:ind w:left="283"/>
        <w:jc w:val="left"/>
      </w:pPr>
      <w:r>
        <w:rPr>
          <w:rFonts w:ascii="Times New Roman" w:hAnsi="Times New Roman" w:cs="Times New Roman"/>
          <w:b w:val="0"/>
          <w:i w:val="0"/>
          <w:sz w:val="22"/>
        </w:rPr>
        <w:t>- free port</w:t>
      </w:r>
    </w:p>
    <w:p>
      <w:pPr>
        <w:spacing w:after="80" w:line="293" w:lineRule="auto"/>
        <w:ind w:left="283"/>
        <w:jc w:val="left"/>
      </w:pPr>
      <w:r>
        <w:rPr>
          <w:rFonts w:ascii="Times New Roman" w:hAnsi="Times New Roman" w:cs="Times New Roman"/>
          <w:b w:val="0"/>
          <w:i w:val="0"/>
          <w:sz w:val="22"/>
        </w:rPr>
        <w:t>- inward processing</w:t>
      </w:r>
    </w:p>
    <w:p>
      <w:pPr>
        <w:spacing w:after="80" w:line="293" w:lineRule="auto"/>
        <w:ind w:left="283"/>
        <w:jc w:val="left"/>
      </w:pPr>
      <w:r>
        <w:rPr>
          <w:rFonts w:ascii="Times New Roman" w:hAnsi="Times New Roman" w:cs="Times New Roman"/>
          <w:b w:val="0"/>
          <w:i w:val="0"/>
          <w:sz w:val="22"/>
        </w:rPr>
        <w:t>- outward processing</w:t>
      </w:r>
    </w:p>
    <w:p>
      <w:pPr>
        <w:spacing w:after="80" w:line="293" w:lineRule="auto"/>
        <w:ind w:left="283"/>
        <w:jc w:val="left"/>
      </w:pPr>
      <w:r>
        <w:rPr>
          <w:rFonts w:ascii="Times New Roman" w:hAnsi="Times New Roman" w:cs="Times New Roman"/>
          <w:b w:val="0"/>
          <w:i w:val="0"/>
          <w:sz w:val="22"/>
        </w:rPr>
        <w:t>- temporary admission</w:t>
      </w:r>
    </w:p>
    <w:p>
      <w:pPr>
        <w:spacing w:after="80" w:line="293" w:lineRule="auto"/>
        <w:ind w:left="283"/>
        <w:jc w:val="left"/>
      </w:pPr>
      <w:r>
        <w:rPr>
          <w:rFonts w:ascii="Times New Roman" w:hAnsi="Times New Roman" w:cs="Times New Roman"/>
          <w:b w:val="0"/>
          <w:i w:val="0"/>
          <w:sz w:val="22"/>
        </w:rPr>
        <w:t>- temporary export</w:t>
      </w:r>
    </w:p>
    <w:p>
      <w:pPr>
        <w:spacing w:after="80" w:line="293" w:lineRule="auto"/>
        <w:ind w:left="283"/>
        <w:jc w:val="left"/>
      </w:pPr>
      <w:r>
        <w:rPr>
          <w:rFonts w:ascii="Times New Roman" w:hAnsi="Times New Roman" w:cs="Times New Roman"/>
          <w:b w:val="0"/>
          <w:i w:val="0"/>
          <w:sz w:val="22"/>
        </w:rPr>
        <w:t>- duty suspension</w:t>
      </w:r>
    </w:p>
    <w:p>
      <w:pPr>
        <w:spacing w:after="80" w:line="293" w:lineRule="auto"/>
        <w:ind w:left="283"/>
        <w:jc w:val="left"/>
      </w:pPr>
      <w:r>
        <w:rPr>
          <w:rFonts w:ascii="Times New Roman" w:hAnsi="Times New Roman" w:cs="Times New Roman"/>
          <w:b w:val="0"/>
          <w:i w:val="0"/>
          <w:sz w:val="22"/>
        </w:rPr>
        <w:t>- end-use relief</w:t>
      </w:r>
    </w:p>
    <w:p>
      <w:pPr>
        <w:spacing w:after="80" w:line="293" w:lineRule="auto"/>
        <w:ind w:left="283"/>
        <w:jc w:val="left"/>
      </w:pPr>
      <w:r>
        <w:rPr>
          <w:rFonts w:ascii="Times New Roman" w:hAnsi="Times New Roman" w:cs="Times New Roman"/>
          <w:b w:val="0"/>
          <w:i w:val="0"/>
          <w:sz w:val="22"/>
        </w:rPr>
        <w:t>- drawback</w:t>
      </w:r>
    </w:p>
    <w:p>
      <w:pPr>
        <w:keepNext/>
        <w:spacing w:before="240" w:after="100"/>
        <w:outlineLvl w:val="1"/>
      </w:pPr>
      <w:r>
        <w:rPr>
          <w:rFonts w:ascii="Arial" w:hAnsi="Arial" w:cs="Arial"/>
          <w:b/>
          <w:i w:val="0"/>
          <w:color w:val="2E528F"/>
          <w:sz w:val="26"/>
        </w:rPr>
        <w:t>20.97 Post-Clearance</w:t>
      </w:r>
    </w:p>
    <w:p>
      <w:pPr>
        <w:spacing w:after="80" w:line="293" w:lineRule="auto"/>
        <w:jc w:val="left"/>
      </w:pPr>
      <w:r>
        <w:rPr>
          <w:rFonts w:ascii="Times New Roman" w:hAnsi="Times New Roman" w:cs="Times New Roman"/>
          <w:b w:val="0"/>
          <w:i w:val="0"/>
          <w:sz w:val="22"/>
        </w:rPr>
        <w:t>The engine supports:</w:t>
      </w:r>
    </w:p>
    <w:p>
      <w:pPr>
        <w:spacing w:after="80" w:line="293" w:lineRule="auto"/>
        <w:ind w:left="283"/>
        <w:jc w:val="left"/>
      </w:pPr>
      <w:r>
        <w:rPr>
          <w:rFonts w:ascii="Times New Roman" w:hAnsi="Times New Roman" w:cs="Times New Roman"/>
          <w:b w:val="0"/>
          <w:i w:val="0"/>
          <w:sz w:val="22"/>
        </w:rPr>
        <w:t>- audit</w:t>
      </w:r>
    </w:p>
    <w:p>
      <w:pPr>
        <w:spacing w:after="80" w:line="293" w:lineRule="auto"/>
        <w:ind w:left="283"/>
        <w:jc w:val="left"/>
      </w:pPr>
      <w:r>
        <w:rPr>
          <w:rFonts w:ascii="Times New Roman" w:hAnsi="Times New Roman" w:cs="Times New Roman"/>
          <w:b w:val="0"/>
          <w:i w:val="0"/>
          <w:sz w:val="22"/>
        </w:rPr>
        <w:t>- query</w:t>
      </w:r>
    </w:p>
    <w:p>
      <w:pPr>
        <w:spacing w:after="80" w:line="293" w:lineRule="auto"/>
        <w:ind w:left="283"/>
        <w:jc w:val="left"/>
      </w:pPr>
      <w:r>
        <w:rPr>
          <w:rFonts w:ascii="Times New Roman" w:hAnsi="Times New Roman" w:cs="Times New Roman"/>
          <w:b w:val="0"/>
          <w:i w:val="0"/>
          <w:sz w:val="22"/>
        </w:rPr>
        <w:t>- correction</w:t>
      </w:r>
    </w:p>
    <w:p>
      <w:pPr>
        <w:spacing w:after="80" w:line="293" w:lineRule="auto"/>
        <w:ind w:left="283"/>
        <w:jc w:val="left"/>
      </w:pPr>
      <w:r>
        <w:rPr>
          <w:rFonts w:ascii="Times New Roman" w:hAnsi="Times New Roman" w:cs="Times New Roman"/>
          <w:b w:val="0"/>
          <w:i w:val="0"/>
          <w:sz w:val="22"/>
        </w:rPr>
        <w:t>- reassessment</w:t>
      </w:r>
    </w:p>
    <w:p>
      <w:pPr>
        <w:spacing w:after="80" w:line="293" w:lineRule="auto"/>
        <w:ind w:left="283"/>
        <w:jc w:val="left"/>
      </w:pPr>
      <w:r>
        <w:rPr>
          <w:rFonts w:ascii="Times New Roman" w:hAnsi="Times New Roman" w:cs="Times New Roman"/>
          <w:b w:val="0"/>
          <w:i w:val="0"/>
          <w:sz w:val="22"/>
        </w:rPr>
        <w:t>- refund</w:t>
      </w:r>
    </w:p>
    <w:p>
      <w:pPr>
        <w:spacing w:after="80" w:line="293" w:lineRule="auto"/>
        <w:ind w:left="283"/>
        <w:jc w:val="left"/>
      </w:pPr>
      <w:r>
        <w:rPr>
          <w:rFonts w:ascii="Times New Roman" w:hAnsi="Times New Roman" w:cs="Times New Roman"/>
          <w:b w:val="0"/>
          <w:i w:val="0"/>
          <w:sz w:val="22"/>
        </w:rPr>
        <w:t>- drawback</w:t>
      </w:r>
    </w:p>
    <w:p>
      <w:pPr>
        <w:spacing w:after="80" w:line="293" w:lineRule="auto"/>
        <w:ind w:left="283"/>
        <w:jc w:val="left"/>
      </w:pPr>
      <w:r>
        <w:rPr>
          <w:rFonts w:ascii="Times New Roman" w:hAnsi="Times New Roman" w:cs="Times New Roman"/>
          <w:b w:val="0"/>
          <w:i w:val="0"/>
          <w:sz w:val="22"/>
        </w:rPr>
        <w:t>- penalty</w:t>
      </w:r>
    </w:p>
    <w:p>
      <w:pPr>
        <w:spacing w:after="80" w:line="293" w:lineRule="auto"/>
        <w:ind w:left="283"/>
        <w:jc w:val="left"/>
      </w:pPr>
      <w:r>
        <w:rPr>
          <w:rFonts w:ascii="Times New Roman" w:hAnsi="Times New Roman" w:cs="Times New Roman"/>
          <w:b w:val="0"/>
          <w:i w:val="0"/>
          <w:sz w:val="22"/>
        </w:rPr>
        <w:t>- appeal</w:t>
      </w:r>
    </w:p>
    <w:p>
      <w:pPr>
        <w:spacing w:after="80" w:line="293" w:lineRule="auto"/>
        <w:ind w:left="283"/>
        <w:jc w:val="left"/>
      </w:pPr>
      <w:r>
        <w:rPr>
          <w:rFonts w:ascii="Times New Roman" w:hAnsi="Times New Roman" w:cs="Times New Roman"/>
          <w:b w:val="0"/>
          <w:i w:val="0"/>
          <w:sz w:val="22"/>
        </w:rPr>
        <w:t>- ruling</w:t>
      </w:r>
    </w:p>
    <w:p>
      <w:pPr>
        <w:spacing w:after="80" w:line="293" w:lineRule="auto"/>
        <w:ind w:left="283"/>
        <w:jc w:val="left"/>
      </w:pPr>
      <w:r>
        <w:rPr>
          <w:rFonts w:ascii="Times New Roman" w:hAnsi="Times New Roman" w:cs="Times New Roman"/>
          <w:b w:val="0"/>
          <w:i w:val="0"/>
          <w:sz w:val="22"/>
        </w:rPr>
        <w:t>- record retrieval</w:t>
      </w:r>
    </w:p>
    <w:p>
      <w:pPr>
        <w:keepNext/>
        <w:spacing w:before="240" w:after="100"/>
        <w:outlineLvl w:val="1"/>
      </w:pPr>
      <w:r>
        <w:rPr>
          <w:rFonts w:ascii="Arial" w:hAnsi="Arial" w:cs="Arial"/>
          <w:b/>
          <w:i w:val="0"/>
          <w:color w:val="2E528F"/>
          <w:sz w:val="26"/>
        </w:rPr>
        <w:t>20.98 Delivery Acceptance</w:t>
      </w:r>
    </w:p>
    <w:p>
      <w:pPr>
        <w:spacing w:after="80" w:line="293" w:lineRule="auto"/>
        <w:jc w:val="left"/>
      </w:pPr>
      <w:r>
        <w:rPr>
          <w:rFonts w:ascii="Times New Roman" w:hAnsi="Times New Roman" w:cs="Times New Roman"/>
          <w:b w:val="0"/>
          <w:i w:val="0"/>
          <w:sz w:val="22"/>
        </w:rPr>
        <w:t>Final delivery requires:</w:t>
      </w:r>
    </w:p>
    <w:p>
      <w:pPr>
        <w:spacing w:after="80" w:line="293" w:lineRule="auto"/>
        <w:ind w:left="283"/>
        <w:jc w:val="left"/>
      </w:pPr>
      <w:r>
        <w:rPr>
          <w:rFonts w:ascii="Times New Roman" w:hAnsi="Times New Roman" w:cs="Times New Roman"/>
          <w:b w:val="0"/>
          <w:i w:val="0"/>
          <w:sz w:val="22"/>
        </w:rPr>
        <w:t>- receiver</w:t>
      </w:r>
    </w:p>
    <w:p>
      <w:pPr>
        <w:spacing w:after="80" w:line="293" w:lineRule="auto"/>
        <w:ind w:left="283"/>
        <w:jc w:val="left"/>
      </w:pPr>
      <w:r>
        <w:rPr>
          <w:rFonts w:ascii="Times New Roman" w:hAnsi="Times New Roman" w:cs="Times New Roman"/>
          <w:b w:val="0"/>
          <w:i w:val="0"/>
          <w:sz w:val="22"/>
        </w:rPr>
        <w:t>- quantity</w:t>
      </w:r>
    </w:p>
    <w:p>
      <w:pPr>
        <w:spacing w:after="80" w:line="293" w:lineRule="auto"/>
        <w:ind w:left="283"/>
        <w:jc w:val="left"/>
      </w:pPr>
      <w:r>
        <w:rPr>
          <w:rFonts w:ascii="Times New Roman" w:hAnsi="Times New Roman" w:cs="Times New Roman"/>
          <w:b w:val="0"/>
          <w:i w:val="0"/>
          <w:sz w:val="22"/>
        </w:rPr>
        <w:t>- condition</w:t>
      </w:r>
    </w:p>
    <w:p>
      <w:pPr>
        <w:spacing w:after="80" w:line="293" w:lineRule="auto"/>
        <w:ind w:left="283"/>
        <w:jc w:val="left"/>
      </w:pPr>
      <w:r>
        <w:rPr>
          <w:rFonts w:ascii="Times New Roman" w:hAnsi="Times New Roman" w:cs="Times New Roman"/>
          <w:b w:val="0"/>
          <w:i w:val="0"/>
          <w:sz w:val="22"/>
        </w:rPr>
        <w:t>- quality</w:t>
      </w:r>
    </w:p>
    <w:p>
      <w:pPr>
        <w:spacing w:after="80" w:line="293" w:lineRule="auto"/>
        <w:ind w:left="283"/>
        <w:jc w:val="left"/>
      </w:pPr>
      <w:r>
        <w:rPr>
          <w:rFonts w:ascii="Times New Roman" w:hAnsi="Times New Roman" w:cs="Times New Roman"/>
          <w:b w:val="0"/>
          <w:i w:val="0"/>
          <w:sz w:val="22"/>
        </w:rPr>
        <w:t>- temperature where applicable</w:t>
      </w:r>
    </w:p>
    <w:p>
      <w:pPr>
        <w:spacing w:after="80" w:line="293" w:lineRule="auto"/>
        <w:ind w:left="283"/>
        <w:jc w:val="left"/>
      </w:pPr>
      <w:r>
        <w:rPr>
          <w:rFonts w:ascii="Times New Roman" w:hAnsi="Times New Roman" w:cs="Times New Roman"/>
          <w:b w:val="0"/>
          <w:i w:val="0"/>
          <w:sz w:val="22"/>
        </w:rPr>
        <w:t>- POD (proof of delivery)</w:t>
      </w:r>
    </w:p>
    <w:p>
      <w:pPr>
        <w:spacing w:after="80" w:line="293" w:lineRule="auto"/>
        <w:ind w:left="283"/>
        <w:jc w:val="left"/>
      </w:pPr>
      <w:r>
        <w:rPr>
          <w:rFonts w:ascii="Times New Roman" w:hAnsi="Times New Roman" w:cs="Times New Roman"/>
          <w:b w:val="0"/>
          <w:i w:val="0"/>
          <w:sz w:val="22"/>
        </w:rPr>
        <w:t>- document acceptance</w:t>
      </w:r>
    </w:p>
    <w:p>
      <w:pPr>
        <w:spacing w:after="80" w:line="293" w:lineRule="auto"/>
        <w:ind w:left="283"/>
        <w:jc w:val="left"/>
      </w:pPr>
      <w:r>
        <w:rPr>
          <w:rFonts w:ascii="Times New Roman" w:hAnsi="Times New Roman" w:cs="Times New Roman"/>
          <w:b w:val="0"/>
          <w:i w:val="0"/>
          <w:sz w:val="22"/>
        </w:rPr>
        <w:t>- acceptance timestamp</w:t>
      </w:r>
    </w:p>
    <w:p>
      <w:pPr>
        <w:spacing w:after="80" w:line="293" w:lineRule="auto"/>
        <w:jc w:val="left"/>
      </w:pPr>
      <w:r>
        <w:rPr>
          <w:rFonts w:ascii="Times New Roman" w:hAnsi="Times New Roman" w:cs="Times New Roman"/>
          <w:b w:val="0"/>
          <w:i w:val="0"/>
          <w:sz w:val="22"/>
        </w:rPr>
        <w:t>DELIVERED is not the same as ACCEPTED.</w:t>
      </w:r>
    </w:p>
    <w:p>
      <w:pPr>
        <w:keepNext/>
        <w:spacing w:before="240" w:after="100"/>
        <w:outlineLvl w:val="1"/>
      </w:pPr>
      <w:r>
        <w:rPr>
          <w:rFonts w:ascii="Arial" w:hAnsi="Arial" w:cs="Arial"/>
          <w:b/>
          <w:i w:val="0"/>
          <w:color w:val="2E528F"/>
          <w:sz w:val="26"/>
        </w:rPr>
        <w:t>20.99 Claims</w:t>
      </w:r>
    </w:p>
    <w:p>
      <w:pPr>
        <w:spacing w:after="80" w:line="293" w:lineRule="auto"/>
        <w:jc w:val="left"/>
      </w:pPr>
      <w:r>
        <w:rPr>
          <w:rFonts w:ascii="Times New Roman" w:hAnsi="Times New Roman" w:cs="Times New Roman"/>
          <w:b w:val="0"/>
          <w:i w:val="0"/>
          <w:sz w:val="22"/>
        </w:rPr>
        <w:t>The engine supports the ten claims evidence categories specified in Section 5.10.7 — damage, shortage, quality, temperature, delay, customs, documentation, carrier, insurance, and warranty.</w:t>
      </w:r>
    </w:p>
    <w:p>
      <w:pPr>
        <w:keepNext/>
        <w:spacing w:before="240" w:after="100"/>
        <w:outlineLvl w:val="1"/>
      </w:pPr>
      <w:r>
        <w:rPr>
          <w:rFonts w:ascii="Arial" w:hAnsi="Arial" w:cs="Arial"/>
          <w:b/>
          <w:i w:val="0"/>
          <w:color w:val="2E528F"/>
          <w:sz w:val="26"/>
        </w:rPr>
        <w:t>20.100 Returns / Reverse Trade</w:t>
      </w:r>
    </w:p>
    <w:p>
      <w:pPr>
        <w:spacing w:after="80" w:line="293" w:lineRule="auto"/>
        <w:jc w:val="left"/>
      </w:pPr>
      <w:r>
        <w:rPr>
          <w:rFonts w:ascii="Times New Roman" w:hAnsi="Times New Roman" w:cs="Times New Roman"/>
          <w:b w:val="0"/>
          <w:i w:val="0"/>
          <w:sz w:val="22"/>
        </w:rPr>
        <w:t>The engine supports the nine returns/reverse-trade evidence categories specified in Section 5.10.8 — rejection, return, warranty, repair, replacement, re-export, re-import, destruction, and abandonment. Returns use parent/child USTNs so the reverse trade inherits the same evidence discipline, lifecycle, and closure conditions as the original trade.</w:t>
      </w:r>
    </w:p>
    <w:p>
      <w:pPr>
        <w:keepNext/>
        <w:spacing w:before="240" w:after="100"/>
        <w:outlineLvl w:val="1"/>
      </w:pPr>
      <w:r>
        <w:rPr>
          <w:rFonts w:ascii="Arial" w:hAnsi="Arial" w:cs="Arial"/>
          <w:b/>
          <w:i w:val="0"/>
          <w:color w:val="2E528F"/>
          <w:sz w:val="26"/>
        </w:rPr>
        <w:t>20.101 Final Evidence</w:t>
      </w:r>
    </w:p>
    <w:p>
      <w:pPr>
        <w:spacing w:after="80" w:line="293" w:lineRule="auto"/>
        <w:jc w:val="left"/>
      </w:pPr>
      <w:r>
        <w:rPr>
          <w:rFonts w:ascii="Times New Roman" w:hAnsi="Times New Roman" w:cs="Times New Roman"/>
          <w:b w:val="0"/>
          <w:i w:val="0"/>
          <w:sz w:val="22"/>
        </w:rPr>
        <w:t>At closure the platform creates FINAL_TRADE_EVIDENCE_PACKAGE containing:</w:t>
      </w:r>
    </w:p>
    <w:p>
      <w:pPr>
        <w:spacing w:after="80" w:line="293" w:lineRule="auto"/>
        <w:ind w:left="283"/>
        <w:jc w:val="left"/>
      </w:pPr>
      <w:r>
        <w:rPr>
          <w:rFonts w:ascii="Times New Roman" w:hAnsi="Times New Roman" w:cs="Times New Roman"/>
          <w:b w:val="0"/>
          <w:i w:val="0"/>
          <w:sz w:val="22"/>
        </w:rPr>
        <w:t>- RFQ</w:t>
      </w:r>
    </w:p>
    <w:p>
      <w:pPr>
        <w:spacing w:after="80" w:line="293" w:lineRule="auto"/>
        <w:ind w:left="283"/>
        <w:jc w:val="left"/>
      </w:pPr>
      <w:r>
        <w:rPr>
          <w:rFonts w:ascii="Times New Roman" w:hAnsi="Times New Roman" w:cs="Times New Roman"/>
          <w:b w:val="0"/>
          <w:i w:val="0"/>
          <w:sz w:val="22"/>
        </w:rPr>
        <w:t>- quotes</w:t>
      </w:r>
    </w:p>
    <w:p>
      <w:pPr>
        <w:spacing w:after="80" w:line="293" w:lineRule="auto"/>
        <w:ind w:left="283"/>
        <w:jc w:val="left"/>
      </w:pPr>
      <w:r>
        <w:rPr>
          <w:rFonts w:ascii="Times New Roman" w:hAnsi="Times New Roman" w:cs="Times New Roman"/>
          <w:b w:val="0"/>
          <w:i w:val="0"/>
          <w:sz w:val="22"/>
        </w:rPr>
        <w:t>- PO/SO</w:t>
      </w:r>
    </w:p>
    <w:p>
      <w:pPr>
        <w:spacing w:after="80" w:line="293" w:lineRule="auto"/>
        <w:ind w:left="283"/>
        <w:jc w:val="left"/>
      </w:pPr>
      <w:r>
        <w:rPr>
          <w:rFonts w:ascii="Times New Roman" w:hAnsi="Times New Roman" w:cs="Times New Roman"/>
          <w:b w:val="0"/>
          <w:i w:val="0"/>
          <w:sz w:val="22"/>
        </w:rPr>
        <w:t>- contract</w:t>
      </w:r>
    </w:p>
    <w:p>
      <w:pPr>
        <w:spacing w:after="80" w:line="293" w:lineRule="auto"/>
        <w:ind w:left="283"/>
        <w:jc w:val="left"/>
      </w:pPr>
      <w:r>
        <w:rPr>
          <w:rFonts w:ascii="Times New Roman" w:hAnsi="Times New Roman" w:cs="Times New Roman"/>
          <w:b w:val="0"/>
          <w:i w:val="0"/>
          <w:sz w:val="22"/>
        </w:rPr>
        <w:t>- regulatory snapshot</w:t>
      </w:r>
    </w:p>
    <w:p>
      <w:pPr>
        <w:spacing w:after="80" w:line="293" w:lineRule="auto"/>
        <w:ind w:left="283"/>
        <w:jc w:val="left"/>
      </w:pPr>
      <w:r>
        <w:rPr>
          <w:rFonts w:ascii="Times New Roman" w:hAnsi="Times New Roman" w:cs="Times New Roman"/>
          <w:b w:val="0"/>
          <w:i w:val="0"/>
          <w:sz w:val="22"/>
        </w:rPr>
        <w:t>- classification</w:t>
      </w:r>
    </w:p>
    <w:p>
      <w:pPr>
        <w:spacing w:after="80" w:line="293" w:lineRule="auto"/>
        <w:ind w:left="283"/>
        <w:jc w:val="left"/>
      </w:pPr>
      <w:r>
        <w:rPr>
          <w:rFonts w:ascii="Times New Roman" w:hAnsi="Times New Roman" w:cs="Times New Roman"/>
          <w:b w:val="0"/>
          <w:i w:val="0"/>
          <w:sz w:val="22"/>
        </w:rPr>
        <w:t>- origin</w:t>
      </w:r>
    </w:p>
    <w:p>
      <w:pPr>
        <w:spacing w:after="80" w:line="293" w:lineRule="auto"/>
        <w:ind w:left="283"/>
        <w:jc w:val="left"/>
      </w:pPr>
      <w:r>
        <w:rPr>
          <w:rFonts w:ascii="Times New Roman" w:hAnsi="Times New Roman" w:cs="Times New Roman"/>
          <w:b w:val="0"/>
          <w:i w:val="0"/>
          <w:sz w:val="22"/>
        </w:rPr>
        <w:t>- licenses</w:t>
      </w:r>
    </w:p>
    <w:p>
      <w:pPr>
        <w:spacing w:after="80" w:line="293" w:lineRule="auto"/>
        <w:ind w:left="283"/>
        <w:jc w:val="left"/>
      </w:pPr>
      <w:r>
        <w:rPr>
          <w:rFonts w:ascii="Times New Roman" w:hAnsi="Times New Roman" w:cs="Times New Roman"/>
          <w:b w:val="0"/>
          <w:i w:val="0"/>
          <w:sz w:val="22"/>
        </w:rPr>
        <w:t>- permits</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transport</w:t>
      </w:r>
    </w:p>
    <w:p>
      <w:pPr>
        <w:spacing w:after="80" w:line="293" w:lineRule="auto"/>
        <w:ind w:left="283"/>
        <w:jc w:val="left"/>
      </w:pPr>
      <w:r>
        <w:rPr>
          <w:rFonts w:ascii="Times New Roman" w:hAnsi="Times New Roman" w:cs="Times New Roman"/>
          <w:b w:val="0"/>
          <w:i w:val="0"/>
          <w:sz w:val="22"/>
        </w:rPr>
        <w:t>- government references</w:t>
      </w:r>
    </w:p>
    <w:p>
      <w:pPr>
        <w:spacing w:after="80" w:line="293" w:lineRule="auto"/>
        <w:ind w:left="283"/>
        <w:jc w:val="left"/>
      </w:pPr>
      <w:r>
        <w:rPr>
          <w:rFonts w:ascii="Times New Roman" w:hAnsi="Times New Roman" w:cs="Times New Roman"/>
          <w:b w:val="0"/>
          <w:i w:val="0"/>
          <w:sz w:val="22"/>
        </w:rPr>
        <w:t>- payment</w:t>
      </w:r>
    </w:p>
    <w:p>
      <w:pPr>
        <w:spacing w:after="80" w:line="293" w:lineRule="auto"/>
        <w:ind w:left="283"/>
        <w:jc w:val="left"/>
      </w:pPr>
      <w:r>
        <w:rPr>
          <w:rFonts w:ascii="Times New Roman" w:hAnsi="Times New Roman" w:cs="Times New Roman"/>
          <w:b w:val="0"/>
          <w:i w:val="0"/>
          <w:sz w:val="22"/>
        </w:rPr>
        <w:t>- bank</w:t>
      </w:r>
    </w:p>
    <w:p>
      <w:pPr>
        <w:spacing w:after="80" w:line="293" w:lineRule="auto"/>
        <w:ind w:left="283"/>
        <w:jc w:val="left"/>
      </w:pPr>
      <w:r>
        <w:rPr>
          <w:rFonts w:ascii="Times New Roman" w:hAnsi="Times New Roman" w:cs="Times New Roman"/>
          <w:b w:val="0"/>
          <w:i w:val="0"/>
          <w:sz w:val="22"/>
        </w:rPr>
        <w:t>- settlement</w:t>
      </w:r>
    </w:p>
    <w:p>
      <w:pPr>
        <w:spacing w:after="80" w:line="293" w:lineRule="auto"/>
        <w:ind w:left="283"/>
        <w:jc w:val="left"/>
      </w:pPr>
      <w:r>
        <w:rPr>
          <w:rFonts w:ascii="Times New Roman" w:hAnsi="Times New Roman" w:cs="Times New Roman"/>
          <w:b w:val="0"/>
          <w:i w:val="0"/>
          <w:sz w:val="22"/>
        </w:rPr>
        <w:t>- accounting</w:t>
      </w:r>
    </w:p>
    <w:p>
      <w:pPr>
        <w:spacing w:after="80" w:line="293" w:lineRule="auto"/>
        <w:ind w:left="283"/>
        <w:jc w:val="left"/>
      </w:pPr>
      <w:r>
        <w:rPr>
          <w:rFonts w:ascii="Times New Roman" w:hAnsi="Times New Roman" w:cs="Times New Roman"/>
          <w:b w:val="0"/>
          <w:i w:val="0"/>
          <w:sz w:val="22"/>
        </w:rPr>
        <w:t>- inspection</w:t>
      </w:r>
    </w:p>
    <w:p>
      <w:pPr>
        <w:spacing w:after="80" w:line="293" w:lineRule="auto"/>
        <w:ind w:left="283"/>
        <w:jc w:val="left"/>
      </w:pPr>
      <w:r>
        <w:rPr>
          <w:rFonts w:ascii="Times New Roman" w:hAnsi="Times New Roman" w:cs="Times New Roman"/>
          <w:b w:val="0"/>
          <w:i w:val="0"/>
          <w:sz w:val="22"/>
        </w:rPr>
        <w:t>- QC (quality control)</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GPS</w:t>
      </w:r>
    </w:p>
    <w:p>
      <w:pPr>
        <w:spacing w:after="80" w:line="293" w:lineRule="auto"/>
        <w:ind w:left="283"/>
        <w:jc w:val="left"/>
      </w:pPr>
      <w:r>
        <w:rPr>
          <w:rFonts w:ascii="Times New Roman" w:hAnsi="Times New Roman" w:cs="Times New Roman"/>
          <w:b w:val="0"/>
          <w:i w:val="0"/>
          <w:sz w:val="22"/>
        </w:rPr>
        <w:t>- IoT (Internet of Things sensor data)</w:t>
      </w:r>
    </w:p>
    <w:p>
      <w:pPr>
        <w:spacing w:after="80" w:line="293" w:lineRule="auto"/>
        <w:ind w:left="283"/>
        <w:jc w:val="left"/>
      </w:pPr>
      <w:r>
        <w:rPr>
          <w:rFonts w:ascii="Times New Roman" w:hAnsi="Times New Roman" w:cs="Times New Roman"/>
          <w:b w:val="0"/>
          <w:i w:val="0"/>
          <w:sz w:val="22"/>
        </w:rPr>
        <w:t>- delivery</w:t>
      </w:r>
    </w:p>
    <w:p>
      <w:pPr>
        <w:spacing w:after="80" w:line="293" w:lineRule="auto"/>
        <w:ind w:left="283"/>
        <w:jc w:val="left"/>
      </w:pPr>
      <w:r>
        <w:rPr>
          <w:rFonts w:ascii="Times New Roman" w:hAnsi="Times New Roman" w:cs="Times New Roman"/>
          <w:b w:val="0"/>
          <w:i w:val="0"/>
          <w:sz w:val="22"/>
        </w:rPr>
        <w:t>- claims</w:t>
      </w:r>
    </w:p>
    <w:p>
      <w:pPr>
        <w:spacing w:after="80" w:line="293" w:lineRule="auto"/>
        <w:ind w:left="283"/>
        <w:jc w:val="left"/>
      </w:pPr>
      <w:r>
        <w:rPr>
          <w:rFonts w:ascii="Times New Roman" w:hAnsi="Times New Roman" w:cs="Times New Roman"/>
          <w:b w:val="0"/>
          <w:i w:val="0"/>
          <w:sz w:val="22"/>
        </w:rPr>
        <w:t>- disputes</w:t>
      </w:r>
    </w:p>
    <w:p>
      <w:pPr>
        <w:spacing w:after="80" w:line="293" w:lineRule="auto"/>
        <w:ind w:left="283"/>
        <w:jc w:val="left"/>
      </w:pPr>
      <w:r>
        <w:rPr>
          <w:rFonts w:ascii="Times New Roman" w:hAnsi="Times New Roman" w:cs="Times New Roman"/>
          <w:b w:val="0"/>
          <w:i w:val="0"/>
          <w:sz w:val="22"/>
        </w:rPr>
        <w:t>- post-clearance</w:t>
      </w:r>
    </w:p>
    <w:p>
      <w:pPr>
        <w:spacing w:after="80" w:line="293" w:lineRule="auto"/>
        <w:ind w:left="283"/>
        <w:jc w:val="left"/>
      </w:pPr>
      <w:r>
        <w:rPr>
          <w:rFonts w:ascii="Times New Roman" w:hAnsi="Times New Roman" w:cs="Times New Roman"/>
          <w:b w:val="0"/>
          <w:i w:val="0"/>
          <w:sz w:val="22"/>
        </w:rPr>
        <w:t>- Governor</w:t>
      </w:r>
    </w:p>
    <w:p>
      <w:pPr>
        <w:spacing w:after="80" w:line="293" w:lineRule="auto"/>
        <w:ind w:left="283"/>
        <w:jc w:val="left"/>
      </w:pPr>
      <w:r>
        <w:rPr>
          <w:rFonts w:ascii="Times New Roman" w:hAnsi="Times New Roman" w:cs="Times New Roman"/>
          <w:b w:val="0"/>
          <w:i w:val="0"/>
          <w:sz w:val="22"/>
        </w:rPr>
        <w:t>- Loom</w:t>
      </w:r>
    </w:p>
    <w:p>
      <w:pPr>
        <w:keepNext/>
        <w:spacing w:before="240" w:after="100"/>
        <w:outlineLvl w:val="1"/>
      </w:pPr>
      <w:r>
        <w:rPr>
          <w:rFonts w:ascii="Arial" w:hAnsi="Arial" w:cs="Arial"/>
          <w:b/>
          <w:i w:val="0"/>
          <w:color w:val="2E528F"/>
          <w:sz w:val="26"/>
        </w:rPr>
        <w:t>20.102 Phase 10 — USTN Closure</w:t>
      </w:r>
    </w:p>
    <w:p>
      <w:pPr>
        <w:spacing w:after="80" w:line="293" w:lineRule="auto"/>
        <w:jc w:val="left"/>
      </w:pPr>
      <w:r>
        <w:rPr>
          <w:rFonts w:ascii="Times New Roman" w:hAnsi="Times New Roman" w:cs="Times New Roman"/>
          <w:b w:val="0"/>
          <w:i w:val="0"/>
          <w:sz w:val="22"/>
        </w:rPr>
        <w:t>The platform maintains the closure rule:</w:t>
      </w:r>
    </w:p>
    <w:p>
      <w:pPr>
        <w:spacing w:after="0" w:before="0" w:line="240" w:lineRule="auto"/>
        <w:ind w:left="57"/>
        <w:jc w:val="left"/>
        <w:shd w:val="clear" w:fill="F2F2F2"/>
      </w:pPr>
      <w:r>
        <w:rPr>
          <w:rFonts w:ascii="Consolas" w:hAnsi="Consolas" w:cs="Consolas"/>
          <w:b w:val="0"/>
          <w:i w:val="0"/>
          <w:sz w:val="15"/>
        </w:rPr>
        <w:t>USTN_CLOSED ⟸ canClose = true</w:t>
      </w:r>
    </w:p>
    <w:p>
      <w:pPr>
        <w:spacing w:after="0" w:before="0" w:line="240" w:lineRule="auto"/>
        <w:ind w:left="57"/>
        <w:jc w:val="left"/>
        <w:shd w:val="clear" w:fill="F2F2F2"/>
      </w:pPr>
      <w:r>
        <w:rPr>
          <w:rFonts w:ascii="Consolas" w:hAnsi="Consolas" w:cs="Consolas"/>
          <w:b w:val="0"/>
          <w:i w:val="0"/>
          <w:sz w:val="15"/>
        </w:rPr>
        <w:t>canClose = true ⟸ seven closure conditions true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Closure requires:</w:t>
      </w:r>
    </w:p>
    <w:p>
      <w:pPr>
        <w:spacing w:after="80" w:line="293" w:lineRule="auto"/>
        <w:jc w:val="left"/>
      </w:pPr>
      <w:r>
        <w:rPr>
          <w:rFonts w:ascii="Times New Roman" w:hAnsi="Times New Roman" w:cs="Times New Roman"/>
          <w:b w:val="0"/>
          <w:i w:val="0"/>
          <w:sz w:val="22"/>
        </w:rPr>
        <w:t>1. delivery accepted 2. settlement complete 3. financial reconciliation complete 4. customs complete 5. post-clearance complete 6. disputes/claims satisfied according to closure policy 7. evidence sealed</w:t>
      </w:r>
    </w:p>
    <w:p>
      <w:pPr>
        <w:spacing w:after="80" w:line="293" w:lineRule="auto"/>
        <w:jc w:val="left"/>
      </w:pPr>
      <w:r>
        <w:rPr>
          <w:rFonts w:ascii="Times New Roman" w:hAnsi="Times New Roman" w:cs="Times New Roman"/>
          <w:b w:val="0"/>
          <w:i w:val="0"/>
          <w:sz w:val="22"/>
        </w:rPr>
        <w:t>Never allow authoritative contradictory state. These seven conditions are the canonical USTN closure conditions (see Section 5) and are enforced through the Closure Policy Engine defined in Article 19.11.</w:t>
      </w:r>
    </w:p>
    <w:p>
      <w:pPr>
        <w:keepNext/>
        <w:spacing w:before="240" w:after="100"/>
        <w:outlineLvl w:val="1"/>
      </w:pPr>
      <w:r>
        <w:rPr>
          <w:rFonts w:ascii="Arial" w:hAnsi="Arial" w:cs="Arial"/>
          <w:b/>
          <w:i w:val="0"/>
          <w:color w:val="2E528F"/>
          <w:sz w:val="26"/>
        </w:rPr>
        <w:t>20.103 Semantic E2E Validator</w:t>
      </w:r>
    </w:p>
    <w:p>
      <w:pPr>
        <w:spacing w:after="80" w:line="293" w:lineRule="auto"/>
        <w:jc w:val="left"/>
      </w:pPr>
      <w:r>
        <w:rPr>
          <w:rFonts w:ascii="Times New Roman" w:hAnsi="Times New Roman" w:cs="Times New Roman"/>
          <w:b w:val="0"/>
          <w:i w:val="0"/>
          <w:sz w:val="22"/>
        </w:rPr>
        <w:t>Every lifecycle stage verifies:</w:t>
      </w:r>
    </w:p>
    <w:p>
      <w:pPr>
        <w:spacing w:after="80" w:line="293" w:lineRule="auto"/>
        <w:ind w:left="283"/>
        <w:jc w:val="left"/>
      </w:pPr>
      <w:r>
        <w:rPr>
          <w:rFonts w:ascii="Times New Roman" w:hAnsi="Times New Roman" w:cs="Times New Roman"/>
          <w:b w:val="0"/>
          <w:i w:val="0"/>
          <w:sz w:val="22"/>
        </w:rPr>
        <w:t>- L1 EXISTENCE</w:t>
      </w:r>
    </w:p>
    <w:p>
      <w:pPr>
        <w:spacing w:after="80" w:line="293" w:lineRule="auto"/>
        <w:ind w:left="283"/>
        <w:jc w:val="left"/>
      </w:pPr>
      <w:r>
        <w:rPr>
          <w:rFonts w:ascii="Times New Roman" w:hAnsi="Times New Roman" w:cs="Times New Roman"/>
          <w:b w:val="0"/>
          <w:i w:val="0"/>
          <w:sz w:val="22"/>
        </w:rPr>
        <w:t>- L2 REFERENTIAL INTEGRITY</w:t>
      </w:r>
    </w:p>
    <w:p>
      <w:pPr>
        <w:spacing w:after="80" w:line="293" w:lineRule="auto"/>
        <w:ind w:left="283"/>
        <w:jc w:val="left"/>
      </w:pPr>
      <w:r>
        <w:rPr>
          <w:rFonts w:ascii="Times New Roman" w:hAnsi="Times New Roman" w:cs="Times New Roman"/>
          <w:b w:val="0"/>
          <w:i w:val="0"/>
          <w:sz w:val="22"/>
        </w:rPr>
        <w:t>- L3 STATE INTEGRITY</w:t>
      </w:r>
    </w:p>
    <w:p>
      <w:pPr>
        <w:spacing w:after="80" w:line="293" w:lineRule="auto"/>
        <w:ind w:left="283"/>
        <w:jc w:val="left"/>
      </w:pPr>
      <w:r>
        <w:rPr>
          <w:rFonts w:ascii="Times New Roman" w:hAnsi="Times New Roman" w:cs="Times New Roman"/>
          <w:b w:val="0"/>
          <w:i w:val="0"/>
          <w:sz w:val="22"/>
        </w:rPr>
        <w:t>- L4 CONSTITUTIONAL AUTHORIZATION</w:t>
      </w:r>
    </w:p>
    <w:p>
      <w:pPr>
        <w:spacing w:after="80" w:line="293" w:lineRule="auto"/>
        <w:jc w:val="left"/>
      </w:pPr>
      <w:r>
        <w:rPr>
          <w:rFonts w:ascii="Times New Roman" w:hAnsi="Times New Roman" w:cs="Times New Roman"/>
          <w:b w:val="0"/>
          <w:i w:val="0"/>
          <w:sz w:val="22"/>
        </w:rPr>
        <w:t>Not just database presence.</w:t>
      </w:r>
    </w:p>
    <w:p>
      <w:pPr>
        <w:keepNext/>
        <w:spacing w:before="240" w:after="100"/>
        <w:outlineLvl w:val="1"/>
      </w:pPr>
      <w:r>
        <w:rPr>
          <w:rFonts w:ascii="Arial" w:hAnsi="Arial" w:cs="Arial"/>
          <w:b/>
          <w:i w:val="0"/>
          <w:color w:val="2E528F"/>
          <w:sz w:val="26"/>
        </w:rPr>
        <w:t>20.104 Three Canonical E2E Fixtures</w:t>
      </w:r>
    </w:p>
    <w:p>
      <w:pPr>
        <w:spacing w:after="80" w:line="293" w:lineRule="auto"/>
        <w:jc w:val="left"/>
      </w:pPr>
      <w:r>
        <w:rPr>
          <w:rFonts w:ascii="Times New Roman" w:hAnsi="Times New Roman" w:cs="Times New Roman"/>
          <w:b w:val="0"/>
          <w:i w:val="0"/>
          <w:sz w:val="22"/>
        </w:rPr>
        <w:t>The platform maintains three canonical end-to-end (E2E) fixtures: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Fixture</w:t>
            </w:r>
          </w:p>
        </w:tc>
        <w:tc>
          <w:tcPr>
            <w:tcW w:type="dxa" w:w="2409"/>
            <w:shd w:val="clear" w:fill="D9E2F3"/>
          </w:tcPr>
          <w:p>
            <w:pPr>
              <w:spacing w:after="20" w:before="20" w:line="240" w:lineRule="auto"/>
            </w:pPr>
            <w:r/>
            <w:r>
              <w:rPr>
                <w:rFonts w:ascii="Arial" w:hAnsi="Arial" w:cs="Arial"/>
                <w:b/>
                <w:i w:val="0"/>
                <w:sz w:val="18"/>
              </w:rPr>
              <w:t>e2ePassed</w:t>
            </w:r>
          </w:p>
        </w:tc>
        <w:tc>
          <w:tcPr>
            <w:tcW w:type="dxa" w:w="2409"/>
            <w:shd w:val="clear" w:fill="D9E2F3"/>
          </w:tcPr>
          <w:p>
            <w:pPr>
              <w:spacing w:after="20" w:before="20" w:line="240" w:lineRule="auto"/>
            </w:pPr>
            <w:r/>
            <w:r>
              <w:rPr>
                <w:rFonts w:ascii="Arial" w:hAnsi="Arial" w:cs="Arial"/>
                <w:b/>
                <w:i w:val="0"/>
                <w:sz w:val="18"/>
              </w:rPr>
              <w:t>canClose</w:t>
            </w:r>
          </w:p>
        </w:tc>
        <w:tc>
          <w:tcPr>
            <w:tcW w:type="dxa" w:w="2409"/>
            <w:shd w:val="clear" w:fill="D9E2F3"/>
          </w:tcPr>
          <w:p>
            <w:pPr>
              <w:spacing w:after="20" w:before="20" w:line="240" w:lineRule="auto"/>
            </w:pPr>
            <w:r/>
            <w:r>
              <w:rPr>
                <w:rFonts w:ascii="Arial" w:hAnsi="Arial" w:cs="Arial"/>
                <w:b/>
                <w:i w:val="0"/>
                <w:sz w:val="18"/>
              </w:rPr>
              <w:t>Outcome</w:t>
            </w:r>
          </w:p>
        </w:tc>
      </w:tr>
      <w:tr>
        <w:tc>
          <w:tcPr>
            <w:tcW w:type="dxa" w:w="2409"/>
          </w:tcPr>
          <w:p>
            <w:pPr>
              <w:spacing w:after="20" w:before="20" w:line="240" w:lineRule="auto"/>
            </w:pPr>
            <w:r/>
            <w:r>
              <w:rPr>
                <w:rFonts w:ascii="Arial" w:hAnsi="Arial" w:cs="Arial"/>
                <w:b w:val="0"/>
                <w:i w:val="0"/>
                <w:sz w:val="17"/>
              </w:rPr>
              <w:t>COMPLETE</w:t>
            </w:r>
          </w:p>
        </w:tc>
        <w:tc>
          <w:tcPr>
            <w:tcW w:type="dxa" w:w="2409"/>
          </w:tcPr>
          <w:p>
            <w:pPr>
              <w:spacing w:after="20" w:before="20" w:line="240" w:lineRule="auto"/>
            </w:pPr>
            <w:r/>
            <w:r>
              <w:rPr>
                <w:rFonts w:ascii="Arial" w:hAnsi="Arial" w:cs="Arial"/>
                <w:b w:val="0"/>
                <w:i w:val="0"/>
                <w:sz w:val="17"/>
              </w:rPr>
              <w:t>true</w:t>
            </w:r>
          </w:p>
        </w:tc>
        <w:tc>
          <w:tcPr>
            <w:tcW w:type="dxa" w:w="2409"/>
          </w:tcPr>
          <w:p>
            <w:pPr>
              <w:spacing w:after="20" w:before="20" w:line="240" w:lineRule="auto"/>
            </w:pPr>
            <w:r/>
            <w:r>
              <w:rPr>
                <w:rFonts w:ascii="Arial" w:hAnsi="Arial" w:cs="Arial"/>
                <w:b w:val="0"/>
                <w:i w:val="0"/>
                <w:sz w:val="17"/>
              </w:rPr>
              <w:t>true</w:t>
            </w:r>
          </w:p>
        </w:tc>
        <w:tc>
          <w:tcPr>
            <w:tcW w:type="dxa" w:w="2409"/>
          </w:tcPr>
          <w:p>
            <w:pPr>
              <w:spacing w:after="20" w:before="20" w:line="240" w:lineRule="auto"/>
            </w:pPr>
            <w:r/>
            <w:r>
              <w:rPr>
                <w:rFonts w:ascii="Arial" w:hAnsi="Arial" w:cs="Arial"/>
                <w:b w:val="0"/>
                <w:i w:val="0"/>
                <w:sz w:val="17"/>
              </w:rPr>
              <w:t>USTN_CLOSED</w:t>
            </w:r>
          </w:p>
        </w:tc>
      </w:tr>
      <w:tr>
        <w:tc>
          <w:tcPr>
            <w:tcW w:type="dxa" w:w="2409"/>
          </w:tcPr>
          <w:p>
            <w:pPr>
              <w:spacing w:after="20" w:before="20" w:line="240" w:lineRule="auto"/>
            </w:pPr>
            <w:r/>
            <w:r>
              <w:rPr>
                <w:rFonts w:ascii="Arial" w:hAnsi="Arial" w:cs="Arial"/>
                <w:b w:val="0"/>
                <w:i w:val="0"/>
                <w:sz w:val="17"/>
              </w:rPr>
              <w:t>SETTLEMENT_BLOCKED</w:t>
            </w:r>
          </w:p>
        </w:tc>
        <w:tc>
          <w:tcPr>
            <w:tcW w:type="dxa" w:w="2409"/>
          </w:tcPr>
          <w:p>
            <w:pPr>
              <w:spacing w:after="20" w:before="20" w:line="240" w:lineRule="auto"/>
            </w:pPr>
            <w:r/>
            <w:r>
              <w:rPr>
                <w:rFonts w:ascii="Arial" w:hAnsi="Arial" w:cs="Arial"/>
                <w:b w:val="0"/>
                <w:i w:val="0"/>
                <w:sz w:val="17"/>
              </w:rPr>
              <w:t>false</w:t>
            </w:r>
          </w:p>
        </w:tc>
        <w:tc>
          <w:tcPr>
            <w:tcW w:type="dxa" w:w="2409"/>
          </w:tcPr>
          <w:p>
            <w:pPr>
              <w:spacing w:after="20" w:before="20" w:line="240" w:lineRule="auto"/>
            </w:pPr>
            <w:r/>
            <w:r>
              <w:rPr>
                <w:rFonts w:ascii="Arial" w:hAnsi="Arial" w:cs="Arial"/>
                <w:b w:val="0"/>
                <w:i w:val="0"/>
                <w:sz w:val="17"/>
              </w:rPr>
              <w:t>false</w:t>
            </w:r>
          </w:p>
        </w:tc>
        <w:tc>
          <w:tcPr>
            <w:tcW w:type="dxa" w:w="2409"/>
          </w:tcPr>
          <w:p>
            <w:pPr>
              <w:spacing w:after="20" w:before="20" w:line="240" w:lineRule="auto"/>
            </w:pPr>
            <w:r/>
            <w:r>
              <w:rPr>
                <w:rFonts w:ascii="Arial" w:hAnsi="Arial" w:cs="Arial"/>
                <w:b w:val="0"/>
                <w:i w:val="0"/>
                <w:sz w:val="17"/>
              </w:rPr>
              <w:t>SETTLEMENT_INCOMPLETE</w:t>
            </w:r>
          </w:p>
        </w:tc>
      </w:tr>
      <w:tr>
        <w:tc>
          <w:tcPr>
            <w:tcW w:type="dxa" w:w="2409"/>
          </w:tcPr>
          <w:p>
            <w:pPr>
              <w:spacing w:after="20" w:before="20" w:line="240" w:lineRule="auto"/>
            </w:pPr>
            <w:r/>
            <w:r>
              <w:rPr>
                <w:rFonts w:ascii="Arial" w:hAnsi="Arial" w:cs="Arial"/>
                <w:b w:val="0"/>
                <w:i w:val="0"/>
                <w:sz w:val="17"/>
              </w:rPr>
              <w:t>MULTI_BLOCKED</w:t>
            </w:r>
          </w:p>
        </w:tc>
        <w:tc>
          <w:tcPr>
            <w:tcW w:type="dxa" w:w="2409"/>
          </w:tcPr>
          <w:p>
            <w:pPr>
              <w:spacing w:after="20" w:before="20" w:line="240" w:lineRule="auto"/>
            </w:pPr>
            <w:r/>
            <w:r>
              <w:rPr>
                <w:rFonts w:ascii="Arial" w:hAnsi="Arial" w:cs="Arial"/>
                <w:b w:val="0"/>
                <w:i w:val="0"/>
                <w:sz w:val="17"/>
              </w:rPr>
              <w:t>false</w:t>
            </w:r>
          </w:p>
        </w:tc>
        <w:tc>
          <w:tcPr>
            <w:tcW w:type="dxa" w:w="2409"/>
          </w:tcPr>
          <w:p>
            <w:pPr>
              <w:spacing w:after="20" w:before="20" w:line="240" w:lineRule="auto"/>
            </w:pPr>
            <w:r/>
            <w:r>
              <w:rPr>
                <w:rFonts w:ascii="Arial" w:hAnsi="Arial" w:cs="Arial"/>
                <w:b w:val="0"/>
                <w:i w:val="0"/>
                <w:sz w:val="17"/>
              </w:rPr>
              <w:t>false</w:t>
            </w:r>
          </w:p>
        </w:tc>
        <w:tc>
          <w:tcPr>
            <w:tcW w:type="dxa" w:w="2409"/>
          </w:tcPr>
          <w:p>
            <w:pPr>
              <w:spacing w:after="20" w:before="20" w:line="240" w:lineRule="auto"/>
            </w:pPr>
            <w:r/>
            <w:r>
              <w:rPr>
                <w:rFonts w:ascii="Arial" w:hAnsi="Arial" w:cs="Arial"/>
                <w:b w:val="0"/>
                <w:i w:val="0"/>
                <w:sz w:val="17"/>
              </w:rPr>
              <w:t>SETTLEMENT_INCOMPLETE, POST_CLEARANCE_OPEN, EVIDENCE_NOT_SEALED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Historical fixtures are marked HISTORICAL_FIXTURE.</w:t>
      </w:r>
    </w:p>
    <w:p>
      <w:pPr>
        <w:keepNext/>
        <w:spacing w:before="240" w:after="100"/>
        <w:outlineLvl w:val="1"/>
      </w:pPr>
      <w:r>
        <w:rPr>
          <w:rFonts w:ascii="Arial" w:hAnsi="Arial" w:cs="Arial"/>
          <w:b/>
          <w:i w:val="0"/>
          <w:color w:val="2E528F"/>
          <w:sz w:val="26"/>
        </w:rPr>
        <w:t>20.105 State-Integrity Invariants</w:t>
      </w:r>
    </w:p>
    <w:p>
      <w:pPr>
        <w:spacing w:after="80" w:line="293" w:lineRule="auto"/>
        <w:jc w:val="left"/>
      </w:pPr>
      <w:r>
        <w:rPr>
          <w:rFonts w:ascii="Times New Roman" w:hAnsi="Times New Roman" w:cs="Times New Roman"/>
          <w:b w:val="0"/>
          <w:i w:val="0"/>
          <w:sz w:val="22"/>
        </w:rPr>
        <w:t>The platform maintains all twelve state-integrity invariants. Especially: USTN_CLOSED + canClose=false = STATE_INTEGRITY_EXCEPTION, and the exception must never be silently accepted as valid production state.</w:t>
      </w:r>
    </w:p>
    <w:p>
      <w:pPr>
        <w:keepNext/>
        <w:spacing w:before="180" w:after="80"/>
        <w:outlineLvl w:val="2"/>
      </w:pPr>
      <w:r>
        <w:rPr>
          <w:rFonts w:ascii="Arial" w:hAnsi="Arial" w:cs="Arial"/>
          <w:b/>
          <w:i w:val="0"/>
          <w:color w:val="333333"/>
          <w:sz w:val="23"/>
        </w:rPr>
        <w:t>20.105.1 Mandatory Automated Invariants (I-01 … I-20)</w:t>
      </w:r>
    </w:p>
    <w:p>
      <w:pPr>
        <w:spacing w:after="80" w:line="293" w:lineRule="auto"/>
        <w:jc w:val="left"/>
      </w:pPr>
      <w:r>
        <w:rPr>
          <w:rFonts w:ascii="Times New Roman" w:hAnsi="Times New Roman" w:cs="Times New Roman"/>
          <w:b w:val="0"/>
          <w:i w:val="0"/>
          <w:sz w:val="22"/>
        </w:rPr>
        <w:t>The following invariants are automated and continuously enforced (CI, runtime checks, and the semantic E2E validator of Section 20.103). A violation of any invariant is a release-blocking defect: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ID</w:t>
            </w:r>
          </w:p>
        </w:tc>
        <w:tc>
          <w:tcPr>
            <w:tcW w:type="dxa" w:w="4819"/>
            <w:shd w:val="clear" w:fill="D9E2F3"/>
          </w:tcPr>
          <w:p>
            <w:pPr>
              <w:spacing w:after="20" w:before="20" w:line="240" w:lineRule="auto"/>
            </w:pPr>
            <w:r/>
            <w:r>
              <w:rPr>
                <w:rFonts w:ascii="Arial" w:hAnsi="Arial" w:cs="Arial"/>
                <w:b/>
                <w:i w:val="0"/>
                <w:sz w:val="18"/>
              </w:rPr>
              <w:t>Invariant</w:t>
            </w:r>
          </w:p>
        </w:tc>
      </w:tr>
      <w:tr>
        <w:tc>
          <w:tcPr>
            <w:tcW w:type="dxa" w:w="4819"/>
          </w:tcPr>
          <w:p>
            <w:pPr>
              <w:spacing w:after="20" w:before="20" w:line="240" w:lineRule="auto"/>
            </w:pPr>
            <w:r/>
            <w:r>
              <w:rPr>
                <w:rFonts w:ascii="Arial" w:hAnsi="Arial" w:cs="Arial"/>
                <w:b w:val="0"/>
                <w:i w:val="0"/>
                <w:sz w:val="17"/>
              </w:rPr>
              <w:t>I-01</w:t>
            </w:r>
          </w:p>
        </w:tc>
        <w:tc>
          <w:tcPr>
            <w:tcW w:type="dxa" w:w="4819"/>
          </w:tcPr>
          <w:p>
            <w:pPr>
              <w:spacing w:after="20" w:before="20" w:line="240" w:lineRule="auto"/>
            </w:pPr>
            <w:r/>
            <w:r>
              <w:rPr>
                <w:rFonts w:ascii="Arial" w:hAnsi="Arial" w:cs="Arial"/>
                <w:b w:val="0"/>
                <w:i w:val="0"/>
                <w:sz w:val="17"/>
              </w:rPr>
              <w:t>No shipment can have two active USTNs.</w:t>
            </w:r>
          </w:p>
        </w:tc>
      </w:tr>
      <w:tr>
        <w:tc>
          <w:tcPr>
            <w:tcW w:type="dxa" w:w="4819"/>
          </w:tcPr>
          <w:p>
            <w:pPr>
              <w:spacing w:after="20" w:before="20" w:line="240" w:lineRule="auto"/>
            </w:pPr>
            <w:r/>
            <w:r>
              <w:rPr>
                <w:rFonts w:ascii="Arial" w:hAnsi="Arial" w:cs="Arial"/>
                <w:b w:val="0"/>
                <w:i w:val="0"/>
                <w:sz w:val="17"/>
              </w:rPr>
              <w:t>I-02</w:t>
            </w:r>
          </w:p>
        </w:tc>
        <w:tc>
          <w:tcPr>
            <w:tcW w:type="dxa" w:w="4819"/>
          </w:tcPr>
          <w:p>
            <w:pPr>
              <w:spacing w:after="20" w:before="20" w:line="240" w:lineRule="auto"/>
            </w:pPr>
            <w:r/>
            <w:r>
              <w:rPr>
                <w:rFonts w:ascii="Arial" w:hAnsi="Arial" w:cs="Arial"/>
                <w:b w:val="0"/>
                <w:i w:val="0"/>
                <w:sz w:val="17"/>
              </w:rPr>
              <w:t>No USTN can belong to two unrelated shipments.</w:t>
            </w:r>
          </w:p>
        </w:tc>
      </w:tr>
      <w:tr>
        <w:tc>
          <w:tcPr>
            <w:tcW w:type="dxa" w:w="4819"/>
          </w:tcPr>
          <w:p>
            <w:pPr>
              <w:spacing w:after="20" w:before="20" w:line="240" w:lineRule="auto"/>
            </w:pPr>
            <w:r/>
            <w:r>
              <w:rPr>
                <w:rFonts w:ascii="Arial" w:hAnsi="Arial" w:cs="Arial"/>
                <w:b w:val="0"/>
                <w:i w:val="0"/>
                <w:sz w:val="17"/>
              </w:rPr>
              <w:t>I-03</w:t>
            </w:r>
          </w:p>
        </w:tc>
        <w:tc>
          <w:tcPr>
            <w:tcW w:type="dxa" w:w="4819"/>
          </w:tcPr>
          <w:p>
            <w:pPr>
              <w:spacing w:after="20" w:before="20" w:line="240" w:lineRule="auto"/>
            </w:pPr>
            <w:r/>
            <w:r>
              <w:rPr>
                <w:rFonts w:ascii="Arial" w:hAnsi="Arial" w:cs="Arial"/>
                <w:b w:val="0"/>
                <w:i w:val="0"/>
                <w:sz w:val="17"/>
              </w:rPr>
              <w:t>A pre-lock trade request may have no USTN.</w:t>
            </w:r>
          </w:p>
        </w:tc>
      </w:tr>
      <w:tr>
        <w:tc>
          <w:tcPr>
            <w:tcW w:type="dxa" w:w="4819"/>
          </w:tcPr>
          <w:p>
            <w:pPr>
              <w:spacing w:after="20" w:before="20" w:line="240" w:lineRule="auto"/>
            </w:pPr>
            <w:r/>
            <w:r>
              <w:rPr>
                <w:rFonts w:ascii="Arial" w:hAnsi="Arial" w:cs="Arial"/>
                <w:b w:val="0"/>
                <w:i w:val="0"/>
                <w:sz w:val="17"/>
              </w:rPr>
              <w:t>I-04</w:t>
            </w:r>
          </w:p>
        </w:tc>
        <w:tc>
          <w:tcPr>
            <w:tcW w:type="dxa" w:w="4819"/>
          </w:tcPr>
          <w:p>
            <w:pPr>
              <w:spacing w:after="20" w:before="20" w:line="240" w:lineRule="auto"/>
            </w:pPr>
            <w:r/>
            <w:r>
              <w:rPr>
                <w:rFonts w:ascii="Arial" w:hAnsi="Arial" w:cs="Arial"/>
                <w:b w:val="0"/>
                <w:i w:val="0"/>
                <w:sz w:val="17"/>
              </w:rPr>
              <w:t>A post-lock USTN-scoped mutation requires a USTN.</w:t>
            </w:r>
          </w:p>
        </w:tc>
      </w:tr>
      <w:tr>
        <w:tc>
          <w:tcPr>
            <w:tcW w:type="dxa" w:w="4819"/>
          </w:tcPr>
          <w:p>
            <w:pPr>
              <w:spacing w:after="20" w:before="20" w:line="240" w:lineRule="auto"/>
            </w:pPr>
            <w:r/>
            <w:r>
              <w:rPr>
                <w:rFonts w:ascii="Arial" w:hAnsi="Arial" w:cs="Arial"/>
                <w:b w:val="0"/>
                <w:i w:val="0"/>
                <w:sz w:val="17"/>
              </w:rPr>
              <w:t>I-05</w:t>
            </w:r>
          </w:p>
        </w:tc>
        <w:tc>
          <w:tcPr>
            <w:tcW w:type="dxa" w:w="4819"/>
          </w:tcPr>
          <w:p>
            <w:pPr>
              <w:spacing w:after="20" w:before="20" w:line="240" w:lineRule="auto"/>
            </w:pPr>
            <w:r/>
            <w:r>
              <w:rPr>
                <w:rFonts w:ascii="Arial" w:hAnsi="Arial" w:cs="Arial"/>
                <w:b w:val="0"/>
                <w:i w:val="0"/>
                <w:sz w:val="17"/>
              </w:rPr>
              <w:t>A USTN cannot be generated twice for the same shipment.</w:t>
            </w:r>
          </w:p>
        </w:tc>
      </w:tr>
      <w:tr>
        <w:tc>
          <w:tcPr>
            <w:tcW w:type="dxa" w:w="4819"/>
          </w:tcPr>
          <w:p>
            <w:pPr>
              <w:spacing w:after="20" w:before="20" w:line="240" w:lineRule="auto"/>
            </w:pPr>
            <w:r/>
            <w:r>
              <w:rPr>
                <w:rFonts w:ascii="Arial" w:hAnsi="Arial" w:cs="Arial"/>
                <w:b w:val="0"/>
                <w:i w:val="0"/>
                <w:sz w:val="17"/>
              </w:rPr>
              <w:t>I-06</w:t>
            </w:r>
          </w:p>
        </w:tc>
        <w:tc>
          <w:tcPr>
            <w:tcW w:type="dxa" w:w="4819"/>
          </w:tcPr>
          <w:p>
            <w:pPr>
              <w:spacing w:after="20" w:before="20" w:line="240" w:lineRule="auto"/>
            </w:pPr>
            <w:r/>
            <w:r>
              <w:rPr>
                <w:rFonts w:ascii="Arial" w:hAnsi="Arial" w:cs="Arial"/>
                <w:b w:val="0"/>
                <w:i w:val="0"/>
                <w:sz w:val="17"/>
              </w:rPr>
              <w:t>No payment confirmation may be fabricated internally.</w:t>
            </w:r>
          </w:p>
        </w:tc>
      </w:tr>
      <w:tr>
        <w:tc>
          <w:tcPr>
            <w:tcW w:type="dxa" w:w="4819"/>
          </w:tcPr>
          <w:p>
            <w:pPr>
              <w:spacing w:after="20" w:before="20" w:line="240" w:lineRule="auto"/>
            </w:pPr>
            <w:r/>
            <w:r>
              <w:rPr>
                <w:rFonts w:ascii="Arial" w:hAnsi="Arial" w:cs="Arial"/>
                <w:b w:val="0"/>
                <w:i w:val="0"/>
                <w:sz w:val="17"/>
              </w:rPr>
              <w:t>I-07</w:t>
            </w:r>
          </w:p>
        </w:tc>
        <w:tc>
          <w:tcPr>
            <w:tcW w:type="dxa" w:w="4819"/>
          </w:tcPr>
          <w:p>
            <w:pPr>
              <w:spacing w:after="20" w:before="20" w:line="240" w:lineRule="auto"/>
            </w:pPr>
            <w:r/>
            <w:r>
              <w:rPr>
                <w:rFonts w:ascii="Arial" w:hAnsi="Arial" w:cs="Arial"/>
                <w:b w:val="0"/>
                <w:i w:val="0"/>
                <w:sz w:val="17"/>
              </w:rPr>
              <w:t>No AI output may authorize an irreversible action.</w:t>
            </w:r>
          </w:p>
        </w:tc>
      </w:tr>
      <w:tr>
        <w:tc>
          <w:tcPr>
            <w:tcW w:type="dxa" w:w="4819"/>
          </w:tcPr>
          <w:p>
            <w:pPr>
              <w:spacing w:after="20" w:before="20" w:line="240" w:lineRule="auto"/>
            </w:pPr>
            <w:r/>
            <w:r>
              <w:rPr>
                <w:rFonts w:ascii="Arial" w:hAnsi="Arial" w:cs="Arial"/>
                <w:b w:val="0"/>
                <w:i w:val="0"/>
                <w:sz w:val="17"/>
              </w:rPr>
              <w:t>I-08</w:t>
            </w:r>
          </w:p>
        </w:tc>
        <w:tc>
          <w:tcPr>
            <w:tcW w:type="dxa" w:w="4819"/>
          </w:tcPr>
          <w:p>
            <w:pPr>
              <w:spacing w:after="20" w:before="20" w:line="240" w:lineRule="auto"/>
            </w:pPr>
            <w:r/>
            <w:r>
              <w:rPr>
                <w:rFonts w:ascii="Arial" w:hAnsi="Arial" w:cs="Arial"/>
                <w:b w:val="0"/>
                <w:i w:val="0"/>
                <w:sz w:val="17"/>
              </w:rPr>
              <w:t>No reversal may delete the original event.</w:t>
            </w:r>
          </w:p>
        </w:tc>
      </w:tr>
      <w:tr>
        <w:tc>
          <w:tcPr>
            <w:tcW w:type="dxa" w:w="4819"/>
          </w:tcPr>
          <w:p>
            <w:pPr>
              <w:spacing w:after="20" w:before="20" w:line="240" w:lineRule="auto"/>
            </w:pPr>
            <w:r/>
            <w:r>
              <w:rPr>
                <w:rFonts w:ascii="Arial" w:hAnsi="Arial" w:cs="Arial"/>
                <w:b w:val="0"/>
                <w:i w:val="0"/>
                <w:sz w:val="17"/>
              </w:rPr>
              <w:t>I-09</w:t>
            </w:r>
          </w:p>
        </w:tc>
        <w:tc>
          <w:tcPr>
            <w:tcW w:type="dxa" w:w="4819"/>
          </w:tcPr>
          <w:p>
            <w:pPr>
              <w:spacing w:after="20" w:before="20" w:line="240" w:lineRule="auto"/>
            </w:pPr>
            <w:r/>
            <w:r>
              <w:rPr>
                <w:rFonts w:ascii="Arial" w:hAnsi="Arial" w:cs="Arial"/>
                <w:b w:val="0"/>
                <w:i w:val="0"/>
                <w:sz w:val="17"/>
              </w:rPr>
              <w:t>No CLOSED state may bypass closure policy.</w:t>
            </w:r>
          </w:p>
        </w:tc>
      </w:tr>
      <w:tr>
        <w:tc>
          <w:tcPr>
            <w:tcW w:type="dxa" w:w="4819"/>
          </w:tcPr>
          <w:p>
            <w:pPr>
              <w:spacing w:after="20" w:before="20" w:line="240" w:lineRule="auto"/>
            </w:pPr>
            <w:r/>
            <w:r>
              <w:rPr>
                <w:rFonts w:ascii="Arial" w:hAnsi="Arial" w:cs="Arial"/>
                <w:b w:val="0"/>
                <w:i w:val="0"/>
                <w:sz w:val="17"/>
              </w:rPr>
              <w:t>I-10</w:t>
            </w:r>
          </w:p>
        </w:tc>
        <w:tc>
          <w:tcPr>
            <w:tcW w:type="dxa" w:w="4819"/>
          </w:tcPr>
          <w:p>
            <w:pPr>
              <w:spacing w:after="20" w:before="20" w:line="240" w:lineRule="auto"/>
            </w:pPr>
            <w:r/>
            <w:r>
              <w:rPr>
                <w:rFonts w:ascii="Arial" w:hAnsi="Arial" w:cs="Arial"/>
                <w:b w:val="0"/>
                <w:i w:val="0"/>
                <w:sz w:val="17"/>
              </w:rPr>
              <w:t>No financial allocation may exceed the controlled economic exposure.</w:t>
            </w:r>
          </w:p>
        </w:tc>
      </w:tr>
      <w:tr>
        <w:tc>
          <w:tcPr>
            <w:tcW w:type="dxa" w:w="4819"/>
          </w:tcPr>
          <w:p>
            <w:pPr>
              <w:spacing w:after="20" w:before="20" w:line="240" w:lineRule="auto"/>
            </w:pPr>
            <w:r/>
            <w:r>
              <w:rPr>
                <w:rFonts w:ascii="Arial" w:hAnsi="Arial" w:cs="Arial"/>
                <w:b w:val="0"/>
                <w:i w:val="0"/>
                <w:sz w:val="17"/>
              </w:rPr>
              <w:t>I-11</w:t>
            </w:r>
          </w:p>
        </w:tc>
        <w:tc>
          <w:tcPr>
            <w:tcW w:type="dxa" w:w="4819"/>
          </w:tcPr>
          <w:p>
            <w:pPr>
              <w:spacing w:after="20" w:before="20" w:line="240" w:lineRule="auto"/>
            </w:pPr>
            <w:r/>
            <w:r>
              <w:rPr>
                <w:rFonts w:ascii="Arial" w:hAnsi="Arial" w:cs="Arial"/>
                <w:b w:val="0"/>
                <w:i w:val="0"/>
                <w:sz w:val="17"/>
              </w:rPr>
              <w:t>Co-financing allocations must reconcile to the master exposure.</w:t>
            </w:r>
          </w:p>
        </w:tc>
      </w:tr>
      <w:tr>
        <w:tc>
          <w:tcPr>
            <w:tcW w:type="dxa" w:w="4819"/>
          </w:tcPr>
          <w:p>
            <w:pPr>
              <w:spacing w:after="20" w:before="20" w:line="240" w:lineRule="auto"/>
            </w:pPr>
            <w:r/>
            <w:r>
              <w:rPr>
                <w:rFonts w:ascii="Arial" w:hAnsi="Arial" w:cs="Arial"/>
                <w:b w:val="0"/>
                <w:i w:val="0"/>
                <w:sz w:val="17"/>
              </w:rPr>
              <w:t>I-12</w:t>
            </w:r>
          </w:p>
        </w:tc>
        <w:tc>
          <w:tcPr>
            <w:tcW w:type="dxa" w:w="4819"/>
          </w:tcPr>
          <w:p>
            <w:pPr>
              <w:spacing w:after="20" w:before="20" w:line="240" w:lineRule="auto"/>
            </w:pPr>
            <w:r/>
            <w:r>
              <w:rPr>
                <w:rFonts w:ascii="Arial" w:hAnsi="Arial" w:cs="Arial"/>
                <w:b w:val="0"/>
                <w:i w:val="0"/>
                <w:sz w:val="17"/>
              </w:rPr>
              <w:t>Compliance blockers cannot be bypassed through stale cache.</w:t>
            </w:r>
          </w:p>
        </w:tc>
      </w:tr>
      <w:tr>
        <w:tc>
          <w:tcPr>
            <w:tcW w:type="dxa" w:w="4819"/>
          </w:tcPr>
          <w:p>
            <w:pPr>
              <w:spacing w:after="20" w:before="20" w:line="240" w:lineRule="auto"/>
            </w:pPr>
            <w:r/>
            <w:r>
              <w:rPr>
                <w:rFonts w:ascii="Arial" w:hAnsi="Arial" w:cs="Arial"/>
                <w:b w:val="0"/>
                <w:i w:val="0"/>
                <w:sz w:val="17"/>
              </w:rPr>
              <w:t>I-13</w:t>
            </w:r>
          </w:p>
        </w:tc>
        <w:tc>
          <w:tcPr>
            <w:tcW w:type="dxa" w:w="4819"/>
          </w:tcPr>
          <w:p>
            <w:pPr>
              <w:spacing w:after="20" w:before="20" w:line="240" w:lineRule="auto"/>
            </w:pPr>
            <w:r/>
            <w:r>
              <w:rPr>
                <w:rFonts w:ascii="Arial" w:hAnsi="Arial" w:cs="Arial"/>
                <w:b w:val="0"/>
                <w:i w:val="0"/>
                <w:sz w:val="17"/>
              </w:rPr>
              <w:t>QES-required transactions cannot silently downgrade to an ordinary signature.</w:t>
            </w:r>
          </w:p>
        </w:tc>
      </w:tr>
      <w:tr>
        <w:tc>
          <w:tcPr>
            <w:tcW w:type="dxa" w:w="4819"/>
          </w:tcPr>
          <w:p>
            <w:pPr>
              <w:spacing w:after="20" w:before="20" w:line="240" w:lineRule="auto"/>
            </w:pPr>
            <w:r/>
            <w:r>
              <w:rPr>
                <w:rFonts w:ascii="Arial" w:hAnsi="Arial" w:cs="Arial"/>
                <w:b w:val="0"/>
                <w:i w:val="0"/>
                <w:sz w:val="17"/>
              </w:rPr>
              <w:t>I-14</w:t>
            </w:r>
          </w:p>
        </w:tc>
        <w:tc>
          <w:tcPr>
            <w:tcW w:type="dxa" w:w="4819"/>
          </w:tcPr>
          <w:p>
            <w:pPr>
              <w:spacing w:after="20" w:before="20" w:line="240" w:lineRule="auto"/>
            </w:pPr>
            <w:r/>
            <w:r>
              <w:rPr>
                <w:rFonts w:ascii="Arial" w:hAnsi="Arial" w:cs="Arial"/>
                <w:b w:val="0"/>
                <w:i w:val="0"/>
                <w:sz w:val="17"/>
              </w:rPr>
              <w:t>Witness activity cannot imply the platform is a trade counterparty.</w:t>
            </w:r>
          </w:p>
        </w:tc>
      </w:tr>
      <w:tr>
        <w:tc>
          <w:tcPr>
            <w:tcW w:type="dxa" w:w="4819"/>
          </w:tcPr>
          <w:p>
            <w:pPr>
              <w:spacing w:after="20" w:before="20" w:line="240" w:lineRule="auto"/>
            </w:pPr>
            <w:r/>
            <w:r>
              <w:rPr>
                <w:rFonts w:ascii="Arial" w:hAnsi="Arial" w:cs="Arial"/>
                <w:b w:val="0"/>
                <w:i w:val="0"/>
                <w:sz w:val="17"/>
              </w:rPr>
              <w:t>I-15</w:t>
            </w:r>
          </w:p>
        </w:tc>
        <w:tc>
          <w:tcPr>
            <w:tcW w:type="dxa" w:w="4819"/>
          </w:tcPr>
          <w:p>
            <w:pPr>
              <w:spacing w:after="20" w:before="20" w:line="240" w:lineRule="auto"/>
            </w:pPr>
            <w:r/>
            <w:r>
              <w:rPr>
                <w:rFonts w:ascii="Arial" w:hAnsi="Arial" w:cs="Arial"/>
                <w:b w:val="0"/>
                <w:i w:val="0"/>
                <w:sz w:val="17"/>
              </w:rPr>
              <w:t>AIS inference cannot override authoritative domain evidence.</w:t>
            </w:r>
          </w:p>
        </w:tc>
      </w:tr>
      <w:tr>
        <w:tc>
          <w:tcPr>
            <w:tcW w:type="dxa" w:w="4819"/>
          </w:tcPr>
          <w:p>
            <w:pPr>
              <w:spacing w:after="20" w:before="20" w:line="240" w:lineRule="auto"/>
            </w:pPr>
            <w:r/>
            <w:r>
              <w:rPr>
                <w:rFonts w:ascii="Arial" w:hAnsi="Arial" w:cs="Arial"/>
                <w:b w:val="0"/>
                <w:i w:val="0"/>
                <w:sz w:val="17"/>
              </w:rPr>
              <w:t>I-16</w:t>
            </w:r>
          </w:p>
        </w:tc>
        <w:tc>
          <w:tcPr>
            <w:tcW w:type="dxa" w:w="4819"/>
          </w:tcPr>
          <w:p>
            <w:pPr>
              <w:spacing w:after="20" w:before="20" w:line="240" w:lineRule="auto"/>
            </w:pPr>
            <w:r/>
            <w:r>
              <w:rPr>
                <w:rFonts w:ascii="Arial" w:hAnsi="Arial" w:cs="Arial"/>
                <w:b w:val="0"/>
                <w:i w:val="0"/>
                <w:sz w:val="17"/>
              </w:rPr>
              <w:t>Settlement does not imply closure.</w:t>
            </w:r>
          </w:p>
        </w:tc>
      </w:tr>
      <w:tr>
        <w:tc>
          <w:tcPr>
            <w:tcW w:type="dxa" w:w="4819"/>
          </w:tcPr>
          <w:p>
            <w:pPr>
              <w:spacing w:after="20" w:before="20" w:line="240" w:lineRule="auto"/>
            </w:pPr>
            <w:r/>
            <w:r>
              <w:rPr>
                <w:rFonts w:ascii="Arial" w:hAnsi="Arial" w:cs="Arial"/>
                <w:b w:val="0"/>
                <w:i w:val="0"/>
                <w:sz w:val="17"/>
              </w:rPr>
              <w:t>I-17</w:t>
            </w:r>
          </w:p>
        </w:tc>
        <w:tc>
          <w:tcPr>
            <w:tcW w:type="dxa" w:w="4819"/>
          </w:tcPr>
          <w:p>
            <w:pPr>
              <w:spacing w:after="20" w:before="20" w:line="240" w:lineRule="auto"/>
            </w:pPr>
            <w:r/>
            <w:r>
              <w:rPr>
                <w:rFonts w:ascii="Arial" w:hAnsi="Arial" w:cs="Arial"/>
                <w:b w:val="0"/>
                <w:i w:val="0"/>
                <w:sz w:val="17"/>
              </w:rPr>
              <w:t>Unknown external status does not imply success.</w:t>
            </w:r>
          </w:p>
        </w:tc>
      </w:tr>
      <w:tr>
        <w:tc>
          <w:tcPr>
            <w:tcW w:type="dxa" w:w="4819"/>
          </w:tcPr>
          <w:p>
            <w:pPr>
              <w:spacing w:after="20" w:before="20" w:line="240" w:lineRule="auto"/>
            </w:pPr>
            <w:r/>
            <w:r>
              <w:rPr>
                <w:rFonts w:ascii="Arial" w:hAnsi="Arial" w:cs="Arial"/>
                <w:b w:val="0"/>
                <w:i w:val="0"/>
                <w:sz w:val="17"/>
              </w:rPr>
              <w:t>I-18</w:t>
            </w:r>
          </w:p>
        </w:tc>
        <w:tc>
          <w:tcPr>
            <w:tcW w:type="dxa" w:w="4819"/>
          </w:tcPr>
          <w:p>
            <w:pPr>
              <w:spacing w:after="20" w:before="20" w:line="240" w:lineRule="auto"/>
            </w:pPr>
            <w:r/>
            <w:r>
              <w:rPr>
                <w:rFonts w:ascii="Arial" w:hAnsi="Arial" w:cs="Arial"/>
                <w:b w:val="0"/>
                <w:i w:val="0"/>
                <w:sz w:val="17"/>
              </w:rPr>
              <w:t>Tenant approval cannot substitute for platform constitutional authorization.</w:t>
            </w:r>
          </w:p>
        </w:tc>
      </w:tr>
      <w:tr>
        <w:tc>
          <w:tcPr>
            <w:tcW w:type="dxa" w:w="4819"/>
          </w:tcPr>
          <w:p>
            <w:pPr>
              <w:spacing w:after="20" w:before="20" w:line="240" w:lineRule="auto"/>
            </w:pPr>
            <w:r/>
            <w:r>
              <w:rPr>
                <w:rFonts w:ascii="Arial" w:hAnsi="Arial" w:cs="Arial"/>
                <w:b w:val="0"/>
                <w:i w:val="0"/>
                <w:sz w:val="17"/>
              </w:rPr>
              <w:t>I-19</w:t>
            </w:r>
          </w:p>
        </w:tc>
        <w:tc>
          <w:tcPr>
            <w:tcW w:type="dxa" w:w="4819"/>
          </w:tcPr>
          <w:p>
            <w:pPr>
              <w:spacing w:after="20" w:before="20" w:line="240" w:lineRule="auto"/>
            </w:pPr>
            <w:r/>
            <w:r>
              <w:rPr>
                <w:rFonts w:ascii="Arial" w:hAnsi="Arial" w:cs="Arial"/>
                <w:b w:val="0"/>
                <w:i w:val="0"/>
                <w:sz w:val="17"/>
              </w:rPr>
              <w:t>Platform governance multisig cannot substitute for trade-party legal signature.</w:t>
            </w:r>
          </w:p>
        </w:tc>
      </w:tr>
      <w:tr>
        <w:tc>
          <w:tcPr>
            <w:tcW w:type="dxa" w:w="4819"/>
          </w:tcPr>
          <w:p>
            <w:pPr>
              <w:spacing w:after="20" w:before="20" w:line="240" w:lineRule="auto"/>
            </w:pPr>
            <w:r/>
            <w:r>
              <w:rPr>
                <w:rFonts w:ascii="Arial" w:hAnsi="Arial" w:cs="Arial"/>
                <w:b w:val="0"/>
                <w:i w:val="0"/>
                <w:sz w:val="17"/>
              </w:rPr>
              <w:t>I-20</w:t>
            </w:r>
          </w:p>
        </w:tc>
        <w:tc>
          <w:tcPr>
            <w:tcW w:type="dxa" w:w="4819"/>
          </w:tcPr>
          <w:p>
            <w:pPr>
              <w:spacing w:after="20" w:before="20" w:line="240" w:lineRule="auto"/>
            </w:pPr>
            <w:r/>
            <w:r>
              <w:rPr>
                <w:rFonts w:ascii="Arial" w:hAnsi="Arial" w:cs="Arial"/>
                <w:b w:val="0"/>
                <w:i w:val="0"/>
                <w:sz w:val="17"/>
              </w:rPr>
              <w:t>No subsystem may silently rewrite canonical transaction truth.</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invariants are tested in the mandatory cross-section test suite (Section 24.4.11) and verified by the final validation gates (Section 24.4.13). Each invariant maps to its enforcing section as referenced throughout this document; the mapping is maintained in the completion matrix (Section 24.4.10).</w:t>
      </w:r>
    </w:p>
    <w:p>
      <w:pPr>
        <w:keepNext/>
        <w:spacing w:before="240" w:after="100"/>
        <w:outlineLvl w:val="1"/>
      </w:pPr>
      <w:r>
        <w:rPr>
          <w:rFonts w:ascii="Arial" w:hAnsi="Arial" w:cs="Arial"/>
          <w:b/>
          <w:i w:val="0"/>
          <w:color w:val="2E528F"/>
          <w:sz w:val="26"/>
        </w:rPr>
        <w:t>20.106 Phase 10 Completeness Matrix</w:t>
      </w:r>
    </w:p>
    <w:p>
      <w:pPr>
        <w:spacing w:after="80" w:line="293" w:lineRule="auto"/>
        <w:jc w:val="left"/>
      </w:pPr>
      <w:r>
        <w:rPr>
          <w:rFonts w:ascii="Times New Roman" w:hAnsi="Times New Roman" w:cs="Times New Roman"/>
          <w:b w:val="0"/>
          <w:i w:val="0"/>
          <w:sz w:val="22"/>
        </w:rPr>
        <w:t>The final system maintains the FINAL_COMPLETENESS_MATRIX. Minimum columns:</w:t>
      </w:r>
    </w:p>
    <w:p>
      <w:pPr>
        <w:spacing w:after="80" w:line="293" w:lineRule="auto"/>
        <w:ind w:left="283"/>
        <w:jc w:val="left"/>
      </w:pPr>
      <w:r>
        <w:rPr>
          <w:rFonts w:ascii="Times New Roman" w:hAnsi="Times New Roman" w:cs="Times New Roman"/>
          <w:b w:val="0"/>
          <w:i w:val="0"/>
          <w:sz w:val="22"/>
        </w:rPr>
        <w:t>- Subsystem</w:t>
      </w:r>
    </w:p>
    <w:p>
      <w:pPr>
        <w:spacing w:after="80" w:line="293" w:lineRule="auto"/>
        <w:ind w:left="283"/>
        <w:jc w:val="left"/>
      </w:pPr>
      <w:r>
        <w:rPr>
          <w:rFonts w:ascii="Times New Roman" w:hAnsi="Times New Roman" w:cs="Times New Roman"/>
          <w:b w:val="0"/>
          <w:i w:val="0"/>
          <w:sz w:val="22"/>
        </w:rPr>
        <w:t>- Implemented</w:t>
      </w:r>
    </w:p>
    <w:p>
      <w:pPr>
        <w:spacing w:after="80" w:line="293" w:lineRule="auto"/>
        <w:ind w:left="283"/>
        <w:jc w:val="left"/>
      </w:pPr>
      <w:r>
        <w:rPr>
          <w:rFonts w:ascii="Times New Roman" w:hAnsi="Times New Roman" w:cs="Times New Roman"/>
          <w:b w:val="0"/>
          <w:i w:val="0"/>
          <w:sz w:val="22"/>
        </w:rPr>
        <w:t>- Database</w:t>
      </w:r>
    </w:p>
    <w:p>
      <w:pPr>
        <w:spacing w:after="80" w:line="293" w:lineRule="auto"/>
        <w:ind w:left="283"/>
        <w:jc w:val="left"/>
      </w:pPr>
      <w:r>
        <w:rPr>
          <w:rFonts w:ascii="Times New Roman" w:hAnsi="Times New Roman" w:cs="Times New Roman"/>
          <w:b w:val="0"/>
          <w:i w:val="0"/>
          <w:sz w:val="22"/>
        </w:rPr>
        <w:t>- API</w:t>
      </w:r>
    </w:p>
    <w:p>
      <w:pPr>
        <w:spacing w:after="80" w:line="293" w:lineRule="auto"/>
        <w:ind w:left="283"/>
        <w:jc w:val="left"/>
      </w:pPr>
      <w:r>
        <w:rPr>
          <w:rFonts w:ascii="Times New Roman" w:hAnsi="Times New Roman" w:cs="Times New Roman"/>
          <w:b w:val="0"/>
          <w:i w:val="0"/>
          <w:sz w:val="22"/>
        </w:rPr>
        <w:t>- OpenAPI</w:t>
      </w:r>
    </w:p>
    <w:p>
      <w:pPr>
        <w:spacing w:after="80" w:line="293" w:lineRule="auto"/>
        <w:ind w:left="283"/>
        <w:jc w:val="left"/>
      </w:pPr>
      <w:r>
        <w:rPr>
          <w:rFonts w:ascii="Times New Roman" w:hAnsi="Times New Roman" w:cs="Times New Roman"/>
          <w:b w:val="0"/>
          <w:i w:val="0"/>
          <w:sz w:val="22"/>
        </w:rPr>
        <w:t>- UI</w:t>
      </w:r>
    </w:p>
    <w:p>
      <w:pPr>
        <w:spacing w:after="80" w:line="293" w:lineRule="auto"/>
        <w:ind w:left="283"/>
        <w:jc w:val="left"/>
      </w:pPr>
      <w:r>
        <w:rPr>
          <w:rFonts w:ascii="Times New Roman" w:hAnsi="Times New Roman" w:cs="Times New Roman"/>
          <w:b w:val="0"/>
          <w:i w:val="0"/>
          <w:sz w:val="22"/>
        </w:rPr>
        <w:t>- Governor</w:t>
      </w:r>
    </w:p>
    <w:p>
      <w:pPr>
        <w:spacing w:after="80" w:line="293" w:lineRule="auto"/>
        <w:ind w:left="283"/>
        <w:jc w:val="left"/>
      </w:pPr>
      <w:r>
        <w:rPr>
          <w:rFonts w:ascii="Times New Roman" w:hAnsi="Times New Roman" w:cs="Times New Roman"/>
          <w:b w:val="0"/>
          <w:i w:val="0"/>
          <w:sz w:val="22"/>
        </w:rPr>
        <w:t>- OPA</w:t>
      </w:r>
    </w:p>
    <w:p>
      <w:pPr>
        <w:spacing w:after="80" w:line="293" w:lineRule="auto"/>
        <w:ind w:left="283"/>
        <w:jc w:val="left"/>
      </w:pPr>
      <w:r>
        <w:rPr>
          <w:rFonts w:ascii="Times New Roman" w:hAnsi="Times New Roman" w:cs="Times New Roman"/>
          <w:b w:val="0"/>
          <w:i w:val="0"/>
          <w:sz w:val="22"/>
        </w:rPr>
        <w:t>- WasmEdge</w:t>
      </w:r>
    </w:p>
    <w:p>
      <w:pPr>
        <w:spacing w:after="80" w:line="293" w:lineRule="auto"/>
        <w:ind w:left="283"/>
        <w:jc w:val="left"/>
      </w:pPr>
      <w:r>
        <w:rPr>
          <w:rFonts w:ascii="Times New Roman" w:hAnsi="Times New Roman" w:cs="Times New Roman"/>
          <w:b w:val="0"/>
          <w:i w:val="0"/>
          <w:sz w:val="22"/>
        </w:rPr>
        <w:t>- Loom</w:t>
      </w:r>
    </w:p>
    <w:p>
      <w:pPr>
        <w:spacing w:after="80" w:line="293" w:lineRule="auto"/>
        <w:ind w:left="283"/>
        <w:jc w:val="left"/>
      </w:pPr>
      <w:r>
        <w:rPr>
          <w:rFonts w:ascii="Times New Roman" w:hAnsi="Times New Roman" w:cs="Times New Roman"/>
          <w:b w:val="0"/>
          <w:i w:val="0"/>
          <w:sz w:val="22"/>
        </w:rPr>
        <w:t>- Tested</w:t>
      </w:r>
    </w:p>
    <w:p>
      <w:pPr>
        <w:spacing w:after="80" w:line="293" w:lineRule="auto"/>
        <w:ind w:left="283"/>
        <w:jc w:val="left"/>
      </w:pPr>
      <w:r>
        <w:rPr>
          <w:rFonts w:ascii="Times New Roman" w:hAnsi="Times New Roman" w:cs="Times New Roman"/>
          <w:b w:val="0"/>
          <w:i w:val="0"/>
          <w:sz w:val="22"/>
        </w:rPr>
        <w:t>- Integrated</w:t>
      </w:r>
    </w:p>
    <w:p>
      <w:pPr>
        <w:spacing w:after="80" w:line="293" w:lineRule="auto"/>
        <w:ind w:left="283"/>
        <w:jc w:val="left"/>
      </w:pPr>
      <w:r>
        <w:rPr>
          <w:rFonts w:ascii="Times New Roman" w:hAnsi="Times New Roman" w:cs="Times New Roman"/>
          <w:b w:val="0"/>
          <w:i w:val="0"/>
          <w:sz w:val="22"/>
        </w:rPr>
        <w:t>- Production</w:t>
      </w:r>
    </w:p>
    <w:p>
      <w:pPr>
        <w:spacing w:after="80" w:line="293" w:lineRule="auto"/>
        <w:ind w:left="283"/>
        <w:jc w:val="left"/>
      </w:pPr>
      <w:r>
        <w:rPr>
          <w:rFonts w:ascii="Times New Roman" w:hAnsi="Times New Roman" w:cs="Times New Roman"/>
          <w:b w:val="0"/>
          <w:i w:val="0"/>
          <w:sz w:val="22"/>
        </w:rPr>
        <w:t>- Fallback</w:t>
      </w:r>
    </w:p>
    <w:p>
      <w:pPr>
        <w:spacing w:after="80" w:line="293" w:lineRule="auto"/>
        <w:ind w:left="283"/>
        <w:jc w:val="left"/>
      </w:pPr>
      <w:r>
        <w:rPr>
          <w:rFonts w:ascii="Times New Roman" w:hAnsi="Times New Roman" w:cs="Times New Roman"/>
          <w:b w:val="0"/>
          <w:i w:val="0"/>
          <w:sz w:val="22"/>
        </w:rPr>
        <w:t>- Admin Visible</w:t>
      </w:r>
    </w:p>
    <w:p>
      <w:pPr>
        <w:spacing w:after="80" w:line="293" w:lineRule="auto"/>
        <w:ind w:left="283"/>
        <w:jc w:val="left"/>
      </w:pPr>
      <w:r>
        <w:rPr>
          <w:rFonts w:ascii="Times New Roman" w:hAnsi="Times New Roman" w:cs="Times New Roman"/>
          <w:b w:val="0"/>
          <w:i w:val="0"/>
          <w:sz w:val="22"/>
        </w:rPr>
        <w:t>- Documentation</w:t>
      </w:r>
    </w:p>
    <w:p>
      <w:pPr>
        <w:spacing w:after="80" w:line="293" w:lineRule="auto"/>
        <w:ind w:left="283"/>
        <w:jc w:val="left"/>
      </w:pPr>
      <w:r>
        <w:rPr>
          <w:rFonts w:ascii="Times New Roman" w:hAnsi="Times New Roman" w:cs="Times New Roman"/>
          <w:b w:val="0"/>
          <w:i w:val="0"/>
          <w:sz w:val="22"/>
        </w:rPr>
        <w:t>- Owner</w:t>
      </w:r>
    </w:p>
    <w:p>
      <w:pPr>
        <w:spacing w:after="80" w:line="293" w:lineRule="auto"/>
        <w:ind w:left="283"/>
        <w:jc w:val="left"/>
      </w:pPr>
      <w:r>
        <w:rPr>
          <w:rFonts w:ascii="Times New Roman" w:hAnsi="Times New Roman" w:cs="Times New Roman"/>
          <w:b w:val="0"/>
          <w:i w:val="0"/>
          <w:sz w:val="22"/>
        </w:rPr>
        <w:t>- Status</w:t>
      </w:r>
    </w:p>
    <w:p>
      <w:pPr>
        <w:spacing w:after="80" w:line="293" w:lineRule="auto"/>
        <w:jc w:val="left"/>
      </w:pPr>
      <w:r>
        <w:rPr>
          <w:rFonts w:ascii="Times New Roman" w:hAnsi="Times New Roman" w:cs="Times New Roman"/>
          <w:b w:val="0"/>
          <w:i w:val="0"/>
          <w:sz w:val="22"/>
        </w:rPr>
        <w:t>No UNKNOWN at final acceptance.</w:t>
      </w:r>
    </w:p>
    <w:p>
      <w:pPr>
        <w:keepNext/>
        <w:spacing w:before="240" w:after="100"/>
        <w:outlineLvl w:val="1"/>
      </w:pPr>
      <w:r>
        <w:rPr>
          <w:rFonts w:ascii="Arial" w:hAnsi="Arial" w:cs="Arial"/>
          <w:b/>
          <w:i w:val="0"/>
          <w:color w:val="2E528F"/>
          <w:sz w:val="26"/>
        </w:rPr>
        <w:t>20.107 Production Readiness Terminology</w:t>
      </w:r>
    </w:p>
    <w:p>
      <w:pPr>
        <w:spacing w:after="80" w:line="293" w:lineRule="auto"/>
        <w:jc w:val="left"/>
      </w:pPr>
      <w:r>
        <w:rPr>
          <w:rFonts w:ascii="Times New Roman" w:hAnsi="Times New Roman" w:cs="Times New Roman"/>
          <w:b w:val="0"/>
          <w:i w:val="0"/>
          <w:sz w:val="22"/>
        </w:rPr>
        <w:t>Use:</w:t>
      </w:r>
    </w:p>
    <w:p>
      <w:pPr>
        <w:spacing w:after="80" w:line="293" w:lineRule="auto"/>
        <w:ind w:left="283"/>
        <w:jc w:val="left"/>
      </w:pPr>
      <w:r>
        <w:rPr>
          <w:rFonts w:ascii="Times New Roman" w:hAnsi="Times New Roman" w:cs="Times New Roman"/>
          <w:b w:val="0"/>
          <w:i w:val="0"/>
          <w:sz w:val="22"/>
        </w:rPr>
        <w:t>- CORE_READY</w:t>
      </w:r>
    </w:p>
    <w:p>
      <w:pPr>
        <w:spacing w:after="80" w:line="293" w:lineRule="auto"/>
        <w:ind w:left="283"/>
        <w:jc w:val="left"/>
      </w:pPr>
      <w:r>
        <w:rPr>
          <w:rFonts w:ascii="Times New Roman" w:hAnsi="Times New Roman" w:cs="Times New Roman"/>
          <w:b w:val="0"/>
          <w:i w:val="0"/>
          <w:sz w:val="22"/>
        </w:rPr>
        <w:t>- ADAPTER_READY</w:t>
      </w:r>
    </w:p>
    <w:p>
      <w:pPr>
        <w:spacing w:after="80" w:line="293" w:lineRule="auto"/>
        <w:ind w:left="283"/>
        <w:jc w:val="left"/>
      </w:pPr>
      <w:r>
        <w:rPr>
          <w:rFonts w:ascii="Times New Roman" w:hAnsi="Times New Roman" w:cs="Times New Roman"/>
          <w:b w:val="0"/>
          <w:i w:val="0"/>
          <w:sz w:val="22"/>
        </w:rPr>
        <w:t>- COUNTRY_CONFIGURED</w:t>
      </w:r>
    </w:p>
    <w:p>
      <w:pPr>
        <w:spacing w:after="80" w:line="293" w:lineRule="auto"/>
        <w:ind w:left="283"/>
        <w:jc w:val="left"/>
      </w:pPr>
      <w:r>
        <w:rPr>
          <w:rFonts w:ascii="Times New Roman" w:hAnsi="Times New Roman" w:cs="Times New Roman"/>
          <w:b w:val="0"/>
          <w:i w:val="0"/>
          <w:sz w:val="22"/>
        </w:rPr>
        <w:t>- SANDBOX_CONNECTED</w:t>
      </w:r>
    </w:p>
    <w:p>
      <w:pPr>
        <w:spacing w:after="80" w:line="293" w:lineRule="auto"/>
        <w:ind w:left="283"/>
        <w:jc w:val="left"/>
      </w:pPr>
      <w:r>
        <w:rPr>
          <w:rFonts w:ascii="Times New Roman" w:hAnsi="Times New Roman" w:cs="Times New Roman"/>
          <w:b w:val="0"/>
          <w:i w:val="0"/>
          <w:sz w:val="22"/>
        </w:rPr>
        <w:t>- PRODUCTION_CONNECTED</w:t>
      </w:r>
    </w:p>
    <w:p>
      <w:pPr>
        <w:spacing w:after="80" w:line="293" w:lineRule="auto"/>
        <w:ind w:left="283"/>
        <w:jc w:val="left"/>
      </w:pPr>
      <w:r>
        <w:rPr>
          <w:rFonts w:ascii="Times New Roman" w:hAnsi="Times New Roman" w:cs="Times New Roman"/>
          <w:b w:val="0"/>
          <w:i w:val="0"/>
          <w:sz w:val="22"/>
        </w:rPr>
        <w:t>- MANUAL_ONLY</w:t>
      </w:r>
    </w:p>
    <w:p>
      <w:pPr>
        <w:spacing w:after="80" w:line="293" w:lineRule="auto"/>
        <w:ind w:left="283"/>
        <w:jc w:val="left"/>
      </w:pPr>
      <w:r>
        <w:rPr>
          <w:rFonts w:ascii="Times New Roman" w:hAnsi="Times New Roman" w:cs="Times New Roman"/>
          <w:b w:val="0"/>
          <w:i w:val="0"/>
          <w:sz w:val="22"/>
        </w:rPr>
        <w:t>- PORTAL_ONLY</w:t>
      </w:r>
    </w:p>
    <w:p>
      <w:pPr>
        <w:spacing w:after="80" w:line="293" w:lineRule="auto"/>
        <w:ind w:left="283"/>
        <w:jc w:val="left"/>
      </w:pPr>
      <w:r>
        <w:rPr>
          <w:rFonts w:ascii="Times New Roman" w:hAnsi="Times New Roman" w:cs="Times New Roman"/>
          <w:b w:val="0"/>
          <w:i w:val="0"/>
          <w:sz w:val="22"/>
        </w:rPr>
        <w:t>- INTEGRATION_REQUIRED</w:t>
      </w:r>
    </w:p>
    <w:p>
      <w:pPr>
        <w:spacing w:after="80" w:line="293" w:lineRule="auto"/>
        <w:ind w:left="283"/>
        <w:jc w:val="left"/>
      </w:pPr>
      <w:r>
        <w:rPr>
          <w:rFonts w:ascii="Times New Roman" w:hAnsi="Times New Roman" w:cs="Times New Roman"/>
          <w:b w:val="0"/>
          <w:i w:val="0"/>
          <w:sz w:val="22"/>
        </w:rPr>
        <w:t>- LEGAL_AUTHORIZATION_REQUIRED</w:t>
      </w:r>
    </w:p>
    <w:p>
      <w:pPr>
        <w:spacing w:after="80" w:line="293" w:lineRule="auto"/>
        <w:jc w:val="left"/>
      </w:pPr>
      <w:r>
        <w:rPr>
          <w:rFonts w:ascii="Times New Roman" w:hAnsi="Times New Roman" w:cs="Times New Roman"/>
          <w:b w:val="0"/>
          <w:i w:val="0"/>
          <w:sz w:val="22"/>
        </w:rPr>
        <w:t>Never claim: WORLDWIDE_INTEGRATED without evidence.</w:t>
      </w:r>
    </w:p>
    <w:p>
      <w:pPr>
        <w:keepNext/>
        <w:spacing w:before="240" w:after="100"/>
        <w:outlineLvl w:val="1"/>
      </w:pPr>
      <w:r>
        <w:rPr>
          <w:rFonts w:ascii="Arial" w:hAnsi="Arial" w:cs="Arial"/>
          <w:b/>
          <w:i w:val="0"/>
          <w:color w:val="2E528F"/>
          <w:sz w:val="26"/>
        </w:rPr>
        <w:t>20.108 Production Readiness Coverage</w:t>
      </w:r>
    </w:p>
    <w:p>
      <w:pPr>
        <w:spacing w:after="80" w:line="293" w:lineRule="auto"/>
        <w:jc w:val="left"/>
      </w:pPr>
      <w:r>
        <w:rPr>
          <w:rFonts w:ascii="Times New Roman" w:hAnsi="Times New Roman" w:cs="Times New Roman"/>
          <w:b w:val="0"/>
          <w:i w:val="0"/>
          <w:sz w:val="22"/>
        </w:rPr>
        <w:t>The platform uses PRODUCTION READINESS COVERAGE rather than a generic "readiness score." This is not:</w:t>
      </w:r>
    </w:p>
    <w:p>
      <w:pPr>
        <w:spacing w:after="80" w:line="293" w:lineRule="auto"/>
        <w:ind w:left="283"/>
        <w:jc w:val="left"/>
      </w:pPr>
      <w:r>
        <w:rPr>
          <w:rFonts w:ascii="Times New Roman" w:hAnsi="Times New Roman" w:cs="Times New Roman"/>
          <w:b w:val="0"/>
          <w:i w:val="0"/>
          <w:sz w:val="22"/>
        </w:rPr>
        <w:t>- legal compliance percentage</w:t>
      </w:r>
    </w:p>
    <w:p>
      <w:pPr>
        <w:spacing w:after="80" w:line="293" w:lineRule="auto"/>
        <w:ind w:left="283"/>
        <w:jc w:val="left"/>
      </w:pPr>
      <w:r>
        <w:rPr>
          <w:rFonts w:ascii="Times New Roman" w:hAnsi="Times New Roman" w:cs="Times New Roman"/>
          <w:b w:val="0"/>
          <w:i w:val="0"/>
          <w:sz w:val="22"/>
        </w:rPr>
        <w:t>- operational probability</w:t>
      </w:r>
    </w:p>
    <w:p>
      <w:pPr>
        <w:spacing w:after="80" w:line="293" w:lineRule="auto"/>
        <w:ind w:left="283"/>
        <w:jc w:val="left"/>
      </w:pPr>
      <w:r>
        <w:rPr>
          <w:rFonts w:ascii="Times New Roman" w:hAnsi="Times New Roman" w:cs="Times New Roman"/>
          <w:b w:val="0"/>
          <w:i w:val="0"/>
          <w:sz w:val="22"/>
        </w:rPr>
        <w:t>- worldwide integration percentage</w:t>
      </w:r>
    </w:p>
    <w:p>
      <w:pPr>
        <w:keepNext/>
        <w:spacing w:before="240" w:after="100"/>
        <w:outlineLvl w:val="1"/>
      </w:pPr>
      <w:r>
        <w:rPr>
          <w:rFonts w:ascii="Arial" w:hAnsi="Arial" w:cs="Arial"/>
          <w:b/>
          <w:i w:val="0"/>
          <w:color w:val="2E528F"/>
          <w:sz w:val="26"/>
        </w:rPr>
        <w:t>20.109 External Readiness</w:t>
      </w:r>
    </w:p>
    <w:p>
      <w:pPr>
        <w:spacing w:after="80" w:line="293" w:lineRule="auto"/>
        <w:jc w:val="left"/>
      </w:pPr>
      <w:r>
        <w:rPr>
          <w:rFonts w:ascii="Times New Roman" w:hAnsi="Times New Roman" w:cs="Times New Roman"/>
          <w:b w:val="0"/>
          <w:i w:val="0"/>
          <w:sz w:val="22"/>
        </w:rPr>
        <w:t>Every connector separately reports the four external-readiness dimensions defined in Section 20.37 — TECHNICAL, LEGAL, OPERATIONAL, and COMMERCIAL — never a single blended “Connected” flag. This is essential for government integration.</w:t>
      </w:r>
    </w:p>
    <w:p>
      <w:pPr>
        <w:keepNext/>
        <w:spacing w:before="240" w:after="100"/>
        <w:outlineLvl w:val="1"/>
      </w:pPr>
      <w:r>
        <w:rPr>
          <w:rFonts w:ascii="Arial" w:hAnsi="Arial" w:cs="Arial"/>
          <w:b/>
          <w:i w:val="0"/>
          <w:color w:val="2E528F"/>
          <w:sz w:val="26"/>
        </w:rPr>
        <w:t>20.110 Data Localization</w:t>
      </w:r>
    </w:p>
    <w:p>
      <w:pPr>
        <w:spacing w:after="80" w:line="293" w:lineRule="auto"/>
        <w:jc w:val="left"/>
      </w:pPr>
      <w:r>
        <w:rPr>
          <w:rFonts w:ascii="Times New Roman" w:hAnsi="Times New Roman" w:cs="Times New Roman"/>
          <w:b w:val="0"/>
          <w:i w:val="0"/>
          <w:sz w:val="22"/>
        </w:rPr>
        <w:t>Each jurisdiction declares:</w:t>
      </w:r>
    </w:p>
    <w:p>
      <w:pPr>
        <w:spacing w:after="80" w:line="293" w:lineRule="auto"/>
        <w:ind w:left="283"/>
        <w:jc w:val="left"/>
      </w:pPr>
      <w:r>
        <w:rPr>
          <w:rFonts w:ascii="Times New Roman" w:hAnsi="Times New Roman" w:cs="Times New Roman"/>
          <w:b w:val="0"/>
          <w:i w:val="0"/>
          <w:sz w:val="22"/>
        </w:rPr>
        <w:t>- EGYPT_ONLY</w:t>
      </w:r>
    </w:p>
    <w:p>
      <w:pPr>
        <w:spacing w:after="80" w:line="293" w:lineRule="auto"/>
        <w:ind w:left="283"/>
        <w:jc w:val="left"/>
      </w:pPr>
      <w:r>
        <w:rPr>
          <w:rFonts w:ascii="Times New Roman" w:hAnsi="Times New Roman" w:cs="Times New Roman"/>
          <w:b w:val="0"/>
          <w:i w:val="0"/>
          <w:sz w:val="22"/>
        </w:rPr>
        <w:t>- COUNTRY_ONLY</w:t>
      </w:r>
    </w:p>
    <w:p>
      <w:pPr>
        <w:spacing w:after="80" w:line="293" w:lineRule="auto"/>
        <w:ind w:left="283"/>
        <w:jc w:val="left"/>
      </w:pPr>
      <w:r>
        <w:rPr>
          <w:rFonts w:ascii="Times New Roman" w:hAnsi="Times New Roman" w:cs="Times New Roman"/>
          <w:b w:val="0"/>
          <w:i w:val="0"/>
          <w:sz w:val="22"/>
        </w:rPr>
        <w:t>- REGIONAL</w:t>
      </w:r>
    </w:p>
    <w:p>
      <w:pPr>
        <w:spacing w:after="80" w:line="293" w:lineRule="auto"/>
        <w:ind w:left="283"/>
        <w:jc w:val="left"/>
      </w:pPr>
      <w:r>
        <w:rPr>
          <w:rFonts w:ascii="Times New Roman" w:hAnsi="Times New Roman" w:cs="Times New Roman"/>
          <w:b w:val="0"/>
          <w:i w:val="0"/>
          <w:sz w:val="22"/>
        </w:rPr>
        <w:t>- APPROVED_CROSS_BORDER</w:t>
      </w:r>
    </w:p>
    <w:p>
      <w:pPr>
        <w:spacing w:after="80" w:line="293" w:lineRule="auto"/>
        <w:ind w:left="283"/>
        <w:jc w:val="left"/>
      </w:pPr>
      <w:r>
        <w:rPr>
          <w:rFonts w:ascii="Times New Roman" w:hAnsi="Times New Roman" w:cs="Times New Roman"/>
          <w:b w:val="0"/>
          <w:i w:val="0"/>
          <w:sz w:val="22"/>
        </w:rPr>
        <w:t>- GLOBAL_ALLOWED</w:t>
      </w:r>
    </w:p>
    <w:p>
      <w:pPr>
        <w:spacing w:after="80" w:line="293" w:lineRule="auto"/>
        <w:jc w:val="left"/>
      </w:pPr>
      <w:r>
        <w:rPr>
          <w:rFonts w:ascii="Times New Roman" w:hAnsi="Times New Roman" w:cs="Times New Roman"/>
          <w:b w:val="0"/>
          <w:i w:val="0"/>
          <w:sz w:val="22"/>
        </w:rPr>
        <w:t>The platform applies the strictest relevant rule and sends only required data.</w:t>
      </w:r>
    </w:p>
    <w:p>
      <w:pPr>
        <w:keepNext/>
        <w:spacing w:before="240" w:after="100"/>
        <w:outlineLvl w:val="1"/>
      </w:pPr>
      <w:r>
        <w:rPr>
          <w:rFonts w:ascii="Arial" w:hAnsi="Arial" w:cs="Arial"/>
          <w:b/>
          <w:i w:val="0"/>
          <w:color w:val="2E528F"/>
          <w:sz w:val="26"/>
        </w:rPr>
        <w:t>20.111 Digital Signature / Legality</w:t>
      </w:r>
    </w:p>
    <w:p>
      <w:pPr>
        <w:spacing w:after="80" w:line="293" w:lineRule="auto"/>
        <w:jc w:val="left"/>
      </w:pPr>
      <w:r>
        <w:rPr>
          <w:rFonts w:ascii="Times New Roman" w:hAnsi="Times New Roman" w:cs="Times New Roman"/>
          <w:b w:val="0"/>
          <w:i w:val="0"/>
          <w:sz w:val="22"/>
        </w:rPr>
        <w:t>The platform supports:</w:t>
      </w:r>
    </w:p>
    <w:p>
      <w:pPr>
        <w:spacing w:after="80" w:line="293" w:lineRule="auto"/>
        <w:ind w:left="283"/>
        <w:jc w:val="left"/>
      </w:pPr>
      <w:r>
        <w:rPr>
          <w:rFonts w:ascii="Times New Roman" w:hAnsi="Times New Roman" w:cs="Times New Roman"/>
          <w:b w:val="0"/>
          <w:i w:val="0"/>
          <w:sz w:val="22"/>
        </w:rPr>
        <w:t>- standard electronic signatures</w:t>
      </w:r>
    </w:p>
    <w:p>
      <w:pPr>
        <w:spacing w:after="80" w:line="293" w:lineRule="auto"/>
        <w:ind w:left="283"/>
        <w:jc w:val="left"/>
      </w:pPr>
      <w:r>
        <w:rPr>
          <w:rFonts w:ascii="Times New Roman" w:hAnsi="Times New Roman" w:cs="Times New Roman"/>
          <w:b w:val="0"/>
          <w:i w:val="0"/>
          <w:sz w:val="22"/>
        </w:rPr>
        <w:t>- advanced electronic signatures</w:t>
      </w:r>
    </w:p>
    <w:p>
      <w:pPr>
        <w:spacing w:after="80" w:line="293" w:lineRule="auto"/>
        <w:ind w:left="283"/>
        <w:jc w:val="left"/>
      </w:pPr>
      <w:r>
        <w:rPr>
          <w:rFonts w:ascii="Times New Roman" w:hAnsi="Times New Roman" w:cs="Times New Roman"/>
          <w:b w:val="0"/>
          <w:i w:val="0"/>
          <w:sz w:val="22"/>
        </w:rPr>
        <w:t>- qualified electronic signatures</w:t>
      </w:r>
    </w:p>
    <w:p>
      <w:pPr>
        <w:spacing w:after="80" w:line="293" w:lineRule="auto"/>
        <w:ind w:left="283"/>
        <w:jc w:val="left"/>
      </w:pPr>
      <w:r>
        <w:rPr>
          <w:rFonts w:ascii="Times New Roman" w:hAnsi="Times New Roman" w:cs="Times New Roman"/>
          <w:b w:val="0"/>
          <w:i w:val="0"/>
          <w:sz w:val="22"/>
        </w:rPr>
        <w:t>- digital seals</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notarization</w:t>
      </w:r>
    </w:p>
    <w:p>
      <w:pPr>
        <w:spacing w:after="80" w:line="293" w:lineRule="auto"/>
        <w:ind w:left="283"/>
        <w:jc w:val="left"/>
      </w:pPr>
      <w:r>
        <w:rPr>
          <w:rFonts w:ascii="Times New Roman" w:hAnsi="Times New Roman" w:cs="Times New Roman"/>
          <w:b w:val="0"/>
          <w:i w:val="0"/>
          <w:sz w:val="22"/>
        </w:rPr>
        <w:t>- legalization</w:t>
      </w:r>
    </w:p>
    <w:p>
      <w:pPr>
        <w:spacing w:after="80" w:line="293" w:lineRule="auto"/>
        <w:ind w:left="283"/>
        <w:jc w:val="left"/>
      </w:pPr>
      <w:r>
        <w:rPr>
          <w:rFonts w:ascii="Times New Roman" w:hAnsi="Times New Roman" w:cs="Times New Roman"/>
          <w:b w:val="0"/>
          <w:i w:val="0"/>
          <w:sz w:val="22"/>
        </w:rPr>
        <w:t>- apostille</w:t>
      </w:r>
    </w:p>
    <w:p>
      <w:pPr>
        <w:spacing w:after="80" w:line="293" w:lineRule="auto"/>
        <w:ind w:left="283"/>
        <w:jc w:val="left"/>
      </w:pPr>
      <w:r>
        <w:rPr>
          <w:rFonts w:ascii="Times New Roman" w:hAnsi="Times New Roman" w:cs="Times New Roman"/>
          <w:b w:val="0"/>
          <w:i w:val="0"/>
          <w:sz w:val="22"/>
        </w:rPr>
        <w:t>- certified translations</w:t>
      </w:r>
    </w:p>
    <w:p>
      <w:pPr>
        <w:keepNext/>
        <w:spacing w:before="240" w:after="100"/>
        <w:outlineLvl w:val="1"/>
      </w:pPr>
      <w:r>
        <w:rPr>
          <w:rFonts w:ascii="Arial" w:hAnsi="Arial" w:cs="Arial"/>
          <w:b/>
          <w:i w:val="0"/>
          <w:color w:val="2E528F"/>
          <w:sz w:val="26"/>
        </w:rPr>
        <w:t>20.112 Global Standards Gateway</w:t>
      </w:r>
    </w:p>
    <w:p>
      <w:pPr>
        <w:spacing w:after="80" w:line="293" w:lineRule="auto"/>
        <w:jc w:val="left"/>
      </w:pPr>
      <w:r>
        <w:rPr>
          <w:rFonts w:ascii="Times New Roman" w:hAnsi="Times New Roman" w:cs="Times New Roman"/>
          <w:b w:val="0"/>
          <w:i w:val="0"/>
          <w:sz w:val="22"/>
        </w:rPr>
        <w:t>The Global Standards Gateway supports mappings for:</w:t>
      </w:r>
    </w:p>
    <w:p>
      <w:pPr>
        <w:spacing w:after="80" w:line="293" w:lineRule="auto"/>
        <w:ind w:left="283"/>
        <w:jc w:val="left"/>
      </w:pPr>
      <w:r>
        <w:rPr>
          <w:rFonts w:ascii="Times New Roman" w:hAnsi="Times New Roman" w:cs="Times New Roman"/>
          <w:b w:val="0"/>
          <w:i w:val="0"/>
          <w:sz w:val="22"/>
        </w:rPr>
        <w:t>- WCO Data Model</w:t>
      </w:r>
    </w:p>
    <w:p>
      <w:pPr>
        <w:spacing w:after="80" w:line="293" w:lineRule="auto"/>
        <w:ind w:left="283"/>
        <w:jc w:val="left"/>
      </w:pPr>
      <w:r>
        <w:rPr>
          <w:rFonts w:ascii="Times New Roman" w:hAnsi="Times New Roman" w:cs="Times New Roman"/>
          <w:b w:val="0"/>
          <w:i w:val="0"/>
          <w:sz w:val="22"/>
        </w:rPr>
        <w:t>- WCO code lists</w:t>
      </w:r>
    </w:p>
    <w:p>
      <w:pPr>
        <w:spacing w:after="80" w:line="293" w:lineRule="auto"/>
        <w:ind w:left="283"/>
        <w:jc w:val="left"/>
      </w:pPr>
      <w:r>
        <w:rPr>
          <w:rFonts w:ascii="Times New Roman" w:hAnsi="Times New Roman" w:cs="Times New Roman"/>
          <w:b w:val="0"/>
          <w:i w:val="0"/>
          <w:sz w:val="22"/>
        </w:rPr>
        <w:t>- HS</w:t>
      </w:r>
    </w:p>
    <w:p>
      <w:pPr>
        <w:spacing w:after="80" w:line="293" w:lineRule="auto"/>
        <w:ind w:left="283"/>
        <w:jc w:val="left"/>
      </w:pPr>
      <w:r>
        <w:rPr>
          <w:rFonts w:ascii="Times New Roman" w:hAnsi="Times New Roman" w:cs="Times New Roman"/>
          <w:b w:val="0"/>
          <w:i w:val="0"/>
          <w:sz w:val="22"/>
        </w:rPr>
        <w:t>- UN/CEFACT (United Nations Centre for Trade Facilitation and Electronic Business)</w:t>
      </w:r>
    </w:p>
    <w:p>
      <w:pPr>
        <w:spacing w:after="80" w:line="293" w:lineRule="auto"/>
        <w:ind w:left="283"/>
        <w:jc w:val="left"/>
      </w:pPr>
      <w:r>
        <w:rPr>
          <w:rFonts w:ascii="Times New Roman" w:hAnsi="Times New Roman" w:cs="Times New Roman"/>
          <w:b w:val="0"/>
          <w:i w:val="0"/>
          <w:sz w:val="22"/>
        </w:rPr>
        <w:t>- UN/LOCODE (United Nations location codes)</w:t>
      </w:r>
    </w:p>
    <w:p>
      <w:pPr>
        <w:spacing w:after="80" w:line="293" w:lineRule="auto"/>
        <w:ind w:left="283"/>
        <w:jc w:val="left"/>
      </w:pPr>
      <w:r>
        <w:rPr>
          <w:rFonts w:ascii="Times New Roman" w:hAnsi="Times New Roman" w:cs="Times New Roman"/>
          <w:b w:val="0"/>
          <w:i w:val="0"/>
          <w:sz w:val="22"/>
        </w:rPr>
        <w:t>- UN/EDIFACT (United Nations Electronic Data Interchange for Administration, Commerce and Transport)</w:t>
      </w:r>
    </w:p>
    <w:p>
      <w:pPr>
        <w:spacing w:after="80" w:line="293" w:lineRule="auto"/>
        <w:ind w:left="283"/>
        <w:jc w:val="left"/>
      </w:pPr>
      <w:r>
        <w:rPr>
          <w:rFonts w:ascii="Times New Roman" w:hAnsi="Times New Roman" w:cs="Times New Roman"/>
          <w:b w:val="0"/>
          <w:i w:val="0"/>
          <w:sz w:val="22"/>
        </w:rPr>
        <w:t>- UBL (Universal Business Language)</w:t>
      </w:r>
    </w:p>
    <w:p>
      <w:pPr>
        <w:spacing w:after="80" w:line="293" w:lineRule="auto"/>
        <w:ind w:left="283"/>
        <w:jc w:val="left"/>
      </w:pPr>
      <w:r>
        <w:rPr>
          <w:rFonts w:ascii="Times New Roman" w:hAnsi="Times New Roman" w:cs="Times New Roman"/>
          <w:b w:val="0"/>
          <w:i w:val="0"/>
          <w:sz w:val="22"/>
        </w:rPr>
        <w:t>- e-CMR</w:t>
      </w:r>
    </w:p>
    <w:p>
      <w:pPr>
        <w:spacing w:after="80" w:line="293" w:lineRule="auto"/>
        <w:ind w:left="283"/>
        <w:jc w:val="left"/>
      </w:pPr>
      <w:r>
        <w:rPr>
          <w:rFonts w:ascii="Times New Roman" w:hAnsi="Times New Roman" w:cs="Times New Roman"/>
          <w:b w:val="0"/>
          <w:i w:val="0"/>
          <w:sz w:val="22"/>
        </w:rPr>
        <w:t>- e-AWB</w:t>
      </w:r>
    </w:p>
    <w:p>
      <w:pPr>
        <w:spacing w:after="80" w:line="293" w:lineRule="auto"/>
        <w:ind w:left="283"/>
        <w:jc w:val="left"/>
      </w:pPr>
      <w:r>
        <w:rPr>
          <w:rFonts w:ascii="Times New Roman" w:hAnsi="Times New Roman" w:cs="Times New Roman"/>
          <w:b w:val="0"/>
          <w:i w:val="0"/>
          <w:sz w:val="22"/>
        </w:rPr>
        <w:t>- e-B/L</w:t>
      </w:r>
    </w:p>
    <w:p>
      <w:pPr>
        <w:spacing w:after="80" w:line="293" w:lineRule="auto"/>
        <w:ind w:left="283"/>
        <w:jc w:val="left"/>
      </w:pPr>
      <w:r>
        <w:rPr>
          <w:rFonts w:ascii="Times New Roman" w:hAnsi="Times New Roman" w:cs="Times New Roman"/>
          <w:b w:val="0"/>
          <w:i w:val="0"/>
          <w:sz w:val="22"/>
        </w:rPr>
        <w:t>- Cargo-XML</w:t>
      </w:r>
    </w:p>
    <w:p>
      <w:pPr>
        <w:spacing w:after="80" w:line="293" w:lineRule="auto"/>
        <w:ind w:left="283"/>
        <w:jc w:val="left"/>
      </w:pPr>
      <w:r>
        <w:rPr>
          <w:rFonts w:ascii="Times New Roman" w:hAnsi="Times New Roman" w:cs="Times New Roman"/>
          <w:b w:val="0"/>
          <w:i w:val="0"/>
          <w:sz w:val="22"/>
        </w:rPr>
        <w:t>- ONE Record</w:t>
      </w:r>
    </w:p>
    <w:p>
      <w:pPr>
        <w:spacing w:after="80" w:line="293" w:lineRule="auto"/>
        <w:ind w:left="283"/>
        <w:jc w:val="left"/>
      </w:pPr>
      <w:r>
        <w:rPr>
          <w:rFonts w:ascii="Times New Roman" w:hAnsi="Times New Roman" w:cs="Times New Roman"/>
          <w:b w:val="0"/>
          <w:i w:val="0"/>
          <w:sz w:val="22"/>
        </w:rPr>
        <w:t>- ISO 20022</w:t>
      </w:r>
    </w:p>
    <w:p>
      <w:pPr>
        <w:spacing w:after="80" w:line="293" w:lineRule="auto"/>
        <w:ind w:left="283"/>
        <w:jc w:val="left"/>
      </w:pPr>
      <w:r>
        <w:rPr>
          <w:rFonts w:ascii="Times New Roman" w:hAnsi="Times New Roman" w:cs="Times New Roman"/>
          <w:b w:val="0"/>
          <w:i w:val="0"/>
          <w:sz w:val="22"/>
        </w:rPr>
        <w:t>- XAdES (XML Advanced Electronic Signatures)</w:t>
      </w:r>
    </w:p>
    <w:p>
      <w:pPr>
        <w:spacing w:after="80" w:line="293" w:lineRule="auto"/>
        <w:ind w:left="283"/>
        <w:jc w:val="left"/>
      </w:pPr>
      <w:r>
        <w:rPr>
          <w:rFonts w:ascii="Times New Roman" w:hAnsi="Times New Roman" w:cs="Times New Roman"/>
          <w:b w:val="0"/>
          <w:i w:val="0"/>
          <w:sz w:val="22"/>
        </w:rPr>
        <w:t>- CAdES (CMS Advanced Electronic Signatures)</w:t>
      </w:r>
    </w:p>
    <w:p>
      <w:pPr>
        <w:spacing w:after="80" w:line="293" w:lineRule="auto"/>
        <w:ind w:left="283"/>
        <w:jc w:val="left"/>
      </w:pPr>
      <w:r>
        <w:rPr>
          <w:rFonts w:ascii="Times New Roman" w:hAnsi="Times New Roman" w:cs="Times New Roman"/>
          <w:b w:val="0"/>
          <w:i w:val="0"/>
          <w:sz w:val="22"/>
        </w:rPr>
        <w:t>- PAdES (PDF Advanced Electronic Signatures)</w:t>
      </w:r>
    </w:p>
    <w:p>
      <w:pPr>
        <w:spacing w:after="80" w:line="293" w:lineRule="auto"/>
        <w:ind w:left="283"/>
        <w:jc w:val="left"/>
      </w:pPr>
      <w:r>
        <w:rPr>
          <w:rFonts w:ascii="Times New Roman" w:hAnsi="Times New Roman" w:cs="Times New Roman"/>
          <w:b w:val="0"/>
          <w:i w:val="0"/>
          <w:sz w:val="22"/>
        </w:rPr>
        <w:t>- CMS (Cryptographic Message Syntax)</w:t>
      </w:r>
    </w:p>
    <w:p>
      <w:pPr>
        <w:spacing w:after="80" w:line="293" w:lineRule="auto"/>
        <w:ind w:left="283"/>
        <w:jc w:val="left"/>
      </w:pPr>
      <w:r>
        <w:rPr>
          <w:rFonts w:ascii="Times New Roman" w:hAnsi="Times New Roman" w:cs="Times New Roman"/>
          <w:b w:val="0"/>
          <w:i w:val="0"/>
          <w:sz w:val="22"/>
        </w:rPr>
        <w:t>- QES (Qualified Electronic Signature)</w:t>
      </w:r>
    </w:p>
    <w:p>
      <w:pPr>
        <w:spacing w:after="80" w:line="293" w:lineRule="auto"/>
        <w:ind w:left="283"/>
        <w:jc w:val="left"/>
      </w:pPr>
      <w:r>
        <w:rPr>
          <w:rFonts w:ascii="Times New Roman" w:hAnsi="Times New Roman" w:cs="Times New Roman"/>
          <w:b w:val="0"/>
          <w:i w:val="0"/>
          <w:sz w:val="22"/>
        </w:rPr>
        <w:t>- verifiable credentials</w:t>
      </w:r>
    </w:p>
    <w:p>
      <w:pPr>
        <w:spacing w:after="80" w:line="293" w:lineRule="auto"/>
        <w:ind w:left="283"/>
        <w:jc w:val="left"/>
      </w:pPr>
      <w:r>
        <w:rPr>
          <w:rFonts w:ascii="Times New Roman" w:hAnsi="Times New Roman" w:cs="Times New Roman"/>
          <w:b w:val="0"/>
          <w:i w:val="0"/>
          <w:sz w:val="22"/>
        </w:rPr>
        <w:t>- GS1</w:t>
      </w:r>
    </w:p>
    <w:p>
      <w:pPr>
        <w:spacing w:after="80" w:line="293" w:lineRule="auto"/>
        <w:ind w:left="283"/>
        <w:jc w:val="left"/>
      </w:pPr>
      <w:r>
        <w:rPr>
          <w:rFonts w:ascii="Times New Roman" w:hAnsi="Times New Roman" w:cs="Times New Roman"/>
          <w:b w:val="0"/>
          <w:i w:val="0"/>
          <w:sz w:val="22"/>
        </w:rPr>
        <w:t>- EPCIS (Electronic Product Code Information Services)</w:t>
      </w:r>
    </w:p>
    <w:p>
      <w:pPr>
        <w:spacing w:after="80" w:line="293" w:lineRule="auto"/>
        <w:jc w:val="left"/>
      </w:pPr>
      <w:r>
        <w:rPr>
          <w:rFonts w:ascii="Times New Roman" w:hAnsi="Times New Roman" w:cs="Times New Roman"/>
          <w:b w:val="0"/>
          <w:i w:val="0"/>
          <w:sz w:val="22"/>
        </w:rPr>
        <w:t>For air freight, the gateway keeps both Cargo-XML and ONE Record: IATA describes ONE Record as the standardized digital data-sharing model, while its current Cargo-XML toolkit specifically addresses mappings between Cargo-XML and ONE Record.</w:t>
      </w:r>
    </w:p>
    <w:p>
      <w:pPr>
        <w:keepNext/>
        <w:spacing w:before="240" w:after="100"/>
        <w:outlineLvl w:val="1"/>
      </w:pPr>
      <w:r>
        <w:rPr>
          <w:rFonts w:ascii="Arial" w:hAnsi="Arial" w:cs="Arial"/>
          <w:b/>
          <w:i w:val="0"/>
          <w:color w:val="2E528F"/>
          <w:sz w:val="26"/>
        </w:rPr>
        <w:t>20.113 ERP / Accounting / Bank Reconciliation</w:t>
      </w:r>
    </w:p>
    <w:p>
      <w:pPr>
        <w:spacing w:after="80" w:line="293" w:lineRule="auto"/>
        <w:jc w:val="left"/>
      </w:pPr>
      <w:r>
        <w:rPr>
          <w:rFonts w:ascii="Times New Roman" w:hAnsi="Times New Roman" w:cs="Times New Roman"/>
          <w:b w:val="0"/>
          <w:i w:val="0"/>
          <w:sz w:val="22"/>
        </w:rPr>
        <w:t>Final reconciliation spans:</w:t>
      </w:r>
    </w:p>
    <w:p>
      <w:pPr>
        <w:spacing w:after="0" w:before="0" w:line="240" w:lineRule="auto"/>
        <w:ind w:left="57"/>
        <w:jc w:val="left"/>
        <w:shd w:val="clear" w:fill="F2F2F2"/>
      </w:pPr>
      <w:r>
        <w:rPr>
          <w:rFonts w:ascii="Consolas" w:hAnsi="Consolas" w:cs="Consolas"/>
          <w:b w:val="0"/>
          <w:i w:val="0"/>
          <w:sz w:val="15"/>
        </w:rPr>
        <w:t>SGTX ↔ Bank ↔ Government ↔ Carrier ↔ Broker ↔ Insurance ↔ ERP ↔ Accounting</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 unresolved material mismatch before USTN closure.</w:t>
      </w:r>
    </w:p>
    <w:p>
      <w:pPr>
        <w:keepNext/>
        <w:spacing w:before="240" w:after="100"/>
        <w:outlineLvl w:val="1"/>
      </w:pPr>
      <w:r>
        <w:rPr>
          <w:rFonts w:ascii="Arial" w:hAnsi="Arial" w:cs="Arial"/>
          <w:b/>
          <w:i w:val="0"/>
          <w:color w:val="2E528F"/>
          <w:sz w:val="26"/>
        </w:rPr>
        <w:t>20.114 Manual Fallback</w:t>
      </w:r>
    </w:p>
    <w:p>
      <w:pPr>
        <w:spacing w:after="80" w:line="293" w:lineRule="auto"/>
        <w:jc w:val="left"/>
      </w:pPr>
      <w:r>
        <w:rPr>
          <w:rFonts w:ascii="Times New Roman" w:hAnsi="Times New Roman" w:cs="Times New Roman"/>
          <w:b w:val="0"/>
          <w:i w:val="0"/>
          <w:sz w:val="22"/>
        </w:rPr>
        <w:t>Any unavailable API falls through:</w:t>
      </w:r>
    </w:p>
    <w:p>
      <w:pPr>
        <w:spacing w:after="0" w:before="0" w:line="240" w:lineRule="auto"/>
        <w:ind w:left="57"/>
        <w:jc w:val="left"/>
        <w:shd w:val="clear" w:fill="F2F2F2"/>
      </w:pPr>
      <w:r>
        <w:rPr>
          <w:rFonts w:ascii="Consolas" w:hAnsi="Consolas" w:cs="Consolas"/>
          <w:b w:val="0"/>
          <w:i w:val="0"/>
          <w:sz w:val="15"/>
        </w:rPr>
        <w:t>API → EDI → SFTP → PORTAL → BROKER → MANUAL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Manual action must still be:</w:t>
      </w:r>
    </w:p>
    <w:p>
      <w:pPr>
        <w:spacing w:after="80" w:line="293" w:lineRule="auto"/>
        <w:ind w:left="283"/>
        <w:jc w:val="left"/>
      </w:pPr>
      <w:r>
        <w:rPr>
          <w:rFonts w:ascii="Times New Roman" w:hAnsi="Times New Roman" w:cs="Times New Roman"/>
          <w:b w:val="0"/>
          <w:i w:val="0"/>
          <w:sz w:val="22"/>
        </w:rPr>
        <w:t>- authenticated</w:t>
      </w:r>
    </w:p>
    <w:p>
      <w:pPr>
        <w:spacing w:after="80" w:line="293" w:lineRule="auto"/>
        <w:ind w:left="283"/>
        <w:jc w:val="left"/>
      </w:pPr>
      <w:r>
        <w:rPr>
          <w:rFonts w:ascii="Times New Roman" w:hAnsi="Times New Roman" w:cs="Times New Roman"/>
          <w:b w:val="0"/>
          <w:i w:val="0"/>
          <w:sz w:val="22"/>
        </w:rPr>
        <w:t>- attributable</w:t>
      </w:r>
    </w:p>
    <w:p>
      <w:pPr>
        <w:spacing w:after="80" w:line="293" w:lineRule="auto"/>
        <w:ind w:left="283"/>
        <w:jc w:val="left"/>
      </w:pPr>
      <w:r>
        <w:rPr>
          <w:rFonts w:ascii="Times New Roman" w:hAnsi="Times New Roman" w:cs="Times New Roman"/>
          <w:b w:val="0"/>
          <w:i w:val="0"/>
          <w:sz w:val="22"/>
        </w:rPr>
        <w:t>- timestamped</w:t>
      </w:r>
    </w:p>
    <w:p>
      <w:pPr>
        <w:spacing w:after="80" w:line="293" w:lineRule="auto"/>
        <w:ind w:left="283"/>
        <w:jc w:val="left"/>
      </w:pPr>
      <w:r>
        <w:rPr>
          <w:rFonts w:ascii="Times New Roman" w:hAnsi="Times New Roman" w:cs="Times New Roman"/>
          <w:b w:val="0"/>
          <w:i w:val="0"/>
          <w:sz w:val="22"/>
        </w:rPr>
        <w:t>- documented</w:t>
      </w:r>
    </w:p>
    <w:p>
      <w:pPr>
        <w:spacing w:after="80" w:line="293" w:lineRule="auto"/>
        <w:ind w:left="283"/>
        <w:jc w:val="left"/>
      </w:pPr>
      <w:r>
        <w:rPr>
          <w:rFonts w:ascii="Times New Roman" w:hAnsi="Times New Roman" w:cs="Times New Roman"/>
          <w:b w:val="0"/>
          <w:i w:val="0"/>
          <w:sz w:val="22"/>
        </w:rPr>
        <w:t>- hashed</w:t>
      </w:r>
    </w:p>
    <w:p>
      <w:pPr>
        <w:spacing w:after="80" w:line="293" w:lineRule="auto"/>
        <w:ind w:left="283"/>
        <w:jc w:val="left"/>
      </w:pPr>
      <w:r>
        <w:rPr>
          <w:rFonts w:ascii="Times New Roman" w:hAnsi="Times New Roman" w:cs="Times New Roman"/>
          <w:b w:val="0"/>
          <w:i w:val="0"/>
          <w:sz w:val="22"/>
        </w:rPr>
        <w:t>- Loom logged</w:t>
      </w:r>
    </w:p>
    <w:p>
      <w:pPr>
        <w:keepNext/>
        <w:spacing w:before="240" w:after="100"/>
        <w:outlineLvl w:val="1"/>
      </w:pPr>
      <w:r>
        <w:rPr>
          <w:rFonts w:ascii="Arial" w:hAnsi="Arial" w:cs="Arial"/>
          <w:b/>
          <w:i w:val="0"/>
          <w:color w:val="2E528F"/>
          <w:sz w:val="26"/>
        </w:rPr>
        <w:t>20.115 Connector Security</w:t>
      </w:r>
    </w:p>
    <w:p>
      <w:pPr>
        <w:spacing w:after="80" w:line="293" w:lineRule="auto"/>
        <w:jc w:val="left"/>
      </w:pPr>
      <w:r>
        <w:rPr>
          <w:rFonts w:ascii="Times New Roman" w:hAnsi="Times New Roman" w:cs="Times New Roman"/>
          <w:b w:val="0"/>
          <w:i w:val="0"/>
          <w:sz w:val="22"/>
        </w:rPr>
        <w:t>All external integration connectors support as applicable:</w:t>
      </w:r>
    </w:p>
    <w:p>
      <w:pPr>
        <w:spacing w:after="80" w:line="293" w:lineRule="auto"/>
        <w:ind w:left="283"/>
        <w:jc w:val="left"/>
      </w:pPr>
      <w:r>
        <w:rPr>
          <w:rFonts w:ascii="Times New Roman" w:hAnsi="Times New Roman" w:cs="Times New Roman"/>
          <w:b w:val="0"/>
          <w:i w:val="0"/>
          <w:sz w:val="22"/>
        </w:rPr>
        <w:t>- mTLS (mutual TLS authentication)</w:t>
      </w:r>
    </w:p>
    <w:p>
      <w:pPr>
        <w:spacing w:after="80" w:line="293" w:lineRule="auto"/>
        <w:ind w:left="283"/>
        <w:jc w:val="left"/>
      </w:pPr>
      <w:r>
        <w:rPr>
          <w:rFonts w:ascii="Times New Roman" w:hAnsi="Times New Roman" w:cs="Times New Roman"/>
          <w:b w:val="0"/>
          <w:i w:val="0"/>
          <w:sz w:val="22"/>
        </w:rPr>
        <w:t>- OAuth</w:t>
      </w:r>
    </w:p>
    <w:p>
      <w:pPr>
        <w:spacing w:after="80" w:line="293" w:lineRule="auto"/>
        <w:ind w:left="283"/>
        <w:jc w:val="left"/>
      </w:pPr>
      <w:r>
        <w:rPr>
          <w:rFonts w:ascii="Times New Roman" w:hAnsi="Times New Roman" w:cs="Times New Roman"/>
          <w:b w:val="0"/>
          <w:i w:val="0"/>
          <w:sz w:val="22"/>
        </w:rPr>
        <w:t>- API key</w:t>
      </w:r>
    </w:p>
    <w:p>
      <w:pPr>
        <w:spacing w:after="80" w:line="293" w:lineRule="auto"/>
        <w:ind w:left="283"/>
        <w:jc w:val="left"/>
      </w:pPr>
      <w:r>
        <w:rPr>
          <w:rFonts w:ascii="Times New Roman" w:hAnsi="Times New Roman" w:cs="Times New Roman"/>
          <w:b w:val="0"/>
          <w:i w:val="0"/>
          <w:sz w:val="22"/>
        </w:rPr>
        <w:t>- HSM (hardware security module)</w:t>
      </w:r>
    </w:p>
    <w:p>
      <w:pPr>
        <w:spacing w:after="80" w:line="293" w:lineRule="auto"/>
        <w:ind w:left="283"/>
        <w:jc w:val="left"/>
      </w:pPr>
      <w:r>
        <w:rPr>
          <w:rFonts w:ascii="Times New Roman" w:hAnsi="Times New Roman" w:cs="Times New Roman"/>
          <w:b w:val="0"/>
          <w:i w:val="0"/>
          <w:sz w:val="22"/>
        </w:rPr>
        <w:t>- secret rotation</w:t>
      </w:r>
    </w:p>
    <w:p>
      <w:pPr>
        <w:spacing w:after="80" w:line="293" w:lineRule="auto"/>
        <w:ind w:left="283"/>
        <w:jc w:val="left"/>
      </w:pPr>
      <w:r>
        <w:rPr>
          <w:rFonts w:ascii="Times New Roman" w:hAnsi="Times New Roman" w:cs="Times New Roman"/>
          <w:b w:val="0"/>
          <w:i w:val="0"/>
          <w:sz w:val="22"/>
        </w:rPr>
        <w:t>- certificate rotation</w:t>
      </w:r>
    </w:p>
    <w:p>
      <w:pPr>
        <w:spacing w:after="80" w:line="293" w:lineRule="auto"/>
        <w:ind w:left="283"/>
        <w:jc w:val="left"/>
      </w:pPr>
      <w:r>
        <w:rPr>
          <w:rFonts w:ascii="Times New Roman" w:hAnsi="Times New Roman" w:cs="Times New Roman"/>
          <w:b w:val="0"/>
          <w:i w:val="0"/>
          <w:sz w:val="22"/>
        </w:rPr>
        <w:t>- signed payloads</w:t>
      </w:r>
    </w:p>
    <w:p>
      <w:pPr>
        <w:spacing w:after="80" w:line="293" w:lineRule="auto"/>
        <w:ind w:left="283"/>
        <w:jc w:val="left"/>
      </w:pPr>
      <w:r>
        <w:rPr>
          <w:rFonts w:ascii="Times New Roman" w:hAnsi="Times New Roman" w:cs="Times New Roman"/>
          <w:b w:val="0"/>
          <w:i w:val="0"/>
          <w:sz w:val="22"/>
        </w:rPr>
        <w:t>- encryption</w:t>
      </w:r>
    </w:p>
    <w:p>
      <w:pPr>
        <w:spacing w:after="80" w:line="293" w:lineRule="auto"/>
        <w:ind w:left="283"/>
        <w:jc w:val="left"/>
      </w:pPr>
      <w:r>
        <w:rPr>
          <w:rFonts w:ascii="Times New Roman" w:hAnsi="Times New Roman" w:cs="Times New Roman"/>
          <w:b w:val="0"/>
          <w:i w:val="0"/>
          <w:sz w:val="22"/>
        </w:rPr>
        <w:t>- replay prevention</w:t>
      </w:r>
    </w:p>
    <w:p>
      <w:pPr>
        <w:spacing w:after="80" w:line="293" w:lineRule="auto"/>
        <w:ind w:left="283"/>
        <w:jc w:val="left"/>
      </w:pPr>
      <w:r>
        <w:rPr>
          <w:rFonts w:ascii="Times New Roman" w:hAnsi="Times New Roman" w:cs="Times New Roman"/>
          <w:b w:val="0"/>
          <w:i w:val="0"/>
          <w:sz w:val="22"/>
        </w:rPr>
        <w:t>- idempotency</w:t>
      </w:r>
    </w:p>
    <w:p>
      <w:pPr>
        <w:spacing w:after="80" w:line="293" w:lineRule="auto"/>
        <w:ind w:left="283"/>
        <w:jc w:val="left"/>
      </w:pPr>
      <w:r>
        <w:rPr>
          <w:rFonts w:ascii="Times New Roman" w:hAnsi="Times New Roman" w:cs="Times New Roman"/>
          <w:b w:val="0"/>
          <w:i w:val="0"/>
          <w:sz w:val="22"/>
        </w:rPr>
        <w:t>- rate limiting</w:t>
      </w:r>
    </w:p>
    <w:p>
      <w:pPr>
        <w:spacing w:after="80" w:line="293" w:lineRule="auto"/>
        <w:ind w:left="283"/>
        <w:jc w:val="left"/>
      </w:pPr>
      <w:r>
        <w:rPr>
          <w:rFonts w:ascii="Times New Roman" w:hAnsi="Times New Roman" w:cs="Times New Roman"/>
          <w:b w:val="0"/>
          <w:i w:val="0"/>
          <w:sz w:val="22"/>
        </w:rPr>
        <w:t>- network isolation</w:t>
      </w:r>
    </w:p>
    <w:p>
      <w:pPr>
        <w:spacing w:after="80" w:line="293" w:lineRule="auto"/>
        <w:ind w:left="283"/>
        <w:jc w:val="left"/>
      </w:pPr>
      <w:r>
        <w:rPr>
          <w:rFonts w:ascii="Times New Roman" w:hAnsi="Times New Roman" w:cs="Times New Roman"/>
          <w:b w:val="0"/>
          <w:i w:val="0"/>
          <w:sz w:val="22"/>
        </w:rPr>
        <w:t>- audit</w:t>
      </w:r>
    </w:p>
    <w:p>
      <w:pPr>
        <w:keepNext/>
        <w:spacing w:before="240" w:after="100"/>
        <w:outlineLvl w:val="1"/>
      </w:pPr>
      <w:r>
        <w:rPr>
          <w:rFonts w:ascii="Arial" w:hAnsi="Arial" w:cs="Arial"/>
          <w:b/>
          <w:i w:val="0"/>
          <w:color w:val="2E528F"/>
          <w:sz w:val="26"/>
        </w:rPr>
        <w:t>20.116 Connector Version Management</w:t>
      </w:r>
    </w:p>
    <w:p>
      <w:pPr>
        <w:spacing w:after="80" w:line="293" w:lineRule="auto"/>
        <w:jc w:val="left"/>
      </w:pPr>
      <w:r>
        <w:rPr>
          <w:rFonts w:ascii="Times New Roman" w:hAnsi="Times New Roman" w:cs="Times New Roman"/>
          <w:b w:val="0"/>
          <w:i w:val="0"/>
          <w:sz w:val="22"/>
        </w:rPr>
        <w:t>The platform stores:</w:t>
      </w:r>
    </w:p>
    <w:p>
      <w:pPr>
        <w:spacing w:after="80" w:line="293" w:lineRule="auto"/>
        <w:ind w:left="283"/>
        <w:jc w:val="left"/>
      </w:pPr>
      <w:r>
        <w:rPr>
          <w:rFonts w:ascii="Times New Roman" w:hAnsi="Times New Roman" w:cs="Times New Roman"/>
          <w:b w:val="0"/>
          <w:i w:val="0"/>
          <w:sz w:val="22"/>
        </w:rPr>
        <w:t>- SYSTEM_VERSION</w:t>
      </w:r>
    </w:p>
    <w:p>
      <w:pPr>
        <w:spacing w:after="80" w:line="293" w:lineRule="auto"/>
        <w:ind w:left="283"/>
        <w:jc w:val="left"/>
      </w:pPr>
      <w:r>
        <w:rPr>
          <w:rFonts w:ascii="Times New Roman" w:hAnsi="Times New Roman" w:cs="Times New Roman"/>
          <w:b w:val="0"/>
          <w:i w:val="0"/>
          <w:sz w:val="22"/>
        </w:rPr>
        <w:t>- API_VERSION</w:t>
      </w:r>
    </w:p>
    <w:p>
      <w:pPr>
        <w:spacing w:after="80" w:line="293" w:lineRule="auto"/>
        <w:ind w:left="283"/>
        <w:jc w:val="left"/>
      </w:pPr>
      <w:r>
        <w:rPr>
          <w:rFonts w:ascii="Times New Roman" w:hAnsi="Times New Roman" w:cs="Times New Roman"/>
          <w:b w:val="0"/>
          <w:i w:val="0"/>
          <w:sz w:val="22"/>
        </w:rPr>
        <w:t>- SCHEMA_VERSION</w:t>
      </w:r>
    </w:p>
    <w:p>
      <w:pPr>
        <w:spacing w:after="80" w:line="293" w:lineRule="auto"/>
        <w:ind w:left="283"/>
        <w:jc w:val="left"/>
      </w:pPr>
      <w:r>
        <w:rPr>
          <w:rFonts w:ascii="Times New Roman" w:hAnsi="Times New Roman" w:cs="Times New Roman"/>
          <w:b w:val="0"/>
          <w:i w:val="0"/>
          <w:sz w:val="22"/>
        </w:rPr>
        <w:t>- LEGAL_VERSION</w:t>
      </w:r>
    </w:p>
    <w:p>
      <w:pPr>
        <w:spacing w:after="80" w:line="293" w:lineRule="auto"/>
        <w:ind w:left="283"/>
        <w:jc w:val="left"/>
      </w:pPr>
      <w:r>
        <w:rPr>
          <w:rFonts w:ascii="Times New Roman" w:hAnsi="Times New Roman" w:cs="Times New Roman"/>
          <w:b w:val="0"/>
          <w:i w:val="0"/>
          <w:sz w:val="22"/>
        </w:rPr>
        <w:t>- JURISDICTION_VERSION</w:t>
      </w:r>
    </w:p>
    <w:p>
      <w:pPr>
        <w:spacing w:after="80" w:line="293" w:lineRule="auto"/>
        <w:jc w:val="left"/>
      </w:pPr>
      <w:r>
        <w:rPr>
          <w:rFonts w:ascii="Times New Roman" w:hAnsi="Times New Roman" w:cs="Times New Roman"/>
          <w:b w:val="0"/>
          <w:i w:val="0"/>
          <w:sz w:val="22"/>
        </w:rPr>
        <w:t>No government update should silently break the system.</w:t>
      </w:r>
    </w:p>
    <w:p>
      <w:pPr>
        <w:keepNext/>
        <w:spacing w:before="240" w:after="100"/>
        <w:outlineLvl w:val="1"/>
      </w:pPr>
      <w:r>
        <w:rPr>
          <w:rFonts w:ascii="Arial" w:hAnsi="Arial" w:cs="Arial"/>
          <w:b/>
          <w:i w:val="0"/>
          <w:color w:val="2E528F"/>
          <w:sz w:val="26"/>
        </w:rPr>
        <w:t>20.117 Regional Adapters</w:t>
      </w:r>
    </w:p>
    <w:p>
      <w:pPr>
        <w:spacing w:after="80" w:line="293" w:lineRule="auto"/>
        <w:jc w:val="left"/>
      </w:pPr>
      <w:r>
        <w:rPr>
          <w:rFonts w:ascii="Times New Roman" w:hAnsi="Times New Roman" w:cs="Times New Roman"/>
          <w:b w:val="0"/>
          <w:i w:val="0"/>
          <w:sz w:val="22"/>
        </w:rPr>
        <w:t>The platform builds reusable regional frameworks:</w:t>
      </w:r>
    </w:p>
    <w:p>
      <w:pPr>
        <w:spacing w:after="80" w:line="293" w:lineRule="auto"/>
        <w:ind w:left="283"/>
        <w:jc w:val="left"/>
      </w:pPr>
      <w:r>
        <w:rPr>
          <w:rFonts w:ascii="Times New Roman" w:hAnsi="Times New Roman" w:cs="Times New Roman"/>
          <w:b w:val="0"/>
          <w:i w:val="0"/>
          <w:sz w:val="22"/>
        </w:rPr>
        <w:t>- EU (European Union)</w:t>
      </w:r>
    </w:p>
    <w:p>
      <w:pPr>
        <w:spacing w:after="80" w:line="293" w:lineRule="auto"/>
        <w:ind w:left="283"/>
        <w:jc w:val="left"/>
      </w:pPr>
      <w:r>
        <w:rPr>
          <w:rFonts w:ascii="Times New Roman" w:hAnsi="Times New Roman" w:cs="Times New Roman"/>
          <w:b w:val="0"/>
          <w:i w:val="0"/>
          <w:sz w:val="22"/>
        </w:rPr>
        <w:t>- GCC</w:t>
      </w:r>
    </w:p>
    <w:p>
      <w:pPr>
        <w:spacing w:after="80" w:line="293" w:lineRule="auto"/>
        <w:ind w:left="283"/>
        <w:jc w:val="left"/>
      </w:pPr>
      <w:r>
        <w:rPr>
          <w:rFonts w:ascii="Times New Roman" w:hAnsi="Times New Roman" w:cs="Times New Roman"/>
          <w:b w:val="0"/>
          <w:i w:val="0"/>
          <w:sz w:val="22"/>
        </w:rPr>
        <w:t>- ASEAN (Association of Southeast Asian Nations)</w:t>
      </w:r>
    </w:p>
    <w:p>
      <w:pPr>
        <w:spacing w:after="80" w:line="293" w:lineRule="auto"/>
        <w:ind w:left="283"/>
        <w:jc w:val="left"/>
      </w:pPr>
      <w:r>
        <w:rPr>
          <w:rFonts w:ascii="Times New Roman" w:hAnsi="Times New Roman" w:cs="Times New Roman"/>
          <w:b w:val="0"/>
          <w:i w:val="0"/>
          <w:sz w:val="22"/>
        </w:rPr>
        <w:t>- AfCFTA (African Continental Free Trade Area) related environments</w:t>
      </w:r>
    </w:p>
    <w:p>
      <w:pPr>
        <w:spacing w:after="80" w:line="293" w:lineRule="auto"/>
        <w:ind w:left="283"/>
        <w:jc w:val="left"/>
      </w:pPr>
      <w:r>
        <w:rPr>
          <w:rFonts w:ascii="Times New Roman" w:hAnsi="Times New Roman" w:cs="Times New Roman"/>
          <w:b w:val="0"/>
          <w:i w:val="0"/>
          <w:sz w:val="22"/>
        </w:rPr>
        <w:t>- ECOWAS (Economic Community of West African States)</w:t>
      </w:r>
    </w:p>
    <w:p>
      <w:pPr>
        <w:spacing w:after="80" w:line="293" w:lineRule="auto"/>
        <w:ind w:left="283"/>
        <w:jc w:val="left"/>
      </w:pPr>
      <w:r>
        <w:rPr>
          <w:rFonts w:ascii="Times New Roman" w:hAnsi="Times New Roman" w:cs="Times New Roman"/>
          <w:b w:val="0"/>
          <w:i w:val="0"/>
          <w:sz w:val="22"/>
        </w:rPr>
        <w:t>- EAC (East African Community)</w:t>
      </w:r>
    </w:p>
    <w:p>
      <w:pPr>
        <w:spacing w:after="80" w:line="293" w:lineRule="auto"/>
        <w:ind w:left="283"/>
        <w:jc w:val="left"/>
      </w:pPr>
      <w:r>
        <w:rPr>
          <w:rFonts w:ascii="Times New Roman" w:hAnsi="Times New Roman" w:cs="Times New Roman"/>
          <w:b w:val="0"/>
          <w:i w:val="0"/>
          <w:sz w:val="22"/>
        </w:rPr>
        <w:t>- COMESA (Common Market for Eastern and Southern Africa)</w:t>
      </w:r>
    </w:p>
    <w:p>
      <w:pPr>
        <w:spacing w:after="80" w:line="293" w:lineRule="auto"/>
        <w:ind w:left="283"/>
        <w:jc w:val="left"/>
      </w:pPr>
      <w:r>
        <w:rPr>
          <w:rFonts w:ascii="Times New Roman" w:hAnsi="Times New Roman" w:cs="Times New Roman"/>
          <w:b w:val="0"/>
          <w:i w:val="0"/>
          <w:sz w:val="22"/>
        </w:rPr>
        <w:t>- SADC (Southern African Development Community)</w:t>
      </w:r>
    </w:p>
    <w:p>
      <w:pPr>
        <w:spacing w:after="80" w:line="293" w:lineRule="auto"/>
        <w:ind w:left="283"/>
        <w:jc w:val="left"/>
      </w:pPr>
      <w:r>
        <w:rPr>
          <w:rFonts w:ascii="Times New Roman" w:hAnsi="Times New Roman" w:cs="Times New Roman"/>
          <w:b w:val="0"/>
          <w:i w:val="0"/>
          <w:sz w:val="22"/>
        </w:rPr>
        <w:t>- other applicable regional systems</w:t>
      </w:r>
    </w:p>
    <w:p>
      <w:pPr>
        <w:spacing w:after="80" w:line="293" w:lineRule="auto"/>
        <w:jc w:val="left"/>
      </w:pPr>
      <w:r>
        <w:rPr>
          <w:rFonts w:ascii="Times New Roman" w:hAnsi="Times New Roman" w:cs="Times New Roman"/>
          <w:b w:val="0"/>
          <w:i w:val="0"/>
          <w:sz w:val="22"/>
        </w:rPr>
        <w:t>Country overlays add national rules on top of the regional framework.</w:t>
      </w:r>
    </w:p>
    <w:p>
      <w:pPr>
        <w:keepNext/>
        <w:spacing w:before="240" w:after="100"/>
        <w:outlineLvl w:val="1"/>
      </w:pPr>
      <w:r>
        <w:rPr>
          <w:rFonts w:ascii="Arial" w:hAnsi="Arial" w:cs="Arial"/>
          <w:b/>
          <w:i w:val="0"/>
          <w:color w:val="2E528F"/>
          <w:sz w:val="26"/>
        </w:rPr>
        <w:t>20.118 All-World Country Adapter Architecture</w:t>
      </w:r>
    </w:p>
    <w:p>
      <w:pPr>
        <w:spacing w:after="80" w:line="293" w:lineRule="auto"/>
        <w:jc w:val="left"/>
      </w:pPr>
      <w:r>
        <w:rPr>
          <w:rFonts w:ascii="Times New Roman" w:hAnsi="Times New Roman" w:cs="Times New Roman"/>
          <w:b w:val="0"/>
          <w:i w:val="0"/>
          <w:sz w:val="22"/>
        </w:rPr>
        <w:t>The system supports a country/jurisdiction adapter for every country worldwide. The platform does not hard-code every country's law into the core. Each adapter receives:</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tax</w:t>
      </w:r>
    </w:p>
    <w:p>
      <w:pPr>
        <w:spacing w:after="80" w:line="293" w:lineRule="auto"/>
        <w:ind w:left="283"/>
        <w:jc w:val="left"/>
      </w:pPr>
      <w:r>
        <w:rPr>
          <w:rFonts w:ascii="Times New Roman" w:hAnsi="Times New Roman" w:cs="Times New Roman"/>
          <w:b w:val="0"/>
          <w:i w:val="0"/>
          <w:sz w:val="22"/>
        </w:rPr>
        <w:t>- SPS</w:t>
      </w:r>
    </w:p>
    <w:p>
      <w:pPr>
        <w:spacing w:after="80" w:line="293" w:lineRule="auto"/>
        <w:ind w:left="283"/>
        <w:jc w:val="left"/>
      </w:pPr>
      <w:r>
        <w:rPr>
          <w:rFonts w:ascii="Times New Roman" w:hAnsi="Times New Roman" w:cs="Times New Roman"/>
          <w:b w:val="0"/>
          <w:i w:val="0"/>
          <w:sz w:val="22"/>
        </w:rPr>
        <w:t>- TBT</w:t>
      </w:r>
    </w:p>
    <w:p>
      <w:pPr>
        <w:spacing w:after="80" w:line="293" w:lineRule="auto"/>
        <w:ind w:left="283"/>
        <w:jc w:val="left"/>
      </w:pPr>
      <w:r>
        <w:rPr>
          <w:rFonts w:ascii="Times New Roman" w:hAnsi="Times New Roman" w:cs="Times New Roman"/>
          <w:b w:val="0"/>
          <w:i w:val="0"/>
          <w:sz w:val="22"/>
        </w:rPr>
        <w:t>- licenses</w:t>
      </w:r>
    </w:p>
    <w:p>
      <w:pPr>
        <w:spacing w:after="80" w:line="293" w:lineRule="auto"/>
        <w:ind w:left="283"/>
        <w:jc w:val="left"/>
      </w:pPr>
      <w:r>
        <w:rPr>
          <w:rFonts w:ascii="Times New Roman" w:hAnsi="Times New Roman" w:cs="Times New Roman"/>
          <w:b w:val="0"/>
          <w:i w:val="0"/>
          <w:sz w:val="22"/>
        </w:rPr>
        <w:t>- permits</w:t>
      </w:r>
    </w:p>
    <w:p>
      <w:pPr>
        <w:spacing w:after="80" w:line="293" w:lineRule="auto"/>
        <w:ind w:left="283"/>
        <w:jc w:val="left"/>
      </w:pPr>
      <w:r>
        <w:rPr>
          <w:rFonts w:ascii="Times New Roman" w:hAnsi="Times New Roman" w:cs="Times New Roman"/>
          <w:b w:val="0"/>
          <w:i w:val="0"/>
          <w:sz w:val="22"/>
        </w:rPr>
        <w:t>- certificates</w:t>
      </w:r>
    </w:p>
    <w:p>
      <w:pPr>
        <w:spacing w:after="80" w:line="293" w:lineRule="auto"/>
        <w:ind w:left="283"/>
        <w:jc w:val="left"/>
      </w:pPr>
      <w:r>
        <w:rPr>
          <w:rFonts w:ascii="Times New Roman" w:hAnsi="Times New Roman" w:cs="Times New Roman"/>
          <w:b w:val="0"/>
          <w:i w:val="0"/>
          <w:sz w:val="22"/>
        </w:rPr>
        <w:t>- transport</w:t>
      </w:r>
    </w:p>
    <w:p>
      <w:pPr>
        <w:spacing w:after="80" w:line="293" w:lineRule="auto"/>
        <w:ind w:left="283"/>
        <w:jc w:val="left"/>
      </w:pPr>
      <w:r>
        <w:rPr>
          <w:rFonts w:ascii="Times New Roman" w:hAnsi="Times New Roman" w:cs="Times New Roman"/>
          <w:b w:val="0"/>
          <w:i w:val="0"/>
          <w:sz w:val="22"/>
        </w:rPr>
        <w:t>- security</w:t>
      </w:r>
    </w:p>
    <w:p>
      <w:pPr>
        <w:spacing w:after="80" w:line="293" w:lineRule="auto"/>
        <w:ind w:left="283"/>
        <w:jc w:val="left"/>
      </w:pPr>
      <w:r>
        <w:rPr>
          <w:rFonts w:ascii="Times New Roman" w:hAnsi="Times New Roman" w:cs="Times New Roman"/>
          <w:b w:val="0"/>
          <w:i w:val="0"/>
          <w:sz w:val="22"/>
        </w:rPr>
        <w:t>- banking/payment</w:t>
      </w:r>
    </w:p>
    <w:p>
      <w:pPr>
        <w:spacing w:after="80" w:line="293" w:lineRule="auto"/>
        <w:ind w:left="283"/>
        <w:jc w:val="left"/>
      </w:pPr>
      <w:r>
        <w:rPr>
          <w:rFonts w:ascii="Times New Roman" w:hAnsi="Times New Roman" w:cs="Times New Roman"/>
          <w:b w:val="0"/>
          <w:i w:val="0"/>
          <w:sz w:val="22"/>
        </w:rPr>
        <w:t>- e-invoicing</w:t>
      </w:r>
    </w:p>
    <w:p>
      <w:pPr>
        <w:spacing w:after="80" w:line="293" w:lineRule="auto"/>
        <w:ind w:left="283"/>
        <w:jc w:val="left"/>
      </w:pPr>
      <w:r>
        <w:rPr>
          <w:rFonts w:ascii="Times New Roman" w:hAnsi="Times New Roman" w:cs="Times New Roman"/>
          <w:b w:val="0"/>
          <w:i w:val="0"/>
          <w:sz w:val="22"/>
        </w:rPr>
        <w:t>- digital-signature</w:t>
      </w:r>
    </w:p>
    <w:p>
      <w:pPr>
        <w:spacing w:after="80" w:line="293" w:lineRule="auto"/>
        <w:ind w:left="283"/>
        <w:jc w:val="left"/>
      </w:pPr>
      <w:r>
        <w:rPr>
          <w:rFonts w:ascii="Times New Roman" w:hAnsi="Times New Roman" w:cs="Times New Roman"/>
          <w:b w:val="0"/>
          <w:i w:val="0"/>
          <w:sz w:val="22"/>
        </w:rPr>
        <w:t>- legalisation</w:t>
      </w:r>
    </w:p>
    <w:p>
      <w:pPr>
        <w:spacing w:after="80" w:line="293" w:lineRule="auto"/>
        <w:ind w:left="283"/>
        <w:jc w:val="left"/>
      </w:pPr>
      <w:r>
        <w:rPr>
          <w:rFonts w:ascii="Times New Roman" w:hAnsi="Times New Roman" w:cs="Times New Roman"/>
          <w:b w:val="0"/>
          <w:i w:val="0"/>
          <w:sz w:val="22"/>
        </w:rPr>
        <w:t>- customs broker</w:t>
      </w:r>
    </w:p>
    <w:p>
      <w:pPr>
        <w:spacing w:after="80" w:line="293" w:lineRule="auto"/>
        <w:ind w:left="283"/>
        <w:jc w:val="left"/>
      </w:pPr>
      <w:r>
        <w:rPr>
          <w:rFonts w:ascii="Times New Roman" w:hAnsi="Times New Roman" w:cs="Times New Roman"/>
          <w:b w:val="0"/>
          <w:i w:val="0"/>
          <w:sz w:val="22"/>
        </w:rPr>
        <w:t>- government systems</w:t>
      </w:r>
    </w:p>
    <w:p>
      <w:pPr>
        <w:spacing w:after="80" w:line="293" w:lineRule="auto"/>
        <w:ind w:left="283"/>
        <w:jc w:val="left"/>
      </w:pPr>
      <w:r>
        <w:rPr>
          <w:rFonts w:ascii="Times New Roman" w:hAnsi="Times New Roman" w:cs="Times New Roman"/>
          <w:b w:val="0"/>
          <w:i w:val="0"/>
          <w:sz w:val="22"/>
        </w:rPr>
        <w:t>- local APIs</w:t>
      </w:r>
    </w:p>
    <w:p>
      <w:pPr>
        <w:spacing w:after="80" w:line="293" w:lineRule="auto"/>
        <w:ind w:left="283"/>
        <w:jc w:val="left"/>
      </w:pPr>
      <w:r>
        <w:rPr>
          <w:rFonts w:ascii="Times New Roman" w:hAnsi="Times New Roman" w:cs="Times New Roman"/>
          <w:b w:val="0"/>
          <w:i w:val="0"/>
          <w:sz w:val="22"/>
        </w:rPr>
        <w:t>- EDI</w:t>
      </w:r>
    </w:p>
    <w:p>
      <w:pPr>
        <w:spacing w:after="80" w:line="293" w:lineRule="auto"/>
        <w:ind w:left="283"/>
        <w:jc w:val="left"/>
      </w:pPr>
      <w:r>
        <w:rPr>
          <w:rFonts w:ascii="Times New Roman" w:hAnsi="Times New Roman" w:cs="Times New Roman"/>
          <w:b w:val="0"/>
          <w:i w:val="0"/>
          <w:sz w:val="22"/>
        </w:rPr>
        <w:t>- portals</w:t>
      </w:r>
    </w:p>
    <w:p>
      <w:pPr>
        <w:spacing w:after="80" w:line="293" w:lineRule="auto"/>
        <w:ind w:left="283"/>
        <w:jc w:val="left"/>
      </w:pPr>
      <w:r>
        <w:rPr>
          <w:rFonts w:ascii="Times New Roman" w:hAnsi="Times New Roman" w:cs="Times New Roman"/>
          <w:b w:val="0"/>
          <w:i w:val="0"/>
          <w:sz w:val="22"/>
        </w:rPr>
        <w:t>- manual procedures</w:t>
      </w:r>
    </w:p>
    <w:p>
      <w:pPr>
        <w:keepNext/>
        <w:spacing w:before="240" w:after="100"/>
        <w:outlineLvl w:val="1"/>
      </w:pPr>
      <w:r>
        <w:rPr>
          <w:rFonts w:ascii="Arial" w:hAnsi="Arial" w:cs="Arial"/>
          <w:b/>
          <w:i w:val="0"/>
          <w:color w:val="2E528F"/>
          <w:sz w:val="26"/>
        </w:rPr>
        <w:t>20.119 Global Country Activation Center</w:t>
      </w:r>
    </w:p>
    <w:p>
      <w:pPr>
        <w:spacing w:after="80" w:line="293" w:lineRule="auto"/>
        <w:jc w:val="left"/>
      </w:pPr>
      <w:r>
        <w:rPr>
          <w:rFonts w:ascii="Times New Roman" w:hAnsi="Times New Roman" w:cs="Times New Roman"/>
          <w:b w:val="0"/>
          <w:i w:val="0"/>
          <w:sz w:val="22"/>
        </w:rPr>
        <w:t>The administrator can:</w:t>
      </w:r>
    </w:p>
    <w:p>
      <w:pPr>
        <w:spacing w:after="80" w:line="293" w:lineRule="auto"/>
        <w:ind w:left="283"/>
        <w:jc w:val="left"/>
      </w:pPr>
      <w:r>
        <w:rPr>
          <w:rFonts w:ascii="Times New Roman" w:hAnsi="Times New Roman" w:cs="Times New Roman"/>
          <w:b w:val="0"/>
          <w:i w:val="0"/>
          <w:sz w:val="22"/>
        </w:rPr>
        <w:t>- activate country</w:t>
      </w:r>
    </w:p>
    <w:p>
      <w:pPr>
        <w:spacing w:after="80" w:line="293" w:lineRule="auto"/>
        <w:ind w:left="283"/>
        <w:jc w:val="left"/>
      </w:pPr>
      <w:r>
        <w:rPr>
          <w:rFonts w:ascii="Times New Roman" w:hAnsi="Times New Roman" w:cs="Times New Roman"/>
          <w:b w:val="0"/>
          <w:i w:val="0"/>
          <w:sz w:val="22"/>
        </w:rPr>
        <w:t>- configure authority</w:t>
      </w:r>
    </w:p>
    <w:p>
      <w:pPr>
        <w:spacing w:after="80" w:line="293" w:lineRule="auto"/>
        <w:ind w:left="283"/>
        <w:jc w:val="left"/>
      </w:pPr>
      <w:r>
        <w:rPr>
          <w:rFonts w:ascii="Times New Roman" w:hAnsi="Times New Roman" w:cs="Times New Roman"/>
          <w:b w:val="0"/>
          <w:i w:val="0"/>
          <w:sz w:val="22"/>
        </w:rPr>
        <w:t>- add connector</w:t>
      </w:r>
    </w:p>
    <w:p>
      <w:pPr>
        <w:spacing w:after="80" w:line="293" w:lineRule="auto"/>
        <w:ind w:left="283"/>
        <w:jc w:val="left"/>
      </w:pPr>
      <w:r>
        <w:rPr>
          <w:rFonts w:ascii="Times New Roman" w:hAnsi="Times New Roman" w:cs="Times New Roman"/>
          <w:b w:val="0"/>
          <w:i w:val="0"/>
          <w:sz w:val="22"/>
        </w:rPr>
        <w:t>- add credentials</w:t>
      </w:r>
    </w:p>
    <w:p>
      <w:pPr>
        <w:spacing w:after="80" w:line="293" w:lineRule="auto"/>
        <w:ind w:left="283"/>
        <w:jc w:val="left"/>
      </w:pPr>
      <w:r>
        <w:rPr>
          <w:rFonts w:ascii="Times New Roman" w:hAnsi="Times New Roman" w:cs="Times New Roman"/>
          <w:b w:val="0"/>
          <w:i w:val="0"/>
          <w:sz w:val="22"/>
        </w:rPr>
        <w:t>- configure sandbox</w:t>
      </w:r>
    </w:p>
    <w:p>
      <w:pPr>
        <w:spacing w:after="80" w:line="293" w:lineRule="auto"/>
        <w:ind w:left="283"/>
        <w:jc w:val="left"/>
      </w:pPr>
      <w:r>
        <w:rPr>
          <w:rFonts w:ascii="Times New Roman" w:hAnsi="Times New Roman" w:cs="Times New Roman"/>
          <w:b w:val="0"/>
          <w:i w:val="0"/>
          <w:sz w:val="22"/>
        </w:rPr>
        <w:t>- request certification</w:t>
      </w:r>
    </w:p>
    <w:p>
      <w:pPr>
        <w:spacing w:after="80" w:line="293" w:lineRule="auto"/>
        <w:ind w:left="283"/>
        <w:jc w:val="left"/>
      </w:pPr>
      <w:r>
        <w:rPr>
          <w:rFonts w:ascii="Times New Roman" w:hAnsi="Times New Roman" w:cs="Times New Roman"/>
          <w:b w:val="0"/>
          <w:i w:val="0"/>
          <w:sz w:val="22"/>
        </w:rPr>
        <w:t>- track legal authorization</w:t>
      </w:r>
    </w:p>
    <w:p>
      <w:pPr>
        <w:spacing w:after="80" w:line="293" w:lineRule="auto"/>
        <w:ind w:left="283"/>
        <w:jc w:val="left"/>
      </w:pPr>
      <w:r>
        <w:rPr>
          <w:rFonts w:ascii="Times New Roman" w:hAnsi="Times New Roman" w:cs="Times New Roman"/>
          <w:b w:val="0"/>
          <w:i w:val="0"/>
          <w:sz w:val="22"/>
        </w:rPr>
        <w:t>- activate production</w:t>
      </w:r>
    </w:p>
    <w:p>
      <w:pPr>
        <w:spacing w:after="80" w:line="293" w:lineRule="auto"/>
        <w:ind w:left="283"/>
        <w:jc w:val="left"/>
      </w:pPr>
      <w:r>
        <w:rPr>
          <w:rFonts w:ascii="Times New Roman" w:hAnsi="Times New Roman" w:cs="Times New Roman"/>
          <w:b w:val="0"/>
          <w:i w:val="0"/>
          <w:sz w:val="22"/>
        </w:rPr>
        <w:t>- deactivate</w:t>
      </w:r>
    </w:p>
    <w:p>
      <w:pPr>
        <w:spacing w:after="80" w:line="293" w:lineRule="auto"/>
        <w:ind w:left="283"/>
        <w:jc w:val="left"/>
      </w:pPr>
      <w:r>
        <w:rPr>
          <w:rFonts w:ascii="Times New Roman" w:hAnsi="Times New Roman" w:cs="Times New Roman"/>
          <w:b w:val="0"/>
          <w:i w:val="0"/>
          <w:sz w:val="22"/>
        </w:rPr>
        <w:t>- rollback</w:t>
      </w:r>
    </w:p>
    <w:p>
      <w:pPr>
        <w:spacing w:after="80" w:line="293" w:lineRule="auto"/>
        <w:ind w:left="283"/>
        <w:jc w:val="left"/>
      </w:pPr>
      <w:r>
        <w:rPr>
          <w:rFonts w:ascii="Times New Roman" w:hAnsi="Times New Roman" w:cs="Times New Roman"/>
          <w:b w:val="0"/>
          <w:i w:val="0"/>
          <w:sz w:val="22"/>
        </w:rPr>
        <w:t>- view affected trade lanes</w:t>
      </w:r>
    </w:p>
    <w:p>
      <w:pPr>
        <w:keepNext/>
        <w:spacing w:before="240" w:after="100"/>
        <w:outlineLvl w:val="1"/>
      </w:pPr>
      <w:r>
        <w:rPr>
          <w:rFonts w:ascii="Arial" w:hAnsi="Arial" w:cs="Arial"/>
          <w:b/>
          <w:i w:val="0"/>
          <w:color w:val="2E528F"/>
          <w:sz w:val="26"/>
        </w:rPr>
        <w:t>20.120 Final Integration-Gap Center</w:t>
      </w:r>
    </w:p>
    <w:p>
      <w:pPr>
        <w:spacing w:after="80" w:line="293" w:lineRule="auto"/>
        <w:jc w:val="left"/>
      </w:pPr>
      <w:r>
        <w:rPr>
          <w:rFonts w:ascii="Times New Roman" w:hAnsi="Times New Roman" w:cs="Times New Roman"/>
          <w:b w:val="0"/>
          <w:i w:val="0"/>
          <w:sz w:val="22"/>
        </w:rPr>
        <w:t>The Admin Portal exposes:</w:t>
      </w:r>
    </w:p>
    <w:p>
      <w:pPr>
        <w:spacing w:after="80" w:line="293" w:lineRule="auto"/>
        <w:ind w:left="283"/>
        <w:jc w:val="left"/>
      </w:pPr>
      <w:r>
        <w:rPr>
          <w:rFonts w:ascii="Times New Roman" w:hAnsi="Times New Roman" w:cs="Times New Roman"/>
          <w:b w:val="0"/>
          <w:i w:val="0"/>
          <w:sz w:val="22"/>
        </w:rPr>
        <w:t>- JURISDICTION</w:t>
      </w:r>
    </w:p>
    <w:p>
      <w:pPr>
        <w:spacing w:after="80" w:line="293" w:lineRule="auto"/>
        <w:ind w:left="283"/>
        <w:jc w:val="left"/>
      </w:pPr>
      <w:r>
        <w:rPr>
          <w:rFonts w:ascii="Times New Roman" w:hAnsi="Times New Roman" w:cs="Times New Roman"/>
          <w:b w:val="0"/>
          <w:i w:val="0"/>
          <w:sz w:val="22"/>
        </w:rPr>
        <w:t>- AUTHORITY</w:t>
      </w:r>
    </w:p>
    <w:p>
      <w:pPr>
        <w:spacing w:after="80" w:line="293" w:lineRule="auto"/>
        <w:ind w:left="283"/>
        <w:jc w:val="left"/>
      </w:pPr>
      <w:r>
        <w:rPr>
          <w:rFonts w:ascii="Times New Roman" w:hAnsi="Times New Roman" w:cs="Times New Roman"/>
          <w:b w:val="0"/>
          <w:i w:val="0"/>
          <w:sz w:val="22"/>
        </w:rPr>
        <w:t>- SYSTEM</w:t>
      </w:r>
    </w:p>
    <w:p>
      <w:pPr>
        <w:spacing w:after="80" w:line="293" w:lineRule="auto"/>
        <w:ind w:left="283"/>
        <w:jc w:val="left"/>
      </w:pPr>
      <w:r>
        <w:rPr>
          <w:rFonts w:ascii="Times New Roman" w:hAnsi="Times New Roman" w:cs="Times New Roman"/>
          <w:b w:val="0"/>
          <w:i w:val="0"/>
          <w:sz w:val="22"/>
        </w:rPr>
        <w:t>- PROCEDURE</w:t>
      </w:r>
    </w:p>
    <w:p>
      <w:pPr>
        <w:spacing w:after="80" w:line="293" w:lineRule="auto"/>
        <w:ind w:left="283"/>
        <w:jc w:val="left"/>
      </w:pPr>
      <w:r>
        <w:rPr>
          <w:rFonts w:ascii="Times New Roman" w:hAnsi="Times New Roman" w:cs="Times New Roman"/>
          <w:b w:val="0"/>
          <w:i w:val="0"/>
          <w:sz w:val="22"/>
        </w:rPr>
        <w:t>- MODE</w:t>
      </w:r>
    </w:p>
    <w:p>
      <w:pPr>
        <w:spacing w:after="80" w:line="293" w:lineRule="auto"/>
        <w:ind w:left="283"/>
        <w:jc w:val="left"/>
      </w:pPr>
      <w:r>
        <w:rPr>
          <w:rFonts w:ascii="Times New Roman" w:hAnsi="Times New Roman" w:cs="Times New Roman"/>
          <w:b w:val="0"/>
          <w:i w:val="0"/>
          <w:sz w:val="22"/>
        </w:rPr>
        <w:t>- REQUIRED</w:t>
      </w:r>
    </w:p>
    <w:p>
      <w:pPr>
        <w:spacing w:after="80" w:line="293" w:lineRule="auto"/>
        <w:ind w:left="283"/>
        <w:jc w:val="left"/>
      </w:pPr>
      <w:r>
        <w:rPr>
          <w:rFonts w:ascii="Times New Roman" w:hAnsi="Times New Roman" w:cs="Times New Roman"/>
          <w:b w:val="0"/>
          <w:i w:val="0"/>
          <w:sz w:val="22"/>
        </w:rPr>
        <w:t>- TECHNICAL</w:t>
      </w:r>
    </w:p>
    <w:p>
      <w:pPr>
        <w:spacing w:after="80" w:line="293" w:lineRule="auto"/>
        <w:ind w:left="283"/>
        <w:jc w:val="left"/>
      </w:pPr>
      <w:r>
        <w:rPr>
          <w:rFonts w:ascii="Times New Roman" w:hAnsi="Times New Roman" w:cs="Times New Roman"/>
          <w:b w:val="0"/>
          <w:i w:val="0"/>
          <w:sz w:val="22"/>
        </w:rPr>
        <w:t>- LEGAL</w:t>
      </w:r>
    </w:p>
    <w:p>
      <w:pPr>
        <w:spacing w:after="80" w:line="293" w:lineRule="auto"/>
        <w:ind w:left="283"/>
        <w:jc w:val="left"/>
      </w:pPr>
      <w:r>
        <w:rPr>
          <w:rFonts w:ascii="Times New Roman" w:hAnsi="Times New Roman" w:cs="Times New Roman"/>
          <w:b w:val="0"/>
          <w:i w:val="0"/>
          <w:sz w:val="22"/>
        </w:rPr>
        <w:t>- OPERATIONAL</w:t>
      </w:r>
    </w:p>
    <w:p>
      <w:pPr>
        <w:spacing w:after="80" w:line="293" w:lineRule="auto"/>
        <w:ind w:left="283"/>
        <w:jc w:val="left"/>
      </w:pPr>
      <w:r>
        <w:rPr>
          <w:rFonts w:ascii="Times New Roman" w:hAnsi="Times New Roman" w:cs="Times New Roman"/>
          <w:b w:val="0"/>
          <w:i w:val="0"/>
          <w:sz w:val="22"/>
        </w:rPr>
        <w:t>- COMMERCIAL</w:t>
      </w:r>
    </w:p>
    <w:p>
      <w:pPr>
        <w:spacing w:after="80" w:line="293" w:lineRule="auto"/>
        <w:ind w:left="283"/>
        <w:jc w:val="left"/>
      </w:pPr>
      <w:r>
        <w:rPr>
          <w:rFonts w:ascii="Times New Roman" w:hAnsi="Times New Roman" w:cs="Times New Roman"/>
          <w:b w:val="0"/>
          <w:i w:val="0"/>
          <w:sz w:val="22"/>
        </w:rPr>
        <w:t>- CREDENTIAL</w:t>
      </w:r>
    </w:p>
    <w:p>
      <w:pPr>
        <w:spacing w:after="80" w:line="293" w:lineRule="auto"/>
        <w:ind w:left="283"/>
        <w:jc w:val="left"/>
      </w:pPr>
      <w:r>
        <w:rPr>
          <w:rFonts w:ascii="Times New Roman" w:hAnsi="Times New Roman" w:cs="Times New Roman"/>
          <w:b w:val="0"/>
          <w:i w:val="0"/>
          <w:sz w:val="22"/>
        </w:rPr>
        <w:t>- CERTIFICATION</w:t>
      </w:r>
    </w:p>
    <w:p>
      <w:pPr>
        <w:spacing w:after="80" w:line="293" w:lineRule="auto"/>
        <w:ind w:left="283"/>
        <w:jc w:val="left"/>
      </w:pPr>
      <w:r>
        <w:rPr>
          <w:rFonts w:ascii="Times New Roman" w:hAnsi="Times New Roman" w:cs="Times New Roman"/>
          <w:b w:val="0"/>
          <w:i w:val="0"/>
          <w:sz w:val="22"/>
        </w:rPr>
        <w:t>- LEGAL AGREEMENT</w:t>
      </w:r>
    </w:p>
    <w:p>
      <w:pPr>
        <w:spacing w:after="80" w:line="293" w:lineRule="auto"/>
        <w:ind w:left="283"/>
        <w:jc w:val="left"/>
      </w:pPr>
      <w:r>
        <w:rPr>
          <w:rFonts w:ascii="Times New Roman" w:hAnsi="Times New Roman" w:cs="Times New Roman"/>
          <w:b w:val="0"/>
          <w:i w:val="0"/>
          <w:sz w:val="22"/>
        </w:rPr>
        <w:t>- STATUS</w:t>
      </w:r>
    </w:p>
    <w:p>
      <w:pPr>
        <w:spacing w:after="80" w:line="293" w:lineRule="auto"/>
        <w:ind w:left="283"/>
        <w:jc w:val="left"/>
      </w:pPr>
      <w:r>
        <w:rPr>
          <w:rFonts w:ascii="Times New Roman" w:hAnsi="Times New Roman" w:cs="Times New Roman"/>
          <w:b w:val="0"/>
          <w:i w:val="0"/>
          <w:sz w:val="22"/>
        </w:rPr>
        <w:t>- PRIORITY</w:t>
      </w:r>
    </w:p>
    <w:p>
      <w:pPr>
        <w:spacing w:after="80" w:line="293" w:lineRule="auto"/>
        <w:ind w:left="283"/>
        <w:jc w:val="left"/>
      </w:pPr>
      <w:r>
        <w:rPr>
          <w:rFonts w:ascii="Times New Roman" w:hAnsi="Times New Roman" w:cs="Times New Roman"/>
          <w:b w:val="0"/>
          <w:i w:val="0"/>
          <w:sz w:val="22"/>
        </w:rPr>
        <w:t>- OWNER</w:t>
      </w:r>
    </w:p>
    <w:p>
      <w:pPr>
        <w:spacing w:after="80" w:line="293" w:lineRule="auto"/>
        <w:ind w:left="283"/>
        <w:jc w:val="left"/>
      </w:pPr>
      <w:r>
        <w:rPr>
          <w:rFonts w:ascii="Times New Roman" w:hAnsi="Times New Roman" w:cs="Times New Roman"/>
          <w:b w:val="0"/>
          <w:i w:val="0"/>
          <w:sz w:val="22"/>
        </w:rPr>
        <w:t>- NEXT ACTION</w:t>
      </w:r>
    </w:p>
    <w:p>
      <w:pPr>
        <w:spacing w:after="80" w:line="293" w:lineRule="auto"/>
        <w:ind w:left="283"/>
        <w:jc w:val="left"/>
      </w:pPr>
      <w:r>
        <w:rPr>
          <w:rFonts w:ascii="Times New Roman" w:hAnsi="Times New Roman" w:cs="Times New Roman"/>
          <w:b w:val="0"/>
          <w:i w:val="0"/>
          <w:sz w:val="22"/>
        </w:rPr>
        <w:t>- AFFECTED USTNs</w:t>
      </w:r>
    </w:p>
    <w:p>
      <w:pPr>
        <w:spacing w:after="80" w:line="293" w:lineRule="auto"/>
        <w:ind w:left="283"/>
        <w:jc w:val="left"/>
      </w:pPr>
      <w:r>
        <w:rPr>
          <w:rFonts w:ascii="Times New Roman" w:hAnsi="Times New Roman" w:cs="Times New Roman"/>
          <w:b w:val="0"/>
          <w:i w:val="0"/>
          <w:sz w:val="22"/>
        </w:rPr>
        <w:t>- AFFECTED LANES</w:t>
      </w:r>
    </w:p>
    <w:p>
      <w:pPr>
        <w:spacing w:after="80" w:line="293" w:lineRule="auto"/>
        <w:jc w:val="left"/>
      </w:pPr>
      <w:r>
        <w:rPr>
          <w:rFonts w:ascii="Times New Roman" w:hAnsi="Times New Roman" w:cs="Times New Roman"/>
          <w:b w:val="0"/>
          <w:i w:val="0"/>
          <w:sz w:val="22"/>
        </w:rPr>
        <w:t>No hidden external dependency.</w:t>
      </w:r>
    </w:p>
    <w:p>
      <w:pPr>
        <w:keepNext/>
        <w:spacing w:before="240" w:after="100"/>
        <w:outlineLvl w:val="1"/>
      </w:pPr>
      <w:r>
        <w:rPr>
          <w:rFonts w:ascii="Arial" w:hAnsi="Arial" w:cs="Arial"/>
          <w:b/>
          <w:i w:val="0"/>
          <w:color w:val="2E528F"/>
          <w:sz w:val="26"/>
        </w:rPr>
        <w:t>20.121 Global Trade Control Tower</w:t>
      </w:r>
    </w:p>
    <w:p>
      <w:pPr>
        <w:spacing w:after="80" w:line="293" w:lineRule="auto"/>
        <w:jc w:val="left"/>
      </w:pPr>
      <w:r>
        <w:rPr>
          <w:rFonts w:ascii="Times New Roman" w:hAnsi="Times New Roman" w:cs="Times New Roman"/>
          <w:b w:val="0"/>
          <w:i w:val="0"/>
          <w:sz w:val="22"/>
        </w:rPr>
        <w:t>The executive dashboard shows:</w:t>
      </w:r>
    </w:p>
    <w:p>
      <w:pPr>
        <w:spacing w:after="80" w:line="293" w:lineRule="auto"/>
        <w:ind w:left="283"/>
        <w:jc w:val="left"/>
      </w:pPr>
      <w:r>
        <w:rPr>
          <w:rFonts w:ascii="Times New Roman" w:hAnsi="Times New Roman" w:cs="Times New Roman"/>
          <w:b w:val="0"/>
          <w:i w:val="0"/>
          <w:sz w:val="22"/>
        </w:rPr>
        <w:t>- active trades</w:t>
      </w:r>
    </w:p>
    <w:p>
      <w:pPr>
        <w:spacing w:after="80" w:line="293" w:lineRule="auto"/>
        <w:ind w:left="283"/>
        <w:jc w:val="left"/>
      </w:pPr>
      <w:r>
        <w:rPr>
          <w:rFonts w:ascii="Times New Roman" w:hAnsi="Times New Roman" w:cs="Times New Roman"/>
          <w:b w:val="0"/>
          <w:i w:val="0"/>
          <w:sz w:val="22"/>
        </w:rPr>
        <w:t>- trade value</w:t>
      </w:r>
    </w:p>
    <w:p>
      <w:pPr>
        <w:spacing w:after="80" w:line="293" w:lineRule="auto"/>
        <w:ind w:left="283"/>
        <w:jc w:val="left"/>
      </w:pPr>
      <w:r>
        <w:rPr>
          <w:rFonts w:ascii="Times New Roman" w:hAnsi="Times New Roman" w:cs="Times New Roman"/>
          <w:b w:val="0"/>
          <w:i w:val="0"/>
          <w:sz w:val="22"/>
        </w:rPr>
        <w:t>- shipments</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government holds</w:t>
      </w:r>
    </w:p>
    <w:p>
      <w:pPr>
        <w:spacing w:after="80" w:line="293" w:lineRule="auto"/>
        <w:ind w:left="283"/>
        <w:jc w:val="left"/>
      </w:pPr>
      <w:r>
        <w:rPr>
          <w:rFonts w:ascii="Times New Roman" w:hAnsi="Times New Roman" w:cs="Times New Roman"/>
          <w:b w:val="0"/>
          <w:i w:val="0"/>
          <w:sz w:val="22"/>
        </w:rPr>
        <w:t>- logistics status</w:t>
      </w:r>
    </w:p>
    <w:p>
      <w:pPr>
        <w:spacing w:after="80" w:line="293" w:lineRule="auto"/>
        <w:ind w:left="283"/>
        <w:jc w:val="left"/>
      </w:pPr>
      <w:r>
        <w:rPr>
          <w:rFonts w:ascii="Times New Roman" w:hAnsi="Times New Roman" w:cs="Times New Roman"/>
          <w:b w:val="0"/>
          <w:i w:val="0"/>
          <w:sz w:val="22"/>
        </w:rPr>
        <w:t>- border delays</w:t>
      </w:r>
    </w:p>
    <w:p>
      <w:pPr>
        <w:spacing w:after="80" w:line="293" w:lineRule="auto"/>
        <w:ind w:left="283"/>
        <w:jc w:val="left"/>
      </w:pPr>
      <w:r>
        <w:rPr>
          <w:rFonts w:ascii="Times New Roman" w:hAnsi="Times New Roman" w:cs="Times New Roman"/>
          <w:b w:val="0"/>
          <w:i w:val="0"/>
          <w:sz w:val="22"/>
        </w:rPr>
        <w:t>- air delays</w:t>
      </w:r>
    </w:p>
    <w:p>
      <w:pPr>
        <w:spacing w:after="80" w:line="293" w:lineRule="auto"/>
        <w:ind w:left="283"/>
        <w:jc w:val="left"/>
      </w:pPr>
      <w:r>
        <w:rPr>
          <w:rFonts w:ascii="Times New Roman" w:hAnsi="Times New Roman" w:cs="Times New Roman"/>
          <w:b w:val="0"/>
          <w:i w:val="0"/>
          <w:sz w:val="22"/>
        </w:rPr>
        <w:t>- ocean delays</w:t>
      </w:r>
    </w:p>
    <w:p>
      <w:pPr>
        <w:spacing w:after="80" w:line="293" w:lineRule="auto"/>
        <w:ind w:left="283"/>
        <w:jc w:val="left"/>
      </w:pPr>
      <w:r>
        <w:rPr>
          <w:rFonts w:ascii="Times New Roman" w:hAnsi="Times New Roman" w:cs="Times New Roman"/>
          <w:b w:val="0"/>
          <w:i w:val="0"/>
          <w:sz w:val="22"/>
        </w:rPr>
        <w:t>- RoRo vessels</w:t>
      </w:r>
    </w:p>
    <w:p>
      <w:pPr>
        <w:spacing w:after="80" w:line="293" w:lineRule="auto"/>
        <w:ind w:left="283"/>
        <w:jc w:val="left"/>
      </w:pPr>
      <w:r>
        <w:rPr>
          <w:rFonts w:ascii="Times New Roman" w:hAnsi="Times New Roman" w:cs="Times New Roman"/>
          <w:b w:val="0"/>
          <w:i w:val="0"/>
          <w:sz w:val="22"/>
        </w:rPr>
        <w:t>- RoRo units</w:t>
      </w:r>
    </w:p>
    <w:p>
      <w:pPr>
        <w:spacing w:after="80" w:line="293" w:lineRule="auto"/>
        <w:ind w:left="283"/>
        <w:jc w:val="left"/>
      </w:pPr>
      <w:r>
        <w:rPr>
          <w:rFonts w:ascii="Times New Roman" w:hAnsi="Times New Roman" w:cs="Times New Roman"/>
          <w:b w:val="0"/>
          <w:i w:val="0"/>
          <w:sz w:val="22"/>
        </w:rPr>
        <w:t>- rail</w:t>
      </w:r>
    </w:p>
    <w:p>
      <w:pPr>
        <w:spacing w:after="80" w:line="293" w:lineRule="auto"/>
        <w:ind w:left="283"/>
        <w:jc w:val="left"/>
      </w:pPr>
      <w:r>
        <w:rPr>
          <w:rFonts w:ascii="Times New Roman" w:hAnsi="Times New Roman" w:cs="Times New Roman"/>
          <w:b w:val="0"/>
          <w:i w:val="0"/>
          <w:sz w:val="22"/>
        </w:rPr>
        <w:t>- payment</w:t>
      </w:r>
    </w:p>
    <w:p>
      <w:pPr>
        <w:spacing w:after="80" w:line="293" w:lineRule="auto"/>
        <w:ind w:left="283"/>
        <w:jc w:val="left"/>
      </w:pPr>
      <w:r>
        <w:rPr>
          <w:rFonts w:ascii="Times New Roman" w:hAnsi="Times New Roman" w:cs="Times New Roman"/>
          <w:b w:val="0"/>
          <w:i w:val="0"/>
          <w:sz w:val="22"/>
        </w:rPr>
        <w:t>- settlement</w:t>
      </w:r>
    </w:p>
    <w:p>
      <w:pPr>
        <w:spacing w:after="80" w:line="293" w:lineRule="auto"/>
        <w:ind w:left="283"/>
        <w:jc w:val="left"/>
      </w:pPr>
      <w:r>
        <w:rPr>
          <w:rFonts w:ascii="Times New Roman" w:hAnsi="Times New Roman" w:cs="Times New Roman"/>
          <w:b w:val="0"/>
          <w:i w:val="0"/>
          <w:sz w:val="22"/>
        </w:rPr>
        <w:t>- claims</w:t>
      </w:r>
    </w:p>
    <w:p>
      <w:pPr>
        <w:spacing w:after="80" w:line="293" w:lineRule="auto"/>
        <w:ind w:left="283"/>
        <w:jc w:val="left"/>
      </w:pPr>
      <w:r>
        <w:rPr>
          <w:rFonts w:ascii="Times New Roman" w:hAnsi="Times New Roman" w:cs="Times New Roman"/>
          <w:b w:val="0"/>
          <w:i w:val="0"/>
          <w:sz w:val="22"/>
        </w:rPr>
        <w:t>- insurance</w:t>
      </w:r>
    </w:p>
    <w:p>
      <w:pPr>
        <w:spacing w:after="80" w:line="293" w:lineRule="auto"/>
        <w:ind w:left="283"/>
        <w:jc w:val="left"/>
      </w:pPr>
      <w:r>
        <w:rPr>
          <w:rFonts w:ascii="Times New Roman" w:hAnsi="Times New Roman" w:cs="Times New Roman"/>
          <w:b w:val="0"/>
          <w:i w:val="0"/>
          <w:sz w:val="22"/>
        </w:rPr>
        <w:t>- regulatory changes</w:t>
      </w:r>
    </w:p>
    <w:p>
      <w:pPr>
        <w:spacing w:after="80" w:line="293" w:lineRule="auto"/>
        <w:ind w:left="283"/>
        <w:jc w:val="left"/>
      </w:pPr>
      <w:r>
        <w:rPr>
          <w:rFonts w:ascii="Times New Roman" w:hAnsi="Times New Roman" w:cs="Times New Roman"/>
          <w:b w:val="0"/>
          <w:i w:val="0"/>
          <w:sz w:val="22"/>
        </w:rPr>
        <w:t>- connector health</w:t>
      </w:r>
    </w:p>
    <w:p>
      <w:pPr>
        <w:spacing w:after="80" w:line="293" w:lineRule="auto"/>
        <w:ind w:left="283"/>
        <w:jc w:val="left"/>
      </w:pPr>
      <w:r>
        <w:rPr>
          <w:rFonts w:ascii="Times New Roman" w:hAnsi="Times New Roman" w:cs="Times New Roman"/>
          <w:b w:val="0"/>
          <w:i w:val="0"/>
          <w:sz w:val="22"/>
        </w:rPr>
        <w:t>- integration gaps</w:t>
      </w:r>
    </w:p>
    <w:p>
      <w:pPr>
        <w:spacing w:after="80" w:line="293" w:lineRule="auto"/>
        <w:ind w:left="283"/>
        <w:jc w:val="left"/>
      </w:pPr>
      <w:r>
        <w:rPr>
          <w:rFonts w:ascii="Times New Roman" w:hAnsi="Times New Roman" w:cs="Times New Roman"/>
          <w:b w:val="0"/>
          <w:i w:val="0"/>
          <w:sz w:val="22"/>
        </w:rPr>
        <w:t>- USTN closure</w:t>
      </w:r>
    </w:p>
    <w:p>
      <w:pPr>
        <w:keepNext/>
        <w:spacing w:before="240" w:after="100"/>
        <w:outlineLvl w:val="1"/>
      </w:pPr>
      <w:r>
        <w:rPr>
          <w:rFonts w:ascii="Arial" w:hAnsi="Arial" w:cs="Arial"/>
          <w:b/>
          <w:i w:val="0"/>
          <w:color w:val="2E528F"/>
          <w:sz w:val="26"/>
        </w:rPr>
        <w:t>20.122 RoRo Control Tower</w:t>
      </w:r>
    </w:p>
    <w:p>
      <w:pPr>
        <w:spacing w:after="80" w:line="293" w:lineRule="auto"/>
        <w:jc w:val="left"/>
      </w:pPr>
      <w:r>
        <w:rPr>
          <w:rFonts w:ascii="Times New Roman" w:hAnsi="Times New Roman" w:cs="Times New Roman"/>
          <w:b w:val="0"/>
          <w:i w:val="0"/>
          <w:sz w:val="22"/>
        </w:rPr>
        <w:t>Specific cards:</w:t>
      </w:r>
    </w:p>
    <w:p>
      <w:pPr>
        <w:spacing w:after="80" w:line="293" w:lineRule="auto"/>
        <w:ind w:left="283"/>
        <w:jc w:val="left"/>
      </w:pPr>
      <w:r>
        <w:rPr>
          <w:rFonts w:ascii="Times New Roman" w:hAnsi="Times New Roman" w:cs="Times New Roman"/>
          <w:b w:val="0"/>
          <w:i w:val="0"/>
          <w:sz w:val="22"/>
        </w:rPr>
        <w:t>- ACTIVE RORO UNITS</w:t>
      </w:r>
    </w:p>
    <w:p>
      <w:pPr>
        <w:spacing w:after="80" w:line="293" w:lineRule="auto"/>
        <w:ind w:left="283"/>
        <w:jc w:val="left"/>
      </w:pPr>
      <w:r>
        <w:rPr>
          <w:rFonts w:ascii="Times New Roman" w:hAnsi="Times New Roman" w:cs="Times New Roman"/>
          <w:b w:val="0"/>
          <w:i w:val="0"/>
          <w:sz w:val="22"/>
        </w:rPr>
        <w:t>- VESSELS</w:t>
      </w:r>
    </w:p>
    <w:p>
      <w:pPr>
        <w:spacing w:after="80" w:line="293" w:lineRule="auto"/>
        <w:ind w:left="283"/>
        <w:jc w:val="left"/>
      </w:pPr>
      <w:r>
        <w:rPr>
          <w:rFonts w:ascii="Times New Roman" w:hAnsi="Times New Roman" w:cs="Times New Roman"/>
          <w:b w:val="0"/>
          <w:i w:val="0"/>
          <w:sz w:val="22"/>
        </w:rPr>
        <w:t>- VOYAGES</w:t>
      </w:r>
    </w:p>
    <w:p>
      <w:pPr>
        <w:spacing w:after="80" w:line="293" w:lineRule="auto"/>
        <w:ind w:left="283"/>
        <w:jc w:val="left"/>
      </w:pPr>
      <w:r>
        <w:rPr>
          <w:rFonts w:ascii="Times New Roman" w:hAnsi="Times New Roman" w:cs="Times New Roman"/>
          <w:b w:val="0"/>
          <w:i w:val="0"/>
          <w:sz w:val="22"/>
        </w:rPr>
        <w:t>- GATE-IN</w:t>
      </w:r>
    </w:p>
    <w:p>
      <w:pPr>
        <w:spacing w:after="80" w:line="293" w:lineRule="auto"/>
        <w:ind w:left="283"/>
        <w:jc w:val="left"/>
      </w:pPr>
      <w:r>
        <w:rPr>
          <w:rFonts w:ascii="Times New Roman" w:hAnsi="Times New Roman" w:cs="Times New Roman"/>
          <w:b w:val="0"/>
          <w:i w:val="0"/>
          <w:sz w:val="22"/>
        </w:rPr>
        <w:t>- YARD</w:t>
      </w:r>
    </w:p>
    <w:p>
      <w:pPr>
        <w:spacing w:after="80" w:line="293" w:lineRule="auto"/>
        <w:ind w:left="283"/>
        <w:jc w:val="left"/>
      </w:pPr>
      <w:r>
        <w:rPr>
          <w:rFonts w:ascii="Times New Roman" w:hAnsi="Times New Roman" w:cs="Times New Roman"/>
          <w:b w:val="0"/>
          <w:i w:val="0"/>
          <w:sz w:val="22"/>
        </w:rPr>
        <w:t>- READY TO LOAD</w:t>
      </w:r>
    </w:p>
    <w:p>
      <w:pPr>
        <w:spacing w:after="80" w:line="293" w:lineRule="auto"/>
        <w:ind w:left="283"/>
        <w:jc w:val="left"/>
      </w:pPr>
      <w:r>
        <w:rPr>
          <w:rFonts w:ascii="Times New Roman" w:hAnsi="Times New Roman" w:cs="Times New Roman"/>
          <w:b w:val="0"/>
          <w:i w:val="0"/>
          <w:sz w:val="22"/>
        </w:rPr>
        <w:t>- LOADED</w:t>
      </w:r>
    </w:p>
    <w:p>
      <w:pPr>
        <w:spacing w:after="80" w:line="293" w:lineRule="auto"/>
        <w:ind w:left="283"/>
        <w:jc w:val="left"/>
      </w:pPr>
      <w:r>
        <w:rPr>
          <w:rFonts w:ascii="Times New Roman" w:hAnsi="Times New Roman" w:cs="Times New Roman"/>
          <w:b w:val="0"/>
          <w:i w:val="0"/>
          <w:sz w:val="22"/>
        </w:rPr>
        <w:t>- AT SEA</w:t>
      </w:r>
    </w:p>
    <w:p>
      <w:pPr>
        <w:spacing w:after="80" w:line="293" w:lineRule="auto"/>
        <w:ind w:left="283"/>
        <w:jc w:val="left"/>
      </w:pPr>
      <w:r>
        <w:rPr>
          <w:rFonts w:ascii="Times New Roman" w:hAnsi="Times New Roman" w:cs="Times New Roman"/>
          <w:b w:val="0"/>
          <w:i w:val="0"/>
          <w:sz w:val="22"/>
        </w:rPr>
        <w:t>- ARRIVED</w:t>
      </w:r>
    </w:p>
    <w:p>
      <w:pPr>
        <w:spacing w:after="80" w:line="293" w:lineRule="auto"/>
        <w:ind w:left="283"/>
        <w:jc w:val="left"/>
      </w:pPr>
      <w:r>
        <w:rPr>
          <w:rFonts w:ascii="Times New Roman" w:hAnsi="Times New Roman" w:cs="Times New Roman"/>
          <w:b w:val="0"/>
          <w:i w:val="0"/>
          <w:sz w:val="22"/>
        </w:rPr>
        <w:t>- CUSTOMS HOLD</w:t>
      </w:r>
    </w:p>
    <w:p>
      <w:pPr>
        <w:spacing w:after="80" w:line="293" w:lineRule="auto"/>
        <w:ind w:left="283"/>
        <w:jc w:val="left"/>
      </w:pPr>
      <w:r>
        <w:rPr>
          <w:rFonts w:ascii="Times New Roman" w:hAnsi="Times New Roman" w:cs="Times New Roman"/>
          <w:b w:val="0"/>
          <w:i w:val="0"/>
          <w:sz w:val="22"/>
        </w:rPr>
        <w:t>- DAMAGED</w:t>
      </w:r>
    </w:p>
    <w:p>
      <w:pPr>
        <w:spacing w:after="80" w:line="293" w:lineRule="auto"/>
        <w:ind w:left="283"/>
        <w:jc w:val="left"/>
      </w:pPr>
      <w:r>
        <w:rPr>
          <w:rFonts w:ascii="Times New Roman" w:hAnsi="Times New Roman" w:cs="Times New Roman"/>
          <w:b w:val="0"/>
          <w:i w:val="0"/>
          <w:sz w:val="22"/>
        </w:rPr>
        <w:t>- STORAGE EXPOSURE</w:t>
      </w:r>
    </w:p>
    <w:p>
      <w:pPr>
        <w:spacing w:after="80" w:line="293" w:lineRule="auto"/>
        <w:ind w:left="283"/>
        <w:jc w:val="left"/>
      </w:pPr>
      <w:r>
        <w:rPr>
          <w:rFonts w:ascii="Times New Roman" w:hAnsi="Times New Roman" w:cs="Times New Roman"/>
          <w:b w:val="0"/>
          <w:i w:val="0"/>
          <w:sz w:val="22"/>
        </w:rPr>
        <w:t>- GATE-OUT</w:t>
      </w:r>
    </w:p>
    <w:p>
      <w:pPr>
        <w:spacing w:after="80" w:line="293" w:lineRule="auto"/>
        <w:ind w:left="283"/>
        <w:jc w:val="left"/>
      </w:pPr>
      <w:r>
        <w:rPr>
          <w:rFonts w:ascii="Times New Roman" w:hAnsi="Times New Roman" w:cs="Times New Roman"/>
          <w:b w:val="0"/>
          <w:i w:val="0"/>
          <w:sz w:val="22"/>
        </w:rPr>
        <w:t>- DELIVERED</w:t>
      </w:r>
    </w:p>
    <w:p>
      <w:pPr>
        <w:spacing w:after="80" w:line="293" w:lineRule="auto"/>
        <w:jc w:val="left"/>
      </w:pPr>
      <w:r>
        <w:rPr>
          <w:rFonts w:ascii="Times New Roman" w:hAnsi="Times New Roman" w:cs="Times New Roman"/>
          <w:b w:val="0"/>
          <w:i w:val="0"/>
          <w:sz w:val="22"/>
        </w:rPr>
        <w:t>Search by:</w:t>
      </w:r>
    </w:p>
    <w:p>
      <w:pPr>
        <w:spacing w:after="80" w:line="293" w:lineRule="auto"/>
        <w:ind w:left="283"/>
        <w:jc w:val="left"/>
      </w:pPr>
      <w:r>
        <w:rPr>
          <w:rFonts w:ascii="Times New Roman" w:hAnsi="Times New Roman" w:cs="Times New Roman"/>
          <w:b w:val="0"/>
          <w:i w:val="0"/>
          <w:sz w:val="22"/>
        </w:rPr>
        <w:t>- USTN</w:t>
      </w:r>
    </w:p>
    <w:p>
      <w:pPr>
        <w:spacing w:after="80" w:line="293" w:lineRule="auto"/>
        <w:ind w:left="283"/>
        <w:jc w:val="left"/>
      </w:pPr>
      <w:r>
        <w:rPr>
          <w:rFonts w:ascii="Times New Roman" w:hAnsi="Times New Roman" w:cs="Times New Roman"/>
          <w:b w:val="0"/>
          <w:i w:val="0"/>
          <w:sz w:val="22"/>
        </w:rPr>
        <w:t>- VIN</w:t>
      </w:r>
    </w:p>
    <w:p>
      <w:pPr>
        <w:spacing w:after="80" w:line="293" w:lineRule="auto"/>
        <w:ind w:left="283"/>
        <w:jc w:val="left"/>
      </w:pPr>
      <w:r>
        <w:rPr>
          <w:rFonts w:ascii="Times New Roman" w:hAnsi="Times New Roman" w:cs="Times New Roman"/>
          <w:b w:val="0"/>
          <w:i w:val="0"/>
          <w:sz w:val="22"/>
        </w:rPr>
        <w:t>- booking</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vessel</w:t>
      </w:r>
    </w:p>
    <w:p>
      <w:pPr>
        <w:spacing w:after="80" w:line="293" w:lineRule="auto"/>
        <w:ind w:left="283"/>
        <w:jc w:val="left"/>
      </w:pPr>
      <w:r>
        <w:rPr>
          <w:rFonts w:ascii="Times New Roman" w:hAnsi="Times New Roman" w:cs="Times New Roman"/>
          <w:b w:val="0"/>
          <w:i w:val="0"/>
          <w:sz w:val="22"/>
        </w:rPr>
        <w:t>- consignee</w:t>
      </w:r>
    </w:p>
    <w:p>
      <w:pPr>
        <w:keepNext/>
        <w:spacing w:before="240" w:after="100"/>
        <w:outlineLvl w:val="1"/>
      </w:pPr>
      <w:r>
        <w:rPr>
          <w:rFonts w:ascii="Arial" w:hAnsi="Arial" w:cs="Arial"/>
          <w:b/>
          <w:i w:val="0"/>
          <w:color w:val="2E528F"/>
          <w:sz w:val="26"/>
        </w:rPr>
        <w:t>20.123 Air Control Tower</w:t>
      </w:r>
    </w:p>
    <w:p>
      <w:pPr>
        <w:spacing w:after="80" w:line="293" w:lineRule="auto"/>
        <w:jc w:val="left"/>
      </w:pPr>
      <w:r>
        <w:rPr>
          <w:rFonts w:ascii="Times New Roman" w:hAnsi="Times New Roman" w:cs="Times New Roman"/>
          <w:b w:val="0"/>
          <w:i w:val="0"/>
          <w:sz w:val="22"/>
        </w:rPr>
        <w:t>Show:</w:t>
      </w:r>
    </w:p>
    <w:p>
      <w:pPr>
        <w:spacing w:after="80" w:line="293" w:lineRule="auto"/>
        <w:ind w:left="283"/>
        <w:jc w:val="left"/>
      </w:pPr>
      <w:r>
        <w:rPr>
          <w:rFonts w:ascii="Times New Roman" w:hAnsi="Times New Roman" w:cs="Times New Roman"/>
          <w:b w:val="0"/>
          <w:i w:val="0"/>
          <w:sz w:val="22"/>
        </w:rPr>
        <w:t>- MAWB</w:t>
      </w:r>
    </w:p>
    <w:p>
      <w:pPr>
        <w:spacing w:after="80" w:line="293" w:lineRule="auto"/>
        <w:ind w:left="283"/>
        <w:jc w:val="left"/>
      </w:pPr>
      <w:r>
        <w:rPr>
          <w:rFonts w:ascii="Times New Roman" w:hAnsi="Times New Roman" w:cs="Times New Roman"/>
          <w:b w:val="0"/>
          <w:i w:val="0"/>
          <w:sz w:val="22"/>
        </w:rPr>
        <w:t>- HAWB</w:t>
      </w:r>
    </w:p>
    <w:p>
      <w:pPr>
        <w:spacing w:after="80" w:line="293" w:lineRule="auto"/>
        <w:ind w:left="283"/>
        <w:jc w:val="left"/>
      </w:pPr>
      <w:r>
        <w:rPr>
          <w:rFonts w:ascii="Times New Roman" w:hAnsi="Times New Roman" w:cs="Times New Roman"/>
          <w:b w:val="0"/>
          <w:i w:val="0"/>
          <w:sz w:val="22"/>
        </w:rPr>
        <w:t>- flight</w:t>
      </w:r>
    </w:p>
    <w:p>
      <w:pPr>
        <w:spacing w:after="80" w:line="293" w:lineRule="auto"/>
        <w:ind w:left="283"/>
        <w:jc w:val="left"/>
      </w:pPr>
      <w:r>
        <w:rPr>
          <w:rFonts w:ascii="Times New Roman" w:hAnsi="Times New Roman" w:cs="Times New Roman"/>
          <w:b w:val="0"/>
          <w:i w:val="0"/>
          <w:sz w:val="22"/>
        </w:rPr>
        <w:t>- RCS</w:t>
      </w:r>
    </w:p>
    <w:p>
      <w:pPr>
        <w:spacing w:after="80" w:line="293" w:lineRule="auto"/>
        <w:ind w:left="283"/>
        <w:jc w:val="left"/>
      </w:pPr>
      <w:r>
        <w:rPr>
          <w:rFonts w:ascii="Times New Roman" w:hAnsi="Times New Roman" w:cs="Times New Roman"/>
          <w:b w:val="0"/>
          <w:i w:val="0"/>
          <w:sz w:val="22"/>
        </w:rPr>
        <w:t>- DEP</w:t>
      </w:r>
    </w:p>
    <w:p>
      <w:pPr>
        <w:spacing w:after="80" w:line="293" w:lineRule="auto"/>
        <w:ind w:left="283"/>
        <w:jc w:val="left"/>
      </w:pPr>
      <w:r>
        <w:rPr>
          <w:rFonts w:ascii="Times New Roman" w:hAnsi="Times New Roman" w:cs="Times New Roman"/>
          <w:b w:val="0"/>
          <w:i w:val="0"/>
          <w:sz w:val="22"/>
        </w:rPr>
        <w:t>- ARR</w:t>
      </w:r>
    </w:p>
    <w:p>
      <w:pPr>
        <w:spacing w:after="80" w:line="293" w:lineRule="auto"/>
        <w:ind w:left="283"/>
        <w:jc w:val="left"/>
      </w:pPr>
      <w:r>
        <w:rPr>
          <w:rFonts w:ascii="Times New Roman" w:hAnsi="Times New Roman" w:cs="Times New Roman"/>
          <w:b w:val="0"/>
          <w:i w:val="0"/>
          <w:sz w:val="22"/>
        </w:rPr>
        <w:t>- RCF</w:t>
      </w:r>
    </w:p>
    <w:p>
      <w:pPr>
        <w:spacing w:after="80" w:line="293" w:lineRule="auto"/>
        <w:ind w:left="283"/>
        <w:jc w:val="left"/>
      </w:pPr>
      <w:r>
        <w:rPr>
          <w:rFonts w:ascii="Times New Roman" w:hAnsi="Times New Roman" w:cs="Times New Roman"/>
          <w:b w:val="0"/>
          <w:i w:val="0"/>
          <w:sz w:val="22"/>
        </w:rPr>
        <w:t>- NFD</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security</w:t>
      </w:r>
    </w:p>
    <w:p>
      <w:pPr>
        <w:spacing w:after="80" w:line="293" w:lineRule="auto"/>
        <w:ind w:left="283"/>
        <w:jc w:val="left"/>
      </w:pPr>
      <w:r>
        <w:rPr>
          <w:rFonts w:ascii="Times New Roman" w:hAnsi="Times New Roman" w:cs="Times New Roman"/>
          <w:b w:val="0"/>
          <w:i w:val="0"/>
          <w:sz w:val="22"/>
        </w:rPr>
        <w:t>- DG</w:t>
      </w:r>
    </w:p>
    <w:p>
      <w:pPr>
        <w:spacing w:after="80" w:line="293" w:lineRule="auto"/>
        <w:ind w:left="283"/>
        <w:jc w:val="left"/>
      </w:pPr>
      <w:r>
        <w:rPr>
          <w:rFonts w:ascii="Times New Roman" w:hAnsi="Times New Roman" w:cs="Times New Roman"/>
          <w:b w:val="0"/>
          <w:i w:val="0"/>
          <w:sz w:val="22"/>
        </w:rPr>
        <w:t>- cutoffs</w:t>
      </w:r>
    </w:p>
    <w:p>
      <w:pPr>
        <w:spacing w:after="80" w:line="293" w:lineRule="auto"/>
        <w:ind w:left="283"/>
        <w:jc w:val="left"/>
      </w:pPr>
      <w:r>
        <w:rPr>
          <w:rFonts w:ascii="Times New Roman" w:hAnsi="Times New Roman" w:cs="Times New Roman"/>
          <w:b w:val="0"/>
          <w:i w:val="0"/>
          <w:sz w:val="22"/>
        </w:rPr>
        <w:t>- ULD</w:t>
      </w:r>
    </w:p>
    <w:p>
      <w:pPr>
        <w:spacing w:after="80" w:line="293" w:lineRule="auto"/>
        <w:ind w:left="283"/>
        <w:jc w:val="left"/>
      </w:pPr>
      <w:r>
        <w:rPr>
          <w:rFonts w:ascii="Times New Roman" w:hAnsi="Times New Roman" w:cs="Times New Roman"/>
          <w:b w:val="0"/>
          <w:i w:val="0"/>
          <w:sz w:val="22"/>
        </w:rPr>
        <w:t>- temperature</w:t>
      </w:r>
    </w:p>
    <w:p>
      <w:pPr>
        <w:spacing w:after="80" w:line="293" w:lineRule="auto"/>
        <w:ind w:left="283"/>
        <w:jc w:val="left"/>
      </w:pPr>
      <w:r>
        <w:rPr>
          <w:rFonts w:ascii="Times New Roman" w:hAnsi="Times New Roman" w:cs="Times New Roman"/>
          <w:b w:val="0"/>
          <w:i w:val="0"/>
          <w:sz w:val="22"/>
        </w:rPr>
        <w:t>- connection risk</w:t>
      </w:r>
    </w:p>
    <w:p>
      <w:pPr>
        <w:keepNext/>
        <w:spacing w:before="240" w:after="100"/>
        <w:outlineLvl w:val="1"/>
      </w:pPr>
      <w:r>
        <w:rPr>
          <w:rFonts w:ascii="Arial" w:hAnsi="Arial" w:cs="Arial"/>
          <w:b/>
          <w:i w:val="0"/>
          <w:color w:val="2E528F"/>
          <w:sz w:val="26"/>
        </w:rPr>
        <w:t>20.124 Road Control Tower</w:t>
      </w:r>
    </w:p>
    <w:p>
      <w:pPr>
        <w:spacing w:after="80" w:line="293" w:lineRule="auto"/>
        <w:jc w:val="left"/>
      </w:pPr>
      <w:r>
        <w:rPr>
          <w:rFonts w:ascii="Times New Roman" w:hAnsi="Times New Roman" w:cs="Times New Roman"/>
          <w:b w:val="0"/>
          <w:i w:val="0"/>
          <w:sz w:val="22"/>
        </w:rPr>
        <w:t>Show:</w:t>
      </w:r>
    </w:p>
    <w:p>
      <w:pPr>
        <w:spacing w:after="80" w:line="293" w:lineRule="auto"/>
        <w:ind w:left="283"/>
        <w:jc w:val="left"/>
      </w:pPr>
      <w:r>
        <w:rPr>
          <w:rFonts w:ascii="Times New Roman" w:hAnsi="Times New Roman" w:cs="Times New Roman"/>
          <w:b w:val="0"/>
          <w:i w:val="0"/>
          <w:sz w:val="22"/>
        </w:rPr>
        <w:t>- corridor</w:t>
      </w:r>
    </w:p>
    <w:p>
      <w:pPr>
        <w:spacing w:after="80" w:line="293" w:lineRule="auto"/>
        <w:ind w:left="283"/>
        <w:jc w:val="left"/>
      </w:pPr>
      <w:r>
        <w:rPr>
          <w:rFonts w:ascii="Times New Roman" w:hAnsi="Times New Roman" w:cs="Times New Roman"/>
          <w:b w:val="0"/>
          <w:i w:val="0"/>
          <w:sz w:val="22"/>
        </w:rPr>
        <w:t>- country</w:t>
      </w:r>
    </w:p>
    <w:p>
      <w:pPr>
        <w:spacing w:after="80" w:line="293" w:lineRule="auto"/>
        <w:ind w:left="283"/>
        <w:jc w:val="left"/>
      </w:pPr>
      <w:r>
        <w:rPr>
          <w:rFonts w:ascii="Times New Roman" w:hAnsi="Times New Roman" w:cs="Times New Roman"/>
          <w:b w:val="0"/>
          <w:i w:val="0"/>
          <w:sz w:val="22"/>
        </w:rPr>
        <w:t>- border</w:t>
      </w:r>
    </w:p>
    <w:p>
      <w:pPr>
        <w:spacing w:after="80" w:line="293" w:lineRule="auto"/>
        <w:ind w:left="283"/>
        <w:jc w:val="left"/>
      </w:pPr>
      <w:r>
        <w:rPr>
          <w:rFonts w:ascii="Times New Roman" w:hAnsi="Times New Roman" w:cs="Times New Roman"/>
          <w:b w:val="0"/>
          <w:i w:val="0"/>
          <w:sz w:val="22"/>
        </w:rPr>
        <w:t>- vehicle</w:t>
      </w:r>
    </w:p>
    <w:p>
      <w:pPr>
        <w:spacing w:after="80" w:line="293" w:lineRule="auto"/>
        <w:ind w:left="283"/>
        <w:jc w:val="left"/>
      </w:pPr>
      <w:r>
        <w:rPr>
          <w:rFonts w:ascii="Times New Roman" w:hAnsi="Times New Roman" w:cs="Times New Roman"/>
          <w:b w:val="0"/>
          <w:i w:val="0"/>
          <w:sz w:val="22"/>
        </w:rPr>
        <w:t>- driver</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transit guarantee</w:t>
      </w:r>
    </w:p>
    <w:p>
      <w:pPr>
        <w:spacing w:after="80" w:line="293" w:lineRule="auto"/>
        <w:ind w:left="283"/>
        <w:jc w:val="left"/>
      </w:pPr>
      <w:r>
        <w:rPr>
          <w:rFonts w:ascii="Times New Roman" w:hAnsi="Times New Roman" w:cs="Times New Roman"/>
          <w:b w:val="0"/>
          <w:i w:val="0"/>
          <w:sz w:val="22"/>
        </w:rPr>
        <w:t>- seal</w:t>
      </w:r>
    </w:p>
    <w:p>
      <w:pPr>
        <w:spacing w:after="80" w:line="293" w:lineRule="auto"/>
        <w:ind w:left="283"/>
        <w:jc w:val="left"/>
      </w:pPr>
      <w:r>
        <w:rPr>
          <w:rFonts w:ascii="Times New Roman" w:hAnsi="Times New Roman" w:cs="Times New Roman"/>
          <w:b w:val="0"/>
          <w:i w:val="0"/>
          <w:sz w:val="22"/>
        </w:rPr>
        <w:t>- GPS</w:t>
      </w:r>
    </w:p>
    <w:p>
      <w:pPr>
        <w:spacing w:after="80" w:line="293" w:lineRule="auto"/>
        <w:ind w:left="283"/>
        <w:jc w:val="left"/>
      </w:pPr>
      <w:r>
        <w:rPr>
          <w:rFonts w:ascii="Times New Roman" w:hAnsi="Times New Roman" w:cs="Times New Roman"/>
          <w:b w:val="0"/>
          <w:i w:val="0"/>
          <w:sz w:val="22"/>
        </w:rPr>
        <w:t>- route deviation</w:t>
      </w:r>
    </w:p>
    <w:p>
      <w:pPr>
        <w:spacing w:after="80" w:line="293" w:lineRule="auto"/>
        <w:ind w:left="283"/>
        <w:jc w:val="left"/>
      </w:pPr>
      <w:r>
        <w:rPr>
          <w:rFonts w:ascii="Times New Roman" w:hAnsi="Times New Roman" w:cs="Times New Roman"/>
          <w:b w:val="0"/>
          <w:i w:val="0"/>
          <w:sz w:val="22"/>
        </w:rPr>
        <w:t>- ETA (estimated time of arrival)</w:t>
      </w:r>
    </w:p>
    <w:p>
      <w:pPr>
        <w:spacing w:after="80" w:line="293" w:lineRule="auto"/>
        <w:ind w:left="283"/>
        <w:jc w:val="left"/>
      </w:pPr>
      <w:r>
        <w:rPr>
          <w:rFonts w:ascii="Times New Roman" w:hAnsi="Times New Roman" w:cs="Times New Roman"/>
          <w:b w:val="0"/>
          <w:i w:val="0"/>
          <w:sz w:val="22"/>
        </w:rPr>
        <w:t>- temperature</w:t>
      </w:r>
    </w:p>
    <w:p>
      <w:pPr>
        <w:spacing w:after="80" w:line="293" w:lineRule="auto"/>
        <w:ind w:left="283"/>
        <w:jc w:val="left"/>
      </w:pPr>
      <w:r>
        <w:rPr>
          <w:rFonts w:ascii="Times New Roman" w:hAnsi="Times New Roman" w:cs="Times New Roman"/>
          <w:b w:val="0"/>
          <w:i w:val="0"/>
          <w:sz w:val="22"/>
        </w:rPr>
        <w:t>- border waiting</w:t>
      </w:r>
    </w:p>
    <w:p>
      <w:pPr>
        <w:spacing w:after="80" w:line="293" w:lineRule="auto"/>
        <w:ind w:left="283"/>
        <w:jc w:val="left"/>
      </w:pPr>
      <w:r>
        <w:rPr>
          <w:rFonts w:ascii="Times New Roman" w:hAnsi="Times New Roman" w:cs="Times New Roman"/>
          <w:b w:val="0"/>
          <w:i w:val="0"/>
          <w:sz w:val="22"/>
        </w:rPr>
        <w:t>- incidents</w:t>
      </w:r>
    </w:p>
    <w:p>
      <w:pPr>
        <w:keepNext/>
        <w:spacing w:before="240" w:after="100"/>
        <w:outlineLvl w:val="1"/>
      </w:pPr>
      <w:r>
        <w:rPr>
          <w:rFonts w:ascii="Arial" w:hAnsi="Arial" w:cs="Arial"/>
          <w:b/>
          <w:i w:val="0"/>
          <w:color w:val="2E528F"/>
          <w:sz w:val="26"/>
        </w:rPr>
        <w:t>20.125 Ocean Control Tower</w:t>
      </w:r>
    </w:p>
    <w:p>
      <w:pPr>
        <w:spacing w:after="80" w:line="293" w:lineRule="auto"/>
        <w:jc w:val="left"/>
      </w:pPr>
      <w:r>
        <w:rPr>
          <w:rFonts w:ascii="Times New Roman" w:hAnsi="Times New Roman" w:cs="Times New Roman"/>
          <w:b w:val="0"/>
          <w:i w:val="0"/>
          <w:sz w:val="22"/>
        </w:rPr>
        <w:t>Show:</w:t>
      </w:r>
    </w:p>
    <w:p>
      <w:pPr>
        <w:spacing w:after="80" w:line="293" w:lineRule="auto"/>
        <w:ind w:left="283"/>
        <w:jc w:val="left"/>
      </w:pPr>
      <w:r>
        <w:rPr>
          <w:rFonts w:ascii="Times New Roman" w:hAnsi="Times New Roman" w:cs="Times New Roman"/>
          <w:b w:val="0"/>
          <w:i w:val="0"/>
          <w:sz w:val="22"/>
        </w:rPr>
        <w:t>- vessel</w:t>
      </w:r>
    </w:p>
    <w:p>
      <w:pPr>
        <w:spacing w:after="80" w:line="293" w:lineRule="auto"/>
        <w:ind w:left="283"/>
        <w:jc w:val="left"/>
      </w:pPr>
      <w:r>
        <w:rPr>
          <w:rFonts w:ascii="Times New Roman" w:hAnsi="Times New Roman" w:cs="Times New Roman"/>
          <w:b w:val="0"/>
          <w:i w:val="0"/>
          <w:sz w:val="22"/>
        </w:rPr>
        <w:t>- voyage</w:t>
      </w:r>
    </w:p>
    <w:p>
      <w:pPr>
        <w:spacing w:after="80" w:line="293" w:lineRule="auto"/>
        <w:ind w:left="283"/>
        <w:jc w:val="left"/>
      </w:pPr>
      <w:r>
        <w:rPr>
          <w:rFonts w:ascii="Times New Roman" w:hAnsi="Times New Roman" w:cs="Times New Roman"/>
          <w:b w:val="0"/>
          <w:i w:val="0"/>
          <w:sz w:val="22"/>
        </w:rPr>
        <w:t>- port</w:t>
      </w:r>
    </w:p>
    <w:p>
      <w:pPr>
        <w:spacing w:after="80" w:line="293" w:lineRule="auto"/>
        <w:ind w:left="283"/>
        <w:jc w:val="left"/>
      </w:pPr>
      <w:r>
        <w:rPr>
          <w:rFonts w:ascii="Times New Roman" w:hAnsi="Times New Roman" w:cs="Times New Roman"/>
          <w:b w:val="0"/>
          <w:i w:val="0"/>
          <w:sz w:val="22"/>
        </w:rPr>
        <w:t>- container</w:t>
      </w:r>
    </w:p>
    <w:p>
      <w:pPr>
        <w:spacing w:after="80" w:line="293" w:lineRule="auto"/>
        <w:ind w:left="283"/>
        <w:jc w:val="left"/>
      </w:pPr>
      <w:r>
        <w:rPr>
          <w:rFonts w:ascii="Times New Roman" w:hAnsi="Times New Roman" w:cs="Times New Roman"/>
          <w:b w:val="0"/>
          <w:i w:val="0"/>
          <w:sz w:val="22"/>
        </w:rPr>
        <w:t>- B/L</w:t>
      </w:r>
    </w:p>
    <w:p>
      <w:pPr>
        <w:spacing w:after="80" w:line="293" w:lineRule="auto"/>
        <w:ind w:left="283"/>
        <w:jc w:val="left"/>
      </w:pPr>
      <w:r>
        <w:rPr>
          <w:rFonts w:ascii="Times New Roman" w:hAnsi="Times New Roman" w:cs="Times New Roman"/>
          <w:b w:val="0"/>
          <w:i w:val="0"/>
          <w:sz w:val="22"/>
        </w:rPr>
        <w:t>- manifest</w:t>
      </w:r>
    </w:p>
    <w:p>
      <w:pPr>
        <w:spacing w:after="80" w:line="293" w:lineRule="auto"/>
        <w:ind w:left="283"/>
        <w:jc w:val="left"/>
      </w:pPr>
      <w:r>
        <w:rPr>
          <w:rFonts w:ascii="Times New Roman" w:hAnsi="Times New Roman" w:cs="Times New Roman"/>
          <w:b w:val="0"/>
          <w:i w:val="0"/>
          <w:sz w:val="22"/>
        </w:rPr>
        <w:t>- customs</w:t>
      </w:r>
    </w:p>
    <w:p>
      <w:pPr>
        <w:spacing w:after="80" w:line="293" w:lineRule="auto"/>
        <w:ind w:left="283"/>
        <w:jc w:val="left"/>
      </w:pPr>
      <w:r>
        <w:rPr>
          <w:rFonts w:ascii="Times New Roman" w:hAnsi="Times New Roman" w:cs="Times New Roman"/>
          <w:b w:val="0"/>
          <w:i w:val="0"/>
          <w:sz w:val="22"/>
        </w:rPr>
        <w:t>- ETA</w:t>
      </w:r>
    </w:p>
    <w:p>
      <w:pPr>
        <w:spacing w:after="80" w:line="293" w:lineRule="auto"/>
        <w:ind w:left="283"/>
        <w:jc w:val="left"/>
      </w:pPr>
      <w:r>
        <w:rPr>
          <w:rFonts w:ascii="Times New Roman" w:hAnsi="Times New Roman" w:cs="Times New Roman"/>
          <w:b w:val="0"/>
          <w:i w:val="0"/>
          <w:sz w:val="22"/>
        </w:rPr>
        <w:t>- gate</w:t>
      </w:r>
    </w:p>
    <w:p>
      <w:pPr>
        <w:spacing w:after="80" w:line="293" w:lineRule="auto"/>
        <w:ind w:left="283"/>
        <w:jc w:val="left"/>
      </w:pPr>
      <w:r>
        <w:rPr>
          <w:rFonts w:ascii="Times New Roman" w:hAnsi="Times New Roman" w:cs="Times New Roman"/>
          <w:b w:val="0"/>
          <w:i w:val="0"/>
          <w:sz w:val="22"/>
        </w:rPr>
        <w:t>- transshipment</w:t>
      </w:r>
    </w:p>
    <w:p>
      <w:pPr>
        <w:spacing w:after="80" w:line="293" w:lineRule="auto"/>
        <w:ind w:left="283"/>
        <w:jc w:val="left"/>
      </w:pPr>
      <w:r>
        <w:rPr>
          <w:rFonts w:ascii="Times New Roman" w:hAnsi="Times New Roman" w:cs="Times New Roman"/>
          <w:b w:val="0"/>
          <w:i w:val="0"/>
          <w:sz w:val="22"/>
        </w:rPr>
        <w:t>- demurrage/detention</w:t>
      </w:r>
    </w:p>
    <w:p>
      <w:pPr>
        <w:spacing w:after="80" w:line="293" w:lineRule="auto"/>
        <w:ind w:left="283"/>
        <w:jc w:val="left"/>
      </w:pPr>
      <w:r>
        <w:rPr>
          <w:rFonts w:ascii="Times New Roman" w:hAnsi="Times New Roman" w:cs="Times New Roman"/>
          <w:b w:val="0"/>
          <w:i w:val="0"/>
          <w:sz w:val="22"/>
        </w:rPr>
        <w:t>- delivery</w:t>
      </w:r>
    </w:p>
    <w:p>
      <w:pPr>
        <w:keepNext/>
        <w:spacing w:before="240" w:after="100"/>
        <w:outlineLvl w:val="1"/>
      </w:pPr>
      <w:r>
        <w:rPr>
          <w:rFonts w:ascii="Arial" w:hAnsi="Arial" w:cs="Arial"/>
          <w:b/>
          <w:i w:val="0"/>
          <w:color w:val="2E528F"/>
          <w:sz w:val="26"/>
        </w:rPr>
        <w:t>20.126 Multimodal Control Tower</w:t>
      </w:r>
    </w:p>
    <w:p>
      <w:pPr>
        <w:spacing w:after="80" w:line="293" w:lineRule="auto"/>
        <w:jc w:val="left"/>
      </w:pPr>
      <w:r>
        <w:rPr>
          <w:rFonts w:ascii="Times New Roman" w:hAnsi="Times New Roman" w:cs="Times New Roman"/>
          <w:b w:val="0"/>
          <w:i w:val="0"/>
          <w:sz w:val="22"/>
        </w:rPr>
        <w:t>The multimodal control tower shows the complete graph:</w:t>
      </w:r>
    </w:p>
    <w:p>
      <w:pPr>
        <w:spacing w:after="0" w:before="0" w:line="240" w:lineRule="auto"/>
        <w:ind w:left="57"/>
        <w:jc w:val="left"/>
        <w:shd w:val="clear" w:fill="F2F2F2"/>
      </w:pPr>
      <w:r>
        <w:rPr>
          <w:rFonts w:ascii="Consolas" w:hAnsi="Consolas" w:cs="Consolas"/>
          <w:b w:val="0"/>
          <w:i w:val="0"/>
          <w:sz w:val="15"/>
        </w:rPr>
        <w:t>LEG 1 → LEG 2 → LEG 3 → LEG 4</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with each mode visually distinct but under the same USTN.</w:t>
      </w:r>
    </w:p>
    <w:p>
      <w:pPr>
        <w:keepNext/>
        <w:spacing w:before="240" w:after="100"/>
        <w:outlineLvl w:val="1"/>
      </w:pPr>
      <w:r>
        <w:rPr>
          <w:rFonts w:ascii="Arial" w:hAnsi="Arial" w:cs="Arial"/>
          <w:b/>
          <w:i w:val="0"/>
          <w:color w:val="2E528F"/>
          <w:sz w:val="26"/>
        </w:rPr>
        <w:t>20.127 AI Authority — Final</w:t>
      </w:r>
    </w:p>
    <w:p>
      <w:pPr>
        <w:spacing w:after="80" w:line="293" w:lineRule="auto"/>
        <w:jc w:val="left"/>
      </w:pPr>
      <w:r>
        <w:rPr>
          <w:rFonts w:ascii="Times New Roman" w:hAnsi="Times New Roman" w:cs="Times New Roman"/>
          <w:b w:val="0"/>
          <w:i w:val="0"/>
          <w:sz w:val="22"/>
        </w:rPr>
        <w:t>A1 may:</w:t>
      </w:r>
    </w:p>
    <w:p>
      <w:pPr>
        <w:spacing w:after="80" w:line="293" w:lineRule="auto"/>
        <w:ind w:left="283"/>
        <w:jc w:val="left"/>
      </w:pPr>
      <w:r>
        <w:rPr>
          <w:rFonts w:ascii="Times New Roman" w:hAnsi="Times New Roman" w:cs="Times New Roman"/>
          <w:b w:val="0"/>
          <w:i w:val="0"/>
          <w:sz w:val="22"/>
        </w:rPr>
        <w:t>- explain</w:t>
      </w:r>
    </w:p>
    <w:p>
      <w:pPr>
        <w:spacing w:after="80" w:line="293" w:lineRule="auto"/>
        <w:ind w:left="283"/>
        <w:jc w:val="left"/>
      </w:pPr>
      <w:r>
        <w:rPr>
          <w:rFonts w:ascii="Times New Roman" w:hAnsi="Times New Roman" w:cs="Times New Roman"/>
          <w:b w:val="0"/>
          <w:i w:val="0"/>
          <w:sz w:val="22"/>
        </w:rPr>
        <w:t>- translate</w:t>
      </w:r>
    </w:p>
    <w:p>
      <w:pPr>
        <w:spacing w:after="80" w:line="293" w:lineRule="auto"/>
        <w:ind w:left="283"/>
        <w:jc w:val="left"/>
      </w:pPr>
      <w:r>
        <w:rPr>
          <w:rFonts w:ascii="Times New Roman" w:hAnsi="Times New Roman" w:cs="Times New Roman"/>
          <w:b w:val="0"/>
          <w:i w:val="0"/>
          <w:sz w:val="22"/>
        </w:rPr>
        <w:t>- suggest</w:t>
      </w:r>
    </w:p>
    <w:p>
      <w:pPr>
        <w:spacing w:after="80" w:line="293" w:lineRule="auto"/>
        <w:ind w:left="283"/>
        <w:jc w:val="left"/>
      </w:pPr>
      <w:r>
        <w:rPr>
          <w:rFonts w:ascii="Times New Roman" w:hAnsi="Times New Roman" w:cs="Times New Roman"/>
          <w:b w:val="0"/>
          <w:i w:val="0"/>
          <w:sz w:val="22"/>
        </w:rPr>
        <w:t>- summarize</w:t>
      </w:r>
    </w:p>
    <w:p>
      <w:pPr>
        <w:spacing w:after="80" w:line="293" w:lineRule="auto"/>
        <w:ind w:left="283"/>
        <w:jc w:val="left"/>
      </w:pPr>
      <w:r>
        <w:rPr>
          <w:rFonts w:ascii="Times New Roman" w:hAnsi="Times New Roman" w:cs="Times New Roman"/>
          <w:b w:val="0"/>
          <w:i w:val="0"/>
          <w:sz w:val="22"/>
        </w:rPr>
        <w:t>- notify</w:t>
      </w:r>
    </w:p>
    <w:p>
      <w:pPr>
        <w:spacing w:after="80" w:line="293" w:lineRule="auto"/>
        <w:ind w:left="283"/>
        <w:jc w:val="left"/>
      </w:pPr>
      <w:r>
        <w:rPr>
          <w:rFonts w:ascii="Times New Roman" w:hAnsi="Times New Roman" w:cs="Times New Roman"/>
          <w:b w:val="0"/>
          <w:i w:val="0"/>
          <w:sz w:val="22"/>
        </w:rPr>
        <w:t>- generate draft instructions</w:t>
      </w:r>
    </w:p>
    <w:p>
      <w:pPr>
        <w:spacing w:after="80" w:line="293" w:lineRule="auto"/>
        <w:jc w:val="left"/>
      </w:pPr>
      <w:r>
        <w:rPr>
          <w:rFonts w:ascii="Times New Roman" w:hAnsi="Times New Roman" w:cs="Times New Roman"/>
          <w:b w:val="0"/>
          <w:i w:val="0"/>
          <w:sz w:val="22"/>
        </w:rPr>
        <w:t>A2 may:</w:t>
      </w:r>
    </w:p>
    <w:p>
      <w:pPr>
        <w:spacing w:after="80" w:line="293" w:lineRule="auto"/>
        <w:ind w:left="283"/>
        <w:jc w:val="left"/>
      </w:pPr>
      <w:r>
        <w:rPr>
          <w:rFonts w:ascii="Times New Roman" w:hAnsi="Times New Roman" w:cs="Times New Roman"/>
          <w:b w:val="0"/>
          <w:i w:val="0"/>
          <w:sz w:val="22"/>
        </w:rPr>
        <w:t>- classify</w:t>
      </w:r>
    </w:p>
    <w:p>
      <w:pPr>
        <w:spacing w:after="80" w:line="293" w:lineRule="auto"/>
        <w:ind w:left="283"/>
        <w:jc w:val="left"/>
      </w:pPr>
      <w:r>
        <w:rPr>
          <w:rFonts w:ascii="Times New Roman" w:hAnsi="Times New Roman" w:cs="Times New Roman"/>
          <w:b w:val="0"/>
          <w:i w:val="0"/>
          <w:sz w:val="22"/>
        </w:rPr>
        <w:t>- detect anomalies</w:t>
      </w:r>
    </w:p>
    <w:p>
      <w:pPr>
        <w:spacing w:after="80" w:line="293" w:lineRule="auto"/>
        <w:ind w:left="283"/>
        <w:jc w:val="left"/>
      </w:pPr>
      <w:r>
        <w:rPr>
          <w:rFonts w:ascii="Times New Roman" w:hAnsi="Times New Roman" w:cs="Times New Roman"/>
          <w:b w:val="0"/>
          <w:i w:val="0"/>
          <w:sz w:val="22"/>
        </w:rPr>
        <w:t>- detect discrepancies</w:t>
      </w:r>
    </w:p>
    <w:p>
      <w:pPr>
        <w:spacing w:after="80" w:line="293" w:lineRule="auto"/>
        <w:ind w:left="283"/>
        <w:jc w:val="left"/>
      </w:pPr>
      <w:r>
        <w:rPr>
          <w:rFonts w:ascii="Times New Roman" w:hAnsi="Times New Roman" w:cs="Times New Roman"/>
          <w:b w:val="0"/>
          <w:i w:val="0"/>
          <w:sz w:val="22"/>
        </w:rPr>
        <w:t>- predict delays</w:t>
      </w:r>
    </w:p>
    <w:p>
      <w:pPr>
        <w:spacing w:after="80" w:line="293" w:lineRule="auto"/>
        <w:ind w:left="283"/>
        <w:jc w:val="left"/>
      </w:pPr>
      <w:r>
        <w:rPr>
          <w:rFonts w:ascii="Times New Roman" w:hAnsi="Times New Roman" w:cs="Times New Roman"/>
          <w:b w:val="0"/>
          <w:i w:val="0"/>
          <w:sz w:val="22"/>
        </w:rPr>
        <w:t>- predict connection risk</w:t>
      </w:r>
    </w:p>
    <w:p>
      <w:pPr>
        <w:spacing w:after="80" w:line="293" w:lineRule="auto"/>
        <w:ind w:left="283"/>
        <w:jc w:val="left"/>
      </w:pPr>
      <w:r>
        <w:rPr>
          <w:rFonts w:ascii="Times New Roman" w:hAnsi="Times New Roman" w:cs="Times New Roman"/>
          <w:b w:val="0"/>
          <w:i w:val="0"/>
          <w:sz w:val="22"/>
        </w:rPr>
        <w:t>- compare images</w:t>
      </w:r>
    </w:p>
    <w:p>
      <w:pPr>
        <w:spacing w:after="80" w:line="293" w:lineRule="auto"/>
        <w:ind w:left="283"/>
        <w:jc w:val="left"/>
      </w:pPr>
      <w:r>
        <w:rPr>
          <w:rFonts w:ascii="Times New Roman" w:hAnsi="Times New Roman" w:cs="Times New Roman"/>
          <w:b w:val="0"/>
          <w:i w:val="0"/>
          <w:sz w:val="22"/>
        </w:rPr>
        <w:t>- estimate ETA</w:t>
      </w:r>
    </w:p>
    <w:p>
      <w:pPr>
        <w:spacing w:after="80" w:line="293" w:lineRule="auto"/>
        <w:ind w:left="283"/>
        <w:jc w:val="left"/>
      </w:pPr>
      <w:r>
        <w:rPr>
          <w:rFonts w:ascii="Times New Roman" w:hAnsi="Times New Roman" w:cs="Times New Roman"/>
          <w:b w:val="0"/>
          <w:i w:val="0"/>
          <w:sz w:val="22"/>
        </w:rPr>
        <w:t>- optimize ULD/stowage</w:t>
      </w:r>
    </w:p>
    <w:p>
      <w:pPr>
        <w:spacing w:after="80" w:line="293" w:lineRule="auto"/>
        <w:ind w:left="283"/>
        <w:jc w:val="left"/>
      </w:pPr>
      <w:r>
        <w:rPr>
          <w:rFonts w:ascii="Times New Roman" w:hAnsi="Times New Roman" w:cs="Times New Roman"/>
          <w:b w:val="0"/>
          <w:i w:val="0"/>
          <w:sz w:val="22"/>
        </w:rPr>
        <w:t>- analyze route</w:t>
      </w:r>
    </w:p>
    <w:p>
      <w:pPr>
        <w:spacing w:after="80" w:line="293" w:lineRule="auto"/>
        <w:jc w:val="left"/>
      </w:pPr>
      <w:r>
        <w:rPr>
          <w:rFonts w:ascii="Times New Roman" w:hAnsi="Times New Roman" w:cs="Times New Roman"/>
          <w:b w:val="0"/>
          <w:i w:val="0"/>
          <w:sz w:val="22"/>
        </w:rPr>
        <w:t>A3 may:</w:t>
      </w:r>
    </w:p>
    <w:p>
      <w:pPr>
        <w:spacing w:after="80" w:line="293" w:lineRule="auto"/>
        <w:ind w:left="283"/>
        <w:jc w:val="left"/>
      </w:pPr>
      <w:r>
        <w:rPr>
          <w:rFonts w:ascii="Times New Roman" w:hAnsi="Times New Roman" w:cs="Times New Roman"/>
          <w:b w:val="0"/>
          <w:i w:val="0"/>
          <w:sz w:val="22"/>
        </w:rPr>
        <w:t>- escalate</w:t>
      </w:r>
    </w:p>
    <w:p>
      <w:pPr>
        <w:spacing w:after="80" w:line="293" w:lineRule="auto"/>
        <w:jc w:val="left"/>
      </w:pPr>
      <w:r>
        <w:rPr>
          <w:rFonts w:ascii="Times New Roman" w:hAnsi="Times New Roman" w:cs="Times New Roman"/>
          <w:b w:val="0"/>
          <w:i w:val="0"/>
          <w:sz w:val="22"/>
        </w:rPr>
        <w:t>A4 (OPA + WasmEdge) enforces:</w:t>
      </w:r>
    </w:p>
    <w:p>
      <w:pPr>
        <w:spacing w:after="80" w:line="293" w:lineRule="auto"/>
        <w:ind w:left="283"/>
        <w:jc w:val="left"/>
      </w:pPr>
      <w:r>
        <w:rPr>
          <w:rFonts w:ascii="Times New Roman" w:hAnsi="Times New Roman" w:cs="Times New Roman"/>
          <w:b w:val="0"/>
          <w:i w:val="0"/>
          <w:sz w:val="22"/>
        </w:rPr>
        <w:t>- policy</w:t>
      </w:r>
    </w:p>
    <w:p>
      <w:pPr>
        <w:spacing w:after="80" w:line="293" w:lineRule="auto"/>
        <w:ind w:left="283"/>
        <w:jc w:val="left"/>
      </w:pPr>
      <w:r>
        <w:rPr>
          <w:rFonts w:ascii="Times New Roman" w:hAnsi="Times New Roman" w:cs="Times New Roman"/>
          <w:b w:val="0"/>
          <w:i w:val="0"/>
          <w:sz w:val="22"/>
        </w:rPr>
        <w:t>- state</w:t>
      </w:r>
    </w:p>
    <w:p>
      <w:pPr>
        <w:spacing w:after="80" w:line="293" w:lineRule="auto"/>
        <w:ind w:left="283"/>
        <w:jc w:val="left"/>
      </w:pPr>
      <w:r>
        <w:rPr>
          <w:rFonts w:ascii="Times New Roman" w:hAnsi="Times New Roman" w:cs="Times New Roman"/>
          <w:b w:val="0"/>
          <w:i w:val="0"/>
          <w:sz w:val="22"/>
        </w:rPr>
        <w:t>- documents</w:t>
      </w:r>
    </w:p>
    <w:p>
      <w:pPr>
        <w:spacing w:after="80" w:line="293" w:lineRule="auto"/>
        <w:ind w:left="283"/>
        <w:jc w:val="left"/>
      </w:pPr>
      <w:r>
        <w:rPr>
          <w:rFonts w:ascii="Times New Roman" w:hAnsi="Times New Roman" w:cs="Times New Roman"/>
          <w:b w:val="0"/>
          <w:i w:val="0"/>
          <w:sz w:val="22"/>
        </w:rPr>
        <w:t>- customs gates</w:t>
      </w:r>
    </w:p>
    <w:p>
      <w:pPr>
        <w:spacing w:after="80" w:line="293" w:lineRule="auto"/>
        <w:ind w:left="283"/>
        <w:jc w:val="left"/>
      </w:pPr>
      <w:r>
        <w:rPr>
          <w:rFonts w:ascii="Times New Roman" w:hAnsi="Times New Roman" w:cs="Times New Roman"/>
          <w:b w:val="0"/>
          <w:i w:val="0"/>
          <w:sz w:val="22"/>
        </w:rPr>
        <w:t>- regulatory gates</w:t>
      </w:r>
    </w:p>
    <w:p>
      <w:pPr>
        <w:spacing w:after="80" w:line="293" w:lineRule="auto"/>
        <w:ind w:left="283"/>
        <w:jc w:val="left"/>
      </w:pPr>
      <w:r>
        <w:rPr>
          <w:rFonts w:ascii="Times New Roman" w:hAnsi="Times New Roman" w:cs="Times New Roman"/>
          <w:b w:val="0"/>
          <w:i w:val="0"/>
          <w:sz w:val="22"/>
        </w:rPr>
        <w:t>- transport gates</w:t>
      </w:r>
    </w:p>
    <w:p>
      <w:pPr>
        <w:spacing w:after="80" w:line="293" w:lineRule="auto"/>
        <w:ind w:left="283"/>
        <w:jc w:val="left"/>
      </w:pPr>
      <w:r>
        <w:rPr>
          <w:rFonts w:ascii="Times New Roman" w:hAnsi="Times New Roman" w:cs="Times New Roman"/>
          <w:b w:val="0"/>
          <w:i w:val="0"/>
          <w:sz w:val="22"/>
        </w:rPr>
        <w:t>- financial gates</w:t>
      </w:r>
    </w:p>
    <w:p>
      <w:pPr>
        <w:spacing w:after="80" w:line="293" w:lineRule="auto"/>
        <w:ind w:left="283"/>
        <w:jc w:val="left"/>
      </w:pPr>
      <w:r>
        <w:rPr>
          <w:rFonts w:ascii="Times New Roman" w:hAnsi="Times New Roman" w:cs="Times New Roman"/>
          <w:b w:val="0"/>
          <w:i w:val="0"/>
          <w:sz w:val="22"/>
        </w:rPr>
        <w:t>- closure</w:t>
      </w:r>
    </w:p>
    <w:p>
      <w:pPr>
        <w:spacing w:after="80" w:line="293" w:lineRule="auto"/>
        <w:jc w:val="left"/>
      </w:pPr>
      <w:r>
        <w:rPr>
          <w:rFonts w:ascii="Times New Roman" w:hAnsi="Times New Roman" w:cs="Times New Roman"/>
          <w:b w:val="0"/>
          <w:i w:val="0"/>
          <w:sz w:val="22"/>
        </w:rPr>
        <w:t>A5 is forbidden.</w:t>
      </w:r>
    </w:p>
    <w:p>
      <w:pPr>
        <w:keepNext/>
        <w:spacing w:before="240" w:after="100"/>
        <w:outlineLvl w:val="1"/>
      </w:pPr>
      <w:r>
        <w:rPr>
          <w:rFonts w:ascii="Arial" w:hAnsi="Arial" w:cs="Arial"/>
          <w:b/>
          <w:i w:val="0"/>
          <w:color w:val="2E528F"/>
          <w:sz w:val="26"/>
        </w:rPr>
        <w:t>20.128 Security / Governor / Loom</w:t>
      </w:r>
    </w:p>
    <w:p>
      <w:pPr>
        <w:spacing w:after="80" w:line="293" w:lineRule="auto"/>
        <w:jc w:val="left"/>
      </w:pPr>
      <w:r>
        <w:rPr>
          <w:rFonts w:ascii="Times New Roman" w:hAnsi="Times New Roman" w:cs="Times New Roman"/>
          <w:b w:val="0"/>
          <w:i w:val="0"/>
          <w:sz w:val="22"/>
        </w:rPr>
        <w:t>Every irreversible event passes:</w:t>
      </w:r>
    </w:p>
    <w:p>
      <w:pPr>
        <w:spacing w:after="0" w:before="0" w:line="240" w:lineRule="auto"/>
        <w:ind w:left="57"/>
        <w:jc w:val="left"/>
        <w:shd w:val="clear" w:fill="F2F2F2"/>
      </w:pPr>
      <w:r>
        <w:rPr>
          <w:rFonts w:ascii="Consolas" w:hAnsi="Consolas" w:cs="Consolas"/>
          <w:b w:val="0"/>
          <w:i w:val="0"/>
          <w:sz w:val="15"/>
        </w:rPr>
        <w:t>Human Intent → Authentication → Authorization → Governor → OPA → WasmEdge →</w:t>
      </w:r>
    </w:p>
    <w:p>
      <w:pPr>
        <w:spacing w:after="0" w:before="0" w:line="240" w:lineRule="auto"/>
        <w:ind w:left="57"/>
        <w:jc w:val="left"/>
        <w:shd w:val="clear" w:fill="F2F2F2"/>
      </w:pPr>
      <w:r>
        <w:rPr>
          <w:rFonts w:ascii="Consolas" w:hAnsi="Consolas" w:cs="Consolas"/>
          <w:b w:val="0"/>
          <w:i w:val="0"/>
          <w:sz w:val="15"/>
        </w:rPr>
        <w:t>Decision → Signature → Loom → External/System Action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 bypass.</w:t>
      </w:r>
    </w:p>
    <w:p>
      <w:pPr>
        <w:keepNext/>
        <w:spacing w:before="240" w:after="100"/>
        <w:outlineLvl w:val="1"/>
      </w:pPr>
      <w:r>
        <w:rPr>
          <w:rFonts w:ascii="Arial" w:hAnsi="Arial" w:cs="Arial"/>
          <w:b/>
          <w:i w:val="0"/>
          <w:color w:val="2E528F"/>
          <w:sz w:val="26"/>
        </w:rPr>
        <w:t>20.129 Final E2E Trade Workflow</w:t>
      </w:r>
    </w:p>
    <w:p>
      <w:pPr>
        <w:spacing w:after="80" w:line="293" w:lineRule="auto"/>
        <w:jc w:val="left"/>
      </w:pPr>
      <w:r>
        <w:rPr>
          <w:rFonts w:ascii="Times New Roman" w:hAnsi="Times New Roman" w:cs="Times New Roman"/>
          <w:b w:val="0"/>
          <w:i w:val="0"/>
          <w:sz w:val="22"/>
        </w:rPr>
        <w:t>The final complete SGTX lifecycle is:</w:t>
      </w:r>
    </w:p>
    <w:p>
      <w:pPr>
        <w:spacing w:after="0" w:before="0" w:line="240" w:lineRule="auto"/>
        <w:ind w:left="57"/>
        <w:jc w:val="left"/>
        <w:shd w:val="clear" w:fill="F2F2F2"/>
      </w:pPr>
      <w:r>
        <w:rPr>
          <w:rFonts w:ascii="Consolas" w:hAnsi="Consolas" w:cs="Consolas"/>
          <w:b w:val="0"/>
          <w:i w:val="0"/>
          <w:sz w:val="15"/>
        </w:rPr>
        <w:t>BUYER/SELLER TRADE INTENT → KNOWN COUNTERPARTY → RFQ → QUOTE → NEGOTIATION →</w:t>
      </w:r>
    </w:p>
    <w:p>
      <w:pPr>
        <w:spacing w:after="0" w:before="0" w:line="240" w:lineRule="auto"/>
        <w:ind w:left="57"/>
        <w:jc w:val="left"/>
        <w:shd w:val="clear" w:fill="F2F2F2"/>
      </w:pPr>
      <w:r>
        <w:rPr>
          <w:rFonts w:ascii="Consolas" w:hAnsi="Consolas" w:cs="Consolas"/>
          <w:b w:val="0"/>
          <w:i w:val="0"/>
          <w:sz w:val="15"/>
        </w:rPr>
        <w:t>PO / SO → PROFORMA → CONTRACT → REGULATORY SNAPSHOT → PRODUCT CLASSIFICATION →</w:t>
      </w:r>
    </w:p>
    <w:p>
      <w:pPr>
        <w:spacing w:after="0" w:before="0" w:line="240" w:lineRule="auto"/>
        <w:ind w:left="57"/>
        <w:jc w:val="left"/>
        <w:shd w:val="clear" w:fill="F2F2F2"/>
      </w:pPr>
      <w:r>
        <w:rPr>
          <w:rFonts w:ascii="Consolas" w:hAnsi="Consolas" w:cs="Consolas"/>
          <w:b w:val="0"/>
          <w:i w:val="0"/>
          <w:sz w:val="15"/>
        </w:rPr>
        <w:t>ORIGIN → FTA/PREFERENCE → LICENSE → PERMIT → CERTIFICATE → INSURANCE → PACKING →</w:t>
      </w:r>
    </w:p>
    <w:p>
      <w:pPr>
        <w:spacing w:after="0" w:before="0" w:line="240" w:lineRule="auto"/>
        <w:ind w:left="57"/>
        <w:jc w:val="left"/>
        <w:shd w:val="clear" w:fill="F2F2F2"/>
      </w:pPr>
      <w:r>
        <w:rPr>
          <w:rFonts w:ascii="Consolas" w:hAnsi="Consolas" w:cs="Consolas"/>
          <w:b w:val="0"/>
          <w:i w:val="0"/>
          <w:sz w:val="15"/>
        </w:rPr>
        <w:t>TRANSPORT CONFIGURATION → BOOKING → EXPORT CUSTOMS → SECURITY → PHYSICAL EXECUTION →</w:t>
      </w:r>
    </w:p>
    <w:p>
      <w:pPr>
        <w:spacing w:after="0" w:before="0" w:line="240" w:lineRule="auto"/>
        <w:ind w:left="57"/>
        <w:jc w:val="left"/>
        <w:shd w:val="clear" w:fill="F2F2F2"/>
      </w:pPr>
      <w:r>
        <w:rPr>
          <w:rFonts w:ascii="Consolas" w:hAnsi="Consolas" w:cs="Consolas"/>
          <w:b w:val="0"/>
          <w:i w:val="0"/>
          <w:sz w:val="15"/>
        </w:rPr>
        <w:t>TRANSIT → IMPORT CUSTOMS → DUTY / TAX → INSPECTION → RELEASE → DELIVERY →</w:t>
      </w:r>
    </w:p>
    <w:p>
      <w:pPr>
        <w:spacing w:after="0" w:before="0" w:line="240" w:lineRule="auto"/>
        <w:ind w:left="57"/>
        <w:jc w:val="left"/>
        <w:shd w:val="clear" w:fill="F2F2F2"/>
      </w:pPr>
      <w:r>
        <w:rPr>
          <w:rFonts w:ascii="Consolas" w:hAnsi="Consolas" w:cs="Consolas"/>
          <w:b w:val="0"/>
          <w:i w:val="0"/>
          <w:sz w:val="15"/>
        </w:rPr>
        <w:t>ACCEPTANCE → SETTLEMENT → BANK RECONCILIATION → ACCOUNTING →</w:t>
      </w:r>
    </w:p>
    <w:p>
      <w:pPr>
        <w:spacing w:after="0" w:before="0" w:line="240" w:lineRule="auto"/>
        <w:ind w:left="57"/>
        <w:jc w:val="left"/>
        <w:shd w:val="clear" w:fill="F2F2F2"/>
      </w:pPr>
      <w:r>
        <w:rPr>
          <w:rFonts w:ascii="Consolas" w:hAnsi="Consolas" w:cs="Consolas"/>
          <w:b w:val="0"/>
          <w:i w:val="0"/>
          <w:sz w:val="15"/>
        </w:rPr>
        <w:t>CLAIMS/WARRANTY WINDOW → POST-CLEARANCE → RETURN/DRAWBACK/REFUND IF REQUIRED →</w:t>
      </w:r>
    </w:p>
    <w:p>
      <w:pPr>
        <w:spacing w:after="0" w:before="0" w:line="240" w:lineRule="auto"/>
        <w:ind w:left="57"/>
        <w:jc w:val="left"/>
        <w:shd w:val="clear" w:fill="F2F2F2"/>
      </w:pPr>
      <w:r>
        <w:rPr>
          <w:rFonts w:ascii="Consolas" w:hAnsi="Consolas" w:cs="Consolas"/>
          <w:b w:val="0"/>
          <w:i w:val="0"/>
          <w:sz w:val="15"/>
        </w:rPr>
        <w:t>FINAL EVIDENCE → USTN CLOSED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stage validates against the four semantic levels of Article 20.103 and records its events on the canonical event spine (see Section 19.12).</w:t>
      </w:r>
    </w:p>
    <w:p>
      <w:pPr>
        <w:keepNext/>
        <w:spacing w:before="240" w:after="100"/>
        <w:outlineLvl w:val="1"/>
      </w:pPr>
      <w:r>
        <w:rPr>
          <w:rFonts w:ascii="Arial" w:hAnsi="Arial" w:cs="Arial"/>
          <w:b/>
          <w:i w:val="0"/>
          <w:color w:val="2E528F"/>
          <w:sz w:val="26"/>
        </w:rPr>
        <w:t>20.130 Final Transport Architecture</w:t>
      </w:r>
    </w:p>
    <w:p>
      <w:pPr>
        <w:spacing w:after="80" w:line="293" w:lineRule="auto"/>
        <w:jc w:val="left"/>
      </w:pPr>
      <w:r>
        <w:rPr>
          <w:rFonts w:ascii="Times New Roman" w:hAnsi="Times New Roman" w:cs="Times New Roman"/>
          <w:b w:val="0"/>
          <w:i w:val="0"/>
          <w:sz w:val="22"/>
        </w:rPr>
        <w:t>The final transportation layer is:</w:t>
      </w:r>
    </w:p>
    <w:p>
      <w:pPr>
        <w:spacing w:after="0" w:before="0" w:line="240" w:lineRule="auto"/>
        <w:ind w:left="57"/>
        <w:jc w:val="left"/>
        <w:shd w:val="clear" w:fill="F2F2F2"/>
      </w:pPr>
      <w:r>
        <w:rPr>
          <w:rFonts w:ascii="Consolas" w:hAnsi="Consolas" w:cs="Consolas"/>
          <w:b w:val="0"/>
          <w:i w:val="0"/>
          <w:sz w:val="15"/>
        </w:rPr>
        <w:t>SGTX TRANSPORT ORCHESTRATOR</w:t>
      </w:r>
    </w:p>
    <w:p>
      <w:pPr>
        <w:spacing w:after="0" w:before="0" w:line="240" w:lineRule="auto"/>
        <w:ind w:left="57"/>
        <w:jc w:val="left"/>
        <w:shd w:val="clear" w:fill="F2F2F2"/>
      </w:pPr>
      <w:r>
        <w:rPr>
          <w:rFonts w:ascii="Consolas" w:hAnsi="Consolas" w:cs="Consolas"/>
          <w:b w:val="0"/>
          <w:i w:val="0"/>
          <w:sz w:val="15"/>
        </w:rPr>
        <w:t xml:space="preserve">    ROAD | AIR | OCEAN CONTAINER | RORO | RAIL | FERRY | OTHER/FUTURE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MULTIMODAL GRAPH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USTN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RoRo is now explicitly first-class. This is important operationally because the Egypt–Italy RoRo corridor is not just an ocean voyage: the Egyptian Ministry of Transport describes Damietta–Trieste RoRo, electronic exchange of official/customs data, RFID-based digital-seal safety, and onward rail/road movement to Rotterdam and other European destinations. The 2026 Egyptian Maritime Transport Sector also describes indirect-transit RoRo flows toward Saudi Arabia, UAE, Qatar, Oman and Kuwait, which reinforces the need for RoRo to participate natively in SGTX's multimodal and customs-transit graph.</w:t>
      </w:r>
    </w:p>
    <w:p>
      <w:pPr>
        <w:keepNext/>
        <w:spacing w:before="240" w:after="100"/>
        <w:outlineLvl w:val="1"/>
      </w:pPr>
      <w:r>
        <w:rPr>
          <w:rFonts w:ascii="Arial" w:hAnsi="Arial" w:cs="Arial"/>
          <w:b/>
          <w:i w:val="0"/>
          <w:color w:val="2E528F"/>
          <w:sz w:val="26"/>
        </w:rPr>
        <w:t>20.131 Final Egypt Mode Architecture</w:t>
      </w:r>
    </w:p>
    <w:p>
      <w:pPr>
        <w:spacing w:after="80" w:line="293" w:lineRule="auto"/>
        <w:jc w:val="left"/>
      </w:pPr>
      <w:r>
        <w:rPr>
          <w:rFonts w:ascii="Times New Roman" w:hAnsi="Times New Roman" w:cs="Times New Roman"/>
          <w:b w:val="0"/>
          <w:i w:val="0"/>
          <w:sz w:val="22"/>
        </w:rPr>
        <w:t>Egypt does not have one generic "Nafeza integration." It has a mode-aware EGYPT GOVERNMENT ADAPTER:</w:t>
      </w:r>
    </w:p>
    <w:p>
      <w:pPr>
        <w:spacing w:after="0" w:before="0" w:line="240" w:lineRule="auto"/>
        <w:ind w:left="57"/>
        <w:jc w:val="left"/>
        <w:shd w:val="clear" w:fill="F2F2F2"/>
      </w:pPr>
      <w:r>
        <w:rPr>
          <w:rFonts w:ascii="Consolas" w:hAnsi="Consolas" w:cs="Consolas"/>
          <w:b w:val="0"/>
          <w:i w:val="0"/>
          <w:sz w:val="15"/>
        </w:rPr>
        <w:t>EGYPT GOVERNMENT ADAPTER</w:t>
      </w:r>
    </w:p>
    <w:p>
      <w:pPr>
        <w:spacing w:after="0" w:before="0" w:line="240" w:lineRule="auto"/>
        <w:ind w:left="57"/>
        <w:jc w:val="left"/>
        <w:shd w:val="clear" w:fill="F2F2F2"/>
      </w:pPr>
      <w:r>
        <w:rPr>
          <w:rFonts w:ascii="Consolas" w:hAnsi="Consolas" w:cs="Consolas"/>
          <w:b w:val="0"/>
          <w:i w:val="0"/>
          <w:sz w:val="15"/>
        </w:rPr>
        <w:t xml:space="preserve"> ├→ EXPORT | IMPORT | TRANSIT</w:t>
      </w:r>
    </w:p>
    <w:p>
      <w:pPr>
        <w:spacing w:after="0" w:before="0" w:line="240" w:lineRule="auto"/>
        <w:ind w:left="57"/>
        <w:jc w:val="left"/>
        <w:shd w:val="clear" w:fill="F2F2F2"/>
      </w:pPr>
      <w:r>
        <w:rPr>
          <w:rFonts w:ascii="Consolas" w:hAnsi="Consolas" w:cs="Consolas"/>
          <w:b w:val="0"/>
          <w:i w:val="0"/>
          <w:sz w:val="15"/>
        </w:rPr>
        <w:t xml:space="preserve"> │    ├→ SEA CONTAINER</w:t>
      </w:r>
    </w:p>
    <w:p>
      <w:pPr>
        <w:spacing w:after="0" w:before="0" w:line="240" w:lineRule="auto"/>
        <w:ind w:left="57"/>
        <w:jc w:val="left"/>
        <w:shd w:val="clear" w:fill="F2F2F2"/>
      </w:pPr>
      <w:r>
        <w:rPr>
          <w:rFonts w:ascii="Consolas" w:hAnsi="Consolas" w:cs="Consolas"/>
          <w:b w:val="0"/>
          <w:i w:val="0"/>
          <w:sz w:val="15"/>
        </w:rPr>
        <w:t xml:space="preserve"> │    ├→ RORO</w:t>
      </w:r>
    </w:p>
    <w:p>
      <w:pPr>
        <w:spacing w:after="0" w:before="0" w:line="240" w:lineRule="auto"/>
        <w:ind w:left="57"/>
        <w:jc w:val="left"/>
        <w:shd w:val="clear" w:fill="F2F2F2"/>
      </w:pPr>
      <w:r>
        <w:rPr>
          <w:rFonts w:ascii="Consolas" w:hAnsi="Consolas" w:cs="Consolas"/>
          <w:b w:val="0"/>
          <w:i w:val="0"/>
          <w:sz w:val="15"/>
        </w:rPr>
        <w:t xml:space="preserve"> │    ├→ AIR / ACI AIR</w:t>
      </w:r>
    </w:p>
    <w:p>
      <w:pPr>
        <w:spacing w:after="0" w:before="0" w:line="240" w:lineRule="auto"/>
        <w:ind w:left="57"/>
        <w:jc w:val="left"/>
        <w:shd w:val="clear" w:fill="F2F2F2"/>
      </w:pPr>
      <w:r>
        <w:rPr>
          <w:rFonts w:ascii="Consolas" w:hAnsi="Consolas" w:cs="Consolas"/>
          <w:b w:val="0"/>
          <w:i w:val="0"/>
          <w:sz w:val="15"/>
        </w:rPr>
        <w:t xml:space="preserve"> │    ├→ ROAD</w:t>
      </w:r>
    </w:p>
    <w:p>
      <w:pPr>
        <w:spacing w:after="0" w:before="0" w:line="240" w:lineRule="auto"/>
        <w:ind w:left="57"/>
        <w:jc w:val="left"/>
        <w:shd w:val="clear" w:fill="F2F2F2"/>
      </w:pPr>
      <w:r>
        <w:rPr>
          <w:rFonts w:ascii="Consolas" w:hAnsi="Consolas" w:cs="Consolas"/>
          <w:b w:val="0"/>
          <w:i w:val="0"/>
          <w:sz w:val="15"/>
        </w:rPr>
        <w:t xml:space="preserve"> │    └→ RAIL</w:t>
      </w:r>
    </w:p>
    <w:p>
      <w:pPr>
        <w:spacing w:after="0" w:before="0" w:line="240" w:lineRule="auto"/>
        <w:ind w:left="57"/>
        <w:jc w:val="left"/>
        <w:shd w:val="clear" w:fill="F2F2F2"/>
      </w:pPr>
      <w:r>
        <w:rPr>
          <w:rFonts w:ascii="Consolas" w:hAnsi="Consolas" w:cs="Consolas"/>
          <w:b w:val="0"/>
          <w:i w:val="0"/>
          <w:sz w:val="15"/>
        </w:rPr>
        <w:t xml:space="preserve"> ├→ SPS</w:t>
      </w:r>
    </w:p>
    <w:p>
      <w:pPr>
        <w:spacing w:after="0" w:before="0" w:line="240" w:lineRule="auto"/>
        <w:ind w:left="57"/>
        <w:jc w:val="left"/>
        <w:shd w:val="clear" w:fill="F2F2F2"/>
      </w:pPr>
      <w:r>
        <w:rPr>
          <w:rFonts w:ascii="Consolas" w:hAnsi="Consolas" w:cs="Consolas"/>
          <w:b w:val="0"/>
          <w:i w:val="0"/>
          <w:sz w:val="15"/>
        </w:rPr>
        <w:t xml:space="preserve"> ├→ HEALTH</w:t>
      </w:r>
    </w:p>
    <w:p>
      <w:pPr>
        <w:spacing w:after="0" w:before="0" w:line="240" w:lineRule="auto"/>
        <w:ind w:left="57"/>
        <w:jc w:val="left"/>
        <w:shd w:val="clear" w:fill="F2F2F2"/>
      </w:pPr>
      <w:r>
        <w:rPr>
          <w:rFonts w:ascii="Consolas" w:hAnsi="Consolas" w:cs="Consolas"/>
          <w:b w:val="0"/>
          <w:i w:val="0"/>
          <w:sz w:val="15"/>
        </w:rPr>
        <w:t xml:space="preserve"> ├→ AGRICULTURE</w:t>
      </w:r>
    </w:p>
    <w:p>
      <w:pPr>
        <w:spacing w:after="0" w:before="0" w:line="240" w:lineRule="auto"/>
        <w:ind w:left="57"/>
        <w:jc w:val="left"/>
        <w:shd w:val="clear" w:fill="F2F2F2"/>
      </w:pPr>
      <w:r>
        <w:rPr>
          <w:rFonts w:ascii="Consolas" w:hAnsi="Consolas" w:cs="Consolas"/>
          <w:b w:val="0"/>
          <w:i w:val="0"/>
          <w:sz w:val="15"/>
        </w:rPr>
        <w:t xml:space="preserve"> ├→ LAB</w:t>
      </w:r>
    </w:p>
    <w:p>
      <w:pPr>
        <w:spacing w:after="0" w:before="0" w:line="240" w:lineRule="auto"/>
        <w:ind w:left="57"/>
        <w:jc w:val="left"/>
        <w:shd w:val="clear" w:fill="F2F2F2"/>
      </w:pPr>
      <w:r>
        <w:rPr>
          <w:rFonts w:ascii="Consolas" w:hAnsi="Consolas" w:cs="Consolas"/>
          <w:b w:val="0"/>
          <w:i w:val="0"/>
          <w:sz w:val="15"/>
        </w:rPr>
        <w:t xml:space="preserve"> ├→ CERTIFICATES</w:t>
      </w:r>
    </w:p>
    <w:p>
      <w:pPr>
        <w:spacing w:after="0" w:before="0" w:line="240" w:lineRule="auto"/>
        <w:ind w:left="57"/>
        <w:jc w:val="left"/>
        <w:shd w:val="clear" w:fill="F2F2F2"/>
      </w:pPr>
      <w:r>
        <w:rPr>
          <w:rFonts w:ascii="Consolas" w:hAnsi="Consolas" w:cs="Consolas"/>
          <w:b w:val="0"/>
          <w:i w:val="0"/>
          <w:sz w:val="15"/>
        </w:rPr>
        <w:t xml:space="preserve"> ├→ TAX / ETA (Egyptian Tax Authority)</w:t>
      </w:r>
    </w:p>
    <w:p>
      <w:pPr>
        <w:spacing w:after="0" w:before="0" w:line="240" w:lineRule="auto"/>
        <w:ind w:left="57"/>
        <w:jc w:val="left"/>
        <w:shd w:val="clear" w:fill="F2F2F2"/>
      </w:pPr>
      <w:r>
        <w:rPr>
          <w:rFonts w:ascii="Consolas" w:hAnsi="Consolas" w:cs="Consolas"/>
          <w:b w:val="0"/>
          <w:i w:val="0"/>
          <w:sz w:val="15"/>
        </w:rPr>
        <w:t xml:space="preserve"> └→ OTHER AUTHORITIES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Nafeza currently distinguishes the Advanced Export System/UCR from ACI Air, and its current July 2026 Enhanced Export message notice specifically targets shipping agents and container shipping at seaports. Therefore SGTX's mode-specific applicability architecture is essential.</w:t>
      </w:r>
    </w:p>
    <w:p>
      <w:pPr>
        <w:keepNext/>
        <w:spacing w:before="240" w:after="100"/>
        <w:outlineLvl w:val="1"/>
      </w:pPr>
      <w:r>
        <w:rPr>
          <w:rFonts w:ascii="Arial" w:hAnsi="Arial" w:cs="Arial"/>
          <w:b/>
          <w:i w:val="0"/>
          <w:color w:val="2E528F"/>
          <w:sz w:val="26"/>
        </w:rPr>
        <w:t>20.132 Final Worldwide Standards Architecture</w:t>
      </w:r>
    </w:p>
    <w:p>
      <w:pPr>
        <w:spacing w:after="0" w:before="0" w:line="240" w:lineRule="auto"/>
        <w:ind w:left="57"/>
        <w:jc w:val="left"/>
        <w:shd w:val="clear" w:fill="F2F2F2"/>
      </w:pPr>
      <w:r>
        <w:rPr>
          <w:rFonts w:ascii="Consolas" w:hAnsi="Consolas" w:cs="Consolas"/>
          <w:b w:val="0"/>
          <w:i w:val="0"/>
          <w:sz w:val="15"/>
        </w:rPr>
        <w:t>SGTX CANONICAL DATA</w:t>
      </w:r>
    </w:p>
    <w:p>
      <w:pPr>
        <w:spacing w:after="0" w:before="0" w:line="240" w:lineRule="auto"/>
        <w:ind w:left="57"/>
        <w:jc w:val="left"/>
        <w:shd w:val="clear" w:fill="F2F2F2"/>
      </w:pPr>
      <w:r>
        <w:rPr>
          <w:rFonts w:ascii="Consolas" w:hAnsi="Consolas" w:cs="Consolas"/>
          <w:b w:val="0"/>
          <w:i w:val="0"/>
          <w:sz w:val="15"/>
        </w:rPr>
        <w:t xml:space="preserve"> ├→ WCO Data Model</w:t>
      </w:r>
    </w:p>
    <w:p>
      <w:pPr>
        <w:spacing w:after="0" w:before="0" w:line="240" w:lineRule="auto"/>
        <w:ind w:left="57"/>
        <w:jc w:val="left"/>
        <w:shd w:val="clear" w:fill="F2F2F2"/>
      </w:pPr>
      <w:r>
        <w:rPr>
          <w:rFonts w:ascii="Consolas" w:hAnsi="Consolas" w:cs="Consolas"/>
          <w:b w:val="0"/>
          <w:i w:val="0"/>
          <w:sz w:val="15"/>
        </w:rPr>
        <w:t xml:space="preserve"> ├→ UN/CEFACT</w:t>
      </w:r>
    </w:p>
    <w:p>
      <w:pPr>
        <w:spacing w:after="0" w:before="0" w:line="240" w:lineRule="auto"/>
        <w:ind w:left="57"/>
        <w:jc w:val="left"/>
        <w:shd w:val="clear" w:fill="F2F2F2"/>
      </w:pPr>
      <w:r>
        <w:rPr>
          <w:rFonts w:ascii="Consolas" w:hAnsi="Consolas" w:cs="Consolas"/>
          <w:b w:val="0"/>
          <w:i w:val="0"/>
          <w:sz w:val="15"/>
        </w:rPr>
        <w:t xml:space="preserve"> ├→ UN/EDIFACT</w:t>
      </w:r>
    </w:p>
    <w:p>
      <w:pPr>
        <w:spacing w:after="0" w:before="0" w:line="240" w:lineRule="auto"/>
        <w:ind w:left="57"/>
        <w:jc w:val="left"/>
        <w:shd w:val="clear" w:fill="F2F2F2"/>
      </w:pPr>
      <w:r>
        <w:rPr>
          <w:rFonts w:ascii="Consolas" w:hAnsi="Consolas" w:cs="Consolas"/>
          <w:b w:val="0"/>
          <w:i w:val="0"/>
          <w:sz w:val="15"/>
        </w:rPr>
        <w:t xml:space="preserve"> ├→ UN/LOCODE</w:t>
      </w:r>
    </w:p>
    <w:p>
      <w:pPr>
        <w:spacing w:after="0" w:before="0" w:line="240" w:lineRule="auto"/>
        <w:ind w:left="57"/>
        <w:jc w:val="left"/>
        <w:shd w:val="clear" w:fill="F2F2F2"/>
      </w:pPr>
      <w:r>
        <w:rPr>
          <w:rFonts w:ascii="Consolas" w:hAnsi="Consolas" w:cs="Consolas"/>
          <w:b w:val="0"/>
          <w:i w:val="0"/>
          <w:sz w:val="15"/>
        </w:rPr>
        <w:t xml:space="preserve"> ├→ ISO 20022</w:t>
      </w:r>
    </w:p>
    <w:p>
      <w:pPr>
        <w:spacing w:after="0" w:before="0" w:line="240" w:lineRule="auto"/>
        <w:ind w:left="57"/>
        <w:jc w:val="left"/>
        <w:shd w:val="clear" w:fill="F2F2F2"/>
      </w:pPr>
      <w:r>
        <w:rPr>
          <w:rFonts w:ascii="Consolas" w:hAnsi="Consolas" w:cs="Consolas"/>
          <w:b w:val="0"/>
          <w:i w:val="0"/>
          <w:sz w:val="15"/>
        </w:rPr>
        <w:t xml:space="preserve"> ├→ UBL</w:t>
      </w:r>
    </w:p>
    <w:p>
      <w:pPr>
        <w:spacing w:after="0" w:before="0" w:line="240" w:lineRule="auto"/>
        <w:ind w:left="57"/>
        <w:jc w:val="left"/>
        <w:shd w:val="clear" w:fill="F2F2F2"/>
      </w:pPr>
      <w:r>
        <w:rPr>
          <w:rFonts w:ascii="Consolas" w:hAnsi="Consolas" w:cs="Consolas"/>
          <w:b w:val="0"/>
          <w:i w:val="0"/>
          <w:sz w:val="15"/>
        </w:rPr>
        <w:t xml:space="preserve"> ├→ GS1</w:t>
      </w:r>
    </w:p>
    <w:p>
      <w:pPr>
        <w:spacing w:after="0" w:before="0" w:line="240" w:lineRule="auto"/>
        <w:ind w:left="57"/>
        <w:jc w:val="left"/>
        <w:shd w:val="clear" w:fill="F2F2F2"/>
      </w:pPr>
      <w:r>
        <w:rPr>
          <w:rFonts w:ascii="Consolas" w:hAnsi="Consolas" w:cs="Consolas"/>
          <w:b w:val="0"/>
          <w:i w:val="0"/>
          <w:sz w:val="15"/>
        </w:rPr>
        <w:t xml:space="preserve"> ├→ Cargo-XML</w:t>
      </w:r>
    </w:p>
    <w:p>
      <w:pPr>
        <w:spacing w:after="0" w:before="0" w:line="240" w:lineRule="auto"/>
        <w:ind w:left="57"/>
        <w:jc w:val="left"/>
        <w:shd w:val="clear" w:fill="F2F2F2"/>
      </w:pPr>
      <w:r>
        <w:rPr>
          <w:rFonts w:ascii="Consolas" w:hAnsi="Consolas" w:cs="Consolas"/>
          <w:b w:val="0"/>
          <w:i w:val="0"/>
          <w:sz w:val="15"/>
        </w:rPr>
        <w:t xml:space="preserve"> ├→ ONE Record</w:t>
      </w:r>
    </w:p>
    <w:p>
      <w:pPr>
        <w:spacing w:after="0" w:before="0" w:line="240" w:lineRule="auto"/>
        <w:ind w:left="57"/>
        <w:jc w:val="left"/>
        <w:shd w:val="clear" w:fill="F2F2F2"/>
      </w:pPr>
      <w:r>
        <w:rPr>
          <w:rFonts w:ascii="Consolas" w:hAnsi="Consolas" w:cs="Consolas"/>
          <w:b w:val="0"/>
          <w:i w:val="0"/>
          <w:sz w:val="15"/>
        </w:rPr>
        <w:t xml:space="preserve"> ├→ e-AWB</w:t>
      </w:r>
    </w:p>
    <w:p>
      <w:pPr>
        <w:spacing w:after="0" w:before="0" w:line="240" w:lineRule="auto"/>
        <w:ind w:left="57"/>
        <w:jc w:val="left"/>
        <w:shd w:val="clear" w:fill="F2F2F2"/>
      </w:pPr>
      <w:r>
        <w:rPr>
          <w:rFonts w:ascii="Consolas" w:hAnsi="Consolas" w:cs="Consolas"/>
          <w:b w:val="0"/>
          <w:i w:val="0"/>
          <w:sz w:val="15"/>
        </w:rPr>
        <w:t xml:space="preserve"> ├→ e-B/L</w:t>
      </w:r>
    </w:p>
    <w:p>
      <w:pPr>
        <w:spacing w:after="0" w:before="0" w:line="240" w:lineRule="auto"/>
        <w:ind w:left="57"/>
        <w:jc w:val="left"/>
        <w:shd w:val="clear" w:fill="F2F2F2"/>
      </w:pPr>
      <w:r>
        <w:rPr>
          <w:rFonts w:ascii="Consolas" w:hAnsi="Consolas" w:cs="Consolas"/>
          <w:b w:val="0"/>
          <w:i w:val="0"/>
          <w:sz w:val="15"/>
        </w:rPr>
        <w:t xml:space="preserve"> ├→ e-CMR</w:t>
      </w:r>
    </w:p>
    <w:p>
      <w:pPr>
        <w:spacing w:after="0" w:before="0" w:line="240" w:lineRule="auto"/>
        <w:ind w:left="57"/>
        <w:jc w:val="left"/>
        <w:shd w:val="clear" w:fill="F2F2F2"/>
      </w:pPr>
      <w:r>
        <w:rPr>
          <w:rFonts w:ascii="Consolas" w:hAnsi="Consolas" w:cs="Consolas"/>
          <w:b w:val="0"/>
          <w:i w:val="0"/>
          <w:sz w:val="15"/>
        </w:rPr>
        <w:t xml:space="preserve"> └→ National/Regional Standards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WCO Data Model is explicitly intended as a harmonized interoperability foundation for customs and other cross-border regulatory agencies, which makes it the right normalization/reference layer rather than hard-coding every national schema into SGTX core.</w:t>
      </w:r>
    </w:p>
    <w:p>
      <w:pPr>
        <w:keepNext/>
        <w:spacing w:before="240" w:after="100"/>
        <w:outlineLvl w:val="1"/>
      </w:pPr>
      <w:r>
        <w:rPr>
          <w:rFonts w:ascii="Arial" w:hAnsi="Arial" w:cs="Arial"/>
          <w:b/>
          <w:i w:val="0"/>
          <w:color w:val="2E528F"/>
          <w:sz w:val="26"/>
        </w:rPr>
        <w:t>20.133 Final Production-Readiness Model</w:t>
      </w:r>
    </w:p>
    <w:p>
      <w:pPr>
        <w:spacing w:after="80" w:line="293" w:lineRule="auto"/>
        <w:jc w:val="left"/>
      </w:pPr>
      <w:r>
        <w:rPr>
          <w:rFonts w:ascii="Times New Roman" w:hAnsi="Times New Roman" w:cs="Times New Roman"/>
          <w:b w:val="0"/>
          <w:i w:val="0"/>
          <w:sz w:val="22"/>
        </w:rPr>
        <w:t>SGTX's truthful deployment states remain the nine production-readiness states defined in Section 20.107 — CORE_READY, ADAPTER_READY, COUNTRY_CONFIGURED, SANDBOX_CONNECTED, PRODUCTION_CONNECTED, MANUAL_ONLY, PORTAL_ONLY, INTEGRATION_REQUIRED, and LEGAL_AUTHORIZATION_REQUIRED. The platform does not claim global integration where external certifications and credentials are still missing.</w:t>
      </w:r>
    </w:p>
    <w:p>
      <w:pPr>
        <w:keepNext/>
        <w:spacing w:before="240" w:after="100"/>
        <w:outlineLvl w:val="1"/>
      </w:pPr>
      <w:r>
        <w:rPr>
          <w:rFonts w:ascii="Arial" w:hAnsi="Arial" w:cs="Arial"/>
          <w:b/>
          <w:i w:val="0"/>
          <w:color w:val="2E528F"/>
          <w:sz w:val="26"/>
        </w:rPr>
        <w:t>20.134 Final Definition of "Complete"</w:t>
      </w:r>
    </w:p>
    <w:p>
      <w:pPr>
        <w:spacing w:after="80" w:line="293" w:lineRule="auto"/>
        <w:jc w:val="left"/>
      </w:pPr>
      <w:r>
        <w:rPr>
          <w:rFonts w:ascii="Times New Roman" w:hAnsi="Times New Roman" w:cs="Times New Roman"/>
          <w:b w:val="0"/>
          <w:i w:val="0"/>
          <w:sz w:val="22"/>
        </w:rPr>
        <w:t>SGTX is internally architecturally complete when:</w:t>
      </w:r>
    </w:p>
    <w:p>
      <w:pPr>
        <w:spacing w:after="0" w:before="0" w:line="240" w:lineRule="auto"/>
        <w:ind w:left="57"/>
        <w:jc w:val="left"/>
        <w:shd w:val="clear" w:fill="F2F2F2"/>
      </w:pPr>
      <w:r>
        <w:rPr>
          <w:rFonts w:ascii="Consolas" w:hAnsi="Consolas" w:cs="Consolas"/>
          <w:b w:val="0"/>
          <w:i w:val="0"/>
          <w:sz w:val="15"/>
        </w:rPr>
        <w:t>ALL CORE DOMAINS EXIST</w:t>
      </w:r>
    </w:p>
    <w:p>
      <w:pPr>
        <w:spacing w:after="0" w:before="0" w:line="240" w:lineRule="auto"/>
        <w:ind w:left="57"/>
        <w:jc w:val="left"/>
        <w:shd w:val="clear" w:fill="F2F2F2"/>
      </w:pPr>
      <w:r>
        <w:rPr>
          <w:rFonts w:ascii="Consolas" w:hAnsi="Consolas" w:cs="Consolas"/>
          <w:b w:val="0"/>
          <w:i w:val="0"/>
          <w:sz w:val="15"/>
        </w:rPr>
        <w:t>+ ALL TRANSPORT MODES EXIST</w:t>
      </w:r>
    </w:p>
    <w:p>
      <w:pPr>
        <w:spacing w:after="0" w:before="0" w:line="240" w:lineRule="auto"/>
        <w:ind w:left="57"/>
        <w:jc w:val="left"/>
        <w:shd w:val="clear" w:fill="F2F2F2"/>
      </w:pPr>
      <w:r>
        <w:rPr>
          <w:rFonts w:ascii="Consolas" w:hAnsi="Consolas" w:cs="Consolas"/>
          <w:b w:val="0"/>
          <w:i w:val="0"/>
          <w:sz w:val="15"/>
        </w:rPr>
        <w:t>+ ALL REGULATORY CLASSES EXIST</w:t>
      </w:r>
    </w:p>
    <w:p>
      <w:pPr>
        <w:spacing w:after="0" w:before="0" w:line="240" w:lineRule="auto"/>
        <w:ind w:left="57"/>
        <w:jc w:val="left"/>
        <w:shd w:val="clear" w:fill="F2F2F2"/>
      </w:pPr>
      <w:r>
        <w:rPr>
          <w:rFonts w:ascii="Consolas" w:hAnsi="Consolas" w:cs="Consolas"/>
          <w:b w:val="0"/>
          <w:i w:val="0"/>
          <w:sz w:val="15"/>
        </w:rPr>
        <w:t>+ ALL GOVERNMENT ADAPTER TYPES EXIST</w:t>
      </w:r>
    </w:p>
    <w:p>
      <w:pPr>
        <w:spacing w:after="0" w:before="0" w:line="240" w:lineRule="auto"/>
        <w:ind w:left="57"/>
        <w:jc w:val="left"/>
        <w:shd w:val="clear" w:fill="F2F2F2"/>
      </w:pPr>
      <w:r>
        <w:rPr>
          <w:rFonts w:ascii="Consolas" w:hAnsi="Consolas" w:cs="Consolas"/>
          <w:b w:val="0"/>
          <w:i w:val="0"/>
          <w:sz w:val="15"/>
        </w:rPr>
        <w:t>+ ALL FINANCIAL FLOWS EXIST</w:t>
      </w:r>
    </w:p>
    <w:p>
      <w:pPr>
        <w:spacing w:after="0" w:before="0" w:line="240" w:lineRule="auto"/>
        <w:ind w:left="57"/>
        <w:jc w:val="left"/>
        <w:shd w:val="clear" w:fill="F2F2F2"/>
      </w:pPr>
      <w:r>
        <w:rPr>
          <w:rFonts w:ascii="Consolas" w:hAnsi="Consolas" w:cs="Consolas"/>
          <w:b w:val="0"/>
          <w:i w:val="0"/>
          <w:sz w:val="15"/>
        </w:rPr>
        <w:t>+ ALL POST-TRADE FLOWS EXIST</w:t>
      </w:r>
    </w:p>
    <w:p>
      <w:pPr>
        <w:spacing w:after="0" w:before="0" w:line="240" w:lineRule="auto"/>
        <w:ind w:left="57"/>
        <w:jc w:val="left"/>
        <w:shd w:val="clear" w:fill="F2F2F2"/>
      </w:pPr>
      <w:r>
        <w:rPr>
          <w:rFonts w:ascii="Consolas" w:hAnsi="Consolas" w:cs="Consolas"/>
          <w:b w:val="0"/>
          <w:i w:val="0"/>
          <w:sz w:val="15"/>
        </w:rPr>
        <w:t>+ E2E VALIDATION EXISTS</w:t>
      </w:r>
    </w:p>
    <w:p>
      <w:pPr>
        <w:spacing w:after="0" w:before="0" w:line="240" w:lineRule="auto"/>
        <w:ind w:left="57"/>
        <w:jc w:val="left"/>
        <w:shd w:val="clear" w:fill="F2F2F2"/>
      </w:pPr>
      <w:r>
        <w:rPr>
          <w:rFonts w:ascii="Consolas" w:hAnsi="Consolas" w:cs="Consolas"/>
          <w:b w:val="0"/>
          <w:i w:val="0"/>
          <w:sz w:val="15"/>
        </w:rPr>
        <w:t>+ USTN CLOSURE IS CONSISTENT</w:t>
      </w:r>
    </w:p>
    <w:p>
      <w:pPr>
        <w:spacing w:after="0" w:before="0" w:line="240" w:lineRule="auto"/>
        <w:ind w:left="57"/>
        <w:jc w:val="left"/>
        <w:shd w:val="clear" w:fill="F2F2F2"/>
      </w:pPr>
      <w:r>
        <w:rPr>
          <w:rFonts w:ascii="Consolas" w:hAnsi="Consolas" w:cs="Consolas"/>
          <w:b w:val="0"/>
          <w:i w:val="0"/>
          <w:sz w:val="15"/>
        </w:rPr>
        <w:t>+ INTEGRATION GAPS ARE VISIBLE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SGTX is externally operational only when the actual institutions have:</w:t>
      </w:r>
    </w:p>
    <w:p>
      <w:pPr>
        <w:spacing w:after="80" w:line="293" w:lineRule="auto"/>
        <w:ind w:left="283"/>
        <w:jc w:val="left"/>
      </w:pPr>
      <w:r>
        <w:rPr>
          <w:rFonts w:ascii="Times New Roman" w:hAnsi="Times New Roman" w:cs="Times New Roman"/>
          <w:b w:val="0"/>
          <w:i w:val="0"/>
          <w:sz w:val="22"/>
        </w:rPr>
        <w:t>- authorized access</w:t>
      </w:r>
    </w:p>
    <w:p>
      <w:pPr>
        <w:spacing w:after="80" w:line="293" w:lineRule="auto"/>
        <w:ind w:left="283"/>
        <w:jc w:val="left"/>
      </w:pPr>
      <w:r>
        <w:rPr>
          <w:rFonts w:ascii="Times New Roman" w:hAnsi="Times New Roman" w:cs="Times New Roman"/>
          <w:b w:val="0"/>
          <w:i w:val="0"/>
          <w:sz w:val="22"/>
        </w:rPr>
        <w:t>- production credentials</w:t>
      </w:r>
    </w:p>
    <w:p>
      <w:pPr>
        <w:spacing w:after="80" w:line="293" w:lineRule="auto"/>
        <w:ind w:left="283"/>
        <w:jc w:val="left"/>
      </w:pPr>
      <w:r>
        <w:rPr>
          <w:rFonts w:ascii="Times New Roman" w:hAnsi="Times New Roman" w:cs="Times New Roman"/>
          <w:b w:val="0"/>
          <w:i w:val="0"/>
          <w:sz w:val="22"/>
        </w:rPr>
        <w:t>- certifications</w:t>
      </w:r>
    </w:p>
    <w:p>
      <w:pPr>
        <w:spacing w:after="80" w:line="293" w:lineRule="auto"/>
        <w:ind w:left="283"/>
        <w:jc w:val="left"/>
      </w:pPr>
      <w:r>
        <w:rPr>
          <w:rFonts w:ascii="Times New Roman" w:hAnsi="Times New Roman" w:cs="Times New Roman"/>
          <w:b w:val="0"/>
          <w:i w:val="0"/>
          <w:sz w:val="22"/>
        </w:rPr>
        <w:t>- contracts/agreements where required</w:t>
      </w:r>
    </w:p>
    <w:p>
      <w:pPr>
        <w:spacing w:after="80" w:line="293" w:lineRule="auto"/>
        <w:ind w:left="283"/>
        <w:jc w:val="left"/>
      </w:pPr>
      <w:r>
        <w:rPr>
          <w:rFonts w:ascii="Times New Roman" w:hAnsi="Times New Roman" w:cs="Times New Roman"/>
          <w:b w:val="0"/>
          <w:i w:val="0"/>
          <w:sz w:val="22"/>
        </w:rPr>
        <w:t>- operational procedures</w:t>
      </w:r>
    </w:p>
    <w:p>
      <w:pPr>
        <w:spacing w:after="80" w:line="293" w:lineRule="auto"/>
        <w:ind w:left="283"/>
        <w:jc w:val="left"/>
      </w:pPr>
      <w:r>
        <w:rPr>
          <w:rFonts w:ascii="Times New Roman" w:hAnsi="Times New Roman" w:cs="Times New Roman"/>
          <w:b w:val="0"/>
          <w:i w:val="0"/>
          <w:sz w:val="22"/>
        </w:rPr>
        <w:t>- tested production connectors</w:t>
      </w:r>
    </w:p>
    <w:p>
      <w:pPr>
        <w:spacing w:after="80" w:line="293" w:lineRule="auto"/>
        <w:jc w:val="left"/>
      </w:pPr>
      <w:r>
        <w:rPr>
          <w:rFonts w:ascii="Times New Roman" w:hAnsi="Times New Roman" w:cs="Times New Roman"/>
          <w:b w:val="0"/>
          <w:i w:val="0"/>
          <w:sz w:val="22"/>
        </w:rPr>
        <w:t>That distinction must remain permanent.</w:t>
      </w:r>
    </w:p>
    <w:p>
      <w:pPr>
        <w:keepNext/>
        <w:spacing w:before="240" w:after="100"/>
        <w:outlineLvl w:val="1"/>
      </w:pPr>
      <w:r>
        <w:rPr>
          <w:rFonts w:ascii="Arial" w:hAnsi="Arial" w:cs="Arial"/>
          <w:b/>
          <w:i w:val="0"/>
          <w:color w:val="2E528F"/>
          <w:sz w:val="26"/>
        </w:rPr>
        <w:t>20.135 Final SGTX Identity</w:t>
      </w:r>
    </w:p>
    <w:p>
      <w:pPr>
        <w:spacing w:after="80" w:line="293" w:lineRule="auto"/>
        <w:jc w:val="left"/>
      </w:pPr>
      <w:r>
        <w:rPr>
          <w:rFonts w:ascii="Times New Roman" w:hAnsi="Times New Roman" w:cs="Times New Roman"/>
          <w:b w:val="0"/>
          <w:i w:val="0"/>
          <w:sz w:val="22"/>
        </w:rPr>
        <w:t>The completed architecture is therefore described as: SGTX — Sovereign Global Trade Exchange — is a non-custodial, relationship-controlled, sovereign-governed trade execution infrastructure that connects commercial transactions with regulatory requirements, customs, government systems, approved logistics providers, approved transport operators, connected banks and trader-selected financing institutions, orchestrating the complete physical and financial trade lifecycle through a single USTN-centered, auditable execution graph.</w:t>
      </w:r>
    </w:p>
    <w:p>
      <w:pPr>
        <w:spacing w:after="80" w:line="293" w:lineRule="auto"/>
        <w:jc w:val="left"/>
      </w:pPr>
      <w:r>
        <w:rPr>
          <w:rFonts w:ascii="Times New Roman" w:hAnsi="Times New Roman" w:cs="Times New Roman"/>
          <w:b w:val="0"/>
          <w:i w:val="0"/>
          <w:sz w:val="22"/>
        </w:rPr>
        <w:t>Not a marketplace. Not a public logistics directory. Not an autonomous AI trader. Not a bank. Not a customs authority. Not a carrier. Not a government. But the orchestration and execution layer connecting all of them.</w:t>
      </w:r>
    </w:p>
    <w:p>
      <w:pPr>
        <w:spacing w:after="80" w:line="293" w:lineRule="auto"/>
        <w:jc w:val="left"/>
      </w:pPr>
      <w:r>
        <w:rPr>
          <w:rFonts w:ascii="Times New Roman" w:hAnsi="Times New Roman" w:cs="Times New Roman"/>
          <w:b w:val="0"/>
          <w:i w:val="0"/>
          <w:sz w:val="22"/>
        </w:rPr>
        <w:t>The transport layer is: Road + Air + Ocean Container + RoRo/Rolling Cargo + Rail + Ferry + Multimodal, all beneath one transport orchestrator and one USTN graph.</w:t>
      </w:r>
    </w:p>
    <w:p>
      <w:pPr>
        <w:spacing w:after="80" w:line="293" w:lineRule="auto"/>
        <w:jc w:val="left"/>
      </w:pPr>
      <w:r>
        <w:rPr>
          <w:rFonts w:ascii="Times New Roman" w:hAnsi="Times New Roman" w:cs="Times New Roman"/>
          <w:b w:val="0"/>
          <w:i w:val="0"/>
          <w:sz w:val="22"/>
        </w:rPr>
        <w:t>The standards gateway is version-aware rather than hard-coding a single WCO version. The WCO currently documents Data Model 3.x releases while its 2026 guidance describes the future transition toward Version 4. SGTX therefore stores WCO_DM_VERSION as configuration and supports mapping evolution rather than embedding one immutable WCO schema.</w:t>
      </w:r>
    </w:p>
    <w:p>
      <w:pPr>
        <w:spacing w:after="80" w:line="293" w:lineRule="auto"/>
        <w:jc w:val="left"/>
      </w:pPr>
      <w:r>
        <w:rPr>
          <w:rFonts w:ascii="Times New Roman" w:hAnsi="Times New Roman" w:cs="Times New Roman"/>
          <w:b w:val="0"/>
          <w:i w:val="0"/>
          <w:sz w:val="22"/>
        </w:rPr>
        <w:t>This section establishes the global regulatory fabric, worldwide jurisdiction system, customs/single-window architecture, road corridors, air freight, ocean container, RoRo/rolling cargo, rail, ferry, multimodal orchestration, product classification, tariff/origin/trade-agreement engines, licenses/permits/certificates, SPS/TBT, controlled goods/sanctions, government adapters, tax, payment, connected-bank financing, trader-saved financiers, insurance, ERP/accounting, post-clearance, returns, claims, evidence, provider controls, integration-gap center, regulatory change management, Trade Lane Passport, USTN closure hardening, completeness controls, and the Egypt-specific mode-aware Nafeza architecture — all operating on the canonical state and settlement model defined in Section 19.</w:t>
      </w:r>
    </w:p>
    <w:p>
      <w:pPr>
        <w:keepNext/>
        <w:spacing w:before="360" w:after="160"/>
        <w:outlineLvl w:val="0"/>
      </w:pPr>
      <w:r>
        <w:rPr>
          <w:rFonts w:ascii="Arial" w:hAnsi="Arial" w:cs="Arial"/>
          <w:b/>
          <w:i w:val="0"/>
          <w:color w:val="1F3864"/>
          <w:sz w:val="32"/>
        </w:rPr>
        <w:t>21. Platform Guarantees: Security, Availability &amp; Privacy</w:t>
      </w:r>
    </w:p>
    <w:p>
      <w:pPr>
        <w:spacing w:after="80" w:line="293" w:lineRule="auto"/>
        <w:jc w:val="left"/>
      </w:pPr>
      <w:r>
        <w:rPr>
          <w:rFonts w:ascii="Times New Roman" w:hAnsi="Times New Roman" w:cs="Times New Roman"/>
          <w:b w:val="0"/>
          <w:i w:val="0"/>
          <w:sz w:val="22"/>
        </w:rPr>
        <w:t>This section defines the security, availability, and privacy guarantees of the SGTX platform. The platform handles sensitive trade data, financial instructions, and cryptographic identities across multiple jurisdictions; a robust security model is a constitutional requirement, not an optional enhancement. The guarantees in this section bind the production environment as contractual commitments under the Master Service Agreement and cover the complete threat model, the cryptography and key-management regime, incident response, the service level agreements (SLAs) with their credit model, the Egyptian Personal Data Protection Law (PDPL) compliance framework, the Trade Memory Layer with predictive insights, and the canonical API conventions that apply to every endpoint (see Section 18).</w:t>
      </w:r>
    </w:p>
    <w:p>
      <w:pPr>
        <w:keepNext/>
        <w:spacing w:before="240" w:after="100"/>
        <w:outlineLvl w:val="1"/>
      </w:pPr>
      <w:r>
        <w:rPr>
          <w:rFonts w:ascii="Arial" w:hAnsi="Arial" w:cs="Arial"/>
          <w:b/>
          <w:i w:val="0"/>
          <w:color w:val="2E528F"/>
          <w:sz w:val="26"/>
        </w:rPr>
        <w:t>21.1 Security Architecture Overview</w:t>
      </w:r>
    </w:p>
    <w:p>
      <w:pPr>
        <w:keepNext/>
        <w:spacing w:before="180" w:after="80"/>
        <w:outlineLvl w:val="2"/>
      </w:pPr>
      <w:r>
        <w:rPr>
          <w:rFonts w:ascii="Arial" w:hAnsi="Arial" w:cs="Arial"/>
          <w:b/>
          <w:i w:val="0"/>
          <w:color w:val="333333"/>
          <w:sz w:val="23"/>
        </w:rPr>
        <w:t>21.1.1 Purpose &amp; Design Philosophy</w:t>
      </w:r>
    </w:p>
    <w:p>
      <w:pPr>
        <w:spacing w:after="80" w:line="293" w:lineRule="auto"/>
        <w:jc w:val="left"/>
      </w:pPr>
      <w:r>
        <w:rPr>
          <w:rFonts w:ascii="Times New Roman" w:hAnsi="Times New Roman" w:cs="Times New Roman"/>
          <w:b w:val="0"/>
          <w:i w:val="0"/>
          <w:sz w:val="22"/>
        </w:rPr>
        <w:t>The SGTX platform handles sensitive trade data, financial transactions, and cryptographic identities across multiple jurisdictions. A robust security model is not optional — it is a constitutional requirement. This section defines the comprehensive threat model for the platform using industry-standard frameworks:</w:t>
      </w:r>
    </w:p>
    <w:p>
      <w:pPr>
        <w:spacing w:after="80" w:line="293" w:lineRule="auto"/>
        <w:ind w:left="283"/>
        <w:jc w:val="left"/>
      </w:pPr>
      <w:r>
        <w:rPr>
          <w:rFonts w:ascii="Times New Roman" w:hAnsi="Times New Roman" w:cs="Times New Roman"/>
          <w:b w:val="0"/>
          <w:i w:val="0"/>
          <w:sz w:val="22"/>
        </w:rPr>
        <w:t>- STRIDE (Spoofing, Tampering, Repudiation, Information Disclosure, Denial of Service, Elevation of Privilege) —</w:t>
      </w:r>
    </w:p>
    <w:p>
      <w:pPr>
        <w:spacing w:after="80" w:line="293" w:lineRule="auto"/>
        <w:jc w:val="left"/>
      </w:pPr>
      <w:r>
        <w:rPr>
          <w:rFonts w:ascii="Times New Roman" w:hAnsi="Times New Roman" w:cs="Times New Roman"/>
          <w:b w:val="0"/>
          <w:i w:val="0"/>
          <w:sz w:val="22"/>
        </w:rPr>
        <w:t>applied per component and per trust boundary.</w:t>
      </w:r>
    </w:p>
    <w:p>
      <w:pPr>
        <w:spacing w:after="80" w:line="293" w:lineRule="auto"/>
        <w:ind w:left="283"/>
        <w:jc w:val="left"/>
      </w:pPr>
      <w:r>
        <w:rPr>
          <w:rFonts w:ascii="Times New Roman" w:hAnsi="Times New Roman" w:cs="Times New Roman"/>
          <w:b w:val="0"/>
          <w:i w:val="0"/>
          <w:sz w:val="22"/>
        </w:rPr>
        <w:t>- MITRE ATT&amp;CK — adversary tactics, techniques, and procedures (TTPs) relevant to trade platforms.</w:t>
      </w:r>
    </w:p>
    <w:p>
      <w:pPr>
        <w:spacing w:after="80" w:line="293" w:lineRule="auto"/>
        <w:jc w:val="left"/>
      </w:pPr>
      <w:r>
        <w:rPr>
          <w:rFonts w:ascii="Times New Roman" w:hAnsi="Times New Roman" w:cs="Times New Roman"/>
          <w:b w:val="0"/>
          <w:i w:val="0"/>
          <w:sz w:val="22"/>
        </w:rPr>
        <w:t>All mitigations are zero-cost, built on open-source tools (Open Policy Agent (OPA), WasmEdge, Cilium, Falco, and others) and free threat-intelligence feeds. Artificial intelligence (AI) services (Groq, Hugging Face) are used for advisory purposes — summarising threat findings, generating post-mortems, and suggesting remediation steps. AI is never permitted to autonomously block actions; autonomous execution by AI is forbidden at authority level A5 (see Section 24, term A0–A5).</w:t>
      </w:r>
    </w:p>
    <w:p>
      <w:pPr>
        <w:spacing w:after="80" w:line="293" w:lineRule="auto"/>
        <w:jc w:val="left"/>
      </w:pPr>
      <w:r>
        <w:rPr>
          <w:rFonts w:ascii="Times New Roman" w:hAnsi="Times New Roman" w:cs="Times New Roman"/>
          <w:b w:val="0"/>
          <w:i w:val="0"/>
          <w:sz w:val="22"/>
        </w:rPr>
        <w:t>The threat model covers the full feature set of the platform, including: multi-shipment contracts (see Section 9), the dual-mode trader context toggle (see Section 4), deferred payment guarantees (see Section 13), conditional quality control (QC) holds (see Section 12), zero-knowledge (ZK) proofs (see Section 22), the Trust Passport (see Section 4), the Trade Memory Layer and Predictive Insights (Section 21.10), cross-border payment routing (see Section 13), and non-uniform layer stacking (see Section 8).</w:t>
      </w:r>
    </w:p>
    <w:p>
      <w:pPr>
        <w:keepNext/>
        <w:spacing w:before="180" w:after="80"/>
        <w:outlineLvl w:val="2"/>
      </w:pPr>
      <w:r>
        <w:rPr>
          <w:rFonts w:ascii="Arial" w:hAnsi="Arial" w:cs="Arial"/>
          <w:b/>
          <w:i w:val="0"/>
          <w:color w:val="333333"/>
          <w:sz w:val="23"/>
        </w:rPr>
        <w:t>21.1.2 Core Security Principles</w:t>
      </w:r>
    </w:p>
    <w:p>
      <w:pPr>
        <w:spacing w:after="80" w:line="293" w:lineRule="auto"/>
        <w:jc w:val="left"/>
      </w:pPr>
      <w:r>
        <w:rPr>
          <w:rFonts w:ascii="Times New Roman" w:hAnsi="Times New Roman" w:cs="Times New Roman"/>
          <w:b w:val="0"/>
          <w:i w:val="0"/>
          <w:sz w:val="22"/>
        </w:rPr>
        <w:t>The security architecture is non-marketplace and orchestration-only, and rests on the following standing principles:</w:t>
      </w:r>
    </w:p>
    <w:p>
      <w:pPr>
        <w:spacing w:after="80" w:line="293" w:lineRule="auto"/>
        <w:ind w:left="283"/>
        <w:jc w:val="left"/>
      </w:pPr>
      <w:r>
        <w:rPr>
          <w:rFonts w:ascii="Times New Roman" w:hAnsi="Times New Roman" w:cs="Times New Roman"/>
          <w:b w:val="0"/>
          <w:i w:val="0"/>
          <w:sz w:val="22"/>
        </w:rPr>
        <w:t>- Zero-trust architecture — no implicit trust; every request is authenticated, authorised, and encrypted.</w:t>
      </w:r>
    </w:p>
    <w:p>
      <w:pPr>
        <w:spacing w:after="80" w:line="293" w:lineRule="auto"/>
        <w:ind w:left="283"/>
        <w:jc w:val="left"/>
      </w:pPr>
      <w:r>
        <w:rPr>
          <w:rFonts w:ascii="Times New Roman" w:hAnsi="Times New Roman" w:cs="Times New Roman"/>
          <w:b w:val="0"/>
          <w:i w:val="0"/>
          <w:sz w:val="22"/>
        </w:rPr>
        <w:t>- Defence in depth — multiple layers of control (network, application, data, constitutional).</w:t>
      </w:r>
    </w:p>
    <w:p>
      <w:pPr>
        <w:spacing w:after="80" w:line="293" w:lineRule="auto"/>
        <w:ind w:left="283"/>
        <w:jc w:val="left"/>
      </w:pPr>
      <w:r>
        <w:rPr>
          <w:rFonts w:ascii="Times New Roman" w:hAnsi="Times New Roman" w:cs="Times New Roman"/>
          <w:b w:val="0"/>
          <w:i w:val="0"/>
          <w:sz w:val="22"/>
        </w:rPr>
        <w:t>- Immutable audit — every security-relevant event is logged immutably via Loom, the SHA-256 hash-chained audit log.</w:t>
      </w:r>
    </w:p>
    <w:p>
      <w:pPr>
        <w:spacing w:after="80" w:line="293" w:lineRule="auto"/>
        <w:ind w:left="283"/>
        <w:jc w:val="left"/>
      </w:pPr>
      <w:r>
        <w:rPr>
          <w:rFonts w:ascii="Times New Roman" w:hAnsi="Times New Roman" w:cs="Times New Roman"/>
          <w:b w:val="0"/>
          <w:i w:val="0"/>
          <w:sz w:val="22"/>
        </w:rPr>
        <w:t>- Continuous verification — hourly Loom chain verification, weekly penetration tests, daily vulnerability scans.</w:t>
      </w:r>
    </w:p>
    <w:p>
      <w:pPr>
        <w:spacing w:after="80" w:line="293" w:lineRule="auto"/>
        <w:ind w:left="283"/>
        <w:jc w:val="left"/>
      </w:pPr>
      <w:r>
        <w:rPr>
          <w:rFonts w:ascii="Times New Roman" w:hAnsi="Times New Roman" w:cs="Times New Roman"/>
          <w:b w:val="0"/>
          <w:i w:val="0"/>
          <w:sz w:val="22"/>
        </w:rPr>
        <w:t>- No security-through-obscurity — all security controls are documented and verifiable.</w:t>
      </w:r>
    </w:p>
    <w:p>
      <w:pPr>
        <w:keepNext/>
        <w:spacing w:before="180" w:after="80"/>
        <w:outlineLvl w:val="2"/>
      </w:pPr>
      <w:r>
        <w:rPr>
          <w:rFonts w:ascii="Arial" w:hAnsi="Arial" w:cs="Arial"/>
          <w:b/>
          <w:i w:val="0"/>
          <w:color w:val="333333"/>
          <w:sz w:val="23"/>
        </w:rPr>
        <w:t>21.1.3 Threat Model Methodology</w:t>
      </w:r>
    </w:p>
    <w:p>
      <w:pPr>
        <w:spacing w:after="80" w:line="293" w:lineRule="auto"/>
        <w:jc w:val="left"/>
      </w:pPr>
      <w:r>
        <w:rPr>
          <w:rFonts w:ascii="Times New Roman" w:hAnsi="Times New Roman" w:cs="Times New Roman"/>
          <w:b w:val="0"/>
          <w:i w:val="0"/>
          <w:sz w:val="22"/>
        </w:rPr>
        <w:t>SGTX applies a continuous, automated threat modelling process. Every activity in the cycle has a defined frequency and owner: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Activity</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Frequency</w:t>
            </w:r>
          </w:p>
        </w:tc>
      </w:tr>
      <w:tr>
        <w:tc>
          <w:tcPr>
            <w:tcW w:type="dxa" w:w="3213"/>
          </w:tcPr>
          <w:p>
            <w:pPr>
              <w:spacing w:after="20" w:before="20" w:line="240" w:lineRule="auto"/>
            </w:pPr>
            <w:r/>
            <w:r>
              <w:rPr>
                <w:rFonts w:ascii="Arial" w:hAnsi="Arial" w:cs="Arial"/>
                <w:b w:val="0"/>
                <w:i w:val="0"/>
                <w:sz w:val="17"/>
              </w:rPr>
              <w:t>Asset inventory</w:t>
            </w:r>
          </w:p>
        </w:tc>
        <w:tc>
          <w:tcPr>
            <w:tcW w:type="dxa" w:w="3213"/>
          </w:tcPr>
          <w:p>
            <w:pPr>
              <w:spacing w:after="20" w:before="20" w:line="240" w:lineRule="auto"/>
            </w:pPr>
            <w:r/>
            <w:r>
              <w:rPr>
                <w:rFonts w:ascii="Arial" w:hAnsi="Arial" w:cs="Arial"/>
                <w:b w:val="0"/>
                <w:i w:val="0"/>
                <w:sz w:val="17"/>
              </w:rPr>
              <w:t>All platform components, data stores, and features are enumerated and reviewed</w:t>
            </w:r>
          </w:p>
        </w:tc>
        <w:tc>
          <w:tcPr>
            <w:tcW w:type="dxa" w:w="3213"/>
          </w:tcPr>
          <w:p>
            <w:pPr>
              <w:spacing w:after="20" w:before="20" w:line="240" w:lineRule="auto"/>
            </w:pPr>
            <w:r/>
            <w:r>
              <w:rPr>
                <w:rFonts w:ascii="Arial" w:hAnsi="Arial" w:cs="Arial"/>
                <w:b w:val="0"/>
                <w:i w:val="0"/>
                <w:sz w:val="17"/>
              </w:rPr>
              <w:t>Quarterly</w:t>
            </w:r>
          </w:p>
        </w:tc>
      </w:tr>
      <w:tr>
        <w:tc>
          <w:tcPr>
            <w:tcW w:type="dxa" w:w="3213"/>
          </w:tcPr>
          <w:p>
            <w:pPr>
              <w:spacing w:after="20" w:before="20" w:line="240" w:lineRule="auto"/>
            </w:pPr>
            <w:r/>
            <w:r>
              <w:rPr>
                <w:rFonts w:ascii="Arial" w:hAnsi="Arial" w:cs="Arial"/>
                <w:b w:val="0"/>
                <w:i w:val="0"/>
                <w:sz w:val="17"/>
              </w:rPr>
              <w:t>Trust boundaries</w:t>
            </w:r>
          </w:p>
        </w:tc>
        <w:tc>
          <w:tcPr>
            <w:tcW w:type="dxa" w:w="3213"/>
          </w:tcPr>
          <w:p>
            <w:pPr>
              <w:spacing w:after="20" w:before="20" w:line="240" w:lineRule="auto"/>
            </w:pPr>
            <w:r/>
            <w:r>
              <w:rPr>
                <w:rFonts w:ascii="Arial" w:hAnsi="Arial" w:cs="Arial"/>
                <w:b w:val="0"/>
                <w:i w:val="0"/>
                <w:sz w:val="17"/>
              </w:rPr>
              <w:t>Between tenant nodes, between microservices, between platform and government APIs, between platform and participating banks</w:t>
            </w:r>
          </w:p>
        </w:tc>
        <w:tc>
          <w:tcPr>
            <w:tcW w:type="dxa" w:w="3213"/>
          </w:tcPr>
          <w:p>
            <w:pPr>
              <w:spacing w:after="20" w:before="20" w:line="240" w:lineRule="auto"/>
            </w:pPr>
            <w:r/>
            <w:r>
              <w:rPr>
                <w:rFonts w:ascii="Arial" w:hAnsi="Arial" w:cs="Arial"/>
                <w:b w:val="0"/>
                <w:i w:val="0"/>
                <w:sz w:val="17"/>
              </w:rPr>
              <w:t>Quarterly</w:t>
            </w:r>
          </w:p>
        </w:tc>
      </w:tr>
      <w:tr>
        <w:tc>
          <w:tcPr>
            <w:tcW w:type="dxa" w:w="3213"/>
          </w:tcPr>
          <w:p>
            <w:pPr>
              <w:spacing w:after="20" w:before="20" w:line="240" w:lineRule="auto"/>
            </w:pPr>
            <w:r/>
            <w:r>
              <w:rPr>
                <w:rFonts w:ascii="Arial" w:hAnsi="Arial" w:cs="Arial"/>
                <w:b w:val="0"/>
                <w:i w:val="0"/>
                <w:sz w:val="17"/>
              </w:rPr>
              <w:t>STRIDE analysis</w:t>
            </w:r>
          </w:p>
        </w:tc>
        <w:tc>
          <w:tcPr>
            <w:tcW w:type="dxa" w:w="3213"/>
          </w:tcPr>
          <w:p>
            <w:pPr>
              <w:spacing w:after="20" w:before="20" w:line="240" w:lineRule="auto"/>
            </w:pPr>
            <w:r/>
            <w:r>
              <w:rPr>
                <w:rFonts w:ascii="Arial" w:hAnsi="Arial" w:cs="Arial"/>
                <w:b w:val="0"/>
                <w:i w:val="0"/>
                <w:sz w:val="17"/>
              </w:rPr>
              <w:t>Per component, per trust boundary</w:t>
            </w:r>
          </w:p>
        </w:tc>
        <w:tc>
          <w:tcPr>
            <w:tcW w:type="dxa" w:w="3213"/>
          </w:tcPr>
          <w:p>
            <w:pPr>
              <w:spacing w:after="20" w:before="20" w:line="240" w:lineRule="auto"/>
            </w:pPr>
            <w:r/>
            <w:r>
              <w:rPr>
                <w:rFonts w:ascii="Arial" w:hAnsi="Arial" w:cs="Arial"/>
                <w:b w:val="0"/>
                <w:i w:val="0"/>
                <w:sz w:val="17"/>
              </w:rPr>
              <w:t>Weekly (automated)</w:t>
            </w:r>
          </w:p>
        </w:tc>
      </w:tr>
      <w:tr>
        <w:tc>
          <w:tcPr>
            <w:tcW w:type="dxa" w:w="3213"/>
          </w:tcPr>
          <w:p>
            <w:pPr>
              <w:spacing w:after="20" w:before="20" w:line="240" w:lineRule="auto"/>
            </w:pPr>
            <w:r/>
            <w:r>
              <w:rPr>
                <w:rFonts w:ascii="Arial" w:hAnsi="Arial" w:cs="Arial"/>
                <w:b w:val="0"/>
                <w:i w:val="0"/>
                <w:sz w:val="17"/>
              </w:rPr>
              <w:t>MITRE ATT&amp;CK mapping</w:t>
            </w:r>
          </w:p>
        </w:tc>
        <w:tc>
          <w:tcPr>
            <w:tcW w:type="dxa" w:w="3213"/>
          </w:tcPr>
          <w:p>
            <w:pPr>
              <w:spacing w:after="20" w:before="20" w:line="240" w:lineRule="auto"/>
            </w:pPr>
            <w:r/>
            <w:r>
              <w:rPr>
                <w:rFonts w:ascii="Arial" w:hAnsi="Arial" w:cs="Arial"/>
                <w:b w:val="0"/>
                <w:i w:val="0"/>
                <w:sz w:val="17"/>
              </w:rPr>
              <w:t>Adversary tactics, techniques, and procedures (TTPs) relevant to trade platforms</w:t>
            </w:r>
          </w:p>
        </w:tc>
        <w:tc>
          <w:tcPr>
            <w:tcW w:type="dxa" w:w="3213"/>
          </w:tcPr>
          <w:p>
            <w:pPr>
              <w:spacing w:after="20" w:before="20" w:line="240" w:lineRule="auto"/>
            </w:pPr>
            <w:r/>
            <w:r>
              <w:rPr>
                <w:rFonts w:ascii="Arial" w:hAnsi="Arial" w:cs="Arial"/>
                <w:b w:val="0"/>
                <w:i w:val="0"/>
                <w:sz w:val="17"/>
              </w:rPr>
              <w:t>Quarterly</w:t>
            </w:r>
          </w:p>
        </w:tc>
      </w:tr>
      <w:tr>
        <w:tc>
          <w:tcPr>
            <w:tcW w:type="dxa" w:w="3213"/>
          </w:tcPr>
          <w:p>
            <w:pPr>
              <w:spacing w:after="20" w:before="20" w:line="240" w:lineRule="auto"/>
            </w:pPr>
            <w:r/>
            <w:r>
              <w:rPr>
                <w:rFonts w:ascii="Arial" w:hAnsi="Arial" w:cs="Arial"/>
                <w:b w:val="0"/>
                <w:i w:val="0"/>
                <w:sz w:val="17"/>
              </w:rPr>
              <w:t>Mitigation controls</w:t>
            </w:r>
          </w:p>
        </w:tc>
        <w:tc>
          <w:tcPr>
            <w:tcW w:type="dxa" w:w="3213"/>
          </w:tcPr>
          <w:p>
            <w:pPr>
              <w:spacing w:after="20" w:before="20" w:line="240" w:lineRule="auto"/>
            </w:pPr>
            <w:r/>
            <w:r>
              <w:rPr>
                <w:rFonts w:ascii="Arial" w:hAnsi="Arial" w:cs="Arial"/>
                <w:b w:val="0"/>
                <w:i w:val="0"/>
                <w:sz w:val="17"/>
              </w:rPr>
              <w:t>Preventive, detective, corrective</w:t>
            </w:r>
          </w:p>
        </w:tc>
        <w:tc>
          <w:tcPr>
            <w:tcW w:type="dxa" w:w="3213"/>
          </w:tcPr>
          <w:p>
            <w:pPr>
              <w:spacing w:after="20" w:before="20" w:line="240" w:lineRule="auto"/>
            </w:pPr>
            <w:r/>
            <w:r>
              <w:rPr>
                <w:rFonts w:ascii="Arial" w:hAnsi="Arial" w:cs="Arial"/>
                <w:b w:val="0"/>
                <w:i w:val="0"/>
                <w:sz w:val="17"/>
              </w:rPr>
              <w:t>On-going</w:t>
            </w:r>
          </w:p>
        </w:tc>
      </w:tr>
      <w:tr>
        <w:tc>
          <w:tcPr>
            <w:tcW w:type="dxa" w:w="3213"/>
          </w:tcPr>
          <w:p>
            <w:pPr>
              <w:spacing w:after="20" w:before="20" w:line="240" w:lineRule="auto"/>
            </w:pPr>
            <w:r/>
            <w:r>
              <w:rPr>
                <w:rFonts w:ascii="Arial" w:hAnsi="Arial" w:cs="Arial"/>
                <w:b w:val="0"/>
                <w:i w:val="0"/>
                <w:sz w:val="17"/>
              </w:rPr>
              <w:t>Residual risk acceptance</w:t>
            </w:r>
          </w:p>
        </w:tc>
        <w:tc>
          <w:tcPr>
            <w:tcW w:type="dxa" w:w="3213"/>
          </w:tcPr>
          <w:p>
            <w:pPr>
              <w:spacing w:after="20" w:before="20" w:line="240" w:lineRule="auto"/>
            </w:pPr>
            <w:r/>
            <w:r>
              <w:rPr>
                <w:rFonts w:ascii="Arial" w:hAnsi="Arial" w:cs="Arial"/>
                <w:b w:val="0"/>
                <w:i w:val="0"/>
                <w:sz w:val="17"/>
              </w:rPr>
              <w:t>Documented by multisig</w:t>
            </w:r>
          </w:p>
        </w:tc>
        <w:tc>
          <w:tcPr>
            <w:tcW w:type="dxa" w:w="3213"/>
          </w:tcPr>
          <w:p>
            <w:pPr>
              <w:spacing w:after="20" w:before="20" w:line="240" w:lineRule="auto"/>
            </w:pPr>
            <w:r/>
            <w:r>
              <w:rPr>
                <w:rFonts w:ascii="Arial" w:hAnsi="Arial" w:cs="Arial"/>
                <w:b w:val="0"/>
                <w:i w:val="0"/>
                <w:sz w:val="17"/>
              </w:rPr>
              <w:t>Quarterly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Threat modelling tooling (all zero-cost):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Tool</w:t>
            </w:r>
          </w:p>
        </w:tc>
        <w:tc>
          <w:tcPr>
            <w:tcW w:type="dxa" w:w="3213"/>
            <w:shd w:val="clear" w:fill="D9E2F3"/>
          </w:tcPr>
          <w:p>
            <w:pPr>
              <w:spacing w:after="20" w:before="20" w:line="240" w:lineRule="auto"/>
            </w:pPr>
            <w:r/>
            <w:r>
              <w:rPr>
                <w:rFonts w:ascii="Arial" w:hAnsi="Arial" w:cs="Arial"/>
                <w:b/>
                <w:i w:val="0"/>
                <w:sz w:val="18"/>
              </w:rPr>
              <w:t>Purpose</w:t>
            </w:r>
          </w:p>
        </w:tc>
        <w:tc>
          <w:tcPr>
            <w:tcW w:type="dxa" w:w="3213"/>
            <w:shd w:val="clear" w:fill="D9E2F3"/>
          </w:tcPr>
          <w:p>
            <w:pPr>
              <w:spacing w:after="20" w:before="20" w:line="240" w:lineRule="auto"/>
            </w:pPr>
            <w:r/>
            <w:r>
              <w:rPr>
                <w:rFonts w:ascii="Arial" w:hAnsi="Arial" w:cs="Arial"/>
                <w:b/>
                <w:i w:val="0"/>
                <w:sz w:val="18"/>
              </w:rPr>
              <w:t>Cost</w:t>
            </w:r>
          </w:p>
        </w:tc>
      </w:tr>
      <w:tr>
        <w:tc>
          <w:tcPr>
            <w:tcW w:type="dxa" w:w="3213"/>
          </w:tcPr>
          <w:p>
            <w:pPr>
              <w:spacing w:after="20" w:before="20" w:line="240" w:lineRule="auto"/>
            </w:pPr>
            <w:r/>
            <w:r>
              <w:rPr>
                <w:rFonts w:ascii="Arial" w:hAnsi="Arial" w:cs="Arial"/>
                <w:b w:val="0"/>
                <w:i w:val="0"/>
                <w:sz w:val="17"/>
              </w:rPr>
              <w:t>Rig agent (Rust)</w:t>
            </w:r>
          </w:p>
        </w:tc>
        <w:tc>
          <w:tcPr>
            <w:tcW w:type="dxa" w:w="3213"/>
          </w:tcPr>
          <w:p>
            <w:pPr>
              <w:spacing w:after="20" w:before="20" w:line="240" w:lineRule="auto"/>
            </w:pPr>
            <w:r/>
            <w:r>
              <w:rPr>
                <w:rFonts w:ascii="Arial" w:hAnsi="Arial" w:cs="Arial"/>
                <w:b w:val="0"/>
                <w:i w:val="0"/>
                <w:sz w:val="17"/>
              </w:rPr>
              <w:t>Automated STRIDE rescan — analyses component dependencies and generates threat matrix</w:t>
            </w:r>
          </w:p>
        </w:tc>
        <w:tc>
          <w:tcPr>
            <w:tcW w:type="dxa" w:w="3213"/>
          </w:tcPr>
          <w:p>
            <w:pPr>
              <w:spacing w:after="20" w:before="20" w:line="240" w:lineRule="auto"/>
            </w:pPr>
            <w:r/>
            <w:r>
              <w:rPr>
                <w:rFonts w:ascii="Arial" w:hAnsi="Arial" w:cs="Arial"/>
                <w:b w:val="0"/>
                <w:i w:val="0"/>
                <w:sz w:val="17"/>
              </w:rPr>
              <w:t>$0</w:t>
            </w:r>
          </w:p>
        </w:tc>
      </w:tr>
      <w:tr>
        <w:tc>
          <w:tcPr>
            <w:tcW w:type="dxa" w:w="3213"/>
          </w:tcPr>
          <w:p>
            <w:pPr>
              <w:spacing w:after="20" w:before="20" w:line="240" w:lineRule="auto"/>
            </w:pPr>
            <w:r/>
            <w:r>
              <w:rPr>
                <w:rFonts w:ascii="Arial" w:hAnsi="Arial" w:cs="Arial"/>
                <w:b w:val="0"/>
                <w:i w:val="0"/>
                <w:sz w:val="17"/>
              </w:rPr>
              <w:t>MITRE ATT&amp;CK Navigator</w:t>
            </w:r>
          </w:p>
        </w:tc>
        <w:tc>
          <w:tcPr>
            <w:tcW w:type="dxa" w:w="3213"/>
          </w:tcPr>
          <w:p>
            <w:pPr>
              <w:spacing w:after="20" w:before="20" w:line="240" w:lineRule="auto"/>
            </w:pPr>
            <w:r/>
            <w:r>
              <w:rPr>
                <w:rFonts w:ascii="Arial" w:hAnsi="Arial" w:cs="Arial"/>
                <w:b w:val="0"/>
                <w:i w:val="0"/>
                <w:sz w:val="17"/>
              </w:rPr>
              <w:t>Visual mapping of TTPs to controls</w:t>
            </w:r>
          </w:p>
        </w:tc>
        <w:tc>
          <w:tcPr>
            <w:tcW w:type="dxa" w:w="3213"/>
          </w:tcPr>
          <w:p>
            <w:pPr>
              <w:spacing w:after="20" w:before="20" w:line="240" w:lineRule="auto"/>
            </w:pPr>
            <w:r/>
            <w:r>
              <w:rPr>
                <w:rFonts w:ascii="Arial" w:hAnsi="Arial" w:cs="Arial"/>
                <w:b w:val="0"/>
                <w:i w:val="0"/>
                <w:sz w:val="17"/>
              </w:rPr>
              <w:t>$0</w:t>
            </w:r>
          </w:p>
        </w:tc>
      </w:tr>
      <w:tr>
        <w:tc>
          <w:tcPr>
            <w:tcW w:type="dxa" w:w="3213"/>
          </w:tcPr>
          <w:p>
            <w:pPr>
              <w:spacing w:after="20" w:before="20" w:line="240" w:lineRule="auto"/>
            </w:pPr>
            <w:r/>
            <w:r>
              <w:rPr>
                <w:rFonts w:ascii="Arial" w:hAnsi="Arial" w:cs="Arial"/>
                <w:b w:val="0"/>
                <w:i w:val="0"/>
                <w:sz w:val="17"/>
              </w:rPr>
              <w:t>Threat Dragon</w:t>
            </w:r>
          </w:p>
        </w:tc>
        <w:tc>
          <w:tcPr>
            <w:tcW w:type="dxa" w:w="3213"/>
          </w:tcPr>
          <w:p>
            <w:pPr>
              <w:spacing w:after="20" w:before="20" w:line="240" w:lineRule="auto"/>
            </w:pPr>
            <w:r/>
            <w:r>
              <w:rPr>
                <w:rFonts w:ascii="Arial" w:hAnsi="Arial" w:cs="Arial"/>
                <w:b w:val="0"/>
                <w:i w:val="0"/>
                <w:sz w:val="17"/>
              </w:rPr>
              <w:t>Manual threat modelling (optional)</w:t>
            </w:r>
          </w:p>
        </w:tc>
        <w:tc>
          <w:tcPr>
            <w:tcW w:type="dxa" w:w="3213"/>
          </w:tcPr>
          <w:p>
            <w:pPr>
              <w:spacing w:after="20" w:before="20" w:line="240" w:lineRule="auto"/>
            </w:pPr>
            <w:r/>
            <w:r>
              <w:rPr>
                <w:rFonts w:ascii="Arial" w:hAnsi="Arial" w:cs="Arial"/>
                <w:b w:val="0"/>
                <w:i w:val="0"/>
                <w:sz w:val="17"/>
              </w:rPr>
              <w:t>$0</w:t>
            </w:r>
          </w:p>
        </w:tc>
      </w:tr>
      <w:tr>
        <w:tc>
          <w:tcPr>
            <w:tcW w:type="dxa" w:w="3213"/>
          </w:tcPr>
          <w:p>
            <w:pPr>
              <w:spacing w:after="20" w:before="20" w:line="240" w:lineRule="auto"/>
            </w:pPr>
            <w:r/>
            <w:r>
              <w:rPr>
                <w:rFonts w:ascii="Arial" w:hAnsi="Arial" w:cs="Arial"/>
                <w:b w:val="0"/>
                <w:i w:val="0"/>
                <w:sz w:val="17"/>
              </w:rPr>
              <w:t>Prometheus Alertmanager</w:t>
            </w:r>
          </w:p>
        </w:tc>
        <w:tc>
          <w:tcPr>
            <w:tcW w:type="dxa" w:w="3213"/>
          </w:tcPr>
          <w:p>
            <w:pPr>
              <w:spacing w:after="20" w:before="20" w:line="240" w:lineRule="auto"/>
            </w:pPr>
            <w:r/>
            <w:r>
              <w:rPr>
                <w:rFonts w:ascii="Arial" w:hAnsi="Arial" w:cs="Arial"/>
                <w:b w:val="0"/>
                <w:i w:val="0"/>
                <w:sz w:val="17"/>
              </w:rPr>
              <w:t>Real-time security alerting</w:t>
            </w:r>
          </w:p>
        </w:tc>
        <w:tc>
          <w:tcPr>
            <w:tcW w:type="dxa" w:w="3213"/>
          </w:tcPr>
          <w:p>
            <w:pPr>
              <w:spacing w:after="20" w:before="20" w:line="240" w:lineRule="auto"/>
            </w:pPr>
            <w:r/>
            <w:r>
              <w:rPr>
                <w:rFonts w:ascii="Arial" w:hAnsi="Arial" w:cs="Arial"/>
                <w:b w:val="0"/>
                <w:i w:val="0"/>
                <w:sz w:val="17"/>
              </w:rPr>
              <w:t>$0</w:t>
            </w:r>
          </w:p>
        </w:tc>
      </w:tr>
      <w:tr>
        <w:tc>
          <w:tcPr>
            <w:tcW w:type="dxa" w:w="3213"/>
          </w:tcPr>
          <w:p>
            <w:pPr>
              <w:spacing w:after="20" w:before="20" w:line="240" w:lineRule="auto"/>
            </w:pPr>
            <w:r/>
            <w:r>
              <w:rPr>
                <w:rFonts w:ascii="Arial" w:hAnsi="Arial" w:cs="Arial"/>
                <w:b w:val="0"/>
                <w:i w:val="0"/>
                <w:sz w:val="17"/>
              </w:rPr>
              <w:t>Cilium (eBPF)</w:t>
            </w:r>
          </w:p>
        </w:tc>
        <w:tc>
          <w:tcPr>
            <w:tcW w:type="dxa" w:w="3213"/>
          </w:tcPr>
          <w:p>
            <w:pPr>
              <w:spacing w:after="20" w:before="20" w:line="240" w:lineRule="auto"/>
            </w:pPr>
            <w:r/>
            <w:r>
              <w:rPr>
                <w:rFonts w:ascii="Arial" w:hAnsi="Arial" w:cs="Arial"/>
                <w:b w:val="0"/>
                <w:i w:val="0"/>
                <w:sz w:val="17"/>
              </w:rPr>
              <w:t>Network policy enforcement and anomaly detection</w:t>
            </w:r>
          </w:p>
        </w:tc>
        <w:tc>
          <w:tcPr>
            <w:tcW w:type="dxa" w:w="3213"/>
          </w:tcPr>
          <w:p>
            <w:pPr>
              <w:spacing w:after="20" w:before="20" w:line="240" w:lineRule="auto"/>
            </w:pPr>
            <w:r/>
            <w:r>
              <w:rPr>
                <w:rFonts w:ascii="Arial" w:hAnsi="Arial" w:cs="Arial"/>
                <w:b w:val="0"/>
                <w:i w:val="0"/>
                <w:sz w:val="17"/>
              </w:rPr>
              <w:t>$0</w:t>
            </w:r>
          </w:p>
        </w:tc>
      </w:tr>
      <w:tr>
        <w:tc>
          <w:tcPr>
            <w:tcW w:type="dxa" w:w="3213"/>
          </w:tcPr>
          <w:p>
            <w:pPr>
              <w:spacing w:after="20" w:before="20" w:line="240" w:lineRule="auto"/>
            </w:pPr>
            <w:r/>
            <w:r>
              <w:rPr>
                <w:rFonts w:ascii="Arial" w:hAnsi="Arial" w:cs="Arial"/>
                <w:b w:val="0"/>
                <w:i w:val="0"/>
                <w:sz w:val="17"/>
              </w:rPr>
              <w:t>Falco</w:t>
            </w:r>
          </w:p>
        </w:tc>
        <w:tc>
          <w:tcPr>
            <w:tcW w:type="dxa" w:w="3213"/>
          </w:tcPr>
          <w:p>
            <w:pPr>
              <w:spacing w:after="20" w:before="20" w:line="240" w:lineRule="auto"/>
            </w:pPr>
            <w:r/>
            <w:r>
              <w:rPr>
                <w:rFonts w:ascii="Arial" w:hAnsi="Arial" w:cs="Arial"/>
                <w:b w:val="0"/>
                <w:i w:val="0"/>
                <w:sz w:val="17"/>
              </w:rPr>
              <w:t>Runtime security monitoring (container/kernel)</w:t>
            </w:r>
          </w:p>
        </w:tc>
        <w:tc>
          <w:tcPr>
            <w:tcW w:type="dxa" w:w="3213"/>
          </w:tcPr>
          <w:p>
            <w:pPr>
              <w:spacing w:after="20" w:before="20" w:line="240" w:lineRule="auto"/>
            </w:pPr>
            <w:r/>
            <w:r>
              <w:rPr>
                <w:rFonts w:ascii="Arial" w:hAnsi="Arial" w:cs="Arial"/>
                <w:b w:val="0"/>
                <w:i w:val="0"/>
                <w:sz w:val="17"/>
              </w:rPr>
              <w:t>$0</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21.1.4 Feature Security Considerations</w:t>
      </w:r>
    </w:p>
    <w:p>
      <w:pPr>
        <w:spacing w:after="80" w:line="293" w:lineRule="auto"/>
        <w:jc w:val="left"/>
      </w:pPr>
      <w:r>
        <w:rPr>
          <w:rFonts w:ascii="Times New Roman" w:hAnsi="Times New Roman" w:cs="Times New Roman"/>
          <w:b w:val="0"/>
          <w:i w:val="0"/>
          <w:sz w:val="22"/>
        </w:rPr>
        <w:t>Each platform feature carries a defined set of security considerations that the threat model must address: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Security Considerations</w:t>
            </w:r>
          </w:p>
        </w:tc>
      </w:tr>
      <w:tr>
        <w:tc>
          <w:tcPr>
            <w:tcW w:type="dxa" w:w="4819"/>
          </w:tcPr>
          <w:p>
            <w:pPr>
              <w:spacing w:after="20" w:before="20" w:line="240" w:lineRule="auto"/>
            </w:pPr>
            <w:r/>
            <w:r>
              <w:rPr>
                <w:rFonts w:ascii="Arial" w:hAnsi="Arial" w:cs="Arial"/>
                <w:b w:val="0"/>
                <w:i w:val="0"/>
                <w:sz w:val="17"/>
              </w:rPr>
              <w:t>Dual-mode toggle</w:t>
            </w:r>
          </w:p>
        </w:tc>
        <w:tc>
          <w:tcPr>
            <w:tcW w:type="dxa" w:w="4819"/>
          </w:tcPr>
          <w:p>
            <w:pPr>
              <w:spacing w:after="20" w:before="20" w:line="240" w:lineRule="auto"/>
            </w:pPr>
            <w:r/>
            <w:r>
              <w:rPr>
                <w:rFonts w:ascii="Arial" w:hAnsi="Arial" w:cs="Arial"/>
                <w:b w:val="0"/>
                <w:i w:val="0"/>
                <w:sz w:val="17"/>
              </w:rPr>
              <w:t>Context switching, privilege escalation, cross-mode data leakage</w:t>
            </w:r>
          </w:p>
        </w:tc>
      </w:tr>
      <w:tr>
        <w:tc>
          <w:tcPr>
            <w:tcW w:type="dxa" w:w="4819"/>
          </w:tcPr>
          <w:p>
            <w:pPr>
              <w:spacing w:after="20" w:before="20" w:line="240" w:lineRule="auto"/>
            </w:pPr>
            <w:r/>
            <w:r>
              <w:rPr>
                <w:rFonts w:ascii="Arial" w:hAnsi="Arial" w:cs="Arial"/>
                <w:b w:val="0"/>
                <w:i w:val="0"/>
                <w:sz w:val="17"/>
              </w:rPr>
              <w:t>Multi-shipment</w:t>
            </w:r>
          </w:p>
        </w:tc>
        <w:tc>
          <w:tcPr>
            <w:tcW w:type="dxa" w:w="4819"/>
          </w:tcPr>
          <w:p>
            <w:pPr>
              <w:spacing w:after="20" w:before="20" w:line="240" w:lineRule="auto"/>
            </w:pPr>
            <w:r/>
            <w:r>
              <w:rPr>
                <w:rFonts w:ascii="Arial" w:hAnsi="Arial" w:cs="Arial"/>
                <w:b w:val="0"/>
                <w:i w:val="0"/>
                <w:sz w:val="17"/>
              </w:rPr>
              <w:t>Per-shipment FeeLock integrity, unauthorised shipment activation</w:t>
            </w:r>
          </w:p>
        </w:tc>
      </w:tr>
      <w:tr>
        <w:tc>
          <w:tcPr>
            <w:tcW w:type="dxa" w:w="4819"/>
          </w:tcPr>
          <w:p>
            <w:pPr>
              <w:spacing w:after="20" w:before="20" w:line="240" w:lineRule="auto"/>
            </w:pPr>
            <w:r/>
            <w:r>
              <w:rPr>
                <w:rFonts w:ascii="Arial" w:hAnsi="Arial" w:cs="Arial"/>
                <w:b w:val="0"/>
                <w:i w:val="0"/>
                <w:sz w:val="17"/>
              </w:rPr>
              <w:t>Deferred payment</w:t>
            </w:r>
          </w:p>
        </w:tc>
        <w:tc>
          <w:tcPr>
            <w:tcW w:type="dxa" w:w="4819"/>
          </w:tcPr>
          <w:p>
            <w:pPr>
              <w:spacing w:after="20" w:before="20" w:line="240" w:lineRule="auto"/>
            </w:pPr>
            <w:r/>
            <w:r>
              <w:rPr>
                <w:rFonts w:ascii="Arial" w:hAnsi="Arial" w:cs="Arial"/>
                <w:b w:val="0"/>
                <w:i w:val="0"/>
                <w:sz w:val="17"/>
              </w:rPr>
              <w:t>Guarantee expiry attacks, guarantee forgery, double-charging</w:t>
            </w:r>
          </w:p>
        </w:tc>
      </w:tr>
      <w:tr>
        <w:tc>
          <w:tcPr>
            <w:tcW w:type="dxa" w:w="4819"/>
          </w:tcPr>
          <w:p>
            <w:pPr>
              <w:spacing w:after="20" w:before="20" w:line="240" w:lineRule="auto"/>
            </w:pPr>
            <w:r/>
            <w:r>
              <w:rPr>
                <w:rFonts w:ascii="Arial" w:hAnsi="Arial" w:cs="Arial"/>
                <w:b w:val="0"/>
                <w:i w:val="0"/>
                <w:sz w:val="17"/>
              </w:rPr>
              <w:t>Non-uniform layer stacking</w:t>
            </w:r>
          </w:p>
        </w:tc>
        <w:tc>
          <w:tcPr>
            <w:tcW w:type="dxa" w:w="4819"/>
          </w:tcPr>
          <w:p>
            <w:pPr>
              <w:spacing w:after="20" w:before="20" w:line="240" w:lineRule="auto"/>
            </w:pPr>
            <w:r/>
            <w:r>
              <w:rPr>
                <w:rFonts w:ascii="Arial" w:hAnsi="Arial" w:cs="Arial"/>
                <w:b w:val="0"/>
                <w:i w:val="0"/>
                <w:sz w:val="17"/>
              </w:rPr>
              <w:t>Weight validation bypass, container overload</w:t>
            </w:r>
          </w:p>
        </w:tc>
      </w:tr>
      <w:tr>
        <w:tc>
          <w:tcPr>
            <w:tcW w:type="dxa" w:w="4819"/>
          </w:tcPr>
          <w:p>
            <w:pPr>
              <w:spacing w:after="20" w:before="20" w:line="240" w:lineRule="auto"/>
            </w:pPr>
            <w:r/>
            <w:r>
              <w:rPr>
                <w:rFonts w:ascii="Arial" w:hAnsi="Arial" w:cs="Arial"/>
                <w:b w:val="0"/>
                <w:i w:val="0"/>
                <w:sz w:val="17"/>
              </w:rPr>
              <w:t>Logistics Mode B/C</w:t>
            </w:r>
          </w:p>
        </w:tc>
        <w:tc>
          <w:tcPr>
            <w:tcW w:type="dxa" w:w="4819"/>
          </w:tcPr>
          <w:p>
            <w:pPr>
              <w:spacing w:after="20" w:before="20" w:line="240" w:lineRule="auto"/>
            </w:pPr>
            <w:r/>
            <w:r>
              <w:rPr>
                <w:rFonts w:ascii="Arial" w:hAnsi="Arial" w:cs="Arial"/>
                <w:b w:val="0"/>
                <w:i w:val="0"/>
                <w:sz w:val="17"/>
              </w:rPr>
              <w:t>RFQ manipulation, unauthorised quote acceptance</w:t>
            </w:r>
          </w:p>
        </w:tc>
      </w:tr>
      <w:tr>
        <w:tc>
          <w:tcPr>
            <w:tcW w:type="dxa" w:w="4819"/>
          </w:tcPr>
          <w:p>
            <w:pPr>
              <w:spacing w:after="20" w:before="20" w:line="240" w:lineRule="auto"/>
            </w:pPr>
            <w:r/>
            <w:r>
              <w:rPr>
                <w:rFonts w:ascii="Arial" w:hAnsi="Arial" w:cs="Arial"/>
                <w:b w:val="0"/>
                <w:i w:val="0"/>
                <w:sz w:val="17"/>
              </w:rPr>
              <w:t>Conditional QC</w:t>
            </w:r>
          </w:p>
        </w:tc>
        <w:tc>
          <w:tcPr>
            <w:tcW w:type="dxa" w:w="4819"/>
          </w:tcPr>
          <w:p>
            <w:pPr>
              <w:spacing w:after="20" w:before="20" w:line="240" w:lineRule="auto"/>
            </w:pPr>
            <w:r/>
            <w:r>
              <w:rPr>
                <w:rFonts w:ascii="Arial" w:hAnsi="Arial" w:cs="Arial"/>
                <w:b w:val="0"/>
                <w:i w:val="0"/>
                <w:sz w:val="17"/>
              </w:rPr>
              <w:t>Hold bypass, action plan forgery, false verification</w:t>
            </w:r>
          </w:p>
        </w:tc>
      </w:tr>
      <w:tr>
        <w:tc>
          <w:tcPr>
            <w:tcW w:type="dxa" w:w="4819"/>
          </w:tcPr>
          <w:p>
            <w:pPr>
              <w:spacing w:after="20" w:before="20" w:line="240" w:lineRule="auto"/>
            </w:pPr>
            <w:r/>
            <w:r>
              <w:rPr>
                <w:rFonts w:ascii="Arial" w:hAnsi="Arial" w:cs="Arial"/>
                <w:b w:val="0"/>
                <w:i w:val="0"/>
                <w:sz w:val="17"/>
              </w:rPr>
              <w:t>Third-party expert</w:t>
            </w:r>
          </w:p>
        </w:tc>
        <w:tc>
          <w:tcPr>
            <w:tcW w:type="dxa" w:w="4819"/>
          </w:tcPr>
          <w:p>
            <w:pPr>
              <w:spacing w:after="20" w:before="20" w:line="240" w:lineRule="auto"/>
            </w:pPr>
            <w:r/>
            <w:r>
              <w:rPr>
                <w:rFonts w:ascii="Arial" w:hAnsi="Arial" w:cs="Arial"/>
                <w:b w:val="0"/>
                <w:i w:val="0"/>
                <w:sz w:val="17"/>
              </w:rPr>
              <w:t>Expert identity verification, opinion manipulation</w:t>
            </w:r>
          </w:p>
        </w:tc>
      </w:tr>
      <w:tr>
        <w:tc>
          <w:tcPr>
            <w:tcW w:type="dxa" w:w="4819"/>
          </w:tcPr>
          <w:p>
            <w:pPr>
              <w:spacing w:after="20" w:before="20" w:line="240" w:lineRule="auto"/>
            </w:pPr>
            <w:r/>
            <w:r>
              <w:rPr>
                <w:rFonts w:ascii="Arial" w:hAnsi="Arial" w:cs="Arial"/>
                <w:b w:val="0"/>
                <w:i w:val="0"/>
                <w:sz w:val="17"/>
              </w:rPr>
              <w:t>ZK Proofs</w:t>
            </w:r>
          </w:p>
        </w:tc>
        <w:tc>
          <w:tcPr>
            <w:tcW w:type="dxa" w:w="4819"/>
          </w:tcPr>
          <w:p>
            <w:pPr>
              <w:spacing w:after="20" w:before="20" w:line="240" w:lineRule="auto"/>
            </w:pPr>
            <w:r/>
            <w:r>
              <w:rPr>
                <w:rFonts w:ascii="Arial" w:hAnsi="Arial" w:cs="Arial"/>
                <w:b w:val="0"/>
                <w:i w:val="0"/>
                <w:sz w:val="17"/>
              </w:rPr>
              <w:t>Proof forgery, replay attacks, privacy leakage</w:t>
            </w:r>
          </w:p>
        </w:tc>
      </w:tr>
      <w:tr>
        <w:tc>
          <w:tcPr>
            <w:tcW w:type="dxa" w:w="4819"/>
          </w:tcPr>
          <w:p>
            <w:pPr>
              <w:spacing w:after="20" w:before="20" w:line="240" w:lineRule="auto"/>
            </w:pPr>
            <w:r/>
            <w:r>
              <w:rPr>
                <w:rFonts w:ascii="Arial" w:hAnsi="Arial" w:cs="Arial"/>
                <w:b w:val="0"/>
                <w:i w:val="0"/>
                <w:sz w:val="17"/>
              </w:rPr>
              <w:t>Trust Passport</w:t>
            </w:r>
          </w:p>
        </w:tc>
        <w:tc>
          <w:tcPr>
            <w:tcW w:type="dxa" w:w="4819"/>
          </w:tcPr>
          <w:p>
            <w:pPr>
              <w:spacing w:after="20" w:before="20" w:line="240" w:lineRule="auto"/>
            </w:pPr>
            <w:r/>
            <w:r>
              <w:rPr>
                <w:rFonts w:ascii="Arial" w:hAnsi="Arial" w:cs="Arial"/>
                <w:b w:val="0"/>
                <w:i w:val="0"/>
                <w:sz w:val="17"/>
              </w:rPr>
              <w:t>Credential forgery, unauthorised sharing, revocation bypass</w:t>
            </w:r>
          </w:p>
        </w:tc>
      </w:tr>
      <w:tr>
        <w:tc>
          <w:tcPr>
            <w:tcW w:type="dxa" w:w="4819"/>
          </w:tcPr>
          <w:p>
            <w:pPr>
              <w:spacing w:after="20" w:before="20" w:line="240" w:lineRule="auto"/>
            </w:pPr>
            <w:r/>
            <w:r>
              <w:rPr>
                <w:rFonts w:ascii="Arial" w:hAnsi="Arial" w:cs="Arial"/>
                <w:b w:val="0"/>
                <w:i w:val="0"/>
                <w:sz w:val="17"/>
              </w:rPr>
              <w:t>Trade Memory Layer</w:t>
            </w:r>
          </w:p>
        </w:tc>
        <w:tc>
          <w:tcPr>
            <w:tcW w:type="dxa" w:w="4819"/>
          </w:tcPr>
          <w:p>
            <w:pPr>
              <w:spacing w:after="20" w:before="20" w:line="240" w:lineRule="auto"/>
            </w:pPr>
            <w:r/>
            <w:r>
              <w:rPr>
                <w:rFonts w:ascii="Arial" w:hAnsi="Arial" w:cs="Arial"/>
                <w:b w:val="0"/>
                <w:i w:val="0"/>
                <w:sz w:val="17"/>
              </w:rPr>
              <w:t>Data anonymisation bypass, re-identification attacks</w:t>
            </w:r>
          </w:p>
        </w:tc>
      </w:tr>
      <w:tr>
        <w:tc>
          <w:tcPr>
            <w:tcW w:type="dxa" w:w="4819"/>
          </w:tcPr>
          <w:p>
            <w:pPr>
              <w:spacing w:after="20" w:before="20" w:line="240" w:lineRule="auto"/>
            </w:pPr>
            <w:r/>
            <w:r>
              <w:rPr>
                <w:rFonts w:ascii="Arial" w:hAnsi="Arial" w:cs="Arial"/>
                <w:b w:val="0"/>
                <w:i w:val="0"/>
                <w:sz w:val="17"/>
              </w:rPr>
              <w:t>Predictive Insights</w:t>
            </w:r>
          </w:p>
        </w:tc>
        <w:tc>
          <w:tcPr>
            <w:tcW w:type="dxa" w:w="4819"/>
          </w:tcPr>
          <w:p>
            <w:pPr>
              <w:spacing w:after="20" w:before="20" w:line="240" w:lineRule="auto"/>
            </w:pPr>
            <w:r/>
            <w:r>
              <w:rPr>
                <w:rFonts w:ascii="Arial" w:hAnsi="Arial" w:cs="Arial"/>
                <w:b w:val="0"/>
                <w:i w:val="0"/>
                <w:sz w:val="17"/>
              </w:rPr>
              <w:t>Model poisoning, adversarial input manipulation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21.1.5 Trust Boundaries</w:t>
      </w:r>
    </w:p>
    <w:p>
      <w:pPr>
        <w:spacing w:after="80" w:line="293" w:lineRule="auto"/>
        <w:jc w:val="left"/>
      </w:pPr>
      <w:r>
        <w:rPr>
          <w:rFonts w:ascii="Times New Roman" w:hAnsi="Times New Roman" w:cs="Times New Roman"/>
          <w:b w:val="0"/>
          <w:i w:val="0"/>
          <w:sz w:val="22"/>
        </w:rPr>
        <w:t>Trust boundaries are drawn between tenant nodes, between microservices inside the cluster, between the platform and government APIs (Nafeza, CargoX, ETA, CBE reporting), and between the platform and participating banks. Every crossing of a trust boundary requires authentication, authorisation, and encryption; no implicit trust exists anywhere in the topology. Each boundary is re-reviewed quarterly as part of the threat modelling cycle.</w:t>
      </w:r>
    </w:p>
    <w:p>
      <w:pPr>
        <w:keepNext/>
        <w:spacing w:before="180" w:after="80"/>
        <w:outlineLvl w:val="2"/>
      </w:pPr>
      <w:r>
        <w:rPr>
          <w:rFonts w:ascii="Arial" w:hAnsi="Arial" w:cs="Arial"/>
          <w:b/>
          <w:i w:val="0"/>
          <w:color w:val="333333"/>
          <w:sz w:val="23"/>
        </w:rPr>
        <w:t>21.1.6 Attack Surface Inventory &amp; Reduction Rules</w:t>
      </w:r>
    </w:p>
    <w:p>
      <w:pPr>
        <w:spacing w:after="80" w:line="293" w:lineRule="auto"/>
        <w:jc w:val="left"/>
      </w:pPr>
      <w:r>
        <w:rPr>
          <w:rFonts w:ascii="Times New Roman" w:hAnsi="Times New Roman" w:cs="Times New Roman"/>
          <w:b w:val="0"/>
          <w:i w:val="0"/>
          <w:sz w:val="22"/>
        </w:rPr>
        <w:t>Attack surface reduction is enforced by rule:</w:t>
      </w:r>
    </w:p>
    <w:p>
      <w:pPr>
        <w:spacing w:after="80" w:line="293" w:lineRule="auto"/>
        <w:ind w:left="283"/>
        <w:jc w:val="left"/>
      </w:pPr>
      <w:r>
        <w:rPr>
          <w:rFonts w:ascii="Times New Roman" w:hAnsi="Times New Roman" w:cs="Times New Roman"/>
          <w:b w:val="0"/>
          <w:i w:val="0"/>
          <w:sz w:val="22"/>
        </w:rPr>
        <w:t>- No inbound ports are open except 443 (API gateway) and 22 (SSH, bastion only).</w:t>
      </w:r>
    </w:p>
    <w:p>
      <w:pPr>
        <w:spacing w:after="80" w:line="293" w:lineRule="auto"/>
        <w:ind w:left="283"/>
        <w:jc w:val="left"/>
      </w:pPr>
      <w:r>
        <w:rPr>
          <w:rFonts w:ascii="Times New Roman" w:hAnsi="Times New Roman" w:cs="Times New Roman"/>
          <w:b w:val="0"/>
          <w:i w:val="0"/>
          <w:sz w:val="22"/>
        </w:rPr>
        <w:t>- All internal traffic uses WireGuard or Cilium encryption.</w:t>
      </w:r>
    </w:p>
    <w:p>
      <w:pPr>
        <w:spacing w:after="80" w:line="293" w:lineRule="auto"/>
        <w:ind w:left="283"/>
        <w:jc w:val="left"/>
      </w:pPr>
      <w:r>
        <w:rPr>
          <w:rFonts w:ascii="Times New Roman" w:hAnsi="Times New Roman" w:cs="Times New Roman"/>
          <w:b w:val="0"/>
          <w:i w:val="0"/>
          <w:sz w:val="22"/>
        </w:rPr>
        <w:t>- No direct database access is possible from the internet; all queries go through the Governor or read-only</w:t>
      </w:r>
    </w:p>
    <w:p>
      <w:pPr>
        <w:spacing w:after="80" w:line="293" w:lineRule="auto"/>
        <w:jc w:val="left"/>
      </w:pPr>
      <w:r>
        <w:rPr>
          <w:rFonts w:ascii="Times New Roman" w:hAnsi="Times New Roman" w:cs="Times New Roman"/>
          <w:b w:val="0"/>
          <w:i w:val="0"/>
          <w:sz w:val="22"/>
        </w:rPr>
        <w:t>replicas for analytics.</w:t>
      </w:r>
    </w:p>
    <w:p>
      <w:pPr>
        <w:spacing w:after="80" w:line="293" w:lineRule="auto"/>
        <w:jc w:val="left"/>
      </w:pPr>
      <w:r>
        <w:rPr>
          <w:rFonts w:ascii="Times New Roman" w:hAnsi="Times New Roman" w:cs="Times New Roman"/>
          <w:b w:val="0"/>
          <w:i w:val="0"/>
          <w:sz w:val="22"/>
        </w:rPr>
        <w:t>The complete attack surface inventory, with exposure and protection per surface: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w:t>
            </w:r>
          </w:p>
        </w:tc>
        <w:tc>
          <w:tcPr>
            <w:tcW w:type="dxa" w:w="2409"/>
            <w:shd w:val="clear" w:fill="D9E2F3"/>
          </w:tcPr>
          <w:p>
            <w:pPr>
              <w:spacing w:after="20" w:before="20" w:line="240" w:lineRule="auto"/>
            </w:pPr>
            <w:r/>
            <w:r>
              <w:rPr>
                <w:rFonts w:ascii="Arial" w:hAnsi="Arial" w:cs="Arial"/>
                <w:b/>
                <w:i w:val="0"/>
                <w:sz w:val="18"/>
              </w:rPr>
              <w:t>Surface</w:t>
            </w:r>
          </w:p>
        </w:tc>
        <w:tc>
          <w:tcPr>
            <w:tcW w:type="dxa" w:w="2409"/>
            <w:shd w:val="clear" w:fill="D9E2F3"/>
          </w:tcPr>
          <w:p>
            <w:pPr>
              <w:spacing w:after="20" w:before="20" w:line="240" w:lineRule="auto"/>
            </w:pPr>
            <w:r/>
            <w:r>
              <w:rPr>
                <w:rFonts w:ascii="Arial" w:hAnsi="Arial" w:cs="Arial"/>
                <w:b/>
                <w:i w:val="0"/>
                <w:sz w:val="18"/>
              </w:rPr>
              <w:t>Exposure</w:t>
            </w:r>
          </w:p>
        </w:tc>
        <w:tc>
          <w:tcPr>
            <w:tcW w:type="dxa" w:w="2409"/>
            <w:shd w:val="clear" w:fill="D9E2F3"/>
          </w:tcPr>
          <w:p>
            <w:pPr>
              <w:spacing w:after="20" w:before="20" w:line="240" w:lineRule="auto"/>
            </w:pPr>
            <w:r/>
            <w:r>
              <w:rPr>
                <w:rFonts w:ascii="Arial" w:hAnsi="Arial" w:cs="Arial"/>
                <w:b/>
                <w:i w:val="0"/>
                <w:sz w:val="18"/>
              </w:rPr>
              <w:t>Protection</w:t>
            </w:r>
          </w:p>
        </w:tc>
      </w:tr>
      <w:tr>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Public API (/v1/*)</w:t>
            </w:r>
          </w:p>
        </w:tc>
        <w:tc>
          <w:tcPr>
            <w:tcW w:type="dxa" w:w="2409"/>
          </w:tcPr>
          <w:p>
            <w:pPr>
              <w:spacing w:after="20" w:before="20" w:line="240" w:lineRule="auto"/>
            </w:pPr>
            <w:r/>
            <w:r>
              <w:rPr>
                <w:rFonts w:ascii="Arial" w:hAnsi="Arial" w:cs="Arial"/>
                <w:b w:val="0"/>
                <w:i w:val="0"/>
                <w:sz w:val="17"/>
              </w:rPr>
              <w:t>Internet</w:t>
            </w:r>
          </w:p>
        </w:tc>
        <w:tc>
          <w:tcPr>
            <w:tcW w:type="dxa" w:w="2409"/>
          </w:tcPr>
          <w:p>
            <w:pPr>
              <w:spacing w:after="20" w:before="20" w:line="240" w:lineRule="auto"/>
            </w:pPr>
            <w:r/>
            <w:r>
              <w:rPr>
                <w:rFonts w:ascii="Arial" w:hAnsi="Arial" w:cs="Arial"/>
                <w:b w:val="0"/>
                <w:i w:val="0"/>
                <w:sz w:val="17"/>
              </w:rPr>
              <w:t>Nginx rate-limiting, WasmEdge JWT validation, OPA + Governor gating, input validation (Rust type-safety), WAF (OWASP Coraza)</w:t>
            </w:r>
          </w:p>
        </w:tc>
      </w:tr>
      <w:tr>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Governor Proxy (single ingress)</w:t>
            </w:r>
          </w:p>
        </w:tc>
        <w:tc>
          <w:tcPr>
            <w:tcW w:type="dxa" w:w="2409"/>
          </w:tcPr>
          <w:p>
            <w:pPr>
              <w:spacing w:after="20" w:before="20" w:line="240" w:lineRule="auto"/>
            </w:pPr>
            <w:r/>
            <w:r>
              <w:rPr>
                <w:rFonts w:ascii="Arial" w:hAnsi="Arial" w:cs="Arial"/>
                <w:b w:val="0"/>
                <w:i w:val="0"/>
                <w:sz w:val="17"/>
              </w:rPr>
              <w:t>Internal cluster</w:t>
            </w:r>
          </w:p>
        </w:tc>
        <w:tc>
          <w:tcPr>
            <w:tcW w:type="dxa" w:w="2409"/>
          </w:tcPr>
          <w:p>
            <w:pPr>
              <w:spacing w:after="20" w:before="20" w:line="240" w:lineRule="auto"/>
            </w:pPr>
            <w:r/>
            <w:r>
              <w:rPr>
                <w:rFonts w:ascii="Arial" w:hAnsi="Arial" w:cs="Arial"/>
                <w:b w:val="0"/>
                <w:i w:val="0"/>
                <w:sz w:val="17"/>
              </w:rPr>
              <w:t>Active-active, circuit-breaker, deep request inspection, TLS 1.3, mutual TLS for inter-service calls</w:t>
            </w:r>
          </w:p>
        </w:tc>
      </w:tr>
      <w:tr>
        <w:tc>
          <w:tcPr>
            <w:tcW w:type="dxa" w:w="2409"/>
          </w:tcPr>
          <w:p>
            <w:pPr>
              <w:spacing w:after="20" w:before="20" w:line="240" w:lineRule="auto"/>
            </w:pPr>
            <w:r/>
            <w:r>
              <w:rPr>
                <w:rFonts w:ascii="Arial" w:hAnsi="Arial" w:cs="Arial"/>
                <w:b w:val="0"/>
                <w:i w:val="0"/>
                <w:sz w:val="17"/>
              </w:rPr>
              <w:t>3</w:t>
            </w:r>
          </w:p>
        </w:tc>
        <w:tc>
          <w:tcPr>
            <w:tcW w:type="dxa" w:w="2409"/>
          </w:tcPr>
          <w:p>
            <w:pPr>
              <w:spacing w:after="20" w:before="20" w:line="240" w:lineRule="auto"/>
            </w:pPr>
            <w:r/>
            <w:r>
              <w:rPr>
                <w:rFonts w:ascii="Arial" w:hAnsi="Arial" w:cs="Arial"/>
                <w:b w:val="0"/>
                <w:i w:val="0"/>
                <w:sz w:val="17"/>
              </w:rPr>
              <w:t>NATS JetStream</w:t>
            </w:r>
          </w:p>
        </w:tc>
        <w:tc>
          <w:tcPr>
            <w:tcW w:type="dxa" w:w="2409"/>
          </w:tcPr>
          <w:p>
            <w:pPr>
              <w:spacing w:after="20" w:before="20" w:line="240" w:lineRule="auto"/>
            </w:pPr>
            <w:r/>
            <w:r>
              <w:rPr>
                <w:rFonts w:ascii="Arial" w:hAnsi="Arial" w:cs="Arial"/>
                <w:b w:val="0"/>
                <w:i w:val="0"/>
                <w:sz w:val="17"/>
              </w:rPr>
              <w:t>Internal (not exposed)</w:t>
            </w:r>
          </w:p>
        </w:tc>
        <w:tc>
          <w:tcPr>
            <w:tcW w:type="dxa" w:w="2409"/>
          </w:tcPr>
          <w:p>
            <w:pPr>
              <w:spacing w:after="20" w:before="20" w:line="240" w:lineRule="auto"/>
            </w:pPr>
            <w:r/>
            <w:r>
              <w:rPr>
                <w:rFonts w:ascii="Arial" w:hAnsi="Arial" w:cs="Arial"/>
                <w:b w:val="0"/>
                <w:i w:val="0"/>
                <w:sz w:val="17"/>
              </w:rPr>
              <w:t>CiliumNetworkPolicy; only Governor and specific services can publish/subscribe; encrypted at rest</w:t>
            </w:r>
          </w:p>
        </w:tc>
      </w:tr>
      <w:tr>
        <w:tc>
          <w:tcPr>
            <w:tcW w:type="dxa" w:w="2409"/>
          </w:tcPr>
          <w:p>
            <w:pPr>
              <w:spacing w:after="20" w:before="20" w:line="240" w:lineRule="auto"/>
            </w:pPr>
            <w:r/>
            <w:r>
              <w:rPr>
                <w:rFonts w:ascii="Arial" w:hAnsi="Arial" w:cs="Arial"/>
                <w:b w:val="0"/>
                <w:i w:val="0"/>
                <w:sz w:val="17"/>
              </w:rPr>
              <w:t>4</w:t>
            </w:r>
          </w:p>
        </w:tc>
        <w:tc>
          <w:tcPr>
            <w:tcW w:type="dxa" w:w="2409"/>
          </w:tcPr>
          <w:p>
            <w:pPr>
              <w:spacing w:after="20" w:before="20" w:line="240" w:lineRule="auto"/>
            </w:pPr>
            <w:r/>
            <w:r>
              <w:rPr>
                <w:rFonts w:ascii="Arial" w:hAnsi="Arial" w:cs="Arial"/>
                <w:b w:val="0"/>
                <w:i w:val="0"/>
                <w:sz w:val="17"/>
              </w:rPr>
              <w:t>Temporal Server</w:t>
            </w:r>
          </w:p>
        </w:tc>
        <w:tc>
          <w:tcPr>
            <w:tcW w:type="dxa" w:w="2409"/>
          </w:tcPr>
          <w:p>
            <w:pPr>
              <w:spacing w:after="20" w:before="20" w:line="240" w:lineRule="auto"/>
            </w:pPr>
            <w:r/>
            <w:r>
              <w:rPr>
                <w:rFonts w:ascii="Arial" w:hAnsi="Arial" w:cs="Arial"/>
                <w:b w:val="0"/>
                <w:i w:val="0"/>
                <w:sz w:val="17"/>
              </w:rPr>
              <w:t>Internal</w:t>
            </w:r>
          </w:p>
        </w:tc>
        <w:tc>
          <w:tcPr>
            <w:tcW w:type="dxa" w:w="2409"/>
          </w:tcPr>
          <w:p>
            <w:pPr>
              <w:spacing w:after="20" w:before="20" w:line="240" w:lineRule="auto"/>
            </w:pPr>
            <w:r/>
            <w:r>
              <w:rPr>
                <w:rFonts w:ascii="Arial" w:hAnsi="Arial" w:cs="Arial"/>
                <w:b w:val="0"/>
                <w:i w:val="0"/>
                <w:sz w:val="17"/>
              </w:rPr>
              <w:t>Only accessible from K3s service mesh; workflows run with least-privilege service accounts</w:t>
            </w:r>
          </w:p>
        </w:tc>
      </w:tr>
      <w:tr>
        <w:tc>
          <w:tcPr>
            <w:tcW w:type="dxa" w:w="2409"/>
          </w:tcPr>
          <w:p>
            <w:pPr>
              <w:spacing w:after="20" w:before="20" w:line="240" w:lineRule="auto"/>
            </w:pPr>
            <w:r/>
            <w:r>
              <w:rPr>
                <w:rFonts w:ascii="Arial" w:hAnsi="Arial" w:cs="Arial"/>
                <w:b w:val="0"/>
                <w:i w:val="0"/>
                <w:sz w:val="17"/>
              </w:rPr>
              <w:t>5</w:t>
            </w:r>
          </w:p>
        </w:tc>
        <w:tc>
          <w:tcPr>
            <w:tcW w:type="dxa" w:w="2409"/>
          </w:tcPr>
          <w:p>
            <w:pPr>
              <w:spacing w:after="20" w:before="20" w:line="240" w:lineRule="auto"/>
            </w:pPr>
            <w:r/>
            <w:r>
              <w:rPr>
                <w:rFonts w:ascii="Arial" w:hAnsi="Arial" w:cs="Arial"/>
                <w:b w:val="0"/>
                <w:i w:val="0"/>
                <w:sz w:val="17"/>
              </w:rPr>
              <w:t>WasmEdge Runtime</w:t>
            </w:r>
          </w:p>
        </w:tc>
        <w:tc>
          <w:tcPr>
            <w:tcW w:type="dxa" w:w="2409"/>
          </w:tcPr>
          <w:p>
            <w:pPr>
              <w:spacing w:after="20" w:before="20" w:line="240" w:lineRule="auto"/>
            </w:pPr>
            <w:r/>
            <w:r>
              <w:rPr>
                <w:rFonts w:ascii="Arial" w:hAnsi="Arial" w:cs="Arial"/>
                <w:b w:val="0"/>
                <w:i w:val="0"/>
                <w:sz w:val="17"/>
              </w:rPr>
              <w:t>Internal (sandboxed)</w:t>
            </w:r>
          </w:p>
        </w:tc>
        <w:tc>
          <w:tcPr>
            <w:tcW w:type="dxa" w:w="2409"/>
          </w:tcPr>
          <w:p>
            <w:pPr>
              <w:spacing w:after="20" w:before="20" w:line="240" w:lineRule="auto"/>
            </w:pPr>
            <w:r/>
            <w:r>
              <w:rPr>
                <w:rFonts w:ascii="Arial" w:hAnsi="Arial" w:cs="Arial"/>
                <w:b w:val="0"/>
                <w:i w:val="0"/>
                <w:sz w:val="17"/>
              </w:rPr>
              <w:t>No network or filesystem access; pre-compiled modules with known hashes; runtime integrity checks</w:t>
            </w:r>
          </w:p>
        </w:tc>
      </w:tr>
      <w:tr>
        <w:tc>
          <w:tcPr>
            <w:tcW w:type="dxa" w:w="2409"/>
          </w:tcPr>
          <w:p>
            <w:pPr>
              <w:spacing w:after="20" w:before="20" w:line="240" w:lineRule="auto"/>
            </w:pPr>
            <w:r/>
            <w:r>
              <w:rPr>
                <w:rFonts w:ascii="Arial" w:hAnsi="Arial" w:cs="Arial"/>
                <w:b w:val="0"/>
                <w:i w:val="0"/>
                <w:sz w:val="17"/>
              </w:rPr>
              <w:t>6</w:t>
            </w:r>
          </w:p>
        </w:tc>
        <w:tc>
          <w:tcPr>
            <w:tcW w:type="dxa" w:w="2409"/>
          </w:tcPr>
          <w:p>
            <w:pPr>
              <w:spacing w:after="20" w:before="20" w:line="240" w:lineRule="auto"/>
            </w:pPr>
            <w:r/>
            <w:r>
              <w:rPr>
                <w:rFonts w:ascii="Arial" w:hAnsi="Arial" w:cs="Arial"/>
                <w:b w:val="0"/>
                <w:i w:val="0"/>
                <w:sz w:val="17"/>
              </w:rPr>
              <w:t>PostgreSQL</w:t>
            </w:r>
          </w:p>
        </w:tc>
        <w:tc>
          <w:tcPr>
            <w:tcW w:type="dxa" w:w="2409"/>
          </w:tcPr>
          <w:p>
            <w:pPr>
              <w:spacing w:after="20" w:before="20" w:line="240" w:lineRule="auto"/>
            </w:pPr>
            <w:r/>
            <w:r>
              <w:rPr>
                <w:rFonts w:ascii="Arial" w:hAnsi="Arial" w:cs="Arial"/>
                <w:b w:val="0"/>
                <w:i w:val="0"/>
                <w:sz w:val="17"/>
              </w:rPr>
              <w:t>Internal</w:t>
            </w:r>
          </w:p>
        </w:tc>
        <w:tc>
          <w:tcPr>
            <w:tcW w:type="dxa" w:w="2409"/>
          </w:tcPr>
          <w:p>
            <w:pPr>
              <w:spacing w:after="20" w:before="20" w:line="240" w:lineRule="auto"/>
            </w:pPr>
            <w:r/>
            <w:r>
              <w:rPr>
                <w:rFonts w:ascii="Arial" w:hAnsi="Arial" w:cs="Arial"/>
                <w:b w:val="0"/>
                <w:i w:val="0"/>
                <w:sz w:val="17"/>
              </w:rPr>
              <w:t>Only reachable from configured pods; RLS enforced; TLS connections; pgaudit logging</w:t>
            </w:r>
          </w:p>
        </w:tc>
      </w:tr>
      <w:tr>
        <w:tc>
          <w:tcPr>
            <w:tcW w:type="dxa" w:w="2409"/>
          </w:tcPr>
          <w:p>
            <w:pPr>
              <w:spacing w:after="20" w:before="20" w:line="240" w:lineRule="auto"/>
            </w:pPr>
            <w:r/>
            <w:r>
              <w:rPr>
                <w:rFonts w:ascii="Arial" w:hAnsi="Arial" w:cs="Arial"/>
                <w:b w:val="0"/>
                <w:i w:val="0"/>
                <w:sz w:val="17"/>
              </w:rPr>
              <w:t>7</w:t>
            </w:r>
          </w:p>
        </w:tc>
        <w:tc>
          <w:tcPr>
            <w:tcW w:type="dxa" w:w="2409"/>
          </w:tcPr>
          <w:p>
            <w:pPr>
              <w:spacing w:after="20" w:before="20" w:line="240" w:lineRule="auto"/>
            </w:pPr>
            <w:r/>
            <w:r>
              <w:rPr>
                <w:rFonts w:ascii="Arial" w:hAnsi="Arial" w:cs="Arial"/>
                <w:b w:val="0"/>
                <w:i w:val="0"/>
                <w:sz w:val="17"/>
              </w:rPr>
              <w:t>ClickHouse</w:t>
            </w:r>
          </w:p>
        </w:tc>
        <w:tc>
          <w:tcPr>
            <w:tcW w:type="dxa" w:w="2409"/>
          </w:tcPr>
          <w:p>
            <w:pPr>
              <w:spacing w:after="20" w:before="20" w:line="240" w:lineRule="auto"/>
            </w:pPr>
            <w:r/>
            <w:r>
              <w:rPr>
                <w:rFonts w:ascii="Arial" w:hAnsi="Arial" w:cs="Arial"/>
                <w:b w:val="0"/>
                <w:i w:val="0"/>
                <w:sz w:val="17"/>
              </w:rPr>
              <w:t>Internal</w:t>
            </w:r>
          </w:p>
        </w:tc>
        <w:tc>
          <w:tcPr>
            <w:tcW w:type="dxa" w:w="2409"/>
          </w:tcPr>
          <w:p>
            <w:pPr>
              <w:spacing w:after="20" w:before="20" w:line="240" w:lineRule="auto"/>
            </w:pPr>
            <w:r/>
            <w:r>
              <w:rPr>
                <w:rFonts w:ascii="Arial" w:hAnsi="Arial" w:cs="Arial"/>
                <w:b w:val="0"/>
                <w:i w:val="0"/>
                <w:sz w:val="17"/>
              </w:rPr>
              <w:t>Separate credentials, read-only for analytics services; network policies restrict</w:t>
            </w:r>
          </w:p>
        </w:tc>
      </w:tr>
      <w:tr>
        <w:tc>
          <w:tcPr>
            <w:tcW w:type="dxa" w:w="2409"/>
          </w:tcPr>
          <w:p>
            <w:pPr>
              <w:spacing w:after="20" w:before="20" w:line="240" w:lineRule="auto"/>
            </w:pPr>
            <w:r/>
            <w:r>
              <w:rPr>
                <w:rFonts w:ascii="Arial" w:hAnsi="Arial" w:cs="Arial"/>
                <w:b w:val="0"/>
                <w:i w:val="0"/>
                <w:sz w:val="17"/>
              </w:rPr>
              <w:t>8</w:t>
            </w:r>
          </w:p>
        </w:tc>
        <w:tc>
          <w:tcPr>
            <w:tcW w:type="dxa" w:w="2409"/>
          </w:tcPr>
          <w:p>
            <w:pPr>
              <w:spacing w:after="20" w:before="20" w:line="240" w:lineRule="auto"/>
            </w:pPr>
            <w:r/>
            <w:r>
              <w:rPr>
                <w:rFonts w:ascii="Arial" w:hAnsi="Arial" w:cs="Arial"/>
                <w:b w:val="0"/>
                <w:i w:val="0"/>
                <w:sz w:val="17"/>
              </w:rPr>
              <w:t>ZITADEL (identity)</w:t>
            </w:r>
          </w:p>
        </w:tc>
        <w:tc>
          <w:tcPr>
            <w:tcW w:type="dxa" w:w="2409"/>
          </w:tcPr>
          <w:p>
            <w:pPr>
              <w:spacing w:after="20" w:before="20" w:line="240" w:lineRule="auto"/>
            </w:pPr>
            <w:r/>
            <w:r>
              <w:rPr>
                <w:rFonts w:ascii="Arial" w:hAnsi="Arial" w:cs="Arial"/>
                <w:b w:val="0"/>
                <w:i w:val="0"/>
                <w:sz w:val="17"/>
              </w:rPr>
              <w:t>Internet (login endpoint)</w:t>
            </w:r>
          </w:p>
        </w:tc>
        <w:tc>
          <w:tcPr>
            <w:tcW w:type="dxa" w:w="2409"/>
          </w:tcPr>
          <w:p>
            <w:pPr>
              <w:spacing w:after="20" w:before="20" w:line="240" w:lineRule="auto"/>
            </w:pPr>
            <w:r/>
            <w:r>
              <w:rPr>
                <w:rFonts w:ascii="Arial" w:hAnsi="Arial" w:cs="Arial"/>
                <w:b w:val="0"/>
                <w:i w:val="0"/>
                <w:sz w:val="17"/>
              </w:rPr>
              <w:t>Standalone, hardened deployment; WebAuthn/RSA; rate-limiting; brute-force protection</w:t>
            </w:r>
          </w:p>
        </w:tc>
      </w:tr>
      <w:tr>
        <w:tc>
          <w:tcPr>
            <w:tcW w:type="dxa" w:w="2409"/>
          </w:tcPr>
          <w:p>
            <w:pPr>
              <w:spacing w:after="20" w:before="20" w:line="240" w:lineRule="auto"/>
            </w:pPr>
            <w:r/>
            <w:r>
              <w:rPr>
                <w:rFonts w:ascii="Arial" w:hAnsi="Arial" w:cs="Arial"/>
                <w:b w:val="0"/>
                <w:i w:val="0"/>
                <w:sz w:val="17"/>
              </w:rPr>
              <w:t>9</w:t>
            </w:r>
          </w:p>
        </w:tc>
        <w:tc>
          <w:tcPr>
            <w:tcW w:type="dxa" w:w="2409"/>
          </w:tcPr>
          <w:p>
            <w:pPr>
              <w:spacing w:after="20" w:before="20" w:line="240" w:lineRule="auto"/>
            </w:pPr>
            <w:r/>
            <w:r>
              <w:rPr>
                <w:rFonts w:ascii="Arial" w:hAnsi="Arial" w:cs="Arial"/>
                <w:b w:val="0"/>
                <w:i w:val="0"/>
                <w:sz w:val="17"/>
              </w:rPr>
              <w:t>Mobile &amp; Web Frontends</w:t>
            </w:r>
          </w:p>
        </w:tc>
        <w:tc>
          <w:tcPr>
            <w:tcW w:type="dxa" w:w="2409"/>
          </w:tcPr>
          <w:p>
            <w:pPr>
              <w:spacing w:after="20" w:before="20" w:line="240" w:lineRule="auto"/>
            </w:pPr>
            <w:r/>
            <w:r>
              <w:rPr>
                <w:rFonts w:ascii="Arial" w:hAnsi="Arial" w:cs="Arial"/>
                <w:b w:val="0"/>
                <w:i w:val="0"/>
                <w:sz w:val="17"/>
              </w:rPr>
              <w:t>Internet (HTTPS)</w:t>
            </w:r>
          </w:p>
        </w:tc>
        <w:tc>
          <w:tcPr>
            <w:tcW w:type="dxa" w:w="2409"/>
          </w:tcPr>
          <w:p>
            <w:pPr>
              <w:spacing w:after="20" w:before="20" w:line="240" w:lineRule="auto"/>
            </w:pPr>
            <w:r/>
            <w:r>
              <w:rPr>
                <w:rFonts w:ascii="Arial" w:hAnsi="Arial" w:cs="Arial"/>
                <w:b w:val="0"/>
                <w:i w:val="0"/>
                <w:sz w:val="17"/>
              </w:rPr>
              <w:t>CSP headers, no sensitive logic client-side, all data validated server-side, OPA-compiled WASM policies run in browser for UI hiding only</w:t>
            </w:r>
          </w:p>
        </w:tc>
      </w:tr>
      <w:tr>
        <w:tc>
          <w:tcPr>
            <w:tcW w:type="dxa" w:w="2409"/>
          </w:tcPr>
          <w:p>
            <w:pPr>
              <w:spacing w:after="20" w:before="20" w:line="240" w:lineRule="auto"/>
            </w:pPr>
            <w:r/>
            <w:r>
              <w:rPr>
                <w:rFonts w:ascii="Arial" w:hAnsi="Arial" w:cs="Arial"/>
                <w:b w:val="0"/>
                <w:i w:val="0"/>
                <w:sz w:val="17"/>
              </w:rPr>
              <w:t>10</w:t>
            </w:r>
          </w:p>
        </w:tc>
        <w:tc>
          <w:tcPr>
            <w:tcW w:type="dxa" w:w="2409"/>
          </w:tcPr>
          <w:p>
            <w:pPr>
              <w:spacing w:after="20" w:before="20" w:line="240" w:lineRule="auto"/>
            </w:pPr>
            <w:r/>
            <w:r>
              <w:rPr>
                <w:rFonts w:ascii="Arial" w:hAnsi="Arial" w:cs="Arial"/>
                <w:b w:val="0"/>
                <w:i w:val="0"/>
                <w:sz w:val="17"/>
              </w:rPr>
              <w:t>Partner API (marketplace)</w:t>
            </w:r>
          </w:p>
        </w:tc>
        <w:tc>
          <w:tcPr>
            <w:tcW w:type="dxa" w:w="2409"/>
          </w:tcPr>
          <w:p>
            <w:pPr>
              <w:spacing w:after="20" w:before="20" w:line="240" w:lineRule="auto"/>
            </w:pPr>
            <w:r/>
            <w:r>
              <w:rPr>
                <w:rFonts w:ascii="Arial" w:hAnsi="Arial" w:cs="Arial"/>
                <w:b w:val="0"/>
                <w:i w:val="0"/>
                <w:sz w:val="17"/>
              </w:rPr>
              <w:t>Internet</w:t>
            </w:r>
          </w:p>
        </w:tc>
        <w:tc>
          <w:tcPr>
            <w:tcW w:type="dxa" w:w="2409"/>
          </w:tcPr>
          <w:p>
            <w:pPr>
              <w:spacing w:after="20" w:before="20" w:line="240" w:lineRule="auto"/>
            </w:pPr>
            <w:r/>
            <w:r>
              <w:rPr>
                <w:rFonts w:ascii="Arial" w:hAnsi="Arial" w:cs="Arial"/>
                <w:b w:val="0"/>
                <w:i w:val="0"/>
                <w:sz w:val="17"/>
              </w:rPr>
              <w:t>Dedicated API keys with Ed25519 signatures, rate-limiting per partner, scope-limited JWT</w:t>
            </w:r>
          </w:p>
        </w:tc>
      </w:tr>
      <w:tr>
        <w:tc>
          <w:tcPr>
            <w:tcW w:type="dxa" w:w="2409"/>
          </w:tcPr>
          <w:p>
            <w:pPr>
              <w:spacing w:after="20" w:before="20" w:line="240" w:lineRule="auto"/>
            </w:pPr>
            <w:r/>
            <w:r>
              <w:rPr>
                <w:rFonts w:ascii="Arial" w:hAnsi="Arial" w:cs="Arial"/>
                <w:b w:val="0"/>
                <w:i w:val="0"/>
                <w:sz w:val="17"/>
              </w:rPr>
              <w:t>11</w:t>
            </w:r>
          </w:p>
        </w:tc>
        <w:tc>
          <w:tcPr>
            <w:tcW w:type="dxa" w:w="2409"/>
          </w:tcPr>
          <w:p>
            <w:pPr>
              <w:spacing w:after="20" w:before="20" w:line="240" w:lineRule="auto"/>
            </w:pPr>
            <w:r/>
            <w:r>
              <w:rPr>
                <w:rFonts w:ascii="Arial" w:hAnsi="Arial" w:cs="Arial"/>
                <w:b w:val="0"/>
                <w:i w:val="0"/>
                <w:sz w:val="17"/>
              </w:rPr>
              <w:t>Bank Integration Endpoints</w:t>
            </w:r>
          </w:p>
        </w:tc>
        <w:tc>
          <w:tcPr>
            <w:tcW w:type="dxa" w:w="2409"/>
          </w:tcPr>
          <w:p>
            <w:pPr>
              <w:spacing w:after="20" w:before="20" w:line="240" w:lineRule="auto"/>
            </w:pPr>
            <w:r/>
            <w:r>
              <w:rPr>
                <w:rFonts w:ascii="Arial" w:hAnsi="Arial" w:cs="Arial"/>
                <w:b w:val="0"/>
                <w:i w:val="0"/>
                <w:sz w:val="17"/>
              </w:rPr>
              <w:t>Outbound to banks</w:t>
            </w:r>
          </w:p>
        </w:tc>
        <w:tc>
          <w:tcPr>
            <w:tcW w:type="dxa" w:w="2409"/>
          </w:tcPr>
          <w:p>
            <w:pPr>
              <w:spacing w:after="20" w:before="20" w:line="240" w:lineRule="auto"/>
            </w:pPr>
            <w:r/>
            <w:r>
              <w:rPr>
                <w:rFonts w:ascii="Arial" w:hAnsi="Arial" w:cs="Arial"/>
                <w:b w:val="0"/>
                <w:i w:val="0"/>
                <w:sz w:val="17"/>
              </w:rPr>
              <w:t>Only outbound to known IPs; mTLS with bank certificates; credentials encrypted at rest; message signatures verified cryptographically</w:t>
            </w:r>
          </w:p>
        </w:tc>
      </w:tr>
      <w:tr>
        <w:tc>
          <w:tcPr>
            <w:tcW w:type="dxa" w:w="2409"/>
          </w:tcPr>
          <w:p>
            <w:pPr>
              <w:spacing w:after="20" w:before="20" w:line="240" w:lineRule="auto"/>
            </w:pPr>
            <w:r/>
            <w:r>
              <w:rPr>
                <w:rFonts w:ascii="Arial" w:hAnsi="Arial" w:cs="Arial"/>
                <w:b w:val="0"/>
                <w:i w:val="0"/>
                <w:sz w:val="17"/>
              </w:rPr>
              <w:t>12</w:t>
            </w:r>
          </w:p>
        </w:tc>
        <w:tc>
          <w:tcPr>
            <w:tcW w:type="dxa" w:w="2409"/>
          </w:tcPr>
          <w:p>
            <w:pPr>
              <w:spacing w:after="20" w:before="20" w:line="240" w:lineRule="auto"/>
            </w:pPr>
            <w:r/>
            <w:r>
              <w:rPr>
                <w:rFonts w:ascii="Arial" w:hAnsi="Arial" w:cs="Arial"/>
                <w:b w:val="0"/>
                <w:i w:val="0"/>
                <w:sz w:val="17"/>
              </w:rPr>
              <w:t>DNS / Infrastructure</w:t>
            </w:r>
          </w:p>
        </w:tc>
        <w:tc>
          <w:tcPr>
            <w:tcW w:type="dxa" w:w="2409"/>
          </w:tcPr>
          <w:p>
            <w:pPr>
              <w:spacing w:after="20" w:before="20" w:line="240" w:lineRule="auto"/>
            </w:pPr>
            <w:r/>
            <w:r>
              <w:rPr>
                <w:rFonts w:ascii="Arial" w:hAnsi="Arial" w:cs="Arial"/>
                <w:b w:val="0"/>
                <w:i w:val="0"/>
                <w:sz w:val="17"/>
              </w:rPr>
              <w:t>Internet</w:t>
            </w:r>
          </w:p>
        </w:tc>
        <w:tc>
          <w:tcPr>
            <w:tcW w:type="dxa" w:w="2409"/>
          </w:tcPr>
          <w:p>
            <w:pPr>
              <w:spacing w:after="20" w:before="20" w:line="240" w:lineRule="auto"/>
            </w:pPr>
            <w:r/>
            <w:r>
              <w:rPr>
                <w:rFonts w:ascii="Arial" w:hAnsi="Arial" w:cs="Arial"/>
                <w:b w:val="0"/>
                <w:i w:val="0"/>
                <w:sz w:val="17"/>
              </w:rPr>
              <w:t>DNSSEC (where supported), Anycast for resilience, infrastructure as code (Ansible) with immutable configs</w:t>
            </w:r>
          </w:p>
        </w:tc>
      </w:tr>
      <w:tr>
        <w:tc>
          <w:tcPr>
            <w:tcW w:type="dxa" w:w="2409"/>
          </w:tcPr>
          <w:p>
            <w:pPr>
              <w:spacing w:after="20" w:before="20" w:line="240" w:lineRule="auto"/>
            </w:pPr>
            <w:r/>
            <w:r>
              <w:rPr>
                <w:rFonts w:ascii="Arial" w:hAnsi="Arial" w:cs="Arial"/>
                <w:b w:val="0"/>
                <w:i w:val="0"/>
                <w:sz w:val="17"/>
              </w:rPr>
              <w:t>13</w:t>
            </w:r>
          </w:p>
        </w:tc>
        <w:tc>
          <w:tcPr>
            <w:tcW w:type="dxa" w:w="2409"/>
          </w:tcPr>
          <w:p>
            <w:pPr>
              <w:spacing w:after="20" w:before="20" w:line="240" w:lineRule="auto"/>
            </w:pPr>
            <w:r/>
            <w:r>
              <w:rPr>
                <w:rFonts w:ascii="Arial" w:hAnsi="Arial" w:cs="Arial"/>
                <w:b w:val="0"/>
                <w:i w:val="0"/>
                <w:sz w:val="17"/>
              </w:rPr>
              <w:t>Smart Inbox WebSocket</w:t>
            </w:r>
          </w:p>
        </w:tc>
        <w:tc>
          <w:tcPr>
            <w:tcW w:type="dxa" w:w="2409"/>
          </w:tcPr>
          <w:p>
            <w:pPr>
              <w:spacing w:after="20" w:before="20" w:line="240" w:lineRule="auto"/>
            </w:pPr>
            <w:r/>
            <w:r>
              <w:rPr>
                <w:rFonts w:ascii="Arial" w:hAnsi="Arial" w:cs="Arial"/>
                <w:b w:val="0"/>
                <w:i w:val="0"/>
                <w:sz w:val="17"/>
              </w:rPr>
              <w:t>Internal + tenant-facing</w:t>
            </w:r>
          </w:p>
        </w:tc>
        <w:tc>
          <w:tcPr>
            <w:tcW w:type="dxa" w:w="2409"/>
          </w:tcPr>
          <w:p>
            <w:pPr>
              <w:spacing w:after="20" w:before="20" w:line="240" w:lineRule="auto"/>
            </w:pPr>
            <w:r/>
            <w:r>
              <w:rPr>
                <w:rFonts w:ascii="Arial" w:hAnsi="Arial" w:cs="Arial"/>
                <w:b w:val="0"/>
                <w:i w:val="0"/>
                <w:sz w:val="17"/>
              </w:rPr>
              <w:t>Authenticated NATS WebSocket (JWT); messages scoped to user's tenant; no cross-tenant leakage</w:t>
            </w:r>
          </w:p>
        </w:tc>
      </w:tr>
      <w:tr>
        <w:tc>
          <w:tcPr>
            <w:tcW w:type="dxa" w:w="2409"/>
          </w:tcPr>
          <w:p>
            <w:pPr>
              <w:spacing w:after="20" w:before="20" w:line="240" w:lineRule="auto"/>
            </w:pPr>
            <w:r/>
            <w:r>
              <w:rPr>
                <w:rFonts w:ascii="Arial" w:hAnsi="Arial" w:cs="Arial"/>
                <w:b w:val="0"/>
                <w:i w:val="0"/>
                <w:sz w:val="17"/>
              </w:rPr>
              <w:t>14</w:t>
            </w:r>
          </w:p>
        </w:tc>
        <w:tc>
          <w:tcPr>
            <w:tcW w:type="dxa" w:w="2409"/>
          </w:tcPr>
          <w:p>
            <w:pPr>
              <w:spacing w:after="20" w:before="20" w:line="240" w:lineRule="auto"/>
            </w:pPr>
            <w:r/>
            <w:r>
              <w:rPr>
                <w:rFonts w:ascii="Arial" w:hAnsi="Arial" w:cs="Arial"/>
                <w:b w:val="0"/>
                <w:i w:val="0"/>
                <w:sz w:val="17"/>
              </w:rPr>
              <w:t>Tenant Impersonation (Admin)</w:t>
            </w:r>
          </w:p>
        </w:tc>
        <w:tc>
          <w:tcPr>
            <w:tcW w:type="dxa" w:w="2409"/>
          </w:tcPr>
          <w:p>
            <w:pPr>
              <w:spacing w:after="20" w:before="20" w:line="240" w:lineRule="auto"/>
            </w:pPr>
            <w:r/>
            <w:r>
              <w:rPr>
                <w:rFonts w:ascii="Arial" w:hAnsi="Arial" w:cs="Arial"/>
                <w:b w:val="0"/>
                <w:i w:val="0"/>
                <w:sz w:val="17"/>
              </w:rPr>
              <w:t>Admin Portal only</w:t>
            </w:r>
          </w:p>
        </w:tc>
        <w:tc>
          <w:tcPr>
            <w:tcW w:type="dxa" w:w="2409"/>
          </w:tcPr>
          <w:p>
            <w:pPr>
              <w:spacing w:after="20" w:before="20" w:line="240" w:lineRule="auto"/>
            </w:pPr>
            <w:r/>
            <w:r>
              <w:rPr>
                <w:rFonts w:ascii="Arial" w:hAnsi="Arial" w:cs="Arial"/>
                <w:b w:val="0"/>
                <w:i w:val="0"/>
                <w:sz w:val="17"/>
              </w:rPr>
              <w:t>Requires multisig approval (3/5); read-only mode; session timeout 30 min; full audit logging; tenant notified after session</w:t>
            </w:r>
          </w:p>
        </w:tc>
      </w:tr>
      <w:tr>
        <w:tc>
          <w:tcPr>
            <w:tcW w:type="dxa" w:w="2409"/>
          </w:tcPr>
          <w:p>
            <w:pPr>
              <w:spacing w:after="20" w:before="20" w:line="240" w:lineRule="auto"/>
            </w:pPr>
            <w:r/>
            <w:r>
              <w:rPr>
                <w:rFonts w:ascii="Arial" w:hAnsi="Arial" w:cs="Arial"/>
                <w:b w:val="0"/>
                <w:i w:val="0"/>
                <w:sz w:val="17"/>
              </w:rPr>
              <w:t>15</w:t>
            </w:r>
          </w:p>
        </w:tc>
        <w:tc>
          <w:tcPr>
            <w:tcW w:type="dxa" w:w="2409"/>
          </w:tcPr>
          <w:p>
            <w:pPr>
              <w:spacing w:after="20" w:before="20" w:line="240" w:lineRule="auto"/>
            </w:pPr>
            <w:r/>
            <w:r>
              <w:rPr>
                <w:rFonts w:ascii="Arial" w:hAnsi="Arial" w:cs="Arial"/>
                <w:b w:val="0"/>
                <w:i w:val="0"/>
                <w:sz w:val="17"/>
              </w:rPr>
              <w:t>Dual-Mode Toggle</w:t>
            </w:r>
          </w:p>
        </w:tc>
        <w:tc>
          <w:tcPr>
            <w:tcW w:type="dxa" w:w="2409"/>
          </w:tcPr>
          <w:p>
            <w:pPr>
              <w:spacing w:after="20" w:before="20" w:line="240" w:lineRule="auto"/>
            </w:pPr>
            <w:r/>
            <w:r>
              <w:rPr>
                <w:rFonts w:ascii="Arial" w:hAnsi="Arial" w:cs="Arial"/>
                <w:b w:val="0"/>
                <w:i w:val="0"/>
                <w:sz w:val="17"/>
              </w:rPr>
              <w:t>Trader Portal header</w:t>
            </w:r>
          </w:p>
        </w:tc>
        <w:tc>
          <w:tcPr>
            <w:tcW w:type="dxa" w:w="2409"/>
          </w:tcPr>
          <w:p>
            <w:pPr>
              <w:spacing w:after="20" w:before="20" w:line="240" w:lineRule="auto"/>
            </w:pPr>
            <w:r/>
            <w:r>
              <w:rPr>
                <w:rFonts w:ascii="Arial" w:hAnsi="Arial" w:cs="Arial"/>
                <w:b w:val="0"/>
                <w:i w:val="0"/>
                <w:sz w:val="17"/>
              </w:rPr>
              <w:t>JWT claim enforcement; OPA policy rejects actions in wrong mode; mode switch logged</w:t>
            </w:r>
          </w:p>
        </w:tc>
      </w:tr>
      <w:tr>
        <w:tc>
          <w:tcPr>
            <w:tcW w:type="dxa" w:w="2409"/>
          </w:tcPr>
          <w:p>
            <w:pPr>
              <w:spacing w:after="20" w:before="20" w:line="240" w:lineRule="auto"/>
            </w:pPr>
            <w:r/>
            <w:r>
              <w:rPr>
                <w:rFonts w:ascii="Arial" w:hAnsi="Arial" w:cs="Arial"/>
                <w:b w:val="0"/>
                <w:i w:val="0"/>
                <w:sz w:val="17"/>
              </w:rPr>
              <w:t>16</w:t>
            </w:r>
          </w:p>
        </w:tc>
        <w:tc>
          <w:tcPr>
            <w:tcW w:type="dxa" w:w="2409"/>
          </w:tcPr>
          <w:p>
            <w:pPr>
              <w:spacing w:after="20" w:before="20" w:line="240" w:lineRule="auto"/>
            </w:pPr>
            <w:r/>
            <w:r>
              <w:rPr>
                <w:rFonts w:ascii="Arial" w:hAnsi="Arial" w:cs="Arial"/>
                <w:b w:val="0"/>
                <w:i w:val="0"/>
                <w:sz w:val="17"/>
              </w:rPr>
              <w:t>Container Release API</w:t>
            </w:r>
          </w:p>
        </w:tc>
        <w:tc>
          <w:tcPr>
            <w:tcW w:type="dxa" w:w="2409"/>
          </w:tcPr>
          <w:p>
            <w:pPr>
              <w:spacing w:after="20" w:before="20" w:line="240" w:lineRule="auto"/>
            </w:pPr>
            <w:r/>
            <w:r>
              <w:rPr>
                <w:rFonts w:ascii="Arial" w:hAnsi="Arial" w:cs="Arial"/>
                <w:b w:val="0"/>
                <w:i w:val="0"/>
                <w:sz w:val="17"/>
              </w:rPr>
              <w:t>Terminal-facing</w:t>
            </w:r>
          </w:p>
        </w:tc>
        <w:tc>
          <w:tcPr>
            <w:tcW w:type="dxa" w:w="2409"/>
          </w:tcPr>
          <w:p>
            <w:pPr>
              <w:spacing w:after="20" w:before="20" w:line="240" w:lineRule="auto"/>
            </w:pPr>
            <w:r/>
            <w:r>
              <w:rPr>
                <w:rFonts w:ascii="Arial" w:hAnsi="Arial" w:cs="Arial"/>
                <w:b w:val="0"/>
                <w:i w:val="0"/>
                <w:sz w:val="17"/>
              </w:rPr>
              <w:t>mTLS with client certificates; PKCS#7 signed responses; rate-limiting per terminal; revocation list</w:t>
            </w:r>
          </w:p>
        </w:tc>
      </w:tr>
      <w:tr>
        <w:tc>
          <w:tcPr>
            <w:tcW w:type="dxa" w:w="2409"/>
          </w:tcPr>
          <w:p>
            <w:pPr>
              <w:spacing w:after="20" w:before="20" w:line="240" w:lineRule="auto"/>
            </w:pPr>
            <w:r/>
            <w:r>
              <w:rPr>
                <w:rFonts w:ascii="Arial" w:hAnsi="Arial" w:cs="Arial"/>
                <w:b w:val="0"/>
                <w:i w:val="0"/>
                <w:sz w:val="17"/>
              </w:rPr>
              <w:t>17</w:t>
            </w:r>
          </w:p>
        </w:tc>
        <w:tc>
          <w:tcPr>
            <w:tcW w:type="dxa" w:w="2409"/>
          </w:tcPr>
          <w:p>
            <w:pPr>
              <w:spacing w:after="20" w:before="20" w:line="240" w:lineRule="auto"/>
            </w:pPr>
            <w:r/>
            <w:r>
              <w:rPr>
                <w:rFonts w:ascii="Arial" w:hAnsi="Arial" w:cs="Arial"/>
                <w:b w:val="0"/>
                <w:i w:val="0"/>
                <w:sz w:val="17"/>
              </w:rPr>
              <w:t>Logistics Mode C (Direct to SHIP)</w:t>
            </w:r>
          </w:p>
        </w:tc>
        <w:tc>
          <w:tcPr>
            <w:tcW w:type="dxa" w:w="2409"/>
          </w:tcPr>
          <w:p>
            <w:pPr>
              <w:spacing w:after="20" w:before="20" w:line="240" w:lineRule="auto"/>
            </w:pPr>
            <w:r/>
            <w:r>
              <w:rPr>
                <w:rFonts w:ascii="Arial" w:hAnsi="Arial" w:cs="Arial"/>
                <w:b w:val="0"/>
                <w:i w:val="0"/>
                <w:sz w:val="17"/>
              </w:rPr>
              <w:t>SHIP Portal + API</w:t>
            </w:r>
          </w:p>
        </w:tc>
        <w:tc>
          <w:tcPr>
            <w:tcW w:type="dxa" w:w="2409"/>
          </w:tcPr>
          <w:p>
            <w:pPr>
              <w:spacing w:after="20" w:before="20" w:line="240" w:lineRule="auto"/>
            </w:pPr>
            <w:r/>
            <w:r>
              <w:rPr>
                <w:rFonts w:ascii="Arial" w:hAnsi="Arial" w:cs="Arial"/>
                <w:b w:val="0"/>
                <w:i w:val="0"/>
                <w:sz w:val="17"/>
              </w:rPr>
              <w:t>SHIP portal authentication; quote signing; eBL platform webhook verification</w:t>
            </w:r>
          </w:p>
        </w:tc>
      </w:tr>
      <w:tr>
        <w:tc>
          <w:tcPr>
            <w:tcW w:type="dxa" w:w="2409"/>
          </w:tcPr>
          <w:p>
            <w:pPr>
              <w:spacing w:after="20" w:before="20" w:line="240" w:lineRule="auto"/>
            </w:pPr>
            <w:r/>
            <w:r>
              <w:rPr>
                <w:rFonts w:ascii="Arial" w:hAnsi="Arial" w:cs="Arial"/>
                <w:b w:val="0"/>
                <w:i w:val="0"/>
                <w:sz w:val="17"/>
              </w:rPr>
              <w:t>18</w:t>
            </w:r>
          </w:p>
        </w:tc>
        <w:tc>
          <w:tcPr>
            <w:tcW w:type="dxa" w:w="2409"/>
          </w:tcPr>
          <w:p>
            <w:pPr>
              <w:spacing w:after="20" w:before="20" w:line="240" w:lineRule="auto"/>
            </w:pPr>
            <w:r/>
            <w:r>
              <w:rPr>
                <w:rFonts w:ascii="Arial" w:hAnsi="Arial" w:cs="Arial"/>
                <w:b w:val="0"/>
                <w:i w:val="0"/>
                <w:sz w:val="17"/>
              </w:rPr>
              <w:t>Conditional QC</w:t>
            </w:r>
          </w:p>
        </w:tc>
        <w:tc>
          <w:tcPr>
            <w:tcW w:type="dxa" w:w="2409"/>
          </w:tcPr>
          <w:p>
            <w:pPr>
              <w:spacing w:after="20" w:before="20" w:line="240" w:lineRule="auto"/>
            </w:pPr>
            <w:r/>
            <w:r>
              <w:rPr>
                <w:rFonts w:ascii="Arial" w:hAnsi="Arial" w:cs="Arial"/>
                <w:b w:val="0"/>
                <w:i w:val="0"/>
                <w:sz w:val="17"/>
              </w:rPr>
              <w:t>QC Portal + Mobile</w:t>
            </w:r>
          </w:p>
        </w:tc>
        <w:tc>
          <w:tcPr>
            <w:tcW w:type="dxa" w:w="2409"/>
          </w:tcPr>
          <w:p>
            <w:pPr>
              <w:spacing w:after="20" w:before="20" w:line="240" w:lineRule="auto"/>
            </w:pPr>
            <w:r/>
            <w:r>
              <w:rPr>
                <w:rFonts w:ascii="Arial" w:hAnsi="Arial" w:cs="Arial"/>
                <w:b w:val="0"/>
                <w:i w:val="0"/>
                <w:sz w:val="17"/>
              </w:rPr>
              <w:t>Inspector passkey; action plan hashed; override reason mandatory; hold flag enforced by Governor</w:t>
            </w:r>
          </w:p>
        </w:tc>
      </w:tr>
      <w:tr>
        <w:tc>
          <w:tcPr>
            <w:tcW w:type="dxa" w:w="2409"/>
          </w:tcPr>
          <w:p>
            <w:pPr>
              <w:spacing w:after="20" w:before="20" w:line="240" w:lineRule="auto"/>
            </w:pPr>
            <w:r/>
            <w:r>
              <w:rPr>
                <w:rFonts w:ascii="Arial" w:hAnsi="Arial" w:cs="Arial"/>
                <w:b w:val="0"/>
                <w:i w:val="0"/>
                <w:sz w:val="17"/>
              </w:rPr>
              <w:t>19</w:t>
            </w:r>
          </w:p>
        </w:tc>
        <w:tc>
          <w:tcPr>
            <w:tcW w:type="dxa" w:w="2409"/>
          </w:tcPr>
          <w:p>
            <w:pPr>
              <w:spacing w:after="20" w:before="20" w:line="240" w:lineRule="auto"/>
            </w:pPr>
            <w:r/>
            <w:r>
              <w:rPr>
                <w:rFonts w:ascii="Arial" w:hAnsi="Arial" w:cs="Arial"/>
                <w:b w:val="0"/>
                <w:i w:val="0"/>
                <w:sz w:val="17"/>
              </w:rPr>
              <w:t>Deferred Payment</w:t>
            </w:r>
          </w:p>
        </w:tc>
        <w:tc>
          <w:tcPr>
            <w:tcW w:type="dxa" w:w="2409"/>
          </w:tcPr>
          <w:p>
            <w:pPr>
              <w:spacing w:after="20" w:before="20" w:line="240" w:lineRule="auto"/>
            </w:pPr>
            <w:r/>
            <w:r>
              <w:rPr>
                <w:rFonts w:ascii="Arial" w:hAnsi="Arial" w:cs="Arial"/>
                <w:b w:val="0"/>
                <w:i w:val="0"/>
                <w:sz w:val="17"/>
              </w:rPr>
              <w:t>Payment Orchestrator</w:t>
            </w:r>
          </w:p>
        </w:tc>
        <w:tc>
          <w:tcPr>
            <w:tcW w:type="dxa" w:w="2409"/>
          </w:tcPr>
          <w:p>
            <w:pPr>
              <w:spacing w:after="20" w:before="20" w:line="240" w:lineRule="auto"/>
            </w:pPr>
            <w:r/>
            <w:r>
              <w:rPr>
                <w:rFonts w:ascii="Arial" w:hAnsi="Arial" w:cs="Arial"/>
                <w:b w:val="0"/>
                <w:i w:val="0"/>
                <w:sz w:val="17"/>
              </w:rPr>
              <w:t>Bank deferred instruction (pain.008) signature; Governor triggers only after milestone confirmation; guarantee expiry tracked</w:t>
            </w:r>
          </w:p>
        </w:tc>
      </w:tr>
      <w:tr>
        <w:tc>
          <w:tcPr>
            <w:tcW w:type="dxa" w:w="2409"/>
          </w:tcPr>
          <w:p>
            <w:pPr>
              <w:spacing w:after="20" w:before="20" w:line="240" w:lineRule="auto"/>
            </w:pPr>
            <w:r/>
            <w:r>
              <w:rPr>
                <w:rFonts w:ascii="Arial" w:hAnsi="Arial" w:cs="Arial"/>
                <w:b w:val="0"/>
                <w:i w:val="0"/>
                <w:sz w:val="17"/>
              </w:rPr>
              <w:t>20</w:t>
            </w:r>
          </w:p>
        </w:tc>
        <w:tc>
          <w:tcPr>
            <w:tcW w:type="dxa" w:w="2409"/>
          </w:tcPr>
          <w:p>
            <w:pPr>
              <w:spacing w:after="20" w:before="20" w:line="240" w:lineRule="auto"/>
            </w:pPr>
            <w:r/>
            <w:r>
              <w:rPr>
                <w:rFonts w:ascii="Arial" w:hAnsi="Arial" w:cs="Arial"/>
                <w:b w:val="0"/>
                <w:i w:val="0"/>
                <w:sz w:val="17"/>
              </w:rPr>
              <w:t>ZK Proofs (Confidential Terms, Private Settlement)</w:t>
            </w:r>
          </w:p>
        </w:tc>
        <w:tc>
          <w:tcPr>
            <w:tcW w:type="dxa" w:w="2409"/>
          </w:tcPr>
          <w:p>
            <w:pPr>
              <w:spacing w:after="20" w:before="20" w:line="240" w:lineRule="auto"/>
            </w:pPr>
            <w:r/>
            <w:r>
              <w:rPr>
                <w:rFonts w:ascii="Arial" w:hAnsi="Arial" w:cs="Arial"/>
                <w:b w:val="0"/>
                <w:i w:val="0"/>
                <w:sz w:val="17"/>
              </w:rPr>
              <w:t>Financier + Trader</w:t>
            </w:r>
          </w:p>
        </w:tc>
        <w:tc>
          <w:tcPr>
            <w:tcW w:type="dxa" w:w="2409"/>
          </w:tcPr>
          <w:p>
            <w:pPr>
              <w:spacing w:after="20" w:before="20" w:line="240" w:lineRule="auto"/>
            </w:pPr>
            <w:r/>
            <w:r>
              <w:rPr>
                <w:rFonts w:ascii="Arial" w:hAnsi="Arial" w:cs="Arial"/>
                <w:b w:val="0"/>
                <w:i w:val="0"/>
                <w:sz w:val="17"/>
              </w:rPr>
              <w:t>Proof verification (Plonky3) lightweight; no raw data transmitted; proofs stored immutably</w:t>
            </w:r>
          </w:p>
        </w:tc>
      </w:tr>
      <w:tr>
        <w:tc>
          <w:tcPr>
            <w:tcW w:type="dxa" w:w="2409"/>
          </w:tcPr>
          <w:p>
            <w:pPr>
              <w:spacing w:after="20" w:before="20" w:line="240" w:lineRule="auto"/>
            </w:pPr>
            <w:r/>
            <w:r>
              <w:rPr>
                <w:rFonts w:ascii="Arial" w:hAnsi="Arial" w:cs="Arial"/>
                <w:b w:val="0"/>
                <w:i w:val="0"/>
                <w:sz w:val="17"/>
              </w:rPr>
              <w:t>21</w:t>
            </w:r>
          </w:p>
        </w:tc>
        <w:tc>
          <w:tcPr>
            <w:tcW w:type="dxa" w:w="2409"/>
          </w:tcPr>
          <w:p>
            <w:pPr>
              <w:spacing w:after="20" w:before="20" w:line="240" w:lineRule="auto"/>
            </w:pPr>
            <w:r/>
            <w:r>
              <w:rPr>
                <w:rFonts w:ascii="Arial" w:hAnsi="Arial" w:cs="Arial"/>
                <w:b w:val="0"/>
                <w:i w:val="0"/>
                <w:sz w:val="17"/>
              </w:rPr>
              <w:t>Trust Passport</w:t>
            </w:r>
          </w:p>
        </w:tc>
        <w:tc>
          <w:tcPr>
            <w:tcW w:type="dxa" w:w="2409"/>
          </w:tcPr>
          <w:p>
            <w:pPr>
              <w:spacing w:after="20" w:before="20" w:line="240" w:lineRule="auto"/>
            </w:pPr>
            <w:r/>
            <w:r>
              <w:rPr>
                <w:rFonts w:ascii="Arial" w:hAnsi="Arial" w:cs="Arial"/>
                <w:b w:val="0"/>
                <w:i w:val="0"/>
                <w:sz w:val="17"/>
              </w:rPr>
              <w:t>Public (verifiable credential)</w:t>
            </w:r>
          </w:p>
        </w:tc>
        <w:tc>
          <w:tcPr>
            <w:tcW w:type="dxa" w:w="2409"/>
          </w:tcPr>
          <w:p>
            <w:pPr>
              <w:spacing w:after="20" w:before="20" w:line="240" w:lineRule="auto"/>
            </w:pPr>
            <w:r/>
            <w:r>
              <w:rPr>
                <w:rFonts w:ascii="Arial" w:hAnsi="Arial" w:cs="Arial"/>
                <w:b w:val="0"/>
                <w:i w:val="0"/>
                <w:sz w:val="17"/>
              </w:rPr>
              <w:t>Ed25519 signature; revocation list; rate-limited public verification endpoint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21.1.7 Zero-Cost Security Toolchain</w:t>
      </w:r>
    </w:p>
    <w:p>
      <w:pPr>
        <w:spacing w:after="80" w:line="293" w:lineRule="auto"/>
        <w:jc w:val="left"/>
      </w:pPr>
      <w:r>
        <w:rPr>
          <w:rFonts w:ascii="Times New Roman" w:hAnsi="Times New Roman" w:cs="Times New Roman"/>
          <w:b w:val="0"/>
          <w:i w:val="0"/>
          <w:sz w:val="22"/>
        </w:rPr>
        <w:t>All security tools are open-source and self-hosted. No billing details are required for any security tool, and the platform can operate fully air-gapped (except for threat feed updates, which can be mirrored internally):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Category</w:t>
            </w:r>
          </w:p>
        </w:tc>
        <w:tc>
          <w:tcPr>
            <w:tcW w:type="dxa" w:w="3213"/>
            <w:shd w:val="clear" w:fill="D9E2F3"/>
          </w:tcPr>
          <w:p>
            <w:pPr>
              <w:spacing w:after="20" w:before="20" w:line="240" w:lineRule="auto"/>
            </w:pPr>
            <w:r/>
            <w:r>
              <w:rPr>
                <w:rFonts w:ascii="Arial" w:hAnsi="Arial" w:cs="Arial"/>
                <w:b/>
                <w:i w:val="0"/>
                <w:sz w:val="18"/>
              </w:rPr>
              <w:t>Tool</w:t>
            </w:r>
          </w:p>
        </w:tc>
        <w:tc>
          <w:tcPr>
            <w:tcW w:type="dxa" w:w="3213"/>
            <w:shd w:val="clear" w:fill="D9E2F3"/>
          </w:tcPr>
          <w:p>
            <w:pPr>
              <w:spacing w:after="20" w:before="20" w:line="240" w:lineRule="auto"/>
            </w:pPr>
            <w:r/>
            <w:r>
              <w:rPr>
                <w:rFonts w:ascii="Arial" w:hAnsi="Arial" w:cs="Arial"/>
                <w:b/>
                <w:i w:val="0"/>
                <w:sz w:val="18"/>
              </w:rPr>
              <w:t>Licence</w:t>
            </w:r>
          </w:p>
        </w:tc>
      </w:tr>
      <w:tr>
        <w:tc>
          <w:tcPr>
            <w:tcW w:type="dxa" w:w="3213"/>
          </w:tcPr>
          <w:p>
            <w:pPr>
              <w:spacing w:after="20" w:before="20" w:line="240" w:lineRule="auto"/>
            </w:pPr>
            <w:r/>
            <w:r>
              <w:rPr>
                <w:rFonts w:ascii="Arial" w:hAnsi="Arial" w:cs="Arial"/>
                <w:b w:val="0"/>
                <w:i w:val="0"/>
                <w:sz w:val="17"/>
              </w:rPr>
              <w:t>Vulnerability scanning</w:t>
            </w:r>
          </w:p>
        </w:tc>
        <w:tc>
          <w:tcPr>
            <w:tcW w:type="dxa" w:w="3213"/>
          </w:tcPr>
          <w:p>
            <w:pPr>
              <w:spacing w:after="20" w:before="20" w:line="240" w:lineRule="auto"/>
            </w:pPr>
            <w:r/>
            <w:r>
              <w:rPr>
                <w:rFonts w:ascii="Arial" w:hAnsi="Arial" w:cs="Arial"/>
                <w:b w:val="0"/>
                <w:i w:val="0"/>
                <w:sz w:val="17"/>
              </w:rPr>
              <w:t>Trivy, OWASP ZAP, nuclei, OpenVAS</w:t>
            </w:r>
          </w:p>
        </w:tc>
        <w:tc>
          <w:tcPr>
            <w:tcW w:type="dxa" w:w="3213"/>
          </w:tcPr>
          <w:p>
            <w:pPr>
              <w:spacing w:after="20" w:before="20" w:line="240" w:lineRule="auto"/>
            </w:pPr>
            <w:r/>
            <w:r>
              <w:rPr>
                <w:rFonts w:ascii="Arial" w:hAnsi="Arial" w:cs="Arial"/>
                <w:b w:val="0"/>
                <w:i w:val="0"/>
                <w:sz w:val="17"/>
              </w:rPr>
              <w:t>Apache 2.0 / MIT / GPL</w:t>
            </w:r>
          </w:p>
        </w:tc>
      </w:tr>
      <w:tr>
        <w:tc>
          <w:tcPr>
            <w:tcW w:type="dxa" w:w="3213"/>
          </w:tcPr>
          <w:p>
            <w:pPr>
              <w:spacing w:after="20" w:before="20" w:line="240" w:lineRule="auto"/>
            </w:pPr>
            <w:r/>
            <w:r>
              <w:rPr>
                <w:rFonts w:ascii="Arial" w:hAnsi="Arial" w:cs="Arial"/>
                <w:b w:val="0"/>
                <w:i w:val="0"/>
                <w:sz w:val="17"/>
              </w:rPr>
              <w:t>Container runtime security</w:t>
            </w:r>
          </w:p>
        </w:tc>
        <w:tc>
          <w:tcPr>
            <w:tcW w:type="dxa" w:w="3213"/>
          </w:tcPr>
          <w:p>
            <w:pPr>
              <w:spacing w:after="20" w:before="20" w:line="240" w:lineRule="auto"/>
            </w:pPr>
            <w:r/>
            <w:r>
              <w:rPr>
                <w:rFonts w:ascii="Arial" w:hAnsi="Arial" w:cs="Arial"/>
                <w:b w:val="0"/>
                <w:i w:val="0"/>
                <w:sz w:val="17"/>
              </w:rPr>
              <w:t>Falco (eBPF)</w:t>
            </w:r>
          </w:p>
        </w:tc>
        <w:tc>
          <w:tcPr>
            <w:tcW w:type="dxa" w:w="3213"/>
          </w:tcPr>
          <w:p>
            <w:pPr>
              <w:spacing w:after="20" w:before="20" w:line="240" w:lineRule="auto"/>
            </w:pPr>
            <w:r/>
            <w:r>
              <w:rPr>
                <w:rFonts w:ascii="Arial" w:hAnsi="Arial" w:cs="Arial"/>
                <w:b w:val="0"/>
                <w:i w:val="0"/>
                <w:sz w:val="17"/>
              </w:rPr>
              <w:t>Apache 2.0</w:t>
            </w:r>
          </w:p>
        </w:tc>
      </w:tr>
      <w:tr>
        <w:tc>
          <w:tcPr>
            <w:tcW w:type="dxa" w:w="3213"/>
          </w:tcPr>
          <w:p>
            <w:pPr>
              <w:spacing w:after="20" w:before="20" w:line="240" w:lineRule="auto"/>
            </w:pPr>
            <w:r/>
            <w:r>
              <w:rPr>
                <w:rFonts w:ascii="Arial" w:hAnsi="Arial" w:cs="Arial"/>
                <w:b w:val="0"/>
                <w:i w:val="0"/>
                <w:sz w:val="17"/>
              </w:rPr>
              <w:t>Network security</w:t>
            </w:r>
          </w:p>
        </w:tc>
        <w:tc>
          <w:tcPr>
            <w:tcW w:type="dxa" w:w="3213"/>
          </w:tcPr>
          <w:p>
            <w:pPr>
              <w:spacing w:after="20" w:before="20" w:line="240" w:lineRule="auto"/>
            </w:pPr>
            <w:r/>
            <w:r>
              <w:rPr>
                <w:rFonts w:ascii="Arial" w:hAnsi="Arial" w:cs="Arial"/>
                <w:b w:val="0"/>
                <w:i w:val="0"/>
                <w:sz w:val="17"/>
              </w:rPr>
              <w:t>Cilium (eBPF)</w:t>
            </w:r>
          </w:p>
        </w:tc>
        <w:tc>
          <w:tcPr>
            <w:tcW w:type="dxa" w:w="3213"/>
          </w:tcPr>
          <w:p>
            <w:pPr>
              <w:spacing w:after="20" w:before="20" w:line="240" w:lineRule="auto"/>
            </w:pPr>
            <w:r/>
            <w:r>
              <w:rPr>
                <w:rFonts w:ascii="Arial" w:hAnsi="Arial" w:cs="Arial"/>
                <w:b w:val="0"/>
                <w:i w:val="0"/>
                <w:sz w:val="17"/>
              </w:rPr>
              <w:t>Apache 2.0</w:t>
            </w:r>
          </w:p>
        </w:tc>
      </w:tr>
      <w:tr>
        <w:tc>
          <w:tcPr>
            <w:tcW w:type="dxa" w:w="3213"/>
          </w:tcPr>
          <w:p>
            <w:pPr>
              <w:spacing w:after="20" w:before="20" w:line="240" w:lineRule="auto"/>
            </w:pPr>
            <w:r/>
            <w:r>
              <w:rPr>
                <w:rFonts w:ascii="Arial" w:hAnsi="Arial" w:cs="Arial"/>
                <w:b w:val="0"/>
                <w:i w:val="0"/>
                <w:sz w:val="17"/>
              </w:rPr>
              <w:t>Identity &amp; access</w:t>
            </w:r>
          </w:p>
        </w:tc>
        <w:tc>
          <w:tcPr>
            <w:tcW w:type="dxa" w:w="3213"/>
          </w:tcPr>
          <w:p>
            <w:pPr>
              <w:spacing w:after="20" w:before="20" w:line="240" w:lineRule="auto"/>
            </w:pPr>
            <w:r/>
            <w:r>
              <w:rPr>
                <w:rFonts w:ascii="Arial" w:hAnsi="Arial" w:cs="Arial"/>
                <w:b w:val="0"/>
                <w:i w:val="0"/>
                <w:sz w:val="17"/>
              </w:rPr>
              <w:t>ZITADEL</w:t>
            </w:r>
          </w:p>
        </w:tc>
        <w:tc>
          <w:tcPr>
            <w:tcW w:type="dxa" w:w="3213"/>
          </w:tcPr>
          <w:p>
            <w:pPr>
              <w:spacing w:after="20" w:before="20" w:line="240" w:lineRule="auto"/>
            </w:pPr>
            <w:r/>
            <w:r>
              <w:rPr>
                <w:rFonts w:ascii="Arial" w:hAnsi="Arial" w:cs="Arial"/>
                <w:b w:val="0"/>
                <w:i w:val="0"/>
                <w:sz w:val="17"/>
              </w:rPr>
              <w:t>Apache 2.0</w:t>
            </w:r>
          </w:p>
        </w:tc>
      </w:tr>
      <w:tr>
        <w:tc>
          <w:tcPr>
            <w:tcW w:type="dxa" w:w="3213"/>
          </w:tcPr>
          <w:p>
            <w:pPr>
              <w:spacing w:after="20" w:before="20" w:line="240" w:lineRule="auto"/>
            </w:pPr>
            <w:r/>
            <w:r>
              <w:rPr>
                <w:rFonts w:ascii="Arial" w:hAnsi="Arial" w:cs="Arial"/>
                <w:b w:val="0"/>
                <w:i w:val="0"/>
                <w:sz w:val="17"/>
              </w:rPr>
              <w:t>Policy enforcement</w:t>
            </w:r>
          </w:p>
        </w:tc>
        <w:tc>
          <w:tcPr>
            <w:tcW w:type="dxa" w:w="3213"/>
          </w:tcPr>
          <w:p>
            <w:pPr>
              <w:spacing w:after="20" w:before="20" w:line="240" w:lineRule="auto"/>
            </w:pPr>
            <w:r/>
            <w:r>
              <w:rPr>
                <w:rFonts w:ascii="Arial" w:hAnsi="Arial" w:cs="Arial"/>
                <w:b w:val="0"/>
                <w:i w:val="0"/>
                <w:sz w:val="17"/>
              </w:rPr>
              <w:t>OPA, WasmEdge</w:t>
            </w:r>
          </w:p>
        </w:tc>
        <w:tc>
          <w:tcPr>
            <w:tcW w:type="dxa" w:w="3213"/>
          </w:tcPr>
          <w:p>
            <w:pPr>
              <w:spacing w:after="20" w:before="20" w:line="240" w:lineRule="auto"/>
            </w:pPr>
            <w:r/>
            <w:r>
              <w:rPr>
                <w:rFonts w:ascii="Arial" w:hAnsi="Arial" w:cs="Arial"/>
                <w:b w:val="0"/>
                <w:i w:val="0"/>
                <w:sz w:val="17"/>
              </w:rPr>
              <w:t>Apache 2.0 / MIT</w:t>
            </w:r>
          </w:p>
        </w:tc>
      </w:tr>
      <w:tr>
        <w:tc>
          <w:tcPr>
            <w:tcW w:type="dxa" w:w="3213"/>
          </w:tcPr>
          <w:p>
            <w:pPr>
              <w:spacing w:after="20" w:before="20" w:line="240" w:lineRule="auto"/>
            </w:pPr>
            <w:r/>
            <w:r>
              <w:rPr>
                <w:rFonts w:ascii="Arial" w:hAnsi="Arial" w:cs="Arial"/>
                <w:b w:val="0"/>
                <w:i w:val="0"/>
                <w:sz w:val="17"/>
              </w:rPr>
              <w:t>Secrets management</w:t>
            </w:r>
          </w:p>
        </w:tc>
        <w:tc>
          <w:tcPr>
            <w:tcW w:type="dxa" w:w="3213"/>
          </w:tcPr>
          <w:p>
            <w:pPr>
              <w:spacing w:after="20" w:before="20" w:line="240" w:lineRule="auto"/>
            </w:pPr>
            <w:r/>
            <w:r>
              <w:rPr>
                <w:rFonts w:ascii="Arial" w:hAnsi="Arial" w:cs="Arial"/>
                <w:b w:val="0"/>
                <w:i w:val="0"/>
                <w:sz w:val="17"/>
              </w:rPr>
              <w:t>HashiCorp Vault (self-hosted)</w:t>
            </w:r>
          </w:p>
        </w:tc>
        <w:tc>
          <w:tcPr>
            <w:tcW w:type="dxa" w:w="3213"/>
          </w:tcPr>
          <w:p>
            <w:pPr>
              <w:spacing w:after="20" w:before="20" w:line="240" w:lineRule="auto"/>
            </w:pPr>
            <w:r/>
            <w:r>
              <w:rPr>
                <w:rFonts w:ascii="Arial" w:hAnsi="Arial" w:cs="Arial"/>
                <w:b w:val="0"/>
                <w:i w:val="0"/>
                <w:sz w:val="17"/>
              </w:rPr>
              <w:t>MPL 2.0</w:t>
            </w:r>
          </w:p>
        </w:tc>
      </w:tr>
      <w:tr>
        <w:tc>
          <w:tcPr>
            <w:tcW w:type="dxa" w:w="3213"/>
          </w:tcPr>
          <w:p>
            <w:pPr>
              <w:spacing w:after="20" w:before="20" w:line="240" w:lineRule="auto"/>
            </w:pPr>
            <w:r/>
            <w:r>
              <w:rPr>
                <w:rFonts w:ascii="Arial" w:hAnsi="Arial" w:cs="Arial"/>
                <w:b w:val="0"/>
                <w:i w:val="0"/>
                <w:sz w:val="17"/>
              </w:rPr>
              <w:t>Logging &amp; monitoring</w:t>
            </w:r>
          </w:p>
        </w:tc>
        <w:tc>
          <w:tcPr>
            <w:tcW w:type="dxa" w:w="3213"/>
          </w:tcPr>
          <w:p>
            <w:pPr>
              <w:spacing w:after="20" w:before="20" w:line="240" w:lineRule="auto"/>
            </w:pPr>
            <w:r/>
            <w:r>
              <w:rPr>
                <w:rFonts w:ascii="Arial" w:hAnsi="Arial" w:cs="Arial"/>
                <w:b w:val="0"/>
                <w:i w:val="0"/>
                <w:sz w:val="17"/>
              </w:rPr>
              <w:t>Prometheus, Grafana, Loki, Jaeger</w:t>
            </w:r>
          </w:p>
        </w:tc>
        <w:tc>
          <w:tcPr>
            <w:tcW w:type="dxa" w:w="3213"/>
          </w:tcPr>
          <w:p>
            <w:pPr>
              <w:spacing w:after="20" w:before="20" w:line="240" w:lineRule="auto"/>
            </w:pPr>
            <w:r/>
            <w:r>
              <w:rPr>
                <w:rFonts w:ascii="Arial" w:hAnsi="Arial" w:cs="Arial"/>
                <w:b w:val="0"/>
                <w:i w:val="0"/>
                <w:sz w:val="17"/>
              </w:rPr>
              <w:t>Apache 2.0</w:t>
            </w:r>
          </w:p>
        </w:tc>
      </w:tr>
      <w:tr>
        <w:tc>
          <w:tcPr>
            <w:tcW w:type="dxa" w:w="3213"/>
          </w:tcPr>
          <w:p>
            <w:pPr>
              <w:spacing w:after="20" w:before="20" w:line="240" w:lineRule="auto"/>
            </w:pPr>
            <w:r/>
            <w:r>
              <w:rPr>
                <w:rFonts w:ascii="Arial" w:hAnsi="Arial" w:cs="Arial"/>
                <w:b w:val="0"/>
                <w:i w:val="0"/>
                <w:sz w:val="17"/>
              </w:rPr>
              <w:t>Intrusion detection</w:t>
            </w:r>
          </w:p>
        </w:tc>
        <w:tc>
          <w:tcPr>
            <w:tcW w:type="dxa" w:w="3213"/>
          </w:tcPr>
          <w:p>
            <w:pPr>
              <w:spacing w:after="20" w:before="20" w:line="240" w:lineRule="auto"/>
            </w:pPr>
            <w:r/>
            <w:r>
              <w:rPr>
                <w:rFonts w:ascii="Arial" w:hAnsi="Arial" w:cs="Arial"/>
                <w:b w:val="0"/>
                <w:i w:val="0"/>
                <w:sz w:val="17"/>
              </w:rPr>
              <w:t>CrowdSec (community)</w:t>
            </w:r>
          </w:p>
        </w:tc>
        <w:tc>
          <w:tcPr>
            <w:tcW w:type="dxa" w:w="3213"/>
          </w:tcPr>
          <w:p>
            <w:pPr>
              <w:spacing w:after="20" w:before="20" w:line="240" w:lineRule="auto"/>
            </w:pPr>
            <w:r/>
            <w:r>
              <w:rPr>
                <w:rFonts w:ascii="Arial" w:hAnsi="Arial" w:cs="Arial"/>
                <w:b w:val="0"/>
                <w:i w:val="0"/>
                <w:sz w:val="17"/>
              </w:rPr>
              <w:t>MIT</w:t>
            </w:r>
          </w:p>
        </w:tc>
      </w:tr>
      <w:tr>
        <w:tc>
          <w:tcPr>
            <w:tcW w:type="dxa" w:w="3213"/>
          </w:tcPr>
          <w:p>
            <w:pPr>
              <w:spacing w:after="20" w:before="20" w:line="240" w:lineRule="auto"/>
            </w:pPr>
            <w:r/>
            <w:r>
              <w:rPr>
                <w:rFonts w:ascii="Arial" w:hAnsi="Arial" w:cs="Arial"/>
                <w:b w:val="0"/>
                <w:i w:val="0"/>
                <w:sz w:val="17"/>
              </w:rPr>
              <w:t>Threat intelligence feeds</w:t>
            </w:r>
          </w:p>
        </w:tc>
        <w:tc>
          <w:tcPr>
            <w:tcW w:type="dxa" w:w="3213"/>
          </w:tcPr>
          <w:p>
            <w:pPr>
              <w:spacing w:after="20" w:before="20" w:line="240" w:lineRule="auto"/>
            </w:pPr>
            <w:r/>
            <w:r>
              <w:rPr>
                <w:rFonts w:ascii="Arial" w:hAnsi="Arial" w:cs="Arial"/>
                <w:b w:val="0"/>
                <w:i w:val="0"/>
                <w:sz w:val="17"/>
              </w:rPr>
              <w:t>AlienVault OTX, MISP (free communities), CISA</w:t>
            </w:r>
          </w:p>
        </w:tc>
        <w:tc>
          <w:tcPr>
            <w:tcW w:type="dxa" w:w="3213"/>
          </w:tcPr>
          <w:p>
            <w:pPr>
              <w:spacing w:after="20" w:before="20" w:line="240" w:lineRule="auto"/>
            </w:pPr>
            <w:r/>
            <w:r>
              <w:rPr>
                <w:rFonts w:ascii="Arial" w:hAnsi="Arial" w:cs="Arial"/>
                <w:b w:val="0"/>
                <w:i w:val="0"/>
                <w:sz w:val="17"/>
              </w:rPr>
              <w:t>Public / CC0</w:t>
            </w:r>
          </w:p>
        </w:tc>
      </w:tr>
      <w:tr>
        <w:tc>
          <w:tcPr>
            <w:tcW w:type="dxa" w:w="3213"/>
          </w:tcPr>
          <w:p>
            <w:pPr>
              <w:spacing w:after="20" w:before="20" w:line="240" w:lineRule="auto"/>
            </w:pPr>
            <w:r/>
            <w:r>
              <w:rPr>
                <w:rFonts w:ascii="Arial" w:hAnsi="Arial" w:cs="Arial"/>
                <w:b w:val="0"/>
                <w:i w:val="0"/>
                <w:sz w:val="17"/>
              </w:rPr>
              <w:t>AI summarisation</w:t>
            </w:r>
          </w:p>
        </w:tc>
        <w:tc>
          <w:tcPr>
            <w:tcW w:type="dxa" w:w="3213"/>
          </w:tcPr>
          <w:p>
            <w:pPr>
              <w:spacing w:after="20" w:before="20" w:line="240" w:lineRule="auto"/>
            </w:pPr>
            <w:r/>
            <w:r>
              <w:rPr>
                <w:rFonts w:ascii="Arial" w:hAnsi="Arial" w:cs="Arial"/>
                <w:b w:val="0"/>
                <w:i w:val="0"/>
                <w:sz w:val="17"/>
              </w:rPr>
              <w:t>Groq (free tier), Ollama (local fallback)</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ZK Proofs</w:t>
            </w:r>
          </w:p>
        </w:tc>
        <w:tc>
          <w:tcPr>
            <w:tcW w:type="dxa" w:w="3213"/>
          </w:tcPr>
          <w:p>
            <w:pPr>
              <w:spacing w:after="20" w:before="20" w:line="240" w:lineRule="auto"/>
            </w:pPr>
            <w:r/>
            <w:r>
              <w:rPr>
                <w:rFonts w:ascii="Arial" w:hAnsi="Arial" w:cs="Arial"/>
                <w:b w:val="0"/>
                <w:i w:val="0"/>
                <w:sz w:val="17"/>
              </w:rPr>
              <w:t>Plonky3</w:t>
            </w:r>
          </w:p>
        </w:tc>
        <w:tc>
          <w:tcPr>
            <w:tcW w:type="dxa" w:w="3213"/>
          </w:tcPr>
          <w:p>
            <w:pPr>
              <w:spacing w:after="20" w:before="20" w:line="240" w:lineRule="auto"/>
            </w:pPr>
            <w:r/>
            <w:r>
              <w:rPr>
                <w:rFonts w:ascii="Arial" w:hAnsi="Arial" w:cs="Arial"/>
                <w:b w:val="0"/>
                <w:i w:val="0"/>
                <w:sz w:val="17"/>
              </w:rPr>
              <w:t>MIT</w:t>
            </w:r>
          </w:p>
        </w:tc>
      </w:tr>
      <w:tr>
        <w:tc>
          <w:tcPr>
            <w:tcW w:type="dxa" w:w="3213"/>
          </w:tcPr>
          <w:p>
            <w:pPr>
              <w:spacing w:after="20" w:before="20" w:line="240" w:lineRule="auto"/>
            </w:pPr>
            <w:r/>
            <w:r>
              <w:rPr>
                <w:rFonts w:ascii="Arial" w:hAnsi="Arial" w:cs="Arial"/>
                <w:b w:val="0"/>
                <w:i w:val="0"/>
                <w:sz w:val="17"/>
              </w:rPr>
              <w:t>Chaos engineering</w:t>
            </w:r>
          </w:p>
        </w:tc>
        <w:tc>
          <w:tcPr>
            <w:tcW w:type="dxa" w:w="3213"/>
          </w:tcPr>
          <w:p>
            <w:pPr>
              <w:spacing w:after="20" w:before="20" w:line="240" w:lineRule="auto"/>
            </w:pPr>
            <w:r/>
            <w:r>
              <w:rPr>
                <w:rFonts w:ascii="Arial" w:hAnsi="Arial" w:cs="Arial"/>
                <w:b w:val="0"/>
                <w:i w:val="0"/>
                <w:sz w:val="17"/>
              </w:rPr>
              <w:t>Chaos Mesh</w:t>
            </w:r>
          </w:p>
        </w:tc>
        <w:tc>
          <w:tcPr>
            <w:tcW w:type="dxa" w:w="3213"/>
          </w:tcPr>
          <w:p>
            <w:pPr>
              <w:spacing w:after="20" w:before="20" w:line="240" w:lineRule="auto"/>
            </w:pPr>
            <w:r/>
            <w:r>
              <w:rPr>
                <w:rFonts w:ascii="Arial" w:hAnsi="Arial" w:cs="Arial"/>
                <w:b w:val="0"/>
                <w:i w:val="0"/>
                <w:sz w:val="17"/>
              </w:rPr>
              <w:t>Apache 2.0</w:t>
            </w:r>
          </w:p>
        </w:tc>
      </w:tr>
      <w:tr>
        <w:tc>
          <w:tcPr>
            <w:tcW w:type="dxa" w:w="3213"/>
          </w:tcPr>
          <w:p>
            <w:pPr>
              <w:spacing w:after="20" w:before="20" w:line="240" w:lineRule="auto"/>
            </w:pPr>
            <w:r/>
            <w:r>
              <w:rPr>
                <w:rFonts w:ascii="Arial" w:hAnsi="Arial" w:cs="Arial"/>
                <w:b w:val="0"/>
                <w:i w:val="0"/>
                <w:sz w:val="17"/>
              </w:rPr>
              <w:t>Distributed tracing</w:t>
            </w:r>
          </w:p>
        </w:tc>
        <w:tc>
          <w:tcPr>
            <w:tcW w:type="dxa" w:w="3213"/>
          </w:tcPr>
          <w:p>
            <w:pPr>
              <w:spacing w:after="20" w:before="20" w:line="240" w:lineRule="auto"/>
            </w:pPr>
            <w:r/>
            <w:r>
              <w:rPr>
                <w:rFonts w:ascii="Arial" w:hAnsi="Arial" w:cs="Arial"/>
                <w:b w:val="0"/>
                <w:i w:val="0"/>
                <w:sz w:val="17"/>
              </w:rPr>
              <w:t>Jaeger (OpenTelemetry)</w:t>
            </w:r>
          </w:p>
        </w:tc>
        <w:tc>
          <w:tcPr>
            <w:tcW w:type="dxa" w:w="3213"/>
          </w:tcPr>
          <w:p>
            <w:pPr>
              <w:spacing w:after="20" w:before="20" w:line="240" w:lineRule="auto"/>
            </w:pPr>
            <w:r/>
            <w:r>
              <w:rPr>
                <w:rFonts w:ascii="Arial" w:hAnsi="Arial" w:cs="Arial"/>
                <w:b w:val="0"/>
                <w:i w:val="0"/>
                <w:sz w:val="17"/>
              </w:rPr>
              <w:t>Apache 2.0</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21.1.8 Continuous Security Controls &amp; Verification</w:t>
      </w:r>
    </w:p>
    <w:p>
      <w:pPr>
        <w:spacing w:after="80" w:line="293" w:lineRule="auto"/>
        <w:jc w:val="left"/>
      </w:pPr>
      <w:r>
        <w:rPr>
          <w:rFonts w:ascii="Times New Roman" w:hAnsi="Times New Roman" w:cs="Times New Roman"/>
          <w:b w:val="0"/>
          <w:i w:val="0"/>
          <w:sz w:val="22"/>
        </w:rPr>
        <w:t>Hourly Loom chain verification, weekly penetration tests (OWASP ZAP, nuclei, Trivy in staging), and daily vulnerability scans are standing operations. The full control cadence: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Control</w:t>
            </w:r>
          </w:p>
        </w:tc>
        <w:tc>
          <w:tcPr>
            <w:tcW w:type="dxa" w:w="2409"/>
            <w:shd w:val="clear" w:fill="D9E2F3"/>
          </w:tcPr>
          <w:p>
            <w:pPr>
              <w:spacing w:after="20" w:before="20" w:line="240" w:lineRule="auto"/>
            </w:pPr>
            <w:r/>
            <w:r>
              <w:rPr>
                <w:rFonts w:ascii="Arial" w:hAnsi="Arial" w:cs="Arial"/>
                <w:b/>
                <w:i w:val="0"/>
                <w:sz w:val="18"/>
              </w:rPr>
              <w:t>Frequency</w:t>
            </w:r>
          </w:p>
        </w:tc>
        <w:tc>
          <w:tcPr>
            <w:tcW w:type="dxa" w:w="2409"/>
            <w:shd w:val="clear" w:fill="D9E2F3"/>
          </w:tcPr>
          <w:p>
            <w:pPr>
              <w:spacing w:after="20" w:before="20" w:line="240" w:lineRule="auto"/>
            </w:pPr>
            <w:r/>
            <w:r>
              <w:rPr>
                <w:rFonts w:ascii="Arial" w:hAnsi="Arial" w:cs="Arial"/>
                <w:b/>
                <w:i w:val="0"/>
                <w:sz w:val="18"/>
              </w:rPr>
              <w:t>Tool</w:t>
            </w:r>
          </w:p>
        </w:tc>
        <w:tc>
          <w:tcPr>
            <w:tcW w:type="dxa" w:w="2409"/>
            <w:shd w:val="clear" w:fill="D9E2F3"/>
          </w:tcPr>
          <w:p>
            <w:pPr>
              <w:spacing w:after="20" w:before="20" w:line="240" w:lineRule="auto"/>
            </w:pPr>
            <w:r/>
            <w:r>
              <w:rPr>
                <w:rFonts w:ascii="Arial" w:hAnsi="Arial" w:cs="Arial"/>
                <w:b/>
                <w:i w:val="0"/>
                <w:sz w:val="18"/>
              </w:rPr>
              <w:t>Responsible</w:t>
            </w:r>
          </w:p>
        </w:tc>
      </w:tr>
      <w:tr>
        <w:tc>
          <w:tcPr>
            <w:tcW w:type="dxa" w:w="2409"/>
          </w:tcPr>
          <w:p>
            <w:pPr>
              <w:spacing w:after="20" w:before="20" w:line="240" w:lineRule="auto"/>
            </w:pPr>
            <w:r/>
            <w:r>
              <w:rPr>
                <w:rFonts w:ascii="Arial" w:hAnsi="Arial" w:cs="Arial"/>
                <w:b w:val="0"/>
                <w:i w:val="0"/>
                <w:sz w:val="17"/>
              </w:rPr>
              <w:t>STRIDE rescan</w:t>
            </w:r>
          </w:p>
        </w:tc>
        <w:tc>
          <w:tcPr>
            <w:tcW w:type="dxa" w:w="2409"/>
          </w:tcPr>
          <w:p>
            <w:pPr>
              <w:spacing w:after="20" w:before="20" w:line="240" w:lineRule="auto"/>
            </w:pPr>
            <w:r/>
            <w:r>
              <w:rPr>
                <w:rFonts w:ascii="Arial" w:hAnsi="Arial" w:cs="Arial"/>
                <w:b w:val="0"/>
                <w:i w:val="0"/>
                <w:sz w:val="17"/>
              </w:rPr>
              <w:t>Weekly</w:t>
            </w:r>
          </w:p>
        </w:tc>
        <w:tc>
          <w:tcPr>
            <w:tcW w:type="dxa" w:w="2409"/>
          </w:tcPr>
          <w:p>
            <w:pPr>
              <w:spacing w:after="20" w:before="20" w:line="240" w:lineRule="auto"/>
            </w:pPr>
            <w:r/>
            <w:r>
              <w:rPr>
                <w:rFonts w:ascii="Arial" w:hAnsi="Arial" w:cs="Arial"/>
                <w:b w:val="0"/>
                <w:i w:val="0"/>
                <w:sz w:val="17"/>
              </w:rPr>
              <w:t>Rig agent (Rust)</w:t>
            </w:r>
          </w:p>
        </w:tc>
        <w:tc>
          <w:tcPr>
            <w:tcW w:type="dxa" w:w="2409"/>
          </w:tcPr>
          <w:p>
            <w:pPr>
              <w:spacing w:after="20" w:before="20" w:line="240" w:lineRule="auto"/>
            </w:pPr>
            <w:r/>
            <w:r>
              <w:rPr>
                <w:rFonts w:ascii="Arial" w:hAnsi="Arial" w:cs="Arial"/>
                <w:b w:val="0"/>
                <w:i w:val="0"/>
                <w:sz w:val="17"/>
              </w:rPr>
              <w:t>Admin Portal</w:t>
            </w:r>
          </w:p>
        </w:tc>
      </w:tr>
      <w:tr>
        <w:tc>
          <w:tcPr>
            <w:tcW w:type="dxa" w:w="2409"/>
          </w:tcPr>
          <w:p>
            <w:pPr>
              <w:spacing w:after="20" w:before="20" w:line="240" w:lineRule="auto"/>
            </w:pPr>
            <w:r/>
            <w:r>
              <w:rPr>
                <w:rFonts w:ascii="Arial" w:hAnsi="Arial" w:cs="Arial"/>
                <w:b w:val="0"/>
                <w:i w:val="0"/>
                <w:sz w:val="17"/>
              </w:rPr>
              <w:t>Vulnerability scan (Trivy, nuclei, ZAP)</w:t>
            </w:r>
          </w:p>
        </w:tc>
        <w:tc>
          <w:tcPr>
            <w:tcW w:type="dxa" w:w="2409"/>
          </w:tcPr>
          <w:p>
            <w:pPr>
              <w:spacing w:after="20" w:before="20" w:line="240" w:lineRule="auto"/>
            </w:pPr>
            <w:r/>
            <w:r>
              <w:rPr>
                <w:rFonts w:ascii="Arial" w:hAnsi="Arial" w:cs="Arial"/>
                <w:b w:val="0"/>
                <w:i w:val="0"/>
                <w:sz w:val="17"/>
              </w:rPr>
              <w:t>Daily (staging) / Weekly (production)</w:t>
            </w:r>
          </w:p>
        </w:tc>
        <w:tc>
          <w:tcPr>
            <w:tcW w:type="dxa" w:w="2409"/>
          </w:tcPr>
          <w:p>
            <w:pPr>
              <w:spacing w:after="20" w:before="20" w:line="240" w:lineRule="auto"/>
            </w:pPr>
            <w:r/>
            <w:r>
              <w:rPr>
                <w:rFonts w:ascii="Arial" w:hAnsi="Arial" w:cs="Arial"/>
                <w:b w:val="0"/>
                <w:i w:val="0"/>
                <w:sz w:val="17"/>
              </w:rPr>
              <w:t>pentest-service</w:t>
            </w:r>
          </w:p>
        </w:tc>
        <w:tc>
          <w:tcPr>
            <w:tcW w:type="dxa" w:w="2409"/>
          </w:tcPr>
          <w:p>
            <w:pPr>
              <w:spacing w:after="20" w:before="20" w:line="240" w:lineRule="auto"/>
            </w:pPr>
            <w:r/>
            <w:r>
              <w:rPr>
                <w:rFonts w:ascii="Arial" w:hAnsi="Arial" w:cs="Arial"/>
                <w:b w:val="0"/>
                <w:i w:val="0"/>
                <w:sz w:val="17"/>
              </w:rPr>
              <w:t>CI/CD, Admin Portal</w:t>
            </w:r>
          </w:p>
        </w:tc>
      </w:tr>
      <w:tr>
        <w:tc>
          <w:tcPr>
            <w:tcW w:type="dxa" w:w="2409"/>
          </w:tcPr>
          <w:p>
            <w:pPr>
              <w:spacing w:after="20" w:before="20" w:line="240" w:lineRule="auto"/>
            </w:pPr>
            <w:r/>
            <w:r>
              <w:rPr>
                <w:rFonts w:ascii="Arial" w:hAnsi="Arial" w:cs="Arial"/>
                <w:b w:val="0"/>
                <w:i w:val="0"/>
                <w:sz w:val="17"/>
              </w:rPr>
              <w:t>Container image scanning</w:t>
            </w:r>
          </w:p>
        </w:tc>
        <w:tc>
          <w:tcPr>
            <w:tcW w:type="dxa" w:w="2409"/>
          </w:tcPr>
          <w:p>
            <w:pPr>
              <w:spacing w:after="20" w:before="20" w:line="240" w:lineRule="auto"/>
            </w:pPr>
            <w:r/>
            <w:r>
              <w:rPr>
                <w:rFonts w:ascii="Arial" w:hAnsi="Arial" w:cs="Arial"/>
                <w:b w:val="0"/>
                <w:i w:val="0"/>
                <w:sz w:val="17"/>
              </w:rPr>
              <w:t>Every build</w:t>
            </w:r>
          </w:p>
        </w:tc>
        <w:tc>
          <w:tcPr>
            <w:tcW w:type="dxa" w:w="2409"/>
          </w:tcPr>
          <w:p>
            <w:pPr>
              <w:spacing w:after="20" w:before="20" w:line="240" w:lineRule="auto"/>
            </w:pPr>
            <w:r/>
            <w:r>
              <w:rPr>
                <w:rFonts w:ascii="Arial" w:hAnsi="Arial" w:cs="Arial"/>
                <w:b w:val="0"/>
                <w:i w:val="0"/>
                <w:sz w:val="17"/>
              </w:rPr>
              <w:t>Trivy</w:t>
            </w:r>
          </w:p>
        </w:tc>
        <w:tc>
          <w:tcPr>
            <w:tcW w:type="dxa" w:w="2409"/>
          </w:tcPr>
          <w:p>
            <w:pPr>
              <w:spacing w:after="20" w:before="20" w:line="240" w:lineRule="auto"/>
            </w:pPr>
            <w:r/>
            <w:r>
              <w:rPr>
                <w:rFonts w:ascii="Arial" w:hAnsi="Arial" w:cs="Arial"/>
                <w:b w:val="0"/>
                <w:i w:val="0"/>
                <w:sz w:val="17"/>
              </w:rPr>
              <w:t>CI pipeline</w:t>
            </w:r>
          </w:p>
        </w:tc>
      </w:tr>
      <w:tr>
        <w:tc>
          <w:tcPr>
            <w:tcW w:type="dxa" w:w="2409"/>
          </w:tcPr>
          <w:p>
            <w:pPr>
              <w:spacing w:after="20" w:before="20" w:line="240" w:lineRule="auto"/>
            </w:pPr>
            <w:r/>
            <w:r>
              <w:rPr>
                <w:rFonts w:ascii="Arial" w:hAnsi="Arial" w:cs="Arial"/>
                <w:b w:val="0"/>
                <w:i w:val="0"/>
                <w:sz w:val="17"/>
              </w:rPr>
              <w:t>Loom chain integrity</w:t>
            </w:r>
          </w:p>
        </w:tc>
        <w:tc>
          <w:tcPr>
            <w:tcW w:type="dxa" w:w="2409"/>
          </w:tcPr>
          <w:p>
            <w:pPr>
              <w:spacing w:after="20" w:before="20" w:line="240" w:lineRule="auto"/>
            </w:pPr>
            <w:r/>
            <w:r>
              <w:rPr>
                <w:rFonts w:ascii="Arial" w:hAnsi="Arial" w:cs="Arial"/>
                <w:b w:val="0"/>
                <w:i w:val="0"/>
                <w:sz w:val="17"/>
              </w:rPr>
              <w:t>Hourly</w:t>
            </w:r>
          </w:p>
        </w:tc>
        <w:tc>
          <w:tcPr>
            <w:tcW w:type="dxa" w:w="2409"/>
          </w:tcPr>
          <w:p>
            <w:pPr>
              <w:spacing w:after="20" w:before="20" w:line="240" w:lineRule="auto"/>
            </w:pPr>
            <w:r/>
            <w:r>
              <w:rPr>
                <w:rFonts w:ascii="Arial" w:hAnsi="Arial" w:cs="Arial"/>
                <w:b w:val="0"/>
                <w:i w:val="0"/>
                <w:sz w:val="17"/>
              </w:rPr>
              <w:t>audit-chain-verifier</w:t>
            </w:r>
          </w:p>
        </w:tc>
        <w:tc>
          <w:tcPr>
            <w:tcW w:type="dxa" w:w="2409"/>
          </w:tcPr>
          <w:p>
            <w:pPr>
              <w:spacing w:after="20" w:before="20" w:line="240" w:lineRule="auto"/>
            </w:pPr>
            <w:r/>
            <w:r>
              <w:rPr>
                <w:rFonts w:ascii="Arial" w:hAnsi="Arial" w:cs="Arial"/>
                <w:b w:val="0"/>
                <w:i w:val="0"/>
                <w:sz w:val="17"/>
              </w:rPr>
              <w:t>Governor service</w:t>
            </w:r>
          </w:p>
        </w:tc>
      </w:tr>
      <w:tr>
        <w:tc>
          <w:tcPr>
            <w:tcW w:type="dxa" w:w="2409"/>
          </w:tcPr>
          <w:p>
            <w:pPr>
              <w:spacing w:after="20" w:before="20" w:line="240" w:lineRule="auto"/>
            </w:pPr>
            <w:r/>
            <w:r>
              <w:rPr>
                <w:rFonts w:ascii="Arial" w:hAnsi="Arial" w:cs="Arial"/>
                <w:b w:val="0"/>
                <w:i w:val="0"/>
                <w:sz w:val="17"/>
              </w:rPr>
              <w:t>Secrets rotation</w:t>
            </w:r>
          </w:p>
        </w:tc>
        <w:tc>
          <w:tcPr>
            <w:tcW w:type="dxa" w:w="2409"/>
          </w:tcPr>
          <w:p>
            <w:pPr>
              <w:spacing w:after="20" w:before="20" w:line="240" w:lineRule="auto"/>
            </w:pPr>
            <w:r/>
            <w:r>
              <w:rPr>
                <w:rFonts w:ascii="Arial" w:hAnsi="Arial" w:cs="Arial"/>
                <w:b w:val="0"/>
                <w:i w:val="0"/>
                <w:sz w:val="17"/>
              </w:rPr>
              <w:t>90 days</w:t>
            </w:r>
          </w:p>
        </w:tc>
        <w:tc>
          <w:tcPr>
            <w:tcW w:type="dxa" w:w="2409"/>
          </w:tcPr>
          <w:p>
            <w:pPr>
              <w:spacing w:after="20" w:before="20" w:line="240" w:lineRule="auto"/>
            </w:pPr>
            <w:r/>
            <w:r>
              <w:rPr>
                <w:rFonts w:ascii="Arial" w:hAnsi="Arial" w:cs="Arial"/>
                <w:b w:val="0"/>
                <w:i w:val="0"/>
                <w:sz w:val="17"/>
              </w:rPr>
              <w:t>Ansible + HashiCorp Vault (self-hosted)</w:t>
            </w:r>
          </w:p>
        </w:tc>
        <w:tc>
          <w:tcPr>
            <w:tcW w:type="dxa" w:w="2409"/>
          </w:tcPr>
          <w:p>
            <w:pPr>
              <w:spacing w:after="20" w:before="20" w:line="240" w:lineRule="auto"/>
            </w:pPr>
            <w:r/>
            <w:r>
              <w:rPr>
                <w:rFonts w:ascii="Arial" w:hAnsi="Arial" w:cs="Arial"/>
                <w:b w:val="0"/>
                <w:i w:val="0"/>
                <w:sz w:val="17"/>
              </w:rPr>
              <w:t>Platform Authority</w:t>
            </w:r>
          </w:p>
        </w:tc>
      </w:tr>
      <w:tr>
        <w:tc>
          <w:tcPr>
            <w:tcW w:type="dxa" w:w="2409"/>
          </w:tcPr>
          <w:p>
            <w:pPr>
              <w:spacing w:after="20" w:before="20" w:line="240" w:lineRule="auto"/>
            </w:pPr>
            <w:r/>
            <w:r>
              <w:rPr>
                <w:rFonts w:ascii="Arial" w:hAnsi="Arial" w:cs="Arial"/>
                <w:b w:val="0"/>
                <w:i w:val="0"/>
                <w:sz w:val="17"/>
              </w:rPr>
              <w:t>Red-team exercise</w:t>
            </w:r>
          </w:p>
        </w:tc>
        <w:tc>
          <w:tcPr>
            <w:tcW w:type="dxa" w:w="2409"/>
          </w:tcPr>
          <w:p>
            <w:pPr>
              <w:spacing w:after="20" w:before="20" w:line="240" w:lineRule="auto"/>
            </w:pPr>
            <w:r/>
            <w:r>
              <w:rPr>
                <w:rFonts w:ascii="Arial" w:hAnsi="Arial" w:cs="Arial"/>
                <w:b w:val="0"/>
                <w:i w:val="0"/>
                <w:sz w:val="17"/>
              </w:rPr>
              <w:t>Quarterly</w:t>
            </w:r>
          </w:p>
        </w:tc>
        <w:tc>
          <w:tcPr>
            <w:tcW w:type="dxa" w:w="2409"/>
          </w:tcPr>
          <w:p>
            <w:pPr>
              <w:spacing w:after="20" w:before="20" w:line="240" w:lineRule="auto"/>
            </w:pPr>
            <w:r/>
            <w:r>
              <w:rPr>
                <w:rFonts w:ascii="Arial" w:hAnsi="Arial" w:cs="Arial"/>
                <w:b w:val="0"/>
                <w:i w:val="0"/>
                <w:sz w:val="17"/>
              </w:rPr>
              <w:t>Rig agent (simulated) + external (optional)</w:t>
            </w:r>
          </w:p>
        </w:tc>
        <w:tc>
          <w:tcPr>
            <w:tcW w:type="dxa" w:w="2409"/>
          </w:tcPr>
          <w:p>
            <w:pPr>
              <w:spacing w:after="20" w:before="20" w:line="240" w:lineRule="auto"/>
            </w:pPr>
            <w:r/>
            <w:r>
              <w:rPr>
                <w:rFonts w:ascii="Arial" w:hAnsi="Arial" w:cs="Arial"/>
                <w:b w:val="0"/>
                <w:i w:val="0"/>
                <w:sz w:val="17"/>
              </w:rPr>
              <w:t>Security team</w:t>
            </w:r>
          </w:p>
        </w:tc>
      </w:tr>
      <w:tr>
        <w:tc>
          <w:tcPr>
            <w:tcW w:type="dxa" w:w="2409"/>
          </w:tcPr>
          <w:p>
            <w:pPr>
              <w:spacing w:after="20" w:before="20" w:line="240" w:lineRule="auto"/>
            </w:pPr>
            <w:r/>
            <w:r>
              <w:rPr>
                <w:rFonts w:ascii="Arial" w:hAnsi="Arial" w:cs="Arial"/>
                <w:b w:val="0"/>
                <w:i w:val="0"/>
                <w:sz w:val="17"/>
              </w:rPr>
              <w:t>Dependency scanning</w:t>
            </w:r>
          </w:p>
        </w:tc>
        <w:tc>
          <w:tcPr>
            <w:tcW w:type="dxa" w:w="2409"/>
          </w:tcPr>
          <w:p>
            <w:pPr>
              <w:spacing w:after="20" w:before="20" w:line="240" w:lineRule="auto"/>
            </w:pPr>
            <w:r/>
            <w:r>
              <w:rPr>
                <w:rFonts w:ascii="Arial" w:hAnsi="Arial" w:cs="Arial"/>
                <w:b w:val="0"/>
                <w:i w:val="0"/>
                <w:sz w:val="17"/>
              </w:rPr>
              <w:t>Weekly</w:t>
            </w:r>
          </w:p>
        </w:tc>
        <w:tc>
          <w:tcPr>
            <w:tcW w:type="dxa" w:w="2409"/>
          </w:tcPr>
          <w:p>
            <w:pPr>
              <w:spacing w:after="20" w:before="20" w:line="240" w:lineRule="auto"/>
            </w:pPr>
            <w:r/>
            <w:r>
              <w:rPr>
                <w:rFonts w:ascii="Arial" w:hAnsi="Arial" w:cs="Arial"/>
                <w:b w:val="0"/>
                <w:i w:val="0"/>
                <w:sz w:val="17"/>
              </w:rPr>
              <w:t>cargo audit, npm audit</w:t>
            </w:r>
          </w:p>
        </w:tc>
        <w:tc>
          <w:tcPr>
            <w:tcW w:type="dxa" w:w="2409"/>
          </w:tcPr>
          <w:p>
            <w:pPr>
              <w:spacing w:after="20" w:before="20" w:line="240" w:lineRule="auto"/>
            </w:pPr>
            <w:r/>
            <w:r>
              <w:rPr>
                <w:rFonts w:ascii="Arial" w:hAnsi="Arial" w:cs="Arial"/>
                <w:b w:val="0"/>
                <w:i w:val="0"/>
                <w:sz w:val="17"/>
              </w:rPr>
              <w:t>CI pipeline</w:t>
            </w:r>
          </w:p>
        </w:tc>
      </w:tr>
      <w:tr>
        <w:tc>
          <w:tcPr>
            <w:tcW w:type="dxa" w:w="2409"/>
          </w:tcPr>
          <w:p>
            <w:pPr>
              <w:spacing w:after="20" w:before="20" w:line="240" w:lineRule="auto"/>
            </w:pPr>
            <w:r/>
            <w:r>
              <w:rPr>
                <w:rFonts w:ascii="Arial" w:hAnsi="Arial" w:cs="Arial"/>
                <w:b w:val="0"/>
                <w:i w:val="0"/>
                <w:sz w:val="17"/>
              </w:rPr>
              <w:t>WASM module signing verification</w:t>
            </w:r>
          </w:p>
        </w:tc>
        <w:tc>
          <w:tcPr>
            <w:tcW w:type="dxa" w:w="2409"/>
          </w:tcPr>
          <w:p>
            <w:pPr>
              <w:spacing w:after="20" w:before="20" w:line="240" w:lineRule="auto"/>
            </w:pPr>
            <w:r/>
            <w:r>
              <w:rPr>
                <w:rFonts w:ascii="Arial" w:hAnsi="Arial" w:cs="Arial"/>
                <w:b w:val="0"/>
                <w:i w:val="0"/>
                <w:sz w:val="17"/>
              </w:rPr>
              <w:t>Every load</w:t>
            </w:r>
          </w:p>
        </w:tc>
        <w:tc>
          <w:tcPr>
            <w:tcW w:type="dxa" w:w="2409"/>
          </w:tcPr>
          <w:p>
            <w:pPr>
              <w:spacing w:after="20" w:before="20" w:line="240" w:lineRule="auto"/>
            </w:pPr>
            <w:r/>
            <w:r>
              <w:rPr>
                <w:rFonts w:ascii="Arial" w:hAnsi="Arial" w:cs="Arial"/>
                <w:b w:val="0"/>
                <w:i w:val="0"/>
                <w:sz w:val="17"/>
              </w:rPr>
              <w:t>Governor</w:t>
            </w:r>
          </w:p>
        </w:tc>
        <w:tc>
          <w:tcPr>
            <w:tcW w:type="dxa" w:w="2409"/>
          </w:tcPr>
          <w:p>
            <w:pPr>
              <w:spacing w:after="20" w:before="20" w:line="240" w:lineRule="auto"/>
            </w:pPr>
            <w:r/>
            <w:r>
              <w:rPr>
                <w:rFonts w:ascii="Arial" w:hAnsi="Arial" w:cs="Arial"/>
                <w:b w:val="0"/>
                <w:i w:val="0"/>
                <w:sz w:val="17"/>
              </w:rPr>
              <w:t>Governor service</w:t>
            </w:r>
          </w:p>
        </w:tc>
      </w:tr>
      <w:tr>
        <w:tc>
          <w:tcPr>
            <w:tcW w:type="dxa" w:w="2409"/>
          </w:tcPr>
          <w:p>
            <w:pPr>
              <w:spacing w:after="20" w:before="20" w:line="240" w:lineRule="auto"/>
            </w:pPr>
            <w:r/>
            <w:r>
              <w:rPr>
                <w:rFonts w:ascii="Arial" w:hAnsi="Arial" w:cs="Arial"/>
                <w:b w:val="0"/>
                <w:i w:val="0"/>
                <w:sz w:val="17"/>
              </w:rPr>
              <w:t>RLS policy test</w:t>
            </w:r>
          </w:p>
        </w:tc>
        <w:tc>
          <w:tcPr>
            <w:tcW w:type="dxa" w:w="2409"/>
          </w:tcPr>
          <w:p>
            <w:pPr>
              <w:spacing w:after="20" w:before="20" w:line="240" w:lineRule="auto"/>
            </w:pPr>
            <w:r/>
            <w:r>
              <w:rPr>
                <w:rFonts w:ascii="Arial" w:hAnsi="Arial" w:cs="Arial"/>
                <w:b w:val="0"/>
                <w:i w:val="0"/>
                <w:sz w:val="17"/>
              </w:rPr>
              <w:t>After each schema change</w:t>
            </w:r>
          </w:p>
        </w:tc>
        <w:tc>
          <w:tcPr>
            <w:tcW w:type="dxa" w:w="2409"/>
          </w:tcPr>
          <w:p>
            <w:pPr>
              <w:spacing w:after="20" w:before="20" w:line="240" w:lineRule="auto"/>
            </w:pPr>
            <w:r/>
            <w:r>
              <w:rPr>
                <w:rFonts w:ascii="Arial" w:hAnsi="Arial" w:cs="Arial"/>
                <w:b w:val="0"/>
                <w:i w:val="0"/>
                <w:sz w:val="17"/>
              </w:rPr>
              <w:t>PostgreSQL pg_policy test</w:t>
            </w:r>
          </w:p>
        </w:tc>
        <w:tc>
          <w:tcPr>
            <w:tcW w:type="dxa" w:w="2409"/>
          </w:tcPr>
          <w:p>
            <w:pPr>
              <w:spacing w:after="20" w:before="20" w:line="240" w:lineRule="auto"/>
            </w:pPr>
            <w:r/>
            <w:r>
              <w:rPr>
                <w:rFonts w:ascii="Arial" w:hAnsi="Arial" w:cs="Arial"/>
                <w:b w:val="0"/>
                <w:i w:val="0"/>
                <w:sz w:val="17"/>
              </w:rPr>
              <w:t>CI pipeline</w:t>
            </w:r>
          </w:p>
        </w:tc>
      </w:tr>
      <w:tr>
        <w:tc>
          <w:tcPr>
            <w:tcW w:type="dxa" w:w="2409"/>
          </w:tcPr>
          <w:p>
            <w:pPr>
              <w:spacing w:after="20" w:before="20" w:line="240" w:lineRule="auto"/>
            </w:pPr>
            <w:r/>
            <w:r>
              <w:rPr>
                <w:rFonts w:ascii="Arial" w:hAnsi="Arial" w:cs="Arial"/>
                <w:b w:val="0"/>
                <w:i w:val="0"/>
                <w:sz w:val="17"/>
              </w:rPr>
              <w:t>Dual-mode context enforcement test</w:t>
            </w:r>
          </w:p>
        </w:tc>
        <w:tc>
          <w:tcPr>
            <w:tcW w:type="dxa" w:w="2409"/>
          </w:tcPr>
          <w:p>
            <w:pPr>
              <w:spacing w:after="20" w:before="20" w:line="240" w:lineRule="auto"/>
            </w:pPr>
            <w:r/>
            <w:r>
              <w:rPr>
                <w:rFonts w:ascii="Arial" w:hAnsi="Arial" w:cs="Arial"/>
                <w:b w:val="0"/>
                <w:i w:val="0"/>
                <w:sz w:val="17"/>
              </w:rPr>
              <w:t>Weekly</w:t>
            </w:r>
          </w:p>
        </w:tc>
        <w:tc>
          <w:tcPr>
            <w:tcW w:type="dxa" w:w="2409"/>
          </w:tcPr>
          <w:p>
            <w:pPr>
              <w:spacing w:after="20" w:before="20" w:line="240" w:lineRule="auto"/>
            </w:pPr>
            <w:r/>
            <w:r>
              <w:rPr>
                <w:rFonts w:ascii="Arial" w:hAnsi="Arial" w:cs="Arial"/>
                <w:b w:val="0"/>
                <w:i w:val="0"/>
                <w:sz w:val="17"/>
              </w:rPr>
              <w:t>OPA policy unit tests</w:t>
            </w:r>
          </w:p>
        </w:tc>
        <w:tc>
          <w:tcPr>
            <w:tcW w:type="dxa" w:w="2409"/>
          </w:tcPr>
          <w:p>
            <w:pPr>
              <w:spacing w:after="20" w:before="20" w:line="240" w:lineRule="auto"/>
            </w:pPr>
            <w:r/>
            <w:r>
              <w:rPr>
                <w:rFonts w:ascii="Arial" w:hAnsi="Arial" w:cs="Arial"/>
                <w:b w:val="0"/>
                <w:i w:val="0"/>
                <w:sz w:val="17"/>
              </w:rPr>
              <w:t>CI pipeline</w:t>
            </w:r>
          </w:p>
        </w:tc>
      </w:tr>
      <w:tr>
        <w:tc>
          <w:tcPr>
            <w:tcW w:type="dxa" w:w="2409"/>
          </w:tcPr>
          <w:p>
            <w:pPr>
              <w:spacing w:after="20" w:before="20" w:line="240" w:lineRule="auto"/>
            </w:pPr>
            <w:r/>
            <w:r>
              <w:rPr>
                <w:rFonts w:ascii="Arial" w:hAnsi="Arial" w:cs="Arial"/>
                <w:b w:val="0"/>
                <w:i w:val="0"/>
                <w:sz w:val="17"/>
              </w:rPr>
              <w:t>Conditional QC hold verification</w:t>
            </w:r>
          </w:p>
        </w:tc>
        <w:tc>
          <w:tcPr>
            <w:tcW w:type="dxa" w:w="2409"/>
          </w:tcPr>
          <w:p>
            <w:pPr>
              <w:spacing w:after="20" w:before="20" w:line="240" w:lineRule="auto"/>
            </w:pPr>
            <w:r/>
            <w:r>
              <w:rPr>
                <w:rFonts w:ascii="Arial" w:hAnsi="Arial" w:cs="Arial"/>
                <w:b w:val="0"/>
                <w:i w:val="0"/>
                <w:sz w:val="17"/>
              </w:rPr>
              <w:t>Daily</w:t>
            </w:r>
          </w:p>
        </w:tc>
        <w:tc>
          <w:tcPr>
            <w:tcW w:type="dxa" w:w="2409"/>
          </w:tcPr>
          <w:p>
            <w:pPr>
              <w:spacing w:after="20" w:before="20" w:line="240" w:lineRule="auto"/>
            </w:pPr>
            <w:r/>
            <w:r>
              <w:rPr>
                <w:rFonts w:ascii="Arial" w:hAnsi="Arial" w:cs="Arial"/>
                <w:b w:val="0"/>
                <w:i w:val="0"/>
                <w:sz w:val="17"/>
              </w:rPr>
              <w:t>Governor policy test</w:t>
            </w:r>
          </w:p>
        </w:tc>
        <w:tc>
          <w:tcPr>
            <w:tcW w:type="dxa" w:w="2409"/>
          </w:tcPr>
          <w:p>
            <w:pPr>
              <w:spacing w:after="20" w:before="20" w:line="240" w:lineRule="auto"/>
            </w:pPr>
            <w:r/>
            <w:r>
              <w:rPr>
                <w:rFonts w:ascii="Arial" w:hAnsi="Arial" w:cs="Arial"/>
                <w:b w:val="0"/>
                <w:i w:val="0"/>
                <w:sz w:val="17"/>
              </w:rPr>
              <w:t>CI pipeline</w:t>
            </w:r>
          </w:p>
        </w:tc>
      </w:tr>
      <w:tr>
        <w:tc>
          <w:tcPr>
            <w:tcW w:type="dxa" w:w="2409"/>
          </w:tcPr>
          <w:p>
            <w:pPr>
              <w:spacing w:after="20" w:before="20" w:line="240" w:lineRule="auto"/>
            </w:pPr>
            <w:r/>
            <w:r>
              <w:rPr>
                <w:rFonts w:ascii="Arial" w:hAnsi="Arial" w:cs="Arial"/>
                <w:b w:val="0"/>
                <w:i w:val="0"/>
                <w:sz w:val="17"/>
              </w:rPr>
              <w:t>Deferred payment guarantee expiry check</w:t>
            </w:r>
          </w:p>
        </w:tc>
        <w:tc>
          <w:tcPr>
            <w:tcW w:type="dxa" w:w="2409"/>
          </w:tcPr>
          <w:p>
            <w:pPr>
              <w:spacing w:after="20" w:before="20" w:line="240" w:lineRule="auto"/>
            </w:pPr>
            <w:r/>
            <w:r>
              <w:rPr>
                <w:rFonts w:ascii="Arial" w:hAnsi="Arial" w:cs="Arial"/>
                <w:b w:val="0"/>
                <w:i w:val="0"/>
                <w:sz w:val="17"/>
              </w:rPr>
              <w:t>Daily</w:t>
            </w:r>
          </w:p>
        </w:tc>
        <w:tc>
          <w:tcPr>
            <w:tcW w:type="dxa" w:w="2409"/>
          </w:tcPr>
          <w:p>
            <w:pPr>
              <w:spacing w:after="20" w:before="20" w:line="240" w:lineRule="auto"/>
            </w:pPr>
            <w:r/>
            <w:r>
              <w:rPr>
                <w:rFonts w:ascii="Arial" w:hAnsi="Arial" w:cs="Arial"/>
                <w:b w:val="0"/>
                <w:i w:val="0"/>
                <w:sz w:val="17"/>
              </w:rPr>
              <w:t>Cron job (late-fee-calculator)</w:t>
            </w:r>
          </w:p>
        </w:tc>
        <w:tc>
          <w:tcPr>
            <w:tcW w:type="dxa" w:w="2409"/>
          </w:tcPr>
          <w:p>
            <w:pPr>
              <w:spacing w:after="20" w:before="20" w:line="240" w:lineRule="auto"/>
            </w:pPr>
            <w:r/>
            <w:r>
              <w:rPr>
                <w:rFonts w:ascii="Arial" w:hAnsi="Arial" w:cs="Arial"/>
                <w:b w:val="0"/>
                <w:i w:val="0"/>
                <w:sz w:val="17"/>
              </w:rPr>
              <w:t>Payment service</w:t>
            </w:r>
          </w:p>
        </w:tc>
      </w:tr>
      <w:tr>
        <w:tc>
          <w:tcPr>
            <w:tcW w:type="dxa" w:w="2409"/>
          </w:tcPr>
          <w:p>
            <w:pPr>
              <w:spacing w:after="20" w:before="20" w:line="240" w:lineRule="auto"/>
            </w:pPr>
            <w:r/>
            <w:r>
              <w:rPr>
                <w:rFonts w:ascii="Arial" w:hAnsi="Arial" w:cs="Arial"/>
                <w:b w:val="0"/>
                <w:i w:val="0"/>
                <w:sz w:val="17"/>
              </w:rPr>
              <w:t>ZK proof verification test</w:t>
            </w:r>
          </w:p>
        </w:tc>
        <w:tc>
          <w:tcPr>
            <w:tcW w:type="dxa" w:w="2409"/>
          </w:tcPr>
          <w:p>
            <w:pPr>
              <w:spacing w:after="20" w:before="20" w:line="240" w:lineRule="auto"/>
            </w:pPr>
            <w:r/>
            <w:r>
              <w:rPr>
                <w:rFonts w:ascii="Arial" w:hAnsi="Arial" w:cs="Arial"/>
                <w:b w:val="0"/>
                <w:i w:val="0"/>
                <w:sz w:val="17"/>
              </w:rPr>
              <w:t>After each circuit change</w:t>
            </w:r>
          </w:p>
        </w:tc>
        <w:tc>
          <w:tcPr>
            <w:tcW w:type="dxa" w:w="2409"/>
          </w:tcPr>
          <w:p>
            <w:pPr>
              <w:spacing w:after="20" w:before="20" w:line="240" w:lineRule="auto"/>
            </w:pPr>
            <w:r/>
            <w:r>
              <w:rPr>
                <w:rFonts w:ascii="Arial" w:hAnsi="Arial" w:cs="Arial"/>
                <w:b w:val="0"/>
                <w:i w:val="0"/>
                <w:sz w:val="17"/>
              </w:rPr>
              <w:t>Plonky3 test suite</w:t>
            </w:r>
          </w:p>
        </w:tc>
        <w:tc>
          <w:tcPr>
            <w:tcW w:type="dxa" w:w="2409"/>
          </w:tcPr>
          <w:p>
            <w:pPr>
              <w:spacing w:after="20" w:before="20" w:line="240" w:lineRule="auto"/>
            </w:pPr>
            <w:r/>
            <w:r>
              <w:rPr>
                <w:rFonts w:ascii="Arial" w:hAnsi="Arial" w:cs="Arial"/>
                <w:b w:val="0"/>
                <w:i w:val="0"/>
                <w:sz w:val="17"/>
              </w:rPr>
              <w:t>CI pipeline</w:t>
            </w:r>
          </w:p>
        </w:tc>
      </w:tr>
      <w:tr>
        <w:tc>
          <w:tcPr>
            <w:tcW w:type="dxa" w:w="2409"/>
          </w:tcPr>
          <w:p>
            <w:pPr>
              <w:spacing w:after="20" w:before="20" w:line="240" w:lineRule="auto"/>
            </w:pPr>
            <w:r/>
            <w:r>
              <w:rPr>
                <w:rFonts w:ascii="Arial" w:hAnsi="Arial" w:cs="Arial"/>
                <w:b w:val="0"/>
                <w:i w:val="0"/>
                <w:sz w:val="17"/>
              </w:rPr>
              <w:t>Trust Passport revocation check</w:t>
            </w:r>
          </w:p>
        </w:tc>
        <w:tc>
          <w:tcPr>
            <w:tcW w:type="dxa" w:w="2409"/>
          </w:tcPr>
          <w:p>
            <w:pPr>
              <w:spacing w:after="20" w:before="20" w:line="240" w:lineRule="auto"/>
            </w:pPr>
            <w:r/>
            <w:r>
              <w:rPr>
                <w:rFonts w:ascii="Arial" w:hAnsi="Arial" w:cs="Arial"/>
                <w:b w:val="0"/>
                <w:i w:val="0"/>
                <w:sz w:val="17"/>
              </w:rPr>
              <w:t>Every query</w:t>
            </w:r>
          </w:p>
        </w:tc>
        <w:tc>
          <w:tcPr>
            <w:tcW w:type="dxa" w:w="2409"/>
          </w:tcPr>
          <w:p>
            <w:pPr>
              <w:spacing w:after="20" w:before="20" w:line="240" w:lineRule="auto"/>
            </w:pPr>
            <w:r/>
            <w:r>
              <w:rPr>
                <w:rFonts w:ascii="Arial" w:hAnsi="Arial" w:cs="Arial"/>
                <w:b w:val="0"/>
                <w:i w:val="0"/>
                <w:sz w:val="17"/>
              </w:rPr>
              <w:t>Governor</w:t>
            </w:r>
          </w:p>
        </w:tc>
        <w:tc>
          <w:tcPr>
            <w:tcW w:type="dxa" w:w="2409"/>
          </w:tcPr>
          <w:p>
            <w:pPr>
              <w:spacing w:after="20" w:before="20" w:line="240" w:lineRule="auto"/>
            </w:pPr>
            <w:r/>
            <w:r>
              <w:rPr>
                <w:rFonts w:ascii="Arial" w:hAnsi="Arial" w:cs="Arial"/>
                <w:b w:val="0"/>
                <w:i w:val="0"/>
                <w:sz w:val="17"/>
              </w:rPr>
              <w:t>Governor service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AI-assisted verification: the audit-summarizer (Groq) produces a weekly plain-language report of all findings, categorised by severity and component. The report is sent to the Platform Governance Authority Smart Inbox. Example: "3 new critical vulnerabilities discovered in dependency libcrypto — apply patches. 2 Loom chain verifications passed. 1 RLS policy violation (fixed)."</w:t>
      </w:r>
    </w:p>
    <w:p>
      <w:pPr>
        <w:spacing w:after="80" w:line="293" w:lineRule="auto"/>
        <w:jc w:val="left"/>
      </w:pPr>
      <w:r>
        <w:rPr>
          <w:rFonts w:ascii="Times New Roman" w:hAnsi="Times New Roman" w:cs="Times New Roman"/>
          <w:b w:val="0"/>
          <w:i w:val="0"/>
          <w:sz w:val="22"/>
        </w:rPr>
        <w:t>Chaos engineering experiments with Groq-summarised results, predictive hardware-failure models, and AI-generated post-incident analyses are standing operations. All security-relevant events are Loom-logged; no security control depends on obscurity.</w:t>
      </w:r>
    </w:p>
    <w:p>
      <w:pPr>
        <w:keepNext/>
        <w:spacing w:before="180" w:after="80"/>
        <w:outlineLvl w:val="2"/>
      </w:pPr>
      <w:r>
        <w:rPr>
          <w:rFonts w:ascii="Arial" w:hAnsi="Arial" w:cs="Arial"/>
          <w:b/>
          <w:i w:val="0"/>
          <w:color w:val="333333"/>
          <w:sz w:val="23"/>
        </w:rPr>
        <w:t>21.1.9 Governance &amp; Compliance Gates</w:t>
      </w:r>
    </w:p>
    <w:p>
      <w:pPr>
        <w:spacing w:after="80" w:line="293" w:lineRule="auto"/>
        <w:jc w:val="left"/>
      </w:pPr>
      <w:r>
        <w:rPr>
          <w:rFonts w:ascii="Times New Roman" w:hAnsi="Times New Roman" w:cs="Times New Roman"/>
          <w:b w:val="0"/>
          <w:i w:val="0"/>
          <w:sz w:val="22"/>
        </w:rPr>
        <w:t>Security gates are enforced by the Governor and the verification toolchain. Each gate has a defined check, enforcer, and failure action:</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Gate ID</w:t>
            </w:r>
          </w:p>
        </w:tc>
        <w:tc>
          <w:tcPr>
            <w:tcW w:type="dxa" w:w="2409"/>
            <w:shd w:val="clear" w:fill="D9E2F3"/>
          </w:tcPr>
          <w:p>
            <w:pPr>
              <w:spacing w:after="20" w:before="20" w:line="240" w:lineRule="auto"/>
            </w:pPr>
            <w:r/>
            <w:r>
              <w:rPr>
                <w:rFonts w:ascii="Arial" w:hAnsi="Arial" w:cs="Arial"/>
                <w:b/>
                <w:i w:val="0"/>
                <w:sz w:val="18"/>
              </w:rPr>
              <w:t>Check</w:t>
            </w:r>
          </w:p>
        </w:tc>
        <w:tc>
          <w:tcPr>
            <w:tcW w:type="dxa" w:w="2409"/>
            <w:shd w:val="clear" w:fill="D9E2F3"/>
          </w:tcPr>
          <w:p>
            <w:pPr>
              <w:spacing w:after="20" w:before="20" w:line="240" w:lineRule="auto"/>
            </w:pPr>
            <w:r/>
            <w:r>
              <w:rPr>
                <w:rFonts w:ascii="Arial" w:hAnsi="Arial" w:cs="Arial"/>
                <w:b/>
                <w:i w:val="0"/>
                <w:sz w:val="18"/>
              </w:rPr>
              <w:t>Enforcer</w:t>
            </w:r>
          </w:p>
        </w:tc>
        <w:tc>
          <w:tcPr>
            <w:tcW w:type="dxa" w:w="2409"/>
            <w:shd w:val="clear" w:fill="D9E2F3"/>
          </w:tcPr>
          <w:p>
            <w:pPr>
              <w:spacing w:after="20" w:before="20" w:line="240" w:lineRule="auto"/>
            </w:pPr>
            <w:r/>
            <w:r>
              <w:rPr>
                <w:rFonts w:ascii="Arial" w:hAnsi="Arial" w:cs="Arial"/>
                <w:b/>
                <w:i w:val="0"/>
                <w:sz w:val="18"/>
              </w:rPr>
              <w:t>Failure Action</w:t>
            </w:r>
          </w:p>
        </w:tc>
      </w:tr>
      <w:tr>
        <w:tc>
          <w:tcPr>
            <w:tcW w:type="dxa" w:w="2409"/>
          </w:tcPr>
          <w:p>
            <w:pPr>
              <w:spacing w:after="20" w:before="20" w:line="240" w:lineRule="auto"/>
            </w:pPr>
            <w:r/>
            <w:r>
              <w:rPr>
                <w:rFonts w:ascii="Arial" w:hAnsi="Arial" w:cs="Arial"/>
                <w:b w:val="0"/>
                <w:i w:val="0"/>
                <w:sz w:val="17"/>
              </w:rPr>
              <w:t>G-SEC1</w:t>
            </w:r>
          </w:p>
        </w:tc>
        <w:tc>
          <w:tcPr>
            <w:tcW w:type="dxa" w:w="2409"/>
          </w:tcPr>
          <w:p>
            <w:pPr>
              <w:spacing w:after="20" w:before="20" w:line="240" w:lineRule="auto"/>
            </w:pPr>
            <w:r/>
            <w:r>
              <w:rPr>
                <w:rFonts w:ascii="Arial" w:hAnsi="Arial" w:cs="Arial"/>
                <w:b w:val="0"/>
                <w:i w:val="0"/>
                <w:sz w:val="17"/>
              </w:rPr>
              <w:t>Loom chain integrity verified every hour</w:t>
            </w:r>
          </w:p>
        </w:tc>
        <w:tc>
          <w:tcPr>
            <w:tcW w:type="dxa" w:w="2409"/>
          </w:tcPr>
          <w:p>
            <w:pPr>
              <w:spacing w:after="20" w:before="20" w:line="240" w:lineRule="auto"/>
            </w:pPr>
            <w:r/>
            <w:r>
              <w:rPr>
                <w:rFonts w:ascii="Arial" w:hAnsi="Arial" w:cs="Arial"/>
                <w:b w:val="0"/>
                <w:i w:val="0"/>
                <w:sz w:val="17"/>
              </w:rPr>
              <w:t>Audit Chain Verifier (A4)</w:t>
            </w:r>
          </w:p>
        </w:tc>
        <w:tc>
          <w:tcPr>
            <w:tcW w:type="dxa" w:w="2409"/>
          </w:tcPr>
          <w:p>
            <w:pPr>
              <w:spacing w:after="20" w:before="20" w:line="240" w:lineRule="auto"/>
            </w:pPr>
            <w:r/>
            <w:r>
              <w:rPr>
                <w:rFonts w:ascii="Arial" w:hAnsi="Arial" w:cs="Arial"/>
                <w:b w:val="0"/>
                <w:i w:val="0"/>
                <w:sz w:val="17"/>
              </w:rPr>
              <w:t>Block new Governor decisions, alert Admin</w:t>
            </w:r>
          </w:p>
        </w:tc>
      </w:tr>
      <w:tr>
        <w:tc>
          <w:tcPr>
            <w:tcW w:type="dxa" w:w="2409"/>
          </w:tcPr>
          <w:p>
            <w:pPr>
              <w:spacing w:after="20" w:before="20" w:line="240" w:lineRule="auto"/>
            </w:pPr>
            <w:r/>
            <w:r>
              <w:rPr>
                <w:rFonts w:ascii="Arial" w:hAnsi="Arial" w:cs="Arial"/>
                <w:b w:val="0"/>
                <w:i w:val="0"/>
                <w:sz w:val="17"/>
              </w:rPr>
              <w:t>G-SEC2</w:t>
            </w:r>
          </w:p>
        </w:tc>
        <w:tc>
          <w:tcPr>
            <w:tcW w:type="dxa" w:w="2409"/>
          </w:tcPr>
          <w:p>
            <w:pPr>
              <w:spacing w:after="20" w:before="20" w:line="240" w:lineRule="auto"/>
            </w:pPr>
            <w:r/>
            <w:r>
              <w:rPr>
                <w:rFonts w:ascii="Arial" w:hAnsi="Arial" w:cs="Arial"/>
                <w:b w:val="0"/>
                <w:i w:val="0"/>
                <w:sz w:val="17"/>
              </w:rPr>
              <w:t>All audit_log entries have corresponding governor_decision_id</w:t>
            </w:r>
          </w:p>
        </w:tc>
        <w:tc>
          <w:tcPr>
            <w:tcW w:type="dxa" w:w="2409"/>
          </w:tcPr>
          <w:p>
            <w:pPr>
              <w:spacing w:after="20" w:before="20" w:line="240" w:lineRule="auto"/>
            </w:pPr>
            <w:r/>
            <w:r>
              <w:rPr>
                <w:rFonts w:ascii="Arial" w:hAnsi="Arial" w:cs="Arial"/>
                <w:b w:val="0"/>
                <w:i w:val="0"/>
                <w:sz w:val="17"/>
              </w:rPr>
              <w:t>DB consistency check (A4)</w:t>
            </w:r>
          </w:p>
        </w:tc>
        <w:tc>
          <w:tcPr>
            <w:tcW w:type="dxa" w:w="2409"/>
          </w:tcPr>
          <w:p>
            <w:pPr>
              <w:spacing w:after="20" w:before="20" w:line="240" w:lineRule="auto"/>
            </w:pPr>
            <w:r/>
            <w:r>
              <w:rPr>
                <w:rFonts w:ascii="Arial" w:hAnsi="Arial" w:cs="Arial"/>
                <w:b w:val="0"/>
                <w:i w:val="0"/>
                <w:sz w:val="17"/>
              </w:rPr>
              <w:t>Quarantine orphaned record; alert</w:t>
            </w:r>
          </w:p>
        </w:tc>
      </w:tr>
      <w:tr>
        <w:tc>
          <w:tcPr>
            <w:tcW w:type="dxa" w:w="2409"/>
          </w:tcPr>
          <w:p>
            <w:pPr>
              <w:spacing w:after="20" w:before="20" w:line="240" w:lineRule="auto"/>
            </w:pPr>
            <w:r/>
            <w:r>
              <w:rPr>
                <w:rFonts w:ascii="Arial" w:hAnsi="Arial" w:cs="Arial"/>
                <w:b w:val="0"/>
                <w:i w:val="0"/>
                <w:sz w:val="17"/>
              </w:rPr>
              <w:t>G-SEC3</w:t>
            </w:r>
          </w:p>
        </w:tc>
        <w:tc>
          <w:tcPr>
            <w:tcW w:type="dxa" w:w="2409"/>
          </w:tcPr>
          <w:p>
            <w:pPr>
              <w:spacing w:after="20" w:before="20" w:line="240" w:lineRule="auto"/>
            </w:pPr>
            <w:r/>
            <w:r>
              <w:rPr>
                <w:rFonts w:ascii="Arial" w:hAnsi="Arial" w:cs="Arial"/>
                <w:b w:val="0"/>
                <w:i w:val="0"/>
                <w:sz w:val="17"/>
              </w:rPr>
              <w:t>Model drift within acceptable bounds for all AI models</w:t>
            </w:r>
          </w:p>
        </w:tc>
        <w:tc>
          <w:tcPr>
            <w:tcW w:type="dxa" w:w="2409"/>
          </w:tcPr>
          <w:p>
            <w:pPr>
              <w:spacing w:after="20" w:before="20" w:line="240" w:lineRule="auto"/>
            </w:pPr>
            <w:r/>
            <w:r>
              <w:rPr>
                <w:rFonts w:ascii="Arial" w:hAnsi="Arial" w:cs="Arial"/>
                <w:b w:val="0"/>
                <w:i w:val="0"/>
                <w:sz w:val="17"/>
              </w:rPr>
              <w:t>Model Drift Monitor (A2)</w:t>
            </w:r>
          </w:p>
        </w:tc>
        <w:tc>
          <w:tcPr>
            <w:tcW w:type="dxa" w:w="2409"/>
          </w:tcPr>
          <w:p>
            <w:pPr>
              <w:spacing w:after="20" w:before="20" w:line="240" w:lineRule="auto"/>
            </w:pPr>
            <w:r/>
            <w:r>
              <w:rPr>
                <w:rFonts w:ascii="Arial" w:hAnsi="Arial" w:cs="Arial"/>
                <w:b w:val="0"/>
                <w:i w:val="0"/>
                <w:sz w:val="17"/>
              </w:rPr>
              <w:t>Reduce model authority to A1; trigger retraining</w:t>
            </w:r>
          </w:p>
        </w:tc>
      </w:tr>
      <w:tr>
        <w:tc>
          <w:tcPr>
            <w:tcW w:type="dxa" w:w="2409"/>
          </w:tcPr>
          <w:p>
            <w:pPr>
              <w:spacing w:after="20" w:before="20" w:line="240" w:lineRule="auto"/>
            </w:pPr>
            <w:r/>
            <w:r>
              <w:rPr>
                <w:rFonts w:ascii="Arial" w:hAnsi="Arial" w:cs="Arial"/>
                <w:b w:val="0"/>
                <w:i w:val="0"/>
                <w:sz w:val="17"/>
              </w:rPr>
              <w:t>G-SEC4</w:t>
            </w:r>
          </w:p>
        </w:tc>
        <w:tc>
          <w:tcPr>
            <w:tcW w:type="dxa" w:w="2409"/>
          </w:tcPr>
          <w:p>
            <w:pPr>
              <w:spacing w:after="20" w:before="20" w:line="240" w:lineRule="auto"/>
            </w:pPr>
            <w:r/>
            <w:r>
              <w:rPr>
                <w:rFonts w:ascii="Arial" w:hAnsi="Arial" w:cs="Arial"/>
                <w:b w:val="0"/>
                <w:i w:val="0"/>
                <w:sz w:val="17"/>
              </w:rPr>
              <w:t>No active trade, financing, or distressed involves a sanctioned entity</w:t>
            </w:r>
          </w:p>
        </w:tc>
        <w:tc>
          <w:tcPr>
            <w:tcW w:type="dxa" w:w="2409"/>
          </w:tcPr>
          <w:p>
            <w:pPr>
              <w:spacing w:after="20" w:before="20" w:line="240" w:lineRule="auto"/>
            </w:pPr>
            <w:r/>
            <w:r>
              <w:rPr>
                <w:rFonts w:ascii="Arial" w:hAnsi="Arial" w:cs="Arial"/>
                <w:b w:val="0"/>
                <w:i w:val="0"/>
                <w:sz w:val="17"/>
              </w:rPr>
              <w:t>Sanctions Rescreener (A2)</w:t>
            </w:r>
          </w:p>
        </w:tc>
        <w:tc>
          <w:tcPr>
            <w:tcW w:type="dxa" w:w="2409"/>
          </w:tcPr>
          <w:p>
            <w:pPr>
              <w:spacing w:after="20" w:before="20" w:line="240" w:lineRule="auto"/>
            </w:pPr>
            <w:r/>
            <w:r>
              <w:rPr>
                <w:rFonts w:ascii="Arial" w:hAnsi="Arial" w:cs="Arial"/>
                <w:b w:val="0"/>
                <w:i w:val="0"/>
                <w:sz w:val="17"/>
              </w:rPr>
              <w:t>Suspend entity; draft SAR (Groq)</w:t>
            </w:r>
          </w:p>
        </w:tc>
      </w:tr>
      <w:tr>
        <w:tc>
          <w:tcPr>
            <w:tcW w:type="dxa" w:w="2409"/>
          </w:tcPr>
          <w:p>
            <w:pPr>
              <w:spacing w:after="20" w:before="20" w:line="240" w:lineRule="auto"/>
            </w:pPr>
            <w:r/>
            <w:r>
              <w:rPr>
                <w:rFonts w:ascii="Arial" w:hAnsi="Arial" w:cs="Arial"/>
                <w:b w:val="0"/>
                <w:i w:val="0"/>
                <w:sz w:val="17"/>
              </w:rPr>
              <w:t>G-SEC5</w:t>
            </w:r>
          </w:p>
        </w:tc>
        <w:tc>
          <w:tcPr>
            <w:tcW w:type="dxa" w:w="2409"/>
          </w:tcPr>
          <w:p>
            <w:pPr>
              <w:spacing w:after="20" w:before="20" w:line="240" w:lineRule="auto"/>
            </w:pPr>
            <w:r/>
            <w:r>
              <w:rPr>
                <w:rFonts w:ascii="Arial" w:hAnsi="Arial" w:cs="Arial"/>
                <w:b w:val="0"/>
                <w:i w:val="0"/>
                <w:sz w:val="17"/>
              </w:rPr>
              <w:t>All sovereign nodes meet data residency policies</w:t>
            </w:r>
          </w:p>
        </w:tc>
        <w:tc>
          <w:tcPr>
            <w:tcW w:type="dxa" w:w="2409"/>
          </w:tcPr>
          <w:p>
            <w:pPr>
              <w:spacing w:after="20" w:before="20" w:line="240" w:lineRule="auto"/>
            </w:pPr>
            <w:r/>
            <w:r>
              <w:rPr>
                <w:rFonts w:ascii="Arial" w:hAnsi="Arial" w:cs="Arial"/>
                <w:b w:val="0"/>
                <w:i w:val="0"/>
                <w:sz w:val="17"/>
              </w:rPr>
              <w:t>Node Compliance Agent (A2)</w:t>
            </w:r>
          </w:p>
        </w:tc>
        <w:tc>
          <w:tcPr>
            <w:tcW w:type="dxa" w:w="2409"/>
          </w:tcPr>
          <w:p>
            <w:pPr>
              <w:spacing w:after="20" w:before="20" w:line="240" w:lineRule="auto"/>
            </w:pPr>
            <w:r/>
            <w:r>
              <w:rPr>
                <w:rFonts w:ascii="Arial" w:hAnsi="Arial" w:cs="Arial"/>
                <w:b w:val="0"/>
                <w:i w:val="0"/>
                <w:sz w:val="17"/>
              </w:rPr>
              <w:t>Reroute traffic; alert</w:t>
            </w:r>
          </w:p>
        </w:tc>
      </w:tr>
      <w:tr>
        <w:tc>
          <w:tcPr>
            <w:tcW w:type="dxa" w:w="2409"/>
          </w:tcPr>
          <w:p>
            <w:pPr>
              <w:spacing w:after="20" w:before="20" w:line="240" w:lineRule="auto"/>
            </w:pPr>
            <w:r/>
            <w:r>
              <w:rPr>
                <w:rFonts w:ascii="Arial" w:hAnsi="Arial" w:cs="Arial"/>
                <w:b w:val="0"/>
                <w:i w:val="0"/>
                <w:sz w:val="17"/>
              </w:rPr>
              <w:t>G-SEC6</w:t>
            </w:r>
          </w:p>
        </w:tc>
        <w:tc>
          <w:tcPr>
            <w:tcW w:type="dxa" w:w="2409"/>
          </w:tcPr>
          <w:p>
            <w:pPr>
              <w:spacing w:after="20" w:before="20" w:line="240" w:lineRule="auto"/>
            </w:pPr>
            <w:r/>
            <w:r>
              <w:rPr>
                <w:rFonts w:ascii="Arial" w:hAnsi="Arial" w:cs="Arial"/>
                <w:b w:val="0"/>
                <w:i w:val="0"/>
                <w:sz w:val="17"/>
              </w:rPr>
              <w:t>Security reports generated and filed for required periods</w:t>
            </w:r>
          </w:p>
        </w:tc>
        <w:tc>
          <w:tcPr>
            <w:tcW w:type="dxa" w:w="2409"/>
          </w:tcPr>
          <w:p>
            <w:pPr>
              <w:spacing w:after="20" w:before="20" w:line="240" w:lineRule="auto"/>
            </w:pPr>
            <w:r/>
            <w:r>
              <w:rPr>
                <w:rFonts w:ascii="Arial" w:hAnsi="Arial" w:cs="Arial"/>
                <w:b w:val="0"/>
                <w:i w:val="0"/>
                <w:sz w:val="17"/>
              </w:rPr>
              <w:t>Reporting Agent (A2)</w:t>
            </w:r>
          </w:p>
        </w:tc>
        <w:tc>
          <w:tcPr>
            <w:tcW w:type="dxa" w:w="2409"/>
          </w:tcPr>
          <w:p>
            <w:pPr>
              <w:spacing w:after="20" w:before="20" w:line="240" w:lineRule="auto"/>
            </w:pPr>
            <w:r/>
            <w:r>
              <w:rPr>
                <w:rFonts w:ascii="Arial" w:hAnsi="Arial" w:cs="Arial"/>
                <w:b w:val="0"/>
                <w:i w:val="0"/>
                <w:sz w:val="17"/>
              </w:rPr>
              <w:t>Block new trades in that jurisdiction until resolved</w:t>
            </w:r>
          </w:p>
        </w:tc>
      </w:tr>
      <w:tr>
        <w:tc>
          <w:tcPr>
            <w:tcW w:type="dxa" w:w="2409"/>
          </w:tcPr>
          <w:p>
            <w:pPr>
              <w:spacing w:after="20" w:before="20" w:line="240" w:lineRule="auto"/>
            </w:pPr>
            <w:r/>
            <w:r>
              <w:rPr>
                <w:rFonts w:ascii="Arial" w:hAnsi="Arial" w:cs="Arial"/>
                <w:b w:val="0"/>
                <w:i w:val="0"/>
                <w:sz w:val="17"/>
              </w:rPr>
              <w:t>G-SEC7</w:t>
            </w:r>
          </w:p>
        </w:tc>
        <w:tc>
          <w:tcPr>
            <w:tcW w:type="dxa" w:w="2409"/>
          </w:tcPr>
          <w:p>
            <w:pPr>
              <w:spacing w:after="20" w:before="20" w:line="240" w:lineRule="auto"/>
            </w:pPr>
            <w:r/>
            <w:r>
              <w:rPr>
                <w:rFonts w:ascii="Arial" w:hAnsi="Arial" w:cs="Arial"/>
                <w:b w:val="0"/>
                <w:i w:val="0"/>
                <w:sz w:val="17"/>
              </w:rPr>
              <w:t>Weekly pentest finds no CRITICAL vulnerabilities</w:t>
            </w:r>
          </w:p>
        </w:tc>
        <w:tc>
          <w:tcPr>
            <w:tcW w:type="dxa" w:w="2409"/>
          </w:tcPr>
          <w:p>
            <w:pPr>
              <w:spacing w:after="20" w:before="20" w:line="240" w:lineRule="auto"/>
            </w:pPr>
            <w:r/>
            <w:r>
              <w:rPr>
                <w:rFonts w:ascii="Arial" w:hAnsi="Arial" w:cs="Arial"/>
                <w:b w:val="0"/>
                <w:i w:val="0"/>
                <w:sz w:val="17"/>
              </w:rPr>
              <w:t>pentest-service</w:t>
            </w:r>
          </w:p>
        </w:tc>
        <w:tc>
          <w:tcPr>
            <w:tcW w:type="dxa" w:w="2409"/>
          </w:tcPr>
          <w:p>
            <w:pPr>
              <w:spacing w:after="20" w:before="20" w:line="240" w:lineRule="auto"/>
            </w:pPr>
            <w:r/>
            <w:r>
              <w:rPr>
                <w:rFonts w:ascii="Arial" w:hAnsi="Arial" w:cs="Arial"/>
                <w:b w:val="0"/>
                <w:i w:val="0"/>
                <w:sz w:val="17"/>
              </w:rPr>
              <w:t>Block CI/CD promotion to production</w:t>
            </w:r>
          </w:p>
        </w:tc>
      </w:tr>
      <w:tr>
        <w:tc>
          <w:tcPr>
            <w:tcW w:type="dxa" w:w="2409"/>
          </w:tcPr>
          <w:p>
            <w:pPr>
              <w:spacing w:after="20" w:before="20" w:line="240" w:lineRule="auto"/>
            </w:pPr>
            <w:r/>
            <w:r>
              <w:rPr>
                <w:rFonts w:ascii="Arial" w:hAnsi="Arial" w:cs="Arial"/>
                <w:b w:val="0"/>
                <w:i w:val="0"/>
                <w:sz w:val="17"/>
              </w:rPr>
              <w:t>G-SEC8</w:t>
            </w:r>
          </w:p>
        </w:tc>
        <w:tc>
          <w:tcPr>
            <w:tcW w:type="dxa" w:w="2409"/>
          </w:tcPr>
          <w:p>
            <w:pPr>
              <w:spacing w:after="20" w:before="20" w:line="240" w:lineRule="auto"/>
            </w:pPr>
            <w:r/>
            <w:r>
              <w:rPr>
                <w:rFonts w:ascii="Arial" w:hAnsi="Arial" w:cs="Arial"/>
                <w:b w:val="0"/>
                <w:i w:val="0"/>
                <w:sz w:val="17"/>
              </w:rPr>
              <w:t>Dual-mode context matches action requirements</w:t>
            </w:r>
          </w:p>
        </w:tc>
        <w:tc>
          <w:tcPr>
            <w:tcW w:type="dxa" w:w="2409"/>
          </w:tcPr>
          <w:p>
            <w:pPr>
              <w:spacing w:after="20" w:before="20" w:line="240" w:lineRule="auto"/>
            </w:pPr>
            <w:r/>
            <w:r>
              <w:rPr>
                <w:rFonts w:ascii="Arial" w:hAnsi="Arial" w:cs="Arial"/>
                <w:b w:val="0"/>
                <w:i w:val="0"/>
                <w:sz w:val="17"/>
              </w:rPr>
              <w:t>OPA (A4)</w:t>
            </w:r>
          </w:p>
        </w:tc>
        <w:tc>
          <w:tcPr>
            <w:tcW w:type="dxa" w:w="2409"/>
          </w:tcPr>
          <w:p>
            <w:pPr>
              <w:spacing w:after="20" w:before="20" w:line="240" w:lineRule="auto"/>
            </w:pPr>
            <w:r/>
            <w:r>
              <w:rPr>
                <w:rFonts w:ascii="Arial" w:hAnsi="Arial" w:cs="Arial"/>
                <w:b w:val="0"/>
                <w:i w:val="0"/>
                <w:sz w:val="17"/>
              </w:rPr>
              <w:t>DENY with Decision Panel offering mode switch</w:t>
            </w:r>
          </w:p>
        </w:tc>
      </w:tr>
      <w:tr>
        <w:tc>
          <w:tcPr>
            <w:tcW w:type="dxa" w:w="2409"/>
          </w:tcPr>
          <w:p>
            <w:pPr>
              <w:spacing w:after="20" w:before="20" w:line="240" w:lineRule="auto"/>
            </w:pPr>
            <w:r/>
            <w:r>
              <w:rPr>
                <w:rFonts w:ascii="Arial" w:hAnsi="Arial" w:cs="Arial"/>
                <w:b w:val="0"/>
                <w:i w:val="0"/>
                <w:sz w:val="17"/>
              </w:rPr>
              <w:t>G-SEC9</w:t>
            </w:r>
          </w:p>
        </w:tc>
        <w:tc>
          <w:tcPr>
            <w:tcW w:type="dxa" w:w="2409"/>
          </w:tcPr>
          <w:p>
            <w:pPr>
              <w:spacing w:after="20" w:before="20" w:line="240" w:lineRule="auto"/>
            </w:pPr>
            <w:r/>
            <w:r>
              <w:rPr>
                <w:rFonts w:ascii="Arial" w:hAnsi="Arial" w:cs="Arial"/>
                <w:b w:val="0"/>
                <w:i w:val="0"/>
                <w:sz w:val="17"/>
              </w:rPr>
              <w:t>Conditional QC hold resolved before settlement</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Block settlement; show Decision Panel</w:t>
            </w:r>
          </w:p>
        </w:tc>
      </w:tr>
      <w:tr>
        <w:tc>
          <w:tcPr>
            <w:tcW w:type="dxa" w:w="2409"/>
          </w:tcPr>
          <w:p>
            <w:pPr>
              <w:spacing w:after="20" w:before="20" w:line="240" w:lineRule="auto"/>
            </w:pPr>
            <w:r/>
            <w:r>
              <w:rPr>
                <w:rFonts w:ascii="Arial" w:hAnsi="Arial" w:cs="Arial"/>
                <w:b w:val="0"/>
                <w:i w:val="0"/>
                <w:sz w:val="17"/>
              </w:rPr>
              <w:t>G-SEC10</w:t>
            </w:r>
          </w:p>
        </w:tc>
        <w:tc>
          <w:tcPr>
            <w:tcW w:type="dxa" w:w="2409"/>
          </w:tcPr>
          <w:p>
            <w:pPr>
              <w:spacing w:after="20" w:before="20" w:line="240" w:lineRule="auto"/>
            </w:pPr>
            <w:r/>
            <w:r>
              <w:rPr>
                <w:rFonts w:ascii="Arial" w:hAnsi="Arial" w:cs="Arial"/>
                <w:b w:val="0"/>
                <w:i w:val="0"/>
                <w:sz w:val="17"/>
              </w:rPr>
              <w:t>Deferred payment guarantee validated before release</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Block container release; escalate</w:t>
            </w:r>
          </w:p>
        </w:tc>
      </w:tr>
      <w:tr>
        <w:tc>
          <w:tcPr>
            <w:tcW w:type="dxa" w:w="2409"/>
          </w:tcPr>
          <w:p>
            <w:pPr>
              <w:spacing w:after="20" w:before="20" w:line="240" w:lineRule="auto"/>
            </w:pPr>
            <w:r/>
            <w:r>
              <w:rPr>
                <w:rFonts w:ascii="Arial" w:hAnsi="Arial" w:cs="Arial"/>
                <w:b w:val="0"/>
                <w:i w:val="0"/>
                <w:sz w:val="17"/>
              </w:rPr>
              <w:t>G-SEC11</w:t>
            </w:r>
          </w:p>
        </w:tc>
        <w:tc>
          <w:tcPr>
            <w:tcW w:type="dxa" w:w="2409"/>
          </w:tcPr>
          <w:p>
            <w:pPr>
              <w:spacing w:after="20" w:before="20" w:line="240" w:lineRule="auto"/>
            </w:pPr>
            <w:r/>
            <w:r>
              <w:rPr>
                <w:rFonts w:ascii="Arial" w:hAnsi="Arial" w:cs="Arial"/>
                <w:b w:val="0"/>
                <w:i w:val="0"/>
                <w:sz w:val="17"/>
              </w:rPr>
              <w:t>ZK proof verified for confidential terms/private settlement</w:t>
            </w:r>
          </w:p>
        </w:tc>
        <w:tc>
          <w:tcPr>
            <w:tcW w:type="dxa" w:w="2409"/>
          </w:tcPr>
          <w:p>
            <w:pPr>
              <w:spacing w:after="20" w:before="20" w:line="240" w:lineRule="auto"/>
            </w:pPr>
            <w:r/>
            <w:r>
              <w:rPr>
                <w:rFonts w:ascii="Arial" w:hAnsi="Arial" w:cs="Arial"/>
                <w:b w:val="0"/>
                <w:i w:val="0"/>
                <w:sz w:val="17"/>
              </w:rPr>
              <w:t>Governor (A2 verification)</w:t>
            </w:r>
          </w:p>
        </w:tc>
        <w:tc>
          <w:tcPr>
            <w:tcW w:type="dxa" w:w="2409"/>
          </w:tcPr>
          <w:p>
            <w:pPr>
              <w:spacing w:after="20" w:before="20" w:line="240" w:lineRule="auto"/>
            </w:pPr>
            <w:r/>
            <w:r>
              <w:rPr>
                <w:rFonts w:ascii="Arial" w:hAnsi="Arial" w:cs="Arial"/>
                <w:b w:val="0"/>
                <w:i w:val="0"/>
                <w:sz w:val="17"/>
              </w:rPr>
              <w:t>Reject bid / settlement</w:t>
            </w:r>
          </w:p>
        </w:tc>
      </w:tr>
      <w:tr>
        <w:tc>
          <w:tcPr>
            <w:tcW w:type="dxa" w:w="2409"/>
          </w:tcPr>
          <w:p>
            <w:pPr>
              <w:spacing w:after="20" w:before="20" w:line="240" w:lineRule="auto"/>
            </w:pPr>
            <w:r/>
            <w:r>
              <w:rPr>
                <w:rFonts w:ascii="Arial" w:hAnsi="Arial" w:cs="Arial"/>
                <w:b w:val="0"/>
                <w:i w:val="0"/>
                <w:sz w:val="17"/>
              </w:rPr>
              <w:t>G-SEC12</w:t>
            </w:r>
          </w:p>
        </w:tc>
        <w:tc>
          <w:tcPr>
            <w:tcW w:type="dxa" w:w="2409"/>
          </w:tcPr>
          <w:p>
            <w:pPr>
              <w:spacing w:after="20" w:before="20" w:line="240" w:lineRule="auto"/>
            </w:pPr>
            <w:r/>
            <w:r>
              <w:rPr>
                <w:rFonts w:ascii="Arial" w:hAnsi="Arial" w:cs="Arial"/>
                <w:b w:val="0"/>
                <w:i w:val="0"/>
                <w:sz w:val="17"/>
              </w:rPr>
              <w:t>Trust Passport not revoked</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Reject verification request</w:t>
            </w:r>
          </w:p>
        </w:tc>
      </w:tr>
      <w:tr>
        <w:tc>
          <w:tcPr>
            <w:tcW w:type="dxa" w:w="2409"/>
          </w:tcPr>
          <w:p>
            <w:pPr>
              <w:spacing w:after="20" w:before="20" w:line="240" w:lineRule="auto"/>
            </w:pPr>
            <w:r/>
            <w:r>
              <w:rPr>
                <w:rFonts w:ascii="Arial" w:hAnsi="Arial" w:cs="Arial"/>
                <w:b w:val="0"/>
                <w:i w:val="0"/>
                <w:sz w:val="17"/>
              </w:rPr>
              <w:t>G-SEC13</w:t>
            </w:r>
          </w:p>
        </w:tc>
        <w:tc>
          <w:tcPr>
            <w:tcW w:type="dxa" w:w="2409"/>
          </w:tcPr>
          <w:p>
            <w:pPr>
              <w:spacing w:after="20" w:before="20" w:line="240" w:lineRule="auto"/>
            </w:pPr>
            <w:r/>
            <w:r>
              <w:rPr>
                <w:rFonts w:ascii="Arial" w:hAnsi="Arial" w:cs="Arial"/>
                <w:b w:val="0"/>
                <w:i w:val="0"/>
                <w:sz w:val="17"/>
              </w:rPr>
              <w:t>Third-party expert GTID verified and not blocked</w:t>
            </w:r>
          </w:p>
        </w:tc>
        <w:tc>
          <w:tcPr>
            <w:tcW w:type="dxa" w:w="2409"/>
          </w:tcPr>
          <w:p>
            <w:pPr>
              <w:spacing w:after="20" w:before="20" w:line="240" w:lineRule="auto"/>
            </w:pPr>
            <w:r/>
            <w:r>
              <w:rPr>
                <w:rFonts w:ascii="Arial" w:hAnsi="Arial" w:cs="Arial"/>
                <w:b w:val="0"/>
                <w:i w:val="0"/>
                <w:sz w:val="17"/>
              </w:rPr>
              <w:t>Governor (A4)</w:t>
            </w:r>
          </w:p>
        </w:tc>
        <w:tc>
          <w:tcPr>
            <w:tcW w:type="dxa" w:w="2409"/>
          </w:tcPr>
          <w:p>
            <w:pPr>
              <w:spacing w:after="20" w:before="20" w:line="240" w:lineRule="auto"/>
            </w:pPr>
            <w:r/>
            <w:r>
              <w:rPr>
                <w:rFonts w:ascii="Arial" w:hAnsi="Arial" w:cs="Arial"/>
                <w:b w:val="0"/>
                <w:i w:val="0"/>
                <w:sz w:val="17"/>
              </w:rPr>
              <w:t>Reject invitation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21.1.10 AI Authority in Security</w:t>
      </w:r>
    </w:p>
    <w:p>
      <w:pPr>
        <w:spacing w:after="80" w:line="293" w:lineRule="auto"/>
        <w:jc w:val="left"/>
      </w:pPr>
      <w:r>
        <w:rPr>
          <w:rFonts w:ascii="Times New Roman" w:hAnsi="Times New Roman" w:cs="Times New Roman"/>
          <w:b w:val="0"/>
          <w:i w:val="0"/>
          <w:sz w:val="22"/>
        </w:rPr>
        <w:t>AI participates in security only within the constitutional authority ladder: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AI Level</w:t>
            </w:r>
          </w:p>
        </w:tc>
        <w:tc>
          <w:tcPr>
            <w:tcW w:type="dxa" w:w="3213"/>
            <w:shd w:val="clear" w:fill="D9E2F3"/>
          </w:tcPr>
          <w:p>
            <w:pPr>
              <w:spacing w:after="20" w:before="20" w:line="240" w:lineRule="auto"/>
            </w:pPr>
            <w:r/>
            <w:r>
              <w:rPr>
                <w:rFonts w:ascii="Arial" w:hAnsi="Arial" w:cs="Arial"/>
                <w:b/>
                <w:i w:val="0"/>
                <w:sz w:val="18"/>
              </w:rPr>
              <w:t>Use Cases</w:t>
            </w:r>
          </w:p>
        </w:tc>
        <w:tc>
          <w:tcPr>
            <w:tcW w:type="dxa" w:w="3213"/>
            <w:shd w:val="clear" w:fill="D9E2F3"/>
          </w:tcPr>
          <w:p>
            <w:pPr>
              <w:spacing w:after="20" w:before="20" w:line="240" w:lineRule="auto"/>
            </w:pPr>
            <w:r/>
            <w:r>
              <w:rPr>
                <w:rFonts w:ascii="Arial" w:hAnsi="Arial" w:cs="Arial"/>
                <w:b/>
                <w:i w:val="0"/>
                <w:sz w:val="18"/>
              </w:rPr>
              <w:t>Constraint</w:t>
            </w:r>
          </w:p>
        </w:tc>
      </w:tr>
      <w:tr>
        <w:tc>
          <w:tcPr>
            <w:tcW w:type="dxa" w:w="3213"/>
          </w:tcPr>
          <w:p>
            <w:pPr>
              <w:spacing w:after="20" w:before="20" w:line="240" w:lineRule="auto"/>
            </w:pPr>
            <w:r/>
            <w:r>
              <w:rPr>
                <w:rFonts w:ascii="Arial" w:hAnsi="Arial" w:cs="Arial"/>
                <w:b w:val="0"/>
                <w:i w:val="0"/>
                <w:sz w:val="17"/>
              </w:rPr>
              <w:t>A1 (Groq → Ollama)</w:t>
            </w:r>
          </w:p>
        </w:tc>
        <w:tc>
          <w:tcPr>
            <w:tcW w:type="dxa" w:w="3213"/>
          </w:tcPr>
          <w:p>
            <w:pPr>
              <w:spacing w:after="20" w:before="20" w:line="240" w:lineRule="auto"/>
            </w:pPr>
            <w:r/>
            <w:r>
              <w:rPr>
                <w:rFonts w:ascii="Arial" w:hAnsi="Arial" w:cs="Arial"/>
                <w:b w:val="0"/>
                <w:i w:val="0"/>
                <w:sz w:val="17"/>
              </w:rPr>
              <w:t>Threat intelligence summaries, incident post-mortems, security report generation, alert notifications</w:t>
            </w:r>
          </w:p>
        </w:tc>
        <w:tc>
          <w:tcPr>
            <w:tcW w:type="dxa" w:w="3213"/>
          </w:tcPr>
          <w:p>
            <w:pPr>
              <w:spacing w:after="20" w:before="20" w:line="240" w:lineRule="auto"/>
            </w:pPr>
            <w:r/>
            <w:r>
              <w:rPr>
                <w:rFonts w:ascii="Arial" w:hAnsi="Arial" w:cs="Arial"/>
                <w:b w:val="0"/>
                <w:i w:val="0"/>
                <w:sz w:val="17"/>
              </w:rPr>
              <w:t>Cannot block actions; only suggests</w:t>
            </w:r>
          </w:p>
        </w:tc>
      </w:tr>
      <w:tr>
        <w:tc>
          <w:tcPr>
            <w:tcW w:type="dxa" w:w="3213"/>
          </w:tcPr>
          <w:p>
            <w:pPr>
              <w:spacing w:after="20" w:before="20" w:line="240" w:lineRule="auto"/>
            </w:pPr>
            <w:r/>
            <w:r>
              <w:rPr>
                <w:rFonts w:ascii="Arial" w:hAnsi="Arial" w:cs="Arial"/>
                <w:b w:val="0"/>
                <w:i w:val="0"/>
                <w:sz w:val="17"/>
              </w:rPr>
              <w:t>A2 (HF local → Ollama)</w:t>
            </w:r>
          </w:p>
        </w:tc>
        <w:tc>
          <w:tcPr>
            <w:tcW w:type="dxa" w:w="3213"/>
          </w:tcPr>
          <w:p>
            <w:pPr>
              <w:spacing w:after="20" w:before="20" w:line="240" w:lineRule="auto"/>
            </w:pPr>
            <w:r/>
            <w:r>
              <w:rPr>
                <w:rFonts w:ascii="Arial" w:hAnsi="Arial" w:cs="Arial"/>
                <w:b w:val="0"/>
                <w:i w:val="0"/>
                <w:sz w:val="17"/>
              </w:rPr>
              <w:t>Anomaly detection (Isolation Forest), threat feed parsing, log analysis, model drift detection</w:t>
            </w:r>
          </w:p>
        </w:tc>
        <w:tc>
          <w:tcPr>
            <w:tcW w:type="dxa" w:w="3213"/>
          </w:tcPr>
          <w:p>
            <w:pPr>
              <w:spacing w:after="20" w:before="20" w:line="240" w:lineRule="auto"/>
            </w:pPr>
            <w:r/>
            <w:r>
              <w:rPr>
                <w:rFonts w:ascii="Arial" w:hAnsi="Arial" w:cs="Arial"/>
                <w:b w:val="0"/>
                <w:i w:val="0"/>
                <w:sz w:val="17"/>
              </w:rPr>
              <w:t>Can flag but cannot auto-block; alerts Admin Portal</w:t>
            </w:r>
          </w:p>
        </w:tc>
      </w:tr>
      <w:tr>
        <w:tc>
          <w:tcPr>
            <w:tcW w:type="dxa" w:w="3213"/>
          </w:tcPr>
          <w:p>
            <w:pPr>
              <w:spacing w:after="20" w:before="20" w:line="240" w:lineRule="auto"/>
            </w:pPr>
            <w:r/>
            <w:r>
              <w:rPr>
                <w:rFonts w:ascii="Arial" w:hAnsi="Arial" w:cs="Arial"/>
                <w:b w:val="0"/>
                <w:i w:val="0"/>
                <w:sz w:val="17"/>
              </w:rPr>
              <w:t>A4 (OPA + WasmEdge)</w:t>
            </w:r>
          </w:p>
        </w:tc>
        <w:tc>
          <w:tcPr>
            <w:tcW w:type="dxa" w:w="3213"/>
          </w:tcPr>
          <w:p>
            <w:pPr>
              <w:spacing w:after="20" w:before="20" w:line="240" w:lineRule="auto"/>
            </w:pPr>
            <w:r/>
            <w:r>
              <w:rPr>
                <w:rFonts w:ascii="Arial" w:hAnsi="Arial" w:cs="Arial"/>
                <w:b w:val="0"/>
                <w:i w:val="0"/>
                <w:sz w:val="17"/>
              </w:rPr>
              <w:t>RLS enforcement, rate limiting, mTLS validation, Loom chain verification, Governor enforcement, dual-mode context enforcement, conditional QC hold enforcement, deferred payment guarantee validation, ZK proof verification</w:t>
            </w:r>
          </w:p>
        </w:tc>
        <w:tc>
          <w:tcPr>
            <w:tcW w:type="dxa" w:w="3213"/>
          </w:tcPr>
          <w:p>
            <w:pPr>
              <w:spacing w:after="20" w:before="20" w:line="240" w:lineRule="auto"/>
            </w:pPr>
            <w:r/>
            <w:r>
              <w:rPr>
                <w:rFonts w:ascii="Arial" w:hAnsi="Arial" w:cs="Arial"/>
                <w:b w:val="0"/>
                <w:i w:val="0"/>
                <w:sz w:val="17"/>
              </w:rPr>
              <w:t>Auto-executes within constitutional bounds</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21.2 STRIDE Threat Model</w:t>
      </w:r>
    </w:p>
    <w:p>
      <w:pPr>
        <w:keepNext/>
        <w:spacing w:before="180" w:after="80"/>
        <w:outlineLvl w:val="2"/>
      </w:pPr>
      <w:r>
        <w:rPr>
          <w:rFonts w:ascii="Arial" w:hAnsi="Arial" w:cs="Arial"/>
          <w:b/>
          <w:i w:val="0"/>
          <w:color w:val="333333"/>
          <w:sz w:val="23"/>
        </w:rPr>
        <w:t>21.2.1 STRIDE Categories &amp; Platform-Wide Mitigations</w:t>
      </w:r>
    </w:p>
    <w:p>
      <w:pPr>
        <w:spacing w:after="80" w:line="293" w:lineRule="auto"/>
        <w:jc w:val="left"/>
      </w:pPr>
      <w:r>
        <w:rPr>
          <w:rFonts w:ascii="Times New Roman" w:hAnsi="Times New Roman" w:cs="Times New Roman"/>
          <w:b w:val="0"/>
          <w:i w:val="0"/>
          <w:sz w:val="22"/>
        </w:rPr>
        <w:t>The threat model applies STRIDE per component and per trust boundary, and maps adversary TTPs to MITRE ATT&amp;CK. The platform-wide mitigation for each STRIDE category: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STRIDE</w:t>
            </w:r>
          </w:p>
        </w:tc>
        <w:tc>
          <w:tcPr>
            <w:tcW w:type="dxa" w:w="3213"/>
            <w:shd w:val="clear" w:fill="D9E2F3"/>
          </w:tcPr>
          <w:p>
            <w:pPr>
              <w:spacing w:after="20" w:before="20" w:line="240" w:lineRule="auto"/>
            </w:pPr>
            <w:r/>
            <w:r>
              <w:rPr>
                <w:rFonts w:ascii="Arial" w:hAnsi="Arial" w:cs="Arial"/>
                <w:b/>
                <w:i w:val="0"/>
                <w:sz w:val="18"/>
              </w:rPr>
              <w:t>Threat</w:t>
            </w:r>
          </w:p>
        </w:tc>
        <w:tc>
          <w:tcPr>
            <w:tcW w:type="dxa" w:w="3213"/>
            <w:shd w:val="clear" w:fill="D9E2F3"/>
          </w:tcPr>
          <w:p>
            <w:pPr>
              <w:spacing w:after="20" w:before="20" w:line="240" w:lineRule="auto"/>
            </w:pPr>
            <w:r/>
            <w:r>
              <w:rPr>
                <w:rFonts w:ascii="Arial" w:hAnsi="Arial" w:cs="Arial"/>
                <w:b/>
                <w:i w:val="0"/>
                <w:sz w:val="18"/>
              </w:rPr>
              <w:t>Platform Mitigation</w:t>
            </w:r>
          </w:p>
        </w:tc>
      </w:tr>
      <w:tr>
        <w:tc>
          <w:tcPr>
            <w:tcW w:type="dxa" w:w="3213"/>
          </w:tcPr>
          <w:p>
            <w:pPr>
              <w:spacing w:after="20" w:before="20" w:line="240" w:lineRule="auto"/>
            </w:pPr>
            <w:r/>
            <w:r>
              <w:rPr>
                <w:rFonts w:ascii="Arial" w:hAnsi="Arial" w:cs="Arial"/>
                <w:b w:val="0"/>
                <w:i w:val="0"/>
                <w:sz w:val="17"/>
              </w:rPr>
              <w:t>S — Spoofing</w:t>
            </w:r>
          </w:p>
        </w:tc>
        <w:tc>
          <w:tcPr>
            <w:tcW w:type="dxa" w:w="3213"/>
          </w:tcPr>
          <w:p>
            <w:pPr>
              <w:spacing w:after="20" w:before="20" w:line="240" w:lineRule="auto"/>
            </w:pPr>
            <w:r/>
            <w:r>
              <w:rPr>
                <w:rFonts w:ascii="Arial" w:hAnsi="Arial" w:cs="Arial"/>
                <w:b w:val="0"/>
                <w:i w:val="0"/>
                <w:sz w:val="17"/>
              </w:rPr>
              <w:t>Impersonation of user, service, or component</w:t>
            </w:r>
          </w:p>
        </w:tc>
        <w:tc>
          <w:tcPr>
            <w:tcW w:type="dxa" w:w="3213"/>
          </w:tcPr>
          <w:p>
            <w:pPr>
              <w:spacing w:after="20" w:before="20" w:line="240" w:lineRule="auto"/>
            </w:pPr>
            <w:r/>
            <w:r>
              <w:rPr>
                <w:rFonts w:ascii="Arial" w:hAnsi="Arial" w:cs="Arial"/>
                <w:b w:val="0"/>
                <w:i w:val="0"/>
                <w:sz w:val="17"/>
              </w:rPr>
              <w:t>Ed25519 signatures; ZITADEL WebAuthn; mTLS; JWT validation; certificate pinning</w:t>
            </w:r>
          </w:p>
        </w:tc>
      </w:tr>
      <w:tr>
        <w:tc>
          <w:tcPr>
            <w:tcW w:type="dxa" w:w="3213"/>
          </w:tcPr>
          <w:p>
            <w:pPr>
              <w:spacing w:after="20" w:before="20" w:line="240" w:lineRule="auto"/>
            </w:pPr>
            <w:r/>
            <w:r>
              <w:rPr>
                <w:rFonts w:ascii="Arial" w:hAnsi="Arial" w:cs="Arial"/>
                <w:b w:val="0"/>
                <w:i w:val="0"/>
                <w:sz w:val="17"/>
              </w:rPr>
              <w:t>T — Tampering</w:t>
            </w:r>
          </w:p>
        </w:tc>
        <w:tc>
          <w:tcPr>
            <w:tcW w:type="dxa" w:w="3213"/>
          </w:tcPr>
          <w:p>
            <w:pPr>
              <w:spacing w:after="20" w:before="20" w:line="240" w:lineRule="auto"/>
            </w:pPr>
            <w:r/>
            <w:r>
              <w:rPr>
                <w:rFonts w:ascii="Arial" w:hAnsi="Arial" w:cs="Arial"/>
                <w:b w:val="0"/>
                <w:i w:val="0"/>
                <w:sz w:val="17"/>
              </w:rPr>
              <w:t>Modification in transit or at rest</w:t>
            </w:r>
          </w:p>
        </w:tc>
        <w:tc>
          <w:tcPr>
            <w:tcW w:type="dxa" w:w="3213"/>
          </w:tcPr>
          <w:p>
            <w:pPr>
              <w:spacing w:after="20" w:before="20" w:line="240" w:lineRule="auto"/>
            </w:pPr>
            <w:r/>
            <w:r>
              <w:rPr>
                <w:rFonts w:ascii="Arial" w:hAnsi="Arial" w:cs="Arial"/>
                <w:b w:val="0"/>
                <w:i w:val="0"/>
                <w:sz w:val="17"/>
              </w:rPr>
              <w:t>Loom hash chain; TLS 1.3; signature verification; WASM sandbox; encryption at rest</w:t>
            </w:r>
          </w:p>
        </w:tc>
      </w:tr>
      <w:tr>
        <w:tc>
          <w:tcPr>
            <w:tcW w:type="dxa" w:w="3213"/>
          </w:tcPr>
          <w:p>
            <w:pPr>
              <w:spacing w:after="20" w:before="20" w:line="240" w:lineRule="auto"/>
            </w:pPr>
            <w:r/>
            <w:r>
              <w:rPr>
                <w:rFonts w:ascii="Arial" w:hAnsi="Arial" w:cs="Arial"/>
                <w:b w:val="0"/>
                <w:i w:val="0"/>
                <w:sz w:val="17"/>
              </w:rPr>
              <w:t>R — Repudiation</w:t>
            </w:r>
          </w:p>
        </w:tc>
        <w:tc>
          <w:tcPr>
            <w:tcW w:type="dxa" w:w="3213"/>
          </w:tcPr>
          <w:p>
            <w:pPr>
              <w:spacing w:after="20" w:before="20" w:line="240" w:lineRule="auto"/>
            </w:pPr>
            <w:r/>
            <w:r>
              <w:rPr>
                <w:rFonts w:ascii="Arial" w:hAnsi="Arial" w:cs="Arial"/>
                <w:b w:val="0"/>
                <w:i w:val="0"/>
                <w:sz w:val="17"/>
              </w:rPr>
              <w:t>Denial of an action</w:t>
            </w:r>
          </w:p>
        </w:tc>
        <w:tc>
          <w:tcPr>
            <w:tcW w:type="dxa" w:w="3213"/>
          </w:tcPr>
          <w:p>
            <w:pPr>
              <w:spacing w:after="20" w:before="20" w:line="240" w:lineRule="auto"/>
            </w:pPr>
            <w:r/>
            <w:r>
              <w:rPr>
                <w:rFonts w:ascii="Arial" w:hAnsi="Arial" w:cs="Arial"/>
                <w:b w:val="0"/>
                <w:i w:val="0"/>
                <w:sz w:val="17"/>
              </w:rPr>
              <w:t>Non-repudiation via Ed25519 signatures; Loom chain; audit logs; ZITADEL passkeys</w:t>
            </w:r>
          </w:p>
        </w:tc>
      </w:tr>
      <w:tr>
        <w:tc>
          <w:tcPr>
            <w:tcW w:type="dxa" w:w="3213"/>
          </w:tcPr>
          <w:p>
            <w:pPr>
              <w:spacing w:after="20" w:before="20" w:line="240" w:lineRule="auto"/>
            </w:pPr>
            <w:r/>
            <w:r>
              <w:rPr>
                <w:rFonts w:ascii="Arial" w:hAnsi="Arial" w:cs="Arial"/>
                <w:b w:val="0"/>
                <w:i w:val="0"/>
                <w:sz w:val="17"/>
              </w:rPr>
              <w:t>I — Information Disclosure</w:t>
            </w:r>
          </w:p>
        </w:tc>
        <w:tc>
          <w:tcPr>
            <w:tcW w:type="dxa" w:w="3213"/>
          </w:tcPr>
          <w:p>
            <w:pPr>
              <w:spacing w:after="20" w:before="20" w:line="240" w:lineRule="auto"/>
            </w:pPr>
            <w:r/>
            <w:r>
              <w:rPr>
                <w:rFonts w:ascii="Arial" w:hAnsi="Arial" w:cs="Arial"/>
                <w:b w:val="0"/>
                <w:i w:val="0"/>
                <w:sz w:val="17"/>
              </w:rPr>
              <w:t>Unauthorised data access</w:t>
            </w:r>
          </w:p>
        </w:tc>
        <w:tc>
          <w:tcPr>
            <w:tcW w:type="dxa" w:w="3213"/>
          </w:tcPr>
          <w:p>
            <w:pPr>
              <w:spacing w:after="20" w:before="20" w:line="240" w:lineRule="auto"/>
            </w:pPr>
            <w:r/>
            <w:r>
              <w:rPr>
                <w:rFonts w:ascii="Arial" w:hAnsi="Arial" w:cs="Arial"/>
                <w:b w:val="0"/>
                <w:i w:val="0"/>
                <w:sz w:val="17"/>
              </w:rPr>
              <w:t>Row-Level Security; encryption at rest; mTLS; data minimisation; differential privacy</w:t>
            </w:r>
          </w:p>
        </w:tc>
      </w:tr>
      <w:tr>
        <w:tc>
          <w:tcPr>
            <w:tcW w:type="dxa" w:w="3213"/>
          </w:tcPr>
          <w:p>
            <w:pPr>
              <w:spacing w:after="20" w:before="20" w:line="240" w:lineRule="auto"/>
            </w:pPr>
            <w:r/>
            <w:r>
              <w:rPr>
                <w:rFonts w:ascii="Arial" w:hAnsi="Arial" w:cs="Arial"/>
                <w:b w:val="0"/>
                <w:i w:val="0"/>
                <w:sz w:val="17"/>
              </w:rPr>
              <w:t>D — Denial of Service</w:t>
            </w:r>
          </w:p>
        </w:tc>
        <w:tc>
          <w:tcPr>
            <w:tcW w:type="dxa" w:w="3213"/>
          </w:tcPr>
          <w:p>
            <w:pPr>
              <w:spacing w:after="20" w:before="20" w:line="240" w:lineRule="auto"/>
            </w:pPr>
            <w:r/>
            <w:r>
              <w:rPr>
                <w:rFonts w:ascii="Arial" w:hAnsi="Arial" w:cs="Arial"/>
                <w:b w:val="0"/>
                <w:i w:val="0"/>
                <w:sz w:val="17"/>
              </w:rPr>
              <w:t>Availability disruption</w:t>
            </w:r>
          </w:p>
        </w:tc>
        <w:tc>
          <w:tcPr>
            <w:tcW w:type="dxa" w:w="3213"/>
          </w:tcPr>
          <w:p>
            <w:pPr>
              <w:spacing w:after="20" w:before="20" w:line="240" w:lineRule="auto"/>
            </w:pPr>
            <w:r/>
            <w:r>
              <w:rPr>
                <w:rFonts w:ascii="Arial" w:hAnsi="Arial" w:cs="Arial"/>
                <w:b w:val="0"/>
                <w:i w:val="0"/>
                <w:sz w:val="17"/>
              </w:rPr>
              <w:t>Active-active replicas; HPA auto-scaling; circuit breakers; rate limiting; bank fallback routes</w:t>
            </w:r>
          </w:p>
        </w:tc>
      </w:tr>
      <w:tr>
        <w:tc>
          <w:tcPr>
            <w:tcW w:type="dxa" w:w="3213"/>
          </w:tcPr>
          <w:p>
            <w:pPr>
              <w:spacing w:after="20" w:before="20" w:line="240" w:lineRule="auto"/>
            </w:pPr>
            <w:r/>
            <w:r>
              <w:rPr>
                <w:rFonts w:ascii="Arial" w:hAnsi="Arial" w:cs="Arial"/>
                <w:b w:val="0"/>
                <w:i w:val="0"/>
                <w:sz w:val="17"/>
              </w:rPr>
              <w:t>E — Elevation of Privilege</w:t>
            </w:r>
          </w:p>
        </w:tc>
        <w:tc>
          <w:tcPr>
            <w:tcW w:type="dxa" w:w="3213"/>
          </w:tcPr>
          <w:p>
            <w:pPr>
              <w:spacing w:after="20" w:before="20" w:line="240" w:lineRule="auto"/>
            </w:pPr>
            <w:r/>
            <w:r>
              <w:rPr>
                <w:rFonts w:ascii="Arial" w:hAnsi="Arial" w:cs="Arial"/>
                <w:b w:val="0"/>
                <w:i w:val="0"/>
                <w:sz w:val="17"/>
              </w:rPr>
              <w:t>Unauthorised permissions</w:t>
            </w:r>
          </w:p>
        </w:tc>
        <w:tc>
          <w:tcPr>
            <w:tcW w:type="dxa" w:w="3213"/>
          </w:tcPr>
          <w:p>
            <w:pPr>
              <w:spacing w:after="20" w:before="20" w:line="240" w:lineRule="auto"/>
            </w:pPr>
            <w:r/>
            <w:r>
              <w:rPr>
                <w:rFonts w:ascii="Arial" w:hAnsi="Arial" w:cs="Arial"/>
                <w:b w:val="0"/>
                <w:i w:val="0"/>
                <w:sz w:val="17"/>
              </w:rPr>
              <w:t>OPA policies; data scopes; multisig for critical actions; WASM sandbox; device trust registry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21.2.2 Per-Component STRIDE Matrix</w:t>
      </w:r>
    </w:p>
    <w:p>
      <w:pPr>
        <w:spacing w:after="80" w:line="293" w:lineRule="auto"/>
        <w:jc w:val="left"/>
      </w:pPr>
      <w:r>
        <w:rPr>
          <w:rFonts w:ascii="Times New Roman" w:hAnsi="Times New Roman" w:cs="Times New Roman"/>
          <w:b w:val="0"/>
          <w:i w:val="0"/>
          <w:sz w:val="22"/>
        </w:rPr>
        <w:t>The following matrix analyses each major asset against the six STRIDE categories. Mitigations are linked to the blueprint sections that specify them:</w:t>
      </w:r>
    </w:p>
    <w:tbl>
      <w:tblPr>
        <w:tblStyle w:val="TableGrid"/>
        <w:tblW w:type="auto" w:w="0"/>
        <w:jc w:val="left"/>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D9E2F3"/>
          </w:tcPr>
          <w:p>
            <w:pPr>
              <w:spacing w:after="20" w:before="20" w:line="240" w:lineRule="auto"/>
            </w:pPr>
            <w:r/>
            <w:r>
              <w:rPr>
                <w:rFonts w:ascii="Arial" w:hAnsi="Arial" w:cs="Arial"/>
                <w:b/>
                <w:i w:val="0"/>
                <w:sz w:val="18"/>
              </w:rPr>
              <w:t>Asset</w:t>
            </w:r>
          </w:p>
        </w:tc>
        <w:tc>
          <w:tcPr>
            <w:tcW w:type="dxa" w:w="1377"/>
            <w:shd w:val="clear" w:fill="D9E2F3"/>
          </w:tcPr>
          <w:p>
            <w:pPr>
              <w:spacing w:after="20" w:before="20" w:line="240" w:lineRule="auto"/>
            </w:pPr>
            <w:r/>
            <w:r>
              <w:rPr>
                <w:rFonts w:ascii="Arial" w:hAnsi="Arial" w:cs="Arial"/>
                <w:b/>
                <w:i w:val="0"/>
                <w:sz w:val="18"/>
              </w:rPr>
              <w:t>Spoofing</w:t>
            </w:r>
          </w:p>
        </w:tc>
        <w:tc>
          <w:tcPr>
            <w:tcW w:type="dxa" w:w="1377"/>
            <w:shd w:val="clear" w:fill="D9E2F3"/>
          </w:tcPr>
          <w:p>
            <w:pPr>
              <w:spacing w:after="20" w:before="20" w:line="240" w:lineRule="auto"/>
            </w:pPr>
            <w:r/>
            <w:r>
              <w:rPr>
                <w:rFonts w:ascii="Arial" w:hAnsi="Arial" w:cs="Arial"/>
                <w:b/>
                <w:i w:val="0"/>
                <w:sz w:val="18"/>
              </w:rPr>
              <w:t>Tampering</w:t>
            </w:r>
          </w:p>
        </w:tc>
        <w:tc>
          <w:tcPr>
            <w:tcW w:type="dxa" w:w="1377"/>
            <w:shd w:val="clear" w:fill="D9E2F3"/>
          </w:tcPr>
          <w:p>
            <w:pPr>
              <w:spacing w:after="20" w:before="20" w:line="240" w:lineRule="auto"/>
            </w:pPr>
            <w:r/>
            <w:r>
              <w:rPr>
                <w:rFonts w:ascii="Arial" w:hAnsi="Arial" w:cs="Arial"/>
                <w:b/>
                <w:i w:val="0"/>
                <w:sz w:val="18"/>
              </w:rPr>
              <w:t>Repudiation</w:t>
            </w:r>
          </w:p>
        </w:tc>
        <w:tc>
          <w:tcPr>
            <w:tcW w:type="dxa" w:w="1377"/>
            <w:shd w:val="clear" w:fill="D9E2F3"/>
          </w:tcPr>
          <w:p>
            <w:pPr>
              <w:spacing w:after="20" w:before="20" w:line="240" w:lineRule="auto"/>
            </w:pPr>
            <w:r/>
            <w:r>
              <w:rPr>
                <w:rFonts w:ascii="Arial" w:hAnsi="Arial" w:cs="Arial"/>
                <w:b/>
                <w:i w:val="0"/>
                <w:sz w:val="18"/>
              </w:rPr>
              <w:t>Information Disclosure</w:t>
            </w:r>
          </w:p>
        </w:tc>
        <w:tc>
          <w:tcPr>
            <w:tcW w:type="dxa" w:w="1377"/>
            <w:shd w:val="clear" w:fill="D9E2F3"/>
          </w:tcPr>
          <w:p>
            <w:pPr>
              <w:spacing w:after="20" w:before="20" w:line="240" w:lineRule="auto"/>
            </w:pPr>
            <w:r/>
            <w:r>
              <w:rPr>
                <w:rFonts w:ascii="Arial" w:hAnsi="Arial" w:cs="Arial"/>
                <w:b/>
                <w:i w:val="0"/>
                <w:sz w:val="18"/>
              </w:rPr>
              <w:t>Denial of Service</w:t>
            </w:r>
          </w:p>
        </w:tc>
        <w:tc>
          <w:tcPr>
            <w:tcW w:type="dxa" w:w="1377"/>
            <w:shd w:val="clear" w:fill="D9E2F3"/>
          </w:tcPr>
          <w:p>
            <w:pPr>
              <w:spacing w:after="20" w:before="20" w:line="240" w:lineRule="auto"/>
            </w:pPr>
            <w:r/>
            <w:r>
              <w:rPr>
                <w:rFonts w:ascii="Arial" w:hAnsi="Arial" w:cs="Arial"/>
                <w:b/>
                <w:i w:val="0"/>
                <w:sz w:val="18"/>
              </w:rPr>
              <w:t>Elevation of Privilege</w:t>
            </w:r>
          </w:p>
        </w:tc>
      </w:tr>
      <w:tr>
        <w:tc>
          <w:tcPr>
            <w:tcW w:type="dxa" w:w="1377"/>
          </w:tcPr>
          <w:p>
            <w:pPr>
              <w:spacing w:after="20" w:before="20" w:line="240" w:lineRule="auto"/>
            </w:pPr>
            <w:r/>
            <w:r>
              <w:rPr>
                <w:rFonts w:ascii="Arial" w:hAnsi="Arial" w:cs="Arial"/>
                <w:b w:val="0"/>
                <w:i w:val="0"/>
                <w:sz w:val="17"/>
              </w:rPr>
              <w:t>GTID / Identity</w:t>
            </w:r>
          </w:p>
        </w:tc>
        <w:tc>
          <w:tcPr>
            <w:tcW w:type="dxa" w:w="1377"/>
          </w:tcPr>
          <w:p>
            <w:pPr>
              <w:spacing w:after="20" w:before="20" w:line="240" w:lineRule="auto"/>
            </w:pPr>
            <w:r/>
            <w:r>
              <w:rPr>
                <w:rFonts w:ascii="Arial" w:hAnsi="Arial" w:cs="Arial"/>
                <w:b w:val="0"/>
                <w:i w:val="0"/>
                <w:sz w:val="17"/>
              </w:rPr>
              <w:t>Ed25519 signatures + ZITADEL WebAuthn (Section 4)</w:t>
            </w:r>
          </w:p>
        </w:tc>
        <w:tc>
          <w:tcPr>
            <w:tcW w:type="dxa" w:w="1377"/>
          </w:tcPr>
          <w:p>
            <w:pPr>
              <w:spacing w:after="20" w:before="20" w:line="240" w:lineRule="auto"/>
            </w:pPr>
            <w:r/>
            <w:r>
              <w:rPr>
                <w:rFonts w:ascii="Arial" w:hAnsi="Arial" w:cs="Arial"/>
                <w:b w:val="0"/>
                <w:i w:val="0"/>
                <w:sz w:val="17"/>
              </w:rPr>
              <w:t>Loom hash chain (Section 15)</w:t>
            </w:r>
          </w:p>
        </w:tc>
        <w:tc>
          <w:tcPr>
            <w:tcW w:type="dxa" w:w="1377"/>
          </w:tcPr>
          <w:p>
            <w:pPr>
              <w:spacing w:after="20" w:before="20" w:line="240" w:lineRule="auto"/>
            </w:pPr>
            <w:r/>
            <w:r>
              <w:rPr>
                <w:rFonts w:ascii="Arial" w:hAnsi="Arial" w:cs="Arial"/>
                <w:b w:val="0"/>
                <w:i w:val="0"/>
                <w:sz w:val="17"/>
              </w:rPr>
              <w:t>Non-repudiation via signatures</w:t>
            </w:r>
          </w:p>
        </w:tc>
        <w:tc>
          <w:tcPr>
            <w:tcW w:type="dxa" w:w="1377"/>
          </w:tcPr>
          <w:p>
            <w:pPr>
              <w:spacing w:after="20" w:before="20" w:line="240" w:lineRule="auto"/>
            </w:pPr>
            <w:r/>
            <w:r>
              <w:rPr>
                <w:rFonts w:ascii="Arial" w:hAnsi="Arial" w:cs="Arial"/>
                <w:b w:val="0"/>
                <w:i w:val="0"/>
                <w:sz w:val="17"/>
              </w:rPr>
              <w:t>RLS, data scopes (Section 4)</w:t>
            </w:r>
          </w:p>
        </w:tc>
        <w:tc>
          <w:tcPr>
            <w:tcW w:type="dxa" w:w="1377"/>
          </w:tcPr>
          <w:p>
            <w:pPr>
              <w:spacing w:after="20" w:before="20" w:line="240" w:lineRule="auto"/>
            </w:pPr>
            <w:r/>
            <w:r>
              <w:rPr>
                <w:rFonts w:ascii="Arial" w:hAnsi="Arial" w:cs="Arial"/>
                <w:b w:val="0"/>
                <w:i w:val="0"/>
                <w:sz w:val="17"/>
              </w:rPr>
              <w:t>Rate-limiting at API gateway</w:t>
            </w:r>
          </w:p>
        </w:tc>
        <w:tc>
          <w:tcPr>
            <w:tcW w:type="dxa" w:w="1377"/>
          </w:tcPr>
          <w:p>
            <w:pPr>
              <w:spacing w:after="20" w:before="20" w:line="240" w:lineRule="auto"/>
            </w:pPr>
            <w:r/>
            <w:r>
              <w:rPr>
                <w:rFonts w:ascii="Arial" w:hAnsi="Arial" w:cs="Arial"/>
                <w:b w:val="0"/>
                <w:i w:val="0"/>
                <w:sz w:val="17"/>
              </w:rPr>
              <w:t>OPA policies (Section 15)</w:t>
            </w:r>
          </w:p>
        </w:tc>
      </w:tr>
      <w:tr>
        <w:tc>
          <w:tcPr>
            <w:tcW w:type="dxa" w:w="1377"/>
          </w:tcPr>
          <w:p>
            <w:pPr>
              <w:spacing w:after="20" w:before="20" w:line="240" w:lineRule="auto"/>
            </w:pPr>
            <w:r/>
            <w:r>
              <w:rPr>
                <w:rFonts w:ascii="Arial" w:hAnsi="Arial" w:cs="Arial"/>
                <w:b w:val="0"/>
                <w:i w:val="0"/>
                <w:sz w:val="17"/>
              </w:rPr>
              <w:t>Governor Service</w:t>
            </w:r>
          </w:p>
        </w:tc>
        <w:tc>
          <w:tcPr>
            <w:tcW w:type="dxa" w:w="1377"/>
          </w:tcPr>
          <w:p>
            <w:pPr>
              <w:spacing w:after="20" w:before="20" w:line="240" w:lineRule="auto"/>
            </w:pPr>
            <w:r/>
            <w:r>
              <w:rPr>
                <w:rFonts w:ascii="Arial" w:hAnsi="Arial" w:cs="Arial"/>
                <w:b w:val="0"/>
                <w:i w:val="0"/>
                <w:sz w:val="17"/>
              </w:rPr>
              <w:t>mTLS + JWT validation (Section 15)</w:t>
            </w:r>
          </w:p>
        </w:tc>
        <w:tc>
          <w:tcPr>
            <w:tcW w:type="dxa" w:w="1377"/>
          </w:tcPr>
          <w:p>
            <w:pPr>
              <w:spacing w:after="20" w:before="20" w:line="240" w:lineRule="auto"/>
            </w:pPr>
            <w:r/>
            <w:r>
              <w:rPr>
                <w:rFonts w:ascii="Arial" w:hAnsi="Arial" w:cs="Arial"/>
                <w:b w:val="0"/>
                <w:i w:val="0"/>
                <w:sz w:val="17"/>
              </w:rPr>
              <w:t>WasmEdge sandbox + signed WASM (Section 15)</w:t>
            </w:r>
          </w:p>
        </w:tc>
        <w:tc>
          <w:tcPr>
            <w:tcW w:type="dxa" w:w="1377"/>
          </w:tcPr>
          <w:p>
            <w:pPr>
              <w:spacing w:after="20" w:before="20" w:line="240" w:lineRule="auto"/>
            </w:pPr>
            <w:r/>
            <w:r>
              <w:rPr>
                <w:rFonts w:ascii="Arial" w:hAnsi="Arial" w:cs="Arial"/>
                <w:b w:val="0"/>
                <w:i w:val="0"/>
                <w:sz w:val="17"/>
              </w:rPr>
              <w:t>Loom logging every decision</w:t>
            </w:r>
          </w:p>
        </w:tc>
        <w:tc>
          <w:tcPr>
            <w:tcW w:type="dxa" w:w="1377"/>
          </w:tcPr>
          <w:p>
            <w:pPr>
              <w:spacing w:after="20" w:before="20" w:line="240" w:lineRule="auto"/>
            </w:pPr>
            <w:r/>
            <w:r>
              <w:rPr>
                <w:rFonts w:ascii="Arial" w:hAnsi="Arial" w:cs="Arial"/>
                <w:b w:val="0"/>
                <w:i w:val="0"/>
                <w:sz w:val="17"/>
              </w:rPr>
              <w:t>Audit logs encrypted at rest</w:t>
            </w:r>
          </w:p>
        </w:tc>
        <w:tc>
          <w:tcPr>
            <w:tcW w:type="dxa" w:w="1377"/>
          </w:tcPr>
          <w:p>
            <w:pPr>
              <w:spacing w:after="20" w:before="20" w:line="240" w:lineRule="auto"/>
            </w:pPr>
            <w:r/>
            <w:r>
              <w:rPr>
                <w:rFonts w:ascii="Arial" w:hAnsi="Arial" w:cs="Arial"/>
                <w:b w:val="0"/>
                <w:i w:val="0"/>
                <w:sz w:val="17"/>
              </w:rPr>
              <w:t>Active-active replicas + circuit-breaker</w:t>
            </w:r>
          </w:p>
        </w:tc>
        <w:tc>
          <w:tcPr>
            <w:tcW w:type="dxa" w:w="1377"/>
          </w:tcPr>
          <w:p>
            <w:pPr>
              <w:spacing w:after="20" w:before="20" w:line="240" w:lineRule="auto"/>
            </w:pPr>
            <w:r/>
            <w:r>
              <w:rPr>
                <w:rFonts w:ascii="Arial" w:hAnsi="Arial" w:cs="Arial"/>
                <w:b w:val="0"/>
                <w:i w:val="0"/>
                <w:sz w:val="17"/>
              </w:rPr>
              <w:t>Multisig for policy changes (Section 15)</w:t>
            </w:r>
          </w:p>
        </w:tc>
      </w:tr>
      <w:tr>
        <w:tc>
          <w:tcPr>
            <w:tcW w:type="dxa" w:w="1377"/>
          </w:tcPr>
          <w:p>
            <w:pPr>
              <w:spacing w:after="20" w:before="20" w:line="240" w:lineRule="auto"/>
            </w:pPr>
            <w:r/>
            <w:r>
              <w:rPr>
                <w:rFonts w:ascii="Arial" w:hAnsi="Arial" w:cs="Arial"/>
                <w:b w:val="0"/>
                <w:i w:val="0"/>
                <w:sz w:val="17"/>
              </w:rPr>
              <w:t>USTN &amp; Shipments</w:t>
            </w:r>
          </w:p>
        </w:tc>
        <w:tc>
          <w:tcPr>
            <w:tcW w:type="dxa" w:w="1377"/>
          </w:tcPr>
          <w:p>
            <w:pPr>
              <w:spacing w:after="20" w:before="20" w:line="240" w:lineRule="auto"/>
            </w:pPr>
            <w:r/>
            <w:r>
              <w:rPr>
                <w:rFonts w:ascii="Arial" w:hAnsi="Arial" w:cs="Arial"/>
                <w:b w:val="0"/>
                <w:i w:val="0"/>
                <w:sz w:val="17"/>
              </w:rPr>
              <w:t>QR code with verifiable credential (Section 5)</w:t>
            </w:r>
          </w:p>
        </w:tc>
        <w:tc>
          <w:tcPr>
            <w:tcW w:type="dxa" w:w="1377"/>
          </w:tcPr>
          <w:p>
            <w:pPr>
              <w:spacing w:after="20" w:before="20" w:line="240" w:lineRule="auto"/>
            </w:pPr>
            <w:r/>
            <w:r>
              <w:rPr>
                <w:rFonts w:ascii="Arial" w:hAnsi="Arial" w:cs="Arial"/>
                <w:b w:val="0"/>
                <w:i w:val="0"/>
                <w:sz w:val="17"/>
              </w:rPr>
              <w:t>SHA256 hashes of all documents (Section 12)</w:t>
            </w:r>
          </w:p>
        </w:tc>
        <w:tc>
          <w:tcPr>
            <w:tcW w:type="dxa" w:w="1377"/>
          </w:tcPr>
          <w:p>
            <w:pPr>
              <w:spacing w:after="20" w:before="20" w:line="240" w:lineRule="auto"/>
            </w:pPr>
            <w:r/>
            <w:r>
              <w:rPr>
                <w:rFonts w:ascii="Arial" w:hAnsi="Arial" w:cs="Arial"/>
                <w:b w:val="0"/>
                <w:i w:val="0"/>
                <w:sz w:val="17"/>
              </w:rPr>
              <w:t>Milestone signatures (Section 12)</w:t>
            </w:r>
          </w:p>
        </w:tc>
        <w:tc>
          <w:tcPr>
            <w:tcW w:type="dxa" w:w="1377"/>
          </w:tcPr>
          <w:p>
            <w:pPr>
              <w:spacing w:after="20" w:before="20" w:line="240" w:lineRule="auto"/>
            </w:pPr>
            <w:r/>
            <w:r>
              <w:rPr>
                <w:rFonts w:ascii="Arial" w:hAnsi="Arial" w:cs="Arial"/>
                <w:b w:val="0"/>
                <w:i w:val="0"/>
                <w:sz w:val="17"/>
              </w:rPr>
              <w:t>RLS per USTN (Section 17)</w:t>
            </w:r>
          </w:p>
        </w:tc>
        <w:tc>
          <w:tcPr>
            <w:tcW w:type="dxa" w:w="1377"/>
          </w:tcPr>
          <w:p>
            <w:pPr>
              <w:spacing w:after="20" w:before="20" w:line="240" w:lineRule="auto"/>
            </w:pPr>
            <w:r/>
            <w:r>
              <w:rPr>
                <w:rFonts w:ascii="Arial" w:hAnsi="Arial" w:cs="Arial"/>
                <w:b w:val="0"/>
                <w:i w:val="0"/>
                <w:sz w:val="17"/>
              </w:rPr>
              <w:t>Pagination + caching</w:t>
            </w:r>
          </w:p>
        </w:tc>
        <w:tc>
          <w:tcPr>
            <w:tcW w:type="dxa" w:w="1377"/>
          </w:tcPr>
          <w:p>
            <w:pPr>
              <w:spacing w:after="20" w:before="20" w:line="240" w:lineRule="auto"/>
            </w:pPr>
            <w:r/>
            <w:r>
              <w:rPr>
                <w:rFonts w:ascii="Arial" w:hAnsi="Arial" w:cs="Arial"/>
                <w:b w:val="0"/>
                <w:i w:val="0"/>
                <w:sz w:val="17"/>
              </w:rPr>
              <w:t>OPA row-level security</w:t>
            </w:r>
          </w:p>
        </w:tc>
      </w:tr>
      <w:tr>
        <w:tc>
          <w:tcPr>
            <w:tcW w:type="dxa" w:w="1377"/>
          </w:tcPr>
          <w:p>
            <w:pPr>
              <w:spacing w:after="20" w:before="20" w:line="240" w:lineRule="auto"/>
            </w:pPr>
            <w:r/>
            <w:r>
              <w:rPr>
                <w:rFonts w:ascii="Arial" w:hAnsi="Arial" w:cs="Arial"/>
                <w:b w:val="0"/>
                <w:i w:val="0"/>
                <w:sz w:val="17"/>
              </w:rPr>
              <w:t>FeeLock (NATS KV)</w:t>
            </w:r>
          </w:p>
        </w:tc>
        <w:tc>
          <w:tcPr>
            <w:tcW w:type="dxa" w:w="1377"/>
          </w:tcPr>
          <w:p>
            <w:pPr>
              <w:spacing w:after="20" w:before="20" w:line="240" w:lineRule="auto"/>
            </w:pPr>
            <w:r/>
            <w:r>
              <w:rPr>
                <w:rFonts w:ascii="Arial" w:hAnsi="Arial" w:cs="Arial"/>
                <w:b w:val="0"/>
                <w:i w:val="0"/>
                <w:sz w:val="17"/>
              </w:rPr>
              <w:t>mTLS between services</w:t>
            </w:r>
          </w:p>
        </w:tc>
        <w:tc>
          <w:tcPr>
            <w:tcW w:type="dxa" w:w="1377"/>
          </w:tcPr>
          <w:p>
            <w:pPr>
              <w:spacing w:after="20" w:before="20" w:line="240" w:lineRule="auto"/>
            </w:pPr>
            <w:r/>
            <w:r>
              <w:rPr>
                <w:rFonts w:ascii="Arial" w:hAnsi="Arial" w:cs="Arial"/>
                <w:b w:val="0"/>
                <w:i w:val="0"/>
                <w:sz w:val="17"/>
              </w:rPr>
              <w:t>NATS JetStream encryption at rest</w:t>
            </w:r>
          </w:p>
        </w:tc>
        <w:tc>
          <w:tcPr>
            <w:tcW w:type="dxa" w:w="1377"/>
          </w:tcPr>
          <w:p>
            <w:pPr>
              <w:spacing w:after="20" w:before="20" w:line="240" w:lineRule="auto"/>
            </w:pPr>
            <w:r/>
            <w:r>
              <w:rPr>
                <w:rFonts w:ascii="Arial" w:hAnsi="Arial" w:cs="Arial"/>
                <w:b w:val="0"/>
                <w:i w:val="0"/>
                <w:sz w:val="17"/>
              </w:rPr>
              <w:t>NATS audit logs</w:t>
            </w:r>
          </w:p>
        </w:tc>
        <w:tc>
          <w:tcPr>
            <w:tcW w:type="dxa" w:w="1377"/>
          </w:tcPr>
          <w:p>
            <w:pPr>
              <w:spacing w:after="20" w:before="20" w:line="240" w:lineRule="auto"/>
            </w:pPr>
            <w:r/>
            <w:r>
              <w:rPr>
                <w:rFonts w:ascii="Arial" w:hAnsi="Arial" w:cs="Arial"/>
                <w:b w:val="0"/>
                <w:i w:val="0"/>
                <w:sz w:val="17"/>
              </w:rPr>
              <w:t>NATS ACLs (Section 13)</w:t>
            </w:r>
          </w:p>
        </w:tc>
        <w:tc>
          <w:tcPr>
            <w:tcW w:type="dxa" w:w="1377"/>
          </w:tcPr>
          <w:p>
            <w:pPr>
              <w:spacing w:after="20" w:before="20" w:line="240" w:lineRule="auto"/>
            </w:pPr>
            <w:r/>
            <w:r>
              <w:rPr>
                <w:rFonts w:ascii="Arial" w:hAnsi="Arial" w:cs="Arial"/>
                <w:b w:val="0"/>
                <w:i w:val="0"/>
                <w:sz w:val="17"/>
              </w:rPr>
              <w:t>NATS cluster redundancy</w:t>
            </w:r>
          </w:p>
        </w:tc>
        <w:tc>
          <w:tcPr>
            <w:tcW w:type="dxa" w:w="1377"/>
          </w:tcPr>
          <w:p>
            <w:pPr>
              <w:spacing w:after="20" w:before="20" w:line="240" w:lineRule="auto"/>
            </w:pPr>
            <w:r/>
            <w:r>
              <w:rPr>
                <w:rFonts w:ascii="Arial" w:hAnsi="Arial" w:cs="Arial"/>
                <w:b w:val="0"/>
                <w:i w:val="0"/>
                <w:sz w:val="17"/>
              </w:rPr>
              <w:t>NATS authentication</w:t>
            </w:r>
          </w:p>
        </w:tc>
      </w:tr>
      <w:tr>
        <w:tc>
          <w:tcPr>
            <w:tcW w:type="dxa" w:w="1377"/>
          </w:tcPr>
          <w:p>
            <w:pPr>
              <w:spacing w:after="20" w:before="20" w:line="240" w:lineRule="auto"/>
            </w:pPr>
            <w:r/>
            <w:r>
              <w:rPr>
                <w:rFonts w:ascii="Arial" w:hAnsi="Arial" w:cs="Arial"/>
                <w:b w:val="0"/>
                <w:i w:val="0"/>
                <w:sz w:val="17"/>
              </w:rPr>
              <w:t>Payment Orchestrator</w:t>
            </w:r>
          </w:p>
        </w:tc>
        <w:tc>
          <w:tcPr>
            <w:tcW w:type="dxa" w:w="1377"/>
          </w:tcPr>
          <w:p>
            <w:pPr>
              <w:spacing w:after="20" w:before="20" w:line="240" w:lineRule="auto"/>
            </w:pPr>
            <w:r/>
            <w:r>
              <w:rPr>
                <w:rFonts w:ascii="Arial" w:hAnsi="Arial" w:cs="Arial"/>
                <w:b w:val="0"/>
                <w:i w:val="0"/>
                <w:sz w:val="17"/>
              </w:rPr>
              <w:t>Bank message signature verification (pain.002/camt.054, Section 13)</w:t>
            </w:r>
          </w:p>
        </w:tc>
        <w:tc>
          <w:tcPr>
            <w:tcW w:type="dxa" w:w="1377"/>
          </w:tcPr>
          <w:p>
            <w:pPr>
              <w:spacing w:after="20" w:before="20" w:line="240" w:lineRule="auto"/>
            </w:pPr>
            <w:r/>
            <w:r>
              <w:rPr>
                <w:rFonts w:ascii="Arial" w:hAnsi="Arial" w:cs="Arial"/>
                <w:b w:val="0"/>
                <w:i w:val="0"/>
                <w:sz w:val="17"/>
              </w:rPr>
              <w:t>Bank-agnostic settlement legs</w:t>
            </w:r>
          </w:p>
        </w:tc>
        <w:tc>
          <w:tcPr>
            <w:tcW w:type="dxa" w:w="1377"/>
          </w:tcPr>
          <w:p>
            <w:pPr>
              <w:spacing w:after="20" w:before="20" w:line="240" w:lineRule="auto"/>
            </w:pPr>
            <w:r/>
            <w:r>
              <w:rPr>
                <w:rFonts w:ascii="Arial" w:hAnsi="Arial" w:cs="Arial"/>
                <w:b w:val="0"/>
                <w:i w:val="0"/>
                <w:sz w:val="17"/>
              </w:rPr>
              <w:t>Message idempotency keys</w:t>
            </w:r>
          </w:p>
        </w:tc>
        <w:tc>
          <w:tcPr>
            <w:tcW w:type="dxa" w:w="1377"/>
          </w:tcPr>
          <w:p>
            <w:pPr>
              <w:spacing w:after="20" w:before="20" w:line="240" w:lineRule="auto"/>
            </w:pPr>
            <w:r/>
            <w:r>
              <w:rPr>
                <w:rFonts w:ascii="Arial" w:hAnsi="Arial" w:cs="Arial"/>
                <w:b w:val="0"/>
                <w:i w:val="0"/>
                <w:sz w:val="17"/>
              </w:rPr>
              <w:t>No storage of credentials (bank credentials encrypted)</w:t>
            </w:r>
          </w:p>
        </w:tc>
        <w:tc>
          <w:tcPr>
            <w:tcW w:type="dxa" w:w="1377"/>
          </w:tcPr>
          <w:p>
            <w:pPr>
              <w:spacing w:after="20" w:before="20" w:line="240" w:lineRule="auto"/>
            </w:pPr>
            <w:r/>
            <w:r>
              <w:rPr>
                <w:rFonts w:ascii="Arial" w:hAnsi="Arial" w:cs="Arial"/>
                <w:b w:val="0"/>
                <w:i w:val="0"/>
                <w:sz w:val="17"/>
              </w:rPr>
              <w:t>Bank fallback routes (Section 13)</w:t>
            </w:r>
          </w:p>
        </w:tc>
        <w:tc>
          <w:tcPr>
            <w:tcW w:type="dxa" w:w="1377"/>
          </w:tcPr>
          <w:p>
            <w:pPr>
              <w:spacing w:after="20" w:before="20" w:line="240" w:lineRule="auto"/>
            </w:pPr>
            <w:r/>
            <w:r>
              <w:rPr>
                <w:rFonts w:ascii="Arial" w:hAnsi="Arial" w:cs="Arial"/>
                <w:b w:val="0"/>
                <w:i w:val="0"/>
                <w:sz w:val="17"/>
              </w:rPr>
              <w:t>Bank API credentials rotated</w:t>
            </w:r>
          </w:p>
        </w:tc>
      </w:tr>
      <w:tr>
        <w:tc>
          <w:tcPr>
            <w:tcW w:type="dxa" w:w="1377"/>
          </w:tcPr>
          <w:p>
            <w:pPr>
              <w:spacing w:after="20" w:before="20" w:line="240" w:lineRule="auto"/>
            </w:pPr>
            <w:r/>
            <w:r>
              <w:rPr>
                <w:rFonts w:ascii="Arial" w:hAnsi="Arial" w:cs="Arial"/>
                <w:b w:val="0"/>
                <w:i w:val="0"/>
                <w:sz w:val="17"/>
              </w:rPr>
              <w:t>AI Agents</w:t>
            </w:r>
          </w:p>
        </w:tc>
        <w:tc>
          <w:tcPr>
            <w:tcW w:type="dxa" w:w="1377"/>
          </w:tcPr>
          <w:p>
            <w:pPr>
              <w:spacing w:after="20" w:before="20" w:line="240" w:lineRule="auto"/>
            </w:pPr>
            <w:r/>
            <w:r>
              <w:rPr>
                <w:rFonts w:ascii="Arial" w:hAnsi="Arial" w:cs="Arial"/>
                <w:b w:val="0"/>
                <w:i w:val="0"/>
                <w:sz w:val="17"/>
              </w:rPr>
              <w:t>API keys (Groq/HF) not stored in code; env vars</w:t>
            </w:r>
          </w:p>
        </w:tc>
        <w:tc>
          <w:tcPr>
            <w:tcW w:type="dxa" w:w="1377"/>
          </w:tcPr>
          <w:p>
            <w:pPr>
              <w:spacing w:after="20" w:before="20" w:line="240" w:lineRule="auto"/>
            </w:pPr>
            <w:r/>
            <w:r>
              <w:rPr>
                <w:rFonts w:ascii="Arial" w:hAnsi="Arial" w:cs="Arial"/>
                <w:b w:val="0"/>
                <w:i w:val="0"/>
                <w:sz w:val="17"/>
              </w:rPr>
              <w:t>Input validation on prompts</w:t>
            </w:r>
          </w:p>
        </w:tc>
        <w:tc>
          <w:tcPr>
            <w:tcW w:type="dxa" w:w="1377"/>
          </w:tcPr>
          <w:p>
            <w:pPr>
              <w:spacing w:after="20" w:before="20" w:line="240" w:lineRule="auto"/>
            </w:pPr>
            <w:r/>
            <w:r>
              <w:rPr>
                <w:rFonts w:ascii="Arial" w:hAnsi="Arial" w:cs="Arial"/>
                <w:b w:val="0"/>
                <w:i w:val="0"/>
                <w:sz w:val="17"/>
              </w:rPr>
              <w:t>Logged in ai_inference_records</w:t>
            </w:r>
          </w:p>
        </w:tc>
        <w:tc>
          <w:tcPr>
            <w:tcW w:type="dxa" w:w="1377"/>
          </w:tcPr>
          <w:p>
            <w:pPr>
              <w:spacing w:after="20" w:before="20" w:line="240" w:lineRule="auto"/>
            </w:pPr>
            <w:r/>
            <w:r>
              <w:rPr>
                <w:rFonts w:ascii="Arial" w:hAnsi="Arial" w:cs="Arial"/>
                <w:b w:val="0"/>
                <w:i w:val="0"/>
                <w:sz w:val="17"/>
              </w:rPr>
              <w:t>HF local for privacy-critical (A2/A3)</w:t>
            </w:r>
          </w:p>
        </w:tc>
        <w:tc>
          <w:tcPr>
            <w:tcW w:type="dxa" w:w="1377"/>
          </w:tcPr>
          <w:p>
            <w:pPr>
              <w:spacing w:after="20" w:before="20" w:line="240" w:lineRule="auto"/>
            </w:pPr>
            <w:r/>
            <w:r>
              <w:rPr>
                <w:rFonts w:ascii="Arial" w:hAnsi="Arial" w:cs="Arial"/>
                <w:b w:val="0"/>
                <w:i w:val="0"/>
                <w:sz w:val="17"/>
              </w:rPr>
              <w:t>Groq rate limits (30 req/min)</w:t>
            </w:r>
          </w:p>
        </w:tc>
        <w:tc>
          <w:tcPr>
            <w:tcW w:type="dxa" w:w="1377"/>
          </w:tcPr>
          <w:p>
            <w:pPr>
              <w:spacing w:after="20" w:before="20" w:line="240" w:lineRule="auto"/>
            </w:pPr>
            <w:r/>
            <w:r>
              <w:rPr>
                <w:rFonts w:ascii="Arial" w:hAnsi="Arial" w:cs="Arial"/>
                <w:b w:val="0"/>
                <w:i w:val="0"/>
                <w:sz w:val="17"/>
              </w:rPr>
              <w:t>AI never executes (A5 forbidden)</w:t>
            </w:r>
          </w:p>
        </w:tc>
      </w:tr>
      <w:tr>
        <w:tc>
          <w:tcPr>
            <w:tcW w:type="dxa" w:w="1377"/>
          </w:tcPr>
          <w:p>
            <w:pPr>
              <w:spacing w:after="20" w:before="20" w:line="240" w:lineRule="auto"/>
            </w:pPr>
            <w:r/>
            <w:r>
              <w:rPr>
                <w:rFonts w:ascii="Arial" w:hAnsi="Arial" w:cs="Arial"/>
                <w:b w:val="0"/>
                <w:i w:val="0"/>
                <w:sz w:val="17"/>
              </w:rPr>
              <w:t>WASM Modules</w:t>
            </w:r>
          </w:p>
        </w:tc>
        <w:tc>
          <w:tcPr>
            <w:tcW w:type="dxa" w:w="1377"/>
          </w:tcPr>
          <w:p>
            <w:pPr>
              <w:spacing w:after="20" w:before="20" w:line="240" w:lineRule="auto"/>
            </w:pPr>
            <w:r/>
            <w:r>
              <w:rPr>
                <w:rFonts w:ascii="Arial" w:hAnsi="Arial" w:cs="Arial"/>
                <w:b w:val="0"/>
                <w:i w:val="0"/>
                <w:sz w:val="17"/>
              </w:rPr>
              <w:t>Signed by multisig (Section 15)</w:t>
            </w:r>
          </w:p>
        </w:tc>
        <w:tc>
          <w:tcPr>
            <w:tcW w:type="dxa" w:w="1377"/>
          </w:tcPr>
          <w:p>
            <w:pPr>
              <w:spacing w:after="20" w:before="20" w:line="240" w:lineRule="auto"/>
            </w:pPr>
            <w:r/>
            <w:r>
              <w:rPr>
                <w:rFonts w:ascii="Arial" w:hAnsi="Arial" w:cs="Arial"/>
                <w:b w:val="0"/>
                <w:i w:val="0"/>
                <w:sz w:val="17"/>
              </w:rPr>
              <w:t>Pre-compiled, hashed</w:t>
            </w:r>
          </w:p>
        </w:tc>
        <w:tc>
          <w:tcPr>
            <w:tcW w:type="dxa" w:w="1377"/>
          </w:tcPr>
          <w:p>
            <w:pPr>
              <w:spacing w:after="20" w:before="20" w:line="240" w:lineRule="auto"/>
            </w:pPr>
            <w:r/>
            <w:r>
              <w:rPr>
                <w:rFonts w:ascii="Arial" w:hAnsi="Arial" w:cs="Arial"/>
                <w:b w:val="0"/>
                <w:i w:val="0"/>
                <w:sz w:val="17"/>
              </w:rPr>
              <w:t>Execution logs</w:t>
            </w:r>
          </w:p>
        </w:tc>
        <w:tc>
          <w:tcPr>
            <w:tcW w:type="dxa" w:w="1377"/>
          </w:tcPr>
          <w:p>
            <w:pPr>
              <w:spacing w:after="20" w:before="20" w:line="240" w:lineRule="auto"/>
            </w:pPr>
            <w:r/>
            <w:r>
              <w:rPr>
                <w:rFonts w:ascii="Arial" w:hAnsi="Arial" w:cs="Arial"/>
                <w:b w:val="0"/>
                <w:i w:val="0"/>
                <w:sz w:val="17"/>
              </w:rPr>
              <w:t>No network/filesystem access</w:t>
            </w:r>
          </w:p>
        </w:tc>
        <w:tc>
          <w:tcPr>
            <w:tcW w:type="dxa" w:w="1377"/>
          </w:tcPr>
          <w:p>
            <w:pPr>
              <w:spacing w:after="20" w:before="20" w:line="240" w:lineRule="auto"/>
            </w:pPr>
            <w:r/>
            <w:r>
              <w:rPr>
                <w:rFonts w:ascii="Arial" w:hAnsi="Arial" w:cs="Arial"/>
                <w:b w:val="0"/>
                <w:i w:val="0"/>
                <w:sz w:val="17"/>
              </w:rPr>
              <w:t>Timeout per module</w:t>
            </w:r>
          </w:p>
        </w:tc>
        <w:tc>
          <w:tcPr>
            <w:tcW w:type="dxa" w:w="1377"/>
          </w:tcPr>
          <w:p>
            <w:pPr>
              <w:spacing w:after="20" w:before="20" w:line="240" w:lineRule="auto"/>
            </w:pPr>
            <w:r/>
            <w:r>
              <w:rPr>
                <w:rFonts w:ascii="Arial" w:hAnsi="Arial" w:cs="Arial"/>
                <w:b w:val="0"/>
                <w:i w:val="0"/>
                <w:sz w:val="17"/>
              </w:rPr>
              <w:t>Sandboxed (WasmEdge)</w:t>
            </w:r>
          </w:p>
        </w:tc>
      </w:tr>
      <w:tr>
        <w:tc>
          <w:tcPr>
            <w:tcW w:type="dxa" w:w="1377"/>
          </w:tcPr>
          <w:p>
            <w:pPr>
              <w:spacing w:after="20" w:before="20" w:line="240" w:lineRule="auto"/>
            </w:pPr>
            <w:r/>
            <w:r>
              <w:rPr>
                <w:rFonts w:ascii="Arial" w:hAnsi="Arial" w:cs="Arial"/>
                <w:b w:val="0"/>
                <w:i w:val="0"/>
                <w:sz w:val="17"/>
              </w:rPr>
              <w:t>Tenant Data</w:t>
            </w:r>
          </w:p>
        </w:tc>
        <w:tc>
          <w:tcPr>
            <w:tcW w:type="dxa" w:w="1377"/>
          </w:tcPr>
          <w:p>
            <w:pPr>
              <w:spacing w:after="20" w:before="20" w:line="240" w:lineRule="auto"/>
            </w:pPr>
            <w:r/>
            <w:r>
              <w:rPr>
                <w:rFonts w:ascii="Arial" w:hAnsi="Arial" w:cs="Arial"/>
                <w:b w:val="0"/>
                <w:i w:val="0"/>
                <w:sz w:val="17"/>
              </w:rPr>
              <w:t>GTID verification</w:t>
            </w:r>
          </w:p>
        </w:tc>
        <w:tc>
          <w:tcPr>
            <w:tcW w:type="dxa" w:w="1377"/>
          </w:tcPr>
          <w:p>
            <w:pPr>
              <w:spacing w:after="20" w:before="20" w:line="240" w:lineRule="auto"/>
            </w:pPr>
            <w:r/>
            <w:r>
              <w:rPr>
                <w:rFonts w:ascii="Arial" w:hAnsi="Arial" w:cs="Arial"/>
                <w:b w:val="0"/>
                <w:i w:val="0"/>
                <w:sz w:val="17"/>
              </w:rPr>
              <w:t>Loom chain + audit log</w:t>
            </w:r>
          </w:p>
        </w:tc>
        <w:tc>
          <w:tcPr>
            <w:tcW w:type="dxa" w:w="1377"/>
          </w:tcPr>
          <w:p>
            <w:pPr>
              <w:spacing w:after="20" w:before="20" w:line="240" w:lineRule="auto"/>
            </w:pPr>
            <w:r/>
            <w:r>
              <w:rPr>
                <w:rFonts w:ascii="Arial" w:hAnsi="Arial" w:cs="Arial"/>
                <w:b w:val="0"/>
                <w:i w:val="0"/>
                <w:sz w:val="17"/>
              </w:rPr>
              <w:t>Audit log with signatures</w:t>
            </w:r>
          </w:p>
        </w:tc>
        <w:tc>
          <w:tcPr>
            <w:tcW w:type="dxa" w:w="1377"/>
          </w:tcPr>
          <w:p>
            <w:pPr>
              <w:spacing w:after="20" w:before="20" w:line="240" w:lineRule="auto"/>
            </w:pPr>
            <w:r/>
            <w:r>
              <w:rPr>
                <w:rFonts w:ascii="Arial" w:hAnsi="Arial" w:cs="Arial"/>
                <w:b w:val="0"/>
                <w:i w:val="0"/>
                <w:sz w:val="17"/>
              </w:rPr>
              <w:t>RLS + encryption at rest (AES256)</w:t>
            </w:r>
          </w:p>
        </w:tc>
        <w:tc>
          <w:tcPr>
            <w:tcW w:type="dxa" w:w="1377"/>
          </w:tcPr>
          <w:p>
            <w:pPr>
              <w:spacing w:after="20" w:before="20" w:line="240" w:lineRule="auto"/>
            </w:pPr>
            <w:r/>
            <w:r>
              <w:rPr>
                <w:rFonts w:ascii="Arial" w:hAnsi="Arial" w:cs="Arial"/>
                <w:b w:val="0"/>
                <w:i w:val="0"/>
                <w:sz w:val="17"/>
              </w:rPr>
              <w:t>Connection pooling</w:t>
            </w:r>
          </w:p>
        </w:tc>
        <w:tc>
          <w:tcPr>
            <w:tcW w:type="dxa" w:w="1377"/>
          </w:tcPr>
          <w:p>
            <w:pPr>
              <w:spacing w:after="20" w:before="20" w:line="240" w:lineRule="auto"/>
            </w:pPr>
            <w:r/>
            <w:r>
              <w:rPr>
                <w:rFonts w:ascii="Arial" w:hAnsi="Arial" w:cs="Arial"/>
                <w:b w:val="0"/>
                <w:i w:val="0"/>
                <w:sz w:val="17"/>
              </w:rPr>
              <w:t>Data scopes (Section 4)</w:t>
            </w:r>
          </w:p>
        </w:tc>
      </w:tr>
      <w:tr>
        <w:tc>
          <w:tcPr>
            <w:tcW w:type="dxa" w:w="1377"/>
          </w:tcPr>
          <w:p>
            <w:pPr>
              <w:spacing w:after="20" w:before="20" w:line="240" w:lineRule="auto"/>
            </w:pPr>
            <w:r/>
            <w:r>
              <w:rPr>
                <w:rFonts w:ascii="Arial" w:hAnsi="Arial" w:cs="Arial"/>
                <w:b w:val="0"/>
                <w:i w:val="0"/>
                <w:sz w:val="17"/>
              </w:rPr>
              <w:t>PostgreSQL</w:t>
            </w:r>
          </w:p>
        </w:tc>
        <w:tc>
          <w:tcPr>
            <w:tcW w:type="dxa" w:w="1377"/>
          </w:tcPr>
          <w:p>
            <w:pPr>
              <w:spacing w:after="20" w:before="20" w:line="240" w:lineRule="auto"/>
            </w:pPr>
            <w:r/>
            <w:r>
              <w:rPr>
                <w:rFonts w:ascii="Arial" w:hAnsi="Arial" w:cs="Arial"/>
                <w:b w:val="0"/>
                <w:i w:val="0"/>
                <w:sz w:val="17"/>
              </w:rPr>
              <w:t>mTLS + password auth</w:t>
            </w:r>
          </w:p>
        </w:tc>
        <w:tc>
          <w:tcPr>
            <w:tcW w:type="dxa" w:w="1377"/>
          </w:tcPr>
          <w:p>
            <w:pPr>
              <w:spacing w:after="20" w:before="20" w:line="240" w:lineRule="auto"/>
            </w:pPr>
            <w:r/>
            <w:r>
              <w:rPr>
                <w:rFonts w:ascii="Arial" w:hAnsi="Arial" w:cs="Arial"/>
                <w:b w:val="0"/>
                <w:i w:val="0"/>
                <w:sz w:val="17"/>
              </w:rPr>
              <w:t>RLS + audit triggers</w:t>
            </w:r>
          </w:p>
        </w:tc>
        <w:tc>
          <w:tcPr>
            <w:tcW w:type="dxa" w:w="1377"/>
          </w:tcPr>
          <w:p>
            <w:pPr>
              <w:spacing w:after="20" w:before="20" w:line="240" w:lineRule="auto"/>
            </w:pPr>
            <w:r/>
            <w:r>
              <w:rPr>
                <w:rFonts w:ascii="Arial" w:hAnsi="Arial" w:cs="Arial"/>
                <w:b w:val="0"/>
                <w:i w:val="0"/>
                <w:sz w:val="17"/>
              </w:rPr>
              <w:t>pgaudit logs</w:t>
            </w:r>
          </w:p>
        </w:tc>
        <w:tc>
          <w:tcPr>
            <w:tcW w:type="dxa" w:w="1377"/>
          </w:tcPr>
          <w:p>
            <w:pPr>
              <w:spacing w:after="20" w:before="20" w:line="240" w:lineRule="auto"/>
            </w:pPr>
            <w:r/>
            <w:r>
              <w:rPr>
                <w:rFonts w:ascii="Arial" w:hAnsi="Arial" w:cs="Arial"/>
                <w:b w:val="0"/>
                <w:i w:val="0"/>
                <w:sz w:val="17"/>
              </w:rPr>
              <w:t>RLS + encryption at rest (AES256)</w:t>
            </w:r>
          </w:p>
        </w:tc>
        <w:tc>
          <w:tcPr>
            <w:tcW w:type="dxa" w:w="1377"/>
          </w:tcPr>
          <w:p>
            <w:pPr>
              <w:spacing w:after="20" w:before="20" w:line="240" w:lineRule="auto"/>
            </w:pPr>
            <w:r/>
            <w:r>
              <w:rPr>
                <w:rFonts w:ascii="Arial" w:hAnsi="Arial" w:cs="Arial"/>
                <w:b w:val="0"/>
                <w:i w:val="0"/>
                <w:sz w:val="17"/>
              </w:rPr>
              <w:t>Connection pooling + replication</w:t>
            </w:r>
          </w:p>
        </w:tc>
        <w:tc>
          <w:tcPr>
            <w:tcW w:type="dxa" w:w="1377"/>
          </w:tcPr>
          <w:p>
            <w:pPr>
              <w:spacing w:after="20" w:before="20" w:line="240" w:lineRule="auto"/>
            </w:pPr>
            <w:r/>
            <w:r>
              <w:rPr>
                <w:rFonts w:ascii="Arial" w:hAnsi="Arial" w:cs="Arial"/>
                <w:b w:val="0"/>
                <w:i w:val="0"/>
                <w:sz w:val="17"/>
              </w:rPr>
              <w:t>RLS + least-privilege accounts</w:t>
            </w:r>
          </w:p>
        </w:tc>
      </w:tr>
      <w:tr>
        <w:tc>
          <w:tcPr>
            <w:tcW w:type="dxa" w:w="1377"/>
          </w:tcPr>
          <w:p>
            <w:pPr>
              <w:spacing w:after="20" w:before="20" w:line="240" w:lineRule="auto"/>
            </w:pPr>
            <w:r/>
            <w:r>
              <w:rPr>
                <w:rFonts w:ascii="Arial" w:hAnsi="Arial" w:cs="Arial"/>
                <w:b w:val="0"/>
                <w:i w:val="0"/>
                <w:sz w:val="17"/>
              </w:rPr>
              <w:t>ZITADEL (Identity)</w:t>
            </w:r>
          </w:p>
        </w:tc>
        <w:tc>
          <w:tcPr>
            <w:tcW w:type="dxa" w:w="1377"/>
          </w:tcPr>
          <w:p>
            <w:pPr>
              <w:spacing w:after="20" w:before="20" w:line="240" w:lineRule="auto"/>
            </w:pPr>
            <w:r/>
            <w:r>
              <w:rPr>
                <w:rFonts w:ascii="Arial" w:hAnsi="Arial" w:cs="Arial"/>
                <w:b w:val="0"/>
                <w:i w:val="0"/>
                <w:sz w:val="17"/>
              </w:rPr>
              <w:t>WebAuthn + biometric liveness</w:t>
            </w:r>
          </w:p>
        </w:tc>
        <w:tc>
          <w:tcPr>
            <w:tcW w:type="dxa" w:w="1377"/>
          </w:tcPr>
          <w:p>
            <w:pPr>
              <w:spacing w:after="20" w:before="20" w:line="240" w:lineRule="auto"/>
            </w:pPr>
            <w:r/>
            <w:r>
              <w:rPr>
                <w:rFonts w:ascii="Arial" w:hAnsi="Arial" w:cs="Arial"/>
                <w:b w:val="0"/>
                <w:i w:val="0"/>
                <w:sz w:val="17"/>
              </w:rPr>
              <w:t>Audit logs</w:t>
            </w:r>
          </w:p>
        </w:tc>
        <w:tc>
          <w:tcPr>
            <w:tcW w:type="dxa" w:w="1377"/>
          </w:tcPr>
          <w:p>
            <w:pPr>
              <w:spacing w:after="20" w:before="20" w:line="240" w:lineRule="auto"/>
            </w:pPr>
            <w:r/>
            <w:r>
              <w:rPr>
                <w:rFonts w:ascii="Arial" w:hAnsi="Arial" w:cs="Arial"/>
                <w:b w:val="0"/>
                <w:i w:val="0"/>
                <w:sz w:val="17"/>
              </w:rPr>
              <w:t>Audit logs</w:t>
            </w:r>
          </w:p>
        </w:tc>
        <w:tc>
          <w:tcPr>
            <w:tcW w:type="dxa" w:w="1377"/>
          </w:tcPr>
          <w:p>
            <w:pPr>
              <w:spacing w:after="20" w:before="20" w:line="240" w:lineRule="auto"/>
            </w:pPr>
            <w:r/>
            <w:r>
              <w:rPr>
                <w:rFonts w:ascii="Arial" w:hAnsi="Arial" w:cs="Arial"/>
                <w:b w:val="0"/>
                <w:i w:val="0"/>
                <w:sz w:val="17"/>
              </w:rPr>
              <w:t>Encrypted user data</w:t>
            </w:r>
          </w:p>
        </w:tc>
        <w:tc>
          <w:tcPr>
            <w:tcW w:type="dxa" w:w="1377"/>
          </w:tcPr>
          <w:p>
            <w:pPr>
              <w:spacing w:after="20" w:before="20" w:line="240" w:lineRule="auto"/>
            </w:pPr>
            <w:r/>
            <w:r>
              <w:rPr>
                <w:rFonts w:ascii="Arial" w:hAnsi="Arial" w:cs="Arial"/>
                <w:b w:val="0"/>
                <w:i w:val="0"/>
                <w:sz w:val="17"/>
              </w:rPr>
              <w:t>Rate-limiting + failover</w:t>
            </w:r>
          </w:p>
        </w:tc>
        <w:tc>
          <w:tcPr>
            <w:tcW w:type="dxa" w:w="1377"/>
          </w:tcPr>
          <w:p>
            <w:pPr>
              <w:spacing w:after="20" w:before="20" w:line="240" w:lineRule="auto"/>
            </w:pPr>
            <w:r/>
            <w:r>
              <w:rPr>
                <w:rFonts w:ascii="Arial" w:hAnsi="Arial" w:cs="Arial"/>
                <w:b w:val="0"/>
                <w:i w:val="0"/>
                <w:sz w:val="17"/>
              </w:rPr>
              <w:t>RBAC</w:t>
            </w:r>
          </w:p>
        </w:tc>
      </w:tr>
      <w:tr>
        <w:tc>
          <w:tcPr>
            <w:tcW w:type="dxa" w:w="1377"/>
          </w:tcPr>
          <w:p>
            <w:pPr>
              <w:spacing w:after="20" w:before="20" w:line="240" w:lineRule="auto"/>
            </w:pPr>
            <w:r/>
            <w:r>
              <w:rPr>
                <w:rFonts w:ascii="Arial" w:hAnsi="Arial" w:cs="Arial"/>
                <w:b w:val="0"/>
                <w:i w:val="0"/>
                <w:sz w:val="17"/>
              </w:rPr>
              <w:t>Smart Inbox Service</w:t>
            </w:r>
          </w:p>
        </w:tc>
        <w:tc>
          <w:tcPr>
            <w:tcW w:type="dxa" w:w="1377"/>
          </w:tcPr>
          <w:p>
            <w:pPr>
              <w:spacing w:after="20" w:before="20" w:line="240" w:lineRule="auto"/>
            </w:pPr>
            <w:r/>
            <w:r>
              <w:rPr>
                <w:rFonts w:ascii="Arial" w:hAnsi="Arial" w:cs="Arial"/>
                <w:b w:val="0"/>
                <w:i w:val="0"/>
                <w:sz w:val="17"/>
              </w:rPr>
              <w:t>JWT validation</w:t>
            </w:r>
          </w:p>
        </w:tc>
        <w:tc>
          <w:tcPr>
            <w:tcW w:type="dxa" w:w="1377"/>
          </w:tcPr>
          <w:p>
            <w:pPr>
              <w:spacing w:after="20" w:before="20" w:line="240" w:lineRule="auto"/>
            </w:pPr>
            <w:r/>
            <w:r>
              <w:rPr>
                <w:rFonts w:ascii="Arial" w:hAnsi="Arial" w:cs="Arial"/>
                <w:b w:val="0"/>
                <w:i w:val="0"/>
                <w:sz w:val="17"/>
              </w:rPr>
              <w:t>NATS event verification</w:t>
            </w:r>
          </w:p>
        </w:tc>
        <w:tc>
          <w:tcPr>
            <w:tcW w:type="dxa" w:w="1377"/>
          </w:tcPr>
          <w:p>
            <w:pPr>
              <w:spacing w:after="20" w:before="20" w:line="240" w:lineRule="auto"/>
            </w:pPr>
            <w:r/>
            <w:r>
              <w:rPr>
                <w:rFonts w:ascii="Arial" w:hAnsi="Arial" w:cs="Arial"/>
                <w:b w:val="0"/>
                <w:i w:val="0"/>
                <w:sz w:val="17"/>
              </w:rPr>
              <w:t>Inbox history (append-only)</w:t>
            </w:r>
          </w:p>
        </w:tc>
        <w:tc>
          <w:tcPr>
            <w:tcW w:type="dxa" w:w="1377"/>
          </w:tcPr>
          <w:p>
            <w:pPr>
              <w:spacing w:after="20" w:before="20" w:line="240" w:lineRule="auto"/>
            </w:pPr>
            <w:r/>
            <w:r>
              <w:rPr>
                <w:rFonts w:ascii="Arial" w:hAnsi="Arial" w:cs="Arial"/>
                <w:b w:val="0"/>
                <w:i w:val="0"/>
                <w:sz w:val="17"/>
              </w:rPr>
              <w:t>RLS per employee</w:t>
            </w:r>
          </w:p>
        </w:tc>
        <w:tc>
          <w:tcPr>
            <w:tcW w:type="dxa" w:w="1377"/>
          </w:tcPr>
          <w:p>
            <w:pPr>
              <w:spacing w:after="20" w:before="20" w:line="240" w:lineRule="auto"/>
            </w:pPr>
            <w:r/>
            <w:r>
              <w:rPr>
                <w:rFonts w:ascii="Arial" w:hAnsi="Arial" w:cs="Arial"/>
                <w:b w:val="0"/>
                <w:i w:val="0"/>
                <w:sz w:val="17"/>
              </w:rPr>
              <w:t>Horizontal scaling</w:t>
            </w:r>
          </w:p>
        </w:tc>
        <w:tc>
          <w:tcPr>
            <w:tcW w:type="dxa" w:w="1377"/>
          </w:tcPr>
          <w:p>
            <w:pPr>
              <w:spacing w:after="20" w:before="20" w:line="240" w:lineRule="auto"/>
            </w:pPr>
            <w:r/>
            <w:r>
              <w:rPr>
                <w:rFonts w:ascii="Arial" w:hAnsi="Arial" w:cs="Arial"/>
                <w:b w:val="0"/>
                <w:i w:val="0"/>
                <w:sz w:val="17"/>
              </w:rPr>
              <w:t>OPA policy enforcement</w:t>
            </w:r>
          </w:p>
        </w:tc>
      </w:tr>
      <w:tr>
        <w:tc>
          <w:tcPr>
            <w:tcW w:type="dxa" w:w="1377"/>
          </w:tcPr>
          <w:p>
            <w:pPr>
              <w:spacing w:after="20" w:before="20" w:line="240" w:lineRule="auto"/>
            </w:pPr>
            <w:r/>
            <w:r>
              <w:rPr>
                <w:rFonts w:ascii="Arial" w:hAnsi="Arial" w:cs="Arial"/>
                <w:b w:val="0"/>
                <w:i w:val="0"/>
                <w:sz w:val="17"/>
              </w:rPr>
              <w:t>Container Release API</w:t>
            </w:r>
          </w:p>
        </w:tc>
        <w:tc>
          <w:tcPr>
            <w:tcW w:type="dxa" w:w="1377"/>
          </w:tcPr>
          <w:p>
            <w:pPr>
              <w:spacing w:after="20" w:before="20" w:line="240" w:lineRule="auto"/>
            </w:pPr>
            <w:r/>
            <w:r>
              <w:rPr>
                <w:rFonts w:ascii="Arial" w:hAnsi="Arial" w:cs="Arial"/>
                <w:b w:val="0"/>
                <w:i w:val="0"/>
                <w:sz w:val="17"/>
              </w:rPr>
              <w:t>mTLS + client certificates (Section 13)</w:t>
            </w:r>
          </w:p>
        </w:tc>
        <w:tc>
          <w:tcPr>
            <w:tcW w:type="dxa" w:w="1377"/>
          </w:tcPr>
          <w:p>
            <w:pPr>
              <w:spacing w:after="20" w:before="20" w:line="240" w:lineRule="auto"/>
            </w:pPr>
            <w:r/>
            <w:r>
              <w:rPr>
                <w:rFonts w:ascii="Arial" w:hAnsi="Arial" w:cs="Arial"/>
                <w:b w:val="0"/>
                <w:i w:val="0"/>
                <w:sz w:val="17"/>
              </w:rPr>
              <w:t>Digital signature (PKCS#7)</w:t>
            </w:r>
          </w:p>
        </w:tc>
        <w:tc>
          <w:tcPr>
            <w:tcW w:type="dxa" w:w="1377"/>
          </w:tcPr>
          <w:p>
            <w:pPr>
              <w:spacing w:after="20" w:before="20" w:line="240" w:lineRule="auto"/>
            </w:pPr>
            <w:r/>
            <w:r>
              <w:rPr>
                <w:rFonts w:ascii="Arial" w:hAnsi="Arial" w:cs="Arial"/>
                <w:b w:val="0"/>
                <w:i w:val="0"/>
                <w:sz w:val="17"/>
              </w:rPr>
              <w:t>Signed responses</w:t>
            </w:r>
          </w:p>
        </w:tc>
        <w:tc>
          <w:tcPr>
            <w:tcW w:type="dxa" w:w="1377"/>
          </w:tcPr>
          <w:p>
            <w:pPr>
              <w:spacing w:after="20" w:before="20" w:line="240" w:lineRule="auto"/>
            </w:pPr>
            <w:r/>
            <w:r>
              <w:rPr>
                <w:rFonts w:ascii="Arial" w:hAnsi="Arial" w:cs="Arial"/>
                <w:b w:val="0"/>
                <w:i w:val="0"/>
                <w:sz w:val="17"/>
              </w:rPr>
              <w:t>Minimal data exposure</w:t>
            </w:r>
          </w:p>
        </w:tc>
        <w:tc>
          <w:tcPr>
            <w:tcW w:type="dxa" w:w="1377"/>
          </w:tcPr>
          <w:p>
            <w:pPr>
              <w:spacing w:after="20" w:before="20" w:line="240" w:lineRule="auto"/>
            </w:pPr>
            <w:r/>
            <w:r>
              <w:rPr>
                <w:rFonts w:ascii="Arial" w:hAnsi="Arial" w:cs="Arial"/>
                <w:b w:val="0"/>
                <w:i w:val="0"/>
                <w:sz w:val="17"/>
              </w:rPr>
              <w:t>Rate-limiting per terminal</w:t>
            </w:r>
          </w:p>
        </w:tc>
        <w:tc>
          <w:tcPr>
            <w:tcW w:type="dxa" w:w="1377"/>
          </w:tcPr>
          <w:p>
            <w:pPr>
              <w:spacing w:after="20" w:before="20" w:line="240" w:lineRule="auto"/>
            </w:pPr>
            <w:r/>
            <w:r>
              <w:rPr>
                <w:rFonts w:ascii="Arial" w:hAnsi="Arial" w:cs="Arial"/>
                <w:b w:val="0"/>
                <w:i w:val="0"/>
                <w:sz w:val="17"/>
              </w:rPr>
              <w:t>Certificate revocation</w:t>
            </w:r>
          </w:p>
        </w:tc>
      </w:tr>
      <w:tr>
        <w:tc>
          <w:tcPr>
            <w:tcW w:type="dxa" w:w="1377"/>
          </w:tcPr>
          <w:p>
            <w:pPr>
              <w:spacing w:after="20" w:before="20" w:line="240" w:lineRule="auto"/>
            </w:pPr>
            <w:r/>
            <w:r>
              <w:rPr>
                <w:rFonts w:ascii="Arial" w:hAnsi="Arial" w:cs="Arial"/>
                <w:b w:val="0"/>
                <w:i w:val="0"/>
                <w:sz w:val="17"/>
              </w:rPr>
              <w:t>Dual-Mode Toggle</w:t>
            </w:r>
          </w:p>
        </w:tc>
        <w:tc>
          <w:tcPr>
            <w:tcW w:type="dxa" w:w="1377"/>
          </w:tcPr>
          <w:p>
            <w:pPr>
              <w:spacing w:after="20" w:before="20" w:line="240" w:lineRule="auto"/>
            </w:pPr>
            <w:r/>
            <w:r>
              <w:rPr>
                <w:rFonts w:ascii="Arial" w:hAnsi="Arial" w:cs="Arial"/>
                <w:b w:val="0"/>
                <w:i w:val="0"/>
                <w:sz w:val="17"/>
              </w:rPr>
              <w:t>JWT claim validation (Section 4)</w:t>
            </w:r>
          </w:p>
        </w:tc>
        <w:tc>
          <w:tcPr>
            <w:tcW w:type="dxa" w:w="1377"/>
          </w:tcPr>
          <w:p>
            <w:pPr>
              <w:spacing w:after="20" w:before="20" w:line="240" w:lineRule="auto"/>
            </w:pPr>
            <w:r/>
            <w:r>
              <w:rPr>
                <w:rFonts w:ascii="Arial" w:hAnsi="Arial" w:cs="Arial"/>
                <w:b w:val="0"/>
                <w:i w:val="0"/>
                <w:sz w:val="17"/>
              </w:rPr>
              <w:t>OPA policy enforcement</w:t>
            </w:r>
          </w:p>
        </w:tc>
        <w:tc>
          <w:tcPr>
            <w:tcW w:type="dxa" w:w="1377"/>
          </w:tcPr>
          <w:p>
            <w:pPr>
              <w:spacing w:after="20" w:before="20" w:line="240" w:lineRule="auto"/>
            </w:pPr>
            <w:r/>
            <w:r>
              <w:rPr>
                <w:rFonts w:ascii="Arial" w:hAnsi="Arial" w:cs="Arial"/>
                <w:b w:val="0"/>
                <w:i w:val="0"/>
                <w:sz w:val="17"/>
              </w:rPr>
              <w:t>Mode switch logged in audit</w:t>
            </w:r>
          </w:p>
        </w:tc>
        <w:tc>
          <w:tcPr>
            <w:tcW w:type="dxa" w:w="1377"/>
          </w:tcPr>
          <w:p>
            <w:pPr>
              <w:spacing w:after="20" w:before="20" w:line="240" w:lineRule="auto"/>
            </w:pPr>
            <w:r/>
            <w:r>
              <w:rPr>
                <w:rFonts w:ascii="Arial" w:hAnsi="Arial" w:cs="Arial"/>
                <w:b w:val="0"/>
                <w:i w:val="0"/>
                <w:sz w:val="17"/>
              </w:rPr>
              <w:t>Separate JWT context</w:t>
            </w:r>
          </w:p>
        </w:tc>
        <w:tc>
          <w:tcPr>
            <w:tcW w:type="dxa" w:w="1377"/>
          </w:tcPr>
          <w:p>
            <w:pPr>
              <w:spacing w:after="20" w:before="20" w:line="240" w:lineRule="auto"/>
            </w:pPr>
            <w:r/>
            <w:r>
              <w:rPr>
                <w:rFonts w:ascii="Arial" w:hAnsi="Arial" w:cs="Arial"/>
                <w:b w:val="0"/>
                <w:i w:val="0"/>
                <w:sz w:val="17"/>
              </w:rPr>
              <w:t>N/A</w:t>
            </w:r>
          </w:p>
        </w:tc>
        <w:tc>
          <w:tcPr>
            <w:tcW w:type="dxa" w:w="1377"/>
          </w:tcPr>
          <w:p>
            <w:pPr>
              <w:spacing w:after="20" w:before="20" w:line="240" w:lineRule="auto"/>
            </w:pPr>
            <w:r/>
            <w:r>
              <w:rPr>
                <w:rFonts w:ascii="Arial" w:hAnsi="Arial" w:cs="Arial"/>
                <w:b w:val="0"/>
                <w:i w:val="0"/>
                <w:sz w:val="17"/>
              </w:rPr>
              <w:t>OPA prevents cross-mode actions</w:t>
            </w:r>
          </w:p>
        </w:tc>
      </w:tr>
      <w:tr>
        <w:tc>
          <w:tcPr>
            <w:tcW w:type="dxa" w:w="1377"/>
          </w:tcPr>
          <w:p>
            <w:pPr>
              <w:spacing w:after="20" w:before="20" w:line="240" w:lineRule="auto"/>
            </w:pPr>
            <w:r/>
            <w:r>
              <w:rPr>
                <w:rFonts w:ascii="Arial" w:hAnsi="Arial" w:cs="Arial"/>
                <w:b w:val="0"/>
                <w:i w:val="0"/>
                <w:sz w:val="17"/>
              </w:rPr>
              <w:t>Multi-shipment</w:t>
            </w:r>
          </w:p>
        </w:tc>
        <w:tc>
          <w:tcPr>
            <w:tcW w:type="dxa" w:w="1377"/>
          </w:tcPr>
          <w:p>
            <w:pPr>
              <w:spacing w:after="20" w:before="20" w:line="240" w:lineRule="auto"/>
            </w:pPr>
            <w:r/>
            <w:r>
              <w:rPr>
                <w:rFonts w:ascii="Arial" w:hAnsi="Arial" w:cs="Arial"/>
                <w:b w:val="0"/>
                <w:i w:val="0"/>
                <w:sz w:val="17"/>
              </w:rPr>
              <w:t>USTN per shipment (Section 5)</w:t>
            </w:r>
          </w:p>
        </w:tc>
        <w:tc>
          <w:tcPr>
            <w:tcW w:type="dxa" w:w="1377"/>
          </w:tcPr>
          <w:p>
            <w:pPr>
              <w:spacing w:after="20" w:before="20" w:line="240" w:lineRule="auto"/>
            </w:pPr>
            <w:r/>
            <w:r>
              <w:rPr>
                <w:rFonts w:ascii="Arial" w:hAnsi="Arial" w:cs="Arial"/>
                <w:b w:val="0"/>
                <w:i w:val="0"/>
                <w:sz w:val="17"/>
              </w:rPr>
              <w:t>FeeLock per shipment</w:t>
            </w:r>
          </w:p>
        </w:tc>
        <w:tc>
          <w:tcPr>
            <w:tcW w:type="dxa" w:w="1377"/>
          </w:tcPr>
          <w:p>
            <w:pPr>
              <w:spacing w:after="20" w:before="20" w:line="240" w:lineRule="auto"/>
            </w:pPr>
            <w:r/>
            <w:r>
              <w:rPr>
                <w:rFonts w:ascii="Arial" w:hAnsi="Arial" w:cs="Arial"/>
                <w:b w:val="0"/>
                <w:i w:val="0"/>
                <w:sz w:val="17"/>
              </w:rPr>
              <w:t>Per-shipment milestone signatures</w:t>
            </w:r>
          </w:p>
        </w:tc>
        <w:tc>
          <w:tcPr>
            <w:tcW w:type="dxa" w:w="1377"/>
          </w:tcPr>
          <w:p>
            <w:pPr>
              <w:spacing w:after="20" w:before="20" w:line="240" w:lineRule="auto"/>
            </w:pPr>
            <w:r/>
            <w:r>
              <w:rPr>
                <w:rFonts w:ascii="Arial" w:hAnsi="Arial" w:cs="Arial"/>
                <w:b w:val="0"/>
                <w:i w:val="0"/>
                <w:sz w:val="17"/>
              </w:rPr>
              <w:t>RLS per USTN</w:t>
            </w:r>
          </w:p>
        </w:tc>
        <w:tc>
          <w:tcPr>
            <w:tcW w:type="dxa" w:w="1377"/>
          </w:tcPr>
          <w:p>
            <w:pPr>
              <w:spacing w:after="20" w:before="20" w:line="240" w:lineRule="auto"/>
            </w:pPr>
            <w:r/>
            <w:r>
              <w:rPr>
                <w:rFonts w:ascii="Arial" w:hAnsi="Arial" w:cs="Arial"/>
                <w:b w:val="0"/>
                <w:i w:val="0"/>
                <w:sz w:val="17"/>
              </w:rPr>
              <w:t>Independent retries</w:t>
            </w:r>
          </w:p>
        </w:tc>
        <w:tc>
          <w:tcPr>
            <w:tcW w:type="dxa" w:w="1377"/>
          </w:tcPr>
          <w:p>
            <w:pPr>
              <w:spacing w:after="20" w:before="20" w:line="240" w:lineRule="auto"/>
            </w:pPr>
            <w:r/>
            <w:r>
              <w:rPr>
                <w:rFonts w:ascii="Arial" w:hAnsi="Arial" w:cs="Arial"/>
                <w:b w:val="0"/>
                <w:i w:val="0"/>
                <w:sz w:val="17"/>
              </w:rPr>
              <w:t>OPA checks shipment ownership</w:t>
            </w:r>
          </w:p>
        </w:tc>
      </w:tr>
      <w:tr>
        <w:tc>
          <w:tcPr>
            <w:tcW w:type="dxa" w:w="1377"/>
          </w:tcPr>
          <w:p>
            <w:pPr>
              <w:spacing w:after="20" w:before="20" w:line="240" w:lineRule="auto"/>
            </w:pPr>
            <w:r/>
            <w:r>
              <w:rPr>
                <w:rFonts w:ascii="Arial" w:hAnsi="Arial" w:cs="Arial"/>
                <w:b w:val="0"/>
                <w:i w:val="0"/>
                <w:sz w:val="17"/>
              </w:rPr>
              <w:t>Incoterm Engine</w:t>
            </w:r>
          </w:p>
        </w:tc>
        <w:tc>
          <w:tcPr>
            <w:tcW w:type="dxa" w:w="1377"/>
          </w:tcPr>
          <w:p>
            <w:pPr>
              <w:spacing w:after="20" w:before="20" w:line="240" w:lineRule="auto"/>
            </w:pPr>
            <w:r/>
            <w:r>
              <w:rPr>
                <w:rFonts w:ascii="Arial" w:hAnsi="Arial" w:cs="Arial"/>
                <w:b w:val="0"/>
                <w:i w:val="0"/>
                <w:sz w:val="17"/>
              </w:rPr>
              <w:t>WasmEdge module signature</w:t>
            </w:r>
          </w:p>
        </w:tc>
        <w:tc>
          <w:tcPr>
            <w:tcW w:type="dxa" w:w="1377"/>
          </w:tcPr>
          <w:p>
            <w:pPr>
              <w:spacing w:after="20" w:before="20" w:line="240" w:lineRule="auto"/>
            </w:pPr>
            <w:r/>
            <w:r>
              <w:rPr>
                <w:rFonts w:ascii="Arial" w:hAnsi="Arial" w:cs="Arial"/>
                <w:b w:val="0"/>
                <w:i w:val="0"/>
                <w:sz w:val="17"/>
              </w:rPr>
              <w:t>Input validation</w:t>
            </w:r>
          </w:p>
        </w:tc>
        <w:tc>
          <w:tcPr>
            <w:tcW w:type="dxa" w:w="1377"/>
          </w:tcPr>
          <w:p>
            <w:pPr>
              <w:spacing w:after="20" w:before="20" w:line="240" w:lineRule="auto"/>
            </w:pPr>
            <w:r/>
            <w:r>
              <w:rPr>
                <w:rFonts w:ascii="Arial" w:hAnsi="Arial" w:cs="Arial"/>
                <w:b w:val="0"/>
                <w:i w:val="0"/>
                <w:sz w:val="17"/>
              </w:rPr>
              <w:t>Execution logged</w:t>
            </w:r>
          </w:p>
        </w:tc>
        <w:tc>
          <w:tcPr>
            <w:tcW w:type="dxa" w:w="1377"/>
          </w:tcPr>
          <w:p>
            <w:pPr>
              <w:spacing w:after="20" w:before="20" w:line="240" w:lineRule="auto"/>
            </w:pPr>
            <w:r/>
            <w:r>
              <w:rPr>
                <w:rFonts w:ascii="Arial" w:hAnsi="Arial" w:cs="Arial"/>
                <w:b w:val="0"/>
                <w:i w:val="0"/>
                <w:sz w:val="17"/>
              </w:rPr>
              <w:t>N/A</w:t>
            </w:r>
          </w:p>
        </w:tc>
        <w:tc>
          <w:tcPr>
            <w:tcW w:type="dxa" w:w="1377"/>
          </w:tcPr>
          <w:p>
            <w:pPr>
              <w:spacing w:after="20" w:before="20" w:line="240" w:lineRule="auto"/>
            </w:pPr>
            <w:r/>
            <w:r>
              <w:rPr>
                <w:rFonts w:ascii="Arial" w:hAnsi="Arial" w:cs="Arial"/>
                <w:b w:val="0"/>
                <w:i w:val="0"/>
                <w:sz w:val="17"/>
              </w:rPr>
              <w:t>Timeout</w:t>
            </w:r>
          </w:p>
        </w:tc>
        <w:tc>
          <w:tcPr>
            <w:tcW w:type="dxa" w:w="1377"/>
          </w:tcPr>
          <w:p>
            <w:pPr>
              <w:spacing w:after="20" w:before="20" w:line="240" w:lineRule="auto"/>
            </w:pPr>
            <w:r/>
            <w:r>
              <w:rPr>
                <w:rFonts w:ascii="Arial" w:hAnsi="Arial" w:cs="Arial"/>
                <w:b w:val="0"/>
                <w:i w:val="0"/>
                <w:sz w:val="17"/>
              </w:rPr>
              <w:t>Sandboxed</w:t>
            </w:r>
          </w:p>
        </w:tc>
      </w:tr>
      <w:tr>
        <w:tc>
          <w:tcPr>
            <w:tcW w:type="dxa" w:w="1377"/>
          </w:tcPr>
          <w:p>
            <w:pPr>
              <w:spacing w:after="20" w:before="20" w:line="240" w:lineRule="auto"/>
            </w:pPr>
            <w:r/>
            <w:r>
              <w:rPr>
                <w:rFonts w:ascii="Arial" w:hAnsi="Arial" w:cs="Arial"/>
                <w:b w:val="0"/>
                <w:i w:val="0"/>
                <w:sz w:val="17"/>
              </w:rPr>
              <w:t>Logistics Mode C</w:t>
            </w:r>
          </w:p>
        </w:tc>
        <w:tc>
          <w:tcPr>
            <w:tcW w:type="dxa" w:w="1377"/>
          </w:tcPr>
          <w:p>
            <w:pPr>
              <w:spacing w:after="20" w:before="20" w:line="240" w:lineRule="auto"/>
            </w:pPr>
            <w:r/>
            <w:r>
              <w:rPr>
                <w:rFonts w:ascii="Arial" w:hAnsi="Arial" w:cs="Arial"/>
                <w:b w:val="0"/>
                <w:i w:val="0"/>
                <w:sz w:val="17"/>
              </w:rPr>
              <w:t>SHIP portal authentication</w:t>
            </w:r>
          </w:p>
        </w:tc>
        <w:tc>
          <w:tcPr>
            <w:tcW w:type="dxa" w:w="1377"/>
          </w:tcPr>
          <w:p>
            <w:pPr>
              <w:spacing w:after="20" w:before="20" w:line="240" w:lineRule="auto"/>
            </w:pPr>
            <w:r/>
            <w:r>
              <w:rPr>
                <w:rFonts w:ascii="Arial" w:hAnsi="Arial" w:cs="Arial"/>
                <w:b w:val="0"/>
                <w:i w:val="0"/>
                <w:sz w:val="17"/>
              </w:rPr>
              <w:t>Quote signing</w:t>
            </w:r>
          </w:p>
        </w:tc>
        <w:tc>
          <w:tcPr>
            <w:tcW w:type="dxa" w:w="1377"/>
          </w:tcPr>
          <w:p>
            <w:pPr>
              <w:spacing w:after="20" w:before="20" w:line="240" w:lineRule="auto"/>
            </w:pPr>
            <w:r/>
            <w:r>
              <w:rPr>
                <w:rFonts w:ascii="Arial" w:hAnsi="Arial" w:cs="Arial"/>
                <w:b w:val="0"/>
                <w:i w:val="0"/>
                <w:sz w:val="17"/>
              </w:rPr>
              <w:t>Quote acceptance logged</w:t>
            </w:r>
          </w:p>
        </w:tc>
        <w:tc>
          <w:tcPr>
            <w:tcW w:type="dxa" w:w="1377"/>
          </w:tcPr>
          <w:p>
            <w:pPr>
              <w:spacing w:after="20" w:before="20" w:line="240" w:lineRule="auto"/>
            </w:pPr>
            <w:r/>
            <w:r>
              <w:rPr>
                <w:rFonts w:ascii="Arial" w:hAnsi="Arial" w:cs="Arial"/>
                <w:b w:val="0"/>
                <w:i w:val="0"/>
                <w:sz w:val="17"/>
              </w:rPr>
              <w:t>RLS per provider</w:t>
            </w:r>
          </w:p>
        </w:tc>
        <w:tc>
          <w:tcPr>
            <w:tcW w:type="dxa" w:w="1377"/>
          </w:tcPr>
          <w:p>
            <w:pPr>
              <w:spacing w:after="20" w:before="20" w:line="240" w:lineRule="auto"/>
            </w:pPr>
            <w:r/>
            <w:r>
              <w:rPr>
                <w:rFonts w:ascii="Arial" w:hAnsi="Arial" w:cs="Arial"/>
                <w:b w:val="0"/>
                <w:i w:val="0"/>
                <w:sz w:val="17"/>
              </w:rPr>
              <w:t>Rate-limiting</w:t>
            </w:r>
          </w:p>
        </w:tc>
        <w:tc>
          <w:tcPr>
            <w:tcW w:type="dxa" w:w="1377"/>
          </w:tcPr>
          <w:p>
            <w:pPr>
              <w:spacing w:after="20" w:before="20" w:line="240" w:lineRule="auto"/>
            </w:pPr>
            <w:r/>
            <w:r>
              <w:rPr>
                <w:rFonts w:ascii="Arial" w:hAnsi="Arial" w:cs="Arial"/>
                <w:b w:val="0"/>
                <w:i w:val="0"/>
                <w:sz w:val="17"/>
              </w:rPr>
              <w:t>OPA checks provider eligibility</w:t>
            </w:r>
          </w:p>
        </w:tc>
      </w:tr>
      <w:tr>
        <w:tc>
          <w:tcPr>
            <w:tcW w:type="dxa" w:w="1377"/>
          </w:tcPr>
          <w:p>
            <w:pPr>
              <w:spacing w:after="20" w:before="20" w:line="240" w:lineRule="auto"/>
            </w:pPr>
            <w:r/>
            <w:r>
              <w:rPr>
                <w:rFonts w:ascii="Arial" w:hAnsi="Arial" w:cs="Arial"/>
                <w:b w:val="0"/>
                <w:i w:val="0"/>
                <w:sz w:val="17"/>
              </w:rPr>
              <w:t>Conditional QC</w:t>
            </w:r>
          </w:p>
        </w:tc>
        <w:tc>
          <w:tcPr>
            <w:tcW w:type="dxa" w:w="1377"/>
          </w:tcPr>
          <w:p>
            <w:pPr>
              <w:spacing w:after="20" w:before="20" w:line="240" w:lineRule="auto"/>
            </w:pPr>
            <w:r/>
            <w:r>
              <w:rPr>
                <w:rFonts w:ascii="Arial" w:hAnsi="Arial" w:cs="Arial"/>
                <w:b w:val="0"/>
                <w:i w:val="0"/>
                <w:sz w:val="17"/>
              </w:rPr>
              <w:t>Inspector passkey</w:t>
            </w:r>
          </w:p>
        </w:tc>
        <w:tc>
          <w:tcPr>
            <w:tcW w:type="dxa" w:w="1377"/>
          </w:tcPr>
          <w:p>
            <w:pPr>
              <w:spacing w:after="20" w:before="20" w:line="240" w:lineRule="auto"/>
            </w:pPr>
            <w:r/>
            <w:r>
              <w:rPr>
                <w:rFonts w:ascii="Arial" w:hAnsi="Arial" w:cs="Arial"/>
                <w:b w:val="0"/>
                <w:i w:val="0"/>
                <w:sz w:val="17"/>
              </w:rPr>
              <w:t>Action plan hashed</w:t>
            </w:r>
          </w:p>
        </w:tc>
        <w:tc>
          <w:tcPr>
            <w:tcW w:type="dxa" w:w="1377"/>
          </w:tcPr>
          <w:p>
            <w:pPr>
              <w:spacing w:after="20" w:before="20" w:line="240" w:lineRule="auto"/>
            </w:pPr>
            <w:r/>
            <w:r>
              <w:rPr>
                <w:rFonts w:ascii="Arial" w:hAnsi="Arial" w:cs="Arial"/>
                <w:b w:val="0"/>
                <w:i w:val="0"/>
                <w:sz w:val="17"/>
              </w:rPr>
              <w:t>Override reason logged</w:t>
            </w:r>
          </w:p>
        </w:tc>
        <w:tc>
          <w:tcPr>
            <w:tcW w:type="dxa" w:w="1377"/>
          </w:tcPr>
          <w:p>
            <w:pPr>
              <w:spacing w:after="20" w:before="20" w:line="240" w:lineRule="auto"/>
            </w:pPr>
            <w:r/>
            <w:r>
              <w:rPr>
                <w:rFonts w:ascii="Arial" w:hAnsi="Arial" w:cs="Arial"/>
                <w:b w:val="0"/>
                <w:i w:val="0"/>
                <w:sz w:val="17"/>
              </w:rPr>
              <w:t>Evidence package encrypted</w:t>
            </w:r>
          </w:p>
        </w:tc>
        <w:tc>
          <w:tcPr>
            <w:tcW w:type="dxa" w:w="1377"/>
          </w:tcPr>
          <w:p>
            <w:pPr>
              <w:spacing w:after="20" w:before="20" w:line="240" w:lineRule="auto"/>
            </w:pPr>
            <w:r/>
            <w:r>
              <w:rPr>
                <w:rFonts w:ascii="Arial" w:hAnsi="Arial" w:cs="Arial"/>
                <w:b w:val="0"/>
                <w:i w:val="0"/>
                <w:sz w:val="17"/>
              </w:rPr>
              <w:t>N/A</w:t>
            </w:r>
          </w:p>
        </w:tc>
        <w:tc>
          <w:tcPr>
            <w:tcW w:type="dxa" w:w="1377"/>
          </w:tcPr>
          <w:p>
            <w:pPr>
              <w:spacing w:after="20" w:before="20" w:line="240" w:lineRule="auto"/>
            </w:pPr>
            <w:r/>
            <w:r>
              <w:rPr>
                <w:rFonts w:ascii="Arial" w:hAnsi="Arial" w:cs="Arial"/>
                <w:b w:val="0"/>
                <w:i w:val="0"/>
                <w:sz w:val="17"/>
              </w:rPr>
              <w:t>OPA blocks settlement if hold active</w:t>
            </w:r>
          </w:p>
        </w:tc>
      </w:tr>
      <w:tr>
        <w:tc>
          <w:tcPr>
            <w:tcW w:type="dxa" w:w="1377"/>
          </w:tcPr>
          <w:p>
            <w:pPr>
              <w:spacing w:after="20" w:before="20" w:line="240" w:lineRule="auto"/>
            </w:pPr>
            <w:r/>
            <w:r>
              <w:rPr>
                <w:rFonts w:ascii="Arial" w:hAnsi="Arial" w:cs="Arial"/>
                <w:b w:val="0"/>
                <w:i w:val="0"/>
                <w:sz w:val="17"/>
              </w:rPr>
              <w:t>Deferred Payment</w:t>
            </w:r>
          </w:p>
        </w:tc>
        <w:tc>
          <w:tcPr>
            <w:tcW w:type="dxa" w:w="1377"/>
          </w:tcPr>
          <w:p>
            <w:pPr>
              <w:spacing w:after="20" w:before="20" w:line="240" w:lineRule="auto"/>
            </w:pPr>
            <w:r/>
            <w:r>
              <w:rPr>
                <w:rFonts w:ascii="Arial" w:hAnsi="Arial" w:cs="Arial"/>
                <w:b w:val="0"/>
                <w:i w:val="0"/>
                <w:sz w:val="17"/>
              </w:rPr>
              <w:t>Bank deferred instruction signature</w:t>
            </w:r>
          </w:p>
        </w:tc>
        <w:tc>
          <w:tcPr>
            <w:tcW w:type="dxa" w:w="1377"/>
          </w:tcPr>
          <w:p>
            <w:pPr>
              <w:spacing w:after="20" w:before="20" w:line="240" w:lineRule="auto"/>
            </w:pPr>
            <w:r/>
            <w:r>
              <w:rPr>
                <w:rFonts w:ascii="Arial" w:hAnsi="Arial" w:cs="Arial"/>
                <w:b w:val="0"/>
                <w:i w:val="0"/>
                <w:sz w:val="17"/>
              </w:rPr>
              <w:t>Guarantee amount hashed</w:t>
            </w:r>
          </w:p>
        </w:tc>
        <w:tc>
          <w:tcPr>
            <w:tcW w:type="dxa" w:w="1377"/>
          </w:tcPr>
          <w:p>
            <w:pPr>
              <w:spacing w:after="20" w:before="20" w:line="240" w:lineRule="auto"/>
            </w:pPr>
            <w:r/>
            <w:r>
              <w:rPr>
                <w:rFonts w:ascii="Arial" w:hAnsi="Arial" w:cs="Arial"/>
                <w:b w:val="0"/>
                <w:i w:val="0"/>
                <w:sz w:val="17"/>
              </w:rPr>
              <w:t>Deferral logged</w:t>
            </w:r>
          </w:p>
        </w:tc>
        <w:tc>
          <w:tcPr>
            <w:tcW w:type="dxa" w:w="1377"/>
          </w:tcPr>
          <w:p>
            <w:pPr>
              <w:spacing w:after="20" w:before="20" w:line="240" w:lineRule="auto"/>
            </w:pPr>
            <w:r/>
            <w:r>
              <w:rPr>
                <w:rFonts w:ascii="Arial" w:hAnsi="Arial" w:cs="Arial"/>
                <w:b w:val="0"/>
                <w:i w:val="0"/>
                <w:sz w:val="17"/>
              </w:rPr>
              <w:t>Minimal data</w:t>
            </w:r>
          </w:p>
        </w:tc>
        <w:tc>
          <w:tcPr>
            <w:tcW w:type="dxa" w:w="1377"/>
          </w:tcPr>
          <w:p>
            <w:pPr>
              <w:spacing w:after="20" w:before="20" w:line="240" w:lineRule="auto"/>
            </w:pPr>
            <w:r/>
            <w:r>
              <w:rPr>
                <w:rFonts w:ascii="Arial" w:hAnsi="Arial" w:cs="Arial"/>
                <w:b w:val="0"/>
                <w:i w:val="0"/>
                <w:sz w:val="17"/>
              </w:rPr>
              <w:t>N/A</w:t>
            </w:r>
          </w:p>
        </w:tc>
        <w:tc>
          <w:tcPr>
            <w:tcW w:type="dxa" w:w="1377"/>
          </w:tcPr>
          <w:p>
            <w:pPr>
              <w:spacing w:after="20" w:before="20" w:line="240" w:lineRule="auto"/>
            </w:pPr>
            <w:r/>
            <w:r>
              <w:rPr>
                <w:rFonts w:ascii="Arial" w:hAnsi="Arial" w:cs="Arial"/>
                <w:b w:val="0"/>
                <w:i w:val="0"/>
                <w:sz w:val="17"/>
              </w:rPr>
              <w:t>Governor enforces trigger</w:t>
            </w:r>
          </w:p>
        </w:tc>
      </w:tr>
      <w:tr>
        <w:tc>
          <w:tcPr>
            <w:tcW w:type="dxa" w:w="1377"/>
          </w:tcPr>
          <w:p>
            <w:pPr>
              <w:spacing w:after="20" w:before="20" w:line="240" w:lineRule="auto"/>
            </w:pPr>
            <w:r/>
            <w:r>
              <w:rPr>
                <w:rFonts w:ascii="Arial" w:hAnsi="Arial" w:cs="Arial"/>
                <w:b w:val="0"/>
                <w:i w:val="0"/>
                <w:sz w:val="17"/>
              </w:rPr>
              <w:t>ZK Proofs</w:t>
            </w:r>
          </w:p>
        </w:tc>
        <w:tc>
          <w:tcPr>
            <w:tcW w:type="dxa" w:w="1377"/>
          </w:tcPr>
          <w:p>
            <w:pPr>
              <w:spacing w:after="20" w:before="20" w:line="240" w:lineRule="auto"/>
            </w:pPr>
            <w:r/>
            <w:r>
              <w:rPr>
                <w:rFonts w:ascii="Arial" w:hAnsi="Arial" w:cs="Arial"/>
                <w:b w:val="0"/>
                <w:i w:val="0"/>
                <w:sz w:val="17"/>
              </w:rPr>
              <w:t>Proof verification (Plonky3)</w:t>
            </w:r>
          </w:p>
        </w:tc>
        <w:tc>
          <w:tcPr>
            <w:tcW w:type="dxa" w:w="1377"/>
          </w:tcPr>
          <w:p>
            <w:pPr>
              <w:spacing w:after="20" w:before="20" w:line="240" w:lineRule="auto"/>
            </w:pPr>
            <w:r/>
            <w:r>
              <w:rPr>
                <w:rFonts w:ascii="Arial" w:hAnsi="Arial" w:cs="Arial"/>
                <w:b w:val="0"/>
                <w:i w:val="0"/>
                <w:sz w:val="17"/>
              </w:rPr>
              <w:t>Proof binding to USTN</w:t>
            </w:r>
          </w:p>
        </w:tc>
        <w:tc>
          <w:tcPr>
            <w:tcW w:type="dxa" w:w="1377"/>
          </w:tcPr>
          <w:p>
            <w:pPr>
              <w:spacing w:after="20" w:before="20" w:line="240" w:lineRule="auto"/>
            </w:pPr>
            <w:r/>
            <w:r>
              <w:rPr>
                <w:rFonts w:ascii="Arial" w:hAnsi="Arial" w:cs="Arial"/>
                <w:b w:val="0"/>
                <w:i w:val="0"/>
                <w:sz w:val="17"/>
              </w:rPr>
              <w:t>Proof stored</w:t>
            </w:r>
          </w:p>
        </w:tc>
        <w:tc>
          <w:tcPr>
            <w:tcW w:type="dxa" w:w="1377"/>
          </w:tcPr>
          <w:p>
            <w:pPr>
              <w:spacing w:after="20" w:before="20" w:line="240" w:lineRule="auto"/>
            </w:pPr>
            <w:r/>
            <w:r>
              <w:rPr>
                <w:rFonts w:ascii="Arial" w:hAnsi="Arial" w:cs="Arial"/>
                <w:b w:val="0"/>
                <w:i w:val="0"/>
                <w:sz w:val="17"/>
              </w:rPr>
              <w:t>Only proof, no raw data</w:t>
            </w:r>
          </w:p>
        </w:tc>
        <w:tc>
          <w:tcPr>
            <w:tcW w:type="dxa" w:w="1377"/>
          </w:tcPr>
          <w:p>
            <w:pPr>
              <w:spacing w:after="20" w:before="20" w:line="240" w:lineRule="auto"/>
            </w:pPr>
            <w:r/>
            <w:r>
              <w:rPr>
                <w:rFonts w:ascii="Arial" w:hAnsi="Arial" w:cs="Arial"/>
                <w:b w:val="0"/>
                <w:i w:val="0"/>
                <w:sz w:val="17"/>
              </w:rPr>
              <w:t>Lightweight verification</w:t>
            </w:r>
          </w:p>
        </w:tc>
        <w:tc>
          <w:tcPr>
            <w:tcW w:type="dxa" w:w="1377"/>
          </w:tcPr>
          <w:p>
            <w:pPr>
              <w:spacing w:after="20" w:before="20" w:line="240" w:lineRule="auto"/>
            </w:pPr>
            <w:r/>
            <w:r>
              <w:rPr>
                <w:rFonts w:ascii="Arial" w:hAnsi="Arial" w:cs="Arial"/>
                <w:b w:val="0"/>
                <w:i w:val="0"/>
                <w:sz w:val="17"/>
              </w:rPr>
              <w:t>N/A</w:t>
            </w:r>
          </w:p>
        </w:tc>
      </w:tr>
      <w:tr>
        <w:tc>
          <w:tcPr>
            <w:tcW w:type="dxa" w:w="1377"/>
          </w:tcPr>
          <w:p>
            <w:pPr>
              <w:spacing w:after="20" w:before="20" w:line="240" w:lineRule="auto"/>
            </w:pPr>
            <w:r/>
            <w:r>
              <w:rPr>
                <w:rFonts w:ascii="Arial" w:hAnsi="Arial" w:cs="Arial"/>
                <w:b w:val="0"/>
                <w:i w:val="0"/>
                <w:sz w:val="17"/>
              </w:rPr>
              <w:t>Third-Party Expert</w:t>
            </w:r>
          </w:p>
        </w:tc>
        <w:tc>
          <w:tcPr>
            <w:tcW w:type="dxa" w:w="1377"/>
          </w:tcPr>
          <w:p>
            <w:pPr>
              <w:spacing w:after="20" w:before="20" w:line="240" w:lineRule="auto"/>
            </w:pPr>
            <w:r/>
            <w:r>
              <w:rPr>
                <w:rFonts w:ascii="Arial" w:hAnsi="Arial" w:cs="Arial"/>
                <w:b w:val="0"/>
                <w:i w:val="0"/>
                <w:sz w:val="17"/>
              </w:rPr>
              <w:t>Expert GTID verification</w:t>
            </w:r>
          </w:p>
        </w:tc>
        <w:tc>
          <w:tcPr>
            <w:tcW w:type="dxa" w:w="1377"/>
          </w:tcPr>
          <w:p>
            <w:pPr>
              <w:spacing w:after="20" w:before="20" w:line="240" w:lineRule="auto"/>
            </w:pPr>
            <w:r/>
            <w:r>
              <w:rPr>
                <w:rFonts w:ascii="Arial" w:hAnsi="Arial" w:cs="Arial"/>
                <w:b w:val="0"/>
                <w:i w:val="0"/>
                <w:sz w:val="17"/>
              </w:rPr>
              <w:t>Opinion hashed in evidence</w:t>
            </w:r>
          </w:p>
        </w:tc>
        <w:tc>
          <w:tcPr>
            <w:tcW w:type="dxa" w:w="1377"/>
          </w:tcPr>
          <w:p>
            <w:pPr>
              <w:spacing w:after="20" w:before="20" w:line="240" w:lineRule="auto"/>
            </w:pPr>
            <w:r/>
            <w:r>
              <w:rPr>
                <w:rFonts w:ascii="Arial" w:hAnsi="Arial" w:cs="Arial"/>
                <w:b w:val="0"/>
                <w:i w:val="0"/>
                <w:sz w:val="17"/>
              </w:rPr>
              <w:t>Opinion logged</w:t>
            </w:r>
          </w:p>
        </w:tc>
        <w:tc>
          <w:tcPr>
            <w:tcW w:type="dxa" w:w="1377"/>
          </w:tcPr>
          <w:p>
            <w:pPr>
              <w:spacing w:after="20" w:before="20" w:line="240" w:lineRule="auto"/>
            </w:pPr>
            <w:r/>
            <w:r>
              <w:rPr>
                <w:rFonts w:ascii="Arial" w:hAnsi="Arial" w:cs="Arial"/>
                <w:b w:val="0"/>
                <w:i w:val="0"/>
                <w:sz w:val="17"/>
              </w:rPr>
              <w:t>Secure link (token-based)</w:t>
            </w:r>
          </w:p>
        </w:tc>
        <w:tc>
          <w:tcPr>
            <w:tcW w:type="dxa" w:w="1377"/>
          </w:tcPr>
          <w:p>
            <w:pPr>
              <w:spacing w:after="20" w:before="20" w:line="240" w:lineRule="auto"/>
            </w:pPr>
            <w:r/>
            <w:r>
              <w:rPr>
                <w:rFonts w:ascii="Arial" w:hAnsi="Arial" w:cs="Arial"/>
                <w:b w:val="0"/>
                <w:i w:val="0"/>
                <w:sz w:val="17"/>
              </w:rPr>
              <w:t>N/A</w:t>
            </w:r>
          </w:p>
        </w:tc>
        <w:tc>
          <w:tcPr>
            <w:tcW w:type="dxa" w:w="1377"/>
          </w:tcPr>
          <w:p>
            <w:pPr>
              <w:spacing w:after="20" w:before="20" w:line="240" w:lineRule="auto"/>
            </w:pPr>
            <w:r/>
            <w:r>
              <w:rPr>
                <w:rFonts w:ascii="Arial" w:hAnsi="Arial" w:cs="Arial"/>
                <w:b w:val="0"/>
                <w:i w:val="0"/>
                <w:sz w:val="17"/>
              </w:rPr>
              <w:t>OPA checks dispute involvement</w:t>
            </w:r>
          </w:p>
        </w:tc>
      </w:tr>
      <w:tr>
        <w:tc>
          <w:tcPr>
            <w:tcW w:type="dxa" w:w="1377"/>
          </w:tcPr>
          <w:p>
            <w:pPr>
              <w:spacing w:after="20" w:before="20" w:line="240" w:lineRule="auto"/>
            </w:pPr>
            <w:r/>
            <w:r>
              <w:rPr>
                <w:rFonts w:ascii="Arial" w:hAnsi="Arial" w:cs="Arial"/>
                <w:b w:val="0"/>
                <w:i w:val="0"/>
                <w:sz w:val="17"/>
              </w:rPr>
              <w:t>Trust Passport</w:t>
            </w:r>
          </w:p>
        </w:tc>
        <w:tc>
          <w:tcPr>
            <w:tcW w:type="dxa" w:w="1377"/>
          </w:tcPr>
          <w:p>
            <w:pPr>
              <w:spacing w:after="20" w:before="20" w:line="240" w:lineRule="auto"/>
            </w:pPr>
            <w:r/>
            <w:r>
              <w:rPr>
                <w:rFonts w:ascii="Arial" w:hAnsi="Arial" w:cs="Arial"/>
                <w:b w:val="0"/>
                <w:i w:val="0"/>
                <w:sz w:val="17"/>
              </w:rPr>
              <w:t>Ed25519 signature</w:t>
            </w:r>
          </w:p>
        </w:tc>
        <w:tc>
          <w:tcPr>
            <w:tcW w:type="dxa" w:w="1377"/>
          </w:tcPr>
          <w:p>
            <w:pPr>
              <w:spacing w:after="20" w:before="20" w:line="240" w:lineRule="auto"/>
            </w:pPr>
            <w:r/>
            <w:r>
              <w:rPr>
                <w:rFonts w:ascii="Arial" w:hAnsi="Arial" w:cs="Arial"/>
                <w:b w:val="0"/>
                <w:i w:val="0"/>
                <w:sz w:val="17"/>
              </w:rPr>
              <w:t>Credential hash</w:t>
            </w:r>
          </w:p>
        </w:tc>
        <w:tc>
          <w:tcPr>
            <w:tcW w:type="dxa" w:w="1377"/>
          </w:tcPr>
          <w:p>
            <w:pPr>
              <w:spacing w:after="20" w:before="20" w:line="240" w:lineRule="auto"/>
            </w:pPr>
            <w:r/>
            <w:r>
              <w:rPr>
                <w:rFonts w:ascii="Arial" w:hAnsi="Arial" w:cs="Arial"/>
                <w:b w:val="0"/>
                <w:i w:val="0"/>
                <w:sz w:val="17"/>
              </w:rPr>
              <w:t>Sharing logged</w:t>
            </w:r>
          </w:p>
        </w:tc>
        <w:tc>
          <w:tcPr>
            <w:tcW w:type="dxa" w:w="1377"/>
          </w:tcPr>
          <w:p>
            <w:pPr>
              <w:spacing w:after="20" w:before="20" w:line="240" w:lineRule="auto"/>
            </w:pPr>
            <w:r/>
            <w:r>
              <w:rPr>
                <w:rFonts w:ascii="Arial" w:hAnsi="Arial" w:cs="Arial"/>
                <w:b w:val="0"/>
                <w:i w:val="0"/>
                <w:sz w:val="17"/>
              </w:rPr>
              <w:t>Consent-based disclosure</w:t>
            </w:r>
          </w:p>
        </w:tc>
        <w:tc>
          <w:tcPr>
            <w:tcW w:type="dxa" w:w="1377"/>
          </w:tcPr>
          <w:p>
            <w:pPr>
              <w:spacing w:after="20" w:before="20" w:line="240" w:lineRule="auto"/>
            </w:pPr>
            <w:r/>
            <w:r>
              <w:rPr>
                <w:rFonts w:ascii="Arial" w:hAnsi="Arial" w:cs="Arial"/>
                <w:b w:val="0"/>
                <w:i w:val="0"/>
                <w:sz w:val="17"/>
              </w:rPr>
              <w:t>Rate-limiting</w:t>
            </w:r>
          </w:p>
        </w:tc>
        <w:tc>
          <w:tcPr>
            <w:tcW w:type="dxa" w:w="1377"/>
          </w:tcPr>
          <w:p>
            <w:pPr>
              <w:spacing w:after="20" w:before="20" w:line="240" w:lineRule="auto"/>
            </w:pPr>
            <w:r/>
            <w:r>
              <w:rPr>
                <w:rFonts w:ascii="Arial" w:hAnsi="Arial" w:cs="Arial"/>
                <w:b w:val="0"/>
                <w:i w:val="0"/>
                <w:sz w:val="17"/>
              </w:rPr>
              <w:t>Revocation list</w:t>
            </w:r>
          </w:p>
        </w:tc>
      </w:tr>
      <w:tr>
        <w:tc>
          <w:tcPr>
            <w:tcW w:type="dxa" w:w="1377"/>
          </w:tcPr>
          <w:p>
            <w:pPr>
              <w:spacing w:after="20" w:before="20" w:line="240" w:lineRule="auto"/>
            </w:pPr>
            <w:r/>
            <w:r>
              <w:rPr>
                <w:rFonts w:ascii="Arial" w:hAnsi="Arial" w:cs="Arial"/>
                <w:b w:val="0"/>
                <w:i w:val="0"/>
                <w:sz w:val="17"/>
              </w:rPr>
              <w:t>Trade Memory Layer</w:t>
            </w:r>
          </w:p>
        </w:tc>
        <w:tc>
          <w:tcPr>
            <w:tcW w:type="dxa" w:w="1377"/>
          </w:tcPr>
          <w:p>
            <w:pPr>
              <w:spacing w:after="20" w:before="20" w:line="240" w:lineRule="auto"/>
            </w:pPr>
            <w:r/>
            <w:r>
              <w:rPr>
                <w:rFonts w:ascii="Arial" w:hAnsi="Arial" w:cs="Arial"/>
                <w:b w:val="0"/>
                <w:i w:val="0"/>
                <w:sz w:val="17"/>
              </w:rPr>
              <w:t>Anonymised IDs (rotating pepper)</w:t>
            </w:r>
          </w:p>
        </w:tc>
        <w:tc>
          <w:tcPr>
            <w:tcW w:type="dxa" w:w="1377"/>
          </w:tcPr>
          <w:p>
            <w:pPr>
              <w:spacing w:after="20" w:before="20" w:line="240" w:lineRule="auto"/>
            </w:pPr>
            <w:r/>
            <w:r>
              <w:rPr>
                <w:rFonts w:ascii="Arial" w:hAnsi="Arial" w:cs="Arial"/>
                <w:b w:val="0"/>
                <w:i w:val="0"/>
                <w:sz w:val="17"/>
              </w:rPr>
              <w:t>Event hashing</w:t>
            </w:r>
          </w:p>
        </w:tc>
        <w:tc>
          <w:tcPr>
            <w:tcW w:type="dxa" w:w="1377"/>
          </w:tcPr>
          <w:p>
            <w:pPr>
              <w:spacing w:after="20" w:before="20" w:line="240" w:lineRule="auto"/>
            </w:pPr>
            <w:r/>
            <w:r>
              <w:rPr>
                <w:rFonts w:ascii="Arial" w:hAnsi="Arial" w:cs="Arial"/>
                <w:b w:val="0"/>
                <w:i w:val="0"/>
                <w:sz w:val="17"/>
              </w:rPr>
              <w:t>Query logged</w:t>
            </w:r>
          </w:p>
        </w:tc>
        <w:tc>
          <w:tcPr>
            <w:tcW w:type="dxa" w:w="1377"/>
          </w:tcPr>
          <w:p>
            <w:pPr>
              <w:spacing w:after="20" w:before="20" w:line="240" w:lineRule="auto"/>
            </w:pPr>
            <w:r/>
            <w:r>
              <w:rPr>
                <w:rFonts w:ascii="Arial" w:hAnsi="Arial" w:cs="Arial"/>
                <w:b w:val="0"/>
                <w:i w:val="0"/>
                <w:sz w:val="17"/>
              </w:rPr>
              <w:t>Differential privacy (ε=0.1)</w:t>
            </w:r>
          </w:p>
        </w:tc>
        <w:tc>
          <w:tcPr>
            <w:tcW w:type="dxa" w:w="1377"/>
          </w:tcPr>
          <w:p>
            <w:pPr>
              <w:spacing w:after="20" w:before="20" w:line="240" w:lineRule="auto"/>
            </w:pPr>
            <w:r/>
            <w:r>
              <w:rPr>
                <w:rFonts w:ascii="Arial" w:hAnsi="Arial" w:cs="Arial"/>
                <w:b w:val="0"/>
                <w:i w:val="0"/>
                <w:sz w:val="17"/>
              </w:rPr>
              <w:t>Query rate-limiting</w:t>
            </w:r>
          </w:p>
        </w:tc>
        <w:tc>
          <w:tcPr>
            <w:tcW w:type="dxa" w:w="1377"/>
          </w:tcPr>
          <w:p>
            <w:pPr>
              <w:spacing w:after="20" w:before="20" w:line="240" w:lineRule="auto"/>
            </w:pPr>
            <w:r/>
            <w:r>
              <w:rPr>
                <w:rFonts w:ascii="Arial" w:hAnsi="Arial" w:cs="Arial"/>
                <w:b w:val="0"/>
                <w:i w:val="0"/>
                <w:sz w:val="17"/>
              </w:rPr>
              <w:t>Opt-out respected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21.2.3 Worked Examples</w:t>
      </w:r>
    </w:p>
    <w:p>
      <w:pPr>
        <w:spacing w:after="80" w:line="293" w:lineRule="auto"/>
        <w:jc w:val="left"/>
      </w:pPr>
      <w:r>
        <w:rPr>
          <w:rFonts w:ascii="Times New Roman" w:hAnsi="Times New Roman" w:cs="Times New Roman"/>
          <w:b w:val="0"/>
          <w:i w:val="0"/>
          <w:sz w:val="22"/>
        </w:rPr>
        <w:t>Spoofing mitigation for GTID: an attacker cannot impersonate a tenant because every request requires a JWT signed with the tenant's Ed25519 private key. ZITADEL WebAuthn enforces biometric liveness for high-value actions (e.g., contract.sign). The JWT is short-lived (15 minutes) and rotated via refresh token. Attack scenario: an attacker steals a JWT token. Mitigation: the JWT has a short time-to-live (15 min); the refresh token requires biometric verification; all API calls are validated against the device registry (see Section 4).</w:t>
      </w:r>
    </w:p>
    <w:p>
      <w:pPr>
        <w:spacing w:after="80" w:line="293" w:lineRule="auto"/>
        <w:jc w:val="left"/>
      </w:pPr>
      <w:r>
        <w:rPr>
          <w:rFonts w:ascii="Times New Roman" w:hAnsi="Times New Roman" w:cs="Times New Roman"/>
          <w:b w:val="0"/>
          <w:i w:val="0"/>
          <w:sz w:val="22"/>
        </w:rPr>
        <w:t>Tampering mitigation for Loom: an attacker who gains write access to the governor_decisions table cannot modify a past decision because the Loom hash chain would break. The hourly verifier (audit-chain-verifier) detects any inconsistency and triggers a P0 incident. Attack scenario: an attacker modifies a Governor decision. Mitigation: the Loom hash chain breaks; the hourly verifier detects the mismatch, raises a P0 incident, and the Governor blocks new decisions until the chain is restored from the write-ahead log (WAL).</w:t>
      </w:r>
    </w:p>
    <w:p>
      <w:pPr>
        <w:spacing w:after="80" w:line="293" w:lineRule="auto"/>
        <w:jc w:val="left"/>
      </w:pPr>
      <w:r>
        <w:rPr>
          <w:rFonts w:ascii="Times New Roman" w:hAnsi="Times New Roman" w:cs="Times New Roman"/>
          <w:b w:val="0"/>
          <w:i w:val="0"/>
          <w:sz w:val="22"/>
        </w:rPr>
        <w:t>Information disclosure mitigation for RLS: Row-Level Security ensures that a tenant can only see their own data. The Governor sets app.current_tenant_gtid in the session context, and PostgreSQL RLS enforces it at the database level. Even if an attacker bypasses the application layer, they cannot access other tenants' data. Attack scenario: an attacker crafts a SQL query directly against PostgreSQL. Mitigation: PostgreSQL RLS denies access if app.current_tenant_gtid is not set or does not match; the Governor is the only service that can set this variable.</w:t>
      </w:r>
    </w:p>
    <w:p>
      <w:pPr>
        <w:keepNext/>
        <w:spacing w:before="240" w:after="100"/>
        <w:outlineLvl w:val="1"/>
      </w:pPr>
      <w:r>
        <w:rPr>
          <w:rFonts w:ascii="Arial" w:hAnsi="Arial" w:cs="Arial"/>
          <w:b/>
          <w:i w:val="0"/>
          <w:color w:val="2E528F"/>
          <w:sz w:val="26"/>
        </w:rPr>
        <w:t>21.3 MITRE ATT&amp;CK Coverage</w:t>
      </w:r>
    </w:p>
    <w:p>
      <w:pPr>
        <w:keepNext/>
        <w:spacing w:before="180" w:after="80"/>
        <w:outlineLvl w:val="2"/>
      </w:pPr>
      <w:r>
        <w:rPr>
          <w:rFonts w:ascii="Arial" w:hAnsi="Arial" w:cs="Arial"/>
          <w:b/>
          <w:i w:val="0"/>
          <w:color w:val="333333"/>
          <w:sz w:val="23"/>
        </w:rPr>
        <w:t>21.3.1 Tactic Mapping</w:t>
      </w:r>
    </w:p>
    <w:p>
      <w:pPr>
        <w:spacing w:after="80" w:line="293" w:lineRule="auto"/>
        <w:jc w:val="left"/>
      </w:pPr>
      <w:r>
        <w:rPr>
          <w:rFonts w:ascii="Times New Roman" w:hAnsi="Times New Roman" w:cs="Times New Roman"/>
          <w:b w:val="0"/>
          <w:i w:val="0"/>
          <w:sz w:val="22"/>
        </w:rPr>
        <w:t>The following table maps SGTX components to MITRE ATT&amp;CK tactics and techniques, with specific mitigations. The matrix is maintained as a JSON file in the repository and used by the threat-scanner to validate controls: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Tactic</w:t>
            </w:r>
          </w:p>
        </w:tc>
        <w:tc>
          <w:tcPr>
            <w:tcW w:type="dxa" w:w="2409"/>
            <w:shd w:val="clear" w:fill="D9E2F3"/>
          </w:tcPr>
          <w:p>
            <w:pPr>
              <w:spacing w:after="20" w:before="20" w:line="240" w:lineRule="auto"/>
            </w:pPr>
            <w:r/>
            <w:r>
              <w:rPr>
                <w:rFonts w:ascii="Arial" w:hAnsi="Arial" w:cs="Arial"/>
                <w:b/>
                <w:i w:val="0"/>
                <w:sz w:val="18"/>
              </w:rPr>
              <w:t>Technique</w:t>
            </w:r>
          </w:p>
        </w:tc>
        <w:tc>
          <w:tcPr>
            <w:tcW w:type="dxa" w:w="2409"/>
            <w:shd w:val="clear" w:fill="D9E2F3"/>
          </w:tcPr>
          <w:p>
            <w:pPr>
              <w:spacing w:after="20" w:before="20" w:line="240" w:lineRule="auto"/>
            </w:pPr>
            <w:r/>
            <w:r>
              <w:rPr>
                <w:rFonts w:ascii="Arial" w:hAnsi="Arial" w:cs="Arial"/>
                <w:b/>
                <w:i w:val="0"/>
                <w:sz w:val="18"/>
              </w:rPr>
              <w:t>SGTX Mitigation</w:t>
            </w:r>
          </w:p>
        </w:tc>
        <w:tc>
          <w:tcPr>
            <w:tcW w:type="dxa" w:w="2409"/>
            <w:shd w:val="clear" w:fill="D9E2F3"/>
          </w:tcPr>
          <w:p>
            <w:pPr>
              <w:spacing w:after="20" w:before="20" w:line="240" w:lineRule="auto"/>
            </w:pPr>
            <w:r/>
            <w:r>
              <w:rPr>
                <w:rFonts w:ascii="Arial" w:hAnsi="Arial" w:cs="Arial"/>
                <w:b/>
                <w:i w:val="0"/>
                <w:sz w:val="18"/>
              </w:rPr>
              <w:t>Example</w:t>
            </w:r>
          </w:p>
        </w:tc>
      </w:tr>
      <w:tr>
        <w:tc>
          <w:tcPr>
            <w:tcW w:type="dxa" w:w="2409"/>
          </w:tcPr>
          <w:p>
            <w:pPr>
              <w:spacing w:after="20" w:before="20" w:line="240" w:lineRule="auto"/>
            </w:pPr>
            <w:r/>
            <w:r>
              <w:rPr>
                <w:rFonts w:ascii="Arial" w:hAnsi="Arial" w:cs="Arial"/>
                <w:b w:val="0"/>
                <w:i w:val="0"/>
                <w:sz w:val="17"/>
              </w:rPr>
              <w:t>TA0001 — Initial Access</w:t>
            </w:r>
          </w:p>
        </w:tc>
        <w:tc>
          <w:tcPr>
            <w:tcW w:type="dxa" w:w="2409"/>
          </w:tcPr>
          <w:p>
            <w:pPr>
              <w:spacing w:after="20" w:before="20" w:line="240" w:lineRule="auto"/>
            </w:pPr>
            <w:r/>
            <w:r>
              <w:rPr>
                <w:rFonts w:ascii="Arial" w:hAnsi="Arial" w:cs="Arial"/>
                <w:b w:val="0"/>
                <w:i w:val="0"/>
                <w:sz w:val="17"/>
              </w:rPr>
              <w:t>T1078 — Valid Accounts</w:t>
            </w:r>
          </w:p>
        </w:tc>
        <w:tc>
          <w:tcPr>
            <w:tcW w:type="dxa" w:w="2409"/>
          </w:tcPr>
          <w:p>
            <w:pPr>
              <w:spacing w:after="20" w:before="20" w:line="240" w:lineRule="auto"/>
            </w:pPr>
            <w:r/>
            <w:r>
              <w:rPr>
                <w:rFonts w:ascii="Arial" w:hAnsi="Arial" w:cs="Arial"/>
                <w:b w:val="0"/>
                <w:i w:val="0"/>
                <w:sz w:val="17"/>
              </w:rPr>
              <w:t>ZITADEL WebAuthn (FIDO2) with biometric liveness; failed login attempts rate-limited</w:t>
            </w:r>
          </w:p>
        </w:tc>
        <w:tc>
          <w:tcPr>
            <w:tcW w:type="dxa" w:w="2409"/>
          </w:tcPr>
          <w:p>
            <w:pPr>
              <w:spacing w:after="20" w:before="20" w:line="240" w:lineRule="auto"/>
            </w:pPr>
            <w:r/>
            <w:r>
              <w:rPr>
                <w:rFonts w:ascii="Arial" w:hAnsi="Arial" w:cs="Arial"/>
                <w:b w:val="0"/>
                <w:i w:val="0"/>
                <w:sz w:val="17"/>
              </w:rPr>
              <w:t>Phishing attempt to steal password fails without hardware key</w:t>
            </w:r>
          </w:p>
        </w:tc>
      </w:tr>
      <w:tr>
        <w:tc>
          <w:tcPr>
            <w:tcW w:type="dxa" w:w="2409"/>
          </w:tcPr>
          <w:p>
            <w:pPr>
              <w:spacing w:after="20" w:before="20" w:line="240" w:lineRule="auto"/>
            </w:pPr>
            <w:r/>
            <w:r>
              <w:rPr>
                <w:rFonts w:ascii="Arial" w:hAnsi="Arial" w:cs="Arial"/>
                <w:b w:val="0"/>
                <w:i w:val="0"/>
                <w:sz w:val="17"/>
              </w:rPr>
              <w:t>TA0001 — Initial Access</w:t>
            </w:r>
          </w:p>
        </w:tc>
        <w:tc>
          <w:tcPr>
            <w:tcW w:type="dxa" w:w="2409"/>
          </w:tcPr>
          <w:p>
            <w:pPr>
              <w:spacing w:after="20" w:before="20" w:line="240" w:lineRule="auto"/>
            </w:pPr>
            <w:r/>
            <w:r>
              <w:rPr>
                <w:rFonts w:ascii="Arial" w:hAnsi="Arial" w:cs="Arial"/>
                <w:b w:val="0"/>
                <w:i w:val="0"/>
                <w:sz w:val="17"/>
              </w:rPr>
              <w:t>T1190 — Exploit Public-Facing Application</w:t>
            </w:r>
          </w:p>
        </w:tc>
        <w:tc>
          <w:tcPr>
            <w:tcW w:type="dxa" w:w="2409"/>
          </w:tcPr>
          <w:p>
            <w:pPr>
              <w:spacing w:after="20" w:before="20" w:line="240" w:lineRule="auto"/>
            </w:pPr>
            <w:r/>
            <w:r>
              <w:rPr>
                <w:rFonts w:ascii="Arial" w:hAnsi="Arial" w:cs="Arial"/>
                <w:b w:val="0"/>
                <w:i w:val="0"/>
                <w:sz w:val="17"/>
              </w:rPr>
              <w:t>API gateway with WasmEdge filters, input validation (Rust types), WAF (OWASP Coraza)</w:t>
            </w:r>
          </w:p>
        </w:tc>
        <w:tc>
          <w:tcPr>
            <w:tcW w:type="dxa" w:w="2409"/>
          </w:tcPr>
          <w:p>
            <w:pPr>
              <w:spacing w:after="20" w:before="20" w:line="240" w:lineRule="auto"/>
            </w:pPr>
            <w:r/>
            <w:r>
              <w:rPr>
                <w:rFonts w:ascii="Arial" w:hAnsi="Arial" w:cs="Arial"/>
                <w:b w:val="0"/>
                <w:i w:val="0"/>
                <w:sz w:val="17"/>
              </w:rPr>
              <w:t>Malformed JSON payload rejected before reaching Governor</w:t>
            </w:r>
          </w:p>
        </w:tc>
      </w:tr>
      <w:tr>
        <w:tc>
          <w:tcPr>
            <w:tcW w:type="dxa" w:w="2409"/>
          </w:tcPr>
          <w:p>
            <w:pPr>
              <w:spacing w:after="20" w:before="20" w:line="240" w:lineRule="auto"/>
            </w:pPr>
            <w:r/>
            <w:r>
              <w:rPr>
                <w:rFonts w:ascii="Arial" w:hAnsi="Arial" w:cs="Arial"/>
                <w:b w:val="0"/>
                <w:i w:val="0"/>
                <w:sz w:val="17"/>
              </w:rPr>
              <w:t>TA0001 — Initial Access</w:t>
            </w:r>
          </w:p>
        </w:tc>
        <w:tc>
          <w:tcPr>
            <w:tcW w:type="dxa" w:w="2409"/>
          </w:tcPr>
          <w:p>
            <w:pPr>
              <w:spacing w:after="20" w:before="20" w:line="240" w:lineRule="auto"/>
            </w:pPr>
            <w:r/>
            <w:r>
              <w:rPr>
                <w:rFonts w:ascii="Arial" w:hAnsi="Arial" w:cs="Arial"/>
                <w:b w:val="0"/>
                <w:i w:val="0"/>
                <w:sz w:val="17"/>
              </w:rPr>
              <w:t>T1189 — Drive-by Compromise (QC AR)</w:t>
            </w:r>
          </w:p>
        </w:tc>
        <w:tc>
          <w:tcPr>
            <w:tcW w:type="dxa" w:w="2409"/>
          </w:tcPr>
          <w:p>
            <w:pPr>
              <w:spacing w:after="20" w:before="20" w:line="240" w:lineRule="auto"/>
            </w:pPr>
            <w:r/>
            <w:r>
              <w:rPr>
                <w:rFonts w:ascii="Arial" w:hAnsi="Arial" w:cs="Arial"/>
                <w:b w:val="0"/>
                <w:i w:val="0"/>
                <w:sz w:val="17"/>
              </w:rPr>
              <w:t>AR inspection images processed on-device; only defect metadata transmitted</w:t>
            </w:r>
          </w:p>
        </w:tc>
        <w:tc>
          <w:tcPr>
            <w:tcW w:type="dxa" w:w="2409"/>
          </w:tcPr>
          <w:p>
            <w:pPr>
              <w:spacing w:after="20" w:before="20" w:line="240" w:lineRule="auto"/>
            </w:pPr>
            <w:r/>
            <w:r>
              <w:rPr>
                <w:rFonts w:ascii="Arial" w:hAnsi="Arial" w:cs="Arial"/>
                <w:b w:val="0"/>
                <w:i w:val="0"/>
                <w:sz w:val="17"/>
              </w:rPr>
              <w:t>Attacker cannot inject malicious payload via QR code</w:t>
            </w:r>
          </w:p>
        </w:tc>
      </w:tr>
      <w:tr>
        <w:tc>
          <w:tcPr>
            <w:tcW w:type="dxa" w:w="2409"/>
          </w:tcPr>
          <w:p>
            <w:pPr>
              <w:spacing w:after="20" w:before="20" w:line="240" w:lineRule="auto"/>
            </w:pPr>
            <w:r/>
            <w:r>
              <w:rPr>
                <w:rFonts w:ascii="Arial" w:hAnsi="Arial" w:cs="Arial"/>
                <w:b w:val="0"/>
                <w:i w:val="0"/>
                <w:sz w:val="17"/>
              </w:rPr>
              <w:t>TA0002 — Execution</w:t>
            </w:r>
          </w:p>
        </w:tc>
        <w:tc>
          <w:tcPr>
            <w:tcW w:type="dxa" w:w="2409"/>
          </w:tcPr>
          <w:p>
            <w:pPr>
              <w:spacing w:after="20" w:before="20" w:line="240" w:lineRule="auto"/>
            </w:pPr>
            <w:r/>
            <w:r>
              <w:rPr>
                <w:rFonts w:ascii="Arial" w:hAnsi="Arial" w:cs="Arial"/>
                <w:b w:val="0"/>
                <w:i w:val="0"/>
                <w:sz w:val="17"/>
              </w:rPr>
              <w:t>T1059 — Command and Scripting Interpreter</w:t>
            </w:r>
          </w:p>
        </w:tc>
        <w:tc>
          <w:tcPr>
            <w:tcW w:type="dxa" w:w="2409"/>
          </w:tcPr>
          <w:p>
            <w:pPr>
              <w:spacing w:after="20" w:before="20" w:line="240" w:lineRule="auto"/>
            </w:pPr>
            <w:r/>
            <w:r>
              <w:rPr>
                <w:rFonts w:ascii="Arial" w:hAnsi="Arial" w:cs="Arial"/>
                <w:b w:val="0"/>
                <w:i w:val="0"/>
                <w:sz w:val="17"/>
              </w:rPr>
              <w:t>No user-facing shell; all actions gated by Governor; WASM modules sandboxed</w:t>
            </w:r>
          </w:p>
        </w:tc>
        <w:tc>
          <w:tcPr>
            <w:tcW w:type="dxa" w:w="2409"/>
          </w:tcPr>
          <w:p>
            <w:pPr>
              <w:spacing w:after="20" w:before="20" w:line="240" w:lineRule="auto"/>
            </w:pPr>
            <w:r/>
            <w:r>
              <w:rPr>
                <w:rFonts w:ascii="Arial" w:hAnsi="Arial" w:cs="Arial"/>
                <w:b w:val="0"/>
                <w:i w:val="0"/>
                <w:sz w:val="17"/>
              </w:rPr>
              <w:t>Attacker cannot run arbitrary code on server</w:t>
            </w:r>
          </w:p>
        </w:tc>
      </w:tr>
      <w:tr>
        <w:tc>
          <w:tcPr>
            <w:tcW w:type="dxa" w:w="2409"/>
          </w:tcPr>
          <w:p>
            <w:pPr>
              <w:spacing w:after="20" w:before="20" w:line="240" w:lineRule="auto"/>
            </w:pPr>
            <w:r/>
            <w:r>
              <w:rPr>
                <w:rFonts w:ascii="Arial" w:hAnsi="Arial" w:cs="Arial"/>
                <w:b w:val="0"/>
                <w:i w:val="0"/>
                <w:sz w:val="17"/>
              </w:rPr>
              <w:t>TA0003 — Persistence</w:t>
            </w:r>
          </w:p>
        </w:tc>
        <w:tc>
          <w:tcPr>
            <w:tcW w:type="dxa" w:w="2409"/>
          </w:tcPr>
          <w:p>
            <w:pPr>
              <w:spacing w:after="20" w:before="20" w:line="240" w:lineRule="auto"/>
            </w:pPr>
            <w:r/>
            <w:r>
              <w:rPr>
                <w:rFonts w:ascii="Arial" w:hAnsi="Arial" w:cs="Arial"/>
                <w:b w:val="0"/>
                <w:i w:val="0"/>
                <w:sz w:val="17"/>
              </w:rPr>
              <w:t>T1098 — Account Manipulation</w:t>
            </w:r>
          </w:p>
        </w:tc>
        <w:tc>
          <w:tcPr>
            <w:tcW w:type="dxa" w:w="2409"/>
          </w:tcPr>
          <w:p>
            <w:pPr>
              <w:spacing w:after="20" w:before="20" w:line="240" w:lineRule="auto"/>
            </w:pPr>
            <w:r/>
            <w:r>
              <w:rPr>
                <w:rFonts w:ascii="Arial" w:hAnsi="Arial" w:cs="Arial"/>
                <w:b w:val="0"/>
                <w:i w:val="0"/>
                <w:sz w:val="17"/>
              </w:rPr>
              <w:t>Tenant admin actions require multisig for role changes; audit log monitors all account modifications</w:t>
            </w:r>
          </w:p>
        </w:tc>
        <w:tc>
          <w:tcPr>
            <w:tcW w:type="dxa" w:w="2409"/>
          </w:tcPr>
          <w:p>
            <w:pPr>
              <w:spacing w:after="20" w:before="20" w:line="240" w:lineRule="auto"/>
            </w:pPr>
            <w:r/>
            <w:r>
              <w:rPr>
                <w:rFonts w:ascii="Arial" w:hAnsi="Arial" w:cs="Arial"/>
                <w:b w:val="0"/>
                <w:i w:val="0"/>
                <w:sz w:val="17"/>
              </w:rPr>
              <w:t>Insider cannot add themselves to admin role without approval</w:t>
            </w:r>
          </w:p>
        </w:tc>
      </w:tr>
      <w:tr>
        <w:tc>
          <w:tcPr>
            <w:tcW w:type="dxa" w:w="2409"/>
          </w:tcPr>
          <w:p>
            <w:pPr>
              <w:spacing w:after="20" w:before="20" w:line="240" w:lineRule="auto"/>
            </w:pPr>
            <w:r/>
            <w:r>
              <w:rPr>
                <w:rFonts w:ascii="Arial" w:hAnsi="Arial" w:cs="Arial"/>
                <w:b w:val="0"/>
                <w:i w:val="0"/>
                <w:sz w:val="17"/>
              </w:rPr>
              <w:t>TA0004 — Privilege Escalation</w:t>
            </w:r>
          </w:p>
        </w:tc>
        <w:tc>
          <w:tcPr>
            <w:tcW w:type="dxa" w:w="2409"/>
          </w:tcPr>
          <w:p>
            <w:pPr>
              <w:spacing w:after="20" w:before="20" w:line="240" w:lineRule="auto"/>
            </w:pPr>
            <w:r/>
            <w:r>
              <w:rPr>
                <w:rFonts w:ascii="Arial" w:hAnsi="Arial" w:cs="Arial"/>
                <w:b w:val="0"/>
                <w:i w:val="0"/>
                <w:sz w:val="17"/>
              </w:rPr>
              <w:t>T1068 — Exploitation for Privilege Escalation</w:t>
            </w:r>
          </w:p>
        </w:tc>
        <w:tc>
          <w:tcPr>
            <w:tcW w:type="dxa" w:w="2409"/>
          </w:tcPr>
          <w:p>
            <w:pPr>
              <w:spacing w:after="20" w:before="20" w:line="240" w:lineRule="auto"/>
            </w:pPr>
            <w:r/>
            <w:r>
              <w:rPr>
                <w:rFonts w:ascii="Arial" w:hAnsi="Arial" w:cs="Arial"/>
                <w:b w:val="0"/>
                <w:i w:val="0"/>
                <w:sz w:val="17"/>
              </w:rPr>
              <w:t>WASM constitutional layer forbids self-escalation; OPA policies versioned; any change requires multisig</w:t>
            </w:r>
          </w:p>
        </w:tc>
        <w:tc>
          <w:tcPr>
            <w:tcW w:type="dxa" w:w="2409"/>
          </w:tcPr>
          <w:p>
            <w:pPr>
              <w:spacing w:after="20" w:before="20" w:line="240" w:lineRule="auto"/>
            </w:pPr>
            <w:r/>
            <w:r>
              <w:rPr>
                <w:rFonts w:ascii="Arial" w:hAnsi="Arial" w:cs="Arial"/>
                <w:b w:val="0"/>
                <w:i w:val="0"/>
                <w:sz w:val="17"/>
              </w:rPr>
              <w:t>Malicious employee cannot escalate privileges via OPA policy injection</w:t>
            </w:r>
          </w:p>
        </w:tc>
      </w:tr>
      <w:tr>
        <w:tc>
          <w:tcPr>
            <w:tcW w:type="dxa" w:w="2409"/>
          </w:tcPr>
          <w:p>
            <w:pPr>
              <w:spacing w:after="20" w:before="20" w:line="240" w:lineRule="auto"/>
            </w:pPr>
            <w:r/>
            <w:r>
              <w:rPr>
                <w:rFonts w:ascii="Arial" w:hAnsi="Arial" w:cs="Arial"/>
                <w:b w:val="0"/>
                <w:i w:val="0"/>
                <w:sz w:val="17"/>
              </w:rPr>
              <w:t>TA0005 — Defense Evasion</w:t>
            </w:r>
          </w:p>
        </w:tc>
        <w:tc>
          <w:tcPr>
            <w:tcW w:type="dxa" w:w="2409"/>
          </w:tcPr>
          <w:p>
            <w:pPr>
              <w:spacing w:after="20" w:before="20" w:line="240" w:lineRule="auto"/>
            </w:pPr>
            <w:r/>
            <w:r>
              <w:rPr>
                <w:rFonts w:ascii="Arial" w:hAnsi="Arial" w:cs="Arial"/>
                <w:b w:val="0"/>
                <w:i w:val="0"/>
                <w:sz w:val="17"/>
              </w:rPr>
              <w:t>T1562 — Impair Defenses</w:t>
            </w:r>
          </w:p>
        </w:tc>
        <w:tc>
          <w:tcPr>
            <w:tcW w:type="dxa" w:w="2409"/>
          </w:tcPr>
          <w:p>
            <w:pPr>
              <w:spacing w:after="20" w:before="20" w:line="240" w:lineRule="auto"/>
            </w:pPr>
            <w:r/>
            <w:r>
              <w:rPr>
                <w:rFonts w:ascii="Arial" w:hAnsi="Arial" w:cs="Arial"/>
                <w:b w:val="0"/>
                <w:i w:val="0"/>
                <w:sz w:val="17"/>
              </w:rPr>
              <w:t>Loom tamper-evident logging; hourly chain verification; ClickHouse immutable storage</w:t>
            </w:r>
          </w:p>
        </w:tc>
        <w:tc>
          <w:tcPr>
            <w:tcW w:type="dxa" w:w="2409"/>
          </w:tcPr>
          <w:p>
            <w:pPr>
              <w:spacing w:after="20" w:before="20" w:line="240" w:lineRule="auto"/>
            </w:pPr>
            <w:r/>
            <w:r>
              <w:rPr>
                <w:rFonts w:ascii="Arial" w:hAnsi="Arial" w:cs="Arial"/>
                <w:b w:val="0"/>
                <w:i w:val="0"/>
                <w:sz w:val="17"/>
              </w:rPr>
              <w:t>Attacker deletes audit logs; chain breaks, detection fires</w:t>
            </w:r>
          </w:p>
        </w:tc>
      </w:tr>
      <w:tr>
        <w:tc>
          <w:tcPr>
            <w:tcW w:type="dxa" w:w="2409"/>
          </w:tcPr>
          <w:p>
            <w:pPr>
              <w:spacing w:after="20" w:before="20" w:line="240" w:lineRule="auto"/>
            </w:pPr>
            <w:r/>
            <w:r>
              <w:rPr>
                <w:rFonts w:ascii="Arial" w:hAnsi="Arial" w:cs="Arial"/>
                <w:b w:val="0"/>
                <w:i w:val="0"/>
                <w:sz w:val="17"/>
              </w:rPr>
              <w:t>TA0005 — Defense Evasion</w:t>
            </w:r>
          </w:p>
        </w:tc>
        <w:tc>
          <w:tcPr>
            <w:tcW w:type="dxa" w:w="2409"/>
          </w:tcPr>
          <w:p>
            <w:pPr>
              <w:spacing w:after="20" w:before="20" w:line="240" w:lineRule="auto"/>
            </w:pPr>
            <w:r/>
            <w:r>
              <w:rPr>
                <w:rFonts w:ascii="Arial" w:hAnsi="Arial" w:cs="Arial"/>
                <w:b w:val="0"/>
                <w:i w:val="0"/>
                <w:sz w:val="17"/>
              </w:rPr>
              <w:t>T1485 — Data Destruction (conditional QC)</w:t>
            </w:r>
          </w:p>
        </w:tc>
        <w:tc>
          <w:tcPr>
            <w:tcW w:type="dxa" w:w="2409"/>
          </w:tcPr>
          <w:p>
            <w:pPr>
              <w:spacing w:after="20" w:before="20" w:line="240" w:lineRule="auto"/>
            </w:pPr>
            <w:r/>
            <w:r>
              <w:rPr>
                <w:rFonts w:ascii="Arial" w:hAnsi="Arial" w:cs="Arial"/>
                <w:b w:val="0"/>
                <w:i w:val="0"/>
                <w:sz w:val="17"/>
              </w:rPr>
              <w:t>Conditional QC holds prevent final settlement until action plan completed; deferred payment guarantees prevent loss</w:t>
            </w:r>
          </w:p>
        </w:tc>
        <w:tc>
          <w:tcPr>
            <w:tcW w:type="dxa" w:w="2409"/>
          </w:tcPr>
          <w:p>
            <w:pPr>
              <w:spacing w:after="20" w:before="20" w:line="240" w:lineRule="auto"/>
            </w:pPr>
            <w:r/>
            <w:r>
              <w:rPr>
                <w:rFonts w:ascii="Arial" w:hAnsi="Arial" w:cs="Arial"/>
                <w:b w:val="0"/>
                <w:i w:val="0"/>
                <w:sz w:val="17"/>
              </w:rPr>
              <w:t>Attacker cannot mark damaged goods as delivered to bypass QC hold</w:t>
            </w:r>
          </w:p>
        </w:tc>
      </w:tr>
      <w:tr>
        <w:tc>
          <w:tcPr>
            <w:tcW w:type="dxa" w:w="2409"/>
          </w:tcPr>
          <w:p>
            <w:pPr>
              <w:spacing w:after="20" w:before="20" w:line="240" w:lineRule="auto"/>
            </w:pPr>
            <w:r/>
            <w:r>
              <w:rPr>
                <w:rFonts w:ascii="Arial" w:hAnsi="Arial" w:cs="Arial"/>
                <w:b w:val="0"/>
                <w:i w:val="0"/>
                <w:sz w:val="17"/>
              </w:rPr>
              <w:t>TA0005 — Defense Evasion</w:t>
            </w:r>
          </w:p>
        </w:tc>
        <w:tc>
          <w:tcPr>
            <w:tcW w:type="dxa" w:w="2409"/>
          </w:tcPr>
          <w:p>
            <w:pPr>
              <w:spacing w:after="20" w:before="20" w:line="240" w:lineRule="auto"/>
            </w:pPr>
            <w:r/>
            <w:r>
              <w:rPr>
                <w:rFonts w:ascii="Arial" w:hAnsi="Arial" w:cs="Arial"/>
                <w:b w:val="0"/>
                <w:i w:val="0"/>
                <w:sz w:val="17"/>
              </w:rPr>
              <w:t>T1491 — Defacement (conditional QC)</w:t>
            </w:r>
          </w:p>
        </w:tc>
        <w:tc>
          <w:tcPr>
            <w:tcW w:type="dxa" w:w="2409"/>
          </w:tcPr>
          <w:p>
            <w:pPr>
              <w:spacing w:after="20" w:before="20" w:line="240" w:lineRule="auto"/>
            </w:pPr>
            <w:r/>
            <w:r>
              <w:rPr>
                <w:rFonts w:ascii="Arial" w:hAnsi="Arial" w:cs="Arial"/>
                <w:b w:val="0"/>
                <w:i w:val="0"/>
                <w:sz w:val="17"/>
              </w:rPr>
              <w:t>Conditional pass action plan must be completed and verified before settlement hold removed</w:t>
            </w:r>
          </w:p>
        </w:tc>
        <w:tc>
          <w:tcPr>
            <w:tcW w:type="dxa" w:w="2409"/>
          </w:tcPr>
          <w:p>
            <w:pPr>
              <w:spacing w:after="20" w:before="20" w:line="240" w:lineRule="auto"/>
            </w:pPr>
            <w:r/>
            <w:r>
              <w:rPr>
                <w:rFonts w:ascii="Arial" w:hAnsi="Arial" w:cs="Arial"/>
                <w:b w:val="0"/>
                <w:i w:val="0"/>
                <w:sz w:val="17"/>
              </w:rPr>
              <w:t>Attacker cannot falsely claim goods are compliant</w:t>
            </w:r>
          </w:p>
        </w:tc>
      </w:tr>
      <w:tr>
        <w:tc>
          <w:tcPr>
            <w:tcW w:type="dxa" w:w="2409"/>
          </w:tcPr>
          <w:p>
            <w:pPr>
              <w:spacing w:after="20" w:before="20" w:line="240" w:lineRule="auto"/>
            </w:pPr>
            <w:r/>
            <w:r>
              <w:rPr>
                <w:rFonts w:ascii="Arial" w:hAnsi="Arial" w:cs="Arial"/>
                <w:b w:val="0"/>
                <w:i w:val="0"/>
                <w:sz w:val="17"/>
              </w:rPr>
              <w:t>TA0006 — Credential Access</w:t>
            </w:r>
          </w:p>
        </w:tc>
        <w:tc>
          <w:tcPr>
            <w:tcW w:type="dxa" w:w="2409"/>
          </w:tcPr>
          <w:p>
            <w:pPr>
              <w:spacing w:after="20" w:before="20" w:line="240" w:lineRule="auto"/>
            </w:pPr>
            <w:r/>
            <w:r>
              <w:rPr>
                <w:rFonts w:ascii="Arial" w:hAnsi="Arial" w:cs="Arial"/>
                <w:b w:val="0"/>
                <w:i w:val="0"/>
                <w:sz w:val="17"/>
              </w:rPr>
              <w:t>T1555 — Credentials from Password Stores</w:t>
            </w:r>
          </w:p>
        </w:tc>
        <w:tc>
          <w:tcPr>
            <w:tcW w:type="dxa" w:w="2409"/>
          </w:tcPr>
          <w:p>
            <w:pPr>
              <w:spacing w:after="20" w:before="20" w:line="240" w:lineRule="auto"/>
            </w:pPr>
            <w:r/>
            <w:r>
              <w:rPr>
                <w:rFonts w:ascii="Arial" w:hAnsi="Arial" w:cs="Arial"/>
                <w:b w:val="0"/>
                <w:i w:val="0"/>
                <w:sz w:val="17"/>
              </w:rPr>
              <w:t>All secrets encrypted at rest (AES256-GCM); API keys hashed (bcrypt); secrets never in logs</w:t>
            </w:r>
          </w:p>
        </w:tc>
        <w:tc>
          <w:tcPr>
            <w:tcW w:type="dxa" w:w="2409"/>
          </w:tcPr>
          <w:p>
            <w:pPr>
              <w:spacing w:after="20" w:before="20" w:line="240" w:lineRule="auto"/>
            </w:pPr>
            <w:r/>
            <w:r>
              <w:rPr>
                <w:rFonts w:ascii="Arial" w:hAnsi="Arial" w:cs="Arial"/>
                <w:b w:val="0"/>
                <w:i w:val="0"/>
                <w:sz w:val="17"/>
              </w:rPr>
              <w:t>Database dump reveals only encrypted blobs</w:t>
            </w:r>
          </w:p>
        </w:tc>
      </w:tr>
      <w:tr>
        <w:tc>
          <w:tcPr>
            <w:tcW w:type="dxa" w:w="2409"/>
          </w:tcPr>
          <w:p>
            <w:pPr>
              <w:spacing w:after="20" w:before="20" w:line="240" w:lineRule="auto"/>
            </w:pPr>
            <w:r/>
            <w:r>
              <w:rPr>
                <w:rFonts w:ascii="Arial" w:hAnsi="Arial" w:cs="Arial"/>
                <w:b w:val="0"/>
                <w:i w:val="0"/>
                <w:sz w:val="17"/>
              </w:rPr>
              <w:t>TA0008 — Lateral Movement</w:t>
            </w:r>
          </w:p>
        </w:tc>
        <w:tc>
          <w:tcPr>
            <w:tcW w:type="dxa" w:w="2409"/>
          </w:tcPr>
          <w:p>
            <w:pPr>
              <w:spacing w:after="20" w:before="20" w:line="240" w:lineRule="auto"/>
            </w:pPr>
            <w:r/>
            <w:r>
              <w:rPr>
                <w:rFonts w:ascii="Arial" w:hAnsi="Arial" w:cs="Arial"/>
                <w:b w:val="0"/>
                <w:i w:val="0"/>
                <w:sz w:val="17"/>
              </w:rPr>
              <w:t>T1570 — Lateral Tool Transfer</w:t>
            </w:r>
          </w:p>
        </w:tc>
        <w:tc>
          <w:tcPr>
            <w:tcW w:type="dxa" w:w="2409"/>
          </w:tcPr>
          <w:p>
            <w:pPr>
              <w:spacing w:after="20" w:before="20" w:line="240" w:lineRule="auto"/>
            </w:pPr>
            <w:r/>
            <w:r>
              <w:rPr>
                <w:rFonts w:ascii="Arial" w:hAnsi="Arial" w:cs="Arial"/>
                <w:b w:val="0"/>
                <w:i w:val="0"/>
                <w:sz w:val="17"/>
              </w:rPr>
              <w:t>Microsegmentation with Cilium network policies; SSH access restricted; service mesh mTLS</w:t>
            </w:r>
          </w:p>
        </w:tc>
        <w:tc>
          <w:tcPr>
            <w:tcW w:type="dxa" w:w="2409"/>
          </w:tcPr>
          <w:p>
            <w:pPr>
              <w:spacing w:after="20" w:before="20" w:line="240" w:lineRule="auto"/>
            </w:pPr>
            <w:r/>
            <w:r>
              <w:rPr>
                <w:rFonts w:ascii="Arial" w:hAnsi="Arial" w:cs="Arial"/>
                <w:b w:val="0"/>
                <w:i w:val="0"/>
                <w:sz w:val="17"/>
              </w:rPr>
              <w:t>Compromised inbox-service pod cannot connect to PostgreSQL</w:t>
            </w:r>
          </w:p>
        </w:tc>
      </w:tr>
      <w:tr>
        <w:tc>
          <w:tcPr>
            <w:tcW w:type="dxa" w:w="2409"/>
          </w:tcPr>
          <w:p>
            <w:pPr>
              <w:spacing w:after="20" w:before="20" w:line="240" w:lineRule="auto"/>
            </w:pPr>
            <w:r/>
            <w:r>
              <w:rPr>
                <w:rFonts w:ascii="Arial" w:hAnsi="Arial" w:cs="Arial"/>
                <w:b w:val="0"/>
                <w:i w:val="0"/>
                <w:sz w:val="17"/>
              </w:rPr>
              <w:t>TA0009 — Collection</w:t>
            </w:r>
          </w:p>
        </w:tc>
        <w:tc>
          <w:tcPr>
            <w:tcW w:type="dxa" w:w="2409"/>
          </w:tcPr>
          <w:p>
            <w:pPr>
              <w:spacing w:after="20" w:before="20" w:line="240" w:lineRule="auto"/>
            </w:pPr>
            <w:r/>
            <w:r>
              <w:rPr>
                <w:rFonts w:ascii="Arial" w:hAnsi="Arial" w:cs="Arial"/>
                <w:b w:val="0"/>
                <w:i w:val="0"/>
                <w:sz w:val="17"/>
              </w:rPr>
              <w:t>T1119 — Automated Collection</w:t>
            </w:r>
          </w:p>
        </w:tc>
        <w:tc>
          <w:tcPr>
            <w:tcW w:type="dxa" w:w="2409"/>
          </w:tcPr>
          <w:p>
            <w:pPr>
              <w:spacing w:after="20" w:before="20" w:line="240" w:lineRule="auto"/>
            </w:pPr>
            <w:r/>
            <w:r>
              <w:rPr>
                <w:rFonts w:ascii="Arial" w:hAnsi="Arial" w:cs="Arial"/>
                <w:b w:val="0"/>
                <w:i w:val="0"/>
                <w:sz w:val="17"/>
              </w:rPr>
              <w:t>Data minimisation: no raw voice/photos stored; only extracted intents; RLS limits per tenant</w:t>
            </w:r>
          </w:p>
        </w:tc>
        <w:tc>
          <w:tcPr>
            <w:tcW w:type="dxa" w:w="2409"/>
          </w:tcPr>
          <w:p>
            <w:pPr>
              <w:spacing w:after="20" w:before="20" w:line="240" w:lineRule="auto"/>
            </w:pPr>
            <w:r/>
            <w:r>
              <w:rPr>
                <w:rFonts w:ascii="Arial" w:hAnsi="Arial" w:cs="Arial"/>
                <w:b w:val="0"/>
                <w:i w:val="0"/>
                <w:sz w:val="17"/>
              </w:rPr>
              <w:t>Attacker queries all shipments; sees only own data</w:t>
            </w:r>
          </w:p>
        </w:tc>
      </w:tr>
      <w:tr>
        <w:tc>
          <w:tcPr>
            <w:tcW w:type="dxa" w:w="2409"/>
          </w:tcPr>
          <w:p>
            <w:pPr>
              <w:spacing w:after="20" w:before="20" w:line="240" w:lineRule="auto"/>
            </w:pPr>
            <w:r/>
            <w:r>
              <w:rPr>
                <w:rFonts w:ascii="Arial" w:hAnsi="Arial" w:cs="Arial"/>
                <w:b w:val="0"/>
                <w:i w:val="0"/>
                <w:sz w:val="17"/>
              </w:rPr>
              <w:t>TA0009 — Collection</w:t>
            </w:r>
          </w:p>
        </w:tc>
        <w:tc>
          <w:tcPr>
            <w:tcW w:type="dxa" w:w="2409"/>
          </w:tcPr>
          <w:p>
            <w:pPr>
              <w:spacing w:after="20" w:before="20" w:line="240" w:lineRule="auto"/>
            </w:pPr>
            <w:r/>
            <w:r>
              <w:rPr>
                <w:rFonts w:ascii="Arial" w:hAnsi="Arial" w:cs="Arial"/>
                <w:b w:val="0"/>
                <w:i w:val="0"/>
                <w:sz w:val="17"/>
              </w:rPr>
              <w:t>T1113 — Screen Capture (QC)</w:t>
            </w:r>
          </w:p>
        </w:tc>
        <w:tc>
          <w:tcPr>
            <w:tcW w:type="dxa" w:w="2409"/>
          </w:tcPr>
          <w:p>
            <w:pPr>
              <w:spacing w:after="20" w:before="20" w:line="240" w:lineRule="auto"/>
            </w:pPr>
            <w:r/>
            <w:r>
              <w:rPr>
                <w:rFonts w:ascii="Arial" w:hAnsi="Arial" w:cs="Arial"/>
                <w:b w:val="0"/>
                <w:i w:val="0"/>
                <w:sz w:val="17"/>
              </w:rPr>
              <w:t>AR inspection images processed on-device; only defect metadata transmitted</w:t>
            </w:r>
          </w:p>
        </w:tc>
        <w:tc>
          <w:tcPr>
            <w:tcW w:type="dxa" w:w="2409"/>
          </w:tcPr>
          <w:p>
            <w:pPr>
              <w:spacing w:after="20" w:before="20" w:line="240" w:lineRule="auto"/>
            </w:pPr>
            <w:r/>
            <w:r>
              <w:rPr>
                <w:rFonts w:ascii="Arial" w:hAnsi="Arial" w:cs="Arial"/>
                <w:b w:val="0"/>
                <w:i w:val="0"/>
                <w:sz w:val="17"/>
              </w:rPr>
              <w:t>Attacker cannot capture full-resolution container photos</w:t>
            </w:r>
          </w:p>
        </w:tc>
      </w:tr>
      <w:tr>
        <w:tc>
          <w:tcPr>
            <w:tcW w:type="dxa" w:w="2409"/>
          </w:tcPr>
          <w:p>
            <w:pPr>
              <w:spacing w:after="20" w:before="20" w:line="240" w:lineRule="auto"/>
            </w:pPr>
            <w:r/>
            <w:r>
              <w:rPr>
                <w:rFonts w:ascii="Arial" w:hAnsi="Arial" w:cs="Arial"/>
                <w:b w:val="0"/>
                <w:i w:val="0"/>
                <w:sz w:val="17"/>
              </w:rPr>
              <w:t>TA0010 — Exfiltration</w:t>
            </w:r>
          </w:p>
        </w:tc>
        <w:tc>
          <w:tcPr>
            <w:tcW w:type="dxa" w:w="2409"/>
          </w:tcPr>
          <w:p>
            <w:pPr>
              <w:spacing w:after="20" w:before="20" w:line="240" w:lineRule="auto"/>
            </w:pPr>
            <w:r/>
            <w:r>
              <w:rPr>
                <w:rFonts w:ascii="Arial" w:hAnsi="Arial" w:cs="Arial"/>
                <w:b w:val="0"/>
                <w:i w:val="0"/>
                <w:sz w:val="17"/>
              </w:rPr>
              <w:t>T1048 — Exfiltration Over Alternative Protocol</w:t>
            </w:r>
          </w:p>
        </w:tc>
        <w:tc>
          <w:tcPr>
            <w:tcW w:type="dxa" w:w="2409"/>
          </w:tcPr>
          <w:p>
            <w:pPr>
              <w:spacing w:after="20" w:before="20" w:line="240" w:lineRule="auto"/>
            </w:pPr>
            <w:r/>
            <w:r>
              <w:rPr>
                <w:rFonts w:ascii="Arial" w:hAnsi="Arial" w:cs="Arial"/>
                <w:b w:val="0"/>
                <w:i w:val="0"/>
                <w:sz w:val="17"/>
              </w:rPr>
              <w:t>All outbound traffic blocked by default (NetworkPolicy deny-all); only approved egress endpoints whitelisted</w:t>
            </w:r>
          </w:p>
        </w:tc>
        <w:tc>
          <w:tcPr>
            <w:tcW w:type="dxa" w:w="2409"/>
          </w:tcPr>
          <w:p>
            <w:pPr>
              <w:spacing w:after="20" w:before="20" w:line="240" w:lineRule="auto"/>
            </w:pPr>
            <w:r/>
            <w:r>
              <w:rPr>
                <w:rFonts w:ascii="Arial" w:hAnsi="Arial" w:cs="Arial"/>
                <w:b w:val="0"/>
                <w:i w:val="0"/>
                <w:sz w:val="17"/>
              </w:rPr>
              <w:t>Malware cannot phone home</w:t>
            </w:r>
          </w:p>
        </w:tc>
      </w:tr>
      <w:tr>
        <w:tc>
          <w:tcPr>
            <w:tcW w:type="dxa" w:w="2409"/>
          </w:tcPr>
          <w:p>
            <w:pPr>
              <w:spacing w:after="20" w:before="20" w:line="240" w:lineRule="auto"/>
            </w:pPr>
            <w:r/>
            <w:r>
              <w:rPr>
                <w:rFonts w:ascii="Arial" w:hAnsi="Arial" w:cs="Arial"/>
                <w:b w:val="0"/>
                <w:i w:val="0"/>
                <w:sz w:val="17"/>
              </w:rPr>
              <w:t>TA0010 — Exfiltration</w:t>
            </w:r>
          </w:p>
        </w:tc>
        <w:tc>
          <w:tcPr>
            <w:tcW w:type="dxa" w:w="2409"/>
          </w:tcPr>
          <w:p>
            <w:pPr>
              <w:spacing w:after="20" w:before="20" w:line="240" w:lineRule="auto"/>
            </w:pPr>
            <w:r/>
            <w:r>
              <w:rPr>
                <w:rFonts w:ascii="Arial" w:hAnsi="Arial" w:cs="Arial"/>
                <w:b w:val="0"/>
                <w:i w:val="0"/>
                <w:sz w:val="17"/>
              </w:rPr>
              <w:t>T1029 — Scheduled Transfer (distressed)</w:t>
            </w:r>
          </w:p>
        </w:tc>
        <w:tc>
          <w:tcPr>
            <w:tcW w:type="dxa" w:w="2409"/>
          </w:tcPr>
          <w:p>
            <w:pPr>
              <w:spacing w:after="20" w:before="20" w:line="240" w:lineRule="auto"/>
            </w:pPr>
            <w:r/>
            <w:r>
              <w:rPr>
                <w:rFonts w:ascii="Arial" w:hAnsi="Arial" w:cs="Arial"/>
                <w:b w:val="0"/>
                <w:i w:val="0"/>
                <w:sz w:val="17"/>
              </w:rPr>
              <w:t>Accelerated outreach only sends notifications to selected saved contacts; privacy notice must be acknowledged</w:t>
            </w:r>
          </w:p>
        </w:tc>
        <w:tc>
          <w:tcPr>
            <w:tcW w:type="dxa" w:w="2409"/>
          </w:tcPr>
          <w:p>
            <w:pPr>
              <w:spacing w:after="20" w:before="20" w:line="240" w:lineRule="auto"/>
            </w:pPr>
            <w:r/>
            <w:r>
              <w:rPr>
                <w:rFonts w:ascii="Arial" w:hAnsi="Arial" w:cs="Arial"/>
                <w:b w:val="0"/>
                <w:i w:val="0"/>
                <w:sz w:val="17"/>
              </w:rPr>
              <w:t>Attacker cannot broadcast distressed listing to all tenants</w:t>
            </w:r>
          </w:p>
        </w:tc>
      </w:tr>
      <w:tr>
        <w:tc>
          <w:tcPr>
            <w:tcW w:type="dxa" w:w="2409"/>
          </w:tcPr>
          <w:p>
            <w:pPr>
              <w:spacing w:after="20" w:before="20" w:line="240" w:lineRule="auto"/>
            </w:pPr>
            <w:r/>
            <w:r>
              <w:rPr>
                <w:rFonts w:ascii="Arial" w:hAnsi="Arial" w:cs="Arial"/>
                <w:b w:val="0"/>
                <w:i w:val="0"/>
                <w:sz w:val="17"/>
              </w:rPr>
              <w:t>TA0040 — Impact</w:t>
            </w:r>
          </w:p>
        </w:tc>
        <w:tc>
          <w:tcPr>
            <w:tcW w:type="dxa" w:w="2409"/>
          </w:tcPr>
          <w:p>
            <w:pPr>
              <w:spacing w:after="20" w:before="20" w:line="240" w:lineRule="auto"/>
            </w:pPr>
            <w:r/>
            <w:r>
              <w:rPr>
                <w:rFonts w:ascii="Arial" w:hAnsi="Arial" w:cs="Arial"/>
                <w:b w:val="0"/>
                <w:i w:val="0"/>
                <w:sz w:val="17"/>
              </w:rPr>
              <w:t>T1485 — Data Destruction</w:t>
            </w:r>
          </w:p>
        </w:tc>
        <w:tc>
          <w:tcPr>
            <w:tcW w:type="dxa" w:w="2409"/>
          </w:tcPr>
          <w:p>
            <w:pPr>
              <w:spacing w:after="20" w:before="20" w:line="240" w:lineRule="auto"/>
            </w:pPr>
            <w:r/>
            <w:r>
              <w:rPr>
                <w:rFonts w:ascii="Arial" w:hAnsi="Arial" w:cs="Arial"/>
                <w:b w:val="0"/>
                <w:i w:val="0"/>
                <w:sz w:val="17"/>
              </w:rPr>
              <w:t>Continuous WAL shipping + daily pg_dump to another node; NATS JetStream mirrored; RTO &lt;5 min, RPO=0</w:t>
            </w:r>
          </w:p>
        </w:tc>
        <w:tc>
          <w:tcPr>
            <w:tcW w:type="dxa" w:w="2409"/>
          </w:tcPr>
          <w:p>
            <w:pPr>
              <w:spacing w:after="20" w:before="20" w:line="240" w:lineRule="auto"/>
            </w:pPr>
            <w:r/>
            <w:r>
              <w:rPr>
                <w:rFonts w:ascii="Arial" w:hAnsi="Arial" w:cs="Arial"/>
                <w:b w:val="0"/>
                <w:i w:val="0"/>
                <w:sz w:val="17"/>
              </w:rPr>
              <w:t>Ransomware encrypts node; data restored from replica</w:t>
            </w:r>
          </w:p>
        </w:tc>
      </w:tr>
      <w:tr>
        <w:tc>
          <w:tcPr>
            <w:tcW w:type="dxa" w:w="2409"/>
          </w:tcPr>
          <w:p>
            <w:pPr>
              <w:spacing w:after="20" w:before="20" w:line="240" w:lineRule="auto"/>
            </w:pPr>
            <w:r/>
            <w:r>
              <w:rPr>
                <w:rFonts w:ascii="Arial" w:hAnsi="Arial" w:cs="Arial"/>
                <w:b w:val="0"/>
                <w:i w:val="0"/>
                <w:sz w:val="17"/>
              </w:rPr>
              <w:t>TA0040 — Impact</w:t>
            </w:r>
          </w:p>
        </w:tc>
        <w:tc>
          <w:tcPr>
            <w:tcW w:type="dxa" w:w="2409"/>
          </w:tcPr>
          <w:p>
            <w:pPr>
              <w:spacing w:after="20" w:before="20" w:line="240" w:lineRule="auto"/>
            </w:pPr>
            <w:r/>
            <w:r>
              <w:rPr>
                <w:rFonts w:ascii="Arial" w:hAnsi="Arial" w:cs="Arial"/>
                <w:b w:val="0"/>
                <w:i w:val="0"/>
                <w:sz w:val="17"/>
              </w:rPr>
              <w:t>T1499 — Endpoint Denial of Service</w:t>
            </w:r>
          </w:p>
        </w:tc>
        <w:tc>
          <w:tcPr>
            <w:tcW w:type="dxa" w:w="2409"/>
          </w:tcPr>
          <w:p>
            <w:pPr>
              <w:spacing w:after="20" w:before="20" w:line="240" w:lineRule="auto"/>
            </w:pPr>
            <w:r/>
            <w:r>
              <w:rPr>
                <w:rFonts w:ascii="Arial" w:hAnsi="Arial" w:cs="Arial"/>
                <w:b w:val="0"/>
                <w:i w:val="0"/>
                <w:sz w:val="17"/>
              </w:rPr>
              <w:t>Active-active K3s with autoscaling (HPA); circuit-breaker in Governor; rate-limiting at Nginx</w:t>
            </w:r>
          </w:p>
        </w:tc>
        <w:tc>
          <w:tcPr>
            <w:tcW w:type="dxa" w:w="2409"/>
          </w:tcPr>
          <w:p>
            <w:pPr>
              <w:spacing w:after="20" w:before="20" w:line="240" w:lineRule="auto"/>
            </w:pPr>
            <w:r/>
            <w:r>
              <w:rPr>
                <w:rFonts w:ascii="Arial" w:hAnsi="Arial" w:cs="Arial"/>
                <w:b w:val="0"/>
                <w:i w:val="0"/>
                <w:sz w:val="17"/>
              </w:rPr>
              <w:t>DDoS attack triggers auto-scaling; service remains available</w:t>
            </w:r>
          </w:p>
        </w:tc>
      </w:tr>
      <w:tr>
        <w:tc>
          <w:tcPr>
            <w:tcW w:type="dxa" w:w="2409"/>
          </w:tcPr>
          <w:p>
            <w:pPr>
              <w:spacing w:after="20" w:before="20" w:line="240" w:lineRule="auto"/>
            </w:pPr>
            <w:r/>
            <w:r>
              <w:rPr>
                <w:rFonts w:ascii="Arial" w:hAnsi="Arial" w:cs="Arial"/>
                <w:b w:val="0"/>
                <w:i w:val="0"/>
                <w:sz w:val="17"/>
              </w:rPr>
              <w:t>TA0040 — Impact</w:t>
            </w:r>
          </w:p>
        </w:tc>
        <w:tc>
          <w:tcPr>
            <w:tcW w:type="dxa" w:w="2409"/>
          </w:tcPr>
          <w:p>
            <w:pPr>
              <w:spacing w:after="20" w:before="20" w:line="240" w:lineRule="auto"/>
            </w:pPr>
            <w:r/>
            <w:r>
              <w:rPr>
                <w:rFonts w:ascii="Arial" w:hAnsi="Arial" w:cs="Arial"/>
                <w:b w:val="0"/>
                <w:i w:val="0"/>
                <w:sz w:val="17"/>
              </w:rPr>
              <w:t>T1565 — Data Manipulation (deferred payment)</w:t>
            </w:r>
          </w:p>
        </w:tc>
        <w:tc>
          <w:tcPr>
            <w:tcW w:type="dxa" w:w="2409"/>
          </w:tcPr>
          <w:p>
            <w:pPr>
              <w:spacing w:after="20" w:before="20" w:line="240" w:lineRule="auto"/>
            </w:pPr>
            <w:r/>
            <w:r>
              <w:rPr>
                <w:rFonts w:ascii="Arial" w:hAnsi="Arial" w:cs="Arial"/>
                <w:b w:val="0"/>
                <w:i w:val="0"/>
                <w:sz w:val="17"/>
              </w:rPr>
              <w:t>Deferred payment guarantees are immutable; expiry triggers block container release</w:t>
            </w:r>
          </w:p>
        </w:tc>
        <w:tc>
          <w:tcPr>
            <w:tcW w:type="dxa" w:w="2409"/>
          </w:tcPr>
          <w:p>
            <w:pPr>
              <w:spacing w:after="20" w:before="20" w:line="240" w:lineRule="auto"/>
            </w:pPr>
            <w:r/>
            <w:r>
              <w:rPr>
                <w:rFonts w:ascii="Arial" w:hAnsi="Arial" w:cs="Arial"/>
                <w:b w:val="0"/>
                <w:i w:val="0"/>
                <w:sz w:val="17"/>
              </w:rPr>
              <w:t>Attacker cannot alter deferred payment amount or expiry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21.3.2 Coverage Map</w:t>
      </w:r>
    </w:p>
    <w:p>
      <w:pPr>
        <w:spacing w:after="80" w:line="293" w:lineRule="auto"/>
        <w:jc w:val="left"/>
      </w:pPr>
      <w:r>
        <w:rPr>
          <w:rFonts w:ascii="Times New Roman" w:hAnsi="Times New Roman" w:cs="Times New Roman"/>
          <w:b w:val="0"/>
          <w:i w:val="0"/>
          <w:sz w:val="22"/>
        </w:rPr>
        <w:t>The MITRE ATT&amp;CK coverage map for the platform, by tactic:</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Tactic</w:t>
            </w:r>
          </w:p>
        </w:tc>
        <w:tc>
          <w:tcPr>
            <w:tcW w:type="dxa" w:w="4819"/>
            <w:shd w:val="clear" w:fill="D9E2F3"/>
          </w:tcPr>
          <w:p>
            <w:pPr>
              <w:spacing w:after="20" w:before="20" w:line="240" w:lineRule="auto"/>
            </w:pPr>
            <w:r/>
            <w:r>
              <w:rPr>
                <w:rFonts w:ascii="Arial" w:hAnsi="Arial" w:cs="Arial"/>
                <w:b/>
                <w:i w:val="0"/>
                <w:sz w:val="18"/>
              </w:rPr>
              <w:t>Coverage</w:t>
            </w:r>
          </w:p>
        </w:tc>
      </w:tr>
      <w:tr>
        <w:tc>
          <w:tcPr>
            <w:tcW w:type="dxa" w:w="4819"/>
          </w:tcPr>
          <w:p>
            <w:pPr>
              <w:spacing w:after="20" w:before="20" w:line="240" w:lineRule="auto"/>
            </w:pPr>
            <w:r/>
            <w:r>
              <w:rPr>
                <w:rFonts w:ascii="Arial" w:hAnsi="Arial" w:cs="Arial"/>
                <w:b w:val="0"/>
                <w:i w:val="0"/>
                <w:sz w:val="17"/>
              </w:rPr>
              <w:t>TA0001: Initial Access</w:t>
            </w:r>
          </w:p>
        </w:tc>
        <w:tc>
          <w:tcPr>
            <w:tcW w:type="dxa" w:w="4819"/>
          </w:tcPr>
          <w:p>
            <w:pPr>
              <w:spacing w:after="20" w:before="20" w:line="240" w:lineRule="auto"/>
            </w:pPr>
            <w:r/>
            <w:r>
              <w:rPr>
                <w:rFonts w:ascii="Arial" w:hAnsi="Arial" w:cs="Arial"/>
                <w:b w:val="0"/>
                <w:i w:val="0"/>
                <w:sz w:val="17"/>
              </w:rPr>
              <w:t>40% coverage</w:t>
            </w:r>
          </w:p>
        </w:tc>
      </w:tr>
      <w:tr>
        <w:tc>
          <w:tcPr>
            <w:tcW w:type="dxa" w:w="4819"/>
          </w:tcPr>
          <w:p>
            <w:pPr>
              <w:spacing w:after="20" w:before="20" w:line="240" w:lineRule="auto"/>
            </w:pPr>
            <w:r/>
            <w:r>
              <w:rPr>
                <w:rFonts w:ascii="Arial" w:hAnsi="Arial" w:cs="Arial"/>
                <w:b w:val="0"/>
                <w:i w:val="0"/>
                <w:sz w:val="17"/>
              </w:rPr>
              <w:t>TA0002: Execution</w:t>
            </w:r>
          </w:p>
        </w:tc>
        <w:tc>
          <w:tcPr>
            <w:tcW w:type="dxa" w:w="4819"/>
          </w:tcPr>
          <w:p>
            <w:pPr>
              <w:spacing w:after="20" w:before="20" w:line="240" w:lineRule="auto"/>
            </w:pPr>
            <w:r/>
            <w:r>
              <w:rPr>
                <w:rFonts w:ascii="Arial" w:hAnsi="Arial" w:cs="Arial"/>
                <w:b w:val="0"/>
                <w:i w:val="0"/>
                <w:sz w:val="17"/>
              </w:rPr>
              <w:t>20% coverage</w:t>
            </w:r>
          </w:p>
        </w:tc>
      </w:tr>
      <w:tr>
        <w:tc>
          <w:tcPr>
            <w:tcW w:type="dxa" w:w="4819"/>
          </w:tcPr>
          <w:p>
            <w:pPr>
              <w:spacing w:after="20" w:before="20" w:line="240" w:lineRule="auto"/>
            </w:pPr>
            <w:r/>
            <w:r>
              <w:rPr>
                <w:rFonts w:ascii="Arial" w:hAnsi="Arial" w:cs="Arial"/>
                <w:b w:val="0"/>
                <w:i w:val="0"/>
                <w:sz w:val="17"/>
              </w:rPr>
              <w:t>TA0003: Persistence</w:t>
            </w:r>
          </w:p>
        </w:tc>
        <w:tc>
          <w:tcPr>
            <w:tcW w:type="dxa" w:w="4819"/>
          </w:tcPr>
          <w:p>
            <w:pPr>
              <w:spacing w:after="20" w:before="20" w:line="240" w:lineRule="auto"/>
            </w:pPr>
            <w:r/>
            <w:r>
              <w:rPr>
                <w:rFonts w:ascii="Arial" w:hAnsi="Arial" w:cs="Arial"/>
                <w:b w:val="0"/>
                <w:i w:val="0"/>
                <w:sz w:val="17"/>
              </w:rPr>
              <w:t>40% coverage</w:t>
            </w:r>
          </w:p>
        </w:tc>
      </w:tr>
      <w:tr>
        <w:tc>
          <w:tcPr>
            <w:tcW w:type="dxa" w:w="4819"/>
          </w:tcPr>
          <w:p>
            <w:pPr>
              <w:spacing w:after="20" w:before="20" w:line="240" w:lineRule="auto"/>
            </w:pPr>
            <w:r/>
            <w:r>
              <w:rPr>
                <w:rFonts w:ascii="Arial" w:hAnsi="Arial" w:cs="Arial"/>
                <w:b w:val="0"/>
                <w:i w:val="0"/>
                <w:sz w:val="17"/>
              </w:rPr>
              <w:t>TA0004: Privilege Escalation</w:t>
            </w:r>
          </w:p>
        </w:tc>
        <w:tc>
          <w:tcPr>
            <w:tcW w:type="dxa" w:w="4819"/>
          </w:tcPr>
          <w:p>
            <w:pPr>
              <w:spacing w:after="20" w:before="20" w:line="240" w:lineRule="auto"/>
            </w:pPr>
            <w:r/>
            <w:r>
              <w:rPr>
                <w:rFonts w:ascii="Arial" w:hAnsi="Arial" w:cs="Arial"/>
                <w:b w:val="0"/>
                <w:i w:val="0"/>
                <w:sz w:val="17"/>
              </w:rPr>
              <w:t>60% coverage</w:t>
            </w:r>
          </w:p>
        </w:tc>
      </w:tr>
      <w:tr>
        <w:tc>
          <w:tcPr>
            <w:tcW w:type="dxa" w:w="4819"/>
          </w:tcPr>
          <w:p>
            <w:pPr>
              <w:spacing w:after="20" w:before="20" w:line="240" w:lineRule="auto"/>
            </w:pPr>
            <w:r/>
            <w:r>
              <w:rPr>
                <w:rFonts w:ascii="Arial" w:hAnsi="Arial" w:cs="Arial"/>
                <w:b w:val="0"/>
                <w:i w:val="0"/>
                <w:sz w:val="17"/>
              </w:rPr>
              <w:t>TA0005: Defense Evasion</w:t>
            </w:r>
          </w:p>
        </w:tc>
        <w:tc>
          <w:tcPr>
            <w:tcW w:type="dxa" w:w="4819"/>
          </w:tcPr>
          <w:p>
            <w:pPr>
              <w:spacing w:after="20" w:before="20" w:line="240" w:lineRule="auto"/>
            </w:pPr>
            <w:r/>
            <w:r>
              <w:rPr>
                <w:rFonts w:ascii="Arial" w:hAnsi="Arial" w:cs="Arial"/>
                <w:b w:val="0"/>
                <w:i w:val="0"/>
                <w:sz w:val="17"/>
              </w:rPr>
              <w:t>60% coverage</w:t>
            </w:r>
          </w:p>
        </w:tc>
      </w:tr>
      <w:tr>
        <w:tc>
          <w:tcPr>
            <w:tcW w:type="dxa" w:w="4819"/>
          </w:tcPr>
          <w:p>
            <w:pPr>
              <w:spacing w:after="20" w:before="20" w:line="240" w:lineRule="auto"/>
            </w:pPr>
            <w:r/>
            <w:r>
              <w:rPr>
                <w:rFonts w:ascii="Arial" w:hAnsi="Arial" w:cs="Arial"/>
                <w:b w:val="0"/>
                <w:i w:val="0"/>
                <w:sz w:val="17"/>
              </w:rPr>
              <w:t>TA0006: Credential Access</w:t>
            </w:r>
          </w:p>
        </w:tc>
        <w:tc>
          <w:tcPr>
            <w:tcW w:type="dxa" w:w="4819"/>
          </w:tcPr>
          <w:p>
            <w:pPr>
              <w:spacing w:after="20" w:before="20" w:line="240" w:lineRule="auto"/>
            </w:pPr>
            <w:r/>
            <w:r>
              <w:rPr>
                <w:rFonts w:ascii="Arial" w:hAnsi="Arial" w:cs="Arial"/>
                <w:b w:val="0"/>
                <w:i w:val="0"/>
                <w:sz w:val="17"/>
              </w:rPr>
              <w:t>60% coverage</w:t>
            </w:r>
          </w:p>
        </w:tc>
      </w:tr>
      <w:tr>
        <w:tc>
          <w:tcPr>
            <w:tcW w:type="dxa" w:w="4819"/>
          </w:tcPr>
          <w:p>
            <w:pPr>
              <w:spacing w:after="20" w:before="20" w:line="240" w:lineRule="auto"/>
            </w:pPr>
            <w:r/>
            <w:r>
              <w:rPr>
                <w:rFonts w:ascii="Arial" w:hAnsi="Arial" w:cs="Arial"/>
                <w:b w:val="0"/>
                <w:i w:val="0"/>
                <w:sz w:val="17"/>
              </w:rPr>
              <w:t>TA0007: Discovery</w:t>
            </w:r>
          </w:p>
        </w:tc>
        <w:tc>
          <w:tcPr>
            <w:tcW w:type="dxa" w:w="4819"/>
          </w:tcPr>
          <w:p>
            <w:pPr>
              <w:spacing w:after="20" w:before="20" w:line="240" w:lineRule="auto"/>
            </w:pPr>
            <w:r/>
            <w:r>
              <w:rPr>
                <w:rFonts w:ascii="Arial" w:hAnsi="Arial" w:cs="Arial"/>
                <w:b w:val="0"/>
                <w:i w:val="0"/>
                <w:sz w:val="17"/>
              </w:rPr>
              <w:t>40% coverage</w:t>
            </w:r>
          </w:p>
        </w:tc>
      </w:tr>
      <w:tr>
        <w:tc>
          <w:tcPr>
            <w:tcW w:type="dxa" w:w="4819"/>
          </w:tcPr>
          <w:p>
            <w:pPr>
              <w:spacing w:after="20" w:before="20" w:line="240" w:lineRule="auto"/>
            </w:pPr>
            <w:r/>
            <w:r>
              <w:rPr>
                <w:rFonts w:ascii="Arial" w:hAnsi="Arial" w:cs="Arial"/>
                <w:b w:val="0"/>
                <w:i w:val="0"/>
                <w:sz w:val="17"/>
              </w:rPr>
              <w:t>TA0008: Lateral Movement</w:t>
            </w:r>
          </w:p>
        </w:tc>
        <w:tc>
          <w:tcPr>
            <w:tcW w:type="dxa" w:w="4819"/>
          </w:tcPr>
          <w:p>
            <w:pPr>
              <w:spacing w:after="20" w:before="20" w:line="240" w:lineRule="auto"/>
            </w:pPr>
            <w:r/>
            <w:r>
              <w:rPr>
                <w:rFonts w:ascii="Arial" w:hAnsi="Arial" w:cs="Arial"/>
                <w:b w:val="0"/>
                <w:i w:val="0"/>
                <w:sz w:val="17"/>
              </w:rPr>
              <w:t>60% coverage</w:t>
            </w:r>
          </w:p>
        </w:tc>
      </w:tr>
      <w:tr>
        <w:tc>
          <w:tcPr>
            <w:tcW w:type="dxa" w:w="4819"/>
          </w:tcPr>
          <w:p>
            <w:pPr>
              <w:spacing w:after="20" w:before="20" w:line="240" w:lineRule="auto"/>
            </w:pPr>
            <w:r/>
            <w:r>
              <w:rPr>
                <w:rFonts w:ascii="Arial" w:hAnsi="Arial" w:cs="Arial"/>
                <w:b w:val="0"/>
                <w:i w:val="0"/>
                <w:sz w:val="17"/>
              </w:rPr>
              <w:t>TA0009: Collection</w:t>
            </w:r>
          </w:p>
        </w:tc>
        <w:tc>
          <w:tcPr>
            <w:tcW w:type="dxa" w:w="4819"/>
          </w:tcPr>
          <w:p>
            <w:pPr>
              <w:spacing w:after="20" w:before="20" w:line="240" w:lineRule="auto"/>
            </w:pPr>
            <w:r/>
            <w:r>
              <w:rPr>
                <w:rFonts w:ascii="Arial" w:hAnsi="Arial" w:cs="Arial"/>
                <w:b w:val="0"/>
                <w:i w:val="0"/>
                <w:sz w:val="17"/>
              </w:rPr>
              <w:t>40% coverage</w:t>
            </w:r>
          </w:p>
        </w:tc>
      </w:tr>
      <w:tr>
        <w:tc>
          <w:tcPr>
            <w:tcW w:type="dxa" w:w="4819"/>
          </w:tcPr>
          <w:p>
            <w:pPr>
              <w:spacing w:after="20" w:before="20" w:line="240" w:lineRule="auto"/>
            </w:pPr>
            <w:r/>
            <w:r>
              <w:rPr>
                <w:rFonts w:ascii="Arial" w:hAnsi="Arial" w:cs="Arial"/>
                <w:b w:val="0"/>
                <w:i w:val="0"/>
                <w:sz w:val="17"/>
              </w:rPr>
              <w:t>TA0010: Exfiltration</w:t>
            </w:r>
          </w:p>
        </w:tc>
        <w:tc>
          <w:tcPr>
            <w:tcW w:type="dxa" w:w="4819"/>
          </w:tcPr>
          <w:p>
            <w:pPr>
              <w:spacing w:after="20" w:before="20" w:line="240" w:lineRule="auto"/>
            </w:pPr>
            <w:r/>
            <w:r>
              <w:rPr>
                <w:rFonts w:ascii="Arial" w:hAnsi="Arial" w:cs="Arial"/>
                <w:b w:val="0"/>
                <w:i w:val="0"/>
                <w:sz w:val="17"/>
              </w:rPr>
              <w:t>60% coverage</w:t>
            </w:r>
          </w:p>
        </w:tc>
      </w:tr>
      <w:tr>
        <w:tc>
          <w:tcPr>
            <w:tcW w:type="dxa" w:w="4819"/>
          </w:tcPr>
          <w:p>
            <w:pPr>
              <w:spacing w:after="20" w:before="20" w:line="240" w:lineRule="auto"/>
            </w:pPr>
            <w:r/>
            <w:r>
              <w:rPr>
                <w:rFonts w:ascii="Arial" w:hAnsi="Arial" w:cs="Arial"/>
                <w:b w:val="0"/>
                <w:i w:val="0"/>
                <w:sz w:val="17"/>
              </w:rPr>
              <w:t>TA0040: Impact</w:t>
            </w:r>
          </w:p>
        </w:tc>
        <w:tc>
          <w:tcPr>
            <w:tcW w:type="dxa" w:w="4819"/>
          </w:tcPr>
          <w:p>
            <w:pPr>
              <w:spacing w:after="20" w:before="20" w:line="240" w:lineRule="auto"/>
            </w:pPr>
            <w:r/>
            <w:r>
              <w:rPr>
                <w:rFonts w:ascii="Arial" w:hAnsi="Arial" w:cs="Arial"/>
                <w:b w:val="0"/>
                <w:i w:val="0"/>
                <w:sz w:val="17"/>
              </w:rPr>
              <w:t>70% coverage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Overall coverage is 50%, the industry benchmark for this platform type. Gap analysis: 10 techniques identified, 6 mitigation controls in progress.</w:t>
      </w:r>
    </w:p>
    <w:p>
      <w:pPr>
        <w:keepNext/>
        <w:spacing w:before="180" w:after="80"/>
        <w:outlineLvl w:val="2"/>
      </w:pPr>
      <w:r>
        <w:rPr>
          <w:rFonts w:ascii="Arial" w:hAnsi="Arial" w:cs="Arial"/>
          <w:b/>
          <w:i w:val="0"/>
          <w:color w:val="333333"/>
          <w:sz w:val="23"/>
        </w:rPr>
        <w:t>21.3.3 AI-Assisted Threat Intelligence (Advisory)</w:t>
      </w:r>
    </w:p>
    <w:p>
      <w:pPr>
        <w:spacing w:after="80" w:line="293" w:lineRule="auto"/>
        <w:jc w:val="left"/>
      </w:pPr>
      <w:r>
        <w:rPr>
          <w:rFonts w:ascii="Times New Roman" w:hAnsi="Times New Roman" w:cs="Times New Roman"/>
          <w:b w:val="0"/>
          <w:i w:val="0"/>
          <w:sz w:val="22"/>
        </w:rPr>
        <w:t>The threat-intel-agent (Rig + Hugging Face NLP) scrapes free threat feeds (AlienVault OTX, MISP, CISA alerts) every 6 hours. When a new IoC (indicator of compromise) is detected, Groq generates a summary and a suggested mitigation. The summary appears in the Admin Portal's Smart Inbox (priority 60). Example: "New CVE-2026-1234 affects PostgreSQL 18. Patch available. Apply within 7 days."</w:t>
      </w:r>
    </w:p>
    <w:p>
      <w:pPr>
        <w:keepNext/>
        <w:spacing w:before="240" w:after="100"/>
        <w:outlineLvl w:val="1"/>
      </w:pPr>
      <w:r>
        <w:rPr>
          <w:rFonts w:ascii="Arial" w:hAnsi="Arial" w:cs="Arial"/>
          <w:b/>
          <w:i w:val="0"/>
          <w:color w:val="2E528F"/>
          <w:sz w:val="26"/>
        </w:rPr>
        <w:t>21.4 Cryptography &amp; Key Management</w:t>
      </w:r>
    </w:p>
    <w:p>
      <w:pPr>
        <w:keepNext/>
        <w:spacing w:before="180" w:after="80"/>
        <w:outlineLvl w:val="2"/>
      </w:pPr>
      <w:r>
        <w:rPr>
          <w:rFonts w:ascii="Arial" w:hAnsi="Arial" w:cs="Arial"/>
          <w:b/>
          <w:i w:val="0"/>
          <w:color w:val="333333"/>
          <w:sz w:val="23"/>
        </w:rPr>
        <w:t>21.4.1 Encryption Layers</w:t>
      </w:r>
    </w:p>
    <w:p>
      <w:pPr>
        <w:spacing w:after="80" w:line="293" w:lineRule="auto"/>
        <w:jc w:val="left"/>
      </w:pPr>
      <w:r>
        <w:rPr>
          <w:rFonts w:ascii="Times New Roman" w:hAnsi="Times New Roman" w:cs="Times New Roman"/>
          <w:b w:val="0"/>
          <w:i w:val="0"/>
          <w:sz w:val="22"/>
        </w:rPr>
        <w:t>Every layer of the platform applies a defined encryption method with a defined key-management regime: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Layer</w:t>
            </w:r>
          </w:p>
        </w:tc>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Key Management</w:t>
            </w:r>
          </w:p>
        </w:tc>
      </w:tr>
      <w:tr>
        <w:tc>
          <w:tcPr>
            <w:tcW w:type="dxa" w:w="3213"/>
          </w:tcPr>
          <w:p>
            <w:pPr>
              <w:spacing w:after="20" w:before="20" w:line="240" w:lineRule="auto"/>
            </w:pPr>
            <w:r/>
            <w:r>
              <w:rPr>
                <w:rFonts w:ascii="Arial" w:hAnsi="Arial" w:cs="Arial"/>
                <w:b w:val="0"/>
                <w:i w:val="0"/>
                <w:sz w:val="17"/>
              </w:rPr>
              <w:t>Data at rest</w:t>
            </w:r>
          </w:p>
        </w:tc>
        <w:tc>
          <w:tcPr>
            <w:tcW w:type="dxa" w:w="3213"/>
          </w:tcPr>
          <w:p>
            <w:pPr>
              <w:spacing w:after="20" w:before="20" w:line="240" w:lineRule="auto"/>
            </w:pPr>
            <w:r/>
            <w:r>
              <w:rPr>
                <w:rFonts w:ascii="Arial" w:hAnsi="Arial" w:cs="Arial"/>
                <w:b w:val="0"/>
                <w:i w:val="0"/>
                <w:sz w:val="17"/>
              </w:rPr>
              <w:t>AES256-GCM (PostgreSQL, ClickHouse, NATS)</w:t>
            </w:r>
          </w:p>
        </w:tc>
        <w:tc>
          <w:tcPr>
            <w:tcW w:type="dxa" w:w="3213"/>
          </w:tcPr>
          <w:p>
            <w:pPr>
              <w:spacing w:after="20" w:before="20" w:line="240" w:lineRule="auto"/>
            </w:pPr>
            <w:r/>
            <w:r>
              <w:rPr>
                <w:rFonts w:ascii="Arial" w:hAnsi="Arial" w:cs="Arial"/>
                <w:b w:val="0"/>
                <w:i w:val="0"/>
                <w:sz w:val="17"/>
              </w:rPr>
              <w:t>SoftHSM, rotated annually</w:t>
            </w:r>
          </w:p>
        </w:tc>
      </w:tr>
      <w:tr>
        <w:tc>
          <w:tcPr>
            <w:tcW w:type="dxa" w:w="3213"/>
          </w:tcPr>
          <w:p>
            <w:pPr>
              <w:spacing w:after="20" w:before="20" w:line="240" w:lineRule="auto"/>
            </w:pPr>
            <w:r/>
            <w:r>
              <w:rPr>
                <w:rFonts w:ascii="Arial" w:hAnsi="Arial" w:cs="Arial"/>
                <w:b w:val="0"/>
                <w:i w:val="0"/>
                <w:sz w:val="17"/>
              </w:rPr>
              <w:t>Data in transit</w:t>
            </w:r>
          </w:p>
        </w:tc>
        <w:tc>
          <w:tcPr>
            <w:tcW w:type="dxa" w:w="3213"/>
          </w:tcPr>
          <w:p>
            <w:pPr>
              <w:spacing w:after="20" w:before="20" w:line="240" w:lineRule="auto"/>
            </w:pPr>
            <w:r/>
            <w:r>
              <w:rPr>
                <w:rFonts w:ascii="Arial" w:hAnsi="Arial" w:cs="Arial"/>
                <w:b w:val="0"/>
                <w:i w:val="0"/>
                <w:sz w:val="17"/>
              </w:rPr>
              <w:t>TLS 1.3 (mTLS for internal)</w:t>
            </w:r>
          </w:p>
        </w:tc>
        <w:tc>
          <w:tcPr>
            <w:tcW w:type="dxa" w:w="3213"/>
          </w:tcPr>
          <w:p>
            <w:pPr>
              <w:spacing w:after="20" w:before="20" w:line="240" w:lineRule="auto"/>
            </w:pPr>
            <w:r/>
            <w:r>
              <w:rPr>
                <w:rFonts w:ascii="Arial" w:hAnsi="Arial" w:cs="Arial"/>
                <w:b w:val="0"/>
                <w:i w:val="0"/>
                <w:sz w:val="17"/>
              </w:rPr>
              <w:t>Internal CA, rotated quarterly</w:t>
            </w:r>
          </w:p>
        </w:tc>
      </w:tr>
      <w:tr>
        <w:tc>
          <w:tcPr>
            <w:tcW w:type="dxa" w:w="3213"/>
          </w:tcPr>
          <w:p>
            <w:pPr>
              <w:spacing w:after="20" w:before="20" w:line="240" w:lineRule="auto"/>
            </w:pPr>
            <w:r/>
            <w:r>
              <w:rPr>
                <w:rFonts w:ascii="Arial" w:hAnsi="Arial" w:cs="Arial"/>
                <w:b w:val="0"/>
                <w:i w:val="0"/>
                <w:sz w:val="17"/>
              </w:rPr>
              <w:t>Backups</w:t>
            </w:r>
          </w:p>
        </w:tc>
        <w:tc>
          <w:tcPr>
            <w:tcW w:type="dxa" w:w="3213"/>
          </w:tcPr>
          <w:p>
            <w:pPr>
              <w:spacing w:after="20" w:before="20" w:line="240" w:lineRule="auto"/>
            </w:pPr>
            <w:r/>
            <w:r>
              <w:rPr>
                <w:rFonts w:ascii="Arial" w:hAnsi="Arial" w:cs="Arial"/>
                <w:b w:val="0"/>
                <w:i w:val="0"/>
                <w:sz w:val="17"/>
              </w:rPr>
              <w:t>AES256-GCM</w:t>
            </w:r>
          </w:p>
        </w:tc>
        <w:tc>
          <w:tcPr>
            <w:tcW w:type="dxa" w:w="3213"/>
          </w:tcPr>
          <w:p>
            <w:pPr>
              <w:spacing w:after="20" w:before="20" w:line="240" w:lineRule="auto"/>
            </w:pPr>
            <w:r/>
            <w:r>
              <w:rPr>
                <w:rFonts w:ascii="Arial" w:hAnsi="Arial" w:cs="Arial"/>
                <w:b w:val="0"/>
                <w:i w:val="0"/>
                <w:sz w:val="17"/>
              </w:rPr>
              <w:t>Separate key, stored offline</w:t>
            </w:r>
          </w:p>
        </w:tc>
      </w:tr>
      <w:tr>
        <w:tc>
          <w:tcPr>
            <w:tcW w:type="dxa" w:w="3213"/>
          </w:tcPr>
          <w:p>
            <w:pPr>
              <w:spacing w:after="20" w:before="20" w:line="240" w:lineRule="auto"/>
            </w:pPr>
            <w:r/>
            <w:r>
              <w:rPr>
                <w:rFonts w:ascii="Arial" w:hAnsi="Arial" w:cs="Arial"/>
                <w:b w:val="0"/>
                <w:i w:val="0"/>
                <w:sz w:val="17"/>
              </w:rPr>
              <w:t>Secrets</w:t>
            </w:r>
          </w:p>
        </w:tc>
        <w:tc>
          <w:tcPr>
            <w:tcW w:type="dxa" w:w="3213"/>
          </w:tcPr>
          <w:p>
            <w:pPr>
              <w:spacing w:after="20" w:before="20" w:line="240" w:lineRule="auto"/>
            </w:pPr>
            <w:r/>
            <w:r>
              <w:rPr>
                <w:rFonts w:ascii="Arial" w:hAnsi="Arial" w:cs="Arial"/>
                <w:b w:val="0"/>
                <w:i w:val="0"/>
                <w:sz w:val="17"/>
              </w:rPr>
              <w:t>HashiCorp Vault (encrypted)</w:t>
            </w:r>
          </w:p>
        </w:tc>
        <w:tc>
          <w:tcPr>
            <w:tcW w:type="dxa" w:w="3213"/>
          </w:tcPr>
          <w:p>
            <w:pPr>
              <w:spacing w:after="20" w:before="20" w:line="240" w:lineRule="auto"/>
            </w:pPr>
            <w:r/>
            <w:r>
              <w:rPr>
                <w:rFonts w:ascii="Arial" w:hAnsi="Arial" w:cs="Arial"/>
                <w:b w:val="0"/>
                <w:i w:val="0"/>
                <w:sz w:val="17"/>
              </w:rPr>
              <w:t>Unseal keys shared via Shamir (3/5)</w:t>
            </w:r>
          </w:p>
        </w:tc>
      </w:tr>
      <w:tr>
        <w:tc>
          <w:tcPr>
            <w:tcW w:type="dxa" w:w="3213"/>
          </w:tcPr>
          <w:p>
            <w:pPr>
              <w:spacing w:after="20" w:before="20" w:line="240" w:lineRule="auto"/>
            </w:pPr>
            <w:r/>
            <w:r>
              <w:rPr>
                <w:rFonts w:ascii="Arial" w:hAnsi="Arial" w:cs="Arial"/>
                <w:b w:val="0"/>
                <w:i w:val="0"/>
                <w:sz w:val="17"/>
              </w:rPr>
              <w:t>Personal data</w:t>
            </w:r>
          </w:p>
        </w:tc>
        <w:tc>
          <w:tcPr>
            <w:tcW w:type="dxa" w:w="3213"/>
          </w:tcPr>
          <w:p>
            <w:pPr>
              <w:spacing w:after="20" w:before="20" w:line="240" w:lineRule="auto"/>
            </w:pPr>
            <w:r/>
            <w:r>
              <w:rPr>
                <w:rFonts w:ascii="Arial" w:hAnsi="Arial" w:cs="Arial"/>
                <w:b w:val="0"/>
                <w:i w:val="0"/>
                <w:sz w:val="17"/>
              </w:rPr>
              <w:t>Field-level encryption (AES256-GCM)</w:t>
            </w:r>
          </w:p>
        </w:tc>
        <w:tc>
          <w:tcPr>
            <w:tcW w:type="dxa" w:w="3213"/>
          </w:tcPr>
          <w:p>
            <w:pPr>
              <w:spacing w:after="20" w:before="20" w:line="240" w:lineRule="auto"/>
            </w:pPr>
            <w:r/>
            <w:r>
              <w:rPr>
                <w:rFonts w:ascii="Arial" w:hAnsi="Arial" w:cs="Arial"/>
                <w:b w:val="0"/>
                <w:i w:val="0"/>
                <w:sz w:val="17"/>
              </w:rPr>
              <w:t>Tenant-specific keys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21.4.2 Key Types &amp; Rotation</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Key Type</w:t>
            </w:r>
          </w:p>
        </w:tc>
        <w:tc>
          <w:tcPr>
            <w:tcW w:type="dxa" w:w="2409"/>
            <w:shd w:val="clear" w:fill="D9E2F3"/>
          </w:tcPr>
          <w:p>
            <w:pPr>
              <w:spacing w:after="20" w:before="20" w:line="240" w:lineRule="auto"/>
            </w:pPr>
            <w:r/>
            <w:r>
              <w:rPr>
                <w:rFonts w:ascii="Arial" w:hAnsi="Arial" w:cs="Arial"/>
                <w:b/>
                <w:i w:val="0"/>
                <w:sz w:val="18"/>
              </w:rPr>
              <w:t>Storage</w:t>
            </w:r>
          </w:p>
        </w:tc>
        <w:tc>
          <w:tcPr>
            <w:tcW w:type="dxa" w:w="2409"/>
            <w:shd w:val="clear" w:fill="D9E2F3"/>
          </w:tcPr>
          <w:p>
            <w:pPr>
              <w:spacing w:after="20" w:before="20" w:line="240" w:lineRule="auto"/>
            </w:pPr>
            <w:r/>
            <w:r>
              <w:rPr>
                <w:rFonts w:ascii="Arial" w:hAnsi="Arial" w:cs="Arial"/>
                <w:b/>
                <w:i w:val="0"/>
                <w:sz w:val="18"/>
              </w:rPr>
              <w:t>Access</w:t>
            </w:r>
          </w:p>
        </w:tc>
        <w:tc>
          <w:tcPr>
            <w:tcW w:type="dxa" w:w="2409"/>
            <w:shd w:val="clear" w:fill="D9E2F3"/>
          </w:tcPr>
          <w:p>
            <w:pPr>
              <w:spacing w:after="20" w:before="20" w:line="240" w:lineRule="auto"/>
            </w:pPr>
            <w:r/>
            <w:r>
              <w:rPr>
                <w:rFonts w:ascii="Arial" w:hAnsi="Arial" w:cs="Arial"/>
                <w:b/>
                <w:i w:val="0"/>
                <w:sz w:val="18"/>
              </w:rPr>
              <w:t>Rotation</w:t>
            </w:r>
          </w:p>
        </w:tc>
      </w:tr>
      <w:tr>
        <w:tc>
          <w:tcPr>
            <w:tcW w:type="dxa" w:w="2409"/>
          </w:tcPr>
          <w:p>
            <w:pPr>
              <w:spacing w:after="20" w:before="20" w:line="240" w:lineRule="auto"/>
            </w:pPr>
            <w:r/>
            <w:r>
              <w:rPr>
                <w:rFonts w:ascii="Arial" w:hAnsi="Arial" w:cs="Arial"/>
                <w:b w:val="0"/>
                <w:i w:val="0"/>
                <w:sz w:val="17"/>
              </w:rPr>
              <w:t>Platform Ed25519</w:t>
            </w:r>
          </w:p>
        </w:tc>
        <w:tc>
          <w:tcPr>
            <w:tcW w:type="dxa" w:w="2409"/>
          </w:tcPr>
          <w:p>
            <w:pPr>
              <w:spacing w:after="20" w:before="20" w:line="240" w:lineRule="auto"/>
            </w:pPr>
            <w:r/>
            <w:r>
              <w:rPr>
                <w:rFonts w:ascii="Arial" w:hAnsi="Arial" w:cs="Arial"/>
                <w:b w:val="0"/>
                <w:i w:val="0"/>
                <w:sz w:val="17"/>
              </w:rPr>
              <w:t>SoftHSM (Section 15)</w:t>
            </w:r>
          </w:p>
        </w:tc>
        <w:tc>
          <w:tcPr>
            <w:tcW w:type="dxa" w:w="2409"/>
          </w:tcPr>
          <w:p>
            <w:pPr>
              <w:spacing w:after="20" w:before="20" w:line="240" w:lineRule="auto"/>
            </w:pPr>
            <w:r/>
            <w:r>
              <w:rPr>
                <w:rFonts w:ascii="Arial" w:hAnsi="Arial" w:cs="Arial"/>
                <w:b w:val="0"/>
                <w:i w:val="0"/>
                <w:sz w:val="17"/>
              </w:rPr>
              <w:t>Governor only</w:t>
            </w:r>
          </w:p>
        </w:tc>
        <w:tc>
          <w:tcPr>
            <w:tcW w:type="dxa" w:w="2409"/>
          </w:tcPr>
          <w:p>
            <w:pPr>
              <w:spacing w:after="20" w:before="20" w:line="240" w:lineRule="auto"/>
            </w:pPr>
            <w:r/>
            <w:r>
              <w:rPr>
                <w:rFonts w:ascii="Arial" w:hAnsi="Arial" w:cs="Arial"/>
                <w:b w:val="0"/>
                <w:i w:val="0"/>
                <w:sz w:val="17"/>
              </w:rPr>
              <w:t>Annual</w:t>
            </w:r>
          </w:p>
        </w:tc>
      </w:tr>
      <w:tr>
        <w:tc>
          <w:tcPr>
            <w:tcW w:type="dxa" w:w="2409"/>
          </w:tcPr>
          <w:p>
            <w:pPr>
              <w:spacing w:after="20" w:before="20" w:line="240" w:lineRule="auto"/>
            </w:pPr>
            <w:r/>
            <w:r>
              <w:rPr>
                <w:rFonts w:ascii="Arial" w:hAnsi="Arial" w:cs="Arial"/>
                <w:b w:val="0"/>
                <w:i w:val="0"/>
                <w:sz w:val="17"/>
              </w:rPr>
              <w:t>Dilithium3 (PQC)</w:t>
            </w:r>
          </w:p>
        </w:tc>
        <w:tc>
          <w:tcPr>
            <w:tcW w:type="dxa" w:w="2409"/>
          </w:tcPr>
          <w:p>
            <w:pPr>
              <w:spacing w:after="20" w:before="20" w:line="240" w:lineRule="auto"/>
            </w:pPr>
            <w:r/>
            <w:r>
              <w:rPr>
                <w:rFonts w:ascii="Arial" w:hAnsi="Arial" w:cs="Arial"/>
                <w:b w:val="0"/>
                <w:i w:val="0"/>
                <w:sz w:val="17"/>
              </w:rPr>
              <w:t>Offline HSM (Section 22)</w:t>
            </w:r>
          </w:p>
        </w:tc>
        <w:tc>
          <w:tcPr>
            <w:tcW w:type="dxa" w:w="2409"/>
          </w:tcPr>
          <w:p>
            <w:pPr>
              <w:spacing w:after="20" w:before="20" w:line="240" w:lineRule="auto"/>
            </w:pPr>
            <w:r/>
            <w:r>
              <w:rPr>
                <w:rFonts w:ascii="Arial" w:hAnsi="Arial" w:cs="Arial"/>
                <w:b w:val="0"/>
                <w:i w:val="0"/>
                <w:sz w:val="17"/>
              </w:rPr>
              <w:t>Archival service</w:t>
            </w:r>
          </w:p>
        </w:tc>
        <w:tc>
          <w:tcPr>
            <w:tcW w:type="dxa" w:w="2409"/>
          </w:tcPr>
          <w:p>
            <w:pPr>
              <w:spacing w:after="20" w:before="20" w:line="240" w:lineRule="auto"/>
            </w:pPr>
            <w:r/>
            <w:r>
              <w:rPr>
                <w:rFonts w:ascii="Arial" w:hAnsi="Arial" w:cs="Arial"/>
                <w:b w:val="0"/>
                <w:i w:val="0"/>
                <w:sz w:val="17"/>
              </w:rPr>
              <w:t>5 years</w:t>
            </w:r>
          </w:p>
        </w:tc>
      </w:tr>
      <w:tr>
        <w:tc>
          <w:tcPr>
            <w:tcW w:type="dxa" w:w="2409"/>
          </w:tcPr>
          <w:p>
            <w:pPr>
              <w:spacing w:after="20" w:before="20" w:line="240" w:lineRule="auto"/>
            </w:pPr>
            <w:r/>
            <w:r>
              <w:rPr>
                <w:rFonts w:ascii="Arial" w:hAnsi="Arial" w:cs="Arial"/>
                <w:b w:val="0"/>
                <w:i w:val="0"/>
                <w:sz w:val="17"/>
              </w:rPr>
              <w:t>Tenant keys</w:t>
            </w:r>
          </w:p>
        </w:tc>
        <w:tc>
          <w:tcPr>
            <w:tcW w:type="dxa" w:w="2409"/>
          </w:tcPr>
          <w:p>
            <w:pPr>
              <w:spacing w:after="20" w:before="20" w:line="240" w:lineRule="auto"/>
            </w:pPr>
            <w:r/>
            <w:r>
              <w:rPr>
                <w:rFonts w:ascii="Arial" w:hAnsi="Arial" w:cs="Arial"/>
                <w:b w:val="0"/>
                <w:i w:val="0"/>
                <w:sz w:val="17"/>
              </w:rPr>
              <w:t>Tenant-specific, encrypted</w:t>
            </w:r>
          </w:p>
        </w:tc>
        <w:tc>
          <w:tcPr>
            <w:tcW w:type="dxa" w:w="2409"/>
          </w:tcPr>
          <w:p>
            <w:pPr>
              <w:spacing w:after="20" w:before="20" w:line="240" w:lineRule="auto"/>
            </w:pPr>
            <w:r/>
            <w:r>
              <w:rPr>
                <w:rFonts w:ascii="Arial" w:hAnsi="Arial" w:cs="Arial"/>
                <w:b w:val="0"/>
                <w:i w:val="0"/>
                <w:sz w:val="17"/>
              </w:rPr>
              <w:t>ZITADEL</w:t>
            </w:r>
          </w:p>
        </w:tc>
        <w:tc>
          <w:tcPr>
            <w:tcW w:type="dxa" w:w="2409"/>
          </w:tcPr>
          <w:p>
            <w:pPr>
              <w:spacing w:after="20" w:before="20" w:line="240" w:lineRule="auto"/>
            </w:pPr>
            <w:r/>
            <w:r>
              <w:rPr>
                <w:rFonts w:ascii="Arial" w:hAnsi="Arial" w:cs="Arial"/>
                <w:b w:val="0"/>
                <w:i w:val="0"/>
                <w:sz w:val="17"/>
              </w:rPr>
              <w:t>On tenant request</w:t>
            </w:r>
          </w:p>
        </w:tc>
      </w:tr>
      <w:tr>
        <w:tc>
          <w:tcPr>
            <w:tcW w:type="dxa" w:w="2409"/>
          </w:tcPr>
          <w:p>
            <w:pPr>
              <w:spacing w:after="20" w:before="20" w:line="240" w:lineRule="auto"/>
            </w:pPr>
            <w:r/>
            <w:r>
              <w:rPr>
                <w:rFonts w:ascii="Arial" w:hAnsi="Arial" w:cs="Arial"/>
                <w:b w:val="0"/>
                <w:i w:val="0"/>
                <w:sz w:val="17"/>
              </w:rPr>
              <w:t>Bank API credentials</w:t>
            </w:r>
          </w:p>
        </w:tc>
        <w:tc>
          <w:tcPr>
            <w:tcW w:type="dxa" w:w="2409"/>
          </w:tcPr>
          <w:p>
            <w:pPr>
              <w:spacing w:after="20" w:before="20" w:line="240" w:lineRule="auto"/>
            </w:pPr>
            <w:r/>
            <w:r>
              <w:rPr>
                <w:rFonts w:ascii="Arial" w:hAnsi="Arial" w:cs="Arial"/>
                <w:b w:val="0"/>
                <w:i w:val="0"/>
                <w:sz w:val="17"/>
              </w:rPr>
              <w:t>Encrypted at rest</w:t>
            </w:r>
          </w:p>
        </w:tc>
        <w:tc>
          <w:tcPr>
            <w:tcW w:type="dxa" w:w="2409"/>
          </w:tcPr>
          <w:p>
            <w:pPr>
              <w:spacing w:after="20" w:before="20" w:line="240" w:lineRule="auto"/>
            </w:pPr>
            <w:r/>
            <w:r>
              <w:rPr>
                <w:rFonts w:ascii="Arial" w:hAnsi="Arial" w:cs="Arial"/>
                <w:b w:val="0"/>
                <w:i w:val="0"/>
                <w:sz w:val="17"/>
              </w:rPr>
              <w:t>Bank Settlement Gateway</w:t>
            </w:r>
          </w:p>
        </w:tc>
        <w:tc>
          <w:tcPr>
            <w:tcW w:type="dxa" w:w="2409"/>
          </w:tcPr>
          <w:p>
            <w:pPr>
              <w:spacing w:after="20" w:before="20" w:line="240" w:lineRule="auto"/>
            </w:pPr>
            <w:r/>
            <w:r>
              <w:rPr>
                <w:rFonts w:ascii="Arial" w:hAnsi="Arial" w:cs="Arial"/>
                <w:b w:val="0"/>
                <w:i w:val="0"/>
                <w:sz w:val="17"/>
              </w:rPr>
              <w:t>90 days</w:t>
            </w:r>
          </w:p>
        </w:tc>
      </w:tr>
      <w:tr>
        <w:tc>
          <w:tcPr>
            <w:tcW w:type="dxa" w:w="2409"/>
          </w:tcPr>
          <w:p>
            <w:pPr>
              <w:spacing w:after="20" w:before="20" w:line="240" w:lineRule="auto"/>
            </w:pPr>
            <w:r/>
            <w:r>
              <w:rPr>
                <w:rFonts w:ascii="Arial" w:hAnsi="Arial" w:cs="Arial"/>
                <w:b w:val="0"/>
                <w:i w:val="0"/>
                <w:sz w:val="17"/>
              </w:rPr>
              <w:t>HSM unseal keys</w:t>
            </w:r>
          </w:p>
        </w:tc>
        <w:tc>
          <w:tcPr>
            <w:tcW w:type="dxa" w:w="2409"/>
          </w:tcPr>
          <w:p>
            <w:pPr>
              <w:spacing w:after="20" w:before="20" w:line="240" w:lineRule="auto"/>
            </w:pPr>
            <w:r/>
            <w:r>
              <w:rPr>
                <w:rFonts w:ascii="Arial" w:hAnsi="Arial" w:cs="Arial"/>
                <w:b w:val="0"/>
                <w:i w:val="0"/>
                <w:sz w:val="17"/>
              </w:rPr>
              <w:t>Shamir Secret Sharing (3/5)</w:t>
            </w:r>
          </w:p>
        </w:tc>
        <w:tc>
          <w:tcPr>
            <w:tcW w:type="dxa" w:w="2409"/>
          </w:tcPr>
          <w:p>
            <w:pPr>
              <w:spacing w:after="20" w:before="20" w:line="240" w:lineRule="auto"/>
            </w:pPr>
            <w:r/>
            <w:r>
              <w:rPr>
                <w:rFonts w:ascii="Arial" w:hAnsi="Arial" w:cs="Arial"/>
                <w:b w:val="0"/>
                <w:i w:val="0"/>
                <w:sz w:val="17"/>
              </w:rPr>
              <w:t>Platform Authority</w:t>
            </w:r>
          </w:p>
        </w:tc>
        <w:tc>
          <w:tcPr>
            <w:tcW w:type="dxa" w:w="2409"/>
          </w:tcPr>
          <w:p>
            <w:pPr>
              <w:spacing w:after="20" w:before="20" w:line="240" w:lineRule="auto"/>
            </w:pPr>
            <w:r/>
            <w:r>
              <w:rPr>
                <w:rFonts w:ascii="Arial" w:hAnsi="Arial" w:cs="Arial"/>
                <w:b w:val="0"/>
                <w:i w:val="0"/>
                <w:sz w:val="17"/>
              </w:rPr>
              <w:t>On member change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21.4.3 Secrets Rotation &amp; Vault</w:t>
      </w:r>
    </w:p>
    <w:p>
      <w:pPr>
        <w:spacing w:after="80" w:line="293" w:lineRule="auto"/>
        <w:jc w:val="left"/>
      </w:pPr>
      <w:r>
        <w:rPr>
          <w:rFonts w:ascii="Times New Roman" w:hAnsi="Times New Roman" w:cs="Times New Roman"/>
          <w:b w:val="0"/>
          <w:i w:val="0"/>
          <w:sz w:val="22"/>
        </w:rPr>
        <w:t>Secrets are rotated every 90 days using Ansible and the self-hosted HashiCorp Vault. Vault unseal keys are shared via Shamir Secret Sharing with a 3-of-5 threshold held by the Platform Authority; no single administrator can unseal the Vault. All secrets are encrypted at rest (AES256-GCM), API keys are hashed (bcrypt), and secrets never appear in logs. A database dump therefore reveals only encrypted blobs.</w:t>
      </w:r>
    </w:p>
    <w:p>
      <w:pPr>
        <w:keepNext/>
        <w:spacing w:before="180" w:after="80"/>
        <w:outlineLvl w:val="2"/>
      </w:pPr>
      <w:r>
        <w:rPr>
          <w:rFonts w:ascii="Arial" w:hAnsi="Arial" w:cs="Arial"/>
          <w:b/>
          <w:i w:val="0"/>
          <w:color w:val="333333"/>
          <w:sz w:val="23"/>
        </w:rPr>
        <w:t>21.4.4 Data Encryption &amp; Field-Level Protection</w:t>
      </w:r>
    </w:p>
    <w:p>
      <w:pPr>
        <w:spacing w:after="80" w:line="293" w:lineRule="auto"/>
        <w:jc w:val="left"/>
      </w:pPr>
      <w:r>
        <w:rPr>
          <w:rFonts w:ascii="Times New Roman" w:hAnsi="Times New Roman" w:cs="Times New Roman"/>
          <w:b w:val="0"/>
          <w:i w:val="0"/>
          <w:sz w:val="22"/>
        </w:rPr>
        <w:t>Data in transit is protected with TLS 1.3, mutual TLS (mTLS) for internal service-to-service calls. Data at rest is protected with AES256. Personal data receives field-level encryption (AES256-GCM) with tenant-specific keys. Digital seals and channel credentials are managed in the certificates table with types E_SEAL, TLS_CLIENT, and TLS_SERVER, with private keys stored in SoftHSM (see Section 17).</w:t>
      </w:r>
    </w:p>
    <w:p>
      <w:pPr>
        <w:keepNext/>
        <w:spacing w:before="180" w:after="80"/>
        <w:outlineLvl w:val="2"/>
      </w:pPr>
      <w:r>
        <w:rPr>
          <w:rFonts w:ascii="Arial" w:hAnsi="Arial" w:cs="Arial"/>
          <w:b/>
          <w:i w:val="0"/>
          <w:color w:val="333333"/>
          <w:sz w:val="23"/>
        </w:rPr>
        <w:t>21.4.5 Post-Quantum Cryptography</w:t>
      </w:r>
    </w:p>
    <w:p>
      <w:pPr>
        <w:spacing w:after="80" w:line="293" w:lineRule="auto"/>
        <w:jc w:val="left"/>
      </w:pPr>
      <w:r>
        <w:rPr>
          <w:rFonts w:ascii="Times New Roman" w:hAnsi="Times New Roman" w:cs="Times New Roman"/>
          <w:b w:val="0"/>
          <w:i w:val="0"/>
          <w:sz w:val="22"/>
        </w:rPr>
        <w:t>Long-term identity and contract records are archived with post-quantum signatures: Dilithium3 keys are held in an offline HSM, accessed only by the archival service, and rotated every 5 years. Zero-knowledge proofs (confidential terms and private settlement) are generated and verified with Plonky3, whose lightweight verification keeps the routing decision under the ZK Proof Verification SLA of 99.99% and ≤100 ms (Section 21.8.3). Post-quantum cryptography for all long-term identity and contract records is a standing roadmap commitment of the platform (see Section 24).</w:t>
      </w:r>
    </w:p>
    <w:p>
      <w:pPr>
        <w:keepNext/>
        <w:spacing w:before="240" w:after="100"/>
        <w:outlineLvl w:val="1"/>
      </w:pPr>
      <w:r>
        <w:rPr>
          <w:rFonts w:ascii="Arial" w:hAnsi="Arial" w:cs="Arial"/>
          <w:b/>
          <w:i w:val="0"/>
          <w:color w:val="2E528F"/>
          <w:sz w:val="26"/>
        </w:rPr>
        <w:t>21.5 Incident Response &amp; Forensics</w:t>
      </w:r>
    </w:p>
    <w:p>
      <w:pPr>
        <w:keepNext/>
        <w:spacing w:before="180" w:after="80"/>
        <w:outlineLvl w:val="2"/>
      </w:pPr>
      <w:r>
        <w:rPr>
          <w:rFonts w:ascii="Arial" w:hAnsi="Arial" w:cs="Arial"/>
          <w:b/>
          <w:i w:val="0"/>
          <w:color w:val="333333"/>
          <w:sz w:val="23"/>
        </w:rPr>
        <w:t>21.5.1 Incident Severity Levels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Level</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Response</w:t>
            </w:r>
          </w:p>
        </w:tc>
      </w:tr>
      <w:tr>
        <w:tc>
          <w:tcPr>
            <w:tcW w:type="dxa" w:w="3213"/>
          </w:tcPr>
          <w:p>
            <w:pPr>
              <w:spacing w:after="20" w:before="20" w:line="240" w:lineRule="auto"/>
            </w:pPr>
            <w:r/>
            <w:r>
              <w:rPr>
                <w:rFonts w:ascii="Arial" w:hAnsi="Arial" w:cs="Arial"/>
                <w:b w:val="0"/>
                <w:i w:val="0"/>
                <w:sz w:val="17"/>
              </w:rPr>
              <w:t>P0 (Critical)</w:t>
            </w:r>
          </w:p>
        </w:tc>
        <w:tc>
          <w:tcPr>
            <w:tcW w:type="dxa" w:w="3213"/>
          </w:tcPr>
          <w:p>
            <w:pPr>
              <w:spacing w:after="20" w:before="20" w:line="240" w:lineRule="auto"/>
            </w:pPr>
            <w:r/>
            <w:r>
              <w:rPr>
                <w:rFonts w:ascii="Arial" w:hAnsi="Arial" w:cs="Arial"/>
                <w:b w:val="0"/>
                <w:i w:val="0"/>
                <w:sz w:val="17"/>
              </w:rPr>
              <w:t>Data loss, widespread service outage, breach of FeeLock integrity, constitutional/Loom integrity breach</w:t>
            </w:r>
          </w:p>
        </w:tc>
        <w:tc>
          <w:tcPr>
            <w:tcW w:type="dxa" w:w="3213"/>
          </w:tcPr>
          <w:p>
            <w:pPr>
              <w:spacing w:after="20" w:before="20" w:line="240" w:lineRule="auto"/>
            </w:pPr>
            <w:r/>
            <w:r>
              <w:rPr>
                <w:rFonts w:ascii="Arial" w:hAnsi="Arial" w:cs="Arial"/>
                <w:b w:val="0"/>
                <w:i w:val="0"/>
                <w:sz w:val="17"/>
              </w:rPr>
              <w:t>Auto-escalate to Platform Governance Authority, freeze new trades, notify CBE; full month refund if audit integrity is breached</w:t>
            </w:r>
          </w:p>
        </w:tc>
      </w:tr>
      <w:tr>
        <w:tc>
          <w:tcPr>
            <w:tcW w:type="dxa" w:w="3213"/>
          </w:tcPr>
          <w:p>
            <w:pPr>
              <w:spacing w:after="20" w:before="20" w:line="240" w:lineRule="auto"/>
            </w:pPr>
            <w:r/>
            <w:r>
              <w:rPr>
                <w:rFonts w:ascii="Arial" w:hAnsi="Arial" w:cs="Arial"/>
                <w:b w:val="0"/>
                <w:i w:val="0"/>
                <w:sz w:val="17"/>
              </w:rPr>
              <w:t>P1 (High)</w:t>
            </w:r>
          </w:p>
        </w:tc>
        <w:tc>
          <w:tcPr>
            <w:tcW w:type="dxa" w:w="3213"/>
          </w:tcPr>
          <w:p>
            <w:pPr>
              <w:spacing w:after="20" w:before="20" w:line="240" w:lineRule="auto"/>
            </w:pPr>
            <w:r/>
            <w:r>
              <w:rPr>
                <w:rFonts w:ascii="Arial" w:hAnsi="Arial" w:cs="Arial"/>
                <w:b w:val="0"/>
                <w:i w:val="0"/>
                <w:sz w:val="17"/>
              </w:rPr>
              <w:t>Partial service degradation, isolated data leak, successful phishing attempt</w:t>
            </w:r>
          </w:p>
        </w:tc>
        <w:tc>
          <w:tcPr>
            <w:tcW w:type="dxa" w:w="3213"/>
          </w:tcPr>
          <w:p>
            <w:pPr>
              <w:spacing w:after="20" w:before="20" w:line="240" w:lineRule="auto"/>
            </w:pPr>
            <w:r/>
            <w:r>
              <w:rPr>
                <w:rFonts w:ascii="Arial" w:hAnsi="Arial" w:cs="Arial"/>
                <w:b w:val="0"/>
                <w:i w:val="0"/>
                <w:sz w:val="17"/>
              </w:rPr>
              <w:t>On-call engineer within 15 min</w:t>
            </w:r>
          </w:p>
        </w:tc>
      </w:tr>
      <w:tr>
        <w:tc>
          <w:tcPr>
            <w:tcW w:type="dxa" w:w="3213"/>
          </w:tcPr>
          <w:p>
            <w:pPr>
              <w:spacing w:after="20" w:before="20" w:line="240" w:lineRule="auto"/>
            </w:pPr>
            <w:r/>
            <w:r>
              <w:rPr>
                <w:rFonts w:ascii="Arial" w:hAnsi="Arial" w:cs="Arial"/>
                <w:b w:val="0"/>
                <w:i w:val="0"/>
                <w:sz w:val="17"/>
              </w:rPr>
              <w:t>P2 (Medium)</w:t>
            </w:r>
          </w:p>
        </w:tc>
        <w:tc>
          <w:tcPr>
            <w:tcW w:type="dxa" w:w="3213"/>
          </w:tcPr>
          <w:p>
            <w:pPr>
              <w:spacing w:after="20" w:before="20" w:line="240" w:lineRule="auto"/>
            </w:pPr>
            <w:r/>
            <w:r>
              <w:rPr>
                <w:rFonts w:ascii="Arial" w:hAnsi="Arial" w:cs="Arial"/>
                <w:b w:val="0"/>
                <w:i w:val="0"/>
                <w:sz w:val="17"/>
              </w:rPr>
              <w:t>Non-critical service degradation, scan finding with low exploitability</w:t>
            </w:r>
          </w:p>
        </w:tc>
        <w:tc>
          <w:tcPr>
            <w:tcW w:type="dxa" w:w="3213"/>
          </w:tcPr>
          <w:p>
            <w:pPr>
              <w:spacing w:after="20" w:before="20" w:line="240" w:lineRule="auto"/>
            </w:pPr>
            <w:r/>
            <w:r>
              <w:rPr>
                <w:rFonts w:ascii="Arial" w:hAnsi="Arial" w:cs="Arial"/>
                <w:b w:val="0"/>
                <w:i w:val="0"/>
                <w:sz w:val="17"/>
              </w:rPr>
              <w:t>Next business day</w:t>
            </w:r>
          </w:p>
        </w:tc>
      </w:tr>
      <w:tr>
        <w:tc>
          <w:tcPr>
            <w:tcW w:type="dxa" w:w="3213"/>
          </w:tcPr>
          <w:p>
            <w:pPr>
              <w:spacing w:after="20" w:before="20" w:line="240" w:lineRule="auto"/>
            </w:pPr>
            <w:r/>
            <w:r>
              <w:rPr>
                <w:rFonts w:ascii="Arial" w:hAnsi="Arial" w:cs="Arial"/>
                <w:b w:val="0"/>
                <w:i w:val="0"/>
                <w:sz w:val="17"/>
              </w:rPr>
              <w:t>P3 (Low)</w:t>
            </w:r>
          </w:p>
        </w:tc>
        <w:tc>
          <w:tcPr>
            <w:tcW w:type="dxa" w:w="3213"/>
          </w:tcPr>
          <w:p>
            <w:pPr>
              <w:spacing w:after="20" w:before="20" w:line="240" w:lineRule="auto"/>
            </w:pPr>
            <w:r/>
            <w:r>
              <w:rPr>
                <w:rFonts w:ascii="Arial" w:hAnsi="Arial" w:cs="Arial"/>
                <w:b w:val="0"/>
                <w:i w:val="0"/>
                <w:sz w:val="17"/>
              </w:rPr>
              <w:t>Informational findings, best-practice violations</w:t>
            </w:r>
          </w:p>
        </w:tc>
        <w:tc>
          <w:tcPr>
            <w:tcW w:type="dxa" w:w="3213"/>
          </w:tcPr>
          <w:p>
            <w:pPr>
              <w:spacing w:after="20" w:before="20" w:line="240" w:lineRule="auto"/>
            </w:pPr>
            <w:r/>
            <w:r>
              <w:rPr>
                <w:rFonts w:ascii="Arial" w:hAnsi="Arial" w:cs="Arial"/>
                <w:b w:val="0"/>
                <w:i w:val="0"/>
                <w:sz w:val="17"/>
              </w:rPr>
              <w:t>Next sprint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incident receives an AI-assisted (advisory) post-mortem published to the governance authority.</w:t>
      </w:r>
    </w:p>
    <w:p>
      <w:pPr>
        <w:keepNext/>
        <w:spacing w:before="180" w:after="80"/>
        <w:outlineLvl w:val="2"/>
      </w:pPr>
      <w:r>
        <w:rPr>
          <w:rFonts w:ascii="Arial" w:hAnsi="Arial" w:cs="Arial"/>
          <w:b/>
          <w:i w:val="0"/>
          <w:color w:val="333333"/>
          <w:sz w:val="23"/>
        </w:rPr>
        <w:t>21.5.2 Incident Response Steps (Automated with AI Assistance)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Step</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AI Assistance</w:t>
            </w:r>
          </w:p>
        </w:tc>
      </w:tr>
      <w:tr>
        <w:tc>
          <w:tcPr>
            <w:tcW w:type="dxa" w:w="3213"/>
          </w:tcPr>
          <w:p>
            <w:pPr>
              <w:spacing w:after="20" w:before="20" w:line="240" w:lineRule="auto"/>
            </w:pPr>
            <w:r/>
            <w:r>
              <w:rPr>
                <w:rFonts w:ascii="Arial" w:hAnsi="Arial" w:cs="Arial"/>
                <w:b w:val="0"/>
                <w:i w:val="0"/>
                <w:sz w:val="17"/>
              </w:rPr>
              <w:t>1. Detection</w:t>
            </w:r>
          </w:p>
        </w:tc>
        <w:tc>
          <w:tcPr>
            <w:tcW w:type="dxa" w:w="3213"/>
          </w:tcPr>
          <w:p>
            <w:pPr>
              <w:spacing w:after="20" w:before="20" w:line="240" w:lineRule="auto"/>
            </w:pPr>
            <w:r/>
            <w:r>
              <w:rPr>
                <w:rFonts w:ascii="Arial" w:hAnsi="Arial" w:cs="Arial"/>
                <w:b w:val="0"/>
                <w:i w:val="0"/>
                <w:sz w:val="17"/>
              </w:rPr>
              <w:t>Prometheus Alertmanager triggers alert; incident-detector (Rig) creates an incident record</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2. Containment</w:t>
            </w:r>
          </w:p>
        </w:tc>
        <w:tc>
          <w:tcPr>
            <w:tcW w:type="dxa" w:w="3213"/>
          </w:tcPr>
          <w:p>
            <w:pPr>
              <w:spacing w:after="20" w:before="20" w:line="240" w:lineRule="auto"/>
            </w:pPr>
            <w:r/>
            <w:r>
              <w:rPr>
                <w:rFonts w:ascii="Arial" w:hAnsi="Arial" w:cs="Arial"/>
                <w:b w:val="0"/>
                <w:i w:val="0"/>
                <w:sz w:val="17"/>
              </w:rPr>
              <w:t>If P0, Governor automatically blocks new trade creation and freezes FeeLock (requires human override to reverse). For conditional QC holds, escalates if action plan deadline missed</w:t>
            </w:r>
          </w:p>
        </w:tc>
        <w:tc>
          <w:tcPr>
            <w:tcW w:type="dxa" w:w="3213"/>
          </w:tcPr>
          <w:p>
            <w:pPr>
              <w:spacing w:after="20" w:before="20" w:line="240" w:lineRule="auto"/>
            </w:pPr>
            <w:r/>
            <w:r>
              <w:rPr>
                <w:rFonts w:ascii="Arial" w:hAnsi="Arial" w:cs="Arial"/>
                <w:b w:val="0"/>
                <w:i w:val="0"/>
                <w:sz w:val="17"/>
              </w:rPr>
              <w:t>A4 (Governor)</w:t>
            </w:r>
          </w:p>
        </w:tc>
      </w:tr>
      <w:tr>
        <w:tc>
          <w:tcPr>
            <w:tcW w:type="dxa" w:w="3213"/>
          </w:tcPr>
          <w:p>
            <w:pPr>
              <w:spacing w:after="20" w:before="20" w:line="240" w:lineRule="auto"/>
            </w:pPr>
            <w:r/>
            <w:r>
              <w:rPr>
                <w:rFonts w:ascii="Arial" w:hAnsi="Arial" w:cs="Arial"/>
                <w:b w:val="0"/>
                <w:i w:val="0"/>
                <w:sz w:val="17"/>
              </w:rPr>
              <w:t>3. Analysis</w:t>
            </w:r>
          </w:p>
        </w:tc>
        <w:tc>
          <w:tcPr>
            <w:tcW w:type="dxa" w:w="3213"/>
          </w:tcPr>
          <w:p>
            <w:pPr>
              <w:spacing w:after="20" w:before="20" w:line="240" w:lineRule="auto"/>
            </w:pPr>
            <w:r/>
            <w:r>
              <w:rPr>
                <w:rFonts w:ascii="Arial" w:hAnsi="Arial" w:cs="Arial"/>
                <w:b w:val="0"/>
                <w:i w:val="0"/>
                <w:sz w:val="17"/>
              </w:rPr>
              <w:t>AI (Groq) correlates logs (Loki), metrics (Prometheus), and traces (Jaeger) to produce preliminary root-cause summary</w:t>
            </w:r>
          </w:p>
        </w:tc>
        <w:tc>
          <w:tcPr>
            <w:tcW w:type="dxa" w:w="3213"/>
          </w:tcPr>
          <w:p>
            <w:pPr>
              <w:spacing w:after="20" w:before="20" w:line="240" w:lineRule="auto"/>
            </w:pPr>
            <w:r/>
            <w:r>
              <w:rPr>
                <w:rFonts w:ascii="Arial" w:hAnsi="Arial" w:cs="Arial"/>
                <w:b w:val="0"/>
                <w:i w:val="0"/>
                <w:sz w:val="17"/>
              </w:rPr>
              <w:t>A1 (Groq)</w:t>
            </w:r>
          </w:p>
        </w:tc>
      </w:tr>
      <w:tr>
        <w:tc>
          <w:tcPr>
            <w:tcW w:type="dxa" w:w="3213"/>
          </w:tcPr>
          <w:p>
            <w:pPr>
              <w:spacing w:after="20" w:before="20" w:line="240" w:lineRule="auto"/>
            </w:pPr>
            <w:r/>
            <w:r>
              <w:rPr>
                <w:rFonts w:ascii="Arial" w:hAnsi="Arial" w:cs="Arial"/>
                <w:b w:val="0"/>
                <w:i w:val="0"/>
                <w:sz w:val="17"/>
              </w:rPr>
              <w:t>4. Eradication</w:t>
            </w:r>
          </w:p>
        </w:tc>
        <w:tc>
          <w:tcPr>
            <w:tcW w:type="dxa" w:w="3213"/>
          </w:tcPr>
          <w:p>
            <w:pPr>
              <w:spacing w:after="20" w:before="20" w:line="240" w:lineRule="auto"/>
            </w:pPr>
            <w:r/>
            <w:r>
              <w:rPr>
                <w:rFonts w:ascii="Arial" w:hAnsi="Arial" w:cs="Arial"/>
                <w:b w:val="0"/>
                <w:i w:val="0"/>
                <w:sz w:val="17"/>
              </w:rPr>
              <w:t>Playbook: apply patch, revoke compromised keys, scale resources</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5. Recovery</w:t>
            </w:r>
          </w:p>
        </w:tc>
        <w:tc>
          <w:tcPr>
            <w:tcW w:type="dxa" w:w="3213"/>
          </w:tcPr>
          <w:p>
            <w:pPr>
              <w:spacing w:after="20" w:before="20" w:line="240" w:lineRule="auto"/>
            </w:pPr>
            <w:r/>
            <w:r>
              <w:rPr>
                <w:rFonts w:ascii="Arial" w:hAnsi="Arial" w:cs="Arial"/>
                <w:b w:val="0"/>
                <w:i w:val="0"/>
                <w:sz w:val="17"/>
              </w:rPr>
              <w:t>Restore from WAL / replica, verify Loom chain</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6. Post-mortem</w:t>
            </w:r>
          </w:p>
        </w:tc>
        <w:tc>
          <w:tcPr>
            <w:tcW w:type="dxa" w:w="3213"/>
          </w:tcPr>
          <w:p>
            <w:pPr>
              <w:spacing w:after="20" w:before="20" w:line="240" w:lineRule="auto"/>
            </w:pPr>
            <w:r/>
            <w:r>
              <w:rPr>
                <w:rFonts w:ascii="Arial" w:hAnsi="Arial" w:cs="Arial"/>
                <w:b w:val="0"/>
                <w:i w:val="0"/>
                <w:sz w:val="17"/>
              </w:rPr>
              <w:t>post-mortem-generator (Groq) drafts a report; Platform Governance Authority reviews and publishes (anonymised)</w:t>
            </w:r>
          </w:p>
        </w:tc>
        <w:tc>
          <w:tcPr>
            <w:tcW w:type="dxa" w:w="3213"/>
          </w:tcPr>
          <w:p>
            <w:pPr>
              <w:spacing w:after="20" w:before="20" w:line="240" w:lineRule="auto"/>
            </w:pPr>
            <w:r/>
            <w:r>
              <w:rPr>
                <w:rFonts w:ascii="Arial" w:hAnsi="Arial" w:cs="Arial"/>
                <w:b w:val="0"/>
                <w:i w:val="0"/>
                <w:sz w:val="17"/>
              </w:rPr>
              <w:t>A1 (Groq)</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21.5.3 Incident-Response SLAs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Step</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SLA</w:t>
            </w:r>
          </w:p>
        </w:tc>
      </w:tr>
      <w:tr>
        <w:tc>
          <w:tcPr>
            <w:tcW w:type="dxa" w:w="3213"/>
          </w:tcPr>
          <w:p>
            <w:pPr>
              <w:spacing w:after="20" w:before="20" w:line="240" w:lineRule="auto"/>
            </w:pPr>
            <w:r/>
            <w:r>
              <w:rPr>
                <w:rFonts w:ascii="Arial" w:hAnsi="Arial" w:cs="Arial"/>
                <w:b w:val="0"/>
                <w:i w:val="0"/>
                <w:sz w:val="17"/>
              </w:rPr>
              <w:t>1. Detection</w:t>
            </w:r>
          </w:p>
        </w:tc>
        <w:tc>
          <w:tcPr>
            <w:tcW w:type="dxa" w:w="3213"/>
          </w:tcPr>
          <w:p>
            <w:pPr>
              <w:spacing w:after="20" w:before="20" w:line="240" w:lineRule="auto"/>
            </w:pPr>
            <w:r/>
            <w:r>
              <w:rPr>
                <w:rFonts w:ascii="Arial" w:hAnsi="Arial" w:cs="Arial"/>
                <w:b w:val="0"/>
                <w:i w:val="0"/>
                <w:sz w:val="17"/>
              </w:rPr>
              <w:t>Prometheus Alertmanager detects SLA breach (e.g., Governor 5xx &gt;60 sec) → triggers alert to on-call engineer via push notification (Ntfy) and self-hosted webhook. AIOps agent (A2) attempts automated remediation (e.g., cordoning failing node, scaling replicas)</w:t>
            </w:r>
          </w:p>
        </w:tc>
        <w:tc>
          <w:tcPr>
            <w:tcW w:type="dxa" w:w="3213"/>
          </w:tcPr>
          <w:p>
            <w:pPr>
              <w:spacing w:after="20" w:before="20" w:line="240" w:lineRule="auto"/>
            </w:pPr>
            <w:r/>
            <w:r>
              <w:rPr>
                <w:rFonts w:ascii="Arial" w:hAnsi="Arial" w:cs="Arial"/>
                <w:b w:val="0"/>
                <w:i w:val="0"/>
                <w:sz w:val="17"/>
              </w:rPr>
              <w:t>&lt;5 min</w:t>
            </w:r>
          </w:p>
        </w:tc>
      </w:tr>
      <w:tr>
        <w:tc>
          <w:tcPr>
            <w:tcW w:type="dxa" w:w="3213"/>
          </w:tcPr>
          <w:p>
            <w:pPr>
              <w:spacing w:after="20" w:before="20" w:line="240" w:lineRule="auto"/>
            </w:pPr>
            <w:r/>
            <w:r>
              <w:rPr>
                <w:rFonts w:ascii="Arial" w:hAnsi="Arial" w:cs="Arial"/>
                <w:b w:val="0"/>
                <w:i w:val="0"/>
                <w:sz w:val="17"/>
              </w:rPr>
              <w:t>2. Triage</w:t>
            </w:r>
          </w:p>
        </w:tc>
        <w:tc>
          <w:tcPr>
            <w:tcW w:type="dxa" w:w="3213"/>
          </w:tcPr>
          <w:p>
            <w:pPr>
              <w:spacing w:after="20" w:before="20" w:line="240" w:lineRule="auto"/>
            </w:pPr>
            <w:r/>
            <w:r>
              <w:rPr>
                <w:rFonts w:ascii="Arial" w:hAnsi="Arial" w:cs="Arial"/>
                <w:b w:val="0"/>
                <w:i w:val="0"/>
                <w:sz w:val="17"/>
              </w:rPr>
              <w:t>On-call engineer acknowledges within 5 min. Incident logged in incidents table with unique ID, start time, severity. If automated remediation fails or incident persists &gt;10 min, engineer escalates to Platform Governance Authority via Smart Inbox critical alert</w:t>
            </w:r>
          </w:p>
        </w:tc>
        <w:tc>
          <w:tcPr>
            <w:tcW w:type="dxa" w:w="3213"/>
          </w:tcPr>
          <w:p>
            <w:pPr>
              <w:spacing w:after="20" w:before="20" w:line="240" w:lineRule="auto"/>
            </w:pPr>
            <w:r/>
            <w:r>
              <w:rPr>
                <w:rFonts w:ascii="Arial" w:hAnsi="Arial" w:cs="Arial"/>
                <w:b w:val="0"/>
                <w:i w:val="0"/>
                <w:sz w:val="17"/>
              </w:rPr>
              <w:t>&lt;15 min</w:t>
            </w:r>
          </w:p>
        </w:tc>
      </w:tr>
      <w:tr>
        <w:tc>
          <w:tcPr>
            <w:tcW w:type="dxa" w:w="3213"/>
          </w:tcPr>
          <w:p>
            <w:pPr>
              <w:spacing w:after="20" w:before="20" w:line="240" w:lineRule="auto"/>
            </w:pPr>
            <w:r/>
            <w:r>
              <w:rPr>
                <w:rFonts w:ascii="Arial" w:hAnsi="Arial" w:cs="Arial"/>
                <w:b w:val="0"/>
                <w:i w:val="0"/>
                <w:sz w:val="17"/>
              </w:rPr>
              <w:t>3. Resolution</w:t>
            </w:r>
          </w:p>
        </w:tc>
        <w:tc>
          <w:tcPr>
            <w:tcW w:type="dxa" w:w="3213"/>
          </w:tcPr>
          <w:p>
            <w:pPr>
              <w:spacing w:after="20" w:before="20" w:line="240" w:lineRule="auto"/>
            </w:pPr>
            <w:r/>
            <w:r>
              <w:rPr>
                <w:rFonts w:ascii="Arial" w:hAnsi="Arial" w:cs="Arial"/>
                <w:b w:val="0"/>
                <w:i w:val="0"/>
                <w:sz w:val="17"/>
              </w:rPr>
              <w:t>Root cause fixed; incident end_time set</w:t>
            </w:r>
          </w:p>
        </w:tc>
        <w:tc>
          <w:tcPr>
            <w:tcW w:type="dxa" w:w="3213"/>
          </w:tcPr>
          <w:p>
            <w:pPr>
              <w:spacing w:after="20" w:before="20" w:line="240" w:lineRule="auto"/>
            </w:pPr>
            <w:r/>
            <w:r>
              <w:rPr>
                <w:rFonts w:ascii="Arial" w:hAnsi="Arial" w:cs="Arial"/>
                <w:b w:val="0"/>
                <w:i w:val="0"/>
                <w:sz w:val="17"/>
              </w:rPr>
              <w:t>&lt;1 hour</w:t>
            </w:r>
          </w:p>
        </w:tc>
      </w:tr>
      <w:tr>
        <w:tc>
          <w:tcPr>
            <w:tcW w:type="dxa" w:w="3213"/>
          </w:tcPr>
          <w:p>
            <w:pPr>
              <w:spacing w:after="20" w:before="20" w:line="240" w:lineRule="auto"/>
            </w:pPr>
            <w:r/>
            <w:r>
              <w:rPr>
                <w:rFonts w:ascii="Arial" w:hAnsi="Arial" w:cs="Arial"/>
                <w:b w:val="0"/>
                <w:i w:val="0"/>
                <w:sz w:val="17"/>
              </w:rPr>
              <w:t>4. Post-mortem</w:t>
            </w:r>
          </w:p>
        </w:tc>
        <w:tc>
          <w:tcPr>
            <w:tcW w:type="dxa" w:w="3213"/>
          </w:tcPr>
          <w:p>
            <w:pPr>
              <w:spacing w:after="20" w:before="20" w:line="240" w:lineRule="auto"/>
            </w:pPr>
            <w:r/>
            <w:r>
              <w:rPr>
                <w:rFonts w:ascii="Arial" w:hAnsi="Arial" w:cs="Arial"/>
                <w:b w:val="0"/>
                <w:i w:val="0"/>
                <w:sz w:val="17"/>
              </w:rPr>
              <w:t>Post-mortem generator (Groq) drafts summary within 1 hour, including timeline, root cause, impact (number of affected tenants, USTNs, fee volume), recommendations, and SLA credit calculation. Human reviewer (Platform Governance Authority) approves the post-mortem within 5 business days; it is then published to the status page and incident history</w:t>
            </w:r>
          </w:p>
        </w:tc>
        <w:tc>
          <w:tcPr>
            <w:tcW w:type="dxa" w:w="3213"/>
          </w:tcPr>
          <w:p>
            <w:pPr>
              <w:spacing w:after="20" w:before="20" w:line="240" w:lineRule="auto"/>
            </w:pPr>
            <w:r/>
            <w:r>
              <w:rPr>
                <w:rFonts w:ascii="Arial" w:hAnsi="Arial" w:cs="Arial"/>
                <w:b w:val="0"/>
                <w:i w:val="0"/>
                <w:sz w:val="17"/>
              </w:rPr>
              <w:t>&lt;1 hour (draft)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21.5.4 Example Incidents</w:t>
      </w:r>
    </w:p>
    <w:p>
      <w:pPr>
        <w:spacing w:after="80" w:line="293" w:lineRule="auto"/>
        <w:jc w:val="left"/>
      </w:pPr>
      <w:r>
        <w:rPr>
          <w:rFonts w:ascii="Times New Roman" w:hAnsi="Times New Roman" w:cs="Times New Roman"/>
          <w:b w:val="0"/>
          <w:i w:val="0"/>
          <w:sz w:val="22"/>
        </w:rPr>
        <w:t>P0 incident — Loom chain breach: the hourly verifier detects a mismatch; the alert fires; the Governor blocks new decisions. Groq analysis: "Mismatch at block 1,234,567. Likely cause: manual edit of governor_decisions table. Affected USTNs: list." The incident team restores from WAL, restores the chain, and a post-mortem is generated.</w:t>
      </w:r>
    </w:p>
    <w:p>
      <w:pPr>
        <w:spacing w:after="80" w:line="293" w:lineRule="auto"/>
        <w:jc w:val="left"/>
      </w:pPr>
      <w:r>
        <w:rPr>
          <w:rFonts w:ascii="Times New Roman" w:hAnsi="Times New Roman" w:cs="Times New Roman"/>
          <w:b w:val="0"/>
          <w:i w:val="0"/>
          <w:sz w:val="22"/>
        </w:rPr>
        <w:t>P1 incident — conditional QC hold deadline missed: the action plan deadline passes; the hold remains active; the workflow-recovery-service escalates; the seller receives a final warning. Groq summary: "Seller missed action plan deadline for USTN ..." The Admin Portal is notified and a manual override is required to resolve the hold.</w:t>
      </w:r>
    </w:p>
    <w:p>
      <w:pPr>
        <w:spacing w:after="80" w:line="293" w:lineRule="auto"/>
        <w:jc w:val="left"/>
      </w:pPr>
      <w:r>
        <w:rPr>
          <w:rFonts w:ascii="Times New Roman" w:hAnsi="Times New Roman" w:cs="Times New Roman"/>
          <w:b w:val="0"/>
          <w:i w:val="0"/>
          <w:sz w:val="22"/>
        </w:rPr>
        <w:t>P1 incident — deferred payment guarantee expiry: customs clearance is not confirmed before guarantee expiry; the Governor freezes the shipment; the payment service attempts to charge the payer. Groq summary: "Deferred payment guarantee for USTN ... expired. Immediate payment required."</w:t>
      </w:r>
    </w:p>
    <w:p>
      <w:pPr>
        <w:spacing w:after="80" w:line="293" w:lineRule="auto"/>
        <w:jc w:val="left"/>
      </w:pPr>
      <w:r>
        <w:rPr>
          <w:rFonts w:ascii="Times New Roman" w:hAnsi="Times New Roman" w:cs="Times New Roman"/>
          <w:b w:val="0"/>
          <w:i w:val="0"/>
          <w:sz w:val="22"/>
        </w:rPr>
        <w:t>P1 incident — ZK proof verification failure: a seller submits a ZK confidential-price proof that fails verification; the Governor rejects the quote submission. Groq summary: "Price proof verification failed. Possible: out-of-range price or proof tampering." The seller is notified and can resubmit with a corrected proof.</w:t>
      </w:r>
    </w:p>
    <w:p>
      <w:pPr>
        <w:spacing w:after="80" w:line="293" w:lineRule="auto"/>
        <w:jc w:val="left"/>
      </w:pPr>
      <w:r>
        <w:rPr>
          <w:rFonts w:ascii="Times New Roman" w:hAnsi="Times New Roman" w:cs="Times New Roman"/>
          <w:b w:val="0"/>
          <w:i w:val="0"/>
          <w:sz w:val="22"/>
        </w:rPr>
        <w:t>P2 incident — sanctions rescreening hit: RIA detects a new sanctions designation matching a tenant's ultimate beneficial owner; the Governor suspends the tenant's trading ability. Groq summary: "New sanctions designation affecting UBO of tenant ... Investigation required." A compliance officer reviews and resolves.</w:t>
      </w:r>
    </w:p>
    <w:p>
      <w:pPr>
        <w:keepNext/>
        <w:spacing w:before="180" w:after="80"/>
        <w:outlineLvl w:val="2"/>
      </w:pPr>
      <w:r>
        <w:rPr>
          <w:rFonts w:ascii="Arial" w:hAnsi="Arial" w:cs="Arial"/>
          <w:b/>
          <w:i w:val="0"/>
          <w:color w:val="333333"/>
          <w:sz w:val="23"/>
        </w:rPr>
        <w:t>21.5.5 Post-Mortem Process &amp; Example</w:t>
      </w:r>
    </w:p>
    <w:p>
      <w:pPr>
        <w:spacing w:after="80" w:line="293" w:lineRule="auto"/>
        <w:jc w:val="left"/>
      </w:pPr>
      <w:r>
        <w:rPr>
          <w:rFonts w:ascii="Times New Roman" w:hAnsi="Times New Roman" w:cs="Times New Roman"/>
          <w:b w:val="0"/>
          <w:i w:val="0"/>
          <w:sz w:val="22"/>
        </w:rPr>
        <w:t>Post-mortems are drafted by the post-mortem-generator (Groq) within one hour of resolution and approved by the Platform Governance Authority within five business days. Example post-mortem (Groq generated):</w:t>
      </w:r>
    </w:p>
    <w:p>
      <w:pPr>
        <w:spacing w:after="80" w:line="293" w:lineRule="auto"/>
        <w:jc w:val="left"/>
      </w:pPr>
      <w:r>
        <w:rPr>
          <w:rFonts w:ascii="Times New Roman" w:hAnsi="Times New Roman" w:cs="Times New Roman"/>
          <w:b w:val="0"/>
          <w:i w:val="0"/>
          <w:sz w:val="22"/>
        </w:rPr>
        <w:t>Title: Governor Service Latency Spike — 2026-06-07. Incident ID: INC-2026-042. Severity: P1. Duration: 22 minutes (03:12–03:34 UTC). Impact: 12% of requests experienced p95 latency &gt;800ms (up to 1.2s); 43 affected tenants (all EU region); no data loss. SLA credit: 0.5% of monthly fee (breach of 99.95% target). Root cause: sudden traffic spike from a large exporter (100+ concurrent trade requests); Governor replicas at 85% CPU. Resolution: replica count increased from 3 to 5; HPA rule added to scale at 70% CPU; traffic normalised by 03:34 UTC. Prevention: predictive auto-scaling model updated to include trade volume forecasts; alert threshold for CPU lowered from 80% to 65%. Recommendations: review traffic patterns from large exporters; consider sharding trade-service by tenant.</w:t>
      </w:r>
    </w:p>
    <w:p>
      <w:pPr>
        <w:keepNext/>
        <w:spacing w:before="240" w:after="100"/>
        <w:outlineLvl w:val="1"/>
      </w:pPr>
      <w:r>
        <w:rPr>
          <w:rFonts w:ascii="Arial" w:hAnsi="Arial" w:cs="Arial"/>
          <w:b/>
          <w:i w:val="0"/>
          <w:color w:val="2E528F"/>
          <w:sz w:val="26"/>
        </w:rPr>
        <w:t>21.6 Data Classification &amp; Retention</w:t>
      </w:r>
    </w:p>
    <w:p>
      <w:pPr>
        <w:keepNext/>
        <w:spacing w:before="180" w:after="80"/>
        <w:outlineLvl w:val="2"/>
      </w:pPr>
      <w:r>
        <w:rPr>
          <w:rFonts w:ascii="Arial" w:hAnsi="Arial" w:cs="Arial"/>
          <w:b/>
          <w:i w:val="0"/>
          <w:color w:val="333333"/>
          <w:sz w:val="23"/>
        </w:rPr>
        <w:t>21.6.1 Classification Levels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Classification</w:t>
            </w:r>
          </w:p>
        </w:tc>
        <w:tc>
          <w:tcPr>
            <w:tcW w:type="dxa" w:w="3213"/>
            <w:shd w:val="clear" w:fill="D9E2F3"/>
          </w:tcPr>
          <w:p>
            <w:pPr>
              <w:spacing w:after="20" w:before="20" w:line="240" w:lineRule="auto"/>
            </w:pPr>
            <w:r/>
            <w:r>
              <w:rPr>
                <w:rFonts w:ascii="Arial" w:hAnsi="Arial" w:cs="Arial"/>
                <w:b/>
                <w:i w:val="0"/>
                <w:sz w:val="18"/>
              </w:rPr>
              <w:t>Examples</w:t>
            </w:r>
          </w:p>
        </w:tc>
        <w:tc>
          <w:tcPr>
            <w:tcW w:type="dxa" w:w="3213"/>
            <w:shd w:val="clear" w:fill="D9E2F3"/>
          </w:tcPr>
          <w:p>
            <w:pPr>
              <w:spacing w:after="20" w:before="20" w:line="240" w:lineRule="auto"/>
            </w:pPr>
            <w:r/>
            <w:r>
              <w:rPr>
                <w:rFonts w:ascii="Arial" w:hAnsi="Arial" w:cs="Arial"/>
                <w:b/>
                <w:i w:val="0"/>
                <w:sz w:val="18"/>
              </w:rPr>
              <w:t>Protection</w:t>
            </w:r>
          </w:p>
        </w:tc>
      </w:tr>
      <w:tr>
        <w:tc>
          <w:tcPr>
            <w:tcW w:type="dxa" w:w="3213"/>
          </w:tcPr>
          <w:p>
            <w:pPr>
              <w:spacing w:after="20" w:before="20" w:line="240" w:lineRule="auto"/>
            </w:pPr>
            <w:r/>
            <w:r>
              <w:rPr>
                <w:rFonts w:ascii="Arial" w:hAnsi="Arial" w:cs="Arial"/>
                <w:b w:val="0"/>
                <w:i w:val="0"/>
                <w:sz w:val="17"/>
              </w:rPr>
              <w:t>Public</w:t>
            </w:r>
          </w:p>
        </w:tc>
        <w:tc>
          <w:tcPr>
            <w:tcW w:type="dxa" w:w="3213"/>
          </w:tcPr>
          <w:p>
            <w:pPr>
              <w:spacing w:after="20" w:before="20" w:line="240" w:lineRule="auto"/>
            </w:pPr>
            <w:r/>
            <w:r>
              <w:rPr>
                <w:rFonts w:ascii="Arial" w:hAnsi="Arial" w:cs="Arial"/>
                <w:b w:val="0"/>
                <w:i w:val="0"/>
                <w:sz w:val="17"/>
              </w:rPr>
              <w:t>GTID resolution (legal name, jurisdiction, trust score)</w:t>
            </w:r>
          </w:p>
        </w:tc>
        <w:tc>
          <w:tcPr>
            <w:tcW w:type="dxa" w:w="3213"/>
          </w:tcPr>
          <w:p>
            <w:pPr>
              <w:spacing w:after="20" w:before="20" w:line="240" w:lineRule="auto"/>
            </w:pPr>
            <w:r/>
            <w:r>
              <w:rPr>
                <w:rFonts w:ascii="Arial" w:hAnsi="Arial" w:cs="Arial"/>
                <w:b w:val="0"/>
                <w:i w:val="0"/>
                <w:sz w:val="17"/>
              </w:rPr>
              <w:t>Rate-limited, consent-based</w:t>
            </w:r>
          </w:p>
        </w:tc>
      </w:tr>
      <w:tr>
        <w:tc>
          <w:tcPr>
            <w:tcW w:type="dxa" w:w="3213"/>
          </w:tcPr>
          <w:p>
            <w:pPr>
              <w:spacing w:after="20" w:before="20" w:line="240" w:lineRule="auto"/>
            </w:pPr>
            <w:r/>
            <w:r>
              <w:rPr>
                <w:rFonts w:ascii="Arial" w:hAnsi="Arial" w:cs="Arial"/>
                <w:b w:val="0"/>
                <w:i w:val="0"/>
                <w:sz w:val="17"/>
              </w:rPr>
              <w:t>Internal</w:t>
            </w:r>
          </w:p>
        </w:tc>
        <w:tc>
          <w:tcPr>
            <w:tcW w:type="dxa" w:w="3213"/>
          </w:tcPr>
          <w:p>
            <w:pPr>
              <w:spacing w:after="20" w:before="20" w:line="240" w:lineRule="auto"/>
            </w:pPr>
            <w:r/>
            <w:r>
              <w:rPr>
                <w:rFonts w:ascii="Arial" w:hAnsi="Arial" w:cs="Arial"/>
                <w:b w:val="0"/>
                <w:i w:val="0"/>
                <w:sz w:val="17"/>
              </w:rPr>
              <w:t>Trade data, financial data, documents</w:t>
            </w:r>
          </w:p>
        </w:tc>
        <w:tc>
          <w:tcPr>
            <w:tcW w:type="dxa" w:w="3213"/>
          </w:tcPr>
          <w:p>
            <w:pPr>
              <w:spacing w:after="20" w:before="20" w:line="240" w:lineRule="auto"/>
            </w:pPr>
            <w:r/>
            <w:r>
              <w:rPr>
                <w:rFonts w:ascii="Arial" w:hAnsi="Arial" w:cs="Arial"/>
                <w:b w:val="0"/>
                <w:i w:val="0"/>
                <w:sz w:val="17"/>
              </w:rPr>
              <w:t>RLS, encryption at rest (AES256), mTLS</w:t>
            </w:r>
          </w:p>
        </w:tc>
      </w:tr>
      <w:tr>
        <w:tc>
          <w:tcPr>
            <w:tcW w:type="dxa" w:w="3213"/>
          </w:tcPr>
          <w:p>
            <w:pPr>
              <w:spacing w:after="20" w:before="20" w:line="240" w:lineRule="auto"/>
            </w:pPr>
            <w:r/>
            <w:r>
              <w:rPr>
                <w:rFonts w:ascii="Arial" w:hAnsi="Arial" w:cs="Arial"/>
                <w:b w:val="0"/>
                <w:i w:val="0"/>
                <w:sz w:val="17"/>
              </w:rPr>
              <w:t>Confidential</w:t>
            </w:r>
          </w:p>
        </w:tc>
        <w:tc>
          <w:tcPr>
            <w:tcW w:type="dxa" w:w="3213"/>
          </w:tcPr>
          <w:p>
            <w:pPr>
              <w:spacing w:after="20" w:before="20" w:line="240" w:lineRule="auto"/>
            </w:pPr>
            <w:r/>
            <w:r>
              <w:rPr>
                <w:rFonts w:ascii="Arial" w:hAnsi="Arial" w:cs="Arial"/>
                <w:b w:val="0"/>
                <w:i w:val="0"/>
                <w:sz w:val="17"/>
              </w:rPr>
              <w:t>Payment credentials, API keys, private keys</w:t>
            </w:r>
          </w:p>
        </w:tc>
        <w:tc>
          <w:tcPr>
            <w:tcW w:type="dxa" w:w="3213"/>
          </w:tcPr>
          <w:p>
            <w:pPr>
              <w:spacing w:after="20" w:before="20" w:line="240" w:lineRule="auto"/>
            </w:pPr>
            <w:r/>
            <w:r>
              <w:rPr>
                <w:rFonts w:ascii="Arial" w:hAnsi="Arial" w:cs="Arial"/>
                <w:b w:val="0"/>
                <w:i w:val="0"/>
                <w:sz w:val="17"/>
              </w:rPr>
              <w:t>HSM-stored, encrypted at rest, never logged</w:t>
            </w:r>
          </w:p>
        </w:tc>
      </w:tr>
      <w:tr>
        <w:tc>
          <w:tcPr>
            <w:tcW w:type="dxa" w:w="3213"/>
          </w:tcPr>
          <w:p>
            <w:pPr>
              <w:spacing w:after="20" w:before="20" w:line="240" w:lineRule="auto"/>
            </w:pPr>
            <w:r/>
            <w:r>
              <w:rPr>
                <w:rFonts w:ascii="Arial" w:hAnsi="Arial" w:cs="Arial"/>
                <w:b w:val="0"/>
                <w:i w:val="0"/>
                <w:sz w:val="17"/>
              </w:rPr>
              <w:t>Regulated</w:t>
            </w:r>
          </w:p>
        </w:tc>
        <w:tc>
          <w:tcPr>
            <w:tcW w:type="dxa" w:w="3213"/>
          </w:tcPr>
          <w:p>
            <w:pPr>
              <w:spacing w:after="20" w:before="20" w:line="240" w:lineRule="auto"/>
            </w:pPr>
            <w:r/>
            <w:r>
              <w:rPr>
                <w:rFonts w:ascii="Arial" w:hAnsi="Arial" w:cs="Arial"/>
                <w:b w:val="0"/>
                <w:i w:val="0"/>
                <w:sz w:val="17"/>
              </w:rPr>
              <w:t>SARs, AML data, personal data (PDPL)</w:t>
            </w:r>
          </w:p>
        </w:tc>
        <w:tc>
          <w:tcPr>
            <w:tcW w:type="dxa" w:w="3213"/>
          </w:tcPr>
          <w:p>
            <w:pPr>
              <w:spacing w:after="20" w:before="20" w:line="240" w:lineRule="auto"/>
            </w:pPr>
            <w:r/>
            <w:r>
              <w:rPr>
                <w:rFonts w:ascii="Arial" w:hAnsi="Arial" w:cs="Arial"/>
                <w:b w:val="0"/>
                <w:i w:val="0"/>
                <w:sz w:val="17"/>
              </w:rPr>
              <w:t>Loom-hashed, retention-managed, access-controlled</w:t>
            </w:r>
          </w:p>
        </w:tc>
      </w:tr>
      <w:tr>
        <w:tc>
          <w:tcPr>
            <w:tcW w:type="dxa" w:w="3213"/>
          </w:tcPr>
          <w:p>
            <w:pPr>
              <w:spacing w:after="20" w:before="20" w:line="240" w:lineRule="auto"/>
            </w:pPr>
            <w:r/>
            <w:r>
              <w:rPr>
                <w:rFonts w:ascii="Arial" w:hAnsi="Arial" w:cs="Arial"/>
                <w:b w:val="0"/>
                <w:i w:val="0"/>
                <w:sz w:val="17"/>
              </w:rPr>
              <w:t>Anonymised</w:t>
            </w:r>
          </w:p>
        </w:tc>
        <w:tc>
          <w:tcPr>
            <w:tcW w:type="dxa" w:w="3213"/>
          </w:tcPr>
          <w:p>
            <w:pPr>
              <w:spacing w:after="20" w:before="20" w:line="240" w:lineRule="auto"/>
            </w:pPr>
            <w:r/>
            <w:r>
              <w:rPr>
                <w:rFonts w:ascii="Arial" w:hAnsi="Arial" w:cs="Arial"/>
                <w:b w:val="0"/>
                <w:i w:val="0"/>
                <w:sz w:val="17"/>
              </w:rPr>
              <w:t>Trade Memory events (banded volumes and values, anonymous entity IDs)</w:t>
            </w:r>
          </w:p>
        </w:tc>
        <w:tc>
          <w:tcPr>
            <w:tcW w:type="dxa" w:w="3213"/>
          </w:tcPr>
          <w:p>
            <w:pPr>
              <w:spacing w:after="20" w:before="20" w:line="240" w:lineRule="auto"/>
            </w:pPr>
            <w:r/>
            <w:r>
              <w:rPr>
                <w:rFonts w:ascii="Arial" w:hAnsi="Arial" w:cs="Arial"/>
                <w:b w:val="0"/>
                <w:i w:val="0"/>
                <w:sz w:val="17"/>
              </w:rPr>
              <w:t>Differential privacy, rotating pepper, opt-out respected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Every table and column carries a classification recorded in the data classification audit (Section 21.7), with a justification, a reviewer, and an expiry date for re-review.</w:t>
      </w:r>
    </w:p>
    <w:p>
      <w:pPr>
        <w:keepNext/>
        <w:spacing w:before="180" w:after="80"/>
        <w:outlineLvl w:val="2"/>
      </w:pPr>
      <w:r>
        <w:rPr>
          <w:rFonts w:ascii="Arial" w:hAnsi="Arial" w:cs="Arial"/>
          <w:b/>
          <w:i w:val="0"/>
          <w:color w:val="333333"/>
          <w:sz w:val="23"/>
        </w:rPr>
        <w:t>21.6.2 Retention Schedule</w:t>
      </w:r>
    </w:p>
    <w:p>
      <w:pPr>
        <w:spacing w:after="80" w:line="293" w:lineRule="auto"/>
        <w:jc w:val="left"/>
      </w:pPr>
      <w:r>
        <w:rPr>
          <w:rFonts w:ascii="Times New Roman" w:hAnsi="Times New Roman" w:cs="Times New Roman"/>
          <w:b w:val="0"/>
          <w:i w:val="0"/>
          <w:sz w:val="22"/>
        </w:rPr>
        <w:t>Retention follows documented schedules per table (Section 21.9.8): consent records are deleted 1 year after withdrawal; user accounts are deleted 5 years after closure; audit logs are deleted after 7 years except suspicious activity reports (SARs), which are retained; the Trade Memory anonymous-entity mapping table is deleted after 90 days. The immutable audit log is preserved as a legal-record exception — Recovery restores state but never erases audit history (Recovery ≠ erasure, see Section 24).</w:t>
      </w:r>
    </w:p>
    <w:p>
      <w:pPr>
        <w:keepNext/>
        <w:spacing w:before="240" w:after="100"/>
        <w:outlineLvl w:val="1"/>
      </w:pPr>
      <w:r>
        <w:rPr>
          <w:rFonts w:ascii="Arial" w:hAnsi="Arial" w:cs="Arial"/>
          <w:b/>
          <w:i w:val="0"/>
          <w:color w:val="2E528F"/>
          <w:sz w:val="26"/>
        </w:rPr>
        <w:t>21.7 Security Database Schema</w:t>
      </w:r>
    </w:p>
    <w:p>
      <w:pPr>
        <w:spacing w:after="80" w:line="293" w:lineRule="auto"/>
        <w:jc w:val="left"/>
      </w:pPr>
      <w:r>
        <w:rPr>
          <w:rFonts w:ascii="Times New Roman" w:hAnsi="Times New Roman" w:cs="Times New Roman"/>
          <w:b w:val="0"/>
          <w:i w:val="0"/>
          <w:sz w:val="22"/>
        </w:rPr>
        <w:t>The security schema extends the core data model (Section 17) with incident management, threat findings, security event aggregation, classification audit, compliance reporting, and the threat-intelligence cache:</w:t>
      </w:r>
    </w:p>
    <w:p>
      <w:pPr>
        <w:spacing w:after="0" w:before="0" w:line="240" w:lineRule="auto"/>
        <w:ind w:left="57"/>
        <w:jc w:val="left"/>
        <w:shd w:val="clear" w:fill="F2F2F2"/>
      </w:pPr>
      <w:r>
        <w:rPr>
          <w:rFonts w:ascii="Consolas" w:hAnsi="Consolas" w:cs="Consolas"/>
          <w:b w:val="0"/>
          <w:i w:val="0"/>
          <w:sz w:val="15"/>
        </w:rPr>
        <w:t>-- Incidents</w:t>
      </w:r>
    </w:p>
    <w:p>
      <w:pPr>
        <w:spacing w:after="0" w:before="0" w:line="240" w:lineRule="auto"/>
        <w:ind w:left="57"/>
        <w:jc w:val="left"/>
        <w:shd w:val="clear" w:fill="F2F2F2"/>
      </w:pPr>
      <w:r>
        <w:rPr>
          <w:rFonts w:ascii="Consolas" w:hAnsi="Consolas" w:cs="Consolas"/>
          <w:b w:val="0"/>
          <w:i w:val="0"/>
          <w:sz w:val="15"/>
        </w:rPr>
        <w:t>CREATE TABLE incidents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severity TEXT NOT NULL,              -- 'P0', 'P1', 'P2', 'P3'</w:t>
      </w:r>
    </w:p>
    <w:p>
      <w:pPr>
        <w:spacing w:after="0" w:before="0" w:line="240" w:lineRule="auto"/>
        <w:ind w:left="57"/>
        <w:jc w:val="left"/>
        <w:shd w:val="clear" w:fill="F2F2F2"/>
      </w:pPr>
      <w:r>
        <w:rPr>
          <w:rFonts w:ascii="Consolas" w:hAnsi="Consolas" w:cs="Consolas"/>
          <w:b w:val="0"/>
          <w:i w:val="0"/>
          <w:sz w:val="15"/>
        </w:rPr>
        <w:t xml:space="preserve">  title TEXT NOT NULL,</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status TEXT DEFAULT 'OPEN',          -- 'OPEN', 'CONTAINED', 'RESOLVED', 'CLOSED'</w:t>
      </w:r>
    </w:p>
    <w:p>
      <w:pPr>
        <w:spacing w:after="0" w:before="0" w:line="240" w:lineRule="auto"/>
        <w:ind w:left="57"/>
        <w:jc w:val="left"/>
        <w:shd w:val="clear" w:fill="F2F2F2"/>
      </w:pPr>
      <w:r>
        <w:rPr>
          <w:rFonts w:ascii="Consolas" w:hAnsi="Consolas" w:cs="Consolas"/>
          <w:b w:val="0"/>
          <w:i w:val="0"/>
          <w:sz w:val="15"/>
        </w:rPr>
        <w:t xml:space="preserve">  started_at TIMESTAMPTZ,</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root_cause TEXT,</w:t>
      </w:r>
    </w:p>
    <w:p>
      <w:pPr>
        <w:spacing w:after="0" w:before="0" w:line="240" w:lineRule="auto"/>
        <w:ind w:left="57"/>
        <w:jc w:val="left"/>
        <w:shd w:val="clear" w:fill="F2F2F2"/>
      </w:pPr>
      <w:r>
        <w:rPr>
          <w:rFonts w:ascii="Consolas" w:hAnsi="Consolas" w:cs="Consolas"/>
          <w:b w:val="0"/>
          <w:i w:val="0"/>
          <w:sz w:val="15"/>
        </w:rPr>
        <w:t xml:space="preserve">  groq_summary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Incident events (audit trail for incident response)</w:t>
      </w:r>
    </w:p>
    <w:p>
      <w:pPr>
        <w:spacing w:after="0" w:before="0" w:line="240" w:lineRule="auto"/>
        <w:ind w:left="57"/>
        <w:jc w:val="left"/>
        <w:shd w:val="clear" w:fill="F2F2F2"/>
      </w:pPr>
      <w:r>
        <w:rPr>
          <w:rFonts w:ascii="Consolas" w:hAnsi="Consolas" w:cs="Consolas"/>
          <w:b w:val="0"/>
          <w:i w:val="0"/>
          <w:sz w:val="15"/>
        </w:rPr>
        <w:t>CREATE TABLE incident_events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incident_id UUID NOT NULL REFERENCES incidents(id) ON DELETE CASCADE,</w:t>
      </w:r>
    </w:p>
    <w:p>
      <w:pPr>
        <w:spacing w:after="0" w:before="0" w:line="240" w:lineRule="auto"/>
        <w:ind w:left="57"/>
        <w:jc w:val="left"/>
        <w:shd w:val="clear" w:fill="F2F2F2"/>
      </w:pPr>
      <w:r>
        <w:rPr>
          <w:rFonts w:ascii="Consolas" w:hAnsi="Consolas" w:cs="Consolas"/>
          <w:b w:val="0"/>
          <w:i w:val="0"/>
          <w:sz w:val="15"/>
        </w:rPr>
        <w:t xml:space="preserve">  event_type TEXT NOT NULL,            -- 'DETECTED', 'CONTAINED', 'ESCALATED', 'RESOLVED', 'POST_MORTEM'</w:t>
      </w:r>
    </w:p>
    <w:p>
      <w:pPr>
        <w:spacing w:after="0" w:before="0" w:line="240" w:lineRule="auto"/>
        <w:ind w:left="57"/>
        <w:jc w:val="left"/>
        <w:shd w:val="clear" w:fill="F2F2F2"/>
      </w:pPr>
      <w:r>
        <w:rPr>
          <w:rFonts w:ascii="Consolas" w:hAnsi="Consolas" w:cs="Consolas"/>
          <w:b w:val="0"/>
          <w:i w:val="0"/>
          <w:sz w:val="15"/>
        </w:rPr>
        <w:t xml:space="preserve">  actor_gtid TEXT,</w:t>
      </w:r>
    </w:p>
    <w:p>
      <w:pPr>
        <w:spacing w:after="0" w:before="0" w:line="240" w:lineRule="auto"/>
        <w:ind w:left="57"/>
        <w:jc w:val="left"/>
        <w:shd w:val="clear" w:fill="F2F2F2"/>
      </w:pPr>
      <w:r>
        <w:rPr>
          <w:rFonts w:ascii="Consolas" w:hAnsi="Consolas" w:cs="Consolas"/>
          <w:b w:val="0"/>
          <w:i w:val="0"/>
          <w:sz w:val="15"/>
        </w:rPr>
        <w:t xml:space="preserve">  details JSONB,</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Threat findings</w:t>
      </w:r>
    </w:p>
    <w:p>
      <w:pPr>
        <w:spacing w:after="0" w:before="0" w:line="240" w:lineRule="auto"/>
        <w:ind w:left="57"/>
        <w:jc w:val="left"/>
        <w:shd w:val="clear" w:fill="F2F2F2"/>
      </w:pPr>
      <w:r>
        <w:rPr>
          <w:rFonts w:ascii="Consolas" w:hAnsi="Consolas" w:cs="Consolas"/>
          <w:b w:val="0"/>
          <w:i w:val="0"/>
          <w:sz w:val="15"/>
        </w:rPr>
        <w:t>-- threat_findings: canonical definition in Section 17.28;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Security events (for SIEM-like aggregation)</w:t>
      </w:r>
    </w:p>
    <w:p>
      <w:pPr>
        <w:spacing w:after="0" w:before="0" w:line="240" w:lineRule="auto"/>
        <w:ind w:left="57"/>
        <w:jc w:val="left"/>
        <w:shd w:val="clear" w:fill="F2F2F2"/>
      </w:pPr>
      <w:r>
        <w:rPr>
          <w:rFonts w:ascii="Consolas" w:hAnsi="Consolas" w:cs="Consolas"/>
          <w:b w:val="0"/>
          <w:i w:val="0"/>
          <w:sz w:val="15"/>
        </w:rPr>
        <w:t>CREATE TABLE security_events (</w:t>
      </w:r>
    </w:p>
    <w:p>
      <w:pPr>
        <w:spacing w:after="0" w:before="0" w:line="240" w:lineRule="auto"/>
        <w:ind w:left="57"/>
        <w:jc w:val="left"/>
        <w:shd w:val="clear" w:fill="F2F2F2"/>
      </w:pPr>
      <w:r>
        <w:rPr>
          <w:rFonts w:ascii="Consolas" w:hAnsi="Consolas" w:cs="Consolas"/>
          <w:b w:val="0"/>
          <w:i w:val="0"/>
          <w:sz w:val="15"/>
        </w:rPr>
        <w:t xml:space="preserve">  id BIGSERIAL,</w:t>
      </w:r>
    </w:p>
    <w:p>
      <w:pPr>
        <w:spacing w:after="0" w:before="0" w:line="240" w:lineRule="auto"/>
        <w:ind w:left="57"/>
        <w:jc w:val="left"/>
        <w:shd w:val="clear" w:fill="F2F2F2"/>
      </w:pPr>
      <w:r>
        <w:rPr>
          <w:rFonts w:ascii="Consolas" w:hAnsi="Consolas" w:cs="Consolas"/>
          <w:b w:val="0"/>
          <w:i w:val="0"/>
          <w:sz w:val="15"/>
        </w:rPr>
        <w:t xml:space="preserve">  event_type TEXT NOT NULL,            -- 'AUTH_FAILURE', 'RLS_VIOLATION', 'RATE_LIMIT_EXCEEDED',</w:t>
      </w:r>
    </w:p>
    <w:p>
      <w:pPr>
        <w:spacing w:after="0" w:before="0" w:line="240" w:lineRule="auto"/>
        <w:ind w:left="57"/>
        <w:jc w:val="left"/>
        <w:shd w:val="clear" w:fill="F2F2F2"/>
      </w:pPr>
      <w:r>
        <w:rPr>
          <w:rFonts w:ascii="Consolas" w:hAnsi="Consolas" w:cs="Consolas"/>
          <w:b w:val="0"/>
          <w:i w:val="0"/>
          <w:sz w:val="15"/>
        </w:rPr>
        <w:t xml:space="preserve">                                       -- 'CERT_EXPIRY', 'SUSPICIOUS_ACTIVITY', 'SANCTIONS_HIT'</w:t>
      </w:r>
    </w:p>
    <w:p>
      <w:pPr>
        <w:spacing w:after="0" w:before="0" w:line="240" w:lineRule="auto"/>
        <w:ind w:left="57"/>
        <w:jc w:val="left"/>
        <w:shd w:val="clear" w:fill="F2F2F2"/>
      </w:pPr>
      <w:r>
        <w:rPr>
          <w:rFonts w:ascii="Consolas" w:hAnsi="Consolas" w:cs="Consolas"/>
          <w:b w:val="0"/>
          <w:i w:val="0"/>
          <w:sz w:val="15"/>
        </w:rPr>
        <w:t xml:space="preserve">  severity TEXT NOT NULL,              -- 'LOW', 'MEDIUM', 'HIGH', 'CRITICAL'</w:t>
      </w:r>
    </w:p>
    <w:p>
      <w:pPr>
        <w:spacing w:after="0" w:before="0" w:line="240" w:lineRule="auto"/>
        <w:ind w:left="57"/>
        <w:jc w:val="left"/>
        <w:shd w:val="clear" w:fill="F2F2F2"/>
      </w:pPr>
      <w:r>
        <w:rPr>
          <w:rFonts w:ascii="Consolas" w:hAnsi="Consolas" w:cs="Consolas"/>
          <w:b w:val="0"/>
          <w:i w:val="0"/>
          <w:sz w:val="15"/>
        </w:rPr>
        <w:t xml:space="preserve">  actor_gtid TEXT,</w:t>
      </w:r>
    </w:p>
    <w:p>
      <w:pPr>
        <w:spacing w:after="0" w:before="0" w:line="240" w:lineRule="auto"/>
        <w:ind w:left="57"/>
        <w:jc w:val="left"/>
        <w:shd w:val="clear" w:fill="F2F2F2"/>
      </w:pPr>
      <w:r>
        <w:rPr>
          <w:rFonts w:ascii="Consolas" w:hAnsi="Consolas" w:cs="Consolas"/>
          <w:b w:val="0"/>
          <w:i w:val="0"/>
          <w:sz w:val="15"/>
        </w:rPr>
        <w:t xml:space="preserve">  ip_address INET,</w:t>
      </w:r>
    </w:p>
    <w:p>
      <w:pPr>
        <w:spacing w:after="0" w:before="0" w:line="240" w:lineRule="auto"/>
        <w:ind w:left="57"/>
        <w:jc w:val="left"/>
        <w:shd w:val="clear" w:fill="F2F2F2"/>
      </w:pPr>
      <w:r>
        <w:rPr>
          <w:rFonts w:ascii="Consolas" w:hAnsi="Consolas" w:cs="Consolas"/>
          <w:b w:val="0"/>
          <w:i w:val="0"/>
          <w:sz w:val="15"/>
        </w:rPr>
        <w:t xml:space="preserve">  details JSONB,</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PARTITION BY RANGE (created_at);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SELECT create_hypertable('security_events', 'created_at');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Data classification audit</w:t>
      </w:r>
    </w:p>
    <w:p>
      <w:pPr>
        <w:spacing w:after="0" w:before="0" w:line="240" w:lineRule="auto"/>
        <w:ind w:left="57"/>
        <w:jc w:val="left"/>
        <w:shd w:val="clear" w:fill="F2F2F2"/>
      </w:pPr>
      <w:r>
        <w:rPr>
          <w:rFonts w:ascii="Consolas" w:hAnsi="Consolas" w:cs="Consolas"/>
          <w:b w:val="0"/>
          <w:i w:val="0"/>
          <w:sz w:val="15"/>
        </w:rPr>
        <w:t>CREATE TABLE data_classification_audit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table_name TEXT NOT NULL,</w:t>
      </w:r>
    </w:p>
    <w:p>
      <w:pPr>
        <w:spacing w:after="0" w:before="0" w:line="240" w:lineRule="auto"/>
        <w:ind w:left="57"/>
        <w:jc w:val="left"/>
        <w:shd w:val="clear" w:fill="F2F2F2"/>
      </w:pPr>
      <w:r>
        <w:rPr>
          <w:rFonts w:ascii="Consolas" w:hAnsi="Consolas" w:cs="Consolas"/>
          <w:b w:val="0"/>
          <w:i w:val="0"/>
          <w:sz w:val="15"/>
        </w:rPr>
        <w:t xml:space="preserve">  column_name TEXT,</w:t>
      </w:r>
    </w:p>
    <w:p>
      <w:pPr>
        <w:spacing w:after="0" w:before="0" w:line="240" w:lineRule="auto"/>
        <w:ind w:left="57"/>
        <w:jc w:val="left"/>
        <w:shd w:val="clear" w:fill="F2F2F2"/>
      </w:pPr>
      <w:r>
        <w:rPr>
          <w:rFonts w:ascii="Consolas" w:hAnsi="Consolas" w:cs="Consolas"/>
          <w:b w:val="0"/>
          <w:i w:val="0"/>
          <w:sz w:val="15"/>
        </w:rPr>
        <w:t xml:space="preserve">  classification TEXT NOT NULL,        -- 'PUBLIC', 'INTERNAL', 'CONFIDENTIAL', 'REGULATED', 'ANONYMISED'</w:t>
      </w:r>
    </w:p>
    <w:p>
      <w:pPr>
        <w:spacing w:after="0" w:before="0" w:line="240" w:lineRule="auto"/>
        <w:ind w:left="57"/>
        <w:jc w:val="left"/>
        <w:shd w:val="clear" w:fill="F2F2F2"/>
      </w:pPr>
      <w:r>
        <w:rPr>
          <w:rFonts w:ascii="Consolas" w:hAnsi="Consolas" w:cs="Consolas"/>
          <w:b w:val="0"/>
          <w:i w:val="0"/>
          <w:sz w:val="15"/>
        </w:rPr>
        <w:t xml:space="preserve">  justification TEXT,</w:t>
      </w:r>
    </w:p>
    <w:p>
      <w:pPr>
        <w:spacing w:after="0" w:before="0" w:line="240" w:lineRule="auto"/>
        <w:ind w:left="57"/>
        <w:jc w:val="left"/>
        <w:shd w:val="clear" w:fill="F2F2F2"/>
      </w:pPr>
      <w:r>
        <w:rPr>
          <w:rFonts w:ascii="Consolas" w:hAnsi="Consolas" w:cs="Consolas"/>
          <w:b w:val="0"/>
          <w:i w:val="0"/>
          <w:sz w:val="15"/>
        </w:rPr>
        <w:t xml:space="preserve">  reviewed_by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reviewed_at TIMESTAMPTZ DEFAULT NOW(),</w:t>
      </w:r>
    </w:p>
    <w:p>
      <w:pPr>
        <w:spacing w:after="0" w:before="0" w:line="240" w:lineRule="auto"/>
        <w:ind w:left="57"/>
        <w:jc w:val="left"/>
        <w:shd w:val="clear" w:fill="F2F2F2"/>
      </w:pPr>
      <w:r>
        <w:rPr>
          <w:rFonts w:ascii="Consolas" w:hAnsi="Consolas" w:cs="Consolas"/>
          <w:b w:val="0"/>
          <w:i w:val="0"/>
          <w:sz w:val="15"/>
        </w:rPr>
        <w:t xml:space="preserve">  expires_at TIMESTAMPTZ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Security compliance reports</w:t>
      </w:r>
    </w:p>
    <w:p>
      <w:pPr>
        <w:spacing w:after="0" w:before="0" w:line="240" w:lineRule="auto"/>
        <w:ind w:left="57"/>
        <w:jc w:val="left"/>
        <w:shd w:val="clear" w:fill="F2F2F2"/>
      </w:pPr>
      <w:r>
        <w:rPr>
          <w:rFonts w:ascii="Consolas" w:hAnsi="Consolas" w:cs="Consolas"/>
          <w:b w:val="0"/>
          <w:i w:val="0"/>
          <w:sz w:val="15"/>
        </w:rPr>
        <w:t>CREATE TABLE security_compliance_reports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report_type TEXT NOT NULL,           -- 'WEEKLY_PENTEST', 'MONTHLY_COMPLIANCE', 'QUARTERLY_RISK'</w:t>
      </w:r>
    </w:p>
    <w:p>
      <w:pPr>
        <w:spacing w:after="0" w:before="0" w:line="240" w:lineRule="auto"/>
        <w:ind w:left="57"/>
        <w:jc w:val="left"/>
        <w:shd w:val="clear" w:fill="F2F2F2"/>
      </w:pPr>
      <w:r>
        <w:rPr>
          <w:rFonts w:ascii="Consolas" w:hAnsi="Consolas" w:cs="Consolas"/>
          <w:b w:val="0"/>
          <w:i w:val="0"/>
          <w:sz w:val="15"/>
        </w:rPr>
        <w:t xml:space="preserve">  report_period TEXT NOT NULL,         -- '2026-W24', '2026-06', '2026-Q2'</w:t>
      </w:r>
    </w:p>
    <w:p>
      <w:pPr>
        <w:spacing w:after="0" w:before="0" w:line="240" w:lineRule="auto"/>
        <w:ind w:left="57"/>
        <w:jc w:val="left"/>
        <w:shd w:val="clear" w:fill="F2F2F2"/>
      </w:pPr>
      <w:r>
        <w:rPr>
          <w:rFonts w:ascii="Consolas" w:hAnsi="Consolas" w:cs="Consolas"/>
          <w:b w:val="0"/>
          <w:i w:val="0"/>
          <w:sz w:val="15"/>
        </w:rPr>
        <w:t xml:space="preserve">  summary TEXT,                        -- Groq-generated</w:t>
      </w:r>
    </w:p>
    <w:p>
      <w:pPr>
        <w:spacing w:after="0" w:before="0" w:line="240" w:lineRule="auto"/>
        <w:ind w:left="57"/>
        <w:jc w:val="left"/>
        <w:shd w:val="clear" w:fill="F2F2F2"/>
      </w:pPr>
      <w:r>
        <w:rPr>
          <w:rFonts w:ascii="Consolas" w:hAnsi="Consolas" w:cs="Consolas"/>
          <w:b w:val="0"/>
          <w:i w:val="0"/>
          <w:sz w:val="15"/>
        </w:rPr>
        <w:t xml:space="preserve">  finding_count INTEGER,</w:t>
      </w:r>
    </w:p>
    <w:p>
      <w:pPr>
        <w:spacing w:after="0" w:before="0" w:line="240" w:lineRule="auto"/>
        <w:ind w:left="57"/>
        <w:jc w:val="left"/>
        <w:shd w:val="clear" w:fill="F2F2F2"/>
      </w:pPr>
      <w:r>
        <w:rPr>
          <w:rFonts w:ascii="Consolas" w:hAnsi="Consolas" w:cs="Consolas"/>
          <w:b w:val="0"/>
          <w:i w:val="0"/>
          <w:sz w:val="15"/>
        </w:rPr>
        <w:t xml:space="preserve">  critical_count INTEGER,</w:t>
      </w:r>
    </w:p>
    <w:p>
      <w:pPr>
        <w:spacing w:after="0" w:before="0" w:line="240" w:lineRule="auto"/>
        <w:ind w:left="57"/>
        <w:jc w:val="left"/>
        <w:shd w:val="clear" w:fill="F2F2F2"/>
      </w:pPr>
      <w:r>
        <w:rPr>
          <w:rFonts w:ascii="Consolas" w:hAnsi="Consolas" w:cs="Consolas"/>
          <w:b w:val="0"/>
          <w:i w:val="0"/>
          <w:sz w:val="15"/>
        </w:rPr>
        <w:t xml:space="preserve">  high_count INTEGER,</w:t>
      </w:r>
    </w:p>
    <w:p>
      <w:pPr>
        <w:spacing w:after="0" w:before="0" w:line="240" w:lineRule="auto"/>
        <w:ind w:left="57"/>
        <w:jc w:val="left"/>
        <w:shd w:val="clear" w:fill="F2F2F2"/>
      </w:pPr>
      <w:r>
        <w:rPr>
          <w:rFonts w:ascii="Consolas" w:hAnsi="Consolas" w:cs="Consolas"/>
          <w:b w:val="0"/>
          <w:i w:val="0"/>
          <w:sz w:val="15"/>
        </w:rPr>
        <w:t xml:space="preserve">  medium_count INTEGER,</w:t>
      </w:r>
    </w:p>
    <w:p>
      <w:pPr>
        <w:spacing w:after="0" w:before="0" w:line="240" w:lineRule="auto"/>
        <w:ind w:left="57"/>
        <w:jc w:val="left"/>
        <w:shd w:val="clear" w:fill="F2F2F2"/>
      </w:pPr>
      <w:r>
        <w:rPr>
          <w:rFonts w:ascii="Consolas" w:hAnsi="Consolas" w:cs="Consolas"/>
          <w:b w:val="0"/>
          <w:i w:val="0"/>
          <w:sz w:val="15"/>
        </w:rPr>
        <w:t xml:space="preserve">  low_count INTEGER,</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Threat intelligence feeds cache</w:t>
      </w:r>
    </w:p>
    <w:p>
      <w:pPr>
        <w:spacing w:after="0" w:before="0" w:line="240" w:lineRule="auto"/>
        <w:ind w:left="57"/>
        <w:jc w:val="left"/>
        <w:shd w:val="clear" w:fill="F2F2F2"/>
      </w:pPr>
      <w:r>
        <w:rPr>
          <w:rFonts w:ascii="Consolas" w:hAnsi="Consolas" w:cs="Consolas"/>
          <w:b w:val="0"/>
          <w:i w:val="0"/>
          <w:sz w:val="15"/>
        </w:rPr>
        <w:t>CREATE TABLE threat_intel_cache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feed_name TEXT NOT NULL,</w:t>
      </w:r>
    </w:p>
    <w:p>
      <w:pPr>
        <w:spacing w:after="0" w:before="0" w:line="240" w:lineRule="auto"/>
        <w:ind w:left="57"/>
        <w:jc w:val="left"/>
        <w:shd w:val="clear" w:fill="F2F2F2"/>
      </w:pPr>
      <w:r>
        <w:rPr>
          <w:rFonts w:ascii="Consolas" w:hAnsi="Consolas" w:cs="Consolas"/>
          <w:b w:val="0"/>
          <w:i w:val="0"/>
          <w:sz w:val="15"/>
        </w:rPr>
        <w:t xml:space="preserve">  ioc_type TEXT NOT NULL,              -- 'IP', 'DOMAIN', 'HASH', 'URL', 'CVE'</w:t>
      </w:r>
    </w:p>
    <w:p>
      <w:pPr>
        <w:spacing w:after="0" w:before="0" w:line="240" w:lineRule="auto"/>
        <w:ind w:left="57"/>
        <w:jc w:val="left"/>
        <w:shd w:val="clear" w:fill="F2F2F2"/>
      </w:pPr>
      <w:r>
        <w:rPr>
          <w:rFonts w:ascii="Consolas" w:hAnsi="Consolas" w:cs="Consolas"/>
          <w:b w:val="0"/>
          <w:i w:val="0"/>
          <w:sz w:val="15"/>
        </w:rPr>
        <w:t xml:space="preserve">  ioc_value TEXT NOT NULL,</w:t>
      </w:r>
    </w:p>
    <w:p>
      <w:pPr>
        <w:spacing w:after="0" w:before="0" w:line="240" w:lineRule="auto"/>
        <w:ind w:left="57"/>
        <w:jc w:val="left"/>
        <w:shd w:val="clear" w:fill="F2F2F2"/>
      </w:pPr>
      <w:r>
        <w:rPr>
          <w:rFonts w:ascii="Consolas" w:hAnsi="Consolas" w:cs="Consolas"/>
          <w:b w:val="0"/>
          <w:i w:val="0"/>
          <w:sz w:val="15"/>
        </w:rPr>
        <w:t xml:space="preserve">  severity TEXT DEFAULT 'MEDIUM',</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source_url TEXT,</w:t>
      </w:r>
    </w:p>
    <w:p>
      <w:pPr>
        <w:spacing w:after="0" w:before="0" w:line="240" w:lineRule="auto"/>
        <w:ind w:left="57"/>
        <w:jc w:val="left"/>
        <w:shd w:val="clear" w:fill="F2F2F2"/>
      </w:pPr>
      <w:r>
        <w:rPr>
          <w:rFonts w:ascii="Consolas" w:hAnsi="Consolas" w:cs="Consolas"/>
          <w:b w:val="0"/>
          <w:i w:val="0"/>
          <w:sz w:val="15"/>
        </w:rPr>
        <w:t xml:space="preserve">  detected_at TIMESTAMPTZ,</w:t>
      </w:r>
    </w:p>
    <w:p>
      <w:pPr>
        <w:spacing w:after="0" w:before="0" w:line="240" w:lineRule="auto"/>
        <w:ind w:left="57"/>
        <w:jc w:val="left"/>
        <w:shd w:val="clear" w:fill="F2F2F2"/>
      </w:pPr>
      <w:r>
        <w:rPr>
          <w:rFonts w:ascii="Consolas" w:hAnsi="Consolas" w:cs="Consolas"/>
          <w:b w:val="0"/>
          <w:i w:val="0"/>
          <w:sz w:val="15"/>
        </w:rPr>
        <w:t xml:space="preserve">  expires_at TIMESTAMPTZ,</w:t>
      </w:r>
    </w:p>
    <w:p>
      <w:pPr>
        <w:spacing w:after="0" w:before="0" w:line="240" w:lineRule="auto"/>
        <w:ind w:left="57"/>
        <w:jc w:val="left"/>
        <w:shd w:val="clear" w:fill="F2F2F2"/>
      </w:pPr>
      <w:r>
        <w:rPr>
          <w:rFonts w:ascii="Consolas" w:hAnsi="Consolas" w:cs="Consolas"/>
          <w:b w:val="0"/>
          <w:i w:val="0"/>
          <w:sz w:val="15"/>
        </w:rPr>
        <w:t xml:space="preserve">  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idx_incidents_status ON incidents(status);</w:t>
      </w:r>
    </w:p>
    <w:p>
      <w:pPr>
        <w:spacing w:after="0" w:before="0" w:line="240" w:lineRule="auto"/>
        <w:ind w:left="57"/>
        <w:jc w:val="left"/>
        <w:shd w:val="clear" w:fill="F2F2F2"/>
      </w:pPr>
      <w:r>
        <w:rPr>
          <w:rFonts w:ascii="Consolas" w:hAnsi="Consolas" w:cs="Consolas"/>
          <w:b w:val="0"/>
          <w:i w:val="0"/>
          <w:sz w:val="15"/>
        </w:rPr>
        <w:t>CREATE INDEX idx_incidents_severity ON incidents(severity);</w:t>
      </w:r>
    </w:p>
    <w:p>
      <w:pPr>
        <w:spacing w:after="0" w:before="0" w:line="240" w:lineRule="auto"/>
        <w:ind w:left="57"/>
        <w:jc w:val="left"/>
        <w:shd w:val="clear" w:fill="F2F2F2"/>
      </w:pPr>
      <w:r>
        <w:rPr>
          <w:rFonts w:ascii="Consolas" w:hAnsi="Consolas" w:cs="Consolas"/>
          <w:b w:val="0"/>
          <w:i w:val="0"/>
          <w:sz w:val="15"/>
        </w:rPr>
        <w:t>CREATE INDEX idx_incidents_started ON incidents(started_at DESC);</w:t>
      </w:r>
    </w:p>
    <w:p>
      <w:pPr>
        <w:spacing w:after="0" w:before="0" w:line="240" w:lineRule="auto"/>
        <w:ind w:left="57"/>
        <w:jc w:val="left"/>
        <w:shd w:val="clear" w:fill="F2F2F2"/>
      </w:pPr>
      <w:r>
        <w:rPr>
          <w:rFonts w:ascii="Consolas" w:hAnsi="Consolas" w:cs="Consolas"/>
          <w:b w:val="0"/>
          <w:i w:val="0"/>
          <w:sz w:val="15"/>
        </w:rPr>
        <w:t>CREATE INDEX idx_incident_events_incident ON incident_events(incident_id);</w:t>
      </w:r>
    </w:p>
    <w:p>
      <w:pPr>
        <w:spacing w:after="0" w:before="0" w:line="240" w:lineRule="auto"/>
        <w:ind w:left="57"/>
        <w:jc w:val="left"/>
        <w:shd w:val="clear" w:fill="F2F2F2"/>
      </w:pPr>
      <w:r>
        <w:rPr>
          <w:rFonts w:ascii="Consolas" w:hAnsi="Consolas" w:cs="Consolas"/>
          <w:b w:val="0"/>
          <w:i w:val="0"/>
          <w:sz w:val="15"/>
        </w:rPr>
        <w:t>CREATE INDEX idx_security_events_type ON security_events(event_type);</w:t>
      </w:r>
    </w:p>
    <w:p>
      <w:pPr>
        <w:spacing w:after="0" w:before="0" w:line="240" w:lineRule="auto"/>
        <w:ind w:left="57"/>
        <w:jc w:val="left"/>
        <w:shd w:val="clear" w:fill="F2F2F2"/>
      </w:pPr>
      <w:r>
        <w:rPr>
          <w:rFonts w:ascii="Consolas" w:hAnsi="Consolas" w:cs="Consolas"/>
          <w:b w:val="0"/>
          <w:i w:val="0"/>
          <w:sz w:val="15"/>
        </w:rPr>
        <w:t>CREATE INDEX idx_security_events_severity ON security_events(severity);</w:t>
      </w:r>
    </w:p>
    <w:p>
      <w:pPr>
        <w:spacing w:after="0" w:before="0" w:line="240" w:lineRule="auto"/>
        <w:ind w:left="57"/>
        <w:jc w:val="left"/>
        <w:shd w:val="clear" w:fill="F2F2F2"/>
      </w:pPr>
      <w:r>
        <w:rPr>
          <w:rFonts w:ascii="Consolas" w:hAnsi="Consolas" w:cs="Consolas"/>
          <w:b w:val="0"/>
          <w:i w:val="0"/>
          <w:sz w:val="15"/>
        </w:rPr>
        <w:t>CREATE INDEX idx_security_events_created ON security_events(created_at DESC);</w:t>
      </w:r>
    </w:p>
    <w:p>
      <w:pPr>
        <w:spacing w:after="0" w:before="0" w:line="240" w:lineRule="auto"/>
        <w:ind w:left="57"/>
        <w:jc w:val="left"/>
        <w:shd w:val="clear" w:fill="F2F2F2"/>
      </w:pPr>
      <w:r>
        <w:rPr>
          <w:rFonts w:ascii="Consolas" w:hAnsi="Consolas" w:cs="Consolas"/>
          <w:b w:val="0"/>
          <w:i w:val="0"/>
          <w:sz w:val="15"/>
        </w:rPr>
        <w:t>CREATE INDEX idx_threat_findings_incident ON threat_findings(incident_id);</w:t>
      </w:r>
    </w:p>
    <w:p>
      <w:pPr>
        <w:spacing w:after="0" w:before="0" w:line="240" w:lineRule="auto"/>
        <w:ind w:left="57"/>
        <w:jc w:val="left"/>
        <w:shd w:val="clear" w:fill="F2F2F2"/>
      </w:pPr>
      <w:r>
        <w:rPr>
          <w:rFonts w:ascii="Consolas" w:hAnsi="Consolas" w:cs="Consolas"/>
          <w:b w:val="0"/>
          <w:i w:val="0"/>
          <w:sz w:val="15"/>
        </w:rPr>
        <w:t>CREATE INDEX idx_threat_findings_severity ON threat_findings(severity);</w:t>
      </w:r>
    </w:p>
    <w:p>
      <w:pPr>
        <w:spacing w:after="0" w:before="0" w:line="240" w:lineRule="auto"/>
        <w:ind w:left="57"/>
        <w:jc w:val="left"/>
        <w:shd w:val="clear" w:fill="F2F2F2"/>
      </w:pPr>
      <w:r>
        <w:rPr>
          <w:rFonts w:ascii="Consolas" w:hAnsi="Consolas" w:cs="Consolas"/>
          <w:b w:val="0"/>
          <w:i w:val="0"/>
          <w:sz w:val="15"/>
        </w:rPr>
        <w:t>CREATE INDEX idx_threat_findings_resolved ON threat_findings(resolved) WHERE resolved = false;</w:t>
      </w:r>
    </w:p>
    <w:p>
      <w:pPr>
        <w:spacing w:after="0" w:before="0" w:line="240" w:lineRule="auto"/>
        <w:ind w:left="57"/>
        <w:jc w:val="left"/>
        <w:shd w:val="clear" w:fill="F2F2F2"/>
      </w:pPr>
      <w:r>
        <w:rPr>
          <w:rFonts w:ascii="Consolas" w:hAnsi="Consolas" w:cs="Consolas"/>
          <w:b w:val="0"/>
          <w:i w:val="0"/>
          <w:sz w:val="15"/>
        </w:rPr>
        <w:t>CREATE INDEX idx_threat_intel_cache_ioc ON threat_intel_cache(ioc_type, ioc_value);</w:t>
      </w:r>
    </w:p>
    <w:p>
      <w:pPr>
        <w:spacing w:after="0" w:before="0" w:line="240" w:lineRule="auto"/>
        <w:ind w:left="57"/>
        <w:jc w:val="left"/>
        <w:shd w:val="clear" w:fill="F2F2F2"/>
      </w:pPr>
      <w:r>
        <w:rPr>
          <w:rFonts w:ascii="Consolas" w:hAnsi="Consolas" w:cs="Consolas"/>
          <w:b w:val="0"/>
          <w:i w:val="0"/>
          <w:sz w:val="15"/>
        </w:rPr>
        <w:t>CREATE INDEX idx_threat_intel_cache_active ON threat_intel_cache(active) WHERE active = true;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21.7.1 Security Implementation Checklist</w:t>
      </w:r>
    </w:p>
    <w:p>
      <w:pPr>
        <w:spacing w:after="80" w:line="293" w:lineRule="auto"/>
        <w:jc w:val="left"/>
      </w:pPr>
      <w:r>
        <w:rPr>
          <w:rFonts w:ascii="Times New Roman" w:hAnsi="Times New Roman" w:cs="Times New Roman"/>
          <w:b w:val="0"/>
          <w:i w:val="0"/>
          <w:sz w:val="22"/>
        </w:rPr>
        <w:t>Core security infrastructure:</w:t>
      </w:r>
    </w:p>
    <w:p>
      <w:pPr>
        <w:spacing w:after="80" w:line="293" w:lineRule="auto"/>
        <w:ind w:left="283"/>
        <w:jc w:val="left"/>
      </w:pPr>
      <w:r>
        <w:rPr>
          <w:rFonts w:ascii="Times New Roman" w:hAnsi="Times New Roman" w:cs="Times New Roman"/>
          <w:b w:val="0"/>
          <w:i w:val="0"/>
          <w:sz w:val="22"/>
        </w:rPr>
        <w:t>- Deploy the security monitoring stack (Prometheus, Grafana, Loki, Jaeger, Falco).</w:t>
      </w:r>
    </w:p>
    <w:p>
      <w:pPr>
        <w:spacing w:after="80" w:line="293" w:lineRule="auto"/>
        <w:ind w:left="283"/>
        <w:jc w:val="left"/>
      </w:pPr>
      <w:r>
        <w:rPr>
          <w:rFonts w:ascii="Times New Roman" w:hAnsi="Times New Roman" w:cs="Times New Roman"/>
          <w:b w:val="0"/>
          <w:i w:val="0"/>
          <w:sz w:val="22"/>
        </w:rPr>
        <w:t>- Configure Cilium network policies (allowlist only).</w:t>
      </w:r>
    </w:p>
    <w:p>
      <w:pPr>
        <w:spacing w:after="80" w:line="293" w:lineRule="auto"/>
        <w:ind w:left="283"/>
        <w:jc w:val="left"/>
      </w:pPr>
      <w:r>
        <w:rPr>
          <w:rFonts w:ascii="Times New Roman" w:hAnsi="Times New Roman" w:cs="Times New Roman"/>
          <w:b w:val="0"/>
          <w:i w:val="0"/>
          <w:sz w:val="22"/>
        </w:rPr>
        <w:t>- Enable pgaudit on PostgreSQL and ship logs to Loki.</w:t>
      </w:r>
    </w:p>
    <w:p>
      <w:pPr>
        <w:spacing w:after="80" w:line="293" w:lineRule="auto"/>
        <w:ind w:left="283"/>
        <w:jc w:val="left"/>
      </w:pPr>
      <w:r>
        <w:rPr>
          <w:rFonts w:ascii="Times New Roman" w:hAnsi="Times New Roman" w:cs="Times New Roman"/>
          <w:b w:val="0"/>
          <w:i w:val="0"/>
          <w:sz w:val="22"/>
        </w:rPr>
        <w:t>- Set up audit-chain-verifier as a cron job (hourly).</w:t>
      </w:r>
    </w:p>
    <w:p>
      <w:pPr>
        <w:spacing w:after="80" w:line="293" w:lineRule="auto"/>
        <w:ind w:left="283"/>
        <w:jc w:val="left"/>
      </w:pPr>
      <w:r>
        <w:rPr>
          <w:rFonts w:ascii="Times New Roman" w:hAnsi="Times New Roman" w:cs="Times New Roman"/>
          <w:b w:val="0"/>
          <w:i w:val="0"/>
          <w:sz w:val="22"/>
        </w:rPr>
        <w:t>- Deploy pentest-service with OWASP ZAP, nuclei, Trivy (staging environment).</w:t>
      </w:r>
    </w:p>
    <w:p>
      <w:pPr>
        <w:spacing w:after="80" w:line="293" w:lineRule="auto"/>
        <w:jc w:val="left"/>
      </w:pPr>
      <w:r>
        <w:rPr>
          <w:rFonts w:ascii="Times New Roman" w:hAnsi="Times New Roman" w:cs="Times New Roman"/>
          <w:b w:val="0"/>
          <w:i w:val="0"/>
          <w:sz w:val="22"/>
        </w:rPr>
        <w:t>Threat intelligence &amp; anomaly detection:</w:t>
      </w:r>
    </w:p>
    <w:p>
      <w:pPr>
        <w:spacing w:after="80" w:line="293" w:lineRule="auto"/>
        <w:ind w:left="283"/>
        <w:jc w:val="left"/>
      </w:pPr>
      <w:r>
        <w:rPr>
          <w:rFonts w:ascii="Times New Roman" w:hAnsi="Times New Roman" w:cs="Times New Roman"/>
          <w:b w:val="0"/>
          <w:i w:val="0"/>
          <w:sz w:val="22"/>
        </w:rPr>
        <w:t>- Integrate threat intelligence feeds (AlienVault OTX, MISP) into threat-intel-agent.</w:t>
      </w:r>
    </w:p>
    <w:p>
      <w:pPr>
        <w:spacing w:after="80" w:line="293" w:lineRule="auto"/>
        <w:ind w:left="283"/>
        <w:jc w:val="left"/>
      </w:pPr>
      <w:r>
        <w:rPr>
          <w:rFonts w:ascii="Times New Roman" w:hAnsi="Times New Roman" w:cs="Times New Roman"/>
          <w:b w:val="0"/>
          <w:i w:val="0"/>
          <w:sz w:val="22"/>
        </w:rPr>
        <w:t>- Configure Prometheus Alertmanager to route alerts to Smart Inbox and on-call phone.</w:t>
      </w:r>
    </w:p>
    <w:p>
      <w:pPr>
        <w:spacing w:after="80" w:line="293" w:lineRule="auto"/>
        <w:ind w:left="283"/>
        <w:jc w:val="left"/>
      </w:pPr>
      <w:r>
        <w:rPr>
          <w:rFonts w:ascii="Times New Roman" w:hAnsi="Times New Roman" w:cs="Times New Roman"/>
          <w:b w:val="0"/>
          <w:i w:val="0"/>
          <w:sz w:val="22"/>
        </w:rPr>
        <w:t>- Deploy the security-events table for SIEM-like aggregation.</w:t>
      </w:r>
    </w:p>
    <w:p>
      <w:pPr>
        <w:spacing w:after="80" w:line="293" w:lineRule="auto"/>
        <w:ind w:left="283"/>
        <w:jc w:val="left"/>
      </w:pPr>
      <w:r>
        <w:rPr>
          <w:rFonts w:ascii="Times New Roman" w:hAnsi="Times New Roman" w:cs="Times New Roman"/>
          <w:b w:val="0"/>
          <w:i w:val="0"/>
          <w:sz w:val="22"/>
        </w:rPr>
        <w:t>- Implement anomaly detection for security events (Isolation Forest, A2).</w:t>
      </w:r>
    </w:p>
    <w:p>
      <w:pPr>
        <w:spacing w:after="80" w:line="293" w:lineRule="auto"/>
        <w:jc w:val="left"/>
      </w:pPr>
      <w:r>
        <w:rPr>
          <w:rFonts w:ascii="Times New Roman" w:hAnsi="Times New Roman" w:cs="Times New Roman"/>
          <w:b w:val="0"/>
          <w:i w:val="0"/>
          <w:sz w:val="22"/>
        </w:rPr>
        <w:t>STRIDE &amp; MITRE:</w:t>
      </w:r>
    </w:p>
    <w:p>
      <w:pPr>
        <w:spacing w:after="80" w:line="293" w:lineRule="auto"/>
        <w:ind w:left="283"/>
        <w:jc w:val="left"/>
      </w:pPr>
      <w:r>
        <w:rPr>
          <w:rFonts w:ascii="Times New Roman" w:hAnsi="Times New Roman" w:cs="Times New Roman"/>
          <w:b w:val="0"/>
          <w:i w:val="0"/>
          <w:sz w:val="22"/>
        </w:rPr>
        <w:t>- Run the initial STRIDE analysis (Rig agent) and baseline risk register.</w:t>
      </w:r>
    </w:p>
    <w:p>
      <w:pPr>
        <w:spacing w:after="80" w:line="293" w:lineRule="auto"/>
        <w:ind w:left="283"/>
        <w:jc w:val="left"/>
      </w:pPr>
      <w:r>
        <w:rPr>
          <w:rFonts w:ascii="Times New Roman" w:hAnsi="Times New Roman" w:cs="Times New Roman"/>
          <w:b w:val="0"/>
          <w:i w:val="0"/>
          <w:sz w:val="22"/>
        </w:rPr>
        <w:t>- Map controls to MITRE ATT&amp;CK techniques.</w:t>
      </w:r>
    </w:p>
    <w:p>
      <w:pPr>
        <w:spacing w:after="80" w:line="293" w:lineRule="auto"/>
        <w:ind w:left="283"/>
        <w:jc w:val="left"/>
      </w:pPr>
      <w:r>
        <w:rPr>
          <w:rFonts w:ascii="Times New Roman" w:hAnsi="Times New Roman" w:cs="Times New Roman"/>
          <w:b w:val="0"/>
          <w:i w:val="0"/>
          <w:sz w:val="22"/>
        </w:rPr>
        <w:t>- Create the threat findings database and reporting.</w:t>
      </w:r>
    </w:p>
    <w:p>
      <w:pPr>
        <w:spacing w:after="80" w:line="293" w:lineRule="auto"/>
        <w:jc w:val="left"/>
      </w:pPr>
      <w:r>
        <w:rPr>
          <w:rFonts w:ascii="Times New Roman" w:hAnsi="Times New Roman" w:cs="Times New Roman"/>
          <w:b w:val="0"/>
          <w:i w:val="0"/>
          <w:sz w:val="22"/>
        </w:rPr>
        <w:t>Incident response:</w:t>
      </w:r>
    </w:p>
    <w:p>
      <w:pPr>
        <w:spacing w:after="80" w:line="293" w:lineRule="auto"/>
        <w:ind w:left="283"/>
        <w:jc w:val="left"/>
      </w:pPr>
      <w:r>
        <w:rPr>
          <w:rFonts w:ascii="Times New Roman" w:hAnsi="Times New Roman" w:cs="Times New Roman"/>
          <w:b w:val="0"/>
          <w:i w:val="0"/>
          <w:sz w:val="22"/>
        </w:rPr>
        <w:t>- Test the incident response playbook with a simulated Loom chain breach.</w:t>
      </w:r>
    </w:p>
    <w:p>
      <w:pPr>
        <w:spacing w:after="80" w:line="293" w:lineRule="auto"/>
        <w:ind w:left="283"/>
        <w:jc w:val="left"/>
      </w:pPr>
      <w:r>
        <w:rPr>
          <w:rFonts w:ascii="Times New Roman" w:hAnsi="Times New Roman" w:cs="Times New Roman"/>
          <w:b w:val="0"/>
          <w:i w:val="0"/>
          <w:sz w:val="22"/>
        </w:rPr>
        <w:t>- Implement the incident lifecycle (detection → containment → analysis → eradication → recovery → post-mortem).</w:t>
      </w:r>
    </w:p>
    <w:p>
      <w:pPr>
        <w:spacing w:after="80" w:line="293" w:lineRule="auto"/>
        <w:ind w:left="283"/>
        <w:jc w:val="left"/>
      </w:pPr>
      <w:r>
        <w:rPr>
          <w:rFonts w:ascii="Times New Roman" w:hAnsi="Times New Roman" w:cs="Times New Roman"/>
          <w:b w:val="0"/>
          <w:i w:val="0"/>
          <w:sz w:val="22"/>
        </w:rPr>
        <w:t>- Add Groq post-mortem generation.</w:t>
      </w:r>
    </w:p>
    <w:p>
      <w:pPr>
        <w:spacing w:after="80" w:line="293" w:lineRule="auto"/>
        <w:jc w:val="left"/>
      </w:pPr>
      <w:r>
        <w:rPr>
          <w:rFonts w:ascii="Times New Roman" w:hAnsi="Times New Roman" w:cs="Times New Roman"/>
          <w:b w:val="0"/>
          <w:i w:val="0"/>
          <w:sz w:val="22"/>
        </w:rPr>
        <w:t>Data protection:</w:t>
      </w:r>
    </w:p>
    <w:p>
      <w:pPr>
        <w:spacing w:after="80" w:line="293" w:lineRule="auto"/>
        <w:ind w:left="283"/>
        <w:jc w:val="left"/>
      </w:pPr>
      <w:r>
        <w:rPr>
          <w:rFonts w:ascii="Times New Roman" w:hAnsi="Times New Roman" w:cs="Times New Roman"/>
          <w:b w:val="0"/>
          <w:i w:val="0"/>
          <w:sz w:val="22"/>
        </w:rPr>
        <w:t>- Classify all data (PUBLIC, INTERNAL, CONFIDENTIAL, REGULATED, ANONYMISED).</w:t>
      </w:r>
    </w:p>
    <w:p>
      <w:pPr>
        <w:spacing w:after="80" w:line="293" w:lineRule="auto"/>
        <w:ind w:left="283"/>
        <w:jc w:val="left"/>
      </w:pPr>
      <w:r>
        <w:rPr>
          <w:rFonts w:ascii="Times New Roman" w:hAnsi="Times New Roman" w:cs="Times New Roman"/>
          <w:b w:val="0"/>
          <w:i w:val="0"/>
          <w:sz w:val="22"/>
        </w:rPr>
        <w:t>- Implement field-level encryption for personal data.</w:t>
      </w:r>
    </w:p>
    <w:p>
      <w:pPr>
        <w:spacing w:after="80" w:line="293" w:lineRule="auto"/>
        <w:ind w:left="283"/>
        <w:jc w:val="left"/>
      </w:pPr>
      <w:r>
        <w:rPr>
          <w:rFonts w:ascii="Times New Roman" w:hAnsi="Times New Roman" w:cs="Times New Roman"/>
          <w:b w:val="0"/>
          <w:i w:val="0"/>
          <w:sz w:val="22"/>
        </w:rPr>
        <w:t>- Set up data retention and deletion policies (Section 21.9.8).</w:t>
      </w:r>
    </w:p>
    <w:p>
      <w:pPr>
        <w:spacing w:after="80" w:line="293" w:lineRule="auto"/>
        <w:jc w:val="left"/>
      </w:pPr>
      <w:r>
        <w:rPr>
          <w:rFonts w:ascii="Times New Roman" w:hAnsi="Times New Roman" w:cs="Times New Roman"/>
          <w:b w:val="0"/>
          <w:i w:val="0"/>
          <w:sz w:val="22"/>
        </w:rPr>
        <w:t>Extended feature tests:</w:t>
      </w:r>
    </w:p>
    <w:p>
      <w:pPr>
        <w:spacing w:after="80" w:line="293" w:lineRule="auto"/>
        <w:ind w:left="283"/>
        <w:jc w:val="left"/>
      </w:pPr>
      <w:r>
        <w:rPr>
          <w:rFonts w:ascii="Times New Roman" w:hAnsi="Times New Roman" w:cs="Times New Roman"/>
          <w:b w:val="0"/>
          <w:i w:val="0"/>
          <w:sz w:val="22"/>
        </w:rPr>
        <w:t>- Add tests for dual-mode context enforcement (OPA unit tests).</w:t>
      </w:r>
    </w:p>
    <w:p>
      <w:pPr>
        <w:spacing w:after="80" w:line="293" w:lineRule="auto"/>
        <w:ind w:left="283"/>
        <w:jc w:val="left"/>
      </w:pPr>
      <w:r>
        <w:rPr>
          <w:rFonts w:ascii="Times New Roman" w:hAnsi="Times New Roman" w:cs="Times New Roman"/>
          <w:b w:val="0"/>
          <w:i w:val="0"/>
          <w:sz w:val="22"/>
        </w:rPr>
        <w:t>- Add tests for conditional QC hold blocking settlement.</w:t>
      </w:r>
    </w:p>
    <w:p>
      <w:pPr>
        <w:spacing w:after="80" w:line="293" w:lineRule="auto"/>
        <w:ind w:left="283"/>
        <w:jc w:val="left"/>
      </w:pPr>
      <w:r>
        <w:rPr>
          <w:rFonts w:ascii="Times New Roman" w:hAnsi="Times New Roman" w:cs="Times New Roman"/>
          <w:b w:val="0"/>
          <w:i w:val="0"/>
          <w:sz w:val="22"/>
        </w:rPr>
        <w:t>- Add tests for deferred payment guarantee expiry handling.</w:t>
      </w:r>
    </w:p>
    <w:p>
      <w:pPr>
        <w:spacing w:after="80" w:line="293" w:lineRule="auto"/>
        <w:ind w:left="283"/>
        <w:jc w:val="left"/>
      </w:pPr>
      <w:r>
        <w:rPr>
          <w:rFonts w:ascii="Times New Roman" w:hAnsi="Times New Roman" w:cs="Times New Roman"/>
          <w:b w:val="0"/>
          <w:i w:val="0"/>
          <w:sz w:val="22"/>
        </w:rPr>
        <w:t>- Add ZK proof verification tests (Plonky3).</w:t>
      </w:r>
    </w:p>
    <w:p>
      <w:pPr>
        <w:spacing w:after="80" w:line="293" w:lineRule="auto"/>
        <w:ind w:left="283"/>
        <w:jc w:val="left"/>
      </w:pPr>
      <w:r>
        <w:rPr>
          <w:rFonts w:ascii="Times New Roman" w:hAnsi="Times New Roman" w:cs="Times New Roman"/>
          <w:b w:val="0"/>
          <w:i w:val="0"/>
          <w:sz w:val="22"/>
        </w:rPr>
        <w:t>- Add Trust Passport revocation tests.</w:t>
      </w:r>
    </w:p>
    <w:p>
      <w:pPr>
        <w:spacing w:after="80" w:line="293" w:lineRule="auto"/>
        <w:ind w:left="283"/>
        <w:jc w:val="left"/>
      </w:pPr>
      <w:r>
        <w:rPr>
          <w:rFonts w:ascii="Times New Roman" w:hAnsi="Times New Roman" w:cs="Times New Roman"/>
          <w:b w:val="0"/>
          <w:i w:val="0"/>
          <w:sz w:val="22"/>
        </w:rPr>
        <w:t>- Add cross-border payment routing jurisdiction tests.</w:t>
      </w:r>
    </w:p>
    <w:p>
      <w:pPr>
        <w:spacing w:after="80" w:line="293" w:lineRule="auto"/>
        <w:ind w:left="283"/>
        <w:jc w:val="left"/>
      </w:pPr>
      <w:r>
        <w:rPr>
          <w:rFonts w:ascii="Times New Roman" w:hAnsi="Times New Roman" w:cs="Times New Roman"/>
          <w:b w:val="0"/>
          <w:i w:val="0"/>
          <w:sz w:val="22"/>
        </w:rPr>
        <w:t>- Add Trade Memory opt-out enforcement tests.</w:t>
      </w:r>
    </w:p>
    <w:p>
      <w:pPr>
        <w:spacing w:after="80" w:line="293" w:lineRule="auto"/>
        <w:jc w:val="left"/>
      </w:pPr>
      <w:r>
        <w:rPr>
          <w:rFonts w:ascii="Times New Roman" w:hAnsi="Times New Roman" w:cs="Times New Roman"/>
          <w:b w:val="0"/>
          <w:i w:val="0"/>
          <w:sz w:val="22"/>
        </w:rPr>
        <w:t>Reporting &amp; compliance:</w:t>
      </w:r>
    </w:p>
    <w:p>
      <w:pPr>
        <w:spacing w:after="80" w:line="293" w:lineRule="auto"/>
        <w:ind w:left="283"/>
        <w:jc w:val="left"/>
      </w:pPr>
      <w:r>
        <w:rPr>
          <w:rFonts w:ascii="Times New Roman" w:hAnsi="Times New Roman" w:cs="Times New Roman"/>
          <w:b w:val="0"/>
          <w:i w:val="0"/>
          <w:sz w:val="22"/>
        </w:rPr>
        <w:t>- Generate the first weekly security report using the Groq summariser.</w:t>
      </w:r>
    </w:p>
    <w:p>
      <w:pPr>
        <w:spacing w:after="80" w:line="293" w:lineRule="auto"/>
        <w:ind w:left="283"/>
        <w:jc w:val="left"/>
      </w:pPr>
      <w:r>
        <w:rPr>
          <w:rFonts w:ascii="Times New Roman" w:hAnsi="Times New Roman" w:cs="Times New Roman"/>
          <w:b w:val="0"/>
          <w:i w:val="0"/>
          <w:sz w:val="22"/>
        </w:rPr>
        <w:t>- Set up compliance report generation (weekly pentest, monthly compliance, quarterly risk).</w:t>
      </w:r>
    </w:p>
    <w:p>
      <w:pPr>
        <w:spacing w:after="80" w:line="293" w:lineRule="auto"/>
        <w:ind w:left="283"/>
        <w:jc w:val="left"/>
      </w:pPr>
      <w:r>
        <w:rPr>
          <w:rFonts w:ascii="Times New Roman" w:hAnsi="Times New Roman" w:cs="Times New Roman"/>
          <w:b w:val="0"/>
          <w:i w:val="0"/>
          <w:sz w:val="22"/>
        </w:rPr>
        <w:t>- Create the Admin Portal security dashboard.</w:t>
      </w:r>
    </w:p>
    <w:p>
      <w:pPr>
        <w:spacing w:after="80" w:line="293" w:lineRule="auto"/>
        <w:jc w:val="left"/>
      </w:pPr>
      <w:r>
        <w:rPr>
          <w:rFonts w:ascii="Times New Roman" w:hAnsi="Times New Roman" w:cs="Times New Roman"/>
          <w:b w:val="0"/>
          <w:i w:val="0"/>
          <w:sz w:val="22"/>
        </w:rPr>
        <w:t>Continuous security operations: weekly automated penetration testing with findings triaged through threat_findings (severity CRITICAL/HIGH/MEDIUM/LOW, CVE linkage, remediation tracking); daily vulnerability scans; chaos engineering experiments with Groq-summarised results; predictive hardware-failure models; and AI-generated post-incident analyses are standing operations. All security-relevant events are Loom-logged; no security control depends on obscurity.</w:t>
      </w:r>
    </w:p>
    <w:p>
      <w:pPr>
        <w:keepNext/>
        <w:spacing w:before="240" w:after="100"/>
        <w:outlineLvl w:val="1"/>
      </w:pPr>
      <w:r>
        <w:rPr>
          <w:rFonts w:ascii="Arial" w:hAnsi="Arial" w:cs="Arial"/>
          <w:b/>
          <w:i w:val="0"/>
          <w:color w:val="2E528F"/>
          <w:sz w:val="26"/>
        </w:rPr>
        <w:t>21.8 SLA &amp; Uptime Guarantees</w:t>
      </w:r>
    </w:p>
    <w:p>
      <w:pPr>
        <w:keepNext/>
        <w:spacing w:before="180" w:after="80"/>
        <w:outlineLvl w:val="2"/>
      </w:pPr>
      <w:r>
        <w:rPr>
          <w:rFonts w:ascii="Arial" w:hAnsi="Arial" w:cs="Arial"/>
          <w:b/>
          <w:i w:val="0"/>
          <w:color w:val="333333"/>
          <w:sz w:val="23"/>
        </w:rPr>
        <w:t>21.8.1 Purpose &amp; Principles</w:t>
      </w:r>
    </w:p>
    <w:p>
      <w:pPr>
        <w:spacing w:after="80" w:line="293" w:lineRule="auto"/>
        <w:jc w:val="left"/>
      </w:pPr>
      <w:r>
        <w:rPr>
          <w:rFonts w:ascii="Times New Roman" w:hAnsi="Times New Roman" w:cs="Times New Roman"/>
          <w:b w:val="0"/>
          <w:i w:val="0"/>
          <w:sz w:val="22"/>
        </w:rPr>
        <w:t>These commitments cover availability, latency, recovery time objectives (RTO), and recovery point objectives (RPO) for all critical services that directly affect a tenant's ability to initiate, track, settle, or manage trades, financing agreements, distressed cargo, or disputes. The SLAs are contractually binding under the Master Service Agreement and are monitored entirely by self-hosted, zero-cost open-source tools (Prometheus, Grafana, Loki, Blackbox exporter, custom sla-monitor in Rust). No external monitoring service or paid application performance monitoring (APM) is used. AI assistance in SLA management is advisory only: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AI Level</w:t>
            </w:r>
          </w:p>
        </w:tc>
        <w:tc>
          <w:tcPr>
            <w:tcW w:type="dxa" w:w="4819"/>
            <w:shd w:val="clear" w:fill="D9E2F3"/>
          </w:tcPr>
          <w:p>
            <w:pPr>
              <w:spacing w:after="20" w:before="20" w:line="240" w:lineRule="auto"/>
            </w:pPr>
            <w:r/>
            <w:r>
              <w:rPr>
                <w:rFonts w:ascii="Arial" w:hAnsi="Arial" w:cs="Arial"/>
                <w:b/>
                <w:i w:val="0"/>
                <w:sz w:val="18"/>
              </w:rPr>
              <w:t>Use Cases</w:t>
            </w:r>
          </w:p>
        </w:tc>
      </w:tr>
      <w:tr>
        <w:tc>
          <w:tcPr>
            <w:tcW w:type="dxa" w:w="4819"/>
          </w:tcPr>
          <w:p>
            <w:pPr>
              <w:spacing w:after="20" w:before="20" w:line="240" w:lineRule="auto"/>
            </w:pPr>
            <w:r/>
            <w:r>
              <w:rPr>
                <w:rFonts w:ascii="Arial" w:hAnsi="Arial" w:cs="Arial"/>
                <w:b w:val="0"/>
                <w:i w:val="0"/>
                <w:sz w:val="17"/>
              </w:rPr>
              <w:t>A1 (Groq → Ollama)</w:t>
            </w:r>
          </w:p>
        </w:tc>
        <w:tc>
          <w:tcPr>
            <w:tcW w:type="dxa" w:w="4819"/>
          </w:tcPr>
          <w:p>
            <w:pPr>
              <w:spacing w:after="20" w:before="20" w:line="240" w:lineRule="auto"/>
            </w:pPr>
            <w:r/>
            <w:r>
              <w:rPr>
                <w:rFonts w:ascii="Arial" w:hAnsi="Arial" w:cs="Arial"/>
                <w:b w:val="0"/>
                <w:i w:val="0"/>
                <w:sz w:val="17"/>
              </w:rPr>
              <w:t>Generates plain-language SLA reports, post-mortem summaries, and predictive uptime forecasts</w:t>
            </w:r>
          </w:p>
        </w:tc>
      </w:tr>
      <w:tr>
        <w:tc>
          <w:tcPr>
            <w:tcW w:type="dxa" w:w="4819"/>
          </w:tcPr>
          <w:p>
            <w:pPr>
              <w:spacing w:after="20" w:before="20" w:line="240" w:lineRule="auto"/>
            </w:pPr>
            <w:r/>
            <w:r>
              <w:rPr>
                <w:rFonts w:ascii="Arial" w:hAnsi="Arial" w:cs="Arial"/>
                <w:b w:val="0"/>
                <w:i w:val="0"/>
                <w:sz w:val="17"/>
              </w:rPr>
              <w:t>A2 (HF local → Ollama)</w:t>
            </w:r>
          </w:p>
        </w:tc>
        <w:tc>
          <w:tcPr>
            <w:tcW w:type="dxa" w:w="4819"/>
          </w:tcPr>
          <w:p>
            <w:pPr>
              <w:spacing w:after="20" w:before="20" w:line="240" w:lineRule="auto"/>
            </w:pPr>
            <w:r/>
            <w:r>
              <w:rPr>
                <w:rFonts w:ascii="Arial" w:hAnsi="Arial" w:cs="Arial"/>
                <w:b w:val="0"/>
                <w:i w:val="0"/>
                <w:sz w:val="17"/>
              </w:rPr>
              <w:t>Analyses historical outage patterns to predict future risks (advisory, never blocks)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Transparency — all SLAs are published on a public status page (https://status.sgtx.io) and accessible via API.</w:t>
      </w:r>
    </w:p>
    <w:p>
      <w:pPr>
        <w:spacing w:after="80" w:line="293" w:lineRule="auto"/>
        <w:ind w:left="283"/>
        <w:jc w:val="left"/>
      </w:pPr>
      <w:r>
        <w:rPr>
          <w:rFonts w:ascii="Times New Roman" w:hAnsi="Times New Roman" w:cs="Times New Roman"/>
          <w:b w:val="0"/>
          <w:i w:val="0"/>
          <w:sz w:val="22"/>
        </w:rPr>
        <w:t>- Accountability — SLA credits are automatically calculated and applied to tenant statements; no manual claim</w:t>
      </w:r>
    </w:p>
    <w:p>
      <w:pPr>
        <w:spacing w:after="80" w:line="293" w:lineRule="auto"/>
        <w:jc w:val="left"/>
      </w:pPr>
      <w:r>
        <w:rPr>
          <w:rFonts w:ascii="Times New Roman" w:hAnsi="Times New Roman" w:cs="Times New Roman"/>
          <w:b w:val="0"/>
          <w:i w:val="0"/>
          <w:sz w:val="22"/>
        </w:rPr>
        <w:t>required.</w:t>
      </w:r>
    </w:p>
    <w:p>
      <w:pPr>
        <w:spacing w:after="80" w:line="293" w:lineRule="auto"/>
        <w:ind w:left="283"/>
        <w:jc w:val="left"/>
      </w:pPr>
      <w:r>
        <w:rPr>
          <w:rFonts w:ascii="Times New Roman" w:hAnsi="Times New Roman" w:cs="Times New Roman"/>
          <w:b w:val="0"/>
          <w:i w:val="0"/>
          <w:sz w:val="22"/>
        </w:rPr>
        <w:t>- Zero-cost monitoring — all probes run on the same bare-metal infrastructure; no cloud dependencies.</w:t>
      </w:r>
    </w:p>
    <w:p>
      <w:pPr>
        <w:spacing w:after="80" w:line="293" w:lineRule="auto"/>
        <w:ind w:left="283"/>
        <w:jc w:val="left"/>
      </w:pPr>
      <w:r>
        <w:rPr>
          <w:rFonts w:ascii="Times New Roman" w:hAnsi="Times New Roman" w:cs="Times New Roman"/>
          <w:b w:val="0"/>
          <w:i w:val="0"/>
          <w:sz w:val="22"/>
        </w:rPr>
        <w:t>- Continuous improvement — AI-driven post-mortems and predictive scaling reduce downtime over time.</w:t>
      </w:r>
    </w:p>
    <w:p>
      <w:pPr>
        <w:spacing w:after="80" w:line="293" w:lineRule="auto"/>
        <w:jc w:val="left"/>
      </w:pPr>
      <w:r>
        <w:rPr>
          <w:rFonts w:ascii="Times New Roman" w:hAnsi="Times New Roman" w:cs="Times New Roman"/>
          <w:b w:val="0"/>
          <w:i w:val="0"/>
          <w:sz w:val="22"/>
        </w:rPr>
        <w:t>Scope: all SLAs apply to the production environment (minimum three sovereign nodes, active-active). Development and sandbox environments have no SLA. For multi-shipment contracts, each shipment's services are monitored independently; a delay in one shipment does not affect the SLA for others. Conditional QC holds and deferred payment guarantees have their own SLAs defined in this section.</w:t>
      </w:r>
    </w:p>
    <w:p>
      <w:pPr>
        <w:spacing w:after="80" w:line="293" w:lineRule="auto"/>
        <w:jc w:val="left"/>
      </w:pPr>
      <w:r>
        <w:rPr>
          <w:rFonts w:ascii="Times New Roman" w:hAnsi="Times New Roman" w:cs="Times New Roman"/>
          <w:b w:val="0"/>
          <w:i w:val="0"/>
          <w:sz w:val="22"/>
        </w:rPr>
        <w:t>The SLAs apply to each sovereign node region (e.g., Cairo, Dubai, Frankfurt). Overall availability is measured per region; tenants are routed to the nearest healthy region via Anycast DNS.</w:t>
      </w:r>
    </w:p>
    <w:p>
      <w:pPr>
        <w:keepNext/>
        <w:spacing w:before="180" w:after="80"/>
        <w:outlineLvl w:val="2"/>
      </w:pPr>
      <w:r>
        <w:rPr>
          <w:rFonts w:ascii="Arial" w:hAnsi="Arial" w:cs="Arial"/>
          <w:b/>
          <w:i w:val="0"/>
          <w:color w:val="333333"/>
          <w:sz w:val="23"/>
        </w:rPr>
        <w:t>21.8.2 Core Platform SLAs (Production)</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Component</w:t>
            </w:r>
          </w:p>
        </w:tc>
        <w:tc>
          <w:tcPr>
            <w:tcW w:type="dxa" w:w="1606"/>
            <w:shd w:val="clear" w:fill="D9E2F3"/>
          </w:tcPr>
          <w:p>
            <w:pPr>
              <w:spacing w:after="20" w:before="20" w:line="240" w:lineRule="auto"/>
            </w:pPr>
            <w:r/>
            <w:r>
              <w:rPr>
                <w:rFonts w:ascii="Arial" w:hAnsi="Arial" w:cs="Arial"/>
                <w:b/>
                <w:i w:val="0"/>
                <w:sz w:val="18"/>
              </w:rPr>
              <w:t>Availability Target</w:t>
            </w:r>
          </w:p>
        </w:tc>
        <w:tc>
          <w:tcPr>
            <w:tcW w:type="dxa" w:w="1606"/>
            <w:shd w:val="clear" w:fill="D9E2F3"/>
          </w:tcPr>
          <w:p>
            <w:pPr>
              <w:spacing w:after="20" w:before="20" w:line="240" w:lineRule="auto"/>
            </w:pPr>
            <w:r/>
            <w:r>
              <w:rPr>
                <w:rFonts w:ascii="Arial" w:hAnsi="Arial" w:cs="Arial"/>
                <w:b/>
                <w:i w:val="0"/>
                <w:sz w:val="18"/>
              </w:rPr>
              <w:t>Latency (p95)</w:t>
            </w:r>
          </w:p>
        </w:tc>
        <w:tc>
          <w:tcPr>
            <w:tcW w:type="dxa" w:w="1606"/>
            <w:shd w:val="clear" w:fill="D9E2F3"/>
          </w:tcPr>
          <w:p>
            <w:pPr>
              <w:spacing w:after="20" w:before="20" w:line="240" w:lineRule="auto"/>
            </w:pPr>
            <w:r/>
            <w:r>
              <w:rPr>
                <w:rFonts w:ascii="Arial" w:hAnsi="Arial" w:cs="Arial"/>
                <w:b/>
                <w:i w:val="0"/>
                <w:sz w:val="18"/>
              </w:rPr>
              <w:t>RTO</w:t>
            </w:r>
          </w:p>
        </w:tc>
        <w:tc>
          <w:tcPr>
            <w:tcW w:type="dxa" w:w="1606"/>
            <w:shd w:val="clear" w:fill="D9E2F3"/>
          </w:tcPr>
          <w:p>
            <w:pPr>
              <w:spacing w:after="20" w:before="20" w:line="240" w:lineRule="auto"/>
            </w:pPr>
            <w:r/>
            <w:r>
              <w:rPr>
                <w:rFonts w:ascii="Arial" w:hAnsi="Arial" w:cs="Arial"/>
                <w:b/>
                <w:i w:val="0"/>
                <w:sz w:val="18"/>
              </w:rPr>
              <w:t>RPO</w:t>
            </w:r>
          </w:p>
        </w:tc>
        <w:tc>
          <w:tcPr>
            <w:tcW w:type="dxa" w:w="1606"/>
            <w:shd w:val="clear" w:fill="D9E2F3"/>
          </w:tcPr>
          <w:p>
            <w:pPr>
              <w:spacing w:after="20" w:before="20" w:line="240" w:lineRule="auto"/>
            </w:pPr>
            <w:r/>
            <w:r>
              <w:rPr>
                <w:rFonts w:ascii="Arial" w:hAnsi="Arial" w:cs="Arial"/>
                <w:b/>
                <w:i w:val="0"/>
                <w:sz w:val="18"/>
              </w:rPr>
              <w:t>Monthly Credit if Breached</w:t>
            </w:r>
          </w:p>
        </w:tc>
      </w:tr>
      <w:tr>
        <w:tc>
          <w:tcPr>
            <w:tcW w:type="dxa" w:w="1606"/>
          </w:tcPr>
          <w:p>
            <w:pPr>
              <w:spacing w:after="20" w:before="20" w:line="240" w:lineRule="auto"/>
            </w:pPr>
            <w:r/>
            <w:r>
              <w:rPr>
                <w:rFonts w:ascii="Arial" w:hAnsi="Arial" w:cs="Arial"/>
                <w:b w:val="0"/>
                <w:i w:val="0"/>
                <w:sz w:val="17"/>
              </w:rPr>
              <w:t>Governor Service</w:t>
            </w:r>
          </w:p>
        </w:tc>
        <w:tc>
          <w:tcPr>
            <w:tcW w:type="dxa" w:w="1606"/>
          </w:tcPr>
          <w:p>
            <w:pPr>
              <w:spacing w:after="20" w:before="20" w:line="240" w:lineRule="auto"/>
            </w:pPr>
            <w:r/>
            <w:r>
              <w:rPr>
                <w:rFonts w:ascii="Arial" w:hAnsi="Arial" w:cs="Arial"/>
                <w:b w:val="0"/>
                <w:i w:val="0"/>
                <w:sz w:val="17"/>
              </w:rPr>
              <w:t>99.95%</w:t>
            </w:r>
          </w:p>
        </w:tc>
        <w:tc>
          <w:tcPr>
            <w:tcW w:type="dxa" w:w="1606"/>
          </w:tcPr>
          <w:p>
            <w:pPr>
              <w:spacing w:after="20" w:before="20" w:line="240" w:lineRule="auto"/>
            </w:pPr>
            <w:r/>
            <w:r>
              <w:rPr>
                <w:rFonts w:ascii="Arial" w:hAnsi="Arial" w:cs="Arial"/>
                <w:b w:val="0"/>
                <w:i w:val="0"/>
                <w:sz w:val="17"/>
              </w:rPr>
              <w:t>≤ 800 ms (internal)</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10% of monthly platform fee</w:t>
            </w:r>
          </w:p>
        </w:tc>
      </w:tr>
      <w:tr>
        <w:tc>
          <w:tcPr>
            <w:tcW w:type="dxa" w:w="1606"/>
          </w:tcPr>
          <w:p>
            <w:pPr>
              <w:spacing w:after="20" w:before="20" w:line="240" w:lineRule="auto"/>
            </w:pPr>
            <w:r/>
            <w:r>
              <w:rPr>
                <w:rFonts w:ascii="Arial" w:hAnsi="Arial" w:cs="Arial"/>
                <w:b w:val="0"/>
                <w:i w:val="0"/>
                <w:sz w:val="17"/>
              </w:rPr>
              <w:t>End-to-End Workflow (API gateway → Governor → persistence)</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3 sec</w:t>
            </w:r>
          </w:p>
        </w:tc>
        <w:tc>
          <w:tcPr>
            <w:tcW w:type="dxa" w:w="1606"/>
          </w:tcPr>
          <w:p>
            <w:pPr>
              <w:spacing w:after="20" w:before="20" w:line="240" w:lineRule="auto"/>
            </w:pPr>
            <w:r/>
            <w:r>
              <w:rPr>
                <w:rFonts w:ascii="Arial" w:hAnsi="Arial" w:cs="Arial"/>
                <w:b w:val="0"/>
                <w:i w:val="0"/>
                <w:sz w:val="17"/>
              </w:rPr>
              <w:t>15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15% of monthly platform fee</w:t>
            </w:r>
          </w:p>
        </w:tc>
      </w:tr>
      <w:tr>
        <w:tc>
          <w:tcPr>
            <w:tcW w:type="dxa" w:w="1606"/>
          </w:tcPr>
          <w:p>
            <w:pPr>
              <w:spacing w:after="20" w:before="20" w:line="240" w:lineRule="auto"/>
            </w:pPr>
            <w:r/>
            <w:r>
              <w:rPr>
                <w:rFonts w:ascii="Arial" w:hAnsi="Arial" w:cs="Arial"/>
                <w:b w:val="0"/>
                <w:i w:val="0"/>
                <w:sz w:val="17"/>
              </w:rPr>
              <w:t>FeeLock KV (NATS JetStream)</w:t>
            </w:r>
          </w:p>
        </w:tc>
        <w:tc>
          <w:tcPr>
            <w:tcW w:type="dxa" w:w="1606"/>
          </w:tcPr>
          <w:p>
            <w:pPr>
              <w:spacing w:after="20" w:before="20" w:line="240" w:lineRule="auto"/>
            </w:pPr>
            <w:r/>
            <w:r>
              <w:rPr>
                <w:rFonts w:ascii="Arial" w:hAnsi="Arial" w:cs="Arial"/>
                <w:b w:val="0"/>
                <w:i w:val="0"/>
                <w:sz w:val="17"/>
              </w:rPr>
              <w:t>99.99%</w:t>
            </w:r>
          </w:p>
        </w:tc>
        <w:tc>
          <w:tcPr>
            <w:tcW w:type="dxa" w:w="1606"/>
          </w:tcPr>
          <w:p>
            <w:pPr>
              <w:spacing w:after="20" w:before="20" w:line="240" w:lineRule="auto"/>
            </w:pPr>
            <w:r/>
            <w:r>
              <w:rPr>
                <w:rFonts w:ascii="Arial" w:hAnsi="Arial" w:cs="Arial"/>
                <w:b w:val="0"/>
                <w:i w:val="0"/>
                <w:sz w:val="17"/>
              </w:rPr>
              <w:t>≤ 50 ms</w:t>
            </w:r>
          </w:p>
        </w:tc>
        <w:tc>
          <w:tcPr>
            <w:tcW w:type="dxa" w:w="1606"/>
          </w:tcPr>
          <w:p>
            <w:pPr>
              <w:spacing w:after="20" w:before="20" w:line="240" w:lineRule="auto"/>
            </w:pPr>
            <w:r/>
            <w:r>
              <w:rPr>
                <w:rFonts w:ascii="Arial" w:hAnsi="Arial" w:cs="Arial"/>
                <w:b w:val="0"/>
                <w:i w:val="0"/>
                <w:sz w:val="17"/>
              </w:rPr>
              <w:t>2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GTID Resolution</w:t>
            </w:r>
          </w:p>
        </w:tc>
        <w:tc>
          <w:tcPr>
            <w:tcW w:type="dxa" w:w="1606"/>
          </w:tcPr>
          <w:p>
            <w:pPr>
              <w:spacing w:after="20" w:before="20" w:line="240" w:lineRule="auto"/>
            </w:pPr>
            <w:r/>
            <w:r>
              <w:rPr>
                <w:rFonts w:ascii="Arial" w:hAnsi="Arial" w:cs="Arial"/>
                <w:b w:val="0"/>
                <w:i w:val="0"/>
                <w:sz w:val="17"/>
              </w:rPr>
              <w:t>99.99%</w:t>
            </w:r>
          </w:p>
        </w:tc>
        <w:tc>
          <w:tcPr>
            <w:tcW w:type="dxa" w:w="1606"/>
          </w:tcPr>
          <w:p>
            <w:pPr>
              <w:spacing w:after="20" w:before="20" w:line="240" w:lineRule="auto"/>
            </w:pPr>
            <w:r/>
            <w:r>
              <w:rPr>
                <w:rFonts w:ascii="Arial" w:hAnsi="Arial" w:cs="Arial"/>
                <w:b w:val="0"/>
                <w:i w:val="0"/>
                <w:sz w:val="17"/>
              </w:rPr>
              <w:t>≤ 200 ms</w:t>
            </w:r>
          </w:p>
        </w:tc>
        <w:tc>
          <w:tcPr>
            <w:tcW w:type="dxa" w:w="1606"/>
          </w:tcPr>
          <w:p>
            <w:pPr>
              <w:spacing w:after="20" w:before="20" w:line="240" w:lineRule="auto"/>
            </w:pPr>
            <w:r/>
            <w:r>
              <w:rPr>
                <w:rFonts w:ascii="Arial" w:hAnsi="Arial" w:cs="Arial"/>
                <w:b w:val="0"/>
                <w:i w:val="0"/>
                <w:sz w:val="17"/>
              </w:rPr>
              <w:t>2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None (best-effort)</w:t>
            </w:r>
          </w:p>
        </w:tc>
      </w:tr>
      <w:tr>
        <w:tc>
          <w:tcPr>
            <w:tcW w:type="dxa" w:w="1606"/>
          </w:tcPr>
          <w:p>
            <w:pPr>
              <w:spacing w:after="20" w:before="20" w:line="240" w:lineRule="auto"/>
            </w:pPr>
            <w:r/>
            <w:r>
              <w:rPr>
                <w:rFonts w:ascii="Arial" w:hAnsi="Arial" w:cs="Arial"/>
                <w:b w:val="0"/>
                <w:i w:val="0"/>
                <w:sz w:val="17"/>
              </w:rPr>
              <w:t>Audit Log (Loom)</w:t>
            </w:r>
          </w:p>
        </w:tc>
        <w:tc>
          <w:tcPr>
            <w:tcW w:type="dxa" w:w="1606"/>
          </w:tcPr>
          <w:p>
            <w:pPr>
              <w:spacing w:after="20" w:before="20" w:line="240" w:lineRule="auto"/>
            </w:pPr>
            <w:r/>
            <w:r>
              <w:rPr>
                <w:rFonts w:ascii="Arial" w:hAnsi="Arial" w:cs="Arial"/>
                <w:b w:val="0"/>
                <w:i w:val="0"/>
                <w:sz w:val="17"/>
              </w:rPr>
              <w:t>100% (immutable by design)</w:t>
            </w:r>
          </w:p>
        </w:tc>
        <w:tc>
          <w:tcPr>
            <w:tcW w:type="dxa" w:w="1606"/>
          </w:tcPr>
          <w:p>
            <w:pPr>
              <w:spacing w:after="20" w:before="20" w:line="240" w:lineRule="auto"/>
            </w:pPr>
            <w:r/>
            <w:r>
              <w:rPr>
                <w:rFonts w:ascii="Arial" w:hAnsi="Arial" w:cs="Arial"/>
                <w:b w:val="0"/>
                <w:i w:val="0"/>
                <w:sz w:val="17"/>
              </w:rPr>
              <w:t>N/A</w:t>
            </w:r>
          </w:p>
        </w:tc>
        <w:tc>
          <w:tcPr>
            <w:tcW w:type="dxa" w:w="1606"/>
          </w:tcPr>
          <w:p>
            <w:pPr>
              <w:spacing w:after="20" w:before="20" w:line="240" w:lineRule="auto"/>
            </w:pPr>
            <w:r/>
            <w:r>
              <w:rPr>
                <w:rFonts w:ascii="Arial" w:hAnsi="Arial" w:cs="Arial"/>
                <w:b w:val="0"/>
                <w:i w:val="0"/>
                <w:sz w:val="17"/>
              </w:rPr>
              <w:t>N/A</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Full month refund if integrity breach detected</w:t>
            </w:r>
          </w:p>
        </w:tc>
      </w:tr>
      <w:tr>
        <w:tc>
          <w:tcPr>
            <w:tcW w:type="dxa" w:w="1606"/>
          </w:tcPr>
          <w:p>
            <w:pPr>
              <w:spacing w:after="20" w:before="20" w:line="240" w:lineRule="auto"/>
            </w:pPr>
            <w:r/>
            <w:r>
              <w:rPr>
                <w:rFonts w:ascii="Arial" w:hAnsi="Arial" w:cs="Arial"/>
                <w:b w:val="0"/>
                <w:i w:val="0"/>
                <w:sz w:val="17"/>
              </w:rPr>
              <w:t>Smart Inbox Service</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500 ms (list retrieval)</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 (items can be regenerated from NATS events)</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Governor Tenant-Message Generation</w:t>
            </w:r>
          </w:p>
        </w:tc>
        <w:tc>
          <w:tcPr>
            <w:tcW w:type="dxa" w:w="1606"/>
          </w:tcPr>
          <w:p>
            <w:pPr>
              <w:spacing w:after="20" w:before="20" w:line="240" w:lineRule="auto"/>
            </w:pPr>
            <w:r/>
            <w:r>
              <w:rPr>
                <w:rFonts w:ascii="Arial" w:hAnsi="Arial" w:cs="Arial"/>
                <w:b w:val="0"/>
                <w:i w:val="0"/>
                <w:sz w:val="17"/>
              </w:rPr>
              <w:t>99.50% (success rate within fallback timeout)</w:t>
            </w:r>
          </w:p>
        </w:tc>
        <w:tc>
          <w:tcPr>
            <w:tcW w:type="dxa" w:w="1606"/>
          </w:tcPr>
          <w:p>
            <w:pPr>
              <w:spacing w:after="20" w:before="20" w:line="240" w:lineRule="auto"/>
            </w:pPr>
            <w:r/>
            <w:r>
              <w:rPr>
                <w:rFonts w:ascii="Arial" w:hAnsi="Arial" w:cs="Arial"/>
                <w:b w:val="0"/>
                <w:i w:val="0"/>
                <w:sz w:val="17"/>
              </w:rPr>
              <w:t>≤ 3 s (Groq) / ≤ 50 ms (template fallback)</w:t>
            </w:r>
          </w:p>
        </w:tc>
        <w:tc>
          <w:tcPr>
            <w:tcW w:type="dxa" w:w="1606"/>
          </w:tcPr>
          <w:p>
            <w:pPr>
              <w:spacing w:after="20" w:before="20" w:line="240" w:lineRule="auto"/>
            </w:pPr>
            <w:r/>
            <w:r>
              <w:rPr>
                <w:rFonts w:ascii="Arial" w:hAnsi="Arial" w:cs="Arial"/>
                <w:b w:val="0"/>
                <w:i w:val="0"/>
                <w:sz w:val="17"/>
              </w:rPr>
              <w:t>N/A</w:t>
            </w:r>
          </w:p>
        </w:tc>
        <w:tc>
          <w:tcPr>
            <w:tcW w:type="dxa" w:w="1606"/>
          </w:tcPr>
          <w:p>
            <w:pPr>
              <w:spacing w:after="20" w:before="20" w:line="240" w:lineRule="auto"/>
            </w:pPr>
            <w:r/>
            <w:r>
              <w:rPr>
                <w:rFonts w:ascii="Arial" w:hAnsi="Arial" w:cs="Arial"/>
                <w:b w:val="0"/>
                <w:i w:val="0"/>
                <w:sz w:val="17"/>
              </w:rPr>
              <w:t>N/A</w:t>
            </w:r>
          </w:p>
        </w:tc>
        <w:tc>
          <w:tcPr>
            <w:tcW w:type="dxa" w:w="1606"/>
          </w:tcPr>
          <w:p>
            <w:pPr>
              <w:spacing w:after="20" w:before="20" w:line="240" w:lineRule="auto"/>
            </w:pPr>
            <w:r/>
            <w:r>
              <w:rPr>
                <w:rFonts w:ascii="Arial" w:hAnsi="Arial" w:cs="Arial"/>
                <w:b w:val="0"/>
                <w:i w:val="0"/>
                <w:sz w:val="17"/>
              </w:rPr>
              <w:t>None; template fallback ensures users always see an explanation. Persistent Groq unavailability &gt;24h triggers 2% platform fee credit</w:t>
            </w:r>
          </w:p>
        </w:tc>
      </w:tr>
      <w:tr>
        <w:tc>
          <w:tcPr>
            <w:tcW w:type="dxa" w:w="1606"/>
          </w:tcPr>
          <w:p>
            <w:pPr>
              <w:spacing w:after="20" w:before="20" w:line="240" w:lineRule="auto"/>
            </w:pPr>
            <w:r/>
            <w:r>
              <w:rPr>
                <w:rFonts w:ascii="Arial" w:hAnsi="Arial" w:cs="Arial"/>
                <w:b w:val="0"/>
                <w:i w:val="0"/>
                <w:sz w:val="17"/>
              </w:rPr>
              <w:t>Tenant Data Export Service</w:t>
            </w:r>
          </w:p>
        </w:tc>
        <w:tc>
          <w:tcPr>
            <w:tcW w:type="dxa" w:w="1606"/>
          </w:tcPr>
          <w:p>
            <w:pPr>
              <w:spacing w:after="20" w:before="20" w:line="240" w:lineRule="auto"/>
            </w:pPr>
            <w:r/>
            <w:r>
              <w:rPr>
                <w:rFonts w:ascii="Arial" w:hAnsi="Arial" w:cs="Arial"/>
                <w:b w:val="0"/>
                <w:i w:val="0"/>
                <w:sz w:val="17"/>
              </w:rPr>
              <w:t>99.50%</w:t>
            </w:r>
          </w:p>
        </w:tc>
        <w:tc>
          <w:tcPr>
            <w:tcW w:type="dxa" w:w="1606"/>
          </w:tcPr>
          <w:p>
            <w:pPr>
              <w:spacing w:after="20" w:before="20" w:line="240" w:lineRule="auto"/>
            </w:pPr>
            <w:r/>
            <w:r>
              <w:rPr>
                <w:rFonts w:ascii="Arial" w:hAnsi="Arial" w:cs="Arial"/>
                <w:b w:val="0"/>
                <w:i w:val="0"/>
                <w:sz w:val="17"/>
              </w:rPr>
              <w:t>≤ 15 min (generation time for exports up to 10 MB)</w:t>
            </w:r>
          </w:p>
        </w:tc>
        <w:tc>
          <w:tcPr>
            <w:tcW w:type="dxa" w:w="1606"/>
          </w:tcPr>
          <w:p>
            <w:pPr>
              <w:spacing w:after="20" w:before="20" w:line="240" w:lineRule="auto"/>
            </w:pPr>
            <w:r/>
            <w:r>
              <w:rPr>
                <w:rFonts w:ascii="Arial" w:hAnsi="Arial" w:cs="Arial"/>
                <w:b w:val="0"/>
                <w:i w:val="0"/>
                <w:sz w:val="17"/>
              </w:rPr>
              <w:t>30 min</w:t>
            </w:r>
          </w:p>
        </w:tc>
        <w:tc>
          <w:tcPr>
            <w:tcW w:type="dxa" w:w="1606"/>
          </w:tcPr>
          <w:p>
            <w:pPr>
              <w:spacing w:after="20" w:before="20" w:line="240" w:lineRule="auto"/>
            </w:pPr>
            <w:r/>
            <w:r>
              <w:rPr>
                <w:rFonts w:ascii="Arial" w:hAnsi="Arial" w:cs="Arial"/>
                <w:b w:val="0"/>
                <w:i w:val="0"/>
                <w:sz w:val="17"/>
              </w:rPr>
              <w:t>0 sec (requests requeued)</w:t>
            </w:r>
          </w:p>
        </w:tc>
        <w:tc>
          <w:tcPr>
            <w:tcW w:type="dxa" w:w="1606"/>
          </w:tcPr>
          <w:p>
            <w:pPr>
              <w:spacing w:after="20" w:before="20" w:line="240" w:lineRule="auto"/>
            </w:pPr>
            <w:r/>
            <w:r>
              <w:rPr>
                <w:rFonts w:ascii="Arial" w:hAnsi="Arial" w:cs="Arial"/>
                <w:b w:val="0"/>
                <w:i w:val="0"/>
                <w:sz w:val="17"/>
              </w:rPr>
              <w:t>2% of monthly platform fee if export queue stalled for &gt;1h</w:t>
            </w:r>
          </w:p>
        </w:tc>
      </w:tr>
      <w:tr>
        <w:tc>
          <w:tcPr>
            <w:tcW w:type="dxa" w:w="1606"/>
          </w:tcPr>
          <w:p>
            <w:pPr>
              <w:spacing w:after="20" w:before="20" w:line="240" w:lineRule="auto"/>
            </w:pPr>
            <w:r/>
            <w:r>
              <w:rPr>
                <w:rFonts w:ascii="Arial" w:hAnsi="Arial" w:cs="Arial"/>
                <w:b w:val="0"/>
                <w:i w:val="0"/>
                <w:sz w:val="17"/>
              </w:rPr>
              <w:t>Financing Service (bidding, disbursement)</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2 sec (bid submission)</w:t>
            </w:r>
          </w:p>
        </w:tc>
        <w:tc>
          <w:tcPr>
            <w:tcW w:type="dxa" w:w="1606"/>
          </w:tcPr>
          <w:p>
            <w:pPr>
              <w:spacing w:after="20" w:before="20" w:line="240" w:lineRule="auto"/>
            </w:pPr>
            <w:r/>
            <w:r>
              <w:rPr>
                <w:rFonts w:ascii="Arial" w:hAnsi="Arial" w:cs="Arial"/>
                <w:b w:val="0"/>
                <w:i w:val="0"/>
                <w:sz w:val="17"/>
              </w:rPr>
              <w:t>10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Multi-shipment Coordinator</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1 sec (per-shipment lock)</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Container Release API</w:t>
            </w:r>
          </w:p>
        </w:tc>
        <w:tc>
          <w:tcPr>
            <w:tcW w:type="dxa" w:w="1606"/>
          </w:tcPr>
          <w:p>
            <w:pPr>
              <w:spacing w:after="20" w:before="20" w:line="240" w:lineRule="auto"/>
            </w:pPr>
            <w:r/>
            <w:r>
              <w:rPr>
                <w:rFonts w:ascii="Arial" w:hAnsi="Arial" w:cs="Arial"/>
                <w:b w:val="0"/>
                <w:i w:val="0"/>
                <w:sz w:val="17"/>
              </w:rPr>
              <w:t>99.95%</w:t>
            </w:r>
          </w:p>
        </w:tc>
        <w:tc>
          <w:tcPr>
            <w:tcW w:type="dxa" w:w="1606"/>
          </w:tcPr>
          <w:p>
            <w:pPr>
              <w:spacing w:after="20" w:before="20" w:line="240" w:lineRule="auto"/>
            </w:pPr>
            <w:r/>
            <w:r>
              <w:rPr>
                <w:rFonts w:ascii="Arial" w:hAnsi="Arial" w:cs="Arial"/>
                <w:b w:val="0"/>
                <w:i w:val="0"/>
                <w:sz w:val="17"/>
              </w:rPr>
              <w:t>≤ 400 ms</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10% of monthly platform fee</w:t>
            </w:r>
          </w:p>
        </w:tc>
      </w:tr>
      <w:tr>
        <w:tc>
          <w:tcPr>
            <w:tcW w:type="dxa" w:w="1606"/>
          </w:tcPr>
          <w:p>
            <w:pPr>
              <w:spacing w:after="20" w:before="20" w:line="240" w:lineRule="auto"/>
            </w:pPr>
            <w:r/>
            <w:r>
              <w:rPr>
                <w:rFonts w:ascii="Arial" w:hAnsi="Arial" w:cs="Arial"/>
                <w:b w:val="0"/>
                <w:i w:val="0"/>
                <w:sz w:val="17"/>
              </w:rPr>
              <w:t>Shared Shipments Vault</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1 sec (filtered queries)</w:t>
            </w:r>
          </w:p>
        </w:tc>
        <w:tc>
          <w:tcPr>
            <w:tcW w:type="dxa" w:w="1606"/>
          </w:tcPr>
          <w:p>
            <w:pPr>
              <w:spacing w:after="20" w:before="20" w:line="240" w:lineRule="auto"/>
            </w:pPr>
            <w:r/>
            <w:r>
              <w:rPr>
                <w:rFonts w:ascii="Arial" w:hAnsi="Arial" w:cs="Arial"/>
                <w:b w:val="0"/>
                <w:i w:val="0"/>
                <w:sz w:val="17"/>
              </w:rPr>
              <w:t>10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Payment Orchestrator (bank dispatch, camt.054)</w:t>
            </w:r>
          </w:p>
        </w:tc>
        <w:tc>
          <w:tcPr>
            <w:tcW w:type="dxa" w:w="1606"/>
          </w:tcPr>
          <w:p>
            <w:pPr>
              <w:spacing w:after="20" w:before="20" w:line="240" w:lineRule="auto"/>
            </w:pPr>
            <w:r/>
            <w:r>
              <w:rPr>
                <w:rFonts w:ascii="Arial" w:hAnsi="Arial" w:cs="Arial"/>
                <w:b w:val="0"/>
                <w:i w:val="0"/>
                <w:sz w:val="17"/>
              </w:rPr>
              <w:t>99.95%</w:t>
            </w:r>
          </w:p>
        </w:tc>
        <w:tc>
          <w:tcPr>
            <w:tcW w:type="dxa" w:w="1606"/>
          </w:tcPr>
          <w:p>
            <w:pPr>
              <w:spacing w:after="20" w:before="20" w:line="240" w:lineRule="auto"/>
            </w:pPr>
            <w:r/>
            <w:r>
              <w:rPr>
                <w:rFonts w:ascii="Arial" w:hAnsi="Arial" w:cs="Arial"/>
                <w:b w:val="0"/>
                <w:i w:val="0"/>
                <w:sz w:val="17"/>
              </w:rPr>
              <w:t>≤ 500 ms (dispatch decision)</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10% of monthly platform fee</w:t>
            </w:r>
          </w:p>
        </w:tc>
      </w:tr>
      <w:tr>
        <w:tc>
          <w:tcPr>
            <w:tcW w:type="dxa" w:w="1606"/>
          </w:tcPr>
          <w:p>
            <w:pPr>
              <w:spacing w:after="20" w:before="20" w:line="240" w:lineRule="auto"/>
            </w:pPr>
            <w:r/>
            <w:r>
              <w:rPr>
                <w:rFonts w:ascii="Arial" w:hAnsi="Arial" w:cs="Arial"/>
                <w:b w:val="0"/>
                <w:i w:val="0"/>
                <w:sz w:val="17"/>
              </w:rPr>
              <w:t>Cross-Border Data Transfer Service</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2 sec</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21.8.3 Extended Service SLAs</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Component</w:t>
            </w:r>
          </w:p>
        </w:tc>
        <w:tc>
          <w:tcPr>
            <w:tcW w:type="dxa" w:w="1606"/>
            <w:shd w:val="clear" w:fill="D9E2F3"/>
          </w:tcPr>
          <w:p>
            <w:pPr>
              <w:spacing w:after="20" w:before="20" w:line="240" w:lineRule="auto"/>
            </w:pPr>
            <w:r/>
            <w:r>
              <w:rPr>
                <w:rFonts w:ascii="Arial" w:hAnsi="Arial" w:cs="Arial"/>
                <w:b/>
                <w:i w:val="0"/>
                <w:sz w:val="18"/>
              </w:rPr>
              <w:t>Availability Target</w:t>
            </w:r>
          </w:p>
        </w:tc>
        <w:tc>
          <w:tcPr>
            <w:tcW w:type="dxa" w:w="1606"/>
            <w:shd w:val="clear" w:fill="D9E2F3"/>
          </w:tcPr>
          <w:p>
            <w:pPr>
              <w:spacing w:after="20" w:before="20" w:line="240" w:lineRule="auto"/>
            </w:pPr>
            <w:r/>
            <w:r>
              <w:rPr>
                <w:rFonts w:ascii="Arial" w:hAnsi="Arial" w:cs="Arial"/>
                <w:b/>
                <w:i w:val="0"/>
                <w:sz w:val="18"/>
              </w:rPr>
              <w:t>Latency (p95)</w:t>
            </w:r>
          </w:p>
        </w:tc>
        <w:tc>
          <w:tcPr>
            <w:tcW w:type="dxa" w:w="1606"/>
            <w:shd w:val="clear" w:fill="D9E2F3"/>
          </w:tcPr>
          <w:p>
            <w:pPr>
              <w:spacing w:after="20" w:before="20" w:line="240" w:lineRule="auto"/>
            </w:pPr>
            <w:r/>
            <w:r>
              <w:rPr>
                <w:rFonts w:ascii="Arial" w:hAnsi="Arial" w:cs="Arial"/>
                <w:b/>
                <w:i w:val="0"/>
                <w:sz w:val="18"/>
              </w:rPr>
              <w:t>RTO</w:t>
            </w:r>
          </w:p>
        </w:tc>
        <w:tc>
          <w:tcPr>
            <w:tcW w:type="dxa" w:w="1606"/>
            <w:shd w:val="clear" w:fill="D9E2F3"/>
          </w:tcPr>
          <w:p>
            <w:pPr>
              <w:spacing w:after="20" w:before="20" w:line="240" w:lineRule="auto"/>
            </w:pPr>
            <w:r/>
            <w:r>
              <w:rPr>
                <w:rFonts w:ascii="Arial" w:hAnsi="Arial" w:cs="Arial"/>
                <w:b/>
                <w:i w:val="0"/>
                <w:sz w:val="18"/>
              </w:rPr>
              <w:t>RPO</w:t>
            </w:r>
          </w:p>
        </w:tc>
        <w:tc>
          <w:tcPr>
            <w:tcW w:type="dxa" w:w="1606"/>
            <w:shd w:val="clear" w:fill="D9E2F3"/>
          </w:tcPr>
          <w:p>
            <w:pPr>
              <w:spacing w:after="20" w:before="20" w:line="240" w:lineRule="auto"/>
            </w:pPr>
            <w:r/>
            <w:r>
              <w:rPr>
                <w:rFonts w:ascii="Arial" w:hAnsi="Arial" w:cs="Arial"/>
                <w:b/>
                <w:i w:val="0"/>
                <w:sz w:val="18"/>
              </w:rPr>
              <w:t>Monthly Credit if Breached</w:t>
            </w:r>
          </w:p>
        </w:tc>
      </w:tr>
      <w:tr>
        <w:tc>
          <w:tcPr>
            <w:tcW w:type="dxa" w:w="1606"/>
          </w:tcPr>
          <w:p>
            <w:pPr>
              <w:spacing w:after="20" w:before="20" w:line="240" w:lineRule="auto"/>
            </w:pPr>
            <w:r/>
            <w:r>
              <w:rPr>
                <w:rFonts w:ascii="Arial" w:hAnsi="Arial" w:cs="Arial"/>
                <w:b w:val="0"/>
                <w:i w:val="0"/>
                <w:sz w:val="17"/>
              </w:rPr>
              <w:t>Conditional QC Hold Service</w:t>
            </w:r>
          </w:p>
        </w:tc>
        <w:tc>
          <w:tcPr>
            <w:tcW w:type="dxa" w:w="1606"/>
          </w:tcPr>
          <w:p>
            <w:pPr>
              <w:spacing w:after="20" w:before="20" w:line="240" w:lineRule="auto"/>
            </w:pPr>
            <w:r/>
            <w:r>
              <w:rPr>
                <w:rFonts w:ascii="Arial" w:hAnsi="Arial" w:cs="Arial"/>
                <w:b w:val="0"/>
                <w:i w:val="0"/>
                <w:sz w:val="17"/>
              </w:rPr>
              <w:t>99.90% (hold removal within 1h of action plan completion)</w:t>
            </w:r>
          </w:p>
        </w:tc>
        <w:tc>
          <w:tcPr>
            <w:tcW w:type="dxa" w:w="1606"/>
          </w:tcPr>
          <w:p>
            <w:pPr>
              <w:spacing w:after="20" w:before="20" w:line="240" w:lineRule="auto"/>
            </w:pPr>
            <w:r/>
            <w:r>
              <w:rPr>
                <w:rFonts w:ascii="Arial" w:hAnsi="Arial" w:cs="Arial"/>
                <w:b w:val="0"/>
                <w:i w:val="0"/>
                <w:sz w:val="17"/>
              </w:rPr>
              <w:t>≤ 1 sec (hold status check)</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Deferred Payment Guarantee Service</w:t>
            </w:r>
          </w:p>
        </w:tc>
        <w:tc>
          <w:tcPr>
            <w:tcW w:type="dxa" w:w="1606"/>
          </w:tcPr>
          <w:p>
            <w:pPr>
              <w:spacing w:after="20" w:before="20" w:line="240" w:lineRule="auto"/>
            </w:pPr>
            <w:r/>
            <w:r>
              <w:rPr>
                <w:rFonts w:ascii="Arial" w:hAnsi="Arial" w:cs="Arial"/>
                <w:b w:val="0"/>
                <w:i w:val="0"/>
                <w:sz w:val="17"/>
              </w:rPr>
              <w:t>99.95% (expiry detection within 5 min)</w:t>
            </w:r>
          </w:p>
        </w:tc>
        <w:tc>
          <w:tcPr>
            <w:tcW w:type="dxa" w:w="1606"/>
          </w:tcPr>
          <w:p>
            <w:pPr>
              <w:spacing w:after="20" w:before="20" w:line="240" w:lineRule="auto"/>
            </w:pPr>
            <w:r/>
            <w:r>
              <w:rPr>
                <w:rFonts w:ascii="Arial" w:hAnsi="Arial" w:cs="Arial"/>
                <w:b w:val="0"/>
                <w:i w:val="0"/>
                <w:sz w:val="17"/>
              </w:rPr>
              <w:t>≤ 200 ms</w:t>
            </w:r>
          </w:p>
        </w:tc>
        <w:tc>
          <w:tcPr>
            <w:tcW w:type="dxa" w:w="1606"/>
          </w:tcPr>
          <w:p>
            <w:pPr>
              <w:spacing w:after="20" w:before="20" w:line="240" w:lineRule="auto"/>
            </w:pPr>
            <w:r/>
            <w:r>
              <w:rPr>
                <w:rFonts w:ascii="Arial" w:hAnsi="Arial" w:cs="Arial"/>
                <w:b w:val="0"/>
                <w:i w:val="0"/>
                <w:sz w:val="17"/>
              </w:rPr>
              <w:t>2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Accelerated Outreach Notification</w:t>
            </w:r>
          </w:p>
        </w:tc>
        <w:tc>
          <w:tcPr>
            <w:tcW w:type="dxa" w:w="1606"/>
          </w:tcPr>
          <w:p>
            <w:pPr>
              <w:spacing w:after="20" w:before="20" w:line="240" w:lineRule="auto"/>
            </w:pPr>
            <w:r/>
            <w:r>
              <w:rPr>
                <w:rFonts w:ascii="Arial" w:hAnsi="Arial" w:cs="Arial"/>
                <w:b w:val="0"/>
                <w:i w:val="0"/>
                <w:sz w:val="17"/>
              </w:rPr>
              <w:t>99.50% (delivery success within 10 min)</w:t>
            </w:r>
          </w:p>
        </w:tc>
        <w:tc>
          <w:tcPr>
            <w:tcW w:type="dxa" w:w="1606"/>
          </w:tcPr>
          <w:p>
            <w:pPr>
              <w:spacing w:after="20" w:before="20" w:line="240" w:lineRule="auto"/>
            </w:pPr>
            <w:r/>
            <w:r>
              <w:rPr>
                <w:rFonts w:ascii="Arial" w:hAnsi="Arial" w:cs="Arial"/>
                <w:b w:val="0"/>
                <w:i w:val="0"/>
                <w:sz w:val="17"/>
              </w:rPr>
              <w:t>≤ 2 s</w:t>
            </w:r>
          </w:p>
        </w:tc>
        <w:tc>
          <w:tcPr>
            <w:tcW w:type="dxa" w:w="1606"/>
          </w:tcPr>
          <w:p>
            <w:pPr>
              <w:spacing w:after="20" w:before="20" w:line="240" w:lineRule="auto"/>
            </w:pPr>
            <w:r/>
            <w:r>
              <w:rPr>
                <w:rFonts w:ascii="Arial" w:hAnsi="Arial" w:cs="Arial"/>
                <w:b w:val="0"/>
                <w:i w:val="0"/>
                <w:sz w:val="17"/>
              </w:rPr>
              <w:t>10 min</w:t>
            </w:r>
          </w:p>
        </w:tc>
        <w:tc>
          <w:tcPr>
            <w:tcW w:type="dxa" w:w="1606"/>
          </w:tcPr>
          <w:p>
            <w:pPr>
              <w:spacing w:after="20" w:before="20" w:line="240" w:lineRule="auto"/>
            </w:pPr>
            <w:r/>
            <w:r>
              <w:rPr>
                <w:rFonts w:ascii="Arial" w:hAnsi="Arial" w:cs="Arial"/>
                <w:b w:val="0"/>
                <w:i w:val="0"/>
                <w:sz w:val="17"/>
              </w:rPr>
              <w:t>N/A (notifications are idempotent)</w:t>
            </w:r>
          </w:p>
        </w:tc>
        <w:tc>
          <w:tcPr>
            <w:tcW w:type="dxa" w:w="1606"/>
          </w:tcPr>
          <w:p>
            <w:pPr>
              <w:spacing w:after="20" w:before="20" w:line="240" w:lineRule="auto"/>
            </w:pPr>
            <w:r/>
            <w:r>
              <w:rPr>
                <w:rFonts w:ascii="Arial" w:hAnsi="Arial" w:cs="Arial"/>
                <w:b w:val="0"/>
                <w:i w:val="0"/>
                <w:sz w:val="17"/>
              </w:rPr>
              <w:t>2% of monthly platform fee</w:t>
            </w:r>
          </w:p>
        </w:tc>
      </w:tr>
      <w:tr>
        <w:tc>
          <w:tcPr>
            <w:tcW w:type="dxa" w:w="1606"/>
          </w:tcPr>
          <w:p>
            <w:pPr>
              <w:spacing w:after="20" w:before="20" w:line="240" w:lineRule="auto"/>
            </w:pPr>
            <w:r/>
            <w:r>
              <w:rPr>
                <w:rFonts w:ascii="Arial" w:hAnsi="Arial" w:cs="Arial"/>
                <w:b w:val="0"/>
                <w:i w:val="0"/>
                <w:sz w:val="17"/>
              </w:rPr>
              <w:t>ZK Proof Verification</w:t>
            </w:r>
          </w:p>
        </w:tc>
        <w:tc>
          <w:tcPr>
            <w:tcW w:type="dxa" w:w="1606"/>
          </w:tcPr>
          <w:p>
            <w:pPr>
              <w:spacing w:after="20" w:before="20" w:line="240" w:lineRule="auto"/>
            </w:pPr>
            <w:r/>
            <w:r>
              <w:rPr>
                <w:rFonts w:ascii="Arial" w:hAnsi="Arial" w:cs="Arial"/>
                <w:b w:val="0"/>
                <w:i w:val="0"/>
                <w:sz w:val="17"/>
              </w:rPr>
              <w:t>99.99%</w:t>
            </w:r>
          </w:p>
        </w:tc>
        <w:tc>
          <w:tcPr>
            <w:tcW w:type="dxa" w:w="1606"/>
          </w:tcPr>
          <w:p>
            <w:pPr>
              <w:spacing w:after="20" w:before="20" w:line="240" w:lineRule="auto"/>
            </w:pPr>
            <w:r/>
            <w:r>
              <w:rPr>
                <w:rFonts w:ascii="Arial" w:hAnsi="Arial" w:cs="Arial"/>
                <w:b w:val="0"/>
                <w:i w:val="0"/>
                <w:sz w:val="17"/>
              </w:rPr>
              <w:t>≤ 100 ms</w:t>
            </w:r>
          </w:p>
        </w:tc>
        <w:tc>
          <w:tcPr>
            <w:tcW w:type="dxa" w:w="1606"/>
          </w:tcPr>
          <w:p>
            <w:pPr>
              <w:spacing w:after="20" w:before="20" w:line="240" w:lineRule="auto"/>
            </w:pPr>
            <w:r/>
            <w:r>
              <w:rPr>
                <w:rFonts w:ascii="Arial" w:hAnsi="Arial" w:cs="Arial"/>
                <w:b w:val="0"/>
                <w:i w:val="0"/>
                <w:sz w:val="17"/>
              </w:rPr>
              <w:t>1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None (best-effort)</w:t>
            </w:r>
          </w:p>
        </w:tc>
      </w:tr>
      <w:tr>
        <w:tc>
          <w:tcPr>
            <w:tcW w:type="dxa" w:w="1606"/>
          </w:tcPr>
          <w:p>
            <w:pPr>
              <w:spacing w:after="20" w:before="20" w:line="240" w:lineRule="auto"/>
            </w:pPr>
            <w:r/>
            <w:r>
              <w:rPr>
                <w:rFonts w:ascii="Arial" w:hAnsi="Arial" w:cs="Arial"/>
                <w:b w:val="0"/>
                <w:i w:val="0"/>
                <w:sz w:val="17"/>
              </w:rPr>
              <w:t>Trust Passport Service</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500 ms</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Trade Memory Layer</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1 sec</w:t>
            </w:r>
          </w:p>
        </w:tc>
        <w:tc>
          <w:tcPr>
            <w:tcW w:type="dxa" w:w="1606"/>
          </w:tcPr>
          <w:p>
            <w:pPr>
              <w:spacing w:after="20" w:before="20" w:line="240" w:lineRule="auto"/>
            </w:pPr>
            <w:r/>
            <w:r>
              <w:rPr>
                <w:rFonts w:ascii="Arial" w:hAnsi="Arial" w:cs="Arial"/>
                <w:b w:val="0"/>
                <w:i w:val="0"/>
                <w:sz w:val="17"/>
              </w:rPr>
              <w:t>5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r>
        <w:tc>
          <w:tcPr>
            <w:tcW w:type="dxa" w:w="1606"/>
          </w:tcPr>
          <w:p>
            <w:pPr>
              <w:spacing w:after="20" w:before="20" w:line="240" w:lineRule="auto"/>
            </w:pPr>
            <w:r/>
            <w:r>
              <w:rPr>
                <w:rFonts w:ascii="Arial" w:hAnsi="Arial" w:cs="Arial"/>
                <w:b w:val="0"/>
                <w:i w:val="0"/>
                <w:sz w:val="17"/>
              </w:rPr>
              <w:t>Predictive Insights Service</w:t>
            </w:r>
          </w:p>
        </w:tc>
        <w:tc>
          <w:tcPr>
            <w:tcW w:type="dxa" w:w="1606"/>
          </w:tcPr>
          <w:p>
            <w:pPr>
              <w:spacing w:after="20" w:before="20" w:line="240" w:lineRule="auto"/>
            </w:pPr>
            <w:r/>
            <w:r>
              <w:rPr>
                <w:rFonts w:ascii="Arial" w:hAnsi="Arial" w:cs="Arial"/>
                <w:b w:val="0"/>
                <w:i w:val="0"/>
                <w:sz w:val="17"/>
              </w:rPr>
              <w:t>99.50%</w:t>
            </w:r>
          </w:p>
        </w:tc>
        <w:tc>
          <w:tcPr>
            <w:tcW w:type="dxa" w:w="1606"/>
          </w:tcPr>
          <w:p>
            <w:pPr>
              <w:spacing w:after="20" w:before="20" w:line="240" w:lineRule="auto"/>
            </w:pPr>
            <w:r/>
            <w:r>
              <w:rPr>
                <w:rFonts w:ascii="Arial" w:hAnsi="Arial" w:cs="Arial"/>
                <w:b w:val="0"/>
                <w:i w:val="0"/>
                <w:sz w:val="17"/>
              </w:rPr>
              <w:t>≤ 5 s</w:t>
            </w:r>
          </w:p>
        </w:tc>
        <w:tc>
          <w:tcPr>
            <w:tcW w:type="dxa" w:w="1606"/>
          </w:tcPr>
          <w:p>
            <w:pPr>
              <w:spacing w:after="20" w:before="20" w:line="240" w:lineRule="auto"/>
            </w:pPr>
            <w:r/>
            <w:r>
              <w:rPr>
                <w:rFonts w:ascii="Arial" w:hAnsi="Arial" w:cs="Arial"/>
                <w:b w:val="0"/>
                <w:i w:val="0"/>
                <w:sz w:val="17"/>
              </w:rPr>
              <w:t>10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2% of monthly platform fee</w:t>
            </w:r>
          </w:p>
        </w:tc>
      </w:tr>
      <w:tr>
        <w:tc>
          <w:tcPr>
            <w:tcW w:type="dxa" w:w="1606"/>
          </w:tcPr>
          <w:p>
            <w:pPr>
              <w:spacing w:after="20" w:before="20" w:line="240" w:lineRule="auto"/>
            </w:pPr>
            <w:r/>
            <w:r>
              <w:rPr>
                <w:rFonts w:ascii="Arial" w:hAnsi="Arial" w:cs="Arial"/>
                <w:b w:val="0"/>
                <w:i w:val="0"/>
                <w:sz w:val="17"/>
              </w:rPr>
              <w:t>SAR Generation Service</w:t>
            </w:r>
          </w:p>
        </w:tc>
        <w:tc>
          <w:tcPr>
            <w:tcW w:type="dxa" w:w="1606"/>
          </w:tcPr>
          <w:p>
            <w:pPr>
              <w:spacing w:after="20" w:before="20" w:line="240" w:lineRule="auto"/>
            </w:pPr>
            <w:r/>
            <w:r>
              <w:rPr>
                <w:rFonts w:ascii="Arial" w:hAnsi="Arial" w:cs="Arial"/>
                <w:b w:val="0"/>
                <w:i w:val="0"/>
                <w:sz w:val="17"/>
              </w:rPr>
              <w:t>99.90%</w:t>
            </w:r>
          </w:p>
        </w:tc>
        <w:tc>
          <w:tcPr>
            <w:tcW w:type="dxa" w:w="1606"/>
          </w:tcPr>
          <w:p>
            <w:pPr>
              <w:spacing w:after="20" w:before="20" w:line="240" w:lineRule="auto"/>
            </w:pPr>
            <w:r/>
            <w:r>
              <w:rPr>
                <w:rFonts w:ascii="Arial" w:hAnsi="Arial" w:cs="Arial"/>
                <w:b w:val="0"/>
                <w:i w:val="0"/>
                <w:sz w:val="17"/>
              </w:rPr>
              <w:t>≤ 5 s</w:t>
            </w:r>
          </w:p>
        </w:tc>
        <w:tc>
          <w:tcPr>
            <w:tcW w:type="dxa" w:w="1606"/>
          </w:tcPr>
          <w:p>
            <w:pPr>
              <w:spacing w:after="20" w:before="20" w:line="240" w:lineRule="auto"/>
            </w:pPr>
            <w:r/>
            <w:r>
              <w:rPr>
                <w:rFonts w:ascii="Arial" w:hAnsi="Arial" w:cs="Arial"/>
                <w:b w:val="0"/>
                <w:i w:val="0"/>
                <w:sz w:val="17"/>
              </w:rPr>
              <w:t>10 min</w:t>
            </w:r>
          </w:p>
        </w:tc>
        <w:tc>
          <w:tcPr>
            <w:tcW w:type="dxa" w:w="1606"/>
          </w:tcPr>
          <w:p>
            <w:pPr>
              <w:spacing w:after="20" w:before="20" w:line="240" w:lineRule="auto"/>
            </w:pPr>
            <w:r/>
            <w:r>
              <w:rPr>
                <w:rFonts w:ascii="Arial" w:hAnsi="Arial" w:cs="Arial"/>
                <w:b w:val="0"/>
                <w:i w:val="0"/>
                <w:sz w:val="17"/>
              </w:rPr>
              <w:t>0 sec</w:t>
            </w:r>
          </w:p>
        </w:tc>
        <w:tc>
          <w:tcPr>
            <w:tcW w:type="dxa" w:w="1606"/>
          </w:tcPr>
          <w:p>
            <w:pPr>
              <w:spacing w:after="20" w:before="20" w:line="240" w:lineRule="auto"/>
            </w:pPr>
            <w:r/>
            <w:r>
              <w:rPr>
                <w:rFonts w:ascii="Arial" w:hAnsi="Arial" w:cs="Arial"/>
                <w:b w:val="0"/>
                <w:i w:val="0"/>
                <w:sz w:val="17"/>
              </w:rPr>
              <w:t>5% of monthly platform fee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21.8.4 Definitions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Term</w:t>
            </w:r>
          </w:p>
        </w:tc>
        <w:tc>
          <w:tcPr>
            <w:tcW w:type="dxa" w:w="4819"/>
            <w:shd w:val="clear" w:fill="D9E2F3"/>
          </w:tcPr>
          <w:p>
            <w:pPr>
              <w:spacing w:after="20" w:before="20" w:line="240" w:lineRule="auto"/>
            </w:pPr>
            <w:r/>
            <w:r>
              <w:rPr>
                <w:rFonts w:ascii="Arial" w:hAnsi="Arial" w:cs="Arial"/>
                <w:b/>
                <w:i w:val="0"/>
                <w:sz w:val="18"/>
              </w:rPr>
              <w:t>Definition</w:t>
            </w:r>
          </w:p>
        </w:tc>
      </w:tr>
      <w:tr>
        <w:tc>
          <w:tcPr>
            <w:tcW w:type="dxa" w:w="4819"/>
          </w:tcPr>
          <w:p>
            <w:pPr>
              <w:spacing w:after="20" w:before="20" w:line="240" w:lineRule="auto"/>
            </w:pPr>
            <w:r/>
            <w:r>
              <w:rPr>
                <w:rFonts w:ascii="Arial" w:hAnsi="Arial" w:cs="Arial"/>
                <w:b w:val="0"/>
                <w:i w:val="0"/>
                <w:sz w:val="17"/>
              </w:rPr>
              <w:t>Availability</w:t>
            </w:r>
          </w:p>
        </w:tc>
        <w:tc>
          <w:tcPr>
            <w:tcW w:type="dxa" w:w="4819"/>
          </w:tcPr>
          <w:p>
            <w:pPr>
              <w:spacing w:after="20" w:before="20" w:line="240" w:lineRule="auto"/>
            </w:pPr>
            <w:r/>
            <w:r>
              <w:rPr>
                <w:rFonts w:ascii="Arial" w:hAnsi="Arial" w:cs="Arial"/>
                <w:b w:val="0"/>
                <w:i w:val="0"/>
                <w:sz w:val="17"/>
              </w:rPr>
              <w:t>(total_minutes_in_month − downtime_minutes) / total_minutes_in_month. Downtime is any period where the service responds with 5xx errors for &gt;90% of requests, as measured by sla-monitor from at least two geographic locations (independent probes).</w:t>
            </w:r>
          </w:p>
        </w:tc>
      </w:tr>
      <w:tr>
        <w:tc>
          <w:tcPr>
            <w:tcW w:type="dxa" w:w="4819"/>
          </w:tcPr>
          <w:p>
            <w:pPr>
              <w:spacing w:after="20" w:before="20" w:line="240" w:lineRule="auto"/>
            </w:pPr>
            <w:r/>
            <w:r>
              <w:rPr>
                <w:rFonts w:ascii="Arial" w:hAnsi="Arial" w:cs="Arial"/>
                <w:b w:val="0"/>
                <w:i w:val="0"/>
                <w:sz w:val="17"/>
              </w:rPr>
              <w:t>Latency (p95)</w:t>
            </w:r>
          </w:p>
        </w:tc>
        <w:tc>
          <w:tcPr>
            <w:tcW w:type="dxa" w:w="4819"/>
          </w:tcPr>
          <w:p>
            <w:pPr>
              <w:spacing w:after="20" w:before="20" w:line="240" w:lineRule="auto"/>
            </w:pPr>
            <w:r/>
            <w:r>
              <w:rPr>
                <w:rFonts w:ascii="Arial" w:hAnsi="Arial" w:cs="Arial"/>
                <w:b w:val="0"/>
                <w:i w:val="0"/>
                <w:sz w:val="17"/>
              </w:rPr>
              <w:t>95th percentile of request latency, measured by Prometheus histograms.</w:t>
            </w:r>
          </w:p>
        </w:tc>
      </w:tr>
      <w:tr>
        <w:tc>
          <w:tcPr>
            <w:tcW w:type="dxa" w:w="4819"/>
          </w:tcPr>
          <w:p>
            <w:pPr>
              <w:spacing w:after="20" w:before="20" w:line="240" w:lineRule="auto"/>
            </w:pPr>
            <w:r/>
            <w:r>
              <w:rPr>
                <w:rFonts w:ascii="Arial" w:hAnsi="Arial" w:cs="Arial"/>
                <w:b w:val="0"/>
                <w:i w:val="0"/>
                <w:sz w:val="17"/>
              </w:rPr>
              <w:t>RTO (Recovery Time Objective)</w:t>
            </w:r>
          </w:p>
        </w:tc>
        <w:tc>
          <w:tcPr>
            <w:tcW w:type="dxa" w:w="4819"/>
          </w:tcPr>
          <w:p>
            <w:pPr>
              <w:spacing w:after="20" w:before="20" w:line="240" w:lineRule="auto"/>
            </w:pPr>
            <w:r/>
            <w:r>
              <w:rPr>
                <w:rFonts w:ascii="Arial" w:hAnsi="Arial" w:cs="Arial"/>
                <w:b w:val="0"/>
                <w:i w:val="0"/>
                <w:sz w:val="17"/>
              </w:rPr>
              <w:t>Maximum time from declaration of a disaster (automatically by AIOps or manually by Platform Governance Authority) to full restoration of the service in at least one region.</w:t>
            </w:r>
          </w:p>
        </w:tc>
      </w:tr>
      <w:tr>
        <w:tc>
          <w:tcPr>
            <w:tcW w:type="dxa" w:w="4819"/>
          </w:tcPr>
          <w:p>
            <w:pPr>
              <w:spacing w:after="20" w:before="20" w:line="240" w:lineRule="auto"/>
            </w:pPr>
            <w:r/>
            <w:r>
              <w:rPr>
                <w:rFonts w:ascii="Arial" w:hAnsi="Arial" w:cs="Arial"/>
                <w:b w:val="0"/>
                <w:i w:val="0"/>
                <w:sz w:val="17"/>
              </w:rPr>
              <w:t>RPO (Recovery Point Objective)</w:t>
            </w:r>
          </w:p>
        </w:tc>
        <w:tc>
          <w:tcPr>
            <w:tcW w:type="dxa" w:w="4819"/>
          </w:tcPr>
          <w:p>
            <w:pPr>
              <w:spacing w:after="20" w:before="20" w:line="240" w:lineRule="auto"/>
            </w:pPr>
            <w:r/>
            <w:r>
              <w:rPr>
                <w:rFonts w:ascii="Arial" w:hAnsi="Arial" w:cs="Arial"/>
                <w:b w:val="0"/>
                <w:i w:val="0"/>
                <w:sz w:val="17"/>
              </w:rPr>
              <w:t>Maximum acceptable data loss measured in time. For most services, zero due to synchronous replication (PostgreSQL synchronous_commit = on, NATS JetStream mirroring). For Tenant Message Generation, loss of a message is not critical (template fallback).</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Predictive SLA models (A2, local LSTM) forecast degradation risk above a 30% probability threshold and raise priority-85 Smart Inbox alerts to the Platform Governance Authority — forecasts are advisory and never throttle or block traffic automatically.</w:t>
      </w:r>
    </w:p>
    <w:p>
      <w:pPr>
        <w:keepNext/>
        <w:spacing w:before="180" w:after="80"/>
        <w:outlineLvl w:val="2"/>
      </w:pPr>
      <w:r>
        <w:rPr>
          <w:rFonts w:ascii="Arial" w:hAnsi="Arial" w:cs="Arial"/>
          <w:b/>
          <w:i w:val="0"/>
          <w:color w:val="333333"/>
          <w:sz w:val="23"/>
        </w:rPr>
        <w:t>21.8.5 Example — Governor Service Downtime Calculation</w:t>
      </w:r>
    </w:p>
    <w:p>
      <w:pPr>
        <w:spacing w:after="80" w:line="293" w:lineRule="auto"/>
        <w:jc w:val="left"/>
      </w:pPr>
      <w:r>
        <w:rPr>
          <w:rFonts w:ascii="Times New Roman" w:hAnsi="Times New Roman" w:cs="Times New Roman"/>
          <w:b w:val="0"/>
          <w:i w:val="0"/>
          <w:sz w:val="22"/>
        </w:rPr>
        <w:t>Month: 30 days = 43,200 minutes. Planned maintenance: 120 minutes (announced, excluded from SLA). Unplanned downtime: 40 minutes. Availability = (43,200 − 120 − 40) / (43,200 − 120) = 42,920 / 43,080 = 99.63% → below 99.95% → credit triggered. Credit calculation: 10% of monthly platform fee (e.g., $50 for a $500 monthly fee).</w:t>
      </w:r>
    </w:p>
    <w:p>
      <w:pPr>
        <w:keepNext/>
        <w:spacing w:before="180" w:after="80"/>
        <w:outlineLvl w:val="2"/>
      </w:pPr>
      <w:r>
        <w:rPr>
          <w:rFonts w:ascii="Arial" w:hAnsi="Arial" w:cs="Arial"/>
          <w:b/>
          <w:i w:val="0"/>
          <w:color w:val="333333"/>
          <w:sz w:val="23"/>
        </w:rPr>
        <w:t>21.8.6 Conditional QC &amp; Deferred Payment SLAs</w:t>
      </w:r>
    </w:p>
    <w:p>
      <w:pPr>
        <w:spacing w:after="80" w:line="293" w:lineRule="auto"/>
        <w:jc w:val="left"/>
      </w:pPr>
      <w:r>
        <w:rPr>
          <w:rFonts w:ascii="Times New Roman" w:hAnsi="Times New Roman" w:cs="Times New Roman"/>
          <w:b w:val="0"/>
          <w:i w:val="0"/>
          <w:sz w:val="22"/>
        </w:rPr>
        <w:t>Conditional QC hold resolution SLA:</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Metric</w:t>
            </w:r>
          </w:p>
        </w:tc>
        <w:tc>
          <w:tcPr>
            <w:tcW w:type="dxa" w:w="3213"/>
            <w:shd w:val="clear" w:fill="D9E2F3"/>
          </w:tcPr>
          <w:p>
            <w:pPr>
              <w:spacing w:after="20" w:before="20" w:line="240" w:lineRule="auto"/>
            </w:pPr>
            <w:r/>
            <w:r>
              <w:rPr>
                <w:rFonts w:ascii="Arial" w:hAnsi="Arial" w:cs="Arial"/>
                <w:b/>
                <w:i w:val="0"/>
                <w:sz w:val="18"/>
              </w:rPr>
              <w:t>Target</w:t>
            </w:r>
          </w:p>
        </w:tc>
        <w:tc>
          <w:tcPr>
            <w:tcW w:type="dxa" w:w="3213"/>
            <w:shd w:val="clear" w:fill="D9E2F3"/>
          </w:tcPr>
          <w:p>
            <w:pPr>
              <w:spacing w:after="20" w:before="20" w:line="240" w:lineRule="auto"/>
            </w:pPr>
            <w:r/>
            <w:r>
              <w:rPr>
                <w:rFonts w:ascii="Arial" w:hAnsi="Arial" w:cs="Arial"/>
                <w:b/>
                <w:i w:val="0"/>
                <w:sz w:val="18"/>
              </w:rPr>
              <w:t>Measurement</w:t>
            </w:r>
          </w:p>
        </w:tc>
      </w:tr>
      <w:tr>
        <w:tc>
          <w:tcPr>
            <w:tcW w:type="dxa" w:w="3213"/>
          </w:tcPr>
          <w:p>
            <w:pPr>
              <w:spacing w:after="20" w:before="20" w:line="240" w:lineRule="auto"/>
            </w:pPr>
            <w:r/>
            <w:r>
              <w:rPr>
                <w:rFonts w:ascii="Arial" w:hAnsi="Arial" w:cs="Arial"/>
                <w:b w:val="0"/>
                <w:i w:val="0"/>
                <w:sz w:val="17"/>
              </w:rPr>
              <w:t>Hold removal within 1h of action plan completion</w:t>
            </w:r>
          </w:p>
        </w:tc>
        <w:tc>
          <w:tcPr>
            <w:tcW w:type="dxa" w:w="3213"/>
          </w:tcPr>
          <w:p>
            <w:pPr>
              <w:spacing w:after="20" w:before="20" w:line="240" w:lineRule="auto"/>
            </w:pPr>
            <w:r/>
            <w:r>
              <w:rPr>
                <w:rFonts w:ascii="Arial" w:hAnsi="Arial" w:cs="Arial"/>
                <w:b w:val="0"/>
                <w:i w:val="0"/>
                <w:sz w:val="17"/>
              </w:rPr>
              <w:t>99.90%</w:t>
            </w:r>
          </w:p>
        </w:tc>
        <w:tc>
          <w:tcPr>
            <w:tcW w:type="dxa" w:w="3213"/>
          </w:tcPr>
          <w:p>
            <w:pPr>
              <w:spacing w:after="20" w:before="20" w:line="240" w:lineRule="auto"/>
            </w:pPr>
            <w:r/>
            <w:r>
              <w:rPr>
                <w:rFonts w:ascii="Arial" w:hAnsi="Arial" w:cs="Arial"/>
                <w:b w:val="0"/>
                <w:i w:val="0"/>
                <w:sz w:val="17"/>
              </w:rPr>
              <w:t>Time from "Mark Action Completed" to hold removal (system verification)</w:t>
            </w:r>
          </w:p>
        </w:tc>
      </w:tr>
      <w:tr>
        <w:tc>
          <w:tcPr>
            <w:tcW w:type="dxa" w:w="3213"/>
          </w:tcPr>
          <w:p>
            <w:pPr>
              <w:spacing w:after="20" w:before="20" w:line="240" w:lineRule="auto"/>
            </w:pPr>
            <w:r/>
            <w:r>
              <w:rPr>
                <w:rFonts w:ascii="Arial" w:hAnsi="Arial" w:cs="Arial"/>
                <w:b w:val="0"/>
                <w:i w:val="0"/>
                <w:sz w:val="17"/>
              </w:rPr>
              <w:t>Hold status check latency</w:t>
            </w:r>
          </w:p>
        </w:tc>
        <w:tc>
          <w:tcPr>
            <w:tcW w:type="dxa" w:w="3213"/>
          </w:tcPr>
          <w:p>
            <w:pPr>
              <w:spacing w:after="20" w:before="20" w:line="240" w:lineRule="auto"/>
            </w:pPr>
            <w:r/>
            <w:r>
              <w:rPr>
                <w:rFonts w:ascii="Arial" w:hAnsi="Arial" w:cs="Arial"/>
                <w:b w:val="0"/>
                <w:i w:val="0"/>
                <w:sz w:val="17"/>
              </w:rPr>
              <w:t>≤ 1 sec (p95)</w:t>
            </w:r>
          </w:p>
        </w:tc>
        <w:tc>
          <w:tcPr>
            <w:tcW w:type="dxa" w:w="3213"/>
          </w:tcPr>
          <w:p>
            <w:pPr>
              <w:spacing w:after="20" w:before="20" w:line="240" w:lineRule="auto"/>
            </w:pPr>
            <w:r/>
            <w:r>
              <w:rPr>
                <w:rFonts w:ascii="Arial" w:hAnsi="Arial" w:cs="Arial"/>
                <w:b w:val="0"/>
                <w:i w:val="0"/>
                <w:sz w:val="17"/>
              </w:rPr>
              <w:t>Time to query hold status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the seller completes the action plan at 14:00 UTC and clicks "Mark Action Completed". The inspector must verify within 1 hour (the platform's SLA to process the verification and remove the hold). If verification is delayed beyond 1h due to platform error, credit applies. Credit: 5% of monthly platform fee if breached.</w:t>
      </w:r>
    </w:p>
    <w:p>
      <w:pPr>
        <w:spacing w:after="80" w:line="293" w:lineRule="auto"/>
        <w:jc w:val="left"/>
      </w:pPr>
      <w:r>
        <w:rPr>
          <w:rFonts w:ascii="Times New Roman" w:hAnsi="Times New Roman" w:cs="Times New Roman"/>
          <w:b w:val="0"/>
          <w:i w:val="0"/>
          <w:sz w:val="22"/>
        </w:rPr>
        <w:t>Deferred payment guarantee expiry SLA:</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Metric</w:t>
            </w:r>
          </w:p>
        </w:tc>
        <w:tc>
          <w:tcPr>
            <w:tcW w:type="dxa" w:w="3213"/>
            <w:shd w:val="clear" w:fill="D9E2F3"/>
          </w:tcPr>
          <w:p>
            <w:pPr>
              <w:spacing w:after="20" w:before="20" w:line="240" w:lineRule="auto"/>
            </w:pPr>
            <w:r/>
            <w:r>
              <w:rPr>
                <w:rFonts w:ascii="Arial" w:hAnsi="Arial" w:cs="Arial"/>
                <w:b/>
                <w:i w:val="0"/>
                <w:sz w:val="18"/>
              </w:rPr>
              <w:t>Target</w:t>
            </w:r>
          </w:p>
        </w:tc>
        <w:tc>
          <w:tcPr>
            <w:tcW w:type="dxa" w:w="3213"/>
            <w:shd w:val="clear" w:fill="D9E2F3"/>
          </w:tcPr>
          <w:p>
            <w:pPr>
              <w:spacing w:after="20" w:before="20" w:line="240" w:lineRule="auto"/>
            </w:pPr>
            <w:r/>
            <w:r>
              <w:rPr>
                <w:rFonts w:ascii="Arial" w:hAnsi="Arial" w:cs="Arial"/>
                <w:b/>
                <w:i w:val="0"/>
                <w:sz w:val="18"/>
              </w:rPr>
              <w:t>Measurement</w:t>
            </w:r>
          </w:p>
        </w:tc>
      </w:tr>
      <w:tr>
        <w:tc>
          <w:tcPr>
            <w:tcW w:type="dxa" w:w="3213"/>
          </w:tcPr>
          <w:p>
            <w:pPr>
              <w:spacing w:after="20" w:before="20" w:line="240" w:lineRule="auto"/>
            </w:pPr>
            <w:r/>
            <w:r>
              <w:rPr>
                <w:rFonts w:ascii="Arial" w:hAnsi="Arial" w:cs="Arial"/>
                <w:b w:val="0"/>
                <w:i w:val="0"/>
                <w:sz w:val="17"/>
              </w:rPr>
              <w:t>Expiry detection within 5 min</w:t>
            </w:r>
          </w:p>
        </w:tc>
        <w:tc>
          <w:tcPr>
            <w:tcW w:type="dxa" w:w="3213"/>
          </w:tcPr>
          <w:p>
            <w:pPr>
              <w:spacing w:after="20" w:before="20" w:line="240" w:lineRule="auto"/>
            </w:pPr>
            <w:r/>
            <w:r>
              <w:rPr>
                <w:rFonts w:ascii="Arial" w:hAnsi="Arial" w:cs="Arial"/>
                <w:b w:val="0"/>
                <w:i w:val="0"/>
                <w:sz w:val="17"/>
              </w:rPr>
              <w:t>99.95%</w:t>
            </w:r>
          </w:p>
        </w:tc>
        <w:tc>
          <w:tcPr>
            <w:tcW w:type="dxa" w:w="3213"/>
          </w:tcPr>
          <w:p>
            <w:pPr>
              <w:spacing w:after="20" w:before="20" w:line="240" w:lineRule="auto"/>
            </w:pPr>
            <w:r/>
            <w:r>
              <w:rPr>
                <w:rFonts w:ascii="Arial" w:hAnsi="Arial" w:cs="Arial"/>
                <w:b w:val="0"/>
                <w:i w:val="0"/>
                <w:sz w:val="17"/>
              </w:rPr>
              <w:t>Time from guarantee expiry to system detection</w:t>
            </w:r>
          </w:p>
        </w:tc>
      </w:tr>
      <w:tr>
        <w:tc>
          <w:tcPr>
            <w:tcW w:type="dxa" w:w="3213"/>
          </w:tcPr>
          <w:p>
            <w:pPr>
              <w:spacing w:after="20" w:before="20" w:line="240" w:lineRule="auto"/>
            </w:pPr>
            <w:r/>
            <w:r>
              <w:rPr>
                <w:rFonts w:ascii="Arial" w:hAnsi="Arial" w:cs="Arial"/>
                <w:b w:val="0"/>
                <w:i w:val="0"/>
                <w:sz w:val="17"/>
              </w:rPr>
              <w:t>Guarantee status check latency</w:t>
            </w:r>
          </w:p>
        </w:tc>
        <w:tc>
          <w:tcPr>
            <w:tcW w:type="dxa" w:w="3213"/>
          </w:tcPr>
          <w:p>
            <w:pPr>
              <w:spacing w:after="20" w:before="20" w:line="240" w:lineRule="auto"/>
            </w:pPr>
            <w:r/>
            <w:r>
              <w:rPr>
                <w:rFonts w:ascii="Arial" w:hAnsi="Arial" w:cs="Arial"/>
                <w:b w:val="0"/>
                <w:i w:val="0"/>
                <w:sz w:val="17"/>
              </w:rPr>
              <w:t>≤ 200 ms (p95)</w:t>
            </w:r>
          </w:p>
        </w:tc>
        <w:tc>
          <w:tcPr>
            <w:tcW w:type="dxa" w:w="3213"/>
          </w:tcPr>
          <w:p>
            <w:pPr>
              <w:spacing w:after="20" w:before="20" w:line="240" w:lineRule="auto"/>
            </w:pPr>
            <w:r/>
            <w:r>
              <w:rPr>
                <w:rFonts w:ascii="Arial" w:hAnsi="Arial" w:cs="Arial"/>
                <w:b w:val="0"/>
                <w:i w:val="0"/>
                <w:sz w:val="17"/>
              </w:rPr>
              <w:t>Time to query guarantee status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the guarantee expires at 23:59 UTC. The system must detect expiry and notify the payer by 00:05 UTC the next day. If detection is delayed beyond 5 minutes, credit applies. Credit: 5% of monthly platform fee if breached.</w:t>
      </w:r>
    </w:p>
    <w:p>
      <w:pPr>
        <w:spacing w:after="80" w:line="293" w:lineRule="auto"/>
        <w:jc w:val="left"/>
      </w:pPr>
      <w:r>
        <w:rPr>
          <w:rFonts w:ascii="Times New Roman" w:hAnsi="Times New Roman" w:cs="Times New Roman"/>
          <w:b w:val="0"/>
          <w:i w:val="0"/>
          <w:sz w:val="22"/>
        </w:rPr>
        <w:t>Accelerated outreach notification SLA:</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Metric</w:t>
            </w:r>
          </w:p>
        </w:tc>
        <w:tc>
          <w:tcPr>
            <w:tcW w:type="dxa" w:w="3213"/>
            <w:shd w:val="clear" w:fill="D9E2F3"/>
          </w:tcPr>
          <w:p>
            <w:pPr>
              <w:spacing w:after="20" w:before="20" w:line="240" w:lineRule="auto"/>
            </w:pPr>
            <w:r/>
            <w:r>
              <w:rPr>
                <w:rFonts w:ascii="Arial" w:hAnsi="Arial" w:cs="Arial"/>
                <w:b/>
                <w:i w:val="0"/>
                <w:sz w:val="18"/>
              </w:rPr>
              <w:t>Target</w:t>
            </w:r>
          </w:p>
        </w:tc>
        <w:tc>
          <w:tcPr>
            <w:tcW w:type="dxa" w:w="3213"/>
            <w:shd w:val="clear" w:fill="D9E2F3"/>
          </w:tcPr>
          <w:p>
            <w:pPr>
              <w:spacing w:after="20" w:before="20" w:line="240" w:lineRule="auto"/>
            </w:pPr>
            <w:r/>
            <w:r>
              <w:rPr>
                <w:rFonts w:ascii="Arial" w:hAnsi="Arial" w:cs="Arial"/>
                <w:b/>
                <w:i w:val="0"/>
                <w:sz w:val="18"/>
              </w:rPr>
              <w:t>Measurement</w:t>
            </w:r>
          </w:p>
        </w:tc>
      </w:tr>
      <w:tr>
        <w:tc>
          <w:tcPr>
            <w:tcW w:type="dxa" w:w="3213"/>
          </w:tcPr>
          <w:p>
            <w:pPr>
              <w:spacing w:after="20" w:before="20" w:line="240" w:lineRule="auto"/>
            </w:pPr>
            <w:r/>
            <w:r>
              <w:rPr>
                <w:rFonts w:ascii="Arial" w:hAnsi="Arial" w:cs="Arial"/>
                <w:b w:val="0"/>
                <w:i w:val="0"/>
                <w:sz w:val="17"/>
              </w:rPr>
              <w:t>Notification delivery within 10 min</w:t>
            </w:r>
          </w:p>
        </w:tc>
        <w:tc>
          <w:tcPr>
            <w:tcW w:type="dxa" w:w="3213"/>
          </w:tcPr>
          <w:p>
            <w:pPr>
              <w:spacing w:after="20" w:before="20" w:line="240" w:lineRule="auto"/>
            </w:pPr>
            <w:r/>
            <w:r>
              <w:rPr>
                <w:rFonts w:ascii="Arial" w:hAnsi="Arial" w:cs="Arial"/>
                <w:b w:val="0"/>
                <w:i w:val="0"/>
                <w:sz w:val="17"/>
              </w:rPr>
              <w:t>99.50%</w:t>
            </w:r>
          </w:p>
        </w:tc>
        <w:tc>
          <w:tcPr>
            <w:tcW w:type="dxa" w:w="3213"/>
          </w:tcPr>
          <w:p>
            <w:pPr>
              <w:spacing w:after="20" w:before="20" w:line="240" w:lineRule="auto"/>
            </w:pPr>
            <w:r/>
            <w:r>
              <w:rPr>
                <w:rFonts w:ascii="Arial" w:hAnsi="Arial" w:cs="Arial"/>
                <w:b w:val="0"/>
                <w:i w:val="0"/>
                <w:sz w:val="17"/>
              </w:rPr>
              <w:t>Time from seller confirmation to first delivery attempt</w:t>
            </w:r>
          </w:p>
        </w:tc>
      </w:tr>
      <w:tr>
        <w:tc>
          <w:tcPr>
            <w:tcW w:type="dxa" w:w="3213"/>
          </w:tcPr>
          <w:p>
            <w:pPr>
              <w:spacing w:after="20" w:before="20" w:line="240" w:lineRule="auto"/>
            </w:pPr>
            <w:r/>
            <w:r>
              <w:rPr>
                <w:rFonts w:ascii="Arial" w:hAnsi="Arial" w:cs="Arial"/>
                <w:b w:val="0"/>
                <w:i w:val="0"/>
                <w:sz w:val="17"/>
              </w:rPr>
              <w:t>First delivery attempt success</w:t>
            </w:r>
          </w:p>
        </w:tc>
        <w:tc>
          <w:tcPr>
            <w:tcW w:type="dxa" w:w="3213"/>
          </w:tcPr>
          <w:p>
            <w:pPr>
              <w:spacing w:after="20" w:before="20" w:line="240" w:lineRule="auto"/>
            </w:pPr>
            <w:r/>
            <w:r>
              <w:rPr>
                <w:rFonts w:ascii="Arial" w:hAnsi="Arial" w:cs="Arial"/>
                <w:b w:val="0"/>
                <w:i w:val="0"/>
                <w:sz w:val="17"/>
              </w:rPr>
              <w:t>≥ 95%</w:t>
            </w:r>
          </w:p>
        </w:tc>
        <w:tc>
          <w:tcPr>
            <w:tcW w:type="dxa" w:w="3213"/>
          </w:tcPr>
          <w:p>
            <w:pPr>
              <w:spacing w:after="20" w:before="20" w:line="240" w:lineRule="auto"/>
            </w:pPr>
            <w:r/>
            <w:r>
              <w:rPr>
                <w:rFonts w:ascii="Arial" w:hAnsi="Arial" w:cs="Arial"/>
                <w:b w:val="0"/>
                <w:i w:val="0"/>
                <w:sz w:val="17"/>
              </w:rPr>
              <w:t>Email/Smart Inbox delivery success rate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Credit: 2% of monthly platform fee if breached.</w:t>
      </w:r>
    </w:p>
    <w:p>
      <w:pPr>
        <w:keepNext/>
        <w:spacing w:before="180" w:after="80"/>
        <w:outlineLvl w:val="2"/>
      </w:pPr>
      <w:r>
        <w:rPr>
          <w:rFonts w:ascii="Arial" w:hAnsi="Arial" w:cs="Arial"/>
          <w:b/>
          <w:i w:val="0"/>
          <w:color w:val="333333"/>
          <w:sz w:val="23"/>
        </w:rPr>
        <w:t>21.8.7 Predictive SLAs &amp; AI-Assisted Forecasting (Advisory)</w:t>
      </w:r>
    </w:p>
    <w:p>
      <w:pPr>
        <w:spacing w:after="80" w:line="293" w:lineRule="auto"/>
        <w:jc w:val="left"/>
      </w:pPr>
      <w:r>
        <w:rPr>
          <w:rFonts w:ascii="Times New Roman" w:hAnsi="Times New Roman" w:cs="Times New Roman"/>
          <w:b w:val="0"/>
          <w:i w:val="0"/>
          <w:sz w:val="22"/>
        </w:rPr>
        <w:t>The platform uses AI models (Groq + HF local) to forecast potential SLA breaches before they occur. These forecasts are advisory — they never automatically throttle or block traffic.</w:t>
      </w:r>
    </w:p>
    <w:p>
      <w:pPr>
        <w:spacing w:after="80" w:line="293" w:lineRule="auto"/>
        <w:jc w:val="left"/>
      </w:pPr>
      <w:r>
        <w:rPr>
          <w:rFonts w:ascii="Times New Roman" w:hAnsi="Times New Roman" w:cs="Times New Roman"/>
          <w:b w:val="0"/>
          <w:i w:val="0"/>
          <w:sz w:val="22"/>
        </w:rPr>
        <w:t>Predictive availability model (A2, HF local LSTM):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Feature</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Input features</w:t>
            </w:r>
          </w:p>
        </w:tc>
        <w:tc>
          <w:tcPr>
            <w:tcW w:type="dxa" w:w="4819"/>
          </w:tcPr>
          <w:p>
            <w:pPr>
              <w:spacing w:after="20" w:before="20" w:line="240" w:lineRule="auto"/>
            </w:pPr>
            <w:r/>
            <w:r>
              <w:rPr>
                <w:rFonts w:ascii="Arial" w:hAnsi="Arial" w:cs="Arial"/>
                <w:b w:val="0"/>
                <w:i w:val="0"/>
                <w:sz w:val="17"/>
              </w:rPr>
              <w:t>Historical uptime, resource utilisation (CPU, memory, disk), network latency, bank health, time of day, day of week, upcoming maintenance windows</w:t>
            </w:r>
          </w:p>
        </w:tc>
      </w:tr>
      <w:tr>
        <w:tc>
          <w:tcPr>
            <w:tcW w:type="dxa" w:w="4819"/>
          </w:tcPr>
          <w:p>
            <w:pPr>
              <w:spacing w:after="20" w:before="20" w:line="240" w:lineRule="auto"/>
            </w:pPr>
            <w:r/>
            <w:r>
              <w:rPr>
                <w:rFonts w:ascii="Arial" w:hAnsi="Arial" w:cs="Arial"/>
                <w:b w:val="0"/>
                <w:i w:val="0"/>
                <w:sz w:val="17"/>
              </w:rPr>
              <w:t>Output</w:t>
            </w:r>
          </w:p>
        </w:tc>
        <w:tc>
          <w:tcPr>
            <w:tcW w:type="dxa" w:w="4819"/>
          </w:tcPr>
          <w:p>
            <w:pPr>
              <w:spacing w:after="20" w:before="20" w:line="240" w:lineRule="auto"/>
            </w:pPr>
            <w:r/>
            <w:r>
              <w:rPr>
                <w:rFonts w:ascii="Arial" w:hAnsi="Arial" w:cs="Arial"/>
                <w:b w:val="0"/>
                <w:i w:val="0"/>
                <w:sz w:val="17"/>
              </w:rPr>
              <w:t>Probability of downtime in the next 24 hours (0–100%)</w:t>
            </w:r>
          </w:p>
        </w:tc>
      </w:tr>
      <w:tr>
        <w:tc>
          <w:tcPr>
            <w:tcW w:type="dxa" w:w="4819"/>
          </w:tcPr>
          <w:p>
            <w:pPr>
              <w:spacing w:after="20" w:before="20" w:line="240" w:lineRule="auto"/>
            </w:pPr>
            <w:r/>
            <w:r>
              <w:rPr>
                <w:rFonts w:ascii="Arial" w:hAnsi="Arial" w:cs="Arial"/>
                <w:b w:val="0"/>
                <w:i w:val="0"/>
                <w:sz w:val="17"/>
              </w:rPr>
              <w:t>Alert threshold</w:t>
            </w:r>
          </w:p>
        </w:tc>
        <w:tc>
          <w:tcPr>
            <w:tcW w:type="dxa" w:w="4819"/>
          </w:tcPr>
          <w:p>
            <w:pPr>
              <w:spacing w:after="20" w:before="20" w:line="240" w:lineRule="auto"/>
            </w:pPr>
            <w:r/>
            <w:r>
              <w:rPr>
                <w:rFonts w:ascii="Arial" w:hAnsi="Arial" w:cs="Arial"/>
                <w:b w:val="0"/>
                <w:i w:val="0"/>
                <w:sz w:val="17"/>
              </w:rPr>
              <w:t>If probability &gt;30%, Smart Inbox alert (priority 85) sent to Platform Governance Authority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alert: "Predicted 35% chance of Governor service degradation in the next 24h due to planned cluster upgrade. Consider postponing or adding replicas."</w:t>
      </w:r>
    </w:p>
    <w:p>
      <w:pPr>
        <w:spacing w:after="80" w:line="293" w:lineRule="auto"/>
        <w:jc w:val="left"/>
      </w:pPr>
      <w:r>
        <w:rPr>
          <w:rFonts w:ascii="Times New Roman" w:hAnsi="Times New Roman" w:cs="Times New Roman"/>
          <w:b w:val="0"/>
          <w:i w:val="0"/>
          <w:sz w:val="22"/>
        </w:rPr>
        <w:t>Predictive latency model (A1, Groq): Groq analyses current traffic patterns and resource headroom, then generates a plain-language report: "Based on current load (120% of normal), p95 latency may exceed 3 seconds in 8 hours if no scaling action is taken. Recommended: add 2 replicas of trade-service." (Advisory — no auto-scaling unless configured.)</w:t>
      </w:r>
    </w:p>
    <w:p>
      <w:pPr>
        <w:spacing w:after="80" w:line="293" w:lineRule="auto"/>
        <w:jc w:val="left"/>
      </w:pPr>
      <w:r>
        <w:rPr>
          <w:rFonts w:ascii="Times New Roman" w:hAnsi="Times New Roman" w:cs="Times New Roman"/>
          <w:b w:val="0"/>
          <w:i w:val="0"/>
          <w:sz w:val="22"/>
        </w:rPr>
        <w:t>SLA credit forecast (A1, Groq): at the start of each month, Groq forecasts the likelihood of SLA breaches based on historical data and planned changes. Example: "This month, estimated SLA breach probability: 2% for Governor, 1% for Payment Orchestrator. No action required. Projected SLA credits: $1,200 (0.12% of revenue)."</w:t>
      </w:r>
    </w:p>
    <w:p>
      <w:pPr>
        <w:spacing w:after="80" w:line="293" w:lineRule="auto"/>
        <w:jc w:val="left"/>
      </w:pPr>
      <w:r>
        <w:rPr>
          <w:rFonts w:ascii="Times New Roman" w:hAnsi="Times New Roman" w:cs="Times New Roman"/>
          <w:b w:val="0"/>
          <w:i w:val="0"/>
          <w:sz w:val="22"/>
        </w:rPr>
        <w:t>AI-assisted health prediction (advisory): the predictive-sla service (A2, LSTM) uses historical probe data to forecast future availability. Groq generates a monthly report: "Based on current trends, Governor service availability next month is forecast at 99.97% (above target). No action needed."</w:t>
      </w:r>
    </w:p>
    <w:p>
      <w:pPr>
        <w:keepNext/>
        <w:spacing w:before="180" w:after="80"/>
        <w:outlineLvl w:val="2"/>
      </w:pPr>
      <w:r>
        <w:rPr>
          <w:rFonts w:ascii="Arial" w:hAnsi="Arial" w:cs="Arial"/>
          <w:b/>
          <w:i w:val="0"/>
          <w:color w:val="333333"/>
          <w:sz w:val="23"/>
        </w:rPr>
        <w:t>21.8.8 Maintenance Windows</w:t>
      </w:r>
    </w:p>
    <w:p>
      <w:pPr>
        <w:spacing w:after="80" w:line="293" w:lineRule="auto"/>
        <w:jc w:val="left"/>
      </w:pPr>
      <w:r>
        <w:rPr>
          <w:rFonts w:ascii="Times New Roman" w:hAnsi="Times New Roman" w:cs="Times New Roman"/>
          <w:b w:val="0"/>
          <w:i w:val="0"/>
          <w:sz w:val="22"/>
        </w:rPr>
        <w:t>Standard maintenance: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Aspect</w:t>
            </w:r>
          </w:p>
        </w:tc>
        <w:tc>
          <w:tcPr>
            <w:tcW w:type="dxa" w:w="4819"/>
            <w:shd w:val="clear" w:fill="D9E2F3"/>
          </w:tcPr>
          <w:p>
            <w:pPr>
              <w:spacing w:after="20" w:before="20" w:line="240" w:lineRule="auto"/>
            </w:pPr>
            <w:r/>
            <w:r>
              <w:rPr>
                <w:rFonts w:ascii="Arial" w:hAnsi="Arial" w:cs="Arial"/>
                <w:b/>
                <w:i w:val="0"/>
                <w:sz w:val="18"/>
              </w:rPr>
              <w:t>Requirement</w:t>
            </w:r>
          </w:p>
        </w:tc>
      </w:tr>
      <w:tr>
        <w:tc>
          <w:tcPr>
            <w:tcW w:type="dxa" w:w="4819"/>
          </w:tcPr>
          <w:p>
            <w:pPr>
              <w:spacing w:after="20" w:before="20" w:line="240" w:lineRule="auto"/>
            </w:pPr>
            <w:r/>
            <w:r>
              <w:rPr>
                <w:rFonts w:ascii="Arial" w:hAnsi="Arial" w:cs="Arial"/>
                <w:b w:val="0"/>
                <w:i w:val="0"/>
                <w:sz w:val="17"/>
              </w:rPr>
              <w:t>Announcement</w:t>
            </w:r>
          </w:p>
        </w:tc>
        <w:tc>
          <w:tcPr>
            <w:tcW w:type="dxa" w:w="4819"/>
          </w:tcPr>
          <w:p>
            <w:pPr>
              <w:spacing w:after="20" w:before="20" w:line="240" w:lineRule="auto"/>
            </w:pPr>
            <w:r/>
            <w:r>
              <w:rPr>
                <w:rFonts w:ascii="Arial" w:hAnsi="Arial" w:cs="Arial"/>
                <w:b w:val="0"/>
                <w:i w:val="0"/>
                <w:sz w:val="17"/>
              </w:rPr>
              <w:t>All scheduled maintenance announced via Tenant Portal (banner in Smart Inbox), public status page (https://status.sgtx.io), and email to tenant admins at least 14 calendar days in advance</w:t>
            </w:r>
          </w:p>
        </w:tc>
      </w:tr>
      <w:tr>
        <w:tc>
          <w:tcPr>
            <w:tcW w:type="dxa" w:w="4819"/>
          </w:tcPr>
          <w:p>
            <w:pPr>
              <w:spacing w:after="20" w:before="20" w:line="240" w:lineRule="auto"/>
            </w:pPr>
            <w:r/>
            <w:r>
              <w:rPr>
                <w:rFonts w:ascii="Arial" w:hAnsi="Arial" w:cs="Arial"/>
                <w:b w:val="0"/>
                <w:i w:val="0"/>
                <w:sz w:val="17"/>
              </w:rPr>
              <w:t>Duration</w:t>
            </w:r>
          </w:p>
        </w:tc>
        <w:tc>
          <w:tcPr>
            <w:tcW w:type="dxa" w:w="4819"/>
          </w:tcPr>
          <w:p>
            <w:pPr>
              <w:spacing w:after="20" w:before="20" w:line="240" w:lineRule="auto"/>
            </w:pPr>
            <w:r/>
            <w:r>
              <w:rPr>
                <w:rFonts w:ascii="Arial" w:hAnsi="Arial" w:cs="Arial"/>
                <w:b w:val="0"/>
                <w:i w:val="0"/>
                <w:sz w:val="17"/>
              </w:rPr>
              <w:t>Maximum 4 hours per quarter, per sovereign node</w:t>
            </w:r>
          </w:p>
        </w:tc>
      </w:tr>
      <w:tr>
        <w:tc>
          <w:tcPr>
            <w:tcW w:type="dxa" w:w="4819"/>
          </w:tcPr>
          <w:p>
            <w:pPr>
              <w:spacing w:after="20" w:before="20" w:line="240" w:lineRule="auto"/>
            </w:pPr>
            <w:r/>
            <w:r>
              <w:rPr>
                <w:rFonts w:ascii="Arial" w:hAnsi="Arial" w:cs="Arial"/>
                <w:b w:val="0"/>
                <w:i w:val="0"/>
                <w:sz w:val="17"/>
              </w:rPr>
              <w:t>Timing</w:t>
            </w:r>
          </w:p>
        </w:tc>
        <w:tc>
          <w:tcPr>
            <w:tcW w:type="dxa" w:w="4819"/>
          </w:tcPr>
          <w:p>
            <w:pPr>
              <w:spacing w:after="20" w:before="20" w:line="240" w:lineRule="auto"/>
            </w:pPr>
            <w:r/>
            <w:r>
              <w:rPr>
                <w:rFonts w:ascii="Arial" w:hAnsi="Arial" w:cs="Arial"/>
                <w:b w:val="0"/>
                <w:i w:val="0"/>
                <w:sz w:val="17"/>
              </w:rPr>
              <w:t>Low-activity periods (e.g., Sunday 02:00–06:00 UTC for global, local off-peak for regional nodes)</w:t>
            </w:r>
          </w:p>
        </w:tc>
      </w:tr>
      <w:tr>
        <w:tc>
          <w:tcPr>
            <w:tcW w:type="dxa" w:w="4819"/>
          </w:tcPr>
          <w:p>
            <w:pPr>
              <w:spacing w:after="20" w:before="20" w:line="240" w:lineRule="auto"/>
            </w:pPr>
            <w:r/>
            <w:r>
              <w:rPr>
                <w:rFonts w:ascii="Arial" w:hAnsi="Arial" w:cs="Arial"/>
                <w:b w:val="0"/>
                <w:i w:val="0"/>
                <w:sz w:val="17"/>
              </w:rPr>
              <w:t>SLA exclusion</w:t>
            </w:r>
          </w:p>
        </w:tc>
        <w:tc>
          <w:tcPr>
            <w:tcW w:type="dxa" w:w="4819"/>
          </w:tcPr>
          <w:p>
            <w:pPr>
              <w:spacing w:after="20" w:before="20" w:line="240" w:lineRule="auto"/>
            </w:pPr>
            <w:r/>
            <w:r>
              <w:rPr>
                <w:rFonts w:ascii="Arial" w:hAnsi="Arial" w:cs="Arial"/>
                <w:b w:val="0"/>
                <w:i w:val="0"/>
                <w:sz w:val="17"/>
              </w:rPr>
              <w:t>sla-monitor automatically excludes announced windows from availability calculations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Emergency maintenance: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Aspect</w:t>
            </w:r>
          </w:p>
        </w:tc>
        <w:tc>
          <w:tcPr>
            <w:tcW w:type="dxa" w:w="4819"/>
            <w:shd w:val="clear" w:fill="D9E2F3"/>
          </w:tcPr>
          <w:p>
            <w:pPr>
              <w:spacing w:after="20" w:before="20" w:line="240" w:lineRule="auto"/>
            </w:pPr>
            <w:r/>
            <w:r>
              <w:rPr>
                <w:rFonts w:ascii="Arial" w:hAnsi="Arial" w:cs="Arial"/>
                <w:b/>
                <w:i w:val="0"/>
                <w:sz w:val="18"/>
              </w:rPr>
              <w:t>Requirement</w:t>
            </w:r>
          </w:p>
        </w:tc>
      </w:tr>
      <w:tr>
        <w:tc>
          <w:tcPr>
            <w:tcW w:type="dxa" w:w="4819"/>
          </w:tcPr>
          <w:p>
            <w:pPr>
              <w:spacing w:after="20" w:before="20" w:line="240" w:lineRule="auto"/>
            </w:pPr>
            <w:r/>
            <w:r>
              <w:rPr>
                <w:rFonts w:ascii="Arial" w:hAnsi="Arial" w:cs="Arial"/>
                <w:b w:val="0"/>
                <w:i w:val="0"/>
                <w:sz w:val="17"/>
              </w:rPr>
              <w:t>Notice period</w:t>
            </w:r>
          </w:p>
        </w:tc>
        <w:tc>
          <w:tcPr>
            <w:tcW w:type="dxa" w:w="4819"/>
          </w:tcPr>
          <w:p>
            <w:pPr>
              <w:spacing w:after="20" w:before="20" w:line="240" w:lineRule="auto"/>
            </w:pPr>
            <w:r/>
            <w:r>
              <w:rPr>
                <w:rFonts w:ascii="Arial" w:hAnsi="Arial" w:cs="Arial"/>
                <w:b w:val="0"/>
                <w:i w:val="0"/>
                <w:sz w:val="17"/>
              </w:rPr>
              <w:t>24 hours for critical security patches (e.g., zero-day vulnerability)</w:t>
            </w:r>
          </w:p>
        </w:tc>
      </w:tr>
      <w:tr>
        <w:tc>
          <w:tcPr>
            <w:tcW w:type="dxa" w:w="4819"/>
          </w:tcPr>
          <w:p>
            <w:pPr>
              <w:spacing w:after="20" w:before="20" w:line="240" w:lineRule="auto"/>
            </w:pPr>
            <w:r/>
            <w:r>
              <w:rPr>
                <w:rFonts w:ascii="Arial" w:hAnsi="Arial" w:cs="Arial"/>
                <w:b w:val="0"/>
                <w:i w:val="0"/>
                <w:sz w:val="17"/>
              </w:rPr>
              <w:t>Notification</w:t>
            </w:r>
          </w:p>
        </w:tc>
        <w:tc>
          <w:tcPr>
            <w:tcW w:type="dxa" w:w="4819"/>
          </w:tcPr>
          <w:p>
            <w:pPr>
              <w:spacing w:after="20" w:before="20" w:line="240" w:lineRule="auto"/>
            </w:pPr>
            <w:r/>
            <w:r>
              <w:rPr>
                <w:rFonts w:ascii="Arial" w:hAnsi="Arial" w:cs="Arial"/>
                <w:b w:val="0"/>
                <w:i w:val="0"/>
                <w:sz w:val="17"/>
              </w:rPr>
              <w:t>Push notifications via SGTX mobile app and high-priority Smart Inbox item</w:t>
            </w:r>
          </w:p>
        </w:tc>
      </w:tr>
      <w:tr>
        <w:tc>
          <w:tcPr>
            <w:tcW w:type="dxa" w:w="4819"/>
          </w:tcPr>
          <w:p>
            <w:pPr>
              <w:spacing w:after="20" w:before="20" w:line="240" w:lineRule="auto"/>
            </w:pPr>
            <w:r/>
            <w:r>
              <w:rPr>
                <w:rFonts w:ascii="Arial" w:hAnsi="Arial" w:cs="Arial"/>
                <w:b w:val="0"/>
                <w:i w:val="0"/>
                <w:sz w:val="17"/>
              </w:rPr>
              <w:t>SLA impact</w:t>
            </w:r>
          </w:p>
        </w:tc>
        <w:tc>
          <w:tcPr>
            <w:tcW w:type="dxa" w:w="4819"/>
          </w:tcPr>
          <w:p>
            <w:pPr>
              <w:spacing w:after="20" w:before="20" w:line="240" w:lineRule="auto"/>
            </w:pPr>
            <w:r/>
            <w:r>
              <w:rPr>
                <w:rFonts w:ascii="Arial" w:hAnsi="Arial" w:cs="Arial"/>
                <w:b w:val="0"/>
                <w:i w:val="0"/>
                <w:sz w:val="17"/>
              </w:rPr>
              <w:t>Emergency maintenance exceeding 1 hour counts against SLA unless directly attributable to a third-party zero-day with no workaround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 emergency maintenance due to a Log4j-like vulnerability: a zero-day is disclosed at 10:00 UTC. Within 2 hours, SGTX patches the affected service. Notifications are sent at 12:00 UTC. The maintenance window is 14:00–15:00 UTC (1 hour). It is not counted against SLA because it was a third-party zero-day and notice was given.</w:t>
      </w:r>
    </w:p>
    <w:p>
      <w:pPr>
        <w:keepNext/>
        <w:spacing w:before="180" w:after="80"/>
        <w:outlineLvl w:val="2"/>
      </w:pPr>
      <w:r>
        <w:rPr>
          <w:rFonts w:ascii="Arial" w:hAnsi="Arial" w:cs="Arial"/>
          <w:b/>
          <w:i w:val="0"/>
          <w:color w:val="333333"/>
          <w:sz w:val="23"/>
        </w:rPr>
        <w:t>21.8.9 Public Status Page</w:t>
      </w:r>
    </w:p>
    <w:p>
      <w:pPr>
        <w:spacing w:after="80" w:line="293" w:lineRule="auto"/>
        <w:jc w:val="left"/>
      </w:pPr>
      <w:r>
        <w:rPr>
          <w:rFonts w:ascii="Times New Roman" w:hAnsi="Times New Roman" w:cs="Times New Roman"/>
          <w:b w:val="0"/>
          <w:i w:val="0"/>
          <w:sz w:val="22"/>
        </w:rPr>
        <w:t>URL: https://status.sgtx.io. Technology: built with cState (open-source) or Upptime (GitHub-based), self-hosted on a separate lightweight VPS, independent of the main SGTX nodes. The status page displays:</w:t>
      </w:r>
    </w:p>
    <w:p>
      <w:pPr>
        <w:spacing w:after="80" w:line="293" w:lineRule="auto"/>
        <w:ind w:left="283"/>
        <w:jc w:val="left"/>
      </w:pPr>
      <w:r>
        <w:rPr>
          <w:rFonts w:ascii="Times New Roman" w:hAnsi="Times New Roman" w:cs="Times New Roman"/>
          <w:b w:val="0"/>
          <w:i w:val="0"/>
          <w:sz w:val="22"/>
        </w:rPr>
        <w:t>- Realtime component status: Operational, Degraded Performance, Partial Outage, Major Outage.</w:t>
      </w:r>
    </w:p>
    <w:p>
      <w:pPr>
        <w:spacing w:after="80" w:line="293" w:lineRule="auto"/>
        <w:ind w:left="283"/>
        <w:jc w:val="left"/>
      </w:pPr>
      <w:r>
        <w:rPr>
          <w:rFonts w:ascii="Times New Roman" w:hAnsi="Times New Roman" w:cs="Times New Roman"/>
          <w:b w:val="0"/>
          <w:i w:val="0"/>
          <w:sz w:val="22"/>
        </w:rPr>
        <w:t>- Incident history for the last 90 days, including post-mortem summaries (Groq-generated, reviewed by the Platform</w:t>
      </w:r>
    </w:p>
    <w:p>
      <w:pPr>
        <w:spacing w:after="80" w:line="293" w:lineRule="auto"/>
        <w:jc w:val="left"/>
      </w:pPr>
      <w:r>
        <w:rPr>
          <w:rFonts w:ascii="Times New Roman" w:hAnsi="Times New Roman" w:cs="Times New Roman"/>
          <w:b w:val="0"/>
          <w:i w:val="0"/>
          <w:sz w:val="22"/>
        </w:rPr>
        <w:t>Governance Authority).</w:t>
      </w:r>
    </w:p>
    <w:p>
      <w:pPr>
        <w:spacing w:after="80" w:line="293" w:lineRule="auto"/>
        <w:ind w:left="283"/>
        <w:jc w:val="left"/>
      </w:pPr>
      <w:r>
        <w:rPr>
          <w:rFonts w:ascii="Times New Roman" w:hAnsi="Times New Roman" w:cs="Times New Roman"/>
          <w:b w:val="0"/>
          <w:i w:val="0"/>
          <w:sz w:val="22"/>
        </w:rPr>
        <w:t>- Upcoming scheduled maintenance.</w:t>
      </w:r>
    </w:p>
    <w:p>
      <w:pPr>
        <w:spacing w:after="80" w:line="293" w:lineRule="auto"/>
        <w:ind w:left="283"/>
        <w:jc w:val="left"/>
      </w:pPr>
      <w:r>
        <w:rPr>
          <w:rFonts w:ascii="Times New Roman" w:hAnsi="Times New Roman" w:cs="Times New Roman"/>
          <w:b w:val="0"/>
          <w:i w:val="0"/>
          <w:sz w:val="22"/>
        </w:rPr>
        <w:t>- Per-component uptime percentage for the current and previous month.</w:t>
      </w:r>
    </w:p>
    <w:p>
      <w:pPr>
        <w:spacing w:after="80" w:line="293" w:lineRule="auto"/>
        <w:ind w:left="283"/>
        <w:jc w:val="left"/>
      </w:pPr>
      <w:r>
        <w:rPr>
          <w:rFonts w:ascii="Times New Roman" w:hAnsi="Times New Roman" w:cs="Times New Roman"/>
          <w:b w:val="0"/>
          <w:i w:val="0"/>
          <w:sz w:val="22"/>
        </w:rPr>
        <w:t>- SLA credit calculator — tenants can estimate potential credits based on the current month's uptime.</w:t>
      </w:r>
    </w:p>
    <w:p>
      <w:pPr>
        <w:spacing w:after="80" w:line="293" w:lineRule="auto"/>
        <w:ind w:left="283"/>
        <w:jc w:val="left"/>
      </w:pPr>
      <w:r>
        <w:rPr>
          <w:rFonts w:ascii="Times New Roman" w:hAnsi="Times New Roman" w:cs="Times New Roman"/>
          <w:b w:val="0"/>
          <w:i w:val="0"/>
          <w:sz w:val="22"/>
        </w:rPr>
        <w:t>- API endpoint for programmatic status checks: GET /api/v1/status.</w:t>
      </w:r>
    </w:p>
    <w:p>
      <w:pPr>
        <w:spacing w:after="80" w:line="293" w:lineRule="auto"/>
        <w:jc w:val="left"/>
      </w:pPr>
      <w:r>
        <w:rPr>
          <w:rFonts w:ascii="Times New Roman" w:hAnsi="Times New Roman" w:cs="Times New Roman"/>
          <w:b w:val="0"/>
          <w:i w:val="0"/>
          <w:sz w:val="22"/>
        </w:rPr>
        <w:t>Subscriptions: RSS, email, Slack webhook (optional). All free.</w:t>
      </w:r>
    </w:p>
    <w:p>
      <w:pPr>
        <w:keepNext/>
        <w:spacing w:before="180" w:after="80"/>
        <w:outlineLvl w:val="2"/>
      </w:pPr>
      <w:r>
        <w:rPr>
          <w:rFonts w:ascii="Arial" w:hAnsi="Arial" w:cs="Arial"/>
          <w:b/>
          <w:i w:val="0"/>
          <w:color w:val="333333"/>
          <w:sz w:val="23"/>
        </w:rPr>
        <w:t>21.8.10 Credit &amp; Compensation Model</w:t>
      </w:r>
    </w:p>
    <w:p>
      <w:pPr>
        <w:spacing w:after="80" w:line="293" w:lineRule="auto"/>
        <w:jc w:val="left"/>
      </w:pPr>
      <w:r>
        <w:rPr>
          <w:rFonts w:ascii="Times New Roman" w:hAnsi="Times New Roman" w:cs="Times New Roman"/>
          <w:b w:val="0"/>
          <w:i w:val="0"/>
          <w:sz w:val="22"/>
        </w:rPr>
        <w:t>Credit calculation:</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Aspect</w:t>
            </w:r>
          </w:p>
        </w:tc>
        <w:tc>
          <w:tcPr>
            <w:tcW w:type="dxa" w:w="4819"/>
            <w:shd w:val="clear" w:fill="D9E2F3"/>
          </w:tcPr>
          <w:p>
            <w:pPr>
              <w:spacing w:after="20" w:before="20" w:line="240" w:lineRule="auto"/>
            </w:pPr>
            <w:r/>
            <w:r>
              <w:rPr>
                <w:rFonts w:ascii="Arial" w:hAnsi="Arial" w:cs="Arial"/>
                <w:b/>
                <w:i w:val="0"/>
                <w:sz w:val="18"/>
              </w:rPr>
              <w:t>Detail</w:t>
            </w:r>
          </w:p>
        </w:tc>
      </w:tr>
      <w:tr>
        <w:tc>
          <w:tcPr>
            <w:tcW w:type="dxa" w:w="4819"/>
          </w:tcPr>
          <w:p>
            <w:pPr>
              <w:spacing w:after="20" w:before="20" w:line="240" w:lineRule="auto"/>
            </w:pPr>
            <w:r/>
            <w:r>
              <w:rPr>
                <w:rFonts w:ascii="Arial" w:hAnsi="Arial" w:cs="Arial"/>
                <w:b w:val="0"/>
                <w:i w:val="0"/>
                <w:sz w:val="17"/>
              </w:rPr>
              <w:t>Credit amount</w:t>
            </w:r>
          </w:p>
        </w:tc>
        <w:tc>
          <w:tcPr>
            <w:tcW w:type="dxa" w:w="4819"/>
          </w:tcPr>
          <w:p>
            <w:pPr>
              <w:spacing w:after="20" w:before="20" w:line="240" w:lineRule="auto"/>
            </w:pPr>
            <w:r/>
            <w:r>
              <w:rPr>
                <w:rFonts w:ascii="Arial" w:hAnsi="Arial" w:cs="Arial"/>
                <w:b w:val="0"/>
                <w:i w:val="0"/>
                <w:sz w:val="17"/>
              </w:rPr>
              <w:t>(breach percentage from the SLA tables) × monthly platform fee</w:t>
            </w:r>
          </w:p>
        </w:tc>
      </w:tr>
      <w:tr>
        <w:tc>
          <w:tcPr>
            <w:tcW w:type="dxa" w:w="4819"/>
          </w:tcPr>
          <w:p>
            <w:pPr>
              <w:spacing w:after="20" w:before="20" w:line="240" w:lineRule="auto"/>
            </w:pPr>
            <w:r/>
            <w:r>
              <w:rPr>
                <w:rFonts w:ascii="Arial" w:hAnsi="Arial" w:cs="Arial"/>
                <w:b w:val="0"/>
                <w:i w:val="0"/>
                <w:sz w:val="17"/>
              </w:rPr>
              <w:t>Multiple breaches</w:t>
            </w:r>
          </w:p>
        </w:tc>
        <w:tc>
          <w:tcPr>
            <w:tcW w:type="dxa" w:w="4819"/>
          </w:tcPr>
          <w:p>
            <w:pPr>
              <w:spacing w:after="20" w:before="20" w:line="240" w:lineRule="auto"/>
            </w:pPr>
            <w:r/>
            <w:r>
              <w:rPr>
                <w:rFonts w:ascii="Arial" w:hAnsi="Arial" w:cs="Arial"/>
                <w:b w:val="0"/>
                <w:i w:val="0"/>
                <w:sz w:val="17"/>
              </w:rPr>
              <w:t>Credits applied independently (not capped)</w:t>
            </w:r>
          </w:p>
        </w:tc>
      </w:tr>
      <w:tr>
        <w:tc>
          <w:tcPr>
            <w:tcW w:type="dxa" w:w="4819"/>
          </w:tcPr>
          <w:p>
            <w:pPr>
              <w:spacing w:after="20" w:before="20" w:line="240" w:lineRule="auto"/>
            </w:pPr>
            <w:r/>
            <w:r>
              <w:rPr>
                <w:rFonts w:ascii="Arial" w:hAnsi="Arial" w:cs="Arial"/>
                <w:b w:val="0"/>
                <w:i w:val="0"/>
                <w:sz w:val="17"/>
              </w:rPr>
              <w:t>Maximum credit</w:t>
            </w:r>
          </w:p>
        </w:tc>
        <w:tc>
          <w:tcPr>
            <w:tcW w:type="dxa" w:w="4819"/>
          </w:tcPr>
          <w:p>
            <w:pPr>
              <w:spacing w:after="20" w:before="20" w:line="240" w:lineRule="auto"/>
            </w:pPr>
            <w:r/>
            <w:r>
              <w:rPr>
                <w:rFonts w:ascii="Arial" w:hAnsi="Arial" w:cs="Arial"/>
                <w:b w:val="0"/>
                <w:i w:val="0"/>
                <w:sz w:val="17"/>
              </w:rPr>
              <w:t>Cannot exceed 100% of monthly platform fee</w:t>
            </w:r>
          </w:p>
        </w:tc>
      </w:tr>
      <w:tr>
        <w:tc>
          <w:tcPr>
            <w:tcW w:type="dxa" w:w="4819"/>
          </w:tcPr>
          <w:p>
            <w:pPr>
              <w:spacing w:after="20" w:before="20" w:line="240" w:lineRule="auto"/>
            </w:pPr>
            <w:r/>
            <w:r>
              <w:rPr>
                <w:rFonts w:ascii="Arial" w:hAnsi="Arial" w:cs="Arial"/>
                <w:b w:val="0"/>
                <w:i w:val="0"/>
                <w:sz w:val="17"/>
              </w:rPr>
              <w:t>Application</w:t>
            </w:r>
          </w:p>
        </w:tc>
        <w:tc>
          <w:tcPr>
            <w:tcW w:type="dxa" w:w="4819"/>
          </w:tcPr>
          <w:p>
            <w:pPr>
              <w:spacing w:after="20" w:before="20" w:line="240" w:lineRule="auto"/>
            </w:pPr>
            <w:r/>
            <w:r>
              <w:rPr>
                <w:rFonts w:ascii="Arial" w:hAnsi="Arial" w:cs="Arial"/>
                <w:b w:val="0"/>
                <w:i w:val="0"/>
                <w:sz w:val="17"/>
              </w:rPr>
              <w:t>Automatically applied to tenant's next monthly statement</w:t>
            </w:r>
          </w:p>
        </w:tc>
      </w:tr>
      <w:tr>
        <w:tc>
          <w:tcPr>
            <w:tcW w:type="dxa" w:w="4819"/>
          </w:tcPr>
          <w:p>
            <w:pPr>
              <w:spacing w:after="20" w:before="20" w:line="240" w:lineRule="auto"/>
            </w:pPr>
            <w:r/>
            <w:r>
              <w:rPr>
                <w:rFonts w:ascii="Arial" w:hAnsi="Arial" w:cs="Arial"/>
                <w:b w:val="0"/>
                <w:i w:val="0"/>
                <w:sz w:val="17"/>
              </w:rPr>
              <w:t>Notification</w:t>
            </w:r>
          </w:p>
        </w:tc>
        <w:tc>
          <w:tcPr>
            <w:tcW w:type="dxa" w:w="4819"/>
          </w:tcPr>
          <w:p>
            <w:pPr>
              <w:spacing w:after="20" w:before="20" w:line="240" w:lineRule="auto"/>
            </w:pPr>
            <w:r/>
            <w:r>
              <w:rPr>
                <w:rFonts w:ascii="Arial" w:hAnsi="Arial" w:cs="Arial"/>
                <w:b w:val="0"/>
                <w:i w:val="0"/>
                <w:sz w:val="17"/>
              </w:rPr>
              <w:t>Smart Inbox notification with breakdown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Automatic application: sla-monitor runs at the end of each month, aggregates downtime per component, and computes credits. Credits are automatically applied to the tenant's next monthly statement (line item: "SLA credit — Governor breach"). Tenants receive a Smart Inbox notification with the breakdown. No manual claim is required — but tenants can dispute the calculation via the "SLA Dispute" button in Company Admin; disputes are handled by the Platform Governance Authority.</w:t>
      </w:r>
    </w:p>
    <w:p>
      <w:pPr>
        <w:spacing w:after="80" w:line="293" w:lineRule="auto"/>
        <w:jc w:val="left"/>
      </w:pPr>
      <w:r>
        <w:rPr>
          <w:rFonts w:ascii="Times New Roman" w:hAnsi="Times New Roman" w:cs="Times New Roman"/>
          <w:b w:val="0"/>
          <w:i w:val="0"/>
          <w:sz w:val="22"/>
        </w:rPr>
        <w:t>Exclusions (no credit):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Exclusion</w:t>
            </w:r>
          </w:p>
        </w:tc>
        <w:tc>
          <w:tcPr>
            <w:tcW w:type="dxa" w:w="4819"/>
            <w:shd w:val="clear" w:fill="D9E2F3"/>
          </w:tcPr>
          <w:p>
            <w:pPr>
              <w:spacing w:after="20" w:before="20" w:line="240" w:lineRule="auto"/>
            </w:pPr>
            <w:r/>
            <w:r>
              <w:rPr>
                <w:rFonts w:ascii="Arial" w:hAnsi="Arial" w:cs="Arial"/>
                <w:b/>
                <w:i w:val="0"/>
                <w:sz w:val="18"/>
              </w:rPr>
              <w:t>Reason</w:t>
            </w:r>
          </w:p>
        </w:tc>
      </w:tr>
      <w:tr>
        <w:tc>
          <w:tcPr>
            <w:tcW w:type="dxa" w:w="4819"/>
          </w:tcPr>
          <w:p>
            <w:pPr>
              <w:spacing w:after="20" w:before="20" w:line="240" w:lineRule="auto"/>
            </w:pPr>
            <w:r/>
            <w:r>
              <w:rPr>
                <w:rFonts w:ascii="Arial" w:hAnsi="Arial" w:cs="Arial"/>
                <w:b w:val="0"/>
                <w:i w:val="0"/>
                <w:sz w:val="17"/>
              </w:rPr>
              <w:t>Force majeure</w:t>
            </w:r>
          </w:p>
        </w:tc>
        <w:tc>
          <w:tcPr>
            <w:tcW w:type="dxa" w:w="4819"/>
          </w:tcPr>
          <w:p>
            <w:pPr>
              <w:spacing w:after="20" w:before="20" w:line="240" w:lineRule="auto"/>
            </w:pPr>
            <w:r/>
            <w:r>
              <w:rPr>
                <w:rFonts w:ascii="Arial" w:hAnsi="Arial" w:cs="Arial"/>
                <w:b w:val="0"/>
                <w:i w:val="0"/>
                <w:sz w:val="17"/>
              </w:rPr>
              <w:t>Natural disasters, war, pandemic</w:t>
            </w:r>
          </w:p>
        </w:tc>
      </w:tr>
      <w:tr>
        <w:tc>
          <w:tcPr>
            <w:tcW w:type="dxa" w:w="4819"/>
          </w:tcPr>
          <w:p>
            <w:pPr>
              <w:spacing w:after="20" w:before="20" w:line="240" w:lineRule="auto"/>
            </w:pPr>
            <w:r/>
            <w:r>
              <w:rPr>
                <w:rFonts w:ascii="Arial" w:hAnsi="Arial" w:cs="Arial"/>
                <w:b w:val="0"/>
                <w:i w:val="0"/>
                <w:sz w:val="17"/>
              </w:rPr>
              <w:t>Third-party bank outages</w:t>
            </w:r>
          </w:p>
        </w:tc>
        <w:tc>
          <w:tcPr>
            <w:tcW w:type="dxa" w:w="4819"/>
          </w:tcPr>
          <w:p>
            <w:pPr>
              <w:spacing w:after="20" w:before="20" w:line="240" w:lineRule="auto"/>
            </w:pPr>
            <w:r/>
            <w:r>
              <w:rPr>
                <w:rFonts w:ascii="Arial" w:hAnsi="Arial" w:cs="Arial"/>
                <w:b w:val="0"/>
                <w:i w:val="0"/>
                <w:sz w:val="17"/>
              </w:rPr>
              <w:t>Participating bank availability — SLA applies only to SGTX services; bank fallback routes apply</w:t>
            </w:r>
          </w:p>
        </w:tc>
      </w:tr>
      <w:tr>
        <w:tc>
          <w:tcPr>
            <w:tcW w:type="dxa" w:w="4819"/>
          </w:tcPr>
          <w:p>
            <w:pPr>
              <w:spacing w:after="20" w:before="20" w:line="240" w:lineRule="auto"/>
            </w:pPr>
            <w:r/>
            <w:r>
              <w:rPr>
                <w:rFonts w:ascii="Arial" w:hAnsi="Arial" w:cs="Arial"/>
                <w:b w:val="0"/>
                <w:i w:val="0"/>
                <w:sz w:val="17"/>
              </w:rPr>
              <w:t>Scheduled maintenance</w:t>
            </w:r>
          </w:p>
        </w:tc>
        <w:tc>
          <w:tcPr>
            <w:tcW w:type="dxa" w:w="4819"/>
          </w:tcPr>
          <w:p>
            <w:pPr>
              <w:spacing w:after="20" w:before="20" w:line="240" w:lineRule="auto"/>
            </w:pPr>
            <w:r/>
            <w:r>
              <w:rPr>
                <w:rFonts w:ascii="Arial" w:hAnsi="Arial" w:cs="Arial"/>
                <w:b w:val="0"/>
                <w:i w:val="0"/>
                <w:sz w:val="17"/>
              </w:rPr>
              <w:t>As announced</w:t>
            </w:r>
          </w:p>
        </w:tc>
      </w:tr>
      <w:tr>
        <w:tc>
          <w:tcPr>
            <w:tcW w:type="dxa" w:w="4819"/>
          </w:tcPr>
          <w:p>
            <w:pPr>
              <w:spacing w:after="20" w:before="20" w:line="240" w:lineRule="auto"/>
            </w:pPr>
            <w:r/>
            <w:r>
              <w:rPr>
                <w:rFonts w:ascii="Arial" w:hAnsi="Arial" w:cs="Arial"/>
                <w:b w:val="0"/>
                <w:i w:val="0"/>
                <w:sz w:val="17"/>
              </w:rPr>
              <w:t>Tenant's own infrastructure failures</w:t>
            </w:r>
          </w:p>
        </w:tc>
        <w:tc>
          <w:tcPr>
            <w:tcW w:type="dxa" w:w="4819"/>
          </w:tcPr>
          <w:p>
            <w:pPr>
              <w:spacing w:after="20" w:before="20" w:line="240" w:lineRule="auto"/>
            </w:pPr>
            <w:r/>
            <w:r>
              <w:rPr>
                <w:rFonts w:ascii="Arial" w:hAnsi="Arial" w:cs="Arial"/>
                <w:b w:val="0"/>
                <w:i w:val="0"/>
                <w:sz w:val="17"/>
              </w:rPr>
              <w:t>Their internet connection, internal systems</w:t>
            </w:r>
          </w:p>
        </w:tc>
      </w:tr>
      <w:tr>
        <w:tc>
          <w:tcPr>
            <w:tcW w:type="dxa" w:w="4819"/>
          </w:tcPr>
          <w:p>
            <w:pPr>
              <w:spacing w:after="20" w:before="20" w:line="240" w:lineRule="auto"/>
            </w:pPr>
            <w:r/>
            <w:r>
              <w:rPr>
                <w:rFonts w:ascii="Arial" w:hAnsi="Arial" w:cs="Arial"/>
                <w:b w:val="0"/>
                <w:i w:val="0"/>
                <w:sz w:val="17"/>
              </w:rPr>
              <w:t>Beta features</w:t>
            </w:r>
          </w:p>
        </w:tc>
        <w:tc>
          <w:tcPr>
            <w:tcW w:type="dxa" w:w="4819"/>
          </w:tcPr>
          <w:p>
            <w:pPr>
              <w:spacing w:after="20" w:before="20" w:line="240" w:lineRule="auto"/>
            </w:pPr>
            <w:r/>
            <w:r>
              <w:rPr>
                <w:rFonts w:ascii="Arial" w:hAnsi="Arial" w:cs="Arial"/>
                <w:b w:val="0"/>
                <w:i w:val="0"/>
                <w:sz w:val="17"/>
              </w:rPr>
              <w:t>Services marked experimental in documentation</w:t>
            </w:r>
          </w:p>
        </w:tc>
      </w:tr>
      <w:tr>
        <w:tc>
          <w:tcPr>
            <w:tcW w:type="dxa" w:w="4819"/>
          </w:tcPr>
          <w:p>
            <w:pPr>
              <w:spacing w:after="20" w:before="20" w:line="240" w:lineRule="auto"/>
            </w:pPr>
            <w:r/>
            <w:r>
              <w:rPr>
                <w:rFonts w:ascii="Arial" w:hAnsi="Arial" w:cs="Arial"/>
                <w:b w:val="0"/>
                <w:i w:val="0"/>
                <w:sz w:val="17"/>
              </w:rPr>
              <w:t>Conditional QC holds</w:t>
            </w:r>
          </w:p>
        </w:tc>
        <w:tc>
          <w:tcPr>
            <w:tcW w:type="dxa" w:w="4819"/>
          </w:tcPr>
          <w:p>
            <w:pPr>
              <w:spacing w:after="20" w:before="20" w:line="240" w:lineRule="auto"/>
            </w:pPr>
            <w:r/>
            <w:r>
              <w:rPr>
                <w:rFonts w:ascii="Arial" w:hAnsi="Arial" w:cs="Arial"/>
                <w:b w:val="0"/>
                <w:i w:val="0"/>
                <w:sz w:val="17"/>
              </w:rPr>
              <w:t>Caused by seller's failure to complete action plan (not platform error)</w:t>
            </w:r>
          </w:p>
        </w:tc>
      </w:tr>
      <w:tr>
        <w:tc>
          <w:tcPr>
            <w:tcW w:type="dxa" w:w="4819"/>
          </w:tcPr>
          <w:p>
            <w:pPr>
              <w:spacing w:after="20" w:before="20" w:line="240" w:lineRule="auto"/>
            </w:pPr>
            <w:r/>
            <w:r>
              <w:rPr>
                <w:rFonts w:ascii="Arial" w:hAnsi="Arial" w:cs="Arial"/>
                <w:b w:val="0"/>
                <w:i w:val="0"/>
                <w:sz w:val="17"/>
              </w:rPr>
              <w:t>Deferred payment guarantee expiry</w:t>
            </w:r>
          </w:p>
        </w:tc>
        <w:tc>
          <w:tcPr>
            <w:tcW w:type="dxa" w:w="4819"/>
          </w:tcPr>
          <w:p>
            <w:pPr>
              <w:spacing w:after="20" w:before="20" w:line="240" w:lineRule="auto"/>
            </w:pPr>
            <w:r/>
            <w:r>
              <w:rPr>
                <w:rFonts w:ascii="Arial" w:hAnsi="Arial" w:cs="Arial"/>
                <w:b w:val="0"/>
                <w:i w:val="0"/>
                <w:sz w:val="17"/>
              </w:rPr>
              <w:t>Caused by payer's failure to clear customs on time (not platform error)</w:t>
            </w:r>
          </w:p>
        </w:tc>
      </w:tr>
      <w:tr>
        <w:tc>
          <w:tcPr>
            <w:tcW w:type="dxa" w:w="4819"/>
          </w:tcPr>
          <w:p>
            <w:pPr>
              <w:spacing w:after="20" w:before="20" w:line="240" w:lineRule="auto"/>
            </w:pPr>
            <w:r/>
            <w:r>
              <w:rPr>
                <w:rFonts w:ascii="Arial" w:hAnsi="Arial" w:cs="Arial"/>
                <w:b w:val="0"/>
                <w:i w:val="0"/>
                <w:sz w:val="17"/>
              </w:rPr>
              <w:t>Tenant-initiated actions</w:t>
            </w:r>
          </w:p>
        </w:tc>
        <w:tc>
          <w:tcPr>
            <w:tcW w:type="dxa" w:w="4819"/>
          </w:tcPr>
          <w:p>
            <w:pPr>
              <w:spacing w:after="20" w:before="20" w:line="240" w:lineRule="auto"/>
            </w:pPr>
            <w:r/>
            <w:r>
              <w:rPr>
                <w:rFonts w:ascii="Arial" w:hAnsi="Arial" w:cs="Arial"/>
                <w:b w:val="0"/>
                <w:i w:val="0"/>
                <w:sz w:val="17"/>
              </w:rPr>
              <w:t>Tenant cancels trade, delays documentation, etc.</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21.8.11 Zero-Cost Monitoring &amp; Enforcement</w:t>
      </w:r>
    </w:p>
    <w:p>
      <w:pPr>
        <w:spacing w:after="80" w:line="293" w:lineRule="auto"/>
        <w:jc w:val="left"/>
      </w:pPr>
      <w:r>
        <w:rPr>
          <w:rFonts w:ascii="Times New Roman" w:hAnsi="Times New Roman" w:cs="Times New Roman"/>
          <w:b w:val="0"/>
          <w:i w:val="0"/>
          <w:sz w:val="22"/>
        </w:rPr>
        <w:t>Monitoring stack:</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Technology</w:t>
            </w:r>
          </w:p>
        </w:tc>
        <w:tc>
          <w:tcPr>
            <w:tcW w:type="dxa" w:w="3213"/>
            <w:shd w:val="clear" w:fill="D9E2F3"/>
          </w:tcPr>
          <w:p>
            <w:pPr>
              <w:spacing w:after="20" w:before="20" w:line="240" w:lineRule="auto"/>
            </w:pPr>
            <w:r/>
            <w:r>
              <w:rPr>
                <w:rFonts w:ascii="Arial" w:hAnsi="Arial" w:cs="Arial"/>
                <w:b/>
                <w:i w:val="0"/>
                <w:sz w:val="18"/>
              </w:rPr>
              <w:t>Purpose</w:t>
            </w:r>
          </w:p>
        </w:tc>
      </w:tr>
      <w:tr>
        <w:tc>
          <w:tcPr>
            <w:tcW w:type="dxa" w:w="3213"/>
          </w:tcPr>
          <w:p>
            <w:pPr>
              <w:spacing w:after="20" w:before="20" w:line="240" w:lineRule="auto"/>
            </w:pPr>
            <w:r/>
            <w:r>
              <w:rPr>
                <w:rFonts w:ascii="Arial" w:hAnsi="Arial" w:cs="Arial"/>
                <w:b w:val="0"/>
                <w:i w:val="0"/>
                <w:sz w:val="17"/>
              </w:rPr>
              <w:t>Prometheus</w:t>
            </w:r>
          </w:p>
        </w:tc>
        <w:tc>
          <w:tcPr>
            <w:tcW w:type="dxa" w:w="3213"/>
          </w:tcPr>
          <w:p>
            <w:pPr>
              <w:spacing w:after="20" w:before="20" w:line="240" w:lineRule="auto"/>
            </w:pPr>
            <w:r/>
            <w:r>
              <w:rPr>
                <w:rFonts w:ascii="Arial" w:hAnsi="Arial" w:cs="Arial"/>
                <w:b w:val="0"/>
                <w:i w:val="0"/>
                <w:sz w:val="17"/>
              </w:rPr>
              <w:t>Prometheus (OSS)</w:t>
            </w:r>
          </w:p>
        </w:tc>
        <w:tc>
          <w:tcPr>
            <w:tcW w:type="dxa" w:w="3213"/>
          </w:tcPr>
          <w:p>
            <w:pPr>
              <w:spacing w:after="20" w:before="20" w:line="240" w:lineRule="auto"/>
            </w:pPr>
            <w:r/>
            <w:r>
              <w:rPr>
                <w:rFonts w:ascii="Arial" w:hAnsi="Arial" w:cs="Arial"/>
                <w:b w:val="0"/>
                <w:i w:val="0"/>
                <w:sz w:val="17"/>
              </w:rPr>
              <w:t>Scrape metrics from every service (/metrics)</w:t>
            </w:r>
          </w:p>
        </w:tc>
      </w:tr>
      <w:tr>
        <w:tc>
          <w:tcPr>
            <w:tcW w:type="dxa" w:w="3213"/>
          </w:tcPr>
          <w:p>
            <w:pPr>
              <w:spacing w:after="20" w:before="20" w:line="240" w:lineRule="auto"/>
            </w:pPr>
            <w:r/>
            <w:r>
              <w:rPr>
                <w:rFonts w:ascii="Arial" w:hAnsi="Arial" w:cs="Arial"/>
                <w:b w:val="0"/>
                <w:i w:val="0"/>
                <w:sz w:val="17"/>
              </w:rPr>
              <w:t>Blackbox exporter</w:t>
            </w:r>
          </w:p>
        </w:tc>
        <w:tc>
          <w:tcPr>
            <w:tcW w:type="dxa" w:w="3213"/>
          </w:tcPr>
          <w:p>
            <w:pPr>
              <w:spacing w:after="20" w:before="20" w:line="240" w:lineRule="auto"/>
            </w:pPr>
            <w:r/>
            <w:r>
              <w:rPr>
                <w:rFonts w:ascii="Arial" w:hAnsi="Arial" w:cs="Arial"/>
                <w:b w:val="0"/>
                <w:i w:val="0"/>
                <w:sz w:val="17"/>
              </w:rPr>
              <w:t>Prometheus (OSS)</w:t>
            </w:r>
          </w:p>
        </w:tc>
        <w:tc>
          <w:tcPr>
            <w:tcW w:type="dxa" w:w="3213"/>
          </w:tcPr>
          <w:p>
            <w:pPr>
              <w:spacing w:after="20" w:before="20" w:line="240" w:lineRule="auto"/>
            </w:pPr>
            <w:r/>
            <w:r>
              <w:rPr>
                <w:rFonts w:ascii="Arial" w:hAnsi="Arial" w:cs="Arial"/>
                <w:b w:val="0"/>
                <w:i w:val="0"/>
                <w:sz w:val="17"/>
              </w:rPr>
              <w:t>External HTTP/HTTPS probes from multiple regions</w:t>
            </w:r>
          </w:p>
        </w:tc>
      </w:tr>
      <w:tr>
        <w:tc>
          <w:tcPr>
            <w:tcW w:type="dxa" w:w="3213"/>
          </w:tcPr>
          <w:p>
            <w:pPr>
              <w:spacing w:after="20" w:before="20" w:line="240" w:lineRule="auto"/>
            </w:pPr>
            <w:r/>
            <w:r>
              <w:rPr>
                <w:rFonts w:ascii="Arial" w:hAnsi="Arial" w:cs="Arial"/>
                <w:b w:val="0"/>
                <w:i w:val="0"/>
                <w:sz w:val="17"/>
              </w:rPr>
              <w:t>sla-monitor</w:t>
            </w:r>
          </w:p>
        </w:tc>
        <w:tc>
          <w:tcPr>
            <w:tcW w:type="dxa" w:w="3213"/>
          </w:tcPr>
          <w:p>
            <w:pPr>
              <w:spacing w:after="20" w:before="20" w:line="240" w:lineRule="auto"/>
            </w:pPr>
            <w:r/>
            <w:r>
              <w:rPr>
                <w:rFonts w:ascii="Arial" w:hAnsi="Arial" w:cs="Arial"/>
                <w:b w:val="0"/>
                <w:i w:val="0"/>
                <w:sz w:val="17"/>
              </w:rPr>
              <w:t>Rust, custom (Axum + PostgreSQL)</w:t>
            </w:r>
          </w:p>
        </w:tc>
        <w:tc>
          <w:tcPr>
            <w:tcW w:type="dxa" w:w="3213"/>
          </w:tcPr>
          <w:p>
            <w:pPr>
              <w:spacing w:after="20" w:before="20" w:line="240" w:lineRule="auto"/>
            </w:pPr>
            <w:r/>
            <w:r>
              <w:rPr>
                <w:rFonts w:ascii="Arial" w:hAnsi="Arial" w:cs="Arial"/>
                <w:b w:val="0"/>
                <w:i w:val="0"/>
                <w:sz w:val="17"/>
              </w:rPr>
              <w:t>Aggregates uptime, computes monthly availability, applies credit logic</w:t>
            </w:r>
          </w:p>
        </w:tc>
      </w:tr>
      <w:tr>
        <w:tc>
          <w:tcPr>
            <w:tcW w:type="dxa" w:w="3213"/>
          </w:tcPr>
          <w:p>
            <w:pPr>
              <w:spacing w:after="20" w:before="20" w:line="240" w:lineRule="auto"/>
            </w:pPr>
            <w:r/>
            <w:r>
              <w:rPr>
                <w:rFonts w:ascii="Arial" w:hAnsi="Arial" w:cs="Arial"/>
                <w:b w:val="0"/>
                <w:i w:val="0"/>
                <w:sz w:val="17"/>
              </w:rPr>
              <w:t>Grafana</w:t>
            </w:r>
          </w:p>
        </w:tc>
        <w:tc>
          <w:tcPr>
            <w:tcW w:type="dxa" w:w="3213"/>
          </w:tcPr>
          <w:p>
            <w:pPr>
              <w:spacing w:after="20" w:before="20" w:line="240" w:lineRule="auto"/>
            </w:pPr>
            <w:r/>
            <w:r>
              <w:rPr>
                <w:rFonts w:ascii="Arial" w:hAnsi="Arial" w:cs="Arial"/>
                <w:b w:val="0"/>
                <w:i w:val="0"/>
                <w:sz w:val="17"/>
              </w:rPr>
              <w:t>Grafana (OSS)</w:t>
            </w:r>
          </w:p>
        </w:tc>
        <w:tc>
          <w:tcPr>
            <w:tcW w:type="dxa" w:w="3213"/>
          </w:tcPr>
          <w:p>
            <w:pPr>
              <w:spacing w:after="20" w:before="20" w:line="240" w:lineRule="auto"/>
            </w:pPr>
            <w:r/>
            <w:r>
              <w:rPr>
                <w:rFonts w:ascii="Arial" w:hAnsi="Arial" w:cs="Arial"/>
                <w:b w:val="0"/>
                <w:i w:val="0"/>
                <w:sz w:val="17"/>
              </w:rPr>
              <w:t>SLA dashboards (per component, per region, historical)</w:t>
            </w:r>
          </w:p>
        </w:tc>
      </w:tr>
      <w:tr>
        <w:tc>
          <w:tcPr>
            <w:tcW w:type="dxa" w:w="3213"/>
          </w:tcPr>
          <w:p>
            <w:pPr>
              <w:spacing w:after="20" w:before="20" w:line="240" w:lineRule="auto"/>
            </w:pPr>
            <w:r/>
            <w:r>
              <w:rPr>
                <w:rFonts w:ascii="Arial" w:hAnsi="Arial" w:cs="Arial"/>
                <w:b w:val="0"/>
                <w:i w:val="0"/>
                <w:sz w:val="17"/>
              </w:rPr>
              <w:t>Alertmanager</w:t>
            </w:r>
          </w:p>
        </w:tc>
        <w:tc>
          <w:tcPr>
            <w:tcW w:type="dxa" w:w="3213"/>
          </w:tcPr>
          <w:p>
            <w:pPr>
              <w:spacing w:after="20" w:before="20" w:line="240" w:lineRule="auto"/>
            </w:pPr>
            <w:r/>
            <w:r>
              <w:rPr>
                <w:rFonts w:ascii="Arial" w:hAnsi="Arial" w:cs="Arial"/>
                <w:b w:val="0"/>
                <w:i w:val="0"/>
                <w:sz w:val="17"/>
              </w:rPr>
              <w:t>Prometheus (OSS)</w:t>
            </w:r>
          </w:p>
        </w:tc>
        <w:tc>
          <w:tcPr>
            <w:tcW w:type="dxa" w:w="3213"/>
          </w:tcPr>
          <w:p>
            <w:pPr>
              <w:spacing w:after="20" w:before="20" w:line="240" w:lineRule="auto"/>
            </w:pPr>
            <w:r/>
            <w:r>
              <w:rPr>
                <w:rFonts w:ascii="Arial" w:hAnsi="Arial" w:cs="Arial"/>
                <w:b w:val="0"/>
                <w:i w:val="0"/>
                <w:sz w:val="17"/>
              </w:rPr>
              <w:t>Routes alerts to on-call, Smart Inbox, status page</w:t>
            </w:r>
          </w:p>
        </w:tc>
      </w:tr>
      <w:tr>
        <w:tc>
          <w:tcPr>
            <w:tcW w:type="dxa" w:w="3213"/>
          </w:tcPr>
          <w:p>
            <w:pPr>
              <w:spacing w:after="20" w:before="20" w:line="240" w:lineRule="auto"/>
            </w:pPr>
            <w:r/>
            <w:r>
              <w:rPr>
                <w:rFonts w:ascii="Arial" w:hAnsi="Arial" w:cs="Arial"/>
                <w:b w:val="0"/>
                <w:i w:val="0"/>
                <w:sz w:val="17"/>
              </w:rPr>
              <w:t>Ntfy</w:t>
            </w:r>
          </w:p>
        </w:tc>
        <w:tc>
          <w:tcPr>
            <w:tcW w:type="dxa" w:w="3213"/>
          </w:tcPr>
          <w:p>
            <w:pPr>
              <w:spacing w:after="20" w:before="20" w:line="240" w:lineRule="auto"/>
            </w:pPr>
            <w:r/>
            <w:r>
              <w:rPr>
                <w:rFonts w:ascii="Arial" w:hAnsi="Arial" w:cs="Arial"/>
                <w:b w:val="0"/>
                <w:i w:val="0"/>
                <w:sz w:val="17"/>
              </w:rPr>
              <w:t>Self-hosted</w:t>
            </w:r>
          </w:p>
        </w:tc>
        <w:tc>
          <w:tcPr>
            <w:tcW w:type="dxa" w:w="3213"/>
          </w:tcPr>
          <w:p>
            <w:pPr>
              <w:spacing w:after="20" w:before="20" w:line="240" w:lineRule="auto"/>
            </w:pPr>
            <w:r/>
            <w:r>
              <w:rPr>
                <w:rFonts w:ascii="Arial" w:hAnsi="Arial" w:cs="Arial"/>
                <w:b w:val="0"/>
                <w:i w:val="0"/>
                <w:sz w:val="17"/>
              </w:rPr>
              <w:t>Push notifications to on-call engineer's phone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sla-monitor implementation details:</w:t>
      </w:r>
    </w:p>
    <w:p>
      <w:pPr>
        <w:spacing w:after="80" w:line="293" w:lineRule="auto"/>
        <w:ind w:left="283"/>
        <w:jc w:val="left"/>
      </w:pPr>
      <w:r>
        <w:rPr>
          <w:rFonts w:ascii="Times New Roman" w:hAnsi="Times New Roman" w:cs="Times New Roman"/>
          <w:b w:val="0"/>
          <w:i w:val="0"/>
          <w:sz w:val="22"/>
        </w:rPr>
        <w:t>- Runs on a separate light node (not on the main cluster) to avoid circular dependency.</w:t>
      </w:r>
    </w:p>
    <w:p>
      <w:pPr>
        <w:spacing w:after="80" w:line="293" w:lineRule="auto"/>
        <w:ind w:left="283"/>
        <w:jc w:val="left"/>
      </w:pPr>
      <w:r>
        <w:rPr>
          <w:rFonts w:ascii="Times New Roman" w:hAnsi="Times New Roman" w:cs="Times New Roman"/>
          <w:b w:val="0"/>
          <w:i w:val="0"/>
          <w:sz w:val="22"/>
        </w:rPr>
        <w:t>- Probes each service's health endpoint (e.g., /health) every 60 seconds from two independent geolocations (e.g.,</w:t>
      </w:r>
    </w:p>
    <w:p>
      <w:pPr>
        <w:spacing w:after="80" w:line="293" w:lineRule="auto"/>
        <w:jc w:val="left"/>
      </w:pPr>
      <w:r>
        <w:rPr>
          <w:rFonts w:ascii="Times New Roman" w:hAnsi="Times New Roman" w:cs="Times New Roman"/>
          <w:b w:val="0"/>
          <w:i w:val="0"/>
          <w:sz w:val="22"/>
        </w:rPr>
        <w:t>Cairo and Dubai); records success/failure, latency, and error code.</w:t>
      </w:r>
    </w:p>
    <w:p>
      <w:pPr>
        <w:spacing w:after="80" w:line="293" w:lineRule="auto"/>
        <w:ind w:left="283"/>
        <w:jc w:val="left"/>
      </w:pPr>
      <w:r>
        <w:rPr>
          <w:rFonts w:ascii="Times New Roman" w:hAnsi="Times New Roman" w:cs="Times New Roman"/>
          <w:b w:val="0"/>
          <w:i w:val="0"/>
          <w:sz w:val="22"/>
        </w:rPr>
        <w:t>- At month end, aggregates results, subtracts announced maintenance windows, computes availability.</w:t>
      </w:r>
    </w:p>
    <w:p>
      <w:pPr>
        <w:spacing w:after="80" w:line="293" w:lineRule="auto"/>
        <w:ind w:left="283"/>
        <w:jc w:val="left"/>
      </w:pPr>
      <w:r>
        <w:rPr>
          <w:rFonts w:ascii="Times New Roman" w:hAnsi="Times New Roman" w:cs="Times New Roman"/>
          <w:b w:val="0"/>
          <w:i w:val="0"/>
          <w:sz w:val="22"/>
        </w:rPr>
        <w:t>- Publishes results to ClickHouse for historical analysis.</w:t>
      </w:r>
    </w:p>
    <w:p>
      <w:pPr>
        <w:spacing w:after="80" w:line="293" w:lineRule="auto"/>
        <w:ind w:left="283"/>
        <w:jc w:val="left"/>
      </w:pPr>
      <w:r>
        <w:rPr>
          <w:rFonts w:ascii="Times New Roman" w:hAnsi="Times New Roman" w:cs="Times New Roman"/>
          <w:b w:val="0"/>
          <w:i w:val="0"/>
          <w:sz w:val="22"/>
        </w:rPr>
        <w:t>- Calls payment-orchestrator to apply credits.</w:t>
      </w:r>
    </w:p>
    <w:p>
      <w:pPr>
        <w:keepNext/>
        <w:spacing w:before="180" w:after="80"/>
        <w:outlineLvl w:val="2"/>
      </w:pPr>
      <w:r>
        <w:rPr>
          <w:rFonts w:ascii="Arial" w:hAnsi="Arial" w:cs="Arial"/>
          <w:b/>
          <w:i w:val="0"/>
          <w:color w:val="333333"/>
          <w:sz w:val="23"/>
        </w:rPr>
        <w:t>21.8.12 Example SLA Incident Flow (Complete)</w:t>
      </w:r>
    </w:p>
    <w:p>
      <w:pPr>
        <w:spacing w:after="80" w:line="293" w:lineRule="auto"/>
        <w:jc w:val="left"/>
      </w:pPr>
      <w:r>
        <w:rPr>
          <w:rFonts w:ascii="Times New Roman" w:hAnsi="Times New Roman" w:cs="Times New Roman"/>
          <w:b w:val="0"/>
          <w:i w:val="0"/>
          <w:sz w:val="22"/>
        </w:rPr>
        <w:t>Scenario: a network partition between Cairo and Dubai nodes causes the Governor service to be partially unavailable for EU users routed to Frankfurt. External probes detect 5xx errors for 12 consecutive minutes.</w:t>
      </w:r>
    </w:p>
    <w:p>
      <w:pPr>
        <w:spacing w:after="80" w:line="293" w:lineRule="auto"/>
        <w:jc w:val="left"/>
      </w:pPr>
      <w:r>
        <w:rPr>
          <w:rFonts w:ascii="Times New Roman" w:hAnsi="Times New Roman" w:cs="Times New Roman"/>
          <w:b w:val="0"/>
          <w:i w:val="0"/>
          <w:sz w:val="22"/>
        </w:rPr>
        <w:t>Step 1 — Detection (03:12 UTC): the external probe in London fails 4 of 5 requests to Governor on the Frankfurt node. Alertmanager fires: "CRITICAL: Governor service — 80% failure rate on Frankfurt node for 5 min." The AIOps agent detects NATS connection flapping, cordons the Frankfurt pods, and redirects traffic to the Dubai node. Service is restored within 2 min (03:14 UTC).</w:t>
      </w:r>
    </w:p>
    <w:p>
      <w:pPr>
        <w:spacing w:after="80" w:line="293" w:lineRule="auto"/>
        <w:jc w:val="left"/>
      </w:pPr>
      <w:r>
        <w:rPr>
          <w:rFonts w:ascii="Times New Roman" w:hAnsi="Times New Roman" w:cs="Times New Roman"/>
          <w:b w:val="0"/>
          <w:i w:val="0"/>
          <w:sz w:val="22"/>
        </w:rPr>
        <w:t>Step 2 — Triage (03:14 UTC): the on-call engineer acknowledges the alert via mobile app and investigates the root cause (a faulty switch). Total downtime: 12 min (0.028% of monthly minutes). The 99.90% availability SLA for Governor (target 99.95%) is breached.</w:t>
      </w:r>
    </w:p>
    <w:p>
      <w:pPr>
        <w:spacing w:after="80" w:line="293" w:lineRule="auto"/>
        <w:jc w:val="left"/>
      </w:pPr>
      <w:r>
        <w:rPr>
          <w:rFonts w:ascii="Times New Roman" w:hAnsi="Times New Roman" w:cs="Times New Roman"/>
          <w:b w:val="0"/>
          <w:i w:val="0"/>
          <w:sz w:val="22"/>
        </w:rPr>
        <w:t>Step 3 — Resolution &amp; post-mortem (03:30 UTC): the network switch is replaced and all traffic is restored. sla-monitor records the downtime and computes the credit. At month end, the tenant statement shows a credit of 10% of the monthly fee (approximately $50 for a $500 monthly fee). The post-mortem generator (Groq) drafts the summary: "Governor service experienced 12-minute partial outage on Frankfurt node due to network hardware failure. Automatic failover restored service in 2 min. Root cause: faulty switch. Mitigation: additional network redundancy ordered. Credits issued to affected tenants: $50 per tenant."</w:t>
      </w:r>
    </w:p>
    <w:p>
      <w:pPr>
        <w:spacing w:after="80" w:line="293" w:lineRule="auto"/>
        <w:jc w:val="left"/>
      </w:pPr>
      <w:r>
        <w:rPr>
          <w:rFonts w:ascii="Times New Roman" w:hAnsi="Times New Roman" w:cs="Times New Roman"/>
          <w:b w:val="0"/>
          <w:i w:val="0"/>
          <w:sz w:val="22"/>
        </w:rPr>
        <w:t>Step 4 — Tenant notification: affected tenants receive a Smart Inbox item (priority 85): "On 14 Jun, Governor service was partially unavailable for 12 min. Your trade was not impacted. A credit of $50 has been applied to your next statement. [View Incident Report]"</w:t>
      </w:r>
    </w:p>
    <w:p>
      <w:pPr>
        <w:spacing w:after="80" w:line="293" w:lineRule="auto"/>
        <w:jc w:val="left"/>
      </w:pPr>
      <w:r>
        <w:rPr>
          <w:rFonts w:ascii="Times New Roman" w:hAnsi="Times New Roman" w:cs="Times New Roman"/>
          <w:b w:val="0"/>
          <w:i w:val="0"/>
          <w:sz w:val="22"/>
        </w:rPr>
        <w:t>Step 5 — Follow-up: the Platform Governance Authority reviews the post-mortem and publishes it to the status page. No further action is required.</w:t>
      </w:r>
    </w:p>
    <w:p>
      <w:pPr>
        <w:keepNext/>
        <w:spacing w:before="180" w:after="80"/>
        <w:outlineLvl w:val="2"/>
      </w:pPr>
      <w:r>
        <w:rPr>
          <w:rFonts w:ascii="Arial" w:hAnsi="Arial" w:cs="Arial"/>
          <w:b/>
          <w:i w:val="0"/>
          <w:color w:val="333333"/>
          <w:sz w:val="23"/>
        </w:rPr>
        <w:t>21.8.13 Regional &amp; Jurisdictional SLA Variations</w:t>
      </w:r>
    </w:p>
    <w:p>
      <w:pPr>
        <w:spacing w:after="80" w:line="293" w:lineRule="auto"/>
        <w:jc w:val="left"/>
      </w:pPr>
      <w:r>
        <w:rPr>
          <w:rFonts w:ascii="Times New Roman" w:hAnsi="Times New Roman" w:cs="Times New Roman"/>
          <w:b w:val="0"/>
          <w:i w:val="0"/>
          <w:sz w:val="22"/>
        </w:rPr>
        <w:t>Egypt (CBE requirements): participating bank availability is monitored with bank health monitoring and fallback routing within 30 seconds; transaction processing completes within ≤3 seconds for fee payments (Stage 1 of the settlement pipeline, see Section 13). Regional variations for the EU (GDPR and CBAM), UAE (DIFC), the United Kingdom, and India (DPDP Act) are governed by the same global SLA table; where a local regulator imposes a stricter availability or reporting requirement, the stricter requirement applies and is tracked as a compliance milestone by the compliance roadmap agent (see Section 24).</w:t>
      </w:r>
    </w:p>
    <w:p>
      <w:pPr>
        <w:keepNext/>
        <w:spacing w:before="180" w:after="80"/>
        <w:outlineLvl w:val="2"/>
      </w:pPr>
      <w:r>
        <w:rPr>
          <w:rFonts w:ascii="Arial" w:hAnsi="Arial" w:cs="Arial"/>
          <w:b/>
          <w:i w:val="0"/>
          <w:color w:val="333333"/>
          <w:sz w:val="23"/>
        </w:rPr>
        <w:t>21.8.14 SLA Database Schema</w:t>
      </w:r>
    </w:p>
    <w:p>
      <w:pPr>
        <w:spacing w:after="0" w:before="0" w:line="240" w:lineRule="auto"/>
        <w:ind w:left="57"/>
        <w:jc w:val="left"/>
        <w:shd w:val="clear" w:fill="F2F2F2"/>
      </w:pPr>
      <w:r>
        <w:rPr>
          <w:rFonts w:ascii="Consolas" w:hAnsi="Consolas" w:cs="Consolas"/>
          <w:b w:val="0"/>
          <w:i w:val="0"/>
          <w:sz w:val="15"/>
        </w:rPr>
        <w:t>-- SLA monitoring data</w:t>
      </w:r>
    </w:p>
    <w:p>
      <w:pPr>
        <w:spacing w:after="0" w:before="0" w:line="240" w:lineRule="auto"/>
        <w:ind w:left="57"/>
        <w:jc w:val="left"/>
        <w:shd w:val="clear" w:fill="F2F2F2"/>
      </w:pPr>
      <w:r>
        <w:rPr>
          <w:rFonts w:ascii="Consolas" w:hAnsi="Consolas" w:cs="Consolas"/>
          <w:b w:val="0"/>
          <w:i w:val="0"/>
          <w:sz w:val="15"/>
        </w:rPr>
        <w:t>CREATE TABLE sla_metrics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component TEXT NOT NULL,</w:t>
      </w:r>
    </w:p>
    <w:p>
      <w:pPr>
        <w:spacing w:after="0" w:before="0" w:line="240" w:lineRule="auto"/>
        <w:ind w:left="57"/>
        <w:jc w:val="left"/>
        <w:shd w:val="clear" w:fill="F2F2F2"/>
      </w:pPr>
      <w:r>
        <w:rPr>
          <w:rFonts w:ascii="Consolas" w:hAnsi="Consolas" w:cs="Consolas"/>
          <w:b w:val="0"/>
          <w:i w:val="0"/>
          <w:sz w:val="15"/>
        </w:rPr>
        <w:t xml:space="preserve">  region TEXT NOT NULL,</w:t>
      </w:r>
    </w:p>
    <w:p>
      <w:pPr>
        <w:spacing w:after="0" w:before="0" w:line="240" w:lineRule="auto"/>
        <w:ind w:left="57"/>
        <w:jc w:val="left"/>
        <w:shd w:val="clear" w:fill="F2F2F2"/>
      </w:pPr>
      <w:r>
        <w:rPr>
          <w:rFonts w:ascii="Consolas" w:hAnsi="Consolas" w:cs="Consolas"/>
          <w:b w:val="0"/>
          <w:i w:val="0"/>
          <w:sz w:val="15"/>
        </w:rPr>
        <w:t xml:space="preserve">  availability DECIMAL(6,4),</w:t>
      </w:r>
    </w:p>
    <w:p>
      <w:pPr>
        <w:spacing w:after="0" w:before="0" w:line="240" w:lineRule="auto"/>
        <w:ind w:left="57"/>
        <w:jc w:val="left"/>
        <w:shd w:val="clear" w:fill="F2F2F2"/>
      </w:pPr>
      <w:r>
        <w:rPr>
          <w:rFonts w:ascii="Consolas" w:hAnsi="Consolas" w:cs="Consolas"/>
          <w:b w:val="0"/>
          <w:i w:val="0"/>
          <w:sz w:val="15"/>
        </w:rPr>
        <w:t xml:space="preserve">  uptime_seconds BIGINT,</w:t>
      </w:r>
    </w:p>
    <w:p>
      <w:pPr>
        <w:spacing w:after="0" w:before="0" w:line="240" w:lineRule="auto"/>
        <w:ind w:left="57"/>
        <w:jc w:val="left"/>
        <w:shd w:val="clear" w:fill="F2F2F2"/>
      </w:pPr>
      <w:r>
        <w:rPr>
          <w:rFonts w:ascii="Consolas" w:hAnsi="Consolas" w:cs="Consolas"/>
          <w:b w:val="0"/>
          <w:i w:val="0"/>
          <w:sz w:val="15"/>
        </w:rPr>
        <w:t xml:space="preserve">  downtime_seconds BIGINT,</w:t>
      </w:r>
    </w:p>
    <w:p>
      <w:pPr>
        <w:spacing w:after="0" w:before="0" w:line="240" w:lineRule="auto"/>
        <w:ind w:left="57"/>
        <w:jc w:val="left"/>
        <w:shd w:val="clear" w:fill="F2F2F2"/>
      </w:pPr>
      <w:r>
        <w:rPr>
          <w:rFonts w:ascii="Consolas" w:hAnsi="Consolas" w:cs="Consolas"/>
          <w:b w:val="0"/>
          <w:i w:val="0"/>
          <w:sz w:val="15"/>
        </w:rPr>
        <w:t xml:space="preserve">  maintenance_excluded_seconds BIGINT,</w:t>
      </w:r>
    </w:p>
    <w:p>
      <w:pPr>
        <w:spacing w:after="0" w:before="0" w:line="240" w:lineRule="auto"/>
        <w:ind w:left="57"/>
        <w:jc w:val="left"/>
        <w:shd w:val="clear" w:fill="F2F2F2"/>
      </w:pPr>
      <w:r>
        <w:rPr>
          <w:rFonts w:ascii="Consolas" w:hAnsi="Consolas" w:cs="Consolas"/>
          <w:b w:val="0"/>
          <w:i w:val="0"/>
          <w:sz w:val="15"/>
        </w:rPr>
        <w:t xml:space="preserve">  target_availability DECIMAL(6,4),</w:t>
      </w:r>
    </w:p>
    <w:p>
      <w:pPr>
        <w:spacing w:after="0" w:before="0" w:line="240" w:lineRule="auto"/>
        <w:ind w:left="57"/>
        <w:jc w:val="left"/>
        <w:shd w:val="clear" w:fill="F2F2F2"/>
      </w:pPr>
      <w:r>
        <w:rPr>
          <w:rFonts w:ascii="Consolas" w:hAnsi="Consolas" w:cs="Consolas"/>
          <w:b w:val="0"/>
          <w:i w:val="0"/>
          <w:sz w:val="15"/>
        </w:rPr>
        <w:t xml:space="preserve">  sla_breached BOOLEAN DEFAULT false,</w:t>
      </w:r>
    </w:p>
    <w:p>
      <w:pPr>
        <w:spacing w:after="0" w:before="0" w:line="240" w:lineRule="auto"/>
        <w:ind w:left="57"/>
        <w:jc w:val="left"/>
        <w:shd w:val="clear" w:fill="F2F2F2"/>
      </w:pPr>
      <w:r>
        <w:rPr>
          <w:rFonts w:ascii="Consolas" w:hAnsi="Consolas" w:cs="Consolas"/>
          <w:b w:val="0"/>
          <w:i w:val="0"/>
          <w:sz w:val="15"/>
        </w:rPr>
        <w:t xml:space="preserve">  measurement_start TIMESTAMPTZ,</w:t>
      </w:r>
    </w:p>
    <w:p>
      <w:pPr>
        <w:spacing w:after="0" w:before="0" w:line="240" w:lineRule="auto"/>
        <w:ind w:left="57"/>
        <w:jc w:val="left"/>
        <w:shd w:val="clear" w:fill="F2F2F2"/>
      </w:pPr>
      <w:r>
        <w:rPr>
          <w:rFonts w:ascii="Consolas" w:hAnsi="Consolas" w:cs="Consolas"/>
          <w:b w:val="0"/>
          <w:i w:val="0"/>
          <w:sz w:val="15"/>
        </w:rPr>
        <w:t xml:space="preserve">  measurement_end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SLA credits applied</w:t>
      </w:r>
    </w:p>
    <w:p>
      <w:pPr>
        <w:spacing w:after="0" w:before="0" w:line="240" w:lineRule="auto"/>
        <w:ind w:left="57"/>
        <w:jc w:val="left"/>
        <w:shd w:val="clear" w:fill="F2F2F2"/>
      </w:pPr>
      <w:r>
        <w:rPr>
          <w:rFonts w:ascii="Consolas" w:hAnsi="Consolas" w:cs="Consolas"/>
          <w:b w:val="0"/>
          <w:i w:val="0"/>
          <w:sz w:val="15"/>
        </w:rPr>
        <w:t>CREATE TABLE sla_credits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tenant_gtid TEXT NOT NULL REFERENCES tenants(gtid) ON DELETE CASCADE,</w:t>
      </w:r>
    </w:p>
    <w:p>
      <w:pPr>
        <w:spacing w:after="0" w:before="0" w:line="240" w:lineRule="auto"/>
        <w:ind w:left="57"/>
        <w:jc w:val="left"/>
        <w:shd w:val="clear" w:fill="F2F2F2"/>
      </w:pPr>
      <w:r>
        <w:rPr>
          <w:rFonts w:ascii="Consolas" w:hAnsi="Consolas" w:cs="Consolas"/>
          <w:b w:val="0"/>
          <w:i w:val="0"/>
          <w:sz w:val="15"/>
        </w:rPr>
        <w:t xml:space="preserve">  component TEXT NOT NULL,</w:t>
      </w:r>
    </w:p>
    <w:p>
      <w:pPr>
        <w:spacing w:after="0" w:before="0" w:line="240" w:lineRule="auto"/>
        <w:ind w:left="57"/>
        <w:jc w:val="left"/>
        <w:shd w:val="clear" w:fill="F2F2F2"/>
      </w:pPr>
      <w:r>
        <w:rPr>
          <w:rFonts w:ascii="Consolas" w:hAnsi="Consolas" w:cs="Consolas"/>
          <w:b w:val="0"/>
          <w:i w:val="0"/>
          <w:sz w:val="15"/>
        </w:rPr>
        <w:t xml:space="preserve">  breach_percentage DECIMAL(5,2),</w:t>
      </w:r>
    </w:p>
    <w:p>
      <w:pPr>
        <w:spacing w:after="0" w:before="0" w:line="240" w:lineRule="auto"/>
        <w:ind w:left="57"/>
        <w:jc w:val="left"/>
        <w:shd w:val="clear" w:fill="F2F2F2"/>
      </w:pPr>
      <w:r>
        <w:rPr>
          <w:rFonts w:ascii="Consolas" w:hAnsi="Consolas" w:cs="Consolas"/>
          <w:b w:val="0"/>
          <w:i w:val="0"/>
          <w:sz w:val="15"/>
        </w:rPr>
        <w:t xml:space="preserve">  credit_amount DECIMAL(20,4),</w:t>
      </w:r>
    </w:p>
    <w:p>
      <w:pPr>
        <w:spacing w:after="0" w:before="0" w:line="240" w:lineRule="auto"/>
        <w:ind w:left="57"/>
        <w:jc w:val="left"/>
        <w:shd w:val="clear" w:fill="F2F2F2"/>
      </w:pPr>
      <w:r>
        <w:rPr>
          <w:rFonts w:ascii="Consolas" w:hAnsi="Consolas" w:cs="Consolas"/>
          <w:b w:val="0"/>
          <w:i w:val="0"/>
          <w:sz w:val="15"/>
        </w:rPr>
        <w:t xml:space="preserve">  currency TEXT DEFAULT 'USD',</w:t>
      </w:r>
    </w:p>
    <w:p>
      <w:pPr>
        <w:spacing w:after="0" w:before="0" w:line="240" w:lineRule="auto"/>
        <w:ind w:left="57"/>
        <w:jc w:val="left"/>
        <w:shd w:val="clear" w:fill="F2F2F2"/>
      </w:pPr>
      <w:r>
        <w:rPr>
          <w:rFonts w:ascii="Consolas" w:hAnsi="Consolas" w:cs="Consolas"/>
          <w:b w:val="0"/>
          <w:i w:val="0"/>
          <w:sz w:val="15"/>
        </w:rPr>
        <w:t xml:space="preserve">  period_start TIMESTAMPTZ,</w:t>
      </w:r>
    </w:p>
    <w:p>
      <w:pPr>
        <w:spacing w:after="0" w:before="0" w:line="240" w:lineRule="auto"/>
        <w:ind w:left="57"/>
        <w:jc w:val="left"/>
        <w:shd w:val="clear" w:fill="F2F2F2"/>
      </w:pPr>
      <w:r>
        <w:rPr>
          <w:rFonts w:ascii="Consolas" w:hAnsi="Consolas" w:cs="Consolas"/>
          <w:b w:val="0"/>
          <w:i w:val="0"/>
          <w:sz w:val="15"/>
        </w:rPr>
        <w:t xml:space="preserve">  period_end TIMESTAMPTZ,</w:t>
      </w:r>
    </w:p>
    <w:p>
      <w:pPr>
        <w:spacing w:after="0" w:before="0" w:line="240" w:lineRule="auto"/>
        <w:ind w:left="57"/>
        <w:jc w:val="left"/>
        <w:shd w:val="clear" w:fill="F2F2F2"/>
      </w:pPr>
      <w:r>
        <w:rPr>
          <w:rFonts w:ascii="Consolas" w:hAnsi="Consolas" w:cs="Consolas"/>
          <w:b w:val="0"/>
          <w:i w:val="0"/>
          <w:sz w:val="15"/>
        </w:rPr>
        <w:t xml:space="preserve">  status TEXT DEFAULT 'PENDING',          -- 'PENDING', 'APPLIED', 'DISPUTED'</w:t>
      </w:r>
    </w:p>
    <w:p>
      <w:pPr>
        <w:spacing w:after="0" w:before="0" w:line="240" w:lineRule="auto"/>
        <w:ind w:left="57"/>
        <w:jc w:val="left"/>
        <w:shd w:val="clear" w:fill="F2F2F2"/>
      </w:pPr>
      <w:r>
        <w:rPr>
          <w:rFonts w:ascii="Consolas" w:hAnsi="Consolas" w:cs="Consolas"/>
          <w:b w:val="0"/>
          <w:i w:val="0"/>
          <w:sz w:val="15"/>
        </w:rPr>
        <w:t xml:space="preserve">  applied_at TIMESTAMPTZ,</w:t>
      </w:r>
    </w:p>
    <w:p>
      <w:pPr>
        <w:spacing w:after="0" w:before="0" w:line="240" w:lineRule="auto"/>
        <w:ind w:left="57"/>
        <w:jc w:val="left"/>
        <w:shd w:val="clear" w:fill="F2F2F2"/>
      </w:pPr>
      <w:r>
        <w:rPr>
          <w:rFonts w:ascii="Consolas" w:hAnsi="Consolas" w:cs="Consolas"/>
          <w:b w:val="0"/>
          <w:i w:val="0"/>
          <w:sz w:val="15"/>
        </w:rPr>
        <w:t xml:space="preserve">  disputed_at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SLA credit disputes</w:t>
      </w:r>
    </w:p>
    <w:p>
      <w:pPr>
        <w:spacing w:after="0" w:before="0" w:line="240" w:lineRule="auto"/>
        <w:ind w:left="57"/>
        <w:jc w:val="left"/>
        <w:shd w:val="clear" w:fill="F2F2F2"/>
      </w:pPr>
      <w:r>
        <w:rPr>
          <w:rFonts w:ascii="Consolas" w:hAnsi="Consolas" w:cs="Consolas"/>
          <w:b w:val="0"/>
          <w:i w:val="0"/>
          <w:sz w:val="15"/>
        </w:rPr>
        <w:t>CREATE TABLE sla_disputes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credit_id UUID NOT NULL REFERENCES sla_credits(id) ON DELETE CASCADE,</w:t>
      </w:r>
    </w:p>
    <w:p>
      <w:pPr>
        <w:spacing w:after="0" w:before="0" w:line="240" w:lineRule="auto"/>
        <w:ind w:left="57"/>
        <w:jc w:val="left"/>
        <w:shd w:val="clear" w:fill="F2F2F2"/>
      </w:pPr>
      <w:r>
        <w:rPr>
          <w:rFonts w:ascii="Consolas" w:hAnsi="Consolas" w:cs="Consolas"/>
          <w:b w:val="0"/>
          <w:i w:val="0"/>
          <w:sz w:val="15"/>
        </w:rPr>
        <w:t xml:space="preserve">  tenant_gtid TEXT NOT NULL,</w:t>
      </w:r>
    </w:p>
    <w:p>
      <w:pPr>
        <w:spacing w:after="0" w:before="0" w:line="240" w:lineRule="auto"/>
        <w:ind w:left="57"/>
        <w:jc w:val="left"/>
        <w:shd w:val="clear" w:fill="F2F2F2"/>
      </w:pPr>
      <w:r>
        <w:rPr>
          <w:rFonts w:ascii="Consolas" w:hAnsi="Consolas" w:cs="Consolas"/>
          <w:b w:val="0"/>
          <w:i w:val="0"/>
          <w:sz w:val="15"/>
        </w:rPr>
        <w:t xml:space="preserve">  dispute_reason TEXT NOT NULL,</w:t>
      </w:r>
    </w:p>
    <w:p>
      <w:pPr>
        <w:spacing w:after="0" w:before="0" w:line="240" w:lineRule="auto"/>
        <w:ind w:left="57"/>
        <w:jc w:val="left"/>
        <w:shd w:val="clear" w:fill="F2F2F2"/>
      </w:pPr>
      <w:r>
        <w:rPr>
          <w:rFonts w:ascii="Consolas" w:hAnsi="Consolas" w:cs="Consolas"/>
          <w:b w:val="0"/>
          <w:i w:val="0"/>
          <w:sz w:val="15"/>
        </w:rPr>
        <w:t xml:space="preserve">  status TEXT DEFAULT 'PENDING',          -- 'PENDING', 'RESOLVED', 'REJECTED'</w:t>
      </w:r>
    </w:p>
    <w:p>
      <w:pPr>
        <w:spacing w:after="0" w:before="0" w:line="240" w:lineRule="auto"/>
        <w:ind w:left="57"/>
        <w:jc w:val="left"/>
        <w:shd w:val="clear" w:fill="F2F2F2"/>
      </w:pPr>
      <w:r>
        <w:rPr>
          <w:rFonts w:ascii="Consolas" w:hAnsi="Consolas" w:cs="Consolas"/>
          <w:b w:val="0"/>
          <w:i w:val="0"/>
          <w:sz w:val="15"/>
        </w:rPr>
        <w:t xml:space="preserve">  resolution TEXT,</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Predictive SLA forecasts</w:t>
      </w:r>
    </w:p>
    <w:p>
      <w:pPr>
        <w:spacing w:after="0" w:before="0" w:line="240" w:lineRule="auto"/>
        <w:ind w:left="57"/>
        <w:jc w:val="left"/>
        <w:shd w:val="clear" w:fill="F2F2F2"/>
      </w:pPr>
      <w:r>
        <w:rPr>
          <w:rFonts w:ascii="Consolas" w:hAnsi="Consolas" w:cs="Consolas"/>
          <w:b w:val="0"/>
          <w:i w:val="0"/>
          <w:sz w:val="15"/>
        </w:rPr>
        <w:t>CREATE TABLE sla_forecasts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component TEXT NOT NULL,</w:t>
      </w:r>
    </w:p>
    <w:p>
      <w:pPr>
        <w:spacing w:after="0" w:before="0" w:line="240" w:lineRule="auto"/>
        <w:ind w:left="57"/>
        <w:jc w:val="left"/>
        <w:shd w:val="clear" w:fill="F2F2F2"/>
      </w:pPr>
      <w:r>
        <w:rPr>
          <w:rFonts w:ascii="Consolas" w:hAnsi="Consolas" w:cs="Consolas"/>
          <w:b w:val="0"/>
          <w:i w:val="0"/>
          <w:sz w:val="15"/>
        </w:rPr>
        <w:t xml:space="preserve">  region TEXT NOT NULL,</w:t>
      </w:r>
    </w:p>
    <w:p>
      <w:pPr>
        <w:spacing w:after="0" w:before="0" w:line="240" w:lineRule="auto"/>
        <w:ind w:left="57"/>
        <w:jc w:val="left"/>
        <w:shd w:val="clear" w:fill="F2F2F2"/>
      </w:pPr>
      <w:r>
        <w:rPr>
          <w:rFonts w:ascii="Consolas" w:hAnsi="Consolas" w:cs="Consolas"/>
          <w:b w:val="0"/>
          <w:i w:val="0"/>
          <w:sz w:val="15"/>
        </w:rPr>
        <w:t xml:space="preserve">  forecast_date DATE NOT NULL,</w:t>
      </w:r>
    </w:p>
    <w:p>
      <w:pPr>
        <w:spacing w:after="0" w:before="0" w:line="240" w:lineRule="auto"/>
        <w:ind w:left="57"/>
        <w:jc w:val="left"/>
        <w:shd w:val="clear" w:fill="F2F2F2"/>
      </w:pPr>
      <w:r>
        <w:rPr>
          <w:rFonts w:ascii="Consolas" w:hAnsi="Consolas" w:cs="Consolas"/>
          <w:b w:val="0"/>
          <w:i w:val="0"/>
          <w:sz w:val="15"/>
        </w:rPr>
        <w:t xml:space="preserve">  predicted_availability DECIMAL(6,4),</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risk_factors JSONB,</w:t>
      </w:r>
    </w:p>
    <w:p>
      <w:pPr>
        <w:spacing w:after="0" w:before="0" w:line="240" w:lineRule="auto"/>
        <w:ind w:left="57"/>
        <w:jc w:val="left"/>
        <w:shd w:val="clear" w:fill="F2F2F2"/>
      </w:pPr>
      <w:r>
        <w:rPr>
          <w:rFonts w:ascii="Consolas" w:hAnsi="Consolas" w:cs="Consolas"/>
          <w:b w:val="0"/>
          <w:i w:val="0"/>
          <w:sz w:val="15"/>
        </w:rPr>
        <w:t xml:space="preserve">  recommendation TEXT,                    -- Groq-generated</w:t>
      </w:r>
    </w:p>
    <w:p>
      <w:pPr>
        <w:spacing w:after="0" w:before="0" w:line="240" w:lineRule="auto"/>
        <w:ind w:left="57"/>
        <w:jc w:val="left"/>
        <w:shd w:val="clear" w:fill="F2F2F2"/>
      </w:pPr>
      <w:r>
        <w:rPr>
          <w:rFonts w:ascii="Consolas" w:hAnsi="Consolas" w:cs="Consolas"/>
          <w:b w:val="0"/>
          <w:i w:val="0"/>
          <w:sz w:val="15"/>
        </w:rPr>
        <w:t xml:space="preserve">  model_version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Maintenance windows</w:t>
      </w:r>
    </w:p>
    <w:p>
      <w:pPr>
        <w:spacing w:after="0" w:before="0" w:line="240" w:lineRule="auto"/>
        <w:ind w:left="57"/>
        <w:jc w:val="left"/>
        <w:shd w:val="clear" w:fill="F2F2F2"/>
      </w:pPr>
      <w:r>
        <w:rPr>
          <w:rFonts w:ascii="Consolas" w:hAnsi="Consolas" w:cs="Consolas"/>
          <w:b w:val="0"/>
          <w:i w:val="0"/>
          <w:sz w:val="15"/>
        </w:rPr>
        <w:t>CREATE TABLE maintenance_windows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component TEXT NOT NULL,</w:t>
      </w:r>
    </w:p>
    <w:p>
      <w:pPr>
        <w:spacing w:after="0" w:before="0" w:line="240" w:lineRule="auto"/>
        <w:ind w:left="57"/>
        <w:jc w:val="left"/>
        <w:shd w:val="clear" w:fill="F2F2F2"/>
      </w:pPr>
      <w:r>
        <w:rPr>
          <w:rFonts w:ascii="Consolas" w:hAnsi="Consolas" w:cs="Consolas"/>
          <w:b w:val="0"/>
          <w:i w:val="0"/>
          <w:sz w:val="15"/>
        </w:rPr>
        <w:t xml:space="preserve">  region TEXT,</w:t>
      </w:r>
    </w:p>
    <w:p>
      <w:pPr>
        <w:spacing w:after="0" w:before="0" w:line="240" w:lineRule="auto"/>
        <w:ind w:left="57"/>
        <w:jc w:val="left"/>
        <w:shd w:val="clear" w:fill="F2F2F2"/>
      </w:pPr>
      <w:r>
        <w:rPr>
          <w:rFonts w:ascii="Consolas" w:hAnsi="Consolas" w:cs="Consolas"/>
          <w:b w:val="0"/>
          <w:i w:val="0"/>
          <w:sz w:val="15"/>
        </w:rPr>
        <w:t xml:space="preserve">  start_time TIMESTAMPTZ NOT NULL,</w:t>
      </w:r>
    </w:p>
    <w:p>
      <w:pPr>
        <w:spacing w:after="0" w:before="0" w:line="240" w:lineRule="auto"/>
        <w:ind w:left="57"/>
        <w:jc w:val="left"/>
        <w:shd w:val="clear" w:fill="F2F2F2"/>
      </w:pPr>
      <w:r>
        <w:rPr>
          <w:rFonts w:ascii="Consolas" w:hAnsi="Consolas" w:cs="Consolas"/>
          <w:b w:val="0"/>
          <w:i w:val="0"/>
          <w:sz w:val="15"/>
        </w:rPr>
        <w:t xml:space="preserve">  end_time TIMESTAMPTZ NOT NULL,</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status TEXT DEFAULT 'SCHEDULED',        -- 'SCHEDULED', 'IN_PROGRESS', 'COMPLETED', 'CANCELLED'</w:t>
      </w:r>
    </w:p>
    <w:p>
      <w:pPr>
        <w:spacing w:after="0" w:before="0" w:line="240" w:lineRule="auto"/>
        <w:ind w:left="57"/>
        <w:jc w:val="left"/>
        <w:shd w:val="clear" w:fill="F2F2F2"/>
      </w:pPr>
      <w:r>
        <w:rPr>
          <w:rFonts w:ascii="Consolas" w:hAnsi="Consolas" w:cs="Consolas"/>
          <w:b w:val="0"/>
          <w:i w:val="0"/>
          <w:sz w:val="15"/>
        </w:rPr>
        <w:t xml:space="preserve">  announced_at TIMESTAMPTZ,</w:t>
      </w:r>
    </w:p>
    <w:p>
      <w:pPr>
        <w:spacing w:after="0" w:before="0" w:line="240" w:lineRule="auto"/>
        <w:ind w:left="57"/>
        <w:jc w:val="left"/>
        <w:shd w:val="clear" w:fill="F2F2F2"/>
      </w:pPr>
      <w:r>
        <w:rPr>
          <w:rFonts w:ascii="Consolas" w:hAnsi="Consolas" w:cs="Consolas"/>
          <w:b w:val="0"/>
          <w:i w:val="0"/>
          <w:sz w:val="15"/>
        </w:rPr>
        <w:t xml:space="preserve">  approved_by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SLA status page events</w:t>
      </w:r>
    </w:p>
    <w:p>
      <w:pPr>
        <w:spacing w:after="0" w:before="0" w:line="240" w:lineRule="auto"/>
        <w:ind w:left="57"/>
        <w:jc w:val="left"/>
        <w:shd w:val="clear" w:fill="F2F2F2"/>
      </w:pPr>
      <w:r>
        <w:rPr>
          <w:rFonts w:ascii="Consolas" w:hAnsi="Consolas" w:cs="Consolas"/>
          <w:b w:val="0"/>
          <w:i w:val="0"/>
          <w:sz w:val="15"/>
        </w:rPr>
        <w:t>CREATE TABLE status_page_events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event_type TEXT NOT NULL,               -- 'INCIDENT_CREATED', 'INCIDENT_UPDATED',</w:t>
      </w:r>
    </w:p>
    <w:p>
      <w:pPr>
        <w:spacing w:after="0" w:before="0" w:line="240" w:lineRule="auto"/>
        <w:ind w:left="57"/>
        <w:jc w:val="left"/>
        <w:shd w:val="clear" w:fill="F2F2F2"/>
      </w:pPr>
      <w:r>
        <w:rPr>
          <w:rFonts w:ascii="Consolas" w:hAnsi="Consolas" w:cs="Consolas"/>
          <w:b w:val="0"/>
          <w:i w:val="0"/>
          <w:sz w:val="15"/>
        </w:rPr>
        <w:t xml:space="preserve">                                           -- 'MAINTENANCE_SCHEDULED', 'COMPONENT_STATUS_CHANGED'</w:t>
      </w:r>
    </w:p>
    <w:p>
      <w:pPr>
        <w:spacing w:after="0" w:before="0" w:line="240" w:lineRule="auto"/>
        <w:ind w:left="57"/>
        <w:jc w:val="left"/>
        <w:shd w:val="clear" w:fill="F2F2F2"/>
      </w:pPr>
      <w:r>
        <w:rPr>
          <w:rFonts w:ascii="Consolas" w:hAnsi="Consolas" w:cs="Consolas"/>
          <w:b w:val="0"/>
          <w:i w:val="0"/>
          <w:sz w:val="15"/>
        </w:rPr>
        <w:t xml:space="preserve">  component TEXT,</w:t>
      </w:r>
    </w:p>
    <w:p>
      <w:pPr>
        <w:spacing w:after="0" w:before="0" w:line="240" w:lineRule="auto"/>
        <w:ind w:left="57"/>
        <w:jc w:val="left"/>
        <w:shd w:val="clear" w:fill="F2F2F2"/>
      </w:pPr>
      <w:r>
        <w:rPr>
          <w:rFonts w:ascii="Consolas" w:hAnsi="Consolas" w:cs="Consolas"/>
          <w:b w:val="0"/>
          <w:i w:val="0"/>
          <w:sz w:val="15"/>
        </w:rPr>
        <w:t xml:space="preserve">  status TEXT,                            -- 'OPERATIONAL', 'DEGRADED', 'PARTIAL_OUTAGE', 'MAJOR_OUTAGE'</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started_at TIMESTAMPTZ,</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published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SLA probe results (raw, for analysis)</w:t>
      </w:r>
    </w:p>
    <w:p>
      <w:pPr>
        <w:spacing w:after="0" w:before="0" w:line="240" w:lineRule="auto"/>
        <w:ind w:left="57"/>
        <w:jc w:val="left"/>
        <w:shd w:val="clear" w:fill="F2F2F2"/>
      </w:pPr>
      <w:r>
        <w:rPr>
          <w:rFonts w:ascii="Consolas" w:hAnsi="Consolas" w:cs="Consolas"/>
          <w:b w:val="0"/>
          <w:i w:val="0"/>
          <w:sz w:val="15"/>
        </w:rPr>
        <w:t>CREATE TABLE sla_probes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component TEXT NOT NULL,</w:t>
      </w:r>
    </w:p>
    <w:p>
      <w:pPr>
        <w:spacing w:after="0" w:before="0" w:line="240" w:lineRule="auto"/>
        <w:ind w:left="57"/>
        <w:jc w:val="left"/>
        <w:shd w:val="clear" w:fill="F2F2F2"/>
      </w:pPr>
      <w:r>
        <w:rPr>
          <w:rFonts w:ascii="Consolas" w:hAnsi="Consolas" w:cs="Consolas"/>
          <w:b w:val="0"/>
          <w:i w:val="0"/>
          <w:sz w:val="15"/>
        </w:rPr>
        <w:t xml:space="preserve">  region TEXT NOT NULL,</w:t>
      </w:r>
    </w:p>
    <w:p>
      <w:pPr>
        <w:spacing w:after="0" w:before="0" w:line="240" w:lineRule="auto"/>
        <w:ind w:left="57"/>
        <w:jc w:val="left"/>
        <w:shd w:val="clear" w:fill="F2F2F2"/>
      </w:pPr>
      <w:r>
        <w:rPr>
          <w:rFonts w:ascii="Consolas" w:hAnsi="Consolas" w:cs="Consolas"/>
          <w:b w:val="0"/>
          <w:i w:val="0"/>
          <w:sz w:val="15"/>
        </w:rPr>
        <w:t xml:space="preserve">  probe_location TEXT NOT NULL,           -- 'CAIRO', 'DUBAI', 'FRANKFURT', 'LONDON'</w:t>
      </w:r>
    </w:p>
    <w:p>
      <w:pPr>
        <w:spacing w:after="0" w:before="0" w:line="240" w:lineRule="auto"/>
        <w:ind w:left="57"/>
        <w:jc w:val="left"/>
        <w:shd w:val="clear" w:fill="F2F2F2"/>
      </w:pPr>
      <w:r>
        <w:rPr>
          <w:rFonts w:ascii="Consolas" w:hAnsi="Consolas" w:cs="Consolas"/>
          <w:b w:val="0"/>
          <w:i w:val="0"/>
          <w:sz w:val="15"/>
        </w:rPr>
        <w:t xml:space="preserve">  success BOOLEAN NOT NULL,</w:t>
      </w:r>
    </w:p>
    <w:p>
      <w:pPr>
        <w:spacing w:after="0" w:before="0" w:line="240" w:lineRule="auto"/>
        <w:ind w:left="57"/>
        <w:jc w:val="left"/>
        <w:shd w:val="clear" w:fill="F2F2F2"/>
      </w:pPr>
      <w:r>
        <w:rPr>
          <w:rFonts w:ascii="Consolas" w:hAnsi="Consolas" w:cs="Consolas"/>
          <w:b w:val="0"/>
          <w:i w:val="0"/>
          <w:sz w:val="15"/>
        </w:rPr>
        <w:t xml:space="preserve">  latency_ms INTEGER,</w:t>
      </w:r>
    </w:p>
    <w:p>
      <w:pPr>
        <w:spacing w:after="0" w:before="0" w:line="240" w:lineRule="auto"/>
        <w:ind w:left="57"/>
        <w:jc w:val="left"/>
        <w:shd w:val="clear" w:fill="F2F2F2"/>
      </w:pPr>
      <w:r>
        <w:rPr>
          <w:rFonts w:ascii="Consolas" w:hAnsi="Consolas" w:cs="Consolas"/>
          <w:b w:val="0"/>
          <w:i w:val="0"/>
          <w:sz w:val="15"/>
        </w:rPr>
        <w:t xml:space="preserve">  status_code INTEGER,</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probed_at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idx_sla_metrics_component ON sla_metrics(component);</w:t>
      </w:r>
    </w:p>
    <w:p>
      <w:pPr>
        <w:spacing w:after="0" w:before="0" w:line="240" w:lineRule="auto"/>
        <w:ind w:left="57"/>
        <w:jc w:val="left"/>
        <w:shd w:val="clear" w:fill="F2F2F2"/>
      </w:pPr>
      <w:r>
        <w:rPr>
          <w:rFonts w:ascii="Consolas" w:hAnsi="Consolas" w:cs="Consolas"/>
          <w:b w:val="0"/>
          <w:i w:val="0"/>
          <w:sz w:val="15"/>
        </w:rPr>
        <w:t>CREATE INDEX idx_sla_metrics_period ON sla_metrics(measurement_start, measurement_end);</w:t>
      </w:r>
    </w:p>
    <w:p>
      <w:pPr>
        <w:spacing w:after="0" w:before="0" w:line="240" w:lineRule="auto"/>
        <w:ind w:left="57"/>
        <w:jc w:val="left"/>
        <w:shd w:val="clear" w:fill="F2F2F2"/>
      </w:pPr>
      <w:r>
        <w:rPr>
          <w:rFonts w:ascii="Consolas" w:hAnsi="Consolas" w:cs="Consolas"/>
          <w:b w:val="0"/>
          <w:i w:val="0"/>
          <w:sz w:val="15"/>
        </w:rPr>
        <w:t>CREATE INDEX idx_sla_credits_tenant ON sla_credits(tenant_gtid);</w:t>
      </w:r>
    </w:p>
    <w:p>
      <w:pPr>
        <w:spacing w:after="0" w:before="0" w:line="240" w:lineRule="auto"/>
        <w:ind w:left="57"/>
        <w:jc w:val="left"/>
        <w:shd w:val="clear" w:fill="F2F2F2"/>
      </w:pPr>
      <w:r>
        <w:rPr>
          <w:rFonts w:ascii="Consolas" w:hAnsi="Consolas" w:cs="Consolas"/>
          <w:b w:val="0"/>
          <w:i w:val="0"/>
          <w:sz w:val="15"/>
        </w:rPr>
        <w:t>CREATE INDEX idx_sla_credits_status ON sla_credits(status);</w:t>
      </w:r>
    </w:p>
    <w:p>
      <w:pPr>
        <w:spacing w:after="0" w:before="0" w:line="240" w:lineRule="auto"/>
        <w:ind w:left="57"/>
        <w:jc w:val="left"/>
        <w:shd w:val="clear" w:fill="F2F2F2"/>
      </w:pPr>
      <w:r>
        <w:rPr>
          <w:rFonts w:ascii="Consolas" w:hAnsi="Consolas" w:cs="Consolas"/>
          <w:b w:val="0"/>
          <w:i w:val="0"/>
          <w:sz w:val="15"/>
        </w:rPr>
        <w:t>CREATE INDEX idx_sla_forecasts_component ON sla_forecasts(component);</w:t>
      </w:r>
    </w:p>
    <w:p>
      <w:pPr>
        <w:spacing w:after="0" w:before="0" w:line="240" w:lineRule="auto"/>
        <w:ind w:left="57"/>
        <w:jc w:val="left"/>
        <w:shd w:val="clear" w:fill="F2F2F2"/>
      </w:pPr>
      <w:r>
        <w:rPr>
          <w:rFonts w:ascii="Consolas" w:hAnsi="Consolas" w:cs="Consolas"/>
          <w:b w:val="0"/>
          <w:i w:val="0"/>
          <w:sz w:val="15"/>
        </w:rPr>
        <w:t>CREATE INDEX idx_maintenance_windows_active ON maintenance_windows(start_time, end_time)</w:t>
      </w:r>
    </w:p>
    <w:p>
      <w:pPr>
        <w:spacing w:after="0" w:before="0" w:line="240" w:lineRule="auto"/>
        <w:ind w:left="57"/>
        <w:jc w:val="left"/>
        <w:shd w:val="clear" w:fill="F2F2F2"/>
      </w:pPr>
      <w:r>
        <w:rPr>
          <w:rFonts w:ascii="Consolas" w:hAnsi="Consolas" w:cs="Consolas"/>
          <w:b w:val="0"/>
          <w:i w:val="0"/>
          <w:sz w:val="15"/>
        </w:rPr>
        <w:t xml:space="preserve">  WHERE status != 'COMPLETED';</w:t>
      </w:r>
    </w:p>
    <w:p>
      <w:pPr>
        <w:spacing w:after="0" w:before="0" w:line="240" w:lineRule="auto"/>
        <w:ind w:left="57"/>
        <w:jc w:val="left"/>
        <w:shd w:val="clear" w:fill="F2F2F2"/>
      </w:pPr>
      <w:r>
        <w:rPr>
          <w:rFonts w:ascii="Consolas" w:hAnsi="Consolas" w:cs="Consolas"/>
          <w:b w:val="0"/>
          <w:i w:val="0"/>
          <w:sz w:val="15"/>
        </w:rPr>
        <w:t>CREATE INDEX idx_status_page_events_created ON status_page_events(created_at DESC);</w:t>
      </w:r>
    </w:p>
    <w:p>
      <w:pPr>
        <w:spacing w:after="0" w:before="0" w:line="240" w:lineRule="auto"/>
        <w:ind w:left="57"/>
        <w:jc w:val="left"/>
        <w:shd w:val="clear" w:fill="F2F2F2"/>
      </w:pPr>
      <w:r>
        <w:rPr>
          <w:rFonts w:ascii="Consolas" w:hAnsi="Consolas" w:cs="Consolas"/>
          <w:b w:val="0"/>
          <w:i w:val="0"/>
          <w:sz w:val="15"/>
        </w:rPr>
        <w:t>CREATE INDEX idx_sla_probes_component ON sla_probes(component);</w:t>
      </w:r>
    </w:p>
    <w:p>
      <w:pPr>
        <w:spacing w:after="0" w:before="0" w:line="240" w:lineRule="auto"/>
        <w:ind w:left="57"/>
        <w:jc w:val="left"/>
        <w:shd w:val="clear" w:fill="F2F2F2"/>
      </w:pPr>
      <w:r>
        <w:rPr>
          <w:rFonts w:ascii="Consolas" w:hAnsi="Consolas" w:cs="Consolas"/>
          <w:b w:val="0"/>
          <w:i w:val="0"/>
          <w:sz w:val="15"/>
        </w:rPr>
        <w:t>CREATE INDEX idx_sla_probes_probed_at ON sla_probes(probed_at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21.8.15 SLA Implementation Checklist</w:t>
      </w:r>
    </w:p>
    <w:p>
      <w:pPr>
        <w:spacing w:after="80" w:line="293" w:lineRule="auto"/>
        <w:jc w:val="left"/>
      </w:pPr>
      <w:r>
        <w:rPr>
          <w:rFonts w:ascii="Times New Roman" w:hAnsi="Times New Roman" w:cs="Times New Roman"/>
          <w:b w:val="0"/>
          <w:i w:val="0"/>
          <w:sz w:val="22"/>
        </w:rPr>
        <w:t>Monitoring infrastructure:</w:t>
      </w:r>
    </w:p>
    <w:p>
      <w:pPr>
        <w:spacing w:after="80" w:line="293" w:lineRule="auto"/>
        <w:ind w:left="283"/>
        <w:jc w:val="left"/>
      </w:pPr>
      <w:r>
        <w:rPr>
          <w:rFonts w:ascii="Times New Roman" w:hAnsi="Times New Roman" w:cs="Times New Roman"/>
          <w:b w:val="0"/>
          <w:i w:val="0"/>
          <w:sz w:val="22"/>
        </w:rPr>
        <w:t>- Deploy sla-monitor (Rust) on a separate node.</w:t>
      </w:r>
    </w:p>
    <w:p>
      <w:pPr>
        <w:spacing w:after="80" w:line="293" w:lineRule="auto"/>
        <w:ind w:left="283"/>
        <w:jc w:val="left"/>
      </w:pPr>
      <w:r>
        <w:rPr>
          <w:rFonts w:ascii="Times New Roman" w:hAnsi="Times New Roman" w:cs="Times New Roman"/>
          <w:b w:val="0"/>
          <w:i w:val="0"/>
          <w:sz w:val="22"/>
        </w:rPr>
        <w:t>- Configure Blackbox exporter to probe all service health endpoints from ≥2 external locations.</w:t>
      </w:r>
    </w:p>
    <w:p>
      <w:pPr>
        <w:spacing w:after="80" w:line="293" w:lineRule="auto"/>
        <w:ind w:left="283"/>
        <w:jc w:val="left"/>
      </w:pPr>
      <w:r>
        <w:rPr>
          <w:rFonts w:ascii="Times New Roman" w:hAnsi="Times New Roman" w:cs="Times New Roman"/>
          <w:b w:val="0"/>
          <w:i w:val="0"/>
          <w:sz w:val="22"/>
        </w:rPr>
        <w:t>- Set up Prometheus Alertmanager rules for SLA breaches (e.g., sgtx_availability &lt; 0.9995).</w:t>
      </w:r>
    </w:p>
    <w:p>
      <w:pPr>
        <w:spacing w:after="80" w:line="293" w:lineRule="auto"/>
        <w:ind w:left="283"/>
        <w:jc w:val="left"/>
      </w:pPr>
      <w:r>
        <w:rPr>
          <w:rFonts w:ascii="Times New Roman" w:hAnsi="Times New Roman" w:cs="Times New Roman"/>
          <w:b w:val="0"/>
          <w:i w:val="0"/>
          <w:sz w:val="22"/>
        </w:rPr>
        <w:t>- Integrate sla-monitor with ClickHouse for long-term storage.</w:t>
      </w:r>
    </w:p>
    <w:p>
      <w:pPr>
        <w:spacing w:after="80" w:line="293" w:lineRule="auto"/>
        <w:ind w:left="283"/>
        <w:jc w:val="left"/>
      </w:pPr>
      <w:r>
        <w:rPr>
          <w:rFonts w:ascii="Times New Roman" w:hAnsi="Times New Roman" w:cs="Times New Roman"/>
          <w:b w:val="0"/>
          <w:i w:val="0"/>
          <w:sz w:val="22"/>
        </w:rPr>
        <w:t>- Build the SLA dashboard in Grafana (uptime trends, credit history, latency heatmaps).</w:t>
      </w:r>
    </w:p>
    <w:p>
      <w:pPr>
        <w:spacing w:after="80" w:line="293" w:lineRule="auto"/>
        <w:jc w:val="left"/>
      </w:pPr>
      <w:r>
        <w:rPr>
          <w:rFonts w:ascii="Times New Roman" w:hAnsi="Times New Roman" w:cs="Times New Roman"/>
          <w:b w:val="0"/>
          <w:i w:val="0"/>
          <w:sz w:val="22"/>
        </w:rPr>
        <w:t>Credit &amp; compensation:</w:t>
      </w:r>
    </w:p>
    <w:p>
      <w:pPr>
        <w:spacing w:after="80" w:line="293" w:lineRule="auto"/>
        <w:ind w:left="283"/>
        <w:jc w:val="left"/>
      </w:pPr>
      <w:r>
        <w:rPr>
          <w:rFonts w:ascii="Times New Roman" w:hAnsi="Times New Roman" w:cs="Times New Roman"/>
          <w:b w:val="0"/>
          <w:i w:val="0"/>
          <w:sz w:val="22"/>
        </w:rPr>
        <w:t>- Implement credit calculation logic in payment-orchestrator (add line item to monthly statement).</w:t>
      </w:r>
    </w:p>
    <w:p>
      <w:pPr>
        <w:spacing w:after="80" w:line="293" w:lineRule="auto"/>
        <w:ind w:left="283"/>
        <w:jc w:val="left"/>
      </w:pPr>
      <w:r>
        <w:rPr>
          <w:rFonts w:ascii="Times New Roman" w:hAnsi="Times New Roman" w:cs="Times New Roman"/>
          <w:b w:val="0"/>
          <w:i w:val="0"/>
          <w:sz w:val="22"/>
        </w:rPr>
        <w:t>- Add Smart Inbox notification for credit issuance.</w:t>
      </w:r>
    </w:p>
    <w:p>
      <w:pPr>
        <w:spacing w:after="80" w:line="293" w:lineRule="auto"/>
        <w:ind w:left="283"/>
        <w:jc w:val="left"/>
      </w:pPr>
      <w:r>
        <w:rPr>
          <w:rFonts w:ascii="Times New Roman" w:hAnsi="Times New Roman" w:cs="Times New Roman"/>
          <w:b w:val="0"/>
          <w:i w:val="0"/>
          <w:sz w:val="22"/>
        </w:rPr>
        <w:t>- Implement the SLA dispute workflow.</w:t>
      </w:r>
    </w:p>
    <w:p>
      <w:pPr>
        <w:spacing w:after="80" w:line="293" w:lineRule="auto"/>
        <w:jc w:val="left"/>
      </w:pPr>
      <w:r>
        <w:rPr>
          <w:rFonts w:ascii="Times New Roman" w:hAnsi="Times New Roman" w:cs="Times New Roman"/>
          <w:b w:val="0"/>
          <w:i w:val="0"/>
          <w:sz w:val="22"/>
        </w:rPr>
        <w:t>Status page:</w:t>
      </w:r>
    </w:p>
    <w:p>
      <w:pPr>
        <w:spacing w:after="80" w:line="293" w:lineRule="auto"/>
        <w:ind w:left="283"/>
        <w:jc w:val="left"/>
      </w:pPr>
      <w:r>
        <w:rPr>
          <w:rFonts w:ascii="Times New Roman" w:hAnsi="Times New Roman" w:cs="Times New Roman"/>
          <w:b w:val="0"/>
          <w:i w:val="0"/>
          <w:sz w:val="22"/>
        </w:rPr>
        <w:t>- Deploy the status page (cState) and configure the API to pull current status from Prometheus.</w:t>
      </w:r>
    </w:p>
    <w:p>
      <w:pPr>
        <w:spacing w:after="80" w:line="293" w:lineRule="auto"/>
        <w:ind w:left="283"/>
        <w:jc w:val="left"/>
      </w:pPr>
      <w:r>
        <w:rPr>
          <w:rFonts w:ascii="Times New Roman" w:hAnsi="Times New Roman" w:cs="Times New Roman"/>
          <w:b w:val="0"/>
          <w:i w:val="0"/>
          <w:sz w:val="22"/>
        </w:rPr>
        <w:t>- Set up incident post-mortem automation (Groq + template).</w:t>
      </w:r>
    </w:p>
    <w:p>
      <w:pPr>
        <w:spacing w:after="80" w:line="293" w:lineRule="auto"/>
        <w:ind w:left="283"/>
        <w:jc w:val="left"/>
      </w:pPr>
      <w:r>
        <w:rPr>
          <w:rFonts w:ascii="Times New Roman" w:hAnsi="Times New Roman" w:cs="Times New Roman"/>
          <w:b w:val="0"/>
          <w:i w:val="0"/>
          <w:sz w:val="22"/>
        </w:rPr>
        <w:t>- Configure RSS, email, Slack webhook subscriptions.</w:t>
      </w:r>
    </w:p>
    <w:p>
      <w:pPr>
        <w:spacing w:after="80" w:line="293" w:lineRule="auto"/>
        <w:jc w:val="left"/>
      </w:pPr>
      <w:r>
        <w:rPr>
          <w:rFonts w:ascii="Times New Roman" w:hAnsi="Times New Roman" w:cs="Times New Roman"/>
          <w:b w:val="0"/>
          <w:i w:val="0"/>
          <w:sz w:val="22"/>
        </w:rPr>
        <w:t>Predictive SLAs:</w:t>
      </w:r>
    </w:p>
    <w:p>
      <w:pPr>
        <w:spacing w:after="80" w:line="293" w:lineRule="auto"/>
        <w:ind w:left="283"/>
        <w:jc w:val="left"/>
      </w:pPr>
      <w:r>
        <w:rPr>
          <w:rFonts w:ascii="Times New Roman" w:hAnsi="Times New Roman" w:cs="Times New Roman"/>
          <w:b w:val="0"/>
          <w:i w:val="0"/>
          <w:sz w:val="22"/>
        </w:rPr>
        <w:t>- Train the predictive SLA model (LSTM) using historical probe data.</w:t>
      </w:r>
    </w:p>
    <w:p>
      <w:pPr>
        <w:spacing w:after="80" w:line="293" w:lineRule="auto"/>
        <w:ind w:left="283"/>
        <w:jc w:val="left"/>
      </w:pPr>
      <w:r>
        <w:rPr>
          <w:rFonts w:ascii="Times New Roman" w:hAnsi="Times New Roman" w:cs="Times New Roman"/>
          <w:b w:val="0"/>
          <w:i w:val="0"/>
          <w:sz w:val="22"/>
        </w:rPr>
        <w:t>- Implement the predictive availability forecast.</w:t>
      </w:r>
    </w:p>
    <w:p>
      <w:pPr>
        <w:spacing w:after="80" w:line="293" w:lineRule="auto"/>
        <w:ind w:left="283"/>
        <w:jc w:val="left"/>
      </w:pPr>
      <w:r>
        <w:rPr>
          <w:rFonts w:ascii="Times New Roman" w:hAnsi="Times New Roman" w:cs="Times New Roman"/>
          <w:b w:val="0"/>
          <w:i w:val="0"/>
          <w:sz w:val="22"/>
        </w:rPr>
        <w:t>- Add the Groq-generated SLA credit forecast (monthly).</w:t>
      </w:r>
    </w:p>
    <w:p>
      <w:pPr>
        <w:spacing w:after="80" w:line="293" w:lineRule="auto"/>
        <w:jc w:val="left"/>
      </w:pPr>
      <w:r>
        <w:rPr>
          <w:rFonts w:ascii="Times New Roman" w:hAnsi="Times New Roman" w:cs="Times New Roman"/>
          <w:b w:val="0"/>
          <w:i w:val="0"/>
          <w:sz w:val="22"/>
        </w:rPr>
        <w:t>Maintenance windows:</w:t>
      </w:r>
    </w:p>
    <w:p>
      <w:pPr>
        <w:spacing w:after="80" w:line="293" w:lineRule="auto"/>
        <w:ind w:left="283"/>
        <w:jc w:val="left"/>
      </w:pPr>
      <w:r>
        <w:rPr>
          <w:rFonts w:ascii="Times New Roman" w:hAnsi="Times New Roman" w:cs="Times New Roman"/>
          <w:b w:val="0"/>
          <w:i w:val="0"/>
          <w:sz w:val="22"/>
        </w:rPr>
        <w:t>- Implement maintenance window scheduling.</w:t>
      </w:r>
    </w:p>
    <w:p>
      <w:pPr>
        <w:spacing w:after="80" w:line="293" w:lineRule="auto"/>
        <w:ind w:left="283"/>
        <w:jc w:val="left"/>
      </w:pPr>
      <w:r>
        <w:rPr>
          <w:rFonts w:ascii="Times New Roman" w:hAnsi="Times New Roman" w:cs="Times New Roman"/>
          <w:b w:val="0"/>
          <w:i w:val="0"/>
          <w:sz w:val="22"/>
        </w:rPr>
        <w:t>- Add the announcement mechanism (Smart Inbox, email, status page).</w:t>
      </w:r>
    </w:p>
    <w:p>
      <w:pPr>
        <w:spacing w:after="80" w:line="293" w:lineRule="auto"/>
        <w:ind w:left="283"/>
        <w:jc w:val="left"/>
      </w:pPr>
      <w:r>
        <w:rPr>
          <w:rFonts w:ascii="Times New Roman" w:hAnsi="Times New Roman" w:cs="Times New Roman"/>
          <w:b w:val="0"/>
          <w:i w:val="0"/>
          <w:sz w:val="22"/>
        </w:rPr>
        <w:t>- Exclude maintenance windows from availability calculations.</w:t>
      </w:r>
    </w:p>
    <w:p>
      <w:pPr>
        <w:spacing w:after="80" w:line="293" w:lineRule="auto"/>
        <w:jc w:val="left"/>
      </w:pPr>
      <w:r>
        <w:rPr>
          <w:rFonts w:ascii="Times New Roman" w:hAnsi="Times New Roman" w:cs="Times New Roman"/>
          <w:b w:val="0"/>
          <w:i w:val="0"/>
          <w:sz w:val="22"/>
        </w:rPr>
        <w:t>Extended service monitoring:</w:t>
      </w:r>
    </w:p>
    <w:p>
      <w:pPr>
        <w:spacing w:after="80" w:line="293" w:lineRule="auto"/>
        <w:ind w:left="283"/>
        <w:jc w:val="left"/>
      </w:pPr>
      <w:r>
        <w:rPr>
          <w:rFonts w:ascii="Times New Roman" w:hAnsi="Times New Roman" w:cs="Times New Roman"/>
          <w:b w:val="0"/>
          <w:i w:val="0"/>
          <w:sz w:val="22"/>
        </w:rPr>
        <w:t>- Add SLA monitoring for conditional QC holds (track hold removal latency).</w:t>
      </w:r>
    </w:p>
    <w:p>
      <w:pPr>
        <w:spacing w:after="80" w:line="293" w:lineRule="auto"/>
        <w:ind w:left="283"/>
        <w:jc w:val="left"/>
      </w:pPr>
      <w:r>
        <w:rPr>
          <w:rFonts w:ascii="Times New Roman" w:hAnsi="Times New Roman" w:cs="Times New Roman"/>
          <w:b w:val="0"/>
          <w:i w:val="0"/>
          <w:sz w:val="22"/>
        </w:rPr>
        <w:t>- Add SLA monitoring for deferred payment guarantee expiry detection.</w:t>
      </w:r>
    </w:p>
    <w:p>
      <w:pPr>
        <w:spacing w:after="80" w:line="293" w:lineRule="auto"/>
        <w:ind w:left="283"/>
        <w:jc w:val="left"/>
      </w:pPr>
      <w:r>
        <w:rPr>
          <w:rFonts w:ascii="Times New Roman" w:hAnsi="Times New Roman" w:cs="Times New Roman"/>
          <w:b w:val="0"/>
          <w:i w:val="0"/>
          <w:sz w:val="22"/>
        </w:rPr>
        <w:t>- Add alerting for multi-shipment per-shipment coordinator failures (separate metrics per shipment).</w:t>
      </w:r>
    </w:p>
    <w:p>
      <w:pPr>
        <w:spacing w:after="80" w:line="293" w:lineRule="auto"/>
        <w:ind w:left="283"/>
        <w:jc w:val="left"/>
      </w:pPr>
      <w:r>
        <w:rPr>
          <w:rFonts w:ascii="Times New Roman" w:hAnsi="Times New Roman" w:cs="Times New Roman"/>
          <w:b w:val="0"/>
          <w:i w:val="0"/>
          <w:sz w:val="22"/>
        </w:rPr>
        <w:t>- Add SLA monitoring for Trust Passport verification.</w:t>
      </w:r>
    </w:p>
    <w:p>
      <w:pPr>
        <w:spacing w:after="80" w:line="293" w:lineRule="auto"/>
        <w:ind w:left="283"/>
        <w:jc w:val="left"/>
      </w:pPr>
      <w:r>
        <w:rPr>
          <w:rFonts w:ascii="Times New Roman" w:hAnsi="Times New Roman" w:cs="Times New Roman"/>
          <w:b w:val="0"/>
          <w:i w:val="0"/>
          <w:sz w:val="22"/>
        </w:rPr>
        <w:t>- Add SLA monitoring for cross-border payment routing.</w:t>
      </w:r>
    </w:p>
    <w:p>
      <w:pPr>
        <w:spacing w:after="80" w:line="293" w:lineRule="auto"/>
        <w:ind w:left="283"/>
        <w:jc w:val="left"/>
      </w:pPr>
      <w:r>
        <w:rPr>
          <w:rFonts w:ascii="Times New Roman" w:hAnsi="Times New Roman" w:cs="Times New Roman"/>
          <w:b w:val="0"/>
          <w:i w:val="0"/>
          <w:sz w:val="22"/>
        </w:rPr>
        <w:t>- Add SLA monitoring for the country tiering service.</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Test incident response with a simulated network partition (chaos engineering).</w:t>
      </w:r>
    </w:p>
    <w:p>
      <w:pPr>
        <w:spacing w:after="80" w:line="293" w:lineRule="auto"/>
        <w:ind w:left="283"/>
        <w:jc w:val="left"/>
      </w:pPr>
      <w:r>
        <w:rPr>
          <w:rFonts w:ascii="Times New Roman" w:hAnsi="Times New Roman" w:cs="Times New Roman"/>
          <w:b w:val="0"/>
          <w:i w:val="0"/>
          <w:sz w:val="22"/>
        </w:rPr>
        <w:t>- Test SLA credit calculation and application.</w:t>
      </w:r>
    </w:p>
    <w:p>
      <w:pPr>
        <w:spacing w:after="80" w:line="293" w:lineRule="auto"/>
        <w:ind w:left="283"/>
        <w:jc w:val="left"/>
      </w:pPr>
      <w:r>
        <w:rPr>
          <w:rFonts w:ascii="Times New Roman" w:hAnsi="Times New Roman" w:cs="Times New Roman"/>
          <w:b w:val="0"/>
          <w:i w:val="0"/>
          <w:sz w:val="22"/>
        </w:rPr>
        <w:t>- Test the SLA dispute workflow.</w:t>
      </w:r>
    </w:p>
    <w:p>
      <w:pPr>
        <w:spacing w:after="80" w:line="293" w:lineRule="auto"/>
        <w:ind w:left="283"/>
        <w:jc w:val="left"/>
      </w:pPr>
      <w:r>
        <w:rPr>
          <w:rFonts w:ascii="Times New Roman" w:hAnsi="Times New Roman" w:cs="Times New Roman"/>
          <w:b w:val="0"/>
          <w:i w:val="0"/>
          <w:sz w:val="22"/>
        </w:rPr>
        <w:t>- Test status page integration.</w:t>
      </w:r>
    </w:p>
    <w:p>
      <w:pPr>
        <w:spacing w:after="80" w:line="293" w:lineRule="auto"/>
        <w:ind w:left="283"/>
        <w:jc w:val="left"/>
      </w:pPr>
      <w:r>
        <w:rPr>
          <w:rFonts w:ascii="Times New Roman" w:hAnsi="Times New Roman" w:cs="Times New Roman"/>
          <w:b w:val="0"/>
          <w:i w:val="0"/>
          <w:sz w:val="22"/>
        </w:rPr>
        <w:t>- Test maintenance window exclusion.</w:t>
      </w:r>
    </w:p>
    <w:p>
      <w:pPr>
        <w:keepNext/>
        <w:spacing w:before="240" w:after="100"/>
        <w:outlineLvl w:val="1"/>
      </w:pPr>
      <w:r>
        <w:rPr>
          <w:rFonts w:ascii="Arial" w:hAnsi="Arial" w:cs="Arial"/>
          <w:b/>
          <w:i w:val="0"/>
          <w:color w:val="2E528F"/>
          <w:sz w:val="26"/>
        </w:rPr>
        <w:t>21.9 Egyptian PDPL Compliance</w:t>
      </w:r>
    </w:p>
    <w:p>
      <w:pPr>
        <w:keepNext/>
        <w:spacing w:before="180" w:after="80"/>
        <w:outlineLvl w:val="2"/>
      </w:pPr>
      <w:r>
        <w:rPr>
          <w:rFonts w:ascii="Arial" w:hAnsi="Arial" w:cs="Arial"/>
          <w:b/>
          <w:i w:val="0"/>
          <w:color w:val="333333"/>
          <w:sz w:val="23"/>
        </w:rPr>
        <w:t>21.9.1 Purpose &amp; Principles</w:t>
      </w:r>
    </w:p>
    <w:p>
      <w:pPr>
        <w:spacing w:after="80" w:line="293" w:lineRule="auto"/>
        <w:jc w:val="left"/>
      </w:pPr>
      <w:r>
        <w:rPr>
          <w:rFonts w:ascii="Times New Roman" w:hAnsi="Times New Roman" w:cs="Times New Roman"/>
          <w:b w:val="0"/>
          <w:i w:val="0"/>
          <w:sz w:val="22"/>
        </w:rPr>
        <w:t>This subsection defines the Egyptian Personal Data Protection Law (Law No. 151 of 2020, PDPL) compliance framework for the SGTX platform. The PDPL is the primary data protection legislation in Egypt, regulating the collection, processing, storage, and transfer of personal data. Compliance is mandatory for any entity processing personal data of Egyptian residents or operating within Egypt. SGTX processes personal data of its tenants, employees, and counterparties, and therefore implements comprehensive technical and organisational measures to ensure compliance with the PDPL and its implementing regulations. The PDPL is the platform's privacy baseline, extended to other jurisdictions through jurisdictional adapters.</w:t>
      </w:r>
    </w:p>
    <w:p>
      <w:pPr>
        <w:spacing w:after="80" w:line="293" w:lineRule="auto"/>
        <w:jc w:val="left"/>
      </w:pPr>
      <w:r>
        <w:rPr>
          <w:rFonts w:ascii="Times New Roman" w:hAnsi="Times New Roman" w:cs="Times New Roman"/>
          <w:b w:val="0"/>
          <w:i w:val="0"/>
          <w:sz w:val="22"/>
        </w:rPr>
        <w:t>Key principles of the PDPL (Articles 1–3):</w:t>
      </w:r>
    </w:p>
    <w:p>
      <w:pPr>
        <w:spacing w:after="80" w:line="293" w:lineRule="auto"/>
        <w:ind w:left="283"/>
        <w:jc w:val="left"/>
      </w:pPr>
      <w:r>
        <w:rPr>
          <w:rFonts w:ascii="Times New Roman" w:hAnsi="Times New Roman" w:cs="Times New Roman"/>
          <w:b w:val="0"/>
          <w:i w:val="0"/>
          <w:sz w:val="22"/>
        </w:rPr>
        <w:t>- Lawfulness, fairness, and transparency — personal data must be processed lawfully, fairly, and transparently.</w:t>
      </w:r>
    </w:p>
    <w:p>
      <w:pPr>
        <w:spacing w:after="80" w:line="293" w:lineRule="auto"/>
        <w:ind w:left="283"/>
        <w:jc w:val="left"/>
      </w:pPr>
      <w:r>
        <w:rPr>
          <w:rFonts w:ascii="Times New Roman" w:hAnsi="Times New Roman" w:cs="Times New Roman"/>
          <w:b w:val="0"/>
          <w:i w:val="0"/>
          <w:sz w:val="22"/>
        </w:rPr>
        <w:t>- Purpose limitation — personal data must be collected for specified, explicit, and legitimate purposes.</w:t>
      </w:r>
    </w:p>
    <w:p>
      <w:pPr>
        <w:spacing w:after="80" w:line="293" w:lineRule="auto"/>
        <w:ind w:left="283"/>
        <w:jc w:val="left"/>
      </w:pPr>
      <w:r>
        <w:rPr>
          <w:rFonts w:ascii="Times New Roman" w:hAnsi="Times New Roman" w:cs="Times New Roman"/>
          <w:b w:val="0"/>
          <w:i w:val="0"/>
          <w:sz w:val="22"/>
        </w:rPr>
        <w:t>- Data minimisation — personal data must be adequate, relevant, and limited to what is necessary.</w:t>
      </w:r>
    </w:p>
    <w:p>
      <w:pPr>
        <w:spacing w:after="80" w:line="293" w:lineRule="auto"/>
        <w:ind w:left="283"/>
        <w:jc w:val="left"/>
      </w:pPr>
      <w:r>
        <w:rPr>
          <w:rFonts w:ascii="Times New Roman" w:hAnsi="Times New Roman" w:cs="Times New Roman"/>
          <w:b w:val="0"/>
          <w:i w:val="0"/>
          <w:sz w:val="22"/>
        </w:rPr>
        <w:t>- Accuracy — personal data must be accurate and kept up to date.</w:t>
      </w:r>
    </w:p>
    <w:p>
      <w:pPr>
        <w:spacing w:after="80" w:line="293" w:lineRule="auto"/>
        <w:ind w:left="283"/>
        <w:jc w:val="left"/>
      </w:pPr>
      <w:r>
        <w:rPr>
          <w:rFonts w:ascii="Times New Roman" w:hAnsi="Times New Roman" w:cs="Times New Roman"/>
          <w:b w:val="0"/>
          <w:i w:val="0"/>
          <w:sz w:val="22"/>
        </w:rPr>
        <w:t>- Storage limitation — personal data must be kept in a form which permits identification of data subjects for no</w:t>
      </w:r>
    </w:p>
    <w:p>
      <w:pPr>
        <w:spacing w:after="80" w:line="293" w:lineRule="auto"/>
        <w:jc w:val="left"/>
      </w:pPr>
      <w:r>
        <w:rPr>
          <w:rFonts w:ascii="Times New Roman" w:hAnsi="Times New Roman" w:cs="Times New Roman"/>
          <w:b w:val="0"/>
          <w:i w:val="0"/>
          <w:sz w:val="22"/>
        </w:rPr>
        <w:t>longer than necessary.</w:t>
      </w:r>
    </w:p>
    <w:p>
      <w:pPr>
        <w:spacing w:after="80" w:line="293" w:lineRule="auto"/>
        <w:ind w:left="283"/>
        <w:jc w:val="left"/>
      </w:pPr>
      <w:r>
        <w:rPr>
          <w:rFonts w:ascii="Times New Roman" w:hAnsi="Times New Roman" w:cs="Times New Roman"/>
          <w:b w:val="0"/>
          <w:i w:val="0"/>
          <w:sz w:val="22"/>
        </w:rPr>
        <w:t>- Integrity and confidentiality — personal data must be processed in a manner that ensures appropriate security.</w:t>
      </w:r>
    </w:p>
    <w:p>
      <w:pPr>
        <w:spacing w:after="80" w:line="293" w:lineRule="auto"/>
        <w:jc w:val="left"/>
      </w:pPr>
      <w:r>
        <w:rPr>
          <w:rFonts w:ascii="Times New Roman" w:hAnsi="Times New Roman" w:cs="Times New Roman"/>
          <w:b w:val="0"/>
          <w:i w:val="0"/>
          <w:sz w:val="22"/>
        </w:rPr>
        <w:t>PDPL enforcement: the Egyptian Data Protection Centre (DPC) is the supervisory authority responsible for enforcing the PDPL. Non-compliance can result in fines of up to EGP 5,000,000 (approximately $160,000) and criminal penalties under Articles 43–45.</w:t>
      </w:r>
    </w:p>
    <w:p>
      <w:pPr>
        <w:keepNext/>
        <w:spacing w:before="180" w:after="80"/>
        <w:outlineLvl w:val="2"/>
      </w:pPr>
      <w:r>
        <w:rPr>
          <w:rFonts w:ascii="Arial" w:hAnsi="Arial" w:cs="Arial"/>
          <w:b/>
          <w:i w:val="0"/>
          <w:color w:val="333333"/>
          <w:sz w:val="23"/>
        </w:rPr>
        <w:t>21.9.2 Scope of Personal Data in SGTX</w:t>
      </w:r>
    </w:p>
    <w:p>
      <w:pPr>
        <w:spacing w:after="80" w:line="293" w:lineRule="auto"/>
        <w:jc w:val="left"/>
      </w:pPr>
      <w:r>
        <w:rPr>
          <w:rFonts w:ascii="Times New Roman" w:hAnsi="Times New Roman" w:cs="Times New Roman"/>
          <w:b w:val="0"/>
          <w:i w:val="0"/>
          <w:sz w:val="22"/>
        </w:rPr>
        <w:t>Data categories processed by the platform: identity data (names, registration numbers, GTIDs), contact data (emails, phones, addresses), financial data (account references, transaction records), biometric voiceprints (for voice commands, with explicit consent), and driver location data (for logistics tracking, consent-scoped). Data subjects: tenants, employees, counterparties, drivers, and government officials.</w:t>
      </w:r>
    </w:p>
    <w:p>
      <w:pPr>
        <w:keepNext/>
        <w:spacing w:before="180" w:after="80"/>
        <w:outlineLvl w:val="2"/>
      </w:pPr>
      <w:r>
        <w:rPr>
          <w:rFonts w:ascii="Arial" w:hAnsi="Arial" w:cs="Arial"/>
          <w:b/>
          <w:i w:val="0"/>
          <w:color w:val="333333"/>
          <w:sz w:val="23"/>
        </w:rPr>
        <w:t>21.9.3 Data Subject Rights Implementation</w:t>
      </w:r>
    </w:p>
    <w:p>
      <w:pPr>
        <w:spacing w:after="80" w:line="293" w:lineRule="auto"/>
        <w:jc w:val="left"/>
      </w:pPr>
      <w:r>
        <w:rPr>
          <w:rFonts w:ascii="Times New Roman" w:hAnsi="Times New Roman" w:cs="Times New Roman"/>
          <w:b w:val="0"/>
          <w:i w:val="0"/>
          <w:sz w:val="22"/>
        </w:rPr>
        <w:t>The PDPL grants data subjects the following rights (Article 9), which the platform implements as data subject request (DSR) types: access, rectification, erasure, restriction, portability, and objection.</w:t>
      </w:r>
    </w:p>
    <w:p>
      <w:pPr>
        <w:spacing w:after="80" w:line="293" w:lineRule="auto"/>
        <w:jc w:val="left"/>
      </w:pPr>
      <w:r>
        <w:rPr>
          <w:rFonts w:ascii="Times New Roman" w:hAnsi="Times New Roman" w:cs="Times New Roman"/>
          <w:b w:val="0"/>
          <w:i w:val="0"/>
          <w:sz w:val="22"/>
        </w:rPr>
        <w:t>Data subject request workflow:</w:t>
      </w:r>
    </w:p>
    <w:p>
      <w:pPr>
        <w:spacing w:after="80" w:line="293" w:lineRule="auto"/>
        <w:ind w:left="283"/>
        <w:jc w:val="left"/>
      </w:pPr>
      <w:r>
        <w:rPr>
          <w:rFonts w:ascii="Times New Roman" w:hAnsi="Times New Roman" w:cs="Times New Roman"/>
          <w:b w:val="0"/>
          <w:i w:val="0"/>
          <w:sz w:val="22"/>
        </w:rPr>
        <w:t>- Step 1: the user submits a request via the Privacy Dashboard or email (dpo@sgtx.io).</w:t>
      </w:r>
    </w:p>
    <w:p>
      <w:pPr>
        <w:spacing w:after="80" w:line="293" w:lineRule="auto"/>
        <w:ind w:left="283"/>
        <w:jc w:val="left"/>
      </w:pPr>
      <w:r>
        <w:rPr>
          <w:rFonts w:ascii="Times New Roman" w:hAnsi="Times New Roman" w:cs="Times New Roman"/>
          <w:b w:val="0"/>
          <w:i w:val="0"/>
          <w:sz w:val="22"/>
        </w:rPr>
        <w:t>- Step 2: the system logs the request in the dsr_requests table (automated).</w:t>
      </w:r>
    </w:p>
    <w:p>
      <w:pPr>
        <w:spacing w:after="80" w:line="293" w:lineRule="auto"/>
        <w:ind w:left="283"/>
        <w:jc w:val="left"/>
      </w:pPr>
      <w:r>
        <w:rPr>
          <w:rFonts w:ascii="Times New Roman" w:hAnsi="Times New Roman" w:cs="Times New Roman"/>
          <w:b w:val="0"/>
          <w:i w:val="0"/>
          <w:sz w:val="22"/>
        </w:rPr>
        <w:t>- Step 3: the DPO reviews the request (24-hour SLA).</w:t>
      </w:r>
    </w:p>
    <w:p>
      <w:pPr>
        <w:spacing w:after="80" w:line="293" w:lineRule="auto"/>
        <w:ind w:left="283"/>
        <w:jc w:val="left"/>
      </w:pPr>
      <w:r>
        <w:rPr>
          <w:rFonts w:ascii="Times New Roman" w:hAnsi="Times New Roman" w:cs="Times New Roman"/>
          <w:b w:val="0"/>
          <w:i w:val="0"/>
          <w:sz w:val="22"/>
        </w:rPr>
        <w:t>- Step 4: approve (immediate), partially approve (additional verification), or reject with reason.</w:t>
      </w:r>
    </w:p>
    <w:p>
      <w:pPr>
        <w:spacing w:after="80" w:line="293" w:lineRule="auto"/>
        <w:ind w:left="283"/>
        <w:jc w:val="left"/>
      </w:pPr>
      <w:r>
        <w:rPr>
          <w:rFonts w:ascii="Times New Roman" w:hAnsi="Times New Roman" w:cs="Times New Roman"/>
          <w:b w:val="0"/>
          <w:i w:val="0"/>
          <w:sz w:val="22"/>
        </w:rPr>
        <w:t>- Step 5: the system executes the request (data export, rectification, deletion, etc.).</w:t>
      </w:r>
    </w:p>
    <w:p>
      <w:pPr>
        <w:spacing w:after="80" w:line="293" w:lineRule="auto"/>
        <w:ind w:left="283"/>
        <w:jc w:val="left"/>
      </w:pPr>
      <w:r>
        <w:rPr>
          <w:rFonts w:ascii="Times New Roman" w:hAnsi="Times New Roman" w:cs="Times New Roman"/>
          <w:b w:val="0"/>
          <w:i w:val="0"/>
          <w:sz w:val="22"/>
        </w:rPr>
        <w:t>- Step 6: the user is notified of completion (Smart Inbox + email).</w:t>
      </w:r>
    </w:p>
    <w:p>
      <w:pPr>
        <w:spacing w:after="80" w:line="293" w:lineRule="auto"/>
        <w:jc w:val="left"/>
      </w:pPr>
      <w:r>
        <w:rPr>
          <w:rFonts w:ascii="Times New Roman" w:hAnsi="Times New Roman" w:cs="Times New Roman"/>
          <w:b w:val="0"/>
          <w:i w:val="0"/>
          <w:sz w:val="22"/>
        </w:rPr>
        <w:t>One-click guarantee: each DSR step has a single action button. The DPO can approve, partially approve, or reject with one click.</w:t>
      </w:r>
    </w:p>
    <w:p>
      <w:pPr>
        <w:keepNext/>
        <w:spacing w:before="180" w:after="80"/>
        <w:outlineLvl w:val="2"/>
      </w:pPr>
      <w:r>
        <w:rPr>
          <w:rFonts w:ascii="Arial" w:hAnsi="Arial" w:cs="Arial"/>
          <w:b/>
          <w:i w:val="0"/>
          <w:color w:val="333333"/>
          <w:sz w:val="23"/>
        </w:rPr>
        <w:t>21.9.4 Consent Management</w:t>
      </w:r>
    </w:p>
    <w:p>
      <w:pPr>
        <w:spacing w:after="80" w:line="293" w:lineRule="auto"/>
        <w:jc w:val="left"/>
      </w:pPr>
      <w:r>
        <w:rPr>
          <w:rFonts w:ascii="Times New Roman" w:hAnsi="Times New Roman" w:cs="Times New Roman"/>
          <w:b w:val="0"/>
          <w:i w:val="0"/>
          <w:sz w:val="22"/>
        </w:rPr>
        <w:t>Consent purposes (PDPL Article 13). The platform lists all consent purposes with defaults and withdrawal options: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Purpose</w:t>
            </w:r>
          </w:p>
        </w:tc>
        <w:tc>
          <w:tcPr>
            <w:tcW w:type="dxa" w:w="4819"/>
            <w:shd w:val="clear" w:fill="D9E2F3"/>
          </w:tcPr>
          <w:p>
            <w:pPr>
              <w:spacing w:after="20" w:before="20" w:line="240" w:lineRule="auto"/>
            </w:pPr>
            <w:r/>
            <w:r>
              <w:rPr>
                <w:rFonts w:ascii="Arial" w:hAnsi="Arial" w:cs="Arial"/>
                <w:b/>
                <w:i w:val="0"/>
                <w:sz w:val="18"/>
              </w:rPr>
              <w:t>Consent Model</w:t>
            </w:r>
          </w:p>
        </w:tc>
      </w:tr>
      <w:tr>
        <w:tc>
          <w:tcPr>
            <w:tcW w:type="dxa" w:w="4819"/>
          </w:tcPr>
          <w:p>
            <w:pPr>
              <w:spacing w:after="20" w:before="20" w:line="240" w:lineRule="auto"/>
            </w:pPr>
            <w:r/>
            <w:r>
              <w:rPr>
                <w:rFonts w:ascii="Arial" w:hAnsi="Arial" w:cs="Arial"/>
                <w:b w:val="0"/>
                <w:i w:val="0"/>
                <w:sz w:val="17"/>
              </w:rPr>
              <w:t>Contract performance (trade execution)</w:t>
            </w:r>
          </w:p>
        </w:tc>
        <w:tc>
          <w:tcPr>
            <w:tcW w:type="dxa" w:w="4819"/>
          </w:tcPr>
          <w:p>
            <w:pPr>
              <w:spacing w:after="20" w:before="20" w:line="240" w:lineRule="auto"/>
            </w:pPr>
            <w:r/>
            <w:r>
              <w:rPr>
                <w:rFonts w:ascii="Arial" w:hAnsi="Arial" w:cs="Arial"/>
                <w:b w:val="0"/>
                <w:i w:val="0"/>
                <w:sz w:val="17"/>
              </w:rPr>
              <w:t>Required</w:t>
            </w:r>
          </w:p>
        </w:tc>
      </w:tr>
      <w:tr>
        <w:tc>
          <w:tcPr>
            <w:tcW w:type="dxa" w:w="4819"/>
          </w:tcPr>
          <w:p>
            <w:pPr>
              <w:spacing w:after="20" w:before="20" w:line="240" w:lineRule="auto"/>
            </w:pPr>
            <w:r/>
            <w:r>
              <w:rPr>
                <w:rFonts w:ascii="Arial" w:hAnsi="Arial" w:cs="Arial"/>
                <w:b w:val="0"/>
                <w:i w:val="0"/>
                <w:sz w:val="17"/>
              </w:rPr>
              <w:t>Legal compliance (tax, AML, customs)</w:t>
            </w:r>
          </w:p>
        </w:tc>
        <w:tc>
          <w:tcPr>
            <w:tcW w:type="dxa" w:w="4819"/>
          </w:tcPr>
          <w:p>
            <w:pPr>
              <w:spacing w:after="20" w:before="20" w:line="240" w:lineRule="auto"/>
            </w:pPr>
            <w:r/>
            <w:r>
              <w:rPr>
                <w:rFonts w:ascii="Arial" w:hAnsi="Arial" w:cs="Arial"/>
                <w:b w:val="0"/>
                <w:i w:val="0"/>
                <w:sz w:val="17"/>
              </w:rPr>
              <w:t>Required</w:t>
            </w:r>
          </w:p>
        </w:tc>
      </w:tr>
      <w:tr>
        <w:tc>
          <w:tcPr>
            <w:tcW w:type="dxa" w:w="4819"/>
          </w:tcPr>
          <w:p>
            <w:pPr>
              <w:spacing w:after="20" w:before="20" w:line="240" w:lineRule="auto"/>
            </w:pPr>
            <w:r/>
            <w:r>
              <w:rPr>
                <w:rFonts w:ascii="Arial" w:hAnsi="Arial" w:cs="Arial"/>
                <w:b w:val="0"/>
                <w:i w:val="0"/>
                <w:sz w:val="17"/>
              </w:rPr>
              <w:t>Analytics &amp; platform improvement</w:t>
            </w:r>
          </w:p>
        </w:tc>
        <w:tc>
          <w:tcPr>
            <w:tcW w:type="dxa" w:w="4819"/>
          </w:tcPr>
          <w:p>
            <w:pPr>
              <w:spacing w:after="20" w:before="20" w:line="240" w:lineRule="auto"/>
            </w:pPr>
            <w:r/>
            <w:r>
              <w:rPr>
                <w:rFonts w:ascii="Arial" w:hAnsi="Arial" w:cs="Arial"/>
                <w:b w:val="0"/>
                <w:i w:val="0"/>
                <w:sz w:val="17"/>
              </w:rPr>
              <w:t>Toggle</w:t>
            </w:r>
          </w:p>
        </w:tc>
      </w:tr>
      <w:tr>
        <w:tc>
          <w:tcPr>
            <w:tcW w:type="dxa" w:w="4819"/>
          </w:tcPr>
          <w:p>
            <w:pPr>
              <w:spacing w:after="20" w:before="20" w:line="240" w:lineRule="auto"/>
            </w:pPr>
            <w:r/>
            <w:r>
              <w:rPr>
                <w:rFonts w:ascii="Arial" w:hAnsi="Arial" w:cs="Arial"/>
                <w:b w:val="0"/>
                <w:i w:val="0"/>
                <w:sz w:val="17"/>
              </w:rPr>
              <w:t>Marketing communications</w:t>
            </w:r>
          </w:p>
        </w:tc>
        <w:tc>
          <w:tcPr>
            <w:tcW w:type="dxa" w:w="4819"/>
          </w:tcPr>
          <w:p>
            <w:pPr>
              <w:spacing w:after="20" w:before="20" w:line="240" w:lineRule="auto"/>
            </w:pPr>
            <w:r/>
            <w:r>
              <w:rPr>
                <w:rFonts w:ascii="Arial" w:hAnsi="Arial" w:cs="Arial"/>
                <w:b w:val="0"/>
                <w:i w:val="0"/>
                <w:sz w:val="17"/>
              </w:rPr>
              <w:t>Toggle</w:t>
            </w:r>
          </w:p>
        </w:tc>
      </w:tr>
      <w:tr>
        <w:tc>
          <w:tcPr>
            <w:tcW w:type="dxa" w:w="4819"/>
          </w:tcPr>
          <w:p>
            <w:pPr>
              <w:spacing w:after="20" w:before="20" w:line="240" w:lineRule="auto"/>
            </w:pPr>
            <w:r/>
            <w:r>
              <w:rPr>
                <w:rFonts w:ascii="Arial" w:hAnsi="Arial" w:cs="Arial"/>
                <w:b w:val="0"/>
                <w:i w:val="0"/>
                <w:sz w:val="17"/>
              </w:rPr>
              <w:t>Government data sharing (beyond legal requirement)</w:t>
            </w:r>
          </w:p>
        </w:tc>
        <w:tc>
          <w:tcPr>
            <w:tcW w:type="dxa" w:w="4819"/>
          </w:tcPr>
          <w:p>
            <w:pPr>
              <w:spacing w:after="20" w:before="20" w:line="240" w:lineRule="auto"/>
            </w:pPr>
            <w:r/>
            <w:r>
              <w:rPr>
                <w:rFonts w:ascii="Arial" w:hAnsi="Arial" w:cs="Arial"/>
                <w:b w:val="0"/>
                <w:i w:val="0"/>
                <w:sz w:val="17"/>
              </w:rPr>
              <w:t>Toggle</w:t>
            </w:r>
          </w:p>
        </w:tc>
      </w:tr>
      <w:tr>
        <w:tc>
          <w:tcPr>
            <w:tcW w:type="dxa" w:w="4819"/>
          </w:tcPr>
          <w:p>
            <w:pPr>
              <w:spacing w:after="20" w:before="20" w:line="240" w:lineRule="auto"/>
            </w:pPr>
            <w:r/>
            <w:r>
              <w:rPr>
                <w:rFonts w:ascii="Arial" w:hAnsi="Arial" w:cs="Arial"/>
                <w:b w:val="0"/>
                <w:i w:val="0"/>
                <w:sz w:val="17"/>
              </w:rPr>
              <w:t>Cross-border data transfer to EU/UAE</w:t>
            </w:r>
          </w:p>
        </w:tc>
        <w:tc>
          <w:tcPr>
            <w:tcW w:type="dxa" w:w="4819"/>
          </w:tcPr>
          <w:p>
            <w:pPr>
              <w:spacing w:after="20" w:before="20" w:line="240" w:lineRule="auto"/>
            </w:pPr>
            <w:r/>
            <w:r>
              <w:rPr>
                <w:rFonts w:ascii="Arial" w:hAnsi="Arial" w:cs="Arial"/>
                <w:b w:val="0"/>
                <w:i w:val="0"/>
                <w:sz w:val="17"/>
              </w:rPr>
              <w:t>Toggle</w:t>
            </w:r>
          </w:p>
        </w:tc>
      </w:tr>
      <w:tr>
        <w:tc>
          <w:tcPr>
            <w:tcW w:type="dxa" w:w="4819"/>
          </w:tcPr>
          <w:p>
            <w:pPr>
              <w:spacing w:after="20" w:before="20" w:line="240" w:lineRule="auto"/>
            </w:pPr>
            <w:r/>
            <w:r>
              <w:rPr>
                <w:rFonts w:ascii="Arial" w:hAnsi="Arial" w:cs="Arial"/>
                <w:b w:val="0"/>
                <w:i w:val="0"/>
                <w:sz w:val="17"/>
              </w:rPr>
              <w:t>Biometric voiceprint (VoiceCommandButton)</w:t>
            </w:r>
          </w:p>
        </w:tc>
        <w:tc>
          <w:tcPr>
            <w:tcW w:type="dxa" w:w="4819"/>
          </w:tcPr>
          <w:p>
            <w:pPr>
              <w:spacing w:after="20" w:before="20" w:line="240" w:lineRule="auto"/>
            </w:pPr>
            <w:r/>
            <w:r>
              <w:rPr>
                <w:rFonts w:ascii="Arial" w:hAnsi="Arial" w:cs="Arial"/>
                <w:b w:val="0"/>
                <w:i w:val="0"/>
                <w:sz w:val="17"/>
              </w:rPr>
              <w:t>Toggle</w:t>
            </w:r>
          </w:p>
        </w:tc>
      </w:tr>
      <w:tr>
        <w:tc>
          <w:tcPr>
            <w:tcW w:type="dxa" w:w="4819"/>
          </w:tcPr>
          <w:p>
            <w:pPr>
              <w:spacing w:after="20" w:before="20" w:line="240" w:lineRule="auto"/>
            </w:pPr>
            <w:r/>
            <w:r>
              <w:rPr>
                <w:rFonts w:ascii="Arial" w:hAnsi="Arial" w:cs="Arial"/>
                <w:b w:val="0"/>
                <w:i w:val="0"/>
                <w:sz w:val="17"/>
              </w:rPr>
              <w:t>Location tracking (driver app)</w:t>
            </w:r>
          </w:p>
        </w:tc>
        <w:tc>
          <w:tcPr>
            <w:tcW w:type="dxa" w:w="4819"/>
          </w:tcPr>
          <w:p>
            <w:pPr>
              <w:spacing w:after="20" w:before="20" w:line="240" w:lineRule="auto"/>
            </w:pPr>
            <w:r/>
            <w:r>
              <w:rPr>
                <w:rFonts w:ascii="Arial" w:hAnsi="Arial" w:cs="Arial"/>
                <w:b w:val="0"/>
                <w:i w:val="0"/>
                <w:sz w:val="17"/>
              </w:rPr>
              <w:t>Toggle</w:t>
            </w:r>
          </w:p>
        </w:tc>
      </w:tr>
      <w:tr>
        <w:tc>
          <w:tcPr>
            <w:tcW w:type="dxa" w:w="4819"/>
          </w:tcPr>
          <w:p>
            <w:pPr>
              <w:spacing w:after="20" w:before="20" w:line="240" w:lineRule="auto"/>
            </w:pPr>
            <w:r/>
            <w:r>
              <w:rPr>
                <w:rFonts w:ascii="Arial" w:hAnsi="Arial" w:cs="Arial"/>
                <w:b w:val="0"/>
                <w:i w:val="0"/>
                <w:sz w:val="17"/>
              </w:rPr>
              <w:t>Trade Memory contribution (anonymised)</w:t>
            </w:r>
          </w:p>
        </w:tc>
        <w:tc>
          <w:tcPr>
            <w:tcW w:type="dxa" w:w="4819"/>
          </w:tcPr>
          <w:p>
            <w:pPr>
              <w:spacing w:after="20" w:before="20" w:line="240" w:lineRule="auto"/>
            </w:pPr>
            <w:r/>
            <w:r>
              <w:rPr>
                <w:rFonts w:ascii="Arial" w:hAnsi="Arial" w:cs="Arial"/>
                <w:b w:val="0"/>
                <w:i w:val="0"/>
                <w:sz w:val="17"/>
              </w:rPr>
              <w:t>Toggle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Consent is granular and versioned. Every consent record is immutable, Loom-hashed, carries the consent form version, IP, user agent, and device, and can be withdrawn at any time with the withdrawal timestamp recorded. Withdrawal of consent is effective immediately upon clicking save.</w:t>
      </w:r>
    </w:p>
    <w:p>
      <w:pPr>
        <w:spacing w:after="80" w:line="293" w:lineRule="auto"/>
        <w:jc w:val="left"/>
      </w:pPr>
      <w:r>
        <w:rPr>
          <w:rFonts w:ascii="Times New Roman" w:hAnsi="Times New Roman" w:cs="Times New Roman"/>
          <w:b w:val="0"/>
          <w:i w:val="0"/>
          <w:sz w:val="22"/>
        </w:rPr>
        <w:t>Consent registry database:</w:t>
      </w:r>
    </w:p>
    <w:p>
      <w:pPr>
        <w:spacing w:after="0" w:before="0" w:line="240" w:lineRule="auto"/>
        <w:ind w:left="57"/>
        <w:jc w:val="left"/>
        <w:shd w:val="clear" w:fill="F2F2F2"/>
      </w:pPr>
      <w:r>
        <w:rPr>
          <w:rFonts w:ascii="Consolas" w:hAnsi="Consolas" w:cs="Consolas"/>
          <w:b w:val="0"/>
          <w:i w:val="0"/>
          <w:sz w:val="15"/>
        </w:rPr>
        <w:t>-- Consent records (immutable, Loom-hashed)</w:t>
      </w:r>
    </w:p>
    <w:p>
      <w:pPr>
        <w:spacing w:after="0" w:before="0" w:line="240" w:lineRule="auto"/>
        <w:ind w:left="57"/>
        <w:jc w:val="left"/>
        <w:shd w:val="clear" w:fill="F2F2F2"/>
      </w:pPr>
      <w:r>
        <w:rPr>
          <w:rFonts w:ascii="Consolas" w:hAnsi="Consolas" w:cs="Consolas"/>
          <w:b w:val="0"/>
          <w:i w:val="0"/>
          <w:sz w:val="15"/>
        </w:rPr>
        <w:t>-- consent_records: canonical definition in Section 17.3;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Consent version control</w:t>
      </w:r>
    </w:p>
    <w:p>
      <w:pPr>
        <w:spacing w:after="0" w:before="0" w:line="240" w:lineRule="auto"/>
        <w:ind w:left="57"/>
        <w:jc w:val="left"/>
        <w:shd w:val="clear" w:fill="F2F2F2"/>
      </w:pPr>
      <w:r>
        <w:rPr>
          <w:rFonts w:ascii="Consolas" w:hAnsi="Consolas" w:cs="Consolas"/>
          <w:b w:val="0"/>
          <w:i w:val="0"/>
          <w:sz w:val="15"/>
        </w:rPr>
        <w:t>CREATE TABLE consent_versions (</w:t>
      </w:r>
    </w:p>
    <w:p>
      <w:pPr>
        <w:spacing w:after="0" w:before="0" w:line="240" w:lineRule="auto"/>
        <w:ind w:left="57"/>
        <w:jc w:val="left"/>
        <w:shd w:val="clear" w:fill="F2F2F2"/>
      </w:pPr>
      <w:r>
        <w:rPr>
          <w:rFonts w:ascii="Consolas" w:hAnsi="Consolas" w:cs="Consolas"/>
          <w:b w:val="0"/>
          <w:i w:val="0"/>
          <w:sz w:val="15"/>
        </w:rPr>
        <w:t xml:space="preserve">  version TEXT PRIMARY KEY,</w:t>
      </w:r>
    </w:p>
    <w:p>
      <w:pPr>
        <w:spacing w:after="0" w:before="0" w:line="240" w:lineRule="auto"/>
        <w:ind w:left="57"/>
        <w:jc w:val="left"/>
        <w:shd w:val="clear" w:fill="F2F2F2"/>
      </w:pPr>
      <w:r>
        <w:rPr>
          <w:rFonts w:ascii="Consolas" w:hAnsi="Consolas" w:cs="Consolas"/>
          <w:b w:val="0"/>
          <w:i w:val="0"/>
          <w:sz w:val="15"/>
        </w:rPr>
        <w:t xml:space="preserve">  purpose TEXT NOT NULL,</w:t>
      </w:r>
    </w:p>
    <w:p>
      <w:pPr>
        <w:spacing w:after="0" w:before="0" w:line="240" w:lineRule="auto"/>
        <w:ind w:left="57"/>
        <w:jc w:val="left"/>
        <w:shd w:val="clear" w:fill="F2F2F2"/>
      </w:pPr>
      <w:r>
        <w:rPr>
          <w:rFonts w:ascii="Consolas" w:hAnsi="Consolas" w:cs="Consolas"/>
          <w:b w:val="0"/>
          <w:i w:val="0"/>
          <w:sz w:val="15"/>
        </w:rPr>
        <w:t xml:space="preserve">  text_ar TEXT NOT NULL,</w:t>
      </w:r>
    </w:p>
    <w:p>
      <w:pPr>
        <w:spacing w:after="0" w:before="0" w:line="240" w:lineRule="auto"/>
        <w:ind w:left="57"/>
        <w:jc w:val="left"/>
        <w:shd w:val="clear" w:fill="F2F2F2"/>
      </w:pPr>
      <w:r>
        <w:rPr>
          <w:rFonts w:ascii="Consolas" w:hAnsi="Consolas" w:cs="Consolas"/>
          <w:b w:val="0"/>
          <w:i w:val="0"/>
          <w:sz w:val="15"/>
        </w:rPr>
        <w:t xml:space="preserve">  text_en TEXT NOT NULL,</w:t>
      </w:r>
    </w:p>
    <w:p>
      <w:pPr>
        <w:spacing w:after="0" w:before="0" w:line="240" w:lineRule="auto"/>
        <w:ind w:left="57"/>
        <w:jc w:val="left"/>
        <w:shd w:val="clear" w:fill="F2F2F2"/>
      </w:pPr>
      <w:r>
        <w:rPr>
          <w:rFonts w:ascii="Consolas" w:hAnsi="Consolas" w:cs="Consolas"/>
          <w:b w:val="0"/>
          <w:i w:val="0"/>
          <w:sz w:val="15"/>
        </w:rPr>
        <w:t xml:space="preserve">  effective_date DATE NOT NULL,</w:t>
      </w:r>
    </w:p>
    <w:p>
      <w:pPr>
        <w:spacing w:after="0" w:before="0" w:line="240" w:lineRule="auto"/>
        <w:ind w:left="57"/>
        <w:jc w:val="left"/>
        <w:shd w:val="clear" w:fill="F2F2F2"/>
      </w:pPr>
      <w:r>
        <w:rPr>
          <w:rFonts w:ascii="Consolas" w:hAnsi="Consolas" w:cs="Consolas"/>
          <w:b w:val="0"/>
          <w:i w:val="0"/>
          <w:sz w:val="15"/>
        </w:rPr>
        <w:t xml:space="preserve">  superseded_by_version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Privacy Dashboard (Company Admin → Privacy): the dashboard presents the consent management toggles for each purpose (contract performance and legal compliance shown as required; the seven optional purposes as toggles), the Data Subject Rights actions (Download My Data, Request Deletion, Request Restriction), the data export history (e.g., full export JSON, trade data export CSV, with download links), the last consent update timestamp, and Save Changes / Reset to Defaults. One-click guarantee: each toggle, download, or request is a single click.</w:t>
      </w:r>
    </w:p>
    <w:p>
      <w:pPr>
        <w:keepNext/>
        <w:spacing w:before="180" w:after="80"/>
        <w:outlineLvl w:val="2"/>
      </w:pPr>
      <w:r>
        <w:rPr>
          <w:rFonts w:ascii="Arial" w:hAnsi="Arial" w:cs="Arial"/>
          <w:b/>
          <w:i w:val="0"/>
          <w:color w:val="333333"/>
          <w:sz w:val="23"/>
        </w:rPr>
        <w:t>21.9.5 Cross-Border Data Transfer Controls (PDPL Article 14)</w:t>
      </w:r>
    </w:p>
    <w:p>
      <w:pPr>
        <w:spacing w:after="80" w:line="293" w:lineRule="auto"/>
        <w:jc w:val="left"/>
      </w:pPr>
      <w:r>
        <w:rPr>
          <w:rFonts w:ascii="Times New Roman" w:hAnsi="Times New Roman" w:cs="Times New Roman"/>
          <w:b w:val="0"/>
          <w:i w:val="0"/>
          <w:sz w:val="22"/>
        </w:rPr>
        <w:t>Legal framework: PDPL Article 14 restricts the transfer of personal data outside Egypt. Transfers are only permitted if an adequacy decision by the Egyptian government exists (none issued yet), or appropriate safeguards are in place (Standard Contractual Clauses (SCCs), binding corporate rules, derogations), and the data subject has given explicit consent. Cross-border transfers follow the jurisdiction matrix and SCCs where applicable.</w:t>
      </w:r>
    </w:p>
    <w:p>
      <w:pPr>
        <w:spacing w:after="80" w:line="293" w:lineRule="auto"/>
        <w:jc w:val="left"/>
      </w:pPr>
      <w:r>
        <w:rPr>
          <w:rFonts w:ascii="Times New Roman" w:hAnsi="Times New Roman" w:cs="Times New Roman"/>
          <w:b w:val="0"/>
          <w:i w:val="0"/>
          <w:sz w:val="22"/>
        </w:rPr>
        <w:t>Standard Contractual Clauses (SCCs): the platform automatically generates SCCs (based on EU 2021/914) when transferring data to non-adequate jurisdictions:</w:t>
      </w:r>
    </w:p>
    <w:p>
      <w:pPr>
        <w:spacing w:after="80" w:line="293" w:lineRule="auto"/>
        <w:ind w:left="283"/>
        <w:jc w:val="left"/>
      </w:pPr>
      <w:r>
        <w:rPr>
          <w:rFonts w:ascii="Times New Roman" w:hAnsi="Times New Roman" w:cs="Times New Roman"/>
          <w:b w:val="0"/>
          <w:i w:val="0"/>
          <w:sz w:val="22"/>
        </w:rPr>
        <w:t>- Controller-to-Controller (Module 1) — for trade data between Egyptian and foreign counterparties.</w:t>
      </w:r>
    </w:p>
    <w:p>
      <w:pPr>
        <w:spacing w:after="80" w:line="293" w:lineRule="auto"/>
        <w:ind w:left="283"/>
        <w:jc w:val="left"/>
      </w:pPr>
      <w:r>
        <w:rPr>
          <w:rFonts w:ascii="Times New Roman" w:hAnsi="Times New Roman" w:cs="Times New Roman"/>
          <w:b w:val="0"/>
          <w:i w:val="0"/>
          <w:sz w:val="22"/>
        </w:rPr>
        <w:t>- Controller-to-Processor (Module 2) — for processing by foreign banks or technology partners (none currently).</w:t>
      </w:r>
    </w:p>
    <w:p>
      <w:pPr>
        <w:spacing w:after="80" w:line="293" w:lineRule="auto"/>
        <w:ind w:left="283"/>
        <w:jc w:val="left"/>
      </w:pPr>
      <w:r>
        <w:rPr>
          <w:rFonts w:ascii="Times New Roman" w:hAnsi="Times New Roman" w:cs="Times New Roman"/>
          <w:b w:val="0"/>
          <w:i w:val="0"/>
          <w:sz w:val="22"/>
        </w:rPr>
        <w:t>- Processor-to-Processor (Module 3) — not applicable.</w:t>
      </w:r>
    </w:p>
    <w:p>
      <w:pPr>
        <w:spacing w:after="80" w:line="293" w:lineRule="auto"/>
        <w:jc w:val="left"/>
      </w:pPr>
      <w:r>
        <w:rPr>
          <w:rFonts w:ascii="Times New Roman" w:hAnsi="Times New Roman" w:cs="Times New Roman"/>
          <w:b w:val="0"/>
          <w:i w:val="0"/>
          <w:sz w:val="22"/>
        </w:rPr>
        <w:t>SCC generation workflow: the tenant initiates a cross-border trade (or Trust Passport sharing, or financing). The system checks whether the destination jurisdiction has an adequacy decision (updated by RIA). If not, the system auto-generates SCCs with the parties (exporter and importer GTIDs), data categories (trade data, financial data, etc.), purpose (trade execution, financing, etc.), and duration (until contract completion + 5 years). The tenant reviews and signs the SCCs via ZITADEL passkey (one click). SCCs are stored in documents with a Loom hash.</w:t>
      </w:r>
    </w:p>
    <w:p>
      <w:pPr>
        <w:spacing w:after="80" w:line="293" w:lineRule="auto"/>
        <w:jc w:val="left"/>
      </w:pPr>
      <w:r>
        <w:rPr>
          <w:rFonts w:ascii="Times New Roman" w:hAnsi="Times New Roman" w:cs="Times New Roman"/>
          <w:b w:val="0"/>
          <w:i w:val="0"/>
          <w:sz w:val="22"/>
        </w:rPr>
        <w:t>Cross-border data transfer gate (Governor):</w:t>
      </w:r>
    </w:p>
    <w:p>
      <w:pPr>
        <w:spacing w:after="0" w:before="0" w:line="240" w:lineRule="auto"/>
        <w:ind w:left="57"/>
        <w:jc w:val="left"/>
        <w:shd w:val="clear" w:fill="F2F2F2"/>
      </w:pPr>
      <w:r>
        <w:rPr>
          <w:rFonts w:ascii="Consolas" w:hAnsi="Consolas" w:cs="Consolas"/>
          <w:b w:val="0"/>
          <w:i w:val="0"/>
          <w:sz w:val="15"/>
        </w:rPr>
        <w:t># policies/cross_border.rego</w:t>
      </w:r>
    </w:p>
    <w:p>
      <w:pPr>
        <w:spacing w:after="0" w:before="0" w:line="240" w:lineRule="auto"/>
        <w:ind w:left="57"/>
        <w:jc w:val="left"/>
        <w:shd w:val="clear" w:fill="F2F2F2"/>
      </w:pPr>
      <w:r>
        <w:rPr>
          <w:rFonts w:ascii="Consolas" w:hAnsi="Consolas" w:cs="Consolas"/>
          <w:b w:val="0"/>
          <w:i w:val="0"/>
          <w:sz w:val="15"/>
        </w:rPr>
        <w:t>package sgtx.cross_border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default allow = false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 Destination has adequacy decision</w:t>
      </w:r>
    </w:p>
    <w:p>
      <w:pPr>
        <w:spacing w:after="0" w:before="0" w:line="240" w:lineRule="auto"/>
        <w:ind w:left="57"/>
        <w:jc w:val="left"/>
        <w:shd w:val="clear" w:fill="F2F2F2"/>
      </w:pPr>
      <w:r>
        <w:rPr>
          <w:rFonts w:ascii="Consolas" w:hAnsi="Consolas" w:cs="Consolas"/>
          <w:b w:val="0"/>
          <w:i w:val="0"/>
          <w:sz w:val="15"/>
        </w:rPr>
        <w:t xml:space="preserve">  adequacy[destination_country] == true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allow {</w:t>
      </w:r>
    </w:p>
    <w:p>
      <w:pPr>
        <w:spacing w:after="0" w:before="0" w:line="240" w:lineRule="auto"/>
        <w:ind w:left="57"/>
        <w:jc w:val="left"/>
        <w:shd w:val="clear" w:fill="F2F2F2"/>
      </w:pPr>
      <w:r>
        <w:rPr>
          <w:rFonts w:ascii="Consolas" w:hAnsi="Consolas" w:cs="Consolas"/>
          <w:b w:val="0"/>
          <w:i w:val="0"/>
          <w:sz w:val="15"/>
        </w:rPr>
        <w:t xml:space="preserve">  # Explicit consent for cross-border transfer</w:t>
      </w:r>
    </w:p>
    <w:p>
      <w:pPr>
        <w:spacing w:after="0" w:before="0" w:line="240" w:lineRule="auto"/>
        <w:ind w:left="57"/>
        <w:jc w:val="left"/>
        <w:shd w:val="clear" w:fill="F2F2F2"/>
      </w:pPr>
      <w:r>
        <w:rPr>
          <w:rFonts w:ascii="Consolas" w:hAnsi="Consolas" w:cs="Consolas"/>
          <w:b w:val="0"/>
          <w:i w:val="0"/>
          <w:sz w:val="15"/>
        </w:rPr>
        <w:t xml:space="preserve">  has_consent(input.actor_gtid, "cross_border")</w:t>
      </w:r>
    </w:p>
    <w:p>
      <w:pPr>
        <w:spacing w:after="0" w:before="0" w:line="240" w:lineRule="auto"/>
        <w:ind w:left="57"/>
        <w:jc w:val="left"/>
        <w:shd w:val="clear" w:fill="F2F2F2"/>
      </w:pPr>
      <w:r>
        <w:rPr>
          <w:rFonts w:ascii="Consolas" w:hAnsi="Consolas" w:cs="Consolas"/>
          <w:b w:val="0"/>
          <w:i w:val="0"/>
          <w:sz w:val="15"/>
        </w:rPr>
        <w:t xml:space="preserve">  # And SCCs are signed (if no adequacy)</w:t>
      </w:r>
    </w:p>
    <w:p>
      <w:pPr>
        <w:spacing w:after="0" w:before="0" w:line="240" w:lineRule="auto"/>
        <w:ind w:left="57"/>
        <w:jc w:val="left"/>
        <w:shd w:val="clear" w:fill="F2F2F2"/>
      </w:pPr>
      <w:r>
        <w:rPr>
          <w:rFonts w:ascii="Consolas" w:hAnsi="Consolas" w:cs="Consolas"/>
          <w:b w:val="0"/>
          <w:i w:val="0"/>
          <w:sz w:val="15"/>
        </w:rPr>
        <w:t xml:space="preserve">  has_signed_sccs(input.actor_gtid, input.destination_country)</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deny_reason = "Cross-border data transfer requires explicit consent and SCCs." {</w:t>
      </w:r>
    </w:p>
    <w:p>
      <w:pPr>
        <w:spacing w:after="0" w:before="0" w:line="240" w:lineRule="auto"/>
        <w:ind w:left="57"/>
        <w:jc w:val="left"/>
        <w:shd w:val="clear" w:fill="F2F2F2"/>
      </w:pPr>
      <w:r>
        <w:rPr>
          <w:rFonts w:ascii="Consolas" w:hAnsi="Consolas" w:cs="Consolas"/>
          <w:b w:val="0"/>
          <w:i w:val="0"/>
          <w:sz w:val="15"/>
        </w:rPr>
        <w:t xml:space="preserve">  not allow</w:t>
      </w:r>
    </w:p>
    <w:p>
      <w:pPr>
        <w:spacing w:after="0" w:before="0" w:line="240" w:lineRule="auto"/>
        <w:ind w:left="57"/>
        <w:jc w:val="left"/>
        <w:shd w:val="clear" w:fill="F2F2F2"/>
      </w:pPr>
      <w:r>
        <w:rPr>
          <w:rFonts w:ascii="Consolas" w:hAnsi="Consolas" w:cs="Consolas"/>
          <w:b w:val="0"/>
          <w:i w:val="0"/>
          <w:sz w:val="15"/>
        </w:rPr>
        <w:t xml:space="preserve">  input.action in ["trade.initiate", "trust.share", "financing.request"]</w:t>
      </w:r>
    </w:p>
    <w:p>
      <w:pPr>
        <w:spacing w:after="0" w:before="0" w:line="240" w:lineRule="auto"/>
        <w:ind w:left="57"/>
        <w:jc w:val="left"/>
        <w:shd w:val="clear" w:fill="F2F2F2"/>
      </w:pPr>
      <w:r>
        <w:rPr>
          <w:rFonts w:ascii="Consolas" w:hAnsi="Consolas" w:cs="Consolas"/>
          <w:b w:val="0"/>
          <w:i w:val="0"/>
          <w:sz w:val="15"/>
        </w:rPr>
        <w:t xml:space="preserve">  input.cross_border == true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if a transfer is blocked, a Decision Panel appears: "This trade involves cross-border data transfer. Please review and sign SCCs to proceed." [Sign SCCs] (1 click).</w:t>
      </w:r>
    </w:p>
    <w:p>
      <w:pPr>
        <w:keepNext/>
        <w:spacing w:before="180" w:after="80"/>
        <w:outlineLvl w:val="2"/>
      </w:pPr>
      <w:r>
        <w:rPr>
          <w:rFonts w:ascii="Arial" w:hAnsi="Arial" w:cs="Arial"/>
          <w:b/>
          <w:i w:val="0"/>
          <w:color w:val="333333"/>
          <w:sz w:val="23"/>
        </w:rPr>
        <w:t>21.9.6 Data Protection Officer (DPO)</w:t>
      </w:r>
    </w:p>
    <w:p>
      <w:pPr>
        <w:spacing w:after="80" w:line="293" w:lineRule="auto"/>
        <w:jc w:val="left"/>
      </w:pPr>
      <w:r>
        <w:rPr>
          <w:rFonts w:ascii="Times New Roman" w:hAnsi="Times New Roman" w:cs="Times New Roman"/>
          <w:b w:val="0"/>
          <w:i w:val="0"/>
          <w:sz w:val="22"/>
        </w:rPr>
        <w:t>The platform designates a DPO and registers with the Egyptian Data Protection Centre. DPO contact: email dpo@sgtx.io; phone (Egypt) +20 2 1234 5678; address SGTX OS Egypt, Cairo, Egypt.</w:t>
      </w:r>
    </w:p>
    <w:p>
      <w:pPr>
        <w:spacing w:after="80" w:line="293" w:lineRule="auto"/>
        <w:jc w:val="left"/>
      </w:pPr>
      <w:r>
        <w:rPr>
          <w:rFonts w:ascii="Times New Roman" w:hAnsi="Times New Roman" w:cs="Times New Roman"/>
          <w:b w:val="0"/>
          <w:i w:val="0"/>
          <w:sz w:val="22"/>
        </w:rPr>
        <w:t>DPO responsibilities: DSR review and adjudication, DPIA approval, breach notification to the DPC, compliance reporting, and maintenance of records of processing activities.</w:t>
      </w:r>
    </w:p>
    <w:p>
      <w:pPr>
        <w:spacing w:after="80" w:line="293" w:lineRule="auto"/>
        <w:jc w:val="left"/>
      </w:pPr>
      <w:r>
        <w:rPr>
          <w:rFonts w:ascii="Times New Roman" w:hAnsi="Times New Roman" w:cs="Times New Roman"/>
          <w:b w:val="0"/>
          <w:i w:val="0"/>
          <w:sz w:val="22"/>
        </w:rPr>
        <w:t>DPO interface (Admin Portal): the DPO dashboard presents the Data Subject Requests queue (request ID, type, user, status, days open, Review/Approve/Reject actions), the Data Protection Impact Assessments register (processing activity, status, last review, action — e.g., VoiceCommand biometrics Approved, cross-border trade data to EU In progress, AI inference (Groq) anonymised Not required), and the breach notifications log for the last 12 months (incident ID, type, affected, status, DPC notified, action), plus a "Generate PDPL Compliance Report" button. One-click: the DPO reviews and approves/rejects DSRs, DPIAs, and breach notifications with one click each; the compliance report is generated with one click.</w:t>
      </w:r>
    </w:p>
    <w:p>
      <w:pPr>
        <w:keepNext/>
        <w:spacing w:before="180" w:after="80"/>
        <w:outlineLvl w:val="2"/>
      </w:pPr>
      <w:r>
        <w:rPr>
          <w:rFonts w:ascii="Arial" w:hAnsi="Arial" w:cs="Arial"/>
          <w:b/>
          <w:i w:val="0"/>
          <w:color w:val="333333"/>
          <w:sz w:val="23"/>
        </w:rPr>
        <w:t>21.9.7 Privacy Notice</w:t>
      </w:r>
    </w:p>
    <w:p>
      <w:pPr>
        <w:spacing w:after="80" w:line="293" w:lineRule="auto"/>
        <w:jc w:val="left"/>
      </w:pPr>
      <w:r>
        <w:rPr>
          <w:rFonts w:ascii="Times New Roman" w:hAnsi="Times New Roman" w:cs="Times New Roman"/>
          <w:b w:val="0"/>
          <w:i w:val="0"/>
          <w:sz w:val="22"/>
        </w:rPr>
        <w:t>The Privacy Notice includes all sections required by PDPL Article 8 (identity of the controller, purposes of processing, data categories, retention periods, data subject rights, cross-border transfer disclosures, and DPO contact). The notice is displayed during onboarding (Step 3) and is available anytime via the footer. User acceptance is recorded with the version number.</w:t>
      </w:r>
    </w:p>
    <w:p>
      <w:pPr>
        <w:spacing w:after="80" w:line="293" w:lineRule="auto"/>
        <w:jc w:val="left"/>
      </w:pPr>
      <w:r>
        <w:rPr>
          <w:rFonts w:ascii="Times New Roman" w:hAnsi="Times New Roman" w:cs="Times New Roman"/>
          <w:b w:val="0"/>
          <w:i w:val="0"/>
          <w:sz w:val="22"/>
        </w:rPr>
        <w:t>AI assistance (A1, Groq): a plain-language summary is generated in the user's preferred language: "SGTX collects your personal data to execute your trades, comply with legal obligations (tax, customs, AML), and, with your consent, to improve the platform. Your data is not shared with unauthorised parties. You can access, correct, or delete your data at any time."</w:t>
      </w:r>
    </w:p>
    <w:p>
      <w:pPr>
        <w:keepNext/>
        <w:spacing w:before="180" w:after="80"/>
        <w:outlineLvl w:val="2"/>
      </w:pPr>
      <w:r>
        <w:rPr>
          <w:rFonts w:ascii="Arial" w:hAnsi="Arial" w:cs="Arial"/>
          <w:b/>
          <w:i w:val="0"/>
          <w:color w:val="333333"/>
          <w:sz w:val="23"/>
        </w:rPr>
        <w:t>21.9.8 Data Retention Schedule (PDPL Articles 10–12)</w:t>
      </w:r>
    </w:p>
    <w:p>
      <w:pPr>
        <w:spacing w:after="80" w:line="293" w:lineRule="auto"/>
        <w:jc w:val="left"/>
      </w:pPr>
      <w:r>
        <w:rPr>
          <w:rFonts w:ascii="Times New Roman" w:hAnsi="Times New Roman" w:cs="Times New Roman"/>
          <w:b w:val="0"/>
          <w:i w:val="0"/>
          <w:sz w:val="22"/>
        </w:rPr>
        <w:t>Retention periods: consent records are deleted 1 year after withdrawal; user accounts are deleted 5 years after closure (lifecycle_state = 'ARCHIVED'); audit logs are deleted after 7 years, except suspicious activity reports (SARs), which are retained. The immutable audit log is preserved as a legal-record exception (Recovery ≠ erasure).</w:t>
      </w:r>
    </w:p>
    <w:p>
      <w:pPr>
        <w:spacing w:after="80" w:line="293" w:lineRule="auto"/>
        <w:jc w:val="left"/>
      </w:pPr>
      <w:r>
        <w:rPr>
          <w:rFonts w:ascii="Times New Roman" w:hAnsi="Times New Roman" w:cs="Times New Roman"/>
          <w:b w:val="0"/>
          <w:i w:val="0"/>
          <w:sz w:val="22"/>
        </w:rPr>
        <w:t>Automated deletion job:</w:t>
      </w:r>
    </w:p>
    <w:p>
      <w:pPr>
        <w:spacing w:after="0" w:before="0" w:line="240" w:lineRule="auto"/>
        <w:ind w:left="57"/>
        <w:jc w:val="left"/>
        <w:shd w:val="clear" w:fill="F2F2F2"/>
      </w:pPr>
      <w:r>
        <w:rPr>
          <w:rFonts w:ascii="Consolas" w:hAnsi="Consolas" w:cs="Consolas"/>
          <w:b w:val="0"/>
          <w:i w:val="0"/>
          <w:sz w:val="15"/>
        </w:rPr>
        <w:t>-- Daily deletion job (via data-retention-service, Rust)</w:t>
      </w:r>
    </w:p>
    <w:p>
      <w:pPr>
        <w:spacing w:after="0" w:before="0" w:line="240" w:lineRule="auto"/>
        <w:ind w:left="57"/>
        <w:jc w:val="left"/>
        <w:shd w:val="clear" w:fill="F2F2F2"/>
      </w:pPr>
      <w:r>
        <w:rPr>
          <w:rFonts w:ascii="Consolas" w:hAnsi="Consolas" w:cs="Consolas"/>
          <w:b w:val="0"/>
          <w:i w:val="0"/>
          <w:sz w:val="15"/>
        </w:rPr>
        <w:t>-- Delete consent records &gt;1 year after withdrawal</w:t>
      </w:r>
    </w:p>
    <w:p>
      <w:pPr>
        <w:spacing w:after="0" w:before="0" w:line="240" w:lineRule="auto"/>
        <w:ind w:left="57"/>
        <w:jc w:val="left"/>
        <w:shd w:val="clear" w:fill="F2F2F2"/>
      </w:pPr>
      <w:r>
        <w:rPr>
          <w:rFonts w:ascii="Consolas" w:hAnsi="Consolas" w:cs="Consolas"/>
          <w:b w:val="0"/>
          <w:i w:val="0"/>
          <w:sz w:val="15"/>
        </w:rPr>
        <w:t>DELETE FROM consent_records</w:t>
      </w:r>
    </w:p>
    <w:p>
      <w:pPr>
        <w:spacing w:after="0" w:before="0" w:line="240" w:lineRule="auto"/>
        <w:ind w:left="57"/>
        <w:jc w:val="left"/>
        <w:shd w:val="clear" w:fill="F2F2F2"/>
      </w:pPr>
      <w:r>
        <w:rPr>
          <w:rFonts w:ascii="Consolas" w:hAnsi="Consolas" w:cs="Consolas"/>
          <w:b w:val="0"/>
          <w:i w:val="0"/>
          <w:sz w:val="15"/>
        </w:rPr>
        <w:t>WHERE withdrawal_timestamp IS NOT NULL</w:t>
      </w:r>
    </w:p>
    <w:p>
      <w:pPr>
        <w:spacing w:after="0" w:before="0" w:line="240" w:lineRule="auto"/>
        <w:ind w:left="57"/>
        <w:jc w:val="left"/>
        <w:shd w:val="clear" w:fill="F2F2F2"/>
      </w:pPr>
      <w:r>
        <w:rPr>
          <w:rFonts w:ascii="Consolas" w:hAnsi="Consolas" w:cs="Consolas"/>
          <w:b w:val="0"/>
          <w:i w:val="0"/>
          <w:sz w:val="15"/>
        </w:rPr>
        <w:t xml:space="preserve">  AND withdrawal_timestamp &lt; NOW() - INTERVAL '1 year';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Delete user accounts &gt;5 years after closure</w:t>
      </w:r>
    </w:p>
    <w:p>
      <w:pPr>
        <w:spacing w:after="0" w:before="0" w:line="240" w:lineRule="auto"/>
        <w:ind w:left="57"/>
        <w:jc w:val="left"/>
        <w:shd w:val="clear" w:fill="F2F2F2"/>
      </w:pPr>
      <w:r>
        <w:rPr>
          <w:rFonts w:ascii="Consolas" w:hAnsi="Consolas" w:cs="Consolas"/>
          <w:b w:val="0"/>
          <w:i w:val="0"/>
          <w:sz w:val="15"/>
        </w:rPr>
        <w:t>DELETE FROM tenants</w:t>
      </w:r>
    </w:p>
    <w:p>
      <w:pPr>
        <w:spacing w:after="0" w:before="0" w:line="240" w:lineRule="auto"/>
        <w:ind w:left="57"/>
        <w:jc w:val="left"/>
        <w:shd w:val="clear" w:fill="F2F2F2"/>
      </w:pPr>
      <w:r>
        <w:rPr>
          <w:rFonts w:ascii="Consolas" w:hAnsi="Consolas" w:cs="Consolas"/>
          <w:b w:val="0"/>
          <w:i w:val="0"/>
          <w:sz w:val="15"/>
        </w:rPr>
        <w:t>WHERE lifecycle_state = 'ARCHIVED'</w:t>
      </w:r>
    </w:p>
    <w:p>
      <w:pPr>
        <w:spacing w:after="0" w:before="0" w:line="240" w:lineRule="auto"/>
        <w:ind w:left="57"/>
        <w:jc w:val="left"/>
        <w:shd w:val="clear" w:fill="F2F2F2"/>
      </w:pPr>
      <w:r>
        <w:rPr>
          <w:rFonts w:ascii="Consolas" w:hAnsi="Consolas" w:cs="Consolas"/>
          <w:b w:val="0"/>
          <w:i w:val="0"/>
          <w:sz w:val="15"/>
        </w:rPr>
        <w:t xml:space="preserve">  AND archived_at &lt; NOW() - INTERVAL '5 years';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Delete audit logs &gt;7 years (except SARs)</w:t>
      </w:r>
    </w:p>
    <w:p>
      <w:pPr>
        <w:spacing w:after="0" w:before="0" w:line="240" w:lineRule="auto"/>
        <w:ind w:left="57"/>
        <w:jc w:val="left"/>
        <w:shd w:val="clear" w:fill="F2F2F2"/>
      </w:pPr>
      <w:r>
        <w:rPr>
          <w:rFonts w:ascii="Consolas" w:hAnsi="Consolas" w:cs="Consolas"/>
          <w:b w:val="0"/>
          <w:i w:val="0"/>
          <w:sz w:val="15"/>
        </w:rPr>
        <w:t>DELETE FROM audit_log</w:t>
      </w:r>
    </w:p>
    <w:p>
      <w:pPr>
        <w:spacing w:after="0" w:before="0" w:line="240" w:lineRule="auto"/>
        <w:ind w:left="57"/>
        <w:jc w:val="left"/>
        <w:shd w:val="clear" w:fill="F2F2F2"/>
      </w:pPr>
      <w:r>
        <w:rPr>
          <w:rFonts w:ascii="Consolas" w:hAnsi="Consolas" w:cs="Consolas"/>
          <w:b w:val="0"/>
          <w:i w:val="0"/>
          <w:sz w:val="15"/>
        </w:rPr>
        <w:t>WHERE changed_at &lt; NOW() - INTERVAL '7 years'</w:t>
      </w:r>
    </w:p>
    <w:p>
      <w:pPr>
        <w:spacing w:after="0" w:before="0" w:line="240" w:lineRule="auto"/>
        <w:ind w:left="57"/>
        <w:jc w:val="left"/>
        <w:shd w:val="clear" w:fill="F2F2F2"/>
      </w:pPr>
      <w:r>
        <w:rPr>
          <w:rFonts w:ascii="Consolas" w:hAnsi="Consolas" w:cs="Consolas"/>
          <w:b w:val="0"/>
          <w:i w:val="0"/>
          <w:sz w:val="15"/>
        </w:rPr>
        <w:t xml:space="preserve">  AND record_id NOT IN (SELECT id FROM suspicious_activity_reports);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Governance: deletion is logged in audit_log with action = 'AUTOMATIC_DELETION', and a Loom hash is created for each deletion batch.</w:t>
      </w:r>
    </w:p>
    <w:p>
      <w:pPr>
        <w:keepNext/>
        <w:spacing w:before="180" w:after="80"/>
        <w:outlineLvl w:val="2"/>
      </w:pPr>
      <w:r>
        <w:rPr>
          <w:rFonts w:ascii="Arial" w:hAnsi="Arial" w:cs="Arial"/>
          <w:b/>
          <w:i w:val="0"/>
          <w:color w:val="333333"/>
          <w:sz w:val="23"/>
        </w:rPr>
        <w:t>21.9.9 Breach Notification Procedures (PDPL Article 20)</w:t>
      </w:r>
    </w:p>
    <w:p>
      <w:pPr>
        <w:spacing w:after="80" w:line="293" w:lineRule="auto"/>
        <w:jc w:val="left"/>
      </w:pPr>
      <w:r>
        <w:rPr>
          <w:rFonts w:ascii="Times New Roman" w:hAnsi="Times New Roman" w:cs="Times New Roman"/>
          <w:b w:val="0"/>
          <w:i w:val="0"/>
          <w:sz w:val="22"/>
        </w:rPr>
        <w:t>Breach detection (A2 monitoring): security events are continuously monitored; a suspected breach creates an incident in the incidents table with category = 'DATA_BREACH'.</w:t>
      </w:r>
    </w:p>
    <w:p>
      <w:pPr>
        <w:spacing w:after="80" w:line="293" w:lineRule="auto"/>
        <w:jc w:val="left"/>
      </w:pPr>
      <w:r>
        <w:rPr>
          <w:rFonts w:ascii="Times New Roman" w:hAnsi="Times New Roman" w:cs="Times New Roman"/>
          <w:b w:val="0"/>
          <w:i w:val="0"/>
          <w:sz w:val="22"/>
        </w:rPr>
        <w:t>Automated breach notification flow:</w:t>
      </w:r>
    </w:p>
    <w:p>
      <w:pPr>
        <w:spacing w:after="80" w:line="293" w:lineRule="auto"/>
        <w:ind w:left="283"/>
        <w:jc w:val="left"/>
      </w:pPr>
      <w:r>
        <w:rPr>
          <w:rFonts w:ascii="Times New Roman" w:hAnsi="Times New Roman" w:cs="Times New Roman"/>
          <w:b w:val="0"/>
          <w:i w:val="0"/>
          <w:sz w:val="22"/>
        </w:rPr>
        <w:t>- Step 1: Detection — incident created in the incidents table with category = 'DATA_BREACH'.</w:t>
      </w:r>
    </w:p>
    <w:p>
      <w:pPr>
        <w:spacing w:after="80" w:line="293" w:lineRule="auto"/>
        <w:ind w:left="283"/>
        <w:jc w:val="left"/>
      </w:pPr>
      <w:r>
        <w:rPr>
          <w:rFonts w:ascii="Times New Roman" w:hAnsi="Times New Roman" w:cs="Times New Roman"/>
          <w:b w:val="0"/>
          <w:i w:val="0"/>
          <w:sz w:val="22"/>
        </w:rPr>
        <w:t>- Step 2: Containment — Governor blocks affected services.</w:t>
      </w:r>
    </w:p>
    <w:p>
      <w:pPr>
        <w:spacing w:after="80" w:line="293" w:lineRule="auto"/>
        <w:ind w:left="283"/>
        <w:jc w:val="left"/>
      </w:pPr>
      <w:r>
        <w:rPr>
          <w:rFonts w:ascii="Times New Roman" w:hAnsi="Times New Roman" w:cs="Times New Roman"/>
          <w:b w:val="0"/>
          <w:i w:val="0"/>
          <w:sz w:val="22"/>
        </w:rPr>
        <w:t>- Step 3: Assessment — the A2 agent assesses severity (low/medium/high/critical).</w:t>
      </w:r>
    </w:p>
    <w:p>
      <w:pPr>
        <w:spacing w:after="80" w:line="293" w:lineRule="auto"/>
        <w:ind w:left="283"/>
        <w:jc w:val="left"/>
      </w:pPr>
      <w:r>
        <w:rPr>
          <w:rFonts w:ascii="Times New Roman" w:hAnsi="Times New Roman" w:cs="Times New Roman"/>
          <w:b w:val="0"/>
          <w:i w:val="0"/>
          <w:sz w:val="22"/>
        </w:rPr>
        <w:t>- Step 4: DPO notification — email + Smart Inbox to the DPO within 1 hour.</w:t>
      </w:r>
    </w:p>
    <w:p>
      <w:pPr>
        <w:spacing w:after="80" w:line="293" w:lineRule="auto"/>
        <w:ind w:left="283"/>
        <w:jc w:val="left"/>
      </w:pPr>
      <w:r>
        <w:rPr>
          <w:rFonts w:ascii="Times New Roman" w:hAnsi="Times New Roman" w:cs="Times New Roman"/>
          <w:b w:val="0"/>
          <w:i w:val="0"/>
          <w:sz w:val="22"/>
        </w:rPr>
        <w:t>- Step 5: DPC notification — the system pre-fills the DPC breach notification form (Groq).</w:t>
      </w:r>
    </w:p>
    <w:p>
      <w:pPr>
        <w:spacing w:after="80" w:line="293" w:lineRule="auto"/>
        <w:ind w:left="283"/>
        <w:jc w:val="left"/>
      </w:pPr>
      <w:r>
        <w:rPr>
          <w:rFonts w:ascii="Times New Roman" w:hAnsi="Times New Roman" w:cs="Times New Roman"/>
          <w:b w:val="0"/>
          <w:i w:val="0"/>
          <w:sz w:val="22"/>
        </w:rPr>
        <w:t>- Step 6: the DPO reviews and submits to the DPC.</w:t>
      </w:r>
    </w:p>
    <w:p>
      <w:pPr>
        <w:spacing w:after="80" w:line="293" w:lineRule="auto"/>
        <w:ind w:left="283"/>
        <w:jc w:val="left"/>
      </w:pPr>
      <w:r>
        <w:rPr>
          <w:rFonts w:ascii="Times New Roman" w:hAnsi="Times New Roman" w:cs="Times New Roman"/>
          <w:b w:val="0"/>
          <w:i w:val="0"/>
          <w:sz w:val="22"/>
        </w:rPr>
        <w:t>- Step 7: user notification (if high risk) — batch email to affected users.</w:t>
      </w:r>
    </w:p>
    <w:p>
      <w:pPr>
        <w:spacing w:after="80" w:line="293" w:lineRule="auto"/>
        <w:jc w:val="left"/>
      </w:pPr>
      <w:r>
        <w:rPr>
          <w:rFonts w:ascii="Times New Roman" w:hAnsi="Times New Roman" w:cs="Times New Roman"/>
          <w:b w:val="0"/>
          <w:i w:val="0"/>
          <w:sz w:val="22"/>
        </w:rPr>
        <w:t>Breach notification template (Groq-generated). Example: DPC Breach Notification — SGTX OS Egypt. Incident ID: INC-2026-001. Date of detection: 2026-06-15 14:30 UTC. Date of notification: 2026-06-15 15:45 UTC. Description: a data breach was detected involving unauthorised access to the audit log table for a 10-minute window between 14:20 and 14:30 UTC. The affected data included audit log entries for USTN SGTX-EG-001 (trade execution). No personal data was exfiltrated. The breach was contained by 14:40 UTC. Affected data subjects: 1 (the trader involved in USTN SGTX-EG-001). Risk assessment: LOW — no personal data exfiltrated. Mitigation steps taken: (1) access to audit logs restricted to the Governor service only; (2) additional logging enabled; (3) security incident review scheduled. DPO contact: dpo@sgtx.io, +20 2 1234 5678. One-click: the DPO reviews and clicks "Submit to DPC" (1 click); the breach notification is filed.</w:t>
      </w:r>
    </w:p>
    <w:p>
      <w:pPr>
        <w:keepNext/>
        <w:spacing w:before="180" w:after="80"/>
        <w:outlineLvl w:val="2"/>
      </w:pPr>
      <w:r>
        <w:rPr>
          <w:rFonts w:ascii="Arial" w:hAnsi="Arial" w:cs="Arial"/>
          <w:b/>
          <w:i w:val="0"/>
          <w:color w:val="333333"/>
          <w:sz w:val="23"/>
        </w:rPr>
        <w:t>21.9.10 Data Protection Impact Assessment (DPIA)</w:t>
      </w:r>
    </w:p>
    <w:p>
      <w:pPr>
        <w:spacing w:after="80" w:line="293" w:lineRule="auto"/>
        <w:jc w:val="left"/>
      </w:pPr>
      <w:r>
        <w:rPr>
          <w:rFonts w:ascii="Times New Roman" w:hAnsi="Times New Roman" w:cs="Times New Roman"/>
          <w:b w:val="0"/>
          <w:i w:val="0"/>
          <w:sz w:val="22"/>
        </w:rPr>
        <w:t>DPIAs are required for high-risk processing activities, including biometric voiceprints, cross-border trade data transfers, and AI inference on personal data (the anonymised AI inference path is assessed as not required).</w:t>
      </w:r>
    </w:p>
    <w:p>
      <w:pPr>
        <w:spacing w:after="80" w:line="293" w:lineRule="auto"/>
        <w:jc w:val="left"/>
      </w:pPr>
      <w:r>
        <w:rPr>
          <w:rFonts w:ascii="Times New Roman" w:hAnsi="Times New Roman" w:cs="Times New Roman"/>
          <w:b w:val="0"/>
          <w:i w:val="0"/>
          <w:sz w:val="22"/>
        </w:rPr>
        <w:t>DPIA template: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"dpia_id": "DPIA-2026-001",</w:t>
      </w:r>
    </w:p>
    <w:p>
      <w:pPr>
        <w:spacing w:after="0" w:before="0" w:line="240" w:lineRule="auto"/>
        <w:ind w:left="57"/>
        <w:jc w:val="left"/>
        <w:shd w:val="clear" w:fill="F2F2F2"/>
      </w:pPr>
      <w:r>
        <w:rPr>
          <w:rFonts w:ascii="Consolas" w:hAnsi="Consolas" w:cs="Consolas"/>
          <w:b w:val="0"/>
          <w:i w:val="0"/>
          <w:sz w:val="15"/>
        </w:rPr>
        <w:t xml:space="preserve">  "processing_activity": "VoiceCommand biometrics",</w:t>
      </w:r>
    </w:p>
    <w:p>
      <w:pPr>
        <w:spacing w:after="0" w:before="0" w:line="240" w:lineRule="auto"/>
        <w:ind w:left="57"/>
        <w:jc w:val="left"/>
        <w:shd w:val="clear" w:fill="F2F2F2"/>
      </w:pPr>
      <w:r>
        <w:rPr>
          <w:rFonts w:ascii="Consolas" w:hAnsi="Consolas" w:cs="Consolas"/>
          <w:b w:val="0"/>
          <w:i w:val="0"/>
          <w:sz w:val="15"/>
        </w:rPr>
        <w:t xml:space="preserve">  "risk_level": "HIGH",</w:t>
      </w:r>
    </w:p>
    <w:p>
      <w:pPr>
        <w:spacing w:after="0" w:before="0" w:line="240" w:lineRule="auto"/>
        <w:ind w:left="57"/>
        <w:jc w:val="left"/>
        <w:shd w:val="clear" w:fill="F2F2F2"/>
      </w:pPr>
      <w:r>
        <w:rPr>
          <w:rFonts w:ascii="Consolas" w:hAnsi="Consolas" w:cs="Consolas"/>
          <w:b w:val="0"/>
          <w:i w:val="0"/>
          <w:sz w:val="15"/>
        </w:rPr>
        <w:t xml:space="preserve">  "data_categories": ["Biometric voiceprints"],</w:t>
      </w:r>
    </w:p>
    <w:p>
      <w:pPr>
        <w:spacing w:after="0" w:before="0" w:line="240" w:lineRule="auto"/>
        <w:ind w:left="57"/>
        <w:jc w:val="left"/>
        <w:shd w:val="clear" w:fill="F2F2F2"/>
      </w:pPr>
      <w:r>
        <w:rPr>
          <w:rFonts w:ascii="Consolas" w:hAnsi="Consolas" w:cs="Consolas"/>
          <w:b w:val="0"/>
          <w:i w:val="0"/>
          <w:sz w:val="15"/>
        </w:rPr>
        <w:t xml:space="preserve">  "purposes": ["Hands-free operation for milestone confirmations"],</w:t>
      </w:r>
    </w:p>
    <w:p>
      <w:pPr>
        <w:spacing w:after="0" w:before="0" w:line="240" w:lineRule="auto"/>
        <w:ind w:left="57"/>
        <w:jc w:val="left"/>
        <w:shd w:val="clear" w:fill="F2F2F2"/>
      </w:pPr>
      <w:r>
        <w:rPr>
          <w:rFonts w:ascii="Consolas" w:hAnsi="Consolas" w:cs="Consolas"/>
          <w:b w:val="0"/>
          <w:i w:val="0"/>
          <w:sz w:val="15"/>
        </w:rPr>
        <w:t xml:space="preserve">  "legal_bases": ["Explicit consent (Art. 13)"],</w:t>
      </w:r>
    </w:p>
    <w:p>
      <w:pPr>
        <w:spacing w:after="0" w:before="0" w:line="240" w:lineRule="auto"/>
        <w:ind w:left="57"/>
        <w:jc w:val="left"/>
        <w:shd w:val="clear" w:fill="F2F2F2"/>
      </w:pPr>
      <w:r>
        <w:rPr>
          <w:rFonts w:ascii="Consolas" w:hAnsi="Consolas" w:cs="Consolas"/>
          <w:b w:val="0"/>
          <w:i w:val="0"/>
          <w:sz w:val="15"/>
        </w:rPr>
        <w:t xml:space="preserve">  "risks":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"risk": "Unauthorised access to voice recordings",</w:t>
      </w:r>
    </w:p>
    <w:p>
      <w:pPr>
        <w:spacing w:after="0" w:before="0" w:line="240" w:lineRule="auto"/>
        <w:ind w:left="57"/>
        <w:jc w:val="left"/>
        <w:shd w:val="clear" w:fill="F2F2F2"/>
      </w:pPr>
      <w:r>
        <w:rPr>
          <w:rFonts w:ascii="Consolas" w:hAnsi="Consolas" w:cs="Consolas"/>
          <w:b w:val="0"/>
          <w:i w:val="0"/>
          <w:sz w:val="15"/>
        </w:rPr>
        <w:t xml:space="preserve">      "mitigation": "On-device processing; no storage; raw audio never transmitted",</w:t>
      </w:r>
    </w:p>
    <w:p>
      <w:pPr>
        <w:spacing w:after="0" w:before="0" w:line="240" w:lineRule="auto"/>
        <w:ind w:left="57"/>
        <w:jc w:val="left"/>
        <w:shd w:val="clear" w:fill="F2F2F2"/>
      </w:pPr>
      <w:r>
        <w:rPr>
          <w:rFonts w:ascii="Consolas" w:hAnsi="Consolas" w:cs="Consolas"/>
          <w:b w:val="0"/>
          <w:i w:val="0"/>
          <w:sz w:val="15"/>
        </w:rPr>
        <w:t xml:space="preserve">      "residual_risk": "LOW"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"dpia_approved": true,</w:t>
      </w:r>
    </w:p>
    <w:p>
      <w:pPr>
        <w:spacing w:after="0" w:before="0" w:line="240" w:lineRule="auto"/>
        <w:ind w:left="57"/>
        <w:jc w:val="left"/>
        <w:shd w:val="clear" w:fill="F2F2F2"/>
      </w:pPr>
      <w:r>
        <w:rPr>
          <w:rFonts w:ascii="Consolas" w:hAnsi="Consolas" w:cs="Consolas"/>
          <w:b w:val="0"/>
          <w:i w:val="0"/>
          <w:sz w:val="15"/>
        </w:rPr>
        <w:t xml:space="preserve">  "approved_by": "DPO",</w:t>
      </w:r>
    </w:p>
    <w:p>
      <w:pPr>
        <w:spacing w:after="0" w:before="0" w:line="240" w:lineRule="auto"/>
        <w:ind w:left="57"/>
        <w:jc w:val="left"/>
        <w:shd w:val="clear" w:fill="F2F2F2"/>
      </w:pPr>
      <w:r>
        <w:rPr>
          <w:rFonts w:ascii="Consolas" w:hAnsi="Consolas" w:cs="Consolas"/>
          <w:b w:val="0"/>
          <w:i w:val="0"/>
          <w:sz w:val="15"/>
        </w:rPr>
        <w:t xml:space="preserve">  "approval_date": "2026-01-15",</w:t>
      </w:r>
    </w:p>
    <w:p>
      <w:pPr>
        <w:spacing w:after="0" w:before="0" w:line="240" w:lineRule="auto"/>
        <w:ind w:left="57"/>
        <w:jc w:val="left"/>
        <w:shd w:val="clear" w:fill="F2F2F2"/>
      </w:pPr>
      <w:r>
        <w:rPr>
          <w:rFonts w:ascii="Consolas" w:hAnsi="Consolas" w:cs="Consolas"/>
          <w:b w:val="0"/>
          <w:i w:val="0"/>
          <w:sz w:val="15"/>
        </w:rPr>
        <w:t xml:space="preserve">  "next_review": "2027-01-15",</w:t>
      </w:r>
    </w:p>
    <w:p>
      <w:pPr>
        <w:spacing w:after="0" w:before="0" w:line="240" w:lineRule="auto"/>
        <w:ind w:left="57"/>
        <w:jc w:val="left"/>
        <w:shd w:val="clear" w:fill="F2F2F2"/>
      </w:pPr>
      <w:r>
        <w:rPr>
          <w:rFonts w:ascii="Consolas" w:hAnsi="Consolas" w:cs="Consolas"/>
          <w:b w:val="0"/>
          <w:i w:val="0"/>
          <w:sz w:val="15"/>
        </w:rPr>
        <w:t xml:space="preserve">  "loom_hash": "sha256:..."</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21.9.11 Data Protection Compliance Dashboard (Government Portal)</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provide government officials with a view of platform-wide data protection compliance metrics. Location: Government Portal → Compliance Monitor → "Data Protection" tab.</w:t>
      </w:r>
    </w:p>
    <w:p>
      <w:pPr>
        <w:spacing w:after="80" w:line="293" w:lineRule="auto"/>
        <w:jc w:val="left"/>
      </w:pPr>
      <w:r>
        <w:rPr>
          <w:rFonts w:ascii="Times New Roman" w:hAnsi="Times New Roman" w:cs="Times New Roman"/>
          <w:b w:val="0"/>
          <w:i w:val="0"/>
          <w:sz w:val="22"/>
        </w:rPr>
        <w:t>One-click compliance report: clicking "Generate PDPL Compliance Report" produces a PDF with all metrics, signed by the DPO. Report contents: summary of data processing activities; consent record status; cross-border transfer log; data subject request statistics; breach notification log; DPIA status; retention compliance status.</w:t>
      </w:r>
    </w:p>
    <w:p>
      <w:pPr>
        <w:keepNext/>
        <w:spacing w:before="180" w:after="80"/>
        <w:outlineLvl w:val="2"/>
      </w:pPr>
      <w:r>
        <w:rPr>
          <w:rFonts w:ascii="Arial" w:hAnsi="Arial" w:cs="Arial"/>
          <w:b/>
          <w:i w:val="0"/>
          <w:color w:val="333333"/>
          <w:sz w:val="23"/>
        </w:rPr>
        <w:t>21.9.12 PDPL Database Schema</w:t>
      </w:r>
    </w:p>
    <w:p>
      <w:pPr>
        <w:spacing w:after="0" w:before="0" w:line="240" w:lineRule="auto"/>
        <w:ind w:left="57"/>
        <w:jc w:val="left"/>
        <w:shd w:val="clear" w:fill="F2F2F2"/>
      </w:pPr>
      <w:r>
        <w:rPr>
          <w:rFonts w:ascii="Consolas" w:hAnsi="Consolas" w:cs="Consolas"/>
          <w:b w:val="0"/>
          <w:i w:val="0"/>
          <w:sz w:val="15"/>
        </w:rPr>
        <w:t>-- Data Subject Requests (DSRs)</w:t>
      </w:r>
    </w:p>
    <w:p>
      <w:pPr>
        <w:spacing w:after="0" w:before="0" w:line="240" w:lineRule="auto"/>
        <w:ind w:left="57"/>
        <w:jc w:val="left"/>
        <w:shd w:val="clear" w:fill="F2F2F2"/>
      </w:pPr>
      <w:r>
        <w:rPr>
          <w:rFonts w:ascii="Consolas" w:hAnsi="Consolas" w:cs="Consolas"/>
          <w:b w:val="0"/>
          <w:i w:val="0"/>
          <w:sz w:val="15"/>
        </w:rPr>
        <w:t>CREATE TABLE dsr_requests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requester_gtid TEXT NOT NULL,</w:t>
      </w:r>
    </w:p>
    <w:p>
      <w:pPr>
        <w:spacing w:after="0" w:before="0" w:line="240" w:lineRule="auto"/>
        <w:ind w:left="57"/>
        <w:jc w:val="left"/>
        <w:shd w:val="clear" w:fill="F2F2F2"/>
      </w:pPr>
      <w:r>
        <w:rPr>
          <w:rFonts w:ascii="Consolas" w:hAnsi="Consolas" w:cs="Consolas"/>
          <w:b w:val="0"/>
          <w:i w:val="0"/>
          <w:sz w:val="15"/>
        </w:rPr>
        <w:t xml:space="preserve">  request_type TEXT NOT NULL,            -- 'ACCESS', 'RECTIFICATION', 'ERASURE', 'RESTRICTION',</w:t>
      </w:r>
    </w:p>
    <w:p>
      <w:pPr>
        <w:spacing w:after="0" w:before="0" w:line="240" w:lineRule="auto"/>
        <w:ind w:left="57"/>
        <w:jc w:val="left"/>
        <w:shd w:val="clear" w:fill="F2F2F2"/>
      </w:pPr>
      <w:r>
        <w:rPr>
          <w:rFonts w:ascii="Consolas" w:hAnsi="Consolas" w:cs="Consolas"/>
          <w:b w:val="0"/>
          <w:i w:val="0"/>
          <w:sz w:val="15"/>
        </w:rPr>
        <w:t xml:space="preserve">                                          -- 'PORTABILITY', 'OBJECTION'</w:t>
      </w:r>
    </w:p>
    <w:p>
      <w:pPr>
        <w:spacing w:after="0" w:before="0" w:line="240" w:lineRule="auto"/>
        <w:ind w:left="57"/>
        <w:jc w:val="left"/>
        <w:shd w:val="clear" w:fill="F2F2F2"/>
      </w:pPr>
      <w:r>
        <w:rPr>
          <w:rFonts w:ascii="Consolas" w:hAnsi="Consolas" w:cs="Consolas"/>
          <w:b w:val="0"/>
          <w:i w:val="0"/>
          <w:sz w:val="15"/>
        </w:rPr>
        <w:t xml:space="preserve">  details TEXT,</w:t>
      </w:r>
    </w:p>
    <w:p>
      <w:pPr>
        <w:spacing w:after="0" w:before="0" w:line="240" w:lineRule="auto"/>
        <w:ind w:left="57"/>
        <w:jc w:val="left"/>
        <w:shd w:val="clear" w:fill="F2F2F2"/>
      </w:pPr>
      <w:r>
        <w:rPr>
          <w:rFonts w:ascii="Consolas" w:hAnsi="Consolas" w:cs="Consolas"/>
          <w:b w:val="0"/>
          <w:i w:val="0"/>
          <w:sz w:val="15"/>
        </w:rPr>
        <w:t xml:space="preserve">  status TEXT DEFAULT 'PENDING',         -- 'PENDING', 'APPROVED', 'PARTIALLY_APPROVED', 'REJECTED',</w:t>
      </w:r>
    </w:p>
    <w:p>
      <w:pPr>
        <w:spacing w:after="0" w:before="0" w:line="240" w:lineRule="auto"/>
        <w:ind w:left="57"/>
        <w:jc w:val="left"/>
        <w:shd w:val="clear" w:fill="F2F2F2"/>
      </w:pPr>
      <w:r>
        <w:rPr>
          <w:rFonts w:ascii="Consolas" w:hAnsi="Consolas" w:cs="Consolas"/>
          <w:b w:val="0"/>
          <w:i w:val="0"/>
          <w:sz w:val="15"/>
        </w:rPr>
        <w:t xml:space="preserve">                                          -- 'COMPLETED'</w:t>
      </w:r>
    </w:p>
    <w:p>
      <w:pPr>
        <w:spacing w:after="0" w:before="0" w:line="240" w:lineRule="auto"/>
        <w:ind w:left="57"/>
        <w:jc w:val="left"/>
        <w:shd w:val="clear" w:fill="F2F2F2"/>
      </w:pPr>
      <w:r>
        <w:rPr>
          <w:rFonts w:ascii="Consolas" w:hAnsi="Consolas" w:cs="Consolas"/>
          <w:b w:val="0"/>
          <w:i w:val="0"/>
          <w:sz w:val="15"/>
        </w:rPr>
        <w:t xml:space="preserve">  dpo_review TEXT,</w:t>
      </w:r>
    </w:p>
    <w:p>
      <w:pPr>
        <w:spacing w:after="0" w:before="0" w:line="240" w:lineRule="auto"/>
        <w:ind w:left="57"/>
        <w:jc w:val="left"/>
        <w:shd w:val="clear" w:fill="F2F2F2"/>
      </w:pPr>
      <w:r>
        <w:rPr>
          <w:rFonts w:ascii="Consolas" w:hAnsi="Consolas" w:cs="Consolas"/>
          <w:b w:val="0"/>
          <w:i w:val="0"/>
          <w:sz w:val="15"/>
        </w:rPr>
        <w:t xml:space="preserve">  completed_at TIMESTAMPTZ,</w:t>
      </w:r>
    </w:p>
    <w:p>
      <w:pPr>
        <w:spacing w:after="0" w:before="0" w:line="240" w:lineRule="auto"/>
        <w:ind w:left="57"/>
        <w:jc w:val="left"/>
        <w:shd w:val="clear" w:fill="F2F2F2"/>
      </w:pPr>
      <w:r>
        <w:rPr>
          <w:rFonts w:ascii="Consolas" w:hAnsi="Consolas" w:cs="Consolas"/>
          <w:b w:val="0"/>
          <w:i w:val="0"/>
          <w:sz w:val="15"/>
        </w:rPr>
        <w:t xml:space="preserve">  data_export_url TEXT,</w:t>
      </w:r>
    </w:p>
    <w:p>
      <w:pPr>
        <w:spacing w:after="0" w:before="0" w:line="240" w:lineRule="auto"/>
        <w:ind w:left="57"/>
        <w:jc w:val="left"/>
        <w:shd w:val="clear" w:fill="F2F2F2"/>
      </w:pPr>
      <w:r>
        <w:rPr>
          <w:rFonts w:ascii="Consolas" w:hAnsi="Consolas" w:cs="Consolas"/>
          <w:b w:val="0"/>
          <w:i w:val="0"/>
          <w:sz w:val="15"/>
        </w:rPr>
        <w:t xml:space="preserve">  rectification_details JSONB,</w:t>
      </w:r>
    </w:p>
    <w:p>
      <w:pPr>
        <w:spacing w:after="0" w:before="0" w:line="240" w:lineRule="auto"/>
        <w:ind w:left="57"/>
        <w:jc w:val="left"/>
        <w:shd w:val="clear" w:fill="F2F2F2"/>
      </w:pPr>
      <w:r>
        <w:rPr>
          <w:rFonts w:ascii="Consolas" w:hAnsi="Consolas" w:cs="Consolas"/>
          <w:b w:val="0"/>
          <w:i w:val="0"/>
          <w:sz w:val="15"/>
        </w:rPr>
        <w:t xml:space="preserve">  deletion_details JSONB,</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Data Protection Impact Assessments (DPIAs)</w:t>
      </w:r>
    </w:p>
    <w:p>
      <w:pPr>
        <w:spacing w:after="0" w:before="0" w:line="240" w:lineRule="auto"/>
        <w:ind w:left="57"/>
        <w:jc w:val="left"/>
        <w:shd w:val="clear" w:fill="F2F2F2"/>
      </w:pPr>
      <w:r>
        <w:rPr>
          <w:rFonts w:ascii="Consolas" w:hAnsi="Consolas" w:cs="Consolas"/>
          <w:b w:val="0"/>
          <w:i w:val="0"/>
          <w:sz w:val="15"/>
        </w:rPr>
        <w:t>CREATE TABLE dpia_records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processing_activity TEXT NOT NULL,</w:t>
      </w:r>
    </w:p>
    <w:p>
      <w:pPr>
        <w:spacing w:after="0" w:before="0" w:line="240" w:lineRule="auto"/>
        <w:ind w:left="57"/>
        <w:jc w:val="left"/>
        <w:shd w:val="clear" w:fill="F2F2F2"/>
      </w:pPr>
      <w:r>
        <w:rPr>
          <w:rFonts w:ascii="Consolas" w:hAnsi="Consolas" w:cs="Consolas"/>
          <w:b w:val="0"/>
          <w:i w:val="0"/>
          <w:sz w:val="15"/>
        </w:rPr>
        <w:t xml:space="preserve">  risk_level TEXT NOT NULL,              -- 'LOW', 'MEDIUM', 'HIGH'</w:t>
      </w:r>
    </w:p>
    <w:p>
      <w:pPr>
        <w:spacing w:after="0" w:before="0" w:line="240" w:lineRule="auto"/>
        <w:ind w:left="57"/>
        <w:jc w:val="left"/>
        <w:shd w:val="clear" w:fill="F2F2F2"/>
      </w:pPr>
      <w:r>
        <w:rPr>
          <w:rFonts w:ascii="Consolas" w:hAnsi="Consolas" w:cs="Consolas"/>
          <w:b w:val="0"/>
          <w:i w:val="0"/>
          <w:sz w:val="15"/>
        </w:rPr>
        <w:t xml:space="preserve">  data_categories TEXT[],</w:t>
      </w:r>
    </w:p>
    <w:p>
      <w:pPr>
        <w:spacing w:after="0" w:before="0" w:line="240" w:lineRule="auto"/>
        <w:ind w:left="57"/>
        <w:jc w:val="left"/>
        <w:shd w:val="clear" w:fill="F2F2F2"/>
      </w:pPr>
      <w:r>
        <w:rPr>
          <w:rFonts w:ascii="Consolas" w:hAnsi="Consolas" w:cs="Consolas"/>
          <w:b w:val="0"/>
          <w:i w:val="0"/>
          <w:sz w:val="15"/>
        </w:rPr>
        <w:t xml:space="preserve">  purposes TEXT[],</w:t>
      </w:r>
    </w:p>
    <w:p>
      <w:pPr>
        <w:spacing w:after="0" w:before="0" w:line="240" w:lineRule="auto"/>
        <w:ind w:left="57"/>
        <w:jc w:val="left"/>
        <w:shd w:val="clear" w:fill="F2F2F2"/>
      </w:pPr>
      <w:r>
        <w:rPr>
          <w:rFonts w:ascii="Consolas" w:hAnsi="Consolas" w:cs="Consolas"/>
          <w:b w:val="0"/>
          <w:i w:val="0"/>
          <w:sz w:val="15"/>
        </w:rPr>
        <w:t xml:space="preserve">  legal_bases TEXT[],</w:t>
      </w:r>
    </w:p>
    <w:p>
      <w:pPr>
        <w:spacing w:after="0" w:before="0" w:line="240" w:lineRule="auto"/>
        <w:ind w:left="57"/>
        <w:jc w:val="left"/>
        <w:shd w:val="clear" w:fill="F2F2F2"/>
      </w:pPr>
      <w:r>
        <w:rPr>
          <w:rFonts w:ascii="Consolas" w:hAnsi="Consolas" w:cs="Consolas"/>
          <w:b w:val="0"/>
          <w:i w:val="0"/>
          <w:sz w:val="15"/>
        </w:rPr>
        <w:t xml:space="preserve">  risk_assessment JSONB,</w:t>
      </w:r>
    </w:p>
    <w:p>
      <w:pPr>
        <w:spacing w:after="0" w:before="0" w:line="240" w:lineRule="auto"/>
        <w:ind w:left="57"/>
        <w:jc w:val="left"/>
        <w:shd w:val="clear" w:fill="F2F2F2"/>
      </w:pPr>
      <w:r>
        <w:rPr>
          <w:rFonts w:ascii="Consolas" w:hAnsi="Consolas" w:cs="Consolas"/>
          <w:b w:val="0"/>
          <w:i w:val="0"/>
          <w:sz w:val="15"/>
        </w:rPr>
        <w:t xml:space="preserve">  mitigation_measures JSONB,</w:t>
      </w:r>
    </w:p>
    <w:p>
      <w:pPr>
        <w:spacing w:after="0" w:before="0" w:line="240" w:lineRule="auto"/>
        <w:ind w:left="57"/>
        <w:jc w:val="left"/>
        <w:shd w:val="clear" w:fill="F2F2F2"/>
      </w:pPr>
      <w:r>
        <w:rPr>
          <w:rFonts w:ascii="Consolas" w:hAnsi="Consolas" w:cs="Consolas"/>
          <w:b w:val="0"/>
          <w:i w:val="0"/>
          <w:sz w:val="15"/>
        </w:rPr>
        <w:t xml:space="preserve">  residual_risk TEXT,</w:t>
      </w:r>
    </w:p>
    <w:p>
      <w:pPr>
        <w:spacing w:after="0" w:before="0" w:line="240" w:lineRule="auto"/>
        <w:ind w:left="57"/>
        <w:jc w:val="left"/>
        <w:shd w:val="clear" w:fill="F2F2F2"/>
      </w:pPr>
      <w:r>
        <w:rPr>
          <w:rFonts w:ascii="Consolas" w:hAnsi="Consolas" w:cs="Consolas"/>
          <w:b w:val="0"/>
          <w:i w:val="0"/>
          <w:sz w:val="15"/>
        </w:rPr>
        <w:t xml:space="preserve">  status TEXT DEFAULT 'DRAFT',           -- 'DRAFT', 'IN_REVIEW', 'APPROVED', 'REJECTED'</w:t>
      </w:r>
    </w:p>
    <w:p>
      <w:pPr>
        <w:spacing w:after="0" w:before="0" w:line="240" w:lineRule="auto"/>
        <w:ind w:left="57"/>
        <w:jc w:val="left"/>
        <w:shd w:val="clear" w:fill="F2F2F2"/>
      </w:pPr>
      <w:r>
        <w:rPr>
          <w:rFonts w:ascii="Consolas" w:hAnsi="Consolas" w:cs="Consolas"/>
          <w:b w:val="0"/>
          <w:i w:val="0"/>
          <w:sz w:val="15"/>
        </w:rPr>
        <w:t xml:space="preserve">  approved_by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approval_date TIMESTAMPTZ,</w:t>
      </w:r>
    </w:p>
    <w:p>
      <w:pPr>
        <w:spacing w:after="0" w:before="0" w:line="240" w:lineRule="auto"/>
        <w:ind w:left="57"/>
        <w:jc w:val="left"/>
        <w:shd w:val="clear" w:fill="F2F2F2"/>
      </w:pPr>
      <w:r>
        <w:rPr>
          <w:rFonts w:ascii="Consolas" w:hAnsi="Consolas" w:cs="Consolas"/>
          <w:b w:val="0"/>
          <w:i w:val="0"/>
          <w:sz w:val="15"/>
        </w:rPr>
        <w:t xml:space="preserve">  next_review TIMESTAMPTZ,</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Data Protection Compliance Reports</w:t>
      </w:r>
    </w:p>
    <w:p>
      <w:pPr>
        <w:spacing w:after="0" w:before="0" w:line="240" w:lineRule="auto"/>
        <w:ind w:left="57"/>
        <w:jc w:val="left"/>
        <w:shd w:val="clear" w:fill="F2F2F2"/>
      </w:pPr>
      <w:r>
        <w:rPr>
          <w:rFonts w:ascii="Consolas" w:hAnsi="Consolas" w:cs="Consolas"/>
          <w:b w:val="0"/>
          <w:i w:val="0"/>
          <w:sz w:val="15"/>
        </w:rPr>
        <w:t>CREATE TABLE dp_compliance_reports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report_period TEXT NOT NULL,           -- '2026-Q2'</w:t>
      </w:r>
    </w:p>
    <w:p>
      <w:pPr>
        <w:spacing w:after="0" w:before="0" w:line="240" w:lineRule="auto"/>
        <w:ind w:left="57"/>
        <w:jc w:val="left"/>
        <w:shd w:val="clear" w:fill="F2F2F2"/>
      </w:pPr>
      <w:r>
        <w:rPr>
          <w:rFonts w:ascii="Consolas" w:hAnsi="Consolas" w:cs="Consolas"/>
          <w:b w:val="0"/>
          <w:i w:val="0"/>
          <w:sz w:val="15"/>
        </w:rPr>
        <w:t xml:space="preserve">  report_date DATE NOT NULL,</w:t>
      </w:r>
    </w:p>
    <w:p>
      <w:pPr>
        <w:spacing w:after="0" w:before="0" w:line="240" w:lineRule="auto"/>
        <w:ind w:left="57"/>
        <w:jc w:val="left"/>
        <w:shd w:val="clear" w:fill="F2F2F2"/>
      </w:pPr>
      <w:r>
        <w:rPr>
          <w:rFonts w:ascii="Consolas" w:hAnsi="Consolas" w:cs="Consolas"/>
          <w:b w:val="0"/>
          <w:i w:val="0"/>
          <w:sz w:val="15"/>
        </w:rPr>
        <w:t xml:space="preserve">  report_content JSONB,</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signed_by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Data breach notifications</w:t>
      </w:r>
    </w:p>
    <w:p>
      <w:pPr>
        <w:spacing w:after="0" w:before="0" w:line="240" w:lineRule="auto"/>
        <w:ind w:left="57"/>
        <w:jc w:val="left"/>
        <w:shd w:val="clear" w:fill="F2F2F2"/>
      </w:pPr>
      <w:r>
        <w:rPr>
          <w:rFonts w:ascii="Consolas" w:hAnsi="Consolas" w:cs="Consolas"/>
          <w:b w:val="0"/>
          <w:i w:val="0"/>
          <w:sz w:val="15"/>
        </w:rPr>
        <w:t>CREATE TABLE data_breach_notifications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incident_id UUID REFERENCES incidents(id) ON DELETE SET NULL,</w:t>
      </w:r>
    </w:p>
    <w:p>
      <w:pPr>
        <w:spacing w:after="0" w:before="0" w:line="240" w:lineRule="auto"/>
        <w:ind w:left="57"/>
        <w:jc w:val="left"/>
        <w:shd w:val="clear" w:fill="F2F2F2"/>
      </w:pPr>
      <w:r>
        <w:rPr>
          <w:rFonts w:ascii="Consolas" w:hAnsi="Consolas" w:cs="Consolas"/>
          <w:b w:val="0"/>
          <w:i w:val="0"/>
          <w:sz w:val="15"/>
        </w:rPr>
        <w:t xml:space="preserve">  dpo_gtid TEXT NOT NULL,</w:t>
      </w:r>
    </w:p>
    <w:p>
      <w:pPr>
        <w:spacing w:after="0" w:before="0" w:line="240" w:lineRule="auto"/>
        <w:ind w:left="57"/>
        <w:jc w:val="left"/>
        <w:shd w:val="clear" w:fill="F2F2F2"/>
      </w:pPr>
      <w:r>
        <w:rPr>
          <w:rFonts w:ascii="Consolas" w:hAnsi="Consolas" w:cs="Consolas"/>
          <w:b w:val="0"/>
          <w:i w:val="0"/>
          <w:sz w:val="15"/>
        </w:rPr>
        <w:t xml:space="preserve">  dpc_notified BOOLEAN DEFAULT false,</w:t>
      </w:r>
    </w:p>
    <w:p>
      <w:pPr>
        <w:spacing w:after="0" w:before="0" w:line="240" w:lineRule="auto"/>
        <w:ind w:left="57"/>
        <w:jc w:val="left"/>
        <w:shd w:val="clear" w:fill="F2F2F2"/>
      </w:pPr>
      <w:r>
        <w:rPr>
          <w:rFonts w:ascii="Consolas" w:hAnsi="Consolas" w:cs="Consolas"/>
          <w:b w:val="0"/>
          <w:i w:val="0"/>
          <w:sz w:val="15"/>
        </w:rPr>
        <w:t xml:space="preserve">  dpc_notification_date TIMESTAMPTZ,</w:t>
      </w:r>
    </w:p>
    <w:p>
      <w:pPr>
        <w:spacing w:after="0" w:before="0" w:line="240" w:lineRule="auto"/>
        <w:ind w:left="57"/>
        <w:jc w:val="left"/>
        <w:shd w:val="clear" w:fill="F2F2F2"/>
      </w:pPr>
      <w:r>
        <w:rPr>
          <w:rFonts w:ascii="Consolas" w:hAnsi="Consolas" w:cs="Consolas"/>
          <w:b w:val="0"/>
          <w:i w:val="0"/>
          <w:sz w:val="15"/>
        </w:rPr>
        <w:t xml:space="preserve">  dpc_reference TEXT,</w:t>
      </w:r>
    </w:p>
    <w:p>
      <w:pPr>
        <w:spacing w:after="0" w:before="0" w:line="240" w:lineRule="auto"/>
        <w:ind w:left="57"/>
        <w:jc w:val="left"/>
        <w:shd w:val="clear" w:fill="F2F2F2"/>
      </w:pPr>
      <w:r>
        <w:rPr>
          <w:rFonts w:ascii="Consolas" w:hAnsi="Consolas" w:cs="Consolas"/>
          <w:b w:val="0"/>
          <w:i w:val="0"/>
          <w:sz w:val="15"/>
        </w:rPr>
        <w:t xml:space="preserve">  affected_users TEXT[],</w:t>
      </w:r>
    </w:p>
    <w:p>
      <w:pPr>
        <w:spacing w:after="0" w:before="0" w:line="240" w:lineRule="auto"/>
        <w:ind w:left="57"/>
        <w:jc w:val="left"/>
        <w:shd w:val="clear" w:fill="F2F2F2"/>
      </w:pPr>
      <w:r>
        <w:rPr>
          <w:rFonts w:ascii="Consolas" w:hAnsi="Consolas" w:cs="Consolas"/>
          <w:b w:val="0"/>
          <w:i w:val="0"/>
          <w:sz w:val="15"/>
        </w:rPr>
        <w:t xml:space="preserve">  notification_text TEXT,                -- Groq-generated</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Data retention jobs log</w:t>
      </w:r>
    </w:p>
    <w:p>
      <w:pPr>
        <w:spacing w:after="0" w:before="0" w:line="240" w:lineRule="auto"/>
        <w:ind w:left="57"/>
        <w:jc w:val="left"/>
        <w:shd w:val="clear" w:fill="F2F2F2"/>
      </w:pPr>
      <w:r>
        <w:rPr>
          <w:rFonts w:ascii="Consolas" w:hAnsi="Consolas" w:cs="Consolas"/>
          <w:b w:val="0"/>
          <w:i w:val="0"/>
          <w:sz w:val="15"/>
        </w:rPr>
        <w:t>CREATE TABLE data_retention_jobs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job_type TEXT NOT NULL,                -- 'CONSENT_DELETION', 'ACCOUNT_DELETION', 'AUDIT_DELETION'</w:t>
      </w:r>
    </w:p>
    <w:p>
      <w:pPr>
        <w:spacing w:after="0" w:before="0" w:line="240" w:lineRule="auto"/>
        <w:ind w:left="57"/>
        <w:jc w:val="left"/>
        <w:shd w:val="clear" w:fill="F2F2F2"/>
      </w:pPr>
      <w:r>
        <w:rPr>
          <w:rFonts w:ascii="Consolas" w:hAnsi="Consolas" w:cs="Consolas"/>
          <w:b w:val="0"/>
          <w:i w:val="0"/>
          <w:sz w:val="15"/>
        </w:rPr>
        <w:t xml:space="preserve">  records_deleted INTEGER,</w:t>
      </w:r>
    </w:p>
    <w:p>
      <w:pPr>
        <w:spacing w:after="0" w:before="0" w:line="240" w:lineRule="auto"/>
        <w:ind w:left="57"/>
        <w:jc w:val="left"/>
        <w:shd w:val="clear" w:fill="F2F2F2"/>
      </w:pPr>
      <w:r>
        <w:rPr>
          <w:rFonts w:ascii="Consolas" w:hAnsi="Consolas" w:cs="Consolas"/>
          <w:b w:val="0"/>
          <w:i w:val="0"/>
          <w:sz w:val="15"/>
        </w:rPr>
        <w:t xml:space="preserve">  affected_table TEXT,</w:t>
      </w:r>
    </w:p>
    <w:p>
      <w:pPr>
        <w:spacing w:after="0" w:before="0" w:line="240" w:lineRule="auto"/>
        <w:ind w:left="57"/>
        <w:jc w:val="left"/>
        <w:shd w:val="clear" w:fill="F2F2F2"/>
      </w:pPr>
      <w:r>
        <w:rPr>
          <w:rFonts w:ascii="Consolas" w:hAnsi="Consolas" w:cs="Consolas"/>
          <w:b w:val="0"/>
          <w:i w:val="0"/>
          <w:sz w:val="15"/>
        </w:rPr>
        <w:t xml:space="preserve">  deletion_criteria TEXT,</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executed_at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idx_dsr_requests_requester ON dsr_requests(requester_gtid);</w:t>
      </w:r>
    </w:p>
    <w:p>
      <w:pPr>
        <w:spacing w:after="0" w:before="0" w:line="240" w:lineRule="auto"/>
        <w:ind w:left="57"/>
        <w:jc w:val="left"/>
        <w:shd w:val="clear" w:fill="F2F2F2"/>
      </w:pPr>
      <w:r>
        <w:rPr>
          <w:rFonts w:ascii="Consolas" w:hAnsi="Consolas" w:cs="Consolas"/>
          <w:b w:val="0"/>
          <w:i w:val="0"/>
          <w:sz w:val="15"/>
        </w:rPr>
        <w:t>CREATE INDEX idx_dsr_requests_status ON dsr_requests(status);</w:t>
      </w:r>
    </w:p>
    <w:p>
      <w:pPr>
        <w:spacing w:after="0" w:before="0" w:line="240" w:lineRule="auto"/>
        <w:ind w:left="57"/>
        <w:jc w:val="left"/>
        <w:shd w:val="clear" w:fill="F2F2F2"/>
      </w:pPr>
      <w:r>
        <w:rPr>
          <w:rFonts w:ascii="Consolas" w:hAnsi="Consolas" w:cs="Consolas"/>
          <w:b w:val="0"/>
          <w:i w:val="0"/>
          <w:sz w:val="15"/>
        </w:rPr>
        <w:t>CREATE INDEX idx_dpia_records_activity ON dpia_records(processing_activity);</w:t>
      </w:r>
    </w:p>
    <w:p>
      <w:pPr>
        <w:spacing w:after="0" w:before="0" w:line="240" w:lineRule="auto"/>
        <w:ind w:left="57"/>
        <w:jc w:val="left"/>
        <w:shd w:val="clear" w:fill="F2F2F2"/>
      </w:pPr>
      <w:r>
        <w:rPr>
          <w:rFonts w:ascii="Consolas" w:hAnsi="Consolas" w:cs="Consolas"/>
          <w:b w:val="0"/>
          <w:i w:val="0"/>
          <w:sz w:val="15"/>
        </w:rPr>
        <w:t>CREATE INDEX idx_dpia_records_status ON dpia_records(status);</w:t>
      </w:r>
    </w:p>
    <w:p>
      <w:pPr>
        <w:spacing w:after="0" w:before="0" w:line="240" w:lineRule="auto"/>
        <w:ind w:left="57"/>
        <w:jc w:val="left"/>
        <w:shd w:val="clear" w:fill="F2F2F2"/>
      </w:pPr>
      <w:r>
        <w:rPr>
          <w:rFonts w:ascii="Consolas" w:hAnsi="Consolas" w:cs="Consolas"/>
          <w:b w:val="0"/>
          <w:i w:val="0"/>
          <w:sz w:val="15"/>
        </w:rPr>
        <w:t>CREATE INDEX idx_data_breach_notifications_incident ON data_breach_notifications(incident_id);</w:t>
      </w:r>
    </w:p>
    <w:p>
      <w:pPr>
        <w:spacing w:after="0" w:before="0" w:line="240" w:lineRule="auto"/>
        <w:ind w:left="57"/>
        <w:jc w:val="left"/>
        <w:shd w:val="clear" w:fill="F2F2F2"/>
      </w:pPr>
      <w:r>
        <w:rPr>
          <w:rFonts w:ascii="Consolas" w:hAnsi="Consolas" w:cs="Consolas"/>
          <w:b w:val="0"/>
          <w:i w:val="0"/>
          <w:sz w:val="15"/>
        </w:rPr>
        <w:t>CREATE INDEX idx_data_retention_jobs_executed ON data_retention_jobs(executed_at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21.9.13 PDPL Implementation Checklist</w:t>
      </w:r>
    </w:p>
    <w:p>
      <w:pPr>
        <w:spacing w:after="80" w:line="293" w:lineRule="auto"/>
        <w:jc w:val="left"/>
      </w:pPr>
      <w:r>
        <w:rPr>
          <w:rFonts w:ascii="Times New Roman" w:hAnsi="Times New Roman" w:cs="Times New Roman"/>
          <w:b w:val="0"/>
          <w:i w:val="0"/>
          <w:sz w:val="22"/>
        </w:rPr>
        <w:t>Legal &amp; governance:</w:t>
      </w:r>
    </w:p>
    <w:p>
      <w:pPr>
        <w:spacing w:after="80" w:line="293" w:lineRule="auto"/>
        <w:ind w:left="283"/>
        <w:jc w:val="left"/>
      </w:pPr>
      <w:r>
        <w:rPr>
          <w:rFonts w:ascii="Times New Roman" w:hAnsi="Times New Roman" w:cs="Times New Roman"/>
          <w:b w:val="0"/>
          <w:i w:val="0"/>
          <w:sz w:val="22"/>
        </w:rPr>
        <w:t>- Designate the DPO and register with the Egyptian Data Protection Centre.</w:t>
      </w:r>
    </w:p>
    <w:p>
      <w:pPr>
        <w:spacing w:after="80" w:line="293" w:lineRule="auto"/>
        <w:ind w:left="283"/>
        <w:jc w:val="left"/>
      </w:pPr>
      <w:r>
        <w:rPr>
          <w:rFonts w:ascii="Times New Roman" w:hAnsi="Times New Roman" w:cs="Times New Roman"/>
          <w:b w:val="0"/>
          <w:i w:val="0"/>
          <w:sz w:val="22"/>
        </w:rPr>
        <w:t>- Draft and publish the initial Privacy Notice with all required sections.</w:t>
      </w:r>
    </w:p>
    <w:p>
      <w:pPr>
        <w:spacing w:after="80" w:line="293" w:lineRule="auto"/>
        <w:ind w:left="283"/>
        <w:jc w:val="left"/>
      </w:pPr>
      <w:r>
        <w:rPr>
          <w:rFonts w:ascii="Times New Roman" w:hAnsi="Times New Roman" w:cs="Times New Roman"/>
          <w:b w:val="0"/>
          <w:i w:val="0"/>
          <w:sz w:val="22"/>
        </w:rPr>
        <w:t>- Implement consent management with granular checkboxes.</w:t>
      </w:r>
    </w:p>
    <w:p>
      <w:pPr>
        <w:spacing w:after="80" w:line="293" w:lineRule="auto"/>
        <w:ind w:left="283"/>
        <w:jc w:val="left"/>
      </w:pPr>
      <w:r>
        <w:rPr>
          <w:rFonts w:ascii="Times New Roman" w:hAnsi="Times New Roman" w:cs="Times New Roman"/>
          <w:b w:val="0"/>
          <w:i w:val="0"/>
          <w:sz w:val="22"/>
        </w:rPr>
        <w:t>- Set up the DSR handling workflow (access, rectification, erasure, etc.).</w:t>
      </w:r>
    </w:p>
    <w:p>
      <w:pPr>
        <w:spacing w:after="80" w:line="293" w:lineRule="auto"/>
        <w:ind w:left="283"/>
        <w:jc w:val="left"/>
      </w:pPr>
      <w:r>
        <w:rPr>
          <w:rFonts w:ascii="Times New Roman" w:hAnsi="Times New Roman" w:cs="Times New Roman"/>
          <w:b w:val="0"/>
          <w:i w:val="0"/>
          <w:sz w:val="22"/>
        </w:rPr>
        <w:t>- Implement SCC generation for cross-border transfers.</w:t>
      </w:r>
    </w:p>
    <w:p>
      <w:pPr>
        <w:spacing w:after="80" w:line="293" w:lineRule="auto"/>
        <w:jc w:val="left"/>
      </w:pPr>
      <w:r>
        <w:rPr>
          <w:rFonts w:ascii="Times New Roman" w:hAnsi="Times New Roman" w:cs="Times New Roman"/>
          <w:b w:val="0"/>
          <w:i w:val="0"/>
          <w:sz w:val="22"/>
        </w:rPr>
        <w:t>Technical controls:</w:t>
      </w:r>
    </w:p>
    <w:p>
      <w:pPr>
        <w:spacing w:after="80" w:line="293" w:lineRule="auto"/>
        <w:ind w:left="283"/>
        <w:jc w:val="left"/>
      </w:pPr>
      <w:r>
        <w:rPr>
          <w:rFonts w:ascii="Times New Roman" w:hAnsi="Times New Roman" w:cs="Times New Roman"/>
          <w:b w:val="0"/>
          <w:i w:val="0"/>
          <w:sz w:val="22"/>
        </w:rPr>
        <w:t>- Create the consent_records table with Loom hashing.</w:t>
      </w:r>
    </w:p>
    <w:p>
      <w:pPr>
        <w:spacing w:after="80" w:line="293" w:lineRule="auto"/>
        <w:ind w:left="283"/>
        <w:jc w:val="left"/>
      </w:pPr>
      <w:r>
        <w:rPr>
          <w:rFonts w:ascii="Times New Roman" w:hAnsi="Times New Roman" w:cs="Times New Roman"/>
          <w:b w:val="0"/>
          <w:i w:val="0"/>
          <w:sz w:val="22"/>
        </w:rPr>
        <w:t>- Implement the consent gate in the Governor (policies/cross_border.rego).</w:t>
      </w:r>
    </w:p>
    <w:p>
      <w:pPr>
        <w:spacing w:after="80" w:line="293" w:lineRule="auto"/>
        <w:ind w:left="283"/>
        <w:jc w:val="left"/>
      </w:pPr>
      <w:r>
        <w:rPr>
          <w:rFonts w:ascii="Times New Roman" w:hAnsi="Times New Roman" w:cs="Times New Roman"/>
          <w:b w:val="0"/>
          <w:i w:val="0"/>
          <w:sz w:val="22"/>
        </w:rPr>
        <w:t>- Build the Privacy Dashboard UI (Company Admin → Privacy).</w:t>
      </w:r>
    </w:p>
    <w:p>
      <w:pPr>
        <w:spacing w:after="80" w:line="293" w:lineRule="auto"/>
        <w:ind w:left="283"/>
        <w:jc w:val="left"/>
      </w:pPr>
      <w:r>
        <w:rPr>
          <w:rFonts w:ascii="Times New Roman" w:hAnsi="Times New Roman" w:cs="Times New Roman"/>
          <w:b w:val="0"/>
          <w:i w:val="0"/>
          <w:sz w:val="22"/>
        </w:rPr>
        <w:t>- Implement data retention automation (data-retention-service).</w:t>
      </w:r>
    </w:p>
    <w:p>
      <w:pPr>
        <w:spacing w:after="80" w:line="293" w:lineRule="auto"/>
        <w:ind w:left="283"/>
        <w:jc w:val="left"/>
      </w:pPr>
      <w:r>
        <w:rPr>
          <w:rFonts w:ascii="Times New Roman" w:hAnsi="Times New Roman" w:cs="Times New Roman"/>
          <w:b w:val="0"/>
          <w:i w:val="0"/>
          <w:sz w:val="22"/>
        </w:rPr>
        <w:t>- Set up the breach detection and notification workflow.</w:t>
      </w:r>
    </w:p>
    <w:p>
      <w:pPr>
        <w:spacing w:after="80" w:line="293" w:lineRule="auto"/>
        <w:ind w:left="283"/>
        <w:jc w:val="left"/>
      </w:pPr>
      <w:r>
        <w:rPr>
          <w:rFonts w:ascii="Times New Roman" w:hAnsi="Times New Roman" w:cs="Times New Roman"/>
          <w:b w:val="0"/>
          <w:i w:val="0"/>
          <w:sz w:val="22"/>
        </w:rPr>
        <w:t>- Build the DPO interface in the Admin Portal.</w:t>
      </w:r>
    </w:p>
    <w:p>
      <w:pPr>
        <w:spacing w:after="80" w:line="293" w:lineRule="auto"/>
        <w:jc w:val="left"/>
      </w:pPr>
      <w:r>
        <w:rPr>
          <w:rFonts w:ascii="Times New Roman" w:hAnsi="Times New Roman" w:cs="Times New Roman"/>
          <w:b w:val="0"/>
          <w:i w:val="0"/>
          <w:sz w:val="22"/>
        </w:rPr>
        <w:t>Reporting:</w:t>
      </w:r>
    </w:p>
    <w:p>
      <w:pPr>
        <w:spacing w:after="80" w:line="293" w:lineRule="auto"/>
        <w:ind w:left="283"/>
        <w:jc w:val="left"/>
      </w:pPr>
      <w:r>
        <w:rPr>
          <w:rFonts w:ascii="Times New Roman" w:hAnsi="Times New Roman" w:cs="Times New Roman"/>
          <w:b w:val="0"/>
          <w:i w:val="0"/>
          <w:sz w:val="22"/>
        </w:rPr>
        <w:t>- Implement the DPIA management dashboard.</w:t>
      </w:r>
    </w:p>
    <w:p>
      <w:pPr>
        <w:spacing w:after="80" w:line="293" w:lineRule="auto"/>
        <w:ind w:left="283"/>
        <w:jc w:val="left"/>
      </w:pPr>
      <w:r>
        <w:rPr>
          <w:rFonts w:ascii="Times New Roman" w:hAnsi="Times New Roman" w:cs="Times New Roman"/>
          <w:b w:val="0"/>
          <w:i w:val="0"/>
          <w:sz w:val="22"/>
        </w:rPr>
        <w:t>- Build the PDPL compliance report generator (PDF).</w:t>
      </w:r>
    </w:p>
    <w:p>
      <w:pPr>
        <w:spacing w:after="80" w:line="293" w:lineRule="auto"/>
        <w:ind w:left="283"/>
        <w:jc w:val="left"/>
      </w:pPr>
      <w:r>
        <w:rPr>
          <w:rFonts w:ascii="Times New Roman" w:hAnsi="Times New Roman" w:cs="Times New Roman"/>
          <w:b w:val="0"/>
          <w:i w:val="0"/>
          <w:sz w:val="22"/>
        </w:rPr>
        <w:t>- Add the Data Protection tab to the Government Portal.</w:t>
      </w:r>
    </w:p>
    <w:p>
      <w:pPr>
        <w:spacing w:after="80" w:line="293" w:lineRule="auto"/>
        <w:ind w:left="283"/>
        <w:jc w:val="left"/>
      </w:pPr>
      <w:r>
        <w:rPr>
          <w:rFonts w:ascii="Times New Roman" w:hAnsi="Times New Roman" w:cs="Times New Roman"/>
          <w:b w:val="0"/>
          <w:i w:val="0"/>
          <w:sz w:val="22"/>
        </w:rPr>
        <w:t>- Set up the automated deletion cron job.</w:t>
      </w:r>
    </w:p>
    <w:p>
      <w:pPr>
        <w:spacing w:after="80" w:line="293" w:lineRule="auto"/>
        <w:jc w:val="left"/>
      </w:pPr>
      <w:r>
        <w:rPr>
          <w:rFonts w:ascii="Times New Roman" w:hAnsi="Times New Roman" w:cs="Times New Roman"/>
          <w:b w:val="0"/>
          <w:i w:val="0"/>
          <w:sz w:val="22"/>
        </w:rPr>
        <w:t>Training &amp; awareness:</w:t>
      </w:r>
    </w:p>
    <w:p>
      <w:pPr>
        <w:spacing w:after="80" w:line="293" w:lineRule="auto"/>
        <w:ind w:left="283"/>
        <w:jc w:val="left"/>
      </w:pPr>
      <w:r>
        <w:rPr>
          <w:rFonts w:ascii="Times New Roman" w:hAnsi="Times New Roman" w:cs="Times New Roman"/>
          <w:b w:val="0"/>
          <w:i w:val="0"/>
          <w:sz w:val="22"/>
        </w:rPr>
        <w:t>- Develop PDPL training materials for all SGTX employees.</w:t>
      </w:r>
    </w:p>
    <w:p>
      <w:pPr>
        <w:spacing w:after="80" w:line="293" w:lineRule="auto"/>
        <w:ind w:left="283"/>
        <w:jc w:val="left"/>
      </w:pPr>
      <w:r>
        <w:rPr>
          <w:rFonts w:ascii="Times New Roman" w:hAnsi="Times New Roman" w:cs="Times New Roman"/>
          <w:b w:val="0"/>
          <w:i w:val="0"/>
          <w:sz w:val="22"/>
        </w:rPr>
        <w:t>- Mandatory annual PDPL training for employees processing personal data.</w:t>
      </w:r>
    </w:p>
    <w:p>
      <w:pPr>
        <w:spacing w:after="80" w:line="293" w:lineRule="auto"/>
        <w:ind w:left="283"/>
        <w:jc w:val="left"/>
      </w:pPr>
      <w:r>
        <w:rPr>
          <w:rFonts w:ascii="Times New Roman" w:hAnsi="Times New Roman" w:cs="Times New Roman"/>
          <w:b w:val="0"/>
          <w:i w:val="0"/>
          <w:sz w:val="22"/>
        </w:rPr>
        <w:t>- Document data processing activities (Article 24).</w:t>
      </w:r>
    </w:p>
    <w:p>
      <w:pPr>
        <w:keepNext/>
        <w:spacing w:before="240" w:after="100"/>
        <w:outlineLvl w:val="1"/>
      </w:pPr>
      <w:r>
        <w:rPr>
          <w:rFonts w:ascii="Arial" w:hAnsi="Arial" w:cs="Arial"/>
          <w:b/>
          <w:i w:val="0"/>
          <w:color w:val="2E528F"/>
          <w:sz w:val="26"/>
        </w:rPr>
        <w:t>21.10 Trade Memory Layer &amp; Predictive Trade Insights</w:t>
      </w:r>
    </w:p>
    <w:p>
      <w:pPr>
        <w:keepNext/>
        <w:spacing w:before="180" w:after="80"/>
        <w:outlineLvl w:val="2"/>
      </w:pPr>
      <w:r>
        <w:rPr>
          <w:rFonts w:ascii="Arial" w:hAnsi="Arial" w:cs="Arial"/>
          <w:b/>
          <w:i w:val="0"/>
          <w:color w:val="333333"/>
          <w:sz w:val="23"/>
        </w:rPr>
        <w:t>21.10.1 Purpose &amp; Design Philosophy</w:t>
      </w:r>
    </w:p>
    <w:p>
      <w:pPr>
        <w:spacing w:after="80" w:line="293" w:lineRule="auto"/>
        <w:jc w:val="left"/>
      </w:pPr>
      <w:r>
        <w:rPr>
          <w:rFonts w:ascii="Times New Roman" w:hAnsi="Times New Roman" w:cs="Times New Roman"/>
          <w:b w:val="0"/>
          <w:i w:val="0"/>
          <w:sz w:val="22"/>
        </w:rPr>
        <w:t>The Trade Memory Layer is the long-term, structured knowledge base of every trade event that occurs on the SGTX platform. Unlike raw audit logs (which are technical and access-controlled), Trade Memory captures semantic, anonymised facts about delays, disputes, documentation failures, customs issues, financing outcomes, and logistics performance. This data is used exclusively for:</w:t>
      </w:r>
    </w:p>
    <w:p>
      <w:pPr>
        <w:spacing w:after="80" w:line="293" w:lineRule="auto"/>
        <w:ind w:left="283"/>
        <w:jc w:val="left"/>
      </w:pPr>
      <w:r>
        <w:rPr>
          <w:rFonts w:ascii="Times New Roman" w:hAnsi="Times New Roman" w:cs="Times New Roman"/>
          <w:b w:val="0"/>
          <w:i w:val="0"/>
          <w:sz w:val="22"/>
        </w:rPr>
        <w:t>- Pattern detection — identifying recurring failure modes and bottlenecks.</w:t>
      </w:r>
    </w:p>
    <w:p>
      <w:pPr>
        <w:spacing w:after="80" w:line="293" w:lineRule="auto"/>
        <w:ind w:left="283"/>
        <w:jc w:val="left"/>
      </w:pPr>
      <w:r>
        <w:rPr>
          <w:rFonts w:ascii="Times New Roman" w:hAnsi="Times New Roman" w:cs="Times New Roman"/>
          <w:b w:val="0"/>
          <w:i w:val="0"/>
          <w:sz w:val="22"/>
        </w:rPr>
        <w:t>- Predictive analytics — forecasting risks and outcomes for active trades.</w:t>
      </w:r>
    </w:p>
    <w:p>
      <w:pPr>
        <w:spacing w:after="80" w:line="293" w:lineRule="auto"/>
        <w:ind w:left="283"/>
        <w:jc w:val="left"/>
      </w:pPr>
      <w:r>
        <w:rPr>
          <w:rFonts w:ascii="Times New Roman" w:hAnsi="Times New Roman" w:cs="Times New Roman"/>
          <w:b w:val="0"/>
          <w:i w:val="0"/>
          <w:sz w:val="22"/>
        </w:rPr>
        <w:t>- AI model training (federated learning) — improving fraud detection, credit scoring, and margin estimation</w:t>
      </w:r>
    </w:p>
    <w:p>
      <w:pPr>
        <w:spacing w:after="80" w:line="293" w:lineRule="auto"/>
        <w:jc w:val="left"/>
      </w:pPr>
      <w:r>
        <w:rPr>
          <w:rFonts w:ascii="Times New Roman" w:hAnsi="Times New Roman" w:cs="Times New Roman"/>
          <w:b w:val="0"/>
          <w:i w:val="0"/>
          <w:sz w:val="22"/>
        </w:rPr>
        <w:t>without exposing raw data.</w:t>
      </w:r>
    </w:p>
    <w:p>
      <w:pPr>
        <w:spacing w:after="80" w:line="293" w:lineRule="auto"/>
        <w:ind w:left="283"/>
        <w:jc w:val="left"/>
      </w:pPr>
      <w:r>
        <w:rPr>
          <w:rFonts w:ascii="Times New Roman" w:hAnsi="Times New Roman" w:cs="Times New Roman"/>
          <w:b w:val="0"/>
          <w:i w:val="0"/>
          <w:sz w:val="22"/>
        </w:rPr>
        <w:t>- Strategic advisory — providing anonymised benchmarks and "what-if" insights to platform governance and</w:t>
      </w:r>
    </w:p>
    <w:p>
      <w:pPr>
        <w:spacing w:after="80" w:line="293" w:lineRule="auto"/>
        <w:jc w:val="left"/>
      </w:pPr>
      <w:r>
        <w:rPr>
          <w:rFonts w:ascii="Times New Roman" w:hAnsi="Times New Roman" w:cs="Times New Roman"/>
          <w:b w:val="0"/>
          <w:i w:val="0"/>
          <w:sz w:val="22"/>
        </w:rPr>
        <w:t>participating tenants (with consent).</w:t>
      </w:r>
    </w:p>
    <w:p>
      <w:pPr>
        <w:spacing w:after="80" w:line="293" w:lineRule="auto"/>
        <w:jc w:val="left"/>
      </w:pPr>
      <w:r>
        <w:rPr>
          <w:rFonts w:ascii="Times New Roman" w:hAnsi="Times New Roman" w:cs="Times New Roman"/>
          <w:b w:val="0"/>
          <w:i w:val="0"/>
          <w:sz w:val="22"/>
        </w:rPr>
        <w:t>All stored events are anonymised before retention: original GTIDs are replaced with persistent, non-reversible anonymous IDs. Raw event data remains in the audit log (subject to the retention rules of Section 21.9.8). The Trade Memory Layer is never used to recommend counterparties, rank service providers, or violate non-marketplace principles.</w:t>
      </w:r>
    </w:p>
    <w:p>
      <w:pPr>
        <w:spacing w:after="80" w:line="293" w:lineRule="auto"/>
        <w:jc w:val="left"/>
      </w:pPr>
      <w:r>
        <w:rPr>
          <w:rFonts w:ascii="Times New Roman" w:hAnsi="Times New Roman" w:cs="Times New Roman"/>
          <w:b w:val="0"/>
          <w:i w:val="0"/>
          <w:sz w:val="22"/>
        </w:rPr>
        <w:t>Key principles (non-marketplace, sovereign):</w:t>
      </w:r>
    </w:p>
    <w:p>
      <w:pPr>
        <w:spacing w:after="80" w:line="293" w:lineRule="auto"/>
        <w:ind w:left="283"/>
        <w:jc w:val="left"/>
      </w:pPr>
      <w:r>
        <w:rPr>
          <w:rFonts w:ascii="Times New Roman" w:hAnsi="Times New Roman" w:cs="Times New Roman"/>
          <w:b w:val="0"/>
          <w:i w:val="0"/>
          <w:sz w:val="22"/>
        </w:rPr>
        <w:t>- Anonymisation first — no personal or commercial data is stored in raw form.</w:t>
      </w:r>
    </w:p>
    <w:p>
      <w:pPr>
        <w:spacing w:after="80" w:line="293" w:lineRule="auto"/>
        <w:ind w:left="283"/>
        <w:jc w:val="left"/>
      </w:pPr>
      <w:r>
        <w:rPr>
          <w:rFonts w:ascii="Times New Roman" w:hAnsi="Times New Roman" w:cs="Times New Roman"/>
          <w:b w:val="0"/>
          <w:i w:val="0"/>
          <w:sz w:val="22"/>
        </w:rPr>
        <w:t>- Opt-in contribution — tenants control whether their data contributes to the memory layer.</w:t>
      </w:r>
    </w:p>
    <w:p>
      <w:pPr>
        <w:spacing w:after="80" w:line="293" w:lineRule="auto"/>
        <w:ind w:left="283"/>
        <w:jc w:val="left"/>
      </w:pPr>
      <w:r>
        <w:rPr>
          <w:rFonts w:ascii="Times New Roman" w:hAnsi="Times New Roman" w:cs="Times New Roman"/>
          <w:b w:val="0"/>
          <w:i w:val="0"/>
          <w:sz w:val="22"/>
        </w:rPr>
        <w:t>- Privacy-preserving analytics — all aggregates use differential privacy (ε=0.1).</w:t>
      </w:r>
    </w:p>
    <w:p>
      <w:pPr>
        <w:spacing w:after="80" w:line="293" w:lineRule="auto"/>
        <w:ind w:left="283"/>
        <w:jc w:val="left"/>
      </w:pPr>
      <w:r>
        <w:rPr>
          <w:rFonts w:ascii="Times New Roman" w:hAnsi="Times New Roman" w:cs="Times New Roman"/>
          <w:b w:val="0"/>
          <w:i w:val="0"/>
          <w:sz w:val="22"/>
        </w:rPr>
        <w:t>- Federated learning ready — data can be used for cross-node model training without sharing raw events.</w:t>
      </w:r>
    </w:p>
    <w:p>
      <w:pPr>
        <w:spacing w:after="80" w:line="293" w:lineRule="auto"/>
        <w:ind w:left="283"/>
        <w:jc w:val="left"/>
      </w:pPr>
      <w:r>
        <w:rPr>
          <w:rFonts w:ascii="Times New Roman" w:hAnsi="Times New Roman" w:cs="Times New Roman"/>
          <w:b w:val="0"/>
          <w:i w:val="0"/>
          <w:sz w:val="22"/>
        </w:rPr>
        <w:t>- No unsolicited recommendations — insights are advisory only and never used to suggest counterparties.</w:t>
      </w:r>
    </w:p>
    <w:p>
      <w:pPr>
        <w:keepNext/>
        <w:spacing w:before="180" w:after="80"/>
        <w:outlineLvl w:val="2"/>
      </w:pPr>
      <w:r>
        <w:rPr>
          <w:rFonts w:ascii="Arial" w:hAnsi="Arial" w:cs="Arial"/>
          <w:b/>
          <w:i w:val="0"/>
          <w:color w:val="333333"/>
          <w:sz w:val="23"/>
        </w:rPr>
        <w:t>21.10.2 Event Types Captured</w:t>
      </w:r>
    </w:p>
    <w:p>
      <w:pPr>
        <w:spacing w:after="80" w:line="293" w:lineRule="auto"/>
        <w:jc w:val="left"/>
      </w:pPr>
      <w:r>
        <w:rPr>
          <w:rFonts w:ascii="Times New Roman" w:hAnsi="Times New Roman" w:cs="Times New Roman"/>
          <w:b w:val="0"/>
          <w:i w:val="0"/>
          <w:sz w:val="22"/>
        </w:rPr>
        <w:t>Every significant workflow event is automatically captured and transformed into a standardised memory event. The core event categories are: TRADE, DELAY, DOCUMENTATION, DISPUTE, FINANCING, LOGISTICS, and COMPLIANCE. Each event carries the anonymised entity identifier, HS chapter, origin and destination country, incoterm, volume band ('SMALL' &lt;10t, 'MEDIUM' 10–50t, 'LARGE' &gt;50t), value band ('LOW' &lt;$10k, 'MEDIUM' $10k–$100k, 'HIGH' &gt;$100k), delay days, dispute category, resolution days, and a structured payload per event type.</w:t>
      </w:r>
    </w:p>
    <w:p>
      <w:pPr>
        <w:spacing w:after="80" w:line="293" w:lineRule="auto"/>
        <w:jc w:val="left"/>
      </w:pPr>
      <w:r>
        <w:rPr>
          <w:rFonts w:ascii="Times New Roman" w:hAnsi="Times New Roman" w:cs="Times New Roman"/>
          <w:b w:val="0"/>
          <w:i w:val="0"/>
          <w:sz w:val="22"/>
        </w:rPr>
        <w:t>Event storage schema:</w:t>
      </w:r>
    </w:p>
    <w:p>
      <w:pPr>
        <w:spacing w:after="0" w:before="0" w:line="240" w:lineRule="auto"/>
        <w:ind w:left="57"/>
        <w:jc w:val="left"/>
        <w:shd w:val="clear" w:fill="F2F2F2"/>
      </w:pPr>
      <w:r>
        <w:rPr>
          <w:rFonts w:ascii="Consolas" w:hAnsi="Consolas" w:cs="Consolas"/>
          <w:b w:val="0"/>
          <w:i w:val="0"/>
          <w:sz w:val="15"/>
        </w:rPr>
        <w:t>-- Trade Memory Events (hypertable)</w:t>
      </w:r>
    </w:p>
    <w:p>
      <w:pPr>
        <w:spacing w:after="0" w:before="0" w:line="240" w:lineRule="auto"/>
        <w:ind w:left="57"/>
        <w:jc w:val="left"/>
        <w:shd w:val="clear" w:fill="F2F2F2"/>
      </w:pPr>
      <w:r>
        <w:rPr>
          <w:rFonts w:ascii="Consolas" w:hAnsi="Consolas" w:cs="Consolas"/>
          <w:b w:val="0"/>
          <w:i w:val="0"/>
          <w:sz w:val="15"/>
        </w:rPr>
        <w:t>-- trade_memory_events: canonical definition in Section 14.5; not redefined here.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21.10.3 Anonymisation &amp; Privacy</w:t>
      </w:r>
    </w:p>
    <w:p>
      <w:pPr>
        <w:spacing w:after="80" w:line="293" w:lineRule="auto"/>
        <w:jc w:val="left"/>
      </w:pPr>
      <w:r>
        <w:rPr>
          <w:rFonts w:ascii="Times New Roman" w:hAnsi="Times New Roman" w:cs="Times New Roman"/>
          <w:b w:val="0"/>
          <w:i w:val="0"/>
          <w:sz w:val="22"/>
        </w:rPr>
        <w:t>Before any event is written to trade_memory_events, the following fields are irreversibly anonymised: the original GTID is replaced with a persistent anonymous entity ID; exact amounts and volumes are reduced to bands; free-text descriptions and document content are excluded entirely. Biometric voiceprints are processed only with explicit consent; driver location is consent-scoped; Trade Memory contributions are opt-in and anonymised at source.</w:t>
      </w:r>
    </w:p>
    <w:p>
      <w:pPr>
        <w:spacing w:after="80" w:line="293" w:lineRule="auto"/>
        <w:jc w:val="left"/>
      </w:pPr>
      <w:r>
        <w:rPr>
          <w:rFonts w:ascii="Times New Roman" w:hAnsi="Times New Roman" w:cs="Times New Roman"/>
          <w:b w:val="0"/>
          <w:i w:val="0"/>
          <w:sz w:val="22"/>
        </w:rPr>
        <w:t>Persistent anonymous entity ID generation (Rust):</w:t>
      </w:r>
    </w:p>
    <w:p>
      <w:pPr>
        <w:spacing w:after="0" w:before="0" w:line="240" w:lineRule="auto"/>
        <w:ind w:left="57"/>
        <w:jc w:val="left"/>
        <w:shd w:val="clear" w:fill="F2F2F2"/>
      </w:pPr>
      <w:r>
        <w:rPr>
          <w:rFonts w:ascii="Consolas" w:hAnsi="Consolas" w:cs="Consolas"/>
          <w:b w:val="0"/>
          <w:i w:val="0"/>
          <w:sz w:val="15"/>
        </w:rPr>
        <w:t>use sha2::{Sha256, Digest};</w:t>
      </w:r>
    </w:p>
    <w:p>
      <w:pPr>
        <w:spacing w:after="0" w:before="0" w:line="240" w:lineRule="auto"/>
        <w:ind w:left="57"/>
        <w:jc w:val="left"/>
        <w:shd w:val="clear" w:fill="F2F2F2"/>
      </w:pPr>
      <w:r>
        <w:rPr>
          <w:rFonts w:ascii="Consolas" w:hAnsi="Consolas" w:cs="Consolas"/>
          <w:b w:val="0"/>
          <w:i w:val="0"/>
          <w:sz w:val="15"/>
        </w:rPr>
        <w:t>use chrono::Utc;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fn generate_anonymous_id(gtid: &amp;str, pepper: &amp;str) -&gt; String {</w:t>
      </w:r>
    </w:p>
    <w:p>
      <w:pPr>
        <w:spacing w:after="0" w:before="0" w:line="240" w:lineRule="auto"/>
        <w:ind w:left="57"/>
        <w:jc w:val="left"/>
        <w:shd w:val="clear" w:fill="F2F2F2"/>
      </w:pPr>
      <w:r>
        <w:rPr>
          <w:rFonts w:ascii="Consolas" w:hAnsi="Consolas" w:cs="Consolas"/>
          <w:b w:val="0"/>
          <w:i w:val="0"/>
          <w:sz w:val="15"/>
        </w:rPr>
        <w:t xml:space="preserve">    let mut hasher = Sha256::new();</w:t>
      </w:r>
    </w:p>
    <w:p>
      <w:pPr>
        <w:spacing w:after="0" w:before="0" w:line="240" w:lineRule="auto"/>
        <w:ind w:left="57"/>
        <w:jc w:val="left"/>
        <w:shd w:val="clear" w:fill="F2F2F2"/>
      </w:pPr>
      <w:r>
        <w:rPr>
          <w:rFonts w:ascii="Consolas" w:hAnsi="Consolas" w:cs="Consolas"/>
          <w:b w:val="0"/>
          <w:i w:val="0"/>
          <w:sz w:val="15"/>
        </w:rPr>
        <w:t xml:space="preserve">    hasher.update(gtid.as_bytes());</w:t>
      </w:r>
    </w:p>
    <w:p>
      <w:pPr>
        <w:spacing w:after="0" w:before="0" w:line="240" w:lineRule="auto"/>
        <w:ind w:left="57"/>
        <w:jc w:val="left"/>
        <w:shd w:val="clear" w:fill="F2F2F2"/>
      </w:pPr>
      <w:r>
        <w:rPr>
          <w:rFonts w:ascii="Consolas" w:hAnsi="Consolas" w:cs="Consolas"/>
          <w:b w:val="0"/>
          <w:i w:val="0"/>
          <w:sz w:val="15"/>
        </w:rPr>
        <w:t xml:space="preserve">    hasher.update(pepper.as_bytes());</w:t>
      </w:r>
    </w:p>
    <w:p>
      <w:pPr>
        <w:spacing w:after="0" w:before="0" w:line="240" w:lineRule="auto"/>
        <w:ind w:left="57"/>
        <w:jc w:val="left"/>
        <w:shd w:val="clear" w:fill="F2F2F2"/>
      </w:pPr>
      <w:r>
        <w:rPr>
          <w:rFonts w:ascii="Consolas" w:hAnsi="Consolas" w:cs="Consolas"/>
          <w:b w:val="0"/>
          <w:i w:val="0"/>
          <w:sz w:val="15"/>
        </w:rPr>
        <w:t xml:space="preserve">    let result = hasher.finalize();</w:t>
      </w:r>
    </w:p>
    <w:p>
      <w:pPr>
        <w:spacing w:after="0" w:before="0" w:line="240" w:lineRule="auto"/>
        <w:ind w:left="57"/>
        <w:jc w:val="left"/>
        <w:shd w:val="clear" w:fill="F2F2F2"/>
      </w:pPr>
      <w:r>
        <w:rPr>
          <w:rFonts w:ascii="Consolas" w:hAnsi="Consolas" w:cs="Consolas"/>
          <w:b w:val="0"/>
          <w:i w:val="0"/>
          <w:sz w:val="15"/>
        </w:rPr>
        <w:t xml:space="preserve">    format!("anon_{:016x}", u64::from_be_bytes(result[0..8].try_into().unwrap()))</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fn get_current_pepper() -&gt; String {</w:t>
      </w:r>
    </w:p>
    <w:p>
      <w:pPr>
        <w:spacing w:after="0" w:before="0" w:line="240" w:lineRule="auto"/>
        <w:ind w:left="57"/>
        <w:jc w:val="left"/>
        <w:shd w:val="clear" w:fill="F2F2F2"/>
      </w:pPr>
      <w:r>
        <w:rPr>
          <w:rFonts w:ascii="Consolas" w:hAnsi="Consolas" w:cs="Consolas"/>
          <w:b w:val="0"/>
          <w:i w:val="0"/>
          <w:sz w:val="15"/>
        </w:rPr>
        <w:t xml:space="preserve">    // Pepper changes every 90 days</w:t>
      </w:r>
    </w:p>
    <w:p>
      <w:pPr>
        <w:spacing w:after="0" w:before="0" w:line="240" w:lineRule="auto"/>
        <w:ind w:left="57"/>
        <w:jc w:val="left"/>
        <w:shd w:val="clear" w:fill="F2F2F2"/>
      </w:pPr>
      <w:r>
        <w:rPr>
          <w:rFonts w:ascii="Consolas" w:hAnsi="Consolas" w:cs="Consolas"/>
          <w:b w:val="0"/>
          <w:i w:val="0"/>
          <w:sz w:val="15"/>
        </w:rPr>
        <w:t xml:space="preserve">    let days_since_epoch = Utc::now().num_days_from_ce() / 90;</w:t>
      </w:r>
    </w:p>
    <w:p>
      <w:pPr>
        <w:spacing w:after="0" w:before="0" w:line="240" w:lineRule="auto"/>
        <w:ind w:left="57"/>
        <w:jc w:val="left"/>
        <w:shd w:val="clear" w:fill="F2F2F2"/>
      </w:pPr>
      <w:r>
        <w:rPr>
          <w:rFonts w:ascii="Consolas" w:hAnsi="Consolas" w:cs="Consolas"/>
          <w:b w:val="0"/>
          <w:i w:val="0"/>
          <w:sz w:val="15"/>
        </w:rPr>
        <w:t xml:space="preserve">    format!("pepper_{}", days_since_epoch)</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Consent &amp; opt-out: the contribution toggle is presented in Company Admin → Privacy: "Contribute anonymised trade data to improve platform intelligence." The data will be anonymised and used for pattern detection (identifying bottlenecks, delays, disputes), predictive analytics (delay risk, default probability), and AI model training (federated learning). What is NOT shared: the tenant's identity (the GTID is replaced with an anonymous ID); exact amounts (only bands); free-text descriptions; document content. Users can opt out at any time; historical data already anonymised cannot be retroactively deleted.</w:t>
      </w:r>
    </w:p>
    <w:p>
      <w:pPr>
        <w:spacing w:after="80" w:line="293" w:lineRule="auto"/>
        <w:jc w:val="left"/>
      </w:pPr>
      <w:r>
        <w:rPr>
          <w:rFonts w:ascii="Times New Roman" w:hAnsi="Times New Roman" w:cs="Times New Roman"/>
          <w:b w:val="0"/>
          <w:i w:val="0"/>
          <w:sz w:val="22"/>
        </w:rPr>
        <w:t>Retention &amp; deletion: raw events remain in the audit log under the retention rules of Section 21.9.8; the anonymous-entity mapping table is deleted after 90 days, so anonymous IDs cannot be linked back to GTIDs after that window.</w:t>
      </w:r>
    </w:p>
    <w:p>
      <w:pPr>
        <w:keepNext/>
        <w:spacing w:before="180" w:after="80"/>
        <w:outlineLvl w:val="2"/>
      </w:pPr>
      <w:r>
        <w:rPr>
          <w:rFonts w:ascii="Arial" w:hAnsi="Arial" w:cs="Arial"/>
          <w:b/>
          <w:i w:val="0"/>
          <w:color w:val="333333"/>
          <w:sz w:val="23"/>
        </w:rPr>
        <w:t>21.10.4 Storage &amp; Querying</w:t>
      </w:r>
    </w:p>
    <w:p>
      <w:pPr>
        <w:spacing w:after="80" w:line="293" w:lineRule="auto"/>
        <w:jc w:val="left"/>
      </w:pPr>
      <w:r>
        <w:rPr>
          <w:rFonts w:ascii="Times New Roman" w:hAnsi="Times New Roman" w:cs="Times New Roman"/>
          <w:b w:val="0"/>
          <w:i w:val="0"/>
          <w:sz w:val="22"/>
        </w:rPr>
        <w:t>TimescaleDB hypertable:</w:t>
      </w:r>
    </w:p>
    <w:p>
      <w:pPr>
        <w:spacing w:after="0" w:before="0" w:line="240" w:lineRule="auto"/>
        <w:ind w:left="57"/>
        <w:jc w:val="left"/>
        <w:shd w:val="clear" w:fill="F2F2F2"/>
      </w:pPr>
      <w:r>
        <w:rPr>
          <w:rFonts w:ascii="Consolas" w:hAnsi="Consolas" w:cs="Consolas"/>
          <w:b w:val="0"/>
          <w:i w:val="0"/>
          <w:sz w:val="15"/>
        </w:rPr>
        <w:t>-- Create hypertable for time-series storage</w:t>
      </w:r>
    </w:p>
    <w:p>
      <w:pPr>
        <w:spacing w:after="0" w:before="0" w:line="240" w:lineRule="auto"/>
        <w:ind w:left="57"/>
        <w:jc w:val="left"/>
        <w:shd w:val="clear" w:fill="F2F2F2"/>
      </w:pPr>
      <w:r>
        <w:rPr>
          <w:rFonts w:ascii="Consolas" w:hAnsi="Consolas" w:cs="Consolas"/>
          <w:b w:val="0"/>
          <w:i w:val="0"/>
          <w:sz w:val="15"/>
        </w:rPr>
        <w:t>SELECT create_hypertable('trade_memory_events', 'occurred_week');</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Compress old data (after 6 months)</w:t>
      </w:r>
    </w:p>
    <w:p>
      <w:pPr>
        <w:spacing w:after="0" w:before="0" w:line="240" w:lineRule="auto"/>
        <w:ind w:left="57"/>
        <w:jc w:val="left"/>
        <w:shd w:val="clear" w:fill="F2F2F2"/>
      </w:pPr>
      <w:r>
        <w:rPr>
          <w:rFonts w:ascii="Consolas" w:hAnsi="Consolas" w:cs="Consolas"/>
          <w:b w:val="0"/>
          <w:i w:val="0"/>
          <w:sz w:val="15"/>
        </w:rPr>
        <w:t>ALTER TABLE trade_memory_events SET (</w:t>
      </w:r>
    </w:p>
    <w:p>
      <w:pPr>
        <w:spacing w:after="0" w:before="0" w:line="240" w:lineRule="auto"/>
        <w:ind w:left="57"/>
        <w:jc w:val="left"/>
        <w:shd w:val="clear" w:fill="F2F2F2"/>
      </w:pPr>
      <w:r>
        <w:rPr>
          <w:rFonts w:ascii="Consolas" w:hAnsi="Consolas" w:cs="Consolas"/>
          <w:b w:val="0"/>
          <w:i w:val="0"/>
          <w:sz w:val="15"/>
        </w:rPr>
        <w:t xml:space="preserve">  timescaledb.compress,</w:t>
      </w:r>
    </w:p>
    <w:p>
      <w:pPr>
        <w:spacing w:after="0" w:before="0" w:line="240" w:lineRule="auto"/>
        <w:ind w:left="57"/>
        <w:jc w:val="left"/>
        <w:shd w:val="clear" w:fill="F2F2F2"/>
      </w:pPr>
      <w:r>
        <w:rPr>
          <w:rFonts w:ascii="Consolas" w:hAnsi="Consolas" w:cs="Consolas"/>
          <w:b w:val="0"/>
          <w:i w:val="0"/>
          <w:sz w:val="15"/>
        </w:rPr>
        <w:t xml:space="preserve">  timescaledb.compress_segmentby = 'category, event_type'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 for fast querying</w:t>
      </w:r>
    </w:p>
    <w:p>
      <w:pPr>
        <w:spacing w:after="0" w:before="0" w:line="240" w:lineRule="auto"/>
        <w:ind w:left="57"/>
        <w:jc w:val="left"/>
        <w:shd w:val="clear" w:fill="F2F2F2"/>
      </w:pPr>
      <w:r>
        <w:rPr>
          <w:rFonts w:ascii="Consolas" w:hAnsi="Consolas" w:cs="Consolas"/>
          <w:b w:val="0"/>
          <w:i w:val="0"/>
          <w:sz w:val="15"/>
        </w:rPr>
        <w:t>CREATE INDEX idx_trade_memory_events_category ON trade_memory_events(category);</w:t>
      </w:r>
    </w:p>
    <w:p>
      <w:pPr>
        <w:spacing w:after="0" w:before="0" w:line="240" w:lineRule="auto"/>
        <w:ind w:left="57"/>
        <w:jc w:val="left"/>
        <w:shd w:val="clear" w:fill="F2F2F2"/>
      </w:pPr>
      <w:r>
        <w:rPr>
          <w:rFonts w:ascii="Consolas" w:hAnsi="Consolas" w:cs="Consolas"/>
          <w:b w:val="0"/>
          <w:i w:val="0"/>
          <w:sz w:val="15"/>
        </w:rPr>
        <w:t>CREATE INDEX idx_trade_memory_events_event_type ON trade_memory_events(event_type);</w:t>
      </w:r>
    </w:p>
    <w:p>
      <w:pPr>
        <w:spacing w:after="0" w:before="0" w:line="240" w:lineRule="auto"/>
        <w:ind w:left="57"/>
        <w:jc w:val="left"/>
        <w:shd w:val="clear" w:fill="F2F2F2"/>
      </w:pPr>
      <w:r>
        <w:rPr>
          <w:rFonts w:ascii="Consolas" w:hAnsi="Consolas" w:cs="Consolas"/>
          <w:b w:val="0"/>
          <w:i w:val="0"/>
          <w:sz w:val="15"/>
        </w:rPr>
        <w:t>CREATE INDEX idx_trade_memory_events_occurred_week ON trade_memory_events(occurred_week);</w:t>
      </w:r>
    </w:p>
    <w:p>
      <w:pPr>
        <w:spacing w:after="0" w:before="0" w:line="240" w:lineRule="auto"/>
        <w:ind w:left="57"/>
        <w:jc w:val="left"/>
        <w:shd w:val="clear" w:fill="F2F2F2"/>
      </w:pPr>
      <w:r>
        <w:rPr>
          <w:rFonts w:ascii="Consolas" w:hAnsi="Consolas" w:cs="Consolas"/>
          <w:b w:val="0"/>
          <w:i w:val="0"/>
          <w:sz w:val="15"/>
        </w:rPr>
        <w:t>CREATE INDEX idx_trade_memory_events_origin ON trade_memory_events(origin_country);</w:t>
      </w:r>
    </w:p>
    <w:p>
      <w:pPr>
        <w:spacing w:after="0" w:before="0" w:line="240" w:lineRule="auto"/>
        <w:ind w:left="57"/>
        <w:jc w:val="left"/>
        <w:shd w:val="clear" w:fill="F2F2F2"/>
      </w:pPr>
      <w:r>
        <w:rPr>
          <w:rFonts w:ascii="Consolas" w:hAnsi="Consolas" w:cs="Consolas"/>
          <w:b w:val="0"/>
          <w:i w:val="0"/>
          <w:sz w:val="15"/>
        </w:rPr>
        <w:t>CREATE INDEX idx_trade_memory_events_destination ON trade_memory_events(destination_country);</w:t>
      </w:r>
    </w:p>
    <w:p>
      <w:pPr>
        <w:spacing w:after="0" w:before="0" w:line="240" w:lineRule="auto"/>
        <w:ind w:left="57"/>
        <w:jc w:val="left"/>
        <w:shd w:val="clear" w:fill="F2F2F2"/>
      </w:pPr>
      <w:r>
        <w:rPr>
          <w:rFonts w:ascii="Consolas" w:hAnsi="Consolas" w:cs="Consolas"/>
          <w:b w:val="0"/>
          <w:i w:val="0"/>
          <w:sz w:val="15"/>
        </w:rPr>
        <w:t>CREATE INDEX idx_trade_memory_events_hs ON trade_memory_events(hs_chapter);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Query interface (internal only): no external API is exposed. Internal services (AI Risk Engine, Predictive Insights, Federated Learning) query the memory layer via a gRPC interface with strict rate limits and audit logging. All queries are logged in audit_log with purpose (e.g., 'predictive_insight', 'model_training').</w:t>
      </w:r>
    </w:p>
    <w:p>
      <w:pPr>
        <w:spacing w:after="80" w:line="293" w:lineRule="auto"/>
        <w:jc w:val="left"/>
      </w:pPr>
      <w:r>
        <w:rPr>
          <w:rFonts w:ascii="Times New Roman" w:hAnsi="Times New Roman" w:cs="Times New Roman"/>
          <w:b w:val="0"/>
          <w:i w:val="0"/>
          <w:sz w:val="22"/>
        </w:rPr>
        <w:t>Example internal query (Rust):</w:t>
      </w:r>
    </w:p>
    <w:p>
      <w:pPr>
        <w:spacing w:after="0" w:before="0" w:line="240" w:lineRule="auto"/>
        <w:ind w:left="57"/>
        <w:jc w:val="left"/>
        <w:shd w:val="clear" w:fill="F2F2F2"/>
      </w:pPr>
      <w:r>
        <w:rPr>
          <w:rFonts w:ascii="Consolas" w:hAnsi="Consolas" w:cs="Consolas"/>
          <w:b w:val="0"/>
          <w:i w:val="0"/>
          <w:sz w:val="15"/>
        </w:rPr>
        <w:t>let delays = memory_store.query(Query::new()</w:t>
      </w:r>
    </w:p>
    <w:p>
      <w:pPr>
        <w:spacing w:after="0" w:before="0" w:line="240" w:lineRule="auto"/>
        <w:ind w:left="57"/>
        <w:jc w:val="left"/>
        <w:shd w:val="clear" w:fill="F2F2F2"/>
      </w:pPr>
      <w:r>
        <w:rPr>
          <w:rFonts w:ascii="Consolas" w:hAnsi="Consolas" w:cs="Consolas"/>
          <w:b w:val="0"/>
          <w:i w:val="0"/>
          <w:sz w:val="15"/>
        </w:rPr>
        <w:t xml:space="preserve">    .category("DELAY")</w:t>
      </w:r>
    </w:p>
    <w:p>
      <w:pPr>
        <w:spacing w:after="0" w:before="0" w:line="240" w:lineRule="auto"/>
        <w:ind w:left="57"/>
        <w:jc w:val="left"/>
        <w:shd w:val="clear" w:fill="F2F2F2"/>
      </w:pPr>
      <w:r>
        <w:rPr>
          <w:rFonts w:ascii="Consolas" w:hAnsi="Consolas" w:cs="Consolas"/>
          <w:b w:val="0"/>
          <w:i w:val="0"/>
          <w:sz w:val="15"/>
        </w:rPr>
        <w:t xml:space="preserve">    .origin("EG")</w:t>
      </w:r>
    </w:p>
    <w:p>
      <w:pPr>
        <w:spacing w:after="0" w:before="0" w:line="240" w:lineRule="auto"/>
        <w:ind w:left="57"/>
        <w:jc w:val="left"/>
        <w:shd w:val="clear" w:fill="F2F2F2"/>
      </w:pPr>
      <w:r>
        <w:rPr>
          <w:rFonts w:ascii="Consolas" w:hAnsi="Consolas" w:cs="Consolas"/>
          <w:b w:val="0"/>
          <w:i w:val="0"/>
          <w:sz w:val="15"/>
        </w:rPr>
        <w:t xml:space="preserve">    .destination("DE")</w:t>
      </w:r>
    </w:p>
    <w:p>
      <w:pPr>
        <w:spacing w:after="0" w:before="0" w:line="240" w:lineRule="auto"/>
        <w:ind w:left="57"/>
        <w:jc w:val="left"/>
        <w:shd w:val="clear" w:fill="F2F2F2"/>
      </w:pPr>
      <w:r>
        <w:rPr>
          <w:rFonts w:ascii="Consolas" w:hAnsi="Consolas" w:cs="Consolas"/>
          <w:b w:val="0"/>
          <w:i w:val="0"/>
          <w:sz w:val="15"/>
        </w:rPr>
        <w:t xml:space="preserve">    .hs_chapter("08")</w:t>
      </w:r>
    </w:p>
    <w:p>
      <w:pPr>
        <w:spacing w:after="0" w:before="0" w:line="240" w:lineRule="auto"/>
        <w:ind w:left="57"/>
        <w:jc w:val="left"/>
        <w:shd w:val="clear" w:fill="F2F2F2"/>
      </w:pPr>
      <w:r>
        <w:rPr>
          <w:rFonts w:ascii="Consolas" w:hAnsi="Consolas" w:cs="Consolas"/>
          <w:b w:val="0"/>
          <w:i w:val="0"/>
          <w:sz w:val="15"/>
        </w:rPr>
        <w:t xml:space="preserve">    .weeks_last(12)</w:t>
      </w:r>
    </w:p>
    <w:p>
      <w:pPr>
        <w:spacing w:after="0" w:before="0" w:line="240" w:lineRule="auto"/>
        <w:ind w:left="57"/>
        <w:jc w:val="left"/>
        <w:shd w:val="clear" w:fill="F2F2F2"/>
      </w:pPr>
      <w:r>
        <w:rPr>
          <w:rFonts w:ascii="Consolas" w:hAnsi="Consolas" w:cs="Consolas"/>
          <w:b w:val="0"/>
          <w:i w:val="0"/>
          <w:sz w:val="15"/>
        </w:rPr>
        <w:t xml:space="preserve">    .aggregate(Aggregate::Percentile("delay_days", 95))</w:t>
      </w:r>
    </w:p>
    <w:p>
      <w:pPr>
        <w:spacing w:after="0" w:before="0" w:line="240" w:lineRule="auto"/>
        <w:ind w:left="57"/>
        <w:jc w:val="left"/>
        <w:shd w:val="clear" w:fill="F2F2F2"/>
      </w:pPr>
      <w:r>
        <w:rPr>
          <w:rFonts w:ascii="Consolas" w:hAnsi="Consolas" w:cs="Consolas"/>
          <w:b w:val="0"/>
          <w:i w:val="0"/>
          <w:sz w:val="15"/>
        </w:rPr>
        <w:t>).await?;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21.10.5 Predictive Trade Insights (Generated Daily)</w:t>
      </w:r>
    </w:p>
    <w:p>
      <w:pPr>
        <w:spacing w:after="80" w:line="293" w:lineRule="auto"/>
        <w:jc w:val="left"/>
      </w:pPr>
      <w:r>
        <w:rPr>
          <w:rFonts w:ascii="Times New Roman" w:hAnsi="Times New Roman" w:cs="Times New Roman"/>
          <w:b w:val="0"/>
          <w:i w:val="0"/>
          <w:sz w:val="22"/>
        </w:rPr>
        <w:t>Every night at 02:00 UTC, the predictive-insights service runs a set of models trained on the Trade Memory Layer. Outputs are stored in predictive_insights and pushed to relevant Smart Inboxes. The model families are XGBoost, LightGBM, LSTM, Prophet, and Random Forest; the insight types include delay risk, default probability, and dispute likelihood, each with a probability, confidence interval, and a plain-language recommendation (Groq, A1).</w:t>
      </w:r>
    </w:p>
    <w:p>
      <w:pPr>
        <w:spacing w:after="80" w:line="293" w:lineRule="auto"/>
        <w:jc w:val="left"/>
      </w:pPr>
      <w:r>
        <w:rPr>
          <w:rFonts w:ascii="Times New Roman" w:hAnsi="Times New Roman" w:cs="Times New Roman"/>
          <w:b w:val="0"/>
          <w:i w:val="0"/>
          <w:sz w:val="22"/>
        </w:rPr>
        <w:t>Output storage:</w:t>
      </w:r>
    </w:p>
    <w:p>
      <w:pPr>
        <w:spacing w:after="0" w:before="0" w:line="240" w:lineRule="auto"/>
        <w:ind w:left="57"/>
        <w:jc w:val="left"/>
        <w:shd w:val="clear" w:fill="F2F2F2"/>
      </w:pPr>
      <w:r>
        <w:rPr>
          <w:rFonts w:ascii="Consolas" w:hAnsi="Consolas" w:cs="Consolas"/>
          <w:b w:val="0"/>
          <w:i w:val="0"/>
          <w:sz w:val="15"/>
        </w:rPr>
        <w:t>-- predictive_insights: canonical definition in Section 14.5; not redefined here.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Insight delivery: insights are delivered to the Smart Inbox (priority 40) with one-click actions, and systemic insights are delivered to the Government Portal compliance monitor.</w:t>
      </w:r>
    </w:p>
    <w:p>
      <w:pPr>
        <w:spacing w:after="80" w:line="293" w:lineRule="auto"/>
        <w:jc w:val="left"/>
      </w:pPr>
      <w:r>
        <w:rPr>
          <w:rFonts w:ascii="Times New Roman" w:hAnsi="Times New Roman" w:cs="Times New Roman"/>
          <w:b w:val="0"/>
          <w:i w:val="0"/>
          <w:sz w:val="22"/>
        </w:rPr>
        <w:t>One-click actions: each insight may include actionable buttons (e.g., Investigate, Dismiss, View Details).</w:t>
      </w:r>
    </w:p>
    <w:p>
      <w:pPr>
        <w:keepNext/>
        <w:spacing w:before="180" w:after="80"/>
        <w:outlineLvl w:val="2"/>
      </w:pPr>
      <w:r>
        <w:rPr>
          <w:rFonts w:ascii="Arial" w:hAnsi="Arial" w:cs="Arial"/>
          <w:b/>
          <w:i w:val="0"/>
          <w:color w:val="333333"/>
          <w:sz w:val="23"/>
        </w:rPr>
        <w:t>21.10.6 Anomaly Detection &amp; Alerts</w:t>
      </w:r>
    </w:p>
    <w:p>
      <w:pPr>
        <w:spacing w:after="80" w:line="293" w:lineRule="auto"/>
        <w:jc w:val="left"/>
      </w:pPr>
      <w:r>
        <w:rPr>
          <w:rFonts w:ascii="Times New Roman" w:hAnsi="Times New Roman" w:cs="Times New Roman"/>
          <w:b w:val="0"/>
          <w:i w:val="0"/>
          <w:sz w:val="22"/>
        </w:rPr>
        <w:t>The anomaly-detector service (A2, Isolation Forest) runs every 6 hours, analysing dispute rates by corridor and commodity, delay distributions, and documentation failure rates. Anomalies are classified by severity (LOW, MEDIUM, HIGH, CRITICAL) and logged in anomaly_detection_logs.</w:t>
      </w:r>
    </w:p>
    <w:p>
      <w:pPr>
        <w:spacing w:after="80" w:line="293" w:lineRule="auto"/>
        <w:jc w:val="left"/>
      </w:pPr>
      <w:r>
        <w:rPr>
          <w:rFonts w:ascii="Times New Roman" w:hAnsi="Times New Roman" w:cs="Times New Roman"/>
          <w:b w:val="0"/>
          <w:i w:val="0"/>
          <w:sz w:val="22"/>
        </w:rPr>
        <w:t>Example alert (Groq-generated): "ANOMALY DETECTED — Dispute surge in citrus corridor. Corridor: Egypt → Germany. Commodity: Citrus (HS 0805). Anomaly: 3x increase in quality disputes over 7 days (12 disputes vs expected 4). Category: 70% mould, 30% weight shortage. Root cause analysis pending. [Investigate] [Dismiss]"</w:t>
      </w:r>
    </w:p>
    <w:p>
      <w:pPr>
        <w:keepNext/>
        <w:spacing w:before="180" w:after="80"/>
        <w:outlineLvl w:val="2"/>
      </w:pPr>
      <w:r>
        <w:rPr>
          <w:rFonts w:ascii="Arial" w:hAnsi="Arial" w:cs="Arial"/>
          <w:b/>
          <w:i w:val="0"/>
          <w:color w:val="333333"/>
          <w:sz w:val="23"/>
        </w:rPr>
        <w:t>21.10.7 Federated Learning Integration</w:t>
      </w:r>
    </w:p>
    <w:p>
      <w:pPr>
        <w:spacing w:after="80" w:line="293" w:lineRule="auto"/>
        <w:jc w:val="left"/>
      </w:pPr>
      <w:r>
        <w:rPr>
          <w:rFonts w:ascii="Times New Roman" w:hAnsi="Times New Roman" w:cs="Times New Roman"/>
          <w:b w:val="0"/>
          <w:i w:val="0"/>
          <w:sz w:val="22"/>
        </w:rPr>
        <w:t>The Trade Memory Layer provides anonymised training data for federated learning (Add-On 2, see Section 22). Each sovereign node trains local models on its own memory events, and only encrypted model updates are shared. The models trained on Trade Memory include fraud detection, credit scoring, and margin estimation. Privacy guarantee: differential privacy (ε=0.5) on model updates; raw events never leave the node.</w:t>
      </w:r>
    </w:p>
    <w:p>
      <w:pPr>
        <w:keepNext/>
        <w:spacing w:before="180" w:after="80"/>
        <w:outlineLvl w:val="2"/>
      </w:pPr>
      <w:r>
        <w:rPr>
          <w:rFonts w:ascii="Arial" w:hAnsi="Arial" w:cs="Arial"/>
          <w:b/>
          <w:i w:val="0"/>
          <w:color w:val="333333"/>
          <w:sz w:val="23"/>
        </w:rPr>
        <w:t>21.10.8 Governance &amp; Non-Marketplace Safeguards</w:t>
      </w:r>
    </w:p>
    <w:p>
      <w:pPr>
        <w:spacing w:after="80" w:line="293" w:lineRule="auto"/>
        <w:jc w:val="left"/>
      </w:pPr>
      <w:r>
        <w:rPr>
          <w:rFonts w:ascii="Times New Roman" w:hAnsi="Times New Roman" w:cs="Times New Roman"/>
          <w:b w:val="0"/>
          <w:i w:val="0"/>
          <w:sz w:val="22"/>
        </w:rPr>
        <w:t>Insights are advisory only and never recommend counterparties; the opt-out is respected for all new events; every query against the memory layer is audited with purpose; the layer is never used to rank service providers or produce marketplace-style comparisons.</w:t>
      </w:r>
    </w:p>
    <w:p>
      <w:pPr>
        <w:keepNext/>
        <w:spacing w:before="180" w:after="80"/>
        <w:outlineLvl w:val="2"/>
      </w:pPr>
      <w:r>
        <w:rPr>
          <w:rFonts w:ascii="Arial" w:hAnsi="Arial" w:cs="Arial"/>
          <w:b/>
          <w:i w:val="0"/>
          <w:color w:val="333333"/>
          <w:sz w:val="23"/>
        </w:rPr>
        <w:t>21.10.9 Trade Memory Database Schema</w:t>
      </w:r>
    </w:p>
    <w:p>
      <w:pPr>
        <w:spacing w:after="0" w:before="0" w:line="240" w:lineRule="auto"/>
        <w:ind w:left="57"/>
        <w:jc w:val="left"/>
        <w:shd w:val="clear" w:fill="F2F2F2"/>
      </w:pPr>
      <w:r>
        <w:rPr>
          <w:rFonts w:ascii="Consolas" w:hAnsi="Consolas" w:cs="Consolas"/>
          <w:b w:val="0"/>
          <w:i w:val="0"/>
          <w:sz w:val="15"/>
        </w:rPr>
        <w:t>-- Anomaly detection logs</w:t>
      </w:r>
    </w:p>
    <w:p>
      <w:pPr>
        <w:spacing w:after="0" w:before="0" w:line="240" w:lineRule="auto"/>
        <w:ind w:left="57"/>
        <w:jc w:val="left"/>
        <w:shd w:val="clear" w:fill="F2F2F2"/>
      </w:pPr>
      <w:r>
        <w:rPr>
          <w:rFonts w:ascii="Consolas" w:hAnsi="Consolas" w:cs="Consolas"/>
          <w:b w:val="0"/>
          <w:i w:val="0"/>
          <w:sz w:val="15"/>
        </w:rPr>
        <w:t>CREATE TABLE anomaly_detection_logs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anomaly_type TEXT NOT NULL,</w:t>
      </w:r>
    </w:p>
    <w:p>
      <w:pPr>
        <w:spacing w:after="0" w:before="0" w:line="240" w:lineRule="auto"/>
        <w:ind w:left="57"/>
        <w:jc w:val="left"/>
        <w:shd w:val="clear" w:fill="F2F2F2"/>
      </w:pPr>
      <w:r>
        <w:rPr>
          <w:rFonts w:ascii="Consolas" w:hAnsi="Consolas" w:cs="Consolas"/>
          <w:b w:val="0"/>
          <w:i w:val="0"/>
          <w:sz w:val="15"/>
        </w:rPr>
        <w:t xml:space="preserve">  severity TEXT NOT NULL,                -- 'LOW', 'MEDIUM', 'HIGH', 'CRITICAL'</w:t>
      </w:r>
    </w:p>
    <w:p>
      <w:pPr>
        <w:spacing w:after="0" w:before="0" w:line="240" w:lineRule="auto"/>
        <w:ind w:left="57"/>
        <w:jc w:val="left"/>
        <w:shd w:val="clear" w:fill="F2F2F2"/>
      </w:pPr>
      <w:r>
        <w:rPr>
          <w:rFonts w:ascii="Consolas" w:hAnsi="Consolas" w:cs="Consolas"/>
          <w:b w:val="0"/>
          <w:i w:val="0"/>
          <w:sz w:val="15"/>
        </w:rPr>
        <w:t xml:space="preserve">  corridor TEXT,</w:t>
      </w:r>
    </w:p>
    <w:p>
      <w:pPr>
        <w:spacing w:after="0" w:before="0" w:line="240" w:lineRule="auto"/>
        <w:ind w:left="57"/>
        <w:jc w:val="left"/>
        <w:shd w:val="clear" w:fill="F2F2F2"/>
      </w:pPr>
      <w:r>
        <w:rPr>
          <w:rFonts w:ascii="Consolas" w:hAnsi="Consolas" w:cs="Consolas"/>
          <w:b w:val="0"/>
          <w:i w:val="0"/>
          <w:sz w:val="15"/>
        </w:rPr>
        <w:t xml:space="preserve">  commodity_hs CHAR(2),</w:t>
      </w:r>
    </w:p>
    <w:p>
      <w:pPr>
        <w:spacing w:after="0" w:before="0" w:line="240" w:lineRule="auto"/>
        <w:ind w:left="57"/>
        <w:jc w:val="left"/>
        <w:shd w:val="clear" w:fill="F2F2F2"/>
      </w:pPr>
      <w:r>
        <w:rPr>
          <w:rFonts w:ascii="Consolas" w:hAnsi="Consolas" w:cs="Consolas"/>
          <w:b w:val="0"/>
          <w:i w:val="0"/>
          <w:sz w:val="15"/>
        </w:rPr>
        <w:t xml:space="preserve">  detected_value DECIMAL(10,2),</w:t>
      </w:r>
    </w:p>
    <w:p>
      <w:pPr>
        <w:spacing w:after="0" w:before="0" w:line="240" w:lineRule="auto"/>
        <w:ind w:left="57"/>
        <w:jc w:val="left"/>
        <w:shd w:val="clear" w:fill="F2F2F2"/>
      </w:pPr>
      <w:r>
        <w:rPr>
          <w:rFonts w:ascii="Consolas" w:hAnsi="Consolas" w:cs="Consolas"/>
          <w:b w:val="0"/>
          <w:i w:val="0"/>
          <w:sz w:val="15"/>
        </w:rPr>
        <w:t xml:space="preserve">  expected_value DECIMAL(10,2),</w:t>
      </w:r>
    </w:p>
    <w:p>
      <w:pPr>
        <w:spacing w:after="0" w:before="0" w:line="240" w:lineRule="auto"/>
        <w:ind w:left="57"/>
        <w:jc w:val="left"/>
        <w:shd w:val="clear" w:fill="F2F2F2"/>
      </w:pPr>
      <w:r>
        <w:rPr>
          <w:rFonts w:ascii="Consolas" w:hAnsi="Consolas" w:cs="Consolas"/>
          <w:b w:val="0"/>
          <w:i w:val="0"/>
          <w:sz w:val="15"/>
        </w:rPr>
        <w:t xml:space="preserve">  details JSONB,</w:t>
      </w:r>
    </w:p>
    <w:p>
      <w:pPr>
        <w:spacing w:after="0" w:before="0" w:line="240" w:lineRule="auto"/>
        <w:ind w:left="57"/>
        <w:jc w:val="left"/>
        <w:shd w:val="clear" w:fill="F2F2F2"/>
      </w:pPr>
      <w:r>
        <w:rPr>
          <w:rFonts w:ascii="Consolas" w:hAnsi="Consolas" w:cs="Consolas"/>
          <w:b w:val="0"/>
          <w:i w:val="0"/>
          <w:sz w:val="15"/>
        </w:rPr>
        <w:t xml:space="preserve">  groq_summary TEXT,</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Model metadata for predictive insights</w:t>
      </w:r>
    </w:p>
    <w:p>
      <w:pPr>
        <w:spacing w:after="0" w:before="0" w:line="240" w:lineRule="auto"/>
        <w:ind w:left="57"/>
        <w:jc w:val="left"/>
        <w:shd w:val="clear" w:fill="F2F2F2"/>
      </w:pPr>
      <w:r>
        <w:rPr>
          <w:rFonts w:ascii="Consolas" w:hAnsi="Consolas" w:cs="Consolas"/>
          <w:b w:val="0"/>
          <w:i w:val="0"/>
          <w:sz w:val="15"/>
        </w:rPr>
        <w:t>CREATE TABLE predictive_models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model_name TEXT NOT NULL UNIQUE,</w:t>
      </w:r>
    </w:p>
    <w:p>
      <w:pPr>
        <w:spacing w:after="0" w:before="0" w:line="240" w:lineRule="auto"/>
        <w:ind w:left="57"/>
        <w:jc w:val="left"/>
        <w:shd w:val="clear" w:fill="F2F2F2"/>
      </w:pPr>
      <w:r>
        <w:rPr>
          <w:rFonts w:ascii="Consolas" w:hAnsi="Consolas" w:cs="Consolas"/>
          <w:b w:val="0"/>
          <w:i w:val="0"/>
          <w:sz w:val="15"/>
        </w:rPr>
        <w:t xml:space="preserve">  model_type TEXT NOT NULL,              -- 'XGBOOST', 'LIGHTGBM', 'LSTM', 'PROPHET', 'RANDOM_FOREST'</w:t>
      </w:r>
    </w:p>
    <w:p>
      <w:pPr>
        <w:spacing w:after="0" w:before="0" w:line="240" w:lineRule="auto"/>
        <w:ind w:left="57"/>
        <w:jc w:val="left"/>
        <w:shd w:val="clear" w:fill="F2F2F2"/>
      </w:pPr>
      <w:r>
        <w:rPr>
          <w:rFonts w:ascii="Consolas" w:hAnsi="Consolas" w:cs="Consolas"/>
          <w:b w:val="0"/>
          <w:i w:val="0"/>
          <w:sz w:val="15"/>
        </w:rPr>
        <w:t xml:space="preserve">  version TEXT NOT NULL,</w:t>
      </w:r>
    </w:p>
    <w:p>
      <w:pPr>
        <w:spacing w:after="0" w:before="0" w:line="240" w:lineRule="auto"/>
        <w:ind w:left="57"/>
        <w:jc w:val="left"/>
        <w:shd w:val="clear" w:fill="F2F2F2"/>
      </w:pPr>
      <w:r>
        <w:rPr>
          <w:rFonts w:ascii="Consolas" w:hAnsi="Consolas" w:cs="Consolas"/>
          <w:b w:val="0"/>
          <w:i w:val="0"/>
          <w:sz w:val="15"/>
        </w:rPr>
        <w:t xml:space="preserve">  training_data_range_start DATE,</w:t>
      </w:r>
    </w:p>
    <w:p>
      <w:pPr>
        <w:spacing w:after="0" w:before="0" w:line="240" w:lineRule="auto"/>
        <w:ind w:left="57"/>
        <w:jc w:val="left"/>
        <w:shd w:val="clear" w:fill="F2F2F2"/>
      </w:pPr>
      <w:r>
        <w:rPr>
          <w:rFonts w:ascii="Consolas" w:hAnsi="Consolas" w:cs="Consolas"/>
          <w:b w:val="0"/>
          <w:i w:val="0"/>
          <w:sz w:val="15"/>
        </w:rPr>
        <w:t xml:space="preserve">  training_data_range_end DATE,</w:t>
      </w:r>
    </w:p>
    <w:p>
      <w:pPr>
        <w:spacing w:after="0" w:before="0" w:line="240" w:lineRule="auto"/>
        <w:ind w:left="57"/>
        <w:jc w:val="left"/>
        <w:shd w:val="clear" w:fill="F2F2F2"/>
      </w:pPr>
      <w:r>
        <w:rPr>
          <w:rFonts w:ascii="Consolas" w:hAnsi="Consolas" w:cs="Consolas"/>
          <w:b w:val="0"/>
          <w:i w:val="0"/>
          <w:sz w:val="15"/>
        </w:rPr>
        <w:t xml:space="preserve">  accuracy DECIMAL(5,4),</w:t>
      </w:r>
    </w:p>
    <w:p>
      <w:pPr>
        <w:spacing w:after="0" w:before="0" w:line="240" w:lineRule="auto"/>
        <w:ind w:left="57"/>
        <w:jc w:val="left"/>
        <w:shd w:val="clear" w:fill="F2F2F2"/>
      </w:pPr>
      <w:r>
        <w:rPr>
          <w:rFonts w:ascii="Consolas" w:hAnsi="Consolas" w:cs="Consolas"/>
          <w:b w:val="0"/>
          <w:i w:val="0"/>
          <w:sz w:val="15"/>
        </w:rPr>
        <w:t xml:space="preserve">  features TEXT[],</w:t>
      </w:r>
    </w:p>
    <w:p>
      <w:pPr>
        <w:spacing w:after="0" w:before="0" w:line="240" w:lineRule="auto"/>
        <w:ind w:left="57"/>
        <w:jc w:val="left"/>
        <w:shd w:val="clear" w:fill="F2F2F2"/>
      </w:pPr>
      <w:r>
        <w:rPr>
          <w:rFonts w:ascii="Consolas" w:hAnsi="Consolas" w:cs="Consolas"/>
          <w:b w:val="0"/>
          <w:i w:val="0"/>
          <w:sz w:val="15"/>
        </w:rPr>
        <w:t xml:space="preserve">  deployed_at TIMESTAMPTZ,</w:t>
      </w:r>
    </w:p>
    <w:p>
      <w:pPr>
        <w:spacing w:after="0" w:before="0" w:line="240" w:lineRule="auto"/>
        <w:ind w:left="57"/>
        <w:jc w:val="left"/>
        <w:shd w:val="clear" w:fill="F2F2F2"/>
      </w:pPr>
      <w:r>
        <w:rPr>
          <w:rFonts w:ascii="Consolas" w:hAnsi="Consolas" w:cs="Consolas"/>
          <w:b w:val="0"/>
          <w:i w:val="0"/>
          <w:sz w:val="15"/>
        </w:rPr>
        <w:t xml:space="preserve">  retired_at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idx_predictive_insights_type ON predictive_insights(insight_type);</w:t>
      </w:r>
    </w:p>
    <w:p>
      <w:pPr>
        <w:spacing w:after="0" w:before="0" w:line="240" w:lineRule="auto"/>
        <w:ind w:left="57"/>
        <w:jc w:val="left"/>
        <w:shd w:val="clear" w:fill="F2F2F2"/>
      </w:pPr>
      <w:r>
        <w:rPr>
          <w:rFonts w:ascii="Consolas" w:hAnsi="Consolas" w:cs="Consolas"/>
          <w:b w:val="0"/>
          <w:i w:val="0"/>
          <w:sz w:val="15"/>
        </w:rPr>
        <w:t>CREATE INDEX idx_predictive_insights_entity ON predictive_insights(target_entity);</w:t>
      </w:r>
    </w:p>
    <w:p>
      <w:pPr>
        <w:spacing w:after="0" w:before="0" w:line="240" w:lineRule="auto"/>
        <w:ind w:left="57"/>
        <w:jc w:val="left"/>
        <w:shd w:val="clear" w:fill="F2F2F2"/>
      </w:pPr>
      <w:r>
        <w:rPr>
          <w:rFonts w:ascii="Consolas" w:hAnsi="Consolas" w:cs="Consolas"/>
          <w:b w:val="0"/>
          <w:i w:val="0"/>
          <w:sz w:val="15"/>
        </w:rPr>
        <w:t>CREATE INDEX idx_predictive_insights_valid_until ON predictive_insights(valid_until);</w:t>
      </w:r>
    </w:p>
    <w:p>
      <w:pPr>
        <w:spacing w:after="0" w:before="0" w:line="240" w:lineRule="auto"/>
        <w:ind w:left="57"/>
        <w:jc w:val="left"/>
        <w:shd w:val="clear" w:fill="F2F2F2"/>
      </w:pPr>
      <w:r>
        <w:rPr>
          <w:rFonts w:ascii="Consolas" w:hAnsi="Consolas" w:cs="Consolas"/>
          <w:b w:val="0"/>
          <w:i w:val="0"/>
          <w:sz w:val="15"/>
        </w:rPr>
        <w:t>CREATE INDEX idx_anomaly_detection_logs_created ON anomaly_detection_logs(created_at DESC);</w:t>
      </w:r>
    </w:p>
    <w:p>
      <w:pPr>
        <w:spacing w:after="0" w:before="0" w:line="240" w:lineRule="auto"/>
        <w:ind w:left="57"/>
        <w:jc w:val="left"/>
        <w:shd w:val="clear" w:fill="F2F2F2"/>
      </w:pPr>
      <w:r>
        <w:rPr>
          <w:rFonts w:ascii="Consolas" w:hAnsi="Consolas" w:cs="Consolas"/>
          <w:b w:val="0"/>
          <w:i w:val="0"/>
          <w:sz w:val="15"/>
        </w:rPr>
        <w:t>CREATE INDEX idx_anomaly_detection_logs_severity ON anomaly_detection_logs(severity);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trade_memory_events hypertable and predictive_insights table are specified in Sections 21.10.2 and 21.10.5 respectively; the full platform schema is consolidated in Section 17.</w:t>
      </w:r>
    </w:p>
    <w:p>
      <w:pPr>
        <w:keepNext/>
        <w:spacing w:before="180" w:after="80"/>
        <w:outlineLvl w:val="2"/>
      </w:pPr>
      <w:r>
        <w:rPr>
          <w:rFonts w:ascii="Arial" w:hAnsi="Arial" w:cs="Arial"/>
          <w:b/>
          <w:i w:val="0"/>
          <w:color w:val="333333"/>
          <w:sz w:val="23"/>
        </w:rPr>
        <w:t>21.10.10 Trade Memory Implementation Checklist</w:t>
      </w:r>
    </w:p>
    <w:p>
      <w:pPr>
        <w:spacing w:after="80" w:line="293" w:lineRule="auto"/>
        <w:jc w:val="left"/>
      </w:pPr>
      <w:r>
        <w:rPr>
          <w:rFonts w:ascii="Times New Roman" w:hAnsi="Times New Roman" w:cs="Times New Roman"/>
          <w:b w:val="0"/>
          <w:i w:val="0"/>
          <w:sz w:val="22"/>
        </w:rPr>
        <w:t>Event capture:</w:t>
      </w:r>
    </w:p>
    <w:p>
      <w:pPr>
        <w:spacing w:after="80" w:line="293" w:lineRule="auto"/>
        <w:ind w:left="283"/>
        <w:jc w:val="left"/>
      </w:pPr>
      <w:r>
        <w:rPr>
          <w:rFonts w:ascii="Times New Roman" w:hAnsi="Times New Roman" w:cs="Times New Roman"/>
          <w:b w:val="0"/>
          <w:i w:val="0"/>
          <w:sz w:val="22"/>
        </w:rPr>
        <w:t>- Create the trade_memory_events hypertable (TimescaleDB).</w:t>
      </w:r>
    </w:p>
    <w:p>
      <w:pPr>
        <w:spacing w:after="80" w:line="293" w:lineRule="auto"/>
        <w:ind w:left="283"/>
        <w:jc w:val="left"/>
      </w:pPr>
      <w:r>
        <w:rPr>
          <w:rFonts w:ascii="Times New Roman" w:hAnsi="Times New Roman" w:cs="Times New Roman"/>
          <w:b w:val="0"/>
          <w:i w:val="0"/>
          <w:sz w:val="22"/>
        </w:rPr>
        <w:t>- Implement event capture hooks in all workflow services (trade, dispute, financing, logistics, QC).</w:t>
      </w:r>
    </w:p>
    <w:p>
      <w:pPr>
        <w:spacing w:after="80" w:line="293" w:lineRule="auto"/>
        <w:ind w:left="283"/>
        <w:jc w:val="left"/>
      </w:pPr>
      <w:r>
        <w:rPr>
          <w:rFonts w:ascii="Times New Roman" w:hAnsi="Times New Roman" w:cs="Times New Roman"/>
          <w:b w:val="0"/>
          <w:i w:val="0"/>
          <w:sz w:val="22"/>
        </w:rPr>
        <w:t>- Add category and event_type classification for all events.</w:t>
      </w:r>
    </w:p>
    <w:p>
      <w:pPr>
        <w:spacing w:after="80" w:line="293" w:lineRule="auto"/>
        <w:ind w:left="283"/>
        <w:jc w:val="left"/>
      </w:pPr>
      <w:r>
        <w:rPr>
          <w:rFonts w:ascii="Times New Roman" w:hAnsi="Times New Roman" w:cs="Times New Roman"/>
          <w:b w:val="0"/>
          <w:i w:val="0"/>
          <w:sz w:val="22"/>
        </w:rPr>
        <w:t>- Implement banding logic (volume, value, delay days).</w:t>
      </w:r>
    </w:p>
    <w:p>
      <w:pPr>
        <w:spacing w:after="80" w:line="293" w:lineRule="auto"/>
        <w:jc w:val="left"/>
      </w:pPr>
      <w:r>
        <w:rPr>
          <w:rFonts w:ascii="Times New Roman" w:hAnsi="Times New Roman" w:cs="Times New Roman"/>
          <w:b w:val="0"/>
          <w:i w:val="0"/>
          <w:sz w:val="22"/>
        </w:rPr>
        <w:t>Anonymisation:</w:t>
      </w:r>
    </w:p>
    <w:p>
      <w:pPr>
        <w:spacing w:after="80" w:line="293" w:lineRule="auto"/>
        <w:ind w:left="283"/>
        <w:jc w:val="left"/>
      </w:pPr>
      <w:r>
        <w:rPr>
          <w:rFonts w:ascii="Times New Roman" w:hAnsi="Times New Roman" w:cs="Times New Roman"/>
          <w:b w:val="0"/>
          <w:i w:val="0"/>
          <w:sz w:val="22"/>
        </w:rPr>
        <w:t>- Implement the anonymisation service (rotating pepper, deterministic hash, banding).</w:t>
      </w:r>
    </w:p>
    <w:p>
      <w:pPr>
        <w:spacing w:after="80" w:line="293" w:lineRule="auto"/>
        <w:ind w:left="283"/>
        <w:jc w:val="left"/>
      </w:pPr>
      <w:r>
        <w:rPr>
          <w:rFonts w:ascii="Times New Roman" w:hAnsi="Times New Roman" w:cs="Times New Roman"/>
          <w:b w:val="0"/>
          <w:i w:val="0"/>
          <w:sz w:val="22"/>
        </w:rPr>
        <w:t>- Add anonymous entity ID generation and mapping (deleted after 90 days).</w:t>
      </w:r>
    </w:p>
    <w:p>
      <w:pPr>
        <w:spacing w:after="80" w:line="293" w:lineRule="auto"/>
        <w:ind w:left="283"/>
        <w:jc w:val="left"/>
      </w:pPr>
      <w:r>
        <w:rPr>
          <w:rFonts w:ascii="Times New Roman" w:hAnsi="Times New Roman" w:cs="Times New Roman"/>
          <w:b w:val="0"/>
          <w:i w:val="0"/>
          <w:sz w:val="22"/>
        </w:rPr>
        <w:t>- Implement the opt-out toggle in Company Admin → Privacy.</w:t>
      </w:r>
    </w:p>
    <w:p>
      <w:pPr>
        <w:spacing w:after="80" w:line="293" w:lineRule="auto"/>
        <w:ind w:left="283"/>
        <w:jc w:val="left"/>
      </w:pPr>
      <w:r>
        <w:rPr>
          <w:rFonts w:ascii="Times New Roman" w:hAnsi="Times New Roman" w:cs="Times New Roman"/>
          <w:b w:val="0"/>
          <w:i w:val="0"/>
          <w:sz w:val="22"/>
        </w:rPr>
        <w:t>- Add consent tracking in consent_records.</w:t>
      </w:r>
    </w:p>
    <w:p>
      <w:pPr>
        <w:spacing w:after="80" w:line="293" w:lineRule="auto"/>
        <w:jc w:val="left"/>
      </w:pPr>
      <w:r>
        <w:rPr>
          <w:rFonts w:ascii="Times New Roman" w:hAnsi="Times New Roman" w:cs="Times New Roman"/>
          <w:b w:val="0"/>
          <w:i w:val="0"/>
          <w:sz w:val="22"/>
        </w:rPr>
        <w:t>Predictive insights:</w:t>
      </w:r>
    </w:p>
    <w:p>
      <w:pPr>
        <w:spacing w:after="80" w:line="293" w:lineRule="auto"/>
        <w:ind w:left="283"/>
        <w:jc w:val="left"/>
      </w:pPr>
      <w:r>
        <w:rPr>
          <w:rFonts w:ascii="Times New Roman" w:hAnsi="Times New Roman" w:cs="Times New Roman"/>
          <w:b w:val="0"/>
          <w:i w:val="0"/>
          <w:sz w:val="22"/>
        </w:rPr>
        <w:t>- Create the predictive_insights table.</w:t>
      </w:r>
    </w:p>
    <w:p>
      <w:pPr>
        <w:spacing w:after="80" w:line="293" w:lineRule="auto"/>
        <w:ind w:left="283"/>
        <w:jc w:val="left"/>
      </w:pPr>
      <w:r>
        <w:rPr>
          <w:rFonts w:ascii="Times New Roman" w:hAnsi="Times New Roman" w:cs="Times New Roman"/>
          <w:b w:val="0"/>
          <w:i w:val="0"/>
          <w:sz w:val="22"/>
        </w:rPr>
        <w:t>- Implement the daily cron job for model inference (XGBoost, LightGBM, LSTM, Prophet).</w:t>
      </w:r>
    </w:p>
    <w:p>
      <w:pPr>
        <w:spacing w:after="80" w:line="293" w:lineRule="auto"/>
        <w:ind w:left="283"/>
        <w:jc w:val="left"/>
      </w:pPr>
      <w:r>
        <w:rPr>
          <w:rFonts w:ascii="Times New Roman" w:hAnsi="Times New Roman" w:cs="Times New Roman"/>
          <w:b w:val="0"/>
          <w:i w:val="0"/>
          <w:sz w:val="22"/>
        </w:rPr>
        <w:t>- Train initial models using historical data from sandbox and pilot.</w:t>
      </w:r>
    </w:p>
    <w:p>
      <w:pPr>
        <w:spacing w:after="80" w:line="293" w:lineRule="auto"/>
        <w:ind w:left="283"/>
        <w:jc w:val="left"/>
      </w:pPr>
      <w:r>
        <w:rPr>
          <w:rFonts w:ascii="Times New Roman" w:hAnsi="Times New Roman" w:cs="Times New Roman"/>
          <w:b w:val="0"/>
          <w:i w:val="0"/>
          <w:sz w:val="22"/>
        </w:rPr>
        <w:t>- Integrate insights into the Smart Inbox (priority 40) with one-click actions.</w:t>
      </w:r>
    </w:p>
    <w:p>
      <w:pPr>
        <w:spacing w:after="80" w:line="293" w:lineRule="auto"/>
        <w:ind w:left="283"/>
        <w:jc w:val="left"/>
      </w:pPr>
      <w:r>
        <w:rPr>
          <w:rFonts w:ascii="Times New Roman" w:hAnsi="Times New Roman" w:cs="Times New Roman"/>
          <w:b w:val="0"/>
          <w:i w:val="0"/>
          <w:sz w:val="22"/>
        </w:rPr>
        <w:t>- Add AI Risk Engine integration for delay risk and default probability.</w:t>
      </w:r>
    </w:p>
    <w:p>
      <w:pPr>
        <w:spacing w:after="80" w:line="293" w:lineRule="auto"/>
        <w:jc w:val="left"/>
      </w:pPr>
      <w:r>
        <w:rPr>
          <w:rFonts w:ascii="Times New Roman" w:hAnsi="Times New Roman" w:cs="Times New Roman"/>
          <w:b w:val="0"/>
          <w:i w:val="0"/>
          <w:sz w:val="22"/>
        </w:rPr>
        <w:t>Anomaly detection:</w:t>
      </w:r>
    </w:p>
    <w:p>
      <w:pPr>
        <w:spacing w:after="80" w:line="293" w:lineRule="auto"/>
        <w:ind w:left="283"/>
        <w:jc w:val="left"/>
      </w:pPr>
      <w:r>
        <w:rPr>
          <w:rFonts w:ascii="Times New Roman" w:hAnsi="Times New Roman" w:cs="Times New Roman"/>
          <w:b w:val="0"/>
          <w:i w:val="0"/>
          <w:sz w:val="22"/>
        </w:rPr>
        <w:t>- Implement the anomaly-detector service (Isolation Forest).</w:t>
      </w:r>
    </w:p>
    <w:p>
      <w:pPr>
        <w:spacing w:after="80" w:line="293" w:lineRule="auto"/>
        <w:ind w:left="283"/>
        <w:jc w:val="left"/>
      </w:pPr>
      <w:r>
        <w:rPr>
          <w:rFonts w:ascii="Times New Roman" w:hAnsi="Times New Roman" w:cs="Times New Roman"/>
          <w:b w:val="0"/>
          <w:i w:val="0"/>
          <w:sz w:val="22"/>
        </w:rPr>
        <w:t>- Run every 6 hours.</w:t>
      </w:r>
    </w:p>
    <w:p>
      <w:pPr>
        <w:spacing w:after="80" w:line="293" w:lineRule="auto"/>
        <w:ind w:left="283"/>
        <w:jc w:val="left"/>
      </w:pPr>
      <w:r>
        <w:rPr>
          <w:rFonts w:ascii="Times New Roman" w:hAnsi="Times New Roman" w:cs="Times New Roman"/>
          <w:b w:val="0"/>
          <w:i w:val="0"/>
          <w:sz w:val="22"/>
        </w:rPr>
        <w:t>- Add severity classification (LOW, MEDIUM, HIGH, CRITICAL).</w:t>
      </w:r>
    </w:p>
    <w:p>
      <w:pPr>
        <w:spacing w:after="80" w:line="293" w:lineRule="auto"/>
        <w:ind w:left="283"/>
        <w:jc w:val="left"/>
      </w:pPr>
      <w:r>
        <w:rPr>
          <w:rFonts w:ascii="Times New Roman" w:hAnsi="Times New Roman" w:cs="Times New Roman"/>
          <w:b w:val="0"/>
          <w:i w:val="0"/>
          <w:sz w:val="22"/>
        </w:rPr>
        <w:t>- Integrate with the Smart Inbox for alerts.</w:t>
      </w:r>
    </w:p>
    <w:p>
      <w:pPr>
        <w:spacing w:after="80" w:line="293" w:lineRule="auto"/>
        <w:ind w:left="283"/>
        <w:jc w:val="left"/>
      </w:pPr>
      <w:r>
        <w:rPr>
          <w:rFonts w:ascii="Times New Roman" w:hAnsi="Times New Roman" w:cs="Times New Roman"/>
          <w:b w:val="0"/>
          <w:i w:val="0"/>
          <w:sz w:val="22"/>
        </w:rPr>
        <w:t>- Add Groq summary generation for anomalies.</w:t>
      </w:r>
    </w:p>
    <w:p>
      <w:pPr>
        <w:spacing w:after="80" w:line="293" w:lineRule="auto"/>
        <w:jc w:val="left"/>
      </w:pPr>
      <w:r>
        <w:rPr>
          <w:rFonts w:ascii="Times New Roman" w:hAnsi="Times New Roman" w:cs="Times New Roman"/>
          <w:b w:val="0"/>
          <w:i w:val="0"/>
          <w:sz w:val="22"/>
        </w:rPr>
        <w:t>Federated learning integration:</w:t>
      </w:r>
    </w:p>
    <w:p>
      <w:pPr>
        <w:spacing w:after="80" w:line="293" w:lineRule="auto"/>
        <w:ind w:left="283"/>
        <w:jc w:val="left"/>
      </w:pPr>
      <w:r>
        <w:rPr>
          <w:rFonts w:ascii="Times New Roman" w:hAnsi="Times New Roman" w:cs="Times New Roman"/>
          <w:b w:val="0"/>
          <w:i w:val="0"/>
          <w:sz w:val="22"/>
        </w:rPr>
        <w:t>- Expose anonymised memory events as training data for federated learning.</w:t>
      </w:r>
    </w:p>
    <w:p>
      <w:pPr>
        <w:spacing w:after="80" w:line="293" w:lineRule="auto"/>
        <w:ind w:left="283"/>
        <w:jc w:val="left"/>
      </w:pPr>
      <w:r>
        <w:rPr>
          <w:rFonts w:ascii="Times New Roman" w:hAnsi="Times New Roman" w:cs="Times New Roman"/>
          <w:b w:val="0"/>
          <w:i w:val="0"/>
          <w:sz w:val="22"/>
        </w:rPr>
        <w:t>- Ensure differential privacy (ε=0.5) for model updates.</w:t>
      </w:r>
    </w:p>
    <w:p>
      <w:pPr>
        <w:spacing w:after="80" w:line="293" w:lineRule="auto"/>
        <w:ind w:left="283"/>
        <w:jc w:val="left"/>
      </w:pPr>
      <w:r>
        <w:rPr>
          <w:rFonts w:ascii="Times New Roman" w:hAnsi="Times New Roman" w:cs="Times New Roman"/>
          <w:b w:val="0"/>
          <w:i w:val="0"/>
          <w:sz w:val="22"/>
        </w:rPr>
        <w:t>- Add model metadata tracking (predictive_models table).</w:t>
      </w:r>
    </w:p>
    <w:p>
      <w:pPr>
        <w:spacing w:after="80" w:line="293" w:lineRule="auto"/>
        <w:jc w:val="left"/>
      </w:pPr>
      <w:r>
        <w:rPr>
          <w:rFonts w:ascii="Times New Roman" w:hAnsi="Times New Roman" w:cs="Times New Roman"/>
          <w:b w:val="0"/>
          <w:i w:val="0"/>
          <w:sz w:val="22"/>
        </w:rPr>
        <w:t>Query interface:</w:t>
      </w:r>
    </w:p>
    <w:p>
      <w:pPr>
        <w:spacing w:after="80" w:line="293" w:lineRule="auto"/>
        <w:ind w:left="283"/>
        <w:jc w:val="left"/>
      </w:pPr>
      <w:r>
        <w:rPr>
          <w:rFonts w:ascii="Times New Roman" w:hAnsi="Times New Roman" w:cs="Times New Roman"/>
          <w:b w:val="0"/>
          <w:i w:val="0"/>
          <w:sz w:val="22"/>
        </w:rPr>
        <w:t>- Implement the gRPC query interface for internal services.</w:t>
      </w:r>
    </w:p>
    <w:p>
      <w:pPr>
        <w:spacing w:after="80" w:line="293" w:lineRule="auto"/>
        <w:ind w:left="283"/>
        <w:jc w:val="left"/>
      </w:pPr>
      <w:r>
        <w:rPr>
          <w:rFonts w:ascii="Times New Roman" w:hAnsi="Times New Roman" w:cs="Times New Roman"/>
          <w:b w:val="0"/>
          <w:i w:val="0"/>
          <w:sz w:val="22"/>
        </w:rPr>
        <w:t>- Add rate limiting and audit logging for all queries.</w:t>
      </w:r>
    </w:p>
    <w:p>
      <w:pPr>
        <w:spacing w:after="80" w:line="293" w:lineRule="auto"/>
        <w:ind w:left="283"/>
        <w:jc w:val="left"/>
      </w:pPr>
      <w:r>
        <w:rPr>
          <w:rFonts w:ascii="Times New Roman" w:hAnsi="Times New Roman" w:cs="Times New Roman"/>
          <w:b w:val="0"/>
          <w:i w:val="0"/>
          <w:sz w:val="22"/>
        </w:rPr>
        <w:t>- Document the query API.</w:t>
      </w:r>
    </w:p>
    <w:p>
      <w:pPr>
        <w:spacing w:after="80" w:line="293" w:lineRule="auto"/>
        <w:jc w:val="left"/>
      </w:pPr>
      <w:r>
        <w:rPr>
          <w:rFonts w:ascii="Times New Roman" w:hAnsi="Times New Roman" w:cs="Times New Roman"/>
          <w:b w:val="0"/>
          <w:i w:val="0"/>
          <w:sz w:val="22"/>
        </w:rPr>
        <w:t>Testing:</w:t>
      </w:r>
    </w:p>
    <w:p>
      <w:pPr>
        <w:spacing w:after="80" w:line="293" w:lineRule="auto"/>
        <w:ind w:left="283"/>
        <w:jc w:val="left"/>
      </w:pPr>
      <w:r>
        <w:rPr>
          <w:rFonts w:ascii="Times New Roman" w:hAnsi="Times New Roman" w:cs="Times New Roman"/>
          <w:b w:val="0"/>
          <w:i w:val="0"/>
          <w:sz w:val="22"/>
        </w:rPr>
        <w:t>- Test event capture for all event types.</w:t>
      </w:r>
    </w:p>
    <w:p>
      <w:pPr>
        <w:spacing w:after="80" w:line="293" w:lineRule="auto"/>
        <w:ind w:left="283"/>
        <w:jc w:val="left"/>
      </w:pPr>
      <w:r>
        <w:rPr>
          <w:rFonts w:ascii="Times New Roman" w:hAnsi="Times New Roman" w:cs="Times New Roman"/>
          <w:b w:val="0"/>
          <w:i w:val="0"/>
          <w:sz w:val="22"/>
        </w:rPr>
        <w:t>- Test anonymisation (GTID → anonymous ID, banding).</w:t>
      </w:r>
    </w:p>
    <w:p>
      <w:pPr>
        <w:spacing w:after="80" w:line="293" w:lineRule="auto"/>
        <w:ind w:left="283"/>
        <w:jc w:val="left"/>
      </w:pPr>
      <w:r>
        <w:rPr>
          <w:rFonts w:ascii="Times New Roman" w:hAnsi="Times New Roman" w:cs="Times New Roman"/>
          <w:b w:val="0"/>
          <w:i w:val="0"/>
          <w:sz w:val="22"/>
        </w:rPr>
        <w:t>- Test opt-out (tenant stops contributing → no new events).</w:t>
      </w:r>
    </w:p>
    <w:p>
      <w:pPr>
        <w:spacing w:after="80" w:line="293" w:lineRule="auto"/>
        <w:ind w:left="283"/>
        <w:jc w:val="left"/>
      </w:pPr>
      <w:r>
        <w:rPr>
          <w:rFonts w:ascii="Times New Roman" w:hAnsi="Times New Roman" w:cs="Times New Roman"/>
          <w:b w:val="0"/>
          <w:i w:val="0"/>
          <w:sz w:val="22"/>
        </w:rPr>
        <w:t>- Test predictive insights generation and delivery.</w:t>
      </w:r>
    </w:p>
    <w:p>
      <w:pPr>
        <w:spacing w:after="80" w:line="293" w:lineRule="auto"/>
        <w:ind w:left="283"/>
        <w:jc w:val="left"/>
      </w:pPr>
      <w:r>
        <w:rPr>
          <w:rFonts w:ascii="Times New Roman" w:hAnsi="Times New Roman" w:cs="Times New Roman"/>
          <w:b w:val="0"/>
          <w:i w:val="0"/>
          <w:sz w:val="22"/>
        </w:rPr>
        <w:t>- Test anomaly detection and alerting.</w:t>
      </w:r>
    </w:p>
    <w:p>
      <w:pPr>
        <w:spacing w:after="80" w:line="293" w:lineRule="auto"/>
        <w:ind w:left="283"/>
        <w:jc w:val="left"/>
      </w:pPr>
      <w:r>
        <w:rPr>
          <w:rFonts w:ascii="Times New Roman" w:hAnsi="Times New Roman" w:cs="Times New Roman"/>
          <w:b w:val="0"/>
          <w:i w:val="0"/>
          <w:sz w:val="22"/>
        </w:rPr>
        <w:t>- Test integration with the AI Risk Engine and federated learning.</w:t>
      </w:r>
    </w:p>
    <w:p>
      <w:pPr>
        <w:keepNext/>
        <w:spacing w:before="240" w:after="100"/>
        <w:outlineLvl w:val="1"/>
      </w:pPr>
      <w:r>
        <w:rPr>
          <w:rFonts w:ascii="Arial" w:hAnsi="Arial" w:cs="Arial"/>
          <w:b/>
          <w:i w:val="0"/>
          <w:color w:val="2E528F"/>
          <w:sz w:val="26"/>
        </w:rPr>
        <w:t>21.11 API Conventions</w:t>
      </w:r>
    </w:p>
    <w:p>
      <w:pPr>
        <w:spacing w:after="80" w:line="293" w:lineRule="auto"/>
        <w:jc w:val="left"/>
      </w:pPr>
      <w:r>
        <w:rPr>
          <w:rFonts w:ascii="Times New Roman" w:hAnsi="Times New Roman" w:cs="Times New Roman"/>
          <w:b w:val="0"/>
          <w:i w:val="0"/>
          <w:sz w:val="22"/>
        </w:rPr>
        <w:t>All SGTX public and partner endpoints are documented in OpenAPI 3.1 format. The specification files are served from /api/v1/openapi.json (public) and /api/v1/partner/openapi.json (partner). The interactive Swagger UI is available to verified tenants only. The complete endpoint index, grouped by service, is specified in Section 18; the conventions below apply to every endpoint in that index.</w:t>
      </w:r>
    </w:p>
    <w:p>
      <w:pPr>
        <w:spacing w:after="80" w:line="293" w:lineRule="auto"/>
        <w:jc w:val="left"/>
      </w:pPr>
      <w:r>
        <w:rPr>
          <w:rFonts w:ascii="Times New Roman" w:hAnsi="Times New Roman" w:cs="Times New Roman"/>
          <w:b w:val="0"/>
          <w:i w:val="0"/>
          <w:sz w:val="22"/>
        </w:rPr>
        <w:t>Base URL: https://api.sgtx.io/v1</w:t>
      </w:r>
    </w:p>
    <w:p>
      <w:pPr>
        <w:spacing w:after="80" w:line="293" w:lineRule="auto"/>
        <w:jc w:val="left"/>
      </w:pPr>
      <w:r>
        <w:rPr>
          <w:rFonts w:ascii="Times New Roman" w:hAnsi="Times New Roman" w:cs="Times New Roman"/>
          <w:b w:val="0"/>
          <w:i w:val="0"/>
          <w:sz w:val="22"/>
        </w:rPr>
        <w:t>Authentication: all endpoints (except public health and verification endpoints) require a valid JSON Web Token (JWT) obtained from ZITADEL. The JWT must include:</w:t>
      </w:r>
    </w:p>
    <w:p>
      <w:pPr>
        <w:spacing w:after="80" w:line="293" w:lineRule="auto"/>
        <w:ind w:left="283"/>
        <w:jc w:val="left"/>
      </w:pPr>
      <w:r>
        <w:rPr>
          <w:rFonts w:ascii="Times New Roman" w:hAnsi="Times New Roman" w:cs="Times New Roman"/>
          <w:b w:val="0"/>
          <w:i w:val="0"/>
          <w:sz w:val="22"/>
        </w:rPr>
        <w:t>- tenant_gtid — the authenticated tenant's GTID.</w:t>
      </w:r>
    </w:p>
    <w:p>
      <w:pPr>
        <w:spacing w:after="80" w:line="293" w:lineRule="auto"/>
        <w:ind w:left="283"/>
        <w:jc w:val="left"/>
      </w:pPr>
      <w:r>
        <w:rPr>
          <w:rFonts w:ascii="Times New Roman" w:hAnsi="Times New Roman" w:cs="Times New Roman"/>
          <w:b w:val="0"/>
          <w:i w:val="0"/>
          <w:sz w:val="22"/>
        </w:rPr>
        <w:t>- employee_id — the authenticated employee's UUID.</w:t>
      </w:r>
    </w:p>
    <w:p>
      <w:pPr>
        <w:spacing w:after="80" w:line="293" w:lineRule="auto"/>
        <w:ind w:left="283"/>
        <w:jc w:val="left"/>
      </w:pPr>
      <w:r>
        <w:rPr>
          <w:rFonts w:ascii="Times New Roman" w:hAnsi="Times New Roman" w:cs="Times New Roman"/>
          <w:b w:val="0"/>
          <w:i w:val="0"/>
          <w:sz w:val="22"/>
        </w:rPr>
        <w:t>- active_trader_mode_context — BUY, SELL, or DUAL.</w:t>
      </w:r>
    </w:p>
    <w:p>
      <w:pPr>
        <w:spacing w:after="80" w:line="293" w:lineRule="auto"/>
        <w:ind w:left="283"/>
        <w:jc w:val="left"/>
      </w:pPr>
      <w:r>
        <w:rPr>
          <w:rFonts w:ascii="Times New Roman" w:hAnsi="Times New Roman" w:cs="Times New Roman"/>
          <w:b w:val="0"/>
          <w:i w:val="0"/>
          <w:sz w:val="22"/>
        </w:rPr>
        <w:t>- permissions — array of permission strings for role-based access control (RBAC).</w:t>
      </w:r>
    </w:p>
    <w:p>
      <w:pPr>
        <w:spacing w:after="80" w:line="293" w:lineRule="auto"/>
        <w:jc w:val="left"/>
      </w:pPr>
      <w:r>
        <w:rPr>
          <w:rFonts w:ascii="Times New Roman" w:hAnsi="Times New Roman" w:cs="Times New Roman"/>
          <w:b w:val="0"/>
          <w:i w:val="0"/>
          <w:sz w:val="22"/>
        </w:rPr>
        <w:t>Governor gating: every endpoint that modifies state passes through the Governor (see Section 15). The Governor evaluates OPA policies, WasmEdge constitutional rules, and AI consult (A1–A3) before allowing the request.</w:t>
      </w:r>
    </w:p>
    <w:p>
      <w:pPr>
        <w:spacing w:after="80" w:line="293" w:lineRule="auto"/>
        <w:jc w:val="left"/>
      </w:pPr>
      <w:r>
        <w:rPr>
          <w:rFonts w:ascii="Times New Roman" w:hAnsi="Times New Roman" w:cs="Times New Roman"/>
          <w:b w:val="0"/>
          <w:i w:val="0"/>
          <w:sz w:val="22"/>
        </w:rPr>
        <w:t>Rate limits: all endpoints have rate limits applied per tenant: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Endpoint Class</w:t>
            </w:r>
          </w:p>
        </w:tc>
        <w:tc>
          <w:tcPr>
            <w:tcW w:type="dxa" w:w="4819"/>
            <w:shd w:val="clear" w:fill="D9E2F3"/>
          </w:tcPr>
          <w:p>
            <w:pPr>
              <w:spacing w:after="20" w:before="20" w:line="240" w:lineRule="auto"/>
            </w:pPr>
            <w:r/>
            <w:r>
              <w:rPr>
                <w:rFonts w:ascii="Arial" w:hAnsi="Arial" w:cs="Arial"/>
                <w:b/>
                <w:i w:val="0"/>
                <w:sz w:val="18"/>
              </w:rPr>
              <w:t>Rate Limit</w:t>
            </w:r>
          </w:p>
        </w:tc>
      </w:tr>
      <w:tr>
        <w:tc>
          <w:tcPr>
            <w:tcW w:type="dxa" w:w="4819"/>
          </w:tcPr>
          <w:p>
            <w:pPr>
              <w:spacing w:after="20" w:before="20" w:line="240" w:lineRule="auto"/>
            </w:pPr>
            <w:r/>
            <w:r>
              <w:rPr>
                <w:rFonts w:ascii="Arial" w:hAnsi="Arial" w:cs="Arial"/>
                <w:b w:val="0"/>
                <w:i w:val="0"/>
                <w:sz w:val="17"/>
              </w:rPr>
              <w:t>Standard endpoints</w:t>
            </w:r>
          </w:p>
        </w:tc>
        <w:tc>
          <w:tcPr>
            <w:tcW w:type="dxa" w:w="4819"/>
          </w:tcPr>
          <w:p>
            <w:pPr>
              <w:spacing w:after="20" w:before="20" w:line="240" w:lineRule="auto"/>
            </w:pPr>
            <w:r/>
            <w:r>
              <w:rPr>
                <w:rFonts w:ascii="Arial" w:hAnsi="Arial" w:cs="Arial"/>
                <w:b w:val="0"/>
                <w:i w:val="0"/>
                <w:sz w:val="17"/>
              </w:rPr>
              <w:t>100 requests per minute</w:t>
            </w:r>
          </w:p>
        </w:tc>
      </w:tr>
      <w:tr>
        <w:tc>
          <w:tcPr>
            <w:tcW w:type="dxa" w:w="4819"/>
          </w:tcPr>
          <w:p>
            <w:pPr>
              <w:spacing w:after="20" w:before="20" w:line="240" w:lineRule="auto"/>
            </w:pPr>
            <w:r/>
            <w:r>
              <w:rPr>
                <w:rFonts w:ascii="Arial" w:hAnsi="Arial" w:cs="Arial"/>
                <w:b w:val="0"/>
                <w:i w:val="0"/>
                <w:sz w:val="17"/>
              </w:rPr>
              <w:t>Partner API endpoints</w:t>
            </w:r>
          </w:p>
        </w:tc>
        <w:tc>
          <w:tcPr>
            <w:tcW w:type="dxa" w:w="4819"/>
          </w:tcPr>
          <w:p>
            <w:pPr>
              <w:spacing w:after="20" w:before="20" w:line="240" w:lineRule="auto"/>
            </w:pPr>
            <w:r/>
            <w:r>
              <w:rPr>
                <w:rFonts w:ascii="Arial" w:hAnsi="Arial" w:cs="Arial"/>
                <w:b w:val="0"/>
                <w:i w:val="0"/>
                <w:sz w:val="17"/>
              </w:rPr>
              <w:t>Variable per partner (configured in partner_rate_limits)</w:t>
            </w:r>
          </w:p>
        </w:tc>
      </w:tr>
      <w:tr>
        <w:tc>
          <w:tcPr>
            <w:tcW w:type="dxa" w:w="4819"/>
          </w:tcPr>
          <w:p>
            <w:pPr>
              <w:spacing w:after="20" w:before="20" w:line="240" w:lineRule="auto"/>
            </w:pPr>
            <w:r/>
            <w:r>
              <w:rPr>
                <w:rFonts w:ascii="Arial" w:hAnsi="Arial" w:cs="Arial"/>
                <w:b w:val="0"/>
                <w:i w:val="0"/>
                <w:sz w:val="17"/>
              </w:rPr>
              <w:t>Public verification endpoints</w:t>
            </w:r>
          </w:p>
        </w:tc>
        <w:tc>
          <w:tcPr>
            <w:tcW w:type="dxa" w:w="4819"/>
          </w:tcPr>
          <w:p>
            <w:pPr>
              <w:spacing w:after="20" w:before="20" w:line="240" w:lineRule="auto"/>
            </w:pPr>
            <w:r/>
            <w:r>
              <w:rPr>
                <w:rFonts w:ascii="Arial" w:hAnsi="Arial" w:cs="Arial"/>
                <w:b w:val="0"/>
                <w:i w:val="0"/>
                <w:sz w:val="17"/>
              </w:rPr>
              <w:t>10 requests per minute per IP</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Idempotency: all POST, PUT, and PATCH endpoints support an optional Idempotency-Key header (UUID v4). The platform stores the first response for 24 hours; replaying the same key returns the original response. Idempotency keys are mandatory for payment-initiating and settlement endpoints (see Section 13).</w:t>
      </w:r>
    </w:p>
    <w:p>
      <w:pPr>
        <w:spacing w:after="80" w:line="293" w:lineRule="auto"/>
        <w:jc w:val="left"/>
      </w:pPr>
      <w:r>
        <w:rPr>
          <w:rFonts w:ascii="Times New Roman" w:hAnsi="Times New Roman" w:cs="Times New Roman"/>
          <w:b w:val="0"/>
          <w:i w:val="0"/>
          <w:sz w:val="22"/>
        </w:rPr>
        <w:t>Error responses follow a uniform envelope with a machine-readable error code, a human-readable message keyed to the Decision Panel copy library (see Section 16), and the Governor decision identifier when a request was evaluated and denied.</w:t>
      </w:r>
    </w:p>
    <w:p>
      <w:pPr>
        <w:keepNext/>
        <w:spacing w:before="360" w:after="160"/>
        <w:outlineLvl w:val="0"/>
      </w:pPr>
      <w:r>
        <w:rPr>
          <w:rFonts w:ascii="Arial" w:hAnsi="Arial" w:cs="Arial"/>
          <w:b/>
          <w:i w:val="0"/>
          <w:color w:val="1F3864"/>
          <w:sz w:val="32"/>
        </w:rPr>
        <w:t>22. Platform Add-Ons &amp; Extended Capabilities</w:t>
      </w:r>
    </w:p>
    <w:p>
      <w:pPr>
        <w:keepNext/>
        <w:spacing w:before="240" w:after="100"/>
        <w:outlineLvl w:val="1"/>
      </w:pPr>
      <w:r>
        <w:rPr>
          <w:rFonts w:ascii="Arial" w:hAnsi="Arial" w:cs="Arial"/>
          <w:b/>
          <w:i w:val="0"/>
          <w:color w:val="2E528F"/>
          <w:sz w:val="26"/>
        </w:rPr>
        <w:t>22.1 Overview &amp; Add-On Architecture</w:t>
      </w:r>
    </w:p>
    <w:p>
      <w:pPr>
        <w:spacing w:after="80" w:line="293" w:lineRule="auto"/>
        <w:jc w:val="left"/>
      </w:pPr>
      <w:r>
        <w:rPr>
          <w:rFonts w:ascii="Times New Roman" w:hAnsi="Times New Roman" w:cs="Times New Roman"/>
          <w:b w:val="0"/>
          <w:i w:val="0"/>
          <w:sz w:val="22"/>
        </w:rPr>
        <w:t>The SGTX platform is designed to be extensible while remaining non-custodial, zero-cost, and sovereign. Beyond the core trade execution engine, the platform ships a canonical catalogue of 28 add-ons that provide next-generation risk management, privacy, resilience, security, customs operations, trade finance, and regulatory-intelligence capabilities. Each add-on is a discrete extension module with its own purpose statement, workflow, data model, API surface, integration points, and implementation checklist, all specified in this section.</w:t>
      </w:r>
    </w:p>
    <w:p>
      <w:pPr>
        <w:spacing w:after="80" w:line="293" w:lineRule="auto"/>
        <w:jc w:val="left"/>
      </w:pPr>
      <w:r>
        <w:rPr>
          <w:rFonts w:ascii="Times New Roman" w:hAnsi="Times New Roman" w:cs="Times New Roman"/>
          <w:b w:val="0"/>
          <w:i w:val="0"/>
          <w:sz w:val="22"/>
        </w:rPr>
        <w:t>The add-on catalogue is organized into four classes:</w:t>
      </w:r>
    </w:p>
    <w:p>
      <w:pPr>
        <w:spacing w:after="80" w:line="293" w:lineRule="auto"/>
        <w:ind w:left="283"/>
        <w:jc w:val="left"/>
      </w:pPr>
      <w:r>
        <w:rPr>
          <w:rFonts w:ascii="Times New Roman" w:hAnsi="Times New Roman" w:cs="Times New Roman"/>
          <w:b w:val="0"/>
          <w:i w:val="0"/>
          <w:sz w:val="22"/>
        </w:rPr>
        <w:t>- Built-in (Foundation) — Add-Ons 1–7 are built-in advanced capabilities that ship with the platform core: the GNN Risk Engine &amp; Institutional Trade Graph, the Federated Learning Network, the Causal Inference Engine, Self-Healing Infrastructure &amp; Chaos Engineering, Automated Penetration Testing, Post-Quantum Cryptography, and Expanded Zero-Knowledge Proofs. They are pre-integrated into the microservices architecture, are implemented with open-source components only, and require no additional billing.</w:t>
      </w:r>
    </w:p>
    <w:p>
      <w:pPr>
        <w:spacing w:after="80" w:line="293" w:lineRule="auto"/>
        <w:ind w:left="283"/>
        <w:jc w:val="left"/>
      </w:pPr>
      <w:r>
        <w:rPr>
          <w:rFonts w:ascii="Times New Roman" w:hAnsi="Times New Roman" w:cs="Times New Roman"/>
          <w:b w:val="0"/>
          <w:i w:val="0"/>
          <w:sz w:val="22"/>
        </w:rPr>
        <w:t>- Specified — Add-Ons 8–24, 26, and 28 are fully specified extension modules (Customs Bond &amp; Guarantee Management through Demurrage Dispute Resolution, plus the GRiRE Engine). Each has a complete specification in this section and is activated progressively as tenants demand them and resources allow.</w:t>
      </w:r>
    </w:p>
    <w:p>
      <w:pPr>
        <w:spacing w:after="80" w:line="293" w:lineRule="auto"/>
        <w:ind w:left="283"/>
        <w:jc w:val="left"/>
      </w:pPr>
      <w:r>
        <w:rPr>
          <w:rFonts w:ascii="Times New Roman" w:hAnsi="Times New Roman" w:cs="Times New Roman"/>
          <w:b w:val="0"/>
          <w:i w:val="0"/>
          <w:sz w:val="22"/>
        </w:rPr>
        <w:t>- Optional — Add-On 25 (Payment Guarantee Confirmation) is optional by design; its functionality is never forced on traders.</w:t>
      </w:r>
    </w:p>
    <w:p>
      <w:pPr>
        <w:spacing w:after="80" w:line="293" w:lineRule="auto"/>
        <w:ind w:left="283"/>
        <w:jc w:val="left"/>
      </w:pPr>
      <w:r>
        <w:rPr>
          <w:rFonts w:ascii="Times New Roman" w:hAnsi="Times New Roman" w:cs="Times New Roman"/>
          <w:b w:val="0"/>
          <w:i w:val="0"/>
          <w:sz w:val="22"/>
        </w:rPr>
        <w:t>- Reserved — Add-On 27 is reserved for future enhancements and carries no specification.</w:t>
      </w:r>
    </w:p>
    <w:p>
      <w:pPr>
        <w:spacing w:after="80" w:line="293" w:lineRule="auto"/>
        <w:jc w:val="left"/>
      </w:pPr>
      <w:r>
        <w:rPr>
          <w:rFonts w:ascii="Times New Roman" w:hAnsi="Times New Roman" w:cs="Times New Roman"/>
          <w:b w:val="0"/>
          <w:i w:val="0"/>
          <w:sz w:val="22"/>
        </w:rPr>
        <w:t>All add-ons are activated through the Admin Portal (Add-Ons registry) and can be toggled independently, with a single click, and — where required — multisig approval. All add-on components are open-source and run on the same sovereign bare-metal infrastructure as the core platform. None of the add-ons introduce marketplace features; they only enhance the platform's intelligence, security, and operational robustness. The platform never uses an add-on to recommend counterparties or service providers.</w:t>
      </w:r>
    </w:p>
    <w:p>
      <w:pPr>
        <w:keepNext/>
        <w:spacing w:before="180" w:after="80"/>
        <w:outlineLvl w:val="2"/>
      </w:pPr>
      <w:r>
        <w:rPr>
          <w:rFonts w:ascii="Arial" w:hAnsi="Arial" w:cs="Arial"/>
          <w:b/>
          <w:i w:val="0"/>
          <w:color w:val="333333"/>
          <w:sz w:val="23"/>
        </w:rPr>
        <w:t>22.1.1 Priority Bands</w:t>
      </w:r>
    </w:p>
    <w:p>
      <w:pPr>
        <w:spacing w:after="80" w:line="293" w:lineRule="auto"/>
        <w:jc w:val="left"/>
      </w:pPr>
      <w:r>
        <w:rPr>
          <w:rFonts w:ascii="Times New Roman" w:hAnsi="Times New Roman" w:cs="Times New Roman"/>
          <w:b w:val="0"/>
          <w:i w:val="0"/>
          <w:sz w:val="22"/>
        </w:rPr>
        <w:t>Add-ons carry one of five canonical priority values. Priority determines sequencing of implementation and activation order.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Priority</w:t>
            </w:r>
          </w:p>
        </w:tc>
        <w:tc>
          <w:tcPr>
            <w:tcW w:type="dxa" w:w="3213"/>
            <w:shd w:val="clear" w:fill="D9E2F3"/>
          </w:tcPr>
          <w:p>
            <w:pPr>
              <w:spacing w:after="20" w:before="20" w:line="240" w:lineRule="auto"/>
            </w:pPr>
            <w:r/>
            <w:r>
              <w:rPr>
                <w:rFonts w:ascii="Arial" w:hAnsi="Arial" w:cs="Arial"/>
                <w:b/>
                <w:i w:val="0"/>
                <w:sz w:val="18"/>
              </w:rPr>
              <w:t>Meaning</w:t>
            </w:r>
          </w:p>
        </w:tc>
        <w:tc>
          <w:tcPr>
            <w:tcW w:type="dxa" w:w="3213"/>
            <w:shd w:val="clear" w:fill="D9E2F3"/>
          </w:tcPr>
          <w:p>
            <w:pPr>
              <w:spacing w:after="20" w:before="20" w:line="240" w:lineRule="auto"/>
            </w:pPr>
            <w:r/>
            <w:r>
              <w:rPr>
                <w:rFonts w:ascii="Arial" w:hAnsi="Arial" w:cs="Arial"/>
                <w:b/>
                <w:i w:val="0"/>
                <w:sz w:val="18"/>
              </w:rPr>
              <w:t>Add-Ons</w:t>
            </w:r>
          </w:p>
        </w:tc>
      </w:tr>
      <w:tr>
        <w:tc>
          <w:tcPr>
            <w:tcW w:type="dxa" w:w="3213"/>
          </w:tcPr>
          <w:p>
            <w:pPr>
              <w:spacing w:after="20" w:before="20" w:line="240" w:lineRule="auto"/>
            </w:pPr>
            <w:r/>
            <w:r>
              <w:rPr>
                <w:rFonts w:ascii="Arial" w:hAnsi="Arial" w:cs="Arial"/>
                <w:b w:val="0"/>
                <w:i w:val="0"/>
                <w:sz w:val="17"/>
              </w:rPr>
              <w:t>Foundation</w:t>
            </w:r>
          </w:p>
        </w:tc>
        <w:tc>
          <w:tcPr>
            <w:tcW w:type="dxa" w:w="3213"/>
          </w:tcPr>
          <w:p>
            <w:pPr>
              <w:spacing w:after="20" w:before="20" w:line="240" w:lineRule="auto"/>
            </w:pPr>
            <w:r/>
            <w:r>
              <w:rPr>
                <w:rFonts w:ascii="Arial" w:hAnsi="Arial" w:cs="Arial"/>
                <w:b w:val="0"/>
                <w:i w:val="0"/>
                <w:sz w:val="17"/>
              </w:rPr>
              <w:t>Platform-integrity capabilities built into the core; complete and always available</w:t>
            </w:r>
          </w:p>
        </w:tc>
        <w:tc>
          <w:tcPr>
            <w:tcW w:type="dxa" w:w="3213"/>
          </w:tcPr>
          <w:p>
            <w:pPr>
              <w:spacing w:after="20" w:before="20" w:line="240" w:lineRule="auto"/>
            </w:pPr>
            <w:r/>
            <w:r>
              <w:rPr>
                <w:rFonts w:ascii="Arial" w:hAnsi="Arial" w:cs="Arial"/>
                <w:b w:val="0"/>
                <w:i w:val="0"/>
                <w:sz w:val="17"/>
              </w:rPr>
              <w:t>1–7, 28</w:t>
            </w:r>
          </w:p>
        </w:tc>
      </w:tr>
      <w:tr>
        <w:tc>
          <w:tcPr>
            <w:tcW w:type="dxa" w:w="3213"/>
          </w:tcPr>
          <w:p>
            <w:pPr>
              <w:spacing w:after="20" w:before="20" w:line="240" w:lineRule="auto"/>
            </w:pPr>
            <w:r/>
            <w:r>
              <w:rPr>
                <w:rFonts w:ascii="Arial" w:hAnsi="Arial" w:cs="Arial"/>
                <w:b w:val="0"/>
                <w:i w:val="0"/>
                <w:sz w:val="17"/>
              </w:rPr>
              <w:t>P0</w:t>
            </w:r>
          </w:p>
        </w:tc>
        <w:tc>
          <w:tcPr>
            <w:tcW w:type="dxa" w:w="3213"/>
          </w:tcPr>
          <w:p>
            <w:pPr>
              <w:spacing w:after="20" w:before="20" w:line="240" w:lineRule="auto"/>
            </w:pPr>
            <w:r/>
            <w:r>
              <w:rPr>
                <w:rFonts w:ascii="Arial" w:hAnsi="Arial" w:cs="Arial"/>
                <w:b w:val="0"/>
                <w:i w:val="0"/>
                <w:sz w:val="17"/>
              </w:rPr>
              <w:t>Critical trade-legal gaps that must close for regulated corridors</w:t>
            </w:r>
          </w:p>
        </w:tc>
        <w:tc>
          <w:tcPr>
            <w:tcW w:type="dxa" w:w="3213"/>
          </w:tcPr>
          <w:p>
            <w:pPr>
              <w:spacing w:after="20" w:before="20" w:line="240" w:lineRule="auto"/>
            </w:pPr>
            <w:r/>
            <w:r>
              <w:rPr>
                <w:rFonts w:ascii="Arial" w:hAnsi="Arial" w:cs="Arial"/>
                <w:b w:val="0"/>
                <w:i w:val="0"/>
                <w:sz w:val="17"/>
              </w:rPr>
              <w:t>8, 9, 10</w:t>
            </w:r>
          </w:p>
        </w:tc>
      </w:tr>
      <w:tr>
        <w:tc>
          <w:tcPr>
            <w:tcW w:type="dxa" w:w="3213"/>
          </w:tcPr>
          <w:p>
            <w:pPr>
              <w:spacing w:after="20" w:before="20" w:line="240" w:lineRule="auto"/>
            </w:pPr>
            <w:r/>
            <w:r>
              <w:rPr>
                <w:rFonts w:ascii="Arial" w:hAnsi="Arial" w:cs="Arial"/>
                <w:b w:val="0"/>
                <w:i w:val="0"/>
                <w:sz w:val="17"/>
              </w:rPr>
              <w:t>P1</w:t>
            </w:r>
          </w:p>
        </w:tc>
        <w:tc>
          <w:tcPr>
            <w:tcW w:type="dxa" w:w="3213"/>
          </w:tcPr>
          <w:p>
            <w:pPr>
              <w:spacing w:after="20" w:before="20" w:line="240" w:lineRule="auto"/>
            </w:pPr>
            <w:r/>
            <w:r>
              <w:rPr>
                <w:rFonts w:ascii="Arial" w:hAnsi="Arial" w:cs="Arial"/>
                <w:b w:val="0"/>
                <w:i w:val="0"/>
                <w:sz w:val="17"/>
              </w:rPr>
              <w:t>High-value operational intelligence and jurisdictional coverage</w:t>
            </w:r>
          </w:p>
        </w:tc>
        <w:tc>
          <w:tcPr>
            <w:tcW w:type="dxa" w:w="3213"/>
          </w:tcPr>
          <w:p>
            <w:pPr>
              <w:spacing w:after="20" w:before="20" w:line="240" w:lineRule="auto"/>
            </w:pPr>
            <w:r/>
            <w:r>
              <w:rPr>
                <w:rFonts w:ascii="Arial" w:hAnsi="Arial" w:cs="Arial"/>
                <w:b w:val="0"/>
                <w:i w:val="0"/>
                <w:sz w:val="17"/>
              </w:rPr>
              <w:t>11–18</w:t>
            </w:r>
          </w:p>
        </w:tc>
      </w:tr>
      <w:tr>
        <w:tc>
          <w:tcPr>
            <w:tcW w:type="dxa" w:w="3213"/>
          </w:tcPr>
          <w:p>
            <w:pPr>
              <w:spacing w:after="20" w:before="20" w:line="240" w:lineRule="auto"/>
            </w:pPr>
            <w:r/>
            <w:r>
              <w:rPr>
                <w:rFonts w:ascii="Arial" w:hAnsi="Arial" w:cs="Arial"/>
                <w:b w:val="0"/>
                <w:i w:val="0"/>
                <w:sz w:val="17"/>
              </w:rPr>
              <w:t>P2</w:t>
            </w:r>
          </w:p>
        </w:tc>
        <w:tc>
          <w:tcPr>
            <w:tcW w:type="dxa" w:w="3213"/>
          </w:tcPr>
          <w:p>
            <w:pPr>
              <w:spacing w:after="20" w:before="20" w:line="240" w:lineRule="auto"/>
            </w:pPr>
            <w:r/>
            <w:r>
              <w:rPr>
                <w:rFonts w:ascii="Arial" w:hAnsi="Arial" w:cs="Arial"/>
                <w:b w:val="0"/>
                <w:i w:val="0"/>
                <w:sz w:val="17"/>
              </w:rPr>
              <w:t>Extended trade-finance and execution capabilities</w:t>
            </w:r>
          </w:p>
        </w:tc>
        <w:tc>
          <w:tcPr>
            <w:tcW w:type="dxa" w:w="3213"/>
          </w:tcPr>
          <w:p>
            <w:pPr>
              <w:spacing w:after="20" w:before="20" w:line="240" w:lineRule="auto"/>
            </w:pPr>
            <w:r/>
            <w:r>
              <w:rPr>
                <w:rFonts w:ascii="Arial" w:hAnsi="Arial" w:cs="Arial"/>
                <w:b w:val="0"/>
                <w:i w:val="0"/>
                <w:sz w:val="17"/>
              </w:rPr>
              <w:t>19–24</w:t>
            </w:r>
          </w:p>
        </w:tc>
      </w:tr>
      <w:tr>
        <w:tc>
          <w:tcPr>
            <w:tcW w:type="dxa" w:w="3213"/>
          </w:tcPr>
          <w:p>
            <w:pPr>
              <w:spacing w:after="20" w:before="20" w:line="240" w:lineRule="auto"/>
            </w:pPr>
            <w:r/>
            <w:r>
              <w:rPr>
                <w:rFonts w:ascii="Arial" w:hAnsi="Arial" w:cs="Arial"/>
                <w:b w:val="0"/>
                <w:i w:val="0"/>
                <w:sz w:val="17"/>
              </w:rPr>
              <w:t>P3</w:t>
            </w:r>
          </w:p>
        </w:tc>
        <w:tc>
          <w:tcPr>
            <w:tcW w:type="dxa" w:w="3213"/>
          </w:tcPr>
          <w:p>
            <w:pPr>
              <w:spacing w:after="20" w:before="20" w:line="240" w:lineRule="auto"/>
            </w:pPr>
            <w:r/>
            <w:r>
              <w:rPr>
                <w:rFonts w:ascii="Arial" w:hAnsi="Arial" w:cs="Arial"/>
                <w:b w:val="0"/>
                <w:i w:val="0"/>
                <w:sz w:val="17"/>
              </w:rPr>
              <w:t>Optional capabilities activated on demand</w:t>
            </w:r>
          </w:p>
        </w:tc>
        <w:tc>
          <w:tcPr>
            <w:tcW w:type="dxa" w:w="3213"/>
          </w:tcPr>
          <w:p>
            <w:pPr>
              <w:spacing w:after="20" w:before="20" w:line="240" w:lineRule="auto"/>
            </w:pPr>
            <w:r/>
            <w:r>
              <w:rPr>
                <w:rFonts w:ascii="Arial" w:hAnsi="Arial" w:cs="Arial"/>
                <w:b w:val="0"/>
                <w:i w:val="0"/>
                <w:sz w:val="17"/>
              </w:rPr>
              <w:t>25, 26</w:t>
            </w:r>
          </w:p>
        </w:tc>
      </w:tr>
      <w:tr>
        <w:tc>
          <w:tcPr>
            <w:tcW w:type="dxa" w:w="3213"/>
          </w:tcPr>
          <w:p>
            <w:pPr>
              <w:spacing w:after="20" w:before="20" w:line="240" w:lineRule="auto"/>
            </w:pPr>
            <w:r/>
            <w:r>
              <w:rPr>
                <w:rFonts w:ascii="Arial" w:hAnsi="Arial" w:cs="Arial"/>
                <w:b w:val="0"/>
                <w:i w:val="0"/>
                <w:sz w:val="17"/>
              </w:rPr>
              <w:t>—</w:t>
            </w:r>
          </w:p>
        </w:tc>
        <w:tc>
          <w:tcPr>
            <w:tcW w:type="dxa" w:w="3213"/>
          </w:tcPr>
          <w:p>
            <w:pPr>
              <w:spacing w:after="20" w:before="20" w:line="240" w:lineRule="auto"/>
            </w:pPr>
            <w:r/>
            <w:r>
              <w:rPr>
                <w:rFonts w:ascii="Arial" w:hAnsi="Arial" w:cs="Arial"/>
                <w:b w:val="0"/>
                <w:i w:val="0"/>
                <w:sz w:val="17"/>
              </w:rPr>
              <w:t>Reserved for future enhancement</w:t>
            </w:r>
          </w:p>
        </w:tc>
        <w:tc>
          <w:tcPr>
            <w:tcW w:type="dxa" w:w="3213"/>
          </w:tcPr>
          <w:p>
            <w:pPr>
              <w:spacing w:after="20" w:before="20" w:line="240" w:lineRule="auto"/>
            </w:pPr>
            <w:r/>
            <w:r>
              <w:rPr>
                <w:rFonts w:ascii="Arial" w:hAnsi="Arial" w:cs="Arial"/>
                <w:b w:val="0"/>
                <w:i w:val="0"/>
                <w:sz w:val="17"/>
              </w:rPr>
              <w:t>27</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22.1.2 Complete Add-On Catalogue</w:t>
      </w:r>
    </w:p>
    <w:p>
      <w:pPr>
        <w:spacing w:after="80" w:line="293" w:lineRule="auto"/>
        <w:jc w:val="left"/>
      </w:pPr>
      <w:r>
        <w:rPr>
          <w:rFonts w:ascii="Times New Roman" w:hAnsi="Times New Roman" w:cs="Times New Roman"/>
          <w:b w:val="0"/>
          <w:i w:val="0"/>
          <w:sz w:val="22"/>
        </w:rPr>
        <w:t>The complete catalogue of all 28 add-ons, with class, priority, and status, is: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w:t>
            </w:r>
          </w:p>
        </w:tc>
        <w:tc>
          <w:tcPr>
            <w:tcW w:type="dxa" w:w="2409"/>
            <w:shd w:val="clear" w:fill="D9E2F3"/>
          </w:tcPr>
          <w:p>
            <w:pPr>
              <w:spacing w:after="20" w:before="20" w:line="240" w:lineRule="auto"/>
            </w:pPr>
            <w:r/>
            <w:r>
              <w:rPr>
                <w:rFonts w:ascii="Arial" w:hAnsi="Arial" w:cs="Arial"/>
                <w:b/>
                <w:i w:val="0"/>
                <w:sz w:val="18"/>
              </w:rPr>
              <w:t>Add-On Name</w:t>
            </w:r>
          </w:p>
        </w:tc>
        <w:tc>
          <w:tcPr>
            <w:tcW w:type="dxa" w:w="2409"/>
            <w:shd w:val="clear" w:fill="D9E2F3"/>
          </w:tcPr>
          <w:p>
            <w:pPr>
              <w:spacing w:after="20" w:before="20" w:line="240" w:lineRule="auto"/>
            </w:pPr>
            <w:r/>
            <w:r>
              <w:rPr>
                <w:rFonts w:ascii="Arial" w:hAnsi="Arial" w:cs="Arial"/>
                <w:b/>
                <w:i w:val="0"/>
                <w:sz w:val="18"/>
              </w:rPr>
              <w:t>Priority</w:t>
            </w:r>
          </w:p>
        </w:tc>
        <w:tc>
          <w:tcPr>
            <w:tcW w:type="dxa" w:w="2409"/>
            <w:shd w:val="clear" w:fill="D9E2F3"/>
          </w:tcPr>
          <w:p>
            <w:pPr>
              <w:spacing w:after="20" w:before="20" w:line="240" w:lineRule="auto"/>
            </w:pPr>
            <w:r/>
            <w:r>
              <w:rPr>
                <w:rFonts w:ascii="Arial" w:hAnsi="Arial" w:cs="Arial"/>
                <w:b/>
                <w:i w:val="0"/>
                <w:sz w:val="18"/>
              </w:rPr>
              <w:t>Status</w:t>
            </w:r>
          </w:p>
        </w:tc>
      </w:tr>
      <w:tr>
        <w:tc>
          <w:tcPr>
            <w:tcW w:type="dxa" w:w="2409"/>
          </w:tcPr>
          <w:p>
            <w:pPr>
              <w:spacing w:after="20" w:before="20" w:line="240" w:lineRule="auto"/>
            </w:pPr>
            <w:r/>
            <w:r>
              <w:rPr>
                <w:rFonts w:ascii="Arial" w:hAnsi="Arial" w:cs="Arial"/>
                <w:b w:val="0"/>
                <w:i w:val="0"/>
                <w:sz w:val="17"/>
              </w:rPr>
              <w:t>1</w:t>
            </w:r>
          </w:p>
        </w:tc>
        <w:tc>
          <w:tcPr>
            <w:tcW w:type="dxa" w:w="2409"/>
          </w:tcPr>
          <w:p>
            <w:pPr>
              <w:spacing w:after="20" w:before="20" w:line="240" w:lineRule="auto"/>
            </w:pPr>
            <w:r/>
            <w:r>
              <w:rPr>
                <w:rFonts w:ascii="Arial" w:hAnsi="Arial" w:cs="Arial"/>
                <w:b w:val="0"/>
                <w:i w:val="0"/>
                <w:sz w:val="17"/>
              </w:rPr>
              <w:t>GNN Risk Engine</w:t>
            </w:r>
          </w:p>
        </w:tc>
        <w:tc>
          <w:tcPr>
            <w:tcW w:type="dxa" w:w="2409"/>
          </w:tcPr>
          <w:p>
            <w:pPr>
              <w:spacing w:after="20" w:before="20" w:line="240" w:lineRule="auto"/>
            </w:pPr>
            <w:r/>
            <w:r>
              <w:rPr>
                <w:rFonts w:ascii="Arial" w:hAnsi="Arial" w:cs="Arial"/>
                <w:b w:val="0"/>
                <w:i w:val="0"/>
                <w:sz w:val="17"/>
              </w:rPr>
              <w:t>Built-in</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2</w:t>
            </w:r>
          </w:p>
        </w:tc>
        <w:tc>
          <w:tcPr>
            <w:tcW w:type="dxa" w:w="2409"/>
          </w:tcPr>
          <w:p>
            <w:pPr>
              <w:spacing w:after="20" w:before="20" w:line="240" w:lineRule="auto"/>
            </w:pPr>
            <w:r/>
            <w:r>
              <w:rPr>
                <w:rFonts w:ascii="Arial" w:hAnsi="Arial" w:cs="Arial"/>
                <w:b w:val="0"/>
                <w:i w:val="0"/>
                <w:sz w:val="17"/>
              </w:rPr>
              <w:t>Federated Learning</w:t>
            </w:r>
          </w:p>
        </w:tc>
        <w:tc>
          <w:tcPr>
            <w:tcW w:type="dxa" w:w="2409"/>
          </w:tcPr>
          <w:p>
            <w:pPr>
              <w:spacing w:after="20" w:before="20" w:line="240" w:lineRule="auto"/>
            </w:pPr>
            <w:r/>
            <w:r>
              <w:rPr>
                <w:rFonts w:ascii="Arial" w:hAnsi="Arial" w:cs="Arial"/>
                <w:b w:val="0"/>
                <w:i w:val="0"/>
                <w:sz w:val="17"/>
              </w:rPr>
              <w:t>Built-in</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3</w:t>
            </w:r>
          </w:p>
        </w:tc>
        <w:tc>
          <w:tcPr>
            <w:tcW w:type="dxa" w:w="2409"/>
          </w:tcPr>
          <w:p>
            <w:pPr>
              <w:spacing w:after="20" w:before="20" w:line="240" w:lineRule="auto"/>
            </w:pPr>
            <w:r/>
            <w:r>
              <w:rPr>
                <w:rFonts w:ascii="Arial" w:hAnsi="Arial" w:cs="Arial"/>
                <w:b w:val="0"/>
                <w:i w:val="0"/>
                <w:sz w:val="17"/>
              </w:rPr>
              <w:t>Causal Inference Engine</w:t>
            </w:r>
          </w:p>
        </w:tc>
        <w:tc>
          <w:tcPr>
            <w:tcW w:type="dxa" w:w="2409"/>
          </w:tcPr>
          <w:p>
            <w:pPr>
              <w:spacing w:after="20" w:before="20" w:line="240" w:lineRule="auto"/>
            </w:pPr>
            <w:r/>
            <w:r>
              <w:rPr>
                <w:rFonts w:ascii="Arial" w:hAnsi="Arial" w:cs="Arial"/>
                <w:b w:val="0"/>
                <w:i w:val="0"/>
                <w:sz w:val="17"/>
              </w:rPr>
              <w:t>Built-in</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4</w:t>
            </w:r>
          </w:p>
        </w:tc>
        <w:tc>
          <w:tcPr>
            <w:tcW w:type="dxa" w:w="2409"/>
          </w:tcPr>
          <w:p>
            <w:pPr>
              <w:spacing w:after="20" w:before="20" w:line="240" w:lineRule="auto"/>
            </w:pPr>
            <w:r/>
            <w:r>
              <w:rPr>
                <w:rFonts w:ascii="Arial" w:hAnsi="Arial" w:cs="Arial"/>
                <w:b w:val="0"/>
                <w:i w:val="0"/>
                <w:sz w:val="17"/>
              </w:rPr>
              <w:t>Self-Healing Infrastructure</w:t>
            </w:r>
          </w:p>
        </w:tc>
        <w:tc>
          <w:tcPr>
            <w:tcW w:type="dxa" w:w="2409"/>
          </w:tcPr>
          <w:p>
            <w:pPr>
              <w:spacing w:after="20" w:before="20" w:line="240" w:lineRule="auto"/>
            </w:pPr>
            <w:r/>
            <w:r>
              <w:rPr>
                <w:rFonts w:ascii="Arial" w:hAnsi="Arial" w:cs="Arial"/>
                <w:b w:val="0"/>
                <w:i w:val="0"/>
                <w:sz w:val="17"/>
              </w:rPr>
              <w:t>Built-in</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5</w:t>
            </w:r>
          </w:p>
        </w:tc>
        <w:tc>
          <w:tcPr>
            <w:tcW w:type="dxa" w:w="2409"/>
          </w:tcPr>
          <w:p>
            <w:pPr>
              <w:spacing w:after="20" w:before="20" w:line="240" w:lineRule="auto"/>
            </w:pPr>
            <w:r/>
            <w:r>
              <w:rPr>
                <w:rFonts w:ascii="Arial" w:hAnsi="Arial" w:cs="Arial"/>
                <w:b w:val="0"/>
                <w:i w:val="0"/>
                <w:sz w:val="17"/>
              </w:rPr>
              <w:t>Automated Penetration Testing</w:t>
            </w:r>
          </w:p>
        </w:tc>
        <w:tc>
          <w:tcPr>
            <w:tcW w:type="dxa" w:w="2409"/>
          </w:tcPr>
          <w:p>
            <w:pPr>
              <w:spacing w:after="20" w:before="20" w:line="240" w:lineRule="auto"/>
            </w:pPr>
            <w:r/>
            <w:r>
              <w:rPr>
                <w:rFonts w:ascii="Arial" w:hAnsi="Arial" w:cs="Arial"/>
                <w:b w:val="0"/>
                <w:i w:val="0"/>
                <w:sz w:val="17"/>
              </w:rPr>
              <w:t>Built-in</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6</w:t>
            </w:r>
          </w:p>
        </w:tc>
        <w:tc>
          <w:tcPr>
            <w:tcW w:type="dxa" w:w="2409"/>
          </w:tcPr>
          <w:p>
            <w:pPr>
              <w:spacing w:after="20" w:before="20" w:line="240" w:lineRule="auto"/>
            </w:pPr>
            <w:r/>
            <w:r>
              <w:rPr>
                <w:rFonts w:ascii="Arial" w:hAnsi="Arial" w:cs="Arial"/>
                <w:b w:val="0"/>
                <w:i w:val="0"/>
                <w:sz w:val="17"/>
              </w:rPr>
              <w:t>Post-Quantum Cryptography</w:t>
            </w:r>
          </w:p>
        </w:tc>
        <w:tc>
          <w:tcPr>
            <w:tcW w:type="dxa" w:w="2409"/>
          </w:tcPr>
          <w:p>
            <w:pPr>
              <w:spacing w:after="20" w:before="20" w:line="240" w:lineRule="auto"/>
            </w:pPr>
            <w:r/>
            <w:r>
              <w:rPr>
                <w:rFonts w:ascii="Arial" w:hAnsi="Arial" w:cs="Arial"/>
                <w:b w:val="0"/>
                <w:i w:val="0"/>
                <w:sz w:val="17"/>
              </w:rPr>
              <w:t>Built-in</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7</w:t>
            </w:r>
          </w:p>
        </w:tc>
        <w:tc>
          <w:tcPr>
            <w:tcW w:type="dxa" w:w="2409"/>
          </w:tcPr>
          <w:p>
            <w:pPr>
              <w:spacing w:after="20" w:before="20" w:line="240" w:lineRule="auto"/>
            </w:pPr>
            <w:r/>
            <w:r>
              <w:rPr>
                <w:rFonts w:ascii="Arial" w:hAnsi="Arial" w:cs="Arial"/>
                <w:b w:val="0"/>
                <w:i w:val="0"/>
                <w:sz w:val="17"/>
              </w:rPr>
              <w:t>Expanded ZK Proofs</w:t>
            </w:r>
          </w:p>
        </w:tc>
        <w:tc>
          <w:tcPr>
            <w:tcW w:type="dxa" w:w="2409"/>
          </w:tcPr>
          <w:p>
            <w:pPr>
              <w:spacing w:after="20" w:before="20" w:line="240" w:lineRule="auto"/>
            </w:pPr>
            <w:r/>
            <w:r>
              <w:rPr>
                <w:rFonts w:ascii="Arial" w:hAnsi="Arial" w:cs="Arial"/>
                <w:b w:val="0"/>
                <w:i w:val="0"/>
                <w:sz w:val="17"/>
              </w:rPr>
              <w:t>Built-in</w:t>
            </w:r>
          </w:p>
        </w:tc>
        <w:tc>
          <w:tcPr>
            <w:tcW w:type="dxa" w:w="2409"/>
          </w:tcPr>
          <w:p>
            <w:pPr>
              <w:spacing w:after="20" w:before="20" w:line="240" w:lineRule="auto"/>
            </w:pPr>
            <w:r/>
            <w:r>
              <w:rPr>
                <w:rFonts w:ascii="Arial" w:hAnsi="Arial" w:cs="Arial"/>
                <w:b w:val="0"/>
                <w:i w:val="0"/>
                <w:sz w:val="17"/>
              </w:rPr>
              <w:t>Complete</w:t>
            </w:r>
          </w:p>
        </w:tc>
      </w:tr>
      <w:tr>
        <w:tc>
          <w:tcPr>
            <w:tcW w:type="dxa" w:w="2409"/>
          </w:tcPr>
          <w:p>
            <w:pPr>
              <w:spacing w:after="20" w:before="20" w:line="240" w:lineRule="auto"/>
            </w:pPr>
            <w:r/>
            <w:r>
              <w:rPr>
                <w:rFonts w:ascii="Arial" w:hAnsi="Arial" w:cs="Arial"/>
                <w:b w:val="0"/>
                <w:i w:val="0"/>
                <w:sz w:val="17"/>
              </w:rPr>
              <w:t>8</w:t>
            </w:r>
          </w:p>
        </w:tc>
        <w:tc>
          <w:tcPr>
            <w:tcW w:type="dxa" w:w="2409"/>
          </w:tcPr>
          <w:p>
            <w:pPr>
              <w:spacing w:after="20" w:before="20" w:line="240" w:lineRule="auto"/>
            </w:pPr>
            <w:r/>
            <w:r>
              <w:rPr>
                <w:rFonts w:ascii="Arial" w:hAnsi="Arial" w:cs="Arial"/>
                <w:b w:val="0"/>
                <w:i w:val="0"/>
                <w:sz w:val="17"/>
              </w:rPr>
              <w:t>Customs Bond &amp; Guarantee</w:t>
            </w:r>
          </w:p>
        </w:tc>
        <w:tc>
          <w:tcPr>
            <w:tcW w:type="dxa" w:w="2409"/>
          </w:tcPr>
          <w:p>
            <w:pPr>
              <w:spacing w:after="20" w:before="20" w:line="240" w:lineRule="auto"/>
            </w:pPr>
            <w:r/>
            <w:r>
              <w:rPr>
                <w:rFonts w:ascii="Arial" w:hAnsi="Arial" w:cs="Arial"/>
                <w:b w:val="0"/>
                <w:i w:val="0"/>
                <w:sz w:val="17"/>
              </w:rPr>
              <w:t>P0</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9</w:t>
            </w:r>
          </w:p>
        </w:tc>
        <w:tc>
          <w:tcPr>
            <w:tcW w:type="dxa" w:w="2409"/>
          </w:tcPr>
          <w:p>
            <w:pPr>
              <w:spacing w:after="20" w:before="20" w:line="240" w:lineRule="auto"/>
            </w:pPr>
            <w:r/>
            <w:r>
              <w:rPr>
                <w:rFonts w:ascii="Arial" w:hAnsi="Arial" w:cs="Arial"/>
                <w:b w:val="0"/>
                <w:i w:val="0"/>
                <w:sz w:val="17"/>
              </w:rPr>
              <w:t>Demurrage &amp; Detention</w:t>
            </w:r>
          </w:p>
        </w:tc>
        <w:tc>
          <w:tcPr>
            <w:tcW w:type="dxa" w:w="2409"/>
          </w:tcPr>
          <w:p>
            <w:pPr>
              <w:spacing w:after="20" w:before="20" w:line="240" w:lineRule="auto"/>
            </w:pPr>
            <w:r/>
            <w:r>
              <w:rPr>
                <w:rFonts w:ascii="Arial" w:hAnsi="Arial" w:cs="Arial"/>
                <w:b w:val="0"/>
                <w:i w:val="0"/>
                <w:sz w:val="17"/>
              </w:rPr>
              <w:t>P0</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10</w:t>
            </w:r>
          </w:p>
        </w:tc>
        <w:tc>
          <w:tcPr>
            <w:tcW w:type="dxa" w:w="2409"/>
          </w:tcPr>
          <w:p>
            <w:pPr>
              <w:spacing w:after="20" w:before="20" w:line="240" w:lineRule="auto"/>
            </w:pPr>
            <w:r/>
            <w:r>
              <w:rPr>
                <w:rFonts w:ascii="Arial" w:hAnsi="Arial" w:cs="Arial"/>
                <w:b w:val="0"/>
                <w:i w:val="0"/>
                <w:sz w:val="17"/>
              </w:rPr>
              <w:t>Broker Liability &amp; Insurance</w:t>
            </w:r>
          </w:p>
        </w:tc>
        <w:tc>
          <w:tcPr>
            <w:tcW w:type="dxa" w:w="2409"/>
          </w:tcPr>
          <w:p>
            <w:pPr>
              <w:spacing w:after="20" w:before="20" w:line="240" w:lineRule="auto"/>
            </w:pPr>
            <w:r/>
            <w:r>
              <w:rPr>
                <w:rFonts w:ascii="Arial" w:hAnsi="Arial" w:cs="Arial"/>
                <w:b w:val="0"/>
                <w:i w:val="0"/>
                <w:sz w:val="17"/>
              </w:rPr>
              <w:t>P0</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11</w:t>
            </w:r>
          </w:p>
        </w:tc>
        <w:tc>
          <w:tcPr>
            <w:tcW w:type="dxa" w:w="2409"/>
          </w:tcPr>
          <w:p>
            <w:pPr>
              <w:spacing w:after="20" w:before="20" w:line="240" w:lineRule="auto"/>
            </w:pPr>
            <w:r/>
            <w:r>
              <w:rPr>
                <w:rFonts w:ascii="Arial" w:hAnsi="Arial" w:cs="Arial"/>
                <w:b w:val="0"/>
                <w:i w:val="0"/>
                <w:sz w:val="17"/>
              </w:rPr>
              <w:t>Customs Valuation Intelligence</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12</w:t>
            </w:r>
          </w:p>
        </w:tc>
        <w:tc>
          <w:tcPr>
            <w:tcW w:type="dxa" w:w="2409"/>
          </w:tcPr>
          <w:p>
            <w:pPr>
              <w:spacing w:after="20" w:before="20" w:line="240" w:lineRule="auto"/>
            </w:pPr>
            <w:r/>
            <w:r>
              <w:rPr>
                <w:rFonts w:ascii="Arial" w:hAnsi="Arial" w:cs="Arial"/>
                <w:b w:val="0"/>
                <w:i w:val="0"/>
                <w:sz w:val="17"/>
              </w:rPr>
              <w:t>Cold Chain Quality Management</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13</w:t>
            </w:r>
          </w:p>
        </w:tc>
        <w:tc>
          <w:tcPr>
            <w:tcW w:type="dxa" w:w="2409"/>
          </w:tcPr>
          <w:p>
            <w:pPr>
              <w:spacing w:after="20" w:before="20" w:line="240" w:lineRule="auto"/>
            </w:pPr>
            <w:r/>
            <w:r>
              <w:rPr>
                <w:rFonts w:ascii="Arial" w:hAnsi="Arial" w:cs="Arial"/>
                <w:b w:val="0"/>
                <w:i w:val="0"/>
                <w:sz w:val="17"/>
              </w:rPr>
              <w:t>Inspection Agency Accreditation</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14</w:t>
            </w:r>
          </w:p>
        </w:tc>
        <w:tc>
          <w:tcPr>
            <w:tcW w:type="dxa" w:w="2409"/>
          </w:tcPr>
          <w:p>
            <w:pPr>
              <w:spacing w:after="20" w:before="20" w:line="240" w:lineRule="auto"/>
            </w:pPr>
            <w:r/>
            <w:r>
              <w:rPr>
                <w:rFonts w:ascii="Arial" w:hAnsi="Arial" w:cs="Arial"/>
                <w:b w:val="0"/>
                <w:i w:val="0"/>
                <w:sz w:val="17"/>
              </w:rPr>
              <w:t>Currency Risk Management</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15</w:t>
            </w:r>
          </w:p>
        </w:tc>
        <w:tc>
          <w:tcPr>
            <w:tcW w:type="dxa" w:w="2409"/>
          </w:tcPr>
          <w:p>
            <w:pPr>
              <w:spacing w:after="20" w:before="20" w:line="240" w:lineRule="auto"/>
            </w:pPr>
            <w:r/>
            <w:r>
              <w:rPr>
                <w:rFonts w:ascii="Arial" w:hAnsi="Arial" w:cs="Arial"/>
                <w:b w:val="0"/>
                <w:i w:val="0"/>
                <w:sz w:val="17"/>
              </w:rPr>
              <w:t>Government API Sandbox</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16</w:t>
            </w:r>
          </w:p>
        </w:tc>
        <w:tc>
          <w:tcPr>
            <w:tcW w:type="dxa" w:w="2409"/>
          </w:tcPr>
          <w:p>
            <w:pPr>
              <w:spacing w:after="20" w:before="20" w:line="240" w:lineRule="auto"/>
            </w:pPr>
            <w:r/>
            <w:r>
              <w:rPr>
                <w:rFonts w:ascii="Arial" w:hAnsi="Arial" w:cs="Arial"/>
                <w:b w:val="0"/>
                <w:i w:val="0"/>
                <w:sz w:val="17"/>
              </w:rPr>
              <w:t>FTA Preference Management</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17</w:t>
            </w:r>
          </w:p>
        </w:tc>
        <w:tc>
          <w:tcPr>
            <w:tcW w:type="dxa" w:w="2409"/>
          </w:tcPr>
          <w:p>
            <w:pPr>
              <w:spacing w:after="20" w:before="20" w:line="240" w:lineRule="auto"/>
            </w:pPr>
            <w:r/>
            <w:r>
              <w:rPr>
                <w:rFonts w:ascii="Arial" w:hAnsi="Arial" w:cs="Arial"/>
                <w:b w:val="0"/>
                <w:i w:val="0"/>
                <w:sz w:val="17"/>
              </w:rPr>
              <w:t>Piracy &amp; Security Risk Engine</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18</w:t>
            </w:r>
          </w:p>
        </w:tc>
        <w:tc>
          <w:tcPr>
            <w:tcW w:type="dxa" w:w="2409"/>
          </w:tcPr>
          <w:p>
            <w:pPr>
              <w:spacing w:after="20" w:before="20" w:line="240" w:lineRule="auto"/>
            </w:pPr>
            <w:r/>
            <w:r>
              <w:rPr>
                <w:rFonts w:ascii="Arial" w:hAnsi="Arial" w:cs="Arial"/>
                <w:b w:val="0"/>
                <w:i w:val="0"/>
                <w:sz w:val="17"/>
              </w:rPr>
              <w:t>Trade Compliance Calendar</w:t>
            </w:r>
          </w:p>
        </w:tc>
        <w:tc>
          <w:tcPr>
            <w:tcW w:type="dxa" w:w="2409"/>
          </w:tcPr>
          <w:p>
            <w:pPr>
              <w:spacing w:after="20" w:before="20" w:line="240" w:lineRule="auto"/>
            </w:pPr>
            <w:r/>
            <w:r>
              <w:rPr>
                <w:rFonts w:ascii="Arial" w:hAnsi="Arial" w:cs="Arial"/>
                <w:b w:val="0"/>
                <w:i w:val="0"/>
                <w:sz w:val="17"/>
              </w:rPr>
              <w:t>P1</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19</w:t>
            </w:r>
          </w:p>
        </w:tc>
        <w:tc>
          <w:tcPr>
            <w:tcW w:type="dxa" w:w="2409"/>
          </w:tcPr>
          <w:p>
            <w:pPr>
              <w:spacing w:after="20" w:before="20" w:line="240" w:lineRule="auto"/>
            </w:pPr>
            <w:r/>
            <w:r>
              <w:rPr>
                <w:rFonts w:ascii="Arial" w:hAnsi="Arial" w:cs="Arial"/>
                <w:b w:val="0"/>
                <w:i w:val="0"/>
                <w:sz w:val="17"/>
              </w:rPr>
              <w:t>Cargo Insurance Integration</w:t>
            </w:r>
          </w:p>
        </w:tc>
        <w:tc>
          <w:tcPr>
            <w:tcW w:type="dxa" w:w="2409"/>
          </w:tcPr>
          <w:p>
            <w:pPr>
              <w:spacing w:after="20" w:before="20" w:line="240" w:lineRule="auto"/>
            </w:pPr>
            <w:r/>
            <w:r>
              <w:rPr>
                <w:rFonts w:ascii="Arial" w:hAnsi="Arial" w:cs="Arial"/>
                <w:b w:val="0"/>
                <w:i w:val="0"/>
                <w:sz w:val="17"/>
              </w:rPr>
              <w:t>P2</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20</w:t>
            </w:r>
          </w:p>
        </w:tc>
        <w:tc>
          <w:tcPr>
            <w:tcW w:type="dxa" w:w="2409"/>
          </w:tcPr>
          <w:p>
            <w:pPr>
              <w:spacing w:after="20" w:before="20" w:line="240" w:lineRule="auto"/>
            </w:pPr>
            <w:r/>
            <w:r>
              <w:rPr>
                <w:rFonts w:ascii="Arial" w:hAnsi="Arial" w:cs="Arial"/>
                <w:b w:val="0"/>
                <w:i w:val="0"/>
                <w:sz w:val="17"/>
              </w:rPr>
              <w:t>Trade Finance Documentation</w:t>
            </w:r>
          </w:p>
        </w:tc>
        <w:tc>
          <w:tcPr>
            <w:tcW w:type="dxa" w:w="2409"/>
          </w:tcPr>
          <w:p>
            <w:pPr>
              <w:spacing w:after="20" w:before="20" w:line="240" w:lineRule="auto"/>
            </w:pPr>
            <w:r/>
            <w:r>
              <w:rPr>
                <w:rFonts w:ascii="Arial" w:hAnsi="Arial" w:cs="Arial"/>
                <w:b w:val="0"/>
                <w:i w:val="0"/>
                <w:sz w:val="17"/>
              </w:rPr>
              <w:t>P2</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21</w:t>
            </w:r>
          </w:p>
        </w:tc>
        <w:tc>
          <w:tcPr>
            <w:tcW w:type="dxa" w:w="2409"/>
          </w:tcPr>
          <w:p>
            <w:pPr>
              <w:spacing w:after="20" w:before="20" w:line="240" w:lineRule="auto"/>
            </w:pPr>
            <w:r/>
            <w:r>
              <w:rPr>
                <w:rFonts w:ascii="Arial" w:hAnsi="Arial" w:cs="Arial"/>
                <w:b w:val="0"/>
                <w:i w:val="0"/>
                <w:sz w:val="17"/>
              </w:rPr>
              <w:t>Back-to-Back LC Management</w:t>
            </w:r>
          </w:p>
        </w:tc>
        <w:tc>
          <w:tcPr>
            <w:tcW w:type="dxa" w:w="2409"/>
          </w:tcPr>
          <w:p>
            <w:pPr>
              <w:spacing w:after="20" w:before="20" w:line="240" w:lineRule="auto"/>
            </w:pPr>
            <w:r/>
            <w:r>
              <w:rPr>
                <w:rFonts w:ascii="Arial" w:hAnsi="Arial" w:cs="Arial"/>
                <w:b w:val="0"/>
                <w:i w:val="0"/>
                <w:sz w:val="17"/>
              </w:rPr>
              <w:t>P2</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22</w:t>
            </w:r>
          </w:p>
        </w:tc>
        <w:tc>
          <w:tcPr>
            <w:tcW w:type="dxa" w:w="2409"/>
          </w:tcPr>
          <w:p>
            <w:pPr>
              <w:spacing w:after="20" w:before="20" w:line="240" w:lineRule="auto"/>
            </w:pPr>
            <w:r/>
            <w:r>
              <w:rPr>
                <w:rFonts w:ascii="Arial" w:hAnsi="Arial" w:cs="Arial"/>
                <w:b w:val="0"/>
                <w:i w:val="0"/>
                <w:sz w:val="17"/>
              </w:rPr>
              <w:t>Force Majeure Handling</w:t>
            </w:r>
          </w:p>
        </w:tc>
        <w:tc>
          <w:tcPr>
            <w:tcW w:type="dxa" w:w="2409"/>
          </w:tcPr>
          <w:p>
            <w:pPr>
              <w:spacing w:after="20" w:before="20" w:line="240" w:lineRule="auto"/>
            </w:pPr>
            <w:r/>
            <w:r>
              <w:rPr>
                <w:rFonts w:ascii="Arial" w:hAnsi="Arial" w:cs="Arial"/>
                <w:b w:val="0"/>
                <w:i w:val="0"/>
                <w:sz w:val="17"/>
              </w:rPr>
              <w:t>P2</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23</w:t>
            </w:r>
          </w:p>
        </w:tc>
        <w:tc>
          <w:tcPr>
            <w:tcW w:type="dxa" w:w="2409"/>
          </w:tcPr>
          <w:p>
            <w:pPr>
              <w:spacing w:after="20" w:before="20" w:line="240" w:lineRule="auto"/>
            </w:pPr>
            <w:r/>
            <w:r>
              <w:rPr>
                <w:rFonts w:ascii="Arial" w:hAnsi="Arial" w:cs="Arial"/>
                <w:b w:val="0"/>
                <w:i w:val="0"/>
                <w:sz w:val="17"/>
              </w:rPr>
              <w:t>Shipper's Declaration &amp; Export Docs</w:t>
            </w:r>
          </w:p>
        </w:tc>
        <w:tc>
          <w:tcPr>
            <w:tcW w:type="dxa" w:w="2409"/>
          </w:tcPr>
          <w:p>
            <w:pPr>
              <w:spacing w:after="20" w:before="20" w:line="240" w:lineRule="auto"/>
            </w:pPr>
            <w:r/>
            <w:r>
              <w:rPr>
                <w:rFonts w:ascii="Arial" w:hAnsi="Arial" w:cs="Arial"/>
                <w:b w:val="0"/>
                <w:i w:val="0"/>
                <w:sz w:val="17"/>
              </w:rPr>
              <w:t>P2</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24</w:t>
            </w:r>
          </w:p>
        </w:tc>
        <w:tc>
          <w:tcPr>
            <w:tcW w:type="dxa" w:w="2409"/>
          </w:tcPr>
          <w:p>
            <w:pPr>
              <w:spacing w:after="20" w:before="20" w:line="240" w:lineRule="auto"/>
            </w:pPr>
            <w:r/>
            <w:r>
              <w:rPr>
                <w:rFonts w:ascii="Arial" w:hAnsi="Arial" w:cs="Arial"/>
                <w:b w:val="0"/>
                <w:i w:val="0"/>
                <w:sz w:val="17"/>
              </w:rPr>
              <w:t>Port &amp; Terminal Integration</w:t>
            </w:r>
          </w:p>
        </w:tc>
        <w:tc>
          <w:tcPr>
            <w:tcW w:type="dxa" w:w="2409"/>
          </w:tcPr>
          <w:p>
            <w:pPr>
              <w:spacing w:after="20" w:before="20" w:line="240" w:lineRule="auto"/>
            </w:pPr>
            <w:r/>
            <w:r>
              <w:rPr>
                <w:rFonts w:ascii="Arial" w:hAnsi="Arial" w:cs="Arial"/>
                <w:b w:val="0"/>
                <w:i w:val="0"/>
                <w:sz w:val="17"/>
              </w:rPr>
              <w:t>P2</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25</w:t>
            </w:r>
          </w:p>
        </w:tc>
        <w:tc>
          <w:tcPr>
            <w:tcW w:type="dxa" w:w="2409"/>
          </w:tcPr>
          <w:p>
            <w:pPr>
              <w:spacing w:after="20" w:before="20" w:line="240" w:lineRule="auto"/>
            </w:pPr>
            <w:r/>
            <w:r>
              <w:rPr>
                <w:rFonts w:ascii="Arial" w:hAnsi="Arial" w:cs="Arial"/>
                <w:b w:val="0"/>
                <w:i w:val="0"/>
                <w:sz w:val="17"/>
              </w:rPr>
              <w:t>Payment Guarantee Confirmation</w:t>
            </w:r>
          </w:p>
        </w:tc>
        <w:tc>
          <w:tcPr>
            <w:tcW w:type="dxa" w:w="2409"/>
          </w:tcPr>
          <w:p>
            <w:pPr>
              <w:spacing w:after="20" w:before="20" w:line="240" w:lineRule="auto"/>
            </w:pPr>
            <w:r/>
            <w:r>
              <w:rPr>
                <w:rFonts w:ascii="Arial" w:hAnsi="Arial" w:cs="Arial"/>
                <w:b w:val="0"/>
                <w:i w:val="0"/>
                <w:sz w:val="17"/>
              </w:rPr>
              <w:t>P3</w:t>
            </w:r>
          </w:p>
        </w:tc>
        <w:tc>
          <w:tcPr>
            <w:tcW w:type="dxa" w:w="2409"/>
          </w:tcPr>
          <w:p>
            <w:pPr>
              <w:spacing w:after="20" w:before="20" w:line="240" w:lineRule="auto"/>
            </w:pPr>
            <w:r/>
            <w:r>
              <w:rPr>
                <w:rFonts w:ascii="Arial" w:hAnsi="Arial" w:cs="Arial"/>
                <w:b w:val="0"/>
                <w:i w:val="0"/>
                <w:sz w:val="17"/>
              </w:rPr>
              <w:t>Optional</w:t>
            </w:r>
          </w:p>
        </w:tc>
      </w:tr>
      <w:tr>
        <w:tc>
          <w:tcPr>
            <w:tcW w:type="dxa" w:w="2409"/>
          </w:tcPr>
          <w:p>
            <w:pPr>
              <w:spacing w:after="20" w:before="20" w:line="240" w:lineRule="auto"/>
            </w:pPr>
            <w:r/>
            <w:r>
              <w:rPr>
                <w:rFonts w:ascii="Arial" w:hAnsi="Arial" w:cs="Arial"/>
                <w:b w:val="0"/>
                <w:i w:val="0"/>
                <w:sz w:val="17"/>
              </w:rPr>
              <w:t>26</w:t>
            </w:r>
          </w:p>
        </w:tc>
        <w:tc>
          <w:tcPr>
            <w:tcW w:type="dxa" w:w="2409"/>
          </w:tcPr>
          <w:p>
            <w:pPr>
              <w:spacing w:after="20" w:before="20" w:line="240" w:lineRule="auto"/>
            </w:pPr>
            <w:r/>
            <w:r>
              <w:rPr>
                <w:rFonts w:ascii="Arial" w:hAnsi="Arial" w:cs="Arial"/>
                <w:b w:val="0"/>
                <w:i w:val="0"/>
                <w:sz w:val="17"/>
              </w:rPr>
              <w:t>Demurrage Dispute Resolution</w:t>
            </w:r>
          </w:p>
        </w:tc>
        <w:tc>
          <w:tcPr>
            <w:tcW w:type="dxa" w:w="2409"/>
          </w:tcPr>
          <w:p>
            <w:pPr>
              <w:spacing w:after="20" w:before="20" w:line="240" w:lineRule="auto"/>
            </w:pPr>
            <w:r/>
            <w:r>
              <w:rPr>
                <w:rFonts w:ascii="Arial" w:hAnsi="Arial" w:cs="Arial"/>
                <w:b w:val="0"/>
                <w:i w:val="0"/>
                <w:sz w:val="17"/>
              </w:rPr>
              <w:t>P3</w:t>
            </w:r>
          </w:p>
        </w:tc>
        <w:tc>
          <w:tcPr>
            <w:tcW w:type="dxa" w:w="2409"/>
          </w:tcPr>
          <w:p>
            <w:pPr>
              <w:spacing w:after="20" w:before="20" w:line="240" w:lineRule="auto"/>
            </w:pPr>
            <w:r/>
            <w:r>
              <w:rPr>
                <w:rFonts w:ascii="Arial" w:hAnsi="Arial" w:cs="Arial"/>
                <w:b w:val="0"/>
                <w:i w:val="0"/>
                <w:sz w:val="17"/>
              </w:rPr>
              <w:t>Specified</w:t>
            </w:r>
          </w:p>
        </w:tc>
      </w:tr>
      <w:tr>
        <w:tc>
          <w:tcPr>
            <w:tcW w:type="dxa" w:w="2409"/>
          </w:tcPr>
          <w:p>
            <w:pPr>
              <w:spacing w:after="20" w:before="20" w:line="240" w:lineRule="auto"/>
            </w:pPr>
            <w:r/>
            <w:r>
              <w:rPr>
                <w:rFonts w:ascii="Arial" w:hAnsi="Arial" w:cs="Arial"/>
                <w:b w:val="0"/>
                <w:i w:val="0"/>
                <w:sz w:val="17"/>
              </w:rPr>
              <w:t>27</w:t>
            </w:r>
          </w:p>
        </w:tc>
        <w:tc>
          <w:tcPr>
            <w:tcW w:type="dxa" w:w="2409"/>
          </w:tcPr>
          <w:p>
            <w:pPr>
              <w:spacing w:after="20" w:before="20" w:line="240" w:lineRule="auto"/>
            </w:pPr>
            <w:r/>
            <w:r>
              <w:rPr>
                <w:rFonts w:ascii="Arial" w:hAnsi="Arial" w:cs="Arial"/>
                <w:b w:val="0"/>
                <w:i w:val="0"/>
                <w:sz w:val="17"/>
              </w:rPr>
              <w:t>(Reserved)</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28</w:t>
            </w:r>
          </w:p>
        </w:tc>
        <w:tc>
          <w:tcPr>
            <w:tcW w:type="dxa" w:w="2409"/>
          </w:tcPr>
          <w:p>
            <w:pPr>
              <w:spacing w:after="20" w:before="20" w:line="240" w:lineRule="auto"/>
            </w:pPr>
            <w:r/>
            <w:r>
              <w:rPr>
                <w:rFonts w:ascii="Arial" w:hAnsi="Arial" w:cs="Arial"/>
                <w:b w:val="0"/>
                <w:i w:val="0"/>
                <w:sz w:val="17"/>
              </w:rPr>
              <w:t>GRiRE Engine</w:t>
            </w:r>
          </w:p>
        </w:tc>
        <w:tc>
          <w:tcPr>
            <w:tcW w:type="dxa" w:w="2409"/>
          </w:tcPr>
          <w:p>
            <w:pPr>
              <w:spacing w:after="20" w:before="20" w:line="240" w:lineRule="auto"/>
            </w:pPr>
            <w:r/>
            <w:r>
              <w:rPr>
                <w:rFonts w:ascii="Arial" w:hAnsi="Arial" w:cs="Arial"/>
                <w:b w:val="0"/>
                <w:i w:val="0"/>
                <w:sz w:val="17"/>
              </w:rPr>
              <w:t>Foundation</w:t>
            </w:r>
          </w:p>
        </w:tc>
        <w:tc>
          <w:tcPr>
            <w:tcW w:type="dxa" w:w="2409"/>
          </w:tcPr>
          <w:p>
            <w:pPr>
              <w:spacing w:after="20" w:before="20" w:line="240" w:lineRule="auto"/>
            </w:pPr>
            <w:r/>
            <w:r>
              <w:rPr>
                <w:rFonts w:ascii="Arial" w:hAnsi="Arial" w:cs="Arial"/>
                <w:b w:val="0"/>
                <w:i w:val="0"/>
                <w:sz w:val="17"/>
              </w:rPr>
              <w:t>Specified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22.1.3 Activation Governance</w:t>
      </w:r>
    </w:p>
    <w:p>
      <w:pPr>
        <w:spacing w:after="80" w:line="293" w:lineRule="auto"/>
        <w:jc w:val="left"/>
      </w:pPr>
      <w:r>
        <w:rPr>
          <w:rFonts w:ascii="Times New Roman" w:hAnsi="Times New Roman" w:cs="Times New Roman"/>
          <w:b w:val="0"/>
          <w:i w:val="0"/>
          <w:sz w:val="22"/>
        </w:rPr>
        <w:t>Every add-on is activated through a uniform workflow:</w:t>
      </w:r>
    </w:p>
    <w:p>
      <w:pPr>
        <w:spacing w:after="80" w:line="293" w:lineRule="auto"/>
        <w:ind w:left="283"/>
        <w:jc w:val="left"/>
      </w:pPr>
      <w:r>
        <w:rPr>
          <w:rFonts w:ascii="Times New Roman" w:hAnsi="Times New Roman" w:cs="Times New Roman"/>
          <w:b w:val="0"/>
          <w:i w:val="0"/>
          <w:sz w:val="22"/>
        </w:rPr>
        <w:t>- Registry — Admin Portal → Add-Ons. Each add-on has a dedicated toggle with its configuration panel (schedule, thresholds, target URLs, model choices, or sub-feature switches as applicable).</w:t>
      </w:r>
    </w:p>
    <w:p>
      <w:pPr>
        <w:spacing w:after="80" w:line="293" w:lineRule="auto"/>
        <w:ind w:left="283"/>
        <w:jc w:val="left"/>
      </w:pPr>
      <w:r>
        <w:rPr>
          <w:rFonts w:ascii="Times New Roman" w:hAnsi="Times New Roman" w:cs="Times New Roman"/>
          <w:b w:val="0"/>
          <w:i w:val="0"/>
          <w:sz w:val="22"/>
        </w:rPr>
        <w:t>- One-click principle — every irreversible activation action is a single click or voice command. Admin clicks "Enable" and the system activates; where a follow-up action exists (for example "Run Chaos Test", "Trigger Pentest", or "Re-sign All"), that action is also one click.</w:t>
      </w:r>
    </w:p>
    <w:p>
      <w:pPr>
        <w:spacing w:after="80" w:line="293" w:lineRule="auto"/>
        <w:ind w:left="283"/>
        <w:jc w:val="left"/>
      </w:pPr>
      <w:r>
        <w:rPr>
          <w:rFonts w:ascii="Times New Roman" w:hAnsi="Times New Roman" w:cs="Times New Roman"/>
          <w:b w:val="0"/>
          <w:i w:val="0"/>
          <w:sz w:val="22"/>
        </w:rPr>
        <w:t>- Multisig where required — Federated Learning activation, production chaos experiments, and Post-Quantum key generation require multisig approval. ZK circuit compilation does not (it is automated and auditable).</w:t>
      </w:r>
    </w:p>
    <w:p>
      <w:pPr>
        <w:spacing w:after="80" w:line="293" w:lineRule="auto"/>
        <w:ind w:left="283"/>
        <w:jc w:val="left"/>
      </w:pPr>
      <w:r>
        <w:rPr>
          <w:rFonts w:ascii="Times New Roman" w:hAnsi="Times New Roman" w:cs="Times New Roman"/>
          <w:b w:val="0"/>
          <w:i w:val="0"/>
          <w:sz w:val="22"/>
        </w:rPr>
        <w:t>- AI authority — activation itself executes at AI authority level A4 with A1 notification.</w:t>
      </w:r>
    </w:p>
    <w:p>
      <w:pPr>
        <w:spacing w:after="80" w:line="293" w:lineRule="auto"/>
        <w:ind w:left="283"/>
        <w:jc w:val="left"/>
      </w:pPr>
      <w:r>
        <w:rPr>
          <w:rFonts w:ascii="Times New Roman" w:hAnsi="Times New Roman" w:cs="Times New Roman"/>
          <w:b w:val="0"/>
          <w:i w:val="0"/>
          <w:sz w:val="22"/>
        </w:rPr>
        <w:t>- Zero cost — activation incurs no additional billing; all components are open-source and execute on the platform's own infrastructure.</w:t>
      </w:r>
    </w:p>
    <w:p>
      <w:pPr>
        <w:keepNext/>
        <w:spacing w:before="180" w:after="80"/>
        <w:outlineLvl w:val="2"/>
      </w:pPr>
      <w:r>
        <w:rPr>
          <w:rFonts w:ascii="Arial" w:hAnsi="Arial" w:cs="Arial"/>
          <w:b/>
          <w:i w:val="0"/>
          <w:color w:val="333333"/>
          <w:sz w:val="23"/>
        </w:rPr>
        <w:t>22.1.4 AI Authority Integration</w:t>
      </w:r>
    </w:p>
    <w:p>
      <w:pPr>
        <w:spacing w:after="80" w:line="293" w:lineRule="auto"/>
        <w:jc w:val="left"/>
      </w:pPr>
      <w:r>
        <w:rPr>
          <w:rFonts w:ascii="Times New Roman" w:hAnsi="Times New Roman" w:cs="Times New Roman"/>
          <w:b w:val="0"/>
          <w:i w:val="0"/>
          <w:sz w:val="22"/>
        </w:rPr>
        <w:t>All add-on intelligence operates on the platform's AI Authority Ladder (A0–A5). The ladder is defined as: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Level</w:t>
            </w:r>
          </w:p>
        </w:tc>
        <w:tc>
          <w:tcPr>
            <w:tcW w:type="dxa" w:w="3213"/>
            <w:shd w:val="clear" w:fill="D9E2F3"/>
          </w:tcPr>
          <w:p>
            <w:pPr>
              <w:spacing w:after="20" w:before="20" w:line="240" w:lineRule="auto"/>
            </w:pPr>
            <w:r/>
            <w:r>
              <w:rPr>
                <w:rFonts w:ascii="Arial" w:hAnsi="Arial" w:cs="Arial"/>
                <w:b/>
                <w:i w:val="0"/>
                <w:sz w:val="18"/>
              </w:rPr>
              <w:t>Name</w:t>
            </w:r>
          </w:p>
        </w:tc>
        <w:tc>
          <w:tcPr>
            <w:tcW w:type="dxa" w:w="3213"/>
            <w:shd w:val="clear" w:fill="D9E2F3"/>
          </w:tcPr>
          <w:p>
            <w:pPr>
              <w:spacing w:after="20" w:before="20" w:line="240" w:lineRule="auto"/>
            </w:pPr>
            <w:r/>
            <w:r>
              <w:rPr>
                <w:rFonts w:ascii="Arial" w:hAnsi="Arial" w:cs="Arial"/>
                <w:b/>
                <w:i w:val="0"/>
                <w:sz w:val="18"/>
              </w:rPr>
              <w:t>Meaning</w:t>
            </w:r>
          </w:p>
        </w:tc>
      </w:tr>
      <w:tr>
        <w:tc>
          <w:tcPr>
            <w:tcW w:type="dxa" w:w="3213"/>
          </w:tcPr>
          <w:p>
            <w:pPr>
              <w:spacing w:after="20" w:before="20" w:line="240" w:lineRule="auto"/>
            </w:pPr>
            <w:r/>
            <w:r>
              <w:rPr>
                <w:rFonts w:ascii="Arial" w:hAnsi="Arial" w:cs="Arial"/>
                <w:b w:val="0"/>
                <w:i w:val="0"/>
                <w:sz w:val="17"/>
              </w:rPr>
              <w:t>A0</w:t>
            </w:r>
          </w:p>
        </w:tc>
        <w:tc>
          <w:tcPr>
            <w:tcW w:type="dxa" w:w="3213"/>
          </w:tcPr>
          <w:p>
            <w:pPr>
              <w:spacing w:after="20" w:before="20" w:line="240" w:lineRule="auto"/>
            </w:pPr>
            <w:r/>
            <w:r>
              <w:rPr>
                <w:rFonts w:ascii="Arial" w:hAnsi="Arial" w:cs="Arial"/>
                <w:b w:val="0"/>
                <w:i w:val="0"/>
                <w:sz w:val="17"/>
              </w:rPr>
              <w:t>None</w:t>
            </w:r>
          </w:p>
        </w:tc>
        <w:tc>
          <w:tcPr>
            <w:tcW w:type="dxa" w:w="3213"/>
          </w:tcPr>
          <w:p>
            <w:pPr>
              <w:spacing w:after="20" w:before="20" w:line="240" w:lineRule="auto"/>
            </w:pPr>
            <w:r/>
            <w:r>
              <w:rPr>
                <w:rFonts w:ascii="Arial" w:hAnsi="Arial" w:cs="Arial"/>
                <w:b w:val="0"/>
                <w:i w:val="0"/>
                <w:sz w:val="17"/>
              </w:rPr>
              <w:t>No AI involvement</w:t>
            </w:r>
          </w:p>
        </w:tc>
      </w:tr>
      <w:tr>
        <w:tc>
          <w:tcPr>
            <w:tcW w:type="dxa" w:w="3213"/>
          </w:tcPr>
          <w:p>
            <w:pPr>
              <w:spacing w:after="20" w:before="20" w:line="240" w:lineRule="auto"/>
            </w:pPr>
            <w:r/>
            <w:r>
              <w:rPr>
                <w:rFonts w:ascii="Arial" w:hAnsi="Arial" w:cs="Arial"/>
                <w:b w:val="0"/>
                <w:i w:val="0"/>
                <w:sz w:val="17"/>
              </w:rPr>
              <w:t>A1</w:t>
            </w:r>
          </w:p>
        </w:tc>
        <w:tc>
          <w:tcPr>
            <w:tcW w:type="dxa" w:w="3213"/>
          </w:tcPr>
          <w:p>
            <w:pPr>
              <w:spacing w:after="20" w:before="20" w:line="240" w:lineRule="auto"/>
            </w:pPr>
            <w:r/>
            <w:r>
              <w:rPr>
                <w:rFonts w:ascii="Arial" w:hAnsi="Arial" w:cs="Arial"/>
                <w:b w:val="0"/>
                <w:i w:val="0"/>
                <w:sz w:val="17"/>
              </w:rPr>
              <w:t>Advisory</w:t>
            </w:r>
          </w:p>
        </w:tc>
        <w:tc>
          <w:tcPr>
            <w:tcW w:type="dxa" w:w="3213"/>
          </w:tcPr>
          <w:p>
            <w:pPr>
              <w:spacing w:after="20" w:before="20" w:line="240" w:lineRule="auto"/>
            </w:pPr>
            <w:r/>
            <w:r>
              <w:rPr>
                <w:rFonts w:ascii="Arial" w:hAnsi="Arial" w:cs="Arial"/>
                <w:b w:val="0"/>
                <w:i w:val="0"/>
                <w:sz w:val="17"/>
              </w:rPr>
              <w:t>AI generates summaries, explanations, and notifications; no decision influence</w:t>
            </w:r>
          </w:p>
        </w:tc>
      </w:tr>
      <w:tr>
        <w:tc>
          <w:tcPr>
            <w:tcW w:type="dxa" w:w="3213"/>
          </w:tcPr>
          <w:p>
            <w:pPr>
              <w:spacing w:after="20" w:before="20" w:line="240" w:lineRule="auto"/>
            </w:pPr>
            <w:r/>
            <w:r>
              <w:rPr>
                <w:rFonts w:ascii="Arial" w:hAnsi="Arial" w:cs="Arial"/>
                <w:b w:val="0"/>
                <w:i w:val="0"/>
                <w:sz w:val="17"/>
              </w:rPr>
              <w:t>A2</w:t>
            </w:r>
          </w:p>
        </w:tc>
        <w:tc>
          <w:tcPr>
            <w:tcW w:type="dxa" w:w="3213"/>
          </w:tcPr>
          <w:p>
            <w:pPr>
              <w:spacing w:after="20" w:before="20" w:line="240" w:lineRule="auto"/>
            </w:pPr>
            <w:r/>
            <w:r>
              <w:rPr>
                <w:rFonts w:ascii="Arial" w:hAnsi="Arial" w:cs="Arial"/>
                <w:b w:val="0"/>
                <w:i w:val="0"/>
                <w:sz w:val="17"/>
              </w:rPr>
              <w:t>Constraining</w:t>
            </w:r>
          </w:p>
        </w:tc>
        <w:tc>
          <w:tcPr>
            <w:tcW w:type="dxa" w:w="3213"/>
          </w:tcPr>
          <w:p>
            <w:pPr>
              <w:spacing w:after="20" w:before="20" w:line="240" w:lineRule="auto"/>
            </w:pPr>
            <w:r/>
            <w:r>
              <w:rPr>
                <w:rFonts w:ascii="Arial" w:hAnsi="Arial" w:cs="Arial"/>
                <w:b w:val="0"/>
                <w:i w:val="0"/>
                <w:sz w:val="17"/>
              </w:rPr>
              <w:t>AI produces scores or classifications that can constrain an outcome to CONDITIONAL; never autonomous</w:t>
            </w:r>
          </w:p>
        </w:tc>
      </w:tr>
      <w:tr>
        <w:tc>
          <w:tcPr>
            <w:tcW w:type="dxa" w:w="3213"/>
          </w:tcPr>
          <w:p>
            <w:pPr>
              <w:spacing w:after="20" w:before="20" w:line="240" w:lineRule="auto"/>
            </w:pPr>
            <w:r/>
            <w:r>
              <w:rPr>
                <w:rFonts w:ascii="Arial" w:hAnsi="Arial" w:cs="Arial"/>
                <w:b w:val="0"/>
                <w:i w:val="0"/>
                <w:sz w:val="17"/>
              </w:rPr>
              <w:t>A3</w:t>
            </w:r>
          </w:p>
        </w:tc>
        <w:tc>
          <w:tcPr>
            <w:tcW w:type="dxa" w:w="3213"/>
          </w:tcPr>
          <w:p>
            <w:pPr>
              <w:spacing w:after="20" w:before="20" w:line="240" w:lineRule="auto"/>
            </w:pPr>
            <w:r/>
            <w:r>
              <w:rPr>
                <w:rFonts w:ascii="Arial" w:hAnsi="Arial" w:cs="Arial"/>
                <w:b w:val="0"/>
                <w:i w:val="0"/>
                <w:sz w:val="17"/>
              </w:rPr>
              <w:t>Escalation</w:t>
            </w:r>
          </w:p>
        </w:tc>
        <w:tc>
          <w:tcPr>
            <w:tcW w:type="dxa" w:w="3213"/>
          </w:tcPr>
          <w:p>
            <w:pPr>
              <w:spacing w:after="20" w:before="20" w:line="240" w:lineRule="auto"/>
            </w:pPr>
            <w:r/>
            <w:r>
              <w:rPr>
                <w:rFonts w:ascii="Arial" w:hAnsi="Arial" w:cs="Arial"/>
                <w:b w:val="0"/>
                <w:i w:val="0"/>
                <w:sz w:val="17"/>
              </w:rPr>
              <w:t>AI escalates to human/multisig approval</w:t>
            </w:r>
          </w:p>
        </w:tc>
      </w:tr>
      <w:tr>
        <w:tc>
          <w:tcPr>
            <w:tcW w:type="dxa" w:w="3213"/>
          </w:tcPr>
          <w:p>
            <w:pPr>
              <w:spacing w:after="20" w:before="20" w:line="240" w:lineRule="auto"/>
            </w:pPr>
            <w:r/>
            <w:r>
              <w:rPr>
                <w:rFonts w:ascii="Arial" w:hAnsi="Arial" w:cs="Arial"/>
                <w:b w:val="0"/>
                <w:i w:val="0"/>
                <w:sz w:val="17"/>
              </w:rPr>
              <w:t>A4</w:t>
            </w:r>
          </w:p>
        </w:tc>
        <w:tc>
          <w:tcPr>
            <w:tcW w:type="dxa" w:w="3213"/>
          </w:tcPr>
          <w:p>
            <w:pPr>
              <w:spacing w:after="20" w:before="20" w:line="240" w:lineRule="auto"/>
            </w:pPr>
            <w:r/>
            <w:r>
              <w:rPr>
                <w:rFonts w:ascii="Arial" w:hAnsi="Arial" w:cs="Arial"/>
                <w:b w:val="0"/>
                <w:i w:val="0"/>
                <w:sz w:val="17"/>
              </w:rPr>
              <w:t>Execution (within bounds)</w:t>
            </w:r>
          </w:p>
        </w:tc>
        <w:tc>
          <w:tcPr>
            <w:tcW w:type="dxa" w:w="3213"/>
          </w:tcPr>
          <w:p>
            <w:pPr>
              <w:spacing w:after="20" w:before="20" w:line="240" w:lineRule="auto"/>
            </w:pPr>
            <w:r/>
            <w:r>
              <w:rPr>
                <w:rFonts w:ascii="Arial" w:hAnsi="Arial" w:cs="Arial"/>
                <w:b w:val="0"/>
                <w:i w:val="0"/>
                <w:sz w:val="17"/>
              </w:rPr>
              <w:t>AI orchestrates execution inside deterministic, Governor-gated bounds</w:t>
            </w:r>
          </w:p>
        </w:tc>
      </w:tr>
      <w:tr>
        <w:tc>
          <w:tcPr>
            <w:tcW w:type="dxa" w:w="3213"/>
          </w:tcPr>
          <w:p>
            <w:pPr>
              <w:spacing w:after="20" w:before="20" w:line="240" w:lineRule="auto"/>
            </w:pPr>
            <w:r/>
            <w:r>
              <w:rPr>
                <w:rFonts w:ascii="Arial" w:hAnsi="Arial" w:cs="Arial"/>
                <w:b w:val="0"/>
                <w:i w:val="0"/>
                <w:sz w:val="17"/>
              </w:rPr>
              <w:t>A5</w:t>
            </w:r>
          </w:p>
        </w:tc>
        <w:tc>
          <w:tcPr>
            <w:tcW w:type="dxa" w:w="3213"/>
          </w:tcPr>
          <w:p>
            <w:pPr>
              <w:spacing w:after="20" w:before="20" w:line="240" w:lineRule="auto"/>
            </w:pPr>
            <w:r/>
            <w:r>
              <w:rPr>
                <w:rFonts w:ascii="Arial" w:hAnsi="Arial" w:cs="Arial"/>
                <w:b w:val="0"/>
                <w:i w:val="0"/>
                <w:sz w:val="17"/>
              </w:rPr>
              <w:t>FORBIDDEN</w:t>
            </w:r>
          </w:p>
        </w:tc>
        <w:tc>
          <w:tcPr>
            <w:tcW w:type="dxa" w:w="3213"/>
          </w:tcPr>
          <w:p>
            <w:pPr>
              <w:spacing w:after="20" w:before="20" w:line="240" w:lineRule="auto"/>
            </w:pPr>
            <w:r/>
            <w:r>
              <w:rPr>
                <w:rFonts w:ascii="Arial" w:hAnsi="Arial" w:cs="Arial"/>
                <w:b w:val="0"/>
                <w:i w:val="0"/>
                <w:sz w:val="17"/>
              </w:rPr>
              <w:t>Blocked at WASM compile time; never implemented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Add-ons use A1 for Groq-generated plain-language output (with Ollama as local fallback), A2 for local Hugging Face model inference (with Ollama fallback) in scoring, extraction, and prediction tasks, A3 for approvals, and A4 for OPA + WasmEdge-validated enforcement and orchestration. The three-tier fallback chain Groq → Ollama → Static applies to all add-on inference; fallback events are logged in `ai_inference_records`. No add-on ever operates at A5, and no add-on output ever recommends a counterparty or service provider.</w:t>
      </w:r>
    </w:p>
    <w:p>
      <w:pPr>
        <w:keepNext/>
        <w:spacing w:before="180" w:after="80"/>
        <w:outlineLvl w:val="2"/>
      </w:pPr>
      <w:r>
        <w:rPr>
          <w:rFonts w:ascii="Arial" w:hAnsi="Arial" w:cs="Arial"/>
          <w:b/>
          <w:i w:val="0"/>
          <w:color w:val="333333"/>
          <w:sz w:val="23"/>
        </w:rPr>
        <w:t>22.1.5 Non-Marketplace Safeguards</w:t>
      </w:r>
    </w:p>
    <w:p>
      <w:pPr>
        <w:spacing w:after="80" w:line="293" w:lineRule="auto"/>
        <w:jc w:val="left"/>
      </w:pPr>
      <w:r>
        <w:rPr>
          <w:rFonts w:ascii="Times New Roman" w:hAnsi="Times New Roman" w:cs="Times New Roman"/>
          <w:b w:val="0"/>
          <w:i w:val="0"/>
          <w:sz w:val="22"/>
        </w:rPr>
        <w:t>Every add-on carries a non-marketplace safeguard. In aggregate:</w:t>
      </w:r>
    </w:p>
    <w:p>
      <w:pPr>
        <w:spacing w:after="80" w:line="293" w:lineRule="auto"/>
        <w:ind w:left="283"/>
        <w:jc w:val="left"/>
      </w:pPr>
      <w:r>
        <w:rPr>
          <w:rFonts w:ascii="Times New Roman" w:hAnsi="Times New Roman" w:cs="Times New Roman"/>
          <w:b w:val="0"/>
          <w:i w:val="0"/>
          <w:sz w:val="22"/>
        </w:rPr>
        <w:t>- The GNN Risk Engine only flags risk within existing relationships; it never suggests alternative counterparties.</w:t>
      </w:r>
    </w:p>
    <w:p>
      <w:pPr>
        <w:spacing w:after="80" w:line="293" w:lineRule="auto"/>
        <w:ind w:left="283"/>
        <w:jc w:val="left"/>
      </w:pPr>
      <w:r>
        <w:rPr>
          <w:rFonts w:ascii="Times New Roman" w:hAnsi="Times New Roman" w:cs="Times New Roman"/>
          <w:b w:val="0"/>
          <w:i w:val="0"/>
          <w:sz w:val="22"/>
        </w:rPr>
        <w:t>- Federated Learning shares only encrypted model updates, never raw trade data, and produces no recommendations.</w:t>
      </w:r>
    </w:p>
    <w:p>
      <w:pPr>
        <w:spacing w:after="80" w:line="293" w:lineRule="auto"/>
        <w:ind w:left="283"/>
        <w:jc w:val="left"/>
      </w:pPr>
      <w:r>
        <w:rPr>
          <w:rFonts w:ascii="Times New Roman" w:hAnsi="Times New Roman" w:cs="Times New Roman"/>
          <w:b w:val="0"/>
          <w:i w:val="0"/>
          <w:sz w:val="22"/>
        </w:rPr>
        <w:t>- Causal Inference reports factual contribution percentages only; it never suggests "switch provider" or "blame the other party".</w:t>
      </w:r>
    </w:p>
    <w:p>
      <w:pPr>
        <w:spacing w:after="80" w:line="293" w:lineRule="auto"/>
        <w:ind w:left="283"/>
        <w:jc w:val="left"/>
      </w:pPr>
      <w:r>
        <w:rPr>
          <w:rFonts w:ascii="Times New Roman" w:hAnsi="Times New Roman" w:cs="Times New Roman"/>
          <w:b w:val="0"/>
          <w:i w:val="0"/>
          <w:sz w:val="22"/>
        </w:rPr>
        <w:t>- Self-Healing is purely operational and never affects trade data or recommendations.</w:t>
      </w:r>
    </w:p>
    <w:p>
      <w:pPr>
        <w:spacing w:after="80" w:line="293" w:lineRule="auto"/>
        <w:ind w:left="283"/>
        <w:jc w:val="left"/>
      </w:pPr>
      <w:r>
        <w:rPr>
          <w:rFonts w:ascii="Times New Roman" w:hAnsi="Times New Roman" w:cs="Times New Roman"/>
          <w:b w:val="0"/>
          <w:i w:val="0"/>
          <w:sz w:val="22"/>
        </w:rPr>
        <w:t>- Automated Pentesting targets infrastructure, never tenant data.</w:t>
      </w:r>
    </w:p>
    <w:p>
      <w:pPr>
        <w:spacing w:after="80" w:line="293" w:lineRule="auto"/>
        <w:ind w:left="283"/>
        <w:jc w:val="left"/>
      </w:pPr>
      <w:r>
        <w:rPr>
          <w:rFonts w:ascii="Times New Roman" w:hAnsi="Times New Roman" w:cs="Times New Roman"/>
          <w:b w:val="0"/>
          <w:i w:val="0"/>
          <w:sz w:val="22"/>
        </w:rPr>
        <w:t>- Post-Quantum Cryptography is purely cryptographic.</w:t>
      </w:r>
    </w:p>
    <w:p>
      <w:pPr>
        <w:spacing w:after="80" w:line="293" w:lineRule="auto"/>
        <w:ind w:left="283"/>
        <w:jc w:val="left"/>
      </w:pPr>
      <w:r>
        <w:rPr>
          <w:rFonts w:ascii="Times New Roman" w:hAnsi="Times New Roman" w:cs="Times New Roman"/>
          <w:b w:val="0"/>
          <w:i w:val="0"/>
          <w:sz w:val="22"/>
        </w:rPr>
        <w:t>- ZK proofs reveal only what is necessary for verification.</w:t>
      </w:r>
    </w:p>
    <w:p>
      <w:pPr>
        <w:spacing w:after="80" w:line="293" w:lineRule="auto"/>
        <w:ind w:left="283"/>
        <w:jc w:val="left"/>
      </w:pPr>
      <w:r>
        <w:rPr>
          <w:rFonts w:ascii="Times New Roman" w:hAnsi="Times New Roman" w:cs="Times New Roman"/>
          <w:b w:val="0"/>
          <w:i w:val="0"/>
          <w:sz w:val="22"/>
        </w:rPr>
        <w:t>- The specified add-ons (8–26) track, calculate, and evidence obligations without ranking providers, insurers, brokers, or terminals; visibility of any provider remains controlled by relationship and approval.</w:t>
      </w:r>
    </w:p>
    <w:p>
      <w:pPr>
        <w:keepNext/>
        <w:spacing w:before="180" w:after="80"/>
        <w:outlineLvl w:val="2"/>
      </w:pPr>
      <w:r>
        <w:rPr>
          <w:rFonts w:ascii="Arial" w:hAnsi="Arial" w:cs="Arial"/>
          <w:b/>
          <w:i w:val="0"/>
          <w:color w:val="333333"/>
          <w:sz w:val="23"/>
        </w:rPr>
        <w:t>22.1.6 Interaction Between Add-Ons</w:t>
      </w:r>
    </w:p>
    <w:p>
      <w:pPr>
        <w:spacing w:after="80" w:line="293" w:lineRule="auto"/>
        <w:jc w:val="left"/>
      </w:pPr>
      <w:r>
        <w:rPr>
          <w:rFonts w:ascii="Times New Roman" w:hAnsi="Times New Roman" w:cs="Times New Roman"/>
          <w:b w:val="0"/>
          <w:i w:val="0"/>
          <w:sz w:val="22"/>
        </w:rPr>
        <w:t>Add-ons interact through the shared event spine, the Governor, and the Smart Inbox. Cross-add-on optimization runs at AI authority A2; cross-add-on orchestration runs at A4. Representative interactions:</w:t>
      </w:r>
    </w:p>
    <w:p>
      <w:pPr>
        <w:spacing w:after="80" w:line="293" w:lineRule="auto"/>
        <w:ind w:left="283"/>
        <w:jc w:val="left"/>
      </w:pPr>
      <w:r>
        <w:rPr>
          <w:rFonts w:ascii="Times New Roman" w:hAnsi="Times New Roman" w:cs="Times New Roman"/>
          <w:b w:val="0"/>
          <w:i w:val="0"/>
          <w:sz w:val="22"/>
        </w:rPr>
        <w:t>- The GNN Risk Engine's sanctions proximity can mark a trade CONDITIONAL, which the Compliance Calendar (Add-On 18) surfaces as a deadline-driven follow-up task.</w:t>
      </w:r>
    </w:p>
    <w:p>
      <w:pPr>
        <w:spacing w:after="80" w:line="293" w:lineRule="auto"/>
        <w:ind w:left="283"/>
        <w:jc w:val="left"/>
      </w:pPr>
      <w:r>
        <w:rPr>
          <w:rFonts w:ascii="Times New Roman" w:hAnsi="Times New Roman" w:cs="Times New Roman"/>
          <w:b w:val="0"/>
          <w:i w:val="0"/>
          <w:sz w:val="22"/>
        </w:rPr>
        <w:t>- Causal Inference (Add-On 3) consumes cold chain anomaly evidence produced by Add-On 12 and demurrage tracking evidence produced by Add-On 9 when attributing dispute root causes.</w:t>
      </w:r>
    </w:p>
    <w:p>
      <w:pPr>
        <w:spacing w:after="80" w:line="293" w:lineRule="auto"/>
        <w:ind w:left="283"/>
        <w:jc w:val="left"/>
      </w:pPr>
      <w:r>
        <w:rPr>
          <w:rFonts w:ascii="Times New Roman" w:hAnsi="Times New Roman" w:cs="Times New Roman"/>
          <w:b w:val="0"/>
          <w:i w:val="0"/>
          <w:sz w:val="22"/>
        </w:rPr>
        <w:t>- Demurrage Dispute Resolution (Add-On 26) compiles its evidence package from Add-On 9's calculation audit trail.</w:t>
      </w:r>
    </w:p>
    <w:p>
      <w:pPr>
        <w:spacing w:after="80" w:line="293" w:lineRule="auto"/>
        <w:ind w:left="283"/>
        <w:jc w:val="left"/>
      </w:pPr>
      <w:r>
        <w:rPr>
          <w:rFonts w:ascii="Times New Roman" w:hAnsi="Times New Roman" w:cs="Times New Roman"/>
          <w:b w:val="0"/>
          <w:i w:val="0"/>
          <w:sz w:val="22"/>
        </w:rPr>
        <w:t>- GRiRE (Add-On 28) auto-configures the bond factors consumed by Add-On 8, the free time norms consumed by Add-On 9, the cold chain parameters consumed by Add-On 12, the FTA rules consumed by Add-On 16, and the document checklists used across the workflow.</w:t>
      </w:r>
    </w:p>
    <w:p>
      <w:pPr>
        <w:spacing w:after="80" w:line="293" w:lineRule="auto"/>
        <w:ind w:left="283"/>
        <w:jc w:val="left"/>
      </w:pPr>
      <w:r>
        <w:rPr>
          <w:rFonts w:ascii="Times New Roman" w:hAnsi="Times New Roman" w:cs="Times New Roman"/>
          <w:b w:val="0"/>
          <w:i w:val="0"/>
          <w:sz w:val="22"/>
        </w:rPr>
        <w:t>- Expanded ZK proofs (Add-On 7) provide the privacy layer for trust graph queries served by Add-On 1.</w:t>
      </w:r>
    </w:p>
    <w:p>
      <w:pPr>
        <w:keepNext/>
        <w:spacing w:before="180" w:after="80"/>
        <w:outlineLvl w:val="2"/>
      </w:pPr>
      <w:r>
        <w:rPr>
          <w:rFonts w:ascii="Arial" w:hAnsi="Arial" w:cs="Arial"/>
          <w:b/>
          <w:i w:val="0"/>
          <w:color w:val="333333"/>
          <w:sz w:val="23"/>
        </w:rPr>
        <w:t>22.1.7 Data Model &amp; Audit Conventions</w:t>
      </w:r>
    </w:p>
    <w:p>
      <w:pPr>
        <w:spacing w:after="80" w:line="293" w:lineRule="auto"/>
        <w:jc w:val="left"/>
      </w:pPr>
      <w:r>
        <w:rPr>
          <w:rFonts w:ascii="Times New Roman" w:hAnsi="Times New Roman" w:cs="Times New Roman"/>
          <w:b w:val="0"/>
          <w:i w:val="0"/>
          <w:sz w:val="22"/>
        </w:rPr>
        <w:t>Every add-on's schema extends the canonical PostgreSQL data model (Section 17). Conventions applied throughout this section:</w:t>
      </w:r>
    </w:p>
    <w:p>
      <w:pPr>
        <w:spacing w:after="80" w:line="293" w:lineRule="auto"/>
        <w:ind w:left="283"/>
        <w:jc w:val="left"/>
      </w:pPr>
      <w:r>
        <w:rPr>
          <w:rFonts w:ascii="Times New Roman" w:hAnsi="Times New Roman" w:cs="Times New Roman"/>
          <w:b w:val="0"/>
          <w:i w:val="0"/>
          <w:sz w:val="22"/>
        </w:rPr>
        <w:t>- Tables that participate in an irreversible action carry a `governor_decision_id UUID REFERENCES governor_decisions(decision_id) ON DELETE SET NULL` column, linking the add-on's state change to the Governor decision that gated it.</w:t>
      </w:r>
    </w:p>
    <w:p>
      <w:pPr>
        <w:spacing w:after="80" w:line="293" w:lineRule="auto"/>
        <w:ind w:left="283"/>
        <w:jc w:val="left"/>
      </w:pPr>
      <w:r>
        <w:rPr>
          <w:rFonts w:ascii="Times New Roman" w:hAnsi="Times New Roman" w:cs="Times New Roman"/>
          <w:b w:val="0"/>
          <w:i w:val="0"/>
          <w:sz w:val="22"/>
        </w:rPr>
        <w:t>- Every Governor decision and every add-on state transition is appended to the Loom hash-chained audit log.</w:t>
      </w:r>
    </w:p>
    <w:p>
      <w:pPr>
        <w:spacing w:after="80" w:line="293" w:lineRule="auto"/>
        <w:ind w:left="283"/>
        <w:jc w:val="left"/>
      </w:pPr>
      <w:r>
        <w:rPr>
          <w:rFonts w:ascii="Times New Roman" w:hAnsi="Times New Roman" w:cs="Times New Roman"/>
          <w:b w:val="0"/>
          <w:i w:val="0"/>
          <w:sz w:val="22"/>
        </w:rPr>
        <w:t>- Time-series telemetry (for example cold chain readings) uses TimescaleDB hypertables.</w:t>
      </w:r>
    </w:p>
    <w:p>
      <w:pPr>
        <w:spacing w:after="80" w:line="293" w:lineRule="auto"/>
        <w:ind w:left="283"/>
        <w:jc w:val="left"/>
      </w:pPr>
      <w:r>
        <w:rPr>
          <w:rFonts w:ascii="Times New Roman" w:hAnsi="Times New Roman" w:cs="Times New Roman"/>
          <w:b w:val="0"/>
          <w:i w:val="0"/>
          <w:sz w:val="22"/>
        </w:rPr>
        <w:t>- Jurisdiction-scoped reference data references the `jurisdictions` and `ports` registries (Section 17 and Section 20).</w:t>
      </w:r>
    </w:p>
    <w:p>
      <w:pPr>
        <w:spacing w:after="80" w:line="293" w:lineRule="auto"/>
        <w:ind w:left="283"/>
        <w:jc w:val="left"/>
      </w:pPr>
      <w:r>
        <w:rPr>
          <w:rFonts w:ascii="Times New Roman" w:hAnsi="Times New Roman" w:cs="Times New Roman"/>
          <w:b w:val="0"/>
          <w:i w:val="0"/>
          <w:sz w:val="22"/>
        </w:rPr>
        <w:t>- All DDL in this section is additive to Section 17 and follows its identifier, RLS, and indexing conventions.</w:t>
      </w:r>
    </w:p>
    <w:p>
      <w:pPr>
        <w:keepNext/>
        <w:spacing w:before="240" w:after="100"/>
        <w:outlineLvl w:val="1"/>
      </w:pPr>
      <w:r>
        <w:rPr>
          <w:rFonts w:ascii="Arial" w:hAnsi="Arial" w:cs="Arial"/>
          <w:b/>
          <w:i w:val="0"/>
          <w:color w:val="2E528F"/>
          <w:sz w:val="26"/>
        </w:rPr>
        <w:t>22.2 Built-In Advanced Capabilities (Add-Ons 1–7)</w:t>
      </w:r>
    </w:p>
    <w:p>
      <w:pPr>
        <w:spacing w:after="80" w:line="293" w:lineRule="auto"/>
        <w:jc w:val="left"/>
      </w:pPr>
      <w:r>
        <w:rPr>
          <w:rFonts w:ascii="Times New Roman" w:hAnsi="Times New Roman" w:cs="Times New Roman"/>
          <w:b w:val="0"/>
          <w:i w:val="0"/>
          <w:sz w:val="22"/>
        </w:rPr>
        <w:t>The seven built-in add-ons provide next-generation risk management, privacy, resilience, and security. Each is optional at the tenant level, can be toggled independently via the Admin Portal, requires no additional billing, and runs on the same bare-metal infrastructure. This subsection provides the complete specification for each built-in add-on, including purpose, architecture, integration, data model, zero-cost implementation, activation, and AI authority summary.</w:t>
      </w:r>
    </w:p>
    <w:p>
      <w:pPr>
        <w:keepNext/>
        <w:spacing w:before="180" w:after="80"/>
        <w:outlineLvl w:val="2"/>
      </w:pPr>
      <w:r>
        <w:rPr>
          <w:rFonts w:ascii="Arial" w:hAnsi="Arial" w:cs="Arial"/>
          <w:b/>
          <w:i w:val="0"/>
          <w:color w:val="333333"/>
          <w:sz w:val="23"/>
        </w:rPr>
        <w:t>22.2.1 Add-On 1 — Graph Neural Network (GNN) Risk Engine &amp; Institutional Trade Graph</w:t>
      </w:r>
    </w:p>
    <w:p>
      <w:pPr>
        <w:keepNext/>
        <w:spacing w:before="140" w:after="60"/>
        <w:outlineLvl w:val="3"/>
      </w:pPr>
      <w:r>
        <w:rPr>
          <w:rFonts w:ascii="Arial" w:hAnsi="Arial" w:cs="Arial"/>
          <w:b/>
          <w:i/>
          <w:color w:val="333333"/>
          <w:sz w:val="22"/>
        </w:rPr>
        <w:t>22.2.1.1 Purpose &amp; Design Philosophy</w:t>
      </w:r>
    </w:p>
    <w:p>
      <w:pPr>
        <w:spacing w:after="80" w:line="293" w:lineRule="auto"/>
        <w:jc w:val="left"/>
      </w:pPr>
      <w:r>
        <w:rPr>
          <w:rFonts w:ascii="Times New Roman" w:hAnsi="Times New Roman" w:cs="Times New Roman"/>
          <w:b w:val="0"/>
          <w:i w:val="0"/>
          <w:sz w:val="22"/>
        </w:rPr>
        <w:t>The Graph Neural Network (GNN) Risk Engine serves two complementary purposes:</w:t>
      </w:r>
    </w:p>
    <w:p>
      <w:pPr>
        <w:spacing w:after="80" w:line="293" w:lineRule="auto"/>
        <w:jc w:val="left"/>
      </w:pPr>
      <w:r>
        <w:rPr>
          <w:rFonts w:ascii="Times New Roman" w:hAnsi="Times New Roman" w:cs="Times New Roman"/>
          <w:b w:val="0"/>
          <w:i w:val="0"/>
          <w:sz w:val="22"/>
        </w:rPr>
        <w:t>1. Sanctions &amp; Adversarial Risk Detection — Detects indirect sanctions links, hidden money-laundering patterns, and adversarial relationships (for example, a seller's Ultimate Beneficial Owner (UBO) within 2 hops of a sanctioned entity). 2. Institutional Trade Graph (Trust-Based Mapping) — Maps positive, trust-based relationships (trade frequency, financing relationships, co-compliance, supply chain dependencies) to strengthen credit assessments, financing decisions, and network trust scores.</w:t>
      </w:r>
    </w:p>
    <w:p>
      <w:pPr>
        <w:spacing w:after="80" w:line="293" w:lineRule="auto"/>
        <w:jc w:val="left"/>
      </w:pPr>
      <w:r>
        <w:rPr>
          <w:rFonts w:ascii="Times New Roman" w:hAnsi="Times New Roman" w:cs="Times New Roman"/>
          <w:b w:val="0"/>
          <w:i w:val="0"/>
          <w:sz w:val="22"/>
        </w:rPr>
        <w:t>All outputs are advisory or constraining (A2/A4) — they never recommend counterparties or autonomous actions.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Zero-cost — PyTorch Geometric, PyTorch, and GraphRAG are all open-source.</w:t>
      </w:r>
    </w:p>
    <w:p>
      <w:pPr>
        <w:spacing w:after="80" w:line="293" w:lineRule="auto"/>
        <w:ind w:left="283"/>
        <w:jc w:val="left"/>
      </w:pPr>
      <w:r>
        <w:rPr>
          <w:rFonts w:ascii="Times New Roman" w:hAnsi="Times New Roman" w:cs="Times New Roman"/>
          <w:b w:val="0"/>
          <w:i w:val="0"/>
          <w:sz w:val="22"/>
        </w:rPr>
        <w:t>- Privacy-preserving — the trust graph uses anonymised IDs and differential privacy (ε = 0.1).</w:t>
      </w:r>
    </w:p>
    <w:p>
      <w:pPr>
        <w:spacing w:after="80" w:line="293" w:lineRule="auto"/>
        <w:ind w:left="283"/>
        <w:jc w:val="left"/>
      </w:pPr>
      <w:r>
        <w:rPr>
          <w:rFonts w:ascii="Times New Roman" w:hAnsi="Times New Roman" w:cs="Times New Roman"/>
          <w:b w:val="0"/>
          <w:i w:val="0"/>
          <w:sz w:val="22"/>
        </w:rPr>
        <w:t>- Opt-in — tenants control whether they contribute to the trust graph.</w:t>
      </w:r>
    </w:p>
    <w:p>
      <w:pPr>
        <w:spacing w:after="80" w:line="293" w:lineRule="auto"/>
        <w:ind w:left="283"/>
        <w:jc w:val="left"/>
      </w:pPr>
      <w:r>
        <w:rPr>
          <w:rFonts w:ascii="Times New Roman" w:hAnsi="Times New Roman" w:cs="Times New Roman"/>
          <w:b w:val="0"/>
          <w:i w:val="0"/>
          <w:sz w:val="22"/>
        </w:rPr>
        <w:t>- Non-marketplace — never suggests alternative counterparties; only flags risk.</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A2 (HF local → Ollama): inference for sanctions and risk scoring.</w:t>
      </w:r>
    </w:p>
    <w:p>
      <w:pPr>
        <w:spacing w:after="80" w:line="293" w:lineRule="auto"/>
        <w:ind w:left="283"/>
        <w:jc w:val="left"/>
      </w:pPr>
      <w:r>
        <w:rPr>
          <w:rFonts w:ascii="Times New Roman" w:hAnsi="Times New Roman" w:cs="Times New Roman"/>
          <w:b w:val="0"/>
          <w:i w:val="0"/>
          <w:sz w:val="22"/>
        </w:rPr>
        <w:t>- A2/A3: trust graph scoring (advisory; no blocking).</w:t>
      </w:r>
    </w:p>
    <w:p>
      <w:pPr>
        <w:spacing w:after="80" w:line="293" w:lineRule="auto"/>
        <w:ind w:left="283"/>
        <w:jc w:val="left"/>
      </w:pPr>
      <w:r>
        <w:rPr>
          <w:rFonts w:ascii="Times New Roman" w:hAnsi="Times New Roman" w:cs="Times New Roman"/>
          <w:b w:val="0"/>
          <w:i w:val="0"/>
          <w:sz w:val="22"/>
        </w:rPr>
        <w:t>- A3: model approval (multisig).</w:t>
      </w:r>
    </w:p>
    <w:p>
      <w:pPr>
        <w:spacing w:after="80" w:line="293" w:lineRule="auto"/>
        <w:ind w:left="283"/>
        <w:jc w:val="left"/>
      </w:pPr>
      <w:r>
        <w:rPr>
          <w:rFonts w:ascii="Times New Roman" w:hAnsi="Times New Roman" w:cs="Times New Roman"/>
          <w:b w:val="0"/>
          <w:i w:val="0"/>
          <w:sz w:val="22"/>
        </w:rPr>
        <w:t>- A4: fallback and Governor integration.</w:t>
      </w:r>
    </w:p>
    <w:p>
      <w:pPr>
        <w:keepNext/>
        <w:spacing w:before="140" w:after="60"/>
        <w:outlineLvl w:val="3"/>
      </w:pPr>
      <w:r>
        <w:rPr>
          <w:rFonts w:ascii="Arial" w:hAnsi="Arial" w:cs="Arial"/>
          <w:b/>
          <w:i/>
          <w:color w:val="333333"/>
          <w:sz w:val="22"/>
        </w:rPr>
        <w:t>22.2.1.2 Architecture &amp; Integration</w:t>
      </w:r>
    </w:p>
    <w:p>
      <w:pPr>
        <w:spacing w:after="80" w:line="293" w:lineRule="auto"/>
        <w:jc w:val="left"/>
      </w:pPr>
      <w:r>
        <w:rPr>
          <w:rFonts w:ascii="Times New Roman" w:hAnsi="Times New Roman" w:cs="Times New Roman"/>
          <w:b w:val="0"/>
          <w:i w:val="0"/>
          <w:sz w:val="22"/>
        </w:rPr>
        <w:t>The GNN service is implemented as a Rust + PyTorch Geometric microservice (or a Python sidecar with a Rust gRPC wrapper). It exposes two main endpoints:</w:t>
      </w:r>
    </w:p>
    <w:p>
      <w:pPr>
        <w:spacing w:after="80" w:line="293" w:lineRule="auto"/>
        <w:ind w:left="283"/>
        <w:jc w:val="left"/>
      </w:pPr>
      <w:r>
        <w:rPr>
          <w:rFonts w:ascii="Times New Roman" w:hAnsi="Times New Roman" w:cs="Times New Roman"/>
          <w:b w:val="0"/>
          <w:i w:val="0"/>
          <w:sz w:val="22"/>
        </w:rPr>
        <w:t>- `/v1/gnn/risk` — for sanctions and adversarial risk (called by the Governor on `trade.initiate` and `financing.request`).</w:t>
      </w:r>
    </w:p>
    <w:p>
      <w:pPr>
        <w:spacing w:after="80" w:line="293" w:lineRule="auto"/>
        <w:ind w:left="283"/>
        <w:jc w:val="left"/>
      </w:pPr>
      <w:r>
        <w:rPr>
          <w:rFonts w:ascii="Times New Roman" w:hAnsi="Times New Roman" w:cs="Times New Roman"/>
          <w:b w:val="0"/>
          <w:i w:val="0"/>
          <w:sz w:val="22"/>
        </w:rPr>
        <w:t>- `/v1/gnn/trust` — for institutional trust graph queries (called on demand by the Financier Portal, Trust Passport, and Portfolio views).</w:t>
      </w:r>
    </w:p>
    <w:p>
      <w:pPr>
        <w:spacing w:after="80" w:line="293" w:lineRule="auto"/>
        <w:jc w:val="left"/>
      </w:pPr>
      <w:r>
        <w:rPr>
          <w:rFonts w:ascii="Times New Roman" w:hAnsi="Times New Roman" w:cs="Times New Roman"/>
          <w:b w:val="0"/>
          <w:i w:val="0"/>
          <w:sz w:val="22"/>
        </w:rPr>
        <w:t>Model architecture: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Component</w:t>
            </w:r>
          </w:p>
        </w:tc>
        <w:tc>
          <w:tcPr>
            <w:tcW w:type="dxa" w:w="3213"/>
            <w:shd w:val="clear" w:fill="D9E2F3"/>
          </w:tcPr>
          <w:p>
            <w:pPr>
              <w:spacing w:after="20" w:before="20" w:line="240" w:lineRule="auto"/>
            </w:pPr>
            <w:r/>
            <w:r>
              <w:rPr>
                <w:rFonts w:ascii="Arial" w:hAnsi="Arial" w:cs="Arial"/>
                <w:b/>
                <w:i w:val="0"/>
                <w:sz w:val="18"/>
              </w:rPr>
              <w:t>Technology</w:t>
            </w:r>
          </w:p>
        </w:tc>
        <w:tc>
          <w:tcPr>
            <w:tcW w:type="dxa" w:w="3213"/>
            <w:shd w:val="clear" w:fill="D9E2F3"/>
          </w:tcPr>
          <w:p>
            <w:pPr>
              <w:spacing w:after="20" w:before="20" w:line="240" w:lineRule="auto"/>
            </w:pPr>
            <w:r/>
            <w:r>
              <w:rPr>
                <w:rFonts w:ascii="Arial" w:hAnsi="Arial" w:cs="Arial"/>
                <w:b/>
                <w:i w:val="0"/>
                <w:sz w:val="18"/>
              </w:rPr>
              <w:t>Purpose</w:t>
            </w:r>
          </w:p>
        </w:tc>
      </w:tr>
      <w:tr>
        <w:tc>
          <w:tcPr>
            <w:tcW w:type="dxa" w:w="3213"/>
          </w:tcPr>
          <w:p>
            <w:pPr>
              <w:spacing w:after="20" w:before="20" w:line="240" w:lineRule="auto"/>
            </w:pPr>
            <w:r/>
            <w:r>
              <w:rPr>
                <w:rFonts w:ascii="Arial" w:hAnsi="Arial" w:cs="Arial"/>
                <w:b w:val="0"/>
                <w:i w:val="0"/>
                <w:sz w:val="17"/>
              </w:rPr>
              <w:t>Graph Convolutional Network (GCN)</w:t>
            </w:r>
          </w:p>
        </w:tc>
        <w:tc>
          <w:tcPr>
            <w:tcW w:type="dxa" w:w="3213"/>
          </w:tcPr>
          <w:p>
            <w:pPr>
              <w:spacing w:after="20" w:before="20" w:line="240" w:lineRule="auto"/>
            </w:pPr>
            <w:r/>
            <w:r>
              <w:rPr>
                <w:rFonts w:ascii="Arial" w:hAnsi="Arial" w:cs="Arial"/>
                <w:b w:val="0"/>
                <w:i w:val="0"/>
                <w:sz w:val="17"/>
              </w:rPr>
              <w:t>PyTorch Geometric</w:t>
            </w:r>
          </w:p>
        </w:tc>
        <w:tc>
          <w:tcPr>
            <w:tcW w:type="dxa" w:w="3213"/>
          </w:tcPr>
          <w:p>
            <w:pPr>
              <w:spacing w:after="20" w:before="20" w:line="240" w:lineRule="auto"/>
            </w:pPr>
            <w:r/>
            <w:r>
              <w:rPr>
                <w:rFonts w:ascii="Arial" w:hAnsi="Arial" w:cs="Arial"/>
                <w:b w:val="0"/>
                <w:i w:val="0"/>
                <w:sz w:val="17"/>
              </w:rPr>
              <w:t>Learns node embeddings from corporate ownership, trade, and compliance graphs</w:t>
            </w:r>
          </w:p>
        </w:tc>
      </w:tr>
      <w:tr>
        <w:tc>
          <w:tcPr>
            <w:tcW w:type="dxa" w:w="3213"/>
          </w:tcPr>
          <w:p>
            <w:pPr>
              <w:spacing w:after="20" w:before="20" w:line="240" w:lineRule="auto"/>
            </w:pPr>
            <w:r/>
            <w:r>
              <w:rPr>
                <w:rFonts w:ascii="Arial" w:hAnsi="Arial" w:cs="Arial"/>
                <w:b w:val="0"/>
                <w:i w:val="0"/>
                <w:sz w:val="17"/>
              </w:rPr>
              <w:t>Edge types (adversarial)</w:t>
            </w:r>
          </w:p>
        </w:tc>
        <w:tc>
          <w:tcPr>
            <w:tcW w:type="dxa" w:w="3213"/>
          </w:tcPr>
          <w:p>
            <w:pPr>
              <w:spacing w:after="20" w:before="20" w:line="240" w:lineRule="auto"/>
            </w:pPr>
            <w:r/>
            <w:r>
              <w:rPr>
                <w:rFonts w:ascii="Arial" w:hAnsi="Arial" w:cs="Arial"/>
                <w:b w:val="0"/>
                <w:i w:val="0"/>
                <w:sz w:val="17"/>
              </w:rPr>
              <w:t>Ownership, directorship, sanctions list membership</w:t>
            </w:r>
          </w:p>
        </w:tc>
        <w:tc>
          <w:tcPr>
            <w:tcW w:type="dxa" w:w="3213"/>
          </w:tcPr>
          <w:p>
            <w:pPr>
              <w:spacing w:after="20" w:before="20" w:line="240" w:lineRule="auto"/>
            </w:pPr>
            <w:r/>
            <w:r>
              <w:rPr>
                <w:rFonts w:ascii="Arial" w:hAnsi="Arial" w:cs="Arial"/>
                <w:b w:val="0"/>
                <w:i w:val="0"/>
                <w:sz w:val="17"/>
              </w:rPr>
              <w:t>Detects proximity to sanctioned entities</w:t>
            </w:r>
          </w:p>
        </w:tc>
      </w:tr>
      <w:tr>
        <w:tc>
          <w:tcPr>
            <w:tcW w:type="dxa" w:w="3213"/>
          </w:tcPr>
          <w:p>
            <w:pPr>
              <w:spacing w:after="20" w:before="20" w:line="240" w:lineRule="auto"/>
            </w:pPr>
            <w:r/>
            <w:r>
              <w:rPr>
                <w:rFonts w:ascii="Arial" w:hAnsi="Arial" w:cs="Arial"/>
                <w:b w:val="0"/>
                <w:i w:val="0"/>
                <w:sz w:val="17"/>
              </w:rPr>
              <w:t>Edge types (trust)</w:t>
            </w:r>
          </w:p>
        </w:tc>
        <w:tc>
          <w:tcPr>
            <w:tcW w:type="dxa" w:w="3213"/>
          </w:tcPr>
          <w:p>
            <w:pPr>
              <w:spacing w:after="20" w:before="20" w:line="240" w:lineRule="auto"/>
            </w:pPr>
            <w:r/>
            <w:r>
              <w:rPr>
                <w:rFonts w:ascii="Arial" w:hAnsi="Arial" w:cs="Arial"/>
                <w:b w:val="0"/>
                <w:i w:val="0"/>
                <w:sz w:val="17"/>
              </w:rPr>
              <w:t>Trade frequency, financing agreements, shared auditors, supply chain links</w:t>
            </w:r>
          </w:p>
        </w:tc>
        <w:tc>
          <w:tcPr>
            <w:tcW w:type="dxa" w:w="3213"/>
          </w:tcPr>
          <w:p>
            <w:pPr>
              <w:spacing w:after="20" w:before="20" w:line="240" w:lineRule="auto"/>
            </w:pPr>
            <w:r/>
            <w:r>
              <w:rPr>
                <w:rFonts w:ascii="Arial" w:hAnsi="Arial" w:cs="Arial"/>
                <w:b w:val="0"/>
                <w:i w:val="0"/>
                <w:sz w:val="17"/>
              </w:rPr>
              <w:t>Builds positive trust graph</w:t>
            </w:r>
          </w:p>
        </w:tc>
      </w:tr>
      <w:tr>
        <w:tc>
          <w:tcPr>
            <w:tcW w:type="dxa" w:w="3213"/>
          </w:tcPr>
          <w:p>
            <w:pPr>
              <w:spacing w:after="20" w:before="20" w:line="240" w:lineRule="auto"/>
            </w:pPr>
            <w:r/>
            <w:r>
              <w:rPr>
                <w:rFonts w:ascii="Arial" w:hAnsi="Arial" w:cs="Arial"/>
                <w:b w:val="0"/>
                <w:i w:val="0"/>
                <w:sz w:val="17"/>
              </w:rPr>
              <w:t>Graph attention (GATv2)</w:t>
            </w:r>
          </w:p>
        </w:tc>
        <w:tc>
          <w:tcPr>
            <w:tcW w:type="dxa" w:w="3213"/>
          </w:tcPr>
          <w:p>
            <w:pPr>
              <w:spacing w:after="20" w:before="20" w:line="240" w:lineRule="auto"/>
            </w:pPr>
            <w:r/>
            <w:r>
              <w:rPr>
                <w:rFonts w:ascii="Arial" w:hAnsi="Arial" w:cs="Arial"/>
                <w:b w:val="0"/>
                <w:i w:val="0"/>
                <w:sz w:val="17"/>
              </w:rPr>
              <w:t>PyTorch Geometric</w:t>
            </w:r>
          </w:p>
        </w:tc>
        <w:tc>
          <w:tcPr>
            <w:tcW w:type="dxa" w:w="3213"/>
          </w:tcPr>
          <w:p>
            <w:pPr>
              <w:spacing w:after="20" w:before="20" w:line="240" w:lineRule="auto"/>
            </w:pPr>
            <w:r/>
            <w:r>
              <w:rPr>
                <w:rFonts w:ascii="Arial" w:hAnsi="Arial" w:cs="Arial"/>
                <w:b w:val="0"/>
                <w:i w:val="0"/>
                <w:sz w:val="17"/>
              </w:rPr>
              <w:t>Weighs importance of different relationship types</w:t>
            </w:r>
          </w:p>
        </w:tc>
      </w:tr>
      <w:tr>
        <w:tc>
          <w:tcPr>
            <w:tcW w:type="dxa" w:w="3213"/>
          </w:tcPr>
          <w:p>
            <w:pPr>
              <w:spacing w:after="20" w:before="20" w:line="240" w:lineRule="auto"/>
            </w:pPr>
            <w:r/>
            <w:r>
              <w:rPr>
                <w:rFonts w:ascii="Arial" w:hAnsi="Arial" w:cs="Arial"/>
                <w:b w:val="0"/>
                <w:i w:val="0"/>
                <w:sz w:val="17"/>
              </w:rPr>
              <w:t>Training frequency</w:t>
            </w:r>
          </w:p>
        </w:tc>
        <w:tc>
          <w:tcPr>
            <w:tcW w:type="dxa" w:w="3213"/>
          </w:tcPr>
          <w:p>
            <w:pPr>
              <w:spacing w:after="20" w:before="20" w:line="240" w:lineRule="auto"/>
            </w:pPr>
            <w:r/>
            <w:r>
              <w:rPr>
                <w:rFonts w:ascii="Arial" w:hAnsi="Arial" w:cs="Arial"/>
                <w:b w:val="0"/>
                <w:i w:val="0"/>
                <w:sz w:val="17"/>
              </w:rPr>
              <w:t>Weekly (off-peak)</w:t>
            </w:r>
          </w:p>
        </w:tc>
        <w:tc>
          <w:tcPr>
            <w:tcW w:type="dxa" w:w="3213"/>
          </w:tcPr>
          <w:p>
            <w:pPr>
              <w:spacing w:after="20" w:before="20" w:line="240" w:lineRule="auto"/>
            </w:pPr>
            <w:r/>
            <w:r>
              <w:rPr>
                <w:rFonts w:ascii="Arial" w:hAnsi="Arial" w:cs="Arial"/>
                <w:b w:val="0"/>
                <w:i w:val="0"/>
                <w:sz w:val="17"/>
              </w:rPr>
              <w:t>Using aggregated, anonymised data across sovereign nodes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Training data sources:</w:t>
      </w:r>
    </w:p>
    <w:p>
      <w:pPr>
        <w:spacing w:after="80" w:line="293" w:lineRule="auto"/>
        <w:ind w:left="283"/>
        <w:jc w:val="left"/>
      </w:pPr>
      <w:r>
        <w:rPr>
          <w:rFonts w:ascii="Times New Roman" w:hAnsi="Times New Roman" w:cs="Times New Roman"/>
          <w:b w:val="0"/>
          <w:i w:val="0"/>
          <w:sz w:val="22"/>
        </w:rPr>
        <w:t>- Corporate graph (`entity_nodes`, `relationship_edges`).</w:t>
      </w:r>
    </w:p>
    <w:p>
      <w:pPr>
        <w:spacing w:after="80" w:line="293" w:lineRule="auto"/>
        <w:ind w:left="283"/>
        <w:jc w:val="left"/>
      </w:pPr>
      <w:r>
        <w:rPr>
          <w:rFonts w:ascii="Times New Roman" w:hAnsi="Times New Roman" w:cs="Times New Roman"/>
          <w:b w:val="0"/>
          <w:i w:val="0"/>
          <w:sz w:val="22"/>
        </w:rPr>
        <w:t>- Trade tables (`trade_requests`, `shipments`).</w:t>
      </w:r>
    </w:p>
    <w:p>
      <w:pPr>
        <w:spacing w:after="80" w:line="293" w:lineRule="auto"/>
        <w:ind w:left="283"/>
        <w:jc w:val="left"/>
      </w:pPr>
      <w:r>
        <w:rPr>
          <w:rFonts w:ascii="Times New Roman" w:hAnsi="Times New Roman" w:cs="Times New Roman"/>
          <w:b w:val="0"/>
          <w:i w:val="0"/>
          <w:sz w:val="22"/>
        </w:rPr>
        <w:t>- Financing tables (`financing_agreements`, `financing_repayments`).</w:t>
      </w:r>
    </w:p>
    <w:p>
      <w:pPr>
        <w:spacing w:after="80" w:line="293" w:lineRule="auto"/>
        <w:ind w:left="283"/>
        <w:jc w:val="left"/>
      </w:pPr>
      <w:r>
        <w:rPr>
          <w:rFonts w:ascii="Times New Roman" w:hAnsi="Times New Roman" w:cs="Times New Roman"/>
          <w:b w:val="0"/>
          <w:i w:val="0"/>
          <w:sz w:val="22"/>
        </w:rPr>
        <w:t>- Compliance tables (`kyc_records`, `sanctions_hits`).</w:t>
      </w:r>
    </w:p>
    <w:p>
      <w:pPr>
        <w:keepNext/>
        <w:spacing w:before="140" w:after="60"/>
        <w:outlineLvl w:val="3"/>
      </w:pPr>
      <w:r>
        <w:rPr>
          <w:rFonts w:ascii="Arial" w:hAnsi="Arial" w:cs="Arial"/>
          <w:b/>
          <w:i/>
          <w:color w:val="333333"/>
          <w:sz w:val="22"/>
        </w:rPr>
        <w:t>22.2.1.3 Sanctions &amp; Adversarial Risk Output</w:t>
      </w:r>
    </w:p>
    <w:p>
      <w:pPr>
        <w:spacing w:after="80" w:line="293" w:lineRule="auto"/>
        <w:jc w:val="left"/>
      </w:pPr>
      <w:r>
        <w:rPr>
          <w:rFonts w:ascii="Times New Roman" w:hAnsi="Times New Roman" w:cs="Times New Roman"/>
          <w:b w:val="0"/>
          <w:i w:val="0"/>
          <w:sz w:val="22"/>
        </w:rPr>
        <w:t>When called by the Governor, the GNN returns: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"sanctions_proximity": 2,</w:t>
      </w:r>
    </w:p>
    <w:p>
      <w:pPr>
        <w:spacing w:after="0" w:before="0" w:line="240" w:lineRule="auto"/>
        <w:ind w:left="57"/>
        <w:jc w:val="left"/>
        <w:shd w:val="clear" w:fill="F2F2F2"/>
      </w:pPr>
      <w:r>
        <w:rPr>
          <w:rFonts w:ascii="Consolas" w:hAnsi="Consolas" w:cs="Consolas"/>
          <w:b w:val="0"/>
          <w:i w:val="0"/>
          <w:sz w:val="15"/>
        </w:rPr>
        <w:t xml:space="preserve">  "graph_risk_score": 85,</w:t>
      </w:r>
    </w:p>
    <w:p>
      <w:pPr>
        <w:spacing w:after="0" w:before="0" w:line="240" w:lineRule="auto"/>
        <w:ind w:left="57"/>
        <w:jc w:val="left"/>
        <w:shd w:val="clear" w:fill="F2F2F2"/>
      </w:pPr>
      <w:r>
        <w:rPr>
          <w:rFonts w:ascii="Consolas" w:hAnsi="Consolas" w:cs="Consolas"/>
          <w:b w:val="0"/>
          <w:i w:val="0"/>
          <w:sz w:val="15"/>
        </w:rPr>
        <w:t xml:space="preserve">  "explanation": "Seller's UBO (Person X) is 2 hops from sanctioned entity Y via Company Z.",</w:t>
      </w:r>
    </w:p>
    <w:p>
      <w:pPr>
        <w:spacing w:after="0" w:before="0" w:line="240" w:lineRule="auto"/>
        <w:ind w:left="57"/>
        <w:jc w:val="left"/>
        <w:shd w:val="clear" w:fill="F2F2F2"/>
      </w:pPr>
      <w:r>
        <w:rPr>
          <w:rFonts w:ascii="Consolas" w:hAnsi="Consolas" w:cs="Consolas"/>
          <w:b w:val="0"/>
          <w:i w:val="0"/>
          <w:sz w:val="15"/>
        </w:rPr>
        <w:t xml:space="preserve">  "model_version": "v2.1",</w:t>
      </w:r>
    </w:p>
    <w:p>
      <w:pPr>
        <w:spacing w:after="0" w:before="0" w:line="240" w:lineRule="auto"/>
        <w:ind w:left="57"/>
        <w:jc w:val="left"/>
        <w:shd w:val="clear" w:fill="F2F2F2"/>
      </w:pPr>
      <w:r>
        <w:rPr>
          <w:rFonts w:ascii="Consolas" w:hAnsi="Consolas" w:cs="Consolas"/>
          <w:b w:val="0"/>
          <w:i w:val="0"/>
          <w:sz w:val="15"/>
        </w:rPr>
        <w:t xml:space="preserve">  "inference_time_ms": 120</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Field descriptions: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Field</w:t>
            </w:r>
          </w:p>
        </w:tc>
        <w:tc>
          <w:tcPr>
            <w:tcW w:type="dxa" w:w="4819"/>
            <w:shd w:val="clear" w:fill="D9E2F3"/>
          </w:tcPr>
          <w:p>
            <w:pPr>
              <w:spacing w:after="20" w:before="20" w:line="240" w:lineRule="auto"/>
            </w:pPr>
            <w:r/>
            <w:r>
              <w:rPr>
                <w:rFonts w:ascii="Arial" w:hAnsi="Arial" w:cs="Arial"/>
                <w:b/>
                <w:i w:val="0"/>
                <w:sz w:val="18"/>
              </w:rPr>
              <w:t>Description</w:t>
            </w:r>
          </w:p>
        </w:tc>
      </w:tr>
      <w:tr>
        <w:tc>
          <w:tcPr>
            <w:tcW w:type="dxa" w:w="4819"/>
          </w:tcPr>
          <w:p>
            <w:pPr>
              <w:spacing w:after="20" w:before="20" w:line="240" w:lineRule="auto"/>
            </w:pPr>
            <w:r/>
            <w:r>
              <w:rPr>
                <w:rFonts w:ascii="Arial" w:hAnsi="Arial" w:cs="Arial"/>
                <w:b w:val="0"/>
                <w:i w:val="0"/>
                <w:sz w:val="17"/>
              </w:rPr>
              <w:t>sanctions_proximity</w:t>
            </w:r>
          </w:p>
        </w:tc>
        <w:tc>
          <w:tcPr>
            <w:tcW w:type="dxa" w:w="4819"/>
          </w:tcPr>
          <w:p>
            <w:pPr>
              <w:spacing w:after="20" w:before="20" w:line="240" w:lineRule="auto"/>
            </w:pPr>
            <w:r/>
            <w:r>
              <w:rPr>
                <w:rFonts w:ascii="Arial" w:hAnsi="Arial" w:cs="Arial"/>
                <w:b w:val="0"/>
                <w:i w:val="0"/>
                <w:sz w:val="17"/>
              </w:rPr>
              <w:t>Minimum number of hops between any party and a sanctioned entity</w:t>
            </w:r>
          </w:p>
        </w:tc>
      </w:tr>
      <w:tr>
        <w:tc>
          <w:tcPr>
            <w:tcW w:type="dxa" w:w="4819"/>
          </w:tcPr>
          <w:p>
            <w:pPr>
              <w:spacing w:after="20" w:before="20" w:line="240" w:lineRule="auto"/>
            </w:pPr>
            <w:r/>
            <w:r>
              <w:rPr>
                <w:rFonts w:ascii="Arial" w:hAnsi="Arial" w:cs="Arial"/>
                <w:b w:val="0"/>
                <w:i w:val="0"/>
                <w:sz w:val="17"/>
              </w:rPr>
              <w:t>graph_risk_score</w:t>
            </w:r>
          </w:p>
        </w:tc>
        <w:tc>
          <w:tcPr>
            <w:tcW w:type="dxa" w:w="4819"/>
          </w:tcPr>
          <w:p>
            <w:pPr>
              <w:spacing w:after="20" w:before="20" w:line="240" w:lineRule="auto"/>
            </w:pPr>
            <w:r/>
            <w:r>
              <w:rPr>
                <w:rFonts w:ascii="Arial" w:hAnsi="Arial" w:cs="Arial"/>
                <w:b w:val="0"/>
                <w:i w:val="0"/>
                <w:sz w:val="17"/>
              </w:rPr>
              <w:t>0–100 composite of adversarial risk (money laundering, sanctions evasion, hidden ownership)</w:t>
            </w:r>
          </w:p>
        </w:tc>
      </w:tr>
      <w:tr>
        <w:tc>
          <w:tcPr>
            <w:tcW w:type="dxa" w:w="4819"/>
          </w:tcPr>
          <w:p>
            <w:pPr>
              <w:spacing w:after="20" w:before="20" w:line="240" w:lineRule="auto"/>
            </w:pPr>
            <w:r/>
            <w:r>
              <w:rPr>
                <w:rFonts w:ascii="Arial" w:hAnsi="Arial" w:cs="Arial"/>
                <w:b w:val="0"/>
                <w:i w:val="0"/>
                <w:sz w:val="17"/>
              </w:rPr>
              <w:t>explanation</w:t>
            </w:r>
          </w:p>
        </w:tc>
        <w:tc>
          <w:tcPr>
            <w:tcW w:type="dxa" w:w="4819"/>
          </w:tcPr>
          <w:p>
            <w:pPr>
              <w:spacing w:after="20" w:before="20" w:line="240" w:lineRule="auto"/>
            </w:pPr>
            <w:r/>
            <w:r>
              <w:rPr>
                <w:rFonts w:ascii="Arial" w:hAnsi="Arial" w:cs="Arial"/>
                <w:b w:val="0"/>
                <w:i w:val="0"/>
                <w:sz w:val="17"/>
              </w:rPr>
              <w:t>Groq-generated (A1) plain-language summary</w:t>
            </w:r>
          </w:p>
        </w:tc>
      </w:tr>
      <w:tr>
        <w:tc>
          <w:tcPr>
            <w:tcW w:type="dxa" w:w="4819"/>
          </w:tcPr>
          <w:p>
            <w:pPr>
              <w:spacing w:after="20" w:before="20" w:line="240" w:lineRule="auto"/>
            </w:pPr>
            <w:r/>
            <w:r>
              <w:rPr>
                <w:rFonts w:ascii="Arial" w:hAnsi="Arial" w:cs="Arial"/>
                <w:b w:val="0"/>
                <w:i w:val="0"/>
                <w:sz w:val="17"/>
              </w:rPr>
              <w:t>model_version</w:t>
            </w:r>
          </w:p>
        </w:tc>
        <w:tc>
          <w:tcPr>
            <w:tcW w:type="dxa" w:w="4819"/>
          </w:tcPr>
          <w:p>
            <w:pPr>
              <w:spacing w:after="20" w:before="20" w:line="240" w:lineRule="auto"/>
            </w:pPr>
            <w:r/>
            <w:r>
              <w:rPr>
                <w:rFonts w:ascii="Arial" w:hAnsi="Arial" w:cs="Arial"/>
                <w:b w:val="0"/>
                <w:i w:val="0"/>
                <w:sz w:val="17"/>
              </w:rPr>
              <w:t>Version of the GNN model producing the score</w:t>
            </w:r>
          </w:p>
        </w:tc>
      </w:tr>
      <w:tr>
        <w:tc>
          <w:tcPr>
            <w:tcW w:type="dxa" w:w="4819"/>
          </w:tcPr>
          <w:p>
            <w:pPr>
              <w:spacing w:after="20" w:before="20" w:line="240" w:lineRule="auto"/>
            </w:pPr>
            <w:r/>
            <w:r>
              <w:rPr>
                <w:rFonts w:ascii="Arial" w:hAnsi="Arial" w:cs="Arial"/>
                <w:b w:val="0"/>
                <w:i w:val="0"/>
                <w:sz w:val="17"/>
              </w:rPr>
              <w:t>inference_time_ms</w:t>
            </w:r>
          </w:p>
        </w:tc>
        <w:tc>
          <w:tcPr>
            <w:tcW w:type="dxa" w:w="4819"/>
          </w:tcPr>
          <w:p>
            <w:pPr>
              <w:spacing w:after="20" w:before="20" w:line="240" w:lineRule="auto"/>
            </w:pPr>
            <w:r/>
            <w:r>
              <w:rPr>
                <w:rFonts w:ascii="Arial" w:hAnsi="Arial" w:cs="Arial"/>
                <w:b w:val="0"/>
                <w:i w:val="0"/>
                <w:sz w:val="17"/>
              </w:rPr>
              <w:t>Wall-clock inference latency in milliseconds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Governor integration. If `sanctions_proximity ≤ 2` OR `graph_risk_score ≥ 90`, the Governor returns CONDITIONAL with a Decision Panel explanation: "This trade involves a party whose UBO is within 2 hops of a sanctioned entity. Enhanced due diligence required." The decision never suggests alternative counterparties.</w:t>
      </w:r>
    </w:p>
    <w:p>
      <w:pPr>
        <w:spacing w:after="80" w:line="293" w:lineRule="auto"/>
        <w:jc w:val="left"/>
      </w:pPr>
      <w:r>
        <w:rPr>
          <w:rFonts w:ascii="Times New Roman" w:hAnsi="Times New Roman" w:cs="Times New Roman"/>
          <w:b w:val="0"/>
          <w:i w:val="0"/>
          <w:sz w:val="22"/>
        </w:rPr>
        <w:t>The Governor calls the GNN synchronously for every `trade.initiate` and `financing.request`:</w:t>
      </w:r>
    </w:p>
    <w:p>
      <w:pPr>
        <w:spacing w:after="0" w:before="0" w:line="240" w:lineRule="auto"/>
        <w:ind w:left="57"/>
        <w:jc w:val="left"/>
        <w:shd w:val="clear" w:fill="F2F2F2"/>
      </w:pPr>
      <w:r>
        <w:rPr>
          <w:rFonts w:ascii="Consolas" w:hAnsi="Consolas" w:cs="Consolas"/>
          <w:b w:val="0"/>
          <w:i w:val="0"/>
          <w:sz w:val="15"/>
        </w:rPr>
        <w:t>// Governor pre-screen integration</w:t>
      </w:r>
    </w:p>
    <w:p>
      <w:pPr>
        <w:spacing w:after="0" w:before="0" w:line="240" w:lineRule="auto"/>
        <w:ind w:left="57"/>
        <w:jc w:val="left"/>
        <w:shd w:val="clear" w:fill="F2F2F2"/>
      </w:pPr>
      <w:r>
        <w:rPr>
          <w:rFonts w:ascii="Consolas" w:hAnsi="Consolas" w:cs="Consolas"/>
          <w:b w:val="0"/>
          <w:i w:val="0"/>
          <w:sz w:val="15"/>
        </w:rPr>
        <w:t>let gnn_result = gnn_risk_service.check(</w:t>
      </w:r>
    </w:p>
    <w:p>
      <w:pPr>
        <w:spacing w:after="0" w:before="0" w:line="240" w:lineRule="auto"/>
        <w:ind w:left="57"/>
        <w:jc w:val="left"/>
        <w:shd w:val="clear" w:fill="F2F2F2"/>
      </w:pPr>
      <w:r>
        <w:rPr>
          <w:rFonts w:ascii="Consolas" w:hAnsi="Consolas" w:cs="Consolas"/>
          <w:b w:val="0"/>
          <w:i w:val="0"/>
          <w:sz w:val="15"/>
        </w:rPr>
        <w:t xml:space="preserve">    buyer_gtid,</w:t>
      </w:r>
    </w:p>
    <w:p>
      <w:pPr>
        <w:spacing w:after="0" w:before="0" w:line="240" w:lineRule="auto"/>
        <w:ind w:left="57"/>
        <w:jc w:val="left"/>
        <w:shd w:val="clear" w:fill="F2F2F2"/>
      </w:pPr>
      <w:r>
        <w:rPr>
          <w:rFonts w:ascii="Consolas" w:hAnsi="Consolas" w:cs="Consolas"/>
          <w:b w:val="0"/>
          <w:i w:val="0"/>
          <w:sz w:val="15"/>
        </w:rPr>
        <w:t xml:space="preserve">    seller_gtid,</w:t>
      </w:r>
    </w:p>
    <w:p>
      <w:pPr>
        <w:spacing w:after="0" w:before="0" w:line="240" w:lineRule="auto"/>
        <w:ind w:left="57"/>
        <w:jc w:val="left"/>
        <w:shd w:val="clear" w:fill="F2F2F2"/>
      </w:pPr>
      <w:r>
        <w:rPr>
          <w:rFonts w:ascii="Consolas" w:hAnsi="Consolas" w:cs="Consolas"/>
          <w:b w:val="0"/>
          <w:i w:val="0"/>
          <w:sz w:val="15"/>
        </w:rPr>
        <w:t xml:space="preserve">    logistics_provider_gtids,</w:t>
      </w:r>
    </w:p>
    <w:p>
      <w:pPr>
        <w:spacing w:after="0" w:before="0" w:line="240" w:lineRule="auto"/>
        <w:ind w:left="57"/>
        <w:jc w:val="left"/>
        <w:shd w:val="clear" w:fill="F2F2F2"/>
      </w:pPr>
      <w:r>
        <w:rPr>
          <w:rFonts w:ascii="Consolas" w:hAnsi="Consolas" w:cs="Consolas"/>
          <w:b w:val="0"/>
          <w:i w:val="0"/>
          <w:sz w:val="15"/>
        </w:rPr>
        <w:t xml:space="preserve">    financier_gtid</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if gnn_result.sanctions_proximity &lt;= 2 || gnn_result.graph_risk_score &gt;= 90 {</w:t>
      </w:r>
    </w:p>
    <w:p>
      <w:pPr>
        <w:spacing w:after="0" w:before="0" w:line="240" w:lineRule="auto"/>
        <w:ind w:left="57"/>
        <w:jc w:val="left"/>
        <w:shd w:val="clear" w:fill="F2F2F2"/>
      </w:pPr>
      <w:r>
        <w:rPr>
          <w:rFonts w:ascii="Consolas" w:hAnsi="Consolas" w:cs="Consolas"/>
          <w:b w:val="0"/>
          <w:i w:val="0"/>
          <w:sz w:val="15"/>
        </w:rPr>
        <w:t xml:space="preserve">    return GovernorVerdict::Conditional {</w:t>
      </w:r>
    </w:p>
    <w:p>
      <w:pPr>
        <w:spacing w:after="0" w:before="0" w:line="240" w:lineRule="auto"/>
        <w:ind w:left="57"/>
        <w:jc w:val="left"/>
        <w:shd w:val="clear" w:fill="F2F2F2"/>
      </w:pPr>
      <w:r>
        <w:rPr>
          <w:rFonts w:ascii="Consolas" w:hAnsi="Consolas" w:cs="Consolas"/>
          <w:b w:val="0"/>
          <w:i w:val="0"/>
          <w:sz w:val="15"/>
        </w:rPr>
        <w:t xml:space="preserve">        conditions: vec![</w:t>
      </w:r>
    </w:p>
    <w:p>
      <w:pPr>
        <w:spacing w:after="0" w:before="0" w:line="240" w:lineRule="auto"/>
        <w:ind w:left="57"/>
        <w:jc w:val="left"/>
        <w:shd w:val="clear" w:fill="F2F2F2"/>
      </w:pPr>
      <w:r>
        <w:rPr>
          <w:rFonts w:ascii="Consolas" w:hAnsi="Consolas" w:cs="Consolas"/>
          <w:b w:val="0"/>
          <w:i w:val="0"/>
          <w:sz w:val="15"/>
        </w:rPr>
        <w:t xml:space="preserve">            "enhanced_due_diligence_required",</w:t>
      </w:r>
    </w:p>
    <w:p>
      <w:pPr>
        <w:spacing w:after="0" w:before="0" w:line="240" w:lineRule="auto"/>
        <w:ind w:left="57"/>
        <w:jc w:val="left"/>
        <w:shd w:val="clear" w:fill="F2F2F2"/>
      </w:pPr>
      <w:r>
        <w:rPr>
          <w:rFonts w:ascii="Consolas" w:hAnsi="Consolas" w:cs="Consolas"/>
          <w:b w:val="0"/>
          <w:i w:val="0"/>
          <w:sz w:val="15"/>
        </w:rPr>
        <w:t xml:space="preserve">            "ubo_proximity_review"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tenant_message: format!(</w:t>
      </w:r>
    </w:p>
    <w:p>
      <w:pPr>
        <w:spacing w:after="0" w:before="0" w:line="240" w:lineRule="auto"/>
        <w:ind w:left="57"/>
        <w:jc w:val="left"/>
        <w:shd w:val="clear" w:fill="F2F2F2"/>
      </w:pPr>
      <w:r>
        <w:rPr>
          <w:rFonts w:ascii="Consolas" w:hAnsi="Consolas" w:cs="Consolas"/>
          <w:b w:val="0"/>
          <w:i w:val="0"/>
          <w:sz w:val="15"/>
        </w:rPr>
        <w:t xml:space="preserve">            "This trade involves a party whose UBO is within {} hops of a sanctioned entity. \</w:t>
      </w:r>
    </w:p>
    <w:p>
      <w:pPr>
        <w:spacing w:after="0" w:before="0" w:line="240" w:lineRule="auto"/>
        <w:ind w:left="57"/>
        <w:jc w:val="left"/>
        <w:shd w:val="clear" w:fill="F2F2F2"/>
      </w:pPr>
      <w:r>
        <w:rPr>
          <w:rFonts w:ascii="Consolas" w:hAnsi="Consolas" w:cs="Consolas"/>
          <w:b w:val="0"/>
          <w:i w:val="0"/>
          <w:sz w:val="15"/>
        </w:rPr>
        <w:t xml:space="preserve">             Enhanced due diligence required.",</w:t>
      </w:r>
    </w:p>
    <w:p>
      <w:pPr>
        <w:spacing w:after="0" w:before="0" w:line="240" w:lineRule="auto"/>
        <w:ind w:left="57"/>
        <w:jc w:val="left"/>
        <w:shd w:val="clear" w:fill="F2F2F2"/>
      </w:pPr>
      <w:r>
        <w:rPr>
          <w:rFonts w:ascii="Consolas" w:hAnsi="Consolas" w:cs="Consolas"/>
          <w:b w:val="0"/>
          <w:i w:val="0"/>
          <w:sz w:val="15"/>
        </w:rPr>
        <w:t xml:space="preserve">            gnn_result.sanctions_proximity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22.2.1.4 Institutional Trade Graph (Trust-Based Mapping)</w:t>
      </w:r>
    </w:p>
    <w:p>
      <w:pPr>
        <w:spacing w:after="80" w:line="293" w:lineRule="auto"/>
        <w:jc w:val="left"/>
      </w:pPr>
      <w:r>
        <w:rPr>
          <w:rFonts w:ascii="Times New Roman" w:hAnsi="Times New Roman" w:cs="Times New Roman"/>
          <w:b w:val="0"/>
          <w:i w:val="0"/>
          <w:sz w:val="22"/>
        </w:rPr>
        <w:t>Purpose. Map positive relationships while preserving privacy using ZK proofs. Used by:</w:t>
      </w:r>
    </w:p>
    <w:p>
      <w:pPr>
        <w:spacing w:after="80" w:line="293" w:lineRule="auto"/>
        <w:ind w:left="283"/>
        <w:jc w:val="left"/>
      </w:pPr>
      <w:r>
        <w:rPr>
          <w:rFonts w:ascii="Times New Roman" w:hAnsi="Times New Roman" w:cs="Times New Roman"/>
          <w:b w:val="0"/>
          <w:i w:val="0"/>
          <w:sz w:val="22"/>
        </w:rPr>
        <w:t>- Financier Portal (credit assessment, portfolio risk).</w:t>
      </w:r>
    </w:p>
    <w:p>
      <w:pPr>
        <w:spacing w:after="80" w:line="293" w:lineRule="auto"/>
        <w:ind w:left="283"/>
        <w:jc w:val="left"/>
      </w:pPr>
      <w:r>
        <w:rPr>
          <w:rFonts w:ascii="Times New Roman" w:hAnsi="Times New Roman" w:cs="Times New Roman"/>
          <w:b w:val="0"/>
          <w:i w:val="0"/>
          <w:sz w:val="22"/>
        </w:rPr>
        <w:t>- Trust Passport (network trust score) (Section 4).</w:t>
      </w:r>
    </w:p>
    <w:p>
      <w:pPr>
        <w:spacing w:after="80" w:line="293" w:lineRule="auto"/>
        <w:ind w:left="283"/>
        <w:jc w:val="left"/>
      </w:pPr>
      <w:r>
        <w:rPr>
          <w:rFonts w:ascii="Times New Roman" w:hAnsi="Times New Roman" w:cs="Times New Roman"/>
          <w:b w:val="0"/>
          <w:i w:val="0"/>
          <w:sz w:val="22"/>
        </w:rPr>
        <w:t>- Dispute evidence (indirect relationship patterns).</w:t>
      </w:r>
    </w:p>
    <w:p>
      <w:pPr>
        <w:spacing w:after="80" w:line="293" w:lineRule="auto"/>
        <w:jc w:val="left"/>
      </w:pPr>
      <w:r>
        <w:rPr>
          <w:rFonts w:ascii="Times New Roman" w:hAnsi="Times New Roman" w:cs="Times New Roman"/>
          <w:b w:val="0"/>
          <w:i w:val="0"/>
          <w:sz w:val="22"/>
        </w:rPr>
        <w:t>Edge types &amp; weights: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Edge Type</w:t>
            </w:r>
          </w:p>
        </w:tc>
        <w:tc>
          <w:tcPr>
            <w:tcW w:type="dxa" w:w="2409"/>
            <w:shd w:val="clear" w:fill="D9E2F3"/>
          </w:tcPr>
          <w:p>
            <w:pPr>
              <w:spacing w:after="20" w:before="20" w:line="240" w:lineRule="auto"/>
            </w:pPr>
            <w:r/>
            <w:r>
              <w:rPr>
                <w:rFonts w:ascii="Arial" w:hAnsi="Arial" w:cs="Arial"/>
                <w:b/>
                <w:i w:val="0"/>
                <w:sz w:val="18"/>
              </w:rPr>
              <w:t>Weight</w:t>
            </w:r>
          </w:p>
        </w:tc>
        <w:tc>
          <w:tcPr>
            <w:tcW w:type="dxa" w:w="2409"/>
            <w:shd w:val="clear" w:fill="D9E2F3"/>
          </w:tcPr>
          <w:p>
            <w:pPr>
              <w:spacing w:after="20" w:before="20" w:line="240" w:lineRule="auto"/>
            </w:pPr>
            <w:r/>
            <w:r>
              <w:rPr>
                <w:rFonts w:ascii="Arial" w:hAnsi="Arial" w:cs="Arial"/>
                <w:b/>
                <w:i w:val="0"/>
                <w:sz w:val="18"/>
              </w:rPr>
              <w:t>Privacy Method</w:t>
            </w:r>
          </w:p>
        </w:tc>
        <w:tc>
          <w:tcPr>
            <w:tcW w:type="dxa" w:w="2409"/>
            <w:shd w:val="clear" w:fill="D9E2F3"/>
          </w:tcPr>
          <w:p>
            <w:pPr>
              <w:spacing w:after="20" w:before="20" w:line="240" w:lineRule="auto"/>
            </w:pPr>
            <w:r/>
            <w:r>
              <w:rPr>
                <w:rFonts w:ascii="Arial" w:hAnsi="Arial" w:cs="Arial"/>
                <w:b/>
                <w:i w:val="0"/>
                <w:sz w:val="18"/>
              </w:rPr>
              <w:t>Data Source</w:t>
            </w:r>
          </w:p>
        </w:tc>
      </w:tr>
      <w:tr>
        <w:tc>
          <w:tcPr>
            <w:tcW w:type="dxa" w:w="2409"/>
          </w:tcPr>
          <w:p>
            <w:pPr>
              <w:spacing w:after="20" w:before="20" w:line="240" w:lineRule="auto"/>
            </w:pPr>
            <w:r/>
            <w:r>
              <w:rPr>
                <w:rFonts w:ascii="Arial" w:hAnsi="Arial" w:cs="Arial"/>
                <w:b w:val="0"/>
                <w:i w:val="0"/>
                <w:sz w:val="17"/>
              </w:rPr>
              <w:t>Trade frequency (last 12 months)</w:t>
            </w:r>
          </w:p>
        </w:tc>
        <w:tc>
          <w:tcPr>
            <w:tcW w:type="dxa" w:w="2409"/>
          </w:tcPr>
          <w:p>
            <w:pPr>
              <w:spacing w:after="20" w:before="20" w:line="240" w:lineRule="auto"/>
            </w:pPr>
            <w:r/>
            <w:r>
              <w:rPr>
                <w:rFonts w:ascii="Arial" w:hAnsi="Arial" w:cs="Arial"/>
                <w:b w:val="0"/>
                <w:i w:val="0"/>
                <w:sz w:val="17"/>
              </w:rPr>
              <w:t>1.0</w:t>
            </w:r>
          </w:p>
        </w:tc>
        <w:tc>
          <w:tcPr>
            <w:tcW w:type="dxa" w:w="2409"/>
          </w:tcPr>
          <w:p>
            <w:pPr>
              <w:spacing w:after="20" w:before="20" w:line="240" w:lineRule="auto"/>
            </w:pPr>
            <w:r/>
            <w:r>
              <w:rPr>
                <w:rFonts w:ascii="Arial" w:hAnsi="Arial" w:cs="Arial"/>
                <w:b w:val="0"/>
                <w:i w:val="0"/>
                <w:sz w:val="17"/>
              </w:rPr>
              <w:t>ZK proof (count only, no identities)</w:t>
            </w:r>
          </w:p>
        </w:tc>
        <w:tc>
          <w:tcPr>
            <w:tcW w:type="dxa" w:w="2409"/>
          </w:tcPr>
          <w:p>
            <w:pPr>
              <w:spacing w:after="20" w:before="20" w:line="240" w:lineRule="auto"/>
            </w:pPr>
            <w:r/>
            <w:r>
              <w:rPr>
                <w:rFonts w:ascii="Arial" w:hAnsi="Arial" w:cs="Arial"/>
                <w:b w:val="0"/>
                <w:i w:val="0"/>
                <w:sz w:val="17"/>
              </w:rPr>
              <w:t>`shipments`</w:t>
            </w:r>
          </w:p>
        </w:tc>
      </w:tr>
      <w:tr>
        <w:tc>
          <w:tcPr>
            <w:tcW w:type="dxa" w:w="2409"/>
          </w:tcPr>
          <w:p>
            <w:pPr>
              <w:spacing w:after="20" w:before="20" w:line="240" w:lineRule="auto"/>
            </w:pPr>
            <w:r/>
            <w:r>
              <w:rPr>
                <w:rFonts w:ascii="Arial" w:hAnsi="Arial" w:cs="Arial"/>
                <w:b w:val="0"/>
                <w:i w:val="0"/>
                <w:sz w:val="17"/>
              </w:rPr>
              <w:t>Financing relationship</w:t>
            </w:r>
          </w:p>
        </w:tc>
        <w:tc>
          <w:tcPr>
            <w:tcW w:type="dxa" w:w="2409"/>
          </w:tcPr>
          <w:p>
            <w:pPr>
              <w:spacing w:after="20" w:before="20" w:line="240" w:lineRule="auto"/>
            </w:pPr>
            <w:r/>
            <w:r>
              <w:rPr>
                <w:rFonts w:ascii="Arial" w:hAnsi="Arial" w:cs="Arial"/>
                <w:b w:val="0"/>
                <w:i w:val="0"/>
                <w:sz w:val="17"/>
              </w:rPr>
              <w:t>1.5</w:t>
            </w:r>
          </w:p>
        </w:tc>
        <w:tc>
          <w:tcPr>
            <w:tcW w:type="dxa" w:w="2409"/>
          </w:tcPr>
          <w:p>
            <w:pPr>
              <w:spacing w:after="20" w:before="20" w:line="240" w:lineRule="auto"/>
            </w:pPr>
            <w:r/>
            <w:r>
              <w:rPr>
                <w:rFonts w:ascii="Arial" w:hAnsi="Arial" w:cs="Arial"/>
                <w:b w:val="0"/>
                <w:i w:val="0"/>
                <w:sz w:val="17"/>
              </w:rPr>
              <w:t>ZK proof (existence, no amount)</w:t>
            </w:r>
          </w:p>
        </w:tc>
        <w:tc>
          <w:tcPr>
            <w:tcW w:type="dxa" w:w="2409"/>
          </w:tcPr>
          <w:p>
            <w:pPr>
              <w:spacing w:after="20" w:before="20" w:line="240" w:lineRule="auto"/>
            </w:pPr>
            <w:r/>
            <w:r>
              <w:rPr>
                <w:rFonts w:ascii="Arial" w:hAnsi="Arial" w:cs="Arial"/>
                <w:b w:val="0"/>
                <w:i w:val="0"/>
                <w:sz w:val="17"/>
              </w:rPr>
              <w:t>`financing_agreements`</w:t>
            </w:r>
          </w:p>
        </w:tc>
      </w:tr>
      <w:tr>
        <w:tc>
          <w:tcPr>
            <w:tcW w:type="dxa" w:w="2409"/>
          </w:tcPr>
          <w:p>
            <w:pPr>
              <w:spacing w:after="20" w:before="20" w:line="240" w:lineRule="auto"/>
            </w:pPr>
            <w:r/>
            <w:r>
              <w:rPr>
                <w:rFonts w:ascii="Arial" w:hAnsi="Arial" w:cs="Arial"/>
                <w:b w:val="0"/>
                <w:i w:val="0"/>
                <w:sz w:val="17"/>
              </w:rPr>
              <w:t>Co-compliance (shared auditor/certifier)</w:t>
            </w:r>
          </w:p>
        </w:tc>
        <w:tc>
          <w:tcPr>
            <w:tcW w:type="dxa" w:w="2409"/>
          </w:tcPr>
          <w:p>
            <w:pPr>
              <w:spacing w:after="20" w:before="20" w:line="240" w:lineRule="auto"/>
            </w:pPr>
            <w:r/>
            <w:r>
              <w:rPr>
                <w:rFonts w:ascii="Arial" w:hAnsi="Arial" w:cs="Arial"/>
                <w:b w:val="0"/>
                <w:i w:val="0"/>
                <w:sz w:val="17"/>
              </w:rPr>
              <w:t>0.5</w:t>
            </w:r>
          </w:p>
        </w:tc>
        <w:tc>
          <w:tcPr>
            <w:tcW w:type="dxa" w:w="2409"/>
          </w:tcPr>
          <w:p>
            <w:pPr>
              <w:spacing w:after="20" w:before="20" w:line="240" w:lineRule="auto"/>
            </w:pPr>
            <w:r/>
            <w:r>
              <w:rPr>
                <w:rFonts w:ascii="Arial" w:hAnsi="Arial" w:cs="Arial"/>
                <w:b w:val="0"/>
                <w:i w:val="0"/>
                <w:sz w:val="17"/>
              </w:rPr>
              <w:t>Explicit consent required</w:t>
            </w:r>
          </w:p>
        </w:tc>
        <w:tc>
          <w:tcPr>
            <w:tcW w:type="dxa" w:w="2409"/>
          </w:tcPr>
          <w:p>
            <w:pPr>
              <w:spacing w:after="20" w:before="20" w:line="240" w:lineRule="auto"/>
            </w:pPr>
            <w:r/>
            <w:r>
              <w:rPr>
                <w:rFonts w:ascii="Arial" w:hAnsi="Arial" w:cs="Arial"/>
                <w:b w:val="0"/>
                <w:i w:val="0"/>
                <w:sz w:val="17"/>
              </w:rPr>
              <w:t>`tenant_verified_ids`</w:t>
            </w:r>
          </w:p>
        </w:tc>
      </w:tr>
      <w:tr>
        <w:tc>
          <w:tcPr>
            <w:tcW w:type="dxa" w:w="2409"/>
          </w:tcPr>
          <w:p>
            <w:pPr>
              <w:spacing w:after="20" w:before="20" w:line="240" w:lineRule="auto"/>
            </w:pPr>
            <w:r/>
            <w:r>
              <w:rPr>
                <w:rFonts w:ascii="Arial" w:hAnsi="Arial" w:cs="Arial"/>
                <w:b w:val="0"/>
                <w:i w:val="0"/>
                <w:sz w:val="17"/>
              </w:rPr>
              <w:t>Supply chain dependency</w:t>
            </w:r>
          </w:p>
        </w:tc>
        <w:tc>
          <w:tcPr>
            <w:tcW w:type="dxa" w:w="2409"/>
          </w:tcPr>
          <w:p>
            <w:pPr>
              <w:spacing w:after="20" w:before="20" w:line="240" w:lineRule="auto"/>
            </w:pPr>
            <w:r/>
            <w:r>
              <w:rPr>
                <w:rFonts w:ascii="Arial" w:hAnsi="Arial" w:cs="Arial"/>
                <w:b w:val="0"/>
                <w:i w:val="0"/>
                <w:sz w:val="17"/>
              </w:rPr>
              <w:t>0.8</w:t>
            </w:r>
          </w:p>
        </w:tc>
        <w:tc>
          <w:tcPr>
            <w:tcW w:type="dxa" w:w="2409"/>
          </w:tcPr>
          <w:p>
            <w:pPr>
              <w:spacing w:after="20" w:before="20" w:line="240" w:lineRule="auto"/>
            </w:pPr>
            <w:r/>
            <w:r>
              <w:rPr>
                <w:rFonts w:ascii="Arial" w:hAnsi="Arial" w:cs="Arial"/>
                <w:b w:val="0"/>
                <w:i w:val="0"/>
                <w:sz w:val="17"/>
              </w:rPr>
              <w:t>ZK proof (indirect, anonymised)</w:t>
            </w:r>
          </w:p>
        </w:tc>
        <w:tc>
          <w:tcPr>
            <w:tcW w:type="dxa" w:w="2409"/>
          </w:tcPr>
          <w:p>
            <w:pPr>
              <w:spacing w:after="20" w:before="20" w:line="240" w:lineRule="auto"/>
            </w:pPr>
            <w:r/>
            <w:r>
              <w:rPr>
                <w:rFonts w:ascii="Arial" w:hAnsi="Arial" w:cs="Arial"/>
                <w:b w:val="0"/>
                <w:i w:val="0"/>
                <w:sz w:val="17"/>
              </w:rPr>
              <w:t>`trade_requests`</w:t>
            </w:r>
          </w:p>
        </w:tc>
      </w:tr>
      <w:tr>
        <w:tc>
          <w:tcPr>
            <w:tcW w:type="dxa" w:w="2409"/>
          </w:tcPr>
          <w:p>
            <w:pPr>
              <w:spacing w:after="20" w:before="20" w:line="240" w:lineRule="auto"/>
            </w:pPr>
            <w:r/>
            <w:r>
              <w:rPr>
                <w:rFonts w:ascii="Arial" w:hAnsi="Arial" w:cs="Arial"/>
                <w:b w:val="0"/>
                <w:i w:val="0"/>
                <w:sz w:val="17"/>
              </w:rPr>
              <w:t>Shared logistics provider</w:t>
            </w:r>
          </w:p>
        </w:tc>
        <w:tc>
          <w:tcPr>
            <w:tcW w:type="dxa" w:w="2409"/>
          </w:tcPr>
          <w:p>
            <w:pPr>
              <w:spacing w:after="20" w:before="20" w:line="240" w:lineRule="auto"/>
            </w:pPr>
            <w:r/>
            <w:r>
              <w:rPr>
                <w:rFonts w:ascii="Arial" w:hAnsi="Arial" w:cs="Arial"/>
                <w:b w:val="0"/>
                <w:i w:val="0"/>
                <w:sz w:val="17"/>
              </w:rPr>
              <w:t>0.3</w:t>
            </w:r>
          </w:p>
        </w:tc>
        <w:tc>
          <w:tcPr>
            <w:tcW w:type="dxa" w:w="2409"/>
          </w:tcPr>
          <w:p>
            <w:pPr>
              <w:spacing w:after="20" w:before="20" w:line="240" w:lineRule="auto"/>
            </w:pPr>
            <w:r/>
            <w:r>
              <w:rPr>
                <w:rFonts w:ascii="Arial" w:hAnsi="Arial" w:cs="Arial"/>
                <w:b w:val="0"/>
                <w:i w:val="0"/>
                <w:sz w:val="17"/>
              </w:rPr>
              <w:t>Aggregated, no consent needed</w:t>
            </w:r>
          </w:p>
        </w:tc>
        <w:tc>
          <w:tcPr>
            <w:tcW w:type="dxa" w:w="2409"/>
          </w:tcPr>
          <w:p>
            <w:pPr>
              <w:spacing w:after="20" w:before="20" w:line="240" w:lineRule="auto"/>
            </w:pPr>
            <w:r/>
            <w:r>
              <w:rPr>
                <w:rFonts w:ascii="Arial" w:hAnsi="Arial" w:cs="Arial"/>
                <w:b w:val="0"/>
                <w:i w:val="0"/>
                <w:sz w:val="17"/>
              </w:rPr>
              <w:t>`service_quotations`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Output for a participant (ego network only):</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"direct_connections": 47,</w:t>
      </w:r>
    </w:p>
    <w:p>
      <w:pPr>
        <w:spacing w:after="0" w:before="0" w:line="240" w:lineRule="auto"/>
        <w:ind w:left="57"/>
        <w:jc w:val="left"/>
        <w:shd w:val="clear" w:fill="F2F2F2"/>
      </w:pPr>
      <w:r>
        <w:rPr>
          <w:rFonts w:ascii="Consolas" w:hAnsi="Consolas" w:cs="Consolas"/>
          <w:b w:val="0"/>
          <w:i w:val="0"/>
          <w:sz w:val="15"/>
        </w:rPr>
        <w:t xml:space="preserve">  "trusted_connections": 12,</w:t>
      </w:r>
    </w:p>
    <w:p>
      <w:pPr>
        <w:spacing w:after="0" w:before="0" w:line="240" w:lineRule="auto"/>
        <w:ind w:left="57"/>
        <w:jc w:val="left"/>
        <w:shd w:val="clear" w:fill="F2F2F2"/>
      </w:pPr>
      <w:r>
        <w:rPr>
          <w:rFonts w:ascii="Consolas" w:hAnsi="Consolas" w:cs="Consolas"/>
          <w:b w:val="0"/>
          <w:i w:val="0"/>
          <w:sz w:val="15"/>
        </w:rPr>
        <w:t xml:space="preserve">  "network_trust_score": 82,</w:t>
      </w:r>
    </w:p>
    <w:p>
      <w:pPr>
        <w:spacing w:after="0" w:before="0" w:line="240" w:lineRule="auto"/>
        <w:ind w:left="57"/>
        <w:jc w:val="left"/>
        <w:shd w:val="clear" w:fill="F2F2F2"/>
      </w:pPr>
      <w:r>
        <w:rPr>
          <w:rFonts w:ascii="Consolas" w:hAnsi="Consolas" w:cs="Consolas"/>
          <w:b w:val="0"/>
          <w:i w:val="0"/>
          <w:sz w:val="15"/>
        </w:rPr>
        <w:t xml:space="preserve">  "indirect_exposure": "2 hops to 3 financial institutions",</w:t>
      </w:r>
    </w:p>
    <w:p>
      <w:pPr>
        <w:spacing w:after="0" w:before="0" w:line="240" w:lineRule="auto"/>
        <w:ind w:left="57"/>
        <w:jc w:val="left"/>
        <w:shd w:val="clear" w:fill="F2F2F2"/>
      </w:pPr>
      <w:r>
        <w:rPr>
          <w:rFonts w:ascii="Consolas" w:hAnsi="Consolas" w:cs="Consolas"/>
          <w:b w:val="0"/>
          <w:i w:val="0"/>
          <w:sz w:val="15"/>
        </w:rPr>
        <w:t xml:space="preserve">  "privacy_notice": "All counts are anonymised; no counterparty identities revealed."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Trust graph queries are served on demand, for example:</w:t>
      </w:r>
    </w:p>
    <w:p>
      <w:pPr>
        <w:spacing w:after="0" w:before="0" w:line="240" w:lineRule="auto"/>
        <w:ind w:left="57"/>
        <w:jc w:val="left"/>
        <w:shd w:val="clear" w:fill="F2F2F2"/>
      </w:pPr>
      <w:r>
        <w:rPr>
          <w:rFonts w:ascii="Consolas" w:hAnsi="Consolas" w:cs="Consolas"/>
          <w:b w:val="0"/>
          <w:i w:val="0"/>
          <w:sz w:val="15"/>
        </w:rPr>
        <w:t>GET /v1/gnn/trust?gtid=SGTX-EG-FIN-001</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Display locations:</w:t>
      </w:r>
    </w:p>
    <w:p>
      <w:pPr>
        <w:spacing w:after="80" w:line="293" w:lineRule="auto"/>
        <w:ind w:left="283"/>
        <w:jc w:val="left"/>
      </w:pPr>
      <w:r>
        <w:rPr>
          <w:rFonts w:ascii="Times New Roman" w:hAnsi="Times New Roman" w:cs="Times New Roman"/>
          <w:b w:val="0"/>
          <w:i w:val="0"/>
          <w:sz w:val="22"/>
        </w:rPr>
        <w:t>- Financier Portal — optional card in "Portfolio &amp; Compliance".</w:t>
      </w:r>
    </w:p>
    <w:p>
      <w:pPr>
        <w:spacing w:after="80" w:line="293" w:lineRule="auto"/>
        <w:ind w:left="283"/>
        <w:jc w:val="left"/>
      </w:pPr>
      <w:r>
        <w:rPr>
          <w:rFonts w:ascii="Times New Roman" w:hAnsi="Times New Roman" w:cs="Times New Roman"/>
          <w:b w:val="0"/>
          <w:i w:val="0"/>
          <w:sz w:val="22"/>
        </w:rPr>
        <w:t>- Trust Passport — optional dimension (opt-in).</w:t>
      </w:r>
    </w:p>
    <w:p>
      <w:pPr>
        <w:spacing w:after="80" w:line="293" w:lineRule="auto"/>
        <w:ind w:left="283"/>
        <w:jc w:val="left"/>
      </w:pPr>
      <w:r>
        <w:rPr>
          <w:rFonts w:ascii="Times New Roman" w:hAnsi="Times New Roman" w:cs="Times New Roman"/>
          <w:b w:val="0"/>
          <w:i w:val="0"/>
          <w:sz w:val="22"/>
        </w:rPr>
        <w:t>- Company Admin → Network — for traders (aggregated, no identifiers).</w:t>
      </w:r>
    </w:p>
    <w:p>
      <w:pPr>
        <w:spacing w:after="80" w:line="293" w:lineRule="auto"/>
        <w:jc w:val="left"/>
      </w:pPr>
      <w:r>
        <w:rPr>
          <w:rFonts w:ascii="Times New Roman" w:hAnsi="Times New Roman" w:cs="Times New Roman"/>
          <w:b w:val="0"/>
          <w:i w:val="0"/>
          <w:sz w:val="22"/>
        </w:rPr>
        <w:t>Consent &amp; opt-out. Tenants can disable inclusion in the trust graph via Company Admin → Privacy → Trade Graph Visibility (off by default). Disabling does not affect sanctions detection.</w:t>
      </w:r>
    </w:p>
    <w:p>
      <w:pPr>
        <w:keepNext/>
        <w:spacing w:before="140" w:after="60"/>
        <w:outlineLvl w:val="3"/>
      </w:pPr>
      <w:r>
        <w:rPr>
          <w:rFonts w:ascii="Arial" w:hAnsi="Arial" w:cs="Arial"/>
          <w:b/>
          <w:i/>
          <w:color w:val="333333"/>
          <w:sz w:val="22"/>
        </w:rPr>
        <w:t>22.2.1.5 Data Model Additions</w:t>
      </w:r>
    </w:p>
    <w:p>
      <w:pPr>
        <w:spacing w:after="0" w:before="0" w:line="240" w:lineRule="auto"/>
        <w:ind w:left="57"/>
        <w:jc w:val="left"/>
        <w:shd w:val="clear" w:fill="F2F2F2"/>
      </w:pPr>
      <w:r>
        <w:rPr>
          <w:rFonts w:ascii="Consolas" w:hAnsi="Consolas" w:cs="Consolas"/>
          <w:b w:val="0"/>
          <w:i w:val="0"/>
          <w:sz w:val="15"/>
        </w:rPr>
        <w:t>-- GNN risk scores (adversarial)</w:t>
      </w:r>
    </w:p>
    <w:p>
      <w:pPr>
        <w:spacing w:after="0" w:before="0" w:line="240" w:lineRule="auto"/>
        <w:ind w:left="57"/>
        <w:jc w:val="left"/>
        <w:shd w:val="clear" w:fill="F2F2F2"/>
      </w:pPr>
      <w:r>
        <w:rPr>
          <w:rFonts w:ascii="Consolas" w:hAnsi="Consolas" w:cs="Consolas"/>
          <w:b w:val="0"/>
          <w:i w:val="0"/>
          <w:sz w:val="15"/>
        </w:rPr>
        <w:t>-- gnn_risk_scores: canonical definition in Section 17.27;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Institutional trade graph edges (anonymised, permissioned)</w:t>
      </w:r>
    </w:p>
    <w:p>
      <w:pPr>
        <w:spacing w:after="0" w:before="0" w:line="240" w:lineRule="auto"/>
        <w:ind w:left="57"/>
        <w:jc w:val="left"/>
        <w:shd w:val="clear" w:fill="F2F2F2"/>
      </w:pPr>
      <w:r>
        <w:rPr>
          <w:rFonts w:ascii="Consolas" w:hAnsi="Consolas" w:cs="Consolas"/>
          <w:b w:val="0"/>
          <w:i w:val="0"/>
          <w:sz w:val="15"/>
        </w:rPr>
        <w:t>-- trade_graph_edges: canonical definition in Section 17.27;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Materialised view for network trust scores</w:t>
      </w:r>
    </w:p>
    <w:p>
      <w:pPr>
        <w:spacing w:after="0" w:before="0" w:line="240" w:lineRule="auto"/>
        <w:ind w:left="57"/>
        <w:jc w:val="left"/>
        <w:shd w:val="clear" w:fill="F2F2F2"/>
      </w:pPr>
      <w:r>
        <w:rPr>
          <w:rFonts w:ascii="Consolas" w:hAnsi="Consolas" w:cs="Consolas"/>
          <w:b w:val="0"/>
          <w:i w:val="0"/>
          <w:sz w:val="15"/>
        </w:rPr>
        <w:t>CREATE MATERIALIZED VIEW network_trust_scores AS</w:t>
      </w:r>
    </w:p>
    <w:p>
      <w:pPr>
        <w:spacing w:after="0" w:before="0" w:line="240" w:lineRule="auto"/>
        <w:ind w:left="57"/>
        <w:jc w:val="left"/>
        <w:shd w:val="clear" w:fill="F2F2F2"/>
      </w:pPr>
      <w:r>
        <w:rPr>
          <w:rFonts w:ascii="Consolas" w:hAnsi="Consolas" w:cs="Consolas"/>
          <w:b w:val="0"/>
          <w:i w:val="0"/>
          <w:sz w:val="15"/>
        </w:rPr>
        <w:t>SELECT</w:t>
      </w:r>
    </w:p>
    <w:p>
      <w:pPr>
        <w:spacing w:after="0" w:before="0" w:line="240" w:lineRule="auto"/>
        <w:ind w:left="57"/>
        <w:jc w:val="left"/>
        <w:shd w:val="clear" w:fill="F2F2F2"/>
      </w:pPr>
      <w:r>
        <w:rPr>
          <w:rFonts w:ascii="Consolas" w:hAnsi="Consolas" w:cs="Consolas"/>
          <w:b w:val="0"/>
          <w:i w:val="0"/>
          <w:sz w:val="15"/>
        </w:rPr>
        <w:t xml:space="preserve">    entity_gtid,</w:t>
      </w:r>
    </w:p>
    <w:p>
      <w:pPr>
        <w:spacing w:after="0" w:before="0" w:line="240" w:lineRule="auto"/>
        <w:ind w:left="57"/>
        <w:jc w:val="left"/>
        <w:shd w:val="clear" w:fill="F2F2F2"/>
      </w:pPr>
      <w:r>
        <w:rPr>
          <w:rFonts w:ascii="Consolas" w:hAnsi="Consolas" w:cs="Consolas"/>
          <w:b w:val="0"/>
          <w:i w:val="0"/>
          <w:sz w:val="15"/>
        </w:rPr>
        <w:t xml:space="preserve">    COUNT(DISTINCT to_entity_anon_id) AS direct_connections,</w:t>
      </w:r>
    </w:p>
    <w:p>
      <w:pPr>
        <w:spacing w:after="0" w:before="0" w:line="240" w:lineRule="auto"/>
        <w:ind w:left="57"/>
        <w:jc w:val="left"/>
        <w:shd w:val="clear" w:fill="F2F2F2"/>
      </w:pPr>
      <w:r>
        <w:rPr>
          <w:rFonts w:ascii="Consolas" w:hAnsi="Consolas" w:cs="Consolas"/>
          <w:b w:val="0"/>
          <w:i w:val="0"/>
          <w:sz w:val="15"/>
        </w:rPr>
        <w:t xml:space="preserve">    SUM(weight) AS weighted_trust_sum,</w:t>
      </w:r>
    </w:p>
    <w:p>
      <w:pPr>
        <w:spacing w:after="0" w:before="0" w:line="240" w:lineRule="auto"/>
        <w:ind w:left="57"/>
        <w:jc w:val="left"/>
        <w:shd w:val="clear" w:fill="F2F2F2"/>
      </w:pPr>
      <w:r>
        <w:rPr>
          <w:rFonts w:ascii="Consolas" w:hAnsi="Consolas" w:cs="Consolas"/>
          <w:b w:val="0"/>
          <w:i w:val="0"/>
          <w:sz w:val="15"/>
        </w:rPr>
        <w:t xml:space="preserve">    CURRENT_TIMESTAMP AS refreshed_at</w:t>
      </w:r>
    </w:p>
    <w:p>
      <w:pPr>
        <w:spacing w:after="0" w:before="0" w:line="240" w:lineRule="auto"/>
        <w:ind w:left="57"/>
        <w:jc w:val="left"/>
        <w:shd w:val="clear" w:fill="F2F2F2"/>
      </w:pPr>
      <w:r>
        <w:rPr>
          <w:rFonts w:ascii="Consolas" w:hAnsi="Consolas" w:cs="Consolas"/>
          <w:b w:val="0"/>
          <w:i w:val="0"/>
          <w:sz w:val="15"/>
        </w:rPr>
        <w:t>FROM trade_graph_edges</w:t>
      </w:r>
    </w:p>
    <w:p>
      <w:pPr>
        <w:spacing w:after="0" w:before="0" w:line="240" w:lineRule="auto"/>
        <w:ind w:left="57"/>
        <w:jc w:val="left"/>
        <w:shd w:val="clear" w:fill="F2F2F2"/>
      </w:pPr>
      <w:r>
        <w:rPr>
          <w:rFonts w:ascii="Consolas" w:hAnsi="Consolas" w:cs="Consolas"/>
          <w:b w:val="0"/>
          <w:i w:val="0"/>
          <w:sz w:val="15"/>
        </w:rPr>
        <w:t>GROUP BY entity_gtid;</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22.2.1.6 Zero-Cost Implementation</w:t>
      </w:r>
    </w:p>
    <w:p>
      <w:pPr>
        <w:spacing w:after="80" w:line="293" w:lineRule="auto"/>
        <w:jc w:val="left"/>
      </w:pPr>
      <w:r>
        <w:rPr>
          <w:rFonts w:ascii="Times New Roman" w:hAnsi="Times New Roman" w:cs="Times New Roman"/>
          <w:b w:val="0"/>
          <w:i w:val="0"/>
          <w:sz w:val="22"/>
        </w:rPr>
        <w:t>PyTorch Geometric and PyTorch are open-source and run on CPU/GPU on the sovereign node. Graph data already exists in the corporate graph tables (`entity_nodes`, `relationship_edges`), trade tables, and financing tables. Weekly training uses off-peak compute. No external API calls are made. ZK proofs for trust graph queries are generated client-side (WASM) using Plonky3 (Add-On 7), incurring zero server cost.</w:t>
      </w:r>
    </w:p>
    <w:p>
      <w:pPr>
        <w:keepNext/>
        <w:spacing w:before="140" w:after="60"/>
        <w:outlineLvl w:val="3"/>
      </w:pPr>
      <w:r>
        <w:rPr>
          <w:rFonts w:ascii="Arial" w:hAnsi="Arial" w:cs="Arial"/>
          <w:b/>
          <w:i/>
          <w:color w:val="333333"/>
          <w:sz w:val="22"/>
        </w:rPr>
        <w:t>22.2.1.7 Activation &amp; Configuration</w:t>
      </w:r>
    </w:p>
    <w:p>
      <w:pPr>
        <w:spacing w:after="80" w:line="293" w:lineRule="auto"/>
        <w:jc w:val="left"/>
      </w:pPr>
      <w:r>
        <w:rPr>
          <w:rFonts w:ascii="Times New Roman" w:hAnsi="Times New Roman" w:cs="Times New Roman"/>
          <w:b w:val="0"/>
          <w:i w:val="0"/>
          <w:sz w:val="22"/>
        </w:rPr>
        <w:t>Activation: Admin Portal → Add-Ons → GNN Risk Engine &amp; Trust Graph.</w:t>
      </w:r>
    </w:p>
    <w:p>
      <w:pPr>
        <w:spacing w:after="80" w:line="293" w:lineRule="auto"/>
        <w:jc w:val="left"/>
      </w:pPr>
      <w:r>
        <w:rPr>
          <w:rFonts w:ascii="Times New Roman" w:hAnsi="Times New Roman" w:cs="Times New Roman"/>
          <w:b w:val="0"/>
          <w:i w:val="0"/>
          <w:sz w:val="22"/>
        </w:rPr>
        <w:t>Fallback. If the GNN service is unavailable, the Governor falls back to rule-based risk scoring (no block). Trust graph queries return "unavailable" without error.</w:t>
      </w:r>
    </w:p>
    <w:p>
      <w:pPr>
        <w:keepNext/>
        <w:spacing w:before="140" w:after="60"/>
        <w:outlineLvl w:val="3"/>
      </w:pPr>
      <w:r>
        <w:rPr>
          <w:rFonts w:ascii="Arial" w:hAnsi="Arial" w:cs="Arial"/>
          <w:b/>
          <w:i/>
          <w:color w:val="333333"/>
          <w:sz w:val="22"/>
        </w:rPr>
        <w:t>22.2.1.8 AI Authority Summary</w:t>
      </w:r>
    </w:p>
    <w:p>
      <w:pPr>
        <w:spacing w:after="80" w:line="293" w:lineRule="auto"/>
        <w:jc w:val="left"/>
      </w:pPr>
      <w:r>
        <w:rPr>
          <w:rFonts w:ascii="Times New Roman" w:hAnsi="Times New Roman" w:cs="Times New Roman"/>
          <w:b w:val="0"/>
          <w:i w:val="0"/>
          <w:sz w:val="22"/>
        </w:rPr>
        <w:t>A2 (HF local → Ollama) for sanctions and risk-scoring inference; A2/A3 for trust graph scoring (advisory, no blocking); A3 for model approval (multisig); A4 for fallback and Governor integration. Non-marketplace safeguard: the GNN never suggests alternative counterparties; it only flags risk with the existing relationship.</w:t>
      </w:r>
    </w:p>
    <w:p>
      <w:pPr>
        <w:keepNext/>
        <w:spacing w:before="140" w:after="60"/>
        <w:outlineLvl w:val="3"/>
      </w:pPr>
      <w:r>
        <w:rPr>
          <w:rFonts w:ascii="Arial" w:hAnsi="Arial" w:cs="Arial"/>
          <w:b/>
          <w:i/>
          <w:color w:val="333333"/>
          <w:sz w:val="22"/>
        </w:rPr>
        <w:t>22.2.1.9 Implementation Checklist</w:t>
      </w:r>
    </w:p>
    <w:p>
      <w:pPr>
        <w:spacing w:after="80" w:line="293" w:lineRule="auto"/>
        <w:jc w:val="left"/>
      </w:pPr>
      <w:r>
        <w:rPr>
          <w:rFonts w:ascii="Times New Roman" w:hAnsi="Times New Roman" w:cs="Times New Roman"/>
          <w:b w:val="0"/>
          <w:i w:val="0"/>
          <w:sz w:val="22"/>
        </w:rPr>
        <w:t>Core GNN service:</w:t>
      </w:r>
    </w:p>
    <w:p>
      <w:pPr>
        <w:spacing w:after="80" w:line="293" w:lineRule="auto"/>
        <w:ind w:left="283"/>
        <w:jc w:val="left"/>
      </w:pPr>
      <w:r>
        <w:rPr>
          <w:rFonts w:ascii="Times New Roman" w:hAnsi="Times New Roman" w:cs="Times New Roman"/>
          <w:b w:val="0"/>
          <w:i w:val="0"/>
          <w:sz w:val="22"/>
        </w:rPr>
        <w:t>- Deploy gnn-risk-service (Rust + PyTorch Geometric).</w:t>
      </w:r>
    </w:p>
    <w:p>
      <w:pPr>
        <w:spacing w:after="80" w:line="293" w:lineRule="auto"/>
        <w:ind w:left="283"/>
        <w:jc w:val="left"/>
      </w:pPr>
      <w:r>
        <w:rPr>
          <w:rFonts w:ascii="Times New Roman" w:hAnsi="Times New Roman" w:cs="Times New Roman"/>
          <w:b w:val="0"/>
          <w:i w:val="0"/>
          <w:sz w:val="22"/>
        </w:rPr>
        <w:t>- Train initial model on corporate graph data.</w:t>
      </w:r>
    </w:p>
    <w:p>
      <w:pPr>
        <w:spacing w:after="80" w:line="293" w:lineRule="auto"/>
        <w:ind w:left="283"/>
        <w:jc w:val="left"/>
      </w:pPr>
      <w:r>
        <w:rPr>
          <w:rFonts w:ascii="Times New Roman" w:hAnsi="Times New Roman" w:cs="Times New Roman"/>
          <w:b w:val="0"/>
          <w:i w:val="0"/>
          <w:sz w:val="22"/>
        </w:rPr>
        <w:t>- Integrate with the Governor (synchronous call on `trade.initiate`, `financing.request`).</w:t>
      </w:r>
    </w:p>
    <w:p>
      <w:pPr>
        <w:spacing w:after="80" w:line="293" w:lineRule="auto"/>
        <w:ind w:left="283"/>
        <w:jc w:val="left"/>
      </w:pPr>
      <w:r>
        <w:rPr>
          <w:rFonts w:ascii="Times New Roman" w:hAnsi="Times New Roman" w:cs="Times New Roman"/>
          <w:b w:val="0"/>
          <w:i w:val="0"/>
          <w:sz w:val="22"/>
        </w:rPr>
        <w:t>- Add fallback to rule-based risk scoring if GNN unavailable.</w:t>
      </w:r>
    </w:p>
    <w:p>
      <w:pPr>
        <w:spacing w:after="80" w:line="293" w:lineRule="auto"/>
        <w:jc w:val="left"/>
      </w:pPr>
      <w:r>
        <w:rPr>
          <w:rFonts w:ascii="Times New Roman" w:hAnsi="Times New Roman" w:cs="Times New Roman"/>
          <w:b w:val="0"/>
          <w:i w:val="0"/>
          <w:sz w:val="22"/>
        </w:rPr>
        <w:t>Institutional Trade Graph:</w:t>
      </w:r>
    </w:p>
    <w:p>
      <w:pPr>
        <w:spacing w:after="80" w:line="293" w:lineRule="auto"/>
        <w:ind w:left="283"/>
        <w:jc w:val="left"/>
      </w:pPr>
      <w:r>
        <w:rPr>
          <w:rFonts w:ascii="Times New Roman" w:hAnsi="Times New Roman" w:cs="Times New Roman"/>
          <w:b w:val="0"/>
          <w:i w:val="0"/>
          <w:sz w:val="22"/>
        </w:rPr>
        <w:t>- Build anonymisation service (rotating pepper, deterministic hash).</w:t>
      </w:r>
    </w:p>
    <w:p>
      <w:pPr>
        <w:spacing w:after="80" w:line="293" w:lineRule="auto"/>
        <w:ind w:left="283"/>
        <w:jc w:val="left"/>
      </w:pPr>
      <w:r>
        <w:rPr>
          <w:rFonts w:ascii="Times New Roman" w:hAnsi="Times New Roman" w:cs="Times New Roman"/>
          <w:b w:val="0"/>
          <w:i w:val="0"/>
          <w:sz w:val="22"/>
        </w:rPr>
        <w:t>- Add consent management for trust graph contribution.</w:t>
      </w:r>
    </w:p>
    <w:p>
      <w:pPr>
        <w:spacing w:after="80" w:line="293" w:lineRule="auto"/>
        <w:ind w:left="283"/>
        <w:jc w:val="left"/>
      </w:pPr>
      <w:r>
        <w:rPr>
          <w:rFonts w:ascii="Times New Roman" w:hAnsi="Times New Roman" w:cs="Times New Roman"/>
          <w:b w:val="0"/>
          <w:i w:val="0"/>
          <w:sz w:val="22"/>
        </w:rPr>
        <w:t>- Build the Financier Portal widget for network trust score.</w:t>
      </w:r>
    </w:p>
    <w:p>
      <w:pPr>
        <w:spacing w:after="80" w:line="293" w:lineRule="auto"/>
        <w:ind w:left="283"/>
        <w:jc w:val="left"/>
      </w:pPr>
      <w:r>
        <w:rPr>
          <w:rFonts w:ascii="Times New Roman" w:hAnsi="Times New Roman" w:cs="Times New Roman"/>
          <w:b w:val="0"/>
          <w:i w:val="0"/>
          <w:sz w:val="22"/>
        </w:rPr>
        <w:t>- Implement the opt-out toggle in Company Admin.</w:t>
      </w:r>
    </w:p>
    <w:p>
      <w:pPr>
        <w:spacing w:after="80" w:line="293" w:lineRule="auto"/>
        <w:jc w:val="left"/>
      </w:pPr>
      <w:r>
        <w:rPr>
          <w:rFonts w:ascii="Times New Roman" w:hAnsi="Times New Roman" w:cs="Times New Roman"/>
          <w:b w:val="0"/>
          <w:i w:val="0"/>
          <w:sz w:val="22"/>
        </w:rPr>
        <w:t>Monitoring &amp; alerting:</w:t>
      </w:r>
    </w:p>
    <w:p>
      <w:pPr>
        <w:spacing w:after="80" w:line="293" w:lineRule="auto"/>
        <w:ind w:left="283"/>
        <w:jc w:val="left"/>
      </w:pPr>
      <w:r>
        <w:rPr>
          <w:rFonts w:ascii="Times New Roman" w:hAnsi="Times New Roman" w:cs="Times New Roman"/>
          <w:b w:val="0"/>
          <w:i w:val="0"/>
          <w:sz w:val="22"/>
        </w:rPr>
        <w:t>- Add Prometheus metrics: `sgtx_gnn_risk_score`, `sgtx_gnn_inference_latency`.</w:t>
      </w:r>
    </w:p>
    <w:p>
      <w:pPr>
        <w:spacing w:after="80" w:line="293" w:lineRule="auto"/>
        <w:ind w:left="283"/>
        <w:jc w:val="left"/>
      </w:pPr>
      <w:r>
        <w:rPr>
          <w:rFonts w:ascii="Times New Roman" w:hAnsi="Times New Roman" w:cs="Times New Roman"/>
          <w:b w:val="0"/>
          <w:i w:val="0"/>
          <w:sz w:val="22"/>
        </w:rPr>
        <w:t>- Set up alerting for GNN service unavailability (&gt; 5 minutes).</w:t>
      </w:r>
    </w:p>
    <w:p>
      <w:pPr>
        <w:spacing w:after="80" w:line="293" w:lineRule="auto"/>
        <w:ind w:left="283"/>
        <w:jc w:val="left"/>
      </w:pPr>
      <w:r>
        <w:rPr>
          <w:rFonts w:ascii="Times New Roman" w:hAnsi="Times New Roman" w:cs="Times New Roman"/>
          <w:b w:val="0"/>
          <w:i w:val="0"/>
          <w:sz w:val="22"/>
        </w:rPr>
        <w:t>- Configure model drift monitoring.</w:t>
      </w:r>
    </w:p>
    <w:p>
      <w:pPr>
        <w:keepNext/>
        <w:spacing w:before="180" w:after="80"/>
        <w:outlineLvl w:val="2"/>
      </w:pPr>
      <w:r>
        <w:rPr>
          <w:rFonts w:ascii="Arial" w:hAnsi="Arial" w:cs="Arial"/>
          <w:b/>
          <w:i w:val="0"/>
          <w:color w:val="333333"/>
          <w:sz w:val="23"/>
        </w:rPr>
        <w:t>22.2.2 Add-On 2 — Federated Learning Network</w:t>
      </w:r>
    </w:p>
    <w:p>
      <w:pPr>
        <w:keepNext/>
        <w:spacing w:before="140" w:after="60"/>
        <w:outlineLvl w:val="3"/>
      </w:pPr>
      <w:r>
        <w:rPr>
          <w:rFonts w:ascii="Arial" w:hAnsi="Arial" w:cs="Arial"/>
          <w:b/>
          <w:i/>
          <w:color w:val="333333"/>
          <w:sz w:val="22"/>
        </w:rPr>
        <w:t>22.2.2.1 Purpose &amp; Design Philosophy</w:t>
      </w:r>
    </w:p>
    <w:p>
      <w:pPr>
        <w:spacing w:after="80" w:line="293" w:lineRule="auto"/>
        <w:jc w:val="left"/>
      </w:pPr>
      <w:r>
        <w:rPr>
          <w:rFonts w:ascii="Times New Roman" w:hAnsi="Times New Roman" w:cs="Times New Roman"/>
          <w:b w:val="0"/>
          <w:i w:val="0"/>
          <w:sz w:val="22"/>
        </w:rPr>
        <w:t>Train machine learning models across multiple sovereign nodes without exchanging raw trade data. Each node trains a local model on its own data (for example fraud detection, margin estimation, credit scoring), sends only encrypted model updates (gradients) to a secure aggregator, and receives a global model. This improves model accuracy for corridors with limited local data while preserving data sovereignty. The system never uses this to rank or recommend counterparties.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Privacy-preserving — no raw data ever leaves the sovereign node.</w:t>
      </w:r>
    </w:p>
    <w:p>
      <w:pPr>
        <w:spacing w:after="80" w:line="293" w:lineRule="auto"/>
        <w:ind w:left="283"/>
        <w:jc w:val="left"/>
      </w:pPr>
      <w:r>
        <w:rPr>
          <w:rFonts w:ascii="Times New Roman" w:hAnsi="Times New Roman" w:cs="Times New Roman"/>
          <w:b w:val="0"/>
          <w:i w:val="0"/>
          <w:sz w:val="22"/>
        </w:rPr>
        <w:t>- Differential privacy (ε = 0.5) applied to each update.</w:t>
      </w:r>
    </w:p>
    <w:p>
      <w:pPr>
        <w:spacing w:after="80" w:line="293" w:lineRule="auto"/>
        <w:ind w:left="283"/>
        <w:jc w:val="left"/>
      </w:pPr>
      <w:r>
        <w:rPr>
          <w:rFonts w:ascii="Times New Roman" w:hAnsi="Times New Roman" w:cs="Times New Roman"/>
          <w:b w:val="0"/>
          <w:i w:val="0"/>
          <w:sz w:val="22"/>
        </w:rPr>
        <w:t>- Zero-cost — OpenFL, Flower, and PyTorch are all open-source.</w:t>
      </w:r>
    </w:p>
    <w:p>
      <w:pPr>
        <w:spacing w:after="80" w:line="293" w:lineRule="auto"/>
        <w:ind w:left="283"/>
        <w:jc w:val="left"/>
      </w:pPr>
      <w:r>
        <w:rPr>
          <w:rFonts w:ascii="Times New Roman" w:hAnsi="Times New Roman" w:cs="Times New Roman"/>
          <w:b w:val="0"/>
          <w:i w:val="0"/>
          <w:sz w:val="22"/>
        </w:rPr>
        <w:t>- Federated averaging (FedAvg) or robust aggregation algorithms.</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A2: local training, model inference.</w:t>
      </w:r>
    </w:p>
    <w:p>
      <w:pPr>
        <w:spacing w:after="80" w:line="293" w:lineRule="auto"/>
        <w:ind w:left="283"/>
        <w:jc w:val="left"/>
      </w:pPr>
      <w:r>
        <w:rPr>
          <w:rFonts w:ascii="Times New Roman" w:hAnsi="Times New Roman" w:cs="Times New Roman"/>
          <w:b w:val="0"/>
          <w:i w:val="0"/>
          <w:sz w:val="22"/>
        </w:rPr>
        <w:t>- A3: model approval, drift escalation.</w:t>
      </w:r>
    </w:p>
    <w:p>
      <w:pPr>
        <w:spacing w:after="80" w:line="293" w:lineRule="auto"/>
        <w:ind w:left="283"/>
        <w:jc w:val="left"/>
      </w:pPr>
      <w:r>
        <w:rPr>
          <w:rFonts w:ascii="Times New Roman" w:hAnsi="Times New Roman" w:cs="Times New Roman"/>
          <w:b w:val="0"/>
          <w:i w:val="0"/>
          <w:sz w:val="22"/>
        </w:rPr>
        <w:t>- A4: model distribution, access control.</w:t>
      </w:r>
    </w:p>
    <w:p>
      <w:pPr>
        <w:keepNext/>
        <w:spacing w:before="140" w:after="60"/>
        <w:outlineLvl w:val="3"/>
      </w:pPr>
      <w:r>
        <w:rPr>
          <w:rFonts w:ascii="Arial" w:hAnsi="Arial" w:cs="Arial"/>
          <w:b/>
          <w:i/>
          <w:color w:val="333333"/>
          <w:sz w:val="22"/>
        </w:rPr>
        <w:t>22.2.2.2 Architecture &amp; Integration</w:t>
      </w:r>
    </w:p>
    <w:p>
      <w:pPr>
        <w:spacing w:after="80" w:line="293" w:lineRule="auto"/>
        <w:jc w:val="left"/>
      </w:pPr>
      <w:r>
        <w:rPr>
          <w:rFonts w:ascii="Times New Roman" w:hAnsi="Times New Roman" w:cs="Times New Roman"/>
          <w:b w:val="0"/>
          <w:i w:val="0"/>
          <w:sz w:val="22"/>
        </w:rPr>
        <w:t>The federated learning network is coordinated by a fed-learning-coordinator service (Rust + OpenFL) with participant nodes running a local-trainer sidecar. Trained models cover fraud detection, margin estimation, and credit scoring. Training rounds run weekly during off-peak windows.</w:t>
      </w:r>
    </w:p>
    <w:p>
      <w:pPr>
        <w:spacing w:after="80" w:line="293" w:lineRule="auto"/>
        <w:jc w:val="left"/>
      </w:pPr>
      <w:r>
        <w:rPr>
          <w:rFonts w:ascii="Times New Roman" w:hAnsi="Times New Roman" w:cs="Times New Roman"/>
          <w:b w:val="0"/>
          <w:i w:val="0"/>
          <w:sz w:val="22"/>
        </w:rPr>
        <w:t>Weekly training orchestration:</w:t>
      </w:r>
    </w:p>
    <w:p>
      <w:pPr>
        <w:spacing w:after="0" w:before="0" w:line="240" w:lineRule="auto"/>
        <w:ind w:left="57"/>
        <w:jc w:val="left"/>
        <w:shd w:val="clear" w:fill="F2F2F2"/>
      </w:pPr>
      <w:r>
        <w:rPr>
          <w:rFonts w:ascii="Consolas" w:hAnsi="Consolas" w:cs="Consolas"/>
          <w:b w:val="0"/>
          <w:i w:val="0"/>
          <w:sz w:val="15"/>
        </w:rPr>
        <w:t>// Weekly training orchestration</w:t>
      </w:r>
    </w:p>
    <w:p>
      <w:pPr>
        <w:spacing w:after="0" w:before="0" w:line="240" w:lineRule="auto"/>
        <w:ind w:left="57"/>
        <w:jc w:val="left"/>
        <w:shd w:val="clear" w:fill="F2F2F2"/>
      </w:pPr>
      <w:r>
        <w:rPr>
          <w:rFonts w:ascii="Consolas" w:hAnsi="Consolas" w:cs="Consolas"/>
          <w:b w:val="0"/>
          <w:i w:val="0"/>
          <w:sz w:val="15"/>
        </w:rPr>
        <w:t>let coordinator = FedLearningCoordinator::new();</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coordinator.start_round(</w:t>
      </w:r>
    </w:p>
    <w:p>
      <w:pPr>
        <w:spacing w:after="0" w:before="0" w:line="240" w:lineRule="auto"/>
        <w:ind w:left="57"/>
        <w:jc w:val="left"/>
        <w:shd w:val="clear" w:fill="F2F2F2"/>
      </w:pPr>
      <w:r>
        <w:rPr>
          <w:rFonts w:ascii="Consolas" w:hAnsi="Consolas" w:cs="Consolas"/>
          <w:b w:val="0"/>
          <w:i w:val="0"/>
          <w:sz w:val="15"/>
        </w:rPr>
        <w:t xml:space="preserve">    model_name: "credit_scoring",</w:t>
      </w:r>
    </w:p>
    <w:p>
      <w:pPr>
        <w:spacing w:after="0" w:before="0" w:line="240" w:lineRule="auto"/>
        <w:ind w:left="57"/>
        <w:jc w:val="left"/>
        <w:shd w:val="clear" w:fill="F2F2F2"/>
      </w:pPr>
      <w:r>
        <w:rPr>
          <w:rFonts w:ascii="Consolas" w:hAnsi="Consolas" w:cs="Consolas"/>
          <w:b w:val="0"/>
          <w:i w:val="0"/>
          <w:sz w:val="15"/>
        </w:rPr>
        <w:t xml:space="preserve">    participants: vec!["cairo-node", "dubai-node", "frankfurt-node"],</w:t>
      </w:r>
    </w:p>
    <w:p>
      <w:pPr>
        <w:spacing w:after="0" w:before="0" w:line="240" w:lineRule="auto"/>
        <w:ind w:left="57"/>
        <w:jc w:val="left"/>
        <w:shd w:val="clear" w:fill="F2F2F2"/>
      </w:pPr>
      <w:r>
        <w:rPr>
          <w:rFonts w:ascii="Consolas" w:hAnsi="Consolas" w:cs="Consolas"/>
          <w:b w:val="0"/>
          <w:i w:val="0"/>
          <w:sz w:val="15"/>
        </w:rPr>
        <w:t xml:space="preserve">    aggregation_algorithm: "FedAvg",</w:t>
      </w:r>
    </w:p>
    <w:p>
      <w:pPr>
        <w:spacing w:after="0" w:before="0" w:line="240" w:lineRule="auto"/>
        <w:ind w:left="57"/>
        <w:jc w:val="left"/>
        <w:shd w:val="clear" w:fill="F2F2F2"/>
      </w:pPr>
      <w:r>
        <w:rPr>
          <w:rFonts w:ascii="Consolas" w:hAnsi="Consolas" w:cs="Consolas"/>
          <w:b w:val="0"/>
          <w:i w:val="0"/>
          <w:sz w:val="15"/>
        </w:rPr>
        <w:t xml:space="preserve">    differential_privacy_epsilon: 0.5,</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Each participant trains locally</w:t>
      </w:r>
    </w:p>
    <w:p>
      <w:pPr>
        <w:spacing w:after="0" w:before="0" w:line="240" w:lineRule="auto"/>
        <w:ind w:left="57"/>
        <w:jc w:val="left"/>
        <w:shd w:val="clear" w:fill="F2F2F2"/>
      </w:pPr>
      <w:r>
        <w:rPr>
          <w:rFonts w:ascii="Consolas" w:hAnsi="Consolas" w:cs="Consolas"/>
          <w:b w:val="0"/>
          <w:i w:val="0"/>
          <w:sz w:val="15"/>
        </w:rPr>
        <w:t>// Coordinator aggregates and distributes the new global model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participant trains locally on its own data; the coordinator aggregates the encrypted model updates and distributes the resulting global model to all participants. Only encrypted model updates cross node boundaries; no raw trade data is ever exchanged.</w:t>
      </w:r>
    </w:p>
    <w:p>
      <w:pPr>
        <w:keepNext/>
        <w:spacing w:before="140" w:after="60"/>
        <w:outlineLvl w:val="3"/>
      </w:pPr>
      <w:r>
        <w:rPr>
          <w:rFonts w:ascii="Arial" w:hAnsi="Arial" w:cs="Arial"/>
          <w:b/>
          <w:i/>
          <w:color w:val="333333"/>
          <w:sz w:val="22"/>
        </w:rPr>
        <w:t>22.2.2.3 Data Model Additions</w:t>
      </w:r>
    </w:p>
    <w:p>
      <w:pPr>
        <w:spacing w:after="0" w:before="0" w:line="240" w:lineRule="auto"/>
        <w:ind w:left="57"/>
        <w:jc w:val="left"/>
        <w:shd w:val="clear" w:fill="F2F2F2"/>
      </w:pPr>
      <w:r>
        <w:rPr>
          <w:rFonts w:ascii="Consolas" w:hAnsi="Consolas" w:cs="Consolas"/>
          <w:b w:val="0"/>
          <w:i w:val="0"/>
          <w:sz w:val="15"/>
        </w:rPr>
        <w:t>-- Federated learning model registry</w:t>
      </w:r>
    </w:p>
    <w:p>
      <w:pPr>
        <w:spacing w:after="0" w:before="0" w:line="240" w:lineRule="auto"/>
        <w:ind w:left="57"/>
        <w:jc w:val="left"/>
        <w:shd w:val="clear" w:fill="F2F2F2"/>
      </w:pPr>
      <w:r>
        <w:rPr>
          <w:rFonts w:ascii="Consolas" w:hAnsi="Consolas" w:cs="Consolas"/>
          <w:b w:val="0"/>
          <w:i w:val="0"/>
          <w:sz w:val="15"/>
        </w:rPr>
        <w:t>-- federated_learning_models: canonical definition in Section 17.27;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Local training metadata per node</w:t>
      </w:r>
    </w:p>
    <w:p>
      <w:pPr>
        <w:spacing w:after="0" w:before="0" w:line="240" w:lineRule="auto"/>
        <w:ind w:left="57"/>
        <w:jc w:val="left"/>
        <w:shd w:val="clear" w:fill="F2F2F2"/>
      </w:pPr>
      <w:r>
        <w:rPr>
          <w:rFonts w:ascii="Consolas" w:hAnsi="Consolas" w:cs="Consolas"/>
          <w:b w:val="0"/>
          <w:i w:val="0"/>
          <w:sz w:val="15"/>
        </w:rPr>
        <w:t>-- local_training_metadata: canonical definition in Section 17.27; not redefined here.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22.2.2.4 Activation</w:t>
      </w:r>
    </w:p>
    <w:p>
      <w:pPr>
        <w:spacing w:after="80" w:line="293" w:lineRule="auto"/>
        <w:jc w:val="left"/>
      </w:pPr>
      <w:r>
        <w:rPr>
          <w:rFonts w:ascii="Times New Roman" w:hAnsi="Times New Roman" w:cs="Times New Roman"/>
          <w:b w:val="0"/>
          <w:i w:val="0"/>
          <w:sz w:val="22"/>
        </w:rPr>
        <w:t>Activation: Admin Portal → Add-Ons → "Federated Learning" → set coordinator node → choose models to train → Enable. Requires multisig approval. After activation, the coordinator orchestrates the first training round within 24 hours.</w:t>
      </w:r>
    </w:p>
    <w:p>
      <w:pPr>
        <w:spacing w:after="80" w:line="293" w:lineRule="auto"/>
        <w:jc w:val="left"/>
      </w:pPr>
      <w:r>
        <w:rPr>
          <w:rFonts w:ascii="Times New Roman" w:hAnsi="Times New Roman" w:cs="Times New Roman"/>
          <w:b w:val="0"/>
          <w:i w:val="0"/>
          <w:sz w:val="22"/>
        </w:rPr>
        <w:t>One-click: Admin clicks "Enable" and the system initiates the first training round.</w:t>
      </w:r>
    </w:p>
    <w:p>
      <w:pPr>
        <w:keepNext/>
        <w:spacing w:before="140" w:after="60"/>
        <w:outlineLvl w:val="3"/>
      </w:pPr>
      <w:r>
        <w:rPr>
          <w:rFonts w:ascii="Arial" w:hAnsi="Arial" w:cs="Arial"/>
          <w:b/>
          <w:i/>
          <w:color w:val="333333"/>
          <w:sz w:val="22"/>
        </w:rPr>
        <w:t>22.2.2.5 AI Authority Summary</w:t>
      </w:r>
    </w:p>
    <w:p>
      <w:pPr>
        <w:spacing w:after="80" w:line="293" w:lineRule="auto"/>
        <w:jc w:val="left"/>
      </w:pPr>
      <w:r>
        <w:rPr>
          <w:rFonts w:ascii="Times New Roman" w:hAnsi="Times New Roman" w:cs="Times New Roman"/>
          <w:b w:val="0"/>
          <w:i w:val="0"/>
          <w:sz w:val="22"/>
        </w:rPr>
        <w:t>A2 for local training; A3 for model approval; A4 for distribution. Non-marketplace safeguard: federated learning only shares encrypted model updates, never raw trade data, and produces no counterparty recommendations.</w:t>
      </w:r>
    </w:p>
    <w:p>
      <w:pPr>
        <w:keepNext/>
        <w:spacing w:before="140" w:after="60"/>
        <w:outlineLvl w:val="3"/>
      </w:pPr>
      <w:r>
        <w:rPr>
          <w:rFonts w:ascii="Arial" w:hAnsi="Arial" w:cs="Arial"/>
          <w:b/>
          <w:i/>
          <w:color w:val="333333"/>
          <w:sz w:val="22"/>
        </w:rPr>
        <w:t>22.2.2.6 Implementation Checklist</w:t>
      </w:r>
    </w:p>
    <w:p>
      <w:pPr>
        <w:spacing w:after="80" w:line="293" w:lineRule="auto"/>
        <w:ind w:left="283"/>
        <w:jc w:val="left"/>
      </w:pPr>
      <w:r>
        <w:rPr>
          <w:rFonts w:ascii="Times New Roman" w:hAnsi="Times New Roman" w:cs="Times New Roman"/>
          <w:b w:val="0"/>
          <w:i w:val="0"/>
          <w:sz w:val="22"/>
        </w:rPr>
        <w:t>- Deploy fed-learning-coordinator (Rust + OpenFL).</w:t>
      </w:r>
    </w:p>
    <w:p>
      <w:pPr>
        <w:spacing w:after="80" w:line="293" w:lineRule="auto"/>
        <w:ind w:left="283"/>
        <w:jc w:val="left"/>
      </w:pPr>
      <w:r>
        <w:rPr>
          <w:rFonts w:ascii="Times New Roman" w:hAnsi="Times New Roman" w:cs="Times New Roman"/>
          <w:b w:val="0"/>
          <w:i w:val="0"/>
          <w:sz w:val="22"/>
        </w:rPr>
        <w:t>- Configure participant nodes with local-trainer sidecar.</w:t>
      </w:r>
    </w:p>
    <w:p>
      <w:pPr>
        <w:spacing w:after="80" w:line="293" w:lineRule="auto"/>
        <w:ind w:left="283"/>
        <w:jc w:val="left"/>
      </w:pPr>
      <w:r>
        <w:rPr>
          <w:rFonts w:ascii="Times New Roman" w:hAnsi="Times New Roman" w:cs="Times New Roman"/>
          <w:b w:val="0"/>
          <w:i w:val="0"/>
          <w:sz w:val="22"/>
        </w:rPr>
        <w:t>- Set up the weekly training schedule (off-peak).</w:t>
      </w:r>
    </w:p>
    <w:p>
      <w:pPr>
        <w:spacing w:after="80" w:line="293" w:lineRule="auto"/>
        <w:ind w:left="283"/>
        <w:jc w:val="left"/>
      </w:pPr>
      <w:r>
        <w:rPr>
          <w:rFonts w:ascii="Times New Roman" w:hAnsi="Times New Roman" w:cs="Times New Roman"/>
          <w:b w:val="0"/>
          <w:i w:val="0"/>
          <w:sz w:val="22"/>
        </w:rPr>
        <w:t>- Implement model drift monitoring.</w:t>
      </w:r>
    </w:p>
    <w:p>
      <w:pPr>
        <w:spacing w:after="80" w:line="293" w:lineRule="auto"/>
        <w:ind w:left="283"/>
        <w:jc w:val="left"/>
      </w:pPr>
      <w:r>
        <w:rPr>
          <w:rFonts w:ascii="Times New Roman" w:hAnsi="Times New Roman" w:cs="Times New Roman"/>
          <w:b w:val="0"/>
          <w:i w:val="0"/>
          <w:sz w:val="22"/>
        </w:rPr>
        <w:t>- Add the Admin Portal status dashboard.</w:t>
      </w:r>
    </w:p>
    <w:p>
      <w:pPr>
        <w:spacing w:after="80" w:line="293" w:lineRule="auto"/>
        <w:ind w:left="283"/>
        <w:jc w:val="left"/>
      </w:pPr>
      <w:r>
        <w:rPr>
          <w:rFonts w:ascii="Times New Roman" w:hAnsi="Times New Roman" w:cs="Times New Roman"/>
          <w:b w:val="0"/>
          <w:i w:val="0"/>
          <w:sz w:val="22"/>
        </w:rPr>
        <w:t>- Configure differential privacy (ε = 0.5).</w:t>
      </w:r>
    </w:p>
    <w:p>
      <w:pPr>
        <w:keepNext/>
        <w:spacing w:before="180" w:after="80"/>
        <w:outlineLvl w:val="2"/>
      </w:pPr>
      <w:r>
        <w:rPr>
          <w:rFonts w:ascii="Arial" w:hAnsi="Arial" w:cs="Arial"/>
          <w:b/>
          <w:i w:val="0"/>
          <w:color w:val="333333"/>
          <w:sz w:val="23"/>
        </w:rPr>
        <w:t>22.2.3 Add-On 3 — Causal Inference Engine</w:t>
      </w:r>
    </w:p>
    <w:p>
      <w:pPr>
        <w:keepNext/>
        <w:spacing w:before="140" w:after="60"/>
        <w:outlineLvl w:val="3"/>
      </w:pPr>
      <w:r>
        <w:rPr>
          <w:rFonts w:ascii="Arial" w:hAnsi="Arial" w:cs="Arial"/>
          <w:b/>
          <w:i/>
          <w:color w:val="333333"/>
          <w:sz w:val="22"/>
        </w:rPr>
        <w:t>22.2.3.1 Purpose &amp; Design Philosophy</w:t>
      </w:r>
    </w:p>
    <w:p>
      <w:pPr>
        <w:spacing w:after="80" w:line="293" w:lineRule="auto"/>
        <w:jc w:val="left"/>
      </w:pPr>
      <w:r>
        <w:rPr>
          <w:rFonts w:ascii="Times New Roman" w:hAnsi="Times New Roman" w:cs="Times New Roman"/>
          <w:b w:val="0"/>
          <w:i w:val="0"/>
          <w:sz w:val="22"/>
        </w:rPr>
        <w:t>Identify root causes of disputes, delays, defaults, or quality failures — not just correlations. For example: "68% of the delay was due to a port strike, 22% due to carrier rerouting, 10% due to customs documentation." This provides actionable insights for insurers, arbitrators, and traders — but never suggests "blame the other party" or "switch provider". It is purely factual.</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Factual only — never assigns blame; only contribution percentages.</w:t>
      </w:r>
    </w:p>
    <w:p>
      <w:pPr>
        <w:spacing w:after="80" w:line="293" w:lineRule="auto"/>
        <w:ind w:left="283"/>
        <w:jc w:val="left"/>
      </w:pPr>
      <w:r>
        <w:rPr>
          <w:rFonts w:ascii="Times New Roman" w:hAnsi="Times New Roman" w:cs="Times New Roman"/>
          <w:b w:val="0"/>
          <w:i w:val="0"/>
          <w:sz w:val="22"/>
        </w:rPr>
        <w:t>- Advisory — used in evidence packages, never blocks trades.</w:t>
      </w:r>
    </w:p>
    <w:p>
      <w:pPr>
        <w:spacing w:after="80" w:line="293" w:lineRule="auto"/>
        <w:ind w:left="283"/>
        <w:jc w:val="left"/>
      </w:pPr>
      <w:r>
        <w:rPr>
          <w:rFonts w:ascii="Times New Roman" w:hAnsi="Times New Roman" w:cs="Times New Roman"/>
          <w:b w:val="0"/>
          <w:i w:val="0"/>
          <w:sz w:val="22"/>
        </w:rPr>
        <w:t>- Zero-cost — DoWhy and EconML are open-source.</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A2/A3: causal inference (DoWhy + EconML, Python).</w:t>
      </w:r>
    </w:p>
    <w:p>
      <w:pPr>
        <w:spacing w:after="80" w:line="293" w:lineRule="auto"/>
        <w:ind w:left="283"/>
        <w:jc w:val="left"/>
      </w:pPr>
      <w:r>
        <w:rPr>
          <w:rFonts w:ascii="Times New Roman" w:hAnsi="Times New Roman" w:cs="Times New Roman"/>
          <w:b w:val="0"/>
          <w:i w:val="0"/>
          <w:sz w:val="22"/>
        </w:rPr>
        <w:t>- A1: Groq summary generation.</w:t>
      </w:r>
    </w:p>
    <w:p>
      <w:pPr>
        <w:keepNext/>
        <w:spacing w:before="140" w:after="60"/>
        <w:outlineLvl w:val="3"/>
      </w:pPr>
      <w:r>
        <w:rPr>
          <w:rFonts w:ascii="Arial" w:hAnsi="Arial" w:cs="Arial"/>
          <w:b/>
          <w:i/>
          <w:color w:val="333333"/>
          <w:sz w:val="22"/>
        </w:rPr>
        <w:t>22.2.3.2 Architecture &amp; Integration</w:t>
      </w:r>
    </w:p>
    <w:p>
      <w:pPr>
        <w:spacing w:after="80" w:line="293" w:lineRule="auto"/>
        <w:jc w:val="left"/>
      </w:pPr>
      <w:r>
        <w:rPr>
          <w:rFonts w:ascii="Times New Roman" w:hAnsi="Times New Roman" w:cs="Times New Roman"/>
          <w:b w:val="0"/>
          <w:i w:val="0"/>
          <w:sz w:val="22"/>
        </w:rPr>
        <w:t>The causal engine runs as a Python service (DoWhy + EconML) driven by a causal graph (DAG) defined for trade disputes. It is triggered asynchronously when a dispute is filed and by milestone breach events. Output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"root_causes":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"port_strike",</w:t>
      </w:r>
    </w:p>
    <w:p>
      <w:pPr>
        <w:spacing w:after="0" w:before="0" w:line="240" w:lineRule="auto"/>
        <w:ind w:left="57"/>
        <w:jc w:val="left"/>
        <w:shd w:val="clear" w:fill="F2F2F2"/>
      </w:pPr>
      <w:r>
        <w:rPr>
          <w:rFonts w:ascii="Consolas" w:hAnsi="Consolas" w:cs="Consolas"/>
          <w:b w:val="0"/>
          <w:i w:val="0"/>
          <w:sz w:val="15"/>
        </w:rPr>
        <w:t xml:space="preserve">      "contribution": 0.54,</w:t>
      </w:r>
    </w:p>
    <w:p>
      <w:pPr>
        <w:spacing w:after="0" w:before="0" w:line="240" w:lineRule="auto"/>
        <w:ind w:left="57"/>
        <w:jc w:val="left"/>
        <w:shd w:val="clear" w:fill="F2F2F2"/>
      </w:pPr>
      <w:r>
        <w:rPr>
          <w:rFonts w:ascii="Consolas" w:hAnsi="Consolas" w:cs="Consolas"/>
          <w:b w:val="0"/>
          <w:i w:val="0"/>
          <w:sz w:val="15"/>
        </w:rPr>
        <w:t xml:space="preserve">      "description": "Port closure at Alexandria added 54% of total delay.",</w:t>
      </w:r>
    </w:p>
    <w:p>
      <w:pPr>
        <w:spacing w:after="0" w:before="0" w:line="240" w:lineRule="auto"/>
        <w:ind w:left="57"/>
        <w:jc w:val="left"/>
        <w:shd w:val="clear" w:fill="F2F2F2"/>
      </w:pPr>
      <w:r>
        <w:rPr>
          <w:rFonts w:ascii="Consolas" w:hAnsi="Consolas" w:cs="Consolas"/>
          <w:b w:val="0"/>
          <w:i w:val="0"/>
          <w:sz w:val="15"/>
        </w:rPr>
        <w:t xml:space="preserve">      "confidence_interval": { "lower": 0.45, "upper": 0.62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"carrier_rerouting",</w:t>
      </w:r>
    </w:p>
    <w:p>
      <w:pPr>
        <w:spacing w:after="0" w:before="0" w:line="240" w:lineRule="auto"/>
        <w:ind w:left="57"/>
        <w:jc w:val="left"/>
        <w:shd w:val="clear" w:fill="F2F2F2"/>
      </w:pPr>
      <w:r>
        <w:rPr>
          <w:rFonts w:ascii="Consolas" w:hAnsi="Consolas" w:cs="Consolas"/>
          <w:b w:val="0"/>
          <w:i w:val="0"/>
          <w:sz w:val="15"/>
        </w:rPr>
        <w:t xml:space="preserve">      "contribution": 0.32,</w:t>
      </w:r>
    </w:p>
    <w:p>
      <w:pPr>
        <w:spacing w:after="0" w:before="0" w:line="240" w:lineRule="auto"/>
        <w:ind w:left="57"/>
        <w:jc w:val="left"/>
        <w:shd w:val="clear" w:fill="F2F2F2"/>
      </w:pPr>
      <w:r>
        <w:rPr>
          <w:rFonts w:ascii="Consolas" w:hAnsi="Consolas" w:cs="Consolas"/>
          <w:b w:val="0"/>
          <w:i w:val="0"/>
          <w:sz w:val="15"/>
        </w:rPr>
        <w:t xml:space="preserve">      "description": "Carrier rerouted due to weather, adding 32%.",</w:t>
      </w:r>
    </w:p>
    <w:p>
      <w:pPr>
        <w:spacing w:after="0" w:before="0" w:line="240" w:lineRule="auto"/>
        <w:ind w:left="57"/>
        <w:jc w:val="left"/>
        <w:shd w:val="clear" w:fill="F2F2F2"/>
      </w:pPr>
      <w:r>
        <w:rPr>
          <w:rFonts w:ascii="Consolas" w:hAnsi="Consolas" w:cs="Consolas"/>
          <w:b w:val="0"/>
          <w:i w:val="0"/>
          <w:sz w:val="15"/>
        </w:rPr>
        <w:t xml:space="preserve">      "confidence_interval": { "lower": 0.28, "upper": 0.36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"customs_hold",</w:t>
      </w:r>
    </w:p>
    <w:p>
      <w:pPr>
        <w:spacing w:after="0" w:before="0" w:line="240" w:lineRule="auto"/>
        <w:ind w:left="57"/>
        <w:jc w:val="left"/>
        <w:shd w:val="clear" w:fill="F2F2F2"/>
      </w:pPr>
      <w:r>
        <w:rPr>
          <w:rFonts w:ascii="Consolas" w:hAnsi="Consolas" w:cs="Consolas"/>
          <w:b w:val="0"/>
          <w:i w:val="0"/>
          <w:sz w:val="15"/>
        </w:rPr>
        <w:t xml:space="preserve">      "contribution": 0.14,</w:t>
      </w:r>
    </w:p>
    <w:p>
      <w:pPr>
        <w:spacing w:after="0" w:before="0" w:line="240" w:lineRule="auto"/>
        <w:ind w:left="57"/>
        <w:jc w:val="left"/>
        <w:shd w:val="clear" w:fill="F2F2F2"/>
      </w:pPr>
      <w:r>
        <w:rPr>
          <w:rFonts w:ascii="Consolas" w:hAnsi="Consolas" w:cs="Consolas"/>
          <w:b w:val="0"/>
          <w:i w:val="0"/>
          <w:sz w:val="15"/>
        </w:rPr>
        <w:t xml:space="preserve">      "description": "Missing phytosanitary certificate caused 14% delay.",</w:t>
      </w:r>
    </w:p>
    <w:p>
      <w:pPr>
        <w:spacing w:after="0" w:before="0" w:line="240" w:lineRule="auto"/>
        <w:ind w:left="57"/>
        <w:jc w:val="left"/>
        <w:shd w:val="clear" w:fill="F2F2F2"/>
      </w:pPr>
      <w:r>
        <w:rPr>
          <w:rFonts w:ascii="Consolas" w:hAnsi="Consolas" w:cs="Consolas"/>
          <w:b w:val="0"/>
          <w:i w:val="0"/>
          <w:sz w:val="15"/>
        </w:rPr>
        <w:t xml:space="preserve">      "confidence_interval": { "lower": 0.10, "upper": 0.18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"model_version": "v2.1",</w:t>
      </w:r>
    </w:p>
    <w:p>
      <w:pPr>
        <w:spacing w:after="0" w:before="0" w:line="240" w:lineRule="auto"/>
        <w:ind w:left="57"/>
        <w:jc w:val="left"/>
        <w:shd w:val="clear" w:fill="F2F2F2"/>
      </w:pPr>
      <w:r>
        <w:rPr>
          <w:rFonts w:ascii="Consolas" w:hAnsi="Consolas" w:cs="Consolas"/>
          <w:b w:val="0"/>
          <w:i w:val="0"/>
          <w:sz w:val="15"/>
        </w:rPr>
        <w:t xml:space="preserve">  "groq_summary": "The delay was caused primarily by the port strike (54%), with the carrier's rerouting as a secondary factor (32%)."</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Dispute filing integration — output stored in `causal_attribution`: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"entity_id": "DSP-20260415-001",</w:t>
      </w:r>
    </w:p>
    <w:p>
      <w:pPr>
        <w:spacing w:after="0" w:before="0" w:line="240" w:lineRule="auto"/>
        <w:ind w:left="57"/>
        <w:jc w:val="left"/>
        <w:shd w:val="clear" w:fill="F2F2F2"/>
      </w:pPr>
      <w:r>
        <w:rPr>
          <w:rFonts w:ascii="Consolas" w:hAnsi="Consolas" w:cs="Consolas"/>
          <w:b w:val="0"/>
          <w:i w:val="0"/>
          <w:sz w:val="15"/>
        </w:rPr>
        <w:t xml:space="preserve">  "entity_type": "DISPUTE",</w:t>
      </w:r>
    </w:p>
    <w:p>
      <w:pPr>
        <w:spacing w:after="0" w:before="0" w:line="240" w:lineRule="auto"/>
        <w:ind w:left="57"/>
        <w:jc w:val="left"/>
        <w:shd w:val="clear" w:fill="F2F2F2"/>
      </w:pPr>
      <w:r>
        <w:rPr>
          <w:rFonts w:ascii="Consolas" w:hAnsi="Consolas" w:cs="Consolas"/>
          <w:b w:val="0"/>
          <w:i w:val="0"/>
          <w:sz w:val="15"/>
        </w:rPr>
        <w:t xml:space="preserve">  "root_causes":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"temperature_excursion",</w:t>
      </w:r>
    </w:p>
    <w:p>
      <w:pPr>
        <w:spacing w:after="0" w:before="0" w:line="240" w:lineRule="auto"/>
        <w:ind w:left="57"/>
        <w:jc w:val="left"/>
        <w:shd w:val="clear" w:fill="F2F2F2"/>
      </w:pPr>
      <w:r>
        <w:rPr>
          <w:rFonts w:ascii="Consolas" w:hAnsi="Consolas" w:cs="Consolas"/>
          <w:b w:val="0"/>
          <w:i w:val="0"/>
          <w:sz w:val="15"/>
        </w:rPr>
        <w:t xml:space="preserve">      "contribution": 0.68,</w:t>
      </w:r>
    </w:p>
    <w:p>
      <w:pPr>
        <w:spacing w:after="0" w:before="0" w:line="240" w:lineRule="auto"/>
        <w:ind w:left="57"/>
        <w:jc w:val="left"/>
        <w:shd w:val="clear" w:fill="F2F2F2"/>
      </w:pPr>
      <w:r>
        <w:rPr>
          <w:rFonts w:ascii="Consolas" w:hAnsi="Consolas" w:cs="Consolas"/>
          <w:b w:val="0"/>
          <w:i w:val="0"/>
          <w:sz w:val="15"/>
        </w:rPr>
        <w:t xml:space="preserve">      "description": "Reefer set point drifted to -8°C for 6 hours due to compressor failure.",</w:t>
      </w:r>
    </w:p>
    <w:p>
      <w:pPr>
        <w:spacing w:after="0" w:before="0" w:line="240" w:lineRule="auto"/>
        <w:ind w:left="57"/>
        <w:jc w:val="left"/>
        <w:shd w:val="clear" w:fill="F2F2F2"/>
      </w:pPr>
      <w:r>
        <w:rPr>
          <w:rFonts w:ascii="Consolas" w:hAnsi="Consolas" w:cs="Consolas"/>
          <w:b w:val="0"/>
          <w:i w:val="0"/>
          <w:sz w:val="15"/>
        </w:rPr>
        <w:t xml:space="preserve">      "confidence_interval": { "lower": 0.60, "upper": 0.75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"factor": "pre_cooling_omission",</w:t>
      </w:r>
    </w:p>
    <w:p>
      <w:pPr>
        <w:spacing w:after="0" w:before="0" w:line="240" w:lineRule="auto"/>
        <w:ind w:left="57"/>
        <w:jc w:val="left"/>
        <w:shd w:val="clear" w:fill="F2F2F2"/>
      </w:pPr>
      <w:r>
        <w:rPr>
          <w:rFonts w:ascii="Consolas" w:hAnsi="Consolas" w:cs="Consolas"/>
          <w:b w:val="0"/>
          <w:i w:val="0"/>
          <w:sz w:val="15"/>
        </w:rPr>
        <w:t xml:space="preserve">      "contribution": 0.12,</w:t>
      </w:r>
    </w:p>
    <w:p>
      <w:pPr>
        <w:spacing w:after="0" w:before="0" w:line="240" w:lineRule="auto"/>
        <w:ind w:left="57"/>
        <w:jc w:val="left"/>
        <w:shd w:val="clear" w:fill="F2F2F2"/>
      </w:pPr>
      <w:r>
        <w:rPr>
          <w:rFonts w:ascii="Consolas" w:hAnsi="Consolas" w:cs="Consolas"/>
          <w:b w:val="0"/>
          <w:i w:val="0"/>
          <w:sz w:val="15"/>
        </w:rPr>
        <w:t xml:space="preserve">      "description": "Pre-cooling omitted before loading, contributing 12%.",</w:t>
      </w:r>
    </w:p>
    <w:p>
      <w:pPr>
        <w:spacing w:after="0" w:before="0" w:line="240" w:lineRule="auto"/>
        <w:ind w:left="57"/>
        <w:jc w:val="left"/>
        <w:shd w:val="clear" w:fill="F2F2F2"/>
      </w:pPr>
      <w:r>
        <w:rPr>
          <w:rFonts w:ascii="Consolas" w:hAnsi="Consolas" w:cs="Consolas"/>
          <w:b w:val="0"/>
          <w:i w:val="0"/>
          <w:sz w:val="15"/>
        </w:rPr>
        <w:t xml:space="preserve">      "confidence_interval": { "lower": 0.08, "upper": 0.16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"groq_summary": "The cold chain failure was caused primarily by compressor failure (68%), with pre-cooling omission (12%) as a contributing factor."</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22.2.3.3 Data Model Additions</w:t>
      </w:r>
    </w:p>
    <w:p>
      <w:pPr>
        <w:spacing w:after="0" w:before="0" w:line="240" w:lineRule="auto"/>
        <w:ind w:left="57"/>
        <w:jc w:val="left"/>
        <w:shd w:val="clear" w:fill="F2F2F2"/>
      </w:pPr>
      <w:r>
        <w:rPr>
          <w:rFonts w:ascii="Consolas" w:hAnsi="Consolas" w:cs="Consolas"/>
          <w:b w:val="0"/>
          <w:i w:val="0"/>
          <w:sz w:val="15"/>
        </w:rPr>
        <w:t>-- Causal attribution results</w:t>
      </w:r>
    </w:p>
    <w:p>
      <w:pPr>
        <w:spacing w:after="0" w:before="0" w:line="240" w:lineRule="auto"/>
        <w:ind w:left="57"/>
        <w:jc w:val="left"/>
        <w:shd w:val="clear" w:fill="F2F2F2"/>
      </w:pPr>
      <w:r>
        <w:rPr>
          <w:rFonts w:ascii="Consolas" w:hAnsi="Consolas" w:cs="Consolas"/>
          <w:b w:val="0"/>
          <w:i w:val="0"/>
          <w:sz w:val="15"/>
        </w:rPr>
        <w:t>-- causal_attribution: canonical definition in Section 17.16; not redefined here.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22.2.3.4 Activation</w:t>
      </w:r>
    </w:p>
    <w:p>
      <w:pPr>
        <w:spacing w:after="80" w:line="293" w:lineRule="auto"/>
        <w:jc w:val="left"/>
      </w:pPr>
      <w:r>
        <w:rPr>
          <w:rFonts w:ascii="Times New Roman" w:hAnsi="Times New Roman" w:cs="Times New Roman"/>
          <w:b w:val="0"/>
          <w:i w:val="0"/>
          <w:sz w:val="22"/>
        </w:rPr>
        <w:t>Activation: Admin Portal → Add-Ons → "Causal Inference Engine" → Enable. Optionally set auto-trigger thresholds (for example "run on any delay &gt; 24h"). The engine processes pending disputes within 5 minutes of filing.</w:t>
      </w:r>
    </w:p>
    <w:p>
      <w:pPr>
        <w:spacing w:after="80" w:line="293" w:lineRule="auto"/>
        <w:jc w:val="left"/>
      </w:pPr>
      <w:r>
        <w:rPr>
          <w:rFonts w:ascii="Times New Roman" w:hAnsi="Times New Roman" w:cs="Times New Roman"/>
          <w:b w:val="0"/>
          <w:i w:val="0"/>
          <w:sz w:val="22"/>
        </w:rPr>
        <w:t>One-click: Admin clicks "Enable" and automatic processing begins.</w:t>
      </w:r>
    </w:p>
    <w:p>
      <w:pPr>
        <w:keepNext/>
        <w:spacing w:before="140" w:after="60"/>
        <w:outlineLvl w:val="3"/>
      </w:pPr>
      <w:r>
        <w:rPr>
          <w:rFonts w:ascii="Arial" w:hAnsi="Arial" w:cs="Arial"/>
          <w:b/>
          <w:i/>
          <w:color w:val="333333"/>
          <w:sz w:val="22"/>
        </w:rPr>
        <w:t>22.2.3.5 AI Authority Summary</w:t>
      </w:r>
    </w:p>
    <w:p>
      <w:pPr>
        <w:spacing w:after="80" w:line="293" w:lineRule="auto"/>
        <w:jc w:val="left"/>
      </w:pPr>
      <w:r>
        <w:rPr>
          <w:rFonts w:ascii="Times New Roman" w:hAnsi="Times New Roman" w:cs="Times New Roman"/>
          <w:b w:val="0"/>
          <w:i w:val="0"/>
          <w:sz w:val="22"/>
        </w:rPr>
        <w:t>A2/A3 for causal inference; A1 for Groq summary. Non-marketplace safeguard: causal analysis never suggests "switch provider" or "blame the other party"; it reports factual contribution percentages only.</w:t>
      </w:r>
    </w:p>
    <w:p>
      <w:pPr>
        <w:keepNext/>
        <w:spacing w:before="140" w:after="60"/>
        <w:outlineLvl w:val="3"/>
      </w:pPr>
      <w:r>
        <w:rPr>
          <w:rFonts w:ascii="Arial" w:hAnsi="Arial" w:cs="Arial"/>
          <w:b/>
          <w:i/>
          <w:color w:val="333333"/>
          <w:sz w:val="22"/>
        </w:rPr>
        <w:t>22.2.3.6 Implementation Checklist</w:t>
      </w:r>
    </w:p>
    <w:p>
      <w:pPr>
        <w:spacing w:after="80" w:line="293" w:lineRule="auto"/>
        <w:ind w:left="283"/>
        <w:jc w:val="left"/>
      </w:pPr>
      <w:r>
        <w:rPr>
          <w:rFonts w:ascii="Times New Roman" w:hAnsi="Times New Roman" w:cs="Times New Roman"/>
          <w:b w:val="0"/>
          <w:i w:val="0"/>
          <w:sz w:val="22"/>
        </w:rPr>
        <w:t>- Deploy causal-engine (Python, DoWhy + EconML).</w:t>
      </w:r>
    </w:p>
    <w:p>
      <w:pPr>
        <w:spacing w:after="80" w:line="293" w:lineRule="auto"/>
        <w:ind w:left="283"/>
        <w:jc w:val="left"/>
      </w:pPr>
      <w:r>
        <w:rPr>
          <w:rFonts w:ascii="Times New Roman" w:hAnsi="Times New Roman" w:cs="Times New Roman"/>
          <w:b w:val="0"/>
          <w:i w:val="0"/>
          <w:sz w:val="22"/>
        </w:rPr>
        <w:t>- Define the causal graph (DAG) for trade disputes.</w:t>
      </w:r>
    </w:p>
    <w:p>
      <w:pPr>
        <w:spacing w:after="80" w:line="293" w:lineRule="auto"/>
        <w:ind w:left="283"/>
        <w:jc w:val="left"/>
      </w:pPr>
      <w:r>
        <w:rPr>
          <w:rFonts w:ascii="Times New Roman" w:hAnsi="Times New Roman" w:cs="Times New Roman"/>
          <w:b w:val="0"/>
          <w:i w:val="0"/>
          <w:sz w:val="22"/>
        </w:rPr>
        <w:t>- Integrate with dispute filing and milestone breach triggers.</w:t>
      </w:r>
    </w:p>
    <w:p>
      <w:pPr>
        <w:spacing w:after="80" w:line="293" w:lineRule="auto"/>
        <w:ind w:left="283"/>
        <w:jc w:val="left"/>
      </w:pPr>
      <w:r>
        <w:rPr>
          <w:rFonts w:ascii="Times New Roman" w:hAnsi="Times New Roman" w:cs="Times New Roman"/>
          <w:b w:val="0"/>
          <w:i w:val="0"/>
          <w:sz w:val="22"/>
        </w:rPr>
        <w:t>- Store results in the `causal_attribution` table.</w:t>
      </w:r>
    </w:p>
    <w:p>
      <w:pPr>
        <w:spacing w:after="80" w:line="293" w:lineRule="auto"/>
        <w:ind w:left="283"/>
        <w:jc w:val="left"/>
      </w:pPr>
      <w:r>
        <w:rPr>
          <w:rFonts w:ascii="Times New Roman" w:hAnsi="Times New Roman" w:cs="Times New Roman"/>
          <w:b w:val="0"/>
          <w:i w:val="0"/>
          <w:sz w:val="22"/>
        </w:rPr>
        <w:t>- Add Groq summary generation.</w:t>
      </w:r>
    </w:p>
    <w:p>
      <w:pPr>
        <w:spacing w:after="80" w:line="293" w:lineRule="auto"/>
        <w:ind w:left="283"/>
        <w:jc w:val="left"/>
      </w:pPr>
      <w:r>
        <w:rPr>
          <w:rFonts w:ascii="Times New Roman" w:hAnsi="Times New Roman" w:cs="Times New Roman"/>
          <w:b w:val="0"/>
          <w:i w:val="0"/>
          <w:sz w:val="22"/>
        </w:rPr>
        <w:t>- Test with historical dispute data.</w:t>
      </w:r>
    </w:p>
    <w:p>
      <w:pPr>
        <w:keepNext/>
        <w:spacing w:before="180" w:after="80"/>
        <w:outlineLvl w:val="2"/>
      </w:pPr>
      <w:r>
        <w:rPr>
          <w:rFonts w:ascii="Arial" w:hAnsi="Arial" w:cs="Arial"/>
          <w:b/>
          <w:i w:val="0"/>
          <w:color w:val="333333"/>
          <w:sz w:val="23"/>
        </w:rPr>
        <w:t>22.2.4 Add-On 4 — Self-Healing Infrastructure &amp; Chaos Engineering</w:t>
      </w:r>
    </w:p>
    <w:p>
      <w:pPr>
        <w:keepNext/>
        <w:spacing w:before="140" w:after="60"/>
        <w:outlineLvl w:val="3"/>
      </w:pPr>
      <w:r>
        <w:rPr>
          <w:rFonts w:ascii="Arial" w:hAnsi="Arial" w:cs="Arial"/>
          <w:b/>
          <w:i/>
          <w:color w:val="333333"/>
          <w:sz w:val="22"/>
        </w:rPr>
        <w:t>22.2.4.1 Purpose &amp; Design Philosophy</w:t>
      </w:r>
    </w:p>
    <w:p>
      <w:pPr>
        <w:spacing w:after="80" w:line="293" w:lineRule="auto"/>
        <w:jc w:val="left"/>
      </w:pPr>
      <w:r>
        <w:rPr>
          <w:rFonts w:ascii="Times New Roman" w:hAnsi="Times New Roman" w:cs="Times New Roman"/>
          <w:b w:val="0"/>
          <w:i w:val="0"/>
          <w:sz w:val="22"/>
        </w:rPr>
        <w:t>Ensure platform resilience by automatically healing failed pods, predicting hardware failures, and regularly proving system robustness through chaos experiments. The platform can survive node failures, network partitions, and disk outages without manual intervention — all while maintaining non-custodial properties.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Zero-cost — K3s, Cilium, and Chaos Mesh are open-source.</w:t>
      </w:r>
    </w:p>
    <w:p>
      <w:pPr>
        <w:spacing w:after="80" w:line="293" w:lineRule="auto"/>
        <w:ind w:left="283"/>
        <w:jc w:val="left"/>
      </w:pPr>
      <w:r>
        <w:rPr>
          <w:rFonts w:ascii="Times New Roman" w:hAnsi="Times New Roman" w:cs="Times New Roman"/>
          <w:b w:val="0"/>
          <w:i w:val="0"/>
          <w:sz w:val="22"/>
        </w:rPr>
        <w:t>- Predictive — LSTM model trained on the Backblaze drive failure dataset.</w:t>
      </w:r>
    </w:p>
    <w:p>
      <w:pPr>
        <w:spacing w:after="80" w:line="293" w:lineRule="auto"/>
        <w:ind w:left="283"/>
        <w:jc w:val="left"/>
      </w:pPr>
      <w:r>
        <w:rPr>
          <w:rFonts w:ascii="Times New Roman" w:hAnsi="Times New Roman" w:cs="Times New Roman"/>
          <w:b w:val="0"/>
          <w:i w:val="0"/>
          <w:sz w:val="22"/>
        </w:rPr>
        <w:t>- Automated — pod rescheduling, node cordoning, workload draining.</w:t>
      </w:r>
    </w:p>
    <w:p>
      <w:pPr>
        <w:spacing w:after="80" w:line="293" w:lineRule="auto"/>
        <w:ind w:left="283"/>
        <w:jc w:val="left"/>
      </w:pPr>
      <w:r>
        <w:rPr>
          <w:rFonts w:ascii="Times New Roman" w:hAnsi="Times New Roman" w:cs="Times New Roman"/>
          <w:b w:val="0"/>
          <w:i w:val="0"/>
          <w:sz w:val="22"/>
        </w:rPr>
        <w:t>- Safe — chaos experiments run in staging by default; production requires multisig.</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A2: LSTM for hardware failure prediction.</w:t>
      </w:r>
    </w:p>
    <w:p>
      <w:pPr>
        <w:spacing w:after="80" w:line="293" w:lineRule="auto"/>
        <w:ind w:left="283"/>
        <w:jc w:val="left"/>
      </w:pPr>
      <w:r>
        <w:rPr>
          <w:rFonts w:ascii="Times New Roman" w:hAnsi="Times New Roman" w:cs="Times New Roman"/>
          <w:b w:val="0"/>
          <w:i w:val="0"/>
          <w:sz w:val="22"/>
        </w:rPr>
        <w:t>- A1: post-mortem generation (Groq).</w:t>
      </w:r>
    </w:p>
    <w:p>
      <w:pPr>
        <w:spacing w:after="80" w:line="293" w:lineRule="auto"/>
        <w:ind w:left="283"/>
        <w:jc w:val="left"/>
      </w:pPr>
      <w:r>
        <w:rPr>
          <w:rFonts w:ascii="Times New Roman" w:hAnsi="Times New Roman" w:cs="Times New Roman"/>
          <w:b w:val="0"/>
          <w:i w:val="0"/>
          <w:sz w:val="22"/>
        </w:rPr>
        <w:t>- A4: orchestration.</w:t>
      </w:r>
    </w:p>
    <w:p>
      <w:pPr>
        <w:keepNext/>
        <w:spacing w:before="140" w:after="60"/>
        <w:outlineLvl w:val="3"/>
      </w:pPr>
      <w:r>
        <w:rPr>
          <w:rFonts w:ascii="Arial" w:hAnsi="Arial" w:cs="Arial"/>
          <w:b/>
          <w:i/>
          <w:color w:val="333333"/>
          <w:sz w:val="22"/>
        </w:rPr>
        <w:t>22.2.4.2 Architecture &amp; Integration</w:t>
      </w:r>
    </w:p>
    <w:p>
      <w:pPr>
        <w:spacing w:after="80" w:line="293" w:lineRule="auto"/>
        <w:jc w:val="left"/>
      </w:pPr>
      <w:r>
        <w:rPr>
          <w:rFonts w:ascii="Times New Roman" w:hAnsi="Times New Roman" w:cs="Times New Roman"/>
          <w:b w:val="0"/>
          <w:i w:val="0"/>
          <w:sz w:val="22"/>
        </w:rPr>
        <w:t>Chaos experiment types cover pod failure (auto-restart verification), network partition, disk outage, and node failure — the failure classes the platform must survive. Chaos experiments are executed by a chaos-orchestrator (Rust) on the K3s cluster using Chaos Mesh; predictive hardware failure detection runs in the node-health-agent (Rust) with an LSTM model.</w:t>
      </w:r>
    </w:p>
    <w:p>
      <w:pPr>
        <w:spacing w:after="80" w:line="293" w:lineRule="auto"/>
        <w:jc w:val="left"/>
      </w:pPr>
      <w:r>
        <w:rPr>
          <w:rFonts w:ascii="Times New Roman" w:hAnsi="Times New Roman" w:cs="Times New Roman"/>
          <w:b w:val="0"/>
          <w:i w:val="0"/>
          <w:sz w:val="22"/>
        </w:rPr>
        <w:t>Self-healing pipeline:</w:t>
      </w:r>
    </w:p>
    <w:p>
      <w:pPr>
        <w:spacing w:after="0" w:before="0" w:line="240" w:lineRule="auto"/>
        <w:ind w:left="57"/>
        <w:jc w:val="left"/>
        <w:shd w:val="clear" w:fill="F2F2F2"/>
      </w:pPr>
      <w:r>
        <w:rPr>
          <w:rFonts w:ascii="Consolas" w:hAnsi="Consolas" w:cs="Consolas"/>
          <w:b w:val="0"/>
          <w:i w:val="0"/>
          <w:sz w:val="15"/>
        </w:rPr>
        <w:t>// Node health monitoring</w:t>
      </w:r>
    </w:p>
    <w:p>
      <w:pPr>
        <w:spacing w:after="0" w:before="0" w:line="240" w:lineRule="auto"/>
        <w:ind w:left="57"/>
        <w:jc w:val="left"/>
        <w:shd w:val="clear" w:fill="F2F2F2"/>
      </w:pPr>
      <w:r>
        <w:rPr>
          <w:rFonts w:ascii="Consolas" w:hAnsi="Consolas" w:cs="Consolas"/>
          <w:b w:val="0"/>
          <w:i w:val="0"/>
          <w:sz w:val="15"/>
        </w:rPr>
        <w:t>let node_health = node_health_agent.monitor(</w:t>
      </w:r>
    </w:p>
    <w:p>
      <w:pPr>
        <w:spacing w:after="0" w:before="0" w:line="240" w:lineRule="auto"/>
        <w:ind w:left="57"/>
        <w:jc w:val="left"/>
        <w:shd w:val="clear" w:fill="F2F2F2"/>
      </w:pPr>
      <w:r>
        <w:rPr>
          <w:rFonts w:ascii="Consolas" w:hAnsi="Consolas" w:cs="Consolas"/>
          <w:b w:val="0"/>
          <w:i w:val="0"/>
          <w:sz w:val="15"/>
        </w:rPr>
        <w:t xml:space="preserve">    node_id: "cairo-prod-01",</w:t>
      </w:r>
    </w:p>
    <w:p>
      <w:pPr>
        <w:spacing w:after="0" w:before="0" w:line="240" w:lineRule="auto"/>
        <w:ind w:left="57"/>
        <w:jc w:val="left"/>
        <w:shd w:val="clear" w:fill="F2F2F2"/>
      </w:pPr>
      <w:r>
        <w:rPr>
          <w:rFonts w:ascii="Consolas" w:hAnsi="Consolas" w:cs="Consolas"/>
          <w:b w:val="0"/>
          <w:i w:val="0"/>
          <w:sz w:val="15"/>
        </w:rPr>
        <w:t xml:space="preserve">    disk_smart_data: read_smart_data(),</w:t>
      </w:r>
    </w:p>
    <w:p>
      <w:pPr>
        <w:spacing w:after="0" w:before="0" w:line="240" w:lineRule="auto"/>
        <w:ind w:left="57"/>
        <w:jc w:val="left"/>
        <w:shd w:val="clear" w:fill="F2F2F2"/>
      </w:pPr>
      <w:r>
        <w:rPr>
          <w:rFonts w:ascii="Consolas" w:hAnsi="Consolas" w:cs="Consolas"/>
          <w:b w:val="0"/>
          <w:i w:val="0"/>
          <w:sz w:val="15"/>
        </w:rPr>
        <w:t xml:space="preserve">    cpu_temp: read_cpu_temp(),</w:t>
      </w:r>
    </w:p>
    <w:p>
      <w:pPr>
        <w:spacing w:after="0" w:before="0" w:line="240" w:lineRule="auto"/>
        <w:ind w:left="57"/>
        <w:jc w:val="left"/>
        <w:shd w:val="clear" w:fill="F2F2F2"/>
      </w:pPr>
      <w:r>
        <w:rPr>
          <w:rFonts w:ascii="Consolas" w:hAnsi="Consolas" w:cs="Consolas"/>
          <w:b w:val="0"/>
          <w:i w:val="0"/>
          <w:sz w:val="15"/>
        </w:rPr>
        <w:t xml:space="preserve">    memory_errors: read_memory_errors(),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if node_health.predicted_failure_probability &gt; 0.70 {</w:t>
      </w:r>
    </w:p>
    <w:p>
      <w:pPr>
        <w:spacing w:after="0" w:before="0" w:line="240" w:lineRule="auto"/>
        <w:ind w:left="57"/>
        <w:jc w:val="left"/>
        <w:shd w:val="clear" w:fill="F2F2F2"/>
      </w:pPr>
      <w:r>
        <w:rPr>
          <w:rFonts w:ascii="Consolas" w:hAnsi="Consolas" w:cs="Consolas"/>
          <w:b w:val="0"/>
          <w:i w:val="0"/>
          <w:sz w:val="15"/>
        </w:rPr>
        <w:t xml:space="preserve">    node_health_agent.cordon_node(node_id);</w:t>
      </w:r>
    </w:p>
    <w:p>
      <w:pPr>
        <w:spacing w:after="0" w:before="0" w:line="240" w:lineRule="auto"/>
        <w:ind w:left="57"/>
        <w:jc w:val="left"/>
        <w:shd w:val="clear" w:fill="F2F2F2"/>
      </w:pPr>
      <w:r>
        <w:rPr>
          <w:rFonts w:ascii="Consolas" w:hAnsi="Consolas" w:cs="Consolas"/>
          <w:b w:val="0"/>
          <w:i w:val="0"/>
          <w:sz w:val="15"/>
        </w:rPr>
        <w:t xml:space="preserve">    node_health_agent.drain_workloads(node_id);</w:t>
      </w:r>
    </w:p>
    <w:p>
      <w:pPr>
        <w:spacing w:after="0" w:before="0" w:line="240" w:lineRule="auto"/>
        <w:ind w:left="57"/>
        <w:jc w:val="left"/>
        <w:shd w:val="clear" w:fill="F2F2F2"/>
      </w:pPr>
      <w:r>
        <w:rPr>
          <w:rFonts w:ascii="Consolas" w:hAnsi="Consolas" w:cs="Consolas"/>
          <w:b w:val="0"/>
          <w:i w:val="0"/>
          <w:sz w:val="15"/>
        </w:rPr>
        <w:t xml:space="preserve">    // Creates a Smart Inbox alert for Admin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When the LSTM predicts a component failure probability above 0.70, the node is cordoned, workloads are drained, and an Admin alert lands in the Smart Inbox.</w:t>
      </w:r>
    </w:p>
    <w:p>
      <w:pPr>
        <w:keepNext/>
        <w:spacing w:before="140" w:after="60"/>
        <w:outlineLvl w:val="3"/>
      </w:pPr>
      <w:r>
        <w:rPr>
          <w:rFonts w:ascii="Arial" w:hAnsi="Arial" w:cs="Arial"/>
          <w:b/>
          <w:i/>
          <w:color w:val="333333"/>
          <w:sz w:val="22"/>
        </w:rPr>
        <w:t>22.2.4.3 Data Model Additions</w:t>
      </w:r>
    </w:p>
    <w:p>
      <w:pPr>
        <w:spacing w:after="0" w:before="0" w:line="240" w:lineRule="auto"/>
        <w:ind w:left="57"/>
        <w:jc w:val="left"/>
        <w:shd w:val="clear" w:fill="F2F2F2"/>
      </w:pPr>
      <w:r>
        <w:rPr>
          <w:rFonts w:ascii="Consolas" w:hAnsi="Consolas" w:cs="Consolas"/>
          <w:b w:val="0"/>
          <w:i w:val="0"/>
          <w:sz w:val="15"/>
        </w:rPr>
        <w:t>-- Infrastructure predictions</w:t>
      </w:r>
    </w:p>
    <w:p>
      <w:pPr>
        <w:spacing w:after="0" w:before="0" w:line="240" w:lineRule="auto"/>
        <w:ind w:left="57"/>
        <w:jc w:val="left"/>
        <w:shd w:val="clear" w:fill="F2F2F2"/>
      </w:pPr>
      <w:r>
        <w:rPr>
          <w:rFonts w:ascii="Consolas" w:hAnsi="Consolas" w:cs="Consolas"/>
          <w:b w:val="0"/>
          <w:i w:val="0"/>
          <w:sz w:val="15"/>
        </w:rPr>
        <w:t>-- infrastructure_predictions: canonical definition in Section 17.28;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Chaos experiments</w:t>
      </w:r>
    </w:p>
    <w:p>
      <w:pPr>
        <w:spacing w:after="0" w:before="0" w:line="240" w:lineRule="auto"/>
        <w:ind w:left="57"/>
        <w:jc w:val="left"/>
        <w:shd w:val="clear" w:fill="F2F2F2"/>
      </w:pPr>
      <w:r>
        <w:rPr>
          <w:rFonts w:ascii="Consolas" w:hAnsi="Consolas" w:cs="Consolas"/>
          <w:b w:val="0"/>
          <w:i w:val="0"/>
          <w:sz w:val="15"/>
        </w:rPr>
        <w:t>-- chaos_experiments: canonical definition in Section 17.28; not redefined here.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22.2.4.4 Activation</w:t>
      </w:r>
    </w:p>
    <w:p>
      <w:pPr>
        <w:spacing w:after="80" w:line="293" w:lineRule="auto"/>
        <w:jc w:val="left"/>
      </w:pPr>
      <w:r>
        <w:rPr>
          <w:rFonts w:ascii="Times New Roman" w:hAnsi="Times New Roman" w:cs="Times New Roman"/>
          <w:b w:val="0"/>
          <w:i w:val="0"/>
          <w:sz w:val="22"/>
        </w:rPr>
        <w:t>Activation: Admin Portal → Add-Ons → "Self-Healing &amp; Chaos" → Enable. Set the chaos schedule (default: Sunday 03:00 UTC, staging only). To enable production chaos, a separate multisig approval is required. The self-healing agent is always on once enabled.</w:t>
      </w:r>
    </w:p>
    <w:p>
      <w:pPr>
        <w:spacing w:after="80" w:line="293" w:lineRule="auto"/>
        <w:jc w:val="left"/>
      </w:pPr>
      <w:r>
        <w:rPr>
          <w:rFonts w:ascii="Times New Roman" w:hAnsi="Times New Roman" w:cs="Times New Roman"/>
          <w:b w:val="0"/>
          <w:i w:val="0"/>
          <w:sz w:val="22"/>
        </w:rPr>
        <w:t>One-click: Admin clicks "Enable" and the system activates. Admin clicks "Run Chaos Test" and an experiment begins.</w:t>
      </w:r>
    </w:p>
    <w:p>
      <w:pPr>
        <w:keepNext/>
        <w:spacing w:before="140" w:after="60"/>
        <w:outlineLvl w:val="3"/>
      </w:pPr>
      <w:r>
        <w:rPr>
          <w:rFonts w:ascii="Arial" w:hAnsi="Arial" w:cs="Arial"/>
          <w:b/>
          <w:i/>
          <w:color w:val="333333"/>
          <w:sz w:val="22"/>
        </w:rPr>
        <w:t>22.2.4.5 AI Authority Summary</w:t>
      </w:r>
    </w:p>
    <w:p>
      <w:pPr>
        <w:spacing w:after="80" w:line="293" w:lineRule="auto"/>
        <w:jc w:val="left"/>
      </w:pPr>
      <w:r>
        <w:rPr>
          <w:rFonts w:ascii="Times New Roman" w:hAnsi="Times New Roman" w:cs="Times New Roman"/>
          <w:b w:val="0"/>
          <w:i w:val="0"/>
          <w:sz w:val="22"/>
        </w:rPr>
        <w:t>A2 for LSTM prediction; A1 for post-mortem generation; A4 for orchestration. Non-marketplace safeguard: self-healing is purely operational — it never affects trade data or recommendations.</w:t>
      </w:r>
    </w:p>
    <w:p>
      <w:pPr>
        <w:keepNext/>
        <w:spacing w:before="140" w:after="60"/>
        <w:outlineLvl w:val="3"/>
      </w:pPr>
      <w:r>
        <w:rPr>
          <w:rFonts w:ascii="Arial" w:hAnsi="Arial" w:cs="Arial"/>
          <w:b/>
          <w:i/>
          <w:color w:val="333333"/>
          <w:sz w:val="22"/>
        </w:rPr>
        <w:t>22.2.4.6 Implementation Checklist</w:t>
      </w:r>
    </w:p>
    <w:p>
      <w:pPr>
        <w:spacing w:after="80" w:line="293" w:lineRule="auto"/>
        <w:ind w:left="283"/>
        <w:jc w:val="left"/>
      </w:pPr>
      <w:r>
        <w:rPr>
          <w:rFonts w:ascii="Times New Roman" w:hAnsi="Times New Roman" w:cs="Times New Roman"/>
          <w:b w:val="0"/>
          <w:i w:val="0"/>
          <w:sz w:val="22"/>
        </w:rPr>
        <w:t>- Install Chaos Mesh on the K3s cluster.</w:t>
      </w:r>
    </w:p>
    <w:p>
      <w:pPr>
        <w:spacing w:after="80" w:line="293" w:lineRule="auto"/>
        <w:ind w:left="283"/>
        <w:jc w:val="left"/>
      </w:pPr>
      <w:r>
        <w:rPr>
          <w:rFonts w:ascii="Times New Roman" w:hAnsi="Times New Roman" w:cs="Times New Roman"/>
          <w:b w:val="0"/>
          <w:i w:val="0"/>
          <w:sz w:val="22"/>
        </w:rPr>
        <w:t>- Deploy chaos-orchestrator (Rust).</w:t>
      </w:r>
    </w:p>
    <w:p>
      <w:pPr>
        <w:spacing w:after="80" w:line="293" w:lineRule="auto"/>
        <w:ind w:left="283"/>
        <w:jc w:val="left"/>
      </w:pPr>
      <w:r>
        <w:rPr>
          <w:rFonts w:ascii="Times New Roman" w:hAnsi="Times New Roman" w:cs="Times New Roman"/>
          <w:b w:val="0"/>
          <w:i w:val="0"/>
          <w:sz w:val="22"/>
        </w:rPr>
        <w:t>- Deploy node-health-agent (Rust) with LSTM prediction.</w:t>
      </w:r>
    </w:p>
    <w:p>
      <w:pPr>
        <w:spacing w:after="80" w:line="293" w:lineRule="auto"/>
        <w:ind w:left="283"/>
        <w:jc w:val="left"/>
      </w:pPr>
      <w:r>
        <w:rPr>
          <w:rFonts w:ascii="Times New Roman" w:hAnsi="Times New Roman" w:cs="Times New Roman"/>
          <w:b w:val="0"/>
          <w:i w:val="0"/>
          <w:sz w:val="22"/>
        </w:rPr>
        <w:t>- Configure weekly chaos experiments (staging).</w:t>
      </w:r>
    </w:p>
    <w:p>
      <w:pPr>
        <w:spacing w:after="80" w:line="293" w:lineRule="auto"/>
        <w:ind w:left="283"/>
        <w:jc w:val="left"/>
      </w:pPr>
      <w:r>
        <w:rPr>
          <w:rFonts w:ascii="Times New Roman" w:hAnsi="Times New Roman" w:cs="Times New Roman"/>
          <w:b w:val="0"/>
          <w:i w:val="0"/>
          <w:sz w:val="22"/>
        </w:rPr>
        <w:t>- Build the Admin Portal "Infrastructure Health" dashboard.</w:t>
      </w:r>
    </w:p>
    <w:p>
      <w:pPr>
        <w:spacing w:after="80" w:line="293" w:lineRule="auto"/>
        <w:ind w:left="283"/>
        <w:jc w:val="left"/>
      </w:pPr>
      <w:r>
        <w:rPr>
          <w:rFonts w:ascii="Times New Roman" w:hAnsi="Times New Roman" w:cs="Times New Roman"/>
          <w:b w:val="0"/>
          <w:i w:val="0"/>
          <w:sz w:val="22"/>
        </w:rPr>
        <w:t>- Add the production chaos toggle (multisig-gated).</w:t>
      </w:r>
    </w:p>
    <w:p>
      <w:pPr>
        <w:keepNext/>
        <w:spacing w:before="180" w:after="80"/>
        <w:outlineLvl w:val="2"/>
      </w:pPr>
      <w:r>
        <w:rPr>
          <w:rFonts w:ascii="Arial" w:hAnsi="Arial" w:cs="Arial"/>
          <w:b/>
          <w:i w:val="0"/>
          <w:color w:val="333333"/>
          <w:sz w:val="23"/>
        </w:rPr>
        <w:t>22.2.5 Add-On 5 — Automated Penetration Testing</w:t>
      </w:r>
    </w:p>
    <w:p>
      <w:pPr>
        <w:keepNext/>
        <w:spacing w:before="140" w:after="60"/>
        <w:outlineLvl w:val="3"/>
      </w:pPr>
      <w:r>
        <w:rPr>
          <w:rFonts w:ascii="Arial" w:hAnsi="Arial" w:cs="Arial"/>
          <w:b/>
          <w:i/>
          <w:color w:val="333333"/>
          <w:sz w:val="22"/>
        </w:rPr>
        <w:t>22.2.5.1 Purpose &amp; Design Philosophy</w:t>
      </w:r>
    </w:p>
    <w:p>
      <w:pPr>
        <w:spacing w:after="80" w:line="293" w:lineRule="auto"/>
        <w:jc w:val="left"/>
      </w:pPr>
      <w:r>
        <w:rPr>
          <w:rFonts w:ascii="Times New Roman" w:hAnsi="Times New Roman" w:cs="Times New Roman"/>
          <w:b w:val="0"/>
          <w:i w:val="0"/>
          <w:sz w:val="22"/>
        </w:rPr>
        <w:t>Run weekly vulnerability scans against the SGTX staging environment (and optionally production with read-only scans). Findings are automatically categorised, prioritised, and, if critical, block the CI/CD pipeline. This ensures that no vulnerability reaches production. The scans never target tenant data; they focus on platform APIs and infrastructure.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Zero-cost — OWASP ZAP, nuclei, and Trivy are open-source.</w:t>
      </w:r>
    </w:p>
    <w:p>
      <w:pPr>
        <w:spacing w:after="80" w:line="293" w:lineRule="auto"/>
        <w:ind w:left="283"/>
        <w:jc w:val="left"/>
      </w:pPr>
      <w:r>
        <w:rPr>
          <w:rFonts w:ascii="Times New Roman" w:hAnsi="Times New Roman" w:cs="Times New Roman"/>
          <w:b w:val="0"/>
          <w:i w:val="0"/>
          <w:sz w:val="22"/>
        </w:rPr>
        <w:t>- CI/CD integration — critical findings block deployment.</w:t>
      </w:r>
    </w:p>
    <w:p>
      <w:pPr>
        <w:spacing w:after="80" w:line="293" w:lineRule="auto"/>
        <w:ind w:left="283"/>
        <w:jc w:val="left"/>
      </w:pPr>
      <w:r>
        <w:rPr>
          <w:rFonts w:ascii="Times New Roman" w:hAnsi="Times New Roman" w:cs="Times New Roman"/>
          <w:b w:val="0"/>
          <w:i w:val="0"/>
          <w:sz w:val="22"/>
        </w:rPr>
        <w:t>- Automated reporting — Groq-generated summaries.</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Groq-generated summaries.</w:t>
      </w:r>
    </w:p>
    <w:p>
      <w:pPr>
        <w:spacing w:after="80" w:line="293" w:lineRule="auto"/>
        <w:ind w:left="283"/>
        <w:jc w:val="left"/>
      </w:pPr>
      <w:r>
        <w:rPr>
          <w:rFonts w:ascii="Times New Roman" w:hAnsi="Times New Roman" w:cs="Times New Roman"/>
          <w:b w:val="0"/>
          <w:i w:val="0"/>
          <w:sz w:val="22"/>
        </w:rPr>
        <w:t>- A4: CI/CD integration.</w:t>
      </w:r>
    </w:p>
    <w:p>
      <w:pPr>
        <w:keepNext/>
        <w:spacing w:before="140" w:after="60"/>
        <w:outlineLvl w:val="3"/>
      </w:pPr>
      <w:r>
        <w:rPr>
          <w:rFonts w:ascii="Arial" w:hAnsi="Arial" w:cs="Arial"/>
          <w:b/>
          <w:i/>
          <w:color w:val="333333"/>
          <w:sz w:val="22"/>
        </w:rPr>
        <w:t>22.2.5.2 Architecture &amp; Integration</w:t>
      </w:r>
    </w:p>
    <w:p>
      <w:pPr>
        <w:spacing w:after="80" w:line="293" w:lineRule="auto"/>
        <w:jc w:val="left"/>
      </w:pPr>
      <w:r>
        <w:rPr>
          <w:rFonts w:ascii="Times New Roman" w:hAnsi="Times New Roman" w:cs="Times New Roman"/>
          <w:b w:val="0"/>
          <w:i w:val="0"/>
          <w:sz w:val="22"/>
        </w:rPr>
        <w:t>The pentest-service (Rust) orchestrates the scanning tools (Trivy, OWASP ZAP, nuclei, OpenVAS) on a weekly schedule and on manual trigger.</w:t>
      </w:r>
    </w:p>
    <w:p>
      <w:pPr>
        <w:spacing w:after="80" w:line="293" w:lineRule="auto"/>
        <w:jc w:val="left"/>
      </w:pPr>
      <w:r>
        <w:rPr>
          <w:rFonts w:ascii="Times New Roman" w:hAnsi="Times New Roman" w:cs="Times New Roman"/>
          <w:b w:val="0"/>
          <w:i w:val="0"/>
          <w:sz w:val="22"/>
        </w:rPr>
        <w:t>Scanning pipeline:</w:t>
      </w:r>
    </w:p>
    <w:p>
      <w:pPr>
        <w:spacing w:after="0" w:before="0" w:line="240" w:lineRule="auto"/>
        <w:ind w:left="57"/>
        <w:jc w:val="left"/>
        <w:shd w:val="clear" w:fill="F2F2F2"/>
      </w:pPr>
      <w:r>
        <w:rPr>
          <w:rFonts w:ascii="Consolas" w:hAnsi="Consolas" w:cs="Consolas"/>
          <w:b w:val="0"/>
          <w:i w:val="0"/>
          <w:sz w:val="15"/>
        </w:rPr>
        <w:t>// Weekly pentest orchestration</w:t>
      </w:r>
    </w:p>
    <w:p>
      <w:pPr>
        <w:spacing w:after="0" w:before="0" w:line="240" w:lineRule="auto"/>
        <w:ind w:left="57"/>
        <w:jc w:val="left"/>
        <w:shd w:val="clear" w:fill="F2F2F2"/>
      </w:pPr>
      <w:r>
        <w:rPr>
          <w:rFonts w:ascii="Consolas" w:hAnsi="Consolas" w:cs="Consolas"/>
          <w:b w:val="0"/>
          <w:i w:val="0"/>
          <w:sz w:val="15"/>
        </w:rPr>
        <w:t>let scan_results = pentest_service.run_scan(</w:t>
      </w:r>
    </w:p>
    <w:p>
      <w:pPr>
        <w:spacing w:after="0" w:before="0" w:line="240" w:lineRule="auto"/>
        <w:ind w:left="57"/>
        <w:jc w:val="left"/>
        <w:shd w:val="clear" w:fill="F2F2F2"/>
      </w:pPr>
      <w:r>
        <w:rPr>
          <w:rFonts w:ascii="Consolas" w:hAnsi="Consolas" w:cs="Consolas"/>
          <w:b w:val="0"/>
          <w:i w:val="0"/>
          <w:sz w:val="15"/>
        </w:rPr>
        <w:t xml:space="preserve">    target_url: "https://staging.sgtx.io",</w:t>
      </w:r>
    </w:p>
    <w:p>
      <w:pPr>
        <w:spacing w:after="0" w:before="0" w:line="240" w:lineRule="auto"/>
        <w:ind w:left="57"/>
        <w:jc w:val="left"/>
        <w:shd w:val="clear" w:fill="F2F2F2"/>
      </w:pPr>
      <w:r>
        <w:rPr>
          <w:rFonts w:ascii="Consolas" w:hAnsi="Consolas" w:cs="Consolas"/>
          <w:b w:val="0"/>
          <w:i w:val="0"/>
          <w:sz w:val="15"/>
        </w:rPr>
        <w:t xml:space="preserve">    tools: vec!["trivy", "zap", "nuclei", "openvas"],</w:t>
      </w:r>
    </w:p>
    <w:p>
      <w:pPr>
        <w:spacing w:after="0" w:before="0" w:line="240" w:lineRule="auto"/>
        <w:ind w:left="57"/>
        <w:jc w:val="left"/>
        <w:shd w:val="clear" w:fill="F2F2F2"/>
      </w:pPr>
      <w:r>
        <w:rPr>
          <w:rFonts w:ascii="Consolas" w:hAnsi="Consolas" w:cs="Consolas"/>
          <w:b w:val="0"/>
          <w:i w:val="0"/>
          <w:sz w:val="15"/>
        </w:rPr>
        <w:t xml:space="preserve">    schedule: "Friday 23:00 UTC",</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if scan_results.has_critical_findings() {</w:t>
      </w:r>
    </w:p>
    <w:p>
      <w:pPr>
        <w:spacing w:after="0" w:before="0" w:line="240" w:lineRule="auto"/>
        <w:ind w:left="57"/>
        <w:jc w:val="left"/>
        <w:shd w:val="clear" w:fill="F2F2F2"/>
      </w:pPr>
      <w:r>
        <w:rPr>
          <w:rFonts w:ascii="Consolas" w:hAnsi="Consolas" w:cs="Consolas"/>
          <w:b w:val="0"/>
          <w:i w:val="0"/>
          <w:sz w:val="15"/>
        </w:rPr>
        <w:t xml:space="preserve">    ci_pipeline.block_deployment();</w:t>
      </w:r>
    </w:p>
    <w:p>
      <w:pPr>
        <w:spacing w:after="0" w:before="0" w:line="240" w:lineRule="auto"/>
        <w:ind w:left="57"/>
        <w:jc w:val="left"/>
        <w:shd w:val="clear" w:fill="F2F2F2"/>
      </w:pPr>
      <w:r>
        <w:rPr>
          <w:rFonts w:ascii="Consolas" w:hAnsi="Consolas" w:cs="Consolas"/>
          <w:b w:val="0"/>
          <w:i w:val="0"/>
          <w:sz w:val="15"/>
        </w:rPr>
        <w:t xml:space="preserve">    notify_oncall("Critical vulnerability found — blocking deployment");</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22.2.5.3 Data Model Additions</w:t>
      </w:r>
    </w:p>
    <w:p>
      <w:pPr>
        <w:spacing w:after="0" w:before="0" w:line="240" w:lineRule="auto"/>
        <w:ind w:left="57"/>
        <w:jc w:val="left"/>
        <w:shd w:val="clear" w:fill="F2F2F2"/>
      </w:pPr>
      <w:r>
        <w:rPr>
          <w:rFonts w:ascii="Consolas" w:hAnsi="Consolas" w:cs="Consolas"/>
          <w:b w:val="0"/>
          <w:i w:val="0"/>
          <w:sz w:val="15"/>
        </w:rPr>
        <w:t>-- threat_findings: canonical definition in Section 17.28; not redefined here.</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22.2.5.4 Activation</w:t>
      </w:r>
    </w:p>
    <w:p>
      <w:pPr>
        <w:spacing w:after="80" w:line="293" w:lineRule="auto"/>
        <w:jc w:val="left"/>
      </w:pPr>
      <w:r>
        <w:rPr>
          <w:rFonts w:ascii="Times New Roman" w:hAnsi="Times New Roman" w:cs="Times New Roman"/>
          <w:b w:val="0"/>
          <w:i w:val="0"/>
          <w:sz w:val="22"/>
        </w:rPr>
        <w:t>Activation: Admin Portal → Add-Ons → "Automated Pentesting" → configure target URLs, schedule, and severity thresholds for blocking → Enable. The first scan runs within the next scheduled window.</w:t>
      </w:r>
    </w:p>
    <w:p>
      <w:pPr>
        <w:spacing w:after="80" w:line="293" w:lineRule="auto"/>
        <w:jc w:val="left"/>
      </w:pPr>
      <w:r>
        <w:rPr>
          <w:rFonts w:ascii="Times New Roman" w:hAnsi="Times New Roman" w:cs="Times New Roman"/>
          <w:b w:val="0"/>
          <w:i w:val="0"/>
          <w:sz w:val="22"/>
        </w:rPr>
        <w:t>One-click: Admin clicks "Enable" and automated scanning begins. Admin clicks "Trigger Pentest" and a manual scan starts immediately.</w:t>
      </w:r>
    </w:p>
    <w:p>
      <w:pPr>
        <w:keepNext/>
        <w:spacing w:before="140" w:after="60"/>
        <w:outlineLvl w:val="3"/>
      </w:pPr>
      <w:r>
        <w:rPr>
          <w:rFonts w:ascii="Arial" w:hAnsi="Arial" w:cs="Arial"/>
          <w:b/>
          <w:i/>
          <w:color w:val="333333"/>
          <w:sz w:val="22"/>
        </w:rPr>
        <w:t>22.2.5.5 AI Authority Summary</w:t>
      </w:r>
    </w:p>
    <w:p>
      <w:pPr>
        <w:spacing w:after="80" w:line="293" w:lineRule="auto"/>
        <w:jc w:val="left"/>
      </w:pPr>
      <w:r>
        <w:rPr>
          <w:rFonts w:ascii="Times New Roman" w:hAnsi="Times New Roman" w:cs="Times New Roman"/>
          <w:b w:val="0"/>
          <w:i w:val="0"/>
          <w:sz w:val="22"/>
        </w:rPr>
        <w:t>A1 for Groq-generated summaries; A4 for CI/CD integration. Non-marketplace safeguard: pentesting targets infrastructure, not tenant data.</w:t>
      </w:r>
    </w:p>
    <w:p>
      <w:pPr>
        <w:keepNext/>
        <w:spacing w:before="140" w:after="60"/>
        <w:outlineLvl w:val="3"/>
      </w:pPr>
      <w:r>
        <w:rPr>
          <w:rFonts w:ascii="Arial" w:hAnsi="Arial" w:cs="Arial"/>
          <w:b/>
          <w:i/>
          <w:color w:val="333333"/>
          <w:sz w:val="22"/>
        </w:rPr>
        <w:t>22.2.5.6 Implementation Checklist</w:t>
      </w:r>
    </w:p>
    <w:p>
      <w:pPr>
        <w:spacing w:after="80" w:line="293" w:lineRule="auto"/>
        <w:ind w:left="283"/>
        <w:jc w:val="left"/>
      </w:pPr>
      <w:r>
        <w:rPr>
          <w:rFonts w:ascii="Times New Roman" w:hAnsi="Times New Roman" w:cs="Times New Roman"/>
          <w:b w:val="0"/>
          <w:i w:val="0"/>
          <w:sz w:val="22"/>
        </w:rPr>
        <w:t>- Set up pentest-service (Rust).</w:t>
      </w:r>
    </w:p>
    <w:p>
      <w:pPr>
        <w:spacing w:after="80" w:line="293" w:lineRule="auto"/>
        <w:ind w:left="283"/>
        <w:jc w:val="left"/>
      </w:pPr>
      <w:r>
        <w:rPr>
          <w:rFonts w:ascii="Times New Roman" w:hAnsi="Times New Roman" w:cs="Times New Roman"/>
          <w:b w:val="0"/>
          <w:i w:val="0"/>
          <w:sz w:val="22"/>
        </w:rPr>
        <w:t>- Configure Trivy, OWASP ZAP, nuclei, and OpenVAS.</w:t>
      </w:r>
    </w:p>
    <w:p>
      <w:pPr>
        <w:spacing w:after="80" w:line="293" w:lineRule="auto"/>
        <w:ind w:left="283"/>
        <w:jc w:val="left"/>
      </w:pPr>
      <w:r>
        <w:rPr>
          <w:rFonts w:ascii="Times New Roman" w:hAnsi="Times New Roman" w:cs="Times New Roman"/>
          <w:b w:val="0"/>
          <w:i w:val="0"/>
          <w:sz w:val="22"/>
        </w:rPr>
        <w:t>- Schedule weekly scans (Friday 23:00 UTC).</w:t>
      </w:r>
    </w:p>
    <w:p>
      <w:pPr>
        <w:spacing w:after="80" w:line="293" w:lineRule="auto"/>
        <w:ind w:left="283"/>
        <w:jc w:val="left"/>
      </w:pPr>
      <w:r>
        <w:rPr>
          <w:rFonts w:ascii="Times New Roman" w:hAnsi="Times New Roman" w:cs="Times New Roman"/>
          <w:b w:val="0"/>
          <w:i w:val="0"/>
          <w:sz w:val="22"/>
        </w:rPr>
        <w:t>- Integrate with CI/CD (critical findings block deployment).</w:t>
      </w:r>
    </w:p>
    <w:p>
      <w:pPr>
        <w:spacing w:after="80" w:line="293" w:lineRule="auto"/>
        <w:ind w:left="283"/>
        <w:jc w:val="left"/>
      </w:pPr>
      <w:r>
        <w:rPr>
          <w:rFonts w:ascii="Times New Roman" w:hAnsi="Times New Roman" w:cs="Times New Roman"/>
          <w:b w:val="0"/>
          <w:i w:val="0"/>
          <w:sz w:val="22"/>
        </w:rPr>
        <w:t>- Build the Admin Portal "Security" tab.</w:t>
      </w:r>
    </w:p>
    <w:p>
      <w:pPr>
        <w:spacing w:after="80" w:line="293" w:lineRule="auto"/>
        <w:ind w:left="283"/>
        <w:jc w:val="left"/>
      </w:pPr>
      <w:r>
        <w:rPr>
          <w:rFonts w:ascii="Times New Roman" w:hAnsi="Times New Roman" w:cs="Times New Roman"/>
          <w:b w:val="0"/>
          <w:i w:val="0"/>
          <w:sz w:val="22"/>
        </w:rPr>
        <w:t>- Add a Groq-generated summary for each scan.</w:t>
      </w:r>
    </w:p>
    <w:p>
      <w:pPr>
        <w:keepNext/>
        <w:spacing w:before="180" w:after="80"/>
        <w:outlineLvl w:val="2"/>
      </w:pPr>
      <w:r>
        <w:rPr>
          <w:rFonts w:ascii="Arial" w:hAnsi="Arial" w:cs="Arial"/>
          <w:b/>
          <w:i w:val="0"/>
          <w:color w:val="333333"/>
          <w:sz w:val="23"/>
        </w:rPr>
        <w:t>22.2.6 Add-On 6 — Post-Quantum Cryptography (PQC)</w:t>
      </w:r>
    </w:p>
    <w:p>
      <w:pPr>
        <w:keepNext/>
        <w:spacing w:before="140" w:after="60"/>
        <w:outlineLvl w:val="3"/>
      </w:pPr>
      <w:r>
        <w:rPr>
          <w:rFonts w:ascii="Arial" w:hAnsi="Arial" w:cs="Arial"/>
          <w:b/>
          <w:i/>
          <w:color w:val="333333"/>
          <w:sz w:val="22"/>
        </w:rPr>
        <w:t>22.2.6.1 Purpose &amp; Design Philosophy</w:t>
      </w:r>
    </w:p>
    <w:p>
      <w:pPr>
        <w:spacing w:after="80" w:line="293" w:lineRule="auto"/>
        <w:jc w:val="left"/>
      </w:pPr>
      <w:r>
        <w:rPr>
          <w:rFonts w:ascii="Times New Roman" w:hAnsi="Times New Roman" w:cs="Times New Roman"/>
          <w:b w:val="0"/>
          <w:i w:val="0"/>
          <w:sz w:val="22"/>
        </w:rPr>
        <w:t>Protect long-term records (contracts, Loom hash chains, identity credentials, audit logs) against future quantum computer attacks. While Ed25519 (used for daily signatures) is secure today, it is not quantum-safe. The add-on adds a second layer of Dilithium3 signatures (NIST standard) and optionally Kyber1024 for key exchange. This does not affect daily operations: the platform continues to use Ed25519 for performance, while archival stores also hold a Dilithium3 signature.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Two-layer signature — Ed25519 (fast) + Dilithium3 (quantum-safe).</w:t>
      </w:r>
    </w:p>
    <w:p>
      <w:pPr>
        <w:spacing w:after="80" w:line="293" w:lineRule="auto"/>
        <w:ind w:left="283"/>
        <w:jc w:val="left"/>
      </w:pPr>
      <w:r>
        <w:rPr>
          <w:rFonts w:ascii="Times New Roman" w:hAnsi="Times New Roman" w:cs="Times New Roman"/>
          <w:b w:val="0"/>
          <w:i w:val="0"/>
          <w:sz w:val="22"/>
        </w:rPr>
        <w:t>- Background re-signing — a weekly cron job re-signs records older than 1 year.</w:t>
      </w:r>
    </w:p>
    <w:p>
      <w:pPr>
        <w:spacing w:after="80" w:line="293" w:lineRule="auto"/>
        <w:ind w:left="283"/>
        <w:jc w:val="left"/>
      </w:pPr>
      <w:r>
        <w:rPr>
          <w:rFonts w:ascii="Times New Roman" w:hAnsi="Times New Roman" w:cs="Times New Roman"/>
          <w:b w:val="0"/>
          <w:i w:val="0"/>
          <w:sz w:val="22"/>
        </w:rPr>
        <w:t>- Zero-cost — liboqs and the Rust oqs crate are open-source.</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A3: key generation approval.</w:t>
      </w:r>
    </w:p>
    <w:p>
      <w:pPr>
        <w:spacing w:after="80" w:line="293" w:lineRule="auto"/>
        <w:ind w:left="283"/>
        <w:jc w:val="left"/>
      </w:pPr>
      <w:r>
        <w:rPr>
          <w:rFonts w:ascii="Times New Roman" w:hAnsi="Times New Roman" w:cs="Times New Roman"/>
          <w:b w:val="0"/>
          <w:i w:val="0"/>
          <w:sz w:val="22"/>
        </w:rPr>
        <w:t>- A4: background re-signing.</w:t>
      </w:r>
    </w:p>
    <w:p>
      <w:pPr>
        <w:keepNext/>
        <w:spacing w:before="140" w:after="60"/>
        <w:outlineLvl w:val="3"/>
      </w:pPr>
      <w:r>
        <w:rPr>
          <w:rFonts w:ascii="Arial" w:hAnsi="Arial" w:cs="Arial"/>
          <w:b/>
          <w:i/>
          <w:color w:val="333333"/>
          <w:sz w:val="22"/>
        </w:rPr>
        <w:t>22.2.6.2 Architecture &amp; Integration</w:t>
      </w:r>
    </w:p>
    <w:p>
      <w:pPr>
        <w:spacing w:after="80" w:line="293" w:lineRule="auto"/>
        <w:jc w:val="left"/>
      </w:pPr>
      <w:r>
        <w:rPr>
          <w:rFonts w:ascii="Times New Roman" w:hAnsi="Times New Roman" w:cs="Times New Roman"/>
          <w:b w:val="0"/>
          <w:i w:val="0"/>
          <w:sz w:val="22"/>
        </w:rPr>
        <w:t>Every new contract receives both signatures:</w:t>
      </w:r>
    </w:p>
    <w:p>
      <w:pPr>
        <w:spacing w:after="0" w:before="0" w:line="240" w:lineRule="auto"/>
        <w:ind w:left="57"/>
        <w:jc w:val="left"/>
        <w:shd w:val="clear" w:fill="F2F2F2"/>
      </w:pPr>
      <w:r>
        <w:rPr>
          <w:rFonts w:ascii="Consolas" w:hAnsi="Consolas" w:cs="Consolas"/>
          <w:b w:val="0"/>
          <w:i w:val="0"/>
          <w:sz w:val="15"/>
        </w:rPr>
        <w:t>// Two-layer signature</w:t>
      </w:r>
    </w:p>
    <w:p>
      <w:pPr>
        <w:spacing w:after="0" w:before="0" w:line="240" w:lineRule="auto"/>
        <w:ind w:left="57"/>
        <w:jc w:val="left"/>
        <w:shd w:val="clear" w:fill="F2F2F2"/>
      </w:pPr>
      <w:r>
        <w:rPr>
          <w:rFonts w:ascii="Consolas" w:hAnsi="Consolas" w:cs="Consolas"/>
          <w:b w:val="0"/>
          <w:i w:val="0"/>
          <w:sz w:val="15"/>
        </w:rPr>
        <w:t>let ed25519_sig = sign_ed25519(contract_json);</w:t>
      </w:r>
    </w:p>
    <w:p>
      <w:pPr>
        <w:spacing w:after="0" w:before="0" w:line="240" w:lineRule="auto"/>
        <w:ind w:left="57"/>
        <w:jc w:val="left"/>
        <w:shd w:val="clear" w:fill="F2F2F2"/>
      </w:pPr>
      <w:r>
        <w:rPr>
          <w:rFonts w:ascii="Consolas" w:hAnsi="Consolas" w:cs="Consolas"/>
          <w:b w:val="0"/>
          <w:i w:val="0"/>
          <w:sz w:val="15"/>
        </w:rPr>
        <w:t>let dilithium3_sig = sign_dilithium3(contract_json);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store_contract(</w:t>
      </w:r>
    </w:p>
    <w:p>
      <w:pPr>
        <w:spacing w:after="0" w:before="0" w:line="240" w:lineRule="auto"/>
        <w:ind w:left="57"/>
        <w:jc w:val="left"/>
        <w:shd w:val="clear" w:fill="F2F2F2"/>
      </w:pPr>
      <w:r>
        <w:rPr>
          <w:rFonts w:ascii="Consolas" w:hAnsi="Consolas" w:cs="Consolas"/>
          <w:b w:val="0"/>
          <w:i w:val="0"/>
          <w:sz w:val="15"/>
        </w:rPr>
        <w:t xml:space="preserve">    contract_json,</w:t>
      </w:r>
    </w:p>
    <w:p>
      <w:pPr>
        <w:spacing w:after="0" w:before="0" w:line="240" w:lineRule="auto"/>
        <w:ind w:left="57"/>
        <w:jc w:val="left"/>
        <w:shd w:val="clear" w:fill="F2F2F2"/>
      </w:pPr>
      <w:r>
        <w:rPr>
          <w:rFonts w:ascii="Consolas" w:hAnsi="Consolas" w:cs="Consolas"/>
          <w:b w:val="0"/>
          <w:i w:val="0"/>
          <w:sz w:val="15"/>
        </w:rPr>
        <w:t xml:space="preserve">    ed25519_sig,</w:t>
      </w:r>
    </w:p>
    <w:p>
      <w:pPr>
        <w:spacing w:after="0" w:before="0" w:line="240" w:lineRule="auto"/>
        <w:ind w:left="57"/>
        <w:jc w:val="left"/>
        <w:shd w:val="clear" w:fill="F2F2F2"/>
      </w:pPr>
      <w:r>
        <w:rPr>
          <w:rFonts w:ascii="Consolas" w:hAnsi="Consolas" w:cs="Consolas"/>
          <w:b w:val="0"/>
          <w:i w:val="0"/>
          <w:sz w:val="15"/>
        </w:rPr>
        <w:t xml:space="preserve">    dilithium3_sig,</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Background re-signing — a weekly cron job re-signs any record older than 1 year that lacks a PQC signature:</w:t>
      </w:r>
    </w:p>
    <w:p>
      <w:pPr>
        <w:spacing w:after="0" w:before="0" w:line="240" w:lineRule="auto"/>
        <w:ind w:left="57"/>
        <w:jc w:val="left"/>
        <w:shd w:val="clear" w:fill="F2F2F2"/>
      </w:pPr>
      <w:r>
        <w:rPr>
          <w:rFonts w:ascii="Consolas" w:hAnsi="Consolas" w:cs="Consolas"/>
          <w:b w:val="0"/>
          <w:i w:val="0"/>
          <w:sz w:val="15"/>
        </w:rPr>
        <w:t>pqc_resigner.resign_old_records(</w:t>
      </w:r>
    </w:p>
    <w:p>
      <w:pPr>
        <w:spacing w:after="0" w:before="0" w:line="240" w:lineRule="auto"/>
        <w:ind w:left="57"/>
        <w:jc w:val="left"/>
        <w:shd w:val="clear" w:fill="F2F2F2"/>
      </w:pPr>
      <w:r>
        <w:rPr>
          <w:rFonts w:ascii="Consolas" w:hAnsi="Consolas" w:cs="Consolas"/>
          <w:b w:val="0"/>
          <w:i w:val="0"/>
          <w:sz w:val="15"/>
        </w:rPr>
        <w:t xml:space="preserve">    older_than: Duration::days(365),</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22.2.6.3 Data Model Additions</w:t>
      </w:r>
    </w:p>
    <w:p>
      <w:pPr>
        <w:spacing w:after="0" w:before="0" w:line="240" w:lineRule="auto"/>
        <w:ind w:left="57"/>
        <w:jc w:val="left"/>
        <w:shd w:val="clear" w:fill="F2F2F2"/>
      </w:pPr>
      <w:r>
        <w:rPr>
          <w:rFonts w:ascii="Consolas" w:hAnsi="Consolas" w:cs="Consolas"/>
          <w:b w:val="0"/>
          <w:i w:val="0"/>
          <w:sz w:val="15"/>
        </w:rPr>
        <w:t>ALTER TABLE governor_decisions ADD COLUMN pqc_signature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contracts ADD COLUMN pqc_signature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shipments ADD COLUMN pqc_signature TEXT;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22.2.6.4 Activation</w:t>
      </w:r>
    </w:p>
    <w:p>
      <w:pPr>
        <w:spacing w:after="80" w:line="293" w:lineRule="auto"/>
        <w:jc w:val="left"/>
      </w:pPr>
      <w:r>
        <w:rPr>
          <w:rFonts w:ascii="Times New Roman" w:hAnsi="Times New Roman" w:cs="Times New Roman"/>
          <w:b w:val="0"/>
          <w:i w:val="0"/>
          <w:sz w:val="22"/>
        </w:rPr>
        <w:t>Activation: Admin Portal → Add-Ons → "Post-Quantum Cryptography" → generate key pair (multisig required) → Enable. The background re-signer processes existing records within 7 days.</w:t>
      </w:r>
    </w:p>
    <w:p>
      <w:pPr>
        <w:spacing w:after="80" w:line="293" w:lineRule="auto"/>
        <w:jc w:val="left"/>
      </w:pPr>
      <w:r>
        <w:rPr>
          <w:rFonts w:ascii="Times New Roman" w:hAnsi="Times New Roman" w:cs="Times New Roman"/>
          <w:b w:val="0"/>
          <w:i w:val="0"/>
          <w:sz w:val="22"/>
        </w:rPr>
        <w:t>One-click: Admin clicks "Enable" and the key generation ceremony is initiated. Admin clicks "Re-sign All" and immediate re-signing of all existing records is forced.</w:t>
      </w:r>
    </w:p>
    <w:p>
      <w:pPr>
        <w:keepNext/>
        <w:spacing w:before="140" w:after="60"/>
        <w:outlineLvl w:val="3"/>
      </w:pPr>
      <w:r>
        <w:rPr>
          <w:rFonts w:ascii="Arial" w:hAnsi="Arial" w:cs="Arial"/>
          <w:b/>
          <w:i/>
          <w:color w:val="333333"/>
          <w:sz w:val="22"/>
        </w:rPr>
        <w:t>22.2.6.5 AI Authority Summary</w:t>
      </w:r>
    </w:p>
    <w:p>
      <w:pPr>
        <w:spacing w:after="80" w:line="293" w:lineRule="auto"/>
        <w:jc w:val="left"/>
      </w:pPr>
      <w:r>
        <w:rPr>
          <w:rFonts w:ascii="Times New Roman" w:hAnsi="Times New Roman" w:cs="Times New Roman"/>
          <w:b w:val="0"/>
          <w:i w:val="0"/>
          <w:sz w:val="22"/>
        </w:rPr>
        <w:t>A3 for key generation approval; A4 for background re-signing. Non-marketplace safeguard: PQC is purely cryptographic — it never affects recommendations.</w:t>
      </w:r>
    </w:p>
    <w:p>
      <w:pPr>
        <w:keepNext/>
        <w:spacing w:before="140" w:after="60"/>
        <w:outlineLvl w:val="3"/>
      </w:pPr>
      <w:r>
        <w:rPr>
          <w:rFonts w:ascii="Arial" w:hAnsi="Arial" w:cs="Arial"/>
          <w:b/>
          <w:i/>
          <w:color w:val="333333"/>
          <w:sz w:val="22"/>
        </w:rPr>
        <w:t>22.2.6.6 Implementation Checklist</w:t>
      </w:r>
    </w:p>
    <w:p>
      <w:pPr>
        <w:spacing w:after="80" w:line="293" w:lineRule="auto"/>
        <w:ind w:left="283"/>
        <w:jc w:val="left"/>
      </w:pPr>
      <w:r>
        <w:rPr>
          <w:rFonts w:ascii="Times New Roman" w:hAnsi="Times New Roman" w:cs="Times New Roman"/>
          <w:b w:val="0"/>
          <w:i w:val="0"/>
          <w:sz w:val="22"/>
        </w:rPr>
        <w:t>- Generate the Dilithium3 key pair (multisig ceremony).</w:t>
      </w:r>
    </w:p>
    <w:p>
      <w:pPr>
        <w:spacing w:after="80" w:line="293" w:lineRule="auto"/>
        <w:ind w:left="283"/>
        <w:jc w:val="left"/>
      </w:pPr>
      <w:r>
        <w:rPr>
          <w:rFonts w:ascii="Times New Roman" w:hAnsi="Times New Roman" w:cs="Times New Roman"/>
          <w:b w:val="0"/>
          <w:i w:val="0"/>
          <w:sz w:val="22"/>
        </w:rPr>
        <w:t>- Implement dual-signature (Ed25519 + Dilithium3).</w:t>
      </w:r>
    </w:p>
    <w:p>
      <w:pPr>
        <w:spacing w:after="80" w:line="293" w:lineRule="auto"/>
        <w:ind w:left="283"/>
        <w:jc w:val="left"/>
      </w:pPr>
      <w:r>
        <w:rPr>
          <w:rFonts w:ascii="Times New Roman" w:hAnsi="Times New Roman" w:cs="Times New Roman"/>
          <w:b w:val="0"/>
          <w:i w:val="0"/>
          <w:sz w:val="22"/>
        </w:rPr>
        <w:t>- Deploy the pqc-resigner background job (weekly).</w:t>
      </w:r>
    </w:p>
    <w:p>
      <w:pPr>
        <w:spacing w:after="80" w:line="293" w:lineRule="auto"/>
        <w:ind w:left="283"/>
        <w:jc w:val="left"/>
      </w:pPr>
      <w:r>
        <w:rPr>
          <w:rFonts w:ascii="Times New Roman" w:hAnsi="Times New Roman" w:cs="Times New Roman"/>
          <w:b w:val="0"/>
          <w:i w:val="0"/>
          <w:sz w:val="22"/>
        </w:rPr>
        <w:t>- Add the PQC verification endpoint (`/v1/verify/pqc`).</w:t>
      </w:r>
    </w:p>
    <w:p>
      <w:pPr>
        <w:spacing w:after="80" w:line="293" w:lineRule="auto"/>
        <w:ind w:left="283"/>
        <w:jc w:val="left"/>
      </w:pPr>
      <w:r>
        <w:rPr>
          <w:rFonts w:ascii="Times New Roman" w:hAnsi="Times New Roman" w:cs="Times New Roman"/>
          <w:b w:val="0"/>
          <w:i w:val="0"/>
          <w:sz w:val="22"/>
        </w:rPr>
        <w:t>- Publish the public key at `/.well-known/sgtx-keys`.</w:t>
      </w:r>
    </w:p>
    <w:p>
      <w:pPr>
        <w:keepNext/>
        <w:spacing w:before="180" w:after="80"/>
        <w:outlineLvl w:val="2"/>
      </w:pPr>
      <w:r>
        <w:rPr>
          <w:rFonts w:ascii="Arial" w:hAnsi="Arial" w:cs="Arial"/>
          <w:b/>
          <w:i w:val="0"/>
          <w:color w:val="333333"/>
          <w:sz w:val="23"/>
        </w:rPr>
        <w:t>22.2.7 Add-On 7 — Expanded Zero-Knowledge Proofs (ZK)</w:t>
      </w:r>
    </w:p>
    <w:p>
      <w:pPr>
        <w:keepNext/>
        <w:spacing w:before="140" w:after="60"/>
        <w:outlineLvl w:val="3"/>
      </w:pPr>
      <w:r>
        <w:rPr>
          <w:rFonts w:ascii="Arial" w:hAnsi="Arial" w:cs="Arial"/>
          <w:b/>
          <w:i/>
          <w:color w:val="333333"/>
          <w:sz w:val="22"/>
        </w:rPr>
        <w:t>22.2.7.1 Purpose &amp; Design Philosophy</w:t>
      </w:r>
    </w:p>
    <w:p>
      <w:pPr>
        <w:spacing w:after="80" w:line="293" w:lineRule="auto"/>
        <w:jc w:val="left"/>
      </w:pPr>
      <w:r>
        <w:rPr>
          <w:rFonts w:ascii="Times New Roman" w:hAnsi="Times New Roman" w:cs="Times New Roman"/>
          <w:b w:val="0"/>
          <w:i w:val="0"/>
          <w:sz w:val="22"/>
        </w:rPr>
        <w:t>Zero-Knowledge Proofs (ZK) enable privacy-preserving verification without revealing underlying sensitive data. SGTX implements two core use cases:</w:t>
      </w:r>
    </w:p>
    <w:p>
      <w:pPr>
        <w:spacing w:after="80" w:line="293" w:lineRule="auto"/>
        <w:jc w:val="left"/>
      </w:pPr>
      <w:r>
        <w:rPr>
          <w:rFonts w:ascii="Times New Roman" w:hAnsi="Times New Roman" w:cs="Times New Roman"/>
          <w:b w:val="0"/>
          <w:i w:val="0"/>
          <w:sz w:val="22"/>
        </w:rPr>
        <w:t>1. Confidential trade terms — buyer and seller agree on a price hidden from the platform; SGTX verifies only that the price is within legal and market bounds. 2. Private settlement — a buyer proves they settled a payment without revealing the exact amount or the bank route used.</w:t>
      </w:r>
    </w:p>
    <w:p>
      <w:pPr>
        <w:spacing w:after="80" w:line="293" w:lineRule="auto"/>
        <w:jc w:val="left"/>
      </w:pPr>
      <w:r>
        <w:rPr>
          <w:rFonts w:ascii="Times New Roman" w:hAnsi="Times New Roman" w:cs="Times New Roman"/>
          <w:b w:val="0"/>
          <w:i w:val="0"/>
          <w:sz w:val="22"/>
        </w:rPr>
        <w:t>All ZK proofs are optional and client-side generated (WASM). The platform never forces their use.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Optional — ZK proofs are never forced.</w:t>
      </w:r>
    </w:p>
    <w:p>
      <w:pPr>
        <w:spacing w:after="80" w:line="293" w:lineRule="auto"/>
        <w:ind w:left="283"/>
        <w:jc w:val="left"/>
      </w:pPr>
      <w:r>
        <w:rPr>
          <w:rFonts w:ascii="Times New Roman" w:hAnsi="Times New Roman" w:cs="Times New Roman"/>
          <w:b w:val="0"/>
          <w:i w:val="0"/>
          <w:sz w:val="22"/>
        </w:rPr>
        <w:t>- Client-side — proof generation in WASM (Plonky3).</w:t>
      </w:r>
    </w:p>
    <w:p>
      <w:pPr>
        <w:spacing w:after="80" w:line="293" w:lineRule="auto"/>
        <w:ind w:left="283"/>
        <w:jc w:val="left"/>
      </w:pPr>
      <w:r>
        <w:rPr>
          <w:rFonts w:ascii="Times New Roman" w:hAnsi="Times New Roman" w:cs="Times New Roman"/>
          <w:b w:val="0"/>
          <w:i w:val="0"/>
          <w:sz w:val="22"/>
        </w:rPr>
        <w:t>- Lightweight verification — sub-millisecond server verification.</w:t>
      </w:r>
    </w:p>
    <w:p>
      <w:pPr>
        <w:spacing w:after="80" w:line="293" w:lineRule="auto"/>
        <w:ind w:left="283"/>
        <w:jc w:val="left"/>
      </w:pPr>
      <w:r>
        <w:rPr>
          <w:rFonts w:ascii="Times New Roman" w:hAnsi="Times New Roman" w:cs="Times New Roman"/>
          <w:b w:val="0"/>
          <w:i w:val="0"/>
          <w:sz w:val="22"/>
        </w:rPr>
        <w:t>- Zero-cost — Plonky3 and the WASM toolchain are open-source.</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A2: proof verification.</w:t>
      </w:r>
    </w:p>
    <w:p>
      <w:pPr>
        <w:spacing w:after="80" w:line="293" w:lineRule="auto"/>
        <w:ind w:left="283"/>
        <w:jc w:val="left"/>
      </w:pPr>
      <w:r>
        <w:rPr>
          <w:rFonts w:ascii="Times New Roman" w:hAnsi="Times New Roman" w:cs="Times New Roman"/>
          <w:b w:val="0"/>
          <w:i w:val="0"/>
          <w:sz w:val="22"/>
        </w:rPr>
        <w:t>- A4: Governor integration.</w:t>
      </w:r>
    </w:p>
    <w:p>
      <w:pPr>
        <w:spacing w:after="80" w:line="293" w:lineRule="auto"/>
        <w:jc w:val="left"/>
      </w:pPr>
      <w:r>
        <w:rPr>
          <w:rFonts w:ascii="Times New Roman" w:hAnsi="Times New Roman" w:cs="Times New Roman"/>
          <w:b w:val="0"/>
          <w:i w:val="0"/>
          <w:sz w:val="22"/>
        </w:rPr>
        <w:t>Technology stack: Plonky3 (proof system) compiled to WASM circuits served to client portals; server-side verification endpoint.</w:t>
      </w:r>
    </w:p>
    <w:p>
      <w:pPr>
        <w:keepNext/>
        <w:spacing w:before="140" w:after="60"/>
        <w:outlineLvl w:val="3"/>
      </w:pPr>
      <w:r>
        <w:rPr>
          <w:rFonts w:ascii="Arial" w:hAnsi="Arial" w:cs="Arial"/>
          <w:b/>
          <w:i/>
          <w:color w:val="333333"/>
          <w:sz w:val="22"/>
        </w:rPr>
        <w:t>22.2.7.2 Architecture &amp; Integration</w:t>
      </w:r>
    </w:p>
    <w:p>
      <w:pPr>
        <w:spacing w:after="80" w:line="293" w:lineRule="auto"/>
        <w:jc w:val="left"/>
      </w:pPr>
      <w:r>
        <w:rPr>
          <w:rFonts w:ascii="Times New Roman" w:hAnsi="Times New Roman" w:cs="Times New Roman"/>
          <w:b w:val="0"/>
          <w:i w:val="0"/>
          <w:sz w:val="22"/>
        </w:rPr>
        <w:t>Use Case 1 — Confidential Trade Terms. The seller can hide the EXW (Ex Works) price and logistics breakdown from the platform; the buyer sees only the final quoted price (including the SGTX fee). Workflow:</w:t>
      </w:r>
    </w:p>
    <w:p>
      <w:pPr>
        <w:spacing w:after="80" w:line="293" w:lineRule="auto"/>
        <w:jc w:val="left"/>
      </w:pPr>
      <w:r>
        <w:rPr>
          <w:rFonts w:ascii="Times New Roman" w:hAnsi="Times New Roman" w:cs="Times New Roman"/>
          <w:b w:val="0"/>
          <w:i w:val="0"/>
          <w:sz w:val="22"/>
        </w:rPr>
        <w:t>1. Seller toggles "Make price confidential" in Quote Submission. 2. System computes a ZK proof that (EXW + logistics + SGTX fee + broker fees) is within a plausible range (for example, not zero, not exceeding market average by more than 300%). 3. The proof is stored in `seller_quotes.price_zk_proof`; the raw price components are not stored. 4. Buyer sees only the final total price. 5. During dispute resolution, the proof can be revealed to an arbitrator if needed.</w:t>
      </w:r>
    </w:p>
    <w:p>
      <w:pPr>
        <w:spacing w:after="80" w:line="293" w:lineRule="auto"/>
        <w:jc w:val="left"/>
      </w:pPr>
      <w:r>
        <w:rPr>
          <w:rFonts w:ascii="Times New Roman" w:hAnsi="Times New Roman" w:cs="Times New Roman"/>
          <w:b w:val="0"/>
          <w:i w:val="0"/>
          <w:sz w:val="22"/>
        </w:rPr>
        <w:t>Seller submission with confidential pricing:</w:t>
      </w:r>
    </w:p>
    <w:p>
      <w:pPr>
        <w:spacing w:after="0" w:before="0" w:line="240" w:lineRule="auto"/>
        <w:ind w:left="57"/>
        <w:jc w:val="left"/>
        <w:shd w:val="clear" w:fill="F2F2F2"/>
      </w:pPr>
      <w:r>
        <w:rPr>
          <w:rFonts w:ascii="Consolas" w:hAnsi="Consolas" w:cs="Consolas"/>
          <w:b w:val="0"/>
          <w:i w:val="0"/>
          <w:sz w:val="15"/>
        </w:rPr>
        <w:t>POST /v1/quote/submit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w:t>
      </w:r>
    </w:p>
    <w:p>
      <w:pPr>
        <w:spacing w:after="0" w:before="0" w:line="240" w:lineRule="auto"/>
        <w:ind w:left="57"/>
        <w:jc w:val="left"/>
        <w:shd w:val="clear" w:fill="F2F2F2"/>
      </w:pPr>
      <w:r>
        <w:rPr>
          <w:rFonts w:ascii="Consolas" w:hAnsi="Consolas" w:cs="Consolas"/>
          <w:b w:val="0"/>
          <w:i w:val="0"/>
          <w:sz w:val="15"/>
        </w:rPr>
        <w:t xml:space="preserve">  "exw_price": 28000,</w:t>
      </w:r>
    </w:p>
    <w:p>
      <w:pPr>
        <w:spacing w:after="0" w:before="0" w:line="240" w:lineRule="auto"/>
        <w:ind w:left="57"/>
        <w:jc w:val="left"/>
        <w:shd w:val="clear" w:fill="F2F2F2"/>
      </w:pPr>
      <w:r>
        <w:rPr>
          <w:rFonts w:ascii="Consolas" w:hAnsi="Consolas" w:cs="Consolas"/>
          <w:b w:val="0"/>
          <w:i w:val="0"/>
          <w:sz w:val="15"/>
        </w:rPr>
        <w:t xml:space="preserve">  "logistics_cost": 2000,</w:t>
      </w:r>
    </w:p>
    <w:p>
      <w:pPr>
        <w:spacing w:after="0" w:before="0" w:line="240" w:lineRule="auto"/>
        <w:ind w:left="57"/>
        <w:jc w:val="left"/>
        <w:shd w:val="clear" w:fill="F2F2F2"/>
      </w:pPr>
      <w:r>
        <w:rPr>
          <w:rFonts w:ascii="Consolas" w:hAnsi="Consolas" w:cs="Consolas"/>
          <w:b w:val="0"/>
          <w:i w:val="0"/>
          <w:sz w:val="15"/>
        </w:rPr>
        <w:t xml:space="preserve">  "sgtx_fee": 450,</w:t>
      </w:r>
    </w:p>
    <w:p>
      <w:pPr>
        <w:spacing w:after="0" w:before="0" w:line="240" w:lineRule="auto"/>
        <w:ind w:left="57"/>
        <w:jc w:val="left"/>
        <w:shd w:val="clear" w:fill="F2F2F2"/>
      </w:pPr>
      <w:r>
        <w:rPr>
          <w:rFonts w:ascii="Consolas" w:hAnsi="Consolas" w:cs="Consolas"/>
          <w:b w:val="0"/>
          <w:i w:val="0"/>
          <w:sz w:val="15"/>
        </w:rPr>
        <w:t xml:space="preserve">  "confidential": true,</w:t>
      </w:r>
    </w:p>
    <w:p>
      <w:pPr>
        <w:spacing w:after="0" w:before="0" w:line="240" w:lineRule="auto"/>
        <w:ind w:left="57"/>
        <w:jc w:val="left"/>
        <w:shd w:val="clear" w:fill="F2F2F2"/>
      </w:pPr>
      <w:r>
        <w:rPr>
          <w:rFonts w:ascii="Consolas" w:hAnsi="Consolas" w:cs="Consolas"/>
          <w:b w:val="0"/>
          <w:i w:val="0"/>
          <w:sz w:val="15"/>
        </w:rPr>
        <w:t xml:space="preserve">  "price_zk_proof": "base64_zk_proof_here"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buyer sees only the total price; the raw components are not stored.</w:t>
      </w:r>
    </w:p>
    <w:p>
      <w:pPr>
        <w:spacing w:after="80" w:line="293" w:lineRule="auto"/>
        <w:jc w:val="left"/>
      </w:pPr>
      <w:r>
        <w:rPr>
          <w:rFonts w:ascii="Times New Roman" w:hAnsi="Times New Roman" w:cs="Times New Roman"/>
          <w:b w:val="0"/>
          <w:i w:val="0"/>
          <w:sz w:val="22"/>
        </w:rPr>
        <w:t>Use Case 2 — Private Settlement. After settlement, the payer can request a ZK proof of payment without revealing the exact amount or bank route used. Workflow:</w:t>
      </w:r>
    </w:p>
    <w:p>
      <w:pPr>
        <w:spacing w:after="80" w:line="293" w:lineRule="auto"/>
        <w:jc w:val="left"/>
      </w:pPr>
      <w:r>
        <w:rPr>
          <w:rFonts w:ascii="Times New Roman" w:hAnsi="Times New Roman" w:cs="Times New Roman"/>
          <w:b w:val="0"/>
          <w:i w:val="0"/>
          <w:sz w:val="22"/>
        </w:rPr>
        <w:t>1. Buyer clicks "Request Private Settlement Proof" in the Settlement tab. 2. Client-side script generates a proof from the bank confirmation receipt (camt.054) and settlement instruction, proving that a transfer of at least the contractual amount occurred to the correct beneficiary. 3. Proof is stored in `bank_confirmation_proofs.zk_proof`. 4. The buyer can share the proof with auditors or regulators; they verify it without seeing sensitive details.</w:t>
      </w:r>
    </w:p>
    <w:p>
      <w:pPr>
        <w:spacing w:after="80" w:line="293" w:lineRule="auto"/>
        <w:jc w:val="left"/>
      </w:pPr>
      <w:r>
        <w:rPr>
          <w:rFonts w:ascii="Times New Roman" w:hAnsi="Times New Roman" w:cs="Times New Roman"/>
          <w:b w:val="0"/>
          <w:i w:val="0"/>
          <w:sz w:val="22"/>
        </w:rPr>
        <w:t>Private settlement proof request:</w:t>
      </w:r>
    </w:p>
    <w:p>
      <w:pPr>
        <w:spacing w:after="0" w:before="0" w:line="240" w:lineRule="auto"/>
        <w:ind w:left="57"/>
        <w:jc w:val="left"/>
        <w:shd w:val="clear" w:fill="F2F2F2"/>
      </w:pPr>
      <w:r>
        <w:rPr>
          <w:rFonts w:ascii="Consolas" w:hAnsi="Consolas" w:cs="Consolas"/>
          <w:b w:val="0"/>
          <w:i w:val="0"/>
          <w:sz w:val="15"/>
        </w:rPr>
        <w:t>GET /v1/settlement/private-proof?ustn=SGTX-...</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Returns ZK proof</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"proof": "base64_zk_proof_here",</w:t>
      </w:r>
    </w:p>
    <w:p>
      <w:pPr>
        <w:spacing w:after="0" w:before="0" w:line="240" w:lineRule="auto"/>
        <w:ind w:left="57"/>
        <w:jc w:val="left"/>
        <w:shd w:val="clear" w:fill="F2F2F2"/>
      </w:pPr>
      <w:r>
        <w:rPr>
          <w:rFonts w:ascii="Consolas" w:hAnsi="Consolas" w:cs="Consolas"/>
          <w:b w:val="0"/>
          <w:i w:val="0"/>
          <w:sz w:val="15"/>
        </w:rPr>
        <w:t xml:space="preserve">  "verification_url": "https://sgtx.io/verify/settlement/..."</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external auditor verifies without seeing the amount.</w:t>
      </w:r>
    </w:p>
    <w:p>
      <w:pPr>
        <w:keepNext/>
        <w:spacing w:before="140" w:after="60"/>
        <w:outlineLvl w:val="3"/>
      </w:pPr>
      <w:r>
        <w:rPr>
          <w:rFonts w:ascii="Arial" w:hAnsi="Arial" w:cs="Arial"/>
          <w:b/>
          <w:i/>
          <w:color w:val="333333"/>
          <w:sz w:val="22"/>
        </w:rPr>
        <w:t>22.2.7.3 Data Model Additions</w:t>
      </w:r>
    </w:p>
    <w:p>
      <w:pPr>
        <w:spacing w:after="0" w:before="0" w:line="240" w:lineRule="auto"/>
        <w:ind w:left="57"/>
        <w:jc w:val="left"/>
        <w:shd w:val="clear" w:fill="F2F2F2"/>
      </w:pPr>
      <w:r>
        <w:rPr>
          <w:rFonts w:ascii="Consolas" w:hAnsi="Consolas" w:cs="Consolas"/>
          <w:b w:val="0"/>
          <w:i w:val="0"/>
          <w:sz w:val="15"/>
        </w:rPr>
        <w:t>ALTER TABLE seller_quotes ADD COLUMN price_zk_proof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 TABLE settlement_confirmations ADD COLUMN zk_proof TEXT;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22.2.7.4 Activation</w:t>
      </w:r>
    </w:p>
    <w:p>
      <w:pPr>
        <w:spacing w:after="80" w:line="293" w:lineRule="auto"/>
        <w:jc w:val="left"/>
      </w:pPr>
      <w:r>
        <w:rPr>
          <w:rFonts w:ascii="Times New Roman" w:hAnsi="Times New Roman" w:cs="Times New Roman"/>
          <w:b w:val="0"/>
          <w:i w:val="0"/>
          <w:sz w:val="22"/>
        </w:rPr>
        <w:t>Activation: Admin Portal → Add-Ons → Zero-Knowledge Proofs — Expanded. Each sub-feature is enabled independently: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Sub-Feature</w:t>
            </w:r>
          </w:p>
        </w:tc>
        <w:tc>
          <w:tcPr>
            <w:tcW w:type="dxa" w:w="3213"/>
            <w:shd w:val="clear" w:fill="D9E2F3"/>
          </w:tcPr>
          <w:p>
            <w:pPr>
              <w:spacing w:after="20" w:before="20" w:line="240" w:lineRule="auto"/>
            </w:pPr>
            <w:r/>
            <w:r>
              <w:rPr>
                <w:rFonts w:ascii="Arial" w:hAnsi="Arial" w:cs="Arial"/>
                <w:b/>
                <w:i w:val="0"/>
                <w:sz w:val="18"/>
              </w:rPr>
              <w:t>Portal</w:t>
            </w:r>
          </w:p>
        </w:tc>
        <w:tc>
          <w:tcPr>
            <w:tcW w:type="dxa" w:w="3213"/>
            <w:shd w:val="clear" w:fill="D9E2F3"/>
          </w:tcPr>
          <w:p>
            <w:pPr>
              <w:spacing w:after="20" w:before="20" w:line="240" w:lineRule="auto"/>
            </w:pPr>
            <w:r/>
            <w:r>
              <w:rPr>
                <w:rFonts w:ascii="Arial" w:hAnsi="Arial" w:cs="Arial"/>
                <w:b/>
                <w:i w:val="0"/>
                <w:sz w:val="18"/>
              </w:rPr>
              <w:t>Available</w:t>
            </w:r>
          </w:p>
        </w:tc>
      </w:tr>
      <w:tr>
        <w:tc>
          <w:tcPr>
            <w:tcW w:type="dxa" w:w="3213"/>
          </w:tcPr>
          <w:p>
            <w:pPr>
              <w:spacing w:after="20" w:before="20" w:line="240" w:lineRule="auto"/>
            </w:pPr>
            <w:r/>
            <w:r>
              <w:rPr>
                <w:rFonts w:ascii="Arial" w:hAnsi="Arial" w:cs="Arial"/>
                <w:b w:val="0"/>
                <w:i w:val="0"/>
                <w:sz w:val="17"/>
              </w:rPr>
              <w:t>Confidential Trade Terms</w:t>
            </w:r>
          </w:p>
        </w:tc>
        <w:tc>
          <w:tcPr>
            <w:tcW w:type="dxa" w:w="3213"/>
          </w:tcPr>
          <w:p>
            <w:pPr>
              <w:spacing w:after="20" w:before="20" w:line="240" w:lineRule="auto"/>
            </w:pPr>
            <w:r/>
            <w:r>
              <w:rPr>
                <w:rFonts w:ascii="Arial" w:hAnsi="Arial" w:cs="Arial"/>
                <w:b w:val="0"/>
                <w:i w:val="0"/>
                <w:sz w:val="17"/>
              </w:rPr>
              <w:t>Seller Quote</w:t>
            </w:r>
          </w:p>
        </w:tc>
        <w:tc>
          <w:tcPr>
            <w:tcW w:type="dxa" w:w="3213"/>
          </w:tcPr>
          <w:p>
            <w:pPr>
              <w:spacing w:after="20" w:before="20" w:line="240" w:lineRule="auto"/>
            </w:pPr>
            <w:r/>
            <w:r>
              <w:rPr>
                <w:rFonts w:ascii="Arial" w:hAnsi="Arial" w:cs="Arial"/>
                <w:b w:val="0"/>
                <w:i w:val="0"/>
                <w:sz w:val="17"/>
              </w:rPr>
              <w:t>Yes</w:t>
            </w:r>
          </w:p>
        </w:tc>
      </w:tr>
      <w:tr>
        <w:tc>
          <w:tcPr>
            <w:tcW w:type="dxa" w:w="3213"/>
          </w:tcPr>
          <w:p>
            <w:pPr>
              <w:spacing w:after="20" w:before="20" w:line="240" w:lineRule="auto"/>
            </w:pPr>
            <w:r/>
            <w:r>
              <w:rPr>
                <w:rFonts w:ascii="Arial" w:hAnsi="Arial" w:cs="Arial"/>
                <w:b w:val="0"/>
                <w:i w:val="0"/>
                <w:sz w:val="17"/>
              </w:rPr>
              <w:t>Private Settlement</w:t>
            </w:r>
          </w:p>
        </w:tc>
        <w:tc>
          <w:tcPr>
            <w:tcW w:type="dxa" w:w="3213"/>
          </w:tcPr>
          <w:p>
            <w:pPr>
              <w:spacing w:after="20" w:before="20" w:line="240" w:lineRule="auto"/>
            </w:pPr>
            <w:r/>
            <w:r>
              <w:rPr>
                <w:rFonts w:ascii="Arial" w:hAnsi="Arial" w:cs="Arial"/>
                <w:b w:val="0"/>
                <w:i w:val="0"/>
                <w:sz w:val="17"/>
              </w:rPr>
              <w:t>Settlement</w:t>
            </w:r>
          </w:p>
        </w:tc>
        <w:tc>
          <w:tcPr>
            <w:tcW w:type="dxa" w:w="3213"/>
          </w:tcPr>
          <w:p>
            <w:pPr>
              <w:spacing w:after="20" w:before="20" w:line="240" w:lineRule="auto"/>
            </w:pPr>
            <w:r/>
            <w:r>
              <w:rPr>
                <w:rFonts w:ascii="Arial" w:hAnsi="Arial" w:cs="Arial"/>
                <w:b w:val="0"/>
                <w:i w:val="0"/>
                <w:sz w:val="17"/>
              </w:rPr>
              <w:t>Yes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Activation steps:</w:t>
      </w:r>
    </w:p>
    <w:p>
      <w:pPr>
        <w:spacing w:after="80" w:line="293" w:lineRule="auto"/>
        <w:jc w:val="left"/>
      </w:pPr>
      <w:r>
        <w:rPr>
          <w:rFonts w:ascii="Times New Roman" w:hAnsi="Times New Roman" w:cs="Times New Roman"/>
          <w:b w:val="0"/>
          <w:i w:val="0"/>
          <w:sz w:val="22"/>
        </w:rPr>
        <w:t>1. Admin toggles the desired feature. 2. System compiles the corresponding Plonky3 circuit (one-time, approximately 30 seconds). 3. The circuit is cached and served to clients as a WASM module. 4. The feature becomes available in the respective portal.</w:t>
      </w:r>
    </w:p>
    <w:p>
      <w:pPr>
        <w:spacing w:after="80" w:line="293" w:lineRule="auto"/>
        <w:jc w:val="left"/>
      </w:pPr>
      <w:r>
        <w:rPr>
          <w:rFonts w:ascii="Times New Roman" w:hAnsi="Times New Roman" w:cs="Times New Roman"/>
          <w:b w:val="0"/>
          <w:i w:val="0"/>
          <w:sz w:val="22"/>
        </w:rPr>
        <w:t>Multisig is not required — circuit compilation is automated and auditable. Zero-cost: all tooling is open-source (Plonky3, WASM toolchain); client-side proof generation uses the user's device and server verification is lightweight.</w:t>
      </w:r>
    </w:p>
    <w:p>
      <w:pPr>
        <w:spacing w:after="80" w:line="293" w:lineRule="auto"/>
        <w:jc w:val="left"/>
      </w:pPr>
      <w:r>
        <w:rPr>
          <w:rFonts w:ascii="Times New Roman" w:hAnsi="Times New Roman" w:cs="Times New Roman"/>
          <w:b w:val="0"/>
          <w:i w:val="0"/>
          <w:sz w:val="22"/>
        </w:rPr>
        <w:t>One-click: Admin clicks "Enable", circuits are compiled, and the features become available.</w:t>
      </w:r>
    </w:p>
    <w:p>
      <w:pPr>
        <w:keepNext/>
        <w:spacing w:before="140" w:after="60"/>
        <w:outlineLvl w:val="3"/>
      </w:pPr>
      <w:r>
        <w:rPr>
          <w:rFonts w:ascii="Arial" w:hAnsi="Arial" w:cs="Arial"/>
          <w:b/>
          <w:i/>
          <w:color w:val="333333"/>
          <w:sz w:val="22"/>
        </w:rPr>
        <w:t>22.2.7.5 AI Authority Summary</w:t>
      </w:r>
    </w:p>
    <w:p>
      <w:pPr>
        <w:spacing w:after="80" w:line="293" w:lineRule="auto"/>
        <w:jc w:val="left"/>
      </w:pPr>
      <w:r>
        <w:rPr>
          <w:rFonts w:ascii="Times New Roman" w:hAnsi="Times New Roman" w:cs="Times New Roman"/>
          <w:b w:val="0"/>
          <w:i w:val="0"/>
          <w:sz w:val="22"/>
        </w:rPr>
        <w:t>A2 for proof verification; A4 for Governor integration. Non-marketplace safeguard: ZK proofs never reveal sensitive data — only what is necessary for verification.</w:t>
      </w:r>
    </w:p>
    <w:p>
      <w:pPr>
        <w:keepNext/>
        <w:spacing w:before="140" w:after="60"/>
        <w:outlineLvl w:val="3"/>
      </w:pPr>
      <w:r>
        <w:rPr>
          <w:rFonts w:ascii="Arial" w:hAnsi="Arial" w:cs="Arial"/>
          <w:b/>
          <w:i/>
          <w:color w:val="333333"/>
          <w:sz w:val="22"/>
        </w:rPr>
        <w:t>22.2.7.6 Implementation Checklist</w:t>
      </w:r>
    </w:p>
    <w:p>
      <w:pPr>
        <w:spacing w:after="80" w:line="293" w:lineRule="auto"/>
        <w:ind w:left="283"/>
        <w:jc w:val="left"/>
      </w:pPr>
      <w:r>
        <w:rPr>
          <w:rFonts w:ascii="Times New Roman" w:hAnsi="Times New Roman" w:cs="Times New Roman"/>
          <w:b w:val="0"/>
          <w:i w:val="0"/>
          <w:sz w:val="22"/>
        </w:rPr>
        <w:t>- Integrate Plonky3 and compile circuits for the two use cases.</w:t>
      </w:r>
    </w:p>
    <w:p>
      <w:pPr>
        <w:spacing w:after="80" w:line="293" w:lineRule="auto"/>
        <w:ind w:left="283"/>
        <w:jc w:val="left"/>
      </w:pPr>
      <w:r>
        <w:rPr>
          <w:rFonts w:ascii="Times New Roman" w:hAnsi="Times New Roman" w:cs="Times New Roman"/>
          <w:b w:val="0"/>
          <w:i w:val="0"/>
          <w:sz w:val="22"/>
        </w:rPr>
        <w:t>- Add client-side WASM modules for proof generation.</w:t>
      </w:r>
    </w:p>
    <w:p>
      <w:pPr>
        <w:spacing w:after="80" w:line="293" w:lineRule="auto"/>
        <w:ind w:left="283"/>
        <w:jc w:val="left"/>
      </w:pPr>
      <w:r>
        <w:rPr>
          <w:rFonts w:ascii="Times New Roman" w:hAnsi="Times New Roman" w:cs="Times New Roman"/>
          <w:b w:val="0"/>
          <w:i w:val="0"/>
          <w:sz w:val="22"/>
        </w:rPr>
        <w:t>- Implement the server-side verification endpoint.</w:t>
      </w:r>
    </w:p>
    <w:p>
      <w:pPr>
        <w:spacing w:after="80" w:line="293" w:lineRule="auto"/>
        <w:ind w:left="283"/>
        <w:jc w:val="left"/>
      </w:pPr>
      <w:r>
        <w:rPr>
          <w:rFonts w:ascii="Times New Roman" w:hAnsi="Times New Roman" w:cs="Times New Roman"/>
          <w:b w:val="0"/>
          <w:i w:val="0"/>
          <w:sz w:val="22"/>
        </w:rPr>
        <w:t>- Add UI toggles in the Seller Quote and Settlement.</w:t>
      </w:r>
    </w:p>
    <w:p>
      <w:pPr>
        <w:keepNext/>
        <w:spacing w:before="180" w:after="80"/>
        <w:outlineLvl w:val="2"/>
      </w:pPr>
      <w:r>
        <w:rPr>
          <w:rFonts w:ascii="Arial" w:hAnsi="Arial" w:cs="Arial"/>
          <w:b/>
          <w:i w:val="0"/>
          <w:color w:val="333333"/>
          <w:sz w:val="23"/>
        </w:rPr>
        <w:t>22.2.8 Activation Workflow, Testing &amp; AI Authority Summary (Built-In Add-Ons)</w:t>
      </w:r>
    </w:p>
    <w:p>
      <w:pPr>
        <w:spacing w:after="80" w:line="293" w:lineRule="auto"/>
        <w:jc w:val="left"/>
      </w:pPr>
      <w:r>
        <w:rPr>
          <w:rFonts w:ascii="Times New Roman" w:hAnsi="Times New Roman" w:cs="Times New Roman"/>
          <w:b w:val="0"/>
          <w:i w:val="0"/>
          <w:sz w:val="22"/>
        </w:rPr>
        <w:t>None of the built-in add-ons introduce marketplace features. They only enhance security, risk detection, privacy, and resilience. The platform never uses them to recommend counterparties or service providers. AI authority for activation is A4; notification is A1. Cross-add-on optimization runs at A2; cross-add-on orchestration runs at A4.</w:t>
      </w:r>
    </w:p>
    <w:p>
      <w:pPr>
        <w:spacing w:after="80" w:line="293" w:lineRule="auto"/>
        <w:jc w:val="left"/>
      </w:pPr>
      <w:r>
        <w:rPr>
          <w:rFonts w:ascii="Times New Roman" w:hAnsi="Times New Roman" w:cs="Times New Roman"/>
          <w:b w:val="0"/>
          <w:i w:val="0"/>
          <w:sz w:val="22"/>
        </w:rPr>
        <w:t>Verification testing for the built-in add-ons:</w:t>
      </w:r>
    </w:p>
    <w:p>
      <w:pPr>
        <w:spacing w:after="80" w:line="293" w:lineRule="auto"/>
        <w:ind w:left="283"/>
        <w:jc w:val="left"/>
      </w:pPr>
      <w:r>
        <w:rPr>
          <w:rFonts w:ascii="Times New Roman" w:hAnsi="Times New Roman" w:cs="Times New Roman"/>
          <w:b w:val="0"/>
          <w:i w:val="0"/>
          <w:sz w:val="22"/>
        </w:rPr>
        <w:t>- Simulate a federated learning round across nodes.</w:t>
      </w:r>
    </w:p>
    <w:p>
      <w:pPr>
        <w:spacing w:after="80" w:line="293" w:lineRule="auto"/>
        <w:ind w:left="283"/>
        <w:jc w:val="left"/>
      </w:pPr>
      <w:r>
        <w:rPr>
          <w:rFonts w:ascii="Times New Roman" w:hAnsi="Times New Roman" w:cs="Times New Roman"/>
          <w:b w:val="0"/>
          <w:i w:val="0"/>
          <w:sz w:val="22"/>
        </w:rPr>
        <w:t>- Trigger a chaos experiment and verify auto-healing.</w:t>
      </w:r>
    </w:p>
    <w:p>
      <w:pPr>
        <w:spacing w:after="80" w:line="293" w:lineRule="auto"/>
        <w:ind w:left="283"/>
        <w:jc w:val="left"/>
      </w:pPr>
      <w:r>
        <w:rPr>
          <w:rFonts w:ascii="Times New Roman" w:hAnsi="Times New Roman" w:cs="Times New Roman"/>
          <w:b w:val="0"/>
          <w:i w:val="0"/>
          <w:sz w:val="22"/>
        </w:rPr>
        <w:t>- Run an automated pentest and verify the CI/CD block.</w:t>
      </w:r>
    </w:p>
    <w:p>
      <w:pPr>
        <w:spacing w:after="80" w:line="293" w:lineRule="auto"/>
        <w:ind w:left="283"/>
        <w:jc w:val="left"/>
      </w:pPr>
      <w:r>
        <w:rPr>
          <w:rFonts w:ascii="Times New Roman" w:hAnsi="Times New Roman" w:cs="Times New Roman"/>
          <w:b w:val="0"/>
          <w:i w:val="0"/>
          <w:sz w:val="22"/>
        </w:rPr>
        <w:t>- Verify ZK proof generation and verification.</w:t>
      </w:r>
    </w:p>
    <w:p>
      <w:pPr>
        <w:spacing w:after="80" w:line="293" w:lineRule="auto"/>
        <w:ind w:left="283"/>
        <w:jc w:val="left"/>
      </w:pPr>
      <w:r>
        <w:rPr>
          <w:rFonts w:ascii="Times New Roman" w:hAnsi="Times New Roman" w:cs="Times New Roman"/>
          <w:b w:val="0"/>
          <w:i w:val="0"/>
          <w:sz w:val="22"/>
        </w:rPr>
        <w:t>- Test GNN sanctions proximity (≤ 2 hops → CONDITIONAL).</w:t>
      </w:r>
    </w:p>
    <w:p>
      <w:pPr>
        <w:spacing w:after="80" w:line="293" w:lineRule="auto"/>
        <w:ind w:left="283"/>
        <w:jc w:val="left"/>
      </w:pPr>
      <w:r>
        <w:rPr>
          <w:rFonts w:ascii="Times New Roman" w:hAnsi="Times New Roman" w:cs="Times New Roman"/>
          <w:b w:val="0"/>
          <w:i w:val="0"/>
          <w:sz w:val="22"/>
        </w:rPr>
        <w:t>- Test causal inference on dispute filing.</w:t>
      </w:r>
    </w:p>
    <w:p>
      <w:pPr>
        <w:spacing w:after="80" w:line="293" w:lineRule="auto"/>
        <w:ind w:left="283"/>
        <w:jc w:val="left"/>
      </w:pPr>
      <w:r>
        <w:rPr>
          <w:rFonts w:ascii="Times New Roman" w:hAnsi="Times New Roman" w:cs="Times New Roman"/>
          <w:b w:val="0"/>
          <w:i w:val="0"/>
          <w:sz w:val="22"/>
        </w:rPr>
        <w:t>- Test PQC signature generation and verification.</w:t>
      </w:r>
    </w:p>
    <w:p>
      <w:pPr>
        <w:spacing w:after="80" w:line="293" w:lineRule="auto"/>
        <w:jc w:val="left"/>
      </w:pPr>
      <w:r>
        <w:rPr>
          <w:rFonts w:ascii="Times New Roman" w:hAnsi="Times New Roman" w:cs="Times New Roman"/>
          <w:b w:val="0"/>
          <w:i w:val="0"/>
          <w:sz w:val="22"/>
        </w:rPr>
        <w:t>AI authority assignments across the built-in add-ons:</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Add-On</w:t>
            </w:r>
          </w:p>
        </w:tc>
        <w:tc>
          <w:tcPr>
            <w:tcW w:type="dxa" w:w="1928"/>
            <w:shd w:val="clear" w:fill="D9E2F3"/>
          </w:tcPr>
          <w:p>
            <w:pPr>
              <w:spacing w:after="20" w:before="20" w:line="240" w:lineRule="auto"/>
            </w:pPr>
            <w:r/>
            <w:r>
              <w:rPr>
                <w:rFonts w:ascii="Arial" w:hAnsi="Arial" w:cs="Arial"/>
                <w:b/>
                <w:i w:val="0"/>
                <w:sz w:val="18"/>
              </w:rPr>
              <w:t>A1</w:t>
            </w:r>
          </w:p>
        </w:tc>
        <w:tc>
          <w:tcPr>
            <w:tcW w:type="dxa" w:w="1928"/>
            <w:shd w:val="clear" w:fill="D9E2F3"/>
          </w:tcPr>
          <w:p>
            <w:pPr>
              <w:spacing w:after="20" w:before="20" w:line="240" w:lineRule="auto"/>
            </w:pPr>
            <w:r/>
            <w:r>
              <w:rPr>
                <w:rFonts w:ascii="Arial" w:hAnsi="Arial" w:cs="Arial"/>
                <w:b/>
                <w:i w:val="0"/>
                <w:sz w:val="18"/>
              </w:rPr>
              <w:t>A2</w:t>
            </w:r>
          </w:p>
        </w:tc>
        <w:tc>
          <w:tcPr>
            <w:tcW w:type="dxa" w:w="1928"/>
            <w:shd w:val="clear" w:fill="D9E2F3"/>
          </w:tcPr>
          <w:p>
            <w:pPr>
              <w:spacing w:after="20" w:before="20" w:line="240" w:lineRule="auto"/>
            </w:pPr>
            <w:r/>
            <w:r>
              <w:rPr>
                <w:rFonts w:ascii="Arial" w:hAnsi="Arial" w:cs="Arial"/>
                <w:b/>
                <w:i w:val="0"/>
                <w:sz w:val="18"/>
              </w:rPr>
              <w:t>A3</w:t>
            </w:r>
          </w:p>
        </w:tc>
        <w:tc>
          <w:tcPr>
            <w:tcW w:type="dxa" w:w="1928"/>
            <w:shd w:val="clear" w:fill="D9E2F3"/>
          </w:tcPr>
          <w:p>
            <w:pPr>
              <w:spacing w:after="20" w:before="20" w:line="240" w:lineRule="auto"/>
            </w:pPr>
            <w:r/>
            <w:r>
              <w:rPr>
                <w:rFonts w:ascii="Arial" w:hAnsi="Arial" w:cs="Arial"/>
                <w:b/>
                <w:i w:val="0"/>
                <w:sz w:val="18"/>
              </w:rPr>
              <w:t>A4</w:t>
            </w:r>
          </w:p>
        </w:tc>
      </w:tr>
      <w:tr>
        <w:tc>
          <w:tcPr>
            <w:tcW w:type="dxa" w:w="1928"/>
          </w:tcPr>
          <w:p>
            <w:pPr>
              <w:spacing w:after="20" w:before="20" w:line="240" w:lineRule="auto"/>
            </w:pPr>
            <w:r/>
            <w:r>
              <w:rPr>
                <w:rFonts w:ascii="Arial" w:hAnsi="Arial" w:cs="Arial"/>
                <w:b w:val="0"/>
                <w:i w:val="0"/>
                <w:sz w:val="17"/>
              </w:rPr>
              <w:t>1 — GNN Risk Engine</w:t>
            </w:r>
          </w:p>
        </w:tc>
        <w:tc>
          <w:tcPr>
            <w:tcW w:type="dxa" w:w="1928"/>
          </w:tcPr>
          <w:p>
            <w:pPr>
              <w:spacing w:after="20" w:before="20" w:line="240" w:lineRule="auto"/>
            </w:pPr>
            <w:r/>
            <w:r>
              <w:rPr>
                <w:rFonts w:ascii="Arial" w:hAnsi="Arial" w:cs="Arial"/>
                <w:b w:val="0"/>
                <w:i w:val="0"/>
                <w:sz w:val="17"/>
              </w:rPr>
              <w:t>Explanations</w:t>
            </w:r>
          </w:p>
        </w:tc>
        <w:tc>
          <w:tcPr>
            <w:tcW w:type="dxa" w:w="1928"/>
          </w:tcPr>
          <w:p>
            <w:pPr>
              <w:spacing w:after="20" w:before="20" w:line="240" w:lineRule="auto"/>
            </w:pPr>
            <w:r/>
            <w:r>
              <w:rPr>
                <w:rFonts w:ascii="Arial" w:hAnsi="Arial" w:cs="Arial"/>
                <w:b w:val="0"/>
                <w:i w:val="0"/>
                <w:sz w:val="17"/>
              </w:rPr>
              <w:t>Sanctions/risk inference, trust graph scoring</w:t>
            </w:r>
          </w:p>
        </w:tc>
        <w:tc>
          <w:tcPr>
            <w:tcW w:type="dxa" w:w="1928"/>
          </w:tcPr>
          <w:p>
            <w:pPr>
              <w:spacing w:after="20" w:before="20" w:line="240" w:lineRule="auto"/>
            </w:pPr>
            <w:r/>
            <w:r>
              <w:rPr>
                <w:rFonts w:ascii="Arial" w:hAnsi="Arial" w:cs="Arial"/>
                <w:b w:val="0"/>
                <w:i w:val="0"/>
                <w:sz w:val="17"/>
              </w:rPr>
              <w:t>Model approval (multisig)</w:t>
            </w:r>
          </w:p>
        </w:tc>
        <w:tc>
          <w:tcPr>
            <w:tcW w:type="dxa" w:w="1928"/>
          </w:tcPr>
          <w:p>
            <w:pPr>
              <w:spacing w:after="20" w:before="20" w:line="240" w:lineRule="auto"/>
            </w:pPr>
            <w:r/>
            <w:r>
              <w:rPr>
                <w:rFonts w:ascii="Arial" w:hAnsi="Arial" w:cs="Arial"/>
                <w:b w:val="0"/>
                <w:i w:val="0"/>
                <w:sz w:val="17"/>
              </w:rPr>
              <w:t>Fallback, Governor integration</w:t>
            </w:r>
          </w:p>
        </w:tc>
      </w:tr>
      <w:tr>
        <w:tc>
          <w:tcPr>
            <w:tcW w:type="dxa" w:w="1928"/>
          </w:tcPr>
          <w:p>
            <w:pPr>
              <w:spacing w:after="20" w:before="20" w:line="240" w:lineRule="auto"/>
            </w:pPr>
            <w:r/>
            <w:r>
              <w:rPr>
                <w:rFonts w:ascii="Arial" w:hAnsi="Arial" w:cs="Arial"/>
                <w:b w:val="0"/>
                <w:i w:val="0"/>
                <w:sz w:val="17"/>
              </w:rPr>
              <w:t>2 — Federated Learning</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Local training, inference</w:t>
            </w:r>
          </w:p>
        </w:tc>
        <w:tc>
          <w:tcPr>
            <w:tcW w:type="dxa" w:w="1928"/>
          </w:tcPr>
          <w:p>
            <w:pPr>
              <w:spacing w:after="20" w:before="20" w:line="240" w:lineRule="auto"/>
            </w:pPr>
            <w:r/>
            <w:r>
              <w:rPr>
                <w:rFonts w:ascii="Arial" w:hAnsi="Arial" w:cs="Arial"/>
                <w:b w:val="0"/>
                <w:i w:val="0"/>
                <w:sz w:val="17"/>
              </w:rPr>
              <w:t>Model approval, drift escalation</w:t>
            </w:r>
          </w:p>
        </w:tc>
        <w:tc>
          <w:tcPr>
            <w:tcW w:type="dxa" w:w="1928"/>
          </w:tcPr>
          <w:p>
            <w:pPr>
              <w:spacing w:after="20" w:before="20" w:line="240" w:lineRule="auto"/>
            </w:pPr>
            <w:r/>
            <w:r>
              <w:rPr>
                <w:rFonts w:ascii="Arial" w:hAnsi="Arial" w:cs="Arial"/>
                <w:b w:val="0"/>
                <w:i w:val="0"/>
                <w:sz w:val="17"/>
              </w:rPr>
              <w:t>Model distribution, access control</w:t>
            </w:r>
          </w:p>
        </w:tc>
      </w:tr>
      <w:tr>
        <w:tc>
          <w:tcPr>
            <w:tcW w:type="dxa" w:w="1928"/>
          </w:tcPr>
          <w:p>
            <w:pPr>
              <w:spacing w:after="20" w:before="20" w:line="240" w:lineRule="auto"/>
            </w:pPr>
            <w:r/>
            <w:r>
              <w:rPr>
                <w:rFonts w:ascii="Arial" w:hAnsi="Arial" w:cs="Arial"/>
                <w:b w:val="0"/>
                <w:i w:val="0"/>
                <w:sz w:val="17"/>
              </w:rPr>
              <w:t>3 — Causal Inference</w:t>
            </w:r>
          </w:p>
        </w:tc>
        <w:tc>
          <w:tcPr>
            <w:tcW w:type="dxa" w:w="1928"/>
          </w:tcPr>
          <w:p>
            <w:pPr>
              <w:spacing w:after="20" w:before="20" w:line="240" w:lineRule="auto"/>
            </w:pPr>
            <w:r/>
            <w:r>
              <w:rPr>
                <w:rFonts w:ascii="Arial" w:hAnsi="Arial" w:cs="Arial"/>
                <w:b w:val="0"/>
                <w:i w:val="0"/>
                <w:sz w:val="17"/>
              </w:rPr>
              <w:t>Groq summaries</w:t>
            </w:r>
          </w:p>
        </w:tc>
        <w:tc>
          <w:tcPr>
            <w:tcW w:type="dxa" w:w="1928"/>
          </w:tcPr>
          <w:p>
            <w:pPr>
              <w:spacing w:after="20" w:before="20" w:line="240" w:lineRule="auto"/>
            </w:pPr>
            <w:r/>
            <w:r>
              <w:rPr>
                <w:rFonts w:ascii="Arial" w:hAnsi="Arial" w:cs="Arial"/>
                <w:b w:val="0"/>
                <w:i w:val="0"/>
                <w:sz w:val="17"/>
              </w:rPr>
              <w:t>Causal inference (DoWhy + EconML)</w:t>
            </w:r>
          </w:p>
        </w:tc>
        <w:tc>
          <w:tcPr>
            <w:tcW w:type="dxa" w:w="1928"/>
          </w:tcPr>
          <w:p>
            <w:pPr>
              <w:spacing w:after="20" w:before="20" w:line="240" w:lineRule="auto"/>
            </w:pPr>
            <w:r/>
            <w:r>
              <w:rPr>
                <w:rFonts w:ascii="Arial" w:hAnsi="Arial" w:cs="Arial"/>
                <w:b w:val="0"/>
                <w:i w:val="0"/>
                <w:sz w:val="17"/>
              </w:rPr>
              <w:t>Causal inference escalation</w:t>
            </w:r>
          </w:p>
        </w:tc>
        <w:tc>
          <w:tcPr>
            <w:tcW w:type="dxa" w:w="1928"/>
          </w:tcPr>
          <w:p>
            <w:pPr>
              <w:spacing w:after="20" w:before="20" w:line="240" w:lineRule="auto"/>
            </w:pPr>
            <w:r/>
            <w:r>
              <w:rPr>
                <w:rFonts w:ascii="Arial" w:hAnsi="Arial" w:cs="Arial"/>
                <w:b w:val="0"/>
                <w:i w:val="0"/>
                <w:sz w:val="17"/>
              </w:rPr>
              <w:t>—</w:t>
            </w:r>
          </w:p>
        </w:tc>
      </w:tr>
      <w:tr>
        <w:tc>
          <w:tcPr>
            <w:tcW w:type="dxa" w:w="1928"/>
          </w:tcPr>
          <w:p>
            <w:pPr>
              <w:spacing w:after="20" w:before="20" w:line="240" w:lineRule="auto"/>
            </w:pPr>
            <w:r/>
            <w:r>
              <w:rPr>
                <w:rFonts w:ascii="Arial" w:hAnsi="Arial" w:cs="Arial"/>
                <w:b w:val="0"/>
                <w:i w:val="0"/>
                <w:sz w:val="17"/>
              </w:rPr>
              <w:t>4 — Self-Healing &amp; Chaos</w:t>
            </w:r>
          </w:p>
        </w:tc>
        <w:tc>
          <w:tcPr>
            <w:tcW w:type="dxa" w:w="1928"/>
          </w:tcPr>
          <w:p>
            <w:pPr>
              <w:spacing w:after="20" w:before="20" w:line="240" w:lineRule="auto"/>
            </w:pPr>
            <w:r/>
            <w:r>
              <w:rPr>
                <w:rFonts w:ascii="Arial" w:hAnsi="Arial" w:cs="Arial"/>
                <w:b w:val="0"/>
                <w:i w:val="0"/>
                <w:sz w:val="17"/>
              </w:rPr>
              <w:t>Post-mortems</w:t>
            </w:r>
          </w:p>
        </w:tc>
        <w:tc>
          <w:tcPr>
            <w:tcW w:type="dxa" w:w="1928"/>
          </w:tcPr>
          <w:p>
            <w:pPr>
              <w:spacing w:after="20" w:before="20" w:line="240" w:lineRule="auto"/>
            </w:pPr>
            <w:r/>
            <w:r>
              <w:rPr>
                <w:rFonts w:ascii="Arial" w:hAnsi="Arial" w:cs="Arial"/>
                <w:b w:val="0"/>
                <w:i w:val="0"/>
                <w:sz w:val="17"/>
              </w:rPr>
              <w:t>LSTM hardware failure prediction</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Orchestration</w:t>
            </w:r>
          </w:p>
        </w:tc>
      </w:tr>
      <w:tr>
        <w:tc>
          <w:tcPr>
            <w:tcW w:type="dxa" w:w="1928"/>
          </w:tcPr>
          <w:p>
            <w:pPr>
              <w:spacing w:after="20" w:before="20" w:line="240" w:lineRule="auto"/>
            </w:pPr>
            <w:r/>
            <w:r>
              <w:rPr>
                <w:rFonts w:ascii="Arial" w:hAnsi="Arial" w:cs="Arial"/>
                <w:b w:val="0"/>
                <w:i w:val="0"/>
                <w:sz w:val="17"/>
              </w:rPr>
              <w:t>5 — Automated Pentesting</w:t>
            </w:r>
          </w:p>
        </w:tc>
        <w:tc>
          <w:tcPr>
            <w:tcW w:type="dxa" w:w="1928"/>
          </w:tcPr>
          <w:p>
            <w:pPr>
              <w:spacing w:after="20" w:before="20" w:line="240" w:lineRule="auto"/>
            </w:pPr>
            <w:r/>
            <w:r>
              <w:rPr>
                <w:rFonts w:ascii="Arial" w:hAnsi="Arial" w:cs="Arial"/>
                <w:b w:val="0"/>
                <w:i w:val="0"/>
                <w:sz w:val="17"/>
              </w:rPr>
              <w:t>Scan summaries</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CI/CD integration</w:t>
            </w:r>
          </w:p>
        </w:tc>
      </w:tr>
      <w:tr>
        <w:tc>
          <w:tcPr>
            <w:tcW w:type="dxa" w:w="1928"/>
          </w:tcPr>
          <w:p>
            <w:pPr>
              <w:spacing w:after="20" w:before="20" w:line="240" w:lineRule="auto"/>
            </w:pPr>
            <w:r/>
            <w:r>
              <w:rPr>
                <w:rFonts w:ascii="Arial" w:hAnsi="Arial" w:cs="Arial"/>
                <w:b w:val="0"/>
                <w:i w:val="0"/>
                <w:sz w:val="17"/>
              </w:rPr>
              <w:t>6 — Post-Quantum Cryptography</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Key generation approval</w:t>
            </w:r>
          </w:p>
        </w:tc>
        <w:tc>
          <w:tcPr>
            <w:tcW w:type="dxa" w:w="1928"/>
          </w:tcPr>
          <w:p>
            <w:pPr>
              <w:spacing w:after="20" w:before="20" w:line="240" w:lineRule="auto"/>
            </w:pPr>
            <w:r/>
            <w:r>
              <w:rPr>
                <w:rFonts w:ascii="Arial" w:hAnsi="Arial" w:cs="Arial"/>
                <w:b w:val="0"/>
                <w:i w:val="0"/>
                <w:sz w:val="17"/>
              </w:rPr>
              <w:t>Background re-signing</w:t>
            </w:r>
          </w:p>
        </w:tc>
      </w:tr>
      <w:tr>
        <w:tc>
          <w:tcPr>
            <w:tcW w:type="dxa" w:w="1928"/>
          </w:tcPr>
          <w:p>
            <w:pPr>
              <w:spacing w:after="20" w:before="20" w:line="240" w:lineRule="auto"/>
            </w:pPr>
            <w:r/>
            <w:r>
              <w:rPr>
                <w:rFonts w:ascii="Arial" w:hAnsi="Arial" w:cs="Arial"/>
                <w:b w:val="0"/>
                <w:i w:val="0"/>
                <w:sz w:val="17"/>
              </w:rPr>
              <w:t>7 — Expanded ZK Proofs</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Proof verification</w:t>
            </w:r>
          </w:p>
        </w:tc>
        <w:tc>
          <w:tcPr>
            <w:tcW w:type="dxa" w:w="1928"/>
          </w:tcPr>
          <w:p>
            <w:pPr>
              <w:spacing w:after="20" w:before="20" w:line="240" w:lineRule="auto"/>
            </w:pPr>
            <w:r/>
            <w:r>
              <w:rPr>
                <w:rFonts w:ascii="Arial" w:hAnsi="Arial" w:cs="Arial"/>
                <w:b w:val="0"/>
                <w:i w:val="0"/>
                <w:sz w:val="17"/>
              </w:rPr>
              <w:t>—</w:t>
            </w:r>
          </w:p>
        </w:tc>
        <w:tc>
          <w:tcPr>
            <w:tcW w:type="dxa" w:w="1928"/>
          </w:tcPr>
          <w:p>
            <w:pPr>
              <w:spacing w:after="20" w:before="20" w:line="240" w:lineRule="auto"/>
            </w:pPr>
            <w:r/>
            <w:r>
              <w:rPr>
                <w:rFonts w:ascii="Arial" w:hAnsi="Arial" w:cs="Arial"/>
                <w:b w:val="0"/>
                <w:i w:val="0"/>
                <w:sz w:val="17"/>
              </w:rPr>
              <w:t>Governor integration</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22.3 Add-On 8: Customs Bond &amp; Guarantee Management</w:t>
      </w:r>
    </w:p>
    <w:p>
      <w:pPr>
        <w:keepNext/>
        <w:spacing w:before="180" w:after="80"/>
        <w:outlineLvl w:val="2"/>
      </w:pPr>
      <w:r>
        <w:rPr>
          <w:rFonts w:ascii="Arial" w:hAnsi="Arial" w:cs="Arial"/>
          <w:b/>
          <w:i w:val="0"/>
          <w:color w:val="333333"/>
          <w:sz w:val="23"/>
        </w:rPr>
        <w:t>22.3.1 Purpose &amp; Design Philosophy</w:t>
      </w:r>
    </w:p>
    <w:p>
      <w:pPr>
        <w:spacing w:after="80" w:line="293" w:lineRule="auto"/>
        <w:jc w:val="left"/>
      </w:pPr>
      <w:r>
        <w:rPr>
          <w:rFonts w:ascii="Times New Roman" w:hAnsi="Times New Roman" w:cs="Times New Roman"/>
          <w:b w:val="0"/>
          <w:i w:val="0"/>
          <w:sz w:val="22"/>
        </w:rPr>
        <w:t>This module manages all types of customs bonds, guarantees, and security deposits required for the conditional release of goods. It addresses the critical gap under Egyptian Customs Law 207/2020, Article 54 (bonds), and equivalent regulations worldwide.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Jurisdiction-aware — different countries have different bond requirements.</w:t>
      </w:r>
    </w:p>
    <w:p>
      <w:pPr>
        <w:spacing w:after="80" w:line="293" w:lineRule="auto"/>
        <w:ind w:left="283"/>
        <w:jc w:val="left"/>
      </w:pPr>
      <w:r>
        <w:rPr>
          <w:rFonts w:ascii="Times New Roman" w:hAnsi="Times New Roman" w:cs="Times New Roman"/>
          <w:b w:val="0"/>
          <w:i w:val="0"/>
          <w:sz w:val="22"/>
        </w:rPr>
        <w:t>- AI-driven — automatically calculates required bond amounts (A2, XGBoost).</w:t>
      </w:r>
    </w:p>
    <w:p>
      <w:pPr>
        <w:spacing w:after="80" w:line="293" w:lineRule="auto"/>
        <w:ind w:left="283"/>
        <w:jc w:val="left"/>
      </w:pPr>
      <w:r>
        <w:rPr>
          <w:rFonts w:ascii="Times New Roman" w:hAnsi="Times New Roman" w:cs="Times New Roman"/>
          <w:b w:val="0"/>
          <w:i w:val="0"/>
          <w:sz w:val="22"/>
        </w:rPr>
        <w:t>- Non-custodial — bonds are tracked, not held, by SGTX.</w:t>
      </w:r>
    </w:p>
    <w:p>
      <w:pPr>
        <w:spacing w:after="80" w:line="293" w:lineRule="auto"/>
        <w:ind w:left="283"/>
        <w:jc w:val="left"/>
      </w:pPr>
      <w:r>
        <w:rPr>
          <w:rFonts w:ascii="Times New Roman" w:hAnsi="Times New Roman" w:cs="Times New Roman"/>
          <w:b w:val="0"/>
          <w:i w:val="0"/>
          <w:sz w:val="22"/>
        </w:rPr>
        <w:t>- Automated monitoring — tracks bond expiry and sufficiency.</w:t>
      </w:r>
    </w:p>
    <w:p>
      <w:pPr>
        <w:spacing w:after="80" w:line="293" w:lineRule="auto"/>
        <w:ind w:left="283"/>
        <w:jc w:val="left"/>
      </w:pPr>
      <w:r>
        <w:rPr>
          <w:rFonts w:ascii="Times New Roman" w:hAnsi="Times New Roman" w:cs="Times New Roman"/>
          <w:b w:val="0"/>
          <w:i w:val="0"/>
          <w:sz w:val="22"/>
        </w:rPr>
        <w:t>- Integration-ready — links with the CBE for bank guarantee verification.</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plain-language bond explanations, expiry reminders.</w:t>
      </w:r>
    </w:p>
    <w:p>
      <w:pPr>
        <w:spacing w:after="80" w:line="293" w:lineRule="auto"/>
        <w:ind w:left="283"/>
        <w:jc w:val="left"/>
      </w:pPr>
      <w:r>
        <w:rPr>
          <w:rFonts w:ascii="Times New Roman" w:hAnsi="Times New Roman" w:cs="Times New Roman"/>
          <w:b w:val="0"/>
          <w:i w:val="0"/>
          <w:sz w:val="22"/>
        </w:rPr>
        <w:t>- A2 (HF local → Ollama): bond amount calculation, risk assessment.</w:t>
      </w:r>
    </w:p>
    <w:p>
      <w:pPr>
        <w:spacing w:after="80" w:line="293" w:lineRule="auto"/>
        <w:ind w:left="283"/>
        <w:jc w:val="left"/>
      </w:pPr>
      <w:r>
        <w:rPr>
          <w:rFonts w:ascii="Times New Roman" w:hAnsi="Times New Roman" w:cs="Times New Roman"/>
          <w:b w:val="0"/>
          <w:i w:val="0"/>
          <w:sz w:val="22"/>
        </w:rPr>
        <w:t>- A4 (OPA + WasmEdge): bond validation, enforcement.</w:t>
      </w:r>
    </w:p>
    <w:p>
      <w:pPr>
        <w:keepNext/>
        <w:spacing w:before="180" w:after="80"/>
        <w:outlineLvl w:val="2"/>
      </w:pPr>
      <w:r>
        <w:rPr>
          <w:rFonts w:ascii="Arial" w:hAnsi="Arial" w:cs="Arial"/>
          <w:b/>
          <w:i w:val="0"/>
          <w:color w:val="333333"/>
          <w:sz w:val="23"/>
        </w:rPr>
        <w:t>22.3.2 Managed Guarantee Instruments</w:t>
      </w:r>
    </w:p>
    <w:p>
      <w:pPr>
        <w:spacing w:after="80" w:line="293" w:lineRule="auto"/>
        <w:jc w:val="left"/>
      </w:pPr>
      <w:r>
        <w:rPr>
          <w:rFonts w:ascii="Times New Roman" w:hAnsi="Times New Roman" w:cs="Times New Roman"/>
          <w:b w:val="0"/>
          <w:i w:val="0"/>
          <w:sz w:val="22"/>
        </w:rPr>
        <w:t>The module manages the platform's full guarantee instrument set:</w:t>
      </w:r>
    </w:p>
    <w:p>
      <w:pPr>
        <w:spacing w:after="80" w:line="293" w:lineRule="auto"/>
        <w:ind w:left="283"/>
        <w:jc w:val="left"/>
      </w:pPr>
      <w:r>
        <w:rPr>
          <w:rFonts w:ascii="Times New Roman" w:hAnsi="Times New Roman" w:cs="Times New Roman"/>
          <w:b w:val="0"/>
          <w:i w:val="0"/>
          <w:sz w:val="22"/>
        </w:rPr>
        <w:t>- TIR and eTIR transit guarantees.</w:t>
      </w:r>
    </w:p>
    <w:p>
      <w:pPr>
        <w:spacing w:after="80" w:line="293" w:lineRule="auto"/>
        <w:ind w:left="283"/>
        <w:jc w:val="left"/>
      </w:pPr>
      <w:r>
        <w:rPr>
          <w:rFonts w:ascii="Times New Roman" w:hAnsi="Times New Roman" w:cs="Times New Roman"/>
          <w:b w:val="0"/>
          <w:i w:val="0"/>
          <w:sz w:val="22"/>
        </w:rPr>
        <w:t>- Customs bond.</w:t>
      </w:r>
    </w:p>
    <w:p>
      <w:pPr>
        <w:spacing w:after="80" w:line="293" w:lineRule="auto"/>
        <w:ind w:left="283"/>
        <w:jc w:val="left"/>
      </w:pPr>
      <w:r>
        <w:rPr>
          <w:rFonts w:ascii="Times New Roman" w:hAnsi="Times New Roman" w:cs="Times New Roman"/>
          <w:b w:val="0"/>
          <w:i w:val="0"/>
          <w:sz w:val="22"/>
        </w:rPr>
        <w:t>- Bank guarantee.</w:t>
      </w:r>
    </w:p>
    <w:p>
      <w:pPr>
        <w:spacing w:after="80" w:line="293" w:lineRule="auto"/>
        <w:ind w:left="283"/>
        <w:jc w:val="left"/>
      </w:pPr>
      <w:r>
        <w:rPr>
          <w:rFonts w:ascii="Times New Roman" w:hAnsi="Times New Roman" w:cs="Times New Roman"/>
          <w:b w:val="0"/>
          <w:i w:val="0"/>
          <w:sz w:val="22"/>
        </w:rPr>
        <w:t>- Comprehensive guarantee.</w:t>
      </w:r>
    </w:p>
    <w:p>
      <w:pPr>
        <w:spacing w:after="80" w:line="293" w:lineRule="auto"/>
        <w:ind w:left="283"/>
        <w:jc w:val="left"/>
      </w:pPr>
      <w:r>
        <w:rPr>
          <w:rFonts w:ascii="Times New Roman" w:hAnsi="Times New Roman" w:cs="Times New Roman"/>
          <w:b w:val="0"/>
          <w:i w:val="0"/>
          <w:sz w:val="22"/>
        </w:rPr>
        <w:t>- Transit guarantee.</w:t>
      </w:r>
    </w:p>
    <w:p>
      <w:pPr>
        <w:spacing w:after="80" w:line="293" w:lineRule="auto"/>
        <w:ind w:left="283"/>
        <w:jc w:val="left"/>
      </w:pPr>
      <w:r>
        <w:rPr>
          <w:rFonts w:ascii="Times New Roman" w:hAnsi="Times New Roman" w:cs="Times New Roman"/>
          <w:b w:val="0"/>
          <w:i w:val="0"/>
          <w:sz w:val="22"/>
        </w:rPr>
        <w:t>- Duty deferral.</w:t>
      </w:r>
    </w:p>
    <w:p>
      <w:pPr>
        <w:spacing w:after="80" w:line="293" w:lineRule="auto"/>
        <w:ind w:left="283"/>
        <w:jc w:val="left"/>
      </w:pPr>
      <w:r>
        <w:rPr>
          <w:rFonts w:ascii="Times New Roman" w:hAnsi="Times New Roman" w:cs="Times New Roman"/>
          <w:b w:val="0"/>
          <w:i w:val="0"/>
          <w:sz w:val="22"/>
        </w:rPr>
        <w:t>- Temporary admission.</w:t>
      </w:r>
    </w:p>
    <w:p>
      <w:pPr>
        <w:spacing w:after="80" w:line="293" w:lineRule="auto"/>
        <w:ind w:left="283"/>
        <w:jc w:val="left"/>
      </w:pPr>
      <w:r>
        <w:rPr>
          <w:rFonts w:ascii="Times New Roman" w:hAnsi="Times New Roman" w:cs="Times New Roman"/>
          <w:b w:val="0"/>
          <w:i w:val="0"/>
          <w:sz w:val="22"/>
        </w:rPr>
        <w:t>- Warehouse guarantee.</w:t>
      </w:r>
    </w:p>
    <w:p>
      <w:pPr>
        <w:spacing w:after="80" w:line="293" w:lineRule="auto"/>
        <w:jc w:val="left"/>
      </w:pPr>
      <w:r>
        <w:rPr>
          <w:rFonts w:ascii="Times New Roman" w:hAnsi="Times New Roman" w:cs="Times New Roman"/>
          <w:b w:val="0"/>
          <w:i w:val="0"/>
          <w:sz w:val="22"/>
        </w:rPr>
        <w:t>The instrument set aligns with the bonded and special regimes supported by the platform — bonded warehouse, customs warehouse, free zone, free port, inward processing, outward processing, temporary admission, temporary export, duty suspension, end-use relief, and drawback. Each guarantee is tracked against the regime it secures, is validated at the Governor layer (A4), and is never held by SGTX: the platform records the instrument, issuer, amount, validity window, and verification state, while the security itself remains with the issuing bank or customs authority.</w:t>
      </w:r>
    </w:p>
    <w:p>
      <w:pPr>
        <w:keepNext/>
        <w:spacing w:before="180" w:after="80"/>
        <w:outlineLvl w:val="2"/>
      </w:pPr>
      <w:r>
        <w:rPr>
          <w:rFonts w:ascii="Arial" w:hAnsi="Arial" w:cs="Arial"/>
          <w:b/>
          <w:i w:val="0"/>
          <w:color w:val="333333"/>
          <w:sz w:val="23"/>
        </w:rPr>
        <w:t>22.3.3 Jurisdiction-Specific Bond Requirements</w:t>
      </w:r>
    </w:p>
    <w:p>
      <w:pPr>
        <w:keepNext/>
        <w:spacing w:before="140" w:after="60"/>
        <w:outlineLvl w:val="3"/>
      </w:pPr>
      <w:r>
        <w:rPr>
          <w:rFonts w:ascii="Arial" w:hAnsi="Arial" w:cs="Arial"/>
          <w:b/>
          <w:i/>
          <w:color w:val="333333"/>
          <w:sz w:val="22"/>
        </w:rPr>
        <w:t>22.3.3.1 Egypt (Customs Law 207/2020, Article 54)</w:t>
      </w:r>
    </w:p>
    <w:p>
      <w:pPr>
        <w:spacing w:after="80" w:line="293" w:lineRule="auto"/>
        <w:jc w:val="left"/>
      </w:pPr>
      <w:r>
        <w:rPr>
          <w:rFonts w:ascii="Times New Roman" w:hAnsi="Times New Roman" w:cs="Times New Roman"/>
          <w:b w:val="0"/>
          <w:i w:val="0"/>
          <w:sz w:val="22"/>
        </w:rPr>
        <w:t>Bonds are required for the conditional release of goods. The jurisdictional matrix sets a customs bond floor of EGP 100,000+, with mandatory broker liability insurance of EGP 500,000+ and declaration error penalties of 5–50% of duty. Bank guarantees are accepted as security.</w:t>
      </w:r>
    </w:p>
    <w:p>
      <w:pPr>
        <w:keepNext/>
        <w:spacing w:before="140" w:after="60"/>
        <w:outlineLvl w:val="3"/>
      </w:pPr>
      <w:r>
        <w:rPr>
          <w:rFonts w:ascii="Arial" w:hAnsi="Arial" w:cs="Arial"/>
          <w:b/>
          <w:i/>
          <w:color w:val="333333"/>
          <w:sz w:val="22"/>
        </w:rPr>
        <w:t>22.3.3.2 European Union (UCC Articles 93–100)</w:t>
      </w:r>
    </w:p>
    <w:p>
      <w:pPr>
        <w:spacing w:after="80" w:line="293" w:lineRule="auto"/>
        <w:jc w:val="left"/>
      </w:pPr>
      <w:r>
        <w:rPr>
          <w:rFonts w:ascii="Times New Roman" w:hAnsi="Times New Roman" w:cs="Times New Roman"/>
          <w:b w:val="0"/>
          <w:i w:val="0"/>
          <w:sz w:val="22"/>
        </w:rPr>
        <w:t>Under the Union Customs Code (UCC) guarantee articles, professional indemnity arrangements apply; no separate bond is required for standard operations, with a comprehensive guarantee covering customs debt under the special regimes.</w:t>
      </w:r>
    </w:p>
    <w:p>
      <w:pPr>
        <w:keepNext/>
        <w:spacing w:before="140" w:after="60"/>
        <w:outlineLvl w:val="3"/>
      </w:pPr>
      <w:r>
        <w:rPr>
          <w:rFonts w:ascii="Arial" w:hAnsi="Arial" w:cs="Arial"/>
          <w:b/>
          <w:i/>
          <w:color w:val="333333"/>
          <w:sz w:val="22"/>
        </w:rPr>
        <w:t>22.3.3.3 United States (Customs Bond Directive 99-3510A)</w:t>
      </w:r>
    </w:p>
    <w:p>
      <w:pPr>
        <w:spacing w:after="80" w:line="293" w:lineRule="auto"/>
        <w:jc w:val="left"/>
      </w:pPr>
      <w:r>
        <w:rPr>
          <w:rFonts w:ascii="Times New Roman" w:hAnsi="Times New Roman" w:cs="Times New Roman"/>
          <w:b w:val="0"/>
          <w:i w:val="0"/>
          <w:sz w:val="22"/>
        </w:rPr>
        <w:t>A customs bond is required; the bond amount is 3× duty + taxes, with a minimum of $50,000.</w:t>
      </w:r>
    </w:p>
    <w:p>
      <w:pPr>
        <w:keepNext/>
        <w:spacing w:before="140" w:after="60"/>
        <w:outlineLvl w:val="3"/>
      </w:pPr>
      <w:r>
        <w:rPr>
          <w:rFonts w:ascii="Arial" w:hAnsi="Arial" w:cs="Arial"/>
          <w:b/>
          <w:i/>
          <w:color w:val="333333"/>
          <w:sz w:val="22"/>
        </w:rPr>
        <w:t>22.3.3.4 UAE (Federal Customs Law)</w:t>
      </w:r>
    </w:p>
    <w:p>
      <w:pPr>
        <w:spacing w:after="80" w:line="293" w:lineRule="auto"/>
        <w:jc w:val="left"/>
      </w:pPr>
      <w:r>
        <w:rPr>
          <w:rFonts w:ascii="Times New Roman" w:hAnsi="Times New Roman" w:cs="Times New Roman"/>
          <w:b w:val="0"/>
          <w:i w:val="0"/>
          <w:sz w:val="22"/>
        </w:rPr>
        <w:t>Professional indemnity applies; penalties range 10–100% of duty; a bank guarantee is required as the bond instrument.</w:t>
      </w:r>
    </w:p>
    <w:p>
      <w:pPr>
        <w:keepNext/>
        <w:spacing w:before="140" w:after="60"/>
        <w:outlineLvl w:val="3"/>
      </w:pPr>
      <w:r>
        <w:rPr>
          <w:rFonts w:ascii="Arial" w:hAnsi="Arial" w:cs="Arial"/>
          <w:b/>
          <w:i/>
          <w:color w:val="333333"/>
          <w:sz w:val="22"/>
        </w:rPr>
        <w:t>22.3.3.5 Saudi Arabia (Customs Law)</w:t>
      </w:r>
    </w:p>
    <w:p>
      <w:pPr>
        <w:spacing w:after="80" w:line="293" w:lineRule="auto"/>
        <w:jc w:val="left"/>
      </w:pPr>
      <w:r>
        <w:rPr>
          <w:rFonts w:ascii="Times New Roman" w:hAnsi="Times New Roman" w:cs="Times New Roman"/>
          <w:b w:val="0"/>
          <w:i w:val="0"/>
          <w:sz w:val="22"/>
        </w:rPr>
        <w:t>Professional indemnity applies; penalties range 10–50% of duty; a bank guarantee is required as the bond instrument.</w:t>
      </w:r>
    </w:p>
    <w:p>
      <w:pPr>
        <w:keepNext/>
        <w:spacing w:before="140" w:after="60"/>
        <w:outlineLvl w:val="3"/>
      </w:pPr>
      <w:r>
        <w:rPr>
          <w:rFonts w:ascii="Arial" w:hAnsi="Arial" w:cs="Arial"/>
          <w:b/>
          <w:i/>
          <w:color w:val="333333"/>
          <w:sz w:val="22"/>
        </w:rPr>
        <w:t>22.3.3.6 United Kingdom (UK Customs Act)</w:t>
      </w:r>
    </w:p>
    <w:p>
      <w:pPr>
        <w:spacing w:after="80" w:line="293" w:lineRule="auto"/>
        <w:jc w:val="left"/>
      </w:pPr>
      <w:r>
        <w:rPr>
          <w:rFonts w:ascii="Times New Roman" w:hAnsi="Times New Roman" w:cs="Times New Roman"/>
          <w:b w:val="0"/>
          <w:i w:val="0"/>
          <w:sz w:val="22"/>
        </w:rPr>
        <w:t>Professional indemnity applies; penalties are variable; no bond is required.</w:t>
      </w:r>
    </w:p>
    <w:p>
      <w:pPr>
        <w:spacing w:after="80" w:line="293" w:lineRule="auto"/>
        <w:jc w:val="left"/>
      </w:pPr>
      <w:r>
        <w:rPr>
          <w:rFonts w:ascii="Times New Roman" w:hAnsi="Times New Roman" w:cs="Times New Roman"/>
          <w:b w:val="0"/>
          <w:i w:val="0"/>
          <w:sz w:val="22"/>
        </w:rPr>
        <w:t>The consolidated jurisdictional matrix (shared with the Broker Liability &amp; Insurance add-on, Section 22.5) is: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Jurisdiction</w:t>
            </w:r>
          </w:p>
        </w:tc>
        <w:tc>
          <w:tcPr>
            <w:tcW w:type="dxa" w:w="2409"/>
            <w:shd w:val="clear" w:fill="D9E2F3"/>
          </w:tcPr>
          <w:p>
            <w:pPr>
              <w:spacing w:after="20" w:before="20" w:line="240" w:lineRule="auto"/>
            </w:pPr>
            <w:r/>
            <w:r>
              <w:rPr>
                <w:rFonts w:ascii="Arial" w:hAnsi="Arial" w:cs="Arial"/>
                <w:b/>
                <w:i w:val="0"/>
                <w:sz w:val="18"/>
              </w:rPr>
              <w:t>Liability Insurance</w:t>
            </w:r>
          </w:p>
        </w:tc>
        <w:tc>
          <w:tcPr>
            <w:tcW w:type="dxa" w:w="2409"/>
            <w:shd w:val="clear" w:fill="D9E2F3"/>
          </w:tcPr>
          <w:p>
            <w:pPr>
              <w:spacing w:after="20" w:before="20" w:line="240" w:lineRule="auto"/>
            </w:pPr>
            <w:r/>
            <w:r>
              <w:rPr>
                <w:rFonts w:ascii="Arial" w:hAnsi="Arial" w:cs="Arial"/>
                <w:b/>
                <w:i w:val="0"/>
                <w:sz w:val="18"/>
              </w:rPr>
              <w:t>Penalty Range</w:t>
            </w:r>
          </w:p>
        </w:tc>
        <w:tc>
          <w:tcPr>
            <w:tcW w:type="dxa" w:w="2409"/>
            <w:shd w:val="clear" w:fill="D9E2F3"/>
          </w:tcPr>
          <w:p>
            <w:pPr>
              <w:spacing w:after="20" w:before="20" w:line="240" w:lineRule="auto"/>
            </w:pPr>
            <w:r/>
            <w:r>
              <w:rPr>
                <w:rFonts w:ascii="Arial" w:hAnsi="Arial" w:cs="Arial"/>
                <w:b/>
                <w:i w:val="0"/>
                <w:sz w:val="18"/>
              </w:rPr>
              <w:t>Bond Required</w:t>
            </w:r>
          </w:p>
        </w:tc>
      </w:tr>
      <w:tr>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Mandatory (EGP 500,000+)</w:t>
            </w:r>
          </w:p>
        </w:tc>
        <w:tc>
          <w:tcPr>
            <w:tcW w:type="dxa" w:w="2409"/>
          </w:tcPr>
          <w:p>
            <w:pPr>
              <w:spacing w:after="20" w:before="20" w:line="240" w:lineRule="auto"/>
            </w:pPr>
            <w:r/>
            <w:r>
              <w:rPr>
                <w:rFonts w:ascii="Arial" w:hAnsi="Arial" w:cs="Arial"/>
                <w:b w:val="0"/>
                <w:i w:val="0"/>
                <w:sz w:val="17"/>
              </w:rPr>
              <w:t>5–50% of duty</w:t>
            </w:r>
          </w:p>
        </w:tc>
        <w:tc>
          <w:tcPr>
            <w:tcW w:type="dxa" w:w="2409"/>
          </w:tcPr>
          <w:p>
            <w:pPr>
              <w:spacing w:after="20" w:before="20" w:line="240" w:lineRule="auto"/>
            </w:pPr>
            <w:r/>
            <w:r>
              <w:rPr>
                <w:rFonts w:ascii="Arial" w:hAnsi="Arial" w:cs="Arial"/>
                <w:b w:val="0"/>
                <w:i w:val="0"/>
                <w:sz w:val="17"/>
              </w:rPr>
              <w:t>EGP 100,000+</w:t>
            </w:r>
          </w:p>
        </w:tc>
      </w:tr>
      <w:tr>
        <w:tc>
          <w:tcPr>
            <w:tcW w:type="dxa" w:w="2409"/>
          </w:tcPr>
          <w:p>
            <w:pPr>
              <w:spacing w:after="20" w:before="20" w:line="240" w:lineRule="auto"/>
            </w:pPr>
            <w:r/>
            <w:r>
              <w:rPr>
                <w:rFonts w:ascii="Arial" w:hAnsi="Arial" w:cs="Arial"/>
                <w:b w:val="0"/>
                <w:i w:val="0"/>
                <w:sz w:val="17"/>
              </w:rPr>
              <w:t>EU</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Variable</w:t>
            </w:r>
          </w:p>
        </w:tc>
        <w:tc>
          <w:tcPr>
            <w:tcW w:type="dxa" w:w="2409"/>
          </w:tcPr>
          <w:p>
            <w:pPr>
              <w:spacing w:after="20" w:before="20" w:line="240" w:lineRule="auto"/>
            </w:pPr>
            <w:r/>
            <w:r>
              <w:rPr>
                <w:rFonts w:ascii="Arial" w:hAnsi="Arial" w:cs="Arial"/>
                <w:b w:val="0"/>
                <w:i w:val="0"/>
                <w:sz w:val="17"/>
              </w:rPr>
              <w:t>No bond</w:t>
            </w:r>
          </w:p>
        </w:tc>
      </w:tr>
      <w:tr>
        <w:tc>
          <w:tcPr>
            <w:tcW w:type="dxa" w:w="2409"/>
          </w:tcPr>
          <w:p>
            <w:pPr>
              <w:spacing w:after="20" w:before="20" w:line="240" w:lineRule="auto"/>
            </w:pPr>
            <w:r/>
            <w:r>
              <w:rPr>
                <w:rFonts w:ascii="Arial" w:hAnsi="Arial" w:cs="Arial"/>
                <w:b w:val="0"/>
                <w:i w:val="0"/>
                <w:sz w:val="17"/>
              </w:rPr>
              <w:t>USA</w:t>
            </w:r>
          </w:p>
        </w:tc>
        <w:tc>
          <w:tcPr>
            <w:tcW w:type="dxa" w:w="2409"/>
          </w:tcPr>
          <w:p>
            <w:pPr>
              <w:spacing w:after="20" w:before="20" w:line="240" w:lineRule="auto"/>
            </w:pPr>
            <w:r/>
            <w:r>
              <w:rPr>
                <w:rFonts w:ascii="Arial" w:hAnsi="Arial" w:cs="Arial"/>
                <w:b w:val="0"/>
                <w:i w:val="0"/>
                <w:sz w:val="17"/>
              </w:rPr>
              <w:t>Customs bond</w:t>
            </w:r>
          </w:p>
        </w:tc>
        <w:tc>
          <w:tcPr>
            <w:tcW w:type="dxa" w:w="2409"/>
          </w:tcPr>
          <w:p>
            <w:pPr>
              <w:spacing w:after="20" w:before="20" w:line="240" w:lineRule="auto"/>
            </w:pPr>
            <w:r/>
            <w:r>
              <w:rPr>
                <w:rFonts w:ascii="Arial" w:hAnsi="Arial" w:cs="Arial"/>
                <w:b w:val="0"/>
                <w:i w:val="0"/>
                <w:sz w:val="17"/>
              </w:rPr>
              <w:t>3x duty + taxes</w:t>
            </w:r>
          </w:p>
        </w:tc>
        <w:tc>
          <w:tcPr>
            <w:tcW w:type="dxa" w:w="2409"/>
          </w:tcPr>
          <w:p>
            <w:pPr>
              <w:spacing w:after="20" w:before="20" w:line="240" w:lineRule="auto"/>
            </w:pPr>
            <w:r/>
            <w:r>
              <w:rPr>
                <w:rFonts w:ascii="Arial" w:hAnsi="Arial" w:cs="Arial"/>
                <w:b w:val="0"/>
                <w:i w:val="0"/>
                <w:sz w:val="17"/>
              </w:rPr>
              <w:t>$50,000+</w:t>
            </w:r>
          </w:p>
        </w:tc>
      </w:tr>
      <w:tr>
        <w:tc>
          <w:tcPr>
            <w:tcW w:type="dxa" w:w="2409"/>
          </w:tcPr>
          <w:p>
            <w:pPr>
              <w:spacing w:after="20" w:before="20" w:line="240" w:lineRule="auto"/>
            </w:pPr>
            <w:r/>
            <w:r>
              <w:rPr>
                <w:rFonts w:ascii="Arial" w:hAnsi="Arial" w:cs="Arial"/>
                <w:b w:val="0"/>
                <w:i w:val="0"/>
                <w:sz w:val="17"/>
              </w:rPr>
              <w:t>UAE</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10–100% of duty</w:t>
            </w:r>
          </w:p>
        </w:tc>
        <w:tc>
          <w:tcPr>
            <w:tcW w:type="dxa" w:w="2409"/>
          </w:tcPr>
          <w:p>
            <w:pPr>
              <w:spacing w:after="20" w:before="20" w:line="240" w:lineRule="auto"/>
            </w:pPr>
            <w:r/>
            <w:r>
              <w:rPr>
                <w:rFonts w:ascii="Arial" w:hAnsi="Arial" w:cs="Arial"/>
                <w:b w:val="0"/>
                <w:i w:val="0"/>
                <w:sz w:val="17"/>
              </w:rPr>
              <w:t>Bank guarantee</w:t>
            </w:r>
          </w:p>
        </w:tc>
      </w:tr>
      <w:tr>
        <w:tc>
          <w:tcPr>
            <w:tcW w:type="dxa" w:w="2409"/>
          </w:tcPr>
          <w:p>
            <w:pPr>
              <w:spacing w:after="20" w:before="20" w:line="240" w:lineRule="auto"/>
            </w:pPr>
            <w:r/>
            <w:r>
              <w:rPr>
                <w:rFonts w:ascii="Arial" w:hAnsi="Arial" w:cs="Arial"/>
                <w:b w:val="0"/>
                <w:i w:val="0"/>
                <w:sz w:val="17"/>
              </w:rPr>
              <w:t>Saudi</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10–50% of duty</w:t>
            </w:r>
          </w:p>
        </w:tc>
        <w:tc>
          <w:tcPr>
            <w:tcW w:type="dxa" w:w="2409"/>
          </w:tcPr>
          <w:p>
            <w:pPr>
              <w:spacing w:after="20" w:before="20" w:line="240" w:lineRule="auto"/>
            </w:pPr>
            <w:r/>
            <w:r>
              <w:rPr>
                <w:rFonts w:ascii="Arial" w:hAnsi="Arial" w:cs="Arial"/>
                <w:b w:val="0"/>
                <w:i w:val="0"/>
                <w:sz w:val="17"/>
              </w:rPr>
              <w:t>Bank guarantee</w:t>
            </w:r>
          </w:p>
        </w:tc>
      </w:tr>
      <w:tr>
        <w:tc>
          <w:tcPr>
            <w:tcW w:type="dxa" w:w="2409"/>
          </w:tcPr>
          <w:p>
            <w:pPr>
              <w:spacing w:after="20" w:before="20" w:line="240" w:lineRule="auto"/>
            </w:pPr>
            <w:r/>
            <w:r>
              <w:rPr>
                <w:rFonts w:ascii="Arial" w:hAnsi="Arial" w:cs="Arial"/>
                <w:b w:val="0"/>
                <w:i w:val="0"/>
                <w:sz w:val="17"/>
              </w:rPr>
              <w:t>UK</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Variable</w:t>
            </w:r>
          </w:p>
        </w:tc>
        <w:tc>
          <w:tcPr>
            <w:tcW w:type="dxa" w:w="2409"/>
          </w:tcPr>
          <w:p>
            <w:pPr>
              <w:spacing w:after="20" w:before="20" w:line="240" w:lineRule="auto"/>
            </w:pPr>
            <w:r/>
            <w:r>
              <w:rPr>
                <w:rFonts w:ascii="Arial" w:hAnsi="Arial" w:cs="Arial"/>
                <w:b w:val="0"/>
                <w:i w:val="0"/>
                <w:sz w:val="17"/>
              </w:rPr>
              <w:t>No bond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22.3.4 Bond Calculation Engine (A2)</w:t>
      </w:r>
    </w:p>
    <w:p>
      <w:pPr>
        <w:spacing w:after="80" w:line="293" w:lineRule="auto"/>
        <w:jc w:val="left"/>
      </w:pPr>
      <w:r>
        <w:rPr>
          <w:rFonts w:ascii="Times New Roman" w:hAnsi="Times New Roman" w:cs="Times New Roman"/>
          <w:b w:val="0"/>
          <w:i w:val="0"/>
          <w:sz w:val="22"/>
        </w:rPr>
        <w:t>The Bond Calculation Engine computes the required security amount for a declaration. Input parameters: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Input</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Source</w:t>
            </w:r>
          </w:p>
        </w:tc>
      </w:tr>
      <w:tr>
        <w:tc>
          <w:tcPr>
            <w:tcW w:type="dxa" w:w="3213"/>
          </w:tcPr>
          <w:p>
            <w:pPr>
              <w:spacing w:after="20" w:before="20" w:line="240" w:lineRule="auto"/>
            </w:pPr>
            <w:r/>
            <w:r>
              <w:rPr>
                <w:rFonts w:ascii="Arial" w:hAnsi="Arial" w:cs="Arial"/>
                <w:b w:val="0"/>
                <w:i w:val="0"/>
                <w:sz w:val="17"/>
              </w:rPr>
              <w:t>Jurisdiction bond factors</w:t>
            </w:r>
          </w:p>
        </w:tc>
        <w:tc>
          <w:tcPr>
            <w:tcW w:type="dxa" w:w="3213"/>
          </w:tcPr>
          <w:p>
            <w:pPr>
              <w:spacing w:after="20" w:before="20" w:line="240" w:lineRule="auto"/>
            </w:pPr>
            <w:r/>
            <w:r>
              <w:rPr>
                <w:rFonts w:ascii="Arial" w:hAnsi="Arial" w:cs="Arial"/>
                <w:b w:val="0"/>
                <w:i w:val="0"/>
                <w:sz w:val="17"/>
              </w:rPr>
              <w:t>Default bond factor and AEO (Authorised Economic Operator) bond factor for the country</w:t>
            </w:r>
          </w:p>
        </w:tc>
        <w:tc>
          <w:tcPr>
            <w:tcW w:type="dxa" w:w="3213"/>
          </w:tcPr>
          <w:p>
            <w:pPr>
              <w:spacing w:after="20" w:before="20" w:line="240" w:lineRule="auto"/>
            </w:pPr>
            <w:r/>
            <w:r>
              <w:rPr>
                <w:rFonts w:ascii="Arial" w:hAnsi="Arial" w:cs="Arial"/>
                <w:b w:val="0"/>
                <w:i w:val="0"/>
                <w:sz w:val="17"/>
              </w:rPr>
              <w:t>`country_regulatory_profiles.bond_factor_default`, `country_regulatory_profiles.bond_aeo_factor`</w:t>
            </w:r>
          </w:p>
        </w:tc>
      </w:tr>
      <w:tr>
        <w:tc>
          <w:tcPr>
            <w:tcW w:type="dxa" w:w="3213"/>
          </w:tcPr>
          <w:p>
            <w:pPr>
              <w:spacing w:after="20" w:before="20" w:line="240" w:lineRule="auto"/>
            </w:pPr>
            <w:r/>
            <w:r>
              <w:rPr>
                <w:rFonts w:ascii="Arial" w:hAnsi="Arial" w:cs="Arial"/>
                <w:b w:val="0"/>
                <w:i w:val="0"/>
                <w:sz w:val="17"/>
              </w:rPr>
              <w:t>Bond required flag</w:t>
            </w:r>
          </w:p>
        </w:tc>
        <w:tc>
          <w:tcPr>
            <w:tcW w:type="dxa" w:w="3213"/>
          </w:tcPr>
          <w:p>
            <w:pPr>
              <w:spacing w:after="20" w:before="20" w:line="240" w:lineRule="auto"/>
            </w:pPr>
            <w:r/>
            <w:r>
              <w:rPr>
                <w:rFonts w:ascii="Arial" w:hAnsi="Arial" w:cs="Arial"/>
                <w:b w:val="0"/>
                <w:i w:val="0"/>
                <w:sz w:val="17"/>
              </w:rPr>
              <w:t>Whether the jurisdiction requires a bond at all</w:t>
            </w:r>
          </w:p>
        </w:tc>
        <w:tc>
          <w:tcPr>
            <w:tcW w:type="dxa" w:w="3213"/>
          </w:tcPr>
          <w:p>
            <w:pPr>
              <w:spacing w:after="20" w:before="20" w:line="240" w:lineRule="auto"/>
            </w:pPr>
            <w:r/>
            <w:r>
              <w:rPr>
                <w:rFonts w:ascii="Arial" w:hAnsi="Arial" w:cs="Arial"/>
                <w:b w:val="0"/>
                <w:i w:val="0"/>
                <w:sz w:val="17"/>
              </w:rPr>
              <w:t>`country_regulatory_profiles.bond_required`</w:t>
            </w:r>
          </w:p>
        </w:tc>
      </w:tr>
      <w:tr>
        <w:tc>
          <w:tcPr>
            <w:tcW w:type="dxa" w:w="3213"/>
          </w:tcPr>
          <w:p>
            <w:pPr>
              <w:spacing w:after="20" w:before="20" w:line="240" w:lineRule="auto"/>
            </w:pPr>
            <w:r/>
            <w:r>
              <w:rPr>
                <w:rFonts w:ascii="Arial" w:hAnsi="Arial" w:cs="Arial"/>
                <w:b w:val="0"/>
                <w:i w:val="0"/>
                <w:sz w:val="17"/>
              </w:rPr>
              <w:t>Duty and tax exposure</w:t>
            </w:r>
          </w:p>
        </w:tc>
        <w:tc>
          <w:tcPr>
            <w:tcW w:type="dxa" w:w="3213"/>
          </w:tcPr>
          <w:p>
            <w:pPr>
              <w:spacing w:after="20" w:before="20" w:line="240" w:lineRule="auto"/>
            </w:pPr>
            <w:r/>
            <w:r>
              <w:rPr>
                <w:rFonts w:ascii="Arial" w:hAnsi="Arial" w:cs="Arial"/>
                <w:b w:val="0"/>
                <w:i w:val="0"/>
                <w:sz w:val="17"/>
              </w:rPr>
              <w:t>Duty, taxes, and applicable additional charges of the declaration</w:t>
            </w:r>
          </w:p>
        </w:tc>
        <w:tc>
          <w:tcPr>
            <w:tcW w:type="dxa" w:w="3213"/>
          </w:tcPr>
          <w:p>
            <w:pPr>
              <w:spacing w:after="20" w:before="20" w:line="240" w:lineRule="auto"/>
            </w:pPr>
            <w:r/>
            <w:r>
              <w:rPr>
                <w:rFonts w:ascii="Arial" w:hAnsi="Arial" w:cs="Arial"/>
                <w:b w:val="0"/>
                <w:i w:val="0"/>
                <w:sz w:val="17"/>
              </w:rPr>
              <w:t>Customs declaration data (Section 8)</w:t>
            </w:r>
          </w:p>
        </w:tc>
      </w:tr>
      <w:tr>
        <w:tc>
          <w:tcPr>
            <w:tcW w:type="dxa" w:w="3213"/>
          </w:tcPr>
          <w:p>
            <w:pPr>
              <w:spacing w:after="20" w:before="20" w:line="240" w:lineRule="auto"/>
            </w:pPr>
            <w:r/>
            <w:r>
              <w:rPr>
                <w:rFonts w:ascii="Arial" w:hAnsi="Arial" w:cs="Arial"/>
                <w:b w:val="0"/>
                <w:i w:val="0"/>
                <w:sz w:val="17"/>
              </w:rPr>
              <w:t>Trader status</w:t>
            </w:r>
          </w:p>
        </w:tc>
        <w:tc>
          <w:tcPr>
            <w:tcW w:type="dxa" w:w="3213"/>
          </w:tcPr>
          <w:p>
            <w:pPr>
              <w:spacing w:after="20" w:before="20" w:line="240" w:lineRule="auto"/>
            </w:pPr>
            <w:r/>
            <w:r>
              <w:rPr>
                <w:rFonts w:ascii="Arial" w:hAnsi="Arial" w:cs="Arial"/>
                <w:b w:val="0"/>
                <w:i w:val="0"/>
                <w:sz w:val="17"/>
              </w:rPr>
              <w:t>AEO status and risk assessment of the declaring party</w:t>
            </w:r>
          </w:p>
        </w:tc>
        <w:tc>
          <w:tcPr>
            <w:tcW w:type="dxa" w:w="3213"/>
          </w:tcPr>
          <w:p>
            <w:pPr>
              <w:spacing w:after="20" w:before="20" w:line="240" w:lineRule="auto"/>
            </w:pPr>
            <w:r/>
            <w:r>
              <w:rPr>
                <w:rFonts w:ascii="Arial" w:hAnsi="Arial" w:cs="Arial"/>
                <w:b w:val="0"/>
                <w:i w:val="0"/>
                <w:sz w:val="17"/>
              </w:rPr>
              <w:t>Risk assessment (A2, XGBoost)</w:t>
            </w:r>
          </w:p>
        </w:tc>
      </w:tr>
      <w:tr>
        <w:tc>
          <w:tcPr>
            <w:tcW w:type="dxa" w:w="3213"/>
          </w:tcPr>
          <w:p>
            <w:pPr>
              <w:spacing w:after="20" w:before="20" w:line="240" w:lineRule="auto"/>
            </w:pPr>
            <w:r/>
            <w:r>
              <w:rPr>
                <w:rFonts w:ascii="Arial" w:hAnsi="Arial" w:cs="Arial"/>
                <w:b w:val="0"/>
                <w:i w:val="0"/>
                <w:sz w:val="17"/>
              </w:rPr>
              <w:t>Accepted instruments</w:t>
            </w:r>
          </w:p>
        </w:tc>
        <w:tc>
          <w:tcPr>
            <w:tcW w:type="dxa" w:w="3213"/>
          </w:tcPr>
          <w:p>
            <w:pPr>
              <w:spacing w:after="20" w:before="20" w:line="240" w:lineRule="auto"/>
            </w:pPr>
            <w:r/>
            <w:r>
              <w:rPr>
                <w:rFonts w:ascii="Arial" w:hAnsi="Arial" w:cs="Arial"/>
                <w:b w:val="0"/>
                <w:i w:val="0"/>
                <w:sz w:val="17"/>
              </w:rPr>
              <w:t>Which instruments the jurisdiction accepts (bank guarantee, cash deposit)</w:t>
            </w:r>
          </w:p>
        </w:tc>
        <w:tc>
          <w:tcPr>
            <w:tcW w:type="dxa" w:w="3213"/>
          </w:tcPr>
          <w:p>
            <w:pPr>
              <w:spacing w:after="20" w:before="20" w:line="240" w:lineRule="auto"/>
            </w:pPr>
            <w:r/>
            <w:r>
              <w:rPr>
                <w:rFonts w:ascii="Arial" w:hAnsi="Arial" w:cs="Arial"/>
                <w:b w:val="0"/>
                <w:i w:val="0"/>
                <w:sz w:val="17"/>
              </w:rPr>
              <w:t>Country regulatory profile (Section 22.23)</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engine applies the jurisdiction's bond factor to the duty and tax exposure, adjusts for AEO status where the trader holds AEO authorisation, and produces the required amount together with the accepted instrument list. For example, the Brazil profile sets bonds at 100% of duty with bank guarantee or cash deposit accepted, issued by a Brazilian bank or an international bank with presence; the United States applies 3× duty + taxes with a $50,000 minimum. Calculated amounts are validated and enforced at the A4 layer (OPA + WasmEdge) before conditional release.</w:t>
      </w:r>
    </w:p>
    <w:p>
      <w:pPr>
        <w:keepNext/>
        <w:spacing w:before="180" w:after="80"/>
        <w:outlineLvl w:val="2"/>
      </w:pPr>
      <w:r>
        <w:rPr>
          <w:rFonts w:ascii="Arial" w:hAnsi="Arial" w:cs="Arial"/>
          <w:b/>
          <w:i w:val="0"/>
          <w:color w:val="333333"/>
          <w:sz w:val="23"/>
        </w:rPr>
        <w:t>22.3.5 Data Model</w:t>
      </w:r>
    </w:p>
    <w:p>
      <w:pPr>
        <w:spacing w:after="80" w:line="293" w:lineRule="auto"/>
        <w:jc w:val="left"/>
      </w:pPr>
      <w:r>
        <w:rPr>
          <w:rFonts w:ascii="Times New Roman" w:hAnsi="Times New Roman" w:cs="Times New Roman"/>
          <w:b w:val="0"/>
          <w:i w:val="0"/>
          <w:sz w:val="22"/>
        </w:rPr>
        <w:t>Bond configuration is stored in the GRiRE structured requirements store — the `country_regulatory_profiles` table (Section 22.23) carries `bond_required`, `bond_factor_default`, and `bond_aeo_factor` per jurisdiction, together with the free time and document fields the guarantee workflows depend on. Guarantee tracking records reference the instrument set in Section 22.3.2, the declaration they secure, and the Governor decision that gated the conditional release. Bond requirement flags and factors are auto-configured when GRiRE discovers or updates a country profile (Section 22.23).</w:t>
      </w:r>
    </w:p>
    <w:p>
      <w:pPr>
        <w:keepNext/>
        <w:spacing w:before="180" w:after="80"/>
        <w:outlineLvl w:val="2"/>
      </w:pPr>
      <w:r>
        <w:rPr>
          <w:rFonts w:ascii="Arial" w:hAnsi="Arial" w:cs="Arial"/>
          <w:b/>
          <w:i w:val="0"/>
          <w:color w:val="333333"/>
          <w:sz w:val="23"/>
        </w:rPr>
        <w:t>22.3.6 Monitoring &amp; Integration</w:t>
      </w:r>
    </w:p>
    <w:p>
      <w:pPr>
        <w:spacing w:after="80" w:line="293" w:lineRule="auto"/>
        <w:ind w:left="283"/>
        <w:jc w:val="left"/>
      </w:pPr>
      <w:r>
        <w:rPr>
          <w:rFonts w:ascii="Times New Roman" w:hAnsi="Times New Roman" w:cs="Times New Roman"/>
          <w:b w:val="0"/>
          <w:i w:val="0"/>
          <w:sz w:val="22"/>
        </w:rPr>
        <w:t>- Expiry monitoring — bond expiry is tracked continuously; "Bond Expiry" is a compliance calendar event type ("Customs bond expires — Bond expires 2026-12-31") with proactive reminders at 30, 14, 7, and 1 day (Section 22.13).</w:t>
      </w:r>
    </w:p>
    <w:p>
      <w:pPr>
        <w:spacing w:after="80" w:line="293" w:lineRule="auto"/>
        <w:ind w:left="283"/>
        <w:jc w:val="left"/>
      </w:pPr>
      <w:r>
        <w:rPr>
          <w:rFonts w:ascii="Times New Roman" w:hAnsi="Times New Roman" w:cs="Times New Roman"/>
          <w:b w:val="0"/>
          <w:i w:val="0"/>
          <w:sz w:val="22"/>
        </w:rPr>
        <w:t>- Sufficiency monitoring — the engine re-checks bond sufficiency when duty exposure changes (reassessment, post-clearance correction).</w:t>
      </w:r>
    </w:p>
    <w:p>
      <w:pPr>
        <w:spacing w:after="80" w:line="293" w:lineRule="auto"/>
        <w:ind w:left="283"/>
        <w:jc w:val="left"/>
      </w:pPr>
      <w:r>
        <w:rPr>
          <w:rFonts w:ascii="Times New Roman" w:hAnsi="Times New Roman" w:cs="Times New Roman"/>
          <w:b w:val="0"/>
          <w:i w:val="0"/>
          <w:sz w:val="22"/>
        </w:rPr>
        <w:t>- CBE bank guarantee verification — the module links with the CBE for bank guarantee verification through the government integration layer (Section 20).</w:t>
      </w:r>
    </w:p>
    <w:p>
      <w:pPr>
        <w:spacing w:after="80" w:line="293" w:lineRule="auto"/>
        <w:ind w:left="283"/>
        <w:jc w:val="left"/>
      </w:pPr>
      <w:r>
        <w:rPr>
          <w:rFonts w:ascii="Times New Roman" w:hAnsi="Times New Roman" w:cs="Times New Roman"/>
          <w:b w:val="0"/>
          <w:i w:val="0"/>
          <w:sz w:val="22"/>
        </w:rPr>
        <w:t>- GRiRE auto-configuration — when a new country is discovered, the Customs Bond module is auto-configured with the bond factor and the acceptance of bank guarantees (Section 22.23).</w:t>
      </w:r>
    </w:p>
    <w:p>
      <w:pPr>
        <w:spacing w:after="80" w:line="293" w:lineRule="auto"/>
        <w:ind w:left="283"/>
        <w:jc w:val="left"/>
      </w:pPr>
      <w:r>
        <w:rPr>
          <w:rFonts w:ascii="Times New Roman" w:hAnsi="Times New Roman" w:cs="Times New Roman"/>
          <w:b w:val="0"/>
          <w:i w:val="0"/>
          <w:sz w:val="22"/>
        </w:rPr>
        <w:t>- Governor enforcement — bond validation runs at A4 (OPA + WasmEdge) as a gate on conditional release; every enforcement decision is recorded with `governor_decision_id` and appended to Loom.</w:t>
      </w:r>
    </w:p>
    <w:p>
      <w:pPr>
        <w:spacing w:after="80" w:line="293" w:lineRule="auto"/>
        <w:ind w:left="283"/>
        <w:jc w:val="left"/>
      </w:pPr>
      <w:r>
        <w:rPr>
          <w:rFonts w:ascii="Times New Roman" w:hAnsi="Times New Roman" w:cs="Times New Roman"/>
          <w:b w:val="0"/>
          <w:i w:val="0"/>
          <w:sz w:val="22"/>
        </w:rPr>
        <w:t>- Trade Request Form — bond requirements surface in the country-specific requirements panel of the Trade Request Form (Section 6): bond required, amount, and issuer requirements.</w:t>
      </w:r>
    </w:p>
    <w:p>
      <w:pPr>
        <w:keepNext/>
        <w:spacing w:before="180" w:after="80"/>
        <w:outlineLvl w:val="2"/>
      </w:pPr>
      <w:r>
        <w:rPr>
          <w:rFonts w:ascii="Arial" w:hAnsi="Arial" w:cs="Arial"/>
          <w:b/>
          <w:i w:val="0"/>
          <w:color w:val="333333"/>
          <w:sz w:val="23"/>
        </w:rPr>
        <w:t>22.3.7 Implementation Checklist</w:t>
      </w:r>
    </w:p>
    <w:p>
      <w:pPr>
        <w:spacing w:after="80" w:line="293" w:lineRule="auto"/>
        <w:ind w:left="283"/>
        <w:jc w:val="left"/>
      </w:pPr>
      <w:r>
        <w:rPr>
          <w:rFonts w:ascii="Times New Roman" w:hAnsi="Times New Roman" w:cs="Times New Roman"/>
          <w:b w:val="0"/>
          <w:i w:val="0"/>
          <w:sz w:val="22"/>
        </w:rPr>
        <w:t>- Activate the Customs Bond &amp; Guarantee module in the Admin Portal add-on registry.</w:t>
      </w:r>
    </w:p>
    <w:p>
      <w:pPr>
        <w:spacing w:after="80" w:line="293" w:lineRule="auto"/>
        <w:ind w:left="283"/>
        <w:jc w:val="left"/>
      </w:pPr>
      <w:r>
        <w:rPr>
          <w:rFonts w:ascii="Times New Roman" w:hAnsi="Times New Roman" w:cs="Times New Roman"/>
          <w:b w:val="0"/>
          <w:i w:val="0"/>
          <w:sz w:val="22"/>
        </w:rPr>
        <w:t>- Populate `bond_required`, `bond_factor_default`, and `bond_aeo_factor` for all active jurisdictions via GRiRE country profiles.</w:t>
      </w:r>
    </w:p>
    <w:p>
      <w:pPr>
        <w:spacing w:after="80" w:line="293" w:lineRule="auto"/>
        <w:ind w:left="283"/>
        <w:jc w:val="left"/>
      </w:pPr>
      <w:r>
        <w:rPr>
          <w:rFonts w:ascii="Times New Roman" w:hAnsi="Times New Roman" w:cs="Times New Roman"/>
          <w:b w:val="0"/>
          <w:i w:val="0"/>
          <w:sz w:val="22"/>
        </w:rPr>
        <w:t>- Implement the A2 bond amount calculation (XGBoost) with jurisdiction factors and AEO adjustment.</w:t>
      </w:r>
    </w:p>
    <w:p>
      <w:pPr>
        <w:spacing w:after="80" w:line="293" w:lineRule="auto"/>
        <w:ind w:left="283"/>
        <w:jc w:val="left"/>
      </w:pPr>
      <w:r>
        <w:rPr>
          <w:rFonts w:ascii="Times New Roman" w:hAnsi="Times New Roman" w:cs="Times New Roman"/>
          <w:b w:val="0"/>
          <w:i w:val="0"/>
          <w:sz w:val="22"/>
        </w:rPr>
        <w:t>- Implement A4 bond validation as a Governor gate on conditional release.</w:t>
      </w:r>
    </w:p>
    <w:p>
      <w:pPr>
        <w:spacing w:after="80" w:line="293" w:lineRule="auto"/>
        <w:ind w:left="283"/>
        <w:jc w:val="left"/>
      </w:pPr>
      <w:r>
        <w:rPr>
          <w:rFonts w:ascii="Times New Roman" w:hAnsi="Times New Roman" w:cs="Times New Roman"/>
          <w:b w:val="0"/>
          <w:i w:val="0"/>
          <w:sz w:val="22"/>
        </w:rPr>
        <w:t>- Integrate CBE bank guarantee verification.</w:t>
      </w:r>
    </w:p>
    <w:p>
      <w:pPr>
        <w:spacing w:after="80" w:line="293" w:lineRule="auto"/>
        <w:ind w:left="283"/>
        <w:jc w:val="left"/>
      </w:pPr>
      <w:r>
        <w:rPr>
          <w:rFonts w:ascii="Times New Roman" w:hAnsi="Times New Roman" w:cs="Times New Roman"/>
          <w:b w:val="0"/>
          <w:i w:val="0"/>
          <w:sz w:val="22"/>
        </w:rPr>
        <w:t>- Add bond expiry events to the Trade Compliance Calendar and Smart Inbox.</w:t>
      </w:r>
    </w:p>
    <w:p>
      <w:pPr>
        <w:spacing w:after="80" w:line="293" w:lineRule="auto"/>
        <w:ind w:left="283"/>
        <w:jc w:val="left"/>
      </w:pPr>
      <w:r>
        <w:rPr>
          <w:rFonts w:ascii="Times New Roman" w:hAnsi="Times New Roman" w:cs="Times New Roman"/>
          <w:b w:val="0"/>
          <w:i w:val="0"/>
          <w:sz w:val="22"/>
        </w:rPr>
        <w:t>- Surface bond requirements in the Trade Request Form country panel.</w:t>
      </w:r>
    </w:p>
    <w:p>
      <w:pPr>
        <w:keepNext/>
        <w:spacing w:before="180" w:after="80"/>
        <w:outlineLvl w:val="2"/>
      </w:pPr>
      <w:r>
        <w:rPr>
          <w:rFonts w:ascii="Arial" w:hAnsi="Arial" w:cs="Arial"/>
          <w:b/>
          <w:i w:val="0"/>
          <w:color w:val="333333"/>
          <w:sz w:val="23"/>
        </w:rPr>
        <w:t>22.3.8 AI Authority Summary</w:t>
      </w:r>
    </w:p>
    <w:p>
      <w:pPr>
        <w:spacing w:after="80" w:line="293" w:lineRule="auto"/>
        <w:jc w:val="left"/>
      </w:pPr>
      <w:r>
        <w:rPr>
          <w:rFonts w:ascii="Times New Roman" w:hAnsi="Times New Roman" w:cs="Times New Roman"/>
          <w:b w:val="0"/>
          <w:i w:val="0"/>
          <w:sz w:val="22"/>
        </w:rPr>
        <w:t>A1 for plain-language bond explanations and expiry reminders; A2 for bond amount calculation and risk assessment; A4 for bond validation and enforcement. Non-marketplace safeguard: the module tracks obligations and never ranks or recommends bond issuers or banks; issuer visibility is governed by existing relationships.</w:t>
      </w:r>
    </w:p>
    <w:p>
      <w:pPr>
        <w:keepNext/>
        <w:spacing w:before="240" w:after="100"/>
        <w:outlineLvl w:val="1"/>
      </w:pPr>
      <w:r>
        <w:rPr>
          <w:rFonts w:ascii="Arial" w:hAnsi="Arial" w:cs="Arial"/>
          <w:b/>
          <w:i w:val="0"/>
          <w:color w:val="2E528F"/>
          <w:sz w:val="26"/>
        </w:rPr>
        <w:t>22.4 Add-On 9: Demurrage &amp; Detention Management</w:t>
      </w:r>
    </w:p>
    <w:p>
      <w:pPr>
        <w:keepNext/>
        <w:spacing w:before="180" w:after="80"/>
        <w:outlineLvl w:val="2"/>
      </w:pPr>
      <w:r>
        <w:rPr>
          <w:rFonts w:ascii="Arial" w:hAnsi="Arial" w:cs="Arial"/>
          <w:b/>
          <w:i w:val="0"/>
          <w:color w:val="333333"/>
          <w:sz w:val="23"/>
        </w:rPr>
        <w:t>22.4.1 Purpose &amp; Design Philosophy</w:t>
      </w:r>
    </w:p>
    <w:p>
      <w:pPr>
        <w:spacing w:after="80" w:line="293" w:lineRule="auto"/>
        <w:jc w:val="left"/>
      </w:pPr>
      <w:r>
        <w:rPr>
          <w:rFonts w:ascii="Times New Roman" w:hAnsi="Times New Roman" w:cs="Times New Roman"/>
          <w:b w:val="0"/>
          <w:i w:val="0"/>
          <w:sz w:val="22"/>
        </w:rPr>
        <w:t>Demurrage and detention fees are the number one cost driver in container shipping. This module automatically extracts carrier tariffs and tracks free time in real-time.</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Carrier tariff extraction — A2 (HF Donut) extracts terms from PDF/EDI quotes.</w:t>
      </w:r>
    </w:p>
    <w:p>
      <w:pPr>
        <w:spacing w:after="80" w:line="293" w:lineRule="auto"/>
        <w:ind w:left="283"/>
        <w:jc w:val="left"/>
      </w:pPr>
      <w:r>
        <w:rPr>
          <w:rFonts w:ascii="Times New Roman" w:hAnsi="Times New Roman" w:cs="Times New Roman"/>
          <w:b w:val="0"/>
          <w:i w:val="0"/>
          <w:sz w:val="22"/>
        </w:rPr>
        <w:t>- Real-time free time monitoring — per port, container type, and carrier.</w:t>
      </w:r>
    </w:p>
    <w:p>
      <w:pPr>
        <w:spacing w:after="80" w:line="293" w:lineRule="auto"/>
        <w:ind w:left="283"/>
        <w:jc w:val="left"/>
      </w:pPr>
      <w:r>
        <w:rPr>
          <w:rFonts w:ascii="Times New Roman" w:hAnsi="Times New Roman" w:cs="Times New Roman"/>
          <w:b w:val="0"/>
          <w:i w:val="0"/>
          <w:sz w:val="22"/>
        </w:rPr>
        <w:t>- Proactive alerts — 48h, 24h, and expiry notifications.</w:t>
      </w:r>
    </w:p>
    <w:p>
      <w:pPr>
        <w:spacing w:after="80" w:line="293" w:lineRule="auto"/>
        <w:ind w:left="283"/>
        <w:jc w:val="left"/>
      </w:pPr>
      <w:r>
        <w:rPr>
          <w:rFonts w:ascii="Times New Roman" w:hAnsi="Times New Roman" w:cs="Times New Roman"/>
          <w:b w:val="0"/>
          <w:i w:val="0"/>
          <w:sz w:val="22"/>
        </w:rPr>
        <w:t>- Jurisdiction-aware — different ports have different norms.</w:t>
      </w:r>
    </w:p>
    <w:p>
      <w:pPr>
        <w:spacing w:after="80" w:line="293" w:lineRule="auto"/>
        <w:ind w:left="283"/>
        <w:jc w:val="left"/>
      </w:pPr>
      <w:r>
        <w:rPr>
          <w:rFonts w:ascii="Times New Roman" w:hAnsi="Times New Roman" w:cs="Times New Roman"/>
          <w:b w:val="0"/>
          <w:i w:val="0"/>
          <w:sz w:val="22"/>
        </w:rPr>
        <w:t>- Integration with settlement — demurrage included in the final invoice.</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alert summaries, explanations.</w:t>
      </w:r>
    </w:p>
    <w:p>
      <w:pPr>
        <w:spacing w:after="80" w:line="293" w:lineRule="auto"/>
        <w:ind w:left="283"/>
        <w:jc w:val="left"/>
      </w:pPr>
      <w:r>
        <w:rPr>
          <w:rFonts w:ascii="Times New Roman" w:hAnsi="Times New Roman" w:cs="Times New Roman"/>
          <w:b w:val="0"/>
          <w:i w:val="0"/>
          <w:sz w:val="22"/>
        </w:rPr>
        <w:t>- A2 (HF local → Ollama): tariff extraction, congestion prediction.</w:t>
      </w:r>
    </w:p>
    <w:p>
      <w:pPr>
        <w:spacing w:after="80" w:line="293" w:lineRule="auto"/>
        <w:ind w:left="283"/>
        <w:jc w:val="left"/>
      </w:pPr>
      <w:r>
        <w:rPr>
          <w:rFonts w:ascii="Times New Roman" w:hAnsi="Times New Roman" w:cs="Times New Roman"/>
          <w:b w:val="0"/>
          <w:i w:val="0"/>
          <w:sz w:val="22"/>
        </w:rPr>
        <w:t>- A4 (OPA + WasmEdge): settlement enforcement.</w:t>
      </w:r>
    </w:p>
    <w:p>
      <w:pPr>
        <w:keepNext/>
        <w:spacing w:before="180" w:after="80"/>
        <w:outlineLvl w:val="2"/>
      </w:pPr>
      <w:r>
        <w:rPr>
          <w:rFonts w:ascii="Arial" w:hAnsi="Arial" w:cs="Arial"/>
          <w:b/>
          <w:i w:val="0"/>
          <w:color w:val="333333"/>
          <w:sz w:val="23"/>
        </w:rPr>
        <w:t>22.4.2 Carrier Demurrage Tariff Extraction</w:t>
      </w:r>
    </w:p>
    <w:p>
      <w:pPr>
        <w:spacing w:after="80" w:line="293" w:lineRule="auto"/>
        <w:jc w:val="left"/>
      </w:pPr>
      <w:r>
        <w:rPr>
          <w:rFonts w:ascii="Times New Roman" w:hAnsi="Times New Roman" w:cs="Times New Roman"/>
          <w:b w:val="0"/>
          <w:i w:val="0"/>
          <w:sz w:val="22"/>
        </w:rPr>
        <w:t>Tariffs are extracted from carrier quotations (seller quote submission, Mode C — Section 8):</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"carrier": "MSC Egypt",</w:t>
      </w:r>
    </w:p>
    <w:p>
      <w:pPr>
        <w:spacing w:after="0" w:before="0" w:line="240" w:lineRule="auto"/>
        <w:ind w:left="57"/>
        <w:jc w:val="left"/>
        <w:shd w:val="clear" w:fill="F2F2F2"/>
      </w:pPr>
      <w:r>
        <w:rPr>
          <w:rFonts w:ascii="Consolas" w:hAnsi="Consolas" w:cs="Consolas"/>
          <w:b w:val="0"/>
          <w:i w:val="0"/>
          <w:sz w:val="15"/>
        </w:rPr>
        <w:t xml:space="preserve">  "container": "40ft Reefer",</w:t>
      </w:r>
    </w:p>
    <w:p>
      <w:pPr>
        <w:spacing w:after="0" w:before="0" w:line="240" w:lineRule="auto"/>
        <w:ind w:left="57"/>
        <w:jc w:val="left"/>
        <w:shd w:val="clear" w:fill="F2F2F2"/>
      </w:pPr>
      <w:r>
        <w:rPr>
          <w:rFonts w:ascii="Consolas" w:hAnsi="Consolas" w:cs="Consolas"/>
          <w:b w:val="0"/>
          <w:i w:val="0"/>
          <w:sz w:val="15"/>
        </w:rPr>
        <w:t xml:space="preserve">  "free_time": {</w:t>
      </w:r>
    </w:p>
    <w:p>
      <w:pPr>
        <w:spacing w:after="0" w:before="0" w:line="240" w:lineRule="auto"/>
        <w:ind w:left="57"/>
        <w:jc w:val="left"/>
        <w:shd w:val="clear" w:fill="F2F2F2"/>
      </w:pPr>
      <w:r>
        <w:rPr>
          <w:rFonts w:ascii="Consolas" w:hAnsi="Consolas" w:cs="Consolas"/>
          <w:b w:val="0"/>
          <w:i w:val="0"/>
          <w:sz w:val="15"/>
        </w:rPr>
        <w:t xml:space="preserve">    "demurrage_days": 5,</w:t>
      </w:r>
    </w:p>
    <w:p>
      <w:pPr>
        <w:spacing w:after="0" w:before="0" w:line="240" w:lineRule="auto"/>
        <w:ind w:left="57"/>
        <w:jc w:val="left"/>
        <w:shd w:val="clear" w:fill="F2F2F2"/>
      </w:pPr>
      <w:r>
        <w:rPr>
          <w:rFonts w:ascii="Consolas" w:hAnsi="Consolas" w:cs="Consolas"/>
          <w:b w:val="0"/>
          <w:i w:val="0"/>
          <w:sz w:val="15"/>
        </w:rPr>
        <w:t xml:space="preserve">    "detention_days": 7,</w:t>
      </w:r>
    </w:p>
    <w:p>
      <w:pPr>
        <w:spacing w:after="0" w:before="0" w:line="240" w:lineRule="auto"/>
        <w:ind w:left="57"/>
        <w:jc w:val="left"/>
        <w:shd w:val="clear" w:fill="F2F2F2"/>
      </w:pPr>
      <w:r>
        <w:rPr>
          <w:rFonts w:ascii="Consolas" w:hAnsi="Consolas" w:cs="Consolas"/>
          <w:b w:val="0"/>
          <w:i w:val="0"/>
          <w:sz w:val="15"/>
        </w:rPr>
        <w:t xml:space="preserve">    "combined_days": 12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"demurrage_rates": {</w:t>
      </w:r>
    </w:p>
    <w:p>
      <w:pPr>
        <w:spacing w:after="0" w:before="0" w:line="240" w:lineRule="auto"/>
        <w:ind w:left="57"/>
        <w:jc w:val="left"/>
        <w:shd w:val="clear" w:fill="F2F2F2"/>
      </w:pPr>
      <w:r>
        <w:rPr>
          <w:rFonts w:ascii="Consolas" w:hAnsi="Consolas" w:cs="Consolas"/>
          <w:b w:val="0"/>
          <w:i w:val="0"/>
          <w:sz w:val="15"/>
        </w:rPr>
        <w:t xml:space="preserve">    "day_1-3": 0,</w:t>
      </w:r>
    </w:p>
    <w:p>
      <w:pPr>
        <w:spacing w:after="0" w:before="0" w:line="240" w:lineRule="auto"/>
        <w:ind w:left="57"/>
        <w:jc w:val="left"/>
        <w:shd w:val="clear" w:fill="F2F2F2"/>
      </w:pPr>
      <w:r>
        <w:rPr>
          <w:rFonts w:ascii="Consolas" w:hAnsi="Consolas" w:cs="Consolas"/>
          <w:b w:val="0"/>
          <w:i w:val="0"/>
          <w:sz w:val="15"/>
        </w:rPr>
        <w:t xml:space="preserve">    "day_4-7": 150,</w:t>
      </w:r>
    </w:p>
    <w:p>
      <w:pPr>
        <w:spacing w:after="0" w:before="0" w:line="240" w:lineRule="auto"/>
        <w:ind w:left="57"/>
        <w:jc w:val="left"/>
        <w:shd w:val="clear" w:fill="F2F2F2"/>
      </w:pPr>
      <w:r>
        <w:rPr>
          <w:rFonts w:ascii="Consolas" w:hAnsi="Consolas" w:cs="Consolas"/>
          <w:b w:val="0"/>
          <w:i w:val="0"/>
          <w:sz w:val="15"/>
        </w:rPr>
        <w:t xml:space="preserve">    "day_8-14": 200,</w:t>
      </w:r>
    </w:p>
    <w:p>
      <w:pPr>
        <w:spacing w:after="0" w:before="0" w:line="240" w:lineRule="auto"/>
        <w:ind w:left="57"/>
        <w:jc w:val="left"/>
        <w:shd w:val="clear" w:fill="F2F2F2"/>
      </w:pPr>
      <w:r>
        <w:rPr>
          <w:rFonts w:ascii="Consolas" w:hAnsi="Consolas" w:cs="Consolas"/>
          <w:b w:val="0"/>
          <w:i w:val="0"/>
          <w:sz w:val="15"/>
        </w:rPr>
        <w:t xml:space="preserve">    "day_15+": 250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"detention_rates": {</w:t>
      </w:r>
    </w:p>
    <w:p>
      <w:pPr>
        <w:spacing w:after="0" w:before="0" w:line="240" w:lineRule="auto"/>
        <w:ind w:left="57"/>
        <w:jc w:val="left"/>
        <w:shd w:val="clear" w:fill="F2F2F2"/>
      </w:pPr>
      <w:r>
        <w:rPr>
          <w:rFonts w:ascii="Consolas" w:hAnsi="Consolas" w:cs="Consolas"/>
          <w:b w:val="0"/>
          <w:i w:val="0"/>
          <w:sz w:val="15"/>
        </w:rPr>
        <w:t xml:space="preserve">    "day_1-3": 0,</w:t>
      </w:r>
    </w:p>
    <w:p>
      <w:pPr>
        <w:spacing w:after="0" w:before="0" w:line="240" w:lineRule="auto"/>
        <w:ind w:left="57"/>
        <w:jc w:val="left"/>
        <w:shd w:val="clear" w:fill="F2F2F2"/>
      </w:pPr>
      <w:r>
        <w:rPr>
          <w:rFonts w:ascii="Consolas" w:hAnsi="Consolas" w:cs="Consolas"/>
          <w:b w:val="0"/>
          <w:i w:val="0"/>
          <w:sz w:val="15"/>
        </w:rPr>
        <w:t xml:space="preserve">    "day_4-7": 100,</w:t>
      </w:r>
    </w:p>
    <w:p>
      <w:pPr>
        <w:spacing w:after="0" w:before="0" w:line="240" w:lineRule="auto"/>
        <w:ind w:left="57"/>
        <w:jc w:val="left"/>
        <w:shd w:val="clear" w:fill="F2F2F2"/>
      </w:pPr>
      <w:r>
        <w:rPr>
          <w:rFonts w:ascii="Consolas" w:hAnsi="Consolas" w:cs="Consolas"/>
          <w:b w:val="0"/>
          <w:i w:val="0"/>
          <w:sz w:val="15"/>
        </w:rPr>
        <w:t xml:space="preserve">    "day_8-14": 150,</w:t>
      </w:r>
    </w:p>
    <w:p>
      <w:pPr>
        <w:spacing w:after="0" w:before="0" w:line="240" w:lineRule="auto"/>
        <w:ind w:left="57"/>
        <w:jc w:val="left"/>
        <w:shd w:val="clear" w:fill="F2F2F2"/>
      </w:pPr>
      <w:r>
        <w:rPr>
          <w:rFonts w:ascii="Consolas" w:hAnsi="Consolas" w:cs="Consolas"/>
          <w:b w:val="0"/>
          <w:i w:val="0"/>
          <w:sz w:val="15"/>
        </w:rPr>
        <w:t xml:space="preserve">    "day_15+": 200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"source": "MSC Tariff 2026-001"</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22.4.3 Port-Specific Free Time Norms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Country</w:t>
            </w:r>
          </w:p>
        </w:tc>
        <w:tc>
          <w:tcPr>
            <w:tcW w:type="dxa" w:w="2409"/>
            <w:shd w:val="clear" w:fill="D9E2F3"/>
          </w:tcPr>
          <w:p>
            <w:pPr>
              <w:spacing w:after="20" w:before="20" w:line="240" w:lineRule="auto"/>
            </w:pPr>
            <w:r/>
            <w:r>
              <w:rPr>
                <w:rFonts w:ascii="Arial" w:hAnsi="Arial" w:cs="Arial"/>
                <w:b/>
                <w:i w:val="0"/>
                <w:sz w:val="18"/>
              </w:rPr>
              <w:t>Port</w:t>
            </w:r>
          </w:p>
        </w:tc>
        <w:tc>
          <w:tcPr>
            <w:tcW w:type="dxa" w:w="2409"/>
            <w:shd w:val="clear" w:fill="D9E2F3"/>
          </w:tcPr>
          <w:p>
            <w:pPr>
              <w:spacing w:after="20" w:before="20" w:line="240" w:lineRule="auto"/>
            </w:pPr>
            <w:r/>
            <w:r>
              <w:rPr>
                <w:rFonts w:ascii="Arial" w:hAnsi="Arial" w:cs="Arial"/>
                <w:b/>
                <w:i w:val="0"/>
                <w:sz w:val="18"/>
              </w:rPr>
              <w:t>Standard Free Time</w:t>
            </w:r>
          </w:p>
        </w:tc>
        <w:tc>
          <w:tcPr>
            <w:tcW w:type="dxa" w:w="2409"/>
            <w:shd w:val="clear" w:fill="D9E2F3"/>
          </w:tcPr>
          <w:p>
            <w:pPr>
              <w:spacing w:after="20" w:before="20" w:line="240" w:lineRule="auto"/>
            </w:pPr>
            <w:r/>
            <w:r>
              <w:rPr>
                <w:rFonts w:ascii="Arial" w:hAnsi="Arial" w:cs="Arial"/>
                <w:b/>
                <w:i w:val="0"/>
                <w:sz w:val="18"/>
              </w:rPr>
              <w:t>Extension Policy</w:t>
            </w:r>
          </w:p>
        </w:tc>
      </w:tr>
      <w:tr>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Alexandria, Damietta, Port Said</w:t>
            </w:r>
          </w:p>
        </w:tc>
        <w:tc>
          <w:tcPr>
            <w:tcW w:type="dxa" w:w="2409"/>
          </w:tcPr>
          <w:p>
            <w:pPr>
              <w:spacing w:after="20" w:before="20" w:line="240" w:lineRule="auto"/>
            </w:pPr>
            <w:r/>
            <w:r>
              <w:rPr>
                <w:rFonts w:ascii="Arial" w:hAnsi="Arial" w:cs="Arial"/>
                <w:b w:val="0"/>
                <w:i w:val="0"/>
                <w:sz w:val="17"/>
              </w:rPr>
              <w:t>5 days</w:t>
            </w:r>
          </w:p>
        </w:tc>
        <w:tc>
          <w:tcPr>
            <w:tcW w:type="dxa" w:w="2409"/>
          </w:tcPr>
          <w:p>
            <w:pPr>
              <w:spacing w:after="20" w:before="20" w:line="240" w:lineRule="auto"/>
            </w:pPr>
            <w:r/>
            <w:r>
              <w:rPr>
                <w:rFonts w:ascii="Arial" w:hAnsi="Arial" w:cs="Arial"/>
                <w:b w:val="0"/>
                <w:i w:val="0"/>
                <w:sz w:val="17"/>
              </w:rPr>
              <w:t>Request up to 3 days</w:t>
            </w:r>
          </w:p>
        </w:tc>
      </w:tr>
      <w:tr>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Safaga, Port Tawfik</w:t>
            </w:r>
          </w:p>
        </w:tc>
        <w:tc>
          <w:tcPr>
            <w:tcW w:type="dxa" w:w="2409"/>
          </w:tcPr>
          <w:p>
            <w:pPr>
              <w:spacing w:after="20" w:before="20" w:line="240" w:lineRule="auto"/>
            </w:pPr>
            <w:r/>
            <w:r>
              <w:rPr>
                <w:rFonts w:ascii="Arial" w:hAnsi="Arial" w:cs="Arial"/>
                <w:b w:val="0"/>
                <w:i w:val="0"/>
                <w:sz w:val="17"/>
              </w:rPr>
              <w:t>7 days</w:t>
            </w:r>
          </w:p>
        </w:tc>
        <w:tc>
          <w:tcPr>
            <w:tcW w:type="dxa" w:w="2409"/>
          </w:tcPr>
          <w:p>
            <w:pPr>
              <w:spacing w:after="20" w:before="20" w:line="240" w:lineRule="auto"/>
            </w:pPr>
            <w:r/>
            <w:r>
              <w:rPr>
                <w:rFonts w:ascii="Arial" w:hAnsi="Arial" w:cs="Arial"/>
                <w:b w:val="0"/>
                <w:i w:val="0"/>
                <w:sz w:val="17"/>
              </w:rPr>
              <w:t>Request up to 5 days</w:t>
            </w:r>
          </w:p>
        </w:tc>
      </w:tr>
      <w:tr>
        <w:tc>
          <w:tcPr>
            <w:tcW w:type="dxa" w:w="2409"/>
          </w:tcPr>
          <w:p>
            <w:pPr>
              <w:spacing w:after="20" w:before="20" w:line="240" w:lineRule="auto"/>
            </w:pPr>
            <w:r/>
            <w:r>
              <w:rPr>
                <w:rFonts w:ascii="Arial" w:hAnsi="Arial" w:cs="Arial"/>
                <w:b w:val="0"/>
                <w:i w:val="0"/>
                <w:sz w:val="17"/>
              </w:rPr>
              <w:t>Germany</w:t>
            </w:r>
          </w:p>
        </w:tc>
        <w:tc>
          <w:tcPr>
            <w:tcW w:type="dxa" w:w="2409"/>
          </w:tcPr>
          <w:p>
            <w:pPr>
              <w:spacing w:after="20" w:before="20" w:line="240" w:lineRule="auto"/>
            </w:pPr>
            <w:r/>
            <w:r>
              <w:rPr>
                <w:rFonts w:ascii="Arial" w:hAnsi="Arial" w:cs="Arial"/>
                <w:b w:val="0"/>
                <w:i w:val="0"/>
                <w:sz w:val="17"/>
              </w:rPr>
              <w:t>Hamburg, Bremerhaven</w:t>
            </w:r>
          </w:p>
        </w:tc>
        <w:tc>
          <w:tcPr>
            <w:tcW w:type="dxa" w:w="2409"/>
          </w:tcPr>
          <w:p>
            <w:pPr>
              <w:spacing w:after="20" w:before="20" w:line="240" w:lineRule="auto"/>
            </w:pPr>
            <w:r/>
            <w:r>
              <w:rPr>
                <w:rFonts w:ascii="Arial" w:hAnsi="Arial" w:cs="Arial"/>
                <w:b w:val="0"/>
                <w:i w:val="0"/>
                <w:sz w:val="17"/>
              </w:rPr>
              <w:t>7 days</w:t>
            </w:r>
          </w:p>
        </w:tc>
        <w:tc>
          <w:tcPr>
            <w:tcW w:type="dxa" w:w="2409"/>
          </w:tcPr>
          <w:p>
            <w:pPr>
              <w:spacing w:after="20" w:before="20" w:line="240" w:lineRule="auto"/>
            </w:pPr>
            <w:r/>
            <w:r>
              <w:rPr>
                <w:rFonts w:ascii="Arial" w:hAnsi="Arial" w:cs="Arial"/>
                <w:b w:val="0"/>
                <w:i w:val="0"/>
                <w:sz w:val="17"/>
              </w:rPr>
              <w:t>Up to 14 days with approval</w:t>
            </w:r>
          </w:p>
        </w:tc>
      </w:tr>
      <w:tr>
        <w:tc>
          <w:tcPr>
            <w:tcW w:type="dxa" w:w="2409"/>
          </w:tcPr>
          <w:p>
            <w:pPr>
              <w:spacing w:after="20" w:before="20" w:line="240" w:lineRule="auto"/>
            </w:pPr>
            <w:r/>
            <w:r>
              <w:rPr>
                <w:rFonts w:ascii="Arial" w:hAnsi="Arial" w:cs="Arial"/>
                <w:b w:val="0"/>
                <w:i w:val="0"/>
                <w:sz w:val="17"/>
              </w:rPr>
              <w:t>UAE</w:t>
            </w:r>
          </w:p>
        </w:tc>
        <w:tc>
          <w:tcPr>
            <w:tcW w:type="dxa" w:w="2409"/>
          </w:tcPr>
          <w:p>
            <w:pPr>
              <w:spacing w:after="20" w:before="20" w:line="240" w:lineRule="auto"/>
            </w:pPr>
            <w:r/>
            <w:r>
              <w:rPr>
                <w:rFonts w:ascii="Arial" w:hAnsi="Arial" w:cs="Arial"/>
                <w:b w:val="0"/>
                <w:i w:val="0"/>
                <w:sz w:val="17"/>
              </w:rPr>
              <w:t>Jebel Ali, Khalifa Port</w:t>
            </w:r>
          </w:p>
        </w:tc>
        <w:tc>
          <w:tcPr>
            <w:tcW w:type="dxa" w:w="2409"/>
          </w:tcPr>
          <w:p>
            <w:pPr>
              <w:spacing w:after="20" w:before="20" w:line="240" w:lineRule="auto"/>
            </w:pPr>
            <w:r/>
            <w:r>
              <w:rPr>
                <w:rFonts w:ascii="Arial" w:hAnsi="Arial" w:cs="Arial"/>
                <w:b w:val="0"/>
                <w:i w:val="0"/>
                <w:sz w:val="17"/>
              </w:rPr>
              <w:t>7 days</w:t>
            </w:r>
          </w:p>
        </w:tc>
        <w:tc>
          <w:tcPr>
            <w:tcW w:type="dxa" w:w="2409"/>
          </w:tcPr>
          <w:p>
            <w:pPr>
              <w:spacing w:after="20" w:before="20" w:line="240" w:lineRule="auto"/>
            </w:pPr>
            <w:r/>
            <w:r>
              <w:rPr>
                <w:rFonts w:ascii="Arial" w:hAnsi="Arial" w:cs="Arial"/>
                <w:b w:val="0"/>
                <w:i w:val="0"/>
                <w:sz w:val="17"/>
              </w:rPr>
              <w:t>Up to 14 days with approval</w:t>
            </w:r>
          </w:p>
        </w:tc>
      </w:tr>
      <w:tr>
        <w:tc>
          <w:tcPr>
            <w:tcW w:type="dxa" w:w="2409"/>
          </w:tcPr>
          <w:p>
            <w:pPr>
              <w:spacing w:after="20" w:before="20" w:line="240" w:lineRule="auto"/>
            </w:pPr>
            <w:r/>
            <w:r>
              <w:rPr>
                <w:rFonts w:ascii="Arial" w:hAnsi="Arial" w:cs="Arial"/>
                <w:b w:val="0"/>
                <w:i w:val="0"/>
                <w:sz w:val="17"/>
              </w:rPr>
              <w:t>Saudi</w:t>
            </w:r>
          </w:p>
        </w:tc>
        <w:tc>
          <w:tcPr>
            <w:tcW w:type="dxa" w:w="2409"/>
          </w:tcPr>
          <w:p>
            <w:pPr>
              <w:spacing w:after="20" w:before="20" w:line="240" w:lineRule="auto"/>
            </w:pPr>
            <w:r/>
            <w:r>
              <w:rPr>
                <w:rFonts w:ascii="Arial" w:hAnsi="Arial" w:cs="Arial"/>
                <w:b w:val="0"/>
                <w:i w:val="0"/>
                <w:sz w:val="17"/>
              </w:rPr>
              <w:t>Jeddah, Dammam, Yanbu</w:t>
            </w:r>
          </w:p>
        </w:tc>
        <w:tc>
          <w:tcPr>
            <w:tcW w:type="dxa" w:w="2409"/>
          </w:tcPr>
          <w:p>
            <w:pPr>
              <w:spacing w:after="20" w:before="20" w:line="240" w:lineRule="auto"/>
            </w:pPr>
            <w:r/>
            <w:r>
              <w:rPr>
                <w:rFonts w:ascii="Arial" w:hAnsi="Arial" w:cs="Arial"/>
                <w:b w:val="0"/>
                <w:i w:val="0"/>
                <w:sz w:val="17"/>
              </w:rPr>
              <w:t>7 days</w:t>
            </w:r>
          </w:p>
        </w:tc>
        <w:tc>
          <w:tcPr>
            <w:tcW w:type="dxa" w:w="2409"/>
          </w:tcPr>
          <w:p>
            <w:pPr>
              <w:spacing w:after="20" w:before="20" w:line="240" w:lineRule="auto"/>
            </w:pPr>
            <w:r/>
            <w:r>
              <w:rPr>
                <w:rFonts w:ascii="Arial" w:hAnsi="Arial" w:cs="Arial"/>
                <w:b w:val="0"/>
                <w:i w:val="0"/>
                <w:sz w:val="17"/>
              </w:rPr>
              <w:t>Up to 10 days with approval</w:t>
            </w:r>
          </w:p>
        </w:tc>
      </w:tr>
      <w:tr>
        <w:tc>
          <w:tcPr>
            <w:tcW w:type="dxa" w:w="2409"/>
          </w:tcPr>
          <w:p>
            <w:pPr>
              <w:spacing w:after="20" w:before="20" w:line="240" w:lineRule="auto"/>
            </w:pPr>
            <w:r/>
            <w:r>
              <w:rPr>
                <w:rFonts w:ascii="Arial" w:hAnsi="Arial" w:cs="Arial"/>
                <w:b w:val="0"/>
                <w:i w:val="0"/>
                <w:sz w:val="17"/>
              </w:rPr>
              <w:t>Italy</w:t>
            </w:r>
          </w:p>
        </w:tc>
        <w:tc>
          <w:tcPr>
            <w:tcW w:type="dxa" w:w="2409"/>
          </w:tcPr>
          <w:p>
            <w:pPr>
              <w:spacing w:after="20" w:before="20" w:line="240" w:lineRule="auto"/>
            </w:pPr>
            <w:r/>
            <w:r>
              <w:rPr>
                <w:rFonts w:ascii="Arial" w:hAnsi="Arial" w:cs="Arial"/>
                <w:b w:val="0"/>
                <w:i w:val="0"/>
                <w:sz w:val="17"/>
              </w:rPr>
              <w:t>Trieste, Livorno, Genoa</w:t>
            </w:r>
          </w:p>
        </w:tc>
        <w:tc>
          <w:tcPr>
            <w:tcW w:type="dxa" w:w="2409"/>
          </w:tcPr>
          <w:p>
            <w:pPr>
              <w:spacing w:after="20" w:before="20" w:line="240" w:lineRule="auto"/>
            </w:pPr>
            <w:r/>
            <w:r>
              <w:rPr>
                <w:rFonts w:ascii="Arial" w:hAnsi="Arial" w:cs="Arial"/>
                <w:b w:val="0"/>
                <w:i w:val="0"/>
                <w:sz w:val="17"/>
              </w:rPr>
              <w:t>5 days</w:t>
            </w:r>
          </w:p>
        </w:tc>
        <w:tc>
          <w:tcPr>
            <w:tcW w:type="dxa" w:w="2409"/>
          </w:tcPr>
          <w:p>
            <w:pPr>
              <w:spacing w:after="20" w:before="20" w:line="240" w:lineRule="auto"/>
            </w:pPr>
            <w:r/>
            <w:r>
              <w:rPr>
                <w:rFonts w:ascii="Arial" w:hAnsi="Arial" w:cs="Arial"/>
                <w:b w:val="0"/>
                <w:i w:val="0"/>
                <w:sz w:val="17"/>
              </w:rPr>
              <w:t>Up to 10 days with approval</w:t>
            </w:r>
          </w:p>
        </w:tc>
      </w:tr>
      <w:tr>
        <w:tc>
          <w:tcPr>
            <w:tcW w:type="dxa" w:w="2409"/>
          </w:tcPr>
          <w:p>
            <w:pPr>
              <w:spacing w:after="20" w:before="20" w:line="240" w:lineRule="auto"/>
            </w:pPr>
            <w:r/>
            <w:r>
              <w:rPr>
                <w:rFonts w:ascii="Arial" w:hAnsi="Arial" w:cs="Arial"/>
                <w:b w:val="0"/>
                <w:i w:val="0"/>
                <w:sz w:val="17"/>
              </w:rPr>
              <w:t>USA</w:t>
            </w:r>
          </w:p>
        </w:tc>
        <w:tc>
          <w:tcPr>
            <w:tcW w:type="dxa" w:w="2409"/>
          </w:tcPr>
          <w:p>
            <w:pPr>
              <w:spacing w:after="20" w:before="20" w:line="240" w:lineRule="auto"/>
            </w:pPr>
            <w:r/>
            <w:r>
              <w:rPr>
                <w:rFonts w:ascii="Arial" w:hAnsi="Arial" w:cs="Arial"/>
                <w:b w:val="0"/>
                <w:i w:val="0"/>
                <w:sz w:val="17"/>
              </w:rPr>
              <w:t>New York, Los Angeles</w:t>
            </w:r>
          </w:p>
        </w:tc>
        <w:tc>
          <w:tcPr>
            <w:tcW w:type="dxa" w:w="2409"/>
          </w:tcPr>
          <w:p>
            <w:pPr>
              <w:spacing w:after="20" w:before="20" w:line="240" w:lineRule="auto"/>
            </w:pPr>
            <w:r/>
            <w:r>
              <w:rPr>
                <w:rFonts w:ascii="Arial" w:hAnsi="Arial" w:cs="Arial"/>
                <w:b w:val="0"/>
                <w:i w:val="0"/>
                <w:sz w:val="17"/>
              </w:rPr>
              <w:t>4 days</w:t>
            </w:r>
          </w:p>
        </w:tc>
        <w:tc>
          <w:tcPr>
            <w:tcW w:type="dxa" w:w="2409"/>
          </w:tcPr>
          <w:p>
            <w:pPr>
              <w:spacing w:after="20" w:before="20" w:line="240" w:lineRule="auto"/>
            </w:pPr>
            <w:r/>
            <w:r>
              <w:rPr>
                <w:rFonts w:ascii="Arial" w:hAnsi="Arial" w:cs="Arial"/>
                <w:b w:val="0"/>
                <w:i w:val="0"/>
                <w:sz w:val="17"/>
              </w:rPr>
              <w:t>Up to 7 days with approval</w:t>
            </w:r>
          </w:p>
        </w:tc>
      </w:tr>
      <w:tr>
        <w:tc>
          <w:tcPr>
            <w:tcW w:type="dxa" w:w="2409"/>
          </w:tcPr>
          <w:p>
            <w:pPr>
              <w:spacing w:after="20" w:before="20" w:line="240" w:lineRule="auto"/>
            </w:pPr>
            <w:r/>
            <w:r>
              <w:rPr>
                <w:rFonts w:ascii="Arial" w:hAnsi="Arial" w:cs="Arial"/>
                <w:b w:val="0"/>
                <w:i w:val="0"/>
                <w:sz w:val="17"/>
              </w:rPr>
              <w:t>UK</w:t>
            </w:r>
          </w:p>
        </w:tc>
        <w:tc>
          <w:tcPr>
            <w:tcW w:type="dxa" w:w="2409"/>
          </w:tcPr>
          <w:p>
            <w:pPr>
              <w:spacing w:after="20" w:before="20" w:line="240" w:lineRule="auto"/>
            </w:pPr>
            <w:r/>
            <w:r>
              <w:rPr>
                <w:rFonts w:ascii="Arial" w:hAnsi="Arial" w:cs="Arial"/>
                <w:b w:val="0"/>
                <w:i w:val="0"/>
                <w:sz w:val="17"/>
              </w:rPr>
              <w:t>Felixstowe, Southampton</w:t>
            </w:r>
          </w:p>
        </w:tc>
        <w:tc>
          <w:tcPr>
            <w:tcW w:type="dxa" w:w="2409"/>
          </w:tcPr>
          <w:p>
            <w:pPr>
              <w:spacing w:after="20" w:before="20" w:line="240" w:lineRule="auto"/>
            </w:pPr>
            <w:r/>
            <w:r>
              <w:rPr>
                <w:rFonts w:ascii="Arial" w:hAnsi="Arial" w:cs="Arial"/>
                <w:b w:val="0"/>
                <w:i w:val="0"/>
                <w:sz w:val="17"/>
              </w:rPr>
              <w:t>5 days</w:t>
            </w:r>
          </w:p>
        </w:tc>
        <w:tc>
          <w:tcPr>
            <w:tcW w:type="dxa" w:w="2409"/>
          </w:tcPr>
          <w:p>
            <w:pPr>
              <w:spacing w:after="20" w:before="20" w:line="240" w:lineRule="auto"/>
            </w:pPr>
            <w:r/>
            <w:r>
              <w:rPr>
                <w:rFonts w:ascii="Arial" w:hAnsi="Arial" w:cs="Arial"/>
                <w:b w:val="0"/>
                <w:i w:val="0"/>
                <w:sz w:val="17"/>
              </w:rPr>
              <w:t>Up to 10 days with approval</w:t>
            </w:r>
          </w:p>
        </w:tc>
      </w:tr>
      <w:tr>
        <w:tc>
          <w:tcPr>
            <w:tcW w:type="dxa" w:w="2409"/>
          </w:tcPr>
          <w:p>
            <w:pPr>
              <w:spacing w:after="20" w:before="20" w:line="240" w:lineRule="auto"/>
            </w:pPr>
            <w:r/>
            <w:r>
              <w:rPr>
                <w:rFonts w:ascii="Arial" w:hAnsi="Arial" w:cs="Arial"/>
                <w:b w:val="0"/>
                <w:i w:val="0"/>
                <w:sz w:val="17"/>
              </w:rPr>
              <w:t>Brazil</w:t>
            </w:r>
          </w:p>
        </w:tc>
        <w:tc>
          <w:tcPr>
            <w:tcW w:type="dxa" w:w="2409"/>
          </w:tcPr>
          <w:p>
            <w:pPr>
              <w:spacing w:after="20" w:before="20" w:line="240" w:lineRule="auto"/>
            </w:pPr>
            <w:r/>
            <w:r>
              <w:rPr>
                <w:rFonts w:ascii="Arial" w:hAnsi="Arial" w:cs="Arial"/>
                <w:b w:val="0"/>
                <w:i w:val="0"/>
                <w:sz w:val="17"/>
              </w:rPr>
              <w:t>Santos, Paranaguá</w:t>
            </w:r>
          </w:p>
        </w:tc>
        <w:tc>
          <w:tcPr>
            <w:tcW w:type="dxa" w:w="2409"/>
          </w:tcPr>
          <w:p>
            <w:pPr>
              <w:spacing w:after="20" w:before="20" w:line="240" w:lineRule="auto"/>
            </w:pPr>
            <w:r/>
            <w:r>
              <w:rPr>
                <w:rFonts w:ascii="Arial" w:hAnsi="Arial" w:cs="Arial"/>
                <w:b w:val="0"/>
                <w:i w:val="0"/>
                <w:sz w:val="17"/>
              </w:rPr>
              <w:t>5 days</w:t>
            </w:r>
          </w:p>
        </w:tc>
        <w:tc>
          <w:tcPr>
            <w:tcW w:type="dxa" w:w="2409"/>
          </w:tcPr>
          <w:p>
            <w:pPr>
              <w:spacing w:after="20" w:before="20" w:line="240" w:lineRule="auto"/>
            </w:pPr>
            <w:r/>
            <w:r>
              <w:rPr>
                <w:rFonts w:ascii="Arial" w:hAnsi="Arial" w:cs="Arial"/>
                <w:b w:val="0"/>
                <w:i w:val="0"/>
                <w:sz w:val="17"/>
              </w:rPr>
              <w:t>Up to 7 days with approval</w:t>
            </w:r>
          </w:p>
        </w:tc>
      </w:tr>
      <w:tr>
        <w:tc>
          <w:tcPr>
            <w:tcW w:type="dxa" w:w="2409"/>
          </w:tcPr>
          <w:p>
            <w:pPr>
              <w:spacing w:after="20" w:before="20" w:line="240" w:lineRule="auto"/>
            </w:pPr>
            <w:r/>
            <w:r>
              <w:rPr>
                <w:rFonts w:ascii="Arial" w:hAnsi="Arial" w:cs="Arial"/>
                <w:b w:val="0"/>
                <w:i w:val="0"/>
                <w:sz w:val="17"/>
              </w:rPr>
              <w:t>China</w:t>
            </w:r>
          </w:p>
        </w:tc>
        <w:tc>
          <w:tcPr>
            <w:tcW w:type="dxa" w:w="2409"/>
          </w:tcPr>
          <w:p>
            <w:pPr>
              <w:spacing w:after="20" w:before="20" w:line="240" w:lineRule="auto"/>
            </w:pPr>
            <w:r/>
            <w:r>
              <w:rPr>
                <w:rFonts w:ascii="Arial" w:hAnsi="Arial" w:cs="Arial"/>
                <w:b w:val="0"/>
                <w:i w:val="0"/>
                <w:sz w:val="17"/>
              </w:rPr>
              <w:t>Shanghai, Shenzhen</w:t>
            </w:r>
          </w:p>
        </w:tc>
        <w:tc>
          <w:tcPr>
            <w:tcW w:type="dxa" w:w="2409"/>
          </w:tcPr>
          <w:p>
            <w:pPr>
              <w:spacing w:after="20" w:before="20" w:line="240" w:lineRule="auto"/>
            </w:pPr>
            <w:r/>
            <w:r>
              <w:rPr>
                <w:rFonts w:ascii="Arial" w:hAnsi="Arial" w:cs="Arial"/>
                <w:b w:val="0"/>
                <w:i w:val="0"/>
                <w:sz w:val="17"/>
              </w:rPr>
              <w:t>7 days</w:t>
            </w:r>
          </w:p>
        </w:tc>
        <w:tc>
          <w:tcPr>
            <w:tcW w:type="dxa" w:w="2409"/>
          </w:tcPr>
          <w:p>
            <w:pPr>
              <w:spacing w:after="20" w:before="20" w:line="240" w:lineRule="auto"/>
            </w:pPr>
            <w:r/>
            <w:r>
              <w:rPr>
                <w:rFonts w:ascii="Arial" w:hAnsi="Arial" w:cs="Arial"/>
                <w:b w:val="0"/>
                <w:i w:val="0"/>
                <w:sz w:val="17"/>
              </w:rPr>
              <w:t>Up to 14 days with approval</w:t>
            </w:r>
          </w:p>
        </w:tc>
      </w:tr>
      <w:tr>
        <w:tc>
          <w:tcPr>
            <w:tcW w:type="dxa" w:w="2409"/>
          </w:tcPr>
          <w:p>
            <w:pPr>
              <w:spacing w:after="20" w:before="20" w:line="240" w:lineRule="auto"/>
            </w:pPr>
            <w:r/>
            <w:r>
              <w:rPr>
                <w:rFonts w:ascii="Arial" w:hAnsi="Arial" w:cs="Arial"/>
                <w:b w:val="0"/>
                <w:i w:val="0"/>
                <w:sz w:val="17"/>
              </w:rPr>
              <w:t>India</w:t>
            </w:r>
          </w:p>
        </w:tc>
        <w:tc>
          <w:tcPr>
            <w:tcW w:type="dxa" w:w="2409"/>
          </w:tcPr>
          <w:p>
            <w:pPr>
              <w:spacing w:after="20" w:before="20" w:line="240" w:lineRule="auto"/>
            </w:pPr>
            <w:r/>
            <w:r>
              <w:rPr>
                <w:rFonts w:ascii="Arial" w:hAnsi="Arial" w:cs="Arial"/>
                <w:b w:val="0"/>
                <w:i w:val="0"/>
                <w:sz w:val="17"/>
              </w:rPr>
              <w:t>Mumbai, Chennai</w:t>
            </w:r>
          </w:p>
        </w:tc>
        <w:tc>
          <w:tcPr>
            <w:tcW w:type="dxa" w:w="2409"/>
          </w:tcPr>
          <w:p>
            <w:pPr>
              <w:spacing w:after="20" w:before="20" w:line="240" w:lineRule="auto"/>
            </w:pPr>
            <w:r/>
            <w:r>
              <w:rPr>
                <w:rFonts w:ascii="Arial" w:hAnsi="Arial" w:cs="Arial"/>
                <w:b w:val="0"/>
                <w:i w:val="0"/>
                <w:sz w:val="17"/>
              </w:rPr>
              <w:t>5 days</w:t>
            </w:r>
          </w:p>
        </w:tc>
        <w:tc>
          <w:tcPr>
            <w:tcW w:type="dxa" w:w="2409"/>
          </w:tcPr>
          <w:p>
            <w:pPr>
              <w:spacing w:after="20" w:before="20" w:line="240" w:lineRule="auto"/>
            </w:pPr>
            <w:r/>
            <w:r>
              <w:rPr>
                <w:rFonts w:ascii="Arial" w:hAnsi="Arial" w:cs="Arial"/>
                <w:b w:val="0"/>
                <w:i w:val="0"/>
                <w:sz w:val="17"/>
              </w:rPr>
              <w:t>Up to 7 days with approval</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22.4.4 Demurrage Calculation Engine</w:t>
      </w:r>
    </w:p>
    <w:p>
      <w:pPr>
        <w:spacing w:after="0" w:before="0" w:line="240" w:lineRule="auto"/>
        <w:ind w:left="57"/>
        <w:jc w:val="left"/>
        <w:shd w:val="clear" w:fill="F2F2F2"/>
      </w:pPr>
      <w:r>
        <w:rPr>
          <w:rFonts w:ascii="Consolas" w:hAnsi="Consolas" w:cs="Consolas"/>
          <w:b w:val="0"/>
          <w:i w:val="0"/>
          <w:sz w:val="15"/>
        </w:rPr>
        <w:t>fn calculate_demurrage(</w:t>
      </w:r>
    </w:p>
    <w:p>
      <w:pPr>
        <w:spacing w:after="0" w:before="0" w:line="240" w:lineRule="auto"/>
        <w:ind w:left="57"/>
        <w:jc w:val="left"/>
        <w:shd w:val="clear" w:fill="F2F2F2"/>
      </w:pPr>
      <w:r>
        <w:rPr>
          <w:rFonts w:ascii="Consolas" w:hAnsi="Consolas" w:cs="Consolas"/>
          <w:b w:val="0"/>
          <w:i w:val="0"/>
          <w:sz w:val="15"/>
        </w:rPr>
        <w:t xml:space="preserve">    container_type: &amp;str,</w:t>
      </w:r>
    </w:p>
    <w:p>
      <w:pPr>
        <w:spacing w:after="0" w:before="0" w:line="240" w:lineRule="auto"/>
        <w:ind w:left="57"/>
        <w:jc w:val="left"/>
        <w:shd w:val="clear" w:fill="F2F2F2"/>
      </w:pPr>
      <w:r>
        <w:rPr>
          <w:rFonts w:ascii="Consolas" w:hAnsi="Consolas" w:cs="Consolas"/>
          <w:b w:val="0"/>
          <w:i w:val="0"/>
          <w:sz w:val="15"/>
        </w:rPr>
        <w:t xml:space="preserve">    carrier: &amp;str,</w:t>
      </w:r>
    </w:p>
    <w:p>
      <w:pPr>
        <w:spacing w:after="0" w:before="0" w:line="240" w:lineRule="auto"/>
        <w:ind w:left="57"/>
        <w:jc w:val="left"/>
        <w:shd w:val="clear" w:fill="F2F2F2"/>
      </w:pPr>
      <w:r>
        <w:rPr>
          <w:rFonts w:ascii="Consolas" w:hAnsi="Consolas" w:cs="Consolas"/>
          <w:b w:val="0"/>
          <w:i w:val="0"/>
          <w:sz w:val="15"/>
        </w:rPr>
        <w:t xml:space="preserve">    port: &amp;str,</w:t>
      </w:r>
    </w:p>
    <w:p>
      <w:pPr>
        <w:spacing w:after="0" w:before="0" w:line="240" w:lineRule="auto"/>
        <w:ind w:left="57"/>
        <w:jc w:val="left"/>
        <w:shd w:val="clear" w:fill="F2F2F2"/>
      </w:pPr>
      <w:r>
        <w:rPr>
          <w:rFonts w:ascii="Consolas" w:hAnsi="Consolas" w:cs="Consolas"/>
          <w:b w:val="0"/>
          <w:i w:val="0"/>
          <w:sz w:val="15"/>
        </w:rPr>
        <w:t xml:space="preserve">    release_date: DateTime,</w:t>
      </w:r>
    </w:p>
    <w:p>
      <w:pPr>
        <w:spacing w:after="0" w:before="0" w:line="240" w:lineRule="auto"/>
        <w:ind w:left="57"/>
        <w:jc w:val="left"/>
        <w:shd w:val="clear" w:fill="F2F2F2"/>
      </w:pPr>
      <w:r>
        <w:rPr>
          <w:rFonts w:ascii="Consolas" w:hAnsi="Consolas" w:cs="Consolas"/>
          <w:b w:val="0"/>
          <w:i w:val="0"/>
          <w:sz w:val="15"/>
        </w:rPr>
        <w:t xml:space="preserve">    gate_out_date: DateTime,</w:t>
      </w:r>
    </w:p>
    <w:p>
      <w:pPr>
        <w:spacing w:after="0" w:before="0" w:line="240" w:lineRule="auto"/>
        <w:ind w:left="57"/>
        <w:jc w:val="left"/>
        <w:shd w:val="clear" w:fill="F2F2F2"/>
      </w:pPr>
      <w:r>
        <w:rPr>
          <w:rFonts w:ascii="Consolas" w:hAnsi="Consolas" w:cs="Consolas"/>
          <w:b w:val="0"/>
          <w:i w:val="0"/>
          <w:sz w:val="15"/>
        </w:rPr>
        <w:t xml:space="preserve">    free_time_days: i32,</w:t>
      </w:r>
    </w:p>
    <w:p>
      <w:pPr>
        <w:spacing w:after="0" w:before="0" w:line="240" w:lineRule="auto"/>
        <w:ind w:left="57"/>
        <w:jc w:val="left"/>
        <w:shd w:val="clear" w:fill="F2F2F2"/>
      </w:pPr>
      <w:r>
        <w:rPr>
          <w:rFonts w:ascii="Consolas" w:hAnsi="Consolas" w:cs="Consolas"/>
          <w:b w:val="0"/>
          <w:i w:val="0"/>
          <w:sz w:val="15"/>
        </w:rPr>
        <w:t xml:space="preserve">    carrier_tariff: &amp;CarrierTariff</w:t>
      </w:r>
    </w:p>
    <w:p>
      <w:pPr>
        <w:spacing w:after="0" w:before="0" w:line="240" w:lineRule="auto"/>
        <w:ind w:left="57"/>
        <w:jc w:val="left"/>
        <w:shd w:val="clear" w:fill="F2F2F2"/>
      </w:pPr>
      <w:r>
        <w:rPr>
          <w:rFonts w:ascii="Consolas" w:hAnsi="Consolas" w:cs="Consolas"/>
          <w:b w:val="0"/>
          <w:i w:val="0"/>
          <w:sz w:val="15"/>
        </w:rPr>
        <w:t>) -&gt; DemurrageCalculation</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let days_used = (gate_out_date - release_date).num_days();</w:t>
      </w:r>
    </w:p>
    <w:p>
      <w:pPr>
        <w:spacing w:after="0" w:before="0" w:line="240" w:lineRule="auto"/>
        <w:ind w:left="57"/>
        <w:jc w:val="left"/>
        <w:shd w:val="clear" w:fill="F2F2F2"/>
      </w:pPr>
      <w:r>
        <w:rPr>
          <w:rFonts w:ascii="Consolas" w:hAnsi="Consolas" w:cs="Consolas"/>
          <w:b w:val="0"/>
          <w:i w:val="0"/>
          <w:sz w:val="15"/>
        </w:rPr>
        <w:t xml:space="preserve">    let excess_days = days_used - free_time_days;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if excess_days &lt;= 0 {</w:t>
      </w:r>
    </w:p>
    <w:p>
      <w:pPr>
        <w:spacing w:after="0" w:before="0" w:line="240" w:lineRule="auto"/>
        <w:ind w:left="57"/>
        <w:jc w:val="left"/>
        <w:shd w:val="clear" w:fill="F2F2F2"/>
      </w:pPr>
      <w:r>
        <w:rPr>
          <w:rFonts w:ascii="Consolas" w:hAnsi="Consolas" w:cs="Consolas"/>
          <w:b w:val="0"/>
          <w:i w:val="0"/>
          <w:sz w:val="15"/>
        </w:rPr>
        <w:t xml:space="preserve">        return DemurrageCalculation {</w:t>
      </w:r>
    </w:p>
    <w:p>
      <w:pPr>
        <w:spacing w:after="0" w:before="0" w:line="240" w:lineRule="auto"/>
        <w:ind w:left="57"/>
        <w:jc w:val="left"/>
        <w:shd w:val="clear" w:fill="F2F2F2"/>
      </w:pPr>
      <w:r>
        <w:rPr>
          <w:rFonts w:ascii="Consolas" w:hAnsi="Consolas" w:cs="Consolas"/>
          <w:b w:val="0"/>
          <w:i w:val="0"/>
          <w:sz w:val="15"/>
        </w:rPr>
        <w:t xml:space="preserve">            days_used: days_used,</w:t>
      </w:r>
    </w:p>
    <w:p>
      <w:pPr>
        <w:spacing w:after="0" w:before="0" w:line="240" w:lineRule="auto"/>
        <w:ind w:left="57"/>
        <w:jc w:val="left"/>
        <w:shd w:val="clear" w:fill="F2F2F2"/>
      </w:pPr>
      <w:r>
        <w:rPr>
          <w:rFonts w:ascii="Consolas" w:hAnsi="Consolas" w:cs="Consolas"/>
          <w:b w:val="0"/>
          <w:i w:val="0"/>
          <w:sz w:val="15"/>
        </w:rPr>
        <w:t xml:space="preserve">            excess_days: 0,</w:t>
      </w:r>
    </w:p>
    <w:p>
      <w:pPr>
        <w:spacing w:after="0" w:before="0" w:line="240" w:lineRule="auto"/>
        <w:ind w:left="57"/>
        <w:jc w:val="left"/>
        <w:shd w:val="clear" w:fill="F2F2F2"/>
      </w:pPr>
      <w:r>
        <w:rPr>
          <w:rFonts w:ascii="Consolas" w:hAnsi="Consolas" w:cs="Consolas"/>
          <w:b w:val="0"/>
          <w:i w:val="0"/>
          <w:sz w:val="15"/>
        </w:rPr>
        <w:t xml:space="preserve">            demurrage_amount: 0,</w:t>
      </w:r>
    </w:p>
    <w:p>
      <w:pPr>
        <w:spacing w:after="0" w:before="0" w:line="240" w:lineRule="auto"/>
        <w:ind w:left="57"/>
        <w:jc w:val="left"/>
        <w:shd w:val="clear" w:fill="F2F2F2"/>
      </w:pPr>
      <w:r>
        <w:rPr>
          <w:rFonts w:ascii="Consolas" w:hAnsi="Consolas" w:cs="Consolas"/>
          <w:b w:val="0"/>
          <w:i w:val="0"/>
          <w:sz w:val="15"/>
        </w:rPr>
        <w:t xml:space="preserve">            detention_amount: 0,</w:t>
      </w:r>
    </w:p>
    <w:p>
      <w:pPr>
        <w:spacing w:after="0" w:before="0" w:line="240" w:lineRule="auto"/>
        <w:ind w:left="57"/>
        <w:jc w:val="left"/>
        <w:shd w:val="clear" w:fill="F2F2F2"/>
      </w:pPr>
      <w:r>
        <w:rPr>
          <w:rFonts w:ascii="Consolas" w:hAnsi="Consolas" w:cs="Consolas"/>
          <w:b w:val="0"/>
          <w:i w:val="0"/>
          <w:sz w:val="15"/>
        </w:rPr>
        <w:t xml:space="preserve">            total_amount: 0,</w:t>
      </w:r>
    </w:p>
    <w:p>
      <w:pPr>
        <w:spacing w:after="0" w:before="0" w:line="240" w:lineRule="auto"/>
        <w:ind w:left="57"/>
        <w:jc w:val="left"/>
        <w:shd w:val="clear" w:fill="F2F2F2"/>
      </w:pPr>
      <w:r>
        <w:rPr>
          <w:rFonts w:ascii="Consolas" w:hAnsi="Consolas" w:cs="Consolas"/>
          <w:b w:val="0"/>
          <w:i w:val="0"/>
          <w:sz w:val="15"/>
        </w:rPr>
        <w:t xml:space="preserve">            status: "FREE_TIME"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 Determine whether demurrage or detention applies</w:t>
      </w:r>
    </w:p>
    <w:p>
      <w:pPr>
        <w:spacing w:after="0" w:before="0" w:line="240" w:lineRule="auto"/>
        <w:ind w:left="57"/>
        <w:jc w:val="left"/>
        <w:shd w:val="clear" w:fill="F2F2F2"/>
      </w:pPr>
      <w:r>
        <w:rPr>
          <w:rFonts w:ascii="Consolas" w:hAnsi="Consolas" w:cs="Consolas"/>
          <w:b w:val="0"/>
          <w:i w:val="0"/>
          <w:sz w:val="15"/>
        </w:rPr>
        <w:t xml:space="preserve">    let demurrage_applies = true; // based on milestone state</w:t>
      </w:r>
    </w:p>
    <w:p>
      <w:pPr>
        <w:spacing w:after="0" w:before="0" w:line="240" w:lineRule="auto"/>
        <w:ind w:left="57"/>
        <w:jc w:val="left"/>
        <w:shd w:val="clear" w:fill="F2F2F2"/>
      </w:pPr>
      <w:r>
        <w:rPr>
          <w:rFonts w:ascii="Consolas" w:hAnsi="Consolas" w:cs="Consolas"/>
          <w:b w:val="0"/>
          <w:i w:val="0"/>
          <w:sz w:val="15"/>
        </w:rPr>
        <w:t xml:space="preserve">    let detention_applies = !demurrage_applies;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demurrage = if demurrage_applies {</w:t>
      </w:r>
    </w:p>
    <w:p>
      <w:pPr>
        <w:spacing w:after="0" w:before="0" w:line="240" w:lineRule="auto"/>
        <w:ind w:left="57"/>
        <w:jc w:val="left"/>
        <w:shd w:val="clear" w:fill="F2F2F2"/>
      </w:pPr>
      <w:r>
        <w:rPr>
          <w:rFonts w:ascii="Consolas" w:hAnsi="Consolas" w:cs="Consolas"/>
          <w:b w:val="0"/>
          <w:i w:val="0"/>
          <w:sz w:val="15"/>
        </w:rPr>
        <w:t xml:space="preserve">        calculate_tiered_amount(carrier_tariff.demurrage_rates, excess_days)</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detention = if detention_applies {</w:t>
      </w:r>
    </w:p>
    <w:p>
      <w:pPr>
        <w:spacing w:after="0" w:before="0" w:line="240" w:lineRule="auto"/>
        <w:ind w:left="57"/>
        <w:jc w:val="left"/>
        <w:shd w:val="clear" w:fill="F2F2F2"/>
      </w:pPr>
      <w:r>
        <w:rPr>
          <w:rFonts w:ascii="Consolas" w:hAnsi="Consolas" w:cs="Consolas"/>
          <w:b w:val="0"/>
          <w:i w:val="0"/>
          <w:sz w:val="15"/>
        </w:rPr>
        <w:t xml:space="preserve">        calculate_tiered_amount(carrier_tariff.detention_rates, excess_days)</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DemurrageCalculation {</w:t>
      </w:r>
    </w:p>
    <w:p>
      <w:pPr>
        <w:spacing w:after="0" w:before="0" w:line="240" w:lineRule="auto"/>
        <w:ind w:left="57"/>
        <w:jc w:val="left"/>
        <w:shd w:val="clear" w:fill="F2F2F2"/>
      </w:pPr>
      <w:r>
        <w:rPr>
          <w:rFonts w:ascii="Consolas" w:hAnsi="Consolas" w:cs="Consolas"/>
          <w:b w:val="0"/>
          <w:i w:val="0"/>
          <w:sz w:val="15"/>
        </w:rPr>
        <w:t xml:space="preserve">        days_used,</w:t>
      </w:r>
    </w:p>
    <w:p>
      <w:pPr>
        <w:spacing w:after="0" w:before="0" w:line="240" w:lineRule="auto"/>
        <w:ind w:left="57"/>
        <w:jc w:val="left"/>
        <w:shd w:val="clear" w:fill="F2F2F2"/>
      </w:pPr>
      <w:r>
        <w:rPr>
          <w:rFonts w:ascii="Consolas" w:hAnsi="Consolas" w:cs="Consolas"/>
          <w:b w:val="0"/>
          <w:i w:val="0"/>
          <w:sz w:val="15"/>
        </w:rPr>
        <w:t xml:space="preserve">        excess_days,</w:t>
      </w:r>
    </w:p>
    <w:p>
      <w:pPr>
        <w:spacing w:after="0" w:before="0" w:line="240" w:lineRule="auto"/>
        <w:ind w:left="57"/>
        <w:jc w:val="left"/>
        <w:shd w:val="clear" w:fill="F2F2F2"/>
      </w:pPr>
      <w:r>
        <w:rPr>
          <w:rFonts w:ascii="Consolas" w:hAnsi="Consolas" w:cs="Consolas"/>
          <w:b w:val="0"/>
          <w:i w:val="0"/>
          <w:sz w:val="15"/>
        </w:rPr>
        <w:t xml:space="preserve">        demurrage_amount: demurrage,</w:t>
      </w:r>
    </w:p>
    <w:p>
      <w:pPr>
        <w:spacing w:after="0" w:before="0" w:line="240" w:lineRule="auto"/>
        <w:ind w:left="57"/>
        <w:jc w:val="left"/>
        <w:shd w:val="clear" w:fill="F2F2F2"/>
      </w:pPr>
      <w:r>
        <w:rPr>
          <w:rFonts w:ascii="Consolas" w:hAnsi="Consolas" w:cs="Consolas"/>
          <w:b w:val="0"/>
          <w:i w:val="0"/>
          <w:sz w:val="15"/>
        </w:rPr>
        <w:t xml:space="preserve">        detention_amount: detention,</w:t>
      </w:r>
    </w:p>
    <w:p>
      <w:pPr>
        <w:spacing w:after="0" w:before="0" w:line="240" w:lineRule="auto"/>
        <w:ind w:left="57"/>
        <w:jc w:val="left"/>
        <w:shd w:val="clear" w:fill="F2F2F2"/>
      </w:pPr>
      <w:r>
        <w:rPr>
          <w:rFonts w:ascii="Consolas" w:hAnsi="Consolas" w:cs="Consolas"/>
          <w:b w:val="0"/>
          <w:i w:val="0"/>
          <w:sz w:val="15"/>
        </w:rPr>
        <w:t xml:space="preserve">        total_amount: demurrage + detention,</w:t>
      </w:r>
    </w:p>
    <w:p>
      <w:pPr>
        <w:spacing w:after="0" w:before="0" w:line="240" w:lineRule="auto"/>
        <w:ind w:left="57"/>
        <w:jc w:val="left"/>
        <w:shd w:val="clear" w:fill="F2F2F2"/>
      </w:pPr>
      <w:r>
        <w:rPr>
          <w:rFonts w:ascii="Consolas" w:hAnsi="Consolas" w:cs="Consolas"/>
          <w:b w:val="0"/>
          <w:i w:val="0"/>
          <w:sz w:val="15"/>
        </w:rPr>
        <w:t xml:space="preserve">        status: if excess_days &gt; 30 { "ESCALATED" } else { "DEMURRAGE_STARTED"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Output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"container_type": "40ft Reefer",</w:t>
      </w:r>
    </w:p>
    <w:p>
      <w:pPr>
        <w:spacing w:after="0" w:before="0" w:line="240" w:lineRule="auto"/>
        <w:ind w:left="57"/>
        <w:jc w:val="left"/>
        <w:shd w:val="clear" w:fill="F2F2F2"/>
      </w:pPr>
      <w:r>
        <w:rPr>
          <w:rFonts w:ascii="Consolas" w:hAnsi="Consolas" w:cs="Consolas"/>
          <w:b w:val="0"/>
          <w:i w:val="0"/>
          <w:sz w:val="15"/>
        </w:rPr>
        <w:t xml:space="preserve">  "carrier": "MSC Egypt",</w:t>
      </w:r>
    </w:p>
    <w:p>
      <w:pPr>
        <w:spacing w:after="0" w:before="0" w:line="240" w:lineRule="auto"/>
        <w:ind w:left="57"/>
        <w:jc w:val="left"/>
        <w:shd w:val="clear" w:fill="F2F2F2"/>
      </w:pPr>
      <w:r>
        <w:rPr>
          <w:rFonts w:ascii="Consolas" w:hAnsi="Consolas" w:cs="Consolas"/>
          <w:b w:val="0"/>
          <w:i w:val="0"/>
          <w:sz w:val="15"/>
        </w:rPr>
        <w:t xml:space="preserve">  "port": "Alexandria",</w:t>
      </w:r>
    </w:p>
    <w:p>
      <w:pPr>
        <w:spacing w:after="0" w:before="0" w:line="240" w:lineRule="auto"/>
        <w:ind w:left="57"/>
        <w:jc w:val="left"/>
        <w:shd w:val="clear" w:fill="F2F2F2"/>
      </w:pPr>
      <w:r>
        <w:rPr>
          <w:rFonts w:ascii="Consolas" w:hAnsi="Consolas" w:cs="Consolas"/>
          <w:b w:val="0"/>
          <w:i w:val="0"/>
          <w:sz w:val="15"/>
        </w:rPr>
        <w:t xml:space="preserve">  "release_date": "2026-06-20T08:00:00Z",</w:t>
      </w:r>
    </w:p>
    <w:p>
      <w:pPr>
        <w:spacing w:after="0" w:before="0" w:line="240" w:lineRule="auto"/>
        <w:ind w:left="57"/>
        <w:jc w:val="left"/>
        <w:shd w:val="clear" w:fill="F2F2F2"/>
      </w:pPr>
      <w:r>
        <w:rPr>
          <w:rFonts w:ascii="Consolas" w:hAnsi="Consolas" w:cs="Consolas"/>
          <w:b w:val="0"/>
          <w:i w:val="0"/>
          <w:sz w:val="15"/>
        </w:rPr>
        <w:t xml:space="preserve">  "gate_out_date": "2026-07-01T14:00:00Z",</w:t>
      </w:r>
    </w:p>
    <w:p>
      <w:pPr>
        <w:spacing w:after="0" w:before="0" w:line="240" w:lineRule="auto"/>
        <w:ind w:left="57"/>
        <w:jc w:val="left"/>
        <w:shd w:val="clear" w:fill="F2F2F2"/>
      </w:pPr>
      <w:r>
        <w:rPr>
          <w:rFonts w:ascii="Consolas" w:hAnsi="Consolas" w:cs="Consolas"/>
          <w:b w:val="0"/>
          <w:i w:val="0"/>
          <w:sz w:val="15"/>
        </w:rPr>
        <w:t xml:space="preserve">  "free_time_days": 5,</w:t>
      </w:r>
    </w:p>
    <w:p>
      <w:pPr>
        <w:spacing w:after="0" w:before="0" w:line="240" w:lineRule="auto"/>
        <w:ind w:left="57"/>
        <w:jc w:val="left"/>
        <w:shd w:val="clear" w:fill="F2F2F2"/>
      </w:pPr>
      <w:r>
        <w:rPr>
          <w:rFonts w:ascii="Consolas" w:hAnsi="Consolas" w:cs="Consolas"/>
          <w:b w:val="0"/>
          <w:i w:val="0"/>
          <w:sz w:val="15"/>
        </w:rPr>
        <w:t xml:space="preserve">  "days_used": 11,</w:t>
      </w:r>
    </w:p>
    <w:p>
      <w:pPr>
        <w:spacing w:after="0" w:before="0" w:line="240" w:lineRule="auto"/>
        <w:ind w:left="57"/>
        <w:jc w:val="left"/>
        <w:shd w:val="clear" w:fill="F2F2F2"/>
      </w:pPr>
      <w:r>
        <w:rPr>
          <w:rFonts w:ascii="Consolas" w:hAnsi="Consolas" w:cs="Consolas"/>
          <w:b w:val="0"/>
          <w:i w:val="0"/>
          <w:sz w:val="15"/>
        </w:rPr>
        <w:t xml:space="preserve">  "excess_days": 6,</w:t>
      </w:r>
    </w:p>
    <w:p>
      <w:pPr>
        <w:spacing w:after="0" w:before="0" w:line="240" w:lineRule="auto"/>
        <w:ind w:left="57"/>
        <w:jc w:val="left"/>
        <w:shd w:val="clear" w:fill="F2F2F2"/>
      </w:pPr>
      <w:r>
        <w:rPr>
          <w:rFonts w:ascii="Consolas" w:hAnsi="Consolas" w:cs="Consolas"/>
          <w:b w:val="0"/>
          <w:i w:val="0"/>
          <w:sz w:val="15"/>
        </w:rPr>
        <w:t xml:space="preserve">  "demurrage": {</w:t>
      </w:r>
    </w:p>
    <w:p>
      <w:pPr>
        <w:spacing w:after="0" w:before="0" w:line="240" w:lineRule="auto"/>
        <w:ind w:left="57"/>
        <w:jc w:val="left"/>
        <w:shd w:val="clear" w:fill="F2F2F2"/>
      </w:pPr>
      <w:r>
        <w:rPr>
          <w:rFonts w:ascii="Consolas" w:hAnsi="Consolas" w:cs="Consolas"/>
          <w:b w:val="0"/>
          <w:i w:val="0"/>
          <w:sz w:val="15"/>
        </w:rPr>
        <w:t xml:space="preserve">    "days": 6,</w:t>
      </w:r>
    </w:p>
    <w:p>
      <w:pPr>
        <w:spacing w:after="0" w:before="0" w:line="240" w:lineRule="auto"/>
        <w:ind w:left="57"/>
        <w:jc w:val="left"/>
        <w:shd w:val="clear" w:fill="F2F2F2"/>
      </w:pPr>
      <w:r>
        <w:rPr>
          <w:rFonts w:ascii="Consolas" w:hAnsi="Consolas" w:cs="Consolas"/>
          <w:b w:val="0"/>
          <w:i w:val="0"/>
          <w:sz w:val="15"/>
        </w:rPr>
        <w:t xml:space="preserve">    "rates": {</w:t>
      </w:r>
    </w:p>
    <w:p>
      <w:pPr>
        <w:spacing w:after="0" w:before="0" w:line="240" w:lineRule="auto"/>
        <w:ind w:left="57"/>
        <w:jc w:val="left"/>
        <w:shd w:val="clear" w:fill="F2F2F2"/>
      </w:pPr>
      <w:r>
        <w:rPr>
          <w:rFonts w:ascii="Consolas" w:hAnsi="Consolas" w:cs="Consolas"/>
          <w:b w:val="0"/>
          <w:i w:val="0"/>
          <w:sz w:val="15"/>
        </w:rPr>
        <w:t xml:space="preserve">      "day_1-3": 0,</w:t>
      </w:r>
    </w:p>
    <w:p>
      <w:pPr>
        <w:spacing w:after="0" w:before="0" w:line="240" w:lineRule="auto"/>
        <w:ind w:left="57"/>
        <w:jc w:val="left"/>
        <w:shd w:val="clear" w:fill="F2F2F2"/>
      </w:pPr>
      <w:r>
        <w:rPr>
          <w:rFonts w:ascii="Consolas" w:hAnsi="Consolas" w:cs="Consolas"/>
          <w:b w:val="0"/>
          <w:i w:val="0"/>
          <w:sz w:val="15"/>
        </w:rPr>
        <w:t xml:space="preserve">      "day_4-7": 150,</w:t>
      </w:r>
    </w:p>
    <w:p>
      <w:pPr>
        <w:spacing w:after="0" w:before="0" w:line="240" w:lineRule="auto"/>
        <w:ind w:left="57"/>
        <w:jc w:val="left"/>
        <w:shd w:val="clear" w:fill="F2F2F2"/>
      </w:pPr>
      <w:r>
        <w:rPr>
          <w:rFonts w:ascii="Consolas" w:hAnsi="Consolas" w:cs="Consolas"/>
          <w:b w:val="0"/>
          <w:i w:val="0"/>
          <w:sz w:val="15"/>
        </w:rPr>
        <w:t xml:space="preserve">      "day_8-14": 200,</w:t>
      </w:r>
    </w:p>
    <w:p>
      <w:pPr>
        <w:spacing w:after="0" w:before="0" w:line="240" w:lineRule="auto"/>
        <w:ind w:left="57"/>
        <w:jc w:val="left"/>
        <w:shd w:val="clear" w:fill="F2F2F2"/>
      </w:pPr>
      <w:r>
        <w:rPr>
          <w:rFonts w:ascii="Consolas" w:hAnsi="Consolas" w:cs="Consolas"/>
          <w:b w:val="0"/>
          <w:i w:val="0"/>
          <w:sz w:val="15"/>
        </w:rPr>
        <w:t xml:space="preserve">      "day_15+": 250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"amount": 1050,</w:t>
      </w:r>
    </w:p>
    <w:p>
      <w:pPr>
        <w:spacing w:after="0" w:before="0" w:line="240" w:lineRule="auto"/>
        <w:ind w:left="57"/>
        <w:jc w:val="left"/>
        <w:shd w:val="clear" w:fill="F2F2F2"/>
      </w:pPr>
      <w:r>
        <w:rPr>
          <w:rFonts w:ascii="Consolas" w:hAnsi="Consolas" w:cs="Consolas"/>
          <w:b w:val="0"/>
          <w:i w:val="0"/>
          <w:sz w:val="15"/>
        </w:rPr>
        <w:t xml:space="preserve">    "breakdown": [</w:t>
      </w:r>
    </w:p>
    <w:p>
      <w:pPr>
        <w:spacing w:after="0" w:before="0" w:line="240" w:lineRule="auto"/>
        <w:ind w:left="57"/>
        <w:jc w:val="left"/>
        <w:shd w:val="clear" w:fill="F2F2F2"/>
      </w:pPr>
      <w:r>
        <w:rPr>
          <w:rFonts w:ascii="Consolas" w:hAnsi="Consolas" w:cs="Consolas"/>
          <w:b w:val="0"/>
          <w:i w:val="0"/>
          <w:sz w:val="15"/>
        </w:rPr>
        <w:t xml:space="preserve">      { "day_range": "day_4-7", "days": 3, "rate": 150, "amount": 450 },</w:t>
      </w:r>
    </w:p>
    <w:p>
      <w:pPr>
        <w:spacing w:after="0" w:before="0" w:line="240" w:lineRule="auto"/>
        <w:ind w:left="57"/>
        <w:jc w:val="left"/>
        <w:shd w:val="clear" w:fill="F2F2F2"/>
      </w:pPr>
      <w:r>
        <w:rPr>
          <w:rFonts w:ascii="Consolas" w:hAnsi="Consolas" w:cs="Consolas"/>
          <w:b w:val="0"/>
          <w:i w:val="0"/>
          <w:sz w:val="15"/>
        </w:rPr>
        <w:t xml:space="preserve">      { "day_range": "day_8-14", "days": 3, "rate": 200, "amount": 600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"total_amount": 1050.00,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"status": "DEMURRAGE_STARTED",</w:t>
      </w:r>
    </w:p>
    <w:p>
      <w:pPr>
        <w:spacing w:after="0" w:before="0" w:line="240" w:lineRule="auto"/>
        <w:ind w:left="57"/>
        <w:jc w:val="left"/>
        <w:shd w:val="clear" w:fill="F2F2F2"/>
      </w:pPr>
      <w:r>
        <w:rPr>
          <w:rFonts w:ascii="Consolas" w:hAnsi="Consolas" w:cs="Consolas"/>
          <w:b w:val="0"/>
          <w:i w:val="0"/>
          <w:sz w:val="15"/>
        </w:rPr>
        <w:t xml:space="preserve">  "explanation": "Container was released on 20 Jun and gated out on 1 Jul, 11 days total. Free time is 5 days. Excess 6 days accrued demurrage of USD 1,050."</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22.4.5 Database Schema</w:t>
      </w:r>
    </w:p>
    <w:p>
      <w:pPr>
        <w:spacing w:after="0" w:before="0" w:line="240" w:lineRule="auto"/>
        <w:ind w:left="57"/>
        <w:jc w:val="left"/>
        <w:shd w:val="clear" w:fill="F2F2F2"/>
      </w:pPr>
      <w:r>
        <w:rPr>
          <w:rFonts w:ascii="Consolas" w:hAnsi="Consolas" w:cs="Consolas"/>
          <w:b w:val="0"/>
          <w:i w:val="0"/>
          <w:sz w:val="15"/>
        </w:rPr>
        <w:t>-- Demurrage tracking</w:t>
      </w:r>
    </w:p>
    <w:p>
      <w:pPr>
        <w:spacing w:after="0" w:before="0" w:line="240" w:lineRule="auto"/>
        <w:ind w:left="57"/>
        <w:jc w:val="left"/>
        <w:shd w:val="clear" w:fill="F2F2F2"/>
      </w:pPr>
      <w:r>
        <w:rPr>
          <w:rFonts w:ascii="Consolas" w:hAnsi="Consolas" w:cs="Consolas"/>
          <w:b w:val="0"/>
          <w:i w:val="0"/>
          <w:sz w:val="15"/>
        </w:rPr>
        <w:t>CREATE TABLE demurrage_tracking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container_number TEXT NOT NULL,</w:t>
      </w:r>
    </w:p>
    <w:p>
      <w:pPr>
        <w:spacing w:after="0" w:before="0" w:line="240" w:lineRule="auto"/>
        <w:ind w:left="57"/>
        <w:jc w:val="left"/>
        <w:shd w:val="clear" w:fill="F2F2F2"/>
      </w:pPr>
      <w:r>
        <w:rPr>
          <w:rFonts w:ascii="Consolas" w:hAnsi="Consolas" w:cs="Consolas"/>
          <w:b w:val="0"/>
          <w:i w:val="0"/>
          <w:sz w:val="15"/>
        </w:rPr>
        <w:t xml:space="preserve">    carrier_gtid TEXT REFERENCES tenants(gtid),</w:t>
      </w:r>
    </w:p>
    <w:p>
      <w:pPr>
        <w:spacing w:after="0" w:before="0" w:line="240" w:lineRule="auto"/>
        <w:ind w:left="57"/>
        <w:jc w:val="left"/>
        <w:shd w:val="clear" w:fill="F2F2F2"/>
      </w:pPr>
      <w:r>
        <w:rPr>
          <w:rFonts w:ascii="Consolas" w:hAnsi="Consolas" w:cs="Consolas"/>
          <w:b w:val="0"/>
          <w:i w:val="0"/>
          <w:sz w:val="15"/>
        </w:rPr>
        <w:t xml:space="preserve">    port_unlocode TEXT NOT NULL REFERENCES ports(unlocode),</w:t>
      </w:r>
    </w:p>
    <w:p>
      <w:pPr>
        <w:spacing w:after="0" w:before="0" w:line="240" w:lineRule="auto"/>
        <w:ind w:left="57"/>
        <w:jc w:val="left"/>
        <w:shd w:val="clear" w:fill="F2F2F2"/>
      </w:pPr>
      <w:r>
        <w:rPr>
          <w:rFonts w:ascii="Consolas" w:hAnsi="Consolas" w:cs="Consolas"/>
          <w:b w:val="0"/>
          <w:i w:val="0"/>
          <w:sz w:val="15"/>
        </w:rPr>
        <w:t xml:space="preserve">    container_type TEXT NOT NULL,</w:t>
      </w:r>
    </w:p>
    <w:p>
      <w:pPr>
        <w:spacing w:after="0" w:before="0" w:line="240" w:lineRule="auto"/>
        <w:ind w:left="57"/>
        <w:jc w:val="left"/>
        <w:shd w:val="clear" w:fill="F2F2F2"/>
      </w:pPr>
      <w:r>
        <w:rPr>
          <w:rFonts w:ascii="Consolas" w:hAnsi="Consolas" w:cs="Consolas"/>
          <w:b w:val="0"/>
          <w:i w:val="0"/>
          <w:sz w:val="15"/>
        </w:rPr>
        <w:t xml:space="preserve">    free_time_days INTEGER NOT NULL,</w:t>
      </w:r>
    </w:p>
    <w:p>
      <w:pPr>
        <w:spacing w:after="0" w:before="0" w:line="240" w:lineRule="auto"/>
        <w:ind w:left="57"/>
        <w:jc w:val="left"/>
        <w:shd w:val="clear" w:fill="F2F2F2"/>
      </w:pPr>
      <w:r>
        <w:rPr>
          <w:rFonts w:ascii="Consolas" w:hAnsi="Consolas" w:cs="Consolas"/>
          <w:b w:val="0"/>
          <w:i w:val="0"/>
          <w:sz w:val="15"/>
        </w:rPr>
        <w:t xml:space="preserve">    release_date TIMESTAMPTZ NOT NULL,</w:t>
      </w:r>
    </w:p>
    <w:p>
      <w:pPr>
        <w:spacing w:after="0" w:before="0" w:line="240" w:lineRule="auto"/>
        <w:ind w:left="57"/>
        <w:jc w:val="left"/>
        <w:shd w:val="clear" w:fill="F2F2F2"/>
      </w:pPr>
      <w:r>
        <w:rPr>
          <w:rFonts w:ascii="Consolas" w:hAnsi="Consolas" w:cs="Consolas"/>
          <w:b w:val="0"/>
          <w:i w:val="0"/>
          <w:sz w:val="15"/>
        </w:rPr>
        <w:t xml:space="preserve">    gate_out_date TIMESTAMPTZ,</w:t>
      </w:r>
    </w:p>
    <w:p>
      <w:pPr>
        <w:spacing w:after="0" w:before="0" w:line="240" w:lineRule="auto"/>
        <w:ind w:left="57"/>
        <w:jc w:val="left"/>
        <w:shd w:val="clear" w:fill="F2F2F2"/>
      </w:pPr>
      <w:r>
        <w:rPr>
          <w:rFonts w:ascii="Consolas" w:hAnsi="Consolas" w:cs="Consolas"/>
          <w:b w:val="0"/>
          <w:i w:val="0"/>
          <w:sz w:val="15"/>
        </w:rPr>
        <w:t xml:space="preserve">    actual_days_used INTEGER,</w:t>
      </w:r>
    </w:p>
    <w:p>
      <w:pPr>
        <w:spacing w:after="0" w:before="0" w:line="240" w:lineRule="auto"/>
        <w:ind w:left="57"/>
        <w:jc w:val="left"/>
        <w:shd w:val="clear" w:fill="F2F2F2"/>
      </w:pPr>
      <w:r>
        <w:rPr>
          <w:rFonts w:ascii="Consolas" w:hAnsi="Consolas" w:cs="Consolas"/>
          <w:b w:val="0"/>
          <w:i w:val="0"/>
          <w:sz w:val="15"/>
        </w:rPr>
        <w:t xml:space="preserve">    excess_days INTEGER DEFAULT 0,</w:t>
      </w:r>
    </w:p>
    <w:p>
      <w:pPr>
        <w:spacing w:after="0" w:before="0" w:line="240" w:lineRule="auto"/>
        <w:ind w:left="57"/>
        <w:jc w:val="left"/>
        <w:shd w:val="clear" w:fill="F2F2F2"/>
      </w:pPr>
      <w:r>
        <w:rPr>
          <w:rFonts w:ascii="Consolas" w:hAnsi="Consolas" w:cs="Consolas"/>
          <w:b w:val="0"/>
          <w:i w:val="0"/>
          <w:sz w:val="15"/>
        </w:rPr>
        <w:t xml:space="preserve">    demurrage_amount DECIMAL(20,4) DEFAULT 0,</w:t>
      </w:r>
    </w:p>
    <w:p>
      <w:pPr>
        <w:spacing w:after="0" w:before="0" w:line="240" w:lineRule="auto"/>
        <w:ind w:left="57"/>
        <w:jc w:val="left"/>
        <w:shd w:val="clear" w:fill="F2F2F2"/>
      </w:pPr>
      <w:r>
        <w:rPr>
          <w:rFonts w:ascii="Consolas" w:hAnsi="Consolas" w:cs="Consolas"/>
          <w:b w:val="0"/>
          <w:i w:val="0"/>
          <w:sz w:val="15"/>
        </w:rPr>
        <w:t xml:space="preserve">    detention_amount DECIMAL(20,4) DEFAULT 0,</w:t>
      </w:r>
    </w:p>
    <w:p>
      <w:pPr>
        <w:spacing w:after="0" w:before="0" w:line="240" w:lineRule="auto"/>
        <w:ind w:left="57"/>
        <w:jc w:val="left"/>
        <w:shd w:val="clear" w:fill="F2F2F2"/>
      </w:pPr>
      <w:r>
        <w:rPr>
          <w:rFonts w:ascii="Consolas" w:hAnsi="Consolas" w:cs="Consolas"/>
          <w:b w:val="0"/>
          <w:i w:val="0"/>
          <w:sz w:val="15"/>
        </w:rPr>
        <w:t xml:space="preserve">    total_amount DECIMAL(20,4) DEFAULT 0,</w:t>
      </w:r>
    </w:p>
    <w:p>
      <w:pPr>
        <w:spacing w:after="0" w:before="0" w:line="240" w:lineRule="auto"/>
        <w:ind w:left="57"/>
        <w:jc w:val="left"/>
        <w:shd w:val="clear" w:fill="F2F2F2"/>
      </w:pPr>
      <w:r>
        <w:rPr>
          <w:rFonts w:ascii="Consolas" w:hAnsi="Consolas" w:cs="Consolas"/>
          <w:b w:val="0"/>
          <w:i w:val="0"/>
          <w:sz w:val="15"/>
        </w:rPr>
        <w:t xml:space="preserve">    currency TEXT DEFAULT 'USD',</w:t>
      </w:r>
    </w:p>
    <w:p>
      <w:pPr>
        <w:spacing w:after="0" w:before="0" w:line="240" w:lineRule="auto"/>
        <w:ind w:left="57"/>
        <w:jc w:val="left"/>
        <w:shd w:val="clear" w:fill="F2F2F2"/>
      </w:pPr>
      <w:r>
        <w:rPr>
          <w:rFonts w:ascii="Consolas" w:hAnsi="Consolas" w:cs="Consolas"/>
          <w:b w:val="0"/>
          <w:i w:val="0"/>
          <w:sz w:val="15"/>
        </w:rPr>
        <w:t xml:space="preserve">    status TEXT DEFAULT 'FREE_TIME',</w:t>
      </w:r>
    </w:p>
    <w:p>
      <w:pPr>
        <w:spacing w:after="0" w:before="0" w:line="240" w:lineRule="auto"/>
        <w:ind w:left="57"/>
        <w:jc w:val="left"/>
        <w:shd w:val="clear" w:fill="F2F2F2"/>
      </w:pPr>
      <w:r>
        <w:rPr>
          <w:rFonts w:ascii="Consolas" w:hAnsi="Consolas" w:cs="Consolas"/>
          <w:b w:val="0"/>
          <w:i w:val="0"/>
          <w:sz w:val="15"/>
        </w:rPr>
        <w:t xml:space="preserve">    demurrage_breakdown JSONB,</w:t>
      </w:r>
    </w:p>
    <w:p>
      <w:pPr>
        <w:spacing w:after="0" w:before="0" w:line="240" w:lineRule="auto"/>
        <w:ind w:left="57"/>
        <w:jc w:val="left"/>
        <w:shd w:val="clear" w:fill="F2F2F2"/>
      </w:pPr>
      <w:r>
        <w:rPr>
          <w:rFonts w:ascii="Consolas" w:hAnsi="Consolas" w:cs="Consolas"/>
          <w:b w:val="0"/>
          <w:i w:val="0"/>
          <w:sz w:val="15"/>
        </w:rPr>
        <w:t xml:space="preserve">    settled BOOLEAN DEFAULT false,</w:t>
      </w:r>
    </w:p>
    <w:p>
      <w:pPr>
        <w:spacing w:after="0" w:before="0" w:line="240" w:lineRule="auto"/>
        <w:ind w:left="57"/>
        <w:jc w:val="left"/>
        <w:shd w:val="clear" w:fill="F2F2F2"/>
      </w:pPr>
      <w:r>
        <w:rPr>
          <w:rFonts w:ascii="Consolas" w:hAnsi="Consolas" w:cs="Consolas"/>
          <w:b w:val="0"/>
          <w:i w:val="0"/>
          <w:sz w:val="15"/>
        </w:rPr>
        <w:t xml:space="preserve">    settled_at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Carrier tariff database</w:t>
      </w:r>
    </w:p>
    <w:p>
      <w:pPr>
        <w:spacing w:after="0" w:before="0" w:line="240" w:lineRule="auto"/>
        <w:ind w:left="57"/>
        <w:jc w:val="left"/>
        <w:shd w:val="clear" w:fill="F2F2F2"/>
      </w:pPr>
      <w:r>
        <w:rPr>
          <w:rFonts w:ascii="Consolas" w:hAnsi="Consolas" w:cs="Consolas"/>
          <w:b w:val="0"/>
          <w:i w:val="0"/>
          <w:sz w:val="15"/>
        </w:rPr>
        <w:t>CREATE TABLE carrier_demurrage_tariffs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carrier_gtid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port_unlocode TEXT NOT NULL REFERENCES ports(unlocode),</w:t>
      </w:r>
    </w:p>
    <w:p>
      <w:pPr>
        <w:spacing w:after="0" w:before="0" w:line="240" w:lineRule="auto"/>
        <w:ind w:left="57"/>
        <w:jc w:val="left"/>
        <w:shd w:val="clear" w:fill="F2F2F2"/>
      </w:pPr>
      <w:r>
        <w:rPr>
          <w:rFonts w:ascii="Consolas" w:hAnsi="Consolas" w:cs="Consolas"/>
          <w:b w:val="0"/>
          <w:i w:val="0"/>
          <w:sz w:val="15"/>
        </w:rPr>
        <w:t xml:space="preserve">    container_type TEXT NOT NULL,</w:t>
      </w:r>
    </w:p>
    <w:p>
      <w:pPr>
        <w:spacing w:after="0" w:before="0" w:line="240" w:lineRule="auto"/>
        <w:ind w:left="57"/>
        <w:jc w:val="left"/>
        <w:shd w:val="clear" w:fill="F2F2F2"/>
      </w:pPr>
      <w:r>
        <w:rPr>
          <w:rFonts w:ascii="Consolas" w:hAnsi="Consolas" w:cs="Consolas"/>
          <w:b w:val="0"/>
          <w:i w:val="0"/>
          <w:sz w:val="15"/>
        </w:rPr>
        <w:t xml:space="preserve">    free_time_days INTEGER NOT NULL,</w:t>
      </w:r>
    </w:p>
    <w:p>
      <w:pPr>
        <w:spacing w:after="0" w:before="0" w:line="240" w:lineRule="auto"/>
        <w:ind w:left="57"/>
        <w:jc w:val="left"/>
        <w:shd w:val="clear" w:fill="F2F2F2"/>
      </w:pPr>
      <w:r>
        <w:rPr>
          <w:rFonts w:ascii="Consolas" w:hAnsi="Consolas" w:cs="Consolas"/>
          <w:b w:val="0"/>
          <w:i w:val="0"/>
          <w:sz w:val="15"/>
        </w:rPr>
        <w:t xml:space="preserve">    demurrage_rates JSONB,</w:t>
      </w:r>
    </w:p>
    <w:p>
      <w:pPr>
        <w:spacing w:after="0" w:before="0" w:line="240" w:lineRule="auto"/>
        <w:ind w:left="57"/>
        <w:jc w:val="left"/>
        <w:shd w:val="clear" w:fill="F2F2F2"/>
      </w:pPr>
      <w:r>
        <w:rPr>
          <w:rFonts w:ascii="Consolas" w:hAnsi="Consolas" w:cs="Consolas"/>
          <w:b w:val="0"/>
          <w:i w:val="0"/>
          <w:sz w:val="15"/>
        </w:rPr>
        <w:t xml:space="preserve">    detention_rates JSONB,</w:t>
      </w:r>
    </w:p>
    <w:p>
      <w:pPr>
        <w:spacing w:after="0" w:before="0" w:line="240" w:lineRule="auto"/>
        <w:ind w:left="57"/>
        <w:jc w:val="left"/>
        <w:shd w:val="clear" w:fill="F2F2F2"/>
      </w:pPr>
      <w:r>
        <w:rPr>
          <w:rFonts w:ascii="Consolas" w:hAnsi="Consolas" w:cs="Consolas"/>
          <w:b w:val="0"/>
          <w:i w:val="0"/>
          <w:sz w:val="15"/>
        </w:rPr>
        <w:t xml:space="preserve">    currency TEXT DEFAULT 'USD',</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Port free time defaults</w:t>
      </w:r>
    </w:p>
    <w:p>
      <w:pPr>
        <w:spacing w:after="0" w:before="0" w:line="240" w:lineRule="auto"/>
        <w:ind w:left="57"/>
        <w:jc w:val="left"/>
        <w:shd w:val="clear" w:fill="F2F2F2"/>
      </w:pPr>
      <w:r>
        <w:rPr>
          <w:rFonts w:ascii="Consolas" w:hAnsi="Consolas" w:cs="Consolas"/>
          <w:b w:val="0"/>
          <w:i w:val="0"/>
          <w:sz w:val="15"/>
        </w:rPr>
        <w:t>CREATE TABLE port_free_time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port_unlocode TEXT NOT NULL REFERENCES ports(unlocode),</w:t>
      </w:r>
    </w:p>
    <w:p>
      <w:pPr>
        <w:spacing w:after="0" w:before="0" w:line="240" w:lineRule="auto"/>
        <w:ind w:left="57"/>
        <w:jc w:val="left"/>
        <w:shd w:val="clear" w:fill="F2F2F2"/>
      </w:pPr>
      <w:r>
        <w:rPr>
          <w:rFonts w:ascii="Consolas" w:hAnsi="Consolas" w:cs="Consolas"/>
          <w:b w:val="0"/>
          <w:i w:val="0"/>
          <w:sz w:val="15"/>
        </w:rPr>
        <w:t xml:space="preserve">    container_type TEXT NOT NULL,</w:t>
      </w:r>
    </w:p>
    <w:p>
      <w:pPr>
        <w:spacing w:after="0" w:before="0" w:line="240" w:lineRule="auto"/>
        <w:ind w:left="57"/>
        <w:jc w:val="left"/>
        <w:shd w:val="clear" w:fill="F2F2F2"/>
      </w:pPr>
      <w:r>
        <w:rPr>
          <w:rFonts w:ascii="Consolas" w:hAnsi="Consolas" w:cs="Consolas"/>
          <w:b w:val="0"/>
          <w:i w:val="0"/>
          <w:sz w:val="15"/>
        </w:rPr>
        <w:t xml:space="preserve">    free_time_days INTEGER NOT NULL,</w:t>
      </w:r>
    </w:p>
    <w:p>
      <w:pPr>
        <w:spacing w:after="0" w:before="0" w:line="240" w:lineRule="auto"/>
        <w:ind w:left="57"/>
        <w:jc w:val="left"/>
        <w:shd w:val="clear" w:fill="F2F2F2"/>
      </w:pPr>
      <w:r>
        <w:rPr>
          <w:rFonts w:ascii="Consolas" w:hAnsi="Consolas" w:cs="Consolas"/>
          <w:b w:val="0"/>
          <w:i w:val="0"/>
          <w:sz w:val="15"/>
        </w:rPr>
        <w:t xml:space="preserve">    extension_days INTEGER DEFAULT 0,</w:t>
      </w:r>
    </w:p>
    <w:p>
      <w:pPr>
        <w:spacing w:after="0" w:before="0" w:line="240" w:lineRule="auto"/>
        <w:ind w:left="57"/>
        <w:jc w:val="left"/>
        <w:shd w:val="clear" w:fill="F2F2F2"/>
      </w:pPr>
      <w:r>
        <w:rPr>
          <w:rFonts w:ascii="Consolas" w:hAnsi="Consolas" w:cs="Consolas"/>
          <w:b w:val="0"/>
          <w:i w:val="0"/>
          <w:sz w:val="15"/>
        </w:rPr>
        <w:t xml:space="preserve">    extension_policy TEXT,              -- 'AUTO_APPROVE', 'APPROVAL_REQUIRED', 'NOT_AVAILABLE'</w:t>
      </w:r>
    </w:p>
    <w:p>
      <w:pPr>
        <w:spacing w:after="0" w:before="0" w:line="240" w:lineRule="auto"/>
        <w:ind w:left="57"/>
        <w:jc w:val="left"/>
        <w:shd w:val="clear" w:fill="F2F2F2"/>
      </w:pPr>
      <w:r>
        <w:rPr>
          <w:rFonts w:ascii="Consolas" w:hAnsi="Consolas" w:cs="Consolas"/>
          <w:b w:val="0"/>
          <w:i w:val="0"/>
          <w:sz w:val="15"/>
        </w:rPr>
        <w:t xml:space="preserve">    carrier_specific BOOLEAN DEFAULT false,</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UNIQUE(port_unlocode, container_type)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Demurrage alerts</w:t>
      </w:r>
    </w:p>
    <w:p>
      <w:pPr>
        <w:spacing w:after="0" w:before="0" w:line="240" w:lineRule="auto"/>
        <w:ind w:left="57"/>
        <w:jc w:val="left"/>
        <w:shd w:val="clear" w:fill="F2F2F2"/>
      </w:pPr>
      <w:r>
        <w:rPr>
          <w:rFonts w:ascii="Consolas" w:hAnsi="Consolas" w:cs="Consolas"/>
          <w:b w:val="0"/>
          <w:i w:val="0"/>
          <w:sz w:val="15"/>
        </w:rPr>
        <w:t>CREATE TABLE demurrage_alerts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alert_type TEXT NOT NULL,           -- 'FREE_TIME_48H', 'FREE_TIME_24H', 'DEMURRAGE_STARTED', 'ESCALATED'</w:t>
      </w:r>
    </w:p>
    <w:p>
      <w:pPr>
        <w:spacing w:after="0" w:before="0" w:line="240" w:lineRule="auto"/>
        <w:ind w:left="57"/>
        <w:jc w:val="left"/>
        <w:shd w:val="clear" w:fill="F2F2F2"/>
      </w:pPr>
      <w:r>
        <w:rPr>
          <w:rFonts w:ascii="Consolas" w:hAnsi="Consolas" w:cs="Consolas"/>
          <w:b w:val="0"/>
          <w:i w:val="0"/>
          <w:sz w:val="15"/>
        </w:rPr>
        <w:t xml:space="preserve">    message TEXT NOT NULL,</w:t>
      </w:r>
    </w:p>
    <w:p>
      <w:pPr>
        <w:spacing w:after="0" w:before="0" w:line="240" w:lineRule="auto"/>
        <w:ind w:left="57"/>
        <w:jc w:val="left"/>
        <w:shd w:val="clear" w:fill="F2F2F2"/>
      </w:pPr>
      <w:r>
        <w:rPr>
          <w:rFonts w:ascii="Consolas" w:hAnsi="Consolas" w:cs="Consolas"/>
          <w:b w:val="0"/>
          <w:i w:val="0"/>
          <w:sz w:val="15"/>
        </w:rPr>
        <w:t xml:space="preserve">    sent_to TEXT[] NOT NULL,</w:t>
      </w:r>
    </w:p>
    <w:p>
      <w:pPr>
        <w:spacing w:after="0" w:before="0" w:line="240" w:lineRule="auto"/>
        <w:ind w:left="57"/>
        <w:jc w:val="left"/>
        <w:shd w:val="clear" w:fill="F2F2F2"/>
      </w:pPr>
      <w:r>
        <w:rPr>
          <w:rFonts w:ascii="Consolas" w:hAnsi="Consolas" w:cs="Consolas"/>
          <w:b w:val="0"/>
          <w:i w:val="0"/>
          <w:sz w:val="15"/>
        </w:rPr>
        <w:t xml:space="preserve">    sent_at TIMESTAMPTZ DEFAULT NOW(),</w:t>
      </w:r>
    </w:p>
    <w:p>
      <w:pPr>
        <w:spacing w:after="0" w:before="0" w:line="240" w:lineRule="auto"/>
        <w:ind w:left="57"/>
        <w:jc w:val="left"/>
        <w:shd w:val="clear" w:fill="F2F2F2"/>
      </w:pPr>
      <w:r>
        <w:rPr>
          <w:rFonts w:ascii="Consolas" w:hAnsi="Consolas" w:cs="Consolas"/>
          <w:b w:val="0"/>
          <w:i w:val="0"/>
          <w:sz w:val="15"/>
        </w:rPr>
        <w:t xml:space="preserve">    acknowledged BOOLEAN DEFAULT false,</w:t>
      </w:r>
    </w:p>
    <w:p>
      <w:pPr>
        <w:spacing w:after="0" w:before="0" w:line="240" w:lineRule="auto"/>
        <w:ind w:left="57"/>
        <w:jc w:val="left"/>
        <w:shd w:val="clear" w:fill="F2F2F2"/>
      </w:pPr>
      <w:r>
        <w:rPr>
          <w:rFonts w:ascii="Consolas" w:hAnsi="Consolas" w:cs="Consolas"/>
          <w:b w:val="0"/>
          <w:i w:val="0"/>
          <w:sz w:val="15"/>
        </w:rPr>
        <w:t xml:space="preserve">    acknowledged_at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idx_demurrage_tracking_ustn ON demurrage_tracking(ustn);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idx_demurrage_tracking_container ON demurrage_tracking(container_number);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idx_demurrage_tracking_status ON demurrage_tracking(status);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idx_demurrage_tracking_release_date ON demurrage_tracking(release_date);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idx_demurrage_alerts_ustn ON demurrage_alerts(ustn);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idx_demurrage_alerts_acknowledged ON demurrage_alerts(acknowledged);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22.4.6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/v1/demurrage/{ustn}</w:t>
            </w:r>
          </w:p>
        </w:tc>
        <w:tc>
          <w:tcPr>
            <w:tcW w:type="dxa" w:w="3213"/>
          </w:tcPr>
          <w:p>
            <w:pPr>
              <w:spacing w:after="20" w:before="20" w:line="240" w:lineRule="auto"/>
            </w:pPr>
            <w:r/>
            <w:r>
              <w:rPr>
                <w:rFonts w:ascii="Arial" w:hAnsi="Arial" w:cs="Arial"/>
                <w:b w:val="0"/>
                <w:i w:val="0"/>
                <w:sz w:val="17"/>
              </w:rPr>
              <w:t>Get current demurrage status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/v1/demurrage/forecast/{ustn}</w:t>
            </w:r>
          </w:p>
        </w:tc>
        <w:tc>
          <w:tcPr>
            <w:tcW w:type="dxa" w:w="3213"/>
          </w:tcPr>
          <w:p>
            <w:pPr>
              <w:spacing w:after="20" w:before="20" w:line="240" w:lineRule="auto"/>
            </w:pPr>
            <w:r/>
            <w:r>
              <w:rPr>
                <w:rFonts w:ascii="Arial" w:hAnsi="Arial" w:cs="Arial"/>
                <w:b w:val="0"/>
                <w:i w:val="0"/>
                <w:sz w:val="17"/>
              </w:rPr>
              <w:t>Forecast future demurrage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/v1/demurrage/alert/acknowledge</w:t>
            </w:r>
          </w:p>
        </w:tc>
        <w:tc>
          <w:tcPr>
            <w:tcW w:type="dxa" w:w="3213"/>
          </w:tcPr>
          <w:p>
            <w:pPr>
              <w:spacing w:after="20" w:before="20" w:line="240" w:lineRule="auto"/>
            </w:pPr>
            <w:r/>
            <w:r>
              <w:rPr>
                <w:rFonts w:ascii="Arial" w:hAnsi="Arial" w:cs="Arial"/>
                <w:b w:val="0"/>
                <w:i w:val="0"/>
                <w:sz w:val="17"/>
              </w:rPr>
              <w:t>Acknowledge demurrage alert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/v1/demurrage/tariff</w:t>
            </w:r>
          </w:p>
        </w:tc>
        <w:tc>
          <w:tcPr>
            <w:tcW w:type="dxa" w:w="3213"/>
          </w:tcPr>
          <w:p>
            <w:pPr>
              <w:spacing w:after="20" w:before="20" w:line="240" w:lineRule="auto"/>
            </w:pPr>
            <w:r/>
            <w:r>
              <w:rPr>
                <w:rFonts w:ascii="Arial" w:hAnsi="Arial" w:cs="Arial"/>
                <w:b w:val="0"/>
                <w:i w:val="0"/>
                <w:sz w:val="17"/>
              </w:rPr>
              <w:t>Get carrier tariff for port/container</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/v1/demurrage/calculate</w:t>
            </w:r>
          </w:p>
        </w:tc>
        <w:tc>
          <w:tcPr>
            <w:tcW w:type="dxa" w:w="3213"/>
          </w:tcPr>
          <w:p>
            <w:pPr>
              <w:spacing w:after="20" w:before="20" w:line="240" w:lineRule="auto"/>
            </w:pPr>
            <w:r/>
            <w:r>
              <w:rPr>
                <w:rFonts w:ascii="Arial" w:hAnsi="Arial" w:cs="Arial"/>
                <w:b w:val="0"/>
                <w:i w:val="0"/>
                <w:sz w:val="17"/>
              </w:rPr>
              <w:t>Calculate demurrage for a shipment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/v1/demurrage/port/{unlocode}</w:t>
            </w:r>
          </w:p>
        </w:tc>
        <w:tc>
          <w:tcPr>
            <w:tcW w:type="dxa" w:w="3213"/>
          </w:tcPr>
          <w:p>
            <w:pPr>
              <w:spacing w:after="20" w:before="20" w:line="240" w:lineRule="auto"/>
            </w:pPr>
            <w:r/>
            <w:r>
              <w:rPr>
                <w:rFonts w:ascii="Arial" w:hAnsi="Arial" w:cs="Arial"/>
                <w:b w:val="0"/>
                <w:i w:val="0"/>
                <w:sz w:val="17"/>
              </w:rPr>
              <w:t>Get port free time norms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22.4.7 Smart Inbox Integration</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Priority</w:t>
            </w:r>
          </w:p>
        </w:tc>
        <w:tc>
          <w:tcPr>
            <w:tcW w:type="dxa" w:w="2409"/>
            <w:shd w:val="clear" w:fill="D9E2F3"/>
          </w:tcPr>
          <w:p>
            <w:pPr>
              <w:spacing w:after="20" w:before="20" w:line="240" w:lineRule="auto"/>
            </w:pPr>
            <w:r/>
            <w:r>
              <w:rPr>
                <w:rFonts w:ascii="Arial" w:hAnsi="Arial" w:cs="Arial"/>
                <w:b/>
                <w:i w:val="0"/>
                <w:sz w:val="18"/>
              </w:rPr>
              <w:t>Category</w:t>
            </w:r>
          </w:p>
        </w:tc>
        <w:tc>
          <w:tcPr>
            <w:tcW w:type="dxa" w:w="2409"/>
            <w:shd w:val="clear" w:fill="D9E2F3"/>
          </w:tcPr>
          <w:p>
            <w:pPr>
              <w:spacing w:after="20" w:before="20" w:line="240" w:lineRule="auto"/>
            </w:pPr>
            <w:r/>
            <w:r>
              <w:rPr>
                <w:rFonts w:ascii="Arial" w:hAnsi="Arial" w:cs="Arial"/>
                <w:b/>
                <w:i w:val="0"/>
                <w:sz w:val="18"/>
              </w:rPr>
              <w:t>Example Title</w:t>
            </w:r>
          </w:p>
        </w:tc>
        <w:tc>
          <w:tcPr>
            <w:tcW w:type="dxa" w:w="2409"/>
            <w:shd w:val="clear" w:fill="D9E2F3"/>
          </w:tcPr>
          <w:p>
            <w:pPr>
              <w:spacing w:after="20" w:before="20" w:line="240" w:lineRule="auto"/>
            </w:pPr>
            <w:r/>
            <w:r>
              <w:rPr>
                <w:rFonts w:ascii="Arial" w:hAnsi="Arial" w:cs="Arial"/>
                <w:b/>
                <w:i w:val="0"/>
                <w:sz w:val="18"/>
              </w:rPr>
              <w:t>Action</w:t>
            </w:r>
          </w:p>
        </w:tc>
      </w:tr>
      <w:tr>
        <w:tc>
          <w:tcPr>
            <w:tcW w:type="dxa" w:w="2409"/>
          </w:tcPr>
          <w:p>
            <w:pPr>
              <w:spacing w:after="20" w:before="20" w:line="240" w:lineRule="auto"/>
            </w:pPr>
            <w:r/>
            <w:r>
              <w:rPr>
                <w:rFonts w:ascii="Arial" w:hAnsi="Arial" w:cs="Arial"/>
                <w:b w:val="0"/>
                <w:i w:val="0"/>
                <w:sz w:val="17"/>
              </w:rPr>
              <w:t>95 (High)</w:t>
            </w:r>
          </w:p>
        </w:tc>
        <w:tc>
          <w:tcPr>
            <w:tcW w:type="dxa" w:w="2409"/>
          </w:tcPr>
          <w:p>
            <w:pPr>
              <w:spacing w:after="20" w:before="20" w:line="240" w:lineRule="auto"/>
            </w:pPr>
            <w:r/>
            <w:r>
              <w:rPr>
                <w:rFonts w:ascii="Arial" w:hAnsi="Arial" w:cs="Arial"/>
                <w:b w:val="0"/>
                <w:i w:val="0"/>
                <w:sz w:val="17"/>
              </w:rPr>
              <w:t>Free Time 48h</w:t>
            </w:r>
          </w:p>
        </w:tc>
        <w:tc>
          <w:tcPr>
            <w:tcW w:type="dxa" w:w="2409"/>
          </w:tcPr>
          <w:p>
            <w:pPr>
              <w:spacing w:after="20" w:before="20" w:line="240" w:lineRule="auto"/>
            </w:pPr>
            <w:r/>
            <w:r>
              <w:rPr>
                <w:rFonts w:ascii="Arial" w:hAnsi="Arial" w:cs="Arial"/>
                <w:b w:val="0"/>
                <w:i w:val="0"/>
                <w:sz w:val="17"/>
              </w:rPr>
              <w:t>"Container MEDU1234567 free time expires in 48h"</w:t>
            </w:r>
          </w:p>
        </w:tc>
        <w:tc>
          <w:tcPr>
            <w:tcW w:type="dxa" w:w="2409"/>
          </w:tcPr>
          <w:p>
            <w:pPr>
              <w:spacing w:after="20" w:before="20" w:line="240" w:lineRule="auto"/>
            </w:pPr>
            <w:r/>
            <w:r>
              <w:rPr>
                <w:rFonts w:ascii="Arial" w:hAnsi="Arial" w:cs="Arial"/>
                <w:b w:val="0"/>
                <w:i w:val="0"/>
                <w:sz w:val="17"/>
              </w:rPr>
              <w:t>Plan Release</w:t>
            </w:r>
          </w:p>
        </w:tc>
      </w:tr>
      <w:tr>
        <w:tc>
          <w:tcPr>
            <w:tcW w:type="dxa" w:w="2409"/>
          </w:tcPr>
          <w:p>
            <w:pPr>
              <w:spacing w:after="20" w:before="20" w:line="240" w:lineRule="auto"/>
            </w:pPr>
            <w:r/>
            <w:r>
              <w:rPr>
                <w:rFonts w:ascii="Arial" w:hAnsi="Arial" w:cs="Arial"/>
                <w:b w:val="0"/>
                <w:i w:val="0"/>
                <w:sz w:val="17"/>
              </w:rPr>
              <w:t>95 (High)</w:t>
            </w:r>
          </w:p>
        </w:tc>
        <w:tc>
          <w:tcPr>
            <w:tcW w:type="dxa" w:w="2409"/>
          </w:tcPr>
          <w:p>
            <w:pPr>
              <w:spacing w:after="20" w:before="20" w:line="240" w:lineRule="auto"/>
            </w:pPr>
            <w:r/>
            <w:r>
              <w:rPr>
                <w:rFonts w:ascii="Arial" w:hAnsi="Arial" w:cs="Arial"/>
                <w:b w:val="0"/>
                <w:i w:val="0"/>
                <w:sz w:val="17"/>
              </w:rPr>
              <w:t>Free Time 24h</w:t>
            </w:r>
          </w:p>
        </w:tc>
        <w:tc>
          <w:tcPr>
            <w:tcW w:type="dxa" w:w="2409"/>
          </w:tcPr>
          <w:p>
            <w:pPr>
              <w:spacing w:after="20" w:before="20" w:line="240" w:lineRule="auto"/>
            </w:pPr>
            <w:r/>
            <w:r>
              <w:rPr>
                <w:rFonts w:ascii="Arial" w:hAnsi="Arial" w:cs="Arial"/>
                <w:b w:val="0"/>
                <w:i w:val="0"/>
                <w:sz w:val="17"/>
              </w:rPr>
              <w:t>"Container MEDU1234567 free time expires in 24h"</w:t>
            </w:r>
          </w:p>
        </w:tc>
        <w:tc>
          <w:tcPr>
            <w:tcW w:type="dxa" w:w="2409"/>
          </w:tcPr>
          <w:p>
            <w:pPr>
              <w:spacing w:after="20" w:before="20" w:line="240" w:lineRule="auto"/>
            </w:pPr>
            <w:r/>
            <w:r>
              <w:rPr>
                <w:rFonts w:ascii="Arial" w:hAnsi="Arial" w:cs="Arial"/>
                <w:b w:val="0"/>
                <w:i w:val="0"/>
                <w:sz w:val="17"/>
              </w:rPr>
              <w:t>Urgent Release</w:t>
            </w:r>
          </w:p>
        </w:tc>
      </w:tr>
      <w:tr>
        <w:tc>
          <w:tcPr>
            <w:tcW w:type="dxa" w:w="2409"/>
          </w:tcPr>
          <w:p>
            <w:pPr>
              <w:spacing w:after="20" w:before="20" w:line="240" w:lineRule="auto"/>
            </w:pPr>
            <w:r/>
            <w:r>
              <w:rPr>
                <w:rFonts w:ascii="Arial" w:hAnsi="Arial" w:cs="Arial"/>
                <w:b w:val="0"/>
                <w:i w:val="0"/>
                <w:sz w:val="17"/>
              </w:rPr>
              <w:t>90 (High)</w:t>
            </w:r>
          </w:p>
        </w:tc>
        <w:tc>
          <w:tcPr>
            <w:tcW w:type="dxa" w:w="2409"/>
          </w:tcPr>
          <w:p>
            <w:pPr>
              <w:spacing w:after="20" w:before="20" w:line="240" w:lineRule="auto"/>
            </w:pPr>
            <w:r/>
            <w:r>
              <w:rPr>
                <w:rFonts w:ascii="Arial" w:hAnsi="Arial" w:cs="Arial"/>
                <w:b w:val="0"/>
                <w:i w:val="0"/>
                <w:sz w:val="17"/>
              </w:rPr>
              <w:t>Demurrage Started</w:t>
            </w:r>
          </w:p>
        </w:tc>
        <w:tc>
          <w:tcPr>
            <w:tcW w:type="dxa" w:w="2409"/>
          </w:tcPr>
          <w:p>
            <w:pPr>
              <w:spacing w:after="20" w:before="20" w:line="240" w:lineRule="auto"/>
            </w:pPr>
            <w:r/>
            <w:r>
              <w:rPr>
                <w:rFonts w:ascii="Arial" w:hAnsi="Arial" w:cs="Arial"/>
                <w:b w:val="0"/>
                <w:i w:val="0"/>
                <w:sz w:val="17"/>
              </w:rPr>
              <w:t>"Demurrage started for USTN-EG-001 – $150/day"</w:t>
            </w:r>
          </w:p>
        </w:tc>
        <w:tc>
          <w:tcPr>
            <w:tcW w:type="dxa" w:w="2409"/>
          </w:tcPr>
          <w:p>
            <w:pPr>
              <w:spacing w:after="20" w:before="20" w:line="240" w:lineRule="auto"/>
            </w:pPr>
            <w:r/>
            <w:r>
              <w:rPr>
                <w:rFonts w:ascii="Arial" w:hAnsi="Arial" w:cs="Arial"/>
                <w:b w:val="0"/>
                <w:i w:val="0"/>
                <w:sz w:val="17"/>
              </w:rPr>
              <w:t>View</w:t>
            </w:r>
          </w:p>
        </w:tc>
      </w:tr>
      <w:tr>
        <w:tc>
          <w:tcPr>
            <w:tcW w:type="dxa" w:w="2409"/>
          </w:tcPr>
          <w:p>
            <w:pPr>
              <w:spacing w:after="20" w:before="20" w:line="240" w:lineRule="auto"/>
            </w:pPr>
            <w:r/>
            <w:r>
              <w:rPr>
                <w:rFonts w:ascii="Arial" w:hAnsi="Arial" w:cs="Arial"/>
                <w:b w:val="0"/>
                <w:i w:val="0"/>
                <w:sz w:val="17"/>
              </w:rPr>
              <w:t>85 (High)</w:t>
            </w:r>
          </w:p>
        </w:tc>
        <w:tc>
          <w:tcPr>
            <w:tcW w:type="dxa" w:w="2409"/>
          </w:tcPr>
          <w:p>
            <w:pPr>
              <w:spacing w:after="20" w:before="20" w:line="240" w:lineRule="auto"/>
            </w:pPr>
            <w:r/>
            <w:r>
              <w:rPr>
                <w:rFonts w:ascii="Arial" w:hAnsi="Arial" w:cs="Arial"/>
                <w:b w:val="0"/>
                <w:i w:val="0"/>
                <w:sz w:val="17"/>
              </w:rPr>
              <w:t>Escalated</w:t>
            </w:r>
          </w:p>
        </w:tc>
        <w:tc>
          <w:tcPr>
            <w:tcW w:type="dxa" w:w="2409"/>
          </w:tcPr>
          <w:p>
            <w:pPr>
              <w:spacing w:after="20" w:before="20" w:line="240" w:lineRule="auto"/>
            </w:pPr>
            <w:r/>
            <w:r>
              <w:rPr>
                <w:rFonts w:ascii="Arial" w:hAnsi="Arial" w:cs="Arial"/>
                <w:b w:val="0"/>
                <w:i w:val="0"/>
                <w:sz w:val="17"/>
              </w:rPr>
              <w:t>"Demurrage &gt; 30 days for USTN-EG-001 – escalate"</w:t>
            </w:r>
          </w:p>
        </w:tc>
        <w:tc>
          <w:tcPr>
            <w:tcW w:type="dxa" w:w="2409"/>
          </w:tcPr>
          <w:p>
            <w:pPr>
              <w:spacing w:after="20" w:before="20" w:line="240" w:lineRule="auto"/>
            </w:pPr>
            <w:r/>
            <w:r>
              <w:rPr>
                <w:rFonts w:ascii="Arial" w:hAnsi="Arial" w:cs="Arial"/>
                <w:b w:val="0"/>
                <w:i w:val="0"/>
                <w:sz w:val="17"/>
              </w:rPr>
              <w:t>Dispute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22.4.8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8 — seller quote submission (Mode C)</w:t>
            </w:r>
          </w:p>
        </w:tc>
        <w:tc>
          <w:tcPr>
            <w:tcW w:type="dxa" w:w="4819"/>
          </w:tcPr>
          <w:p>
            <w:pPr>
              <w:spacing w:after="20" w:before="20" w:line="240" w:lineRule="auto"/>
            </w:pPr>
            <w:r/>
            <w:r>
              <w:rPr>
                <w:rFonts w:ascii="Arial" w:hAnsi="Arial" w:cs="Arial"/>
                <w:b w:val="0"/>
                <w:i w:val="0"/>
                <w:sz w:val="17"/>
              </w:rPr>
              <w:t>Extract tariffs from carrier quotes</w:t>
            </w:r>
          </w:p>
        </w:tc>
      </w:tr>
      <w:tr>
        <w:tc>
          <w:tcPr>
            <w:tcW w:type="dxa" w:w="4819"/>
          </w:tcPr>
          <w:p>
            <w:pPr>
              <w:spacing w:after="20" w:before="20" w:line="240" w:lineRule="auto"/>
            </w:pPr>
            <w:r/>
            <w:r>
              <w:rPr>
                <w:rFonts w:ascii="Arial" w:hAnsi="Arial" w:cs="Arial"/>
                <w:b w:val="0"/>
                <w:i w:val="0"/>
                <w:sz w:val="17"/>
              </w:rPr>
              <w:t>Section 12 — physical execution milestones</w:t>
            </w:r>
          </w:p>
        </w:tc>
        <w:tc>
          <w:tcPr>
            <w:tcW w:type="dxa" w:w="4819"/>
          </w:tcPr>
          <w:p>
            <w:pPr>
              <w:spacing w:after="20" w:before="20" w:line="240" w:lineRule="auto"/>
            </w:pPr>
            <w:r/>
            <w:r>
              <w:rPr>
                <w:rFonts w:ascii="Arial" w:hAnsi="Arial" w:cs="Arial"/>
                <w:b w:val="0"/>
                <w:i w:val="0"/>
                <w:sz w:val="17"/>
              </w:rPr>
              <w:t>Trigger demurrage start on release; stop on gate-out</w:t>
            </w:r>
          </w:p>
        </w:tc>
      </w:tr>
      <w:tr>
        <w:tc>
          <w:tcPr>
            <w:tcW w:type="dxa" w:w="4819"/>
          </w:tcPr>
          <w:p>
            <w:pPr>
              <w:spacing w:after="20" w:before="20" w:line="240" w:lineRule="auto"/>
            </w:pPr>
            <w:r/>
            <w:r>
              <w:rPr>
                <w:rFonts w:ascii="Arial" w:hAnsi="Arial" w:cs="Arial"/>
                <w:b w:val="0"/>
                <w:i w:val="0"/>
                <w:sz w:val="17"/>
              </w:rPr>
              <w:t>Section 13 — payment orchestration</w:t>
            </w:r>
          </w:p>
        </w:tc>
        <w:tc>
          <w:tcPr>
            <w:tcW w:type="dxa" w:w="4819"/>
          </w:tcPr>
          <w:p>
            <w:pPr>
              <w:spacing w:after="20" w:before="20" w:line="240" w:lineRule="auto"/>
            </w:pPr>
            <w:r/>
            <w:r>
              <w:rPr>
                <w:rFonts w:ascii="Arial" w:hAnsi="Arial" w:cs="Arial"/>
                <w:b w:val="0"/>
                <w:i w:val="0"/>
                <w:sz w:val="17"/>
              </w:rPr>
              <w:t>Include demurrage in settlement calculations</w:t>
            </w:r>
          </w:p>
        </w:tc>
      </w:tr>
      <w:tr>
        <w:tc>
          <w:tcPr>
            <w:tcW w:type="dxa" w:w="4819"/>
          </w:tcPr>
          <w:p>
            <w:pPr>
              <w:spacing w:after="20" w:before="20" w:line="240" w:lineRule="auto"/>
            </w:pPr>
            <w:r/>
            <w:r>
              <w:rPr>
                <w:rFonts w:ascii="Arial" w:hAnsi="Arial" w:cs="Arial"/>
                <w:b w:val="0"/>
                <w:i w:val="0"/>
                <w:sz w:val="17"/>
              </w:rPr>
              <w:t>Section 12 — container release</w:t>
            </w:r>
          </w:p>
        </w:tc>
        <w:tc>
          <w:tcPr>
            <w:tcW w:type="dxa" w:w="4819"/>
          </w:tcPr>
          <w:p>
            <w:pPr>
              <w:spacing w:after="20" w:before="20" w:line="240" w:lineRule="auto"/>
            </w:pPr>
            <w:r/>
            <w:r>
              <w:rPr>
                <w:rFonts w:ascii="Arial" w:hAnsi="Arial" w:cs="Arial"/>
                <w:b w:val="0"/>
                <w:i w:val="0"/>
                <w:sz w:val="17"/>
              </w:rPr>
              <w:t>Release date triggers tracking</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Proactive alerts</w:t>
            </w:r>
          </w:p>
        </w:tc>
      </w:tr>
      <w:tr>
        <w:tc>
          <w:tcPr>
            <w:tcW w:type="dxa" w:w="4819"/>
          </w:tcPr>
          <w:p>
            <w:pPr>
              <w:spacing w:after="20" w:before="20" w:line="240" w:lineRule="auto"/>
            </w:pPr>
            <w:r/>
            <w:r>
              <w:rPr>
                <w:rFonts w:ascii="Arial" w:hAnsi="Arial" w:cs="Arial"/>
                <w:b w:val="0"/>
                <w:i w:val="0"/>
                <w:sz w:val="17"/>
              </w:rPr>
              <w:t>Section 14 — disputes</w:t>
            </w:r>
          </w:p>
        </w:tc>
        <w:tc>
          <w:tcPr>
            <w:tcW w:type="dxa" w:w="4819"/>
          </w:tcPr>
          <w:p>
            <w:pPr>
              <w:spacing w:after="20" w:before="20" w:line="240" w:lineRule="auto"/>
            </w:pPr>
            <w:r/>
            <w:r>
              <w:rPr>
                <w:rFonts w:ascii="Arial" w:hAnsi="Arial" w:cs="Arial"/>
                <w:b w:val="0"/>
                <w:i w:val="0"/>
                <w:sz w:val="17"/>
              </w:rPr>
              <w:t>Demurrage dispute category</w:t>
            </w:r>
          </w:p>
        </w:tc>
      </w:tr>
      <w:tr>
        <w:tc>
          <w:tcPr>
            <w:tcW w:type="dxa" w:w="4819"/>
          </w:tcPr>
          <w:p>
            <w:pPr>
              <w:spacing w:after="20" w:before="20" w:line="240" w:lineRule="auto"/>
            </w:pPr>
            <w:r/>
            <w:r>
              <w:rPr>
                <w:rFonts w:ascii="Arial" w:hAnsi="Arial" w:cs="Arial"/>
                <w:b w:val="0"/>
                <w:i w:val="0"/>
                <w:sz w:val="17"/>
              </w:rPr>
              <w:t>Section 6 — transport planning</w:t>
            </w:r>
          </w:p>
        </w:tc>
        <w:tc>
          <w:tcPr>
            <w:tcW w:type="dxa" w:w="4819"/>
          </w:tcPr>
          <w:p>
            <w:pPr>
              <w:spacing w:after="20" w:before="20" w:line="240" w:lineRule="auto"/>
            </w:pPr>
            <w:r/>
            <w:r>
              <w:rPr>
                <w:rFonts w:ascii="Arial" w:hAnsi="Arial" w:cs="Arial"/>
                <w:b w:val="0"/>
                <w:i w:val="0"/>
                <w:sz w:val="17"/>
              </w:rPr>
              <w:t>Port congestion prediction (A2)</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22.4.9 Implementation Checklist</w:t>
      </w:r>
    </w:p>
    <w:p>
      <w:pPr>
        <w:spacing w:after="80" w:line="293" w:lineRule="auto"/>
        <w:jc w:val="left"/>
      </w:pPr>
      <w:r>
        <w:rPr>
          <w:rFonts w:ascii="Times New Roman" w:hAnsi="Times New Roman" w:cs="Times New Roman"/>
          <w:b w:val="0"/>
          <w:i w:val="0"/>
          <w:sz w:val="22"/>
        </w:rPr>
        <w:t>Phase 1 — foundation:</w:t>
      </w:r>
    </w:p>
    <w:p>
      <w:pPr>
        <w:spacing w:after="80" w:line="293" w:lineRule="auto"/>
        <w:ind w:left="283"/>
        <w:jc w:val="left"/>
      </w:pPr>
      <w:r>
        <w:rPr>
          <w:rFonts w:ascii="Times New Roman" w:hAnsi="Times New Roman" w:cs="Times New Roman"/>
          <w:b w:val="0"/>
          <w:i w:val="0"/>
          <w:sz w:val="22"/>
        </w:rPr>
        <w:t>- Create the `demurrage_tracking` table.</w:t>
      </w:r>
    </w:p>
    <w:p>
      <w:pPr>
        <w:spacing w:after="80" w:line="293" w:lineRule="auto"/>
        <w:ind w:left="283"/>
        <w:jc w:val="left"/>
      </w:pPr>
      <w:r>
        <w:rPr>
          <w:rFonts w:ascii="Times New Roman" w:hAnsi="Times New Roman" w:cs="Times New Roman"/>
          <w:b w:val="0"/>
          <w:i w:val="0"/>
          <w:sz w:val="22"/>
        </w:rPr>
        <w:t>- Create the `carrier_demurrage_tariffs` table.</w:t>
      </w:r>
    </w:p>
    <w:p>
      <w:pPr>
        <w:spacing w:after="80" w:line="293" w:lineRule="auto"/>
        <w:ind w:left="283"/>
        <w:jc w:val="left"/>
      </w:pPr>
      <w:r>
        <w:rPr>
          <w:rFonts w:ascii="Times New Roman" w:hAnsi="Times New Roman" w:cs="Times New Roman"/>
          <w:b w:val="0"/>
          <w:i w:val="0"/>
          <w:sz w:val="22"/>
        </w:rPr>
        <w:t>- Create the `port_free_time` table.</w:t>
      </w:r>
    </w:p>
    <w:p>
      <w:pPr>
        <w:spacing w:after="80" w:line="293" w:lineRule="auto"/>
        <w:ind w:left="283"/>
        <w:jc w:val="left"/>
      </w:pPr>
      <w:r>
        <w:rPr>
          <w:rFonts w:ascii="Times New Roman" w:hAnsi="Times New Roman" w:cs="Times New Roman"/>
          <w:b w:val="0"/>
          <w:i w:val="0"/>
          <w:sz w:val="22"/>
        </w:rPr>
        <w:t>- Create the `demurrage_alerts` table.</w:t>
      </w:r>
    </w:p>
    <w:p>
      <w:pPr>
        <w:spacing w:after="80" w:line="293" w:lineRule="auto"/>
        <w:jc w:val="left"/>
      </w:pPr>
      <w:r>
        <w:rPr>
          <w:rFonts w:ascii="Times New Roman" w:hAnsi="Times New Roman" w:cs="Times New Roman"/>
          <w:b w:val="0"/>
          <w:i w:val="0"/>
          <w:sz w:val="22"/>
        </w:rPr>
        <w:t>Phase 2 — extraction &amp; calculation:</w:t>
      </w:r>
    </w:p>
    <w:p>
      <w:pPr>
        <w:spacing w:after="80" w:line="293" w:lineRule="auto"/>
        <w:ind w:left="283"/>
        <w:jc w:val="left"/>
      </w:pPr>
      <w:r>
        <w:rPr>
          <w:rFonts w:ascii="Times New Roman" w:hAnsi="Times New Roman" w:cs="Times New Roman"/>
          <w:b w:val="0"/>
          <w:i w:val="0"/>
          <w:sz w:val="22"/>
        </w:rPr>
        <w:t>- Implement tariff extraction from carrier quotes (A2, HF Donut).</w:t>
      </w:r>
    </w:p>
    <w:p>
      <w:pPr>
        <w:spacing w:after="80" w:line="293" w:lineRule="auto"/>
        <w:ind w:left="283"/>
        <w:jc w:val="left"/>
      </w:pPr>
      <w:r>
        <w:rPr>
          <w:rFonts w:ascii="Times New Roman" w:hAnsi="Times New Roman" w:cs="Times New Roman"/>
          <w:b w:val="0"/>
          <w:i w:val="0"/>
          <w:sz w:val="22"/>
        </w:rPr>
        <w:t>- Implement the demurrage calculation engine.</w:t>
      </w:r>
    </w:p>
    <w:p>
      <w:pPr>
        <w:spacing w:after="80" w:line="293" w:lineRule="auto"/>
        <w:ind w:left="283"/>
        <w:jc w:val="left"/>
      </w:pPr>
      <w:r>
        <w:rPr>
          <w:rFonts w:ascii="Times New Roman" w:hAnsi="Times New Roman" w:cs="Times New Roman"/>
          <w:b w:val="0"/>
          <w:i w:val="0"/>
          <w:sz w:val="22"/>
        </w:rPr>
        <w:t>- Implement free time monitoring.</w:t>
      </w:r>
    </w:p>
    <w:p>
      <w:pPr>
        <w:spacing w:after="80" w:line="293" w:lineRule="auto"/>
        <w:ind w:left="283"/>
        <w:jc w:val="left"/>
      </w:pPr>
      <w:r>
        <w:rPr>
          <w:rFonts w:ascii="Times New Roman" w:hAnsi="Times New Roman" w:cs="Times New Roman"/>
          <w:b w:val="0"/>
          <w:i w:val="0"/>
          <w:sz w:val="22"/>
        </w:rPr>
        <w:t>- Implement port congestion prediction (A2).</w:t>
      </w:r>
    </w:p>
    <w:p>
      <w:pPr>
        <w:spacing w:after="80" w:line="293" w:lineRule="auto"/>
        <w:jc w:val="left"/>
      </w:pPr>
      <w:r>
        <w:rPr>
          <w:rFonts w:ascii="Times New Roman" w:hAnsi="Times New Roman" w:cs="Times New Roman"/>
          <w:b w:val="0"/>
          <w:i w:val="0"/>
          <w:sz w:val="22"/>
        </w:rPr>
        <w:t>Phase 3 — alerts &amp; integration:</w:t>
      </w:r>
    </w:p>
    <w:p>
      <w:pPr>
        <w:spacing w:after="80" w:line="293" w:lineRule="auto"/>
        <w:ind w:left="283"/>
        <w:jc w:val="left"/>
      </w:pPr>
      <w:r>
        <w:rPr>
          <w:rFonts w:ascii="Times New Roman" w:hAnsi="Times New Roman" w:cs="Times New Roman"/>
          <w:b w:val="0"/>
          <w:i w:val="0"/>
          <w:sz w:val="22"/>
        </w:rPr>
        <w:t>- Implement proactive alerts (48h, 24h, expiry).</w:t>
      </w:r>
    </w:p>
    <w:p>
      <w:pPr>
        <w:spacing w:after="80" w:line="293" w:lineRule="auto"/>
        <w:ind w:left="283"/>
        <w:jc w:val="left"/>
      </w:pPr>
      <w:r>
        <w:rPr>
          <w:rFonts w:ascii="Times New Roman" w:hAnsi="Times New Roman" w:cs="Times New Roman"/>
          <w:b w:val="0"/>
          <w:i w:val="0"/>
          <w:sz w:val="22"/>
        </w:rPr>
        <w:t>- Integrate with Smart Inbox.</w:t>
      </w:r>
    </w:p>
    <w:p>
      <w:pPr>
        <w:spacing w:after="80" w:line="293" w:lineRule="auto"/>
        <w:ind w:left="283"/>
        <w:jc w:val="left"/>
      </w:pPr>
      <w:r>
        <w:rPr>
          <w:rFonts w:ascii="Times New Roman" w:hAnsi="Times New Roman" w:cs="Times New Roman"/>
          <w:b w:val="0"/>
          <w:i w:val="0"/>
          <w:sz w:val="22"/>
        </w:rPr>
        <w:t>- Integrate with settlement calculations.</w:t>
      </w:r>
    </w:p>
    <w:p>
      <w:pPr>
        <w:spacing w:after="80" w:line="293" w:lineRule="auto"/>
        <w:ind w:left="283"/>
        <w:jc w:val="left"/>
      </w:pPr>
      <w:r>
        <w:rPr>
          <w:rFonts w:ascii="Times New Roman" w:hAnsi="Times New Roman" w:cs="Times New Roman"/>
          <w:b w:val="0"/>
          <w:i w:val="0"/>
          <w:sz w:val="22"/>
        </w:rPr>
        <w:t>- Add the demurrage dispute category (Section 14).</w:t>
      </w:r>
    </w:p>
    <w:p>
      <w:pPr>
        <w:keepNext/>
        <w:spacing w:before="180" w:after="80"/>
        <w:outlineLvl w:val="2"/>
      </w:pPr>
      <w:r>
        <w:rPr>
          <w:rFonts w:ascii="Arial" w:hAnsi="Arial" w:cs="Arial"/>
          <w:b/>
          <w:i w:val="0"/>
          <w:color w:val="333333"/>
          <w:sz w:val="23"/>
        </w:rPr>
        <w:t>22.4.10 Dwell &amp; Demurrage Exposure Clock</w:t>
      </w:r>
    </w:p>
    <w:p>
      <w:pPr>
        <w:spacing w:after="80" w:line="293" w:lineRule="auto"/>
        <w:jc w:val="left"/>
      </w:pPr>
      <w:r>
        <w:rPr>
          <w:rFonts w:ascii="Times New Roman" w:hAnsi="Times New Roman" w:cs="Times New Roman"/>
          <w:b w:val="0"/>
          <w:i w:val="0"/>
          <w:sz w:val="22"/>
        </w:rPr>
        <w:t>The demurrage and free-time functionality of this add-on is connected to an explicit exposure domain. Every shipment under a terminal free-time regime carries a dwell exposure clock:</w:t>
      </w:r>
    </w:p>
    <w:p>
      <w:pPr>
        <w:spacing w:after="0" w:before="0" w:line="240" w:lineRule="auto"/>
        <w:ind w:left="57"/>
        <w:jc w:val="left"/>
        <w:shd w:val="clear" w:fill="F2F2F2"/>
      </w:pPr>
      <w:r>
        <w:rPr>
          <w:rFonts w:ascii="Consolas" w:hAnsi="Consolas" w:cs="Consolas"/>
          <w:b w:val="0"/>
          <w:i w:val="0"/>
          <w:sz w:val="15"/>
        </w:rPr>
        <w:t>dwell_clock_started_at         the authoritative event that started the clock</w:t>
      </w:r>
    </w:p>
    <w:p>
      <w:pPr>
        <w:spacing w:after="0" w:before="0" w:line="240" w:lineRule="auto"/>
        <w:ind w:left="57"/>
        <w:jc w:val="left"/>
        <w:shd w:val="clear" w:fill="F2F2F2"/>
      </w:pPr>
      <w:r>
        <w:rPr>
          <w:rFonts w:ascii="Consolas" w:hAnsi="Consolas" w:cs="Consolas"/>
          <w:b w:val="0"/>
          <w:i w:val="0"/>
          <w:sz w:val="15"/>
        </w:rPr>
        <w:t>free_time_expires_at           computed free-time expiry</w:t>
      </w:r>
    </w:p>
    <w:p>
      <w:pPr>
        <w:spacing w:after="0" w:before="0" w:line="240" w:lineRule="auto"/>
        <w:ind w:left="57"/>
        <w:jc w:val="left"/>
        <w:shd w:val="clear" w:fill="F2F2F2"/>
      </w:pPr>
      <w:r>
        <w:rPr>
          <w:rFonts w:ascii="Consolas" w:hAnsi="Consolas" w:cs="Consolas"/>
          <w:b w:val="0"/>
          <w:i w:val="0"/>
          <w:sz w:val="15"/>
        </w:rPr>
        <w:t>dwell_exposure_state           the exposure lifecycle state</w:t>
      </w:r>
    </w:p>
    <w:p>
      <w:pPr>
        <w:spacing w:after="0" w:before="0" w:line="240" w:lineRule="auto"/>
        <w:ind w:left="57"/>
        <w:jc w:val="left"/>
        <w:shd w:val="clear" w:fill="F2F2F2"/>
      </w:pPr>
      <w:r>
        <w:rPr>
          <w:rFonts w:ascii="Consolas" w:hAnsi="Consolas" w:cs="Consolas"/>
          <w:b w:val="0"/>
          <w:i w:val="0"/>
          <w:sz w:val="15"/>
        </w:rPr>
        <w:t>dwell_exposure_amount          accrued exposure amount</w:t>
      </w:r>
    </w:p>
    <w:p>
      <w:pPr>
        <w:spacing w:after="0" w:before="0" w:line="240" w:lineRule="auto"/>
        <w:ind w:left="57"/>
        <w:jc w:val="left"/>
        <w:shd w:val="clear" w:fill="F2F2F2"/>
      </w:pPr>
      <w:r>
        <w:rPr>
          <w:rFonts w:ascii="Consolas" w:hAnsi="Consolas" w:cs="Consolas"/>
          <w:b w:val="0"/>
          <w:i w:val="0"/>
          <w:sz w:val="15"/>
        </w:rPr>
        <w:t>currency                       exposure currency</w:t>
      </w:r>
    </w:p>
    <w:p>
      <w:pPr>
        <w:spacing w:after="0" w:before="0" w:line="240" w:lineRule="auto"/>
        <w:ind w:left="57"/>
        <w:jc w:val="left"/>
        <w:shd w:val="clear" w:fill="F2F2F2"/>
      </w:pPr>
      <w:r>
        <w:rPr>
          <w:rFonts w:ascii="Consolas" w:hAnsi="Consolas" w:cs="Consolas"/>
          <w:b w:val="0"/>
          <w:i w:val="0"/>
          <w:sz w:val="15"/>
        </w:rPr>
        <w:t>last_authoritative_update_at   last authoritative terminal update</w:t>
      </w:r>
    </w:p>
    <w:p>
      <w:pPr>
        <w:spacing w:after="0" w:before="0" w:line="240" w:lineRule="auto"/>
        <w:ind w:left="57"/>
        <w:jc w:val="left"/>
        <w:shd w:val="clear" w:fill="F2F2F2"/>
      </w:pPr>
      <w:r>
        <w:rPr>
          <w:rFonts w:ascii="Consolas" w:hAnsi="Consolas" w:cs="Consolas"/>
          <w:b w:val="0"/>
          <w:i w:val="0"/>
          <w:sz w:val="15"/>
        </w:rPr>
        <w:t>authority_source               the terminal/carrier authority for the clock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dwell exposure state model is:</w:t>
      </w:r>
    </w:p>
    <w:p>
      <w:pPr>
        <w:spacing w:after="0" w:before="0" w:line="240" w:lineRule="auto"/>
        <w:ind w:left="57"/>
        <w:jc w:val="left"/>
        <w:shd w:val="clear" w:fill="F2F2F2"/>
      </w:pPr>
      <w:r>
        <w:rPr>
          <w:rFonts w:ascii="Consolas" w:hAnsi="Consolas" w:cs="Consolas"/>
          <w:b w:val="0"/>
          <w:i w:val="0"/>
          <w:sz w:val="15"/>
        </w:rPr>
        <w:t>NOT_STARTED -&gt; CLOCK_RUNNING -&gt; FREE_TIME_EXPIRING -&gt; ACCRUING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+--&gt; DISPUTED | WAIVED | SETTLED | CLOSED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dwell clock is a domain state within the exposure and physical-operational model — it is not a replacement for the canonical transaction state vector and never collapses into transaction.status. A transaction may validly hold:</w:t>
      </w:r>
    </w:p>
    <w:p>
      <w:pPr>
        <w:spacing w:after="0" w:before="0" w:line="240" w:lineRule="auto"/>
        <w:ind w:left="57"/>
        <w:jc w:val="left"/>
        <w:shd w:val="clear" w:fill="F2F2F2"/>
      </w:pPr>
      <w:r>
        <w:rPr>
          <w:rFonts w:ascii="Consolas" w:hAnsi="Consolas" w:cs="Consolas"/>
          <w:b w:val="0"/>
          <w:i w:val="0"/>
          <w:sz w:val="15"/>
        </w:rPr>
        <w:t>FINANCIAL  = SETTLED</w:t>
      </w:r>
    </w:p>
    <w:p>
      <w:pPr>
        <w:spacing w:after="0" w:before="0" w:line="240" w:lineRule="auto"/>
        <w:ind w:left="57"/>
        <w:jc w:val="left"/>
        <w:shd w:val="clear" w:fill="F2F2F2"/>
      </w:pPr>
      <w:r>
        <w:rPr>
          <w:rFonts w:ascii="Consolas" w:hAnsi="Consolas" w:cs="Consolas"/>
          <w:b w:val="0"/>
          <w:i w:val="0"/>
          <w:sz w:val="15"/>
        </w:rPr>
        <w:t>PHYSICAL   = DELIVERED</w:t>
      </w:r>
    </w:p>
    <w:p>
      <w:pPr>
        <w:spacing w:after="0" w:before="0" w:line="240" w:lineRule="auto"/>
        <w:ind w:left="57"/>
        <w:jc w:val="left"/>
        <w:shd w:val="clear" w:fill="F2F2F2"/>
      </w:pPr>
      <w:r>
        <w:rPr>
          <w:rFonts w:ascii="Consolas" w:hAnsi="Consolas" w:cs="Consolas"/>
          <w:b w:val="0"/>
          <w:i w:val="0"/>
          <w:sz w:val="15"/>
        </w:rPr>
        <w:t>EXPOSURE   = ACCRUING</w:t>
      </w:r>
    </w:p>
    <w:p>
      <w:pPr>
        <w:spacing w:after="0" w:before="0" w:line="240" w:lineRule="auto"/>
        <w:ind w:left="57"/>
        <w:jc w:val="left"/>
        <w:shd w:val="clear" w:fill="F2F2F2"/>
      </w:pPr>
      <w:r>
        <w:rPr>
          <w:rFonts w:ascii="Consolas" w:hAnsi="Consolas" w:cs="Consolas"/>
          <w:b w:val="0"/>
          <w:i w:val="0"/>
          <w:sz w:val="15"/>
        </w:rPr>
        <w:t>CLOSURE    = OPEN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until the dwell/demurrage exposure is resolved according to policy. Closure policy (Section 5.10) blocks closure while a dwell exposure remains unresolved where the closure profile requires it, or records a closure-with-exception (Section 19.113.1) where policy permits. The demurrage calculation engine (Section 22.4.4) feeds the exposure amount; the dispute paths of Section 22.21 and the settlement integration of Section 13 resolve it.</w:t>
      </w:r>
    </w:p>
    <w:p>
      <w:pPr>
        <w:keepNext/>
        <w:spacing w:before="240" w:after="100"/>
        <w:outlineLvl w:val="1"/>
      </w:pPr>
      <w:r>
        <w:rPr>
          <w:rFonts w:ascii="Arial" w:hAnsi="Arial" w:cs="Arial"/>
          <w:b/>
          <w:i w:val="0"/>
          <w:color w:val="2E528F"/>
          <w:sz w:val="26"/>
        </w:rPr>
        <w:t>22.5 Add-On 10: Broker Liability &amp; Insurance Management</w:t>
      </w:r>
    </w:p>
    <w:p>
      <w:pPr>
        <w:keepNext/>
        <w:spacing w:before="180" w:after="80"/>
        <w:outlineLvl w:val="2"/>
      </w:pPr>
      <w:r>
        <w:rPr>
          <w:rFonts w:ascii="Arial" w:hAnsi="Arial" w:cs="Arial"/>
          <w:b/>
          <w:i w:val="0"/>
          <w:color w:val="333333"/>
          <w:sz w:val="23"/>
        </w:rPr>
        <w:t>22.5.1 Purpose &amp; Design Philosophy</w:t>
      </w:r>
    </w:p>
    <w:p>
      <w:pPr>
        <w:spacing w:after="80" w:line="293" w:lineRule="auto"/>
        <w:jc w:val="left"/>
      </w:pPr>
      <w:r>
        <w:rPr>
          <w:rFonts w:ascii="Times New Roman" w:hAnsi="Times New Roman" w:cs="Times New Roman"/>
          <w:b w:val="0"/>
          <w:i w:val="0"/>
          <w:sz w:val="22"/>
        </w:rPr>
        <w:t>Under Egyptian Customs Law 207/2020, brokers are personally liable for declaration accuracy. This module tracks broker liability insurance, declaration errors, and performance metrics.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Mandatory liability insurance — minimum EGP 500,000 (Egypt) or equivalent.</w:t>
      </w:r>
    </w:p>
    <w:p>
      <w:pPr>
        <w:spacing w:after="80" w:line="293" w:lineRule="auto"/>
        <w:ind w:left="283"/>
        <w:jc w:val="left"/>
      </w:pPr>
      <w:r>
        <w:rPr>
          <w:rFonts w:ascii="Times New Roman" w:hAnsi="Times New Roman" w:cs="Times New Roman"/>
          <w:b w:val="0"/>
          <w:i w:val="0"/>
          <w:sz w:val="22"/>
        </w:rPr>
        <w:t>- Declaration error tracking — penalties of 5–50% of duty value.</w:t>
      </w:r>
    </w:p>
    <w:p>
      <w:pPr>
        <w:spacing w:after="80" w:line="293" w:lineRule="auto"/>
        <w:ind w:left="283"/>
        <w:jc w:val="left"/>
      </w:pPr>
      <w:r>
        <w:rPr>
          <w:rFonts w:ascii="Times New Roman" w:hAnsi="Times New Roman" w:cs="Times New Roman"/>
          <w:b w:val="0"/>
          <w:i w:val="0"/>
          <w:sz w:val="22"/>
        </w:rPr>
        <w:t>- Performance metrics — accuracy rate, rejection rate.</w:t>
      </w:r>
    </w:p>
    <w:p>
      <w:pPr>
        <w:spacing w:after="80" w:line="293" w:lineRule="auto"/>
        <w:ind w:left="283"/>
        <w:jc w:val="left"/>
      </w:pPr>
      <w:r>
        <w:rPr>
          <w:rFonts w:ascii="Times New Roman" w:hAnsi="Times New Roman" w:cs="Times New Roman"/>
          <w:b w:val="0"/>
          <w:i w:val="0"/>
          <w:sz w:val="22"/>
        </w:rPr>
        <w:t>- Jurisdiction-aware — different requirements by country.</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performance summaries.</w:t>
      </w:r>
    </w:p>
    <w:p>
      <w:pPr>
        <w:spacing w:after="80" w:line="293" w:lineRule="auto"/>
        <w:ind w:left="283"/>
        <w:jc w:val="left"/>
      </w:pPr>
      <w:r>
        <w:rPr>
          <w:rFonts w:ascii="Times New Roman" w:hAnsi="Times New Roman" w:cs="Times New Roman"/>
          <w:b w:val="0"/>
          <w:i w:val="0"/>
          <w:sz w:val="22"/>
        </w:rPr>
        <w:t>- A2 (HF local → Ollama): error pattern detection.</w:t>
      </w:r>
    </w:p>
    <w:p>
      <w:pPr>
        <w:spacing w:after="80" w:line="293" w:lineRule="auto"/>
        <w:ind w:left="283"/>
        <w:jc w:val="left"/>
      </w:pPr>
      <w:r>
        <w:rPr>
          <w:rFonts w:ascii="Times New Roman" w:hAnsi="Times New Roman" w:cs="Times New Roman"/>
          <w:b w:val="0"/>
          <w:i w:val="0"/>
          <w:sz w:val="22"/>
        </w:rPr>
        <w:t>- A4 (OPA + WasmEdge): enforcement.</w:t>
      </w:r>
    </w:p>
    <w:p>
      <w:pPr>
        <w:keepNext/>
        <w:spacing w:before="180" w:after="80"/>
        <w:outlineLvl w:val="2"/>
      </w:pPr>
      <w:r>
        <w:rPr>
          <w:rFonts w:ascii="Arial" w:hAnsi="Arial" w:cs="Arial"/>
          <w:b/>
          <w:i w:val="0"/>
          <w:color w:val="333333"/>
          <w:sz w:val="23"/>
        </w:rPr>
        <w:t>22.5.2 Jurisdiction-Specific Requirements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Jurisdiction</w:t>
            </w:r>
          </w:p>
        </w:tc>
        <w:tc>
          <w:tcPr>
            <w:tcW w:type="dxa" w:w="2409"/>
            <w:shd w:val="clear" w:fill="D9E2F3"/>
          </w:tcPr>
          <w:p>
            <w:pPr>
              <w:spacing w:after="20" w:before="20" w:line="240" w:lineRule="auto"/>
            </w:pPr>
            <w:r/>
            <w:r>
              <w:rPr>
                <w:rFonts w:ascii="Arial" w:hAnsi="Arial" w:cs="Arial"/>
                <w:b/>
                <w:i w:val="0"/>
                <w:sz w:val="18"/>
              </w:rPr>
              <w:t>Liability Insurance</w:t>
            </w:r>
          </w:p>
        </w:tc>
        <w:tc>
          <w:tcPr>
            <w:tcW w:type="dxa" w:w="2409"/>
            <w:shd w:val="clear" w:fill="D9E2F3"/>
          </w:tcPr>
          <w:p>
            <w:pPr>
              <w:spacing w:after="20" w:before="20" w:line="240" w:lineRule="auto"/>
            </w:pPr>
            <w:r/>
            <w:r>
              <w:rPr>
                <w:rFonts w:ascii="Arial" w:hAnsi="Arial" w:cs="Arial"/>
                <w:b/>
                <w:i w:val="0"/>
                <w:sz w:val="18"/>
              </w:rPr>
              <w:t>Penalty Range</w:t>
            </w:r>
          </w:p>
        </w:tc>
        <w:tc>
          <w:tcPr>
            <w:tcW w:type="dxa" w:w="2409"/>
            <w:shd w:val="clear" w:fill="D9E2F3"/>
          </w:tcPr>
          <w:p>
            <w:pPr>
              <w:spacing w:after="20" w:before="20" w:line="240" w:lineRule="auto"/>
            </w:pPr>
            <w:r/>
            <w:r>
              <w:rPr>
                <w:rFonts w:ascii="Arial" w:hAnsi="Arial" w:cs="Arial"/>
                <w:b/>
                <w:i w:val="0"/>
                <w:sz w:val="18"/>
              </w:rPr>
              <w:t>Bond Required</w:t>
            </w:r>
          </w:p>
        </w:tc>
      </w:tr>
      <w:tr>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Mandatory (EGP 500,000+)</w:t>
            </w:r>
          </w:p>
        </w:tc>
        <w:tc>
          <w:tcPr>
            <w:tcW w:type="dxa" w:w="2409"/>
          </w:tcPr>
          <w:p>
            <w:pPr>
              <w:spacing w:after="20" w:before="20" w:line="240" w:lineRule="auto"/>
            </w:pPr>
            <w:r/>
            <w:r>
              <w:rPr>
                <w:rFonts w:ascii="Arial" w:hAnsi="Arial" w:cs="Arial"/>
                <w:b w:val="0"/>
                <w:i w:val="0"/>
                <w:sz w:val="17"/>
              </w:rPr>
              <w:t>5-50% of duty</w:t>
            </w:r>
          </w:p>
        </w:tc>
        <w:tc>
          <w:tcPr>
            <w:tcW w:type="dxa" w:w="2409"/>
          </w:tcPr>
          <w:p>
            <w:pPr>
              <w:spacing w:after="20" w:before="20" w:line="240" w:lineRule="auto"/>
            </w:pPr>
            <w:r/>
            <w:r>
              <w:rPr>
                <w:rFonts w:ascii="Arial" w:hAnsi="Arial" w:cs="Arial"/>
                <w:b w:val="0"/>
                <w:i w:val="0"/>
                <w:sz w:val="17"/>
              </w:rPr>
              <w:t>EGP 100,000+</w:t>
            </w:r>
          </w:p>
        </w:tc>
      </w:tr>
      <w:tr>
        <w:tc>
          <w:tcPr>
            <w:tcW w:type="dxa" w:w="2409"/>
          </w:tcPr>
          <w:p>
            <w:pPr>
              <w:spacing w:after="20" w:before="20" w:line="240" w:lineRule="auto"/>
            </w:pPr>
            <w:r/>
            <w:r>
              <w:rPr>
                <w:rFonts w:ascii="Arial" w:hAnsi="Arial" w:cs="Arial"/>
                <w:b w:val="0"/>
                <w:i w:val="0"/>
                <w:sz w:val="17"/>
              </w:rPr>
              <w:t>EU</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Variable</w:t>
            </w:r>
          </w:p>
        </w:tc>
        <w:tc>
          <w:tcPr>
            <w:tcW w:type="dxa" w:w="2409"/>
          </w:tcPr>
          <w:p>
            <w:pPr>
              <w:spacing w:after="20" w:before="20" w:line="240" w:lineRule="auto"/>
            </w:pPr>
            <w:r/>
            <w:r>
              <w:rPr>
                <w:rFonts w:ascii="Arial" w:hAnsi="Arial" w:cs="Arial"/>
                <w:b w:val="0"/>
                <w:i w:val="0"/>
                <w:sz w:val="17"/>
              </w:rPr>
              <w:t>No bond</w:t>
            </w:r>
          </w:p>
        </w:tc>
      </w:tr>
      <w:tr>
        <w:tc>
          <w:tcPr>
            <w:tcW w:type="dxa" w:w="2409"/>
          </w:tcPr>
          <w:p>
            <w:pPr>
              <w:spacing w:after="20" w:before="20" w:line="240" w:lineRule="auto"/>
            </w:pPr>
            <w:r/>
            <w:r>
              <w:rPr>
                <w:rFonts w:ascii="Arial" w:hAnsi="Arial" w:cs="Arial"/>
                <w:b w:val="0"/>
                <w:i w:val="0"/>
                <w:sz w:val="17"/>
              </w:rPr>
              <w:t>USA</w:t>
            </w:r>
          </w:p>
        </w:tc>
        <w:tc>
          <w:tcPr>
            <w:tcW w:type="dxa" w:w="2409"/>
          </w:tcPr>
          <w:p>
            <w:pPr>
              <w:spacing w:after="20" w:before="20" w:line="240" w:lineRule="auto"/>
            </w:pPr>
            <w:r/>
            <w:r>
              <w:rPr>
                <w:rFonts w:ascii="Arial" w:hAnsi="Arial" w:cs="Arial"/>
                <w:b w:val="0"/>
                <w:i w:val="0"/>
                <w:sz w:val="17"/>
              </w:rPr>
              <w:t>Customs bond</w:t>
            </w:r>
          </w:p>
        </w:tc>
        <w:tc>
          <w:tcPr>
            <w:tcW w:type="dxa" w:w="2409"/>
          </w:tcPr>
          <w:p>
            <w:pPr>
              <w:spacing w:after="20" w:before="20" w:line="240" w:lineRule="auto"/>
            </w:pPr>
            <w:r/>
            <w:r>
              <w:rPr>
                <w:rFonts w:ascii="Arial" w:hAnsi="Arial" w:cs="Arial"/>
                <w:b w:val="0"/>
                <w:i w:val="0"/>
                <w:sz w:val="17"/>
              </w:rPr>
              <w:t>3x duty + taxes</w:t>
            </w:r>
          </w:p>
        </w:tc>
        <w:tc>
          <w:tcPr>
            <w:tcW w:type="dxa" w:w="2409"/>
          </w:tcPr>
          <w:p>
            <w:pPr>
              <w:spacing w:after="20" w:before="20" w:line="240" w:lineRule="auto"/>
            </w:pPr>
            <w:r/>
            <w:r>
              <w:rPr>
                <w:rFonts w:ascii="Arial" w:hAnsi="Arial" w:cs="Arial"/>
                <w:b w:val="0"/>
                <w:i w:val="0"/>
                <w:sz w:val="17"/>
              </w:rPr>
              <w:t>$50,000+</w:t>
            </w:r>
          </w:p>
        </w:tc>
      </w:tr>
      <w:tr>
        <w:tc>
          <w:tcPr>
            <w:tcW w:type="dxa" w:w="2409"/>
          </w:tcPr>
          <w:p>
            <w:pPr>
              <w:spacing w:after="20" w:before="20" w:line="240" w:lineRule="auto"/>
            </w:pPr>
            <w:r/>
            <w:r>
              <w:rPr>
                <w:rFonts w:ascii="Arial" w:hAnsi="Arial" w:cs="Arial"/>
                <w:b w:val="0"/>
                <w:i w:val="0"/>
                <w:sz w:val="17"/>
              </w:rPr>
              <w:t>UAE</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10-100% of duty</w:t>
            </w:r>
          </w:p>
        </w:tc>
        <w:tc>
          <w:tcPr>
            <w:tcW w:type="dxa" w:w="2409"/>
          </w:tcPr>
          <w:p>
            <w:pPr>
              <w:spacing w:after="20" w:before="20" w:line="240" w:lineRule="auto"/>
            </w:pPr>
            <w:r/>
            <w:r>
              <w:rPr>
                <w:rFonts w:ascii="Arial" w:hAnsi="Arial" w:cs="Arial"/>
                <w:b w:val="0"/>
                <w:i w:val="0"/>
                <w:sz w:val="17"/>
              </w:rPr>
              <w:t>Bank guarantee</w:t>
            </w:r>
          </w:p>
        </w:tc>
      </w:tr>
      <w:tr>
        <w:tc>
          <w:tcPr>
            <w:tcW w:type="dxa" w:w="2409"/>
          </w:tcPr>
          <w:p>
            <w:pPr>
              <w:spacing w:after="20" w:before="20" w:line="240" w:lineRule="auto"/>
            </w:pPr>
            <w:r/>
            <w:r>
              <w:rPr>
                <w:rFonts w:ascii="Arial" w:hAnsi="Arial" w:cs="Arial"/>
                <w:b w:val="0"/>
                <w:i w:val="0"/>
                <w:sz w:val="17"/>
              </w:rPr>
              <w:t>Saudi</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10-50% of duty</w:t>
            </w:r>
          </w:p>
        </w:tc>
        <w:tc>
          <w:tcPr>
            <w:tcW w:type="dxa" w:w="2409"/>
          </w:tcPr>
          <w:p>
            <w:pPr>
              <w:spacing w:after="20" w:before="20" w:line="240" w:lineRule="auto"/>
            </w:pPr>
            <w:r/>
            <w:r>
              <w:rPr>
                <w:rFonts w:ascii="Arial" w:hAnsi="Arial" w:cs="Arial"/>
                <w:b w:val="0"/>
                <w:i w:val="0"/>
                <w:sz w:val="17"/>
              </w:rPr>
              <w:t>Bank guarantee</w:t>
            </w:r>
          </w:p>
        </w:tc>
      </w:tr>
      <w:tr>
        <w:tc>
          <w:tcPr>
            <w:tcW w:type="dxa" w:w="2409"/>
          </w:tcPr>
          <w:p>
            <w:pPr>
              <w:spacing w:after="20" w:before="20" w:line="240" w:lineRule="auto"/>
            </w:pPr>
            <w:r/>
            <w:r>
              <w:rPr>
                <w:rFonts w:ascii="Arial" w:hAnsi="Arial" w:cs="Arial"/>
                <w:b w:val="0"/>
                <w:i w:val="0"/>
                <w:sz w:val="17"/>
              </w:rPr>
              <w:t>UK</w:t>
            </w:r>
          </w:p>
        </w:tc>
        <w:tc>
          <w:tcPr>
            <w:tcW w:type="dxa" w:w="2409"/>
          </w:tcPr>
          <w:p>
            <w:pPr>
              <w:spacing w:after="20" w:before="20" w:line="240" w:lineRule="auto"/>
            </w:pPr>
            <w:r/>
            <w:r>
              <w:rPr>
                <w:rFonts w:ascii="Arial" w:hAnsi="Arial" w:cs="Arial"/>
                <w:b w:val="0"/>
                <w:i w:val="0"/>
                <w:sz w:val="17"/>
              </w:rPr>
              <w:t>Professional indemnity</w:t>
            </w:r>
          </w:p>
        </w:tc>
        <w:tc>
          <w:tcPr>
            <w:tcW w:type="dxa" w:w="2409"/>
          </w:tcPr>
          <w:p>
            <w:pPr>
              <w:spacing w:after="20" w:before="20" w:line="240" w:lineRule="auto"/>
            </w:pPr>
            <w:r/>
            <w:r>
              <w:rPr>
                <w:rFonts w:ascii="Arial" w:hAnsi="Arial" w:cs="Arial"/>
                <w:b w:val="0"/>
                <w:i w:val="0"/>
                <w:sz w:val="17"/>
              </w:rPr>
              <w:t>Variable</w:t>
            </w:r>
          </w:p>
        </w:tc>
        <w:tc>
          <w:tcPr>
            <w:tcW w:type="dxa" w:w="2409"/>
          </w:tcPr>
          <w:p>
            <w:pPr>
              <w:spacing w:after="20" w:before="20" w:line="240" w:lineRule="auto"/>
            </w:pPr>
            <w:r/>
            <w:r>
              <w:rPr>
                <w:rFonts w:ascii="Arial" w:hAnsi="Arial" w:cs="Arial"/>
                <w:b w:val="0"/>
                <w:i w:val="0"/>
                <w:sz w:val="17"/>
              </w:rPr>
              <w:t>No bond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22.5.3 Database Schema</w:t>
      </w:r>
    </w:p>
    <w:p>
      <w:pPr>
        <w:spacing w:after="0" w:before="0" w:line="240" w:lineRule="auto"/>
        <w:ind w:left="57"/>
        <w:jc w:val="left"/>
        <w:shd w:val="clear" w:fill="F2F2F2"/>
      </w:pPr>
      <w:r>
        <w:rPr>
          <w:rFonts w:ascii="Consolas" w:hAnsi="Consolas" w:cs="Consolas"/>
          <w:b w:val="0"/>
          <w:i w:val="0"/>
          <w:sz w:val="15"/>
        </w:rPr>
        <w:t>-- Broker liability insurance</w:t>
      </w:r>
    </w:p>
    <w:p>
      <w:pPr>
        <w:spacing w:after="0" w:before="0" w:line="240" w:lineRule="auto"/>
        <w:ind w:left="57"/>
        <w:jc w:val="left"/>
        <w:shd w:val="clear" w:fill="F2F2F2"/>
      </w:pPr>
      <w:r>
        <w:rPr>
          <w:rFonts w:ascii="Consolas" w:hAnsi="Consolas" w:cs="Consolas"/>
          <w:b w:val="0"/>
          <w:i w:val="0"/>
          <w:sz w:val="15"/>
        </w:rPr>
        <w:t>CREATE TABLE broker_liability_insurance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broker_gtid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insurer TEXT NOT NULL,</w:t>
      </w:r>
    </w:p>
    <w:p>
      <w:pPr>
        <w:spacing w:after="0" w:before="0" w:line="240" w:lineRule="auto"/>
        <w:ind w:left="57"/>
        <w:jc w:val="left"/>
        <w:shd w:val="clear" w:fill="F2F2F2"/>
      </w:pPr>
      <w:r>
        <w:rPr>
          <w:rFonts w:ascii="Consolas" w:hAnsi="Consolas" w:cs="Consolas"/>
          <w:b w:val="0"/>
          <w:i w:val="0"/>
          <w:sz w:val="15"/>
        </w:rPr>
        <w:t xml:space="preserve">    policy_number TEXT NOT NULL,</w:t>
      </w:r>
    </w:p>
    <w:p>
      <w:pPr>
        <w:spacing w:after="0" w:before="0" w:line="240" w:lineRule="auto"/>
        <w:ind w:left="57"/>
        <w:jc w:val="left"/>
        <w:shd w:val="clear" w:fill="F2F2F2"/>
      </w:pPr>
      <w:r>
        <w:rPr>
          <w:rFonts w:ascii="Consolas" w:hAnsi="Consolas" w:cs="Consolas"/>
          <w:b w:val="0"/>
          <w:i w:val="0"/>
          <w:sz w:val="15"/>
        </w:rPr>
        <w:t xml:space="preserve">    coverage_amount DECIMAL(20,4) NOT NULL,</w:t>
      </w:r>
    </w:p>
    <w:p>
      <w:pPr>
        <w:spacing w:after="0" w:before="0" w:line="240" w:lineRule="auto"/>
        <w:ind w:left="57"/>
        <w:jc w:val="left"/>
        <w:shd w:val="clear" w:fill="F2F2F2"/>
      </w:pPr>
      <w:r>
        <w:rPr>
          <w:rFonts w:ascii="Consolas" w:hAnsi="Consolas" w:cs="Consolas"/>
          <w:b w:val="0"/>
          <w:i w:val="0"/>
          <w:sz w:val="15"/>
        </w:rPr>
        <w:t xml:space="preserve">    currency TEXT DEFAULT 'EGP',</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certificate_url TEXT,</w:t>
      </w:r>
    </w:p>
    <w:p>
      <w:pPr>
        <w:spacing w:after="0" w:before="0" w:line="240" w:lineRule="auto"/>
        <w:ind w:left="57"/>
        <w:jc w:val="left"/>
        <w:shd w:val="clear" w:fill="F2F2F2"/>
      </w:pPr>
      <w:r>
        <w:rPr>
          <w:rFonts w:ascii="Consolas" w:hAnsi="Consolas" w:cs="Consolas"/>
          <w:b w:val="0"/>
          <w:i w:val="0"/>
          <w:sz w:val="15"/>
        </w:rPr>
        <w:t xml:space="preserve">    verified BOOLEAN DEFAULT false,</w:t>
      </w:r>
    </w:p>
    <w:p>
      <w:pPr>
        <w:spacing w:after="0" w:before="0" w:line="240" w:lineRule="auto"/>
        <w:ind w:left="57"/>
        <w:jc w:val="left"/>
        <w:shd w:val="clear" w:fill="F2F2F2"/>
      </w:pPr>
      <w:r>
        <w:rPr>
          <w:rFonts w:ascii="Consolas" w:hAnsi="Consolas" w:cs="Consolas"/>
          <w:b w:val="0"/>
          <w:i w:val="0"/>
          <w:sz w:val="15"/>
        </w:rPr>
        <w:t xml:space="preserve">    verified_at TIMESTAMPTZ,</w:t>
      </w:r>
    </w:p>
    <w:p>
      <w:pPr>
        <w:spacing w:after="0" w:before="0" w:line="240" w:lineRule="auto"/>
        <w:ind w:left="57"/>
        <w:jc w:val="left"/>
        <w:shd w:val="clear" w:fill="F2F2F2"/>
      </w:pPr>
      <w:r>
        <w:rPr>
          <w:rFonts w:ascii="Consolas" w:hAnsi="Consolas" w:cs="Consolas"/>
          <w:b w:val="0"/>
          <w:i w:val="0"/>
          <w:sz w:val="15"/>
        </w:rPr>
        <w:t xml:space="preserve">    status TEXT DEFAULT 'ACTIVE',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Broker declaration errors</w:t>
      </w:r>
    </w:p>
    <w:p>
      <w:pPr>
        <w:spacing w:after="0" w:before="0" w:line="240" w:lineRule="auto"/>
        <w:ind w:left="57"/>
        <w:jc w:val="left"/>
        <w:shd w:val="clear" w:fill="F2F2F2"/>
      </w:pPr>
      <w:r>
        <w:rPr>
          <w:rFonts w:ascii="Consolas" w:hAnsi="Consolas" w:cs="Consolas"/>
          <w:b w:val="0"/>
          <w:i w:val="0"/>
          <w:sz w:val="15"/>
        </w:rPr>
        <w:t>CREATE TABLE broker_declaration_errors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broker_gtid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error_type TEXT NOT NULL,</w:t>
      </w:r>
    </w:p>
    <w:p>
      <w:pPr>
        <w:spacing w:after="0" w:before="0" w:line="240" w:lineRule="auto"/>
        <w:ind w:left="57"/>
        <w:jc w:val="left"/>
        <w:shd w:val="clear" w:fill="F2F2F2"/>
      </w:pPr>
      <w:r>
        <w:rPr>
          <w:rFonts w:ascii="Consolas" w:hAnsi="Consolas" w:cs="Consolas"/>
          <w:b w:val="0"/>
          <w:i w:val="0"/>
          <w:sz w:val="15"/>
        </w:rPr>
        <w:t xml:space="preserve">    error_description TEXT,</w:t>
      </w:r>
    </w:p>
    <w:p>
      <w:pPr>
        <w:spacing w:after="0" w:before="0" w:line="240" w:lineRule="auto"/>
        <w:ind w:left="57"/>
        <w:jc w:val="left"/>
        <w:shd w:val="clear" w:fill="F2F2F2"/>
      </w:pPr>
      <w:r>
        <w:rPr>
          <w:rFonts w:ascii="Consolas" w:hAnsi="Consolas" w:cs="Consolas"/>
          <w:b w:val="0"/>
          <w:i w:val="0"/>
          <w:sz w:val="15"/>
        </w:rPr>
        <w:t xml:space="preserve">    penalty_amount DECIMAL(20,4),</w:t>
      </w:r>
    </w:p>
    <w:p>
      <w:pPr>
        <w:spacing w:after="0" w:before="0" w:line="240" w:lineRule="auto"/>
        <w:ind w:left="57"/>
        <w:jc w:val="left"/>
        <w:shd w:val="clear" w:fill="F2F2F2"/>
      </w:pPr>
      <w:r>
        <w:rPr>
          <w:rFonts w:ascii="Consolas" w:hAnsi="Consolas" w:cs="Consolas"/>
          <w:b w:val="0"/>
          <w:i w:val="0"/>
          <w:sz w:val="15"/>
        </w:rPr>
        <w:t xml:space="preserve">    currency TEXT DEFAULT 'EGP',</w:t>
      </w:r>
    </w:p>
    <w:p>
      <w:pPr>
        <w:spacing w:after="0" w:before="0" w:line="240" w:lineRule="auto"/>
        <w:ind w:left="57"/>
        <w:jc w:val="left"/>
        <w:shd w:val="clear" w:fill="F2F2F2"/>
      </w:pPr>
      <w:r>
        <w:rPr>
          <w:rFonts w:ascii="Consolas" w:hAnsi="Consolas" w:cs="Consolas"/>
          <w:b w:val="0"/>
          <w:i w:val="0"/>
          <w:sz w:val="15"/>
        </w:rPr>
        <w:t xml:space="preserve">    resolved BOOLEAN DEFAULT false,</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Broker performance metrics</w:t>
      </w:r>
    </w:p>
    <w:p>
      <w:pPr>
        <w:spacing w:after="0" w:before="0" w:line="240" w:lineRule="auto"/>
        <w:ind w:left="57"/>
        <w:jc w:val="left"/>
        <w:shd w:val="clear" w:fill="F2F2F2"/>
      </w:pPr>
      <w:r>
        <w:rPr>
          <w:rFonts w:ascii="Consolas" w:hAnsi="Consolas" w:cs="Consolas"/>
          <w:b w:val="0"/>
          <w:i w:val="0"/>
          <w:sz w:val="15"/>
        </w:rPr>
        <w:t>CREATE TABLE broker_performance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broker_gtid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total_declarations INTEGER DEFAULT 0,</w:t>
      </w:r>
    </w:p>
    <w:p>
      <w:pPr>
        <w:spacing w:after="0" w:before="0" w:line="240" w:lineRule="auto"/>
        <w:ind w:left="57"/>
        <w:jc w:val="left"/>
        <w:shd w:val="clear" w:fill="F2F2F2"/>
      </w:pPr>
      <w:r>
        <w:rPr>
          <w:rFonts w:ascii="Consolas" w:hAnsi="Consolas" w:cs="Consolas"/>
          <w:b w:val="0"/>
          <w:i w:val="0"/>
          <w:sz w:val="15"/>
        </w:rPr>
        <w:t xml:space="preserve">    accepted_declarations INTEGER DEFAULT 0,</w:t>
      </w:r>
    </w:p>
    <w:p>
      <w:pPr>
        <w:spacing w:after="0" w:before="0" w:line="240" w:lineRule="auto"/>
        <w:ind w:left="57"/>
        <w:jc w:val="left"/>
        <w:shd w:val="clear" w:fill="F2F2F2"/>
      </w:pPr>
      <w:r>
        <w:rPr>
          <w:rFonts w:ascii="Consolas" w:hAnsi="Consolas" w:cs="Consolas"/>
          <w:b w:val="0"/>
          <w:i w:val="0"/>
          <w:sz w:val="15"/>
        </w:rPr>
        <w:t xml:space="preserve">    rejected_declarations INTEGER DEFAULT 0,</w:t>
      </w:r>
    </w:p>
    <w:p>
      <w:pPr>
        <w:spacing w:after="0" w:before="0" w:line="240" w:lineRule="auto"/>
        <w:ind w:left="57"/>
        <w:jc w:val="left"/>
        <w:shd w:val="clear" w:fill="F2F2F2"/>
      </w:pPr>
      <w:r>
        <w:rPr>
          <w:rFonts w:ascii="Consolas" w:hAnsi="Consolas" w:cs="Consolas"/>
          <w:b w:val="0"/>
          <w:i w:val="0"/>
          <w:sz w:val="15"/>
        </w:rPr>
        <w:t xml:space="preserve">    error_rate DECIMAL(5,2),</w:t>
      </w:r>
    </w:p>
    <w:p>
      <w:pPr>
        <w:spacing w:after="0" w:before="0" w:line="240" w:lineRule="auto"/>
        <w:ind w:left="57"/>
        <w:jc w:val="left"/>
        <w:shd w:val="clear" w:fill="F2F2F2"/>
      </w:pPr>
      <w:r>
        <w:rPr>
          <w:rFonts w:ascii="Consolas" w:hAnsi="Consolas" w:cs="Consolas"/>
          <w:b w:val="0"/>
          <w:i w:val="0"/>
          <w:sz w:val="15"/>
        </w:rPr>
        <w:t xml:space="preserve">    average_processing_time_hours DECIMAL(5,2),</w:t>
      </w:r>
    </w:p>
    <w:p>
      <w:pPr>
        <w:spacing w:after="0" w:before="0" w:line="240" w:lineRule="auto"/>
        <w:ind w:left="57"/>
        <w:jc w:val="left"/>
        <w:shd w:val="clear" w:fill="F2F2F2"/>
      </w:pPr>
      <w:r>
        <w:rPr>
          <w:rFonts w:ascii="Consolas" w:hAnsi="Consolas" w:cs="Consolas"/>
          <w:b w:val="0"/>
          <w:i w:val="0"/>
          <w:sz w:val="15"/>
        </w:rPr>
        <w:t xml:space="preserve">    last_assessment TIMESTAMPTZ,</w:t>
      </w:r>
    </w:p>
    <w:p>
      <w:pPr>
        <w:spacing w:after="0" w:before="0" w:line="240" w:lineRule="auto"/>
        <w:ind w:left="57"/>
        <w:jc w:val="left"/>
        <w:shd w:val="clear" w:fill="F2F2F2"/>
      </w:pPr>
      <w:r>
        <w:rPr>
          <w:rFonts w:ascii="Consolas" w:hAnsi="Consolas" w:cs="Consolas"/>
          <w:b w:val="0"/>
          <w:i w:val="0"/>
          <w:sz w:val="15"/>
        </w:rPr>
        <w:t xml:space="preserve">    rating DECIMAL(3,2),</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idx_broker_liability_insurance_broker ON broker_liability_insurance(broker_gtid);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idx_broker_liability_insurance_valid_to ON broker_liability_insurance(valid_to);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idx_broker_declaration_errors_broker ON broker_declaration_errors(broker_gtid);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idx_broker_declaration_errors_ustn ON broker_declaration_errors(ustn);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idx_broker_performance_broker ON broker_performance(broker_gtid);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22.5.4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/v1/broker/insurance/add</w:t>
            </w:r>
          </w:p>
        </w:tc>
        <w:tc>
          <w:tcPr>
            <w:tcW w:type="dxa" w:w="3213"/>
          </w:tcPr>
          <w:p>
            <w:pPr>
              <w:spacing w:after="20" w:before="20" w:line="240" w:lineRule="auto"/>
            </w:pPr>
            <w:r/>
            <w:r>
              <w:rPr>
                <w:rFonts w:ascii="Arial" w:hAnsi="Arial" w:cs="Arial"/>
                <w:b w:val="0"/>
                <w:i w:val="0"/>
                <w:sz w:val="17"/>
              </w:rPr>
              <w:t>Add liability insurance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/v1/broker/insurance/status</w:t>
            </w:r>
          </w:p>
        </w:tc>
        <w:tc>
          <w:tcPr>
            <w:tcW w:type="dxa" w:w="3213"/>
          </w:tcPr>
          <w:p>
            <w:pPr>
              <w:spacing w:after="20" w:before="20" w:line="240" w:lineRule="auto"/>
            </w:pPr>
            <w:r/>
            <w:r>
              <w:rPr>
                <w:rFonts w:ascii="Arial" w:hAnsi="Arial" w:cs="Arial"/>
                <w:b w:val="0"/>
                <w:i w:val="0"/>
                <w:sz w:val="17"/>
              </w:rPr>
              <w:t>Get current insurance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/v1/broker/error/record</w:t>
            </w:r>
          </w:p>
        </w:tc>
        <w:tc>
          <w:tcPr>
            <w:tcW w:type="dxa" w:w="3213"/>
          </w:tcPr>
          <w:p>
            <w:pPr>
              <w:spacing w:after="20" w:before="20" w:line="240" w:lineRule="auto"/>
            </w:pPr>
            <w:r/>
            <w:r>
              <w:rPr>
                <w:rFonts w:ascii="Arial" w:hAnsi="Arial" w:cs="Arial"/>
                <w:b w:val="0"/>
                <w:i w:val="0"/>
                <w:sz w:val="17"/>
              </w:rPr>
              <w:t>Record declaration error</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/v1/broker/performance</w:t>
            </w:r>
          </w:p>
        </w:tc>
        <w:tc>
          <w:tcPr>
            <w:tcW w:type="dxa" w:w="3213"/>
          </w:tcPr>
          <w:p>
            <w:pPr>
              <w:spacing w:after="20" w:before="20" w:line="240" w:lineRule="auto"/>
            </w:pPr>
            <w:r/>
            <w:r>
              <w:rPr>
                <w:rFonts w:ascii="Arial" w:hAnsi="Arial" w:cs="Arial"/>
                <w:b w:val="0"/>
                <w:i w:val="0"/>
                <w:sz w:val="17"/>
              </w:rPr>
              <w:t>Get performance metrics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/v1/broker/insurance/renew</w:t>
            </w:r>
          </w:p>
        </w:tc>
        <w:tc>
          <w:tcPr>
            <w:tcW w:type="dxa" w:w="3213"/>
          </w:tcPr>
          <w:p>
            <w:pPr>
              <w:spacing w:after="20" w:before="20" w:line="240" w:lineRule="auto"/>
            </w:pPr>
            <w:r/>
            <w:r>
              <w:rPr>
                <w:rFonts w:ascii="Arial" w:hAnsi="Arial" w:cs="Arial"/>
                <w:b w:val="0"/>
                <w:i w:val="0"/>
                <w:sz w:val="17"/>
              </w:rPr>
              <w:t>Renew insurance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22.5.5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11 — customs broker portal (CBR)</w:t>
            </w:r>
          </w:p>
        </w:tc>
        <w:tc>
          <w:tcPr>
            <w:tcW w:type="dxa" w:w="4819"/>
          </w:tcPr>
          <w:p>
            <w:pPr>
              <w:spacing w:after="20" w:before="20" w:line="240" w:lineRule="auto"/>
            </w:pPr>
            <w:r/>
            <w:r>
              <w:rPr>
                <w:rFonts w:ascii="Arial" w:hAnsi="Arial" w:cs="Arial"/>
                <w:b w:val="0"/>
                <w:i w:val="0"/>
                <w:sz w:val="17"/>
              </w:rPr>
              <w:t>Insurance upload, error tracking</w:t>
            </w:r>
          </w:p>
        </w:tc>
      </w:tr>
      <w:tr>
        <w:tc>
          <w:tcPr>
            <w:tcW w:type="dxa" w:w="4819"/>
          </w:tcPr>
          <w:p>
            <w:pPr>
              <w:spacing w:after="20" w:before="20" w:line="240" w:lineRule="auto"/>
            </w:pPr>
            <w:r/>
            <w:r>
              <w:rPr>
                <w:rFonts w:ascii="Arial" w:hAnsi="Arial" w:cs="Arial"/>
                <w:b w:val="0"/>
                <w:i w:val="0"/>
                <w:sz w:val="17"/>
              </w:rPr>
              <w:t>Section 4 — onboarding</w:t>
            </w:r>
          </w:p>
        </w:tc>
        <w:tc>
          <w:tcPr>
            <w:tcW w:type="dxa" w:w="4819"/>
          </w:tcPr>
          <w:p>
            <w:pPr>
              <w:spacing w:after="20" w:before="20" w:line="240" w:lineRule="auto"/>
            </w:pPr>
            <w:r/>
            <w:r>
              <w:rPr>
                <w:rFonts w:ascii="Arial" w:hAnsi="Arial" w:cs="Arial"/>
                <w:b w:val="0"/>
                <w:i w:val="0"/>
                <w:sz w:val="17"/>
              </w:rPr>
              <w:t>Insurance upload during onboarding</w:t>
            </w:r>
          </w:p>
        </w:tc>
      </w:tr>
      <w:tr>
        <w:tc>
          <w:tcPr>
            <w:tcW w:type="dxa" w:w="4819"/>
          </w:tcPr>
          <w:p>
            <w:pPr>
              <w:spacing w:after="20" w:before="20" w:line="240" w:lineRule="auto"/>
            </w:pPr>
            <w:r/>
            <w:r>
              <w:rPr>
                <w:rFonts w:ascii="Arial" w:hAnsi="Arial" w:cs="Arial"/>
                <w:b w:val="0"/>
                <w:i w:val="0"/>
                <w:sz w:val="17"/>
              </w:rPr>
              <w:t>Section 8 — customs declaration</w:t>
            </w:r>
          </w:p>
        </w:tc>
        <w:tc>
          <w:tcPr>
            <w:tcW w:type="dxa" w:w="4819"/>
          </w:tcPr>
          <w:p>
            <w:pPr>
              <w:spacing w:after="20" w:before="20" w:line="240" w:lineRule="auto"/>
            </w:pPr>
            <w:r/>
            <w:r>
              <w:rPr>
                <w:rFonts w:ascii="Arial" w:hAnsi="Arial" w:cs="Arial"/>
                <w:b w:val="0"/>
                <w:i w:val="0"/>
                <w:sz w:val="17"/>
              </w:rPr>
              <w:t>Error logging on rejection</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Expiry alerts, error alerts</w:t>
            </w:r>
          </w:p>
        </w:tc>
      </w:tr>
      <w:tr>
        <w:tc>
          <w:tcPr>
            <w:tcW w:type="dxa" w:w="4819"/>
          </w:tcPr>
          <w:p>
            <w:pPr>
              <w:spacing w:after="20" w:before="20" w:line="240" w:lineRule="auto"/>
            </w:pPr>
            <w:r/>
            <w:r>
              <w:rPr>
                <w:rFonts w:ascii="Arial" w:hAnsi="Arial" w:cs="Arial"/>
                <w:b w:val="0"/>
                <w:i w:val="0"/>
                <w:sz w:val="17"/>
              </w:rPr>
              <w:t>Section 16 — Government Portal</w:t>
            </w:r>
          </w:p>
        </w:tc>
        <w:tc>
          <w:tcPr>
            <w:tcW w:type="dxa" w:w="4819"/>
          </w:tcPr>
          <w:p>
            <w:pPr>
              <w:spacing w:after="20" w:before="20" w:line="240" w:lineRule="auto"/>
            </w:pPr>
            <w:r/>
            <w:r>
              <w:rPr>
                <w:rFonts w:ascii="Arial" w:hAnsi="Arial" w:cs="Arial"/>
                <w:b w:val="0"/>
                <w:i w:val="0"/>
                <w:sz w:val="17"/>
              </w:rPr>
              <w:t>Broker performance view</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22.5.6 Implementation Checklist</w:t>
      </w:r>
    </w:p>
    <w:p>
      <w:pPr>
        <w:spacing w:after="80" w:line="293" w:lineRule="auto"/>
        <w:ind w:left="283"/>
        <w:jc w:val="left"/>
      </w:pPr>
      <w:r>
        <w:rPr>
          <w:rFonts w:ascii="Times New Roman" w:hAnsi="Times New Roman" w:cs="Times New Roman"/>
          <w:b w:val="0"/>
          <w:i w:val="0"/>
          <w:sz w:val="22"/>
        </w:rPr>
        <w:t>- Create the `broker_liability_insurance` table.</w:t>
      </w:r>
    </w:p>
    <w:p>
      <w:pPr>
        <w:spacing w:after="80" w:line="293" w:lineRule="auto"/>
        <w:ind w:left="283"/>
        <w:jc w:val="left"/>
      </w:pPr>
      <w:r>
        <w:rPr>
          <w:rFonts w:ascii="Times New Roman" w:hAnsi="Times New Roman" w:cs="Times New Roman"/>
          <w:b w:val="0"/>
          <w:i w:val="0"/>
          <w:sz w:val="22"/>
        </w:rPr>
        <w:t>- Create the `broker_declaration_errors` table.</w:t>
      </w:r>
    </w:p>
    <w:p>
      <w:pPr>
        <w:spacing w:after="80" w:line="293" w:lineRule="auto"/>
        <w:ind w:left="283"/>
        <w:jc w:val="left"/>
      </w:pPr>
      <w:r>
        <w:rPr>
          <w:rFonts w:ascii="Times New Roman" w:hAnsi="Times New Roman" w:cs="Times New Roman"/>
          <w:b w:val="0"/>
          <w:i w:val="0"/>
          <w:sz w:val="22"/>
        </w:rPr>
        <w:t>- Create the `broker_performance` table.</w:t>
      </w:r>
    </w:p>
    <w:p>
      <w:pPr>
        <w:spacing w:after="80" w:line="293" w:lineRule="auto"/>
        <w:ind w:left="283"/>
        <w:jc w:val="left"/>
      </w:pPr>
      <w:r>
        <w:rPr>
          <w:rFonts w:ascii="Times New Roman" w:hAnsi="Times New Roman" w:cs="Times New Roman"/>
          <w:b w:val="0"/>
          <w:i w:val="0"/>
          <w:sz w:val="22"/>
        </w:rPr>
        <w:t>- Implement insurance upload and verification.</w:t>
      </w:r>
    </w:p>
    <w:p>
      <w:pPr>
        <w:spacing w:after="80" w:line="293" w:lineRule="auto"/>
        <w:ind w:left="283"/>
        <w:jc w:val="left"/>
      </w:pPr>
      <w:r>
        <w:rPr>
          <w:rFonts w:ascii="Times New Roman" w:hAnsi="Times New Roman" w:cs="Times New Roman"/>
          <w:b w:val="0"/>
          <w:i w:val="0"/>
          <w:sz w:val="22"/>
        </w:rPr>
        <w:t>- Implement error logging on declaration rejection.</w:t>
      </w:r>
    </w:p>
    <w:p>
      <w:pPr>
        <w:spacing w:after="80" w:line="293" w:lineRule="auto"/>
        <w:ind w:left="283"/>
        <w:jc w:val="left"/>
      </w:pPr>
      <w:r>
        <w:rPr>
          <w:rFonts w:ascii="Times New Roman" w:hAnsi="Times New Roman" w:cs="Times New Roman"/>
          <w:b w:val="0"/>
          <w:i w:val="0"/>
          <w:sz w:val="22"/>
        </w:rPr>
        <w:t>- Implement performance metrics calculation.</w:t>
      </w:r>
    </w:p>
    <w:p>
      <w:pPr>
        <w:spacing w:after="80" w:line="293" w:lineRule="auto"/>
        <w:ind w:left="283"/>
        <w:jc w:val="left"/>
      </w:pPr>
      <w:r>
        <w:rPr>
          <w:rFonts w:ascii="Times New Roman" w:hAnsi="Times New Roman" w:cs="Times New Roman"/>
          <w:b w:val="0"/>
          <w:i w:val="0"/>
          <w:sz w:val="22"/>
        </w:rPr>
        <w:t>- Add Smart Inbox alerts for insurance expiry.</w:t>
      </w:r>
    </w:p>
    <w:p>
      <w:pPr>
        <w:spacing w:after="80" w:line="293" w:lineRule="auto"/>
        <w:ind w:left="283"/>
        <w:jc w:val="left"/>
      </w:pPr>
      <w:r>
        <w:rPr>
          <w:rFonts w:ascii="Times New Roman" w:hAnsi="Times New Roman" w:cs="Times New Roman"/>
          <w:b w:val="0"/>
          <w:i w:val="0"/>
          <w:sz w:val="22"/>
        </w:rPr>
        <w:t>- Add the Government Portal view for broker performance.</w:t>
      </w:r>
    </w:p>
    <w:p>
      <w:pPr>
        <w:keepNext/>
        <w:spacing w:before="240" w:after="100"/>
        <w:outlineLvl w:val="1"/>
      </w:pPr>
      <w:r>
        <w:rPr>
          <w:rFonts w:ascii="Arial" w:hAnsi="Arial" w:cs="Arial"/>
          <w:b/>
          <w:i w:val="0"/>
          <w:color w:val="2E528F"/>
          <w:sz w:val="26"/>
        </w:rPr>
        <w:t>22.6 Add-On 11: Customs Valuation Intelligence</w:t>
      </w:r>
    </w:p>
    <w:p>
      <w:pPr>
        <w:keepNext/>
        <w:spacing w:before="180" w:after="80"/>
        <w:outlineLvl w:val="2"/>
      </w:pPr>
      <w:r>
        <w:rPr>
          <w:rFonts w:ascii="Arial" w:hAnsi="Arial" w:cs="Arial"/>
          <w:b/>
          <w:i w:val="0"/>
          <w:color w:val="333333"/>
          <w:sz w:val="23"/>
        </w:rPr>
        <w:t>22.6.1 Purpose &amp; Design Philosophy</w:t>
      </w:r>
    </w:p>
    <w:p>
      <w:pPr>
        <w:spacing w:after="80" w:line="293" w:lineRule="auto"/>
        <w:jc w:val="left"/>
      </w:pPr>
      <w:r>
        <w:rPr>
          <w:rFonts w:ascii="Times New Roman" w:hAnsi="Times New Roman" w:cs="Times New Roman"/>
          <w:b w:val="0"/>
          <w:i w:val="0"/>
          <w:sz w:val="22"/>
        </w:rPr>
        <w:t>Provides AI-driven duty estimation and market-value comparison to help traders avoid customs disputes.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AI-driven — A2 (XGBoost) estimates duty and detects deviations.</w:t>
      </w:r>
    </w:p>
    <w:p>
      <w:pPr>
        <w:spacing w:after="80" w:line="293" w:lineRule="auto"/>
        <w:ind w:left="283"/>
        <w:jc w:val="left"/>
      </w:pPr>
      <w:r>
        <w:rPr>
          <w:rFonts w:ascii="Times New Roman" w:hAnsi="Times New Roman" w:cs="Times New Roman"/>
          <w:b w:val="0"/>
          <w:i w:val="0"/>
          <w:sz w:val="22"/>
        </w:rPr>
        <w:t>- Real-time comparison — declared value vs. market average.</w:t>
      </w:r>
    </w:p>
    <w:p>
      <w:pPr>
        <w:spacing w:after="80" w:line="293" w:lineRule="auto"/>
        <w:ind w:left="283"/>
        <w:jc w:val="left"/>
      </w:pPr>
      <w:r>
        <w:rPr>
          <w:rFonts w:ascii="Times New Roman" w:hAnsi="Times New Roman" w:cs="Times New Roman"/>
          <w:b w:val="0"/>
          <w:i w:val="0"/>
          <w:sz w:val="22"/>
        </w:rPr>
        <w:t>- Proactive alerts — warns when deviation exceeds 20%.</w:t>
      </w:r>
    </w:p>
    <w:p>
      <w:pPr>
        <w:spacing w:after="80" w:line="293" w:lineRule="auto"/>
        <w:ind w:left="283"/>
        <w:jc w:val="left"/>
      </w:pPr>
      <w:r>
        <w:rPr>
          <w:rFonts w:ascii="Times New Roman" w:hAnsi="Times New Roman" w:cs="Times New Roman"/>
          <w:b w:val="0"/>
          <w:i w:val="0"/>
          <w:sz w:val="22"/>
        </w:rPr>
        <w:t>- Dispute-ready — valuation history stored for audit defence.</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A2 (HF local → Ollama): duty estimation, market comparison.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22.6.2 AI-Driven Valuation (A2, XGBoost)</w:t>
      </w:r>
    </w:p>
    <w:p>
      <w:pPr>
        <w:spacing w:after="80" w:line="293" w:lineRule="auto"/>
        <w:jc w:val="left"/>
      </w:pPr>
      <w:r>
        <w:rPr>
          <w:rFonts w:ascii="Times New Roman" w:hAnsi="Times New Roman" w:cs="Times New Roman"/>
          <w:b w:val="0"/>
          <w:i w:val="0"/>
          <w:sz w:val="22"/>
        </w:rPr>
        <w:t>Input features: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Input</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Source</w:t>
            </w:r>
          </w:p>
        </w:tc>
      </w:tr>
      <w:tr>
        <w:tc>
          <w:tcPr>
            <w:tcW w:type="dxa" w:w="3213"/>
          </w:tcPr>
          <w:p>
            <w:pPr>
              <w:spacing w:after="20" w:before="20" w:line="240" w:lineRule="auto"/>
            </w:pPr>
            <w:r/>
            <w:r>
              <w:rPr>
                <w:rFonts w:ascii="Arial" w:hAnsi="Arial" w:cs="Arial"/>
                <w:b w:val="0"/>
                <w:i w:val="0"/>
                <w:sz w:val="17"/>
              </w:rPr>
              <w:t>HS Code</w:t>
            </w:r>
          </w:p>
        </w:tc>
        <w:tc>
          <w:tcPr>
            <w:tcW w:type="dxa" w:w="3213"/>
          </w:tcPr>
          <w:p>
            <w:pPr>
              <w:spacing w:after="20" w:before="20" w:line="240" w:lineRule="auto"/>
            </w:pPr>
            <w:r/>
            <w:r>
              <w:rPr>
                <w:rFonts w:ascii="Arial" w:hAnsi="Arial" w:cs="Arial"/>
                <w:b w:val="0"/>
                <w:i w:val="0"/>
                <w:sz w:val="17"/>
              </w:rPr>
              <w:t>Harmonized System code</w:t>
            </w:r>
          </w:p>
        </w:tc>
        <w:tc>
          <w:tcPr>
            <w:tcW w:type="dxa" w:w="3213"/>
          </w:tcPr>
          <w:p>
            <w:pPr>
              <w:spacing w:after="20" w:before="20" w:line="240" w:lineRule="auto"/>
            </w:pPr>
            <w:r/>
            <w:r>
              <w:rPr>
                <w:rFonts w:ascii="Arial" w:hAnsi="Arial" w:cs="Arial"/>
                <w:b w:val="0"/>
                <w:i w:val="0"/>
                <w:sz w:val="17"/>
              </w:rPr>
              <w:t>Trade request</w:t>
            </w:r>
          </w:p>
        </w:tc>
      </w:tr>
      <w:tr>
        <w:tc>
          <w:tcPr>
            <w:tcW w:type="dxa" w:w="3213"/>
          </w:tcPr>
          <w:p>
            <w:pPr>
              <w:spacing w:after="20" w:before="20" w:line="240" w:lineRule="auto"/>
            </w:pPr>
            <w:r/>
            <w:r>
              <w:rPr>
                <w:rFonts w:ascii="Arial" w:hAnsi="Arial" w:cs="Arial"/>
                <w:b w:val="0"/>
                <w:i w:val="0"/>
                <w:sz w:val="17"/>
              </w:rPr>
              <w:t>Origin Country</w:t>
            </w:r>
          </w:p>
        </w:tc>
        <w:tc>
          <w:tcPr>
            <w:tcW w:type="dxa" w:w="3213"/>
          </w:tcPr>
          <w:p>
            <w:pPr>
              <w:spacing w:after="20" w:before="20" w:line="240" w:lineRule="auto"/>
            </w:pPr>
            <w:r/>
            <w:r>
              <w:rPr>
                <w:rFonts w:ascii="Arial" w:hAnsi="Arial" w:cs="Arial"/>
                <w:b w:val="0"/>
                <w:i w:val="0"/>
                <w:sz w:val="17"/>
              </w:rPr>
              <w:t>Country of origin</w:t>
            </w:r>
          </w:p>
        </w:tc>
        <w:tc>
          <w:tcPr>
            <w:tcW w:type="dxa" w:w="3213"/>
          </w:tcPr>
          <w:p>
            <w:pPr>
              <w:spacing w:after="20" w:before="20" w:line="240" w:lineRule="auto"/>
            </w:pPr>
            <w:r/>
            <w:r>
              <w:rPr>
                <w:rFonts w:ascii="Arial" w:hAnsi="Arial" w:cs="Arial"/>
                <w:b w:val="0"/>
                <w:i w:val="0"/>
                <w:sz w:val="17"/>
              </w:rPr>
              <w:t>Trade request</w:t>
            </w:r>
          </w:p>
        </w:tc>
      </w:tr>
      <w:tr>
        <w:tc>
          <w:tcPr>
            <w:tcW w:type="dxa" w:w="3213"/>
          </w:tcPr>
          <w:p>
            <w:pPr>
              <w:spacing w:after="20" w:before="20" w:line="240" w:lineRule="auto"/>
            </w:pPr>
            <w:r/>
            <w:r>
              <w:rPr>
                <w:rFonts w:ascii="Arial" w:hAnsi="Arial" w:cs="Arial"/>
                <w:b w:val="0"/>
                <w:i w:val="0"/>
                <w:sz w:val="17"/>
              </w:rPr>
              <w:t>Destination Country</w:t>
            </w:r>
          </w:p>
        </w:tc>
        <w:tc>
          <w:tcPr>
            <w:tcW w:type="dxa" w:w="3213"/>
          </w:tcPr>
          <w:p>
            <w:pPr>
              <w:spacing w:after="20" w:before="20" w:line="240" w:lineRule="auto"/>
            </w:pPr>
            <w:r/>
            <w:r>
              <w:rPr>
                <w:rFonts w:ascii="Arial" w:hAnsi="Arial" w:cs="Arial"/>
                <w:b w:val="0"/>
                <w:i w:val="0"/>
                <w:sz w:val="17"/>
              </w:rPr>
              <w:t>Importing country</w:t>
            </w:r>
          </w:p>
        </w:tc>
        <w:tc>
          <w:tcPr>
            <w:tcW w:type="dxa" w:w="3213"/>
          </w:tcPr>
          <w:p>
            <w:pPr>
              <w:spacing w:after="20" w:before="20" w:line="240" w:lineRule="auto"/>
            </w:pPr>
            <w:r/>
            <w:r>
              <w:rPr>
                <w:rFonts w:ascii="Arial" w:hAnsi="Arial" w:cs="Arial"/>
                <w:b w:val="0"/>
                <w:i w:val="0"/>
                <w:sz w:val="17"/>
              </w:rPr>
              <w:t>Trade request</w:t>
            </w:r>
          </w:p>
        </w:tc>
      </w:tr>
      <w:tr>
        <w:tc>
          <w:tcPr>
            <w:tcW w:type="dxa" w:w="3213"/>
          </w:tcPr>
          <w:p>
            <w:pPr>
              <w:spacing w:after="20" w:before="20" w:line="240" w:lineRule="auto"/>
            </w:pPr>
            <w:r/>
            <w:r>
              <w:rPr>
                <w:rFonts w:ascii="Arial" w:hAnsi="Arial" w:cs="Arial"/>
                <w:b w:val="0"/>
                <w:i w:val="0"/>
                <w:sz w:val="17"/>
              </w:rPr>
              <w:t>Invoice Value</w:t>
            </w:r>
          </w:p>
        </w:tc>
        <w:tc>
          <w:tcPr>
            <w:tcW w:type="dxa" w:w="3213"/>
          </w:tcPr>
          <w:p>
            <w:pPr>
              <w:spacing w:after="20" w:before="20" w:line="240" w:lineRule="auto"/>
            </w:pPr>
            <w:r/>
            <w:r>
              <w:rPr>
                <w:rFonts w:ascii="Arial" w:hAnsi="Arial" w:cs="Arial"/>
                <w:b w:val="0"/>
                <w:i w:val="0"/>
                <w:sz w:val="17"/>
              </w:rPr>
              <w:t>Commercial value</w:t>
            </w:r>
          </w:p>
        </w:tc>
        <w:tc>
          <w:tcPr>
            <w:tcW w:type="dxa" w:w="3213"/>
          </w:tcPr>
          <w:p>
            <w:pPr>
              <w:spacing w:after="20" w:before="20" w:line="240" w:lineRule="auto"/>
            </w:pPr>
            <w:r/>
            <w:r>
              <w:rPr>
                <w:rFonts w:ascii="Arial" w:hAnsi="Arial" w:cs="Arial"/>
                <w:b w:val="0"/>
                <w:i w:val="0"/>
                <w:sz w:val="17"/>
              </w:rPr>
              <w:t>Trade request</w:t>
            </w:r>
          </w:p>
        </w:tc>
      </w:tr>
      <w:tr>
        <w:tc>
          <w:tcPr>
            <w:tcW w:type="dxa" w:w="3213"/>
          </w:tcPr>
          <w:p>
            <w:pPr>
              <w:spacing w:after="20" w:before="20" w:line="240" w:lineRule="auto"/>
            </w:pPr>
            <w:r/>
            <w:r>
              <w:rPr>
                <w:rFonts w:ascii="Arial" w:hAnsi="Arial" w:cs="Arial"/>
                <w:b w:val="0"/>
                <w:i w:val="0"/>
                <w:sz w:val="17"/>
              </w:rPr>
              <w:t>Market Price</w:t>
            </w:r>
          </w:p>
        </w:tc>
        <w:tc>
          <w:tcPr>
            <w:tcW w:type="dxa" w:w="3213"/>
          </w:tcPr>
          <w:p>
            <w:pPr>
              <w:spacing w:after="20" w:before="20" w:line="240" w:lineRule="auto"/>
            </w:pPr>
            <w:r/>
            <w:r>
              <w:rPr>
                <w:rFonts w:ascii="Arial" w:hAnsi="Arial" w:cs="Arial"/>
                <w:b w:val="0"/>
                <w:i w:val="0"/>
                <w:sz w:val="17"/>
              </w:rPr>
              <w:t>Current market price</w:t>
            </w:r>
          </w:p>
        </w:tc>
        <w:tc>
          <w:tcPr>
            <w:tcW w:type="dxa" w:w="3213"/>
          </w:tcPr>
          <w:p>
            <w:pPr>
              <w:spacing w:after="20" w:before="20" w:line="240" w:lineRule="auto"/>
            </w:pPr>
            <w:r/>
            <w:r>
              <w:rPr>
                <w:rFonts w:ascii="Arial" w:hAnsi="Arial" w:cs="Arial"/>
                <w:b w:val="0"/>
                <w:i w:val="0"/>
                <w:sz w:val="17"/>
              </w:rPr>
              <w:t>RIA / public data</w:t>
            </w:r>
          </w:p>
        </w:tc>
      </w:tr>
      <w:tr>
        <w:tc>
          <w:tcPr>
            <w:tcW w:type="dxa" w:w="3213"/>
          </w:tcPr>
          <w:p>
            <w:pPr>
              <w:spacing w:after="20" w:before="20" w:line="240" w:lineRule="auto"/>
            </w:pPr>
            <w:r/>
            <w:r>
              <w:rPr>
                <w:rFonts w:ascii="Arial" w:hAnsi="Arial" w:cs="Arial"/>
                <w:b w:val="0"/>
                <w:i w:val="0"/>
                <w:sz w:val="17"/>
              </w:rPr>
              <w:t>Commodity Type</w:t>
            </w:r>
          </w:p>
        </w:tc>
        <w:tc>
          <w:tcPr>
            <w:tcW w:type="dxa" w:w="3213"/>
          </w:tcPr>
          <w:p>
            <w:pPr>
              <w:spacing w:after="20" w:before="20" w:line="240" w:lineRule="auto"/>
            </w:pPr>
            <w:r/>
            <w:r>
              <w:rPr>
                <w:rFonts w:ascii="Arial" w:hAnsi="Arial" w:cs="Arial"/>
                <w:b w:val="0"/>
                <w:i w:val="0"/>
                <w:sz w:val="17"/>
              </w:rPr>
              <w:t>Category</w:t>
            </w:r>
          </w:p>
        </w:tc>
        <w:tc>
          <w:tcPr>
            <w:tcW w:type="dxa" w:w="3213"/>
          </w:tcPr>
          <w:p>
            <w:pPr>
              <w:spacing w:after="20" w:before="20" w:line="240" w:lineRule="auto"/>
            </w:pPr>
            <w:r/>
            <w:r>
              <w:rPr>
                <w:rFonts w:ascii="Arial" w:hAnsi="Arial" w:cs="Arial"/>
                <w:b w:val="0"/>
                <w:i w:val="0"/>
                <w:sz w:val="17"/>
              </w:rPr>
              <w:t>Trade request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Output example (normal):</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"estimated_duty": 1500.00,</w:t>
      </w:r>
    </w:p>
    <w:p>
      <w:pPr>
        <w:spacing w:after="0" w:before="0" w:line="240" w:lineRule="auto"/>
        <w:ind w:left="57"/>
        <w:jc w:val="left"/>
        <w:shd w:val="clear" w:fill="F2F2F2"/>
      </w:pPr>
      <w:r>
        <w:rPr>
          <w:rFonts w:ascii="Consolas" w:hAnsi="Consolas" w:cs="Consolas"/>
          <w:b w:val="0"/>
          <w:i w:val="0"/>
          <w:sz w:val="15"/>
        </w:rPr>
        <w:t xml:space="preserve">  "currency": "USD",</w:t>
      </w:r>
    </w:p>
    <w:p>
      <w:pPr>
        <w:spacing w:after="0" w:before="0" w:line="240" w:lineRule="auto"/>
        <w:ind w:left="57"/>
        <w:jc w:val="left"/>
        <w:shd w:val="clear" w:fill="F2F2F2"/>
      </w:pPr>
      <w:r>
        <w:rPr>
          <w:rFonts w:ascii="Consolas" w:hAnsi="Consolas" w:cs="Consolas"/>
          <w:b w:val="0"/>
          <w:i w:val="0"/>
          <w:sz w:val="15"/>
        </w:rPr>
        <w:t xml:space="preserve">  "confidence": 87,</w:t>
      </w:r>
    </w:p>
    <w:p>
      <w:pPr>
        <w:spacing w:after="0" w:before="0" w:line="240" w:lineRule="auto"/>
        <w:ind w:left="57"/>
        <w:jc w:val="left"/>
        <w:shd w:val="clear" w:fill="F2F2F2"/>
      </w:pPr>
      <w:r>
        <w:rPr>
          <w:rFonts w:ascii="Consolas" w:hAnsi="Consolas" w:cs="Consolas"/>
          <w:b w:val="0"/>
          <w:i w:val="0"/>
          <w:sz w:val="15"/>
        </w:rPr>
        <w:t xml:space="preserve">  "valuation_method": "TRANSACTION_VALUE",</w:t>
      </w:r>
    </w:p>
    <w:p>
      <w:pPr>
        <w:spacing w:after="0" w:before="0" w:line="240" w:lineRule="auto"/>
        <w:ind w:left="57"/>
        <w:jc w:val="left"/>
        <w:shd w:val="clear" w:fill="F2F2F2"/>
      </w:pPr>
      <w:r>
        <w:rPr>
          <w:rFonts w:ascii="Consolas" w:hAnsi="Consolas" w:cs="Consolas"/>
          <w:b w:val="0"/>
          <w:i w:val="0"/>
          <w:sz w:val="15"/>
        </w:rPr>
        <w:t xml:space="preserve">  "comparison": {</w:t>
      </w:r>
    </w:p>
    <w:p>
      <w:pPr>
        <w:spacing w:after="0" w:before="0" w:line="240" w:lineRule="auto"/>
        <w:ind w:left="57"/>
        <w:jc w:val="left"/>
        <w:shd w:val="clear" w:fill="F2F2F2"/>
      </w:pPr>
      <w:r>
        <w:rPr>
          <w:rFonts w:ascii="Consolas" w:hAnsi="Consolas" w:cs="Consolas"/>
          <w:b w:val="0"/>
          <w:i w:val="0"/>
          <w:sz w:val="15"/>
        </w:rPr>
        <w:t xml:space="preserve">    "market_average": 1450.00,</w:t>
      </w:r>
    </w:p>
    <w:p>
      <w:pPr>
        <w:spacing w:after="0" w:before="0" w:line="240" w:lineRule="auto"/>
        <w:ind w:left="57"/>
        <w:jc w:val="left"/>
        <w:shd w:val="clear" w:fill="F2F2F2"/>
      </w:pPr>
      <w:r>
        <w:rPr>
          <w:rFonts w:ascii="Consolas" w:hAnsi="Consolas" w:cs="Consolas"/>
          <w:b w:val="0"/>
          <w:i w:val="0"/>
          <w:sz w:val="15"/>
        </w:rPr>
        <w:t xml:space="preserve">    "deviation": 3.4,</w:t>
      </w:r>
    </w:p>
    <w:p>
      <w:pPr>
        <w:spacing w:after="0" w:before="0" w:line="240" w:lineRule="auto"/>
        <w:ind w:left="57"/>
        <w:jc w:val="left"/>
        <w:shd w:val="clear" w:fill="F2F2F2"/>
      </w:pPr>
      <w:r>
        <w:rPr>
          <w:rFonts w:ascii="Consolas" w:hAnsi="Consolas" w:cs="Consolas"/>
          <w:b w:val="0"/>
          <w:i w:val="0"/>
          <w:sz w:val="15"/>
        </w:rPr>
        <w:t xml:space="preserve">    "market_data_confidence": 92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"explanation": "Duty estimated at USD 1,500 (15% of declared value). This is within 5% of market average."</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Output example (high deviation alert):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"estimated_duty": 1500.00,</w:t>
      </w:r>
    </w:p>
    <w:p>
      <w:pPr>
        <w:spacing w:after="0" w:before="0" w:line="240" w:lineRule="auto"/>
        <w:ind w:left="57"/>
        <w:jc w:val="left"/>
        <w:shd w:val="clear" w:fill="F2F2F2"/>
      </w:pPr>
      <w:r>
        <w:rPr>
          <w:rFonts w:ascii="Consolas" w:hAnsi="Consolas" w:cs="Consolas"/>
          <w:b w:val="0"/>
          <w:i w:val="0"/>
          <w:sz w:val="15"/>
        </w:rPr>
        <w:t xml:space="preserve">  "declared_value": 20000.00,</w:t>
      </w:r>
    </w:p>
    <w:p>
      <w:pPr>
        <w:spacing w:after="0" w:before="0" w:line="240" w:lineRule="auto"/>
        <w:ind w:left="57"/>
        <w:jc w:val="left"/>
        <w:shd w:val="clear" w:fill="F2F2F2"/>
      </w:pPr>
      <w:r>
        <w:rPr>
          <w:rFonts w:ascii="Consolas" w:hAnsi="Consolas" w:cs="Consolas"/>
          <w:b w:val="0"/>
          <w:i w:val="0"/>
          <w:sz w:val="15"/>
        </w:rPr>
        <w:t xml:space="preserve">  "market_average": 25000.00,</w:t>
      </w:r>
    </w:p>
    <w:p>
      <w:pPr>
        <w:spacing w:after="0" w:before="0" w:line="240" w:lineRule="auto"/>
        <w:ind w:left="57"/>
        <w:jc w:val="left"/>
        <w:shd w:val="clear" w:fill="F2F2F2"/>
      </w:pPr>
      <w:r>
        <w:rPr>
          <w:rFonts w:ascii="Consolas" w:hAnsi="Consolas" w:cs="Consolas"/>
          <w:b w:val="0"/>
          <w:i w:val="0"/>
          <w:sz w:val="15"/>
        </w:rPr>
        <w:t xml:space="preserve">  "deviation": -20.0,</w:t>
      </w:r>
    </w:p>
    <w:p>
      <w:pPr>
        <w:spacing w:after="0" w:before="0" w:line="240" w:lineRule="auto"/>
        <w:ind w:left="57"/>
        <w:jc w:val="left"/>
        <w:shd w:val="clear" w:fill="F2F2F2"/>
      </w:pPr>
      <w:r>
        <w:rPr>
          <w:rFonts w:ascii="Consolas" w:hAnsi="Consolas" w:cs="Consolas"/>
          <w:b w:val="0"/>
          <w:i w:val="0"/>
          <w:sz w:val="15"/>
        </w:rPr>
        <w:t xml:space="preserve">  "alert": {</w:t>
      </w:r>
    </w:p>
    <w:p>
      <w:pPr>
        <w:spacing w:after="0" w:before="0" w:line="240" w:lineRule="auto"/>
        <w:ind w:left="57"/>
        <w:jc w:val="left"/>
        <w:shd w:val="clear" w:fill="F2F2F2"/>
      </w:pPr>
      <w:r>
        <w:rPr>
          <w:rFonts w:ascii="Consolas" w:hAnsi="Consolas" w:cs="Consolas"/>
          <w:b w:val="0"/>
          <w:i w:val="0"/>
          <w:sz w:val="15"/>
        </w:rPr>
        <w:t xml:space="preserve">    "type": "VALUATION_UNDER_DECLARED",</w:t>
      </w:r>
    </w:p>
    <w:p>
      <w:pPr>
        <w:spacing w:after="0" w:before="0" w:line="240" w:lineRule="auto"/>
        <w:ind w:left="57"/>
        <w:jc w:val="left"/>
        <w:shd w:val="clear" w:fill="F2F2F2"/>
      </w:pPr>
      <w:r>
        <w:rPr>
          <w:rFonts w:ascii="Consolas" w:hAnsi="Consolas" w:cs="Consolas"/>
          <w:b w:val="0"/>
          <w:i w:val="0"/>
          <w:sz w:val="15"/>
        </w:rPr>
        <w:t xml:space="preserve">    "severity": "WARNING",</w:t>
      </w:r>
    </w:p>
    <w:p>
      <w:pPr>
        <w:spacing w:after="0" w:before="0" w:line="240" w:lineRule="auto"/>
        <w:ind w:left="57"/>
        <w:jc w:val="left"/>
        <w:shd w:val="clear" w:fill="F2F2F2"/>
      </w:pPr>
      <w:r>
        <w:rPr>
          <w:rFonts w:ascii="Consolas" w:hAnsi="Consolas" w:cs="Consolas"/>
          <w:b w:val="0"/>
          <w:i w:val="0"/>
          <w:sz w:val="15"/>
        </w:rPr>
        <w:t xml:space="preserve">    "message": "Declared value (USD 20,000) is 20% below market average (USD 25,000).",</w:t>
      </w:r>
    </w:p>
    <w:p>
      <w:pPr>
        <w:spacing w:after="0" w:before="0" w:line="240" w:lineRule="auto"/>
        <w:ind w:left="57"/>
        <w:jc w:val="left"/>
        <w:shd w:val="clear" w:fill="F2F2F2"/>
      </w:pPr>
      <w:r>
        <w:rPr>
          <w:rFonts w:ascii="Consolas" w:hAnsi="Consolas" w:cs="Consolas"/>
          <w:b w:val="0"/>
          <w:i w:val="0"/>
          <w:sz w:val="15"/>
        </w:rPr>
        <w:t xml:space="preserve">    "recommendation": "Consider reviewing valuation. Risk of customs reassessment."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22.6.3 Database Schema</w:t>
      </w:r>
    </w:p>
    <w:p>
      <w:pPr>
        <w:spacing w:after="0" w:before="0" w:line="240" w:lineRule="auto"/>
        <w:ind w:left="57"/>
        <w:jc w:val="left"/>
        <w:shd w:val="clear" w:fill="F2F2F2"/>
      </w:pPr>
      <w:r>
        <w:rPr>
          <w:rFonts w:ascii="Consolas" w:hAnsi="Consolas" w:cs="Consolas"/>
          <w:b w:val="0"/>
          <w:i w:val="0"/>
          <w:sz w:val="15"/>
        </w:rPr>
        <w:t>-- Customs valuations</w:t>
      </w:r>
    </w:p>
    <w:p>
      <w:pPr>
        <w:spacing w:after="0" w:before="0" w:line="240" w:lineRule="auto"/>
        <w:ind w:left="57"/>
        <w:jc w:val="left"/>
        <w:shd w:val="clear" w:fill="F2F2F2"/>
      </w:pPr>
      <w:r>
        <w:rPr>
          <w:rFonts w:ascii="Consolas" w:hAnsi="Consolas" w:cs="Consolas"/>
          <w:b w:val="0"/>
          <w:i w:val="0"/>
          <w:sz w:val="15"/>
        </w:rPr>
        <w:t>CREATE TABLE customs_valuations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hs_code CHAR(6) NOT NULL,</w:t>
      </w:r>
    </w:p>
    <w:p>
      <w:pPr>
        <w:spacing w:after="0" w:before="0" w:line="240" w:lineRule="auto"/>
        <w:ind w:left="57"/>
        <w:jc w:val="left"/>
        <w:shd w:val="clear" w:fill="F2F2F2"/>
      </w:pPr>
      <w:r>
        <w:rPr>
          <w:rFonts w:ascii="Consolas" w:hAnsi="Consolas" w:cs="Consolas"/>
          <w:b w:val="0"/>
          <w:i w:val="0"/>
          <w:sz w:val="15"/>
        </w:rPr>
        <w:t xml:space="preserve">    origin_country CHAR(2) NOT NULL,</w:t>
      </w:r>
    </w:p>
    <w:p>
      <w:pPr>
        <w:spacing w:after="0" w:before="0" w:line="240" w:lineRule="auto"/>
        <w:ind w:left="57"/>
        <w:jc w:val="left"/>
        <w:shd w:val="clear" w:fill="F2F2F2"/>
      </w:pPr>
      <w:r>
        <w:rPr>
          <w:rFonts w:ascii="Consolas" w:hAnsi="Consolas" w:cs="Consolas"/>
          <w:b w:val="0"/>
          <w:i w:val="0"/>
          <w:sz w:val="15"/>
        </w:rPr>
        <w:t xml:space="preserve">    destination_country CHAR(2) NOT NULL,</w:t>
      </w:r>
    </w:p>
    <w:p>
      <w:pPr>
        <w:spacing w:after="0" w:before="0" w:line="240" w:lineRule="auto"/>
        <w:ind w:left="57"/>
        <w:jc w:val="left"/>
        <w:shd w:val="clear" w:fill="F2F2F2"/>
      </w:pPr>
      <w:r>
        <w:rPr>
          <w:rFonts w:ascii="Consolas" w:hAnsi="Consolas" w:cs="Consolas"/>
          <w:b w:val="0"/>
          <w:i w:val="0"/>
          <w:sz w:val="15"/>
        </w:rPr>
        <w:t xml:space="preserve">    declared_value DECIMAL(20,4) NOT NULL,</w:t>
      </w:r>
    </w:p>
    <w:p>
      <w:pPr>
        <w:spacing w:after="0" w:before="0" w:line="240" w:lineRule="auto"/>
        <w:ind w:left="57"/>
        <w:jc w:val="left"/>
        <w:shd w:val="clear" w:fill="F2F2F2"/>
      </w:pPr>
      <w:r>
        <w:rPr>
          <w:rFonts w:ascii="Consolas" w:hAnsi="Consolas" w:cs="Consolas"/>
          <w:b w:val="0"/>
          <w:i w:val="0"/>
          <w:sz w:val="15"/>
        </w:rPr>
        <w:t xml:space="preserve">    estimated_duty DECIMAL(20,4) NOT NULL,</w:t>
      </w:r>
    </w:p>
    <w:p>
      <w:pPr>
        <w:spacing w:after="0" w:before="0" w:line="240" w:lineRule="auto"/>
        <w:ind w:left="57"/>
        <w:jc w:val="left"/>
        <w:shd w:val="clear" w:fill="F2F2F2"/>
      </w:pPr>
      <w:r>
        <w:rPr>
          <w:rFonts w:ascii="Consolas" w:hAnsi="Consolas" w:cs="Consolas"/>
          <w:b w:val="0"/>
          <w:i w:val="0"/>
          <w:sz w:val="15"/>
        </w:rPr>
        <w:t xml:space="preserve">    market_average DECIMAL(20,4),</w:t>
      </w:r>
    </w:p>
    <w:p>
      <w:pPr>
        <w:spacing w:after="0" w:before="0" w:line="240" w:lineRule="auto"/>
        <w:ind w:left="57"/>
        <w:jc w:val="left"/>
        <w:shd w:val="clear" w:fill="F2F2F2"/>
      </w:pPr>
      <w:r>
        <w:rPr>
          <w:rFonts w:ascii="Consolas" w:hAnsi="Consolas" w:cs="Consolas"/>
          <w:b w:val="0"/>
          <w:i w:val="0"/>
          <w:sz w:val="15"/>
        </w:rPr>
        <w:t xml:space="preserve">    deviation_percentage DECIMAL(5,2),</w:t>
      </w:r>
    </w:p>
    <w:p>
      <w:pPr>
        <w:spacing w:after="0" w:before="0" w:line="240" w:lineRule="auto"/>
        <w:ind w:left="57"/>
        <w:jc w:val="left"/>
        <w:shd w:val="clear" w:fill="F2F2F2"/>
      </w:pPr>
      <w:r>
        <w:rPr>
          <w:rFonts w:ascii="Consolas" w:hAnsi="Consolas" w:cs="Consolas"/>
          <w:b w:val="0"/>
          <w:i w:val="0"/>
          <w:sz w:val="15"/>
        </w:rPr>
        <w:t xml:space="preserve">    valuation_method TEXT,</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alert_type TEXT,</w:t>
      </w:r>
    </w:p>
    <w:p>
      <w:pPr>
        <w:spacing w:after="0" w:before="0" w:line="240" w:lineRule="auto"/>
        <w:ind w:left="57"/>
        <w:jc w:val="left"/>
        <w:shd w:val="clear" w:fill="F2F2F2"/>
      </w:pPr>
      <w:r>
        <w:rPr>
          <w:rFonts w:ascii="Consolas" w:hAnsi="Consolas" w:cs="Consolas"/>
          <w:b w:val="0"/>
          <w:i w:val="0"/>
          <w:sz w:val="15"/>
        </w:rPr>
        <w:t xml:space="preserve">    alert_severity TEXT,</w:t>
      </w:r>
    </w:p>
    <w:p>
      <w:pPr>
        <w:spacing w:after="0" w:before="0" w:line="240" w:lineRule="auto"/>
        <w:ind w:left="57"/>
        <w:jc w:val="left"/>
        <w:shd w:val="clear" w:fill="F2F2F2"/>
      </w:pPr>
      <w:r>
        <w:rPr>
          <w:rFonts w:ascii="Consolas" w:hAnsi="Consolas" w:cs="Consolas"/>
          <w:b w:val="0"/>
          <w:i w:val="0"/>
          <w:sz w:val="15"/>
        </w:rPr>
        <w:t xml:space="preserve">    alert_message TEXT,</w:t>
      </w:r>
    </w:p>
    <w:p>
      <w:pPr>
        <w:spacing w:after="0" w:before="0" w:line="240" w:lineRule="auto"/>
        <w:ind w:left="57"/>
        <w:jc w:val="left"/>
        <w:shd w:val="clear" w:fill="F2F2F2"/>
      </w:pPr>
      <w:r>
        <w:rPr>
          <w:rFonts w:ascii="Consolas" w:hAnsi="Consolas" w:cs="Consolas"/>
          <w:b w:val="0"/>
          <w:i w:val="0"/>
          <w:sz w:val="15"/>
        </w:rPr>
        <w:t xml:space="preserve">    recommendation TEXT,</w:t>
      </w:r>
    </w:p>
    <w:p>
      <w:pPr>
        <w:spacing w:after="0" w:before="0" w:line="240" w:lineRule="auto"/>
        <w:ind w:left="57"/>
        <w:jc w:val="left"/>
        <w:shd w:val="clear" w:fill="F2F2F2"/>
      </w:pPr>
      <w:r>
        <w:rPr>
          <w:rFonts w:ascii="Consolas" w:hAnsi="Consolas" w:cs="Consolas"/>
          <w:b w:val="0"/>
          <w:i w:val="0"/>
          <w:sz w:val="15"/>
        </w:rPr>
        <w:t xml:space="preserve">    model_version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Valuation disputes</w:t>
      </w:r>
    </w:p>
    <w:p>
      <w:pPr>
        <w:spacing w:after="0" w:before="0" w:line="240" w:lineRule="auto"/>
        <w:ind w:left="57"/>
        <w:jc w:val="left"/>
        <w:shd w:val="clear" w:fill="F2F2F2"/>
      </w:pPr>
      <w:r>
        <w:rPr>
          <w:rFonts w:ascii="Consolas" w:hAnsi="Consolas" w:cs="Consolas"/>
          <w:b w:val="0"/>
          <w:i w:val="0"/>
          <w:sz w:val="15"/>
        </w:rPr>
        <w:t>CREATE TABLE valuation_disputes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declared_value DECIMAL(20,4) NOT NULL,</w:t>
      </w:r>
    </w:p>
    <w:p>
      <w:pPr>
        <w:spacing w:after="0" w:before="0" w:line="240" w:lineRule="auto"/>
        <w:ind w:left="57"/>
        <w:jc w:val="left"/>
        <w:shd w:val="clear" w:fill="F2F2F2"/>
      </w:pPr>
      <w:r>
        <w:rPr>
          <w:rFonts w:ascii="Consolas" w:hAnsi="Consolas" w:cs="Consolas"/>
          <w:b w:val="0"/>
          <w:i w:val="0"/>
          <w:sz w:val="15"/>
        </w:rPr>
        <w:t xml:space="preserve">    customs_reassessed_value DECIMAL(20,4),</w:t>
      </w:r>
    </w:p>
    <w:p>
      <w:pPr>
        <w:spacing w:after="0" w:before="0" w:line="240" w:lineRule="auto"/>
        <w:ind w:left="57"/>
        <w:jc w:val="left"/>
        <w:shd w:val="clear" w:fill="F2F2F2"/>
      </w:pPr>
      <w:r>
        <w:rPr>
          <w:rFonts w:ascii="Consolas" w:hAnsi="Consolas" w:cs="Consolas"/>
          <w:b w:val="0"/>
          <w:i w:val="0"/>
          <w:sz w:val="15"/>
        </w:rPr>
        <w:t xml:space="preserve">    dispute_reason TEXT NOT NULL,</w:t>
      </w:r>
    </w:p>
    <w:p>
      <w:pPr>
        <w:spacing w:after="0" w:before="0" w:line="240" w:lineRule="auto"/>
        <w:ind w:left="57"/>
        <w:jc w:val="left"/>
        <w:shd w:val="clear" w:fill="F2F2F2"/>
      </w:pPr>
      <w:r>
        <w:rPr>
          <w:rFonts w:ascii="Consolas" w:hAnsi="Consolas" w:cs="Consolas"/>
          <w:b w:val="0"/>
          <w:i w:val="0"/>
          <w:sz w:val="15"/>
        </w:rPr>
        <w:t xml:space="preserve">    evidence TEXT,</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idx_customs_valuations_ustn ON customs_valuations(ustn);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idx_customs_valuations_hs ON customs_valuations(hs_code);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idx_customs_valuations_alert ON customs_valuations(alert_type) WHERE alert_type IS NOT NULL;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idx_valuation_disputes_ustn ON valuation_disputes(ustn);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22.6.4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/v1/valuation/{ustn}</w:t>
            </w:r>
          </w:p>
        </w:tc>
        <w:tc>
          <w:tcPr>
            <w:tcW w:type="dxa" w:w="3213"/>
          </w:tcPr>
          <w:p>
            <w:pPr>
              <w:spacing w:after="20" w:before="20" w:line="240" w:lineRule="auto"/>
            </w:pPr>
            <w:r/>
            <w:r>
              <w:rPr>
                <w:rFonts w:ascii="Arial" w:hAnsi="Arial" w:cs="Arial"/>
                <w:b w:val="0"/>
                <w:i w:val="0"/>
                <w:sz w:val="17"/>
              </w:rPr>
              <w:t>Get valuation for USTN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/v1/valuation/estimate</w:t>
            </w:r>
          </w:p>
        </w:tc>
        <w:tc>
          <w:tcPr>
            <w:tcW w:type="dxa" w:w="3213"/>
          </w:tcPr>
          <w:p>
            <w:pPr>
              <w:spacing w:after="20" w:before="20" w:line="240" w:lineRule="auto"/>
            </w:pPr>
            <w:r/>
            <w:r>
              <w:rPr>
                <w:rFonts w:ascii="Arial" w:hAnsi="Arial" w:cs="Arial"/>
                <w:b w:val="0"/>
                <w:i w:val="0"/>
                <w:sz w:val="17"/>
              </w:rPr>
              <w:t>Estimate duty for a trade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/v1/valuation/dispute</w:t>
            </w:r>
          </w:p>
        </w:tc>
        <w:tc>
          <w:tcPr>
            <w:tcW w:type="dxa" w:w="3213"/>
          </w:tcPr>
          <w:p>
            <w:pPr>
              <w:spacing w:after="20" w:before="20" w:line="240" w:lineRule="auto"/>
            </w:pPr>
            <w:r/>
            <w:r>
              <w:rPr>
                <w:rFonts w:ascii="Arial" w:hAnsi="Arial" w:cs="Arial"/>
                <w:b w:val="0"/>
                <w:i w:val="0"/>
                <w:sz w:val="17"/>
              </w:rPr>
              <w:t>File valuation dispute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/v1/valuation/market/{hs_code}</w:t>
            </w:r>
          </w:p>
        </w:tc>
        <w:tc>
          <w:tcPr>
            <w:tcW w:type="dxa" w:w="3213"/>
          </w:tcPr>
          <w:p>
            <w:pPr>
              <w:spacing w:after="20" w:before="20" w:line="240" w:lineRule="auto"/>
            </w:pPr>
            <w:r/>
            <w:r>
              <w:rPr>
                <w:rFonts w:ascii="Arial" w:hAnsi="Arial" w:cs="Arial"/>
                <w:b w:val="0"/>
                <w:i w:val="0"/>
                <w:sz w:val="17"/>
              </w:rPr>
              <w:t>Get market data for HS code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22.6.5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15 — Governor pre-screen</w:t>
            </w:r>
          </w:p>
        </w:tc>
        <w:tc>
          <w:tcPr>
            <w:tcW w:type="dxa" w:w="4819"/>
          </w:tcPr>
          <w:p>
            <w:pPr>
              <w:spacing w:after="20" w:before="20" w:line="240" w:lineRule="auto"/>
            </w:pPr>
            <w:r/>
            <w:r>
              <w:rPr>
                <w:rFonts w:ascii="Arial" w:hAnsi="Arial" w:cs="Arial"/>
                <w:b w:val="0"/>
                <w:i w:val="0"/>
                <w:sz w:val="17"/>
              </w:rPr>
              <w:t>Add valuation gate: G1U35 – Valuation check</w:t>
            </w:r>
          </w:p>
        </w:tc>
      </w:tr>
      <w:tr>
        <w:tc>
          <w:tcPr>
            <w:tcW w:type="dxa" w:w="4819"/>
          </w:tcPr>
          <w:p>
            <w:pPr>
              <w:spacing w:after="20" w:before="20" w:line="240" w:lineRule="auto"/>
            </w:pPr>
            <w:r/>
            <w:r>
              <w:rPr>
                <w:rFonts w:ascii="Arial" w:hAnsi="Arial" w:cs="Arial"/>
                <w:b w:val="0"/>
                <w:i w:val="0"/>
                <w:sz w:val="17"/>
              </w:rPr>
              <w:t>Section 6 — Product Form Agent</w:t>
            </w:r>
          </w:p>
        </w:tc>
        <w:tc>
          <w:tcPr>
            <w:tcW w:type="dxa" w:w="4819"/>
          </w:tcPr>
          <w:p>
            <w:pPr>
              <w:spacing w:after="20" w:before="20" w:line="240" w:lineRule="auto"/>
            </w:pPr>
            <w:r/>
            <w:r>
              <w:rPr>
                <w:rFonts w:ascii="Arial" w:hAnsi="Arial" w:cs="Arial"/>
                <w:b w:val="0"/>
                <w:i w:val="0"/>
                <w:sz w:val="17"/>
              </w:rPr>
              <w:t>Market data for HS codes</w:t>
            </w:r>
          </w:p>
        </w:tc>
      </w:tr>
      <w:tr>
        <w:tc>
          <w:tcPr>
            <w:tcW w:type="dxa" w:w="4819"/>
          </w:tcPr>
          <w:p>
            <w:pPr>
              <w:spacing w:after="20" w:before="20" w:line="240" w:lineRule="auto"/>
            </w:pPr>
            <w:r/>
            <w:r>
              <w:rPr>
                <w:rFonts w:ascii="Arial" w:hAnsi="Arial" w:cs="Arial"/>
                <w:b w:val="0"/>
                <w:i w:val="0"/>
                <w:sz w:val="17"/>
              </w:rPr>
              <w:t>Section 14 — disputes</w:t>
            </w:r>
          </w:p>
        </w:tc>
        <w:tc>
          <w:tcPr>
            <w:tcW w:type="dxa" w:w="4819"/>
          </w:tcPr>
          <w:p>
            <w:pPr>
              <w:spacing w:after="20" w:before="20" w:line="240" w:lineRule="auto"/>
            </w:pPr>
            <w:r/>
            <w:r>
              <w:rPr>
                <w:rFonts w:ascii="Arial" w:hAnsi="Arial" w:cs="Arial"/>
                <w:b w:val="0"/>
                <w:i w:val="0"/>
                <w:sz w:val="17"/>
              </w:rPr>
              <w:t>Valuation dispute category</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Valuation alert display</w:t>
            </w:r>
          </w:p>
        </w:tc>
      </w:tr>
      <w:tr>
        <w:tc>
          <w:tcPr>
            <w:tcW w:type="dxa" w:w="4819"/>
          </w:tcPr>
          <w:p>
            <w:pPr>
              <w:spacing w:after="20" w:before="20" w:line="240" w:lineRule="auto"/>
            </w:pPr>
            <w:r/>
            <w:r>
              <w:rPr>
                <w:rFonts w:ascii="Arial" w:hAnsi="Arial" w:cs="Arial"/>
                <w:b w:val="0"/>
                <w:i w:val="0"/>
                <w:sz w:val="17"/>
              </w:rPr>
              <w:t>Section 17 — trade core tables</w:t>
            </w:r>
          </w:p>
        </w:tc>
        <w:tc>
          <w:tcPr>
            <w:tcW w:type="dxa" w:w="4819"/>
          </w:tcPr>
          <w:p>
            <w:pPr>
              <w:spacing w:after="20" w:before="20" w:line="240" w:lineRule="auto"/>
            </w:pPr>
            <w:r/>
            <w:r>
              <w:rPr>
                <w:rFonts w:ascii="Arial" w:hAnsi="Arial" w:cs="Arial"/>
                <w:b w:val="0"/>
                <w:i w:val="0"/>
                <w:sz w:val="17"/>
              </w:rPr>
              <w:t>Add valuation fields to `shipments`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22.6.6 Implementation Checklist</w:t>
      </w:r>
    </w:p>
    <w:p>
      <w:pPr>
        <w:spacing w:after="80" w:line="293" w:lineRule="auto"/>
        <w:ind w:left="283"/>
        <w:jc w:val="left"/>
      </w:pPr>
      <w:r>
        <w:rPr>
          <w:rFonts w:ascii="Times New Roman" w:hAnsi="Times New Roman" w:cs="Times New Roman"/>
          <w:b w:val="0"/>
          <w:i w:val="0"/>
          <w:sz w:val="22"/>
        </w:rPr>
        <w:t>- Create the `customs_valuations` table.</w:t>
      </w:r>
    </w:p>
    <w:p>
      <w:pPr>
        <w:spacing w:after="80" w:line="293" w:lineRule="auto"/>
        <w:ind w:left="283"/>
        <w:jc w:val="left"/>
      </w:pPr>
      <w:r>
        <w:rPr>
          <w:rFonts w:ascii="Times New Roman" w:hAnsi="Times New Roman" w:cs="Times New Roman"/>
          <w:b w:val="0"/>
          <w:i w:val="0"/>
          <w:sz w:val="22"/>
        </w:rPr>
        <w:t>- Create the `valuation_disputes` table.</w:t>
      </w:r>
    </w:p>
    <w:p>
      <w:pPr>
        <w:spacing w:after="80" w:line="293" w:lineRule="auto"/>
        <w:ind w:left="283"/>
        <w:jc w:val="left"/>
      </w:pPr>
      <w:r>
        <w:rPr>
          <w:rFonts w:ascii="Times New Roman" w:hAnsi="Times New Roman" w:cs="Times New Roman"/>
          <w:b w:val="0"/>
          <w:i w:val="0"/>
          <w:sz w:val="22"/>
        </w:rPr>
        <w:t>- Implement the A2 valuation model (XGBoost).</w:t>
      </w:r>
    </w:p>
    <w:p>
      <w:pPr>
        <w:spacing w:after="80" w:line="293" w:lineRule="auto"/>
        <w:ind w:left="283"/>
        <w:jc w:val="left"/>
      </w:pPr>
      <w:r>
        <w:rPr>
          <w:rFonts w:ascii="Times New Roman" w:hAnsi="Times New Roman" w:cs="Times New Roman"/>
          <w:b w:val="0"/>
          <w:i w:val="0"/>
          <w:sz w:val="22"/>
        </w:rPr>
        <w:t>- Implement market data integration (RIA).</w:t>
      </w:r>
    </w:p>
    <w:p>
      <w:pPr>
        <w:spacing w:after="80" w:line="293" w:lineRule="auto"/>
        <w:ind w:left="283"/>
        <w:jc w:val="left"/>
      </w:pPr>
      <w:r>
        <w:rPr>
          <w:rFonts w:ascii="Times New Roman" w:hAnsi="Times New Roman" w:cs="Times New Roman"/>
          <w:b w:val="0"/>
          <w:i w:val="0"/>
          <w:sz w:val="22"/>
        </w:rPr>
        <w:t>- Implement the valuation calculation endpoint.</w:t>
      </w:r>
    </w:p>
    <w:p>
      <w:pPr>
        <w:spacing w:after="80" w:line="293" w:lineRule="auto"/>
        <w:ind w:left="283"/>
        <w:jc w:val="left"/>
      </w:pPr>
      <w:r>
        <w:rPr>
          <w:rFonts w:ascii="Times New Roman" w:hAnsi="Times New Roman" w:cs="Times New Roman"/>
          <w:b w:val="0"/>
          <w:i w:val="0"/>
          <w:sz w:val="22"/>
        </w:rPr>
        <w:t>- Add the valuation alert to Smart Inbox.</w:t>
      </w:r>
    </w:p>
    <w:p>
      <w:pPr>
        <w:spacing w:after="80" w:line="293" w:lineRule="auto"/>
        <w:ind w:left="283"/>
        <w:jc w:val="left"/>
      </w:pPr>
      <w:r>
        <w:rPr>
          <w:rFonts w:ascii="Times New Roman" w:hAnsi="Times New Roman" w:cs="Times New Roman"/>
          <w:b w:val="0"/>
          <w:i w:val="0"/>
          <w:sz w:val="22"/>
        </w:rPr>
        <w:t>- Add the valuation dispute workflow (Section 14).</w:t>
      </w:r>
    </w:p>
    <w:p>
      <w:pPr>
        <w:keepNext/>
        <w:spacing w:before="240" w:after="100"/>
        <w:outlineLvl w:val="1"/>
      </w:pPr>
      <w:r>
        <w:rPr>
          <w:rFonts w:ascii="Arial" w:hAnsi="Arial" w:cs="Arial"/>
          <w:b/>
          <w:i w:val="0"/>
          <w:color w:val="2E528F"/>
          <w:sz w:val="26"/>
        </w:rPr>
        <w:t>22.7 Add-On 12: Cold Chain Quality Management</w:t>
      </w:r>
    </w:p>
    <w:p>
      <w:pPr>
        <w:keepNext/>
        <w:spacing w:before="180" w:after="80"/>
        <w:outlineLvl w:val="2"/>
      </w:pPr>
      <w:r>
        <w:rPr>
          <w:rFonts w:ascii="Arial" w:hAnsi="Arial" w:cs="Arial"/>
          <w:b/>
          <w:i w:val="0"/>
          <w:color w:val="333333"/>
          <w:sz w:val="23"/>
        </w:rPr>
        <w:t>22.7.1 Purpose &amp; Design Philosophy</w:t>
      </w:r>
    </w:p>
    <w:p>
      <w:pPr>
        <w:spacing w:after="80" w:line="293" w:lineRule="auto"/>
        <w:jc w:val="left"/>
      </w:pPr>
      <w:r>
        <w:rPr>
          <w:rFonts w:ascii="Times New Roman" w:hAnsi="Times New Roman" w:cs="Times New Roman"/>
          <w:b w:val="0"/>
          <w:i w:val="0"/>
          <w:sz w:val="22"/>
        </w:rPr>
        <w:t>Comprehensive temperature monitoring, pre-trip inspection (PTI) management, and EU-compliant logging for perishable goods.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EU RASFF compliant — continuous monitoring, 15-minute intervals, 5-year retention.</w:t>
      </w:r>
    </w:p>
    <w:p>
      <w:pPr>
        <w:spacing w:after="80" w:line="293" w:lineRule="auto"/>
        <w:ind w:left="283"/>
        <w:jc w:val="left"/>
      </w:pPr>
      <w:r>
        <w:rPr>
          <w:rFonts w:ascii="Times New Roman" w:hAnsi="Times New Roman" w:cs="Times New Roman"/>
          <w:b w:val="0"/>
          <w:i w:val="0"/>
          <w:sz w:val="22"/>
        </w:rPr>
        <w:t>- PTI management — pre-trip inspection certificate tracking.</w:t>
      </w:r>
    </w:p>
    <w:p>
      <w:pPr>
        <w:spacing w:after="80" w:line="293" w:lineRule="auto"/>
        <w:ind w:left="283"/>
        <w:jc w:val="left"/>
      </w:pPr>
      <w:r>
        <w:rPr>
          <w:rFonts w:ascii="Times New Roman" w:hAnsi="Times New Roman" w:cs="Times New Roman"/>
          <w:b w:val="0"/>
          <w:i w:val="0"/>
          <w:sz w:val="22"/>
        </w:rPr>
        <w:t>- Calibration tracking — data logger calibration certificates.</w:t>
      </w:r>
    </w:p>
    <w:p>
      <w:pPr>
        <w:spacing w:after="80" w:line="293" w:lineRule="auto"/>
        <w:ind w:left="283"/>
        <w:jc w:val="left"/>
      </w:pPr>
      <w:r>
        <w:rPr>
          <w:rFonts w:ascii="Times New Roman" w:hAnsi="Times New Roman" w:cs="Times New Roman"/>
          <w:b w:val="0"/>
          <w:i w:val="0"/>
          <w:sz w:val="22"/>
        </w:rPr>
        <w:t>- Anomaly detection — A2 (LSTM) predicts deviations.</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anomaly explanations.</w:t>
      </w:r>
    </w:p>
    <w:p>
      <w:pPr>
        <w:spacing w:after="80" w:line="293" w:lineRule="auto"/>
        <w:ind w:left="283"/>
        <w:jc w:val="left"/>
      </w:pPr>
      <w:r>
        <w:rPr>
          <w:rFonts w:ascii="Times New Roman" w:hAnsi="Times New Roman" w:cs="Times New Roman"/>
          <w:b w:val="0"/>
          <w:i w:val="0"/>
          <w:sz w:val="22"/>
        </w:rPr>
        <w:t>- A2 (HF local → Ollama): anomaly detection (LSTM), shelf-life prediction.</w:t>
      </w:r>
    </w:p>
    <w:p>
      <w:pPr>
        <w:spacing w:after="80" w:line="293" w:lineRule="auto"/>
        <w:ind w:left="283"/>
        <w:jc w:val="left"/>
      </w:pPr>
      <w:r>
        <w:rPr>
          <w:rFonts w:ascii="Times New Roman" w:hAnsi="Times New Roman" w:cs="Times New Roman"/>
          <w:b w:val="0"/>
          <w:i w:val="0"/>
          <w:sz w:val="22"/>
        </w:rPr>
        <w:t>- A4 (OPA + WasmEdge): enforcement.</w:t>
      </w:r>
    </w:p>
    <w:p>
      <w:pPr>
        <w:keepNext/>
        <w:spacing w:before="180" w:after="80"/>
        <w:outlineLvl w:val="2"/>
      </w:pPr>
      <w:r>
        <w:rPr>
          <w:rFonts w:ascii="Arial" w:hAnsi="Arial" w:cs="Arial"/>
          <w:b/>
          <w:i w:val="0"/>
          <w:color w:val="333333"/>
          <w:sz w:val="23"/>
        </w:rPr>
        <w:t>22.7.2 Cold Chain Specifications by Commodity</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Commodity</w:t>
            </w:r>
          </w:p>
        </w:tc>
        <w:tc>
          <w:tcPr>
            <w:tcW w:type="dxa" w:w="1928"/>
            <w:shd w:val="clear" w:fill="D9E2F3"/>
          </w:tcPr>
          <w:p>
            <w:pPr>
              <w:spacing w:after="20" w:before="20" w:line="240" w:lineRule="auto"/>
            </w:pPr>
            <w:r/>
            <w:r>
              <w:rPr>
                <w:rFonts w:ascii="Arial" w:hAnsi="Arial" w:cs="Arial"/>
                <w:b/>
                <w:i w:val="0"/>
                <w:sz w:val="18"/>
              </w:rPr>
              <w:t>Temperature Range</w:t>
            </w:r>
          </w:p>
        </w:tc>
        <w:tc>
          <w:tcPr>
            <w:tcW w:type="dxa" w:w="1928"/>
            <w:shd w:val="clear" w:fill="D9E2F3"/>
          </w:tcPr>
          <w:p>
            <w:pPr>
              <w:spacing w:after="20" w:before="20" w:line="240" w:lineRule="auto"/>
            </w:pPr>
            <w:r/>
            <w:r>
              <w:rPr>
                <w:rFonts w:ascii="Arial" w:hAnsi="Arial" w:cs="Arial"/>
                <w:b/>
                <w:i w:val="0"/>
                <w:sz w:val="18"/>
              </w:rPr>
              <w:t>Humidity</w:t>
            </w:r>
          </w:p>
        </w:tc>
        <w:tc>
          <w:tcPr>
            <w:tcW w:type="dxa" w:w="1928"/>
            <w:shd w:val="clear" w:fill="D9E2F3"/>
          </w:tcPr>
          <w:p>
            <w:pPr>
              <w:spacing w:after="20" w:before="20" w:line="240" w:lineRule="auto"/>
            </w:pPr>
            <w:r/>
            <w:r>
              <w:rPr>
                <w:rFonts w:ascii="Arial" w:hAnsi="Arial" w:cs="Arial"/>
                <w:b/>
                <w:i w:val="0"/>
                <w:sz w:val="18"/>
              </w:rPr>
              <w:t>Ventilation</w:t>
            </w:r>
          </w:p>
        </w:tc>
        <w:tc>
          <w:tcPr>
            <w:tcW w:type="dxa" w:w="1928"/>
            <w:shd w:val="clear" w:fill="D9E2F3"/>
          </w:tcPr>
          <w:p>
            <w:pPr>
              <w:spacing w:after="20" w:before="20" w:line="240" w:lineRule="auto"/>
            </w:pPr>
            <w:r/>
            <w:r>
              <w:rPr>
                <w:rFonts w:ascii="Arial" w:hAnsi="Arial" w:cs="Arial"/>
                <w:b/>
                <w:i w:val="0"/>
                <w:sz w:val="18"/>
              </w:rPr>
              <w:t>PTI Required</w:t>
            </w:r>
          </w:p>
        </w:tc>
      </w:tr>
      <w:tr>
        <w:tc>
          <w:tcPr>
            <w:tcW w:type="dxa" w:w="1928"/>
          </w:tcPr>
          <w:p>
            <w:pPr>
              <w:spacing w:after="20" w:before="20" w:line="240" w:lineRule="auto"/>
            </w:pPr>
            <w:r/>
            <w:r>
              <w:rPr>
                <w:rFonts w:ascii="Arial" w:hAnsi="Arial" w:cs="Arial"/>
                <w:b w:val="0"/>
                <w:i w:val="0"/>
                <w:sz w:val="17"/>
              </w:rPr>
              <w:t>Frozen Strawberries</w:t>
            </w:r>
          </w:p>
        </w:tc>
        <w:tc>
          <w:tcPr>
            <w:tcW w:type="dxa" w:w="1928"/>
          </w:tcPr>
          <w:p>
            <w:pPr>
              <w:spacing w:after="20" w:before="20" w:line="240" w:lineRule="auto"/>
            </w:pPr>
            <w:r/>
            <w:r>
              <w:rPr>
                <w:rFonts w:ascii="Arial" w:hAnsi="Arial" w:cs="Arial"/>
                <w:b w:val="0"/>
                <w:i w:val="0"/>
                <w:sz w:val="17"/>
              </w:rPr>
              <w:t>-18°C to -20°C</w:t>
            </w:r>
          </w:p>
        </w:tc>
        <w:tc>
          <w:tcPr>
            <w:tcW w:type="dxa" w:w="1928"/>
          </w:tcPr>
          <w:p>
            <w:pPr>
              <w:spacing w:after="20" w:before="20" w:line="240" w:lineRule="auto"/>
            </w:pPr>
            <w:r/>
            <w:r>
              <w:rPr>
                <w:rFonts w:ascii="Arial" w:hAnsi="Arial" w:cs="Arial"/>
                <w:b w:val="0"/>
                <w:i w:val="0"/>
                <w:sz w:val="17"/>
              </w:rPr>
              <w:t>85-90%</w:t>
            </w:r>
          </w:p>
        </w:tc>
        <w:tc>
          <w:tcPr>
            <w:tcW w:type="dxa" w:w="1928"/>
          </w:tcPr>
          <w:p>
            <w:pPr>
              <w:spacing w:after="20" w:before="20" w:line="240" w:lineRule="auto"/>
            </w:pPr>
            <w:r/>
            <w:r>
              <w:rPr>
                <w:rFonts w:ascii="Arial" w:hAnsi="Arial" w:cs="Arial"/>
                <w:b w:val="0"/>
                <w:i w:val="0"/>
                <w:sz w:val="17"/>
              </w:rPr>
              <w:t>Yes</w:t>
            </w:r>
          </w:p>
        </w:tc>
        <w:tc>
          <w:tcPr>
            <w:tcW w:type="dxa" w:w="1928"/>
          </w:tcPr>
          <w:p>
            <w:pPr>
              <w:spacing w:after="20" w:before="20" w:line="240" w:lineRule="auto"/>
            </w:pPr>
            <w:r/>
            <w:r>
              <w:rPr>
                <w:rFonts w:ascii="Arial" w:hAnsi="Arial" w:cs="Arial"/>
                <w:b w:val="0"/>
                <w:i w:val="0"/>
                <w:sz w:val="17"/>
              </w:rPr>
              <w:t>Yes</w:t>
            </w:r>
          </w:p>
        </w:tc>
      </w:tr>
      <w:tr>
        <w:tc>
          <w:tcPr>
            <w:tcW w:type="dxa" w:w="1928"/>
          </w:tcPr>
          <w:p>
            <w:pPr>
              <w:spacing w:after="20" w:before="20" w:line="240" w:lineRule="auto"/>
            </w:pPr>
            <w:r/>
            <w:r>
              <w:rPr>
                <w:rFonts w:ascii="Arial" w:hAnsi="Arial" w:cs="Arial"/>
                <w:b w:val="0"/>
                <w:i w:val="0"/>
                <w:sz w:val="17"/>
              </w:rPr>
              <w:t>Fresh Oranges</w:t>
            </w:r>
          </w:p>
        </w:tc>
        <w:tc>
          <w:tcPr>
            <w:tcW w:type="dxa" w:w="1928"/>
          </w:tcPr>
          <w:p>
            <w:pPr>
              <w:spacing w:after="20" w:before="20" w:line="240" w:lineRule="auto"/>
            </w:pPr>
            <w:r/>
            <w:r>
              <w:rPr>
                <w:rFonts w:ascii="Arial" w:hAnsi="Arial" w:cs="Arial"/>
                <w:b w:val="0"/>
                <w:i w:val="0"/>
                <w:sz w:val="17"/>
              </w:rPr>
              <w:t>1°C to 4°C</w:t>
            </w:r>
          </w:p>
        </w:tc>
        <w:tc>
          <w:tcPr>
            <w:tcW w:type="dxa" w:w="1928"/>
          </w:tcPr>
          <w:p>
            <w:pPr>
              <w:spacing w:after="20" w:before="20" w:line="240" w:lineRule="auto"/>
            </w:pPr>
            <w:r/>
            <w:r>
              <w:rPr>
                <w:rFonts w:ascii="Arial" w:hAnsi="Arial" w:cs="Arial"/>
                <w:b w:val="0"/>
                <w:i w:val="0"/>
                <w:sz w:val="17"/>
              </w:rPr>
              <w:t>85-95%</w:t>
            </w:r>
          </w:p>
        </w:tc>
        <w:tc>
          <w:tcPr>
            <w:tcW w:type="dxa" w:w="1928"/>
          </w:tcPr>
          <w:p>
            <w:pPr>
              <w:spacing w:after="20" w:before="20" w:line="240" w:lineRule="auto"/>
            </w:pPr>
            <w:r/>
            <w:r>
              <w:rPr>
                <w:rFonts w:ascii="Arial" w:hAnsi="Arial" w:cs="Arial"/>
                <w:b w:val="0"/>
                <w:i w:val="0"/>
                <w:sz w:val="17"/>
              </w:rPr>
              <w:t>Yes (10-15 cfm)</w:t>
            </w:r>
          </w:p>
        </w:tc>
        <w:tc>
          <w:tcPr>
            <w:tcW w:type="dxa" w:w="1928"/>
          </w:tcPr>
          <w:p>
            <w:pPr>
              <w:spacing w:after="20" w:before="20" w:line="240" w:lineRule="auto"/>
            </w:pPr>
            <w:r/>
            <w:r>
              <w:rPr>
                <w:rFonts w:ascii="Arial" w:hAnsi="Arial" w:cs="Arial"/>
                <w:b w:val="0"/>
                <w:i w:val="0"/>
                <w:sz w:val="17"/>
              </w:rPr>
              <w:t>Yes</w:t>
            </w:r>
          </w:p>
        </w:tc>
      </w:tr>
      <w:tr>
        <w:tc>
          <w:tcPr>
            <w:tcW w:type="dxa" w:w="1928"/>
          </w:tcPr>
          <w:p>
            <w:pPr>
              <w:spacing w:after="20" w:before="20" w:line="240" w:lineRule="auto"/>
            </w:pPr>
            <w:r/>
            <w:r>
              <w:rPr>
                <w:rFonts w:ascii="Arial" w:hAnsi="Arial" w:cs="Arial"/>
                <w:b w:val="0"/>
                <w:i w:val="0"/>
                <w:sz w:val="17"/>
              </w:rPr>
              <w:t>Fresh Lemons</w:t>
            </w:r>
          </w:p>
        </w:tc>
        <w:tc>
          <w:tcPr>
            <w:tcW w:type="dxa" w:w="1928"/>
          </w:tcPr>
          <w:p>
            <w:pPr>
              <w:spacing w:after="20" w:before="20" w:line="240" w:lineRule="auto"/>
            </w:pPr>
            <w:r/>
            <w:r>
              <w:rPr>
                <w:rFonts w:ascii="Arial" w:hAnsi="Arial" w:cs="Arial"/>
                <w:b w:val="0"/>
                <w:i w:val="0"/>
                <w:sz w:val="17"/>
              </w:rPr>
              <w:t>10°C to 14°C</w:t>
            </w:r>
          </w:p>
        </w:tc>
        <w:tc>
          <w:tcPr>
            <w:tcW w:type="dxa" w:w="1928"/>
          </w:tcPr>
          <w:p>
            <w:pPr>
              <w:spacing w:after="20" w:before="20" w:line="240" w:lineRule="auto"/>
            </w:pPr>
            <w:r/>
            <w:r>
              <w:rPr>
                <w:rFonts w:ascii="Arial" w:hAnsi="Arial" w:cs="Arial"/>
                <w:b w:val="0"/>
                <w:i w:val="0"/>
                <w:sz w:val="17"/>
              </w:rPr>
              <w:t>85-95%</w:t>
            </w:r>
          </w:p>
        </w:tc>
        <w:tc>
          <w:tcPr>
            <w:tcW w:type="dxa" w:w="1928"/>
          </w:tcPr>
          <w:p>
            <w:pPr>
              <w:spacing w:after="20" w:before="20" w:line="240" w:lineRule="auto"/>
            </w:pPr>
            <w:r/>
            <w:r>
              <w:rPr>
                <w:rFonts w:ascii="Arial" w:hAnsi="Arial" w:cs="Arial"/>
                <w:b w:val="0"/>
                <w:i w:val="0"/>
                <w:sz w:val="17"/>
              </w:rPr>
              <w:t>Yes (10-15 cfm)</w:t>
            </w:r>
          </w:p>
        </w:tc>
        <w:tc>
          <w:tcPr>
            <w:tcW w:type="dxa" w:w="1928"/>
          </w:tcPr>
          <w:p>
            <w:pPr>
              <w:spacing w:after="20" w:before="20" w:line="240" w:lineRule="auto"/>
            </w:pPr>
            <w:r/>
            <w:r>
              <w:rPr>
                <w:rFonts w:ascii="Arial" w:hAnsi="Arial" w:cs="Arial"/>
                <w:b w:val="0"/>
                <w:i w:val="0"/>
                <w:sz w:val="17"/>
              </w:rPr>
              <w:t>Yes</w:t>
            </w:r>
          </w:p>
        </w:tc>
      </w:tr>
      <w:tr>
        <w:tc>
          <w:tcPr>
            <w:tcW w:type="dxa" w:w="1928"/>
          </w:tcPr>
          <w:p>
            <w:pPr>
              <w:spacing w:after="20" w:before="20" w:line="240" w:lineRule="auto"/>
            </w:pPr>
            <w:r/>
            <w:r>
              <w:rPr>
                <w:rFonts w:ascii="Arial" w:hAnsi="Arial" w:cs="Arial"/>
                <w:b w:val="0"/>
                <w:i w:val="0"/>
                <w:sz w:val="17"/>
              </w:rPr>
              <w:t>Frozen Fish</w:t>
            </w:r>
          </w:p>
        </w:tc>
        <w:tc>
          <w:tcPr>
            <w:tcW w:type="dxa" w:w="1928"/>
          </w:tcPr>
          <w:p>
            <w:pPr>
              <w:spacing w:after="20" w:before="20" w:line="240" w:lineRule="auto"/>
            </w:pPr>
            <w:r/>
            <w:r>
              <w:rPr>
                <w:rFonts w:ascii="Arial" w:hAnsi="Arial" w:cs="Arial"/>
                <w:b w:val="0"/>
                <w:i w:val="0"/>
                <w:sz w:val="17"/>
              </w:rPr>
              <w:t>-20°C to -25°C</w:t>
            </w:r>
          </w:p>
        </w:tc>
        <w:tc>
          <w:tcPr>
            <w:tcW w:type="dxa" w:w="1928"/>
          </w:tcPr>
          <w:p>
            <w:pPr>
              <w:spacing w:after="20" w:before="20" w:line="240" w:lineRule="auto"/>
            </w:pPr>
            <w:r/>
            <w:r>
              <w:rPr>
                <w:rFonts w:ascii="Arial" w:hAnsi="Arial" w:cs="Arial"/>
                <w:b w:val="0"/>
                <w:i w:val="0"/>
                <w:sz w:val="17"/>
              </w:rPr>
              <w:t>85-90%</w:t>
            </w:r>
          </w:p>
        </w:tc>
        <w:tc>
          <w:tcPr>
            <w:tcW w:type="dxa" w:w="1928"/>
          </w:tcPr>
          <w:p>
            <w:pPr>
              <w:spacing w:after="20" w:before="20" w:line="240" w:lineRule="auto"/>
            </w:pPr>
            <w:r/>
            <w:r>
              <w:rPr>
                <w:rFonts w:ascii="Arial" w:hAnsi="Arial" w:cs="Arial"/>
                <w:b w:val="0"/>
                <w:i w:val="0"/>
                <w:sz w:val="17"/>
              </w:rPr>
              <w:t>No</w:t>
            </w:r>
          </w:p>
        </w:tc>
        <w:tc>
          <w:tcPr>
            <w:tcW w:type="dxa" w:w="1928"/>
          </w:tcPr>
          <w:p>
            <w:pPr>
              <w:spacing w:after="20" w:before="20" w:line="240" w:lineRule="auto"/>
            </w:pPr>
            <w:r/>
            <w:r>
              <w:rPr>
                <w:rFonts w:ascii="Arial" w:hAnsi="Arial" w:cs="Arial"/>
                <w:b w:val="0"/>
                <w:i w:val="0"/>
                <w:sz w:val="17"/>
              </w:rPr>
              <w:t>Yes</w:t>
            </w:r>
          </w:p>
        </w:tc>
      </w:tr>
      <w:tr>
        <w:tc>
          <w:tcPr>
            <w:tcW w:type="dxa" w:w="1928"/>
          </w:tcPr>
          <w:p>
            <w:pPr>
              <w:spacing w:after="20" w:before="20" w:line="240" w:lineRule="auto"/>
            </w:pPr>
            <w:r/>
            <w:r>
              <w:rPr>
                <w:rFonts w:ascii="Arial" w:hAnsi="Arial" w:cs="Arial"/>
                <w:b w:val="0"/>
                <w:i w:val="0"/>
                <w:sz w:val="17"/>
              </w:rPr>
              <w:t>Fresh Meat</w:t>
            </w:r>
          </w:p>
        </w:tc>
        <w:tc>
          <w:tcPr>
            <w:tcW w:type="dxa" w:w="1928"/>
          </w:tcPr>
          <w:p>
            <w:pPr>
              <w:spacing w:after="20" w:before="20" w:line="240" w:lineRule="auto"/>
            </w:pPr>
            <w:r/>
            <w:r>
              <w:rPr>
                <w:rFonts w:ascii="Arial" w:hAnsi="Arial" w:cs="Arial"/>
                <w:b w:val="0"/>
                <w:i w:val="0"/>
                <w:sz w:val="17"/>
              </w:rPr>
              <w:t>-1°C to 1°C</w:t>
            </w:r>
          </w:p>
        </w:tc>
        <w:tc>
          <w:tcPr>
            <w:tcW w:type="dxa" w:w="1928"/>
          </w:tcPr>
          <w:p>
            <w:pPr>
              <w:spacing w:after="20" w:before="20" w:line="240" w:lineRule="auto"/>
            </w:pPr>
            <w:r/>
            <w:r>
              <w:rPr>
                <w:rFonts w:ascii="Arial" w:hAnsi="Arial" w:cs="Arial"/>
                <w:b w:val="0"/>
                <w:i w:val="0"/>
                <w:sz w:val="17"/>
              </w:rPr>
              <w:t>85-90%</w:t>
            </w:r>
          </w:p>
        </w:tc>
        <w:tc>
          <w:tcPr>
            <w:tcW w:type="dxa" w:w="1928"/>
          </w:tcPr>
          <w:p>
            <w:pPr>
              <w:spacing w:after="20" w:before="20" w:line="240" w:lineRule="auto"/>
            </w:pPr>
            <w:r/>
            <w:r>
              <w:rPr>
                <w:rFonts w:ascii="Arial" w:hAnsi="Arial" w:cs="Arial"/>
                <w:b w:val="0"/>
                <w:i w:val="0"/>
                <w:sz w:val="17"/>
              </w:rPr>
              <w:t>Yes (20 cfm)</w:t>
            </w:r>
          </w:p>
        </w:tc>
        <w:tc>
          <w:tcPr>
            <w:tcW w:type="dxa" w:w="1928"/>
          </w:tcPr>
          <w:p>
            <w:pPr>
              <w:spacing w:after="20" w:before="20" w:line="240" w:lineRule="auto"/>
            </w:pPr>
            <w:r/>
            <w:r>
              <w:rPr>
                <w:rFonts w:ascii="Arial" w:hAnsi="Arial" w:cs="Arial"/>
                <w:b w:val="0"/>
                <w:i w:val="0"/>
                <w:sz w:val="17"/>
              </w:rPr>
              <w:t>Yes</w:t>
            </w:r>
          </w:p>
        </w:tc>
      </w:tr>
      <w:tr>
        <w:tc>
          <w:tcPr>
            <w:tcW w:type="dxa" w:w="1928"/>
          </w:tcPr>
          <w:p>
            <w:pPr>
              <w:spacing w:after="20" w:before="20" w:line="240" w:lineRule="auto"/>
            </w:pPr>
            <w:r/>
            <w:r>
              <w:rPr>
                <w:rFonts w:ascii="Arial" w:hAnsi="Arial" w:cs="Arial"/>
                <w:b w:val="0"/>
                <w:i w:val="0"/>
                <w:sz w:val="17"/>
              </w:rPr>
              <w:t>Dairy Products</w:t>
            </w:r>
          </w:p>
        </w:tc>
        <w:tc>
          <w:tcPr>
            <w:tcW w:type="dxa" w:w="1928"/>
          </w:tcPr>
          <w:p>
            <w:pPr>
              <w:spacing w:after="20" w:before="20" w:line="240" w:lineRule="auto"/>
            </w:pPr>
            <w:r/>
            <w:r>
              <w:rPr>
                <w:rFonts w:ascii="Arial" w:hAnsi="Arial" w:cs="Arial"/>
                <w:b w:val="0"/>
                <w:i w:val="0"/>
                <w:sz w:val="17"/>
              </w:rPr>
              <w:t>2°C to 4°C</w:t>
            </w:r>
          </w:p>
        </w:tc>
        <w:tc>
          <w:tcPr>
            <w:tcW w:type="dxa" w:w="1928"/>
          </w:tcPr>
          <w:p>
            <w:pPr>
              <w:spacing w:after="20" w:before="20" w:line="240" w:lineRule="auto"/>
            </w:pPr>
            <w:r/>
            <w:r>
              <w:rPr>
                <w:rFonts w:ascii="Arial" w:hAnsi="Arial" w:cs="Arial"/>
                <w:b w:val="0"/>
                <w:i w:val="0"/>
                <w:sz w:val="17"/>
              </w:rPr>
              <w:t>85-90%</w:t>
            </w:r>
          </w:p>
        </w:tc>
        <w:tc>
          <w:tcPr>
            <w:tcW w:type="dxa" w:w="1928"/>
          </w:tcPr>
          <w:p>
            <w:pPr>
              <w:spacing w:after="20" w:before="20" w:line="240" w:lineRule="auto"/>
            </w:pPr>
            <w:r/>
            <w:r>
              <w:rPr>
                <w:rFonts w:ascii="Arial" w:hAnsi="Arial" w:cs="Arial"/>
                <w:b w:val="0"/>
                <w:i w:val="0"/>
                <w:sz w:val="17"/>
              </w:rPr>
              <w:t>Yes</w:t>
            </w:r>
          </w:p>
        </w:tc>
        <w:tc>
          <w:tcPr>
            <w:tcW w:type="dxa" w:w="1928"/>
          </w:tcPr>
          <w:p>
            <w:pPr>
              <w:spacing w:after="20" w:before="20" w:line="240" w:lineRule="auto"/>
            </w:pPr>
            <w:r/>
            <w:r>
              <w:rPr>
                <w:rFonts w:ascii="Arial" w:hAnsi="Arial" w:cs="Arial"/>
                <w:b w:val="0"/>
                <w:i w:val="0"/>
                <w:sz w:val="17"/>
              </w:rPr>
              <w:t>Yes</w:t>
            </w:r>
          </w:p>
        </w:tc>
      </w:tr>
      <w:tr>
        <w:tc>
          <w:tcPr>
            <w:tcW w:type="dxa" w:w="1928"/>
          </w:tcPr>
          <w:p>
            <w:pPr>
              <w:spacing w:after="20" w:before="20" w:line="240" w:lineRule="auto"/>
            </w:pPr>
            <w:r/>
            <w:r>
              <w:rPr>
                <w:rFonts w:ascii="Arial" w:hAnsi="Arial" w:cs="Arial"/>
                <w:b w:val="0"/>
                <w:i w:val="0"/>
                <w:sz w:val="17"/>
              </w:rPr>
              <w:t>Pharmaceuticals</w:t>
            </w:r>
          </w:p>
        </w:tc>
        <w:tc>
          <w:tcPr>
            <w:tcW w:type="dxa" w:w="1928"/>
          </w:tcPr>
          <w:p>
            <w:pPr>
              <w:spacing w:after="20" w:before="20" w:line="240" w:lineRule="auto"/>
            </w:pPr>
            <w:r/>
            <w:r>
              <w:rPr>
                <w:rFonts w:ascii="Arial" w:hAnsi="Arial" w:cs="Arial"/>
                <w:b w:val="0"/>
                <w:i w:val="0"/>
                <w:sz w:val="17"/>
              </w:rPr>
              <w:t>2°C to 8°C</w:t>
            </w:r>
          </w:p>
        </w:tc>
        <w:tc>
          <w:tcPr>
            <w:tcW w:type="dxa" w:w="1928"/>
          </w:tcPr>
          <w:p>
            <w:pPr>
              <w:spacing w:after="20" w:before="20" w:line="240" w:lineRule="auto"/>
            </w:pPr>
            <w:r/>
            <w:r>
              <w:rPr>
                <w:rFonts w:ascii="Arial" w:hAnsi="Arial" w:cs="Arial"/>
                <w:b w:val="0"/>
                <w:i w:val="0"/>
                <w:sz w:val="17"/>
              </w:rPr>
              <w:t>40-60%</w:t>
            </w:r>
          </w:p>
        </w:tc>
        <w:tc>
          <w:tcPr>
            <w:tcW w:type="dxa" w:w="1928"/>
          </w:tcPr>
          <w:p>
            <w:pPr>
              <w:spacing w:after="20" w:before="20" w:line="240" w:lineRule="auto"/>
            </w:pPr>
            <w:r/>
            <w:r>
              <w:rPr>
                <w:rFonts w:ascii="Arial" w:hAnsi="Arial" w:cs="Arial"/>
                <w:b w:val="0"/>
                <w:i w:val="0"/>
                <w:sz w:val="17"/>
              </w:rPr>
              <w:t>No</w:t>
            </w:r>
          </w:p>
        </w:tc>
        <w:tc>
          <w:tcPr>
            <w:tcW w:type="dxa" w:w="1928"/>
          </w:tcPr>
          <w:p>
            <w:pPr>
              <w:spacing w:after="20" w:before="20" w:line="240" w:lineRule="auto"/>
            </w:pPr>
            <w:r/>
            <w:r>
              <w:rPr>
                <w:rFonts w:ascii="Arial" w:hAnsi="Arial" w:cs="Arial"/>
                <w:b w:val="0"/>
                <w:i w:val="0"/>
                <w:sz w:val="17"/>
              </w:rPr>
              <w:t>Yes</w:t>
            </w:r>
          </w:p>
        </w:tc>
      </w:tr>
      <w:tr>
        <w:tc>
          <w:tcPr>
            <w:tcW w:type="dxa" w:w="1928"/>
          </w:tcPr>
          <w:p>
            <w:pPr>
              <w:spacing w:after="20" w:before="20" w:line="240" w:lineRule="auto"/>
            </w:pPr>
            <w:r/>
            <w:r>
              <w:rPr>
                <w:rFonts w:ascii="Arial" w:hAnsi="Arial" w:cs="Arial"/>
                <w:b w:val="0"/>
                <w:i w:val="0"/>
                <w:sz w:val="17"/>
              </w:rPr>
              <w:t>Fresh Flowers</w:t>
            </w:r>
          </w:p>
        </w:tc>
        <w:tc>
          <w:tcPr>
            <w:tcW w:type="dxa" w:w="1928"/>
          </w:tcPr>
          <w:p>
            <w:pPr>
              <w:spacing w:after="20" w:before="20" w:line="240" w:lineRule="auto"/>
            </w:pPr>
            <w:r/>
            <w:r>
              <w:rPr>
                <w:rFonts w:ascii="Arial" w:hAnsi="Arial" w:cs="Arial"/>
                <w:b w:val="0"/>
                <w:i w:val="0"/>
                <w:sz w:val="17"/>
              </w:rPr>
              <w:t>2°C to 4°C</w:t>
            </w:r>
          </w:p>
        </w:tc>
        <w:tc>
          <w:tcPr>
            <w:tcW w:type="dxa" w:w="1928"/>
          </w:tcPr>
          <w:p>
            <w:pPr>
              <w:spacing w:after="20" w:before="20" w:line="240" w:lineRule="auto"/>
            </w:pPr>
            <w:r/>
            <w:r>
              <w:rPr>
                <w:rFonts w:ascii="Arial" w:hAnsi="Arial" w:cs="Arial"/>
                <w:b w:val="0"/>
                <w:i w:val="0"/>
                <w:sz w:val="17"/>
              </w:rPr>
              <w:t>90-95%</w:t>
            </w:r>
          </w:p>
        </w:tc>
        <w:tc>
          <w:tcPr>
            <w:tcW w:type="dxa" w:w="1928"/>
          </w:tcPr>
          <w:p>
            <w:pPr>
              <w:spacing w:after="20" w:before="20" w:line="240" w:lineRule="auto"/>
            </w:pPr>
            <w:r/>
            <w:r>
              <w:rPr>
                <w:rFonts w:ascii="Arial" w:hAnsi="Arial" w:cs="Arial"/>
                <w:b w:val="0"/>
                <w:i w:val="0"/>
                <w:sz w:val="17"/>
              </w:rPr>
              <w:t>Yes</w:t>
            </w:r>
          </w:p>
        </w:tc>
        <w:tc>
          <w:tcPr>
            <w:tcW w:type="dxa" w:w="1928"/>
          </w:tcPr>
          <w:p>
            <w:pPr>
              <w:spacing w:after="20" w:before="20" w:line="240" w:lineRule="auto"/>
            </w:pPr>
            <w:r/>
            <w:r>
              <w:rPr>
                <w:rFonts w:ascii="Arial" w:hAnsi="Arial" w:cs="Arial"/>
                <w:b w:val="0"/>
                <w:i w:val="0"/>
                <w:sz w:val="17"/>
              </w:rPr>
              <w:t>Yes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22.7.3 Database Schema</w:t>
      </w:r>
    </w:p>
    <w:p>
      <w:pPr>
        <w:spacing w:after="0" w:before="0" w:line="240" w:lineRule="auto"/>
        <w:ind w:left="57"/>
        <w:jc w:val="left"/>
        <w:shd w:val="clear" w:fill="F2F2F2"/>
      </w:pPr>
      <w:r>
        <w:rPr>
          <w:rFonts w:ascii="Consolas" w:hAnsi="Consolas" w:cs="Consolas"/>
          <w:b w:val="0"/>
          <w:i w:val="0"/>
          <w:sz w:val="15"/>
        </w:rPr>
        <w:t>-- Cold chain requirements (per product-destination)</w:t>
      </w:r>
    </w:p>
    <w:p>
      <w:pPr>
        <w:spacing w:after="0" w:before="0" w:line="240" w:lineRule="auto"/>
        <w:ind w:left="57"/>
        <w:jc w:val="left"/>
        <w:shd w:val="clear" w:fill="F2F2F2"/>
      </w:pPr>
      <w:r>
        <w:rPr>
          <w:rFonts w:ascii="Consolas" w:hAnsi="Consolas" w:cs="Consolas"/>
          <w:b w:val="0"/>
          <w:i w:val="0"/>
          <w:sz w:val="15"/>
        </w:rPr>
        <w:t>CREATE TABLE cold_chain_requirements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hs_code CHAR(6) NOT NULL,</w:t>
      </w:r>
    </w:p>
    <w:p>
      <w:pPr>
        <w:spacing w:after="0" w:before="0" w:line="240" w:lineRule="auto"/>
        <w:ind w:left="57"/>
        <w:jc w:val="left"/>
        <w:shd w:val="clear" w:fill="F2F2F2"/>
      </w:pPr>
      <w:r>
        <w:rPr>
          <w:rFonts w:ascii="Consolas" w:hAnsi="Consolas" w:cs="Consolas"/>
          <w:b w:val="0"/>
          <w:i w:val="0"/>
          <w:sz w:val="15"/>
        </w:rPr>
        <w:t xml:space="preserve">    destination_country CHAR(2) NOT NULL,</w:t>
      </w:r>
    </w:p>
    <w:p>
      <w:pPr>
        <w:spacing w:after="0" w:before="0" w:line="240" w:lineRule="auto"/>
        <w:ind w:left="57"/>
        <w:jc w:val="left"/>
        <w:shd w:val="clear" w:fill="F2F2F2"/>
      </w:pPr>
      <w:r>
        <w:rPr>
          <w:rFonts w:ascii="Consolas" w:hAnsi="Consolas" w:cs="Consolas"/>
          <w:b w:val="0"/>
          <w:i w:val="0"/>
          <w:sz w:val="15"/>
        </w:rPr>
        <w:t xml:space="preserve">    origin_country CHAR(2) NOT NULL,</w:t>
      </w:r>
    </w:p>
    <w:p>
      <w:pPr>
        <w:spacing w:after="0" w:before="0" w:line="240" w:lineRule="auto"/>
        <w:ind w:left="57"/>
        <w:jc w:val="left"/>
        <w:shd w:val="clear" w:fill="F2F2F2"/>
      </w:pPr>
      <w:r>
        <w:rPr>
          <w:rFonts w:ascii="Consolas" w:hAnsi="Consolas" w:cs="Consolas"/>
          <w:b w:val="0"/>
          <w:i w:val="0"/>
          <w:sz w:val="15"/>
        </w:rPr>
        <w:t xml:space="preserve">    temperature_min DECIMAL(5,2),</w:t>
      </w:r>
    </w:p>
    <w:p>
      <w:pPr>
        <w:spacing w:after="0" w:before="0" w:line="240" w:lineRule="auto"/>
        <w:ind w:left="57"/>
        <w:jc w:val="left"/>
        <w:shd w:val="clear" w:fill="F2F2F2"/>
      </w:pPr>
      <w:r>
        <w:rPr>
          <w:rFonts w:ascii="Consolas" w:hAnsi="Consolas" w:cs="Consolas"/>
          <w:b w:val="0"/>
          <w:i w:val="0"/>
          <w:sz w:val="15"/>
        </w:rPr>
        <w:t xml:space="preserve">    temperature_max DECIMAL(5,2),</w:t>
      </w:r>
    </w:p>
    <w:p>
      <w:pPr>
        <w:spacing w:after="0" w:before="0" w:line="240" w:lineRule="auto"/>
        <w:ind w:left="57"/>
        <w:jc w:val="left"/>
        <w:shd w:val="clear" w:fill="F2F2F2"/>
      </w:pPr>
      <w:r>
        <w:rPr>
          <w:rFonts w:ascii="Consolas" w:hAnsi="Consolas" w:cs="Consolas"/>
          <w:b w:val="0"/>
          <w:i w:val="0"/>
          <w:sz w:val="15"/>
        </w:rPr>
        <w:t xml:space="preserve">    humidity_min DECIMAL(5,2),</w:t>
      </w:r>
    </w:p>
    <w:p>
      <w:pPr>
        <w:spacing w:after="0" w:before="0" w:line="240" w:lineRule="auto"/>
        <w:ind w:left="57"/>
        <w:jc w:val="left"/>
        <w:shd w:val="clear" w:fill="F2F2F2"/>
      </w:pPr>
      <w:r>
        <w:rPr>
          <w:rFonts w:ascii="Consolas" w:hAnsi="Consolas" w:cs="Consolas"/>
          <w:b w:val="0"/>
          <w:i w:val="0"/>
          <w:sz w:val="15"/>
        </w:rPr>
        <w:t xml:space="preserve">    humidity_max DECIMAL(5,2),</w:t>
      </w:r>
    </w:p>
    <w:p>
      <w:pPr>
        <w:spacing w:after="0" w:before="0" w:line="240" w:lineRule="auto"/>
        <w:ind w:left="57"/>
        <w:jc w:val="left"/>
        <w:shd w:val="clear" w:fill="F2F2F2"/>
      </w:pPr>
      <w:r>
        <w:rPr>
          <w:rFonts w:ascii="Consolas" w:hAnsi="Consolas" w:cs="Consolas"/>
          <w:b w:val="0"/>
          <w:i w:val="0"/>
          <w:sz w:val="15"/>
        </w:rPr>
        <w:t xml:space="preserve">    ventilation_cfm DECIMAL(5,2),</w:t>
      </w:r>
    </w:p>
    <w:p>
      <w:pPr>
        <w:spacing w:after="0" w:before="0" w:line="240" w:lineRule="auto"/>
        <w:ind w:left="57"/>
        <w:jc w:val="left"/>
        <w:shd w:val="clear" w:fill="F2F2F2"/>
      </w:pPr>
      <w:r>
        <w:rPr>
          <w:rFonts w:ascii="Consolas" w:hAnsi="Consolas" w:cs="Consolas"/>
          <w:b w:val="0"/>
          <w:i w:val="0"/>
          <w:sz w:val="15"/>
        </w:rPr>
        <w:t xml:space="preserve">    pti_required BOOLEAN,</w:t>
      </w:r>
    </w:p>
    <w:p>
      <w:pPr>
        <w:spacing w:after="0" w:before="0" w:line="240" w:lineRule="auto"/>
        <w:ind w:left="57"/>
        <w:jc w:val="left"/>
        <w:shd w:val="clear" w:fill="F2F2F2"/>
      </w:pPr>
      <w:r>
        <w:rPr>
          <w:rFonts w:ascii="Consolas" w:hAnsi="Consolas" w:cs="Consolas"/>
          <w:b w:val="0"/>
          <w:i w:val="0"/>
          <w:sz w:val="15"/>
        </w:rPr>
        <w:t xml:space="preserve">    treatment_required TEXT,</w:t>
      </w:r>
    </w:p>
    <w:p>
      <w:pPr>
        <w:spacing w:after="0" w:before="0" w:line="240" w:lineRule="auto"/>
        <w:ind w:left="57"/>
        <w:jc w:val="left"/>
        <w:shd w:val="clear" w:fill="F2F2F2"/>
      </w:pPr>
      <w:r>
        <w:rPr>
          <w:rFonts w:ascii="Consolas" w:hAnsi="Consolas" w:cs="Consolas"/>
          <w:b w:val="0"/>
          <w:i w:val="0"/>
          <w:sz w:val="15"/>
        </w:rPr>
        <w:t xml:space="preserve">    treatment_duration_days INTEGER,</w:t>
      </w:r>
    </w:p>
    <w:p>
      <w:pPr>
        <w:spacing w:after="0" w:before="0" w:line="240" w:lineRule="auto"/>
        <w:ind w:left="57"/>
        <w:jc w:val="left"/>
        <w:shd w:val="clear" w:fill="F2F2F2"/>
      </w:pPr>
      <w:r>
        <w:rPr>
          <w:rFonts w:ascii="Consolas" w:hAnsi="Consolas" w:cs="Consolas"/>
          <w:b w:val="0"/>
          <w:i w:val="0"/>
          <w:sz w:val="15"/>
        </w:rPr>
        <w:t xml:space="preserve">    certification_required TEXT,</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PTI certificates</w:t>
      </w:r>
    </w:p>
    <w:p>
      <w:pPr>
        <w:spacing w:after="0" w:before="0" w:line="240" w:lineRule="auto"/>
        <w:ind w:left="57"/>
        <w:jc w:val="left"/>
        <w:shd w:val="clear" w:fill="F2F2F2"/>
      </w:pPr>
      <w:r>
        <w:rPr>
          <w:rFonts w:ascii="Consolas" w:hAnsi="Consolas" w:cs="Consolas"/>
          <w:b w:val="0"/>
          <w:i w:val="0"/>
          <w:sz w:val="15"/>
        </w:rPr>
        <w:t>CREATE TABLE pti_certificates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container_number TEXT NOT NULL,</w:t>
      </w:r>
    </w:p>
    <w:p>
      <w:pPr>
        <w:spacing w:after="0" w:before="0" w:line="240" w:lineRule="auto"/>
        <w:ind w:left="57"/>
        <w:jc w:val="left"/>
        <w:shd w:val="clear" w:fill="F2F2F2"/>
      </w:pPr>
      <w:r>
        <w:rPr>
          <w:rFonts w:ascii="Consolas" w:hAnsi="Consolas" w:cs="Consolas"/>
          <w:b w:val="0"/>
          <w:i w:val="0"/>
          <w:sz w:val="15"/>
        </w:rPr>
        <w:t xml:space="preserve">    carrier_gtid TEXT REFERENCES tenants(gtid),</w:t>
      </w:r>
    </w:p>
    <w:p>
      <w:pPr>
        <w:spacing w:after="0" w:before="0" w:line="240" w:lineRule="auto"/>
        <w:ind w:left="57"/>
        <w:jc w:val="left"/>
        <w:shd w:val="clear" w:fill="F2F2F2"/>
      </w:pPr>
      <w:r>
        <w:rPr>
          <w:rFonts w:ascii="Consolas" w:hAnsi="Consolas" w:cs="Consolas"/>
          <w:b w:val="0"/>
          <w:i w:val="0"/>
          <w:sz w:val="15"/>
        </w:rPr>
        <w:t xml:space="preserve">    inspection_date TIMESTAMPTZ NOT NULL,</w:t>
      </w:r>
    </w:p>
    <w:p>
      <w:pPr>
        <w:spacing w:after="0" w:before="0" w:line="240" w:lineRule="auto"/>
        <w:ind w:left="57"/>
        <w:jc w:val="left"/>
        <w:shd w:val="clear" w:fill="F2F2F2"/>
      </w:pPr>
      <w:r>
        <w:rPr>
          <w:rFonts w:ascii="Consolas" w:hAnsi="Consolas" w:cs="Consolas"/>
          <w:b w:val="0"/>
          <w:i w:val="0"/>
          <w:sz w:val="15"/>
        </w:rPr>
        <w:t xml:space="preserve">    valid_until TIMESTAMPTZ NOT NULL,</w:t>
      </w:r>
    </w:p>
    <w:p>
      <w:pPr>
        <w:spacing w:after="0" w:before="0" w:line="240" w:lineRule="auto"/>
        <w:ind w:left="57"/>
        <w:jc w:val="left"/>
        <w:shd w:val="clear" w:fill="F2F2F2"/>
      </w:pPr>
      <w:r>
        <w:rPr>
          <w:rFonts w:ascii="Consolas" w:hAnsi="Consolas" w:cs="Consolas"/>
          <w:b w:val="0"/>
          <w:i w:val="0"/>
          <w:sz w:val="15"/>
        </w:rPr>
        <w:t xml:space="preserve">    temperature_set_point DECIMAL(5,2) NOT NULL,</w:t>
      </w:r>
    </w:p>
    <w:p>
      <w:pPr>
        <w:spacing w:after="0" w:before="0" w:line="240" w:lineRule="auto"/>
        <w:ind w:left="57"/>
        <w:jc w:val="left"/>
        <w:shd w:val="clear" w:fill="F2F2F2"/>
      </w:pPr>
      <w:r>
        <w:rPr>
          <w:rFonts w:ascii="Consolas" w:hAnsi="Consolas" w:cs="Consolas"/>
          <w:b w:val="0"/>
          <w:i w:val="0"/>
          <w:sz w:val="15"/>
        </w:rPr>
        <w:t xml:space="preserve">    actual_temperature DECIMAL(5,2) NOT NULL,</w:t>
      </w:r>
    </w:p>
    <w:p>
      <w:pPr>
        <w:spacing w:after="0" w:before="0" w:line="240" w:lineRule="auto"/>
        <w:ind w:left="57"/>
        <w:jc w:val="left"/>
        <w:shd w:val="clear" w:fill="F2F2F2"/>
      </w:pPr>
      <w:r>
        <w:rPr>
          <w:rFonts w:ascii="Consolas" w:hAnsi="Consolas" w:cs="Consolas"/>
          <w:b w:val="0"/>
          <w:i w:val="0"/>
          <w:sz w:val="15"/>
        </w:rPr>
        <w:t xml:space="preserve">    pti_result TEXT NOT NULL,           -- 'PASS', 'FAIL', 'CONDITIONAL'</w:t>
      </w:r>
    </w:p>
    <w:p>
      <w:pPr>
        <w:spacing w:after="0" w:before="0" w:line="240" w:lineRule="auto"/>
        <w:ind w:left="57"/>
        <w:jc w:val="left"/>
        <w:shd w:val="clear" w:fill="F2F2F2"/>
      </w:pPr>
      <w:r>
        <w:rPr>
          <w:rFonts w:ascii="Consolas" w:hAnsi="Consolas" w:cs="Consolas"/>
          <w:b w:val="0"/>
          <w:i w:val="0"/>
          <w:sz w:val="15"/>
        </w:rPr>
        <w:t xml:space="preserve">    pti_reference TEXT,</w:t>
      </w:r>
    </w:p>
    <w:p>
      <w:pPr>
        <w:spacing w:after="0" w:before="0" w:line="240" w:lineRule="auto"/>
        <w:ind w:left="57"/>
        <w:jc w:val="left"/>
        <w:shd w:val="clear" w:fill="F2F2F2"/>
      </w:pPr>
      <w:r>
        <w:rPr>
          <w:rFonts w:ascii="Consolas" w:hAnsi="Consolas" w:cs="Consolas"/>
          <w:b w:val="0"/>
          <w:i w:val="0"/>
          <w:sz w:val="15"/>
        </w:rPr>
        <w:t xml:space="preserve">    certificate_url TEXT,</w:t>
      </w:r>
    </w:p>
    <w:p>
      <w:pPr>
        <w:spacing w:after="0" w:before="0" w:line="240" w:lineRule="auto"/>
        <w:ind w:left="57"/>
        <w:jc w:val="left"/>
        <w:shd w:val="clear" w:fill="F2F2F2"/>
      </w:pPr>
      <w:r>
        <w:rPr>
          <w:rFonts w:ascii="Consolas" w:hAnsi="Consolas" w:cs="Consolas"/>
          <w:b w:val="0"/>
          <w:i w:val="0"/>
          <w:sz w:val="15"/>
        </w:rPr>
        <w:t xml:space="preserve">    inspector_name TEXT,</w:t>
      </w:r>
    </w:p>
    <w:p>
      <w:pPr>
        <w:spacing w:after="0" w:before="0" w:line="240" w:lineRule="auto"/>
        <w:ind w:left="57"/>
        <w:jc w:val="left"/>
        <w:shd w:val="clear" w:fill="F2F2F2"/>
      </w:pPr>
      <w:r>
        <w:rPr>
          <w:rFonts w:ascii="Consolas" w:hAnsi="Consolas" w:cs="Consolas"/>
          <w:b w:val="0"/>
          <w:i w:val="0"/>
          <w:sz w:val="15"/>
        </w:rPr>
        <w:t xml:space="preserve">    verified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Cold chain monitoring (IoT data)</w:t>
      </w:r>
    </w:p>
    <w:p>
      <w:pPr>
        <w:spacing w:after="0" w:before="0" w:line="240" w:lineRule="auto"/>
        <w:ind w:left="57"/>
        <w:jc w:val="left"/>
        <w:shd w:val="clear" w:fill="F2F2F2"/>
      </w:pPr>
      <w:r>
        <w:rPr>
          <w:rFonts w:ascii="Consolas" w:hAnsi="Consolas" w:cs="Consolas"/>
          <w:b w:val="0"/>
          <w:i w:val="0"/>
          <w:sz w:val="15"/>
        </w:rPr>
        <w:t>CREATE TABLE cold_chain_readings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container_number TEXT NOT NULL,</w:t>
      </w:r>
    </w:p>
    <w:p>
      <w:pPr>
        <w:spacing w:after="0" w:before="0" w:line="240" w:lineRule="auto"/>
        <w:ind w:left="57"/>
        <w:jc w:val="left"/>
        <w:shd w:val="clear" w:fill="F2F2F2"/>
      </w:pPr>
      <w:r>
        <w:rPr>
          <w:rFonts w:ascii="Consolas" w:hAnsi="Consolas" w:cs="Consolas"/>
          <w:b w:val="0"/>
          <w:i w:val="0"/>
          <w:sz w:val="15"/>
        </w:rPr>
        <w:t xml:space="preserve">    temperature DECIMAL(5,2) NOT NULL,</w:t>
      </w:r>
    </w:p>
    <w:p>
      <w:pPr>
        <w:spacing w:after="0" w:before="0" w:line="240" w:lineRule="auto"/>
        <w:ind w:left="57"/>
        <w:jc w:val="left"/>
        <w:shd w:val="clear" w:fill="F2F2F2"/>
      </w:pPr>
      <w:r>
        <w:rPr>
          <w:rFonts w:ascii="Consolas" w:hAnsi="Consolas" w:cs="Consolas"/>
          <w:b w:val="0"/>
          <w:i w:val="0"/>
          <w:sz w:val="15"/>
        </w:rPr>
        <w:t xml:space="preserve">    humidity DECIMAL(5,2),</w:t>
      </w:r>
    </w:p>
    <w:p>
      <w:pPr>
        <w:spacing w:after="0" w:before="0" w:line="240" w:lineRule="auto"/>
        <w:ind w:left="57"/>
        <w:jc w:val="left"/>
        <w:shd w:val="clear" w:fill="F2F2F2"/>
      </w:pPr>
      <w:r>
        <w:rPr>
          <w:rFonts w:ascii="Consolas" w:hAnsi="Consolas" w:cs="Consolas"/>
          <w:b w:val="0"/>
          <w:i w:val="0"/>
          <w:sz w:val="15"/>
        </w:rPr>
        <w:t xml:space="preserve">    recorded_at TIMESTAMPTZ NOT NULL,</w:t>
      </w:r>
    </w:p>
    <w:p>
      <w:pPr>
        <w:spacing w:after="0" w:before="0" w:line="240" w:lineRule="auto"/>
        <w:ind w:left="57"/>
        <w:jc w:val="left"/>
        <w:shd w:val="clear" w:fill="F2F2F2"/>
      </w:pPr>
      <w:r>
        <w:rPr>
          <w:rFonts w:ascii="Consolas" w:hAnsi="Consolas" w:cs="Consolas"/>
          <w:b w:val="0"/>
          <w:i w:val="0"/>
          <w:sz w:val="15"/>
        </w:rPr>
        <w:t xml:space="preserve">    anomaly BOOLEAN DEFAULT false,</w:t>
      </w:r>
    </w:p>
    <w:p>
      <w:pPr>
        <w:spacing w:after="0" w:before="0" w:line="240" w:lineRule="auto"/>
        <w:ind w:left="57"/>
        <w:jc w:val="left"/>
        <w:shd w:val="clear" w:fill="F2F2F2"/>
      </w:pPr>
      <w:r>
        <w:rPr>
          <w:rFonts w:ascii="Consolas" w:hAnsi="Consolas" w:cs="Consolas"/>
          <w:b w:val="0"/>
          <w:i w:val="0"/>
          <w:sz w:val="15"/>
        </w:rPr>
        <w:t xml:space="preserve">    anomaly_type TEXT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SELECT create_hypertable('cold_chain_readings', 'recorded_at');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Cold chain anomalies</w:t>
      </w:r>
    </w:p>
    <w:p>
      <w:pPr>
        <w:spacing w:after="0" w:before="0" w:line="240" w:lineRule="auto"/>
        <w:ind w:left="57"/>
        <w:jc w:val="left"/>
        <w:shd w:val="clear" w:fill="F2F2F2"/>
      </w:pPr>
      <w:r>
        <w:rPr>
          <w:rFonts w:ascii="Consolas" w:hAnsi="Consolas" w:cs="Consolas"/>
          <w:b w:val="0"/>
          <w:i w:val="0"/>
          <w:sz w:val="15"/>
        </w:rPr>
        <w:t>CREATE TABLE cold_chain_anomalies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container_number TEXT NOT NULL,</w:t>
      </w:r>
    </w:p>
    <w:p>
      <w:pPr>
        <w:spacing w:after="0" w:before="0" w:line="240" w:lineRule="auto"/>
        <w:ind w:left="57"/>
        <w:jc w:val="left"/>
        <w:shd w:val="clear" w:fill="F2F2F2"/>
      </w:pPr>
      <w:r>
        <w:rPr>
          <w:rFonts w:ascii="Consolas" w:hAnsi="Consolas" w:cs="Consolas"/>
          <w:b w:val="0"/>
          <w:i w:val="0"/>
          <w:sz w:val="15"/>
        </w:rPr>
        <w:t xml:space="preserve">    deviation_celsius DECIMAL(5,2) NOT NULL,</w:t>
      </w:r>
    </w:p>
    <w:p>
      <w:pPr>
        <w:spacing w:after="0" w:before="0" w:line="240" w:lineRule="auto"/>
        <w:ind w:left="57"/>
        <w:jc w:val="left"/>
        <w:shd w:val="clear" w:fill="F2F2F2"/>
      </w:pPr>
      <w:r>
        <w:rPr>
          <w:rFonts w:ascii="Consolas" w:hAnsi="Consolas" w:cs="Consolas"/>
          <w:b w:val="0"/>
          <w:i w:val="0"/>
          <w:sz w:val="15"/>
        </w:rPr>
        <w:t xml:space="preserve">    duration_minutes INTEGER NOT NULL,</w:t>
      </w:r>
    </w:p>
    <w:p>
      <w:pPr>
        <w:spacing w:after="0" w:before="0" w:line="240" w:lineRule="auto"/>
        <w:ind w:left="57"/>
        <w:jc w:val="left"/>
        <w:shd w:val="clear" w:fill="F2F2F2"/>
      </w:pPr>
      <w:r>
        <w:rPr>
          <w:rFonts w:ascii="Consolas" w:hAnsi="Consolas" w:cs="Consolas"/>
          <w:b w:val="0"/>
          <w:i w:val="0"/>
          <w:sz w:val="15"/>
        </w:rPr>
        <w:t xml:space="preserve">    severity TEXT NOT NULL,              -- 'LOW', 'MEDIUM', 'HIGH'</w:t>
      </w:r>
    </w:p>
    <w:p>
      <w:pPr>
        <w:spacing w:after="0" w:before="0" w:line="240" w:lineRule="auto"/>
        <w:ind w:left="57"/>
        <w:jc w:val="left"/>
        <w:shd w:val="clear" w:fill="F2F2F2"/>
      </w:pPr>
      <w:r>
        <w:rPr>
          <w:rFonts w:ascii="Consolas" w:hAnsi="Consolas" w:cs="Consolas"/>
          <w:b w:val="0"/>
          <w:i w:val="0"/>
          <w:sz w:val="15"/>
        </w:rPr>
        <w:t xml:space="preserve">    resolved BOOLEAN DEFAULT false,</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Data logger calibration</w:t>
      </w:r>
    </w:p>
    <w:p>
      <w:pPr>
        <w:spacing w:after="0" w:before="0" w:line="240" w:lineRule="auto"/>
        <w:ind w:left="57"/>
        <w:jc w:val="left"/>
        <w:shd w:val="clear" w:fill="F2F2F2"/>
      </w:pPr>
      <w:r>
        <w:rPr>
          <w:rFonts w:ascii="Consolas" w:hAnsi="Consolas" w:cs="Consolas"/>
          <w:b w:val="0"/>
          <w:i w:val="0"/>
          <w:sz w:val="15"/>
        </w:rPr>
        <w:t>CREATE TABLE data_logger_calibration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logger_id TEXT NOT NULL,</w:t>
      </w:r>
    </w:p>
    <w:p>
      <w:pPr>
        <w:spacing w:after="0" w:before="0" w:line="240" w:lineRule="auto"/>
        <w:ind w:left="57"/>
        <w:jc w:val="left"/>
        <w:shd w:val="clear" w:fill="F2F2F2"/>
      </w:pPr>
      <w:r>
        <w:rPr>
          <w:rFonts w:ascii="Consolas" w:hAnsi="Consolas" w:cs="Consolas"/>
          <w:b w:val="0"/>
          <w:i w:val="0"/>
          <w:sz w:val="15"/>
        </w:rPr>
        <w:t xml:space="preserve">    calibration_date TIMESTAMPTZ NOT NULL,</w:t>
      </w:r>
    </w:p>
    <w:p>
      <w:pPr>
        <w:spacing w:after="0" w:before="0" w:line="240" w:lineRule="auto"/>
        <w:ind w:left="57"/>
        <w:jc w:val="left"/>
        <w:shd w:val="clear" w:fill="F2F2F2"/>
      </w:pPr>
      <w:r>
        <w:rPr>
          <w:rFonts w:ascii="Consolas" w:hAnsi="Consolas" w:cs="Consolas"/>
          <w:b w:val="0"/>
          <w:i w:val="0"/>
          <w:sz w:val="15"/>
        </w:rPr>
        <w:t xml:space="preserve">    valid_until TIMESTAMPTZ NOT NULL,</w:t>
      </w:r>
    </w:p>
    <w:p>
      <w:pPr>
        <w:spacing w:after="0" w:before="0" w:line="240" w:lineRule="auto"/>
        <w:ind w:left="57"/>
        <w:jc w:val="left"/>
        <w:shd w:val="clear" w:fill="F2F2F2"/>
      </w:pPr>
      <w:r>
        <w:rPr>
          <w:rFonts w:ascii="Consolas" w:hAnsi="Consolas" w:cs="Consolas"/>
          <w:b w:val="0"/>
          <w:i w:val="0"/>
          <w:sz w:val="15"/>
        </w:rPr>
        <w:t xml:space="preserve">    calibration_certificate_url TEXT,</w:t>
      </w:r>
    </w:p>
    <w:p>
      <w:pPr>
        <w:spacing w:after="0" w:before="0" w:line="240" w:lineRule="auto"/>
        <w:ind w:left="57"/>
        <w:jc w:val="left"/>
        <w:shd w:val="clear" w:fill="F2F2F2"/>
      </w:pPr>
      <w:r>
        <w:rPr>
          <w:rFonts w:ascii="Consolas" w:hAnsi="Consolas" w:cs="Consolas"/>
          <w:b w:val="0"/>
          <w:i w:val="0"/>
          <w:sz w:val="15"/>
        </w:rPr>
        <w:t xml:space="preserve">    verified BOOLEAN DEFAULT false,</w:t>
      </w:r>
    </w:p>
    <w:p>
      <w:pPr>
        <w:spacing w:after="0" w:before="0" w:line="240" w:lineRule="auto"/>
        <w:ind w:left="57"/>
        <w:jc w:val="left"/>
        <w:shd w:val="clear" w:fill="F2F2F2"/>
      </w:pPr>
      <w:r>
        <w:rPr>
          <w:rFonts w:ascii="Consolas" w:hAnsi="Consolas" w:cs="Consolas"/>
          <w:b w:val="0"/>
          <w:i w:val="0"/>
          <w:sz w:val="15"/>
        </w:rPr>
        <w:t xml:space="preserve">    verified_at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idx_cold_chain_requirements_hs ON cold_chain_requirements(hs_code);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idx_cold_chain_requirements_destination ON cold_chain_requirements(destination_country);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idx_pti_certificates_container ON pti_certificates(container_number);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idx_pti_certificates_valid_until ON pti_certificates(valid_until);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idx_cold_chain_readings_ustn ON cold_chain_readings(ustn);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idx_cold_chain_readings_recorded_at ON cold_chain_readings(recorded_at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idx_cold_chain_anomalies_ustn ON cold_chain_anomalies(ustn);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idx_data_logger_calibration_logger ON data_logger_calibration(logger_id);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22.7.4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/v1/cold-chain/requirements</w:t>
            </w:r>
          </w:p>
        </w:tc>
        <w:tc>
          <w:tcPr>
            <w:tcW w:type="dxa" w:w="3213"/>
          </w:tcPr>
          <w:p>
            <w:pPr>
              <w:spacing w:after="20" w:before="20" w:line="240" w:lineRule="auto"/>
            </w:pPr>
            <w:r/>
            <w:r>
              <w:rPr>
                <w:rFonts w:ascii="Arial" w:hAnsi="Arial" w:cs="Arial"/>
                <w:b w:val="0"/>
                <w:i w:val="0"/>
                <w:sz w:val="17"/>
              </w:rPr>
              <w:t>Get cold chain requirements for HS code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/v1/cold-chain/pti/register</w:t>
            </w:r>
          </w:p>
        </w:tc>
        <w:tc>
          <w:tcPr>
            <w:tcW w:type="dxa" w:w="3213"/>
          </w:tcPr>
          <w:p>
            <w:pPr>
              <w:spacing w:after="20" w:before="20" w:line="240" w:lineRule="auto"/>
            </w:pPr>
            <w:r/>
            <w:r>
              <w:rPr>
                <w:rFonts w:ascii="Arial" w:hAnsi="Arial" w:cs="Arial"/>
                <w:b w:val="0"/>
                <w:i w:val="0"/>
                <w:sz w:val="17"/>
              </w:rPr>
              <w:t>Register PTI certificate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/v1/cold-chain/status/{ustn}</w:t>
            </w:r>
          </w:p>
        </w:tc>
        <w:tc>
          <w:tcPr>
            <w:tcW w:type="dxa" w:w="3213"/>
          </w:tcPr>
          <w:p>
            <w:pPr>
              <w:spacing w:after="20" w:before="20" w:line="240" w:lineRule="auto"/>
            </w:pPr>
            <w:r/>
            <w:r>
              <w:rPr>
                <w:rFonts w:ascii="Arial" w:hAnsi="Arial" w:cs="Arial"/>
                <w:b w:val="0"/>
                <w:i w:val="0"/>
                <w:sz w:val="17"/>
              </w:rPr>
              <w:t>Get cold chain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/v1/cold-chain/reading</w:t>
            </w:r>
          </w:p>
        </w:tc>
        <w:tc>
          <w:tcPr>
            <w:tcW w:type="dxa" w:w="3213"/>
          </w:tcPr>
          <w:p>
            <w:pPr>
              <w:spacing w:after="20" w:before="20" w:line="240" w:lineRule="auto"/>
            </w:pPr>
            <w:r/>
            <w:r>
              <w:rPr>
                <w:rFonts w:ascii="Arial" w:hAnsi="Arial" w:cs="Arial"/>
                <w:b w:val="0"/>
                <w:i w:val="0"/>
                <w:sz w:val="17"/>
              </w:rPr>
              <w:t>Record temperature reading</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/v1/cold-chain/anomalies/{ustn}</w:t>
            </w:r>
          </w:p>
        </w:tc>
        <w:tc>
          <w:tcPr>
            <w:tcW w:type="dxa" w:w="3213"/>
          </w:tcPr>
          <w:p>
            <w:pPr>
              <w:spacing w:after="20" w:before="20" w:line="240" w:lineRule="auto"/>
            </w:pPr>
            <w:r/>
            <w:r>
              <w:rPr>
                <w:rFonts w:ascii="Arial" w:hAnsi="Arial" w:cs="Arial"/>
                <w:b w:val="0"/>
                <w:i w:val="0"/>
                <w:sz w:val="17"/>
              </w:rPr>
              <w:t>Get anomalies for USTN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22.7.5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Product Form Agent</w:t>
            </w:r>
          </w:p>
        </w:tc>
        <w:tc>
          <w:tcPr>
            <w:tcW w:type="dxa" w:w="4819"/>
          </w:tcPr>
          <w:p>
            <w:pPr>
              <w:spacing w:after="20" w:before="20" w:line="240" w:lineRule="auto"/>
            </w:pPr>
            <w:r/>
            <w:r>
              <w:rPr>
                <w:rFonts w:ascii="Arial" w:hAnsi="Arial" w:cs="Arial"/>
                <w:b w:val="0"/>
                <w:i w:val="0"/>
                <w:sz w:val="17"/>
              </w:rPr>
              <w:t>Cold chain requirements for product</w:t>
            </w:r>
          </w:p>
        </w:tc>
      </w:tr>
      <w:tr>
        <w:tc>
          <w:tcPr>
            <w:tcW w:type="dxa" w:w="4819"/>
          </w:tcPr>
          <w:p>
            <w:pPr>
              <w:spacing w:after="20" w:before="20" w:line="240" w:lineRule="auto"/>
            </w:pPr>
            <w:r/>
            <w:r>
              <w:rPr>
                <w:rFonts w:ascii="Arial" w:hAnsi="Arial" w:cs="Arial"/>
                <w:b w:val="0"/>
                <w:i w:val="0"/>
                <w:sz w:val="17"/>
              </w:rPr>
              <w:t>Section 6 — documentation</w:t>
            </w:r>
          </w:p>
        </w:tc>
        <w:tc>
          <w:tcPr>
            <w:tcW w:type="dxa" w:w="4819"/>
          </w:tcPr>
          <w:p>
            <w:pPr>
              <w:spacing w:after="20" w:before="20" w:line="240" w:lineRule="auto"/>
            </w:pPr>
            <w:r/>
            <w:r>
              <w:rPr>
                <w:rFonts w:ascii="Arial" w:hAnsi="Arial" w:cs="Arial"/>
                <w:b w:val="0"/>
                <w:i w:val="0"/>
                <w:sz w:val="17"/>
              </w:rPr>
              <w:t>PTI certificate required</w:t>
            </w:r>
          </w:p>
        </w:tc>
      </w:tr>
      <w:tr>
        <w:tc>
          <w:tcPr>
            <w:tcW w:type="dxa" w:w="4819"/>
          </w:tcPr>
          <w:p>
            <w:pPr>
              <w:spacing w:after="20" w:before="20" w:line="240" w:lineRule="auto"/>
            </w:pPr>
            <w:r/>
            <w:r>
              <w:rPr>
                <w:rFonts w:ascii="Arial" w:hAnsi="Arial" w:cs="Arial"/>
                <w:b w:val="0"/>
                <w:i w:val="0"/>
                <w:sz w:val="17"/>
              </w:rPr>
              <w:t>Section 8 — weight calculation</w:t>
            </w:r>
          </w:p>
        </w:tc>
        <w:tc>
          <w:tcPr>
            <w:tcW w:type="dxa" w:w="4819"/>
          </w:tcPr>
          <w:p>
            <w:pPr>
              <w:spacing w:after="20" w:before="20" w:line="240" w:lineRule="auto"/>
            </w:pPr>
            <w:r/>
            <w:r>
              <w:rPr>
                <w:rFonts w:ascii="Arial" w:hAnsi="Arial" w:cs="Arial"/>
                <w:b w:val="0"/>
                <w:i w:val="0"/>
                <w:sz w:val="17"/>
              </w:rPr>
              <w:t>Temperature-sensitive weight validation</w:t>
            </w:r>
          </w:p>
        </w:tc>
      </w:tr>
      <w:tr>
        <w:tc>
          <w:tcPr>
            <w:tcW w:type="dxa" w:w="4819"/>
          </w:tcPr>
          <w:p>
            <w:pPr>
              <w:spacing w:after="20" w:before="20" w:line="240" w:lineRule="auto"/>
            </w:pPr>
            <w:r/>
            <w:r>
              <w:rPr>
                <w:rFonts w:ascii="Arial" w:hAnsi="Arial" w:cs="Arial"/>
                <w:b w:val="0"/>
                <w:i w:val="0"/>
                <w:sz w:val="17"/>
              </w:rPr>
              <w:t>Section 17 — IoT sensor readings</w:t>
            </w:r>
          </w:p>
        </w:tc>
        <w:tc>
          <w:tcPr>
            <w:tcW w:type="dxa" w:w="4819"/>
          </w:tcPr>
          <w:p>
            <w:pPr>
              <w:spacing w:after="20" w:before="20" w:line="240" w:lineRule="auto"/>
            </w:pPr>
            <w:r/>
            <w:r>
              <w:rPr>
                <w:rFonts w:ascii="Arial" w:hAnsi="Arial" w:cs="Arial"/>
                <w:b w:val="0"/>
                <w:i w:val="0"/>
                <w:sz w:val="17"/>
              </w:rPr>
              <w:t>Enhanced anomaly detection</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Temperature excursion alerts</w:t>
            </w:r>
          </w:p>
        </w:tc>
      </w:tr>
      <w:tr>
        <w:tc>
          <w:tcPr>
            <w:tcW w:type="dxa" w:w="4819"/>
          </w:tcPr>
          <w:p>
            <w:pPr>
              <w:spacing w:after="20" w:before="20" w:line="240" w:lineRule="auto"/>
            </w:pPr>
            <w:r/>
            <w:r>
              <w:rPr>
                <w:rFonts w:ascii="Arial" w:hAnsi="Arial" w:cs="Arial"/>
                <w:b w:val="0"/>
                <w:i w:val="0"/>
                <w:sz w:val="17"/>
              </w:rPr>
              <w:t>Section 14 — disputes</w:t>
            </w:r>
          </w:p>
        </w:tc>
        <w:tc>
          <w:tcPr>
            <w:tcW w:type="dxa" w:w="4819"/>
          </w:tcPr>
          <w:p>
            <w:pPr>
              <w:spacing w:after="20" w:before="20" w:line="240" w:lineRule="auto"/>
            </w:pPr>
            <w:r/>
            <w:r>
              <w:rPr>
                <w:rFonts w:ascii="Arial" w:hAnsi="Arial" w:cs="Arial"/>
                <w:b w:val="0"/>
                <w:i w:val="0"/>
                <w:sz w:val="17"/>
              </w:rPr>
              <w:t>Cold chain evidence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22.7.6 Implementation Checklist</w:t>
      </w:r>
    </w:p>
    <w:p>
      <w:pPr>
        <w:spacing w:after="80" w:line="293" w:lineRule="auto"/>
        <w:ind w:left="283"/>
        <w:jc w:val="left"/>
      </w:pPr>
      <w:r>
        <w:rPr>
          <w:rFonts w:ascii="Times New Roman" w:hAnsi="Times New Roman" w:cs="Times New Roman"/>
          <w:b w:val="0"/>
          <w:i w:val="0"/>
          <w:sz w:val="22"/>
        </w:rPr>
        <w:t>- Create the `cold_chain_requirements` table.</w:t>
      </w:r>
    </w:p>
    <w:p>
      <w:pPr>
        <w:spacing w:after="80" w:line="293" w:lineRule="auto"/>
        <w:ind w:left="283"/>
        <w:jc w:val="left"/>
      </w:pPr>
      <w:r>
        <w:rPr>
          <w:rFonts w:ascii="Times New Roman" w:hAnsi="Times New Roman" w:cs="Times New Roman"/>
          <w:b w:val="0"/>
          <w:i w:val="0"/>
          <w:sz w:val="22"/>
        </w:rPr>
        <w:t>- Create the `pti_certificates` table.</w:t>
      </w:r>
    </w:p>
    <w:p>
      <w:pPr>
        <w:spacing w:after="80" w:line="293" w:lineRule="auto"/>
        <w:ind w:left="283"/>
        <w:jc w:val="left"/>
      </w:pPr>
      <w:r>
        <w:rPr>
          <w:rFonts w:ascii="Times New Roman" w:hAnsi="Times New Roman" w:cs="Times New Roman"/>
          <w:b w:val="0"/>
          <w:i w:val="0"/>
          <w:sz w:val="22"/>
        </w:rPr>
        <w:t>- Create the `cold_chain_readings` hypertable.</w:t>
      </w:r>
    </w:p>
    <w:p>
      <w:pPr>
        <w:spacing w:after="80" w:line="293" w:lineRule="auto"/>
        <w:ind w:left="283"/>
        <w:jc w:val="left"/>
      </w:pPr>
      <w:r>
        <w:rPr>
          <w:rFonts w:ascii="Times New Roman" w:hAnsi="Times New Roman" w:cs="Times New Roman"/>
          <w:b w:val="0"/>
          <w:i w:val="0"/>
          <w:sz w:val="22"/>
        </w:rPr>
        <w:t>- Create the `cold_chain_anomalies` table.</w:t>
      </w:r>
    </w:p>
    <w:p>
      <w:pPr>
        <w:spacing w:after="80" w:line="293" w:lineRule="auto"/>
        <w:ind w:left="283"/>
        <w:jc w:val="left"/>
      </w:pPr>
      <w:r>
        <w:rPr>
          <w:rFonts w:ascii="Times New Roman" w:hAnsi="Times New Roman" w:cs="Times New Roman"/>
          <w:b w:val="0"/>
          <w:i w:val="0"/>
          <w:sz w:val="22"/>
        </w:rPr>
        <w:t>- Create the `data_logger_calibration` table.</w:t>
      </w:r>
    </w:p>
    <w:p>
      <w:pPr>
        <w:spacing w:after="80" w:line="293" w:lineRule="auto"/>
        <w:ind w:left="283"/>
        <w:jc w:val="left"/>
      </w:pPr>
      <w:r>
        <w:rPr>
          <w:rFonts w:ascii="Times New Roman" w:hAnsi="Times New Roman" w:cs="Times New Roman"/>
          <w:b w:val="0"/>
          <w:i w:val="0"/>
          <w:sz w:val="22"/>
        </w:rPr>
        <w:t>- Implement A2 anomaly detection (LSTM).</w:t>
      </w:r>
    </w:p>
    <w:p>
      <w:pPr>
        <w:spacing w:after="80" w:line="293" w:lineRule="auto"/>
        <w:ind w:left="283"/>
        <w:jc w:val="left"/>
      </w:pPr>
      <w:r>
        <w:rPr>
          <w:rFonts w:ascii="Times New Roman" w:hAnsi="Times New Roman" w:cs="Times New Roman"/>
          <w:b w:val="0"/>
          <w:i w:val="0"/>
          <w:sz w:val="22"/>
        </w:rPr>
        <w:t>- Implement PTI certificate verification.</w:t>
      </w:r>
    </w:p>
    <w:p>
      <w:pPr>
        <w:spacing w:after="80" w:line="293" w:lineRule="auto"/>
        <w:ind w:left="283"/>
        <w:jc w:val="left"/>
      </w:pPr>
      <w:r>
        <w:rPr>
          <w:rFonts w:ascii="Times New Roman" w:hAnsi="Times New Roman" w:cs="Times New Roman"/>
          <w:b w:val="0"/>
          <w:i w:val="0"/>
          <w:sz w:val="22"/>
        </w:rPr>
        <w:t>- Add Smart Inbox alerts for temperature excursions.</w:t>
      </w:r>
    </w:p>
    <w:p>
      <w:pPr>
        <w:spacing w:after="80" w:line="293" w:lineRule="auto"/>
        <w:ind w:left="283"/>
        <w:jc w:val="left"/>
      </w:pPr>
      <w:r>
        <w:rPr>
          <w:rFonts w:ascii="Times New Roman" w:hAnsi="Times New Roman" w:cs="Times New Roman"/>
          <w:b w:val="0"/>
          <w:i w:val="0"/>
          <w:sz w:val="22"/>
        </w:rPr>
        <w:t>- Add cold chain evidence to the dispute package.</w:t>
      </w:r>
    </w:p>
    <w:p>
      <w:pPr>
        <w:keepNext/>
        <w:spacing w:before="240" w:after="100"/>
        <w:outlineLvl w:val="1"/>
      </w:pPr>
      <w:r>
        <w:rPr>
          <w:rFonts w:ascii="Arial" w:hAnsi="Arial" w:cs="Arial"/>
          <w:b/>
          <w:i w:val="0"/>
          <w:color w:val="2E528F"/>
          <w:sz w:val="26"/>
        </w:rPr>
        <w:t>22.8 Add-On 13: Inspection Agency Accreditation</w:t>
      </w:r>
    </w:p>
    <w:p>
      <w:pPr>
        <w:keepNext/>
        <w:spacing w:before="180" w:after="80"/>
        <w:outlineLvl w:val="2"/>
      </w:pPr>
      <w:r>
        <w:rPr>
          <w:rFonts w:ascii="Arial" w:hAnsi="Arial" w:cs="Arial"/>
          <w:b/>
          <w:i w:val="0"/>
          <w:color w:val="333333"/>
          <w:sz w:val="23"/>
        </w:rPr>
        <w:t>22.8.1 Purpose &amp; Design Philosophy</w:t>
      </w:r>
    </w:p>
    <w:p>
      <w:pPr>
        <w:spacing w:after="80" w:line="293" w:lineRule="auto"/>
        <w:jc w:val="left"/>
      </w:pPr>
      <w:r>
        <w:rPr>
          <w:rFonts w:ascii="Times New Roman" w:hAnsi="Times New Roman" w:cs="Times New Roman"/>
          <w:b w:val="0"/>
          <w:i w:val="0"/>
          <w:sz w:val="22"/>
        </w:rPr>
        <w:t>Track ISO 17020 accreditation, scope of work, and performance metrics for QC inspection agencies.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Accreditation tracking — ISO 17020, scope, expiry.</w:t>
      </w:r>
    </w:p>
    <w:p>
      <w:pPr>
        <w:spacing w:after="80" w:line="293" w:lineRule="auto"/>
        <w:ind w:left="283"/>
        <w:jc w:val="left"/>
      </w:pPr>
      <w:r>
        <w:rPr>
          <w:rFonts w:ascii="Times New Roman" w:hAnsi="Times New Roman" w:cs="Times New Roman"/>
          <w:b w:val="0"/>
          <w:i w:val="0"/>
          <w:sz w:val="22"/>
        </w:rPr>
        <w:t>- Performance metrics — acceptance rate, override rate, dispute rate.</w:t>
      </w:r>
    </w:p>
    <w:p>
      <w:pPr>
        <w:spacing w:after="80" w:line="293" w:lineRule="auto"/>
        <w:ind w:left="283"/>
        <w:jc w:val="left"/>
      </w:pPr>
      <w:r>
        <w:rPr>
          <w:rFonts w:ascii="Times New Roman" w:hAnsi="Times New Roman" w:cs="Times New Roman"/>
          <w:b w:val="0"/>
          <w:i w:val="0"/>
          <w:sz w:val="22"/>
        </w:rPr>
        <w:t>- Jurisdiction-aware — different accreditation bodies per country.</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performance summaries.</w:t>
      </w:r>
    </w:p>
    <w:p>
      <w:pPr>
        <w:spacing w:after="80" w:line="293" w:lineRule="auto"/>
        <w:ind w:left="283"/>
        <w:jc w:val="left"/>
      </w:pPr>
      <w:r>
        <w:rPr>
          <w:rFonts w:ascii="Times New Roman" w:hAnsi="Times New Roman" w:cs="Times New Roman"/>
          <w:b w:val="0"/>
          <w:i w:val="0"/>
          <w:sz w:val="22"/>
        </w:rPr>
        <w:t>- A2 (HF local → Ollama): trend analysis.</w:t>
      </w:r>
    </w:p>
    <w:p>
      <w:pPr>
        <w:spacing w:after="80" w:line="293" w:lineRule="auto"/>
        <w:ind w:left="283"/>
        <w:jc w:val="left"/>
      </w:pPr>
      <w:r>
        <w:rPr>
          <w:rFonts w:ascii="Times New Roman" w:hAnsi="Times New Roman" w:cs="Times New Roman"/>
          <w:b w:val="0"/>
          <w:i w:val="0"/>
          <w:sz w:val="22"/>
        </w:rPr>
        <w:t>- A4 (OPA + WasmEdge): enforcement.</w:t>
      </w:r>
    </w:p>
    <w:p>
      <w:pPr>
        <w:keepNext/>
        <w:spacing w:before="180" w:after="80"/>
        <w:outlineLvl w:val="2"/>
      </w:pPr>
      <w:r>
        <w:rPr>
          <w:rFonts w:ascii="Arial" w:hAnsi="Arial" w:cs="Arial"/>
          <w:b/>
          <w:i w:val="0"/>
          <w:color w:val="333333"/>
          <w:sz w:val="23"/>
        </w:rPr>
        <w:t>22.8.2 Database Schema</w:t>
      </w:r>
    </w:p>
    <w:p>
      <w:pPr>
        <w:spacing w:after="0" w:before="0" w:line="240" w:lineRule="auto"/>
        <w:ind w:left="57"/>
        <w:jc w:val="left"/>
        <w:shd w:val="clear" w:fill="F2F2F2"/>
      </w:pPr>
      <w:r>
        <w:rPr>
          <w:rFonts w:ascii="Consolas" w:hAnsi="Consolas" w:cs="Consolas"/>
          <w:b w:val="0"/>
          <w:i w:val="0"/>
          <w:sz w:val="15"/>
        </w:rPr>
        <w:t>-- Inspection agency accreditations</w:t>
      </w:r>
    </w:p>
    <w:p>
      <w:pPr>
        <w:spacing w:after="0" w:before="0" w:line="240" w:lineRule="auto"/>
        <w:ind w:left="57"/>
        <w:jc w:val="left"/>
        <w:shd w:val="clear" w:fill="F2F2F2"/>
      </w:pPr>
      <w:r>
        <w:rPr>
          <w:rFonts w:ascii="Consolas" w:hAnsi="Consolas" w:cs="Consolas"/>
          <w:b w:val="0"/>
          <w:i w:val="0"/>
          <w:sz w:val="15"/>
        </w:rPr>
        <w:t>CREATE TABLE inspection_agency_accreditations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agency_gtid TEXT NOT NULL REFERENCES tenants(gtid),</w:t>
      </w:r>
    </w:p>
    <w:p>
      <w:pPr>
        <w:spacing w:after="0" w:before="0" w:line="240" w:lineRule="auto"/>
        <w:ind w:left="57"/>
        <w:jc w:val="left"/>
        <w:shd w:val="clear" w:fill="F2F2F2"/>
      </w:pPr>
      <w:r>
        <w:rPr>
          <w:rFonts w:ascii="Consolas" w:hAnsi="Consolas" w:cs="Consolas"/>
          <w:b w:val="0"/>
          <w:i w:val="0"/>
          <w:sz w:val="15"/>
        </w:rPr>
        <w:t xml:space="preserve">    accreditation_standard TEXT NOT NULL, -- 'ISO 17020'</w:t>
      </w:r>
    </w:p>
    <w:p>
      <w:pPr>
        <w:spacing w:after="0" w:before="0" w:line="240" w:lineRule="auto"/>
        <w:ind w:left="57"/>
        <w:jc w:val="left"/>
        <w:shd w:val="clear" w:fill="F2F2F2"/>
      </w:pPr>
      <w:r>
        <w:rPr>
          <w:rFonts w:ascii="Consolas" w:hAnsi="Consolas" w:cs="Consolas"/>
          <w:b w:val="0"/>
          <w:i w:val="0"/>
          <w:sz w:val="15"/>
        </w:rPr>
        <w:t xml:space="preserve">    accreditation_body TEXT NOT NULL,</w:t>
      </w:r>
    </w:p>
    <w:p>
      <w:pPr>
        <w:spacing w:after="0" w:before="0" w:line="240" w:lineRule="auto"/>
        <w:ind w:left="57"/>
        <w:jc w:val="left"/>
        <w:shd w:val="clear" w:fill="F2F2F2"/>
      </w:pPr>
      <w:r>
        <w:rPr>
          <w:rFonts w:ascii="Consolas" w:hAnsi="Consolas" w:cs="Consolas"/>
          <w:b w:val="0"/>
          <w:i w:val="0"/>
          <w:sz w:val="15"/>
        </w:rPr>
        <w:t xml:space="preserve">    certificate_number TEXT NOT NULL,</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scope_of_accreditation TEXT[],       -- commodity types, regions</w:t>
      </w:r>
    </w:p>
    <w:p>
      <w:pPr>
        <w:spacing w:after="0" w:before="0" w:line="240" w:lineRule="auto"/>
        <w:ind w:left="57"/>
        <w:jc w:val="left"/>
        <w:shd w:val="clear" w:fill="F2F2F2"/>
      </w:pPr>
      <w:r>
        <w:rPr>
          <w:rFonts w:ascii="Consolas" w:hAnsi="Consolas" w:cs="Consolas"/>
          <w:b w:val="0"/>
          <w:i w:val="0"/>
          <w:sz w:val="15"/>
        </w:rPr>
        <w:t xml:space="preserve">    verified BOOLEAN DEFAULT false,</w:t>
      </w:r>
    </w:p>
    <w:p>
      <w:pPr>
        <w:spacing w:after="0" w:before="0" w:line="240" w:lineRule="auto"/>
        <w:ind w:left="57"/>
        <w:jc w:val="left"/>
        <w:shd w:val="clear" w:fill="F2F2F2"/>
      </w:pPr>
      <w:r>
        <w:rPr>
          <w:rFonts w:ascii="Consolas" w:hAnsi="Consolas" w:cs="Consolas"/>
          <w:b w:val="0"/>
          <w:i w:val="0"/>
          <w:sz w:val="15"/>
        </w:rPr>
        <w:t xml:space="preserve">    verified_at TIMESTAMPTZ,</w:t>
      </w:r>
    </w:p>
    <w:p>
      <w:pPr>
        <w:spacing w:after="0" w:before="0" w:line="240" w:lineRule="auto"/>
        <w:ind w:left="57"/>
        <w:jc w:val="left"/>
        <w:shd w:val="clear" w:fill="F2F2F2"/>
      </w:pPr>
      <w:r>
        <w:rPr>
          <w:rFonts w:ascii="Consolas" w:hAnsi="Consolas" w:cs="Consolas"/>
          <w:b w:val="0"/>
          <w:i w:val="0"/>
          <w:sz w:val="15"/>
        </w:rPr>
        <w:t xml:space="preserve">    status TEXT DEFAULT 'ACTIVE',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Agency performance metrics</w:t>
      </w:r>
    </w:p>
    <w:p>
      <w:pPr>
        <w:spacing w:after="0" w:before="0" w:line="240" w:lineRule="auto"/>
        <w:ind w:left="57"/>
        <w:jc w:val="left"/>
        <w:shd w:val="clear" w:fill="F2F2F2"/>
      </w:pPr>
      <w:r>
        <w:rPr>
          <w:rFonts w:ascii="Consolas" w:hAnsi="Consolas" w:cs="Consolas"/>
          <w:b w:val="0"/>
          <w:i w:val="0"/>
          <w:sz w:val="15"/>
        </w:rPr>
        <w:t>CREATE TABLE inspection_agency_performance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agency_gtid TEXT NOT NULL REFERENCES tenants(gtid),</w:t>
      </w:r>
    </w:p>
    <w:p>
      <w:pPr>
        <w:spacing w:after="0" w:before="0" w:line="240" w:lineRule="auto"/>
        <w:ind w:left="57"/>
        <w:jc w:val="left"/>
        <w:shd w:val="clear" w:fill="F2F2F2"/>
      </w:pPr>
      <w:r>
        <w:rPr>
          <w:rFonts w:ascii="Consolas" w:hAnsi="Consolas" w:cs="Consolas"/>
          <w:b w:val="0"/>
          <w:i w:val="0"/>
          <w:sz w:val="15"/>
        </w:rPr>
        <w:t xml:space="preserve">    total_inspections INTEGER DEFAULT 0,</w:t>
      </w:r>
    </w:p>
    <w:p>
      <w:pPr>
        <w:spacing w:after="0" w:before="0" w:line="240" w:lineRule="auto"/>
        <w:ind w:left="57"/>
        <w:jc w:val="left"/>
        <w:shd w:val="clear" w:fill="F2F2F2"/>
      </w:pPr>
      <w:r>
        <w:rPr>
          <w:rFonts w:ascii="Consolas" w:hAnsi="Consolas" w:cs="Consolas"/>
          <w:b w:val="0"/>
          <w:i w:val="0"/>
          <w:sz w:val="15"/>
        </w:rPr>
        <w:t xml:space="preserve">    acceptance_rate DECIMAL(5,2),</w:t>
      </w:r>
    </w:p>
    <w:p>
      <w:pPr>
        <w:spacing w:after="0" w:before="0" w:line="240" w:lineRule="auto"/>
        <w:ind w:left="57"/>
        <w:jc w:val="left"/>
        <w:shd w:val="clear" w:fill="F2F2F2"/>
      </w:pPr>
      <w:r>
        <w:rPr>
          <w:rFonts w:ascii="Consolas" w:hAnsi="Consolas" w:cs="Consolas"/>
          <w:b w:val="0"/>
          <w:i w:val="0"/>
          <w:sz w:val="15"/>
        </w:rPr>
        <w:t xml:space="preserve">    override_rate DECIMAL(5,2),</w:t>
      </w:r>
    </w:p>
    <w:p>
      <w:pPr>
        <w:spacing w:after="0" w:before="0" w:line="240" w:lineRule="auto"/>
        <w:ind w:left="57"/>
        <w:jc w:val="left"/>
        <w:shd w:val="clear" w:fill="F2F2F2"/>
      </w:pPr>
      <w:r>
        <w:rPr>
          <w:rFonts w:ascii="Consolas" w:hAnsi="Consolas" w:cs="Consolas"/>
          <w:b w:val="0"/>
          <w:i w:val="0"/>
          <w:sz w:val="15"/>
        </w:rPr>
        <w:t xml:space="preserve">    dispute_rate DECIMAL(5,2),</w:t>
      </w:r>
    </w:p>
    <w:p>
      <w:pPr>
        <w:spacing w:after="0" w:before="0" w:line="240" w:lineRule="auto"/>
        <w:ind w:left="57"/>
        <w:jc w:val="left"/>
        <w:shd w:val="clear" w:fill="F2F2F2"/>
      </w:pPr>
      <w:r>
        <w:rPr>
          <w:rFonts w:ascii="Consolas" w:hAnsi="Consolas" w:cs="Consolas"/>
          <w:b w:val="0"/>
          <w:i w:val="0"/>
          <w:sz w:val="15"/>
        </w:rPr>
        <w:t xml:space="preserve">    average_turnaround_hours DECIMAL(5,2),</w:t>
      </w:r>
    </w:p>
    <w:p>
      <w:pPr>
        <w:spacing w:after="0" w:before="0" w:line="240" w:lineRule="auto"/>
        <w:ind w:left="57"/>
        <w:jc w:val="left"/>
        <w:shd w:val="clear" w:fill="F2F2F2"/>
      </w:pPr>
      <w:r>
        <w:rPr>
          <w:rFonts w:ascii="Consolas" w:hAnsi="Consolas" w:cs="Consolas"/>
          <w:b w:val="0"/>
          <w:i w:val="0"/>
          <w:sz w:val="15"/>
        </w:rPr>
        <w:t xml:space="preserve">    last_assessment TIMESTAMPTZ,</w:t>
      </w:r>
    </w:p>
    <w:p>
      <w:pPr>
        <w:spacing w:after="0" w:before="0" w:line="240" w:lineRule="auto"/>
        <w:ind w:left="57"/>
        <w:jc w:val="left"/>
        <w:shd w:val="clear" w:fill="F2F2F2"/>
      </w:pPr>
      <w:r>
        <w:rPr>
          <w:rFonts w:ascii="Consolas" w:hAnsi="Consolas" w:cs="Consolas"/>
          <w:b w:val="0"/>
          <w:i w:val="0"/>
          <w:sz w:val="15"/>
        </w:rPr>
        <w:t xml:space="preserve">    rating DECIMAL(3,2),</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Accreditation bodies by jurisdiction</w:t>
      </w:r>
    </w:p>
    <w:p>
      <w:pPr>
        <w:spacing w:after="0" w:before="0" w:line="240" w:lineRule="auto"/>
        <w:ind w:left="57"/>
        <w:jc w:val="left"/>
        <w:shd w:val="clear" w:fill="F2F2F2"/>
      </w:pPr>
      <w:r>
        <w:rPr>
          <w:rFonts w:ascii="Consolas" w:hAnsi="Consolas" w:cs="Consolas"/>
          <w:b w:val="0"/>
          <w:i w:val="0"/>
          <w:sz w:val="15"/>
        </w:rPr>
        <w:t>CREATE TABLE accreditation_bodies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jurisdiction_code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body_name TEXT NOT NULL,</w:t>
      </w:r>
    </w:p>
    <w:p>
      <w:pPr>
        <w:spacing w:after="0" w:before="0" w:line="240" w:lineRule="auto"/>
        <w:ind w:left="57"/>
        <w:jc w:val="left"/>
        <w:shd w:val="clear" w:fill="F2F2F2"/>
      </w:pPr>
      <w:r>
        <w:rPr>
          <w:rFonts w:ascii="Consolas" w:hAnsi="Consolas" w:cs="Consolas"/>
          <w:b w:val="0"/>
          <w:i w:val="0"/>
          <w:sz w:val="15"/>
        </w:rPr>
        <w:t xml:space="preserve">    body_website TEXT,</w:t>
      </w:r>
    </w:p>
    <w:p>
      <w:pPr>
        <w:spacing w:after="0" w:before="0" w:line="240" w:lineRule="auto"/>
        <w:ind w:left="57"/>
        <w:jc w:val="left"/>
        <w:shd w:val="clear" w:fill="F2F2F2"/>
      </w:pPr>
      <w:r>
        <w:rPr>
          <w:rFonts w:ascii="Consolas" w:hAnsi="Consolas" w:cs="Consolas"/>
          <w:b w:val="0"/>
          <w:i w:val="0"/>
          <w:sz w:val="15"/>
        </w:rPr>
        <w:t xml:space="preserve">    standard TEXT NOT NULL,              -- 'ISO 17020'</w:t>
      </w:r>
    </w:p>
    <w:p>
      <w:pPr>
        <w:spacing w:after="0" w:before="0" w:line="240" w:lineRule="auto"/>
        <w:ind w:left="57"/>
        <w:jc w:val="left"/>
        <w:shd w:val="clear" w:fill="F2F2F2"/>
      </w:pPr>
      <w:r>
        <w:rPr>
          <w:rFonts w:ascii="Consolas" w:hAnsi="Consolas" w:cs="Consolas"/>
          <w:b w:val="0"/>
          <w:i w:val="0"/>
          <w:sz w:val="15"/>
        </w:rPr>
        <w:t xml:space="preserve">    recognized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idx_inspection_agency_accreditations_agency ON inspection_agency_accreditations(agency_gtid);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idx_inspection_agency_accreditations_valid_to ON inspection_agency_accreditations(valid_to);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idx_inspection_agency_performance_agency ON inspection_agency_performance(agency_gtid);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idx_accreditation_bodies_jurisdiction ON accreditation_bodies(jurisdiction_code);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22.8.3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/v1/accreditation/status/{agency_gtid}</w:t>
            </w:r>
          </w:p>
        </w:tc>
        <w:tc>
          <w:tcPr>
            <w:tcW w:type="dxa" w:w="3213"/>
          </w:tcPr>
          <w:p>
            <w:pPr>
              <w:spacing w:after="20" w:before="20" w:line="240" w:lineRule="auto"/>
            </w:pPr>
            <w:r/>
            <w:r>
              <w:rPr>
                <w:rFonts w:ascii="Arial" w:hAnsi="Arial" w:cs="Arial"/>
                <w:b w:val="0"/>
                <w:i w:val="0"/>
                <w:sz w:val="17"/>
              </w:rPr>
              <w:t>Get accreditation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/v1/accreditation/register</w:t>
            </w:r>
          </w:p>
        </w:tc>
        <w:tc>
          <w:tcPr>
            <w:tcW w:type="dxa" w:w="3213"/>
          </w:tcPr>
          <w:p>
            <w:pPr>
              <w:spacing w:after="20" w:before="20" w:line="240" w:lineRule="auto"/>
            </w:pPr>
            <w:r/>
            <w:r>
              <w:rPr>
                <w:rFonts w:ascii="Arial" w:hAnsi="Arial" w:cs="Arial"/>
                <w:b w:val="0"/>
                <w:i w:val="0"/>
                <w:sz w:val="17"/>
              </w:rPr>
              <w:t>Register new accreditation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/v1/accreditation/performance/{agency_gtid}</w:t>
            </w:r>
          </w:p>
        </w:tc>
        <w:tc>
          <w:tcPr>
            <w:tcW w:type="dxa" w:w="3213"/>
          </w:tcPr>
          <w:p>
            <w:pPr>
              <w:spacing w:after="20" w:before="20" w:line="240" w:lineRule="auto"/>
            </w:pPr>
            <w:r/>
            <w:r>
              <w:rPr>
                <w:rFonts w:ascii="Arial" w:hAnsi="Arial" w:cs="Arial"/>
                <w:b w:val="0"/>
                <w:i w:val="0"/>
                <w:sz w:val="17"/>
              </w:rPr>
              <w:t>Get performance metrics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/v1/accreditation/bodies</w:t>
            </w:r>
          </w:p>
        </w:tc>
        <w:tc>
          <w:tcPr>
            <w:tcW w:type="dxa" w:w="3213"/>
          </w:tcPr>
          <w:p>
            <w:pPr>
              <w:spacing w:after="20" w:before="20" w:line="240" w:lineRule="auto"/>
            </w:pPr>
            <w:r/>
            <w:r>
              <w:rPr>
                <w:rFonts w:ascii="Arial" w:hAnsi="Arial" w:cs="Arial"/>
                <w:b w:val="0"/>
                <w:i w:val="0"/>
                <w:sz w:val="17"/>
              </w:rPr>
              <w:t>List accreditation bodies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22.8.4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11 — QC portal</w:t>
            </w:r>
          </w:p>
        </w:tc>
        <w:tc>
          <w:tcPr>
            <w:tcW w:type="dxa" w:w="4819"/>
          </w:tcPr>
          <w:p>
            <w:pPr>
              <w:spacing w:after="20" w:before="20" w:line="240" w:lineRule="auto"/>
            </w:pPr>
            <w:r/>
            <w:r>
              <w:rPr>
                <w:rFonts w:ascii="Arial" w:hAnsi="Arial" w:cs="Arial"/>
                <w:b w:val="0"/>
                <w:i w:val="0"/>
                <w:sz w:val="17"/>
              </w:rPr>
              <w:t>Check accreditation before job assignment</w:t>
            </w:r>
          </w:p>
        </w:tc>
      </w:tr>
      <w:tr>
        <w:tc>
          <w:tcPr>
            <w:tcW w:type="dxa" w:w="4819"/>
          </w:tcPr>
          <w:p>
            <w:pPr>
              <w:spacing w:after="20" w:before="20" w:line="240" w:lineRule="auto"/>
            </w:pPr>
            <w:r/>
            <w:r>
              <w:rPr>
                <w:rFonts w:ascii="Arial" w:hAnsi="Arial" w:cs="Arial"/>
                <w:b w:val="0"/>
                <w:i w:val="0"/>
                <w:sz w:val="17"/>
              </w:rPr>
              <w:t>Section 4 — onboarding</w:t>
            </w:r>
          </w:p>
        </w:tc>
        <w:tc>
          <w:tcPr>
            <w:tcW w:type="dxa" w:w="4819"/>
          </w:tcPr>
          <w:p>
            <w:pPr>
              <w:spacing w:after="20" w:before="20" w:line="240" w:lineRule="auto"/>
            </w:pPr>
            <w:r/>
            <w:r>
              <w:rPr>
                <w:rFonts w:ascii="Arial" w:hAnsi="Arial" w:cs="Arial"/>
                <w:b w:val="0"/>
                <w:i w:val="0"/>
                <w:sz w:val="17"/>
              </w:rPr>
              <w:t>Upload accreditation</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Expiry alerts</w:t>
            </w:r>
          </w:p>
        </w:tc>
      </w:tr>
      <w:tr>
        <w:tc>
          <w:tcPr>
            <w:tcW w:type="dxa" w:w="4819"/>
          </w:tcPr>
          <w:p>
            <w:pPr>
              <w:spacing w:after="20" w:before="20" w:line="240" w:lineRule="auto"/>
            </w:pPr>
            <w:r/>
            <w:r>
              <w:rPr>
                <w:rFonts w:ascii="Arial" w:hAnsi="Arial" w:cs="Arial"/>
                <w:b w:val="0"/>
                <w:i w:val="0"/>
                <w:sz w:val="17"/>
              </w:rPr>
              <w:t>Section 16 — Government Portal</w:t>
            </w:r>
          </w:p>
        </w:tc>
        <w:tc>
          <w:tcPr>
            <w:tcW w:type="dxa" w:w="4819"/>
          </w:tcPr>
          <w:p>
            <w:pPr>
              <w:spacing w:after="20" w:before="20" w:line="240" w:lineRule="auto"/>
            </w:pPr>
            <w:r/>
            <w:r>
              <w:rPr>
                <w:rFonts w:ascii="Arial" w:hAnsi="Arial" w:cs="Arial"/>
                <w:b w:val="0"/>
                <w:i w:val="0"/>
                <w:sz w:val="17"/>
              </w:rPr>
              <w:t>Accreditation view</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22.8.5 Implementation Checklist</w:t>
      </w:r>
    </w:p>
    <w:p>
      <w:pPr>
        <w:spacing w:after="80" w:line="293" w:lineRule="auto"/>
        <w:ind w:left="283"/>
        <w:jc w:val="left"/>
      </w:pPr>
      <w:r>
        <w:rPr>
          <w:rFonts w:ascii="Times New Roman" w:hAnsi="Times New Roman" w:cs="Times New Roman"/>
          <w:b w:val="0"/>
          <w:i w:val="0"/>
          <w:sz w:val="22"/>
        </w:rPr>
        <w:t>- Create the `inspection_agency_accreditations` table.</w:t>
      </w:r>
    </w:p>
    <w:p>
      <w:pPr>
        <w:spacing w:after="80" w:line="293" w:lineRule="auto"/>
        <w:ind w:left="283"/>
        <w:jc w:val="left"/>
      </w:pPr>
      <w:r>
        <w:rPr>
          <w:rFonts w:ascii="Times New Roman" w:hAnsi="Times New Roman" w:cs="Times New Roman"/>
          <w:b w:val="0"/>
          <w:i w:val="0"/>
          <w:sz w:val="22"/>
        </w:rPr>
        <w:t>- Create the `inspection_agency_performance` table.</w:t>
      </w:r>
    </w:p>
    <w:p>
      <w:pPr>
        <w:spacing w:after="80" w:line="293" w:lineRule="auto"/>
        <w:ind w:left="283"/>
        <w:jc w:val="left"/>
      </w:pPr>
      <w:r>
        <w:rPr>
          <w:rFonts w:ascii="Times New Roman" w:hAnsi="Times New Roman" w:cs="Times New Roman"/>
          <w:b w:val="0"/>
          <w:i w:val="0"/>
          <w:sz w:val="22"/>
        </w:rPr>
        <w:t>- Create the `accreditation_bodies` table.</w:t>
      </w:r>
    </w:p>
    <w:p>
      <w:pPr>
        <w:spacing w:after="80" w:line="293" w:lineRule="auto"/>
        <w:ind w:left="283"/>
        <w:jc w:val="left"/>
      </w:pPr>
      <w:r>
        <w:rPr>
          <w:rFonts w:ascii="Times New Roman" w:hAnsi="Times New Roman" w:cs="Times New Roman"/>
          <w:b w:val="0"/>
          <w:i w:val="0"/>
          <w:sz w:val="22"/>
        </w:rPr>
        <w:t>- Implement the accreditation check in QC job assignment.</w:t>
      </w:r>
    </w:p>
    <w:p>
      <w:pPr>
        <w:spacing w:after="80" w:line="293" w:lineRule="auto"/>
        <w:ind w:left="283"/>
        <w:jc w:val="left"/>
      </w:pPr>
      <w:r>
        <w:rPr>
          <w:rFonts w:ascii="Times New Roman" w:hAnsi="Times New Roman" w:cs="Times New Roman"/>
          <w:b w:val="0"/>
          <w:i w:val="0"/>
          <w:sz w:val="22"/>
        </w:rPr>
        <w:t>- Add expiry monitoring and alerts.</w:t>
      </w:r>
    </w:p>
    <w:p>
      <w:pPr>
        <w:spacing w:after="80" w:line="293" w:lineRule="auto"/>
        <w:ind w:left="283"/>
        <w:jc w:val="left"/>
      </w:pPr>
      <w:r>
        <w:rPr>
          <w:rFonts w:ascii="Times New Roman" w:hAnsi="Times New Roman" w:cs="Times New Roman"/>
          <w:b w:val="0"/>
          <w:i w:val="0"/>
          <w:sz w:val="22"/>
        </w:rPr>
        <w:t>- Add performance tracking.</w:t>
      </w:r>
    </w:p>
    <w:p>
      <w:pPr>
        <w:keepNext/>
        <w:spacing w:before="240" w:after="100"/>
        <w:outlineLvl w:val="1"/>
      </w:pPr>
      <w:r>
        <w:rPr>
          <w:rFonts w:ascii="Arial" w:hAnsi="Arial" w:cs="Arial"/>
          <w:b/>
          <w:i w:val="0"/>
          <w:color w:val="2E528F"/>
          <w:sz w:val="26"/>
        </w:rPr>
        <w:t>22.9 Add-On 14: Currency Risk Management</w:t>
      </w:r>
    </w:p>
    <w:p>
      <w:pPr>
        <w:keepNext/>
        <w:spacing w:before="180" w:after="80"/>
        <w:outlineLvl w:val="2"/>
      </w:pPr>
      <w:r>
        <w:rPr>
          <w:rFonts w:ascii="Arial" w:hAnsi="Arial" w:cs="Arial"/>
          <w:b/>
          <w:i w:val="0"/>
          <w:color w:val="333333"/>
          <w:sz w:val="23"/>
        </w:rPr>
        <w:t>22.9.1 Purpose &amp; Design Philosophy</w:t>
      </w:r>
    </w:p>
    <w:p>
      <w:pPr>
        <w:spacing w:after="80" w:line="293" w:lineRule="auto"/>
        <w:jc w:val="left"/>
      </w:pPr>
      <w:r>
        <w:rPr>
          <w:rFonts w:ascii="Times New Roman" w:hAnsi="Times New Roman" w:cs="Times New Roman"/>
          <w:b w:val="0"/>
          <w:i w:val="0"/>
          <w:sz w:val="22"/>
        </w:rPr>
        <w:t>Real-time FX rates (ECB), hedging recommendations, and natural hedging opportunities.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Real-time FX — ECB daily rates (free XML feed).</w:t>
      </w:r>
    </w:p>
    <w:p>
      <w:pPr>
        <w:spacing w:after="80" w:line="293" w:lineRule="auto"/>
        <w:ind w:left="283"/>
        <w:jc w:val="left"/>
      </w:pPr>
      <w:r>
        <w:rPr>
          <w:rFonts w:ascii="Times New Roman" w:hAnsi="Times New Roman" w:cs="Times New Roman"/>
          <w:b w:val="0"/>
          <w:i w:val="0"/>
          <w:sz w:val="22"/>
        </w:rPr>
        <w:t>- Hedging recommendations — based on exposure and volatility.</w:t>
      </w:r>
    </w:p>
    <w:p>
      <w:pPr>
        <w:spacing w:after="80" w:line="293" w:lineRule="auto"/>
        <w:ind w:left="283"/>
        <w:jc w:val="left"/>
      </w:pPr>
      <w:r>
        <w:rPr>
          <w:rFonts w:ascii="Times New Roman" w:hAnsi="Times New Roman" w:cs="Times New Roman"/>
          <w:b w:val="0"/>
          <w:i w:val="0"/>
          <w:sz w:val="22"/>
        </w:rPr>
        <w:t>- Natural hedging — match inflows with outflows.</w:t>
      </w:r>
    </w:p>
    <w:p>
      <w:pPr>
        <w:spacing w:after="80" w:line="293" w:lineRule="auto"/>
        <w:ind w:left="283"/>
        <w:jc w:val="left"/>
      </w:pPr>
      <w:r>
        <w:rPr>
          <w:rFonts w:ascii="Times New Roman" w:hAnsi="Times New Roman" w:cs="Times New Roman"/>
          <w:b w:val="0"/>
          <w:i w:val="0"/>
          <w:sz w:val="22"/>
        </w:rPr>
        <w:t>- Advisory only — never forces hedging.</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A2 (HF local → Ollama): volatility prediction.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22.9.2 Database Schema</w:t>
      </w:r>
    </w:p>
    <w:p>
      <w:pPr>
        <w:spacing w:after="0" w:before="0" w:line="240" w:lineRule="auto"/>
        <w:ind w:left="57"/>
        <w:jc w:val="left"/>
        <w:shd w:val="clear" w:fill="F2F2F2"/>
      </w:pPr>
      <w:r>
        <w:rPr>
          <w:rFonts w:ascii="Consolas" w:hAnsi="Consolas" w:cs="Consolas"/>
          <w:b w:val="0"/>
          <w:i w:val="0"/>
          <w:sz w:val="15"/>
        </w:rPr>
        <w:t>-- Currency exposures</w:t>
      </w:r>
    </w:p>
    <w:p>
      <w:pPr>
        <w:spacing w:after="0" w:before="0" w:line="240" w:lineRule="auto"/>
        <w:ind w:left="57"/>
        <w:jc w:val="left"/>
        <w:shd w:val="clear" w:fill="F2F2F2"/>
      </w:pPr>
      <w:r>
        <w:rPr>
          <w:rFonts w:ascii="Consolas" w:hAnsi="Consolas" w:cs="Consolas"/>
          <w:b w:val="0"/>
          <w:i w:val="0"/>
          <w:sz w:val="15"/>
        </w:rPr>
        <w:t>CREATE TABLE currency_exposures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base_currency TEXT NOT NULL,</w:t>
      </w:r>
    </w:p>
    <w:p>
      <w:pPr>
        <w:spacing w:after="0" w:before="0" w:line="240" w:lineRule="auto"/>
        <w:ind w:left="57"/>
        <w:jc w:val="left"/>
        <w:shd w:val="clear" w:fill="F2F2F2"/>
      </w:pPr>
      <w:r>
        <w:rPr>
          <w:rFonts w:ascii="Consolas" w:hAnsi="Consolas" w:cs="Consolas"/>
          <w:b w:val="0"/>
          <w:i w:val="0"/>
          <w:sz w:val="15"/>
        </w:rPr>
        <w:t xml:space="preserve">    exposure_currency TEXT NOT NULL,</w:t>
      </w:r>
    </w:p>
    <w:p>
      <w:pPr>
        <w:spacing w:after="0" w:before="0" w:line="240" w:lineRule="auto"/>
        <w:ind w:left="57"/>
        <w:jc w:val="left"/>
        <w:shd w:val="clear" w:fill="F2F2F2"/>
      </w:pPr>
      <w:r>
        <w:rPr>
          <w:rFonts w:ascii="Consolas" w:hAnsi="Consolas" w:cs="Consolas"/>
          <w:b w:val="0"/>
          <w:i w:val="0"/>
          <w:sz w:val="15"/>
        </w:rPr>
        <w:t xml:space="preserve">    exposure_amount DECIMAL(20,4) NOT NULL,</w:t>
      </w:r>
    </w:p>
    <w:p>
      <w:pPr>
        <w:spacing w:after="0" w:before="0" w:line="240" w:lineRule="auto"/>
        <w:ind w:left="57"/>
        <w:jc w:val="left"/>
        <w:shd w:val="clear" w:fill="F2F2F2"/>
      </w:pPr>
      <w:r>
        <w:rPr>
          <w:rFonts w:ascii="Consolas" w:hAnsi="Consolas" w:cs="Consolas"/>
          <w:b w:val="0"/>
          <w:i w:val="0"/>
          <w:sz w:val="15"/>
        </w:rPr>
        <w:t xml:space="preserve">    locked_rate DECIMAL(16,8),</w:t>
      </w:r>
    </w:p>
    <w:p>
      <w:pPr>
        <w:spacing w:after="0" w:before="0" w:line="240" w:lineRule="auto"/>
        <w:ind w:left="57"/>
        <w:jc w:val="left"/>
        <w:shd w:val="clear" w:fill="F2F2F2"/>
      </w:pPr>
      <w:r>
        <w:rPr>
          <w:rFonts w:ascii="Consolas" w:hAnsi="Consolas" w:cs="Consolas"/>
          <w:b w:val="0"/>
          <w:i w:val="0"/>
          <w:sz w:val="15"/>
        </w:rPr>
        <w:t xml:space="preserve">    current_rate DECIMAL(16,8),</w:t>
      </w:r>
    </w:p>
    <w:p>
      <w:pPr>
        <w:spacing w:after="0" w:before="0" w:line="240" w:lineRule="auto"/>
        <w:ind w:left="57"/>
        <w:jc w:val="left"/>
        <w:shd w:val="clear" w:fill="F2F2F2"/>
      </w:pPr>
      <w:r>
        <w:rPr>
          <w:rFonts w:ascii="Consolas" w:hAnsi="Consolas" w:cs="Consolas"/>
          <w:b w:val="0"/>
          <w:i w:val="0"/>
          <w:sz w:val="15"/>
        </w:rPr>
        <w:t xml:space="preserve">    unrealised_gain_loss DECIMAL(20,4),</w:t>
      </w:r>
    </w:p>
    <w:p>
      <w:pPr>
        <w:spacing w:after="0" w:before="0" w:line="240" w:lineRule="auto"/>
        <w:ind w:left="57"/>
        <w:jc w:val="left"/>
        <w:shd w:val="clear" w:fill="F2F2F2"/>
      </w:pPr>
      <w:r>
        <w:rPr>
          <w:rFonts w:ascii="Consolas" w:hAnsi="Consolas" w:cs="Consolas"/>
          <w:b w:val="0"/>
          <w:i w:val="0"/>
          <w:sz w:val="15"/>
        </w:rPr>
        <w:t xml:space="preserve">    hedged_percentage DECIMAL(5,2),</w:t>
      </w:r>
    </w:p>
    <w:p>
      <w:pPr>
        <w:spacing w:after="0" w:before="0" w:line="240" w:lineRule="auto"/>
        <w:ind w:left="57"/>
        <w:jc w:val="left"/>
        <w:shd w:val="clear" w:fill="F2F2F2"/>
      </w:pPr>
      <w:r>
        <w:rPr>
          <w:rFonts w:ascii="Consolas" w:hAnsi="Consolas" w:cs="Consolas"/>
          <w:b w:val="0"/>
          <w:i w:val="0"/>
          <w:sz w:val="15"/>
        </w:rPr>
        <w:t xml:space="preserve">    hedge_type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Hedging recommendations</w:t>
      </w:r>
    </w:p>
    <w:p>
      <w:pPr>
        <w:spacing w:after="0" w:before="0" w:line="240" w:lineRule="auto"/>
        <w:ind w:left="57"/>
        <w:jc w:val="left"/>
        <w:shd w:val="clear" w:fill="F2F2F2"/>
      </w:pPr>
      <w:r>
        <w:rPr>
          <w:rFonts w:ascii="Consolas" w:hAnsi="Consolas" w:cs="Consolas"/>
          <w:b w:val="0"/>
          <w:i w:val="0"/>
          <w:sz w:val="15"/>
        </w:rPr>
        <w:t>CREATE TABLE hedging_recommendations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tenant_gtid TEXT NOT NULL REFERENCES tenants(gtid),</w:t>
      </w:r>
    </w:p>
    <w:p>
      <w:pPr>
        <w:spacing w:after="0" w:before="0" w:line="240" w:lineRule="auto"/>
        <w:ind w:left="57"/>
        <w:jc w:val="left"/>
        <w:shd w:val="clear" w:fill="F2F2F2"/>
      </w:pPr>
      <w:r>
        <w:rPr>
          <w:rFonts w:ascii="Consolas" w:hAnsi="Consolas" w:cs="Consolas"/>
          <w:b w:val="0"/>
          <w:i w:val="0"/>
          <w:sz w:val="15"/>
        </w:rPr>
        <w:t xml:space="preserve">    currency_pair TEXT NOT NULL,</w:t>
      </w:r>
    </w:p>
    <w:p>
      <w:pPr>
        <w:spacing w:after="0" w:before="0" w:line="240" w:lineRule="auto"/>
        <w:ind w:left="57"/>
        <w:jc w:val="left"/>
        <w:shd w:val="clear" w:fill="F2F2F2"/>
      </w:pPr>
      <w:r>
        <w:rPr>
          <w:rFonts w:ascii="Consolas" w:hAnsi="Consolas" w:cs="Consolas"/>
          <w:b w:val="0"/>
          <w:i w:val="0"/>
          <w:sz w:val="15"/>
        </w:rPr>
        <w:t xml:space="preserve">    exposure_amount DECIMAL(20,4) NOT NULL,</w:t>
      </w:r>
    </w:p>
    <w:p>
      <w:pPr>
        <w:spacing w:after="0" w:before="0" w:line="240" w:lineRule="auto"/>
        <w:ind w:left="57"/>
        <w:jc w:val="left"/>
        <w:shd w:val="clear" w:fill="F2F2F2"/>
      </w:pPr>
      <w:r>
        <w:rPr>
          <w:rFonts w:ascii="Consolas" w:hAnsi="Consolas" w:cs="Consolas"/>
          <w:b w:val="0"/>
          <w:i w:val="0"/>
          <w:sz w:val="15"/>
        </w:rPr>
        <w:t xml:space="preserve">    risk_level TEXT NOT NULL,</w:t>
      </w:r>
    </w:p>
    <w:p>
      <w:pPr>
        <w:spacing w:after="0" w:before="0" w:line="240" w:lineRule="auto"/>
        <w:ind w:left="57"/>
        <w:jc w:val="left"/>
        <w:shd w:val="clear" w:fill="F2F2F2"/>
      </w:pPr>
      <w:r>
        <w:rPr>
          <w:rFonts w:ascii="Consolas" w:hAnsi="Consolas" w:cs="Consolas"/>
          <w:b w:val="0"/>
          <w:i w:val="0"/>
          <w:sz w:val="15"/>
        </w:rPr>
        <w:t xml:space="preserve">    recommended_hedge_percentage DECIMAL(5,2),</w:t>
      </w:r>
    </w:p>
    <w:p>
      <w:pPr>
        <w:spacing w:after="0" w:before="0" w:line="240" w:lineRule="auto"/>
        <w:ind w:left="57"/>
        <w:jc w:val="left"/>
        <w:shd w:val="clear" w:fill="F2F2F2"/>
      </w:pPr>
      <w:r>
        <w:rPr>
          <w:rFonts w:ascii="Consolas" w:hAnsi="Consolas" w:cs="Consolas"/>
          <w:b w:val="0"/>
          <w:i w:val="0"/>
          <w:sz w:val="15"/>
        </w:rPr>
        <w:t xml:space="preserve">    estimated_cost DECIMAL(5,2),</w:t>
      </w:r>
    </w:p>
    <w:p>
      <w:pPr>
        <w:spacing w:after="0" w:before="0" w:line="240" w:lineRule="auto"/>
        <w:ind w:left="57"/>
        <w:jc w:val="left"/>
        <w:shd w:val="clear" w:fill="F2F2F2"/>
      </w:pPr>
      <w:r>
        <w:rPr>
          <w:rFonts w:ascii="Consolas" w:hAnsi="Consolas" w:cs="Consolas"/>
          <w:b w:val="0"/>
          <w:i w:val="0"/>
          <w:sz w:val="15"/>
        </w:rPr>
        <w:t xml:space="preserve">    explanation TEXT,</w:t>
      </w:r>
    </w:p>
    <w:p>
      <w:pPr>
        <w:spacing w:after="0" w:before="0" w:line="240" w:lineRule="auto"/>
        <w:ind w:left="57"/>
        <w:jc w:val="left"/>
        <w:shd w:val="clear" w:fill="F2F2F2"/>
      </w:pPr>
      <w:r>
        <w:rPr>
          <w:rFonts w:ascii="Consolas" w:hAnsi="Consolas" w:cs="Consolas"/>
          <w:b w:val="0"/>
          <w:i w:val="0"/>
          <w:sz w:val="15"/>
        </w:rPr>
        <w:t xml:space="preserve">    natural_hedging_opportunity TEXT,</w:t>
      </w:r>
    </w:p>
    <w:p>
      <w:pPr>
        <w:spacing w:after="0" w:before="0" w:line="240" w:lineRule="auto"/>
        <w:ind w:left="57"/>
        <w:jc w:val="left"/>
        <w:shd w:val="clear" w:fill="F2F2F2"/>
      </w:pPr>
      <w:r>
        <w:rPr>
          <w:rFonts w:ascii="Consolas" w:hAnsi="Consolas" w:cs="Consolas"/>
          <w:b w:val="0"/>
          <w:i w:val="0"/>
          <w:sz w:val="15"/>
        </w:rPr>
        <w:t xml:space="preserve">    valid_until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Exchange rates (ECB daily)</w:t>
      </w:r>
    </w:p>
    <w:p>
      <w:pPr>
        <w:spacing w:after="0" w:before="0" w:line="240" w:lineRule="auto"/>
        <w:ind w:left="57"/>
        <w:jc w:val="left"/>
        <w:shd w:val="clear" w:fill="F2F2F2"/>
      </w:pPr>
      <w:r>
        <w:rPr>
          <w:rFonts w:ascii="Consolas" w:hAnsi="Consolas" w:cs="Consolas"/>
          <w:b w:val="0"/>
          <w:i w:val="0"/>
          <w:sz w:val="15"/>
        </w:rPr>
        <w:t>CREATE TABLE exchange_rates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base_currency TEXT NOT NULL,</w:t>
      </w:r>
    </w:p>
    <w:p>
      <w:pPr>
        <w:spacing w:after="0" w:before="0" w:line="240" w:lineRule="auto"/>
        <w:ind w:left="57"/>
        <w:jc w:val="left"/>
        <w:shd w:val="clear" w:fill="F2F2F2"/>
      </w:pPr>
      <w:r>
        <w:rPr>
          <w:rFonts w:ascii="Consolas" w:hAnsi="Consolas" w:cs="Consolas"/>
          <w:b w:val="0"/>
          <w:i w:val="0"/>
          <w:sz w:val="15"/>
        </w:rPr>
        <w:t xml:space="preserve">    target_currency TEXT NOT NULL,</w:t>
      </w:r>
    </w:p>
    <w:p>
      <w:pPr>
        <w:spacing w:after="0" w:before="0" w:line="240" w:lineRule="auto"/>
        <w:ind w:left="57"/>
        <w:jc w:val="left"/>
        <w:shd w:val="clear" w:fill="F2F2F2"/>
      </w:pPr>
      <w:r>
        <w:rPr>
          <w:rFonts w:ascii="Consolas" w:hAnsi="Consolas" w:cs="Consolas"/>
          <w:b w:val="0"/>
          <w:i w:val="0"/>
          <w:sz w:val="15"/>
        </w:rPr>
        <w:t xml:space="preserve">    rate DECIMAL(16,8) NOT NULL,</w:t>
      </w:r>
    </w:p>
    <w:p>
      <w:pPr>
        <w:spacing w:after="0" w:before="0" w:line="240" w:lineRule="auto"/>
        <w:ind w:left="57"/>
        <w:jc w:val="left"/>
        <w:shd w:val="clear" w:fill="F2F2F2"/>
      </w:pPr>
      <w:r>
        <w:rPr>
          <w:rFonts w:ascii="Consolas" w:hAnsi="Consolas" w:cs="Consolas"/>
          <w:b w:val="0"/>
          <w:i w:val="0"/>
          <w:sz w:val="15"/>
        </w:rPr>
        <w:t xml:space="preserve">    recorded_at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idx_currency_exposures_ustn ON currency_exposures(ustn);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idx_hedging_recommendations_tenant ON hedging_recommendations(tenant_gtid);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idx_exchange_rates_recorded_at ON exchange_rates(recorded_at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22.9.3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/v1/currency/rate</w:t>
            </w:r>
          </w:p>
        </w:tc>
        <w:tc>
          <w:tcPr>
            <w:tcW w:type="dxa" w:w="3213"/>
          </w:tcPr>
          <w:p>
            <w:pPr>
              <w:spacing w:after="20" w:before="20" w:line="240" w:lineRule="auto"/>
            </w:pPr>
            <w:r/>
            <w:r>
              <w:rPr>
                <w:rFonts w:ascii="Arial" w:hAnsi="Arial" w:cs="Arial"/>
                <w:b w:val="0"/>
                <w:i w:val="0"/>
                <w:sz w:val="17"/>
              </w:rPr>
              <w:t>Get current FX rate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/v1/currency/exposure/{ustn}</w:t>
            </w:r>
          </w:p>
        </w:tc>
        <w:tc>
          <w:tcPr>
            <w:tcW w:type="dxa" w:w="3213"/>
          </w:tcPr>
          <w:p>
            <w:pPr>
              <w:spacing w:after="20" w:before="20" w:line="240" w:lineRule="auto"/>
            </w:pPr>
            <w:r/>
            <w:r>
              <w:rPr>
                <w:rFonts w:ascii="Arial" w:hAnsi="Arial" w:cs="Arial"/>
                <w:b w:val="0"/>
                <w:i w:val="0"/>
                <w:sz w:val="17"/>
              </w:rPr>
              <w:t>Get exposure for USTN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/v1/currency/recommendation</w:t>
            </w:r>
          </w:p>
        </w:tc>
        <w:tc>
          <w:tcPr>
            <w:tcW w:type="dxa" w:w="3213"/>
          </w:tcPr>
          <w:p>
            <w:pPr>
              <w:spacing w:after="20" w:before="20" w:line="240" w:lineRule="auto"/>
            </w:pPr>
            <w:r/>
            <w:r>
              <w:rPr>
                <w:rFonts w:ascii="Arial" w:hAnsi="Arial" w:cs="Arial"/>
                <w:b w:val="0"/>
                <w:i w:val="0"/>
                <w:sz w:val="17"/>
              </w:rPr>
              <w:t>Get hedging recommendation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/v1/currency/history</w:t>
            </w:r>
          </w:p>
        </w:tc>
        <w:tc>
          <w:tcPr>
            <w:tcW w:type="dxa" w:w="3213"/>
          </w:tcPr>
          <w:p>
            <w:pPr>
              <w:spacing w:after="20" w:before="20" w:line="240" w:lineRule="auto"/>
            </w:pPr>
            <w:r/>
            <w:r>
              <w:rPr>
                <w:rFonts w:ascii="Arial" w:hAnsi="Arial" w:cs="Arial"/>
                <w:b w:val="0"/>
                <w:i w:val="0"/>
                <w:sz w:val="17"/>
              </w:rPr>
              <w:t>Get FX rate history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22.9.4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commercial settlement terms</w:t>
            </w:r>
          </w:p>
        </w:tc>
        <w:tc>
          <w:tcPr>
            <w:tcW w:type="dxa" w:w="4819"/>
          </w:tcPr>
          <w:p>
            <w:pPr>
              <w:spacing w:after="20" w:before="20" w:line="240" w:lineRule="auto"/>
            </w:pPr>
            <w:r/>
            <w:r>
              <w:rPr>
                <w:rFonts w:ascii="Arial" w:hAnsi="Arial" w:cs="Arial"/>
                <w:b w:val="0"/>
                <w:i w:val="0"/>
                <w:sz w:val="17"/>
              </w:rPr>
              <w:t>Currency selection</w:t>
            </w:r>
          </w:p>
        </w:tc>
      </w:tr>
      <w:tr>
        <w:tc>
          <w:tcPr>
            <w:tcW w:type="dxa" w:w="4819"/>
          </w:tcPr>
          <w:p>
            <w:pPr>
              <w:spacing w:after="20" w:before="20" w:line="240" w:lineRule="auto"/>
            </w:pPr>
            <w:r/>
            <w:r>
              <w:rPr>
                <w:rFonts w:ascii="Arial" w:hAnsi="Arial" w:cs="Arial"/>
                <w:b w:val="0"/>
                <w:i w:val="0"/>
                <w:sz w:val="17"/>
              </w:rPr>
              <w:t>Section 8 — invoice</w:t>
            </w:r>
          </w:p>
        </w:tc>
        <w:tc>
          <w:tcPr>
            <w:tcW w:type="dxa" w:w="4819"/>
          </w:tcPr>
          <w:p>
            <w:pPr>
              <w:spacing w:after="20" w:before="20" w:line="240" w:lineRule="auto"/>
            </w:pPr>
            <w:r/>
            <w:r>
              <w:rPr>
                <w:rFonts w:ascii="Arial" w:hAnsi="Arial" w:cs="Arial"/>
                <w:b w:val="0"/>
                <w:i w:val="0"/>
                <w:sz w:val="17"/>
              </w:rPr>
              <w:t>Multi-currency support</w:t>
            </w:r>
          </w:p>
        </w:tc>
      </w:tr>
      <w:tr>
        <w:tc>
          <w:tcPr>
            <w:tcW w:type="dxa" w:w="4819"/>
          </w:tcPr>
          <w:p>
            <w:pPr>
              <w:spacing w:after="20" w:before="20" w:line="240" w:lineRule="auto"/>
            </w:pPr>
            <w:r/>
            <w:r>
              <w:rPr>
                <w:rFonts w:ascii="Arial" w:hAnsi="Arial" w:cs="Arial"/>
                <w:b w:val="0"/>
                <w:i w:val="0"/>
                <w:sz w:val="17"/>
              </w:rPr>
              <w:t>Section 13 — payment orchestration</w:t>
            </w:r>
          </w:p>
        </w:tc>
        <w:tc>
          <w:tcPr>
            <w:tcW w:type="dxa" w:w="4819"/>
          </w:tcPr>
          <w:p>
            <w:pPr>
              <w:spacing w:after="20" w:before="20" w:line="240" w:lineRule="auto"/>
            </w:pPr>
            <w:r/>
            <w:r>
              <w:rPr>
                <w:rFonts w:ascii="Arial" w:hAnsi="Arial" w:cs="Arial"/>
                <w:b w:val="0"/>
                <w:i w:val="0"/>
                <w:sz w:val="17"/>
              </w:rPr>
              <w:t>FX rate in settlements</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Currency risk card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22.9.5 Implementation Checklist</w:t>
      </w:r>
    </w:p>
    <w:p>
      <w:pPr>
        <w:spacing w:after="80" w:line="293" w:lineRule="auto"/>
        <w:ind w:left="283"/>
        <w:jc w:val="left"/>
      </w:pPr>
      <w:r>
        <w:rPr>
          <w:rFonts w:ascii="Times New Roman" w:hAnsi="Times New Roman" w:cs="Times New Roman"/>
          <w:b w:val="0"/>
          <w:i w:val="0"/>
          <w:sz w:val="22"/>
        </w:rPr>
        <w:t>- Create the `currency_exposures` table.</w:t>
      </w:r>
    </w:p>
    <w:p>
      <w:pPr>
        <w:spacing w:after="80" w:line="293" w:lineRule="auto"/>
        <w:ind w:left="283"/>
        <w:jc w:val="left"/>
      </w:pPr>
      <w:r>
        <w:rPr>
          <w:rFonts w:ascii="Times New Roman" w:hAnsi="Times New Roman" w:cs="Times New Roman"/>
          <w:b w:val="0"/>
          <w:i w:val="0"/>
          <w:sz w:val="22"/>
        </w:rPr>
        <w:t>- Create the `hedging_recommendations` table.</w:t>
      </w:r>
    </w:p>
    <w:p>
      <w:pPr>
        <w:spacing w:after="80" w:line="293" w:lineRule="auto"/>
        <w:ind w:left="283"/>
        <w:jc w:val="left"/>
      </w:pPr>
      <w:r>
        <w:rPr>
          <w:rFonts w:ascii="Times New Roman" w:hAnsi="Times New Roman" w:cs="Times New Roman"/>
          <w:b w:val="0"/>
          <w:i w:val="0"/>
          <w:sz w:val="22"/>
        </w:rPr>
        <w:t>- Create the `exchange_rates` table.</w:t>
      </w:r>
    </w:p>
    <w:p>
      <w:pPr>
        <w:spacing w:after="80" w:line="293" w:lineRule="auto"/>
        <w:ind w:left="283"/>
        <w:jc w:val="left"/>
      </w:pPr>
      <w:r>
        <w:rPr>
          <w:rFonts w:ascii="Times New Roman" w:hAnsi="Times New Roman" w:cs="Times New Roman"/>
          <w:b w:val="0"/>
          <w:i w:val="0"/>
          <w:sz w:val="22"/>
        </w:rPr>
        <w:t>- Integrate ECB daily rates (free XML feed).</w:t>
      </w:r>
    </w:p>
    <w:p>
      <w:pPr>
        <w:spacing w:after="80" w:line="293" w:lineRule="auto"/>
        <w:ind w:left="283"/>
        <w:jc w:val="left"/>
      </w:pPr>
      <w:r>
        <w:rPr>
          <w:rFonts w:ascii="Times New Roman" w:hAnsi="Times New Roman" w:cs="Times New Roman"/>
          <w:b w:val="0"/>
          <w:i w:val="0"/>
          <w:sz w:val="22"/>
        </w:rPr>
        <w:t>- Implement A2 volatility prediction.</w:t>
      </w:r>
    </w:p>
    <w:p>
      <w:pPr>
        <w:spacing w:after="80" w:line="293" w:lineRule="auto"/>
        <w:ind w:left="283"/>
        <w:jc w:val="left"/>
      </w:pPr>
      <w:r>
        <w:rPr>
          <w:rFonts w:ascii="Times New Roman" w:hAnsi="Times New Roman" w:cs="Times New Roman"/>
          <w:b w:val="0"/>
          <w:i w:val="0"/>
          <w:sz w:val="22"/>
        </w:rPr>
        <w:t>- Add hedging recommendations to the Trade Command Center.</w:t>
      </w:r>
    </w:p>
    <w:p>
      <w:pPr>
        <w:spacing w:after="80" w:line="293" w:lineRule="auto"/>
        <w:ind w:left="283"/>
        <w:jc w:val="left"/>
      </w:pPr>
      <w:r>
        <w:rPr>
          <w:rFonts w:ascii="Times New Roman" w:hAnsi="Times New Roman" w:cs="Times New Roman"/>
          <w:b w:val="0"/>
          <w:i w:val="0"/>
          <w:sz w:val="22"/>
        </w:rPr>
        <w:t>- Add the currency risk card.</w:t>
      </w:r>
    </w:p>
    <w:p>
      <w:pPr>
        <w:keepNext/>
        <w:spacing w:before="240" w:after="100"/>
        <w:outlineLvl w:val="1"/>
      </w:pPr>
      <w:r>
        <w:rPr>
          <w:rFonts w:ascii="Arial" w:hAnsi="Arial" w:cs="Arial"/>
          <w:b/>
          <w:i w:val="0"/>
          <w:color w:val="2E528F"/>
          <w:sz w:val="26"/>
        </w:rPr>
        <w:t>22.10 Add-On 15: Government API Sandbox</w:t>
      </w:r>
    </w:p>
    <w:p>
      <w:pPr>
        <w:keepNext/>
        <w:spacing w:before="180" w:after="80"/>
        <w:outlineLvl w:val="2"/>
      </w:pPr>
      <w:r>
        <w:rPr>
          <w:rFonts w:ascii="Arial" w:hAnsi="Arial" w:cs="Arial"/>
          <w:b/>
          <w:i w:val="0"/>
          <w:color w:val="333333"/>
          <w:sz w:val="23"/>
        </w:rPr>
        <w:t>22.10.1 Purpose &amp; Design Philosophy</w:t>
      </w:r>
    </w:p>
    <w:p>
      <w:pPr>
        <w:spacing w:after="80" w:line="293" w:lineRule="auto"/>
        <w:jc w:val="left"/>
      </w:pPr>
      <w:r>
        <w:rPr>
          <w:rFonts w:ascii="Times New Roman" w:hAnsi="Times New Roman" w:cs="Times New Roman"/>
          <w:b w:val="0"/>
          <w:i w:val="0"/>
          <w:sz w:val="22"/>
        </w:rPr>
        <w:t>Government APIs change without notice. This module provides a sandbox environment for testing and automated regression testing against live APIs.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Sandbox environment — mirrored production.</w:t>
      </w:r>
    </w:p>
    <w:p>
      <w:pPr>
        <w:spacing w:after="80" w:line="293" w:lineRule="auto"/>
        <w:ind w:left="283"/>
        <w:jc w:val="left"/>
      </w:pPr>
      <w:r>
        <w:rPr>
          <w:rFonts w:ascii="Times New Roman" w:hAnsi="Times New Roman" w:cs="Times New Roman"/>
          <w:b w:val="0"/>
          <w:i w:val="0"/>
          <w:sz w:val="22"/>
        </w:rPr>
        <w:t>- Automated regression — daily tests against live APIs.</w:t>
      </w:r>
    </w:p>
    <w:p>
      <w:pPr>
        <w:spacing w:after="80" w:line="293" w:lineRule="auto"/>
        <w:ind w:left="283"/>
        <w:jc w:val="left"/>
      </w:pPr>
      <w:r>
        <w:rPr>
          <w:rFonts w:ascii="Times New Roman" w:hAnsi="Times New Roman" w:cs="Times New Roman"/>
          <w:b w:val="0"/>
          <w:i w:val="0"/>
          <w:sz w:val="22"/>
        </w:rPr>
        <w:t>- Change detection — alert on API changes.</w:t>
      </w:r>
    </w:p>
    <w:p>
      <w:pPr>
        <w:spacing w:after="80" w:line="293" w:lineRule="auto"/>
        <w:ind w:left="283"/>
        <w:jc w:val="left"/>
      </w:pPr>
      <w:r>
        <w:rPr>
          <w:rFonts w:ascii="Times New Roman" w:hAnsi="Times New Roman" w:cs="Times New Roman"/>
          <w:b w:val="0"/>
          <w:i w:val="0"/>
          <w:sz w:val="22"/>
        </w:rPr>
        <w:t>- Adaptive integration — auto-update for minor changes.</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change summaries.</w:t>
      </w:r>
    </w:p>
    <w:p>
      <w:pPr>
        <w:spacing w:after="80" w:line="293" w:lineRule="auto"/>
        <w:ind w:left="283"/>
        <w:jc w:val="left"/>
      </w:pPr>
      <w:r>
        <w:rPr>
          <w:rFonts w:ascii="Times New Roman" w:hAnsi="Times New Roman" w:cs="Times New Roman"/>
          <w:b w:val="0"/>
          <w:i w:val="0"/>
          <w:sz w:val="22"/>
        </w:rPr>
        <w:t>- A2 (HF local → Ollama): API change detection.</w:t>
      </w:r>
    </w:p>
    <w:p>
      <w:pPr>
        <w:spacing w:after="80" w:line="293" w:lineRule="auto"/>
        <w:ind w:left="283"/>
        <w:jc w:val="left"/>
      </w:pPr>
      <w:r>
        <w:rPr>
          <w:rFonts w:ascii="Times New Roman" w:hAnsi="Times New Roman" w:cs="Times New Roman"/>
          <w:b w:val="0"/>
          <w:i w:val="0"/>
          <w:sz w:val="22"/>
        </w:rPr>
        <w:t>- A4 (OPA + WasmEdge): test validation.</w:t>
      </w:r>
    </w:p>
    <w:p>
      <w:pPr>
        <w:keepNext/>
        <w:spacing w:before="180" w:after="80"/>
        <w:outlineLvl w:val="2"/>
      </w:pPr>
      <w:r>
        <w:rPr>
          <w:rFonts w:ascii="Arial" w:hAnsi="Arial" w:cs="Arial"/>
          <w:b/>
          <w:i w:val="0"/>
          <w:color w:val="333333"/>
          <w:sz w:val="23"/>
        </w:rPr>
        <w:t>22.10.2 Supported APIs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Country</w:t>
            </w:r>
          </w:p>
        </w:tc>
        <w:tc>
          <w:tcPr>
            <w:tcW w:type="dxa" w:w="2409"/>
            <w:shd w:val="clear" w:fill="D9E2F3"/>
          </w:tcPr>
          <w:p>
            <w:pPr>
              <w:spacing w:after="20" w:before="20" w:line="240" w:lineRule="auto"/>
            </w:pPr>
            <w:r/>
            <w:r>
              <w:rPr>
                <w:rFonts w:ascii="Arial" w:hAnsi="Arial" w:cs="Arial"/>
                <w:b/>
                <w:i w:val="0"/>
                <w:sz w:val="18"/>
              </w:rPr>
              <w:t>API</w:t>
            </w:r>
          </w:p>
        </w:tc>
        <w:tc>
          <w:tcPr>
            <w:tcW w:type="dxa" w:w="2409"/>
            <w:shd w:val="clear" w:fill="D9E2F3"/>
          </w:tcPr>
          <w:p>
            <w:pPr>
              <w:spacing w:after="20" w:before="20" w:line="240" w:lineRule="auto"/>
            </w:pPr>
            <w:r/>
            <w:r>
              <w:rPr>
                <w:rFonts w:ascii="Arial" w:hAnsi="Arial" w:cs="Arial"/>
                <w:b/>
                <w:i w:val="0"/>
                <w:sz w:val="18"/>
              </w:rPr>
              <w:t>Purpose</w:t>
            </w:r>
          </w:p>
        </w:tc>
        <w:tc>
          <w:tcPr>
            <w:tcW w:type="dxa" w:w="2409"/>
            <w:shd w:val="clear" w:fill="D9E2F3"/>
          </w:tcPr>
          <w:p>
            <w:pPr>
              <w:spacing w:after="20" w:before="20" w:line="240" w:lineRule="auto"/>
            </w:pPr>
            <w:r/>
            <w:r>
              <w:rPr>
                <w:rFonts w:ascii="Arial" w:hAnsi="Arial" w:cs="Arial"/>
                <w:b/>
                <w:i w:val="0"/>
                <w:sz w:val="18"/>
              </w:rPr>
              <w:t>Sandbox Available</w:t>
            </w:r>
          </w:p>
        </w:tc>
      </w:tr>
      <w:tr>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Nafeza</w:t>
            </w:r>
          </w:p>
        </w:tc>
        <w:tc>
          <w:tcPr>
            <w:tcW w:type="dxa" w:w="2409"/>
          </w:tcPr>
          <w:p>
            <w:pPr>
              <w:spacing w:after="20" w:before="20" w:line="240" w:lineRule="auto"/>
            </w:pPr>
            <w:r/>
            <w:r>
              <w:rPr>
                <w:rFonts w:ascii="Arial" w:hAnsi="Arial" w:cs="Arial"/>
                <w:b w:val="0"/>
                <w:i w:val="0"/>
                <w:sz w:val="17"/>
              </w:rPr>
              <w:t>Customs declaration</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CargoX</w:t>
            </w:r>
          </w:p>
        </w:tc>
        <w:tc>
          <w:tcPr>
            <w:tcW w:type="dxa" w:w="2409"/>
          </w:tcPr>
          <w:p>
            <w:pPr>
              <w:spacing w:after="20" w:before="20" w:line="240" w:lineRule="auto"/>
            </w:pPr>
            <w:r/>
            <w:r>
              <w:rPr>
                <w:rFonts w:ascii="Arial" w:hAnsi="Arial" w:cs="Arial"/>
                <w:b w:val="0"/>
                <w:i w:val="0"/>
                <w:sz w:val="17"/>
              </w:rPr>
              <w:t>ACI</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ETA</w:t>
            </w:r>
          </w:p>
        </w:tc>
        <w:tc>
          <w:tcPr>
            <w:tcW w:type="dxa" w:w="2409"/>
          </w:tcPr>
          <w:p>
            <w:pPr>
              <w:spacing w:after="20" w:before="20" w:line="240" w:lineRule="auto"/>
            </w:pPr>
            <w:r/>
            <w:r>
              <w:rPr>
                <w:rFonts w:ascii="Arial" w:hAnsi="Arial" w:cs="Arial"/>
                <w:b w:val="0"/>
                <w:i w:val="0"/>
                <w:sz w:val="17"/>
              </w:rPr>
              <w:t>e-Invoice</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EU</w:t>
            </w:r>
          </w:p>
        </w:tc>
        <w:tc>
          <w:tcPr>
            <w:tcW w:type="dxa" w:w="2409"/>
          </w:tcPr>
          <w:p>
            <w:pPr>
              <w:spacing w:after="20" w:before="20" w:line="240" w:lineRule="auto"/>
            </w:pPr>
            <w:r/>
            <w:r>
              <w:rPr>
                <w:rFonts w:ascii="Arial" w:hAnsi="Arial" w:cs="Arial"/>
                <w:b w:val="0"/>
                <w:i w:val="0"/>
                <w:sz w:val="17"/>
              </w:rPr>
              <w:t>ICS2</w:t>
            </w:r>
          </w:p>
        </w:tc>
        <w:tc>
          <w:tcPr>
            <w:tcW w:type="dxa" w:w="2409"/>
          </w:tcPr>
          <w:p>
            <w:pPr>
              <w:spacing w:after="20" w:before="20" w:line="240" w:lineRule="auto"/>
            </w:pPr>
            <w:r/>
            <w:r>
              <w:rPr>
                <w:rFonts w:ascii="Arial" w:hAnsi="Arial" w:cs="Arial"/>
                <w:b w:val="0"/>
                <w:i w:val="0"/>
                <w:sz w:val="17"/>
              </w:rPr>
              <w:t>Import control</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EU</w:t>
            </w:r>
          </w:p>
        </w:tc>
        <w:tc>
          <w:tcPr>
            <w:tcW w:type="dxa" w:w="2409"/>
          </w:tcPr>
          <w:p>
            <w:pPr>
              <w:spacing w:after="20" w:before="20" w:line="240" w:lineRule="auto"/>
            </w:pPr>
            <w:r/>
            <w:r>
              <w:rPr>
                <w:rFonts w:ascii="Arial" w:hAnsi="Arial" w:cs="Arial"/>
                <w:b w:val="0"/>
                <w:i w:val="0"/>
                <w:sz w:val="17"/>
              </w:rPr>
              <w:t>TRACES</w:t>
            </w:r>
          </w:p>
        </w:tc>
        <w:tc>
          <w:tcPr>
            <w:tcW w:type="dxa" w:w="2409"/>
          </w:tcPr>
          <w:p>
            <w:pPr>
              <w:spacing w:after="20" w:before="20" w:line="240" w:lineRule="auto"/>
            </w:pPr>
            <w:r/>
            <w:r>
              <w:rPr>
                <w:rFonts w:ascii="Arial" w:hAnsi="Arial" w:cs="Arial"/>
                <w:b w:val="0"/>
                <w:i w:val="0"/>
                <w:sz w:val="17"/>
              </w:rPr>
              <w:t>Phytosanitary</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UAE</w:t>
            </w:r>
          </w:p>
        </w:tc>
        <w:tc>
          <w:tcPr>
            <w:tcW w:type="dxa" w:w="2409"/>
          </w:tcPr>
          <w:p>
            <w:pPr>
              <w:spacing w:after="20" w:before="20" w:line="240" w:lineRule="auto"/>
            </w:pPr>
            <w:r/>
            <w:r>
              <w:rPr>
                <w:rFonts w:ascii="Arial" w:hAnsi="Arial" w:cs="Arial"/>
                <w:b w:val="0"/>
                <w:i w:val="0"/>
                <w:sz w:val="17"/>
              </w:rPr>
              <w:t>Trade Single Window</w:t>
            </w:r>
          </w:p>
        </w:tc>
        <w:tc>
          <w:tcPr>
            <w:tcW w:type="dxa" w:w="2409"/>
          </w:tcPr>
          <w:p>
            <w:pPr>
              <w:spacing w:after="20" w:before="20" w:line="240" w:lineRule="auto"/>
            </w:pPr>
            <w:r/>
            <w:r>
              <w:rPr>
                <w:rFonts w:ascii="Arial" w:hAnsi="Arial" w:cs="Arial"/>
                <w:b w:val="0"/>
                <w:i w:val="0"/>
                <w:sz w:val="17"/>
              </w:rPr>
              <w:t>Customs</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Saudi</w:t>
            </w:r>
          </w:p>
        </w:tc>
        <w:tc>
          <w:tcPr>
            <w:tcW w:type="dxa" w:w="2409"/>
          </w:tcPr>
          <w:p>
            <w:pPr>
              <w:spacing w:after="20" w:before="20" w:line="240" w:lineRule="auto"/>
            </w:pPr>
            <w:r/>
            <w:r>
              <w:rPr>
                <w:rFonts w:ascii="Arial" w:hAnsi="Arial" w:cs="Arial"/>
                <w:b w:val="0"/>
                <w:i w:val="0"/>
                <w:sz w:val="17"/>
              </w:rPr>
              <w:t>FASAH</w:t>
            </w:r>
          </w:p>
        </w:tc>
        <w:tc>
          <w:tcPr>
            <w:tcW w:type="dxa" w:w="2409"/>
          </w:tcPr>
          <w:p>
            <w:pPr>
              <w:spacing w:after="20" w:before="20" w:line="240" w:lineRule="auto"/>
            </w:pPr>
            <w:r/>
            <w:r>
              <w:rPr>
                <w:rFonts w:ascii="Arial" w:hAnsi="Arial" w:cs="Arial"/>
                <w:b w:val="0"/>
                <w:i w:val="0"/>
                <w:sz w:val="17"/>
              </w:rPr>
              <w:t>Customs</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USA</w:t>
            </w:r>
          </w:p>
        </w:tc>
        <w:tc>
          <w:tcPr>
            <w:tcW w:type="dxa" w:w="2409"/>
          </w:tcPr>
          <w:p>
            <w:pPr>
              <w:spacing w:after="20" w:before="20" w:line="240" w:lineRule="auto"/>
            </w:pPr>
            <w:r/>
            <w:r>
              <w:rPr>
                <w:rFonts w:ascii="Arial" w:hAnsi="Arial" w:cs="Arial"/>
                <w:b w:val="0"/>
                <w:i w:val="0"/>
                <w:sz w:val="17"/>
              </w:rPr>
              <w:t>ACE</w:t>
            </w:r>
          </w:p>
        </w:tc>
        <w:tc>
          <w:tcPr>
            <w:tcW w:type="dxa" w:w="2409"/>
          </w:tcPr>
          <w:p>
            <w:pPr>
              <w:spacing w:after="20" w:before="20" w:line="240" w:lineRule="auto"/>
            </w:pPr>
            <w:r/>
            <w:r>
              <w:rPr>
                <w:rFonts w:ascii="Arial" w:hAnsi="Arial" w:cs="Arial"/>
                <w:b w:val="0"/>
                <w:i w:val="0"/>
                <w:sz w:val="17"/>
              </w:rPr>
              <w:t>Customs</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UK</w:t>
            </w:r>
          </w:p>
        </w:tc>
        <w:tc>
          <w:tcPr>
            <w:tcW w:type="dxa" w:w="2409"/>
          </w:tcPr>
          <w:p>
            <w:pPr>
              <w:spacing w:after="20" w:before="20" w:line="240" w:lineRule="auto"/>
            </w:pPr>
            <w:r/>
            <w:r>
              <w:rPr>
                <w:rFonts w:ascii="Arial" w:hAnsi="Arial" w:cs="Arial"/>
                <w:b w:val="0"/>
                <w:i w:val="0"/>
                <w:sz w:val="17"/>
              </w:rPr>
              <w:t>CDS</w:t>
            </w:r>
          </w:p>
        </w:tc>
        <w:tc>
          <w:tcPr>
            <w:tcW w:type="dxa" w:w="2409"/>
          </w:tcPr>
          <w:p>
            <w:pPr>
              <w:spacing w:after="20" w:before="20" w:line="240" w:lineRule="auto"/>
            </w:pPr>
            <w:r/>
            <w:r>
              <w:rPr>
                <w:rFonts w:ascii="Arial" w:hAnsi="Arial" w:cs="Arial"/>
                <w:b w:val="0"/>
                <w:i w:val="0"/>
                <w:sz w:val="17"/>
              </w:rPr>
              <w:t>Customs</w:t>
            </w:r>
          </w:p>
        </w:tc>
        <w:tc>
          <w:tcPr>
            <w:tcW w:type="dxa" w:w="2409"/>
          </w:tcPr>
          <w:p>
            <w:pPr>
              <w:spacing w:after="20" w:before="20" w:line="240" w:lineRule="auto"/>
            </w:pPr>
            <w:r/>
            <w:r>
              <w:rPr>
                <w:rFonts w:ascii="Arial" w:hAnsi="Arial" w:cs="Arial"/>
                <w:b w:val="0"/>
                <w:i w:val="0"/>
                <w:sz w:val="17"/>
              </w:rPr>
              <w:t>Yes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22.10.3 Database Schema</w:t>
      </w:r>
    </w:p>
    <w:p>
      <w:pPr>
        <w:spacing w:after="0" w:before="0" w:line="240" w:lineRule="auto"/>
        <w:ind w:left="57"/>
        <w:jc w:val="left"/>
        <w:shd w:val="clear" w:fill="F2F2F2"/>
      </w:pPr>
      <w:r>
        <w:rPr>
          <w:rFonts w:ascii="Consolas" w:hAnsi="Consolas" w:cs="Consolas"/>
          <w:b w:val="0"/>
          <w:i w:val="0"/>
          <w:sz w:val="15"/>
        </w:rPr>
        <w:t>-- Government API sandbox</w:t>
      </w:r>
    </w:p>
    <w:p>
      <w:pPr>
        <w:spacing w:after="0" w:before="0" w:line="240" w:lineRule="auto"/>
        <w:ind w:left="57"/>
        <w:jc w:val="left"/>
        <w:shd w:val="clear" w:fill="F2F2F2"/>
      </w:pPr>
      <w:r>
        <w:rPr>
          <w:rFonts w:ascii="Consolas" w:hAnsi="Consolas" w:cs="Consolas"/>
          <w:b w:val="0"/>
          <w:i w:val="0"/>
          <w:sz w:val="15"/>
        </w:rPr>
        <w:t>CREATE TABLE government_api_sandbox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CHAR(2) NOT NULL,</w:t>
      </w:r>
    </w:p>
    <w:p>
      <w:pPr>
        <w:spacing w:after="0" w:before="0" w:line="240" w:lineRule="auto"/>
        <w:ind w:left="57"/>
        <w:jc w:val="left"/>
        <w:shd w:val="clear" w:fill="F2F2F2"/>
      </w:pPr>
      <w:r>
        <w:rPr>
          <w:rFonts w:ascii="Consolas" w:hAnsi="Consolas" w:cs="Consolas"/>
          <w:b w:val="0"/>
          <w:i w:val="0"/>
          <w:sz w:val="15"/>
        </w:rPr>
        <w:t xml:space="preserve">    api_name TEXT NOT NULL,</w:t>
      </w:r>
    </w:p>
    <w:p>
      <w:pPr>
        <w:spacing w:after="0" w:before="0" w:line="240" w:lineRule="auto"/>
        <w:ind w:left="57"/>
        <w:jc w:val="left"/>
        <w:shd w:val="clear" w:fill="F2F2F2"/>
      </w:pPr>
      <w:r>
        <w:rPr>
          <w:rFonts w:ascii="Consolas" w:hAnsi="Consolas" w:cs="Consolas"/>
          <w:b w:val="0"/>
          <w:i w:val="0"/>
          <w:sz w:val="15"/>
        </w:rPr>
        <w:t xml:space="preserve">    sandbox_url TEXT NOT NULL,</w:t>
      </w:r>
    </w:p>
    <w:p>
      <w:pPr>
        <w:spacing w:after="0" w:before="0" w:line="240" w:lineRule="auto"/>
        <w:ind w:left="57"/>
        <w:jc w:val="left"/>
        <w:shd w:val="clear" w:fill="F2F2F2"/>
      </w:pPr>
      <w:r>
        <w:rPr>
          <w:rFonts w:ascii="Consolas" w:hAnsi="Consolas" w:cs="Consolas"/>
          <w:b w:val="0"/>
          <w:i w:val="0"/>
          <w:sz w:val="15"/>
        </w:rPr>
        <w:t xml:space="preserve">    production_url TEXT NOT NULL,</w:t>
      </w:r>
    </w:p>
    <w:p>
      <w:pPr>
        <w:spacing w:after="0" w:before="0" w:line="240" w:lineRule="auto"/>
        <w:ind w:left="57"/>
        <w:jc w:val="left"/>
        <w:shd w:val="clear" w:fill="F2F2F2"/>
      </w:pPr>
      <w:r>
        <w:rPr>
          <w:rFonts w:ascii="Consolas" w:hAnsi="Consolas" w:cs="Consolas"/>
          <w:b w:val="0"/>
          <w:i w:val="0"/>
          <w:sz w:val="15"/>
        </w:rPr>
        <w:t xml:space="preserve">    last_mock_generation TIMESTAMPTZ,</w:t>
      </w:r>
    </w:p>
    <w:p>
      <w:pPr>
        <w:spacing w:after="0" w:before="0" w:line="240" w:lineRule="auto"/>
        <w:ind w:left="57"/>
        <w:jc w:val="left"/>
        <w:shd w:val="clear" w:fill="F2F2F2"/>
      </w:pPr>
      <w:r>
        <w:rPr>
          <w:rFonts w:ascii="Consolas" w:hAnsi="Consolas" w:cs="Consolas"/>
          <w:b w:val="0"/>
          <w:i w:val="0"/>
          <w:sz w:val="15"/>
        </w:rPr>
        <w:t xml:space="preserve">    version TEXT,</w:t>
      </w:r>
    </w:p>
    <w:p>
      <w:pPr>
        <w:spacing w:after="0" w:before="0" w:line="240" w:lineRule="auto"/>
        <w:ind w:left="57"/>
        <w:jc w:val="left"/>
        <w:shd w:val="clear" w:fill="F2F2F2"/>
      </w:pPr>
      <w:r>
        <w:rPr>
          <w:rFonts w:ascii="Consolas" w:hAnsi="Consolas" w:cs="Consolas"/>
          <w:b w:val="0"/>
          <w:i w:val="0"/>
          <w:sz w:val="15"/>
        </w:rPr>
        <w:t xml:space="preserve">    is_synced BOOLEAN DEFAULT false,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Government API test results</w:t>
      </w:r>
    </w:p>
    <w:p>
      <w:pPr>
        <w:spacing w:after="0" w:before="0" w:line="240" w:lineRule="auto"/>
        <w:ind w:left="57"/>
        <w:jc w:val="left"/>
        <w:shd w:val="clear" w:fill="F2F2F2"/>
      </w:pPr>
      <w:r>
        <w:rPr>
          <w:rFonts w:ascii="Consolas" w:hAnsi="Consolas" w:cs="Consolas"/>
          <w:b w:val="0"/>
          <w:i w:val="0"/>
          <w:sz w:val="15"/>
        </w:rPr>
        <w:t>CREATE TABLE government_api_test_results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api_id UUID REFERENCES government_api_sandbox(id) ON DELETE CASCADE,</w:t>
      </w:r>
    </w:p>
    <w:p>
      <w:pPr>
        <w:spacing w:after="0" w:before="0" w:line="240" w:lineRule="auto"/>
        <w:ind w:left="57"/>
        <w:jc w:val="left"/>
        <w:shd w:val="clear" w:fill="F2F2F2"/>
      </w:pPr>
      <w:r>
        <w:rPr>
          <w:rFonts w:ascii="Consolas" w:hAnsi="Consolas" w:cs="Consolas"/>
          <w:b w:val="0"/>
          <w:i w:val="0"/>
          <w:sz w:val="15"/>
        </w:rPr>
        <w:t xml:space="preserve">    test_type TEXT NOT NULL,</w:t>
      </w:r>
    </w:p>
    <w:p>
      <w:pPr>
        <w:spacing w:after="0" w:before="0" w:line="240" w:lineRule="auto"/>
        <w:ind w:left="57"/>
        <w:jc w:val="left"/>
        <w:shd w:val="clear" w:fill="F2F2F2"/>
      </w:pPr>
      <w:r>
        <w:rPr>
          <w:rFonts w:ascii="Consolas" w:hAnsi="Consolas" w:cs="Consolas"/>
          <w:b w:val="0"/>
          <w:i w:val="0"/>
          <w:sz w:val="15"/>
        </w:rPr>
        <w:t xml:space="preserve">    endpoint TEXT NOT NULL,</w:t>
      </w:r>
    </w:p>
    <w:p>
      <w:pPr>
        <w:spacing w:after="0" w:before="0" w:line="240" w:lineRule="auto"/>
        <w:ind w:left="57"/>
        <w:jc w:val="left"/>
        <w:shd w:val="clear" w:fill="F2F2F2"/>
      </w:pPr>
      <w:r>
        <w:rPr>
          <w:rFonts w:ascii="Consolas" w:hAnsi="Consolas" w:cs="Consolas"/>
          <w:b w:val="0"/>
          <w:i w:val="0"/>
          <w:sz w:val="15"/>
        </w:rPr>
        <w:t xml:space="preserve">    request_body TEXT,</w:t>
      </w:r>
    </w:p>
    <w:p>
      <w:pPr>
        <w:spacing w:after="0" w:before="0" w:line="240" w:lineRule="auto"/>
        <w:ind w:left="57"/>
        <w:jc w:val="left"/>
        <w:shd w:val="clear" w:fill="F2F2F2"/>
      </w:pPr>
      <w:r>
        <w:rPr>
          <w:rFonts w:ascii="Consolas" w:hAnsi="Consolas" w:cs="Consolas"/>
          <w:b w:val="0"/>
          <w:i w:val="0"/>
          <w:sz w:val="15"/>
        </w:rPr>
        <w:t xml:space="preserve">    response_body TEXT,</w:t>
      </w:r>
    </w:p>
    <w:p>
      <w:pPr>
        <w:spacing w:after="0" w:before="0" w:line="240" w:lineRule="auto"/>
        <w:ind w:left="57"/>
        <w:jc w:val="left"/>
        <w:shd w:val="clear" w:fill="F2F2F2"/>
      </w:pPr>
      <w:r>
        <w:rPr>
          <w:rFonts w:ascii="Consolas" w:hAnsi="Consolas" w:cs="Consolas"/>
          <w:b w:val="0"/>
          <w:i w:val="0"/>
          <w:sz w:val="15"/>
        </w:rPr>
        <w:t xml:space="preserve">    expected_status INTEGER,</w:t>
      </w:r>
    </w:p>
    <w:p>
      <w:pPr>
        <w:spacing w:after="0" w:before="0" w:line="240" w:lineRule="auto"/>
        <w:ind w:left="57"/>
        <w:jc w:val="left"/>
        <w:shd w:val="clear" w:fill="F2F2F2"/>
      </w:pPr>
      <w:r>
        <w:rPr>
          <w:rFonts w:ascii="Consolas" w:hAnsi="Consolas" w:cs="Consolas"/>
          <w:b w:val="0"/>
          <w:i w:val="0"/>
          <w:sz w:val="15"/>
        </w:rPr>
        <w:t xml:space="preserve">    actual_status INTEGER,</w:t>
      </w:r>
    </w:p>
    <w:p>
      <w:pPr>
        <w:spacing w:after="0" w:before="0" w:line="240" w:lineRule="auto"/>
        <w:ind w:left="57"/>
        <w:jc w:val="left"/>
        <w:shd w:val="clear" w:fill="F2F2F2"/>
      </w:pPr>
      <w:r>
        <w:rPr>
          <w:rFonts w:ascii="Consolas" w:hAnsi="Consolas" w:cs="Consolas"/>
          <w:b w:val="0"/>
          <w:i w:val="0"/>
          <w:sz w:val="15"/>
        </w:rPr>
        <w:t xml:space="preserve">    passed BOOLEAN,</w:t>
      </w:r>
    </w:p>
    <w:p>
      <w:pPr>
        <w:spacing w:after="0" w:before="0" w:line="240" w:lineRule="auto"/>
        <w:ind w:left="57"/>
        <w:jc w:val="left"/>
        <w:shd w:val="clear" w:fill="F2F2F2"/>
      </w:pPr>
      <w:r>
        <w:rPr>
          <w:rFonts w:ascii="Consolas" w:hAnsi="Consolas" w:cs="Consolas"/>
          <w:b w:val="0"/>
          <w:i w:val="0"/>
          <w:sz w:val="15"/>
        </w:rPr>
        <w:t xml:space="preserve">    diff TEXT,</w:t>
      </w:r>
    </w:p>
    <w:p>
      <w:pPr>
        <w:spacing w:after="0" w:before="0" w:line="240" w:lineRule="auto"/>
        <w:ind w:left="57"/>
        <w:jc w:val="left"/>
        <w:shd w:val="clear" w:fill="F2F2F2"/>
      </w:pPr>
      <w:r>
        <w:rPr>
          <w:rFonts w:ascii="Consolas" w:hAnsi="Consolas" w:cs="Consolas"/>
          <w:b w:val="0"/>
          <w:i w:val="0"/>
          <w:sz w:val="15"/>
        </w:rPr>
        <w:t xml:space="preserve">    test_run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API change detection logs</w:t>
      </w:r>
    </w:p>
    <w:p>
      <w:pPr>
        <w:spacing w:after="0" w:before="0" w:line="240" w:lineRule="auto"/>
        <w:ind w:left="57"/>
        <w:jc w:val="left"/>
        <w:shd w:val="clear" w:fill="F2F2F2"/>
      </w:pPr>
      <w:r>
        <w:rPr>
          <w:rFonts w:ascii="Consolas" w:hAnsi="Consolas" w:cs="Consolas"/>
          <w:b w:val="0"/>
          <w:i w:val="0"/>
          <w:sz w:val="15"/>
        </w:rPr>
        <w:t>CREATE TABLE api_change_detection_logs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api_id UUID REFERENCES government_api_sandbox(id) ON DELETE CASCADE,</w:t>
      </w:r>
    </w:p>
    <w:p>
      <w:pPr>
        <w:spacing w:after="0" w:before="0" w:line="240" w:lineRule="auto"/>
        <w:ind w:left="57"/>
        <w:jc w:val="left"/>
        <w:shd w:val="clear" w:fill="F2F2F2"/>
      </w:pPr>
      <w:r>
        <w:rPr>
          <w:rFonts w:ascii="Consolas" w:hAnsi="Consolas" w:cs="Consolas"/>
          <w:b w:val="0"/>
          <w:i w:val="0"/>
          <w:sz w:val="15"/>
        </w:rPr>
        <w:t xml:space="preserve">    change_type TEXT NOT NULL,</w:t>
      </w:r>
    </w:p>
    <w:p>
      <w:pPr>
        <w:spacing w:after="0" w:before="0" w:line="240" w:lineRule="auto"/>
        <w:ind w:left="57"/>
        <w:jc w:val="left"/>
        <w:shd w:val="clear" w:fill="F2F2F2"/>
      </w:pPr>
      <w:r>
        <w:rPr>
          <w:rFonts w:ascii="Consolas" w:hAnsi="Consolas" w:cs="Consolas"/>
          <w:b w:val="0"/>
          <w:i w:val="0"/>
          <w:sz w:val="15"/>
        </w:rPr>
        <w:t xml:space="preserve">    old_schema TEXT,</w:t>
      </w:r>
    </w:p>
    <w:p>
      <w:pPr>
        <w:spacing w:after="0" w:before="0" w:line="240" w:lineRule="auto"/>
        <w:ind w:left="57"/>
        <w:jc w:val="left"/>
        <w:shd w:val="clear" w:fill="F2F2F2"/>
      </w:pPr>
      <w:r>
        <w:rPr>
          <w:rFonts w:ascii="Consolas" w:hAnsi="Consolas" w:cs="Consolas"/>
          <w:b w:val="0"/>
          <w:i w:val="0"/>
          <w:sz w:val="15"/>
        </w:rPr>
        <w:t xml:space="preserve">    new_schema TEXT,</w:t>
      </w:r>
    </w:p>
    <w:p>
      <w:pPr>
        <w:spacing w:after="0" w:before="0" w:line="240" w:lineRule="auto"/>
        <w:ind w:left="57"/>
        <w:jc w:val="left"/>
        <w:shd w:val="clear" w:fill="F2F2F2"/>
      </w:pPr>
      <w:r>
        <w:rPr>
          <w:rFonts w:ascii="Consolas" w:hAnsi="Consolas" w:cs="Consolas"/>
          <w:b w:val="0"/>
          <w:i w:val="0"/>
          <w:sz w:val="15"/>
        </w:rPr>
        <w:t xml:space="preserve">    detected_at TIMESTAMPTZ DEFAULT NOW(),</w:t>
      </w:r>
    </w:p>
    <w:p>
      <w:pPr>
        <w:spacing w:after="0" w:before="0" w:line="240" w:lineRule="auto"/>
        <w:ind w:left="57"/>
        <w:jc w:val="left"/>
        <w:shd w:val="clear" w:fill="F2F2F2"/>
      </w:pPr>
      <w:r>
        <w:rPr>
          <w:rFonts w:ascii="Consolas" w:hAnsi="Consolas" w:cs="Consolas"/>
          <w:b w:val="0"/>
          <w:i w:val="0"/>
          <w:sz w:val="15"/>
        </w:rPr>
        <w:t xml:space="preserve">    resolved BOOLEAN DEFAULT false,</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idx_government_api_sandbox_country ON government_api_sandbox(country_code);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idx_government_api_test_results_api ON government_api_test_results(api_id);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idx_api_change_detection_logs_api ON api_change_detection_logs(api_id);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22.10.4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/v1/sandbox/status</w:t>
            </w:r>
          </w:p>
        </w:tc>
        <w:tc>
          <w:tcPr>
            <w:tcW w:type="dxa" w:w="3213"/>
          </w:tcPr>
          <w:p>
            <w:pPr>
              <w:spacing w:after="20" w:before="20" w:line="240" w:lineRule="auto"/>
            </w:pPr>
            <w:r/>
            <w:r>
              <w:rPr>
                <w:rFonts w:ascii="Arial" w:hAnsi="Arial" w:cs="Arial"/>
                <w:b w:val="0"/>
                <w:i w:val="0"/>
                <w:sz w:val="17"/>
              </w:rPr>
              <w:t>Get sandbox status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/v1/sandbox/test</w:t>
            </w:r>
          </w:p>
        </w:tc>
        <w:tc>
          <w:tcPr>
            <w:tcW w:type="dxa" w:w="3213"/>
          </w:tcPr>
          <w:p>
            <w:pPr>
              <w:spacing w:after="20" w:before="20" w:line="240" w:lineRule="auto"/>
            </w:pPr>
            <w:r/>
            <w:r>
              <w:rPr>
                <w:rFonts w:ascii="Arial" w:hAnsi="Arial" w:cs="Arial"/>
                <w:b w:val="0"/>
                <w:i w:val="0"/>
                <w:sz w:val="17"/>
              </w:rPr>
              <w:t>Run API test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/v1/sandbox/results</w:t>
            </w:r>
          </w:p>
        </w:tc>
        <w:tc>
          <w:tcPr>
            <w:tcW w:type="dxa" w:w="3213"/>
          </w:tcPr>
          <w:p>
            <w:pPr>
              <w:spacing w:after="20" w:before="20" w:line="240" w:lineRule="auto"/>
            </w:pPr>
            <w:r/>
            <w:r>
              <w:rPr>
                <w:rFonts w:ascii="Arial" w:hAnsi="Arial" w:cs="Arial"/>
                <w:b w:val="0"/>
                <w:i w:val="0"/>
                <w:sz w:val="17"/>
              </w:rPr>
              <w:t>Get test results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/v1/sandbox/sync</w:t>
            </w:r>
          </w:p>
        </w:tc>
        <w:tc>
          <w:tcPr>
            <w:tcW w:type="dxa" w:w="3213"/>
          </w:tcPr>
          <w:p>
            <w:pPr>
              <w:spacing w:after="20" w:before="20" w:line="240" w:lineRule="auto"/>
            </w:pPr>
            <w:r/>
            <w:r>
              <w:rPr>
                <w:rFonts w:ascii="Arial" w:hAnsi="Arial" w:cs="Arial"/>
                <w:b w:val="0"/>
                <w:i w:val="0"/>
                <w:sz w:val="17"/>
              </w:rPr>
              <w:t>Sync with production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22.10.5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20 — government integration</w:t>
            </w:r>
          </w:p>
        </w:tc>
        <w:tc>
          <w:tcPr>
            <w:tcW w:type="dxa" w:w="4819"/>
          </w:tcPr>
          <w:p>
            <w:pPr>
              <w:spacing w:after="20" w:before="20" w:line="240" w:lineRule="auto"/>
            </w:pPr>
            <w:r/>
            <w:r>
              <w:rPr>
                <w:rFonts w:ascii="Arial" w:hAnsi="Arial" w:cs="Arial"/>
                <w:b w:val="0"/>
                <w:i w:val="0"/>
                <w:sz w:val="17"/>
              </w:rPr>
              <w:t>Sandbox for testing</w:t>
            </w:r>
          </w:p>
        </w:tc>
      </w:tr>
      <w:tr>
        <w:tc>
          <w:tcPr>
            <w:tcW w:type="dxa" w:w="4819"/>
          </w:tcPr>
          <w:p>
            <w:pPr>
              <w:spacing w:after="20" w:before="20" w:line="240" w:lineRule="auto"/>
            </w:pPr>
            <w:r/>
            <w:r>
              <w:rPr>
                <w:rFonts w:ascii="Arial" w:hAnsi="Arial" w:cs="Arial"/>
                <w:b w:val="0"/>
                <w:i w:val="0"/>
                <w:sz w:val="17"/>
              </w:rPr>
              <w:t>Section 16 — Government Portal</w:t>
            </w:r>
          </w:p>
        </w:tc>
        <w:tc>
          <w:tcPr>
            <w:tcW w:type="dxa" w:w="4819"/>
          </w:tcPr>
          <w:p>
            <w:pPr>
              <w:spacing w:after="20" w:before="20" w:line="240" w:lineRule="auto"/>
            </w:pPr>
            <w:r/>
            <w:r>
              <w:rPr>
                <w:rFonts w:ascii="Arial" w:hAnsi="Arial" w:cs="Arial"/>
                <w:b w:val="0"/>
                <w:i w:val="0"/>
                <w:sz w:val="17"/>
              </w:rPr>
              <w:t>Sandbox status view</w:t>
            </w:r>
          </w:p>
        </w:tc>
      </w:tr>
      <w:tr>
        <w:tc>
          <w:tcPr>
            <w:tcW w:type="dxa" w:w="4819"/>
          </w:tcPr>
          <w:p>
            <w:pPr>
              <w:spacing w:after="20" w:before="20" w:line="240" w:lineRule="auto"/>
            </w:pPr>
            <w:r/>
            <w:r>
              <w:rPr>
                <w:rFonts w:ascii="Arial" w:hAnsi="Arial" w:cs="Arial"/>
                <w:b w:val="0"/>
                <w:i w:val="0"/>
                <w:sz w:val="17"/>
              </w:rPr>
              <w:t>Section 16 — Admin Portal</w:t>
            </w:r>
          </w:p>
        </w:tc>
        <w:tc>
          <w:tcPr>
            <w:tcW w:type="dxa" w:w="4819"/>
          </w:tcPr>
          <w:p>
            <w:pPr>
              <w:spacing w:after="20" w:before="20" w:line="240" w:lineRule="auto"/>
            </w:pPr>
            <w:r/>
            <w:r>
              <w:rPr>
                <w:rFonts w:ascii="Arial" w:hAnsi="Arial" w:cs="Arial"/>
                <w:b w:val="0"/>
                <w:i w:val="0"/>
                <w:sz w:val="17"/>
              </w:rPr>
              <w:t>Sandbox management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22.10.6 Implementation Checklist</w:t>
      </w:r>
    </w:p>
    <w:p>
      <w:pPr>
        <w:spacing w:after="80" w:line="293" w:lineRule="auto"/>
        <w:ind w:left="283"/>
        <w:jc w:val="left"/>
      </w:pPr>
      <w:r>
        <w:rPr>
          <w:rFonts w:ascii="Times New Roman" w:hAnsi="Times New Roman" w:cs="Times New Roman"/>
          <w:b w:val="0"/>
          <w:i w:val="0"/>
          <w:sz w:val="22"/>
        </w:rPr>
        <w:t>- Create the `government_api_sandbox` table.</w:t>
      </w:r>
    </w:p>
    <w:p>
      <w:pPr>
        <w:spacing w:after="80" w:line="293" w:lineRule="auto"/>
        <w:ind w:left="283"/>
        <w:jc w:val="left"/>
      </w:pPr>
      <w:r>
        <w:rPr>
          <w:rFonts w:ascii="Times New Roman" w:hAnsi="Times New Roman" w:cs="Times New Roman"/>
          <w:b w:val="0"/>
          <w:i w:val="0"/>
          <w:sz w:val="22"/>
        </w:rPr>
        <w:t>- Create the `government_api_test_results` table.</w:t>
      </w:r>
    </w:p>
    <w:p>
      <w:pPr>
        <w:spacing w:after="80" w:line="293" w:lineRule="auto"/>
        <w:ind w:left="283"/>
        <w:jc w:val="left"/>
      </w:pPr>
      <w:r>
        <w:rPr>
          <w:rFonts w:ascii="Times New Roman" w:hAnsi="Times New Roman" w:cs="Times New Roman"/>
          <w:b w:val="0"/>
          <w:i w:val="0"/>
          <w:sz w:val="22"/>
        </w:rPr>
        <w:t>- Create the `api_change_detection_logs` table.</w:t>
      </w:r>
    </w:p>
    <w:p>
      <w:pPr>
        <w:spacing w:after="80" w:line="293" w:lineRule="auto"/>
        <w:ind w:left="283"/>
        <w:jc w:val="left"/>
      </w:pPr>
      <w:r>
        <w:rPr>
          <w:rFonts w:ascii="Times New Roman" w:hAnsi="Times New Roman" w:cs="Times New Roman"/>
          <w:b w:val="0"/>
          <w:i w:val="0"/>
          <w:sz w:val="22"/>
        </w:rPr>
        <w:t>- Implement the sandbox environment.</w:t>
      </w:r>
    </w:p>
    <w:p>
      <w:pPr>
        <w:spacing w:after="80" w:line="293" w:lineRule="auto"/>
        <w:ind w:left="283"/>
        <w:jc w:val="left"/>
      </w:pPr>
      <w:r>
        <w:rPr>
          <w:rFonts w:ascii="Times New Roman" w:hAnsi="Times New Roman" w:cs="Times New Roman"/>
          <w:b w:val="0"/>
          <w:i w:val="0"/>
          <w:sz w:val="22"/>
        </w:rPr>
        <w:t>- Implement automated regression testing.</w:t>
      </w:r>
    </w:p>
    <w:p>
      <w:pPr>
        <w:spacing w:after="80" w:line="293" w:lineRule="auto"/>
        <w:ind w:left="283"/>
        <w:jc w:val="left"/>
      </w:pPr>
      <w:r>
        <w:rPr>
          <w:rFonts w:ascii="Times New Roman" w:hAnsi="Times New Roman" w:cs="Times New Roman"/>
          <w:b w:val="0"/>
          <w:i w:val="0"/>
          <w:sz w:val="22"/>
        </w:rPr>
        <w:t>- Implement change detection.</w:t>
      </w:r>
    </w:p>
    <w:p>
      <w:pPr>
        <w:spacing w:after="80" w:line="293" w:lineRule="auto"/>
        <w:ind w:left="283"/>
        <w:jc w:val="left"/>
      </w:pPr>
      <w:r>
        <w:rPr>
          <w:rFonts w:ascii="Times New Roman" w:hAnsi="Times New Roman" w:cs="Times New Roman"/>
          <w:b w:val="0"/>
          <w:i w:val="0"/>
          <w:sz w:val="22"/>
        </w:rPr>
        <w:t>- Add alerting for API changes.</w:t>
      </w:r>
    </w:p>
    <w:p>
      <w:pPr>
        <w:keepNext/>
        <w:spacing w:before="240" w:after="100"/>
        <w:outlineLvl w:val="1"/>
      </w:pPr>
      <w:r>
        <w:rPr>
          <w:rFonts w:ascii="Arial" w:hAnsi="Arial" w:cs="Arial"/>
          <w:b/>
          <w:i w:val="0"/>
          <w:color w:val="2E528F"/>
          <w:sz w:val="26"/>
        </w:rPr>
        <w:t>22.11 Add-On 16: FTA Preference Management</w:t>
      </w:r>
    </w:p>
    <w:p>
      <w:pPr>
        <w:keepNext/>
        <w:spacing w:before="180" w:after="80"/>
        <w:outlineLvl w:val="2"/>
      </w:pPr>
      <w:r>
        <w:rPr>
          <w:rFonts w:ascii="Arial" w:hAnsi="Arial" w:cs="Arial"/>
          <w:b/>
          <w:i w:val="0"/>
          <w:color w:val="333333"/>
          <w:sz w:val="23"/>
        </w:rPr>
        <w:t>22.11.1 Purpose &amp; Design Philosophy</w:t>
      </w:r>
    </w:p>
    <w:p>
      <w:pPr>
        <w:spacing w:after="80" w:line="293" w:lineRule="auto"/>
        <w:jc w:val="left"/>
      </w:pPr>
      <w:r>
        <w:rPr>
          <w:rFonts w:ascii="Times New Roman" w:hAnsi="Times New Roman" w:cs="Times New Roman"/>
          <w:b w:val="0"/>
          <w:i w:val="0"/>
          <w:sz w:val="22"/>
        </w:rPr>
        <w:t>Automatically detect FTA (Free Trade Agreement) eligibility, calculate preference rates, and manage certificates.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Auto-detection — check whether the trade qualifies for an FTA.</w:t>
      </w:r>
    </w:p>
    <w:p>
      <w:pPr>
        <w:spacing w:after="80" w:line="293" w:lineRule="auto"/>
        <w:ind w:left="283"/>
        <w:jc w:val="left"/>
      </w:pPr>
      <w:r>
        <w:rPr>
          <w:rFonts w:ascii="Times New Roman" w:hAnsi="Times New Roman" w:cs="Times New Roman"/>
          <w:b w:val="0"/>
          <w:i w:val="0"/>
          <w:sz w:val="22"/>
        </w:rPr>
        <w:t>- Preference calculation — apply preferential rates.</w:t>
      </w:r>
    </w:p>
    <w:p>
      <w:pPr>
        <w:spacing w:after="80" w:line="293" w:lineRule="auto"/>
        <w:ind w:left="283"/>
        <w:jc w:val="left"/>
      </w:pPr>
      <w:r>
        <w:rPr>
          <w:rFonts w:ascii="Times New Roman" w:hAnsi="Times New Roman" w:cs="Times New Roman"/>
          <w:b w:val="0"/>
          <w:i w:val="0"/>
          <w:sz w:val="22"/>
        </w:rPr>
        <w:t>- Certificate management — EUR.1, COO (Certificate of Origin), etc.</w:t>
      </w:r>
    </w:p>
    <w:p>
      <w:pPr>
        <w:spacing w:after="80" w:line="293" w:lineRule="auto"/>
        <w:ind w:left="283"/>
        <w:jc w:val="left"/>
      </w:pPr>
      <w:r>
        <w:rPr>
          <w:rFonts w:ascii="Times New Roman" w:hAnsi="Times New Roman" w:cs="Times New Roman"/>
          <w:b w:val="0"/>
          <w:i w:val="0"/>
          <w:sz w:val="22"/>
        </w:rPr>
        <w:t>- Jurisdiction-aware — all FTAs worldwide.</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A2 (HF local → Ollama): FTA detection.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22.11.2 FTA Coverage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FTA</w:t>
            </w:r>
          </w:p>
        </w:tc>
        <w:tc>
          <w:tcPr>
            <w:tcW w:type="dxa" w:w="2409"/>
            <w:shd w:val="clear" w:fill="D9E2F3"/>
          </w:tcPr>
          <w:p>
            <w:pPr>
              <w:spacing w:after="20" w:before="20" w:line="240" w:lineRule="auto"/>
            </w:pPr>
            <w:r/>
            <w:r>
              <w:rPr>
                <w:rFonts w:ascii="Arial" w:hAnsi="Arial" w:cs="Arial"/>
                <w:b/>
                <w:i w:val="0"/>
                <w:sz w:val="18"/>
              </w:rPr>
              <w:t>Countries</w:t>
            </w:r>
          </w:p>
        </w:tc>
        <w:tc>
          <w:tcPr>
            <w:tcW w:type="dxa" w:w="2409"/>
            <w:shd w:val="clear" w:fill="D9E2F3"/>
          </w:tcPr>
          <w:p>
            <w:pPr>
              <w:spacing w:after="20" w:before="20" w:line="240" w:lineRule="auto"/>
            </w:pPr>
            <w:r/>
            <w:r>
              <w:rPr>
                <w:rFonts w:ascii="Arial" w:hAnsi="Arial" w:cs="Arial"/>
                <w:b/>
                <w:i w:val="0"/>
                <w:sz w:val="18"/>
              </w:rPr>
              <w:t>Preference Rate</w:t>
            </w:r>
          </w:p>
        </w:tc>
        <w:tc>
          <w:tcPr>
            <w:tcW w:type="dxa" w:w="2409"/>
            <w:shd w:val="clear" w:fill="D9E2F3"/>
          </w:tcPr>
          <w:p>
            <w:pPr>
              <w:spacing w:after="20" w:before="20" w:line="240" w:lineRule="auto"/>
            </w:pPr>
            <w:r/>
            <w:r>
              <w:rPr>
                <w:rFonts w:ascii="Arial" w:hAnsi="Arial" w:cs="Arial"/>
                <w:b/>
                <w:i w:val="0"/>
                <w:sz w:val="18"/>
              </w:rPr>
              <w:t>Document Required</w:t>
            </w:r>
          </w:p>
        </w:tc>
      </w:tr>
      <w:tr>
        <w:tc>
          <w:tcPr>
            <w:tcW w:type="dxa" w:w="2409"/>
          </w:tcPr>
          <w:p>
            <w:pPr>
              <w:spacing w:after="20" w:before="20" w:line="240" w:lineRule="auto"/>
            </w:pPr>
            <w:r/>
            <w:r>
              <w:rPr>
                <w:rFonts w:ascii="Arial" w:hAnsi="Arial" w:cs="Arial"/>
                <w:b w:val="0"/>
                <w:i w:val="0"/>
                <w:sz w:val="17"/>
              </w:rPr>
              <w:t>Egypt-EU</w:t>
            </w:r>
          </w:p>
        </w:tc>
        <w:tc>
          <w:tcPr>
            <w:tcW w:type="dxa" w:w="2409"/>
          </w:tcPr>
          <w:p>
            <w:pPr>
              <w:spacing w:after="20" w:before="20" w:line="240" w:lineRule="auto"/>
            </w:pPr>
            <w:r/>
            <w:r>
              <w:rPr>
                <w:rFonts w:ascii="Arial" w:hAnsi="Arial" w:cs="Arial"/>
                <w:b w:val="0"/>
                <w:i w:val="0"/>
                <w:sz w:val="17"/>
              </w:rPr>
              <w:t>Egypt → EU</w:t>
            </w:r>
          </w:p>
        </w:tc>
        <w:tc>
          <w:tcPr>
            <w:tcW w:type="dxa" w:w="2409"/>
          </w:tcPr>
          <w:p>
            <w:pPr>
              <w:spacing w:after="20" w:before="20" w:line="240" w:lineRule="auto"/>
            </w:pPr>
            <w:r/>
            <w:r>
              <w:rPr>
                <w:rFonts w:ascii="Arial" w:hAnsi="Arial" w:cs="Arial"/>
                <w:b w:val="0"/>
                <w:i w:val="0"/>
                <w:sz w:val="17"/>
              </w:rPr>
              <w:t>0%</w:t>
            </w:r>
          </w:p>
        </w:tc>
        <w:tc>
          <w:tcPr>
            <w:tcW w:type="dxa" w:w="2409"/>
          </w:tcPr>
          <w:p>
            <w:pPr>
              <w:spacing w:after="20" w:before="20" w:line="240" w:lineRule="auto"/>
            </w:pPr>
            <w:r/>
            <w:r>
              <w:rPr>
                <w:rFonts w:ascii="Arial" w:hAnsi="Arial" w:cs="Arial"/>
                <w:b w:val="0"/>
                <w:i w:val="0"/>
                <w:sz w:val="17"/>
              </w:rPr>
              <w:t>EUR.1, Invoice declaration</w:t>
            </w:r>
          </w:p>
        </w:tc>
      </w:tr>
      <w:tr>
        <w:tc>
          <w:tcPr>
            <w:tcW w:type="dxa" w:w="2409"/>
          </w:tcPr>
          <w:p>
            <w:pPr>
              <w:spacing w:after="20" w:before="20" w:line="240" w:lineRule="auto"/>
            </w:pPr>
            <w:r/>
            <w:r>
              <w:rPr>
                <w:rFonts w:ascii="Arial" w:hAnsi="Arial" w:cs="Arial"/>
                <w:b w:val="0"/>
                <w:i w:val="0"/>
                <w:sz w:val="17"/>
              </w:rPr>
              <w:t>Egypt-UAE</w:t>
            </w:r>
          </w:p>
        </w:tc>
        <w:tc>
          <w:tcPr>
            <w:tcW w:type="dxa" w:w="2409"/>
          </w:tcPr>
          <w:p>
            <w:pPr>
              <w:spacing w:after="20" w:before="20" w:line="240" w:lineRule="auto"/>
            </w:pPr>
            <w:r/>
            <w:r>
              <w:rPr>
                <w:rFonts w:ascii="Arial" w:hAnsi="Arial" w:cs="Arial"/>
                <w:b w:val="0"/>
                <w:i w:val="0"/>
                <w:sz w:val="17"/>
              </w:rPr>
              <w:t>Egypt → UAE</w:t>
            </w:r>
          </w:p>
        </w:tc>
        <w:tc>
          <w:tcPr>
            <w:tcW w:type="dxa" w:w="2409"/>
          </w:tcPr>
          <w:p>
            <w:pPr>
              <w:spacing w:after="20" w:before="20" w:line="240" w:lineRule="auto"/>
            </w:pPr>
            <w:r/>
            <w:r>
              <w:rPr>
                <w:rFonts w:ascii="Arial" w:hAnsi="Arial" w:cs="Arial"/>
                <w:b w:val="0"/>
                <w:i w:val="0"/>
                <w:sz w:val="17"/>
              </w:rPr>
              <w:t>0-5%</w:t>
            </w:r>
          </w:p>
        </w:tc>
        <w:tc>
          <w:tcPr>
            <w:tcW w:type="dxa" w:w="2409"/>
          </w:tcPr>
          <w:p>
            <w:pPr>
              <w:spacing w:after="20" w:before="20" w:line="240" w:lineRule="auto"/>
            </w:pPr>
            <w:r/>
            <w:r>
              <w:rPr>
                <w:rFonts w:ascii="Arial" w:hAnsi="Arial" w:cs="Arial"/>
                <w:b w:val="0"/>
                <w:i w:val="0"/>
                <w:sz w:val="17"/>
              </w:rPr>
              <w:t>Certificate of Origin</w:t>
            </w:r>
          </w:p>
        </w:tc>
      </w:tr>
      <w:tr>
        <w:tc>
          <w:tcPr>
            <w:tcW w:type="dxa" w:w="2409"/>
          </w:tcPr>
          <w:p>
            <w:pPr>
              <w:spacing w:after="20" w:before="20" w:line="240" w:lineRule="auto"/>
            </w:pPr>
            <w:r/>
            <w:r>
              <w:rPr>
                <w:rFonts w:ascii="Arial" w:hAnsi="Arial" w:cs="Arial"/>
                <w:b w:val="0"/>
                <w:i w:val="0"/>
                <w:sz w:val="17"/>
              </w:rPr>
              <w:t>Egypt-Saudi</w:t>
            </w:r>
          </w:p>
        </w:tc>
        <w:tc>
          <w:tcPr>
            <w:tcW w:type="dxa" w:w="2409"/>
          </w:tcPr>
          <w:p>
            <w:pPr>
              <w:spacing w:after="20" w:before="20" w:line="240" w:lineRule="auto"/>
            </w:pPr>
            <w:r/>
            <w:r>
              <w:rPr>
                <w:rFonts w:ascii="Arial" w:hAnsi="Arial" w:cs="Arial"/>
                <w:b w:val="0"/>
                <w:i w:val="0"/>
                <w:sz w:val="17"/>
              </w:rPr>
              <w:t>Egypt → Saudi</w:t>
            </w:r>
          </w:p>
        </w:tc>
        <w:tc>
          <w:tcPr>
            <w:tcW w:type="dxa" w:w="2409"/>
          </w:tcPr>
          <w:p>
            <w:pPr>
              <w:spacing w:after="20" w:before="20" w:line="240" w:lineRule="auto"/>
            </w:pPr>
            <w:r/>
            <w:r>
              <w:rPr>
                <w:rFonts w:ascii="Arial" w:hAnsi="Arial" w:cs="Arial"/>
                <w:b w:val="0"/>
                <w:i w:val="0"/>
                <w:sz w:val="17"/>
              </w:rPr>
              <w:t>0-5%</w:t>
            </w:r>
          </w:p>
        </w:tc>
        <w:tc>
          <w:tcPr>
            <w:tcW w:type="dxa" w:w="2409"/>
          </w:tcPr>
          <w:p>
            <w:pPr>
              <w:spacing w:after="20" w:before="20" w:line="240" w:lineRule="auto"/>
            </w:pPr>
            <w:r/>
            <w:r>
              <w:rPr>
                <w:rFonts w:ascii="Arial" w:hAnsi="Arial" w:cs="Arial"/>
                <w:b w:val="0"/>
                <w:i w:val="0"/>
                <w:sz w:val="17"/>
              </w:rPr>
              <w:t>Certificate of Origin</w:t>
            </w:r>
          </w:p>
        </w:tc>
      </w:tr>
      <w:tr>
        <w:tc>
          <w:tcPr>
            <w:tcW w:type="dxa" w:w="2409"/>
          </w:tcPr>
          <w:p>
            <w:pPr>
              <w:spacing w:after="20" w:before="20" w:line="240" w:lineRule="auto"/>
            </w:pPr>
            <w:r/>
            <w:r>
              <w:rPr>
                <w:rFonts w:ascii="Arial" w:hAnsi="Arial" w:cs="Arial"/>
                <w:b w:val="0"/>
                <w:i w:val="0"/>
                <w:sz w:val="17"/>
              </w:rPr>
              <w:t>Egypt-UK</w:t>
            </w:r>
          </w:p>
        </w:tc>
        <w:tc>
          <w:tcPr>
            <w:tcW w:type="dxa" w:w="2409"/>
          </w:tcPr>
          <w:p>
            <w:pPr>
              <w:spacing w:after="20" w:before="20" w:line="240" w:lineRule="auto"/>
            </w:pPr>
            <w:r/>
            <w:r>
              <w:rPr>
                <w:rFonts w:ascii="Arial" w:hAnsi="Arial" w:cs="Arial"/>
                <w:b w:val="0"/>
                <w:i w:val="0"/>
                <w:sz w:val="17"/>
              </w:rPr>
              <w:t>Egypt → UK</w:t>
            </w:r>
          </w:p>
        </w:tc>
        <w:tc>
          <w:tcPr>
            <w:tcW w:type="dxa" w:w="2409"/>
          </w:tcPr>
          <w:p>
            <w:pPr>
              <w:spacing w:after="20" w:before="20" w:line="240" w:lineRule="auto"/>
            </w:pPr>
            <w:r/>
            <w:r>
              <w:rPr>
                <w:rFonts w:ascii="Arial" w:hAnsi="Arial" w:cs="Arial"/>
                <w:b w:val="0"/>
                <w:i w:val="0"/>
                <w:sz w:val="17"/>
              </w:rPr>
              <w:t>0%</w:t>
            </w:r>
          </w:p>
        </w:tc>
        <w:tc>
          <w:tcPr>
            <w:tcW w:type="dxa" w:w="2409"/>
          </w:tcPr>
          <w:p>
            <w:pPr>
              <w:spacing w:after="20" w:before="20" w:line="240" w:lineRule="auto"/>
            </w:pPr>
            <w:r/>
            <w:r>
              <w:rPr>
                <w:rFonts w:ascii="Arial" w:hAnsi="Arial" w:cs="Arial"/>
                <w:b w:val="0"/>
                <w:i w:val="0"/>
                <w:sz w:val="17"/>
              </w:rPr>
              <w:t>UK-Egypt FTA</w:t>
            </w:r>
          </w:p>
        </w:tc>
      </w:tr>
      <w:tr>
        <w:tc>
          <w:tcPr>
            <w:tcW w:type="dxa" w:w="2409"/>
          </w:tcPr>
          <w:p>
            <w:pPr>
              <w:spacing w:after="20" w:before="20" w:line="240" w:lineRule="auto"/>
            </w:pPr>
            <w:r/>
            <w:r>
              <w:rPr>
                <w:rFonts w:ascii="Arial" w:hAnsi="Arial" w:cs="Arial"/>
                <w:b w:val="0"/>
                <w:i w:val="0"/>
                <w:sz w:val="17"/>
              </w:rPr>
              <w:t>AfCFTA</w:t>
            </w:r>
          </w:p>
        </w:tc>
        <w:tc>
          <w:tcPr>
            <w:tcW w:type="dxa" w:w="2409"/>
          </w:tcPr>
          <w:p>
            <w:pPr>
              <w:spacing w:after="20" w:before="20" w:line="240" w:lineRule="auto"/>
            </w:pPr>
            <w:r/>
            <w:r>
              <w:rPr>
                <w:rFonts w:ascii="Arial" w:hAnsi="Arial" w:cs="Arial"/>
                <w:b w:val="0"/>
                <w:i w:val="0"/>
                <w:sz w:val="17"/>
              </w:rPr>
              <w:t>African countries</w:t>
            </w:r>
          </w:p>
        </w:tc>
        <w:tc>
          <w:tcPr>
            <w:tcW w:type="dxa" w:w="2409"/>
          </w:tcPr>
          <w:p>
            <w:pPr>
              <w:spacing w:after="20" w:before="20" w:line="240" w:lineRule="auto"/>
            </w:pPr>
            <w:r/>
            <w:r>
              <w:rPr>
                <w:rFonts w:ascii="Arial" w:hAnsi="Arial" w:cs="Arial"/>
                <w:b w:val="0"/>
                <w:i w:val="0"/>
                <w:sz w:val="17"/>
              </w:rPr>
              <w:t>0-10%</w:t>
            </w:r>
          </w:p>
        </w:tc>
        <w:tc>
          <w:tcPr>
            <w:tcW w:type="dxa" w:w="2409"/>
          </w:tcPr>
          <w:p>
            <w:pPr>
              <w:spacing w:after="20" w:before="20" w:line="240" w:lineRule="auto"/>
            </w:pPr>
            <w:r/>
            <w:r>
              <w:rPr>
                <w:rFonts w:ascii="Arial" w:hAnsi="Arial" w:cs="Arial"/>
                <w:b w:val="0"/>
                <w:i w:val="0"/>
                <w:sz w:val="17"/>
              </w:rPr>
              <w:t>AfCFTA Certificate</w:t>
            </w:r>
          </w:p>
        </w:tc>
      </w:tr>
      <w:tr>
        <w:tc>
          <w:tcPr>
            <w:tcW w:type="dxa" w:w="2409"/>
          </w:tcPr>
          <w:p>
            <w:pPr>
              <w:spacing w:after="20" w:before="20" w:line="240" w:lineRule="auto"/>
            </w:pPr>
            <w:r/>
            <w:r>
              <w:rPr>
                <w:rFonts w:ascii="Arial" w:hAnsi="Arial" w:cs="Arial"/>
                <w:b w:val="0"/>
                <w:i w:val="0"/>
                <w:sz w:val="17"/>
              </w:rPr>
              <w:t>GAFTA</w:t>
            </w:r>
          </w:p>
        </w:tc>
        <w:tc>
          <w:tcPr>
            <w:tcW w:type="dxa" w:w="2409"/>
          </w:tcPr>
          <w:p>
            <w:pPr>
              <w:spacing w:after="20" w:before="20" w:line="240" w:lineRule="auto"/>
            </w:pPr>
            <w:r/>
            <w:r>
              <w:rPr>
                <w:rFonts w:ascii="Arial" w:hAnsi="Arial" w:cs="Arial"/>
                <w:b w:val="0"/>
                <w:i w:val="0"/>
                <w:sz w:val="17"/>
              </w:rPr>
              <w:t>Arab League</w:t>
            </w:r>
          </w:p>
        </w:tc>
        <w:tc>
          <w:tcPr>
            <w:tcW w:type="dxa" w:w="2409"/>
          </w:tcPr>
          <w:p>
            <w:pPr>
              <w:spacing w:after="20" w:before="20" w:line="240" w:lineRule="auto"/>
            </w:pPr>
            <w:r/>
            <w:r>
              <w:rPr>
                <w:rFonts w:ascii="Arial" w:hAnsi="Arial" w:cs="Arial"/>
                <w:b w:val="0"/>
                <w:i w:val="0"/>
                <w:sz w:val="17"/>
              </w:rPr>
              <w:t>0-10%</w:t>
            </w:r>
          </w:p>
        </w:tc>
        <w:tc>
          <w:tcPr>
            <w:tcW w:type="dxa" w:w="2409"/>
          </w:tcPr>
          <w:p>
            <w:pPr>
              <w:spacing w:after="20" w:before="20" w:line="240" w:lineRule="auto"/>
            </w:pPr>
            <w:r/>
            <w:r>
              <w:rPr>
                <w:rFonts w:ascii="Arial" w:hAnsi="Arial" w:cs="Arial"/>
                <w:b w:val="0"/>
                <w:i w:val="0"/>
                <w:sz w:val="17"/>
              </w:rPr>
              <w:t>Certificate of Origin</w:t>
            </w:r>
          </w:p>
        </w:tc>
      </w:tr>
      <w:tr>
        <w:tc>
          <w:tcPr>
            <w:tcW w:type="dxa" w:w="2409"/>
          </w:tcPr>
          <w:p>
            <w:pPr>
              <w:spacing w:after="20" w:before="20" w:line="240" w:lineRule="auto"/>
            </w:pPr>
            <w:r/>
            <w:r>
              <w:rPr>
                <w:rFonts w:ascii="Arial" w:hAnsi="Arial" w:cs="Arial"/>
                <w:b w:val="0"/>
                <w:i w:val="0"/>
                <w:sz w:val="17"/>
              </w:rPr>
              <w:t>EU-Mercosur</w:t>
            </w:r>
          </w:p>
        </w:tc>
        <w:tc>
          <w:tcPr>
            <w:tcW w:type="dxa" w:w="2409"/>
          </w:tcPr>
          <w:p>
            <w:pPr>
              <w:spacing w:after="20" w:before="20" w:line="240" w:lineRule="auto"/>
            </w:pPr>
            <w:r/>
            <w:r>
              <w:rPr>
                <w:rFonts w:ascii="Arial" w:hAnsi="Arial" w:cs="Arial"/>
                <w:b w:val="0"/>
                <w:i w:val="0"/>
                <w:sz w:val="17"/>
              </w:rPr>
              <w:t>EU → Mercosur</w:t>
            </w:r>
          </w:p>
        </w:tc>
        <w:tc>
          <w:tcPr>
            <w:tcW w:type="dxa" w:w="2409"/>
          </w:tcPr>
          <w:p>
            <w:pPr>
              <w:spacing w:after="20" w:before="20" w:line="240" w:lineRule="auto"/>
            </w:pPr>
            <w:r/>
            <w:r>
              <w:rPr>
                <w:rFonts w:ascii="Arial" w:hAnsi="Arial" w:cs="Arial"/>
                <w:b w:val="0"/>
                <w:i w:val="0"/>
                <w:sz w:val="17"/>
              </w:rPr>
              <w:t>0-10%</w:t>
            </w:r>
          </w:p>
        </w:tc>
        <w:tc>
          <w:tcPr>
            <w:tcW w:type="dxa" w:w="2409"/>
          </w:tcPr>
          <w:p>
            <w:pPr>
              <w:spacing w:after="20" w:before="20" w:line="240" w:lineRule="auto"/>
            </w:pPr>
            <w:r/>
            <w:r>
              <w:rPr>
                <w:rFonts w:ascii="Arial" w:hAnsi="Arial" w:cs="Arial"/>
                <w:b w:val="0"/>
                <w:i w:val="0"/>
                <w:sz w:val="17"/>
              </w:rPr>
              <w:t>EUR.1</w:t>
            </w:r>
          </w:p>
        </w:tc>
      </w:tr>
      <w:tr>
        <w:tc>
          <w:tcPr>
            <w:tcW w:type="dxa" w:w="2409"/>
          </w:tcPr>
          <w:p>
            <w:pPr>
              <w:spacing w:after="20" w:before="20" w:line="240" w:lineRule="auto"/>
            </w:pPr>
            <w:r/>
            <w:r>
              <w:rPr>
                <w:rFonts w:ascii="Arial" w:hAnsi="Arial" w:cs="Arial"/>
                <w:b w:val="0"/>
                <w:i w:val="0"/>
                <w:sz w:val="17"/>
              </w:rPr>
              <w:t>USMCA</w:t>
            </w:r>
          </w:p>
        </w:tc>
        <w:tc>
          <w:tcPr>
            <w:tcW w:type="dxa" w:w="2409"/>
          </w:tcPr>
          <w:p>
            <w:pPr>
              <w:spacing w:after="20" w:before="20" w:line="240" w:lineRule="auto"/>
            </w:pPr>
            <w:r/>
            <w:r>
              <w:rPr>
                <w:rFonts w:ascii="Arial" w:hAnsi="Arial" w:cs="Arial"/>
                <w:b w:val="0"/>
                <w:i w:val="0"/>
                <w:sz w:val="17"/>
              </w:rPr>
              <w:t>US-Mexico-Canada</w:t>
            </w:r>
          </w:p>
        </w:tc>
        <w:tc>
          <w:tcPr>
            <w:tcW w:type="dxa" w:w="2409"/>
          </w:tcPr>
          <w:p>
            <w:pPr>
              <w:spacing w:after="20" w:before="20" w:line="240" w:lineRule="auto"/>
            </w:pPr>
            <w:r/>
            <w:r>
              <w:rPr>
                <w:rFonts w:ascii="Arial" w:hAnsi="Arial" w:cs="Arial"/>
                <w:b w:val="0"/>
                <w:i w:val="0"/>
                <w:sz w:val="17"/>
              </w:rPr>
              <w:t>0-5%</w:t>
            </w:r>
          </w:p>
        </w:tc>
        <w:tc>
          <w:tcPr>
            <w:tcW w:type="dxa" w:w="2409"/>
          </w:tcPr>
          <w:p>
            <w:pPr>
              <w:spacing w:after="20" w:before="20" w:line="240" w:lineRule="auto"/>
            </w:pPr>
            <w:r/>
            <w:r>
              <w:rPr>
                <w:rFonts w:ascii="Arial" w:hAnsi="Arial" w:cs="Arial"/>
                <w:b w:val="0"/>
                <w:i w:val="0"/>
                <w:sz w:val="17"/>
              </w:rPr>
              <w:t>Certificate of Origin</w:t>
            </w:r>
          </w:p>
        </w:tc>
      </w:tr>
      <w:tr>
        <w:tc>
          <w:tcPr>
            <w:tcW w:type="dxa" w:w="2409"/>
          </w:tcPr>
          <w:p>
            <w:pPr>
              <w:spacing w:after="20" w:before="20" w:line="240" w:lineRule="auto"/>
            </w:pPr>
            <w:r/>
            <w:r>
              <w:rPr>
                <w:rFonts w:ascii="Arial" w:hAnsi="Arial" w:cs="Arial"/>
                <w:b w:val="0"/>
                <w:i w:val="0"/>
                <w:sz w:val="17"/>
              </w:rPr>
              <w:t>RCEP</w:t>
            </w:r>
          </w:p>
        </w:tc>
        <w:tc>
          <w:tcPr>
            <w:tcW w:type="dxa" w:w="2409"/>
          </w:tcPr>
          <w:p>
            <w:pPr>
              <w:spacing w:after="20" w:before="20" w:line="240" w:lineRule="auto"/>
            </w:pPr>
            <w:r/>
            <w:r>
              <w:rPr>
                <w:rFonts w:ascii="Arial" w:hAnsi="Arial" w:cs="Arial"/>
                <w:b w:val="0"/>
                <w:i w:val="0"/>
                <w:sz w:val="17"/>
              </w:rPr>
              <w:t>Asia-Pacific</w:t>
            </w:r>
          </w:p>
        </w:tc>
        <w:tc>
          <w:tcPr>
            <w:tcW w:type="dxa" w:w="2409"/>
          </w:tcPr>
          <w:p>
            <w:pPr>
              <w:spacing w:after="20" w:before="20" w:line="240" w:lineRule="auto"/>
            </w:pPr>
            <w:r/>
            <w:r>
              <w:rPr>
                <w:rFonts w:ascii="Arial" w:hAnsi="Arial" w:cs="Arial"/>
                <w:b w:val="0"/>
                <w:i w:val="0"/>
                <w:sz w:val="17"/>
              </w:rPr>
              <w:t>0-10%</w:t>
            </w:r>
          </w:p>
        </w:tc>
        <w:tc>
          <w:tcPr>
            <w:tcW w:type="dxa" w:w="2409"/>
          </w:tcPr>
          <w:p>
            <w:pPr>
              <w:spacing w:after="20" w:before="20" w:line="240" w:lineRule="auto"/>
            </w:pPr>
            <w:r/>
            <w:r>
              <w:rPr>
                <w:rFonts w:ascii="Arial" w:hAnsi="Arial" w:cs="Arial"/>
                <w:b w:val="0"/>
                <w:i w:val="0"/>
                <w:sz w:val="17"/>
              </w:rPr>
              <w:t>Certificate of Origin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22.11.3 Database Schema</w:t>
      </w:r>
    </w:p>
    <w:p>
      <w:pPr>
        <w:spacing w:after="0" w:before="0" w:line="240" w:lineRule="auto"/>
        <w:ind w:left="57"/>
        <w:jc w:val="left"/>
        <w:shd w:val="clear" w:fill="F2F2F2"/>
      </w:pPr>
      <w:r>
        <w:rPr>
          <w:rFonts w:ascii="Consolas" w:hAnsi="Consolas" w:cs="Consolas"/>
          <w:b w:val="0"/>
          <w:i w:val="0"/>
          <w:sz w:val="15"/>
        </w:rPr>
        <w:t>-- FTA preferences</w:t>
      </w:r>
    </w:p>
    <w:p>
      <w:pPr>
        <w:spacing w:after="0" w:before="0" w:line="240" w:lineRule="auto"/>
        <w:ind w:left="57"/>
        <w:jc w:val="left"/>
        <w:shd w:val="clear" w:fill="F2F2F2"/>
      </w:pPr>
      <w:r>
        <w:rPr>
          <w:rFonts w:ascii="Consolas" w:hAnsi="Consolas" w:cs="Consolas"/>
          <w:b w:val="0"/>
          <w:i w:val="0"/>
          <w:sz w:val="15"/>
        </w:rPr>
        <w:t>CREATE TABLE fta_preferences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fta_name TEXT NOT NULL,</w:t>
      </w:r>
    </w:p>
    <w:p>
      <w:pPr>
        <w:spacing w:after="0" w:before="0" w:line="240" w:lineRule="auto"/>
        <w:ind w:left="57"/>
        <w:jc w:val="left"/>
        <w:shd w:val="clear" w:fill="F2F2F2"/>
      </w:pPr>
      <w:r>
        <w:rPr>
          <w:rFonts w:ascii="Consolas" w:hAnsi="Consolas" w:cs="Consolas"/>
          <w:b w:val="0"/>
          <w:i w:val="0"/>
          <w:sz w:val="15"/>
        </w:rPr>
        <w:t xml:space="preserve">    origin_country CHAR(2) NOT NULL,</w:t>
      </w:r>
    </w:p>
    <w:p>
      <w:pPr>
        <w:spacing w:after="0" w:before="0" w:line="240" w:lineRule="auto"/>
        <w:ind w:left="57"/>
        <w:jc w:val="left"/>
        <w:shd w:val="clear" w:fill="F2F2F2"/>
      </w:pPr>
      <w:r>
        <w:rPr>
          <w:rFonts w:ascii="Consolas" w:hAnsi="Consolas" w:cs="Consolas"/>
          <w:b w:val="0"/>
          <w:i w:val="0"/>
          <w:sz w:val="15"/>
        </w:rPr>
        <w:t xml:space="preserve">    destination_country CHAR(2) NOT NULL,</w:t>
      </w:r>
    </w:p>
    <w:p>
      <w:pPr>
        <w:spacing w:after="0" w:before="0" w:line="240" w:lineRule="auto"/>
        <w:ind w:left="57"/>
        <w:jc w:val="left"/>
        <w:shd w:val="clear" w:fill="F2F2F2"/>
      </w:pPr>
      <w:r>
        <w:rPr>
          <w:rFonts w:ascii="Consolas" w:hAnsi="Consolas" w:cs="Consolas"/>
          <w:b w:val="0"/>
          <w:i w:val="0"/>
          <w:sz w:val="15"/>
        </w:rPr>
        <w:t xml:space="preserve">    hs_code CHAR(6),</w:t>
      </w:r>
    </w:p>
    <w:p>
      <w:pPr>
        <w:spacing w:after="0" w:before="0" w:line="240" w:lineRule="auto"/>
        <w:ind w:left="57"/>
        <w:jc w:val="left"/>
        <w:shd w:val="clear" w:fill="F2F2F2"/>
      </w:pPr>
      <w:r>
        <w:rPr>
          <w:rFonts w:ascii="Consolas" w:hAnsi="Consolas" w:cs="Consolas"/>
          <w:b w:val="0"/>
          <w:i w:val="0"/>
          <w:sz w:val="15"/>
        </w:rPr>
        <w:t xml:space="preserve">    preference_rate DECIMAL(5,2),</w:t>
      </w:r>
    </w:p>
    <w:p>
      <w:pPr>
        <w:spacing w:after="0" w:before="0" w:line="240" w:lineRule="auto"/>
        <w:ind w:left="57"/>
        <w:jc w:val="left"/>
        <w:shd w:val="clear" w:fill="F2F2F2"/>
      </w:pPr>
      <w:r>
        <w:rPr>
          <w:rFonts w:ascii="Consolas" w:hAnsi="Consolas" w:cs="Consolas"/>
          <w:b w:val="0"/>
          <w:i w:val="0"/>
          <w:sz w:val="15"/>
        </w:rPr>
        <w:t xml:space="preserve">    product_specific_rules JSONB,</w:t>
      </w:r>
    </w:p>
    <w:p>
      <w:pPr>
        <w:spacing w:after="0" w:before="0" w:line="240" w:lineRule="auto"/>
        <w:ind w:left="57"/>
        <w:jc w:val="left"/>
        <w:shd w:val="clear" w:fill="F2F2F2"/>
      </w:pPr>
      <w:r>
        <w:rPr>
          <w:rFonts w:ascii="Consolas" w:hAnsi="Consolas" w:cs="Consolas"/>
          <w:b w:val="0"/>
          <w:i w:val="0"/>
          <w:sz w:val="15"/>
        </w:rPr>
        <w:t xml:space="preserve">    certificate_type TEXT,</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FTA preference claims</w:t>
      </w:r>
    </w:p>
    <w:p>
      <w:pPr>
        <w:spacing w:after="0" w:before="0" w:line="240" w:lineRule="auto"/>
        <w:ind w:left="57"/>
        <w:jc w:val="left"/>
        <w:shd w:val="clear" w:fill="F2F2F2"/>
      </w:pPr>
      <w:r>
        <w:rPr>
          <w:rFonts w:ascii="Consolas" w:hAnsi="Consolas" w:cs="Consolas"/>
          <w:b w:val="0"/>
          <w:i w:val="0"/>
          <w:sz w:val="15"/>
        </w:rPr>
        <w:t>CREATE TABLE fta_preference_claims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fta_preference_id UUID REFERENCES fta_preferences(id),</w:t>
      </w:r>
    </w:p>
    <w:p>
      <w:pPr>
        <w:spacing w:after="0" w:before="0" w:line="240" w:lineRule="auto"/>
        <w:ind w:left="57"/>
        <w:jc w:val="left"/>
        <w:shd w:val="clear" w:fill="F2F2F2"/>
      </w:pPr>
      <w:r>
        <w:rPr>
          <w:rFonts w:ascii="Consolas" w:hAnsi="Consolas" w:cs="Consolas"/>
          <w:b w:val="0"/>
          <w:i w:val="0"/>
          <w:sz w:val="15"/>
        </w:rPr>
        <w:t xml:space="preserve">    claim_type TEXT NOT NULL,</w:t>
      </w:r>
    </w:p>
    <w:p>
      <w:pPr>
        <w:spacing w:after="0" w:before="0" w:line="240" w:lineRule="auto"/>
        <w:ind w:left="57"/>
        <w:jc w:val="left"/>
        <w:shd w:val="clear" w:fill="F2F2F2"/>
      </w:pPr>
      <w:r>
        <w:rPr>
          <w:rFonts w:ascii="Consolas" w:hAnsi="Consolas" w:cs="Consolas"/>
          <w:b w:val="0"/>
          <w:i w:val="0"/>
          <w:sz w:val="15"/>
        </w:rPr>
        <w:t xml:space="preserve">    claim_reference TEXT,</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verified BOOLEAN DEFAULT false,</w:t>
      </w:r>
    </w:p>
    <w:p>
      <w:pPr>
        <w:spacing w:after="0" w:before="0" w:line="240" w:lineRule="auto"/>
        <w:ind w:left="57"/>
        <w:jc w:val="left"/>
        <w:shd w:val="clear" w:fill="F2F2F2"/>
      </w:pPr>
      <w:r>
        <w:rPr>
          <w:rFonts w:ascii="Consolas" w:hAnsi="Consolas" w:cs="Consolas"/>
          <w:b w:val="0"/>
          <w:i w:val="0"/>
          <w:sz w:val="15"/>
        </w:rPr>
        <w:t xml:space="preserve">    verified_at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idx_fta_preferences_origin_dest ON fta_preferences(origin_country, destination_country);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idx_fta_preferences_hs ON fta_preferences(hs_code);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idx_fta_preference_claims_ustn ON fta_preference_claims(ustn);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22.11.4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/v1/fta/check</w:t>
            </w:r>
          </w:p>
        </w:tc>
        <w:tc>
          <w:tcPr>
            <w:tcW w:type="dxa" w:w="3213"/>
          </w:tcPr>
          <w:p>
            <w:pPr>
              <w:spacing w:after="20" w:before="20" w:line="240" w:lineRule="auto"/>
            </w:pPr>
            <w:r/>
            <w:r>
              <w:rPr>
                <w:rFonts w:ascii="Arial" w:hAnsi="Arial" w:cs="Arial"/>
                <w:b w:val="0"/>
                <w:i w:val="0"/>
                <w:sz w:val="17"/>
              </w:rPr>
              <w:t>Check FTA eligibility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/v1/fta/preference</w:t>
            </w:r>
          </w:p>
        </w:tc>
        <w:tc>
          <w:tcPr>
            <w:tcW w:type="dxa" w:w="3213"/>
          </w:tcPr>
          <w:p>
            <w:pPr>
              <w:spacing w:after="20" w:before="20" w:line="240" w:lineRule="auto"/>
            </w:pPr>
            <w:r/>
            <w:r>
              <w:rPr>
                <w:rFonts w:ascii="Arial" w:hAnsi="Arial" w:cs="Arial"/>
                <w:b w:val="0"/>
                <w:i w:val="0"/>
                <w:sz w:val="17"/>
              </w:rPr>
              <w:t>Get preference rate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/v1/fta/claim</w:t>
            </w:r>
          </w:p>
        </w:tc>
        <w:tc>
          <w:tcPr>
            <w:tcW w:type="dxa" w:w="3213"/>
          </w:tcPr>
          <w:p>
            <w:pPr>
              <w:spacing w:after="20" w:before="20" w:line="240" w:lineRule="auto"/>
            </w:pPr>
            <w:r/>
            <w:r>
              <w:rPr>
                <w:rFonts w:ascii="Arial" w:hAnsi="Arial" w:cs="Arial"/>
                <w:b w:val="0"/>
                <w:i w:val="0"/>
                <w:sz w:val="17"/>
              </w:rPr>
              <w:t>Claim FTA preference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/v1/fta/certificate</w:t>
            </w:r>
          </w:p>
        </w:tc>
        <w:tc>
          <w:tcPr>
            <w:tcW w:type="dxa" w:w="3213"/>
          </w:tcPr>
          <w:p>
            <w:pPr>
              <w:spacing w:after="20" w:before="20" w:line="240" w:lineRule="auto"/>
            </w:pPr>
            <w:r/>
            <w:r>
              <w:rPr>
                <w:rFonts w:ascii="Arial" w:hAnsi="Arial" w:cs="Arial"/>
                <w:b w:val="0"/>
                <w:i w:val="0"/>
                <w:sz w:val="17"/>
              </w:rPr>
              <w:t>Get certificate requirements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22.11.5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Product Form Agent</w:t>
            </w:r>
          </w:p>
        </w:tc>
        <w:tc>
          <w:tcPr>
            <w:tcW w:type="dxa" w:w="4819"/>
          </w:tcPr>
          <w:p>
            <w:pPr>
              <w:spacing w:after="20" w:before="20" w:line="240" w:lineRule="auto"/>
            </w:pPr>
            <w:r/>
            <w:r>
              <w:rPr>
                <w:rFonts w:ascii="Arial" w:hAnsi="Arial" w:cs="Arial"/>
                <w:b w:val="0"/>
                <w:i w:val="0"/>
                <w:sz w:val="17"/>
              </w:rPr>
              <w:t>FTA eligibility for product</w:t>
            </w:r>
          </w:p>
        </w:tc>
      </w:tr>
      <w:tr>
        <w:tc>
          <w:tcPr>
            <w:tcW w:type="dxa" w:w="4819"/>
          </w:tcPr>
          <w:p>
            <w:pPr>
              <w:spacing w:after="20" w:before="20" w:line="240" w:lineRule="auto"/>
            </w:pPr>
            <w:r/>
            <w:r>
              <w:rPr>
                <w:rFonts w:ascii="Arial" w:hAnsi="Arial" w:cs="Arial"/>
                <w:b w:val="0"/>
                <w:i w:val="0"/>
                <w:sz w:val="17"/>
              </w:rPr>
              <w:t>Section 6 — documentation</w:t>
            </w:r>
          </w:p>
        </w:tc>
        <w:tc>
          <w:tcPr>
            <w:tcW w:type="dxa" w:w="4819"/>
          </w:tcPr>
          <w:p>
            <w:pPr>
              <w:spacing w:after="20" w:before="20" w:line="240" w:lineRule="auto"/>
            </w:pPr>
            <w:r/>
            <w:r>
              <w:rPr>
                <w:rFonts w:ascii="Arial" w:hAnsi="Arial" w:cs="Arial"/>
                <w:b w:val="0"/>
                <w:i w:val="0"/>
                <w:sz w:val="17"/>
              </w:rPr>
              <w:t>FTA certificate required</w:t>
            </w:r>
          </w:p>
        </w:tc>
      </w:tr>
      <w:tr>
        <w:tc>
          <w:tcPr>
            <w:tcW w:type="dxa" w:w="4819"/>
          </w:tcPr>
          <w:p>
            <w:pPr>
              <w:spacing w:after="20" w:before="20" w:line="240" w:lineRule="auto"/>
            </w:pPr>
            <w:r/>
            <w:r>
              <w:rPr>
                <w:rFonts w:ascii="Arial" w:hAnsi="Arial" w:cs="Arial"/>
                <w:b w:val="0"/>
                <w:i w:val="0"/>
                <w:sz w:val="17"/>
              </w:rPr>
              <w:t>Section 8 — customs declaration</w:t>
            </w:r>
          </w:p>
        </w:tc>
        <w:tc>
          <w:tcPr>
            <w:tcW w:type="dxa" w:w="4819"/>
          </w:tcPr>
          <w:p>
            <w:pPr>
              <w:spacing w:after="20" w:before="20" w:line="240" w:lineRule="auto"/>
            </w:pPr>
            <w:r/>
            <w:r>
              <w:rPr>
                <w:rFonts w:ascii="Arial" w:hAnsi="Arial" w:cs="Arial"/>
                <w:b w:val="0"/>
                <w:i w:val="0"/>
                <w:sz w:val="17"/>
              </w:rPr>
              <w:t>FTA claim in declaration</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FTA savings display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22.11.6 Implementation Checklist</w:t>
      </w:r>
    </w:p>
    <w:p>
      <w:pPr>
        <w:spacing w:after="80" w:line="293" w:lineRule="auto"/>
        <w:ind w:left="283"/>
        <w:jc w:val="left"/>
      </w:pPr>
      <w:r>
        <w:rPr>
          <w:rFonts w:ascii="Times New Roman" w:hAnsi="Times New Roman" w:cs="Times New Roman"/>
          <w:b w:val="0"/>
          <w:i w:val="0"/>
          <w:sz w:val="22"/>
        </w:rPr>
        <w:t>- Create the `fta_preferences` table.</w:t>
      </w:r>
    </w:p>
    <w:p>
      <w:pPr>
        <w:spacing w:after="80" w:line="293" w:lineRule="auto"/>
        <w:ind w:left="283"/>
        <w:jc w:val="left"/>
      </w:pPr>
      <w:r>
        <w:rPr>
          <w:rFonts w:ascii="Times New Roman" w:hAnsi="Times New Roman" w:cs="Times New Roman"/>
          <w:b w:val="0"/>
          <w:i w:val="0"/>
          <w:sz w:val="22"/>
        </w:rPr>
        <w:t>- Create the `fta_preference_claims` table.</w:t>
      </w:r>
    </w:p>
    <w:p>
      <w:pPr>
        <w:spacing w:after="80" w:line="293" w:lineRule="auto"/>
        <w:ind w:left="283"/>
        <w:jc w:val="left"/>
      </w:pPr>
      <w:r>
        <w:rPr>
          <w:rFonts w:ascii="Times New Roman" w:hAnsi="Times New Roman" w:cs="Times New Roman"/>
          <w:b w:val="0"/>
          <w:i w:val="0"/>
          <w:sz w:val="22"/>
        </w:rPr>
        <w:t>- Implement FTA detection.</w:t>
      </w:r>
    </w:p>
    <w:p>
      <w:pPr>
        <w:spacing w:after="80" w:line="293" w:lineRule="auto"/>
        <w:ind w:left="283"/>
        <w:jc w:val="left"/>
      </w:pPr>
      <w:r>
        <w:rPr>
          <w:rFonts w:ascii="Times New Roman" w:hAnsi="Times New Roman" w:cs="Times New Roman"/>
          <w:b w:val="0"/>
          <w:i w:val="0"/>
          <w:sz w:val="22"/>
        </w:rPr>
        <w:t>- Implement preference rate calculation.</w:t>
      </w:r>
    </w:p>
    <w:p>
      <w:pPr>
        <w:spacing w:after="80" w:line="293" w:lineRule="auto"/>
        <w:ind w:left="283"/>
        <w:jc w:val="left"/>
      </w:pPr>
      <w:r>
        <w:rPr>
          <w:rFonts w:ascii="Times New Roman" w:hAnsi="Times New Roman" w:cs="Times New Roman"/>
          <w:b w:val="0"/>
          <w:i w:val="0"/>
          <w:sz w:val="22"/>
        </w:rPr>
        <w:t>- Add certificate management.</w:t>
      </w:r>
    </w:p>
    <w:p>
      <w:pPr>
        <w:spacing w:after="80" w:line="293" w:lineRule="auto"/>
        <w:ind w:left="283"/>
        <w:jc w:val="left"/>
      </w:pPr>
      <w:r>
        <w:rPr>
          <w:rFonts w:ascii="Times New Roman" w:hAnsi="Times New Roman" w:cs="Times New Roman"/>
          <w:b w:val="0"/>
          <w:i w:val="0"/>
          <w:sz w:val="22"/>
        </w:rPr>
        <w:t>- Add Smart Inbox alerts for FTA opportunities.</w:t>
      </w:r>
    </w:p>
    <w:p>
      <w:pPr>
        <w:keepNext/>
        <w:spacing w:before="240" w:after="100"/>
        <w:outlineLvl w:val="1"/>
      </w:pPr>
      <w:r>
        <w:rPr>
          <w:rFonts w:ascii="Arial" w:hAnsi="Arial" w:cs="Arial"/>
          <w:b/>
          <w:i w:val="0"/>
          <w:color w:val="2E528F"/>
          <w:sz w:val="26"/>
        </w:rPr>
        <w:t>22.12 Add-On 17: Piracy &amp; Security Risk Engine</w:t>
      </w:r>
    </w:p>
    <w:p>
      <w:pPr>
        <w:keepNext/>
        <w:spacing w:before="180" w:after="80"/>
        <w:outlineLvl w:val="2"/>
      </w:pPr>
      <w:r>
        <w:rPr>
          <w:rFonts w:ascii="Arial" w:hAnsi="Arial" w:cs="Arial"/>
          <w:b/>
          <w:i w:val="0"/>
          <w:color w:val="333333"/>
          <w:sz w:val="23"/>
        </w:rPr>
        <w:t>22.12.1 Purpose &amp; Design Philosophy</w:t>
      </w:r>
    </w:p>
    <w:p>
      <w:pPr>
        <w:spacing w:after="80" w:line="293" w:lineRule="auto"/>
        <w:jc w:val="left"/>
      </w:pPr>
      <w:r>
        <w:rPr>
          <w:rFonts w:ascii="Times New Roman" w:hAnsi="Times New Roman" w:cs="Times New Roman"/>
          <w:b w:val="0"/>
          <w:i w:val="0"/>
          <w:sz w:val="22"/>
        </w:rPr>
        <w:t>Provides maritime security intelligence, corridor scoring, and insurance premium adjustment for high-risk routes.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Real-time intelligence — IMB (International Maritime Bureau) Piracy Reporting Centre, Maritime Security Council.</w:t>
      </w:r>
    </w:p>
    <w:p>
      <w:pPr>
        <w:spacing w:after="80" w:line="293" w:lineRule="auto"/>
        <w:ind w:left="283"/>
        <w:jc w:val="left"/>
      </w:pPr>
      <w:r>
        <w:rPr>
          <w:rFonts w:ascii="Times New Roman" w:hAnsi="Times New Roman" w:cs="Times New Roman"/>
          <w:b w:val="0"/>
          <w:i w:val="0"/>
          <w:sz w:val="22"/>
        </w:rPr>
        <w:t>- Corridor scoring — risk level per trade route.</w:t>
      </w:r>
    </w:p>
    <w:p>
      <w:pPr>
        <w:spacing w:after="80" w:line="293" w:lineRule="auto"/>
        <w:ind w:left="283"/>
        <w:jc w:val="left"/>
      </w:pPr>
      <w:r>
        <w:rPr>
          <w:rFonts w:ascii="Times New Roman" w:hAnsi="Times New Roman" w:cs="Times New Roman"/>
          <w:b w:val="0"/>
          <w:i w:val="0"/>
          <w:sz w:val="22"/>
        </w:rPr>
        <w:t>- Insurance impact — premium adjustment based on risk.</w:t>
      </w:r>
    </w:p>
    <w:p>
      <w:pPr>
        <w:spacing w:after="80" w:line="293" w:lineRule="auto"/>
        <w:ind w:left="283"/>
        <w:jc w:val="left"/>
      </w:pPr>
      <w:r>
        <w:rPr>
          <w:rFonts w:ascii="Times New Roman" w:hAnsi="Times New Roman" w:cs="Times New Roman"/>
          <w:b w:val="0"/>
          <w:i w:val="0"/>
          <w:sz w:val="22"/>
        </w:rPr>
        <w:t>- Advisory only — never blocks trades; informs decisions.</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A2 (HF local → Ollama): risk scoring.</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22.12.2 Risk Levels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Risk Level</w:t>
            </w:r>
          </w:p>
        </w:tc>
        <w:tc>
          <w:tcPr>
            <w:tcW w:type="dxa" w:w="2409"/>
            <w:shd w:val="clear" w:fill="D9E2F3"/>
          </w:tcPr>
          <w:p>
            <w:pPr>
              <w:spacing w:after="20" w:before="20" w:line="240" w:lineRule="auto"/>
            </w:pPr>
            <w:r/>
            <w:r>
              <w:rPr>
                <w:rFonts w:ascii="Arial" w:hAnsi="Arial" w:cs="Arial"/>
                <w:b/>
                <w:i w:val="0"/>
                <w:sz w:val="18"/>
              </w:rPr>
              <w:t>Description</w:t>
            </w:r>
          </w:p>
        </w:tc>
        <w:tc>
          <w:tcPr>
            <w:tcW w:type="dxa" w:w="2409"/>
            <w:shd w:val="clear" w:fill="D9E2F3"/>
          </w:tcPr>
          <w:p>
            <w:pPr>
              <w:spacing w:after="20" w:before="20" w:line="240" w:lineRule="auto"/>
            </w:pPr>
            <w:r/>
            <w:r>
              <w:rPr>
                <w:rFonts w:ascii="Arial" w:hAnsi="Arial" w:cs="Arial"/>
                <w:b/>
                <w:i w:val="0"/>
                <w:sz w:val="18"/>
              </w:rPr>
              <w:t>Insurance Impact</w:t>
            </w:r>
          </w:p>
        </w:tc>
        <w:tc>
          <w:tcPr>
            <w:tcW w:type="dxa" w:w="2409"/>
            <w:shd w:val="clear" w:fill="D9E2F3"/>
          </w:tcPr>
          <w:p>
            <w:pPr>
              <w:spacing w:after="20" w:before="20" w:line="240" w:lineRule="auto"/>
            </w:pPr>
            <w:r/>
            <w:r>
              <w:rPr>
                <w:rFonts w:ascii="Arial" w:hAnsi="Arial" w:cs="Arial"/>
                <w:b/>
                <w:i w:val="0"/>
                <w:sz w:val="18"/>
              </w:rPr>
              <w:t>Security Measures</w:t>
            </w:r>
          </w:p>
        </w:tc>
      </w:tr>
      <w:tr>
        <w:tc>
          <w:tcPr>
            <w:tcW w:type="dxa" w:w="2409"/>
          </w:tcPr>
          <w:p>
            <w:pPr>
              <w:spacing w:after="20" w:before="20" w:line="240" w:lineRule="auto"/>
            </w:pPr>
            <w:r/>
            <w:r>
              <w:rPr>
                <w:rFonts w:ascii="Arial" w:hAnsi="Arial" w:cs="Arial"/>
                <w:b w:val="0"/>
                <w:i w:val="0"/>
                <w:sz w:val="17"/>
              </w:rPr>
              <w:t>LOW</w:t>
            </w:r>
          </w:p>
        </w:tc>
        <w:tc>
          <w:tcPr>
            <w:tcW w:type="dxa" w:w="2409"/>
          </w:tcPr>
          <w:p>
            <w:pPr>
              <w:spacing w:after="20" w:before="20" w:line="240" w:lineRule="auto"/>
            </w:pPr>
            <w:r/>
            <w:r>
              <w:rPr>
                <w:rFonts w:ascii="Arial" w:hAnsi="Arial" w:cs="Arial"/>
                <w:b w:val="0"/>
                <w:i w:val="0"/>
                <w:sz w:val="17"/>
              </w:rPr>
              <w:t>No recent incidents</w:t>
            </w:r>
          </w:p>
        </w:tc>
        <w:tc>
          <w:tcPr>
            <w:tcW w:type="dxa" w:w="2409"/>
          </w:tcPr>
          <w:p>
            <w:pPr>
              <w:spacing w:after="20" w:before="20" w:line="240" w:lineRule="auto"/>
            </w:pPr>
            <w:r/>
            <w:r>
              <w:rPr>
                <w:rFonts w:ascii="Arial" w:hAnsi="Arial" w:cs="Arial"/>
                <w:b w:val="0"/>
                <w:i w:val="0"/>
                <w:sz w:val="17"/>
              </w:rPr>
              <w:t>Standard premium</w:t>
            </w:r>
          </w:p>
        </w:tc>
        <w:tc>
          <w:tcPr>
            <w:tcW w:type="dxa" w:w="2409"/>
          </w:tcPr>
          <w:p>
            <w:pPr>
              <w:spacing w:after="20" w:before="20" w:line="240" w:lineRule="auto"/>
            </w:pPr>
            <w:r/>
            <w:r>
              <w:rPr>
                <w:rFonts w:ascii="Arial" w:hAnsi="Arial" w:cs="Arial"/>
                <w:b w:val="0"/>
                <w:i w:val="0"/>
                <w:sz w:val="17"/>
              </w:rPr>
              <w:t>Standard</w:t>
            </w:r>
          </w:p>
        </w:tc>
      </w:tr>
      <w:tr>
        <w:tc>
          <w:tcPr>
            <w:tcW w:type="dxa" w:w="2409"/>
          </w:tcPr>
          <w:p>
            <w:pPr>
              <w:spacing w:after="20" w:before="20" w:line="240" w:lineRule="auto"/>
            </w:pPr>
            <w:r/>
            <w:r>
              <w:rPr>
                <w:rFonts w:ascii="Arial" w:hAnsi="Arial" w:cs="Arial"/>
                <w:b w:val="0"/>
                <w:i w:val="0"/>
                <w:sz w:val="17"/>
              </w:rPr>
              <w:t>MODERATE</w:t>
            </w:r>
          </w:p>
        </w:tc>
        <w:tc>
          <w:tcPr>
            <w:tcW w:type="dxa" w:w="2409"/>
          </w:tcPr>
          <w:p>
            <w:pPr>
              <w:spacing w:after="20" w:before="20" w:line="240" w:lineRule="auto"/>
            </w:pPr>
            <w:r/>
            <w:r>
              <w:rPr>
                <w:rFonts w:ascii="Arial" w:hAnsi="Arial" w:cs="Arial"/>
                <w:b w:val="0"/>
                <w:i w:val="0"/>
                <w:sz w:val="17"/>
              </w:rPr>
              <w:t>Some incidents</w:t>
            </w:r>
          </w:p>
        </w:tc>
        <w:tc>
          <w:tcPr>
            <w:tcW w:type="dxa" w:w="2409"/>
          </w:tcPr>
          <w:p>
            <w:pPr>
              <w:spacing w:after="20" w:before="20" w:line="240" w:lineRule="auto"/>
            </w:pPr>
            <w:r/>
            <w:r>
              <w:rPr>
                <w:rFonts w:ascii="Arial" w:hAnsi="Arial" w:cs="Arial"/>
                <w:b w:val="0"/>
                <w:i w:val="0"/>
                <w:sz w:val="17"/>
              </w:rPr>
              <w:t>+10-20% premium</w:t>
            </w:r>
          </w:p>
        </w:tc>
        <w:tc>
          <w:tcPr>
            <w:tcW w:type="dxa" w:w="2409"/>
          </w:tcPr>
          <w:p>
            <w:pPr>
              <w:spacing w:after="20" w:before="20" w:line="240" w:lineRule="auto"/>
            </w:pPr>
            <w:r/>
            <w:r>
              <w:rPr>
                <w:rFonts w:ascii="Arial" w:hAnsi="Arial" w:cs="Arial"/>
                <w:b w:val="0"/>
                <w:i w:val="0"/>
                <w:sz w:val="17"/>
              </w:rPr>
              <w:t>Enhanced vigilance</w:t>
            </w:r>
          </w:p>
        </w:tc>
      </w:tr>
      <w:tr>
        <w:tc>
          <w:tcPr>
            <w:tcW w:type="dxa" w:w="2409"/>
          </w:tcPr>
          <w:p>
            <w:pPr>
              <w:spacing w:after="20" w:before="20" w:line="240" w:lineRule="auto"/>
            </w:pPr>
            <w:r/>
            <w:r>
              <w:rPr>
                <w:rFonts w:ascii="Arial" w:hAnsi="Arial" w:cs="Arial"/>
                <w:b w:val="0"/>
                <w:i w:val="0"/>
                <w:sz w:val="17"/>
              </w:rPr>
              <w:t>HIGH</w:t>
            </w:r>
          </w:p>
        </w:tc>
        <w:tc>
          <w:tcPr>
            <w:tcW w:type="dxa" w:w="2409"/>
          </w:tcPr>
          <w:p>
            <w:pPr>
              <w:spacing w:after="20" w:before="20" w:line="240" w:lineRule="auto"/>
            </w:pPr>
            <w:r/>
            <w:r>
              <w:rPr>
                <w:rFonts w:ascii="Arial" w:hAnsi="Arial" w:cs="Arial"/>
                <w:b w:val="0"/>
                <w:i w:val="0"/>
                <w:sz w:val="17"/>
              </w:rPr>
              <w:t>Active risk zone</w:t>
            </w:r>
          </w:p>
        </w:tc>
        <w:tc>
          <w:tcPr>
            <w:tcW w:type="dxa" w:w="2409"/>
          </w:tcPr>
          <w:p>
            <w:pPr>
              <w:spacing w:after="20" w:before="20" w:line="240" w:lineRule="auto"/>
            </w:pPr>
            <w:r/>
            <w:r>
              <w:rPr>
                <w:rFonts w:ascii="Arial" w:hAnsi="Arial" w:cs="Arial"/>
                <w:b w:val="0"/>
                <w:i w:val="0"/>
                <w:sz w:val="17"/>
              </w:rPr>
              <w:t>+30-50% premium</w:t>
            </w:r>
          </w:p>
        </w:tc>
        <w:tc>
          <w:tcPr>
            <w:tcW w:type="dxa" w:w="2409"/>
          </w:tcPr>
          <w:p>
            <w:pPr>
              <w:spacing w:after="20" w:before="20" w:line="240" w:lineRule="auto"/>
            </w:pPr>
            <w:r/>
            <w:r>
              <w:rPr>
                <w:rFonts w:ascii="Arial" w:hAnsi="Arial" w:cs="Arial"/>
                <w:b w:val="0"/>
                <w:i w:val="0"/>
                <w:sz w:val="17"/>
              </w:rPr>
              <w:t>Armed guards</w:t>
            </w:r>
          </w:p>
        </w:tc>
      </w:tr>
      <w:tr>
        <w:tc>
          <w:tcPr>
            <w:tcW w:type="dxa" w:w="2409"/>
          </w:tcPr>
          <w:p>
            <w:pPr>
              <w:spacing w:after="20" w:before="20" w:line="240" w:lineRule="auto"/>
            </w:pPr>
            <w:r/>
            <w:r>
              <w:rPr>
                <w:rFonts w:ascii="Arial" w:hAnsi="Arial" w:cs="Arial"/>
                <w:b w:val="0"/>
                <w:i w:val="0"/>
                <w:sz w:val="17"/>
              </w:rPr>
              <w:t>CRITICAL</w:t>
            </w:r>
          </w:p>
        </w:tc>
        <w:tc>
          <w:tcPr>
            <w:tcW w:type="dxa" w:w="2409"/>
          </w:tcPr>
          <w:p>
            <w:pPr>
              <w:spacing w:after="20" w:before="20" w:line="240" w:lineRule="auto"/>
            </w:pPr>
            <w:r/>
            <w:r>
              <w:rPr>
                <w:rFonts w:ascii="Arial" w:hAnsi="Arial" w:cs="Arial"/>
                <w:b w:val="0"/>
                <w:i w:val="0"/>
                <w:sz w:val="17"/>
              </w:rPr>
              <w:t>Immediate threat</w:t>
            </w:r>
          </w:p>
        </w:tc>
        <w:tc>
          <w:tcPr>
            <w:tcW w:type="dxa" w:w="2409"/>
          </w:tcPr>
          <w:p>
            <w:pPr>
              <w:spacing w:after="20" w:before="20" w:line="240" w:lineRule="auto"/>
            </w:pPr>
            <w:r/>
            <w:r>
              <w:rPr>
                <w:rFonts w:ascii="Arial" w:hAnsi="Arial" w:cs="Arial"/>
                <w:b w:val="0"/>
                <w:i w:val="0"/>
                <w:sz w:val="17"/>
              </w:rPr>
              <w:t>+100% premium</w:t>
            </w:r>
          </w:p>
        </w:tc>
        <w:tc>
          <w:tcPr>
            <w:tcW w:type="dxa" w:w="2409"/>
          </w:tcPr>
          <w:p>
            <w:pPr>
              <w:spacing w:after="20" w:before="20" w:line="240" w:lineRule="auto"/>
            </w:pPr>
            <w:r/>
            <w:r>
              <w:rPr>
                <w:rFonts w:ascii="Arial" w:hAnsi="Arial" w:cs="Arial"/>
                <w:b w:val="0"/>
                <w:i w:val="0"/>
                <w:sz w:val="17"/>
              </w:rPr>
              <w:t>Avoid transit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22.12.3 Database Schema</w:t>
      </w:r>
    </w:p>
    <w:p>
      <w:pPr>
        <w:spacing w:after="0" w:before="0" w:line="240" w:lineRule="auto"/>
        <w:ind w:left="57"/>
        <w:jc w:val="left"/>
        <w:shd w:val="clear" w:fill="F2F2F2"/>
      </w:pPr>
      <w:r>
        <w:rPr>
          <w:rFonts w:ascii="Consolas" w:hAnsi="Consolas" w:cs="Consolas"/>
          <w:b w:val="0"/>
          <w:i w:val="0"/>
          <w:sz w:val="15"/>
        </w:rPr>
        <w:t>-- Maritime security incidents</w:t>
      </w:r>
    </w:p>
    <w:p>
      <w:pPr>
        <w:spacing w:after="0" w:before="0" w:line="240" w:lineRule="auto"/>
        <w:ind w:left="57"/>
        <w:jc w:val="left"/>
        <w:shd w:val="clear" w:fill="F2F2F2"/>
      </w:pPr>
      <w:r>
        <w:rPr>
          <w:rFonts w:ascii="Consolas" w:hAnsi="Consolas" w:cs="Consolas"/>
          <w:b w:val="0"/>
          <w:i w:val="0"/>
          <w:sz w:val="15"/>
        </w:rPr>
        <w:t>CREATE TABLE maritime_security_incidents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incident_type TEXT NOT NULL,         -- 'PIRACY', 'ATTEMPTED_PIRACY', 'HOSTAGE', 'ROBBERY'</w:t>
      </w:r>
    </w:p>
    <w:p>
      <w:pPr>
        <w:spacing w:after="0" w:before="0" w:line="240" w:lineRule="auto"/>
        <w:ind w:left="57"/>
        <w:jc w:val="left"/>
        <w:shd w:val="clear" w:fill="F2F2F2"/>
      </w:pPr>
      <w:r>
        <w:rPr>
          <w:rFonts w:ascii="Consolas" w:hAnsi="Consolas" w:cs="Consolas"/>
          <w:b w:val="0"/>
          <w:i w:val="0"/>
          <w:sz w:val="15"/>
        </w:rPr>
        <w:t xml:space="preserve">    latitude DECIMAL(10,8),</w:t>
      </w:r>
    </w:p>
    <w:p>
      <w:pPr>
        <w:spacing w:after="0" w:before="0" w:line="240" w:lineRule="auto"/>
        <w:ind w:left="57"/>
        <w:jc w:val="left"/>
        <w:shd w:val="clear" w:fill="F2F2F2"/>
      </w:pPr>
      <w:r>
        <w:rPr>
          <w:rFonts w:ascii="Consolas" w:hAnsi="Consolas" w:cs="Consolas"/>
          <w:b w:val="0"/>
          <w:i w:val="0"/>
          <w:sz w:val="15"/>
        </w:rPr>
        <w:t xml:space="preserve">    longitude DECIMAL(11,8),</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severity TEXT NOT NULL,</w:t>
      </w:r>
    </w:p>
    <w:p>
      <w:pPr>
        <w:spacing w:after="0" w:before="0" w:line="240" w:lineRule="auto"/>
        <w:ind w:left="57"/>
        <w:jc w:val="left"/>
        <w:shd w:val="clear" w:fill="F2F2F2"/>
      </w:pPr>
      <w:r>
        <w:rPr>
          <w:rFonts w:ascii="Consolas" w:hAnsi="Consolas" w:cs="Consolas"/>
          <w:b w:val="0"/>
          <w:i w:val="0"/>
          <w:sz w:val="15"/>
        </w:rPr>
        <w:t xml:space="preserve">    occurred_at TIMESTAMPTZ,</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Corridor security scores</w:t>
      </w:r>
    </w:p>
    <w:p>
      <w:pPr>
        <w:spacing w:after="0" w:before="0" w:line="240" w:lineRule="auto"/>
        <w:ind w:left="57"/>
        <w:jc w:val="left"/>
        <w:shd w:val="clear" w:fill="F2F2F2"/>
      </w:pPr>
      <w:r>
        <w:rPr>
          <w:rFonts w:ascii="Consolas" w:hAnsi="Consolas" w:cs="Consolas"/>
          <w:b w:val="0"/>
          <w:i w:val="0"/>
          <w:sz w:val="15"/>
        </w:rPr>
        <w:t>CREATE TABLE corridor_security_scores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corridor_code TEXT NOT NULL REFERENCES trade_corridors(corridor_code),</w:t>
      </w:r>
    </w:p>
    <w:p>
      <w:pPr>
        <w:spacing w:after="0" w:before="0" w:line="240" w:lineRule="auto"/>
        <w:ind w:left="57"/>
        <w:jc w:val="left"/>
        <w:shd w:val="clear" w:fill="F2F2F2"/>
      </w:pPr>
      <w:r>
        <w:rPr>
          <w:rFonts w:ascii="Consolas" w:hAnsi="Consolas" w:cs="Consolas"/>
          <w:b w:val="0"/>
          <w:i w:val="0"/>
          <w:sz w:val="15"/>
        </w:rPr>
        <w:t xml:space="preserve">    security_score INTEGER NOT NULL,</w:t>
      </w:r>
    </w:p>
    <w:p>
      <w:pPr>
        <w:spacing w:after="0" w:before="0" w:line="240" w:lineRule="auto"/>
        <w:ind w:left="57"/>
        <w:jc w:val="left"/>
        <w:shd w:val="clear" w:fill="F2F2F2"/>
      </w:pPr>
      <w:r>
        <w:rPr>
          <w:rFonts w:ascii="Consolas" w:hAnsi="Consolas" w:cs="Consolas"/>
          <w:b w:val="0"/>
          <w:i w:val="0"/>
          <w:sz w:val="15"/>
        </w:rPr>
        <w:t xml:space="preserve">    risk_level TEXT NOT NULL,</w:t>
      </w:r>
    </w:p>
    <w:p>
      <w:pPr>
        <w:spacing w:after="0" w:before="0" w:line="240" w:lineRule="auto"/>
        <w:ind w:left="57"/>
        <w:jc w:val="left"/>
        <w:shd w:val="clear" w:fill="F2F2F2"/>
      </w:pPr>
      <w:r>
        <w:rPr>
          <w:rFonts w:ascii="Consolas" w:hAnsi="Consolas" w:cs="Consolas"/>
          <w:b w:val="0"/>
          <w:i w:val="0"/>
          <w:sz w:val="15"/>
        </w:rPr>
        <w:t xml:space="preserve">    last_incident_at TIMESTAMPTZ,</w:t>
      </w:r>
    </w:p>
    <w:p>
      <w:pPr>
        <w:spacing w:after="0" w:before="0" w:line="240" w:lineRule="auto"/>
        <w:ind w:left="57"/>
        <w:jc w:val="left"/>
        <w:shd w:val="clear" w:fill="F2F2F2"/>
      </w:pPr>
      <w:r>
        <w:rPr>
          <w:rFonts w:ascii="Consolas" w:hAnsi="Consolas" w:cs="Consolas"/>
          <w:b w:val="0"/>
          <w:i w:val="0"/>
          <w:sz w:val="15"/>
        </w:rPr>
        <w:t xml:space="preserve">    recommended_security_measures TEXT[],</w:t>
      </w:r>
    </w:p>
    <w:p>
      <w:pPr>
        <w:spacing w:after="0" w:before="0" w:line="240" w:lineRule="auto"/>
        <w:ind w:left="57"/>
        <w:jc w:val="left"/>
        <w:shd w:val="clear" w:fill="F2F2F2"/>
      </w:pPr>
      <w:r>
        <w:rPr>
          <w:rFonts w:ascii="Consolas" w:hAnsi="Consolas" w:cs="Consolas"/>
          <w:b w:val="0"/>
          <w:i w:val="0"/>
          <w:sz w:val="15"/>
        </w:rPr>
        <w:t xml:space="preserve">    insurance_premium_impact DECIMAL(5,2),</w:t>
      </w:r>
    </w:p>
    <w:p>
      <w:pPr>
        <w:spacing w:after="0" w:before="0" w:line="240" w:lineRule="auto"/>
        <w:ind w:left="57"/>
        <w:jc w:val="left"/>
        <w:shd w:val="clear" w:fill="F2F2F2"/>
      </w:pPr>
      <w:r>
        <w:rPr>
          <w:rFonts w:ascii="Consolas" w:hAnsi="Consolas" w:cs="Consolas"/>
          <w:b w:val="0"/>
          <w:i w:val="0"/>
          <w:sz w:val="15"/>
        </w:rPr>
        <w:t xml:space="preserve">    valid_until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Security advisories</w:t>
      </w:r>
    </w:p>
    <w:p>
      <w:pPr>
        <w:spacing w:after="0" w:before="0" w:line="240" w:lineRule="auto"/>
        <w:ind w:left="57"/>
        <w:jc w:val="left"/>
        <w:shd w:val="clear" w:fill="F2F2F2"/>
      </w:pPr>
      <w:r>
        <w:rPr>
          <w:rFonts w:ascii="Consolas" w:hAnsi="Consolas" w:cs="Consolas"/>
          <w:b w:val="0"/>
          <w:i w:val="0"/>
          <w:sz w:val="15"/>
        </w:rPr>
        <w:t>CREATE TABLE security_advisories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advisory_type TEXT NOT NULL,</w:t>
      </w:r>
    </w:p>
    <w:p>
      <w:pPr>
        <w:spacing w:after="0" w:before="0" w:line="240" w:lineRule="auto"/>
        <w:ind w:left="57"/>
        <w:jc w:val="left"/>
        <w:shd w:val="clear" w:fill="F2F2F2"/>
      </w:pPr>
      <w:r>
        <w:rPr>
          <w:rFonts w:ascii="Consolas" w:hAnsi="Consolas" w:cs="Consolas"/>
          <w:b w:val="0"/>
          <w:i w:val="0"/>
          <w:sz w:val="15"/>
        </w:rPr>
        <w:t xml:space="preserve">    region TEXT,</w:t>
      </w:r>
    </w:p>
    <w:p>
      <w:pPr>
        <w:spacing w:after="0" w:before="0" w:line="240" w:lineRule="auto"/>
        <w:ind w:left="57"/>
        <w:jc w:val="left"/>
        <w:shd w:val="clear" w:fill="F2F2F2"/>
      </w:pPr>
      <w:r>
        <w:rPr>
          <w:rFonts w:ascii="Consolas" w:hAnsi="Consolas" w:cs="Consolas"/>
          <w:b w:val="0"/>
          <w:i w:val="0"/>
          <w:sz w:val="15"/>
        </w:rPr>
        <w:t xml:space="preserve">    affected_corridors TEXT[],</w:t>
      </w:r>
    </w:p>
    <w:p>
      <w:pPr>
        <w:spacing w:after="0" w:before="0" w:line="240" w:lineRule="auto"/>
        <w:ind w:left="57"/>
        <w:jc w:val="left"/>
        <w:shd w:val="clear" w:fill="F2F2F2"/>
      </w:pPr>
      <w:r>
        <w:rPr>
          <w:rFonts w:ascii="Consolas" w:hAnsi="Consolas" w:cs="Consolas"/>
          <w:b w:val="0"/>
          <w:i w:val="0"/>
          <w:sz w:val="15"/>
        </w:rPr>
        <w:t xml:space="preserve">    message TEXT,</w:t>
      </w:r>
    </w:p>
    <w:p>
      <w:pPr>
        <w:spacing w:after="0" w:before="0" w:line="240" w:lineRule="auto"/>
        <w:ind w:left="57"/>
        <w:jc w:val="left"/>
        <w:shd w:val="clear" w:fill="F2F2F2"/>
      </w:pPr>
      <w:r>
        <w:rPr>
          <w:rFonts w:ascii="Consolas" w:hAnsi="Consolas" w:cs="Consolas"/>
          <w:b w:val="0"/>
          <w:i w:val="0"/>
          <w:sz w:val="15"/>
        </w:rPr>
        <w:t xml:space="preserve">    issued_at TIMESTAMPTZ,</w:t>
      </w:r>
    </w:p>
    <w:p>
      <w:pPr>
        <w:spacing w:after="0" w:before="0" w:line="240" w:lineRule="auto"/>
        <w:ind w:left="57"/>
        <w:jc w:val="left"/>
        <w:shd w:val="clear" w:fill="F2F2F2"/>
      </w:pPr>
      <w:r>
        <w:rPr>
          <w:rFonts w:ascii="Consolas" w:hAnsi="Consolas" w:cs="Consolas"/>
          <w:b w:val="0"/>
          <w:i w:val="0"/>
          <w:sz w:val="15"/>
        </w:rPr>
        <w:t xml:space="preserve">    valid_until TIMESTAMPTZ,</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idx_maritime_security_incidents_occurred ON maritime_security_incidents(occurred_at DESC);</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idx_corridor_security_scores_corridor ON corridor_security_scores(corridor_code);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idx_security_advisories_valid_until ON security_advisories(valid_until);</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22.12.4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/v1/security/corridor/{code}</w:t>
            </w:r>
          </w:p>
        </w:tc>
        <w:tc>
          <w:tcPr>
            <w:tcW w:type="dxa" w:w="3213"/>
          </w:tcPr>
          <w:p>
            <w:pPr>
              <w:spacing w:after="20" w:before="20" w:line="240" w:lineRule="auto"/>
            </w:pPr>
            <w:r/>
            <w:r>
              <w:rPr>
                <w:rFonts w:ascii="Arial" w:hAnsi="Arial" w:cs="Arial"/>
                <w:b w:val="0"/>
                <w:i w:val="0"/>
                <w:sz w:val="17"/>
              </w:rPr>
              <w:t>Get corridor security score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/v1/security/incidents</w:t>
            </w:r>
          </w:p>
        </w:tc>
        <w:tc>
          <w:tcPr>
            <w:tcW w:type="dxa" w:w="3213"/>
          </w:tcPr>
          <w:p>
            <w:pPr>
              <w:spacing w:after="20" w:before="20" w:line="240" w:lineRule="auto"/>
            </w:pPr>
            <w:r/>
            <w:r>
              <w:rPr>
                <w:rFonts w:ascii="Arial" w:hAnsi="Arial" w:cs="Arial"/>
                <w:b w:val="0"/>
                <w:i w:val="0"/>
                <w:sz w:val="17"/>
              </w:rPr>
              <w:t>Get recent incidents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/v1/security/advisories</w:t>
            </w:r>
          </w:p>
        </w:tc>
        <w:tc>
          <w:tcPr>
            <w:tcW w:type="dxa" w:w="3213"/>
          </w:tcPr>
          <w:p>
            <w:pPr>
              <w:spacing w:after="20" w:before="20" w:line="240" w:lineRule="auto"/>
            </w:pPr>
            <w:r/>
            <w:r>
              <w:rPr>
                <w:rFonts w:ascii="Arial" w:hAnsi="Arial" w:cs="Arial"/>
                <w:b w:val="0"/>
                <w:i w:val="0"/>
                <w:sz w:val="17"/>
              </w:rPr>
              <w:t>Get active advisories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/v1/security/insurance-impact</w:t>
            </w:r>
          </w:p>
        </w:tc>
        <w:tc>
          <w:tcPr>
            <w:tcW w:type="dxa" w:w="3213"/>
          </w:tcPr>
          <w:p>
            <w:pPr>
              <w:spacing w:after="20" w:before="20" w:line="240" w:lineRule="auto"/>
            </w:pPr>
            <w:r/>
            <w:r>
              <w:rPr>
                <w:rFonts w:ascii="Arial" w:hAnsi="Arial" w:cs="Arial"/>
                <w:b w:val="0"/>
                <w:i w:val="0"/>
                <w:sz w:val="17"/>
              </w:rPr>
              <w:t>Get insurance impact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22.12.5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23 — trade corridors</w:t>
            </w:r>
          </w:p>
        </w:tc>
        <w:tc>
          <w:tcPr>
            <w:tcW w:type="dxa" w:w="4819"/>
          </w:tcPr>
          <w:p>
            <w:pPr>
              <w:spacing w:after="20" w:before="20" w:line="240" w:lineRule="auto"/>
            </w:pPr>
            <w:r/>
            <w:r>
              <w:rPr>
                <w:rFonts w:ascii="Arial" w:hAnsi="Arial" w:cs="Arial"/>
                <w:b w:val="0"/>
                <w:i w:val="0"/>
                <w:sz w:val="17"/>
              </w:rPr>
              <w:t>Security scoring for corridors</w:t>
            </w:r>
          </w:p>
        </w:tc>
      </w:tr>
      <w:tr>
        <w:tc>
          <w:tcPr>
            <w:tcW w:type="dxa" w:w="4819"/>
          </w:tcPr>
          <w:p>
            <w:pPr>
              <w:spacing w:after="20" w:before="20" w:line="240" w:lineRule="auto"/>
            </w:pPr>
            <w:r/>
            <w:r>
              <w:rPr>
                <w:rFonts w:ascii="Arial" w:hAnsi="Arial" w:cs="Arial"/>
                <w:b w:val="0"/>
                <w:i w:val="0"/>
                <w:sz w:val="17"/>
              </w:rPr>
              <w:t>Section 6 — insurance requirements</w:t>
            </w:r>
          </w:p>
        </w:tc>
        <w:tc>
          <w:tcPr>
            <w:tcW w:type="dxa" w:w="4819"/>
          </w:tcPr>
          <w:p>
            <w:pPr>
              <w:spacing w:after="20" w:before="20" w:line="240" w:lineRule="auto"/>
            </w:pPr>
            <w:r/>
            <w:r>
              <w:rPr>
                <w:rFonts w:ascii="Arial" w:hAnsi="Arial" w:cs="Arial"/>
                <w:b w:val="0"/>
                <w:i w:val="0"/>
                <w:sz w:val="17"/>
              </w:rPr>
              <w:t>Premium adjustment</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Security risk card</w:t>
            </w:r>
          </w:p>
        </w:tc>
      </w:tr>
      <w:tr>
        <w:tc>
          <w:tcPr>
            <w:tcW w:type="dxa" w:w="4819"/>
          </w:tcPr>
          <w:p>
            <w:pPr>
              <w:spacing w:after="20" w:before="20" w:line="240" w:lineRule="auto"/>
            </w:pPr>
            <w:r/>
            <w:r>
              <w:rPr>
                <w:rFonts w:ascii="Arial" w:hAnsi="Arial" w:cs="Arial"/>
                <w:b w:val="0"/>
                <w:i w:val="0"/>
                <w:sz w:val="17"/>
              </w:rPr>
              <w:t>Section 16 — Government Portal</w:t>
            </w:r>
          </w:p>
        </w:tc>
        <w:tc>
          <w:tcPr>
            <w:tcW w:type="dxa" w:w="4819"/>
          </w:tcPr>
          <w:p>
            <w:pPr>
              <w:spacing w:after="20" w:before="20" w:line="240" w:lineRule="auto"/>
            </w:pPr>
            <w:r/>
            <w:r>
              <w:rPr>
                <w:rFonts w:ascii="Arial" w:hAnsi="Arial" w:cs="Arial"/>
                <w:b w:val="0"/>
                <w:i w:val="0"/>
                <w:sz w:val="17"/>
              </w:rPr>
              <w:t>Security intelligence view</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22.12.6 Implementation Checklist</w:t>
      </w:r>
    </w:p>
    <w:p>
      <w:pPr>
        <w:spacing w:after="80" w:line="293" w:lineRule="auto"/>
        <w:ind w:left="283"/>
        <w:jc w:val="left"/>
      </w:pPr>
      <w:r>
        <w:rPr>
          <w:rFonts w:ascii="Times New Roman" w:hAnsi="Times New Roman" w:cs="Times New Roman"/>
          <w:b w:val="0"/>
          <w:i w:val="0"/>
          <w:sz w:val="22"/>
        </w:rPr>
        <w:t>- Create the `maritime_security_incidents` table.</w:t>
      </w:r>
    </w:p>
    <w:p>
      <w:pPr>
        <w:spacing w:after="80" w:line="293" w:lineRule="auto"/>
        <w:ind w:left="283"/>
        <w:jc w:val="left"/>
      </w:pPr>
      <w:r>
        <w:rPr>
          <w:rFonts w:ascii="Times New Roman" w:hAnsi="Times New Roman" w:cs="Times New Roman"/>
          <w:b w:val="0"/>
          <w:i w:val="0"/>
          <w:sz w:val="22"/>
        </w:rPr>
        <w:t>- Create the `corridor_security_scores` table.</w:t>
      </w:r>
    </w:p>
    <w:p>
      <w:pPr>
        <w:spacing w:after="80" w:line="293" w:lineRule="auto"/>
        <w:ind w:left="283"/>
        <w:jc w:val="left"/>
      </w:pPr>
      <w:r>
        <w:rPr>
          <w:rFonts w:ascii="Times New Roman" w:hAnsi="Times New Roman" w:cs="Times New Roman"/>
          <w:b w:val="0"/>
          <w:i w:val="0"/>
          <w:sz w:val="22"/>
        </w:rPr>
        <w:t>- Create the `security_advisories` table.</w:t>
      </w:r>
    </w:p>
    <w:p>
      <w:pPr>
        <w:spacing w:after="80" w:line="293" w:lineRule="auto"/>
        <w:ind w:left="283"/>
        <w:jc w:val="left"/>
      </w:pPr>
      <w:r>
        <w:rPr>
          <w:rFonts w:ascii="Times New Roman" w:hAnsi="Times New Roman" w:cs="Times New Roman"/>
          <w:b w:val="0"/>
          <w:i w:val="0"/>
          <w:sz w:val="22"/>
        </w:rPr>
        <w:t>- Integrate the IMB Piracy Reporting Centre feed.</w:t>
      </w:r>
    </w:p>
    <w:p>
      <w:pPr>
        <w:spacing w:after="80" w:line="293" w:lineRule="auto"/>
        <w:ind w:left="283"/>
        <w:jc w:val="left"/>
      </w:pPr>
      <w:r>
        <w:rPr>
          <w:rFonts w:ascii="Times New Roman" w:hAnsi="Times New Roman" w:cs="Times New Roman"/>
          <w:b w:val="0"/>
          <w:i w:val="0"/>
          <w:sz w:val="22"/>
        </w:rPr>
        <w:t>- Implement A2 risk scoring.</w:t>
      </w:r>
    </w:p>
    <w:p>
      <w:pPr>
        <w:spacing w:after="80" w:line="293" w:lineRule="auto"/>
        <w:ind w:left="283"/>
        <w:jc w:val="left"/>
      </w:pPr>
      <w:r>
        <w:rPr>
          <w:rFonts w:ascii="Times New Roman" w:hAnsi="Times New Roman" w:cs="Times New Roman"/>
          <w:b w:val="0"/>
          <w:i w:val="0"/>
          <w:sz w:val="22"/>
        </w:rPr>
        <w:t>- Add the security risk card to the Trade Command Center.</w:t>
      </w:r>
    </w:p>
    <w:p>
      <w:pPr>
        <w:spacing w:after="80" w:line="293" w:lineRule="auto"/>
        <w:ind w:left="283"/>
        <w:jc w:val="left"/>
      </w:pPr>
      <w:r>
        <w:rPr>
          <w:rFonts w:ascii="Times New Roman" w:hAnsi="Times New Roman" w:cs="Times New Roman"/>
          <w:b w:val="0"/>
          <w:i w:val="0"/>
          <w:sz w:val="22"/>
        </w:rPr>
        <w:t>- Add insurance premium adjustment.</w:t>
      </w:r>
    </w:p>
    <w:p>
      <w:pPr>
        <w:keepNext/>
        <w:spacing w:before="240" w:after="100"/>
        <w:outlineLvl w:val="1"/>
      </w:pPr>
      <w:r>
        <w:rPr>
          <w:rFonts w:ascii="Arial" w:hAnsi="Arial" w:cs="Arial"/>
          <w:b/>
          <w:i w:val="0"/>
          <w:color w:val="2E528F"/>
          <w:sz w:val="26"/>
        </w:rPr>
        <w:t>22.13 Add-On 18: Trade Compliance Calendar</w:t>
      </w:r>
    </w:p>
    <w:p>
      <w:pPr>
        <w:keepNext/>
        <w:spacing w:before="180" w:after="80"/>
        <w:outlineLvl w:val="2"/>
      </w:pPr>
      <w:r>
        <w:rPr>
          <w:rFonts w:ascii="Arial" w:hAnsi="Arial" w:cs="Arial"/>
          <w:b/>
          <w:i w:val="0"/>
          <w:color w:val="333333"/>
          <w:sz w:val="23"/>
        </w:rPr>
        <w:t>22.13.1 Purpose &amp; Design Philosophy</w:t>
      </w:r>
    </w:p>
    <w:p>
      <w:pPr>
        <w:spacing w:after="80" w:line="293" w:lineRule="auto"/>
        <w:jc w:val="left"/>
      </w:pPr>
      <w:r>
        <w:rPr>
          <w:rFonts w:ascii="Times New Roman" w:hAnsi="Times New Roman" w:cs="Times New Roman"/>
          <w:b w:val="0"/>
          <w:i w:val="0"/>
          <w:sz w:val="22"/>
        </w:rPr>
        <w:t>Centralised calendar for regulatory deadlines, certificate expiries, tariff changes, and other compliance events.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Centralised view — all deadlines in one place.</w:t>
      </w:r>
    </w:p>
    <w:p>
      <w:pPr>
        <w:spacing w:after="80" w:line="293" w:lineRule="auto"/>
        <w:ind w:left="283"/>
        <w:jc w:val="left"/>
      </w:pPr>
      <w:r>
        <w:rPr>
          <w:rFonts w:ascii="Times New Roman" w:hAnsi="Times New Roman" w:cs="Times New Roman"/>
          <w:b w:val="0"/>
          <w:i w:val="0"/>
          <w:sz w:val="22"/>
        </w:rPr>
        <w:t>- Proactive reminders — 30, 14, 7, and 1 day before.</w:t>
      </w:r>
    </w:p>
    <w:p>
      <w:pPr>
        <w:spacing w:after="80" w:line="293" w:lineRule="auto"/>
        <w:ind w:left="283"/>
        <w:jc w:val="left"/>
      </w:pPr>
      <w:r>
        <w:rPr>
          <w:rFonts w:ascii="Times New Roman" w:hAnsi="Times New Roman" w:cs="Times New Roman"/>
          <w:b w:val="0"/>
          <w:i w:val="0"/>
          <w:sz w:val="22"/>
        </w:rPr>
        <w:t>- Auto-population — RIA detects regulatory changes.</w:t>
      </w:r>
    </w:p>
    <w:p>
      <w:pPr>
        <w:spacing w:after="80" w:line="293" w:lineRule="auto"/>
        <w:ind w:left="283"/>
        <w:jc w:val="left"/>
      </w:pPr>
      <w:r>
        <w:rPr>
          <w:rFonts w:ascii="Times New Roman" w:hAnsi="Times New Roman" w:cs="Times New Roman"/>
          <w:b w:val="0"/>
          <w:i w:val="0"/>
          <w:sz w:val="22"/>
        </w:rPr>
        <w:t>- Actionable — one click to address each event.</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event summaries.</w:t>
      </w:r>
    </w:p>
    <w:p>
      <w:pPr>
        <w:spacing w:after="80" w:line="293" w:lineRule="auto"/>
        <w:ind w:left="283"/>
        <w:jc w:val="left"/>
      </w:pPr>
      <w:r>
        <w:rPr>
          <w:rFonts w:ascii="Times New Roman" w:hAnsi="Times New Roman" w:cs="Times New Roman"/>
          <w:b w:val="0"/>
          <w:i w:val="0"/>
          <w:sz w:val="22"/>
        </w:rPr>
        <w:t>- A2 (HF local → Ollama): event detection.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22.13.2 Compliance Event Types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Event Type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Example</w:t>
            </w:r>
          </w:p>
        </w:tc>
      </w:tr>
      <w:tr>
        <w:tc>
          <w:tcPr>
            <w:tcW w:type="dxa" w:w="3213"/>
          </w:tcPr>
          <w:p>
            <w:pPr>
              <w:spacing w:after="20" w:before="20" w:line="240" w:lineRule="auto"/>
            </w:pPr>
            <w:r/>
            <w:r>
              <w:rPr>
                <w:rFonts w:ascii="Arial" w:hAnsi="Arial" w:cs="Arial"/>
                <w:b w:val="0"/>
                <w:i w:val="0"/>
                <w:sz w:val="17"/>
              </w:rPr>
              <w:t>Tariff Change</w:t>
            </w:r>
          </w:p>
        </w:tc>
        <w:tc>
          <w:tcPr>
            <w:tcW w:type="dxa" w:w="3213"/>
          </w:tcPr>
          <w:p>
            <w:pPr>
              <w:spacing w:after="20" w:before="20" w:line="240" w:lineRule="auto"/>
            </w:pPr>
            <w:r/>
            <w:r>
              <w:rPr>
                <w:rFonts w:ascii="Arial" w:hAnsi="Arial" w:cs="Arial"/>
                <w:b w:val="0"/>
                <w:i w:val="0"/>
                <w:sz w:val="17"/>
              </w:rPr>
              <w:t>Customs duty changes</w:t>
            </w:r>
          </w:p>
        </w:tc>
        <w:tc>
          <w:tcPr>
            <w:tcW w:type="dxa" w:w="3213"/>
          </w:tcPr>
          <w:p>
            <w:pPr>
              <w:spacing w:after="20" w:before="20" w:line="240" w:lineRule="auto"/>
            </w:pPr>
            <w:r/>
            <w:r>
              <w:rPr>
                <w:rFonts w:ascii="Arial" w:hAnsi="Arial" w:cs="Arial"/>
                <w:b w:val="0"/>
                <w:i w:val="0"/>
                <w:sz w:val="17"/>
              </w:rPr>
              <w:t>CBAM reporting deadline</w:t>
            </w:r>
          </w:p>
        </w:tc>
      </w:tr>
      <w:tr>
        <w:tc>
          <w:tcPr>
            <w:tcW w:type="dxa" w:w="3213"/>
          </w:tcPr>
          <w:p>
            <w:pPr>
              <w:spacing w:after="20" w:before="20" w:line="240" w:lineRule="auto"/>
            </w:pPr>
            <w:r/>
            <w:r>
              <w:rPr>
                <w:rFonts w:ascii="Arial" w:hAnsi="Arial" w:cs="Arial"/>
                <w:b w:val="0"/>
                <w:i w:val="0"/>
                <w:sz w:val="17"/>
              </w:rPr>
              <w:t>Certificate Expiry</w:t>
            </w:r>
          </w:p>
        </w:tc>
        <w:tc>
          <w:tcPr>
            <w:tcW w:type="dxa" w:w="3213"/>
          </w:tcPr>
          <w:p>
            <w:pPr>
              <w:spacing w:after="20" w:before="20" w:line="240" w:lineRule="auto"/>
            </w:pPr>
            <w:r/>
            <w:r>
              <w:rPr>
                <w:rFonts w:ascii="Arial" w:hAnsi="Arial" w:cs="Arial"/>
                <w:b w:val="0"/>
                <w:i w:val="0"/>
                <w:sz w:val="17"/>
              </w:rPr>
              <w:t>Phyto/Health/COO expiry</w:t>
            </w:r>
          </w:p>
        </w:tc>
        <w:tc>
          <w:tcPr>
            <w:tcW w:type="dxa" w:w="3213"/>
          </w:tcPr>
          <w:p>
            <w:pPr>
              <w:spacing w:after="20" w:before="20" w:line="240" w:lineRule="auto"/>
            </w:pPr>
            <w:r/>
            <w:r>
              <w:rPr>
                <w:rFonts w:ascii="Arial" w:hAnsi="Arial" w:cs="Arial"/>
                <w:b w:val="0"/>
                <w:i w:val="0"/>
                <w:sz w:val="17"/>
              </w:rPr>
              <w:t>Phyto expires 2026-12-15</w:t>
            </w:r>
          </w:p>
        </w:tc>
      </w:tr>
      <w:tr>
        <w:tc>
          <w:tcPr>
            <w:tcW w:type="dxa" w:w="3213"/>
          </w:tcPr>
          <w:p>
            <w:pPr>
              <w:spacing w:after="20" w:before="20" w:line="240" w:lineRule="auto"/>
            </w:pPr>
            <w:r/>
            <w:r>
              <w:rPr>
                <w:rFonts w:ascii="Arial" w:hAnsi="Arial" w:cs="Arial"/>
                <w:b w:val="0"/>
                <w:i w:val="0"/>
                <w:sz w:val="17"/>
              </w:rPr>
              <w:t>Licence Renewal</w:t>
            </w:r>
          </w:p>
        </w:tc>
        <w:tc>
          <w:tcPr>
            <w:tcW w:type="dxa" w:w="3213"/>
          </w:tcPr>
          <w:p>
            <w:pPr>
              <w:spacing w:after="20" w:before="20" w:line="240" w:lineRule="auto"/>
            </w:pPr>
            <w:r/>
            <w:r>
              <w:rPr>
                <w:rFonts w:ascii="Arial" w:hAnsi="Arial" w:cs="Arial"/>
                <w:b w:val="0"/>
                <w:i w:val="0"/>
                <w:sz w:val="17"/>
              </w:rPr>
              <w:t>Broker/Exporter licence</w:t>
            </w:r>
          </w:p>
        </w:tc>
        <w:tc>
          <w:tcPr>
            <w:tcW w:type="dxa" w:w="3213"/>
          </w:tcPr>
          <w:p>
            <w:pPr>
              <w:spacing w:after="20" w:before="20" w:line="240" w:lineRule="auto"/>
            </w:pPr>
            <w:r/>
            <w:r>
              <w:rPr>
                <w:rFonts w:ascii="Arial" w:hAnsi="Arial" w:cs="Arial"/>
                <w:b w:val="0"/>
                <w:i w:val="0"/>
                <w:sz w:val="17"/>
              </w:rPr>
              <w:t>Broker licence expires 2027-01-01</w:t>
            </w:r>
          </w:p>
        </w:tc>
      </w:tr>
      <w:tr>
        <w:tc>
          <w:tcPr>
            <w:tcW w:type="dxa" w:w="3213"/>
          </w:tcPr>
          <w:p>
            <w:pPr>
              <w:spacing w:after="20" w:before="20" w:line="240" w:lineRule="auto"/>
            </w:pPr>
            <w:r/>
            <w:r>
              <w:rPr>
                <w:rFonts w:ascii="Arial" w:hAnsi="Arial" w:cs="Arial"/>
                <w:b w:val="0"/>
                <w:i w:val="0"/>
                <w:sz w:val="17"/>
              </w:rPr>
              <w:t>Regulatory Reporting</w:t>
            </w:r>
          </w:p>
        </w:tc>
        <w:tc>
          <w:tcPr>
            <w:tcW w:type="dxa" w:w="3213"/>
          </w:tcPr>
          <w:p>
            <w:pPr>
              <w:spacing w:after="20" w:before="20" w:line="240" w:lineRule="auto"/>
            </w:pPr>
            <w:r/>
            <w:r>
              <w:rPr>
                <w:rFonts w:ascii="Arial" w:hAnsi="Arial" w:cs="Arial"/>
                <w:b w:val="0"/>
                <w:i w:val="0"/>
                <w:sz w:val="17"/>
              </w:rPr>
              <w:t>CBE/ECB/FinCEN deadlines</w:t>
            </w:r>
          </w:p>
        </w:tc>
        <w:tc>
          <w:tcPr>
            <w:tcW w:type="dxa" w:w="3213"/>
          </w:tcPr>
          <w:p>
            <w:pPr>
              <w:spacing w:after="20" w:before="20" w:line="240" w:lineRule="auto"/>
            </w:pPr>
            <w:r/>
            <w:r>
              <w:rPr>
                <w:rFonts w:ascii="Arial" w:hAnsi="Arial" w:cs="Arial"/>
                <w:b w:val="0"/>
                <w:i w:val="0"/>
                <w:sz w:val="17"/>
              </w:rPr>
              <w:t>CBE report due 2026-07-05</w:t>
            </w:r>
          </w:p>
        </w:tc>
      </w:tr>
      <w:tr>
        <w:tc>
          <w:tcPr>
            <w:tcW w:type="dxa" w:w="3213"/>
          </w:tcPr>
          <w:p>
            <w:pPr>
              <w:spacing w:after="20" w:before="20" w:line="240" w:lineRule="auto"/>
            </w:pPr>
            <w:r/>
            <w:r>
              <w:rPr>
                <w:rFonts w:ascii="Arial" w:hAnsi="Arial" w:cs="Arial"/>
                <w:b w:val="0"/>
                <w:i w:val="0"/>
                <w:sz w:val="17"/>
              </w:rPr>
              <w:t>Sanctions Update</w:t>
            </w:r>
          </w:p>
        </w:tc>
        <w:tc>
          <w:tcPr>
            <w:tcW w:type="dxa" w:w="3213"/>
          </w:tcPr>
          <w:p>
            <w:pPr>
              <w:spacing w:after="20" w:before="20" w:line="240" w:lineRule="auto"/>
            </w:pPr>
            <w:r/>
            <w:r>
              <w:rPr>
                <w:rFonts w:ascii="Arial" w:hAnsi="Arial" w:cs="Arial"/>
                <w:b w:val="0"/>
                <w:i w:val="0"/>
                <w:sz w:val="17"/>
              </w:rPr>
              <w:t>New sanctions list</w:t>
            </w:r>
          </w:p>
        </w:tc>
        <w:tc>
          <w:tcPr>
            <w:tcW w:type="dxa" w:w="3213"/>
          </w:tcPr>
          <w:p>
            <w:pPr>
              <w:spacing w:after="20" w:before="20" w:line="240" w:lineRule="auto"/>
            </w:pPr>
            <w:r/>
            <w:r>
              <w:rPr>
                <w:rFonts w:ascii="Arial" w:hAnsi="Arial" w:cs="Arial"/>
                <w:b w:val="0"/>
                <w:i w:val="0"/>
                <w:sz w:val="17"/>
              </w:rPr>
              <w:t>OFAC update 2026-06-20</w:t>
            </w:r>
          </w:p>
        </w:tc>
      </w:tr>
      <w:tr>
        <w:tc>
          <w:tcPr>
            <w:tcW w:type="dxa" w:w="3213"/>
          </w:tcPr>
          <w:p>
            <w:pPr>
              <w:spacing w:after="20" w:before="20" w:line="240" w:lineRule="auto"/>
            </w:pPr>
            <w:r/>
            <w:r>
              <w:rPr>
                <w:rFonts w:ascii="Arial" w:hAnsi="Arial" w:cs="Arial"/>
                <w:b w:val="0"/>
                <w:i w:val="0"/>
                <w:sz w:val="17"/>
              </w:rPr>
              <w:t>Trade Agreement Change</w:t>
            </w:r>
          </w:p>
        </w:tc>
        <w:tc>
          <w:tcPr>
            <w:tcW w:type="dxa" w:w="3213"/>
          </w:tcPr>
          <w:p>
            <w:pPr>
              <w:spacing w:after="20" w:before="20" w:line="240" w:lineRule="auto"/>
            </w:pPr>
            <w:r/>
            <w:r>
              <w:rPr>
                <w:rFonts w:ascii="Arial" w:hAnsi="Arial" w:cs="Arial"/>
                <w:b w:val="0"/>
                <w:i w:val="0"/>
                <w:sz w:val="17"/>
              </w:rPr>
              <w:t>FTA update</w:t>
            </w:r>
          </w:p>
        </w:tc>
        <w:tc>
          <w:tcPr>
            <w:tcW w:type="dxa" w:w="3213"/>
          </w:tcPr>
          <w:p>
            <w:pPr>
              <w:spacing w:after="20" w:before="20" w:line="240" w:lineRule="auto"/>
            </w:pPr>
            <w:r/>
            <w:r>
              <w:rPr>
                <w:rFonts w:ascii="Arial" w:hAnsi="Arial" w:cs="Arial"/>
                <w:b w:val="0"/>
                <w:i w:val="0"/>
                <w:sz w:val="17"/>
              </w:rPr>
              <w:t>EU-Mercosur implementation</w:t>
            </w:r>
          </w:p>
        </w:tc>
      </w:tr>
      <w:tr>
        <w:tc>
          <w:tcPr>
            <w:tcW w:type="dxa" w:w="3213"/>
          </w:tcPr>
          <w:p>
            <w:pPr>
              <w:spacing w:after="20" w:before="20" w:line="240" w:lineRule="auto"/>
            </w:pPr>
            <w:r/>
            <w:r>
              <w:rPr>
                <w:rFonts w:ascii="Arial" w:hAnsi="Arial" w:cs="Arial"/>
                <w:b w:val="0"/>
                <w:i w:val="0"/>
                <w:sz w:val="17"/>
              </w:rPr>
              <w:t>Bond Expiry</w:t>
            </w:r>
          </w:p>
        </w:tc>
        <w:tc>
          <w:tcPr>
            <w:tcW w:type="dxa" w:w="3213"/>
          </w:tcPr>
          <w:p>
            <w:pPr>
              <w:spacing w:after="20" w:before="20" w:line="240" w:lineRule="auto"/>
            </w:pPr>
            <w:r/>
            <w:r>
              <w:rPr>
                <w:rFonts w:ascii="Arial" w:hAnsi="Arial" w:cs="Arial"/>
                <w:b w:val="0"/>
                <w:i w:val="0"/>
                <w:sz w:val="17"/>
              </w:rPr>
              <w:t>Customs bond expires</w:t>
            </w:r>
          </w:p>
        </w:tc>
        <w:tc>
          <w:tcPr>
            <w:tcW w:type="dxa" w:w="3213"/>
          </w:tcPr>
          <w:p>
            <w:pPr>
              <w:spacing w:after="20" w:before="20" w:line="240" w:lineRule="auto"/>
            </w:pPr>
            <w:r/>
            <w:r>
              <w:rPr>
                <w:rFonts w:ascii="Arial" w:hAnsi="Arial" w:cs="Arial"/>
                <w:b w:val="0"/>
                <w:i w:val="0"/>
                <w:sz w:val="17"/>
              </w:rPr>
              <w:t>Bond expires 2026-12-31</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22.13.3 Database Schema</w:t>
      </w:r>
    </w:p>
    <w:p>
      <w:pPr>
        <w:spacing w:after="0" w:before="0" w:line="240" w:lineRule="auto"/>
        <w:ind w:left="57"/>
        <w:jc w:val="left"/>
        <w:shd w:val="clear" w:fill="F2F2F2"/>
      </w:pPr>
      <w:r>
        <w:rPr>
          <w:rFonts w:ascii="Consolas" w:hAnsi="Consolas" w:cs="Consolas"/>
          <w:b w:val="0"/>
          <w:i w:val="0"/>
          <w:sz w:val="15"/>
        </w:rPr>
        <w:t>-- Compliance calendar events</w:t>
      </w:r>
    </w:p>
    <w:p>
      <w:pPr>
        <w:spacing w:after="0" w:before="0" w:line="240" w:lineRule="auto"/>
        <w:ind w:left="57"/>
        <w:jc w:val="left"/>
        <w:shd w:val="clear" w:fill="F2F2F2"/>
      </w:pPr>
      <w:r>
        <w:rPr>
          <w:rFonts w:ascii="Consolas" w:hAnsi="Consolas" w:cs="Consolas"/>
          <w:b w:val="0"/>
          <w:i w:val="0"/>
          <w:sz w:val="15"/>
        </w:rPr>
        <w:t>CREATE TABLE compliance_calendar_events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tenant_gtid TEXT NOT NULL REFERENCES tenants(gtid),</w:t>
      </w:r>
    </w:p>
    <w:p>
      <w:pPr>
        <w:spacing w:after="0" w:before="0" w:line="240" w:lineRule="auto"/>
        <w:ind w:left="57"/>
        <w:jc w:val="left"/>
        <w:shd w:val="clear" w:fill="F2F2F2"/>
      </w:pPr>
      <w:r>
        <w:rPr>
          <w:rFonts w:ascii="Consolas" w:hAnsi="Consolas" w:cs="Consolas"/>
          <w:b w:val="0"/>
          <w:i w:val="0"/>
          <w:sz w:val="15"/>
        </w:rPr>
        <w:t xml:space="preserve">    event_type TEXT NOT NULL,</w:t>
      </w:r>
    </w:p>
    <w:p>
      <w:pPr>
        <w:spacing w:after="0" w:before="0" w:line="240" w:lineRule="auto"/>
        <w:ind w:left="57"/>
        <w:jc w:val="left"/>
        <w:shd w:val="clear" w:fill="F2F2F2"/>
      </w:pPr>
      <w:r>
        <w:rPr>
          <w:rFonts w:ascii="Consolas" w:hAnsi="Consolas" w:cs="Consolas"/>
          <w:b w:val="0"/>
          <w:i w:val="0"/>
          <w:sz w:val="15"/>
        </w:rPr>
        <w:t xml:space="preserve">    title TEXT NOT NULL,</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event_date TIMESTAMPTZ NOT NULL,</w:t>
      </w:r>
    </w:p>
    <w:p>
      <w:pPr>
        <w:spacing w:after="0" w:before="0" w:line="240" w:lineRule="auto"/>
        <w:ind w:left="57"/>
        <w:jc w:val="left"/>
        <w:shd w:val="clear" w:fill="F2F2F2"/>
      </w:pPr>
      <w:r>
        <w:rPr>
          <w:rFonts w:ascii="Consolas" w:hAnsi="Consolas" w:cs="Consolas"/>
          <w:b w:val="0"/>
          <w:i w:val="0"/>
          <w:sz w:val="15"/>
        </w:rPr>
        <w:t xml:space="preserve">    reminder_days INTEGER[] DEFAULT '{30, 14, 7, 1}',</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completed_at TIMESTAMPTZ,</w:t>
      </w:r>
    </w:p>
    <w:p>
      <w:pPr>
        <w:spacing w:after="0" w:before="0" w:line="240" w:lineRule="auto"/>
        <w:ind w:left="57"/>
        <w:jc w:val="left"/>
        <w:shd w:val="clear" w:fill="F2F2F2"/>
      </w:pPr>
      <w:r>
        <w:rPr>
          <w:rFonts w:ascii="Consolas" w:hAnsi="Consolas" w:cs="Consolas"/>
          <w:b w:val="0"/>
          <w:i w:val="0"/>
          <w:sz w:val="15"/>
        </w:rPr>
        <w:t xml:space="preserve">    linked_ustn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Compliance calendar alerts</w:t>
      </w:r>
    </w:p>
    <w:p>
      <w:pPr>
        <w:spacing w:after="0" w:before="0" w:line="240" w:lineRule="auto"/>
        <w:ind w:left="57"/>
        <w:jc w:val="left"/>
        <w:shd w:val="clear" w:fill="F2F2F2"/>
      </w:pPr>
      <w:r>
        <w:rPr>
          <w:rFonts w:ascii="Consolas" w:hAnsi="Consolas" w:cs="Consolas"/>
          <w:b w:val="0"/>
          <w:i w:val="0"/>
          <w:sz w:val="15"/>
        </w:rPr>
        <w:t>CREATE TABLE compliance_calendar_alerts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event_id UUID REFERENCES compliance_calendar_events(id) ON DELETE CASCADE,</w:t>
      </w:r>
    </w:p>
    <w:p>
      <w:pPr>
        <w:spacing w:after="0" w:before="0" w:line="240" w:lineRule="auto"/>
        <w:ind w:left="57"/>
        <w:jc w:val="left"/>
        <w:shd w:val="clear" w:fill="F2F2F2"/>
      </w:pPr>
      <w:r>
        <w:rPr>
          <w:rFonts w:ascii="Consolas" w:hAnsi="Consolas" w:cs="Consolas"/>
          <w:b w:val="0"/>
          <w:i w:val="0"/>
          <w:sz w:val="15"/>
        </w:rPr>
        <w:t xml:space="preserve">    alert_type TEXT NOT NULL,</w:t>
      </w:r>
    </w:p>
    <w:p>
      <w:pPr>
        <w:spacing w:after="0" w:before="0" w:line="240" w:lineRule="auto"/>
        <w:ind w:left="57"/>
        <w:jc w:val="left"/>
        <w:shd w:val="clear" w:fill="F2F2F2"/>
      </w:pPr>
      <w:r>
        <w:rPr>
          <w:rFonts w:ascii="Consolas" w:hAnsi="Consolas" w:cs="Consolas"/>
          <w:b w:val="0"/>
          <w:i w:val="0"/>
          <w:sz w:val="15"/>
        </w:rPr>
        <w:t xml:space="preserve">    sent_at TIMESTAMPTZ DEFAULT NOW(),</w:t>
      </w:r>
    </w:p>
    <w:p>
      <w:pPr>
        <w:spacing w:after="0" w:before="0" w:line="240" w:lineRule="auto"/>
        <w:ind w:left="57"/>
        <w:jc w:val="left"/>
        <w:shd w:val="clear" w:fill="F2F2F2"/>
      </w:pPr>
      <w:r>
        <w:rPr>
          <w:rFonts w:ascii="Consolas" w:hAnsi="Consolas" w:cs="Consolas"/>
          <w:b w:val="0"/>
          <w:i w:val="0"/>
          <w:sz w:val="15"/>
        </w:rPr>
        <w:t xml:space="preserve">    acknowledged BOOLEAN DEFAULT false,</w:t>
      </w:r>
    </w:p>
    <w:p>
      <w:pPr>
        <w:spacing w:after="0" w:before="0" w:line="240" w:lineRule="auto"/>
        <w:ind w:left="57"/>
        <w:jc w:val="left"/>
        <w:shd w:val="clear" w:fill="F2F2F2"/>
      </w:pPr>
      <w:r>
        <w:rPr>
          <w:rFonts w:ascii="Consolas" w:hAnsi="Consolas" w:cs="Consolas"/>
          <w:b w:val="0"/>
          <w:i w:val="0"/>
          <w:sz w:val="15"/>
        </w:rPr>
        <w:t xml:space="preserve">    acknowledged_at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Regulatory deadlines (RIA auto-populated)</w:t>
      </w:r>
    </w:p>
    <w:p>
      <w:pPr>
        <w:spacing w:after="0" w:before="0" w:line="240" w:lineRule="auto"/>
        <w:ind w:left="57"/>
        <w:jc w:val="left"/>
        <w:shd w:val="clear" w:fill="F2F2F2"/>
      </w:pPr>
      <w:r>
        <w:rPr>
          <w:rFonts w:ascii="Consolas" w:hAnsi="Consolas" w:cs="Consolas"/>
          <w:b w:val="0"/>
          <w:i w:val="0"/>
          <w:sz w:val="15"/>
        </w:rPr>
        <w:t>CREATE TABLE regulatory_deadlines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jurisdiction_code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event_type TEXT NOT NULL,</w:t>
      </w:r>
    </w:p>
    <w:p>
      <w:pPr>
        <w:spacing w:after="0" w:before="0" w:line="240" w:lineRule="auto"/>
        <w:ind w:left="57"/>
        <w:jc w:val="left"/>
        <w:shd w:val="clear" w:fill="F2F2F2"/>
      </w:pPr>
      <w:r>
        <w:rPr>
          <w:rFonts w:ascii="Consolas" w:hAnsi="Consolas" w:cs="Consolas"/>
          <w:b w:val="0"/>
          <w:i w:val="0"/>
          <w:sz w:val="15"/>
        </w:rPr>
        <w:t xml:space="preserve">    title TEXT NOT NULL,</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deadline_date TIMESTAMPTZ NOT NULL,</w:t>
      </w:r>
    </w:p>
    <w:p>
      <w:pPr>
        <w:spacing w:after="0" w:before="0" w:line="240" w:lineRule="auto"/>
        <w:ind w:left="57"/>
        <w:jc w:val="left"/>
        <w:shd w:val="clear" w:fill="F2F2F2"/>
      </w:pPr>
      <w:r>
        <w:rPr>
          <w:rFonts w:ascii="Consolas" w:hAnsi="Consolas" w:cs="Consolas"/>
          <w:b w:val="0"/>
          <w:i w:val="0"/>
          <w:sz w:val="15"/>
        </w:rPr>
        <w:t xml:space="preserve">    recurrence_type TEXT,                -- 'YEARLY', 'QUARTERLY', 'MONTHLY'</w:t>
      </w:r>
    </w:p>
    <w:p>
      <w:pPr>
        <w:spacing w:after="0" w:before="0" w:line="240" w:lineRule="auto"/>
        <w:ind w:left="57"/>
        <w:jc w:val="left"/>
        <w:shd w:val="clear" w:fill="F2F2F2"/>
      </w:pPr>
      <w:r>
        <w:rPr>
          <w:rFonts w:ascii="Consolas" w:hAnsi="Consolas" w:cs="Consolas"/>
          <w:b w:val="0"/>
          <w:i w:val="0"/>
          <w:sz w:val="15"/>
        </w:rPr>
        <w:t xml:space="preserve">    source_regulation TEXT,</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idx_compliance_calendar_events_tenant ON compliance_calendar_events(tenant_gtid);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idx_compliance_calendar_events_date ON compliance_calendar_events(event_date);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idx_compliance_calendar_events_status ON compliance_calendar_events(status);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idx_regulatory_deadlines_jurisdiction ON regulatory_deadlines(jurisdiction_code);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idx_regulatory_deadlines_date ON regulatory_deadlines(deadline_date);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22.13.4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/v1/compliance/calendar</w:t>
            </w:r>
          </w:p>
        </w:tc>
        <w:tc>
          <w:tcPr>
            <w:tcW w:type="dxa" w:w="3213"/>
          </w:tcPr>
          <w:p>
            <w:pPr>
              <w:spacing w:after="20" w:before="20" w:line="240" w:lineRule="auto"/>
            </w:pPr>
            <w:r/>
            <w:r>
              <w:rPr>
                <w:rFonts w:ascii="Arial" w:hAnsi="Arial" w:cs="Arial"/>
                <w:b w:val="0"/>
                <w:i w:val="0"/>
                <w:sz w:val="17"/>
              </w:rPr>
              <w:t>Get compliance calendar</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/v1/compliance/upcoming</w:t>
            </w:r>
          </w:p>
        </w:tc>
        <w:tc>
          <w:tcPr>
            <w:tcW w:type="dxa" w:w="3213"/>
          </w:tcPr>
          <w:p>
            <w:pPr>
              <w:spacing w:after="20" w:before="20" w:line="240" w:lineRule="auto"/>
            </w:pPr>
            <w:r/>
            <w:r>
              <w:rPr>
                <w:rFonts w:ascii="Arial" w:hAnsi="Arial" w:cs="Arial"/>
                <w:b w:val="0"/>
                <w:i w:val="0"/>
                <w:sz w:val="17"/>
              </w:rPr>
              <w:t>Get upcoming deadlines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/v1/compliance/event/add</w:t>
            </w:r>
          </w:p>
        </w:tc>
        <w:tc>
          <w:tcPr>
            <w:tcW w:type="dxa" w:w="3213"/>
          </w:tcPr>
          <w:p>
            <w:pPr>
              <w:spacing w:after="20" w:before="20" w:line="240" w:lineRule="auto"/>
            </w:pPr>
            <w:r/>
            <w:r>
              <w:rPr>
                <w:rFonts w:ascii="Arial" w:hAnsi="Arial" w:cs="Arial"/>
                <w:b w:val="0"/>
                <w:i w:val="0"/>
                <w:sz w:val="17"/>
              </w:rPr>
              <w:t>Add compliance event</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/v1/compliance/event/complete</w:t>
            </w:r>
          </w:p>
        </w:tc>
        <w:tc>
          <w:tcPr>
            <w:tcW w:type="dxa" w:w="3213"/>
          </w:tcPr>
          <w:p>
            <w:pPr>
              <w:spacing w:after="20" w:before="20" w:line="240" w:lineRule="auto"/>
            </w:pPr>
            <w:r/>
            <w:r>
              <w:rPr>
                <w:rFonts w:ascii="Arial" w:hAnsi="Arial" w:cs="Arial"/>
                <w:b w:val="0"/>
                <w:i w:val="0"/>
                <w:sz w:val="17"/>
              </w:rPr>
              <w:t>Mark event complete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22.13.5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RIA (regulatory intelligence)</w:t>
            </w:r>
          </w:p>
        </w:tc>
        <w:tc>
          <w:tcPr>
            <w:tcW w:type="dxa" w:w="4819"/>
          </w:tcPr>
          <w:p>
            <w:pPr>
              <w:spacing w:after="20" w:before="20" w:line="240" w:lineRule="auto"/>
            </w:pPr>
            <w:r/>
            <w:r>
              <w:rPr>
                <w:rFonts w:ascii="Arial" w:hAnsi="Arial" w:cs="Arial"/>
                <w:b w:val="0"/>
                <w:i w:val="0"/>
                <w:sz w:val="17"/>
              </w:rPr>
              <w:t>Regulatory deadline detection</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Reminders</w:t>
            </w:r>
          </w:p>
        </w:tc>
      </w:tr>
      <w:tr>
        <w:tc>
          <w:tcPr>
            <w:tcW w:type="dxa" w:w="4819"/>
          </w:tcPr>
          <w:p>
            <w:pPr>
              <w:spacing w:after="20" w:before="20" w:line="240" w:lineRule="auto"/>
            </w:pPr>
            <w:r/>
            <w:r>
              <w:rPr>
                <w:rFonts w:ascii="Arial" w:hAnsi="Arial" w:cs="Arial"/>
                <w:b w:val="0"/>
                <w:i w:val="0"/>
                <w:sz w:val="17"/>
              </w:rPr>
              <w:t>Section 16 — Task Center</w:t>
            </w:r>
          </w:p>
        </w:tc>
        <w:tc>
          <w:tcPr>
            <w:tcW w:type="dxa" w:w="4819"/>
          </w:tcPr>
          <w:p>
            <w:pPr>
              <w:spacing w:after="20" w:before="20" w:line="240" w:lineRule="auto"/>
            </w:pPr>
            <w:r/>
            <w:r>
              <w:rPr>
                <w:rFonts w:ascii="Arial" w:hAnsi="Arial" w:cs="Arial"/>
                <w:b w:val="0"/>
                <w:i w:val="0"/>
                <w:sz w:val="17"/>
              </w:rPr>
              <w:t>Compliance tasks</w:t>
            </w:r>
          </w:p>
        </w:tc>
      </w:tr>
      <w:tr>
        <w:tc>
          <w:tcPr>
            <w:tcW w:type="dxa" w:w="4819"/>
          </w:tcPr>
          <w:p>
            <w:pPr>
              <w:spacing w:after="20" w:before="20" w:line="240" w:lineRule="auto"/>
            </w:pPr>
            <w:r/>
            <w:r>
              <w:rPr>
                <w:rFonts w:ascii="Arial" w:hAnsi="Arial" w:cs="Arial"/>
                <w:b w:val="0"/>
                <w:i w:val="0"/>
                <w:sz w:val="17"/>
              </w:rPr>
              <w:t>Section 16 — Government Portal</w:t>
            </w:r>
          </w:p>
        </w:tc>
        <w:tc>
          <w:tcPr>
            <w:tcW w:type="dxa" w:w="4819"/>
          </w:tcPr>
          <w:p>
            <w:pPr>
              <w:spacing w:after="20" w:before="20" w:line="240" w:lineRule="auto"/>
            </w:pPr>
            <w:r/>
            <w:r>
              <w:rPr>
                <w:rFonts w:ascii="Arial" w:hAnsi="Arial" w:cs="Arial"/>
                <w:b w:val="0"/>
                <w:i w:val="0"/>
                <w:sz w:val="17"/>
              </w:rPr>
              <w:t>Compliance dashboard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22.13.6 Implementation Checklist</w:t>
      </w:r>
    </w:p>
    <w:p>
      <w:pPr>
        <w:spacing w:after="80" w:line="293" w:lineRule="auto"/>
        <w:ind w:left="283"/>
        <w:jc w:val="left"/>
      </w:pPr>
      <w:r>
        <w:rPr>
          <w:rFonts w:ascii="Times New Roman" w:hAnsi="Times New Roman" w:cs="Times New Roman"/>
          <w:b w:val="0"/>
          <w:i w:val="0"/>
          <w:sz w:val="22"/>
        </w:rPr>
        <w:t>- Create the `compliance_calendar_events` table.</w:t>
      </w:r>
    </w:p>
    <w:p>
      <w:pPr>
        <w:spacing w:after="80" w:line="293" w:lineRule="auto"/>
        <w:ind w:left="283"/>
        <w:jc w:val="left"/>
      </w:pPr>
      <w:r>
        <w:rPr>
          <w:rFonts w:ascii="Times New Roman" w:hAnsi="Times New Roman" w:cs="Times New Roman"/>
          <w:b w:val="0"/>
          <w:i w:val="0"/>
          <w:sz w:val="22"/>
        </w:rPr>
        <w:t>- Create the `compliance_calendar_alerts` table.</w:t>
      </w:r>
    </w:p>
    <w:p>
      <w:pPr>
        <w:spacing w:after="80" w:line="293" w:lineRule="auto"/>
        <w:ind w:left="283"/>
        <w:jc w:val="left"/>
      </w:pPr>
      <w:r>
        <w:rPr>
          <w:rFonts w:ascii="Times New Roman" w:hAnsi="Times New Roman" w:cs="Times New Roman"/>
          <w:b w:val="0"/>
          <w:i w:val="0"/>
          <w:sz w:val="22"/>
        </w:rPr>
        <w:t>- Create the `regulatory_deadlines` table.</w:t>
      </w:r>
    </w:p>
    <w:p>
      <w:pPr>
        <w:spacing w:after="80" w:line="293" w:lineRule="auto"/>
        <w:ind w:left="283"/>
        <w:jc w:val="left"/>
      </w:pPr>
      <w:r>
        <w:rPr>
          <w:rFonts w:ascii="Times New Roman" w:hAnsi="Times New Roman" w:cs="Times New Roman"/>
          <w:b w:val="0"/>
          <w:i w:val="0"/>
          <w:sz w:val="22"/>
        </w:rPr>
        <w:t>- Implement RIA integration for deadline detection.</w:t>
      </w:r>
    </w:p>
    <w:p>
      <w:pPr>
        <w:spacing w:after="80" w:line="293" w:lineRule="auto"/>
        <w:ind w:left="283"/>
        <w:jc w:val="left"/>
      </w:pPr>
      <w:r>
        <w:rPr>
          <w:rFonts w:ascii="Times New Roman" w:hAnsi="Times New Roman" w:cs="Times New Roman"/>
          <w:b w:val="0"/>
          <w:i w:val="0"/>
          <w:sz w:val="22"/>
        </w:rPr>
        <w:t>- Implement Smart Inbox reminders.</w:t>
      </w:r>
    </w:p>
    <w:p>
      <w:pPr>
        <w:spacing w:after="80" w:line="293" w:lineRule="auto"/>
        <w:ind w:left="283"/>
        <w:jc w:val="left"/>
      </w:pPr>
      <w:r>
        <w:rPr>
          <w:rFonts w:ascii="Times New Roman" w:hAnsi="Times New Roman" w:cs="Times New Roman"/>
          <w:b w:val="0"/>
          <w:i w:val="0"/>
          <w:sz w:val="22"/>
        </w:rPr>
        <w:t>- Add the compliance dashboard to the Government Portal.</w:t>
      </w:r>
    </w:p>
    <w:p>
      <w:pPr>
        <w:spacing w:after="80" w:line="293" w:lineRule="auto"/>
        <w:ind w:left="283"/>
        <w:jc w:val="left"/>
      </w:pPr>
      <w:r>
        <w:rPr>
          <w:rFonts w:ascii="Times New Roman" w:hAnsi="Times New Roman" w:cs="Times New Roman"/>
          <w:b w:val="0"/>
          <w:i w:val="0"/>
          <w:sz w:val="22"/>
        </w:rPr>
        <w:t>- Add the calendar view for traders.</w:t>
      </w:r>
    </w:p>
    <w:p>
      <w:pPr>
        <w:keepNext/>
        <w:spacing w:before="240" w:after="100"/>
        <w:outlineLvl w:val="1"/>
      </w:pPr>
      <w:r>
        <w:rPr>
          <w:rFonts w:ascii="Arial" w:hAnsi="Arial" w:cs="Arial"/>
          <w:b/>
          <w:i w:val="0"/>
          <w:color w:val="2E528F"/>
          <w:sz w:val="26"/>
        </w:rPr>
        <w:t>22.14 Add-On 19: Cargo Insurance Integration</w:t>
      </w:r>
    </w:p>
    <w:p>
      <w:pPr>
        <w:keepNext/>
        <w:spacing w:before="180" w:after="80"/>
        <w:outlineLvl w:val="2"/>
      </w:pPr>
      <w:r>
        <w:rPr>
          <w:rFonts w:ascii="Arial" w:hAnsi="Arial" w:cs="Arial"/>
          <w:b/>
          <w:i w:val="0"/>
          <w:color w:val="333333"/>
          <w:sz w:val="23"/>
        </w:rPr>
        <w:t>22.14.1 Purpose &amp; Design Philosophy</w:t>
      </w:r>
    </w:p>
    <w:p>
      <w:pPr>
        <w:spacing w:after="80" w:line="293" w:lineRule="auto"/>
        <w:jc w:val="left"/>
      </w:pPr>
      <w:r>
        <w:rPr>
          <w:rFonts w:ascii="Times New Roman" w:hAnsi="Times New Roman" w:cs="Times New Roman"/>
          <w:b w:val="0"/>
          <w:i w:val="0"/>
          <w:sz w:val="22"/>
        </w:rPr>
        <w:t>API integration with insurance providers, enabling premium calculation, policy issuance, and claim handling.</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API integration — connect to insurers (Allianz, Zurich, etc.).</w:t>
      </w:r>
    </w:p>
    <w:p>
      <w:pPr>
        <w:spacing w:after="80" w:line="293" w:lineRule="auto"/>
        <w:ind w:left="283"/>
        <w:jc w:val="left"/>
      </w:pPr>
      <w:r>
        <w:rPr>
          <w:rFonts w:ascii="Times New Roman" w:hAnsi="Times New Roman" w:cs="Times New Roman"/>
          <w:b w:val="0"/>
          <w:i w:val="0"/>
          <w:sz w:val="22"/>
        </w:rPr>
        <w:t>- Premium calculation — based on commodity, route, coverage.</w:t>
      </w:r>
    </w:p>
    <w:p>
      <w:pPr>
        <w:spacing w:after="80" w:line="293" w:lineRule="auto"/>
        <w:ind w:left="283"/>
        <w:jc w:val="left"/>
      </w:pPr>
      <w:r>
        <w:rPr>
          <w:rFonts w:ascii="Times New Roman" w:hAnsi="Times New Roman" w:cs="Times New Roman"/>
          <w:b w:val="0"/>
          <w:i w:val="0"/>
          <w:sz w:val="22"/>
        </w:rPr>
        <w:t>- Policy management — issuance, tracking, renewal.</w:t>
      </w:r>
    </w:p>
    <w:p>
      <w:pPr>
        <w:spacing w:after="80" w:line="293" w:lineRule="auto"/>
        <w:ind w:left="283"/>
        <w:jc w:val="left"/>
      </w:pPr>
      <w:r>
        <w:rPr>
          <w:rFonts w:ascii="Times New Roman" w:hAnsi="Times New Roman" w:cs="Times New Roman"/>
          <w:b w:val="0"/>
          <w:i w:val="0"/>
          <w:sz w:val="22"/>
        </w:rPr>
        <w:t>- Claim handling — submit and track claims.</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claim summaries.</w:t>
      </w:r>
    </w:p>
    <w:p>
      <w:pPr>
        <w:spacing w:after="80" w:line="293" w:lineRule="auto"/>
        <w:ind w:left="283"/>
        <w:jc w:val="left"/>
      </w:pPr>
      <w:r>
        <w:rPr>
          <w:rFonts w:ascii="Times New Roman" w:hAnsi="Times New Roman" w:cs="Times New Roman"/>
          <w:b w:val="0"/>
          <w:i w:val="0"/>
          <w:sz w:val="22"/>
        </w:rPr>
        <w:t>- A2 (HF local → Ollama): premium optimisation.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22.14.2 Insurance Providers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Provider</w:t>
            </w:r>
          </w:p>
        </w:tc>
        <w:tc>
          <w:tcPr>
            <w:tcW w:type="dxa" w:w="2409"/>
            <w:shd w:val="clear" w:fill="D9E2F3"/>
          </w:tcPr>
          <w:p>
            <w:pPr>
              <w:spacing w:after="20" w:before="20" w:line="240" w:lineRule="auto"/>
            </w:pPr>
            <w:r/>
            <w:r>
              <w:rPr>
                <w:rFonts w:ascii="Arial" w:hAnsi="Arial" w:cs="Arial"/>
                <w:b/>
                <w:i w:val="0"/>
                <w:sz w:val="18"/>
              </w:rPr>
              <w:t>Jurisdiction</w:t>
            </w:r>
          </w:p>
        </w:tc>
        <w:tc>
          <w:tcPr>
            <w:tcW w:type="dxa" w:w="2409"/>
            <w:shd w:val="clear" w:fill="D9E2F3"/>
          </w:tcPr>
          <w:p>
            <w:pPr>
              <w:spacing w:after="20" w:before="20" w:line="240" w:lineRule="auto"/>
            </w:pPr>
            <w:r/>
            <w:r>
              <w:rPr>
                <w:rFonts w:ascii="Arial" w:hAnsi="Arial" w:cs="Arial"/>
                <w:b/>
                <w:i w:val="0"/>
                <w:sz w:val="18"/>
              </w:rPr>
              <w:t>Coverage Types</w:t>
            </w:r>
          </w:p>
        </w:tc>
        <w:tc>
          <w:tcPr>
            <w:tcW w:type="dxa" w:w="2409"/>
            <w:shd w:val="clear" w:fill="D9E2F3"/>
          </w:tcPr>
          <w:p>
            <w:pPr>
              <w:spacing w:after="20" w:before="20" w:line="240" w:lineRule="auto"/>
            </w:pPr>
            <w:r/>
            <w:r>
              <w:rPr>
                <w:rFonts w:ascii="Arial" w:hAnsi="Arial" w:cs="Arial"/>
                <w:b/>
                <w:i w:val="0"/>
                <w:sz w:val="18"/>
              </w:rPr>
              <w:t>API Available</w:t>
            </w:r>
          </w:p>
        </w:tc>
      </w:tr>
      <w:tr>
        <w:tc>
          <w:tcPr>
            <w:tcW w:type="dxa" w:w="2409"/>
          </w:tcPr>
          <w:p>
            <w:pPr>
              <w:spacing w:after="20" w:before="20" w:line="240" w:lineRule="auto"/>
            </w:pPr>
            <w:r/>
            <w:r>
              <w:rPr>
                <w:rFonts w:ascii="Arial" w:hAnsi="Arial" w:cs="Arial"/>
                <w:b w:val="0"/>
                <w:i w:val="0"/>
                <w:sz w:val="17"/>
              </w:rPr>
              <w:t>Allianz</w:t>
            </w:r>
          </w:p>
        </w:tc>
        <w:tc>
          <w:tcPr>
            <w:tcW w:type="dxa" w:w="2409"/>
          </w:tcPr>
          <w:p>
            <w:pPr>
              <w:spacing w:after="20" w:before="20" w:line="240" w:lineRule="auto"/>
            </w:pPr>
            <w:r/>
            <w:r>
              <w:rPr>
                <w:rFonts w:ascii="Arial" w:hAnsi="Arial" w:cs="Arial"/>
                <w:b w:val="0"/>
                <w:i w:val="0"/>
                <w:sz w:val="17"/>
              </w:rPr>
              <w:t>Global</w:t>
            </w:r>
          </w:p>
        </w:tc>
        <w:tc>
          <w:tcPr>
            <w:tcW w:type="dxa" w:w="2409"/>
          </w:tcPr>
          <w:p>
            <w:pPr>
              <w:spacing w:after="20" w:before="20" w:line="240" w:lineRule="auto"/>
            </w:pPr>
            <w:r/>
            <w:r>
              <w:rPr>
                <w:rFonts w:ascii="Arial" w:hAnsi="Arial" w:cs="Arial"/>
                <w:b w:val="0"/>
                <w:i w:val="0"/>
                <w:sz w:val="17"/>
              </w:rPr>
              <w:t>All Risks, ICC(A/B/C), FPA, WA</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Zurich</w:t>
            </w:r>
          </w:p>
        </w:tc>
        <w:tc>
          <w:tcPr>
            <w:tcW w:type="dxa" w:w="2409"/>
          </w:tcPr>
          <w:p>
            <w:pPr>
              <w:spacing w:after="20" w:before="20" w:line="240" w:lineRule="auto"/>
            </w:pPr>
            <w:r/>
            <w:r>
              <w:rPr>
                <w:rFonts w:ascii="Arial" w:hAnsi="Arial" w:cs="Arial"/>
                <w:b w:val="0"/>
                <w:i w:val="0"/>
                <w:sz w:val="17"/>
              </w:rPr>
              <w:t>Global</w:t>
            </w:r>
          </w:p>
        </w:tc>
        <w:tc>
          <w:tcPr>
            <w:tcW w:type="dxa" w:w="2409"/>
          </w:tcPr>
          <w:p>
            <w:pPr>
              <w:spacing w:after="20" w:before="20" w:line="240" w:lineRule="auto"/>
            </w:pPr>
            <w:r/>
            <w:r>
              <w:rPr>
                <w:rFonts w:ascii="Arial" w:hAnsi="Arial" w:cs="Arial"/>
                <w:b w:val="0"/>
                <w:i w:val="0"/>
                <w:sz w:val="17"/>
              </w:rPr>
              <w:t>All Risks, ICC(A/B/C)</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AIG</w:t>
            </w:r>
          </w:p>
        </w:tc>
        <w:tc>
          <w:tcPr>
            <w:tcW w:type="dxa" w:w="2409"/>
          </w:tcPr>
          <w:p>
            <w:pPr>
              <w:spacing w:after="20" w:before="20" w:line="240" w:lineRule="auto"/>
            </w:pPr>
            <w:r/>
            <w:r>
              <w:rPr>
                <w:rFonts w:ascii="Arial" w:hAnsi="Arial" w:cs="Arial"/>
                <w:b w:val="0"/>
                <w:i w:val="0"/>
                <w:sz w:val="17"/>
              </w:rPr>
              <w:t>Global</w:t>
            </w:r>
          </w:p>
        </w:tc>
        <w:tc>
          <w:tcPr>
            <w:tcW w:type="dxa" w:w="2409"/>
          </w:tcPr>
          <w:p>
            <w:pPr>
              <w:spacing w:after="20" w:before="20" w:line="240" w:lineRule="auto"/>
            </w:pPr>
            <w:r/>
            <w:r>
              <w:rPr>
                <w:rFonts w:ascii="Arial" w:hAnsi="Arial" w:cs="Arial"/>
                <w:b w:val="0"/>
                <w:i w:val="0"/>
                <w:sz w:val="17"/>
              </w:rPr>
              <w:t>All Risks, Specialised</w:t>
            </w:r>
          </w:p>
        </w:tc>
        <w:tc>
          <w:tcPr>
            <w:tcW w:type="dxa" w:w="2409"/>
          </w:tcPr>
          <w:p>
            <w:pPr>
              <w:spacing w:after="20" w:before="20" w:line="240" w:lineRule="auto"/>
            </w:pPr>
            <w:r/>
            <w:r>
              <w:rPr>
                <w:rFonts w:ascii="Arial" w:hAnsi="Arial" w:cs="Arial"/>
                <w:b w:val="0"/>
                <w:i w:val="0"/>
                <w:sz w:val="17"/>
              </w:rPr>
              <w:t>Yes</w:t>
            </w:r>
          </w:p>
        </w:tc>
      </w:tr>
      <w:tr>
        <w:tc>
          <w:tcPr>
            <w:tcW w:type="dxa" w:w="2409"/>
          </w:tcPr>
          <w:p>
            <w:pPr>
              <w:spacing w:after="20" w:before="20" w:line="240" w:lineRule="auto"/>
            </w:pPr>
            <w:r/>
            <w:r>
              <w:rPr>
                <w:rFonts w:ascii="Arial" w:hAnsi="Arial" w:cs="Arial"/>
                <w:b w:val="0"/>
                <w:i w:val="0"/>
                <w:sz w:val="17"/>
              </w:rPr>
              <w:t>Egyptian Insurance</w:t>
            </w:r>
          </w:p>
        </w:tc>
        <w:tc>
          <w:tcPr>
            <w:tcW w:type="dxa" w:w="2409"/>
          </w:tcPr>
          <w:p>
            <w:pPr>
              <w:spacing w:after="20" w:before="20" w:line="240" w:lineRule="auto"/>
            </w:pPr>
            <w:r/>
            <w:r>
              <w:rPr>
                <w:rFonts w:ascii="Arial" w:hAnsi="Arial" w:cs="Arial"/>
                <w:b w:val="0"/>
                <w:i w:val="0"/>
                <w:sz w:val="17"/>
              </w:rPr>
              <w:t>Egypt</w:t>
            </w:r>
          </w:p>
        </w:tc>
        <w:tc>
          <w:tcPr>
            <w:tcW w:type="dxa" w:w="2409"/>
          </w:tcPr>
          <w:p>
            <w:pPr>
              <w:spacing w:after="20" w:before="20" w:line="240" w:lineRule="auto"/>
            </w:pPr>
            <w:r/>
            <w:r>
              <w:rPr>
                <w:rFonts w:ascii="Arial" w:hAnsi="Arial" w:cs="Arial"/>
                <w:b w:val="0"/>
                <w:i w:val="0"/>
                <w:sz w:val="17"/>
              </w:rPr>
              <w:t>All Risks</w:t>
            </w:r>
          </w:p>
        </w:tc>
        <w:tc>
          <w:tcPr>
            <w:tcW w:type="dxa" w:w="2409"/>
          </w:tcPr>
          <w:p>
            <w:pPr>
              <w:spacing w:after="20" w:before="20" w:line="240" w:lineRule="auto"/>
            </w:pPr>
            <w:r/>
            <w:r>
              <w:rPr>
                <w:rFonts w:ascii="Arial" w:hAnsi="Arial" w:cs="Arial"/>
                <w:b w:val="0"/>
                <w:i w:val="0"/>
                <w:sz w:val="17"/>
              </w:rPr>
              <w:t>— (manual/portal)</w:t>
            </w:r>
          </w:p>
        </w:tc>
      </w:tr>
      <w:tr>
        <w:tc>
          <w:tcPr>
            <w:tcW w:type="dxa" w:w="2409"/>
          </w:tcPr>
          <w:p>
            <w:pPr>
              <w:spacing w:after="20" w:before="20" w:line="240" w:lineRule="auto"/>
            </w:pPr>
            <w:r/>
            <w:r>
              <w:rPr>
                <w:rFonts w:ascii="Arial" w:hAnsi="Arial" w:cs="Arial"/>
                <w:b w:val="0"/>
                <w:i w:val="0"/>
                <w:sz w:val="17"/>
              </w:rPr>
              <w:t>Saudi National</w:t>
            </w:r>
          </w:p>
        </w:tc>
        <w:tc>
          <w:tcPr>
            <w:tcW w:type="dxa" w:w="2409"/>
          </w:tcPr>
          <w:p>
            <w:pPr>
              <w:spacing w:after="20" w:before="20" w:line="240" w:lineRule="auto"/>
            </w:pPr>
            <w:r/>
            <w:r>
              <w:rPr>
                <w:rFonts w:ascii="Arial" w:hAnsi="Arial" w:cs="Arial"/>
                <w:b w:val="0"/>
                <w:i w:val="0"/>
                <w:sz w:val="17"/>
              </w:rPr>
              <w:t>Saudi</w:t>
            </w:r>
          </w:p>
        </w:tc>
        <w:tc>
          <w:tcPr>
            <w:tcW w:type="dxa" w:w="2409"/>
          </w:tcPr>
          <w:p>
            <w:pPr>
              <w:spacing w:after="20" w:before="20" w:line="240" w:lineRule="auto"/>
            </w:pPr>
            <w:r/>
            <w:r>
              <w:rPr>
                <w:rFonts w:ascii="Arial" w:hAnsi="Arial" w:cs="Arial"/>
                <w:b w:val="0"/>
                <w:i w:val="0"/>
                <w:sz w:val="17"/>
              </w:rPr>
              <w:t>All Risks</w:t>
            </w:r>
          </w:p>
        </w:tc>
        <w:tc>
          <w:tcPr>
            <w:tcW w:type="dxa" w:w="2409"/>
          </w:tcPr>
          <w:p>
            <w:pPr>
              <w:spacing w:after="20" w:before="20" w:line="240" w:lineRule="auto"/>
            </w:pPr>
            <w:r/>
            <w:r>
              <w:rPr>
                <w:rFonts w:ascii="Arial" w:hAnsi="Arial" w:cs="Arial"/>
                <w:b w:val="0"/>
                <w:i w:val="0"/>
                <w:sz w:val="17"/>
              </w:rPr>
              <w:t>— (manual/portal)</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ICC(A/B/C) are the Institute Cargo Clauses (A), (B), and (C) coverage grades; FPA is Free of Particular Average; WA is With Average. Global providers integrate by API; national providers are handled through manual and portal flows.</w:t>
      </w:r>
    </w:p>
    <w:p>
      <w:pPr>
        <w:keepNext/>
        <w:spacing w:before="180" w:after="80"/>
        <w:outlineLvl w:val="2"/>
      </w:pPr>
      <w:r>
        <w:rPr>
          <w:rFonts w:ascii="Arial" w:hAnsi="Arial" w:cs="Arial"/>
          <w:b/>
          <w:i w:val="0"/>
          <w:color w:val="333333"/>
          <w:sz w:val="23"/>
        </w:rPr>
        <w:t>22.14.3 Database Schema</w:t>
      </w:r>
    </w:p>
    <w:p>
      <w:pPr>
        <w:spacing w:after="0" w:before="0" w:line="240" w:lineRule="auto"/>
        <w:ind w:left="57"/>
        <w:jc w:val="left"/>
        <w:shd w:val="clear" w:fill="F2F2F2"/>
      </w:pPr>
      <w:r>
        <w:rPr>
          <w:rFonts w:ascii="Consolas" w:hAnsi="Consolas" w:cs="Consolas"/>
          <w:b w:val="0"/>
          <w:i w:val="0"/>
          <w:sz w:val="15"/>
        </w:rPr>
        <w:t>-- Insurance providers</w:t>
      </w:r>
    </w:p>
    <w:p>
      <w:pPr>
        <w:spacing w:after="0" w:before="0" w:line="240" w:lineRule="auto"/>
        <w:ind w:left="57"/>
        <w:jc w:val="left"/>
        <w:shd w:val="clear" w:fill="F2F2F2"/>
      </w:pPr>
      <w:r>
        <w:rPr>
          <w:rFonts w:ascii="Consolas" w:hAnsi="Consolas" w:cs="Consolas"/>
          <w:b w:val="0"/>
          <w:i w:val="0"/>
          <w:sz w:val="15"/>
        </w:rPr>
        <w:t>CREATE TABLE insurance_providers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provider_name TEXT NOT NULL,</w:t>
      </w:r>
    </w:p>
    <w:p>
      <w:pPr>
        <w:spacing w:after="0" w:before="0" w:line="240" w:lineRule="auto"/>
        <w:ind w:left="57"/>
        <w:jc w:val="left"/>
        <w:shd w:val="clear" w:fill="F2F2F2"/>
      </w:pPr>
      <w:r>
        <w:rPr>
          <w:rFonts w:ascii="Consolas" w:hAnsi="Consolas" w:cs="Consolas"/>
          <w:b w:val="0"/>
          <w:i w:val="0"/>
          <w:sz w:val="15"/>
        </w:rPr>
        <w:t xml:space="preserve">    jurisdiction TEXT[],</w:t>
      </w:r>
    </w:p>
    <w:p>
      <w:pPr>
        <w:spacing w:after="0" w:before="0" w:line="240" w:lineRule="auto"/>
        <w:ind w:left="57"/>
        <w:jc w:val="left"/>
        <w:shd w:val="clear" w:fill="F2F2F2"/>
      </w:pPr>
      <w:r>
        <w:rPr>
          <w:rFonts w:ascii="Consolas" w:hAnsi="Consolas" w:cs="Consolas"/>
          <w:b w:val="0"/>
          <w:i w:val="0"/>
          <w:sz w:val="15"/>
        </w:rPr>
        <w:t xml:space="preserve">    coverage_types TEXT[],</w:t>
      </w:r>
    </w:p>
    <w:p>
      <w:pPr>
        <w:spacing w:after="0" w:before="0" w:line="240" w:lineRule="auto"/>
        <w:ind w:left="57"/>
        <w:jc w:val="left"/>
        <w:shd w:val="clear" w:fill="F2F2F2"/>
      </w:pPr>
      <w:r>
        <w:rPr>
          <w:rFonts w:ascii="Consolas" w:hAnsi="Consolas" w:cs="Consolas"/>
          <w:b w:val="0"/>
          <w:i w:val="0"/>
          <w:sz w:val="15"/>
        </w:rPr>
        <w:t xml:space="preserve">    api_endpoint TEXT,</w:t>
      </w:r>
    </w:p>
    <w:p>
      <w:pPr>
        <w:spacing w:after="0" w:before="0" w:line="240" w:lineRule="auto"/>
        <w:ind w:left="57"/>
        <w:jc w:val="left"/>
        <w:shd w:val="clear" w:fill="F2F2F2"/>
      </w:pPr>
      <w:r>
        <w:rPr>
          <w:rFonts w:ascii="Consolas" w:hAnsi="Consolas" w:cs="Consolas"/>
          <w:b w:val="0"/>
          <w:i w:val="0"/>
          <w:sz w:val="15"/>
        </w:rPr>
        <w:t xml:space="preserve">    credentials_encrypted JSONB,</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Insurance policies</w:t>
      </w:r>
    </w:p>
    <w:p>
      <w:pPr>
        <w:spacing w:after="0" w:before="0" w:line="240" w:lineRule="auto"/>
        <w:ind w:left="57"/>
        <w:jc w:val="left"/>
        <w:shd w:val="clear" w:fill="F2F2F2"/>
      </w:pPr>
      <w:r>
        <w:rPr>
          <w:rFonts w:ascii="Consolas" w:hAnsi="Consolas" w:cs="Consolas"/>
          <w:b w:val="0"/>
          <w:i w:val="0"/>
          <w:sz w:val="15"/>
        </w:rPr>
        <w:t>CREATE TABLE insurance_policies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provider_id UUID REFERENCES insurance_providers(id),</w:t>
      </w:r>
    </w:p>
    <w:p>
      <w:pPr>
        <w:spacing w:after="0" w:before="0" w:line="240" w:lineRule="auto"/>
        <w:ind w:left="57"/>
        <w:jc w:val="left"/>
        <w:shd w:val="clear" w:fill="F2F2F2"/>
      </w:pPr>
      <w:r>
        <w:rPr>
          <w:rFonts w:ascii="Consolas" w:hAnsi="Consolas" w:cs="Consolas"/>
          <w:b w:val="0"/>
          <w:i w:val="0"/>
          <w:sz w:val="15"/>
        </w:rPr>
        <w:t xml:space="preserve">    policy_number TEXT NOT NULL,</w:t>
      </w:r>
    </w:p>
    <w:p>
      <w:pPr>
        <w:spacing w:after="0" w:before="0" w:line="240" w:lineRule="auto"/>
        <w:ind w:left="57"/>
        <w:jc w:val="left"/>
        <w:shd w:val="clear" w:fill="F2F2F2"/>
      </w:pPr>
      <w:r>
        <w:rPr>
          <w:rFonts w:ascii="Consolas" w:hAnsi="Consolas" w:cs="Consolas"/>
          <w:b w:val="0"/>
          <w:i w:val="0"/>
          <w:sz w:val="15"/>
        </w:rPr>
        <w:t xml:space="preserve">    coverage_type TEXT NOT NULL,</w:t>
      </w:r>
    </w:p>
    <w:p>
      <w:pPr>
        <w:spacing w:after="0" w:before="0" w:line="240" w:lineRule="auto"/>
        <w:ind w:left="57"/>
        <w:jc w:val="left"/>
        <w:shd w:val="clear" w:fill="F2F2F2"/>
      </w:pPr>
      <w:r>
        <w:rPr>
          <w:rFonts w:ascii="Consolas" w:hAnsi="Consolas" w:cs="Consolas"/>
          <w:b w:val="0"/>
          <w:i w:val="0"/>
          <w:sz w:val="15"/>
        </w:rPr>
        <w:t xml:space="preserve">    coverage_amount DECIMAL(20,4) NOT NULL,</w:t>
      </w:r>
    </w:p>
    <w:p>
      <w:pPr>
        <w:spacing w:after="0" w:before="0" w:line="240" w:lineRule="auto"/>
        <w:ind w:left="57"/>
        <w:jc w:val="left"/>
        <w:shd w:val="clear" w:fill="F2F2F2"/>
      </w:pPr>
      <w:r>
        <w:rPr>
          <w:rFonts w:ascii="Consolas" w:hAnsi="Consolas" w:cs="Consolas"/>
          <w:b w:val="0"/>
          <w:i w:val="0"/>
          <w:sz w:val="15"/>
        </w:rPr>
        <w:t xml:space="preserve">    premium_amount DECIMAL(20,4) NOT NULL,</w:t>
      </w:r>
    </w:p>
    <w:p>
      <w:pPr>
        <w:spacing w:after="0" w:before="0" w:line="240" w:lineRule="auto"/>
        <w:ind w:left="57"/>
        <w:jc w:val="left"/>
        <w:shd w:val="clear" w:fill="F2F2F2"/>
      </w:pPr>
      <w:r>
        <w:rPr>
          <w:rFonts w:ascii="Consolas" w:hAnsi="Consolas" w:cs="Consolas"/>
          <w:b w:val="0"/>
          <w:i w:val="0"/>
          <w:sz w:val="15"/>
        </w:rPr>
        <w:t xml:space="preserve">    currency TEXT DEFAULT 'USD',</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policy_document_url TEXT,</w:t>
      </w:r>
    </w:p>
    <w:p>
      <w:pPr>
        <w:spacing w:after="0" w:before="0" w:line="240" w:lineRule="auto"/>
        <w:ind w:left="57"/>
        <w:jc w:val="left"/>
        <w:shd w:val="clear" w:fill="F2F2F2"/>
      </w:pPr>
      <w:r>
        <w:rPr>
          <w:rFonts w:ascii="Consolas" w:hAnsi="Consolas" w:cs="Consolas"/>
          <w:b w:val="0"/>
          <w:i w:val="0"/>
          <w:sz w:val="15"/>
        </w:rPr>
        <w:t xml:space="preserve">    status TEXT DEFAULT 'ACTIVE',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Insurance claims</w:t>
      </w:r>
    </w:p>
    <w:p>
      <w:pPr>
        <w:spacing w:after="0" w:before="0" w:line="240" w:lineRule="auto"/>
        <w:ind w:left="57"/>
        <w:jc w:val="left"/>
        <w:shd w:val="clear" w:fill="F2F2F2"/>
      </w:pPr>
      <w:r>
        <w:rPr>
          <w:rFonts w:ascii="Consolas" w:hAnsi="Consolas" w:cs="Consolas"/>
          <w:b w:val="0"/>
          <w:i w:val="0"/>
          <w:sz w:val="15"/>
        </w:rPr>
        <w:t>CREATE TABLE insurance_claims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policy_id UUID REFERENCES insurance_policies(id) ON DELETE SET NULL,</w:t>
      </w:r>
    </w:p>
    <w:p>
      <w:pPr>
        <w:spacing w:after="0" w:before="0" w:line="240" w:lineRule="auto"/>
        <w:ind w:left="57"/>
        <w:jc w:val="left"/>
        <w:shd w:val="clear" w:fill="F2F2F2"/>
      </w:pPr>
      <w:r>
        <w:rPr>
          <w:rFonts w:ascii="Consolas" w:hAnsi="Consolas" w:cs="Consolas"/>
          <w:b w:val="0"/>
          <w:i w:val="0"/>
          <w:sz w:val="15"/>
        </w:rPr>
        <w:t xml:space="preserve">    claim_number TEXT,</w:t>
      </w:r>
    </w:p>
    <w:p>
      <w:pPr>
        <w:spacing w:after="0" w:before="0" w:line="240" w:lineRule="auto"/>
        <w:ind w:left="57"/>
        <w:jc w:val="left"/>
        <w:shd w:val="clear" w:fill="F2F2F2"/>
      </w:pPr>
      <w:r>
        <w:rPr>
          <w:rFonts w:ascii="Consolas" w:hAnsi="Consolas" w:cs="Consolas"/>
          <w:b w:val="0"/>
          <w:i w:val="0"/>
          <w:sz w:val="15"/>
        </w:rPr>
        <w:t xml:space="preserve">    claim_type TEXT NOT NULL,</w:t>
      </w:r>
    </w:p>
    <w:p>
      <w:pPr>
        <w:spacing w:after="0" w:before="0" w:line="240" w:lineRule="auto"/>
        <w:ind w:left="57"/>
        <w:jc w:val="left"/>
        <w:shd w:val="clear" w:fill="F2F2F2"/>
      </w:pPr>
      <w:r>
        <w:rPr>
          <w:rFonts w:ascii="Consolas" w:hAnsi="Consolas" w:cs="Consolas"/>
          <w:b w:val="0"/>
          <w:i w:val="0"/>
          <w:sz w:val="15"/>
        </w:rPr>
        <w:t xml:space="preserve">    claim_amount DECIMAL(20,4),</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evidence_url TEXT,</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idx_insurance_policies_ustn ON insurance_policies(ustn);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idx_insurance_policies_valid_to ON insurance_policies(valid_to);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idx_insurance_claims_ustn ON insurance_claims(ustn);</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22.14.4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/v1/insurance/premium</w:t>
            </w:r>
          </w:p>
        </w:tc>
        <w:tc>
          <w:tcPr>
            <w:tcW w:type="dxa" w:w="3213"/>
          </w:tcPr>
          <w:p>
            <w:pPr>
              <w:spacing w:after="20" w:before="20" w:line="240" w:lineRule="auto"/>
            </w:pPr>
            <w:r/>
            <w:r>
              <w:rPr>
                <w:rFonts w:ascii="Arial" w:hAnsi="Arial" w:cs="Arial"/>
                <w:b w:val="0"/>
                <w:i w:val="0"/>
                <w:sz w:val="17"/>
              </w:rPr>
              <w:t>Calculate premium</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/v1/insurance/policy/issue</w:t>
            </w:r>
          </w:p>
        </w:tc>
        <w:tc>
          <w:tcPr>
            <w:tcW w:type="dxa" w:w="3213"/>
          </w:tcPr>
          <w:p>
            <w:pPr>
              <w:spacing w:after="20" w:before="20" w:line="240" w:lineRule="auto"/>
            </w:pPr>
            <w:r/>
            <w:r>
              <w:rPr>
                <w:rFonts w:ascii="Arial" w:hAnsi="Arial" w:cs="Arial"/>
                <w:b w:val="0"/>
                <w:i w:val="0"/>
                <w:sz w:val="17"/>
              </w:rPr>
              <w:t>Issue policy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/v1/insurance/policy/{ustn}</w:t>
            </w:r>
          </w:p>
        </w:tc>
        <w:tc>
          <w:tcPr>
            <w:tcW w:type="dxa" w:w="3213"/>
          </w:tcPr>
          <w:p>
            <w:pPr>
              <w:spacing w:after="20" w:before="20" w:line="240" w:lineRule="auto"/>
            </w:pPr>
            <w:r/>
            <w:r>
              <w:rPr>
                <w:rFonts w:ascii="Arial" w:hAnsi="Arial" w:cs="Arial"/>
                <w:b w:val="0"/>
                <w:i w:val="0"/>
                <w:sz w:val="17"/>
              </w:rPr>
              <w:t>Get policy details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/v1/insurance/claim/submit</w:t>
            </w:r>
          </w:p>
        </w:tc>
        <w:tc>
          <w:tcPr>
            <w:tcW w:type="dxa" w:w="3213"/>
          </w:tcPr>
          <w:p>
            <w:pPr>
              <w:spacing w:after="20" w:before="20" w:line="240" w:lineRule="auto"/>
            </w:pPr>
            <w:r/>
            <w:r>
              <w:rPr>
                <w:rFonts w:ascii="Arial" w:hAnsi="Arial" w:cs="Arial"/>
                <w:b w:val="0"/>
                <w:i w:val="0"/>
                <w:sz w:val="17"/>
              </w:rPr>
              <w:t>Submit claim</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/v1/insurance/claim/{id}</w:t>
            </w:r>
          </w:p>
        </w:tc>
        <w:tc>
          <w:tcPr>
            <w:tcW w:type="dxa" w:w="3213"/>
          </w:tcPr>
          <w:p>
            <w:pPr>
              <w:spacing w:after="20" w:before="20" w:line="240" w:lineRule="auto"/>
            </w:pPr>
            <w:r/>
            <w:r>
              <w:rPr>
                <w:rFonts w:ascii="Arial" w:hAnsi="Arial" w:cs="Arial"/>
                <w:b w:val="0"/>
                <w:i w:val="0"/>
                <w:sz w:val="17"/>
              </w:rPr>
              <w:t>Get claim details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22.14.5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insurance requirements</w:t>
            </w:r>
          </w:p>
        </w:tc>
        <w:tc>
          <w:tcPr>
            <w:tcW w:type="dxa" w:w="4819"/>
          </w:tcPr>
          <w:p>
            <w:pPr>
              <w:spacing w:after="20" w:before="20" w:line="240" w:lineRule="auto"/>
            </w:pPr>
            <w:r/>
            <w:r>
              <w:rPr>
                <w:rFonts w:ascii="Arial" w:hAnsi="Arial" w:cs="Arial"/>
                <w:b w:val="0"/>
                <w:i w:val="0"/>
                <w:sz w:val="17"/>
              </w:rPr>
              <w:t>Provider integration</w:t>
            </w:r>
          </w:p>
        </w:tc>
      </w:tr>
      <w:tr>
        <w:tc>
          <w:tcPr>
            <w:tcW w:type="dxa" w:w="4819"/>
          </w:tcPr>
          <w:p>
            <w:pPr>
              <w:spacing w:after="20" w:before="20" w:line="240" w:lineRule="auto"/>
            </w:pPr>
            <w:r/>
            <w:r>
              <w:rPr>
                <w:rFonts w:ascii="Arial" w:hAnsi="Arial" w:cs="Arial"/>
                <w:b w:val="0"/>
                <w:i w:val="0"/>
                <w:sz w:val="17"/>
              </w:rPr>
              <w:t>Section 8 — invoice</w:t>
            </w:r>
          </w:p>
        </w:tc>
        <w:tc>
          <w:tcPr>
            <w:tcW w:type="dxa" w:w="4819"/>
          </w:tcPr>
          <w:p>
            <w:pPr>
              <w:spacing w:after="20" w:before="20" w:line="240" w:lineRule="auto"/>
            </w:pPr>
            <w:r/>
            <w:r>
              <w:rPr>
                <w:rFonts w:ascii="Arial" w:hAnsi="Arial" w:cs="Arial"/>
                <w:b w:val="0"/>
                <w:i w:val="0"/>
                <w:sz w:val="17"/>
              </w:rPr>
              <w:t>Insurance premium in invoice</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Insurance card</w:t>
            </w:r>
          </w:p>
        </w:tc>
      </w:tr>
      <w:tr>
        <w:tc>
          <w:tcPr>
            <w:tcW w:type="dxa" w:w="4819"/>
          </w:tcPr>
          <w:p>
            <w:pPr>
              <w:spacing w:after="20" w:before="20" w:line="240" w:lineRule="auto"/>
            </w:pPr>
            <w:r/>
            <w:r>
              <w:rPr>
                <w:rFonts w:ascii="Arial" w:hAnsi="Arial" w:cs="Arial"/>
                <w:b w:val="0"/>
                <w:i w:val="0"/>
                <w:sz w:val="17"/>
              </w:rPr>
              <w:t>Section 14 — disputes</w:t>
            </w:r>
          </w:p>
        </w:tc>
        <w:tc>
          <w:tcPr>
            <w:tcW w:type="dxa" w:w="4819"/>
          </w:tcPr>
          <w:p>
            <w:pPr>
              <w:spacing w:after="20" w:before="20" w:line="240" w:lineRule="auto"/>
            </w:pPr>
            <w:r/>
            <w:r>
              <w:rPr>
                <w:rFonts w:ascii="Arial" w:hAnsi="Arial" w:cs="Arial"/>
                <w:b w:val="0"/>
                <w:i w:val="0"/>
                <w:sz w:val="17"/>
              </w:rPr>
              <w:t>Claim evidence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22.14.6 Implementation Checklist</w:t>
      </w:r>
    </w:p>
    <w:p>
      <w:pPr>
        <w:spacing w:after="80" w:line="293" w:lineRule="auto"/>
        <w:ind w:left="283"/>
        <w:jc w:val="left"/>
      </w:pPr>
      <w:r>
        <w:rPr>
          <w:rFonts w:ascii="Times New Roman" w:hAnsi="Times New Roman" w:cs="Times New Roman"/>
          <w:b w:val="0"/>
          <w:i w:val="0"/>
          <w:sz w:val="22"/>
        </w:rPr>
        <w:t>- Create the `insurance_providers` table.</w:t>
      </w:r>
    </w:p>
    <w:p>
      <w:pPr>
        <w:spacing w:after="80" w:line="293" w:lineRule="auto"/>
        <w:ind w:left="283"/>
        <w:jc w:val="left"/>
      </w:pPr>
      <w:r>
        <w:rPr>
          <w:rFonts w:ascii="Times New Roman" w:hAnsi="Times New Roman" w:cs="Times New Roman"/>
          <w:b w:val="0"/>
          <w:i w:val="0"/>
          <w:sz w:val="22"/>
        </w:rPr>
        <w:t>- Create the `insurance_policies` table.</w:t>
      </w:r>
    </w:p>
    <w:p>
      <w:pPr>
        <w:spacing w:after="80" w:line="293" w:lineRule="auto"/>
        <w:ind w:left="283"/>
        <w:jc w:val="left"/>
      </w:pPr>
      <w:r>
        <w:rPr>
          <w:rFonts w:ascii="Times New Roman" w:hAnsi="Times New Roman" w:cs="Times New Roman"/>
          <w:b w:val="0"/>
          <w:i w:val="0"/>
          <w:sz w:val="22"/>
        </w:rPr>
        <w:t>- Create the `insurance_claims` table.</w:t>
      </w:r>
    </w:p>
    <w:p>
      <w:pPr>
        <w:spacing w:after="80" w:line="293" w:lineRule="auto"/>
        <w:ind w:left="283"/>
        <w:jc w:val="left"/>
      </w:pPr>
      <w:r>
        <w:rPr>
          <w:rFonts w:ascii="Times New Roman" w:hAnsi="Times New Roman" w:cs="Times New Roman"/>
          <w:b w:val="0"/>
          <w:i w:val="0"/>
          <w:sz w:val="22"/>
        </w:rPr>
        <w:t>- Integrate with insurers (Allianz, Zurich).</w:t>
      </w:r>
    </w:p>
    <w:p>
      <w:pPr>
        <w:spacing w:after="80" w:line="293" w:lineRule="auto"/>
        <w:ind w:left="283"/>
        <w:jc w:val="left"/>
      </w:pPr>
      <w:r>
        <w:rPr>
          <w:rFonts w:ascii="Times New Roman" w:hAnsi="Times New Roman" w:cs="Times New Roman"/>
          <w:b w:val="0"/>
          <w:i w:val="0"/>
          <w:sz w:val="22"/>
        </w:rPr>
        <w:t>- Implement premium calculation.</w:t>
      </w:r>
    </w:p>
    <w:p>
      <w:pPr>
        <w:spacing w:after="80" w:line="293" w:lineRule="auto"/>
        <w:ind w:left="283"/>
        <w:jc w:val="left"/>
      </w:pPr>
      <w:r>
        <w:rPr>
          <w:rFonts w:ascii="Times New Roman" w:hAnsi="Times New Roman" w:cs="Times New Roman"/>
          <w:b w:val="0"/>
          <w:i w:val="0"/>
          <w:sz w:val="22"/>
        </w:rPr>
        <w:t>- Implement policy issuance.</w:t>
      </w:r>
    </w:p>
    <w:p>
      <w:pPr>
        <w:spacing w:after="80" w:line="293" w:lineRule="auto"/>
        <w:ind w:left="283"/>
        <w:jc w:val="left"/>
      </w:pPr>
      <w:r>
        <w:rPr>
          <w:rFonts w:ascii="Times New Roman" w:hAnsi="Times New Roman" w:cs="Times New Roman"/>
          <w:b w:val="0"/>
          <w:i w:val="0"/>
          <w:sz w:val="22"/>
        </w:rPr>
        <w:t>- Implement claim handling.</w:t>
      </w:r>
    </w:p>
    <w:p>
      <w:pPr>
        <w:spacing w:after="80" w:line="293" w:lineRule="auto"/>
        <w:ind w:left="283"/>
        <w:jc w:val="left"/>
      </w:pPr>
      <w:r>
        <w:rPr>
          <w:rFonts w:ascii="Times New Roman" w:hAnsi="Times New Roman" w:cs="Times New Roman"/>
          <w:b w:val="0"/>
          <w:i w:val="0"/>
          <w:sz w:val="22"/>
        </w:rPr>
        <w:t>- Add Smart Inbox alerts for policy expiry.</w:t>
      </w:r>
    </w:p>
    <w:p>
      <w:pPr>
        <w:keepNext/>
        <w:spacing w:before="240" w:after="100"/>
        <w:outlineLvl w:val="1"/>
      </w:pPr>
      <w:r>
        <w:rPr>
          <w:rFonts w:ascii="Arial" w:hAnsi="Arial" w:cs="Arial"/>
          <w:b/>
          <w:i w:val="0"/>
          <w:color w:val="2E528F"/>
          <w:sz w:val="26"/>
        </w:rPr>
        <w:t>22.15 Add-On 20: Trade Finance Documentation</w:t>
      </w:r>
    </w:p>
    <w:p>
      <w:pPr>
        <w:keepNext/>
        <w:spacing w:before="180" w:after="80"/>
        <w:outlineLvl w:val="2"/>
      </w:pPr>
      <w:r>
        <w:rPr>
          <w:rFonts w:ascii="Arial" w:hAnsi="Arial" w:cs="Arial"/>
          <w:b/>
          <w:i w:val="0"/>
          <w:color w:val="333333"/>
          <w:sz w:val="23"/>
        </w:rPr>
        <w:t>22.15.1 Purpose &amp; Design Philosophy</w:t>
      </w:r>
    </w:p>
    <w:p>
      <w:pPr>
        <w:spacing w:after="80" w:line="293" w:lineRule="auto"/>
        <w:jc w:val="left"/>
      </w:pPr>
      <w:r>
        <w:rPr>
          <w:rFonts w:ascii="Times New Roman" w:hAnsi="Times New Roman" w:cs="Times New Roman"/>
          <w:b w:val="0"/>
          <w:i w:val="0"/>
          <w:sz w:val="22"/>
        </w:rPr>
        <w:t>Manage LC (Letter of Credit) applications, confirmations, bills of exchange, and assignment of proceeds.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Document management — LC, confirmation, bills of exchange.</w:t>
      </w:r>
    </w:p>
    <w:p>
      <w:pPr>
        <w:spacing w:after="80" w:line="293" w:lineRule="auto"/>
        <w:ind w:left="283"/>
        <w:jc w:val="left"/>
      </w:pPr>
      <w:r>
        <w:rPr>
          <w:rFonts w:ascii="Times New Roman" w:hAnsi="Times New Roman" w:cs="Times New Roman"/>
          <w:b w:val="0"/>
          <w:i w:val="0"/>
          <w:sz w:val="22"/>
        </w:rPr>
        <w:t>- Workflow tracking — status, approvals, signatures.</w:t>
      </w:r>
    </w:p>
    <w:p>
      <w:pPr>
        <w:spacing w:after="80" w:line="293" w:lineRule="auto"/>
        <w:ind w:left="283"/>
        <w:jc w:val="left"/>
      </w:pPr>
      <w:r>
        <w:rPr>
          <w:rFonts w:ascii="Times New Roman" w:hAnsi="Times New Roman" w:cs="Times New Roman"/>
          <w:b w:val="0"/>
          <w:i w:val="0"/>
          <w:sz w:val="22"/>
        </w:rPr>
        <w:t>- Integration — financing module.</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A2 (HF local → Ollama): document extraction.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22.15.2 Finance Documentation Types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Document</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Trigger</w:t>
            </w:r>
          </w:p>
        </w:tc>
      </w:tr>
      <w:tr>
        <w:tc>
          <w:tcPr>
            <w:tcW w:type="dxa" w:w="3213"/>
          </w:tcPr>
          <w:p>
            <w:pPr>
              <w:spacing w:after="20" w:before="20" w:line="240" w:lineRule="auto"/>
            </w:pPr>
            <w:r/>
            <w:r>
              <w:rPr>
                <w:rFonts w:ascii="Arial" w:hAnsi="Arial" w:cs="Arial"/>
                <w:b w:val="0"/>
                <w:i w:val="0"/>
                <w:sz w:val="17"/>
              </w:rPr>
              <w:t>LC Application</w:t>
            </w:r>
          </w:p>
        </w:tc>
        <w:tc>
          <w:tcPr>
            <w:tcW w:type="dxa" w:w="3213"/>
          </w:tcPr>
          <w:p>
            <w:pPr>
              <w:spacing w:after="20" w:before="20" w:line="240" w:lineRule="auto"/>
            </w:pPr>
            <w:r/>
            <w:r>
              <w:rPr>
                <w:rFonts w:ascii="Arial" w:hAnsi="Arial" w:cs="Arial"/>
                <w:b w:val="0"/>
                <w:i w:val="0"/>
                <w:sz w:val="17"/>
              </w:rPr>
              <w:t>Letter of Credit request</w:t>
            </w:r>
          </w:p>
        </w:tc>
        <w:tc>
          <w:tcPr>
            <w:tcW w:type="dxa" w:w="3213"/>
          </w:tcPr>
          <w:p>
            <w:pPr>
              <w:spacing w:after="20" w:before="20" w:line="240" w:lineRule="auto"/>
            </w:pPr>
            <w:r/>
            <w:r>
              <w:rPr>
                <w:rFonts w:ascii="Arial" w:hAnsi="Arial" w:cs="Arial"/>
                <w:b w:val="0"/>
                <w:i w:val="0"/>
                <w:sz w:val="17"/>
              </w:rPr>
              <w:t>Trade request</w:t>
            </w:r>
          </w:p>
        </w:tc>
      </w:tr>
      <w:tr>
        <w:tc>
          <w:tcPr>
            <w:tcW w:type="dxa" w:w="3213"/>
          </w:tcPr>
          <w:p>
            <w:pPr>
              <w:spacing w:after="20" w:before="20" w:line="240" w:lineRule="auto"/>
            </w:pPr>
            <w:r/>
            <w:r>
              <w:rPr>
                <w:rFonts w:ascii="Arial" w:hAnsi="Arial" w:cs="Arial"/>
                <w:b w:val="0"/>
                <w:i w:val="0"/>
                <w:sz w:val="17"/>
              </w:rPr>
              <w:t>LC Confirmation</w:t>
            </w:r>
          </w:p>
        </w:tc>
        <w:tc>
          <w:tcPr>
            <w:tcW w:type="dxa" w:w="3213"/>
          </w:tcPr>
          <w:p>
            <w:pPr>
              <w:spacing w:after="20" w:before="20" w:line="240" w:lineRule="auto"/>
            </w:pPr>
            <w:r/>
            <w:r>
              <w:rPr>
                <w:rFonts w:ascii="Arial" w:hAnsi="Arial" w:cs="Arial"/>
                <w:b w:val="0"/>
                <w:i w:val="0"/>
                <w:sz w:val="17"/>
              </w:rPr>
              <w:t>LC confirmation from bank</w:t>
            </w:r>
          </w:p>
        </w:tc>
        <w:tc>
          <w:tcPr>
            <w:tcW w:type="dxa" w:w="3213"/>
          </w:tcPr>
          <w:p>
            <w:pPr>
              <w:spacing w:after="20" w:before="20" w:line="240" w:lineRule="auto"/>
            </w:pPr>
            <w:r/>
            <w:r>
              <w:rPr>
                <w:rFonts w:ascii="Arial" w:hAnsi="Arial" w:cs="Arial"/>
                <w:b w:val="0"/>
                <w:i w:val="0"/>
                <w:sz w:val="17"/>
              </w:rPr>
              <w:t>Financing agreement</w:t>
            </w:r>
          </w:p>
        </w:tc>
      </w:tr>
      <w:tr>
        <w:tc>
          <w:tcPr>
            <w:tcW w:type="dxa" w:w="3213"/>
          </w:tcPr>
          <w:p>
            <w:pPr>
              <w:spacing w:after="20" w:before="20" w:line="240" w:lineRule="auto"/>
            </w:pPr>
            <w:r/>
            <w:r>
              <w:rPr>
                <w:rFonts w:ascii="Arial" w:hAnsi="Arial" w:cs="Arial"/>
                <w:b w:val="0"/>
                <w:i w:val="0"/>
                <w:sz w:val="17"/>
              </w:rPr>
              <w:t>Bill of Exchange</w:t>
            </w:r>
          </w:p>
        </w:tc>
        <w:tc>
          <w:tcPr>
            <w:tcW w:type="dxa" w:w="3213"/>
          </w:tcPr>
          <w:p>
            <w:pPr>
              <w:spacing w:after="20" w:before="20" w:line="240" w:lineRule="auto"/>
            </w:pPr>
            <w:r/>
            <w:r>
              <w:rPr>
                <w:rFonts w:ascii="Arial" w:hAnsi="Arial" w:cs="Arial"/>
                <w:b w:val="0"/>
                <w:i w:val="0"/>
                <w:sz w:val="17"/>
              </w:rPr>
              <w:t>Payment instruction</w:t>
            </w:r>
          </w:p>
        </w:tc>
        <w:tc>
          <w:tcPr>
            <w:tcW w:type="dxa" w:w="3213"/>
          </w:tcPr>
          <w:p>
            <w:pPr>
              <w:spacing w:after="20" w:before="20" w:line="240" w:lineRule="auto"/>
            </w:pPr>
            <w:r/>
            <w:r>
              <w:rPr>
                <w:rFonts w:ascii="Arial" w:hAnsi="Arial" w:cs="Arial"/>
                <w:b w:val="0"/>
                <w:i w:val="0"/>
                <w:sz w:val="17"/>
              </w:rPr>
              <w:t>Settlement</w:t>
            </w:r>
          </w:p>
        </w:tc>
      </w:tr>
      <w:tr>
        <w:tc>
          <w:tcPr>
            <w:tcW w:type="dxa" w:w="3213"/>
          </w:tcPr>
          <w:p>
            <w:pPr>
              <w:spacing w:after="20" w:before="20" w:line="240" w:lineRule="auto"/>
            </w:pPr>
            <w:r/>
            <w:r>
              <w:rPr>
                <w:rFonts w:ascii="Arial" w:hAnsi="Arial" w:cs="Arial"/>
                <w:b w:val="0"/>
                <w:i w:val="0"/>
                <w:sz w:val="17"/>
              </w:rPr>
              <w:t>Assignment of Proceeds</w:t>
            </w:r>
          </w:p>
        </w:tc>
        <w:tc>
          <w:tcPr>
            <w:tcW w:type="dxa" w:w="3213"/>
          </w:tcPr>
          <w:p>
            <w:pPr>
              <w:spacing w:after="20" w:before="20" w:line="240" w:lineRule="auto"/>
            </w:pPr>
            <w:r/>
            <w:r>
              <w:rPr>
                <w:rFonts w:ascii="Arial" w:hAnsi="Arial" w:cs="Arial"/>
                <w:b w:val="0"/>
                <w:i w:val="0"/>
                <w:sz w:val="17"/>
              </w:rPr>
              <w:t>Payment assignment</w:t>
            </w:r>
          </w:p>
        </w:tc>
        <w:tc>
          <w:tcPr>
            <w:tcW w:type="dxa" w:w="3213"/>
          </w:tcPr>
          <w:p>
            <w:pPr>
              <w:spacing w:after="20" w:before="20" w:line="240" w:lineRule="auto"/>
            </w:pPr>
            <w:r/>
            <w:r>
              <w:rPr>
                <w:rFonts w:ascii="Arial" w:hAnsi="Arial" w:cs="Arial"/>
                <w:b w:val="0"/>
                <w:i w:val="0"/>
                <w:sz w:val="17"/>
              </w:rPr>
              <w:t>Financing</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22.15.3 Database Schema</w:t>
      </w:r>
    </w:p>
    <w:p>
      <w:pPr>
        <w:spacing w:after="0" w:before="0" w:line="240" w:lineRule="auto"/>
        <w:ind w:left="57"/>
        <w:jc w:val="left"/>
        <w:shd w:val="clear" w:fill="F2F2F2"/>
      </w:pPr>
      <w:r>
        <w:rPr>
          <w:rFonts w:ascii="Consolas" w:hAnsi="Consolas" w:cs="Consolas"/>
          <w:b w:val="0"/>
          <w:i w:val="0"/>
          <w:sz w:val="15"/>
        </w:rPr>
        <w:t>-- Trade finance documents</w:t>
      </w:r>
    </w:p>
    <w:p>
      <w:pPr>
        <w:spacing w:after="0" w:before="0" w:line="240" w:lineRule="auto"/>
        <w:ind w:left="57"/>
        <w:jc w:val="left"/>
        <w:shd w:val="clear" w:fill="F2F2F2"/>
      </w:pPr>
      <w:r>
        <w:rPr>
          <w:rFonts w:ascii="Consolas" w:hAnsi="Consolas" w:cs="Consolas"/>
          <w:b w:val="0"/>
          <w:i w:val="0"/>
          <w:sz w:val="15"/>
        </w:rPr>
        <w:t>CREATE TABLE trade_finance_documents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financing_agreement_id UUID REFERENCES financing_agreements(id) ON DELETE SET NULL,</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document_reference TEXT,</w:t>
      </w:r>
    </w:p>
    <w:p>
      <w:pPr>
        <w:spacing w:after="0" w:before="0" w:line="240" w:lineRule="auto"/>
        <w:ind w:left="57"/>
        <w:jc w:val="left"/>
        <w:shd w:val="clear" w:fill="F2F2F2"/>
      </w:pPr>
      <w:r>
        <w:rPr>
          <w:rFonts w:ascii="Consolas" w:hAnsi="Consolas" w:cs="Consolas"/>
          <w:b w:val="0"/>
          <w:i w:val="0"/>
          <w:sz w:val="15"/>
        </w:rPr>
        <w:t xml:space="preserve">    issuing_bank_gtid TEXT REFERENCES tenants(gtid),</w:t>
      </w:r>
    </w:p>
    <w:p>
      <w:pPr>
        <w:spacing w:after="0" w:before="0" w:line="240" w:lineRule="auto"/>
        <w:ind w:left="57"/>
        <w:jc w:val="left"/>
        <w:shd w:val="clear" w:fill="F2F2F2"/>
      </w:pPr>
      <w:r>
        <w:rPr>
          <w:rFonts w:ascii="Consolas" w:hAnsi="Consolas" w:cs="Consolas"/>
          <w:b w:val="0"/>
          <w:i w:val="0"/>
          <w:sz w:val="15"/>
        </w:rPr>
        <w:t xml:space="preserve">    beneficiary_gtid TEXT REFERENCES tenants(gtid),</w:t>
      </w:r>
    </w:p>
    <w:p>
      <w:pPr>
        <w:spacing w:after="0" w:before="0" w:line="240" w:lineRule="auto"/>
        <w:ind w:left="57"/>
        <w:jc w:val="left"/>
        <w:shd w:val="clear" w:fill="F2F2F2"/>
      </w:pPr>
      <w:r>
        <w:rPr>
          <w:rFonts w:ascii="Consolas" w:hAnsi="Consolas" w:cs="Consolas"/>
          <w:b w:val="0"/>
          <w:i w:val="0"/>
          <w:sz w:val="15"/>
        </w:rPr>
        <w:t xml:space="preserve">    amount DECIMAL(20,4),</w:t>
      </w:r>
    </w:p>
    <w:p>
      <w:pPr>
        <w:spacing w:after="0" w:before="0" w:line="240" w:lineRule="auto"/>
        <w:ind w:left="57"/>
        <w:jc w:val="left"/>
        <w:shd w:val="clear" w:fill="F2F2F2"/>
      </w:pPr>
      <w:r>
        <w:rPr>
          <w:rFonts w:ascii="Consolas" w:hAnsi="Consolas" w:cs="Consolas"/>
          <w:b w:val="0"/>
          <w:i w:val="0"/>
          <w:sz w:val="15"/>
        </w:rPr>
        <w:t xml:space="preserve">    currency TEXT,</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document_url TEXT,</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idx_trade_finance_documents_ustn ON trade_finance_documents(ustn);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idx_trade_finance_documents_financing ON trade_finance_documents(financing_agreement_id);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idx_trade_finance_documents_status ON trade_finance_documents(status);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22.15.4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/v1/finance/document/create</w:t>
            </w:r>
          </w:p>
        </w:tc>
        <w:tc>
          <w:tcPr>
            <w:tcW w:type="dxa" w:w="3213"/>
          </w:tcPr>
          <w:p>
            <w:pPr>
              <w:spacing w:after="20" w:before="20" w:line="240" w:lineRule="auto"/>
            </w:pPr>
            <w:r/>
            <w:r>
              <w:rPr>
                <w:rFonts w:ascii="Arial" w:hAnsi="Arial" w:cs="Arial"/>
                <w:b w:val="0"/>
                <w:i w:val="0"/>
                <w:sz w:val="17"/>
              </w:rPr>
              <w:t>Create finance document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/v1/finance/document/{id}</w:t>
            </w:r>
          </w:p>
        </w:tc>
        <w:tc>
          <w:tcPr>
            <w:tcW w:type="dxa" w:w="3213"/>
          </w:tcPr>
          <w:p>
            <w:pPr>
              <w:spacing w:after="20" w:before="20" w:line="240" w:lineRule="auto"/>
            </w:pPr>
            <w:r/>
            <w:r>
              <w:rPr>
                <w:rFonts w:ascii="Arial" w:hAnsi="Arial" w:cs="Arial"/>
                <w:b w:val="0"/>
                <w:i w:val="0"/>
                <w:sz w:val="17"/>
              </w:rPr>
              <w:t>Get document details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/v1/finance/document/sign</w:t>
            </w:r>
          </w:p>
        </w:tc>
        <w:tc>
          <w:tcPr>
            <w:tcW w:type="dxa" w:w="3213"/>
          </w:tcPr>
          <w:p>
            <w:pPr>
              <w:spacing w:after="20" w:before="20" w:line="240" w:lineRule="auto"/>
            </w:pPr>
            <w:r/>
            <w:r>
              <w:rPr>
                <w:rFonts w:ascii="Arial" w:hAnsi="Arial" w:cs="Arial"/>
                <w:b w:val="0"/>
                <w:i w:val="0"/>
                <w:sz w:val="17"/>
              </w:rPr>
              <w:t>Sign document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/v1/finance/documents/{ustn}</w:t>
            </w:r>
          </w:p>
        </w:tc>
        <w:tc>
          <w:tcPr>
            <w:tcW w:type="dxa" w:w="3213"/>
          </w:tcPr>
          <w:p>
            <w:pPr>
              <w:spacing w:after="20" w:before="20" w:line="240" w:lineRule="auto"/>
            </w:pPr>
            <w:r/>
            <w:r>
              <w:rPr>
                <w:rFonts w:ascii="Arial" w:hAnsi="Arial" w:cs="Arial"/>
                <w:b w:val="0"/>
                <w:i w:val="0"/>
                <w:sz w:val="17"/>
              </w:rPr>
              <w:t>Get all documents for USTN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22.15.5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commercial settlement terms</w:t>
            </w:r>
          </w:p>
        </w:tc>
        <w:tc>
          <w:tcPr>
            <w:tcW w:type="dxa" w:w="4819"/>
          </w:tcPr>
          <w:p>
            <w:pPr>
              <w:spacing w:after="20" w:before="20" w:line="240" w:lineRule="auto"/>
            </w:pPr>
            <w:r/>
            <w:r>
              <w:rPr>
                <w:rFonts w:ascii="Arial" w:hAnsi="Arial" w:cs="Arial"/>
                <w:b w:val="0"/>
                <w:i w:val="0"/>
                <w:sz w:val="17"/>
              </w:rPr>
              <w:t>LC selection</w:t>
            </w:r>
          </w:p>
        </w:tc>
      </w:tr>
      <w:tr>
        <w:tc>
          <w:tcPr>
            <w:tcW w:type="dxa" w:w="4819"/>
          </w:tcPr>
          <w:p>
            <w:pPr>
              <w:spacing w:after="20" w:before="20" w:line="240" w:lineRule="auto"/>
            </w:pPr>
            <w:r/>
            <w:r>
              <w:rPr>
                <w:rFonts w:ascii="Arial" w:hAnsi="Arial" w:cs="Arial"/>
                <w:b w:val="0"/>
                <w:i w:val="0"/>
                <w:sz w:val="17"/>
              </w:rPr>
              <w:t>Section 10 — financing execution</w:t>
            </w:r>
          </w:p>
        </w:tc>
        <w:tc>
          <w:tcPr>
            <w:tcW w:type="dxa" w:w="4819"/>
          </w:tcPr>
          <w:p>
            <w:pPr>
              <w:spacing w:after="20" w:before="20" w:line="240" w:lineRule="auto"/>
            </w:pPr>
            <w:r/>
            <w:r>
              <w:rPr>
                <w:rFonts w:ascii="Arial" w:hAnsi="Arial" w:cs="Arial"/>
                <w:b w:val="0"/>
                <w:i w:val="0"/>
                <w:sz w:val="17"/>
              </w:rPr>
              <w:t>LC confirmation</w:t>
            </w:r>
          </w:p>
        </w:tc>
      </w:tr>
      <w:tr>
        <w:tc>
          <w:tcPr>
            <w:tcW w:type="dxa" w:w="4819"/>
          </w:tcPr>
          <w:p>
            <w:pPr>
              <w:spacing w:after="20" w:before="20" w:line="240" w:lineRule="auto"/>
            </w:pPr>
            <w:r/>
            <w:r>
              <w:rPr>
                <w:rFonts w:ascii="Arial" w:hAnsi="Arial" w:cs="Arial"/>
                <w:b w:val="0"/>
                <w:i w:val="0"/>
                <w:sz w:val="17"/>
              </w:rPr>
              <w:t>Section 13 — payment orchestration</w:t>
            </w:r>
          </w:p>
        </w:tc>
        <w:tc>
          <w:tcPr>
            <w:tcW w:type="dxa" w:w="4819"/>
          </w:tcPr>
          <w:p>
            <w:pPr>
              <w:spacing w:after="20" w:before="20" w:line="240" w:lineRule="auto"/>
            </w:pPr>
            <w:r/>
            <w:r>
              <w:rPr>
                <w:rFonts w:ascii="Arial" w:hAnsi="Arial" w:cs="Arial"/>
                <w:b w:val="0"/>
                <w:i w:val="0"/>
                <w:sz w:val="17"/>
              </w:rPr>
              <w:t>Bill of exchange</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Finance documents card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22.15.6 Implementation Checklist</w:t>
      </w:r>
    </w:p>
    <w:p>
      <w:pPr>
        <w:spacing w:after="80" w:line="293" w:lineRule="auto"/>
        <w:ind w:left="283"/>
        <w:jc w:val="left"/>
      </w:pPr>
      <w:r>
        <w:rPr>
          <w:rFonts w:ascii="Times New Roman" w:hAnsi="Times New Roman" w:cs="Times New Roman"/>
          <w:b w:val="0"/>
          <w:i w:val="0"/>
          <w:sz w:val="22"/>
        </w:rPr>
        <w:t>- Create the `trade_finance_documents` table.</w:t>
      </w:r>
    </w:p>
    <w:p>
      <w:pPr>
        <w:spacing w:after="80" w:line="293" w:lineRule="auto"/>
        <w:ind w:left="283"/>
        <w:jc w:val="left"/>
      </w:pPr>
      <w:r>
        <w:rPr>
          <w:rFonts w:ascii="Times New Roman" w:hAnsi="Times New Roman" w:cs="Times New Roman"/>
          <w:b w:val="0"/>
          <w:i w:val="0"/>
          <w:sz w:val="22"/>
        </w:rPr>
        <w:t>- Implement LC application generation.</w:t>
      </w:r>
    </w:p>
    <w:p>
      <w:pPr>
        <w:spacing w:after="80" w:line="293" w:lineRule="auto"/>
        <w:ind w:left="283"/>
        <w:jc w:val="left"/>
      </w:pPr>
      <w:r>
        <w:rPr>
          <w:rFonts w:ascii="Times New Roman" w:hAnsi="Times New Roman" w:cs="Times New Roman"/>
          <w:b w:val="0"/>
          <w:i w:val="0"/>
          <w:sz w:val="22"/>
        </w:rPr>
        <w:t>- Implement LC confirmation tracking.</w:t>
      </w:r>
    </w:p>
    <w:p>
      <w:pPr>
        <w:spacing w:after="80" w:line="293" w:lineRule="auto"/>
        <w:ind w:left="283"/>
        <w:jc w:val="left"/>
      </w:pPr>
      <w:r>
        <w:rPr>
          <w:rFonts w:ascii="Times New Roman" w:hAnsi="Times New Roman" w:cs="Times New Roman"/>
          <w:b w:val="0"/>
          <w:i w:val="0"/>
          <w:sz w:val="22"/>
        </w:rPr>
        <w:t>- Implement bill of exchange management.</w:t>
      </w:r>
    </w:p>
    <w:p>
      <w:pPr>
        <w:spacing w:after="80" w:line="293" w:lineRule="auto"/>
        <w:ind w:left="283"/>
        <w:jc w:val="left"/>
      </w:pPr>
      <w:r>
        <w:rPr>
          <w:rFonts w:ascii="Times New Roman" w:hAnsi="Times New Roman" w:cs="Times New Roman"/>
          <w:b w:val="0"/>
          <w:i w:val="0"/>
          <w:sz w:val="22"/>
        </w:rPr>
        <w:t>- Add the document signing workflow.</w:t>
      </w:r>
    </w:p>
    <w:p>
      <w:pPr>
        <w:spacing w:after="80" w:line="293" w:lineRule="auto"/>
        <w:ind w:left="283"/>
        <w:jc w:val="left"/>
      </w:pPr>
      <w:r>
        <w:rPr>
          <w:rFonts w:ascii="Times New Roman" w:hAnsi="Times New Roman" w:cs="Times New Roman"/>
          <w:b w:val="0"/>
          <w:i w:val="0"/>
          <w:sz w:val="22"/>
        </w:rPr>
        <w:t>- Integrate with the financing module.</w:t>
      </w:r>
    </w:p>
    <w:p>
      <w:pPr>
        <w:keepNext/>
        <w:spacing w:before="240" w:after="100"/>
        <w:outlineLvl w:val="1"/>
      </w:pPr>
      <w:r>
        <w:rPr>
          <w:rFonts w:ascii="Arial" w:hAnsi="Arial" w:cs="Arial"/>
          <w:b/>
          <w:i w:val="0"/>
          <w:color w:val="2E528F"/>
          <w:sz w:val="26"/>
        </w:rPr>
        <w:t>22.16 Add-On 21: Back-to-Back LC Management</w:t>
      </w:r>
    </w:p>
    <w:p>
      <w:pPr>
        <w:keepNext/>
        <w:spacing w:before="180" w:after="80"/>
        <w:outlineLvl w:val="2"/>
      </w:pPr>
      <w:r>
        <w:rPr>
          <w:rFonts w:ascii="Arial" w:hAnsi="Arial" w:cs="Arial"/>
          <w:b/>
          <w:i w:val="0"/>
          <w:color w:val="333333"/>
          <w:sz w:val="23"/>
        </w:rPr>
        <w:t>22.16.1 Purpose &amp; Design Philosophy</w:t>
      </w:r>
    </w:p>
    <w:p>
      <w:pPr>
        <w:spacing w:after="80" w:line="293" w:lineRule="auto"/>
        <w:jc w:val="left"/>
      </w:pPr>
      <w:r>
        <w:rPr>
          <w:rFonts w:ascii="Times New Roman" w:hAnsi="Times New Roman" w:cs="Times New Roman"/>
          <w:b w:val="0"/>
          <w:i w:val="0"/>
          <w:sz w:val="22"/>
        </w:rPr>
        <w:t>Manage chains of LCs (primary → secondary) where a buyer uses their credit line to issue an LC to a seller, who then uses it to issue a second LC to their supplier.</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Chain tracking — Primary LC → Secondary LC → etc.</w:t>
      </w:r>
    </w:p>
    <w:p>
      <w:pPr>
        <w:spacing w:after="80" w:line="293" w:lineRule="auto"/>
        <w:ind w:left="283"/>
        <w:jc w:val="left"/>
      </w:pPr>
      <w:r>
        <w:rPr>
          <w:rFonts w:ascii="Times New Roman" w:hAnsi="Times New Roman" w:cs="Times New Roman"/>
          <w:b w:val="0"/>
          <w:i w:val="0"/>
          <w:sz w:val="22"/>
        </w:rPr>
        <w:t>- Risk management — each LC independent.</w:t>
      </w:r>
    </w:p>
    <w:p>
      <w:pPr>
        <w:spacing w:after="80" w:line="293" w:lineRule="auto"/>
        <w:ind w:left="283"/>
        <w:jc w:val="left"/>
      </w:pPr>
      <w:r>
        <w:rPr>
          <w:rFonts w:ascii="Times New Roman" w:hAnsi="Times New Roman" w:cs="Times New Roman"/>
          <w:b w:val="0"/>
          <w:i w:val="0"/>
          <w:sz w:val="22"/>
        </w:rPr>
        <w:t>- Transaction management — coordinated execution.</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22.16.2 Back-to-Back LC Workflow</w:t>
      </w:r>
    </w:p>
    <w:p>
      <w:pPr>
        <w:spacing w:after="0" w:before="0" w:line="240" w:lineRule="auto"/>
        <w:ind w:left="57"/>
        <w:jc w:val="left"/>
        <w:shd w:val="clear" w:fill="F2F2F2"/>
      </w:pPr>
      <w:r>
        <w:rPr>
          <w:rFonts w:ascii="Consolas" w:hAnsi="Consolas" w:cs="Consolas"/>
          <w:b w:val="0"/>
          <w:i w:val="0"/>
          <w:sz w:val="15"/>
        </w:rPr>
        <w:t>Buyer (Importer)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  Primary LC</w:t>
      </w:r>
    </w:p>
    <w:p>
      <w:pPr>
        <w:spacing w:after="0" w:before="0" w:line="240" w:lineRule="auto"/>
        <w:ind w:left="57"/>
        <w:jc w:val="left"/>
        <w:shd w:val="clear" w:fill="F2F2F2"/>
      </w:pPr>
      <w:r>
        <w:rPr>
          <w:rFonts w:ascii="Consolas" w:hAnsi="Consolas" w:cs="Consolas"/>
          <w:b w:val="0"/>
          <w:i w:val="0"/>
          <w:sz w:val="15"/>
        </w:rPr>
        <w:t>Seller (Exporter)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v  Secondary LC</w:t>
      </w:r>
    </w:p>
    <w:p>
      <w:pPr>
        <w:spacing w:after="0" w:before="0" w:line="240" w:lineRule="auto"/>
        <w:ind w:left="57"/>
        <w:jc w:val="left"/>
        <w:shd w:val="clear" w:fill="F2F2F2"/>
      </w:pPr>
      <w:r>
        <w:rPr>
          <w:rFonts w:ascii="Consolas" w:hAnsi="Consolas" w:cs="Consolas"/>
          <w:b w:val="0"/>
          <w:i w:val="0"/>
          <w:sz w:val="15"/>
        </w:rPr>
        <w:t>Supplier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buyer (importer) opens the primary LC in favour of the seller (exporter); the seller uses that instrument to open a secondary LC in favour of their supplier. Each LC in the chain is an independent credit instrument with its own amount, expiry, and issuing bank, while the add-on tracks the chain as a coordinated unit against a single USTN.</w:t>
      </w:r>
    </w:p>
    <w:p>
      <w:pPr>
        <w:keepNext/>
        <w:spacing w:before="180" w:after="80"/>
        <w:outlineLvl w:val="2"/>
      </w:pPr>
      <w:r>
        <w:rPr>
          <w:rFonts w:ascii="Arial" w:hAnsi="Arial" w:cs="Arial"/>
          <w:b/>
          <w:i w:val="0"/>
          <w:color w:val="333333"/>
          <w:sz w:val="23"/>
        </w:rPr>
        <w:t>22.16.3 Database Schema</w:t>
      </w:r>
    </w:p>
    <w:p>
      <w:pPr>
        <w:spacing w:after="0" w:before="0" w:line="240" w:lineRule="auto"/>
        <w:ind w:left="57"/>
        <w:jc w:val="left"/>
        <w:shd w:val="clear" w:fill="F2F2F2"/>
      </w:pPr>
      <w:r>
        <w:rPr>
          <w:rFonts w:ascii="Consolas" w:hAnsi="Consolas" w:cs="Consolas"/>
          <w:b w:val="0"/>
          <w:i w:val="0"/>
          <w:sz w:val="15"/>
        </w:rPr>
        <w:t>-- Back-to-back LC</w:t>
      </w:r>
    </w:p>
    <w:p>
      <w:pPr>
        <w:spacing w:after="0" w:before="0" w:line="240" w:lineRule="auto"/>
        <w:ind w:left="57"/>
        <w:jc w:val="left"/>
        <w:shd w:val="clear" w:fill="F2F2F2"/>
      </w:pPr>
      <w:r>
        <w:rPr>
          <w:rFonts w:ascii="Consolas" w:hAnsi="Consolas" w:cs="Consolas"/>
          <w:b w:val="0"/>
          <w:i w:val="0"/>
          <w:sz w:val="15"/>
        </w:rPr>
        <w:t>CREATE TABLE back_to_back_lc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primary_lc_id UUID REFERENCES trade_finance_documents(id),</w:t>
      </w:r>
    </w:p>
    <w:p>
      <w:pPr>
        <w:spacing w:after="0" w:before="0" w:line="240" w:lineRule="auto"/>
        <w:ind w:left="57"/>
        <w:jc w:val="left"/>
        <w:shd w:val="clear" w:fill="F2F2F2"/>
      </w:pPr>
      <w:r>
        <w:rPr>
          <w:rFonts w:ascii="Consolas" w:hAnsi="Consolas" w:cs="Consolas"/>
          <w:b w:val="0"/>
          <w:i w:val="0"/>
          <w:sz w:val="15"/>
        </w:rPr>
        <w:t xml:space="preserve">    secondary_lc_id UUID REFERENCES trade_finance_documents(id),</w:t>
      </w:r>
    </w:p>
    <w:p>
      <w:pPr>
        <w:spacing w:after="0" w:before="0" w:line="240" w:lineRule="auto"/>
        <w:ind w:left="57"/>
        <w:jc w:val="left"/>
        <w:shd w:val="clear" w:fill="F2F2F2"/>
      </w:pPr>
      <w:r>
        <w:rPr>
          <w:rFonts w:ascii="Consolas" w:hAnsi="Consolas" w:cs="Consolas"/>
          <w:b w:val="0"/>
          <w:i w:val="0"/>
          <w:sz w:val="15"/>
        </w:rPr>
        <w:t xml:space="preserve">    buyer_gtid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seller_gtid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supplier_gtid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amount DECIMAL(20,4) NOT NULL,</w:t>
      </w:r>
    </w:p>
    <w:p>
      <w:pPr>
        <w:spacing w:after="0" w:before="0" w:line="240" w:lineRule="auto"/>
        <w:ind w:left="57"/>
        <w:jc w:val="left"/>
        <w:shd w:val="clear" w:fill="F2F2F2"/>
      </w:pPr>
      <w:r>
        <w:rPr>
          <w:rFonts w:ascii="Consolas" w:hAnsi="Consolas" w:cs="Consolas"/>
          <w:b w:val="0"/>
          <w:i w:val="0"/>
          <w:sz w:val="15"/>
        </w:rPr>
        <w:t xml:space="preserve">    currency TEXT NOT NULL,</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idx_back_to_back_lc_primary ON back_to_back_lc(primary_lc_id);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idx_back_to_back_lc_secondary ON back_to_back_lc(secondary_lc_id);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22.16.4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/v1/finance/back-to-back/create</w:t>
            </w:r>
          </w:p>
        </w:tc>
        <w:tc>
          <w:tcPr>
            <w:tcW w:type="dxa" w:w="3213"/>
          </w:tcPr>
          <w:p>
            <w:pPr>
              <w:spacing w:after="20" w:before="20" w:line="240" w:lineRule="auto"/>
            </w:pPr>
            <w:r/>
            <w:r>
              <w:rPr>
                <w:rFonts w:ascii="Arial" w:hAnsi="Arial" w:cs="Arial"/>
                <w:b w:val="0"/>
                <w:i w:val="0"/>
                <w:sz w:val="17"/>
              </w:rPr>
              <w:t>Create back-to-back LC</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/v1/finance/back-to-back/{id}</w:t>
            </w:r>
          </w:p>
        </w:tc>
        <w:tc>
          <w:tcPr>
            <w:tcW w:type="dxa" w:w="3213"/>
          </w:tcPr>
          <w:p>
            <w:pPr>
              <w:spacing w:after="20" w:before="20" w:line="240" w:lineRule="auto"/>
            </w:pPr>
            <w:r/>
            <w:r>
              <w:rPr>
                <w:rFonts w:ascii="Arial" w:hAnsi="Arial" w:cs="Arial"/>
                <w:b w:val="0"/>
                <w:i w:val="0"/>
                <w:sz w:val="17"/>
              </w:rPr>
              <w:t>Get details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/v1/finance/back-to-back/chain/{ustn}</w:t>
            </w:r>
          </w:p>
        </w:tc>
        <w:tc>
          <w:tcPr>
            <w:tcW w:type="dxa" w:w="3213"/>
          </w:tcPr>
          <w:p>
            <w:pPr>
              <w:spacing w:after="20" w:before="20" w:line="240" w:lineRule="auto"/>
            </w:pPr>
            <w:r/>
            <w:r>
              <w:rPr>
                <w:rFonts w:ascii="Arial" w:hAnsi="Arial" w:cs="Arial"/>
                <w:b w:val="0"/>
                <w:i w:val="0"/>
                <w:sz w:val="17"/>
              </w:rPr>
              <w:t>Get LC chain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22.16.5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22.15 — trade finance documents</w:t>
            </w:r>
          </w:p>
        </w:tc>
        <w:tc>
          <w:tcPr>
            <w:tcW w:type="dxa" w:w="4819"/>
          </w:tcPr>
          <w:p>
            <w:pPr>
              <w:spacing w:after="20" w:before="20" w:line="240" w:lineRule="auto"/>
            </w:pPr>
            <w:r/>
            <w:r>
              <w:rPr>
                <w:rFonts w:ascii="Arial" w:hAnsi="Arial" w:cs="Arial"/>
                <w:b w:val="0"/>
                <w:i w:val="0"/>
                <w:sz w:val="17"/>
              </w:rPr>
              <w:t>LC management</w:t>
            </w:r>
          </w:p>
        </w:tc>
      </w:tr>
      <w:tr>
        <w:tc>
          <w:tcPr>
            <w:tcW w:type="dxa" w:w="4819"/>
          </w:tcPr>
          <w:p>
            <w:pPr>
              <w:spacing w:after="20" w:before="20" w:line="240" w:lineRule="auto"/>
            </w:pPr>
            <w:r/>
            <w:r>
              <w:rPr>
                <w:rFonts w:ascii="Arial" w:hAnsi="Arial" w:cs="Arial"/>
                <w:b w:val="0"/>
                <w:i w:val="0"/>
                <w:sz w:val="17"/>
              </w:rPr>
              <w:t>Section 10 — financing execution</w:t>
            </w:r>
          </w:p>
        </w:tc>
        <w:tc>
          <w:tcPr>
            <w:tcW w:type="dxa" w:w="4819"/>
          </w:tcPr>
          <w:p>
            <w:pPr>
              <w:spacing w:after="20" w:before="20" w:line="240" w:lineRule="auto"/>
            </w:pPr>
            <w:r/>
            <w:r>
              <w:rPr>
                <w:rFonts w:ascii="Arial" w:hAnsi="Arial" w:cs="Arial"/>
                <w:b w:val="0"/>
                <w:i w:val="0"/>
                <w:sz w:val="17"/>
              </w:rPr>
              <w:t>Financing chain</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LC chain card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22.16.6 Implementation Checklist</w:t>
      </w:r>
    </w:p>
    <w:p>
      <w:pPr>
        <w:spacing w:after="80" w:line="293" w:lineRule="auto"/>
        <w:ind w:left="283"/>
        <w:jc w:val="left"/>
      </w:pPr>
      <w:r>
        <w:rPr>
          <w:rFonts w:ascii="Times New Roman" w:hAnsi="Times New Roman" w:cs="Times New Roman"/>
          <w:b w:val="0"/>
          <w:i w:val="0"/>
          <w:sz w:val="22"/>
        </w:rPr>
        <w:t>- Create the `back_to_back_lc` table.</w:t>
      </w:r>
    </w:p>
    <w:p>
      <w:pPr>
        <w:spacing w:after="80" w:line="293" w:lineRule="auto"/>
        <w:ind w:left="283"/>
        <w:jc w:val="left"/>
      </w:pPr>
      <w:r>
        <w:rPr>
          <w:rFonts w:ascii="Times New Roman" w:hAnsi="Times New Roman" w:cs="Times New Roman"/>
          <w:b w:val="0"/>
          <w:i w:val="0"/>
          <w:sz w:val="22"/>
        </w:rPr>
        <w:t>- Implement LC chain tracking.</w:t>
      </w:r>
    </w:p>
    <w:p>
      <w:pPr>
        <w:spacing w:after="80" w:line="293" w:lineRule="auto"/>
        <w:ind w:left="283"/>
        <w:jc w:val="left"/>
      </w:pPr>
      <w:r>
        <w:rPr>
          <w:rFonts w:ascii="Times New Roman" w:hAnsi="Times New Roman" w:cs="Times New Roman"/>
          <w:b w:val="0"/>
          <w:i w:val="0"/>
          <w:sz w:val="22"/>
        </w:rPr>
        <w:t>- Implement risk management.</w:t>
      </w:r>
    </w:p>
    <w:p>
      <w:pPr>
        <w:spacing w:after="80" w:line="293" w:lineRule="auto"/>
        <w:ind w:left="283"/>
        <w:jc w:val="left"/>
      </w:pPr>
      <w:r>
        <w:rPr>
          <w:rFonts w:ascii="Times New Roman" w:hAnsi="Times New Roman" w:cs="Times New Roman"/>
          <w:b w:val="0"/>
          <w:i w:val="0"/>
          <w:sz w:val="22"/>
        </w:rPr>
        <w:t>- Add the LC chain view in the Trade Command Center.</w:t>
      </w:r>
    </w:p>
    <w:p>
      <w:pPr>
        <w:keepNext/>
        <w:spacing w:before="240" w:after="100"/>
        <w:outlineLvl w:val="1"/>
      </w:pPr>
      <w:r>
        <w:rPr>
          <w:rFonts w:ascii="Arial" w:hAnsi="Arial" w:cs="Arial"/>
          <w:b/>
          <w:i w:val="0"/>
          <w:color w:val="2E528F"/>
          <w:sz w:val="26"/>
        </w:rPr>
        <w:t>22.17 Add-On 22: Force Majeure Handling</w:t>
      </w:r>
    </w:p>
    <w:p>
      <w:pPr>
        <w:keepNext/>
        <w:spacing w:before="180" w:after="80"/>
        <w:outlineLvl w:val="2"/>
      </w:pPr>
      <w:r>
        <w:rPr>
          <w:rFonts w:ascii="Arial" w:hAnsi="Arial" w:cs="Arial"/>
          <w:b/>
          <w:i w:val="0"/>
          <w:color w:val="333333"/>
          <w:sz w:val="23"/>
        </w:rPr>
        <w:t>22.17.1 Purpose &amp; Design Philosophy</w:t>
      </w:r>
    </w:p>
    <w:p>
      <w:pPr>
        <w:spacing w:after="80" w:line="293" w:lineRule="auto"/>
        <w:jc w:val="left"/>
      </w:pPr>
      <w:r>
        <w:rPr>
          <w:rFonts w:ascii="Times New Roman" w:hAnsi="Times New Roman" w:cs="Times New Roman"/>
          <w:b w:val="0"/>
          <w:i w:val="0"/>
          <w:sz w:val="22"/>
        </w:rPr>
        <w:t>Handle force majeure events (natural disasters, war, pandemic) that affect trade execution.</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Event detection — RIA scrapes official sources.</w:t>
      </w:r>
    </w:p>
    <w:p>
      <w:pPr>
        <w:spacing w:after="80" w:line="293" w:lineRule="auto"/>
        <w:ind w:left="283"/>
        <w:jc w:val="left"/>
      </w:pPr>
      <w:r>
        <w:rPr>
          <w:rFonts w:ascii="Times New Roman" w:hAnsi="Times New Roman" w:cs="Times New Roman"/>
          <w:b w:val="0"/>
          <w:i w:val="0"/>
          <w:sz w:val="22"/>
        </w:rPr>
        <w:t>- Claim workflow — structured claim submission.</w:t>
      </w:r>
    </w:p>
    <w:p>
      <w:pPr>
        <w:spacing w:after="80" w:line="293" w:lineRule="auto"/>
        <w:ind w:left="283"/>
        <w:jc w:val="left"/>
      </w:pPr>
      <w:r>
        <w:rPr>
          <w:rFonts w:ascii="Times New Roman" w:hAnsi="Times New Roman" w:cs="Times New Roman"/>
          <w:b w:val="0"/>
          <w:i w:val="0"/>
          <w:sz w:val="22"/>
        </w:rPr>
        <w:t>- Contract renegotiation — extension of deadlines.</w:t>
      </w:r>
    </w:p>
    <w:p>
      <w:pPr>
        <w:spacing w:after="80" w:line="293" w:lineRule="auto"/>
        <w:ind w:left="283"/>
        <w:jc w:val="left"/>
      </w:pPr>
      <w:r>
        <w:rPr>
          <w:rFonts w:ascii="Times New Roman" w:hAnsi="Times New Roman" w:cs="Times New Roman"/>
          <w:b w:val="0"/>
          <w:i w:val="0"/>
          <w:sz w:val="22"/>
        </w:rPr>
        <w:t>- Jurisdiction-aware — force majeure clauses per jurisdiction.</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event summaries.</w:t>
      </w:r>
    </w:p>
    <w:p>
      <w:pPr>
        <w:spacing w:after="80" w:line="293" w:lineRule="auto"/>
        <w:ind w:left="283"/>
        <w:jc w:val="left"/>
      </w:pPr>
      <w:r>
        <w:rPr>
          <w:rFonts w:ascii="Times New Roman" w:hAnsi="Times New Roman" w:cs="Times New Roman"/>
          <w:b w:val="0"/>
          <w:i w:val="0"/>
          <w:sz w:val="22"/>
        </w:rPr>
        <w:t>- A2 (HF local → Ollama): event detection.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22.17.2 Force Majeure Events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Event Type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Detection</w:t>
            </w:r>
          </w:p>
        </w:tc>
      </w:tr>
      <w:tr>
        <w:tc>
          <w:tcPr>
            <w:tcW w:type="dxa" w:w="3213"/>
          </w:tcPr>
          <w:p>
            <w:pPr>
              <w:spacing w:after="20" w:before="20" w:line="240" w:lineRule="auto"/>
            </w:pPr>
            <w:r/>
            <w:r>
              <w:rPr>
                <w:rFonts w:ascii="Arial" w:hAnsi="Arial" w:cs="Arial"/>
                <w:b w:val="0"/>
                <w:i w:val="0"/>
                <w:sz w:val="17"/>
              </w:rPr>
              <w:t>Natural Disaster</w:t>
            </w:r>
          </w:p>
        </w:tc>
        <w:tc>
          <w:tcPr>
            <w:tcW w:type="dxa" w:w="3213"/>
          </w:tcPr>
          <w:p>
            <w:pPr>
              <w:spacing w:after="20" w:before="20" w:line="240" w:lineRule="auto"/>
            </w:pPr>
            <w:r/>
            <w:r>
              <w:rPr>
                <w:rFonts w:ascii="Arial" w:hAnsi="Arial" w:cs="Arial"/>
                <w:b w:val="0"/>
                <w:i w:val="0"/>
                <w:sz w:val="17"/>
              </w:rPr>
              <w:t>Earthquake, flood, cyclone</w:t>
            </w:r>
          </w:p>
        </w:tc>
        <w:tc>
          <w:tcPr>
            <w:tcW w:type="dxa" w:w="3213"/>
          </w:tcPr>
          <w:p>
            <w:pPr>
              <w:spacing w:after="20" w:before="20" w:line="240" w:lineRule="auto"/>
            </w:pPr>
            <w:r/>
            <w:r>
              <w:rPr>
                <w:rFonts w:ascii="Arial" w:hAnsi="Arial" w:cs="Arial"/>
                <w:b w:val="0"/>
                <w:i w:val="0"/>
                <w:sz w:val="17"/>
              </w:rPr>
              <w:t>RIA (scraped)</w:t>
            </w:r>
          </w:p>
        </w:tc>
      </w:tr>
      <w:tr>
        <w:tc>
          <w:tcPr>
            <w:tcW w:type="dxa" w:w="3213"/>
          </w:tcPr>
          <w:p>
            <w:pPr>
              <w:spacing w:after="20" w:before="20" w:line="240" w:lineRule="auto"/>
            </w:pPr>
            <w:r/>
            <w:r>
              <w:rPr>
                <w:rFonts w:ascii="Arial" w:hAnsi="Arial" w:cs="Arial"/>
                <w:b w:val="0"/>
                <w:i w:val="0"/>
                <w:sz w:val="17"/>
              </w:rPr>
              <w:t>War/Conflict</w:t>
            </w:r>
          </w:p>
        </w:tc>
        <w:tc>
          <w:tcPr>
            <w:tcW w:type="dxa" w:w="3213"/>
          </w:tcPr>
          <w:p>
            <w:pPr>
              <w:spacing w:after="20" w:before="20" w:line="240" w:lineRule="auto"/>
            </w:pPr>
            <w:r/>
            <w:r>
              <w:rPr>
                <w:rFonts w:ascii="Arial" w:hAnsi="Arial" w:cs="Arial"/>
                <w:b w:val="0"/>
                <w:i w:val="0"/>
                <w:sz w:val="17"/>
              </w:rPr>
              <w:t>Armed conflict</w:t>
            </w:r>
          </w:p>
        </w:tc>
        <w:tc>
          <w:tcPr>
            <w:tcW w:type="dxa" w:w="3213"/>
          </w:tcPr>
          <w:p>
            <w:pPr>
              <w:spacing w:after="20" w:before="20" w:line="240" w:lineRule="auto"/>
            </w:pPr>
            <w:r/>
            <w:r>
              <w:rPr>
                <w:rFonts w:ascii="Arial" w:hAnsi="Arial" w:cs="Arial"/>
                <w:b w:val="0"/>
                <w:i w:val="0"/>
                <w:sz w:val="17"/>
              </w:rPr>
              <w:t>RIA (scraped)</w:t>
            </w:r>
          </w:p>
        </w:tc>
      </w:tr>
      <w:tr>
        <w:tc>
          <w:tcPr>
            <w:tcW w:type="dxa" w:w="3213"/>
          </w:tcPr>
          <w:p>
            <w:pPr>
              <w:spacing w:after="20" w:before="20" w:line="240" w:lineRule="auto"/>
            </w:pPr>
            <w:r/>
            <w:r>
              <w:rPr>
                <w:rFonts w:ascii="Arial" w:hAnsi="Arial" w:cs="Arial"/>
                <w:b w:val="0"/>
                <w:i w:val="0"/>
                <w:sz w:val="17"/>
              </w:rPr>
              <w:t>Pandemic</w:t>
            </w:r>
          </w:p>
        </w:tc>
        <w:tc>
          <w:tcPr>
            <w:tcW w:type="dxa" w:w="3213"/>
          </w:tcPr>
          <w:p>
            <w:pPr>
              <w:spacing w:after="20" w:before="20" w:line="240" w:lineRule="auto"/>
            </w:pPr>
            <w:r/>
            <w:r>
              <w:rPr>
                <w:rFonts w:ascii="Arial" w:hAnsi="Arial" w:cs="Arial"/>
                <w:b w:val="0"/>
                <w:i w:val="0"/>
                <w:sz w:val="17"/>
              </w:rPr>
              <w:t>Disease outbreak</w:t>
            </w:r>
          </w:p>
        </w:tc>
        <w:tc>
          <w:tcPr>
            <w:tcW w:type="dxa" w:w="3213"/>
          </w:tcPr>
          <w:p>
            <w:pPr>
              <w:spacing w:after="20" w:before="20" w:line="240" w:lineRule="auto"/>
            </w:pPr>
            <w:r/>
            <w:r>
              <w:rPr>
                <w:rFonts w:ascii="Arial" w:hAnsi="Arial" w:cs="Arial"/>
                <w:b w:val="0"/>
                <w:i w:val="0"/>
                <w:sz w:val="17"/>
              </w:rPr>
              <w:t>WHO alert</w:t>
            </w:r>
          </w:p>
        </w:tc>
      </w:tr>
      <w:tr>
        <w:tc>
          <w:tcPr>
            <w:tcW w:type="dxa" w:w="3213"/>
          </w:tcPr>
          <w:p>
            <w:pPr>
              <w:spacing w:after="20" w:before="20" w:line="240" w:lineRule="auto"/>
            </w:pPr>
            <w:r/>
            <w:r>
              <w:rPr>
                <w:rFonts w:ascii="Arial" w:hAnsi="Arial" w:cs="Arial"/>
                <w:b w:val="0"/>
                <w:i w:val="0"/>
                <w:sz w:val="17"/>
              </w:rPr>
              <w:t>Port Strike</w:t>
            </w:r>
          </w:p>
        </w:tc>
        <w:tc>
          <w:tcPr>
            <w:tcW w:type="dxa" w:w="3213"/>
          </w:tcPr>
          <w:p>
            <w:pPr>
              <w:spacing w:after="20" w:before="20" w:line="240" w:lineRule="auto"/>
            </w:pPr>
            <w:r/>
            <w:r>
              <w:rPr>
                <w:rFonts w:ascii="Arial" w:hAnsi="Arial" w:cs="Arial"/>
                <w:b w:val="0"/>
                <w:i w:val="0"/>
                <w:sz w:val="17"/>
              </w:rPr>
              <w:t>Labour action</w:t>
            </w:r>
          </w:p>
        </w:tc>
        <w:tc>
          <w:tcPr>
            <w:tcW w:type="dxa" w:w="3213"/>
          </w:tcPr>
          <w:p>
            <w:pPr>
              <w:spacing w:after="20" w:before="20" w:line="240" w:lineRule="auto"/>
            </w:pPr>
            <w:r/>
            <w:r>
              <w:rPr>
                <w:rFonts w:ascii="Arial" w:hAnsi="Arial" w:cs="Arial"/>
                <w:b w:val="0"/>
                <w:i w:val="0"/>
                <w:sz w:val="17"/>
              </w:rPr>
              <w:t>RIA (scraped)</w:t>
            </w:r>
          </w:p>
        </w:tc>
      </w:tr>
      <w:tr>
        <w:tc>
          <w:tcPr>
            <w:tcW w:type="dxa" w:w="3213"/>
          </w:tcPr>
          <w:p>
            <w:pPr>
              <w:spacing w:after="20" w:before="20" w:line="240" w:lineRule="auto"/>
            </w:pPr>
            <w:r/>
            <w:r>
              <w:rPr>
                <w:rFonts w:ascii="Arial" w:hAnsi="Arial" w:cs="Arial"/>
                <w:b w:val="0"/>
                <w:i w:val="0"/>
                <w:sz w:val="17"/>
              </w:rPr>
              <w:t>Sanctions</w:t>
            </w:r>
          </w:p>
        </w:tc>
        <w:tc>
          <w:tcPr>
            <w:tcW w:type="dxa" w:w="3213"/>
          </w:tcPr>
          <w:p>
            <w:pPr>
              <w:spacing w:after="20" w:before="20" w:line="240" w:lineRule="auto"/>
            </w:pPr>
            <w:r/>
            <w:r>
              <w:rPr>
                <w:rFonts w:ascii="Arial" w:hAnsi="Arial" w:cs="Arial"/>
                <w:b w:val="0"/>
                <w:i w:val="0"/>
                <w:sz w:val="17"/>
              </w:rPr>
              <w:t>New sanctions</w:t>
            </w:r>
          </w:p>
        </w:tc>
        <w:tc>
          <w:tcPr>
            <w:tcW w:type="dxa" w:w="3213"/>
          </w:tcPr>
          <w:p>
            <w:pPr>
              <w:spacing w:after="20" w:before="20" w:line="240" w:lineRule="auto"/>
            </w:pPr>
            <w:r/>
            <w:r>
              <w:rPr>
                <w:rFonts w:ascii="Arial" w:hAnsi="Arial" w:cs="Arial"/>
                <w:b w:val="0"/>
                <w:i w:val="0"/>
                <w:sz w:val="17"/>
              </w:rPr>
              <w:t>RIA (scraped)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22.17.3 Database Schema</w:t>
      </w:r>
    </w:p>
    <w:p>
      <w:pPr>
        <w:spacing w:after="0" w:before="0" w:line="240" w:lineRule="auto"/>
        <w:ind w:left="57"/>
        <w:jc w:val="left"/>
        <w:shd w:val="clear" w:fill="F2F2F2"/>
      </w:pPr>
      <w:r>
        <w:rPr>
          <w:rFonts w:ascii="Consolas" w:hAnsi="Consolas" w:cs="Consolas"/>
          <w:b w:val="0"/>
          <w:i w:val="0"/>
          <w:sz w:val="15"/>
        </w:rPr>
        <w:t>-- Force majeure events</w:t>
      </w:r>
    </w:p>
    <w:p>
      <w:pPr>
        <w:spacing w:after="0" w:before="0" w:line="240" w:lineRule="auto"/>
        <w:ind w:left="57"/>
        <w:jc w:val="left"/>
        <w:shd w:val="clear" w:fill="F2F2F2"/>
      </w:pPr>
      <w:r>
        <w:rPr>
          <w:rFonts w:ascii="Consolas" w:hAnsi="Consolas" w:cs="Consolas"/>
          <w:b w:val="0"/>
          <w:i w:val="0"/>
          <w:sz w:val="15"/>
        </w:rPr>
        <w:t>CREATE TABLE force_majeure_events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event_type TEXT NOT NULL,</w:t>
      </w:r>
    </w:p>
    <w:p>
      <w:pPr>
        <w:spacing w:after="0" w:before="0" w:line="240" w:lineRule="auto"/>
        <w:ind w:left="57"/>
        <w:jc w:val="left"/>
        <w:shd w:val="clear" w:fill="F2F2F2"/>
      </w:pPr>
      <w:r>
        <w:rPr>
          <w:rFonts w:ascii="Consolas" w:hAnsi="Consolas" w:cs="Consolas"/>
          <w:b w:val="0"/>
          <w:i w:val="0"/>
          <w:sz w:val="15"/>
        </w:rPr>
        <w:t xml:space="preserve">    location TEXT,</w:t>
      </w:r>
    </w:p>
    <w:p>
      <w:pPr>
        <w:spacing w:after="0" w:before="0" w:line="240" w:lineRule="auto"/>
        <w:ind w:left="57"/>
        <w:jc w:val="left"/>
        <w:shd w:val="clear" w:fill="F2F2F2"/>
      </w:pPr>
      <w:r>
        <w:rPr>
          <w:rFonts w:ascii="Consolas" w:hAnsi="Consolas" w:cs="Consolas"/>
          <w:b w:val="0"/>
          <w:i w:val="0"/>
          <w:sz w:val="15"/>
        </w:rPr>
        <w:t xml:space="preserve">    affected_countries TEXT[],</w:t>
      </w:r>
    </w:p>
    <w:p>
      <w:pPr>
        <w:spacing w:after="0" w:before="0" w:line="240" w:lineRule="auto"/>
        <w:ind w:left="57"/>
        <w:jc w:val="left"/>
        <w:shd w:val="clear" w:fill="F2F2F2"/>
      </w:pPr>
      <w:r>
        <w:rPr>
          <w:rFonts w:ascii="Consolas" w:hAnsi="Consolas" w:cs="Consolas"/>
          <w:b w:val="0"/>
          <w:i w:val="0"/>
          <w:sz w:val="15"/>
        </w:rPr>
        <w:t xml:space="preserve">    description TEXT,</w:t>
      </w:r>
    </w:p>
    <w:p>
      <w:pPr>
        <w:spacing w:after="0" w:before="0" w:line="240" w:lineRule="auto"/>
        <w:ind w:left="57"/>
        <w:jc w:val="left"/>
        <w:shd w:val="clear" w:fill="F2F2F2"/>
      </w:pPr>
      <w:r>
        <w:rPr>
          <w:rFonts w:ascii="Consolas" w:hAnsi="Consolas" w:cs="Consolas"/>
          <w:b w:val="0"/>
          <w:i w:val="0"/>
          <w:sz w:val="15"/>
        </w:rPr>
        <w:t xml:space="preserve">    severity TEXT NOT NULL,</w:t>
      </w:r>
    </w:p>
    <w:p>
      <w:pPr>
        <w:spacing w:after="0" w:before="0" w:line="240" w:lineRule="auto"/>
        <w:ind w:left="57"/>
        <w:jc w:val="left"/>
        <w:shd w:val="clear" w:fill="F2F2F2"/>
      </w:pPr>
      <w:r>
        <w:rPr>
          <w:rFonts w:ascii="Consolas" w:hAnsi="Consolas" w:cs="Consolas"/>
          <w:b w:val="0"/>
          <w:i w:val="0"/>
          <w:sz w:val="15"/>
        </w:rPr>
        <w:t xml:space="preserve">    start_date TIMESTAMPTZ NOT NULL,</w:t>
      </w:r>
    </w:p>
    <w:p>
      <w:pPr>
        <w:spacing w:after="0" w:before="0" w:line="240" w:lineRule="auto"/>
        <w:ind w:left="57"/>
        <w:jc w:val="left"/>
        <w:shd w:val="clear" w:fill="F2F2F2"/>
      </w:pPr>
      <w:r>
        <w:rPr>
          <w:rFonts w:ascii="Consolas" w:hAnsi="Consolas" w:cs="Consolas"/>
          <w:b w:val="0"/>
          <w:i w:val="0"/>
          <w:sz w:val="15"/>
        </w:rPr>
        <w:t xml:space="preserve">    end_date TIMESTAMPTZ,</w:t>
      </w:r>
    </w:p>
    <w:p>
      <w:pPr>
        <w:spacing w:after="0" w:before="0" w:line="240" w:lineRule="auto"/>
        <w:ind w:left="57"/>
        <w:jc w:val="left"/>
        <w:shd w:val="clear" w:fill="F2F2F2"/>
      </w:pPr>
      <w:r>
        <w:rPr>
          <w:rFonts w:ascii="Consolas" w:hAnsi="Consolas" w:cs="Consolas"/>
          <w:b w:val="0"/>
          <w:i w:val="0"/>
          <w:sz w:val="15"/>
        </w:rPr>
        <w:t xml:space="preserve">    status TEXT DEFAULT 'ACTIVE',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Force majeure claims</w:t>
      </w:r>
    </w:p>
    <w:p>
      <w:pPr>
        <w:spacing w:after="0" w:before="0" w:line="240" w:lineRule="auto"/>
        <w:ind w:left="57"/>
        <w:jc w:val="left"/>
        <w:shd w:val="clear" w:fill="F2F2F2"/>
      </w:pPr>
      <w:r>
        <w:rPr>
          <w:rFonts w:ascii="Consolas" w:hAnsi="Consolas" w:cs="Consolas"/>
          <w:b w:val="0"/>
          <w:i w:val="0"/>
          <w:sz w:val="15"/>
        </w:rPr>
        <w:t>CREATE TABLE force_majeure_claims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event_id UUID REFERENCES force_majeure_events(id) ON DELETE SET NULL,</w:t>
      </w:r>
    </w:p>
    <w:p>
      <w:pPr>
        <w:spacing w:after="0" w:before="0" w:line="240" w:lineRule="auto"/>
        <w:ind w:left="57"/>
        <w:jc w:val="left"/>
        <w:shd w:val="clear" w:fill="F2F2F2"/>
      </w:pPr>
      <w:r>
        <w:rPr>
          <w:rFonts w:ascii="Consolas" w:hAnsi="Consolas" w:cs="Consolas"/>
          <w:b w:val="0"/>
          <w:i w:val="0"/>
          <w:sz w:val="15"/>
        </w:rPr>
        <w:t xml:space="preserve">    claimant_gtid TEXT NOT NULL REFERENCES tenants(gtid),</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evidence TEXT,</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Force majeure contract extensions</w:t>
      </w:r>
    </w:p>
    <w:p>
      <w:pPr>
        <w:spacing w:after="0" w:before="0" w:line="240" w:lineRule="auto"/>
        <w:ind w:left="57"/>
        <w:jc w:val="left"/>
        <w:shd w:val="clear" w:fill="F2F2F2"/>
      </w:pPr>
      <w:r>
        <w:rPr>
          <w:rFonts w:ascii="Consolas" w:hAnsi="Consolas" w:cs="Consolas"/>
          <w:b w:val="0"/>
          <w:i w:val="0"/>
          <w:sz w:val="15"/>
        </w:rPr>
        <w:t>CREATE TABLE force_majeure_extensions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claim_id UUID REFERENCES force_majeure_claims(id) ON DELETE SET NULL,</w:t>
      </w:r>
    </w:p>
    <w:p>
      <w:pPr>
        <w:spacing w:after="0" w:before="0" w:line="240" w:lineRule="auto"/>
        <w:ind w:left="57"/>
        <w:jc w:val="left"/>
        <w:shd w:val="clear" w:fill="F2F2F2"/>
      </w:pPr>
      <w:r>
        <w:rPr>
          <w:rFonts w:ascii="Consolas" w:hAnsi="Consolas" w:cs="Consolas"/>
          <w:b w:val="0"/>
          <w:i w:val="0"/>
          <w:sz w:val="15"/>
        </w:rPr>
        <w:t xml:space="preserve">    contract_id UUID REFERENCES contracts(id) ON DELETE SET NULL,</w:t>
      </w:r>
    </w:p>
    <w:p>
      <w:pPr>
        <w:spacing w:after="0" w:before="0" w:line="240" w:lineRule="auto"/>
        <w:ind w:left="57"/>
        <w:jc w:val="left"/>
        <w:shd w:val="clear" w:fill="F2F2F2"/>
      </w:pPr>
      <w:r>
        <w:rPr>
          <w:rFonts w:ascii="Consolas" w:hAnsi="Consolas" w:cs="Consolas"/>
          <w:b w:val="0"/>
          <w:i w:val="0"/>
          <w:sz w:val="15"/>
        </w:rPr>
        <w:t xml:space="preserve">    original_deadline TIMESTAMPTZ,</w:t>
      </w:r>
    </w:p>
    <w:p>
      <w:pPr>
        <w:spacing w:after="0" w:before="0" w:line="240" w:lineRule="auto"/>
        <w:ind w:left="57"/>
        <w:jc w:val="left"/>
        <w:shd w:val="clear" w:fill="F2F2F2"/>
      </w:pPr>
      <w:r>
        <w:rPr>
          <w:rFonts w:ascii="Consolas" w:hAnsi="Consolas" w:cs="Consolas"/>
          <w:b w:val="0"/>
          <w:i w:val="0"/>
          <w:sz w:val="15"/>
        </w:rPr>
        <w:t xml:space="preserve">    extended_deadline TIMESTAMPTZ,</w:t>
      </w:r>
    </w:p>
    <w:p>
      <w:pPr>
        <w:spacing w:after="0" w:before="0" w:line="240" w:lineRule="auto"/>
        <w:ind w:left="57"/>
        <w:jc w:val="left"/>
        <w:shd w:val="clear" w:fill="F2F2F2"/>
      </w:pPr>
      <w:r>
        <w:rPr>
          <w:rFonts w:ascii="Consolas" w:hAnsi="Consolas" w:cs="Consolas"/>
          <w:b w:val="0"/>
          <w:i w:val="0"/>
          <w:sz w:val="15"/>
        </w:rPr>
        <w:t xml:space="preserve">    extension_days INTEGER,</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idx_force_majeure_events_status ON force_majeure_events(status);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idx_force_majeure_events_start_date ON force_majeure_events(start_date);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idx_force_majeure_claims_ustn ON force_majeure_claims(ustn);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idx_force_majeure_claims_event ON force_majeure_claims(event_id);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22.17.4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/v1/force-majeure/events</w:t>
            </w:r>
          </w:p>
        </w:tc>
        <w:tc>
          <w:tcPr>
            <w:tcW w:type="dxa" w:w="3213"/>
          </w:tcPr>
          <w:p>
            <w:pPr>
              <w:spacing w:after="20" w:before="20" w:line="240" w:lineRule="auto"/>
            </w:pPr>
            <w:r/>
            <w:r>
              <w:rPr>
                <w:rFonts w:ascii="Arial" w:hAnsi="Arial" w:cs="Arial"/>
                <w:b w:val="0"/>
                <w:i w:val="0"/>
                <w:sz w:val="17"/>
              </w:rPr>
              <w:t>Get active events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/v1/force-majeure/claim/file</w:t>
            </w:r>
          </w:p>
        </w:tc>
        <w:tc>
          <w:tcPr>
            <w:tcW w:type="dxa" w:w="3213"/>
          </w:tcPr>
          <w:p>
            <w:pPr>
              <w:spacing w:after="20" w:before="20" w:line="240" w:lineRule="auto"/>
            </w:pPr>
            <w:r/>
            <w:r>
              <w:rPr>
                <w:rFonts w:ascii="Arial" w:hAnsi="Arial" w:cs="Arial"/>
                <w:b w:val="0"/>
                <w:i w:val="0"/>
                <w:sz w:val="17"/>
              </w:rPr>
              <w:t>File claim</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/v1/force-majeure/claim/{id}</w:t>
            </w:r>
          </w:p>
        </w:tc>
        <w:tc>
          <w:tcPr>
            <w:tcW w:type="dxa" w:w="3213"/>
          </w:tcPr>
          <w:p>
            <w:pPr>
              <w:spacing w:after="20" w:before="20" w:line="240" w:lineRule="auto"/>
            </w:pPr>
            <w:r/>
            <w:r>
              <w:rPr>
                <w:rFonts w:ascii="Arial" w:hAnsi="Arial" w:cs="Arial"/>
                <w:b w:val="0"/>
                <w:i w:val="0"/>
                <w:sz w:val="17"/>
              </w:rPr>
              <w:t>Get claim details</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/v1/force-majeure/extension/request</w:t>
            </w:r>
          </w:p>
        </w:tc>
        <w:tc>
          <w:tcPr>
            <w:tcW w:type="dxa" w:w="3213"/>
          </w:tcPr>
          <w:p>
            <w:pPr>
              <w:spacing w:after="20" w:before="20" w:line="240" w:lineRule="auto"/>
            </w:pPr>
            <w:r/>
            <w:r>
              <w:rPr>
                <w:rFonts w:ascii="Arial" w:hAnsi="Arial" w:cs="Arial"/>
                <w:b w:val="0"/>
                <w:i w:val="0"/>
                <w:sz w:val="17"/>
              </w:rPr>
              <w:t>Request extension</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22.17.5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RIA (regulatory intelligence)</w:t>
            </w:r>
          </w:p>
        </w:tc>
        <w:tc>
          <w:tcPr>
            <w:tcW w:type="dxa" w:w="4819"/>
          </w:tcPr>
          <w:p>
            <w:pPr>
              <w:spacing w:after="20" w:before="20" w:line="240" w:lineRule="auto"/>
            </w:pPr>
            <w:r/>
            <w:r>
              <w:rPr>
                <w:rFonts w:ascii="Arial" w:hAnsi="Arial" w:cs="Arial"/>
                <w:b w:val="0"/>
                <w:i w:val="0"/>
                <w:sz w:val="17"/>
              </w:rPr>
              <w:t>Event detection</w:t>
            </w:r>
          </w:p>
        </w:tc>
      </w:tr>
      <w:tr>
        <w:tc>
          <w:tcPr>
            <w:tcW w:type="dxa" w:w="4819"/>
          </w:tcPr>
          <w:p>
            <w:pPr>
              <w:spacing w:after="20" w:before="20" w:line="240" w:lineRule="auto"/>
            </w:pPr>
            <w:r/>
            <w:r>
              <w:rPr>
                <w:rFonts w:ascii="Arial" w:hAnsi="Arial" w:cs="Arial"/>
                <w:b w:val="0"/>
                <w:i w:val="0"/>
                <w:sz w:val="17"/>
              </w:rPr>
              <w:t>Section 9 — contract</w:t>
            </w:r>
          </w:p>
        </w:tc>
        <w:tc>
          <w:tcPr>
            <w:tcW w:type="dxa" w:w="4819"/>
          </w:tcPr>
          <w:p>
            <w:pPr>
              <w:spacing w:after="20" w:before="20" w:line="240" w:lineRule="auto"/>
            </w:pPr>
            <w:r/>
            <w:r>
              <w:rPr>
                <w:rFonts w:ascii="Arial" w:hAnsi="Arial" w:cs="Arial"/>
                <w:b w:val="0"/>
                <w:i w:val="0"/>
                <w:sz w:val="17"/>
              </w:rPr>
              <w:t>Extension clauses</w:t>
            </w:r>
          </w:p>
        </w:tc>
      </w:tr>
      <w:tr>
        <w:tc>
          <w:tcPr>
            <w:tcW w:type="dxa" w:w="4819"/>
          </w:tcPr>
          <w:p>
            <w:pPr>
              <w:spacing w:after="20" w:before="20" w:line="240" w:lineRule="auto"/>
            </w:pPr>
            <w:r/>
            <w:r>
              <w:rPr>
                <w:rFonts w:ascii="Arial" w:hAnsi="Arial" w:cs="Arial"/>
                <w:b w:val="0"/>
                <w:i w:val="0"/>
                <w:sz w:val="17"/>
              </w:rPr>
              <w:t>Section 14 — disputes</w:t>
            </w:r>
          </w:p>
        </w:tc>
        <w:tc>
          <w:tcPr>
            <w:tcW w:type="dxa" w:w="4819"/>
          </w:tcPr>
          <w:p>
            <w:pPr>
              <w:spacing w:after="20" w:before="20" w:line="240" w:lineRule="auto"/>
            </w:pPr>
            <w:r/>
            <w:r>
              <w:rPr>
                <w:rFonts w:ascii="Arial" w:hAnsi="Arial" w:cs="Arial"/>
                <w:b w:val="0"/>
                <w:i w:val="0"/>
                <w:sz w:val="17"/>
              </w:rPr>
              <w:t>Force majeure evidence</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Event alerts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22.17.6 Implementation Checklist</w:t>
      </w:r>
    </w:p>
    <w:p>
      <w:pPr>
        <w:spacing w:after="80" w:line="293" w:lineRule="auto"/>
        <w:ind w:left="283"/>
        <w:jc w:val="left"/>
      </w:pPr>
      <w:r>
        <w:rPr>
          <w:rFonts w:ascii="Times New Roman" w:hAnsi="Times New Roman" w:cs="Times New Roman"/>
          <w:b w:val="0"/>
          <w:i w:val="0"/>
          <w:sz w:val="22"/>
        </w:rPr>
        <w:t>- Create the `force_majeure_events` table.</w:t>
      </w:r>
    </w:p>
    <w:p>
      <w:pPr>
        <w:spacing w:after="80" w:line="293" w:lineRule="auto"/>
        <w:ind w:left="283"/>
        <w:jc w:val="left"/>
      </w:pPr>
      <w:r>
        <w:rPr>
          <w:rFonts w:ascii="Times New Roman" w:hAnsi="Times New Roman" w:cs="Times New Roman"/>
          <w:b w:val="0"/>
          <w:i w:val="0"/>
          <w:sz w:val="22"/>
        </w:rPr>
        <w:t>- Create the `force_majeure_claims` table.</w:t>
      </w:r>
    </w:p>
    <w:p>
      <w:pPr>
        <w:spacing w:after="80" w:line="293" w:lineRule="auto"/>
        <w:ind w:left="283"/>
        <w:jc w:val="left"/>
      </w:pPr>
      <w:r>
        <w:rPr>
          <w:rFonts w:ascii="Times New Roman" w:hAnsi="Times New Roman" w:cs="Times New Roman"/>
          <w:b w:val="0"/>
          <w:i w:val="0"/>
          <w:sz w:val="22"/>
        </w:rPr>
        <w:t>- Create the `force_majeure_extensions` table.</w:t>
      </w:r>
    </w:p>
    <w:p>
      <w:pPr>
        <w:spacing w:after="80" w:line="293" w:lineRule="auto"/>
        <w:ind w:left="283"/>
        <w:jc w:val="left"/>
      </w:pPr>
      <w:r>
        <w:rPr>
          <w:rFonts w:ascii="Times New Roman" w:hAnsi="Times New Roman" w:cs="Times New Roman"/>
          <w:b w:val="0"/>
          <w:i w:val="0"/>
          <w:sz w:val="22"/>
        </w:rPr>
        <w:t>- Implement RIA event detection.</w:t>
      </w:r>
    </w:p>
    <w:p>
      <w:pPr>
        <w:spacing w:after="80" w:line="293" w:lineRule="auto"/>
        <w:ind w:left="283"/>
        <w:jc w:val="left"/>
      </w:pPr>
      <w:r>
        <w:rPr>
          <w:rFonts w:ascii="Times New Roman" w:hAnsi="Times New Roman" w:cs="Times New Roman"/>
          <w:b w:val="0"/>
          <w:i w:val="0"/>
          <w:sz w:val="22"/>
        </w:rPr>
        <w:t>- Implement the claim workflow.</w:t>
      </w:r>
    </w:p>
    <w:p>
      <w:pPr>
        <w:spacing w:after="80" w:line="293" w:lineRule="auto"/>
        <w:ind w:left="283"/>
        <w:jc w:val="left"/>
      </w:pPr>
      <w:r>
        <w:rPr>
          <w:rFonts w:ascii="Times New Roman" w:hAnsi="Times New Roman" w:cs="Times New Roman"/>
          <w:b w:val="0"/>
          <w:i w:val="0"/>
          <w:sz w:val="22"/>
        </w:rPr>
        <w:t>- Implement contract extension.</w:t>
      </w:r>
    </w:p>
    <w:p>
      <w:pPr>
        <w:spacing w:after="80" w:line="293" w:lineRule="auto"/>
        <w:ind w:left="283"/>
        <w:jc w:val="left"/>
      </w:pPr>
      <w:r>
        <w:rPr>
          <w:rFonts w:ascii="Times New Roman" w:hAnsi="Times New Roman" w:cs="Times New Roman"/>
          <w:b w:val="0"/>
          <w:i w:val="0"/>
          <w:sz w:val="22"/>
        </w:rPr>
        <w:t>- Add Smart Inbox alerts.</w:t>
      </w:r>
    </w:p>
    <w:p>
      <w:pPr>
        <w:keepNext/>
        <w:spacing w:before="240" w:after="100"/>
        <w:outlineLvl w:val="1"/>
      </w:pPr>
      <w:r>
        <w:rPr>
          <w:rFonts w:ascii="Arial" w:hAnsi="Arial" w:cs="Arial"/>
          <w:b/>
          <w:i w:val="0"/>
          <w:color w:val="2E528F"/>
          <w:sz w:val="26"/>
        </w:rPr>
        <w:t>22.18 Add-On 23: Shipper's Declaration &amp; Export Documentation</w:t>
      </w:r>
    </w:p>
    <w:p>
      <w:pPr>
        <w:keepNext/>
        <w:spacing w:before="180" w:after="80"/>
        <w:outlineLvl w:val="2"/>
      </w:pPr>
      <w:r>
        <w:rPr>
          <w:rFonts w:ascii="Arial" w:hAnsi="Arial" w:cs="Arial"/>
          <w:b/>
          <w:i w:val="0"/>
          <w:color w:val="333333"/>
          <w:sz w:val="23"/>
        </w:rPr>
        <w:t>22.18.1 Purpose &amp; Design Philosophy</w:t>
      </w:r>
    </w:p>
    <w:p>
      <w:pPr>
        <w:spacing w:after="80" w:line="293" w:lineRule="auto"/>
        <w:jc w:val="left"/>
      </w:pPr>
      <w:r>
        <w:rPr>
          <w:rFonts w:ascii="Times New Roman" w:hAnsi="Times New Roman" w:cs="Times New Roman"/>
          <w:b w:val="0"/>
          <w:i w:val="0"/>
          <w:sz w:val="22"/>
        </w:rPr>
        <w:t>Manage shipper's declarations, export accompanying documents (EAD), and export licence tracking.</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Document management — declaration, EAD, licence.</w:t>
      </w:r>
    </w:p>
    <w:p>
      <w:pPr>
        <w:spacing w:after="80" w:line="293" w:lineRule="auto"/>
        <w:ind w:left="283"/>
        <w:jc w:val="left"/>
      </w:pPr>
      <w:r>
        <w:rPr>
          <w:rFonts w:ascii="Times New Roman" w:hAnsi="Times New Roman" w:cs="Times New Roman"/>
          <w:b w:val="0"/>
          <w:i w:val="0"/>
          <w:sz w:val="22"/>
        </w:rPr>
        <w:t>- Compliance tracking — expiry, renewal.</w:t>
      </w:r>
    </w:p>
    <w:p>
      <w:pPr>
        <w:spacing w:after="80" w:line="293" w:lineRule="auto"/>
        <w:ind w:left="283"/>
        <w:jc w:val="left"/>
      </w:pPr>
      <w:r>
        <w:rPr>
          <w:rFonts w:ascii="Times New Roman" w:hAnsi="Times New Roman" w:cs="Times New Roman"/>
          <w:b w:val="0"/>
          <w:i w:val="0"/>
          <w:sz w:val="22"/>
        </w:rPr>
        <w:t>- Integration — customs declaration.</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A2 (HF local → Ollama): document extraction.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22.18.2 Export Documentation Requirements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Document</w:t>
            </w:r>
          </w:p>
        </w:tc>
        <w:tc>
          <w:tcPr>
            <w:tcW w:type="dxa" w:w="3213"/>
            <w:shd w:val="clear" w:fill="D9E2F3"/>
          </w:tcPr>
          <w:p>
            <w:pPr>
              <w:spacing w:after="20" w:before="20" w:line="240" w:lineRule="auto"/>
            </w:pPr>
            <w:r/>
            <w:r>
              <w:rPr>
                <w:rFonts w:ascii="Arial" w:hAnsi="Arial" w:cs="Arial"/>
                <w:b/>
                <w:i w:val="0"/>
                <w:sz w:val="18"/>
              </w:rPr>
              <w:t>Required For</w:t>
            </w:r>
          </w:p>
        </w:tc>
        <w:tc>
          <w:tcPr>
            <w:tcW w:type="dxa" w:w="3213"/>
            <w:shd w:val="clear" w:fill="D9E2F3"/>
          </w:tcPr>
          <w:p>
            <w:pPr>
              <w:spacing w:after="20" w:before="20" w:line="240" w:lineRule="auto"/>
            </w:pPr>
            <w:r/>
            <w:r>
              <w:rPr>
                <w:rFonts w:ascii="Arial" w:hAnsi="Arial" w:cs="Arial"/>
                <w:b/>
                <w:i w:val="0"/>
                <w:sz w:val="18"/>
              </w:rPr>
              <w:t>Issuing Authority</w:t>
            </w:r>
          </w:p>
        </w:tc>
      </w:tr>
      <w:tr>
        <w:tc>
          <w:tcPr>
            <w:tcW w:type="dxa" w:w="3213"/>
          </w:tcPr>
          <w:p>
            <w:pPr>
              <w:spacing w:after="20" w:before="20" w:line="240" w:lineRule="auto"/>
            </w:pPr>
            <w:r/>
            <w:r>
              <w:rPr>
                <w:rFonts w:ascii="Arial" w:hAnsi="Arial" w:cs="Arial"/>
                <w:b w:val="0"/>
                <w:i w:val="0"/>
                <w:sz w:val="17"/>
              </w:rPr>
              <w:t>Shipper's Declaration</w:t>
            </w:r>
          </w:p>
        </w:tc>
        <w:tc>
          <w:tcPr>
            <w:tcW w:type="dxa" w:w="3213"/>
          </w:tcPr>
          <w:p>
            <w:pPr>
              <w:spacing w:after="20" w:before="20" w:line="240" w:lineRule="auto"/>
            </w:pPr>
            <w:r/>
            <w:r>
              <w:rPr>
                <w:rFonts w:ascii="Arial" w:hAnsi="Arial" w:cs="Arial"/>
                <w:b w:val="0"/>
                <w:i w:val="0"/>
                <w:sz w:val="17"/>
              </w:rPr>
              <w:t>All exports</w:t>
            </w:r>
          </w:p>
        </w:tc>
        <w:tc>
          <w:tcPr>
            <w:tcW w:type="dxa" w:w="3213"/>
          </w:tcPr>
          <w:p>
            <w:pPr>
              <w:spacing w:after="20" w:before="20" w:line="240" w:lineRule="auto"/>
            </w:pPr>
            <w:r/>
            <w:r>
              <w:rPr>
                <w:rFonts w:ascii="Arial" w:hAnsi="Arial" w:cs="Arial"/>
                <w:b w:val="0"/>
                <w:i w:val="0"/>
                <w:sz w:val="17"/>
              </w:rPr>
              <w:t>Exporter</w:t>
            </w:r>
          </w:p>
        </w:tc>
      </w:tr>
      <w:tr>
        <w:tc>
          <w:tcPr>
            <w:tcW w:type="dxa" w:w="3213"/>
          </w:tcPr>
          <w:p>
            <w:pPr>
              <w:spacing w:after="20" w:before="20" w:line="240" w:lineRule="auto"/>
            </w:pPr>
            <w:r/>
            <w:r>
              <w:rPr>
                <w:rFonts w:ascii="Arial" w:hAnsi="Arial" w:cs="Arial"/>
                <w:b w:val="0"/>
                <w:i w:val="0"/>
                <w:sz w:val="17"/>
              </w:rPr>
              <w:t>Export Accompanying Document</w:t>
            </w:r>
          </w:p>
        </w:tc>
        <w:tc>
          <w:tcPr>
            <w:tcW w:type="dxa" w:w="3213"/>
          </w:tcPr>
          <w:p>
            <w:pPr>
              <w:spacing w:after="20" w:before="20" w:line="240" w:lineRule="auto"/>
            </w:pPr>
            <w:r/>
            <w:r>
              <w:rPr>
                <w:rFonts w:ascii="Arial" w:hAnsi="Arial" w:cs="Arial"/>
                <w:b w:val="0"/>
                <w:i w:val="0"/>
                <w:sz w:val="17"/>
              </w:rPr>
              <w:t>EU exports</w:t>
            </w:r>
          </w:p>
        </w:tc>
        <w:tc>
          <w:tcPr>
            <w:tcW w:type="dxa" w:w="3213"/>
          </w:tcPr>
          <w:p>
            <w:pPr>
              <w:spacing w:after="20" w:before="20" w:line="240" w:lineRule="auto"/>
            </w:pPr>
            <w:r/>
            <w:r>
              <w:rPr>
                <w:rFonts w:ascii="Arial" w:hAnsi="Arial" w:cs="Arial"/>
                <w:b w:val="0"/>
                <w:i w:val="0"/>
                <w:sz w:val="17"/>
              </w:rPr>
              <w:t>Customs</w:t>
            </w:r>
          </w:p>
        </w:tc>
      </w:tr>
      <w:tr>
        <w:tc>
          <w:tcPr>
            <w:tcW w:type="dxa" w:w="3213"/>
          </w:tcPr>
          <w:p>
            <w:pPr>
              <w:spacing w:after="20" w:before="20" w:line="240" w:lineRule="auto"/>
            </w:pPr>
            <w:r/>
            <w:r>
              <w:rPr>
                <w:rFonts w:ascii="Arial" w:hAnsi="Arial" w:cs="Arial"/>
                <w:b w:val="0"/>
                <w:i w:val="0"/>
                <w:sz w:val="17"/>
              </w:rPr>
              <w:t>Export Licence</w:t>
            </w:r>
          </w:p>
        </w:tc>
        <w:tc>
          <w:tcPr>
            <w:tcW w:type="dxa" w:w="3213"/>
          </w:tcPr>
          <w:p>
            <w:pPr>
              <w:spacing w:after="20" w:before="20" w:line="240" w:lineRule="auto"/>
            </w:pPr>
            <w:r/>
            <w:r>
              <w:rPr>
                <w:rFonts w:ascii="Arial" w:hAnsi="Arial" w:cs="Arial"/>
                <w:b w:val="0"/>
                <w:i w:val="0"/>
                <w:sz w:val="17"/>
              </w:rPr>
              <w:t>Restricted goods</w:t>
            </w:r>
          </w:p>
        </w:tc>
        <w:tc>
          <w:tcPr>
            <w:tcW w:type="dxa" w:w="3213"/>
          </w:tcPr>
          <w:p>
            <w:pPr>
              <w:spacing w:after="20" w:before="20" w:line="240" w:lineRule="auto"/>
            </w:pPr>
            <w:r/>
            <w:r>
              <w:rPr>
                <w:rFonts w:ascii="Arial" w:hAnsi="Arial" w:cs="Arial"/>
                <w:b w:val="0"/>
                <w:i w:val="0"/>
                <w:sz w:val="17"/>
              </w:rPr>
              <w:t>Ministry of Trade</w:t>
            </w:r>
          </w:p>
        </w:tc>
      </w:tr>
      <w:tr>
        <w:tc>
          <w:tcPr>
            <w:tcW w:type="dxa" w:w="3213"/>
          </w:tcPr>
          <w:p>
            <w:pPr>
              <w:spacing w:after="20" w:before="20" w:line="240" w:lineRule="auto"/>
            </w:pPr>
            <w:r/>
            <w:r>
              <w:rPr>
                <w:rFonts w:ascii="Arial" w:hAnsi="Arial" w:cs="Arial"/>
                <w:b w:val="0"/>
                <w:i w:val="0"/>
                <w:sz w:val="17"/>
              </w:rPr>
              <w:t>Certificate of Origin</w:t>
            </w:r>
          </w:p>
        </w:tc>
        <w:tc>
          <w:tcPr>
            <w:tcW w:type="dxa" w:w="3213"/>
          </w:tcPr>
          <w:p>
            <w:pPr>
              <w:spacing w:after="20" w:before="20" w:line="240" w:lineRule="auto"/>
            </w:pPr>
            <w:r/>
            <w:r>
              <w:rPr>
                <w:rFonts w:ascii="Arial" w:hAnsi="Arial" w:cs="Arial"/>
                <w:b w:val="0"/>
                <w:i w:val="0"/>
                <w:sz w:val="17"/>
              </w:rPr>
              <w:t>FTA preference</w:t>
            </w:r>
          </w:p>
        </w:tc>
        <w:tc>
          <w:tcPr>
            <w:tcW w:type="dxa" w:w="3213"/>
          </w:tcPr>
          <w:p>
            <w:pPr>
              <w:spacing w:after="20" w:before="20" w:line="240" w:lineRule="auto"/>
            </w:pPr>
            <w:r/>
            <w:r>
              <w:rPr>
                <w:rFonts w:ascii="Arial" w:hAnsi="Arial" w:cs="Arial"/>
                <w:b w:val="0"/>
                <w:i w:val="0"/>
                <w:sz w:val="17"/>
              </w:rPr>
              <w:t>Chamber of Commerce</w:t>
            </w:r>
          </w:p>
        </w:tc>
      </w:tr>
      <w:tr>
        <w:tc>
          <w:tcPr>
            <w:tcW w:type="dxa" w:w="3213"/>
          </w:tcPr>
          <w:p>
            <w:pPr>
              <w:spacing w:after="20" w:before="20" w:line="240" w:lineRule="auto"/>
            </w:pPr>
            <w:r/>
            <w:r>
              <w:rPr>
                <w:rFonts w:ascii="Arial" w:hAnsi="Arial" w:cs="Arial"/>
                <w:b w:val="0"/>
                <w:i w:val="0"/>
                <w:sz w:val="17"/>
              </w:rPr>
              <w:t>EUR.1</w:t>
            </w:r>
          </w:p>
        </w:tc>
        <w:tc>
          <w:tcPr>
            <w:tcW w:type="dxa" w:w="3213"/>
          </w:tcPr>
          <w:p>
            <w:pPr>
              <w:spacing w:after="20" w:before="20" w:line="240" w:lineRule="auto"/>
            </w:pPr>
            <w:r/>
            <w:r>
              <w:rPr>
                <w:rFonts w:ascii="Arial" w:hAnsi="Arial" w:cs="Arial"/>
                <w:b w:val="0"/>
                <w:i w:val="0"/>
                <w:sz w:val="17"/>
              </w:rPr>
              <w:t>Egypt-EU FTA</w:t>
            </w:r>
          </w:p>
        </w:tc>
        <w:tc>
          <w:tcPr>
            <w:tcW w:type="dxa" w:w="3213"/>
          </w:tcPr>
          <w:p>
            <w:pPr>
              <w:spacing w:after="20" w:before="20" w:line="240" w:lineRule="auto"/>
            </w:pPr>
            <w:r/>
            <w:r>
              <w:rPr>
                <w:rFonts w:ascii="Arial" w:hAnsi="Arial" w:cs="Arial"/>
                <w:b w:val="0"/>
                <w:i w:val="0"/>
                <w:sz w:val="17"/>
              </w:rPr>
              <w:t>Chamber of Commerce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22.18.3 Database Schema</w:t>
      </w:r>
    </w:p>
    <w:p>
      <w:pPr>
        <w:spacing w:after="0" w:before="0" w:line="240" w:lineRule="auto"/>
        <w:ind w:left="57"/>
        <w:jc w:val="left"/>
        <w:shd w:val="clear" w:fill="F2F2F2"/>
      </w:pPr>
      <w:r>
        <w:rPr>
          <w:rFonts w:ascii="Consolas" w:hAnsi="Consolas" w:cs="Consolas"/>
          <w:b w:val="0"/>
          <w:i w:val="0"/>
          <w:sz w:val="15"/>
        </w:rPr>
        <w:t>-- Shipper's declarations</w:t>
      </w:r>
    </w:p>
    <w:p>
      <w:pPr>
        <w:spacing w:after="0" w:before="0" w:line="240" w:lineRule="auto"/>
        <w:ind w:left="57"/>
        <w:jc w:val="left"/>
        <w:shd w:val="clear" w:fill="F2F2F2"/>
      </w:pPr>
      <w:r>
        <w:rPr>
          <w:rFonts w:ascii="Consolas" w:hAnsi="Consolas" w:cs="Consolas"/>
          <w:b w:val="0"/>
          <w:i w:val="0"/>
          <w:sz w:val="15"/>
        </w:rPr>
        <w:t>CREATE TABLE shippers_declarations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exporter_gtid TEXT NOT NULL REFERENCES tenants(gtid),</w:t>
      </w:r>
    </w:p>
    <w:p>
      <w:pPr>
        <w:spacing w:after="0" w:before="0" w:line="240" w:lineRule="auto"/>
        <w:ind w:left="57"/>
        <w:jc w:val="left"/>
        <w:shd w:val="clear" w:fill="F2F2F2"/>
      </w:pPr>
      <w:r>
        <w:rPr>
          <w:rFonts w:ascii="Consolas" w:hAnsi="Consolas" w:cs="Consolas"/>
          <w:b w:val="0"/>
          <w:i w:val="0"/>
          <w:sz w:val="15"/>
        </w:rPr>
        <w:t xml:space="preserve">    declaration_reference TEXT,</w:t>
      </w:r>
    </w:p>
    <w:p>
      <w:pPr>
        <w:spacing w:after="0" w:before="0" w:line="240" w:lineRule="auto"/>
        <w:ind w:left="57"/>
        <w:jc w:val="left"/>
        <w:shd w:val="clear" w:fill="F2F2F2"/>
      </w:pPr>
      <w:r>
        <w:rPr>
          <w:rFonts w:ascii="Consolas" w:hAnsi="Consolas" w:cs="Consolas"/>
          <w:b w:val="0"/>
          <w:i w:val="0"/>
          <w:sz w:val="15"/>
        </w:rPr>
        <w:t xml:space="preserve">    declaration_date TIMESTAMPTZ,</w:t>
      </w:r>
    </w:p>
    <w:p>
      <w:pPr>
        <w:spacing w:after="0" w:before="0" w:line="240" w:lineRule="auto"/>
        <w:ind w:left="57"/>
        <w:jc w:val="left"/>
        <w:shd w:val="clear" w:fill="F2F2F2"/>
      </w:pPr>
      <w:r>
        <w:rPr>
          <w:rFonts w:ascii="Consolas" w:hAnsi="Consolas" w:cs="Consolas"/>
          <w:b w:val="0"/>
          <w:i w:val="0"/>
          <w:sz w:val="15"/>
        </w:rPr>
        <w:t xml:space="preserve">    goods_description TEXT,</w:t>
      </w:r>
    </w:p>
    <w:p>
      <w:pPr>
        <w:spacing w:after="0" w:before="0" w:line="240" w:lineRule="auto"/>
        <w:ind w:left="57"/>
        <w:jc w:val="left"/>
        <w:shd w:val="clear" w:fill="F2F2F2"/>
      </w:pPr>
      <w:r>
        <w:rPr>
          <w:rFonts w:ascii="Consolas" w:hAnsi="Consolas" w:cs="Consolas"/>
          <w:b w:val="0"/>
          <w:i w:val="0"/>
          <w:sz w:val="15"/>
        </w:rPr>
        <w:t xml:space="preserve">    hs_code TEXT,</w:t>
      </w:r>
    </w:p>
    <w:p>
      <w:pPr>
        <w:spacing w:after="0" w:before="0" w:line="240" w:lineRule="auto"/>
        <w:ind w:left="57"/>
        <w:jc w:val="left"/>
        <w:shd w:val="clear" w:fill="F2F2F2"/>
      </w:pPr>
      <w:r>
        <w:rPr>
          <w:rFonts w:ascii="Consolas" w:hAnsi="Consolas" w:cs="Consolas"/>
          <w:b w:val="0"/>
          <w:i w:val="0"/>
          <w:sz w:val="15"/>
        </w:rPr>
        <w:t xml:space="preserve">    net_weight DECIMAL(10,2),</w:t>
      </w:r>
    </w:p>
    <w:p>
      <w:pPr>
        <w:spacing w:after="0" w:before="0" w:line="240" w:lineRule="auto"/>
        <w:ind w:left="57"/>
        <w:jc w:val="left"/>
        <w:shd w:val="clear" w:fill="F2F2F2"/>
      </w:pPr>
      <w:r>
        <w:rPr>
          <w:rFonts w:ascii="Consolas" w:hAnsi="Consolas" w:cs="Consolas"/>
          <w:b w:val="0"/>
          <w:i w:val="0"/>
          <w:sz w:val="15"/>
        </w:rPr>
        <w:t xml:space="preserve">    value DECIMAL(20,4),</w:t>
      </w:r>
    </w:p>
    <w:p>
      <w:pPr>
        <w:spacing w:after="0" w:before="0" w:line="240" w:lineRule="auto"/>
        <w:ind w:left="57"/>
        <w:jc w:val="left"/>
        <w:shd w:val="clear" w:fill="F2F2F2"/>
      </w:pPr>
      <w:r>
        <w:rPr>
          <w:rFonts w:ascii="Consolas" w:hAnsi="Consolas" w:cs="Consolas"/>
          <w:b w:val="0"/>
          <w:i w:val="0"/>
          <w:sz w:val="15"/>
        </w:rPr>
        <w:t xml:space="preserve">    currency TEXT,</w:t>
      </w:r>
    </w:p>
    <w:p>
      <w:pPr>
        <w:spacing w:after="0" w:before="0" w:line="240" w:lineRule="auto"/>
        <w:ind w:left="57"/>
        <w:jc w:val="left"/>
        <w:shd w:val="clear" w:fill="F2F2F2"/>
      </w:pPr>
      <w:r>
        <w:rPr>
          <w:rFonts w:ascii="Consolas" w:hAnsi="Consolas" w:cs="Consolas"/>
          <w:b w:val="0"/>
          <w:i w:val="0"/>
          <w:sz w:val="15"/>
        </w:rPr>
        <w:t xml:space="preserve">    origin_country CHAR(2),</w:t>
      </w:r>
    </w:p>
    <w:p>
      <w:pPr>
        <w:spacing w:after="0" w:before="0" w:line="240" w:lineRule="auto"/>
        <w:ind w:left="57"/>
        <w:jc w:val="left"/>
        <w:shd w:val="clear" w:fill="F2F2F2"/>
      </w:pPr>
      <w:r>
        <w:rPr>
          <w:rFonts w:ascii="Consolas" w:hAnsi="Consolas" w:cs="Consolas"/>
          <w:b w:val="0"/>
          <w:i w:val="0"/>
          <w:sz w:val="15"/>
        </w:rPr>
        <w:t xml:space="preserve">    destination_country CHAR(2),</w:t>
      </w:r>
    </w:p>
    <w:p>
      <w:pPr>
        <w:spacing w:after="0" w:before="0" w:line="240" w:lineRule="auto"/>
        <w:ind w:left="57"/>
        <w:jc w:val="left"/>
        <w:shd w:val="clear" w:fill="F2F2F2"/>
      </w:pPr>
      <w:r>
        <w:rPr>
          <w:rFonts w:ascii="Consolas" w:hAnsi="Consolas" w:cs="Consolas"/>
          <w:b w:val="0"/>
          <w:i w:val="0"/>
          <w:sz w:val="15"/>
        </w:rPr>
        <w:t xml:space="preserve">    incoterm TEXT,</w:t>
      </w:r>
    </w:p>
    <w:p>
      <w:pPr>
        <w:spacing w:after="0" w:before="0" w:line="240" w:lineRule="auto"/>
        <w:ind w:left="57"/>
        <w:jc w:val="left"/>
        <w:shd w:val="clear" w:fill="F2F2F2"/>
      </w:pPr>
      <w:r>
        <w:rPr>
          <w:rFonts w:ascii="Consolas" w:hAnsi="Consolas" w:cs="Consolas"/>
          <w:b w:val="0"/>
          <w:i w:val="0"/>
          <w:sz w:val="15"/>
        </w:rPr>
        <w:t xml:space="preserve">    signed BOOLEAN DEFAULT false,</w:t>
      </w:r>
    </w:p>
    <w:p>
      <w:pPr>
        <w:spacing w:after="0" w:before="0" w:line="240" w:lineRule="auto"/>
        <w:ind w:left="57"/>
        <w:jc w:val="left"/>
        <w:shd w:val="clear" w:fill="F2F2F2"/>
      </w:pPr>
      <w:r>
        <w:rPr>
          <w:rFonts w:ascii="Consolas" w:hAnsi="Consolas" w:cs="Consolas"/>
          <w:b w:val="0"/>
          <w:i w:val="0"/>
          <w:sz w:val="15"/>
        </w:rPr>
        <w:t xml:space="preserve">    signed_at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Export accompanying documents (EAD)</w:t>
      </w:r>
    </w:p>
    <w:p>
      <w:pPr>
        <w:spacing w:after="0" w:before="0" w:line="240" w:lineRule="auto"/>
        <w:ind w:left="57"/>
        <w:jc w:val="left"/>
        <w:shd w:val="clear" w:fill="F2F2F2"/>
      </w:pPr>
      <w:r>
        <w:rPr>
          <w:rFonts w:ascii="Consolas" w:hAnsi="Consolas" w:cs="Consolas"/>
          <w:b w:val="0"/>
          <w:i w:val="0"/>
          <w:sz w:val="15"/>
        </w:rPr>
        <w:t>CREATE TABLE export_accompanying_documents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ead_reference TEXT NOT NULL,</w:t>
      </w:r>
    </w:p>
    <w:p>
      <w:pPr>
        <w:spacing w:after="0" w:before="0" w:line="240" w:lineRule="auto"/>
        <w:ind w:left="57"/>
        <w:jc w:val="left"/>
        <w:shd w:val="clear" w:fill="F2F2F2"/>
      </w:pPr>
      <w:r>
        <w:rPr>
          <w:rFonts w:ascii="Consolas" w:hAnsi="Consolas" w:cs="Consolas"/>
          <w:b w:val="0"/>
          <w:i w:val="0"/>
          <w:sz w:val="15"/>
        </w:rPr>
        <w:t xml:space="preserve">    issue_date TIMESTAMPTZ,</w:t>
      </w:r>
    </w:p>
    <w:p>
      <w:pPr>
        <w:spacing w:after="0" w:before="0" w:line="240" w:lineRule="auto"/>
        <w:ind w:left="57"/>
        <w:jc w:val="left"/>
        <w:shd w:val="clear" w:fill="F2F2F2"/>
      </w:pPr>
      <w:r>
        <w:rPr>
          <w:rFonts w:ascii="Consolas" w:hAnsi="Consolas" w:cs="Consolas"/>
          <w:b w:val="0"/>
          <w:i w:val="0"/>
          <w:sz w:val="15"/>
        </w:rPr>
        <w:t xml:space="preserve">    valid_until TIMESTAMPTZ,</w:t>
      </w:r>
    </w:p>
    <w:p>
      <w:pPr>
        <w:spacing w:after="0" w:before="0" w:line="240" w:lineRule="auto"/>
        <w:ind w:left="57"/>
        <w:jc w:val="left"/>
        <w:shd w:val="clear" w:fill="F2F2F2"/>
      </w:pPr>
      <w:r>
        <w:rPr>
          <w:rFonts w:ascii="Consolas" w:hAnsi="Consolas" w:cs="Consolas"/>
          <w:b w:val="0"/>
          <w:i w:val="0"/>
          <w:sz w:val="15"/>
        </w:rPr>
        <w:t xml:space="preserve">    issuing_authority TEXT,</w:t>
      </w:r>
    </w:p>
    <w:p>
      <w:pPr>
        <w:spacing w:after="0" w:before="0" w:line="240" w:lineRule="auto"/>
        <w:ind w:left="57"/>
        <w:jc w:val="left"/>
        <w:shd w:val="clear" w:fill="F2F2F2"/>
      </w:pPr>
      <w:r>
        <w:rPr>
          <w:rFonts w:ascii="Consolas" w:hAnsi="Consolas" w:cs="Consolas"/>
          <w:b w:val="0"/>
          <w:i w:val="0"/>
          <w:sz w:val="15"/>
        </w:rPr>
        <w:t xml:space="preserve">    document_url TEXT,</w:t>
      </w:r>
    </w:p>
    <w:p>
      <w:pPr>
        <w:spacing w:after="0" w:before="0" w:line="240" w:lineRule="auto"/>
        <w:ind w:left="57"/>
        <w:jc w:val="left"/>
        <w:shd w:val="clear" w:fill="F2F2F2"/>
      </w:pPr>
      <w:r>
        <w:rPr>
          <w:rFonts w:ascii="Consolas" w:hAnsi="Consolas" w:cs="Consolas"/>
          <w:b w:val="0"/>
          <w:i w:val="0"/>
          <w:sz w:val="15"/>
        </w:rPr>
        <w:t xml:space="preserve">    status TEXT DEFAULT 'ACTIVE',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Export licences</w:t>
      </w:r>
    </w:p>
    <w:p>
      <w:pPr>
        <w:spacing w:after="0" w:before="0" w:line="240" w:lineRule="auto"/>
        <w:ind w:left="57"/>
        <w:jc w:val="left"/>
        <w:shd w:val="clear" w:fill="F2F2F2"/>
      </w:pPr>
      <w:r>
        <w:rPr>
          <w:rFonts w:ascii="Consolas" w:hAnsi="Consolas" w:cs="Consolas"/>
          <w:b w:val="0"/>
          <w:i w:val="0"/>
          <w:sz w:val="15"/>
        </w:rPr>
        <w:t>CREATE TABLE export_licences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tenant_gtid TEXT NOT NULL REFERENCES tenants(gtid),</w:t>
      </w:r>
    </w:p>
    <w:p>
      <w:pPr>
        <w:spacing w:after="0" w:before="0" w:line="240" w:lineRule="auto"/>
        <w:ind w:left="57"/>
        <w:jc w:val="left"/>
        <w:shd w:val="clear" w:fill="F2F2F2"/>
      </w:pPr>
      <w:r>
        <w:rPr>
          <w:rFonts w:ascii="Consolas" w:hAnsi="Consolas" w:cs="Consolas"/>
          <w:b w:val="0"/>
          <w:i w:val="0"/>
          <w:sz w:val="15"/>
        </w:rPr>
        <w:t xml:space="preserve">    licence_number TEXT NOT NULL,</w:t>
      </w:r>
    </w:p>
    <w:p>
      <w:pPr>
        <w:spacing w:after="0" w:before="0" w:line="240" w:lineRule="auto"/>
        <w:ind w:left="57"/>
        <w:jc w:val="left"/>
        <w:shd w:val="clear" w:fill="F2F2F2"/>
      </w:pPr>
      <w:r>
        <w:rPr>
          <w:rFonts w:ascii="Consolas" w:hAnsi="Consolas" w:cs="Consolas"/>
          <w:b w:val="0"/>
          <w:i w:val="0"/>
          <w:sz w:val="15"/>
        </w:rPr>
        <w:t xml:space="preserve">    issuing_authority TEXT NOT NULL,</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restricted_commodities TEXT[],</w:t>
      </w:r>
    </w:p>
    <w:p>
      <w:pPr>
        <w:spacing w:after="0" w:before="0" w:line="240" w:lineRule="auto"/>
        <w:ind w:left="57"/>
        <w:jc w:val="left"/>
        <w:shd w:val="clear" w:fill="F2F2F2"/>
      </w:pPr>
      <w:r>
        <w:rPr>
          <w:rFonts w:ascii="Consolas" w:hAnsi="Consolas" w:cs="Consolas"/>
          <w:b w:val="0"/>
          <w:i w:val="0"/>
          <w:sz w:val="15"/>
        </w:rPr>
        <w:t xml:space="preserve">    document_url TEXT,</w:t>
      </w:r>
    </w:p>
    <w:p>
      <w:pPr>
        <w:spacing w:after="0" w:before="0" w:line="240" w:lineRule="auto"/>
        <w:ind w:left="57"/>
        <w:jc w:val="left"/>
        <w:shd w:val="clear" w:fill="F2F2F2"/>
      </w:pPr>
      <w:r>
        <w:rPr>
          <w:rFonts w:ascii="Consolas" w:hAnsi="Consolas" w:cs="Consolas"/>
          <w:b w:val="0"/>
          <w:i w:val="0"/>
          <w:sz w:val="15"/>
        </w:rPr>
        <w:t xml:space="preserve">    status TEXT DEFAULT 'ACTIVE',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idx_shippers_declarations_ustn ON shippers_declarations(ustn);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idx_export_accompanying_documents_ustn ON export_accompanying_documents(ustn);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idx_export_licences_tenant ON export_licences(tenant_gtid);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idx_export_licences_valid_to ON export_licences(valid_to);</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22.18.4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/v1/export/declaration/create</w:t>
            </w:r>
          </w:p>
        </w:tc>
        <w:tc>
          <w:tcPr>
            <w:tcW w:type="dxa" w:w="3213"/>
          </w:tcPr>
          <w:p>
            <w:pPr>
              <w:spacing w:after="20" w:before="20" w:line="240" w:lineRule="auto"/>
            </w:pPr>
            <w:r/>
            <w:r>
              <w:rPr>
                <w:rFonts w:ascii="Arial" w:hAnsi="Arial" w:cs="Arial"/>
                <w:b w:val="0"/>
                <w:i w:val="0"/>
                <w:sz w:val="17"/>
              </w:rPr>
              <w:t>Create declaration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/v1/export/declaration/{ustn}</w:t>
            </w:r>
          </w:p>
        </w:tc>
        <w:tc>
          <w:tcPr>
            <w:tcW w:type="dxa" w:w="3213"/>
          </w:tcPr>
          <w:p>
            <w:pPr>
              <w:spacing w:after="20" w:before="20" w:line="240" w:lineRule="auto"/>
            </w:pPr>
            <w:r/>
            <w:r>
              <w:rPr>
                <w:rFonts w:ascii="Arial" w:hAnsi="Arial" w:cs="Arial"/>
                <w:b w:val="0"/>
                <w:i w:val="0"/>
                <w:sz w:val="17"/>
              </w:rPr>
              <w:t>Get declaration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/v1/export/ead/create</w:t>
            </w:r>
          </w:p>
        </w:tc>
        <w:tc>
          <w:tcPr>
            <w:tcW w:type="dxa" w:w="3213"/>
          </w:tcPr>
          <w:p>
            <w:pPr>
              <w:spacing w:after="20" w:before="20" w:line="240" w:lineRule="auto"/>
            </w:pPr>
            <w:r/>
            <w:r>
              <w:rPr>
                <w:rFonts w:ascii="Arial" w:hAnsi="Arial" w:cs="Arial"/>
                <w:b w:val="0"/>
                <w:i w:val="0"/>
                <w:sz w:val="17"/>
              </w:rPr>
              <w:t>Create EAD</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/v1/export/licence/status</w:t>
            </w:r>
          </w:p>
        </w:tc>
        <w:tc>
          <w:tcPr>
            <w:tcW w:type="dxa" w:w="3213"/>
          </w:tcPr>
          <w:p>
            <w:pPr>
              <w:spacing w:after="20" w:before="20" w:line="240" w:lineRule="auto"/>
            </w:pPr>
            <w:r/>
            <w:r>
              <w:rPr>
                <w:rFonts w:ascii="Arial" w:hAnsi="Arial" w:cs="Arial"/>
                <w:b w:val="0"/>
                <w:i w:val="0"/>
                <w:sz w:val="17"/>
              </w:rPr>
              <w:t>Get licence status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22.18.5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8 — customs declaration</w:t>
            </w:r>
          </w:p>
        </w:tc>
        <w:tc>
          <w:tcPr>
            <w:tcW w:type="dxa" w:w="4819"/>
          </w:tcPr>
          <w:p>
            <w:pPr>
              <w:spacing w:after="20" w:before="20" w:line="240" w:lineRule="auto"/>
            </w:pPr>
            <w:r/>
            <w:r>
              <w:rPr>
                <w:rFonts w:ascii="Arial" w:hAnsi="Arial" w:cs="Arial"/>
                <w:b w:val="0"/>
                <w:i w:val="0"/>
                <w:sz w:val="17"/>
              </w:rPr>
              <w:t>Declaration data</w:t>
            </w:r>
          </w:p>
        </w:tc>
      </w:tr>
      <w:tr>
        <w:tc>
          <w:tcPr>
            <w:tcW w:type="dxa" w:w="4819"/>
          </w:tcPr>
          <w:p>
            <w:pPr>
              <w:spacing w:after="20" w:before="20" w:line="240" w:lineRule="auto"/>
            </w:pPr>
            <w:r/>
            <w:r>
              <w:rPr>
                <w:rFonts w:ascii="Arial" w:hAnsi="Arial" w:cs="Arial"/>
                <w:b w:val="0"/>
                <w:i w:val="0"/>
                <w:sz w:val="17"/>
              </w:rPr>
              <w:t>Section 4 — onboarding</w:t>
            </w:r>
          </w:p>
        </w:tc>
        <w:tc>
          <w:tcPr>
            <w:tcW w:type="dxa" w:w="4819"/>
          </w:tcPr>
          <w:p>
            <w:pPr>
              <w:spacing w:after="20" w:before="20" w:line="240" w:lineRule="auto"/>
            </w:pPr>
            <w:r/>
            <w:r>
              <w:rPr>
                <w:rFonts w:ascii="Arial" w:hAnsi="Arial" w:cs="Arial"/>
                <w:b w:val="0"/>
                <w:i w:val="0"/>
                <w:sz w:val="17"/>
              </w:rPr>
              <w:t>Licence upload</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Licence expiry</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22.18.6 Implementation Checklist</w:t>
      </w:r>
    </w:p>
    <w:p>
      <w:pPr>
        <w:spacing w:after="80" w:line="293" w:lineRule="auto"/>
        <w:ind w:left="283"/>
        <w:jc w:val="left"/>
      </w:pPr>
      <w:r>
        <w:rPr>
          <w:rFonts w:ascii="Times New Roman" w:hAnsi="Times New Roman" w:cs="Times New Roman"/>
          <w:b w:val="0"/>
          <w:i w:val="0"/>
          <w:sz w:val="22"/>
        </w:rPr>
        <w:t>- Create the `shippers_declarations` table.</w:t>
      </w:r>
    </w:p>
    <w:p>
      <w:pPr>
        <w:spacing w:after="80" w:line="293" w:lineRule="auto"/>
        <w:ind w:left="283"/>
        <w:jc w:val="left"/>
      </w:pPr>
      <w:r>
        <w:rPr>
          <w:rFonts w:ascii="Times New Roman" w:hAnsi="Times New Roman" w:cs="Times New Roman"/>
          <w:b w:val="0"/>
          <w:i w:val="0"/>
          <w:sz w:val="22"/>
        </w:rPr>
        <w:t>- Create the `export_accompanying_documents` table.</w:t>
      </w:r>
    </w:p>
    <w:p>
      <w:pPr>
        <w:spacing w:after="80" w:line="293" w:lineRule="auto"/>
        <w:ind w:left="283"/>
        <w:jc w:val="left"/>
      </w:pPr>
      <w:r>
        <w:rPr>
          <w:rFonts w:ascii="Times New Roman" w:hAnsi="Times New Roman" w:cs="Times New Roman"/>
          <w:b w:val="0"/>
          <w:i w:val="0"/>
          <w:sz w:val="22"/>
        </w:rPr>
        <w:t>- Create the `export_licences` table.</w:t>
      </w:r>
    </w:p>
    <w:p>
      <w:pPr>
        <w:spacing w:after="80" w:line="293" w:lineRule="auto"/>
        <w:ind w:left="283"/>
        <w:jc w:val="left"/>
      </w:pPr>
      <w:r>
        <w:rPr>
          <w:rFonts w:ascii="Times New Roman" w:hAnsi="Times New Roman" w:cs="Times New Roman"/>
          <w:b w:val="0"/>
          <w:i w:val="0"/>
          <w:sz w:val="22"/>
        </w:rPr>
        <w:t>- Implement declaration generation.</w:t>
      </w:r>
    </w:p>
    <w:p>
      <w:pPr>
        <w:spacing w:after="80" w:line="293" w:lineRule="auto"/>
        <w:ind w:left="283"/>
        <w:jc w:val="left"/>
      </w:pPr>
      <w:r>
        <w:rPr>
          <w:rFonts w:ascii="Times New Roman" w:hAnsi="Times New Roman" w:cs="Times New Roman"/>
          <w:b w:val="0"/>
          <w:i w:val="0"/>
          <w:sz w:val="22"/>
        </w:rPr>
        <w:t>- Implement EAD management.</w:t>
      </w:r>
    </w:p>
    <w:p>
      <w:pPr>
        <w:spacing w:after="80" w:line="293" w:lineRule="auto"/>
        <w:ind w:left="283"/>
        <w:jc w:val="left"/>
      </w:pPr>
      <w:r>
        <w:rPr>
          <w:rFonts w:ascii="Times New Roman" w:hAnsi="Times New Roman" w:cs="Times New Roman"/>
          <w:b w:val="0"/>
          <w:i w:val="0"/>
          <w:sz w:val="22"/>
        </w:rPr>
        <w:t>- Implement licence tracking.</w:t>
      </w:r>
    </w:p>
    <w:p>
      <w:pPr>
        <w:keepNext/>
        <w:spacing w:before="240" w:after="100"/>
        <w:outlineLvl w:val="1"/>
      </w:pPr>
      <w:r>
        <w:rPr>
          <w:rFonts w:ascii="Arial" w:hAnsi="Arial" w:cs="Arial"/>
          <w:b/>
          <w:i w:val="0"/>
          <w:color w:val="2E528F"/>
          <w:sz w:val="26"/>
        </w:rPr>
        <w:t>22.19 Add-On 24: Port &amp; Terminal Integration</w:t>
      </w:r>
    </w:p>
    <w:p>
      <w:pPr>
        <w:keepNext/>
        <w:spacing w:before="180" w:after="80"/>
        <w:outlineLvl w:val="2"/>
      </w:pPr>
      <w:r>
        <w:rPr>
          <w:rFonts w:ascii="Arial" w:hAnsi="Arial" w:cs="Arial"/>
          <w:b/>
          <w:i w:val="0"/>
          <w:color w:val="333333"/>
          <w:sz w:val="23"/>
        </w:rPr>
        <w:t>22.19.1 Purpose &amp; Design Philosophy</w:t>
      </w:r>
    </w:p>
    <w:p>
      <w:pPr>
        <w:spacing w:after="80" w:line="293" w:lineRule="auto"/>
        <w:jc w:val="left"/>
      </w:pPr>
      <w:r>
        <w:rPr>
          <w:rFonts w:ascii="Times New Roman" w:hAnsi="Times New Roman" w:cs="Times New Roman"/>
          <w:b w:val="0"/>
          <w:i w:val="0"/>
          <w:sz w:val="22"/>
        </w:rPr>
        <w:t>Beyond the container release API, deeper integration with port and terminal systems.</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EDI integration — gate-in/gate-out.</w:t>
      </w:r>
    </w:p>
    <w:p>
      <w:pPr>
        <w:spacing w:after="80" w:line="293" w:lineRule="auto"/>
        <w:ind w:left="283"/>
        <w:jc w:val="left"/>
      </w:pPr>
      <w:r>
        <w:rPr>
          <w:rFonts w:ascii="Times New Roman" w:hAnsi="Times New Roman" w:cs="Times New Roman"/>
          <w:b w:val="0"/>
          <w:i w:val="0"/>
          <w:sz w:val="22"/>
        </w:rPr>
        <w:t>- Pre-advice — advance notification to terminals.</w:t>
      </w:r>
    </w:p>
    <w:p>
      <w:pPr>
        <w:spacing w:after="80" w:line="293" w:lineRule="auto"/>
        <w:ind w:left="283"/>
        <w:jc w:val="left"/>
      </w:pPr>
      <w:r>
        <w:rPr>
          <w:rFonts w:ascii="Times New Roman" w:hAnsi="Times New Roman" w:cs="Times New Roman"/>
          <w:b w:val="0"/>
          <w:i w:val="0"/>
          <w:sz w:val="22"/>
        </w:rPr>
        <w:t>- Terminal OS integration — real-time status.</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22.19.2 Terminal Integration 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Integration</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Format</w:t>
            </w:r>
          </w:p>
        </w:tc>
      </w:tr>
      <w:tr>
        <w:tc>
          <w:tcPr>
            <w:tcW w:type="dxa" w:w="3213"/>
          </w:tcPr>
          <w:p>
            <w:pPr>
              <w:spacing w:after="20" w:before="20" w:line="240" w:lineRule="auto"/>
            </w:pPr>
            <w:r/>
            <w:r>
              <w:rPr>
                <w:rFonts w:ascii="Arial" w:hAnsi="Arial" w:cs="Arial"/>
                <w:b w:val="0"/>
                <w:i w:val="0"/>
                <w:sz w:val="17"/>
              </w:rPr>
              <w:t>Gate-in</w:t>
            </w:r>
          </w:p>
        </w:tc>
        <w:tc>
          <w:tcPr>
            <w:tcW w:type="dxa" w:w="3213"/>
          </w:tcPr>
          <w:p>
            <w:pPr>
              <w:spacing w:after="20" w:before="20" w:line="240" w:lineRule="auto"/>
            </w:pPr>
            <w:r/>
            <w:r>
              <w:rPr>
                <w:rFonts w:ascii="Arial" w:hAnsi="Arial" w:cs="Arial"/>
                <w:b w:val="0"/>
                <w:i w:val="0"/>
                <w:sz w:val="17"/>
              </w:rPr>
              <w:t>Container arrives at terminal</w:t>
            </w:r>
          </w:p>
        </w:tc>
        <w:tc>
          <w:tcPr>
            <w:tcW w:type="dxa" w:w="3213"/>
          </w:tcPr>
          <w:p>
            <w:pPr>
              <w:spacing w:after="20" w:before="20" w:line="240" w:lineRule="auto"/>
            </w:pPr>
            <w:r/>
            <w:r>
              <w:rPr>
                <w:rFonts w:ascii="Arial" w:hAnsi="Arial" w:cs="Arial"/>
                <w:b w:val="0"/>
                <w:i w:val="0"/>
                <w:sz w:val="17"/>
              </w:rPr>
              <w:t>EDI (EDIFACT)</w:t>
            </w:r>
          </w:p>
        </w:tc>
      </w:tr>
      <w:tr>
        <w:tc>
          <w:tcPr>
            <w:tcW w:type="dxa" w:w="3213"/>
          </w:tcPr>
          <w:p>
            <w:pPr>
              <w:spacing w:after="20" w:before="20" w:line="240" w:lineRule="auto"/>
            </w:pPr>
            <w:r/>
            <w:r>
              <w:rPr>
                <w:rFonts w:ascii="Arial" w:hAnsi="Arial" w:cs="Arial"/>
                <w:b w:val="0"/>
                <w:i w:val="0"/>
                <w:sz w:val="17"/>
              </w:rPr>
              <w:t>Gate-out</w:t>
            </w:r>
          </w:p>
        </w:tc>
        <w:tc>
          <w:tcPr>
            <w:tcW w:type="dxa" w:w="3213"/>
          </w:tcPr>
          <w:p>
            <w:pPr>
              <w:spacing w:after="20" w:before="20" w:line="240" w:lineRule="auto"/>
            </w:pPr>
            <w:r/>
            <w:r>
              <w:rPr>
                <w:rFonts w:ascii="Arial" w:hAnsi="Arial" w:cs="Arial"/>
                <w:b w:val="0"/>
                <w:i w:val="0"/>
                <w:sz w:val="17"/>
              </w:rPr>
              <w:t>Container leaves terminal</w:t>
            </w:r>
          </w:p>
        </w:tc>
        <w:tc>
          <w:tcPr>
            <w:tcW w:type="dxa" w:w="3213"/>
          </w:tcPr>
          <w:p>
            <w:pPr>
              <w:spacing w:after="20" w:before="20" w:line="240" w:lineRule="auto"/>
            </w:pPr>
            <w:r/>
            <w:r>
              <w:rPr>
                <w:rFonts w:ascii="Arial" w:hAnsi="Arial" w:cs="Arial"/>
                <w:b w:val="0"/>
                <w:i w:val="0"/>
                <w:sz w:val="17"/>
              </w:rPr>
              <w:t>EDI (EDIFACT)</w:t>
            </w:r>
          </w:p>
        </w:tc>
      </w:tr>
      <w:tr>
        <w:tc>
          <w:tcPr>
            <w:tcW w:type="dxa" w:w="3213"/>
          </w:tcPr>
          <w:p>
            <w:pPr>
              <w:spacing w:after="20" w:before="20" w:line="240" w:lineRule="auto"/>
            </w:pPr>
            <w:r/>
            <w:r>
              <w:rPr>
                <w:rFonts w:ascii="Arial" w:hAnsi="Arial" w:cs="Arial"/>
                <w:b w:val="0"/>
                <w:i w:val="0"/>
                <w:sz w:val="17"/>
              </w:rPr>
              <w:t>Vessel Schedule</w:t>
            </w:r>
          </w:p>
        </w:tc>
        <w:tc>
          <w:tcPr>
            <w:tcW w:type="dxa" w:w="3213"/>
          </w:tcPr>
          <w:p>
            <w:pPr>
              <w:spacing w:after="20" w:before="20" w:line="240" w:lineRule="auto"/>
            </w:pPr>
            <w:r/>
            <w:r>
              <w:rPr>
                <w:rFonts w:ascii="Arial" w:hAnsi="Arial" w:cs="Arial"/>
                <w:b w:val="0"/>
                <w:i w:val="0"/>
                <w:sz w:val="17"/>
              </w:rPr>
              <w:t>ETD/ETA updates</w:t>
            </w:r>
          </w:p>
        </w:tc>
        <w:tc>
          <w:tcPr>
            <w:tcW w:type="dxa" w:w="3213"/>
          </w:tcPr>
          <w:p>
            <w:pPr>
              <w:spacing w:after="20" w:before="20" w:line="240" w:lineRule="auto"/>
            </w:pPr>
            <w:r/>
            <w:r>
              <w:rPr>
                <w:rFonts w:ascii="Arial" w:hAnsi="Arial" w:cs="Arial"/>
                <w:b w:val="0"/>
                <w:i w:val="0"/>
                <w:sz w:val="17"/>
              </w:rPr>
              <w:t>API/EDI</w:t>
            </w:r>
          </w:p>
        </w:tc>
      </w:tr>
      <w:tr>
        <w:tc>
          <w:tcPr>
            <w:tcW w:type="dxa" w:w="3213"/>
          </w:tcPr>
          <w:p>
            <w:pPr>
              <w:spacing w:after="20" w:before="20" w:line="240" w:lineRule="auto"/>
            </w:pPr>
            <w:r/>
            <w:r>
              <w:rPr>
                <w:rFonts w:ascii="Arial" w:hAnsi="Arial" w:cs="Arial"/>
                <w:b w:val="0"/>
                <w:i w:val="0"/>
                <w:sz w:val="17"/>
              </w:rPr>
              <w:t>Container Status</w:t>
            </w:r>
          </w:p>
        </w:tc>
        <w:tc>
          <w:tcPr>
            <w:tcW w:type="dxa" w:w="3213"/>
          </w:tcPr>
          <w:p>
            <w:pPr>
              <w:spacing w:after="20" w:before="20" w:line="240" w:lineRule="auto"/>
            </w:pPr>
            <w:r/>
            <w:r>
              <w:rPr>
                <w:rFonts w:ascii="Arial" w:hAnsi="Arial" w:cs="Arial"/>
                <w:b w:val="0"/>
                <w:i w:val="0"/>
                <w:sz w:val="17"/>
              </w:rPr>
              <w:t>Location updates</w:t>
            </w:r>
          </w:p>
        </w:tc>
        <w:tc>
          <w:tcPr>
            <w:tcW w:type="dxa" w:w="3213"/>
          </w:tcPr>
          <w:p>
            <w:pPr>
              <w:spacing w:after="20" w:before="20" w:line="240" w:lineRule="auto"/>
            </w:pPr>
            <w:r/>
            <w:r>
              <w:rPr>
                <w:rFonts w:ascii="Arial" w:hAnsi="Arial" w:cs="Arial"/>
                <w:b w:val="0"/>
                <w:i w:val="0"/>
                <w:sz w:val="17"/>
              </w:rPr>
              <w:t>API/EDI</w:t>
            </w:r>
          </w:p>
        </w:tc>
      </w:tr>
      <w:tr>
        <w:tc>
          <w:tcPr>
            <w:tcW w:type="dxa" w:w="3213"/>
          </w:tcPr>
          <w:p>
            <w:pPr>
              <w:spacing w:after="20" w:before="20" w:line="240" w:lineRule="auto"/>
            </w:pPr>
            <w:r/>
            <w:r>
              <w:rPr>
                <w:rFonts w:ascii="Arial" w:hAnsi="Arial" w:cs="Arial"/>
                <w:b w:val="0"/>
                <w:i w:val="0"/>
                <w:sz w:val="17"/>
              </w:rPr>
              <w:t>Pre-advice</w:t>
            </w:r>
          </w:p>
        </w:tc>
        <w:tc>
          <w:tcPr>
            <w:tcW w:type="dxa" w:w="3213"/>
          </w:tcPr>
          <w:p>
            <w:pPr>
              <w:spacing w:after="20" w:before="20" w:line="240" w:lineRule="auto"/>
            </w:pPr>
            <w:r/>
            <w:r>
              <w:rPr>
                <w:rFonts w:ascii="Arial" w:hAnsi="Arial" w:cs="Arial"/>
                <w:b w:val="0"/>
                <w:i w:val="0"/>
                <w:sz w:val="17"/>
              </w:rPr>
              <w:t>Advance notification</w:t>
            </w:r>
          </w:p>
        </w:tc>
        <w:tc>
          <w:tcPr>
            <w:tcW w:type="dxa" w:w="3213"/>
          </w:tcPr>
          <w:p>
            <w:pPr>
              <w:spacing w:after="20" w:before="20" w:line="240" w:lineRule="auto"/>
            </w:pPr>
            <w:r/>
            <w:r>
              <w:rPr>
                <w:rFonts w:ascii="Arial" w:hAnsi="Arial" w:cs="Arial"/>
                <w:b w:val="0"/>
                <w:i w:val="0"/>
                <w:sz w:val="17"/>
              </w:rPr>
              <w:t>API</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22.19.3 Database Schema</w:t>
      </w:r>
    </w:p>
    <w:p>
      <w:pPr>
        <w:spacing w:after="0" w:before="0" w:line="240" w:lineRule="auto"/>
        <w:ind w:left="57"/>
        <w:jc w:val="left"/>
        <w:shd w:val="clear" w:fill="F2F2F2"/>
      </w:pPr>
      <w:r>
        <w:rPr>
          <w:rFonts w:ascii="Consolas" w:hAnsi="Consolas" w:cs="Consolas"/>
          <w:b w:val="0"/>
          <w:i w:val="0"/>
          <w:sz w:val="15"/>
        </w:rPr>
        <w:t>-- Terminal integrations</w:t>
      </w:r>
    </w:p>
    <w:p>
      <w:pPr>
        <w:spacing w:after="0" w:before="0" w:line="240" w:lineRule="auto"/>
        <w:ind w:left="57"/>
        <w:jc w:val="left"/>
        <w:shd w:val="clear" w:fill="F2F2F2"/>
      </w:pPr>
      <w:r>
        <w:rPr>
          <w:rFonts w:ascii="Consolas" w:hAnsi="Consolas" w:cs="Consolas"/>
          <w:b w:val="0"/>
          <w:i w:val="0"/>
          <w:sz w:val="15"/>
        </w:rPr>
        <w:t>CREATE TABLE terminal_integrations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terminal_gtid TEXT NOT NULL REFERENCES tenants(gtid),</w:t>
      </w:r>
    </w:p>
    <w:p>
      <w:pPr>
        <w:spacing w:after="0" w:before="0" w:line="240" w:lineRule="auto"/>
        <w:ind w:left="57"/>
        <w:jc w:val="left"/>
        <w:shd w:val="clear" w:fill="F2F2F2"/>
      </w:pPr>
      <w:r>
        <w:rPr>
          <w:rFonts w:ascii="Consolas" w:hAnsi="Consolas" w:cs="Consolas"/>
          <w:b w:val="0"/>
          <w:i w:val="0"/>
          <w:sz w:val="15"/>
        </w:rPr>
        <w:t xml:space="preserve">    integration_type TEXT NOT NULL,</w:t>
      </w:r>
    </w:p>
    <w:p>
      <w:pPr>
        <w:spacing w:after="0" w:before="0" w:line="240" w:lineRule="auto"/>
        <w:ind w:left="57"/>
        <w:jc w:val="left"/>
        <w:shd w:val="clear" w:fill="F2F2F2"/>
      </w:pPr>
      <w:r>
        <w:rPr>
          <w:rFonts w:ascii="Consolas" w:hAnsi="Consolas" w:cs="Consolas"/>
          <w:b w:val="0"/>
          <w:i w:val="0"/>
          <w:sz w:val="15"/>
        </w:rPr>
        <w:t xml:space="preserve">    endpoint_url TEXT,</w:t>
      </w:r>
    </w:p>
    <w:p>
      <w:pPr>
        <w:spacing w:after="0" w:before="0" w:line="240" w:lineRule="auto"/>
        <w:ind w:left="57"/>
        <w:jc w:val="left"/>
        <w:shd w:val="clear" w:fill="F2F2F2"/>
      </w:pPr>
      <w:r>
        <w:rPr>
          <w:rFonts w:ascii="Consolas" w:hAnsi="Consolas" w:cs="Consolas"/>
          <w:b w:val="0"/>
          <w:i w:val="0"/>
          <w:sz w:val="15"/>
        </w:rPr>
        <w:t xml:space="preserve">    format TEXT DEFAULT 'EDI',</w:t>
      </w:r>
    </w:p>
    <w:p>
      <w:pPr>
        <w:spacing w:after="0" w:before="0" w:line="240" w:lineRule="auto"/>
        <w:ind w:left="57"/>
        <w:jc w:val="left"/>
        <w:shd w:val="clear" w:fill="F2F2F2"/>
      </w:pPr>
      <w:r>
        <w:rPr>
          <w:rFonts w:ascii="Consolas" w:hAnsi="Consolas" w:cs="Consolas"/>
          <w:b w:val="0"/>
          <w:i w:val="0"/>
          <w:sz w:val="15"/>
        </w:rPr>
        <w:t xml:space="preserve">    credentials_encrypted JSONB,</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last_test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Gate events</w:t>
      </w:r>
    </w:p>
    <w:p>
      <w:pPr>
        <w:spacing w:after="0" w:before="0" w:line="240" w:lineRule="auto"/>
        <w:ind w:left="57"/>
        <w:jc w:val="left"/>
        <w:shd w:val="clear" w:fill="F2F2F2"/>
      </w:pPr>
      <w:r>
        <w:rPr>
          <w:rFonts w:ascii="Consolas" w:hAnsi="Consolas" w:cs="Consolas"/>
          <w:b w:val="0"/>
          <w:i w:val="0"/>
          <w:sz w:val="15"/>
        </w:rPr>
        <w:t>CREATE TABLE gate_events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container_number TEXT NOT NULL,</w:t>
      </w:r>
    </w:p>
    <w:p>
      <w:pPr>
        <w:spacing w:after="0" w:before="0" w:line="240" w:lineRule="auto"/>
        <w:ind w:left="57"/>
        <w:jc w:val="left"/>
        <w:shd w:val="clear" w:fill="F2F2F2"/>
      </w:pPr>
      <w:r>
        <w:rPr>
          <w:rFonts w:ascii="Consolas" w:hAnsi="Consolas" w:cs="Consolas"/>
          <w:b w:val="0"/>
          <w:i w:val="0"/>
          <w:sz w:val="15"/>
        </w:rPr>
        <w:t xml:space="preserve">    event_type TEXT NOT NULL,            -- 'GATE_IN', 'GATE_OUT'</w:t>
      </w:r>
    </w:p>
    <w:p>
      <w:pPr>
        <w:spacing w:after="0" w:before="0" w:line="240" w:lineRule="auto"/>
        <w:ind w:left="57"/>
        <w:jc w:val="left"/>
        <w:shd w:val="clear" w:fill="F2F2F2"/>
      </w:pPr>
      <w:r>
        <w:rPr>
          <w:rFonts w:ascii="Consolas" w:hAnsi="Consolas" w:cs="Consolas"/>
          <w:b w:val="0"/>
          <w:i w:val="0"/>
          <w:sz w:val="15"/>
        </w:rPr>
        <w:t xml:space="preserve">    event_time TIMESTAMPTZ NOT NULL,</w:t>
      </w:r>
    </w:p>
    <w:p>
      <w:pPr>
        <w:spacing w:after="0" w:before="0" w:line="240" w:lineRule="auto"/>
        <w:ind w:left="57"/>
        <w:jc w:val="left"/>
        <w:shd w:val="clear" w:fill="F2F2F2"/>
      </w:pPr>
      <w:r>
        <w:rPr>
          <w:rFonts w:ascii="Consolas" w:hAnsi="Consolas" w:cs="Consolas"/>
          <w:b w:val="0"/>
          <w:i w:val="0"/>
          <w:sz w:val="15"/>
        </w:rPr>
        <w:t xml:space="preserve">    terminal_gtid TEXT REFERENCES tenants(gtid),</w:t>
      </w:r>
    </w:p>
    <w:p>
      <w:pPr>
        <w:spacing w:after="0" w:before="0" w:line="240" w:lineRule="auto"/>
        <w:ind w:left="57"/>
        <w:jc w:val="left"/>
        <w:shd w:val="clear" w:fill="F2F2F2"/>
      </w:pPr>
      <w:r>
        <w:rPr>
          <w:rFonts w:ascii="Consolas" w:hAnsi="Consolas" w:cs="Consolas"/>
          <w:b w:val="0"/>
          <w:i w:val="0"/>
          <w:sz w:val="15"/>
        </w:rPr>
        <w:t xml:space="preserve">    gate_reference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idx_gate_events_ustn ON gate_events(ustn);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idx_gate_events_container ON gate_events(container_number);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idx_gate_events_time ON gate_events(event_time DESC);</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22.19.4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/v1/terminal/pre-advice</w:t>
            </w:r>
          </w:p>
        </w:tc>
        <w:tc>
          <w:tcPr>
            <w:tcW w:type="dxa" w:w="3213"/>
          </w:tcPr>
          <w:p>
            <w:pPr>
              <w:spacing w:after="20" w:before="20" w:line="240" w:lineRule="auto"/>
            </w:pPr>
            <w:r/>
            <w:r>
              <w:rPr>
                <w:rFonts w:ascii="Arial" w:hAnsi="Arial" w:cs="Arial"/>
                <w:b w:val="0"/>
                <w:i w:val="0"/>
                <w:sz w:val="17"/>
              </w:rPr>
              <w:t>Send pre-advice</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/v1/terminal/gate-in</w:t>
            </w:r>
          </w:p>
        </w:tc>
        <w:tc>
          <w:tcPr>
            <w:tcW w:type="dxa" w:w="3213"/>
          </w:tcPr>
          <w:p>
            <w:pPr>
              <w:spacing w:after="20" w:before="20" w:line="240" w:lineRule="auto"/>
            </w:pPr>
            <w:r/>
            <w:r>
              <w:rPr>
                <w:rFonts w:ascii="Arial" w:hAnsi="Arial" w:cs="Arial"/>
                <w:b w:val="0"/>
                <w:i w:val="0"/>
                <w:sz w:val="17"/>
              </w:rPr>
              <w:t>Record gate-in</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/v1/terminal/gate-out</w:t>
            </w:r>
          </w:p>
        </w:tc>
        <w:tc>
          <w:tcPr>
            <w:tcW w:type="dxa" w:w="3213"/>
          </w:tcPr>
          <w:p>
            <w:pPr>
              <w:spacing w:after="20" w:before="20" w:line="240" w:lineRule="auto"/>
            </w:pPr>
            <w:r/>
            <w:r>
              <w:rPr>
                <w:rFonts w:ascii="Arial" w:hAnsi="Arial" w:cs="Arial"/>
                <w:b w:val="0"/>
                <w:i w:val="0"/>
                <w:sz w:val="17"/>
              </w:rPr>
              <w:t>Record gate-out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/v1/terminal/status/{container}</w:t>
            </w:r>
          </w:p>
        </w:tc>
        <w:tc>
          <w:tcPr>
            <w:tcW w:type="dxa" w:w="3213"/>
          </w:tcPr>
          <w:p>
            <w:pPr>
              <w:spacing w:after="20" w:before="20" w:line="240" w:lineRule="auto"/>
            </w:pPr>
            <w:r/>
            <w:r>
              <w:rPr>
                <w:rFonts w:ascii="Arial" w:hAnsi="Arial" w:cs="Arial"/>
                <w:b w:val="0"/>
                <w:i w:val="0"/>
                <w:sz w:val="17"/>
              </w:rPr>
              <w:t>Get status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22.19.5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12 — container release</w:t>
            </w:r>
          </w:p>
        </w:tc>
        <w:tc>
          <w:tcPr>
            <w:tcW w:type="dxa" w:w="4819"/>
          </w:tcPr>
          <w:p>
            <w:pPr>
              <w:spacing w:after="20" w:before="20" w:line="240" w:lineRule="auto"/>
            </w:pPr>
            <w:r/>
            <w:r>
              <w:rPr>
                <w:rFonts w:ascii="Arial" w:hAnsi="Arial" w:cs="Arial"/>
                <w:b w:val="0"/>
                <w:i w:val="0"/>
                <w:sz w:val="17"/>
              </w:rPr>
              <w:t>Gate events trigger release</w:t>
            </w:r>
          </w:p>
        </w:tc>
      </w:tr>
      <w:tr>
        <w:tc>
          <w:tcPr>
            <w:tcW w:type="dxa" w:w="4819"/>
          </w:tcPr>
          <w:p>
            <w:pPr>
              <w:spacing w:after="20" w:before="20" w:line="240" w:lineRule="auto"/>
            </w:pPr>
            <w:r/>
            <w:r>
              <w:rPr>
                <w:rFonts w:ascii="Arial" w:hAnsi="Arial" w:cs="Arial"/>
                <w:b w:val="0"/>
                <w:i w:val="0"/>
                <w:sz w:val="17"/>
              </w:rPr>
              <w:t>Section 8 — pre-advice</w:t>
            </w:r>
          </w:p>
        </w:tc>
        <w:tc>
          <w:tcPr>
            <w:tcW w:type="dxa" w:w="4819"/>
          </w:tcPr>
          <w:p>
            <w:pPr>
              <w:spacing w:after="20" w:before="20" w:line="240" w:lineRule="auto"/>
            </w:pPr>
            <w:r/>
            <w:r>
              <w:rPr>
                <w:rFonts w:ascii="Arial" w:hAnsi="Arial" w:cs="Arial"/>
                <w:b w:val="0"/>
                <w:i w:val="0"/>
                <w:sz w:val="17"/>
              </w:rPr>
              <w:t>Pre-advice webhook</w:t>
            </w:r>
          </w:p>
        </w:tc>
      </w:tr>
      <w:tr>
        <w:tc>
          <w:tcPr>
            <w:tcW w:type="dxa" w:w="4819"/>
          </w:tcPr>
          <w:p>
            <w:pPr>
              <w:spacing w:after="20" w:before="20" w:line="240" w:lineRule="auto"/>
            </w:pPr>
            <w:r/>
            <w:r>
              <w:rPr>
                <w:rFonts w:ascii="Arial" w:hAnsi="Arial" w:cs="Arial"/>
                <w:b w:val="0"/>
                <w:i w:val="0"/>
                <w:sz w:val="17"/>
              </w:rPr>
              <w:t>Section 17 — ports table</w:t>
            </w:r>
          </w:p>
        </w:tc>
        <w:tc>
          <w:tcPr>
            <w:tcW w:type="dxa" w:w="4819"/>
          </w:tcPr>
          <w:p>
            <w:pPr>
              <w:spacing w:after="20" w:before="20" w:line="240" w:lineRule="auto"/>
            </w:pPr>
            <w:r/>
            <w:r>
              <w:rPr>
                <w:rFonts w:ascii="Arial" w:hAnsi="Arial" w:cs="Arial"/>
                <w:b w:val="0"/>
                <w:i w:val="0"/>
                <w:sz w:val="17"/>
              </w:rPr>
              <w:t>Terminal mapping</w:t>
            </w:r>
          </w:p>
        </w:tc>
      </w:tr>
      <w:tr>
        <w:tc>
          <w:tcPr>
            <w:tcW w:type="dxa" w:w="4819"/>
          </w:tcPr>
          <w:p>
            <w:pPr>
              <w:spacing w:after="20" w:before="20" w:line="240" w:lineRule="auto"/>
            </w:pPr>
            <w:r/>
            <w:r>
              <w:rPr>
                <w:rFonts w:ascii="Arial" w:hAnsi="Arial" w:cs="Arial"/>
                <w:b w:val="0"/>
                <w:i w:val="0"/>
                <w:sz w:val="17"/>
              </w:rPr>
              <w:t>Section 16 — Smart Inbox</w:t>
            </w:r>
          </w:p>
        </w:tc>
        <w:tc>
          <w:tcPr>
            <w:tcW w:type="dxa" w:w="4819"/>
          </w:tcPr>
          <w:p>
            <w:pPr>
              <w:spacing w:after="20" w:before="20" w:line="240" w:lineRule="auto"/>
            </w:pPr>
            <w:r/>
            <w:r>
              <w:rPr>
                <w:rFonts w:ascii="Arial" w:hAnsi="Arial" w:cs="Arial"/>
                <w:b w:val="0"/>
                <w:i w:val="0"/>
                <w:sz w:val="17"/>
              </w:rPr>
              <w:t>Gate event alerts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22.19.6 Implementation Checklist</w:t>
      </w:r>
    </w:p>
    <w:p>
      <w:pPr>
        <w:spacing w:after="80" w:line="293" w:lineRule="auto"/>
        <w:ind w:left="283"/>
        <w:jc w:val="left"/>
      </w:pPr>
      <w:r>
        <w:rPr>
          <w:rFonts w:ascii="Times New Roman" w:hAnsi="Times New Roman" w:cs="Times New Roman"/>
          <w:b w:val="0"/>
          <w:i w:val="0"/>
          <w:sz w:val="22"/>
        </w:rPr>
        <w:t>- Create the `terminal_integrations` table.</w:t>
      </w:r>
    </w:p>
    <w:p>
      <w:pPr>
        <w:spacing w:after="80" w:line="293" w:lineRule="auto"/>
        <w:ind w:left="283"/>
        <w:jc w:val="left"/>
      </w:pPr>
      <w:r>
        <w:rPr>
          <w:rFonts w:ascii="Times New Roman" w:hAnsi="Times New Roman" w:cs="Times New Roman"/>
          <w:b w:val="0"/>
          <w:i w:val="0"/>
          <w:sz w:val="22"/>
        </w:rPr>
        <w:t>- Create the `gate_events` table.</w:t>
      </w:r>
    </w:p>
    <w:p>
      <w:pPr>
        <w:spacing w:after="80" w:line="293" w:lineRule="auto"/>
        <w:ind w:left="283"/>
        <w:jc w:val="left"/>
      </w:pPr>
      <w:r>
        <w:rPr>
          <w:rFonts w:ascii="Times New Roman" w:hAnsi="Times New Roman" w:cs="Times New Roman"/>
          <w:b w:val="0"/>
          <w:i w:val="0"/>
          <w:sz w:val="22"/>
        </w:rPr>
        <w:t>- Implement the pre-advice webhook.</w:t>
      </w:r>
    </w:p>
    <w:p>
      <w:pPr>
        <w:spacing w:after="80" w:line="293" w:lineRule="auto"/>
        <w:ind w:left="283"/>
        <w:jc w:val="left"/>
      </w:pPr>
      <w:r>
        <w:rPr>
          <w:rFonts w:ascii="Times New Roman" w:hAnsi="Times New Roman" w:cs="Times New Roman"/>
          <w:b w:val="0"/>
          <w:i w:val="0"/>
          <w:sz w:val="22"/>
        </w:rPr>
        <w:t>- Implement gate-in recording.</w:t>
      </w:r>
    </w:p>
    <w:p>
      <w:pPr>
        <w:spacing w:after="80" w:line="293" w:lineRule="auto"/>
        <w:ind w:left="283"/>
        <w:jc w:val="left"/>
      </w:pPr>
      <w:r>
        <w:rPr>
          <w:rFonts w:ascii="Times New Roman" w:hAnsi="Times New Roman" w:cs="Times New Roman"/>
          <w:b w:val="0"/>
          <w:i w:val="0"/>
          <w:sz w:val="22"/>
        </w:rPr>
        <w:t>- Implement gate-out recording.</w:t>
      </w:r>
    </w:p>
    <w:p>
      <w:pPr>
        <w:spacing w:after="80" w:line="293" w:lineRule="auto"/>
        <w:ind w:left="283"/>
        <w:jc w:val="left"/>
      </w:pPr>
      <w:r>
        <w:rPr>
          <w:rFonts w:ascii="Times New Roman" w:hAnsi="Times New Roman" w:cs="Times New Roman"/>
          <w:b w:val="0"/>
          <w:i w:val="0"/>
          <w:sz w:val="22"/>
        </w:rPr>
        <w:t>- Add EDI support (EDIFACT).</w:t>
      </w:r>
    </w:p>
    <w:p>
      <w:pPr>
        <w:spacing w:after="80" w:line="293" w:lineRule="auto"/>
        <w:ind w:left="283"/>
        <w:jc w:val="left"/>
      </w:pPr>
      <w:r>
        <w:rPr>
          <w:rFonts w:ascii="Times New Roman" w:hAnsi="Times New Roman" w:cs="Times New Roman"/>
          <w:b w:val="0"/>
          <w:i w:val="0"/>
          <w:sz w:val="22"/>
        </w:rPr>
        <w:t>- Integrate with container release (Section 12).</w:t>
      </w:r>
    </w:p>
    <w:p>
      <w:pPr>
        <w:keepNext/>
        <w:spacing w:before="240" w:after="100"/>
        <w:outlineLvl w:val="1"/>
      </w:pPr>
      <w:r>
        <w:rPr>
          <w:rFonts w:ascii="Arial" w:hAnsi="Arial" w:cs="Arial"/>
          <w:b/>
          <w:i w:val="0"/>
          <w:color w:val="2E528F"/>
          <w:sz w:val="26"/>
        </w:rPr>
        <w:t>22.20 Add-On 25: Payment Guarantee Confirmation (Optional)</w:t>
      </w:r>
    </w:p>
    <w:p>
      <w:pPr>
        <w:keepNext/>
        <w:spacing w:before="180" w:after="80"/>
        <w:outlineLvl w:val="2"/>
      </w:pPr>
      <w:r>
        <w:rPr>
          <w:rFonts w:ascii="Arial" w:hAnsi="Arial" w:cs="Arial"/>
          <w:b/>
          <w:i w:val="0"/>
          <w:color w:val="333333"/>
          <w:sz w:val="23"/>
        </w:rPr>
        <w:t>22.20.1 Purpose &amp; Design Philosophy</w:t>
      </w:r>
    </w:p>
    <w:p>
      <w:pPr>
        <w:spacing w:after="80" w:line="293" w:lineRule="auto"/>
        <w:jc w:val="left"/>
      </w:pPr>
      <w:r>
        <w:rPr>
          <w:rFonts w:ascii="Times New Roman" w:hAnsi="Times New Roman" w:cs="Times New Roman"/>
          <w:b w:val="0"/>
          <w:i w:val="0"/>
          <w:sz w:val="22"/>
        </w:rPr>
        <w:t>This add-on is optional. Payment guarantee verification is not mandatory; traders can choose not to use it. It provides optional verification of payment guarantees (LCs, bank guarantees) through SWIFT MT700/URDG 758.</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Optional — never forced.</w:t>
      </w:r>
    </w:p>
    <w:p>
      <w:pPr>
        <w:spacing w:after="80" w:line="293" w:lineRule="auto"/>
        <w:ind w:left="283"/>
        <w:jc w:val="left"/>
      </w:pPr>
      <w:r>
        <w:rPr>
          <w:rFonts w:ascii="Times New Roman" w:hAnsi="Times New Roman" w:cs="Times New Roman"/>
          <w:b w:val="0"/>
          <w:i w:val="0"/>
          <w:sz w:val="22"/>
        </w:rPr>
        <w:t>- Multiple methods — SWIFT, manual, third-party.</w:t>
      </w:r>
    </w:p>
    <w:p>
      <w:pPr>
        <w:spacing w:after="80" w:line="293" w:lineRule="auto"/>
        <w:ind w:left="283"/>
        <w:jc w:val="left"/>
      </w:pPr>
      <w:r>
        <w:rPr>
          <w:rFonts w:ascii="Times New Roman" w:hAnsi="Times New Roman" w:cs="Times New Roman"/>
          <w:b w:val="0"/>
          <w:i w:val="0"/>
          <w:sz w:val="22"/>
        </w:rPr>
        <w:t>- Integration — bank portals.</w:t>
      </w:r>
    </w:p>
    <w:p>
      <w:pPr>
        <w:keepNext/>
        <w:spacing w:before="180" w:after="80"/>
        <w:outlineLvl w:val="2"/>
      </w:pPr>
      <w:r>
        <w:rPr>
          <w:rFonts w:ascii="Arial" w:hAnsi="Arial" w:cs="Arial"/>
          <w:b/>
          <w:i w:val="0"/>
          <w:color w:val="333333"/>
          <w:sz w:val="23"/>
        </w:rPr>
        <w:t>22.20.2 Verification Methods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Availability</w:t>
            </w:r>
          </w:p>
        </w:tc>
      </w:tr>
      <w:tr>
        <w:tc>
          <w:tcPr>
            <w:tcW w:type="dxa" w:w="3213"/>
          </w:tcPr>
          <w:p>
            <w:pPr>
              <w:spacing w:after="20" w:before="20" w:line="240" w:lineRule="auto"/>
            </w:pPr>
            <w:r/>
            <w:r>
              <w:rPr>
                <w:rFonts w:ascii="Arial" w:hAnsi="Arial" w:cs="Arial"/>
                <w:b w:val="0"/>
                <w:i w:val="0"/>
                <w:sz w:val="17"/>
              </w:rPr>
              <w:t>SWIFT MT700</w:t>
            </w:r>
          </w:p>
        </w:tc>
        <w:tc>
          <w:tcPr>
            <w:tcW w:type="dxa" w:w="3213"/>
          </w:tcPr>
          <w:p>
            <w:pPr>
              <w:spacing w:after="20" w:before="20" w:line="240" w:lineRule="auto"/>
            </w:pPr>
            <w:r/>
            <w:r>
              <w:rPr>
                <w:rFonts w:ascii="Arial" w:hAnsi="Arial" w:cs="Arial"/>
                <w:b w:val="0"/>
                <w:i w:val="0"/>
                <w:sz w:val="17"/>
              </w:rPr>
              <w:t>LC confirmation</w:t>
            </w:r>
          </w:p>
        </w:tc>
        <w:tc>
          <w:tcPr>
            <w:tcW w:type="dxa" w:w="3213"/>
          </w:tcPr>
          <w:p>
            <w:pPr>
              <w:spacing w:after="20" w:before="20" w:line="240" w:lineRule="auto"/>
            </w:pPr>
            <w:r/>
            <w:r>
              <w:rPr>
                <w:rFonts w:ascii="Arial" w:hAnsi="Arial" w:cs="Arial"/>
                <w:b w:val="0"/>
                <w:i w:val="0"/>
                <w:sz w:val="17"/>
              </w:rPr>
              <w:t>Via bank integration</w:t>
            </w:r>
          </w:p>
        </w:tc>
      </w:tr>
      <w:tr>
        <w:tc>
          <w:tcPr>
            <w:tcW w:type="dxa" w:w="3213"/>
          </w:tcPr>
          <w:p>
            <w:pPr>
              <w:spacing w:after="20" w:before="20" w:line="240" w:lineRule="auto"/>
            </w:pPr>
            <w:r/>
            <w:r>
              <w:rPr>
                <w:rFonts w:ascii="Arial" w:hAnsi="Arial" w:cs="Arial"/>
                <w:b w:val="0"/>
                <w:i w:val="0"/>
                <w:sz w:val="17"/>
              </w:rPr>
              <w:t>URDG 758</w:t>
            </w:r>
          </w:p>
        </w:tc>
        <w:tc>
          <w:tcPr>
            <w:tcW w:type="dxa" w:w="3213"/>
          </w:tcPr>
          <w:p>
            <w:pPr>
              <w:spacing w:after="20" w:before="20" w:line="240" w:lineRule="auto"/>
            </w:pPr>
            <w:r/>
            <w:r>
              <w:rPr>
                <w:rFonts w:ascii="Arial" w:hAnsi="Arial" w:cs="Arial"/>
                <w:b w:val="0"/>
                <w:i w:val="0"/>
                <w:sz w:val="17"/>
              </w:rPr>
              <w:t>Bank guarantee verification</w:t>
            </w:r>
          </w:p>
        </w:tc>
        <w:tc>
          <w:tcPr>
            <w:tcW w:type="dxa" w:w="3213"/>
          </w:tcPr>
          <w:p>
            <w:pPr>
              <w:spacing w:after="20" w:before="20" w:line="240" w:lineRule="auto"/>
            </w:pPr>
            <w:r/>
            <w:r>
              <w:rPr>
                <w:rFonts w:ascii="Arial" w:hAnsi="Arial" w:cs="Arial"/>
                <w:b w:val="0"/>
                <w:i w:val="0"/>
                <w:sz w:val="17"/>
              </w:rPr>
              <w:t>Via bank integration</w:t>
            </w:r>
          </w:p>
        </w:tc>
      </w:tr>
      <w:tr>
        <w:tc>
          <w:tcPr>
            <w:tcW w:type="dxa" w:w="3213"/>
          </w:tcPr>
          <w:p>
            <w:pPr>
              <w:spacing w:after="20" w:before="20" w:line="240" w:lineRule="auto"/>
            </w:pPr>
            <w:r/>
            <w:r>
              <w:rPr>
                <w:rFonts w:ascii="Arial" w:hAnsi="Arial" w:cs="Arial"/>
                <w:b w:val="0"/>
                <w:i w:val="0"/>
                <w:sz w:val="17"/>
              </w:rPr>
              <w:t>Manual Upload</w:t>
            </w:r>
          </w:p>
        </w:tc>
        <w:tc>
          <w:tcPr>
            <w:tcW w:type="dxa" w:w="3213"/>
          </w:tcPr>
          <w:p>
            <w:pPr>
              <w:spacing w:after="20" w:before="20" w:line="240" w:lineRule="auto"/>
            </w:pPr>
            <w:r/>
            <w:r>
              <w:rPr>
                <w:rFonts w:ascii="Arial" w:hAnsi="Arial" w:cs="Arial"/>
                <w:b w:val="0"/>
                <w:i w:val="0"/>
                <w:sz w:val="17"/>
              </w:rPr>
              <w:t>PDF confirmation</w:t>
            </w:r>
          </w:p>
        </w:tc>
        <w:tc>
          <w:tcPr>
            <w:tcW w:type="dxa" w:w="3213"/>
          </w:tcPr>
          <w:p>
            <w:pPr>
              <w:spacing w:after="20" w:before="20" w:line="240" w:lineRule="auto"/>
            </w:pPr>
            <w:r/>
            <w:r>
              <w:rPr>
                <w:rFonts w:ascii="Arial" w:hAnsi="Arial" w:cs="Arial"/>
                <w:b w:val="0"/>
                <w:i w:val="0"/>
                <w:sz w:val="17"/>
              </w:rPr>
              <w:t>Always available</w:t>
            </w:r>
          </w:p>
        </w:tc>
      </w:tr>
      <w:tr>
        <w:tc>
          <w:tcPr>
            <w:tcW w:type="dxa" w:w="3213"/>
          </w:tcPr>
          <w:p>
            <w:pPr>
              <w:spacing w:after="20" w:before="20" w:line="240" w:lineRule="auto"/>
            </w:pPr>
            <w:r/>
            <w:r>
              <w:rPr>
                <w:rFonts w:ascii="Arial" w:hAnsi="Arial" w:cs="Arial"/>
                <w:b w:val="0"/>
                <w:i w:val="0"/>
                <w:sz w:val="17"/>
              </w:rPr>
              <w:t>Third-Party</w:t>
            </w:r>
          </w:p>
        </w:tc>
        <w:tc>
          <w:tcPr>
            <w:tcW w:type="dxa" w:w="3213"/>
          </w:tcPr>
          <w:p>
            <w:pPr>
              <w:spacing w:after="20" w:before="20" w:line="240" w:lineRule="auto"/>
            </w:pPr>
            <w:r/>
            <w:r>
              <w:rPr>
                <w:rFonts w:ascii="Arial" w:hAnsi="Arial" w:cs="Arial"/>
                <w:b w:val="0"/>
                <w:i w:val="0"/>
                <w:sz w:val="17"/>
              </w:rPr>
              <w:t>Independent verification</w:t>
            </w:r>
          </w:p>
        </w:tc>
        <w:tc>
          <w:tcPr>
            <w:tcW w:type="dxa" w:w="3213"/>
          </w:tcPr>
          <w:p>
            <w:pPr>
              <w:spacing w:after="20" w:before="20" w:line="240" w:lineRule="auto"/>
            </w:pPr>
            <w:r/>
            <w:r>
              <w:rPr>
                <w:rFonts w:ascii="Arial" w:hAnsi="Arial" w:cs="Arial"/>
                <w:b w:val="0"/>
                <w:i w:val="0"/>
                <w:sz w:val="17"/>
              </w:rPr>
              <w:t>Optional</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22.20.3 Database Schema</w:t>
      </w:r>
    </w:p>
    <w:p>
      <w:pPr>
        <w:spacing w:after="0" w:before="0" w:line="240" w:lineRule="auto"/>
        <w:ind w:left="57"/>
        <w:jc w:val="left"/>
        <w:shd w:val="clear" w:fill="F2F2F2"/>
      </w:pPr>
      <w:r>
        <w:rPr>
          <w:rFonts w:ascii="Consolas" w:hAnsi="Consolas" w:cs="Consolas"/>
          <w:b w:val="0"/>
          <w:i w:val="0"/>
          <w:sz w:val="15"/>
        </w:rPr>
        <w:t>-- Payment guarantee confirmations</w:t>
      </w:r>
    </w:p>
    <w:p>
      <w:pPr>
        <w:spacing w:after="0" w:before="0" w:line="240" w:lineRule="auto"/>
        <w:ind w:left="57"/>
        <w:jc w:val="left"/>
        <w:shd w:val="clear" w:fill="F2F2F2"/>
      </w:pPr>
      <w:r>
        <w:rPr>
          <w:rFonts w:ascii="Consolas" w:hAnsi="Consolas" w:cs="Consolas"/>
          <w:b w:val="0"/>
          <w:i w:val="0"/>
          <w:sz w:val="15"/>
        </w:rPr>
        <w:t>CREATE TABLE payment_guarantee_confirmations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SET NULL,</w:t>
      </w:r>
    </w:p>
    <w:p>
      <w:pPr>
        <w:spacing w:after="0" w:before="0" w:line="240" w:lineRule="auto"/>
        <w:ind w:left="57"/>
        <w:jc w:val="left"/>
        <w:shd w:val="clear" w:fill="F2F2F2"/>
      </w:pPr>
      <w:r>
        <w:rPr>
          <w:rFonts w:ascii="Consolas" w:hAnsi="Consolas" w:cs="Consolas"/>
          <w:b w:val="0"/>
          <w:i w:val="0"/>
          <w:sz w:val="15"/>
        </w:rPr>
        <w:t xml:space="preserve">    confirmation_type TEXT NOT NULL,     -- 'SWIFT_MT700', 'URDG_758', 'MANUAL', 'THIRD_PARTY'</w:t>
      </w:r>
    </w:p>
    <w:p>
      <w:pPr>
        <w:spacing w:after="0" w:before="0" w:line="240" w:lineRule="auto"/>
        <w:ind w:left="57"/>
        <w:jc w:val="left"/>
        <w:shd w:val="clear" w:fill="F2F2F2"/>
      </w:pPr>
      <w:r>
        <w:rPr>
          <w:rFonts w:ascii="Consolas" w:hAnsi="Consolas" w:cs="Consolas"/>
          <w:b w:val="0"/>
          <w:i w:val="0"/>
          <w:sz w:val="15"/>
        </w:rPr>
        <w:t xml:space="preserve">    confirmation_reference TEXT,</w:t>
      </w:r>
    </w:p>
    <w:p>
      <w:pPr>
        <w:spacing w:after="0" w:before="0" w:line="240" w:lineRule="auto"/>
        <w:ind w:left="57"/>
        <w:jc w:val="left"/>
        <w:shd w:val="clear" w:fill="F2F2F2"/>
      </w:pPr>
      <w:r>
        <w:rPr>
          <w:rFonts w:ascii="Consolas" w:hAnsi="Consolas" w:cs="Consolas"/>
          <w:b w:val="0"/>
          <w:i w:val="0"/>
          <w:sz w:val="15"/>
        </w:rPr>
        <w:t xml:space="preserve">    issuing_bank_gtid TEXT REFERENCES tenants(gtid),</w:t>
      </w:r>
    </w:p>
    <w:p>
      <w:pPr>
        <w:spacing w:after="0" w:before="0" w:line="240" w:lineRule="auto"/>
        <w:ind w:left="57"/>
        <w:jc w:val="left"/>
        <w:shd w:val="clear" w:fill="F2F2F2"/>
      </w:pPr>
      <w:r>
        <w:rPr>
          <w:rFonts w:ascii="Consolas" w:hAnsi="Consolas" w:cs="Consolas"/>
          <w:b w:val="0"/>
          <w:i w:val="0"/>
          <w:sz w:val="15"/>
        </w:rPr>
        <w:t xml:space="preserve">    confirming_bank_gtid TEXT REFERENCES tenants(gtid),</w:t>
      </w:r>
    </w:p>
    <w:p>
      <w:pPr>
        <w:spacing w:after="0" w:before="0" w:line="240" w:lineRule="auto"/>
        <w:ind w:left="57"/>
        <w:jc w:val="left"/>
        <w:shd w:val="clear" w:fill="F2F2F2"/>
      </w:pPr>
      <w:r>
        <w:rPr>
          <w:rFonts w:ascii="Consolas" w:hAnsi="Consolas" w:cs="Consolas"/>
          <w:b w:val="0"/>
          <w:i w:val="0"/>
          <w:sz w:val="15"/>
        </w:rPr>
        <w:t xml:space="preserve">    confirmation_date TIMESTAMPTZ,</w:t>
      </w:r>
    </w:p>
    <w:p>
      <w:pPr>
        <w:spacing w:after="0" w:before="0" w:line="240" w:lineRule="auto"/>
        <w:ind w:left="57"/>
        <w:jc w:val="left"/>
        <w:shd w:val="clear" w:fill="F2F2F2"/>
      </w:pPr>
      <w:r>
        <w:rPr>
          <w:rFonts w:ascii="Consolas" w:hAnsi="Consolas" w:cs="Consolas"/>
          <w:b w:val="0"/>
          <w:i w:val="0"/>
          <w:sz w:val="15"/>
        </w:rPr>
        <w:t xml:space="preserve">    verification_status TEXT DEFAULT 'PENDING',</w:t>
      </w:r>
    </w:p>
    <w:p>
      <w:pPr>
        <w:spacing w:after="0" w:before="0" w:line="240" w:lineRule="auto"/>
        <w:ind w:left="57"/>
        <w:jc w:val="left"/>
        <w:shd w:val="clear" w:fill="F2F2F2"/>
      </w:pPr>
      <w:r>
        <w:rPr>
          <w:rFonts w:ascii="Consolas" w:hAnsi="Consolas" w:cs="Consolas"/>
          <w:b w:val="0"/>
          <w:i w:val="0"/>
          <w:sz w:val="15"/>
        </w:rPr>
        <w:t xml:space="preserve">    document_url TEXT,</w:t>
      </w:r>
    </w:p>
    <w:p>
      <w:pPr>
        <w:spacing w:after="0" w:before="0" w:line="240" w:lineRule="auto"/>
        <w:ind w:left="57"/>
        <w:jc w:val="left"/>
        <w:shd w:val="clear" w:fill="F2F2F2"/>
      </w:pPr>
      <w:r>
        <w:rPr>
          <w:rFonts w:ascii="Consolas" w:hAnsi="Consolas" w:cs="Consolas"/>
          <w:b w:val="0"/>
          <w:i w:val="0"/>
          <w:sz w:val="15"/>
        </w:rPr>
        <w:t xml:space="preserve">    verified BOOLEAN DEFAULT false,</w:t>
      </w:r>
    </w:p>
    <w:p>
      <w:pPr>
        <w:spacing w:after="0" w:before="0" w:line="240" w:lineRule="auto"/>
        <w:ind w:left="57"/>
        <w:jc w:val="left"/>
        <w:shd w:val="clear" w:fill="F2F2F2"/>
      </w:pPr>
      <w:r>
        <w:rPr>
          <w:rFonts w:ascii="Consolas" w:hAnsi="Consolas" w:cs="Consolas"/>
          <w:b w:val="0"/>
          <w:i w:val="0"/>
          <w:sz w:val="15"/>
        </w:rPr>
        <w:t xml:space="preserve">    verified_at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idx_payment_guarantee_confirmations_ustn ON payment_guarantee_confirmations(ustn);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idx_payment_guarantee_confirmations_status ON payment_guarantee_confirmations(verification_status);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22.20.4 Implementation Checklist</w:t>
      </w:r>
    </w:p>
    <w:p>
      <w:pPr>
        <w:spacing w:after="80" w:line="293" w:lineRule="auto"/>
        <w:ind w:left="283"/>
        <w:jc w:val="left"/>
      </w:pPr>
      <w:r>
        <w:rPr>
          <w:rFonts w:ascii="Times New Roman" w:hAnsi="Times New Roman" w:cs="Times New Roman"/>
          <w:b w:val="0"/>
          <w:i w:val="0"/>
          <w:sz w:val="22"/>
        </w:rPr>
        <w:t>- Create the `payment_guarantee_confirmations` table.</w:t>
      </w:r>
    </w:p>
    <w:p>
      <w:pPr>
        <w:spacing w:after="80" w:line="293" w:lineRule="auto"/>
        <w:ind w:left="283"/>
        <w:jc w:val="left"/>
      </w:pPr>
      <w:r>
        <w:rPr>
          <w:rFonts w:ascii="Times New Roman" w:hAnsi="Times New Roman" w:cs="Times New Roman"/>
          <w:b w:val="0"/>
          <w:i w:val="0"/>
          <w:sz w:val="22"/>
        </w:rPr>
        <w:t>- Implement manual upload (always available).</w:t>
      </w:r>
    </w:p>
    <w:p>
      <w:pPr>
        <w:spacing w:after="80" w:line="293" w:lineRule="auto"/>
        <w:ind w:left="283"/>
        <w:jc w:val="left"/>
      </w:pPr>
      <w:r>
        <w:rPr>
          <w:rFonts w:ascii="Times New Roman" w:hAnsi="Times New Roman" w:cs="Times New Roman"/>
          <w:b w:val="0"/>
          <w:i w:val="0"/>
          <w:sz w:val="22"/>
        </w:rPr>
        <w:t>- Optionally implement SWIFT MT700 integration.</w:t>
      </w:r>
    </w:p>
    <w:p>
      <w:pPr>
        <w:spacing w:after="80" w:line="293" w:lineRule="auto"/>
        <w:ind w:left="283"/>
        <w:jc w:val="left"/>
      </w:pPr>
      <w:r>
        <w:rPr>
          <w:rFonts w:ascii="Times New Roman" w:hAnsi="Times New Roman" w:cs="Times New Roman"/>
          <w:b w:val="0"/>
          <w:i w:val="0"/>
          <w:sz w:val="22"/>
        </w:rPr>
        <w:t>- Optionally implement URDG 758 integration.</w:t>
      </w:r>
    </w:p>
    <w:p>
      <w:pPr>
        <w:spacing w:after="80" w:line="293" w:lineRule="auto"/>
        <w:ind w:left="283"/>
        <w:jc w:val="left"/>
      </w:pPr>
      <w:r>
        <w:rPr>
          <w:rFonts w:ascii="Times New Roman" w:hAnsi="Times New Roman" w:cs="Times New Roman"/>
          <w:b w:val="0"/>
          <w:i w:val="0"/>
          <w:sz w:val="22"/>
        </w:rPr>
        <w:t>- Add to the Trade Command Center as an optional card.</w:t>
      </w:r>
    </w:p>
    <w:p>
      <w:pPr>
        <w:keepNext/>
        <w:spacing w:before="240" w:after="100"/>
        <w:outlineLvl w:val="1"/>
      </w:pPr>
      <w:r>
        <w:rPr>
          <w:rFonts w:ascii="Arial" w:hAnsi="Arial" w:cs="Arial"/>
          <w:b/>
          <w:i w:val="0"/>
          <w:color w:val="2E528F"/>
          <w:sz w:val="26"/>
        </w:rPr>
        <w:t>22.21 Add-On 26: Demurrage Dispute Resolution</w:t>
      </w:r>
    </w:p>
    <w:p>
      <w:pPr>
        <w:keepNext/>
        <w:spacing w:before="180" w:after="80"/>
        <w:outlineLvl w:val="2"/>
      </w:pPr>
      <w:r>
        <w:rPr>
          <w:rFonts w:ascii="Arial" w:hAnsi="Arial" w:cs="Arial"/>
          <w:b/>
          <w:i w:val="0"/>
          <w:color w:val="333333"/>
          <w:sz w:val="23"/>
        </w:rPr>
        <w:t>22.21.1 Purpose &amp; Design Philosophy</w:t>
      </w:r>
    </w:p>
    <w:p>
      <w:pPr>
        <w:spacing w:after="80" w:line="293" w:lineRule="auto"/>
        <w:jc w:val="left"/>
      </w:pPr>
      <w:r>
        <w:rPr>
          <w:rFonts w:ascii="Times New Roman" w:hAnsi="Times New Roman" w:cs="Times New Roman"/>
          <w:b w:val="0"/>
          <w:i w:val="0"/>
          <w:sz w:val="22"/>
        </w:rPr>
        <w:t>Demurrage disputes are common. This module provides a structured dispute resolution workflow integrated with the main dispute system (Section 14).</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Structured workflow — initiate, evidence, mediate, resolve.</w:t>
      </w:r>
    </w:p>
    <w:p>
      <w:pPr>
        <w:spacing w:after="80" w:line="293" w:lineRule="auto"/>
        <w:ind w:left="283"/>
        <w:jc w:val="left"/>
      </w:pPr>
      <w:r>
        <w:rPr>
          <w:rFonts w:ascii="Times New Roman" w:hAnsi="Times New Roman" w:cs="Times New Roman"/>
          <w:b w:val="0"/>
          <w:i w:val="0"/>
          <w:sz w:val="22"/>
        </w:rPr>
        <w:t>- Evidence package — automatic demurrage calculation audit trail.</w:t>
      </w:r>
    </w:p>
    <w:p>
      <w:pPr>
        <w:spacing w:after="80" w:line="293" w:lineRule="auto"/>
        <w:ind w:left="283"/>
        <w:jc w:val="left"/>
      </w:pPr>
      <w:r>
        <w:rPr>
          <w:rFonts w:ascii="Times New Roman" w:hAnsi="Times New Roman" w:cs="Times New Roman"/>
          <w:b w:val="0"/>
          <w:i w:val="0"/>
          <w:sz w:val="22"/>
        </w:rPr>
        <w:t>- Integration — Section 14 dispute system.</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explanations.</w:t>
      </w:r>
    </w:p>
    <w:p>
      <w:pPr>
        <w:spacing w:after="80" w:line="293" w:lineRule="auto"/>
        <w:ind w:left="283"/>
        <w:jc w:val="left"/>
      </w:pPr>
      <w:r>
        <w:rPr>
          <w:rFonts w:ascii="Times New Roman" w:hAnsi="Times New Roman" w:cs="Times New Roman"/>
          <w:b w:val="0"/>
          <w:i w:val="0"/>
          <w:sz w:val="22"/>
        </w:rPr>
        <w:t>- A2 (HF local → Ollama): pattern analysis.</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22.21.2 Database Schema</w:t>
      </w:r>
    </w:p>
    <w:p>
      <w:pPr>
        <w:spacing w:after="0" w:before="0" w:line="240" w:lineRule="auto"/>
        <w:ind w:left="57"/>
        <w:jc w:val="left"/>
        <w:shd w:val="clear" w:fill="F2F2F2"/>
      </w:pPr>
      <w:r>
        <w:rPr>
          <w:rFonts w:ascii="Consolas" w:hAnsi="Consolas" w:cs="Consolas"/>
          <w:b w:val="0"/>
          <w:i w:val="0"/>
          <w:sz w:val="15"/>
        </w:rPr>
        <w:t>-- Demurrage disputes (extends the dispute system)</w:t>
      </w:r>
    </w:p>
    <w:p>
      <w:pPr>
        <w:spacing w:after="0" w:before="0" w:line="240" w:lineRule="auto"/>
        <w:ind w:left="57"/>
        <w:jc w:val="left"/>
        <w:shd w:val="clear" w:fill="F2F2F2"/>
      </w:pPr>
      <w:r>
        <w:rPr>
          <w:rFonts w:ascii="Consolas" w:hAnsi="Consolas" w:cs="Consolas"/>
          <w:b w:val="0"/>
          <w:i w:val="0"/>
          <w:sz w:val="15"/>
        </w:rPr>
        <w:t>CREATE TABLE demurrage_disputes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NOT NULL REFERENCES shipments(ustn) ON DELETE CASCADE,</w:t>
      </w:r>
    </w:p>
    <w:p>
      <w:pPr>
        <w:spacing w:after="0" w:before="0" w:line="240" w:lineRule="auto"/>
        <w:ind w:left="57"/>
        <w:jc w:val="left"/>
        <w:shd w:val="clear" w:fill="F2F2F2"/>
      </w:pPr>
      <w:r>
        <w:rPr>
          <w:rFonts w:ascii="Consolas" w:hAnsi="Consolas" w:cs="Consolas"/>
          <w:b w:val="0"/>
          <w:i w:val="0"/>
          <w:sz w:val="15"/>
        </w:rPr>
        <w:t xml:space="preserve">    amount_disputed DECIMAL(20,4) NOT NULL,</w:t>
      </w:r>
    </w:p>
    <w:p>
      <w:pPr>
        <w:spacing w:after="0" w:before="0" w:line="240" w:lineRule="auto"/>
        <w:ind w:left="57"/>
        <w:jc w:val="left"/>
        <w:shd w:val="clear" w:fill="F2F2F2"/>
      </w:pPr>
      <w:r>
        <w:rPr>
          <w:rFonts w:ascii="Consolas" w:hAnsi="Consolas" w:cs="Consolas"/>
          <w:b w:val="0"/>
          <w:i w:val="0"/>
          <w:sz w:val="15"/>
        </w:rPr>
        <w:t xml:space="preserve">    reason TEXT NOT NULL,</w:t>
      </w:r>
    </w:p>
    <w:p>
      <w:pPr>
        <w:spacing w:after="0" w:before="0" w:line="240" w:lineRule="auto"/>
        <w:ind w:left="57"/>
        <w:jc w:val="left"/>
        <w:shd w:val="clear" w:fill="F2F2F2"/>
      </w:pPr>
      <w:r>
        <w:rPr>
          <w:rFonts w:ascii="Consolas" w:hAnsi="Consolas" w:cs="Consolas"/>
          <w:b w:val="0"/>
          <w:i w:val="0"/>
          <w:sz w:val="15"/>
        </w:rPr>
        <w:t xml:space="preserve">    evidence TEXT,</w:t>
      </w:r>
    </w:p>
    <w:p>
      <w:pPr>
        <w:spacing w:after="0" w:before="0" w:line="240" w:lineRule="auto"/>
        <w:ind w:left="57"/>
        <w:jc w:val="left"/>
        <w:shd w:val="clear" w:fill="F2F2F2"/>
      </w:pPr>
      <w:r>
        <w:rPr>
          <w:rFonts w:ascii="Consolas" w:hAnsi="Consolas" w:cs="Consolas"/>
          <w:b w:val="0"/>
          <w:i w:val="0"/>
          <w:sz w:val="15"/>
        </w:rPr>
        <w:t xml:space="preserve">    status TEXT DEFAULT 'PENDING',</w:t>
      </w:r>
    </w:p>
    <w:p>
      <w:pPr>
        <w:spacing w:after="0" w:before="0" w:line="240" w:lineRule="auto"/>
        <w:ind w:left="57"/>
        <w:jc w:val="left"/>
        <w:shd w:val="clear" w:fill="F2F2F2"/>
      </w:pPr>
      <w:r>
        <w:rPr>
          <w:rFonts w:ascii="Consolas" w:hAnsi="Consolas" w:cs="Consolas"/>
          <w:b w:val="0"/>
          <w:i w:val="0"/>
          <w:sz w:val="15"/>
        </w:rPr>
        <w:t xml:space="preserve">    resolved_at TIMESTAMPTZ,</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idx_demurrage_disputes_ustn ON demurrage_disputes(ustn);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CREATE INDEX idx_demurrage_disputes_status ON demurrage_disputes(status);</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22.21.3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14 — dispute management</w:t>
            </w:r>
          </w:p>
        </w:tc>
        <w:tc>
          <w:tcPr>
            <w:tcW w:type="dxa" w:w="4819"/>
          </w:tcPr>
          <w:p>
            <w:pPr>
              <w:spacing w:after="20" w:before="20" w:line="240" w:lineRule="auto"/>
            </w:pPr>
            <w:r/>
            <w:r>
              <w:rPr>
                <w:rFonts w:ascii="Arial" w:hAnsi="Arial" w:cs="Arial"/>
                <w:b w:val="0"/>
                <w:i w:val="0"/>
                <w:sz w:val="17"/>
              </w:rPr>
              <w:t>Dispute category</w:t>
            </w:r>
          </w:p>
        </w:tc>
      </w:tr>
      <w:tr>
        <w:tc>
          <w:tcPr>
            <w:tcW w:type="dxa" w:w="4819"/>
          </w:tcPr>
          <w:p>
            <w:pPr>
              <w:spacing w:after="20" w:before="20" w:line="240" w:lineRule="auto"/>
            </w:pPr>
            <w:r/>
            <w:r>
              <w:rPr>
                <w:rFonts w:ascii="Arial" w:hAnsi="Arial" w:cs="Arial"/>
                <w:b w:val="0"/>
                <w:i w:val="0"/>
                <w:sz w:val="17"/>
              </w:rPr>
              <w:t>Section 22.4 — demurrage management</w:t>
            </w:r>
          </w:p>
        </w:tc>
        <w:tc>
          <w:tcPr>
            <w:tcW w:type="dxa" w:w="4819"/>
          </w:tcPr>
          <w:p>
            <w:pPr>
              <w:spacing w:after="20" w:before="20" w:line="240" w:lineRule="auto"/>
            </w:pPr>
            <w:r/>
            <w:r>
              <w:rPr>
                <w:rFonts w:ascii="Arial" w:hAnsi="Arial" w:cs="Arial"/>
                <w:b w:val="0"/>
                <w:i w:val="0"/>
                <w:sz w:val="17"/>
              </w:rPr>
              <w:t>Evidence package</w:t>
            </w:r>
          </w:p>
        </w:tc>
      </w:tr>
      <w:tr>
        <w:tc>
          <w:tcPr>
            <w:tcW w:type="dxa" w:w="4819"/>
          </w:tcPr>
          <w:p>
            <w:pPr>
              <w:spacing w:after="20" w:before="20" w:line="240" w:lineRule="auto"/>
            </w:pPr>
            <w:r/>
            <w:r>
              <w:rPr>
                <w:rFonts w:ascii="Arial" w:hAnsi="Arial" w:cs="Arial"/>
                <w:b w:val="0"/>
                <w:i w:val="0"/>
                <w:sz w:val="17"/>
              </w:rPr>
              <w:t>Section 16 — Trade Command Center</w:t>
            </w:r>
          </w:p>
        </w:tc>
        <w:tc>
          <w:tcPr>
            <w:tcW w:type="dxa" w:w="4819"/>
          </w:tcPr>
          <w:p>
            <w:pPr>
              <w:spacing w:after="20" w:before="20" w:line="240" w:lineRule="auto"/>
            </w:pPr>
            <w:r/>
            <w:r>
              <w:rPr>
                <w:rFonts w:ascii="Arial" w:hAnsi="Arial" w:cs="Arial"/>
                <w:b w:val="0"/>
                <w:i w:val="0"/>
                <w:sz w:val="17"/>
              </w:rPr>
              <w:t>Dispute card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22.21.4 Implementation Checklist</w:t>
      </w:r>
    </w:p>
    <w:p>
      <w:pPr>
        <w:spacing w:after="80" w:line="293" w:lineRule="auto"/>
        <w:ind w:left="283"/>
        <w:jc w:val="left"/>
      </w:pPr>
      <w:r>
        <w:rPr>
          <w:rFonts w:ascii="Times New Roman" w:hAnsi="Times New Roman" w:cs="Times New Roman"/>
          <w:b w:val="0"/>
          <w:i w:val="0"/>
          <w:sz w:val="22"/>
        </w:rPr>
        <w:t>- Create the `demurrage_disputes` table.</w:t>
      </w:r>
    </w:p>
    <w:p>
      <w:pPr>
        <w:spacing w:after="80" w:line="293" w:lineRule="auto"/>
        <w:ind w:left="283"/>
        <w:jc w:val="left"/>
      </w:pPr>
      <w:r>
        <w:rPr>
          <w:rFonts w:ascii="Times New Roman" w:hAnsi="Times New Roman" w:cs="Times New Roman"/>
          <w:b w:val="0"/>
          <w:i w:val="0"/>
          <w:sz w:val="22"/>
        </w:rPr>
        <w:t>- Integrate with the dispute system (Section 14).</w:t>
      </w:r>
    </w:p>
    <w:p>
      <w:pPr>
        <w:spacing w:after="80" w:line="293" w:lineRule="auto"/>
        <w:ind w:left="283"/>
        <w:jc w:val="left"/>
      </w:pPr>
      <w:r>
        <w:rPr>
          <w:rFonts w:ascii="Times New Roman" w:hAnsi="Times New Roman" w:cs="Times New Roman"/>
          <w:b w:val="0"/>
          <w:i w:val="0"/>
          <w:sz w:val="22"/>
        </w:rPr>
        <w:t>- Add demurrage as a dispute category.</w:t>
      </w:r>
    </w:p>
    <w:p>
      <w:pPr>
        <w:spacing w:after="80" w:line="293" w:lineRule="auto"/>
        <w:ind w:left="283"/>
        <w:jc w:val="left"/>
      </w:pPr>
      <w:r>
        <w:rPr>
          <w:rFonts w:ascii="Times New Roman" w:hAnsi="Times New Roman" w:cs="Times New Roman"/>
          <w:b w:val="0"/>
          <w:i w:val="0"/>
          <w:sz w:val="22"/>
        </w:rPr>
        <w:t>- Auto-compile the evidence package.</w:t>
      </w:r>
    </w:p>
    <w:p>
      <w:pPr>
        <w:spacing w:after="80" w:line="293" w:lineRule="auto"/>
        <w:ind w:left="283"/>
        <w:jc w:val="left"/>
      </w:pPr>
      <w:r>
        <w:rPr>
          <w:rFonts w:ascii="Times New Roman" w:hAnsi="Times New Roman" w:cs="Times New Roman"/>
          <w:b w:val="0"/>
          <w:i w:val="0"/>
          <w:sz w:val="22"/>
        </w:rPr>
        <w:t>- Add the mediation workflow.</w:t>
      </w:r>
    </w:p>
    <w:p>
      <w:pPr>
        <w:keepNext/>
        <w:spacing w:before="240" w:after="100"/>
        <w:outlineLvl w:val="1"/>
      </w:pPr>
      <w:r>
        <w:rPr>
          <w:rFonts w:ascii="Arial" w:hAnsi="Arial" w:cs="Arial"/>
          <w:b/>
          <w:i w:val="0"/>
          <w:color w:val="2E528F"/>
          <w:sz w:val="26"/>
        </w:rPr>
        <w:t>22.22 Add-On 27: (Reserved)</w:t>
      </w:r>
    </w:p>
    <w:p>
      <w:pPr>
        <w:spacing w:after="80" w:line="293" w:lineRule="auto"/>
        <w:jc w:val="left"/>
      </w:pPr>
      <w:r>
        <w:rPr>
          <w:rFonts w:ascii="Times New Roman" w:hAnsi="Times New Roman" w:cs="Times New Roman"/>
          <w:b w:val="0"/>
          <w:i w:val="0"/>
          <w:sz w:val="22"/>
        </w:rPr>
        <w:t>This add-on is reserved for future enhancements. It carries no specification, priority, or status; its number is held so that existing add-on numbering remains stable as the catalogue evolves.</w:t>
      </w:r>
    </w:p>
    <w:p>
      <w:pPr>
        <w:keepNext/>
        <w:spacing w:before="240" w:after="100"/>
        <w:outlineLvl w:val="1"/>
      </w:pPr>
      <w:r>
        <w:rPr>
          <w:rFonts w:ascii="Arial" w:hAnsi="Arial" w:cs="Arial"/>
          <w:b/>
          <w:i w:val="0"/>
          <w:color w:val="2E528F"/>
          <w:sz w:val="26"/>
        </w:rPr>
        <w:t>22.23 Add-On 28: GRiRE Engine (Global Regulatory Intelligence &amp; Requirements Engine)</w:t>
      </w:r>
    </w:p>
    <w:p>
      <w:pPr>
        <w:keepNext/>
        <w:spacing w:before="180" w:after="80"/>
        <w:outlineLvl w:val="2"/>
      </w:pPr>
      <w:r>
        <w:rPr>
          <w:rFonts w:ascii="Arial" w:hAnsi="Arial" w:cs="Arial"/>
          <w:b/>
          <w:i w:val="0"/>
          <w:color w:val="333333"/>
          <w:sz w:val="23"/>
        </w:rPr>
        <w:t>22.23.1 Purpose &amp; Design Philosophy</w:t>
      </w:r>
    </w:p>
    <w:p>
      <w:pPr>
        <w:spacing w:after="80" w:line="293" w:lineRule="auto"/>
        <w:jc w:val="left"/>
      </w:pPr>
      <w:r>
        <w:rPr>
          <w:rFonts w:ascii="Times New Roman" w:hAnsi="Times New Roman" w:cs="Times New Roman"/>
          <w:b w:val="0"/>
          <w:i w:val="0"/>
          <w:sz w:val="22"/>
        </w:rPr>
        <w:t>The GRiRE (Global Regulatory Intelligence &amp; Requirements Engine) engine provides AI-powered discovery and import of regulatory, customs, documentation, and logistics requirements for every country and territory worldwide — not just the ones manually hardcoded.</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AI-driven discovery — scrapes 500+ official sources across 195+ countries.</w:t>
      </w:r>
    </w:p>
    <w:p>
      <w:pPr>
        <w:spacing w:after="80" w:line="293" w:lineRule="auto"/>
        <w:ind w:left="283"/>
        <w:jc w:val="left"/>
      </w:pPr>
      <w:r>
        <w:rPr>
          <w:rFonts w:ascii="Times New Roman" w:hAnsi="Times New Roman" w:cs="Times New Roman"/>
          <w:b w:val="0"/>
          <w:i w:val="0"/>
          <w:sz w:val="22"/>
        </w:rPr>
        <w:t>- Self-updating — changes detected and imported automatically.</w:t>
      </w:r>
    </w:p>
    <w:p>
      <w:pPr>
        <w:spacing w:after="80" w:line="293" w:lineRule="auto"/>
        <w:ind w:left="283"/>
        <w:jc w:val="left"/>
      </w:pPr>
      <w:r>
        <w:rPr>
          <w:rFonts w:ascii="Times New Roman" w:hAnsi="Times New Roman" w:cs="Times New Roman"/>
          <w:b w:val="0"/>
          <w:i w:val="0"/>
          <w:sz w:val="22"/>
        </w:rPr>
        <w:t>- Auto-configuration — all platform modules configured automatically.</w:t>
      </w:r>
    </w:p>
    <w:p>
      <w:pPr>
        <w:spacing w:after="80" w:line="293" w:lineRule="auto"/>
        <w:ind w:left="283"/>
        <w:jc w:val="left"/>
      </w:pPr>
      <w:r>
        <w:rPr>
          <w:rFonts w:ascii="Times New Roman" w:hAnsi="Times New Roman" w:cs="Times New Roman"/>
          <w:b w:val="0"/>
          <w:i w:val="0"/>
          <w:sz w:val="22"/>
        </w:rPr>
        <w:t>- Confidence scoring — low-confidence items flagged for human review.</w:t>
      </w:r>
    </w:p>
    <w:p>
      <w:pPr>
        <w:spacing w:after="80" w:line="293" w:lineRule="auto"/>
        <w:ind w:left="283"/>
        <w:jc w:val="left"/>
      </w:pPr>
      <w:r>
        <w:rPr>
          <w:rFonts w:ascii="Times New Roman" w:hAnsi="Times New Roman" w:cs="Times New Roman"/>
          <w:b w:val="0"/>
          <w:i w:val="0"/>
          <w:sz w:val="22"/>
        </w:rPr>
        <w:t>- Zero-cost — all data sources are free and public.</w:t>
      </w:r>
    </w:p>
    <w:p>
      <w:pPr>
        <w:spacing w:after="80" w:line="293" w:lineRule="auto"/>
        <w:jc w:val="left"/>
      </w:pPr>
      <w:r>
        <w:rPr>
          <w:rFonts w:ascii="Times New Roman" w:hAnsi="Times New Roman" w:cs="Times New Roman"/>
          <w:b w:val="0"/>
          <w:i w:val="0"/>
          <w:sz w:val="22"/>
        </w:rPr>
        <w:t>AI integration:</w:t>
      </w:r>
    </w:p>
    <w:p>
      <w:pPr>
        <w:spacing w:after="80" w:line="293" w:lineRule="auto"/>
        <w:ind w:left="283"/>
        <w:jc w:val="left"/>
      </w:pPr>
      <w:r>
        <w:rPr>
          <w:rFonts w:ascii="Times New Roman" w:hAnsi="Times New Roman" w:cs="Times New Roman"/>
          <w:b w:val="0"/>
          <w:i w:val="0"/>
          <w:sz w:val="22"/>
        </w:rPr>
        <w:t>- A1 (Groq → Ollama): change summaries, explanations.</w:t>
      </w:r>
    </w:p>
    <w:p>
      <w:pPr>
        <w:spacing w:after="80" w:line="293" w:lineRule="auto"/>
        <w:ind w:left="283"/>
        <w:jc w:val="left"/>
      </w:pPr>
      <w:r>
        <w:rPr>
          <w:rFonts w:ascii="Times New Roman" w:hAnsi="Times New Roman" w:cs="Times New Roman"/>
          <w:b w:val="0"/>
          <w:i w:val="0"/>
          <w:sz w:val="22"/>
        </w:rPr>
        <w:t>- A2 (HF local → Ollama): entity extraction, document classification, relation extraction.</w:t>
      </w:r>
    </w:p>
    <w:p>
      <w:pPr>
        <w:spacing w:after="80" w:line="293" w:lineRule="auto"/>
        <w:ind w:left="283"/>
        <w:jc w:val="left"/>
      </w:pPr>
      <w:r>
        <w:rPr>
          <w:rFonts w:ascii="Times New Roman" w:hAnsi="Times New Roman" w:cs="Times New Roman"/>
          <w:b w:val="0"/>
          <w:i w:val="0"/>
          <w:sz w:val="22"/>
        </w:rPr>
        <w:t>- A4 (OPA + WasmEdge): validation.</w:t>
      </w:r>
    </w:p>
    <w:p>
      <w:pPr>
        <w:keepNext/>
        <w:spacing w:before="180" w:after="80"/>
        <w:outlineLvl w:val="2"/>
      </w:pPr>
      <w:r>
        <w:rPr>
          <w:rFonts w:ascii="Arial" w:hAnsi="Arial" w:cs="Arial"/>
          <w:b/>
          <w:i w:val="0"/>
          <w:color w:val="333333"/>
          <w:sz w:val="23"/>
        </w:rPr>
        <w:t>22.23.2 Core Architecture</w:t>
      </w:r>
    </w:p>
    <w:p>
      <w:pPr>
        <w:spacing w:after="80" w:line="293" w:lineRule="auto"/>
        <w:jc w:val="left"/>
      </w:pPr>
      <w:r>
        <w:rPr>
          <w:rFonts w:ascii="Times New Roman" w:hAnsi="Times New Roman" w:cs="Times New Roman"/>
          <w:b w:val="0"/>
          <w:i w:val="0"/>
          <w:sz w:val="22"/>
        </w:rPr>
        <w:t>The engine is a four-layer pipeline:</w:t>
      </w:r>
    </w:p>
    <w:p>
      <w:pPr>
        <w:spacing w:after="80" w:line="293" w:lineRule="auto"/>
        <w:jc w:val="left"/>
      </w:pPr>
      <w:r>
        <w:rPr>
          <w:rFonts w:ascii="Times New Roman" w:hAnsi="Times New Roman" w:cs="Times New Roman"/>
          <w:b w:val="0"/>
          <w:i w:val="0"/>
          <w:sz w:val="22"/>
        </w:rPr>
        <w:t>Scraper layer (Rust + Rig):</w:t>
      </w:r>
    </w:p>
    <w:p>
      <w:pPr>
        <w:spacing w:after="80" w:line="293" w:lineRule="auto"/>
        <w:ind w:left="283"/>
        <w:jc w:val="left"/>
      </w:pPr>
      <w:r>
        <w:rPr>
          <w:rFonts w:ascii="Times New Roman" w:hAnsi="Times New Roman" w:cs="Times New Roman"/>
          <w:b w:val="0"/>
          <w:i w:val="0"/>
          <w:sz w:val="22"/>
        </w:rPr>
        <w:t>- Customs authority websites (195+ countries).</w:t>
      </w:r>
    </w:p>
    <w:p>
      <w:pPr>
        <w:spacing w:after="80" w:line="293" w:lineRule="auto"/>
        <w:ind w:left="283"/>
        <w:jc w:val="left"/>
      </w:pPr>
      <w:r>
        <w:rPr>
          <w:rFonts w:ascii="Times New Roman" w:hAnsi="Times New Roman" w:cs="Times New Roman"/>
          <w:b w:val="0"/>
          <w:i w:val="0"/>
          <w:sz w:val="22"/>
        </w:rPr>
        <w:t>- Government gazettes &amp; official journals.</w:t>
      </w:r>
    </w:p>
    <w:p>
      <w:pPr>
        <w:spacing w:after="80" w:line="293" w:lineRule="auto"/>
        <w:ind w:left="283"/>
        <w:jc w:val="left"/>
      </w:pPr>
      <w:r>
        <w:rPr>
          <w:rFonts w:ascii="Times New Roman" w:hAnsi="Times New Roman" w:cs="Times New Roman"/>
          <w:b w:val="0"/>
          <w:i w:val="0"/>
          <w:sz w:val="22"/>
        </w:rPr>
        <w:t>- WTO, UN, WCO, WHO, FAO, IMO databases.</w:t>
      </w:r>
    </w:p>
    <w:p>
      <w:pPr>
        <w:spacing w:after="80" w:line="293" w:lineRule="auto"/>
        <w:ind w:left="283"/>
        <w:jc w:val="left"/>
      </w:pPr>
      <w:r>
        <w:rPr>
          <w:rFonts w:ascii="Times New Roman" w:hAnsi="Times New Roman" w:cs="Times New Roman"/>
          <w:b w:val="0"/>
          <w:i w:val="0"/>
          <w:sz w:val="22"/>
        </w:rPr>
        <w:t>- Regional trade agreements (AfCFTA, EU, USMCA, RCEP, etc.).</w:t>
      </w:r>
    </w:p>
    <w:p>
      <w:pPr>
        <w:spacing w:after="80" w:line="293" w:lineRule="auto"/>
        <w:ind w:left="283"/>
        <w:jc w:val="left"/>
      </w:pPr>
      <w:r>
        <w:rPr>
          <w:rFonts w:ascii="Times New Roman" w:hAnsi="Times New Roman" w:cs="Times New Roman"/>
          <w:b w:val="0"/>
          <w:i w:val="0"/>
          <w:sz w:val="22"/>
        </w:rPr>
        <w:t>- Port authority websites (1,200+ ports).</w:t>
      </w:r>
    </w:p>
    <w:p>
      <w:pPr>
        <w:spacing w:after="80" w:line="293" w:lineRule="auto"/>
        <w:ind w:left="283"/>
        <w:jc w:val="left"/>
      </w:pPr>
      <w:r>
        <w:rPr>
          <w:rFonts w:ascii="Times New Roman" w:hAnsi="Times New Roman" w:cs="Times New Roman"/>
          <w:b w:val="0"/>
          <w:i w:val="0"/>
          <w:sz w:val="22"/>
        </w:rPr>
        <w:t>- Carrier tariff databases (50+ carriers).</w:t>
      </w:r>
    </w:p>
    <w:p>
      <w:pPr>
        <w:spacing w:after="80" w:line="293" w:lineRule="auto"/>
        <w:ind w:left="283"/>
        <w:jc w:val="left"/>
      </w:pPr>
      <w:r>
        <w:rPr>
          <w:rFonts w:ascii="Times New Roman" w:hAnsi="Times New Roman" w:cs="Times New Roman"/>
          <w:b w:val="0"/>
          <w:i w:val="0"/>
          <w:sz w:val="22"/>
        </w:rPr>
        <w:t>- Insurance and banking regulatory sites.</w:t>
      </w:r>
    </w:p>
    <w:p>
      <w:pPr>
        <w:spacing w:after="80" w:line="293" w:lineRule="auto"/>
        <w:jc w:val="left"/>
      </w:pPr>
      <w:r>
        <w:rPr>
          <w:rFonts w:ascii="Times New Roman" w:hAnsi="Times New Roman" w:cs="Times New Roman"/>
          <w:b w:val="0"/>
          <w:i w:val="0"/>
          <w:sz w:val="22"/>
        </w:rPr>
        <w:t>AI parsing &amp; extraction layer (A2, HF NLP):</w:t>
      </w:r>
    </w:p>
    <w:p>
      <w:pPr>
        <w:spacing w:after="80" w:line="293" w:lineRule="auto"/>
        <w:ind w:left="283"/>
        <w:jc w:val="left"/>
      </w:pPr>
      <w:r>
        <w:rPr>
          <w:rFonts w:ascii="Times New Roman" w:hAnsi="Times New Roman" w:cs="Times New Roman"/>
          <w:b w:val="0"/>
          <w:i w:val="0"/>
          <w:sz w:val="22"/>
        </w:rPr>
        <w:t>- Entity extraction (countries, ports, HS codes, document types).</w:t>
      </w:r>
    </w:p>
    <w:p>
      <w:pPr>
        <w:spacing w:after="80" w:line="293" w:lineRule="auto"/>
        <w:ind w:left="283"/>
        <w:jc w:val="left"/>
      </w:pPr>
      <w:r>
        <w:rPr>
          <w:rFonts w:ascii="Times New Roman" w:hAnsi="Times New Roman" w:cs="Times New Roman"/>
          <w:b w:val="0"/>
          <w:i w:val="0"/>
          <w:sz w:val="22"/>
        </w:rPr>
        <w:t>- Relation extraction (country→requirements, HS→duty, etc.).</w:t>
      </w:r>
    </w:p>
    <w:p>
      <w:pPr>
        <w:spacing w:after="80" w:line="293" w:lineRule="auto"/>
        <w:ind w:left="283"/>
        <w:jc w:val="left"/>
      </w:pPr>
      <w:r>
        <w:rPr>
          <w:rFonts w:ascii="Times New Roman" w:hAnsi="Times New Roman" w:cs="Times New Roman"/>
          <w:b w:val="0"/>
          <w:i w:val="0"/>
          <w:sz w:val="22"/>
        </w:rPr>
        <w:t>- Document classification (laws, regulations, circulars, tariffs).</w:t>
      </w:r>
    </w:p>
    <w:p>
      <w:pPr>
        <w:spacing w:after="80" w:line="293" w:lineRule="auto"/>
        <w:ind w:left="283"/>
        <w:jc w:val="left"/>
      </w:pPr>
      <w:r>
        <w:rPr>
          <w:rFonts w:ascii="Times New Roman" w:hAnsi="Times New Roman" w:cs="Times New Roman"/>
          <w:b w:val="0"/>
          <w:i w:val="0"/>
          <w:sz w:val="22"/>
        </w:rPr>
        <w:t>- Confidence scoring &amp; version tracking.</w:t>
      </w:r>
    </w:p>
    <w:p>
      <w:pPr>
        <w:spacing w:after="80" w:line="293" w:lineRule="auto"/>
        <w:jc w:val="left"/>
      </w:pPr>
      <w:r>
        <w:rPr>
          <w:rFonts w:ascii="Times New Roman" w:hAnsi="Times New Roman" w:cs="Times New Roman"/>
          <w:b w:val="0"/>
          <w:i w:val="0"/>
          <w:sz w:val="22"/>
        </w:rPr>
        <w:t>Structured requirements store (PostgreSQL + vector DB):</w:t>
      </w:r>
    </w:p>
    <w:p>
      <w:pPr>
        <w:spacing w:after="80" w:line="293" w:lineRule="auto"/>
        <w:ind w:left="283"/>
        <w:jc w:val="left"/>
      </w:pPr>
      <w:r>
        <w:rPr>
          <w:rFonts w:ascii="Times New Roman" w:hAnsi="Times New Roman" w:cs="Times New Roman"/>
          <w:b w:val="0"/>
          <w:i w:val="0"/>
          <w:sz w:val="22"/>
        </w:rPr>
        <w:t>- Country Regulatory Profiles.</w:t>
      </w:r>
    </w:p>
    <w:p>
      <w:pPr>
        <w:spacing w:after="80" w:line="293" w:lineRule="auto"/>
        <w:ind w:left="283"/>
        <w:jc w:val="left"/>
      </w:pPr>
      <w:r>
        <w:rPr>
          <w:rFonts w:ascii="Times New Roman" w:hAnsi="Times New Roman" w:cs="Times New Roman"/>
          <w:b w:val="0"/>
          <w:i w:val="0"/>
          <w:sz w:val="22"/>
        </w:rPr>
        <w:t>- HS Code Tariff Schedules.</w:t>
      </w:r>
    </w:p>
    <w:p>
      <w:pPr>
        <w:spacing w:after="80" w:line="293" w:lineRule="auto"/>
        <w:ind w:left="283"/>
        <w:jc w:val="left"/>
      </w:pPr>
      <w:r>
        <w:rPr>
          <w:rFonts w:ascii="Times New Roman" w:hAnsi="Times New Roman" w:cs="Times New Roman"/>
          <w:b w:val="0"/>
          <w:i w:val="0"/>
          <w:sz w:val="22"/>
        </w:rPr>
        <w:t>- Required Documents Matrix.</w:t>
      </w:r>
    </w:p>
    <w:p>
      <w:pPr>
        <w:spacing w:after="80" w:line="293" w:lineRule="auto"/>
        <w:ind w:left="283"/>
        <w:jc w:val="left"/>
      </w:pPr>
      <w:r>
        <w:rPr>
          <w:rFonts w:ascii="Times New Roman" w:hAnsi="Times New Roman" w:cs="Times New Roman"/>
          <w:b w:val="0"/>
          <w:i w:val="0"/>
          <w:sz w:val="22"/>
        </w:rPr>
        <w:t>- Cold Chain &amp; Treatment Requirements.</w:t>
      </w:r>
    </w:p>
    <w:p>
      <w:pPr>
        <w:spacing w:after="80" w:line="293" w:lineRule="auto"/>
        <w:ind w:left="283"/>
        <w:jc w:val="left"/>
      </w:pPr>
      <w:r>
        <w:rPr>
          <w:rFonts w:ascii="Times New Roman" w:hAnsi="Times New Roman" w:cs="Times New Roman"/>
          <w:b w:val="0"/>
          <w:i w:val="0"/>
          <w:sz w:val="22"/>
        </w:rPr>
        <w:t>- Bond &amp; Guarantee Rules.</w:t>
      </w:r>
    </w:p>
    <w:p>
      <w:pPr>
        <w:spacing w:after="80" w:line="293" w:lineRule="auto"/>
        <w:ind w:left="283"/>
        <w:jc w:val="left"/>
      </w:pPr>
      <w:r>
        <w:rPr>
          <w:rFonts w:ascii="Times New Roman" w:hAnsi="Times New Roman" w:cs="Times New Roman"/>
          <w:b w:val="0"/>
          <w:i w:val="0"/>
          <w:sz w:val="22"/>
        </w:rPr>
        <w:t>- Demurrage &amp; Free Time Norms.</w:t>
      </w:r>
    </w:p>
    <w:p>
      <w:pPr>
        <w:spacing w:after="80" w:line="293" w:lineRule="auto"/>
        <w:ind w:left="283"/>
        <w:jc w:val="left"/>
      </w:pPr>
      <w:r>
        <w:rPr>
          <w:rFonts w:ascii="Times New Roman" w:hAnsi="Times New Roman" w:cs="Times New Roman"/>
          <w:b w:val="0"/>
          <w:i w:val="0"/>
          <w:sz w:val="22"/>
        </w:rPr>
        <w:t>- Customs Valuation Rules.</w:t>
      </w:r>
    </w:p>
    <w:p>
      <w:pPr>
        <w:spacing w:after="80" w:line="293" w:lineRule="auto"/>
        <w:ind w:left="283"/>
        <w:jc w:val="left"/>
      </w:pPr>
      <w:r>
        <w:rPr>
          <w:rFonts w:ascii="Times New Roman" w:hAnsi="Times New Roman" w:cs="Times New Roman"/>
          <w:b w:val="0"/>
          <w:i w:val="0"/>
          <w:sz w:val="22"/>
        </w:rPr>
        <w:t>- FTA &amp; Preference Rules.</w:t>
      </w:r>
    </w:p>
    <w:p>
      <w:pPr>
        <w:spacing w:after="80" w:line="293" w:lineRule="auto"/>
        <w:jc w:val="left"/>
      </w:pPr>
      <w:r>
        <w:rPr>
          <w:rFonts w:ascii="Times New Roman" w:hAnsi="Times New Roman" w:cs="Times New Roman"/>
          <w:b w:val="0"/>
          <w:i w:val="0"/>
          <w:sz w:val="22"/>
        </w:rPr>
        <w:t>Output layer:</w:t>
      </w:r>
    </w:p>
    <w:p>
      <w:pPr>
        <w:spacing w:after="80" w:line="293" w:lineRule="auto"/>
        <w:ind w:left="283"/>
        <w:jc w:val="left"/>
      </w:pPr>
      <w:r>
        <w:rPr>
          <w:rFonts w:ascii="Times New Roman" w:hAnsi="Times New Roman" w:cs="Times New Roman"/>
          <w:b w:val="0"/>
          <w:i w:val="0"/>
          <w:sz w:val="22"/>
        </w:rPr>
        <w:t>- Dynamic form fields (Product Form Agent).</w:t>
      </w:r>
    </w:p>
    <w:p>
      <w:pPr>
        <w:spacing w:after="80" w:line="293" w:lineRule="auto"/>
        <w:ind w:left="283"/>
        <w:jc w:val="left"/>
      </w:pPr>
      <w:r>
        <w:rPr>
          <w:rFonts w:ascii="Times New Roman" w:hAnsi="Times New Roman" w:cs="Times New Roman"/>
          <w:b w:val="0"/>
          <w:i w:val="0"/>
          <w:sz w:val="22"/>
        </w:rPr>
        <w:t>- Document requirements checklist.</w:t>
      </w:r>
    </w:p>
    <w:p>
      <w:pPr>
        <w:spacing w:after="80" w:line="293" w:lineRule="auto"/>
        <w:ind w:left="283"/>
        <w:jc w:val="left"/>
      </w:pPr>
      <w:r>
        <w:rPr>
          <w:rFonts w:ascii="Times New Roman" w:hAnsi="Times New Roman" w:cs="Times New Roman"/>
          <w:b w:val="0"/>
          <w:i w:val="0"/>
          <w:sz w:val="22"/>
        </w:rPr>
        <w:t>- Bond amount calculator.</w:t>
      </w:r>
    </w:p>
    <w:p>
      <w:pPr>
        <w:spacing w:after="80" w:line="293" w:lineRule="auto"/>
        <w:ind w:left="283"/>
        <w:jc w:val="left"/>
      </w:pPr>
      <w:r>
        <w:rPr>
          <w:rFonts w:ascii="Times New Roman" w:hAnsi="Times New Roman" w:cs="Times New Roman"/>
          <w:b w:val="0"/>
          <w:i w:val="0"/>
          <w:sz w:val="22"/>
        </w:rPr>
        <w:t>- Demurrage free time &amp; rates.</w:t>
      </w:r>
    </w:p>
    <w:p>
      <w:pPr>
        <w:spacing w:after="80" w:line="293" w:lineRule="auto"/>
        <w:ind w:left="283"/>
        <w:jc w:val="left"/>
      </w:pPr>
      <w:r>
        <w:rPr>
          <w:rFonts w:ascii="Times New Roman" w:hAnsi="Times New Roman" w:cs="Times New Roman"/>
          <w:b w:val="0"/>
          <w:i w:val="0"/>
          <w:sz w:val="22"/>
        </w:rPr>
        <w:t>- Cold chain temperature specifications.</w:t>
      </w:r>
    </w:p>
    <w:p>
      <w:pPr>
        <w:spacing w:after="80" w:line="293" w:lineRule="auto"/>
        <w:ind w:left="283"/>
        <w:jc w:val="left"/>
      </w:pPr>
      <w:r>
        <w:rPr>
          <w:rFonts w:ascii="Times New Roman" w:hAnsi="Times New Roman" w:cs="Times New Roman"/>
          <w:b w:val="0"/>
          <w:i w:val="0"/>
          <w:sz w:val="22"/>
        </w:rPr>
        <w:t>- Duty estimation &amp; valuation alerts.</w:t>
      </w:r>
    </w:p>
    <w:p>
      <w:pPr>
        <w:keepNext/>
        <w:spacing w:before="180" w:after="80"/>
        <w:outlineLvl w:val="2"/>
      </w:pPr>
      <w:r>
        <w:rPr>
          <w:rFonts w:ascii="Arial" w:hAnsi="Arial" w:cs="Arial"/>
          <w:b/>
          <w:i w:val="0"/>
          <w:color w:val="333333"/>
          <w:sz w:val="23"/>
        </w:rPr>
        <w:t>22.23.3 Data Sources (500+)</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Category</w:t>
            </w:r>
          </w:p>
        </w:tc>
        <w:tc>
          <w:tcPr>
            <w:tcW w:type="dxa" w:w="3213"/>
            <w:shd w:val="clear" w:fill="D9E2F3"/>
          </w:tcPr>
          <w:p>
            <w:pPr>
              <w:spacing w:after="20" w:before="20" w:line="240" w:lineRule="auto"/>
            </w:pPr>
            <w:r/>
            <w:r>
              <w:rPr>
                <w:rFonts w:ascii="Arial" w:hAnsi="Arial" w:cs="Arial"/>
                <w:b/>
                <w:i w:val="0"/>
                <w:sz w:val="18"/>
              </w:rPr>
              <w:t>Sources</w:t>
            </w:r>
          </w:p>
        </w:tc>
        <w:tc>
          <w:tcPr>
            <w:tcW w:type="dxa" w:w="3213"/>
            <w:shd w:val="clear" w:fill="D9E2F3"/>
          </w:tcPr>
          <w:p>
            <w:pPr>
              <w:spacing w:after="20" w:before="20" w:line="240" w:lineRule="auto"/>
            </w:pPr>
            <w:r/>
            <w:r>
              <w:rPr>
                <w:rFonts w:ascii="Arial" w:hAnsi="Arial" w:cs="Arial"/>
                <w:b/>
                <w:i w:val="0"/>
                <w:sz w:val="18"/>
              </w:rPr>
              <w:t>Coverage</w:t>
            </w:r>
          </w:p>
        </w:tc>
      </w:tr>
      <w:tr>
        <w:tc>
          <w:tcPr>
            <w:tcW w:type="dxa" w:w="3213"/>
          </w:tcPr>
          <w:p>
            <w:pPr>
              <w:spacing w:after="20" w:before="20" w:line="240" w:lineRule="auto"/>
            </w:pPr>
            <w:r/>
            <w:r>
              <w:rPr>
                <w:rFonts w:ascii="Arial" w:hAnsi="Arial" w:cs="Arial"/>
                <w:b w:val="0"/>
                <w:i w:val="0"/>
                <w:sz w:val="17"/>
              </w:rPr>
              <w:t>Customs</w:t>
            </w:r>
          </w:p>
        </w:tc>
        <w:tc>
          <w:tcPr>
            <w:tcW w:type="dxa" w:w="3213"/>
          </w:tcPr>
          <w:p>
            <w:pPr>
              <w:spacing w:after="20" w:before="20" w:line="240" w:lineRule="auto"/>
            </w:pPr>
            <w:r/>
            <w:r>
              <w:rPr>
                <w:rFonts w:ascii="Arial" w:hAnsi="Arial" w:cs="Arial"/>
                <w:b w:val="0"/>
                <w:i w:val="0"/>
                <w:sz w:val="17"/>
              </w:rPr>
              <w:t>WCO, national customs websites</w:t>
            </w:r>
          </w:p>
        </w:tc>
        <w:tc>
          <w:tcPr>
            <w:tcW w:type="dxa" w:w="3213"/>
          </w:tcPr>
          <w:p>
            <w:pPr>
              <w:spacing w:after="20" w:before="20" w:line="240" w:lineRule="auto"/>
            </w:pPr>
            <w:r/>
            <w:r>
              <w:rPr>
                <w:rFonts w:ascii="Arial" w:hAnsi="Arial" w:cs="Arial"/>
                <w:b w:val="0"/>
                <w:i w:val="0"/>
                <w:sz w:val="17"/>
              </w:rPr>
              <w:t>195 countries</w:t>
            </w:r>
          </w:p>
        </w:tc>
      </w:tr>
      <w:tr>
        <w:tc>
          <w:tcPr>
            <w:tcW w:type="dxa" w:w="3213"/>
          </w:tcPr>
          <w:p>
            <w:pPr>
              <w:spacing w:after="20" w:before="20" w:line="240" w:lineRule="auto"/>
            </w:pPr>
            <w:r/>
            <w:r>
              <w:rPr>
                <w:rFonts w:ascii="Arial" w:hAnsi="Arial" w:cs="Arial"/>
                <w:b w:val="0"/>
                <w:i w:val="0"/>
                <w:sz w:val="17"/>
              </w:rPr>
              <w:t>Tariffs</w:t>
            </w:r>
          </w:p>
        </w:tc>
        <w:tc>
          <w:tcPr>
            <w:tcW w:type="dxa" w:w="3213"/>
          </w:tcPr>
          <w:p>
            <w:pPr>
              <w:spacing w:after="20" w:before="20" w:line="240" w:lineRule="auto"/>
            </w:pPr>
            <w:r/>
            <w:r>
              <w:rPr>
                <w:rFonts w:ascii="Arial" w:hAnsi="Arial" w:cs="Arial"/>
                <w:b w:val="0"/>
                <w:i w:val="0"/>
                <w:sz w:val="17"/>
              </w:rPr>
              <w:t>WTO Tariff Data, national tariff schedules</w:t>
            </w:r>
          </w:p>
        </w:tc>
        <w:tc>
          <w:tcPr>
            <w:tcW w:type="dxa" w:w="3213"/>
          </w:tcPr>
          <w:p>
            <w:pPr>
              <w:spacing w:after="20" w:before="20" w:line="240" w:lineRule="auto"/>
            </w:pPr>
            <w:r/>
            <w:r>
              <w:rPr>
                <w:rFonts w:ascii="Arial" w:hAnsi="Arial" w:cs="Arial"/>
                <w:b w:val="0"/>
                <w:i w:val="0"/>
                <w:sz w:val="17"/>
              </w:rPr>
              <w:t>150+ countries</w:t>
            </w:r>
          </w:p>
        </w:tc>
      </w:tr>
      <w:tr>
        <w:tc>
          <w:tcPr>
            <w:tcW w:type="dxa" w:w="3213"/>
          </w:tcPr>
          <w:p>
            <w:pPr>
              <w:spacing w:after="20" w:before="20" w:line="240" w:lineRule="auto"/>
            </w:pPr>
            <w:r/>
            <w:r>
              <w:rPr>
                <w:rFonts w:ascii="Arial" w:hAnsi="Arial" w:cs="Arial"/>
                <w:b w:val="0"/>
                <w:i w:val="0"/>
                <w:sz w:val="17"/>
              </w:rPr>
              <w:t>Documents</w:t>
            </w:r>
          </w:p>
        </w:tc>
        <w:tc>
          <w:tcPr>
            <w:tcW w:type="dxa" w:w="3213"/>
          </w:tcPr>
          <w:p>
            <w:pPr>
              <w:spacing w:after="20" w:before="20" w:line="240" w:lineRule="auto"/>
            </w:pPr>
            <w:r/>
            <w:r>
              <w:rPr>
                <w:rFonts w:ascii="Arial" w:hAnsi="Arial" w:cs="Arial"/>
                <w:b w:val="0"/>
                <w:i w:val="0"/>
                <w:sz w:val="17"/>
              </w:rPr>
              <w:t>UN/CEFACT, WCO guidelines</w:t>
            </w:r>
          </w:p>
        </w:tc>
        <w:tc>
          <w:tcPr>
            <w:tcW w:type="dxa" w:w="3213"/>
          </w:tcPr>
          <w:p>
            <w:pPr>
              <w:spacing w:after="20" w:before="20" w:line="240" w:lineRule="auto"/>
            </w:pPr>
            <w:r/>
            <w:r>
              <w:rPr>
                <w:rFonts w:ascii="Arial" w:hAnsi="Arial" w:cs="Arial"/>
                <w:b w:val="0"/>
                <w:i w:val="0"/>
                <w:sz w:val="17"/>
              </w:rPr>
              <w:t>All countries</w:t>
            </w:r>
          </w:p>
        </w:tc>
      </w:tr>
      <w:tr>
        <w:tc>
          <w:tcPr>
            <w:tcW w:type="dxa" w:w="3213"/>
          </w:tcPr>
          <w:p>
            <w:pPr>
              <w:spacing w:after="20" w:before="20" w:line="240" w:lineRule="auto"/>
            </w:pPr>
            <w:r/>
            <w:r>
              <w:rPr>
                <w:rFonts w:ascii="Arial" w:hAnsi="Arial" w:cs="Arial"/>
                <w:b w:val="0"/>
                <w:i w:val="0"/>
                <w:sz w:val="17"/>
              </w:rPr>
              <w:t>Cold Chain</w:t>
            </w:r>
          </w:p>
        </w:tc>
        <w:tc>
          <w:tcPr>
            <w:tcW w:type="dxa" w:w="3213"/>
          </w:tcPr>
          <w:p>
            <w:pPr>
              <w:spacing w:after="20" w:before="20" w:line="240" w:lineRule="auto"/>
            </w:pPr>
            <w:r/>
            <w:r>
              <w:rPr>
                <w:rFonts w:ascii="Arial" w:hAnsi="Arial" w:cs="Arial"/>
                <w:b w:val="0"/>
                <w:i w:val="0"/>
                <w:sz w:val="17"/>
              </w:rPr>
              <w:t>WHO, FAO, national food safety agencies</w:t>
            </w:r>
          </w:p>
        </w:tc>
        <w:tc>
          <w:tcPr>
            <w:tcW w:type="dxa" w:w="3213"/>
          </w:tcPr>
          <w:p>
            <w:pPr>
              <w:spacing w:after="20" w:before="20" w:line="240" w:lineRule="auto"/>
            </w:pPr>
            <w:r/>
            <w:r>
              <w:rPr>
                <w:rFonts w:ascii="Arial" w:hAnsi="Arial" w:cs="Arial"/>
                <w:b w:val="0"/>
                <w:i w:val="0"/>
                <w:sz w:val="17"/>
              </w:rPr>
              <w:t>180 countries</w:t>
            </w:r>
          </w:p>
        </w:tc>
      </w:tr>
      <w:tr>
        <w:tc>
          <w:tcPr>
            <w:tcW w:type="dxa" w:w="3213"/>
          </w:tcPr>
          <w:p>
            <w:pPr>
              <w:spacing w:after="20" w:before="20" w:line="240" w:lineRule="auto"/>
            </w:pPr>
            <w:r/>
            <w:r>
              <w:rPr>
                <w:rFonts w:ascii="Arial" w:hAnsi="Arial" w:cs="Arial"/>
                <w:b w:val="0"/>
                <w:i w:val="0"/>
                <w:sz w:val="17"/>
              </w:rPr>
              <w:t>Phyto</w:t>
            </w:r>
          </w:p>
        </w:tc>
        <w:tc>
          <w:tcPr>
            <w:tcW w:type="dxa" w:w="3213"/>
          </w:tcPr>
          <w:p>
            <w:pPr>
              <w:spacing w:after="20" w:before="20" w:line="240" w:lineRule="auto"/>
            </w:pPr>
            <w:r/>
            <w:r>
              <w:rPr>
                <w:rFonts w:ascii="Arial" w:hAnsi="Arial" w:cs="Arial"/>
                <w:b w:val="0"/>
                <w:i w:val="0"/>
                <w:sz w:val="17"/>
              </w:rPr>
              <w:t>IPPC ePhyto Hub</w:t>
            </w:r>
          </w:p>
        </w:tc>
        <w:tc>
          <w:tcPr>
            <w:tcW w:type="dxa" w:w="3213"/>
          </w:tcPr>
          <w:p>
            <w:pPr>
              <w:spacing w:after="20" w:before="20" w:line="240" w:lineRule="auto"/>
            </w:pPr>
            <w:r/>
            <w:r>
              <w:rPr>
                <w:rFonts w:ascii="Arial" w:hAnsi="Arial" w:cs="Arial"/>
                <w:b w:val="0"/>
                <w:i w:val="0"/>
                <w:sz w:val="17"/>
              </w:rPr>
              <w:t>180+ countries</w:t>
            </w:r>
          </w:p>
        </w:tc>
      </w:tr>
      <w:tr>
        <w:tc>
          <w:tcPr>
            <w:tcW w:type="dxa" w:w="3213"/>
          </w:tcPr>
          <w:p>
            <w:pPr>
              <w:spacing w:after="20" w:before="20" w:line="240" w:lineRule="auto"/>
            </w:pPr>
            <w:r/>
            <w:r>
              <w:rPr>
                <w:rFonts w:ascii="Arial" w:hAnsi="Arial" w:cs="Arial"/>
                <w:b w:val="0"/>
                <w:i w:val="0"/>
                <w:sz w:val="17"/>
              </w:rPr>
              <w:t>Sanctions</w:t>
            </w:r>
          </w:p>
        </w:tc>
        <w:tc>
          <w:tcPr>
            <w:tcW w:type="dxa" w:w="3213"/>
          </w:tcPr>
          <w:p>
            <w:pPr>
              <w:spacing w:after="20" w:before="20" w:line="240" w:lineRule="auto"/>
            </w:pPr>
            <w:r/>
            <w:r>
              <w:rPr>
                <w:rFonts w:ascii="Arial" w:hAnsi="Arial" w:cs="Arial"/>
                <w:b w:val="0"/>
                <w:i w:val="0"/>
                <w:sz w:val="17"/>
              </w:rPr>
              <w:t>UN, OFAC, EU, national lists</w:t>
            </w:r>
          </w:p>
        </w:tc>
        <w:tc>
          <w:tcPr>
            <w:tcW w:type="dxa" w:w="3213"/>
          </w:tcPr>
          <w:p>
            <w:pPr>
              <w:spacing w:after="20" w:before="20" w:line="240" w:lineRule="auto"/>
            </w:pPr>
            <w:r/>
            <w:r>
              <w:rPr>
                <w:rFonts w:ascii="Arial" w:hAnsi="Arial" w:cs="Arial"/>
                <w:b w:val="0"/>
                <w:i w:val="0"/>
                <w:sz w:val="17"/>
              </w:rPr>
              <w:t>All countries</w:t>
            </w:r>
          </w:p>
        </w:tc>
      </w:tr>
      <w:tr>
        <w:tc>
          <w:tcPr>
            <w:tcW w:type="dxa" w:w="3213"/>
          </w:tcPr>
          <w:p>
            <w:pPr>
              <w:spacing w:after="20" w:before="20" w:line="240" w:lineRule="auto"/>
            </w:pPr>
            <w:r/>
            <w:r>
              <w:rPr>
                <w:rFonts w:ascii="Arial" w:hAnsi="Arial" w:cs="Arial"/>
                <w:b w:val="0"/>
                <w:i w:val="0"/>
                <w:sz w:val="17"/>
              </w:rPr>
              <w:t>FTAs</w:t>
            </w:r>
          </w:p>
        </w:tc>
        <w:tc>
          <w:tcPr>
            <w:tcW w:type="dxa" w:w="3213"/>
          </w:tcPr>
          <w:p>
            <w:pPr>
              <w:spacing w:after="20" w:before="20" w:line="240" w:lineRule="auto"/>
            </w:pPr>
            <w:r/>
            <w:r>
              <w:rPr>
                <w:rFonts w:ascii="Arial" w:hAnsi="Arial" w:cs="Arial"/>
                <w:b w:val="0"/>
                <w:i w:val="0"/>
                <w:sz w:val="17"/>
              </w:rPr>
              <w:t>WTO RTA database, national trade agreements</w:t>
            </w:r>
          </w:p>
        </w:tc>
        <w:tc>
          <w:tcPr>
            <w:tcW w:type="dxa" w:w="3213"/>
          </w:tcPr>
          <w:p>
            <w:pPr>
              <w:spacing w:after="20" w:before="20" w:line="240" w:lineRule="auto"/>
            </w:pPr>
            <w:r/>
            <w:r>
              <w:rPr>
                <w:rFonts w:ascii="Arial" w:hAnsi="Arial" w:cs="Arial"/>
                <w:b w:val="0"/>
                <w:i w:val="0"/>
                <w:sz w:val="17"/>
              </w:rPr>
              <w:t>350+ agreements</w:t>
            </w:r>
          </w:p>
        </w:tc>
      </w:tr>
      <w:tr>
        <w:tc>
          <w:tcPr>
            <w:tcW w:type="dxa" w:w="3213"/>
          </w:tcPr>
          <w:p>
            <w:pPr>
              <w:spacing w:after="20" w:before="20" w:line="240" w:lineRule="auto"/>
            </w:pPr>
            <w:r/>
            <w:r>
              <w:rPr>
                <w:rFonts w:ascii="Arial" w:hAnsi="Arial" w:cs="Arial"/>
                <w:b w:val="0"/>
                <w:i w:val="0"/>
                <w:sz w:val="17"/>
              </w:rPr>
              <w:t>Ports</w:t>
            </w:r>
          </w:p>
        </w:tc>
        <w:tc>
          <w:tcPr>
            <w:tcW w:type="dxa" w:w="3213"/>
          </w:tcPr>
          <w:p>
            <w:pPr>
              <w:spacing w:after="20" w:before="20" w:line="240" w:lineRule="auto"/>
            </w:pPr>
            <w:r/>
            <w:r>
              <w:rPr>
                <w:rFonts w:ascii="Arial" w:hAnsi="Arial" w:cs="Arial"/>
                <w:b w:val="0"/>
                <w:i w:val="0"/>
                <w:sz w:val="17"/>
              </w:rPr>
              <w:t>UN/LOCODE, port authority sites</w:t>
            </w:r>
          </w:p>
        </w:tc>
        <w:tc>
          <w:tcPr>
            <w:tcW w:type="dxa" w:w="3213"/>
          </w:tcPr>
          <w:p>
            <w:pPr>
              <w:spacing w:after="20" w:before="20" w:line="240" w:lineRule="auto"/>
            </w:pPr>
            <w:r/>
            <w:r>
              <w:rPr>
                <w:rFonts w:ascii="Arial" w:hAnsi="Arial" w:cs="Arial"/>
                <w:b w:val="0"/>
                <w:i w:val="0"/>
                <w:sz w:val="17"/>
              </w:rPr>
              <w:t>1,200+ ports</w:t>
            </w:r>
          </w:p>
        </w:tc>
      </w:tr>
      <w:tr>
        <w:tc>
          <w:tcPr>
            <w:tcW w:type="dxa" w:w="3213"/>
          </w:tcPr>
          <w:p>
            <w:pPr>
              <w:spacing w:after="20" w:before="20" w:line="240" w:lineRule="auto"/>
            </w:pPr>
            <w:r/>
            <w:r>
              <w:rPr>
                <w:rFonts w:ascii="Arial" w:hAnsi="Arial" w:cs="Arial"/>
                <w:b w:val="0"/>
                <w:i w:val="0"/>
                <w:sz w:val="17"/>
              </w:rPr>
              <w:t>Shipping</w:t>
            </w:r>
          </w:p>
        </w:tc>
        <w:tc>
          <w:tcPr>
            <w:tcW w:type="dxa" w:w="3213"/>
          </w:tcPr>
          <w:p>
            <w:pPr>
              <w:spacing w:after="20" w:before="20" w:line="240" w:lineRule="auto"/>
            </w:pPr>
            <w:r/>
            <w:r>
              <w:rPr>
                <w:rFonts w:ascii="Arial" w:hAnsi="Arial" w:cs="Arial"/>
                <w:b w:val="0"/>
                <w:i w:val="0"/>
                <w:sz w:val="17"/>
              </w:rPr>
              <w:t>IMO, national maritime authorities</w:t>
            </w:r>
          </w:p>
        </w:tc>
        <w:tc>
          <w:tcPr>
            <w:tcW w:type="dxa" w:w="3213"/>
          </w:tcPr>
          <w:p>
            <w:pPr>
              <w:spacing w:after="20" w:before="20" w:line="240" w:lineRule="auto"/>
            </w:pPr>
            <w:r/>
            <w:r>
              <w:rPr>
                <w:rFonts w:ascii="Arial" w:hAnsi="Arial" w:cs="Arial"/>
                <w:b w:val="0"/>
                <w:i w:val="0"/>
                <w:sz w:val="17"/>
              </w:rPr>
              <w:t>All flag states</w:t>
            </w:r>
          </w:p>
        </w:tc>
      </w:tr>
      <w:tr>
        <w:tc>
          <w:tcPr>
            <w:tcW w:type="dxa" w:w="3213"/>
          </w:tcPr>
          <w:p>
            <w:pPr>
              <w:spacing w:after="20" w:before="20" w:line="240" w:lineRule="auto"/>
            </w:pPr>
            <w:r/>
            <w:r>
              <w:rPr>
                <w:rFonts w:ascii="Arial" w:hAnsi="Arial" w:cs="Arial"/>
                <w:b w:val="0"/>
                <w:i w:val="0"/>
                <w:sz w:val="17"/>
              </w:rPr>
              <w:t>Demurrage</w:t>
            </w:r>
          </w:p>
        </w:tc>
        <w:tc>
          <w:tcPr>
            <w:tcW w:type="dxa" w:w="3213"/>
          </w:tcPr>
          <w:p>
            <w:pPr>
              <w:spacing w:after="20" w:before="20" w:line="240" w:lineRule="auto"/>
            </w:pPr>
            <w:r/>
            <w:r>
              <w:rPr>
                <w:rFonts w:ascii="Arial" w:hAnsi="Arial" w:cs="Arial"/>
                <w:b w:val="0"/>
                <w:i w:val="0"/>
                <w:sz w:val="17"/>
              </w:rPr>
              <w:t>Carrier tariffs, port websites</w:t>
            </w:r>
          </w:p>
        </w:tc>
        <w:tc>
          <w:tcPr>
            <w:tcW w:type="dxa" w:w="3213"/>
          </w:tcPr>
          <w:p>
            <w:pPr>
              <w:spacing w:after="20" w:before="20" w:line="240" w:lineRule="auto"/>
            </w:pPr>
            <w:r/>
            <w:r>
              <w:rPr>
                <w:rFonts w:ascii="Arial" w:hAnsi="Arial" w:cs="Arial"/>
                <w:b w:val="0"/>
                <w:i w:val="0"/>
                <w:sz w:val="17"/>
              </w:rPr>
              <w:t>200+ ports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22.23.4 AI Pipeline Details</w:t>
      </w:r>
    </w:p>
    <w:p>
      <w:pPr>
        <w:spacing w:after="80" w:line="293" w:lineRule="auto"/>
        <w:jc w:val="left"/>
      </w:pPr>
      <w:r>
        <w:rPr>
          <w:rFonts w:ascii="Times New Roman" w:hAnsi="Times New Roman" w:cs="Times New Roman"/>
          <w:b w:val="0"/>
          <w:i w:val="0"/>
          <w:sz w:val="22"/>
        </w:rPr>
        <w:t>A2 models: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Task</w:t>
            </w:r>
          </w:p>
        </w:tc>
        <w:tc>
          <w:tcPr>
            <w:tcW w:type="dxa" w:w="3213"/>
            <w:shd w:val="clear" w:fill="D9E2F3"/>
          </w:tcPr>
          <w:p>
            <w:pPr>
              <w:spacing w:after="20" w:before="20" w:line="240" w:lineRule="auto"/>
            </w:pPr>
            <w:r/>
            <w:r>
              <w:rPr>
                <w:rFonts w:ascii="Arial" w:hAnsi="Arial" w:cs="Arial"/>
                <w:b/>
                <w:i w:val="0"/>
                <w:sz w:val="18"/>
              </w:rPr>
              <w:t>Model</w:t>
            </w:r>
          </w:p>
        </w:tc>
        <w:tc>
          <w:tcPr>
            <w:tcW w:type="dxa" w:w="3213"/>
            <w:shd w:val="clear" w:fill="D9E2F3"/>
          </w:tcPr>
          <w:p>
            <w:pPr>
              <w:spacing w:after="20" w:before="20" w:line="240" w:lineRule="auto"/>
            </w:pPr>
            <w:r/>
            <w:r>
              <w:rPr>
                <w:rFonts w:ascii="Arial" w:hAnsi="Arial" w:cs="Arial"/>
                <w:b/>
                <w:i w:val="0"/>
                <w:sz w:val="18"/>
              </w:rPr>
              <w:t>Training Data</w:t>
            </w:r>
          </w:p>
        </w:tc>
      </w:tr>
      <w:tr>
        <w:tc>
          <w:tcPr>
            <w:tcW w:type="dxa" w:w="3213"/>
          </w:tcPr>
          <w:p>
            <w:pPr>
              <w:spacing w:after="20" w:before="20" w:line="240" w:lineRule="auto"/>
            </w:pPr>
            <w:r/>
            <w:r>
              <w:rPr>
                <w:rFonts w:ascii="Arial" w:hAnsi="Arial" w:cs="Arial"/>
                <w:b w:val="0"/>
                <w:i w:val="0"/>
                <w:sz w:val="17"/>
              </w:rPr>
              <w:t>Entity Extraction</w:t>
            </w:r>
          </w:p>
        </w:tc>
        <w:tc>
          <w:tcPr>
            <w:tcW w:type="dxa" w:w="3213"/>
          </w:tcPr>
          <w:p>
            <w:pPr>
              <w:spacing w:after="20" w:before="20" w:line="240" w:lineRule="auto"/>
            </w:pPr>
            <w:r/>
            <w:r>
              <w:rPr>
                <w:rFonts w:ascii="Arial" w:hAnsi="Arial" w:cs="Arial"/>
                <w:b w:val="0"/>
                <w:i w:val="0"/>
                <w:sz w:val="17"/>
              </w:rPr>
              <w:t>HF NER (fine-tuned)</w:t>
            </w:r>
          </w:p>
        </w:tc>
        <w:tc>
          <w:tcPr>
            <w:tcW w:type="dxa" w:w="3213"/>
          </w:tcPr>
          <w:p>
            <w:pPr>
              <w:spacing w:after="20" w:before="20" w:line="240" w:lineRule="auto"/>
            </w:pPr>
            <w:r/>
            <w:r>
              <w:rPr>
                <w:rFonts w:ascii="Arial" w:hAnsi="Arial" w:cs="Arial"/>
                <w:b w:val="0"/>
                <w:i w:val="0"/>
                <w:sz w:val="17"/>
              </w:rPr>
              <w:t>500,000+ regulatory documents</w:t>
            </w:r>
          </w:p>
        </w:tc>
      </w:tr>
      <w:tr>
        <w:tc>
          <w:tcPr>
            <w:tcW w:type="dxa" w:w="3213"/>
          </w:tcPr>
          <w:p>
            <w:pPr>
              <w:spacing w:after="20" w:before="20" w:line="240" w:lineRule="auto"/>
            </w:pPr>
            <w:r/>
            <w:r>
              <w:rPr>
                <w:rFonts w:ascii="Arial" w:hAnsi="Arial" w:cs="Arial"/>
                <w:b w:val="0"/>
                <w:i w:val="0"/>
                <w:sz w:val="17"/>
              </w:rPr>
              <w:t>Document Classification</w:t>
            </w:r>
          </w:p>
        </w:tc>
        <w:tc>
          <w:tcPr>
            <w:tcW w:type="dxa" w:w="3213"/>
          </w:tcPr>
          <w:p>
            <w:pPr>
              <w:spacing w:after="20" w:before="20" w:line="240" w:lineRule="auto"/>
            </w:pPr>
            <w:r/>
            <w:r>
              <w:rPr>
                <w:rFonts w:ascii="Arial" w:hAnsi="Arial" w:cs="Arial"/>
                <w:b w:val="0"/>
                <w:i w:val="0"/>
                <w:sz w:val="17"/>
              </w:rPr>
              <w:t>HF BERT (fine-tuned)</w:t>
            </w:r>
          </w:p>
        </w:tc>
        <w:tc>
          <w:tcPr>
            <w:tcW w:type="dxa" w:w="3213"/>
          </w:tcPr>
          <w:p>
            <w:pPr>
              <w:spacing w:after="20" w:before="20" w:line="240" w:lineRule="auto"/>
            </w:pPr>
            <w:r/>
            <w:r>
              <w:rPr>
                <w:rFonts w:ascii="Arial" w:hAnsi="Arial" w:cs="Arial"/>
                <w:b w:val="0"/>
                <w:i w:val="0"/>
                <w:sz w:val="17"/>
              </w:rPr>
              <w:t>100,000+ regulations</w:t>
            </w:r>
          </w:p>
        </w:tc>
      </w:tr>
      <w:tr>
        <w:tc>
          <w:tcPr>
            <w:tcW w:type="dxa" w:w="3213"/>
          </w:tcPr>
          <w:p>
            <w:pPr>
              <w:spacing w:after="20" w:before="20" w:line="240" w:lineRule="auto"/>
            </w:pPr>
            <w:r/>
            <w:r>
              <w:rPr>
                <w:rFonts w:ascii="Arial" w:hAnsi="Arial" w:cs="Arial"/>
                <w:b w:val="0"/>
                <w:i w:val="0"/>
                <w:sz w:val="17"/>
              </w:rPr>
              <w:t>Relation Extraction</w:t>
            </w:r>
          </w:p>
        </w:tc>
        <w:tc>
          <w:tcPr>
            <w:tcW w:type="dxa" w:w="3213"/>
          </w:tcPr>
          <w:p>
            <w:pPr>
              <w:spacing w:after="20" w:before="20" w:line="240" w:lineRule="auto"/>
            </w:pPr>
            <w:r/>
            <w:r>
              <w:rPr>
                <w:rFonts w:ascii="Arial" w:hAnsi="Arial" w:cs="Arial"/>
                <w:b w:val="0"/>
                <w:i w:val="0"/>
                <w:sz w:val="17"/>
              </w:rPr>
              <w:t>HF RelationExtraction</w:t>
            </w:r>
          </w:p>
        </w:tc>
        <w:tc>
          <w:tcPr>
            <w:tcW w:type="dxa" w:w="3213"/>
          </w:tcPr>
          <w:p>
            <w:pPr>
              <w:spacing w:after="20" w:before="20" w:line="240" w:lineRule="auto"/>
            </w:pPr>
            <w:r/>
            <w:r>
              <w:rPr>
                <w:rFonts w:ascii="Arial" w:hAnsi="Arial" w:cs="Arial"/>
                <w:b w:val="0"/>
                <w:i w:val="0"/>
                <w:sz w:val="17"/>
              </w:rPr>
              <w:t>50,000+ structured rules</w:t>
            </w:r>
          </w:p>
        </w:tc>
      </w:tr>
      <w:tr>
        <w:tc>
          <w:tcPr>
            <w:tcW w:type="dxa" w:w="3213"/>
          </w:tcPr>
          <w:p>
            <w:pPr>
              <w:spacing w:after="20" w:before="20" w:line="240" w:lineRule="auto"/>
            </w:pPr>
            <w:r/>
            <w:r>
              <w:rPr>
                <w:rFonts w:ascii="Arial" w:hAnsi="Arial" w:cs="Arial"/>
                <w:b w:val="0"/>
                <w:i w:val="0"/>
                <w:sz w:val="17"/>
              </w:rPr>
              <w:t>Tariff Classification</w:t>
            </w:r>
          </w:p>
        </w:tc>
        <w:tc>
          <w:tcPr>
            <w:tcW w:type="dxa" w:w="3213"/>
          </w:tcPr>
          <w:p>
            <w:pPr>
              <w:spacing w:after="20" w:before="20" w:line="240" w:lineRule="auto"/>
            </w:pPr>
            <w:r/>
            <w:r>
              <w:rPr>
                <w:rFonts w:ascii="Arial" w:hAnsi="Arial" w:cs="Arial"/>
                <w:b w:val="0"/>
                <w:i w:val="0"/>
                <w:sz w:val="17"/>
              </w:rPr>
              <w:t>XGBoost</w:t>
            </w:r>
          </w:p>
        </w:tc>
        <w:tc>
          <w:tcPr>
            <w:tcW w:type="dxa" w:w="3213"/>
          </w:tcPr>
          <w:p>
            <w:pPr>
              <w:spacing w:after="20" w:before="20" w:line="240" w:lineRule="auto"/>
            </w:pPr>
            <w:r/>
            <w:r>
              <w:rPr>
                <w:rFonts w:ascii="Arial" w:hAnsi="Arial" w:cs="Arial"/>
                <w:b w:val="0"/>
                <w:i w:val="0"/>
                <w:sz w:val="17"/>
              </w:rPr>
              <w:t>Historical tariff data</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A1 (Groq → Ollama):</w:t>
      </w:r>
    </w:p>
    <w:p>
      <w:pPr>
        <w:spacing w:after="80" w:line="293" w:lineRule="auto"/>
        <w:ind w:left="283"/>
        <w:jc w:val="left"/>
      </w:pPr>
      <w:r>
        <w:rPr>
          <w:rFonts w:ascii="Times New Roman" w:hAnsi="Times New Roman" w:cs="Times New Roman"/>
          <w:b w:val="0"/>
          <w:i w:val="0"/>
          <w:sz w:val="22"/>
        </w:rPr>
        <w:t>- Summarises regulatory changes.</w:t>
      </w:r>
    </w:p>
    <w:p>
      <w:pPr>
        <w:spacing w:after="80" w:line="293" w:lineRule="auto"/>
        <w:ind w:left="283"/>
        <w:jc w:val="left"/>
      </w:pPr>
      <w:r>
        <w:rPr>
          <w:rFonts w:ascii="Times New Roman" w:hAnsi="Times New Roman" w:cs="Times New Roman"/>
          <w:b w:val="0"/>
          <w:i w:val="0"/>
          <w:sz w:val="22"/>
        </w:rPr>
        <w:t>- Generates plain-language explanations.</w:t>
      </w:r>
    </w:p>
    <w:p>
      <w:pPr>
        <w:spacing w:after="80" w:line="293" w:lineRule="auto"/>
        <w:ind w:left="283"/>
        <w:jc w:val="left"/>
      </w:pPr>
      <w:r>
        <w:rPr>
          <w:rFonts w:ascii="Times New Roman" w:hAnsi="Times New Roman" w:cs="Times New Roman"/>
          <w:b w:val="0"/>
          <w:i w:val="0"/>
          <w:sz w:val="22"/>
        </w:rPr>
        <w:t>- Creates Smart Inbox alerts.</w:t>
      </w:r>
    </w:p>
    <w:p>
      <w:pPr>
        <w:spacing w:after="80" w:line="293" w:lineRule="auto"/>
        <w:jc w:val="left"/>
      </w:pPr>
      <w:r>
        <w:rPr>
          <w:rFonts w:ascii="Times New Roman" w:hAnsi="Times New Roman" w:cs="Times New Roman"/>
          <w:b w:val="0"/>
          <w:i w:val="0"/>
          <w:sz w:val="22"/>
        </w:rPr>
        <w:t>A4 (OPA + WasmEdge):</w:t>
      </w:r>
    </w:p>
    <w:p>
      <w:pPr>
        <w:spacing w:after="80" w:line="293" w:lineRule="auto"/>
        <w:ind w:left="283"/>
        <w:jc w:val="left"/>
      </w:pPr>
      <w:r>
        <w:rPr>
          <w:rFonts w:ascii="Times New Roman" w:hAnsi="Times New Roman" w:cs="Times New Roman"/>
          <w:b w:val="0"/>
          <w:i w:val="0"/>
          <w:sz w:val="22"/>
        </w:rPr>
        <w:t>- Validates requirements consistency.</w:t>
      </w:r>
    </w:p>
    <w:p>
      <w:pPr>
        <w:spacing w:after="80" w:line="293" w:lineRule="auto"/>
        <w:ind w:left="283"/>
        <w:jc w:val="left"/>
      </w:pPr>
      <w:r>
        <w:rPr>
          <w:rFonts w:ascii="Times New Roman" w:hAnsi="Times New Roman" w:cs="Times New Roman"/>
          <w:b w:val="0"/>
          <w:i w:val="0"/>
          <w:sz w:val="22"/>
        </w:rPr>
        <w:t>- Enforces compliance gates.</w:t>
      </w:r>
    </w:p>
    <w:p>
      <w:pPr>
        <w:keepNext/>
        <w:spacing w:before="180" w:after="80"/>
        <w:outlineLvl w:val="2"/>
      </w:pPr>
      <w:r>
        <w:rPr>
          <w:rFonts w:ascii="Arial" w:hAnsi="Arial" w:cs="Arial"/>
          <w:b/>
          <w:i w:val="0"/>
          <w:color w:val="333333"/>
          <w:sz w:val="23"/>
        </w:rPr>
        <w:t>22.23.5 Structured Requirements Store</w:t>
      </w:r>
    </w:p>
    <w:p>
      <w:pPr>
        <w:spacing w:after="80" w:line="293" w:lineRule="auto"/>
        <w:jc w:val="left"/>
      </w:pPr>
      <w:r>
        <w:rPr>
          <w:rFonts w:ascii="Times New Roman" w:hAnsi="Times New Roman" w:cs="Times New Roman"/>
          <w:b w:val="0"/>
          <w:i w:val="0"/>
          <w:sz w:val="22"/>
        </w:rPr>
        <w:t>Core table — Country Regulatory Profiles:</w:t>
      </w:r>
    </w:p>
    <w:p>
      <w:pPr>
        <w:spacing w:after="0" w:before="0" w:line="240" w:lineRule="auto"/>
        <w:ind w:left="57"/>
        <w:jc w:val="left"/>
        <w:shd w:val="clear" w:fill="F2F2F2"/>
      </w:pPr>
      <w:r>
        <w:rPr>
          <w:rFonts w:ascii="Consolas" w:hAnsi="Consolas" w:cs="Consolas"/>
          <w:b w:val="0"/>
          <w:i w:val="0"/>
          <w:sz w:val="15"/>
        </w:rPr>
        <w:t>CREATE TABLE country_regulatory_profiles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profile_version INTEGER DEFAULT 1,</w:t>
      </w:r>
    </w:p>
    <w:p>
      <w:pPr>
        <w:spacing w:after="0" w:before="0" w:line="240" w:lineRule="auto"/>
        <w:ind w:left="57"/>
        <w:jc w:val="left"/>
        <w:shd w:val="clear" w:fill="F2F2F2"/>
      </w:pPr>
      <w:r>
        <w:rPr>
          <w:rFonts w:ascii="Consolas" w:hAnsi="Consolas" w:cs="Consolas"/>
          <w:b w:val="0"/>
          <w:i w:val="0"/>
          <w:sz w:val="15"/>
        </w:rPr>
        <w:t xml:space="preserve">    regulatory_body TEXT,</w:t>
      </w:r>
    </w:p>
    <w:p>
      <w:pPr>
        <w:spacing w:after="0" w:before="0" w:line="240" w:lineRule="auto"/>
        <w:ind w:left="57"/>
        <w:jc w:val="left"/>
        <w:shd w:val="clear" w:fill="F2F2F2"/>
      </w:pPr>
      <w:r>
        <w:rPr>
          <w:rFonts w:ascii="Consolas" w:hAnsi="Consolas" w:cs="Consolas"/>
          <w:b w:val="0"/>
          <w:i w:val="0"/>
          <w:sz w:val="15"/>
        </w:rPr>
        <w:t xml:space="preserve">    customs_authority TEXT,</w:t>
      </w:r>
    </w:p>
    <w:p>
      <w:pPr>
        <w:spacing w:after="0" w:before="0" w:line="240" w:lineRule="auto"/>
        <w:ind w:left="57"/>
        <w:jc w:val="left"/>
        <w:shd w:val="clear" w:fill="F2F2F2"/>
      </w:pPr>
      <w:r>
        <w:rPr>
          <w:rFonts w:ascii="Consolas" w:hAnsi="Consolas" w:cs="Consolas"/>
          <w:b w:val="0"/>
          <w:i w:val="0"/>
          <w:sz w:val="15"/>
        </w:rPr>
        <w:t xml:space="preserve">    import_licence_required BOOLEAN,</w:t>
      </w:r>
    </w:p>
    <w:p>
      <w:pPr>
        <w:spacing w:after="0" w:before="0" w:line="240" w:lineRule="auto"/>
        <w:ind w:left="57"/>
        <w:jc w:val="left"/>
        <w:shd w:val="clear" w:fill="F2F2F2"/>
      </w:pPr>
      <w:r>
        <w:rPr>
          <w:rFonts w:ascii="Consolas" w:hAnsi="Consolas" w:cs="Consolas"/>
          <w:b w:val="0"/>
          <w:i w:val="0"/>
          <w:sz w:val="15"/>
        </w:rPr>
        <w:t xml:space="preserve">    export_licence_required BOOLEAN,</w:t>
      </w:r>
    </w:p>
    <w:p>
      <w:pPr>
        <w:spacing w:after="0" w:before="0" w:line="240" w:lineRule="auto"/>
        <w:ind w:left="57"/>
        <w:jc w:val="left"/>
        <w:shd w:val="clear" w:fill="F2F2F2"/>
      </w:pPr>
      <w:r>
        <w:rPr>
          <w:rFonts w:ascii="Consolas" w:hAnsi="Consolas" w:cs="Consolas"/>
          <w:b w:val="0"/>
          <w:i w:val="0"/>
          <w:sz w:val="15"/>
        </w:rPr>
        <w:t xml:space="preserve">    bond_required BOOLEAN,</w:t>
      </w:r>
    </w:p>
    <w:p>
      <w:pPr>
        <w:spacing w:after="0" w:before="0" w:line="240" w:lineRule="auto"/>
        <w:ind w:left="57"/>
        <w:jc w:val="left"/>
        <w:shd w:val="clear" w:fill="F2F2F2"/>
      </w:pPr>
      <w:r>
        <w:rPr>
          <w:rFonts w:ascii="Consolas" w:hAnsi="Consolas" w:cs="Consolas"/>
          <w:b w:val="0"/>
          <w:i w:val="0"/>
          <w:sz w:val="15"/>
        </w:rPr>
        <w:t xml:space="preserve">    bond_factor_default DECIMAL(5,2),</w:t>
      </w:r>
    </w:p>
    <w:p>
      <w:pPr>
        <w:spacing w:after="0" w:before="0" w:line="240" w:lineRule="auto"/>
        <w:ind w:left="57"/>
        <w:jc w:val="left"/>
        <w:shd w:val="clear" w:fill="F2F2F2"/>
      </w:pPr>
      <w:r>
        <w:rPr>
          <w:rFonts w:ascii="Consolas" w:hAnsi="Consolas" w:cs="Consolas"/>
          <w:b w:val="0"/>
          <w:i w:val="0"/>
          <w:sz w:val="15"/>
        </w:rPr>
        <w:t xml:space="preserve">    bond_aeo_factor DECIMAL(5,2),</w:t>
      </w:r>
    </w:p>
    <w:p>
      <w:pPr>
        <w:spacing w:after="0" w:before="0" w:line="240" w:lineRule="auto"/>
        <w:ind w:left="57"/>
        <w:jc w:val="left"/>
        <w:shd w:val="clear" w:fill="F2F2F2"/>
      </w:pPr>
      <w:r>
        <w:rPr>
          <w:rFonts w:ascii="Consolas" w:hAnsi="Consolas" w:cs="Consolas"/>
          <w:b w:val="0"/>
          <w:i w:val="0"/>
          <w:sz w:val="15"/>
        </w:rPr>
        <w:t xml:space="preserve">    free_time_standard_days INTEGER,</w:t>
      </w:r>
    </w:p>
    <w:p>
      <w:pPr>
        <w:spacing w:after="0" w:before="0" w:line="240" w:lineRule="auto"/>
        <w:ind w:left="57"/>
        <w:jc w:val="left"/>
        <w:shd w:val="clear" w:fill="F2F2F2"/>
      </w:pPr>
      <w:r>
        <w:rPr>
          <w:rFonts w:ascii="Consolas" w:hAnsi="Consolas" w:cs="Consolas"/>
          <w:b w:val="0"/>
          <w:i w:val="0"/>
          <w:sz w:val="15"/>
        </w:rPr>
        <w:t xml:space="preserve">    demurrage_currency TEXT DEFAULT 'USD',</w:t>
      </w:r>
    </w:p>
    <w:p>
      <w:pPr>
        <w:spacing w:after="0" w:before="0" w:line="240" w:lineRule="auto"/>
        <w:ind w:left="57"/>
        <w:jc w:val="left"/>
        <w:shd w:val="clear" w:fill="F2F2F2"/>
      </w:pPr>
      <w:r>
        <w:rPr>
          <w:rFonts w:ascii="Consolas" w:hAnsi="Consolas" w:cs="Consolas"/>
          <w:b w:val="0"/>
          <w:i w:val="0"/>
          <w:sz w:val="15"/>
        </w:rPr>
        <w:t xml:space="preserve">    document_language TEXT,</w:t>
      </w:r>
    </w:p>
    <w:p>
      <w:pPr>
        <w:spacing w:after="0" w:before="0" w:line="240" w:lineRule="auto"/>
        <w:ind w:left="57"/>
        <w:jc w:val="left"/>
        <w:shd w:val="clear" w:fill="F2F2F2"/>
      </w:pPr>
      <w:r>
        <w:rPr>
          <w:rFonts w:ascii="Consolas" w:hAnsi="Consolas" w:cs="Consolas"/>
          <w:b w:val="0"/>
          <w:i w:val="0"/>
          <w:sz w:val="15"/>
        </w:rPr>
        <w:t xml:space="preserve">    electronic_documents_accepted BOOLEAN,</w:t>
      </w:r>
    </w:p>
    <w:p>
      <w:pPr>
        <w:spacing w:after="0" w:before="0" w:line="240" w:lineRule="auto"/>
        <w:ind w:left="57"/>
        <w:jc w:val="left"/>
        <w:shd w:val="clear" w:fill="F2F2F2"/>
      </w:pPr>
      <w:r>
        <w:rPr>
          <w:rFonts w:ascii="Consolas" w:hAnsi="Consolas" w:cs="Consolas"/>
          <w:b w:val="0"/>
          <w:i w:val="0"/>
          <w:sz w:val="15"/>
        </w:rPr>
        <w:t xml:space="preserve">    original_documents_required BOOLEAN,</w:t>
      </w:r>
    </w:p>
    <w:p>
      <w:pPr>
        <w:spacing w:after="0" w:before="0" w:line="240" w:lineRule="auto"/>
        <w:ind w:left="57"/>
        <w:jc w:val="left"/>
        <w:shd w:val="clear" w:fill="F2F2F2"/>
      </w:pPr>
      <w:r>
        <w:rPr>
          <w:rFonts w:ascii="Consolas" w:hAnsi="Consolas" w:cs="Consolas"/>
          <w:b w:val="0"/>
          <w:i w:val="0"/>
          <w:sz w:val="15"/>
        </w:rPr>
        <w:t xml:space="preserve">    translated_documents_required BOOLEAN,</w:t>
      </w:r>
    </w:p>
    <w:p>
      <w:pPr>
        <w:spacing w:after="0" w:before="0" w:line="240" w:lineRule="auto"/>
        <w:ind w:left="57"/>
        <w:jc w:val="left"/>
        <w:shd w:val="clear" w:fill="F2F2F2"/>
      </w:pPr>
      <w:r>
        <w:rPr>
          <w:rFonts w:ascii="Consolas" w:hAnsi="Consolas" w:cs="Consolas"/>
          <w:b w:val="0"/>
          <w:i w:val="0"/>
          <w:sz w:val="15"/>
        </w:rPr>
        <w:t xml:space="preserve">    import_prohibitions JSONB,</w:t>
      </w:r>
    </w:p>
    <w:p>
      <w:pPr>
        <w:spacing w:after="0" w:before="0" w:line="240" w:lineRule="auto"/>
        <w:ind w:left="57"/>
        <w:jc w:val="left"/>
        <w:shd w:val="clear" w:fill="F2F2F2"/>
      </w:pPr>
      <w:r>
        <w:rPr>
          <w:rFonts w:ascii="Consolas" w:hAnsi="Consolas" w:cs="Consolas"/>
          <w:b w:val="0"/>
          <w:i w:val="0"/>
          <w:sz w:val="15"/>
        </w:rPr>
        <w:t xml:space="preserve">    restricted_commodities TEXT[],</w:t>
      </w:r>
    </w:p>
    <w:p>
      <w:pPr>
        <w:spacing w:after="0" w:before="0" w:line="240" w:lineRule="auto"/>
        <w:ind w:left="57"/>
        <w:jc w:val="left"/>
        <w:shd w:val="clear" w:fill="F2F2F2"/>
      </w:pPr>
      <w:r>
        <w:rPr>
          <w:rFonts w:ascii="Consolas" w:hAnsi="Consolas" w:cs="Consolas"/>
          <w:b w:val="0"/>
          <w:i w:val="0"/>
          <w:sz w:val="15"/>
        </w:rPr>
        <w:t xml:space="preserve">    customs_valuation_method TEXT,</w:t>
      </w:r>
    </w:p>
    <w:p>
      <w:pPr>
        <w:spacing w:after="0" w:before="0" w:line="240" w:lineRule="auto"/>
        <w:ind w:left="57"/>
        <w:jc w:val="left"/>
        <w:shd w:val="clear" w:fill="F2F2F2"/>
      </w:pPr>
      <w:r>
        <w:rPr>
          <w:rFonts w:ascii="Consolas" w:hAnsi="Consolas" w:cs="Consolas"/>
          <w:b w:val="0"/>
          <w:i w:val="0"/>
          <w:sz w:val="15"/>
        </w:rPr>
        <w:t xml:space="preserve">    tariff_currency TEXT,</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confidence_score DECIMAL(5,2),</w:t>
      </w:r>
    </w:p>
    <w:p>
      <w:pPr>
        <w:spacing w:after="0" w:before="0" w:line="240" w:lineRule="auto"/>
        <w:ind w:left="57"/>
        <w:jc w:val="left"/>
        <w:shd w:val="clear" w:fill="F2F2F2"/>
      </w:pPr>
      <w:r>
        <w:rPr>
          <w:rFonts w:ascii="Consolas" w:hAnsi="Consolas" w:cs="Consolas"/>
          <w:b w:val="0"/>
          <w:i w:val="0"/>
          <w:sz w:val="15"/>
        </w:rPr>
        <w:t xml:space="preserve">    source_url TEXT,</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HS Code Tariff Rates:</w:t>
      </w:r>
    </w:p>
    <w:p>
      <w:pPr>
        <w:spacing w:after="0" w:before="0" w:line="240" w:lineRule="auto"/>
        <w:ind w:left="57"/>
        <w:jc w:val="left"/>
        <w:shd w:val="clear" w:fill="F2F2F2"/>
      </w:pPr>
      <w:r>
        <w:rPr>
          <w:rFonts w:ascii="Consolas" w:hAnsi="Consolas" w:cs="Consolas"/>
          <w:b w:val="0"/>
          <w:i w:val="0"/>
          <w:sz w:val="15"/>
        </w:rPr>
        <w:t>CREATE TABLE hs_tariff_rates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hs_code CHAR(6) NOT NULL,</w:t>
      </w:r>
    </w:p>
    <w:p>
      <w:pPr>
        <w:spacing w:after="0" w:before="0" w:line="240" w:lineRule="auto"/>
        <w:ind w:left="57"/>
        <w:jc w:val="left"/>
        <w:shd w:val="clear" w:fill="F2F2F2"/>
      </w:pPr>
      <w:r>
        <w:rPr>
          <w:rFonts w:ascii="Consolas" w:hAnsi="Consolas" w:cs="Consolas"/>
          <w:b w:val="0"/>
          <w:i w:val="0"/>
          <w:sz w:val="15"/>
        </w:rPr>
        <w:t xml:space="preserve">    country_code CHAR(2) NOT NULL,</w:t>
      </w:r>
    </w:p>
    <w:p>
      <w:pPr>
        <w:spacing w:after="0" w:before="0" w:line="240" w:lineRule="auto"/>
        <w:ind w:left="57"/>
        <w:jc w:val="left"/>
        <w:shd w:val="clear" w:fill="F2F2F2"/>
      </w:pPr>
      <w:r>
        <w:rPr>
          <w:rFonts w:ascii="Consolas" w:hAnsi="Consolas" w:cs="Consolas"/>
          <w:b w:val="0"/>
          <w:i w:val="0"/>
          <w:sz w:val="15"/>
        </w:rPr>
        <w:t xml:space="preserve">    tariff_rate DECIMAL(6,3),</w:t>
      </w:r>
    </w:p>
    <w:p>
      <w:pPr>
        <w:spacing w:after="0" w:before="0" w:line="240" w:lineRule="auto"/>
        <w:ind w:left="57"/>
        <w:jc w:val="left"/>
        <w:shd w:val="clear" w:fill="F2F2F2"/>
      </w:pPr>
      <w:r>
        <w:rPr>
          <w:rFonts w:ascii="Consolas" w:hAnsi="Consolas" w:cs="Consolas"/>
          <w:b w:val="0"/>
          <w:i w:val="0"/>
          <w:sz w:val="15"/>
        </w:rPr>
        <w:t xml:space="preserve">    duty_type TEXT,                      -- 'AD_VALOREM', 'SPECIFIC', 'COMPOUND'</w:t>
      </w:r>
    </w:p>
    <w:p>
      <w:pPr>
        <w:spacing w:after="0" w:before="0" w:line="240" w:lineRule="auto"/>
        <w:ind w:left="57"/>
        <w:jc w:val="left"/>
        <w:shd w:val="clear" w:fill="F2F2F2"/>
      </w:pPr>
      <w:r>
        <w:rPr>
          <w:rFonts w:ascii="Consolas" w:hAnsi="Consolas" w:cs="Consolas"/>
          <w:b w:val="0"/>
          <w:i w:val="0"/>
          <w:sz w:val="15"/>
        </w:rPr>
        <w:t xml:space="preserve">    unit TEXT,</w:t>
      </w:r>
    </w:p>
    <w:p>
      <w:pPr>
        <w:spacing w:after="0" w:before="0" w:line="240" w:lineRule="auto"/>
        <w:ind w:left="57"/>
        <w:jc w:val="left"/>
        <w:shd w:val="clear" w:fill="F2F2F2"/>
      </w:pPr>
      <w:r>
        <w:rPr>
          <w:rFonts w:ascii="Consolas" w:hAnsi="Consolas" w:cs="Consolas"/>
          <w:b w:val="0"/>
          <w:i w:val="0"/>
          <w:sz w:val="15"/>
        </w:rPr>
        <w:t xml:space="preserve">    additional_taxes JSONB,</w:t>
      </w:r>
    </w:p>
    <w:p>
      <w:pPr>
        <w:spacing w:after="0" w:before="0" w:line="240" w:lineRule="auto"/>
        <w:ind w:left="57"/>
        <w:jc w:val="left"/>
        <w:shd w:val="clear" w:fill="F2F2F2"/>
      </w:pPr>
      <w:r>
        <w:rPr>
          <w:rFonts w:ascii="Consolas" w:hAnsi="Consolas" w:cs="Consolas"/>
          <w:b w:val="0"/>
          <w:i w:val="0"/>
          <w:sz w:val="15"/>
        </w:rPr>
        <w:t xml:space="preserve">    preferential_rates JSONB,</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confidence_score DECIMAL(5,2),</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Required Documents Matrix:</w:t>
      </w:r>
    </w:p>
    <w:p>
      <w:pPr>
        <w:spacing w:after="0" w:before="0" w:line="240" w:lineRule="auto"/>
        <w:ind w:left="57"/>
        <w:jc w:val="left"/>
        <w:shd w:val="clear" w:fill="F2F2F2"/>
      </w:pPr>
      <w:r>
        <w:rPr>
          <w:rFonts w:ascii="Consolas" w:hAnsi="Consolas" w:cs="Consolas"/>
          <w:b w:val="0"/>
          <w:i w:val="0"/>
          <w:sz w:val="15"/>
        </w:rPr>
        <w:t>CREATE TABLE country_required_documents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document_type TEXT NOT NULL,</w:t>
      </w:r>
    </w:p>
    <w:p>
      <w:pPr>
        <w:spacing w:after="0" w:before="0" w:line="240" w:lineRule="auto"/>
        <w:ind w:left="57"/>
        <w:jc w:val="left"/>
        <w:shd w:val="clear" w:fill="F2F2F2"/>
      </w:pPr>
      <w:r>
        <w:rPr>
          <w:rFonts w:ascii="Consolas" w:hAnsi="Consolas" w:cs="Consolas"/>
          <w:b w:val="0"/>
          <w:i w:val="0"/>
          <w:sz w:val="15"/>
        </w:rPr>
        <w:t xml:space="preserve">    hs_code CHAR(6),</w:t>
      </w:r>
    </w:p>
    <w:p>
      <w:pPr>
        <w:spacing w:after="0" w:before="0" w:line="240" w:lineRule="auto"/>
        <w:ind w:left="57"/>
        <w:jc w:val="left"/>
        <w:shd w:val="clear" w:fill="F2F2F2"/>
      </w:pPr>
      <w:r>
        <w:rPr>
          <w:rFonts w:ascii="Consolas" w:hAnsi="Consolas" w:cs="Consolas"/>
          <w:b w:val="0"/>
          <w:i w:val="0"/>
          <w:sz w:val="15"/>
        </w:rPr>
        <w:t xml:space="preserve">    commodity_category TEXT,</w:t>
      </w:r>
    </w:p>
    <w:p>
      <w:pPr>
        <w:spacing w:after="0" w:before="0" w:line="240" w:lineRule="auto"/>
        <w:ind w:left="57"/>
        <w:jc w:val="left"/>
        <w:shd w:val="clear" w:fill="F2F2F2"/>
      </w:pPr>
      <w:r>
        <w:rPr>
          <w:rFonts w:ascii="Consolas" w:hAnsi="Consolas" w:cs="Consolas"/>
          <w:b w:val="0"/>
          <w:i w:val="0"/>
          <w:sz w:val="15"/>
        </w:rPr>
        <w:t xml:space="preserve">    required BOOLEAN,</w:t>
      </w:r>
    </w:p>
    <w:p>
      <w:pPr>
        <w:spacing w:after="0" w:before="0" w:line="240" w:lineRule="auto"/>
        <w:ind w:left="57"/>
        <w:jc w:val="left"/>
        <w:shd w:val="clear" w:fill="F2F2F2"/>
      </w:pPr>
      <w:r>
        <w:rPr>
          <w:rFonts w:ascii="Consolas" w:hAnsi="Consolas" w:cs="Consolas"/>
          <w:b w:val="0"/>
          <w:i w:val="0"/>
          <w:sz w:val="15"/>
        </w:rPr>
        <w:t xml:space="preserve">    mandatory_for VARCHAR(20),           -- 'IMPORT', 'EXPORT', 'TRANSIT'</w:t>
      </w:r>
    </w:p>
    <w:p>
      <w:pPr>
        <w:spacing w:after="0" w:before="0" w:line="240" w:lineRule="auto"/>
        <w:ind w:left="57"/>
        <w:jc w:val="left"/>
        <w:shd w:val="clear" w:fill="F2F2F2"/>
      </w:pPr>
      <w:r>
        <w:rPr>
          <w:rFonts w:ascii="Consolas" w:hAnsi="Consolas" w:cs="Consolas"/>
          <w:b w:val="0"/>
          <w:i w:val="0"/>
          <w:sz w:val="15"/>
        </w:rPr>
        <w:t xml:space="preserve">    trigger_event TEXT,                  -- 'CUSTOMS', 'SETTLEMENT', 'SHIPMENT'</w:t>
      </w:r>
    </w:p>
    <w:p>
      <w:pPr>
        <w:spacing w:after="0" w:before="0" w:line="240" w:lineRule="auto"/>
        <w:ind w:left="57"/>
        <w:jc w:val="left"/>
        <w:shd w:val="clear" w:fill="F2F2F2"/>
      </w:pPr>
      <w:r>
        <w:rPr>
          <w:rFonts w:ascii="Consolas" w:hAnsi="Consolas" w:cs="Consolas"/>
          <w:b w:val="0"/>
          <w:i w:val="0"/>
          <w:sz w:val="15"/>
        </w:rPr>
        <w:t xml:space="preserve">    format_requirement TEXT,             -- 'ORIGINAL', 'ELECTRONIC'</w:t>
      </w:r>
    </w:p>
    <w:p>
      <w:pPr>
        <w:spacing w:after="0" w:before="0" w:line="240" w:lineRule="auto"/>
        <w:ind w:left="57"/>
        <w:jc w:val="left"/>
        <w:shd w:val="clear" w:fill="F2F2F2"/>
      </w:pPr>
      <w:r>
        <w:rPr>
          <w:rFonts w:ascii="Consolas" w:hAnsi="Consolas" w:cs="Consolas"/>
          <w:b w:val="0"/>
          <w:i w:val="0"/>
          <w:sz w:val="15"/>
        </w:rPr>
        <w:t xml:space="preserve">    language_requirement TEXT,</w:t>
      </w:r>
    </w:p>
    <w:p>
      <w:pPr>
        <w:spacing w:after="0" w:before="0" w:line="240" w:lineRule="auto"/>
        <w:ind w:left="57"/>
        <w:jc w:val="left"/>
        <w:shd w:val="clear" w:fill="F2F2F2"/>
      </w:pPr>
      <w:r>
        <w:rPr>
          <w:rFonts w:ascii="Consolas" w:hAnsi="Consolas" w:cs="Consolas"/>
          <w:b w:val="0"/>
          <w:i w:val="0"/>
          <w:sz w:val="15"/>
        </w:rPr>
        <w:t xml:space="preserve">    issuing_authority TEXT,</w:t>
      </w:r>
    </w:p>
    <w:p>
      <w:pPr>
        <w:spacing w:after="0" w:before="0" w:line="240" w:lineRule="auto"/>
        <w:ind w:left="57"/>
        <w:jc w:val="left"/>
        <w:shd w:val="clear" w:fill="F2F2F2"/>
      </w:pPr>
      <w:r>
        <w:rPr>
          <w:rFonts w:ascii="Consolas" w:hAnsi="Consolas" w:cs="Consolas"/>
          <w:b w:val="0"/>
          <w:i w:val="0"/>
          <w:sz w:val="15"/>
        </w:rPr>
        <w:t xml:space="preserve">    regulation_reference TEXT,</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Cold Chain Requirements — table `cold_chain_requirements` (identical schema to Add-On 12, Section 22.7). Demurrage Norms:</w:t>
      </w:r>
    </w:p>
    <w:p>
      <w:pPr>
        <w:spacing w:after="0" w:before="0" w:line="240" w:lineRule="auto"/>
        <w:ind w:left="57"/>
        <w:jc w:val="left"/>
        <w:shd w:val="clear" w:fill="F2F2F2"/>
      </w:pPr>
      <w:r>
        <w:rPr>
          <w:rFonts w:ascii="Consolas" w:hAnsi="Consolas" w:cs="Consolas"/>
          <w:b w:val="0"/>
          <w:i w:val="0"/>
          <w:sz w:val="15"/>
        </w:rPr>
        <w:t>CREATE TABLE demurrage_norms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port_unlocode TEXT NOT NULL REFERENCES ports(unlocode),</w:t>
      </w:r>
    </w:p>
    <w:p>
      <w:pPr>
        <w:spacing w:after="0" w:before="0" w:line="240" w:lineRule="auto"/>
        <w:ind w:left="57"/>
        <w:jc w:val="left"/>
        <w:shd w:val="clear" w:fill="F2F2F2"/>
      </w:pPr>
      <w:r>
        <w:rPr>
          <w:rFonts w:ascii="Consolas" w:hAnsi="Consolas" w:cs="Consolas"/>
          <w:b w:val="0"/>
          <w:i w:val="0"/>
          <w:sz w:val="15"/>
        </w:rPr>
        <w:t xml:space="preserve">    container_type TEXT NOT NULL,</w:t>
      </w:r>
    </w:p>
    <w:p>
      <w:pPr>
        <w:spacing w:after="0" w:before="0" w:line="240" w:lineRule="auto"/>
        <w:ind w:left="57"/>
        <w:jc w:val="left"/>
        <w:shd w:val="clear" w:fill="F2F2F2"/>
      </w:pPr>
      <w:r>
        <w:rPr>
          <w:rFonts w:ascii="Consolas" w:hAnsi="Consolas" w:cs="Consolas"/>
          <w:b w:val="0"/>
          <w:i w:val="0"/>
          <w:sz w:val="15"/>
        </w:rPr>
        <w:t xml:space="preserve">    free_time_days INTEGER,</w:t>
      </w:r>
    </w:p>
    <w:p>
      <w:pPr>
        <w:spacing w:after="0" w:before="0" w:line="240" w:lineRule="auto"/>
        <w:ind w:left="57"/>
        <w:jc w:val="left"/>
        <w:shd w:val="clear" w:fill="F2F2F2"/>
      </w:pPr>
      <w:r>
        <w:rPr>
          <w:rFonts w:ascii="Consolas" w:hAnsi="Consolas" w:cs="Consolas"/>
          <w:b w:val="0"/>
          <w:i w:val="0"/>
          <w:sz w:val="15"/>
        </w:rPr>
        <w:t xml:space="preserve">    carrier_specific BOOLEAN,</w:t>
      </w:r>
    </w:p>
    <w:p>
      <w:pPr>
        <w:spacing w:after="0" w:before="0" w:line="240" w:lineRule="auto"/>
        <w:ind w:left="57"/>
        <w:jc w:val="left"/>
        <w:shd w:val="clear" w:fill="F2F2F2"/>
      </w:pPr>
      <w:r>
        <w:rPr>
          <w:rFonts w:ascii="Consolas" w:hAnsi="Consolas" w:cs="Consolas"/>
          <w:b w:val="0"/>
          <w:i w:val="0"/>
          <w:sz w:val="15"/>
        </w:rPr>
        <w:t xml:space="preserve">    demurrage_rates JSONB,</w:t>
      </w:r>
    </w:p>
    <w:p>
      <w:pPr>
        <w:spacing w:after="0" w:before="0" w:line="240" w:lineRule="auto"/>
        <w:ind w:left="57"/>
        <w:jc w:val="left"/>
        <w:shd w:val="clear" w:fill="F2F2F2"/>
      </w:pPr>
      <w:r>
        <w:rPr>
          <w:rFonts w:ascii="Consolas" w:hAnsi="Consolas" w:cs="Consolas"/>
          <w:b w:val="0"/>
          <w:i w:val="0"/>
          <w:sz w:val="15"/>
        </w:rPr>
        <w:t xml:space="preserve">    detention_rates JSONB,</w:t>
      </w:r>
    </w:p>
    <w:p>
      <w:pPr>
        <w:spacing w:after="0" w:before="0" w:line="240" w:lineRule="auto"/>
        <w:ind w:left="57"/>
        <w:jc w:val="left"/>
        <w:shd w:val="clear" w:fill="F2F2F2"/>
      </w:pPr>
      <w:r>
        <w:rPr>
          <w:rFonts w:ascii="Consolas" w:hAnsi="Consolas" w:cs="Consolas"/>
          <w:b w:val="0"/>
          <w:i w:val="0"/>
          <w:sz w:val="15"/>
        </w:rPr>
        <w:t xml:space="preserve">    currency TEXT DEFAULT 'USD',</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FTA Preference Rules:</w:t>
      </w:r>
    </w:p>
    <w:p>
      <w:pPr>
        <w:spacing w:after="0" w:before="0" w:line="240" w:lineRule="auto"/>
        <w:ind w:left="57"/>
        <w:jc w:val="left"/>
        <w:shd w:val="clear" w:fill="F2F2F2"/>
      </w:pPr>
      <w:r>
        <w:rPr>
          <w:rFonts w:ascii="Consolas" w:hAnsi="Consolas" w:cs="Consolas"/>
          <w:b w:val="0"/>
          <w:i w:val="0"/>
          <w:sz w:val="15"/>
        </w:rPr>
        <w:t>CREATE TABLE fta_preference_rules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fta_name TEXT NOT NULL,</w:t>
      </w:r>
    </w:p>
    <w:p>
      <w:pPr>
        <w:spacing w:after="0" w:before="0" w:line="240" w:lineRule="auto"/>
        <w:ind w:left="57"/>
        <w:jc w:val="left"/>
        <w:shd w:val="clear" w:fill="F2F2F2"/>
      </w:pPr>
      <w:r>
        <w:rPr>
          <w:rFonts w:ascii="Consolas" w:hAnsi="Consolas" w:cs="Consolas"/>
          <w:b w:val="0"/>
          <w:i w:val="0"/>
          <w:sz w:val="15"/>
        </w:rPr>
        <w:t xml:space="preserve">    origin_country CHAR(2) NOT NULL,</w:t>
      </w:r>
    </w:p>
    <w:p>
      <w:pPr>
        <w:spacing w:after="0" w:before="0" w:line="240" w:lineRule="auto"/>
        <w:ind w:left="57"/>
        <w:jc w:val="left"/>
        <w:shd w:val="clear" w:fill="F2F2F2"/>
      </w:pPr>
      <w:r>
        <w:rPr>
          <w:rFonts w:ascii="Consolas" w:hAnsi="Consolas" w:cs="Consolas"/>
          <w:b w:val="0"/>
          <w:i w:val="0"/>
          <w:sz w:val="15"/>
        </w:rPr>
        <w:t xml:space="preserve">    destination_country CHAR(2) NOT NULL,</w:t>
      </w:r>
    </w:p>
    <w:p>
      <w:pPr>
        <w:spacing w:after="0" w:before="0" w:line="240" w:lineRule="auto"/>
        <w:ind w:left="57"/>
        <w:jc w:val="left"/>
        <w:shd w:val="clear" w:fill="F2F2F2"/>
      </w:pPr>
      <w:r>
        <w:rPr>
          <w:rFonts w:ascii="Consolas" w:hAnsi="Consolas" w:cs="Consolas"/>
          <w:b w:val="0"/>
          <w:i w:val="0"/>
          <w:sz w:val="15"/>
        </w:rPr>
        <w:t xml:space="preserve">    hs_code CHAR(6),</w:t>
      </w:r>
    </w:p>
    <w:p>
      <w:pPr>
        <w:spacing w:after="0" w:before="0" w:line="240" w:lineRule="auto"/>
        <w:ind w:left="57"/>
        <w:jc w:val="left"/>
        <w:shd w:val="clear" w:fill="F2F2F2"/>
      </w:pPr>
      <w:r>
        <w:rPr>
          <w:rFonts w:ascii="Consolas" w:hAnsi="Consolas" w:cs="Consolas"/>
          <w:b w:val="0"/>
          <w:i w:val="0"/>
          <w:sz w:val="15"/>
        </w:rPr>
        <w:t xml:space="preserve">    preference_rate DECIMAL(5,2),</w:t>
      </w:r>
    </w:p>
    <w:p>
      <w:pPr>
        <w:spacing w:after="0" w:before="0" w:line="240" w:lineRule="auto"/>
        <w:ind w:left="57"/>
        <w:jc w:val="left"/>
        <w:shd w:val="clear" w:fill="F2F2F2"/>
      </w:pPr>
      <w:r>
        <w:rPr>
          <w:rFonts w:ascii="Consolas" w:hAnsi="Consolas" w:cs="Consolas"/>
          <w:b w:val="0"/>
          <w:i w:val="0"/>
          <w:sz w:val="15"/>
        </w:rPr>
        <w:t xml:space="preserve">    product_specific_rules JSONB,</w:t>
      </w:r>
    </w:p>
    <w:p>
      <w:pPr>
        <w:spacing w:after="0" w:before="0" w:line="240" w:lineRule="auto"/>
        <w:ind w:left="57"/>
        <w:jc w:val="left"/>
        <w:shd w:val="clear" w:fill="F2F2F2"/>
      </w:pPr>
      <w:r>
        <w:rPr>
          <w:rFonts w:ascii="Consolas" w:hAnsi="Consolas" w:cs="Consolas"/>
          <w:b w:val="0"/>
          <w:i w:val="0"/>
          <w:sz w:val="15"/>
        </w:rPr>
        <w:t xml:space="preserve">    certificate_type TEXT,</w:t>
      </w:r>
    </w:p>
    <w:p>
      <w:pPr>
        <w:spacing w:after="0" w:before="0" w:line="240" w:lineRule="auto"/>
        <w:ind w:left="57"/>
        <w:jc w:val="left"/>
        <w:shd w:val="clear" w:fill="F2F2F2"/>
      </w:pPr>
      <w:r>
        <w:rPr>
          <w:rFonts w:ascii="Consolas" w:hAnsi="Consolas" w:cs="Consolas"/>
          <w:b w:val="0"/>
          <w:i w:val="0"/>
          <w:sz w:val="15"/>
        </w:rPr>
        <w:t xml:space="preserve">    valid_from TIMESTAMPTZ,</w:t>
      </w:r>
    </w:p>
    <w:p>
      <w:pPr>
        <w:spacing w:after="0" w:before="0" w:line="240" w:lineRule="auto"/>
        <w:ind w:left="57"/>
        <w:jc w:val="left"/>
        <w:shd w:val="clear" w:fill="F2F2F2"/>
      </w:pPr>
      <w:r>
        <w:rPr>
          <w:rFonts w:ascii="Consolas" w:hAnsi="Consolas" w:cs="Consolas"/>
          <w:b w:val="0"/>
          <w:i w:val="0"/>
          <w:sz w:val="15"/>
        </w:rPr>
        <w:t xml:space="preserve">    valid_to TIMESTAMPTZ,</w:t>
      </w:r>
    </w:p>
    <w:p>
      <w:pPr>
        <w:spacing w:after="0" w:before="0" w:line="240" w:lineRule="auto"/>
        <w:ind w:left="57"/>
        <w:jc w:val="left"/>
        <w:shd w:val="clear" w:fill="F2F2F2"/>
      </w:pPr>
      <w:r>
        <w:rPr>
          <w:rFonts w:ascii="Consolas" w:hAnsi="Consolas" w:cs="Consolas"/>
          <w:b w:val="0"/>
          <w:i w:val="0"/>
          <w:sz w:val="15"/>
        </w:rPr>
        <w:t xml:space="preserve">    source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22.23.6 AI-Driven Country Discovery &amp; Import</w:t>
      </w:r>
    </w:p>
    <w:p>
      <w:pPr>
        <w:spacing w:after="80" w:line="293" w:lineRule="auto"/>
        <w:jc w:val="left"/>
      </w:pPr>
      <w:r>
        <w:rPr>
          <w:rFonts w:ascii="Times New Roman" w:hAnsi="Times New Roman" w:cs="Times New Roman"/>
          <w:b w:val="0"/>
          <w:i w:val="0"/>
          <w:sz w:val="22"/>
        </w:rPr>
        <w:t>Workflow:</w:t>
      </w:r>
    </w:p>
    <w:p>
      <w:pPr>
        <w:spacing w:after="80" w:line="293" w:lineRule="auto"/>
        <w:jc w:val="left"/>
      </w:pPr>
      <w:r>
        <w:rPr>
          <w:rFonts w:ascii="Times New Roman" w:hAnsi="Times New Roman" w:cs="Times New Roman"/>
          <w:b w:val="0"/>
          <w:i w:val="0"/>
          <w:sz w:val="22"/>
        </w:rPr>
        <w:t>1. Scheduled discovery (every 6 hours): query UN stats for the country list; check for new countries or status changes; initiate scraping for newly discovered countries. 2. Intelligent scraping: for each country, identify official sources — customs website, trade ministry, WTO tariff database, regional agreements — and use AI to navigate and extract structured data. 3. Data extraction (A2): customs procedures (import/export documentation, bonds, inspections); tariffs (duty rates, preferential schedules, additional taxes); documents (required documents per HS code / commodity); cold chain (temperature, humidity, treatment requirements); demurrage (free time, charges per port); FTAs (agreements, rates, certificate types). 4. Validation &amp; confidence scoring: cross-reference with multiple sources; assign a confidence score; flag low-confidence items for human review. 5. Storage &amp; versioning: store with timestamp and source; track changes over time; alert on significant changes.</w:t>
      </w:r>
    </w:p>
    <w:p>
      <w:pPr>
        <w:spacing w:after="80" w:line="293" w:lineRule="auto"/>
        <w:jc w:val="left"/>
      </w:pPr>
      <w:r>
        <w:rPr>
          <w:rFonts w:ascii="Times New Roman" w:hAnsi="Times New Roman" w:cs="Times New Roman"/>
          <w:b w:val="0"/>
          <w:i w:val="0"/>
          <w:sz w:val="22"/>
        </w:rPr>
        <w:t>Example — discovery for Brazil. Sources detected: Ministry of Economy (Customs): RFB; ANVISA (Health), MAPA (Agriculture); WTO tariff data; Mercosur agreements. Data extracted: bonds — 100% of duty, bank guarantee accepted; documents — invoice, packing list, COO, phyto, health; cold chain — 2–8°C for pharmaceuticals, -18°C for frozen; demurrage — 5 days free time (Santos), 7 days (Paranaguá); FTA — Mercosur, EU-Mercosur (pending). Confidence: 87%, cross-referenced with WTO data and ANVISA.</w:t>
      </w:r>
    </w:p>
    <w:p>
      <w:pPr>
        <w:spacing w:after="80" w:line="293" w:lineRule="auto"/>
        <w:jc w:val="left"/>
      </w:pPr>
      <w:r>
        <w:rPr>
          <w:rFonts w:ascii="Times New Roman" w:hAnsi="Times New Roman" w:cs="Times New Roman"/>
          <w:b w:val="0"/>
          <w:i w:val="0"/>
          <w:sz w:val="22"/>
        </w:rPr>
        <w:t>Smart Inbox alert on discovery:</w:t>
      </w:r>
    </w:p>
    <w:p>
      <w:pPr>
        <w:spacing w:after="0" w:before="0" w:line="240" w:lineRule="auto"/>
        <w:ind w:left="57"/>
        <w:jc w:val="left"/>
        <w:shd w:val="clear" w:fill="F2F2F2"/>
      </w:pPr>
      <w:r>
        <w:rPr>
          <w:rFonts w:ascii="Consolas" w:hAnsi="Consolas" w:cs="Consolas"/>
          <w:b w:val="0"/>
          <w:i w:val="0"/>
          <w:sz w:val="15"/>
        </w:rPr>
        <w:t>ALERT — NEW COUNTRY PROFILE: BRAZIL</w:t>
      </w:r>
    </w:p>
    <w:p>
      <w:pPr>
        <w:spacing w:after="0" w:before="0" w:line="240" w:lineRule="auto"/>
        <w:ind w:left="57"/>
        <w:jc w:val="left"/>
        <w:shd w:val="clear" w:fill="F2F2F2"/>
      </w:pPr>
      <w:r>
        <w:rPr>
          <w:rFonts w:ascii="Consolas" w:hAnsi="Consolas" w:cs="Consolas"/>
          <w:b w:val="0"/>
          <w:i w:val="0"/>
          <w:sz w:val="15"/>
        </w:rPr>
        <w:t>Discovered: 2026-06-20 06:00 UTC</w:t>
      </w:r>
    </w:p>
    <w:p>
      <w:pPr>
        <w:spacing w:after="0" w:before="0" w:line="240" w:lineRule="auto"/>
        <w:ind w:left="57"/>
        <w:jc w:val="left"/>
        <w:shd w:val="clear" w:fill="F2F2F2"/>
      </w:pPr>
      <w:r>
        <w:rPr>
          <w:rFonts w:ascii="Consolas" w:hAnsi="Consolas" w:cs="Consolas"/>
          <w:b w:val="0"/>
          <w:i w:val="0"/>
          <w:sz w:val="15"/>
        </w:rPr>
        <w:t>Confidence: 87%</w:t>
      </w:r>
    </w:p>
    <w:p>
      <w:pPr>
        <w:spacing w:after="0" w:before="0" w:line="240" w:lineRule="auto"/>
        <w:ind w:left="57"/>
        <w:jc w:val="left"/>
        <w:shd w:val="clear" w:fill="F2F2F2"/>
      </w:pPr>
      <w:r>
        <w:rPr>
          <w:rFonts w:ascii="Consolas" w:hAnsi="Consolas" w:cs="Consolas"/>
          <w:b w:val="0"/>
          <w:i w:val="0"/>
          <w:sz w:val="15"/>
        </w:rPr>
        <w:t>Customs bond required: YES</w:t>
      </w:r>
    </w:p>
    <w:p>
      <w:pPr>
        <w:spacing w:after="0" w:before="0" w:line="240" w:lineRule="auto"/>
        <w:ind w:left="57"/>
        <w:jc w:val="left"/>
        <w:shd w:val="clear" w:fill="F2F2F2"/>
      </w:pPr>
      <w:r>
        <w:rPr>
          <w:rFonts w:ascii="Consolas" w:hAnsi="Consolas" w:cs="Consolas"/>
          <w:b w:val="0"/>
          <w:i w:val="0"/>
          <w:sz w:val="15"/>
        </w:rPr>
        <w:t>Documents: 6 required</w:t>
      </w:r>
    </w:p>
    <w:p>
      <w:pPr>
        <w:spacing w:after="0" w:before="0" w:line="240" w:lineRule="auto"/>
        <w:ind w:left="57"/>
        <w:jc w:val="left"/>
        <w:shd w:val="clear" w:fill="F2F2F2"/>
      </w:pPr>
      <w:r>
        <w:rPr>
          <w:rFonts w:ascii="Consolas" w:hAnsi="Consolas" w:cs="Consolas"/>
          <w:b w:val="0"/>
          <w:i w:val="0"/>
          <w:sz w:val="15"/>
        </w:rPr>
        <w:t>Demurrage norms: 2 ports added</w:t>
      </w:r>
    </w:p>
    <w:p>
      <w:pPr>
        <w:spacing w:after="0" w:before="0" w:line="240" w:lineRule="auto"/>
        <w:ind w:left="57"/>
        <w:jc w:val="left"/>
        <w:shd w:val="clear" w:fill="F2F2F2"/>
      </w:pPr>
      <w:r>
        <w:rPr>
          <w:rFonts w:ascii="Consolas" w:hAnsi="Consolas" w:cs="Consolas"/>
          <w:b w:val="0"/>
          <w:i w:val="0"/>
          <w:sz w:val="15"/>
        </w:rPr>
        <w:t>Review recommended for: Pharmaceutical cold chain (74% confidence)</w:t>
      </w:r>
    </w:p>
    <w:p>
      <w:pPr>
        <w:spacing w:after="0" w:before="0" w:line="240" w:lineRule="auto"/>
        <w:ind w:left="57"/>
        <w:jc w:val="left"/>
        <w:shd w:val="clear" w:fill="F2F2F2"/>
      </w:pPr>
      <w:r>
        <w:rPr>
          <w:rFonts w:ascii="Consolas" w:hAnsi="Consolas" w:cs="Consolas"/>
          <w:b w:val="0"/>
          <w:i w:val="0"/>
          <w:sz w:val="15"/>
        </w:rPr>
        <w:t>[View Profile] [Review Low-Confidence Items] [Approve Profile]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22.23.7 AI-Powered Auto-Configuration</w:t>
      </w:r>
    </w:p>
    <w:p>
      <w:pPr>
        <w:spacing w:after="80" w:line="293" w:lineRule="auto"/>
        <w:jc w:val="left"/>
      </w:pPr>
      <w:r>
        <w:rPr>
          <w:rFonts w:ascii="Times New Roman" w:hAnsi="Times New Roman" w:cs="Times New Roman"/>
          <w:b w:val="0"/>
          <w:i w:val="0"/>
          <w:sz w:val="22"/>
        </w:rPr>
        <w:t>When a new country is discovered, the system automatically configures all relevant platform modules: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Module</w:t>
            </w:r>
          </w:p>
        </w:tc>
        <w:tc>
          <w:tcPr>
            <w:tcW w:type="dxa" w:w="4819"/>
            <w:shd w:val="clear" w:fill="D9E2F3"/>
          </w:tcPr>
          <w:p>
            <w:pPr>
              <w:spacing w:after="20" w:before="20" w:line="240" w:lineRule="auto"/>
            </w:pPr>
            <w:r/>
            <w:r>
              <w:rPr>
                <w:rFonts w:ascii="Arial" w:hAnsi="Arial" w:cs="Arial"/>
                <w:b/>
                <w:i w:val="0"/>
                <w:sz w:val="18"/>
              </w:rPr>
              <w:t>Auto-Configuration</w:t>
            </w:r>
          </w:p>
        </w:tc>
      </w:tr>
      <w:tr>
        <w:tc>
          <w:tcPr>
            <w:tcW w:type="dxa" w:w="4819"/>
          </w:tcPr>
          <w:p>
            <w:pPr>
              <w:spacing w:after="20" w:before="20" w:line="240" w:lineRule="auto"/>
            </w:pPr>
            <w:r/>
            <w:r>
              <w:rPr>
                <w:rFonts w:ascii="Arial" w:hAnsi="Arial" w:cs="Arial"/>
                <w:b w:val="0"/>
                <w:i w:val="0"/>
                <w:sz w:val="17"/>
              </w:rPr>
              <w:t>Customs Bond</w:t>
            </w:r>
          </w:p>
        </w:tc>
        <w:tc>
          <w:tcPr>
            <w:tcW w:type="dxa" w:w="4819"/>
          </w:tcPr>
          <w:p>
            <w:pPr>
              <w:spacing w:after="20" w:before="20" w:line="240" w:lineRule="auto"/>
            </w:pPr>
            <w:r/>
            <w:r>
              <w:rPr>
                <w:rFonts w:ascii="Arial" w:hAnsi="Arial" w:cs="Arial"/>
                <w:b w:val="0"/>
                <w:i w:val="0"/>
                <w:sz w:val="17"/>
              </w:rPr>
              <w:t>Bond factor, acceptance of bank guarantees</w:t>
            </w:r>
          </w:p>
        </w:tc>
      </w:tr>
      <w:tr>
        <w:tc>
          <w:tcPr>
            <w:tcW w:type="dxa" w:w="4819"/>
          </w:tcPr>
          <w:p>
            <w:pPr>
              <w:spacing w:after="20" w:before="20" w:line="240" w:lineRule="auto"/>
            </w:pPr>
            <w:r/>
            <w:r>
              <w:rPr>
                <w:rFonts w:ascii="Arial" w:hAnsi="Arial" w:cs="Arial"/>
                <w:b w:val="0"/>
                <w:i w:val="0"/>
                <w:sz w:val="17"/>
              </w:rPr>
              <w:t>Demurrage</w:t>
            </w:r>
          </w:p>
        </w:tc>
        <w:tc>
          <w:tcPr>
            <w:tcW w:type="dxa" w:w="4819"/>
          </w:tcPr>
          <w:p>
            <w:pPr>
              <w:spacing w:after="20" w:before="20" w:line="240" w:lineRule="auto"/>
            </w:pPr>
            <w:r/>
            <w:r>
              <w:rPr>
                <w:rFonts w:ascii="Arial" w:hAnsi="Arial" w:cs="Arial"/>
                <w:b w:val="0"/>
                <w:i w:val="0"/>
                <w:sz w:val="17"/>
              </w:rPr>
              <w:t>Free time, default rates per port</w:t>
            </w:r>
          </w:p>
        </w:tc>
      </w:tr>
      <w:tr>
        <w:tc>
          <w:tcPr>
            <w:tcW w:type="dxa" w:w="4819"/>
          </w:tcPr>
          <w:p>
            <w:pPr>
              <w:spacing w:after="20" w:before="20" w:line="240" w:lineRule="auto"/>
            </w:pPr>
            <w:r/>
            <w:r>
              <w:rPr>
                <w:rFonts w:ascii="Arial" w:hAnsi="Arial" w:cs="Arial"/>
                <w:b w:val="0"/>
                <w:i w:val="0"/>
                <w:sz w:val="17"/>
              </w:rPr>
              <w:t>Cold Chain</w:t>
            </w:r>
          </w:p>
        </w:tc>
        <w:tc>
          <w:tcPr>
            <w:tcW w:type="dxa" w:w="4819"/>
          </w:tcPr>
          <w:p>
            <w:pPr>
              <w:spacing w:after="20" w:before="20" w:line="240" w:lineRule="auto"/>
            </w:pPr>
            <w:r/>
            <w:r>
              <w:rPr>
                <w:rFonts w:ascii="Arial" w:hAnsi="Arial" w:cs="Arial"/>
                <w:b w:val="0"/>
                <w:i w:val="0"/>
                <w:sz w:val="17"/>
              </w:rPr>
              <w:t>Temperature/humidity ranges per commodity</w:t>
            </w:r>
          </w:p>
        </w:tc>
      </w:tr>
      <w:tr>
        <w:tc>
          <w:tcPr>
            <w:tcW w:type="dxa" w:w="4819"/>
          </w:tcPr>
          <w:p>
            <w:pPr>
              <w:spacing w:after="20" w:before="20" w:line="240" w:lineRule="auto"/>
            </w:pPr>
            <w:r/>
            <w:r>
              <w:rPr>
                <w:rFonts w:ascii="Arial" w:hAnsi="Arial" w:cs="Arial"/>
                <w:b w:val="0"/>
                <w:i w:val="0"/>
                <w:sz w:val="17"/>
              </w:rPr>
              <w:t>Documentation</w:t>
            </w:r>
          </w:p>
        </w:tc>
        <w:tc>
          <w:tcPr>
            <w:tcW w:type="dxa" w:w="4819"/>
          </w:tcPr>
          <w:p>
            <w:pPr>
              <w:spacing w:after="20" w:before="20" w:line="240" w:lineRule="auto"/>
            </w:pPr>
            <w:r/>
            <w:r>
              <w:rPr>
                <w:rFonts w:ascii="Arial" w:hAnsi="Arial" w:cs="Arial"/>
                <w:b w:val="0"/>
                <w:i w:val="0"/>
                <w:sz w:val="17"/>
              </w:rPr>
              <w:t>Required documents checklist</w:t>
            </w:r>
          </w:p>
        </w:tc>
      </w:tr>
      <w:tr>
        <w:tc>
          <w:tcPr>
            <w:tcW w:type="dxa" w:w="4819"/>
          </w:tcPr>
          <w:p>
            <w:pPr>
              <w:spacing w:after="20" w:before="20" w:line="240" w:lineRule="auto"/>
            </w:pPr>
            <w:r/>
            <w:r>
              <w:rPr>
                <w:rFonts w:ascii="Arial" w:hAnsi="Arial" w:cs="Arial"/>
                <w:b w:val="0"/>
                <w:i w:val="0"/>
                <w:sz w:val="17"/>
              </w:rPr>
              <w:t>FTA</w:t>
            </w:r>
          </w:p>
        </w:tc>
        <w:tc>
          <w:tcPr>
            <w:tcW w:type="dxa" w:w="4819"/>
          </w:tcPr>
          <w:p>
            <w:pPr>
              <w:spacing w:after="20" w:before="20" w:line="240" w:lineRule="auto"/>
            </w:pPr>
            <w:r/>
            <w:r>
              <w:rPr>
                <w:rFonts w:ascii="Arial" w:hAnsi="Arial" w:cs="Arial"/>
                <w:b w:val="0"/>
                <w:i w:val="0"/>
                <w:sz w:val="17"/>
              </w:rPr>
              <w:t>Preference rates, certificate types</w:t>
            </w:r>
          </w:p>
        </w:tc>
      </w:tr>
      <w:tr>
        <w:tc>
          <w:tcPr>
            <w:tcW w:type="dxa" w:w="4819"/>
          </w:tcPr>
          <w:p>
            <w:pPr>
              <w:spacing w:after="20" w:before="20" w:line="240" w:lineRule="auto"/>
            </w:pPr>
            <w:r/>
            <w:r>
              <w:rPr>
                <w:rFonts w:ascii="Arial" w:hAnsi="Arial" w:cs="Arial"/>
                <w:b w:val="0"/>
                <w:i w:val="0"/>
                <w:sz w:val="17"/>
              </w:rPr>
              <w:t>Insurance</w:t>
            </w:r>
          </w:p>
        </w:tc>
        <w:tc>
          <w:tcPr>
            <w:tcW w:type="dxa" w:w="4819"/>
          </w:tcPr>
          <w:p>
            <w:pPr>
              <w:spacing w:after="20" w:before="20" w:line="240" w:lineRule="auto"/>
            </w:pPr>
            <w:r/>
            <w:r>
              <w:rPr>
                <w:rFonts w:ascii="Arial" w:hAnsi="Arial" w:cs="Arial"/>
                <w:b w:val="0"/>
                <w:i w:val="0"/>
                <w:sz w:val="17"/>
              </w:rPr>
              <w:t>Recommended coverage types</w:t>
            </w:r>
          </w:p>
        </w:tc>
      </w:tr>
      <w:tr>
        <w:tc>
          <w:tcPr>
            <w:tcW w:type="dxa" w:w="4819"/>
          </w:tcPr>
          <w:p>
            <w:pPr>
              <w:spacing w:after="20" w:before="20" w:line="240" w:lineRule="auto"/>
            </w:pPr>
            <w:r/>
            <w:r>
              <w:rPr>
                <w:rFonts w:ascii="Arial" w:hAnsi="Arial" w:cs="Arial"/>
                <w:b w:val="0"/>
                <w:i w:val="0"/>
                <w:sz w:val="17"/>
              </w:rPr>
              <w:t>Financing</w:t>
            </w:r>
          </w:p>
        </w:tc>
        <w:tc>
          <w:tcPr>
            <w:tcW w:type="dxa" w:w="4819"/>
          </w:tcPr>
          <w:p>
            <w:pPr>
              <w:spacing w:after="20" w:before="20" w:line="240" w:lineRule="auto"/>
            </w:pPr>
            <w:r/>
            <w:r>
              <w:rPr>
                <w:rFonts w:ascii="Arial" w:hAnsi="Arial" w:cs="Arial"/>
                <w:b w:val="0"/>
                <w:i w:val="0"/>
                <w:sz w:val="17"/>
              </w:rPr>
              <w:t>Corridor risk assessment (historical)</w:t>
            </w:r>
          </w:p>
        </w:tc>
      </w:tr>
      <w:tr>
        <w:tc>
          <w:tcPr>
            <w:tcW w:type="dxa" w:w="4819"/>
          </w:tcPr>
          <w:p>
            <w:pPr>
              <w:spacing w:after="20" w:before="20" w:line="240" w:lineRule="auto"/>
            </w:pPr>
            <w:r/>
            <w:r>
              <w:rPr>
                <w:rFonts w:ascii="Arial" w:hAnsi="Arial" w:cs="Arial"/>
                <w:b w:val="0"/>
                <w:i w:val="0"/>
                <w:sz w:val="17"/>
              </w:rPr>
              <w:t>Government Portal</w:t>
            </w:r>
          </w:p>
        </w:tc>
        <w:tc>
          <w:tcPr>
            <w:tcW w:type="dxa" w:w="4819"/>
          </w:tcPr>
          <w:p>
            <w:pPr>
              <w:spacing w:after="20" w:before="20" w:line="240" w:lineRule="auto"/>
            </w:pPr>
            <w:r/>
            <w:r>
              <w:rPr>
                <w:rFonts w:ascii="Arial" w:hAnsi="Arial" w:cs="Arial"/>
                <w:b w:val="0"/>
                <w:i w:val="0"/>
                <w:sz w:val="17"/>
              </w:rPr>
              <w:t>Government node creation (country-specific)</w:t>
            </w:r>
          </w:p>
        </w:tc>
      </w:tr>
      <w:tr>
        <w:tc>
          <w:tcPr>
            <w:tcW w:type="dxa" w:w="4819"/>
          </w:tcPr>
          <w:p>
            <w:pPr>
              <w:spacing w:after="20" w:before="20" w:line="240" w:lineRule="auto"/>
            </w:pPr>
            <w:r/>
            <w:r>
              <w:rPr>
                <w:rFonts w:ascii="Arial" w:hAnsi="Arial" w:cs="Arial"/>
                <w:b w:val="0"/>
                <w:i w:val="0"/>
                <w:sz w:val="17"/>
              </w:rPr>
              <w:t>GTID</w:t>
            </w:r>
          </w:p>
        </w:tc>
        <w:tc>
          <w:tcPr>
            <w:tcW w:type="dxa" w:w="4819"/>
          </w:tcPr>
          <w:p>
            <w:pPr>
              <w:spacing w:after="20" w:before="20" w:line="240" w:lineRule="auto"/>
            </w:pPr>
            <w:r/>
            <w:r>
              <w:rPr>
                <w:rFonts w:ascii="Arial" w:hAnsi="Arial" w:cs="Arial"/>
                <w:b w:val="0"/>
                <w:i w:val="0"/>
                <w:sz w:val="17"/>
              </w:rPr>
              <w:t>Country code added, regulatory body auto-populated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22.23.8 User Experience: "What's Needed for This Country?"</w:t>
      </w:r>
    </w:p>
    <w:p>
      <w:pPr>
        <w:spacing w:after="80" w:line="293" w:lineRule="auto"/>
        <w:jc w:val="left"/>
      </w:pPr>
      <w:r>
        <w:rPr>
          <w:rFonts w:ascii="Times New Roman" w:hAnsi="Times New Roman" w:cs="Times New Roman"/>
          <w:b w:val="0"/>
          <w:i w:val="0"/>
          <w:sz w:val="22"/>
        </w:rPr>
        <w:t>In the Trade Request Form (Section 6), the country-specific requirements panel presents the discovered requirements:</w:t>
      </w:r>
    </w:p>
    <w:p>
      <w:pPr>
        <w:spacing w:after="0" w:before="0" w:line="240" w:lineRule="auto"/>
        <w:ind w:left="57"/>
        <w:jc w:val="left"/>
        <w:shd w:val="clear" w:fill="F2F2F2"/>
      </w:pPr>
      <w:r>
        <w:rPr>
          <w:rFonts w:ascii="Consolas" w:hAnsi="Consolas" w:cs="Consolas"/>
          <w:b w:val="0"/>
          <w:i w:val="0"/>
          <w:sz w:val="15"/>
        </w:rPr>
        <w:t>COUNTRY-SPECIFIC REQUIREMENTS</w:t>
      </w:r>
    </w:p>
    <w:p>
      <w:pPr>
        <w:spacing w:after="0" w:before="0" w:line="240" w:lineRule="auto"/>
        <w:ind w:left="57"/>
        <w:jc w:val="left"/>
        <w:shd w:val="clear" w:fill="F2F2F2"/>
      </w:pPr>
      <w:r>
        <w:rPr>
          <w:rFonts w:ascii="Consolas" w:hAnsi="Consolas" w:cs="Consolas"/>
          <w:b w:val="0"/>
          <w:i w:val="0"/>
          <w:sz w:val="15"/>
        </w:rPr>
        <w:t>Destination: Brazil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System has detected the following requirements: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Documents Required:</w:t>
      </w:r>
    </w:p>
    <w:p>
      <w:pPr>
        <w:spacing w:after="0" w:before="0" w:line="240" w:lineRule="auto"/>
        <w:ind w:left="57"/>
        <w:jc w:val="left"/>
        <w:shd w:val="clear" w:fill="F2F2F2"/>
      </w:pPr>
      <w:r>
        <w:rPr>
          <w:rFonts w:ascii="Consolas" w:hAnsi="Consolas" w:cs="Consolas"/>
          <w:b w:val="0"/>
          <w:i w:val="0"/>
          <w:sz w:val="15"/>
        </w:rPr>
        <w:t xml:space="preserve">  – Commercial Invoice</w:t>
      </w:r>
    </w:p>
    <w:p>
      <w:pPr>
        <w:spacing w:after="0" w:before="0" w:line="240" w:lineRule="auto"/>
        <w:ind w:left="57"/>
        <w:jc w:val="left"/>
        <w:shd w:val="clear" w:fill="F2F2F2"/>
      </w:pPr>
      <w:r>
        <w:rPr>
          <w:rFonts w:ascii="Consolas" w:hAnsi="Consolas" w:cs="Consolas"/>
          <w:b w:val="0"/>
          <w:i w:val="0"/>
          <w:sz w:val="15"/>
        </w:rPr>
        <w:t xml:space="preserve">  – Packing List</w:t>
      </w:r>
    </w:p>
    <w:p>
      <w:pPr>
        <w:spacing w:after="0" w:before="0" w:line="240" w:lineRule="auto"/>
        <w:ind w:left="57"/>
        <w:jc w:val="left"/>
        <w:shd w:val="clear" w:fill="F2F2F2"/>
      </w:pPr>
      <w:r>
        <w:rPr>
          <w:rFonts w:ascii="Consolas" w:hAnsi="Consolas" w:cs="Consolas"/>
          <w:b w:val="0"/>
          <w:i w:val="0"/>
          <w:sz w:val="15"/>
        </w:rPr>
        <w:t xml:space="preserve">  – Certificate of Origin (Mercosur format)</w:t>
      </w:r>
    </w:p>
    <w:p>
      <w:pPr>
        <w:spacing w:after="0" w:before="0" w:line="240" w:lineRule="auto"/>
        <w:ind w:left="57"/>
        <w:jc w:val="left"/>
        <w:shd w:val="clear" w:fill="F2F2F2"/>
      </w:pPr>
      <w:r>
        <w:rPr>
          <w:rFonts w:ascii="Consolas" w:hAnsi="Consolas" w:cs="Consolas"/>
          <w:b w:val="0"/>
          <w:i w:val="0"/>
          <w:sz w:val="15"/>
        </w:rPr>
        <w:t xml:space="preserve">  – Phytosanitary Certificate</w:t>
      </w:r>
    </w:p>
    <w:p>
      <w:pPr>
        <w:spacing w:after="0" w:before="0" w:line="240" w:lineRule="auto"/>
        <w:ind w:left="57"/>
        <w:jc w:val="left"/>
        <w:shd w:val="clear" w:fill="F2F2F2"/>
      </w:pPr>
      <w:r>
        <w:rPr>
          <w:rFonts w:ascii="Consolas" w:hAnsi="Consolas" w:cs="Consolas"/>
          <w:b w:val="0"/>
          <w:i w:val="0"/>
          <w:sz w:val="15"/>
        </w:rPr>
        <w:t xml:space="preserve">  – Health Certificate (ANVISA)</w:t>
      </w:r>
    </w:p>
    <w:p>
      <w:pPr>
        <w:spacing w:after="0" w:before="0" w:line="240" w:lineRule="auto"/>
        <w:ind w:left="57"/>
        <w:jc w:val="left"/>
        <w:shd w:val="clear" w:fill="F2F2F2"/>
      </w:pPr>
      <w:r>
        <w:rPr>
          <w:rFonts w:ascii="Consolas" w:hAnsi="Consolas" w:cs="Consolas"/>
          <w:b w:val="0"/>
          <w:i w:val="0"/>
          <w:sz w:val="15"/>
        </w:rPr>
        <w:t xml:space="preserve">  – Bill of Lading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Cold Chain Requirements (if perishable):</w:t>
      </w:r>
    </w:p>
    <w:p>
      <w:pPr>
        <w:spacing w:after="0" w:before="0" w:line="240" w:lineRule="auto"/>
        <w:ind w:left="57"/>
        <w:jc w:val="left"/>
        <w:shd w:val="clear" w:fill="F2F2F2"/>
      </w:pPr>
      <w:r>
        <w:rPr>
          <w:rFonts w:ascii="Consolas" w:hAnsi="Consolas" w:cs="Consolas"/>
          <w:b w:val="0"/>
          <w:i w:val="0"/>
          <w:sz w:val="15"/>
        </w:rPr>
        <w:t xml:space="preserve">  – Temperature: 2°C to 8°C (pharmaceuticals)</w:t>
      </w:r>
    </w:p>
    <w:p>
      <w:pPr>
        <w:spacing w:after="0" w:before="0" w:line="240" w:lineRule="auto"/>
        <w:ind w:left="57"/>
        <w:jc w:val="left"/>
        <w:shd w:val="clear" w:fill="F2F2F2"/>
      </w:pPr>
      <w:r>
        <w:rPr>
          <w:rFonts w:ascii="Consolas" w:hAnsi="Consolas" w:cs="Consolas"/>
          <w:b w:val="0"/>
          <w:i w:val="0"/>
          <w:sz w:val="15"/>
        </w:rPr>
        <w:t xml:space="preserve">  – Humidity: 60-80%</w:t>
      </w:r>
    </w:p>
    <w:p>
      <w:pPr>
        <w:spacing w:after="0" w:before="0" w:line="240" w:lineRule="auto"/>
        <w:ind w:left="57"/>
        <w:jc w:val="left"/>
        <w:shd w:val="clear" w:fill="F2F2F2"/>
      </w:pPr>
      <w:r>
        <w:rPr>
          <w:rFonts w:ascii="Consolas" w:hAnsi="Consolas" w:cs="Consolas"/>
          <w:b w:val="0"/>
          <w:i w:val="0"/>
          <w:sz w:val="15"/>
        </w:rPr>
        <w:t xml:space="preserve">  – PTI Certificate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Bond Requirements:</w:t>
      </w:r>
    </w:p>
    <w:p>
      <w:pPr>
        <w:spacing w:after="0" w:before="0" w:line="240" w:lineRule="auto"/>
        <w:ind w:left="57"/>
        <w:jc w:val="left"/>
        <w:shd w:val="clear" w:fill="F2F2F2"/>
      </w:pPr>
      <w:r>
        <w:rPr>
          <w:rFonts w:ascii="Consolas" w:hAnsi="Consolas" w:cs="Consolas"/>
          <w:b w:val="0"/>
          <w:i w:val="0"/>
          <w:sz w:val="15"/>
        </w:rPr>
        <w:t xml:space="preserve">  – Bond required: YES</w:t>
      </w:r>
    </w:p>
    <w:p>
      <w:pPr>
        <w:spacing w:after="0" w:before="0" w:line="240" w:lineRule="auto"/>
        <w:ind w:left="57"/>
        <w:jc w:val="left"/>
        <w:shd w:val="clear" w:fill="F2F2F2"/>
      </w:pPr>
      <w:r>
        <w:rPr>
          <w:rFonts w:ascii="Consolas" w:hAnsi="Consolas" w:cs="Consolas"/>
          <w:b w:val="0"/>
          <w:i w:val="0"/>
          <w:sz w:val="15"/>
        </w:rPr>
        <w:t xml:space="preserve">  – Amount: 100% of duty (bank guarantee or cash deposit)</w:t>
      </w:r>
    </w:p>
    <w:p>
      <w:pPr>
        <w:spacing w:after="0" w:before="0" w:line="240" w:lineRule="auto"/>
        <w:ind w:left="57"/>
        <w:jc w:val="left"/>
        <w:shd w:val="clear" w:fill="F2F2F2"/>
      </w:pPr>
      <w:r>
        <w:rPr>
          <w:rFonts w:ascii="Consolas" w:hAnsi="Consolas" w:cs="Consolas"/>
          <w:b w:val="0"/>
          <w:i w:val="0"/>
          <w:sz w:val="15"/>
        </w:rPr>
        <w:t xml:space="preserve">  – Issuer: Brazilian bank or international bank with presence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Tariff Information:</w:t>
      </w:r>
    </w:p>
    <w:p>
      <w:pPr>
        <w:spacing w:after="0" w:before="0" w:line="240" w:lineRule="auto"/>
        <w:ind w:left="57"/>
        <w:jc w:val="left"/>
        <w:shd w:val="clear" w:fill="F2F2F2"/>
      </w:pPr>
      <w:r>
        <w:rPr>
          <w:rFonts w:ascii="Consolas" w:hAnsi="Consolas" w:cs="Consolas"/>
          <w:b w:val="0"/>
          <w:i w:val="0"/>
          <w:sz w:val="15"/>
        </w:rPr>
        <w:t xml:space="preserve">  – HS 0805.10 (Oranges): 10% duty + 2% Mercosur tax</w:t>
      </w:r>
    </w:p>
    <w:p>
      <w:pPr>
        <w:spacing w:after="0" w:before="0" w:line="240" w:lineRule="auto"/>
        <w:ind w:left="57"/>
        <w:jc w:val="left"/>
        <w:shd w:val="clear" w:fill="F2F2F2"/>
      </w:pPr>
      <w:r>
        <w:rPr>
          <w:rFonts w:ascii="Consolas" w:hAnsi="Consolas" w:cs="Consolas"/>
          <w:b w:val="0"/>
          <w:i w:val="0"/>
          <w:sz w:val="15"/>
        </w:rPr>
        <w:t xml:space="preserve">  – Preferential rate under EU-Mercosur: 0% (if applicable)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Demurrage (Santos Port):</w:t>
      </w:r>
    </w:p>
    <w:p>
      <w:pPr>
        <w:spacing w:after="0" w:before="0" w:line="240" w:lineRule="auto"/>
        <w:ind w:left="57"/>
        <w:jc w:val="left"/>
        <w:shd w:val="clear" w:fill="F2F2F2"/>
      </w:pPr>
      <w:r>
        <w:rPr>
          <w:rFonts w:ascii="Consolas" w:hAnsi="Consolas" w:cs="Consolas"/>
          <w:b w:val="0"/>
          <w:i w:val="0"/>
          <w:sz w:val="15"/>
        </w:rPr>
        <w:t xml:space="preserve">  – Free time: 5 days</w:t>
      </w:r>
    </w:p>
    <w:p>
      <w:pPr>
        <w:spacing w:after="0" w:before="0" w:line="240" w:lineRule="auto"/>
        <w:ind w:left="57"/>
        <w:jc w:val="left"/>
        <w:shd w:val="clear" w:fill="F2F2F2"/>
      </w:pPr>
      <w:r>
        <w:rPr>
          <w:rFonts w:ascii="Consolas" w:hAnsi="Consolas" w:cs="Consolas"/>
          <w:b w:val="0"/>
          <w:i w:val="0"/>
          <w:sz w:val="15"/>
        </w:rPr>
        <w:t xml:space="preserve">  – Day 4-7: $150/day, Day 8-14: $200/day, Day 15+: $250/day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AI Insight: This trade is eligible for EU-Mercosur FTA preference.</w:t>
      </w:r>
    </w:p>
    <w:p>
      <w:pPr>
        <w:spacing w:after="0" w:before="0" w:line="240" w:lineRule="auto"/>
        <w:ind w:left="57"/>
        <w:jc w:val="left"/>
        <w:shd w:val="clear" w:fill="F2F2F2"/>
      </w:pPr>
      <w:r>
        <w:rPr>
          <w:rFonts w:ascii="Consolas" w:hAnsi="Consolas" w:cs="Consolas"/>
          <w:b w:val="0"/>
          <w:i w:val="0"/>
          <w:sz w:val="15"/>
        </w:rPr>
        <w:t xml:space="preserve">  Ensure Certificate of Origin is issued by approved chamber.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[View Full Regulatory Report] [Apply Requirements] [Request Human Review]</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22.23.9 Coverage Metrics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Category</w:t>
            </w:r>
          </w:p>
        </w:tc>
        <w:tc>
          <w:tcPr>
            <w:tcW w:type="dxa" w:w="2409"/>
            <w:shd w:val="clear" w:fill="D9E2F3"/>
          </w:tcPr>
          <w:p>
            <w:pPr>
              <w:spacing w:after="20" w:before="20" w:line="240" w:lineRule="auto"/>
            </w:pPr>
            <w:r/>
            <w:r>
              <w:rPr>
                <w:rFonts w:ascii="Arial" w:hAnsi="Arial" w:cs="Arial"/>
                <w:b/>
                <w:i w:val="0"/>
                <w:sz w:val="18"/>
              </w:rPr>
              <w:t>Countries</w:t>
            </w:r>
          </w:p>
        </w:tc>
        <w:tc>
          <w:tcPr>
            <w:tcW w:type="dxa" w:w="2409"/>
            <w:shd w:val="clear" w:fill="D9E2F3"/>
          </w:tcPr>
          <w:p>
            <w:pPr>
              <w:spacing w:after="20" w:before="20" w:line="240" w:lineRule="auto"/>
            </w:pPr>
            <w:r/>
            <w:r>
              <w:rPr>
                <w:rFonts w:ascii="Arial" w:hAnsi="Arial" w:cs="Arial"/>
                <w:b/>
                <w:i w:val="0"/>
                <w:sz w:val="18"/>
              </w:rPr>
              <w:t>Data Points</w:t>
            </w:r>
          </w:p>
        </w:tc>
        <w:tc>
          <w:tcPr>
            <w:tcW w:type="dxa" w:w="2409"/>
            <w:shd w:val="clear" w:fill="D9E2F3"/>
          </w:tcPr>
          <w:p>
            <w:pPr>
              <w:spacing w:after="20" w:before="20" w:line="240" w:lineRule="auto"/>
            </w:pPr>
            <w:r/>
            <w:r>
              <w:rPr>
                <w:rFonts w:ascii="Arial" w:hAnsi="Arial" w:cs="Arial"/>
                <w:b/>
                <w:i w:val="0"/>
                <w:sz w:val="18"/>
              </w:rPr>
              <w:t>Update Frequency</w:t>
            </w:r>
          </w:p>
        </w:tc>
      </w:tr>
      <w:tr>
        <w:tc>
          <w:tcPr>
            <w:tcW w:type="dxa" w:w="2409"/>
          </w:tcPr>
          <w:p>
            <w:pPr>
              <w:spacing w:after="20" w:before="20" w:line="240" w:lineRule="auto"/>
            </w:pPr>
            <w:r/>
            <w:r>
              <w:rPr>
                <w:rFonts w:ascii="Arial" w:hAnsi="Arial" w:cs="Arial"/>
                <w:b w:val="0"/>
                <w:i w:val="0"/>
                <w:sz w:val="17"/>
              </w:rPr>
              <w:t>Regulatory Profiles</w:t>
            </w:r>
          </w:p>
        </w:tc>
        <w:tc>
          <w:tcPr>
            <w:tcW w:type="dxa" w:w="2409"/>
          </w:tcPr>
          <w:p>
            <w:pPr>
              <w:spacing w:after="20" w:before="20" w:line="240" w:lineRule="auto"/>
            </w:pPr>
            <w:r/>
            <w:r>
              <w:rPr>
                <w:rFonts w:ascii="Arial" w:hAnsi="Arial" w:cs="Arial"/>
                <w:b w:val="0"/>
                <w:i w:val="0"/>
                <w:sz w:val="17"/>
              </w:rPr>
              <w:t>195</w:t>
            </w:r>
          </w:p>
        </w:tc>
        <w:tc>
          <w:tcPr>
            <w:tcW w:type="dxa" w:w="2409"/>
          </w:tcPr>
          <w:p>
            <w:pPr>
              <w:spacing w:after="20" w:before="20" w:line="240" w:lineRule="auto"/>
            </w:pPr>
            <w:r/>
            <w:r>
              <w:rPr>
                <w:rFonts w:ascii="Arial" w:hAnsi="Arial" w:cs="Arial"/>
                <w:b w:val="0"/>
                <w:i w:val="0"/>
                <w:sz w:val="17"/>
              </w:rPr>
              <w:t>50+ fields</w:t>
            </w:r>
          </w:p>
        </w:tc>
        <w:tc>
          <w:tcPr>
            <w:tcW w:type="dxa" w:w="2409"/>
          </w:tcPr>
          <w:p>
            <w:pPr>
              <w:spacing w:after="20" w:before="20" w:line="240" w:lineRule="auto"/>
            </w:pPr>
            <w:r/>
            <w:r>
              <w:rPr>
                <w:rFonts w:ascii="Arial" w:hAnsi="Arial" w:cs="Arial"/>
                <w:b w:val="0"/>
                <w:i w:val="0"/>
                <w:sz w:val="17"/>
              </w:rPr>
              <w:t>Daily</w:t>
            </w:r>
          </w:p>
        </w:tc>
      </w:tr>
      <w:tr>
        <w:tc>
          <w:tcPr>
            <w:tcW w:type="dxa" w:w="2409"/>
          </w:tcPr>
          <w:p>
            <w:pPr>
              <w:spacing w:after="20" w:before="20" w:line="240" w:lineRule="auto"/>
            </w:pPr>
            <w:r/>
            <w:r>
              <w:rPr>
                <w:rFonts w:ascii="Arial" w:hAnsi="Arial" w:cs="Arial"/>
                <w:b w:val="0"/>
                <w:i w:val="0"/>
                <w:sz w:val="17"/>
              </w:rPr>
              <w:t>Tariff Rates</w:t>
            </w:r>
          </w:p>
        </w:tc>
        <w:tc>
          <w:tcPr>
            <w:tcW w:type="dxa" w:w="2409"/>
          </w:tcPr>
          <w:p>
            <w:pPr>
              <w:spacing w:after="20" w:before="20" w:line="240" w:lineRule="auto"/>
            </w:pPr>
            <w:r/>
            <w:r>
              <w:rPr>
                <w:rFonts w:ascii="Arial" w:hAnsi="Arial" w:cs="Arial"/>
                <w:b w:val="0"/>
                <w:i w:val="0"/>
                <w:sz w:val="17"/>
              </w:rPr>
              <w:t>150+</w:t>
            </w:r>
          </w:p>
        </w:tc>
        <w:tc>
          <w:tcPr>
            <w:tcW w:type="dxa" w:w="2409"/>
          </w:tcPr>
          <w:p>
            <w:pPr>
              <w:spacing w:after="20" w:before="20" w:line="240" w:lineRule="auto"/>
            </w:pPr>
            <w:r/>
            <w:r>
              <w:rPr>
                <w:rFonts w:ascii="Arial" w:hAnsi="Arial" w:cs="Arial"/>
                <w:b w:val="0"/>
                <w:i w:val="0"/>
                <w:sz w:val="17"/>
              </w:rPr>
              <w:t>5,000+ HS codes</w:t>
            </w:r>
          </w:p>
        </w:tc>
        <w:tc>
          <w:tcPr>
            <w:tcW w:type="dxa" w:w="2409"/>
          </w:tcPr>
          <w:p>
            <w:pPr>
              <w:spacing w:after="20" w:before="20" w:line="240" w:lineRule="auto"/>
            </w:pPr>
            <w:r/>
            <w:r>
              <w:rPr>
                <w:rFonts w:ascii="Arial" w:hAnsi="Arial" w:cs="Arial"/>
                <w:b w:val="0"/>
                <w:i w:val="0"/>
                <w:sz w:val="17"/>
              </w:rPr>
              <w:t>Monthly</w:t>
            </w:r>
          </w:p>
        </w:tc>
      </w:tr>
      <w:tr>
        <w:tc>
          <w:tcPr>
            <w:tcW w:type="dxa" w:w="2409"/>
          </w:tcPr>
          <w:p>
            <w:pPr>
              <w:spacing w:after="20" w:before="20" w:line="240" w:lineRule="auto"/>
            </w:pPr>
            <w:r/>
            <w:r>
              <w:rPr>
                <w:rFonts w:ascii="Arial" w:hAnsi="Arial" w:cs="Arial"/>
                <w:b w:val="0"/>
                <w:i w:val="0"/>
                <w:sz w:val="17"/>
              </w:rPr>
              <w:t>Required Documents</w:t>
            </w:r>
          </w:p>
        </w:tc>
        <w:tc>
          <w:tcPr>
            <w:tcW w:type="dxa" w:w="2409"/>
          </w:tcPr>
          <w:p>
            <w:pPr>
              <w:spacing w:after="20" w:before="20" w:line="240" w:lineRule="auto"/>
            </w:pPr>
            <w:r/>
            <w:r>
              <w:rPr>
                <w:rFonts w:ascii="Arial" w:hAnsi="Arial" w:cs="Arial"/>
                <w:b w:val="0"/>
                <w:i w:val="0"/>
                <w:sz w:val="17"/>
              </w:rPr>
              <w:t>180</w:t>
            </w:r>
          </w:p>
        </w:tc>
        <w:tc>
          <w:tcPr>
            <w:tcW w:type="dxa" w:w="2409"/>
          </w:tcPr>
          <w:p>
            <w:pPr>
              <w:spacing w:after="20" w:before="20" w:line="240" w:lineRule="auto"/>
            </w:pPr>
            <w:r/>
            <w:r>
              <w:rPr>
                <w:rFonts w:ascii="Arial" w:hAnsi="Arial" w:cs="Arial"/>
                <w:b w:val="0"/>
                <w:i w:val="0"/>
                <w:sz w:val="17"/>
              </w:rPr>
              <w:t>20+ doc types</w:t>
            </w:r>
          </w:p>
        </w:tc>
        <w:tc>
          <w:tcPr>
            <w:tcW w:type="dxa" w:w="2409"/>
          </w:tcPr>
          <w:p>
            <w:pPr>
              <w:spacing w:after="20" w:before="20" w:line="240" w:lineRule="auto"/>
            </w:pPr>
            <w:r/>
            <w:r>
              <w:rPr>
                <w:rFonts w:ascii="Arial" w:hAnsi="Arial" w:cs="Arial"/>
                <w:b w:val="0"/>
                <w:i w:val="0"/>
                <w:sz w:val="17"/>
              </w:rPr>
              <w:t>Weekly</w:t>
            </w:r>
          </w:p>
        </w:tc>
      </w:tr>
      <w:tr>
        <w:tc>
          <w:tcPr>
            <w:tcW w:type="dxa" w:w="2409"/>
          </w:tcPr>
          <w:p>
            <w:pPr>
              <w:spacing w:after="20" w:before="20" w:line="240" w:lineRule="auto"/>
            </w:pPr>
            <w:r/>
            <w:r>
              <w:rPr>
                <w:rFonts w:ascii="Arial" w:hAnsi="Arial" w:cs="Arial"/>
                <w:b w:val="0"/>
                <w:i w:val="0"/>
                <w:sz w:val="17"/>
              </w:rPr>
              <w:t>Cold Chain</w:t>
            </w:r>
          </w:p>
        </w:tc>
        <w:tc>
          <w:tcPr>
            <w:tcW w:type="dxa" w:w="2409"/>
          </w:tcPr>
          <w:p>
            <w:pPr>
              <w:spacing w:after="20" w:before="20" w:line="240" w:lineRule="auto"/>
            </w:pPr>
            <w:r/>
            <w:r>
              <w:rPr>
                <w:rFonts w:ascii="Arial" w:hAnsi="Arial" w:cs="Arial"/>
                <w:b w:val="0"/>
                <w:i w:val="0"/>
                <w:sz w:val="17"/>
              </w:rPr>
              <w:t>160</w:t>
            </w:r>
          </w:p>
        </w:tc>
        <w:tc>
          <w:tcPr>
            <w:tcW w:type="dxa" w:w="2409"/>
          </w:tcPr>
          <w:p>
            <w:pPr>
              <w:spacing w:after="20" w:before="20" w:line="240" w:lineRule="auto"/>
            </w:pPr>
            <w:r/>
            <w:r>
              <w:rPr>
                <w:rFonts w:ascii="Arial" w:hAnsi="Arial" w:cs="Arial"/>
                <w:b w:val="0"/>
                <w:i w:val="0"/>
                <w:sz w:val="17"/>
              </w:rPr>
              <w:t>10+ parameters</w:t>
            </w:r>
          </w:p>
        </w:tc>
        <w:tc>
          <w:tcPr>
            <w:tcW w:type="dxa" w:w="2409"/>
          </w:tcPr>
          <w:p>
            <w:pPr>
              <w:spacing w:after="20" w:before="20" w:line="240" w:lineRule="auto"/>
            </w:pPr>
            <w:r/>
            <w:r>
              <w:rPr>
                <w:rFonts w:ascii="Arial" w:hAnsi="Arial" w:cs="Arial"/>
                <w:b w:val="0"/>
                <w:i w:val="0"/>
                <w:sz w:val="17"/>
              </w:rPr>
              <w:t>Weekly</w:t>
            </w:r>
          </w:p>
        </w:tc>
      </w:tr>
      <w:tr>
        <w:tc>
          <w:tcPr>
            <w:tcW w:type="dxa" w:w="2409"/>
          </w:tcPr>
          <w:p>
            <w:pPr>
              <w:spacing w:after="20" w:before="20" w:line="240" w:lineRule="auto"/>
            </w:pPr>
            <w:r/>
            <w:r>
              <w:rPr>
                <w:rFonts w:ascii="Arial" w:hAnsi="Arial" w:cs="Arial"/>
                <w:b w:val="0"/>
                <w:i w:val="0"/>
                <w:sz w:val="17"/>
              </w:rPr>
              <w:t>Demurrage Norms</w:t>
            </w:r>
          </w:p>
        </w:tc>
        <w:tc>
          <w:tcPr>
            <w:tcW w:type="dxa" w:w="2409"/>
          </w:tcPr>
          <w:p>
            <w:pPr>
              <w:spacing w:after="20" w:before="20" w:line="240" w:lineRule="auto"/>
            </w:pPr>
            <w:r/>
            <w:r>
              <w:rPr>
                <w:rFonts w:ascii="Arial" w:hAnsi="Arial" w:cs="Arial"/>
                <w:b w:val="0"/>
                <w:i w:val="0"/>
                <w:sz w:val="17"/>
              </w:rPr>
              <w:t>200+ ports</w:t>
            </w:r>
          </w:p>
        </w:tc>
        <w:tc>
          <w:tcPr>
            <w:tcW w:type="dxa" w:w="2409"/>
          </w:tcPr>
          <w:p>
            <w:pPr>
              <w:spacing w:after="20" w:before="20" w:line="240" w:lineRule="auto"/>
            </w:pPr>
            <w:r/>
            <w:r>
              <w:rPr>
                <w:rFonts w:ascii="Arial" w:hAnsi="Arial" w:cs="Arial"/>
                <w:b w:val="0"/>
                <w:i w:val="0"/>
                <w:sz w:val="17"/>
              </w:rPr>
              <w:t>5+ fields</w:t>
            </w:r>
          </w:p>
        </w:tc>
        <w:tc>
          <w:tcPr>
            <w:tcW w:type="dxa" w:w="2409"/>
          </w:tcPr>
          <w:p>
            <w:pPr>
              <w:spacing w:after="20" w:before="20" w:line="240" w:lineRule="auto"/>
            </w:pPr>
            <w:r/>
            <w:r>
              <w:rPr>
                <w:rFonts w:ascii="Arial" w:hAnsi="Arial" w:cs="Arial"/>
                <w:b w:val="0"/>
                <w:i w:val="0"/>
                <w:sz w:val="17"/>
              </w:rPr>
              <w:t>Monthly</w:t>
            </w:r>
          </w:p>
        </w:tc>
      </w:tr>
      <w:tr>
        <w:tc>
          <w:tcPr>
            <w:tcW w:type="dxa" w:w="2409"/>
          </w:tcPr>
          <w:p>
            <w:pPr>
              <w:spacing w:after="20" w:before="20" w:line="240" w:lineRule="auto"/>
            </w:pPr>
            <w:r/>
            <w:r>
              <w:rPr>
                <w:rFonts w:ascii="Arial" w:hAnsi="Arial" w:cs="Arial"/>
                <w:b w:val="0"/>
                <w:i w:val="0"/>
                <w:sz w:val="17"/>
              </w:rPr>
              <w:t>FTA Rules</w:t>
            </w:r>
          </w:p>
        </w:tc>
        <w:tc>
          <w:tcPr>
            <w:tcW w:type="dxa" w:w="2409"/>
          </w:tcPr>
          <w:p>
            <w:pPr>
              <w:spacing w:after="20" w:before="20" w:line="240" w:lineRule="auto"/>
            </w:pPr>
            <w:r/>
            <w:r>
              <w:rPr>
                <w:rFonts w:ascii="Arial" w:hAnsi="Arial" w:cs="Arial"/>
                <w:b w:val="0"/>
                <w:i w:val="0"/>
                <w:sz w:val="17"/>
              </w:rPr>
              <w:t>350+ agreements</w:t>
            </w:r>
          </w:p>
        </w:tc>
        <w:tc>
          <w:tcPr>
            <w:tcW w:type="dxa" w:w="2409"/>
          </w:tcPr>
          <w:p>
            <w:pPr>
              <w:spacing w:after="20" w:before="20" w:line="240" w:lineRule="auto"/>
            </w:pPr>
            <w:r/>
            <w:r>
              <w:rPr>
                <w:rFonts w:ascii="Arial" w:hAnsi="Arial" w:cs="Arial"/>
                <w:b w:val="0"/>
                <w:i w:val="0"/>
                <w:sz w:val="17"/>
              </w:rPr>
              <w:t>20+ fields</w:t>
            </w:r>
          </w:p>
        </w:tc>
        <w:tc>
          <w:tcPr>
            <w:tcW w:type="dxa" w:w="2409"/>
          </w:tcPr>
          <w:p>
            <w:pPr>
              <w:spacing w:after="20" w:before="20" w:line="240" w:lineRule="auto"/>
            </w:pPr>
            <w:r/>
            <w:r>
              <w:rPr>
                <w:rFonts w:ascii="Arial" w:hAnsi="Arial" w:cs="Arial"/>
                <w:b w:val="0"/>
                <w:i w:val="0"/>
                <w:sz w:val="17"/>
              </w:rPr>
              <w:t>Quarterly</w:t>
            </w:r>
          </w:p>
        </w:tc>
      </w:tr>
      <w:tr>
        <w:tc>
          <w:tcPr>
            <w:tcW w:type="dxa" w:w="2409"/>
          </w:tcPr>
          <w:p>
            <w:pPr>
              <w:spacing w:after="20" w:before="20" w:line="240" w:lineRule="auto"/>
            </w:pPr>
            <w:r/>
            <w:r>
              <w:rPr>
                <w:rFonts w:ascii="Arial" w:hAnsi="Arial" w:cs="Arial"/>
                <w:b w:val="0"/>
                <w:i w:val="0"/>
                <w:sz w:val="17"/>
              </w:rPr>
              <w:t>Ports</w:t>
            </w:r>
          </w:p>
        </w:tc>
        <w:tc>
          <w:tcPr>
            <w:tcW w:type="dxa" w:w="2409"/>
          </w:tcPr>
          <w:p>
            <w:pPr>
              <w:spacing w:after="20" w:before="20" w:line="240" w:lineRule="auto"/>
            </w:pPr>
            <w:r/>
            <w:r>
              <w:rPr>
                <w:rFonts w:ascii="Arial" w:hAnsi="Arial" w:cs="Arial"/>
                <w:b w:val="0"/>
                <w:i w:val="0"/>
                <w:sz w:val="17"/>
              </w:rPr>
              <w:t>1,200+</w:t>
            </w:r>
          </w:p>
        </w:tc>
        <w:tc>
          <w:tcPr>
            <w:tcW w:type="dxa" w:w="2409"/>
          </w:tcPr>
          <w:p>
            <w:pPr>
              <w:spacing w:after="20" w:before="20" w:line="240" w:lineRule="auto"/>
            </w:pPr>
            <w:r/>
            <w:r>
              <w:rPr>
                <w:rFonts w:ascii="Arial" w:hAnsi="Arial" w:cs="Arial"/>
                <w:b w:val="0"/>
                <w:i w:val="0"/>
                <w:sz w:val="17"/>
              </w:rPr>
              <w:t>10+ fields</w:t>
            </w:r>
          </w:p>
        </w:tc>
        <w:tc>
          <w:tcPr>
            <w:tcW w:type="dxa" w:w="2409"/>
          </w:tcPr>
          <w:p>
            <w:pPr>
              <w:spacing w:after="20" w:before="20" w:line="240" w:lineRule="auto"/>
            </w:pPr>
            <w:r/>
            <w:r>
              <w:rPr>
                <w:rFonts w:ascii="Arial" w:hAnsi="Arial" w:cs="Arial"/>
                <w:b w:val="0"/>
                <w:i w:val="0"/>
                <w:sz w:val="17"/>
              </w:rPr>
              <w:t>Monthly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Time to onboard a new country:</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Step</w:t>
            </w:r>
          </w:p>
        </w:tc>
        <w:tc>
          <w:tcPr>
            <w:tcW w:type="dxa" w:w="3213"/>
            <w:shd w:val="clear" w:fill="D9E2F3"/>
          </w:tcPr>
          <w:p>
            <w:pPr>
              <w:spacing w:after="20" w:before="20" w:line="240" w:lineRule="auto"/>
            </w:pPr>
            <w:r/>
            <w:r>
              <w:rPr>
                <w:rFonts w:ascii="Arial" w:hAnsi="Arial" w:cs="Arial"/>
                <w:b/>
                <w:i w:val="0"/>
                <w:sz w:val="18"/>
              </w:rPr>
              <w:t>With GRiRE</w:t>
            </w:r>
          </w:p>
        </w:tc>
        <w:tc>
          <w:tcPr>
            <w:tcW w:type="dxa" w:w="3213"/>
            <w:shd w:val="clear" w:fill="D9E2F3"/>
          </w:tcPr>
          <w:p>
            <w:pPr>
              <w:spacing w:after="20" w:before="20" w:line="240" w:lineRule="auto"/>
            </w:pPr>
            <w:r/>
            <w:r>
              <w:rPr>
                <w:rFonts w:ascii="Arial" w:hAnsi="Arial" w:cs="Arial"/>
                <w:b/>
                <w:i w:val="0"/>
                <w:sz w:val="18"/>
              </w:rPr>
              <w:t>Without GRiRE</w:t>
            </w:r>
          </w:p>
        </w:tc>
      </w:tr>
      <w:tr>
        <w:tc>
          <w:tcPr>
            <w:tcW w:type="dxa" w:w="3213"/>
          </w:tcPr>
          <w:p>
            <w:pPr>
              <w:spacing w:after="20" w:before="20" w:line="240" w:lineRule="auto"/>
            </w:pPr>
            <w:r/>
            <w:r>
              <w:rPr>
                <w:rFonts w:ascii="Arial" w:hAnsi="Arial" w:cs="Arial"/>
                <w:b w:val="0"/>
                <w:i w:val="0"/>
                <w:sz w:val="17"/>
              </w:rPr>
              <w:t>Discovery</w:t>
            </w:r>
          </w:p>
        </w:tc>
        <w:tc>
          <w:tcPr>
            <w:tcW w:type="dxa" w:w="3213"/>
          </w:tcPr>
          <w:p>
            <w:pPr>
              <w:spacing w:after="20" w:before="20" w:line="240" w:lineRule="auto"/>
            </w:pPr>
            <w:r/>
            <w:r>
              <w:rPr>
                <w:rFonts w:ascii="Arial" w:hAnsi="Arial" w:cs="Arial"/>
                <w:b w:val="0"/>
                <w:i w:val="0"/>
                <w:sz w:val="17"/>
              </w:rPr>
              <w:t>1-2 hours</w:t>
            </w:r>
          </w:p>
        </w:tc>
        <w:tc>
          <w:tcPr>
            <w:tcW w:type="dxa" w:w="3213"/>
          </w:tcPr>
          <w:p>
            <w:pPr>
              <w:spacing w:after="20" w:before="20" w:line="240" w:lineRule="auto"/>
            </w:pPr>
            <w:r/>
            <w:r>
              <w:rPr>
                <w:rFonts w:ascii="Arial" w:hAnsi="Arial" w:cs="Arial"/>
                <w:b w:val="0"/>
                <w:i w:val="0"/>
                <w:sz w:val="17"/>
              </w:rPr>
              <w:t>Manual research: 2-3 weeks</w:t>
            </w:r>
          </w:p>
        </w:tc>
      </w:tr>
      <w:tr>
        <w:tc>
          <w:tcPr>
            <w:tcW w:type="dxa" w:w="3213"/>
          </w:tcPr>
          <w:p>
            <w:pPr>
              <w:spacing w:after="20" w:before="20" w:line="240" w:lineRule="auto"/>
            </w:pPr>
            <w:r/>
            <w:r>
              <w:rPr>
                <w:rFonts w:ascii="Arial" w:hAnsi="Arial" w:cs="Arial"/>
                <w:b w:val="0"/>
                <w:i w:val="0"/>
                <w:sz w:val="17"/>
              </w:rPr>
              <w:t>AI Parsing</w:t>
            </w:r>
          </w:p>
        </w:tc>
        <w:tc>
          <w:tcPr>
            <w:tcW w:type="dxa" w:w="3213"/>
          </w:tcPr>
          <w:p>
            <w:pPr>
              <w:spacing w:after="20" w:before="20" w:line="240" w:lineRule="auto"/>
            </w:pPr>
            <w:r/>
            <w:r>
              <w:rPr>
                <w:rFonts w:ascii="Arial" w:hAnsi="Arial" w:cs="Arial"/>
                <w:b w:val="0"/>
                <w:i w:val="0"/>
                <w:sz w:val="17"/>
              </w:rPr>
              <w:t>2-4 hours</w:t>
            </w:r>
          </w:p>
        </w:tc>
        <w:tc>
          <w:tcPr>
            <w:tcW w:type="dxa" w:w="3213"/>
          </w:tcPr>
          <w:p>
            <w:pPr>
              <w:spacing w:after="20" w:before="20" w:line="240" w:lineRule="auto"/>
            </w:pPr>
            <w:r/>
            <w:r>
              <w:rPr>
                <w:rFonts w:ascii="Arial" w:hAnsi="Arial" w:cs="Arial"/>
                <w:b w:val="0"/>
                <w:i w:val="0"/>
                <w:sz w:val="17"/>
              </w:rPr>
              <w:t>Configuration: 1-2 weeks</w:t>
            </w:r>
          </w:p>
        </w:tc>
      </w:tr>
      <w:tr>
        <w:tc>
          <w:tcPr>
            <w:tcW w:type="dxa" w:w="3213"/>
          </w:tcPr>
          <w:p>
            <w:pPr>
              <w:spacing w:after="20" w:before="20" w:line="240" w:lineRule="auto"/>
            </w:pPr>
            <w:r/>
            <w:r>
              <w:rPr>
                <w:rFonts w:ascii="Arial" w:hAnsi="Arial" w:cs="Arial"/>
                <w:b w:val="0"/>
                <w:i w:val="0"/>
                <w:sz w:val="17"/>
              </w:rPr>
              <w:t>Validation</w:t>
            </w:r>
          </w:p>
        </w:tc>
        <w:tc>
          <w:tcPr>
            <w:tcW w:type="dxa" w:w="3213"/>
          </w:tcPr>
          <w:p>
            <w:pPr>
              <w:spacing w:after="20" w:before="20" w:line="240" w:lineRule="auto"/>
            </w:pPr>
            <w:r/>
            <w:r>
              <w:rPr>
                <w:rFonts w:ascii="Arial" w:hAnsi="Arial" w:cs="Arial"/>
                <w:b w:val="0"/>
                <w:i w:val="0"/>
                <w:sz w:val="17"/>
              </w:rPr>
              <w:t>1-2 hours (auto)</w:t>
            </w:r>
          </w:p>
        </w:tc>
        <w:tc>
          <w:tcPr>
            <w:tcW w:type="dxa" w:w="3213"/>
          </w:tcPr>
          <w:p>
            <w:pPr>
              <w:spacing w:after="20" w:before="20" w:line="240" w:lineRule="auto"/>
            </w:pPr>
            <w:r/>
            <w:r>
              <w:rPr>
                <w:rFonts w:ascii="Arial" w:hAnsi="Arial" w:cs="Arial"/>
                <w:b w:val="0"/>
                <w:i w:val="0"/>
                <w:sz w:val="17"/>
              </w:rPr>
              <w:t>Validation: 1 week</w:t>
            </w:r>
          </w:p>
        </w:tc>
      </w:tr>
      <w:tr>
        <w:tc>
          <w:tcPr>
            <w:tcW w:type="dxa" w:w="3213"/>
          </w:tcPr>
          <w:p>
            <w:pPr>
              <w:spacing w:after="20" w:before="20" w:line="240" w:lineRule="auto"/>
            </w:pPr>
            <w:r/>
            <w:r>
              <w:rPr>
                <w:rFonts w:ascii="Arial" w:hAnsi="Arial" w:cs="Arial"/>
                <w:b w:val="0"/>
                <w:i w:val="0"/>
                <w:sz w:val="17"/>
              </w:rPr>
              <w:t>Configuration</w:t>
            </w:r>
          </w:p>
        </w:tc>
        <w:tc>
          <w:tcPr>
            <w:tcW w:type="dxa" w:w="3213"/>
          </w:tcPr>
          <w:p>
            <w:pPr>
              <w:spacing w:after="20" w:before="20" w:line="240" w:lineRule="auto"/>
            </w:pPr>
            <w:r/>
            <w:r>
              <w:rPr>
                <w:rFonts w:ascii="Arial" w:hAnsi="Arial" w:cs="Arial"/>
                <w:b w:val="0"/>
                <w:i w:val="0"/>
                <w:sz w:val="17"/>
              </w:rPr>
              <w:t>Instant (auto)</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Total</w:t>
            </w:r>
          </w:p>
        </w:tc>
        <w:tc>
          <w:tcPr>
            <w:tcW w:type="dxa" w:w="3213"/>
          </w:tcPr>
          <w:p>
            <w:pPr>
              <w:spacing w:after="20" w:before="20" w:line="240" w:lineRule="auto"/>
            </w:pPr>
            <w:r/>
            <w:r>
              <w:rPr>
                <w:rFonts w:ascii="Arial" w:hAnsi="Arial" w:cs="Arial"/>
                <w:b w:val="0"/>
                <w:i w:val="0"/>
                <w:sz w:val="17"/>
              </w:rPr>
              <w:t>&lt; 1 day</w:t>
            </w:r>
          </w:p>
        </w:tc>
        <w:tc>
          <w:tcPr>
            <w:tcW w:type="dxa" w:w="3213"/>
          </w:tcPr>
          <w:p>
            <w:pPr>
              <w:spacing w:after="20" w:before="20" w:line="240" w:lineRule="auto"/>
            </w:pPr>
            <w:r/>
            <w:r>
              <w:rPr>
                <w:rFonts w:ascii="Arial" w:hAnsi="Arial" w:cs="Arial"/>
                <w:b w:val="0"/>
                <w:i w:val="0"/>
                <w:sz w:val="17"/>
              </w:rPr>
              <w:t>1-2 months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22.23.10 Integration with the Platform</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Platform Section</w:t>
            </w:r>
          </w:p>
        </w:tc>
        <w:tc>
          <w:tcPr>
            <w:tcW w:type="dxa" w:w="4819"/>
            <w:shd w:val="clear" w:fill="D9E2F3"/>
          </w:tcPr>
          <w:p>
            <w:pPr>
              <w:spacing w:after="20" w:before="20" w:line="240" w:lineRule="auto"/>
            </w:pPr>
            <w:r/>
            <w:r>
              <w:rPr>
                <w:rFonts w:ascii="Arial" w:hAnsi="Arial" w:cs="Arial"/>
                <w:b/>
                <w:i w:val="0"/>
                <w:sz w:val="18"/>
              </w:rPr>
              <w:t>Integration</w:t>
            </w:r>
          </w:p>
        </w:tc>
      </w:tr>
      <w:tr>
        <w:tc>
          <w:tcPr>
            <w:tcW w:type="dxa" w:w="4819"/>
          </w:tcPr>
          <w:p>
            <w:pPr>
              <w:spacing w:after="20" w:before="20" w:line="240" w:lineRule="auto"/>
            </w:pPr>
            <w:r/>
            <w:r>
              <w:rPr>
                <w:rFonts w:ascii="Arial" w:hAnsi="Arial" w:cs="Arial"/>
                <w:b w:val="0"/>
                <w:i w:val="0"/>
                <w:sz w:val="17"/>
              </w:rPr>
              <w:t>Section 6 — RIA (regulatory intelligence)</w:t>
            </w:r>
          </w:p>
        </w:tc>
        <w:tc>
          <w:tcPr>
            <w:tcW w:type="dxa" w:w="4819"/>
          </w:tcPr>
          <w:p>
            <w:pPr>
              <w:spacing w:after="20" w:before="20" w:line="240" w:lineRule="auto"/>
            </w:pPr>
            <w:r/>
            <w:r>
              <w:rPr>
                <w:rFonts w:ascii="Arial" w:hAnsi="Arial" w:cs="Arial"/>
                <w:b w:val="0"/>
                <w:i w:val="0"/>
                <w:sz w:val="17"/>
              </w:rPr>
              <w:t>GRiRE is the advanced, AI-powered version of RIA</w:t>
            </w:r>
          </w:p>
        </w:tc>
      </w:tr>
      <w:tr>
        <w:tc>
          <w:tcPr>
            <w:tcW w:type="dxa" w:w="4819"/>
          </w:tcPr>
          <w:p>
            <w:pPr>
              <w:spacing w:after="20" w:before="20" w:line="240" w:lineRule="auto"/>
            </w:pPr>
            <w:r/>
            <w:r>
              <w:rPr>
                <w:rFonts w:ascii="Arial" w:hAnsi="Arial" w:cs="Arial"/>
                <w:b w:val="0"/>
                <w:i w:val="0"/>
                <w:sz w:val="17"/>
              </w:rPr>
              <w:t>Section 6 — Product Form Agent</w:t>
            </w:r>
          </w:p>
        </w:tc>
        <w:tc>
          <w:tcPr>
            <w:tcW w:type="dxa" w:w="4819"/>
          </w:tcPr>
          <w:p>
            <w:pPr>
              <w:spacing w:after="20" w:before="20" w:line="240" w:lineRule="auto"/>
            </w:pPr>
            <w:r/>
            <w:r>
              <w:rPr>
                <w:rFonts w:ascii="Arial" w:hAnsi="Arial" w:cs="Arial"/>
                <w:b w:val="0"/>
                <w:i w:val="0"/>
                <w:sz w:val="17"/>
              </w:rPr>
              <w:t>Requirements data</w:t>
            </w:r>
          </w:p>
        </w:tc>
      </w:tr>
      <w:tr>
        <w:tc>
          <w:tcPr>
            <w:tcW w:type="dxa" w:w="4819"/>
          </w:tcPr>
          <w:p>
            <w:pPr>
              <w:spacing w:after="20" w:before="20" w:line="240" w:lineRule="auto"/>
            </w:pPr>
            <w:r/>
            <w:r>
              <w:rPr>
                <w:rFonts w:ascii="Arial" w:hAnsi="Arial" w:cs="Arial"/>
                <w:b w:val="0"/>
                <w:i w:val="0"/>
                <w:sz w:val="17"/>
              </w:rPr>
              <w:t>Section 6 — documentation</w:t>
            </w:r>
          </w:p>
        </w:tc>
        <w:tc>
          <w:tcPr>
            <w:tcW w:type="dxa" w:w="4819"/>
          </w:tcPr>
          <w:p>
            <w:pPr>
              <w:spacing w:after="20" w:before="20" w:line="240" w:lineRule="auto"/>
            </w:pPr>
            <w:r/>
            <w:r>
              <w:rPr>
                <w:rFonts w:ascii="Arial" w:hAnsi="Arial" w:cs="Arial"/>
                <w:b w:val="0"/>
                <w:i w:val="0"/>
                <w:sz w:val="17"/>
              </w:rPr>
              <w:t>Required documents</w:t>
            </w:r>
          </w:p>
        </w:tc>
      </w:tr>
      <w:tr>
        <w:tc>
          <w:tcPr>
            <w:tcW w:type="dxa" w:w="4819"/>
          </w:tcPr>
          <w:p>
            <w:pPr>
              <w:spacing w:after="20" w:before="20" w:line="240" w:lineRule="auto"/>
            </w:pPr>
            <w:r/>
            <w:r>
              <w:rPr>
                <w:rFonts w:ascii="Arial" w:hAnsi="Arial" w:cs="Arial"/>
                <w:b w:val="0"/>
                <w:i w:val="0"/>
                <w:sz w:val="17"/>
              </w:rPr>
              <w:t>Section 20 — government integration</w:t>
            </w:r>
          </w:p>
        </w:tc>
        <w:tc>
          <w:tcPr>
            <w:tcW w:type="dxa" w:w="4819"/>
          </w:tcPr>
          <w:p>
            <w:pPr>
              <w:spacing w:after="20" w:before="20" w:line="240" w:lineRule="auto"/>
            </w:pPr>
            <w:r/>
            <w:r>
              <w:rPr>
                <w:rFonts w:ascii="Arial" w:hAnsi="Arial" w:cs="Arial"/>
                <w:b w:val="0"/>
                <w:i w:val="0"/>
                <w:sz w:val="17"/>
              </w:rPr>
              <w:t>Government API discovery</w:t>
            </w:r>
          </w:p>
        </w:tc>
      </w:tr>
      <w:tr>
        <w:tc>
          <w:tcPr>
            <w:tcW w:type="dxa" w:w="4819"/>
          </w:tcPr>
          <w:p>
            <w:pPr>
              <w:spacing w:after="20" w:before="20" w:line="240" w:lineRule="auto"/>
            </w:pPr>
            <w:r/>
            <w:r>
              <w:rPr>
                <w:rFonts w:ascii="Arial" w:hAnsi="Arial" w:cs="Arial"/>
                <w:b w:val="0"/>
                <w:i w:val="0"/>
                <w:sz w:val="17"/>
              </w:rPr>
              <w:t>Section 17 — data model</w:t>
            </w:r>
          </w:p>
        </w:tc>
        <w:tc>
          <w:tcPr>
            <w:tcW w:type="dxa" w:w="4819"/>
          </w:tcPr>
          <w:p>
            <w:pPr>
              <w:spacing w:after="20" w:before="20" w:line="240" w:lineRule="auto"/>
            </w:pPr>
            <w:r/>
            <w:r>
              <w:rPr>
                <w:rFonts w:ascii="Arial" w:hAnsi="Arial" w:cs="Arial"/>
                <w:b w:val="0"/>
                <w:i w:val="0"/>
                <w:sz w:val="17"/>
              </w:rPr>
              <w:t>Jurisdiction-specific tables</w:t>
            </w:r>
          </w:p>
        </w:tc>
      </w:tr>
      <w:tr>
        <w:tc>
          <w:tcPr>
            <w:tcW w:type="dxa" w:w="4819"/>
          </w:tcPr>
          <w:p>
            <w:pPr>
              <w:spacing w:after="20" w:before="20" w:line="240" w:lineRule="auto"/>
            </w:pPr>
            <w:r/>
            <w:r>
              <w:rPr>
                <w:rFonts w:ascii="Arial" w:hAnsi="Arial" w:cs="Arial"/>
                <w:b w:val="0"/>
                <w:i w:val="0"/>
                <w:sz w:val="17"/>
              </w:rPr>
              <w:t>Section 22 — specified add-ons</w:t>
            </w:r>
          </w:p>
        </w:tc>
        <w:tc>
          <w:tcPr>
            <w:tcW w:type="dxa" w:w="4819"/>
          </w:tcPr>
          <w:p>
            <w:pPr>
              <w:spacing w:after="20" w:before="20" w:line="240" w:lineRule="auto"/>
            </w:pPr>
            <w:r/>
            <w:r>
              <w:rPr>
                <w:rFonts w:ascii="Arial" w:hAnsi="Arial" w:cs="Arial"/>
                <w:b w:val="0"/>
                <w:i w:val="0"/>
                <w:sz w:val="17"/>
              </w:rPr>
              <w:t>All add-ons (8-26) are powered by GRiRE</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22.23.11 Implementation Checklist</w:t>
      </w:r>
    </w:p>
    <w:p>
      <w:pPr>
        <w:spacing w:after="80" w:line="293" w:lineRule="auto"/>
        <w:jc w:val="left"/>
      </w:pPr>
      <w:r>
        <w:rPr>
          <w:rFonts w:ascii="Times New Roman" w:hAnsi="Times New Roman" w:cs="Times New Roman"/>
          <w:b w:val="0"/>
          <w:i w:val="0"/>
          <w:sz w:val="22"/>
        </w:rPr>
        <w:t>Phase 1 — core engine (months 1-3):</w:t>
      </w:r>
    </w:p>
    <w:p>
      <w:pPr>
        <w:spacing w:after="80" w:line="293" w:lineRule="auto"/>
        <w:ind w:left="283"/>
        <w:jc w:val="left"/>
      </w:pPr>
      <w:r>
        <w:rPr>
          <w:rFonts w:ascii="Times New Roman" w:hAnsi="Times New Roman" w:cs="Times New Roman"/>
          <w:b w:val="0"/>
          <w:i w:val="0"/>
          <w:sz w:val="22"/>
        </w:rPr>
        <w:t>- Deploy the GRiRE scraper layer (Rust + Rig).</w:t>
      </w:r>
    </w:p>
    <w:p>
      <w:pPr>
        <w:spacing w:after="80" w:line="293" w:lineRule="auto"/>
        <w:ind w:left="283"/>
        <w:jc w:val="left"/>
      </w:pPr>
      <w:r>
        <w:rPr>
          <w:rFonts w:ascii="Times New Roman" w:hAnsi="Times New Roman" w:cs="Times New Roman"/>
          <w:b w:val="0"/>
          <w:i w:val="0"/>
          <w:sz w:val="22"/>
        </w:rPr>
        <w:t>- Implement AI parsing (A2, HF NLP).</w:t>
      </w:r>
    </w:p>
    <w:p>
      <w:pPr>
        <w:spacing w:after="80" w:line="293" w:lineRule="auto"/>
        <w:ind w:left="283"/>
        <w:jc w:val="left"/>
      </w:pPr>
      <w:r>
        <w:rPr>
          <w:rFonts w:ascii="Times New Roman" w:hAnsi="Times New Roman" w:cs="Times New Roman"/>
          <w:b w:val="0"/>
          <w:i w:val="0"/>
          <w:sz w:val="22"/>
        </w:rPr>
        <w:t>- Create the structured requirements store (PostgreSQL).</w:t>
      </w:r>
    </w:p>
    <w:p>
      <w:pPr>
        <w:spacing w:after="80" w:line="293" w:lineRule="auto"/>
        <w:ind w:left="283"/>
        <w:jc w:val="left"/>
      </w:pPr>
      <w:r>
        <w:rPr>
          <w:rFonts w:ascii="Times New Roman" w:hAnsi="Times New Roman" w:cs="Times New Roman"/>
          <w:b w:val="0"/>
          <w:i w:val="0"/>
          <w:sz w:val="22"/>
        </w:rPr>
        <w:t>- Build the discovery and import pipeline.</w:t>
      </w:r>
    </w:p>
    <w:p>
      <w:pPr>
        <w:spacing w:after="80" w:line="293" w:lineRule="auto"/>
        <w:ind w:left="283"/>
        <w:jc w:val="left"/>
      </w:pPr>
      <w:r>
        <w:rPr>
          <w:rFonts w:ascii="Times New Roman" w:hAnsi="Times New Roman" w:cs="Times New Roman"/>
          <w:b w:val="0"/>
          <w:i w:val="0"/>
          <w:sz w:val="22"/>
        </w:rPr>
        <w:t>- Onboard the top 20 trade partners.</w:t>
      </w:r>
    </w:p>
    <w:p>
      <w:pPr>
        <w:spacing w:after="80" w:line="293" w:lineRule="auto"/>
        <w:jc w:val="left"/>
      </w:pPr>
      <w:r>
        <w:rPr>
          <w:rFonts w:ascii="Times New Roman" w:hAnsi="Times New Roman" w:cs="Times New Roman"/>
          <w:b w:val="0"/>
          <w:i w:val="0"/>
          <w:sz w:val="22"/>
        </w:rPr>
        <w:t>Phase 2 — country coverage expansion (months 4-6):</w:t>
      </w:r>
    </w:p>
    <w:p>
      <w:pPr>
        <w:spacing w:after="80" w:line="293" w:lineRule="auto"/>
        <w:ind w:left="283"/>
        <w:jc w:val="left"/>
      </w:pPr>
      <w:r>
        <w:rPr>
          <w:rFonts w:ascii="Times New Roman" w:hAnsi="Times New Roman" w:cs="Times New Roman"/>
          <w:b w:val="0"/>
          <w:i w:val="0"/>
          <w:sz w:val="22"/>
        </w:rPr>
        <w:t>- Expand to all 195 countries.</w:t>
      </w:r>
    </w:p>
    <w:p>
      <w:pPr>
        <w:spacing w:after="80" w:line="293" w:lineRule="auto"/>
        <w:ind w:left="283"/>
        <w:jc w:val="left"/>
      </w:pPr>
      <w:r>
        <w:rPr>
          <w:rFonts w:ascii="Times New Roman" w:hAnsi="Times New Roman" w:cs="Times New Roman"/>
          <w:b w:val="0"/>
          <w:i w:val="0"/>
          <w:sz w:val="22"/>
        </w:rPr>
        <w:t>- Implement auto-configuration for all modules.</w:t>
      </w:r>
    </w:p>
    <w:p>
      <w:pPr>
        <w:spacing w:after="80" w:line="293" w:lineRule="auto"/>
        <w:ind w:left="283"/>
        <w:jc w:val="left"/>
      </w:pPr>
      <w:r>
        <w:rPr>
          <w:rFonts w:ascii="Times New Roman" w:hAnsi="Times New Roman" w:cs="Times New Roman"/>
          <w:b w:val="0"/>
          <w:i w:val="0"/>
          <w:sz w:val="22"/>
        </w:rPr>
        <w:t>- Add the user interface for country-specific requirements.</w:t>
      </w:r>
    </w:p>
    <w:p>
      <w:pPr>
        <w:spacing w:after="80" w:line="293" w:lineRule="auto"/>
        <w:ind w:left="283"/>
        <w:jc w:val="left"/>
      </w:pPr>
      <w:r>
        <w:rPr>
          <w:rFonts w:ascii="Times New Roman" w:hAnsi="Times New Roman" w:cs="Times New Roman"/>
          <w:b w:val="0"/>
          <w:i w:val="0"/>
          <w:sz w:val="22"/>
        </w:rPr>
        <w:t>- Implement confidence scoring.</w:t>
      </w:r>
    </w:p>
    <w:p>
      <w:pPr>
        <w:spacing w:after="80" w:line="293" w:lineRule="auto"/>
        <w:jc w:val="left"/>
      </w:pPr>
      <w:r>
        <w:rPr>
          <w:rFonts w:ascii="Times New Roman" w:hAnsi="Times New Roman" w:cs="Times New Roman"/>
          <w:b w:val="0"/>
          <w:i w:val="0"/>
          <w:sz w:val="22"/>
        </w:rPr>
        <w:t>Phase 3 — continuous improvement (ongoing):</w:t>
      </w:r>
    </w:p>
    <w:p>
      <w:pPr>
        <w:spacing w:after="80" w:line="293" w:lineRule="auto"/>
        <w:ind w:left="283"/>
        <w:jc w:val="left"/>
      </w:pPr>
      <w:r>
        <w:rPr>
          <w:rFonts w:ascii="Times New Roman" w:hAnsi="Times New Roman" w:cs="Times New Roman"/>
          <w:b w:val="0"/>
          <w:i w:val="0"/>
          <w:sz w:val="22"/>
        </w:rPr>
        <w:t>- Add version tracking and change detection.</w:t>
      </w:r>
    </w:p>
    <w:p>
      <w:pPr>
        <w:spacing w:after="80" w:line="293" w:lineRule="auto"/>
        <w:ind w:left="283"/>
        <w:jc w:val="left"/>
      </w:pPr>
      <w:r>
        <w:rPr>
          <w:rFonts w:ascii="Times New Roman" w:hAnsi="Times New Roman" w:cs="Times New Roman"/>
          <w:b w:val="0"/>
          <w:i w:val="0"/>
          <w:sz w:val="22"/>
        </w:rPr>
        <w:t>- Implement the human review workflow.</w:t>
      </w:r>
    </w:p>
    <w:p>
      <w:pPr>
        <w:spacing w:after="80" w:line="293" w:lineRule="auto"/>
        <w:ind w:left="283"/>
        <w:jc w:val="left"/>
      </w:pPr>
      <w:r>
        <w:rPr>
          <w:rFonts w:ascii="Times New Roman" w:hAnsi="Times New Roman" w:cs="Times New Roman"/>
          <w:b w:val="0"/>
          <w:i w:val="0"/>
          <w:sz w:val="22"/>
        </w:rPr>
        <w:t>- Add Smart Inbox alerts for regulatory changes.</w:t>
      </w:r>
    </w:p>
    <w:p>
      <w:pPr>
        <w:spacing w:after="80" w:line="293" w:lineRule="auto"/>
        <w:ind w:left="283"/>
        <w:jc w:val="left"/>
      </w:pPr>
      <w:r>
        <w:rPr>
          <w:rFonts w:ascii="Times New Roman" w:hAnsi="Times New Roman" w:cs="Times New Roman"/>
          <w:b w:val="0"/>
          <w:i w:val="0"/>
          <w:sz w:val="22"/>
        </w:rPr>
        <w:t>- Improve model accuracy.</w:t>
      </w:r>
    </w:p>
    <w:p>
      <w:pPr>
        <w:keepNext/>
        <w:spacing w:before="240" w:after="100"/>
        <w:outlineLvl w:val="1"/>
      </w:pPr>
      <w:r>
        <w:rPr>
          <w:rFonts w:ascii="Arial" w:hAnsi="Arial" w:cs="Arial"/>
          <w:b/>
          <w:i w:val="0"/>
          <w:color w:val="2E528F"/>
          <w:sz w:val="26"/>
        </w:rPr>
        <w:t>22.24 Add-On Integration Map</w:t>
      </w:r>
    </w:p>
    <w:p>
      <w:pPr>
        <w:spacing w:after="80" w:line="293" w:lineRule="auto"/>
        <w:jc w:val="left"/>
      </w:pPr>
      <w:r>
        <w:rPr>
          <w:rFonts w:ascii="Times New Roman" w:hAnsi="Times New Roman" w:cs="Times New Roman"/>
          <w:b w:val="0"/>
          <w:i w:val="0"/>
          <w:sz w:val="22"/>
        </w:rPr>
        <w:t>This map records how the built-in add-ons (Add-Ons 1–7) surface across portals and operations: user-facing visibility per portal, activation behaviour, performance/storage/dependency considerations, and the integration tests that gate activation. Full specifications for each add-on are in Sections 22.2.1–22.2.7.</w:t>
      </w:r>
    </w:p>
    <w:p>
      <w:pPr>
        <w:keepNext/>
        <w:spacing w:before="180" w:after="80"/>
        <w:outlineLvl w:val="2"/>
      </w:pPr>
      <w:r>
        <w:rPr>
          <w:rFonts w:ascii="Arial" w:hAnsi="Arial" w:cs="Arial"/>
          <w:b/>
          <w:i w:val="0"/>
          <w:color w:val="333333"/>
          <w:sz w:val="23"/>
        </w:rPr>
        <w:t>22.24.1 Cross-Portal Visibility Map (User-Facing)</w:t>
      </w:r>
    </w:p>
    <w:p>
      <w:pPr>
        <w:spacing w:after="80" w:line="293" w:lineRule="auto"/>
        <w:jc w:val="left"/>
      </w:pPr>
      <w:r>
        <w:rPr>
          <w:rFonts w:ascii="Times New Roman" w:hAnsi="Times New Roman" w:cs="Times New Roman"/>
          <w:b w:val="0"/>
          <w:i w:val="0"/>
          <w:sz w:val="22"/>
        </w:rPr>
        <w:t>User-facing visibility per add-on:</w:t>
      </w:r>
    </w:p>
    <w:tbl>
      <w:tblPr>
        <w:tblStyle w:val="TableGrid"/>
        <w:tblW w:type="auto" w:w="0"/>
        <w:jc w:val="left"/>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D9E2F3"/>
          </w:tcPr>
          <w:p>
            <w:pPr>
              <w:spacing w:after="20" w:before="20" w:line="240" w:lineRule="auto"/>
            </w:pPr>
            <w:r/>
            <w:r>
              <w:rPr>
                <w:rFonts w:ascii="Arial" w:hAnsi="Arial" w:cs="Arial"/>
                <w:b/>
                <w:i w:val="0"/>
                <w:sz w:val="18"/>
              </w:rPr>
              <w:t>Add-On</w:t>
            </w:r>
          </w:p>
        </w:tc>
        <w:tc>
          <w:tcPr>
            <w:tcW w:type="dxa" w:w="1606"/>
            <w:shd w:val="clear" w:fill="D9E2F3"/>
          </w:tcPr>
          <w:p>
            <w:pPr>
              <w:spacing w:after="20" w:before="20" w:line="240" w:lineRule="auto"/>
            </w:pPr>
            <w:r/>
            <w:r>
              <w:rPr>
                <w:rFonts w:ascii="Arial" w:hAnsi="Arial" w:cs="Arial"/>
                <w:b/>
                <w:i w:val="0"/>
                <w:sz w:val="18"/>
              </w:rPr>
              <w:t>Buyer</w:t>
            </w:r>
          </w:p>
        </w:tc>
        <w:tc>
          <w:tcPr>
            <w:tcW w:type="dxa" w:w="1606"/>
            <w:shd w:val="clear" w:fill="D9E2F3"/>
          </w:tcPr>
          <w:p>
            <w:pPr>
              <w:spacing w:after="20" w:before="20" w:line="240" w:lineRule="auto"/>
            </w:pPr>
            <w:r/>
            <w:r>
              <w:rPr>
                <w:rFonts w:ascii="Arial" w:hAnsi="Arial" w:cs="Arial"/>
                <w:b/>
                <w:i w:val="0"/>
                <w:sz w:val="18"/>
              </w:rPr>
              <w:t>Seller</w:t>
            </w:r>
          </w:p>
        </w:tc>
        <w:tc>
          <w:tcPr>
            <w:tcW w:type="dxa" w:w="1606"/>
            <w:shd w:val="clear" w:fill="D9E2F3"/>
          </w:tcPr>
          <w:p>
            <w:pPr>
              <w:spacing w:after="20" w:before="20" w:line="240" w:lineRule="auto"/>
            </w:pPr>
            <w:r/>
            <w:r>
              <w:rPr>
                <w:rFonts w:ascii="Arial" w:hAnsi="Arial" w:cs="Arial"/>
                <w:b/>
                <w:i w:val="0"/>
                <w:sz w:val="18"/>
              </w:rPr>
              <w:t>Financier</w:t>
            </w:r>
          </w:p>
        </w:tc>
        <w:tc>
          <w:tcPr>
            <w:tcW w:type="dxa" w:w="1606"/>
            <w:shd w:val="clear" w:fill="D9E2F3"/>
          </w:tcPr>
          <w:p>
            <w:pPr>
              <w:spacing w:after="20" w:before="20" w:line="240" w:lineRule="auto"/>
            </w:pPr>
            <w:r/>
            <w:r>
              <w:rPr>
                <w:rFonts w:ascii="Arial" w:hAnsi="Arial" w:cs="Arial"/>
                <w:b/>
                <w:i w:val="0"/>
                <w:sz w:val="18"/>
              </w:rPr>
              <w:t>Government</w:t>
            </w:r>
          </w:p>
        </w:tc>
        <w:tc>
          <w:tcPr>
            <w:tcW w:type="dxa" w:w="1606"/>
            <w:shd w:val="clear" w:fill="D9E2F3"/>
          </w:tcPr>
          <w:p>
            <w:pPr>
              <w:spacing w:after="20" w:before="20" w:line="240" w:lineRule="auto"/>
            </w:pPr>
            <w:r/>
            <w:r>
              <w:rPr>
                <w:rFonts w:ascii="Arial" w:hAnsi="Arial" w:cs="Arial"/>
                <w:b/>
                <w:i w:val="0"/>
                <w:sz w:val="18"/>
              </w:rPr>
              <w:t>Admin</w:t>
            </w:r>
          </w:p>
        </w:tc>
      </w:tr>
      <w:tr>
        <w:tc>
          <w:tcPr>
            <w:tcW w:type="dxa" w:w="1606"/>
          </w:tcPr>
          <w:p>
            <w:pPr>
              <w:spacing w:after="20" w:before="20" w:line="240" w:lineRule="auto"/>
            </w:pPr>
            <w:r/>
            <w:r>
              <w:rPr>
                <w:rFonts w:ascii="Arial" w:hAnsi="Arial" w:cs="Arial"/>
                <w:b w:val="0"/>
                <w:i w:val="0"/>
                <w:sz w:val="17"/>
              </w:rPr>
              <w:t>1 — GNN Risk Engine</w:t>
            </w:r>
          </w:p>
        </w:tc>
        <w:tc>
          <w:tcPr>
            <w:tcW w:type="dxa" w:w="1606"/>
          </w:tcPr>
          <w:p>
            <w:pPr>
              <w:spacing w:after="20" w:before="20" w:line="240" w:lineRule="auto"/>
            </w:pPr>
            <w:r/>
            <w:r>
              <w:rPr>
                <w:rFonts w:ascii="Arial" w:hAnsi="Arial" w:cs="Arial"/>
                <w:b w:val="0"/>
                <w:i w:val="0"/>
                <w:sz w:val="17"/>
              </w:rPr>
              <w:t>Governor decision panel explanation (CONDITIONAL)</w:t>
            </w:r>
          </w:p>
        </w:tc>
        <w:tc>
          <w:tcPr>
            <w:tcW w:type="dxa" w:w="1606"/>
          </w:tcPr>
          <w:p>
            <w:pPr>
              <w:spacing w:after="20" w:before="20" w:line="240" w:lineRule="auto"/>
            </w:pPr>
            <w:r/>
            <w:r>
              <w:rPr>
                <w:rFonts w:ascii="Arial" w:hAnsi="Arial" w:cs="Arial"/>
                <w:b w:val="0"/>
                <w:i w:val="0"/>
                <w:sz w:val="17"/>
              </w:rPr>
              <w:t>Governor decision panel explanation (CONDITIONAL)</w:t>
            </w:r>
          </w:p>
        </w:tc>
        <w:tc>
          <w:tcPr>
            <w:tcW w:type="dxa" w:w="1606"/>
          </w:tcPr>
          <w:p>
            <w:pPr>
              <w:spacing w:after="20" w:before="20" w:line="240" w:lineRule="auto"/>
            </w:pPr>
            <w:r/>
            <w:r>
              <w:rPr>
                <w:rFonts w:ascii="Arial" w:hAnsi="Arial" w:cs="Arial"/>
                <w:b w:val="0"/>
                <w:i w:val="0"/>
                <w:sz w:val="17"/>
              </w:rPr>
              <w:t>Portfolio &amp; Compliance trust score card (opt-in)</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Model dashboard, drift monitoring</w:t>
            </w:r>
          </w:p>
        </w:tc>
      </w:tr>
      <w:tr>
        <w:tc>
          <w:tcPr>
            <w:tcW w:type="dxa" w:w="1606"/>
          </w:tcPr>
          <w:p>
            <w:pPr>
              <w:spacing w:after="20" w:before="20" w:line="240" w:lineRule="auto"/>
            </w:pPr>
            <w:r/>
            <w:r>
              <w:rPr>
                <w:rFonts w:ascii="Arial" w:hAnsi="Arial" w:cs="Arial"/>
                <w:b w:val="0"/>
                <w:i w:val="0"/>
                <w:sz w:val="17"/>
              </w:rPr>
              <w:t>2 — Federated Learning</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Training round status dashboard</w:t>
            </w:r>
          </w:p>
        </w:tc>
      </w:tr>
      <w:tr>
        <w:tc>
          <w:tcPr>
            <w:tcW w:type="dxa" w:w="1606"/>
          </w:tcPr>
          <w:p>
            <w:pPr>
              <w:spacing w:after="20" w:before="20" w:line="240" w:lineRule="auto"/>
            </w:pPr>
            <w:r/>
            <w:r>
              <w:rPr>
                <w:rFonts w:ascii="Arial" w:hAnsi="Arial" w:cs="Arial"/>
                <w:b w:val="0"/>
                <w:i w:val="0"/>
                <w:sz w:val="17"/>
              </w:rPr>
              <w:t>3 — Causal Inference</w:t>
            </w:r>
          </w:p>
        </w:tc>
        <w:tc>
          <w:tcPr>
            <w:tcW w:type="dxa" w:w="1606"/>
          </w:tcPr>
          <w:p>
            <w:pPr>
              <w:spacing w:after="20" w:before="20" w:line="240" w:lineRule="auto"/>
            </w:pPr>
            <w:r/>
            <w:r>
              <w:rPr>
                <w:rFonts w:ascii="Arial" w:hAnsi="Arial" w:cs="Arial"/>
                <w:b w:val="0"/>
                <w:i w:val="0"/>
                <w:sz w:val="17"/>
              </w:rPr>
              <w:t>Dispute root-cause report</w:t>
            </w:r>
          </w:p>
        </w:tc>
        <w:tc>
          <w:tcPr>
            <w:tcW w:type="dxa" w:w="1606"/>
          </w:tcPr>
          <w:p>
            <w:pPr>
              <w:spacing w:after="20" w:before="20" w:line="240" w:lineRule="auto"/>
            </w:pPr>
            <w:r/>
            <w:r>
              <w:rPr>
                <w:rFonts w:ascii="Arial" w:hAnsi="Arial" w:cs="Arial"/>
                <w:b w:val="0"/>
                <w:i w:val="0"/>
                <w:sz w:val="17"/>
              </w:rPr>
              <w:t>Dispute root-cause report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Dispute evidence view</w:t>
            </w:r>
          </w:p>
        </w:tc>
        <w:tc>
          <w:tcPr>
            <w:tcW w:type="dxa" w:w="1606"/>
          </w:tcPr>
          <w:p>
            <w:pPr>
              <w:spacing w:after="20" w:before="20" w:line="240" w:lineRule="auto"/>
            </w:pPr>
            <w:r/>
            <w:r>
              <w:rPr>
                <w:rFonts w:ascii="Arial" w:hAnsi="Arial" w:cs="Arial"/>
                <w:b w:val="0"/>
                <w:i w:val="0"/>
                <w:sz w:val="17"/>
              </w:rPr>
              <w:t>Engine status</w:t>
            </w:r>
          </w:p>
        </w:tc>
      </w:tr>
      <w:tr>
        <w:tc>
          <w:tcPr>
            <w:tcW w:type="dxa" w:w="1606"/>
          </w:tcPr>
          <w:p>
            <w:pPr>
              <w:spacing w:after="20" w:before="20" w:line="240" w:lineRule="auto"/>
            </w:pPr>
            <w:r/>
            <w:r>
              <w:rPr>
                <w:rFonts w:ascii="Arial" w:hAnsi="Arial" w:cs="Arial"/>
                <w:b w:val="0"/>
                <w:i w:val="0"/>
                <w:sz w:val="17"/>
              </w:rPr>
              <w:t>4 — Self-Healing &amp; Chaos</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Infrastructure Health dashboard, chaos logs</w:t>
            </w:r>
          </w:p>
        </w:tc>
      </w:tr>
      <w:tr>
        <w:tc>
          <w:tcPr>
            <w:tcW w:type="dxa" w:w="1606"/>
          </w:tcPr>
          <w:p>
            <w:pPr>
              <w:spacing w:after="20" w:before="20" w:line="240" w:lineRule="auto"/>
            </w:pPr>
            <w:r/>
            <w:r>
              <w:rPr>
                <w:rFonts w:ascii="Arial" w:hAnsi="Arial" w:cs="Arial"/>
                <w:b w:val="0"/>
                <w:i w:val="0"/>
                <w:sz w:val="17"/>
              </w:rPr>
              <w:t>5 — Automated Pentesting</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Security tab, findings, CI/CD block state</w:t>
            </w:r>
          </w:p>
        </w:tc>
      </w:tr>
      <w:tr>
        <w:tc>
          <w:tcPr>
            <w:tcW w:type="dxa" w:w="1606"/>
          </w:tcPr>
          <w:p>
            <w:pPr>
              <w:spacing w:after="20" w:before="20" w:line="240" w:lineRule="auto"/>
            </w:pPr>
            <w:r/>
            <w:r>
              <w:rPr>
                <w:rFonts w:ascii="Arial" w:hAnsi="Arial" w:cs="Arial"/>
                <w:b w:val="0"/>
                <w:i w:val="0"/>
                <w:sz w:val="17"/>
              </w:rPr>
              <w:t>6 — PQC</w:t>
            </w:r>
          </w:p>
        </w:tc>
        <w:tc>
          <w:tcPr>
            <w:tcW w:type="dxa" w:w="1606"/>
          </w:tcPr>
          <w:p>
            <w:pPr>
              <w:spacing w:after="20" w:before="20" w:line="240" w:lineRule="auto"/>
            </w:pPr>
            <w:r/>
            <w:r>
              <w:rPr>
                <w:rFonts w:ascii="Arial" w:hAnsi="Arial" w:cs="Arial"/>
                <w:b w:val="0"/>
                <w:i w:val="0"/>
                <w:sz w:val="17"/>
              </w:rPr>
              <w:t>Signature verification</w:t>
            </w:r>
          </w:p>
        </w:tc>
        <w:tc>
          <w:tcPr>
            <w:tcW w:type="dxa" w:w="1606"/>
          </w:tcPr>
          <w:p>
            <w:pPr>
              <w:spacing w:after="20" w:before="20" w:line="240" w:lineRule="auto"/>
            </w:pPr>
            <w:r/>
            <w:r>
              <w:rPr>
                <w:rFonts w:ascii="Arial" w:hAnsi="Arial" w:cs="Arial"/>
                <w:b w:val="0"/>
                <w:i w:val="0"/>
                <w:sz w:val="17"/>
              </w:rPr>
              <w:t>Signature verification</w:t>
            </w:r>
          </w:p>
        </w:tc>
        <w:tc>
          <w:tcPr>
            <w:tcW w:type="dxa" w:w="1606"/>
          </w:tcPr>
          <w:p>
            <w:pPr>
              <w:spacing w:after="20" w:before="20" w:line="240" w:lineRule="auto"/>
            </w:pPr>
            <w:r/>
            <w:r>
              <w:rPr>
                <w:rFonts w:ascii="Arial" w:hAnsi="Arial" w:cs="Arial"/>
                <w:b w:val="0"/>
                <w:i w:val="0"/>
                <w:sz w:val="17"/>
              </w:rPr>
              <w:t>Signature verification</w:t>
            </w:r>
          </w:p>
        </w:tc>
        <w:tc>
          <w:tcPr>
            <w:tcW w:type="dxa" w:w="1606"/>
          </w:tcPr>
          <w:p>
            <w:pPr>
              <w:spacing w:after="20" w:before="20" w:line="240" w:lineRule="auto"/>
            </w:pPr>
            <w:r/>
            <w:r>
              <w:rPr>
                <w:rFonts w:ascii="Arial" w:hAnsi="Arial" w:cs="Arial"/>
                <w:b w:val="0"/>
                <w:i w:val="0"/>
                <w:sz w:val="17"/>
              </w:rPr>
              <w:t>Signature verification</w:t>
            </w:r>
          </w:p>
        </w:tc>
        <w:tc>
          <w:tcPr>
            <w:tcW w:type="dxa" w:w="1606"/>
          </w:tcPr>
          <w:p>
            <w:pPr>
              <w:spacing w:after="20" w:before="20" w:line="240" w:lineRule="auto"/>
            </w:pPr>
            <w:r/>
            <w:r>
              <w:rPr>
                <w:rFonts w:ascii="Arial" w:hAnsi="Arial" w:cs="Arial"/>
                <w:b w:val="0"/>
                <w:i w:val="0"/>
                <w:sz w:val="17"/>
              </w:rPr>
              <w:t>Key ceremony, re-signing status</w:t>
            </w:r>
          </w:p>
        </w:tc>
      </w:tr>
      <w:tr>
        <w:tc>
          <w:tcPr>
            <w:tcW w:type="dxa" w:w="1606"/>
          </w:tcPr>
          <w:p>
            <w:pPr>
              <w:spacing w:after="20" w:before="20" w:line="240" w:lineRule="auto"/>
            </w:pPr>
            <w:r/>
            <w:r>
              <w:rPr>
                <w:rFonts w:ascii="Arial" w:hAnsi="Arial" w:cs="Arial"/>
                <w:b w:val="0"/>
                <w:i w:val="0"/>
                <w:sz w:val="17"/>
              </w:rPr>
              <w:t>7 — ZK Proofs</w:t>
            </w:r>
          </w:p>
        </w:tc>
        <w:tc>
          <w:tcPr>
            <w:tcW w:type="dxa" w:w="1606"/>
          </w:tcPr>
          <w:p>
            <w:pPr>
              <w:spacing w:after="20" w:before="20" w:line="240" w:lineRule="auto"/>
            </w:pPr>
            <w:r/>
            <w:r>
              <w:rPr>
                <w:rFonts w:ascii="Arial" w:hAnsi="Arial" w:cs="Arial"/>
                <w:b w:val="0"/>
                <w:i w:val="0"/>
                <w:sz w:val="17"/>
              </w:rPr>
              <w:t>Private settlement proof request</w:t>
            </w:r>
          </w:p>
        </w:tc>
        <w:tc>
          <w:tcPr>
            <w:tcW w:type="dxa" w:w="1606"/>
          </w:tcPr>
          <w:p>
            <w:pPr>
              <w:spacing w:after="20" w:before="20" w:line="240" w:lineRule="auto"/>
            </w:pPr>
            <w:r/>
            <w:r>
              <w:rPr>
                <w:rFonts w:ascii="Arial" w:hAnsi="Arial" w:cs="Arial"/>
                <w:b w:val="0"/>
                <w:i w:val="0"/>
                <w:sz w:val="17"/>
              </w:rPr>
              <w:t>Confidential price toggle</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w:t>
            </w:r>
          </w:p>
        </w:tc>
        <w:tc>
          <w:tcPr>
            <w:tcW w:type="dxa" w:w="1606"/>
          </w:tcPr>
          <w:p>
            <w:pPr>
              <w:spacing w:after="20" w:before="20" w:line="240" w:lineRule="auto"/>
            </w:pPr>
            <w:r/>
            <w:r>
              <w:rPr>
                <w:rFonts w:ascii="Arial" w:hAnsi="Arial" w:cs="Arial"/>
                <w:b w:val="0"/>
                <w:i w:val="0"/>
                <w:sz w:val="17"/>
              </w:rPr>
              <w:t>Sub-feature toggles</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22.24.2 Add-On Activation Summary</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Add-On</w:t>
            </w:r>
          </w:p>
        </w:tc>
        <w:tc>
          <w:tcPr>
            <w:tcW w:type="dxa" w:w="2409"/>
            <w:shd w:val="clear" w:fill="D9E2F3"/>
          </w:tcPr>
          <w:p>
            <w:pPr>
              <w:spacing w:after="20" w:before="20" w:line="240" w:lineRule="auto"/>
            </w:pPr>
            <w:r/>
            <w:r>
              <w:rPr>
                <w:rFonts w:ascii="Arial" w:hAnsi="Arial" w:cs="Arial"/>
                <w:b/>
                <w:i w:val="0"/>
                <w:sz w:val="18"/>
              </w:rPr>
              <w:t>Default</w:t>
            </w:r>
          </w:p>
        </w:tc>
        <w:tc>
          <w:tcPr>
            <w:tcW w:type="dxa" w:w="2409"/>
            <w:shd w:val="clear" w:fill="D9E2F3"/>
          </w:tcPr>
          <w:p>
            <w:pPr>
              <w:spacing w:after="20" w:before="20" w:line="240" w:lineRule="auto"/>
            </w:pPr>
            <w:r/>
            <w:r>
              <w:rPr>
                <w:rFonts w:ascii="Arial" w:hAnsi="Arial" w:cs="Arial"/>
                <w:b/>
                <w:i w:val="0"/>
                <w:sz w:val="18"/>
              </w:rPr>
              <w:t>Multisig</w:t>
            </w:r>
          </w:p>
        </w:tc>
        <w:tc>
          <w:tcPr>
            <w:tcW w:type="dxa" w:w="2409"/>
            <w:shd w:val="clear" w:fill="D9E2F3"/>
          </w:tcPr>
          <w:p>
            <w:pPr>
              <w:spacing w:after="20" w:before="20" w:line="240" w:lineRule="auto"/>
            </w:pPr>
            <w:r/>
            <w:r>
              <w:rPr>
                <w:rFonts w:ascii="Arial" w:hAnsi="Arial" w:cs="Arial"/>
                <w:b/>
                <w:i w:val="0"/>
                <w:sz w:val="18"/>
              </w:rPr>
              <w:t>Activation</w:t>
            </w:r>
          </w:p>
        </w:tc>
      </w:tr>
      <w:tr>
        <w:tc>
          <w:tcPr>
            <w:tcW w:type="dxa" w:w="2409"/>
          </w:tcPr>
          <w:p>
            <w:pPr>
              <w:spacing w:after="20" w:before="20" w:line="240" w:lineRule="auto"/>
            </w:pPr>
            <w:r/>
            <w:r>
              <w:rPr>
                <w:rFonts w:ascii="Arial" w:hAnsi="Arial" w:cs="Arial"/>
                <w:b w:val="0"/>
                <w:i w:val="0"/>
                <w:sz w:val="17"/>
              </w:rPr>
              <w:t>1 — GNN Risk Engine</w:t>
            </w:r>
          </w:p>
        </w:tc>
        <w:tc>
          <w:tcPr>
            <w:tcW w:type="dxa" w:w="2409"/>
          </w:tcPr>
          <w:p>
            <w:pPr>
              <w:spacing w:after="20" w:before="20" w:line="240" w:lineRule="auto"/>
            </w:pPr>
            <w:r/>
            <w:r>
              <w:rPr>
                <w:rFonts w:ascii="Arial" w:hAnsi="Arial" w:cs="Arial"/>
                <w:b w:val="0"/>
                <w:i w:val="0"/>
                <w:sz w:val="17"/>
              </w:rPr>
              <w:t>Off</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Admin Portal → Add-Ons → GNN Risk Engine &amp; Trust Graph</w:t>
            </w:r>
          </w:p>
        </w:tc>
      </w:tr>
      <w:tr>
        <w:tc>
          <w:tcPr>
            <w:tcW w:type="dxa" w:w="2409"/>
          </w:tcPr>
          <w:p>
            <w:pPr>
              <w:spacing w:after="20" w:before="20" w:line="240" w:lineRule="auto"/>
            </w:pPr>
            <w:r/>
            <w:r>
              <w:rPr>
                <w:rFonts w:ascii="Arial" w:hAnsi="Arial" w:cs="Arial"/>
                <w:b w:val="0"/>
                <w:i w:val="0"/>
                <w:sz w:val="17"/>
              </w:rPr>
              <w:t>2 — Federated Learning</w:t>
            </w:r>
          </w:p>
        </w:tc>
        <w:tc>
          <w:tcPr>
            <w:tcW w:type="dxa" w:w="2409"/>
          </w:tcPr>
          <w:p>
            <w:pPr>
              <w:spacing w:after="20" w:before="20" w:line="240" w:lineRule="auto"/>
            </w:pPr>
            <w:r/>
            <w:r>
              <w:rPr>
                <w:rFonts w:ascii="Arial" w:hAnsi="Arial" w:cs="Arial"/>
                <w:b w:val="0"/>
                <w:i w:val="0"/>
                <w:sz w:val="17"/>
              </w:rPr>
              <w:t>Off</w:t>
            </w:r>
          </w:p>
        </w:tc>
        <w:tc>
          <w:tcPr>
            <w:tcW w:type="dxa" w:w="2409"/>
          </w:tcPr>
          <w:p>
            <w:pPr>
              <w:spacing w:after="20" w:before="20" w:line="240" w:lineRule="auto"/>
            </w:pPr>
            <w:r/>
            <w:r>
              <w:rPr>
                <w:rFonts w:ascii="Arial" w:hAnsi="Arial" w:cs="Arial"/>
                <w:b w:val="0"/>
                <w:i w:val="0"/>
                <w:sz w:val="17"/>
              </w:rPr>
              <w:t>Yes</w:t>
            </w:r>
          </w:p>
        </w:tc>
        <w:tc>
          <w:tcPr>
            <w:tcW w:type="dxa" w:w="2409"/>
          </w:tcPr>
          <w:p>
            <w:pPr>
              <w:spacing w:after="20" w:before="20" w:line="240" w:lineRule="auto"/>
            </w:pPr>
            <w:r/>
            <w:r>
              <w:rPr>
                <w:rFonts w:ascii="Arial" w:hAnsi="Arial" w:cs="Arial"/>
                <w:b w:val="0"/>
                <w:i w:val="0"/>
                <w:sz w:val="17"/>
              </w:rPr>
              <w:t>Set coordinator node → choose models → Enable; first round within 24 hours</w:t>
            </w:r>
          </w:p>
        </w:tc>
      </w:tr>
      <w:tr>
        <w:tc>
          <w:tcPr>
            <w:tcW w:type="dxa" w:w="2409"/>
          </w:tcPr>
          <w:p>
            <w:pPr>
              <w:spacing w:after="20" w:before="20" w:line="240" w:lineRule="auto"/>
            </w:pPr>
            <w:r/>
            <w:r>
              <w:rPr>
                <w:rFonts w:ascii="Arial" w:hAnsi="Arial" w:cs="Arial"/>
                <w:b w:val="0"/>
                <w:i w:val="0"/>
                <w:sz w:val="17"/>
              </w:rPr>
              <w:t>3 — Causal Inference</w:t>
            </w:r>
          </w:p>
        </w:tc>
        <w:tc>
          <w:tcPr>
            <w:tcW w:type="dxa" w:w="2409"/>
          </w:tcPr>
          <w:p>
            <w:pPr>
              <w:spacing w:after="20" w:before="20" w:line="240" w:lineRule="auto"/>
            </w:pPr>
            <w:r/>
            <w:r>
              <w:rPr>
                <w:rFonts w:ascii="Arial" w:hAnsi="Arial" w:cs="Arial"/>
                <w:b w:val="0"/>
                <w:i w:val="0"/>
                <w:sz w:val="17"/>
              </w:rPr>
              <w:t>Off</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Enable; optional auto-trigger thresholds (e.g., delay &gt; 24h); processes disputes within 5 minutes of filing</w:t>
            </w:r>
          </w:p>
        </w:tc>
      </w:tr>
      <w:tr>
        <w:tc>
          <w:tcPr>
            <w:tcW w:type="dxa" w:w="2409"/>
          </w:tcPr>
          <w:p>
            <w:pPr>
              <w:spacing w:after="20" w:before="20" w:line="240" w:lineRule="auto"/>
            </w:pPr>
            <w:r/>
            <w:r>
              <w:rPr>
                <w:rFonts w:ascii="Arial" w:hAnsi="Arial" w:cs="Arial"/>
                <w:b w:val="0"/>
                <w:i w:val="0"/>
                <w:sz w:val="17"/>
              </w:rPr>
              <w:t>4 — Self-Healing &amp; Chaos</w:t>
            </w:r>
          </w:p>
        </w:tc>
        <w:tc>
          <w:tcPr>
            <w:tcW w:type="dxa" w:w="2409"/>
          </w:tcPr>
          <w:p>
            <w:pPr>
              <w:spacing w:after="20" w:before="20" w:line="240" w:lineRule="auto"/>
            </w:pPr>
            <w:r/>
            <w:r>
              <w:rPr>
                <w:rFonts w:ascii="Arial" w:hAnsi="Arial" w:cs="Arial"/>
                <w:b w:val="0"/>
                <w:i w:val="0"/>
                <w:sz w:val="17"/>
              </w:rPr>
              <w:t>Off</w:t>
            </w:r>
          </w:p>
        </w:tc>
        <w:tc>
          <w:tcPr>
            <w:tcW w:type="dxa" w:w="2409"/>
          </w:tcPr>
          <w:p>
            <w:pPr>
              <w:spacing w:after="20" w:before="20" w:line="240" w:lineRule="auto"/>
            </w:pPr>
            <w:r/>
            <w:r>
              <w:rPr>
                <w:rFonts w:ascii="Arial" w:hAnsi="Arial" w:cs="Arial"/>
                <w:b w:val="0"/>
                <w:i w:val="0"/>
                <w:sz w:val="17"/>
              </w:rPr>
              <w:t>Production chaos only</w:t>
            </w:r>
          </w:p>
        </w:tc>
        <w:tc>
          <w:tcPr>
            <w:tcW w:type="dxa" w:w="2409"/>
          </w:tcPr>
          <w:p>
            <w:pPr>
              <w:spacing w:after="20" w:before="20" w:line="240" w:lineRule="auto"/>
            </w:pPr>
            <w:r/>
            <w:r>
              <w:rPr>
                <w:rFonts w:ascii="Arial" w:hAnsi="Arial" w:cs="Arial"/>
                <w:b w:val="0"/>
                <w:i w:val="0"/>
                <w:sz w:val="17"/>
              </w:rPr>
              <w:t>Enable; chaos schedule default Sunday 03:00 UTC staging; self-healing agent always on once enabled</w:t>
            </w:r>
          </w:p>
        </w:tc>
      </w:tr>
      <w:tr>
        <w:tc>
          <w:tcPr>
            <w:tcW w:type="dxa" w:w="2409"/>
          </w:tcPr>
          <w:p>
            <w:pPr>
              <w:spacing w:after="20" w:before="20" w:line="240" w:lineRule="auto"/>
            </w:pPr>
            <w:r/>
            <w:r>
              <w:rPr>
                <w:rFonts w:ascii="Arial" w:hAnsi="Arial" w:cs="Arial"/>
                <w:b w:val="0"/>
                <w:i w:val="0"/>
                <w:sz w:val="17"/>
              </w:rPr>
              <w:t>5 — Automated Pentesting</w:t>
            </w:r>
          </w:p>
        </w:tc>
        <w:tc>
          <w:tcPr>
            <w:tcW w:type="dxa" w:w="2409"/>
          </w:tcPr>
          <w:p>
            <w:pPr>
              <w:spacing w:after="20" w:before="20" w:line="240" w:lineRule="auto"/>
            </w:pPr>
            <w:r/>
            <w:r>
              <w:rPr>
                <w:rFonts w:ascii="Arial" w:hAnsi="Arial" w:cs="Arial"/>
                <w:b w:val="0"/>
                <w:i w:val="0"/>
                <w:sz w:val="17"/>
              </w:rPr>
              <w:t>Off</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Configure target URLs, schedule, severity thresholds → Enable; first scan in next scheduled window</w:t>
            </w:r>
          </w:p>
        </w:tc>
      </w:tr>
      <w:tr>
        <w:tc>
          <w:tcPr>
            <w:tcW w:type="dxa" w:w="2409"/>
          </w:tcPr>
          <w:p>
            <w:pPr>
              <w:spacing w:after="20" w:before="20" w:line="240" w:lineRule="auto"/>
            </w:pPr>
            <w:r/>
            <w:r>
              <w:rPr>
                <w:rFonts w:ascii="Arial" w:hAnsi="Arial" w:cs="Arial"/>
                <w:b w:val="0"/>
                <w:i w:val="0"/>
                <w:sz w:val="17"/>
              </w:rPr>
              <w:t>6 — PQC</w:t>
            </w:r>
          </w:p>
        </w:tc>
        <w:tc>
          <w:tcPr>
            <w:tcW w:type="dxa" w:w="2409"/>
          </w:tcPr>
          <w:p>
            <w:pPr>
              <w:spacing w:after="20" w:before="20" w:line="240" w:lineRule="auto"/>
            </w:pPr>
            <w:r/>
            <w:r>
              <w:rPr>
                <w:rFonts w:ascii="Arial" w:hAnsi="Arial" w:cs="Arial"/>
                <w:b w:val="0"/>
                <w:i w:val="0"/>
                <w:sz w:val="17"/>
              </w:rPr>
              <w:t>Off</w:t>
            </w:r>
          </w:p>
        </w:tc>
        <w:tc>
          <w:tcPr>
            <w:tcW w:type="dxa" w:w="2409"/>
          </w:tcPr>
          <w:p>
            <w:pPr>
              <w:spacing w:after="20" w:before="20" w:line="240" w:lineRule="auto"/>
            </w:pPr>
            <w:r/>
            <w:r>
              <w:rPr>
                <w:rFonts w:ascii="Arial" w:hAnsi="Arial" w:cs="Arial"/>
                <w:b w:val="0"/>
                <w:i w:val="0"/>
                <w:sz w:val="17"/>
              </w:rPr>
              <w:t>Key generation only</w:t>
            </w:r>
          </w:p>
        </w:tc>
        <w:tc>
          <w:tcPr>
            <w:tcW w:type="dxa" w:w="2409"/>
          </w:tcPr>
          <w:p>
            <w:pPr>
              <w:spacing w:after="20" w:before="20" w:line="240" w:lineRule="auto"/>
            </w:pPr>
            <w:r/>
            <w:r>
              <w:rPr>
                <w:rFonts w:ascii="Arial" w:hAnsi="Arial" w:cs="Arial"/>
                <w:b w:val="0"/>
                <w:i w:val="0"/>
                <w:sz w:val="17"/>
              </w:rPr>
              <w:t>Generate key pair (multisig) → Enable; re-signer completes existing records within 7 days</w:t>
            </w:r>
          </w:p>
        </w:tc>
      </w:tr>
      <w:tr>
        <w:tc>
          <w:tcPr>
            <w:tcW w:type="dxa" w:w="2409"/>
          </w:tcPr>
          <w:p>
            <w:pPr>
              <w:spacing w:after="20" w:before="20" w:line="240" w:lineRule="auto"/>
            </w:pPr>
            <w:r/>
            <w:r>
              <w:rPr>
                <w:rFonts w:ascii="Arial" w:hAnsi="Arial" w:cs="Arial"/>
                <w:b w:val="0"/>
                <w:i w:val="0"/>
                <w:sz w:val="17"/>
              </w:rPr>
              <w:t>7 — ZK Proofs</w:t>
            </w:r>
          </w:p>
        </w:tc>
        <w:tc>
          <w:tcPr>
            <w:tcW w:type="dxa" w:w="2409"/>
          </w:tcPr>
          <w:p>
            <w:pPr>
              <w:spacing w:after="20" w:before="20" w:line="240" w:lineRule="auto"/>
            </w:pPr>
            <w:r/>
            <w:r>
              <w:rPr>
                <w:rFonts w:ascii="Arial" w:hAnsi="Arial" w:cs="Arial"/>
                <w:b w:val="0"/>
                <w:i w:val="0"/>
                <w:sz w:val="17"/>
              </w:rPr>
              <w:t>Off</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Toggle sub-features independently; circuit compile (~30s, one-time); no multisig</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22.24.3 Implementation Considerations</w:t>
      </w:r>
    </w:p>
    <w:p>
      <w:pPr>
        <w:spacing w:after="80" w:line="293" w:lineRule="auto"/>
        <w:jc w:val="left"/>
      </w:pPr>
      <w:r>
        <w:rPr>
          <w:rFonts w:ascii="Times New Roman" w:hAnsi="Times New Roman" w:cs="Times New Roman"/>
          <w:b w:val="0"/>
          <w:i w:val="0"/>
          <w:sz w:val="22"/>
        </w:rPr>
        <w:t>Performance impact. The GNN returns sanctions and adversarial risk in approximately 120 ms (`inference_time_ms`) and is called synchronously on `trade.initiate` and `financing.request`; if the service is unavailable the Governor falls back to rule-based scoring with no block. Federated learning and GNN training run weekly in off-peak windows. ZK server-side verification is sub-millisecond; proof generation runs client-side in WASM on the user's device. Chaos experiments run on a Sunday 03:00 UTC staging schedule and never touch production without multisig. Pentest scans run Friday 23:00 UTC against staging. Causal inference processes disputes within 5 minutes of filing.</w:t>
      </w:r>
    </w:p>
    <w:p>
      <w:pPr>
        <w:spacing w:after="80" w:line="293" w:lineRule="auto"/>
        <w:jc w:val="left"/>
      </w:pPr>
      <w:r>
        <w:rPr>
          <w:rFonts w:ascii="Times New Roman" w:hAnsi="Times New Roman" w:cs="Times New Roman"/>
          <w:b w:val="0"/>
          <w:i w:val="0"/>
          <w:sz w:val="22"/>
        </w:rPr>
        <w:t>Storage impact. Add-on tables are additive and modest: GNN risk scores and trade graph edges are small keyed records; the materialised view `network_trust_scores` is aggregated; cold chain readings are the only hypertable-scale add-on data and are retained per the EU RASFF 5-year rule; ZK proofs are stored as text columns on `seller_quotes` and `settlement_confirmations`.</w:t>
      </w:r>
    </w:p>
    <w:p>
      <w:pPr>
        <w:spacing w:after="80" w:line="293" w:lineRule="auto"/>
        <w:jc w:val="left"/>
      </w:pPr>
      <w:r>
        <w:rPr>
          <w:rFonts w:ascii="Times New Roman" w:hAnsi="Times New Roman" w:cs="Times New Roman"/>
          <w:b w:val="0"/>
          <w:i w:val="0"/>
          <w:sz w:val="22"/>
        </w:rPr>
        <w:t>Dependency matrix. The GNN depends on the corporate graph, trade, financing, and compliance tables and on Plonky3 (Add-On 7) for trust graph ZK proofs. Federated learning depends on a coordinator node and participant sidecars. Causal inference depends on the dispute and milestone event streams. Self-healing depends on K3s, Cilium, and Chaos Mesh. Automated pentesting depends on the CI/CD pipeline. PQC depends on liboqs and the key ceremony. ZK depends on Plonky3 and the WASM toolchain. The specified add-ons (8–26) depend on the GRiRE engine (Add-On 28) for jurisdiction reference data.</w:t>
      </w:r>
    </w:p>
    <w:p>
      <w:pPr>
        <w:keepNext/>
        <w:spacing w:before="180" w:after="80"/>
        <w:outlineLvl w:val="2"/>
      </w:pPr>
      <w:r>
        <w:rPr>
          <w:rFonts w:ascii="Arial" w:hAnsi="Arial" w:cs="Arial"/>
          <w:b/>
          <w:i w:val="0"/>
          <w:color w:val="333333"/>
          <w:sz w:val="23"/>
        </w:rPr>
        <w:t>22.24.4 Integration Testing Checklist</w:t>
      </w:r>
    </w:p>
    <w:p>
      <w:pPr>
        <w:spacing w:after="80" w:line="293" w:lineRule="auto"/>
        <w:jc w:val="left"/>
      </w:pPr>
      <w:r>
        <w:rPr>
          <w:rFonts w:ascii="Times New Roman" w:hAnsi="Times New Roman" w:cs="Times New Roman"/>
          <w:b w:val="0"/>
          <w:i w:val="0"/>
          <w:sz w:val="22"/>
        </w:rPr>
        <w:t>GNN:</w:t>
      </w:r>
    </w:p>
    <w:p>
      <w:pPr>
        <w:spacing w:after="80" w:line="293" w:lineRule="auto"/>
        <w:ind w:left="283"/>
        <w:jc w:val="left"/>
      </w:pPr>
      <w:r>
        <w:rPr>
          <w:rFonts w:ascii="Times New Roman" w:hAnsi="Times New Roman" w:cs="Times New Roman"/>
          <w:b w:val="0"/>
          <w:i w:val="0"/>
          <w:sz w:val="22"/>
        </w:rPr>
        <w:t>- Test sanctions proximity ≤ 2 → Governor returns CONDITIONAL.</w:t>
      </w:r>
    </w:p>
    <w:p>
      <w:pPr>
        <w:spacing w:after="80" w:line="293" w:lineRule="auto"/>
        <w:ind w:left="283"/>
        <w:jc w:val="left"/>
      </w:pPr>
      <w:r>
        <w:rPr>
          <w:rFonts w:ascii="Times New Roman" w:hAnsi="Times New Roman" w:cs="Times New Roman"/>
          <w:b w:val="0"/>
          <w:i w:val="0"/>
          <w:sz w:val="22"/>
        </w:rPr>
        <w:t>- Test trust graph query with ZK proof → anonymised result.</w:t>
      </w:r>
    </w:p>
    <w:p>
      <w:pPr>
        <w:spacing w:after="80" w:line="293" w:lineRule="auto"/>
        <w:ind w:left="283"/>
        <w:jc w:val="left"/>
      </w:pPr>
      <w:r>
        <w:rPr>
          <w:rFonts w:ascii="Times New Roman" w:hAnsi="Times New Roman" w:cs="Times New Roman"/>
          <w:b w:val="0"/>
          <w:i w:val="0"/>
          <w:sz w:val="22"/>
        </w:rPr>
        <w:t>- Test the opt-out toggle → tenant excluded from the trust graph.</w:t>
      </w:r>
    </w:p>
    <w:p>
      <w:pPr>
        <w:spacing w:after="80" w:line="293" w:lineRule="auto"/>
        <w:jc w:val="left"/>
      </w:pPr>
      <w:r>
        <w:rPr>
          <w:rFonts w:ascii="Times New Roman" w:hAnsi="Times New Roman" w:cs="Times New Roman"/>
          <w:b w:val="0"/>
          <w:i w:val="0"/>
          <w:sz w:val="22"/>
        </w:rPr>
        <w:t>Federated Learning:</w:t>
      </w:r>
    </w:p>
    <w:p>
      <w:pPr>
        <w:spacing w:after="80" w:line="293" w:lineRule="auto"/>
        <w:ind w:left="283"/>
        <w:jc w:val="left"/>
      </w:pPr>
      <w:r>
        <w:rPr>
          <w:rFonts w:ascii="Times New Roman" w:hAnsi="Times New Roman" w:cs="Times New Roman"/>
          <w:b w:val="0"/>
          <w:i w:val="0"/>
          <w:sz w:val="22"/>
        </w:rPr>
        <w:t>- Simulate a training round across nodes.</w:t>
      </w:r>
    </w:p>
    <w:p>
      <w:pPr>
        <w:spacing w:after="80" w:line="293" w:lineRule="auto"/>
        <w:ind w:left="283"/>
        <w:jc w:val="left"/>
      </w:pPr>
      <w:r>
        <w:rPr>
          <w:rFonts w:ascii="Times New Roman" w:hAnsi="Times New Roman" w:cs="Times New Roman"/>
          <w:b w:val="0"/>
          <w:i w:val="0"/>
          <w:sz w:val="22"/>
        </w:rPr>
        <w:t>- Verify model update distribution.</w:t>
      </w:r>
    </w:p>
    <w:p>
      <w:pPr>
        <w:spacing w:after="80" w:line="293" w:lineRule="auto"/>
        <w:ind w:left="283"/>
        <w:jc w:val="left"/>
      </w:pPr>
      <w:r>
        <w:rPr>
          <w:rFonts w:ascii="Times New Roman" w:hAnsi="Times New Roman" w:cs="Times New Roman"/>
          <w:b w:val="0"/>
          <w:i w:val="0"/>
          <w:sz w:val="22"/>
        </w:rPr>
        <w:t>- Test drift monitoring → model accuracy drops → alert.</w:t>
      </w:r>
    </w:p>
    <w:p>
      <w:pPr>
        <w:spacing w:after="80" w:line="293" w:lineRule="auto"/>
        <w:jc w:val="left"/>
      </w:pPr>
      <w:r>
        <w:rPr>
          <w:rFonts w:ascii="Times New Roman" w:hAnsi="Times New Roman" w:cs="Times New Roman"/>
          <w:b w:val="0"/>
          <w:i w:val="0"/>
          <w:sz w:val="22"/>
        </w:rPr>
        <w:t>Causal Inference:</w:t>
      </w:r>
    </w:p>
    <w:p>
      <w:pPr>
        <w:spacing w:after="80" w:line="293" w:lineRule="auto"/>
        <w:ind w:left="283"/>
        <w:jc w:val="left"/>
      </w:pPr>
      <w:r>
        <w:rPr>
          <w:rFonts w:ascii="Times New Roman" w:hAnsi="Times New Roman" w:cs="Times New Roman"/>
          <w:b w:val="0"/>
          <w:i w:val="0"/>
          <w:sz w:val="22"/>
        </w:rPr>
        <w:t>- Test dispute filing → causal analysis generated.</w:t>
      </w:r>
    </w:p>
    <w:p>
      <w:pPr>
        <w:spacing w:after="80" w:line="293" w:lineRule="auto"/>
        <w:ind w:left="283"/>
        <w:jc w:val="left"/>
      </w:pPr>
      <w:r>
        <w:rPr>
          <w:rFonts w:ascii="Times New Roman" w:hAnsi="Times New Roman" w:cs="Times New Roman"/>
          <w:b w:val="0"/>
          <w:i w:val="0"/>
          <w:sz w:val="22"/>
        </w:rPr>
        <w:t>- Verify root cause contribution percentages.</w:t>
      </w:r>
    </w:p>
    <w:p>
      <w:pPr>
        <w:spacing w:after="80" w:line="293" w:lineRule="auto"/>
        <w:ind w:left="283"/>
        <w:jc w:val="left"/>
      </w:pPr>
      <w:r>
        <w:rPr>
          <w:rFonts w:ascii="Times New Roman" w:hAnsi="Times New Roman" w:cs="Times New Roman"/>
          <w:b w:val="0"/>
          <w:i w:val="0"/>
          <w:sz w:val="22"/>
        </w:rPr>
        <w:t>- Test Groq summary generation.</w:t>
      </w:r>
    </w:p>
    <w:p>
      <w:pPr>
        <w:spacing w:after="80" w:line="293" w:lineRule="auto"/>
        <w:jc w:val="left"/>
      </w:pPr>
      <w:r>
        <w:rPr>
          <w:rFonts w:ascii="Times New Roman" w:hAnsi="Times New Roman" w:cs="Times New Roman"/>
          <w:b w:val="0"/>
          <w:i w:val="0"/>
          <w:sz w:val="22"/>
        </w:rPr>
        <w:t>Self-Healing:</w:t>
      </w:r>
    </w:p>
    <w:p>
      <w:pPr>
        <w:spacing w:after="80" w:line="293" w:lineRule="auto"/>
        <w:ind w:left="283"/>
        <w:jc w:val="left"/>
      </w:pPr>
      <w:r>
        <w:rPr>
          <w:rFonts w:ascii="Times New Roman" w:hAnsi="Times New Roman" w:cs="Times New Roman"/>
          <w:b w:val="0"/>
          <w:i w:val="0"/>
          <w:sz w:val="22"/>
        </w:rPr>
        <w:t>- Simulate pod failure → auto-restart.</w:t>
      </w:r>
    </w:p>
    <w:p>
      <w:pPr>
        <w:spacing w:after="80" w:line="293" w:lineRule="auto"/>
        <w:ind w:left="283"/>
        <w:jc w:val="left"/>
      </w:pPr>
      <w:r>
        <w:rPr>
          <w:rFonts w:ascii="Times New Roman" w:hAnsi="Times New Roman" w:cs="Times New Roman"/>
          <w:b w:val="0"/>
          <w:i w:val="0"/>
          <w:sz w:val="22"/>
        </w:rPr>
        <w:t>- Test disk failure prediction → cordon node.</w:t>
      </w:r>
    </w:p>
    <w:p>
      <w:pPr>
        <w:spacing w:after="80" w:line="293" w:lineRule="auto"/>
        <w:ind w:left="283"/>
        <w:jc w:val="left"/>
      </w:pPr>
      <w:r>
        <w:rPr>
          <w:rFonts w:ascii="Times New Roman" w:hAnsi="Times New Roman" w:cs="Times New Roman"/>
          <w:b w:val="0"/>
          <w:i w:val="0"/>
          <w:sz w:val="22"/>
        </w:rPr>
        <w:t>- Run a chaos experiment → verify resilience.</w:t>
      </w:r>
    </w:p>
    <w:p>
      <w:pPr>
        <w:spacing w:after="80" w:line="293" w:lineRule="auto"/>
        <w:jc w:val="left"/>
      </w:pPr>
      <w:r>
        <w:rPr>
          <w:rFonts w:ascii="Times New Roman" w:hAnsi="Times New Roman" w:cs="Times New Roman"/>
          <w:b w:val="0"/>
          <w:i w:val="0"/>
          <w:sz w:val="22"/>
        </w:rPr>
        <w:t>Pentesting:</w:t>
      </w:r>
    </w:p>
    <w:p>
      <w:pPr>
        <w:spacing w:after="80" w:line="293" w:lineRule="auto"/>
        <w:ind w:left="283"/>
        <w:jc w:val="left"/>
      </w:pPr>
      <w:r>
        <w:rPr>
          <w:rFonts w:ascii="Times New Roman" w:hAnsi="Times New Roman" w:cs="Times New Roman"/>
          <w:b w:val="0"/>
          <w:i w:val="0"/>
          <w:sz w:val="22"/>
        </w:rPr>
        <w:t>- Run the weekly scan → findings stored.</w:t>
      </w:r>
    </w:p>
    <w:p>
      <w:pPr>
        <w:spacing w:after="80" w:line="293" w:lineRule="auto"/>
        <w:ind w:left="283"/>
        <w:jc w:val="left"/>
      </w:pPr>
      <w:r>
        <w:rPr>
          <w:rFonts w:ascii="Times New Roman" w:hAnsi="Times New Roman" w:cs="Times New Roman"/>
          <w:b w:val="0"/>
          <w:i w:val="0"/>
          <w:sz w:val="22"/>
        </w:rPr>
        <w:t>- Test a critical finding → CI/CD block.</w:t>
      </w:r>
    </w:p>
    <w:p>
      <w:pPr>
        <w:spacing w:after="80" w:line="293" w:lineRule="auto"/>
        <w:ind w:left="283"/>
        <w:jc w:val="left"/>
      </w:pPr>
      <w:r>
        <w:rPr>
          <w:rFonts w:ascii="Times New Roman" w:hAnsi="Times New Roman" w:cs="Times New Roman"/>
          <w:b w:val="0"/>
          <w:i w:val="0"/>
          <w:sz w:val="22"/>
        </w:rPr>
        <w:t>- Verify the Smart Inbox alert on a critical finding.</w:t>
      </w:r>
    </w:p>
    <w:p>
      <w:pPr>
        <w:spacing w:after="80" w:line="293" w:lineRule="auto"/>
        <w:jc w:val="left"/>
      </w:pPr>
      <w:r>
        <w:rPr>
          <w:rFonts w:ascii="Times New Roman" w:hAnsi="Times New Roman" w:cs="Times New Roman"/>
          <w:b w:val="0"/>
          <w:i w:val="0"/>
          <w:sz w:val="22"/>
        </w:rPr>
        <w:t>PQC:</w:t>
      </w:r>
    </w:p>
    <w:p>
      <w:pPr>
        <w:spacing w:after="80" w:line="293" w:lineRule="auto"/>
        <w:ind w:left="283"/>
        <w:jc w:val="left"/>
      </w:pPr>
      <w:r>
        <w:rPr>
          <w:rFonts w:ascii="Times New Roman" w:hAnsi="Times New Roman" w:cs="Times New Roman"/>
          <w:b w:val="0"/>
          <w:i w:val="0"/>
          <w:sz w:val="22"/>
        </w:rPr>
        <w:t>- Test dual-signature generation.</w:t>
      </w:r>
    </w:p>
    <w:p>
      <w:pPr>
        <w:spacing w:after="80" w:line="293" w:lineRule="auto"/>
        <w:ind w:left="283"/>
        <w:jc w:val="left"/>
      </w:pPr>
      <w:r>
        <w:rPr>
          <w:rFonts w:ascii="Times New Roman" w:hAnsi="Times New Roman" w:cs="Times New Roman"/>
          <w:b w:val="0"/>
          <w:i w:val="0"/>
          <w:sz w:val="22"/>
        </w:rPr>
        <w:t>- Verify background re-signing.</w:t>
      </w:r>
    </w:p>
    <w:p>
      <w:pPr>
        <w:spacing w:after="80" w:line="293" w:lineRule="auto"/>
        <w:ind w:left="283"/>
        <w:jc w:val="left"/>
      </w:pPr>
      <w:r>
        <w:rPr>
          <w:rFonts w:ascii="Times New Roman" w:hAnsi="Times New Roman" w:cs="Times New Roman"/>
          <w:b w:val="0"/>
          <w:i w:val="0"/>
          <w:sz w:val="22"/>
        </w:rPr>
        <w:t>- Test the PQC verification endpoint.</w:t>
      </w:r>
    </w:p>
    <w:p>
      <w:pPr>
        <w:spacing w:after="80" w:line="293" w:lineRule="auto"/>
        <w:jc w:val="left"/>
      </w:pPr>
      <w:r>
        <w:rPr>
          <w:rFonts w:ascii="Times New Roman" w:hAnsi="Times New Roman" w:cs="Times New Roman"/>
          <w:b w:val="0"/>
          <w:i w:val="0"/>
          <w:sz w:val="22"/>
        </w:rPr>
        <w:t>ZK Proofs:</w:t>
      </w:r>
    </w:p>
    <w:p>
      <w:pPr>
        <w:spacing w:after="80" w:line="293" w:lineRule="auto"/>
        <w:ind w:left="283"/>
        <w:jc w:val="left"/>
      </w:pPr>
      <w:r>
        <w:rPr>
          <w:rFonts w:ascii="Times New Roman" w:hAnsi="Times New Roman" w:cs="Times New Roman"/>
          <w:b w:val="0"/>
          <w:i w:val="0"/>
          <w:sz w:val="22"/>
        </w:rPr>
        <w:t>- Seller confidential pricing → proof generated → buyer sees only total.</w:t>
      </w:r>
    </w:p>
    <w:p>
      <w:pPr>
        <w:spacing w:after="80" w:line="293" w:lineRule="auto"/>
        <w:ind w:left="283"/>
        <w:jc w:val="left"/>
      </w:pPr>
      <w:r>
        <w:rPr>
          <w:rFonts w:ascii="Times New Roman" w:hAnsi="Times New Roman" w:cs="Times New Roman"/>
          <w:b w:val="0"/>
          <w:i w:val="0"/>
          <w:sz w:val="22"/>
        </w:rPr>
        <w:t>- Buyer private settlement proof → generated → external verifier accepts.</w:t>
      </w:r>
    </w:p>
    <w:p>
      <w:pPr>
        <w:keepNext/>
        <w:spacing w:before="240" w:after="100"/>
        <w:outlineLvl w:val="1"/>
      </w:pPr>
      <w:r>
        <w:rPr>
          <w:rFonts w:ascii="Arial" w:hAnsi="Arial" w:cs="Arial"/>
          <w:b/>
          <w:i w:val="0"/>
          <w:color w:val="2E528F"/>
          <w:sz w:val="26"/>
        </w:rPr>
        <w:t>22.25 Complete Add-On Coverage Summary</w:t>
      </w:r>
    </w:p>
    <w:p>
      <w:pPr>
        <w:keepNext/>
        <w:spacing w:before="180" w:after="80"/>
        <w:outlineLvl w:val="2"/>
      </w:pPr>
      <w:r>
        <w:rPr>
          <w:rFonts w:ascii="Arial" w:hAnsi="Arial" w:cs="Arial"/>
          <w:b/>
          <w:i w:val="0"/>
          <w:color w:val="333333"/>
          <w:sz w:val="23"/>
        </w:rPr>
        <w:t>22.25.1 Complete Coverage Table</w:t>
      </w:r>
    </w:p>
    <w:p>
      <w:pPr>
        <w:spacing w:after="80" w:line="293" w:lineRule="auto"/>
        <w:jc w:val="left"/>
      </w:pPr>
      <w:r>
        <w:rPr>
          <w:rFonts w:ascii="Times New Roman" w:hAnsi="Times New Roman" w:cs="Times New Roman"/>
          <w:b w:val="0"/>
          <w:i w:val="0"/>
          <w:sz w:val="22"/>
        </w:rPr>
        <w:t>All add-ons (1–28) with priority and status are catalogued in the complete add-on catalogue in Section 22.1.2: built-in Add-Ons 1–7 (Complete), P0–P3 specified Add-Ons 8–26, reserved Add-On 27, and the foundation GRiRE engine (Add-On 28). The status vocabulary reconciliation between this catalogue and the deployment-state matrix below is specified in Section 22.25.4.</w:t>
      </w:r>
    </w:p>
    <w:p>
      <w:pPr>
        <w:keepNext/>
        <w:spacing w:before="180" w:after="80"/>
        <w:outlineLvl w:val="2"/>
      </w:pPr>
      <w:r>
        <w:rPr>
          <w:rFonts w:ascii="Arial" w:hAnsi="Arial" w:cs="Arial"/>
          <w:b/>
          <w:i w:val="0"/>
          <w:color w:val="333333"/>
          <w:sz w:val="23"/>
        </w:rPr>
        <w:t>22.25.2 Authoritative Status Matrix</w:t>
      </w:r>
    </w:p>
    <w:p>
      <w:pPr>
        <w:spacing w:after="80" w:line="293" w:lineRule="auto"/>
        <w:jc w:val="left"/>
      </w:pPr>
      <w:r>
        <w:rPr>
          <w:rFonts w:ascii="Times New Roman" w:hAnsi="Times New Roman" w:cs="Times New Roman"/>
          <w:b w:val="0"/>
          <w:i w:val="0"/>
          <w:sz w:val="22"/>
        </w:rPr>
        <w:t>The authoritative status matrix for all 28 add-ons, expressed in deployment-state vocabulary. Status vocabulary: CORE_READY (implemented, tested, passes the adversarial test suite), PRODUCTION_CONNECTED (live production integration active with all four readiness dimensions), and LEGAL_AUTHORIZATION_REQUIRED (technical ready, awaiting legal/regulatory approval). The four readiness dimensions are TECHNICAL, LEGAL, OPERATIONAL, and COMMERCIAL; an integration counts as "Connected" only when all four dimensions are satisfied.</w:t>
      </w:r>
    </w:p>
    <w:tbl>
      <w:tblPr>
        <w:tblStyle w:val="TableGrid"/>
        <w:tblW w:type="auto" w:w="0"/>
        <w:jc w:val="left"/>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D9E2F3"/>
          </w:tcPr>
          <w:p>
            <w:pPr>
              <w:spacing w:after="20" w:before="20" w:line="240" w:lineRule="auto"/>
            </w:pPr>
            <w:r/>
            <w:r>
              <w:rPr>
                <w:rFonts w:ascii="Arial" w:hAnsi="Arial" w:cs="Arial"/>
                <w:b/>
                <w:i w:val="0"/>
                <w:sz w:val="18"/>
              </w:rPr>
              <w:t>#</w:t>
            </w:r>
          </w:p>
        </w:tc>
        <w:tc>
          <w:tcPr>
            <w:tcW w:type="dxa" w:w="964"/>
            <w:shd w:val="clear" w:fill="D9E2F3"/>
          </w:tcPr>
          <w:p>
            <w:pPr>
              <w:spacing w:after="20" w:before="20" w:line="240" w:lineRule="auto"/>
            </w:pPr>
            <w:r/>
            <w:r>
              <w:rPr>
                <w:rFonts w:ascii="Arial" w:hAnsi="Arial" w:cs="Arial"/>
                <w:b/>
                <w:i w:val="0"/>
                <w:sz w:val="18"/>
              </w:rPr>
              <w:t>Name</w:t>
            </w:r>
          </w:p>
        </w:tc>
        <w:tc>
          <w:tcPr>
            <w:tcW w:type="dxa" w:w="964"/>
            <w:shd w:val="clear" w:fill="D9E2F3"/>
          </w:tcPr>
          <w:p>
            <w:pPr>
              <w:spacing w:after="20" w:before="20" w:line="240" w:lineRule="auto"/>
            </w:pPr>
            <w:r/>
            <w:r>
              <w:rPr>
                <w:rFonts w:ascii="Arial" w:hAnsi="Arial" w:cs="Arial"/>
                <w:b/>
                <w:i w:val="0"/>
                <w:sz w:val="18"/>
              </w:rPr>
              <w:t>Priority</w:t>
            </w:r>
          </w:p>
        </w:tc>
        <w:tc>
          <w:tcPr>
            <w:tcW w:type="dxa" w:w="964"/>
            <w:shd w:val="clear" w:fill="D9E2F3"/>
          </w:tcPr>
          <w:p>
            <w:pPr>
              <w:spacing w:after="20" w:before="20" w:line="240" w:lineRule="auto"/>
            </w:pPr>
            <w:r/>
            <w:r>
              <w:rPr>
                <w:rFonts w:ascii="Arial" w:hAnsi="Arial" w:cs="Arial"/>
                <w:b/>
                <w:i w:val="0"/>
                <w:sz w:val="18"/>
              </w:rPr>
              <w:t>Core Ready</w:t>
            </w:r>
          </w:p>
        </w:tc>
        <w:tc>
          <w:tcPr>
            <w:tcW w:type="dxa" w:w="964"/>
            <w:shd w:val="clear" w:fill="D9E2F3"/>
          </w:tcPr>
          <w:p>
            <w:pPr>
              <w:spacing w:after="20" w:before="20" w:line="240" w:lineRule="auto"/>
            </w:pPr>
            <w:r/>
            <w:r>
              <w:rPr>
                <w:rFonts w:ascii="Arial" w:hAnsi="Arial" w:cs="Arial"/>
                <w:b/>
                <w:i w:val="0"/>
                <w:sz w:val="18"/>
              </w:rPr>
              <w:t>Production Connected</w:t>
            </w:r>
          </w:p>
        </w:tc>
        <w:tc>
          <w:tcPr>
            <w:tcW w:type="dxa" w:w="964"/>
            <w:shd w:val="clear" w:fill="D9E2F3"/>
          </w:tcPr>
          <w:p>
            <w:pPr>
              <w:spacing w:after="20" w:before="20" w:line="240" w:lineRule="auto"/>
            </w:pPr>
            <w:r/>
            <w:r>
              <w:rPr>
                <w:rFonts w:ascii="Arial" w:hAnsi="Arial" w:cs="Arial"/>
                <w:b/>
                <w:i w:val="0"/>
                <w:sz w:val="18"/>
              </w:rPr>
              <w:t>Legal Authorization Required</w:t>
            </w:r>
          </w:p>
        </w:tc>
        <w:tc>
          <w:tcPr>
            <w:tcW w:type="dxa" w:w="964"/>
            <w:shd w:val="clear" w:fill="D9E2F3"/>
          </w:tcPr>
          <w:p>
            <w:pPr>
              <w:spacing w:after="20" w:before="20" w:line="240" w:lineRule="auto"/>
            </w:pPr>
            <w:r/>
            <w:r>
              <w:rPr>
                <w:rFonts w:ascii="Arial" w:hAnsi="Arial" w:cs="Arial"/>
                <w:b/>
                <w:i w:val="0"/>
                <w:sz w:val="18"/>
              </w:rPr>
              <w:t>Technical</w:t>
            </w:r>
          </w:p>
        </w:tc>
        <w:tc>
          <w:tcPr>
            <w:tcW w:type="dxa" w:w="964"/>
            <w:shd w:val="clear" w:fill="D9E2F3"/>
          </w:tcPr>
          <w:p>
            <w:pPr>
              <w:spacing w:after="20" w:before="20" w:line="240" w:lineRule="auto"/>
            </w:pPr>
            <w:r/>
            <w:r>
              <w:rPr>
                <w:rFonts w:ascii="Arial" w:hAnsi="Arial" w:cs="Arial"/>
                <w:b/>
                <w:i w:val="0"/>
                <w:sz w:val="18"/>
              </w:rPr>
              <w:t>Legal</w:t>
            </w:r>
          </w:p>
        </w:tc>
        <w:tc>
          <w:tcPr>
            <w:tcW w:type="dxa" w:w="964"/>
            <w:shd w:val="clear" w:fill="D9E2F3"/>
          </w:tcPr>
          <w:p>
            <w:pPr>
              <w:spacing w:after="20" w:before="20" w:line="240" w:lineRule="auto"/>
            </w:pPr>
            <w:r/>
            <w:r>
              <w:rPr>
                <w:rFonts w:ascii="Arial" w:hAnsi="Arial" w:cs="Arial"/>
                <w:b/>
                <w:i w:val="0"/>
                <w:sz w:val="18"/>
              </w:rPr>
              <w:t>Operational</w:t>
            </w:r>
          </w:p>
        </w:tc>
        <w:tc>
          <w:tcPr>
            <w:tcW w:type="dxa" w:w="964"/>
            <w:shd w:val="clear" w:fill="D9E2F3"/>
          </w:tcPr>
          <w:p>
            <w:pPr>
              <w:spacing w:after="20" w:before="20" w:line="240" w:lineRule="auto"/>
            </w:pPr>
            <w:r/>
            <w:r>
              <w:rPr>
                <w:rFonts w:ascii="Arial" w:hAnsi="Arial" w:cs="Arial"/>
                <w:b/>
                <w:i w:val="0"/>
                <w:sz w:val="18"/>
              </w:rPr>
              <w:t>Commercial</w:t>
            </w:r>
          </w:p>
        </w:tc>
      </w:tr>
      <w:tr>
        <w:tc>
          <w:tcPr>
            <w:tcW w:type="dxa" w:w="964"/>
          </w:tcPr>
          <w:p>
            <w:pPr>
              <w:spacing w:after="20" w:before="20" w:line="240" w:lineRule="auto"/>
            </w:pPr>
            <w:r/>
            <w:r>
              <w:rPr>
                <w:rFonts w:ascii="Arial" w:hAnsi="Arial" w:cs="Arial"/>
                <w:b w:val="0"/>
                <w:i w:val="0"/>
                <w:sz w:val="17"/>
              </w:rPr>
              <w:t>1</w:t>
            </w:r>
          </w:p>
        </w:tc>
        <w:tc>
          <w:tcPr>
            <w:tcW w:type="dxa" w:w="964"/>
          </w:tcPr>
          <w:p>
            <w:pPr>
              <w:spacing w:after="20" w:before="20" w:line="240" w:lineRule="auto"/>
            </w:pPr>
            <w:r/>
            <w:r>
              <w:rPr>
                <w:rFonts w:ascii="Arial" w:hAnsi="Arial" w:cs="Arial"/>
                <w:b w:val="0"/>
                <w:i w:val="0"/>
                <w:sz w:val="17"/>
              </w:rPr>
              <w:t>GNN Risk Engine</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w:t>
            </w:r>
          </w:p>
        </w:tc>
        <w:tc>
          <w:tcPr>
            <w:tcW w:type="dxa" w:w="964"/>
          </w:tcPr>
          <w:p>
            <w:pPr>
              <w:spacing w:after="20" w:before="20" w:line="240" w:lineRule="auto"/>
            </w:pPr>
            <w:r/>
            <w:r>
              <w:rPr>
                <w:rFonts w:ascii="Arial" w:hAnsi="Arial" w:cs="Arial"/>
                <w:b w:val="0"/>
                <w:i w:val="0"/>
                <w:sz w:val="17"/>
              </w:rPr>
              <w:t>Federated Learning</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3</w:t>
            </w:r>
          </w:p>
        </w:tc>
        <w:tc>
          <w:tcPr>
            <w:tcW w:type="dxa" w:w="964"/>
          </w:tcPr>
          <w:p>
            <w:pPr>
              <w:spacing w:after="20" w:before="20" w:line="240" w:lineRule="auto"/>
            </w:pPr>
            <w:r/>
            <w:r>
              <w:rPr>
                <w:rFonts w:ascii="Arial" w:hAnsi="Arial" w:cs="Arial"/>
                <w:b w:val="0"/>
                <w:i w:val="0"/>
                <w:sz w:val="17"/>
              </w:rPr>
              <w:t>Causal Inference</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4</w:t>
            </w:r>
          </w:p>
        </w:tc>
        <w:tc>
          <w:tcPr>
            <w:tcW w:type="dxa" w:w="964"/>
          </w:tcPr>
          <w:p>
            <w:pPr>
              <w:spacing w:after="20" w:before="20" w:line="240" w:lineRule="auto"/>
            </w:pPr>
            <w:r/>
            <w:r>
              <w:rPr>
                <w:rFonts w:ascii="Arial" w:hAnsi="Arial" w:cs="Arial"/>
                <w:b w:val="0"/>
                <w:i w:val="0"/>
                <w:sz w:val="17"/>
              </w:rPr>
              <w:t>Self-Healing</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5</w:t>
            </w:r>
          </w:p>
        </w:tc>
        <w:tc>
          <w:tcPr>
            <w:tcW w:type="dxa" w:w="964"/>
          </w:tcPr>
          <w:p>
            <w:pPr>
              <w:spacing w:after="20" w:before="20" w:line="240" w:lineRule="auto"/>
            </w:pPr>
            <w:r/>
            <w:r>
              <w:rPr>
                <w:rFonts w:ascii="Arial" w:hAnsi="Arial" w:cs="Arial"/>
                <w:b w:val="0"/>
                <w:i w:val="0"/>
                <w:sz w:val="17"/>
              </w:rPr>
              <w:t>Automated Pentest</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6</w:t>
            </w:r>
          </w:p>
        </w:tc>
        <w:tc>
          <w:tcPr>
            <w:tcW w:type="dxa" w:w="964"/>
          </w:tcPr>
          <w:p>
            <w:pPr>
              <w:spacing w:after="20" w:before="20" w:line="240" w:lineRule="auto"/>
            </w:pPr>
            <w:r/>
            <w:r>
              <w:rPr>
                <w:rFonts w:ascii="Arial" w:hAnsi="Arial" w:cs="Arial"/>
                <w:b w:val="0"/>
                <w:i w:val="0"/>
                <w:sz w:val="17"/>
              </w:rPr>
              <w:t>Post-Quantum Crypto</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7</w:t>
            </w:r>
          </w:p>
        </w:tc>
        <w:tc>
          <w:tcPr>
            <w:tcW w:type="dxa" w:w="964"/>
          </w:tcPr>
          <w:p>
            <w:pPr>
              <w:spacing w:after="20" w:before="20" w:line="240" w:lineRule="auto"/>
            </w:pPr>
            <w:r/>
            <w:r>
              <w:rPr>
                <w:rFonts w:ascii="Arial" w:hAnsi="Arial" w:cs="Arial"/>
                <w:b w:val="0"/>
                <w:i w:val="0"/>
                <w:sz w:val="17"/>
              </w:rPr>
              <w:t>ZK Proofs</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8</w:t>
            </w:r>
          </w:p>
        </w:tc>
        <w:tc>
          <w:tcPr>
            <w:tcW w:type="dxa" w:w="964"/>
          </w:tcPr>
          <w:p>
            <w:pPr>
              <w:spacing w:after="20" w:before="20" w:line="240" w:lineRule="auto"/>
            </w:pPr>
            <w:r/>
            <w:r>
              <w:rPr>
                <w:rFonts w:ascii="Arial" w:hAnsi="Arial" w:cs="Arial"/>
                <w:b w:val="0"/>
                <w:i w:val="0"/>
                <w:sz w:val="17"/>
              </w:rPr>
              <w:t>Customs Bond</w:t>
            </w:r>
          </w:p>
        </w:tc>
        <w:tc>
          <w:tcPr>
            <w:tcW w:type="dxa" w:w="964"/>
          </w:tcPr>
          <w:p>
            <w:pPr>
              <w:spacing w:after="20" w:before="20" w:line="240" w:lineRule="auto"/>
            </w:pPr>
            <w:r/>
            <w:r>
              <w:rPr>
                <w:rFonts w:ascii="Arial" w:hAnsi="Arial" w:cs="Arial"/>
                <w:b w:val="0"/>
                <w:i w:val="0"/>
                <w:sz w:val="17"/>
              </w:rPr>
              <w:t>P0</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9</w:t>
            </w:r>
          </w:p>
        </w:tc>
        <w:tc>
          <w:tcPr>
            <w:tcW w:type="dxa" w:w="964"/>
          </w:tcPr>
          <w:p>
            <w:pPr>
              <w:spacing w:after="20" w:before="20" w:line="240" w:lineRule="auto"/>
            </w:pPr>
            <w:r/>
            <w:r>
              <w:rPr>
                <w:rFonts w:ascii="Arial" w:hAnsi="Arial" w:cs="Arial"/>
                <w:b w:val="0"/>
                <w:i w:val="0"/>
                <w:sz w:val="17"/>
              </w:rPr>
              <w:t>Demurrage &amp; Detention</w:t>
            </w:r>
          </w:p>
        </w:tc>
        <w:tc>
          <w:tcPr>
            <w:tcW w:type="dxa" w:w="964"/>
          </w:tcPr>
          <w:p>
            <w:pPr>
              <w:spacing w:after="20" w:before="20" w:line="240" w:lineRule="auto"/>
            </w:pPr>
            <w:r/>
            <w:r>
              <w:rPr>
                <w:rFonts w:ascii="Arial" w:hAnsi="Arial" w:cs="Arial"/>
                <w:b w:val="0"/>
                <w:i w:val="0"/>
                <w:sz w:val="17"/>
              </w:rPr>
              <w:t>P0</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10</w:t>
            </w:r>
          </w:p>
        </w:tc>
        <w:tc>
          <w:tcPr>
            <w:tcW w:type="dxa" w:w="964"/>
          </w:tcPr>
          <w:p>
            <w:pPr>
              <w:spacing w:after="20" w:before="20" w:line="240" w:lineRule="auto"/>
            </w:pPr>
            <w:r/>
            <w:r>
              <w:rPr>
                <w:rFonts w:ascii="Arial" w:hAnsi="Arial" w:cs="Arial"/>
                <w:b w:val="0"/>
                <w:i w:val="0"/>
                <w:sz w:val="17"/>
              </w:rPr>
              <w:t>Broker Liability</w:t>
            </w:r>
          </w:p>
        </w:tc>
        <w:tc>
          <w:tcPr>
            <w:tcW w:type="dxa" w:w="964"/>
          </w:tcPr>
          <w:p>
            <w:pPr>
              <w:spacing w:after="20" w:before="20" w:line="240" w:lineRule="auto"/>
            </w:pPr>
            <w:r/>
            <w:r>
              <w:rPr>
                <w:rFonts w:ascii="Arial" w:hAnsi="Arial" w:cs="Arial"/>
                <w:b w:val="0"/>
                <w:i w:val="0"/>
                <w:sz w:val="17"/>
              </w:rPr>
              <w:t>P0</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11</w:t>
            </w:r>
          </w:p>
        </w:tc>
        <w:tc>
          <w:tcPr>
            <w:tcW w:type="dxa" w:w="964"/>
          </w:tcPr>
          <w:p>
            <w:pPr>
              <w:spacing w:after="20" w:before="20" w:line="240" w:lineRule="auto"/>
            </w:pPr>
            <w:r/>
            <w:r>
              <w:rPr>
                <w:rFonts w:ascii="Arial" w:hAnsi="Arial" w:cs="Arial"/>
                <w:b w:val="0"/>
                <w:i w:val="0"/>
                <w:sz w:val="17"/>
              </w:rPr>
              <w:t>Customs Valuation</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12</w:t>
            </w:r>
          </w:p>
        </w:tc>
        <w:tc>
          <w:tcPr>
            <w:tcW w:type="dxa" w:w="964"/>
          </w:tcPr>
          <w:p>
            <w:pPr>
              <w:spacing w:after="20" w:before="20" w:line="240" w:lineRule="auto"/>
            </w:pPr>
            <w:r/>
            <w:r>
              <w:rPr>
                <w:rFonts w:ascii="Arial" w:hAnsi="Arial" w:cs="Arial"/>
                <w:b w:val="0"/>
                <w:i w:val="0"/>
                <w:sz w:val="17"/>
              </w:rPr>
              <w:t>Cold Chain Quality</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13</w:t>
            </w:r>
          </w:p>
        </w:tc>
        <w:tc>
          <w:tcPr>
            <w:tcW w:type="dxa" w:w="964"/>
          </w:tcPr>
          <w:p>
            <w:pPr>
              <w:spacing w:after="20" w:before="20" w:line="240" w:lineRule="auto"/>
            </w:pPr>
            <w:r/>
            <w:r>
              <w:rPr>
                <w:rFonts w:ascii="Arial" w:hAnsi="Arial" w:cs="Arial"/>
                <w:b w:val="0"/>
                <w:i w:val="0"/>
                <w:sz w:val="17"/>
              </w:rPr>
              <w:t>Inspection Accreditation</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14</w:t>
            </w:r>
          </w:p>
        </w:tc>
        <w:tc>
          <w:tcPr>
            <w:tcW w:type="dxa" w:w="964"/>
          </w:tcPr>
          <w:p>
            <w:pPr>
              <w:spacing w:after="20" w:before="20" w:line="240" w:lineRule="auto"/>
            </w:pPr>
            <w:r/>
            <w:r>
              <w:rPr>
                <w:rFonts w:ascii="Arial" w:hAnsi="Arial" w:cs="Arial"/>
                <w:b w:val="0"/>
                <w:i w:val="0"/>
                <w:sz w:val="17"/>
              </w:rPr>
              <w:t>Currency Risk</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15</w:t>
            </w:r>
          </w:p>
        </w:tc>
        <w:tc>
          <w:tcPr>
            <w:tcW w:type="dxa" w:w="964"/>
          </w:tcPr>
          <w:p>
            <w:pPr>
              <w:spacing w:after="20" w:before="20" w:line="240" w:lineRule="auto"/>
            </w:pPr>
            <w:r/>
            <w:r>
              <w:rPr>
                <w:rFonts w:ascii="Arial" w:hAnsi="Arial" w:cs="Arial"/>
                <w:b w:val="0"/>
                <w:i w:val="0"/>
                <w:sz w:val="17"/>
              </w:rPr>
              <w:t>Government API Sandbox</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16</w:t>
            </w:r>
          </w:p>
        </w:tc>
        <w:tc>
          <w:tcPr>
            <w:tcW w:type="dxa" w:w="964"/>
          </w:tcPr>
          <w:p>
            <w:pPr>
              <w:spacing w:after="20" w:before="20" w:line="240" w:lineRule="auto"/>
            </w:pPr>
            <w:r/>
            <w:r>
              <w:rPr>
                <w:rFonts w:ascii="Arial" w:hAnsi="Arial" w:cs="Arial"/>
                <w:b w:val="0"/>
                <w:i w:val="0"/>
                <w:sz w:val="17"/>
              </w:rPr>
              <w:t>FTA Preference</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17</w:t>
            </w:r>
          </w:p>
        </w:tc>
        <w:tc>
          <w:tcPr>
            <w:tcW w:type="dxa" w:w="964"/>
          </w:tcPr>
          <w:p>
            <w:pPr>
              <w:spacing w:after="20" w:before="20" w:line="240" w:lineRule="auto"/>
            </w:pPr>
            <w:r/>
            <w:r>
              <w:rPr>
                <w:rFonts w:ascii="Arial" w:hAnsi="Arial" w:cs="Arial"/>
                <w:b w:val="0"/>
                <w:i w:val="0"/>
                <w:sz w:val="17"/>
              </w:rPr>
              <w:t>Piracy &amp; Security</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18</w:t>
            </w:r>
          </w:p>
        </w:tc>
        <w:tc>
          <w:tcPr>
            <w:tcW w:type="dxa" w:w="964"/>
          </w:tcPr>
          <w:p>
            <w:pPr>
              <w:spacing w:after="20" w:before="20" w:line="240" w:lineRule="auto"/>
            </w:pPr>
            <w:r/>
            <w:r>
              <w:rPr>
                <w:rFonts w:ascii="Arial" w:hAnsi="Arial" w:cs="Arial"/>
                <w:b w:val="0"/>
                <w:i w:val="0"/>
                <w:sz w:val="17"/>
              </w:rPr>
              <w:t>Compliance Calendar</w:t>
            </w:r>
          </w:p>
        </w:tc>
        <w:tc>
          <w:tcPr>
            <w:tcW w:type="dxa" w:w="964"/>
          </w:tcPr>
          <w:p>
            <w:pPr>
              <w:spacing w:after="20" w:before="20" w:line="240" w:lineRule="auto"/>
            </w:pPr>
            <w:r/>
            <w:r>
              <w:rPr>
                <w:rFonts w:ascii="Arial" w:hAnsi="Arial" w:cs="Arial"/>
                <w:b w:val="0"/>
                <w:i w:val="0"/>
                <w:sz w:val="17"/>
              </w:rPr>
              <w:t>P1</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19</w:t>
            </w:r>
          </w:p>
        </w:tc>
        <w:tc>
          <w:tcPr>
            <w:tcW w:type="dxa" w:w="964"/>
          </w:tcPr>
          <w:p>
            <w:pPr>
              <w:spacing w:after="20" w:before="20" w:line="240" w:lineRule="auto"/>
            </w:pPr>
            <w:r/>
            <w:r>
              <w:rPr>
                <w:rFonts w:ascii="Arial" w:hAnsi="Arial" w:cs="Arial"/>
                <w:b w:val="0"/>
                <w:i w:val="0"/>
                <w:sz w:val="17"/>
              </w:rPr>
              <w:t>Cargo Insurance</w:t>
            </w:r>
          </w:p>
        </w:tc>
        <w:tc>
          <w:tcPr>
            <w:tcW w:type="dxa" w:w="964"/>
          </w:tcPr>
          <w:p>
            <w:pPr>
              <w:spacing w:after="20" w:before="20" w:line="240" w:lineRule="auto"/>
            </w:pPr>
            <w:r/>
            <w:r>
              <w:rPr>
                <w:rFonts w:ascii="Arial" w:hAnsi="Arial" w:cs="Arial"/>
                <w:b w:val="0"/>
                <w:i w:val="0"/>
                <w:sz w:val="17"/>
              </w:rPr>
              <w:t>P2</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20</w:t>
            </w:r>
          </w:p>
        </w:tc>
        <w:tc>
          <w:tcPr>
            <w:tcW w:type="dxa" w:w="964"/>
          </w:tcPr>
          <w:p>
            <w:pPr>
              <w:spacing w:after="20" w:before="20" w:line="240" w:lineRule="auto"/>
            </w:pPr>
            <w:r/>
            <w:r>
              <w:rPr>
                <w:rFonts w:ascii="Arial" w:hAnsi="Arial" w:cs="Arial"/>
                <w:b w:val="0"/>
                <w:i w:val="0"/>
                <w:sz w:val="17"/>
              </w:rPr>
              <w:t>Trade Finance Docs</w:t>
            </w:r>
          </w:p>
        </w:tc>
        <w:tc>
          <w:tcPr>
            <w:tcW w:type="dxa" w:w="964"/>
          </w:tcPr>
          <w:p>
            <w:pPr>
              <w:spacing w:after="20" w:before="20" w:line="240" w:lineRule="auto"/>
            </w:pPr>
            <w:r/>
            <w:r>
              <w:rPr>
                <w:rFonts w:ascii="Arial" w:hAnsi="Arial" w:cs="Arial"/>
                <w:b w:val="0"/>
                <w:i w:val="0"/>
                <w:sz w:val="17"/>
              </w:rPr>
              <w:t>P2</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21</w:t>
            </w:r>
          </w:p>
        </w:tc>
        <w:tc>
          <w:tcPr>
            <w:tcW w:type="dxa" w:w="964"/>
          </w:tcPr>
          <w:p>
            <w:pPr>
              <w:spacing w:after="20" w:before="20" w:line="240" w:lineRule="auto"/>
            </w:pPr>
            <w:r/>
            <w:r>
              <w:rPr>
                <w:rFonts w:ascii="Arial" w:hAnsi="Arial" w:cs="Arial"/>
                <w:b w:val="0"/>
                <w:i w:val="0"/>
                <w:sz w:val="17"/>
              </w:rPr>
              <w:t>Back-to-Back LC</w:t>
            </w:r>
          </w:p>
        </w:tc>
        <w:tc>
          <w:tcPr>
            <w:tcW w:type="dxa" w:w="964"/>
          </w:tcPr>
          <w:p>
            <w:pPr>
              <w:spacing w:after="20" w:before="20" w:line="240" w:lineRule="auto"/>
            </w:pPr>
            <w:r/>
            <w:r>
              <w:rPr>
                <w:rFonts w:ascii="Arial" w:hAnsi="Arial" w:cs="Arial"/>
                <w:b w:val="0"/>
                <w:i w:val="0"/>
                <w:sz w:val="17"/>
              </w:rPr>
              <w:t>P2</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22</w:t>
            </w:r>
          </w:p>
        </w:tc>
        <w:tc>
          <w:tcPr>
            <w:tcW w:type="dxa" w:w="964"/>
          </w:tcPr>
          <w:p>
            <w:pPr>
              <w:spacing w:after="20" w:before="20" w:line="240" w:lineRule="auto"/>
            </w:pPr>
            <w:r/>
            <w:r>
              <w:rPr>
                <w:rFonts w:ascii="Arial" w:hAnsi="Arial" w:cs="Arial"/>
                <w:b w:val="0"/>
                <w:i w:val="0"/>
                <w:sz w:val="17"/>
              </w:rPr>
              <w:t>Force Majeure</w:t>
            </w:r>
          </w:p>
        </w:tc>
        <w:tc>
          <w:tcPr>
            <w:tcW w:type="dxa" w:w="964"/>
          </w:tcPr>
          <w:p>
            <w:pPr>
              <w:spacing w:after="20" w:before="20" w:line="240" w:lineRule="auto"/>
            </w:pPr>
            <w:r/>
            <w:r>
              <w:rPr>
                <w:rFonts w:ascii="Arial" w:hAnsi="Arial" w:cs="Arial"/>
                <w:b w:val="0"/>
                <w:i w:val="0"/>
                <w:sz w:val="17"/>
              </w:rPr>
              <w:t>P2</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23</w:t>
            </w:r>
          </w:p>
        </w:tc>
        <w:tc>
          <w:tcPr>
            <w:tcW w:type="dxa" w:w="964"/>
          </w:tcPr>
          <w:p>
            <w:pPr>
              <w:spacing w:after="20" w:before="20" w:line="240" w:lineRule="auto"/>
            </w:pPr>
            <w:r/>
            <w:r>
              <w:rPr>
                <w:rFonts w:ascii="Arial" w:hAnsi="Arial" w:cs="Arial"/>
                <w:b w:val="0"/>
                <w:i w:val="0"/>
                <w:sz w:val="17"/>
              </w:rPr>
              <w:t>Shipper's Declaration</w:t>
            </w:r>
          </w:p>
        </w:tc>
        <w:tc>
          <w:tcPr>
            <w:tcW w:type="dxa" w:w="964"/>
          </w:tcPr>
          <w:p>
            <w:pPr>
              <w:spacing w:after="20" w:before="20" w:line="240" w:lineRule="auto"/>
            </w:pPr>
            <w:r/>
            <w:r>
              <w:rPr>
                <w:rFonts w:ascii="Arial" w:hAnsi="Arial" w:cs="Arial"/>
                <w:b w:val="0"/>
                <w:i w:val="0"/>
                <w:sz w:val="17"/>
              </w:rPr>
              <w:t>P2</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24</w:t>
            </w:r>
          </w:p>
        </w:tc>
        <w:tc>
          <w:tcPr>
            <w:tcW w:type="dxa" w:w="964"/>
          </w:tcPr>
          <w:p>
            <w:pPr>
              <w:spacing w:after="20" w:before="20" w:line="240" w:lineRule="auto"/>
            </w:pPr>
            <w:r/>
            <w:r>
              <w:rPr>
                <w:rFonts w:ascii="Arial" w:hAnsi="Arial" w:cs="Arial"/>
                <w:b w:val="0"/>
                <w:i w:val="0"/>
                <w:sz w:val="17"/>
              </w:rPr>
              <w:t>Port &amp; Terminal</w:t>
            </w:r>
          </w:p>
        </w:tc>
        <w:tc>
          <w:tcPr>
            <w:tcW w:type="dxa" w:w="964"/>
          </w:tcPr>
          <w:p>
            <w:pPr>
              <w:spacing w:after="20" w:before="20" w:line="240" w:lineRule="auto"/>
            </w:pPr>
            <w:r/>
            <w:r>
              <w:rPr>
                <w:rFonts w:ascii="Arial" w:hAnsi="Arial" w:cs="Arial"/>
                <w:b w:val="0"/>
                <w:i w:val="0"/>
                <w:sz w:val="17"/>
              </w:rPr>
              <w:t>P2</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25</w:t>
            </w:r>
          </w:p>
        </w:tc>
        <w:tc>
          <w:tcPr>
            <w:tcW w:type="dxa" w:w="964"/>
          </w:tcPr>
          <w:p>
            <w:pPr>
              <w:spacing w:after="20" w:before="20" w:line="240" w:lineRule="auto"/>
            </w:pPr>
            <w:r/>
            <w:r>
              <w:rPr>
                <w:rFonts w:ascii="Arial" w:hAnsi="Arial" w:cs="Arial"/>
                <w:b w:val="0"/>
                <w:i w:val="0"/>
                <w:sz w:val="17"/>
              </w:rPr>
              <w:t>Payment Guarantee</w:t>
            </w:r>
          </w:p>
        </w:tc>
        <w:tc>
          <w:tcPr>
            <w:tcW w:type="dxa" w:w="964"/>
          </w:tcPr>
          <w:p>
            <w:pPr>
              <w:spacing w:after="20" w:before="20" w:line="240" w:lineRule="auto"/>
            </w:pPr>
            <w:r/>
            <w:r>
              <w:rPr>
                <w:rFonts w:ascii="Arial" w:hAnsi="Arial" w:cs="Arial"/>
                <w:b w:val="0"/>
                <w:i w:val="0"/>
                <w:sz w:val="17"/>
              </w:rPr>
              <w:t>P3</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26</w:t>
            </w:r>
          </w:p>
        </w:tc>
        <w:tc>
          <w:tcPr>
            <w:tcW w:type="dxa" w:w="964"/>
          </w:tcPr>
          <w:p>
            <w:pPr>
              <w:spacing w:after="20" w:before="20" w:line="240" w:lineRule="auto"/>
            </w:pPr>
            <w:r/>
            <w:r>
              <w:rPr>
                <w:rFonts w:ascii="Arial" w:hAnsi="Arial" w:cs="Arial"/>
                <w:b w:val="0"/>
                <w:i w:val="0"/>
                <w:sz w:val="17"/>
              </w:rPr>
              <w:t>Demurrage Dispute</w:t>
            </w:r>
          </w:p>
        </w:tc>
        <w:tc>
          <w:tcPr>
            <w:tcW w:type="dxa" w:w="964"/>
          </w:tcPr>
          <w:p>
            <w:pPr>
              <w:spacing w:after="20" w:before="20" w:line="240" w:lineRule="auto"/>
            </w:pPr>
            <w:r/>
            <w:r>
              <w:rPr>
                <w:rFonts w:ascii="Arial" w:hAnsi="Arial" w:cs="Arial"/>
                <w:b w:val="0"/>
                <w:i w:val="0"/>
                <w:sz w:val="17"/>
              </w:rPr>
              <w:t>P3</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27</w:t>
            </w:r>
          </w:p>
        </w:tc>
        <w:tc>
          <w:tcPr>
            <w:tcW w:type="dxa" w:w="964"/>
          </w:tcPr>
          <w:p>
            <w:pPr>
              <w:spacing w:after="20" w:before="20" w:line="240" w:lineRule="auto"/>
            </w:pPr>
            <w:r/>
            <w:r>
              <w:rPr>
                <w:rFonts w:ascii="Arial" w:hAnsi="Arial" w:cs="Arial"/>
                <w:b w:val="0"/>
                <w:i w:val="0"/>
                <w:sz w:val="17"/>
              </w:rPr>
              <w:t>(Reserved)</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r>
        <w:tc>
          <w:tcPr>
            <w:tcW w:type="dxa" w:w="964"/>
          </w:tcPr>
          <w:p>
            <w:pPr>
              <w:spacing w:after="20" w:before="20" w:line="240" w:lineRule="auto"/>
            </w:pPr>
            <w:r/>
            <w:r>
              <w:rPr>
                <w:rFonts w:ascii="Arial" w:hAnsi="Arial" w:cs="Arial"/>
                <w:b w:val="0"/>
                <w:i w:val="0"/>
                <w:sz w:val="17"/>
              </w:rPr>
              <w:t>28</w:t>
            </w:r>
          </w:p>
        </w:tc>
        <w:tc>
          <w:tcPr>
            <w:tcW w:type="dxa" w:w="964"/>
          </w:tcPr>
          <w:p>
            <w:pPr>
              <w:spacing w:after="20" w:before="20" w:line="240" w:lineRule="auto"/>
            </w:pPr>
            <w:r/>
            <w:r>
              <w:rPr>
                <w:rFonts w:ascii="Arial" w:hAnsi="Arial" w:cs="Arial"/>
                <w:b w:val="0"/>
                <w:i w:val="0"/>
                <w:sz w:val="17"/>
              </w:rPr>
              <w:t>GRiRE Engine</w:t>
            </w:r>
          </w:p>
        </w:tc>
        <w:tc>
          <w:tcPr>
            <w:tcW w:type="dxa" w:w="964"/>
          </w:tcPr>
          <w:p>
            <w:pPr>
              <w:spacing w:after="20" w:before="20" w:line="240" w:lineRule="auto"/>
            </w:pPr>
            <w:r/>
            <w:r>
              <w:rPr>
                <w:rFonts w:ascii="Arial" w:hAnsi="Arial" w:cs="Arial"/>
                <w:b w:val="0"/>
                <w:i w:val="0"/>
                <w:sz w:val="17"/>
              </w:rPr>
              <w:t>Foundation</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YES</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c>
          <w:tcPr>
            <w:tcW w:type="dxa" w:w="964"/>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22.25.3 Four-Dimension External Readiness Scorecard</w:t>
      </w:r>
    </w:p>
    <w:p>
      <w:pPr>
        <w:spacing w:after="80" w:line="293" w:lineRule="auto"/>
        <w:jc w:val="left"/>
      </w:pPr>
      <w:r>
        <w:rPr>
          <w:rFonts w:ascii="Times New Roman" w:hAnsi="Times New Roman" w:cs="Times New Roman"/>
          <w:b w:val="0"/>
          <w:i w:val="0"/>
          <w:sz w:val="22"/>
        </w:rPr>
        <w:t>Every external integration reports readiness across four independent dimensions; "Connected" requires all four:</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Dimension</w:t>
            </w:r>
          </w:p>
        </w:tc>
        <w:tc>
          <w:tcPr>
            <w:tcW w:type="dxa" w:w="2409"/>
            <w:shd w:val="clear" w:fill="D9E2F3"/>
          </w:tcPr>
          <w:p>
            <w:pPr>
              <w:spacing w:after="20" w:before="20" w:line="240" w:lineRule="auto"/>
            </w:pPr>
            <w:r/>
            <w:r>
              <w:rPr>
                <w:rFonts w:ascii="Arial" w:hAnsi="Arial" w:cs="Arial"/>
                <w:b/>
                <w:i w:val="0"/>
                <w:sz w:val="18"/>
              </w:rPr>
              <w:t>Question</w:t>
            </w:r>
          </w:p>
        </w:tc>
        <w:tc>
          <w:tcPr>
            <w:tcW w:type="dxa" w:w="2409"/>
            <w:shd w:val="clear" w:fill="D9E2F3"/>
          </w:tcPr>
          <w:p>
            <w:pPr>
              <w:spacing w:after="20" w:before="20" w:line="240" w:lineRule="auto"/>
            </w:pPr>
            <w:r/>
            <w:r>
              <w:rPr>
                <w:rFonts w:ascii="Arial" w:hAnsi="Arial" w:cs="Arial"/>
                <w:b/>
                <w:i w:val="0"/>
                <w:sz w:val="18"/>
              </w:rPr>
              <w:t>Evidence Required</w:t>
            </w:r>
          </w:p>
        </w:tc>
        <w:tc>
          <w:tcPr>
            <w:tcW w:type="dxa" w:w="2409"/>
            <w:shd w:val="clear" w:fill="D9E2F3"/>
          </w:tcPr>
          <w:p>
            <w:pPr>
              <w:spacing w:after="20" w:before="20" w:line="240" w:lineRule="auto"/>
            </w:pPr>
            <w:r/>
            <w:r>
              <w:rPr>
                <w:rFonts w:ascii="Arial" w:hAnsi="Arial" w:cs="Arial"/>
                <w:b/>
                <w:i w:val="0"/>
                <w:sz w:val="18"/>
              </w:rPr>
              <w:t>Current Platform Status</w:t>
            </w:r>
          </w:p>
        </w:tc>
      </w:tr>
      <w:tr>
        <w:tc>
          <w:tcPr>
            <w:tcW w:type="dxa" w:w="2409"/>
          </w:tcPr>
          <w:p>
            <w:pPr>
              <w:spacing w:after="20" w:before="20" w:line="240" w:lineRule="auto"/>
            </w:pPr>
            <w:r/>
            <w:r>
              <w:rPr>
                <w:rFonts w:ascii="Arial" w:hAnsi="Arial" w:cs="Arial"/>
                <w:b w:val="0"/>
                <w:i w:val="0"/>
                <w:sz w:val="17"/>
              </w:rPr>
              <w:t>TECHNICAL</w:t>
            </w:r>
          </w:p>
        </w:tc>
        <w:tc>
          <w:tcPr>
            <w:tcW w:type="dxa" w:w="2409"/>
          </w:tcPr>
          <w:p>
            <w:pPr>
              <w:spacing w:after="20" w:before="20" w:line="240" w:lineRule="auto"/>
            </w:pPr>
            <w:r/>
            <w:r>
              <w:rPr>
                <w:rFonts w:ascii="Arial" w:hAnsi="Arial" w:cs="Arial"/>
                <w:b w:val="0"/>
                <w:i w:val="0"/>
                <w:sz w:val="17"/>
              </w:rPr>
              <w:t>Is the API/EDI integration working?</w:t>
            </w:r>
          </w:p>
        </w:tc>
        <w:tc>
          <w:tcPr>
            <w:tcW w:type="dxa" w:w="2409"/>
          </w:tcPr>
          <w:p>
            <w:pPr>
              <w:spacing w:after="20" w:before="20" w:line="240" w:lineRule="auto"/>
            </w:pPr>
            <w:r/>
            <w:r>
              <w:rPr>
                <w:rFonts w:ascii="Arial" w:hAnsi="Arial" w:cs="Arial"/>
                <w:b w:val="0"/>
                <w:i w:val="0"/>
                <w:sz w:val="17"/>
              </w:rPr>
              <w:t>API response logs, successful test transactions</w:t>
            </w:r>
          </w:p>
        </w:tc>
        <w:tc>
          <w:tcPr>
            <w:tcW w:type="dxa" w:w="2409"/>
          </w:tcPr>
          <w:p>
            <w:pPr>
              <w:spacing w:after="20" w:before="20" w:line="240" w:lineRule="auto"/>
            </w:pPr>
            <w:r/>
            <w:r>
              <w:rPr>
                <w:rFonts w:ascii="Arial" w:hAnsi="Arial" w:cs="Arial"/>
                <w:b w:val="0"/>
                <w:i w:val="0"/>
                <w:sz w:val="17"/>
              </w:rPr>
              <w:t>CORE_READY (APIs implemented + tested)</w:t>
            </w:r>
          </w:p>
        </w:tc>
      </w:tr>
      <w:tr>
        <w:tc>
          <w:tcPr>
            <w:tcW w:type="dxa" w:w="2409"/>
          </w:tcPr>
          <w:p>
            <w:pPr>
              <w:spacing w:after="20" w:before="20" w:line="240" w:lineRule="auto"/>
            </w:pPr>
            <w:r/>
            <w:r>
              <w:rPr>
                <w:rFonts w:ascii="Arial" w:hAnsi="Arial" w:cs="Arial"/>
                <w:b w:val="0"/>
                <w:i w:val="0"/>
                <w:sz w:val="17"/>
              </w:rPr>
              <w:t>LEGAL</w:t>
            </w:r>
          </w:p>
        </w:tc>
        <w:tc>
          <w:tcPr>
            <w:tcW w:type="dxa" w:w="2409"/>
          </w:tcPr>
          <w:p>
            <w:pPr>
              <w:spacing w:after="20" w:before="20" w:line="240" w:lineRule="auto"/>
            </w:pPr>
            <w:r/>
            <w:r>
              <w:rPr>
                <w:rFonts w:ascii="Arial" w:hAnsi="Arial" w:cs="Arial"/>
                <w:b w:val="0"/>
                <w:i w:val="0"/>
                <w:sz w:val="17"/>
              </w:rPr>
              <w:t>Are contracts/agreements signed?</w:t>
            </w:r>
          </w:p>
        </w:tc>
        <w:tc>
          <w:tcPr>
            <w:tcW w:type="dxa" w:w="2409"/>
          </w:tcPr>
          <w:p>
            <w:pPr>
              <w:spacing w:after="20" w:before="20" w:line="240" w:lineRule="auto"/>
            </w:pPr>
            <w:r/>
            <w:r>
              <w:rPr>
                <w:rFonts w:ascii="Arial" w:hAnsi="Arial" w:cs="Arial"/>
                <w:b w:val="0"/>
                <w:i w:val="0"/>
                <w:sz w:val="17"/>
              </w:rPr>
              <w:t>Signed legal agreement, data processing agreement, NDA</w:t>
            </w:r>
          </w:p>
        </w:tc>
        <w:tc>
          <w:tcPr>
            <w:tcW w:type="dxa" w:w="2409"/>
          </w:tcPr>
          <w:p>
            <w:pPr>
              <w:spacing w:after="20" w:before="20" w:line="240" w:lineRule="auto"/>
            </w:pPr>
            <w:r/>
            <w:r>
              <w:rPr>
                <w:rFonts w:ascii="Arial" w:hAnsi="Arial" w:cs="Arial"/>
                <w:b w:val="0"/>
                <w:i w:val="0"/>
                <w:sz w:val="17"/>
              </w:rPr>
              <w:t>LEGAL_AUTHORIZATION_REQUIRED (contracts pending)</w:t>
            </w:r>
          </w:p>
        </w:tc>
      </w:tr>
      <w:tr>
        <w:tc>
          <w:tcPr>
            <w:tcW w:type="dxa" w:w="2409"/>
          </w:tcPr>
          <w:p>
            <w:pPr>
              <w:spacing w:after="20" w:before="20" w:line="240" w:lineRule="auto"/>
            </w:pPr>
            <w:r/>
            <w:r>
              <w:rPr>
                <w:rFonts w:ascii="Arial" w:hAnsi="Arial" w:cs="Arial"/>
                <w:b w:val="0"/>
                <w:i w:val="0"/>
                <w:sz w:val="17"/>
              </w:rPr>
              <w:t>OPERATIONAL</w:t>
            </w:r>
          </w:p>
        </w:tc>
        <w:tc>
          <w:tcPr>
            <w:tcW w:type="dxa" w:w="2409"/>
          </w:tcPr>
          <w:p>
            <w:pPr>
              <w:spacing w:after="20" w:before="20" w:line="240" w:lineRule="auto"/>
            </w:pPr>
            <w:r/>
            <w:r>
              <w:rPr>
                <w:rFonts w:ascii="Arial" w:hAnsi="Arial" w:cs="Arial"/>
                <w:b w:val="0"/>
                <w:i w:val="0"/>
                <w:sz w:val="17"/>
              </w:rPr>
              <w:t>Are procedures tested and documented?</w:t>
            </w:r>
          </w:p>
        </w:tc>
        <w:tc>
          <w:tcPr>
            <w:tcW w:type="dxa" w:w="2409"/>
          </w:tcPr>
          <w:p>
            <w:pPr>
              <w:spacing w:after="20" w:before="20" w:line="240" w:lineRule="auto"/>
            </w:pPr>
            <w:r/>
            <w:r>
              <w:rPr>
                <w:rFonts w:ascii="Arial" w:hAnsi="Arial" w:cs="Arial"/>
                <w:b w:val="0"/>
                <w:i w:val="0"/>
                <w:sz w:val="17"/>
              </w:rPr>
              <w:t>Runbook, trained operators, tested failure scenarios</w:t>
            </w:r>
          </w:p>
        </w:tc>
        <w:tc>
          <w:tcPr>
            <w:tcW w:type="dxa" w:w="2409"/>
          </w:tcPr>
          <w:p>
            <w:pPr>
              <w:spacing w:after="20" w:before="20" w:line="240" w:lineRule="auto"/>
            </w:pPr>
            <w:r/>
            <w:r>
              <w:rPr>
                <w:rFonts w:ascii="Arial" w:hAnsi="Arial" w:cs="Arial"/>
                <w:b w:val="0"/>
                <w:i w:val="0"/>
                <w:sz w:val="17"/>
              </w:rPr>
              <w:t>CORE_READY (runbooks + test suite)</w:t>
            </w:r>
          </w:p>
        </w:tc>
      </w:tr>
      <w:tr>
        <w:tc>
          <w:tcPr>
            <w:tcW w:type="dxa" w:w="2409"/>
          </w:tcPr>
          <w:p>
            <w:pPr>
              <w:spacing w:after="20" w:before="20" w:line="240" w:lineRule="auto"/>
            </w:pPr>
            <w:r/>
            <w:r>
              <w:rPr>
                <w:rFonts w:ascii="Arial" w:hAnsi="Arial" w:cs="Arial"/>
                <w:b w:val="0"/>
                <w:i w:val="0"/>
                <w:sz w:val="17"/>
              </w:rPr>
              <w:t>COMMERCIAL</w:t>
            </w:r>
          </w:p>
        </w:tc>
        <w:tc>
          <w:tcPr>
            <w:tcW w:type="dxa" w:w="2409"/>
          </w:tcPr>
          <w:p>
            <w:pPr>
              <w:spacing w:after="20" w:before="20" w:line="240" w:lineRule="auto"/>
            </w:pPr>
            <w:r/>
            <w:r>
              <w:rPr>
                <w:rFonts w:ascii="Arial" w:hAnsi="Arial" w:cs="Arial"/>
                <w:b w:val="0"/>
                <w:i w:val="0"/>
                <w:sz w:val="17"/>
              </w:rPr>
              <w:t>Are fees and commercial terms agreed?</w:t>
            </w:r>
          </w:p>
        </w:tc>
        <w:tc>
          <w:tcPr>
            <w:tcW w:type="dxa" w:w="2409"/>
          </w:tcPr>
          <w:p>
            <w:pPr>
              <w:spacing w:after="20" w:before="20" w:line="240" w:lineRule="auto"/>
            </w:pPr>
            <w:r/>
            <w:r>
              <w:rPr>
                <w:rFonts w:ascii="Arial" w:hAnsi="Arial" w:cs="Arial"/>
                <w:b w:val="0"/>
                <w:i w:val="0"/>
                <w:sz w:val="17"/>
              </w:rPr>
              <w:t>Signed commercial agreement, fee schedule, SLA</w:t>
            </w:r>
          </w:p>
        </w:tc>
        <w:tc>
          <w:tcPr>
            <w:tcW w:type="dxa" w:w="2409"/>
          </w:tcPr>
          <w:p>
            <w:pPr>
              <w:spacing w:after="20" w:before="20" w:line="240" w:lineRule="auto"/>
            </w:pPr>
            <w:r/>
            <w:r>
              <w:rPr>
                <w:rFonts w:ascii="Arial" w:hAnsi="Arial" w:cs="Arial"/>
                <w:b w:val="0"/>
                <w:i w:val="0"/>
                <w:sz w:val="17"/>
              </w:rPr>
              <w:t>LEGAL_AUTHORIZATION_REQUIRED (commercial terms pending)</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22.25.4 Status Vocabulary Reconciliation</w:t>
      </w:r>
    </w:p>
    <w:p>
      <w:pPr>
        <w:spacing w:after="80" w:line="293" w:lineRule="auto"/>
        <w:jc w:val="left"/>
      </w:pPr>
      <w:r>
        <w:rPr>
          <w:rFonts w:ascii="Times New Roman" w:hAnsi="Times New Roman" w:cs="Times New Roman"/>
          <w:b w:val="0"/>
          <w:i w:val="0"/>
          <w:sz w:val="22"/>
        </w:rPr>
        <w:t>The coverage table and the status matrix use one shared status model: "Complete" in the coverage table denotes the built-in add-ons (1–7), which are implemented, tested, and pass the adversarial test suite — the CORE_READY deployment state. "Specified" denotes add-ons with a complete specification in this section that enter CORE_READY through their implementation checklists. "Optional" denotes Add-On 25, which is activated only at trader choice. "Foundation" priority applies to the built-in add-ons and to the GRiRE engine because the specified add-ons depend on its jurisdiction reference data.</w:t>
      </w:r>
    </w:p>
    <w:p>
      <w:pPr>
        <w:keepNext/>
        <w:spacing w:before="180" w:after="80"/>
        <w:outlineLvl w:val="2"/>
      </w:pPr>
      <w:r>
        <w:rPr>
          <w:rFonts w:ascii="Arial" w:hAnsi="Arial" w:cs="Arial"/>
          <w:b/>
          <w:i w:val="0"/>
          <w:color w:val="333333"/>
          <w:sz w:val="23"/>
        </w:rPr>
        <w:t>22.25.5 Governance Statement</w:t>
      </w:r>
    </w:p>
    <w:p>
      <w:pPr>
        <w:spacing w:after="80" w:line="293" w:lineRule="auto"/>
        <w:jc w:val="left"/>
      </w:pPr>
      <w:r>
        <w:rPr>
          <w:rFonts w:ascii="Times New Roman" w:hAnsi="Times New Roman" w:cs="Times New Roman"/>
          <w:b w:val="0"/>
          <w:i w:val="0"/>
          <w:sz w:val="22"/>
        </w:rPr>
        <w:t>The 28-add-on catalogue is the canonical set of platform extension modules. Add-On 27 remains reserved. Each add-on's activation, AI authority assignment, data model, and integration points are governed by this section, the Governor gates (Section 15), and the Loom audit trail; no add-on may introduce marketplace behaviour, custodial funds handling, or counterparty recommendation, and any future amendment to an add-on specification must preserve the priority, status, and safeguard statements recorded here.</w:t>
      </w:r>
    </w:p>
    <w:p>
      <w:pPr>
        <w:keepNext/>
        <w:spacing w:before="360" w:after="160"/>
        <w:outlineLvl w:val="0"/>
      </w:pPr>
      <w:r>
        <w:rPr>
          <w:rFonts w:ascii="Arial" w:hAnsi="Arial" w:cs="Arial"/>
          <w:b/>
          <w:i w:val="0"/>
          <w:color w:val="1F3864"/>
          <w:sz w:val="32"/>
        </w:rPr>
        <w:t>23. Network Effects, Trade Corridor Network, Barcodes &amp; Workflow Examples</w:t>
      </w:r>
    </w:p>
    <w:p>
      <w:pPr>
        <w:spacing w:after="80" w:line="293" w:lineRule="auto"/>
        <w:jc w:val="left"/>
      </w:pPr>
      <w:r>
        <w:rPr>
          <w:rFonts w:ascii="Times New Roman" w:hAnsi="Times New Roman" w:cs="Times New Roman"/>
          <w:b w:val="0"/>
          <w:i w:val="0"/>
          <w:sz w:val="22"/>
        </w:rPr>
        <w:t>This section covers four coupled capabilities that extend the execution core: the network effects and competitive moat that make the platform more valuable with every trade (23.1); the Trade Corridor Network (TCN) that turns trade lanes, governments, and ports into first-class governed entities (23.2); the auto-generated barcode system that anchors every physical pallet to its digital record (23.3); and the complete end-to-end workflow examples that demonstrate the full lifecycle (23.4). Reference appendices used throughout the document are consolidated in 23.5.</w:t>
      </w:r>
    </w:p>
    <w:p>
      <w:pPr>
        <w:spacing w:after="80" w:line="293" w:lineRule="auto"/>
        <w:jc w:val="left"/>
      </w:pPr>
      <w:r>
        <w:rPr>
          <w:rFonts w:ascii="Times New Roman" w:hAnsi="Times New Roman" w:cs="Times New Roman"/>
          <w:b w:val="0"/>
          <w:i w:val="0"/>
          <w:sz w:val="22"/>
        </w:rPr>
        <w:t>Cross-references used throughout this section: constitution and Loom audit chain (Section 3), identity and GTID (Section 4), USTN namespace (Section 5), buyer workflow (Section 6), financing pre-clearance (Section 7), seller workflow (Section 8), negotiation and contracting (Section 9), trade finance execution (Section 10), capability model (Section 11), physical execution (Section 12), settlement (Section 13), post-trade operations (Section 14), Governor gates (Section 15), portal architecture (Section 16), data model (Section 17), API index (Section 18), transaction state (Section 19), global trade graph and jurisdiction fabric (Section 20), platform guarantees (Section 21), add-ons (Section 22), and terminology/roadmap (Section 24).</w:t>
      </w:r>
    </w:p>
    <w:p>
      <w:pPr>
        <w:keepNext/>
        <w:spacing w:before="240" w:after="100"/>
        <w:outlineLvl w:val="1"/>
      </w:pPr>
      <w:r>
        <w:rPr>
          <w:rFonts w:ascii="Arial" w:hAnsi="Arial" w:cs="Arial"/>
          <w:b/>
          <w:i w:val="0"/>
          <w:color w:val="2E528F"/>
          <w:sz w:val="26"/>
        </w:rPr>
        <w:t>23.1 Network Effects &amp; Competitive Moat</w:t>
      </w:r>
    </w:p>
    <w:p>
      <w:pPr>
        <w:keepNext/>
        <w:spacing w:before="180" w:after="80"/>
        <w:outlineLvl w:val="2"/>
      </w:pPr>
      <w:r>
        <w:rPr>
          <w:rFonts w:ascii="Arial" w:hAnsi="Arial" w:cs="Arial"/>
          <w:b/>
          <w:i w:val="0"/>
          <w:color w:val="333333"/>
          <w:sz w:val="23"/>
        </w:rPr>
        <w:t>23.1.1 Purpose &amp; Strategic Principles</w:t>
      </w:r>
    </w:p>
    <w:p>
      <w:pPr>
        <w:spacing w:after="80" w:line="293" w:lineRule="auto"/>
        <w:jc w:val="left"/>
      </w:pPr>
      <w:r>
        <w:rPr>
          <w:rFonts w:ascii="Times New Roman" w:hAnsi="Times New Roman" w:cs="Times New Roman"/>
          <w:b w:val="0"/>
          <w:i w:val="0"/>
          <w:sz w:val="22"/>
        </w:rPr>
        <w:t>This subsection provides the strategic defensibility analysis of the platform. Unlike the functional specifications in earlier sections, it explains why the platform becomes more valuable with every trade and what competitors would need to overcome to challenge it. The analysis is critical for:</w:t>
      </w:r>
    </w:p>
    <w:p>
      <w:pPr>
        <w:spacing w:after="80" w:line="293" w:lineRule="auto"/>
        <w:ind w:left="283"/>
        <w:jc w:val="left"/>
      </w:pPr>
      <w:r>
        <w:rPr>
          <w:rFonts w:ascii="Times New Roman" w:hAnsi="Times New Roman" w:cs="Times New Roman"/>
          <w:b w:val="0"/>
          <w:i w:val="0"/>
          <w:sz w:val="22"/>
        </w:rPr>
        <w:t>- Investor confidence — demonstrating long-term value creation.</w:t>
      </w:r>
    </w:p>
    <w:p>
      <w:pPr>
        <w:spacing w:after="80" w:line="293" w:lineRule="auto"/>
        <w:ind w:left="283"/>
        <w:jc w:val="left"/>
      </w:pPr>
      <w:r>
        <w:rPr>
          <w:rFonts w:ascii="Times New Roman" w:hAnsi="Times New Roman" w:cs="Times New Roman"/>
          <w:b w:val="0"/>
          <w:i w:val="0"/>
          <w:sz w:val="22"/>
        </w:rPr>
        <w:t>- Strategic planning — prioritising investments that strengthen the moat.</w:t>
      </w:r>
    </w:p>
    <w:p>
      <w:pPr>
        <w:spacing w:after="80" w:line="293" w:lineRule="auto"/>
        <w:ind w:left="283"/>
        <w:jc w:val="left"/>
      </w:pPr>
      <w:r>
        <w:rPr>
          <w:rFonts w:ascii="Times New Roman" w:hAnsi="Times New Roman" w:cs="Times New Roman"/>
          <w:b w:val="0"/>
          <w:i w:val="0"/>
          <w:sz w:val="22"/>
        </w:rPr>
        <w:t>- Partner engagement — showing why integration is strategically beneficial.</w:t>
      </w:r>
    </w:p>
    <w:p>
      <w:pPr>
        <w:spacing w:after="80" w:line="293" w:lineRule="auto"/>
        <w:ind w:left="283"/>
        <w:jc w:val="left"/>
      </w:pPr>
      <w:r>
        <w:rPr>
          <w:rFonts w:ascii="Times New Roman" w:hAnsi="Times New Roman" w:cs="Times New Roman"/>
          <w:b w:val="0"/>
          <w:i w:val="0"/>
          <w:sz w:val="22"/>
        </w:rPr>
        <w:t>- Competitive positioning — understanding threats and opportunities.</w:t>
      </w:r>
    </w:p>
    <w:p>
      <w:pPr>
        <w:spacing w:after="80" w:line="293" w:lineRule="auto"/>
        <w:jc w:val="left"/>
      </w:pPr>
      <w:r>
        <w:rPr>
          <w:rFonts w:ascii="Times New Roman" w:hAnsi="Times New Roman" w:cs="Times New Roman"/>
          <w:b w:val="0"/>
          <w:i w:val="0"/>
          <w:sz w:val="22"/>
        </w:rPr>
        <w:t>Key principles (non-marketplace, strategic):</w:t>
      </w:r>
    </w:p>
    <w:p>
      <w:pPr>
        <w:spacing w:after="80" w:line="293" w:lineRule="auto"/>
        <w:ind w:left="283"/>
        <w:jc w:val="left"/>
      </w:pPr>
      <w:r>
        <w:rPr>
          <w:rFonts w:ascii="Times New Roman" w:hAnsi="Times New Roman" w:cs="Times New Roman"/>
          <w:b w:val="0"/>
          <w:i w:val="0"/>
          <w:sz w:val="22"/>
        </w:rPr>
        <w:t>- Data compounding — every trade generates proprietary, anonymised data that improves the</w:t>
      </w:r>
    </w:p>
    <w:p>
      <w:pPr>
        <w:spacing w:after="80" w:line="293" w:lineRule="auto"/>
        <w:jc w:val="left"/>
      </w:pPr>
      <w:r>
        <w:rPr>
          <w:rFonts w:ascii="Times New Roman" w:hAnsi="Times New Roman" w:cs="Times New Roman"/>
          <w:b w:val="0"/>
          <w:i w:val="0"/>
          <w:sz w:val="22"/>
        </w:rPr>
        <w:t>platform.</w:t>
      </w:r>
    </w:p>
    <w:p>
      <w:pPr>
        <w:spacing w:after="80" w:line="293" w:lineRule="auto"/>
        <w:ind w:left="283"/>
        <w:jc w:val="left"/>
      </w:pPr>
      <w:r>
        <w:rPr>
          <w:rFonts w:ascii="Times New Roman" w:hAnsi="Times New Roman" w:cs="Times New Roman"/>
          <w:b w:val="0"/>
          <w:i w:val="0"/>
          <w:sz w:val="22"/>
        </w:rPr>
        <w:t>- Network effects — more participants → more value → more participants.</w:t>
      </w:r>
    </w:p>
    <w:p>
      <w:pPr>
        <w:spacing w:after="80" w:line="293" w:lineRule="auto"/>
        <w:ind w:left="283"/>
        <w:jc w:val="left"/>
      </w:pPr>
      <w:r>
        <w:rPr>
          <w:rFonts w:ascii="Times New Roman" w:hAnsi="Times New Roman" w:cs="Times New Roman"/>
          <w:b w:val="0"/>
          <w:i w:val="0"/>
          <w:sz w:val="22"/>
        </w:rPr>
        <w:t>- Switching costs — tenants and providers cannot easily migrate to a competitor.</w:t>
      </w:r>
    </w:p>
    <w:p>
      <w:pPr>
        <w:spacing w:after="80" w:line="293" w:lineRule="auto"/>
        <w:ind w:left="283"/>
        <w:jc w:val="left"/>
      </w:pPr>
      <w:r>
        <w:rPr>
          <w:rFonts w:ascii="Times New Roman" w:hAnsi="Times New Roman" w:cs="Times New Roman"/>
          <w:b w:val="0"/>
          <w:i w:val="0"/>
          <w:sz w:val="22"/>
        </w:rPr>
        <w:t>- Regulatory integration — government mandates create insurmountable barriers to entry.</w:t>
      </w:r>
    </w:p>
    <w:p>
      <w:pPr>
        <w:spacing w:after="80" w:line="293" w:lineRule="auto"/>
        <w:ind w:left="283"/>
        <w:jc w:val="left"/>
      </w:pPr>
      <w:r>
        <w:rPr>
          <w:rFonts w:ascii="Times New Roman" w:hAnsi="Times New Roman" w:cs="Times New Roman"/>
          <w:b w:val="0"/>
          <w:i w:val="0"/>
          <w:sz w:val="22"/>
        </w:rPr>
        <w:t>- Zero-cost architecture — the economic moat prevents price-based competition.</w:t>
      </w:r>
    </w:p>
    <w:p>
      <w:pPr>
        <w:spacing w:after="80" w:line="293" w:lineRule="auto"/>
        <w:jc w:val="left"/>
      </w:pPr>
      <w:r>
        <w:rPr>
          <w:rFonts w:ascii="Times New Roman" w:hAnsi="Times New Roman" w:cs="Times New Roman"/>
          <w:b w:val="0"/>
          <w:i w:val="0"/>
          <w:sz w:val="22"/>
        </w:rPr>
        <w:t>AI integration in this layer is analytical only: A1 (Groq → Ollama) drafts narratives and recommendations from aggregated data; A2 models (GNN, causal inference, credit scoring) run over the Trade Memory Layer (Section 20). No AI in this layer executes anything.</w:t>
      </w:r>
    </w:p>
    <w:p>
      <w:pPr>
        <w:keepNext/>
        <w:spacing w:before="180" w:after="80"/>
        <w:outlineLvl w:val="2"/>
      </w:pPr>
      <w:r>
        <w:rPr>
          <w:rFonts w:ascii="Arial" w:hAnsi="Arial" w:cs="Arial"/>
          <w:b/>
          <w:i w:val="0"/>
          <w:color w:val="333333"/>
          <w:sz w:val="23"/>
        </w:rPr>
        <w:t>23.1.2 The Trust Flywheel (Compounding Data Advantage)</w:t>
      </w:r>
    </w:p>
    <w:p>
      <w:pPr>
        <w:spacing w:after="80" w:line="293" w:lineRule="auto"/>
        <w:jc w:val="left"/>
      </w:pPr>
      <w:r>
        <w:rPr>
          <w:rFonts w:ascii="Times New Roman" w:hAnsi="Times New Roman" w:cs="Times New Roman"/>
          <w:b w:val="0"/>
          <w:i w:val="0"/>
          <w:sz w:val="22"/>
        </w:rPr>
        <w:t>Every trade executed on the platform feeds into a virtuous cycle that strengthens all participants.</w:t>
      </w:r>
    </w:p>
    <w:p>
      <w:pPr>
        <w:spacing w:after="80" w:line="293" w:lineRule="auto"/>
        <w:jc w:val="left"/>
      </w:pPr>
      <w:r>
        <w:rPr>
          <w:rFonts w:ascii="Times New Roman" w:hAnsi="Times New Roman" w:cs="Times New Roman"/>
          <w:b w:val="0"/>
          <w:i w:val="0"/>
          <w:sz w:val="22"/>
        </w:rPr>
        <w:t>The flywheel:</w:t>
      </w:r>
    </w:p>
    <w:p>
      <w:pPr>
        <w:spacing w:after="0" w:before="0" w:line="240" w:lineRule="auto"/>
        <w:ind w:left="57"/>
        <w:jc w:val="left"/>
        <w:shd w:val="clear" w:fill="F2F2F2"/>
      </w:pPr>
      <w:r>
        <w:rPr>
          <w:rFonts w:ascii="Consolas" w:hAnsi="Consolas" w:cs="Consolas"/>
          <w:b w:val="0"/>
          <w:i w:val="0"/>
          <w:sz w:val="15"/>
        </w:rPr>
        <w:t>MORE TRADES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MORE DATA (Trade Memory, Disputes, Delays, Documents)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BETTER TRUST PASSPORTS &amp; TRI SCORES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BETTER AI RISK MODELS (GNN, Causal Inference, Credit Scoring)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LOWER FINANCING RISK (Fewer Defaults, More Accurate Pricing)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MORE BANKS &amp; INSTITUTIONS (Financiers, Insurers, Logistics)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MORE TRADE VOLUME (Network Effects, Lower Costs)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(Loop continues — each iteration strengthens the moat)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Key insight: each iteration improves the predictive power of the platform, reducing risk and friction for all participants. New entrants cannot bootstrap this flywheel without years of real trade data.</w:t>
      </w:r>
    </w:p>
    <w:p>
      <w:pPr>
        <w:spacing w:after="80" w:line="293" w:lineRule="auto"/>
        <w:jc w:val="left"/>
      </w:pPr>
      <w:r>
        <w:rPr>
          <w:rFonts w:ascii="Times New Roman" w:hAnsi="Times New Roman" w:cs="Times New Roman"/>
          <w:b w:val="0"/>
          <w:i w:val="0"/>
          <w:sz w:val="22"/>
        </w:rPr>
        <w:t>Data compounding is year-over-year and non-destructive: historical trade outcomes improve trust scores, financing pricing, corridor analytics, and document-requirement models; every new participant benefits from the accumulated history of the whole network, and no participant can replicate that history outside the platform.</w:t>
      </w:r>
    </w:p>
    <w:p>
      <w:pPr>
        <w:keepNext/>
        <w:spacing w:before="180" w:after="80"/>
        <w:outlineLvl w:val="2"/>
      </w:pPr>
      <w:r>
        <w:rPr>
          <w:rFonts w:ascii="Arial" w:hAnsi="Arial" w:cs="Arial"/>
          <w:b/>
          <w:i w:val="0"/>
          <w:color w:val="333333"/>
          <w:sz w:val="23"/>
        </w:rPr>
        <w:t>23.1.3 Moat Components — What Competitors Can Copy vs. Cannot</w:t>
      </w:r>
    </w:p>
    <w:p>
      <w:pPr>
        <w:keepNext/>
        <w:spacing w:before="140" w:after="60"/>
        <w:outlineLvl w:val="3"/>
      </w:pPr>
      <w:r>
        <w:rPr>
          <w:rFonts w:ascii="Arial" w:hAnsi="Arial" w:cs="Arial"/>
          <w:b/>
          <w:i/>
          <w:color w:val="333333"/>
          <w:sz w:val="22"/>
        </w:rPr>
        <w:t>23.1.3.1 Easily Copied (Commodity Layers)</w:t>
      </w:r>
    </w:p>
    <w:p>
      <w:pPr>
        <w:spacing w:after="80" w:line="293" w:lineRule="auto"/>
        <w:jc w:val="left"/>
      </w:pPr>
      <w:r>
        <w:rPr>
          <w:rFonts w:ascii="Times New Roman" w:hAnsi="Times New Roman" w:cs="Times New Roman"/>
          <w:b w:val="0"/>
          <w:i w:val="0"/>
          <w:sz w:val="22"/>
        </w:rPr>
        <w:t>The user interface, portal structure, workflow forms, tracking screens, and basic document management are commodity layers: any well-funded competitor can replicate them. They are not the moat. The platform deliberately keeps these layers thin, standard, and built on open-source components so that engineering investment concentrates on the non-copyable layers below.</w:t>
      </w:r>
    </w:p>
    <w:p>
      <w:pPr>
        <w:keepNext/>
        <w:spacing w:before="140" w:after="60"/>
        <w:outlineLvl w:val="3"/>
      </w:pPr>
      <w:r>
        <w:rPr>
          <w:rFonts w:ascii="Arial" w:hAnsi="Arial" w:cs="Arial"/>
          <w:b/>
          <w:i/>
          <w:color w:val="333333"/>
          <w:sz w:val="22"/>
        </w:rPr>
        <w:t>23.1.3.2 Difficult or Impossible to Copy (True Moat Layers)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Moat Layer</w:t>
            </w:r>
          </w:p>
        </w:tc>
        <w:tc>
          <w:tcPr>
            <w:tcW w:type="dxa" w:w="4819"/>
            <w:shd w:val="clear" w:fill="D9E2F3"/>
          </w:tcPr>
          <w:p>
            <w:pPr>
              <w:spacing w:after="20" w:before="20" w:line="240" w:lineRule="auto"/>
            </w:pPr>
            <w:r/>
            <w:r>
              <w:rPr>
                <w:rFonts w:ascii="Arial" w:hAnsi="Arial" w:cs="Arial"/>
                <w:b/>
                <w:i w:val="0"/>
                <w:sz w:val="18"/>
              </w:rPr>
              <w:t>Why It Cannot Be Copied</w:t>
            </w:r>
          </w:p>
        </w:tc>
      </w:tr>
      <w:tr>
        <w:tc>
          <w:tcPr>
            <w:tcW w:type="dxa" w:w="4819"/>
          </w:tcPr>
          <w:p>
            <w:pPr>
              <w:spacing w:after="20" w:before="20" w:line="240" w:lineRule="auto"/>
            </w:pPr>
            <w:r/>
            <w:r>
              <w:rPr>
                <w:rFonts w:ascii="Arial" w:hAnsi="Arial" w:cs="Arial"/>
                <w:b w:val="0"/>
                <w:i w:val="0"/>
                <w:sz w:val="17"/>
              </w:rPr>
              <w:t>Trade Memory</w:t>
            </w:r>
          </w:p>
        </w:tc>
        <w:tc>
          <w:tcPr>
            <w:tcW w:type="dxa" w:w="4819"/>
          </w:tcPr>
          <w:p>
            <w:pPr>
              <w:spacing w:after="20" w:before="20" w:line="240" w:lineRule="auto"/>
            </w:pPr>
            <w:r/>
            <w:r>
              <w:rPr>
                <w:rFonts w:ascii="Arial" w:hAnsi="Arial" w:cs="Arial"/>
                <w:b w:val="0"/>
                <w:i w:val="0"/>
                <w:sz w:val="17"/>
              </w:rPr>
              <w:t>Proprietary historical trade data (anonymised, differential privacy) accumulated over years</w:t>
            </w:r>
          </w:p>
        </w:tc>
      </w:tr>
      <w:tr>
        <w:tc>
          <w:tcPr>
            <w:tcW w:type="dxa" w:w="4819"/>
          </w:tcPr>
          <w:p>
            <w:pPr>
              <w:spacing w:after="20" w:before="20" w:line="240" w:lineRule="auto"/>
            </w:pPr>
            <w:r/>
            <w:r>
              <w:rPr>
                <w:rFonts w:ascii="Arial" w:hAnsi="Arial" w:cs="Arial"/>
                <w:b w:val="0"/>
                <w:i w:val="0"/>
                <w:sz w:val="17"/>
              </w:rPr>
              <w:t>Trust Passport &amp; TRI</w:t>
            </w:r>
          </w:p>
        </w:tc>
        <w:tc>
          <w:tcPr>
            <w:tcW w:type="dxa" w:w="4819"/>
          </w:tcPr>
          <w:p>
            <w:pPr>
              <w:spacing w:after="20" w:before="20" w:line="240" w:lineRule="auto"/>
            </w:pPr>
            <w:r/>
            <w:r>
              <w:rPr>
                <w:rFonts w:ascii="Arial" w:hAnsi="Arial" w:cs="Arial"/>
                <w:b w:val="0"/>
                <w:i w:val="0"/>
                <w:sz w:val="17"/>
              </w:rPr>
              <w:t>Portable, verified reputation that tenants carry and competitors cannot forge</w:t>
            </w:r>
          </w:p>
        </w:tc>
      </w:tr>
      <w:tr>
        <w:tc>
          <w:tcPr>
            <w:tcW w:type="dxa" w:w="4819"/>
          </w:tcPr>
          <w:p>
            <w:pPr>
              <w:spacing w:after="20" w:before="20" w:line="240" w:lineRule="auto"/>
            </w:pPr>
            <w:r/>
            <w:r>
              <w:rPr>
                <w:rFonts w:ascii="Arial" w:hAnsi="Arial" w:cs="Arial"/>
                <w:b w:val="0"/>
                <w:i w:val="0"/>
                <w:sz w:val="17"/>
              </w:rPr>
              <w:t>Institutional Trade Graph</w:t>
            </w:r>
          </w:p>
        </w:tc>
        <w:tc>
          <w:tcPr>
            <w:tcW w:type="dxa" w:w="4819"/>
          </w:tcPr>
          <w:p>
            <w:pPr>
              <w:spacing w:after="20" w:before="20" w:line="240" w:lineRule="auto"/>
            </w:pPr>
            <w:r/>
            <w:r>
              <w:rPr>
                <w:rFonts w:ascii="Arial" w:hAnsi="Arial" w:cs="Arial"/>
                <w:b w:val="0"/>
                <w:i w:val="0"/>
                <w:sz w:val="17"/>
              </w:rPr>
              <w:t>Network density of tenants, providers, financiers, and governments</w:t>
            </w:r>
          </w:p>
        </w:tc>
      </w:tr>
      <w:tr>
        <w:tc>
          <w:tcPr>
            <w:tcW w:type="dxa" w:w="4819"/>
          </w:tcPr>
          <w:p>
            <w:pPr>
              <w:spacing w:after="20" w:before="20" w:line="240" w:lineRule="auto"/>
            </w:pPr>
            <w:r/>
            <w:r>
              <w:rPr>
                <w:rFonts w:ascii="Arial" w:hAnsi="Arial" w:cs="Arial"/>
                <w:b w:val="0"/>
                <w:i w:val="0"/>
                <w:sz w:val="17"/>
              </w:rPr>
              <w:t>Zero-Cost Infrastructure</w:t>
            </w:r>
          </w:p>
        </w:tc>
        <w:tc>
          <w:tcPr>
            <w:tcW w:type="dxa" w:w="4819"/>
          </w:tcPr>
          <w:p>
            <w:pPr>
              <w:spacing w:after="20" w:before="20" w:line="240" w:lineRule="auto"/>
            </w:pPr>
            <w:r/>
            <w:r>
              <w:rPr>
                <w:rFonts w:ascii="Arial" w:hAnsi="Arial" w:cs="Arial"/>
                <w:b w:val="0"/>
                <w:i w:val="0"/>
                <w:sz w:val="17"/>
              </w:rPr>
              <w:t>Self-hosted, open-source stack removes the cost floor competitors must charge</w:t>
            </w:r>
          </w:p>
        </w:tc>
      </w:tr>
      <w:tr>
        <w:tc>
          <w:tcPr>
            <w:tcW w:type="dxa" w:w="4819"/>
          </w:tcPr>
          <w:p>
            <w:pPr>
              <w:spacing w:after="20" w:before="20" w:line="240" w:lineRule="auto"/>
            </w:pPr>
            <w:r/>
            <w:r>
              <w:rPr>
                <w:rFonts w:ascii="Arial" w:hAnsi="Arial" w:cs="Arial"/>
                <w:b w:val="0"/>
                <w:i w:val="0"/>
                <w:sz w:val="17"/>
              </w:rPr>
              <w:t>Government Mandates</w:t>
            </w:r>
          </w:p>
        </w:tc>
        <w:tc>
          <w:tcPr>
            <w:tcW w:type="dxa" w:w="4819"/>
          </w:tcPr>
          <w:p>
            <w:pPr>
              <w:spacing w:after="20" w:before="20" w:line="240" w:lineRule="auto"/>
            </w:pPr>
            <w:r/>
            <w:r>
              <w:rPr>
                <w:rFonts w:ascii="Arial" w:hAnsi="Arial" w:cs="Arial"/>
                <w:b w:val="0"/>
                <w:i w:val="0"/>
                <w:sz w:val="17"/>
              </w:rPr>
              <w:t>Government nodes, corridor certification, and jurisdiction supremacy create legal lock-in</w:t>
            </w:r>
          </w:p>
        </w:tc>
      </w:tr>
      <w:tr>
        <w:tc>
          <w:tcPr>
            <w:tcW w:type="dxa" w:w="4819"/>
          </w:tcPr>
          <w:p>
            <w:pPr>
              <w:spacing w:after="20" w:before="20" w:line="240" w:lineRule="auto"/>
            </w:pPr>
            <w:r/>
            <w:r>
              <w:rPr>
                <w:rFonts w:ascii="Arial" w:hAnsi="Arial" w:cs="Arial"/>
                <w:b w:val="0"/>
                <w:i w:val="0"/>
                <w:sz w:val="17"/>
              </w:rPr>
              <w:t>Full-Disclosure Financing</w:t>
            </w:r>
          </w:p>
        </w:tc>
        <w:tc>
          <w:tcPr>
            <w:tcW w:type="dxa" w:w="4819"/>
          </w:tcPr>
          <w:p>
            <w:pPr>
              <w:spacing w:after="20" w:before="20" w:line="240" w:lineRule="auto"/>
            </w:pPr>
            <w:r/>
            <w:r>
              <w:rPr>
                <w:rFonts w:ascii="Arial" w:hAnsi="Arial" w:cs="Arial"/>
                <w:b w:val="0"/>
                <w:i w:val="0"/>
                <w:sz w:val="17"/>
              </w:rPr>
              <w:t>Financiers see verified, evidence-backed trades — trust that only a governed execution graph produces</w:t>
            </w:r>
          </w:p>
        </w:tc>
      </w:tr>
      <w:tr>
        <w:tc>
          <w:tcPr>
            <w:tcW w:type="dxa" w:w="4819"/>
          </w:tcPr>
          <w:p>
            <w:pPr>
              <w:spacing w:after="20" w:before="20" w:line="240" w:lineRule="auto"/>
            </w:pPr>
            <w:r/>
            <w:r>
              <w:rPr>
                <w:rFonts w:ascii="Arial" w:hAnsi="Arial" w:cs="Arial"/>
                <w:b w:val="0"/>
                <w:i w:val="0"/>
                <w:sz w:val="17"/>
              </w:rPr>
              <w:t>Non-Custodial Architecture</w:t>
            </w:r>
          </w:p>
        </w:tc>
        <w:tc>
          <w:tcPr>
            <w:tcW w:type="dxa" w:w="4819"/>
          </w:tcPr>
          <w:p>
            <w:pPr>
              <w:spacing w:after="20" w:before="20" w:line="240" w:lineRule="auto"/>
            </w:pPr>
            <w:r/>
            <w:r>
              <w:rPr>
                <w:rFonts w:ascii="Arial" w:hAnsi="Arial" w:cs="Arial"/>
                <w:b w:val="0"/>
                <w:i w:val="0"/>
                <w:sz w:val="17"/>
              </w:rPr>
              <w:t>Structural (no funds table) — competitors that hold funds carry regulatory and counterparty risk the platform structurally avoids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23.1.3.3 Qualitative Moat Layers</w:t>
      </w:r>
    </w:p>
    <w:p>
      <w:pPr>
        <w:spacing w:after="80" w:line="293" w:lineRule="auto"/>
        <w:jc w:val="left"/>
      </w:pPr>
      <w:r>
        <w:rPr>
          <w:rFonts w:ascii="Times New Roman" w:hAnsi="Times New Roman" w:cs="Times New Roman"/>
          <w:b w:val="0"/>
          <w:i w:val="0"/>
          <w:sz w:val="22"/>
        </w:rPr>
        <w:t>Beyond the structural layers, the qualitative moat includes: the constitutional governance model (multisig Platform Governance Authority bound by its own rules), the plain-language enforcement transparency (users understand every block), and the sovereign neutrality (the platform is not a counterparty, not a marketplace, and not an intermediary extracting opacity rent).</w:t>
      </w:r>
    </w:p>
    <w:p>
      <w:pPr>
        <w:keepNext/>
        <w:spacing w:before="180" w:after="80"/>
        <w:outlineLvl w:val="2"/>
      </w:pPr>
      <w:r>
        <w:rPr>
          <w:rFonts w:ascii="Arial" w:hAnsi="Arial" w:cs="Arial"/>
          <w:b/>
          <w:i w:val="0"/>
          <w:color w:val="333333"/>
          <w:sz w:val="23"/>
        </w:rPr>
        <w:t>23.1.4 Defensibility Over Time</w:t>
      </w:r>
    </w:p>
    <w:p>
      <w:pPr>
        <w:keepNext/>
        <w:spacing w:before="140" w:after="60"/>
        <w:outlineLvl w:val="3"/>
      </w:pPr>
      <w:r>
        <w:rPr>
          <w:rFonts w:ascii="Arial" w:hAnsi="Arial" w:cs="Arial"/>
          <w:b/>
          <w:i/>
          <w:color w:val="333333"/>
          <w:sz w:val="22"/>
        </w:rPr>
        <w:t>23.1.4.1 Defensibility Timeline</w:t>
      </w:r>
    </w:p>
    <w:p>
      <w:pPr>
        <w:spacing w:after="80" w:line="293" w:lineRule="auto"/>
        <w:jc w:val="left"/>
      </w:pPr>
      <w:r>
        <w:rPr>
          <w:rFonts w:ascii="Times New Roman" w:hAnsi="Times New Roman" w:cs="Times New Roman"/>
          <w:b w:val="0"/>
          <w:i w:val="0"/>
          <w:sz w:val="22"/>
        </w:rPr>
        <w:t>Defensibility compounds in phases: the first trades build Trade Memory; the first financed trades build the financier graph; the first government nodes convert corridor certification into mandate; and each phase raises the replication cost for a challenger. The moat is weakest at launch and strengthened automatically by ordinary usage — no defensive action by the operator is required for the flywheel to turn.</w:t>
      </w:r>
    </w:p>
    <w:p>
      <w:pPr>
        <w:keepNext/>
        <w:spacing w:before="140" w:after="60"/>
        <w:outlineLvl w:val="3"/>
      </w:pPr>
      <w:r>
        <w:rPr>
          <w:rFonts w:ascii="Arial" w:hAnsi="Arial" w:cs="Arial"/>
          <w:b/>
          <w:i/>
          <w:color w:val="333333"/>
          <w:sz w:val="22"/>
        </w:rPr>
        <w:t>23.1.4.2 Competitive Scenario Analysis</w:t>
      </w:r>
    </w:p>
    <w:p>
      <w:pPr>
        <w:spacing w:after="80" w:line="293" w:lineRule="auto"/>
        <w:ind w:left="283"/>
        <w:jc w:val="left"/>
      </w:pPr>
      <w:r>
        <w:rPr>
          <w:rFonts w:ascii="Times New Roman" w:hAnsi="Times New Roman" w:cs="Times New Roman"/>
          <w:b w:val="0"/>
          <w:i w:val="0"/>
          <w:sz w:val="22"/>
        </w:rPr>
        <w:t>- A cloud incumbent copies the workflow layer — it must still rebuild Trade Memory, trust</w:t>
      </w:r>
    </w:p>
    <w:p>
      <w:pPr>
        <w:spacing w:after="80" w:line="293" w:lineRule="auto"/>
        <w:jc w:val="left"/>
      </w:pPr>
      <w:r>
        <w:rPr>
          <w:rFonts w:ascii="Times New Roman" w:hAnsi="Times New Roman" w:cs="Times New Roman"/>
          <w:b w:val="0"/>
          <w:i w:val="0"/>
          <w:sz w:val="22"/>
        </w:rPr>
        <w:t>scores, and government integrations from zero, while charging subscription fees against a zero-cost incumbent.</w:t>
      </w:r>
    </w:p>
    <w:p>
      <w:pPr>
        <w:spacing w:after="80" w:line="293" w:lineRule="auto"/>
        <w:ind w:left="283"/>
        <w:jc w:val="left"/>
      </w:pPr>
      <w:r>
        <w:rPr>
          <w:rFonts w:ascii="Times New Roman" w:hAnsi="Times New Roman" w:cs="Times New Roman"/>
          <w:b w:val="0"/>
          <w:i w:val="0"/>
          <w:sz w:val="22"/>
        </w:rPr>
        <w:t>- A marketplace adds execution features — it must abandon its matching business model to become</w:t>
      </w:r>
    </w:p>
    <w:p>
      <w:pPr>
        <w:spacing w:after="80" w:line="293" w:lineRule="auto"/>
        <w:jc w:val="left"/>
      </w:pPr>
      <w:r>
        <w:rPr>
          <w:rFonts w:ascii="Times New Roman" w:hAnsi="Times New Roman" w:cs="Times New Roman"/>
          <w:b w:val="0"/>
          <w:i w:val="0"/>
          <w:sz w:val="22"/>
        </w:rPr>
        <w:t>non-marketplace and non-custodial; its revenue model collapses first.</w:t>
      </w:r>
    </w:p>
    <w:p>
      <w:pPr>
        <w:spacing w:after="80" w:line="293" w:lineRule="auto"/>
        <w:ind w:left="283"/>
        <w:jc w:val="left"/>
      </w:pPr>
      <w:r>
        <w:rPr>
          <w:rFonts w:ascii="Times New Roman" w:hAnsi="Times New Roman" w:cs="Times New Roman"/>
          <w:b w:val="0"/>
          <w:i w:val="0"/>
          <w:sz w:val="22"/>
        </w:rPr>
        <w:t>- A bank builds a proprietary network — it cannot be neutral: counterparties will not route</w:t>
      </w:r>
    </w:p>
    <w:p>
      <w:pPr>
        <w:spacing w:after="80" w:line="293" w:lineRule="auto"/>
        <w:jc w:val="left"/>
      </w:pPr>
      <w:r>
        <w:rPr>
          <w:rFonts w:ascii="Times New Roman" w:hAnsi="Times New Roman" w:cs="Times New Roman"/>
          <w:b w:val="0"/>
          <w:i w:val="0"/>
          <w:sz w:val="22"/>
        </w:rPr>
        <w:t>competitor trades through a bank-owned rail; jurisdiction supremacy also fails when one jurisdiction's bank owns the layer.</w:t>
      </w:r>
    </w:p>
    <w:p>
      <w:pPr>
        <w:spacing w:after="80" w:line="293" w:lineRule="auto"/>
        <w:ind w:left="283"/>
        <w:jc w:val="left"/>
      </w:pPr>
      <w:r>
        <w:rPr>
          <w:rFonts w:ascii="Times New Roman" w:hAnsi="Times New Roman" w:cs="Times New Roman"/>
          <w:b w:val="0"/>
          <w:i w:val="0"/>
          <w:sz w:val="22"/>
        </w:rPr>
        <w:t>- A government mandates a national system — the platform integrates with it rather than</w:t>
      </w:r>
    </w:p>
    <w:p>
      <w:pPr>
        <w:spacing w:after="80" w:line="293" w:lineRule="auto"/>
        <w:jc w:val="left"/>
      </w:pPr>
      <w:r>
        <w:rPr>
          <w:rFonts w:ascii="Times New Roman" w:hAnsi="Times New Roman" w:cs="Times New Roman"/>
          <w:b w:val="0"/>
          <w:i w:val="0"/>
          <w:sz w:val="22"/>
        </w:rPr>
        <w:t>competing: the TCN government-node model (23.2) makes mandates a moat, not a threat.</w:t>
      </w:r>
    </w:p>
    <w:p>
      <w:pPr>
        <w:keepNext/>
        <w:spacing w:before="180" w:after="80"/>
        <w:outlineLvl w:val="2"/>
      </w:pPr>
      <w:r>
        <w:rPr>
          <w:rFonts w:ascii="Arial" w:hAnsi="Arial" w:cs="Arial"/>
          <w:b/>
          <w:i w:val="0"/>
          <w:color w:val="333333"/>
          <w:sz w:val="23"/>
        </w:rPr>
        <w:t>23.1.5 Economic Moat — Cost Advantages</w:t>
      </w:r>
    </w:p>
    <w:p>
      <w:pPr>
        <w:keepNext/>
        <w:spacing w:before="140" w:after="60"/>
        <w:outlineLvl w:val="3"/>
      </w:pPr>
      <w:r>
        <w:rPr>
          <w:rFonts w:ascii="Arial" w:hAnsi="Arial" w:cs="Arial"/>
          <w:b/>
          <w:i/>
          <w:color w:val="333333"/>
          <w:sz w:val="22"/>
        </w:rPr>
        <w:t>23.1.5.1 Infrastructure Cost Comparison</w:t>
      </w:r>
    </w:p>
    <w:p>
      <w:pPr>
        <w:spacing w:after="80" w:line="293" w:lineRule="auto"/>
        <w:jc w:val="left"/>
      </w:pPr>
      <w:r>
        <w:rPr>
          <w:rFonts w:ascii="Times New Roman" w:hAnsi="Times New Roman" w:cs="Times New Roman"/>
          <w:b w:val="0"/>
          <w:i w:val="0"/>
          <w:sz w:val="22"/>
        </w:rPr>
        <w:t>The zero-cost, self-hosted, open-source architecture (PostgreSQL, NATS, OPA, WasmEdge, Groq/Ollama AI chain, self-hosted video and ticketing) removes per-seat and per-transaction platform costs. The total annual cost advantage exceeds $2M per year versus a cloud-based, proprietary competitor paying for SaaS licences, cloud AI APIs, and managed queues at equivalent scale — before any margin consideration.</w:t>
      </w:r>
    </w:p>
    <w:p>
      <w:pPr>
        <w:keepNext/>
        <w:spacing w:before="140" w:after="60"/>
        <w:outlineLvl w:val="3"/>
      </w:pPr>
      <w:r>
        <w:rPr>
          <w:rFonts w:ascii="Arial" w:hAnsi="Arial" w:cs="Arial"/>
          <w:b/>
          <w:i/>
          <w:color w:val="333333"/>
          <w:sz w:val="22"/>
        </w:rPr>
        <w:t>23.1.5.2 Fee Model Advantage</w:t>
      </w:r>
    </w:p>
    <w:p>
      <w:pPr>
        <w:spacing w:after="80" w:line="293" w:lineRule="auto"/>
        <w:jc w:val="left"/>
      </w:pPr>
      <w:r>
        <w:rPr>
          <w:rFonts w:ascii="Times New Roman" w:hAnsi="Times New Roman" w:cs="Times New Roman"/>
          <w:b w:val="0"/>
          <w:i w:val="0"/>
          <w:sz w:val="22"/>
        </w:rPr>
        <w:t>The platform charges a single, transparent, constitutionally bounded trade fee — a fairness-driven effective rate between 0.03% and 1.50% of the Canonical Fee Basis, with sublinear institutional pricing for bulk, essential, and special-stock flows (Section 9.27) — with no subscriptions, no per-seat fees, and no infrastructure licensing. The fee moat compounds as low unit economic rent multiplied by very high verified trade volume, recurring execution, and high retention: the engine deliberately prices enormous institutional flows at very low rates, which a competitor with a cost floor cannot match at scale, and a competitor without the moat cannot match the value at any price.</w:t>
      </w:r>
    </w:p>
    <w:p>
      <w:pPr>
        <w:keepNext/>
        <w:spacing w:before="180" w:after="80"/>
        <w:outlineLvl w:val="2"/>
      </w:pPr>
      <w:r>
        <w:rPr>
          <w:rFonts w:ascii="Arial" w:hAnsi="Arial" w:cs="Arial"/>
          <w:b/>
          <w:i w:val="0"/>
          <w:color w:val="333333"/>
          <w:sz w:val="23"/>
        </w:rPr>
        <w:t>23.1.6 Network Effects Quantified</w:t>
      </w:r>
    </w:p>
    <w:p>
      <w:pPr>
        <w:spacing w:after="80" w:line="293" w:lineRule="auto"/>
        <w:jc w:val="left"/>
      </w:pPr>
      <w:r>
        <w:rPr>
          <w:rFonts w:ascii="Times New Roman" w:hAnsi="Times New Roman" w:cs="Times New Roman"/>
          <w:b w:val="0"/>
          <w:i w:val="0"/>
          <w:sz w:val="22"/>
        </w:rPr>
        <w:t>The platform tracks network-effect KPIs as materialised aggregates (never per-tenant raw data): trade volume per corridor, corridor utilisation, financing demand per shipment, on-time performance, document first-time acceptance, and dispute rate (see corridor_analytics, 23.2.15). Each KPI compounds with volume: financing demand rises with verified history, on-time performance rises with corridor intelligence, and document acceptance rises with RIA completeness.</w:t>
      </w:r>
    </w:p>
    <w:p>
      <w:pPr>
        <w:keepNext/>
        <w:spacing w:before="180" w:after="80"/>
        <w:outlineLvl w:val="2"/>
      </w:pPr>
      <w:r>
        <w:rPr>
          <w:rFonts w:ascii="Arial" w:hAnsi="Arial" w:cs="Arial"/>
          <w:b/>
          <w:i w:val="0"/>
          <w:color w:val="333333"/>
          <w:sz w:val="23"/>
        </w:rPr>
        <w:t>23.1.7 What a Competitor Would Need to Overtake the Platform</w:t>
      </w:r>
    </w:p>
    <w:p>
      <w:pPr>
        <w:spacing w:after="80" w:line="293" w:lineRule="auto"/>
        <w:jc w:val="left"/>
      </w:pPr>
      <w:r>
        <w:rPr>
          <w:rFonts w:ascii="Times New Roman" w:hAnsi="Times New Roman" w:cs="Times New Roman"/>
          <w:b w:val="0"/>
          <w:i w:val="0"/>
          <w:sz w:val="22"/>
        </w:rPr>
        <w:t>A realistic competitor would need all of the following simultaneously:</w:t>
      </w:r>
    </w:p>
    <w:p>
      <w:pPr>
        <w:spacing w:after="80" w:line="293" w:lineRule="auto"/>
        <w:ind w:left="283"/>
        <w:jc w:val="left"/>
      </w:pPr>
      <w:r>
        <w:rPr>
          <w:rFonts w:ascii="Times New Roman" w:hAnsi="Times New Roman" w:cs="Times New Roman"/>
          <w:b w:val="0"/>
          <w:i w:val="0"/>
          <w:sz w:val="22"/>
        </w:rPr>
        <w:t>- Years of real, verified trade data at scale (Trade Memory).</w:t>
      </w:r>
    </w:p>
    <w:p>
      <w:pPr>
        <w:spacing w:after="80" w:line="293" w:lineRule="auto"/>
        <w:ind w:left="283"/>
        <w:jc w:val="left"/>
      </w:pPr>
      <w:r>
        <w:rPr>
          <w:rFonts w:ascii="Times New Roman" w:hAnsi="Times New Roman" w:cs="Times New Roman"/>
          <w:b w:val="0"/>
          <w:i w:val="0"/>
          <w:sz w:val="22"/>
        </w:rPr>
        <w:t>- A portable, constitutionally-governed trust scoring system adopted by external financiers.</w:t>
      </w:r>
    </w:p>
    <w:p>
      <w:pPr>
        <w:spacing w:after="80" w:line="293" w:lineRule="auto"/>
        <w:ind w:left="283"/>
        <w:jc w:val="left"/>
      </w:pPr>
      <w:r>
        <w:rPr>
          <w:rFonts w:ascii="Times New Roman" w:hAnsi="Times New Roman" w:cs="Times New Roman"/>
          <w:b w:val="0"/>
          <w:i w:val="0"/>
          <w:sz w:val="22"/>
        </w:rPr>
        <w:t>- Government nodes and corridor certifications across the target jurisdictions.</w:t>
      </w:r>
    </w:p>
    <w:p>
      <w:pPr>
        <w:spacing w:after="80" w:line="293" w:lineRule="auto"/>
        <w:ind w:left="283"/>
        <w:jc w:val="left"/>
      </w:pPr>
      <w:r>
        <w:rPr>
          <w:rFonts w:ascii="Times New Roman" w:hAnsi="Times New Roman" w:cs="Times New Roman"/>
          <w:b w:val="0"/>
          <w:i w:val="0"/>
          <w:sz w:val="22"/>
        </w:rPr>
        <w:t>- A zero-cost, self-hosted technology stack with no external billing dependencies.</w:t>
      </w:r>
    </w:p>
    <w:p>
      <w:pPr>
        <w:spacing w:after="80" w:line="293" w:lineRule="auto"/>
        <w:ind w:left="283"/>
        <w:jc w:val="left"/>
      </w:pPr>
      <w:r>
        <w:rPr>
          <w:rFonts w:ascii="Times New Roman" w:hAnsi="Times New Roman" w:cs="Times New Roman"/>
          <w:b w:val="0"/>
          <w:i w:val="0"/>
          <w:sz w:val="22"/>
        </w:rPr>
        <w:t>- Non-custodial structure with no funds table anywhere in the system.</w:t>
      </w:r>
    </w:p>
    <w:p>
      <w:pPr>
        <w:spacing w:after="80" w:line="293" w:lineRule="auto"/>
        <w:ind w:left="283"/>
        <w:jc w:val="left"/>
      </w:pPr>
      <w:r>
        <w:rPr>
          <w:rFonts w:ascii="Times New Roman" w:hAnsi="Times New Roman" w:cs="Times New Roman"/>
          <w:b w:val="0"/>
          <w:i w:val="0"/>
          <w:sz w:val="22"/>
        </w:rPr>
        <w:t>- A constitutional governance model with multisig authority and immutable audit.</w:t>
      </w:r>
    </w:p>
    <w:p>
      <w:pPr>
        <w:spacing w:after="80" w:line="293" w:lineRule="auto"/>
        <w:jc w:val="left"/>
      </w:pPr>
      <w:r>
        <w:rPr>
          <w:rFonts w:ascii="Times New Roman" w:hAnsi="Times New Roman" w:cs="Times New Roman"/>
          <w:b w:val="0"/>
          <w:i w:val="0"/>
          <w:sz w:val="22"/>
        </w:rPr>
        <w:t>Conclusion: no startup can acquire these overnight. Even a well-funded incumbent (e.g., a global bank or logistics giant) would need 5–7 years to catch up — during which the platform continues to accelerate.</w:t>
      </w:r>
    </w:p>
    <w:p>
      <w:pPr>
        <w:keepNext/>
        <w:spacing w:before="180" w:after="80"/>
        <w:outlineLvl w:val="2"/>
      </w:pPr>
      <w:r>
        <w:rPr>
          <w:rFonts w:ascii="Arial" w:hAnsi="Arial" w:cs="Arial"/>
          <w:b/>
          <w:i w:val="0"/>
          <w:color w:val="333333"/>
          <w:sz w:val="23"/>
        </w:rPr>
        <w:t>23.1.8 Strategic Recommendations to Strengthen the Moat</w:t>
      </w:r>
    </w:p>
    <w:p>
      <w:pPr>
        <w:spacing w:after="80" w:line="293" w:lineRule="auto"/>
        <w:jc w:val="left"/>
      </w:pPr>
      <w:r>
        <w:rPr>
          <w:rFonts w:ascii="Times New Roman" w:hAnsi="Times New Roman" w:cs="Times New Roman"/>
          <w:b w:val="0"/>
          <w:i w:val="0"/>
          <w:sz w:val="22"/>
        </w:rPr>
        <w:t>Recommended actions for years 2–5, by strategy:</w:t>
      </w:r>
    </w:p>
    <w:p>
      <w:pPr>
        <w:spacing w:after="80" w:line="293" w:lineRule="auto"/>
        <w:ind w:left="283"/>
        <w:jc w:val="left"/>
      </w:pPr>
      <w:r>
        <w:rPr>
          <w:rFonts w:ascii="Times New Roman" w:hAnsi="Times New Roman" w:cs="Times New Roman"/>
          <w:b w:val="0"/>
          <w:i w:val="0"/>
          <w:sz w:val="22"/>
        </w:rPr>
        <w:t>- Data strategy — maximise consented Trade Memory coverage; expand predictive insight quality;</w:t>
      </w:r>
    </w:p>
    <w:p>
      <w:pPr>
        <w:spacing w:after="80" w:line="293" w:lineRule="auto"/>
        <w:jc w:val="left"/>
      </w:pPr>
      <w:r>
        <w:rPr>
          <w:rFonts w:ascii="Times New Roman" w:hAnsi="Times New Roman" w:cs="Times New Roman"/>
          <w:b w:val="0"/>
          <w:i w:val="0"/>
          <w:sz w:val="22"/>
        </w:rPr>
        <w:t>keep all aggregates differential-privacy protected so tenants trust the layer.</w:t>
      </w:r>
    </w:p>
    <w:p>
      <w:pPr>
        <w:spacing w:after="80" w:line="293" w:lineRule="auto"/>
        <w:ind w:left="283"/>
        <w:jc w:val="left"/>
      </w:pPr>
      <w:r>
        <w:rPr>
          <w:rFonts w:ascii="Times New Roman" w:hAnsi="Times New Roman" w:cs="Times New Roman"/>
          <w:b w:val="0"/>
          <w:i w:val="0"/>
          <w:sz w:val="22"/>
        </w:rPr>
        <w:t>- Regulatory &amp; government strategy — convert the first production corridors (Egypt–Italy,</w:t>
      </w:r>
    </w:p>
    <w:p>
      <w:pPr>
        <w:spacing w:after="80" w:line="293" w:lineRule="auto"/>
        <w:jc w:val="left"/>
      </w:pPr>
      <w:r>
        <w:rPr>
          <w:rFonts w:ascii="Times New Roman" w:hAnsi="Times New Roman" w:cs="Times New Roman"/>
          <w:b w:val="0"/>
          <w:i w:val="0"/>
          <w:sz w:val="22"/>
        </w:rPr>
        <w:t>Egypt–Saudi) into certified/strategic status; add government nodes per country; align compliance roadmaps with the RIA (Section 20).</w:t>
      </w:r>
    </w:p>
    <w:p>
      <w:pPr>
        <w:spacing w:after="80" w:line="293" w:lineRule="auto"/>
        <w:ind w:left="283"/>
        <w:jc w:val="left"/>
      </w:pPr>
      <w:r>
        <w:rPr>
          <w:rFonts w:ascii="Times New Roman" w:hAnsi="Times New Roman" w:cs="Times New Roman"/>
          <w:b w:val="0"/>
          <w:i w:val="0"/>
          <w:sz w:val="22"/>
        </w:rPr>
        <w:t>- Technology &amp; IP strategy — keep the stack fully open-source and self-hosted; invest</w:t>
      </w:r>
    </w:p>
    <w:p>
      <w:pPr>
        <w:spacing w:after="80" w:line="293" w:lineRule="auto"/>
        <w:jc w:val="left"/>
      </w:pPr>
      <w:r>
        <w:rPr>
          <w:rFonts w:ascii="Times New Roman" w:hAnsi="Times New Roman" w:cs="Times New Roman"/>
          <w:b w:val="0"/>
          <w:i w:val="0"/>
          <w:sz w:val="22"/>
        </w:rPr>
        <w:t>engineering in the non-copyable layers (trust scoring, corridor intelligence, evidence sealing).</w:t>
      </w:r>
    </w:p>
    <w:p>
      <w:pPr>
        <w:spacing w:after="80" w:line="293" w:lineRule="auto"/>
        <w:ind w:left="283"/>
        <w:jc w:val="left"/>
      </w:pPr>
      <w:r>
        <w:rPr>
          <w:rFonts w:ascii="Times New Roman" w:hAnsi="Times New Roman" w:cs="Times New Roman"/>
          <w:b w:val="0"/>
          <w:i w:val="0"/>
          <w:sz w:val="22"/>
        </w:rPr>
        <w:t>- Network strategy — grow the financier graph through full-disclosure financing; grow provider</w:t>
      </w:r>
    </w:p>
    <w:p>
      <w:pPr>
        <w:spacing w:after="80" w:line="293" w:lineRule="auto"/>
        <w:jc w:val="left"/>
      </w:pPr>
      <w:r>
        <w:rPr>
          <w:rFonts w:ascii="Times New Roman" w:hAnsi="Times New Roman" w:cs="Times New Roman"/>
          <w:b w:val="0"/>
          <w:i w:val="0"/>
          <w:sz w:val="22"/>
        </w:rPr>
        <w:t>coverage through the unified capability model (Section 11); never relax the non-marketplace boundary, which is itself a differentiator.</w:t>
      </w:r>
    </w:p>
    <w:p>
      <w:pPr>
        <w:keepNext/>
        <w:spacing w:before="180" w:after="80"/>
        <w:outlineLvl w:val="2"/>
      </w:pPr>
      <w:r>
        <w:rPr>
          <w:rFonts w:ascii="Arial" w:hAnsi="Arial" w:cs="Arial"/>
          <w:b/>
          <w:i w:val="0"/>
          <w:color w:val="333333"/>
          <w:sz w:val="23"/>
        </w:rPr>
        <w:t>23.1.9 Competitive Threat Matrix</w:t>
      </w:r>
    </w:p>
    <w:p>
      <w:pPr>
        <w:spacing w:after="80" w:line="293" w:lineRule="auto"/>
        <w:jc w:val="left"/>
      </w:pPr>
      <w:r>
        <w:rPr>
          <w:rFonts w:ascii="Times New Roman" w:hAnsi="Times New Roman" w:cs="Times New Roman"/>
          <w:b w:val="0"/>
          <w:i w:val="0"/>
          <w:sz w:val="22"/>
        </w:rPr>
        <w:t>Threat categories and mitigations: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Threat</w:t>
            </w:r>
          </w:p>
        </w:tc>
        <w:tc>
          <w:tcPr>
            <w:tcW w:type="dxa" w:w="4819"/>
            <w:shd w:val="clear" w:fill="D9E2F3"/>
          </w:tcPr>
          <w:p>
            <w:pPr>
              <w:spacing w:after="20" w:before="20" w:line="240" w:lineRule="auto"/>
            </w:pPr>
            <w:r/>
            <w:r>
              <w:rPr>
                <w:rFonts w:ascii="Arial" w:hAnsi="Arial" w:cs="Arial"/>
                <w:b/>
                <w:i w:val="0"/>
                <w:sz w:val="18"/>
              </w:rPr>
              <w:t>Mitigation</w:t>
            </w:r>
          </w:p>
        </w:tc>
      </w:tr>
      <w:tr>
        <w:tc>
          <w:tcPr>
            <w:tcW w:type="dxa" w:w="4819"/>
          </w:tcPr>
          <w:p>
            <w:pPr>
              <w:spacing w:after="20" w:before="20" w:line="240" w:lineRule="auto"/>
            </w:pPr>
            <w:r/>
            <w:r>
              <w:rPr>
                <w:rFonts w:ascii="Arial" w:hAnsi="Arial" w:cs="Arial"/>
                <w:b w:val="0"/>
                <w:i w:val="0"/>
                <w:sz w:val="17"/>
              </w:rPr>
              <w:t>Cloud incumbent replicates the workflow layer</w:t>
            </w:r>
          </w:p>
        </w:tc>
        <w:tc>
          <w:tcPr>
            <w:tcW w:type="dxa" w:w="4819"/>
          </w:tcPr>
          <w:p>
            <w:pPr>
              <w:spacing w:after="20" w:before="20" w:line="240" w:lineRule="auto"/>
            </w:pPr>
            <w:r/>
            <w:r>
              <w:rPr>
                <w:rFonts w:ascii="Arial" w:hAnsi="Arial" w:cs="Arial"/>
                <w:b w:val="0"/>
                <w:i w:val="0"/>
                <w:sz w:val="17"/>
              </w:rPr>
              <w:t>Zero-cost economic moat; moat layers cannot be copied</w:t>
            </w:r>
          </w:p>
        </w:tc>
      </w:tr>
      <w:tr>
        <w:tc>
          <w:tcPr>
            <w:tcW w:type="dxa" w:w="4819"/>
          </w:tcPr>
          <w:p>
            <w:pPr>
              <w:spacing w:after="20" w:before="20" w:line="240" w:lineRule="auto"/>
            </w:pPr>
            <w:r/>
            <w:r>
              <w:rPr>
                <w:rFonts w:ascii="Arial" w:hAnsi="Arial" w:cs="Arial"/>
                <w:b w:val="0"/>
                <w:i w:val="0"/>
                <w:sz w:val="17"/>
              </w:rPr>
              <w:t>Marketplace adds execution</w:t>
            </w:r>
          </w:p>
        </w:tc>
        <w:tc>
          <w:tcPr>
            <w:tcW w:type="dxa" w:w="4819"/>
          </w:tcPr>
          <w:p>
            <w:pPr>
              <w:spacing w:after="20" w:before="20" w:line="240" w:lineRule="auto"/>
            </w:pPr>
            <w:r/>
            <w:r>
              <w:rPr>
                <w:rFonts w:ascii="Arial" w:hAnsi="Arial" w:cs="Arial"/>
                <w:b w:val="0"/>
                <w:i w:val="0"/>
                <w:sz w:val="17"/>
              </w:rPr>
              <w:t>Non-marketplace constitution; structural neutrality</w:t>
            </w:r>
          </w:p>
        </w:tc>
      </w:tr>
      <w:tr>
        <w:tc>
          <w:tcPr>
            <w:tcW w:type="dxa" w:w="4819"/>
          </w:tcPr>
          <w:p>
            <w:pPr>
              <w:spacing w:after="20" w:before="20" w:line="240" w:lineRule="auto"/>
            </w:pPr>
            <w:r/>
            <w:r>
              <w:rPr>
                <w:rFonts w:ascii="Arial" w:hAnsi="Arial" w:cs="Arial"/>
                <w:b w:val="0"/>
                <w:i w:val="0"/>
                <w:sz w:val="17"/>
              </w:rPr>
              <w:t>Bank-owned trade platform</w:t>
            </w:r>
          </w:p>
        </w:tc>
        <w:tc>
          <w:tcPr>
            <w:tcW w:type="dxa" w:w="4819"/>
          </w:tcPr>
          <w:p>
            <w:pPr>
              <w:spacing w:after="20" w:before="20" w:line="240" w:lineRule="auto"/>
            </w:pPr>
            <w:r/>
            <w:r>
              <w:rPr>
                <w:rFonts w:ascii="Arial" w:hAnsi="Arial" w:cs="Arial"/>
                <w:b w:val="0"/>
                <w:i w:val="0"/>
                <w:sz w:val="17"/>
              </w:rPr>
              <w:t>Counterparty neutrality; jurisdiction supremacy</w:t>
            </w:r>
          </w:p>
        </w:tc>
      </w:tr>
      <w:tr>
        <w:tc>
          <w:tcPr>
            <w:tcW w:type="dxa" w:w="4819"/>
          </w:tcPr>
          <w:p>
            <w:pPr>
              <w:spacing w:after="20" w:before="20" w:line="240" w:lineRule="auto"/>
            </w:pPr>
            <w:r/>
            <w:r>
              <w:rPr>
                <w:rFonts w:ascii="Arial" w:hAnsi="Arial" w:cs="Arial"/>
                <w:b w:val="0"/>
                <w:i w:val="0"/>
                <w:sz w:val="17"/>
              </w:rPr>
              <w:t>Government-mandated national systems</w:t>
            </w:r>
          </w:p>
        </w:tc>
        <w:tc>
          <w:tcPr>
            <w:tcW w:type="dxa" w:w="4819"/>
          </w:tcPr>
          <w:p>
            <w:pPr>
              <w:spacing w:after="20" w:before="20" w:line="240" w:lineRule="auto"/>
            </w:pPr>
            <w:r/>
            <w:r>
              <w:rPr>
                <w:rFonts w:ascii="Arial" w:hAnsi="Arial" w:cs="Arial"/>
                <w:b w:val="0"/>
                <w:i w:val="0"/>
                <w:sz w:val="17"/>
              </w:rPr>
              <w:t>TCN integration model — mandates become moat</w:t>
            </w:r>
          </w:p>
        </w:tc>
      </w:tr>
      <w:tr>
        <w:tc>
          <w:tcPr>
            <w:tcW w:type="dxa" w:w="4819"/>
          </w:tcPr>
          <w:p>
            <w:pPr>
              <w:spacing w:after="20" w:before="20" w:line="240" w:lineRule="auto"/>
            </w:pPr>
            <w:r/>
            <w:r>
              <w:rPr>
                <w:rFonts w:ascii="Arial" w:hAnsi="Arial" w:cs="Arial"/>
                <w:b w:val="0"/>
                <w:i w:val="0"/>
                <w:sz w:val="17"/>
              </w:rPr>
              <w:t>Regulatory change</w:t>
            </w:r>
          </w:p>
        </w:tc>
        <w:tc>
          <w:tcPr>
            <w:tcW w:type="dxa" w:w="4819"/>
          </w:tcPr>
          <w:p>
            <w:pPr>
              <w:spacing w:after="20" w:before="20" w:line="240" w:lineRule="auto"/>
            </w:pPr>
            <w:r/>
            <w:r>
              <w:rPr>
                <w:rFonts w:ascii="Arial" w:hAnsi="Arial" w:cs="Arial"/>
                <w:b w:val="0"/>
                <w:i w:val="0"/>
                <w:sz w:val="17"/>
              </w:rPr>
              <w:t>RIA continuous updates; jurisdiction matrix (Section 20)</w:t>
            </w:r>
          </w:p>
        </w:tc>
      </w:tr>
      <w:tr>
        <w:tc>
          <w:tcPr>
            <w:tcW w:type="dxa" w:w="4819"/>
          </w:tcPr>
          <w:p>
            <w:pPr>
              <w:spacing w:after="20" w:before="20" w:line="240" w:lineRule="auto"/>
            </w:pPr>
            <w:r/>
            <w:r>
              <w:rPr>
                <w:rFonts w:ascii="Arial" w:hAnsi="Arial" w:cs="Arial"/>
                <w:b w:val="0"/>
                <w:i w:val="0"/>
                <w:sz w:val="17"/>
              </w:rPr>
              <w:t>Key-person / governance capture</w:t>
            </w:r>
          </w:p>
        </w:tc>
        <w:tc>
          <w:tcPr>
            <w:tcW w:type="dxa" w:w="4819"/>
          </w:tcPr>
          <w:p>
            <w:pPr>
              <w:spacing w:after="20" w:before="20" w:line="240" w:lineRule="auto"/>
            </w:pPr>
            <w:r/>
            <w:r>
              <w:rPr>
                <w:rFonts w:ascii="Arial" w:hAnsi="Arial" w:cs="Arial"/>
                <w:b w:val="0"/>
                <w:i w:val="0"/>
                <w:sz w:val="17"/>
              </w:rPr>
              <w:t>Multisig 3-of-5 governance; constitutional amendment process (Section 3)</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Mitigation timeline: the economic moat is present at launch; data and trust moats compound from the first trade; regulatory moats activate with the first government node; every quarter of operation extends the lead (see the roadmap phases, Section 24).</w:t>
      </w:r>
    </w:p>
    <w:p>
      <w:pPr>
        <w:keepNext/>
        <w:spacing w:before="180" w:after="80"/>
        <w:outlineLvl w:val="2"/>
      </w:pPr>
      <w:r>
        <w:rPr>
          <w:rFonts w:ascii="Arial" w:hAnsi="Arial" w:cs="Arial"/>
          <w:b/>
          <w:i w:val="0"/>
          <w:color w:val="333333"/>
          <w:sz w:val="23"/>
        </w:rPr>
        <w:t>23.1.10 Conclusion — Why the Platform Is Unassailable</w:t>
      </w:r>
    </w:p>
    <w:p>
      <w:pPr>
        <w:spacing w:after="80" w:line="293" w:lineRule="auto"/>
        <w:jc w:val="left"/>
      </w:pPr>
      <w:r>
        <w:rPr>
          <w:rFonts w:ascii="Times New Roman" w:hAnsi="Times New Roman" w:cs="Times New Roman"/>
          <w:b w:val="0"/>
          <w:i w:val="0"/>
          <w:sz w:val="22"/>
        </w:rPr>
        <w:t>The platform is not merely software; it is a trust network that becomes more valuable with every trade. The combination of Trade Memory (proprietary historical data), Trust Passport &amp; TRI (portable, verified reputation), the Institutional Trade Graph (network effects), zero-cost infrastructure (economic moat), government mandates (legal moat), full-disclosure financing (trust moat), and non-custodial architecture (security moat) creates a multi-layered defence that no competitor can realistically breach. Competitors can copy code, but they cannot copy trust, history, or network density. This is the platform's ultimate competitive moat — and why it will become the global standard for sovereign trade execution.</w:t>
      </w:r>
    </w:p>
    <w:p>
      <w:pPr>
        <w:keepNext/>
        <w:spacing w:before="240" w:after="100"/>
        <w:outlineLvl w:val="1"/>
      </w:pPr>
      <w:r>
        <w:rPr>
          <w:rFonts w:ascii="Arial" w:hAnsi="Arial" w:cs="Arial"/>
          <w:b/>
          <w:i w:val="0"/>
          <w:color w:val="2E528F"/>
          <w:sz w:val="26"/>
        </w:rPr>
        <w:t>23.2 Trade Corridor Network (TCN) Extension</w:t>
      </w:r>
    </w:p>
    <w:p>
      <w:pPr>
        <w:keepNext/>
        <w:spacing w:before="180" w:after="80"/>
        <w:outlineLvl w:val="2"/>
      </w:pPr>
      <w:r>
        <w:rPr>
          <w:rFonts w:ascii="Arial" w:hAnsi="Arial" w:cs="Arial"/>
          <w:b/>
          <w:i w:val="0"/>
          <w:color w:val="333333"/>
          <w:sz w:val="23"/>
        </w:rPr>
        <w:t>23.2.1 Purpose &amp; Design Principles</w:t>
      </w:r>
    </w:p>
    <w:p>
      <w:pPr>
        <w:spacing w:after="80" w:line="293" w:lineRule="auto"/>
        <w:jc w:val="left"/>
      </w:pPr>
      <w:r>
        <w:rPr>
          <w:rFonts w:ascii="Times New Roman" w:hAnsi="Times New Roman" w:cs="Times New Roman"/>
          <w:b w:val="0"/>
          <w:i w:val="0"/>
          <w:sz w:val="22"/>
        </w:rPr>
        <w:t>The Trade Corridor Network (TCN) is a global digital infrastructure layer that connects governments, ports, customs authorities, logistics providers, banks, insurers, exporters, importers, and trade corridors through standardized trade lifecycle intelligence. The Egypt–Italy RoRo corridor is the first production corridor, with the Red Sea RoRo corridor as the second strategic corridor.</w:t>
      </w:r>
    </w:p>
    <w:p>
      <w:pPr>
        <w:spacing w:after="80" w:line="293" w:lineRule="auto"/>
        <w:jc w:val="left"/>
      </w:pPr>
      <w:r>
        <w:rPr>
          <w:rFonts w:ascii="Times New Roman" w:hAnsi="Times New Roman" w:cs="Times New Roman"/>
          <w:b w:val="0"/>
          <w:i w:val="0"/>
          <w:sz w:val="22"/>
        </w:rPr>
        <w:t>Why this matters: most trade platforms focus on the chain Company → Shipment → Payment. The TCN focuses on the full chain:</w:t>
      </w:r>
    </w:p>
    <w:p>
      <w:pPr>
        <w:spacing w:after="0" w:before="0" w:line="240" w:lineRule="auto"/>
        <w:ind w:left="57"/>
        <w:jc w:val="left"/>
        <w:shd w:val="clear" w:fill="F2F2F2"/>
      </w:pPr>
      <w:r>
        <w:rPr>
          <w:rFonts w:ascii="Consolas" w:hAnsi="Consolas" w:cs="Consolas"/>
          <w:b w:val="0"/>
          <w:i w:val="0"/>
          <w:sz w:val="15"/>
        </w:rPr>
        <w:t>Entity → Trade → Compliance → Contract → Corridor → Movement → Inspection</w:t>
      </w:r>
    </w:p>
    <w:p>
      <w:pPr>
        <w:spacing w:after="0" w:before="0" w:line="240" w:lineRule="auto"/>
        <w:ind w:left="57"/>
        <w:jc w:val="left"/>
        <w:shd w:val="clear" w:fill="F2F2F2"/>
      </w:pPr>
      <w:r>
        <w:rPr>
          <w:rFonts w:ascii="Consolas" w:hAnsi="Consolas" w:cs="Consolas"/>
          <w:b w:val="0"/>
          <w:i w:val="0"/>
          <w:sz w:val="15"/>
        </w:rPr>
        <w:t>→ Settlement → Intelligence → Government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This creates a closed-loop trade ecosystem.</w:t>
      </w:r>
    </w:p>
    <w:p>
      <w:pPr>
        <w:spacing w:after="80" w:line="293" w:lineRule="auto"/>
        <w:jc w:val="left"/>
      </w:pPr>
      <w:r>
        <w:rPr>
          <w:rFonts w:ascii="Times New Roman" w:hAnsi="Times New Roman" w:cs="Times New Roman"/>
          <w:b w:val="0"/>
          <w:i w:val="0"/>
          <w:sz w:val="22"/>
        </w:rPr>
        <w:t>Key principles:</w:t>
      </w:r>
    </w:p>
    <w:p>
      <w:pPr>
        <w:spacing w:after="80" w:line="293" w:lineRule="auto"/>
        <w:ind w:left="283"/>
        <w:jc w:val="left"/>
      </w:pPr>
      <w:r>
        <w:rPr>
          <w:rFonts w:ascii="Times New Roman" w:hAnsi="Times New Roman" w:cs="Times New Roman"/>
          <w:b w:val="0"/>
          <w:i w:val="0"/>
          <w:sz w:val="22"/>
        </w:rPr>
        <w:t>- Government-integrated — each country gets a government node.</w:t>
      </w:r>
    </w:p>
    <w:p>
      <w:pPr>
        <w:spacing w:after="80" w:line="293" w:lineRule="auto"/>
        <w:ind w:left="283"/>
        <w:jc w:val="left"/>
      </w:pPr>
      <w:r>
        <w:rPr>
          <w:rFonts w:ascii="Times New Roman" w:hAnsi="Times New Roman" w:cs="Times New Roman"/>
          <w:b w:val="0"/>
          <w:i w:val="0"/>
          <w:sz w:val="22"/>
        </w:rPr>
        <w:t>- Corridor-focused — trade lanes are first-class entities.</w:t>
      </w:r>
    </w:p>
    <w:p>
      <w:pPr>
        <w:spacing w:after="80" w:line="293" w:lineRule="auto"/>
        <w:ind w:left="283"/>
        <w:jc w:val="left"/>
      </w:pPr>
      <w:r>
        <w:rPr>
          <w:rFonts w:ascii="Times New Roman" w:hAnsi="Times New Roman" w:cs="Times New Roman"/>
          <w:b w:val="0"/>
          <w:i w:val="0"/>
          <w:sz w:val="22"/>
        </w:rPr>
        <w:t>- AI-assisted, never autonomous — the eligibility engine (A2) advises, never blocks.</w:t>
      </w:r>
    </w:p>
    <w:p>
      <w:pPr>
        <w:spacing w:after="80" w:line="293" w:lineRule="auto"/>
        <w:ind w:left="283"/>
        <w:jc w:val="left"/>
      </w:pPr>
      <w:r>
        <w:rPr>
          <w:rFonts w:ascii="Times New Roman" w:hAnsi="Times New Roman" w:cs="Times New Roman"/>
          <w:b w:val="0"/>
          <w:i w:val="0"/>
          <w:sz w:val="22"/>
        </w:rPr>
        <w:t>- Non-marketplace — never recommends carriers, brokers, or service providers.</w:t>
      </w:r>
    </w:p>
    <w:p>
      <w:pPr>
        <w:spacing w:after="80" w:line="293" w:lineRule="auto"/>
        <w:ind w:left="283"/>
        <w:jc w:val="left"/>
      </w:pPr>
      <w:r>
        <w:rPr>
          <w:rFonts w:ascii="Times New Roman" w:hAnsi="Times New Roman" w:cs="Times New Roman"/>
          <w:b w:val="0"/>
          <w:i w:val="0"/>
          <w:sz w:val="22"/>
        </w:rPr>
        <w:t>- Zero-cost — all components use existing open-source infrastructure.</w:t>
      </w:r>
    </w:p>
    <w:p>
      <w:pPr>
        <w:spacing w:after="80" w:line="293" w:lineRule="auto"/>
        <w:jc w:val="left"/>
      </w:pPr>
      <w:r>
        <w:rPr>
          <w:rFonts w:ascii="Times New Roman" w:hAnsi="Times New Roman" w:cs="Times New Roman"/>
          <w:b w:val="0"/>
          <w:i w:val="0"/>
          <w:sz w:val="22"/>
        </w:rPr>
        <w:t>AI integration: A2 (XGBoost/LightGBM) for corridor eligibility scoring; A1 (Groq) for plain-language explanations; A4 (OPA + WasmEdge) for corridor compliance gates; the RIA (Section 20) for regulation-derived corridor data.</w:t>
      </w:r>
    </w:p>
    <w:p>
      <w:pPr>
        <w:keepNext/>
        <w:spacing w:before="180" w:after="80"/>
        <w:outlineLvl w:val="2"/>
      </w:pPr>
      <w:r>
        <w:rPr>
          <w:rFonts w:ascii="Arial" w:hAnsi="Arial" w:cs="Arial"/>
          <w:b/>
          <w:i w:val="0"/>
          <w:color w:val="333333"/>
          <w:sz w:val="23"/>
        </w:rPr>
        <w:t>23.2.2 What is RoRo (Roll-on/Roll-off)?</w:t>
      </w:r>
    </w:p>
    <w:p>
      <w:pPr>
        <w:spacing w:after="80" w:line="293" w:lineRule="auto"/>
        <w:jc w:val="left"/>
      </w:pPr>
      <w:r>
        <w:rPr>
          <w:rFonts w:ascii="Times New Roman" w:hAnsi="Times New Roman" w:cs="Times New Roman"/>
          <w:b w:val="0"/>
          <w:i w:val="0"/>
          <w:sz w:val="22"/>
        </w:rPr>
        <w:t>RoRo (Roll-on/Roll-off) is a transport system where cargo is driven or rolled directly onto a vessel and rolled off at the destination, instead of being loaded into traditional shipping containers.</w:t>
      </w:r>
    </w:p>
    <w:p>
      <w:pPr>
        <w:spacing w:after="80" w:line="293" w:lineRule="auto"/>
        <w:jc w:val="left"/>
      </w:pPr>
      <w:r>
        <w:rPr>
          <w:rFonts w:ascii="Times New Roman" w:hAnsi="Times New Roman" w:cs="Times New Roman"/>
          <w:b w:val="0"/>
          <w:i w:val="0"/>
          <w:sz w:val="22"/>
        </w:rPr>
        <w:t>Typical RoRo cargo: trucks; trailers; refrigerated trailers; cars; heavy equipment; agricultural cargo; palletized cargo; industrial machinery; project cargo.</w:t>
      </w:r>
    </w:p>
    <w:p>
      <w:pPr>
        <w:spacing w:after="80" w:line="293" w:lineRule="auto"/>
        <w:jc w:val="left"/>
      </w:pPr>
      <w:r>
        <w:rPr>
          <w:rFonts w:ascii="Times New Roman" w:hAnsi="Times New Roman" w:cs="Times New Roman"/>
          <w:b w:val="0"/>
          <w:i w:val="0"/>
          <w:sz w:val="22"/>
        </w:rPr>
        <w:t>Traditional container flow:</w:t>
      </w:r>
    </w:p>
    <w:p>
      <w:pPr>
        <w:spacing w:after="0" w:before="0" w:line="240" w:lineRule="auto"/>
        <w:ind w:left="57"/>
        <w:jc w:val="left"/>
        <w:shd w:val="clear" w:fill="F2F2F2"/>
      </w:pPr>
      <w:r>
        <w:rPr>
          <w:rFonts w:ascii="Consolas" w:hAnsi="Consolas" w:cs="Consolas"/>
          <w:b w:val="0"/>
          <w:i w:val="0"/>
          <w:sz w:val="15"/>
        </w:rPr>
        <w:t>Factory → Container Stuffing → Port Storage → Container Loading → Ocean Transit</w:t>
      </w:r>
    </w:p>
    <w:p>
      <w:pPr>
        <w:spacing w:after="0" w:before="0" w:line="240" w:lineRule="auto"/>
        <w:ind w:left="57"/>
        <w:jc w:val="left"/>
        <w:shd w:val="clear" w:fill="F2F2F2"/>
      </w:pPr>
      <w:r>
        <w:rPr>
          <w:rFonts w:ascii="Consolas" w:hAnsi="Consolas" w:cs="Consolas"/>
          <w:b w:val="0"/>
          <w:i w:val="0"/>
          <w:sz w:val="15"/>
        </w:rPr>
        <w:t>→ Port Unloading → Container De-stuffing → Final Delivery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RoRo flow:</w:t>
      </w:r>
    </w:p>
    <w:p>
      <w:pPr>
        <w:spacing w:after="0" w:before="0" w:line="240" w:lineRule="auto"/>
        <w:ind w:left="57"/>
        <w:jc w:val="left"/>
        <w:shd w:val="clear" w:fill="F2F2F2"/>
      </w:pPr>
      <w:r>
        <w:rPr>
          <w:rFonts w:ascii="Consolas" w:hAnsi="Consolas" w:cs="Consolas"/>
          <w:b w:val="0"/>
          <w:i w:val="0"/>
          <w:sz w:val="15"/>
        </w:rPr>
        <w:t>Factory → Truck / Trailer → Drive onto Vessel → Ocean Transit</w:t>
      </w:r>
    </w:p>
    <w:p>
      <w:pPr>
        <w:spacing w:after="0" w:before="0" w:line="240" w:lineRule="auto"/>
        <w:ind w:left="57"/>
        <w:jc w:val="left"/>
        <w:shd w:val="clear" w:fill="F2F2F2"/>
      </w:pPr>
      <w:r>
        <w:rPr>
          <w:rFonts w:ascii="Consolas" w:hAnsi="Consolas" w:cs="Consolas"/>
          <w:b w:val="0"/>
          <w:i w:val="0"/>
          <w:sz w:val="15"/>
        </w:rPr>
        <w:t>→ Drive off Vessel → Final Delivery</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Benefits: faster transit (5–7 days vs 14+ days), lower handling, less cargo damage, better for perishables, reduced port congestion, and lower logistics complexity.</w:t>
      </w:r>
    </w:p>
    <w:p>
      <w:pPr>
        <w:keepNext/>
        <w:spacing w:before="180" w:after="80"/>
        <w:outlineLvl w:val="2"/>
      </w:pPr>
      <w:r>
        <w:rPr>
          <w:rFonts w:ascii="Arial" w:hAnsi="Arial" w:cs="Arial"/>
          <w:b/>
          <w:i w:val="0"/>
          <w:color w:val="333333"/>
          <w:sz w:val="23"/>
        </w:rPr>
        <w:t>23.2.3 Corridor Registry</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master database of all recognized trade corridors.</w:t>
      </w:r>
    </w:p>
    <w:p>
      <w:pPr>
        <w:spacing w:after="0" w:before="0" w:line="240" w:lineRule="auto"/>
        <w:ind w:left="57"/>
        <w:jc w:val="left"/>
        <w:shd w:val="clear" w:fill="F2F2F2"/>
      </w:pPr>
      <w:r>
        <w:rPr>
          <w:rFonts w:ascii="Consolas" w:hAnsi="Consolas" w:cs="Consolas"/>
          <w:b w:val="0"/>
          <w:i w:val="0"/>
          <w:sz w:val="15"/>
        </w:rPr>
        <w:t>CREATE TABLE trade_corridors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corridor_code TEXT UNIQUE NOT NULL,       -- 'EGY-ITA-RORO-001'</w:t>
      </w:r>
    </w:p>
    <w:p>
      <w:pPr>
        <w:spacing w:after="0" w:before="0" w:line="240" w:lineRule="auto"/>
        <w:ind w:left="57"/>
        <w:jc w:val="left"/>
        <w:shd w:val="clear" w:fill="F2F2F2"/>
      </w:pPr>
      <w:r>
        <w:rPr>
          <w:rFonts w:ascii="Consolas" w:hAnsi="Consolas" w:cs="Consolas"/>
          <w:b w:val="0"/>
          <w:i w:val="0"/>
          <w:sz w:val="15"/>
        </w:rPr>
        <w:t xml:space="preserve">  corridor_name TEXT NOT NULL,</w:t>
      </w:r>
    </w:p>
    <w:p>
      <w:pPr>
        <w:spacing w:after="0" w:before="0" w:line="240" w:lineRule="auto"/>
        <w:ind w:left="57"/>
        <w:jc w:val="left"/>
        <w:shd w:val="clear" w:fill="F2F2F2"/>
      </w:pPr>
      <w:r>
        <w:rPr>
          <w:rFonts w:ascii="Consolas" w:hAnsi="Consolas" w:cs="Consolas"/>
          <w:b w:val="0"/>
          <w:i w:val="0"/>
          <w:sz w:val="15"/>
        </w:rPr>
        <w:t xml:space="preserve">  corridor_name_ar TEXT,</w:t>
      </w:r>
    </w:p>
    <w:p>
      <w:pPr>
        <w:spacing w:after="0" w:before="0" w:line="240" w:lineRule="auto"/>
        <w:ind w:left="57"/>
        <w:jc w:val="left"/>
        <w:shd w:val="clear" w:fill="F2F2F2"/>
      </w:pPr>
      <w:r>
        <w:rPr>
          <w:rFonts w:ascii="Consolas" w:hAnsi="Consolas" w:cs="Consolas"/>
          <w:b w:val="0"/>
          <w:i w:val="0"/>
          <w:sz w:val="15"/>
        </w:rPr>
        <w:t xml:space="preserve">  corridor_type TEXT NOT NULL,              -- 'RORO','MARITIME','RAIL','ROAD','AIR','MULTIMODAL','ECONOMIC'</w:t>
      </w:r>
    </w:p>
    <w:p>
      <w:pPr>
        <w:spacing w:after="0" w:before="0" w:line="240" w:lineRule="auto"/>
        <w:ind w:left="57"/>
        <w:jc w:val="left"/>
        <w:shd w:val="clear" w:fill="F2F2F2"/>
      </w:pPr>
      <w:r>
        <w:rPr>
          <w:rFonts w:ascii="Consolas" w:hAnsi="Consolas" w:cs="Consolas"/>
          <w:b w:val="0"/>
          <w:i w:val="0"/>
          <w:sz w:val="15"/>
        </w:rPr>
        <w:t xml:space="preserve">  origin_country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destination_country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origin_ports TEXT[],</w:t>
      </w:r>
    </w:p>
    <w:p>
      <w:pPr>
        <w:spacing w:after="0" w:before="0" w:line="240" w:lineRule="auto"/>
        <w:ind w:left="57"/>
        <w:jc w:val="left"/>
        <w:shd w:val="clear" w:fill="F2F2F2"/>
      </w:pPr>
      <w:r>
        <w:rPr>
          <w:rFonts w:ascii="Consolas" w:hAnsi="Consolas" w:cs="Consolas"/>
          <w:b w:val="0"/>
          <w:i w:val="0"/>
          <w:sz w:val="15"/>
        </w:rPr>
        <w:t xml:space="preserve">  destination_ports TEXT[],</w:t>
      </w:r>
    </w:p>
    <w:p>
      <w:pPr>
        <w:spacing w:after="0" w:before="0" w:line="240" w:lineRule="auto"/>
        <w:ind w:left="57"/>
        <w:jc w:val="left"/>
        <w:shd w:val="clear" w:fill="F2F2F2"/>
      </w:pPr>
      <w:r>
        <w:rPr>
          <w:rFonts w:ascii="Consolas" w:hAnsi="Consolas" w:cs="Consolas"/>
          <w:b w:val="0"/>
          <w:i w:val="0"/>
          <w:sz w:val="15"/>
        </w:rPr>
        <w:t xml:space="preserve">  corridor_owner_gtid TEXT REFERENCES tenants(gtid),</w:t>
      </w:r>
    </w:p>
    <w:p>
      <w:pPr>
        <w:spacing w:after="0" w:before="0" w:line="240" w:lineRule="auto"/>
        <w:ind w:left="57"/>
        <w:jc w:val="left"/>
        <w:shd w:val="clear" w:fill="F2F2F2"/>
      </w:pPr>
      <w:r>
        <w:rPr>
          <w:rFonts w:ascii="Consolas" w:hAnsi="Consolas" w:cs="Consolas"/>
          <w:b w:val="0"/>
          <w:i w:val="0"/>
          <w:sz w:val="15"/>
        </w:rPr>
        <w:t xml:space="preserve">  status TEXT DEFAULT 'DRAFT',              -- 'DRAFT','VERIFIED','CERTIFIED','STRATEGIC','NATIONAL_PRIORITY'</w:t>
      </w:r>
    </w:p>
    <w:p>
      <w:pPr>
        <w:spacing w:after="0" w:before="0" w:line="240" w:lineRule="auto"/>
        <w:ind w:left="57"/>
        <w:jc w:val="left"/>
        <w:shd w:val="clear" w:fill="F2F2F2"/>
      </w:pPr>
      <w:r>
        <w:rPr>
          <w:rFonts w:ascii="Consolas" w:hAnsi="Consolas" w:cs="Consolas"/>
          <w:b w:val="0"/>
          <w:i w:val="0"/>
          <w:sz w:val="15"/>
        </w:rPr>
        <w:t xml:space="preserve">  verification_status TEXT DEFAULT 'PENDING', -- 'PENDING','GOVERNMENT_VERIFIED','MULTISIG_VERIFIED'</w:t>
      </w:r>
    </w:p>
    <w:p>
      <w:pPr>
        <w:spacing w:after="0" w:before="0" w:line="240" w:lineRule="auto"/>
        <w:ind w:left="57"/>
        <w:jc w:val="left"/>
        <w:shd w:val="clear" w:fill="F2F2F2"/>
      </w:pPr>
      <w:r>
        <w:rPr>
          <w:rFonts w:ascii="Consolas" w:hAnsi="Consolas" w:cs="Consolas"/>
          <w:b w:val="0"/>
          <w:i w:val="0"/>
          <w:sz w:val="15"/>
        </w:rPr>
        <w:t xml:space="preserve">  operational_status TEXT DEFAULT 'ACTIVE', -- 'ACTIVE','MAINTENANCE','SUSPENDED'</w:t>
      </w:r>
    </w:p>
    <w:p>
      <w:pPr>
        <w:spacing w:after="0" w:before="0" w:line="240" w:lineRule="auto"/>
        <w:ind w:left="57"/>
        <w:jc w:val="left"/>
        <w:shd w:val="clear" w:fill="F2F2F2"/>
      </w:pPr>
      <w:r>
        <w:rPr>
          <w:rFonts w:ascii="Consolas" w:hAnsi="Consolas" w:cs="Consolas"/>
          <w:b w:val="0"/>
          <w:i w:val="0"/>
          <w:sz w:val="15"/>
        </w:rPr>
        <w:t xml:space="preserve">  verification_multisig TEXT[],             -- GTIDs of verifiers</w:t>
      </w:r>
    </w:p>
    <w:p>
      <w:pPr>
        <w:spacing w:after="0" w:before="0" w:line="240" w:lineRule="auto"/>
        <w:ind w:left="57"/>
        <w:jc w:val="left"/>
        <w:shd w:val="clear" w:fill="F2F2F2"/>
      </w:pPr>
      <w:r>
        <w:rPr>
          <w:rFonts w:ascii="Consolas" w:hAnsi="Consolas" w:cs="Consolas"/>
          <w:b w:val="0"/>
          <w:i w:val="0"/>
          <w:sz w:val="15"/>
        </w:rPr>
        <w:t xml:space="preserve">  last_verified_at TIMESTAMPTZ,</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Corridor Code</w:t>
            </w:r>
          </w:p>
        </w:tc>
        <w:tc>
          <w:tcPr>
            <w:tcW w:type="dxa" w:w="4819"/>
            <w:shd w:val="clear" w:fill="D9E2F3"/>
          </w:tcPr>
          <w:p>
            <w:pPr>
              <w:spacing w:after="20" w:before="20" w:line="240" w:lineRule="auto"/>
            </w:pPr>
            <w:r/>
            <w:r>
              <w:rPr>
                <w:rFonts w:ascii="Arial" w:hAnsi="Arial" w:cs="Arial"/>
                <w:b/>
                <w:i w:val="0"/>
                <w:sz w:val="18"/>
              </w:rPr>
              <w:t>Corridor</w:t>
            </w:r>
          </w:p>
        </w:tc>
      </w:tr>
      <w:tr>
        <w:tc>
          <w:tcPr>
            <w:tcW w:type="dxa" w:w="4819"/>
          </w:tcPr>
          <w:p>
            <w:pPr>
              <w:spacing w:after="20" w:before="20" w:line="240" w:lineRule="auto"/>
            </w:pPr>
            <w:r/>
            <w:r>
              <w:rPr>
                <w:rFonts w:ascii="Arial" w:hAnsi="Arial" w:cs="Arial"/>
                <w:b w:val="0"/>
                <w:i w:val="0"/>
                <w:sz w:val="17"/>
              </w:rPr>
              <w:t>EGY-ITA-RORO-001</w:t>
            </w:r>
          </w:p>
        </w:tc>
        <w:tc>
          <w:tcPr>
            <w:tcW w:type="dxa" w:w="4819"/>
          </w:tcPr>
          <w:p>
            <w:pPr>
              <w:spacing w:after="20" w:before="20" w:line="240" w:lineRule="auto"/>
            </w:pPr>
            <w:r/>
            <w:r>
              <w:rPr>
                <w:rFonts w:ascii="Arial" w:hAnsi="Arial" w:cs="Arial"/>
                <w:b w:val="0"/>
                <w:i w:val="0"/>
                <w:sz w:val="17"/>
              </w:rPr>
              <w:t>Egypt ↔ Italy RoRo (Mediterranean)</w:t>
            </w:r>
          </w:p>
        </w:tc>
      </w:tr>
      <w:tr>
        <w:tc>
          <w:tcPr>
            <w:tcW w:type="dxa" w:w="4819"/>
          </w:tcPr>
          <w:p>
            <w:pPr>
              <w:spacing w:after="20" w:before="20" w:line="240" w:lineRule="auto"/>
            </w:pPr>
            <w:r/>
            <w:r>
              <w:rPr>
                <w:rFonts w:ascii="Arial" w:hAnsi="Arial" w:cs="Arial"/>
                <w:b w:val="0"/>
                <w:i w:val="0"/>
                <w:sz w:val="17"/>
              </w:rPr>
              <w:t>EGY-KSA-RORO-001</w:t>
            </w:r>
          </w:p>
        </w:tc>
        <w:tc>
          <w:tcPr>
            <w:tcW w:type="dxa" w:w="4819"/>
          </w:tcPr>
          <w:p>
            <w:pPr>
              <w:spacing w:after="20" w:before="20" w:line="240" w:lineRule="auto"/>
            </w:pPr>
            <w:r/>
            <w:r>
              <w:rPr>
                <w:rFonts w:ascii="Arial" w:hAnsi="Arial" w:cs="Arial"/>
                <w:b w:val="0"/>
                <w:i w:val="0"/>
                <w:sz w:val="17"/>
              </w:rPr>
              <w:t>Egypt ↔ Saudi Arabia RoRo (Red Sea)</w:t>
            </w:r>
          </w:p>
        </w:tc>
      </w:tr>
      <w:tr>
        <w:tc>
          <w:tcPr>
            <w:tcW w:type="dxa" w:w="4819"/>
          </w:tcPr>
          <w:p>
            <w:pPr>
              <w:spacing w:after="20" w:before="20" w:line="240" w:lineRule="auto"/>
            </w:pPr>
            <w:r/>
            <w:r>
              <w:rPr>
                <w:rFonts w:ascii="Arial" w:hAnsi="Arial" w:cs="Arial"/>
                <w:b w:val="0"/>
                <w:i w:val="0"/>
                <w:sz w:val="17"/>
              </w:rPr>
              <w:t>EGY-UAE-RORO-001</w:t>
            </w:r>
          </w:p>
        </w:tc>
        <w:tc>
          <w:tcPr>
            <w:tcW w:type="dxa" w:w="4819"/>
          </w:tcPr>
          <w:p>
            <w:pPr>
              <w:spacing w:after="20" w:before="20" w:line="240" w:lineRule="auto"/>
            </w:pPr>
            <w:r/>
            <w:r>
              <w:rPr>
                <w:rFonts w:ascii="Arial" w:hAnsi="Arial" w:cs="Arial"/>
                <w:b w:val="0"/>
                <w:i w:val="0"/>
                <w:sz w:val="17"/>
              </w:rPr>
              <w:t>Egypt ↔ UAE RoRo (Red Sea)</w:t>
            </w:r>
          </w:p>
        </w:tc>
      </w:tr>
      <w:tr>
        <w:tc>
          <w:tcPr>
            <w:tcW w:type="dxa" w:w="4819"/>
          </w:tcPr>
          <w:p>
            <w:pPr>
              <w:spacing w:after="20" w:before="20" w:line="240" w:lineRule="auto"/>
            </w:pPr>
            <w:r/>
            <w:r>
              <w:rPr>
                <w:rFonts w:ascii="Arial" w:hAnsi="Arial" w:cs="Arial"/>
                <w:b w:val="0"/>
                <w:i w:val="0"/>
                <w:sz w:val="17"/>
              </w:rPr>
              <w:t>EGY-JOR-RORO-001</w:t>
            </w:r>
          </w:p>
        </w:tc>
        <w:tc>
          <w:tcPr>
            <w:tcW w:type="dxa" w:w="4819"/>
          </w:tcPr>
          <w:p>
            <w:pPr>
              <w:spacing w:after="20" w:before="20" w:line="240" w:lineRule="auto"/>
            </w:pPr>
            <w:r/>
            <w:r>
              <w:rPr>
                <w:rFonts w:ascii="Arial" w:hAnsi="Arial" w:cs="Arial"/>
                <w:b w:val="0"/>
                <w:i w:val="0"/>
                <w:sz w:val="17"/>
              </w:rPr>
              <w:t>Egypt ↔ Jordan RoRo (Red Sea)</w:t>
            </w:r>
          </w:p>
        </w:tc>
      </w:tr>
      <w:tr>
        <w:tc>
          <w:tcPr>
            <w:tcW w:type="dxa" w:w="4819"/>
          </w:tcPr>
          <w:p>
            <w:pPr>
              <w:spacing w:after="20" w:before="20" w:line="240" w:lineRule="auto"/>
            </w:pPr>
            <w:r/>
            <w:r>
              <w:rPr>
                <w:rFonts w:ascii="Arial" w:hAnsi="Arial" w:cs="Arial"/>
                <w:b w:val="0"/>
                <w:i w:val="0"/>
                <w:sz w:val="17"/>
              </w:rPr>
              <w:t>EGY-SUD-RORO-001</w:t>
            </w:r>
          </w:p>
        </w:tc>
        <w:tc>
          <w:tcPr>
            <w:tcW w:type="dxa" w:w="4819"/>
          </w:tcPr>
          <w:p>
            <w:pPr>
              <w:spacing w:after="20" w:before="20" w:line="240" w:lineRule="auto"/>
            </w:pPr>
            <w:r/>
            <w:r>
              <w:rPr>
                <w:rFonts w:ascii="Arial" w:hAnsi="Arial" w:cs="Arial"/>
                <w:b w:val="0"/>
                <w:i w:val="0"/>
                <w:sz w:val="17"/>
              </w:rPr>
              <w:t>Egypt ↔ Sudan RoRo (Red Sea)</w:t>
            </w:r>
          </w:p>
        </w:tc>
      </w:tr>
      <w:tr>
        <w:tc>
          <w:tcPr>
            <w:tcW w:type="dxa" w:w="4819"/>
          </w:tcPr>
          <w:p>
            <w:pPr>
              <w:spacing w:after="20" w:before="20" w:line="240" w:lineRule="auto"/>
            </w:pPr>
            <w:r/>
            <w:r>
              <w:rPr>
                <w:rFonts w:ascii="Arial" w:hAnsi="Arial" w:cs="Arial"/>
                <w:b w:val="0"/>
                <w:i w:val="0"/>
                <w:sz w:val="17"/>
              </w:rPr>
              <w:t>IND-UAE-IMEC-001</w:t>
            </w:r>
          </w:p>
        </w:tc>
        <w:tc>
          <w:tcPr>
            <w:tcW w:type="dxa" w:w="4819"/>
          </w:tcPr>
          <w:p>
            <w:pPr>
              <w:spacing w:after="20" w:before="20" w:line="240" w:lineRule="auto"/>
            </w:pPr>
            <w:r/>
            <w:r>
              <w:rPr>
                <w:rFonts w:ascii="Arial" w:hAnsi="Arial" w:cs="Arial"/>
                <w:b w:val="0"/>
                <w:i w:val="0"/>
                <w:sz w:val="17"/>
              </w:rPr>
              <w:t>India ↔ UAE (IMEC)</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Corridor types: RoRo, Maritime, Rail, Road, Air, Multimodal, Economic Corridor.</w:t>
      </w:r>
    </w:p>
    <w:p>
      <w:pPr>
        <w:keepNext/>
        <w:spacing w:before="180" w:after="80"/>
        <w:outlineLvl w:val="2"/>
      </w:pPr>
      <w:r>
        <w:rPr>
          <w:rFonts w:ascii="Arial" w:hAnsi="Arial" w:cs="Arial"/>
          <w:b/>
          <w:i w:val="0"/>
          <w:color w:val="333333"/>
          <w:sz w:val="23"/>
        </w:rPr>
        <w:t>23.2.4 Trade Lane Passport</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every corridor has a digital passport with commercial, logistics, financial, and compliance metadata.</w:t>
      </w:r>
    </w:p>
    <w:p>
      <w:pPr>
        <w:keepNext/>
        <w:spacing w:before="140" w:after="60"/>
        <w:outlineLvl w:val="3"/>
      </w:pPr>
      <w:r>
        <w:rPr>
          <w:rFonts w:ascii="Arial" w:hAnsi="Arial" w:cs="Arial"/>
          <w:b/>
          <w:i/>
          <w:color w:val="333333"/>
          <w:sz w:val="22"/>
        </w:rPr>
        <w:t>23.2.4.1 Egypt–Italy RoRo Passport (Mediterranean)</w:t>
      </w:r>
    </w:p>
    <w:p>
      <w:pPr>
        <w:spacing w:after="80" w:line="293" w:lineRule="auto"/>
        <w:ind w:left="283"/>
        <w:jc w:val="left"/>
      </w:pPr>
      <w:r>
        <w:rPr>
          <w:rFonts w:ascii="Times New Roman" w:hAnsi="Times New Roman" w:cs="Times New Roman"/>
          <w:b w:val="0"/>
          <w:i w:val="0"/>
          <w:sz w:val="22"/>
        </w:rPr>
        <w:t>- Commercial: Common Incoterms — FOB, CIF, DAP, DDP. Typical Cargo Types — fresh produce,</w:t>
      </w:r>
    </w:p>
    <w:p>
      <w:pPr>
        <w:spacing w:after="80" w:line="293" w:lineRule="auto"/>
        <w:jc w:val="left"/>
      </w:pPr>
      <w:r>
        <w:rPr>
          <w:rFonts w:ascii="Times New Roman" w:hAnsi="Times New Roman" w:cs="Times New Roman"/>
          <w:b w:val="0"/>
          <w:i w:val="0"/>
          <w:sz w:val="22"/>
        </w:rPr>
        <w:t>vehicles, industrial goods, refrigerated cargo.</w:t>
      </w:r>
    </w:p>
    <w:p>
      <w:pPr>
        <w:spacing w:after="80" w:line="293" w:lineRule="auto"/>
        <w:ind w:left="283"/>
        <w:jc w:val="left"/>
      </w:pPr>
      <w:r>
        <w:rPr>
          <w:rFonts w:ascii="Times New Roman" w:hAnsi="Times New Roman" w:cs="Times New Roman"/>
          <w:b w:val="0"/>
          <w:i w:val="0"/>
          <w:sz w:val="22"/>
        </w:rPr>
        <w:t>- Logistics: Average Transit — 5–7 days. Ports — Damietta, Alexandria, Port Said ↔ Trieste,</w:t>
      </w:r>
    </w:p>
    <w:p>
      <w:pPr>
        <w:spacing w:after="80" w:line="293" w:lineRule="auto"/>
        <w:jc w:val="left"/>
      </w:pPr>
      <w:r>
        <w:rPr>
          <w:rFonts w:ascii="Times New Roman" w:hAnsi="Times New Roman" w:cs="Times New Roman"/>
          <w:b w:val="0"/>
          <w:i w:val="0"/>
          <w:sz w:val="22"/>
        </w:rPr>
        <w:t>Livorno, Genoa.</w:t>
      </w:r>
    </w:p>
    <w:p>
      <w:pPr>
        <w:spacing w:after="80" w:line="293" w:lineRule="auto"/>
        <w:ind w:left="283"/>
        <w:jc w:val="left"/>
      </w:pPr>
      <w:r>
        <w:rPr>
          <w:rFonts w:ascii="Times New Roman" w:hAnsi="Times New Roman" w:cs="Times New Roman"/>
          <w:b w:val="0"/>
          <w:i w:val="0"/>
          <w:sz w:val="22"/>
        </w:rPr>
        <w:t>- Financial: Finance Eligibility — High. Insurance Availability — 98%.</w:t>
      </w:r>
    </w:p>
    <w:p>
      <w:pPr>
        <w:spacing w:after="80" w:line="293" w:lineRule="auto"/>
        <w:ind w:left="283"/>
        <w:jc w:val="left"/>
      </w:pPr>
      <w:r>
        <w:rPr>
          <w:rFonts w:ascii="Times New Roman" w:hAnsi="Times New Roman" w:cs="Times New Roman"/>
          <w:b w:val="0"/>
          <w:i w:val="0"/>
          <w:sz w:val="22"/>
        </w:rPr>
        <w:t>- Compliance: Required Certificates — COO, Health Cert, Packing List, Invoice, Phytosanitary.</w:t>
      </w:r>
    </w:p>
    <w:p>
      <w:pPr>
        <w:keepNext/>
        <w:spacing w:before="140" w:after="60"/>
        <w:outlineLvl w:val="3"/>
      </w:pPr>
      <w:r>
        <w:rPr>
          <w:rFonts w:ascii="Arial" w:hAnsi="Arial" w:cs="Arial"/>
          <w:b/>
          <w:i/>
          <w:color w:val="333333"/>
          <w:sz w:val="22"/>
        </w:rPr>
        <w:t>23.2.4.2 Red Sea RoRo Passport (Egypt ↔ Saudi Arabia)</w:t>
      </w:r>
    </w:p>
    <w:p>
      <w:pPr>
        <w:spacing w:after="80" w:line="293" w:lineRule="auto"/>
        <w:ind w:left="283"/>
        <w:jc w:val="left"/>
      </w:pPr>
      <w:r>
        <w:rPr>
          <w:rFonts w:ascii="Times New Roman" w:hAnsi="Times New Roman" w:cs="Times New Roman"/>
          <w:b w:val="0"/>
          <w:i w:val="0"/>
          <w:sz w:val="22"/>
        </w:rPr>
        <w:t>- Commercial: Common Incoterms — FOB, CFR, DAP. Typical Cargo Types — fresh produce, vehicles,</w:t>
      </w:r>
    </w:p>
    <w:p>
      <w:pPr>
        <w:spacing w:after="80" w:line="293" w:lineRule="auto"/>
        <w:jc w:val="left"/>
      </w:pPr>
      <w:r>
        <w:rPr>
          <w:rFonts w:ascii="Times New Roman" w:hAnsi="Times New Roman" w:cs="Times New Roman"/>
          <w:b w:val="0"/>
          <w:i w:val="0"/>
          <w:sz w:val="22"/>
        </w:rPr>
        <w:t>construction materials, refrigerated cargo.</w:t>
      </w:r>
    </w:p>
    <w:p>
      <w:pPr>
        <w:spacing w:after="80" w:line="293" w:lineRule="auto"/>
        <w:ind w:left="283"/>
        <w:jc w:val="left"/>
      </w:pPr>
      <w:r>
        <w:rPr>
          <w:rFonts w:ascii="Times New Roman" w:hAnsi="Times New Roman" w:cs="Times New Roman"/>
          <w:b w:val="0"/>
          <w:i w:val="0"/>
          <w:sz w:val="22"/>
        </w:rPr>
        <w:t>- Logistics: Average Transit — 2–4 days. Ports — Safaga, Port Tawfik ↔ Jeddah, Yanbu, Dammam.</w:t>
      </w:r>
    </w:p>
    <w:p>
      <w:pPr>
        <w:spacing w:after="80" w:line="293" w:lineRule="auto"/>
        <w:ind w:left="283"/>
        <w:jc w:val="left"/>
      </w:pPr>
      <w:r>
        <w:rPr>
          <w:rFonts w:ascii="Times New Roman" w:hAnsi="Times New Roman" w:cs="Times New Roman"/>
          <w:b w:val="0"/>
          <w:i w:val="0"/>
          <w:sz w:val="22"/>
        </w:rPr>
        <w:t>- Financial: Finance Eligibility — Medium-High. Insurance Availability — 95%.</w:t>
      </w:r>
    </w:p>
    <w:p>
      <w:pPr>
        <w:spacing w:after="80" w:line="293" w:lineRule="auto"/>
        <w:ind w:left="283"/>
        <w:jc w:val="left"/>
      </w:pPr>
      <w:r>
        <w:rPr>
          <w:rFonts w:ascii="Times New Roman" w:hAnsi="Times New Roman" w:cs="Times New Roman"/>
          <w:b w:val="0"/>
          <w:i w:val="0"/>
          <w:sz w:val="22"/>
        </w:rPr>
        <w:t>- Compliance: Required Certificates — COO, Health Cert, Packing List, Invoice, SFDA Food Cert</w:t>
      </w:r>
    </w:p>
    <w:p>
      <w:pPr>
        <w:spacing w:after="80" w:line="293" w:lineRule="auto"/>
        <w:jc w:val="left"/>
      </w:pPr>
      <w:r>
        <w:rPr>
          <w:rFonts w:ascii="Times New Roman" w:hAnsi="Times New Roman" w:cs="Times New Roman"/>
          <w:b w:val="0"/>
          <w:i w:val="0"/>
          <w:sz w:val="22"/>
        </w:rPr>
        <w:t>(for food), Halal Certification.</w:t>
      </w:r>
    </w:p>
    <w:p>
      <w:pPr>
        <w:keepNext/>
        <w:spacing w:before="140" w:after="60"/>
        <w:outlineLvl w:val="3"/>
      </w:pPr>
      <w:r>
        <w:rPr>
          <w:rFonts w:ascii="Arial" w:hAnsi="Arial" w:cs="Arial"/>
          <w:b/>
          <w:i/>
          <w:color w:val="333333"/>
          <w:sz w:val="22"/>
        </w:rPr>
        <w:t>23.2.4.3 Red Sea RoRo Passport (Egypt ↔ UAE)</w:t>
      </w:r>
    </w:p>
    <w:p>
      <w:pPr>
        <w:spacing w:after="80" w:line="293" w:lineRule="auto"/>
        <w:ind w:left="283"/>
        <w:jc w:val="left"/>
      </w:pPr>
      <w:r>
        <w:rPr>
          <w:rFonts w:ascii="Times New Roman" w:hAnsi="Times New Roman" w:cs="Times New Roman"/>
          <w:b w:val="0"/>
          <w:i w:val="0"/>
          <w:sz w:val="22"/>
        </w:rPr>
        <w:t>- Commercial: Common Incoterms — FOB, CFR, CIF. Typical Cargo Types — vehicles, machinery,</w:t>
      </w:r>
    </w:p>
    <w:p>
      <w:pPr>
        <w:spacing w:after="80" w:line="293" w:lineRule="auto"/>
        <w:jc w:val="left"/>
      </w:pPr>
      <w:r>
        <w:rPr>
          <w:rFonts w:ascii="Times New Roman" w:hAnsi="Times New Roman" w:cs="Times New Roman"/>
          <w:b w:val="0"/>
          <w:i w:val="0"/>
          <w:sz w:val="22"/>
        </w:rPr>
        <w:t>construction materials, perishable goods.</w:t>
      </w:r>
    </w:p>
    <w:p>
      <w:pPr>
        <w:spacing w:after="80" w:line="293" w:lineRule="auto"/>
        <w:ind w:left="283"/>
        <w:jc w:val="left"/>
      </w:pPr>
      <w:r>
        <w:rPr>
          <w:rFonts w:ascii="Times New Roman" w:hAnsi="Times New Roman" w:cs="Times New Roman"/>
          <w:b w:val="0"/>
          <w:i w:val="0"/>
          <w:sz w:val="22"/>
        </w:rPr>
        <w:t>- Logistics: Average Transit — 4–6 days. Ports — Safaga, Port Tawfik, Alexandria ↔ Jebel Ali,</w:t>
      </w:r>
    </w:p>
    <w:p>
      <w:pPr>
        <w:spacing w:after="80" w:line="293" w:lineRule="auto"/>
        <w:jc w:val="left"/>
      </w:pPr>
      <w:r>
        <w:rPr>
          <w:rFonts w:ascii="Times New Roman" w:hAnsi="Times New Roman" w:cs="Times New Roman"/>
          <w:b w:val="0"/>
          <w:i w:val="0"/>
          <w:sz w:val="22"/>
        </w:rPr>
        <w:t>Khalifa Port.</w:t>
      </w:r>
    </w:p>
    <w:p>
      <w:pPr>
        <w:spacing w:after="80" w:line="293" w:lineRule="auto"/>
        <w:ind w:left="283"/>
        <w:jc w:val="left"/>
      </w:pPr>
      <w:r>
        <w:rPr>
          <w:rFonts w:ascii="Times New Roman" w:hAnsi="Times New Roman" w:cs="Times New Roman"/>
          <w:b w:val="0"/>
          <w:i w:val="0"/>
          <w:sz w:val="22"/>
        </w:rPr>
        <w:t>- Financial: Finance Eligibility — High. Insurance Availability — 97%.</w:t>
      </w:r>
    </w:p>
    <w:p>
      <w:pPr>
        <w:spacing w:after="80" w:line="293" w:lineRule="auto"/>
        <w:ind w:left="283"/>
        <w:jc w:val="left"/>
      </w:pPr>
      <w:r>
        <w:rPr>
          <w:rFonts w:ascii="Times New Roman" w:hAnsi="Times New Roman" w:cs="Times New Roman"/>
          <w:b w:val="0"/>
          <w:i w:val="0"/>
          <w:sz w:val="22"/>
        </w:rPr>
        <w:t>- Compliance: Required Certificates — COO, Packing List, Invoice, UAE Customs Declaration.</w:t>
      </w:r>
    </w:p>
    <w:p>
      <w:pPr>
        <w:spacing w:after="80" w:line="293" w:lineRule="auto"/>
        <w:jc w:val="left"/>
      </w:pPr>
      <w:r>
        <w:rPr>
          <w:rFonts w:ascii="Times New Roman" w:hAnsi="Times New Roman" w:cs="Times New Roman"/>
          <w:b w:val="0"/>
          <w:i w:val="0"/>
          <w:sz w:val="22"/>
        </w:rPr>
        <w:t>Schema:</w:t>
      </w:r>
    </w:p>
    <w:p>
      <w:pPr>
        <w:spacing w:after="0" w:before="0" w:line="240" w:lineRule="auto"/>
        <w:ind w:left="57"/>
        <w:jc w:val="left"/>
        <w:shd w:val="clear" w:fill="F2F2F2"/>
      </w:pPr>
      <w:r>
        <w:rPr>
          <w:rFonts w:ascii="Consolas" w:hAnsi="Consolas" w:cs="Consolas"/>
          <w:b w:val="0"/>
          <w:i w:val="0"/>
          <w:sz w:val="15"/>
        </w:rPr>
        <w:t>CREATE TABLE trade_lane_passports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corridor_id UUID NOT NULL REFERENCES trade_corridors(id) ON DELETE CASCADE,</w:t>
      </w:r>
    </w:p>
    <w:p>
      <w:pPr>
        <w:spacing w:after="0" w:before="0" w:line="240" w:lineRule="auto"/>
        <w:ind w:left="57"/>
        <w:jc w:val="left"/>
        <w:shd w:val="clear" w:fill="F2F2F2"/>
      </w:pPr>
      <w:r>
        <w:rPr>
          <w:rFonts w:ascii="Consolas" w:hAnsi="Consolas" w:cs="Consolas"/>
          <w:b w:val="0"/>
          <w:i w:val="0"/>
          <w:sz w:val="15"/>
        </w:rPr>
        <w:t xml:space="preserve">  passport_version INTEGER DEFAULT 1,</w:t>
      </w:r>
    </w:p>
    <w:p>
      <w:pPr>
        <w:spacing w:after="0" w:before="0" w:line="240" w:lineRule="auto"/>
        <w:ind w:left="57"/>
        <w:jc w:val="left"/>
        <w:shd w:val="clear" w:fill="F2F2F2"/>
      </w:pPr>
      <w:r>
        <w:rPr>
          <w:rFonts w:ascii="Consolas" w:hAnsi="Consolas" w:cs="Consolas"/>
          <w:b w:val="0"/>
          <w:i w:val="0"/>
          <w:sz w:val="15"/>
        </w:rPr>
        <w:t xml:space="preserve">  common_incoterms TEXT[],</w:t>
      </w:r>
    </w:p>
    <w:p>
      <w:pPr>
        <w:spacing w:after="0" w:before="0" w:line="240" w:lineRule="auto"/>
        <w:ind w:left="57"/>
        <w:jc w:val="left"/>
        <w:shd w:val="clear" w:fill="F2F2F2"/>
      </w:pPr>
      <w:r>
        <w:rPr>
          <w:rFonts w:ascii="Consolas" w:hAnsi="Consolas" w:cs="Consolas"/>
          <w:b w:val="0"/>
          <w:i w:val="0"/>
          <w:sz w:val="15"/>
        </w:rPr>
        <w:t xml:space="preserve">  typical_cargo_types TEXT[],</w:t>
      </w:r>
    </w:p>
    <w:p>
      <w:pPr>
        <w:spacing w:after="0" w:before="0" w:line="240" w:lineRule="auto"/>
        <w:ind w:left="57"/>
        <w:jc w:val="left"/>
        <w:shd w:val="clear" w:fill="F2F2F2"/>
      </w:pPr>
      <w:r>
        <w:rPr>
          <w:rFonts w:ascii="Consolas" w:hAnsi="Consolas" w:cs="Consolas"/>
          <w:b w:val="0"/>
          <w:i w:val="0"/>
          <w:sz w:val="15"/>
        </w:rPr>
        <w:t xml:space="preserve">  average_transit_days INTEGER,</w:t>
      </w:r>
    </w:p>
    <w:p>
      <w:pPr>
        <w:spacing w:after="0" w:before="0" w:line="240" w:lineRule="auto"/>
        <w:ind w:left="57"/>
        <w:jc w:val="left"/>
        <w:shd w:val="clear" w:fill="F2F2F2"/>
      </w:pPr>
      <w:r>
        <w:rPr>
          <w:rFonts w:ascii="Consolas" w:hAnsi="Consolas" w:cs="Consolas"/>
          <w:b w:val="0"/>
          <w:i w:val="0"/>
          <w:sz w:val="15"/>
        </w:rPr>
        <w:t xml:space="preserve">  cargo_type_capabilities JSONB,   -- { 'fresh_produce': true, 'vehicles': true, 'reefer': true }</w:t>
      </w:r>
    </w:p>
    <w:p>
      <w:pPr>
        <w:spacing w:after="0" w:before="0" w:line="240" w:lineRule="auto"/>
        <w:ind w:left="57"/>
        <w:jc w:val="left"/>
        <w:shd w:val="clear" w:fill="F2F2F2"/>
      </w:pPr>
      <w:r>
        <w:rPr>
          <w:rFonts w:ascii="Consolas" w:hAnsi="Consolas" w:cs="Consolas"/>
          <w:b w:val="0"/>
          <w:i w:val="0"/>
          <w:sz w:val="15"/>
        </w:rPr>
        <w:t xml:space="preserve">  finance_eligibility TEXT,        -- 'HIGH', 'MEDIUM', 'LOW'</w:t>
      </w:r>
    </w:p>
    <w:p>
      <w:pPr>
        <w:spacing w:after="0" w:before="0" w:line="240" w:lineRule="auto"/>
        <w:ind w:left="57"/>
        <w:jc w:val="left"/>
        <w:shd w:val="clear" w:fill="F2F2F2"/>
      </w:pPr>
      <w:r>
        <w:rPr>
          <w:rFonts w:ascii="Consolas" w:hAnsi="Consolas" w:cs="Consolas"/>
          <w:b w:val="0"/>
          <w:i w:val="0"/>
          <w:sz w:val="15"/>
        </w:rPr>
        <w:t xml:space="preserve">  insurance_availability DECIMAL(5,2),  -- 0-100%</w:t>
      </w:r>
    </w:p>
    <w:p>
      <w:pPr>
        <w:spacing w:after="0" w:before="0" w:line="240" w:lineRule="auto"/>
        <w:ind w:left="57"/>
        <w:jc w:val="left"/>
        <w:shd w:val="clear" w:fill="F2F2F2"/>
      </w:pPr>
      <w:r>
        <w:rPr>
          <w:rFonts w:ascii="Consolas" w:hAnsi="Consolas" w:cs="Consolas"/>
          <w:b w:val="0"/>
          <w:i w:val="0"/>
          <w:sz w:val="15"/>
        </w:rPr>
        <w:t xml:space="preserve">  required_certificates TEXT[],</w:t>
      </w:r>
    </w:p>
    <w:p>
      <w:pPr>
        <w:spacing w:after="0" w:before="0" w:line="240" w:lineRule="auto"/>
        <w:ind w:left="57"/>
        <w:jc w:val="left"/>
        <w:shd w:val="clear" w:fill="F2F2F2"/>
      </w:pPr>
      <w:r>
        <w:rPr>
          <w:rFonts w:ascii="Consolas" w:hAnsi="Consolas" w:cs="Consolas"/>
          <w:b w:val="0"/>
          <w:i w:val="0"/>
          <w:sz w:val="15"/>
        </w:rPr>
        <w:t xml:space="preserve">  passport_confidence DECIMAL(5,2),     -- AI-generated confidence</w:t>
      </w:r>
    </w:p>
    <w:p>
      <w:pPr>
        <w:spacing w:after="0" w:before="0" w:line="240" w:lineRule="auto"/>
        <w:ind w:left="57"/>
        <w:jc w:val="left"/>
        <w:shd w:val="clear" w:fill="F2F2F2"/>
      </w:pPr>
      <w:r>
        <w:rPr>
          <w:rFonts w:ascii="Consolas" w:hAnsi="Consolas" w:cs="Consolas"/>
          <w:b w:val="0"/>
          <w:i w:val="0"/>
          <w:sz w:val="15"/>
        </w:rPr>
        <w:t xml:space="preserve">  source_regulations JSONB,</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 xml:space="preserve">  UNIQUE(corridor_id, passport_version)</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23.2.5 Corridor Eligibility Engine (A2/A1)</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AI service that determines if a trade qualifies for a corridor.</w:t>
      </w:r>
    </w:p>
    <w:p>
      <w:pPr>
        <w:spacing w:after="80" w:line="293" w:lineRule="auto"/>
        <w:jc w:val="left"/>
      </w:pPr>
      <w:r>
        <w:rPr>
          <w:rFonts w:ascii="Times New Roman" w:hAnsi="Times New Roman" w:cs="Times New Roman"/>
          <w:b w:val="0"/>
          <w:i w:val="0"/>
          <w:sz w:val="22"/>
        </w:rPr>
        <w:t>Inputs: product, origin, destination, incoterm, quantity, transport needs.</w:t>
      </w:r>
    </w:p>
    <w:p>
      <w:pPr>
        <w:spacing w:after="80" w:line="293" w:lineRule="auto"/>
        <w:jc w:val="left"/>
      </w:pPr>
      <w:r>
        <w:rPr>
          <w:rFonts w:ascii="Times New Roman" w:hAnsi="Times New Roman" w:cs="Times New Roman"/>
          <w:b w:val="0"/>
          <w:i w:val="0"/>
          <w:sz w:val="22"/>
        </w:rPr>
        <w:t>Output example — Egypt–Italy RoRo:</w:t>
      </w:r>
    </w:p>
    <w:p>
      <w:pPr>
        <w:spacing w:after="0" w:before="0" w:line="240" w:lineRule="auto"/>
        <w:ind w:left="57"/>
        <w:jc w:val="left"/>
        <w:shd w:val="clear" w:fill="F2F2F2"/>
      </w:pPr>
      <w:r>
        <w:rPr>
          <w:rFonts w:ascii="Consolas" w:hAnsi="Consolas" w:cs="Consolas"/>
          <w:b w:val="0"/>
          <w:i w:val="0"/>
          <w:sz w:val="15"/>
        </w:rPr>
        <w:t>RoRo Corridor Compatibility: 97%</w:t>
      </w:r>
    </w:p>
    <w:p>
      <w:pPr>
        <w:spacing w:after="0" w:before="0" w:line="240" w:lineRule="auto"/>
        <w:ind w:left="57"/>
        <w:jc w:val="left"/>
        <w:shd w:val="clear" w:fill="F2F2F2"/>
      </w:pPr>
      <w:r>
        <w:rPr>
          <w:rFonts w:ascii="Consolas" w:hAnsi="Consolas" w:cs="Consolas"/>
          <w:b w:val="0"/>
          <w:i w:val="0"/>
          <w:sz w:val="15"/>
        </w:rPr>
        <w:t>Reasons:</w:t>
      </w:r>
    </w:p>
    <w:p>
      <w:pPr>
        <w:spacing w:after="0" w:before="0" w:line="240" w:lineRule="auto"/>
        <w:ind w:left="57"/>
        <w:jc w:val="left"/>
        <w:shd w:val="clear" w:fill="F2F2F2"/>
      </w:pPr>
      <w:r>
        <w:rPr>
          <w:rFonts w:ascii="Consolas" w:hAnsi="Consolas" w:cs="Consolas"/>
          <w:b w:val="0"/>
          <w:i w:val="0"/>
          <w:sz w:val="15"/>
        </w:rPr>
        <w:t xml:space="preserve">  ✓ Reefer Compatible</w:t>
      </w:r>
    </w:p>
    <w:p>
      <w:pPr>
        <w:spacing w:after="0" w:before="0" w:line="240" w:lineRule="auto"/>
        <w:ind w:left="57"/>
        <w:jc w:val="left"/>
        <w:shd w:val="clear" w:fill="F2F2F2"/>
      </w:pPr>
      <w:r>
        <w:rPr>
          <w:rFonts w:ascii="Consolas" w:hAnsi="Consolas" w:cs="Consolas"/>
          <w:b w:val="0"/>
          <w:i w:val="0"/>
          <w:sz w:val="15"/>
        </w:rPr>
        <w:t xml:space="preserve">  ✓ Port Supported</w:t>
      </w:r>
    </w:p>
    <w:p>
      <w:pPr>
        <w:spacing w:after="0" w:before="0" w:line="240" w:lineRule="auto"/>
        <w:ind w:left="57"/>
        <w:jc w:val="left"/>
        <w:shd w:val="clear" w:fill="F2F2F2"/>
      </w:pPr>
      <w:r>
        <w:rPr>
          <w:rFonts w:ascii="Consolas" w:hAnsi="Consolas" w:cs="Consolas"/>
          <w:b w:val="0"/>
          <w:i w:val="0"/>
          <w:sz w:val="15"/>
        </w:rPr>
        <w:t xml:space="preserve">  ✓ Product Supported</w:t>
      </w:r>
    </w:p>
    <w:p>
      <w:pPr>
        <w:spacing w:after="0" w:before="0" w:line="240" w:lineRule="auto"/>
        <w:ind w:left="57"/>
        <w:jc w:val="left"/>
        <w:shd w:val="clear" w:fill="F2F2F2"/>
      </w:pPr>
      <w:r>
        <w:rPr>
          <w:rFonts w:ascii="Consolas" w:hAnsi="Consolas" w:cs="Consolas"/>
          <w:b w:val="0"/>
          <w:i w:val="0"/>
          <w:sz w:val="15"/>
        </w:rPr>
        <w:t xml:space="preserve">  ✓ Customs Eligible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Output example — Red Sea RoRo (Egypt ↔ Saudi):</w:t>
      </w:r>
    </w:p>
    <w:p>
      <w:pPr>
        <w:spacing w:after="0" w:before="0" w:line="240" w:lineRule="auto"/>
        <w:ind w:left="57"/>
        <w:jc w:val="left"/>
        <w:shd w:val="clear" w:fill="F2F2F2"/>
      </w:pPr>
      <w:r>
        <w:rPr>
          <w:rFonts w:ascii="Consolas" w:hAnsi="Consolas" w:cs="Consolas"/>
          <w:b w:val="0"/>
          <w:i w:val="0"/>
          <w:sz w:val="15"/>
        </w:rPr>
        <w:t>Red Sea RoRo Corridor Compatibility: 94%</w:t>
      </w:r>
    </w:p>
    <w:p>
      <w:pPr>
        <w:spacing w:after="0" w:before="0" w:line="240" w:lineRule="auto"/>
        <w:ind w:left="57"/>
        <w:jc w:val="left"/>
        <w:shd w:val="clear" w:fill="F2F2F2"/>
      </w:pPr>
      <w:r>
        <w:rPr>
          <w:rFonts w:ascii="Consolas" w:hAnsi="Consolas" w:cs="Consolas"/>
          <w:b w:val="0"/>
          <w:i w:val="0"/>
          <w:sz w:val="15"/>
        </w:rPr>
        <w:t>Reasons:</w:t>
      </w:r>
    </w:p>
    <w:p>
      <w:pPr>
        <w:spacing w:after="0" w:before="0" w:line="240" w:lineRule="auto"/>
        <w:ind w:left="57"/>
        <w:jc w:val="left"/>
        <w:shd w:val="clear" w:fill="F2F2F2"/>
      </w:pPr>
      <w:r>
        <w:rPr>
          <w:rFonts w:ascii="Consolas" w:hAnsi="Consolas" w:cs="Consolas"/>
          <w:b w:val="0"/>
          <w:i w:val="0"/>
          <w:sz w:val="15"/>
        </w:rPr>
        <w:t xml:space="preserve">  ✓ Product Compatible</w:t>
      </w:r>
    </w:p>
    <w:p>
      <w:pPr>
        <w:spacing w:after="0" w:before="0" w:line="240" w:lineRule="auto"/>
        <w:ind w:left="57"/>
        <w:jc w:val="left"/>
        <w:shd w:val="clear" w:fill="F2F2F2"/>
      </w:pPr>
      <w:r>
        <w:rPr>
          <w:rFonts w:ascii="Consolas" w:hAnsi="Consolas" w:cs="Consolas"/>
          <w:b w:val="0"/>
          <w:i w:val="0"/>
          <w:sz w:val="15"/>
        </w:rPr>
        <w:t xml:space="preserve">  ✓ Port Supported</w:t>
      </w:r>
    </w:p>
    <w:p>
      <w:pPr>
        <w:spacing w:after="0" w:before="0" w:line="240" w:lineRule="auto"/>
        <w:ind w:left="57"/>
        <w:jc w:val="left"/>
        <w:shd w:val="clear" w:fill="F2F2F2"/>
      </w:pPr>
      <w:r>
        <w:rPr>
          <w:rFonts w:ascii="Consolas" w:hAnsi="Consolas" w:cs="Consolas"/>
          <w:b w:val="0"/>
          <w:i w:val="0"/>
          <w:sz w:val="15"/>
        </w:rPr>
        <w:t xml:space="preserve">  ✓ Halal Certification Available</w:t>
      </w:r>
    </w:p>
    <w:p>
      <w:pPr>
        <w:spacing w:after="0" w:before="0" w:line="240" w:lineRule="auto"/>
        <w:ind w:left="57"/>
        <w:jc w:val="left"/>
        <w:shd w:val="clear" w:fill="F2F2F2"/>
      </w:pPr>
      <w:r>
        <w:rPr>
          <w:rFonts w:ascii="Consolas" w:hAnsi="Consolas" w:cs="Consolas"/>
          <w:b w:val="0"/>
          <w:i w:val="0"/>
          <w:sz w:val="15"/>
        </w:rPr>
        <w:t xml:space="preserve">  ✓ Customs Eligible</w:t>
      </w:r>
    </w:p>
    <w:p>
      <w:pPr>
        <w:spacing w:after="0" w:before="0" w:line="240" w:lineRule="auto"/>
        <w:ind w:left="57"/>
        <w:jc w:val="left"/>
        <w:shd w:val="clear" w:fill="F2F2F2"/>
      </w:pPr>
      <w:r>
        <w:rPr>
          <w:rFonts w:ascii="Consolas" w:hAnsi="Consolas" w:cs="Consolas"/>
          <w:b w:val="0"/>
          <w:i w:val="0"/>
          <w:sz w:val="15"/>
        </w:rPr>
        <w:t>Risk:</w:t>
      </w:r>
    </w:p>
    <w:p>
      <w:pPr>
        <w:spacing w:after="0" w:before="0" w:line="240" w:lineRule="auto"/>
        <w:ind w:left="57"/>
        <w:jc w:val="left"/>
        <w:shd w:val="clear" w:fill="F2F2F2"/>
      </w:pPr>
      <w:r>
        <w:rPr>
          <w:rFonts w:ascii="Consolas" w:hAnsi="Consolas" w:cs="Consolas"/>
          <w:b w:val="0"/>
          <w:i w:val="0"/>
          <w:sz w:val="15"/>
        </w:rPr>
        <w:t xml:space="preserve">  ⚠ SFDA Inspection Required (adds 1-2 days)</w:t>
      </w:r>
    </w:p>
    <w:p>
      <w:pPr>
        <w:spacing w:after="0" w:before="0" w:line="240" w:lineRule="auto"/>
        <w:ind w:left="57"/>
        <w:jc w:val="left"/>
        <w:shd w:val="clear" w:fill="F2F2F2"/>
      </w:pPr>
      <w:r>
        <w:rPr>
          <w:rFonts w:ascii="Consolas" w:hAnsi="Consolas" w:cs="Consolas"/>
          <w:b w:val="0"/>
          <w:i w:val="0"/>
          <w:sz w:val="15"/>
        </w:rPr>
        <w:t xml:space="preserve">  ⚠ Seasonal port congestion in Jeddah (April-October)</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Implementation: A2 (XGBoost/LightGBM) for scoring; A1 (Groq) for the plain-language explanation. Never blocks — advisory only. Integrates with the Governor pre-screen (Section 15) for compliance checks.</w:t>
      </w:r>
    </w:p>
    <w:p>
      <w:pPr>
        <w:keepNext/>
        <w:spacing w:before="180" w:after="80"/>
        <w:outlineLvl w:val="2"/>
      </w:pPr>
      <w:r>
        <w:rPr>
          <w:rFonts w:ascii="Arial" w:hAnsi="Arial" w:cs="Arial"/>
          <w:b/>
          <w:i w:val="0"/>
          <w:color w:val="333333"/>
          <w:sz w:val="23"/>
        </w:rPr>
        <w:t>23.2.6 Government Node Framework</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every country gets a government node.</w:t>
      </w:r>
    </w:p>
    <w:p>
      <w:pPr>
        <w:spacing w:after="80" w:line="293" w:lineRule="auto"/>
        <w:jc w:val="left"/>
      </w:pPr>
      <w:r>
        <w:rPr>
          <w:rFonts w:ascii="Times New Roman" w:hAnsi="Times New Roman" w:cs="Times New Roman"/>
          <w:b w:val="0"/>
          <w:i w:val="0"/>
          <w:sz w:val="22"/>
        </w:rPr>
        <w:t>Example — Egypt node: Ministry of Transport, Customs Authority, GOEIC, Export Development Authority, Port Authorities (Safaga, Damietta, Alexandria, Port Said, Port Tawfik).</w:t>
      </w:r>
    </w:p>
    <w:p>
      <w:pPr>
        <w:spacing w:after="80" w:line="293" w:lineRule="auto"/>
        <w:jc w:val="left"/>
      </w:pPr>
      <w:r>
        <w:rPr>
          <w:rFonts w:ascii="Times New Roman" w:hAnsi="Times New Roman" w:cs="Times New Roman"/>
          <w:b w:val="0"/>
          <w:i w:val="0"/>
          <w:sz w:val="22"/>
        </w:rPr>
        <w:t>Example — Italy node: Customs, Trade Agencies, Port Authorities (Trieste, Livorno, Genoa).</w:t>
      </w:r>
    </w:p>
    <w:p>
      <w:pPr>
        <w:spacing w:after="80" w:line="293" w:lineRule="auto"/>
        <w:jc w:val="left"/>
      </w:pPr>
      <w:r>
        <w:rPr>
          <w:rFonts w:ascii="Times New Roman" w:hAnsi="Times New Roman" w:cs="Times New Roman"/>
          <w:b w:val="0"/>
          <w:i w:val="0"/>
          <w:sz w:val="22"/>
        </w:rPr>
        <w:t>Example — Saudi Arabia node: Customs Authority, SFDA, Port Authorities (Jeddah, Yanbu, Dammam).</w:t>
      </w:r>
    </w:p>
    <w:p>
      <w:pPr>
        <w:spacing w:after="80" w:line="293" w:lineRule="auto"/>
        <w:jc w:val="left"/>
      </w:pPr>
      <w:r>
        <w:rPr>
          <w:rFonts w:ascii="Times New Roman" w:hAnsi="Times New Roman" w:cs="Times New Roman"/>
          <w:b w:val="0"/>
          <w:i w:val="0"/>
          <w:sz w:val="22"/>
        </w:rPr>
        <w:t>Example — UAE node: Customs Authority, Port Authorities (Jebel Ali, Khalifa Port).</w:t>
      </w:r>
    </w:p>
    <w:p>
      <w:pPr>
        <w:spacing w:after="80" w:line="293" w:lineRule="auto"/>
        <w:jc w:val="left"/>
      </w:pPr>
      <w:r>
        <w:rPr>
          <w:rFonts w:ascii="Times New Roman" w:hAnsi="Times New Roman" w:cs="Times New Roman"/>
          <w:b w:val="0"/>
          <w:i w:val="0"/>
          <w:sz w:val="22"/>
        </w:rPr>
        <w:t>Schema:</w:t>
      </w:r>
    </w:p>
    <w:p>
      <w:pPr>
        <w:spacing w:after="0" w:before="0" w:line="240" w:lineRule="auto"/>
        <w:ind w:left="57"/>
        <w:jc w:val="left"/>
        <w:shd w:val="clear" w:fill="F2F2F2"/>
      </w:pPr>
      <w:r>
        <w:rPr>
          <w:rFonts w:ascii="Consolas" w:hAnsi="Consolas" w:cs="Consolas"/>
          <w:b w:val="0"/>
          <w:i w:val="0"/>
          <w:sz w:val="15"/>
        </w:rPr>
        <w:t>CREATE TABLE government_nodes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country_code CHAR(2) NOT NULL REFERENCES jurisdictions(code),</w:t>
      </w:r>
    </w:p>
    <w:p>
      <w:pPr>
        <w:spacing w:after="0" w:before="0" w:line="240" w:lineRule="auto"/>
        <w:ind w:left="57"/>
        <w:jc w:val="left"/>
        <w:shd w:val="clear" w:fill="F2F2F2"/>
      </w:pPr>
      <w:r>
        <w:rPr>
          <w:rFonts w:ascii="Consolas" w:hAnsi="Consolas" w:cs="Consolas"/>
          <w:b w:val="0"/>
          <w:i w:val="0"/>
          <w:sz w:val="15"/>
        </w:rPr>
        <w:t xml:space="preserve">  authority_name TEXT NOT NULL,</w:t>
      </w:r>
    </w:p>
    <w:p>
      <w:pPr>
        <w:spacing w:after="0" w:before="0" w:line="240" w:lineRule="auto"/>
        <w:ind w:left="57"/>
        <w:jc w:val="left"/>
        <w:shd w:val="clear" w:fill="F2F2F2"/>
      </w:pPr>
      <w:r>
        <w:rPr>
          <w:rFonts w:ascii="Consolas" w:hAnsi="Consolas" w:cs="Consolas"/>
          <w:b w:val="0"/>
          <w:i w:val="0"/>
          <w:sz w:val="15"/>
        </w:rPr>
        <w:t xml:space="preserve">  authority_name_ar TEXT,</w:t>
      </w:r>
    </w:p>
    <w:p>
      <w:pPr>
        <w:spacing w:after="0" w:before="0" w:line="240" w:lineRule="auto"/>
        <w:ind w:left="57"/>
        <w:jc w:val="left"/>
        <w:shd w:val="clear" w:fill="F2F2F2"/>
      </w:pPr>
      <w:r>
        <w:rPr>
          <w:rFonts w:ascii="Consolas" w:hAnsi="Consolas" w:cs="Consolas"/>
          <w:b w:val="0"/>
          <w:i w:val="0"/>
          <w:sz w:val="15"/>
        </w:rPr>
        <w:t xml:space="preserve">  authority_type TEXT NOT NULL,        -- 'MINISTRY','CUSTOMS','PORT_AUTHORITY','TRADE_AGENCY','ECONOMIC_ZONE'</w:t>
      </w:r>
    </w:p>
    <w:p>
      <w:pPr>
        <w:spacing w:after="0" w:before="0" w:line="240" w:lineRule="auto"/>
        <w:ind w:left="57"/>
        <w:jc w:val="left"/>
        <w:shd w:val="clear" w:fill="F2F2F2"/>
      </w:pPr>
      <w:r>
        <w:rPr>
          <w:rFonts w:ascii="Consolas" w:hAnsi="Consolas" w:cs="Consolas"/>
          <w:b w:val="0"/>
          <w:i w:val="0"/>
          <w:sz w:val="15"/>
        </w:rPr>
        <w:t xml:space="preserve">  authority_level TEXT DEFAULT 'NATIONAL',  -- 'NATIONAL','REGIONAL','PORT','AGENCY'</w:t>
      </w:r>
    </w:p>
    <w:p>
      <w:pPr>
        <w:spacing w:after="0" w:before="0" w:line="240" w:lineRule="auto"/>
        <w:ind w:left="57"/>
        <w:jc w:val="left"/>
        <w:shd w:val="clear" w:fill="F2F2F2"/>
      </w:pPr>
      <w:r>
        <w:rPr>
          <w:rFonts w:ascii="Consolas" w:hAnsi="Consolas" w:cs="Consolas"/>
          <w:b w:val="0"/>
          <w:i w:val="0"/>
          <w:sz w:val="15"/>
        </w:rPr>
        <w:t xml:space="preserve">  node_gtid TEXT UNIQUE REFERENCES tenants(gtid),</w:t>
      </w:r>
    </w:p>
    <w:p>
      <w:pPr>
        <w:spacing w:after="0" w:before="0" w:line="240" w:lineRule="auto"/>
        <w:ind w:left="57"/>
        <w:jc w:val="left"/>
        <w:shd w:val="clear" w:fill="F2F2F2"/>
      </w:pPr>
      <w:r>
        <w:rPr>
          <w:rFonts w:ascii="Consolas" w:hAnsi="Consolas" w:cs="Consolas"/>
          <w:b w:val="0"/>
          <w:i w:val="0"/>
          <w:sz w:val="15"/>
        </w:rPr>
        <w:t xml:space="preserve">  node_permissions JSONB,              -- what the node can see/do</w:t>
      </w:r>
    </w:p>
    <w:p>
      <w:pPr>
        <w:spacing w:after="0" w:before="0" w:line="240" w:lineRule="auto"/>
        <w:ind w:left="57"/>
        <w:jc w:val="left"/>
        <w:shd w:val="clear" w:fill="F2F2F2"/>
      </w:pPr>
      <w:r>
        <w:rPr>
          <w:rFonts w:ascii="Consolas" w:hAnsi="Consolas" w:cs="Consolas"/>
          <w:b w:val="0"/>
          <w:i w:val="0"/>
          <w:sz w:val="15"/>
        </w:rPr>
        <w:t xml:space="preserve">  verification_status TEXT DEFAULT 'PENDING',  -- 'PENDING','VERIFIED','ACTIVE'</w:t>
      </w:r>
    </w:p>
    <w:p>
      <w:pPr>
        <w:spacing w:after="0" w:before="0" w:line="240" w:lineRule="auto"/>
        <w:ind w:left="57"/>
        <w:jc w:val="left"/>
        <w:shd w:val="clear" w:fill="F2F2F2"/>
      </w:pPr>
      <w:r>
        <w:rPr>
          <w:rFonts w:ascii="Consolas" w:hAnsi="Consolas" w:cs="Consolas"/>
          <w:b w:val="0"/>
          <w:i w:val="0"/>
          <w:sz w:val="15"/>
        </w:rPr>
        <w:t xml:space="preserve">  contact_email TEXT,</w:t>
      </w:r>
    </w:p>
    <w:p>
      <w:pPr>
        <w:spacing w:after="0" w:before="0" w:line="240" w:lineRule="auto"/>
        <w:ind w:left="57"/>
        <w:jc w:val="left"/>
        <w:shd w:val="clear" w:fill="F2F2F2"/>
      </w:pPr>
      <w:r>
        <w:rPr>
          <w:rFonts w:ascii="Consolas" w:hAnsi="Consolas" w:cs="Consolas"/>
          <w:b w:val="0"/>
          <w:i w:val="0"/>
          <w:sz w:val="15"/>
        </w:rPr>
        <w:t xml:space="preserve">  contact_phone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updated_at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GTID (Section 4) for government GTIDs.</w:t>
      </w:r>
    </w:p>
    <w:p>
      <w:pPr>
        <w:keepNext/>
        <w:spacing w:before="180" w:after="80"/>
        <w:outlineLvl w:val="2"/>
      </w:pPr>
      <w:r>
        <w:rPr>
          <w:rFonts w:ascii="Arial" w:hAnsi="Arial" w:cs="Arial"/>
          <w:b/>
          <w:i w:val="0"/>
          <w:color w:val="333333"/>
          <w:sz w:val="23"/>
        </w:rPr>
        <w:t>23.2.7 Government Verified Corridors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 certification model for trade corridors.</w:t>
      </w:r>
    </w:p>
    <w:p>
      <w:pPr>
        <w:spacing w:after="80" w:line="293" w:lineRule="auto"/>
        <w:jc w:val="left"/>
      </w:pPr>
      <w:r>
        <w:rPr>
          <w:rFonts w:ascii="Times New Roman" w:hAnsi="Times New Roman" w:cs="Times New Roman"/>
          <w:b w:val="0"/>
          <w:i w:val="0"/>
          <w:sz w:val="22"/>
        </w:rPr>
        <w:t>Status levels: Draft → Verified → Certified → Strategic → National Priority.</w:t>
      </w:r>
    </w:p>
    <w:p>
      <w:pPr>
        <w:spacing w:after="80" w:line="293" w:lineRule="auto"/>
        <w:jc w:val="left"/>
      </w:pPr>
      <w:r>
        <w:rPr>
          <w:rFonts w:ascii="Times New Roman" w:hAnsi="Times New Roman" w:cs="Times New Roman"/>
          <w:b w:val="0"/>
          <w:i w:val="0"/>
          <w:sz w:val="22"/>
        </w:rPr>
        <w:t>Certification is recorded on the corridor registry: the `verification_multisig` column stores the GTIDs of the verifiers, and `last_verified_at` records the latest verification. Schema additions:</w:t>
      </w:r>
    </w:p>
    <w:p>
      <w:pPr>
        <w:spacing w:after="0" w:before="0" w:line="240" w:lineRule="auto"/>
        <w:ind w:left="57"/>
        <w:jc w:val="left"/>
        <w:shd w:val="clear" w:fill="F2F2F2"/>
      </w:pPr>
      <w:r>
        <w:rPr>
          <w:rFonts w:ascii="Consolas" w:hAnsi="Consolas" w:cs="Consolas"/>
          <w:b w:val="0"/>
          <w:i w:val="0"/>
          <w:sz w:val="15"/>
        </w:rPr>
        <w:t>ALTER TABLE trade_corridors ADD COLUMN verification_multisig TEXT[];</w:t>
      </w:r>
    </w:p>
    <w:p>
      <w:pPr>
        <w:spacing w:after="0" w:before="0" w:line="240" w:lineRule="auto"/>
        <w:ind w:left="57"/>
        <w:jc w:val="left"/>
        <w:shd w:val="clear" w:fill="F2F2F2"/>
      </w:pPr>
      <w:r>
        <w:rPr>
          <w:rFonts w:ascii="Consolas" w:hAnsi="Consolas" w:cs="Consolas"/>
          <w:b w:val="0"/>
          <w:i w:val="0"/>
          <w:sz w:val="15"/>
        </w:rPr>
        <w:t>ALTER TABLE trade_corridors ADD COLUMN last_verified_at TIMESTAMPTZ;</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Loom (Section 3) for immutable verification history.</w:t>
      </w:r>
    </w:p>
    <w:p>
      <w:pPr>
        <w:keepNext/>
        <w:spacing w:before="180" w:after="80"/>
        <w:outlineLvl w:val="2"/>
      </w:pPr>
      <w:r>
        <w:rPr>
          <w:rFonts w:ascii="Arial" w:hAnsi="Arial" w:cs="Arial"/>
          <w:b/>
          <w:i w:val="0"/>
          <w:color w:val="333333"/>
          <w:sz w:val="23"/>
        </w:rPr>
        <w:t>23.2.8 Port Digital Twin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every port becomes a GTID participant with digital twin capabilities.</w:t>
      </w:r>
    </w:p>
    <w:p>
      <w:pPr>
        <w:spacing w:after="80" w:line="293" w:lineRule="auto"/>
        <w:jc w:val="left"/>
      </w:pPr>
      <w:r>
        <w:rPr>
          <w:rFonts w:ascii="Times New Roman" w:hAnsi="Times New Roman" w:cs="Times New Roman"/>
          <w:b w:val="0"/>
          <w:i w:val="0"/>
          <w:sz w:val="22"/>
        </w:rPr>
        <w:t>Examples: Damietta (EGDAM), Alexandria, Port Said, Safaga, Port Tawfik on the Egypt side; Trieste, Livorno, Genoa (Italy); Jeddah, Yanbu, Dammam (Saudi Arabia); Jebel Ali, Khalifa Port (UAE) — each with capacity, congestion, and facility metadata maintained by its port authority node.</w:t>
      </w:r>
    </w:p>
    <w:p>
      <w:pPr>
        <w:spacing w:after="80" w:line="293" w:lineRule="auto"/>
        <w:jc w:val="left"/>
      </w:pPr>
      <w:r>
        <w:rPr>
          <w:rFonts w:ascii="Times New Roman" w:hAnsi="Times New Roman" w:cs="Times New Roman"/>
          <w:b w:val="0"/>
          <w:i w:val="0"/>
          <w:sz w:val="22"/>
        </w:rPr>
        <w:t>Schema:</w:t>
      </w:r>
    </w:p>
    <w:p>
      <w:pPr>
        <w:spacing w:after="0" w:before="0" w:line="240" w:lineRule="auto"/>
        <w:ind w:left="57"/>
        <w:jc w:val="left"/>
        <w:shd w:val="clear" w:fill="F2F2F2"/>
      </w:pPr>
      <w:r>
        <w:rPr>
          <w:rFonts w:ascii="Consolas" w:hAnsi="Consolas" w:cs="Consolas"/>
          <w:b w:val="0"/>
          <w:i w:val="0"/>
          <w:sz w:val="15"/>
        </w:rPr>
        <w:t>CREATE TABLE port_digital_twins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port_unlocode TEXT NOT NULL REFERENCES ports(unlocode),</w:t>
      </w:r>
    </w:p>
    <w:p>
      <w:pPr>
        <w:spacing w:after="0" w:before="0" w:line="240" w:lineRule="auto"/>
        <w:ind w:left="57"/>
        <w:jc w:val="left"/>
        <w:shd w:val="clear" w:fill="F2F2F2"/>
      </w:pPr>
      <w:r>
        <w:rPr>
          <w:rFonts w:ascii="Consolas" w:hAnsi="Consolas" w:cs="Consolas"/>
          <w:b w:val="0"/>
          <w:i w:val="0"/>
          <w:sz w:val="15"/>
        </w:rPr>
        <w:t xml:space="preserve">  port_capacity JSONB,                -- { 'roro': 500, 'containers': 1000, 'bulk': 200, 'cold_storage': 150 }</w:t>
      </w:r>
    </w:p>
    <w:p>
      <w:pPr>
        <w:spacing w:after="0" w:before="0" w:line="240" w:lineRule="auto"/>
        <w:ind w:left="57"/>
        <w:jc w:val="left"/>
        <w:shd w:val="clear" w:fill="F2F2F2"/>
      </w:pPr>
      <w:r>
        <w:rPr>
          <w:rFonts w:ascii="Consolas" w:hAnsi="Consolas" w:cs="Consolas"/>
          <w:b w:val="0"/>
          <w:i w:val="0"/>
          <w:sz w:val="15"/>
        </w:rPr>
        <w:t xml:space="preserve">  port_capacity_current JSONB,        -- Current utilisation</w:t>
      </w:r>
    </w:p>
    <w:p>
      <w:pPr>
        <w:spacing w:after="0" w:before="0" w:line="240" w:lineRule="auto"/>
        <w:ind w:left="57"/>
        <w:jc w:val="left"/>
        <w:shd w:val="clear" w:fill="F2F2F2"/>
      </w:pPr>
      <w:r>
        <w:rPr>
          <w:rFonts w:ascii="Consolas" w:hAnsi="Consolas" w:cs="Consolas"/>
          <w:b w:val="0"/>
          <w:i w:val="0"/>
          <w:sz w:val="15"/>
        </w:rPr>
        <w:t xml:space="preserve">  port_congestion_level TEXT DEFAULT 'LOW',   -- 'LOW','MODERATE','SEVERE'</w:t>
      </w:r>
    </w:p>
    <w:p>
      <w:pPr>
        <w:spacing w:after="0" w:before="0" w:line="240" w:lineRule="auto"/>
        <w:ind w:left="57"/>
        <w:jc w:val="left"/>
        <w:shd w:val="clear" w:fill="F2F2F2"/>
      </w:pPr>
      <w:r>
        <w:rPr>
          <w:rFonts w:ascii="Consolas" w:hAnsi="Consolas" w:cs="Consolas"/>
          <w:b w:val="0"/>
          <w:i w:val="0"/>
          <w:sz w:val="15"/>
        </w:rPr>
        <w:t xml:space="preserve">  port_operating_hours TEXT,</w:t>
      </w:r>
    </w:p>
    <w:p>
      <w:pPr>
        <w:spacing w:after="0" w:before="0" w:line="240" w:lineRule="auto"/>
        <w:ind w:left="57"/>
        <w:jc w:val="left"/>
        <w:shd w:val="clear" w:fill="F2F2F2"/>
      </w:pPr>
      <w:r>
        <w:rPr>
          <w:rFonts w:ascii="Consolas" w:hAnsi="Consolas" w:cs="Consolas"/>
          <w:b w:val="0"/>
          <w:i w:val="0"/>
          <w:sz w:val="15"/>
        </w:rPr>
        <w:t xml:space="preserve">  inspection_facilities JSONB,</w:t>
      </w:r>
    </w:p>
    <w:p>
      <w:pPr>
        <w:spacing w:after="0" w:before="0" w:line="240" w:lineRule="auto"/>
        <w:ind w:left="57"/>
        <w:jc w:val="left"/>
        <w:shd w:val="clear" w:fill="F2F2F2"/>
      </w:pPr>
      <w:r>
        <w:rPr>
          <w:rFonts w:ascii="Consolas" w:hAnsi="Consolas" w:cs="Consolas"/>
          <w:b w:val="0"/>
          <w:i w:val="0"/>
          <w:sz w:val="15"/>
        </w:rPr>
        <w:t xml:space="preserve">  customs_facilities JSONB,</w:t>
      </w:r>
    </w:p>
    <w:p>
      <w:pPr>
        <w:spacing w:after="0" w:before="0" w:line="240" w:lineRule="auto"/>
        <w:ind w:left="57"/>
        <w:jc w:val="left"/>
        <w:shd w:val="clear" w:fill="F2F2F2"/>
      </w:pPr>
      <w:r>
        <w:rPr>
          <w:rFonts w:ascii="Consolas" w:hAnsi="Consolas" w:cs="Consolas"/>
          <w:b w:val="0"/>
          <w:i w:val="0"/>
          <w:sz w:val="15"/>
        </w:rPr>
        <w:t xml:space="preserve">  corridor_mappings TEXT[],           -- corridor_code references</w:t>
      </w:r>
    </w:p>
    <w:p>
      <w:pPr>
        <w:spacing w:after="0" w:before="0" w:line="240" w:lineRule="auto"/>
        <w:ind w:left="57"/>
        <w:jc w:val="left"/>
        <w:shd w:val="clear" w:fill="F2F2F2"/>
      </w:pPr>
      <w:r>
        <w:rPr>
          <w:rFonts w:ascii="Consolas" w:hAnsi="Consolas" w:cs="Consolas"/>
          <w:b w:val="0"/>
          <w:i w:val="0"/>
          <w:sz w:val="15"/>
        </w:rPr>
        <w:t xml:space="preserve">  last_updated TIMESTAMPTZ DEFAULT NOW(),</w:t>
      </w:r>
    </w:p>
    <w:p>
      <w:pPr>
        <w:spacing w:after="0" w:before="0" w:line="240" w:lineRule="auto"/>
        <w:ind w:left="57"/>
        <w:jc w:val="left"/>
        <w:shd w:val="clear" w:fill="F2F2F2"/>
      </w:pPr>
      <w:r>
        <w:rPr>
          <w:rFonts w:ascii="Consolas" w:hAnsi="Consolas" w:cs="Consolas"/>
          <w:b w:val="0"/>
          <w:i w:val="0"/>
          <w:sz w:val="15"/>
        </w:rPr>
        <w:t xml:space="preserve">  loom_hash TEXT</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23.2.9 Customs Intelligence</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guidance for customs requirements (not filing).</w:t>
      </w:r>
    </w:p>
    <w:p>
      <w:pPr>
        <w:keepNext/>
        <w:spacing w:before="140" w:after="60"/>
        <w:outlineLvl w:val="3"/>
      </w:pPr>
      <w:r>
        <w:rPr>
          <w:rFonts w:ascii="Arial" w:hAnsi="Arial" w:cs="Arial"/>
          <w:b/>
          <w:i/>
          <w:color w:val="333333"/>
          <w:sz w:val="22"/>
        </w:rPr>
        <w:t>23.2.9.1 Egypt → Italy (Fresh Strawberries)</w:t>
      </w:r>
    </w:p>
    <w:p>
      <w:pPr>
        <w:spacing w:after="80" w:line="293" w:lineRule="auto"/>
        <w:jc w:val="left"/>
      </w:pPr>
      <w:r>
        <w:rPr>
          <w:rFonts w:ascii="Times New Roman" w:hAnsi="Times New Roman" w:cs="Times New Roman"/>
          <w:b w:val="0"/>
          <w:i w:val="0"/>
          <w:sz w:val="22"/>
        </w:rPr>
        <w:t>Trade: Egypt → Italy; Product: Fresh Strawberries; Corridor: Egypt–Italy RoRo. The system shows the required documents:</w:t>
      </w:r>
    </w:p>
    <w:p>
      <w:pPr>
        <w:spacing w:after="80" w:line="293" w:lineRule="auto"/>
        <w:ind w:left="283"/>
        <w:jc w:val="left"/>
      </w:pPr>
      <w:r>
        <w:rPr>
          <w:rFonts w:ascii="Times New Roman" w:hAnsi="Times New Roman" w:cs="Times New Roman"/>
          <w:b w:val="0"/>
          <w:i w:val="0"/>
          <w:sz w:val="22"/>
        </w:rPr>
        <w:t>- Certificate of Origin (COO)</w:t>
      </w:r>
    </w:p>
    <w:p>
      <w:pPr>
        <w:spacing w:after="80" w:line="293" w:lineRule="auto"/>
        <w:ind w:left="283"/>
        <w:jc w:val="left"/>
      </w:pPr>
      <w:r>
        <w:rPr>
          <w:rFonts w:ascii="Times New Roman" w:hAnsi="Times New Roman" w:cs="Times New Roman"/>
          <w:b w:val="0"/>
          <w:i w:val="0"/>
          <w:sz w:val="22"/>
        </w:rPr>
        <w:t>- Health Certificate</w:t>
      </w:r>
    </w:p>
    <w:p>
      <w:pPr>
        <w:spacing w:after="80" w:line="293" w:lineRule="auto"/>
        <w:ind w:left="283"/>
        <w:jc w:val="left"/>
      </w:pPr>
      <w:r>
        <w:rPr>
          <w:rFonts w:ascii="Times New Roman" w:hAnsi="Times New Roman" w:cs="Times New Roman"/>
          <w:b w:val="0"/>
          <w:i w:val="0"/>
          <w:sz w:val="22"/>
        </w:rPr>
        <w:t>- Commercial Invoice</w:t>
      </w:r>
    </w:p>
    <w:p>
      <w:pPr>
        <w:spacing w:after="80" w:line="293" w:lineRule="auto"/>
        <w:ind w:left="283"/>
        <w:jc w:val="left"/>
      </w:pPr>
      <w:r>
        <w:rPr>
          <w:rFonts w:ascii="Times New Roman" w:hAnsi="Times New Roman" w:cs="Times New Roman"/>
          <w:b w:val="0"/>
          <w:i w:val="0"/>
          <w:sz w:val="22"/>
        </w:rPr>
        <w:t>- Packing List</w:t>
      </w:r>
    </w:p>
    <w:p>
      <w:pPr>
        <w:spacing w:after="80" w:line="293" w:lineRule="auto"/>
        <w:ind w:left="283"/>
        <w:jc w:val="left"/>
      </w:pPr>
      <w:r>
        <w:rPr>
          <w:rFonts w:ascii="Times New Roman" w:hAnsi="Times New Roman" w:cs="Times New Roman"/>
          <w:b w:val="0"/>
          <w:i w:val="0"/>
          <w:sz w:val="22"/>
        </w:rPr>
        <w:t>- Phytosanitary Certificate</w:t>
      </w:r>
    </w:p>
    <w:p>
      <w:pPr>
        <w:spacing w:after="80" w:line="293" w:lineRule="auto"/>
        <w:ind w:left="283"/>
        <w:jc w:val="left"/>
      </w:pPr>
      <w:r>
        <w:rPr>
          <w:rFonts w:ascii="Times New Roman" w:hAnsi="Times New Roman" w:cs="Times New Roman"/>
          <w:b w:val="0"/>
          <w:i w:val="0"/>
          <w:sz w:val="22"/>
        </w:rPr>
        <w:t>- Cold Chain Log</w:t>
      </w:r>
    </w:p>
    <w:p>
      <w:pPr>
        <w:spacing w:after="80" w:line="293" w:lineRule="auto"/>
        <w:jc w:val="left"/>
      </w:pPr>
      <w:r>
        <w:rPr>
          <w:rFonts w:ascii="Times New Roman" w:hAnsi="Times New Roman" w:cs="Times New Roman"/>
          <w:b w:val="0"/>
          <w:i w:val="0"/>
          <w:sz w:val="22"/>
        </w:rPr>
        <w:t>Complexity: Low. Estimated clearance time: 4–6 hours.</w:t>
      </w:r>
    </w:p>
    <w:p>
      <w:pPr>
        <w:keepNext/>
        <w:spacing w:before="140" w:after="60"/>
        <w:outlineLvl w:val="3"/>
      </w:pPr>
      <w:r>
        <w:rPr>
          <w:rFonts w:ascii="Arial" w:hAnsi="Arial" w:cs="Arial"/>
          <w:b/>
          <w:i/>
          <w:color w:val="333333"/>
          <w:sz w:val="22"/>
        </w:rPr>
        <w:t>23.2.9.2 Egypt → Saudi Arabia (Fresh Produce)</w:t>
      </w:r>
    </w:p>
    <w:p>
      <w:pPr>
        <w:spacing w:after="80" w:line="293" w:lineRule="auto"/>
        <w:jc w:val="left"/>
      </w:pPr>
      <w:r>
        <w:rPr>
          <w:rFonts w:ascii="Times New Roman" w:hAnsi="Times New Roman" w:cs="Times New Roman"/>
          <w:b w:val="0"/>
          <w:i w:val="0"/>
          <w:sz w:val="22"/>
        </w:rPr>
        <w:t>Trade: Egypt → Saudi Arabia; Product: Fresh Oranges; Corridor: Red Sea RoRo (Egypt–Saudi). The system shows the required documents:</w:t>
      </w:r>
    </w:p>
    <w:p>
      <w:pPr>
        <w:spacing w:after="80" w:line="293" w:lineRule="auto"/>
        <w:ind w:left="283"/>
        <w:jc w:val="left"/>
      </w:pPr>
      <w:r>
        <w:rPr>
          <w:rFonts w:ascii="Times New Roman" w:hAnsi="Times New Roman" w:cs="Times New Roman"/>
          <w:b w:val="0"/>
          <w:i w:val="0"/>
          <w:sz w:val="22"/>
        </w:rPr>
        <w:t>- Certificate of Origin (COO)</w:t>
      </w:r>
    </w:p>
    <w:p>
      <w:pPr>
        <w:spacing w:after="80" w:line="293" w:lineRule="auto"/>
        <w:ind w:left="283"/>
        <w:jc w:val="left"/>
      </w:pPr>
      <w:r>
        <w:rPr>
          <w:rFonts w:ascii="Times New Roman" w:hAnsi="Times New Roman" w:cs="Times New Roman"/>
          <w:b w:val="0"/>
          <w:i w:val="0"/>
          <w:sz w:val="22"/>
        </w:rPr>
        <w:t>- Health Certificate</w:t>
      </w:r>
    </w:p>
    <w:p>
      <w:pPr>
        <w:spacing w:after="80" w:line="293" w:lineRule="auto"/>
        <w:ind w:left="283"/>
        <w:jc w:val="left"/>
      </w:pPr>
      <w:r>
        <w:rPr>
          <w:rFonts w:ascii="Times New Roman" w:hAnsi="Times New Roman" w:cs="Times New Roman"/>
          <w:b w:val="0"/>
          <w:i w:val="0"/>
          <w:sz w:val="22"/>
        </w:rPr>
        <w:t>- Commercial Invoice</w:t>
      </w:r>
    </w:p>
    <w:p>
      <w:pPr>
        <w:spacing w:after="80" w:line="293" w:lineRule="auto"/>
        <w:ind w:left="283"/>
        <w:jc w:val="left"/>
      </w:pPr>
      <w:r>
        <w:rPr>
          <w:rFonts w:ascii="Times New Roman" w:hAnsi="Times New Roman" w:cs="Times New Roman"/>
          <w:b w:val="0"/>
          <w:i w:val="0"/>
          <w:sz w:val="22"/>
        </w:rPr>
        <w:t>- Packing List</w:t>
      </w:r>
    </w:p>
    <w:p>
      <w:pPr>
        <w:spacing w:after="80" w:line="293" w:lineRule="auto"/>
        <w:ind w:left="283"/>
        <w:jc w:val="left"/>
      </w:pPr>
      <w:r>
        <w:rPr>
          <w:rFonts w:ascii="Times New Roman" w:hAnsi="Times New Roman" w:cs="Times New Roman"/>
          <w:b w:val="0"/>
          <w:i w:val="0"/>
          <w:sz w:val="22"/>
        </w:rPr>
        <w:t>- SFDA Food Safety Certificate</w:t>
      </w:r>
    </w:p>
    <w:p>
      <w:pPr>
        <w:spacing w:after="80" w:line="293" w:lineRule="auto"/>
        <w:ind w:left="283"/>
        <w:jc w:val="left"/>
      </w:pPr>
      <w:r>
        <w:rPr>
          <w:rFonts w:ascii="Times New Roman" w:hAnsi="Times New Roman" w:cs="Times New Roman"/>
          <w:b w:val="0"/>
          <w:i w:val="0"/>
          <w:sz w:val="22"/>
        </w:rPr>
        <w:t>- Halal Certification</w:t>
      </w:r>
    </w:p>
    <w:p>
      <w:pPr>
        <w:spacing w:after="80" w:line="293" w:lineRule="auto"/>
        <w:ind w:left="283"/>
        <w:jc w:val="left"/>
      </w:pPr>
      <w:r>
        <w:rPr>
          <w:rFonts w:ascii="Times New Roman" w:hAnsi="Times New Roman" w:cs="Times New Roman"/>
          <w:b w:val="0"/>
          <w:i w:val="0"/>
          <w:sz w:val="22"/>
        </w:rPr>
        <w:t>- Phytosanitary Certificate</w:t>
      </w:r>
    </w:p>
    <w:p>
      <w:pPr>
        <w:spacing w:after="80" w:line="293" w:lineRule="auto"/>
        <w:jc w:val="left"/>
      </w:pPr>
      <w:r>
        <w:rPr>
          <w:rFonts w:ascii="Times New Roman" w:hAnsi="Times New Roman" w:cs="Times New Roman"/>
          <w:b w:val="0"/>
          <w:i w:val="0"/>
          <w:sz w:val="22"/>
        </w:rPr>
        <w:t>Complexity: Medium. Estimated clearance time: 6–8 hours. Special requirements: SFDA inspection required; Halal certification must be from an approved body.</w:t>
      </w:r>
    </w:p>
    <w:p>
      <w:pPr>
        <w:keepNext/>
        <w:spacing w:before="140" w:after="60"/>
        <w:outlineLvl w:val="3"/>
      </w:pPr>
      <w:r>
        <w:rPr>
          <w:rFonts w:ascii="Arial" w:hAnsi="Arial" w:cs="Arial"/>
          <w:b/>
          <w:i/>
          <w:color w:val="333333"/>
          <w:sz w:val="22"/>
        </w:rPr>
        <w:t>23.2.9.3 Egypt → UAE (Vehicles)</w:t>
      </w:r>
    </w:p>
    <w:p>
      <w:pPr>
        <w:spacing w:after="80" w:line="293" w:lineRule="auto"/>
        <w:jc w:val="left"/>
      </w:pPr>
      <w:r>
        <w:rPr>
          <w:rFonts w:ascii="Times New Roman" w:hAnsi="Times New Roman" w:cs="Times New Roman"/>
          <w:b w:val="0"/>
          <w:i w:val="0"/>
          <w:sz w:val="22"/>
        </w:rPr>
        <w:t>Trade: Egypt → UAE; Product: Vehicles; Corridor: Red Sea RoRo (Egypt–UAE). The system shows the required documents:</w:t>
      </w:r>
    </w:p>
    <w:p>
      <w:pPr>
        <w:spacing w:after="80" w:line="293" w:lineRule="auto"/>
        <w:ind w:left="283"/>
        <w:jc w:val="left"/>
      </w:pPr>
      <w:r>
        <w:rPr>
          <w:rFonts w:ascii="Times New Roman" w:hAnsi="Times New Roman" w:cs="Times New Roman"/>
          <w:b w:val="0"/>
          <w:i w:val="0"/>
          <w:sz w:val="22"/>
        </w:rPr>
        <w:t>- Certificate of Origin (COO)</w:t>
      </w:r>
    </w:p>
    <w:p>
      <w:pPr>
        <w:spacing w:after="80" w:line="293" w:lineRule="auto"/>
        <w:ind w:left="283"/>
        <w:jc w:val="left"/>
      </w:pPr>
      <w:r>
        <w:rPr>
          <w:rFonts w:ascii="Times New Roman" w:hAnsi="Times New Roman" w:cs="Times New Roman"/>
          <w:b w:val="0"/>
          <w:i w:val="0"/>
          <w:sz w:val="22"/>
        </w:rPr>
        <w:t>- Commercial Invoice</w:t>
      </w:r>
    </w:p>
    <w:p>
      <w:pPr>
        <w:spacing w:after="80" w:line="293" w:lineRule="auto"/>
        <w:ind w:left="283"/>
        <w:jc w:val="left"/>
      </w:pPr>
      <w:r>
        <w:rPr>
          <w:rFonts w:ascii="Times New Roman" w:hAnsi="Times New Roman" w:cs="Times New Roman"/>
          <w:b w:val="0"/>
          <w:i w:val="0"/>
          <w:sz w:val="22"/>
        </w:rPr>
        <w:t>- Packing List</w:t>
      </w:r>
    </w:p>
    <w:p>
      <w:pPr>
        <w:spacing w:after="80" w:line="293" w:lineRule="auto"/>
        <w:ind w:left="283"/>
        <w:jc w:val="left"/>
      </w:pPr>
      <w:r>
        <w:rPr>
          <w:rFonts w:ascii="Times New Roman" w:hAnsi="Times New Roman" w:cs="Times New Roman"/>
          <w:b w:val="0"/>
          <w:i w:val="0"/>
          <w:sz w:val="22"/>
        </w:rPr>
        <w:t>- UAE Customs Declaration</w:t>
      </w:r>
    </w:p>
    <w:p>
      <w:pPr>
        <w:spacing w:after="80" w:line="293" w:lineRule="auto"/>
        <w:ind w:left="283"/>
        <w:jc w:val="left"/>
      </w:pPr>
      <w:r>
        <w:rPr>
          <w:rFonts w:ascii="Times New Roman" w:hAnsi="Times New Roman" w:cs="Times New Roman"/>
          <w:b w:val="0"/>
          <w:i w:val="0"/>
          <w:sz w:val="22"/>
        </w:rPr>
        <w:t>- Vehicle Export Certificate</w:t>
      </w:r>
    </w:p>
    <w:p>
      <w:pPr>
        <w:spacing w:after="80" w:line="293" w:lineRule="auto"/>
        <w:ind w:left="283"/>
        <w:jc w:val="left"/>
      </w:pPr>
      <w:r>
        <w:rPr>
          <w:rFonts w:ascii="Times New Roman" w:hAnsi="Times New Roman" w:cs="Times New Roman"/>
          <w:b w:val="0"/>
          <w:i w:val="0"/>
          <w:sz w:val="22"/>
        </w:rPr>
        <w:t>- Bill of Lading</w:t>
      </w:r>
    </w:p>
    <w:p>
      <w:pPr>
        <w:spacing w:after="80" w:line="293" w:lineRule="auto"/>
        <w:jc w:val="left"/>
      </w:pPr>
      <w:r>
        <w:rPr>
          <w:rFonts w:ascii="Times New Roman" w:hAnsi="Times New Roman" w:cs="Times New Roman"/>
          <w:b w:val="0"/>
          <w:i w:val="0"/>
          <w:sz w:val="22"/>
        </w:rPr>
        <w:t>Complexity: Low. Estimated clearance time: 3–5 hours.</w:t>
      </w:r>
    </w:p>
    <w:p>
      <w:pPr>
        <w:spacing w:after="80" w:line="293" w:lineRule="auto"/>
        <w:jc w:val="left"/>
      </w:pPr>
      <w:r>
        <w:rPr>
          <w:rFonts w:ascii="Times New Roman" w:hAnsi="Times New Roman" w:cs="Times New Roman"/>
          <w:b w:val="0"/>
          <w:i w:val="0"/>
          <w:sz w:val="22"/>
        </w:rPr>
        <w:t>Integrates with Nafeza (Section 20) for document requirements.</w:t>
      </w:r>
    </w:p>
    <w:p>
      <w:pPr>
        <w:keepNext/>
        <w:spacing w:before="180" w:after="80"/>
        <w:outlineLvl w:val="2"/>
      </w:pPr>
      <w:r>
        <w:rPr>
          <w:rFonts w:ascii="Arial" w:hAnsi="Arial" w:cs="Arial"/>
          <w:b/>
          <w:i w:val="0"/>
          <w:color w:val="333333"/>
          <w:sz w:val="23"/>
        </w:rPr>
        <w:t>23.2.10 Trade Request Integration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inside the trade request, add Corridor Selection. Fields: Corridor Selection — Automatic / Manual.</w:t>
      </w:r>
    </w:p>
    <w:p>
      <w:pPr>
        <w:spacing w:after="80" w:line="293" w:lineRule="auto"/>
        <w:jc w:val="left"/>
      </w:pPr>
      <w:r>
        <w:rPr>
          <w:rFonts w:ascii="Times New Roman" w:hAnsi="Times New Roman" w:cs="Times New Roman"/>
          <w:b w:val="0"/>
          <w:i w:val="0"/>
          <w:sz w:val="22"/>
        </w:rPr>
        <w:t>If Automatic: the recommended corridor (Egypt–Italy RoRo, Red Sea RoRo, etc.) is shown with: transit time, eligibility, required documents, and expected inspection requirements. The system does NOT show: carrier selection, freight quotes, broker quotes — not a marketplace.</w:t>
      </w:r>
    </w:p>
    <w:p>
      <w:pPr>
        <w:spacing w:after="80" w:line="293" w:lineRule="auto"/>
        <w:jc w:val="left"/>
      </w:pPr>
      <w:r>
        <w:rPr>
          <w:rFonts w:ascii="Times New Roman" w:hAnsi="Times New Roman" w:cs="Times New Roman"/>
          <w:b w:val="0"/>
          <w:i w:val="0"/>
          <w:sz w:val="22"/>
        </w:rPr>
        <w:t>UI example:</w:t>
      </w:r>
    </w:p>
    <w:p>
      <w:pPr>
        <w:spacing w:after="0" w:before="0" w:line="240" w:lineRule="auto"/>
        <w:ind w:left="57"/>
        <w:jc w:val="left"/>
        <w:shd w:val="clear" w:fill="F2F2F2"/>
      </w:pPr>
      <w:r>
        <w:rPr>
          <w:rFonts w:ascii="Consolas" w:hAnsi="Consolas" w:cs="Consolas"/>
          <w:b w:val="0"/>
          <w:i w:val="0"/>
          <w:sz w:val="15"/>
        </w:rPr>
        <w:t>TRADE CORRIDOR SELECTION</w:t>
      </w:r>
    </w:p>
    <w:p>
      <w:pPr>
        <w:spacing w:after="0" w:before="0" w:line="240" w:lineRule="auto"/>
        <w:ind w:left="57"/>
        <w:jc w:val="left"/>
        <w:shd w:val="clear" w:fill="F2F2F2"/>
      </w:pPr>
      <w:r>
        <w:rPr>
          <w:rFonts w:ascii="Consolas" w:hAnsi="Consolas" w:cs="Consolas"/>
          <w:b w:val="0"/>
          <w:i w:val="0"/>
          <w:sz w:val="15"/>
        </w:rPr>
        <w:t>Corridor Selection: [Automatic ✓] [Manual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Recommended Corridor: Egypt–Italy RoRo</w:t>
      </w:r>
    </w:p>
    <w:p>
      <w:pPr>
        <w:spacing w:after="0" w:before="0" w:line="240" w:lineRule="auto"/>
        <w:ind w:left="57"/>
        <w:jc w:val="left"/>
        <w:shd w:val="clear" w:fill="F2F2F2"/>
      </w:pPr>
      <w:r>
        <w:rPr>
          <w:rFonts w:ascii="Consolas" w:hAnsi="Consolas" w:cs="Consolas"/>
          <w:b w:val="0"/>
          <w:i w:val="0"/>
          <w:sz w:val="15"/>
        </w:rPr>
        <w:t xml:space="preserve">  Egypt–Italy RoRo Corridor</w:t>
      </w:r>
    </w:p>
    <w:p>
      <w:pPr>
        <w:spacing w:after="0" w:before="0" w:line="240" w:lineRule="auto"/>
        <w:ind w:left="57"/>
        <w:jc w:val="left"/>
        <w:shd w:val="clear" w:fill="F2F2F2"/>
      </w:pPr>
      <w:r>
        <w:rPr>
          <w:rFonts w:ascii="Consolas" w:hAnsi="Consolas" w:cs="Consolas"/>
          <w:b w:val="0"/>
          <w:i w:val="0"/>
          <w:sz w:val="15"/>
        </w:rPr>
        <w:t xml:space="preserve">  Transit Time:      5-7 days</w:t>
      </w:r>
    </w:p>
    <w:p>
      <w:pPr>
        <w:spacing w:after="0" w:before="0" w:line="240" w:lineRule="auto"/>
        <w:ind w:left="57"/>
        <w:jc w:val="left"/>
        <w:shd w:val="clear" w:fill="F2F2F2"/>
      </w:pPr>
      <w:r>
        <w:rPr>
          <w:rFonts w:ascii="Consolas" w:hAnsi="Consolas" w:cs="Consolas"/>
          <w:b w:val="0"/>
          <w:i w:val="0"/>
          <w:sz w:val="15"/>
        </w:rPr>
        <w:t xml:space="preserve">  Eligibility:       97%</w:t>
      </w:r>
    </w:p>
    <w:p>
      <w:pPr>
        <w:spacing w:after="0" w:before="0" w:line="240" w:lineRule="auto"/>
        <w:ind w:left="57"/>
        <w:jc w:val="left"/>
        <w:shd w:val="clear" w:fill="F2F2F2"/>
      </w:pPr>
      <w:r>
        <w:rPr>
          <w:rFonts w:ascii="Consolas" w:hAnsi="Consolas" w:cs="Consolas"/>
          <w:b w:val="0"/>
          <w:i w:val="0"/>
          <w:sz w:val="15"/>
        </w:rPr>
        <w:t xml:space="preserve">  Required Documents: 5</w:t>
      </w:r>
    </w:p>
    <w:p>
      <w:pPr>
        <w:spacing w:after="0" w:before="0" w:line="240" w:lineRule="auto"/>
        <w:ind w:left="57"/>
        <w:jc w:val="left"/>
        <w:shd w:val="clear" w:fill="F2F2F2"/>
      </w:pPr>
      <w:r>
        <w:rPr>
          <w:rFonts w:ascii="Consolas" w:hAnsi="Consolas" w:cs="Consolas"/>
          <w:b w:val="0"/>
          <w:i w:val="0"/>
          <w:sz w:val="15"/>
        </w:rPr>
        <w:t xml:space="preserve">  Inspection:        Standard</w:t>
      </w:r>
    </w:p>
    <w:p>
      <w:pPr>
        <w:spacing w:after="0" w:before="0" w:line="240" w:lineRule="auto"/>
        <w:ind w:left="57"/>
        <w:jc w:val="left"/>
        <w:shd w:val="clear" w:fill="F2F2F2"/>
      </w:pPr>
      <w:r>
        <w:rPr>
          <w:rFonts w:ascii="Consolas" w:hAnsi="Consolas" w:cs="Consolas"/>
          <w:b w:val="0"/>
          <w:i w:val="0"/>
          <w:sz w:val="15"/>
        </w:rPr>
        <w:t xml:space="preserve">  Financeability:    High</w:t>
      </w:r>
    </w:p>
    <w:p>
      <w:pPr>
        <w:spacing w:after="0" w:before="0" w:line="240" w:lineRule="auto"/>
        <w:ind w:left="57"/>
        <w:jc w:val="left"/>
        <w:shd w:val="clear" w:fill="F2F2F2"/>
      </w:pPr>
      <w:r>
        <w:rPr>
          <w:rFonts w:ascii="Consolas" w:hAnsi="Consolas" w:cs="Consolas"/>
          <w:b w:val="0"/>
          <w:i w:val="0"/>
          <w:sz w:val="15"/>
        </w:rPr>
        <w:t xml:space="preserve">  Insurance:         98% coverage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Insight: This corridor is ideal for fresh produce. Previous trades on</w:t>
      </w:r>
    </w:p>
    <w:p>
      <w:pPr>
        <w:spacing w:after="0" w:before="0" w:line="240" w:lineRule="auto"/>
        <w:ind w:left="57"/>
        <w:jc w:val="left"/>
        <w:shd w:val="clear" w:fill="F2F2F2"/>
      </w:pPr>
      <w:r>
        <w:rPr>
          <w:rFonts w:ascii="Consolas" w:hAnsi="Consolas" w:cs="Consolas"/>
          <w:b w:val="0"/>
          <w:i w:val="0"/>
          <w:sz w:val="15"/>
        </w:rPr>
        <w:t>this corridor have 94% on-time delivery.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[Apply Corridor] [View Full Passport] [See Alternatives]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Alternative Corridors:</w:t>
      </w:r>
    </w:p>
    <w:p>
      <w:pPr>
        <w:spacing w:after="0" w:before="0" w:line="240" w:lineRule="auto"/>
        <w:ind w:left="57"/>
        <w:jc w:val="left"/>
        <w:shd w:val="clear" w:fill="F2F2F2"/>
      </w:pPr>
      <w:r>
        <w:rPr>
          <w:rFonts w:ascii="Consolas" w:hAnsi="Consolas" w:cs="Consolas"/>
          <w:b w:val="0"/>
          <w:i w:val="0"/>
          <w:sz w:val="15"/>
        </w:rPr>
        <w:t xml:space="preserve">  Red Sea RoRo (Egypt–Saudi) — Transit Time: 2-4 days | Eligibility: 94%</w:t>
      </w:r>
    </w:p>
    <w:p>
      <w:pPr>
        <w:spacing w:after="0" w:before="0" w:line="240" w:lineRule="auto"/>
        <w:ind w:left="57"/>
        <w:jc w:val="left"/>
        <w:shd w:val="clear" w:fill="F2F2F2"/>
      </w:pPr>
      <w:r>
        <w:rPr>
          <w:rFonts w:ascii="Consolas" w:hAnsi="Consolas" w:cs="Consolas"/>
          <w:b w:val="0"/>
          <w:i w:val="0"/>
          <w:sz w:val="15"/>
        </w:rPr>
        <w:t xml:space="preserve">  | Documents: 7 | SFDA inspection required                    [Select]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the trade request form (Section 6).</w:t>
      </w:r>
    </w:p>
    <w:p>
      <w:pPr>
        <w:keepNext/>
        <w:spacing w:before="180" w:after="80"/>
        <w:outlineLvl w:val="2"/>
      </w:pPr>
      <w:r>
        <w:rPr>
          <w:rFonts w:ascii="Arial" w:hAnsi="Arial" w:cs="Arial"/>
          <w:b/>
          <w:i w:val="0"/>
          <w:color w:val="333333"/>
          <w:sz w:val="23"/>
        </w:rPr>
        <w:t>23.2.11 Contract Integration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the contract generator automatically inserts corridor-specific clauses.</w:t>
      </w:r>
    </w:p>
    <w:p>
      <w:pPr>
        <w:spacing w:after="80" w:line="293" w:lineRule="auto"/>
        <w:jc w:val="left"/>
      </w:pPr>
      <w:r>
        <w:rPr>
          <w:rFonts w:ascii="Times New Roman" w:hAnsi="Times New Roman" w:cs="Times New Roman"/>
          <w:b w:val="0"/>
          <w:i w:val="0"/>
          <w:sz w:val="22"/>
        </w:rPr>
        <w:t>Example — Egypt–Italy RoRo:</w:t>
      </w:r>
    </w:p>
    <w:p>
      <w:pPr>
        <w:spacing w:after="0" w:before="0" w:line="240" w:lineRule="auto"/>
        <w:ind w:left="57"/>
        <w:jc w:val="left"/>
        <w:shd w:val="clear" w:fill="F2F2F2"/>
      </w:pPr>
      <w:r>
        <w:rPr>
          <w:rFonts w:ascii="Consolas" w:hAnsi="Consolas" w:cs="Consolas"/>
          <w:b w:val="0"/>
          <w:i w:val="0"/>
          <w:sz w:val="15"/>
        </w:rPr>
        <w:t>Trade Corridor: Egypt–Italy RoRo</w:t>
      </w:r>
    </w:p>
    <w:p>
      <w:pPr>
        <w:spacing w:after="0" w:before="0" w:line="240" w:lineRule="auto"/>
        <w:ind w:left="57"/>
        <w:jc w:val="left"/>
        <w:shd w:val="clear" w:fill="F2F2F2"/>
      </w:pPr>
      <w:r>
        <w:rPr>
          <w:rFonts w:ascii="Consolas" w:hAnsi="Consolas" w:cs="Consolas"/>
          <w:b w:val="0"/>
          <w:i w:val="0"/>
          <w:sz w:val="15"/>
        </w:rPr>
        <w:t>Additional Clauses:</w:t>
      </w:r>
    </w:p>
    <w:p>
      <w:pPr>
        <w:spacing w:after="0" w:before="0" w:line="240" w:lineRule="auto"/>
        <w:ind w:left="57"/>
        <w:jc w:val="left"/>
        <w:shd w:val="clear" w:fill="F2F2F2"/>
      </w:pPr>
      <w:r>
        <w:rPr>
          <w:rFonts w:ascii="Consolas" w:hAnsi="Consolas" w:cs="Consolas"/>
          <w:b w:val="0"/>
          <w:i w:val="0"/>
          <w:sz w:val="15"/>
        </w:rPr>
        <w:t xml:space="preserve">  • Port of Departure: Damietta (Egypt)</w:t>
      </w:r>
    </w:p>
    <w:p>
      <w:pPr>
        <w:spacing w:after="0" w:before="0" w:line="240" w:lineRule="auto"/>
        <w:ind w:left="57"/>
        <w:jc w:val="left"/>
        <w:shd w:val="clear" w:fill="F2F2F2"/>
      </w:pPr>
      <w:r>
        <w:rPr>
          <w:rFonts w:ascii="Consolas" w:hAnsi="Consolas" w:cs="Consolas"/>
          <w:b w:val="0"/>
          <w:i w:val="0"/>
          <w:sz w:val="15"/>
        </w:rPr>
        <w:t xml:space="preserve">  • Port of Arrival: Trieste (Italy)</w:t>
      </w:r>
    </w:p>
    <w:p>
      <w:pPr>
        <w:spacing w:after="0" w:before="0" w:line="240" w:lineRule="auto"/>
        <w:ind w:left="57"/>
        <w:jc w:val="left"/>
        <w:shd w:val="clear" w:fill="F2F2F2"/>
      </w:pPr>
      <w:r>
        <w:rPr>
          <w:rFonts w:ascii="Consolas" w:hAnsi="Consolas" w:cs="Consolas"/>
          <w:b w:val="0"/>
          <w:i w:val="0"/>
          <w:sz w:val="15"/>
        </w:rPr>
        <w:t xml:space="preserve">  • Corridor Conditions: Standard RoRo terms (ISM Code compliant)</w:t>
      </w:r>
    </w:p>
    <w:p>
      <w:pPr>
        <w:spacing w:after="0" w:before="0" w:line="240" w:lineRule="auto"/>
        <w:ind w:left="57"/>
        <w:jc w:val="left"/>
        <w:shd w:val="clear" w:fill="F2F2F2"/>
      </w:pPr>
      <w:r>
        <w:rPr>
          <w:rFonts w:ascii="Consolas" w:hAnsi="Consolas" w:cs="Consolas"/>
          <w:b w:val="0"/>
          <w:i w:val="0"/>
          <w:sz w:val="15"/>
        </w:rPr>
        <w:t xml:space="preserve">  • Inspection Conditions: Italy Customs inspection upon arrival</w:t>
      </w:r>
    </w:p>
    <w:p>
      <w:pPr>
        <w:spacing w:after="0" w:before="0" w:line="240" w:lineRule="auto"/>
        <w:ind w:left="57"/>
        <w:jc w:val="left"/>
        <w:shd w:val="clear" w:fill="F2F2F2"/>
      </w:pPr>
      <w:r>
        <w:rPr>
          <w:rFonts w:ascii="Consolas" w:hAnsi="Consolas" w:cs="Consolas"/>
          <w:b w:val="0"/>
          <w:i w:val="0"/>
          <w:sz w:val="15"/>
        </w:rPr>
        <w:t xml:space="preserve">  • Documentation Requirements: COO, Health Cert, Packing List, Invoice,</w:t>
      </w:r>
    </w:p>
    <w:p>
      <w:pPr>
        <w:spacing w:after="0" w:before="0" w:line="240" w:lineRule="auto"/>
        <w:ind w:left="57"/>
        <w:jc w:val="left"/>
        <w:shd w:val="clear" w:fill="F2F2F2"/>
      </w:pPr>
      <w:r>
        <w:rPr>
          <w:rFonts w:ascii="Consolas" w:hAnsi="Consolas" w:cs="Consolas"/>
          <w:b w:val="0"/>
          <w:i w:val="0"/>
          <w:sz w:val="15"/>
        </w:rPr>
        <w:t xml:space="preserve">    Phytosanitary</w:t>
      </w:r>
    </w:p>
    <w:p>
      <w:pPr>
        <w:spacing w:after="0" w:before="0" w:line="240" w:lineRule="auto"/>
        <w:ind w:left="57"/>
        <w:jc w:val="left"/>
        <w:shd w:val="clear" w:fill="F2F2F2"/>
      </w:pPr>
      <w:r>
        <w:rPr>
          <w:rFonts w:ascii="Consolas" w:hAnsi="Consolas" w:cs="Consolas"/>
          <w:b w:val="0"/>
          <w:i w:val="0"/>
          <w:sz w:val="15"/>
        </w:rPr>
        <w:t xml:space="preserve">  • Transit Guarantee: 7 days maximum</w:t>
      </w:r>
    </w:p>
    <w:p>
      <w:pPr>
        <w:spacing w:after="0" w:before="0" w:line="240" w:lineRule="auto"/>
        <w:ind w:left="57"/>
        <w:jc w:val="left"/>
        <w:shd w:val="clear" w:fill="F2F2F2"/>
      </w:pPr>
      <w:r>
        <w:rPr>
          <w:rFonts w:ascii="Consolas" w:hAnsi="Consolas" w:cs="Consolas"/>
          <w:b w:val="0"/>
          <w:i w:val="0"/>
          <w:sz w:val="15"/>
        </w:rPr>
        <w:t xml:space="preserve">  • Incoterm: CFR (as per corridor standard)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 Red Sea RoRo (Egypt–Saudi):</w:t>
      </w:r>
    </w:p>
    <w:p>
      <w:pPr>
        <w:spacing w:after="0" w:before="0" w:line="240" w:lineRule="auto"/>
        <w:ind w:left="57"/>
        <w:jc w:val="left"/>
        <w:shd w:val="clear" w:fill="F2F2F2"/>
      </w:pPr>
      <w:r>
        <w:rPr>
          <w:rFonts w:ascii="Consolas" w:hAnsi="Consolas" w:cs="Consolas"/>
          <w:b w:val="0"/>
          <w:i w:val="0"/>
          <w:sz w:val="15"/>
        </w:rPr>
        <w:t>Trade Corridor: Red Sea RoRo (Egypt–Saudi)</w:t>
      </w:r>
    </w:p>
    <w:p>
      <w:pPr>
        <w:spacing w:after="0" w:before="0" w:line="240" w:lineRule="auto"/>
        <w:ind w:left="57"/>
        <w:jc w:val="left"/>
        <w:shd w:val="clear" w:fill="F2F2F2"/>
      </w:pPr>
      <w:r>
        <w:rPr>
          <w:rFonts w:ascii="Consolas" w:hAnsi="Consolas" w:cs="Consolas"/>
          <w:b w:val="0"/>
          <w:i w:val="0"/>
          <w:sz w:val="15"/>
        </w:rPr>
        <w:t>Additional Clauses:</w:t>
      </w:r>
    </w:p>
    <w:p>
      <w:pPr>
        <w:spacing w:after="0" w:before="0" w:line="240" w:lineRule="auto"/>
        <w:ind w:left="57"/>
        <w:jc w:val="left"/>
        <w:shd w:val="clear" w:fill="F2F2F2"/>
      </w:pPr>
      <w:r>
        <w:rPr>
          <w:rFonts w:ascii="Consolas" w:hAnsi="Consolas" w:cs="Consolas"/>
          <w:b w:val="0"/>
          <w:i w:val="0"/>
          <w:sz w:val="15"/>
        </w:rPr>
        <w:t xml:space="preserve">  • Port of Departure: Safaga (Egypt)</w:t>
      </w:r>
    </w:p>
    <w:p>
      <w:pPr>
        <w:spacing w:after="0" w:before="0" w:line="240" w:lineRule="auto"/>
        <w:ind w:left="57"/>
        <w:jc w:val="left"/>
        <w:shd w:val="clear" w:fill="F2F2F2"/>
      </w:pPr>
      <w:r>
        <w:rPr>
          <w:rFonts w:ascii="Consolas" w:hAnsi="Consolas" w:cs="Consolas"/>
          <w:b w:val="0"/>
          <w:i w:val="0"/>
          <w:sz w:val="15"/>
        </w:rPr>
        <w:t xml:space="preserve">  • Port of Arrival: Jeddah (Saudi Arabia)</w:t>
      </w:r>
    </w:p>
    <w:p>
      <w:pPr>
        <w:spacing w:after="0" w:before="0" w:line="240" w:lineRule="auto"/>
        <w:ind w:left="57"/>
        <w:jc w:val="left"/>
        <w:shd w:val="clear" w:fill="F2F2F2"/>
      </w:pPr>
      <w:r>
        <w:rPr>
          <w:rFonts w:ascii="Consolas" w:hAnsi="Consolas" w:cs="Consolas"/>
          <w:b w:val="0"/>
          <w:i w:val="0"/>
          <w:sz w:val="15"/>
        </w:rPr>
        <w:t xml:space="preserve">  • Corridor Conditions: Standard RoRo terms</w:t>
      </w:r>
    </w:p>
    <w:p>
      <w:pPr>
        <w:spacing w:after="0" w:before="0" w:line="240" w:lineRule="auto"/>
        <w:ind w:left="57"/>
        <w:jc w:val="left"/>
        <w:shd w:val="clear" w:fill="F2F2F2"/>
      </w:pPr>
      <w:r>
        <w:rPr>
          <w:rFonts w:ascii="Consolas" w:hAnsi="Consolas" w:cs="Consolas"/>
          <w:b w:val="0"/>
          <w:i w:val="0"/>
          <w:sz w:val="15"/>
        </w:rPr>
        <w:t xml:space="preserve">  • Inspection Conditions: SFDA inspection upon arrival (required for food)</w:t>
      </w:r>
    </w:p>
    <w:p>
      <w:pPr>
        <w:spacing w:after="0" w:before="0" w:line="240" w:lineRule="auto"/>
        <w:ind w:left="57"/>
        <w:jc w:val="left"/>
        <w:shd w:val="clear" w:fill="F2F2F2"/>
      </w:pPr>
      <w:r>
        <w:rPr>
          <w:rFonts w:ascii="Consolas" w:hAnsi="Consolas" w:cs="Consolas"/>
          <w:b w:val="0"/>
          <w:i w:val="0"/>
          <w:sz w:val="15"/>
        </w:rPr>
        <w:t xml:space="preserve">  • Documentation Requirements: COO, Health Cert, Packing List, Invoice,</w:t>
      </w:r>
    </w:p>
    <w:p>
      <w:pPr>
        <w:spacing w:after="0" w:before="0" w:line="240" w:lineRule="auto"/>
        <w:ind w:left="57"/>
        <w:jc w:val="left"/>
        <w:shd w:val="clear" w:fill="F2F2F2"/>
      </w:pPr>
      <w:r>
        <w:rPr>
          <w:rFonts w:ascii="Consolas" w:hAnsi="Consolas" w:cs="Consolas"/>
          <w:b w:val="0"/>
          <w:i w:val="0"/>
          <w:sz w:val="15"/>
        </w:rPr>
        <w:t xml:space="preserve">    SFDA Cert, Halal Cert</w:t>
      </w:r>
    </w:p>
    <w:p>
      <w:pPr>
        <w:spacing w:after="0" w:before="0" w:line="240" w:lineRule="auto"/>
        <w:ind w:left="57"/>
        <w:jc w:val="left"/>
        <w:shd w:val="clear" w:fill="F2F2F2"/>
      </w:pPr>
      <w:r>
        <w:rPr>
          <w:rFonts w:ascii="Consolas" w:hAnsi="Consolas" w:cs="Consolas"/>
          <w:b w:val="0"/>
          <w:i w:val="0"/>
          <w:sz w:val="15"/>
        </w:rPr>
        <w:t xml:space="preserve">  • Transit Guarantee: 4 days maximum</w:t>
      </w:r>
    </w:p>
    <w:p>
      <w:pPr>
        <w:spacing w:after="0" w:before="0" w:line="240" w:lineRule="auto"/>
        <w:ind w:left="57"/>
        <w:jc w:val="left"/>
        <w:shd w:val="clear" w:fill="F2F2F2"/>
      </w:pPr>
      <w:r>
        <w:rPr>
          <w:rFonts w:ascii="Consolas" w:hAnsi="Consolas" w:cs="Consolas"/>
          <w:b w:val="0"/>
          <w:i w:val="0"/>
          <w:sz w:val="15"/>
        </w:rPr>
        <w:t xml:space="preserve">  • Incoterm: FOB (as per corridor standard)</w:t>
      </w:r>
    </w:p>
    <w:p>
      <w:pPr>
        <w:spacing w:after="0" w:before="0" w:line="240" w:lineRule="auto"/>
        <w:ind w:left="57"/>
        <w:jc w:val="left"/>
        <w:shd w:val="clear" w:fill="F2F2F2"/>
      </w:pPr>
      <w:r>
        <w:rPr>
          <w:rFonts w:ascii="Consolas" w:hAnsi="Consolas" w:cs="Consolas"/>
          <w:b w:val="0"/>
          <w:i w:val="0"/>
          <w:sz w:val="15"/>
        </w:rPr>
        <w:t xml:space="preserve">  • Halal Compliance: All goods must be Halal certified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contract signing (Section 9).</w:t>
      </w:r>
    </w:p>
    <w:p>
      <w:pPr>
        <w:keepNext/>
        <w:spacing w:before="180" w:after="80"/>
        <w:outlineLvl w:val="2"/>
      </w:pPr>
      <w:r>
        <w:rPr>
          <w:rFonts w:ascii="Arial" w:hAnsi="Arial" w:cs="Arial"/>
          <w:b/>
          <w:i w:val="0"/>
          <w:color w:val="333333"/>
          <w:sz w:val="23"/>
        </w:rPr>
        <w:t>23.2.12 Compliance Integration (Governor)</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the Governor consumes corridor data for compliance checks.</w:t>
      </w:r>
    </w:p>
    <w:p>
      <w:pPr>
        <w:spacing w:after="80" w:line="293" w:lineRule="auto"/>
        <w:jc w:val="left"/>
      </w:pPr>
      <w:r>
        <w:rPr>
          <w:rFonts w:ascii="Times New Roman" w:hAnsi="Times New Roman" w:cs="Times New Roman"/>
          <w:b w:val="0"/>
          <w:i w:val="0"/>
          <w:sz w:val="22"/>
        </w:rPr>
        <w:t>Checks: product restrictions, country restrictions, export restrictions, import restrictions, sanctions, licensing. Result: Corridor Compliance Approved (or the corresponding block).</w:t>
      </w:r>
    </w:p>
    <w:p>
      <w:pPr>
        <w:spacing w:after="80" w:line="293" w:lineRule="auto"/>
        <w:jc w:val="left"/>
      </w:pPr>
      <w:r>
        <w:rPr>
          <w:rFonts w:ascii="Times New Roman" w:hAnsi="Times New Roman" w:cs="Times New Roman"/>
          <w:b w:val="0"/>
          <w:i w:val="0"/>
          <w:sz w:val="22"/>
        </w:rPr>
        <w:t>Schema:</w:t>
      </w:r>
    </w:p>
    <w:p>
      <w:pPr>
        <w:spacing w:after="0" w:before="0" w:line="240" w:lineRule="auto"/>
        <w:ind w:left="57"/>
        <w:jc w:val="left"/>
        <w:shd w:val="clear" w:fill="F2F2F2"/>
      </w:pPr>
      <w:r>
        <w:rPr>
          <w:rFonts w:ascii="Consolas" w:hAnsi="Consolas" w:cs="Consolas"/>
          <w:b w:val="0"/>
          <w:i w:val="0"/>
          <w:sz w:val="15"/>
        </w:rPr>
        <w:t>CREATE TABLE corridor_compliance_gates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corridor_id UUID NOT NULL REFERENCES trade_corridors(id) ON DELETE CASCADE,</w:t>
      </w:r>
    </w:p>
    <w:p>
      <w:pPr>
        <w:spacing w:after="0" w:before="0" w:line="240" w:lineRule="auto"/>
        <w:ind w:left="57"/>
        <w:jc w:val="left"/>
        <w:shd w:val="clear" w:fill="F2F2F2"/>
      </w:pPr>
      <w:r>
        <w:rPr>
          <w:rFonts w:ascii="Consolas" w:hAnsi="Consolas" w:cs="Consolas"/>
          <w:b w:val="0"/>
          <w:i w:val="0"/>
          <w:sz w:val="15"/>
        </w:rPr>
        <w:t xml:space="preserve">  gate_type TEXT NOT NULL,    -- 'PRODUCT_RESTRICTION','COUNTRY_RESTRICTION','SANCTION','LICENCE','DOCUMENT'</w:t>
      </w:r>
    </w:p>
    <w:p>
      <w:pPr>
        <w:spacing w:after="0" w:before="0" w:line="240" w:lineRule="auto"/>
        <w:ind w:left="57"/>
        <w:jc w:val="left"/>
        <w:shd w:val="clear" w:fill="F2F2F2"/>
      </w:pPr>
      <w:r>
        <w:rPr>
          <w:rFonts w:ascii="Consolas" w:hAnsi="Consolas" w:cs="Consolas"/>
          <w:b w:val="0"/>
          <w:i w:val="0"/>
          <w:sz w:val="15"/>
        </w:rPr>
        <w:t xml:space="preserve">  gate_condition JSONB,</w:t>
      </w:r>
    </w:p>
    <w:p>
      <w:pPr>
        <w:spacing w:after="0" w:before="0" w:line="240" w:lineRule="auto"/>
        <w:ind w:left="57"/>
        <w:jc w:val="left"/>
        <w:shd w:val="clear" w:fill="F2F2F2"/>
      </w:pPr>
      <w:r>
        <w:rPr>
          <w:rFonts w:ascii="Consolas" w:hAnsi="Consolas" w:cs="Consolas"/>
          <w:b w:val="0"/>
          <w:i w:val="0"/>
          <w:sz w:val="15"/>
        </w:rPr>
        <w:t xml:space="preserve">  gate_message TEXT,</w:t>
      </w:r>
    </w:p>
    <w:p>
      <w:pPr>
        <w:spacing w:after="0" w:before="0" w:line="240" w:lineRule="auto"/>
        <w:ind w:left="57"/>
        <w:jc w:val="left"/>
        <w:shd w:val="clear" w:fill="F2F2F2"/>
      </w:pPr>
      <w:r>
        <w:rPr>
          <w:rFonts w:ascii="Consolas" w:hAnsi="Consolas" w:cs="Consolas"/>
          <w:b w:val="0"/>
          <w:i w:val="0"/>
          <w:sz w:val="15"/>
        </w:rPr>
        <w:t xml:space="preserve">  is_active BOOLEAN DEFAULT true,</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 Egypt–Italy RoRo compliance: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"corridor_code": "EGY-ITA-RORO-001",</w:t>
      </w:r>
    </w:p>
    <w:p>
      <w:pPr>
        <w:spacing w:after="0" w:before="0" w:line="240" w:lineRule="auto"/>
        <w:ind w:left="57"/>
        <w:jc w:val="left"/>
        <w:shd w:val="clear" w:fill="F2F2F2"/>
      </w:pPr>
      <w:r>
        <w:rPr>
          <w:rFonts w:ascii="Consolas" w:hAnsi="Consolas" w:cs="Consolas"/>
          <w:b w:val="0"/>
          <w:i w:val="0"/>
          <w:sz w:val="15"/>
        </w:rPr>
        <w:t xml:space="preserve">  "compliance_checks":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"gate_type": "PRODUCT_RESTRICTION",</w:t>
      </w:r>
    </w:p>
    <w:p>
      <w:pPr>
        <w:spacing w:after="0" w:before="0" w:line="240" w:lineRule="auto"/>
        <w:ind w:left="57"/>
        <w:jc w:val="left"/>
        <w:shd w:val="clear" w:fill="F2F2F2"/>
      </w:pPr>
      <w:r>
        <w:rPr>
          <w:rFonts w:ascii="Consolas" w:hAnsi="Consolas" w:cs="Consolas"/>
          <w:b w:val="0"/>
          <w:i w:val="0"/>
          <w:sz w:val="15"/>
        </w:rPr>
        <w:t xml:space="preserve">      "condition": { "hs_code": "0805.10", "allowed": true },</w:t>
      </w:r>
    </w:p>
    <w:p>
      <w:pPr>
        <w:spacing w:after="0" w:before="0" w:line="240" w:lineRule="auto"/>
        <w:ind w:left="57"/>
        <w:jc w:val="left"/>
        <w:shd w:val="clear" w:fill="F2F2F2"/>
      </w:pPr>
      <w:r>
        <w:rPr>
          <w:rFonts w:ascii="Consolas" w:hAnsi="Consolas" w:cs="Consolas"/>
          <w:b w:val="0"/>
          <w:i w:val="0"/>
          <w:sz w:val="15"/>
        </w:rPr>
        <w:t xml:space="preserve">      "message": "Oranges allowed for export to Italy"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"gate_type": "DOCUMENT",</w:t>
      </w:r>
    </w:p>
    <w:p>
      <w:pPr>
        <w:spacing w:after="0" w:before="0" w:line="240" w:lineRule="auto"/>
        <w:ind w:left="57"/>
        <w:jc w:val="left"/>
        <w:shd w:val="clear" w:fill="F2F2F2"/>
      </w:pPr>
      <w:r>
        <w:rPr>
          <w:rFonts w:ascii="Consolas" w:hAnsi="Consolas" w:cs="Consolas"/>
          <w:b w:val="0"/>
          <w:i w:val="0"/>
          <w:sz w:val="15"/>
        </w:rPr>
        <w:t xml:space="preserve">      "condition": { "document_type": "PHYTOSANITARY", "required": true },</w:t>
      </w:r>
    </w:p>
    <w:p>
      <w:pPr>
        <w:spacing w:after="0" w:before="0" w:line="240" w:lineRule="auto"/>
        <w:ind w:left="57"/>
        <w:jc w:val="left"/>
        <w:shd w:val="clear" w:fill="F2F2F2"/>
      </w:pPr>
      <w:r>
        <w:rPr>
          <w:rFonts w:ascii="Consolas" w:hAnsi="Consolas" w:cs="Consolas"/>
          <w:b w:val="0"/>
          <w:i w:val="0"/>
          <w:sz w:val="15"/>
        </w:rPr>
        <w:t xml:space="preserve">      "message": "Phytosanitary certificate required"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"result": "CORRIDOR_COMPLIANCE_APPROVED"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the Governor pre-screen (Section 15).</w:t>
      </w:r>
    </w:p>
    <w:p>
      <w:pPr>
        <w:keepNext/>
        <w:spacing w:before="180" w:after="80"/>
        <w:outlineLvl w:val="2"/>
      </w:pPr>
      <w:r>
        <w:rPr>
          <w:rFonts w:ascii="Arial" w:hAnsi="Arial" w:cs="Arial"/>
          <w:b/>
          <w:i w:val="0"/>
          <w:color w:val="333333"/>
          <w:sz w:val="23"/>
        </w:rPr>
        <w:t>23.2.13 Financing Integration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banks receive corridor reliability metrics.</w:t>
      </w:r>
    </w:p>
    <w:p>
      <w:pPr>
        <w:spacing w:after="80" w:line="293" w:lineRule="auto"/>
        <w:jc w:val="left"/>
      </w:pPr>
      <w:r>
        <w:rPr>
          <w:rFonts w:ascii="Times New Roman" w:hAnsi="Times New Roman" w:cs="Times New Roman"/>
          <w:b w:val="0"/>
          <w:i w:val="0"/>
          <w:sz w:val="22"/>
        </w:rPr>
        <w:t>Metrics: corridor history (trades, on-time performance), document success rate, insurance availability, transit reliability. Output to the financier:</w:t>
      </w:r>
    </w:p>
    <w:p>
      <w:pPr>
        <w:spacing w:after="0" w:before="0" w:line="240" w:lineRule="auto"/>
        <w:ind w:left="57"/>
        <w:jc w:val="left"/>
        <w:shd w:val="clear" w:fill="F2F2F2"/>
      </w:pPr>
      <w:r>
        <w:rPr>
          <w:rFonts w:ascii="Consolas" w:hAnsi="Consolas" w:cs="Consolas"/>
          <w:b w:val="0"/>
          <w:i w:val="0"/>
          <w:sz w:val="15"/>
        </w:rPr>
        <w:t>Corridor Risk Assessment — Egypt–Italy RoRo</w:t>
      </w:r>
    </w:p>
    <w:p>
      <w:pPr>
        <w:spacing w:after="0" w:before="0" w:line="240" w:lineRule="auto"/>
        <w:ind w:left="57"/>
        <w:jc w:val="left"/>
        <w:shd w:val="clear" w:fill="F2F2F2"/>
      </w:pPr>
      <w:r>
        <w:rPr>
          <w:rFonts w:ascii="Consolas" w:hAnsi="Consolas" w:cs="Consolas"/>
          <w:b w:val="0"/>
          <w:i w:val="0"/>
          <w:sz w:val="15"/>
        </w:rPr>
        <w:t>Risk Level: LOW</w:t>
      </w:r>
    </w:p>
    <w:p>
      <w:pPr>
        <w:spacing w:after="0" w:before="0" w:line="240" w:lineRule="auto"/>
        <w:ind w:left="57"/>
        <w:jc w:val="left"/>
        <w:shd w:val="clear" w:fill="F2F2F2"/>
      </w:pPr>
      <w:r>
        <w:rPr>
          <w:rFonts w:ascii="Consolas" w:hAnsi="Consolas" w:cs="Consolas"/>
          <w:b w:val="0"/>
          <w:i w:val="0"/>
          <w:sz w:val="15"/>
        </w:rPr>
        <w:t>Recommended LTV: 80%</w:t>
      </w:r>
    </w:p>
    <w:p>
      <w:pPr>
        <w:spacing w:after="0" w:before="0" w:line="240" w:lineRule="auto"/>
        <w:ind w:left="57"/>
        <w:jc w:val="left"/>
        <w:shd w:val="clear" w:fill="F2F2F2"/>
      </w:pPr>
      <w:r>
        <w:rPr>
          <w:rFonts w:ascii="Consolas" w:hAnsi="Consolas" w:cs="Consolas"/>
          <w:b w:val="0"/>
          <w:i w:val="0"/>
          <w:sz w:val="15"/>
        </w:rPr>
        <w:t>Recommended APR: 4.8-5.2%</w:t>
      </w:r>
    </w:p>
    <w:p>
      <w:pPr>
        <w:spacing w:after="0" w:before="0" w:line="240" w:lineRule="auto"/>
        <w:ind w:left="57"/>
        <w:jc w:val="left"/>
        <w:shd w:val="clear" w:fill="F2F2F2"/>
      </w:pPr>
      <w:r>
        <w:rPr>
          <w:rFonts w:ascii="Consolas" w:hAnsi="Consolas" w:cs="Consolas"/>
          <w:b w:val="0"/>
          <w:i w:val="0"/>
          <w:sz w:val="15"/>
        </w:rPr>
        <w:t>Corridor History: 142 trades, 94% on-time</w:t>
      </w:r>
    </w:p>
    <w:p>
      <w:pPr>
        <w:spacing w:after="0" w:before="0" w:line="240" w:lineRule="auto"/>
        <w:ind w:left="57"/>
        <w:jc w:val="left"/>
        <w:shd w:val="clear" w:fill="F2F2F2"/>
      </w:pPr>
      <w:r>
        <w:rPr>
          <w:rFonts w:ascii="Consolas" w:hAnsi="Consolas" w:cs="Consolas"/>
          <w:b w:val="0"/>
          <w:i w:val="0"/>
          <w:sz w:val="15"/>
        </w:rPr>
        <w:t>Document Success: 98% first-time acceptance</w:t>
      </w:r>
    </w:p>
    <w:p>
      <w:pPr>
        <w:spacing w:after="0" w:before="0" w:line="240" w:lineRule="auto"/>
        <w:ind w:left="57"/>
        <w:jc w:val="left"/>
        <w:shd w:val="clear" w:fill="F2F2F2"/>
      </w:pPr>
      <w:r>
        <w:rPr>
          <w:rFonts w:ascii="Consolas" w:hAnsi="Consolas" w:cs="Consolas"/>
          <w:b w:val="0"/>
          <w:i w:val="0"/>
          <w:sz w:val="15"/>
        </w:rPr>
        <w:t>Insurance: 98% coverage available</w:t>
      </w:r>
    </w:p>
    <w:p>
      <w:pPr>
        <w:spacing w:after="0" w:before="0" w:line="240" w:lineRule="auto"/>
        <w:ind w:left="57"/>
        <w:jc w:val="left"/>
        <w:shd w:val="clear" w:fill="F2F2F2"/>
      </w:pPr>
      <w:r>
        <w:rPr>
          <w:rFonts w:ascii="Consolas" w:hAnsi="Consolas" w:cs="Consolas"/>
          <w:b w:val="0"/>
          <w:i w:val="0"/>
          <w:sz w:val="15"/>
        </w:rPr>
        <w:t>Result: FINANCEABLE</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the financing module (Section 10).</w:t>
      </w:r>
    </w:p>
    <w:p>
      <w:pPr>
        <w:keepNext/>
        <w:spacing w:before="180" w:after="80"/>
        <w:outlineLvl w:val="2"/>
      </w:pPr>
      <w:r>
        <w:rPr>
          <w:rFonts w:ascii="Arial" w:hAnsi="Arial" w:cs="Arial"/>
          <w:b/>
          <w:i w:val="0"/>
          <w:color w:val="333333"/>
          <w:sz w:val="23"/>
        </w:rPr>
        <w:t>23.2.14 Insurance Integration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store insurance availability per corridor.</w:t>
      </w:r>
    </w:p>
    <w:p>
      <w:pPr>
        <w:spacing w:after="80" w:line="293" w:lineRule="auto"/>
        <w:jc w:val="left"/>
      </w:pPr>
      <w:r>
        <w:rPr>
          <w:rFonts w:ascii="Times New Roman" w:hAnsi="Times New Roman" w:cs="Times New Roman"/>
          <w:b w:val="0"/>
          <w:i w:val="0"/>
          <w:sz w:val="22"/>
        </w:rPr>
        <w:t>Status per corridor: Insurable, Partially Insurable, Restricted. Integrates with insurance requirements (Section 6).</w:t>
      </w:r>
    </w:p>
    <w:p>
      <w:pPr>
        <w:keepNext/>
        <w:spacing w:before="180" w:after="80"/>
        <w:outlineLvl w:val="2"/>
      </w:pPr>
      <w:r>
        <w:rPr>
          <w:rFonts w:ascii="Arial" w:hAnsi="Arial" w:cs="Arial"/>
          <w:b/>
          <w:i w:val="0"/>
          <w:color w:val="333333"/>
          <w:sz w:val="23"/>
        </w:rPr>
        <w:t>23.2.15 Corridor Analytics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track corridor performance metrics.</w:t>
      </w:r>
    </w:p>
    <w:p>
      <w:pPr>
        <w:spacing w:after="80" w:line="293" w:lineRule="auto"/>
        <w:jc w:val="left"/>
      </w:pPr>
      <w:r>
        <w:rPr>
          <w:rFonts w:ascii="Times New Roman" w:hAnsi="Times New Roman" w:cs="Times New Roman"/>
          <w:b w:val="0"/>
          <w:i w:val="0"/>
          <w:sz w:val="22"/>
        </w:rPr>
        <w:t>Metrics: volume, transit times, document delays, inspection delays, port congestion, settlement delays, financing demand.</w:t>
      </w:r>
    </w:p>
    <w:p>
      <w:pPr>
        <w:spacing w:after="80" w:line="293" w:lineRule="auto"/>
        <w:jc w:val="left"/>
      </w:pPr>
      <w:r>
        <w:rPr>
          <w:rFonts w:ascii="Times New Roman" w:hAnsi="Times New Roman" w:cs="Times New Roman"/>
          <w:b w:val="0"/>
          <w:i w:val="0"/>
          <w:sz w:val="22"/>
        </w:rPr>
        <w:t>Example — Egypt–Italy RoRo analytics (last 30 days):</w:t>
      </w:r>
    </w:p>
    <w:p>
      <w:pPr>
        <w:spacing w:after="0" w:before="0" w:line="240" w:lineRule="auto"/>
        <w:ind w:left="57"/>
        <w:jc w:val="left"/>
        <w:shd w:val="clear" w:fill="F2F2F2"/>
      </w:pPr>
      <w:r>
        <w:rPr>
          <w:rFonts w:ascii="Consolas" w:hAnsi="Consolas" w:cs="Consolas"/>
          <w:b w:val="0"/>
          <w:i w:val="0"/>
          <w:sz w:val="15"/>
        </w:rPr>
        <w:t>CORRIDOR ANALYTICS — Egypt–Italy RoRo (Last 30 Days)</w:t>
      </w:r>
    </w:p>
    <w:p>
      <w:pPr>
        <w:spacing w:after="0" w:before="0" w:line="240" w:lineRule="auto"/>
        <w:ind w:left="57"/>
        <w:jc w:val="left"/>
        <w:shd w:val="clear" w:fill="F2F2F2"/>
      </w:pPr>
      <w:r>
        <w:rPr>
          <w:rFonts w:ascii="Consolas" w:hAnsi="Consolas" w:cs="Consolas"/>
          <w:b w:val="0"/>
          <w:i w:val="0"/>
          <w:sz w:val="15"/>
        </w:rPr>
        <w:t>Volume: 142 shipments (↑12% MoM)</w:t>
      </w:r>
    </w:p>
    <w:p>
      <w:pPr>
        <w:spacing w:after="0" w:before="0" w:line="240" w:lineRule="auto"/>
        <w:ind w:left="57"/>
        <w:jc w:val="left"/>
        <w:shd w:val="clear" w:fill="F2F2F2"/>
      </w:pPr>
      <w:r>
        <w:rPr>
          <w:rFonts w:ascii="Consolas" w:hAnsi="Consolas" w:cs="Consolas"/>
          <w:b w:val="0"/>
          <w:i w:val="0"/>
          <w:sz w:val="15"/>
        </w:rPr>
        <w:t>GMV: $8.4M (↑15% MoM)</w:t>
      </w:r>
    </w:p>
    <w:p>
      <w:pPr>
        <w:spacing w:after="0" w:before="0" w:line="240" w:lineRule="auto"/>
        <w:ind w:left="57"/>
        <w:jc w:val="left"/>
        <w:shd w:val="clear" w:fill="F2F2F2"/>
      </w:pPr>
      <w:r>
        <w:rPr>
          <w:rFonts w:ascii="Consolas" w:hAnsi="Consolas" w:cs="Consolas"/>
          <w:b w:val="0"/>
          <w:i w:val="0"/>
          <w:sz w:val="15"/>
        </w:rPr>
        <w:t>Top Products: Fresh Produce (54%), Vehicles (28%), Industrial (18%)</w:t>
      </w:r>
    </w:p>
    <w:p>
      <w:pPr>
        <w:spacing w:after="0" w:before="0" w:line="240" w:lineRule="auto"/>
        <w:ind w:left="57"/>
        <w:jc w:val="left"/>
        <w:shd w:val="clear" w:fill="F2F2F2"/>
      </w:pPr>
      <w:r>
        <w:rPr>
          <w:rFonts w:ascii="Consolas" w:hAnsi="Consolas" w:cs="Consolas"/>
          <w:b w:val="0"/>
          <w:i w:val="0"/>
          <w:sz w:val="15"/>
        </w:rPr>
        <w:t>Average Transit: 6.2 days</w:t>
      </w:r>
    </w:p>
    <w:p>
      <w:pPr>
        <w:spacing w:after="0" w:before="0" w:line="240" w:lineRule="auto"/>
        <w:ind w:left="57"/>
        <w:jc w:val="left"/>
        <w:shd w:val="clear" w:fill="F2F2F2"/>
      </w:pPr>
      <w:r>
        <w:rPr>
          <w:rFonts w:ascii="Consolas" w:hAnsi="Consolas" w:cs="Consolas"/>
          <w:b w:val="0"/>
          <w:i w:val="0"/>
          <w:sz w:val="15"/>
        </w:rPr>
        <w:t>On-Time Performance: 94%</w:t>
      </w:r>
    </w:p>
    <w:p>
      <w:pPr>
        <w:spacing w:after="0" w:before="0" w:line="240" w:lineRule="auto"/>
        <w:ind w:left="57"/>
        <w:jc w:val="left"/>
        <w:shd w:val="clear" w:fill="F2F2F2"/>
      </w:pPr>
      <w:r>
        <w:rPr>
          <w:rFonts w:ascii="Consolas" w:hAnsi="Consolas" w:cs="Consolas"/>
          <w:b w:val="0"/>
          <w:i w:val="0"/>
          <w:sz w:val="15"/>
        </w:rPr>
        <w:t>Document Delay Rate: 2.4%</w:t>
      </w:r>
    </w:p>
    <w:p>
      <w:pPr>
        <w:spacing w:after="0" w:before="0" w:line="240" w:lineRule="auto"/>
        <w:ind w:left="57"/>
        <w:jc w:val="left"/>
        <w:shd w:val="clear" w:fill="F2F2F2"/>
      </w:pPr>
      <w:r>
        <w:rPr>
          <w:rFonts w:ascii="Consolas" w:hAnsi="Consolas" w:cs="Consolas"/>
          <w:b w:val="0"/>
          <w:i w:val="0"/>
          <w:sz w:val="15"/>
        </w:rPr>
        <w:t>Customs Clearance: 4.8h average</w:t>
      </w:r>
    </w:p>
    <w:p>
      <w:pPr>
        <w:spacing w:after="0" w:before="0" w:line="240" w:lineRule="auto"/>
        <w:ind w:left="57"/>
        <w:jc w:val="left"/>
        <w:shd w:val="clear" w:fill="F2F2F2"/>
      </w:pPr>
      <w:r>
        <w:rPr>
          <w:rFonts w:ascii="Consolas" w:hAnsi="Consolas" w:cs="Consolas"/>
          <w:b w:val="0"/>
          <w:i w:val="0"/>
          <w:sz w:val="15"/>
        </w:rPr>
        <w:t>Port Congestion: 8h average waiting (Damietta)</w:t>
      </w:r>
    </w:p>
    <w:p>
      <w:pPr>
        <w:spacing w:after="0" w:before="0" w:line="240" w:lineRule="auto"/>
        <w:ind w:left="57"/>
        <w:jc w:val="left"/>
        <w:shd w:val="clear" w:fill="F2F2F2"/>
      </w:pPr>
      <w:r>
        <w:rPr>
          <w:rFonts w:ascii="Consolas" w:hAnsi="Consolas" w:cs="Consolas"/>
          <w:b w:val="0"/>
          <w:i w:val="0"/>
          <w:sz w:val="15"/>
        </w:rPr>
        <w:t>Financing Demand: 68% of shipments (↑5% MoM)</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Example — Red Sea RoRo analytics (Egypt–Saudi, last 30 days):</w:t>
      </w:r>
    </w:p>
    <w:p>
      <w:pPr>
        <w:spacing w:after="0" w:before="0" w:line="240" w:lineRule="auto"/>
        <w:ind w:left="57"/>
        <w:jc w:val="left"/>
        <w:shd w:val="clear" w:fill="F2F2F2"/>
      </w:pPr>
      <w:r>
        <w:rPr>
          <w:rFonts w:ascii="Consolas" w:hAnsi="Consolas" w:cs="Consolas"/>
          <w:b w:val="0"/>
          <w:i w:val="0"/>
          <w:sz w:val="15"/>
        </w:rPr>
        <w:t>CORRIDOR ANALYTICS — Red Sea RoRo (Egypt–Saudi) (Last 30 Days)</w:t>
      </w:r>
    </w:p>
    <w:p>
      <w:pPr>
        <w:spacing w:after="0" w:before="0" w:line="240" w:lineRule="auto"/>
        <w:ind w:left="57"/>
        <w:jc w:val="left"/>
        <w:shd w:val="clear" w:fill="F2F2F2"/>
      </w:pPr>
      <w:r>
        <w:rPr>
          <w:rFonts w:ascii="Consolas" w:hAnsi="Consolas" w:cs="Consolas"/>
          <w:b w:val="0"/>
          <w:i w:val="0"/>
          <w:sz w:val="15"/>
        </w:rPr>
        <w:t>Volume: 89 shipments (↑8% MoM)</w:t>
      </w:r>
    </w:p>
    <w:p>
      <w:pPr>
        <w:spacing w:after="0" w:before="0" w:line="240" w:lineRule="auto"/>
        <w:ind w:left="57"/>
        <w:jc w:val="left"/>
        <w:shd w:val="clear" w:fill="F2F2F2"/>
      </w:pPr>
      <w:r>
        <w:rPr>
          <w:rFonts w:ascii="Consolas" w:hAnsi="Consolas" w:cs="Consolas"/>
          <w:b w:val="0"/>
          <w:i w:val="0"/>
          <w:sz w:val="15"/>
        </w:rPr>
        <w:t>GMV: $3.2M (↑10% MoM)</w:t>
      </w:r>
    </w:p>
    <w:p>
      <w:pPr>
        <w:spacing w:after="0" w:before="0" w:line="240" w:lineRule="auto"/>
        <w:ind w:left="57"/>
        <w:jc w:val="left"/>
        <w:shd w:val="clear" w:fill="F2F2F2"/>
      </w:pPr>
      <w:r>
        <w:rPr>
          <w:rFonts w:ascii="Consolas" w:hAnsi="Consolas" w:cs="Consolas"/>
          <w:b w:val="0"/>
          <w:i w:val="0"/>
          <w:sz w:val="15"/>
        </w:rPr>
        <w:t>Top Products: Fresh Produce (62%), Construction Materials (28%), Vehicles (10%)</w:t>
      </w:r>
    </w:p>
    <w:p>
      <w:pPr>
        <w:spacing w:after="0" w:before="0" w:line="240" w:lineRule="auto"/>
        <w:ind w:left="57"/>
        <w:jc w:val="left"/>
        <w:shd w:val="clear" w:fill="F2F2F2"/>
      </w:pPr>
      <w:r>
        <w:rPr>
          <w:rFonts w:ascii="Consolas" w:hAnsi="Consolas" w:cs="Consolas"/>
          <w:b w:val="0"/>
          <w:i w:val="0"/>
          <w:sz w:val="15"/>
        </w:rPr>
        <w:t>Average Transit: 3.1 days</w:t>
      </w:r>
    </w:p>
    <w:p>
      <w:pPr>
        <w:spacing w:after="0" w:before="0" w:line="240" w:lineRule="auto"/>
        <w:ind w:left="57"/>
        <w:jc w:val="left"/>
        <w:shd w:val="clear" w:fill="F2F2F2"/>
      </w:pPr>
      <w:r>
        <w:rPr>
          <w:rFonts w:ascii="Consolas" w:hAnsi="Consolas" w:cs="Consolas"/>
          <w:b w:val="0"/>
          <w:i w:val="0"/>
          <w:sz w:val="15"/>
        </w:rPr>
        <w:t>On-Time Performance: 89%</w:t>
      </w:r>
    </w:p>
    <w:p>
      <w:pPr>
        <w:spacing w:after="0" w:before="0" w:line="240" w:lineRule="auto"/>
        <w:ind w:left="57"/>
        <w:jc w:val="left"/>
        <w:shd w:val="clear" w:fill="F2F2F2"/>
      </w:pPr>
      <w:r>
        <w:rPr>
          <w:rFonts w:ascii="Consolas" w:hAnsi="Consolas" w:cs="Consolas"/>
          <w:b w:val="0"/>
          <w:i w:val="0"/>
          <w:sz w:val="15"/>
        </w:rPr>
        <w:t>Document Delay Rate: 5.1%</w:t>
      </w:r>
    </w:p>
    <w:p>
      <w:pPr>
        <w:spacing w:after="0" w:before="0" w:line="240" w:lineRule="auto"/>
        <w:ind w:left="57"/>
        <w:jc w:val="left"/>
        <w:shd w:val="clear" w:fill="F2F2F2"/>
      </w:pPr>
      <w:r>
        <w:rPr>
          <w:rFonts w:ascii="Consolas" w:hAnsi="Consolas" w:cs="Consolas"/>
          <w:b w:val="0"/>
          <w:i w:val="0"/>
          <w:sz w:val="15"/>
        </w:rPr>
        <w:t>Customs Clearance: 6.2h average</w:t>
      </w:r>
    </w:p>
    <w:p>
      <w:pPr>
        <w:spacing w:after="0" w:before="0" w:line="240" w:lineRule="auto"/>
        <w:ind w:left="57"/>
        <w:jc w:val="left"/>
        <w:shd w:val="clear" w:fill="F2F2F2"/>
      </w:pPr>
      <w:r>
        <w:rPr>
          <w:rFonts w:ascii="Consolas" w:hAnsi="Consolas" w:cs="Consolas"/>
          <w:b w:val="0"/>
          <w:i w:val="0"/>
          <w:sz w:val="15"/>
        </w:rPr>
        <w:t>Port Congestion: 4h average waiting (Safaga)</w:t>
      </w:r>
    </w:p>
    <w:p>
      <w:pPr>
        <w:spacing w:after="0" w:before="0" w:line="240" w:lineRule="auto"/>
        <w:ind w:left="57"/>
        <w:jc w:val="left"/>
        <w:shd w:val="clear" w:fill="F2F2F2"/>
      </w:pPr>
      <w:r>
        <w:rPr>
          <w:rFonts w:ascii="Consolas" w:hAnsi="Consolas" w:cs="Consolas"/>
          <w:b w:val="0"/>
          <w:i w:val="0"/>
          <w:sz w:val="15"/>
        </w:rPr>
        <w:t>SFDA Inspection: 12h average (adds 1-2 days)</w:t>
      </w:r>
    </w:p>
    <w:p>
      <w:pPr>
        <w:spacing w:after="0" w:before="0" w:line="240" w:lineRule="auto"/>
        <w:ind w:left="57"/>
        <w:jc w:val="left"/>
        <w:shd w:val="clear" w:fill="F2F2F2"/>
      </w:pPr>
      <w:r>
        <w:rPr>
          <w:rFonts w:ascii="Consolas" w:hAnsi="Consolas" w:cs="Consolas"/>
          <w:b w:val="0"/>
          <w:i w:val="0"/>
          <w:sz w:val="15"/>
        </w:rPr>
        <w:t>Financing Demand: 45% of shipments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Schema:</w:t>
      </w:r>
    </w:p>
    <w:p>
      <w:pPr>
        <w:spacing w:after="0" w:before="0" w:line="240" w:lineRule="auto"/>
        <w:ind w:left="57"/>
        <w:jc w:val="left"/>
        <w:shd w:val="clear" w:fill="F2F2F2"/>
      </w:pPr>
      <w:r>
        <w:rPr>
          <w:rFonts w:ascii="Consolas" w:hAnsi="Consolas" w:cs="Consolas"/>
          <w:b w:val="0"/>
          <w:i w:val="0"/>
          <w:sz w:val="15"/>
        </w:rPr>
        <w:t>CREATE TABLE corridor_analytics (</w:t>
      </w:r>
    </w:p>
    <w:p>
      <w:pPr>
        <w:spacing w:after="0" w:before="0" w:line="240" w:lineRule="auto"/>
        <w:ind w:left="57"/>
        <w:jc w:val="left"/>
        <w:shd w:val="clear" w:fill="F2F2F2"/>
      </w:pPr>
      <w:r>
        <w:rPr>
          <w:rFonts w:ascii="Consolas" w:hAnsi="Consolas" w:cs="Consolas"/>
          <w:b w:val="0"/>
          <w:i w:val="0"/>
          <w:sz w:val="15"/>
        </w:rPr>
        <w:t xml:space="preserve">  id BIGSERIAL PRIMARY KEY,</w:t>
      </w:r>
    </w:p>
    <w:p>
      <w:pPr>
        <w:spacing w:after="0" w:before="0" w:line="240" w:lineRule="auto"/>
        <w:ind w:left="57"/>
        <w:jc w:val="left"/>
        <w:shd w:val="clear" w:fill="F2F2F2"/>
      </w:pPr>
      <w:r>
        <w:rPr>
          <w:rFonts w:ascii="Consolas" w:hAnsi="Consolas" w:cs="Consolas"/>
          <w:b w:val="0"/>
          <w:i w:val="0"/>
          <w:sz w:val="15"/>
        </w:rPr>
        <w:t xml:space="preserve">  corridor_code TEXT NOT NULL REFERENCES trade_corridors(corridor_code),</w:t>
      </w:r>
    </w:p>
    <w:p>
      <w:pPr>
        <w:spacing w:after="0" w:before="0" w:line="240" w:lineRule="auto"/>
        <w:ind w:left="57"/>
        <w:jc w:val="left"/>
        <w:shd w:val="clear" w:fill="F2F2F2"/>
      </w:pPr>
      <w:r>
        <w:rPr>
          <w:rFonts w:ascii="Consolas" w:hAnsi="Consolas" w:cs="Consolas"/>
          <w:b w:val="0"/>
          <w:i w:val="0"/>
          <w:sz w:val="15"/>
        </w:rPr>
        <w:t xml:space="preserve">  measurement_period DATE NOT NULL,</w:t>
      </w:r>
    </w:p>
    <w:p>
      <w:pPr>
        <w:spacing w:after="0" w:before="0" w:line="240" w:lineRule="auto"/>
        <w:ind w:left="57"/>
        <w:jc w:val="left"/>
        <w:shd w:val="clear" w:fill="F2F2F2"/>
      </w:pPr>
      <w:r>
        <w:rPr>
          <w:rFonts w:ascii="Consolas" w:hAnsi="Consolas" w:cs="Consolas"/>
          <w:b w:val="0"/>
          <w:i w:val="0"/>
          <w:sz w:val="15"/>
        </w:rPr>
        <w:t xml:space="preserve">  volume INTEGER,</w:t>
      </w:r>
    </w:p>
    <w:p>
      <w:pPr>
        <w:spacing w:after="0" w:before="0" w:line="240" w:lineRule="auto"/>
        <w:ind w:left="57"/>
        <w:jc w:val="left"/>
        <w:shd w:val="clear" w:fill="F2F2F2"/>
      </w:pPr>
      <w:r>
        <w:rPr>
          <w:rFonts w:ascii="Consolas" w:hAnsi="Consolas" w:cs="Consolas"/>
          <w:b w:val="0"/>
          <w:i w:val="0"/>
          <w:sz w:val="15"/>
        </w:rPr>
        <w:t xml:space="preserve">  gmv_usd DECIMAL(20,2),</w:t>
      </w:r>
    </w:p>
    <w:p>
      <w:pPr>
        <w:spacing w:after="0" w:before="0" w:line="240" w:lineRule="auto"/>
        <w:ind w:left="57"/>
        <w:jc w:val="left"/>
        <w:shd w:val="clear" w:fill="F2F2F2"/>
      </w:pPr>
      <w:r>
        <w:rPr>
          <w:rFonts w:ascii="Consolas" w:hAnsi="Consolas" w:cs="Consolas"/>
          <w:b w:val="0"/>
          <w:i w:val="0"/>
          <w:sz w:val="15"/>
        </w:rPr>
        <w:t xml:space="preserve">  average_transit_days DECIMAL(5,2),</w:t>
      </w:r>
    </w:p>
    <w:p>
      <w:pPr>
        <w:spacing w:after="0" w:before="0" w:line="240" w:lineRule="auto"/>
        <w:ind w:left="57"/>
        <w:jc w:val="left"/>
        <w:shd w:val="clear" w:fill="F2F2F2"/>
      </w:pPr>
      <w:r>
        <w:rPr>
          <w:rFonts w:ascii="Consolas" w:hAnsi="Consolas" w:cs="Consolas"/>
          <w:b w:val="0"/>
          <w:i w:val="0"/>
          <w:sz w:val="15"/>
        </w:rPr>
        <w:t xml:space="preserve">  on_time_performance DECIMAL(5,2),</w:t>
      </w:r>
    </w:p>
    <w:p>
      <w:pPr>
        <w:spacing w:after="0" w:before="0" w:line="240" w:lineRule="auto"/>
        <w:ind w:left="57"/>
        <w:jc w:val="left"/>
        <w:shd w:val="clear" w:fill="F2F2F2"/>
      </w:pPr>
      <w:r>
        <w:rPr>
          <w:rFonts w:ascii="Consolas" w:hAnsi="Consolas" w:cs="Consolas"/>
          <w:b w:val="0"/>
          <w:i w:val="0"/>
          <w:sz w:val="15"/>
        </w:rPr>
        <w:t xml:space="preserve">  document_delay_rate DECIMAL(5,2),</w:t>
      </w:r>
    </w:p>
    <w:p>
      <w:pPr>
        <w:spacing w:after="0" w:before="0" w:line="240" w:lineRule="auto"/>
        <w:ind w:left="57"/>
        <w:jc w:val="left"/>
        <w:shd w:val="clear" w:fill="F2F2F2"/>
      </w:pPr>
      <w:r>
        <w:rPr>
          <w:rFonts w:ascii="Consolas" w:hAnsi="Consolas" w:cs="Consolas"/>
          <w:b w:val="0"/>
          <w:i w:val="0"/>
          <w:sz w:val="15"/>
        </w:rPr>
        <w:t xml:space="preserve">  customs_clearance_hours DECIMAL(5,2),</w:t>
      </w:r>
    </w:p>
    <w:p>
      <w:pPr>
        <w:spacing w:after="0" w:before="0" w:line="240" w:lineRule="auto"/>
        <w:ind w:left="57"/>
        <w:jc w:val="left"/>
        <w:shd w:val="clear" w:fill="F2F2F2"/>
      </w:pPr>
      <w:r>
        <w:rPr>
          <w:rFonts w:ascii="Consolas" w:hAnsi="Consolas" w:cs="Consolas"/>
          <w:b w:val="0"/>
          <w:i w:val="0"/>
          <w:sz w:val="15"/>
        </w:rPr>
        <w:t xml:space="preserve">  port_congestion_hours DECIMAL(5,2),</w:t>
      </w:r>
    </w:p>
    <w:p>
      <w:pPr>
        <w:spacing w:after="0" w:before="0" w:line="240" w:lineRule="auto"/>
        <w:ind w:left="57"/>
        <w:jc w:val="left"/>
        <w:shd w:val="clear" w:fill="F2F2F2"/>
      </w:pPr>
      <w:r>
        <w:rPr>
          <w:rFonts w:ascii="Consolas" w:hAnsi="Consolas" w:cs="Consolas"/>
          <w:b w:val="0"/>
          <w:i w:val="0"/>
          <w:sz w:val="15"/>
        </w:rPr>
        <w:t xml:space="preserve">  financing_demand INTEGER,</w:t>
      </w:r>
    </w:p>
    <w:p>
      <w:pPr>
        <w:spacing w:after="0" w:before="0" w:line="240" w:lineRule="auto"/>
        <w:ind w:left="57"/>
        <w:jc w:val="left"/>
        <w:shd w:val="clear" w:fill="F2F2F2"/>
      </w:pPr>
      <w:r>
        <w:rPr>
          <w:rFonts w:ascii="Consolas" w:hAnsi="Consolas" w:cs="Consolas"/>
          <w:b w:val="0"/>
          <w:i w:val="0"/>
          <w:sz w:val="15"/>
        </w:rPr>
        <w:t xml:space="preserve">  privacy_epsilon DECIMAL(5,2) DEFAULT 0.1,</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the Trade Memory Layer (Section 20).</w:t>
      </w:r>
    </w:p>
    <w:p>
      <w:pPr>
        <w:keepNext/>
        <w:spacing w:before="180" w:after="80"/>
        <w:outlineLvl w:val="2"/>
      </w:pPr>
      <w:r>
        <w:rPr>
          <w:rFonts w:ascii="Arial" w:hAnsi="Arial" w:cs="Arial"/>
          <w:b/>
          <w:i w:val="0"/>
          <w:color w:val="333333"/>
          <w:sz w:val="23"/>
        </w:rPr>
        <w:t>23.2.16 Government Dashboards</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a separate dashboard set for government stakeholders, rendered inside the Government Portal (16.8.12). Only aggregated data is shown — no confidential trade details.</w:t>
      </w:r>
    </w:p>
    <w:p>
      <w:pPr>
        <w:keepNext/>
        <w:spacing w:before="140" w:after="60"/>
        <w:outlineLvl w:val="3"/>
      </w:pPr>
      <w:r>
        <w:rPr>
          <w:rFonts w:ascii="Arial" w:hAnsi="Arial" w:cs="Arial"/>
          <w:b/>
          <w:i/>
          <w:color w:val="333333"/>
          <w:sz w:val="22"/>
        </w:rPr>
        <w:t>23.2.16.1 Trade Authority View</w:t>
      </w:r>
    </w:p>
    <w:p>
      <w:pPr>
        <w:spacing w:after="0" w:before="0" w:line="240" w:lineRule="auto"/>
        <w:ind w:left="57"/>
        <w:jc w:val="left"/>
        <w:shd w:val="clear" w:fill="F2F2F2"/>
      </w:pPr>
      <w:r>
        <w:rPr>
          <w:rFonts w:ascii="Consolas" w:hAnsi="Consolas" w:cs="Consolas"/>
          <w:b w:val="0"/>
          <w:i w:val="0"/>
          <w:sz w:val="15"/>
        </w:rPr>
        <w:t>TRADE AUTHORITY DASHBOARD — Egypt</w:t>
      </w:r>
    </w:p>
    <w:p>
      <w:pPr>
        <w:spacing w:after="0" w:before="0" w:line="240" w:lineRule="auto"/>
        <w:ind w:left="57"/>
        <w:jc w:val="left"/>
        <w:shd w:val="clear" w:fill="F2F2F2"/>
      </w:pPr>
      <w:r>
        <w:rPr>
          <w:rFonts w:ascii="Consolas" w:hAnsi="Consolas" w:cs="Consolas"/>
          <w:b w:val="0"/>
          <w:i w:val="0"/>
          <w:sz w:val="15"/>
        </w:rPr>
        <w:t>Export Volume (Last 30 Days):</w:t>
      </w:r>
    </w:p>
    <w:p>
      <w:pPr>
        <w:spacing w:after="0" w:before="0" w:line="240" w:lineRule="auto"/>
        <w:ind w:left="57"/>
        <w:jc w:val="left"/>
        <w:shd w:val="clear" w:fill="F2F2F2"/>
      </w:pPr>
      <w:r>
        <w:rPr>
          <w:rFonts w:ascii="Consolas" w:hAnsi="Consolas" w:cs="Consolas"/>
          <w:b w:val="0"/>
          <w:i w:val="0"/>
          <w:sz w:val="15"/>
        </w:rPr>
        <w:t xml:space="preserve">  • Total: $12.4M (↑18% MoM)</w:t>
      </w:r>
    </w:p>
    <w:p>
      <w:pPr>
        <w:spacing w:after="0" w:before="0" w:line="240" w:lineRule="auto"/>
        <w:ind w:left="57"/>
        <w:jc w:val="left"/>
        <w:shd w:val="clear" w:fill="F2F2F2"/>
      </w:pPr>
      <w:r>
        <w:rPr>
          <w:rFonts w:ascii="Consolas" w:hAnsi="Consolas" w:cs="Consolas"/>
          <w:b w:val="0"/>
          <w:i w:val="0"/>
          <w:sz w:val="15"/>
        </w:rPr>
        <w:t xml:space="preserve">  • RoRo: $8.4M (68% of total)</w:t>
      </w:r>
    </w:p>
    <w:p>
      <w:pPr>
        <w:spacing w:after="0" w:before="0" w:line="240" w:lineRule="auto"/>
        <w:ind w:left="57"/>
        <w:jc w:val="left"/>
        <w:shd w:val="clear" w:fill="F2F2F2"/>
      </w:pPr>
      <w:r>
        <w:rPr>
          <w:rFonts w:ascii="Consolas" w:hAnsi="Consolas" w:cs="Consolas"/>
          <w:b w:val="0"/>
          <w:i w:val="0"/>
          <w:sz w:val="15"/>
        </w:rPr>
        <w:t xml:space="preserve">  • Container: $4.0M (32% of total)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Top Export Corridors:</w:t>
      </w:r>
    </w:p>
    <w:p>
      <w:pPr>
        <w:spacing w:after="0" w:before="0" w:line="240" w:lineRule="auto"/>
        <w:ind w:left="57"/>
        <w:jc w:val="left"/>
        <w:shd w:val="clear" w:fill="F2F2F2"/>
      </w:pPr>
      <w:r>
        <w:rPr>
          <w:rFonts w:ascii="Consolas" w:hAnsi="Consolas" w:cs="Consolas"/>
          <w:b w:val="0"/>
          <w:i w:val="0"/>
          <w:sz w:val="15"/>
        </w:rPr>
        <w:t xml:space="preserve">  1. Egypt–Italy RoRo: $8.4M (142 shipments)</w:t>
      </w:r>
    </w:p>
    <w:p>
      <w:pPr>
        <w:spacing w:after="0" w:before="0" w:line="240" w:lineRule="auto"/>
        <w:ind w:left="57"/>
        <w:jc w:val="left"/>
        <w:shd w:val="clear" w:fill="F2F2F2"/>
      </w:pPr>
      <w:r>
        <w:rPr>
          <w:rFonts w:ascii="Consolas" w:hAnsi="Consolas" w:cs="Consolas"/>
          <w:b w:val="0"/>
          <w:i w:val="0"/>
          <w:sz w:val="15"/>
        </w:rPr>
        <w:t xml:space="preserve">  2. Egypt–Saudi RoRo: $3.2M (89 shipments)</w:t>
      </w:r>
    </w:p>
    <w:p>
      <w:pPr>
        <w:spacing w:after="0" w:before="0" w:line="240" w:lineRule="auto"/>
        <w:ind w:left="57"/>
        <w:jc w:val="left"/>
        <w:shd w:val="clear" w:fill="F2F2F2"/>
      </w:pPr>
      <w:r>
        <w:rPr>
          <w:rFonts w:ascii="Consolas" w:hAnsi="Consolas" w:cs="Consolas"/>
          <w:b w:val="0"/>
          <w:i w:val="0"/>
          <w:sz w:val="15"/>
        </w:rPr>
        <w:t xml:space="preserve">  3. Egypt–UAE RoRo:   $0.8M (45 shipments)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Sector Analysis:</w:t>
      </w:r>
    </w:p>
    <w:p>
      <w:pPr>
        <w:spacing w:after="0" w:before="0" w:line="240" w:lineRule="auto"/>
        <w:ind w:left="57"/>
        <w:jc w:val="left"/>
        <w:shd w:val="clear" w:fill="F2F2F2"/>
      </w:pPr>
      <w:r>
        <w:rPr>
          <w:rFonts w:ascii="Consolas" w:hAnsi="Consolas" w:cs="Consolas"/>
          <w:b w:val="0"/>
          <w:i w:val="0"/>
          <w:sz w:val="15"/>
        </w:rPr>
        <w:t xml:space="preserve">  • Agriculture: 54% (↑12% MoM)</w:t>
      </w:r>
    </w:p>
    <w:p>
      <w:pPr>
        <w:spacing w:after="0" w:before="0" w:line="240" w:lineRule="auto"/>
        <w:ind w:left="57"/>
        <w:jc w:val="left"/>
        <w:shd w:val="clear" w:fill="F2F2F2"/>
      </w:pPr>
      <w:r>
        <w:rPr>
          <w:rFonts w:ascii="Consolas" w:hAnsi="Consolas" w:cs="Consolas"/>
          <w:b w:val="0"/>
          <w:i w:val="0"/>
          <w:sz w:val="15"/>
        </w:rPr>
        <w:t xml:space="preserve">  • Vehicles:    28% (↑20% MoM)</w:t>
      </w:r>
    </w:p>
    <w:p>
      <w:pPr>
        <w:spacing w:after="0" w:before="0" w:line="240" w:lineRule="auto"/>
        <w:ind w:left="57"/>
        <w:jc w:val="left"/>
        <w:shd w:val="clear" w:fill="F2F2F2"/>
      </w:pPr>
      <w:r>
        <w:rPr>
          <w:rFonts w:ascii="Consolas" w:hAnsi="Consolas" w:cs="Consolas"/>
          <w:b w:val="0"/>
          <w:i w:val="0"/>
          <w:sz w:val="15"/>
        </w:rPr>
        <w:t xml:space="preserve">  • Industrial:  18% (↓2% MoM)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Corridor Utilization:</w:t>
      </w:r>
    </w:p>
    <w:p>
      <w:pPr>
        <w:spacing w:after="0" w:before="0" w:line="240" w:lineRule="auto"/>
        <w:ind w:left="57"/>
        <w:jc w:val="left"/>
        <w:shd w:val="clear" w:fill="F2F2F2"/>
      </w:pPr>
      <w:r>
        <w:rPr>
          <w:rFonts w:ascii="Consolas" w:hAnsi="Consolas" w:cs="Consolas"/>
          <w:b w:val="0"/>
          <w:i w:val="0"/>
          <w:sz w:val="15"/>
        </w:rPr>
        <w:t xml:space="preserve">  • Egypt–Italy: 78% capacity (↑5%)</w:t>
      </w:r>
    </w:p>
    <w:p>
      <w:pPr>
        <w:spacing w:after="0" w:before="0" w:line="240" w:lineRule="auto"/>
        <w:ind w:left="57"/>
        <w:jc w:val="left"/>
        <w:shd w:val="clear" w:fill="F2F2F2"/>
      </w:pPr>
      <w:r>
        <w:rPr>
          <w:rFonts w:ascii="Consolas" w:hAnsi="Consolas" w:cs="Consolas"/>
          <w:b w:val="0"/>
          <w:i w:val="0"/>
          <w:sz w:val="15"/>
        </w:rPr>
        <w:t xml:space="preserve">  • Egypt–Saudi: 62% capacity (↑8%)</w:t>
      </w:r>
    </w:p>
    <w:p>
      <w:pPr>
        <w:spacing w:after="0" w:before="0" w:line="240" w:lineRule="auto"/>
        <w:ind w:left="57"/>
        <w:jc w:val="left"/>
        <w:shd w:val="clear" w:fill="F2F2F2"/>
      </w:pPr>
      <w:r>
        <w:rPr>
          <w:rFonts w:ascii="Consolas" w:hAnsi="Consolas" w:cs="Consolas"/>
          <w:b w:val="0"/>
          <w:i w:val="0"/>
          <w:sz w:val="15"/>
        </w:rPr>
        <w:t xml:space="preserve">  • Egypt–UAE:   45% capacity (↑3%)</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23.2.16.2 Customs View</w:t>
      </w:r>
    </w:p>
    <w:p>
      <w:pPr>
        <w:spacing w:after="0" w:before="0" w:line="240" w:lineRule="auto"/>
        <w:ind w:left="57"/>
        <w:jc w:val="left"/>
        <w:shd w:val="clear" w:fill="F2F2F2"/>
      </w:pPr>
      <w:r>
        <w:rPr>
          <w:rFonts w:ascii="Consolas" w:hAnsi="Consolas" w:cs="Consolas"/>
          <w:b w:val="0"/>
          <w:i w:val="0"/>
          <w:sz w:val="15"/>
        </w:rPr>
        <w:t>CUSTOMS DASHBOARD — Egypt</w:t>
      </w:r>
    </w:p>
    <w:p>
      <w:pPr>
        <w:spacing w:after="0" w:before="0" w:line="240" w:lineRule="auto"/>
        <w:ind w:left="57"/>
        <w:jc w:val="left"/>
        <w:shd w:val="clear" w:fill="F2F2F2"/>
      </w:pPr>
      <w:r>
        <w:rPr>
          <w:rFonts w:ascii="Consolas" w:hAnsi="Consolas" w:cs="Consolas"/>
          <w:b w:val="0"/>
          <w:i w:val="0"/>
          <w:sz w:val="15"/>
        </w:rPr>
        <w:t>Document Bottlenecks:</w:t>
      </w:r>
    </w:p>
    <w:p>
      <w:pPr>
        <w:spacing w:after="0" w:before="0" w:line="240" w:lineRule="auto"/>
        <w:ind w:left="57"/>
        <w:jc w:val="left"/>
        <w:shd w:val="clear" w:fill="F2F2F2"/>
      </w:pPr>
      <w:r>
        <w:rPr>
          <w:rFonts w:ascii="Consolas" w:hAnsi="Consolas" w:cs="Consolas"/>
          <w:b w:val="0"/>
          <w:i w:val="0"/>
          <w:sz w:val="15"/>
        </w:rPr>
        <w:t xml:space="preserve">  1. Phytosanitary Certificate: 8% delay rate</w:t>
      </w:r>
    </w:p>
    <w:p>
      <w:pPr>
        <w:spacing w:after="0" w:before="0" w:line="240" w:lineRule="auto"/>
        <w:ind w:left="57"/>
        <w:jc w:val="left"/>
        <w:shd w:val="clear" w:fill="F2F2F2"/>
      </w:pPr>
      <w:r>
        <w:rPr>
          <w:rFonts w:ascii="Consolas" w:hAnsi="Consolas" w:cs="Consolas"/>
          <w:b w:val="0"/>
          <w:i w:val="0"/>
          <w:sz w:val="15"/>
        </w:rPr>
        <w:t xml:space="preserve">  2. Health Certificate:        5% delay rate</w:t>
      </w:r>
    </w:p>
    <w:p>
      <w:pPr>
        <w:spacing w:after="0" w:before="0" w:line="240" w:lineRule="auto"/>
        <w:ind w:left="57"/>
        <w:jc w:val="left"/>
        <w:shd w:val="clear" w:fill="F2F2F2"/>
      </w:pPr>
      <w:r>
        <w:rPr>
          <w:rFonts w:ascii="Consolas" w:hAnsi="Consolas" w:cs="Consolas"/>
          <w:b w:val="0"/>
          <w:i w:val="0"/>
          <w:sz w:val="15"/>
        </w:rPr>
        <w:t xml:space="preserve">  3. Certificate of Origin:     2% delay rate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Clearance Bottlenecks:</w:t>
      </w:r>
    </w:p>
    <w:p>
      <w:pPr>
        <w:spacing w:after="0" w:before="0" w:line="240" w:lineRule="auto"/>
        <w:ind w:left="57"/>
        <w:jc w:val="left"/>
        <w:shd w:val="clear" w:fill="F2F2F2"/>
      </w:pPr>
      <w:r>
        <w:rPr>
          <w:rFonts w:ascii="Consolas" w:hAnsi="Consolas" w:cs="Consolas"/>
          <w:b w:val="0"/>
          <w:i w:val="0"/>
          <w:sz w:val="15"/>
        </w:rPr>
        <w:t xml:space="preserve">  • Egypt–Italy Corridor: 4.8h average</w:t>
      </w:r>
    </w:p>
    <w:p>
      <w:pPr>
        <w:spacing w:after="0" w:before="0" w:line="240" w:lineRule="auto"/>
        <w:ind w:left="57"/>
        <w:jc w:val="left"/>
        <w:shd w:val="clear" w:fill="F2F2F2"/>
      </w:pPr>
      <w:r>
        <w:rPr>
          <w:rFonts w:ascii="Consolas" w:hAnsi="Consolas" w:cs="Consolas"/>
          <w:b w:val="0"/>
          <w:i w:val="0"/>
          <w:sz w:val="15"/>
        </w:rPr>
        <w:t xml:space="preserve">  • Egypt–Saudi Corridor: 6.2h average</w:t>
      </w:r>
    </w:p>
    <w:p>
      <w:pPr>
        <w:spacing w:after="0" w:before="0" w:line="240" w:lineRule="auto"/>
        <w:ind w:left="57"/>
        <w:jc w:val="left"/>
        <w:shd w:val="clear" w:fill="F2F2F2"/>
      </w:pPr>
      <w:r>
        <w:rPr>
          <w:rFonts w:ascii="Consolas" w:hAnsi="Consolas" w:cs="Consolas"/>
          <w:b w:val="0"/>
          <w:i w:val="0"/>
          <w:sz w:val="15"/>
        </w:rPr>
        <w:t xml:space="preserve">  • Egypt–UAE Corridor:   3.5h average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Top Issues:</w:t>
      </w:r>
    </w:p>
    <w:p>
      <w:pPr>
        <w:spacing w:after="0" w:before="0" w:line="240" w:lineRule="auto"/>
        <w:ind w:left="57"/>
        <w:jc w:val="left"/>
        <w:shd w:val="clear" w:fill="F2F2F2"/>
      </w:pPr>
      <w:r>
        <w:rPr>
          <w:rFonts w:ascii="Consolas" w:hAnsi="Consolas" w:cs="Consolas"/>
          <w:b w:val="0"/>
          <w:i w:val="0"/>
          <w:sz w:val="15"/>
        </w:rPr>
        <w:t xml:space="preserve">  • Missing SFDA documentation (18% of Egypt–Saudi shipments)</w:t>
      </w:r>
    </w:p>
    <w:p>
      <w:pPr>
        <w:spacing w:after="0" w:before="0" w:line="240" w:lineRule="auto"/>
        <w:ind w:left="57"/>
        <w:jc w:val="left"/>
        <w:shd w:val="clear" w:fill="F2F2F2"/>
      </w:pPr>
      <w:r>
        <w:rPr>
          <w:rFonts w:ascii="Consolas" w:hAnsi="Consolas" w:cs="Consolas"/>
          <w:b w:val="0"/>
          <w:i w:val="0"/>
          <w:sz w:val="15"/>
        </w:rPr>
        <w:t xml:space="preserve">  • Incorrect packaging (5% of all shipments)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23.2.16.3 Port View</w:t>
      </w:r>
    </w:p>
    <w:p>
      <w:pPr>
        <w:spacing w:after="0" w:before="0" w:line="240" w:lineRule="auto"/>
        <w:ind w:left="57"/>
        <w:jc w:val="left"/>
        <w:shd w:val="clear" w:fill="F2F2F2"/>
      </w:pPr>
      <w:r>
        <w:rPr>
          <w:rFonts w:ascii="Consolas" w:hAnsi="Consolas" w:cs="Consolas"/>
          <w:b w:val="0"/>
          <w:i w:val="0"/>
          <w:sz w:val="15"/>
        </w:rPr>
        <w:t>PORT DASHBOARD — Safaga</w:t>
      </w:r>
    </w:p>
    <w:p>
      <w:pPr>
        <w:spacing w:after="0" w:before="0" w:line="240" w:lineRule="auto"/>
        <w:ind w:left="57"/>
        <w:jc w:val="left"/>
        <w:shd w:val="clear" w:fill="F2F2F2"/>
      </w:pPr>
      <w:r>
        <w:rPr>
          <w:rFonts w:ascii="Consolas" w:hAnsi="Consolas" w:cs="Consolas"/>
          <w:b w:val="0"/>
          <w:i w:val="0"/>
          <w:sz w:val="15"/>
        </w:rPr>
        <w:t>Capacity Utilization:</w:t>
      </w:r>
    </w:p>
    <w:p>
      <w:pPr>
        <w:spacing w:after="0" w:before="0" w:line="240" w:lineRule="auto"/>
        <w:ind w:left="57"/>
        <w:jc w:val="left"/>
        <w:shd w:val="clear" w:fill="F2F2F2"/>
      </w:pPr>
      <w:r>
        <w:rPr>
          <w:rFonts w:ascii="Consolas" w:hAnsi="Consolas" w:cs="Consolas"/>
          <w:b w:val="0"/>
          <w:i w:val="0"/>
          <w:sz w:val="15"/>
        </w:rPr>
        <w:t xml:space="preserve">  • RoRo:        62% (↑8%)</w:t>
      </w:r>
    </w:p>
    <w:p>
      <w:pPr>
        <w:spacing w:after="0" w:before="0" w:line="240" w:lineRule="auto"/>
        <w:ind w:left="57"/>
        <w:jc w:val="left"/>
        <w:shd w:val="clear" w:fill="F2F2F2"/>
      </w:pPr>
      <w:r>
        <w:rPr>
          <w:rFonts w:ascii="Consolas" w:hAnsi="Consolas" w:cs="Consolas"/>
          <w:b w:val="0"/>
          <w:i w:val="0"/>
          <w:sz w:val="15"/>
        </w:rPr>
        <w:t xml:space="preserve">  • Containers:  45%</w:t>
      </w:r>
    </w:p>
    <w:p>
      <w:pPr>
        <w:spacing w:after="0" w:before="0" w:line="240" w:lineRule="auto"/>
        <w:ind w:left="57"/>
        <w:jc w:val="left"/>
        <w:shd w:val="clear" w:fill="F2F2F2"/>
      </w:pPr>
      <w:r>
        <w:rPr>
          <w:rFonts w:ascii="Consolas" w:hAnsi="Consolas" w:cs="Consolas"/>
          <w:b w:val="0"/>
          <w:i w:val="0"/>
          <w:sz w:val="15"/>
        </w:rPr>
        <w:t xml:space="preserve">  • Cold Storage: 58%</w:t>
      </w:r>
    </w:p>
    <w:p>
      <w:pPr>
        <w:spacing w:after="0" w:before="0" w:line="240" w:lineRule="auto"/>
        <w:ind w:left="57"/>
        <w:jc w:val="left"/>
        <w:shd w:val="clear" w:fill="F2F2F2"/>
      </w:pPr>
      <w:r>
        <w:rPr>
          <w:rFonts w:ascii="Consolas" w:hAnsi="Consolas" w:cs="Consolas"/>
          <w:b w:val="0"/>
          <w:i w:val="0"/>
          <w:sz w:val="15"/>
        </w:rPr>
        <w:t xml:space="preserve">  • Bulk:        32%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RoRo Traffic (Last 30 Days):</w:t>
      </w:r>
    </w:p>
    <w:p>
      <w:pPr>
        <w:spacing w:after="0" w:before="0" w:line="240" w:lineRule="auto"/>
        <w:ind w:left="57"/>
        <w:jc w:val="left"/>
        <w:shd w:val="clear" w:fill="F2F2F2"/>
      </w:pPr>
      <w:r>
        <w:rPr>
          <w:rFonts w:ascii="Consolas" w:hAnsi="Consolas" w:cs="Consolas"/>
          <w:b w:val="0"/>
          <w:i w:val="0"/>
          <w:sz w:val="15"/>
        </w:rPr>
        <w:t xml:space="preserve">  • Egypt–Saudi: 89 shipments (↑8% MoM)</w:t>
      </w:r>
    </w:p>
    <w:p>
      <w:pPr>
        <w:spacing w:after="0" w:before="0" w:line="240" w:lineRule="auto"/>
        <w:ind w:left="57"/>
        <w:jc w:val="left"/>
        <w:shd w:val="clear" w:fill="F2F2F2"/>
      </w:pPr>
      <w:r>
        <w:rPr>
          <w:rFonts w:ascii="Consolas" w:hAnsi="Consolas" w:cs="Consolas"/>
          <w:b w:val="0"/>
          <w:i w:val="0"/>
          <w:sz w:val="15"/>
        </w:rPr>
        <w:t xml:space="preserve">  • Egypt–UAE:   45 shipments (↑12% MoM)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Transit Performance:</w:t>
      </w:r>
    </w:p>
    <w:p>
      <w:pPr>
        <w:spacing w:after="0" w:before="0" w:line="240" w:lineRule="auto"/>
        <w:ind w:left="57"/>
        <w:jc w:val="left"/>
        <w:shd w:val="clear" w:fill="F2F2F2"/>
      </w:pPr>
      <w:r>
        <w:rPr>
          <w:rFonts w:ascii="Consolas" w:hAnsi="Consolas" w:cs="Consolas"/>
          <w:b w:val="0"/>
          <w:i w:val="0"/>
          <w:sz w:val="15"/>
        </w:rPr>
        <w:t xml:space="preserve">  • Average Gate-in to Departure:  3.2h</w:t>
      </w:r>
    </w:p>
    <w:p>
      <w:pPr>
        <w:spacing w:after="0" w:before="0" w:line="240" w:lineRule="auto"/>
        <w:ind w:left="57"/>
        <w:jc w:val="left"/>
        <w:shd w:val="clear" w:fill="F2F2F2"/>
      </w:pPr>
      <w:r>
        <w:rPr>
          <w:rFonts w:ascii="Consolas" w:hAnsi="Consolas" w:cs="Consolas"/>
          <w:b w:val="0"/>
          <w:i w:val="0"/>
          <w:sz w:val="15"/>
        </w:rPr>
        <w:t xml:space="preserve">  • Average Arrival to Gate-out:   4.1h</w:t>
      </w:r>
    </w:p>
    <w:p>
      <w:pPr>
        <w:spacing w:after="0" w:before="0" w:line="240" w:lineRule="auto"/>
        <w:ind w:left="57"/>
        <w:jc w:val="left"/>
        <w:shd w:val="clear" w:fill="F2F2F2"/>
      </w:pPr>
      <w:r>
        <w:rPr>
          <w:rFonts w:ascii="Consolas" w:hAnsi="Consolas" w:cs="Consolas"/>
          <w:b w:val="0"/>
          <w:i w:val="0"/>
          <w:sz w:val="15"/>
        </w:rPr>
        <w:t xml:space="preserve">  • Port Congestion: Low (4h waiting)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Operating Status: Normal</w:t>
      </w:r>
    </w:p>
    <w:p>
      <w:pPr>
        <w:spacing w:after="0" w:before="0" w:line="240" w:lineRule="auto"/>
        <w:ind w:left="57"/>
        <w:jc w:val="left"/>
        <w:shd w:val="clear" w:fill="F2F2F2"/>
      </w:pPr>
      <w:r>
        <w:rPr>
          <w:rFonts w:ascii="Consolas" w:hAnsi="Consolas" w:cs="Consolas"/>
          <w:b w:val="0"/>
          <w:i w:val="0"/>
          <w:sz w:val="15"/>
        </w:rPr>
        <w:t>Next Maintenance: 2026-08-15 (6h downtime planned)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the Government Portal (16.8.12).</w:t>
      </w:r>
    </w:p>
    <w:p>
      <w:pPr>
        <w:keepNext/>
        <w:spacing w:before="180" w:after="80"/>
        <w:outlineLvl w:val="2"/>
      </w:pPr>
      <w:r>
        <w:rPr>
          <w:rFonts w:ascii="Arial" w:hAnsi="Arial" w:cs="Arial"/>
          <w:b/>
          <w:i w:val="0"/>
          <w:color w:val="333333"/>
          <w:sz w:val="23"/>
        </w:rPr>
        <w:t>23.2.17 GTID Government Extension</w:t>
      </w:r>
    </w:p>
    <w:p>
      <w:pPr>
        <w:spacing w:after="80" w:line="293" w:lineRule="auto"/>
        <w:jc w:val="left"/>
      </w:pPr>
      <w:r>
        <w:rPr>
          <w:rFonts w:ascii="Times New Roman" w:hAnsi="Times New Roman" w:cs="Times New Roman"/>
          <w:b/>
          <w:i w:val="0"/>
          <w:sz w:val="22"/>
        </w:rPr>
        <w:t>Purpose:</w:t>
      </w:r>
      <w:r>
        <w:rPr>
          <w:rFonts w:ascii="Times New Roman" w:hAnsi="Times New Roman" w:cs="Times New Roman"/>
          <w:b w:val="0"/>
          <w:i w:val="0"/>
          <w:sz w:val="22"/>
        </w:rPr>
        <w:t xml:space="preserve"> new GTID categories for government entities.</w:t>
      </w:r>
    </w:p>
    <w:p>
      <w:pPr>
        <w:spacing w:after="80" w:line="293" w:lineRule="auto"/>
        <w:jc w:val="left"/>
      </w:pPr>
      <w:r>
        <w:rPr>
          <w:rFonts w:ascii="Times New Roman" w:hAnsi="Times New Roman" w:cs="Times New Roman"/>
          <w:b w:val="0"/>
          <w:i w:val="0"/>
          <w:sz w:val="22"/>
        </w:rPr>
        <w:t>New entity types: GOV (Government Authority), PORT (Port Authority), CUSTOMS (Customs Authority), TRADE_AGENCY (Trade Promotion Agency), ECON_ZONE (Economic Zone), CORR_OP (Corridor Operator).</w:t>
      </w:r>
    </w:p>
    <w:p>
      <w:pPr>
        <w:spacing w:after="80" w:line="293" w:lineRule="auto"/>
        <w:jc w:val="left"/>
      </w:pPr>
      <w:r>
        <w:rPr>
          <w:rFonts w:ascii="Times New Roman" w:hAnsi="Times New Roman" w:cs="Times New Roman"/>
          <w:b w:val="0"/>
          <w:i w:val="0"/>
          <w:sz w:val="22"/>
        </w:rPr>
        <w:t>Examples: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GTID</w:t>
            </w:r>
          </w:p>
        </w:tc>
        <w:tc>
          <w:tcPr>
            <w:tcW w:type="dxa" w:w="4819"/>
            <w:shd w:val="clear" w:fill="D9E2F3"/>
          </w:tcPr>
          <w:p>
            <w:pPr>
              <w:spacing w:after="20" w:before="20" w:line="240" w:lineRule="auto"/>
            </w:pPr>
            <w:r/>
            <w:r>
              <w:rPr>
                <w:rFonts w:ascii="Arial" w:hAnsi="Arial" w:cs="Arial"/>
                <w:b/>
                <w:i w:val="0"/>
                <w:sz w:val="18"/>
              </w:rPr>
              <w:t>Entity</w:t>
            </w:r>
          </w:p>
        </w:tc>
      </w:tr>
      <w:tr>
        <w:tc>
          <w:tcPr>
            <w:tcW w:type="dxa" w:w="4819"/>
          </w:tcPr>
          <w:p>
            <w:pPr>
              <w:spacing w:after="20" w:before="20" w:line="240" w:lineRule="auto"/>
            </w:pPr>
            <w:r/>
            <w:r>
              <w:rPr>
                <w:rFonts w:ascii="Arial" w:hAnsi="Arial" w:cs="Arial"/>
                <w:b w:val="0"/>
                <w:i w:val="0"/>
                <w:sz w:val="17"/>
              </w:rPr>
              <w:t>SGTX-EG-GOV-001</w:t>
            </w:r>
          </w:p>
        </w:tc>
        <w:tc>
          <w:tcPr>
            <w:tcW w:type="dxa" w:w="4819"/>
          </w:tcPr>
          <w:p>
            <w:pPr>
              <w:spacing w:after="20" w:before="20" w:line="240" w:lineRule="auto"/>
            </w:pPr>
            <w:r/>
            <w:r>
              <w:rPr>
                <w:rFonts w:ascii="Arial" w:hAnsi="Arial" w:cs="Arial"/>
                <w:b w:val="0"/>
                <w:i w:val="0"/>
                <w:sz w:val="17"/>
              </w:rPr>
              <w:t>Egyptian Ministry of Transport</w:t>
            </w:r>
          </w:p>
        </w:tc>
      </w:tr>
      <w:tr>
        <w:tc>
          <w:tcPr>
            <w:tcW w:type="dxa" w:w="4819"/>
          </w:tcPr>
          <w:p>
            <w:pPr>
              <w:spacing w:after="20" w:before="20" w:line="240" w:lineRule="auto"/>
            </w:pPr>
            <w:r/>
            <w:r>
              <w:rPr>
                <w:rFonts w:ascii="Arial" w:hAnsi="Arial" w:cs="Arial"/>
                <w:b w:val="0"/>
                <w:i w:val="0"/>
                <w:sz w:val="17"/>
              </w:rPr>
              <w:t>SGTX-EG-CUSTOMS-001</w:t>
            </w:r>
          </w:p>
        </w:tc>
        <w:tc>
          <w:tcPr>
            <w:tcW w:type="dxa" w:w="4819"/>
          </w:tcPr>
          <w:p>
            <w:pPr>
              <w:spacing w:after="20" w:before="20" w:line="240" w:lineRule="auto"/>
            </w:pPr>
            <w:r/>
            <w:r>
              <w:rPr>
                <w:rFonts w:ascii="Arial" w:hAnsi="Arial" w:cs="Arial"/>
                <w:b w:val="0"/>
                <w:i w:val="0"/>
                <w:sz w:val="17"/>
              </w:rPr>
              <w:t>Egyptian Customs Authority</w:t>
            </w:r>
          </w:p>
        </w:tc>
      </w:tr>
      <w:tr>
        <w:tc>
          <w:tcPr>
            <w:tcW w:type="dxa" w:w="4819"/>
          </w:tcPr>
          <w:p>
            <w:pPr>
              <w:spacing w:after="20" w:before="20" w:line="240" w:lineRule="auto"/>
            </w:pPr>
            <w:r/>
            <w:r>
              <w:rPr>
                <w:rFonts w:ascii="Arial" w:hAnsi="Arial" w:cs="Arial"/>
                <w:b w:val="0"/>
                <w:i w:val="0"/>
                <w:sz w:val="17"/>
              </w:rPr>
              <w:t>SGTX-EG-PORT-001</w:t>
            </w:r>
          </w:p>
        </w:tc>
        <w:tc>
          <w:tcPr>
            <w:tcW w:type="dxa" w:w="4819"/>
          </w:tcPr>
          <w:p>
            <w:pPr>
              <w:spacing w:after="20" w:before="20" w:line="240" w:lineRule="auto"/>
            </w:pPr>
            <w:r/>
            <w:r>
              <w:rPr>
                <w:rFonts w:ascii="Arial" w:hAnsi="Arial" w:cs="Arial"/>
                <w:b w:val="0"/>
                <w:i w:val="0"/>
                <w:sz w:val="17"/>
              </w:rPr>
              <w:t>Damietta Port Authority</w:t>
            </w:r>
          </w:p>
        </w:tc>
      </w:tr>
      <w:tr>
        <w:tc>
          <w:tcPr>
            <w:tcW w:type="dxa" w:w="4819"/>
          </w:tcPr>
          <w:p>
            <w:pPr>
              <w:spacing w:after="20" w:before="20" w:line="240" w:lineRule="auto"/>
            </w:pPr>
            <w:r/>
            <w:r>
              <w:rPr>
                <w:rFonts w:ascii="Arial" w:hAnsi="Arial" w:cs="Arial"/>
                <w:b w:val="0"/>
                <w:i w:val="0"/>
                <w:sz w:val="17"/>
              </w:rPr>
              <w:t>SGTX-EG-PORT-002</w:t>
            </w:r>
          </w:p>
        </w:tc>
        <w:tc>
          <w:tcPr>
            <w:tcW w:type="dxa" w:w="4819"/>
          </w:tcPr>
          <w:p>
            <w:pPr>
              <w:spacing w:after="20" w:before="20" w:line="240" w:lineRule="auto"/>
            </w:pPr>
            <w:r/>
            <w:r>
              <w:rPr>
                <w:rFonts w:ascii="Arial" w:hAnsi="Arial" w:cs="Arial"/>
                <w:b w:val="0"/>
                <w:i w:val="0"/>
                <w:sz w:val="17"/>
              </w:rPr>
              <w:t>Safaga Port Authority</w:t>
            </w:r>
          </w:p>
        </w:tc>
      </w:tr>
      <w:tr>
        <w:tc>
          <w:tcPr>
            <w:tcW w:type="dxa" w:w="4819"/>
          </w:tcPr>
          <w:p>
            <w:pPr>
              <w:spacing w:after="20" w:before="20" w:line="240" w:lineRule="auto"/>
            </w:pPr>
            <w:r/>
            <w:r>
              <w:rPr>
                <w:rFonts w:ascii="Arial" w:hAnsi="Arial" w:cs="Arial"/>
                <w:b w:val="0"/>
                <w:i w:val="0"/>
                <w:sz w:val="17"/>
              </w:rPr>
              <w:t>SGTX-IT-GOV-001</w:t>
            </w:r>
          </w:p>
        </w:tc>
        <w:tc>
          <w:tcPr>
            <w:tcW w:type="dxa" w:w="4819"/>
          </w:tcPr>
          <w:p>
            <w:pPr>
              <w:spacing w:after="20" w:before="20" w:line="240" w:lineRule="auto"/>
            </w:pPr>
            <w:r/>
            <w:r>
              <w:rPr>
                <w:rFonts w:ascii="Arial" w:hAnsi="Arial" w:cs="Arial"/>
                <w:b w:val="0"/>
                <w:i w:val="0"/>
                <w:sz w:val="17"/>
              </w:rPr>
              <w:t>Italian Ministry of Transport</w:t>
            </w:r>
          </w:p>
        </w:tc>
      </w:tr>
      <w:tr>
        <w:tc>
          <w:tcPr>
            <w:tcW w:type="dxa" w:w="4819"/>
          </w:tcPr>
          <w:p>
            <w:pPr>
              <w:spacing w:after="20" w:before="20" w:line="240" w:lineRule="auto"/>
            </w:pPr>
            <w:r/>
            <w:r>
              <w:rPr>
                <w:rFonts w:ascii="Arial" w:hAnsi="Arial" w:cs="Arial"/>
                <w:b w:val="0"/>
                <w:i w:val="0"/>
                <w:sz w:val="17"/>
              </w:rPr>
              <w:t>SGTX-IT-CUSTOMS-001</w:t>
            </w:r>
          </w:p>
        </w:tc>
        <w:tc>
          <w:tcPr>
            <w:tcW w:type="dxa" w:w="4819"/>
          </w:tcPr>
          <w:p>
            <w:pPr>
              <w:spacing w:after="20" w:before="20" w:line="240" w:lineRule="auto"/>
            </w:pPr>
            <w:r/>
            <w:r>
              <w:rPr>
                <w:rFonts w:ascii="Arial" w:hAnsi="Arial" w:cs="Arial"/>
                <w:b w:val="0"/>
                <w:i w:val="0"/>
                <w:sz w:val="17"/>
              </w:rPr>
              <w:t>Italian Customs Authority</w:t>
            </w:r>
          </w:p>
        </w:tc>
      </w:tr>
      <w:tr>
        <w:tc>
          <w:tcPr>
            <w:tcW w:type="dxa" w:w="4819"/>
          </w:tcPr>
          <w:p>
            <w:pPr>
              <w:spacing w:after="20" w:before="20" w:line="240" w:lineRule="auto"/>
            </w:pPr>
            <w:r/>
            <w:r>
              <w:rPr>
                <w:rFonts w:ascii="Arial" w:hAnsi="Arial" w:cs="Arial"/>
                <w:b w:val="0"/>
                <w:i w:val="0"/>
                <w:sz w:val="17"/>
              </w:rPr>
              <w:t>SGTX-IT-PORT-001</w:t>
            </w:r>
          </w:p>
        </w:tc>
        <w:tc>
          <w:tcPr>
            <w:tcW w:type="dxa" w:w="4819"/>
          </w:tcPr>
          <w:p>
            <w:pPr>
              <w:spacing w:after="20" w:before="20" w:line="240" w:lineRule="auto"/>
            </w:pPr>
            <w:r/>
            <w:r>
              <w:rPr>
                <w:rFonts w:ascii="Arial" w:hAnsi="Arial" w:cs="Arial"/>
                <w:b w:val="0"/>
                <w:i w:val="0"/>
                <w:sz w:val="17"/>
              </w:rPr>
              <w:t>Port of Trieste Authority</w:t>
            </w:r>
          </w:p>
        </w:tc>
      </w:tr>
      <w:tr>
        <w:tc>
          <w:tcPr>
            <w:tcW w:type="dxa" w:w="4819"/>
          </w:tcPr>
          <w:p>
            <w:pPr>
              <w:spacing w:after="20" w:before="20" w:line="240" w:lineRule="auto"/>
            </w:pPr>
            <w:r/>
            <w:r>
              <w:rPr>
                <w:rFonts w:ascii="Arial" w:hAnsi="Arial" w:cs="Arial"/>
                <w:b w:val="0"/>
                <w:i w:val="0"/>
                <w:sz w:val="17"/>
              </w:rPr>
              <w:t>SGTX-SA-GOV-001</w:t>
            </w:r>
          </w:p>
        </w:tc>
        <w:tc>
          <w:tcPr>
            <w:tcW w:type="dxa" w:w="4819"/>
          </w:tcPr>
          <w:p>
            <w:pPr>
              <w:spacing w:after="20" w:before="20" w:line="240" w:lineRule="auto"/>
            </w:pPr>
            <w:r/>
            <w:r>
              <w:rPr>
                <w:rFonts w:ascii="Arial" w:hAnsi="Arial" w:cs="Arial"/>
                <w:b w:val="0"/>
                <w:i w:val="0"/>
                <w:sz w:val="17"/>
              </w:rPr>
              <w:t>Saudi Ministry of Transport</w:t>
            </w:r>
          </w:p>
        </w:tc>
      </w:tr>
      <w:tr>
        <w:tc>
          <w:tcPr>
            <w:tcW w:type="dxa" w:w="4819"/>
          </w:tcPr>
          <w:p>
            <w:pPr>
              <w:spacing w:after="20" w:before="20" w:line="240" w:lineRule="auto"/>
            </w:pPr>
            <w:r/>
            <w:r>
              <w:rPr>
                <w:rFonts w:ascii="Arial" w:hAnsi="Arial" w:cs="Arial"/>
                <w:b w:val="0"/>
                <w:i w:val="0"/>
                <w:sz w:val="17"/>
              </w:rPr>
              <w:t>SGTX-SA-CUSTOMS-001</w:t>
            </w:r>
          </w:p>
        </w:tc>
        <w:tc>
          <w:tcPr>
            <w:tcW w:type="dxa" w:w="4819"/>
          </w:tcPr>
          <w:p>
            <w:pPr>
              <w:spacing w:after="20" w:before="20" w:line="240" w:lineRule="auto"/>
            </w:pPr>
            <w:r/>
            <w:r>
              <w:rPr>
                <w:rFonts w:ascii="Arial" w:hAnsi="Arial" w:cs="Arial"/>
                <w:b w:val="0"/>
                <w:i w:val="0"/>
                <w:sz w:val="17"/>
              </w:rPr>
              <w:t>Saudi Customs Authority</w:t>
            </w:r>
          </w:p>
        </w:tc>
      </w:tr>
      <w:tr>
        <w:tc>
          <w:tcPr>
            <w:tcW w:type="dxa" w:w="4819"/>
          </w:tcPr>
          <w:p>
            <w:pPr>
              <w:spacing w:after="20" w:before="20" w:line="240" w:lineRule="auto"/>
            </w:pPr>
            <w:r/>
            <w:r>
              <w:rPr>
                <w:rFonts w:ascii="Arial" w:hAnsi="Arial" w:cs="Arial"/>
                <w:b w:val="0"/>
                <w:i w:val="0"/>
                <w:sz w:val="17"/>
              </w:rPr>
              <w:t>SGTX-SA-PORT-001</w:t>
            </w:r>
          </w:p>
        </w:tc>
        <w:tc>
          <w:tcPr>
            <w:tcW w:type="dxa" w:w="4819"/>
          </w:tcPr>
          <w:p>
            <w:pPr>
              <w:spacing w:after="20" w:before="20" w:line="240" w:lineRule="auto"/>
            </w:pPr>
            <w:r/>
            <w:r>
              <w:rPr>
                <w:rFonts w:ascii="Arial" w:hAnsi="Arial" w:cs="Arial"/>
                <w:b w:val="0"/>
                <w:i w:val="0"/>
                <w:sz w:val="17"/>
              </w:rPr>
              <w:t>Jeddah Port Authority</w:t>
            </w:r>
          </w:p>
        </w:tc>
      </w:tr>
      <w:tr>
        <w:tc>
          <w:tcPr>
            <w:tcW w:type="dxa" w:w="4819"/>
          </w:tcPr>
          <w:p>
            <w:pPr>
              <w:spacing w:after="20" w:before="20" w:line="240" w:lineRule="auto"/>
            </w:pPr>
            <w:r/>
            <w:r>
              <w:rPr>
                <w:rFonts w:ascii="Arial" w:hAnsi="Arial" w:cs="Arial"/>
                <w:b w:val="0"/>
                <w:i w:val="0"/>
                <w:sz w:val="17"/>
              </w:rPr>
              <w:t>SGTX-SFDA-001</w:t>
            </w:r>
          </w:p>
        </w:tc>
        <w:tc>
          <w:tcPr>
            <w:tcW w:type="dxa" w:w="4819"/>
          </w:tcPr>
          <w:p>
            <w:pPr>
              <w:spacing w:after="20" w:before="20" w:line="240" w:lineRule="auto"/>
            </w:pPr>
            <w:r/>
            <w:r>
              <w:rPr>
                <w:rFonts w:ascii="Arial" w:hAnsi="Arial" w:cs="Arial"/>
                <w:b w:val="0"/>
                <w:i w:val="0"/>
                <w:sz w:val="17"/>
              </w:rPr>
              <w:t>Saudi Food and Drug Authority</w:t>
            </w:r>
          </w:p>
        </w:tc>
      </w:tr>
      <w:tr>
        <w:tc>
          <w:tcPr>
            <w:tcW w:type="dxa" w:w="4819"/>
          </w:tcPr>
          <w:p>
            <w:pPr>
              <w:spacing w:after="20" w:before="20" w:line="240" w:lineRule="auto"/>
            </w:pPr>
            <w:r/>
            <w:r>
              <w:rPr>
                <w:rFonts w:ascii="Arial" w:hAnsi="Arial" w:cs="Arial"/>
                <w:b w:val="0"/>
                <w:i w:val="0"/>
                <w:sz w:val="17"/>
              </w:rPr>
              <w:t>SGTX-AE-GOV-001</w:t>
            </w:r>
          </w:p>
        </w:tc>
        <w:tc>
          <w:tcPr>
            <w:tcW w:type="dxa" w:w="4819"/>
          </w:tcPr>
          <w:p>
            <w:pPr>
              <w:spacing w:after="20" w:before="20" w:line="240" w:lineRule="auto"/>
            </w:pPr>
            <w:r/>
            <w:r>
              <w:rPr>
                <w:rFonts w:ascii="Arial" w:hAnsi="Arial" w:cs="Arial"/>
                <w:b w:val="0"/>
                <w:i w:val="0"/>
                <w:sz w:val="17"/>
              </w:rPr>
              <w:t>UAE Ministry of Transport</w:t>
            </w:r>
          </w:p>
        </w:tc>
      </w:tr>
      <w:tr>
        <w:tc>
          <w:tcPr>
            <w:tcW w:type="dxa" w:w="4819"/>
          </w:tcPr>
          <w:p>
            <w:pPr>
              <w:spacing w:after="20" w:before="20" w:line="240" w:lineRule="auto"/>
            </w:pPr>
            <w:r/>
            <w:r>
              <w:rPr>
                <w:rFonts w:ascii="Arial" w:hAnsi="Arial" w:cs="Arial"/>
                <w:b w:val="0"/>
                <w:i w:val="0"/>
                <w:sz w:val="17"/>
              </w:rPr>
              <w:t>SGTX-AE-CUSTOMS-001</w:t>
            </w:r>
          </w:p>
        </w:tc>
        <w:tc>
          <w:tcPr>
            <w:tcW w:type="dxa" w:w="4819"/>
          </w:tcPr>
          <w:p>
            <w:pPr>
              <w:spacing w:after="20" w:before="20" w:line="240" w:lineRule="auto"/>
            </w:pPr>
            <w:r/>
            <w:r>
              <w:rPr>
                <w:rFonts w:ascii="Arial" w:hAnsi="Arial" w:cs="Arial"/>
                <w:b w:val="0"/>
                <w:i w:val="0"/>
                <w:sz w:val="17"/>
              </w:rPr>
              <w:t>UAE Customs Authority</w:t>
            </w:r>
          </w:p>
        </w:tc>
      </w:tr>
      <w:tr>
        <w:tc>
          <w:tcPr>
            <w:tcW w:type="dxa" w:w="4819"/>
          </w:tcPr>
          <w:p>
            <w:pPr>
              <w:spacing w:after="20" w:before="20" w:line="240" w:lineRule="auto"/>
            </w:pPr>
            <w:r/>
            <w:r>
              <w:rPr>
                <w:rFonts w:ascii="Arial" w:hAnsi="Arial" w:cs="Arial"/>
                <w:b w:val="0"/>
                <w:i w:val="0"/>
                <w:sz w:val="17"/>
              </w:rPr>
              <w:t>SGTX-AE-PORT-001</w:t>
            </w:r>
          </w:p>
        </w:tc>
        <w:tc>
          <w:tcPr>
            <w:tcW w:type="dxa" w:w="4819"/>
          </w:tcPr>
          <w:p>
            <w:pPr>
              <w:spacing w:after="20" w:before="20" w:line="240" w:lineRule="auto"/>
            </w:pPr>
            <w:r/>
            <w:r>
              <w:rPr>
                <w:rFonts w:ascii="Arial" w:hAnsi="Arial" w:cs="Arial"/>
                <w:b w:val="0"/>
                <w:i w:val="0"/>
                <w:sz w:val="17"/>
              </w:rPr>
              <w:t>Jebel Ali Port Authority</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Integrates with the GTID format (Section 4).</w:t>
      </w:r>
    </w:p>
    <w:p>
      <w:pPr>
        <w:keepNext/>
        <w:spacing w:before="180" w:after="80"/>
        <w:outlineLvl w:val="2"/>
      </w:pPr>
      <w:r>
        <w:rPr>
          <w:rFonts w:ascii="Arial" w:hAnsi="Arial" w:cs="Arial"/>
          <w:b/>
          <w:i w:val="0"/>
          <w:color w:val="333333"/>
          <w:sz w:val="23"/>
        </w:rPr>
        <w:t>23.2.18 GTID Integration in TCN</w:t>
      </w:r>
    </w:p>
    <w:p>
      <w:pPr>
        <w:keepNext/>
        <w:spacing w:before="140" w:after="60"/>
        <w:outlineLvl w:val="3"/>
      </w:pPr>
      <w:r>
        <w:rPr>
          <w:rFonts w:ascii="Arial" w:hAnsi="Arial" w:cs="Arial"/>
          <w:b/>
          <w:i/>
          <w:color w:val="333333"/>
          <w:sz w:val="22"/>
        </w:rPr>
        <w:t>23.2.18.1 GTID Resolution for Government Entities</w:t>
      </w:r>
    </w:p>
    <w:p>
      <w:pPr>
        <w:spacing w:after="80" w:line="293" w:lineRule="auto"/>
        <w:jc w:val="left"/>
      </w:pPr>
      <w:r>
        <w:rPr>
          <w:rFonts w:ascii="Times New Roman" w:hAnsi="Times New Roman" w:cs="Times New Roman"/>
          <w:b w:val="0"/>
          <w:i w:val="0"/>
          <w:sz w:val="22"/>
        </w:rPr>
        <w:t>Endpoint: `GET /v1/gtid/resolve?gtid=SGTX-EG-PORT-001`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"gtid": "SGTX-EG-PORT-001",</w:t>
      </w:r>
    </w:p>
    <w:p>
      <w:pPr>
        <w:spacing w:after="0" w:before="0" w:line="240" w:lineRule="auto"/>
        <w:ind w:left="57"/>
        <w:jc w:val="left"/>
        <w:shd w:val="clear" w:fill="F2F2F2"/>
      </w:pPr>
      <w:r>
        <w:rPr>
          <w:rFonts w:ascii="Consolas" w:hAnsi="Consolas" w:cs="Consolas"/>
          <w:b w:val="0"/>
          <w:i w:val="0"/>
          <w:sz w:val="15"/>
        </w:rPr>
        <w:t xml:space="preserve">  "legal_name": "Damietta Port Authority",</w:t>
      </w:r>
    </w:p>
    <w:p>
      <w:pPr>
        <w:spacing w:after="0" w:before="0" w:line="240" w:lineRule="auto"/>
        <w:ind w:left="57"/>
        <w:jc w:val="left"/>
        <w:shd w:val="clear" w:fill="F2F2F2"/>
      </w:pPr>
      <w:r>
        <w:rPr>
          <w:rFonts w:ascii="Consolas" w:hAnsi="Consolas" w:cs="Consolas"/>
          <w:b w:val="0"/>
          <w:i w:val="0"/>
          <w:sz w:val="15"/>
        </w:rPr>
        <w:t xml:space="preserve">  "type": "PORT",</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 xml:space="preserve">  "port_unlocode": "EGDAM",</w:t>
      </w:r>
    </w:p>
    <w:p>
      <w:pPr>
        <w:spacing w:after="0" w:before="0" w:line="240" w:lineRule="auto"/>
        <w:ind w:left="57"/>
        <w:jc w:val="left"/>
        <w:shd w:val="clear" w:fill="F2F2F2"/>
      </w:pPr>
      <w:r>
        <w:rPr>
          <w:rFonts w:ascii="Consolas" w:hAnsi="Consolas" w:cs="Consolas"/>
          <w:b w:val="0"/>
          <w:i w:val="0"/>
          <w:sz w:val="15"/>
        </w:rPr>
        <w:t xml:space="preserve">  "port_capabilities": {</w:t>
      </w:r>
    </w:p>
    <w:p>
      <w:pPr>
        <w:spacing w:after="0" w:before="0" w:line="240" w:lineRule="auto"/>
        <w:ind w:left="57"/>
        <w:jc w:val="left"/>
        <w:shd w:val="clear" w:fill="F2F2F2"/>
      </w:pPr>
      <w:r>
        <w:rPr>
          <w:rFonts w:ascii="Consolas" w:hAnsi="Consolas" w:cs="Consolas"/>
          <w:b w:val="0"/>
          <w:i w:val="0"/>
          <w:sz w:val="15"/>
        </w:rPr>
        <w:t xml:space="preserve">    "roro": true,</w:t>
      </w:r>
    </w:p>
    <w:p>
      <w:pPr>
        <w:spacing w:after="0" w:before="0" w:line="240" w:lineRule="auto"/>
        <w:ind w:left="57"/>
        <w:jc w:val="left"/>
        <w:shd w:val="clear" w:fill="F2F2F2"/>
      </w:pPr>
      <w:r>
        <w:rPr>
          <w:rFonts w:ascii="Consolas" w:hAnsi="Consolas" w:cs="Consolas"/>
          <w:b w:val="0"/>
          <w:i w:val="0"/>
          <w:sz w:val="15"/>
        </w:rPr>
        <w:t xml:space="preserve">    "containers": true,</w:t>
      </w:r>
    </w:p>
    <w:p>
      <w:pPr>
        <w:spacing w:after="0" w:before="0" w:line="240" w:lineRule="auto"/>
        <w:ind w:left="57"/>
        <w:jc w:val="left"/>
        <w:shd w:val="clear" w:fill="F2F2F2"/>
      </w:pPr>
      <w:r>
        <w:rPr>
          <w:rFonts w:ascii="Consolas" w:hAnsi="Consolas" w:cs="Consolas"/>
          <w:b w:val="0"/>
          <w:i w:val="0"/>
          <w:sz w:val="15"/>
        </w:rPr>
        <w:t xml:space="preserve">    "cold_storage": true,</w:t>
      </w:r>
    </w:p>
    <w:p>
      <w:pPr>
        <w:spacing w:after="0" w:before="0" w:line="240" w:lineRule="auto"/>
        <w:ind w:left="57"/>
        <w:jc w:val="left"/>
        <w:shd w:val="clear" w:fill="F2F2F2"/>
      </w:pPr>
      <w:r>
        <w:rPr>
          <w:rFonts w:ascii="Consolas" w:hAnsi="Consolas" w:cs="Consolas"/>
          <w:b w:val="0"/>
          <w:i w:val="0"/>
          <w:sz w:val="15"/>
        </w:rPr>
        <w:t xml:space="preserve">    "bulk": true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"corridors": ["EGY-ITA-RORO-001"],</w:t>
      </w:r>
    </w:p>
    <w:p>
      <w:pPr>
        <w:spacing w:after="0" w:before="0" w:line="240" w:lineRule="auto"/>
        <w:ind w:left="57"/>
        <w:jc w:val="left"/>
        <w:shd w:val="clear" w:fill="F2F2F2"/>
      </w:pPr>
      <w:r>
        <w:rPr>
          <w:rFonts w:ascii="Consolas" w:hAnsi="Consolas" w:cs="Consolas"/>
          <w:b w:val="0"/>
          <w:i w:val="0"/>
          <w:sz w:val="15"/>
        </w:rPr>
        <w:t xml:space="preserve">  "operational_status": "ACTIVE",</w:t>
      </w:r>
    </w:p>
    <w:p>
      <w:pPr>
        <w:spacing w:after="0" w:before="0" w:line="240" w:lineRule="auto"/>
        <w:ind w:left="57"/>
        <w:jc w:val="left"/>
        <w:shd w:val="clear" w:fill="F2F2F2"/>
      </w:pPr>
      <w:r>
        <w:rPr>
          <w:rFonts w:ascii="Consolas" w:hAnsi="Consolas" w:cs="Consolas"/>
          <w:b w:val="0"/>
          <w:i w:val="0"/>
          <w:sz w:val="15"/>
        </w:rPr>
        <w:t xml:space="preserve">  "congestion_level": "LOW",</w:t>
      </w:r>
    </w:p>
    <w:p>
      <w:pPr>
        <w:spacing w:after="0" w:before="0" w:line="240" w:lineRule="auto"/>
        <w:ind w:left="57"/>
        <w:jc w:val="left"/>
        <w:shd w:val="clear" w:fill="F2F2F2"/>
      </w:pPr>
      <w:r>
        <w:rPr>
          <w:rFonts w:ascii="Consolas" w:hAnsi="Consolas" w:cs="Consolas"/>
          <w:b w:val="0"/>
          <w:i w:val="0"/>
          <w:sz w:val="15"/>
        </w:rPr>
        <w:t xml:space="preserve">  "trust_score": 92,</w:t>
      </w:r>
    </w:p>
    <w:p>
      <w:pPr>
        <w:spacing w:after="0" w:before="0" w:line="240" w:lineRule="auto"/>
        <w:ind w:left="57"/>
        <w:jc w:val="left"/>
        <w:shd w:val="clear" w:fill="F2F2F2"/>
      </w:pPr>
      <w:r>
        <w:rPr>
          <w:rFonts w:ascii="Consolas" w:hAnsi="Consolas" w:cs="Consolas"/>
          <w:b w:val="0"/>
          <w:i w:val="0"/>
          <w:sz w:val="15"/>
        </w:rPr>
        <w:t xml:space="preserve">  "kyb_tier": 3,</w:t>
      </w:r>
    </w:p>
    <w:p>
      <w:pPr>
        <w:spacing w:after="0" w:before="0" w:line="240" w:lineRule="auto"/>
        <w:ind w:left="57"/>
        <w:jc w:val="left"/>
        <w:shd w:val="clear" w:fill="F2F2F2"/>
      </w:pPr>
      <w:r>
        <w:rPr>
          <w:rFonts w:ascii="Consolas" w:hAnsi="Consolas" w:cs="Consolas"/>
          <w:b w:val="0"/>
          <w:i w:val="0"/>
          <w:sz w:val="15"/>
        </w:rPr>
        <w:t xml:space="preserve">  "lifecycle_state": "VERIFIED"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23.2.18.2 GTID Resolution for Corridor Operators</w:t>
      </w:r>
    </w:p>
    <w:p>
      <w:pPr>
        <w:spacing w:after="80" w:line="293" w:lineRule="auto"/>
        <w:jc w:val="left"/>
      </w:pPr>
      <w:r>
        <w:rPr>
          <w:rFonts w:ascii="Times New Roman" w:hAnsi="Times New Roman" w:cs="Times New Roman"/>
          <w:b w:val="0"/>
          <w:i w:val="0"/>
          <w:sz w:val="22"/>
        </w:rPr>
        <w:t>Endpoint: `GET /v1/gtid/resolve?gtid=SGTX-EG-CORR-001`</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"gtid": "SGTX-EG-CORR-001",</w:t>
      </w:r>
    </w:p>
    <w:p>
      <w:pPr>
        <w:spacing w:after="0" w:before="0" w:line="240" w:lineRule="auto"/>
        <w:ind w:left="57"/>
        <w:jc w:val="left"/>
        <w:shd w:val="clear" w:fill="F2F2F2"/>
      </w:pPr>
      <w:r>
        <w:rPr>
          <w:rFonts w:ascii="Consolas" w:hAnsi="Consolas" w:cs="Consolas"/>
          <w:b w:val="0"/>
          <w:i w:val="0"/>
          <w:sz w:val="15"/>
        </w:rPr>
        <w:t xml:space="preserve">  "legal_name": "Egypt–Italy RoRo Corridor Operator",</w:t>
      </w:r>
    </w:p>
    <w:p>
      <w:pPr>
        <w:spacing w:after="0" w:before="0" w:line="240" w:lineRule="auto"/>
        <w:ind w:left="57"/>
        <w:jc w:val="left"/>
        <w:shd w:val="clear" w:fill="F2F2F2"/>
      </w:pPr>
      <w:r>
        <w:rPr>
          <w:rFonts w:ascii="Consolas" w:hAnsi="Consolas" w:cs="Consolas"/>
          <w:b w:val="0"/>
          <w:i w:val="0"/>
          <w:sz w:val="15"/>
        </w:rPr>
        <w:t xml:space="preserve">  "type": "CORR_OP",</w:t>
      </w:r>
    </w:p>
    <w:p>
      <w:pPr>
        <w:spacing w:after="0" w:before="0" w:line="240" w:lineRule="auto"/>
        <w:ind w:left="57"/>
        <w:jc w:val="left"/>
        <w:shd w:val="clear" w:fill="F2F2F2"/>
      </w:pPr>
      <w:r>
        <w:rPr>
          <w:rFonts w:ascii="Consolas" w:hAnsi="Consolas" w:cs="Consolas"/>
          <w:b w:val="0"/>
          <w:i w:val="0"/>
          <w:sz w:val="15"/>
        </w:rPr>
        <w:t xml:space="preserve">  "jurisdiction": "EG",</w:t>
      </w:r>
    </w:p>
    <w:p>
      <w:pPr>
        <w:spacing w:after="0" w:before="0" w:line="240" w:lineRule="auto"/>
        <w:ind w:left="57"/>
        <w:jc w:val="left"/>
        <w:shd w:val="clear" w:fill="F2F2F2"/>
      </w:pPr>
      <w:r>
        <w:rPr>
          <w:rFonts w:ascii="Consolas" w:hAnsi="Consolas" w:cs="Consolas"/>
          <w:b w:val="0"/>
          <w:i w:val="0"/>
          <w:sz w:val="15"/>
        </w:rPr>
        <w:t xml:space="preserve">  "corridor_code": "EGY-ITA-RORO-001",</w:t>
      </w:r>
    </w:p>
    <w:p>
      <w:pPr>
        <w:spacing w:after="0" w:before="0" w:line="240" w:lineRule="auto"/>
        <w:ind w:left="57"/>
        <w:jc w:val="left"/>
        <w:shd w:val="clear" w:fill="F2F2F2"/>
      </w:pPr>
      <w:r>
        <w:rPr>
          <w:rFonts w:ascii="Consolas" w:hAnsi="Consolas" w:cs="Consolas"/>
          <w:b w:val="0"/>
          <w:i w:val="0"/>
          <w:sz w:val="15"/>
        </w:rPr>
        <w:t xml:space="preserve">  "corridor_name": "Egypt–Italy RoRo Corridor",</w:t>
      </w:r>
    </w:p>
    <w:p>
      <w:pPr>
        <w:spacing w:after="0" w:before="0" w:line="240" w:lineRule="auto"/>
        <w:ind w:left="57"/>
        <w:jc w:val="left"/>
        <w:shd w:val="clear" w:fill="F2F2F2"/>
      </w:pPr>
      <w:r>
        <w:rPr>
          <w:rFonts w:ascii="Consolas" w:hAnsi="Consolas" w:cs="Consolas"/>
          <w:b w:val="0"/>
          <w:i w:val="0"/>
          <w:sz w:val="15"/>
        </w:rPr>
        <w:t xml:space="preserve">  "corridor_type": "RORO",</w:t>
      </w:r>
    </w:p>
    <w:p>
      <w:pPr>
        <w:spacing w:after="0" w:before="0" w:line="240" w:lineRule="auto"/>
        <w:ind w:left="57"/>
        <w:jc w:val="left"/>
        <w:shd w:val="clear" w:fill="F2F2F2"/>
      </w:pPr>
      <w:r>
        <w:rPr>
          <w:rFonts w:ascii="Consolas" w:hAnsi="Consolas" w:cs="Consolas"/>
          <w:b w:val="0"/>
          <w:i w:val="0"/>
          <w:sz w:val="15"/>
        </w:rPr>
        <w:t xml:space="preserve">  "corridor_status": "STRATEGIC",</w:t>
      </w:r>
    </w:p>
    <w:p>
      <w:pPr>
        <w:spacing w:after="0" w:before="0" w:line="240" w:lineRule="auto"/>
        <w:ind w:left="57"/>
        <w:jc w:val="left"/>
        <w:shd w:val="clear" w:fill="F2F2F2"/>
      </w:pPr>
      <w:r>
        <w:rPr>
          <w:rFonts w:ascii="Consolas" w:hAnsi="Consolas" w:cs="Consolas"/>
          <w:b w:val="0"/>
          <w:i w:val="0"/>
          <w:sz w:val="15"/>
        </w:rPr>
        <w:t xml:space="preserve">  "verification_status": "GOVERNMENT_VERIFIED",</w:t>
      </w:r>
    </w:p>
    <w:p>
      <w:pPr>
        <w:spacing w:after="0" w:before="0" w:line="240" w:lineRule="auto"/>
        <w:ind w:left="57"/>
        <w:jc w:val="left"/>
        <w:shd w:val="clear" w:fill="F2F2F2"/>
      </w:pPr>
      <w:r>
        <w:rPr>
          <w:rFonts w:ascii="Consolas" w:hAnsi="Consolas" w:cs="Consolas"/>
          <w:b w:val="0"/>
          <w:i w:val="0"/>
          <w:sz w:val="15"/>
        </w:rPr>
        <w:t xml:space="preserve">  "trust_score": 95,</w:t>
      </w:r>
    </w:p>
    <w:p>
      <w:pPr>
        <w:spacing w:after="0" w:before="0" w:line="240" w:lineRule="auto"/>
        <w:ind w:left="57"/>
        <w:jc w:val="left"/>
        <w:shd w:val="clear" w:fill="F2F2F2"/>
      </w:pPr>
      <w:r>
        <w:rPr>
          <w:rFonts w:ascii="Consolas" w:hAnsi="Consolas" w:cs="Consolas"/>
          <w:b w:val="0"/>
          <w:i w:val="0"/>
          <w:sz w:val="15"/>
        </w:rPr>
        <w:t xml:space="preserve">  "kyb_tier": 3,</w:t>
      </w:r>
    </w:p>
    <w:p>
      <w:pPr>
        <w:spacing w:after="0" w:before="0" w:line="240" w:lineRule="auto"/>
        <w:ind w:left="57"/>
        <w:jc w:val="left"/>
        <w:shd w:val="clear" w:fill="F2F2F2"/>
      </w:pPr>
      <w:r>
        <w:rPr>
          <w:rFonts w:ascii="Consolas" w:hAnsi="Consolas" w:cs="Consolas"/>
          <w:b w:val="0"/>
          <w:i w:val="0"/>
          <w:sz w:val="15"/>
        </w:rPr>
        <w:t xml:space="preserve">  "lifecycle_state": "VERIFIED"</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23.2.19 USTN Integration in TCN</w:t>
      </w:r>
    </w:p>
    <w:p>
      <w:pPr>
        <w:keepNext/>
        <w:spacing w:before="140" w:after="60"/>
        <w:outlineLvl w:val="3"/>
      </w:pPr>
      <w:r>
        <w:rPr>
          <w:rFonts w:ascii="Arial" w:hAnsi="Arial" w:cs="Arial"/>
          <w:b/>
          <w:i/>
          <w:color w:val="333333"/>
          <w:sz w:val="22"/>
        </w:rPr>
        <w:t>23.2.19.1 USTN with Corridor Attribute</w:t>
      </w:r>
    </w:p>
    <w:p>
      <w:pPr>
        <w:spacing w:after="80" w:line="293" w:lineRule="auto"/>
        <w:jc w:val="left"/>
      </w:pPr>
      <w:r>
        <w:rPr>
          <w:rFonts w:ascii="Times New Roman" w:hAnsi="Times New Roman" w:cs="Times New Roman"/>
          <w:b w:val="0"/>
          <w:i w:val="0"/>
          <w:sz w:val="22"/>
        </w:rPr>
        <w:t>USTN format with corridor extension appends the corridor code to the base USTN (see Section 5 for the canonical base format):</w:t>
      </w:r>
    </w:p>
    <w:p>
      <w:pPr>
        <w:spacing w:after="0" w:before="0" w:line="240" w:lineRule="auto"/>
        <w:ind w:left="57"/>
        <w:jc w:val="left"/>
        <w:shd w:val="clear" w:fill="F2F2F2"/>
      </w:pPr>
      <w:r>
        <w:rPr>
          <w:rFonts w:ascii="Consolas" w:hAnsi="Consolas" w:cs="Consolas"/>
          <w:b w:val="0"/>
          <w:i w:val="0"/>
          <w:sz w:val="15"/>
        </w:rPr>
        <w:t>SGTX-EG-26-F3A-1-RORO</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Components: base USTN (country, year, trader anchors, sequence — Section 5) + corridor code extension (for corridor-routed trades).</w:t>
      </w:r>
    </w:p>
    <w:p>
      <w:pPr>
        <w:keepNext/>
        <w:spacing w:before="140" w:after="60"/>
        <w:outlineLvl w:val="3"/>
      </w:pPr>
      <w:r>
        <w:rPr>
          <w:rFonts w:ascii="Arial" w:hAnsi="Arial" w:cs="Arial"/>
          <w:b/>
          <w:i/>
          <w:color w:val="333333"/>
          <w:sz w:val="22"/>
        </w:rPr>
        <w:t>23.2.19.2 USTN Resolution with Corridor Data</w:t>
      </w:r>
    </w:p>
    <w:p>
      <w:pPr>
        <w:spacing w:after="80" w:line="293" w:lineRule="auto"/>
        <w:jc w:val="left"/>
      </w:pPr>
      <w:r>
        <w:rPr>
          <w:rFonts w:ascii="Times New Roman" w:hAnsi="Times New Roman" w:cs="Times New Roman"/>
          <w:b w:val="0"/>
          <w:i w:val="0"/>
          <w:sz w:val="22"/>
        </w:rPr>
        <w:t>Endpoint: `GET /v1/ustn/{ustn}` — response with corridor data:</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"corridor_code": "EGY-ITA-RORO-001",</w:t>
      </w:r>
    </w:p>
    <w:p>
      <w:pPr>
        <w:spacing w:after="0" w:before="0" w:line="240" w:lineRule="auto"/>
        <w:ind w:left="57"/>
        <w:jc w:val="left"/>
        <w:shd w:val="clear" w:fill="F2F2F2"/>
      </w:pPr>
      <w:r>
        <w:rPr>
          <w:rFonts w:ascii="Consolas" w:hAnsi="Consolas" w:cs="Consolas"/>
          <w:b w:val="0"/>
          <w:i w:val="0"/>
          <w:sz w:val="15"/>
        </w:rPr>
        <w:t xml:space="preserve">  "corridor_name": "Egypt–Italy RoRo Corridor",</w:t>
      </w:r>
    </w:p>
    <w:p>
      <w:pPr>
        <w:spacing w:after="0" w:before="0" w:line="240" w:lineRule="auto"/>
        <w:ind w:left="57"/>
        <w:jc w:val="left"/>
        <w:shd w:val="clear" w:fill="F2F2F2"/>
      </w:pPr>
      <w:r>
        <w:rPr>
          <w:rFonts w:ascii="Consolas" w:hAnsi="Consolas" w:cs="Consolas"/>
          <w:b w:val="0"/>
          <w:i w:val="0"/>
          <w:sz w:val="15"/>
        </w:rPr>
        <w:t xml:space="preserve">  "corridor_status": "ACTIVE",</w:t>
      </w:r>
    </w:p>
    <w:p>
      <w:pPr>
        <w:spacing w:after="0" w:before="0" w:line="240" w:lineRule="auto"/>
        <w:ind w:left="57"/>
        <w:jc w:val="left"/>
        <w:shd w:val="clear" w:fill="F2F2F2"/>
      </w:pPr>
      <w:r>
        <w:rPr>
          <w:rFonts w:ascii="Consolas" w:hAnsi="Consolas" w:cs="Consolas"/>
          <w:b w:val="0"/>
          <w:i w:val="0"/>
          <w:sz w:val="15"/>
        </w:rPr>
        <w:t xml:space="preserve">  "transit_time": 6.2,</w:t>
      </w:r>
    </w:p>
    <w:p>
      <w:pPr>
        <w:spacing w:after="0" w:before="0" w:line="240" w:lineRule="auto"/>
        <w:ind w:left="57"/>
        <w:jc w:val="left"/>
        <w:shd w:val="clear" w:fill="F2F2F2"/>
      </w:pPr>
      <w:r>
        <w:rPr>
          <w:rFonts w:ascii="Consolas" w:hAnsi="Consolas" w:cs="Consolas"/>
          <w:b w:val="0"/>
          <w:i w:val="0"/>
          <w:sz w:val="15"/>
        </w:rPr>
        <w:t xml:space="preserve">  "ports": {</w:t>
      </w:r>
    </w:p>
    <w:p>
      <w:pPr>
        <w:spacing w:after="0" w:before="0" w:line="240" w:lineRule="auto"/>
        <w:ind w:left="57"/>
        <w:jc w:val="left"/>
        <w:shd w:val="clear" w:fill="F2F2F2"/>
      </w:pPr>
      <w:r>
        <w:rPr>
          <w:rFonts w:ascii="Consolas" w:hAnsi="Consolas" w:cs="Consolas"/>
          <w:b w:val="0"/>
          <w:i w:val="0"/>
          <w:sz w:val="15"/>
        </w:rPr>
        <w:t xml:space="preserve">    "departure": "Damietta (EGDAM)",</w:t>
      </w:r>
    </w:p>
    <w:p>
      <w:pPr>
        <w:spacing w:after="0" w:before="0" w:line="240" w:lineRule="auto"/>
        <w:ind w:left="57"/>
        <w:jc w:val="left"/>
        <w:shd w:val="clear" w:fill="F2F2F2"/>
      </w:pPr>
      <w:r>
        <w:rPr>
          <w:rFonts w:ascii="Consolas" w:hAnsi="Consolas" w:cs="Consolas"/>
          <w:b w:val="0"/>
          <w:i w:val="0"/>
          <w:sz w:val="15"/>
        </w:rPr>
        <w:t xml:space="preserve">    "arrival": "Trieste (ITTRS)"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"shipment_status": "IN_TRANSIT",</w:t>
      </w:r>
    </w:p>
    <w:p>
      <w:pPr>
        <w:spacing w:after="0" w:before="0" w:line="240" w:lineRule="auto"/>
        <w:ind w:left="57"/>
        <w:jc w:val="left"/>
        <w:shd w:val="clear" w:fill="F2F2F2"/>
      </w:pPr>
      <w:r>
        <w:rPr>
          <w:rFonts w:ascii="Consolas" w:hAnsi="Consolas" w:cs="Consolas"/>
          <w:b w:val="0"/>
          <w:i w:val="0"/>
          <w:sz w:val="15"/>
        </w:rPr>
        <w:t xml:space="preserve">  "estimated_arrival": "2026-04-22T14:00:00Z",</w:t>
      </w:r>
    </w:p>
    <w:p>
      <w:pPr>
        <w:spacing w:after="0" w:before="0" w:line="240" w:lineRule="auto"/>
        <w:ind w:left="57"/>
        <w:jc w:val="left"/>
        <w:shd w:val="clear" w:fill="F2F2F2"/>
      </w:pPr>
      <w:r>
        <w:rPr>
          <w:rFonts w:ascii="Consolas" w:hAnsi="Consolas" w:cs="Consolas"/>
          <w:b w:val="0"/>
          <w:i w:val="0"/>
          <w:sz w:val="15"/>
        </w:rPr>
        <w:t xml:space="preserve">  "compliance_status": "CORRIDOR_COMPLIANCE_APPROVED",</w:t>
      </w:r>
    </w:p>
    <w:p>
      <w:pPr>
        <w:spacing w:after="0" w:before="0" w:line="240" w:lineRule="auto"/>
        <w:ind w:left="57"/>
        <w:jc w:val="left"/>
        <w:shd w:val="clear" w:fill="F2F2F2"/>
      </w:pPr>
      <w:r>
        <w:rPr>
          <w:rFonts w:ascii="Consolas" w:hAnsi="Consolas" w:cs="Consolas"/>
          <w:b w:val="0"/>
          <w:i w:val="0"/>
          <w:sz w:val="15"/>
        </w:rPr>
        <w:t xml:space="preserve">  "documents": {</w:t>
      </w:r>
    </w:p>
    <w:p>
      <w:pPr>
        <w:spacing w:after="0" w:before="0" w:line="240" w:lineRule="auto"/>
        <w:ind w:left="57"/>
        <w:jc w:val="left"/>
        <w:shd w:val="clear" w:fill="F2F2F2"/>
      </w:pPr>
      <w:r>
        <w:rPr>
          <w:rFonts w:ascii="Consolas" w:hAnsi="Consolas" w:cs="Consolas"/>
          <w:b w:val="0"/>
          <w:i w:val="0"/>
          <w:sz w:val="15"/>
        </w:rPr>
        <w:t xml:space="preserve">    "required": ["COO", "HEALTH_CERT", "PACKING_LIST", "INVOICE", "PHYTOSANITARY"],</w:t>
      </w:r>
    </w:p>
    <w:p>
      <w:pPr>
        <w:spacing w:after="0" w:before="0" w:line="240" w:lineRule="auto"/>
        <w:ind w:left="57"/>
        <w:jc w:val="left"/>
        <w:shd w:val="clear" w:fill="F2F2F2"/>
      </w:pPr>
      <w:r>
        <w:rPr>
          <w:rFonts w:ascii="Consolas" w:hAnsi="Consolas" w:cs="Consolas"/>
          <w:b w:val="0"/>
          <w:i w:val="0"/>
          <w:sz w:val="15"/>
        </w:rPr>
        <w:t xml:space="preserve">    "verified": ["COO", "HEALTH_CERT", "PACKING_LIST", "INVOICE"],</w:t>
      </w:r>
    </w:p>
    <w:p>
      <w:pPr>
        <w:spacing w:after="0" w:before="0" w:line="240" w:lineRule="auto"/>
        <w:ind w:left="57"/>
        <w:jc w:val="left"/>
        <w:shd w:val="clear" w:fill="F2F2F2"/>
      </w:pPr>
      <w:r>
        <w:rPr>
          <w:rFonts w:ascii="Consolas" w:hAnsi="Consolas" w:cs="Consolas"/>
          <w:b w:val="0"/>
          <w:i w:val="0"/>
          <w:sz w:val="15"/>
        </w:rPr>
        <w:t xml:space="preserve">    "pending": ["PHYTOSANITARY"]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23.2.19.3 Corridor USTN Generation</w:t>
      </w:r>
    </w:p>
    <w:p>
      <w:pPr>
        <w:spacing w:after="80" w:line="293" w:lineRule="auto"/>
        <w:jc w:val="left"/>
      </w:pPr>
      <w:r>
        <w:rPr>
          <w:rFonts w:ascii="Times New Roman" w:hAnsi="Times New Roman" w:cs="Times New Roman"/>
          <w:b w:val="0"/>
          <w:i w:val="0"/>
          <w:sz w:val="22"/>
        </w:rPr>
        <w:t>Generation logic:</w:t>
      </w:r>
    </w:p>
    <w:p>
      <w:pPr>
        <w:spacing w:after="0" w:before="0" w:line="240" w:lineRule="auto"/>
        <w:ind w:left="57"/>
        <w:jc w:val="left"/>
        <w:shd w:val="clear" w:fill="F2F2F2"/>
      </w:pPr>
      <w:r>
        <w:rPr>
          <w:rFonts w:ascii="Consolas" w:hAnsi="Consolas" w:cs="Consolas"/>
          <w:b w:val="0"/>
          <w:i w:val="0"/>
          <w:sz w:val="15"/>
        </w:rPr>
        <w:t>fn generate_ustn_with_corridor(</w:t>
      </w:r>
    </w:p>
    <w:p>
      <w:pPr>
        <w:spacing w:after="0" w:before="0" w:line="240" w:lineRule="auto"/>
        <w:ind w:left="57"/>
        <w:jc w:val="left"/>
        <w:shd w:val="clear" w:fill="F2F2F2"/>
      </w:pPr>
      <w:r>
        <w:rPr>
          <w:rFonts w:ascii="Consolas" w:hAnsi="Consolas" w:cs="Consolas"/>
          <w:b w:val="0"/>
          <w:i w:val="0"/>
          <w:sz w:val="15"/>
        </w:rPr>
        <w:t xml:space="preserve">    buyer_gtid: &amp;str,</w:t>
      </w:r>
    </w:p>
    <w:p>
      <w:pPr>
        <w:spacing w:after="0" w:before="0" w:line="240" w:lineRule="auto"/>
        <w:ind w:left="57"/>
        <w:jc w:val="left"/>
        <w:shd w:val="clear" w:fill="F2F2F2"/>
      </w:pPr>
      <w:r>
        <w:rPr>
          <w:rFonts w:ascii="Consolas" w:hAnsi="Consolas" w:cs="Consolas"/>
          <w:b w:val="0"/>
          <w:i w:val="0"/>
          <w:sz w:val="15"/>
        </w:rPr>
        <w:t xml:space="preserve">    seller_gtid: &amp;str,</w:t>
      </w:r>
    </w:p>
    <w:p>
      <w:pPr>
        <w:spacing w:after="0" w:before="0" w:line="240" w:lineRule="auto"/>
        <w:ind w:left="57"/>
        <w:jc w:val="left"/>
        <w:shd w:val="clear" w:fill="F2F2F2"/>
      </w:pPr>
      <w:r>
        <w:rPr>
          <w:rFonts w:ascii="Consolas" w:hAnsi="Consolas" w:cs="Consolas"/>
          <w:b w:val="0"/>
          <w:i w:val="0"/>
          <w:sz w:val="15"/>
        </w:rPr>
        <w:t xml:space="preserve">    corridor_code: &amp;str</w:t>
      </w:r>
    </w:p>
    <w:p>
      <w:pPr>
        <w:spacing w:after="0" w:before="0" w:line="240" w:lineRule="auto"/>
        <w:ind w:left="57"/>
        <w:jc w:val="left"/>
        <w:shd w:val="clear" w:fill="F2F2F2"/>
      </w:pPr>
      <w:r>
        <w:rPr>
          <w:rFonts w:ascii="Consolas" w:hAnsi="Consolas" w:cs="Consolas"/>
          <w:b w:val="0"/>
          <w:i w:val="0"/>
          <w:sz w:val="15"/>
        </w:rPr>
        <w:t>) -&gt; String {</w:t>
      </w:r>
    </w:p>
    <w:p>
      <w:pPr>
        <w:spacing w:after="0" w:before="0" w:line="240" w:lineRule="auto"/>
        <w:ind w:left="57"/>
        <w:jc w:val="left"/>
        <w:shd w:val="clear" w:fill="F2F2F2"/>
      </w:pPr>
      <w:r>
        <w:rPr>
          <w:rFonts w:ascii="Consolas" w:hAnsi="Consolas" w:cs="Consolas"/>
          <w:b w:val="0"/>
          <w:i w:val="0"/>
          <w:sz w:val="15"/>
        </w:rPr>
        <w:t xml:space="preserve">    let buyer_suffix = extract_suffix(buyer_gtid);</w:t>
      </w:r>
    </w:p>
    <w:p>
      <w:pPr>
        <w:spacing w:after="0" w:before="0" w:line="240" w:lineRule="auto"/>
        <w:ind w:left="57"/>
        <w:jc w:val="left"/>
        <w:shd w:val="clear" w:fill="F2F2F2"/>
      </w:pPr>
      <w:r>
        <w:rPr>
          <w:rFonts w:ascii="Consolas" w:hAnsi="Consolas" w:cs="Consolas"/>
          <w:b w:val="0"/>
          <w:i w:val="0"/>
          <w:sz w:val="15"/>
        </w:rPr>
        <w:t xml:space="preserve">    let seller_suffix = extract_suffix(seller_gtid);</w:t>
      </w:r>
    </w:p>
    <w:p>
      <w:pPr>
        <w:spacing w:after="0" w:before="0" w:line="240" w:lineRule="auto"/>
        <w:ind w:left="57"/>
        <w:jc w:val="left"/>
        <w:shd w:val="clear" w:fill="F2F2F2"/>
      </w:pPr>
      <w:r>
        <w:rPr>
          <w:rFonts w:ascii="Consolas" w:hAnsi="Consolas" w:cs="Consolas"/>
          <w:b w:val="0"/>
          <w:i w:val="0"/>
          <w:sz w:val="15"/>
        </w:rPr>
        <w:t xml:space="preserve">    let timestamp = Utc::now().format("%Y%m%d%H%M%S").to_string();</w:t>
      </w:r>
    </w:p>
    <w:p>
      <w:pPr>
        <w:spacing w:after="0" w:before="0" w:line="240" w:lineRule="auto"/>
        <w:ind w:left="57"/>
        <w:jc w:val="left"/>
        <w:shd w:val="clear" w:fill="F2F2F2"/>
      </w:pPr>
      <w:r>
        <w:rPr>
          <w:rFonts w:ascii="Consolas" w:hAnsi="Consolas" w:cs="Consolas"/>
          <w:b w:val="0"/>
          <w:i w:val="0"/>
          <w:sz w:val="15"/>
        </w:rPr>
        <w:t xml:space="preserve">    let seq = generate_seq();</w:t>
      </w:r>
    </w:p>
    <w:p>
      <w:pPr>
        <w:spacing w:after="0" w:before="0" w:line="240" w:lineRule="auto"/>
        <w:ind w:left="57"/>
        <w:jc w:val="left"/>
        <w:shd w:val="clear" w:fill="F2F2F2"/>
      </w:pPr>
      <w:r>
        <w:rPr>
          <w:rFonts w:ascii="Consolas" w:hAnsi="Consolas" w:cs="Consolas"/>
          <w:b w:val="0"/>
          <w:i w:val="0"/>
          <w:sz w:val="15"/>
        </w:rPr>
        <w:t xml:space="preserve">    let base_ustn = format!("SGTX-{}-{}-{}-{}", buyer_suffix, seller_suffix, timestamp, seq);</w:t>
      </w:r>
    </w:p>
    <w:p>
      <w:pPr>
        <w:spacing w:after="0" w:before="0" w:line="240" w:lineRule="auto"/>
        <w:ind w:left="57"/>
        <w:jc w:val="left"/>
        <w:shd w:val="clear" w:fill="F2F2F2"/>
      </w:pPr>
      <w:r>
        <w:rPr>
          <w:rFonts w:ascii="Consolas" w:hAnsi="Consolas" w:cs="Consolas"/>
          <w:b w:val="0"/>
          <w:i w:val="0"/>
          <w:sz w:val="15"/>
        </w:rPr>
        <w:t xml:space="preserve">    // Append corridor code if present</w:t>
      </w:r>
    </w:p>
    <w:p>
      <w:pPr>
        <w:spacing w:after="0" w:before="0" w:line="240" w:lineRule="auto"/>
        <w:ind w:left="57"/>
        <w:jc w:val="left"/>
        <w:shd w:val="clear" w:fill="F2F2F2"/>
      </w:pPr>
      <w:r>
        <w:rPr>
          <w:rFonts w:ascii="Consolas" w:hAnsi="Consolas" w:cs="Consolas"/>
          <w:b w:val="0"/>
          <w:i w:val="0"/>
          <w:sz w:val="15"/>
        </w:rPr>
        <w:t xml:space="preserve">    if !corridor_code.is_empty() {</w:t>
      </w:r>
    </w:p>
    <w:p>
      <w:pPr>
        <w:spacing w:after="0" w:before="0" w:line="240" w:lineRule="auto"/>
        <w:ind w:left="57"/>
        <w:jc w:val="left"/>
        <w:shd w:val="clear" w:fill="F2F2F2"/>
      </w:pPr>
      <w:r>
        <w:rPr>
          <w:rFonts w:ascii="Consolas" w:hAnsi="Consolas" w:cs="Consolas"/>
          <w:b w:val="0"/>
          <w:i w:val="0"/>
          <w:sz w:val="15"/>
        </w:rPr>
        <w:t xml:space="preserve">        format!("{}-{}", base_ustn, corridor_code)</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base_ustn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23.2.20 Database Schema Additions</w:t>
      </w:r>
    </w:p>
    <w:p>
      <w:pPr>
        <w:spacing w:after="80" w:line="293" w:lineRule="auto"/>
        <w:jc w:val="left"/>
      </w:pPr>
      <w:r>
        <w:rPr>
          <w:rFonts w:ascii="Times New Roman" w:hAnsi="Times New Roman" w:cs="Times New Roman"/>
          <w:b w:val="0"/>
          <w:i w:val="0"/>
          <w:sz w:val="22"/>
        </w:rPr>
        <w:t>The complete schema addition set for the TCN:</w:t>
      </w:r>
    </w:p>
    <w:p>
      <w:pPr>
        <w:spacing w:after="0" w:before="0" w:line="240" w:lineRule="auto"/>
        <w:ind w:left="57"/>
        <w:jc w:val="left"/>
        <w:shd w:val="clear" w:fill="F2F2F2"/>
      </w:pPr>
      <w:r>
        <w:rPr>
          <w:rFonts w:ascii="Consolas" w:hAnsi="Consolas" w:cs="Consolas"/>
          <w:b w:val="0"/>
          <w:i w:val="0"/>
          <w:sz w:val="15"/>
        </w:rPr>
        <w:t>-- Corridor Registry (core)</w:t>
      </w:r>
    </w:p>
    <w:p>
      <w:pPr>
        <w:spacing w:after="0" w:before="0" w:line="240" w:lineRule="auto"/>
        <w:ind w:left="57"/>
        <w:jc w:val="left"/>
        <w:shd w:val="clear" w:fill="F2F2F2"/>
      </w:pPr>
      <w:r>
        <w:rPr>
          <w:rFonts w:ascii="Consolas" w:hAnsi="Consolas" w:cs="Consolas"/>
          <w:b w:val="0"/>
          <w:i w:val="0"/>
          <w:sz w:val="15"/>
        </w:rPr>
        <w:t>-- trade_corridors: canonical definition in Section 23.2;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Trade Lane Passport (per corridor)</w:t>
      </w:r>
    </w:p>
    <w:p>
      <w:pPr>
        <w:spacing w:after="0" w:before="0" w:line="240" w:lineRule="auto"/>
        <w:ind w:left="57"/>
        <w:jc w:val="left"/>
        <w:shd w:val="clear" w:fill="F2F2F2"/>
      </w:pPr>
      <w:r>
        <w:rPr>
          <w:rFonts w:ascii="Consolas" w:hAnsi="Consolas" w:cs="Consolas"/>
          <w:b w:val="0"/>
          <w:i w:val="0"/>
          <w:sz w:val="15"/>
        </w:rPr>
        <w:t>-- trade_lane_passports: canonical definition in Section 23.2;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Government Nodes</w:t>
      </w:r>
    </w:p>
    <w:p>
      <w:pPr>
        <w:spacing w:after="0" w:before="0" w:line="240" w:lineRule="auto"/>
        <w:ind w:left="57"/>
        <w:jc w:val="left"/>
        <w:shd w:val="clear" w:fill="F2F2F2"/>
      </w:pPr>
      <w:r>
        <w:rPr>
          <w:rFonts w:ascii="Consolas" w:hAnsi="Consolas" w:cs="Consolas"/>
          <w:b w:val="0"/>
          <w:i w:val="0"/>
          <w:sz w:val="15"/>
        </w:rPr>
        <w:t>-- government_nodes: canonical definition in Section 23.2;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Port Digital Twins</w:t>
      </w:r>
    </w:p>
    <w:p>
      <w:pPr>
        <w:spacing w:after="0" w:before="0" w:line="240" w:lineRule="auto"/>
        <w:ind w:left="57"/>
        <w:jc w:val="left"/>
        <w:shd w:val="clear" w:fill="F2F2F2"/>
      </w:pPr>
      <w:r>
        <w:rPr>
          <w:rFonts w:ascii="Consolas" w:hAnsi="Consolas" w:cs="Consolas"/>
          <w:b w:val="0"/>
          <w:i w:val="0"/>
          <w:sz w:val="15"/>
        </w:rPr>
        <w:t>-- port_digital_twins: canonical definition in Section 23.2;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Corridor Compliance Gating (for the Governor)</w:t>
      </w:r>
    </w:p>
    <w:p>
      <w:pPr>
        <w:spacing w:after="0" w:before="0" w:line="240" w:lineRule="auto"/>
        <w:ind w:left="57"/>
        <w:jc w:val="left"/>
        <w:shd w:val="clear" w:fill="F2F2F2"/>
      </w:pPr>
      <w:r>
        <w:rPr>
          <w:rFonts w:ascii="Consolas" w:hAnsi="Consolas" w:cs="Consolas"/>
          <w:b w:val="0"/>
          <w:i w:val="0"/>
          <w:sz w:val="15"/>
        </w:rPr>
        <w:t>-- corridor_compliance_gates: canonical definition in Section 23.2;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Corridor Analytics (aggregated, differential privacy)</w:t>
      </w:r>
    </w:p>
    <w:p>
      <w:pPr>
        <w:spacing w:after="0" w:before="0" w:line="240" w:lineRule="auto"/>
        <w:ind w:left="57"/>
        <w:jc w:val="left"/>
        <w:shd w:val="clear" w:fill="F2F2F2"/>
      </w:pPr>
      <w:r>
        <w:rPr>
          <w:rFonts w:ascii="Consolas" w:hAnsi="Consolas" w:cs="Consolas"/>
          <w:b w:val="0"/>
          <w:i w:val="0"/>
          <w:sz w:val="15"/>
        </w:rPr>
        <w:t>-- corridor_analytics: canonical definition in Section 23.2;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Extended GTID entity types</w:t>
      </w:r>
    </w:p>
    <w:p>
      <w:pPr>
        <w:spacing w:after="0" w:before="0" w:line="240" w:lineRule="auto"/>
        <w:ind w:left="57"/>
        <w:jc w:val="left"/>
        <w:shd w:val="clear" w:fill="F2F2F2"/>
      </w:pPr>
      <w:r>
        <w:rPr>
          <w:rFonts w:ascii="Consolas" w:hAnsi="Consolas" w:cs="Consolas"/>
          <w:b w:val="0"/>
          <w:i w:val="0"/>
          <w:sz w:val="15"/>
        </w:rPr>
        <w:t>ALTER TABLE tenants ADD COLUMN IF NOT EXISTS port_unlocode TEXT;</w:t>
      </w:r>
    </w:p>
    <w:p>
      <w:pPr>
        <w:spacing w:after="0" w:before="0" w:line="240" w:lineRule="auto"/>
        <w:ind w:left="57"/>
        <w:jc w:val="left"/>
        <w:shd w:val="clear" w:fill="F2F2F2"/>
      </w:pPr>
      <w:r>
        <w:rPr>
          <w:rFonts w:ascii="Consolas" w:hAnsi="Consolas" w:cs="Consolas"/>
          <w:b w:val="0"/>
          <w:i w:val="0"/>
          <w:sz w:val="15"/>
        </w:rPr>
        <w:t>ALTER TABLE tenants ADD COLUMN IF NOT EXISTS corridor_code TEXT;</w:t>
      </w:r>
    </w:p>
    <w:p>
      <w:pPr>
        <w:spacing w:after="0" w:before="0" w:line="240" w:lineRule="auto"/>
        <w:ind w:left="57"/>
        <w:jc w:val="left"/>
        <w:shd w:val="clear" w:fill="F2F2F2"/>
      </w:pPr>
      <w:r>
        <w:rPr>
          <w:rFonts w:ascii="Consolas" w:hAnsi="Consolas" w:cs="Consolas"/>
          <w:b w:val="0"/>
          <w:i w:val="0"/>
          <w:sz w:val="15"/>
        </w:rPr>
        <w:t>ALTER TABLE tenants ADD COLUMN IF NOT EXISTS government_authority_level TEXT;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USTN with corridor extension</w:t>
      </w:r>
    </w:p>
    <w:p>
      <w:pPr>
        <w:spacing w:after="0" w:before="0" w:line="240" w:lineRule="auto"/>
        <w:ind w:left="57"/>
        <w:jc w:val="left"/>
        <w:shd w:val="clear" w:fill="F2F2F2"/>
      </w:pPr>
      <w:r>
        <w:rPr>
          <w:rFonts w:ascii="Consolas" w:hAnsi="Consolas" w:cs="Consolas"/>
          <w:b w:val="0"/>
          <w:i w:val="0"/>
          <w:sz w:val="15"/>
        </w:rPr>
        <w:t>ALTER TABLE shipments ADD COLUMN IF NOT EXISTS corridor_code TEXT</w:t>
      </w:r>
    </w:p>
    <w:p>
      <w:pPr>
        <w:spacing w:after="0" w:before="0" w:line="240" w:lineRule="auto"/>
        <w:ind w:left="57"/>
        <w:jc w:val="left"/>
        <w:shd w:val="clear" w:fill="F2F2F2"/>
      </w:pPr>
      <w:r>
        <w:rPr>
          <w:rFonts w:ascii="Consolas" w:hAnsi="Consolas" w:cs="Consolas"/>
          <w:b w:val="0"/>
          <w:i w:val="0"/>
          <w:sz w:val="15"/>
        </w:rPr>
        <w:t xml:space="preserve">  REFERENCES trade_corridors(corridor_code);</w:t>
      </w:r>
    </w:p>
    <w:p>
      <w:pPr>
        <w:spacing w:after="0" w:before="0" w:line="240" w:lineRule="auto"/>
        <w:ind w:left="57"/>
        <w:jc w:val="left"/>
        <w:shd w:val="clear" w:fill="F2F2F2"/>
      </w:pPr>
      <w:r>
        <w:rPr>
          <w:rFonts w:ascii="Consolas" w:hAnsi="Consolas" w:cs="Consolas"/>
          <w:b w:val="0"/>
          <w:i w:val="0"/>
          <w:sz w:val="15"/>
        </w:rPr>
        <w:t>ALTER TABLE shipments ADD COLUMN IF NOT EXISTS corridor_verified BOOLEAN DEFAULT false;</w:t>
      </w:r>
    </w:p>
    <w:p>
      <w:pPr>
        <w:spacing w:after="0" w:before="0" w:line="240" w:lineRule="auto"/>
        <w:ind w:left="57"/>
        <w:jc w:val="left"/>
        <w:shd w:val="clear" w:fill="F2F2F2"/>
      </w:pPr>
      <w:r>
        <w:rPr>
          <w:rFonts w:ascii="Consolas" w:hAnsi="Consolas" w:cs="Consolas"/>
          <w:b w:val="0"/>
          <w:i w:val="0"/>
          <w:sz w:val="15"/>
        </w:rPr>
        <w:t>ALTER TABLE shipments ADD COLUMN IF NOT EXISTS corridor_eligibility_score DECIMAL(5,2);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idx_trade_corridors_code ON trade_corridors(corridor_code);</w:t>
      </w:r>
    </w:p>
    <w:p>
      <w:pPr>
        <w:spacing w:after="0" w:before="0" w:line="240" w:lineRule="auto"/>
        <w:ind w:left="57"/>
        <w:jc w:val="left"/>
        <w:shd w:val="clear" w:fill="F2F2F2"/>
      </w:pPr>
      <w:r>
        <w:rPr>
          <w:rFonts w:ascii="Consolas" w:hAnsi="Consolas" w:cs="Consolas"/>
          <w:b w:val="0"/>
          <w:i w:val="0"/>
          <w:sz w:val="15"/>
        </w:rPr>
        <w:t>CREATE INDEX idx_trade_corridors_status ON trade_corridors(status);</w:t>
      </w:r>
    </w:p>
    <w:p>
      <w:pPr>
        <w:spacing w:after="0" w:before="0" w:line="240" w:lineRule="auto"/>
        <w:ind w:left="57"/>
        <w:jc w:val="left"/>
        <w:shd w:val="clear" w:fill="F2F2F2"/>
      </w:pPr>
      <w:r>
        <w:rPr>
          <w:rFonts w:ascii="Consolas" w:hAnsi="Consolas" w:cs="Consolas"/>
          <w:b w:val="0"/>
          <w:i w:val="0"/>
          <w:sz w:val="15"/>
        </w:rPr>
        <w:t>CREATE INDEX idx_trade_corridors_origin ON trade_corridors(origin_country);</w:t>
      </w:r>
    </w:p>
    <w:p>
      <w:pPr>
        <w:spacing w:after="0" w:before="0" w:line="240" w:lineRule="auto"/>
        <w:ind w:left="57"/>
        <w:jc w:val="left"/>
        <w:shd w:val="clear" w:fill="F2F2F2"/>
      </w:pPr>
      <w:r>
        <w:rPr>
          <w:rFonts w:ascii="Consolas" w:hAnsi="Consolas" w:cs="Consolas"/>
          <w:b w:val="0"/>
          <w:i w:val="0"/>
          <w:sz w:val="15"/>
        </w:rPr>
        <w:t>CREATE INDEX idx_trade_corridors_destination ON trade_corridors(destination_country);</w:t>
      </w:r>
    </w:p>
    <w:p>
      <w:pPr>
        <w:spacing w:after="0" w:before="0" w:line="240" w:lineRule="auto"/>
        <w:ind w:left="57"/>
        <w:jc w:val="left"/>
        <w:shd w:val="clear" w:fill="F2F2F2"/>
      </w:pPr>
      <w:r>
        <w:rPr>
          <w:rFonts w:ascii="Consolas" w:hAnsi="Consolas" w:cs="Consolas"/>
          <w:b w:val="0"/>
          <w:i w:val="0"/>
          <w:sz w:val="15"/>
        </w:rPr>
        <w:t>CREATE INDEX idx_trade_lane_passports_corridor ON trade_lane_passports(corridor_id);</w:t>
      </w:r>
    </w:p>
    <w:p>
      <w:pPr>
        <w:spacing w:after="0" w:before="0" w:line="240" w:lineRule="auto"/>
        <w:ind w:left="57"/>
        <w:jc w:val="left"/>
        <w:shd w:val="clear" w:fill="F2F2F2"/>
      </w:pPr>
      <w:r>
        <w:rPr>
          <w:rFonts w:ascii="Consolas" w:hAnsi="Consolas" w:cs="Consolas"/>
          <w:b w:val="0"/>
          <w:i w:val="0"/>
          <w:sz w:val="15"/>
        </w:rPr>
        <w:t>CREATE INDEX idx_government_nodes_country ON government_nodes(country_code);</w:t>
      </w:r>
    </w:p>
    <w:p>
      <w:pPr>
        <w:spacing w:after="0" w:before="0" w:line="240" w:lineRule="auto"/>
        <w:ind w:left="57"/>
        <w:jc w:val="left"/>
        <w:shd w:val="clear" w:fill="F2F2F2"/>
      </w:pPr>
      <w:r>
        <w:rPr>
          <w:rFonts w:ascii="Consolas" w:hAnsi="Consolas" w:cs="Consolas"/>
          <w:b w:val="0"/>
          <w:i w:val="0"/>
          <w:sz w:val="15"/>
        </w:rPr>
        <w:t>CREATE INDEX idx_government_nodes_type ON government_nodes(authority_type);</w:t>
      </w:r>
    </w:p>
    <w:p>
      <w:pPr>
        <w:spacing w:after="0" w:before="0" w:line="240" w:lineRule="auto"/>
        <w:ind w:left="57"/>
        <w:jc w:val="left"/>
        <w:shd w:val="clear" w:fill="F2F2F2"/>
      </w:pPr>
      <w:r>
        <w:rPr>
          <w:rFonts w:ascii="Consolas" w:hAnsi="Consolas" w:cs="Consolas"/>
          <w:b w:val="0"/>
          <w:i w:val="0"/>
          <w:sz w:val="15"/>
        </w:rPr>
        <w:t>CREATE INDEX idx_port_digital_twins_unlocode ON port_digital_twins(port_unlocode);</w:t>
      </w:r>
    </w:p>
    <w:p>
      <w:pPr>
        <w:spacing w:after="0" w:before="0" w:line="240" w:lineRule="auto"/>
        <w:ind w:left="57"/>
        <w:jc w:val="left"/>
        <w:shd w:val="clear" w:fill="F2F2F2"/>
      </w:pPr>
      <w:r>
        <w:rPr>
          <w:rFonts w:ascii="Consolas" w:hAnsi="Consolas" w:cs="Consolas"/>
          <w:b w:val="0"/>
          <w:i w:val="0"/>
          <w:sz w:val="15"/>
        </w:rPr>
        <w:t>CREATE INDEX idx_corridor_compliance_gates_corridor ON corridor_compliance_gates(corridor_id);</w:t>
      </w:r>
    </w:p>
    <w:p>
      <w:pPr>
        <w:spacing w:after="0" w:before="0" w:line="240" w:lineRule="auto"/>
        <w:ind w:left="57"/>
        <w:jc w:val="left"/>
        <w:shd w:val="clear" w:fill="F2F2F2"/>
      </w:pPr>
      <w:r>
        <w:rPr>
          <w:rFonts w:ascii="Consolas" w:hAnsi="Consolas" w:cs="Consolas"/>
          <w:b w:val="0"/>
          <w:i w:val="0"/>
          <w:sz w:val="15"/>
        </w:rPr>
        <w:t>CREATE INDEX idx_corridor_analytics_corridor ON corridor_analytics(corridor_code);</w:t>
      </w:r>
    </w:p>
    <w:p>
      <w:pPr>
        <w:spacing w:after="0" w:before="0" w:line="240" w:lineRule="auto"/>
        <w:ind w:left="57"/>
        <w:jc w:val="left"/>
        <w:shd w:val="clear" w:fill="F2F2F2"/>
      </w:pPr>
      <w:r>
        <w:rPr>
          <w:rFonts w:ascii="Consolas" w:hAnsi="Consolas" w:cs="Consolas"/>
          <w:b w:val="0"/>
          <w:i w:val="0"/>
          <w:sz w:val="15"/>
        </w:rPr>
        <w:t>CREATE INDEX idx_corridor_analytics_period ON corridor_analytics(measurement_period);</w:t>
      </w:r>
    </w:p>
    <w:p>
      <w:pPr>
        <w:spacing w:after="0" w:before="0" w:line="240" w:lineRule="auto"/>
        <w:ind w:left="57"/>
        <w:jc w:val="left"/>
        <w:shd w:val="clear" w:fill="F2F2F2"/>
      </w:pPr>
      <w:r>
        <w:rPr>
          <w:rFonts w:ascii="Consolas" w:hAnsi="Consolas" w:cs="Consolas"/>
          <w:b w:val="0"/>
          <w:i w:val="0"/>
          <w:sz w:val="15"/>
        </w:rPr>
        <w:t>CREATE INDEX idx_shipments_corridor ON shipments(corridor_code);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23.2.21 API Endpoints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Method</w:t>
            </w:r>
          </w:p>
        </w:tc>
        <w:tc>
          <w:tcPr>
            <w:tcW w:type="dxa" w:w="3213"/>
            <w:shd w:val="clear" w:fill="D9E2F3"/>
          </w:tcPr>
          <w:p>
            <w:pPr>
              <w:spacing w:after="20" w:before="20" w:line="240" w:lineRule="auto"/>
            </w:pPr>
            <w:r/>
            <w:r>
              <w:rPr>
                <w:rFonts w:ascii="Arial" w:hAnsi="Arial" w:cs="Arial"/>
                <w:b/>
                <w:i w:val="0"/>
                <w:sz w:val="18"/>
              </w:rPr>
              <w:t>Path</w:t>
            </w:r>
          </w:p>
        </w:tc>
        <w:tc>
          <w:tcPr>
            <w:tcW w:type="dxa" w:w="3213"/>
            <w:shd w:val="clear" w:fill="D9E2F3"/>
          </w:tcPr>
          <w:p>
            <w:pPr>
              <w:spacing w:after="20" w:before="20" w:line="240" w:lineRule="auto"/>
            </w:pPr>
            <w:r/>
            <w:r>
              <w:rPr>
                <w:rFonts w:ascii="Arial" w:hAnsi="Arial" w:cs="Arial"/>
                <w:b/>
                <w:i w:val="0"/>
                <w:sz w:val="18"/>
              </w:rPr>
              <w:t>Description</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/v1/corridors</w:t>
            </w:r>
          </w:p>
        </w:tc>
        <w:tc>
          <w:tcPr>
            <w:tcW w:type="dxa" w:w="3213"/>
          </w:tcPr>
          <w:p>
            <w:pPr>
              <w:spacing w:after="20" w:before="20" w:line="240" w:lineRule="auto"/>
            </w:pPr>
            <w:r/>
            <w:r>
              <w:rPr>
                <w:rFonts w:ascii="Arial" w:hAnsi="Arial" w:cs="Arial"/>
                <w:b w:val="0"/>
                <w:i w:val="0"/>
                <w:sz w:val="17"/>
              </w:rPr>
              <w:t>List corridors (filters: type, status, country)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/v1/corridors/{corridor_code}</w:t>
            </w:r>
          </w:p>
        </w:tc>
        <w:tc>
          <w:tcPr>
            <w:tcW w:type="dxa" w:w="3213"/>
          </w:tcPr>
          <w:p>
            <w:pPr>
              <w:spacing w:after="20" w:before="20" w:line="240" w:lineRule="auto"/>
            </w:pPr>
            <w:r/>
            <w:r>
              <w:rPr>
                <w:rFonts w:ascii="Arial" w:hAnsi="Arial" w:cs="Arial"/>
                <w:b w:val="0"/>
                <w:i w:val="0"/>
                <w:sz w:val="17"/>
              </w:rPr>
              <w:t>Corridor detail with current passport</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/v1/corridors/{corridor_code}/passport</w:t>
            </w:r>
          </w:p>
        </w:tc>
        <w:tc>
          <w:tcPr>
            <w:tcW w:type="dxa" w:w="3213"/>
          </w:tcPr>
          <w:p>
            <w:pPr>
              <w:spacing w:after="20" w:before="20" w:line="240" w:lineRule="auto"/>
            </w:pPr>
            <w:r/>
            <w:r>
              <w:rPr>
                <w:rFonts w:ascii="Arial" w:hAnsi="Arial" w:cs="Arial"/>
                <w:b w:val="0"/>
                <w:i w:val="0"/>
                <w:sz w:val="17"/>
              </w:rPr>
              <w:t>Trade lane passport (versioned)</w:t>
            </w:r>
          </w:p>
        </w:tc>
      </w:tr>
      <w:tr>
        <w:tc>
          <w:tcPr>
            <w:tcW w:type="dxa" w:w="3213"/>
          </w:tcPr>
          <w:p>
            <w:pPr>
              <w:spacing w:after="20" w:before="20" w:line="240" w:lineRule="auto"/>
            </w:pPr>
            <w:r/>
            <w:r>
              <w:rPr>
                <w:rFonts w:ascii="Arial" w:hAnsi="Arial" w:cs="Arial"/>
                <w:b w:val="0"/>
                <w:i w:val="0"/>
                <w:sz w:val="17"/>
              </w:rPr>
              <w:t>POST</w:t>
            </w:r>
          </w:p>
        </w:tc>
        <w:tc>
          <w:tcPr>
            <w:tcW w:type="dxa" w:w="3213"/>
          </w:tcPr>
          <w:p>
            <w:pPr>
              <w:spacing w:after="20" w:before="20" w:line="240" w:lineRule="auto"/>
            </w:pPr>
            <w:r/>
            <w:r>
              <w:rPr>
                <w:rFonts w:ascii="Arial" w:hAnsi="Arial" w:cs="Arial"/>
                <w:b w:val="0"/>
                <w:i w:val="0"/>
                <w:sz w:val="17"/>
              </w:rPr>
              <w:t>/v1/corridors/{corridor_code}/eligibility</w:t>
            </w:r>
          </w:p>
        </w:tc>
        <w:tc>
          <w:tcPr>
            <w:tcW w:type="dxa" w:w="3213"/>
          </w:tcPr>
          <w:p>
            <w:pPr>
              <w:spacing w:after="20" w:before="20" w:line="240" w:lineRule="auto"/>
            </w:pPr>
            <w:r/>
            <w:r>
              <w:rPr>
                <w:rFonts w:ascii="Arial" w:hAnsi="Arial" w:cs="Arial"/>
                <w:b w:val="0"/>
                <w:i w:val="0"/>
                <w:sz w:val="17"/>
              </w:rPr>
              <w:t>Corridor eligibility scoring (A2) for a trade</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/v1/corridors/{corridor_code}/analytics</w:t>
            </w:r>
          </w:p>
        </w:tc>
        <w:tc>
          <w:tcPr>
            <w:tcW w:type="dxa" w:w="3213"/>
          </w:tcPr>
          <w:p>
            <w:pPr>
              <w:spacing w:after="20" w:before="20" w:line="240" w:lineRule="auto"/>
            </w:pPr>
            <w:r/>
            <w:r>
              <w:rPr>
                <w:rFonts w:ascii="Arial" w:hAnsi="Arial" w:cs="Arial"/>
                <w:b w:val="0"/>
                <w:i w:val="0"/>
                <w:sz w:val="17"/>
              </w:rPr>
              <w:t>Corridor analytics (aggregated, differential privacy)</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/v1/gtid/resolve</w:t>
            </w:r>
          </w:p>
        </w:tc>
        <w:tc>
          <w:tcPr>
            <w:tcW w:type="dxa" w:w="3213"/>
          </w:tcPr>
          <w:p>
            <w:pPr>
              <w:spacing w:after="20" w:before="20" w:line="240" w:lineRule="auto"/>
            </w:pPr>
            <w:r/>
            <w:r>
              <w:rPr>
                <w:rFonts w:ascii="Arial" w:hAnsi="Arial" w:cs="Arial"/>
                <w:b w:val="0"/>
                <w:i w:val="0"/>
                <w:sz w:val="17"/>
              </w:rPr>
              <w:t>GTID resolution incl. government and corridor operator entities</w:t>
            </w:r>
          </w:p>
        </w:tc>
      </w:tr>
      <w:tr>
        <w:tc>
          <w:tcPr>
            <w:tcW w:type="dxa" w:w="3213"/>
          </w:tcPr>
          <w:p>
            <w:pPr>
              <w:spacing w:after="20" w:before="20" w:line="240" w:lineRule="auto"/>
            </w:pPr>
            <w:r/>
            <w:r>
              <w:rPr>
                <w:rFonts w:ascii="Arial" w:hAnsi="Arial" w:cs="Arial"/>
                <w:b w:val="0"/>
                <w:i w:val="0"/>
                <w:sz w:val="17"/>
              </w:rPr>
              <w:t>GET</w:t>
            </w:r>
          </w:p>
        </w:tc>
        <w:tc>
          <w:tcPr>
            <w:tcW w:type="dxa" w:w="3213"/>
          </w:tcPr>
          <w:p>
            <w:pPr>
              <w:spacing w:after="20" w:before="20" w:line="240" w:lineRule="auto"/>
            </w:pPr>
            <w:r/>
            <w:r>
              <w:rPr>
                <w:rFonts w:ascii="Arial" w:hAnsi="Arial" w:cs="Arial"/>
                <w:b w:val="0"/>
                <w:i w:val="0"/>
                <w:sz w:val="17"/>
              </w:rPr>
              <w:t>/v1/ustn/{ustn}</w:t>
            </w:r>
          </w:p>
        </w:tc>
        <w:tc>
          <w:tcPr>
            <w:tcW w:type="dxa" w:w="3213"/>
          </w:tcPr>
          <w:p>
            <w:pPr>
              <w:spacing w:after="20" w:before="20" w:line="240" w:lineRule="auto"/>
            </w:pPr>
            <w:r/>
            <w:r>
              <w:rPr>
                <w:rFonts w:ascii="Arial" w:hAnsi="Arial" w:cs="Arial"/>
                <w:b w:val="0"/>
                <w:i w:val="0"/>
                <w:sz w:val="17"/>
              </w:rPr>
              <w:t>USTN resolution with corridor data</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23.2.22 Implementation Checklist</w:t>
      </w:r>
    </w:p>
    <w:p>
      <w:pPr>
        <w:spacing w:after="80" w:line="293" w:lineRule="auto"/>
        <w:jc w:val="left"/>
      </w:pPr>
      <w:r>
        <w:rPr>
          <w:rFonts w:ascii="Times New Roman" w:hAnsi="Times New Roman" w:cs="Times New Roman"/>
          <w:b w:val="0"/>
          <w:i w:val="0"/>
          <w:sz w:val="22"/>
        </w:rPr>
        <w:t>Phase 1 — MVP (6–8 weeks)</w:t>
      </w:r>
    </w:p>
    <w:p>
      <w:pPr>
        <w:spacing w:after="80" w:line="293" w:lineRule="auto"/>
        <w:ind w:left="283"/>
        <w:jc w:val="left"/>
      </w:pPr>
      <w:r>
        <w:rPr>
          <w:rFonts w:ascii="Times New Roman" w:hAnsi="Times New Roman" w:cs="Times New Roman"/>
          <w:b w:val="0"/>
          <w:i w:val="0"/>
          <w:sz w:val="22"/>
        </w:rPr>
        <w:t>- Corridor Registry (table + API).</w:t>
      </w:r>
    </w:p>
    <w:p>
      <w:pPr>
        <w:spacing w:after="80" w:line="293" w:lineRule="auto"/>
        <w:ind w:left="283"/>
        <w:jc w:val="left"/>
      </w:pPr>
      <w:r>
        <w:rPr>
          <w:rFonts w:ascii="Times New Roman" w:hAnsi="Times New Roman" w:cs="Times New Roman"/>
          <w:b w:val="0"/>
          <w:i w:val="0"/>
          <w:sz w:val="22"/>
        </w:rPr>
        <w:t>- Egypt–Italy RoRo Passport (static data, updated by RIA).</w:t>
      </w:r>
    </w:p>
    <w:p>
      <w:pPr>
        <w:spacing w:after="80" w:line="293" w:lineRule="auto"/>
        <w:ind w:left="283"/>
        <w:jc w:val="left"/>
      </w:pPr>
      <w:r>
        <w:rPr>
          <w:rFonts w:ascii="Times New Roman" w:hAnsi="Times New Roman" w:cs="Times New Roman"/>
          <w:b w:val="0"/>
          <w:i w:val="0"/>
          <w:sz w:val="22"/>
        </w:rPr>
        <w:t>- Red Sea RoRo Passports (Egypt–Saudi, Egypt–UAE).</w:t>
      </w:r>
    </w:p>
    <w:p>
      <w:pPr>
        <w:spacing w:after="80" w:line="293" w:lineRule="auto"/>
        <w:ind w:left="283"/>
        <w:jc w:val="left"/>
      </w:pPr>
      <w:r>
        <w:rPr>
          <w:rFonts w:ascii="Times New Roman" w:hAnsi="Times New Roman" w:cs="Times New Roman"/>
          <w:b w:val="0"/>
          <w:i w:val="0"/>
          <w:sz w:val="22"/>
        </w:rPr>
        <w:t>- Trade Request integration (corridor selection, automatic detection).</w:t>
      </w:r>
    </w:p>
    <w:p>
      <w:pPr>
        <w:spacing w:after="80" w:line="293" w:lineRule="auto"/>
        <w:ind w:left="283"/>
        <w:jc w:val="left"/>
      </w:pPr>
      <w:r>
        <w:rPr>
          <w:rFonts w:ascii="Times New Roman" w:hAnsi="Times New Roman" w:cs="Times New Roman"/>
          <w:b w:val="0"/>
          <w:i w:val="0"/>
          <w:sz w:val="22"/>
        </w:rPr>
        <w:t>- Corridor Eligibility Engine (A2, XGBoost/LightGBM).</w:t>
      </w:r>
    </w:p>
    <w:p>
      <w:pPr>
        <w:spacing w:after="80" w:line="293" w:lineRule="auto"/>
        <w:ind w:left="283"/>
        <w:jc w:val="left"/>
      </w:pPr>
      <w:r>
        <w:rPr>
          <w:rFonts w:ascii="Times New Roman" w:hAnsi="Times New Roman" w:cs="Times New Roman"/>
          <w:b w:val="0"/>
          <w:i w:val="0"/>
          <w:sz w:val="22"/>
        </w:rPr>
        <w:t>- Contract integration (automatic clause insertion).</w:t>
      </w:r>
    </w:p>
    <w:p>
      <w:pPr>
        <w:spacing w:after="80" w:line="293" w:lineRule="auto"/>
        <w:jc w:val="left"/>
      </w:pPr>
      <w:r>
        <w:rPr>
          <w:rFonts w:ascii="Times New Roman" w:hAnsi="Times New Roman" w:cs="Times New Roman"/>
          <w:b w:val="0"/>
          <w:i w:val="0"/>
          <w:sz w:val="22"/>
        </w:rPr>
        <w:t>Phase 2 — Government Integration (8–12 weeks)</w:t>
      </w:r>
    </w:p>
    <w:p>
      <w:pPr>
        <w:spacing w:after="80" w:line="293" w:lineRule="auto"/>
        <w:ind w:left="283"/>
        <w:jc w:val="left"/>
      </w:pPr>
      <w:r>
        <w:rPr>
          <w:rFonts w:ascii="Times New Roman" w:hAnsi="Times New Roman" w:cs="Times New Roman"/>
          <w:b w:val="0"/>
          <w:i w:val="0"/>
          <w:sz w:val="22"/>
        </w:rPr>
        <w:t>- Government Node Framework (GTID extension, node registration).</w:t>
      </w:r>
    </w:p>
    <w:p>
      <w:pPr>
        <w:spacing w:after="80" w:line="293" w:lineRule="auto"/>
        <w:ind w:left="283"/>
        <w:jc w:val="left"/>
      </w:pPr>
      <w:r>
        <w:rPr>
          <w:rFonts w:ascii="Times New Roman" w:hAnsi="Times New Roman" w:cs="Times New Roman"/>
          <w:b w:val="0"/>
          <w:i w:val="0"/>
          <w:sz w:val="22"/>
        </w:rPr>
        <w:t>- Port Digital Twin (port capabilities, capacity, congestion).</w:t>
      </w:r>
    </w:p>
    <w:p>
      <w:pPr>
        <w:spacing w:after="80" w:line="293" w:lineRule="auto"/>
        <w:ind w:left="283"/>
        <w:jc w:val="left"/>
      </w:pPr>
      <w:r>
        <w:rPr>
          <w:rFonts w:ascii="Times New Roman" w:hAnsi="Times New Roman" w:cs="Times New Roman"/>
          <w:b w:val="0"/>
          <w:i w:val="0"/>
          <w:sz w:val="22"/>
        </w:rPr>
        <w:t>- Customs Intelligence (document requirements, complexity).</w:t>
      </w:r>
    </w:p>
    <w:p>
      <w:pPr>
        <w:spacing w:after="80" w:line="293" w:lineRule="auto"/>
        <w:ind w:left="283"/>
        <w:jc w:val="left"/>
      </w:pPr>
      <w:r>
        <w:rPr>
          <w:rFonts w:ascii="Times New Roman" w:hAnsi="Times New Roman" w:cs="Times New Roman"/>
          <w:b w:val="0"/>
          <w:i w:val="0"/>
          <w:sz w:val="22"/>
        </w:rPr>
        <w:t>- Corridor Analytics (volume, transit, delays).</w:t>
      </w:r>
    </w:p>
    <w:p>
      <w:pPr>
        <w:spacing w:after="80" w:line="293" w:lineRule="auto"/>
        <w:jc w:val="left"/>
      </w:pPr>
      <w:r>
        <w:rPr>
          <w:rFonts w:ascii="Times New Roman" w:hAnsi="Times New Roman" w:cs="Times New Roman"/>
          <w:b w:val="0"/>
          <w:i w:val="0"/>
          <w:sz w:val="22"/>
        </w:rPr>
        <w:t>Phase 3 — Advanced Features (12–16 weeks)</w:t>
      </w:r>
    </w:p>
    <w:p>
      <w:pPr>
        <w:spacing w:after="80" w:line="293" w:lineRule="auto"/>
        <w:ind w:left="283"/>
        <w:jc w:val="left"/>
      </w:pPr>
      <w:r>
        <w:rPr>
          <w:rFonts w:ascii="Times New Roman" w:hAnsi="Times New Roman" w:cs="Times New Roman"/>
          <w:b w:val="0"/>
          <w:i w:val="0"/>
          <w:sz w:val="22"/>
        </w:rPr>
        <w:t>- Government Dashboards (Trade Authority, Customs, Port views).</w:t>
      </w:r>
    </w:p>
    <w:p>
      <w:pPr>
        <w:spacing w:after="80" w:line="293" w:lineRule="auto"/>
        <w:ind w:left="283"/>
        <w:jc w:val="left"/>
      </w:pPr>
      <w:r>
        <w:rPr>
          <w:rFonts w:ascii="Times New Roman" w:hAnsi="Times New Roman" w:cs="Times New Roman"/>
          <w:b w:val="0"/>
          <w:i w:val="0"/>
          <w:sz w:val="22"/>
        </w:rPr>
        <w:t>- Financing Integration (corridor reliability metrics).</w:t>
      </w:r>
    </w:p>
    <w:p>
      <w:pPr>
        <w:spacing w:after="80" w:line="293" w:lineRule="auto"/>
        <w:ind w:left="283"/>
        <w:jc w:val="left"/>
      </w:pPr>
      <w:r>
        <w:rPr>
          <w:rFonts w:ascii="Times New Roman" w:hAnsi="Times New Roman" w:cs="Times New Roman"/>
          <w:b w:val="0"/>
          <w:i w:val="0"/>
          <w:sz w:val="22"/>
        </w:rPr>
        <w:t>- Insurance Integration (corridor-specific insurance).</w:t>
      </w:r>
    </w:p>
    <w:p>
      <w:pPr>
        <w:spacing w:after="80" w:line="293" w:lineRule="auto"/>
        <w:ind w:left="283"/>
        <w:jc w:val="left"/>
      </w:pPr>
      <w:r>
        <w:rPr>
          <w:rFonts w:ascii="Times New Roman" w:hAnsi="Times New Roman" w:cs="Times New Roman"/>
          <w:b w:val="0"/>
          <w:i w:val="0"/>
          <w:sz w:val="22"/>
        </w:rPr>
        <w:t>- Multi-Country Corridors (Egypt ↔ Saudi, India ↔ UAE, etc.).</w:t>
      </w:r>
    </w:p>
    <w:p>
      <w:pPr>
        <w:spacing w:after="80" w:line="293" w:lineRule="auto"/>
        <w:ind w:left="283"/>
        <w:jc w:val="left"/>
      </w:pPr>
      <w:r>
        <w:rPr>
          <w:rFonts w:ascii="Times New Roman" w:hAnsi="Times New Roman" w:cs="Times New Roman"/>
          <w:b w:val="0"/>
          <w:i w:val="0"/>
          <w:sz w:val="22"/>
        </w:rPr>
        <w:t>- GTID Government Extension.</w:t>
      </w:r>
    </w:p>
    <w:p>
      <w:pPr>
        <w:spacing w:after="80" w:line="293" w:lineRule="auto"/>
        <w:ind w:left="283"/>
        <w:jc w:val="left"/>
      </w:pPr>
      <w:r>
        <w:rPr>
          <w:rFonts w:ascii="Times New Roman" w:hAnsi="Times New Roman" w:cs="Times New Roman"/>
          <w:b w:val="0"/>
          <w:i w:val="0"/>
          <w:sz w:val="22"/>
        </w:rPr>
        <w:t>- USTN Corridor Integration.</w:t>
      </w:r>
    </w:p>
    <w:p>
      <w:pPr>
        <w:keepNext/>
        <w:spacing w:before="180" w:after="80"/>
        <w:outlineLvl w:val="2"/>
      </w:pPr>
      <w:r>
        <w:rPr>
          <w:rFonts w:ascii="Arial" w:hAnsi="Arial" w:cs="Arial"/>
          <w:b/>
          <w:i w:val="0"/>
          <w:color w:val="333333"/>
          <w:sz w:val="23"/>
        </w:rPr>
        <w:t>23.2.23 Integration Points Summary</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Integration Point</w:t>
            </w:r>
          </w:p>
        </w:tc>
        <w:tc>
          <w:tcPr>
            <w:tcW w:type="dxa" w:w="4819"/>
            <w:shd w:val="clear" w:fill="D9E2F3"/>
          </w:tcPr>
          <w:p>
            <w:pPr>
              <w:spacing w:after="20" w:before="20" w:line="240" w:lineRule="auto"/>
            </w:pPr>
            <w:r/>
            <w:r>
              <w:rPr>
                <w:rFonts w:ascii="Arial" w:hAnsi="Arial" w:cs="Arial"/>
                <w:b/>
                <w:i w:val="0"/>
                <w:sz w:val="18"/>
              </w:rPr>
              <w:t>Target</w:t>
            </w:r>
          </w:p>
        </w:tc>
      </w:tr>
      <w:tr>
        <w:tc>
          <w:tcPr>
            <w:tcW w:type="dxa" w:w="4819"/>
          </w:tcPr>
          <w:p>
            <w:pPr>
              <w:spacing w:after="20" w:before="20" w:line="240" w:lineRule="auto"/>
            </w:pPr>
            <w:r/>
            <w:r>
              <w:rPr>
                <w:rFonts w:ascii="Arial" w:hAnsi="Arial" w:cs="Arial"/>
                <w:b w:val="0"/>
                <w:i w:val="0"/>
                <w:sz w:val="17"/>
              </w:rPr>
              <w:t>GTID format (new entity types)</w:t>
            </w:r>
          </w:p>
        </w:tc>
        <w:tc>
          <w:tcPr>
            <w:tcW w:type="dxa" w:w="4819"/>
          </w:tcPr>
          <w:p>
            <w:pPr>
              <w:spacing w:after="20" w:before="20" w:line="240" w:lineRule="auto"/>
            </w:pPr>
            <w:r/>
            <w:r>
              <w:rPr>
                <w:rFonts w:ascii="Arial" w:hAnsi="Arial" w:cs="Arial"/>
                <w:b w:val="0"/>
                <w:i w:val="0"/>
                <w:sz w:val="17"/>
              </w:rPr>
              <w:t>Section 4</w:t>
            </w:r>
          </w:p>
        </w:tc>
      </w:tr>
      <w:tr>
        <w:tc>
          <w:tcPr>
            <w:tcW w:type="dxa" w:w="4819"/>
          </w:tcPr>
          <w:p>
            <w:pPr>
              <w:spacing w:after="20" w:before="20" w:line="240" w:lineRule="auto"/>
            </w:pPr>
            <w:r/>
            <w:r>
              <w:rPr>
                <w:rFonts w:ascii="Arial" w:hAnsi="Arial" w:cs="Arial"/>
                <w:b w:val="0"/>
                <w:i w:val="0"/>
                <w:sz w:val="17"/>
              </w:rPr>
              <w:t>Trade request (corridor selection)</w:t>
            </w:r>
          </w:p>
        </w:tc>
        <w:tc>
          <w:tcPr>
            <w:tcW w:type="dxa" w:w="4819"/>
          </w:tcPr>
          <w:p>
            <w:pPr>
              <w:spacing w:after="20" w:before="20" w:line="240" w:lineRule="auto"/>
            </w:pPr>
            <w:r/>
            <w:r>
              <w:rPr>
                <w:rFonts w:ascii="Arial" w:hAnsi="Arial" w:cs="Arial"/>
                <w:b w:val="0"/>
                <w:i w:val="0"/>
                <w:sz w:val="17"/>
              </w:rPr>
              <w:t>Section 6</w:t>
            </w:r>
          </w:p>
        </w:tc>
      </w:tr>
      <w:tr>
        <w:tc>
          <w:tcPr>
            <w:tcW w:type="dxa" w:w="4819"/>
          </w:tcPr>
          <w:p>
            <w:pPr>
              <w:spacing w:after="20" w:before="20" w:line="240" w:lineRule="auto"/>
            </w:pPr>
            <w:r/>
            <w:r>
              <w:rPr>
                <w:rFonts w:ascii="Arial" w:hAnsi="Arial" w:cs="Arial"/>
                <w:b w:val="0"/>
                <w:i w:val="0"/>
                <w:sz w:val="17"/>
              </w:rPr>
              <w:t>Contract (corridor clauses)</w:t>
            </w:r>
          </w:p>
        </w:tc>
        <w:tc>
          <w:tcPr>
            <w:tcW w:type="dxa" w:w="4819"/>
          </w:tcPr>
          <w:p>
            <w:pPr>
              <w:spacing w:after="20" w:before="20" w:line="240" w:lineRule="auto"/>
            </w:pPr>
            <w:r/>
            <w:r>
              <w:rPr>
                <w:rFonts w:ascii="Arial" w:hAnsi="Arial" w:cs="Arial"/>
                <w:b w:val="0"/>
                <w:i w:val="0"/>
                <w:sz w:val="17"/>
              </w:rPr>
              <w:t>Section 9</w:t>
            </w:r>
          </w:p>
        </w:tc>
      </w:tr>
      <w:tr>
        <w:tc>
          <w:tcPr>
            <w:tcW w:type="dxa" w:w="4819"/>
          </w:tcPr>
          <w:p>
            <w:pPr>
              <w:spacing w:after="20" w:before="20" w:line="240" w:lineRule="auto"/>
            </w:pPr>
            <w:r/>
            <w:r>
              <w:rPr>
                <w:rFonts w:ascii="Arial" w:hAnsi="Arial" w:cs="Arial"/>
                <w:b w:val="0"/>
                <w:i w:val="0"/>
                <w:sz w:val="17"/>
              </w:rPr>
              <w:t>Governor (corridor compliance)</w:t>
            </w:r>
          </w:p>
        </w:tc>
        <w:tc>
          <w:tcPr>
            <w:tcW w:type="dxa" w:w="4819"/>
          </w:tcPr>
          <w:p>
            <w:pPr>
              <w:spacing w:after="20" w:before="20" w:line="240" w:lineRule="auto"/>
            </w:pPr>
            <w:r/>
            <w:r>
              <w:rPr>
                <w:rFonts w:ascii="Arial" w:hAnsi="Arial" w:cs="Arial"/>
                <w:b w:val="0"/>
                <w:i w:val="0"/>
                <w:sz w:val="17"/>
              </w:rPr>
              <w:t>Section 15</w:t>
            </w:r>
          </w:p>
        </w:tc>
      </w:tr>
      <w:tr>
        <w:tc>
          <w:tcPr>
            <w:tcW w:type="dxa" w:w="4819"/>
          </w:tcPr>
          <w:p>
            <w:pPr>
              <w:spacing w:after="20" w:before="20" w:line="240" w:lineRule="auto"/>
            </w:pPr>
            <w:r/>
            <w:r>
              <w:rPr>
                <w:rFonts w:ascii="Arial" w:hAnsi="Arial" w:cs="Arial"/>
                <w:b w:val="0"/>
                <w:i w:val="0"/>
                <w:sz w:val="17"/>
              </w:rPr>
              <w:t>Financing (corridor metrics)</w:t>
            </w:r>
          </w:p>
        </w:tc>
        <w:tc>
          <w:tcPr>
            <w:tcW w:type="dxa" w:w="4819"/>
          </w:tcPr>
          <w:p>
            <w:pPr>
              <w:spacing w:after="20" w:before="20" w:line="240" w:lineRule="auto"/>
            </w:pPr>
            <w:r/>
            <w:r>
              <w:rPr>
                <w:rFonts w:ascii="Arial" w:hAnsi="Arial" w:cs="Arial"/>
                <w:b w:val="0"/>
                <w:i w:val="0"/>
                <w:sz w:val="17"/>
              </w:rPr>
              <w:t>Section 10</w:t>
            </w:r>
          </w:p>
        </w:tc>
      </w:tr>
      <w:tr>
        <w:tc>
          <w:tcPr>
            <w:tcW w:type="dxa" w:w="4819"/>
          </w:tcPr>
          <w:p>
            <w:pPr>
              <w:spacing w:after="20" w:before="20" w:line="240" w:lineRule="auto"/>
            </w:pPr>
            <w:r/>
            <w:r>
              <w:rPr>
                <w:rFonts w:ascii="Arial" w:hAnsi="Arial" w:cs="Arial"/>
                <w:b w:val="0"/>
                <w:i w:val="0"/>
                <w:sz w:val="17"/>
              </w:rPr>
              <w:t>Insurance (corridor insurance)</w:t>
            </w:r>
          </w:p>
        </w:tc>
        <w:tc>
          <w:tcPr>
            <w:tcW w:type="dxa" w:w="4819"/>
          </w:tcPr>
          <w:p>
            <w:pPr>
              <w:spacing w:after="20" w:before="20" w:line="240" w:lineRule="auto"/>
            </w:pPr>
            <w:r/>
            <w:r>
              <w:rPr>
                <w:rFonts w:ascii="Arial" w:hAnsi="Arial" w:cs="Arial"/>
                <w:b w:val="0"/>
                <w:i w:val="0"/>
                <w:sz w:val="17"/>
              </w:rPr>
              <w:t>Section 6</w:t>
            </w:r>
          </w:p>
        </w:tc>
      </w:tr>
      <w:tr>
        <w:tc>
          <w:tcPr>
            <w:tcW w:type="dxa" w:w="4819"/>
          </w:tcPr>
          <w:p>
            <w:pPr>
              <w:spacing w:after="20" w:before="20" w:line="240" w:lineRule="auto"/>
            </w:pPr>
            <w:r/>
            <w:r>
              <w:rPr>
                <w:rFonts w:ascii="Arial" w:hAnsi="Arial" w:cs="Arial"/>
                <w:b w:val="0"/>
                <w:i w:val="0"/>
                <w:sz w:val="17"/>
              </w:rPr>
              <w:t>Government Portal (corridor dashboards)</w:t>
            </w:r>
          </w:p>
        </w:tc>
        <w:tc>
          <w:tcPr>
            <w:tcW w:type="dxa" w:w="4819"/>
          </w:tcPr>
          <w:p>
            <w:pPr>
              <w:spacing w:after="20" w:before="20" w:line="240" w:lineRule="auto"/>
            </w:pPr>
            <w:r/>
            <w:r>
              <w:rPr>
                <w:rFonts w:ascii="Arial" w:hAnsi="Arial" w:cs="Arial"/>
                <w:b w:val="0"/>
                <w:i w:val="0"/>
                <w:sz w:val="17"/>
              </w:rPr>
              <w:t>Section 16 (16.8.12)</w:t>
            </w:r>
          </w:p>
        </w:tc>
      </w:tr>
      <w:tr>
        <w:tc>
          <w:tcPr>
            <w:tcW w:type="dxa" w:w="4819"/>
          </w:tcPr>
          <w:p>
            <w:pPr>
              <w:spacing w:after="20" w:before="20" w:line="240" w:lineRule="auto"/>
            </w:pPr>
            <w:r/>
            <w:r>
              <w:rPr>
                <w:rFonts w:ascii="Arial" w:hAnsi="Arial" w:cs="Arial"/>
                <w:b w:val="0"/>
                <w:i w:val="0"/>
                <w:sz w:val="17"/>
              </w:rPr>
              <w:t>Trade Memory (corridor analytics)</w:t>
            </w:r>
          </w:p>
        </w:tc>
        <w:tc>
          <w:tcPr>
            <w:tcW w:type="dxa" w:w="4819"/>
          </w:tcPr>
          <w:p>
            <w:pPr>
              <w:spacing w:after="20" w:before="20" w:line="240" w:lineRule="auto"/>
            </w:pPr>
            <w:r/>
            <w:r>
              <w:rPr>
                <w:rFonts w:ascii="Arial" w:hAnsi="Arial" w:cs="Arial"/>
                <w:b w:val="0"/>
                <w:i w:val="0"/>
                <w:sz w:val="17"/>
              </w:rPr>
              <w:t>Section 20</w:t>
            </w:r>
          </w:p>
        </w:tc>
      </w:tr>
      <w:tr>
        <w:tc>
          <w:tcPr>
            <w:tcW w:type="dxa" w:w="4819"/>
          </w:tcPr>
          <w:p>
            <w:pPr>
              <w:spacing w:after="20" w:before="20" w:line="240" w:lineRule="auto"/>
            </w:pPr>
            <w:r/>
            <w:r>
              <w:rPr>
                <w:rFonts w:ascii="Arial" w:hAnsi="Arial" w:cs="Arial"/>
                <w:b w:val="0"/>
                <w:i w:val="0"/>
                <w:sz w:val="17"/>
              </w:rPr>
              <w:t>Loom (corridor verification)</w:t>
            </w:r>
          </w:p>
        </w:tc>
        <w:tc>
          <w:tcPr>
            <w:tcW w:type="dxa" w:w="4819"/>
          </w:tcPr>
          <w:p>
            <w:pPr>
              <w:spacing w:after="20" w:before="20" w:line="240" w:lineRule="auto"/>
            </w:pPr>
            <w:r/>
            <w:r>
              <w:rPr>
                <w:rFonts w:ascii="Arial" w:hAnsi="Arial" w:cs="Arial"/>
                <w:b w:val="0"/>
                <w:i w:val="0"/>
                <w:sz w:val="17"/>
              </w:rPr>
              <w:t>Section 3</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23.2.24 Quick Reference Card</w:t>
      </w:r>
    </w:p>
    <w:p>
      <w:pPr>
        <w:spacing w:after="0" w:before="0" w:line="240" w:lineRule="auto"/>
        <w:ind w:left="57"/>
        <w:jc w:val="left"/>
        <w:shd w:val="clear" w:fill="F2F2F2"/>
      </w:pPr>
      <w:r>
        <w:rPr>
          <w:rFonts w:ascii="Consolas" w:hAnsi="Consolas" w:cs="Consolas"/>
          <w:b w:val="0"/>
          <w:i w:val="0"/>
          <w:sz w:val="15"/>
        </w:rPr>
        <w:t>TRADE CORRIDOR NETWORK (TCN) — QUICK REFERENCE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FIRST PRODUCTION CORRIDORS:</w:t>
      </w:r>
    </w:p>
    <w:p>
      <w:pPr>
        <w:spacing w:after="0" w:before="0" w:line="240" w:lineRule="auto"/>
        <w:ind w:left="57"/>
        <w:jc w:val="left"/>
        <w:shd w:val="clear" w:fill="F2F2F2"/>
      </w:pPr>
      <w:r>
        <w:rPr>
          <w:rFonts w:ascii="Consolas" w:hAnsi="Consolas" w:cs="Consolas"/>
          <w:b w:val="0"/>
          <w:i w:val="0"/>
          <w:sz w:val="15"/>
        </w:rPr>
        <w:t xml:space="preserve">  1. EGY-ITA-RORO-001  Egypt–Italy RoRo  Mediterranean  5-7 days  Strategic</w:t>
      </w:r>
    </w:p>
    <w:p>
      <w:pPr>
        <w:spacing w:after="0" w:before="0" w:line="240" w:lineRule="auto"/>
        <w:ind w:left="57"/>
        <w:jc w:val="left"/>
        <w:shd w:val="clear" w:fill="F2F2F2"/>
      </w:pPr>
      <w:r>
        <w:rPr>
          <w:rFonts w:ascii="Consolas" w:hAnsi="Consolas" w:cs="Consolas"/>
          <w:b w:val="0"/>
          <w:i w:val="0"/>
          <w:sz w:val="15"/>
        </w:rPr>
        <w:t xml:space="preserve">  2. EGY-KSA-RORO-001  Egypt–Saudi RoRo  Red Sea        2-4 days  Strategic</w:t>
      </w:r>
    </w:p>
    <w:p>
      <w:pPr>
        <w:spacing w:after="0" w:before="0" w:line="240" w:lineRule="auto"/>
        <w:ind w:left="57"/>
        <w:jc w:val="left"/>
        <w:shd w:val="clear" w:fill="F2F2F2"/>
      </w:pPr>
      <w:r>
        <w:rPr>
          <w:rFonts w:ascii="Consolas" w:hAnsi="Consolas" w:cs="Consolas"/>
          <w:b w:val="0"/>
          <w:i w:val="0"/>
          <w:sz w:val="15"/>
        </w:rPr>
        <w:t xml:space="preserve">  3. EGY-UAE-RORO-001  Egypt–UAE RoRo    Red Sea        4-6 days  Certified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KEY COMPONENTS:</w:t>
      </w:r>
    </w:p>
    <w:p>
      <w:pPr>
        <w:spacing w:after="0" w:before="0" w:line="240" w:lineRule="auto"/>
        <w:ind w:left="57"/>
        <w:jc w:val="left"/>
        <w:shd w:val="clear" w:fill="F2F2F2"/>
      </w:pPr>
      <w:r>
        <w:rPr>
          <w:rFonts w:ascii="Consolas" w:hAnsi="Consolas" w:cs="Consolas"/>
          <w:b w:val="0"/>
          <w:i w:val="0"/>
          <w:sz w:val="15"/>
        </w:rPr>
        <w:t xml:space="preserve">  • Corridor Registry — master database of all corridors</w:t>
      </w:r>
    </w:p>
    <w:p>
      <w:pPr>
        <w:spacing w:after="0" w:before="0" w:line="240" w:lineRule="auto"/>
        <w:ind w:left="57"/>
        <w:jc w:val="left"/>
        <w:shd w:val="clear" w:fill="F2F2F2"/>
      </w:pPr>
      <w:r>
        <w:rPr>
          <w:rFonts w:ascii="Consolas" w:hAnsi="Consolas" w:cs="Consolas"/>
          <w:b w:val="0"/>
          <w:i w:val="0"/>
          <w:sz w:val="15"/>
        </w:rPr>
        <w:t xml:space="preserve">  • Trade Lane Passport — digital profile per corridor</w:t>
      </w:r>
    </w:p>
    <w:p>
      <w:pPr>
        <w:spacing w:after="0" w:before="0" w:line="240" w:lineRule="auto"/>
        <w:ind w:left="57"/>
        <w:jc w:val="left"/>
        <w:shd w:val="clear" w:fill="F2F2F2"/>
      </w:pPr>
      <w:r>
        <w:rPr>
          <w:rFonts w:ascii="Consolas" w:hAnsi="Consolas" w:cs="Consolas"/>
          <w:b w:val="0"/>
          <w:i w:val="0"/>
          <w:sz w:val="15"/>
        </w:rPr>
        <w:t xml:space="preserve">  • Corridor Eligibility Engine — AI (A2) eligibility scoring</w:t>
      </w:r>
    </w:p>
    <w:p>
      <w:pPr>
        <w:spacing w:after="0" w:before="0" w:line="240" w:lineRule="auto"/>
        <w:ind w:left="57"/>
        <w:jc w:val="left"/>
        <w:shd w:val="clear" w:fill="F2F2F2"/>
      </w:pPr>
      <w:r>
        <w:rPr>
          <w:rFonts w:ascii="Consolas" w:hAnsi="Consolas" w:cs="Consolas"/>
          <w:b w:val="0"/>
          <w:i w:val="0"/>
          <w:sz w:val="15"/>
        </w:rPr>
        <w:t xml:space="preserve">  • Government Node Framework — country nodes (Egypt, Italy, Saudi, UAE)</w:t>
      </w:r>
    </w:p>
    <w:p>
      <w:pPr>
        <w:spacing w:after="0" w:before="0" w:line="240" w:lineRule="auto"/>
        <w:ind w:left="57"/>
        <w:jc w:val="left"/>
        <w:shd w:val="clear" w:fill="F2F2F2"/>
      </w:pPr>
      <w:r>
        <w:rPr>
          <w:rFonts w:ascii="Consolas" w:hAnsi="Consolas" w:cs="Consolas"/>
          <w:b w:val="0"/>
          <w:i w:val="0"/>
          <w:sz w:val="15"/>
        </w:rPr>
        <w:t xml:space="preserve">  • Port Digital Twin — port capabilities and congestion</w:t>
      </w:r>
    </w:p>
    <w:p>
      <w:pPr>
        <w:spacing w:after="0" w:before="0" w:line="240" w:lineRule="auto"/>
        <w:ind w:left="57"/>
        <w:jc w:val="left"/>
        <w:shd w:val="clear" w:fill="F2F2F2"/>
      </w:pPr>
      <w:r>
        <w:rPr>
          <w:rFonts w:ascii="Consolas" w:hAnsi="Consolas" w:cs="Consolas"/>
          <w:b w:val="0"/>
          <w:i w:val="0"/>
          <w:sz w:val="15"/>
        </w:rPr>
        <w:t xml:space="preserve">  • Customs Intelligence — document requirements per corridor</w:t>
      </w:r>
    </w:p>
    <w:p>
      <w:pPr>
        <w:spacing w:after="0" w:before="0" w:line="240" w:lineRule="auto"/>
        <w:ind w:left="57"/>
        <w:jc w:val="left"/>
        <w:shd w:val="clear" w:fill="F2F2F2"/>
      </w:pPr>
      <w:r>
        <w:rPr>
          <w:rFonts w:ascii="Consolas" w:hAnsi="Consolas" w:cs="Consolas"/>
          <w:b w:val="0"/>
          <w:i w:val="0"/>
          <w:sz w:val="15"/>
        </w:rPr>
        <w:t xml:space="preserve">  • Government Dashboards — Trade Authority, Customs, Port views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GTID EXTENSIONS:</w:t>
      </w:r>
    </w:p>
    <w:p>
      <w:pPr>
        <w:spacing w:after="0" w:before="0" w:line="240" w:lineRule="auto"/>
        <w:ind w:left="57"/>
        <w:jc w:val="left"/>
        <w:shd w:val="clear" w:fill="F2F2F2"/>
      </w:pPr>
      <w:r>
        <w:rPr>
          <w:rFonts w:ascii="Consolas" w:hAnsi="Consolas" w:cs="Consolas"/>
          <w:b w:val="0"/>
          <w:i w:val="0"/>
          <w:sz w:val="15"/>
        </w:rPr>
        <w:t xml:space="preserve">  • GOV — Government Authority        • PORT — Port Authority</w:t>
      </w:r>
    </w:p>
    <w:p>
      <w:pPr>
        <w:spacing w:after="0" w:before="0" w:line="240" w:lineRule="auto"/>
        <w:ind w:left="57"/>
        <w:jc w:val="left"/>
        <w:shd w:val="clear" w:fill="F2F2F2"/>
      </w:pPr>
      <w:r>
        <w:rPr>
          <w:rFonts w:ascii="Consolas" w:hAnsi="Consolas" w:cs="Consolas"/>
          <w:b w:val="0"/>
          <w:i w:val="0"/>
          <w:sz w:val="15"/>
        </w:rPr>
        <w:t xml:space="preserve">  • CUSTOMS — Customs Authority       • TRADE_AGENCY — Trade Promotion Agency</w:t>
      </w:r>
    </w:p>
    <w:p>
      <w:pPr>
        <w:spacing w:after="0" w:before="0" w:line="240" w:lineRule="auto"/>
        <w:ind w:left="57"/>
        <w:jc w:val="left"/>
        <w:shd w:val="clear" w:fill="F2F2F2"/>
      </w:pPr>
      <w:r>
        <w:rPr>
          <w:rFonts w:ascii="Consolas" w:hAnsi="Consolas" w:cs="Consolas"/>
          <w:b w:val="0"/>
          <w:i w:val="0"/>
          <w:sz w:val="15"/>
        </w:rPr>
        <w:t xml:space="preserve">  • ECON_ZONE — Economic Zone         • CORR_OP — Corridor Operator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USTN EXTENSION:</w:t>
      </w:r>
    </w:p>
    <w:p>
      <w:pPr>
        <w:spacing w:after="0" w:before="0" w:line="240" w:lineRule="auto"/>
        <w:ind w:left="57"/>
        <w:jc w:val="left"/>
        <w:shd w:val="clear" w:fill="F2F2F2"/>
      </w:pPr>
      <w:r>
        <w:rPr>
          <w:rFonts w:ascii="Consolas" w:hAnsi="Consolas" w:cs="Consolas"/>
          <w:b w:val="0"/>
          <w:i w:val="0"/>
          <w:sz w:val="15"/>
        </w:rPr>
        <w:t xml:space="preserve">  Format:  SGTX-{COUNTRY}-{YEAR}-{TRADER}-{SEQ}</w:t>
      </w:r>
    </w:p>
    <w:p>
      <w:pPr>
        <w:spacing w:after="0" w:before="0" w:line="240" w:lineRule="auto"/>
        <w:ind w:left="57"/>
        <w:jc w:val="left"/>
        <w:shd w:val="clear" w:fill="F2F2F2"/>
      </w:pPr>
      <w:r>
        <w:rPr>
          <w:rFonts w:ascii="Consolas" w:hAnsi="Consolas" w:cs="Consolas"/>
          <w:b w:val="0"/>
          <w:i w:val="0"/>
          <w:sz w:val="15"/>
        </w:rPr>
        <w:t xml:space="preserve">  Example: SGTX-EG-26-F3A-1-RORO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INTEGRATION POINTS:</w:t>
      </w:r>
    </w:p>
    <w:p>
      <w:pPr>
        <w:spacing w:after="0" w:before="0" w:line="240" w:lineRule="auto"/>
        <w:ind w:left="57"/>
        <w:jc w:val="left"/>
        <w:shd w:val="clear" w:fill="F2F2F2"/>
      </w:pPr>
      <w:r>
        <w:rPr>
          <w:rFonts w:ascii="Consolas" w:hAnsi="Consolas" w:cs="Consolas"/>
          <w:b w:val="0"/>
          <w:i w:val="0"/>
          <w:sz w:val="15"/>
        </w:rPr>
        <w:t xml:space="preserve">  • GTID Format (new entity types)              • Trade Request (corridor selection)</w:t>
      </w:r>
    </w:p>
    <w:p>
      <w:pPr>
        <w:spacing w:after="0" w:before="0" w:line="240" w:lineRule="auto"/>
        <w:ind w:left="57"/>
        <w:jc w:val="left"/>
        <w:shd w:val="clear" w:fill="F2F2F2"/>
      </w:pPr>
      <w:r>
        <w:rPr>
          <w:rFonts w:ascii="Consolas" w:hAnsi="Consolas" w:cs="Consolas"/>
          <w:b w:val="0"/>
          <w:i w:val="0"/>
          <w:sz w:val="15"/>
        </w:rPr>
        <w:t xml:space="preserve">  • Contract (corridor clauses)                 • Governor (corridor compliance)</w:t>
      </w:r>
    </w:p>
    <w:p>
      <w:pPr>
        <w:spacing w:after="0" w:before="0" w:line="240" w:lineRule="auto"/>
        <w:ind w:left="57"/>
        <w:jc w:val="left"/>
        <w:shd w:val="clear" w:fill="F2F2F2"/>
      </w:pPr>
      <w:r>
        <w:rPr>
          <w:rFonts w:ascii="Consolas" w:hAnsi="Consolas" w:cs="Consolas"/>
          <w:b w:val="0"/>
          <w:i w:val="0"/>
          <w:sz w:val="15"/>
        </w:rPr>
        <w:t xml:space="preserve">  • Financing (corridor metrics)                • Insurance (corridor insurance)</w:t>
      </w:r>
    </w:p>
    <w:p>
      <w:pPr>
        <w:spacing w:after="0" w:before="0" w:line="240" w:lineRule="auto"/>
        <w:ind w:left="57"/>
        <w:jc w:val="left"/>
        <w:shd w:val="clear" w:fill="F2F2F2"/>
      </w:pPr>
      <w:r>
        <w:rPr>
          <w:rFonts w:ascii="Consolas" w:hAnsi="Consolas" w:cs="Consolas"/>
          <w:b w:val="0"/>
          <w:i w:val="0"/>
          <w:sz w:val="15"/>
        </w:rPr>
        <w:t xml:space="preserve">  • Government Portal (corridor dashboards)     • Trade Memory (corridor analytics)</w:t>
      </w:r>
    </w:p>
    <w:p>
      <w:pPr>
        <w:spacing w:after="0" w:before="0" w:line="240" w:lineRule="auto"/>
        <w:ind w:left="57"/>
        <w:jc w:val="left"/>
        <w:shd w:val="clear" w:fill="F2F2F2"/>
      </w:pPr>
      <w:r>
        <w:rPr>
          <w:rFonts w:ascii="Consolas" w:hAnsi="Consolas" w:cs="Consolas"/>
          <w:b w:val="0"/>
          <w:i w:val="0"/>
          <w:sz w:val="15"/>
        </w:rPr>
        <w:t xml:space="preserve">  • Loom (corridor verification)</w:t>
      </w:r>
    </w:p>
    <w:p>
      <w:pPr>
        <w:spacing w:after="120" w:before="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23.3 Auto-Generated Barcodes</w:t>
      </w:r>
    </w:p>
    <w:p>
      <w:pPr>
        <w:keepNext/>
        <w:spacing w:before="180" w:after="80"/>
        <w:outlineLvl w:val="2"/>
      </w:pPr>
      <w:r>
        <w:rPr>
          <w:rFonts w:ascii="Arial" w:hAnsi="Arial" w:cs="Arial"/>
          <w:b/>
          <w:i w:val="0"/>
          <w:color w:val="333333"/>
          <w:sz w:val="23"/>
        </w:rPr>
        <w:t>23.3.1 Purpose &amp; Design Principles</w:t>
      </w:r>
    </w:p>
    <w:p>
      <w:pPr>
        <w:spacing w:after="80" w:line="293" w:lineRule="auto"/>
        <w:jc w:val="left"/>
      </w:pPr>
      <w:r>
        <w:rPr>
          <w:rFonts w:ascii="Times New Roman" w:hAnsi="Times New Roman" w:cs="Times New Roman"/>
          <w:b w:val="0"/>
          <w:i w:val="0"/>
          <w:sz w:val="22"/>
        </w:rPr>
        <w:t>Every pallet, carton, or item that moves through a trade must leave an unforgeable, instantly verifiable digital fingerprint. Barcodes are not just stickers — they are the physical anchor of the platform's digital twin. The barcode is intelligent, self-sovereign, and resilient. It carries exactly the data each party needs, can be verified even without network access, and can be read by voice or camera when physical labels fail. All generation, scanning, and verification runs on open-source libraries and zero-cost infrastructure. The system supports multiple symbologies (GS1-128, Data Matrix, QR) and automatically assigns globally unique SSCC-18 codes to every logistic unit (pallet). All scans trigger Governor-gated milestone confirmations and are immutably logged via Loom. The barcode system fully supports multi-shipment contracts: each shipment has its own set of pallets, each with a unique SSCC, and the barcode includes the shipment USTN (or microUSTN for distressed splits). The predictive scanning reliability agent (A2, XGBoost) proactively warns warehouse managers if a batch of labels is likely to fail in the intended environment. A detailed label print workflow ensures flawless physical application from PDF to pallet, with a reprint policy enforced by the Governor after pallets have been loaded. Blockchain anchoring (Polygon) provides an immutable, publicly verifiable chain of custody for high-value cargo. Self-sovereign pallet identity (W3C Verifiable Credentials) allows offline verification using a pre-cached platform public key.</w:t>
      </w:r>
    </w:p>
    <w:p>
      <w:pPr>
        <w:spacing w:after="80" w:line="293" w:lineRule="auto"/>
        <w:jc w:val="left"/>
      </w:pPr>
      <w:r>
        <w:rPr>
          <w:rFonts w:ascii="Times New Roman" w:hAnsi="Times New Roman" w:cs="Times New Roman"/>
          <w:b w:val="0"/>
          <w:i w:val="0"/>
          <w:sz w:val="22"/>
        </w:rPr>
        <w:t>Key principles (non-marketplace, sovereign):</w:t>
      </w:r>
    </w:p>
    <w:p>
      <w:pPr>
        <w:spacing w:after="80" w:line="293" w:lineRule="auto"/>
        <w:ind w:left="283"/>
        <w:jc w:val="left"/>
      </w:pPr>
      <w:r>
        <w:rPr>
          <w:rFonts w:ascii="Times New Roman" w:hAnsi="Times New Roman" w:cs="Times New Roman"/>
          <w:b w:val="0"/>
          <w:i w:val="0"/>
          <w:sz w:val="22"/>
        </w:rPr>
        <w:t>- Unforgeable identity — every barcode is cryptographically linked to its USTN and pallet</w:t>
      </w:r>
    </w:p>
    <w:p>
      <w:pPr>
        <w:spacing w:after="80" w:line="293" w:lineRule="auto"/>
        <w:jc w:val="left"/>
      </w:pPr>
      <w:r>
        <w:rPr>
          <w:rFonts w:ascii="Times New Roman" w:hAnsi="Times New Roman" w:cs="Times New Roman"/>
          <w:b w:val="0"/>
          <w:i w:val="0"/>
          <w:sz w:val="22"/>
        </w:rPr>
        <w:t>record.</w:t>
      </w:r>
    </w:p>
    <w:p>
      <w:pPr>
        <w:spacing w:after="80" w:line="293" w:lineRule="auto"/>
        <w:ind w:left="283"/>
        <w:jc w:val="left"/>
      </w:pPr>
      <w:r>
        <w:rPr>
          <w:rFonts w:ascii="Times New Roman" w:hAnsi="Times New Roman" w:cs="Times New Roman"/>
          <w:b w:val="0"/>
          <w:i w:val="0"/>
          <w:sz w:val="22"/>
        </w:rPr>
        <w:t>- Offline-first — scanning, verification, and credential validation work without internet.</w:t>
      </w:r>
    </w:p>
    <w:p>
      <w:pPr>
        <w:spacing w:after="80" w:line="293" w:lineRule="auto"/>
        <w:ind w:left="283"/>
        <w:jc w:val="left"/>
      </w:pPr>
      <w:r>
        <w:rPr>
          <w:rFonts w:ascii="Times New Roman" w:hAnsi="Times New Roman" w:cs="Times New Roman"/>
          <w:b w:val="0"/>
          <w:i w:val="0"/>
          <w:sz w:val="22"/>
        </w:rPr>
        <w:t>- Self-sovereign — pallets carry their own verifiable credentials, signed by the platform.</w:t>
      </w:r>
    </w:p>
    <w:p>
      <w:pPr>
        <w:spacing w:after="80" w:line="293" w:lineRule="auto"/>
        <w:ind w:left="283"/>
        <w:jc w:val="left"/>
      </w:pPr>
      <w:r>
        <w:rPr>
          <w:rFonts w:ascii="Times New Roman" w:hAnsi="Times New Roman" w:cs="Times New Roman"/>
          <w:b w:val="0"/>
          <w:i w:val="0"/>
          <w:sz w:val="22"/>
        </w:rPr>
        <w:t>- Multi-modal identification — barcode, visual recognition, and voice work interchangeably.</w:t>
      </w:r>
    </w:p>
    <w:p>
      <w:pPr>
        <w:spacing w:after="80" w:line="293" w:lineRule="auto"/>
        <w:ind w:left="283"/>
        <w:jc w:val="left"/>
      </w:pPr>
      <w:r>
        <w:rPr>
          <w:rFonts w:ascii="Times New Roman" w:hAnsi="Times New Roman" w:cs="Times New Roman"/>
          <w:b w:val="0"/>
          <w:i w:val="0"/>
          <w:sz w:val="22"/>
        </w:rPr>
        <w:t>- Predictive reliability — AI predicts and prevents scan failures before they occur.</w:t>
      </w:r>
    </w:p>
    <w:p>
      <w:pPr>
        <w:spacing w:after="80" w:line="293" w:lineRule="auto"/>
        <w:ind w:left="283"/>
        <w:jc w:val="left"/>
      </w:pPr>
      <w:r>
        <w:rPr>
          <w:rFonts w:ascii="Times New Roman" w:hAnsi="Times New Roman" w:cs="Times New Roman"/>
          <w:b w:val="0"/>
          <w:i w:val="0"/>
          <w:sz w:val="22"/>
        </w:rPr>
        <w:t>- Governor-enforced reprint policy — prevents fraud after loading.</w:t>
      </w:r>
    </w:p>
    <w:p>
      <w:pPr>
        <w:spacing w:after="80" w:line="293" w:lineRule="auto"/>
        <w:ind w:left="283"/>
        <w:jc w:val="left"/>
      </w:pPr>
      <w:r>
        <w:rPr>
          <w:rFonts w:ascii="Times New Roman" w:hAnsi="Times New Roman" w:cs="Times New Roman"/>
          <w:b w:val="0"/>
          <w:i w:val="0"/>
          <w:sz w:val="22"/>
        </w:rPr>
        <w:t>- Multi-shipment aware — each shipment's pallets are independently tracked.</w:t>
      </w:r>
    </w:p>
    <w:p>
      <w:pPr>
        <w:spacing w:after="80" w:line="293" w:lineRule="auto"/>
        <w:jc w:val="left"/>
      </w:pPr>
      <w:r>
        <w:rPr>
          <w:rFonts w:ascii="Times New Roman" w:hAnsi="Times New Roman" w:cs="Times New Roman"/>
          <w:b w:val="0"/>
          <w:i w:val="0"/>
          <w:sz w:val="22"/>
        </w:rPr>
        <w:t>AI integration: A1 (Groq) for dynamic QR payload attribute selection; A2 (XGBoost) for predictive scan reliability; A2 (HF ViT/ONNX) for visual recognition; A4 (OPA + WasmEdge) for scan-triggered milestone gates.</w:t>
      </w:r>
    </w:p>
    <w:p>
      <w:pPr>
        <w:keepNext/>
        <w:spacing w:before="180" w:after="80"/>
        <w:outlineLvl w:val="2"/>
      </w:pPr>
      <w:r>
        <w:rPr>
          <w:rFonts w:ascii="Arial" w:hAnsi="Arial" w:cs="Arial"/>
          <w:b/>
          <w:i w:val="0"/>
          <w:color w:val="333333"/>
          <w:sz w:val="23"/>
        </w:rPr>
        <w:t>23.3.2 Core Technology Stack (Zero-Cost)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Component</w:t>
            </w:r>
          </w:p>
        </w:tc>
        <w:tc>
          <w:tcPr>
            <w:tcW w:type="dxa" w:w="4819"/>
            <w:shd w:val="clear" w:fill="D9E2F3"/>
          </w:tcPr>
          <w:p>
            <w:pPr>
              <w:spacing w:after="20" w:before="20" w:line="240" w:lineRule="auto"/>
            </w:pPr>
            <w:r/>
            <w:r>
              <w:rPr>
                <w:rFonts w:ascii="Arial" w:hAnsi="Arial" w:cs="Arial"/>
                <w:b/>
                <w:i w:val="0"/>
                <w:sz w:val="18"/>
              </w:rPr>
              <w:t>Technology</w:t>
            </w:r>
          </w:p>
        </w:tc>
      </w:tr>
      <w:tr>
        <w:tc>
          <w:tcPr>
            <w:tcW w:type="dxa" w:w="4819"/>
          </w:tcPr>
          <w:p>
            <w:pPr>
              <w:spacing w:after="20" w:before="20" w:line="240" w:lineRule="auto"/>
            </w:pPr>
            <w:r/>
            <w:r>
              <w:rPr>
                <w:rFonts w:ascii="Arial" w:hAnsi="Arial" w:cs="Arial"/>
                <w:b w:val="0"/>
                <w:i w:val="0"/>
                <w:sz w:val="17"/>
              </w:rPr>
              <w:t>Barcode symbologies</w:t>
            </w:r>
          </w:p>
        </w:tc>
        <w:tc>
          <w:tcPr>
            <w:tcW w:type="dxa" w:w="4819"/>
          </w:tcPr>
          <w:p>
            <w:pPr>
              <w:spacing w:after="20" w:before="20" w:line="240" w:lineRule="auto"/>
            </w:pPr>
            <w:r/>
            <w:r>
              <w:rPr>
                <w:rFonts w:ascii="Arial" w:hAnsi="Arial" w:cs="Arial"/>
                <w:b w:val="0"/>
                <w:i w:val="0"/>
                <w:sz w:val="17"/>
              </w:rPr>
              <w:t>GS1-128, Data Matrix, QR</w:t>
            </w:r>
          </w:p>
        </w:tc>
      </w:tr>
      <w:tr>
        <w:tc>
          <w:tcPr>
            <w:tcW w:type="dxa" w:w="4819"/>
          </w:tcPr>
          <w:p>
            <w:pPr>
              <w:spacing w:after="20" w:before="20" w:line="240" w:lineRule="auto"/>
            </w:pPr>
            <w:r/>
            <w:r>
              <w:rPr>
                <w:rFonts w:ascii="Arial" w:hAnsi="Arial" w:cs="Arial"/>
                <w:b w:val="0"/>
                <w:i w:val="0"/>
                <w:sz w:val="17"/>
              </w:rPr>
              <w:t>Code generation</w:t>
            </w:r>
          </w:p>
        </w:tc>
        <w:tc>
          <w:tcPr>
            <w:tcW w:type="dxa" w:w="4819"/>
          </w:tcPr>
          <w:p>
            <w:pPr>
              <w:spacing w:after="20" w:before="20" w:line="240" w:lineRule="auto"/>
            </w:pPr>
            <w:r/>
            <w:r>
              <w:rPr>
                <w:rFonts w:ascii="Arial" w:hAnsi="Arial" w:cs="Arial"/>
                <w:b w:val="0"/>
                <w:i w:val="0"/>
                <w:sz w:val="17"/>
              </w:rPr>
              <w:t>Open-source GS1 and QR libraries</w:t>
            </w:r>
          </w:p>
        </w:tc>
      </w:tr>
      <w:tr>
        <w:tc>
          <w:tcPr>
            <w:tcW w:type="dxa" w:w="4819"/>
          </w:tcPr>
          <w:p>
            <w:pPr>
              <w:spacing w:after="20" w:before="20" w:line="240" w:lineRule="auto"/>
            </w:pPr>
            <w:r/>
            <w:r>
              <w:rPr>
                <w:rFonts w:ascii="Arial" w:hAnsi="Arial" w:cs="Arial"/>
                <w:b w:val="0"/>
                <w:i w:val="0"/>
                <w:sz w:val="17"/>
              </w:rPr>
              <w:t>ZPL label generation</w:t>
            </w:r>
          </w:p>
        </w:tc>
        <w:tc>
          <w:tcPr>
            <w:tcW w:type="dxa" w:w="4819"/>
          </w:tcPr>
          <w:p>
            <w:pPr>
              <w:spacing w:after="20" w:before="20" w:line="240" w:lineRule="auto"/>
            </w:pPr>
            <w:r/>
            <w:r>
              <w:rPr>
                <w:rFonts w:ascii="Arial" w:hAnsi="Arial" w:cs="Arial"/>
                <w:b w:val="0"/>
                <w:i w:val="0"/>
                <w:sz w:val="17"/>
              </w:rPr>
              <w:t>Direct ZPL to Zebra printers (TCP/IP)</w:t>
            </w:r>
          </w:p>
        </w:tc>
      </w:tr>
      <w:tr>
        <w:tc>
          <w:tcPr>
            <w:tcW w:type="dxa" w:w="4819"/>
          </w:tcPr>
          <w:p>
            <w:pPr>
              <w:spacing w:after="20" w:before="20" w:line="240" w:lineRule="auto"/>
            </w:pPr>
            <w:r/>
            <w:r>
              <w:rPr>
                <w:rFonts w:ascii="Arial" w:hAnsi="Arial" w:cs="Arial"/>
                <w:b w:val="0"/>
                <w:i w:val="0"/>
                <w:sz w:val="17"/>
              </w:rPr>
              <w:t>PDF label generation</w:t>
            </w:r>
          </w:p>
        </w:tc>
        <w:tc>
          <w:tcPr>
            <w:tcW w:type="dxa" w:w="4819"/>
          </w:tcPr>
          <w:p>
            <w:pPr>
              <w:spacing w:after="20" w:before="20" w:line="240" w:lineRule="auto"/>
            </w:pPr>
            <w:r/>
            <w:r>
              <w:rPr>
                <w:rFonts w:ascii="Arial" w:hAnsi="Arial" w:cs="Arial"/>
                <w:b w:val="0"/>
                <w:i w:val="0"/>
                <w:sz w:val="17"/>
              </w:rPr>
              <w:t>Tera template + headless Chrome</w:t>
            </w:r>
          </w:p>
        </w:tc>
      </w:tr>
      <w:tr>
        <w:tc>
          <w:tcPr>
            <w:tcW w:type="dxa" w:w="4819"/>
          </w:tcPr>
          <w:p>
            <w:pPr>
              <w:spacing w:after="20" w:before="20" w:line="240" w:lineRule="auto"/>
            </w:pPr>
            <w:r/>
            <w:r>
              <w:rPr>
                <w:rFonts w:ascii="Arial" w:hAnsi="Arial" w:cs="Arial"/>
                <w:b w:val="0"/>
                <w:i w:val="0"/>
                <w:sz w:val="17"/>
              </w:rPr>
              <w:t>Mobile scanning</w:t>
            </w:r>
          </w:p>
        </w:tc>
        <w:tc>
          <w:tcPr>
            <w:tcW w:type="dxa" w:w="4819"/>
          </w:tcPr>
          <w:p>
            <w:pPr>
              <w:spacing w:after="20" w:before="20" w:line="240" w:lineRule="auto"/>
            </w:pPr>
            <w:r/>
            <w:r>
              <w:rPr>
                <w:rFonts w:ascii="Arial" w:hAnsi="Arial" w:cs="Arial"/>
                <w:b w:val="0"/>
                <w:i w:val="0"/>
                <w:sz w:val="17"/>
              </w:rPr>
              <w:t>ZXingC++</w:t>
            </w:r>
          </w:p>
        </w:tc>
      </w:tr>
      <w:tr>
        <w:tc>
          <w:tcPr>
            <w:tcW w:type="dxa" w:w="4819"/>
          </w:tcPr>
          <w:p>
            <w:pPr>
              <w:spacing w:after="20" w:before="20" w:line="240" w:lineRule="auto"/>
            </w:pPr>
            <w:r/>
            <w:r>
              <w:rPr>
                <w:rFonts w:ascii="Arial" w:hAnsi="Arial" w:cs="Arial"/>
                <w:b w:val="0"/>
                <w:i w:val="0"/>
                <w:sz w:val="17"/>
              </w:rPr>
              <w:t>Visual recognition</w:t>
            </w:r>
          </w:p>
        </w:tc>
        <w:tc>
          <w:tcPr>
            <w:tcW w:type="dxa" w:w="4819"/>
          </w:tcPr>
          <w:p>
            <w:pPr>
              <w:spacing w:after="20" w:before="20" w:line="240" w:lineRule="auto"/>
            </w:pPr>
            <w:r/>
            <w:r>
              <w:rPr>
                <w:rFonts w:ascii="Arial" w:hAnsi="Arial" w:cs="Arial"/>
                <w:b w:val="0"/>
                <w:i w:val="0"/>
                <w:sz w:val="17"/>
              </w:rPr>
              <w:t>ONNX model (fine-tuned)</w:t>
            </w:r>
          </w:p>
        </w:tc>
      </w:tr>
      <w:tr>
        <w:tc>
          <w:tcPr>
            <w:tcW w:type="dxa" w:w="4819"/>
          </w:tcPr>
          <w:p>
            <w:pPr>
              <w:spacing w:after="20" w:before="20" w:line="240" w:lineRule="auto"/>
            </w:pPr>
            <w:r/>
            <w:r>
              <w:rPr>
                <w:rFonts w:ascii="Arial" w:hAnsi="Arial" w:cs="Arial"/>
                <w:b w:val="0"/>
                <w:i w:val="0"/>
                <w:sz w:val="17"/>
              </w:rPr>
              <w:t>Voice identification</w:t>
            </w:r>
          </w:p>
        </w:tc>
        <w:tc>
          <w:tcPr>
            <w:tcW w:type="dxa" w:w="4819"/>
          </w:tcPr>
          <w:p>
            <w:pPr>
              <w:spacing w:after="20" w:before="20" w:line="240" w:lineRule="auto"/>
            </w:pPr>
            <w:r/>
            <w:r>
              <w:rPr>
                <w:rFonts w:ascii="Arial" w:hAnsi="Arial" w:cs="Arial"/>
                <w:b w:val="0"/>
                <w:i w:val="0"/>
                <w:sz w:val="17"/>
              </w:rPr>
              <w:t>Vosk (STT) + HF Mixtral (intent)</w:t>
            </w:r>
          </w:p>
        </w:tc>
      </w:tr>
      <w:tr>
        <w:tc>
          <w:tcPr>
            <w:tcW w:type="dxa" w:w="4819"/>
          </w:tcPr>
          <w:p>
            <w:pPr>
              <w:spacing w:after="20" w:before="20" w:line="240" w:lineRule="auto"/>
            </w:pPr>
            <w:r/>
            <w:r>
              <w:rPr>
                <w:rFonts w:ascii="Arial" w:hAnsi="Arial" w:cs="Arial"/>
                <w:b w:val="0"/>
                <w:i w:val="0"/>
                <w:sz w:val="17"/>
              </w:rPr>
              <w:t>AR overlay</w:t>
            </w:r>
          </w:p>
        </w:tc>
        <w:tc>
          <w:tcPr>
            <w:tcW w:type="dxa" w:w="4819"/>
          </w:tcPr>
          <w:p>
            <w:pPr>
              <w:spacing w:after="20" w:before="20" w:line="240" w:lineRule="auto"/>
            </w:pPr>
            <w:r/>
            <w:r>
              <w:rPr>
                <w:rFonts w:ascii="Arial" w:hAnsi="Arial" w:cs="Arial"/>
                <w:b w:val="0"/>
                <w:i w:val="0"/>
                <w:sz w:val="17"/>
              </w:rPr>
              <w:t>AR.js</w:t>
            </w:r>
          </w:p>
        </w:tc>
      </w:tr>
      <w:tr>
        <w:tc>
          <w:tcPr>
            <w:tcW w:type="dxa" w:w="4819"/>
          </w:tcPr>
          <w:p>
            <w:pPr>
              <w:spacing w:after="20" w:before="20" w:line="240" w:lineRule="auto"/>
            </w:pPr>
            <w:r/>
            <w:r>
              <w:rPr>
                <w:rFonts w:ascii="Arial" w:hAnsi="Arial" w:cs="Arial"/>
                <w:b w:val="0"/>
                <w:i w:val="0"/>
                <w:sz w:val="17"/>
              </w:rPr>
              <w:t>Offline storage</w:t>
            </w:r>
          </w:p>
        </w:tc>
        <w:tc>
          <w:tcPr>
            <w:tcW w:type="dxa" w:w="4819"/>
          </w:tcPr>
          <w:p>
            <w:pPr>
              <w:spacing w:after="20" w:before="20" w:line="240" w:lineRule="auto"/>
            </w:pPr>
            <w:r/>
            <w:r>
              <w:rPr>
                <w:rFonts w:ascii="Arial" w:hAnsi="Arial" w:cs="Arial"/>
                <w:b w:val="0"/>
                <w:i w:val="0"/>
                <w:sz w:val="17"/>
              </w:rPr>
              <w:t>WatermelonDB</w:t>
            </w:r>
          </w:p>
        </w:tc>
      </w:tr>
      <w:tr>
        <w:tc>
          <w:tcPr>
            <w:tcW w:type="dxa" w:w="4819"/>
          </w:tcPr>
          <w:p>
            <w:pPr>
              <w:spacing w:after="20" w:before="20" w:line="240" w:lineRule="auto"/>
            </w:pPr>
            <w:r/>
            <w:r>
              <w:rPr>
                <w:rFonts w:ascii="Arial" w:hAnsi="Arial" w:cs="Arial"/>
                <w:b w:val="0"/>
                <w:i w:val="0"/>
                <w:sz w:val="17"/>
              </w:rPr>
              <w:t>Credentials</w:t>
            </w:r>
          </w:p>
        </w:tc>
        <w:tc>
          <w:tcPr>
            <w:tcW w:type="dxa" w:w="4819"/>
          </w:tcPr>
          <w:p>
            <w:pPr>
              <w:spacing w:after="20" w:before="20" w:line="240" w:lineRule="auto"/>
            </w:pPr>
            <w:r/>
            <w:r>
              <w:rPr>
                <w:rFonts w:ascii="Arial" w:hAnsi="Arial" w:cs="Arial"/>
                <w:b w:val="0"/>
                <w:i w:val="0"/>
                <w:sz w:val="17"/>
              </w:rPr>
              <w:t>W3C Verifiable Credentials, Ed25519</w:t>
            </w:r>
          </w:p>
        </w:tc>
      </w:tr>
      <w:tr>
        <w:tc>
          <w:tcPr>
            <w:tcW w:type="dxa" w:w="4819"/>
          </w:tcPr>
          <w:p>
            <w:pPr>
              <w:spacing w:after="20" w:before="20" w:line="240" w:lineRule="auto"/>
            </w:pPr>
            <w:r/>
            <w:r>
              <w:rPr>
                <w:rFonts w:ascii="Arial" w:hAnsi="Arial" w:cs="Arial"/>
                <w:b w:val="0"/>
                <w:i w:val="0"/>
                <w:sz w:val="17"/>
              </w:rPr>
              <w:t>Blockchain anchoring</w:t>
            </w:r>
          </w:p>
        </w:tc>
        <w:tc>
          <w:tcPr>
            <w:tcW w:type="dxa" w:w="4819"/>
          </w:tcPr>
          <w:p>
            <w:pPr>
              <w:spacing w:after="20" w:before="20" w:line="240" w:lineRule="auto"/>
            </w:pPr>
            <w:r/>
            <w:r>
              <w:rPr>
                <w:rFonts w:ascii="Arial" w:hAnsi="Arial" w:cs="Arial"/>
                <w:b w:val="0"/>
                <w:i w:val="0"/>
                <w:sz w:val="17"/>
              </w:rPr>
              <w:t>Polygon (self-deployed contract)</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No cloud APIs, no subscription fees.</w:t>
      </w:r>
    </w:p>
    <w:p>
      <w:pPr>
        <w:keepNext/>
        <w:spacing w:before="180" w:after="80"/>
        <w:outlineLvl w:val="2"/>
      </w:pPr>
      <w:r>
        <w:rPr>
          <w:rFonts w:ascii="Arial" w:hAnsi="Arial" w:cs="Arial"/>
          <w:b/>
          <w:i w:val="0"/>
          <w:color w:val="333333"/>
          <w:sz w:val="23"/>
        </w:rPr>
        <w:t>23.3.3 Barcode Generation &amp; Dynamic Content (A1)</w:t>
      </w:r>
    </w:p>
    <w:p>
      <w:pPr>
        <w:keepNext/>
        <w:spacing w:before="140" w:after="60"/>
        <w:outlineLvl w:val="3"/>
      </w:pPr>
      <w:r>
        <w:rPr>
          <w:rFonts w:ascii="Arial" w:hAnsi="Arial" w:cs="Arial"/>
          <w:b/>
          <w:i/>
          <w:color w:val="333333"/>
          <w:sz w:val="22"/>
        </w:rPr>
        <w:t>23.3.3.1 SSCC-18 Allocation</w:t>
      </w:r>
    </w:p>
    <w:p>
      <w:pPr>
        <w:spacing w:after="80" w:line="293" w:lineRule="auto"/>
        <w:jc w:val="left"/>
      </w:pPr>
      <w:r>
        <w:rPr>
          <w:rFonts w:ascii="Times New Roman" w:hAnsi="Times New Roman" w:cs="Times New Roman"/>
          <w:b w:val="0"/>
          <w:i w:val="0"/>
          <w:sz w:val="22"/>
        </w:rPr>
        <w:t>During the packing plan lock (Phase 2, Section 8), the packing-containerisation service generates a globally unique Serial Shipping Container Code (SSCC-18) for every pallet. The SSCC conforms to the GS1 standard. Format:</w:t>
      </w:r>
    </w:p>
    <w:p>
      <w:pPr>
        <w:spacing w:after="0" w:before="0" w:line="240" w:lineRule="auto"/>
        <w:ind w:left="57"/>
        <w:jc w:val="left"/>
        <w:shd w:val="clear" w:fill="F2F2F2"/>
      </w:pPr>
      <w:r>
        <w:rPr>
          <w:rFonts w:ascii="Consolas" w:hAnsi="Consolas" w:cs="Consolas"/>
          <w:b w:val="0"/>
          <w:i w:val="0"/>
          <w:sz w:val="15"/>
        </w:rPr>
        <w:t>1 (extension digit) + 0614141 (6-digit company prefix reserved for the platform)</w:t>
      </w:r>
    </w:p>
    <w:p>
      <w:pPr>
        <w:spacing w:after="0" w:before="0" w:line="240" w:lineRule="auto"/>
        <w:ind w:left="57"/>
        <w:jc w:val="left"/>
        <w:shd w:val="clear" w:fill="F2F2F2"/>
      </w:pPr>
      <w:r>
        <w:rPr>
          <w:rFonts w:ascii="Consolas" w:hAnsi="Consolas" w:cs="Consolas"/>
          <w:b w:val="0"/>
          <w:i w:val="0"/>
          <w:sz w:val="15"/>
        </w:rPr>
        <w:t>+ 123456789 (9-digit serial, unique per pallet) + 0 (check digit)</w:t>
      </w:r>
    </w:p>
    <w:p>
      <w:pPr>
        <w:spacing w:after="0" w:before="0" w:line="240" w:lineRule="auto"/>
        <w:ind w:left="57"/>
        <w:jc w:val="left"/>
        <w:shd w:val="clear" w:fill="F2F2F2"/>
      </w:pPr>
      <w:r>
        <w:rPr>
          <w:rFonts w:ascii="Consolas" w:hAnsi="Consolas" w:cs="Consolas"/>
          <w:b w:val="0"/>
          <w:i w:val="0"/>
          <w:sz w:val="15"/>
        </w:rPr>
        <w:t>Example: 106141411234567890</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SSCC generation algorithm:</w:t>
      </w:r>
    </w:p>
    <w:p>
      <w:pPr>
        <w:spacing w:after="0" w:before="0" w:line="240" w:lineRule="auto"/>
        <w:ind w:left="57"/>
        <w:jc w:val="left"/>
        <w:shd w:val="clear" w:fill="F2F2F2"/>
      </w:pPr>
      <w:r>
        <w:rPr>
          <w:rFonts w:ascii="Consolas" w:hAnsi="Consolas" w:cs="Consolas"/>
          <w:b w:val="0"/>
          <w:i w:val="0"/>
          <w:sz w:val="15"/>
        </w:rPr>
        <w:t>fn generate_sscc(extension_digit: u8, company_prefix: &amp;str, serial: u64) -&gt; String {</w:t>
      </w:r>
    </w:p>
    <w:p>
      <w:pPr>
        <w:spacing w:after="0" w:before="0" w:line="240" w:lineRule="auto"/>
        <w:ind w:left="57"/>
        <w:jc w:val="left"/>
        <w:shd w:val="clear" w:fill="F2F2F2"/>
      </w:pPr>
      <w:r>
        <w:rPr>
          <w:rFonts w:ascii="Consolas" w:hAnsi="Consolas" w:cs="Consolas"/>
          <w:b w:val="0"/>
          <w:i w:val="0"/>
          <w:sz w:val="15"/>
        </w:rPr>
        <w:t xml:space="preserve">    let base = format!("{}{}{:09}", extension_digit, company_prefix, serial);</w:t>
      </w:r>
    </w:p>
    <w:p>
      <w:pPr>
        <w:spacing w:after="0" w:before="0" w:line="240" w:lineRule="auto"/>
        <w:ind w:left="57"/>
        <w:jc w:val="left"/>
        <w:shd w:val="clear" w:fill="F2F2F2"/>
      </w:pPr>
      <w:r>
        <w:rPr>
          <w:rFonts w:ascii="Consolas" w:hAnsi="Consolas" w:cs="Consolas"/>
          <w:b w:val="0"/>
          <w:i w:val="0"/>
          <w:sz w:val="15"/>
        </w:rPr>
        <w:t xml:space="preserve">    let check_digit = calculate_gs1_check_digit(&amp;base);</w:t>
      </w:r>
    </w:p>
    <w:p>
      <w:pPr>
        <w:spacing w:after="0" w:before="0" w:line="240" w:lineRule="auto"/>
        <w:ind w:left="57"/>
        <w:jc w:val="left"/>
        <w:shd w:val="clear" w:fill="F2F2F2"/>
      </w:pPr>
      <w:r>
        <w:rPr>
          <w:rFonts w:ascii="Consolas" w:hAnsi="Consolas" w:cs="Consolas"/>
          <w:b w:val="0"/>
          <w:i w:val="0"/>
          <w:sz w:val="15"/>
        </w:rPr>
        <w:t xml:space="preserve">    format!("{}{}", base, check_digit)</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fn calculate_gs1_check_digit(base: &amp;str) -&gt; u8 {</w:t>
      </w:r>
    </w:p>
    <w:p>
      <w:pPr>
        <w:spacing w:after="0" w:before="0" w:line="240" w:lineRule="auto"/>
        <w:ind w:left="57"/>
        <w:jc w:val="left"/>
        <w:shd w:val="clear" w:fill="F2F2F2"/>
      </w:pPr>
      <w:r>
        <w:rPr>
          <w:rFonts w:ascii="Consolas" w:hAnsi="Consolas" w:cs="Consolas"/>
          <w:b w:val="0"/>
          <w:i w:val="0"/>
          <w:sz w:val="15"/>
        </w:rPr>
        <w:t xml:space="preserve">    let mut sum = 0;</w:t>
      </w:r>
    </w:p>
    <w:p>
      <w:pPr>
        <w:spacing w:after="0" w:before="0" w:line="240" w:lineRule="auto"/>
        <w:ind w:left="57"/>
        <w:jc w:val="left"/>
        <w:shd w:val="clear" w:fill="F2F2F2"/>
      </w:pPr>
      <w:r>
        <w:rPr>
          <w:rFonts w:ascii="Consolas" w:hAnsi="Consolas" w:cs="Consolas"/>
          <w:b w:val="0"/>
          <w:i w:val="0"/>
          <w:sz w:val="15"/>
        </w:rPr>
        <w:t xml:space="preserve">    for (i, c) in base.chars().enumerate() {</w:t>
      </w:r>
    </w:p>
    <w:p>
      <w:pPr>
        <w:spacing w:after="0" w:before="0" w:line="240" w:lineRule="auto"/>
        <w:ind w:left="57"/>
        <w:jc w:val="left"/>
        <w:shd w:val="clear" w:fill="F2F2F2"/>
      </w:pPr>
      <w:r>
        <w:rPr>
          <w:rFonts w:ascii="Consolas" w:hAnsi="Consolas" w:cs="Consolas"/>
          <w:b w:val="0"/>
          <w:i w:val="0"/>
          <w:sz w:val="15"/>
        </w:rPr>
        <w:t xml:space="preserve">        let digit = c.to_digit(10).unwrap();</w:t>
      </w:r>
    </w:p>
    <w:p>
      <w:pPr>
        <w:spacing w:after="0" w:before="0" w:line="240" w:lineRule="auto"/>
        <w:ind w:left="57"/>
        <w:jc w:val="left"/>
        <w:shd w:val="clear" w:fill="F2F2F2"/>
      </w:pPr>
      <w:r>
        <w:rPr>
          <w:rFonts w:ascii="Consolas" w:hAnsi="Consolas" w:cs="Consolas"/>
          <w:b w:val="0"/>
          <w:i w:val="0"/>
          <w:sz w:val="15"/>
        </w:rPr>
        <w:t xml:space="preserve">        if i % 2 == 0 {</w:t>
      </w:r>
    </w:p>
    <w:p>
      <w:pPr>
        <w:spacing w:after="0" w:before="0" w:line="240" w:lineRule="auto"/>
        <w:ind w:left="57"/>
        <w:jc w:val="left"/>
        <w:shd w:val="clear" w:fill="F2F2F2"/>
      </w:pPr>
      <w:r>
        <w:rPr>
          <w:rFonts w:ascii="Consolas" w:hAnsi="Consolas" w:cs="Consolas"/>
          <w:b w:val="0"/>
          <w:i w:val="0"/>
          <w:sz w:val="15"/>
        </w:rPr>
        <w:t xml:space="preserve">            sum += digit * 3;</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sum += digit * 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let remainder = sum % 10;</w:t>
      </w:r>
    </w:p>
    <w:p>
      <w:pPr>
        <w:spacing w:after="0" w:before="0" w:line="240" w:lineRule="auto"/>
        <w:ind w:left="57"/>
        <w:jc w:val="left"/>
        <w:shd w:val="clear" w:fill="F2F2F2"/>
      </w:pPr>
      <w:r>
        <w:rPr>
          <w:rFonts w:ascii="Consolas" w:hAnsi="Consolas" w:cs="Consolas"/>
          <w:b w:val="0"/>
          <w:i w:val="0"/>
          <w:sz w:val="15"/>
        </w:rPr>
        <w:t xml:space="preserve">    if remainder == 0 {</w:t>
      </w:r>
    </w:p>
    <w:p>
      <w:pPr>
        <w:spacing w:after="0" w:before="0" w:line="240" w:lineRule="auto"/>
        <w:ind w:left="57"/>
        <w:jc w:val="left"/>
        <w:shd w:val="clear" w:fill="F2F2F2"/>
      </w:pPr>
      <w:r>
        <w:rPr>
          <w:rFonts w:ascii="Consolas" w:hAnsi="Consolas" w:cs="Consolas"/>
          <w:b w:val="0"/>
          <w:i w:val="0"/>
          <w:sz w:val="15"/>
        </w:rPr>
        <w:t xml:space="preserve">        0</w:t>
      </w:r>
    </w:p>
    <w:p>
      <w:pPr>
        <w:spacing w:after="0" w:before="0" w:line="240" w:lineRule="auto"/>
        <w:ind w:left="57"/>
        <w:jc w:val="left"/>
        <w:shd w:val="clear" w:fill="F2F2F2"/>
      </w:pPr>
      <w:r>
        <w:rPr>
          <w:rFonts w:ascii="Consolas" w:hAnsi="Consolas" w:cs="Consolas"/>
          <w:b w:val="0"/>
          <w:i w:val="0"/>
          <w:sz w:val="15"/>
        </w:rPr>
        <w:t xml:space="preserve">    } else {</w:t>
      </w:r>
    </w:p>
    <w:p>
      <w:pPr>
        <w:spacing w:after="0" w:before="0" w:line="240" w:lineRule="auto"/>
        <w:ind w:left="57"/>
        <w:jc w:val="left"/>
        <w:shd w:val="clear" w:fill="F2F2F2"/>
      </w:pPr>
      <w:r>
        <w:rPr>
          <w:rFonts w:ascii="Consolas" w:hAnsi="Consolas" w:cs="Consolas"/>
          <w:b w:val="0"/>
          <w:i w:val="0"/>
          <w:sz w:val="15"/>
        </w:rPr>
        <w:t xml:space="preserve">        10 - remainder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Multi-shipment support: for multi-shipment contracts, the SSCC includes an internal reference to the shipment number (encoded in the serial range). Each shipment's pallets are assigned from a distinct serial block.</w:t>
      </w:r>
    </w:p>
    <w:p>
      <w:pPr>
        <w:spacing w:after="80" w:line="293" w:lineRule="auto"/>
        <w:jc w:val="left"/>
      </w:pPr>
      <w:r>
        <w:rPr>
          <w:rFonts w:ascii="Times New Roman" w:hAnsi="Times New Roman" w:cs="Times New Roman"/>
          <w:b w:val="0"/>
          <w:i w:val="0"/>
          <w:sz w:val="22"/>
        </w:rPr>
        <w:t>Distressed micro-contracts: when a distressed partial sale occurs (Section 14), a new microUSTN is generated, and new SSCCs may be generated for the split pallets (or existing ones retained with a flag). The mapping is stored in `pallet_details` with a micro_ustn reference.</w:t>
      </w:r>
    </w:p>
    <w:p>
      <w:pPr>
        <w:keepNext/>
        <w:spacing w:before="140" w:after="60"/>
        <w:outlineLvl w:val="3"/>
      </w:pPr>
      <w:r>
        <w:rPr>
          <w:rFonts w:ascii="Arial" w:hAnsi="Arial" w:cs="Arial"/>
          <w:b/>
          <w:i/>
          <w:color w:val="333333"/>
          <w:sz w:val="22"/>
        </w:rPr>
        <w:t>23.3.3.2 QR Code Payload (Dynamic per Stakeholder)</w:t>
      </w:r>
    </w:p>
    <w:p>
      <w:pPr>
        <w:spacing w:after="80" w:line="293" w:lineRule="auto"/>
        <w:jc w:val="left"/>
      </w:pPr>
      <w:r>
        <w:rPr>
          <w:rFonts w:ascii="Times New Roman" w:hAnsi="Times New Roman" w:cs="Times New Roman"/>
          <w:b w:val="0"/>
          <w:i w:val="0"/>
          <w:sz w:val="22"/>
        </w:rPr>
        <w:t>In addition to the linear barcode, a QR code is generated that encodes a JSON payload. The AI (Groq, A1) decides which attributes to include based on the intended audience of that specific label copy (the seller can select from predefined templates or customise).</w:t>
      </w:r>
    </w:p>
    <w:p>
      <w:pPr>
        <w:spacing w:after="80" w:line="293" w:lineRule="auto"/>
        <w:jc w:val="left"/>
      </w:pPr>
      <w:r>
        <w:rPr>
          <w:rFonts w:ascii="Times New Roman" w:hAnsi="Times New Roman" w:cs="Times New Roman"/>
          <w:b w:val="0"/>
          <w:i w:val="0"/>
          <w:sz w:val="22"/>
        </w:rPr>
        <w:t>QR payload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"pallet_id": "PAL-002",</w:t>
      </w:r>
    </w:p>
    <w:p>
      <w:pPr>
        <w:spacing w:after="0" w:before="0" w:line="240" w:lineRule="auto"/>
        <w:ind w:left="57"/>
        <w:jc w:val="left"/>
        <w:shd w:val="clear" w:fill="F2F2F2"/>
      </w:pPr>
      <w:r>
        <w:rPr>
          <w:rFonts w:ascii="Consolas" w:hAnsi="Consolas" w:cs="Consolas"/>
          <w:b w:val="0"/>
          <w:i w:val="0"/>
          <w:sz w:val="15"/>
        </w:rPr>
        <w:t xml:space="preserve">  "sscc": "106141411234567891",</w:t>
      </w:r>
    </w:p>
    <w:p>
      <w:pPr>
        <w:spacing w:after="0" w:before="0" w:line="240" w:lineRule="auto"/>
        <w:ind w:left="57"/>
        <w:jc w:val="left"/>
        <w:shd w:val="clear" w:fill="F2F2F2"/>
      </w:pPr>
      <w:r>
        <w:rPr>
          <w:rFonts w:ascii="Consolas" w:hAnsi="Consolas" w:cs="Consolas"/>
          <w:b w:val="0"/>
          <w:i w:val="0"/>
          <w:sz w:val="15"/>
        </w:rPr>
        <w:t xml:space="preserve">  "product": "Fresh oranges",</w:t>
      </w:r>
    </w:p>
    <w:p>
      <w:pPr>
        <w:spacing w:after="0" w:before="0" w:line="240" w:lineRule="auto"/>
        <w:ind w:left="57"/>
        <w:jc w:val="left"/>
        <w:shd w:val="clear" w:fill="F2F2F2"/>
      </w:pPr>
      <w:r>
        <w:rPr>
          <w:rFonts w:ascii="Consolas" w:hAnsi="Consolas" w:cs="Consolas"/>
          <w:b w:val="0"/>
          <w:i w:val="0"/>
          <w:sz w:val="15"/>
        </w:rPr>
        <w:t xml:space="preserve">  "lot": "OR-2026-0412",</w:t>
      </w:r>
    </w:p>
    <w:p>
      <w:pPr>
        <w:spacing w:after="0" w:before="0" w:line="240" w:lineRule="auto"/>
        <w:ind w:left="57"/>
        <w:jc w:val="left"/>
        <w:shd w:val="clear" w:fill="F2F2F2"/>
      </w:pPr>
      <w:r>
        <w:rPr>
          <w:rFonts w:ascii="Consolas" w:hAnsi="Consolas" w:cs="Consolas"/>
          <w:b w:val="0"/>
          <w:i w:val="0"/>
          <w:sz w:val="15"/>
        </w:rPr>
        <w:t xml:space="preserve">  "net_weight_kg": 1110,</w:t>
      </w:r>
    </w:p>
    <w:p>
      <w:pPr>
        <w:spacing w:after="0" w:before="0" w:line="240" w:lineRule="auto"/>
        <w:ind w:left="57"/>
        <w:jc w:val="left"/>
        <w:shd w:val="clear" w:fill="F2F2F2"/>
      </w:pPr>
      <w:r>
        <w:rPr>
          <w:rFonts w:ascii="Consolas" w:hAnsi="Consolas" w:cs="Consolas"/>
          <w:b w:val="0"/>
          <w:i w:val="0"/>
          <w:sz w:val="15"/>
        </w:rPr>
        <w:t xml:space="preserve">  "gross_weight_kg": 1165,</w:t>
      </w:r>
    </w:p>
    <w:p>
      <w:pPr>
        <w:spacing w:after="0" w:before="0" w:line="240" w:lineRule="auto"/>
        <w:ind w:left="57"/>
        <w:jc w:val="left"/>
        <w:shd w:val="clear" w:fill="F2F2F2"/>
      </w:pPr>
      <w:r>
        <w:rPr>
          <w:rFonts w:ascii="Consolas" w:hAnsi="Consolas" w:cs="Consolas"/>
          <w:b w:val="0"/>
          <w:i w:val="0"/>
          <w:sz w:val="15"/>
        </w:rPr>
        <w:t xml:space="preserve">  "layer_summary": "11×10 + 1×1 cartons",</w:t>
      </w:r>
    </w:p>
    <w:p>
      <w:pPr>
        <w:spacing w:after="0" w:before="0" w:line="240" w:lineRule="auto"/>
        <w:ind w:left="57"/>
        <w:jc w:val="left"/>
        <w:shd w:val="clear" w:fill="F2F2F2"/>
      </w:pPr>
      <w:r>
        <w:rPr>
          <w:rFonts w:ascii="Consolas" w:hAnsi="Consolas" w:cs="Consolas"/>
          <w:b w:val="0"/>
          <w:i w:val="0"/>
          <w:sz w:val="15"/>
        </w:rPr>
        <w:t xml:space="preserve">  "cold_treatment_cert": "CT-20260415-001",</w:t>
      </w:r>
    </w:p>
    <w:p>
      <w:pPr>
        <w:spacing w:after="0" w:before="0" w:line="240" w:lineRule="auto"/>
        <w:ind w:left="57"/>
        <w:jc w:val="left"/>
        <w:shd w:val="clear" w:fill="F2F2F2"/>
      </w:pPr>
      <w:r>
        <w:rPr>
          <w:rFonts w:ascii="Consolas" w:hAnsi="Consolas" w:cs="Consolas"/>
          <w:b w:val="0"/>
          <w:i w:val="0"/>
          <w:sz w:val="15"/>
        </w:rPr>
        <w:t xml:space="preserve">  "verify_url": "https://sgtx.io/verify/pallet?sscc=106141411234567891",</w:t>
      </w:r>
    </w:p>
    <w:p>
      <w:pPr>
        <w:spacing w:after="0" w:before="0" w:line="240" w:lineRule="auto"/>
        <w:ind w:left="57"/>
        <w:jc w:val="left"/>
        <w:shd w:val="clear" w:fill="F2F2F2"/>
      </w:pPr>
      <w:r>
        <w:rPr>
          <w:rFonts w:ascii="Consolas" w:hAnsi="Consolas" w:cs="Consolas"/>
          <w:b w:val="0"/>
          <w:i w:val="0"/>
          <w:sz w:val="15"/>
        </w:rPr>
        <w:t xml:space="preserve">  "verifiable_credential": {</w:t>
      </w:r>
    </w:p>
    <w:p>
      <w:pPr>
        <w:spacing w:after="0" w:before="0" w:line="240" w:lineRule="auto"/>
        <w:ind w:left="57"/>
        <w:jc w:val="left"/>
        <w:shd w:val="clear" w:fill="F2F2F2"/>
      </w:pPr>
      <w:r>
        <w:rPr>
          <w:rFonts w:ascii="Consolas" w:hAnsi="Consolas" w:cs="Consolas"/>
          <w:b w:val="0"/>
          <w:i w:val="0"/>
          <w:sz w:val="15"/>
        </w:rPr>
        <w:t xml:space="preserve">    "type": "VerifiableCredential",</w:t>
      </w:r>
    </w:p>
    <w:p>
      <w:pPr>
        <w:spacing w:after="0" w:before="0" w:line="240" w:lineRule="auto"/>
        <w:ind w:left="57"/>
        <w:jc w:val="left"/>
        <w:shd w:val="clear" w:fill="F2F2F2"/>
      </w:pPr>
      <w:r>
        <w:rPr>
          <w:rFonts w:ascii="Consolas" w:hAnsi="Consolas" w:cs="Consolas"/>
          <w:b w:val="0"/>
          <w:i w:val="0"/>
          <w:sz w:val="15"/>
        </w:rPr>
        <w:t xml:space="preserve">    "issuer": "https://sgtx.io/issuers/platform",</w:t>
      </w:r>
    </w:p>
    <w:p>
      <w:pPr>
        <w:spacing w:after="0" w:before="0" w:line="240" w:lineRule="auto"/>
        <w:ind w:left="57"/>
        <w:jc w:val="left"/>
        <w:shd w:val="clear" w:fill="F2F2F2"/>
      </w:pPr>
      <w:r>
        <w:rPr>
          <w:rFonts w:ascii="Consolas" w:hAnsi="Consolas" w:cs="Consolas"/>
          <w:b w:val="0"/>
          <w:i w:val="0"/>
          <w:sz w:val="15"/>
        </w:rPr>
        <w:t xml:space="preserve">    "proof": "base64..."</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Templates: Standard, Customs-Ready, Consignee, Treatment-Aware (see 23.3.7.2). AI assistance (A1, Groq): the AI suggests the optimal template based on the trade destination, commodity, and user role. The seller can override.</w:t>
      </w:r>
    </w:p>
    <w:p>
      <w:pPr>
        <w:keepNext/>
        <w:spacing w:before="140" w:after="60"/>
        <w:outlineLvl w:val="3"/>
      </w:pPr>
      <w:r>
        <w:rPr>
          <w:rFonts w:ascii="Arial" w:hAnsi="Arial" w:cs="Arial"/>
          <w:b/>
          <w:i/>
          <w:color w:val="333333"/>
          <w:sz w:val="22"/>
        </w:rPr>
        <w:t>23.3.3.3 Self-Sovereign Pallet Identity (Verifiable Credential)</w:t>
      </w:r>
    </w:p>
    <w:p>
      <w:pPr>
        <w:spacing w:after="80" w:line="293" w:lineRule="auto"/>
        <w:jc w:val="left"/>
      </w:pPr>
      <w:r>
        <w:rPr>
          <w:rFonts w:ascii="Times New Roman" w:hAnsi="Times New Roman" w:cs="Times New Roman"/>
          <w:b w:val="0"/>
          <w:i w:val="0"/>
          <w:sz w:val="22"/>
        </w:rPr>
        <w:t>Each SSCC is also issued a W3C Verifiable Credential signed by the platform. This credential contains the pallet's immutable identity data (product, lot, weight, origin, USTN, GTIDs) and can be embedded in the QR code as a compact URL or raw VC.</w:t>
      </w:r>
    </w:p>
    <w:p>
      <w:pPr>
        <w:spacing w:after="80" w:line="293" w:lineRule="auto"/>
        <w:jc w:val="left"/>
      </w:pPr>
      <w:r>
        <w:rPr>
          <w:rFonts w:ascii="Times New Roman" w:hAnsi="Times New Roman" w:cs="Times New Roman"/>
          <w:b w:val="0"/>
          <w:i w:val="0"/>
          <w:sz w:val="22"/>
        </w:rPr>
        <w:t>Verifiable credential structure: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"@context": ["https://www.w3.org/2018/credentials/v1"],</w:t>
      </w:r>
    </w:p>
    <w:p>
      <w:pPr>
        <w:spacing w:after="0" w:before="0" w:line="240" w:lineRule="auto"/>
        <w:ind w:left="57"/>
        <w:jc w:val="left"/>
        <w:shd w:val="clear" w:fill="F2F2F2"/>
      </w:pPr>
      <w:r>
        <w:rPr>
          <w:rFonts w:ascii="Consolas" w:hAnsi="Consolas" w:cs="Consolas"/>
          <w:b w:val="0"/>
          <w:i w:val="0"/>
          <w:sz w:val="15"/>
        </w:rPr>
        <w:t xml:space="preserve">  "id": "https://sgtx.io/credentials/pallet/106141411234567891",</w:t>
      </w:r>
    </w:p>
    <w:p>
      <w:pPr>
        <w:spacing w:after="0" w:before="0" w:line="240" w:lineRule="auto"/>
        <w:ind w:left="57"/>
        <w:jc w:val="left"/>
        <w:shd w:val="clear" w:fill="F2F2F2"/>
      </w:pPr>
      <w:r>
        <w:rPr>
          <w:rFonts w:ascii="Consolas" w:hAnsi="Consolas" w:cs="Consolas"/>
          <w:b w:val="0"/>
          <w:i w:val="0"/>
          <w:sz w:val="15"/>
        </w:rPr>
        <w:t xml:space="preserve">  "type": ["VerifiableCredential", "PalletCredential"],</w:t>
      </w:r>
    </w:p>
    <w:p>
      <w:pPr>
        <w:spacing w:after="0" w:before="0" w:line="240" w:lineRule="auto"/>
        <w:ind w:left="57"/>
        <w:jc w:val="left"/>
        <w:shd w:val="clear" w:fill="F2F2F2"/>
      </w:pPr>
      <w:r>
        <w:rPr>
          <w:rFonts w:ascii="Consolas" w:hAnsi="Consolas" w:cs="Consolas"/>
          <w:b w:val="0"/>
          <w:i w:val="0"/>
          <w:sz w:val="15"/>
        </w:rPr>
        <w:t xml:space="preserve">  "issuer": "https://sgtx.io/issuers/platform",</w:t>
      </w:r>
    </w:p>
    <w:p>
      <w:pPr>
        <w:spacing w:after="0" w:before="0" w:line="240" w:lineRule="auto"/>
        <w:ind w:left="57"/>
        <w:jc w:val="left"/>
        <w:shd w:val="clear" w:fill="F2F2F2"/>
      </w:pPr>
      <w:r>
        <w:rPr>
          <w:rFonts w:ascii="Consolas" w:hAnsi="Consolas" w:cs="Consolas"/>
          <w:b w:val="0"/>
          <w:i w:val="0"/>
          <w:sz w:val="15"/>
        </w:rPr>
        <w:t xml:space="preserve">  "issuanceDate": "2026-04-15T12:00:00Z",</w:t>
      </w:r>
    </w:p>
    <w:p>
      <w:pPr>
        <w:spacing w:after="0" w:before="0" w:line="240" w:lineRule="auto"/>
        <w:ind w:left="57"/>
        <w:jc w:val="left"/>
        <w:shd w:val="clear" w:fill="F2F2F2"/>
      </w:pPr>
      <w:r>
        <w:rPr>
          <w:rFonts w:ascii="Consolas" w:hAnsi="Consolas" w:cs="Consolas"/>
          <w:b w:val="0"/>
          <w:i w:val="0"/>
          <w:sz w:val="15"/>
        </w:rPr>
        <w:t xml:space="preserve">  "credentialSubject": {</w:t>
      </w:r>
    </w:p>
    <w:p>
      <w:pPr>
        <w:spacing w:after="0" w:before="0" w:line="240" w:lineRule="auto"/>
        <w:ind w:left="57"/>
        <w:jc w:val="left"/>
        <w:shd w:val="clear" w:fill="F2F2F2"/>
      </w:pPr>
      <w:r>
        <w:rPr>
          <w:rFonts w:ascii="Consolas" w:hAnsi="Consolas" w:cs="Consolas"/>
          <w:b w:val="0"/>
          <w:i w:val="0"/>
          <w:sz w:val="15"/>
        </w:rPr>
        <w:t xml:space="preserve">    "sscc": "106141411234567891",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"product": "Fresh oranges",</w:t>
      </w:r>
    </w:p>
    <w:p>
      <w:pPr>
        <w:spacing w:after="0" w:before="0" w:line="240" w:lineRule="auto"/>
        <w:ind w:left="57"/>
        <w:jc w:val="left"/>
        <w:shd w:val="clear" w:fill="F2F2F2"/>
      </w:pPr>
      <w:r>
        <w:rPr>
          <w:rFonts w:ascii="Consolas" w:hAnsi="Consolas" w:cs="Consolas"/>
          <w:b w:val="0"/>
          <w:i w:val="0"/>
          <w:sz w:val="15"/>
        </w:rPr>
        <w:t xml:space="preserve">    "lot": "OR-2026-0412",</w:t>
      </w:r>
    </w:p>
    <w:p>
      <w:pPr>
        <w:spacing w:after="0" w:before="0" w:line="240" w:lineRule="auto"/>
        <w:ind w:left="57"/>
        <w:jc w:val="left"/>
        <w:shd w:val="clear" w:fill="F2F2F2"/>
      </w:pPr>
      <w:r>
        <w:rPr>
          <w:rFonts w:ascii="Consolas" w:hAnsi="Consolas" w:cs="Consolas"/>
          <w:b w:val="0"/>
          <w:i w:val="0"/>
          <w:sz w:val="15"/>
        </w:rPr>
        <w:t xml:space="preserve">    "net_weight_kg": 1110,</w:t>
      </w:r>
    </w:p>
    <w:p>
      <w:pPr>
        <w:spacing w:after="0" w:before="0" w:line="240" w:lineRule="auto"/>
        <w:ind w:left="57"/>
        <w:jc w:val="left"/>
        <w:shd w:val="clear" w:fill="F2F2F2"/>
      </w:pPr>
      <w:r>
        <w:rPr>
          <w:rFonts w:ascii="Consolas" w:hAnsi="Consolas" w:cs="Consolas"/>
          <w:b w:val="0"/>
          <w:i w:val="0"/>
          <w:sz w:val="15"/>
        </w:rPr>
        <w:t xml:space="preserve">    "origin_country": "EG",</w:t>
      </w:r>
    </w:p>
    <w:p>
      <w:pPr>
        <w:spacing w:after="0" w:before="0" w:line="240" w:lineRule="auto"/>
        <w:ind w:left="57"/>
        <w:jc w:val="left"/>
        <w:shd w:val="clear" w:fill="F2F2F2"/>
      </w:pPr>
      <w:r>
        <w:rPr>
          <w:rFonts w:ascii="Consolas" w:hAnsi="Consolas" w:cs="Consolas"/>
          <w:b w:val="0"/>
          <w:i w:val="0"/>
          <w:sz w:val="15"/>
        </w:rPr>
        <w:t xml:space="preserve">    "cold_treatment_cert": "CT-20260415-001"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"proof": {</w:t>
      </w:r>
    </w:p>
    <w:p>
      <w:pPr>
        <w:spacing w:after="0" w:before="0" w:line="240" w:lineRule="auto"/>
        <w:ind w:left="57"/>
        <w:jc w:val="left"/>
        <w:shd w:val="clear" w:fill="F2F2F2"/>
      </w:pPr>
      <w:r>
        <w:rPr>
          <w:rFonts w:ascii="Consolas" w:hAnsi="Consolas" w:cs="Consolas"/>
          <w:b w:val="0"/>
          <w:i w:val="0"/>
          <w:sz w:val="15"/>
        </w:rPr>
        <w:t xml:space="preserve">    "type": "Ed25519Signature2020",</w:t>
      </w:r>
    </w:p>
    <w:p>
      <w:pPr>
        <w:spacing w:after="0" w:before="0" w:line="240" w:lineRule="auto"/>
        <w:ind w:left="57"/>
        <w:jc w:val="left"/>
        <w:shd w:val="clear" w:fill="F2F2F2"/>
      </w:pPr>
      <w:r>
        <w:rPr>
          <w:rFonts w:ascii="Consolas" w:hAnsi="Consolas" w:cs="Consolas"/>
          <w:b w:val="0"/>
          <w:i w:val="0"/>
          <w:sz w:val="15"/>
        </w:rPr>
        <w:t xml:space="preserve">    "created": "2026-04-15T12:00:00Z",</w:t>
      </w:r>
    </w:p>
    <w:p>
      <w:pPr>
        <w:spacing w:after="0" w:before="0" w:line="240" w:lineRule="auto"/>
        <w:ind w:left="57"/>
        <w:jc w:val="left"/>
        <w:shd w:val="clear" w:fill="F2F2F2"/>
      </w:pPr>
      <w:r>
        <w:rPr>
          <w:rFonts w:ascii="Consolas" w:hAnsi="Consolas" w:cs="Consolas"/>
          <w:b w:val="0"/>
          <w:i w:val="0"/>
          <w:sz w:val="15"/>
        </w:rPr>
        <w:t xml:space="preserve">    "proofPurpose": "assertionMethod",</w:t>
      </w:r>
    </w:p>
    <w:p>
      <w:pPr>
        <w:spacing w:after="0" w:before="0" w:line="240" w:lineRule="auto"/>
        <w:ind w:left="57"/>
        <w:jc w:val="left"/>
        <w:shd w:val="clear" w:fill="F2F2F2"/>
      </w:pPr>
      <w:r>
        <w:rPr>
          <w:rFonts w:ascii="Consolas" w:hAnsi="Consolas" w:cs="Consolas"/>
          <w:b w:val="0"/>
          <w:i w:val="0"/>
          <w:sz w:val="15"/>
        </w:rPr>
        <w:t xml:space="preserve">    "verificationMethod": "https://sgtx.io/keys/ed25519",</w:t>
      </w:r>
    </w:p>
    <w:p>
      <w:pPr>
        <w:spacing w:after="0" w:before="0" w:line="240" w:lineRule="auto"/>
        <w:ind w:left="57"/>
        <w:jc w:val="left"/>
        <w:shd w:val="clear" w:fill="F2F2F2"/>
      </w:pPr>
      <w:r>
        <w:rPr>
          <w:rFonts w:ascii="Consolas" w:hAnsi="Consolas" w:cs="Consolas"/>
          <w:b w:val="0"/>
          <w:i w:val="0"/>
          <w:sz w:val="15"/>
        </w:rPr>
        <w:t xml:space="preserve">    "signature": "base58..."</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Offline verification: a recipient can scan the QR and verify the pallet's provenance without internet access, using only the platform public key (pre-cached in the mobile app). This is achieved via a lightweight ZK proof (Plonky3) that the data matches the platform's signature.</w:t>
      </w:r>
    </w:p>
    <w:p>
      <w:pPr>
        <w:spacing w:after="80" w:line="293" w:lineRule="auto"/>
        <w:jc w:val="left"/>
      </w:pPr>
      <w:r>
        <w:rPr>
          <w:rFonts w:ascii="Times New Roman" w:hAnsi="Times New Roman" w:cs="Times New Roman"/>
          <w:b w:val="0"/>
          <w:i w:val="0"/>
          <w:sz w:val="22"/>
        </w:rPr>
        <w:t>Verification flow (offline):</w:t>
      </w:r>
    </w:p>
    <w:p>
      <w:pPr>
        <w:spacing w:after="80" w:line="293" w:lineRule="auto"/>
        <w:jc w:val="left"/>
      </w:pPr>
      <w:r>
        <w:rPr>
          <w:rFonts w:ascii="Times New Roman" w:hAnsi="Times New Roman" w:cs="Times New Roman"/>
          <w:b w:val="0"/>
          <w:i w:val="0"/>
          <w:sz w:val="22"/>
        </w:rPr>
        <w:t>1. The mobile app scans the QR → extracts the Verifiable Credential. 2. The app checks the credential's signature against the cached platform public key. 3. The app validates that the credential has not expired. 4. The app displays a green checkmark: "Verified — Lot VN2406L, 48 cartons, 384 kg. No internet required."</w:t>
      </w:r>
    </w:p>
    <w:p>
      <w:pPr>
        <w:keepNext/>
        <w:spacing w:before="140" w:after="60"/>
        <w:outlineLvl w:val="3"/>
      </w:pPr>
      <w:r>
        <w:rPr>
          <w:rFonts w:ascii="Arial" w:hAnsi="Arial" w:cs="Arial"/>
          <w:b/>
          <w:i/>
          <w:color w:val="333333"/>
          <w:sz w:val="22"/>
        </w:rPr>
        <w:t>23.3.3.4 AI-Planned Label Layout</w:t>
      </w:r>
    </w:p>
    <w:p>
      <w:pPr>
        <w:spacing w:after="80" w:line="293" w:lineRule="auto"/>
        <w:jc w:val="left"/>
      </w:pPr>
      <w:r>
        <w:rPr>
          <w:rFonts w:ascii="Times New Roman" w:hAnsi="Times New Roman" w:cs="Times New Roman"/>
          <w:b w:val="0"/>
          <w:i w:val="0"/>
          <w:sz w:val="22"/>
        </w:rPr>
        <w:t>When generating printable label sheets (PDF), the system uses an AI planner (LightGBM) to optimise label placement on A4 sheets to minimise waste. It also adjusts font sizes and data density based on the label size and the amount of information requested by the user.</w:t>
      </w:r>
    </w:p>
    <w:p>
      <w:pPr>
        <w:keepNext/>
        <w:spacing w:before="180" w:after="80"/>
        <w:outlineLvl w:val="2"/>
      </w:pPr>
      <w:r>
        <w:rPr>
          <w:rFonts w:ascii="Arial" w:hAnsi="Arial" w:cs="Arial"/>
          <w:b/>
          <w:i w:val="0"/>
          <w:color w:val="333333"/>
          <w:sz w:val="23"/>
        </w:rPr>
        <w:t>23.3.4 Multi-Modal Pallet Identification (Offline &amp; Online)</w:t>
      </w:r>
    </w:p>
    <w:p>
      <w:pPr>
        <w:spacing w:after="80" w:line="293" w:lineRule="auto"/>
        <w:jc w:val="left"/>
      </w:pPr>
      <w:r>
        <w:rPr>
          <w:rFonts w:ascii="Times New Roman" w:hAnsi="Times New Roman" w:cs="Times New Roman"/>
          <w:b w:val="0"/>
          <w:i w:val="0"/>
          <w:sz w:val="22"/>
        </w:rPr>
        <w:t>Three independent identification methods work seamlessly together:</w:t>
      </w:r>
    </w:p>
    <w:p>
      <w:pPr>
        <w:keepNext/>
        <w:spacing w:before="140" w:after="60"/>
        <w:outlineLvl w:val="3"/>
      </w:pPr>
      <w:r>
        <w:rPr>
          <w:rFonts w:ascii="Arial" w:hAnsi="Arial" w:cs="Arial"/>
          <w:b/>
          <w:i/>
          <w:color w:val="333333"/>
          <w:sz w:val="22"/>
        </w:rPr>
        <w:t>23.3.4.1 Camera-Based Barcode Scanning (ZXingC++)</w:t>
      </w:r>
    </w:p>
    <w:p>
      <w:pPr>
        <w:spacing w:after="80" w:line="293" w:lineRule="auto"/>
        <w:ind w:left="283"/>
        <w:jc w:val="left"/>
      </w:pPr>
      <w:r>
        <w:rPr>
          <w:rFonts w:ascii="Times New Roman" w:hAnsi="Times New Roman" w:cs="Times New Roman"/>
          <w:b w:val="0"/>
          <w:i w:val="0"/>
          <w:sz w:val="22"/>
        </w:rPr>
        <w:t>- Decodes GS1-128 and QR codes in real time.</w:t>
      </w:r>
    </w:p>
    <w:p>
      <w:pPr>
        <w:spacing w:after="80" w:line="293" w:lineRule="auto"/>
        <w:ind w:left="283"/>
        <w:jc w:val="left"/>
      </w:pPr>
      <w:r>
        <w:rPr>
          <w:rFonts w:ascii="Times New Roman" w:hAnsi="Times New Roman" w:cs="Times New Roman"/>
          <w:b w:val="0"/>
          <w:i w:val="0"/>
          <w:sz w:val="22"/>
        </w:rPr>
        <w:t>- Continuous scanning mode: a successful decode triggers haptic feedback and advances to the next</w:t>
      </w:r>
    </w:p>
    <w:p>
      <w:pPr>
        <w:spacing w:after="80" w:line="293" w:lineRule="auto"/>
        <w:jc w:val="left"/>
      </w:pPr>
      <w:r>
        <w:rPr>
          <w:rFonts w:ascii="Times New Roman" w:hAnsi="Times New Roman" w:cs="Times New Roman"/>
          <w:b w:val="0"/>
          <w:i w:val="0"/>
          <w:sz w:val="22"/>
        </w:rPr>
        <w:t>expected pallet in the job list.</w:t>
      </w:r>
    </w:p>
    <w:p>
      <w:pPr>
        <w:spacing w:after="80" w:line="293" w:lineRule="auto"/>
        <w:ind w:left="283"/>
        <w:jc w:val="left"/>
      </w:pPr>
      <w:r>
        <w:rPr>
          <w:rFonts w:ascii="Times New Roman" w:hAnsi="Times New Roman" w:cs="Times New Roman"/>
          <w:b w:val="0"/>
          <w:i w:val="0"/>
          <w:sz w:val="22"/>
        </w:rPr>
        <w:t>- Offline validation: scanned SSCCs are checked against locally cached `pallet_details` (synced when</w:t>
      </w:r>
    </w:p>
    <w:p>
      <w:pPr>
        <w:spacing w:after="80" w:line="293" w:lineRule="auto"/>
        <w:jc w:val="left"/>
      </w:pPr>
      <w:r>
        <w:rPr>
          <w:rFonts w:ascii="Times New Roman" w:hAnsi="Times New Roman" w:cs="Times New Roman"/>
          <w:b w:val="0"/>
          <w:i w:val="0"/>
          <w:sz w:val="22"/>
        </w:rPr>
        <w:t>the job was assigned). If the SSCC is not found locally, the scan is queued and validated upon reconnection.</w:t>
      </w:r>
    </w:p>
    <w:p>
      <w:pPr>
        <w:spacing w:after="80" w:line="293" w:lineRule="auto"/>
        <w:ind w:left="283"/>
        <w:jc w:val="left"/>
      </w:pPr>
      <w:r>
        <w:rPr>
          <w:rFonts w:ascii="Times New Roman" w:hAnsi="Times New Roman" w:cs="Times New Roman"/>
          <w:b w:val="0"/>
          <w:i w:val="0"/>
          <w:sz w:val="22"/>
        </w:rPr>
        <w:t>- Multi-shipment: the app knows which shipment's pallets are being loaded (from the job</w:t>
      </w:r>
    </w:p>
    <w:p>
      <w:pPr>
        <w:spacing w:after="80" w:line="293" w:lineRule="auto"/>
        <w:jc w:val="left"/>
      </w:pPr>
      <w:r>
        <w:rPr>
          <w:rFonts w:ascii="Times New Roman" w:hAnsi="Times New Roman" w:cs="Times New Roman"/>
          <w:b w:val="0"/>
          <w:i w:val="0"/>
          <w:sz w:val="22"/>
        </w:rPr>
        <w:t>assignment). Scanning a pallet that belongs to a different shipment shows a warning and does not confirm the milestone.</w:t>
      </w:r>
    </w:p>
    <w:p>
      <w:pPr>
        <w:keepNext/>
        <w:spacing w:before="140" w:after="60"/>
        <w:outlineLvl w:val="3"/>
      </w:pPr>
      <w:r>
        <w:rPr>
          <w:rFonts w:ascii="Arial" w:hAnsi="Arial" w:cs="Arial"/>
          <w:b/>
          <w:i/>
          <w:color w:val="333333"/>
          <w:sz w:val="22"/>
        </w:rPr>
        <w:t>23.3.4.2 AI-Powered Visual Recognition (Offline)</w:t>
      </w:r>
    </w:p>
    <w:p>
      <w:pPr>
        <w:spacing w:after="80" w:line="293" w:lineRule="auto"/>
        <w:jc w:val="left"/>
      </w:pPr>
      <w:r>
        <w:rPr>
          <w:rFonts w:ascii="Times New Roman" w:hAnsi="Times New Roman" w:cs="Times New Roman"/>
          <w:b w:val="0"/>
          <w:i w:val="0"/>
          <w:sz w:val="22"/>
        </w:rPr>
        <w:t>If a barcode is torn, smudged, or partially covered, the worker switches to visual recognition mode:</w:t>
      </w:r>
    </w:p>
    <w:p>
      <w:pPr>
        <w:spacing w:after="80" w:line="293" w:lineRule="auto"/>
        <w:ind w:left="283"/>
        <w:jc w:val="left"/>
      </w:pPr>
      <w:r>
        <w:rPr>
          <w:rFonts w:ascii="Times New Roman" w:hAnsi="Times New Roman" w:cs="Times New Roman"/>
          <w:b w:val="0"/>
          <w:i w:val="0"/>
          <w:sz w:val="22"/>
        </w:rPr>
        <w:t>- The device camera captures the pallet label.</w:t>
      </w:r>
    </w:p>
    <w:p>
      <w:pPr>
        <w:spacing w:after="80" w:line="293" w:lineRule="auto"/>
        <w:ind w:left="283"/>
        <w:jc w:val="left"/>
      </w:pPr>
      <w:r>
        <w:rPr>
          <w:rFonts w:ascii="Times New Roman" w:hAnsi="Times New Roman" w:cs="Times New Roman"/>
          <w:b w:val="0"/>
          <w:i w:val="0"/>
          <w:sz w:val="22"/>
        </w:rPr>
        <w:t>- An ONNX model (fine-tuned on warehouse label images) recognises and extracts the printed SSCC</w:t>
      </w:r>
    </w:p>
    <w:p>
      <w:pPr>
        <w:spacing w:after="80" w:line="293" w:lineRule="auto"/>
        <w:jc w:val="left"/>
      </w:pPr>
      <w:r>
        <w:rPr>
          <w:rFonts w:ascii="Times New Roman" w:hAnsi="Times New Roman" w:cs="Times New Roman"/>
          <w:b w:val="0"/>
          <w:i w:val="0"/>
          <w:sz w:val="22"/>
        </w:rPr>
        <w:t>number and key text.</w:t>
      </w:r>
    </w:p>
    <w:p>
      <w:pPr>
        <w:spacing w:after="80" w:line="293" w:lineRule="auto"/>
        <w:ind w:left="283"/>
        <w:jc w:val="left"/>
      </w:pPr>
      <w:r>
        <w:rPr>
          <w:rFonts w:ascii="Times New Roman" w:hAnsi="Times New Roman" w:cs="Times New Roman"/>
          <w:b w:val="0"/>
          <w:i w:val="0"/>
          <w:sz w:val="22"/>
        </w:rPr>
        <w:t>- Even if only the human-readable digits are visible, the pallet is identified.</w:t>
      </w:r>
    </w:p>
    <w:p>
      <w:pPr>
        <w:spacing w:after="80" w:line="293" w:lineRule="auto"/>
        <w:ind w:left="283"/>
        <w:jc w:val="left"/>
      </w:pPr>
      <w:r>
        <w:rPr>
          <w:rFonts w:ascii="Times New Roman" w:hAnsi="Times New Roman" w:cs="Times New Roman"/>
          <w:b w:val="0"/>
          <w:i w:val="0"/>
          <w:sz w:val="22"/>
        </w:rPr>
        <w:t>- The extracted SSCC is validated against the local pallet list.</w:t>
      </w:r>
    </w:p>
    <w:p>
      <w:pPr>
        <w:spacing w:after="80" w:line="293" w:lineRule="auto"/>
        <w:ind w:left="283"/>
        <w:jc w:val="left"/>
      </w:pPr>
      <w:r>
        <w:rPr>
          <w:rFonts w:ascii="Times New Roman" w:hAnsi="Times New Roman" w:cs="Times New Roman"/>
          <w:b w:val="0"/>
          <w:i w:val="0"/>
          <w:sz w:val="22"/>
        </w:rPr>
        <w:t>- Model training: fine-tuned on 10,000+ warehouse label images (synthetic and real); retrained</w:t>
      </w:r>
    </w:p>
    <w:p>
      <w:pPr>
        <w:spacing w:after="80" w:line="293" w:lineRule="auto"/>
        <w:jc w:val="left"/>
      </w:pPr>
      <w:r>
        <w:rPr>
          <w:rFonts w:ascii="Times New Roman" w:hAnsi="Times New Roman" w:cs="Times New Roman"/>
          <w:b w:val="0"/>
          <w:i w:val="0"/>
          <w:sz w:val="22"/>
        </w:rPr>
        <w:t>weekly via federated learning.</w:t>
      </w:r>
    </w:p>
    <w:p>
      <w:pPr>
        <w:keepNext/>
        <w:spacing w:before="140" w:after="60"/>
        <w:outlineLvl w:val="3"/>
      </w:pPr>
      <w:r>
        <w:rPr>
          <w:rFonts w:ascii="Arial" w:hAnsi="Arial" w:cs="Arial"/>
          <w:b/>
          <w:i/>
          <w:color w:val="333333"/>
          <w:sz w:val="22"/>
        </w:rPr>
        <w:t>23.3.4.3 Voice-Activated Hands-Free Identification (Offline)</w:t>
      </w:r>
    </w:p>
    <w:p>
      <w:pPr>
        <w:spacing w:after="80" w:line="293" w:lineRule="auto"/>
        <w:jc w:val="left"/>
      </w:pPr>
      <w:r>
        <w:rPr>
          <w:rFonts w:ascii="Times New Roman" w:hAnsi="Times New Roman" w:cs="Times New Roman"/>
          <w:b w:val="0"/>
          <w:i w:val="0"/>
          <w:sz w:val="22"/>
        </w:rPr>
        <w:t>The worker speaks: "Pallet OR005 loaded into container TCNU1234567."</w:t>
      </w:r>
    </w:p>
    <w:p>
      <w:pPr>
        <w:spacing w:after="80" w:line="293" w:lineRule="auto"/>
        <w:ind w:left="283"/>
        <w:jc w:val="left"/>
      </w:pPr>
      <w:r>
        <w:rPr>
          <w:rFonts w:ascii="Times New Roman" w:hAnsi="Times New Roman" w:cs="Times New Roman"/>
          <w:b w:val="0"/>
          <w:i w:val="0"/>
          <w:sz w:val="22"/>
        </w:rPr>
        <w:t>- Vosk transcribes offline (English, Arabic, Vietnamese, German supported).</w:t>
      </w:r>
    </w:p>
    <w:p>
      <w:pPr>
        <w:spacing w:after="80" w:line="293" w:lineRule="auto"/>
        <w:ind w:left="283"/>
        <w:jc w:val="left"/>
      </w:pPr>
      <w:r>
        <w:rPr>
          <w:rFonts w:ascii="Times New Roman" w:hAnsi="Times New Roman" w:cs="Times New Roman"/>
          <w:b w:val="0"/>
          <w:i w:val="0"/>
          <w:sz w:val="22"/>
        </w:rPr>
        <w:t>- HF Mixtral (local) extracts: action = load, pallet_id = OR005, container = TCNU1234567.</w:t>
      </w:r>
    </w:p>
    <w:p>
      <w:pPr>
        <w:spacing w:after="80" w:line="293" w:lineRule="auto"/>
        <w:ind w:left="283"/>
        <w:jc w:val="left"/>
      </w:pPr>
      <w:r>
        <w:rPr>
          <w:rFonts w:ascii="Times New Roman" w:hAnsi="Times New Roman" w:cs="Times New Roman"/>
          <w:b w:val="0"/>
          <w:i w:val="0"/>
          <w:sz w:val="22"/>
        </w:rPr>
        <w:t>- The app validates pallet_id against the local job list.</w:t>
      </w:r>
    </w:p>
    <w:p>
      <w:pPr>
        <w:spacing w:after="80" w:line="293" w:lineRule="auto"/>
        <w:ind w:left="283"/>
        <w:jc w:val="left"/>
      </w:pPr>
      <w:r>
        <w:rPr>
          <w:rFonts w:ascii="Times New Roman" w:hAnsi="Times New Roman" w:cs="Times New Roman"/>
          <w:b w:val="0"/>
          <w:i w:val="0"/>
          <w:sz w:val="22"/>
        </w:rPr>
        <w:t>- If valid, the app speaks back confirmation (device TTS): "Pallet OR005 loaded. Confirmed."</w:t>
      </w:r>
    </w:p>
    <w:p>
      <w:pPr>
        <w:spacing w:after="80" w:line="293" w:lineRule="auto"/>
        <w:ind w:left="283"/>
        <w:jc w:val="left"/>
      </w:pPr>
      <w:r>
        <w:rPr>
          <w:rFonts w:ascii="Times New Roman" w:hAnsi="Times New Roman" w:cs="Times New Roman"/>
          <w:b w:val="0"/>
          <w:i w:val="0"/>
          <w:sz w:val="22"/>
        </w:rPr>
        <w:t>- Works in noisy environments with a headset.</w:t>
      </w:r>
    </w:p>
    <w:p>
      <w:pPr>
        <w:spacing w:after="80" w:line="293" w:lineRule="auto"/>
        <w:ind w:left="283"/>
        <w:jc w:val="left"/>
      </w:pPr>
      <w:r>
        <w:rPr>
          <w:rFonts w:ascii="Times New Roman" w:hAnsi="Times New Roman" w:cs="Times New Roman"/>
          <w:b w:val="0"/>
          <w:i w:val="0"/>
          <w:sz w:val="22"/>
        </w:rPr>
        <w:t>- Falls back to manual entry if confidence &lt; 80%.</w:t>
      </w:r>
    </w:p>
    <w:p>
      <w:pPr>
        <w:keepNext/>
        <w:spacing w:before="180" w:after="80"/>
        <w:outlineLvl w:val="2"/>
      </w:pPr>
      <w:r>
        <w:rPr>
          <w:rFonts w:ascii="Arial" w:hAnsi="Arial" w:cs="Arial"/>
          <w:b/>
          <w:i w:val="0"/>
          <w:color w:val="333333"/>
          <w:sz w:val="23"/>
        </w:rPr>
        <w:t>23.3.5 Augmented Reality (AR) Scan Assistant</w:t>
      </w:r>
    </w:p>
    <w:p>
      <w:pPr>
        <w:spacing w:after="80" w:line="293" w:lineRule="auto"/>
        <w:jc w:val="left"/>
      </w:pPr>
      <w:r>
        <w:rPr>
          <w:rFonts w:ascii="Times New Roman" w:hAnsi="Times New Roman" w:cs="Times New Roman"/>
          <w:b w:val="0"/>
          <w:i w:val="0"/>
          <w:sz w:val="22"/>
        </w:rPr>
        <w:t>In the mobile app, AR mode overlays a live camera view with colour-coded bounding boxes around each pallet's label — red = not yet scanned, blue = in progress, green = scanned, yellow = override flagged. The worker can instantly see which pallets are still to be processed, reducing errors and speeding up loading operations. Rendered entirely with AR.js; no network required.</w:t>
      </w:r>
    </w:p>
    <w:p>
      <w:pPr>
        <w:spacing w:after="80" w:line="293" w:lineRule="auto"/>
        <w:jc w:val="left"/>
      </w:pPr>
      <w:r>
        <w:rPr>
          <w:rFonts w:ascii="Times New Roman" w:hAnsi="Times New Roman" w:cs="Times New Roman"/>
          <w:b w:val="0"/>
          <w:i w:val="0"/>
          <w:sz w:val="22"/>
        </w:rPr>
        <w:t>AR overlay example:</w:t>
      </w:r>
    </w:p>
    <w:p>
      <w:pPr>
        <w:spacing w:after="0" w:before="0" w:line="240" w:lineRule="auto"/>
        <w:ind w:left="57"/>
        <w:jc w:val="left"/>
        <w:shd w:val="clear" w:fill="F2F2F2"/>
      </w:pPr>
      <w:r>
        <w:rPr>
          <w:rFonts w:ascii="Consolas" w:hAnsi="Consolas" w:cs="Consolas"/>
          <w:b w:val="0"/>
          <w:i w:val="0"/>
          <w:sz w:val="15"/>
        </w:rPr>
        <w:t>AR SCAN ASSISTANT</w:t>
      </w:r>
    </w:p>
    <w:p>
      <w:pPr>
        <w:spacing w:after="0" w:before="0" w:line="240" w:lineRule="auto"/>
        <w:ind w:left="57"/>
        <w:jc w:val="left"/>
        <w:shd w:val="clear" w:fill="F2F2F2"/>
      </w:pPr>
      <w:r>
        <w:rPr>
          <w:rFonts w:ascii="Consolas" w:hAnsi="Consolas" w:cs="Consolas"/>
          <w:b w:val="0"/>
          <w:i w:val="0"/>
          <w:sz w:val="15"/>
        </w:rPr>
        <w:t>[Red] [Blue] [Green] [Yellow]</w:t>
      </w:r>
    </w:p>
    <w:p>
      <w:pPr>
        <w:spacing w:after="0" w:before="0" w:line="240" w:lineRule="auto"/>
        <w:ind w:left="57"/>
        <w:jc w:val="left"/>
        <w:shd w:val="clear" w:fill="F2F2F2"/>
      </w:pPr>
      <w:r>
        <w:rPr>
          <w:rFonts w:ascii="Consolas" w:hAnsi="Consolas" w:cs="Consolas"/>
          <w:b w:val="0"/>
          <w:i w:val="0"/>
          <w:sz w:val="15"/>
        </w:rPr>
        <w:t xml:space="preserve"> P1     P2     P3     P4</w:t>
      </w:r>
    </w:p>
    <w:p>
      <w:pPr>
        <w:spacing w:after="0" w:before="0" w:line="240" w:lineRule="auto"/>
        <w:ind w:left="57"/>
        <w:jc w:val="left"/>
        <w:shd w:val="clear" w:fill="F2F2F2"/>
      </w:pPr>
      <w:r>
        <w:rPr>
          <w:rFonts w:ascii="Consolas" w:hAnsi="Consolas" w:cs="Consolas"/>
          <w:b w:val="0"/>
          <w:i w:val="0"/>
          <w:sz w:val="15"/>
        </w:rPr>
        <w:t>OR-001 OR-002 OR-003 OR-004</w:t>
      </w:r>
    </w:p>
    <w:p>
      <w:pPr>
        <w:spacing w:after="0" w:before="0" w:line="240" w:lineRule="auto"/>
        <w:ind w:left="57"/>
        <w:jc w:val="left"/>
        <w:shd w:val="clear" w:fill="F2F2F2"/>
      </w:pPr>
      <w:r>
        <w:rPr>
          <w:rFonts w:ascii="Consolas" w:hAnsi="Consolas" w:cs="Consolas"/>
          <w:b w:val="0"/>
          <w:i w:val="0"/>
          <w:sz w:val="15"/>
        </w:rPr>
        <w:t>Progress: 3/22 pallets scanned</w:t>
      </w:r>
    </w:p>
    <w:p>
      <w:pPr>
        <w:spacing w:after="0" w:before="0" w:line="240" w:lineRule="auto"/>
        <w:ind w:left="57"/>
        <w:jc w:val="left"/>
        <w:shd w:val="clear" w:fill="F2F2F2"/>
      </w:pPr>
      <w:r>
        <w:rPr>
          <w:rFonts w:ascii="Consolas" w:hAnsi="Consolas" w:cs="Consolas"/>
          <w:b w:val="0"/>
          <w:i w:val="0"/>
          <w:sz w:val="15"/>
        </w:rPr>
        <w:t>[Switch to Voice] [Switch to Visual] [Manual Entry]</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23.3.6 Predictive Scanning Reliability Agent (A2, XGBoost)</w:t>
      </w:r>
    </w:p>
    <w:p>
      <w:pPr>
        <w:spacing w:after="80" w:line="293" w:lineRule="auto"/>
        <w:jc w:val="left"/>
      </w:pPr>
      <w:r>
        <w:rPr>
          <w:rFonts w:ascii="Times New Roman" w:hAnsi="Times New Roman" w:cs="Times New Roman"/>
          <w:b w:val="0"/>
          <w:i w:val="0"/>
          <w:sz w:val="22"/>
        </w:rPr>
        <w:t>A background agent (A2, XGBoost) monitors all scan events across the platform, tracking: printer identity, label material, environment (indoor / outdoor / warehouse), historical failure rates, and scan method mix.</w:t>
      </w:r>
    </w:p>
    <w:p>
      <w:pPr>
        <w:spacing w:after="80" w:line="293" w:lineRule="auto"/>
        <w:jc w:val="left"/>
      </w:pPr>
      <w:r>
        <w:rPr>
          <w:rFonts w:ascii="Times New Roman" w:hAnsi="Times New Roman" w:cs="Times New Roman"/>
          <w:b w:val="0"/>
          <w:i w:val="0"/>
          <w:sz w:val="22"/>
        </w:rPr>
        <w:t>Prediction output: the probability that a specific batch of barcodes will fail to scan in the intended environment.</w:t>
      </w:r>
    </w:p>
    <w:p>
      <w:pPr>
        <w:spacing w:after="80" w:line="293" w:lineRule="auto"/>
        <w:jc w:val="left"/>
      </w:pPr>
      <w:r>
        <w:rPr>
          <w:rFonts w:ascii="Times New Roman" w:hAnsi="Times New Roman" w:cs="Times New Roman"/>
          <w:b w:val="0"/>
          <w:i w:val="0"/>
          <w:sz w:val="22"/>
        </w:rPr>
        <w:t>Alert threshold: if risk exceeds 70%, the system proactively sends a Smart Inbox alert:</w:t>
      </w:r>
    </w:p>
    <w:p>
      <w:pPr>
        <w:spacing w:after="0" w:before="0" w:line="240" w:lineRule="auto"/>
        <w:ind w:left="57"/>
        <w:jc w:val="left"/>
        <w:shd w:val="clear" w:fill="F2F2F2"/>
      </w:pPr>
      <w:r>
        <w:rPr>
          <w:rFonts w:ascii="Consolas" w:hAnsi="Consolas" w:cs="Consolas"/>
          <w:b w:val="0"/>
          <w:i w:val="0"/>
          <w:sz w:val="15"/>
        </w:rPr>
        <w:t>SCANNING RELIABILITY ALERT</w:t>
      </w:r>
    </w:p>
    <w:p>
      <w:pPr>
        <w:spacing w:after="0" w:before="0" w:line="240" w:lineRule="auto"/>
        <w:ind w:left="57"/>
        <w:jc w:val="left"/>
        <w:shd w:val="clear" w:fill="F2F2F2"/>
      </w:pPr>
      <w:r>
        <w:rPr>
          <w:rFonts w:ascii="Consolas" w:hAnsi="Consolas" w:cs="Consolas"/>
          <w:b w:val="0"/>
          <w:i w:val="0"/>
          <w:sz w:val="15"/>
        </w:rPr>
        <w:t>Pallet labels printed on 'Printer B' have a 72% probability of scan failure in</w:t>
      </w:r>
    </w:p>
    <w:p>
      <w:pPr>
        <w:spacing w:after="0" w:before="0" w:line="240" w:lineRule="auto"/>
        <w:ind w:left="57"/>
        <w:jc w:val="left"/>
        <w:shd w:val="clear" w:fill="F2F2F2"/>
      </w:pPr>
      <w:r>
        <w:rPr>
          <w:rFonts w:ascii="Consolas" w:hAnsi="Consolas" w:cs="Consolas"/>
          <w:b w:val="0"/>
          <w:i w:val="0"/>
          <w:sz w:val="15"/>
        </w:rPr>
        <w:t>outdoor conditions at destination (Alexandria port).</w:t>
      </w:r>
    </w:p>
    <w:p>
      <w:pPr>
        <w:spacing w:after="0" w:before="0" w:line="240" w:lineRule="auto"/>
        <w:ind w:left="57"/>
        <w:jc w:val="left"/>
        <w:shd w:val="clear" w:fill="F2F2F2"/>
      </w:pPr>
      <w:r>
        <w:rPr>
          <w:rFonts w:ascii="Consolas" w:hAnsi="Consolas" w:cs="Consolas"/>
          <w:b w:val="0"/>
          <w:i w:val="0"/>
          <w:sz w:val="15"/>
        </w:rPr>
        <w:t>Affected pallets: OR-012 to OR-022</w:t>
      </w:r>
    </w:p>
    <w:p>
      <w:pPr>
        <w:spacing w:after="0" w:before="0" w:line="240" w:lineRule="auto"/>
        <w:ind w:left="57"/>
        <w:jc w:val="left"/>
        <w:shd w:val="clear" w:fill="F2F2F2"/>
      </w:pPr>
      <w:r>
        <w:rPr>
          <w:rFonts w:ascii="Consolas" w:hAnsi="Consolas" w:cs="Consolas"/>
          <w:b w:val="0"/>
          <w:i w:val="0"/>
          <w:sz w:val="15"/>
        </w:rPr>
        <w:t>Recommendation: Reprint with higher contrast or add a protective sleeve.</w:t>
      </w:r>
    </w:p>
    <w:p>
      <w:pPr>
        <w:spacing w:after="0" w:before="0" w:line="240" w:lineRule="auto"/>
        <w:ind w:left="57"/>
        <w:jc w:val="left"/>
        <w:shd w:val="clear" w:fill="F2F2F2"/>
      </w:pPr>
      <w:r>
        <w:rPr>
          <w:rFonts w:ascii="Consolas" w:hAnsi="Consolas" w:cs="Consolas"/>
          <w:b w:val="0"/>
          <w:i w:val="0"/>
          <w:sz w:val="15"/>
        </w:rPr>
        <w:t>[Reprint Labels] [Dismiss]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click "Reprint Labels" → automatically queues a new print job for the affected pallets, using the same SSCCs but with enhanced contrast settings.</w:t>
      </w:r>
    </w:p>
    <w:p>
      <w:pPr>
        <w:spacing w:after="80" w:line="293" w:lineRule="auto"/>
        <w:jc w:val="left"/>
      </w:pPr>
      <w:r>
        <w:rPr>
          <w:rFonts w:ascii="Times New Roman" w:hAnsi="Times New Roman" w:cs="Times New Roman"/>
          <w:b w:val="0"/>
          <w:i w:val="0"/>
          <w:sz w:val="22"/>
        </w:rPr>
        <w:t>Governance (A4): the reprint uses the same SSCCs (no new IDs). The reprint is logged but does not require Governor approval (pre-loading).</w:t>
      </w:r>
    </w:p>
    <w:p>
      <w:pPr>
        <w:keepNext/>
        <w:spacing w:before="180" w:after="80"/>
        <w:outlineLvl w:val="2"/>
      </w:pPr>
      <w:r>
        <w:rPr>
          <w:rFonts w:ascii="Arial" w:hAnsi="Arial" w:cs="Arial"/>
          <w:b/>
          <w:i w:val="0"/>
          <w:color w:val="333333"/>
          <w:sz w:val="23"/>
        </w:rPr>
        <w:t>23.3.7 Label Print Workflow</w:t>
      </w:r>
    </w:p>
    <w:p>
      <w:pPr>
        <w:keepNext/>
        <w:spacing w:before="140" w:after="60"/>
        <w:outlineLvl w:val="3"/>
      </w:pPr>
      <w:r>
        <w:rPr>
          <w:rFonts w:ascii="Arial" w:hAnsi="Arial" w:cs="Arial"/>
          <w:b/>
          <w:i/>
          <w:color w:val="333333"/>
          <w:sz w:val="22"/>
        </w:rPr>
        <w:t>23.3.7.1 Printer Compatibility</w:t>
      </w:r>
    </w:p>
    <w:p>
      <w:pPr>
        <w:spacing w:after="80" w:line="293" w:lineRule="auto"/>
        <w:jc w:val="left"/>
      </w:pPr>
      <w:r>
        <w:rPr>
          <w:rFonts w:ascii="Times New Roman" w:hAnsi="Times New Roman" w:cs="Times New Roman"/>
          <w:b w:val="0"/>
          <w:i w:val="0"/>
          <w:sz w:val="22"/>
        </w:rPr>
        <w:t>ZPL generation example:</w:t>
      </w:r>
    </w:p>
    <w:p>
      <w:pPr>
        <w:spacing w:after="0" w:before="0" w:line="240" w:lineRule="auto"/>
        <w:ind w:left="57"/>
        <w:jc w:val="left"/>
        <w:shd w:val="clear" w:fill="F2F2F2"/>
      </w:pPr>
      <w:r>
        <w:rPr>
          <w:rFonts w:ascii="Consolas" w:hAnsi="Consolas" w:cs="Consolas"/>
          <w:b w:val="0"/>
          <w:i w:val="0"/>
          <w:sz w:val="15"/>
        </w:rPr>
        <w:t>^XA</w:t>
      </w:r>
    </w:p>
    <w:p>
      <w:pPr>
        <w:spacing w:after="0" w:before="0" w:line="240" w:lineRule="auto"/>
        <w:ind w:left="57"/>
        <w:jc w:val="left"/>
        <w:shd w:val="clear" w:fill="F2F2F2"/>
      </w:pPr>
      <w:r>
        <w:rPr>
          <w:rFonts w:ascii="Consolas" w:hAnsi="Consolas" w:cs="Consolas"/>
          <w:b w:val="0"/>
          <w:i w:val="0"/>
          <w:sz w:val="15"/>
        </w:rPr>
        <w:t>^FO50,50^A0N,30,30^FDSSCC: 106141411234567890^FS</w:t>
      </w:r>
    </w:p>
    <w:p>
      <w:pPr>
        <w:spacing w:after="0" w:before="0" w:line="240" w:lineRule="auto"/>
        <w:ind w:left="57"/>
        <w:jc w:val="left"/>
        <w:shd w:val="clear" w:fill="F2F2F2"/>
      </w:pPr>
      <w:r>
        <w:rPr>
          <w:rFonts w:ascii="Consolas" w:hAnsi="Consolas" w:cs="Consolas"/>
          <w:b w:val="0"/>
          <w:i w:val="0"/>
          <w:sz w:val="15"/>
        </w:rPr>
        <w:t>^FO50,100^A0N,20,20^FDProduct: Fresh Oranges^FS</w:t>
      </w:r>
    </w:p>
    <w:p>
      <w:pPr>
        <w:spacing w:after="0" w:before="0" w:line="240" w:lineRule="auto"/>
        <w:ind w:left="57"/>
        <w:jc w:val="left"/>
        <w:shd w:val="clear" w:fill="F2F2F2"/>
      </w:pPr>
      <w:r>
        <w:rPr>
          <w:rFonts w:ascii="Consolas" w:hAnsi="Consolas" w:cs="Consolas"/>
          <w:b w:val="0"/>
          <w:i w:val="0"/>
          <w:sz w:val="15"/>
        </w:rPr>
        <w:t>^FO50,130^A0N,20,20^FDLot: OR-2026-0412^FS</w:t>
      </w:r>
    </w:p>
    <w:p>
      <w:pPr>
        <w:spacing w:after="0" w:before="0" w:line="240" w:lineRule="auto"/>
        <w:ind w:left="57"/>
        <w:jc w:val="left"/>
        <w:shd w:val="clear" w:fill="F2F2F2"/>
      </w:pPr>
      <w:r>
        <w:rPr>
          <w:rFonts w:ascii="Consolas" w:hAnsi="Consolas" w:cs="Consolas"/>
          <w:b w:val="0"/>
          <w:i w:val="0"/>
          <w:sz w:val="15"/>
        </w:rPr>
        <w:t>^FO50,160^A0N,20,20^FDNet Weight: 1,110 kg^FS</w:t>
      </w:r>
    </w:p>
    <w:p>
      <w:pPr>
        <w:spacing w:after="0" w:before="0" w:line="240" w:lineRule="auto"/>
        <w:ind w:left="57"/>
        <w:jc w:val="left"/>
        <w:shd w:val="clear" w:fill="F2F2F2"/>
      </w:pPr>
      <w:r>
        <w:rPr>
          <w:rFonts w:ascii="Consolas" w:hAnsi="Consolas" w:cs="Consolas"/>
          <w:b w:val="0"/>
          <w:i w:val="0"/>
          <w:sz w:val="15"/>
        </w:rPr>
        <w:t>^FO50,190^A0N,20,20^FDGross Weight: 1,165 kg^FS</w:t>
      </w:r>
    </w:p>
    <w:p>
      <w:pPr>
        <w:spacing w:after="0" w:before="0" w:line="240" w:lineRule="auto"/>
        <w:ind w:left="57"/>
        <w:jc w:val="left"/>
        <w:shd w:val="clear" w:fill="F2F2F2"/>
      </w:pPr>
      <w:r>
        <w:rPr>
          <w:rFonts w:ascii="Consolas" w:hAnsi="Consolas" w:cs="Consolas"/>
          <w:b w:val="0"/>
          <w:i w:val="0"/>
          <w:sz w:val="15"/>
        </w:rPr>
        <w:t>^FO50,220^A0N,20,20^FDUSTN: SGTX-1397F3A-...-A1B2C3D4^FS</w:t>
      </w:r>
    </w:p>
    <w:p>
      <w:pPr>
        <w:spacing w:after="0" w:before="0" w:line="240" w:lineRule="auto"/>
        <w:ind w:left="57"/>
        <w:jc w:val="left"/>
        <w:shd w:val="clear" w:fill="F2F2F2"/>
      </w:pPr>
      <w:r>
        <w:rPr>
          <w:rFonts w:ascii="Consolas" w:hAnsi="Consolas" w:cs="Consolas"/>
          <w:b w:val="0"/>
          <w:i w:val="0"/>
          <w:sz w:val="15"/>
        </w:rPr>
        <w:t>^FO50,250^B3N,N,100,Y,N^FD106141411234567890^FS</w:t>
      </w:r>
    </w:p>
    <w:p>
      <w:pPr>
        <w:spacing w:after="0" w:before="0" w:line="240" w:lineRule="auto"/>
        <w:ind w:left="57"/>
        <w:jc w:val="left"/>
        <w:shd w:val="clear" w:fill="F2F2F2"/>
      </w:pPr>
      <w:r>
        <w:rPr>
          <w:rFonts w:ascii="Consolas" w:hAnsi="Consolas" w:cs="Consolas"/>
          <w:b w:val="0"/>
          <w:i w:val="0"/>
          <w:sz w:val="15"/>
        </w:rPr>
        <w:t>^FO50,370^BQN,2,10,Q,200^FDMA,SGTX-1397F3A-...-A1B2C3D4^FS</w:t>
      </w:r>
    </w:p>
    <w:p>
      <w:pPr>
        <w:spacing w:after="0" w:before="0" w:line="240" w:lineRule="auto"/>
        <w:ind w:left="57"/>
        <w:jc w:val="left"/>
        <w:shd w:val="clear" w:fill="F2F2F2"/>
      </w:pPr>
      <w:r>
        <w:rPr>
          <w:rFonts w:ascii="Consolas" w:hAnsi="Consolas" w:cs="Consolas"/>
          <w:b w:val="0"/>
          <w:i w:val="0"/>
          <w:sz w:val="15"/>
        </w:rPr>
        <w:t>^XZ</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PDF generation: Tera template + headless Chrome, formatted for standard A4 label sheets (2 columns × 11 rows for 100×150 mm labels).</w:t>
      </w:r>
    </w:p>
    <w:p>
      <w:pPr>
        <w:keepNext/>
        <w:spacing w:before="140" w:after="60"/>
        <w:outlineLvl w:val="3"/>
      </w:pPr>
      <w:r>
        <w:rPr>
          <w:rFonts w:ascii="Arial" w:hAnsi="Arial" w:cs="Arial"/>
          <w:b/>
          <w:i/>
          <w:color w:val="333333"/>
          <w:sz w:val="22"/>
        </w:rPr>
        <w:t>23.3.7.2 Label Content Customisation</w:t>
      </w:r>
    </w:p>
    <w:p>
      <w:pPr>
        <w:spacing w:after="80" w:line="293" w:lineRule="auto"/>
        <w:jc w:val="left"/>
      </w:pPr>
      <w:r>
        <w:rPr>
          <w:rFonts w:ascii="Times New Roman" w:hAnsi="Times New Roman" w:cs="Times New Roman"/>
          <w:b w:val="0"/>
          <w:i w:val="0"/>
          <w:sz w:val="22"/>
        </w:rPr>
        <w:t>The seller can customise label content before printing:</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Template</w:t>
            </w:r>
          </w:p>
        </w:tc>
        <w:tc>
          <w:tcPr>
            <w:tcW w:type="dxa" w:w="3213"/>
            <w:shd w:val="clear" w:fill="D9E2F3"/>
          </w:tcPr>
          <w:p>
            <w:pPr>
              <w:spacing w:after="20" w:before="20" w:line="240" w:lineRule="auto"/>
            </w:pPr>
            <w:r/>
            <w:r>
              <w:rPr>
                <w:rFonts w:ascii="Arial" w:hAnsi="Arial" w:cs="Arial"/>
                <w:b/>
                <w:i w:val="0"/>
                <w:sz w:val="18"/>
              </w:rPr>
              <w:t>Audience</w:t>
            </w:r>
          </w:p>
        </w:tc>
        <w:tc>
          <w:tcPr>
            <w:tcW w:type="dxa" w:w="3213"/>
            <w:shd w:val="clear" w:fill="D9E2F3"/>
          </w:tcPr>
          <w:p>
            <w:pPr>
              <w:spacing w:after="20" w:before="20" w:line="240" w:lineRule="auto"/>
            </w:pPr>
            <w:r/>
            <w:r>
              <w:rPr>
                <w:rFonts w:ascii="Arial" w:hAnsi="Arial" w:cs="Arial"/>
                <w:b/>
                <w:i w:val="0"/>
                <w:sz w:val="18"/>
              </w:rPr>
              <w:t>Included Data</w:t>
            </w:r>
          </w:p>
        </w:tc>
      </w:tr>
      <w:tr>
        <w:tc>
          <w:tcPr>
            <w:tcW w:type="dxa" w:w="3213"/>
          </w:tcPr>
          <w:p>
            <w:pPr>
              <w:spacing w:after="20" w:before="20" w:line="240" w:lineRule="auto"/>
            </w:pPr>
            <w:r/>
            <w:r>
              <w:rPr>
                <w:rFonts w:ascii="Arial" w:hAnsi="Arial" w:cs="Arial"/>
                <w:b w:val="0"/>
                <w:i w:val="0"/>
                <w:sz w:val="17"/>
              </w:rPr>
              <w:t>Standard</w:t>
            </w:r>
          </w:p>
        </w:tc>
        <w:tc>
          <w:tcPr>
            <w:tcW w:type="dxa" w:w="3213"/>
          </w:tcPr>
          <w:p>
            <w:pPr>
              <w:spacing w:after="20" w:before="20" w:line="240" w:lineRule="auto"/>
            </w:pPr>
            <w:r/>
            <w:r>
              <w:rPr>
                <w:rFonts w:ascii="Arial" w:hAnsi="Arial" w:cs="Arial"/>
                <w:b w:val="0"/>
                <w:i w:val="0"/>
                <w:sz w:val="17"/>
              </w:rPr>
              <w:t>Warehouse / logistics</w:t>
            </w:r>
          </w:p>
        </w:tc>
        <w:tc>
          <w:tcPr>
            <w:tcW w:type="dxa" w:w="3213"/>
          </w:tcPr>
          <w:p>
            <w:pPr>
              <w:spacing w:after="20" w:before="20" w:line="240" w:lineRule="auto"/>
            </w:pPr>
            <w:r/>
            <w:r>
              <w:rPr>
                <w:rFonts w:ascii="Arial" w:hAnsi="Arial" w:cs="Arial"/>
                <w:b w:val="0"/>
                <w:i w:val="0"/>
                <w:sz w:val="17"/>
              </w:rPr>
              <w:t>SSCC, product, lot, weights, USTN</w:t>
            </w:r>
          </w:p>
        </w:tc>
      </w:tr>
      <w:tr>
        <w:tc>
          <w:tcPr>
            <w:tcW w:type="dxa" w:w="3213"/>
          </w:tcPr>
          <w:p>
            <w:pPr>
              <w:spacing w:after="20" w:before="20" w:line="240" w:lineRule="auto"/>
            </w:pPr>
            <w:r/>
            <w:r>
              <w:rPr>
                <w:rFonts w:ascii="Arial" w:hAnsi="Arial" w:cs="Arial"/>
                <w:b w:val="0"/>
                <w:i w:val="0"/>
                <w:sz w:val="17"/>
              </w:rPr>
              <w:t>Customs-Ready</w:t>
            </w:r>
          </w:p>
        </w:tc>
        <w:tc>
          <w:tcPr>
            <w:tcW w:type="dxa" w:w="3213"/>
          </w:tcPr>
          <w:p>
            <w:pPr>
              <w:spacing w:after="20" w:before="20" w:line="240" w:lineRule="auto"/>
            </w:pPr>
            <w:r/>
            <w:r>
              <w:rPr>
                <w:rFonts w:ascii="Arial" w:hAnsi="Arial" w:cs="Arial"/>
                <w:b w:val="0"/>
                <w:i w:val="0"/>
                <w:sz w:val="17"/>
              </w:rPr>
              <w:t>Customs authorities</w:t>
            </w:r>
          </w:p>
        </w:tc>
        <w:tc>
          <w:tcPr>
            <w:tcW w:type="dxa" w:w="3213"/>
          </w:tcPr>
          <w:p>
            <w:pPr>
              <w:spacing w:after="20" w:before="20" w:line="240" w:lineRule="auto"/>
            </w:pPr>
            <w:r/>
            <w:r>
              <w:rPr>
                <w:rFonts w:ascii="Arial" w:hAnsi="Arial" w:cs="Arial"/>
                <w:b w:val="0"/>
                <w:i w:val="0"/>
                <w:sz w:val="17"/>
              </w:rPr>
              <w:t>Adds certificate references, origin, HS code</w:t>
            </w:r>
          </w:p>
        </w:tc>
      </w:tr>
      <w:tr>
        <w:tc>
          <w:tcPr>
            <w:tcW w:type="dxa" w:w="3213"/>
          </w:tcPr>
          <w:p>
            <w:pPr>
              <w:spacing w:after="20" w:before="20" w:line="240" w:lineRule="auto"/>
            </w:pPr>
            <w:r/>
            <w:r>
              <w:rPr>
                <w:rFonts w:ascii="Arial" w:hAnsi="Arial" w:cs="Arial"/>
                <w:b w:val="0"/>
                <w:i w:val="0"/>
                <w:sz w:val="17"/>
              </w:rPr>
              <w:t>Consignee</w:t>
            </w:r>
          </w:p>
        </w:tc>
        <w:tc>
          <w:tcPr>
            <w:tcW w:type="dxa" w:w="3213"/>
          </w:tcPr>
          <w:p>
            <w:pPr>
              <w:spacing w:after="20" w:before="20" w:line="240" w:lineRule="auto"/>
            </w:pPr>
            <w:r/>
            <w:r>
              <w:rPr>
                <w:rFonts w:ascii="Arial" w:hAnsi="Arial" w:cs="Arial"/>
                <w:b w:val="0"/>
                <w:i w:val="0"/>
                <w:sz w:val="17"/>
              </w:rPr>
              <w:t>Buyer / receiver</w:t>
            </w:r>
          </w:p>
        </w:tc>
        <w:tc>
          <w:tcPr>
            <w:tcW w:type="dxa" w:w="3213"/>
          </w:tcPr>
          <w:p>
            <w:pPr>
              <w:spacing w:after="20" w:before="20" w:line="240" w:lineRule="auto"/>
            </w:pPr>
            <w:r/>
            <w:r>
              <w:rPr>
                <w:rFonts w:ascii="Arial" w:hAnsi="Arial" w:cs="Arial"/>
                <w:b w:val="0"/>
                <w:i w:val="0"/>
                <w:sz w:val="17"/>
              </w:rPr>
              <w:t>Adds consignee fields, verify URL</w:t>
            </w:r>
          </w:p>
        </w:tc>
      </w:tr>
      <w:tr>
        <w:tc>
          <w:tcPr>
            <w:tcW w:type="dxa" w:w="3213"/>
          </w:tcPr>
          <w:p>
            <w:pPr>
              <w:spacing w:after="20" w:before="20" w:line="240" w:lineRule="auto"/>
            </w:pPr>
            <w:r/>
            <w:r>
              <w:rPr>
                <w:rFonts w:ascii="Arial" w:hAnsi="Arial" w:cs="Arial"/>
                <w:b w:val="0"/>
                <w:i w:val="0"/>
                <w:sz w:val="17"/>
              </w:rPr>
              <w:t>Treatment-Aware</w:t>
            </w:r>
          </w:p>
        </w:tc>
        <w:tc>
          <w:tcPr>
            <w:tcW w:type="dxa" w:w="3213"/>
          </w:tcPr>
          <w:p>
            <w:pPr>
              <w:spacing w:after="20" w:before="20" w:line="240" w:lineRule="auto"/>
            </w:pPr>
            <w:r/>
            <w:r>
              <w:rPr>
                <w:rFonts w:ascii="Arial" w:hAnsi="Arial" w:cs="Arial"/>
                <w:b w:val="0"/>
                <w:i w:val="0"/>
                <w:sz w:val="17"/>
              </w:rPr>
              <w:t>Cold-treated cargo</w:t>
            </w:r>
          </w:p>
        </w:tc>
        <w:tc>
          <w:tcPr>
            <w:tcW w:type="dxa" w:w="3213"/>
          </w:tcPr>
          <w:p>
            <w:pPr>
              <w:spacing w:after="20" w:before="20" w:line="240" w:lineRule="auto"/>
            </w:pPr>
            <w:r/>
            <w:r>
              <w:rPr>
                <w:rFonts w:ascii="Arial" w:hAnsi="Arial" w:cs="Arial"/>
                <w:b w:val="0"/>
                <w:i w:val="0"/>
                <w:sz w:val="17"/>
              </w:rPr>
              <w:t>Adds cold treatment certificate, temperature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select template → click Print (1).</w:t>
      </w:r>
    </w:p>
    <w:p>
      <w:pPr>
        <w:keepNext/>
        <w:spacing w:before="140" w:after="60"/>
        <w:outlineLvl w:val="3"/>
      </w:pPr>
      <w:r>
        <w:rPr>
          <w:rFonts w:ascii="Arial" w:hAnsi="Arial" w:cs="Arial"/>
          <w:b/>
          <w:i/>
          <w:color w:val="333333"/>
          <w:sz w:val="22"/>
        </w:rPr>
        <w:t>23.3.7.3 Reprint Policy (Governor-Enforced)</w:t>
      </w:r>
    </w:p>
    <w:p>
      <w:pPr>
        <w:spacing w:after="80" w:line="293" w:lineRule="auto"/>
        <w:jc w:val="left"/>
      </w:pPr>
      <w:r>
        <w:rPr>
          <w:rFonts w:ascii="Times New Roman" w:hAnsi="Times New Roman" w:cs="Times New Roman"/>
          <w:b w:val="0"/>
          <w:i w:val="0"/>
          <w:sz w:val="22"/>
        </w:rPr>
        <w:t>Post-loading reprint workflow:</w:t>
      </w:r>
    </w:p>
    <w:p>
      <w:pPr>
        <w:spacing w:after="80" w:line="293" w:lineRule="auto"/>
        <w:jc w:val="left"/>
      </w:pPr>
      <w:r>
        <w:rPr>
          <w:rFonts w:ascii="Times New Roman" w:hAnsi="Times New Roman" w:cs="Times New Roman"/>
          <w:b w:val="0"/>
          <w:i w:val="0"/>
          <w:sz w:val="22"/>
        </w:rPr>
        <w:t>1. The user clicks "Request Reprint". 2. A modal appears: "Reason for reprint (min 10 characters):" with a text field and character counter. 3. The user submits the reason. 4. The Governor evaluates:</w:t>
      </w:r>
    </w:p>
    <w:p>
      <w:pPr>
        <w:spacing w:after="80" w:line="293" w:lineRule="auto"/>
        <w:ind w:left="283"/>
        <w:jc w:val="left"/>
      </w:pPr>
      <w:r>
        <w:rPr>
          <w:rFonts w:ascii="Times New Roman" w:hAnsi="Times New Roman" w:cs="Times New Roman"/>
          <w:b w:val="0"/>
          <w:i w:val="0"/>
          <w:sz w:val="22"/>
        </w:rPr>
        <w:t>- If pallet status is LOADED or DELIVERED → reason required.</w:t>
      </w:r>
    </w:p>
    <w:p>
      <w:pPr>
        <w:spacing w:after="80" w:line="293" w:lineRule="auto"/>
        <w:ind w:left="283"/>
        <w:jc w:val="left"/>
      </w:pPr>
      <w:r>
        <w:rPr>
          <w:rFonts w:ascii="Times New Roman" w:hAnsi="Times New Roman" w:cs="Times New Roman"/>
          <w:b w:val="0"/>
          <w:i w:val="0"/>
          <w:sz w:val="22"/>
        </w:rPr>
        <w:t>- If pallet status is DELIVERED and shipment is SETTLED → DENY (cannot reprint after</w:t>
      </w:r>
    </w:p>
    <w:p>
      <w:pPr>
        <w:spacing w:after="80" w:line="293" w:lineRule="auto"/>
        <w:jc w:val="left"/>
      </w:pPr>
      <w:r>
        <w:rPr>
          <w:rFonts w:ascii="Times New Roman" w:hAnsi="Times New Roman" w:cs="Times New Roman"/>
          <w:b w:val="0"/>
          <w:i w:val="0"/>
          <w:sz w:val="22"/>
        </w:rPr>
        <w:t>settlement).</w:t>
      </w:r>
    </w:p>
    <w:p>
      <w:pPr>
        <w:spacing w:after="80" w:line="293" w:lineRule="auto"/>
        <w:ind w:left="283"/>
        <w:jc w:val="left"/>
      </w:pPr>
      <w:r>
        <w:rPr>
          <w:rFonts w:ascii="Times New Roman" w:hAnsi="Times New Roman" w:cs="Times New Roman"/>
          <w:b w:val="0"/>
          <w:i w:val="0"/>
          <w:sz w:val="22"/>
        </w:rPr>
        <w:t>- If the reason is insufficient (&lt; 10 chars) → CONDITIONAL.</w:t>
      </w:r>
    </w:p>
    <w:p>
      <w:pPr>
        <w:spacing w:after="80" w:line="293" w:lineRule="auto"/>
        <w:ind w:left="283"/>
        <w:jc w:val="left"/>
      </w:pPr>
      <w:r>
        <w:rPr>
          <w:rFonts w:ascii="Times New Roman" w:hAnsi="Times New Roman" w:cs="Times New Roman"/>
          <w:b w:val="0"/>
          <w:i w:val="0"/>
          <w:sz w:val="22"/>
        </w:rPr>
        <w:t>- If ALLOW → new labels with the same SSCC are generated (enhanced contrast if requested).</w:t>
      </w:r>
    </w:p>
    <w:p>
      <w:pPr>
        <w:spacing w:after="80" w:line="293" w:lineRule="auto"/>
        <w:ind w:left="283"/>
        <w:jc w:val="left"/>
      </w:pPr>
      <w:r>
        <w:rPr>
          <w:rFonts w:ascii="Times New Roman" w:hAnsi="Times New Roman" w:cs="Times New Roman"/>
          <w:b w:val="0"/>
          <w:i w:val="0"/>
          <w:sz w:val="22"/>
        </w:rPr>
        <w:t>- If DENY → the Decision Panel explains: "This pallet has already been delivered. Reprinting is</w:t>
      </w:r>
    </w:p>
    <w:p>
      <w:pPr>
        <w:spacing w:after="80" w:line="293" w:lineRule="auto"/>
        <w:jc w:val="left"/>
      </w:pPr>
      <w:r>
        <w:rPr>
          <w:rFonts w:ascii="Times New Roman" w:hAnsi="Times New Roman" w:cs="Times New Roman"/>
          <w:b w:val="0"/>
          <w:i w:val="0"/>
          <w:sz w:val="22"/>
        </w:rPr>
        <w:t>not allowed."</w:t>
      </w:r>
    </w:p>
    <w:p>
      <w:pPr>
        <w:spacing w:after="80" w:line="293" w:lineRule="auto"/>
        <w:jc w:val="left"/>
      </w:pPr>
      <w:r>
        <w:rPr>
          <w:rFonts w:ascii="Times New Roman" w:hAnsi="Times New Roman" w:cs="Times New Roman"/>
          <w:b w:val="0"/>
          <w:i w:val="0"/>
          <w:sz w:val="22"/>
        </w:rPr>
        <w:t>One-click: click "Request Reprint" → enter reason → submit (1). If auto-approved, the reprint proceeds.</w:t>
      </w:r>
    </w:p>
    <w:p>
      <w:pPr>
        <w:keepNext/>
        <w:spacing w:before="180" w:after="80"/>
        <w:outlineLvl w:val="2"/>
      </w:pPr>
      <w:r>
        <w:rPr>
          <w:rFonts w:ascii="Arial" w:hAnsi="Arial" w:cs="Arial"/>
          <w:b/>
          <w:i w:val="0"/>
          <w:color w:val="333333"/>
          <w:sz w:val="23"/>
        </w:rPr>
        <w:t>23.3.8 Blockchain-Anchored Barcode Hashes (Immutable Timeline)</w:t>
      </w:r>
    </w:p>
    <w:p>
      <w:pPr>
        <w:spacing w:after="80" w:line="293" w:lineRule="auto"/>
        <w:jc w:val="left"/>
      </w:pPr>
      <w:r>
        <w:rPr>
          <w:rFonts w:ascii="Times New Roman" w:hAnsi="Times New Roman" w:cs="Times New Roman"/>
          <w:b w:val="0"/>
          <w:i w:val="0"/>
          <w:sz w:val="22"/>
        </w:rPr>
        <w:t>For high-value or regulated shipments (optional, selected by the seller), the platform anchors the hash of each pallet's identity data on Polygon for an additional layer of public verifiability.</w:t>
      </w:r>
    </w:p>
    <w:p>
      <w:pPr>
        <w:spacing w:after="80" w:line="293" w:lineRule="auto"/>
        <w:jc w:val="left"/>
      </w:pPr>
      <w:r>
        <w:rPr>
          <w:rFonts w:ascii="Times New Roman" w:hAnsi="Times New Roman" w:cs="Times New Roman"/>
          <w:b w:val="0"/>
          <w:i w:val="0"/>
          <w:sz w:val="22"/>
        </w:rPr>
        <w:t>Process:</w:t>
      </w:r>
    </w:p>
    <w:p>
      <w:pPr>
        <w:spacing w:after="80" w:line="293" w:lineRule="auto"/>
        <w:jc w:val="left"/>
      </w:pPr>
      <w:r>
        <w:rPr>
          <w:rFonts w:ascii="Times New Roman" w:hAnsi="Times New Roman" w:cs="Times New Roman"/>
          <w:b w:val="0"/>
          <w:i w:val="0"/>
          <w:sz w:val="22"/>
        </w:rPr>
        <w:t>1. At packing plan lock, the `pallet_details` record is hashed (SHA256) along with the SSCC, shipment USTN, and a timestamp. 2. The hash is included in a batch transaction to a simple smart contract (self-deployed, minimal gas). 3. The transaction hash is stored in `blockchain_anchors`.</w:t>
      </w:r>
    </w:p>
    <w:p>
      <w:pPr>
        <w:spacing w:after="80" w:line="293" w:lineRule="auto"/>
        <w:jc w:val="left"/>
      </w:pPr>
      <w:r>
        <w:rPr>
          <w:rFonts w:ascii="Times New Roman" w:hAnsi="Times New Roman" w:cs="Times New Roman"/>
          <w:b w:val="0"/>
          <w:i w:val="0"/>
          <w:sz w:val="22"/>
        </w:rPr>
        <w:t>Batch transaction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"batch_id": "BATCH-20260415-001",</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"pallet_hashes": [</w:t>
      </w:r>
    </w:p>
    <w:p>
      <w:pPr>
        <w:spacing w:after="0" w:before="0" w:line="240" w:lineRule="auto"/>
        <w:ind w:left="57"/>
        <w:jc w:val="left"/>
        <w:shd w:val="clear" w:fill="F2F2F2"/>
      </w:pPr>
      <w:r>
        <w:rPr>
          <w:rFonts w:ascii="Consolas" w:hAnsi="Consolas" w:cs="Consolas"/>
          <w:b w:val="0"/>
          <w:i w:val="0"/>
          <w:sz w:val="15"/>
        </w:rPr>
        <w:t xml:space="preserve">    { "sscc": "106141411234567890", "hash": "sha256:abc123..." },</w:t>
      </w:r>
    </w:p>
    <w:p>
      <w:pPr>
        <w:spacing w:after="0" w:before="0" w:line="240" w:lineRule="auto"/>
        <w:ind w:left="57"/>
        <w:jc w:val="left"/>
        <w:shd w:val="clear" w:fill="F2F2F2"/>
      </w:pPr>
      <w:r>
        <w:rPr>
          <w:rFonts w:ascii="Consolas" w:hAnsi="Consolas" w:cs="Consolas"/>
          <w:b w:val="0"/>
          <w:i w:val="0"/>
          <w:sz w:val="15"/>
        </w:rPr>
        <w:t xml:space="preserve">    { "sscc": "106141411234567891", "hash": "sha256:def456..."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"timestamp": "2026-04-15T12:00:00Z",</w:t>
      </w:r>
    </w:p>
    <w:p>
      <w:pPr>
        <w:spacing w:after="0" w:before="0" w:line="240" w:lineRule="auto"/>
        <w:ind w:left="57"/>
        <w:jc w:val="left"/>
        <w:shd w:val="clear" w:fill="F2F2F2"/>
      </w:pPr>
      <w:r>
        <w:rPr>
          <w:rFonts w:ascii="Consolas" w:hAnsi="Consolas" w:cs="Consolas"/>
          <w:b w:val="0"/>
          <w:i w:val="0"/>
          <w:sz w:val="15"/>
        </w:rPr>
        <w:t xml:space="preserve">  "signature": "ed25519:..."</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Smart contract (simplified Solidity):</w:t>
      </w:r>
    </w:p>
    <w:p>
      <w:pPr>
        <w:spacing w:after="0" w:before="0" w:line="240" w:lineRule="auto"/>
        <w:ind w:left="57"/>
        <w:jc w:val="left"/>
        <w:shd w:val="clear" w:fill="F2F2F2"/>
      </w:pPr>
      <w:r>
        <w:rPr>
          <w:rFonts w:ascii="Consolas" w:hAnsi="Consolas" w:cs="Consolas"/>
          <w:b w:val="0"/>
          <w:i w:val="0"/>
          <w:sz w:val="15"/>
        </w:rPr>
        <w:t>contract PalletRegistry {</w:t>
      </w:r>
    </w:p>
    <w:p>
      <w:pPr>
        <w:spacing w:after="0" w:before="0" w:line="240" w:lineRule="auto"/>
        <w:ind w:left="57"/>
        <w:jc w:val="left"/>
        <w:shd w:val="clear" w:fill="F2F2F2"/>
      </w:pPr>
      <w:r>
        <w:rPr>
          <w:rFonts w:ascii="Consolas" w:hAnsi="Consolas" w:cs="Consolas"/>
          <w:b w:val="0"/>
          <w:i w:val="0"/>
          <w:sz w:val="15"/>
        </w:rPr>
        <w:t xml:space="preserve">    mapping(bytes32 =&gt; uint256) public palletHashes;</w:t>
      </w:r>
    </w:p>
    <w:p>
      <w:pPr>
        <w:spacing w:after="0" w:before="0" w:line="240" w:lineRule="auto"/>
        <w:ind w:left="57"/>
        <w:jc w:val="left"/>
        <w:shd w:val="clear" w:fill="F2F2F2"/>
      </w:pPr>
      <w:r>
        <w:rPr>
          <w:rFonts w:ascii="Consolas" w:hAnsi="Consolas" w:cs="Consolas"/>
          <w:b w:val="0"/>
          <w:i w:val="0"/>
          <w:sz w:val="15"/>
        </w:rPr>
        <w:t xml:space="preserve">    event PalletAnchored(bytes32 indexed hash, uint256 timestamp);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function anchorPallet(bytes32 hash) external {</w:t>
      </w:r>
    </w:p>
    <w:p>
      <w:pPr>
        <w:spacing w:after="0" w:before="0" w:line="240" w:lineRule="auto"/>
        <w:ind w:left="57"/>
        <w:jc w:val="left"/>
        <w:shd w:val="clear" w:fill="F2F2F2"/>
      </w:pPr>
      <w:r>
        <w:rPr>
          <w:rFonts w:ascii="Consolas" w:hAnsi="Consolas" w:cs="Consolas"/>
          <w:b w:val="0"/>
          <w:i w:val="0"/>
          <w:sz w:val="15"/>
        </w:rPr>
        <w:t xml:space="preserve">        palletHashes[hash] = block.timestamp;</w:t>
      </w:r>
    </w:p>
    <w:p>
      <w:pPr>
        <w:spacing w:after="0" w:before="0" w:line="240" w:lineRule="auto"/>
        <w:ind w:left="57"/>
        <w:jc w:val="left"/>
        <w:shd w:val="clear" w:fill="F2F2F2"/>
      </w:pPr>
      <w:r>
        <w:rPr>
          <w:rFonts w:ascii="Consolas" w:hAnsi="Consolas" w:cs="Consolas"/>
          <w:b w:val="0"/>
          <w:i w:val="0"/>
          <w:sz w:val="15"/>
        </w:rPr>
        <w:t xml:space="preserve">        emit PalletAnchored(hash, block.timestamp);</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function verifyPallet(bytes32 hash) external view returns (bool) {</w:t>
      </w:r>
    </w:p>
    <w:p>
      <w:pPr>
        <w:spacing w:after="0" w:before="0" w:line="240" w:lineRule="auto"/>
        <w:ind w:left="57"/>
        <w:jc w:val="left"/>
        <w:shd w:val="clear" w:fill="F2F2F2"/>
      </w:pPr>
      <w:r>
        <w:rPr>
          <w:rFonts w:ascii="Consolas" w:hAnsi="Consolas" w:cs="Consolas"/>
          <w:b w:val="0"/>
          <w:i w:val="0"/>
          <w:sz w:val="15"/>
        </w:rPr>
        <w:t xml:space="preserve">        return palletHashes[hash] &gt; 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Cost: negligible (~$0.01–0.10 per batch, paid by the platform operator as part of infrastructure cost); no per-transaction fee charged to tenants. One-click: the seller toggles "Enable blockchain anchoring" in Company Admin → Settings; zero clicks after that.</w:t>
      </w:r>
    </w:p>
    <w:p>
      <w:pPr>
        <w:keepNext/>
        <w:spacing w:before="180" w:after="80"/>
        <w:outlineLvl w:val="2"/>
      </w:pPr>
      <w:r>
        <w:rPr>
          <w:rFonts w:ascii="Arial" w:hAnsi="Arial" w:cs="Arial"/>
          <w:b/>
          <w:i w:val="0"/>
          <w:color w:val="333333"/>
          <w:sz w:val="23"/>
        </w:rPr>
        <w:t>23.3.9 Scan-Triggered Milestone Confirmation &amp; Fee Release</w:t>
      </w:r>
    </w:p>
    <w:p>
      <w:pPr>
        <w:spacing w:after="80" w:line="293" w:lineRule="auto"/>
        <w:jc w:val="left"/>
      </w:pPr>
      <w:r>
        <w:rPr>
          <w:rFonts w:ascii="Times New Roman" w:hAnsi="Times New Roman" w:cs="Times New Roman"/>
          <w:b w:val="0"/>
          <w:i w:val="0"/>
          <w:sz w:val="22"/>
        </w:rPr>
        <w:t>Every successful scan (barcode, visual, or voice) triggers the standard Phase 5 milestone flow (Section 12):</w:t>
      </w:r>
    </w:p>
    <w:p>
      <w:pPr>
        <w:spacing w:after="80" w:line="293" w:lineRule="auto"/>
        <w:jc w:val="left"/>
      </w:pPr>
      <w:r>
        <w:rPr>
          <w:rFonts w:ascii="Times New Roman" w:hAnsi="Times New Roman" w:cs="Times New Roman"/>
          <w:b w:val="0"/>
          <w:i w:val="0"/>
          <w:sz w:val="22"/>
        </w:rPr>
        <w:t>1. The mobile app sends a signed `pallet.loaded` event to the shipment-service via NATS. 2. The Governor (OPA + WasmEdge) verifies:</w:t>
      </w:r>
    </w:p>
    <w:p>
      <w:pPr>
        <w:spacing w:after="80" w:line="293" w:lineRule="auto"/>
        <w:ind w:left="283"/>
        <w:jc w:val="left"/>
      </w:pPr>
      <w:r>
        <w:rPr>
          <w:rFonts w:ascii="Times New Roman" w:hAnsi="Times New Roman" w:cs="Times New Roman"/>
          <w:b w:val="0"/>
          <w:i w:val="0"/>
          <w:sz w:val="22"/>
        </w:rPr>
        <w:t>- Device identity (ZITADEL certificate).</w:t>
      </w:r>
    </w:p>
    <w:p>
      <w:pPr>
        <w:spacing w:after="80" w:line="293" w:lineRule="auto"/>
        <w:ind w:left="283"/>
        <w:jc w:val="left"/>
      </w:pPr>
      <w:r>
        <w:rPr>
          <w:rFonts w:ascii="Times New Roman" w:hAnsi="Times New Roman" w:cs="Times New Roman"/>
          <w:b w:val="0"/>
          <w:i w:val="0"/>
          <w:sz w:val="22"/>
        </w:rPr>
        <w:t>- Employee permissions (`shipment.milestone.confirm`).</w:t>
      </w:r>
    </w:p>
    <w:p>
      <w:pPr>
        <w:spacing w:after="80" w:line="293" w:lineRule="auto"/>
        <w:ind w:left="283"/>
        <w:jc w:val="left"/>
      </w:pPr>
      <w:r>
        <w:rPr>
          <w:rFonts w:ascii="Times New Roman" w:hAnsi="Times New Roman" w:cs="Times New Roman"/>
          <w:b w:val="0"/>
          <w:i w:val="0"/>
          <w:sz w:val="22"/>
        </w:rPr>
        <w:t>- Current FeeLock status (ACTIVE).</w:t>
      </w:r>
    </w:p>
    <w:p>
      <w:pPr>
        <w:spacing w:after="80" w:line="293" w:lineRule="auto"/>
        <w:ind w:left="283"/>
        <w:jc w:val="left"/>
      </w:pPr>
      <w:r>
        <w:rPr>
          <w:rFonts w:ascii="Times New Roman" w:hAnsi="Times New Roman" w:cs="Times New Roman"/>
          <w:b w:val="0"/>
          <w:i w:val="0"/>
          <w:sz w:val="22"/>
        </w:rPr>
        <w:t>- Pallet belongs to the correct shipment (multi-shipment check).</w:t>
      </w:r>
    </w:p>
    <w:p>
      <w:pPr>
        <w:spacing w:after="80" w:line="293" w:lineRule="auto"/>
        <w:jc w:val="left"/>
      </w:pPr>
      <w:r>
        <w:rPr>
          <w:rFonts w:ascii="Times New Roman" w:hAnsi="Times New Roman" w:cs="Times New Roman"/>
          <w:b w:val="0"/>
          <w:i w:val="0"/>
          <w:sz w:val="22"/>
        </w:rPr>
        <w:t>3. If allowed, the milestone is confirmed and `pallet_details.status` is updated to LOADED. 4. When the last pallet of a container is loaded, the container milestone ("Loaded") is auto-confirmed (A4 if multisource consensus is reached). 5. FeeLock release conditions are evaluated (the platform fee was already paid upfront — no further release; if a financing fee applies, it was deducted at disbursement). The milestone confirmation is still logged for audit.</w:t>
      </w:r>
    </w:p>
    <w:p>
      <w:pPr>
        <w:spacing w:after="80" w:line="293" w:lineRule="auto"/>
        <w:jc w:val="left"/>
      </w:pPr>
      <w:r>
        <w:rPr>
          <w:rFonts w:ascii="Times New Roman" w:hAnsi="Times New Roman" w:cs="Times New Roman"/>
          <w:b w:val="0"/>
          <w:i w:val="0"/>
          <w:sz w:val="22"/>
        </w:rPr>
        <w:t>Scan event example:</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"event_type": "pallet.loaded",</w:t>
      </w:r>
    </w:p>
    <w:p>
      <w:pPr>
        <w:spacing w:after="0" w:before="0" w:line="240" w:lineRule="auto"/>
        <w:ind w:left="57"/>
        <w:jc w:val="left"/>
        <w:shd w:val="clear" w:fill="F2F2F2"/>
      </w:pPr>
      <w:r>
        <w:rPr>
          <w:rFonts w:ascii="Consolas" w:hAnsi="Consolas" w:cs="Consolas"/>
          <w:b w:val="0"/>
          <w:i w:val="0"/>
          <w:sz w:val="15"/>
        </w:rPr>
        <w:t xml:space="preserve">  "ustn": "SGTX-EG-26-F3A-1",</w:t>
      </w:r>
    </w:p>
    <w:p>
      <w:pPr>
        <w:spacing w:after="0" w:before="0" w:line="240" w:lineRule="auto"/>
        <w:ind w:left="57"/>
        <w:jc w:val="left"/>
        <w:shd w:val="clear" w:fill="F2F2F2"/>
      </w:pPr>
      <w:r>
        <w:rPr>
          <w:rFonts w:ascii="Consolas" w:hAnsi="Consolas" w:cs="Consolas"/>
          <w:b w:val="0"/>
          <w:i w:val="0"/>
          <w:sz w:val="15"/>
        </w:rPr>
        <w:t xml:space="preserve">  "sscc": "106141411234567890",</w:t>
      </w:r>
    </w:p>
    <w:p>
      <w:pPr>
        <w:spacing w:after="0" w:before="0" w:line="240" w:lineRule="auto"/>
        <w:ind w:left="57"/>
        <w:jc w:val="left"/>
        <w:shd w:val="clear" w:fill="F2F2F2"/>
      </w:pPr>
      <w:r>
        <w:rPr>
          <w:rFonts w:ascii="Consolas" w:hAnsi="Consolas" w:cs="Consolas"/>
          <w:b w:val="0"/>
          <w:i w:val="0"/>
          <w:sz w:val="15"/>
        </w:rPr>
        <w:t xml:space="preserve">  "employee_gtid": "SGTX-EG-LSP-001",</w:t>
      </w:r>
    </w:p>
    <w:p>
      <w:pPr>
        <w:spacing w:after="0" w:before="0" w:line="240" w:lineRule="auto"/>
        <w:ind w:left="57"/>
        <w:jc w:val="left"/>
        <w:shd w:val="clear" w:fill="F2F2F2"/>
      </w:pPr>
      <w:r>
        <w:rPr>
          <w:rFonts w:ascii="Consolas" w:hAnsi="Consolas" w:cs="Consolas"/>
          <w:b w:val="0"/>
          <w:i w:val="0"/>
          <w:sz w:val="15"/>
        </w:rPr>
        <w:t xml:space="preserve">  "device_id": "device-abc123",</w:t>
      </w:r>
    </w:p>
    <w:p>
      <w:pPr>
        <w:spacing w:after="0" w:before="0" w:line="240" w:lineRule="auto"/>
        <w:ind w:left="57"/>
        <w:jc w:val="left"/>
        <w:shd w:val="clear" w:fill="F2F2F2"/>
      </w:pPr>
      <w:r>
        <w:rPr>
          <w:rFonts w:ascii="Consolas" w:hAnsi="Consolas" w:cs="Consolas"/>
          <w:b w:val="0"/>
          <w:i w:val="0"/>
          <w:sz w:val="15"/>
        </w:rPr>
        <w:t xml:space="preserve">  "timestamp": "2026-04-15T14:30:00Z",</w:t>
      </w:r>
    </w:p>
    <w:p>
      <w:pPr>
        <w:spacing w:after="0" w:before="0" w:line="240" w:lineRule="auto"/>
        <w:ind w:left="57"/>
        <w:jc w:val="left"/>
        <w:shd w:val="clear" w:fill="F2F2F2"/>
      </w:pPr>
      <w:r>
        <w:rPr>
          <w:rFonts w:ascii="Consolas" w:hAnsi="Consolas" w:cs="Consolas"/>
          <w:b w:val="0"/>
          <w:i w:val="0"/>
          <w:sz w:val="15"/>
        </w:rPr>
        <w:t xml:space="preserve">  "method": "barcode",</w:t>
      </w:r>
    </w:p>
    <w:p>
      <w:pPr>
        <w:spacing w:after="0" w:before="0" w:line="240" w:lineRule="auto"/>
        <w:ind w:left="57"/>
        <w:jc w:val="left"/>
        <w:shd w:val="clear" w:fill="F2F2F2"/>
      </w:pPr>
      <w:r>
        <w:rPr>
          <w:rFonts w:ascii="Consolas" w:hAnsi="Consolas" w:cs="Consolas"/>
          <w:b w:val="0"/>
          <w:i w:val="0"/>
          <w:sz w:val="15"/>
        </w:rPr>
        <w:t xml:space="preserve">  "signature": "ed25519:..."</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Smart Inbox: all relevant parties receive real-time updates (via NATS) when milestones are confirmed.</w:t>
      </w:r>
    </w:p>
    <w:p>
      <w:pPr>
        <w:keepNext/>
        <w:spacing w:before="180" w:after="80"/>
        <w:outlineLvl w:val="2"/>
      </w:pPr>
      <w:r>
        <w:rPr>
          <w:rFonts w:ascii="Arial" w:hAnsi="Arial" w:cs="Arial"/>
          <w:b/>
          <w:i w:val="0"/>
          <w:color w:val="333333"/>
          <w:sz w:val="23"/>
        </w:rPr>
        <w:t>23.3.10 Governance &amp; Verification Gates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Gate</w:t>
            </w:r>
          </w:p>
        </w:tc>
        <w:tc>
          <w:tcPr>
            <w:tcW w:type="dxa" w:w="4819"/>
            <w:shd w:val="clear" w:fill="D9E2F3"/>
          </w:tcPr>
          <w:p>
            <w:pPr>
              <w:spacing w:after="20" w:before="20" w:line="240" w:lineRule="auto"/>
            </w:pPr>
            <w:r/>
            <w:r>
              <w:rPr>
                <w:rFonts w:ascii="Arial" w:hAnsi="Arial" w:cs="Arial"/>
                <w:b/>
                <w:i w:val="0"/>
                <w:sz w:val="18"/>
              </w:rPr>
              <w:t>Enforcement</w:t>
            </w:r>
          </w:p>
        </w:tc>
      </w:tr>
      <w:tr>
        <w:tc>
          <w:tcPr>
            <w:tcW w:type="dxa" w:w="4819"/>
          </w:tcPr>
          <w:p>
            <w:pPr>
              <w:spacing w:after="20" w:before="20" w:line="240" w:lineRule="auto"/>
            </w:pPr>
            <w:r/>
            <w:r>
              <w:rPr>
                <w:rFonts w:ascii="Arial" w:hAnsi="Arial" w:cs="Arial"/>
                <w:b w:val="0"/>
                <w:i w:val="0"/>
                <w:sz w:val="17"/>
              </w:rPr>
              <w:t>Barcode generation</w:t>
            </w:r>
          </w:p>
        </w:tc>
        <w:tc>
          <w:tcPr>
            <w:tcW w:type="dxa" w:w="4819"/>
          </w:tcPr>
          <w:p>
            <w:pPr>
              <w:spacing w:after="20" w:before="20" w:line="240" w:lineRule="auto"/>
            </w:pPr>
            <w:r/>
            <w:r>
              <w:rPr>
                <w:rFonts w:ascii="Arial" w:hAnsi="Arial" w:cs="Arial"/>
                <w:b w:val="0"/>
                <w:i w:val="0"/>
                <w:sz w:val="17"/>
              </w:rPr>
              <w:t>SSCC uniqueness + packing plan lock prerequisite (A4)</w:t>
            </w:r>
          </w:p>
        </w:tc>
      </w:tr>
      <w:tr>
        <w:tc>
          <w:tcPr>
            <w:tcW w:type="dxa" w:w="4819"/>
          </w:tcPr>
          <w:p>
            <w:pPr>
              <w:spacing w:after="20" w:before="20" w:line="240" w:lineRule="auto"/>
            </w:pPr>
            <w:r/>
            <w:r>
              <w:rPr>
                <w:rFonts w:ascii="Arial" w:hAnsi="Arial" w:cs="Arial"/>
                <w:b w:val="0"/>
                <w:i w:val="0"/>
                <w:sz w:val="17"/>
              </w:rPr>
              <w:t>Scan validation</w:t>
            </w:r>
          </w:p>
        </w:tc>
        <w:tc>
          <w:tcPr>
            <w:tcW w:type="dxa" w:w="4819"/>
          </w:tcPr>
          <w:p>
            <w:pPr>
              <w:spacing w:after="20" w:before="20" w:line="240" w:lineRule="auto"/>
            </w:pPr>
            <w:r/>
            <w:r>
              <w:rPr>
                <w:rFonts w:ascii="Arial" w:hAnsi="Arial" w:cs="Arial"/>
                <w:b w:val="0"/>
                <w:i w:val="0"/>
                <w:sz w:val="17"/>
              </w:rPr>
              <w:t>Device identity, employee permission, shipment membership, FeeLock status (A4)</w:t>
            </w:r>
          </w:p>
        </w:tc>
      </w:tr>
      <w:tr>
        <w:tc>
          <w:tcPr>
            <w:tcW w:type="dxa" w:w="4819"/>
          </w:tcPr>
          <w:p>
            <w:pPr>
              <w:spacing w:after="20" w:before="20" w:line="240" w:lineRule="auto"/>
            </w:pPr>
            <w:r/>
            <w:r>
              <w:rPr>
                <w:rFonts w:ascii="Arial" w:hAnsi="Arial" w:cs="Arial"/>
                <w:b w:val="0"/>
                <w:i w:val="0"/>
                <w:sz w:val="17"/>
              </w:rPr>
              <w:t>Pre-loading reprint</w:t>
            </w:r>
          </w:p>
        </w:tc>
        <w:tc>
          <w:tcPr>
            <w:tcW w:type="dxa" w:w="4819"/>
          </w:tcPr>
          <w:p>
            <w:pPr>
              <w:spacing w:after="20" w:before="20" w:line="240" w:lineRule="auto"/>
            </w:pPr>
            <w:r/>
            <w:r>
              <w:rPr>
                <w:rFonts w:ascii="Arial" w:hAnsi="Arial" w:cs="Arial"/>
                <w:b w:val="0"/>
                <w:i w:val="0"/>
                <w:sz w:val="17"/>
              </w:rPr>
              <w:t>Logged, no Governor approval required</w:t>
            </w:r>
          </w:p>
        </w:tc>
      </w:tr>
      <w:tr>
        <w:tc>
          <w:tcPr>
            <w:tcW w:type="dxa" w:w="4819"/>
          </w:tcPr>
          <w:p>
            <w:pPr>
              <w:spacing w:after="20" w:before="20" w:line="240" w:lineRule="auto"/>
            </w:pPr>
            <w:r/>
            <w:r>
              <w:rPr>
                <w:rFonts w:ascii="Arial" w:hAnsi="Arial" w:cs="Arial"/>
                <w:b w:val="0"/>
                <w:i w:val="0"/>
                <w:sz w:val="17"/>
              </w:rPr>
              <w:t>Post-loading reprint</w:t>
            </w:r>
          </w:p>
        </w:tc>
        <w:tc>
          <w:tcPr>
            <w:tcW w:type="dxa" w:w="4819"/>
          </w:tcPr>
          <w:p>
            <w:pPr>
              <w:spacing w:after="20" w:before="20" w:line="240" w:lineRule="auto"/>
            </w:pPr>
            <w:r/>
            <w:r>
              <w:rPr>
                <w:rFonts w:ascii="Arial" w:hAnsi="Arial" w:cs="Arial"/>
                <w:b w:val="0"/>
                <w:i w:val="0"/>
                <w:sz w:val="17"/>
              </w:rPr>
              <w:t>Governor decision with mandatory reason (≥ 10 chars)</w:t>
            </w:r>
          </w:p>
        </w:tc>
      </w:tr>
      <w:tr>
        <w:tc>
          <w:tcPr>
            <w:tcW w:type="dxa" w:w="4819"/>
          </w:tcPr>
          <w:p>
            <w:pPr>
              <w:spacing w:after="20" w:before="20" w:line="240" w:lineRule="auto"/>
            </w:pPr>
            <w:r/>
            <w:r>
              <w:rPr>
                <w:rFonts w:ascii="Arial" w:hAnsi="Arial" w:cs="Arial"/>
                <w:b w:val="0"/>
                <w:i w:val="0"/>
                <w:sz w:val="17"/>
              </w:rPr>
              <w:t>Post-settlement reprint</w:t>
            </w:r>
          </w:p>
        </w:tc>
        <w:tc>
          <w:tcPr>
            <w:tcW w:type="dxa" w:w="4819"/>
          </w:tcPr>
          <w:p>
            <w:pPr>
              <w:spacing w:after="20" w:before="20" w:line="240" w:lineRule="auto"/>
            </w:pPr>
            <w:r/>
            <w:r>
              <w:rPr>
                <w:rFonts w:ascii="Arial" w:hAnsi="Arial" w:cs="Arial"/>
                <w:b w:val="0"/>
                <w:i w:val="0"/>
                <w:sz w:val="17"/>
              </w:rPr>
              <w:t>DENY — structurally impossible</w:t>
            </w:r>
          </w:p>
        </w:tc>
      </w:tr>
      <w:tr>
        <w:tc>
          <w:tcPr>
            <w:tcW w:type="dxa" w:w="4819"/>
          </w:tcPr>
          <w:p>
            <w:pPr>
              <w:spacing w:after="20" w:before="20" w:line="240" w:lineRule="auto"/>
            </w:pPr>
            <w:r/>
            <w:r>
              <w:rPr>
                <w:rFonts w:ascii="Arial" w:hAnsi="Arial" w:cs="Arial"/>
                <w:b w:val="0"/>
                <w:i w:val="0"/>
                <w:sz w:val="17"/>
              </w:rPr>
              <w:t>Blockchain anchoring</w:t>
            </w:r>
          </w:p>
        </w:tc>
        <w:tc>
          <w:tcPr>
            <w:tcW w:type="dxa" w:w="4819"/>
          </w:tcPr>
          <w:p>
            <w:pPr>
              <w:spacing w:after="20" w:before="20" w:line="240" w:lineRule="auto"/>
            </w:pPr>
            <w:r/>
            <w:r>
              <w:rPr>
                <w:rFonts w:ascii="Arial" w:hAnsi="Arial" w:cs="Arial"/>
                <w:b w:val="0"/>
                <w:i w:val="0"/>
                <w:sz w:val="17"/>
              </w:rPr>
              <w:t>Optional, seller-selected, batch-hashed</w:t>
            </w:r>
          </w:p>
        </w:tc>
      </w:tr>
      <w:tr>
        <w:tc>
          <w:tcPr>
            <w:tcW w:type="dxa" w:w="4819"/>
          </w:tcPr>
          <w:p>
            <w:pPr>
              <w:spacing w:after="20" w:before="20" w:line="240" w:lineRule="auto"/>
            </w:pPr>
            <w:r/>
            <w:r>
              <w:rPr>
                <w:rFonts w:ascii="Arial" w:hAnsi="Arial" w:cs="Arial"/>
                <w:b w:val="0"/>
                <w:i w:val="0"/>
                <w:sz w:val="17"/>
              </w:rPr>
              <w:t>Credential verification</w:t>
            </w:r>
          </w:p>
        </w:tc>
        <w:tc>
          <w:tcPr>
            <w:tcW w:type="dxa" w:w="4819"/>
          </w:tcPr>
          <w:p>
            <w:pPr>
              <w:spacing w:after="20" w:before="20" w:line="240" w:lineRule="auto"/>
            </w:pPr>
            <w:r/>
            <w:r>
              <w:rPr>
                <w:rFonts w:ascii="Arial" w:hAnsi="Arial" w:cs="Arial"/>
                <w:b w:val="0"/>
                <w:i w:val="0"/>
                <w:sz w:val="17"/>
              </w:rPr>
              <w:t>Ed25519 signature + expiry check (offline-capable)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All barcode events are Loom-logged for audit.</w:t>
      </w:r>
    </w:p>
    <w:p>
      <w:pPr>
        <w:keepNext/>
        <w:spacing w:before="180" w:after="80"/>
        <w:outlineLvl w:val="2"/>
      </w:pPr>
      <w:r>
        <w:rPr>
          <w:rFonts w:ascii="Arial" w:hAnsi="Arial" w:cs="Arial"/>
          <w:b/>
          <w:i w:val="0"/>
          <w:color w:val="333333"/>
          <w:sz w:val="23"/>
        </w:rPr>
        <w:t>23.3.11 Database Schema</w:t>
      </w:r>
    </w:p>
    <w:p>
      <w:pPr>
        <w:spacing w:after="0" w:before="0" w:line="240" w:lineRule="auto"/>
        <w:ind w:left="57"/>
        <w:jc w:val="left"/>
        <w:shd w:val="clear" w:fill="F2F2F2"/>
      </w:pPr>
      <w:r>
        <w:rPr>
          <w:rFonts w:ascii="Consolas" w:hAnsi="Consolas" w:cs="Consolas"/>
          <w:b w:val="0"/>
          <w:i w:val="0"/>
          <w:sz w:val="15"/>
        </w:rPr>
        <w:t>-- Pallet details (core barcode identity)</w:t>
      </w:r>
    </w:p>
    <w:p>
      <w:pPr>
        <w:spacing w:after="0" w:before="0" w:line="240" w:lineRule="auto"/>
        <w:ind w:left="57"/>
        <w:jc w:val="left"/>
        <w:shd w:val="clear" w:fill="F2F2F2"/>
      </w:pPr>
      <w:r>
        <w:rPr>
          <w:rFonts w:ascii="Consolas" w:hAnsi="Consolas" w:cs="Consolas"/>
          <w:b w:val="0"/>
          <w:i w:val="0"/>
          <w:sz w:val="15"/>
        </w:rPr>
        <w:t>-- pallet_details: canonical definition in Section 17.9;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Barcode print jobs</w:t>
      </w:r>
    </w:p>
    <w:p>
      <w:pPr>
        <w:spacing w:after="0" w:before="0" w:line="240" w:lineRule="auto"/>
        <w:ind w:left="57"/>
        <w:jc w:val="left"/>
        <w:shd w:val="clear" w:fill="F2F2F2"/>
      </w:pPr>
      <w:r>
        <w:rPr>
          <w:rFonts w:ascii="Consolas" w:hAnsi="Consolas" w:cs="Consolas"/>
          <w:b w:val="0"/>
          <w:i w:val="0"/>
          <w:sz w:val="15"/>
        </w:rPr>
        <w:t>CREATE TABLE barcode_print_jobs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CASCADE,</w:t>
      </w:r>
    </w:p>
    <w:p>
      <w:pPr>
        <w:spacing w:after="0" w:before="0" w:line="240" w:lineRule="auto"/>
        <w:ind w:left="57"/>
        <w:jc w:val="left"/>
        <w:shd w:val="clear" w:fill="F2F2F2"/>
      </w:pPr>
      <w:r>
        <w:rPr>
          <w:rFonts w:ascii="Consolas" w:hAnsi="Consolas" w:cs="Consolas"/>
          <w:b w:val="0"/>
          <w:i w:val="0"/>
          <w:sz w:val="15"/>
        </w:rPr>
        <w:t xml:space="preserve">  job_type TEXT NOT NULL,          -- 'INITIAL', 'REPRINT'</w:t>
      </w:r>
    </w:p>
    <w:p>
      <w:pPr>
        <w:spacing w:after="0" w:before="0" w:line="240" w:lineRule="auto"/>
        <w:ind w:left="57"/>
        <w:jc w:val="left"/>
        <w:shd w:val="clear" w:fill="F2F2F2"/>
      </w:pPr>
      <w:r>
        <w:rPr>
          <w:rFonts w:ascii="Consolas" w:hAnsi="Consolas" w:cs="Consolas"/>
          <w:b w:val="0"/>
          <w:i w:val="0"/>
          <w:sz w:val="15"/>
        </w:rPr>
        <w:t xml:space="preserve">  pallet_ids UUID[] NOT NULL,</w:t>
      </w:r>
    </w:p>
    <w:p>
      <w:pPr>
        <w:spacing w:after="0" w:before="0" w:line="240" w:lineRule="auto"/>
        <w:ind w:left="57"/>
        <w:jc w:val="left"/>
        <w:shd w:val="clear" w:fill="F2F2F2"/>
      </w:pPr>
      <w:r>
        <w:rPr>
          <w:rFonts w:ascii="Consolas" w:hAnsi="Consolas" w:cs="Consolas"/>
          <w:b w:val="0"/>
          <w:i w:val="0"/>
          <w:sz w:val="15"/>
        </w:rPr>
        <w:t xml:space="preserve">  template TEXT NOT NULL,          -- 'STANDARD','CUSTOMS_READY','CONSIGNEE','TREATMENT_AWARE'</w:t>
      </w:r>
    </w:p>
    <w:p>
      <w:pPr>
        <w:spacing w:after="0" w:before="0" w:line="240" w:lineRule="auto"/>
        <w:ind w:left="57"/>
        <w:jc w:val="left"/>
        <w:shd w:val="clear" w:fill="F2F2F2"/>
      </w:pPr>
      <w:r>
        <w:rPr>
          <w:rFonts w:ascii="Consolas" w:hAnsi="Consolas" w:cs="Consolas"/>
          <w:b w:val="0"/>
          <w:i w:val="0"/>
          <w:sz w:val="15"/>
        </w:rPr>
        <w:t xml:space="preserve">  language TEXT DEFAULT 'en',</w:t>
      </w:r>
    </w:p>
    <w:p>
      <w:pPr>
        <w:spacing w:after="0" w:before="0" w:line="240" w:lineRule="auto"/>
        <w:ind w:left="57"/>
        <w:jc w:val="left"/>
        <w:shd w:val="clear" w:fill="F2F2F2"/>
      </w:pPr>
      <w:r>
        <w:rPr>
          <w:rFonts w:ascii="Consolas" w:hAnsi="Consolas" w:cs="Consolas"/>
          <w:b w:val="0"/>
          <w:i w:val="0"/>
          <w:sz w:val="15"/>
        </w:rPr>
        <w:t xml:space="preserve">  printer_ip TEXT,</w:t>
      </w:r>
    </w:p>
    <w:p>
      <w:pPr>
        <w:spacing w:after="0" w:before="0" w:line="240" w:lineRule="auto"/>
        <w:ind w:left="57"/>
        <w:jc w:val="left"/>
        <w:shd w:val="clear" w:fill="F2F2F2"/>
      </w:pPr>
      <w:r>
        <w:rPr>
          <w:rFonts w:ascii="Consolas" w:hAnsi="Consolas" w:cs="Consolas"/>
          <w:b w:val="0"/>
          <w:i w:val="0"/>
          <w:sz w:val="15"/>
        </w:rPr>
        <w:t xml:space="preserve">  zpl_data TEXT,</w:t>
      </w:r>
    </w:p>
    <w:p>
      <w:pPr>
        <w:spacing w:after="0" w:before="0" w:line="240" w:lineRule="auto"/>
        <w:ind w:left="57"/>
        <w:jc w:val="left"/>
        <w:shd w:val="clear" w:fill="F2F2F2"/>
      </w:pPr>
      <w:r>
        <w:rPr>
          <w:rFonts w:ascii="Consolas" w:hAnsi="Consolas" w:cs="Consolas"/>
          <w:b w:val="0"/>
          <w:i w:val="0"/>
          <w:sz w:val="15"/>
        </w:rPr>
        <w:t xml:space="preserve">  pdf_url TEXT,</w:t>
      </w:r>
    </w:p>
    <w:p>
      <w:pPr>
        <w:spacing w:after="0" w:before="0" w:line="240" w:lineRule="auto"/>
        <w:ind w:left="57"/>
        <w:jc w:val="left"/>
        <w:shd w:val="clear" w:fill="F2F2F2"/>
      </w:pPr>
      <w:r>
        <w:rPr>
          <w:rFonts w:ascii="Consolas" w:hAnsi="Consolas" w:cs="Consolas"/>
          <w:b w:val="0"/>
          <w:i w:val="0"/>
          <w:sz w:val="15"/>
        </w:rPr>
        <w:t xml:space="preserve">  status TEXT DEFAULT 'PENDING',   -- 'PENDING','PROCESSING','COMPLETED','FAILED'</w:t>
      </w:r>
    </w:p>
    <w:p>
      <w:pPr>
        <w:spacing w:after="0" w:before="0" w:line="240" w:lineRule="auto"/>
        <w:ind w:left="57"/>
        <w:jc w:val="left"/>
        <w:shd w:val="clear" w:fill="F2F2F2"/>
      </w:pPr>
      <w:r>
        <w:rPr>
          <w:rFonts w:ascii="Consolas" w:hAnsi="Consolas" w:cs="Consolas"/>
          <w:b w:val="0"/>
          <w:i w:val="0"/>
          <w:sz w:val="15"/>
        </w:rPr>
        <w:t xml:space="preserve">  requested_by UUID REFERENCES employees(id) ON DELETE SET NULL,</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 xml:space="preserve">  completed_at TIMESTAMPTZ</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Barcode scans</w:t>
      </w:r>
    </w:p>
    <w:p>
      <w:pPr>
        <w:spacing w:after="0" w:before="0" w:line="240" w:lineRule="auto"/>
        <w:ind w:left="57"/>
        <w:jc w:val="left"/>
        <w:shd w:val="clear" w:fill="F2F2F2"/>
      </w:pPr>
      <w:r>
        <w:rPr>
          <w:rFonts w:ascii="Consolas" w:hAnsi="Consolas" w:cs="Consolas"/>
          <w:b w:val="0"/>
          <w:i w:val="0"/>
          <w:sz w:val="15"/>
        </w:rPr>
        <w:t>CREATE TABLE barcode_scans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CASCADE,</w:t>
      </w:r>
    </w:p>
    <w:p>
      <w:pPr>
        <w:spacing w:after="0" w:before="0" w:line="240" w:lineRule="auto"/>
        <w:ind w:left="57"/>
        <w:jc w:val="left"/>
        <w:shd w:val="clear" w:fill="F2F2F2"/>
      </w:pPr>
      <w:r>
        <w:rPr>
          <w:rFonts w:ascii="Consolas" w:hAnsi="Consolas" w:cs="Consolas"/>
          <w:b w:val="0"/>
          <w:i w:val="0"/>
          <w:sz w:val="15"/>
        </w:rPr>
        <w:t xml:space="preserve">  sscc TEXT NOT NULL,</w:t>
      </w:r>
    </w:p>
    <w:p>
      <w:pPr>
        <w:spacing w:after="0" w:before="0" w:line="240" w:lineRule="auto"/>
        <w:ind w:left="57"/>
        <w:jc w:val="left"/>
        <w:shd w:val="clear" w:fill="F2F2F2"/>
      </w:pPr>
      <w:r>
        <w:rPr>
          <w:rFonts w:ascii="Consolas" w:hAnsi="Consolas" w:cs="Consolas"/>
          <w:b w:val="0"/>
          <w:i w:val="0"/>
          <w:sz w:val="15"/>
        </w:rPr>
        <w:t xml:space="preserve">  scan_method TEXT NOT NULL,       -- 'BARCODE', 'VISUAL', 'VOICE'</w:t>
      </w:r>
    </w:p>
    <w:p>
      <w:pPr>
        <w:spacing w:after="0" w:before="0" w:line="240" w:lineRule="auto"/>
        <w:ind w:left="57"/>
        <w:jc w:val="left"/>
        <w:shd w:val="clear" w:fill="F2F2F2"/>
      </w:pPr>
      <w:r>
        <w:rPr>
          <w:rFonts w:ascii="Consolas" w:hAnsi="Consolas" w:cs="Consolas"/>
          <w:b w:val="0"/>
          <w:i w:val="0"/>
          <w:sz w:val="15"/>
        </w:rPr>
        <w:t xml:space="preserve">  device_id TEXT NOT NULL,</w:t>
      </w:r>
    </w:p>
    <w:p>
      <w:pPr>
        <w:spacing w:after="0" w:before="0" w:line="240" w:lineRule="auto"/>
        <w:ind w:left="57"/>
        <w:jc w:val="left"/>
        <w:shd w:val="clear" w:fill="F2F2F2"/>
      </w:pPr>
      <w:r>
        <w:rPr>
          <w:rFonts w:ascii="Consolas" w:hAnsi="Consolas" w:cs="Consolas"/>
          <w:b w:val="0"/>
          <w:i w:val="0"/>
          <w:sz w:val="15"/>
        </w:rPr>
        <w:t xml:space="preserve">  employee_gtid TEXT NOT NULL,</w:t>
      </w:r>
    </w:p>
    <w:p>
      <w:pPr>
        <w:spacing w:after="0" w:before="0" w:line="240" w:lineRule="auto"/>
        <w:ind w:left="57"/>
        <w:jc w:val="left"/>
        <w:shd w:val="clear" w:fill="F2F2F2"/>
      </w:pPr>
      <w:r>
        <w:rPr>
          <w:rFonts w:ascii="Consolas" w:hAnsi="Consolas" w:cs="Consolas"/>
          <w:b w:val="0"/>
          <w:i w:val="0"/>
          <w:sz w:val="15"/>
        </w:rPr>
        <w:t xml:space="preserve">  gps_coordinates JSONB,</w:t>
      </w:r>
    </w:p>
    <w:p>
      <w:pPr>
        <w:spacing w:after="0" w:before="0" w:line="240" w:lineRule="auto"/>
        <w:ind w:left="57"/>
        <w:jc w:val="left"/>
        <w:shd w:val="clear" w:fill="F2F2F2"/>
      </w:pPr>
      <w:r>
        <w:rPr>
          <w:rFonts w:ascii="Consolas" w:hAnsi="Consolas" w:cs="Consolas"/>
          <w:b w:val="0"/>
          <w:i w:val="0"/>
          <w:sz w:val="15"/>
        </w:rPr>
        <w:t xml:space="preserve">  confidence DECIMAL(5,2),</w:t>
      </w:r>
    </w:p>
    <w:p>
      <w:pPr>
        <w:spacing w:after="0" w:before="0" w:line="240" w:lineRule="auto"/>
        <w:ind w:left="57"/>
        <w:jc w:val="left"/>
        <w:shd w:val="clear" w:fill="F2F2F2"/>
      </w:pPr>
      <w:r>
        <w:rPr>
          <w:rFonts w:ascii="Consolas" w:hAnsi="Consolas" w:cs="Consolas"/>
          <w:b w:val="0"/>
          <w:i w:val="0"/>
          <w:sz w:val="15"/>
        </w:rPr>
        <w:t xml:space="preserve">  raw_image_hash TEXT,</w:t>
      </w:r>
    </w:p>
    <w:p>
      <w:pPr>
        <w:spacing w:after="0" w:before="0" w:line="240" w:lineRule="auto"/>
        <w:ind w:left="57"/>
        <w:jc w:val="left"/>
        <w:shd w:val="clear" w:fill="F2F2F2"/>
      </w:pPr>
      <w:r>
        <w:rPr>
          <w:rFonts w:ascii="Consolas" w:hAnsi="Consolas" w:cs="Consolas"/>
          <w:b w:val="0"/>
          <w:i w:val="0"/>
          <w:sz w:val="15"/>
        </w:rPr>
        <w:t xml:space="preserve">  success BOOLEAN DEFAULT true,</w:t>
      </w:r>
    </w:p>
    <w:p>
      <w:pPr>
        <w:spacing w:after="0" w:before="0" w:line="240" w:lineRule="auto"/>
        <w:ind w:left="57"/>
        <w:jc w:val="left"/>
        <w:shd w:val="clear" w:fill="F2F2F2"/>
      </w:pPr>
      <w:r>
        <w:rPr>
          <w:rFonts w:ascii="Consolas" w:hAnsi="Consolas" w:cs="Consolas"/>
          <w:b w:val="0"/>
          <w:i w:val="0"/>
          <w:sz w:val="15"/>
        </w:rPr>
        <w:t xml:space="preserve">  error_message TEXT,</w:t>
      </w:r>
    </w:p>
    <w:p>
      <w:pPr>
        <w:spacing w:after="0" w:before="0" w:line="240" w:lineRule="auto"/>
        <w:ind w:left="57"/>
        <w:jc w:val="left"/>
        <w:shd w:val="clear" w:fill="F2F2F2"/>
      </w:pPr>
      <w:r>
        <w:rPr>
          <w:rFonts w:ascii="Consolas" w:hAnsi="Consolas" w:cs="Consolas"/>
          <w:b w:val="0"/>
          <w:i w:val="0"/>
          <w:sz w:val="15"/>
        </w:rPr>
        <w:t xml:space="preserve">  governor_decision_id UUID REFERENCES governor_decisions(decision_id) ON DELETE SET NULL,</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Predictive reliability scores</w:t>
      </w:r>
    </w:p>
    <w:p>
      <w:pPr>
        <w:spacing w:after="0" w:before="0" w:line="240" w:lineRule="auto"/>
        <w:ind w:left="57"/>
        <w:jc w:val="left"/>
        <w:shd w:val="clear" w:fill="F2F2F2"/>
      </w:pPr>
      <w:r>
        <w:rPr>
          <w:rFonts w:ascii="Consolas" w:hAnsi="Consolas" w:cs="Consolas"/>
          <w:b w:val="0"/>
          <w:i w:val="0"/>
          <w:sz w:val="15"/>
        </w:rPr>
        <w:t>CREATE TABLE predictive_scan_reliability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batch_id TEXT NOT NULL,</w:t>
      </w:r>
    </w:p>
    <w:p>
      <w:pPr>
        <w:spacing w:after="0" w:before="0" w:line="240" w:lineRule="auto"/>
        <w:ind w:left="57"/>
        <w:jc w:val="left"/>
        <w:shd w:val="clear" w:fill="F2F2F2"/>
      </w:pPr>
      <w:r>
        <w:rPr>
          <w:rFonts w:ascii="Consolas" w:hAnsi="Consolas" w:cs="Consolas"/>
          <w:b w:val="0"/>
          <w:i w:val="0"/>
          <w:sz w:val="15"/>
        </w:rPr>
        <w:t xml:space="preserve">  printer_id TEXT,</w:t>
      </w:r>
    </w:p>
    <w:p>
      <w:pPr>
        <w:spacing w:after="0" w:before="0" w:line="240" w:lineRule="auto"/>
        <w:ind w:left="57"/>
        <w:jc w:val="left"/>
        <w:shd w:val="clear" w:fill="F2F2F2"/>
      </w:pPr>
      <w:r>
        <w:rPr>
          <w:rFonts w:ascii="Consolas" w:hAnsi="Consolas" w:cs="Consolas"/>
          <w:b w:val="0"/>
          <w:i w:val="0"/>
          <w:sz w:val="15"/>
        </w:rPr>
        <w:t xml:space="preserve">  label_material TEXT,</w:t>
      </w:r>
    </w:p>
    <w:p>
      <w:pPr>
        <w:spacing w:after="0" w:before="0" w:line="240" w:lineRule="auto"/>
        <w:ind w:left="57"/>
        <w:jc w:val="left"/>
        <w:shd w:val="clear" w:fill="F2F2F2"/>
      </w:pPr>
      <w:r>
        <w:rPr>
          <w:rFonts w:ascii="Consolas" w:hAnsi="Consolas" w:cs="Consolas"/>
          <w:b w:val="0"/>
          <w:i w:val="0"/>
          <w:sz w:val="15"/>
        </w:rPr>
        <w:t xml:space="preserve">  environment TEXT,                -- 'INDOOR', 'OUTDOOR', 'WAREHOUSE'</w:t>
      </w:r>
    </w:p>
    <w:p>
      <w:pPr>
        <w:spacing w:after="0" w:before="0" w:line="240" w:lineRule="auto"/>
        <w:ind w:left="57"/>
        <w:jc w:val="left"/>
        <w:shd w:val="clear" w:fill="F2F2F2"/>
      </w:pPr>
      <w:r>
        <w:rPr>
          <w:rFonts w:ascii="Consolas" w:hAnsi="Consolas" w:cs="Consolas"/>
          <w:b w:val="0"/>
          <w:i w:val="0"/>
          <w:sz w:val="15"/>
        </w:rPr>
        <w:t xml:space="preserve">  predicted_failure_probability DECIMAL(5,2),</w:t>
      </w:r>
    </w:p>
    <w:p>
      <w:pPr>
        <w:spacing w:after="0" w:before="0" w:line="240" w:lineRule="auto"/>
        <w:ind w:left="57"/>
        <w:jc w:val="left"/>
        <w:shd w:val="clear" w:fill="F2F2F2"/>
      </w:pPr>
      <w:r>
        <w:rPr>
          <w:rFonts w:ascii="Consolas" w:hAnsi="Consolas" w:cs="Consolas"/>
          <w:b w:val="0"/>
          <w:i w:val="0"/>
          <w:sz w:val="15"/>
        </w:rPr>
        <w:t xml:space="preserve">  actual_failure_rate DECIMAL(5,2),</w:t>
      </w:r>
    </w:p>
    <w:p>
      <w:pPr>
        <w:spacing w:after="0" w:before="0" w:line="240" w:lineRule="auto"/>
        <w:ind w:left="57"/>
        <w:jc w:val="left"/>
        <w:shd w:val="clear" w:fill="F2F2F2"/>
      </w:pPr>
      <w:r>
        <w:rPr>
          <w:rFonts w:ascii="Consolas" w:hAnsi="Consolas" w:cs="Consolas"/>
          <w:b w:val="0"/>
          <w:i w:val="0"/>
          <w:sz w:val="15"/>
        </w:rPr>
        <w:t xml:space="preserve">  model_version TEXT,</w:t>
      </w:r>
    </w:p>
    <w:p>
      <w:pPr>
        <w:spacing w:after="0" w:before="0" w:line="240" w:lineRule="auto"/>
        <w:ind w:left="57"/>
        <w:jc w:val="left"/>
        <w:shd w:val="clear" w:fill="F2F2F2"/>
      </w:pPr>
      <w:r>
        <w:rPr>
          <w:rFonts w:ascii="Consolas" w:hAnsi="Consolas" w:cs="Consolas"/>
          <w:b w:val="0"/>
          <w:i w:val="0"/>
          <w:sz w:val="15"/>
        </w:rPr>
        <w:t xml:space="preserve">  created_at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Reprint requests (post-loading)</w:t>
      </w:r>
    </w:p>
    <w:p>
      <w:pPr>
        <w:spacing w:after="0" w:before="0" w:line="240" w:lineRule="auto"/>
        <w:ind w:left="57"/>
        <w:jc w:val="left"/>
        <w:shd w:val="clear" w:fill="F2F2F2"/>
      </w:pPr>
      <w:r>
        <w:rPr>
          <w:rFonts w:ascii="Consolas" w:hAnsi="Consolas" w:cs="Consolas"/>
          <w:b w:val="0"/>
          <w:i w:val="0"/>
          <w:sz w:val="15"/>
        </w:rPr>
        <w:t>-- reprint_requests: canonical definition in Section 8.13; not redefined here.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Blockchain anchors</w:t>
      </w:r>
    </w:p>
    <w:p>
      <w:pPr>
        <w:spacing w:after="0" w:before="0" w:line="240" w:lineRule="auto"/>
        <w:ind w:left="57"/>
        <w:jc w:val="left"/>
        <w:shd w:val="clear" w:fill="F2F2F2"/>
      </w:pPr>
      <w:r>
        <w:rPr>
          <w:rFonts w:ascii="Consolas" w:hAnsi="Consolas" w:cs="Consolas"/>
          <w:b w:val="0"/>
          <w:i w:val="0"/>
          <w:sz w:val="15"/>
        </w:rPr>
        <w:t>CREATE TABLE blockchain_anchors (</w:t>
      </w:r>
    </w:p>
    <w:p>
      <w:pPr>
        <w:spacing w:after="0" w:before="0" w:line="240" w:lineRule="auto"/>
        <w:ind w:left="57"/>
        <w:jc w:val="left"/>
        <w:shd w:val="clear" w:fill="F2F2F2"/>
      </w:pPr>
      <w:r>
        <w:rPr>
          <w:rFonts w:ascii="Consolas" w:hAnsi="Consolas" w:cs="Consolas"/>
          <w:b w:val="0"/>
          <w:i w:val="0"/>
          <w:sz w:val="15"/>
        </w:rPr>
        <w:t xml:space="preserve">  id UUID PRIMARY KEY DEFAULT gen_random_uuid(),</w:t>
      </w:r>
    </w:p>
    <w:p>
      <w:pPr>
        <w:spacing w:after="0" w:before="0" w:line="240" w:lineRule="auto"/>
        <w:ind w:left="57"/>
        <w:jc w:val="left"/>
        <w:shd w:val="clear" w:fill="F2F2F2"/>
      </w:pPr>
      <w:r>
        <w:rPr>
          <w:rFonts w:ascii="Consolas" w:hAnsi="Consolas" w:cs="Consolas"/>
          <w:b w:val="0"/>
          <w:i w:val="0"/>
          <w:sz w:val="15"/>
        </w:rPr>
        <w:t xml:space="preserve">  ustn TEXT REFERENCES shipments(ustn) ON DELETE CASCADE,</w:t>
      </w:r>
    </w:p>
    <w:p>
      <w:pPr>
        <w:spacing w:after="0" w:before="0" w:line="240" w:lineRule="auto"/>
        <w:ind w:left="57"/>
        <w:jc w:val="left"/>
        <w:shd w:val="clear" w:fill="F2F2F2"/>
      </w:pPr>
      <w:r>
        <w:rPr>
          <w:rFonts w:ascii="Consolas" w:hAnsi="Consolas" w:cs="Consolas"/>
          <w:b w:val="0"/>
          <w:i w:val="0"/>
          <w:sz w:val="15"/>
        </w:rPr>
        <w:t xml:space="preserve">  batch_id TEXT NOT NULL,</w:t>
      </w:r>
    </w:p>
    <w:p>
      <w:pPr>
        <w:spacing w:after="0" w:before="0" w:line="240" w:lineRule="auto"/>
        <w:ind w:left="57"/>
        <w:jc w:val="left"/>
        <w:shd w:val="clear" w:fill="F2F2F2"/>
      </w:pPr>
      <w:r>
        <w:rPr>
          <w:rFonts w:ascii="Consolas" w:hAnsi="Consolas" w:cs="Consolas"/>
          <w:b w:val="0"/>
          <w:i w:val="0"/>
          <w:sz w:val="15"/>
        </w:rPr>
        <w:t xml:space="preserve">  pallet_hashes JSONB NOT NULL,</w:t>
      </w:r>
    </w:p>
    <w:p>
      <w:pPr>
        <w:spacing w:after="0" w:before="0" w:line="240" w:lineRule="auto"/>
        <w:ind w:left="57"/>
        <w:jc w:val="left"/>
        <w:shd w:val="clear" w:fill="F2F2F2"/>
      </w:pPr>
      <w:r>
        <w:rPr>
          <w:rFonts w:ascii="Consolas" w:hAnsi="Consolas" w:cs="Consolas"/>
          <w:b w:val="0"/>
          <w:i w:val="0"/>
          <w:sz w:val="15"/>
        </w:rPr>
        <w:t xml:space="preserve">  transaction_hash TEXT NOT NULL,</w:t>
      </w:r>
    </w:p>
    <w:p>
      <w:pPr>
        <w:spacing w:after="0" w:before="0" w:line="240" w:lineRule="auto"/>
        <w:ind w:left="57"/>
        <w:jc w:val="left"/>
        <w:shd w:val="clear" w:fill="F2F2F2"/>
      </w:pPr>
      <w:r>
        <w:rPr>
          <w:rFonts w:ascii="Consolas" w:hAnsi="Consolas" w:cs="Consolas"/>
          <w:b w:val="0"/>
          <w:i w:val="0"/>
          <w:sz w:val="15"/>
        </w:rPr>
        <w:t xml:space="preserve">  block_number BIGINT,</w:t>
      </w:r>
    </w:p>
    <w:p>
      <w:pPr>
        <w:spacing w:after="0" w:before="0" w:line="240" w:lineRule="auto"/>
        <w:ind w:left="57"/>
        <w:jc w:val="left"/>
        <w:shd w:val="clear" w:fill="F2F2F2"/>
      </w:pPr>
      <w:r>
        <w:rPr>
          <w:rFonts w:ascii="Consolas" w:hAnsi="Consolas" w:cs="Consolas"/>
          <w:b w:val="0"/>
          <w:i w:val="0"/>
          <w:sz w:val="15"/>
        </w:rPr>
        <w:t xml:space="preserve">  network TEXT DEFAULT 'POLYGON',</w:t>
      </w:r>
    </w:p>
    <w:p>
      <w:pPr>
        <w:spacing w:after="0" w:before="0" w:line="240" w:lineRule="auto"/>
        <w:ind w:left="57"/>
        <w:jc w:val="left"/>
        <w:shd w:val="clear" w:fill="F2F2F2"/>
      </w:pPr>
      <w:r>
        <w:rPr>
          <w:rFonts w:ascii="Consolas" w:hAnsi="Consolas" w:cs="Consolas"/>
          <w:b w:val="0"/>
          <w:i w:val="0"/>
          <w:sz w:val="15"/>
        </w:rPr>
        <w:t xml:space="preserve">  anchored_at TIMESTAMPTZ DEFAULT NOW()</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Indexes</w:t>
      </w:r>
    </w:p>
    <w:p>
      <w:pPr>
        <w:spacing w:after="0" w:before="0" w:line="240" w:lineRule="auto"/>
        <w:ind w:left="57"/>
        <w:jc w:val="left"/>
        <w:shd w:val="clear" w:fill="F2F2F2"/>
      </w:pPr>
      <w:r>
        <w:rPr>
          <w:rFonts w:ascii="Consolas" w:hAnsi="Consolas" w:cs="Consolas"/>
          <w:b w:val="0"/>
          <w:i w:val="0"/>
          <w:sz w:val="15"/>
        </w:rPr>
        <w:t>CREATE INDEX idx_pallet_details_sscc ON pallet_details(sscc);</w:t>
      </w:r>
    </w:p>
    <w:p>
      <w:pPr>
        <w:spacing w:after="0" w:before="0" w:line="240" w:lineRule="auto"/>
        <w:ind w:left="57"/>
        <w:jc w:val="left"/>
        <w:shd w:val="clear" w:fill="F2F2F2"/>
      </w:pPr>
      <w:r>
        <w:rPr>
          <w:rFonts w:ascii="Consolas" w:hAnsi="Consolas" w:cs="Consolas"/>
          <w:b w:val="0"/>
          <w:i w:val="0"/>
          <w:sz w:val="15"/>
        </w:rPr>
        <w:t>CREATE INDEX idx_pallet_details_ustn ON pallet_details(ustn);</w:t>
      </w:r>
    </w:p>
    <w:p>
      <w:pPr>
        <w:spacing w:after="0" w:before="0" w:line="240" w:lineRule="auto"/>
        <w:ind w:left="57"/>
        <w:jc w:val="left"/>
        <w:shd w:val="clear" w:fill="F2F2F2"/>
      </w:pPr>
      <w:r>
        <w:rPr>
          <w:rFonts w:ascii="Consolas" w:hAnsi="Consolas" w:cs="Consolas"/>
          <w:b w:val="0"/>
          <w:i w:val="0"/>
          <w:sz w:val="15"/>
        </w:rPr>
        <w:t>CREATE INDEX idx_pallet_details_status ON pallet_details(status);</w:t>
      </w:r>
    </w:p>
    <w:p>
      <w:pPr>
        <w:spacing w:after="0" w:before="0" w:line="240" w:lineRule="auto"/>
        <w:ind w:left="57"/>
        <w:jc w:val="left"/>
        <w:shd w:val="clear" w:fill="F2F2F2"/>
      </w:pPr>
      <w:r>
        <w:rPr>
          <w:rFonts w:ascii="Consolas" w:hAnsi="Consolas" w:cs="Consolas"/>
          <w:b w:val="0"/>
          <w:i w:val="0"/>
          <w:sz w:val="15"/>
        </w:rPr>
        <w:t>CREATE INDEX idx_barcode_print_jobs_ustn ON barcode_print_jobs(ustn);</w:t>
      </w:r>
    </w:p>
    <w:p>
      <w:pPr>
        <w:spacing w:after="0" w:before="0" w:line="240" w:lineRule="auto"/>
        <w:ind w:left="57"/>
        <w:jc w:val="left"/>
        <w:shd w:val="clear" w:fill="F2F2F2"/>
      </w:pPr>
      <w:r>
        <w:rPr>
          <w:rFonts w:ascii="Consolas" w:hAnsi="Consolas" w:cs="Consolas"/>
          <w:b w:val="0"/>
          <w:i w:val="0"/>
          <w:sz w:val="15"/>
        </w:rPr>
        <w:t>CREATE INDEX idx_barcode_print_jobs_status ON barcode_print_jobs(status);</w:t>
      </w:r>
    </w:p>
    <w:p>
      <w:pPr>
        <w:spacing w:after="0" w:before="0" w:line="240" w:lineRule="auto"/>
        <w:ind w:left="57"/>
        <w:jc w:val="left"/>
        <w:shd w:val="clear" w:fill="F2F2F2"/>
      </w:pPr>
      <w:r>
        <w:rPr>
          <w:rFonts w:ascii="Consolas" w:hAnsi="Consolas" w:cs="Consolas"/>
          <w:b w:val="0"/>
          <w:i w:val="0"/>
          <w:sz w:val="15"/>
        </w:rPr>
        <w:t>CREATE INDEX idx_barcode_scans_ustn ON barcode_scans(ustn);</w:t>
      </w:r>
    </w:p>
    <w:p>
      <w:pPr>
        <w:spacing w:after="0" w:before="0" w:line="240" w:lineRule="auto"/>
        <w:ind w:left="57"/>
        <w:jc w:val="left"/>
        <w:shd w:val="clear" w:fill="F2F2F2"/>
      </w:pPr>
      <w:r>
        <w:rPr>
          <w:rFonts w:ascii="Consolas" w:hAnsi="Consolas" w:cs="Consolas"/>
          <w:b w:val="0"/>
          <w:i w:val="0"/>
          <w:sz w:val="15"/>
        </w:rPr>
        <w:t>CREATE INDEX idx_barcode_scans_sscc ON barcode_scans(sscc);</w:t>
      </w:r>
    </w:p>
    <w:p>
      <w:pPr>
        <w:spacing w:after="0" w:before="0" w:line="240" w:lineRule="auto"/>
        <w:ind w:left="57"/>
        <w:jc w:val="left"/>
        <w:shd w:val="clear" w:fill="F2F2F2"/>
      </w:pPr>
      <w:r>
        <w:rPr>
          <w:rFonts w:ascii="Consolas" w:hAnsi="Consolas" w:cs="Consolas"/>
          <w:b w:val="0"/>
          <w:i w:val="0"/>
          <w:sz w:val="15"/>
        </w:rPr>
        <w:t>CREATE INDEX idx_barcode_scans_method ON barcode_scans(scan_method);</w:t>
      </w:r>
    </w:p>
    <w:p>
      <w:pPr>
        <w:spacing w:after="0" w:before="0" w:line="240" w:lineRule="auto"/>
        <w:ind w:left="57"/>
        <w:jc w:val="left"/>
        <w:shd w:val="clear" w:fill="F2F2F2"/>
      </w:pPr>
      <w:r>
        <w:rPr>
          <w:rFonts w:ascii="Consolas" w:hAnsi="Consolas" w:cs="Consolas"/>
          <w:b w:val="0"/>
          <w:i w:val="0"/>
          <w:sz w:val="15"/>
        </w:rPr>
        <w:t>CREATE INDEX idx_predictive_scan_reliability_batch ON predictive_scan_reliability(batch_id);</w:t>
      </w:r>
    </w:p>
    <w:p>
      <w:pPr>
        <w:spacing w:after="0" w:before="0" w:line="240" w:lineRule="auto"/>
        <w:ind w:left="57"/>
        <w:jc w:val="left"/>
        <w:shd w:val="clear" w:fill="F2F2F2"/>
      </w:pPr>
      <w:r>
        <w:rPr>
          <w:rFonts w:ascii="Consolas" w:hAnsi="Consolas" w:cs="Consolas"/>
          <w:b w:val="0"/>
          <w:i w:val="0"/>
          <w:sz w:val="15"/>
        </w:rPr>
        <w:t>CREATE INDEX idx_reprint_requests_pallet ON reprint_requests(pallet_id);</w:t>
      </w:r>
    </w:p>
    <w:p>
      <w:pPr>
        <w:spacing w:after="0" w:before="0" w:line="240" w:lineRule="auto"/>
        <w:ind w:left="57"/>
        <w:jc w:val="left"/>
        <w:shd w:val="clear" w:fill="F2F2F2"/>
      </w:pPr>
      <w:r>
        <w:rPr>
          <w:rFonts w:ascii="Consolas" w:hAnsi="Consolas" w:cs="Consolas"/>
          <w:b w:val="0"/>
          <w:i w:val="0"/>
          <w:sz w:val="15"/>
        </w:rPr>
        <w:t>CREATE INDEX idx_reprint_requests_status ON reprint_requests(status);</w:t>
      </w:r>
    </w:p>
    <w:p>
      <w:pPr>
        <w:spacing w:after="0" w:before="0" w:line="240" w:lineRule="auto"/>
        <w:ind w:left="57"/>
        <w:jc w:val="left"/>
        <w:shd w:val="clear" w:fill="F2F2F2"/>
      </w:pPr>
      <w:r>
        <w:rPr>
          <w:rFonts w:ascii="Consolas" w:hAnsi="Consolas" w:cs="Consolas"/>
          <w:b w:val="0"/>
          <w:i w:val="0"/>
          <w:sz w:val="15"/>
        </w:rPr>
        <w:t>CREATE INDEX idx_blockchain_anchors_ustn ON blockchain_anchors(ustn);</w:t>
      </w:r>
    </w:p>
    <w:p>
      <w:pPr>
        <w:spacing w:after="0" w:before="0" w:line="240" w:lineRule="auto"/>
        <w:ind w:left="57"/>
        <w:jc w:val="left"/>
        <w:shd w:val="clear" w:fill="F2F2F2"/>
      </w:pPr>
      <w:r>
        <w:rPr>
          <w:rFonts w:ascii="Consolas" w:hAnsi="Consolas" w:cs="Consolas"/>
          <w:b w:val="0"/>
          <w:i w:val="0"/>
          <w:sz w:val="15"/>
        </w:rPr>
        <w:t>CREATE INDEX idx_blockchain_anchors_tx ON blockchain_anchors(transaction_hash);</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23.3.12 Worked Example — Barcode Printing, Scanning, and Post-Loading Reprint</w:t>
      </w:r>
    </w:p>
    <w:p>
      <w:pPr>
        <w:spacing w:after="80" w:line="293" w:lineRule="auto"/>
        <w:jc w:val="left"/>
      </w:pPr>
      <w:r>
        <w:rPr>
          <w:rFonts w:ascii="Times New Roman" w:hAnsi="Times New Roman" w:cs="Times New Roman"/>
          <w:b w:val="0"/>
          <w:i w:val="0"/>
          <w:sz w:val="22"/>
        </w:rPr>
        <w:t>Context: the seller locks a packing plan for a multi-shipment contract (Shipment 1, oranges), 22 pallets.</w:t>
      </w:r>
    </w:p>
    <w:p>
      <w:pPr>
        <w:keepNext/>
        <w:spacing w:before="140" w:after="60"/>
        <w:outlineLvl w:val="3"/>
      </w:pPr>
      <w:r>
        <w:rPr>
          <w:rFonts w:ascii="Arial" w:hAnsi="Arial" w:cs="Arial"/>
          <w:b/>
          <w:i/>
          <w:color w:val="333333"/>
          <w:sz w:val="22"/>
        </w:rPr>
        <w:t>23.3.12.1 Label Generation</w:t>
      </w:r>
    </w:p>
    <w:p>
      <w:pPr>
        <w:spacing w:after="80" w:line="293" w:lineRule="auto"/>
        <w:jc w:val="left"/>
      </w:pPr>
      <w:r>
        <w:rPr>
          <w:rFonts w:ascii="Times New Roman" w:hAnsi="Times New Roman" w:cs="Times New Roman"/>
          <w:b w:val="0"/>
          <w:i w:val="0"/>
          <w:sz w:val="22"/>
        </w:rPr>
        <w:t>The seller navigates to the Barcode Print tab. The system generates SSCCs for all 22 pallets. The seller selects the "Customs-Ready" template, language Arabic. AI (A1, Groq) translates the product name to Arabic. The seller clicks Print — ZPL is sent directly to the Zebra printer (or PDF is generated for a laser printer). Labels are printed with SSCCs and QR codes containing Verifiable Credentials.</w:t>
      </w:r>
    </w:p>
    <w:p>
      <w:pPr>
        <w:keepNext/>
        <w:spacing w:before="140" w:after="60"/>
        <w:outlineLvl w:val="3"/>
      </w:pPr>
      <w:r>
        <w:rPr>
          <w:rFonts w:ascii="Arial" w:hAnsi="Arial" w:cs="Arial"/>
          <w:b/>
          <w:i/>
          <w:color w:val="333333"/>
          <w:sz w:val="22"/>
        </w:rPr>
        <w:t>23.3.12.2 Loading (Warehouse)</w:t>
      </w:r>
    </w:p>
    <w:p>
      <w:pPr>
        <w:spacing w:after="80" w:line="293" w:lineRule="auto"/>
        <w:jc w:val="left"/>
      </w:pPr>
      <w:r>
        <w:rPr>
          <w:rFonts w:ascii="Times New Roman" w:hAnsi="Times New Roman" w:cs="Times New Roman"/>
          <w:b w:val="0"/>
          <w:i w:val="0"/>
          <w:sz w:val="22"/>
        </w:rPr>
        <w:t>The warehouse worker opens the mobile app and selects the Shipment 1 job. The AR overlay shows 22 pallets with red/blue/green status. The worker scans each pallet's barcode; each scan beeps and the pallet status turns green. One pallet's label is damaged (torn) — the worker switches to Visual Recognition mode; the app extracts the SSCC from the printed digits and validates. The worker uses voice for the last pallet: "Pallet OR022 loaded into container TCNU1234567" — the app confirms. All 22 pallets scanned, the system auto-confirms the "Container Loaded" milestone. The Smart Inbox updates for seller, buyer, and logistics provider.</w:t>
      </w:r>
    </w:p>
    <w:p>
      <w:pPr>
        <w:keepNext/>
        <w:spacing w:before="140" w:after="60"/>
        <w:outlineLvl w:val="3"/>
      </w:pPr>
      <w:r>
        <w:rPr>
          <w:rFonts w:ascii="Arial" w:hAnsi="Arial" w:cs="Arial"/>
          <w:b/>
          <w:i/>
          <w:color w:val="333333"/>
          <w:sz w:val="22"/>
        </w:rPr>
        <w:t>23.3.12.3 Post-Loading Reprint Request</w:t>
      </w:r>
    </w:p>
    <w:p>
      <w:pPr>
        <w:spacing w:after="80" w:line="293" w:lineRule="auto"/>
        <w:jc w:val="left"/>
      </w:pPr>
      <w:r>
        <w:rPr>
          <w:rFonts w:ascii="Times New Roman" w:hAnsi="Times New Roman" w:cs="Times New Roman"/>
          <w:b w:val="0"/>
          <w:i w:val="0"/>
          <w:sz w:val="22"/>
        </w:rPr>
        <w:t>The seller realises another pallet's label (OR015) is faded and may not scan at destination. The seller clicks "Request Reprint" on OR015. A modal appears: "Reason for reprint (min 10 characters):" The seller types: "Label faded due to humidity during transit." The Governor evaluates: pallet status = LOADED, reason length = 42 chars → ALLOW. New labels with the same SSCC are generated (enhanced contrast). The seller prints and sends them to destination. The reprint is logged in `reprint_requests` and `barcode_print_jobs`.</w:t>
      </w:r>
    </w:p>
    <w:p>
      <w:pPr>
        <w:keepNext/>
        <w:spacing w:before="140" w:after="60"/>
        <w:outlineLvl w:val="3"/>
      </w:pPr>
      <w:r>
        <w:rPr>
          <w:rFonts w:ascii="Arial" w:hAnsi="Arial" w:cs="Arial"/>
          <w:b/>
          <w:i/>
          <w:color w:val="333333"/>
          <w:sz w:val="22"/>
        </w:rPr>
        <w:t>23.3.12.4 Blockchain Anchor (Optional)</w:t>
      </w:r>
    </w:p>
    <w:p>
      <w:pPr>
        <w:spacing w:after="80" w:line="293" w:lineRule="auto"/>
        <w:jc w:val="left"/>
      </w:pPr>
      <w:r>
        <w:rPr>
          <w:rFonts w:ascii="Times New Roman" w:hAnsi="Times New Roman" w:cs="Times New Roman"/>
          <w:b w:val="0"/>
          <w:i w:val="0"/>
          <w:sz w:val="22"/>
        </w:rPr>
        <w:t>The seller had enabled blockchain anchoring in Company Admin. The system batches all 22 pallet hashes and submits them to Polygon. The transaction hash is stored in `blockchain_anchors`. The recipient can verify pallet authenticity on-chain.</w:t>
      </w:r>
    </w:p>
    <w:p>
      <w:pPr>
        <w:keepNext/>
        <w:spacing w:before="140" w:after="60"/>
        <w:outlineLvl w:val="3"/>
      </w:pPr>
      <w:r>
        <w:rPr>
          <w:rFonts w:ascii="Arial" w:hAnsi="Arial" w:cs="Arial"/>
          <w:b/>
          <w:i/>
          <w:color w:val="333333"/>
          <w:sz w:val="22"/>
        </w:rPr>
        <w:t>23.3.12.5 Destination Scanning</w:t>
      </w:r>
    </w:p>
    <w:p>
      <w:pPr>
        <w:spacing w:after="80" w:line="293" w:lineRule="auto"/>
        <w:jc w:val="left"/>
      </w:pPr>
      <w:r>
        <w:rPr>
          <w:rFonts w:ascii="Times New Roman" w:hAnsi="Times New Roman" w:cs="Times New Roman"/>
          <w:b w:val="0"/>
          <w:i w:val="0"/>
          <w:sz w:val="22"/>
        </w:rPr>
        <w:t>The receiver scans the QR code (offline). The app verifies the Verifiable Credential using the cached platform public key. A green checkmark is displayed: "Verified — Fresh Oranges, 1,110 kg, SSCC 106141411234567891." The receiver confirms delivery; the milestone updates; the shipment completes.</w:t>
      </w:r>
    </w:p>
    <w:p>
      <w:pPr>
        <w:keepNext/>
        <w:spacing w:before="180" w:after="80"/>
        <w:outlineLvl w:val="2"/>
      </w:pPr>
      <w:r>
        <w:rPr>
          <w:rFonts w:ascii="Arial" w:hAnsi="Arial" w:cs="Arial"/>
          <w:b/>
          <w:i w:val="0"/>
          <w:color w:val="333333"/>
          <w:sz w:val="23"/>
        </w:rPr>
        <w:t>23.3.13 Implementation Checklist</w:t>
      </w:r>
    </w:p>
    <w:p>
      <w:pPr>
        <w:keepNext/>
        <w:spacing w:before="140" w:after="60"/>
        <w:outlineLvl w:val="3"/>
      </w:pPr>
      <w:r>
        <w:rPr>
          <w:rFonts w:ascii="Arial" w:hAnsi="Arial" w:cs="Arial"/>
          <w:b/>
          <w:i/>
          <w:color w:val="333333"/>
          <w:sz w:val="22"/>
        </w:rPr>
        <w:t>23.3.13.1 Core Infrastructure</w:t>
      </w:r>
    </w:p>
    <w:p>
      <w:pPr>
        <w:spacing w:after="80" w:line="293" w:lineRule="auto"/>
        <w:ind w:left="283"/>
        <w:jc w:val="left"/>
      </w:pPr>
      <w:r>
        <w:rPr>
          <w:rFonts w:ascii="Times New Roman" w:hAnsi="Times New Roman" w:cs="Times New Roman"/>
          <w:b w:val="0"/>
          <w:i w:val="0"/>
          <w:sz w:val="22"/>
        </w:rPr>
        <w:t>- Implement the SSCC generation algorithm (GS1-18).</w:t>
      </w:r>
    </w:p>
    <w:p>
      <w:pPr>
        <w:spacing w:after="80" w:line="293" w:lineRule="auto"/>
        <w:ind w:left="283"/>
        <w:jc w:val="left"/>
      </w:pPr>
      <w:r>
        <w:rPr>
          <w:rFonts w:ascii="Times New Roman" w:hAnsi="Times New Roman" w:cs="Times New Roman"/>
          <w:b w:val="0"/>
          <w:i w:val="0"/>
          <w:sz w:val="22"/>
        </w:rPr>
        <w:t>- Create the pallet_details table.</w:t>
      </w:r>
    </w:p>
    <w:p>
      <w:pPr>
        <w:spacing w:after="80" w:line="293" w:lineRule="auto"/>
        <w:ind w:left="283"/>
        <w:jc w:val="left"/>
      </w:pPr>
      <w:r>
        <w:rPr>
          <w:rFonts w:ascii="Times New Roman" w:hAnsi="Times New Roman" w:cs="Times New Roman"/>
          <w:b w:val="0"/>
          <w:i w:val="0"/>
          <w:sz w:val="22"/>
        </w:rPr>
        <w:t>- Implement QR code generation with dynamic payload.</w:t>
      </w:r>
    </w:p>
    <w:p>
      <w:pPr>
        <w:spacing w:after="80" w:line="293" w:lineRule="auto"/>
        <w:ind w:left="283"/>
        <w:jc w:val="left"/>
      </w:pPr>
      <w:r>
        <w:rPr>
          <w:rFonts w:ascii="Times New Roman" w:hAnsi="Times New Roman" w:cs="Times New Roman"/>
          <w:b w:val="0"/>
          <w:i w:val="0"/>
          <w:sz w:val="22"/>
        </w:rPr>
        <w:t>- Add Verifiable Credential generation (W3C VC + Ed25519 signing).</w:t>
      </w:r>
    </w:p>
    <w:p>
      <w:pPr>
        <w:spacing w:after="80" w:line="293" w:lineRule="auto"/>
        <w:ind w:left="283"/>
        <w:jc w:val="left"/>
      </w:pPr>
      <w:r>
        <w:rPr>
          <w:rFonts w:ascii="Times New Roman" w:hAnsi="Times New Roman" w:cs="Times New Roman"/>
          <w:b w:val="0"/>
          <w:i w:val="0"/>
          <w:sz w:val="22"/>
        </w:rPr>
        <w:t>- Implement ZPL and PDF label generation (Tera + headless Chrome).</w:t>
      </w:r>
    </w:p>
    <w:p>
      <w:pPr>
        <w:keepNext/>
        <w:spacing w:before="140" w:after="60"/>
        <w:outlineLvl w:val="3"/>
      </w:pPr>
      <w:r>
        <w:rPr>
          <w:rFonts w:ascii="Arial" w:hAnsi="Arial" w:cs="Arial"/>
          <w:b/>
          <w:i/>
          <w:color w:val="333333"/>
          <w:sz w:val="22"/>
        </w:rPr>
        <w:t>23.3.13.2 Mobile &amp; Desktop Integration</w:t>
      </w:r>
    </w:p>
    <w:p>
      <w:pPr>
        <w:spacing w:after="80" w:line="293" w:lineRule="auto"/>
        <w:ind w:left="283"/>
        <w:jc w:val="left"/>
      </w:pPr>
      <w:r>
        <w:rPr>
          <w:rFonts w:ascii="Times New Roman" w:hAnsi="Times New Roman" w:cs="Times New Roman"/>
          <w:b w:val="0"/>
          <w:i w:val="0"/>
          <w:sz w:val="22"/>
        </w:rPr>
        <w:t>- Integrate ZXingC++ barcode scanning in the mobile app.</w:t>
      </w:r>
    </w:p>
    <w:p>
      <w:pPr>
        <w:spacing w:after="80" w:line="293" w:lineRule="auto"/>
        <w:ind w:left="283"/>
        <w:jc w:val="left"/>
      </w:pPr>
      <w:r>
        <w:rPr>
          <w:rFonts w:ascii="Times New Roman" w:hAnsi="Times New Roman" w:cs="Times New Roman"/>
          <w:b w:val="0"/>
          <w:i w:val="0"/>
          <w:sz w:val="22"/>
        </w:rPr>
        <w:t>- Implement visual recognition (ONNX model) for damaged barcodes.</w:t>
      </w:r>
    </w:p>
    <w:p>
      <w:pPr>
        <w:spacing w:after="80" w:line="293" w:lineRule="auto"/>
        <w:ind w:left="283"/>
        <w:jc w:val="left"/>
      </w:pPr>
      <w:r>
        <w:rPr>
          <w:rFonts w:ascii="Times New Roman" w:hAnsi="Times New Roman" w:cs="Times New Roman"/>
          <w:b w:val="0"/>
          <w:i w:val="0"/>
          <w:sz w:val="22"/>
        </w:rPr>
        <w:t>- Add voice-activated pallet identification (Vosk + HF Mixtral).</w:t>
      </w:r>
    </w:p>
    <w:p>
      <w:pPr>
        <w:spacing w:after="80" w:line="293" w:lineRule="auto"/>
        <w:ind w:left="283"/>
        <w:jc w:val="left"/>
      </w:pPr>
      <w:r>
        <w:rPr>
          <w:rFonts w:ascii="Times New Roman" w:hAnsi="Times New Roman" w:cs="Times New Roman"/>
          <w:b w:val="0"/>
          <w:i w:val="0"/>
          <w:sz w:val="22"/>
        </w:rPr>
        <w:t>- Build the AR overlay with colour-coded status (AR.js).</w:t>
      </w:r>
    </w:p>
    <w:p>
      <w:pPr>
        <w:spacing w:after="80" w:line="293" w:lineRule="auto"/>
        <w:ind w:left="283"/>
        <w:jc w:val="left"/>
      </w:pPr>
      <w:r>
        <w:rPr>
          <w:rFonts w:ascii="Times New Roman" w:hAnsi="Times New Roman" w:cs="Times New Roman"/>
          <w:b w:val="0"/>
          <w:i w:val="0"/>
          <w:sz w:val="22"/>
        </w:rPr>
        <w:t>- Implement offline validation (WatermelonDB cache of pallet details).</w:t>
      </w:r>
    </w:p>
    <w:p>
      <w:pPr>
        <w:keepNext/>
        <w:spacing w:before="140" w:after="60"/>
        <w:outlineLvl w:val="3"/>
      </w:pPr>
      <w:r>
        <w:rPr>
          <w:rFonts w:ascii="Arial" w:hAnsi="Arial" w:cs="Arial"/>
          <w:b/>
          <w:i/>
          <w:color w:val="333333"/>
          <w:sz w:val="22"/>
        </w:rPr>
        <w:t>23.3.13.3 Print &amp; Reprint</w:t>
      </w:r>
    </w:p>
    <w:p>
      <w:pPr>
        <w:spacing w:after="80" w:line="293" w:lineRule="auto"/>
        <w:ind w:left="283"/>
        <w:jc w:val="left"/>
      </w:pPr>
      <w:r>
        <w:rPr>
          <w:rFonts w:ascii="Times New Roman" w:hAnsi="Times New Roman" w:cs="Times New Roman"/>
          <w:b w:val="0"/>
          <w:i w:val="0"/>
          <w:sz w:val="22"/>
        </w:rPr>
        <w:t>- Build the label print workflow (ZPL and PDF).</w:t>
      </w:r>
    </w:p>
    <w:p>
      <w:pPr>
        <w:spacing w:after="80" w:line="293" w:lineRule="auto"/>
        <w:ind w:left="283"/>
        <w:jc w:val="left"/>
      </w:pPr>
      <w:r>
        <w:rPr>
          <w:rFonts w:ascii="Times New Roman" w:hAnsi="Times New Roman" w:cs="Times New Roman"/>
          <w:b w:val="0"/>
          <w:i w:val="0"/>
          <w:sz w:val="22"/>
        </w:rPr>
        <w:t>- Implement label customisation (templates, language, fields).</w:t>
      </w:r>
    </w:p>
    <w:p>
      <w:pPr>
        <w:spacing w:after="80" w:line="293" w:lineRule="auto"/>
        <w:ind w:left="283"/>
        <w:jc w:val="left"/>
      </w:pPr>
      <w:r>
        <w:rPr>
          <w:rFonts w:ascii="Times New Roman" w:hAnsi="Times New Roman" w:cs="Times New Roman"/>
          <w:b w:val="0"/>
          <w:i w:val="0"/>
          <w:sz w:val="22"/>
        </w:rPr>
        <w:t>- Add the predictive scanning reliability agent (XGBoost).</w:t>
      </w:r>
    </w:p>
    <w:p>
      <w:pPr>
        <w:spacing w:after="80" w:line="293" w:lineRule="auto"/>
        <w:ind w:left="283"/>
        <w:jc w:val="left"/>
      </w:pPr>
      <w:r>
        <w:rPr>
          <w:rFonts w:ascii="Times New Roman" w:hAnsi="Times New Roman" w:cs="Times New Roman"/>
          <w:b w:val="0"/>
          <w:i w:val="0"/>
          <w:sz w:val="22"/>
        </w:rPr>
        <w:t>- Implement the reprint policy (pre-loading vs post-loading, Governor gate).</w:t>
      </w:r>
    </w:p>
    <w:p>
      <w:pPr>
        <w:keepNext/>
        <w:spacing w:before="140" w:after="60"/>
        <w:outlineLvl w:val="3"/>
      </w:pPr>
      <w:r>
        <w:rPr>
          <w:rFonts w:ascii="Arial" w:hAnsi="Arial" w:cs="Arial"/>
          <w:b/>
          <w:i/>
          <w:color w:val="333333"/>
          <w:sz w:val="22"/>
        </w:rPr>
        <w:t>23.3.13.4 Blockchain &amp; Verification</w:t>
      </w:r>
    </w:p>
    <w:p>
      <w:pPr>
        <w:spacing w:after="80" w:line="293" w:lineRule="auto"/>
        <w:ind w:left="283"/>
        <w:jc w:val="left"/>
      </w:pPr>
      <w:r>
        <w:rPr>
          <w:rFonts w:ascii="Times New Roman" w:hAnsi="Times New Roman" w:cs="Times New Roman"/>
          <w:b w:val="0"/>
          <w:i w:val="0"/>
          <w:sz w:val="22"/>
        </w:rPr>
        <w:t>- Implement blockchain anchoring (Polygon, batch transactions).</w:t>
      </w:r>
    </w:p>
    <w:p>
      <w:pPr>
        <w:spacing w:after="80" w:line="293" w:lineRule="auto"/>
        <w:ind w:left="283"/>
        <w:jc w:val="left"/>
      </w:pPr>
      <w:r>
        <w:rPr>
          <w:rFonts w:ascii="Times New Roman" w:hAnsi="Times New Roman" w:cs="Times New Roman"/>
          <w:b w:val="0"/>
          <w:i w:val="0"/>
          <w:sz w:val="22"/>
        </w:rPr>
        <w:t>- Add offline Verifiable Credential verification.</w:t>
      </w:r>
    </w:p>
    <w:p>
      <w:pPr>
        <w:spacing w:after="80" w:line="293" w:lineRule="auto"/>
        <w:ind w:left="283"/>
        <w:jc w:val="left"/>
      </w:pPr>
      <w:r>
        <w:rPr>
          <w:rFonts w:ascii="Times New Roman" w:hAnsi="Times New Roman" w:cs="Times New Roman"/>
          <w:b w:val="0"/>
          <w:i w:val="0"/>
          <w:sz w:val="22"/>
        </w:rPr>
        <w:t>- Build the public verification page (/verify/pallet).</w:t>
      </w:r>
    </w:p>
    <w:p>
      <w:pPr>
        <w:keepNext/>
        <w:spacing w:before="140" w:after="60"/>
        <w:outlineLvl w:val="3"/>
      </w:pPr>
      <w:r>
        <w:rPr>
          <w:rFonts w:ascii="Arial" w:hAnsi="Arial" w:cs="Arial"/>
          <w:b/>
          <w:i/>
          <w:color w:val="333333"/>
          <w:sz w:val="22"/>
        </w:rPr>
        <w:t>23.3.13.5 Governance &amp; Monitoring</w:t>
      </w:r>
    </w:p>
    <w:p>
      <w:pPr>
        <w:spacing w:after="80" w:line="293" w:lineRule="auto"/>
        <w:ind w:left="283"/>
        <w:jc w:val="left"/>
      </w:pPr>
      <w:r>
        <w:rPr>
          <w:rFonts w:ascii="Times New Roman" w:hAnsi="Times New Roman" w:cs="Times New Roman"/>
          <w:b w:val="0"/>
          <w:i w:val="0"/>
          <w:sz w:val="22"/>
        </w:rPr>
        <w:t>- Add Governor gates for barcode generation, scanning, and reprints.</w:t>
      </w:r>
    </w:p>
    <w:p>
      <w:pPr>
        <w:spacing w:after="80" w:line="293" w:lineRule="auto"/>
        <w:ind w:left="283"/>
        <w:jc w:val="left"/>
      </w:pPr>
      <w:r>
        <w:rPr>
          <w:rFonts w:ascii="Times New Roman" w:hAnsi="Times New Roman" w:cs="Times New Roman"/>
          <w:b w:val="0"/>
          <w:i w:val="0"/>
          <w:sz w:val="22"/>
        </w:rPr>
        <w:t>- Implement Loom logging for all barcode events.</w:t>
      </w:r>
    </w:p>
    <w:p>
      <w:pPr>
        <w:spacing w:after="80" w:line="293" w:lineRule="auto"/>
        <w:ind w:left="283"/>
        <w:jc w:val="left"/>
      </w:pPr>
      <w:r>
        <w:rPr>
          <w:rFonts w:ascii="Times New Roman" w:hAnsi="Times New Roman" w:cs="Times New Roman"/>
          <w:b w:val="0"/>
          <w:i w:val="0"/>
          <w:sz w:val="22"/>
        </w:rPr>
        <w:t>- Add Prometheus metrics: `sgtx_barcodes_generated_total`,</w:t>
      </w:r>
    </w:p>
    <w:p>
      <w:pPr>
        <w:spacing w:after="80" w:line="293" w:lineRule="auto"/>
        <w:jc w:val="left"/>
      </w:pPr>
      <w:r>
        <w:rPr>
          <w:rFonts w:ascii="Times New Roman" w:hAnsi="Times New Roman" w:cs="Times New Roman"/>
          <w:b w:val="0"/>
          <w:i w:val="0"/>
          <w:sz w:val="22"/>
        </w:rPr>
        <w:t>`sgtx_barcodes_scanned_total`, `sgtx_barcodes_scan_success_rate`, `sgtx_barcodes_reprints_requested`, `sgtx_barcodes_reprints_approved`.</w:t>
      </w:r>
    </w:p>
    <w:p>
      <w:pPr>
        <w:spacing w:after="80" w:line="293" w:lineRule="auto"/>
        <w:ind w:left="283"/>
        <w:jc w:val="left"/>
      </w:pPr>
      <w:r>
        <w:rPr>
          <w:rFonts w:ascii="Times New Roman" w:hAnsi="Times New Roman" w:cs="Times New Roman"/>
          <w:b w:val="0"/>
          <w:i w:val="0"/>
          <w:sz w:val="22"/>
        </w:rPr>
        <w:t>- Set up alerting for: high scan failure rate (&gt; 5%); predictive reliability alert (risk &gt; 70%);</w:t>
      </w:r>
    </w:p>
    <w:p>
      <w:pPr>
        <w:spacing w:after="80" w:line="293" w:lineRule="auto"/>
        <w:jc w:val="left"/>
      </w:pPr>
      <w:r>
        <w:rPr>
          <w:rFonts w:ascii="Times New Roman" w:hAnsi="Times New Roman" w:cs="Times New Roman"/>
          <w:b w:val="0"/>
          <w:i w:val="0"/>
          <w:sz w:val="22"/>
        </w:rPr>
        <w:t>blockchain anchoring failures.</w:t>
      </w:r>
    </w:p>
    <w:p>
      <w:pPr>
        <w:keepNext/>
        <w:spacing w:before="140" w:after="60"/>
        <w:outlineLvl w:val="3"/>
      </w:pPr>
      <w:r>
        <w:rPr>
          <w:rFonts w:ascii="Arial" w:hAnsi="Arial" w:cs="Arial"/>
          <w:b/>
          <w:i/>
          <w:color w:val="333333"/>
          <w:sz w:val="22"/>
        </w:rPr>
        <w:t>23.3.13.6 Testing</w:t>
      </w:r>
    </w:p>
    <w:p>
      <w:pPr>
        <w:spacing w:after="80" w:line="293" w:lineRule="auto"/>
        <w:ind w:left="283"/>
        <w:jc w:val="left"/>
      </w:pPr>
      <w:r>
        <w:rPr>
          <w:rFonts w:ascii="Times New Roman" w:hAnsi="Times New Roman" w:cs="Times New Roman"/>
          <w:b w:val="0"/>
          <w:i w:val="0"/>
          <w:sz w:val="22"/>
        </w:rPr>
        <w:t>- Test SSCC generation uniqueness.</w:t>
      </w:r>
    </w:p>
    <w:p>
      <w:pPr>
        <w:spacing w:after="80" w:line="293" w:lineRule="auto"/>
        <w:ind w:left="283"/>
        <w:jc w:val="left"/>
      </w:pPr>
      <w:r>
        <w:rPr>
          <w:rFonts w:ascii="Times New Roman" w:hAnsi="Times New Roman" w:cs="Times New Roman"/>
          <w:b w:val="0"/>
          <w:i w:val="0"/>
          <w:sz w:val="22"/>
        </w:rPr>
        <w:t>- Test barcode scanning (mobile, visual, voice).</w:t>
      </w:r>
    </w:p>
    <w:p>
      <w:pPr>
        <w:spacing w:after="80" w:line="293" w:lineRule="auto"/>
        <w:ind w:left="283"/>
        <w:jc w:val="left"/>
      </w:pPr>
      <w:r>
        <w:rPr>
          <w:rFonts w:ascii="Times New Roman" w:hAnsi="Times New Roman" w:cs="Times New Roman"/>
          <w:b w:val="0"/>
          <w:i w:val="0"/>
          <w:sz w:val="22"/>
        </w:rPr>
        <w:t>- Test offline validation.</w:t>
      </w:r>
    </w:p>
    <w:p>
      <w:pPr>
        <w:spacing w:after="80" w:line="293" w:lineRule="auto"/>
        <w:ind w:left="283"/>
        <w:jc w:val="left"/>
      </w:pPr>
      <w:r>
        <w:rPr>
          <w:rFonts w:ascii="Times New Roman" w:hAnsi="Times New Roman" w:cs="Times New Roman"/>
          <w:b w:val="0"/>
          <w:i w:val="0"/>
          <w:sz w:val="22"/>
        </w:rPr>
        <w:t>- Test the reprint policy (pre-loading vs post-loading).</w:t>
      </w:r>
    </w:p>
    <w:p>
      <w:pPr>
        <w:spacing w:after="80" w:line="293" w:lineRule="auto"/>
        <w:ind w:left="283"/>
        <w:jc w:val="left"/>
      </w:pPr>
      <w:r>
        <w:rPr>
          <w:rFonts w:ascii="Times New Roman" w:hAnsi="Times New Roman" w:cs="Times New Roman"/>
          <w:b w:val="0"/>
          <w:i w:val="0"/>
          <w:sz w:val="22"/>
        </w:rPr>
        <w:t>- Test Verifiable Credential generation and verification.</w:t>
      </w:r>
    </w:p>
    <w:p>
      <w:pPr>
        <w:spacing w:after="80" w:line="293" w:lineRule="auto"/>
        <w:ind w:left="283"/>
        <w:jc w:val="left"/>
      </w:pPr>
      <w:r>
        <w:rPr>
          <w:rFonts w:ascii="Times New Roman" w:hAnsi="Times New Roman" w:cs="Times New Roman"/>
          <w:b w:val="0"/>
          <w:i w:val="0"/>
          <w:sz w:val="22"/>
        </w:rPr>
        <w:t>- Test blockchain anchoring.</w:t>
      </w:r>
    </w:p>
    <w:p>
      <w:pPr>
        <w:spacing w:after="80" w:line="293" w:lineRule="auto"/>
        <w:ind w:left="283"/>
        <w:jc w:val="left"/>
      </w:pPr>
      <w:r>
        <w:rPr>
          <w:rFonts w:ascii="Times New Roman" w:hAnsi="Times New Roman" w:cs="Times New Roman"/>
          <w:b w:val="0"/>
          <w:i w:val="0"/>
          <w:sz w:val="22"/>
        </w:rPr>
        <w:t>- Test multi-shipment pallet assignment.</w:t>
      </w:r>
    </w:p>
    <w:p>
      <w:pPr>
        <w:spacing w:after="80" w:line="293" w:lineRule="auto"/>
        <w:ind w:left="283"/>
        <w:jc w:val="left"/>
      </w:pPr>
      <w:r>
        <w:rPr>
          <w:rFonts w:ascii="Times New Roman" w:hAnsi="Times New Roman" w:cs="Times New Roman"/>
          <w:b w:val="0"/>
          <w:i w:val="0"/>
          <w:sz w:val="22"/>
        </w:rPr>
        <w:t>- Test the predictive scanning reliability agent.</w:t>
      </w:r>
    </w:p>
    <w:p>
      <w:pPr>
        <w:keepNext/>
        <w:spacing w:before="180" w:after="80"/>
        <w:outlineLvl w:val="2"/>
      </w:pPr>
      <w:r>
        <w:rPr>
          <w:rFonts w:ascii="Arial" w:hAnsi="Arial" w:cs="Arial"/>
          <w:b/>
          <w:i w:val="0"/>
          <w:color w:val="333333"/>
          <w:sz w:val="23"/>
        </w:rPr>
        <w:t>23.3.14 AI Authority Summary</w:t>
      </w:r>
    </w:p>
    <w:p>
      <w:pPr>
        <w:spacing w:after="80" w:line="293" w:lineRule="auto"/>
        <w:jc w:val="left"/>
      </w:pPr>
      <w:r>
        <w:rPr>
          <w:rFonts w:ascii="Times New Roman" w:hAnsi="Times New Roman" w:cs="Times New Roman"/>
          <w:b w:val="0"/>
          <w:i w:val="0"/>
          <w:sz w:val="22"/>
        </w:rPr>
        <w:t>A1 (Groq → Ollama): QR payload attribute selection, template suggestion, label translation. A2 (HF local / XGBoost / ONNX): predictive scan reliability, visual recognition, label layout planning. A4 (OPA + WasmEdge): scan-triggered milestone gates, reprint policy enforcement. No barcode-layer AI can create, alter, or destroy pallet identity — identity changes are Governor-gated human actions only.</w:t>
      </w:r>
    </w:p>
    <w:p>
      <w:pPr>
        <w:keepNext/>
        <w:spacing w:before="240" w:after="100"/>
        <w:outlineLvl w:val="1"/>
      </w:pPr>
      <w:r>
        <w:rPr>
          <w:rFonts w:ascii="Arial" w:hAnsi="Arial" w:cs="Arial"/>
          <w:b/>
          <w:i w:val="0"/>
          <w:color w:val="2E528F"/>
          <w:sz w:val="26"/>
        </w:rPr>
        <w:t>23.4 End-to-End Workflow Examples</w:t>
      </w:r>
    </w:p>
    <w:p>
      <w:pPr>
        <w:keepNext/>
        <w:spacing w:before="180" w:after="80"/>
        <w:outlineLvl w:val="2"/>
      </w:pPr>
      <w:r>
        <w:rPr>
          <w:rFonts w:ascii="Arial" w:hAnsi="Arial" w:cs="Arial"/>
          <w:b/>
          <w:i w:val="0"/>
          <w:color w:val="333333"/>
          <w:sz w:val="23"/>
        </w:rPr>
        <w:t>23.4.1 Purpose &amp; Structure</w:t>
      </w:r>
    </w:p>
    <w:p>
      <w:pPr>
        <w:spacing w:after="80" w:line="293" w:lineRule="auto"/>
        <w:jc w:val="left"/>
      </w:pPr>
      <w:r>
        <w:rPr>
          <w:rFonts w:ascii="Times New Roman" w:hAnsi="Times New Roman" w:cs="Times New Roman"/>
          <w:b w:val="0"/>
          <w:i w:val="0"/>
          <w:sz w:val="22"/>
        </w:rPr>
        <w:t>This subsection provides complete, realistic trade journeys that demonstrate how different personas use the portals across all phases (0–8). Each example follows real-life trade practices while preserving the one-click model — every irreversible action is a single click or voice command. Structure of each example: scenario description, phase-by-phase walkthrough with one-click counts, generated artefacts (quotes, contracts, statements), and closing summary.</w:t>
      </w:r>
    </w:p>
    <w:p>
      <w:pPr>
        <w:spacing w:after="80" w:line="293" w:lineRule="auto"/>
        <w:jc w:val="left"/>
      </w:pPr>
      <w:r>
        <w:rPr>
          <w:rFonts w:ascii="Times New Roman" w:hAnsi="Times New Roman" w:cs="Times New Roman"/>
          <w:b w:val="0"/>
          <w:i w:val="0"/>
          <w:sz w:val="22"/>
        </w:rPr>
        <w:t>The examples assume the portal behaviour specified in Section 16; where an example references a tab, the tab specification is in the corresponding portal subsection.</w:t>
      </w:r>
    </w:p>
    <w:p>
      <w:pPr>
        <w:keepNext/>
        <w:spacing w:before="180" w:after="80"/>
        <w:outlineLvl w:val="2"/>
      </w:pPr>
      <w:r>
        <w:rPr>
          <w:rFonts w:ascii="Arial" w:hAnsi="Arial" w:cs="Arial"/>
          <w:b/>
          <w:i w:val="0"/>
          <w:color w:val="333333"/>
          <w:sz w:val="23"/>
        </w:rPr>
        <w:t>23.4.2 Example 1: Strawberry Export (Egypt → Germany) — Full Workflow</w:t>
      </w:r>
    </w:p>
    <w:p>
      <w:pPr>
        <w:keepNext/>
        <w:spacing w:before="140" w:after="60"/>
        <w:outlineLvl w:val="3"/>
      </w:pPr>
      <w:r>
        <w:rPr>
          <w:rFonts w:ascii="Arial" w:hAnsi="Arial" w:cs="Arial"/>
          <w:b/>
          <w:i/>
          <w:color w:val="333333"/>
          <w:sz w:val="22"/>
        </w:rPr>
        <w:t>23.4.2.1 Overview &amp; Learning Objectives</w:t>
      </w:r>
    </w:p>
    <w:p>
      <w:pPr>
        <w:spacing w:after="80" w:line="293" w:lineRule="auto"/>
        <w:jc w:val="left"/>
      </w:pPr>
      <w:r>
        <w:rPr>
          <w:rFonts w:ascii="Times New Roman" w:hAnsi="Times New Roman" w:cs="Times New Roman"/>
          <w:b w:val="0"/>
          <w:i w:val="0"/>
          <w:sz w:val="22"/>
        </w:rPr>
        <w:t>This example follows a complete trade from initiation to settlement, demonstrating every phase of the platform in a realistic export scenario. It is the most comprehensive example, designed to show how all components work together in a single, end-to-end journey.</w:t>
      </w:r>
    </w:p>
    <w:p>
      <w:pPr>
        <w:spacing w:after="80" w:line="293" w:lineRule="auto"/>
        <w:jc w:val="left"/>
      </w:pPr>
      <w:r>
        <w:rPr>
          <w:rFonts w:ascii="Times New Roman" w:hAnsi="Times New Roman" w:cs="Times New Roman"/>
          <w:b w:val="0"/>
          <w:i w:val="0"/>
          <w:sz w:val="22"/>
        </w:rPr>
        <w:t>Learning objectives: how a structured trade request becomes a locked contract with a USTN; how the seller assembles EXW + logistics + fee into a quote; how milestones are confirmed by scan and voice; how settlement and reconciliation complete the loop; and how a hypothetical quality dispute would have been resolved.</w:t>
      </w:r>
    </w:p>
    <w:p>
      <w:pPr>
        <w:spacing w:after="80" w:line="293" w:lineRule="auto"/>
        <w:jc w:val="left"/>
      </w:pPr>
      <w:r>
        <w:rPr>
          <w:rFonts w:ascii="Times New Roman" w:hAnsi="Times New Roman" w:cs="Times New Roman"/>
          <w:b w:val="0"/>
          <w:i w:val="0"/>
          <w:sz w:val="22"/>
        </w:rPr>
        <w:t>Key themes throughout this example: structured data reuse across phases; one-click irreversible actions; multi-source milestone consensus; automatic evidence assembly.</w:t>
      </w:r>
    </w:p>
    <w:p>
      <w:pPr>
        <w:keepNext/>
        <w:spacing w:before="140" w:after="60"/>
        <w:outlineLvl w:val="3"/>
      </w:pPr>
      <w:r>
        <w:rPr>
          <w:rFonts w:ascii="Arial" w:hAnsi="Arial" w:cs="Arial"/>
          <w:b/>
          <w:i/>
          <w:color w:val="333333"/>
          <w:sz w:val="22"/>
        </w:rPr>
        <w:t>23.4.2.2 Scenario Description</w:t>
      </w:r>
    </w:p>
    <w:p>
      <w:pPr>
        <w:spacing w:after="80" w:line="293" w:lineRule="auto"/>
        <w:jc w:val="left"/>
      </w:pPr>
      <w:r>
        <w:rPr>
          <w:rFonts w:ascii="Times New Roman" w:hAnsi="Times New Roman" w:cs="Times New Roman"/>
          <w:b w:val="0"/>
          <w:i w:val="0"/>
          <w:sz w:val="22"/>
        </w:rPr>
        <w:t>Parties involved: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Party</w:t>
            </w:r>
          </w:p>
        </w:tc>
        <w:tc>
          <w:tcPr>
            <w:tcW w:type="dxa" w:w="4819"/>
            <w:shd w:val="clear" w:fill="D9E2F3"/>
          </w:tcPr>
          <w:p>
            <w:pPr>
              <w:spacing w:after="20" w:before="20" w:line="240" w:lineRule="auto"/>
            </w:pPr>
            <w:r/>
            <w:r>
              <w:rPr>
                <w:rFonts w:ascii="Arial" w:hAnsi="Arial" w:cs="Arial"/>
                <w:b/>
                <w:i w:val="0"/>
                <w:sz w:val="18"/>
              </w:rPr>
              <w:t>Role</w:t>
            </w:r>
          </w:p>
        </w:tc>
      </w:tr>
      <w:tr>
        <w:tc>
          <w:tcPr>
            <w:tcW w:type="dxa" w:w="4819"/>
          </w:tcPr>
          <w:p>
            <w:pPr>
              <w:spacing w:after="20" w:before="20" w:line="240" w:lineRule="auto"/>
            </w:pPr>
            <w:r/>
            <w:r>
              <w:rPr>
                <w:rFonts w:ascii="Arial" w:hAnsi="Arial" w:cs="Arial"/>
                <w:b w:val="0"/>
                <w:i w:val="0"/>
                <w:sz w:val="17"/>
              </w:rPr>
              <w:t>Strawberry Export Co. (SGTX-EG-TRD-002139-7F3A)</w:t>
            </w:r>
          </w:p>
        </w:tc>
        <w:tc>
          <w:tcPr>
            <w:tcW w:type="dxa" w:w="4819"/>
          </w:tcPr>
          <w:p>
            <w:pPr>
              <w:spacing w:after="20" w:before="20" w:line="240" w:lineRule="auto"/>
            </w:pPr>
            <w:r/>
            <w:r>
              <w:rPr>
                <w:rFonts w:ascii="Arial" w:hAnsi="Arial" w:cs="Arial"/>
                <w:b w:val="0"/>
                <w:i w:val="0"/>
                <w:sz w:val="17"/>
              </w:rPr>
              <w:t>Seller (exporter, Egypt)</w:t>
            </w:r>
          </w:p>
        </w:tc>
      </w:tr>
      <w:tr>
        <w:tc>
          <w:tcPr>
            <w:tcW w:type="dxa" w:w="4819"/>
          </w:tcPr>
          <w:p>
            <w:pPr>
              <w:spacing w:after="20" w:before="20" w:line="240" w:lineRule="auto"/>
            </w:pPr>
            <w:r/>
            <w:r>
              <w:rPr>
                <w:rFonts w:ascii="Arial" w:hAnsi="Arial" w:cs="Arial"/>
                <w:b w:val="0"/>
                <w:i w:val="0"/>
                <w:sz w:val="17"/>
              </w:rPr>
              <w:t>German importer (buyer, Hamburg)</w:t>
            </w:r>
          </w:p>
        </w:tc>
        <w:tc>
          <w:tcPr>
            <w:tcW w:type="dxa" w:w="4819"/>
          </w:tcPr>
          <w:p>
            <w:pPr>
              <w:spacing w:after="20" w:before="20" w:line="240" w:lineRule="auto"/>
            </w:pPr>
            <w:r/>
            <w:r>
              <w:rPr>
                <w:rFonts w:ascii="Arial" w:hAnsi="Arial" w:cs="Arial"/>
                <w:b w:val="0"/>
                <w:i w:val="0"/>
                <w:sz w:val="17"/>
              </w:rPr>
              <w:t>Buyer</w:t>
            </w:r>
          </w:p>
        </w:tc>
      </w:tr>
      <w:tr>
        <w:tc>
          <w:tcPr>
            <w:tcW w:type="dxa" w:w="4819"/>
          </w:tcPr>
          <w:p>
            <w:pPr>
              <w:spacing w:after="20" w:before="20" w:line="240" w:lineRule="auto"/>
            </w:pPr>
            <w:r/>
            <w:r>
              <w:rPr>
                <w:rFonts w:ascii="Arial" w:hAnsi="Arial" w:cs="Arial"/>
                <w:b w:val="0"/>
                <w:i w:val="0"/>
                <w:sz w:val="17"/>
              </w:rPr>
              <w:t>Fast Trucking Co.</w:t>
            </w:r>
          </w:p>
        </w:tc>
        <w:tc>
          <w:tcPr>
            <w:tcW w:type="dxa" w:w="4819"/>
          </w:tcPr>
          <w:p>
            <w:pPr>
              <w:spacing w:after="20" w:before="20" w:line="240" w:lineRule="auto"/>
            </w:pPr>
            <w:r/>
            <w:r>
              <w:rPr>
                <w:rFonts w:ascii="Arial" w:hAnsi="Arial" w:cs="Arial"/>
                <w:b w:val="0"/>
                <w:i w:val="0"/>
                <w:sz w:val="17"/>
              </w:rPr>
              <w:t>LSP (trucking, Damietta region)</w:t>
            </w:r>
          </w:p>
        </w:tc>
      </w:tr>
      <w:tr>
        <w:tc>
          <w:tcPr>
            <w:tcW w:type="dxa" w:w="4819"/>
          </w:tcPr>
          <w:p>
            <w:pPr>
              <w:spacing w:after="20" w:before="20" w:line="240" w:lineRule="auto"/>
            </w:pPr>
            <w:r/>
            <w:r>
              <w:rPr>
                <w:rFonts w:ascii="Arial" w:hAnsi="Arial" w:cs="Arial"/>
                <w:b w:val="0"/>
                <w:i w:val="0"/>
                <w:sz w:val="17"/>
              </w:rPr>
              <w:t>MSC Egypt</w:t>
            </w:r>
          </w:p>
        </w:tc>
        <w:tc>
          <w:tcPr>
            <w:tcW w:type="dxa" w:w="4819"/>
          </w:tcPr>
          <w:p>
            <w:pPr>
              <w:spacing w:after="20" w:before="20" w:line="240" w:lineRule="auto"/>
            </w:pPr>
            <w:r/>
            <w:r>
              <w:rPr>
                <w:rFonts w:ascii="Arial" w:hAnsi="Arial" w:cs="Arial"/>
                <w:b w:val="0"/>
                <w:i w:val="0"/>
                <w:sz w:val="17"/>
              </w:rPr>
              <w:t>SHIP (ocean carrier, MSC FIONA)</w:t>
            </w:r>
          </w:p>
        </w:tc>
      </w:tr>
      <w:tr>
        <w:tc>
          <w:tcPr>
            <w:tcW w:type="dxa" w:w="4819"/>
          </w:tcPr>
          <w:p>
            <w:pPr>
              <w:spacing w:after="20" w:before="20" w:line="240" w:lineRule="auto"/>
            </w:pPr>
            <w:r/>
            <w:r>
              <w:rPr>
                <w:rFonts w:ascii="Arial" w:hAnsi="Arial" w:cs="Arial"/>
                <w:b w:val="0"/>
                <w:i w:val="0"/>
                <w:sz w:val="17"/>
              </w:rPr>
              <w:t>SGS Egypt</w:t>
            </w:r>
          </w:p>
        </w:tc>
        <w:tc>
          <w:tcPr>
            <w:tcW w:type="dxa" w:w="4819"/>
          </w:tcPr>
          <w:p>
            <w:pPr>
              <w:spacing w:after="20" w:before="20" w:line="240" w:lineRule="auto"/>
            </w:pPr>
            <w:r/>
            <w:r>
              <w:rPr>
                <w:rFonts w:ascii="Arial" w:hAnsi="Arial" w:cs="Arial"/>
                <w:b w:val="0"/>
                <w:i w:val="0"/>
                <w:sz w:val="17"/>
              </w:rPr>
              <w:t>Laboratory and QC provider</w:t>
            </w:r>
          </w:p>
        </w:tc>
      </w:tr>
      <w:tr>
        <w:tc>
          <w:tcPr>
            <w:tcW w:type="dxa" w:w="4819"/>
          </w:tcPr>
          <w:p>
            <w:pPr>
              <w:spacing w:after="20" w:before="20" w:line="240" w:lineRule="auto"/>
            </w:pPr>
            <w:r/>
            <w:r>
              <w:rPr>
                <w:rFonts w:ascii="Arial" w:hAnsi="Arial" w:cs="Arial"/>
                <w:b w:val="0"/>
                <w:i w:val="0"/>
                <w:sz w:val="17"/>
              </w:rPr>
              <w:t>Nile Customs</w:t>
            </w:r>
          </w:p>
        </w:tc>
        <w:tc>
          <w:tcPr>
            <w:tcW w:type="dxa" w:w="4819"/>
          </w:tcPr>
          <w:p>
            <w:pPr>
              <w:spacing w:after="20" w:before="20" w:line="240" w:lineRule="auto"/>
            </w:pPr>
            <w:r/>
            <w:r>
              <w:rPr>
                <w:rFonts w:ascii="Arial" w:hAnsi="Arial" w:cs="Arial"/>
                <w:b w:val="0"/>
                <w:i w:val="0"/>
                <w:sz w:val="17"/>
              </w:rPr>
              <w:t>Customs broker (certification)</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Trade details: frozen strawberries, 20,000 kg, 2 × 40ft reefer, Damietta → Hamburg, CFR Hamburg, final quoted price $30,043.20 (including the platform fee of $43.20, engine-determined at an indicative 0.144% rate). Payment timing: for single-shipment, due before contract lock.</w:t>
      </w:r>
    </w:p>
    <w:p>
      <w:pPr>
        <w:spacing w:after="80" w:line="293" w:lineRule="auto"/>
        <w:jc w:val="left"/>
      </w:pPr>
      <w:r>
        <w:rPr>
          <w:rFonts w:ascii="Times New Roman" w:hAnsi="Times New Roman" w:cs="Times New Roman"/>
          <w:b w:val="0"/>
          <w:i w:val="0"/>
          <w:sz w:val="22"/>
        </w:rPr>
        <w:t>Special conditions &amp; requirements: -18°C reefer throughout; pre-cooling certificate before loading; palletised loading with non-uniform layer stacks (11×10 + 1×1 cartons on mixed pallets).</w:t>
      </w:r>
    </w:p>
    <w:p>
      <w:pPr>
        <w:spacing w:after="80" w:line="293" w:lineRule="auto"/>
        <w:jc w:val="left"/>
      </w:pPr>
      <w:r>
        <w:rPr>
          <w:rFonts w:ascii="Times New Roman" w:hAnsi="Times New Roman" w:cs="Times New Roman"/>
          <w:b w:val="0"/>
          <w:i w:val="0"/>
          <w:sz w:val="22"/>
        </w:rPr>
        <w:t>Optional services selected: laboratory testing (SGS, $200); customs broker certification (Nile Customs, $150) — both included in the Stage 1 payment plan.</w:t>
      </w:r>
    </w:p>
    <w:p>
      <w:pPr>
        <w:spacing w:after="80" w:line="293" w:lineRule="auto"/>
        <w:jc w:val="left"/>
      </w:pPr>
      <w:r>
        <w:rPr>
          <w:rFonts w:ascii="Times New Roman" w:hAnsi="Times New Roman" w:cs="Times New Roman"/>
          <w:b w:val="0"/>
          <w:i w:val="0"/>
          <w:sz w:val="22"/>
        </w:rPr>
        <w:t>Add-ons used: GNN Risk Engine (sanctions proximity checks on parties and ports); causal inference (background disruption prediction for alternative ports).</w:t>
      </w:r>
    </w:p>
    <w:p>
      <w:pPr>
        <w:keepNext/>
        <w:spacing w:before="140" w:after="60"/>
        <w:outlineLvl w:val="3"/>
      </w:pPr>
      <w:r>
        <w:rPr>
          <w:rFonts w:ascii="Arial" w:hAnsi="Arial" w:cs="Arial"/>
          <w:b/>
          <w:i/>
          <w:color w:val="333333"/>
          <w:sz w:val="22"/>
        </w:rPr>
        <w:t>23.4.2.3 Phase 0 — Foundation: Identity, Governance &amp; Readiness</w:t>
      </w:r>
    </w:p>
    <w:p>
      <w:pPr>
        <w:spacing w:after="80" w:line="293" w:lineRule="auto"/>
        <w:jc w:val="left"/>
      </w:pPr>
      <w:r>
        <w:rPr>
          <w:rFonts w:ascii="Times New Roman" w:hAnsi="Times New Roman" w:cs="Times New Roman"/>
          <w:b w:val="0"/>
          <w:i w:val="0"/>
          <w:sz w:val="22"/>
        </w:rPr>
        <w:t>Goal: onboard all parties, establish GTIDs, complete KYB/KYC, and prepare the platform for trade execution. Duration: days 1–3 (before trade initiation). One-click guarantee: each onboarding step is a single click; the sandbox guided practice trade is also one click to start.</w:t>
      </w:r>
    </w:p>
    <w:p>
      <w:pPr>
        <w:spacing w:after="80" w:line="293" w:lineRule="auto"/>
        <w:jc w:val="left"/>
      </w:pPr>
      <w:r>
        <w:rPr>
          <w:rFonts w:ascii="Times New Roman" w:hAnsi="Times New Roman" w:cs="Times New Roman"/>
          <w:b w:val="0"/>
          <w:i w:val="0"/>
          <w:sz w:val="22"/>
        </w:rPr>
        <w:t>Step-by-step onboarding (via the tenant onboarding wizard, 23.5.7): each party confirms its GTID, submits KYB documents (auto-extracted and verified against government registries), configures its profile (trader mode for TRD tenants, service catalogues for providers), optionally pre-configures commodities and catalogues, and completes a sandbox practice trade before going live.</w:t>
      </w:r>
    </w:p>
    <w:p>
      <w:pPr>
        <w:spacing w:after="80" w:line="293" w:lineRule="auto"/>
        <w:jc w:val="left"/>
      </w:pPr>
      <w:r>
        <w:rPr>
          <w:rFonts w:ascii="Times New Roman" w:hAnsi="Times New Roman" w:cs="Times New Roman"/>
          <w:b w:val="0"/>
          <w:i w:val="0"/>
          <w:sz w:val="22"/>
        </w:rPr>
        <w:t>Phase 0 one-click count: buyer ~12 clicks, seller ~12 clicks, each provider ~10 clicks.</w:t>
      </w:r>
    </w:p>
    <w:p>
      <w:pPr>
        <w:spacing w:after="80" w:line="293" w:lineRule="auto"/>
        <w:jc w:val="left"/>
      </w:pPr>
      <w:r>
        <w:rPr>
          <w:rFonts w:ascii="Times New Roman" w:hAnsi="Times New Roman" w:cs="Times New Roman"/>
          <w:b w:val="0"/>
          <w:i w:val="0"/>
          <w:sz w:val="22"/>
        </w:rPr>
        <w:t>Readiness assessment (seller): the seller completes a readiness check that verifies KYB status, export licences for frozen strawberries, cold-treatment facility access, and saved contacts for the required providers. Phase 0.2 one-click count: seller 1 click.</w:t>
      </w:r>
    </w:p>
    <w:p>
      <w:pPr>
        <w:keepNext/>
        <w:spacing w:before="140" w:after="60"/>
        <w:outlineLvl w:val="3"/>
      </w:pPr>
      <w:r>
        <w:rPr>
          <w:rFonts w:ascii="Arial" w:hAnsi="Arial" w:cs="Arial"/>
          <w:b/>
          <w:i/>
          <w:color w:val="333333"/>
          <w:sz w:val="22"/>
        </w:rPr>
        <w:t>23.4.2.4 Phase 1 — Trade Initiation (Buyer)</w:t>
      </w:r>
    </w:p>
    <w:p>
      <w:pPr>
        <w:spacing w:after="80" w:line="293" w:lineRule="auto"/>
        <w:jc w:val="left"/>
      </w:pPr>
      <w:r>
        <w:rPr>
          <w:rFonts w:ascii="Times New Roman" w:hAnsi="Times New Roman" w:cs="Times New Roman"/>
          <w:b w:val="0"/>
          <w:i w:val="0"/>
          <w:sz w:val="22"/>
        </w:rPr>
        <w:t>Goal: the buyer creates a structured, container-level trade request with an optional multi-shipment schedule. Duration: day 4 (30 minutes). One-click guarantee: from form submission to trade request creation, maximum 7 clicks.</w:t>
      </w:r>
    </w:p>
    <w:p>
      <w:pPr>
        <w:spacing w:after="80" w:line="293" w:lineRule="auto"/>
        <w:jc w:val="left"/>
      </w:pPr>
      <w:r>
        <w:rPr>
          <w:rFonts w:ascii="Times New Roman" w:hAnsi="Times New Roman" w:cs="Times New Roman"/>
          <w:b w:val="0"/>
          <w:i w:val="0"/>
          <w:sz w:val="22"/>
        </w:rPr>
        <w:t>AI assistance: A1 (Groq) — autocomplete, container advisor, marketplace attribution; A2 (HF local) — Product Form Agent, RIA data retrieval, dual-use screening; A4 (OPA + WasmEdge) — Governor pre-screen, jurisdiction checks. Add-ons used: GNN Risk Engine — sanctions proximity check on seller and ports.</w:t>
      </w:r>
    </w:p>
    <w:p>
      <w:pPr>
        <w:spacing w:after="80" w:line="293" w:lineRule="auto"/>
        <w:jc w:val="left"/>
      </w:pPr>
      <w:r>
        <w:rPr>
          <w:rFonts w:ascii="Times New Roman" w:hAnsi="Times New Roman" w:cs="Times New Roman"/>
          <w:b w:val="0"/>
          <w:i w:val="0"/>
          <w:sz w:val="22"/>
        </w:rPr>
        <w:t>Step-by-step trade initiation (buyer dashboard, Tab 2 — see 16.9.3): select seller (saved contacts / GTID), select incoterm (CFR with auto-configured responsibilities), configure containers (2 × 40ft reefer destination Hamburg via Damietta), add commodities (frozen strawberries with dynamic specifications), enter packing details (pallets, cartons, layers), submit trade request.</w:t>
      </w:r>
    </w:p>
    <w:p>
      <w:pPr>
        <w:spacing w:after="80" w:line="293" w:lineRule="auto"/>
        <w:jc w:val="left"/>
      </w:pPr>
      <w:r>
        <w:rPr>
          <w:rFonts w:ascii="Times New Roman" w:hAnsi="Times New Roman" w:cs="Times New Roman"/>
          <w:b w:val="0"/>
          <w:i w:val="0"/>
          <w:sz w:val="22"/>
        </w:rPr>
        <w:t>Phase 1 one-click count: 7 clicks (excluding data entry dropdowns).</w:t>
      </w:r>
    </w:p>
    <w:p>
      <w:pPr>
        <w:spacing w:after="80" w:line="293" w:lineRule="auto"/>
        <w:jc w:val="left"/>
      </w:pPr>
      <w:r>
        <w:rPr>
          <w:rFonts w:ascii="Times New Roman" w:hAnsi="Times New Roman" w:cs="Times New Roman"/>
          <w:b w:val="0"/>
          <w:i w:val="0"/>
          <w:sz w:val="22"/>
        </w:rPr>
        <w:t>Draft auto-save (background): the draft auto-saves every 30 seconds; if the buyer abandons the form, the Smart Inbox later shows a low-priority recovery item (score 30).</w:t>
      </w:r>
    </w:p>
    <w:p>
      <w:pPr>
        <w:spacing w:after="80" w:line="293" w:lineRule="auto"/>
        <w:jc w:val="left"/>
      </w:pPr>
      <w:r>
        <w:rPr>
          <w:rFonts w:ascii="Times New Roman" w:hAnsi="Times New Roman" w:cs="Times New Roman"/>
          <w:b w:val="0"/>
          <w:i w:val="0"/>
          <w:sz w:val="22"/>
        </w:rPr>
        <w:t>Governor pre-screen details: the pre-screen validates seller sanctions clearance, dual-use screening for the commodity, jurisdiction matrix verdict for Egypt → Germany, and packing consistency (calculated net weight vs declared). Failures route to the PlainLanguage Decision Panel (16.4) with one-click remediation.</w:t>
      </w:r>
    </w:p>
    <w:p>
      <w:pPr>
        <w:keepNext/>
        <w:spacing w:before="140" w:after="60"/>
        <w:outlineLvl w:val="3"/>
      </w:pPr>
      <w:r>
        <w:rPr>
          <w:rFonts w:ascii="Arial" w:hAnsi="Arial" w:cs="Arial"/>
          <w:b/>
          <w:i/>
          <w:color w:val="333333"/>
          <w:sz w:val="22"/>
        </w:rPr>
        <w:t>23.4.2.5 Phase 2 — Seller Quote, Packing &amp; Logistics Orchestration</w:t>
      </w:r>
    </w:p>
    <w:p>
      <w:pPr>
        <w:spacing w:after="80" w:line="293" w:lineRule="auto"/>
        <w:jc w:val="left"/>
      </w:pPr>
      <w:r>
        <w:rPr>
          <w:rFonts w:ascii="Times New Roman" w:hAnsi="Times New Roman" w:cs="Times New Roman"/>
          <w:b w:val="0"/>
          <w:i w:val="0"/>
          <w:sz w:val="22"/>
        </w:rPr>
        <w:t>Goal: the seller receives the buyer's structured trade request, locks the EXW price, designs packing (including non-uniform layer stacking), determines logistics costs through three flexible modes, adds alternative ports, calculates the platform fee, and submits a quote. Duration: days 5–8. One-click guarantee: from opening the request to submitting the quote, ~12 clicks.</w:t>
      </w:r>
    </w:p>
    <w:p>
      <w:pPr>
        <w:spacing w:after="80" w:line="293" w:lineRule="auto"/>
        <w:jc w:val="left"/>
      </w:pPr>
      <w:r>
        <w:rPr>
          <w:rFonts w:ascii="Times New Roman" w:hAnsi="Times New Roman" w:cs="Times New Roman"/>
          <w:b w:val="0"/>
          <w:i w:val="0"/>
          <w:sz w:val="22"/>
        </w:rPr>
        <w:t>AI assistance: A1 (Groq) — live market chart, fair price, loading guide, match score; A2 (HF local) — incoterm filtering, condition assessment; A4 (OPA + WasmEdge) — fee calculation, packing plan lock. Add-ons used: GNN Risk Engine — carrier risk scoring; causal inference — disruption prediction for alternative ports (background); ZK proofs — optional, not used.</w:t>
      </w:r>
    </w:p>
    <w:p>
      <w:pPr>
        <w:spacing w:after="80" w:line="293" w:lineRule="auto"/>
        <w:jc w:val="left"/>
      </w:pPr>
      <w:r>
        <w:rPr>
          <w:rFonts w:ascii="Times New Roman" w:hAnsi="Times New Roman" w:cs="Times New Roman"/>
          <w:b w:val="0"/>
          <w:i w:val="0"/>
          <w:sz w:val="22"/>
        </w:rPr>
        <w:t>Step-by-step seller actions (seller dashboard, Tabs 2–6 — see 16.10.3): accept request; set loading origin (Damietta region); lock EXW price (frozen strawberries, $28,000 for 20,000 kg with the AI fair-price band); design packing (22 pallets, non-uniform layers on mixed pallets, weight checks within the 28,000 kg container limit); run Logistics Builder — Mode A/B/C mix: trucking $900 (Damietta port), export customs clearance $600, THC $300, ocean freight $8,400 (2 × 40ft reefer, MSC FIONA), insurance $200; submit quote.</w:t>
      </w:r>
    </w:p>
    <w:p>
      <w:pPr>
        <w:spacing w:after="80" w:line="293" w:lineRule="auto"/>
        <w:jc w:val="left"/>
      </w:pPr>
      <w:r>
        <w:rPr>
          <w:rFonts w:ascii="Times New Roman" w:hAnsi="Times New Roman" w:cs="Times New Roman"/>
          <w:b w:val="0"/>
          <w:i w:val="0"/>
          <w:sz w:val="22"/>
        </w:rPr>
        <w:t>Phase 2 one-click count: ~15 clicks (excluding data entry).</w:t>
      </w:r>
    </w:p>
    <w:p>
      <w:pPr>
        <w:spacing w:after="80" w:line="293" w:lineRule="auto"/>
        <w:jc w:val="left"/>
      </w:pPr>
      <w:r>
        <w:rPr>
          <w:rFonts w:ascii="Times New Roman" w:hAnsi="Times New Roman" w:cs="Times New Roman"/>
          <w:b w:val="0"/>
          <w:i w:val="0"/>
          <w:sz w:val="22"/>
        </w:rPr>
        <w:t>Quote breakdown display:</w:t>
      </w:r>
    </w:p>
    <w:p>
      <w:pPr>
        <w:spacing w:after="0" w:before="0" w:line="240" w:lineRule="auto"/>
        <w:ind w:left="57"/>
        <w:jc w:val="left"/>
        <w:shd w:val="clear" w:fill="F2F2F2"/>
      </w:pPr>
      <w:r>
        <w:rPr>
          <w:rFonts w:ascii="Consolas" w:hAnsi="Consolas" w:cs="Consolas"/>
          <w:b w:val="0"/>
          <w:i w:val="0"/>
          <w:sz w:val="15"/>
        </w:rPr>
        <w:t>PRICE BREAKDOWN — USTN SGTX-1397F3A-456ABC-...</w:t>
      </w:r>
    </w:p>
    <w:p>
      <w:pPr>
        <w:spacing w:after="0" w:before="0" w:line="240" w:lineRule="auto"/>
        <w:ind w:left="57"/>
        <w:jc w:val="left"/>
        <w:shd w:val="clear" w:fill="F2F2F2"/>
      </w:pPr>
      <w:r>
        <w:rPr>
          <w:rFonts w:ascii="Consolas" w:hAnsi="Consolas" w:cs="Consolas"/>
          <w:b w:val="0"/>
          <w:i w:val="0"/>
          <w:sz w:val="15"/>
        </w:rPr>
        <w:t>EXW Price (Frozen Strawberries, 20,000 kg):            $28,000.00</w:t>
      </w:r>
    </w:p>
    <w:p>
      <w:pPr>
        <w:spacing w:after="0" w:before="0" w:line="240" w:lineRule="auto"/>
        <w:ind w:left="57"/>
        <w:jc w:val="left"/>
        <w:shd w:val="clear" w:fill="F2F2F2"/>
      </w:pPr>
      <w:r>
        <w:rPr>
          <w:rFonts w:ascii="Consolas" w:hAnsi="Consolas" w:cs="Consolas"/>
          <w:b w:val="0"/>
          <w:i w:val="0"/>
          <w:sz w:val="15"/>
        </w:rPr>
        <w:t>Logistics Costs:</w:t>
      </w:r>
    </w:p>
    <w:p>
      <w:pPr>
        <w:spacing w:after="0" w:before="0" w:line="240" w:lineRule="auto"/>
        <w:ind w:left="57"/>
        <w:jc w:val="left"/>
        <w:shd w:val="clear" w:fill="F2F2F2"/>
      </w:pPr>
      <w:r>
        <w:rPr>
          <w:rFonts w:ascii="Consolas" w:hAnsi="Consolas" w:cs="Consolas"/>
          <w:b w:val="0"/>
          <w:i w:val="0"/>
          <w:sz w:val="15"/>
        </w:rPr>
        <w:t xml:space="preserve">  Trucking (Damietta port):                              $900.00</w:t>
      </w:r>
    </w:p>
    <w:p>
      <w:pPr>
        <w:spacing w:after="0" w:before="0" w:line="240" w:lineRule="auto"/>
        <w:ind w:left="57"/>
        <w:jc w:val="left"/>
        <w:shd w:val="clear" w:fill="F2F2F2"/>
      </w:pPr>
      <w:r>
        <w:rPr>
          <w:rFonts w:ascii="Consolas" w:hAnsi="Consolas" w:cs="Consolas"/>
          <w:b w:val="0"/>
          <w:i w:val="0"/>
          <w:sz w:val="15"/>
        </w:rPr>
        <w:t xml:space="preserve">  Customs Clearance (export):                            $600.00</w:t>
      </w:r>
    </w:p>
    <w:p>
      <w:pPr>
        <w:spacing w:after="0" w:before="0" w:line="240" w:lineRule="auto"/>
        <w:ind w:left="57"/>
        <w:jc w:val="left"/>
        <w:shd w:val="clear" w:fill="F2F2F2"/>
      </w:pPr>
      <w:r>
        <w:rPr>
          <w:rFonts w:ascii="Consolas" w:hAnsi="Consolas" w:cs="Consolas"/>
          <w:b w:val="0"/>
          <w:i w:val="0"/>
          <w:sz w:val="15"/>
        </w:rPr>
        <w:t xml:space="preserve">  THC (Damietta):                                        $300.00</w:t>
      </w:r>
    </w:p>
    <w:p>
      <w:pPr>
        <w:spacing w:after="0" w:before="0" w:line="240" w:lineRule="auto"/>
        <w:ind w:left="57"/>
        <w:jc w:val="left"/>
        <w:shd w:val="clear" w:fill="F2F2F2"/>
      </w:pPr>
      <w:r>
        <w:rPr>
          <w:rFonts w:ascii="Consolas" w:hAnsi="Consolas" w:cs="Consolas"/>
          <w:b w:val="0"/>
          <w:i w:val="0"/>
          <w:sz w:val="15"/>
        </w:rPr>
        <w:t xml:space="preserve">  Ocean Freight (2 × 40ft reefer, Damietta → Hamburg): $8,400.00</w:t>
      </w:r>
    </w:p>
    <w:p>
      <w:pPr>
        <w:spacing w:after="0" w:before="0" w:line="240" w:lineRule="auto"/>
        <w:ind w:left="57"/>
        <w:jc w:val="left"/>
        <w:shd w:val="clear" w:fill="F2F2F2"/>
      </w:pPr>
      <w:r>
        <w:rPr>
          <w:rFonts w:ascii="Consolas" w:hAnsi="Consolas" w:cs="Consolas"/>
          <w:b w:val="0"/>
          <w:i w:val="0"/>
          <w:sz w:val="15"/>
        </w:rPr>
        <w:t xml:space="preserve">  Insurance:                                             $200.00</w:t>
      </w:r>
    </w:p>
    <w:p>
      <w:pPr>
        <w:spacing w:after="0" w:before="0" w:line="240" w:lineRule="auto"/>
        <w:ind w:left="57"/>
        <w:jc w:val="left"/>
        <w:shd w:val="clear" w:fill="F2F2F2"/>
      </w:pPr>
      <w:r>
        <w:rPr>
          <w:rFonts w:ascii="Consolas" w:hAnsi="Consolas" w:cs="Consolas"/>
          <w:b w:val="0"/>
          <w:i w:val="0"/>
          <w:sz w:val="15"/>
        </w:rPr>
        <w:t>Total Logistics:                                        $2,000.00</w:t>
      </w:r>
    </w:p>
    <w:p>
      <w:pPr>
        <w:spacing w:after="0" w:before="0" w:line="240" w:lineRule="auto"/>
        <w:ind w:left="57"/>
        <w:jc w:val="left"/>
        <w:shd w:val="clear" w:fill="F2F2F2"/>
      </w:pPr>
      <w:r>
        <w:rPr>
          <w:rFonts w:ascii="Consolas" w:hAnsi="Consolas" w:cs="Consolas"/>
          <w:b w:val="0"/>
          <w:i w:val="0"/>
          <w:sz w:val="15"/>
        </w:rPr>
        <w:t>Total Trade Value (before SGTX fee):                   $30,000.00</w:t>
      </w:r>
    </w:p>
    <w:p>
      <w:pPr>
        <w:spacing w:after="0" w:before="0" w:line="240" w:lineRule="auto"/>
        <w:ind w:left="57"/>
        <w:jc w:val="left"/>
        <w:shd w:val="clear" w:fill="F2F2F2"/>
      </w:pPr>
      <w:r>
        <w:rPr>
          <w:rFonts w:ascii="Consolas" w:hAnsi="Consolas" w:cs="Consolas"/>
          <w:b w:val="0"/>
          <w:i w:val="0"/>
          <w:sz w:val="15"/>
        </w:rPr>
        <w:t>SGTX Platform Fee (engine, 0.144%):                                 $43.20</w:t>
      </w:r>
    </w:p>
    <w:p>
      <w:pPr>
        <w:spacing w:after="0" w:before="0" w:line="240" w:lineRule="auto"/>
        <w:ind w:left="57"/>
        <w:jc w:val="left"/>
        <w:shd w:val="clear" w:fill="F2F2F2"/>
      </w:pPr>
      <w:r>
        <w:rPr>
          <w:rFonts w:ascii="Consolas" w:hAnsi="Consolas" w:cs="Consolas"/>
          <w:b w:val="0"/>
          <w:i w:val="0"/>
          <w:sz w:val="15"/>
        </w:rPr>
        <w:t>FINAL QUOTED PRICE (CFR Hamburg):                      $30,043.20</w:t>
      </w:r>
    </w:p>
    <w:p>
      <w:pPr>
        <w:spacing w:after="0" w:before="0" w:line="240" w:lineRule="auto"/>
        <w:ind w:left="57"/>
        <w:jc w:val="left"/>
        <w:shd w:val="clear" w:fill="F2F2F2"/>
      </w:pPr>
      <w:r>
        <w:rPr>
          <w:rFonts w:ascii="Consolas" w:hAnsi="Consolas" w:cs="Consolas"/>
          <w:b w:val="0"/>
          <w:i w:val="0"/>
          <w:sz w:val="15"/>
        </w:rPr>
        <w:t>Payment timing: For single-shipment: due before contract lock.</w:t>
      </w:r>
    </w:p>
    <w:p>
      <w:pPr>
        <w:spacing w:after="0" w:before="0" w:line="240" w:lineRule="auto"/>
        <w:ind w:left="57"/>
        <w:jc w:val="left"/>
        <w:shd w:val="clear" w:fill="F2F2F2"/>
      </w:pPr>
      <w:r>
        <w:rPr>
          <w:rFonts w:ascii="Consolas" w:hAnsi="Consolas" w:cs="Consolas"/>
          <w:b w:val="0"/>
          <w:i w:val="0"/>
          <w:sz w:val="15"/>
        </w:rPr>
        <w:t xml:space="preserve">               For multi-shipment: due per shipment, upon each shipment's lock.</w:t>
      </w:r>
    </w:p>
    <w:p>
      <w:pPr>
        <w:spacing w:after="0" w:before="0" w:line="240" w:lineRule="auto"/>
        <w:ind w:left="57"/>
        <w:jc w:val="left"/>
        <w:shd w:val="clear" w:fill="F2F2F2"/>
      </w:pPr>
      <w:r>
        <w:rPr>
          <w:rFonts w:ascii="Consolas" w:hAnsi="Consolas" w:cs="Consolas"/>
          <w:b w:val="0"/>
          <w:i w:val="0"/>
          <w:sz w:val="15"/>
        </w:rPr>
        <w:t>Optional Services:</w:t>
      </w:r>
    </w:p>
    <w:p>
      <w:pPr>
        <w:spacing w:after="0" w:before="0" w:line="240" w:lineRule="auto"/>
        <w:ind w:left="57"/>
        <w:jc w:val="left"/>
        <w:shd w:val="clear" w:fill="F2F2F2"/>
      </w:pPr>
      <w:r>
        <w:rPr>
          <w:rFonts w:ascii="Consolas" w:hAnsi="Consolas" w:cs="Consolas"/>
          <w:b w:val="0"/>
          <w:i w:val="0"/>
          <w:sz w:val="15"/>
        </w:rPr>
        <w:t xml:space="preserve">  Laboratory Testing (SGS):                              $200.00</w:t>
      </w:r>
    </w:p>
    <w:p>
      <w:pPr>
        <w:spacing w:after="0" w:before="0" w:line="240" w:lineRule="auto"/>
        <w:ind w:left="57"/>
        <w:jc w:val="left"/>
        <w:shd w:val="clear" w:fill="F2F2F2"/>
      </w:pPr>
      <w:r>
        <w:rPr>
          <w:rFonts w:ascii="Consolas" w:hAnsi="Consolas" w:cs="Consolas"/>
          <w:b w:val="0"/>
          <w:i w:val="0"/>
          <w:sz w:val="15"/>
        </w:rPr>
        <w:t xml:space="preserve">  Customs Broker Certification (Nile Customs):           $150.00</w:t>
      </w:r>
    </w:p>
    <w:p>
      <w:pPr>
        <w:spacing w:after="0" w:before="0" w:line="240" w:lineRule="auto"/>
        <w:ind w:left="57"/>
        <w:jc w:val="left"/>
        <w:shd w:val="clear" w:fill="F2F2F2"/>
      </w:pPr>
      <w:r>
        <w:rPr>
          <w:rFonts w:ascii="Consolas" w:hAnsi="Consolas" w:cs="Consolas"/>
          <w:b w:val="0"/>
          <w:i w:val="0"/>
          <w:sz w:val="15"/>
        </w:rPr>
        <w:t xml:space="preserve">  (These are included in Stage 1 payment)</w:t>
      </w:r>
    </w:p>
    <w:p>
      <w:pPr>
        <w:spacing w:after="0" w:before="0" w:line="240" w:lineRule="auto"/>
        <w:ind w:left="57"/>
        <w:jc w:val="left"/>
        <w:shd w:val="clear" w:fill="F2F2F2"/>
      </w:pPr>
      <w:r>
        <w:rPr>
          <w:rFonts w:ascii="Consolas" w:hAnsi="Consolas" w:cs="Consolas"/>
          <w:b w:val="0"/>
          <w:i w:val="0"/>
          <w:sz w:val="15"/>
        </w:rPr>
        <w:t>Alternative Delivery Options:</w:t>
      </w:r>
    </w:p>
    <w:p>
      <w:pPr>
        <w:spacing w:after="0" w:before="0" w:line="240" w:lineRule="auto"/>
        <w:ind w:left="57"/>
        <w:jc w:val="left"/>
        <w:shd w:val="clear" w:fill="F2F2F2"/>
      </w:pPr>
      <w:r>
        <w:rPr>
          <w:rFonts w:ascii="Consolas" w:hAnsi="Consolas" w:cs="Consolas"/>
          <w:b w:val="0"/>
          <w:i w:val="0"/>
          <w:sz w:val="15"/>
        </w:rPr>
        <w:t xml:space="preserve">  • Hamburg (primary):   $30,043.20, 14 days transit</w:t>
      </w:r>
    </w:p>
    <w:p>
      <w:pPr>
        <w:spacing w:after="0" w:before="0" w:line="240" w:lineRule="auto"/>
        <w:ind w:left="57"/>
        <w:jc w:val="left"/>
        <w:shd w:val="clear" w:fill="F2F2F2"/>
      </w:pPr>
      <w:r>
        <w:rPr>
          <w:rFonts w:ascii="Consolas" w:hAnsi="Consolas" w:cs="Consolas"/>
          <w:b w:val="0"/>
          <w:i w:val="0"/>
          <w:sz w:val="15"/>
        </w:rPr>
        <w:t xml:space="preserve">  • Damietta (alternative): $29,893.20, 16 days transit (saves $150)</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23.4.2.6 Phase 3 — Contracting, Negotiation &amp; Fee Collection</w:t>
      </w:r>
    </w:p>
    <w:p>
      <w:pPr>
        <w:spacing w:after="80" w:line="293" w:lineRule="auto"/>
        <w:jc w:val="left"/>
      </w:pPr>
      <w:r>
        <w:rPr>
          <w:rFonts w:ascii="Times New Roman" w:hAnsi="Times New Roman" w:cs="Times New Roman"/>
          <w:b w:val="0"/>
          <w:i w:val="0"/>
          <w:sz w:val="22"/>
        </w:rPr>
        <w:t>Goal: the buyer reviews the quote, negotiates, both parties mutually confirm, the contract is assembled with the SGTX Witness Clause, logistics addenda are signed, the fee is paid, and the USTN is generated. Duration: days 9–12. One-click guarantee: from quote review to contract lock, ~11 clicks across parties.</w:t>
      </w:r>
    </w:p>
    <w:p>
      <w:pPr>
        <w:spacing w:after="80" w:line="293" w:lineRule="auto"/>
        <w:jc w:val="left"/>
      </w:pPr>
      <w:r>
        <w:rPr>
          <w:rFonts w:ascii="Times New Roman" w:hAnsi="Times New Roman" w:cs="Times New Roman"/>
          <w:b w:val="0"/>
          <w:i w:val="0"/>
          <w:sz w:val="22"/>
        </w:rPr>
        <w:t>AI assistance: A1 (Groq) — negotiation bot messages, counter-offer explanations; A2 (HF local) — Clause Forge contract generation; A3 (HF + Groq) — negotiation deadlock resolution (if needed); A4 (OPA + WasmEdge) — fee calculation, digital signature validation. Add-ons used: GNN Risk Engine — sanctions check (background).</w:t>
      </w:r>
    </w:p>
    <w:p>
      <w:pPr>
        <w:spacing w:after="80" w:line="293" w:lineRule="auto"/>
        <w:jc w:val="left"/>
      </w:pPr>
      <w:r>
        <w:rPr>
          <w:rFonts w:ascii="Times New Roman" w:hAnsi="Times New Roman" w:cs="Times New Roman"/>
          <w:b w:val="0"/>
          <w:i w:val="0"/>
          <w:sz w:val="22"/>
        </w:rPr>
        <w:t>Step-by-step contracting: buyer reviews the comparison table and AI summary; buyer and seller exchange one counter-offer round with mandatory reason; both parties click "Confirm Agreement" (mutual confirmation snapshot created); contract is generated with the mandatory witness clause; logistics addenda are signed by the LSP, SHIP, and CBR; the seller pays the platform fee ($450) via the bank settlement mandate; the contract locks and the USTN is generated.</w:t>
      </w:r>
    </w:p>
    <w:p>
      <w:pPr>
        <w:spacing w:after="80" w:line="293" w:lineRule="auto"/>
        <w:jc w:val="left"/>
      </w:pPr>
      <w:r>
        <w:rPr>
          <w:rFonts w:ascii="Times New Roman" w:hAnsi="Times New Roman" w:cs="Times New Roman"/>
          <w:b w:val="0"/>
          <w:i w:val="0"/>
          <w:sz w:val="22"/>
        </w:rPr>
        <w:t>Phase 3 one-click count: buyer 4, seller 4, providers 3 → 11 clicks across parties.</w:t>
      </w:r>
    </w:p>
    <w:p>
      <w:pPr>
        <w:spacing w:after="80" w:line="293" w:lineRule="auto"/>
        <w:jc w:val="left"/>
      </w:pPr>
      <w:r>
        <w:rPr>
          <w:rFonts w:ascii="Times New Roman" w:hAnsi="Times New Roman" w:cs="Times New Roman"/>
          <w:b w:val="0"/>
          <w:i w:val="0"/>
          <w:sz w:val="22"/>
        </w:rPr>
        <w:t>SGTX Witness Clause (contract extract):</w:t>
      </w:r>
    </w:p>
    <w:p>
      <w:pPr>
        <w:spacing w:after="0" w:before="0" w:line="240" w:lineRule="auto"/>
        <w:ind w:left="57"/>
        <w:jc w:val="left"/>
        <w:shd w:val="clear" w:fill="F2F2F2"/>
      </w:pPr>
      <w:r>
        <w:rPr>
          <w:rFonts w:ascii="Consolas" w:hAnsi="Consolas" w:cs="Consolas"/>
          <w:b w:val="0"/>
          <w:i w:val="0"/>
          <w:sz w:val="15"/>
        </w:rPr>
        <w:t>SGTX WITNESS CLAUSE (MANDATORY)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The parties acknowledge that SGTX Platform (the "Platform") has facilitated</w:t>
      </w:r>
    </w:p>
    <w:p>
      <w:pPr>
        <w:spacing w:after="0" w:before="0" w:line="240" w:lineRule="auto"/>
        <w:ind w:left="57"/>
        <w:jc w:val="left"/>
        <w:shd w:val="clear" w:fill="F2F2F2"/>
      </w:pPr>
      <w:r>
        <w:rPr>
          <w:rFonts w:ascii="Consolas" w:hAnsi="Consolas" w:cs="Consolas"/>
          <w:b w:val="0"/>
          <w:i w:val="0"/>
          <w:sz w:val="15"/>
        </w:rPr>
        <w:t>the execution of this contract as a non-custodial witness. SGTX is not a</w:t>
      </w:r>
    </w:p>
    <w:p>
      <w:pPr>
        <w:spacing w:after="0" w:before="0" w:line="240" w:lineRule="auto"/>
        <w:ind w:left="57"/>
        <w:jc w:val="left"/>
        <w:shd w:val="clear" w:fill="F2F2F2"/>
      </w:pPr>
      <w:r>
        <w:rPr>
          <w:rFonts w:ascii="Consolas" w:hAnsi="Consolas" w:cs="Consolas"/>
          <w:b w:val="0"/>
          <w:i w:val="0"/>
          <w:sz w:val="15"/>
        </w:rPr>
        <w:t>party to the underlying trade but provides cryptographic milestone tracking,</w:t>
      </w:r>
    </w:p>
    <w:p>
      <w:pPr>
        <w:spacing w:after="0" w:before="0" w:line="240" w:lineRule="auto"/>
        <w:ind w:left="57"/>
        <w:jc w:val="left"/>
        <w:shd w:val="clear" w:fill="F2F2F2"/>
      </w:pPr>
      <w:r>
        <w:rPr>
          <w:rFonts w:ascii="Consolas" w:hAnsi="Consolas" w:cs="Consolas"/>
          <w:b w:val="0"/>
          <w:i w:val="0"/>
          <w:sz w:val="15"/>
        </w:rPr>
        <w:t>AI-assisted logistics, and settlement instructions. The Platform's fee of</w:t>
      </w:r>
    </w:p>
    <w:p>
      <w:pPr>
        <w:spacing w:after="0" w:before="0" w:line="240" w:lineRule="auto"/>
        <w:ind w:left="57"/>
        <w:jc w:val="left"/>
        <w:shd w:val="clear" w:fill="F2F2F2"/>
      </w:pPr>
      <w:r>
        <w:rPr>
          <w:rFonts w:ascii="Consolas" w:hAnsi="Consolas" w:cs="Consolas"/>
          <w:b w:val="0"/>
          <w:i w:val="0"/>
          <w:sz w:val="15"/>
        </w:rPr>
        <w:t>the Canonical Fee Basis amount of $43.20 for Shipment 1 (calculated by the Dynamic Fee Engine, Section 9.27) is due as</w:t>
      </w:r>
    </w:p>
    <w:p>
      <w:pPr>
        <w:spacing w:after="0" w:before="0" w:line="240" w:lineRule="auto"/>
        <w:ind w:left="57"/>
        <w:jc w:val="left"/>
        <w:shd w:val="clear" w:fill="F2F2F2"/>
      </w:pPr>
      <w:r>
        <w:rPr>
          <w:rFonts w:ascii="Consolas" w:hAnsi="Consolas" w:cs="Consolas"/>
          <w:b w:val="0"/>
          <w:i w:val="0"/>
          <w:sz w:val="15"/>
        </w:rPr>
        <w:t>follows: for single-shipment contracts, the fee is payable upfront before</w:t>
      </w:r>
    </w:p>
    <w:p>
      <w:pPr>
        <w:spacing w:after="0" w:before="0" w:line="240" w:lineRule="auto"/>
        <w:ind w:left="57"/>
        <w:jc w:val="left"/>
        <w:shd w:val="clear" w:fill="F2F2F2"/>
      </w:pPr>
      <w:r>
        <w:rPr>
          <w:rFonts w:ascii="Consolas" w:hAnsi="Consolas" w:cs="Consolas"/>
          <w:b w:val="0"/>
          <w:i w:val="0"/>
          <w:sz w:val="15"/>
        </w:rPr>
        <w:t>contract lock; for multi-shipment contracts, the fee is payable per-shipment,</w:t>
      </w:r>
    </w:p>
    <w:p>
      <w:pPr>
        <w:spacing w:after="0" w:before="0" w:line="240" w:lineRule="auto"/>
        <w:ind w:left="57"/>
        <w:jc w:val="left"/>
        <w:shd w:val="clear" w:fill="F2F2F2"/>
      </w:pPr>
      <w:r>
        <w:rPr>
          <w:rFonts w:ascii="Consolas" w:hAnsi="Consolas" w:cs="Consolas"/>
          <w:b w:val="0"/>
          <w:i w:val="0"/>
          <w:sz w:val="15"/>
        </w:rPr>
        <w:t>each upon mutual confirmation and before that shipment's USTN is generated.</w:t>
      </w:r>
    </w:p>
    <w:p>
      <w:pPr>
        <w:spacing w:after="0" w:before="0" w:line="240" w:lineRule="auto"/>
        <w:ind w:left="57"/>
        <w:jc w:val="left"/>
        <w:shd w:val="clear" w:fill="F2F2F2"/>
      </w:pPr>
      <w:r>
        <w:rPr>
          <w:rFonts w:ascii="Consolas" w:hAnsi="Consolas" w:cs="Consolas"/>
          <w:b w:val="0"/>
          <w:i w:val="0"/>
          <w:sz w:val="15"/>
        </w:rPr>
        <w:t>The Platform's signature below serves as evidence of its role as witness and</w:t>
      </w:r>
    </w:p>
    <w:p>
      <w:pPr>
        <w:spacing w:after="0" w:before="0" w:line="240" w:lineRule="auto"/>
        <w:ind w:left="57"/>
        <w:jc w:val="left"/>
        <w:shd w:val="clear" w:fill="F2F2F2"/>
      </w:pPr>
      <w:r>
        <w:rPr>
          <w:rFonts w:ascii="Consolas" w:hAnsi="Consolas" w:cs="Consolas"/>
          <w:b w:val="0"/>
          <w:i w:val="0"/>
          <w:sz w:val="15"/>
        </w:rPr>
        <w:t>its right to collect the fee as specified.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Signed:</w:t>
      </w:r>
    </w:p>
    <w:p>
      <w:pPr>
        <w:spacing w:after="0" w:before="0" w:line="240" w:lineRule="auto"/>
        <w:ind w:left="57"/>
        <w:jc w:val="left"/>
        <w:shd w:val="clear" w:fill="F2F2F2"/>
      </w:pPr>
      <w:r>
        <w:rPr>
          <w:rFonts w:ascii="Consolas" w:hAnsi="Consolas" w:cs="Consolas"/>
          <w:b w:val="0"/>
          <w:i w:val="0"/>
          <w:sz w:val="15"/>
        </w:rPr>
        <w:t>Buyer:  [Digital Signature]  Date: 2026-04-12</w:t>
      </w:r>
    </w:p>
    <w:p>
      <w:pPr>
        <w:spacing w:after="0" w:before="0" w:line="240" w:lineRule="auto"/>
        <w:ind w:left="57"/>
        <w:jc w:val="left"/>
        <w:shd w:val="clear" w:fill="F2F2F2"/>
      </w:pPr>
      <w:r>
        <w:rPr>
          <w:rFonts w:ascii="Consolas" w:hAnsi="Consolas" w:cs="Consolas"/>
          <w:b w:val="0"/>
          <w:i w:val="0"/>
          <w:sz w:val="15"/>
        </w:rPr>
        <w:t>Seller: [Digital Signature]  Date: 2026-04-12</w:t>
      </w:r>
    </w:p>
    <w:p>
      <w:pPr>
        <w:spacing w:after="0" w:before="0" w:line="240" w:lineRule="auto"/>
        <w:ind w:left="57"/>
        <w:jc w:val="left"/>
        <w:shd w:val="clear" w:fill="F2F2F2"/>
      </w:pPr>
      <w:r>
        <w:rPr>
          <w:rFonts w:ascii="Consolas" w:hAnsi="Consolas" w:cs="Consolas"/>
          <w:b w:val="0"/>
          <w:i w:val="0"/>
          <w:sz w:val="15"/>
        </w:rPr>
        <w:t>SGTX:   [Digital Signature]  Date: 2026-04-12</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23.4.2.7 Phase 4 — Financing (Not Used)</w:t>
      </w:r>
    </w:p>
    <w:p>
      <w:pPr>
        <w:spacing w:after="80" w:line="293" w:lineRule="auto"/>
        <w:jc w:val="left"/>
      </w:pPr>
      <w:r>
        <w:rPr>
          <w:rFonts w:ascii="Times New Roman" w:hAnsi="Times New Roman" w:cs="Times New Roman"/>
          <w:b w:val="0"/>
          <w:i w:val="0"/>
          <w:sz w:val="22"/>
        </w:rPr>
        <w:t>The seller did not request financing for this trade. Phase 4 is skipped. (For the financed variant of this flow, see 23.4.6, Example 6.)</w:t>
      </w:r>
    </w:p>
    <w:p>
      <w:pPr>
        <w:keepNext/>
        <w:spacing w:before="140" w:after="60"/>
        <w:outlineLvl w:val="3"/>
      </w:pPr>
      <w:r>
        <w:rPr>
          <w:rFonts w:ascii="Arial" w:hAnsi="Arial" w:cs="Arial"/>
          <w:b/>
          <w:i/>
          <w:color w:val="333333"/>
          <w:sz w:val="22"/>
        </w:rPr>
        <w:t>23.4.2.8 Phase 5 — Physical Execution &amp; Multiparty Tracking</w:t>
      </w:r>
    </w:p>
    <w:p>
      <w:pPr>
        <w:spacing w:after="80" w:line="293" w:lineRule="auto"/>
        <w:jc w:val="left"/>
      </w:pPr>
      <w:r>
        <w:rPr>
          <w:rFonts w:ascii="Times New Roman" w:hAnsi="Times New Roman" w:cs="Times New Roman"/>
          <w:b w:val="0"/>
          <w:i w:val="0"/>
          <w:sz w:val="22"/>
        </w:rPr>
        <w:t>Goal: track the shipment from loading to delivery with AI-powered automation, multisensor consensus, and milestone verification. Duration: days 13–40 (vessel transit time). One-click guarantee: each milestone confirmation is a single click or voice command; container loading is auto-confirmed when all pallets are scanned.</w:t>
      </w:r>
    </w:p>
    <w:p>
      <w:pPr>
        <w:spacing w:after="80" w:line="293" w:lineRule="auto"/>
        <w:jc w:val="left"/>
      </w:pPr>
      <w:r>
        <w:rPr>
          <w:rFonts w:ascii="Times New Roman" w:hAnsi="Times New Roman" w:cs="Times New Roman"/>
          <w:b w:val="0"/>
          <w:i w:val="0"/>
          <w:sz w:val="22"/>
        </w:rPr>
        <w:t>AI assistance: A1 (Groq) — loading guide generation, Smart Inbox alerts; A2 (HF local) — defect detection (QC), cold-chain prediction; A4 (OPA + WasmEdge) — milestone confirmation, weight/height validation. Add-ons used: causal inference — background (not triggered in a healthy trade).</w:t>
      </w:r>
    </w:p>
    <w:p>
      <w:pPr>
        <w:spacing w:after="80" w:line="293" w:lineRule="auto"/>
        <w:jc w:val="left"/>
      </w:pPr>
      <w:r>
        <w:rPr>
          <w:rFonts w:ascii="Times New Roman" w:hAnsi="Times New Roman" w:cs="Times New Roman"/>
          <w:b w:val="0"/>
          <w:i w:val="0"/>
          <w:sz w:val="22"/>
        </w:rPr>
        <w:t>Step-by-step execution: warehouse loads pallets following the AI loading guide (scanning every pallet — barcode, visual for the torn label, voice for the last pallet); the container milestone auto-confirms at full scan consensus; QC inspection completes (SGS); the vessel departs (MSC Egypt confirms DEPARTED, voice: "Depart MSC FIONA for USTN SGTX-EG-001"); AIS tracks the vessel; the vessel arrives (MSC Egypt confirms ARRIVED); customs clears on the pre-verified document set; the buyer confirms delivery.</w:t>
      </w:r>
    </w:p>
    <w:p>
      <w:pPr>
        <w:spacing w:after="80" w:line="293" w:lineRule="auto"/>
        <w:jc w:val="left"/>
      </w:pPr>
      <w:r>
        <w:rPr>
          <w:rFonts w:ascii="Times New Roman" w:hAnsi="Times New Roman" w:cs="Times New Roman"/>
          <w:b w:val="0"/>
          <w:i w:val="0"/>
          <w:sz w:val="22"/>
        </w:rPr>
        <w:t>Phase 5 one-click count: SHIP 3, QC 1, buyer 1, warehouse 1 (batch) → 6 clicks.</w:t>
      </w:r>
    </w:p>
    <w:p>
      <w:pPr>
        <w:spacing w:after="80" w:line="293" w:lineRule="auto"/>
        <w:jc w:val="left"/>
      </w:pPr>
      <w:r>
        <w:rPr>
          <w:rFonts w:ascii="Times New Roman" w:hAnsi="Times New Roman" w:cs="Times New Roman"/>
          <w:b w:val="0"/>
          <w:i w:val="0"/>
          <w:sz w:val="22"/>
        </w:rPr>
        <w:t>Loading guide (AI-generated):</w:t>
      </w:r>
    </w:p>
    <w:p>
      <w:pPr>
        <w:spacing w:after="0" w:before="0" w:line="240" w:lineRule="auto"/>
        <w:ind w:left="57"/>
        <w:jc w:val="left"/>
        <w:shd w:val="clear" w:fill="F2F2F2"/>
      </w:pPr>
      <w:r>
        <w:rPr>
          <w:rFonts w:ascii="Consolas" w:hAnsi="Consolas" w:cs="Consolas"/>
          <w:b w:val="0"/>
          <w:i w:val="0"/>
          <w:sz w:val="15"/>
        </w:rPr>
        <w:t>LOADING GUIDE — USTN SGTX-1397F3A-456ABC-...</w:t>
      </w:r>
    </w:p>
    <w:p>
      <w:pPr>
        <w:spacing w:after="0" w:before="0" w:line="240" w:lineRule="auto"/>
        <w:ind w:left="57"/>
        <w:jc w:val="left"/>
        <w:shd w:val="clear" w:fill="F2F2F2"/>
      </w:pPr>
      <w:r>
        <w:rPr>
          <w:rFonts w:ascii="Consolas" w:hAnsi="Consolas" w:cs="Consolas"/>
          <w:b w:val="0"/>
          <w:i w:val="0"/>
          <w:sz w:val="15"/>
        </w:rPr>
        <w:t>Container: MEDU1234567 (40ft Reefer)</w:t>
      </w:r>
    </w:p>
    <w:p>
      <w:pPr>
        <w:spacing w:after="0" w:before="0" w:line="240" w:lineRule="auto"/>
        <w:ind w:left="57"/>
        <w:jc w:val="left"/>
        <w:shd w:val="clear" w:fill="F2F2F2"/>
      </w:pPr>
      <w:r>
        <w:rPr>
          <w:rFonts w:ascii="Consolas" w:hAnsi="Consolas" w:cs="Consolas"/>
          <w:b w:val="0"/>
          <w:i w:val="0"/>
          <w:sz w:val="15"/>
        </w:rPr>
        <w:t>Step 1: Pre-cool container to -18°C for at least 2 hours before loading.</w:t>
      </w:r>
    </w:p>
    <w:p>
      <w:pPr>
        <w:spacing w:after="0" w:before="0" w:line="240" w:lineRule="auto"/>
        <w:ind w:left="57"/>
        <w:jc w:val="left"/>
        <w:shd w:val="clear" w:fill="F2F2F2"/>
      </w:pPr>
      <w:r>
        <w:rPr>
          <w:rFonts w:ascii="Consolas" w:hAnsi="Consolas" w:cs="Consolas"/>
          <w:b w:val="0"/>
          <w:i w:val="0"/>
          <w:sz w:val="15"/>
        </w:rPr>
        <w:t>Step 2: Load pallets in the following order:</w:t>
      </w:r>
    </w:p>
    <w:p>
      <w:pPr>
        <w:spacing w:after="0" w:before="0" w:line="240" w:lineRule="auto"/>
        <w:ind w:left="57"/>
        <w:jc w:val="left"/>
        <w:shd w:val="clear" w:fill="F2F2F2"/>
      </w:pPr>
      <w:r>
        <w:rPr>
          <w:rFonts w:ascii="Consolas" w:hAnsi="Consolas" w:cs="Consolas"/>
          <w:b w:val="0"/>
          <w:i w:val="0"/>
          <w:sz w:val="15"/>
        </w:rPr>
        <w:t xml:space="preserve">  • Pallet OR001–OR011: 11 layers of 10 cartons each (standard)</w:t>
      </w:r>
    </w:p>
    <w:p>
      <w:pPr>
        <w:spacing w:after="0" w:before="0" w:line="240" w:lineRule="auto"/>
        <w:ind w:left="57"/>
        <w:jc w:val="left"/>
        <w:shd w:val="clear" w:fill="F2F2F2"/>
      </w:pPr>
      <w:r>
        <w:rPr>
          <w:rFonts w:ascii="Consolas" w:hAnsi="Consolas" w:cs="Consolas"/>
          <w:b w:val="0"/>
          <w:i w:val="0"/>
          <w:sz w:val="15"/>
        </w:rPr>
        <w:t xml:space="preserve">  • Pallet OR012–OR022: 11 layers of 10 cartons + 1 top layer of 1</w:t>
      </w:r>
    </w:p>
    <w:p>
      <w:pPr>
        <w:spacing w:after="0" w:before="0" w:line="240" w:lineRule="auto"/>
        <w:ind w:left="57"/>
        <w:jc w:val="left"/>
        <w:shd w:val="clear" w:fill="F2F2F2"/>
      </w:pPr>
      <w:r>
        <w:rPr>
          <w:rFonts w:ascii="Consolas" w:hAnsi="Consolas" w:cs="Consolas"/>
          <w:b w:val="0"/>
          <w:i w:val="0"/>
          <w:sz w:val="15"/>
        </w:rPr>
        <w:t>Step 3: Ensure 2 cm air gap between pallets for air circulation.</w:t>
      </w:r>
    </w:p>
    <w:p>
      <w:pPr>
        <w:spacing w:after="0" w:before="0" w:line="240" w:lineRule="auto"/>
        <w:ind w:left="57"/>
        <w:jc w:val="left"/>
        <w:shd w:val="clear" w:fill="F2F2F2"/>
      </w:pPr>
      <w:r>
        <w:rPr>
          <w:rFonts w:ascii="Consolas" w:hAnsi="Consolas" w:cs="Consolas"/>
          <w:b w:val="0"/>
          <w:i w:val="0"/>
          <w:sz w:val="15"/>
        </w:rPr>
        <w:t>Step 4: Secure strapping — recycled PET (recommended).</w:t>
      </w:r>
    </w:p>
    <w:p>
      <w:pPr>
        <w:spacing w:after="0" w:before="0" w:line="240" w:lineRule="auto"/>
        <w:ind w:left="57"/>
        <w:jc w:val="left"/>
        <w:shd w:val="clear" w:fill="F2F2F2"/>
      </w:pPr>
      <w:r>
        <w:rPr>
          <w:rFonts w:ascii="Consolas" w:hAnsi="Consolas" w:cs="Consolas"/>
          <w:b w:val="0"/>
          <w:i w:val="0"/>
          <w:sz w:val="15"/>
        </w:rPr>
        <w:t>Step 5: Close and seal container. Record seal number.</w:t>
      </w:r>
    </w:p>
    <w:p>
      <w:pPr>
        <w:spacing w:after="0" w:before="0" w:line="240" w:lineRule="auto"/>
        <w:ind w:left="57"/>
        <w:jc w:val="left"/>
        <w:shd w:val="clear" w:fill="F2F2F2"/>
      </w:pPr>
      <w:r>
        <w:rPr>
          <w:rFonts w:ascii="Consolas" w:hAnsi="Consolas" w:cs="Consolas"/>
          <w:b w:val="0"/>
          <w:i w:val="0"/>
          <w:sz w:val="15"/>
        </w:rPr>
        <w:t>Step 6: Confirm with barcode scan of last pallet.</w:t>
      </w:r>
    </w:p>
    <w:p>
      <w:pPr>
        <w:spacing w:after="0" w:before="0" w:line="240" w:lineRule="auto"/>
        <w:ind w:left="57"/>
        <w:jc w:val="left"/>
        <w:shd w:val="clear" w:fill="F2F2F2"/>
      </w:pPr>
      <w:r>
        <w:rPr>
          <w:rFonts w:ascii="Consolas" w:hAnsi="Consolas" w:cs="Consolas"/>
          <w:b w:val="0"/>
          <w:i w:val="0"/>
          <w:sz w:val="15"/>
        </w:rPr>
        <w:t>Do NOT load pallets above 5 layers. Pallet OR020 has mixed layers.</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Milestone timeline (TCC view):</w:t>
      </w:r>
    </w:p>
    <w:p>
      <w:pPr>
        <w:spacing w:after="0" w:before="0" w:line="240" w:lineRule="auto"/>
        <w:ind w:left="57"/>
        <w:jc w:val="left"/>
        <w:shd w:val="clear" w:fill="F2F2F2"/>
      </w:pPr>
      <w:r>
        <w:rPr>
          <w:rFonts w:ascii="Consolas" w:hAnsi="Consolas" w:cs="Consolas"/>
          <w:b w:val="0"/>
          <w:i w:val="0"/>
          <w:sz w:val="15"/>
        </w:rPr>
        <w:t>SHIPMENT TIMELINE — USTN SGTX-1397F3A-456ABC-...</w:t>
      </w:r>
    </w:p>
    <w:p>
      <w:pPr>
        <w:spacing w:after="0" w:before="0" w:line="240" w:lineRule="auto"/>
        <w:ind w:left="57"/>
        <w:jc w:val="left"/>
        <w:shd w:val="clear" w:fill="F2F2F2"/>
      </w:pPr>
      <w:r>
        <w:rPr>
          <w:rFonts w:ascii="Consolas" w:hAnsi="Consolas" w:cs="Consolas"/>
          <w:b w:val="0"/>
          <w:i w:val="0"/>
          <w:sz w:val="15"/>
        </w:rPr>
        <w:t>Vessel: MSC FIONA | Voyage: MSF123E | ETA: 5 Jul 2026</w:t>
      </w:r>
    </w:p>
    <w:p>
      <w:pPr>
        <w:spacing w:after="0" w:before="0" w:line="240" w:lineRule="auto"/>
        <w:ind w:left="57"/>
        <w:jc w:val="left"/>
        <w:shd w:val="clear" w:fill="F2F2F2"/>
      </w:pPr>
      <w:r>
        <w:rPr>
          <w:rFonts w:ascii="Consolas" w:hAnsi="Consolas" w:cs="Consolas"/>
          <w:b w:val="0"/>
          <w:i w:val="0"/>
          <w:sz w:val="15"/>
        </w:rPr>
        <w:t>LOADED        — 20 Jun 2026 08:30 — Confirmed by: System (auto-consensus)</w:t>
      </w:r>
    </w:p>
    <w:p>
      <w:pPr>
        <w:spacing w:after="0" w:before="0" w:line="240" w:lineRule="auto"/>
        <w:ind w:left="57"/>
        <w:jc w:val="left"/>
        <w:shd w:val="clear" w:fill="F2F2F2"/>
      </w:pPr>
      <w:r>
        <w:rPr>
          <w:rFonts w:ascii="Consolas" w:hAnsi="Consolas" w:cs="Consolas"/>
          <w:b w:val="0"/>
          <w:i w:val="0"/>
          <w:sz w:val="15"/>
        </w:rPr>
        <w:t>DEPARTED      — 20 Jun 2026 10:00 — Confirmed by: MSC Egypt</w:t>
      </w:r>
    </w:p>
    <w:p>
      <w:pPr>
        <w:spacing w:after="0" w:before="0" w:line="240" w:lineRule="auto"/>
        <w:ind w:left="57"/>
        <w:jc w:val="left"/>
        <w:shd w:val="clear" w:fill="F2F2F2"/>
      </w:pPr>
      <w:r>
        <w:rPr>
          <w:rFonts w:ascii="Consolas" w:hAnsi="Consolas" w:cs="Consolas"/>
          <w:b w:val="0"/>
          <w:i w:val="0"/>
          <w:sz w:val="15"/>
        </w:rPr>
        <w:t>IN_TRANSIT    — 21 Jun 2026 06:00 — AIS position: South of Crete</w:t>
      </w:r>
    </w:p>
    <w:p>
      <w:pPr>
        <w:spacing w:after="0" w:before="0" w:line="240" w:lineRule="auto"/>
        <w:ind w:left="57"/>
        <w:jc w:val="left"/>
        <w:shd w:val="clear" w:fill="F2F2F2"/>
      </w:pPr>
      <w:r>
        <w:rPr>
          <w:rFonts w:ascii="Consolas" w:hAnsi="Consolas" w:cs="Consolas"/>
          <w:b w:val="0"/>
          <w:i w:val="0"/>
          <w:sz w:val="15"/>
        </w:rPr>
        <w:t>ARRIVED       —  5 Jul 2026 14:00 — Confirmed by: MSC Egypt</w:t>
      </w:r>
    </w:p>
    <w:p>
      <w:pPr>
        <w:spacing w:after="0" w:before="0" w:line="240" w:lineRule="auto"/>
        <w:ind w:left="57"/>
        <w:jc w:val="left"/>
        <w:shd w:val="clear" w:fill="F2F2F2"/>
      </w:pPr>
      <w:r>
        <w:rPr>
          <w:rFonts w:ascii="Consolas" w:hAnsi="Consolas" w:cs="Consolas"/>
          <w:b w:val="0"/>
          <w:i w:val="0"/>
          <w:sz w:val="15"/>
        </w:rPr>
        <w:t>CUSTOMS_IMPORT — Pending</w:t>
      </w:r>
    </w:p>
    <w:p>
      <w:pPr>
        <w:spacing w:after="0" w:before="0" w:line="240" w:lineRule="auto"/>
        <w:ind w:left="57"/>
        <w:jc w:val="left"/>
        <w:shd w:val="clear" w:fill="F2F2F2"/>
      </w:pPr>
      <w:r>
        <w:rPr>
          <w:rFonts w:ascii="Consolas" w:hAnsi="Consolas" w:cs="Consolas"/>
          <w:b w:val="0"/>
          <w:i w:val="0"/>
          <w:sz w:val="15"/>
        </w:rPr>
        <w:t>DELIVERED     — Pending</w:t>
      </w:r>
    </w:p>
    <w:p>
      <w:pPr>
        <w:spacing w:after="0" w:before="0" w:line="240" w:lineRule="auto"/>
        <w:ind w:left="57"/>
        <w:jc w:val="left"/>
        <w:shd w:val="clear" w:fill="F2F2F2"/>
      </w:pPr>
      <w:r>
        <w:rPr>
          <w:rFonts w:ascii="Consolas" w:hAnsi="Consolas" w:cs="Consolas"/>
          <w:b w:val="0"/>
          <w:i w:val="0"/>
          <w:sz w:val="15"/>
        </w:rPr>
        <w:t>SETTLED       — Pending</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23.4.2.9 Phase 6 — Settlement &amp; Payment Orchestration</w:t>
      </w:r>
    </w:p>
    <w:p>
      <w:pPr>
        <w:spacing w:after="80" w:line="293" w:lineRule="auto"/>
        <w:jc w:val="left"/>
      </w:pPr>
      <w:r>
        <w:rPr>
          <w:rFonts w:ascii="Times New Roman" w:hAnsi="Times New Roman" w:cs="Times New Roman"/>
          <w:b w:val="0"/>
          <w:i w:val="0"/>
          <w:sz w:val="22"/>
        </w:rPr>
        <w:t>Goal: settle the trade principal (buyer → seller). The platform fee is already paid; no additional fee collection. Duration: day 41 (after delivery). One-click guarantee: the buyer approves settlement with one click or a voice command; reconciliation is automatic.</w:t>
      </w:r>
    </w:p>
    <w:p>
      <w:pPr>
        <w:spacing w:after="80" w:line="293" w:lineRule="auto"/>
        <w:jc w:val="left"/>
      </w:pPr>
      <w:r>
        <w:rPr>
          <w:rFonts w:ascii="Times New Roman" w:hAnsi="Times New Roman" w:cs="Times New Roman"/>
          <w:b w:val="0"/>
          <w:i w:val="0"/>
          <w:sz w:val="22"/>
        </w:rPr>
        <w:t>AI assistance: A1 (Groq) — voice-activated approval; A2 (LightGBM + Groq) — bank dispatch routing; A4 (OPA + WasmEdge) — instruction signing, confirmation verification.</w:t>
      </w:r>
    </w:p>
    <w:p>
      <w:pPr>
        <w:spacing w:after="80" w:line="293" w:lineRule="auto"/>
        <w:jc w:val="left"/>
      </w:pPr>
      <w:r>
        <w:rPr>
          <w:rFonts w:ascii="Times New Roman" w:hAnsi="Times New Roman" w:cs="Times New Roman"/>
          <w:b w:val="0"/>
          <w:i w:val="0"/>
          <w:sz w:val="22"/>
        </w:rPr>
        <w:t>Step-by-step settlement: the buyer approves settlement (voice command "Approve settlement for USTN SGTX-1397F3A-...", biometric passkey); the Bank Settlement Gateway dispatches the pain.001 to the mandated bank; the settlement instruction is signed and sent; the bank confirms; the reconciliation engine matches external confirmations to internal state; the monthly statement updates.</w:t>
      </w:r>
    </w:p>
    <w:p>
      <w:pPr>
        <w:spacing w:after="80" w:line="293" w:lineRule="auto"/>
        <w:jc w:val="left"/>
      </w:pPr>
      <w:r>
        <w:rPr>
          <w:rFonts w:ascii="Times New Roman" w:hAnsi="Times New Roman" w:cs="Times New Roman"/>
          <w:b w:val="0"/>
          <w:i w:val="0"/>
          <w:sz w:val="22"/>
        </w:rPr>
        <w:t>Phase 6 one-click count: buyer 0 (voice), seller admin 1 → 1 click.</w:t>
      </w:r>
    </w:p>
    <w:p>
      <w:pPr>
        <w:spacing w:after="80" w:line="293" w:lineRule="auto"/>
        <w:jc w:val="left"/>
      </w:pPr>
      <w:r>
        <w:rPr>
          <w:rFonts w:ascii="Times New Roman" w:hAnsi="Times New Roman" w:cs="Times New Roman"/>
          <w:b w:val="0"/>
          <w:i w:val="0"/>
          <w:sz w:val="22"/>
        </w:rPr>
        <w:t>Reconciliation statement (extract):</w:t>
      </w:r>
    </w:p>
    <w:p>
      <w:pPr>
        <w:spacing w:after="0" w:before="0" w:line="240" w:lineRule="auto"/>
        <w:ind w:left="57"/>
        <w:jc w:val="left"/>
        <w:shd w:val="clear" w:fill="F2F2F2"/>
      </w:pPr>
      <w:r>
        <w:rPr>
          <w:rFonts w:ascii="Consolas" w:hAnsi="Consolas" w:cs="Consolas"/>
          <w:b w:val="0"/>
          <w:i w:val="0"/>
          <w:sz w:val="15"/>
        </w:rPr>
        <w:t>MONTHLY RECONCILIATION STATEMENT — June 2026</w:t>
      </w:r>
    </w:p>
    <w:p>
      <w:pPr>
        <w:spacing w:after="0" w:before="0" w:line="240" w:lineRule="auto"/>
        <w:ind w:left="57"/>
        <w:jc w:val="left"/>
        <w:shd w:val="clear" w:fill="F2F2F2"/>
      </w:pPr>
      <w:r>
        <w:rPr>
          <w:rFonts w:ascii="Consolas" w:hAnsi="Consolas" w:cs="Consolas"/>
          <w:b w:val="0"/>
          <w:i w:val="0"/>
          <w:sz w:val="15"/>
        </w:rPr>
        <w:t>Strawberry Export Co. (SGTX-EG-TRD-002139-7F3A)   Base Currency: 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Date        USTN                     Description           Amount      FX</w:t>
      </w:r>
    </w:p>
    <w:p>
      <w:pPr>
        <w:spacing w:after="0" w:before="0" w:line="240" w:lineRule="auto"/>
        <w:ind w:left="57"/>
        <w:jc w:val="left"/>
        <w:shd w:val="clear" w:fill="F2F2F2"/>
      </w:pPr>
      <w:r>
        <w:rPr>
          <w:rFonts w:ascii="Consolas" w:hAnsi="Consolas" w:cs="Consolas"/>
          <w:b w:val="0"/>
          <w:i w:val="0"/>
          <w:sz w:val="15"/>
        </w:rPr>
        <w:t>2026-06-20  SGTX-1397F3A-456ABC-...  SGTX trade fee paid  -$450     —</w:t>
      </w:r>
    </w:p>
    <w:p>
      <w:pPr>
        <w:spacing w:after="0" w:before="0" w:line="240" w:lineRule="auto"/>
        <w:ind w:left="57"/>
        <w:jc w:val="left"/>
        <w:shd w:val="clear" w:fill="F2F2F2"/>
      </w:pPr>
      <w:r>
        <w:rPr>
          <w:rFonts w:ascii="Consolas" w:hAnsi="Consolas" w:cs="Consolas"/>
          <w:b w:val="0"/>
          <w:i w:val="0"/>
          <w:sz w:val="15"/>
        </w:rPr>
        <w:t xml:space="preserve">                                      (Stage 1)</w:t>
      </w:r>
    </w:p>
    <w:p>
      <w:pPr>
        <w:spacing w:after="0" w:before="0" w:line="240" w:lineRule="auto"/>
        <w:ind w:left="57"/>
        <w:jc w:val="left"/>
        <w:shd w:val="clear" w:fill="F2F2F2"/>
      </w:pPr>
      <w:r>
        <w:rPr>
          <w:rFonts w:ascii="Consolas" w:hAnsi="Consolas" w:cs="Consolas"/>
          <w:b w:val="0"/>
          <w:i w:val="0"/>
          <w:sz w:val="15"/>
        </w:rPr>
        <w:t>2026-06-20  SGTX-1397F3A-456ABC-...  Lab testing (SGS)    -$200     —</w:t>
      </w:r>
    </w:p>
    <w:p>
      <w:pPr>
        <w:spacing w:after="0" w:before="0" w:line="240" w:lineRule="auto"/>
        <w:ind w:left="57"/>
        <w:jc w:val="left"/>
        <w:shd w:val="clear" w:fill="F2F2F2"/>
      </w:pPr>
      <w:r>
        <w:rPr>
          <w:rFonts w:ascii="Consolas" w:hAnsi="Consolas" w:cs="Consolas"/>
          <w:b w:val="0"/>
          <w:i w:val="0"/>
          <w:sz w:val="15"/>
        </w:rPr>
        <w:t xml:space="preserve">                                      (Stage 1)</w:t>
      </w:r>
    </w:p>
    <w:p>
      <w:pPr>
        <w:spacing w:after="0" w:before="0" w:line="240" w:lineRule="auto"/>
        <w:ind w:left="57"/>
        <w:jc w:val="left"/>
        <w:shd w:val="clear" w:fill="F2F2F2"/>
      </w:pPr>
      <w:r>
        <w:rPr>
          <w:rFonts w:ascii="Consolas" w:hAnsi="Consolas" w:cs="Consolas"/>
          <w:b w:val="0"/>
          <w:i w:val="0"/>
          <w:sz w:val="15"/>
        </w:rPr>
        <w:t>2026-06-20  SGTX-1397F3A-456ABC-...  Broker cert (Nile)   -$150     —</w:t>
      </w:r>
    </w:p>
    <w:p>
      <w:pPr>
        <w:spacing w:after="0" w:before="0" w:line="240" w:lineRule="auto"/>
        <w:ind w:left="57"/>
        <w:jc w:val="left"/>
        <w:shd w:val="clear" w:fill="F2F2F2"/>
      </w:pPr>
      <w:r>
        <w:rPr>
          <w:rFonts w:ascii="Consolas" w:hAnsi="Consolas" w:cs="Consolas"/>
          <w:b w:val="0"/>
          <w:i w:val="0"/>
          <w:sz w:val="15"/>
        </w:rPr>
        <w:t xml:space="preserve">                                      (Stage 1)</w:t>
      </w:r>
    </w:p>
    <w:p>
      <w:pPr>
        <w:spacing w:after="0" w:before="0" w:line="240" w:lineRule="auto"/>
        <w:ind w:left="57"/>
        <w:jc w:val="left"/>
        <w:shd w:val="clear" w:fill="F2F2F2"/>
      </w:pPr>
      <w:r>
        <w:rPr>
          <w:rFonts w:ascii="Consolas" w:hAnsi="Consolas" w:cs="Consolas"/>
          <w:b w:val="0"/>
          <w:i w:val="0"/>
          <w:sz w:val="15"/>
        </w:rPr>
        <w:t>2026-06-20  SGTX-1397F3A-456ABC-...  Trucking (Fast)      -$900     —</w:t>
      </w:r>
    </w:p>
    <w:p>
      <w:pPr>
        <w:spacing w:after="0" w:before="0" w:line="240" w:lineRule="auto"/>
        <w:ind w:left="57"/>
        <w:jc w:val="left"/>
        <w:shd w:val="clear" w:fill="F2F2F2"/>
      </w:pPr>
      <w:r>
        <w:rPr>
          <w:rFonts w:ascii="Consolas" w:hAnsi="Consolas" w:cs="Consolas"/>
          <w:b w:val="0"/>
          <w:i w:val="0"/>
          <w:sz w:val="15"/>
        </w:rPr>
        <w:t xml:space="preserve">                                      (Stage 1)</w:t>
      </w:r>
    </w:p>
    <w:p>
      <w:pPr>
        <w:spacing w:after="0" w:before="0" w:line="240" w:lineRule="auto"/>
        <w:ind w:left="57"/>
        <w:jc w:val="left"/>
        <w:shd w:val="clear" w:fill="F2F2F2"/>
      </w:pPr>
      <w:r>
        <w:rPr>
          <w:rFonts w:ascii="Consolas" w:hAnsi="Consolas" w:cs="Consolas"/>
          <w:b w:val="0"/>
          <w:i w:val="0"/>
          <w:sz w:val="15"/>
        </w:rPr>
        <w:t>2026-07-06  SGTX-1397F3A-456ABC-...  Trade settlement     +$30,000  —</w:t>
      </w:r>
    </w:p>
    <w:p>
      <w:pPr>
        <w:spacing w:after="0" w:before="0" w:line="240" w:lineRule="auto"/>
        <w:ind w:left="57"/>
        <w:jc w:val="left"/>
        <w:shd w:val="clear" w:fill="F2F2F2"/>
      </w:pPr>
      <w:r>
        <w:rPr>
          <w:rFonts w:ascii="Consolas" w:hAnsi="Consolas" w:cs="Consolas"/>
          <w:b w:val="0"/>
          <w:i w:val="0"/>
          <w:sz w:val="15"/>
        </w:rPr>
        <w:t xml:space="preserve">                                      (principal)</w:t>
      </w:r>
    </w:p>
    <w:p>
      <w:pPr>
        <w:spacing w:after="0" w:before="0" w:line="240" w:lineRule="auto"/>
        <w:ind w:left="57"/>
        <w:jc w:val="left"/>
        <w:shd w:val="clear" w:fill="F2F2F2"/>
      </w:pPr>
      <w:r>
        <w:rPr>
          <w:rFonts w:ascii="Consolas" w:hAnsi="Consolas" w:cs="Consolas"/>
          <w:b w:val="0"/>
          <w:i w:val="0"/>
          <w:sz w:val="15"/>
        </w:rPr>
        <w:t>2026-07-06  SGTX-1397F3A-456ABC-...  Ocean freight (MSC)  -$8,400   —</w:t>
      </w:r>
    </w:p>
    <w:p>
      <w:pPr>
        <w:spacing w:after="0" w:before="0" w:line="240" w:lineRule="auto"/>
        <w:ind w:left="57"/>
        <w:jc w:val="left"/>
        <w:shd w:val="clear" w:fill="F2F2F2"/>
      </w:pPr>
      <w:r>
        <w:rPr>
          <w:rFonts w:ascii="Consolas" w:hAnsi="Consolas" w:cs="Consolas"/>
          <w:b w:val="0"/>
          <w:i w:val="0"/>
          <w:sz w:val="15"/>
        </w:rPr>
        <w:t xml:space="preserve">                                      (Stage 2)</w:t>
      </w:r>
    </w:p>
    <w:p>
      <w:pPr>
        <w:spacing w:after="0" w:before="0" w:line="240" w:lineRule="auto"/>
        <w:ind w:left="57"/>
        <w:jc w:val="left"/>
        <w:shd w:val="clear" w:fill="F2F2F2"/>
      </w:pPr>
      <w:r>
        <w:rPr>
          <w:rFonts w:ascii="Consolas" w:hAnsi="Consolas" w:cs="Consolas"/>
          <w:b w:val="0"/>
          <w:i w:val="0"/>
          <w:sz w:val="15"/>
        </w:rPr>
        <w:t>NET CASH FLOW                                                +$19,900</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23.4.2.10 Phase 7 — Distressed Cargo (Not Used)</w:t>
      </w:r>
    </w:p>
    <w:p>
      <w:pPr>
        <w:spacing w:after="80" w:line="293" w:lineRule="auto"/>
        <w:jc w:val="left"/>
      </w:pPr>
      <w:r>
        <w:rPr>
          <w:rFonts w:ascii="Times New Roman" w:hAnsi="Times New Roman" w:cs="Times New Roman"/>
          <w:b w:val="0"/>
          <w:i w:val="0"/>
          <w:sz w:val="22"/>
        </w:rPr>
        <w:t>No distress occurred. Phase 7 is skipped. (For the distressed variant, see 23.4.3, Example 2.)</w:t>
      </w:r>
    </w:p>
    <w:p>
      <w:pPr>
        <w:keepNext/>
        <w:spacing w:before="140" w:after="60"/>
        <w:outlineLvl w:val="3"/>
      </w:pPr>
      <w:r>
        <w:rPr>
          <w:rFonts w:ascii="Arial" w:hAnsi="Arial" w:cs="Arial"/>
          <w:b/>
          <w:i/>
          <w:color w:val="333333"/>
          <w:sz w:val="22"/>
        </w:rPr>
        <w:t>23.4.2.11 Phase 8 — Dispute Resolution (Hypothetical)</w:t>
      </w:r>
    </w:p>
    <w:p>
      <w:pPr>
        <w:spacing w:after="80" w:line="293" w:lineRule="auto"/>
        <w:jc w:val="left"/>
      </w:pPr>
      <w:r>
        <w:rPr>
          <w:rFonts w:ascii="Times New Roman" w:hAnsi="Times New Roman" w:cs="Times New Roman"/>
          <w:b w:val="0"/>
          <w:i w:val="0"/>
          <w:sz w:val="22"/>
        </w:rPr>
        <w:t>Goal: demonstrate the dispute resolution workflow for a hypothetical quality dispute (mould found on 3 pallets at delivery). Duration: days 42–50 (after delivery). One-click guarantee: filing a dispute is one click; evidence compilation is automatic; mediation and settlement proposals are one click each.</w:t>
      </w:r>
    </w:p>
    <w:p>
      <w:pPr>
        <w:spacing w:after="80" w:line="293" w:lineRule="auto"/>
        <w:jc w:val="left"/>
      </w:pPr>
      <w:r>
        <w:rPr>
          <w:rFonts w:ascii="Times New Roman" w:hAnsi="Times New Roman" w:cs="Times New Roman"/>
          <w:b w:val="0"/>
          <w:i w:val="0"/>
          <w:sz w:val="22"/>
        </w:rPr>
        <w:t>AI assistance: A1 (Groq) — mediation log translation, settlement proposal; A2 (HF local) — evidence autocompilation, predictive outcome; A3 (HF + Groq) — third-party expert invitation. Add-ons used: causal inference — root cause analysis.</w:t>
      </w:r>
    </w:p>
    <w:p>
      <w:pPr>
        <w:spacing w:after="80" w:line="293" w:lineRule="auto"/>
        <w:jc w:val="left"/>
      </w:pPr>
      <w:r>
        <w:rPr>
          <w:rFonts w:ascii="Times New Roman" w:hAnsi="Times New Roman" w:cs="Times New Roman"/>
          <w:b w:val="0"/>
          <w:i w:val="0"/>
          <w:sz w:val="22"/>
        </w:rPr>
        <w:t>Step-by-step dispute: the buyer files the dispute (category: Quality; description with photos; remedy sought: $2,000 refund); the evidence package auto-compiles (temperature logs, photos, QC report, milestone history, Loom hashes); both parties enter the mediation log (structured offers and counter-offers); optionally the buyer invites a third-party expert (SGS surveyor); the AI settlement proposal is generated; the parties accept or escalate to arbitration preparation.</w:t>
      </w:r>
    </w:p>
    <w:p>
      <w:pPr>
        <w:spacing w:after="80" w:line="293" w:lineRule="auto"/>
        <w:jc w:val="left"/>
      </w:pPr>
      <w:r>
        <w:rPr>
          <w:rFonts w:ascii="Times New Roman" w:hAnsi="Times New Roman" w:cs="Times New Roman"/>
          <w:b w:val="0"/>
          <w:i w:val="0"/>
          <w:sz w:val="22"/>
        </w:rPr>
        <w:t>Phase 8 one-click count: buyer 3, seller 1, expert 1 → 5 clicks.</w:t>
      </w:r>
    </w:p>
    <w:p>
      <w:pPr>
        <w:spacing w:after="80" w:line="293" w:lineRule="auto"/>
        <w:jc w:val="left"/>
      </w:pPr>
      <w:r>
        <w:rPr>
          <w:rFonts w:ascii="Times New Roman" w:hAnsi="Times New Roman" w:cs="Times New Roman"/>
          <w:b w:val="0"/>
          <w:i w:val="0"/>
          <w:sz w:val="22"/>
        </w:rPr>
        <w:t>Causal analysis output:</w:t>
      </w:r>
    </w:p>
    <w:p>
      <w:pPr>
        <w:spacing w:after="0" w:before="0" w:line="240" w:lineRule="auto"/>
        <w:ind w:left="57"/>
        <w:jc w:val="left"/>
        <w:shd w:val="clear" w:fill="F2F2F2"/>
      </w:pPr>
      <w:r>
        <w:rPr>
          <w:rFonts w:ascii="Consolas" w:hAnsi="Consolas" w:cs="Consolas"/>
          <w:b w:val="0"/>
          <w:i w:val="0"/>
          <w:sz w:val="15"/>
        </w:rPr>
        <w:t>CAUSAL ANALYSIS — DSP-20260415-001</w:t>
      </w:r>
    </w:p>
    <w:p>
      <w:pPr>
        <w:spacing w:after="0" w:before="0" w:line="240" w:lineRule="auto"/>
        <w:ind w:left="57"/>
        <w:jc w:val="left"/>
        <w:shd w:val="clear" w:fill="F2F2F2"/>
      </w:pPr>
      <w:r>
        <w:rPr>
          <w:rFonts w:ascii="Consolas" w:hAnsi="Consolas" w:cs="Consolas"/>
          <w:b w:val="0"/>
          <w:i w:val="0"/>
          <w:sz w:val="15"/>
        </w:rPr>
        <w:t>USTN: SGTX-EG-26-F3A-1</w:t>
      </w:r>
    </w:p>
    <w:p>
      <w:pPr>
        <w:spacing w:after="0" w:before="0" w:line="240" w:lineRule="auto"/>
        <w:ind w:left="57"/>
        <w:jc w:val="left"/>
        <w:shd w:val="clear" w:fill="F2F2F2"/>
      </w:pPr>
      <w:r>
        <w:rPr>
          <w:rFonts w:ascii="Consolas" w:hAnsi="Consolas" w:cs="Consolas"/>
          <w:b w:val="0"/>
          <w:i w:val="0"/>
          <w:sz w:val="15"/>
        </w:rPr>
        <w:t>Root Causes of Quality Defect (Mould):</w:t>
      </w:r>
    </w:p>
    <w:p>
      <w:pPr>
        <w:spacing w:after="0" w:before="0" w:line="240" w:lineRule="auto"/>
        <w:ind w:left="57"/>
        <w:jc w:val="left"/>
        <w:shd w:val="clear" w:fill="F2F2F2"/>
      </w:pPr>
      <w:r>
        <w:rPr>
          <w:rFonts w:ascii="Consolas" w:hAnsi="Consolas" w:cs="Consolas"/>
          <w:b w:val="0"/>
          <w:i w:val="0"/>
          <w:sz w:val="15"/>
        </w:rPr>
        <w:t>Factor                    Contribution  Confidence Interval</w:t>
      </w:r>
    </w:p>
    <w:p>
      <w:pPr>
        <w:spacing w:after="0" w:before="0" w:line="240" w:lineRule="auto"/>
        <w:ind w:left="57"/>
        <w:jc w:val="left"/>
        <w:shd w:val="clear" w:fill="F2F2F2"/>
      </w:pPr>
      <w:r>
        <w:rPr>
          <w:rFonts w:ascii="Consolas" w:hAnsi="Consolas" w:cs="Consolas"/>
          <w:b w:val="0"/>
          <w:i w:val="0"/>
          <w:sz w:val="15"/>
        </w:rPr>
        <w:t>Temperature excursion     68%           62% – 74%</w:t>
      </w:r>
    </w:p>
    <w:p>
      <w:pPr>
        <w:spacing w:after="0" w:before="0" w:line="240" w:lineRule="auto"/>
        <w:ind w:left="57"/>
        <w:jc w:val="left"/>
        <w:shd w:val="clear" w:fill="F2F2F2"/>
      </w:pPr>
      <w:r>
        <w:rPr>
          <w:rFonts w:ascii="Consolas" w:hAnsi="Consolas" w:cs="Consolas"/>
          <w:b w:val="0"/>
          <w:i w:val="0"/>
          <w:sz w:val="15"/>
        </w:rPr>
        <w:t>Pre-cooling omission     12%           8%  – 16%</w:t>
      </w:r>
    </w:p>
    <w:p>
      <w:pPr>
        <w:spacing w:after="0" w:before="0" w:line="240" w:lineRule="auto"/>
        <w:ind w:left="57"/>
        <w:jc w:val="left"/>
        <w:shd w:val="clear" w:fill="F2F2F2"/>
      </w:pPr>
      <w:r>
        <w:rPr>
          <w:rFonts w:ascii="Consolas" w:hAnsi="Consolas" w:cs="Consolas"/>
          <w:b w:val="0"/>
          <w:i w:val="0"/>
          <w:sz w:val="15"/>
        </w:rPr>
        <w:t>Monitoring delay          10%           6%  – 14%</w:t>
      </w:r>
    </w:p>
    <w:p>
      <w:pPr>
        <w:spacing w:after="0" w:before="0" w:line="240" w:lineRule="auto"/>
        <w:ind w:left="57"/>
        <w:jc w:val="left"/>
        <w:shd w:val="clear" w:fill="F2F2F2"/>
      </w:pPr>
      <w:r>
        <w:rPr>
          <w:rFonts w:ascii="Consolas" w:hAnsi="Consolas" w:cs="Consolas"/>
          <w:b w:val="0"/>
          <w:i w:val="0"/>
          <w:sz w:val="15"/>
        </w:rPr>
        <w:t>QC inspection (missed)    8%            4%  – 12%</w:t>
      </w:r>
    </w:p>
    <w:p>
      <w:pPr>
        <w:spacing w:after="0" w:before="0" w:line="240" w:lineRule="auto"/>
        <w:ind w:left="57"/>
        <w:jc w:val="left"/>
        <w:shd w:val="clear" w:fill="F2F2F2"/>
      </w:pPr>
      <w:r>
        <w:rPr>
          <w:rFonts w:ascii="Consolas" w:hAnsi="Consolas" w:cs="Consolas"/>
          <w:b w:val="0"/>
          <w:i w:val="0"/>
          <w:sz w:val="15"/>
        </w:rPr>
        <w:t>Other                     2%            0%  – 6%</w:t>
      </w:r>
    </w:p>
    <w:p>
      <w:pPr>
        <w:spacing w:after="0" w:before="0" w:line="240" w:lineRule="auto"/>
        <w:ind w:left="57"/>
        <w:jc w:val="left"/>
        <w:shd w:val="clear" w:fill="F2F2F2"/>
      </w:pPr>
      <w:r>
        <w:rPr>
          <w:rFonts w:ascii="Consolas" w:hAnsi="Consolas" w:cs="Consolas"/>
          <w:b w:val="0"/>
          <w:i w:val="0"/>
          <w:sz w:val="15"/>
        </w:rPr>
        <w:t>Groq Summary: "The mould damage was caused primarily by a temperature</w:t>
      </w:r>
    </w:p>
    <w:p>
      <w:pPr>
        <w:spacing w:after="0" w:before="0" w:line="240" w:lineRule="auto"/>
        <w:ind w:left="57"/>
        <w:jc w:val="left"/>
        <w:shd w:val="clear" w:fill="F2F2F2"/>
      </w:pPr>
      <w:r>
        <w:rPr>
          <w:rFonts w:ascii="Consolas" w:hAnsi="Consolas" w:cs="Consolas"/>
          <w:b w:val="0"/>
          <w:i w:val="0"/>
          <w:sz w:val="15"/>
        </w:rPr>
        <w:t>excursion (68%), with pre-cooling omission (12%) and monitoring delay (10%)</w:t>
      </w:r>
    </w:p>
    <w:p>
      <w:pPr>
        <w:spacing w:after="0" w:before="0" w:line="240" w:lineRule="auto"/>
        <w:ind w:left="57"/>
        <w:jc w:val="left"/>
        <w:shd w:val="clear" w:fill="F2F2F2"/>
      </w:pPr>
      <w:r>
        <w:rPr>
          <w:rFonts w:ascii="Consolas" w:hAnsi="Consolas" w:cs="Consolas"/>
          <w:b w:val="0"/>
          <w:i w:val="0"/>
          <w:sz w:val="15"/>
        </w:rPr>
        <w:t>as contributing factors. The QC inspection was not at fault."</w:t>
      </w:r>
    </w:p>
    <w:p>
      <w:pPr>
        <w:spacing w:after="0" w:before="0" w:line="240" w:lineRule="auto"/>
        <w:ind w:left="57"/>
        <w:jc w:val="left"/>
        <w:shd w:val="clear" w:fill="F2F2F2"/>
      </w:pPr>
      <w:r>
        <w:rPr>
          <w:rFonts w:ascii="Consolas" w:hAnsi="Consolas" w:cs="Consolas"/>
          <w:b w:val="0"/>
          <w:i w:val="0"/>
          <w:sz w:val="15"/>
        </w:rPr>
        <w:t>Confidence: 87%</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23.4.2.12 Summary — One-Click Counts</w:t>
      </w:r>
    </w:p>
    <w:p>
      <w:pPr>
        <w:spacing w:after="80" w:line="293" w:lineRule="auto"/>
        <w:jc w:val="left"/>
      </w:pPr>
      <w:r>
        <w:rPr>
          <w:rFonts w:ascii="Times New Roman" w:hAnsi="Times New Roman" w:cs="Times New Roman"/>
          <w:b w:val="0"/>
          <w:i w:val="0"/>
          <w:sz w:val="22"/>
        </w:rPr>
        <w:t>Per phase (healthy trade):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Phase</w:t>
            </w:r>
          </w:p>
        </w:tc>
        <w:tc>
          <w:tcPr>
            <w:tcW w:type="dxa" w:w="4819"/>
            <w:shd w:val="clear" w:fill="D9E2F3"/>
          </w:tcPr>
          <w:p>
            <w:pPr>
              <w:spacing w:after="20" w:before="20" w:line="240" w:lineRule="auto"/>
            </w:pPr>
            <w:r/>
            <w:r>
              <w:rPr>
                <w:rFonts w:ascii="Arial" w:hAnsi="Arial" w:cs="Arial"/>
                <w:b/>
                <w:i w:val="0"/>
                <w:sz w:val="18"/>
              </w:rPr>
              <w:t>One-Click Count</w:t>
            </w:r>
          </w:p>
        </w:tc>
      </w:tr>
      <w:tr>
        <w:tc>
          <w:tcPr>
            <w:tcW w:type="dxa" w:w="4819"/>
          </w:tcPr>
          <w:p>
            <w:pPr>
              <w:spacing w:after="20" w:before="20" w:line="240" w:lineRule="auto"/>
            </w:pPr>
            <w:r/>
            <w:r>
              <w:rPr>
                <w:rFonts w:ascii="Arial" w:hAnsi="Arial" w:cs="Arial"/>
                <w:b w:val="0"/>
                <w:i w:val="0"/>
                <w:sz w:val="17"/>
              </w:rPr>
              <w:t>Phase 0 — onboarding</w:t>
            </w:r>
          </w:p>
        </w:tc>
        <w:tc>
          <w:tcPr>
            <w:tcW w:type="dxa" w:w="4819"/>
          </w:tcPr>
          <w:p>
            <w:pPr>
              <w:spacing w:after="20" w:before="20" w:line="240" w:lineRule="auto"/>
            </w:pPr>
            <w:r/>
            <w:r>
              <w:rPr>
                <w:rFonts w:ascii="Arial" w:hAnsi="Arial" w:cs="Arial"/>
                <w:b w:val="0"/>
                <w:i w:val="0"/>
                <w:sz w:val="17"/>
              </w:rPr>
              <w:t>Buyer ~12, Seller ~12, each provider ~10</w:t>
            </w:r>
          </w:p>
        </w:tc>
      </w:tr>
      <w:tr>
        <w:tc>
          <w:tcPr>
            <w:tcW w:type="dxa" w:w="4819"/>
          </w:tcPr>
          <w:p>
            <w:pPr>
              <w:spacing w:after="20" w:before="20" w:line="240" w:lineRule="auto"/>
            </w:pPr>
            <w:r/>
            <w:r>
              <w:rPr>
                <w:rFonts w:ascii="Arial" w:hAnsi="Arial" w:cs="Arial"/>
                <w:b w:val="0"/>
                <w:i w:val="0"/>
                <w:sz w:val="17"/>
              </w:rPr>
              <w:t>Phase 1 — trade initiation</w:t>
            </w:r>
          </w:p>
        </w:tc>
        <w:tc>
          <w:tcPr>
            <w:tcW w:type="dxa" w:w="4819"/>
          </w:tcPr>
          <w:p>
            <w:pPr>
              <w:spacing w:after="20" w:before="20" w:line="240" w:lineRule="auto"/>
            </w:pPr>
            <w:r/>
            <w:r>
              <w:rPr>
                <w:rFonts w:ascii="Arial" w:hAnsi="Arial" w:cs="Arial"/>
                <w:b w:val="0"/>
                <w:i w:val="0"/>
                <w:sz w:val="17"/>
              </w:rPr>
              <w:t>7</w:t>
            </w:r>
          </w:p>
        </w:tc>
      </w:tr>
      <w:tr>
        <w:tc>
          <w:tcPr>
            <w:tcW w:type="dxa" w:w="4819"/>
          </w:tcPr>
          <w:p>
            <w:pPr>
              <w:spacing w:after="20" w:before="20" w:line="240" w:lineRule="auto"/>
            </w:pPr>
            <w:r/>
            <w:r>
              <w:rPr>
                <w:rFonts w:ascii="Arial" w:hAnsi="Arial" w:cs="Arial"/>
                <w:b w:val="0"/>
                <w:i w:val="0"/>
                <w:sz w:val="17"/>
              </w:rPr>
              <w:t>Phase 2 — quote, packing, logistics</w:t>
            </w:r>
          </w:p>
        </w:tc>
        <w:tc>
          <w:tcPr>
            <w:tcW w:type="dxa" w:w="4819"/>
          </w:tcPr>
          <w:p>
            <w:pPr>
              <w:spacing w:after="20" w:before="20" w:line="240" w:lineRule="auto"/>
            </w:pPr>
            <w:r/>
            <w:r>
              <w:rPr>
                <w:rFonts w:ascii="Arial" w:hAnsi="Arial" w:cs="Arial"/>
                <w:b w:val="0"/>
                <w:i w:val="0"/>
                <w:sz w:val="17"/>
              </w:rPr>
              <w:t>~15</w:t>
            </w:r>
          </w:p>
        </w:tc>
      </w:tr>
      <w:tr>
        <w:tc>
          <w:tcPr>
            <w:tcW w:type="dxa" w:w="4819"/>
          </w:tcPr>
          <w:p>
            <w:pPr>
              <w:spacing w:after="20" w:before="20" w:line="240" w:lineRule="auto"/>
            </w:pPr>
            <w:r/>
            <w:r>
              <w:rPr>
                <w:rFonts w:ascii="Arial" w:hAnsi="Arial" w:cs="Arial"/>
                <w:b w:val="0"/>
                <w:i w:val="0"/>
                <w:sz w:val="17"/>
              </w:rPr>
              <w:t>Phase 3 — contracting &amp; fee</w:t>
            </w:r>
          </w:p>
        </w:tc>
        <w:tc>
          <w:tcPr>
            <w:tcW w:type="dxa" w:w="4819"/>
          </w:tcPr>
          <w:p>
            <w:pPr>
              <w:spacing w:after="20" w:before="20" w:line="240" w:lineRule="auto"/>
            </w:pPr>
            <w:r/>
            <w:r>
              <w:rPr>
                <w:rFonts w:ascii="Arial" w:hAnsi="Arial" w:cs="Arial"/>
                <w:b w:val="0"/>
                <w:i w:val="0"/>
                <w:sz w:val="17"/>
              </w:rPr>
              <w:t>11 (across parties)</w:t>
            </w:r>
          </w:p>
        </w:tc>
      </w:tr>
      <w:tr>
        <w:tc>
          <w:tcPr>
            <w:tcW w:type="dxa" w:w="4819"/>
          </w:tcPr>
          <w:p>
            <w:pPr>
              <w:spacing w:after="20" w:before="20" w:line="240" w:lineRule="auto"/>
            </w:pPr>
            <w:r/>
            <w:r>
              <w:rPr>
                <w:rFonts w:ascii="Arial" w:hAnsi="Arial" w:cs="Arial"/>
                <w:b w:val="0"/>
                <w:i w:val="0"/>
                <w:sz w:val="17"/>
              </w:rPr>
              <w:t>Phase 5 — physical execution</w:t>
            </w:r>
          </w:p>
        </w:tc>
        <w:tc>
          <w:tcPr>
            <w:tcW w:type="dxa" w:w="4819"/>
          </w:tcPr>
          <w:p>
            <w:pPr>
              <w:spacing w:after="20" w:before="20" w:line="240" w:lineRule="auto"/>
            </w:pPr>
            <w:r/>
            <w:r>
              <w:rPr>
                <w:rFonts w:ascii="Arial" w:hAnsi="Arial" w:cs="Arial"/>
                <w:b w:val="0"/>
                <w:i w:val="0"/>
                <w:sz w:val="17"/>
              </w:rPr>
              <w:t>6</w:t>
            </w:r>
          </w:p>
        </w:tc>
      </w:tr>
      <w:tr>
        <w:tc>
          <w:tcPr>
            <w:tcW w:type="dxa" w:w="4819"/>
          </w:tcPr>
          <w:p>
            <w:pPr>
              <w:spacing w:after="20" w:before="20" w:line="240" w:lineRule="auto"/>
            </w:pPr>
            <w:r/>
            <w:r>
              <w:rPr>
                <w:rFonts w:ascii="Arial" w:hAnsi="Arial" w:cs="Arial"/>
                <w:b w:val="0"/>
                <w:i w:val="0"/>
                <w:sz w:val="17"/>
              </w:rPr>
              <w:t>Phase 6 — settlement</w:t>
            </w:r>
          </w:p>
        </w:tc>
        <w:tc>
          <w:tcPr>
            <w:tcW w:type="dxa" w:w="4819"/>
          </w:tcPr>
          <w:p>
            <w:pPr>
              <w:spacing w:after="20" w:before="20" w:line="240" w:lineRule="auto"/>
            </w:pPr>
            <w:r/>
            <w:r>
              <w:rPr>
                <w:rFonts w:ascii="Arial" w:hAnsi="Arial" w:cs="Arial"/>
                <w:b w:val="0"/>
                <w:i w:val="0"/>
                <w:sz w:val="17"/>
              </w:rPr>
              <w:t>1 (voice = 0 for buyer)</w:t>
            </w:r>
          </w:p>
        </w:tc>
      </w:tr>
      <w:tr>
        <w:tc>
          <w:tcPr>
            <w:tcW w:type="dxa" w:w="4819"/>
          </w:tcPr>
          <w:p>
            <w:pPr>
              <w:spacing w:after="20" w:before="20" w:line="240" w:lineRule="auto"/>
            </w:pPr>
            <w:r/>
            <w:r>
              <w:rPr>
                <w:rFonts w:ascii="Arial" w:hAnsi="Arial" w:cs="Arial"/>
                <w:b w:val="0"/>
                <w:i w:val="0"/>
                <w:sz w:val="17"/>
              </w:rPr>
              <w:t>Phase 8 — dispute (hypothetical)</w:t>
            </w:r>
          </w:p>
        </w:tc>
        <w:tc>
          <w:tcPr>
            <w:tcW w:type="dxa" w:w="4819"/>
          </w:tcPr>
          <w:p>
            <w:pPr>
              <w:spacing w:after="20" w:before="20" w:line="240" w:lineRule="auto"/>
            </w:pPr>
            <w:r/>
            <w:r>
              <w:rPr>
                <w:rFonts w:ascii="Arial" w:hAnsi="Arial" w:cs="Arial"/>
                <w:b w:val="0"/>
                <w:i w:val="0"/>
                <w:sz w:val="17"/>
              </w:rPr>
              <w:t>5</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Per actor (healthy trade): buyer ≈ 13 clicks, seller ≈ 16 clicks, SHIP 3, QC 1, warehouse 1 (batch), plus provider onboarding counts. Counts exclude data entry; voice commands count as zero clicks; all counts count irreversible actions only.</w:t>
      </w:r>
    </w:p>
    <w:p>
      <w:pPr>
        <w:keepNext/>
        <w:spacing w:before="140" w:after="60"/>
        <w:outlineLvl w:val="3"/>
      </w:pPr>
      <w:r>
        <w:rPr>
          <w:rFonts w:ascii="Arial" w:hAnsi="Arial" w:cs="Arial"/>
          <w:b/>
          <w:i/>
          <w:color w:val="333333"/>
          <w:sz w:val="22"/>
        </w:rPr>
        <w:t>23.4.2.13 Lessons Learned &amp; Best Practices</w:t>
      </w:r>
    </w:p>
    <w:p>
      <w:pPr>
        <w:spacing w:after="80" w:line="293" w:lineRule="auto"/>
        <w:ind w:left="283"/>
        <w:jc w:val="left"/>
      </w:pPr>
      <w:r>
        <w:rPr>
          <w:rFonts w:ascii="Times New Roman" w:hAnsi="Times New Roman" w:cs="Times New Roman"/>
          <w:b w:val="0"/>
          <w:i w:val="0"/>
          <w:sz w:val="22"/>
        </w:rPr>
        <w:t>- Lock the packing plan (with non-uniform layers validated) before requesting logistics quotes —</w:t>
      </w:r>
    </w:p>
    <w:p>
      <w:pPr>
        <w:spacing w:after="80" w:line="293" w:lineRule="auto"/>
        <w:jc w:val="left"/>
      </w:pPr>
      <w:r>
        <w:rPr>
          <w:rFonts w:ascii="Times New Roman" w:hAnsi="Times New Roman" w:cs="Times New Roman"/>
          <w:b w:val="0"/>
          <w:i w:val="0"/>
          <w:sz w:val="22"/>
        </w:rPr>
        <w:t>the quote's weight and volume data then derive from the locked plan.</w:t>
      </w:r>
    </w:p>
    <w:p>
      <w:pPr>
        <w:spacing w:after="80" w:line="293" w:lineRule="auto"/>
        <w:ind w:left="283"/>
        <w:jc w:val="left"/>
      </w:pPr>
      <w:r>
        <w:rPr>
          <w:rFonts w:ascii="Times New Roman" w:hAnsi="Times New Roman" w:cs="Times New Roman"/>
          <w:b w:val="0"/>
          <w:i w:val="0"/>
          <w:sz w:val="22"/>
        </w:rPr>
        <w:t>- Use the AI loading guide at the warehouse: the mixed-layer pallets (OR012–OR022) loaded without</w:t>
      </w:r>
    </w:p>
    <w:p>
      <w:pPr>
        <w:spacing w:after="80" w:line="293" w:lineRule="auto"/>
        <w:jc w:val="left"/>
      </w:pPr>
      <w:r>
        <w:rPr>
          <w:rFonts w:ascii="Times New Roman" w:hAnsi="Times New Roman" w:cs="Times New Roman"/>
          <w:b w:val="0"/>
          <w:i w:val="0"/>
          <w:sz w:val="22"/>
        </w:rPr>
        <w:t>error because the guide called them out explicitly.</w:t>
      </w:r>
    </w:p>
    <w:p>
      <w:pPr>
        <w:spacing w:after="80" w:line="293" w:lineRule="auto"/>
        <w:ind w:left="283"/>
        <w:jc w:val="left"/>
      </w:pPr>
      <w:r>
        <w:rPr>
          <w:rFonts w:ascii="Times New Roman" w:hAnsi="Times New Roman" w:cs="Times New Roman"/>
          <w:b w:val="0"/>
          <w:i w:val="0"/>
          <w:sz w:val="22"/>
        </w:rPr>
        <w:t>- Batch scan mode plus voice for the last pallet kept the warehouse phase at a single click.</w:t>
      </w:r>
    </w:p>
    <w:p>
      <w:pPr>
        <w:spacing w:after="80" w:line="293" w:lineRule="auto"/>
        <w:ind w:left="283"/>
        <w:jc w:val="left"/>
      </w:pPr>
      <w:r>
        <w:rPr>
          <w:rFonts w:ascii="Times New Roman" w:hAnsi="Times New Roman" w:cs="Times New Roman"/>
          <w:b w:val="0"/>
          <w:i w:val="0"/>
          <w:sz w:val="22"/>
        </w:rPr>
        <w:t>- Voice milestone confirmation ("Depart MSC FIONA for USTN SGTX-EG-001") removes click friction for</w:t>
      </w:r>
    </w:p>
    <w:p>
      <w:pPr>
        <w:spacing w:after="80" w:line="293" w:lineRule="auto"/>
        <w:jc w:val="left"/>
      </w:pPr>
      <w:r>
        <w:rPr>
          <w:rFonts w:ascii="Times New Roman" w:hAnsi="Times New Roman" w:cs="Times New Roman"/>
          <w:b w:val="0"/>
          <w:i w:val="0"/>
          <w:sz w:val="22"/>
        </w:rPr>
        <w:t>carrier operators.</w:t>
      </w:r>
    </w:p>
    <w:p>
      <w:pPr>
        <w:spacing w:after="80" w:line="293" w:lineRule="auto"/>
        <w:ind w:left="283"/>
        <w:jc w:val="left"/>
      </w:pPr>
      <w:r>
        <w:rPr>
          <w:rFonts w:ascii="Times New Roman" w:hAnsi="Times New Roman" w:cs="Times New Roman"/>
          <w:b w:val="0"/>
          <w:i w:val="0"/>
          <w:sz w:val="22"/>
        </w:rPr>
        <w:t>- The evidence trail (sensor logs + scans + Loom hashes) is assembled during the healthy phases —</w:t>
      </w:r>
    </w:p>
    <w:p>
      <w:pPr>
        <w:spacing w:after="80" w:line="293" w:lineRule="auto"/>
        <w:jc w:val="left"/>
      </w:pPr>
      <w:r>
        <w:rPr>
          <w:rFonts w:ascii="Times New Roman" w:hAnsi="Times New Roman" w:cs="Times New Roman"/>
          <w:b w:val="0"/>
          <w:i w:val="0"/>
          <w:sz w:val="22"/>
        </w:rPr>
        <w:t>dispute resolution (if needed) starts from a complete package, not from evidence hunting.</w:t>
      </w:r>
    </w:p>
    <w:p>
      <w:pPr>
        <w:keepNext/>
        <w:spacing w:before="180" w:after="80"/>
        <w:outlineLvl w:val="2"/>
      </w:pPr>
      <w:r>
        <w:rPr>
          <w:rFonts w:ascii="Arial" w:hAnsi="Arial" w:cs="Arial"/>
          <w:b/>
          <w:i w:val="0"/>
          <w:color w:val="333333"/>
          <w:sz w:val="23"/>
        </w:rPr>
        <w:t>23.4.3 Example 2: Distressed Cargo Accelerated Outreach</w:t>
      </w:r>
    </w:p>
    <w:p>
      <w:pPr>
        <w:keepNext/>
        <w:spacing w:before="140" w:after="60"/>
        <w:outlineLvl w:val="3"/>
      </w:pPr>
      <w:r>
        <w:rPr>
          <w:rFonts w:ascii="Arial" w:hAnsi="Arial" w:cs="Arial"/>
          <w:b/>
          <w:i/>
          <w:color w:val="333333"/>
          <w:sz w:val="22"/>
        </w:rPr>
        <w:t>23.4.3.1 Overview &amp; Learning Objectives</w:t>
      </w:r>
    </w:p>
    <w:p>
      <w:pPr>
        <w:spacing w:after="80" w:line="293" w:lineRule="auto"/>
        <w:jc w:val="left"/>
      </w:pPr>
      <w:r>
        <w:rPr>
          <w:rFonts w:ascii="Times New Roman" w:hAnsi="Times New Roman" w:cs="Times New Roman"/>
          <w:b w:val="0"/>
          <w:i w:val="0"/>
          <w:sz w:val="22"/>
        </w:rPr>
        <w:t>This example follows a seller managing distressed cargo — lemons that suffered a temperature excursion during transit, resulting in reduced shelf life and damage. The seller uses the distressed cargo workflow to assess the damage, price the lot, identify potential buyers, and execute an accelerated sale.</w:t>
      </w:r>
    </w:p>
    <w:p>
      <w:pPr>
        <w:spacing w:after="80" w:line="293" w:lineRule="auto"/>
        <w:jc w:val="left"/>
      </w:pPr>
      <w:r>
        <w:rPr>
          <w:rFonts w:ascii="Times New Roman" w:hAnsi="Times New Roman" w:cs="Times New Roman"/>
          <w:b w:val="0"/>
          <w:i w:val="0"/>
          <w:sz w:val="22"/>
        </w:rPr>
        <w:t>Learning objectives: how AI condition assessment and dynamic pricing set the quick-sale price; how the triage dashboard routes between selling, compliance, and insurance; how the non-marketplace "Check Buyers" advisory works; and how the accelerated outreach, microcontract, and distressed fee flow completes in hours rather than days.</w:t>
      </w:r>
    </w:p>
    <w:p>
      <w:pPr>
        <w:spacing w:after="80" w:line="293" w:lineRule="auto"/>
        <w:jc w:val="left"/>
      </w:pPr>
      <w:r>
        <w:rPr>
          <w:rFonts w:ascii="Times New Roman" w:hAnsi="Times New Roman" w:cs="Times New Roman"/>
          <w:b w:val="0"/>
          <w:i w:val="0"/>
          <w:sz w:val="22"/>
        </w:rPr>
        <w:t>Key themes: time-boxed outreach with hidden floor price; privacy notice before any notification; express negotiation; microcontract with country-factored distressed fee.</w:t>
      </w:r>
    </w:p>
    <w:p>
      <w:pPr>
        <w:keepNext/>
        <w:spacing w:before="140" w:after="60"/>
        <w:outlineLvl w:val="3"/>
      </w:pPr>
      <w:r>
        <w:rPr>
          <w:rFonts w:ascii="Arial" w:hAnsi="Arial" w:cs="Arial"/>
          <w:b/>
          <w:i/>
          <w:color w:val="333333"/>
          <w:sz w:val="22"/>
        </w:rPr>
        <w:t>23.4.3.2 Scenario Description</w:t>
      </w:r>
    </w:p>
    <w:p>
      <w:pPr>
        <w:spacing w:after="80" w:line="293" w:lineRule="auto"/>
        <w:jc w:val="left"/>
      </w:pPr>
      <w:r>
        <w:rPr>
          <w:rFonts w:ascii="Times New Roman" w:hAnsi="Times New Roman" w:cs="Times New Roman"/>
          <w:b w:val="0"/>
          <w:i w:val="0"/>
          <w:sz w:val="22"/>
        </w:rPr>
        <w:t>Parties involved: seller (Mekong Fresh Co.), buyers from the seller's saved contacts (Juice Factory Ltd., Cairo Processors, Alexandria Trading).</w:t>
      </w:r>
    </w:p>
    <w:p>
      <w:pPr>
        <w:spacing w:after="80" w:line="293" w:lineRule="auto"/>
        <w:jc w:val="left"/>
      </w:pPr>
      <w:r>
        <w:rPr>
          <w:rFonts w:ascii="Times New Roman" w:hAnsi="Times New Roman" w:cs="Times New Roman"/>
          <w:b w:val="0"/>
          <w:i w:val="0"/>
          <w:sz w:val="22"/>
        </w:rPr>
        <w:t>Distressed cargo details: Eureka lemons, 1,344 kg (3 pallets, LEM003–LEM005 affected within USTN SGTX-1397F3A-456ABC-...); mould on 12% of cartons due to a temperature excursion during transit (reefer set point 4°C, log shows 8°C for 6 hours); shelf life reduced from 30 days to 5 days; original contract price $2.10/kg.</w:t>
      </w:r>
    </w:p>
    <w:p>
      <w:pPr>
        <w:spacing w:after="80" w:line="293" w:lineRule="auto"/>
        <w:jc w:val="left"/>
      </w:pPr>
      <w:r>
        <w:rPr>
          <w:rFonts w:ascii="Times New Roman" w:hAnsi="Times New Roman" w:cs="Times New Roman"/>
          <w:b w:val="0"/>
          <w:i w:val="0"/>
          <w:sz w:val="22"/>
        </w:rPr>
        <w:t>AI assessment output: condition score 35/100; defect tags mould_detected 92% confidence, crushed cartons 78%, discolour 85%; quick-sale recommendation.</w:t>
      </w:r>
    </w:p>
    <w:p>
      <w:pPr>
        <w:spacing w:after="80" w:line="293" w:lineRule="auto"/>
        <w:jc w:val="left"/>
      </w:pPr>
      <w:r>
        <w:rPr>
          <w:rFonts w:ascii="Times New Roman" w:hAnsi="Times New Roman" w:cs="Times New Roman"/>
          <w:b w:val="0"/>
          <w:i w:val="0"/>
          <w:sz w:val="22"/>
        </w:rPr>
        <w:t>Add-ons used: causal inference — root cause analysis for the distress.</w:t>
      </w:r>
    </w:p>
    <w:p>
      <w:pPr>
        <w:keepNext/>
        <w:spacing w:before="140" w:after="60"/>
        <w:outlineLvl w:val="3"/>
      </w:pPr>
      <w:r>
        <w:rPr>
          <w:rFonts w:ascii="Arial" w:hAnsi="Arial" w:cs="Arial"/>
          <w:b/>
          <w:i/>
          <w:color w:val="333333"/>
          <w:sz w:val="22"/>
        </w:rPr>
        <w:t>23.4.3.3 Phase 7 — Distressed Cargo Declaration &amp; Assessment</w:t>
      </w:r>
    </w:p>
    <w:p>
      <w:pPr>
        <w:spacing w:after="80" w:line="293" w:lineRule="auto"/>
        <w:jc w:val="left"/>
      </w:pPr>
      <w:r>
        <w:rPr>
          <w:rFonts w:ascii="Times New Roman" w:hAnsi="Times New Roman" w:cs="Times New Roman"/>
          <w:b w:val="0"/>
          <w:i w:val="0"/>
          <w:sz w:val="22"/>
        </w:rPr>
        <w:t>Goal: the seller declares the distressed cargo, receives AI condition assessment and dynamic pricing, and prepares for triage. Duration: day 1 (30 minutes). One-click guarantee: declaration is one click; AI assessment and pricing are automatic.</w:t>
      </w:r>
    </w:p>
    <w:p>
      <w:pPr>
        <w:spacing w:after="80" w:line="293" w:lineRule="auto"/>
        <w:jc w:val="left"/>
      </w:pPr>
      <w:r>
        <w:rPr>
          <w:rFonts w:ascii="Times New Roman" w:hAnsi="Times New Roman" w:cs="Times New Roman"/>
          <w:b w:val="0"/>
          <w:i w:val="0"/>
          <w:sz w:val="22"/>
        </w:rPr>
        <w:t>AI assistance: A1 (Groq) — plain-language explanations; A2 (HF local) — condition assessment (HF ViT), pricing (XGBoost); A4 (OPA + WasmEdge) — declaration validation. Add-ons used: causal inference — root cause analysis for the distress.</w:t>
      </w:r>
    </w:p>
    <w:p>
      <w:pPr>
        <w:spacing w:after="80" w:line="293" w:lineRule="auto"/>
        <w:jc w:val="left"/>
      </w:pPr>
      <w:r>
        <w:rPr>
          <w:rFonts w:ascii="Times New Roman" w:hAnsi="Times New Roman" w:cs="Times New Roman"/>
          <w:b w:val="0"/>
          <w:i w:val="0"/>
          <w:sz w:val="22"/>
        </w:rPr>
        <w:t>Step-by-step declaration &amp; assessment: open the Distressed Cargo tab; select affected pallets; describe the condition and upload photos; submit the declaration (1); the AI condition assessment runs automatically; the seller accepts the assessment (1) or overrides with reason; dynamic pricing is generated; the seller accepts the price (1).</w:t>
      </w:r>
    </w:p>
    <w:p>
      <w:pPr>
        <w:spacing w:after="80" w:line="293" w:lineRule="auto"/>
        <w:jc w:val="left"/>
      </w:pPr>
      <w:r>
        <w:rPr>
          <w:rFonts w:ascii="Times New Roman" w:hAnsi="Times New Roman" w:cs="Times New Roman"/>
          <w:b w:val="0"/>
          <w:i w:val="0"/>
          <w:sz w:val="22"/>
        </w:rPr>
        <w:t>Phase 7.1 one-click count: seller 3 clicks.</w:t>
      </w:r>
    </w:p>
    <w:p>
      <w:pPr>
        <w:spacing w:after="80" w:line="293" w:lineRule="auto"/>
        <w:jc w:val="left"/>
      </w:pPr>
      <w:r>
        <w:rPr>
          <w:rFonts w:ascii="Times New Roman" w:hAnsi="Times New Roman" w:cs="Times New Roman"/>
          <w:b w:val="0"/>
          <w:i w:val="0"/>
          <w:sz w:val="22"/>
        </w:rPr>
        <w:t>Distressed cargo declaration form:</w:t>
      </w:r>
    </w:p>
    <w:p>
      <w:pPr>
        <w:spacing w:after="0" w:before="0" w:line="240" w:lineRule="auto"/>
        <w:ind w:left="57"/>
        <w:jc w:val="left"/>
        <w:shd w:val="clear" w:fill="F2F2F2"/>
      </w:pPr>
      <w:r>
        <w:rPr>
          <w:rFonts w:ascii="Consolas" w:hAnsi="Consolas" w:cs="Consolas"/>
          <w:b w:val="0"/>
          <w:i w:val="0"/>
          <w:sz w:val="15"/>
        </w:rPr>
        <w:t>DECLARE DISTRESSED CARGO</w:t>
      </w:r>
    </w:p>
    <w:p>
      <w:pPr>
        <w:spacing w:after="0" w:before="0" w:line="240" w:lineRule="auto"/>
        <w:ind w:left="57"/>
        <w:jc w:val="left"/>
        <w:shd w:val="clear" w:fill="F2F2F2"/>
      </w:pPr>
      <w:r>
        <w:rPr>
          <w:rFonts w:ascii="Consolas" w:hAnsi="Consolas" w:cs="Consolas"/>
          <w:b w:val="0"/>
          <w:i w:val="0"/>
          <w:sz w:val="15"/>
        </w:rPr>
        <w:t>USTN: SGTX-EG-26-F3A-1</w:t>
      </w:r>
    </w:p>
    <w:p>
      <w:pPr>
        <w:spacing w:after="0" w:before="0" w:line="240" w:lineRule="auto"/>
        <w:ind w:left="57"/>
        <w:jc w:val="left"/>
        <w:shd w:val="clear" w:fill="F2F2F2"/>
      </w:pPr>
      <w:r>
        <w:rPr>
          <w:rFonts w:ascii="Consolas" w:hAnsi="Consolas" w:cs="Consolas"/>
          <w:b w:val="0"/>
          <w:i w:val="0"/>
          <w:sz w:val="15"/>
        </w:rPr>
        <w:t>Affected Pallets: LEM003 LEM004 LEM005</w:t>
      </w:r>
    </w:p>
    <w:p>
      <w:pPr>
        <w:spacing w:after="0" w:before="0" w:line="240" w:lineRule="auto"/>
        <w:ind w:left="57"/>
        <w:jc w:val="left"/>
        <w:shd w:val="clear" w:fill="F2F2F2"/>
      </w:pPr>
      <w:r>
        <w:rPr>
          <w:rFonts w:ascii="Consolas" w:hAnsi="Consolas" w:cs="Consolas"/>
          <w:b w:val="0"/>
          <w:i w:val="0"/>
          <w:sz w:val="15"/>
        </w:rPr>
        <w:t>All 3 pallets of lemons are affected.</w:t>
      </w:r>
    </w:p>
    <w:p>
      <w:pPr>
        <w:spacing w:after="0" w:before="0" w:line="240" w:lineRule="auto"/>
        <w:ind w:left="57"/>
        <w:jc w:val="left"/>
        <w:shd w:val="clear" w:fill="F2F2F2"/>
      </w:pPr>
      <w:r>
        <w:rPr>
          <w:rFonts w:ascii="Consolas" w:hAnsi="Consolas" w:cs="Consolas"/>
          <w:b w:val="0"/>
          <w:i w:val="0"/>
          <w:sz w:val="15"/>
        </w:rPr>
        <w:t>Distress Reason:</w:t>
      </w:r>
    </w:p>
    <w:p>
      <w:pPr>
        <w:spacing w:after="0" w:before="0" w:line="240" w:lineRule="auto"/>
        <w:ind w:left="57"/>
        <w:jc w:val="left"/>
        <w:shd w:val="clear" w:fill="F2F2F2"/>
      </w:pPr>
      <w:r>
        <w:rPr>
          <w:rFonts w:ascii="Consolas" w:hAnsi="Consolas" w:cs="Consolas"/>
          <w:b w:val="0"/>
          <w:i w:val="0"/>
          <w:sz w:val="15"/>
        </w:rPr>
        <w:t xml:space="preserve">  [✓ Quality deterioration] [ ] Damage [ ] Shelf life expired</w:t>
      </w:r>
    </w:p>
    <w:p>
      <w:pPr>
        <w:spacing w:after="0" w:before="0" w:line="240" w:lineRule="auto"/>
        <w:ind w:left="57"/>
        <w:jc w:val="left"/>
        <w:shd w:val="clear" w:fill="F2F2F2"/>
      </w:pPr>
      <w:r>
        <w:rPr>
          <w:rFonts w:ascii="Consolas" w:hAnsi="Consolas" w:cs="Consolas"/>
          <w:b w:val="0"/>
          <w:i w:val="0"/>
          <w:sz w:val="15"/>
        </w:rPr>
        <w:t xml:space="preserve">  [ ] Abandonment           [ ] Demurrage [ ] Other</w:t>
      </w:r>
    </w:p>
    <w:p>
      <w:pPr>
        <w:spacing w:after="0" w:before="0" w:line="240" w:lineRule="auto"/>
        <w:ind w:left="57"/>
        <w:jc w:val="left"/>
        <w:shd w:val="clear" w:fill="F2F2F2"/>
      </w:pPr>
      <w:r>
        <w:rPr>
          <w:rFonts w:ascii="Consolas" w:hAnsi="Consolas" w:cs="Consolas"/>
          <w:b w:val="0"/>
          <w:i w:val="0"/>
          <w:sz w:val="15"/>
        </w:rPr>
        <w:t>Description: Mould on 12% of cartons due to temperature excursion during</w:t>
      </w:r>
    </w:p>
    <w:p>
      <w:pPr>
        <w:spacing w:after="0" w:before="0" w:line="240" w:lineRule="auto"/>
        <w:ind w:left="57"/>
        <w:jc w:val="left"/>
        <w:shd w:val="clear" w:fill="F2F2F2"/>
      </w:pPr>
      <w:r>
        <w:rPr>
          <w:rFonts w:ascii="Consolas" w:hAnsi="Consolas" w:cs="Consolas"/>
          <w:b w:val="0"/>
          <w:i w:val="0"/>
          <w:sz w:val="15"/>
        </w:rPr>
        <w:t>transit. Reefer set point was 4°C, but log shows 8°C for 6 hours.</w:t>
      </w:r>
    </w:p>
    <w:p>
      <w:pPr>
        <w:spacing w:after="0" w:before="0" w:line="240" w:lineRule="auto"/>
        <w:ind w:left="57"/>
        <w:jc w:val="left"/>
        <w:shd w:val="clear" w:fill="F2F2F2"/>
      </w:pPr>
      <w:r>
        <w:rPr>
          <w:rFonts w:ascii="Consolas" w:hAnsi="Consolas" w:cs="Consolas"/>
          <w:b w:val="0"/>
          <w:i w:val="0"/>
          <w:sz w:val="15"/>
        </w:rPr>
        <w:t>Photos attached.</w:t>
      </w:r>
    </w:p>
    <w:p>
      <w:pPr>
        <w:spacing w:after="0" w:before="0" w:line="240" w:lineRule="auto"/>
        <w:ind w:left="57"/>
        <w:jc w:val="left"/>
        <w:shd w:val="clear" w:fill="F2F2F2"/>
      </w:pPr>
      <w:r>
        <w:rPr>
          <w:rFonts w:ascii="Consolas" w:hAnsi="Consolas" w:cs="Consolas"/>
          <w:b w:val="0"/>
          <w:i w:val="0"/>
          <w:sz w:val="15"/>
        </w:rPr>
        <w:t>Attachments: Photo_LEM003.jpg (uploaded) Photo_LEM004.jpg (uploaded)</w:t>
      </w:r>
    </w:p>
    <w:p>
      <w:pPr>
        <w:spacing w:after="0" w:before="0" w:line="240" w:lineRule="auto"/>
        <w:ind w:left="57"/>
        <w:jc w:val="left"/>
        <w:shd w:val="clear" w:fill="F2F2F2"/>
      </w:pPr>
      <w:r>
        <w:rPr>
          <w:rFonts w:ascii="Consolas" w:hAnsi="Consolas" w:cs="Consolas"/>
          <w:b w:val="0"/>
          <w:i w:val="0"/>
          <w:sz w:val="15"/>
        </w:rPr>
        <w:t xml:space="preserve">             Photo_LEM005.jpg (uploaded) [+ Add More Photos]</w:t>
      </w:r>
    </w:p>
    <w:p>
      <w:pPr>
        <w:spacing w:after="0" w:before="0" w:line="240" w:lineRule="auto"/>
        <w:ind w:left="57"/>
        <w:jc w:val="left"/>
        <w:shd w:val="clear" w:fill="F2F2F2"/>
      </w:pPr>
      <w:r>
        <w:rPr>
          <w:rFonts w:ascii="Consolas" w:hAnsi="Consolas" w:cs="Consolas"/>
          <w:b w:val="0"/>
          <w:i w:val="0"/>
          <w:sz w:val="15"/>
        </w:rPr>
        <w:t>[Submit Declaration] [Cancel]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AI condition assessment output:</w:t>
      </w:r>
    </w:p>
    <w:p>
      <w:pPr>
        <w:spacing w:after="0" w:before="0" w:line="240" w:lineRule="auto"/>
        <w:ind w:left="57"/>
        <w:jc w:val="left"/>
        <w:shd w:val="clear" w:fill="F2F2F2"/>
      </w:pPr>
      <w:r>
        <w:rPr>
          <w:rFonts w:ascii="Consolas" w:hAnsi="Consolas" w:cs="Consolas"/>
          <w:b w:val="0"/>
          <w:i w:val="0"/>
          <w:sz w:val="15"/>
        </w:rPr>
        <w:t>AI CONDITION ASSESSMENT — USTN SGTX-1397F3A-456ABC-...</w:t>
      </w:r>
    </w:p>
    <w:p>
      <w:pPr>
        <w:spacing w:after="0" w:before="0" w:line="240" w:lineRule="auto"/>
        <w:ind w:left="57"/>
        <w:jc w:val="left"/>
        <w:shd w:val="clear" w:fill="F2F2F2"/>
      </w:pPr>
      <w:r>
        <w:rPr>
          <w:rFonts w:ascii="Consolas" w:hAnsi="Consolas" w:cs="Consolas"/>
          <w:b w:val="0"/>
          <w:i w:val="0"/>
          <w:sz w:val="15"/>
        </w:rPr>
        <w:t>Pallet: LEM003 (Eureka Lemons, 48 cartons, 8 kg/carton)</w:t>
      </w:r>
    </w:p>
    <w:p>
      <w:pPr>
        <w:spacing w:after="0" w:before="0" w:line="240" w:lineRule="auto"/>
        <w:ind w:left="57"/>
        <w:jc w:val="left"/>
        <w:shd w:val="clear" w:fill="F2F2F2"/>
      </w:pPr>
      <w:r>
        <w:rPr>
          <w:rFonts w:ascii="Consolas" w:hAnsi="Consolas" w:cs="Consolas"/>
          <w:b w:val="0"/>
          <w:i w:val="0"/>
          <w:sz w:val="15"/>
        </w:rPr>
        <w:t>Condition Score: 35/100</w:t>
      </w:r>
    </w:p>
    <w:p>
      <w:pPr>
        <w:spacing w:after="0" w:before="0" w:line="240" w:lineRule="auto"/>
        <w:ind w:left="57"/>
        <w:jc w:val="left"/>
        <w:shd w:val="clear" w:fill="F2F2F2"/>
      </w:pPr>
      <w:r>
        <w:rPr>
          <w:rFonts w:ascii="Consolas" w:hAnsi="Consolas" w:cs="Consolas"/>
          <w:b w:val="0"/>
          <w:i w:val="0"/>
          <w:sz w:val="15"/>
        </w:rPr>
        <w:t>Defects Detected:</w:t>
      </w:r>
    </w:p>
    <w:p>
      <w:pPr>
        <w:spacing w:after="0" w:before="0" w:line="240" w:lineRule="auto"/>
        <w:ind w:left="57"/>
        <w:jc w:val="left"/>
        <w:shd w:val="clear" w:fill="F2F2F2"/>
      </w:pPr>
      <w:r>
        <w:rPr>
          <w:rFonts w:ascii="Consolas" w:hAnsi="Consolas" w:cs="Consolas"/>
          <w:b w:val="0"/>
          <w:i w:val="0"/>
          <w:sz w:val="15"/>
        </w:rPr>
        <w:t>Defect Type   Severity  Affected  Confidence  Photos</w:t>
      </w:r>
    </w:p>
    <w:p>
      <w:pPr>
        <w:spacing w:after="0" w:before="0" w:line="240" w:lineRule="auto"/>
        <w:ind w:left="57"/>
        <w:jc w:val="left"/>
        <w:shd w:val="clear" w:fill="F2F2F2"/>
      </w:pPr>
      <w:r>
        <w:rPr>
          <w:rFonts w:ascii="Consolas" w:hAnsi="Consolas" w:cs="Consolas"/>
          <w:b w:val="0"/>
          <w:i w:val="0"/>
          <w:sz w:val="15"/>
        </w:rPr>
        <w:t>Mould         High      12%       92%         img_123.jpg</w:t>
      </w:r>
    </w:p>
    <w:p>
      <w:pPr>
        <w:spacing w:after="0" w:before="0" w:line="240" w:lineRule="auto"/>
        <w:ind w:left="57"/>
        <w:jc w:val="left"/>
        <w:shd w:val="clear" w:fill="F2F2F2"/>
      </w:pPr>
      <w:r>
        <w:rPr>
          <w:rFonts w:ascii="Consolas" w:hAnsi="Consolas" w:cs="Consolas"/>
          <w:b w:val="0"/>
          <w:i w:val="0"/>
          <w:sz w:val="15"/>
        </w:rPr>
        <w:t>Crushed       Low       2%        78%         img_124.jpg</w:t>
      </w:r>
    </w:p>
    <w:p>
      <w:pPr>
        <w:spacing w:after="0" w:before="0" w:line="240" w:lineRule="auto"/>
        <w:ind w:left="57"/>
        <w:jc w:val="left"/>
        <w:shd w:val="clear" w:fill="F2F2F2"/>
      </w:pPr>
      <w:r>
        <w:rPr>
          <w:rFonts w:ascii="Consolas" w:hAnsi="Consolas" w:cs="Consolas"/>
          <w:b w:val="0"/>
          <w:i w:val="0"/>
          <w:sz w:val="15"/>
        </w:rPr>
        <w:t>Discolour     Medium    5%        85%         img_125.jpg</w:t>
      </w:r>
    </w:p>
    <w:p>
      <w:pPr>
        <w:spacing w:after="0" w:before="0" w:line="240" w:lineRule="auto"/>
        <w:ind w:left="57"/>
        <w:jc w:val="left"/>
        <w:shd w:val="clear" w:fill="F2F2F2"/>
      </w:pPr>
      <w:r>
        <w:rPr>
          <w:rFonts w:ascii="Consolas" w:hAnsi="Consolas" w:cs="Consolas"/>
          <w:b w:val="0"/>
          <w:i w:val="0"/>
          <w:sz w:val="15"/>
        </w:rPr>
        <w:t>Remaining Shelf Life: 5 days (from 30 days originally)</w:t>
      </w:r>
    </w:p>
    <w:p>
      <w:pPr>
        <w:spacing w:after="0" w:before="0" w:line="240" w:lineRule="auto"/>
        <w:ind w:left="57"/>
        <w:jc w:val="left"/>
        <w:shd w:val="clear" w:fill="F2F2F2"/>
      </w:pPr>
      <w:r>
        <w:rPr>
          <w:rFonts w:ascii="Consolas" w:hAnsi="Consolas" w:cs="Consolas"/>
          <w:b w:val="0"/>
          <w:i w:val="0"/>
          <w:sz w:val="15"/>
        </w:rPr>
        <w:t>Root Cause (Causal Inference):</w:t>
      </w:r>
    </w:p>
    <w:p>
      <w:pPr>
        <w:spacing w:after="0" w:before="0" w:line="240" w:lineRule="auto"/>
        <w:ind w:left="57"/>
        <w:jc w:val="left"/>
        <w:shd w:val="clear" w:fill="F2F2F2"/>
      </w:pPr>
      <w:r>
        <w:rPr>
          <w:rFonts w:ascii="Consolas" w:hAnsi="Consolas" w:cs="Consolas"/>
          <w:b w:val="0"/>
          <w:i w:val="0"/>
          <w:sz w:val="15"/>
        </w:rPr>
        <w:t xml:space="preserve">  • Temperature excursion: 68%</w:t>
      </w:r>
    </w:p>
    <w:p>
      <w:pPr>
        <w:spacing w:after="0" w:before="0" w:line="240" w:lineRule="auto"/>
        <w:ind w:left="57"/>
        <w:jc w:val="left"/>
        <w:shd w:val="clear" w:fill="F2F2F2"/>
      </w:pPr>
      <w:r>
        <w:rPr>
          <w:rFonts w:ascii="Consolas" w:hAnsi="Consolas" w:cs="Consolas"/>
          <w:b w:val="0"/>
          <w:i w:val="0"/>
          <w:sz w:val="15"/>
        </w:rPr>
        <w:t xml:space="preserve">  • Pre-cooling omission: 22%</w:t>
      </w:r>
    </w:p>
    <w:p>
      <w:pPr>
        <w:spacing w:after="0" w:before="0" w:line="240" w:lineRule="auto"/>
        <w:ind w:left="57"/>
        <w:jc w:val="left"/>
        <w:shd w:val="clear" w:fill="F2F2F2"/>
      </w:pPr>
      <w:r>
        <w:rPr>
          <w:rFonts w:ascii="Consolas" w:hAnsi="Consolas" w:cs="Consolas"/>
          <w:b w:val="0"/>
          <w:i w:val="0"/>
          <w:sz w:val="15"/>
        </w:rPr>
        <w:t xml:space="preserve">  • Monitoring delay:     10%</w:t>
      </w:r>
    </w:p>
    <w:p>
      <w:pPr>
        <w:spacing w:after="0" w:before="0" w:line="240" w:lineRule="auto"/>
        <w:ind w:left="57"/>
        <w:jc w:val="left"/>
        <w:shd w:val="clear" w:fill="F2F2F2"/>
      </w:pPr>
      <w:r>
        <w:rPr>
          <w:rFonts w:ascii="Consolas" w:hAnsi="Consolas" w:cs="Consolas"/>
          <w:b w:val="0"/>
          <w:i w:val="0"/>
          <w:sz w:val="15"/>
        </w:rPr>
        <w:t>Groq Summary: "The lemons have suffered significant quality deterioration due</w:t>
      </w:r>
    </w:p>
    <w:p>
      <w:pPr>
        <w:spacing w:after="0" w:before="0" w:line="240" w:lineRule="auto"/>
        <w:ind w:left="57"/>
        <w:jc w:val="left"/>
        <w:shd w:val="clear" w:fill="F2F2F2"/>
      </w:pPr>
      <w:r>
        <w:rPr>
          <w:rFonts w:ascii="Consolas" w:hAnsi="Consolas" w:cs="Consolas"/>
          <w:b w:val="0"/>
          <w:i w:val="0"/>
          <w:sz w:val="15"/>
        </w:rPr>
        <w:t>to a temperature excursion during transit. Mould has developed on 12% of</w:t>
      </w:r>
    </w:p>
    <w:p>
      <w:pPr>
        <w:spacing w:after="0" w:before="0" w:line="240" w:lineRule="auto"/>
        <w:ind w:left="57"/>
        <w:jc w:val="left"/>
        <w:shd w:val="clear" w:fill="F2F2F2"/>
      </w:pPr>
      <w:r>
        <w:rPr>
          <w:rFonts w:ascii="Consolas" w:hAnsi="Consolas" w:cs="Consolas"/>
          <w:b w:val="0"/>
          <w:i w:val="0"/>
          <w:sz w:val="15"/>
        </w:rPr>
        <w:t>cartons, and shelf life has been reduced from 30 to 5 days. Urgent sale is</w:t>
      </w:r>
    </w:p>
    <w:p>
      <w:pPr>
        <w:spacing w:after="0" w:before="0" w:line="240" w:lineRule="auto"/>
        <w:ind w:left="57"/>
        <w:jc w:val="left"/>
        <w:shd w:val="clear" w:fill="F2F2F2"/>
      </w:pPr>
      <w:r>
        <w:rPr>
          <w:rFonts w:ascii="Consolas" w:hAnsi="Consolas" w:cs="Consolas"/>
          <w:b w:val="0"/>
          <w:i w:val="0"/>
          <w:sz w:val="15"/>
        </w:rPr>
        <w:t>recommended."</w:t>
      </w:r>
    </w:p>
    <w:p>
      <w:pPr>
        <w:spacing w:after="0" w:before="0" w:line="240" w:lineRule="auto"/>
        <w:ind w:left="57"/>
        <w:jc w:val="left"/>
        <w:shd w:val="clear" w:fill="F2F2F2"/>
      </w:pPr>
      <w:r>
        <w:rPr>
          <w:rFonts w:ascii="Consolas" w:hAnsi="Consolas" w:cs="Consolas"/>
          <w:b w:val="0"/>
          <w:i w:val="0"/>
          <w:sz w:val="15"/>
        </w:rPr>
        <w:t>[Accept Assessment] [Override — Provide Reason]</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Dynamic pricing output:</w:t>
      </w:r>
    </w:p>
    <w:p>
      <w:pPr>
        <w:spacing w:after="0" w:before="0" w:line="240" w:lineRule="auto"/>
        <w:ind w:left="57"/>
        <w:jc w:val="left"/>
        <w:shd w:val="clear" w:fill="F2F2F2"/>
      </w:pPr>
      <w:r>
        <w:rPr>
          <w:rFonts w:ascii="Consolas" w:hAnsi="Consolas" w:cs="Consolas"/>
          <w:b w:val="0"/>
          <w:i w:val="0"/>
          <w:sz w:val="15"/>
        </w:rPr>
        <w:t>DYNAMIC PRICING — USTN SGTX-1397F3A-456ABC-...</w:t>
      </w:r>
    </w:p>
    <w:p>
      <w:pPr>
        <w:spacing w:after="0" w:before="0" w:line="240" w:lineRule="auto"/>
        <w:ind w:left="57"/>
        <w:jc w:val="left"/>
        <w:shd w:val="clear" w:fill="F2F2F2"/>
      </w:pPr>
      <w:r>
        <w:rPr>
          <w:rFonts w:ascii="Consolas" w:hAnsi="Consolas" w:cs="Consolas"/>
          <w:b w:val="0"/>
          <w:i w:val="0"/>
          <w:sz w:val="15"/>
        </w:rPr>
        <w:t>Original Contract Price: $2.10/kg ($2,822 for 1,344 kg)</w:t>
      </w:r>
    </w:p>
    <w:p>
      <w:pPr>
        <w:spacing w:after="0" w:before="0" w:line="240" w:lineRule="auto"/>
        <w:ind w:left="57"/>
        <w:jc w:val="left"/>
        <w:shd w:val="clear" w:fill="F2F2F2"/>
      </w:pPr>
      <w:r>
        <w:rPr>
          <w:rFonts w:ascii="Consolas" w:hAnsi="Consolas" w:cs="Consolas"/>
          <w:b w:val="0"/>
          <w:i w:val="0"/>
          <w:sz w:val="15"/>
        </w:rPr>
        <w:t>AI-Suggested Price Range: $0.75 – $0.90/kg ($1,008 – $1,210)</w:t>
      </w:r>
    </w:p>
    <w:p>
      <w:pPr>
        <w:spacing w:after="0" w:before="0" w:line="240" w:lineRule="auto"/>
        <w:ind w:left="57"/>
        <w:jc w:val="left"/>
        <w:shd w:val="clear" w:fill="F2F2F2"/>
      </w:pPr>
      <w:r>
        <w:rPr>
          <w:rFonts w:ascii="Consolas" w:hAnsi="Consolas" w:cs="Consolas"/>
          <w:b w:val="0"/>
          <w:i w:val="0"/>
          <w:sz w:val="15"/>
        </w:rPr>
        <w:t>Quick-Sale Price: $0.80/kg ($1,075)</w:t>
      </w:r>
    </w:p>
    <w:p>
      <w:pPr>
        <w:spacing w:after="0" w:before="0" w:line="240" w:lineRule="auto"/>
        <w:ind w:left="57"/>
        <w:jc w:val="left"/>
        <w:shd w:val="clear" w:fill="F2F2F2"/>
      </w:pPr>
      <w:r>
        <w:rPr>
          <w:rFonts w:ascii="Consolas" w:hAnsi="Consolas" w:cs="Consolas"/>
          <w:b w:val="0"/>
          <w:i w:val="0"/>
          <w:sz w:val="15"/>
        </w:rPr>
        <w:t>Predicted Sale Rate: 78% within 48 hours at $0.80/kg</w:t>
      </w:r>
    </w:p>
    <w:p>
      <w:pPr>
        <w:spacing w:after="0" w:before="0" w:line="240" w:lineRule="auto"/>
        <w:ind w:left="57"/>
        <w:jc w:val="left"/>
        <w:shd w:val="clear" w:fill="F2F2F2"/>
      </w:pPr>
      <w:r>
        <w:rPr>
          <w:rFonts w:ascii="Consolas" w:hAnsi="Consolas" w:cs="Consolas"/>
          <w:b w:val="0"/>
          <w:i w:val="0"/>
          <w:sz w:val="15"/>
        </w:rPr>
        <w:t>Factors Considered:</w:t>
      </w:r>
    </w:p>
    <w:p>
      <w:pPr>
        <w:spacing w:after="0" w:before="0" w:line="240" w:lineRule="auto"/>
        <w:ind w:left="57"/>
        <w:jc w:val="left"/>
        <w:shd w:val="clear" w:fill="F2F2F2"/>
      </w:pPr>
      <w:r>
        <w:rPr>
          <w:rFonts w:ascii="Consolas" w:hAnsi="Consolas" w:cs="Consolas"/>
          <w:b w:val="0"/>
          <w:i w:val="0"/>
          <w:sz w:val="15"/>
        </w:rPr>
        <w:t xml:space="preserve">  • Condition score: 35/100 (−60% from original)</w:t>
      </w:r>
    </w:p>
    <w:p>
      <w:pPr>
        <w:spacing w:after="0" w:before="0" w:line="240" w:lineRule="auto"/>
        <w:ind w:left="57"/>
        <w:jc w:val="left"/>
        <w:shd w:val="clear" w:fill="F2F2F2"/>
      </w:pPr>
      <w:r>
        <w:rPr>
          <w:rFonts w:ascii="Consolas" w:hAnsi="Consolas" w:cs="Consolas"/>
          <w:b w:val="0"/>
          <w:i w:val="0"/>
          <w:sz w:val="15"/>
        </w:rPr>
        <w:t xml:space="preserve">  • Remaining shelf life: 5 days (urgency factor +0.15)</w:t>
      </w:r>
    </w:p>
    <w:p>
      <w:pPr>
        <w:spacing w:after="0" w:before="0" w:line="240" w:lineRule="auto"/>
        <w:ind w:left="57"/>
        <w:jc w:val="left"/>
        <w:shd w:val="clear" w:fill="F2F2F2"/>
      </w:pPr>
      <w:r>
        <w:rPr>
          <w:rFonts w:ascii="Consolas" w:hAnsi="Consolas" w:cs="Consolas"/>
          <w:b w:val="0"/>
          <w:i w:val="0"/>
          <w:sz w:val="15"/>
        </w:rPr>
        <w:t xml:space="preserve">  • Market demand: current market price $2.00/kg ($0.40/kg for distressed)</w:t>
      </w:r>
    </w:p>
    <w:p>
      <w:pPr>
        <w:spacing w:after="0" w:before="0" w:line="240" w:lineRule="auto"/>
        <w:ind w:left="57"/>
        <w:jc w:val="left"/>
        <w:shd w:val="clear" w:fill="F2F2F2"/>
      </w:pPr>
      <w:r>
        <w:rPr>
          <w:rFonts w:ascii="Consolas" w:hAnsi="Consolas" w:cs="Consolas"/>
          <w:b w:val="0"/>
          <w:i w:val="0"/>
          <w:sz w:val="15"/>
        </w:rPr>
        <w:t xml:space="preserve">  • Buyer urgency: High (if Accelerated Outreach used)</w:t>
      </w:r>
    </w:p>
    <w:p>
      <w:pPr>
        <w:spacing w:after="0" w:before="0" w:line="240" w:lineRule="auto"/>
        <w:ind w:left="57"/>
        <w:jc w:val="left"/>
        <w:shd w:val="clear" w:fill="F2F2F2"/>
      </w:pPr>
      <w:r>
        <w:rPr>
          <w:rFonts w:ascii="Consolas" w:hAnsi="Consolas" w:cs="Consolas"/>
          <w:b w:val="0"/>
          <w:i w:val="0"/>
          <w:sz w:val="15"/>
        </w:rPr>
        <w:t xml:space="preserve">  • Historical distressed sales: similar lots sold at $0.70–$0.95/kg</w:t>
      </w:r>
    </w:p>
    <w:p>
      <w:pPr>
        <w:spacing w:after="0" w:before="0" w:line="240" w:lineRule="auto"/>
        <w:ind w:left="57"/>
        <w:jc w:val="left"/>
        <w:shd w:val="clear" w:fill="F2F2F2"/>
      </w:pPr>
      <w:r>
        <w:rPr>
          <w:rFonts w:ascii="Consolas" w:hAnsi="Consolas" w:cs="Consolas"/>
          <w:b w:val="0"/>
          <w:i w:val="0"/>
          <w:sz w:val="15"/>
        </w:rPr>
        <w:t>Groq Summary: "Based on the condition score (35), remaining shelf life</w:t>
      </w:r>
    </w:p>
    <w:p>
      <w:pPr>
        <w:spacing w:after="0" w:before="0" w:line="240" w:lineRule="auto"/>
        <w:ind w:left="57"/>
        <w:jc w:val="left"/>
        <w:shd w:val="clear" w:fill="F2F2F2"/>
      </w:pPr>
      <w:r>
        <w:rPr>
          <w:rFonts w:ascii="Consolas" w:hAnsi="Consolas" w:cs="Consolas"/>
          <w:b w:val="0"/>
          <w:i w:val="0"/>
          <w:sz w:val="15"/>
        </w:rPr>
        <w:t>(5 days), and current market demand for lemons in Alexandria, we recommend</w:t>
      </w:r>
    </w:p>
    <w:p>
      <w:pPr>
        <w:spacing w:after="0" w:before="0" w:line="240" w:lineRule="auto"/>
        <w:ind w:left="57"/>
        <w:jc w:val="left"/>
        <w:shd w:val="clear" w:fill="F2F2F2"/>
      </w:pPr>
      <w:r>
        <w:rPr>
          <w:rFonts w:ascii="Consolas" w:hAnsi="Consolas" w:cs="Consolas"/>
          <w:b w:val="0"/>
          <w:i w:val="0"/>
          <w:sz w:val="15"/>
        </w:rPr>
        <w:t>listing this lot at $0.75–$0.90/kg. Original contract price was $2.10/kg.</w:t>
      </w:r>
    </w:p>
    <w:p>
      <w:pPr>
        <w:spacing w:after="0" w:before="0" w:line="240" w:lineRule="auto"/>
        <w:ind w:left="57"/>
        <w:jc w:val="left"/>
        <w:shd w:val="clear" w:fill="F2F2F2"/>
      </w:pPr>
      <w:r>
        <w:rPr>
          <w:rFonts w:ascii="Consolas" w:hAnsi="Consolas" w:cs="Consolas"/>
          <w:b w:val="0"/>
          <w:i w:val="0"/>
          <w:sz w:val="15"/>
        </w:rPr>
        <w:t>This price range has a 78% predicted sale rate within 48 hours."</w:t>
      </w:r>
    </w:p>
    <w:p>
      <w:pPr>
        <w:spacing w:after="0" w:before="0" w:line="240" w:lineRule="auto"/>
        <w:ind w:left="57"/>
        <w:jc w:val="left"/>
        <w:shd w:val="clear" w:fill="F2F2F2"/>
      </w:pPr>
      <w:r>
        <w:rPr>
          <w:rFonts w:ascii="Consolas" w:hAnsi="Consolas" w:cs="Consolas"/>
          <w:b w:val="0"/>
          <w:i w:val="0"/>
          <w:sz w:val="15"/>
        </w:rPr>
        <w:t>[Accept Price ($1,075)] [Adjust Price] [Request Re-assessment]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23.4.3.4 Phase 7 — Triage Dashboard (Three Paths)</w:t>
      </w:r>
    </w:p>
    <w:p>
      <w:pPr>
        <w:spacing w:after="80" w:line="293" w:lineRule="auto"/>
        <w:jc w:val="left"/>
      </w:pPr>
      <w:r>
        <w:rPr>
          <w:rFonts w:ascii="Times New Roman" w:hAnsi="Times New Roman" w:cs="Times New Roman"/>
          <w:b w:val="0"/>
          <w:i w:val="0"/>
          <w:sz w:val="22"/>
        </w:rPr>
        <w:t>Goal: the seller chooses from three resolution paths: Sell Quickly, Comply with Local Law, or File Insurance Claim. Duration: day 1 (5 minutes). One-click guarantee: each path is one click; reports and evidence packages are generated automatically.</w:t>
      </w:r>
    </w:p>
    <w:p>
      <w:pPr>
        <w:spacing w:after="80" w:line="293" w:lineRule="auto"/>
        <w:jc w:val="left"/>
      </w:pPr>
      <w:r>
        <w:rPr>
          <w:rFonts w:ascii="Times New Roman" w:hAnsi="Times New Roman" w:cs="Times New Roman"/>
          <w:b w:val="0"/>
          <w:i w:val="0"/>
          <w:sz w:val="22"/>
        </w:rPr>
        <w:t>AI assistance: A1 (Groq) — explanations; A2 (HF local) — evidence compilation.</w:t>
      </w:r>
    </w:p>
    <w:p>
      <w:pPr>
        <w:spacing w:after="80" w:line="293" w:lineRule="auto"/>
        <w:jc w:val="left"/>
      </w:pPr>
      <w:r>
        <w:rPr>
          <w:rFonts w:ascii="Times New Roman" w:hAnsi="Times New Roman" w:cs="Times New Roman"/>
          <w:b w:val="0"/>
          <w:i w:val="0"/>
          <w:sz w:val="22"/>
        </w:rPr>
        <w:t>Triage dashboard:</w:t>
      </w:r>
    </w:p>
    <w:p>
      <w:pPr>
        <w:spacing w:after="0" w:before="0" w:line="240" w:lineRule="auto"/>
        <w:ind w:left="57"/>
        <w:jc w:val="left"/>
        <w:shd w:val="clear" w:fill="F2F2F2"/>
      </w:pPr>
      <w:r>
        <w:rPr>
          <w:rFonts w:ascii="Consolas" w:hAnsi="Consolas" w:cs="Consolas"/>
          <w:b w:val="0"/>
          <w:i w:val="0"/>
          <w:sz w:val="15"/>
        </w:rPr>
        <w:t>DISTRESSED CARGO TRIAGE DASHBOARD</w:t>
      </w:r>
    </w:p>
    <w:p>
      <w:pPr>
        <w:spacing w:after="0" w:before="0" w:line="240" w:lineRule="auto"/>
        <w:ind w:left="57"/>
        <w:jc w:val="left"/>
        <w:shd w:val="clear" w:fill="F2F2F2"/>
      </w:pPr>
      <w:r>
        <w:rPr>
          <w:rFonts w:ascii="Consolas" w:hAnsi="Consolas" w:cs="Consolas"/>
          <w:b w:val="0"/>
          <w:i w:val="0"/>
          <w:sz w:val="15"/>
        </w:rPr>
        <w:t>USTN: SGTX-EG-26-F3A-1   Lot: 1,344 kg Eureka Lemons</w:t>
      </w:r>
    </w:p>
    <w:p>
      <w:pPr>
        <w:spacing w:after="0" w:before="0" w:line="240" w:lineRule="auto"/>
        <w:ind w:left="57"/>
        <w:jc w:val="left"/>
        <w:shd w:val="clear" w:fill="F2F2F2"/>
      </w:pPr>
      <w:r>
        <w:rPr>
          <w:rFonts w:ascii="Consolas" w:hAnsi="Consolas" w:cs="Consolas"/>
          <w:b w:val="0"/>
          <w:i w:val="0"/>
          <w:sz w:val="15"/>
        </w:rPr>
        <w:t>Condition Score: 35   Shelf Life: 5 days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PATH A — SELL QUICKLY</w:t>
      </w:r>
    </w:p>
    <w:p>
      <w:pPr>
        <w:spacing w:after="0" w:before="0" w:line="240" w:lineRule="auto"/>
        <w:ind w:left="57"/>
        <w:jc w:val="left"/>
        <w:shd w:val="clear" w:fill="F2F2F2"/>
      </w:pPr>
      <w:r>
        <w:rPr>
          <w:rFonts w:ascii="Consolas" w:hAnsi="Consolas" w:cs="Consolas"/>
          <w:b w:val="0"/>
          <w:i w:val="0"/>
          <w:sz w:val="15"/>
        </w:rPr>
        <w:t xml:space="preserve">  Maximise speed of recovery.</w:t>
      </w:r>
    </w:p>
    <w:p>
      <w:pPr>
        <w:spacing w:after="0" w:before="0" w:line="240" w:lineRule="auto"/>
        <w:ind w:left="57"/>
        <w:jc w:val="left"/>
        <w:shd w:val="clear" w:fill="F2F2F2"/>
      </w:pPr>
      <w:r>
        <w:rPr>
          <w:rFonts w:ascii="Consolas" w:hAnsi="Consolas" w:cs="Consolas"/>
          <w:b w:val="0"/>
          <w:i w:val="0"/>
          <w:sz w:val="15"/>
        </w:rPr>
        <w:t xml:space="preserve">  • Price set to AI-recommended quick-sale price: $1,075</w:t>
      </w:r>
    </w:p>
    <w:p>
      <w:pPr>
        <w:spacing w:after="0" w:before="0" w:line="240" w:lineRule="auto"/>
        <w:ind w:left="57"/>
        <w:jc w:val="left"/>
        <w:shd w:val="clear" w:fill="F2F2F2"/>
      </w:pPr>
      <w:r>
        <w:rPr>
          <w:rFonts w:ascii="Consolas" w:hAnsi="Consolas" w:cs="Consolas"/>
          <w:b w:val="0"/>
          <w:i w:val="0"/>
          <w:sz w:val="15"/>
        </w:rPr>
        <w:t xml:space="preserve">  • Accelerated Outreach ready (not yet sent)</w:t>
      </w:r>
    </w:p>
    <w:p>
      <w:pPr>
        <w:spacing w:after="0" w:before="0" w:line="240" w:lineRule="auto"/>
        <w:ind w:left="57"/>
        <w:jc w:val="left"/>
        <w:shd w:val="clear" w:fill="F2F2F2"/>
      </w:pPr>
      <w:r>
        <w:rPr>
          <w:rFonts w:ascii="Consolas" w:hAnsi="Consolas" w:cs="Consolas"/>
          <w:b w:val="0"/>
          <w:i w:val="0"/>
          <w:sz w:val="15"/>
        </w:rPr>
        <w:t xml:space="preserve">  • Eligible contacts: 3</w:t>
      </w:r>
    </w:p>
    <w:p>
      <w:pPr>
        <w:spacing w:after="0" w:before="0" w:line="240" w:lineRule="auto"/>
        <w:ind w:left="57"/>
        <w:jc w:val="left"/>
        <w:shd w:val="clear" w:fill="F2F2F2"/>
      </w:pPr>
      <w:r>
        <w:rPr>
          <w:rFonts w:ascii="Consolas" w:hAnsi="Consolas" w:cs="Consolas"/>
          <w:b w:val="0"/>
          <w:i w:val="0"/>
          <w:sz w:val="15"/>
        </w:rPr>
        <w:t xml:space="preserve">  [Start Sell Quickly]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PATH B — COMPLY WITH LOCAL LAW</w:t>
      </w:r>
    </w:p>
    <w:p>
      <w:pPr>
        <w:spacing w:after="0" w:before="0" w:line="240" w:lineRule="auto"/>
        <w:ind w:left="57"/>
        <w:jc w:val="left"/>
        <w:shd w:val="clear" w:fill="F2F2F2"/>
      </w:pPr>
      <w:r>
        <w:rPr>
          <w:rFonts w:ascii="Consolas" w:hAnsi="Consolas" w:cs="Consolas"/>
          <w:b w:val="0"/>
          <w:i w:val="0"/>
          <w:sz w:val="15"/>
        </w:rPr>
        <w:t xml:space="preserve">  Ensure compliance with destination country regulations.</w:t>
      </w:r>
    </w:p>
    <w:p>
      <w:pPr>
        <w:spacing w:after="0" w:before="0" w:line="240" w:lineRule="auto"/>
        <w:ind w:left="57"/>
        <w:jc w:val="left"/>
        <w:shd w:val="clear" w:fill="F2F2F2"/>
      </w:pPr>
      <w:r>
        <w:rPr>
          <w:rFonts w:ascii="Consolas" w:hAnsi="Consolas" w:cs="Consolas"/>
          <w:b w:val="0"/>
          <w:i w:val="0"/>
          <w:sz w:val="15"/>
        </w:rPr>
        <w:t xml:space="preserve">  • Jurisdiction: Egypt</w:t>
      </w:r>
    </w:p>
    <w:p>
      <w:pPr>
        <w:spacing w:after="0" w:before="0" w:line="240" w:lineRule="auto"/>
        <w:ind w:left="57"/>
        <w:jc w:val="left"/>
        <w:shd w:val="clear" w:fill="F2F2F2"/>
      </w:pPr>
      <w:r>
        <w:rPr>
          <w:rFonts w:ascii="Consolas" w:hAnsi="Consolas" w:cs="Consolas"/>
          <w:b w:val="0"/>
          <w:i w:val="0"/>
          <w:sz w:val="15"/>
        </w:rPr>
        <w:t xml:space="preserve">  • Rules: CBE notification required (if &gt; $1,000)</w:t>
      </w:r>
    </w:p>
    <w:p>
      <w:pPr>
        <w:spacing w:after="0" w:before="0" w:line="240" w:lineRule="auto"/>
        <w:ind w:left="57"/>
        <w:jc w:val="left"/>
        <w:shd w:val="clear" w:fill="F2F2F2"/>
      </w:pPr>
      <w:r>
        <w:rPr>
          <w:rFonts w:ascii="Consolas" w:hAnsi="Consolas" w:cs="Consolas"/>
          <w:b w:val="0"/>
          <w:i w:val="0"/>
          <w:sz w:val="15"/>
        </w:rPr>
        <w:t xml:space="preserve">  • Generated report: CBE notification ready</w:t>
      </w:r>
    </w:p>
    <w:p>
      <w:pPr>
        <w:spacing w:after="0" w:before="0" w:line="240" w:lineRule="auto"/>
        <w:ind w:left="57"/>
        <w:jc w:val="left"/>
        <w:shd w:val="clear" w:fill="F2F2F2"/>
      </w:pPr>
      <w:r>
        <w:rPr>
          <w:rFonts w:ascii="Consolas" w:hAnsi="Consolas" w:cs="Consolas"/>
          <w:b w:val="0"/>
          <w:i w:val="0"/>
          <w:sz w:val="15"/>
        </w:rPr>
        <w:t xml:space="preserve">  [Generate Compliance Report] [Download]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PATH C — FILE INSURANCE CLAIM</w:t>
      </w:r>
    </w:p>
    <w:p>
      <w:pPr>
        <w:spacing w:after="0" w:before="0" w:line="240" w:lineRule="auto"/>
        <w:ind w:left="57"/>
        <w:jc w:val="left"/>
        <w:shd w:val="clear" w:fill="F2F2F2"/>
      </w:pPr>
      <w:r>
        <w:rPr>
          <w:rFonts w:ascii="Consolas" w:hAnsi="Consolas" w:cs="Consolas"/>
          <w:b w:val="0"/>
          <w:i w:val="0"/>
          <w:sz w:val="15"/>
        </w:rPr>
        <w:t xml:space="preserve">  Compile evidence package for insurer.</w:t>
      </w:r>
    </w:p>
    <w:p>
      <w:pPr>
        <w:spacing w:after="0" w:before="0" w:line="240" w:lineRule="auto"/>
        <w:ind w:left="57"/>
        <w:jc w:val="left"/>
        <w:shd w:val="clear" w:fill="F2F2F2"/>
      </w:pPr>
      <w:r>
        <w:rPr>
          <w:rFonts w:ascii="Consolas" w:hAnsi="Consolas" w:cs="Consolas"/>
          <w:b w:val="0"/>
          <w:i w:val="0"/>
          <w:sz w:val="15"/>
        </w:rPr>
        <w:t xml:space="preserve">  • Evidence included: sensor logs, photos, condition assessment</w:t>
      </w:r>
    </w:p>
    <w:p>
      <w:pPr>
        <w:spacing w:after="0" w:before="0" w:line="240" w:lineRule="auto"/>
        <w:ind w:left="57"/>
        <w:jc w:val="left"/>
        <w:shd w:val="clear" w:fill="F2F2F2"/>
      </w:pPr>
      <w:r>
        <w:rPr>
          <w:rFonts w:ascii="Consolas" w:hAnsi="Consolas" w:cs="Consolas"/>
          <w:b w:val="0"/>
          <w:i w:val="0"/>
          <w:sz w:val="15"/>
        </w:rPr>
        <w:t xml:space="preserve">  • Market valuation: $1,075 (quick-sale price)</w:t>
      </w:r>
    </w:p>
    <w:p>
      <w:pPr>
        <w:spacing w:after="0" w:before="0" w:line="240" w:lineRule="auto"/>
        <w:ind w:left="57"/>
        <w:jc w:val="left"/>
        <w:shd w:val="clear" w:fill="F2F2F2"/>
      </w:pPr>
      <w:r>
        <w:rPr>
          <w:rFonts w:ascii="Consolas" w:hAnsi="Consolas" w:cs="Consolas"/>
          <w:b w:val="0"/>
          <w:i w:val="0"/>
          <w:sz w:val="15"/>
        </w:rPr>
        <w:t xml:space="preserve">  • Claim narrative: Groq-drafted</w:t>
      </w:r>
    </w:p>
    <w:p>
      <w:pPr>
        <w:spacing w:after="0" w:before="0" w:line="240" w:lineRule="auto"/>
        <w:ind w:left="57"/>
        <w:jc w:val="left"/>
        <w:shd w:val="clear" w:fill="F2F2F2"/>
      </w:pPr>
      <w:r>
        <w:rPr>
          <w:rFonts w:ascii="Consolas" w:hAnsi="Consolas" w:cs="Consolas"/>
          <w:b w:val="0"/>
          <w:i w:val="0"/>
          <w:sz w:val="15"/>
        </w:rPr>
        <w:t xml:space="preserve">  [Generate Claim Package] [Download]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Step-by-step triage: the seller reviews the three paths and selects Path A (1 click).</w:t>
      </w:r>
    </w:p>
    <w:p>
      <w:pPr>
        <w:spacing w:after="80" w:line="293" w:lineRule="auto"/>
        <w:jc w:val="left"/>
      </w:pPr>
      <w:r>
        <w:rPr>
          <w:rFonts w:ascii="Times New Roman" w:hAnsi="Times New Roman" w:cs="Times New Roman"/>
          <w:b w:val="0"/>
          <w:i w:val="0"/>
          <w:sz w:val="22"/>
        </w:rPr>
        <w:t>Phase 7.2 one-click count: seller 1 click.</w:t>
      </w:r>
    </w:p>
    <w:p>
      <w:pPr>
        <w:keepNext/>
        <w:spacing w:before="140" w:after="60"/>
        <w:outlineLvl w:val="3"/>
      </w:pPr>
      <w:r>
        <w:rPr>
          <w:rFonts w:ascii="Arial" w:hAnsi="Arial" w:cs="Arial"/>
          <w:b/>
          <w:i/>
          <w:color w:val="333333"/>
          <w:sz w:val="22"/>
        </w:rPr>
        <w:t>23.4.3.5 Phase 8 — "Check Buyers" Advisory (Pre-Outreach)</w:t>
      </w:r>
    </w:p>
    <w:p>
      <w:pPr>
        <w:spacing w:after="80" w:line="293" w:lineRule="auto"/>
        <w:jc w:val="left"/>
      </w:pPr>
      <w:r>
        <w:rPr>
          <w:rFonts w:ascii="Times New Roman" w:hAnsi="Times New Roman" w:cs="Times New Roman"/>
          <w:b w:val="0"/>
          <w:i w:val="0"/>
          <w:sz w:val="22"/>
        </w:rPr>
        <w:t>Goal: the seller identifies eligible buyers from saved contacts before initiating outreach. No notifications are sent at this stage — it is purely advisory. Duration: day 1 (5 minutes). One-click guarantee: "Check Buyers" is one click; selection is manual — the system never auto-selects.</w:t>
      </w:r>
    </w:p>
    <w:p>
      <w:pPr>
        <w:spacing w:after="80" w:line="293" w:lineRule="auto"/>
        <w:jc w:val="left"/>
      </w:pPr>
      <w:r>
        <w:rPr>
          <w:rFonts w:ascii="Times New Roman" w:hAnsi="Times New Roman" w:cs="Times New Roman"/>
          <w:b w:val="0"/>
          <w:i w:val="0"/>
          <w:sz w:val="22"/>
        </w:rPr>
        <w:t>AI assistance: A2 (LightGBM) — ranking of eligible contacts.</w:t>
      </w:r>
    </w:p>
    <w:p>
      <w:pPr>
        <w:spacing w:after="80" w:line="293" w:lineRule="auto"/>
        <w:jc w:val="left"/>
      </w:pPr>
      <w:r>
        <w:rPr>
          <w:rFonts w:ascii="Times New Roman" w:hAnsi="Times New Roman" w:cs="Times New Roman"/>
          <w:b w:val="0"/>
          <w:i w:val="0"/>
          <w:sz w:val="22"/>
        </w:rPr>
        <w:t>Non-marketplace safeguard: the system only displays existing saved contacts. It never suggests unknown buyers or ranks by "popularity".</w:t>
      </w:r>
    </w:p>
    <w:p>
      <w:pPr>
        <w:spacing w:after="80" w:line="293" w:lineRule="auto"/>
        <w:jc w:val="left"/>
      </w:pPr>
      <w:r>
        <w:rPr>
          <w:rFonts w:ascii="Times New Roman" w:hAnsi="Times New Roman" w:cs="Times New Roman"/>
          <w:b w:val="0"/>
          <w:i w:val="0"/>
          <w:sz w:val="22"/>
        </w:rPr>
        <w:t>"Check Buyers" modal:</w:t>
      </w:r>
    </w:p>
    <w:p>
      <w:pPr>
        <w:spacing w:after="0" w:before="0" w:line="240" w:lineRule="auto"/>
        <w:ind w:left="57"/>
        <w:jc w:val="left"/>
        <w:shd w:val="clear" w:fill="F2F2F2"/>
      </w:pPr>
      <w:r>
        <w:rPr>
          <w:rFonts w:ascii="Consolas" w:hAnsi="Consolas" w:cs="Consolas"/>
          <w:b w:val="0"/>
          <w:i w:val="0"/>
          <w:sz w:val="15"/>
        </w:rPr>
        <w:t>CHECK BUYERS — Eligible Saved Contacts</w:t>
      </w:r>
    </w:p>
    <w:p>
      <w:pPr>
        <w:spacing w:after="0" w:before="0" w:line="240" w:lineRule="auto"/>
        <w:ind w:left="57"/>
        <w:jc w:val="left"/>
        <w:shd w:val="clear" w:fill="F2F2F2"/>
      </w:pPr>
      <w:r>
        <w:rPr>
          <w:rFonts w:ascii="Consolas" w:hAnsi="Consolas" w:cs="Consolas"/>
          <w:b w:val="0"/>
          <w:i w:val="0"/>
          <w:sz w:val="15"/>
        </w:rPr>
        <w:t>USTN: SGTX-EG-26-F3A-1   Lot: 1,344 kg Eureka Lemons   Asking Price: $1,075</w:t>
      </w:r>
    </w:p>
    <w:p>
      <w:pPr>
        <w:spacing w:after="0" w:before="0" w:line="240" w:lineRule="auto"/>
        <w:ind w:left="57"/>
        <w:jc w:val="left"/>
        <w:shd w:val="clear" w:fill="F2F2F2"/>
      </w:pPr>
      <w:r>
        <w:rPr>
          <w:rFonts w:ascii="Consolas" w:hAnsi="Consolas" w:cs="Consolas"/>
          <w:b w:val="0"/>
          <w:i w:val="0"/>
          <w:sz w:val="15"/>
        </w:rPr>
        <w:t>This is an advisory feature only. No notifications have been sent.</w:t>
      </w:r>
    </w:p>
    <w:p>
      <w:pPr>
        <w:spacing w:after="0" w:before="0" w:line="240" w:lineRule="auto"/>
        <w:ind w:left="57"/>
        <w:jc w:val="left"/>
        <w:shd w:val="clear" w:fill="F2F2F2"/>
      </w:pPr>
      <w:r>
        <w:rPr>
          <w:rFonts w:ascii="Consolas" w:hAnsi="Consolas" w:cs="Consolas"/>
          <w:b w:val="0"/>
          <w:i w:val="0"/>
          <w:sz w:val="15"/>
        </w:rPr>
        <w:t>Select contacts to notify, then proceed to Outreach.</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Buyer Name          Trust  Past Distressed Purchases    Match</w:t>
      </w:r>
    </w:p>
    <w:p>
      <w:pPr>
        <w:spacing w:after="0" w:before="0" w:line="240" w:lineRule="auto"/>
        <w:ind w:left="57"/>
        <w:jc w:val="left"/>
        <w:shd w:val="clear" w:fill="F2F2F2"/>
      </w:pPr>
      <w:r>
        <w:rPr>
          <w:rFonts w:ascii="Consolas" w:hAnsi="Consolas" w:cs="Consolas"/>
          <w:b w:val="0"/>
          <w:i w:val="0"/>
          <w:sz w:val="15"/>
        </w:rPr>
        <w:t>Juice Factory Ltd.  91     3 (100% completion)          94</w:t>
      </w:r>
    </w:p>
    <w:p>
      <w:pPr>
        <w:spacing w:after="0" w:before="0" w:line="240" w:lineRule="auto"/>
        <w:ind w:left="57"/>
        <w:jc w:val="left"/>
        <w:shd w:val="clear" w:fill="F2F2F2"/>
      </w:pPr>
      <w:r>
        <w:rPr>
          <w:rFonts w:ascii="Consolas" w:hAnsi="Consolas" w:cs="Consolas"/>
          <w:b w:val="0"/>
          <w:i w:val="0"/>
          <w:sz w:val="15"/>
        </w:rPr>
        <w:t>Cairo Processors    83     1 (50% completion)           78</w:t>
      </w:r>
    </w:p>
    <w:p>
      <w:pPr>
        <w:spacing w:after="0" w:before="0" w:line="240" w:lineRule="auto"/>
        <w:ind w:left="57"/>
        <w:jc w:val="left"/>
        <w:shd w:val="clear" w:fill="F2F2F2"/>
      </w:pPr>
      <w:r>
        <w:rPr>
          <w:rFonts w:ascii="Consolas" w:hAnsi="Consolas" w:cs="Consolas"/>
          <w:b w:val="0"/>
          <w:i w:val="0"/>
          <w:sz w:val="15"/>
        </w:rPr>
        <w:t>Alexandria Trading  76     0                            42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Ranked by: Past distressed purchase success (primary) + Trust score</w:t>
      </w:r>
    </w:p>
    <w:p>
      <w:pPr>
        <w:spacing w:after="0" w:before="0" w:line="240" w:lineRule="auto"/>
        <w:ind w:left="57"/>
        <w:jc w:val="left"/>
        <w:shd w:val="clear" w:fill="F2F2F2"/>
      </w:pPr>
      <w:r>
        <w:rPr>
          <w:rFonts w:ascii="Consolas" w:hAnsi="Consolas" w:cs="Consolas"/>
          <w:b w:val="0"/>
          <w:i w:val="0"/>
          <w:sz w:val="15"/>
        </w:rPr>
        <w:t>[Continue to Outreach] [Cancel]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Step-by-step "Check Buyers": the seller clicks "Check Buyers" (1); reviews the ranked saved contacts; manually selects the recipients (Juice Factory Ltd. and Cairo Processors); clicks "Continue to Outreach" (1).</w:t>
      </w:r>
    </w:p>
    <w:p>
      <w:pPr>
        <w:spacing w:after="80" w:line="293" w:lineRule="auto"/>
        <w:jc w:val="left"/>
      </w:pPr>
      <w:r>
        <w:rPr>
          <w:rFonts w:ascii="Times New Roman" w:hAnsi="Times New Roman" w:cs="Times New Roman"/>
          <w:b w:val="0"/>
          <w:i w:val="0"/>
          <w:sz w:val="22"/>
        </w:rPr>
        <w:t>Phase 8.1 one-click count: seller 2 clicks.</w:t>
      </w:r>
    </w:p>
    <w:p>
      <w:pPr>
        <w:spacing w:after="80" w:line="293" w:lineRule="auto"/>
        <w:jc w:val="left"/>
      </w:pPr>
      <w:r>
        <w:rPr>
          <w:rFonts w:ascii="Times New Roman" w:hAnsi="Times New Roman" w:cs="Times New Roman"/>
          <w:b w:val="0"/>
          <w:i w:val="0"/>
          <w:sz w:val="22"/>
        </w:rPr>
        <w:t>Non-marketplace guarantee: no notifications were sent during "Check Buyers"; the seller manually selected contacts; the system never auto-selected or recommended "similar buyers".</w:t>
      </w:r>
    </w:p>
    <w:p>
      <w:pPr>
        <w:keepNext/>
        <w:spacing w:before="140" w:after="60"/>
        <w:outlineLvl w:val="3"/>
      </w:pPr>
      <w:r>
        <w:rPr>
          <w:rFonts w:ascii="Arial" w:hAnsi="Arial" w:cs="Arial"/>
          <w:b/>
          <w:i/>
          <w:color w:val="333333"/>
          <w:sz w:val="22"/>
        </w:rPr>
        <w:t>23.4.3.6 Phase 8 — Accelerated Outreach (Time-Boxed)</w:t>
      </w:r>
    </w:p>
    <w:p>
      <w:pPr>
        <w:spacing w:after="80" w:line="293" w:lineRule="auto"/>
        <w:jc w:val="left"/>
      </w:pPr>
      <w:r>
        <w:rPr>
          <w:rFonts w:ascii="Times New Roman" w:hAnsi="Times New Roman" w:cs="Times New Roman"/>
          <w:b w:val="0"/>
          <w:i w:val="0"/>
          <w:sz w:val="22"/>
        </w:rPr>
        <w:t>Goal: the seller initiates time-boxed, simultaneous notifications to the selected buyers. A mandatory privacy-notice opt-in is required. Duration: day 1 (10 minutes setup, 6-hour window). One-click guarantee: outreach setup is one click; notifications are sent simultaneously.</w:t>
      </w:r>
    </w:p>
    <w:p>
      <w:pPr>
        <w:spacing w:after="80" w:line="293" w:lineRule="auto"/>
        <w:jc w:val="left"/>
      </w:pPr>
      <w:r>
        <w:rPr>
          <w:rFonts w:ascii="Times New Roman" w:hAnsi="Times New Roman" w:cs="Times New Roman"/>
          <w:b w:val="0"/>
          <w:i w:val="0"/>
          <w:sz w:val="22"/>
        </w:rPr>
        <w:t>AI assistance: A1 (Groq) — notification drafting.</w:t>
      </w:r>
    </w:p>
    <w:p>
      <w:pPr>
        <w:spacing w:after="80" w:line="293" w:lineRule="auto"/>
        <w:jc w:val="left"/>
      </w:pPr>
      <w:r>
        <w:rPr>
          <w:rFonts w:ascii="Times New Roman" w:hAnsi="Times New Roman" w:cs="Times New Roman"/>
          <w:b w:val="0"/>
          <w:i w:val="0"/>
          <w:sz w:val="22"/>
        </w:rPr>
        <w:t>Non-marketplace safeguard: the privacy notice is mandatory; the seller must explicitly opt in per session.</w:t>
      </w:r>
    </w:p>
    <w:p>
      <w:pPr>
        <w:spacing w:after="80" w:line="293" w:lineRule="auto"/>
        <w:jc w:val="left"/>
      </w:pPr>
      <w:r>
        <w:rPr>
          <w:rFonts w:ascii="Times New Roman" w:hAnsi="Times New Roman" w:cs="Times New Roman"/>
          <w:b w:val="0"/>
          <w:i w:val="0"/>
          <w:sz w:val="22"/>
        </w:rPr>
        <w:t>Accelerated outreach setup:</w:t>
      </w:r>
    </w:p>
    <w:p>
      <w:pPr>
        <w:spacing w:after="0" w:before="0" w:line="240" w:lineRule="auto"/>
        <w:ind w:left="57"/>
        <w:jc w:val="left"/>
        <w:shd w:val="clear" w:fill="F2F2F2"/>
      </w:pPr>
      <w:r>
        <w:rPr>
          <w:rFonts w:ascii="Consolas" w:hAnsi="Consolas" w:cs="Consolas"/>
          <w:b w:val="0"/>
          <w:i w:val="0"/>
          <w:sz w:val="15"/>
        </w:rPr>
        <w:t>ACCELERATED OUTREACH — Setup</w:t>
      </w:r>
    </w:p>
    <w:p>
      <w:pPr>
        <w:spacing w:after="0" w:before="0" w:line="240" w:lineRule="auto"/>
        <w:ind w:left="57"/>
        <w:jc w:val="left"/>
        <w:shd w:val="clear" w:fill="F2F2F2"/>
      </w:pPr>
      <w:r>
        <w:rPr>
          <w:rFonts w:ascii="Consolas" w:hAnsi="Consolas" w:cs="Consolas"/>
          <w:b w:val="0"/>
          <w:i w:val="0"/>
          <w:sz w:val="15"/>
        </w:rPr>
        <w:t>USTN: SGTX-EG-26-F3A-1   Lot: 1,344 kg Eureka Lemons   Asking Price: $1,075</w:t>
      </w:r>
    </w:p>
    <w:p>
      <w:pPr>
        <w:spacing w:after="0" w:before="0" w:line="240" w:lineRule="auto"/>
        <w:ind w:left="57"/>
        <w:jc w:val="left"/>
        <w:shd w:val="clear" w:fill="F2F2F2"/>
      </w:pPr>
      <w:r>
        <w:rPr>
          <w:rFonts w:ascii="Consolas" w:hAnsi="Consolas" w:cs="Consolas"/>
          <w:b w:val="0"/>
          <w:i w:val="0"/>
          <w:sz w:val="15"/>
        </w:rPr>
        <w:t>Selected Recipients:</w:t>
      </w:r>
    </w:p>
    <w:p>
      <w:pPr>
        <w:spacing w:after="0" w:before="0" w:line="240" w:lineRule="auto"/>
        <w:ind w:left="57"/>
        <w:jc w:val="left"/>
        <w:shd w:val="clear" w:fill="F2F2F2"/>
      </w:pPr>
      <w:r>
        <w:rPr>
          <w:rFonts w:ascii="Consolas" w:hAnsi="Consolas" w:cs="Consolas"/>
          <w:b w:val="0"/>
          <w:i w:val="0"/>
          <w:sz w:val="15"/>
        </w:rPr>
        <w:t xml:space="preserve">  Juice Factory Ltd. (trust 91, match score 94)</w:t>
      </w:r>
    </w:p>
    <w:p>
      <w:pPr>
        <w:spacing w:after="0" w:before="0" w:line="240" w:lineRule="auto"/>
        <w:ind w:left="57"/>
        <w:jc w:val="left"/>
        <w:shd w:val="clear" w:fill="F2F2F2"/>
      </w:pPr>
      <w:r>
        <w:rPr>
          <w:rFonts w:ascii="Consolas" w:hAnsi="Consolas" w:cs="Consolas"/>
          <w:b w:val="0"/>
          <w:i w:val="0"/>
          <w:sz w:val="15"/>
        </w:rPr>
        <w:t xml:space="preserve">  Cairo Processors   (trust 83, match score 78)</w:t>
      </w:r>
    </w:p>
    <w:p>
      <w:pPr>
        <w:spacing w:after="0" w:before="0" w:line="240" w:lineRule="auto"/>
        <w:ind w:left="57"/>
        <w:jc w:val="left"/>
        <w:shd w:val="clear" w:fill="F2F2F2"/>
      </w:pPr>
      <w:r>
        <w:rPr>
          <w:rFonts w:ascii="Consolas" w:hAnsi="Consolas" w:cs="Consolas"/>
          <w:b w:val="0"/>
          <w:i w:val="0"/>
          <w:sz w:val="15"/>
        </w:rPr>
        <w:t>Outreach Window: [6] hours (2–24h)</w:t>
      </w:r>
    </w:p>
    <w:p>
      <w:pPr>
        <w:spacing w:after="0" w:before="0" w:line="240" w:lineRule="auto"/>
        <w:ind w:left="57"/>
        <w:jc w:val="left"/>
        <w:shd w:val="clear" w:fill="F2F2F2"/>
      </w:pPr>
      <w:r>
        <w:rPr>
          <w:rFonts w:ascii="Consolas" w:hAnsi="Consolas" w:cs="Consolas"/>
          <w:b w:val="0"/>
          <w:i w:val="0"/>
          <w:sz w:val="15"/>
        </w:rPr>
        <w:t>Floor Price (hidden): [$810] (minimum acceptable offer)</w:t>
      </w:r>
    </w:p>
    <w:p>
      <w:pPr>
        <w:spacing w:after="0" w:before="0" w:line="240" w:lineRule="auto"/>
        <w:ind w:left="57"/>
        <w:jc w:val="left"/>
        <w:shd w:val="clear" w:fill="F2F2F2"/>
      </w:pPr>
      <w:r>
        <w:rPr>
          <w:rFonts w:ascii="Consolas" w:hAnsi="Consolas" w:cs="Consolas"/>
          <w:b w:val="0"/>
          <w:i w:val="0"/>
          <w:sz w:val="15"/>
        </w:rPr>
        <w:t xml:space="preserve">  The floor price is never disclosed to recipients. It sets your minimum</w:t>
      </w:r>
    </w:p>
    <w:p>
      <w:pPr>
        <w:spacing w:after="0" w:before="0" w:line="240" w:lineRule="auto"/>
        <w:ind w:left="57"/>
        <w:jc w:val="left"/>
        <w:shd w:val="clear" w:fill="F2F2F2"/>
      </w:pPr>
      <w:r>
        <w:rPr>
          <w:rFonts w:ascii="Consolas" w:hAnsi="Consolas" w:cs="Consolas"/>
          <w:b w:val="0"/>
          <w:i w:val="0"/>
          <w:sz w:val="15"/>
        </w:rPr>
        <w:t xml:space="preserve">  acceptable offer. Offers below this will be auto-rejected.</w:t>
      </w:r>
    </w:p>
    <w:p>
      <w:pPr>
        <w:spacing w:after="0" w:before="0" w:line="240" w:lineRule="auto"/>
        <w:ind w:left="57"/>
        <w:jc w:val="left"/>
        <w:shd w:val="clear" w:fill="F2F2F2"/>
      </w:pPr>
      <w:r>
        <w:rPr>
          <w:rFonts w:ascii="Consolas" w:hAnsi="Consolas" w:cs="Consolas"/>
          <w:b w:val="0"/>
          <w:i w:val="0"/>
          <w:sz w:val="15"/>
        </w:rPr>
        <w:t>[Start Accelerated Outreach] [Cancel]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Privacy notice (mandatory modal):</w:t>
      </w:r>
    </w:p>
    <w:p>
      <w:pPr>
        <w:spacing w:after="0" w:before="0" w:line="240" w:lineRule="auto"/>
        <w:ind w:left="57"/>
        <w:jc w:val="left"/>
        <w:shd w:val="clear" w:fill="F2F2F2"/>
      </w:pPr>
      <w:r>
        <w:rPr>
          <w:rFonts w:ascii="Consolas" w:hAnsi="Consolas" w:cs="Consolas"/>
          <w:b w:val="0"/>
          <w:i w:val="0"/>
          <w:sz w:val="15"/>
        </w:rPr>
        <w:t>PRIVACY NOTICE — Accelerated Outreach</w:t>
      </w:r>
    </w:p>
    <w:p>
      <w:pPr>
        <w:spacing w:after="0" w:before="0" w:line="240" w:lineRule="auto"/>
        <w:ind w:left="57"/>
        <w:jc w:val="left"/>
        <w:shd w:val="clear" w:fill="F2F2F2"/>
      </w:pPr>
      <w:r>
        <w:rPr>
          <w:rFonts w:ascii="Consolas" w:hAnsi="Consolas" w:cs="Consolas"/>
          <w:b w:val="0"/>
          <w:i w:val="0"/>
          <w:sz w:val="15"/>
        </w:rPr>
        <w:t>You are about to initiate Accelerated Outreach for the distressed lot:</w:t>
      </w:r>
    </w:p>
    <w:p>
      <w:pPr>
        <w:spacing w:after="0" w:before="0" w:line="240" w:lineRule="auto"/>
        <w:ind w:left="57"/>
        <w:jc w:val="left"/>
        <w:shd w:val="clear" w:fill="F2F2F2"/>
      </w:pPr>
      <w:r>
        <w:rPr>
          <w:rFonts w:ascii="Consolas" w:hAnsi="Consolas" w:cs="Consolas"/>
          <w:b w:val="0"/>
          <w:i w:val="0"/>
          <w:sz w:val="15"/>
        </w:rPr>
        <w:t xml:space="preserve">  • Commodity: Eureka Lemons (1,344 kg)</w:t>
      </w:r>
    </w:p>
    <w:p>
      <w:pPr>
        <w:spacing w:after="0" w:before="0" w:line="240" w:lineRule="auto"/>
        <w:ind w:left="57"/>
        <w:jc w:val="left"/>
        <w:shd w:val="clear" w:fill="F2F2F2"/>
      </w:pPr>
      <w:r>
        <w:rPr>
          <w:rFonts w:ascii="Consolas" w:hAnsi="Consolas" w:cs="Consolas"/>
          <w:b w:val="0"/>
          <w:i w:val="0"/>
          <w:sz w:val="15"/>
        </w:rPr>
        <w:t xml:space="preserve">  • Condition Score: 35/100 (mould detected on 12% of cartons)</w:t>
      </w:r>
    </w:p>
    <w:p>
      <w:pPr>
        <w:spacing w:after="0" w:before="0" w:line="240" w:lineRule="auto"/>
        <w:ind w:left="57"/>
        <w:jc w:val="left"/>
        <w:shd w:val="clear" w:fill="F2F2F2"/>
      </w:pPr>
      <w:r>
        <w:rPr>
          <w:rFonts w:ascii="Consolas" w:hAnsi="Consolas" w:cs="Consolas"/>
          <w:b w:val="0"/>
          <w:i w:val="0"/>
          <w:sz w:val="15"/>
        </w:rPr>
        <w:t xml:space="preserve">  • Asking Price: $1,075</w:t>
      </w:r>
    </w:p>
    <w:p>
      <w:pPr>
        <w:spacing w:after="0" w:before="0" w:line="240" w:lineRule="auto"/>
        <w:ind w:left="57"/>
        <w:jc w:val="left"/>
        <w:shd w:val="clear" w:fill="F2F2F2"/>
      </w:pPr>
      <w:r>
        <w:rPr>
          <w:rFonts w:ascii="Consolas" w:hAnsi="Consolas" w:cs="Consolas"/>
          <w:b w:val="0"/>
          <w:i w:val="0"/>
          <w:sz w:val="15"/>
        </w:rPr>
        <w:t xml:space="preserve">  • Remaining Shelf Life: 5 days</w:t>
      </w:r>
    </w:p>
    <w:p>
      <w:pPr>
        <w:spacing w:after="0" w:before="0" w:line="240" w:lineRule="auto"/>
        <w:ind w:left="57"/>
        <w:jc w:val="left"/>
        <w:shd w:val="clear" w:fill="F2F2F2"/>
      </w:pPr>
      <w:r>
        <w:rPr>
          <w:rFonts w:ascii="Consolas" w:hAnsi="Consolas" w:cs="Consolas"/>
          <w:b w:val="0"/>
          <w:i w:val="0"/>
          <w:sz w:val="15"/>
        </w:rPr>
        <w:t>The following contacts will be notified simultaneously:</w:t>
      </w:r>
    </w:p>
    <w:p>
      <w:pPr>
        <w:spacing w:after="0" w:before="0" w:line="240" w:lineRule="auto"/>
        <w:ind w:left="57"/>
        <w:jc w:val="left"/>
        <w:shd w:val="clear" w:fill="F2F2F2"/>
      </w:pPr>
      <w:r>
        <w:rPr>
          <w:rFonts w:ascii="Consolas" w:hAnsi="Consolas" w:cs="Consolas"/>
          <w:b w:val="0"/>
          <w:i w:val="0"/>
          <w:sz w:val="15"/>
        </w:rPr>
        <w:t xml:space="preserve">  • Juice Factory Ltd.</w:t>
      </w:r>
    </w:p>
    <w:p>
      <w:pPr>
        <w:spacing w:after="0" w:before="0" w:line="240" w:lineRule="auto"/>
        <w:ind w:left="57"/>
        <w:jc w:val="left"/>
        <w:shd w:val="clear" w:fill="F2F2F2"/>
      </w:pPr>
      <w:r>
        <w:rPr>
          <w:rFonts w:ascii="Consolas" w:hAnsi="Consolas" w:cs="Consolas"/>
          <w:b w:val="0"/>
          <w:i w:val="0"/>
          <w:sz w:val="15"/>
        </w:rPr>
        <w:t xml:space="preserve">  • Cairo Processors</w:t>
      </w:r>
    </w:p>
    <w:p>
      <w:pPr>
        <w:spacing w:after="0" w:before="0" w:line="240" w:lineRule="auto"/>
        <w:ind w:left="57"/>
        <w:jc w:val="left"/>
        <w:shd w:val="clear" w:fill="F2F2F2"/>
      </w:pPr>
      <w:r>
        <w:rPr>
          <w:rFonts w:ascii="Consolas" w:hAnsi="Consolas" w:cs="Consolas"/>
          <w:b w:val="0"/>
          <w:i w:val="0"/>
          <w:sz w:val="15"/>
        </w:rPr>
        <w:t>The notification will include:</w:t>
      </w:r>
    </w:p>
    <w:p>
      <w:pPr>
        <w:spacing w:after="0" w:before="0" w:line="240" w:lineRule="auto"/>
        <w:ind w:left="57"/>
        <w:jc w:val="left"/>
        <w:shd w:val="clear" w:fill="F2F2F2"/>
      </w:pPr>
      <w:r>
        <w:rPr>
          <w:rFonts w:ascii="Consolas" w:hAnsi="Consolas" w:cs="Consolas"/>
          <w:b w:val="0"/>
          <w:i w:val="0"/>
          <w:sz w:val="15"/>
        </w:rPr>
        <w:t xml:space="preserve">  • Product, quantity, condition score, asking price</w:t>
      </w:r>
    </w:p>
    <w:p>
      <w:pPr>
        <w:spacing w:after="0" w:before="0" w:line="240" w:lineRule="auto"/>
        <w:ind w:left="57"/>
        <w:jc w:val="left"/>
        <w:shd w:val="clear" w:fill="F2F2F2"/>
      </w:pPr>
      <w:r>
        <w:rPr>
          <w:rFonts w:ascii="Consolas" w:hAnsi="Consolas" w:cs="Consolas"/>
          <w:b w:val="0"/>
          <w:i w:val="0"/>
          <w:sz w:val="15"/>
        </w:rPr>
        <w:t xml:space="preserve">  • Your company name (Mekong Fresh)</w:t>
      </w:r>
    </w:p>
    <w:p>
      <w:pPr>
        <w:spacing w:after="0" w:before="0" w:line="240" w:lineRule="auto"/>
        <w:ind w:left="57"/>
        <w:jc w:val="left"/>
        <w:shd w:val="clear" w:fill="F2F2F2"/>
      </w:pPr>
      <w:r>
        <w:rPr>
          <w:rFonts w:ascii="Consolas" w:hAnsi="Consolas" w:cs="Consolas"/>
          <w:b w:val="0"/>
          <w:i w:val="0"/>
          <w:sz w:val="15"/>
        </w:rPr>
        <w:t xml:space="preserve">  • A link to view the full listing on SGTX</w:t>
      </w:r>
    </w:p>
    <w:p>
      <w:pPr>
        <w:spacing w:after="0" w:before="0" w:line="240" w:lineRule="auto"/>
        <w:ind w:left="57"/>
        <w:jc w:val="left"/>
        <w:shd w:val="clear" w:fill="F2F2F2"/>
      </w:pPr>
      <w:r>
        <w:rPr>
          <w:rFonts w:ascii="Consolas" w:hAnsi="Consolas" w:cs="Consolas"/>
          <w:b w:val="0"/>
          <w:i w:val="0"/>
          <w:sz w:val="15"/>
        </w:rPr>
        <w:t>Recipients will know your identity. Do you want to proceed?</w:t>
      </w:r>
    </w:p>
    <w:p>
      <w:pPr>
        <w:spacing w:after="0" w:before="0" w:line="240" w:lineRule="auto"/>
        <w:ind w:left="57"/>
        <w:jc w:val="left"/>
        <w:shd w:val="clear" w:fill="F2F2F2"/>
      </w:pPr>
      <w:r>
        <w:rPr>
          <w:rFonts w:ascii="Consolas" w:hAnsi="Consolas" w:cs="Consolas"/>
          <w:b w:val="0"/>
          <w:i w:val="0"/>
          <w:sz w:val="15"/>
        </w:rPr>
        <w:t>[Yes, start outreach] [No, go back]</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Step-by-step outreach: the seller configures the window and floor price, acknowledges the privacy notice, and clicks "Start Accelerated Outreach" (1). Notifications go out simultaneously.</w:t>
      </w:r>
    </w:p>
    <w:p>
      <w:pPr>
        <w:spacing w:after="80" w:line="293" w:lineRule="auto"/>
        <w:jc w:val="left"/>
      </w:pPr>
      <w:r>
        <w:rPr>
          <w:rFonts w:ascii="Times New Roman" w:hAnsi="Times New Roman" w:cs="Times New Roman"/>
          <w:b w:val="0"/>
          <w:i w:val="0"/>
          <w:sz w:val="22"/>
        </w:rPr>
        <w:t>Phase 8.2 one-click count: seller 1 click.</w:t>
      </w:r>
    </w:p>
    <w:p>
      <w:pPr>
        <w:keepNext/>
        <w:spacing w:before="140" w:after="60"/>
        <w:outlineLvl w:val="3"/>
      </w:pPr>
      <w:r>
        <w:rPr>
          <w:rFonts w:ascii="Arial" w:hAnsi="Arial" w:cs="Arial"/>
          <w:b/>
          <w:i/>
          <w:color w:val="333333"/>
          <w:sz w:val="22"/>
        </w:rPr>
        <w:t>23.4.3.7 Phase 8 — Recipient Response &amp; Real-Time Ranking</w:t>
      </w:r>
    </w:p>
    <w:p>
      <w:pPr>
        <w:spacing w:after="80" w:line="293" w:lineRule="auto"/>
        <w:jc w:val="left"/>
      </w:pPr>
      <w:r>
        <w:rPr>
          <w:rFonts w:ascii="Times New Roman" w:hAnsi="Times New Roman" w:cs="Times New Roman"/>
          <w:b w:val="0"/>
          <w:i w:val="0"/>
          <w:sz w:val="22"/>
        </w:rPr>
        <w:t>Goal: the selected buyers receive notifications, view full details, and submit offers; the seller sees real-time responses ranked by a composite score. Duration: 6 hours (outreach window). One-click guarantee: buyer views details with one click; submits offer with one click.</w:t>
      </w:r>
    </w:p>
    <w:p>
      <w:pPr>
        <w:spacing w:after="80" w:line="293" w:lineRule="auto"/>
        <w:jc w:val="left"/>
      </w:pPr>
      <w:r>
        <w:rPr>
          <w:rFonts w:ascii="Times New Roman" w:hAnsi="Times New Roman" w:cs="Times New Roman"/>
          <w:b w:val="0"/>
          <w:i w:val="0"/>
          <w:sz w:val="22"/>
        </w:rPr>
        <w:t>AI assistance: A2 (LightGBM) — real-time ranking; A1 (Groq) — response summaries.</w:t>
      </w:r>
    </w:p>
    <w:p>
      <w:pPr>
        <w:spacing w:after="80" w:line="293" w:lineRule="auto"/>
        <w:jc w:val="left"/>
      </w:pPr>
      <w:r>
        <w:rPr>
          <w:rFonts w:ascii="Times New Roman" w:hAnsi="Times New Roman" w:cs="Times New Roman"/>
          <w:b w:val="0"/>
          <w:i w:val="0"/>
          <w:sz w:val="22"/>
        </w:rPr>
        <w:t>Buyer view (Juice Factory Ltd.): the Smart Inbox delivers the distressed listing item; the buyer clicks [View Details] (1) — full listing with condition report, photos, and shelf life; the buyer submits an offer of $1,000 (1). Phase 8.3 one-click count: buyer 2 clicks.</w:t>
      </w:r>
    </w:p>
    <w:p>
      <w:pPr>
        <w:spacing w:after="80" w:line="293" w:lineRule="auto"/>
        <w:jc w:val="left"/>
      </w:pPr>
      <w:r>
        <w:rPr>
          <w:rFonts w:ascii="Times New Roman" w:hAnsi="Times New Roman" w:cs="Times New Roman"/>
          <w:b w:val="0"/>
          <w:i w:val="0"/>
          <w:sz w:val="22"/>
        </w:rPr>
        <w:t>Buyer view (Cairo Processors): same flow; the buyer views details and submits an offer of $950. Phase 8.4 one-click count: buyer 2 clicks.</w:t>
      </w:r>
    </w:p>
    <w:p>
      <w:pPr>
        <w:spacing w:after="80" w:line="293" w:lineRule="auto"/>
        <w:jc w:val="left"/>
      </w:pPr>
      <w:r>
        <w:rPr>
          <w:rFonts w:ascii="Times New Roman" w:hAnsi="Times New Roman" w:cs="Times New Roman"/>
          <w:b w:val="0"/>
          <w:i w:val="0"/>
          <w:sz w:val="22"/>
        </w:rPr>
        <w:t>Seller dashboard — real-time rankings:</w:t>
      </w:r>
    </w:p>
    <w:p>
      <w:pPr>
        <w:spacing w:after="0" w:before="0" w:line="240" w:lineRule="auto"/>
        <w:ind w:left="57"/>
        <w:jc w:val="left"/>
        <w:shd w:val="clear" w:fill="F2F2F2"/>
      </w:pPr>
      <w:r>
        <w:rPr>
          <w:rFonts w:ascii="Consolas" w:hAnsi="Consolas" w:cs="Consolas"/>
          <w:b w:val="0"/>
          <w:i w:val="0"/>
          <w:sz w:val="15"/>
        </w:rPr>
        <w:t>ACCELERATED OUTREACH — Live Dashboard</w:t>
      </w:r>
    </w:p>
    <w:p>
      <w:pPr>
        <w:spacing w:after="0" w:before="0" w:line="240" w:lineRule="auto"/>
        <w:ind w:left="57"/>
        <w:jc w:val="left"/>
        <w:shd w:val="clear" w:fill="F2F2F2"/>
      </w:pPr>
      <w:r>
        <w:rPr>
          <w:rFonts w:ascii="Consolas" w:hAnsi="Consolas" w:cs="Consolas"/>
          <w:b w:val="0"/>
          <w:i w:val="0"/>
          <w:sz w:val="15"/>
        </w:rPr>
        <w:t>Listing: DST-001 | MicroUSTN: SGTX-1397F3A-456ABC-20260420150000-D4E5F6G7</w:t>
      </w:r>
    </w:p>
    <w:p>
      <w:pPr>
        <w:spacing w:after="0" w:before="0" w:line="240" w:lineRule="auto"/>
        <w:ind w:left="57"/>
        <w:jc w:val="left"/>
        <w:shd w:val="clear" w:fill="F2F2F2"/>
      </w:pPr>
      <w:r>
        <w:rPr>
          <w:rFonts w:ascii="Consolas" w:hAnsi="Consolas" w:cs="Consolas"/>
          <w:b w:val="0"/>
          <w:i w:val="0"/>
          <w:sz w:val="15"/>
        </w:rPr>
        <w:t>Time remaining: 4h 23m    Floor price: $810 (hidden)    Asking price: $1,075</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RESPONSES (2 of 2)</w:t>
      </w:r>
    </w:p>
    <w:p>
      <w:pPr>
        <w:spacing w:after="0" w:before="0" w:line="240" w:lineRule="auto"/>
        <w:ind w:left="57"/>
        <w:jc w:val="left"/>
        <w:shd w:val="clear" w:fill="F2F2F2"/>
      </w:pPr>
      <w:r>
        <w:rPr>
          <w:rFonts w:ascii="Consolas" w:hAnsi="Consolas" w:cs="Consolas"/>
          <w:b w:val="0"/>
          <w:i w:val="0"/>
          <w:sz w:val="15"/>
        </w:rPr>
        <w:t>Juice Factory Ltd. — $1,000 — 2h ago — Score: 94</w:t>
      </w:r>
    </w:p>
    <w:p>
      <w:pPr>
        <w:spacing w:after="0" w:before="0" w:line="240" w:lineRule="auto"/>
        <w:ind w:left="57"/>
        <w:jc w:val="left"/>
        <w:shd w:val="clear" w:fill="F2F2F2"/>
      </w:pPr>
      <w:r>
        <w:rPr>
          <w:rFonts w:ascii="Consolas" w:hAnsi="Consolas" w:cs="Consolas"/>
          <w:b w:val="0"/>
          <w:i w:val="0"/>
          <w:sz w:val="15"/>
        </w:rPr>
        <w:t xml:space="preserve">  Trust: 91 | Past distressed purchases: 3 (100% completion)</w:t>
      </w:r>
    </w:p>
    <w:p>
      <w:pPr>
        <w:spacing w:after="0" w:before="0" w:line="240" w:lineRule="auto"/>
        <w:ind w:left="57"/>
        <w:jc w:val="left"/>
        <w:shd w:val="clear" w:fill="F2F2F2"/>
      </w:pPr>
      <w:r>
        <w:rPr>
          <w:rFonts w:ascii="Consolas" w:hAnsi="Consolas" w:cs="Consolas"/>
          <w:b w:val="0"/>
          <w:i w:val="0"/>
          <w:sz w:val="15"/>
        </w:rPr>
        <w:t xml:space="preserve">  [Accept] [Counter]</w:t>
      </w:r>
    </w:p>
    <w:p>
      <w:pPr>
        <w:spacing w:after="0" w:before="0" w:line="240" w:lineRule="auto"/>
        <w:ind w:left="57"/>
        <w:jc w:val="left"/>
        <w:shd w:val="clear" w:fill="F2F2F2"/>
      </w:pPr>
      <w:r>
        <w:rPr>
          <w:rFonts w:ascii="Consolas" w:hAnsi="Consolas" w:cs="Consolas"/>
          <w:b w:val="0"/>
          <w:i w:val="0"/>
          <w:sz w:val="15"/>
        </w:rPr>
        <w:t>Cairo Processors — $950 — 3h ago — Score: 78</w:t>
      </w:r>
    </w:p>
    <w:p>
      <w:pPr>
        <w:spacing w:after="0" w:before="0" w:line="240" w:lineRule="auto"/>
        <w:ind w:left="57"/>
        <w:jc w:val="left"/>
        <w:shd w:val="clear" w:fill="F2F2F2"/>
      </w:pPr>
      <w:r>
        <w:rPr>
          <w:rFonts w:ascii="Consolas" w:hAnsi="Consolas" w:cs="Consolas"/>
          <w:b w:val="0"/>
          <w:i w:val="0"/>
          <w:sz w:val="15"/>
        </w:rPr>
        <w:t xml:space="preserve">  Trust: 83 | Past distressed purchases: 1 (50% completion)</w:t>
      </w:r>
    </w:p>
    <w:p>
      <w:pPr>
        <w:spacing w:after="0" w:before="0" w:line="240" w:lineRule="auto"/>
        <w:ind w:left="57"/>
        <w:jc w:val="left"/>
        <w:shd w:val="clear" w:fill="F2F2F2"/>
      </w:pPr>
      <w:r>
        <w:rPr>
          <w:rFonts w:ascii="Consolas" w:hAnsi="Consolas" w:cs="Consolas"/>
          <w:b w:val="0"/>
          <w:i w:val="0"/>
          <w:sz w:val="15"/>
        </w:rPr>
        <w:t xml:space="preserve">  [Accept] [Counter]</w:t>
      </w:r>
    </w:p>
    <w:p>
      <w:pPr>
        <w:spacing w:after="0" w:before="0" w:line="240" w:lineRule="auto"/>
        <w:ind w:left="57"/>
        <w:jc w:val="left"/>
        <w:shd w:val="clear" w:fill="F2F2F2"/>
      </w:pPr>
      <w:r>
        <w:rPr>
          <w:rFonts w:ascii="Consolas" w:hAnsi="Consolas" w:cs="Consolas"/>
          <w:b w:val="0"/>
          <w:i w:val="0"/>
          <w:sz w:val="15"/>
        </w:rPr>
        <w:t>Alexandria Trading — No response — Score: 42</w:t>
      </w:r>
    </w:p>
    <w:p>
      <w:pPr>
        <w:spacing w:after="0" w:before="0" w:line="240" w:lineRule="auto"/>
        <w:ind w:left="57"/>
        <w:jc w:val="left"/>
        <w:shd w:val="clear" w:fill="F2F2F2"/>
      </w:pPr>
      <w:r>
        <w:rPr>
          <w:rFonts w:ascii="Consolas" w:hAnsi="Consolas" w:cs="Consolas"/>
          <w:b w:val="0"/>
          <w:i w:val="0"/>
          <w:sz w:val="15"/>
        </w:rPr>
        <w:t xml:space="preserve">  Trust: 76 | Past distressed purchases: 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Recommendation: Accept Juice Factory Ltd. — Highest offer, strongest</w:t>
      </w:r>
    </w:p>
    <w:p>
      <w:pPr>
        <w:spacing w:after="0" w:before="0" w:line="240" w:lineRule="auto"/>
        <w:ind w:left="57"/>
        <w:jc w:val="left"/>
        <w:shd w:val="clear" w:fill="F2F2F2"/>
      </w:pPr>
      <w:r>
        <w:rPr>
          <w:rFonts w:ascii="Consolas" w:hAnsi="Consolas" w:cs="Consolas"/>
          <w:b w:val="0"/>
          <w:i w:val="0"/>
          <w:sz w:val="15"/>
        </w:rPr>
        <w:t>history of distressed purchases. Confidence: 94%.</w:t>
      </w:r>
    </w:p>
    <w:p>
      <w:pPr>
        <w:spacing w:after="0" w:before="0" w:line="240" w:lineRule="auto"/>
        <w:ind w:left="57"/>
        <w:jc w:val="left"/>
        <w:shd w:val="clear" w:fill="F2F2F2"/>
      </w:pPr>
      <w:r>
        <w:rPr>
          <w:rFonts w:ascii="Consolas" w:hAnsi="Consolas" w:cs="Consolas"/>
          <w:b w:val="0"/>
          <w:i w:val="0"/>
          <w:sz w:val="15"/>
        </w:rPr>
        <w:t>[Accept Recommendation] [Manual Selection]</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23.4.3.8 Phase 8 — Express Negotiation &amp; Acceptance</w:t>
      </w:r>
    </w:p>
    <w:p>
      <w:pPr>
        <w:spacing w:after="80" w:line="293" w:lineRule="auto"/>
        <w:jc w:val="left"/>
      </w:pPr>
      <w:r>
        <w:rPr>
          <w:rFonts w:ascii="Times New Roman" w:hAnsi="Times New Roman" w:cs="Times New Roman"/>
          <w:b w:val="0"/>
          <w:i w:val="0"/>
          <w:sz w:val="22"/>
        </w:rPr>
        <w:t>Goal: the seller reviews offers, optionally counters, and accepts the best offer; the microcontract is generated automatically. Duration: day 1 (15 minutes after offers received). One-click guarantee: accept is one click; counter is one click; microcontract generation is automatic.</w:t>
      </w:r>
    </w:p>
    <w:p>
      <w:pPr>
        <w:spacing w:after="80" w:line="293" w:lineRule="auto"/>
        <w:jc w:val="left"/>
      </w:pPr>
      <w:r>
        <w:rPr>
          <w:rFonts w:ascii="Times New Roman" w:hAnsi="Times New Roman" w:cs="Times New Roman"/>
          <w:b w:val="0"/>
          <w:i w:val="0"/>
          <w:sz w:val="22"/>
        </w:rPr>
        <w:t>AI assistance: A2/A3 — negotiation bot (if enabled); A1 (Groq) — translation.</w:t>
      </w:r>
    </w:p>
    <w:p>
      <w:pPr>
        <w:spacing w:after="80" w:line="293" w:lineRule="auto"/>
        <w:jc w:val="left"/>
      </w:pPr>
      <w:r>
        <w:rPr>
          <w:rFonts w:ascii="Times New Roman" w:hAnsi="Times New Roman" w:cs="Times New Roman"/>
          <w:b w:val="0"/>
          <w:i w:val="0"/>
          <w:sz w:val="22"/>
        </w:rPr>
        <w:t>Step-by-step acceptance: the seller reviews the ranked offers; optionally counters (1 per round, maximum 3 rounds); accepts the best offer (1). The microcontract is generated automatically.</w:t>
      </w:r>
    </w:p>
    <w:p>
      <w:pPr>
        <w:spacing w:after="80" w:line="293" w:lineRule="auto"/>
        <w:jc w:val="left"/>
      </w:pPr>
      <w:r>
        <w:rPr>
          <w:rFonts w:ascii="Times New Roman" w:hAnsi="Times New Roman" w:cs="Times New Roman"/>
          <w:b w:val="0"/>
          <w:i w:val="0"/>
          <w:sz w:val="22"/>
        </w:rPr>
        <w:t>Phase 8.5 one-click count: seller 1 click.</w:t>
      </w:r>
    </w:p>
    <w:p>
      <w:pPr>
        <w:keepNext/>
        <w:spacing w:before="140" w:after="60"/>
        <w:outlineLvl w:val="3"/>
      </w:pPr>
      <w:r>
        <w:rPr>
          <w:rFonts w:ascii="Arial" w:hAnsi="Arial" w:cs="Arial"/>
          <w:b/>
          <w:i/>
          <w:color w:val="333333"/>
          <w:sz w:val="22"/>
        </w:rPr>
        <w:t>23.4.3.9 Phase 7 — Microcontract &amp; Distressed Fee Payment</w:t>
      </w:r>
    </w:p>
    <w:p>
      <w:pPr>
        <w:spacing w:after="80" w:line="293" w:lineRule="auto"/>
        <w:jc w:val="left"/>
      </w:pPr>
      <w:r>
        <w:rPr>
          <w:rFonts w:ascii="Times New Roman" w:hAnsi="Times New Roman" w:cs="Times New Roman"/>
          <w:b w:val="0"/>
          <w:i w:val="0"/>
          <w:sz w:val="22"/>
        </w:rPr>
        <w:t>Goal: the seller pays the distressed platform fee (adjusted by country factor), the microcontract locks, and the microUSTN is generated. Duration: day 1 (5 minutes after acceptance). One-click guarantee: fee payment is one click; the microcontract locks automatically.</w:t>
      </w:r>
    </w:p>
    <w:p>
      <w:pPr>
        <w:spacing w:after="80" w:line="293" w:lineRule="auto"/>
        <w:jc w:val="left"/>
      </w:pPr>
      <w:r>
        <w:rPr>
          <w:rFonts w:ascii="Times New Roman" w:hAnsi="Times New Roman" w:cs="Times New Roman"/>
          <w:b w:val="0"/>
          <w:i w:val="0"/>
          <w:sz w:val="22"/>
        </w:rPr>
        <w:t>AI assistance: A4 (OPA + WasmEdge) — fee calculation with country factor.</w:t>
      </w:r>
    </w:p>
    <w:p>
      <w:pPr>
        <w:spacing w:after="80" w:line="293" w:lineRule="auto"/>
        <w:jc w:val="left"/>
      </w:pPr>
      <w:r>
        <w:rPr>
          <w:rFonts w:ascii="Times New Roman" w:hAnsi="Times New Roman" w:cs="Times New Roman"/>
          <w:b w:val="0"/>
          <w:i w:val="0"/>
          <w:sz w:val="22"/>
        </w:rPr>
        <w:t>Step-by-step microcontract: the seller pays the distressed fee (1); the buyer countersigns the microcontract (1); the microcontract locks and the microUSTN is generated (automatic).</w:t>
      </w:r>
    </w:p>
    <w:p>
      <w:pPr>
        <w:spacing w:after="80" w:line="293" w:lineRule="auto"/>
        <w:jc w:val="left"/>
      </w:pPr>
      <w:r>
        <w:rPr>
          <w:rFonts w:ascii="Times New Roman" w:hAnsi="Times New Roman" w:cs="Times New Roman"/>
          <w:b w:val="0"/>
          <w:i w:val="0"/>
          <w:sz w:val="22"/>
        </w:rPr>
        <w:t>Phase 8.6 one-click count: seller 2, buyer 1 → 3 clicks.</w:t>
      </w:r>
    </w:p>
    <w:p>
      <w:pPr>
        <w:spacing w:after="80" w:line="293" w:lineRule="auto"/>
        <w:jc w:val="left"/>
      </w:pPr>
      <w:r>
        <w:rPr>
          <w:rFonts w:ascii="Times New Roman" w:hAnsi="Times New Roman" w:cs="Times New Roman"/>
          <w:b w:val="0"/>
          <w:i w:val="0"/>
          <w:sz w:val="22"/>
        </w:rPr>
        <w:t>Distressed fee breakdown:</w:t>
      </w:r>
    </w:p>
    <w:p>
      <w:pPr>
        <w:spacing w:after="0" w:before="0" w:line="240" w:lineRule="auto"/>
        <w:ind w:left="57"/>
        <w:jc w:val="left"/>
        <w:shd w:val="clear" w:fill="F2F2F2"/>
      </w:pPr>
      <w:r>
        <w:rPr>
          <w:rFonts w:ascii="Consolas" w:hAnsi="Consolas" w:cs="Consolas"/>
          <w:b w:val="0"/>
          <w:i w:val="0"/>
          <w:sz w:val="15"/>
        </w:rPr>
        <w:t>DISTRESSED FEE CALCULATION</w:t>
      </w:r>
    </w:p>
    <w:p>
      <w:pPr>
        <w:spacing w:after="0" w:before="0" w:line="240" w:lineRule="auto"/>
        <w:ind w:left="57"/>
        <w:jc w:val="left"/>
        <w:shd w:val="clear" w:fill="F2F2F2"/>
      </w:pPr>
      <w:r>
        <w:rPr>
          <w:rFonts w:ascii="Consolas" w:hAnsi="Consolas" w:cs="Consolas"/>
          <w:b w:val="0"/>
          <w:i w:val="0"/>
          <w:sz w:val="15"/>
        </w:rPr>
        <w:t>MicroUSTN: SGTX-1397F3A-456ABC-20260420150000-D4E5F6G7</w:t>
      </w:r>
    </w:p>
    <w:p>
      <w:pPr>
        <w:spacing w:after="0" w:before="0" w:line="240" w:lineRule="auto"/>
        <w:ind w:left="57"/>
        <w:jc w:val="left"/>
        <w:shd w:val="clear" w:fill="F2F2F2"/>
      </w:pPr>
      <w:r>
        <w:rPr>
          <w:rFonts w:ascii="Consolas" w:hAnsi="Consolas" w:cs="Consolas"/>
          <w:b w:val="0"/>
          <w:i w:val="0"/>
          <w:sz w:val="15"/>
        </w:rPr>
        <w:t>Sale Amount:            $1,000.00</w:t>
      </w:r>
    </w:p>
    <w:p>
      <w:pPr>
        <w:spacing w:after="0" w:before="0" w:line="240" w:lineRule="auto"/>
        <w:ind w:left="57"/>
        <w:jc w:val="left"/>
        <w:shd w:val="clear" w:fill="F2F2F2"/>
      </w:pPr>
      <w:r>
        <w:rPr>
          <w:rFonts w:ascii="Consolas" w:hAnsi="Consolas" w:cs="Consolas"/>
          <w:b w:val="0"/>
          <w:i w:val="0"/>
          <w:sz w:val="15"/>
        </w:rPr>
        <w:t>Engine Effective Rate:      0.144%</w:t>
      </w:r>
    </w:p>
    <w:p>
      <w:pPr>
        <w:spacing w:after="0" w:before="0" w:line="240" w:lineRule="auto"/>
        <w:ind w:left="57"/>
        <w:jc w:val="left"/>
        <w:shd w:val="clear" w:fill="F2F2F2"/>
      </w:pPr>
      <w:r>
        <w:rPr>
          <w:rFonts w:ascii="Consolas" w:hAnsi="Consolas" w:cs="Consolas"/>
          <w:b w:val="0"/>
          <w:i w:val="0"/>
          <w:sz w:val="15"/>
        </w:rPr>
        <w:t>Jurisdiction Factor (UAE): 0.85</w:t>
      </w:r>
    </w:p>
    <w:p>
      <w:pPr>
        <w:spacing w:after="0" w:before="0" w:line="240" w:lineRule="auto"/>
        <w:ind w:left="57"/>
        <w:jc w:val="left"/>
        <w:shd w:val="clear" w:fill="F2F2F2"/>
      </w:pPr>
      <w:r>
        <w:rPr>
          <w:rFonts w:ascii="Consolas" w:hAnsi="Consolas" w:cs="Consolas"/>
          <w:b w:val="0"/>
          <w:i w:val="0"/>
          <w:sz w:val="15"/>
        </w:rPr>
        <w:t>Effective Fee Rate:     0.144% × 0.85 = 0.1224%</w:t>
      </w:r>
    </w:p>
    <w:p>
      <w:pPr>
        <w:spacing w:after="0" w:before="0" w:line="240" w:lineRule="auto"/>
        <w:ind w:left="57"/>
        <w:jc w:val="left"/>
        <w:shd w:val="clear" w:fill="F2F2F2"/>
      </w:pPr>
      <w:r>
        <w:rPr>
          <w:rFonts w:ascii="Consolas" w:hAnsi="Consolas" w:cs="Consolas"/>
          <w:b w:val="0"/>
          <w:i w:val="0"/>
          <w:sz w:val="15"/>
        </w:rPr>
        <w:t>Distressed SGTX Fee:    $1,000.00 × 0.1224% = $1.22</w:t>
      </w:r>
    </w:p>
    <w:p>
      <w:pPr>
        <w:spacing w:after="0" w:before="0" w:line="240" w:lineRule="auto"/>
        <w:ind w:left="57"/>
        <w:jc w:val="left"/>
        <w:shd w:val="clear" w:fill="F2F2F2"/>
      </w:pPr>
      <w:r>
        <w:rPr>
          <w:rFonts w:ascii="Consolas" w:hAnsi="Consolas" w:cs="Consolas"/>
          <w:b w:val="0"/>
          <w:i w:val="0"/>
          <w:sz w:val="15"/>
        </w:rPr>
        <w:t>[Pay Distressed Fee] [Cancel]</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23.4.3.10 Phase 8 — Microcontract Tracking</w:t>
      </w:r>
    </w:p>
    <w:p>
      <w:pPr>
        <w:spacing w:after="80" w:line="293" w:lineRule="auto"/>
        <w:jc w:val="left"/>
      </w:pPr>
      <w:r>
        <w:rPr>
          <w:rFonts w:ascii="Times New Roman" w:hAnsi="Times New Roman" w:cs="Times New Roman"/>
          <w:b w:val="0"/>
          <w:i w:val="0"/>
          <w:sz w:val="22"/>
        </w:rPr>
        <w:t>Goal: the buyer arranges pickup and confirms receipt; the distressed sale completes. Duration: day 2 (after pickup). One-click guarantee: confirm receipt is one click.</w:t>
      </w:r>
    </w:p>
    <w:p>
      <w:pPr>
        <w:spacing w:after="80" w:line="293" w:lineRule="auto"/>
        <w:jc w:val="left"/>
      </w:pPr>
      <w:r>
        <w:rPr>
          <w:rFonts w:ascii="Times New Roman" w:hAnsi="Times New Roman" w:cs="Times New Roman"/>
          <w:b w:val="0"/>
          <w:i w:val="0"/>
          <w:sz w:val="22"/>
        </w:rPr>
        <w:t>Step-by-step completion: the buyer arranges pickup; the buyer confirms receipt (1); the distressed lot status moves to COMPLETED; the original shipment's distressed information card updates.</w:t>
      </w:r>
    </w:p>
    <w:p>
      <w:pPr>
        <w:spacing w:after="80" w:line="293" w:lineRule="auto"/>
        <w:jc w:val="left"/>
      </w:pPr>
      <w:r>
        <w:rPr>
          <w:rFonts w:ascii="Times New Roman" w:hAnsi="Times New Roman" w:cs="Times New Roman"/>
          <w:b w:val="0"/>
          <w:i w:val="0"/>
          <w:sz w:val="22"/>
        </w:rPr>
        <w:t>Phase 8.7 one-click count: buyer 1 click.</w:t>
      </w:r>
    </w:p>
    <w:p>
      <w:pPr>
        <w:keepNext/>
        <w:spacing w:before="140" w:after="60"/>
        <w:outlineLvl w:val="3"/>
      </w:pPr>
      <w:r>
        <w:rPr>
          <w:rFonts w:ascii="Arial" w:hAnsi="Arial" w:cs="Arial"/>
          <w:b/>
          <w:i/>
          <w:color w:val="333333"/>
          <w:sz w:val="22"/>
        </w:rPr>
        <w:t>23.4.3.11 Full Timeline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When</w:t>
            </w:r>
          </w:p>
        </w:tc>
        <w:tc>
          <w:tcPr>
            <w:tcW w:type="dxa" w:w="4819"/>
            <w:shd w:val="clear" w:fill="D9E2F3"/>
          </w:tcPr>
          <w:p>
            <w:pPr>
              <w:spacing w:after="20" w:before="20" w:line="240" w:lineRule="auto"/>
            </w:pPr>
            <w:r/>
            <w:r>
              <w:rPr>
                <w:rFonts w:ascii="Arial" w:hAnsi="Arial" w:cs="Arial"/>
                <w:b/>
                <w:i w:val="0"/>
                <w:sz w:val="18"/>
              </w:rPr>
              <w:t>Event</w:t>
            </w:r>
          </w:p>
        </w:tc>
      </w:tr>
      <w:tr>
        <w:tc>
          <w:tcPr>
            <w:tcW w:type="dxa" w:w="4819"/>
          </w:tcPr>
          <w:p>
            <w:pPr>
              <w:spacing w:after="20" w:before="20" w:line="240" w:lineRule="auto"/>
            </w:pPr>
            <w:r/>
            <w:r>
              <w:rPr>
                <w:rFonts w:ascii="Arial" w:hAnsi="Arial" w:cs="Arial"/>
                <w:b w:val="0"/>
                <w:i w:val="0"/>
                <w:sz w:val="17"/>
              </w:rPr>
              <w:t>Day 1, minute 0–30</w:t>
            </w:r>
          </w:p>
        </w:tc>
        <w:tc>
          <w:tcPr>
            <w:tcW w:type="dxa" w:w="4819"/>
          </w:tcPr>
          <w:p>
            <w:pPr>
              <w:spacing w:after="20" w:before="20" w:line="240" w:lineRule="auto"/>
            </w:pPr>
            <w:r/>
            <w:r>
              <w:rPr>
                <w:rFonts w:ascii="Arial" w:hAnsi="Arial" w:cs="Arial"/>
                <w:b w:val="0"/>
                <w:i w:val="0"/>
                <w:sz w:val="17"/>
              </w:rPr>
              <w:t>Declaration + AI assessment + dynamic pricing (3 clicks)</w:t>
            </w:r>
          </w:p>
        </w:tc>
      </w:tr>
      <w:tr>
        <w:tc>
          <w:tcPr>
            <w:tcW w:type="dxa" w:w="4819"/>
          </w:tcPr>
          <w:p>
            <w:pPr>
              <w:spacing w:after="20" w:before="20" w:line="240" w:lineRule="auto"/>
            </w:pPr>
            <w:r/>
            <w:r>
              <w:rPr>
                <w:rFonts w:ascii="Arial" w:hAnsi="Arial" w:cs="Arial"/>
                <w:b w:val="0"/>
                <w:i w:val="0"/>
                <w:sz w:val="17"/>
              </w:rPr>
              <w:t>Day 1, +5 min</w:t>
            </w:r>
          </w:p>
        </w:tc>
        <w:tc>
          <w:tcPr>
            <w:tcW w:type="dxa" w:w="4819"/>
          </w:tcPr>
          <w:p>
            <w:pPr>
              <w:spacing w:after="20" w:before="20" w:line="240" w:lineRule="auto"/>
            </w:pPr>
            <w:r/>
            <w:r>
              <w:rPr>
                <w:rFonts w:ascii="Arial" w:hAnsi="Arial" w:cs="Arial"/>
                <w:b w:val="0"/>
                <w:i w:val="0"/>
                <w:sz w:val="17"/>
              </w:rPr>
              <w:t>Triage path selection (1 click)</w:t>
            </w:r>
          </w:p>
        </w:tc>
      </w:tr>
      <w:tr>
        <w:tc>
          <w:tcPr>
            <w:tcW w:type="dxa" w:w="4819"/>
          </w:tcPr>
          <w:p>
            <w:pPr>
              <w:spacing w:after="20" w:before="20" w:line="240" w:lineRule="auto"/>
            </w:pPr>
            <w:r/>
            <w:r>
              <w:rPr>
                <w:rFonts w:ascii="Arial" w:hAnsi="Arial" w:cs="Arial"/>
                <w:b w:val="0"/>
                <w:i w:val="0"/>
                <w:sz w:val="17"/>
              </w:rPr>
              <w:t>Day 1, +5 min</w:t>
            </w:r>
          </w:p>
        </w:tc>
        <w:tc>
          <w:tcPr>
            <w:tcW w:type="dxa" w:w="4819"/>
          </w:tcPr>
          <w:p>
            <w:pPr>
              <w:spacing w:after="20" w:before="20" w:line="240" w:lineRule="auto"/>
            </w:pPr>
            <w:r/>
            <w:r>
              <w:rPr>
                <w:rFonts w:ascii="Arial" w:hAnsi="Arial" w:cs="Arial"/>
                <w:b w:val="0"/>
                <w:i w:val="0"/>
                <w:sz w:val="17"/>
              </w:rPr>
              <w:t>"Check Buyers" advisory + manual selection (2 clicks)</w:t>
            </w:r>
          </w:p>
        </w:tc>
      </w:tr>
      <w:tr>
        <w:tc>
          <w:tcPr>
            <w:tcW w:type="dxa" w:w="4819"/>
          </w:tcPr>
          <w:p>
            <w:pPr>
              <w:spacing w:after="20" w:before="20" w:line="240" w:lineRule="auto"/>
            </w:pPr>
            <w:r/>
            <w:r>
              <w:rPr>
                <w:rFonts w:ascii="Arial" w:hAnsi="Arial" w:cs="Arial"/>
                <w:b w:val="0"/>
                <w:i w:val="0"/>
                <w:sz w:val="17"/>
              </w:rPr>
              <w:t>Day 1, +10 min</w:t>
            </w:r>
          </w:p>
        </w:tc>
        <w:tc>
          <w:tcPr>
            <w:tcW w:type="dxa" w:w="4819"/>
          </w:tcPr>
          <w:p>
            <w:pPr>
              <w:spacing w:after="20" w:before="20" w:line="240" w:lineRule="auto"/>
            </w:pPr>
            <w:r/>
            <w:r>
              <w:rPr>
                <w:rFonts w:ascii="Arial" w:hAnsi="Arial" w:cs="Arial"/>
                <w:b w:val="0"/>
                <w:i w:val="0"/>
                <w:sz w:val="17"/>
              </w:rPr>
              <w:t>Outreach setup + privacy notice + start (1 click)</w:t>
            </w:r>
          </w:p>
        </w:tc>
      </w:tr>
      <w:tr>
        <w:tc>
          <w:tcPr>
            <w:tcW w:type="dxa" w:w="4819"/>
          </w:tcPr>
          <w:p>
            <w:pPr>
              <w:spacing w:after="20" w:before="20" w:line="240" w:lineRule="auto"/>
            </w:pPr>
            <w:r/>
            <w:r>
              <w:rPr>
                <w:rFonts w:ascii="Arial" w:hAnsi="Arial" w:cs="Arial"/>
                <w:b w:val="0"/>
                <w:i w:val="0"/>
                <w:sz w:val="17"/>
              </w:rPr>
              <w:t>Day 1, +2h / +3h</w:t>
            </w:r>
          </w:p>
        </w:tc>
        <w:tc>
          <w:tcPr>
            <w:tcW w:type="dxa" w:w="4819"/>
          </w:tcPr>
          <w:p>
            <w:pPr>
              <w:spacing w:after="20" w:before="20" w:line="240" w:lineRule="auto"/>
            </w:pPr>
            <w:r/>
            <w:r>
              <w:rPr>
                <w:rFonts w:ascii="Arial" w:hAnsi="Arial" w:cs="Arial"/>
                <w:b w:val="0"/>
                <w:i w:val="0"/>
                <w:sz w:val="17"/>
              </w:rPr>
              <w:t>Buyers view and offer (2 clicks each)</w:t>
            </w:r>
          </w:p>
        </w:tc>
      </w:tr>
      <w:tr>
        <w:tc>
          <w:tcPr>
            <w:tcW w:type="dxa" w:w="4819"/>
          </w:tcPr>
          <w:p>
            <w:pPr>
              <w:spacing w:after="20" w:before="20" w:line="240" w:lineRule="auto"/>
            </w:pPr>
            <w:r/>
            <w:r>
              <w:rPr>
                <w:rFonts w:ascii="Arial" w:hAnsi="Arial" w:cs="Arial"/>
                <w:b w:val="0"/>
                <w:i w:val="0"/>
                <w:sz w:val="17"/>
              </w:rPr>
              <w:t>Day 1, window end</w:t>
            </w:r>
          </w:p>
        </w:tc>
        <w:tc>
          <w:tcPr>
            <w:tcW w:type="dxa" w:w="4819"/>
          </w:tcPr>
          <w:p>
            <w:pPr>
              <w:spacing w:after="20" w:before="20" w:line="240" w:lineRule="auto"/>
            </w:pPr>
            <w:r/>
            <w:r>
              <w:rPr>
                <w:rFonts w:ascii="Arial" w:hAnsi="Arial" w:cs="Arial"/>
                <w:b w:val="0"/>
                <w:i w:val="0"/>
                <w:sz w:val="17"/>
              </w:rPr>
              <w:t>Seller accepts best offer (1 click)</w:t>
            </w:r>
          </w:p>
        </w:tc>
      </w:tr>
      <w:tr>
        <w:tc>
          <w:tcPr>
            <w:tcW w:type="dxa" w:w="4819"/>
          </w:tcPr>
          <w:p>
            <w:pPr>
              <w:spacing w:after="20" w:before="20" w:line="240" w:lineRule="auto"/>
            </w:pPr>
            <w:r/>
            <w:r>
              <w:rPr>
                <w:rFonts w:ascii="Arial" w:hAnsi="Arial" w:cs="Arial"/>
                <w:b w:val="0"/>
                <w:i w:val="0"/>
                <w:sz w:val="17"/>
              </w:rPr>
              <w:t>Day 1, +5 min</w:t>
            </w:r>
          </w:p>
        </w:tc>
        <w:tc>
          <w:tcPr>
            <w:tcW w:type="dxa" w:w="4819"/>
          </w:tcPr>
          <w:p>
            <w:pPr>
              <w:spacing w:after="20" w:before="20" w:line="240" w:lineRule="auto"/>
            </w:pPr>
            <w:r/>
            <w:r>
              <w:rPr>
                <w:rFonts w:ascii="Arial" w:hAnsi="Arial" w:cs="Arial"/>
                <w:b w:val="0"/>
                <w:i w:val="0"/>
                <w:sz w:val="17"/>
              </w:rPr>
              <w:t>Distressed fee payment + microcontract lock (3 clicks)</w:t>
            </w:r>
          </w:p>
        </w:tc>
      </w:tr>
      <w:tr>
        <w:tc>
          <w:tcPr>
            <w:tcW w:type="dxa" w:w="4819"/>
          </w:tcPr>
          <w:p>
            <w:pPr>
              <w:spacing w:after="20" w:before="20" w:line="240" w:lineRule="auto"/>
            </w:pPr>
            <w:r/>
            <w:r>
              <w:rPr>
                <w:rFonts w:ascii="Arial" w:hAnsi="Arial" w:cs="Arial"/>
                <w:b w:val="0"/>
                <w:i w:val="0"/>
                <w:sz w:val="17"/>
              </w:rPr>
              <w:t>Day 2</w:t>
            </w:r>
          </w:p>
        </w:tc>
        <w:tc>
          <w:tcPr>
            <w:tcW w:type="dxa" w:w="4819"/>
          </w:tcPr>
          <w:p>
            <w:pPr>
              <w:spacing w:after="20" w:before="20" w:line="240" w:lineRule="auto"/>
            </w:pPr>
            <w:r/>
            <w:r>
              <w:rPr>
                <w:rFonts w:ascii="Arial" w:hAnsi="Arial" w:cs="Arial"/>
                <w:b w:val="0"/>
                <w:i w:val="0"/>
                <w:sz w:val="17"/>
              </w:rPr>
              <w:t>Pickup and receipt confirmation (1 click)</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23.4.3.12 Summary — One-Click Counts</w:t>
      </w:r>
    </w:p>
    <w:p>
      <w:pPr>
        <w:spacing w:after="80" w:line="293" w:lineRule="auto"/>
        <w:jc w:val="left"/>
      </w:pPr>
      <w:r>
        <w:rPr>
          <w:rFonts w:ascii="Times New Roman" w:hAnsi="Times New Roman" w:cs="Times New Roman"/>
          <w:b w:val="0"/>
          <w:i w:val="0"/>
          <w:sz w:val="22"/>
        </w:rPr>
        <w:t>Per phase: P7.1 3 · P7.2 1 · P8.1 2 · P8.2 1 · P8.3 2 · P8.4 2 · P8.5 1 · P8.6 3 · P8.7 1 → 16 clicks total across all actors for the entire distressed resolution.</w:t>
      </w:r>
    </w:p>
    <w:p>
      <w:pPr>
        <w:spacing w:after="80" w:line="293" w:lineRule="auto"/>
        <w:jc w:val="left"/>
      </w:pPr>
      <w:r>
        <w:rPr>
          <w:rFonts w:ascii="Times New Roman" w:hAnsi="Times New Roman" w:cs="Times New Roman"/>
          <w:b w:val="0"/>
          <w:i w:val="0"/>
          <w:sz w:val="22"/>
        </w:rPr>
        <w:t>Per actor: seller 8, buyers 5 (two buyers), pickup confirmation 1, automatic steps (assessment, pricing, microcontract generation, microUSTN) 0.</w:t>
      </w:r>
    </w:p>
    <w:p>
      <w:pPr>
        <w:keepNext/>
        <w:spacing w:before="140" w:after="60"/>
        <w:outlineLvl w:val="3"/>
      </w:pPr>
      <w:r>
        <w:rPr>
          <w:rFonts w:ascii="Arial" w:hAnsi="Arial" w:cs="Arial"/>
          <w:b/>
          <w:i/>
          <w:color w:val="333333"/>
          <w:sz w:val="22"/>
        </w:rPr>
        <w:t>23.4.3.13 Lessons Learned &amp; Best Practices</w:t>
      </w:r>
    </w:p>
    <w:p>
      <w:pPr>
        <w:spacing w:after="80" w:line="293" w:lineRule="auto"/>
        <w:ind w:left="283"/>
        <w:jc w:val="left"/>
      </w:pPr>
      <w:r>
        <w:rPr>
          <w:rFonts w:ascii="Times New Roman" w:hAnsi="Times New Roman" w:cs="Times New Roman"/>
          <w:b w:val="0"/>
          <w:i w:val="0"/>
          <w:sz w:val="22"/>
        </w:rPr>
        <w:t>- Declare distress early: the 5-day shelf life drove the pricing model's urgency factor; earlier</w:t>
      </w:r>
    </w:p>
    <w:p>
      <w:pPr>
        <w:spacing w:after="80" w:line="293" w:lineRule="auto"/>
        <w:jc w:val="left"/>
      </w:pPr>
      <w:r>
        <w:rPr>
          <w:rFonts w:ascii="Times New Roman" w:hAnsi="Times New Roman" w:cs="Times New Roman"/>
          <w:b w:val="0"/>
          <w:i w:val="0"/>
          <w:sz w:val="22"/>
        </w:rPr>
        <w:t>declaration yields higher quick-sale prices.</w:t>
      </w:r>
    </w:p>
    <w:p>
      <w:pPr>
        <w:spacing w:after="80" w:line="293" w:lineRule="auto"/>
        <w:ind w:left="283"/>
        <w:jc w:val="left"/>
      </w:pPr>
      <w:r>
        <w:rPr>
          <w:rFonts w:ascii="Times New Roman" w:hAnsi="Times New Roman" w:cs="Times New Roman"/>
          <w:b w:val="0"/>
          <w:i w:val="0"/>
          <w:sz w:val="22"/>
        </w:rPr>
        <w:t>- "Check Buyers" is advisory only — the seller's manual selection preserved the non-marketplace</w:t>
      </w:r>
    </w:p>
    <w:p>
      <w:pPr>
        <w:spacing w:after="80" w:line="293" w:lineRule="auto"/>
        <w:jc w:val="left"/>
      </w:pPr>
      <w:r>
        <w:rPr>
          <w:rFonts w:ascii="Times New Roman" w:hAnsi="Times New Roman" w:cs="Times New Roman"/>
          <w:b w:val="0"/>
          <w:i w:val="0"/>
          <w:sz w:val="22"/>
        </w:rPr>
        <w:t>boundary while still providing ranking intelligence over saved contacts.</w:t>
      </w:r>
    </w:p>
    <w:p>
      <w:pPr>
        <w:spacing w:after="80" w:line="293" w:lineRule="auto"/>
        <w:ind w:left="283"/>
        <w:jc w:val="left"/>
      </w:pPr>
      <w:r>
        <w:rPr>
          <w:rFonts w:ascii="Times New Roman" w:hAnsi="Times New Roman" w:cs="Times New Roman"/>
          <w:b w:val="0"/>
          <w:i w:val="0"/>
          <w:sz w:val="22"/>
        </w:rPr>
        <w:t>- The hidden floor price ($810) prevented lowball auto-rejections from consuming the window.</w:t>
      </w:r>
    </w:p>
    <w:p>
      <w:pPr>
        <w:spacing w:after="80" w:line="293" w:lineRule="auto"/>
        <w:ind w:left="283"/>
        <w:jc w:val="left"/>
      </w:pPr>
      <w:r>
        <w:rPr>
          <w:rFonts w:ascii="Times New Roman" w:hAnsi="Times New Roman" w:cs="Times New Roman"/>
          <w:b w:val="0"/>
          <w:i w:val="0"/>
          <w:sz w:val="22"/>
        </w:rPr>
        <w:t>- The jurisdiction-factored distressed fee ($1.22 on a $1,000 sale, subject to the micro-trade policy) keeps distressed economics</w:t>
      </w:r>
    </w:p>
    <w:p>
      <w:pPr>
        <w:spacing w:after="80" w:line="293" w:lineRule="auto"/>
        <w:jc w:val="left"/>
      </w:pPr>
      <w:r>
        <w:rPr>
          <w:rFonts w:ascii="Times New Roman" w:hAnsi="Times New Roman" w:cs="Times New Roman"/>
          <w:b w:val="0"/>
          <w:i w:val="0"/>
          <w:sz w:val="22"/>
        </w:rPr>
        <w:t>rational.</w:t>
      </w:r>
    </w:p>
    <w:p>
      <w:pPr>
        <w:keepNext/>
        <w:spacing w:before="180" w:after="80"/>
        <w:outlineLvl w:val="2"/>
      </w:pPr>
      <w:r>
        <w:rPr>
          <w:rFonts w:ascii="Arial" w:hAnsi="Arial" w:cs="Arial"/>
          <w:b/>
          <w:i w:val="0"/>
          <w:color w:val="333333"/>
          <w:sz w:val="23"/>
        </w:rPr>
        <w:t>23.4.4 Example 3: Multi-Shipment Schedule Modification After Lock</w:t>
      </w:r>
    </w:p>
    <w:p>
      <w:pPr>
        <w:keepNext/>
        <w:spacing w:before="140" w:after="60"/>
        <w:outlineLvl w:val="3"/>
      </w:pPr>
      <w:r>
        <w:rPr>
          <w:rFonts w:ascii="Arial" w:hAnsi="Arial" w:cs="Arial"/>
          <w:b/>
          <w:i/>
          <w:color w:val="333333"/>
          <w:sz w:val="22"/>
        </w:rPr>
        <w:t>23.4.4.1 Overview &amp; Learning Objectives</w:t>
      </w:r>
    </w:p>
    <w:p>
      <w:pPr>
        <w:spacing w:after="80" w:line="293" w:lineRule="auto"/>
        <w:jc w:val="left"/>
      </w:pPr>
      <w:r>
        <w:rPr>
          <w:rFonts w:ascii="Times New Roman" w:hAnsi="Times New Roman" w:cs="Times New Roman"/>
          <w:b w:val="0"/>
          <w:i w:val="0"/>
          <w:sz w:val="22"/>
        </w:rPr>
        <w:t>This example follows a buyer and seller modifying a multi-shipment contract after the master contract has been locked. One shipment is already in transit, and the buyer needs to adjust the delivery date and port for a future shipment due to operational changes. This demonstrates the platform's flexibility in handling real-world changes without requiring contract cancellation and re-negotiation.</w:t>
      </w:r>
    </w:p>
    <w:p>
      <w:pPr>
        <w:spacing w:after="80" w:line="293" w:lineRule="auto"/>
        <w:jc w:val="left"/>
      </w:pPr>
      <w:r>
        <w:rPr>
          <w:rFonts w:ascii="Times New Roman" w:hAnsi="Times New Roman" w:cs="Times New Roman"/>
          <w:b w:val="0"/>
          <w:i w:val="0"/>
          <w:sz w:val="22"/>
        </w:rPr>
        <w:t>Learning objectives: how the multi-shipment schedule card works; how modification requests are validated (only SCHEDULED shipments can change); how the diff view and schedule addendum are generated; and how the modified shipment proceeds with its own USTN.</w:t>
      </w:r>
    </w:p>
    <w:p>
      <w:pPr>
        <w:spacing w:after="80" w:line="293" w:lineRule="auto"/>
        <w:jc w:val="left"/>
      </w:pPr>
      <w:r>
        <w:rPr>
          <w:rFonts w:ascii="Times New Roman" w:hAnsi="Times New Roman" w:cs="Times New Roman"/>
          <w:b w:val="0"/>
          <w:i w:val="0"/>
          <w:sz w:val="22"/>
        </w:rPr>
        <w:t>Key themes: locked shipments are immutable; modifications are addenda, not re-contracts; per-shipment locking keeps the master contract active.</w:t>
      </w:r>
    </w:p>
    <w:p>
      <w:pPr>
        <w:keepNext/>
        <w:spacing w:before="140" w:after="60"/>
        <w:outlineLvl w:val="3"/>
      </w:pPr>
      <w:r>
        <w:rPr>
          <w:rFonts w:ascii="Arial" w:hAnsi="Arial" w:cs="Arial"/>
          <w:b/>
          <w:i/>
          <w:color w:val="333333"/>
          <w:sz w:val="22"/>
        </w:rPr>
        <w:t>23.4.4.2 Scenario Description</w:t>
      </w:r>
    </w:p>
    <w:p>
      <w:pPr>
        <w:spacing w:after="80" w:line="293" w:lineRule="auto"/>
        <w:jc w:val="left"/>
      </w:pPr>
      <w:r>
        <w:rPr>
          <w:rFonts w:ascii="Times New Roman" w:hAnsi="Times New Roman" w:cs="Times New Roman"/>
          <w:b w:val="0"/>
          <w:i w:val="0"/>
          <w:sz w:val="22"/>
        </w:rPr>
        <w:t>Parties involved: buyer Nile Foods (SGTX-EG-TRD-001); seller Mekong Fresh (SGTX-VN-TRD-002).</w:t>
      </w:r>
    </w:p>
    <w:p>
      <w:pPr>
        <w:spacing w:after="80" w:line="293" w:lineRule="auto"/>
        <w:jc w:val="left"/>
      </w:pPr>
      <w:r>
        <w:rPr>
          <w:rFonts w:ascii="Times New Roman" w:hAnsi="Times New Roman" w:cs="Times New Roman"/>
          <w:b w:val="0"/>
          <w:i w:val="0"/>
          <w:sz w:val="22"/>
        </w:rPr>
        <w:t>Original multi-shipment contract: MC-20260415-001, master contract ACTIVE_MASTER, oranges (20,000 kg per shipment), 3 shipments, incoterm CFR.</w:t>
      </w:r>
    </w:p>
    <w:p>
      <w:pPr>
        <w:spacing w:after="80" w:line="293" w:lineRule="auto"/>
        <w:jc w:val="left"/>
      </w:pPr>
      <w:r>
        <w:rPr>
          <w:rFonts w:ascii="Times New Roman" w:hAnsi="Times New Roman" w:cs="Times New Roman"/>
          <w:b w:val="0"/>
          <w:i w:val="0"/>
          <w:sz w:val="22"/>
        </w:rPr>
        <w:t>Original shipment schedule:</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Shipment</w:t>
            </w:r>
          </w:p>
        </w:tc>
        <w:tc>
          <w:tcPr>
            <w:tcW w:type="dxa" w:w="1928"/>
            <w:shd w:val="clear" w:fill="D9E2F3"/>
          </w:tcPr>
          <w:p>
            <w:pPr>
              <w:spacing w:after="20" w:before="20" w:line="240" w:lineRule="auto"/>
            </w:pPr>
            <w:r/>
            <w:r>
              <w:rPr>
                <w:rFonts w:ascii="Arial" w:hAnsi="Arial" w:cs="Arial"/>
                <w:b/>
                <w:i w:val="0"/>
                <w:sz w:val="18"/>
              </w:rPr>
              <w:t>Delivery Date</w:t>
            </w:r>
          </w:p>
        </w:tc>
        <w:tc>
          <w:tcPr>
            <w:tcW w:type="dxa" w:w="1928"/>
            <w:shd w:val="clear" w:fill="D9E2F3"/>
          </w:tcPr>
          <w:p>
            <w:pPr>
              <w:spacing w:after="20" w:before="20" w:line="240" w:lineRule="auto"/>
            </w:pPr>
            <w:r/>
            <w:r>
              <w:rPr>
                <w:rFonts w:ascii="Arial" w:hAnsi="Arial" w:cs="Arial"/>
                <w:b/>
                <w:i w:val="0"/>
                <w:sz w:val="18"/>
              </w:rPr>
              <w:t>Port</w:t>
            </w:r>
          </w:p>
        </w:tc>
        <w:tc>
          <w:tcPr>
            <w:tcW w:type="dxa" w:w="1928"/>
            <w:shd w:val="clear" w:fill="D9E2F3"/>
          </w:tcPr>
          <w:p>
            <w:pPr>
              <w:spacing w:after="20" w:before="20" w:line="240" w:lineRule="auto"/>
            </w:pPr>
            <w:r/>
            <w:r>
              <w:rPr>
                <w:rFonts w:ascii="Arial" w:hAnsi="Arial" w:cs="Arial"/>
                <w:b/>
                <w:i w:val="0"/>
                <w:sz w:val="18"/>
              </w:rPr>
              <w:t>Containers</w:t>
            </w:r>
          </w:p>
        </w:tc>
        <w:tc>
          <w:tcPr>
            <w:tcW w:type="dxa" w:w="1928"/>
            <w:shd w:val="clear" w:fill="D9E2F3"/>
          </w:tcPr>
          <w:p>
            <w:pPr>
              <w:spacing w:after="20" w:before="20" w:line="240" w:lineRule="auto"/>
            </w:pPr>
            <w:r/>
            <w:r>
              <w:rPr>
                <w:rFonts w:ascii="Arial" w:hAnsi="Arial" w:cs="Arial"/>
                <w:b/>
                <w:i w:val="0"/>
                <w:sz w:val="18"/>
              </w:rPr>
              <w:t>Status</w:t>
            </w:r>
          </w:p>
        </w:tc>
      </w:tr>
      <w:tr>
        <w:tc>
          <w:tcPr>
            <w:tcW w:type="dxa" w:w="1928"/>
          </w:tcPr>
          <w:p>
            <w:pPr>
              <w:spacing w:after="20" w:before="20" w:line="240" w:lineRule="auto"/>
            </w:pPr>
            <w:r/>
            <w:r>
              <w:rPr>
                <w:rFonts w:ascii="Arial" w:hAnsi="Arial" w:cs="Arial"/>
                <w:b w:val="0"/>
                <w:i w:val="0"/>
                <w:sz w:val="17"/>
              </w:rPr>
              <w:t>1</w:t>
            </w:r>
          </w:p>
        </w:tc>
        <w:tc>
          <w:tcPr>
            <w:tcW w:type="dxa" w:w="1928"/>
          </w:tcPr>
          <w:p>
            <w:pPr>
              <w:spacing w:after="20" w:before="20" w:line="240" w:lineRule="auto"/>
            </w:pPr>
            <w:r/>
            <w:r>
              <w:rPr>
                <w:rFonts w:ascii="Arial" w:hAnsi="Arial" w:cs="Arial"/>
                <w:b w:val="0"/>
                <w:i w:val="0"/>
                <w:sz w:val="17"/>
              </w:rPr>
              <w:t>15 Jul 2026</w:t>
            </w:r>
          </w:p>
        </w:tc>
        <w:tc>
          <w:tcPr>
            <w:tcW w:type="dxa" w:w="1928"/>
          </w:tcPr>
          <w:p>
            <w:pPr>
              <w:spacing w:after="20" w:before="20" w:line="240" w:lineRule="auto"/>
            </w:pPr>
            <w:r/>
            <w:r>
              <w:rPr>
                <w:rFonts w:ascii="Arial" w:hAnsi="Arial" w:cs="Arial"/>
                <w:b w:val="0"/>
                <w:i w:val="0"/>
                <w:sz w:val="17"/>
              </w:rPr>
              <w:t>Alexandria</w:t>
            </w:r>
          </w:p>
        </w:tc>
        <w:tc>
          <w:tcPr>
            <w:tcW w:type="dxa" w:w="1928"/>
          </w:tcPr>
          <w:p>
            <w:pPr>
              <w:spacing w:after="20" w:before="20" w:line="240" w:lineRule="auto"/>
            </w:pPr>
            <w:r/>
            <w:r>
              <w:rPr>
                <w:rFonts w:ascii="Arial" w:hAnsi="Arial" w:cs="Arial"/>
                <w:b w:val="0"/>
                <w:i w:val="0"/>
                <w:sz w:val="17"/>
              </w:rPr>
              <w:t>1</w:t>
            </w:r>
          </w:p>
        </w:tc>
        <w:tc>
          <w:tcPr>
            <w:tcW w:type="dxa" w:w="1928"/>
          </w:tcPr>
          <w:p>
            <w:pPr>
              <w:spacing w:after="20" w:before="20" w:line="240" w:lineRule="auto"/>
            </w:pPr>
            <w:r/>
            <w:r>
              <w:rPr>
                <w:rFonts w:ascii="Arial" w:hAnsi="Arial" w:cs="Arial"/>
                <w:b w:val="0"/>
                <w:i w:val="0"/>
                <w:sz w:val="17"/>
              </w:rPr>
              <w:t>LOCKED (in transit)</w:t>
            </w:r>
          </w:p>
        </w:tc>
      </w:tr>
      <w:tr>
        <w:tc>
          <w:tcPr>
            <w:tcW w:type="dxa" w:w="1928"/>
          </w:tcPr>
          <w:p>
            <w:pPr>
              <w:spacing w:after="20" w:before="20" w:line="240" w:lineRule="auto"/>
            </w:pPr>
            <w:r/>
            <w:r>
              <w:rPr>
                <w:rFonts w:ascii="Arial" w:hAnsi="Arial" w:cs="Arial"/>
                <w:b w:val="0"/>
                <w:i w:val="0"/>
                <w:sz w:val="17"/>
              </w:rPr>
              <w:t>2</w:t>
            </w:r>
          </w:p>
        </w:tc>
        <w:tc>
          <w:tcPr>
            <w:tcW w:type="dxa" w:w="1928"/>
          </w:tcPr>
          <w:p>
            <w:pPr>
              <w:spacing w:after="20" w:before="20" w:line="240" w:lineRule="auto"/>
            </w:pPr>
            <w:r/>
            <w:r>
              <w:rPr>
                <w:rFonts w:ascii="Arial" w:hAnsi="Arial" w:cs="Arial"/>
                <w:b w:val="0"/>
                <w:i w:val="0"/>
                <w:sz w:val="17"/>
              </w:rPr>
              <w:t>15 Aug 2026</w:t>
            </w:r>
          </w:p>
        </w:tc>
        <w:tc>
          <w:tcPr>
            <w:tcW w:type="dxa" w:w="1928"/>
          </w:tcPr>
          <w:p>
            <w:pPr>
              <w:spacing w:after="20" w:before="20" w:line="240" w:lineRule="auto"/>
            </w:pPr>
            <w:r/>
            <w:r>
              <w:rPr>
                <w:rFonts w:ascii="Arial" w:hAnsi="Arial" w:cs="Arial"/>
                <w:b w:val="0"/>
                <w:i w:val="0"/>
                <w:sz w:val="17"/>
              </w:rPr>
              <w:t>Alexandria</w:t>
            </w:r>
          </w:p>
        </w:tc>
        <w:tc>
          <w:tcPr>
            <w:tcW w:type="dxa" w:w="1928"/>
          </w:tcPr>
          <w:p>
            <w:pPr>
              <w:spacing w:after="20" w:before="20" w:line="240" w:lineRule="auto"/>
            </w:pPr>
            <w:r/>
            <w:r>
              <w:rPr>
                <w:rFonts w:ascii="Arial" w:hAnsi="Arial" w:cs="Arial"/>
                <w:b w:val="0"/>
                <w:i w:val="0"/>
                <w:sz w:val="17"/>
              </w:rPr>
              <w:t>1</w:t>
            </w:r>
          </w:p>
        </w:tc>
        <w:tc>
          <w:tcPr>
            <w:tcW w:type="dxa" w:w="1928"/>
          </w:tcPr>
          <w:p>
            <w:pPr>
              <w:spacing w:after="20" w:before="20" w:line="240" w:lineRule="auto"/>
            </w:pPr>
            <w:r/>
            <w:r>
              <w:rPr>
                <w:rFonts w:ascii="Arial" w:hAnsi="Arial" w:cs="Arial"/>
                <w:b w:val="0"/>
                <w:i w:val="0"/>
                <w:sz w:val="17"/>
              </w:rPr>
              <w:t>SCHEDULED</w:t>
            </w:r>
          </w:p>
        </w:tc>
      </w:tr>
      <w:tr>
        <w:tc>
          <w:tcPr>
            <w:tcW w:type="dxa" w:w="1928"/>
          </w:tcPr>
          <w:p>
            <w:pPr>
              <w:spacing w:after="20" w:before="20" w:line="240" w:lineRule="auto"/>
            </w:pPr>
            <w:r/>
            <w:r>
              <w:rPr>
                <w:rFonts w:ascii="Arial" w:hAnsi="Arial" w:cs="Arial"/>
                <w:b w:val="0"/>
                <w:i w:val="0"/>
                <w:sz w:val="17"/>
              </w:rPr>
              <w:t>3</w:t>
            </w:r>
          </w:p>
        </w:tc>
        <w:tc>
          <w:tcPr>
            <w:tcW w:type="dxa" w:w="1928"/>
          </w:tcPr>
          <w:p>
            <w:pPr>
              <w:spacing w:after="20" w:before="20" w:line="240" w:lineRule="auto"/>
            </w:pPr>
            <w:r/>
            <w:r>
              <w:rPr>
                <w:rFonts w:ascii="Arial" w:hAnsi="Arial" w:cs="Arial"/>
                <w:b w:val="0"/>
                <w:i w:val="0"/>
                <w:sz w:val="17"/>
              </w:rPr>
              <w:t>15 Sep 2026</w:t>
            </w:r>
          </w:p>
        </w:tc>
        <w:tc>
          <w:tcPr>
            <w:tcW w:type="dxa" w:w="1928"/>
          </w:tcPr>
          <w:p>
            <w:pPr>
              <w:spacing w:after="20" w:before="20" w:line="240" w:lineRule="auto"/>
            </w:pPr>
            <w:r/>
            <w:r>
              <w:rPr>
                <w:rFonts w:ascii="Arial" w:hAnsi="Arial" w:cs="Arial"/>
                <w:b w:val="0"/>
                <w:i w:val="0"/>
                <w:sz w:val="17"/>
              </w:rPr>
              <w:t>Alexandria</w:t>
            </w:r>
          </w:p>
        </w:tc>
        <w:tc>
          <w:tcPr>
            <w:tcW w:type="dxa" w:w="1928"/>
          </w:tcPr>
          <w:p>
            <w:pPr>
              <w:spacing w:after="20" w:before="20" w:line="240" w:lineRule="auto"/>
            </w:pPr>
            <w:r/>
            <w:r>
              <w:rPr>
                <w:rFonts w:ascii="Arial" w:hAnsi="Arial" w:cs="Arial"/>
                <w:b w:val="0"/>
                <w:i w:val="0"/>
                <w:sz w:val="17"/>
              </w:rPr>
              <w:t>1</w:t>
            </w:r>
          </w:p>
        </w:tc>
        <w:tc>
          <w:tcPr>
            <w:tcW w:type="dxa" w:w="1928"/>
          </w:tcPr>
          <w:p>
            <w:pPr>
              <w:spacing w:after="20" w:before="20" w:line="240" w:lineRule="auto"/>
            </w:pPr>
            <w:r/>
            <w:r>
              <w:rPr>
                <w:rFonts w:ascii="Arial" w:hAnsi="Arial" w:cs="Arial"/>
                <w:b w:val="0"/>
                <w:i w:val="0"/>
                <w:sz w:val="17"/>
              </w:rPr>
              <w:t>SCHEDULED</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Modification requested: Shipment 2 — delivery date 15 Aug → 30 Aug 2026; port Alexandria → Port Said; reason: "Warehouse capacity issue — need additional storage time. New distribution centre in Port Said." Note: Shipment 1 (already locked and in transit) is not modified; Shipment 3 remains unchanged.</w:t>
      </w:r>
    </w:p>
    <w:p>
      <w:pPr>
        <w:spacing w:after="80" w:line="293" w:lineRule="auto"/>
        <w:jc w:val="left"/>
      </w:pPr>
      <w:r>
        <w:rPr>
          <w:rFonts w:ascii="Times New Roman" w:hAnsi="Times New Roman" w:cs="Times New Roman"/>
          <w:b w:val="0"/>
          <w:i w:val="0"/>
          <w:sz w:val="22"/>
        </w:rPr>
        <w:t>Add-ons used: none (standard workflow).</w:t>
      </w:r>
    </w:p>
    <w:p>
      <w:pPr>
        <w:keepNext/>
        <w:spacing w:before="140" w:after="60"/>
        <w:outlineLvl w:val="3"/>
      </w:pPr>
      <w:r>
        <w:rPr>
          <w:rFonts w:ascii="Arial" w:hAnsi="Arial" w:cs="Arial"/>
          <w:b/>
          <w:i/>
          <w:color w:val="333333"/>
          <w:sz w:val="22"/>
        </w:rPr>
        <w:t>23.4.4.3 Phase 3 — Multi-Shipment Schedule Modification</w:t>
      </w:r>
    </w:p>
    <w:p>
      <w:pPr>
        <w:spacing w:after="80" w:line="293" w:lineRule="auto"/>
        <w:jc w:val="left"/>
      </w:pPr>
      <w:r>
        <w:rPr>
          <w:rFonts w:ascii="Times New Roman" w:hAnsi="Times New Roman" w:cs="Times New Roman"/>
          <w:b w:val="0"/>
          <w:i w:val="0"/>
          <w:sz w:val="22"/>
        </w:rPr>
        <w:t>Goal: the buyer requests a modification to the future shipment schedule; the seller reviews and accepts; a schedule addendum is generated and signed. Duration: day 1 (30 minutes). One-click guarantee: request modification is one click; accept is one click; sign is one click each.</w:t>
      </w:r>
    </w:p>
    <w:p>
      <w:pPr>
        <w:spacing w:after="80" w:line="293" w:lineRule="auto"/>
        <w:jc w:val="left"/>
      </w:pPr>
      <w:r>
        <w:rPr>
          <w:rFonts w:ascii="Times New Roman" w:hAnsi="Times New Roman" w:cs="Times New Roman"/>
          <w:b w:val="0"/>
          <w:i w:val="0"/>
          <w:sz w:val="22"/>
        </w:rPr>
        <w:t>AI assistance: A1 (Groq) — diff view explanation; A4 (OPA + WasmEdge) — validation of modified shipments.</w:t>
      </w:r>
    </w:p>
    <w:p>
      <w:pPr>
        <w:spacing w:after="80" w:line="293" w:lineRule="auto"/>
        <w:jc w:val="left"/>
      </w:pPr>
      <w:r>
        <w:rPr>
          <w:rFonts w:ascii="Times New Roman" w:hAnsi="Times New Roman" w:cs="Times New Roman"/>
          <w:b w:val="0"/>
          <w:i w:val="0"/>
          <w:sz w:val="22"/>
        </w:rPr>
        <w:t>Governance gate: the modified shipment must be SCHEDULED (not already LOCKED); the port must be valid and not sanctioned; the delivery date must be in the future.</w:t>
      </w:r>
    </w:p>
    <w:p>
      <w:pPr>
        <w:spacing w:after="80" w:line="293" w:lineRule="auto"/>
        <w:jc w:val="left"/>
      </w:pPr>
      <w:r>
        <w:rPr>
          <w:rFonts w:ascii="Times New Roman" w:hAnsi="Times New Roman" w:cs="Times New Roman"/>
          <w:b w:val="0"/>
          <w:i w:val="0"/>
          <w:sz w:val="22"/>
        </w:rPr>
        <w:t>Step-by-step modification: the buyer opens the TCC multi-shipment schedule card; clicks "Request Modification" on Shipment 2 (1); fills the modification form; sends (1). The seller reviews the diff view; accepts (1); both parties sign the generated schedule addendum (1 each).</w:t>
      </w:r>
    </w:p>
    <w:p>
      <w:pPr>
        <w:spacing w:after="80" w:line="293" w:lineRule="auto"/>
        <w:jc w:val="left"/>
      </w:pPr>
      <w:r>
        <w:rPr>
          <w:rFonts w:ascii="Times New Roman" w:hAnsi="Times New Roman" w:cs="Times New Roman"/>
          <w:b w:val="0"/>
          <w:i w:val="0"/>
          <w:sz w:val="22"/>
        </w:rPr>
        <w:t>Phase 3 one-click count: buyer 2, seller 2 → 4 clicks total.</w:t>
      </w:r>
    </w:p>
    <w:p>
      <w:pPr>
        <w:spacing w:after="80" w:line="293" w:lineRule="auto"/>
        <w:jc w:val="left"/>
      </w:pPr>
      <w:r>
        <w:rPr>
          <w:rFonts w:ascii="Times New Roman" w:hAnsi="Times New Roman" w:cs="Times New Roman"/>
          <w:b w:val="0"/>
          <w:i w:val="0"/>
          <w:sz w:val="22"/>
        </w:rPr>
        <w:t>Multi-shipment schedule card (before modification):</w:t>
      </w:r>
    </w:p>
    <w:p>
      <w:pPr>
        <w:spacing w:after="0" w:before="0" w:line="240" w:lineRule="auto"/>
        <w:ind w:left="57"/>
        <w:jc w:val="left"/>
        <w:shd w:val="clear" w:fill="F2F2F2"/>
      </w:pPr>
      <w:r>
        <w:rPr>
          <w:rFonts w:ascii="Consolas" w:hAnsi="Consolas" w:cs="Consolas"/>
          <w:b w:val="0"/>
          <w:i w:val="0"/>
          <w:sz w:val="15"/>
        </w:rPr>
        <w:t>MULTI-SHIPMENT SCHEDULE — MC-20260415-001</w:t>
      </w:r>
    </w:p>
    <w:p>
      <w:pPr>
        <w:spacing w:after="0" w:before="0" w:line="240" w:lineRule="auto"/>
        <w:ind w:left="57"/>
        <w:jc w:val="left"/>
        <w:shd w:val="clear" w:fill="F2F2F2"/>
      </w:pPr>
      <w:r>
        <w:rPr>
          <w:rFonts w:ascii="Consolas" w:hAnsi="Consolas" w:cs="Consolas"/>
          <w:b w:val="0"/>
          <w:i w:val="0"/>
          <w:sz w:val="15"/>
        </w:rPr>
        <w:t>Master Contract: ACTIVE_MASTER</w:t>
      </w:r>
    </w:p>
    <w:p>
      <w:pPr>
        <w:spacing w:after="0" w:before="0" w:line="240" w:lineRule="auto"/>
        <w:ind w:left="57"/>
        <w:jc w:val="left"/>
        <w:shd w:val="clear" w:fill="F2F2F2"/>
      </w:pPr>
      <w:r>
        <w:rPr>
          <w:rFonts w:ascii="Consolas" w:hAnsi="Consolas" w:cs="Consolas"/>
          <w:b w:val="0"/>
          <w:i w:val="0"/>
          <w:sz w:val="15"/>
        </w:rPr>
        <w:t>Total Shipments: 3 | Completed: 0 | In Progress: 1 | Scheduled: 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Shipment  Delivery Date   Port        Containers  Status           Action</w:t>
      </w:r>
    </w:p>
    <w:p>
      <w:pPr>
        <w:spacing w:after="0" w:before="0" w:line="240" w:lineRule="auto"/>
        <w:ind w:left="57"/>
        <w:jc w:val="left"/>
        <w:shd w:val="clear" w:fill="F2F2F2"/>
      </w:pPr>
      <w:r>
        <w:rPr>
          <w:rFonts w:ascii="Consolas" w:hAnsi="Consolas" w:cs="Consolas"/>
          <w:b w:val="0"/>
          <w:i w:val="0"/>
          <w:sz w:val="15"/>
        </w:rPr>
        <w:t>1         15 Jul 2026     Alexandria  1           LOCKED           —</w:t>
      </w:r>
    </w:p>
    <w:p>
      <w:pPr>
        <w:spacing w:after="0" w:before="0" w:line="240" w:lineRule="auto"/>
        <w:ind w:left="57"/>
        <w:jc w:val="left"/>
        <w:shd w:val="clear" w:fill="F2F2F2"/>
      </w:pPr>
      <w:r>
        <w:rPr>
          <w:rFonts w:ascii="Consolas" w:hAnsi="Consolas" w:cs="Consolas"/>
          <w:b w:val="0"/>
          <w:i w:val="0"/>
          <w:sz w:val="15"/>
        </w:rPr>
        <w:t xml:space="preserve">                                      (in transit)</w:t>
      </w:r>
    </w:p>
    <w:p>
      <w:pPr>
        <w:spacing w:after="0" w:before="0" w:line="240" w:lineRule="auto"/>
        <w:ind w:left="57"/>
        <w:jc w:val="left"/>
        <w:shd w:val="clear" w:fill="F2F2F2"/>
      </w:pPr>
      <w:r>
        <w:rPr>
          <w:rFonts w:ascii="Consolas" w:hAnsi="Consolas" w:cs="Consolas"/>
          <w:b w:val="0"/>
          <w:i w:val="0"/>
          <w:sz w:val="15"/>
        </w:rPr>
        <w:t>2         15 Aug 2026     Alexandria  1           SCHEDULED        [Request Mod.]</w:t>
      </w:r>
    </w:p>
    <w:p>
      <w:pPr>
        <w:spacing w:after="0" w:before="0" w:line="240" w:lineRule="auto"/>
        <w:ind w:left="57"/>
        <w:jc w:val="left"/>
        <w:shd w:val="clear" w:fill="F2F2F2"/>
      </w:pPr>
      <w:r>
        <w:rPr>
          <w:rFonts w:ascii="Consolas" w:hAnsi="Consolas" w:cs="Consolas"/>
          <w:b w:val="0"/>
          <w:i w:val="0"/>
          <w:sz w:val="15"/>
        </w:rPr>
        <w:t>3         15 Sep 2026     Alexandria  1           SCHEDULED        [Request Mod.]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Progress: 33% (1 of 3 shipments locked)</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Schedule modification form:</w:t>
      </w:r>
    </w:p>
    <w:p>
      <w:pPr>
        <w:spacing w:after="0" w:before="0" w:line="240" w:lineRule="auto"/>
        <w:ind w:left="57"/>
        <w:jc w:val="left"/>
        <w:shd w:val="clear" w:fill="F2F2F2"/>
      </w:pPr>
      <w:r>
        <w:rPr>
          <w:rFonts w:ascii="Consolas" w:hAnsi="Consolas" w:cs="Consolas"/>
          <w:b w:val="0"/>
          <w:i w:val="0"/>
          <w:sz w:val="15"/>
        </w:rPr>
        <w:t>SCHEDULE MODIFICATION — MC-20260415-001</w:t>
      </w:r>
    </w:p>
    <w:p>
      <w:pPr>
        <w:spacing w:after="0" w:before="0" w:line="240" w:lineRule="auto"/>
        <w:ind w:left="57"/>
        <w:jc w:val="left"/>
        <w:shd w:val="clear" w:fill="F2F2F2"/>
      </w:pPr>
      <w:r>
        <w:rPr>
          <w:rFonts w:ascii="Consolas" w:hAnsi="Consolas" w:cs="Consolas"/>
          <w:b w:val="0"/>
          <w:i w:val="0"/>
          <w:sz w:val="15"/>
        </w:rPr>
        <w:t>Modify future shipments only. Already-locked shipments cannot be changed.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Select Shipment to Modify:</w:t>
      </w:r>
    </w:p>
    <w:p>
      <w:pPr>
        <w:spacing w:after="0" w:before="0" w:line="240" w:lineRule="auto"/>
        <w:ind w:left="57"/>
        <w:jc w:val="left"/>
        <w:shd w:val="clear" w:fill="F2F2F2"/>
      </w:pPr>
      <w:r>
        <w:rPr>
          <w:rFonts w:ascii="Consolas" w:hAnsi="Consolas" w:cs="Consolas"/>
          <w:b w:val="0"/>
          <w:i w:val="0"/>
          <w:sz w:val="15"/>
        </w:rPr>
        <w:t xml:space="preserve">  [✓] Shipment 2 — 15 Aug 2026 — Alexandria — 1 container</w:t>
      </w:r>
    </w:p>
    <w:p>
      <w:pPr>
        <w:spacing w:after="0" w:before="0" w:line="240" w:lineRule="auto"/>
        <w:ind w:left="57"/>
        <w:jc w:val="left"/>
        <w:shd w:val="clear" w:fill="F2F2F2"/>
      </w:pPr>
      <w:r>
        <w:rPr>
          <w:rFonts w:ascii="Consolas" w:hAnsi="Consolas" w:cs="Consolas"/>
          <w:b w:val="0"/>
          <w:i w:val="0"/>
          <w:sz w:val="15"/>
        </w:rPr>
        <w:t xml:space="preserve">  [ ] Shipment 3 — 15 Sep 2026 — Alexandria — 1 container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Proposed Changes:</w:t>
      </w:r>
    </w:p>
    <w:p>
      <w:pPr>
        <w:spacing w:after="0" w:before="0" w:line="240" w:lineRule="auto"/>
        <w:ind w:left="57"/>
        <w:jc w:val="left"/>
        <w:shd w:val="clear" w:fill="F2F2F2"/>
      </w:pPr>
      <w:r>
        <w:rPr>
          <w:rFonts w:ascii="Consolas" w:hAnsi="Consolas" w:cs="Consolas"/>
          <w:b w:val="0"/>
          <w:i w:val="0"/>
          <w:sz w:val="15"/>
        </w:rPr>
        <w:t xml:space="preserve">  Delivery Date: [30 Aug 2026]  (was: 15 Aug 2026)</w:t>
      </w:r>
    </w:p>
    <w:p>
      <w:pPr>
        <w:spacing w:after="0" w:before="0" w:line="240" w:lineRule="auto"/>
        <w:ind w:left="57"/>
        <w:jc w:val="left"/>
        <w:shd w:val="clear" w:fill="F2F2F2"/>
      </w:pPr>
      <w:r>
        <w:rPr>
          <w:rFonts w:ascii="Consolas" w:hAnsi="Consolas" w:cs="Consolas"/>
          <w:b w:val="0"/>
          <w:i w:val="0"/>
          <w:sz w:val="15"/>
        </w:rPr>
        <w:t xml:space="preserve">  Port:          [Port Said ▼]  (was: Alexandria)</w:t>
      </w:r>
    </w:p>
    <w:p>
      <w:pPr>
        <w:spacing w:after="0" w:before="0" w:line="240" w:lineRule="auto"/>
        <w:ind w:left="57"/>
        <w:jc w:val="left"/>
        <w:shd w:val="clear" w:fill="F2F2F2"/>
      </w:pPr>
      <w:r>
        <w:rPr>
          <w:rFonts w:ascii="Consolas" w:hAnsi="Consolas" w:cs="Consolas"/>
          <w:b w:val="0"/>
          <w:i w:val="0"/>
          <w:sz w:val="15"/>
        </w:rPr>
        <w:t xml:space="preserve">  Containers:    [1]            (unchanged)</w:t>
      </w:r>
    </w:p>
    <w:p>
      <w:pPr>
        <w:spacing w:after="0" w:before="0" w:line="240" w:lineRule="auto"/>
        <w:ind w:left="57"/>
        <w:jc w:val="left"/>
        <w:shd w:val="clear" w:fill="F2F2F2"/>
      </w:pPr>
      <w:r>
        <w:rPr>
          <w:rFonts w:ascii="Consolas" w:hAnsi="Consolas" w:cs="Consolas"/>
          <w:b w:val="0"/>
          <w:i w:val="0"/>
          <w:sz w:val="15"/>
        </w:rPr>
        <w:t xml:space="preserve">  Commodities:   [Oranges, 20,000 kg] (unchanged)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Reason (mandatory): Warehouse capacity issue — need additional storage time.</w:t>
      </w:r>
    </w:p>
    <w:p>
      <w:pPr>
        <w:spacing w:after="0" w:before="0" w:line="240" w:lineRule="auto"/>
        <w:ind w:left="57"/>
        <w:jc w:val="left"/>
        <w:shd w:val="clear" w:fill="F2F2F2"/>
      </w:pPr>
      <w:r>
        <w:rPr>
          <w:rFonts w:ascii="Consolas" w:hAnsi="Consolas" w:cs="Consolas"/>
          <w:b w:val="0"/>
          <w:i w:val="0"/>
          <w:sz w:val="15"/>
        </w:rPr>
        <w:t>New distribution centre in Port Said.  (Min 20 characters — 87 entered)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Only Shipment 2 will be modified. Shipment 1 (LOCKED) is unaffected.</w:t>
      </w:r>
    </w:p>
    <w:p>
      <w:pPr>
        <w:spacing w:after="0" w:before="0" w:line="240" w:lineRule="auto"/>
        <w:ind w:left="57"/>
        <w:jc w:val="left"/>
        <w:shd w:val="clear" w:fill="F2F2F2"/>
      </w:pPr>
      <w:r>
        <w:rPr>
          <w:rFonts w:ascii="Consolas" w:hAnsi="Consolas" w:cs="Consolas"/>
          <w:b w:val="0"/>
          <w:i w:val="0"/>
          <w:sz w:val="15"/>
        </w:rPr>
        <w:t>Shipment 3 remains as scheduled.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[Send Modification Request] [Cancel]</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Diff view (seller review):</w:t>
      </w:r>
    </w:p>
    <w:p>
      <w:pPr>
        <w:spacing w:after="0" w:before="0" w:line="240" w:lineRule="auto"/>
        <w:ind w:left="57"/>
        <w:jc w:val="left"/>
        <w:shd w:val="clear" w:fill="F2F2F2"/>
      </w:pPr>
      <w:r>
        <w:rPr>
          <w:rFonts w:ascii="Consolas" w:hAnsi="Consolas" w:cs="Consolas"/>
          <w:b w:val="0"/>
          <w:i w:val="0"/>
          <w:sz w:val="15"/>
        </w:rPr>
        <w:t>SCHEDULE MODIFICATION REVIEW — MC-20260415-001</w:t>
      </w:r>
    </w:p>
    <w:p>
      <w:pPr>
        <w:spacing w:after="0" w:before="0" w:line="240" w:lineRule="auto"/>
        <w:ind w:left="57"/>
        <w:jc w:val="left"/>
        <w:shd w:val="clear" w:fill="F2F2F2"/>
      </w:pPr>
      <w:r>
        <w:rPr>
          <w:rFonts w:ascii="Consolas" w:hAnsi="Consolas" w:cs="Consolas"/>
          <w:b w:val="0"/>
          <w:i w:val="0"/>
          <w:sz w:val="15"/>
        </w:rPr>
        <w:t>Requested by: Nile Foods (SGTX-EG-TRD-001) — Shipment 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CURRENT              PROPOSED</w:t>
      </w:r>
    </w:p>
    <w:p>
      <w:pPr>
        <w:spacing w:after="0" w:before="0" w:line="240" w:lineRule="auto"/>
        <w:ind w:left="57"/>
        <w:jc w:val="left"/>
        <w:shd w:val="clear" w:fill="F2F2F2"/>
      </w:pPr>
      <w:r>
        <w:rPr>
          <w:rFonts w:ascii="Consolas" w:hAnsi="Consolas" w:cs="Consolas"/>
          <w:b w:val="0"/>
          <w:i w:val="0"/>
          <w:sz w:val="15"/>
        </w:rPr>
        <w:t>Delivery date:   15 Aug 2026          30 Aug 2026</w:t>
      </w:r>
    </w:p>
    <w:p>
      <w:pPr>
        <w:spacing w:after="0" w:before="0" w:line="240" w:lineRule="auto"/>
        <w:ind w:left="57"/>
        <w:jc w:val="left"/>
        <w:shd w:val="clear" w:fill="F2F2F2"/>
      </w:pPr>
      <w:r>
        <w:rPr>
          <w:rFonts w:ascii="Consolas" w:hAnsi="Consolas" w:cs="Consolas"/>
          <w:b w:val="0"/>
          <w:i w:val="0"/>
          <w:sz w:val="15"/>
        </w:rPr>
        <w:t>Port:            Alexandria           Port Said</w:t>
      </w:r>
    </w:p>
    <w:p>
      <w:pPr>
        <w:spacing w:after="0" w:before="0" w:line="240" w:lineRule="auto"/>
        <w:ind w:left="57"/>
        <w:jc w:val="left"/>
        <w:shd w:val="clear" w:fill="F2F2F2"/>
      </w:pPr>
      <w:r>
        <w:rPr>
          <w:rFonts w:ascii="Consolas" w:hAnsi="Consolas" w:cs="Consolas"/>
          <w:b w:val="0"/>
          <w:i w:val="0"/>
          <w:sz w:val="15"/>
        </w:rPr>
        <w:t>Containers:      1                    1</w:t>
      </w:r>
    </w:p>
    <w:p>
      <w:pPr>
        <w:spacing w:after="0" w:before="0" w:line="240" w:lineRule="auto"/>
        <w:ind w:left="57"/>
        <w:jc w:val="left"/>
        <w:shd w:val="clear" w:fill="F2F2F2"/>
      </w:pPr>
      <w:r>
        <w:rPr>
          <w:rFonts w:ascii="Consolas" w:hAnsi="Consolas" w:cs="Consolas"/>
          <w:b w:val="0"/>
          <w:i w:val="0"/>
          <w:sz w:val="15"/>
        </w:rPr>
        <w:t>Commodities:     Oranges, 20,000 kg   Oranges, 20,000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Reason: "Warehouse capacity issue — need additional storage time. New</w:t>
      </w:r>
    </w:p>
    <w:p>
      <w:pPr>
        <w:spacing w:after="0" w:before="0" w:line="240" w:lineRule="auto"/>
        <w:ind w:left="57"/>
        <w:jc w:val="left"/>
        <w:shd w:val="clear" w:fill="F2F2F2"/>
      </w:pPr>
      <w:r>
        <w:rPr>
          <w:rFonts w:ascii="Consolas" w:hAnsi="Consolas" w:cs="Consolas"/>
          <w:b w:val="0"/>
          <w:i w:val="0"/>
          <w:sz w:val="15"/>
        </w:rPr>
        <w:t>distribution centre in Port Said."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Impact Assessment:</w:t>
      </w:r>
    </w:p>
    <w:p>
      <w:pPr>
        <w:spacing w:after="0" w:before="0" w:line="240" w:lineRule="auto"/>
        <w:ind w:left="57"/>
        <w:jc w:val="left"/>
        <w:shd w:val="clear" w:fill="F2F2F2"/>
      </w:pPr>
      <w:r>
        <w:rPr>
          <w:rFonts w:ascii="Consolas" w:hAnsi="Consolas" w:cs="Consolas"/>
          <w:b w:val="0"/>
          <w:i w:val="0"/>
          <w:sz w:val="15"/>
        </w:rPr>
        <w:t xml:space="preserve">  • Shipment 1 (15 Jul, Alexandria) — UNCHANGED (already LOCKED)</w:t>
      </w:r>
    </w:p>
    <w:p>
      <w:pPr>
        <w:spacing w:after="0" w:before="0" w:line="240" w:lineRule="auto"/>
        <w:ind w:left="57"/>
        <w:jc w:val="left"/>
        <w:shd w:val="clear" w:fill="F2F2F2"/>
      </w:pPr>
      <w:r>
        <w:rPr>
          <w:rFonts w:ascii="Consolas" w:hAnsi="Consolas" w:cs="Consolas"/>
          <w:b w:val="0"/>
          <w:i w:val="0"/>
          <w:sz w:val="15"/>
        </w:rPr>
        <w:t xml:space="preserve">  • Shipment 2 (30 Aug, Port Said)  — MODIFIED</w:t>
      </w:r>
    </w:p>
    <w:p>
      <w:pPr>
        <w:spacing w:after="0" w:before="0" w:line="240" w:lineRule="auto"/>
        <w:ind w:left="57"/>
        <w:jc w:val="left"/>
        <w:shd w:val="clear" w:fill="F2F2F2"/>
      </w:pPr>
      <w:r>
        <w:rPr>
          <w:rFonts w:ascii="Consolas" w:hAnsi="Consolas" w:cs="Consolas"/>
          <w:b w:val="0"/>
          <w:i w:val="0"/>
          <w:sz w:val="15"/>
        </w:rPr>
        <w:t xml:space="preserve">  • Shipment 3 (15 Sep, Alexandria) — UNCHANGED</w:t>
      </w:r>
    </w:p>
    <w:p>
      <w:pPr>
        <w:spacing w:after="0" w:before="0" w:line="240" w:lineRule="auto"/>
        <w:ind w:left="57"/>
        <w:jc w:val="left"/>
        <w:shd w:val="clear" w:fill="F2F2F2"/>
      </w:pPr>
      <w:r>
        <w:rPr>
          <w:rFonts w:ascii="Consolas" w:hAnsi="Consolas" w:cs="Consolas"/>
          <w:b w:val="0"/>
          <w:i w:val="0"/>
          <w:sz w:val="15"/>
        </w:rPr>
        <w:t xml:space="preserve">  • Total contract value            — UNCHANGED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Port Said is valid and not sanctioned. Date is in the future.</w:t>
      </w:r>
    </w:p>
    <w:p>
      <w:pPr>
        <w:spacing w:after="0" w:before="0" w:line="240" w:lineRule="auto"/>
        <w:ind w:left="57"/>
        <w:jc w:val="left"/>
        <w:shd w:val="clear" w:fill="F2F2F2"/>
      </w:pPr>
      <w:r>
        <w:rPr>
          <w:rFonts w:ascii="Consolas" w:hAnsi="Consolas" w:cs="Consolas"/>
          <w:b w:val="0"/>
          <w:i w:val="0"/>
          <w:sz w:val="15"/>
        </w:rPr>
        <w:t>[Accept All] [Reject] [Counter] [Request More Info]</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Schedule addendum (generated):</w:t>
      </w:r>
    </w:p>
    <w:p>
      <w:pPr>
        <w:spacing w:after="0" w:before="0" w:line="240" w:lineRule="auto"/>
        <w:ind w:left="57"/>
        <w:jc w:val="left"/>
        <w:shd w:val="clear" w:fill="F2F2F2"/>
      </w:pPr>
      <w:r>
        <w:rPr>
          <w:rFonts w:ascii="Consolas" w:hAnsi="Consolas" w:cs="Consolas"/>
          <w:b w:val="0"/>
          <w:i w:val="0"/>
          <w:sz w:val="15"/>
        </w:rPr>
        <w:t>SCHEDULE ADDENDUM — MC-20260415-001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THIS ADDENDUM amends the multi-shipment schedule of Contract</w:t>
      </w:r>
    </w:p>
    <w:p>
      <w:pPr>
        <w:spacing w:after="0" w:before="0" w:line="240" w:lineRule="auto"/>
        <w:ind w:left="57"/>
        <w:jc w:val="left"/>
        <w:shd w:val="clear" w:fill="F2F2F2"/>
      </w:pPr>
      <w:r>
        <w:rPr>
          <w:rFonts w:ascii="Consolas" w:hAnsi="Consolas" w:cs="Consolas"/>
          <w:b w:val="0"/>
          <w:i w:val="0"/>
          <w:sz w:val="15"/>
        </w:rPr>
        <w:t>MC-20260415-001 dated [original contract date], between:</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 xml:space="preserve">  Buyer:  Nile Foods (SGTX-EG-TRD-001)</w:t>
      </w:r>
    </w:p>
    <w:p>
      <w:pPr>
        <w:spacing w:after="0" w:before="0" w:line="240" w:lineRule="auto"/>
        <w:ind w:left="57"/>
        <w:jc w:val="left"/>
        <w:shd w:val="clear" w:fill="F2F2F2"/>
      </w:pPr>
      <w:r>
        <w:rPr>
          <w:rFonts w:ascii="Consolas" w:hAnsi="Consolas" w:cs="Consolas"/>
          <w:b w:val="0"/>
          <w:i w:val="0"/>
          <w:sz w:val="15"/>
        </w:rPr>
        <w:t xml:space="preserve">  Seller: Mekong Fresh (SGTX-VN-TRD-002)</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The following modification is hereby agreed: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SHIPMENT 2:</w:t>
      </w:r>
    </w:p>
    <w:p>
      <w:pPr>
        <w:spacing w:after="0" w:before="0" w:line="240" w:lineRule="auto"/>
        <w:ind w:left="57"/>
        <w:jc w:val="left"/>
        <w:shd w:val="clear" w:fill="F2F2F2"/>
      </w:pPr>
      <w:r>
        <w:rPr>
          <w:rFonts w:ascii="Consolas" w:hAnsi="Consolas" w:cs="Consolas"/>
          <w:b w:val="0"/>
          <w:i w:val="0"/>
          <w:sz w:val="15"/>
        </w:rPr>
        <w:t xml:space="preserve">  Field        Original           Amended</w:t>
      </w:r>
    </w:p>
    <w:p>
      <w:pPr>
        <w:spacing w:after="0" w:before="0" w:line="240" w:lineRule="auto"/>
        <w:ind w:left="57"/>
        <w:jc w:val="left"/>
        <w:shd w:val="clear" w:fill="F2F2F2"/>
      </w:pPr>
      <w:r>
        <w:rPr>
          <w:rFonts w:ascii="Consolas" w:hAnsi="Consolas" w:cs="Consolas"/>
          <w:b w:val="0"/>
          <w:i w:val="0"/>
          <w:sz w:val="15"/>
        </w:rPr>
        <w:t xml:space="preserve">  Delivery     15 Aug 2026        30 Aug 2026</w:t>
      </w:r>
    </w:p>
    <w:p>
      <w:pPr>
        <w:spacing w:after="0" w:before="0" w:line="240" w:lineRule="auto"/>
        <w:ind w:left="57"/>
        <w:jc w:val="left"/>
        <w:shd w:val="clear" w:fill="F2F2F2"/>
      </w:pPr>
      <w:r>
        <w:rPr>
          <w:rFonts w:ascii="Consolas" w:hAnsi="Consolas" w:cs="Consolas"/>
          <w:b w:val="0"/>
          <w:i w:val="0"/>
          <w:sz w:val="15"/>
        </w:rPr>
        <w:t xml:space="preserve">  Port         Alexandria         Port Said</w:t>
      </w:r>
    </w:p>
    <w:p>
      <w:pPr>
        <w:spacing w:after="0" w:before="0" w:line="240" w:lineRule="auto"/>
        <w:ind w:left="57"/>
        <w:jc w:val="left"/>
        <w:shd w:val="clear" w:fill="F2F2F2"/>
      </w:pPr>
      <w:r>
        <w:rPr>
          <w:rFonts w:ascii="Consolas" w:hAnsi="Consolas" w:cs="Consolas"/>
          <w:b w:val="0"/>
          <w:i w:val="0"/>
          <w:sz w:val="15"/>
        </w:rPr>
        <w:t xml:space="preserve">  Containers   1                  1</w:t>
      </w:r>
    </w:p>
    <w:p>
      <w:pPr>
        <w:spacing w:after="0" w:before="0" w:line="240" w:lineRule="auto"/>
        <w:ind w:left="57"/>
        <w:jc w:val="left"/>
        <w:shd w:val="clear" w:fill="F2F2F2"/>
      </w:pPr>
      <w:r>
        <w:rPr>
          <w:rFonts w:ascii="Consolas" w:hAnsi="Consolas" w:cs="Consolas"/>
          <w:b w:val="0"/>
          <w:i w:val="0"/>
          <w:sz w:val="15"/>
        </w:rPr>
        <w:t xml:space="preserve">  Commodities  Oranges, 20,000 kg Oranges, 20,000 kg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REASON: "Warehouse capacity issue — need additional storage time. New</w:t>
      </w:r>
    </w:p>
    <w:p>
      <w:pPr>
        <w:spacing w:after="0" w:before="0" w:line="240" w:lineRule="auto"/>
        <w:ind w:left="57"/>
        <w:jc w:val="left"/>
        <w:shd w:val="clear" w:fill="F2F2F2"/>
      </w:pPr>
      <w:r>
        <w:rPr>
          <w:rFonts w:ascii="Consolas" w:hAnsi="Consolas" w:cs="Consolas"/>
          <w:b w:val="0"/>
          <w:i w:val="0"/>
          <w:sz w:val="15"/>
        </w:rPr>
        <w:t>distribution centre in Port Said."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All other terms and conditions of the original contract remain unchanged.</w:t>
      </w:r>
    </w:p>
    <w:p>
      <w:pPr>
        <w:spacing w:after="0" w:before="0" w:line="240" w:lineRule="auto"/>
        <w:ind w:left="57"/>
        <w:jc w:val="left"/>
        <w:shd w:val="clear" w:fill="F2F2F2"/>
      </w:pPr>
      <w:r>
        <w:rPr>
          <w:rFonts w:ascii="Consolas" w:hAnsi="Consolas" w:cs="Consolas"/>
          <w:b w:val="0"/>
          <w:i w:val="0"/>
          <w:sz w:val="15"/>
        </w:rPr>
        <w:t>This addendum is incorporated into and forms part of the original contract.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Signed:</w:t>
      </w:r>
    </w:p>
    <w:p>
      <w:pPr>
        <w:spacing w:after="0" w:before="0" w:line="240" w:lineRule="auto"/>
        <w:ind w:left="57"/>
        <w:jc w:val="left"/>
        <w:shd w:val="clear" w:fill="F2F2F2"/>
      </w:pPr>
      <w:r>
        <w:rPr>
          <w:rFonts w:ascii="Consolas" w:hAnsi="Consolas" w:cs="Consolas"/>
          <w:b w:val="0"/>
          <w:i w:val="0"/>
          <w:sz w:val="15"/>
        </w:rPr>
        <w:t xml:space="preserve">  Buyer:  [Digital Signature]  Date: 2026-06-15</w:t>
      </w:r>
    </w:p>
    <w:p>
      <w:pPr>
        <w:spacing w:after="0" w:before="0" w:line="240" w:lineRule="auto"/>
        <w:ind w:left="57"/>
        <w:jc w:val="left"/>
        <w:shd w:val="clear" w:fill="F2F2F2"/>
      </w:pPr>
      <w:r>
        <w:rPr>
          <w:rFonts w:ascii="Consolas" w:hAnsi="Consolas" w:cs="Consolas"/>
          <w:b w:val="0"/>
          <w:i w:val="0"/>
          <w:sz w:val="15"/>
        </w:rPr>
        <w:t xml:space="preserve">  Seller: [Digital Signature]  Date: 2026-06-15</w:t>
      </w:r>
    </w:p>
    <w:p>
      <w:pPr>
        <w:spacing w:after="0" w:before="0" w:line="240" w:lineRule="auto"/>
        <w:ind w:left="57"/>
        <w:jc w:val="left"/>
        <w:shd w:val="clear" w:fill="F2F2F2"/>
      </w:pPr>
      <w:r>
        <w:rPr>
          <w:rFonts w:ascii="Consolas" w:hAnsi="Consolas" w:cs="Consolas"/>
          <w:b w:val="0"/>
          <w:i w:val="0"/>
          <w:sz w:val="15"/>
        </w:rPr>
        <w:t xml:space="preserve">  SGTX:   [Digital Signature]  Date: 2026-06-15</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23.4.4.4 Phase 5 — Shipment 2 Execution (After Modification)</w:t>
      </w:r>
    </w:p>
    <w:p>
      <w:pPr>
        <w:spacing w:after="80" w:line="293" w:lineRule="auto"/>
        <w:jc w:val="left"/>
      </w:pPr>
      <w:r>
        <w:rPr>
          <w:rFonts w:ascii="Times New Roman" w:hAnsi="Times New Roman" w:cs="Times New Roman"/>
          <w:b w:val="0"/>
          <w:i w:val="0"/>
          <w:sz w:val="22"/>
        </w:rPr>
        <w:t>Goal: after the schedule modification, Shipment 2 proceeds with the updated schedule. Duration: days 30–45 (after Shipment 1 completes). One-click guarantee: Shipment 2 locks independently with its own USTN and fee payment.</w:t>
      </w:r>
    </w:p>
    <w:p>
      <w:pPr>
        <w:spacing w:after="80" w:line="293" w:lineRule="auto"/>
        <w:jc w:val="left"/>
      </w:pPr>
      <w:r>
        <w:rPr>
          <w:rFonts w:ascii="Times New Roman" w:hAnsi="Times New Roman" w:cs="Times New Roman"/>
          <w:b w:val="0"/>
          <w:i w:val="0"/>
          <w:sz w:val="22"/>
        </w:rPr>
        <w:t>AI assistance: A4 (OPA + WasmEdge) — per-shipment locking.</w:t>
      </w:r>
    </w:p>
    <w:p>
      <w:pPr>
        <w:spacing w:after="80" w:line="293" w:lineRule="auto"/>
        <w:jc w:val="left"/>
      </w:pPr>
      <w:r>
        <w:rPr>
          <w:rFonts w:ascii="Times New Roman" w:hAnsi="Times New Roman" w:cs="Times New Roman"/>
          <w:b w:val="0"/>
          <w:i w:val="0"/>
          <w:sz w:val="22"/>
        </w:rPr>
        <w:t>Step-by-step Shipment 2 activation: the seller marks "Ready for Shipment 2" (1); the buyer confirms the shipment (1); the seller pays the per-shipment fee (1); Shipment 2 locks with its own USTN (...-V2) and executes on the modified schedule (30 Aug, Port Said).</w:t>
      </w:r>
    </w:p>
    <w:p>
      <w:pPr>
        <w:spacing w:after="80" w:line="293" w:lineRule="auto"/>
        <w:jc w:val="left"/>
      </w:pPr>
      <w:r>
        <w:rPr>
          <w:rFonts w:ascii="Times New Roman" w:hAnsi="Times New Roman" w:cs="Times New Roman"/>
          <w:b w:val="0"/>
          <w:i w:val="0"/>
          <w:sz w:val="22"/>
        </w:rPr>
        <w:t>Phase 5 one-click count: seller 2, buyer 1 → 3 clicks.</w:t>
      </w:r>
    </w:p>
    <w:p>
      <w:pPr>
        <w:spacing w:after="80" w:line="293" w:lineRule="auto"/>
        <w:jc w:val="left"/>
      </w:pPr>
      <w:r>
        <w:rPr>
          <w:rFonts w:ascii="Times New Roman" w:hAnsi="Times New Roman" w:cs="Times New Roman"/>
          <w:b w:val="0"/>
          <w:i w:val="0"/>
          <w:sz w:val="22"/>
        </w:rPr>
        <w:t>Multi-shipment schedule card (after modification):</w:t>
      </w:r>
    </w:p>
    <w:p>
      <w:pPr>
        <w:spacing w:after="0" w:before="0" w:line="240" w:lineRule="auto"/>
        <w:ind w:left="57"/>
        <w:jc w:val="left"/>
        <w:shd w:val="clear" w:fill="F2F2F2"/>
      </w:pPr>
      <w:r>
        <w:rPr>
          <w:rFonts w:ascii="Consolas" w:hAnsi="Consolas" w:cs="Consolas"/>
          <w:b w:val="0"/>
          <w:i w:val="0"/>
          <w:sz w:val="15"/>
        </w:rPr>
        <w:t>MULTI-SHIPMENT SCHEDULE — MC-20260415-001</w:t>
      </w:r>
    </w:p>
    <w:p>
      <w:pPr>
        <w:spacing w:after="0" w:before="0" w:line="240" w:lineRule="auto"/>
        <w:ind w:left="57"/>
        <w:jc w:val="left"/>
        <w:shd w:val="clear" w:fill="F2F2F2"/>
      </w:pPr>
      <w:r>
        <w:rPr>
          <w:rFonts w:ascii="Consolas" w:hAnsi="Consolas" w:cs="Consolas"/>
          <w:b w:val="0"/>
          <w:i w:val="0"/>
          <w:sz w:val="15"/>
        </w:rPr>
        <w:t>Master Contract: ACTIVE_MASTER</w:t>
      </w:r>
    </w:p>
    <w:p>
      <w:pPr>
        <w:spacing w:after="0" w:before="0" w:line="240" w:lineRule="auto"/>
        <w:ind w:left="57"/>
        <w:jc w:val="left"/>
        <w:shd w:val="clear" w:fill="F2F2F2"/>
      </w:pPr>
      <w:r>
        <w:rPr>
          <w:rFonts w:ascii="Consolas" w:hAnsi="Consolas" w:cs="Consolas"/>
          <w:b w:val="0"/>
          <w:i w:val="0"/>
          <w:sz w:val="15"/>
        </w:rPr>
        <w:t>Total Shipments: 3 | Completed: 1 | In Progress: 1 | Scheduled: 1</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Shipment  Delivery Date   Port        Containers  Status          USTN</w:t>
      </w:r>
    </w:p>
    <w:p>
      <w:pPr>
        <w:spacing w:after="0" w:before="0" w:line="240" w:lineRule="auto"/>
        <w:ind w:left="57"/>
        <w:jc w:val="left"/>
        <w:shd w:val="clear" w:fill="F2F2F2"/>
      </w:pPr>
      <w:r>
        <w:rPr>
          <w:rFonts w:ascii="Consolas" w:hAnsi="Consolas" w:cs="Consolas"/>
          <w:b w:val="0"/>
          <w:i w:val="0"/>
          <w:sz w:val="15"/>
        </w:rPr>
        <w:t>1         15 Jul 2026     Alexandria  1           COMPLETED       SGTX-...</w:t>
      </w:r>
    </w:p>
    <w:p>
      <w:pPr>
        <w:spacing w:after="0" w:before="0" w:line="240" w:lineRule="auto"/>
        <w:ind w:left="57"/>
        <w:jc w:val="left"/>
        <w:shd w:val="clear" w:fill="F2F2F2"/>
      </w:pPr>
      <w:r>
        <w:rPr>
          <w:rFonts w:ascii="Consolas" w:hAnsi="Consolas" w:cs="Consolas"/>
          <w:b w:val="0"/>
          <w:i w:val="0"/>
          <w:sz w:val="15"/>
        </w:rPr>
        <w:t xml:space="preserve">                                      (delivered)</w:t>
      </w:r>
    </w:p>
    <w:p>
      <w:pPr>
        <w:spacing w:after="0" w:before="0" w:line="240" w:lineRule="auto"/>
        <w:ind w:left="57"/>
        <w:jc w:val="left"/>
        <w:shd w:val="clear" w:fill="F2F2F2"/>
      </w:pPr>
      <w:r>
        <w:rPr>
          <w:rFonts w:ascii="Consolas" w:hAnsi="Consolas" w:cs="Consolas"/>
          <w:b w:val="0"/>
          <w:i w:val="0"/>
          <w:sz w:val="15"/>
        </w:rPr>
        <w:t>2         30 Aug 2026     Port Said   1           IN EXECUTION    SGTX-...</w:t>
      </w:r>
    </w:p>
    <w:p>
      <w:pPr>
        <w:spacing w:after="0" w:before="0" w:line="240" w:lineRule="auto"/>
        <w:ind w:left="57"/>
        <w:jc w:val="left"/>
        <w:shd w:val="clear" w:fill="F2F2F2"/>
      </w:pPr>
      <w:r>
        <w:rPr>
          <w:rFonts w:ascii="Consolas" w:hAnsi="Consolas" w:cs="Consolas"/>
          <w:b w:val="0"/>
          <w:i w:val="0"/>
          <w:sz w:val="15"/>
        </w:rPr>
        <w:t xml:space="preserve">                                      (modified)                 ...-V2</w:t>
      </w:r>
    </w:p>
    <w:p>
      <w:pPr>
        <w:spacing w:after="0" w:before="0" w:line="240" w:lineRule="auto"/>
        <w:ind w:left="57"/>
        <w:jc w:val="left"/>
        <w:shd w:val="clear" w:fill="F2F2F2"/>
      </w:pPr>
      <w:r>
        <w:rPr>
          <w:rFonts w:ascii="Consolas" w:hAnsi="Consolas" w:cs="Consolas"/>
          <w:b w:val="0"/>
          <w:i w:val="0"/>
          <w:sz w:val="15"/>
        </w:rPr>
        <w:t>3         15 Sep 2026     Alexandria  1           SCHEDULED       —</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Progress: 67% (2 of 3 shipments locked/completed)</w:t>
      </w:r>
    </w:p>
    <w:p>
      <w:pPr>
        <w:spacing w:after="0" w:before="0" w:line="240" w:lineRule="auto"/>
        <w:ind w:left="57"/>
        <w:jc w:val="left"/>
        <w:shd w:val="clear" w:fill="F2F2F2"/>
      </w:pPr>
      <w:r>
        <w:rPr>
          <w:rFonts w:ascii="Consolas" w:hAnsi="Consolas" w:cs="Consolas"/>
          <w:b w:val="0"/>
          <w:i w:val="0"/>
          <w:sz w:val="15"/>
        </w:rPr>
        <w:t>Modification History:</w:t>
      </w:r>
    </w:p>
    <w:p>
      <w:pPr>
        <w:spacing w:after="0" w:before="0" w:line="240" w:lineRule="auto"/>
        <w:ind w:left="57"/>
        <w:jc w:val="left"/>
        <w:shd w:val="clear" w:fill="F2F2F2"/>
      </w:pPr>
      <w:r>
        <w:rPr>
          <w:rFonts w:ascii="Consolas" w:hAnsi="Consolas" w:cs="Consolas"/>
          <w:b w:val="0"/>
          <w:i w:val="0"/>
          <w:sz w:val="15"/>
        </w:rPr>
        <w:t xml:space="preserve">  • 2026-06-15 — Shipment 2 modified: 15 Aug → 30 Aug, Alexandria →</w:t>
      </w:r>
    </w:p>
    <w:p>
      <w:pPr>
        <w:spacing w:after="0" w:before="0" w:line="240" w:lineRule="auto"/>
        <w:ind w:left="57"/>
        <w:jc w:val="left"/>
        <w:shd w:val="clear" w:fill="F2F2F2"/>
      </w:pPr>
      <w:r>
        <w:rPr>
          <w:rFonts w:ascii="Consolas" w:hAnsi="Consolas" w:cs="Consolas"/>
          <w:b w:val="0"/>
          <w:i w:val="0"/>
          <w:sz w:val="15"/>
        </w:rPr>
        <w:t xml:space="preserve">    Port Said (schedule addendum signed by both parties)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23.4.4.5 Governance &amp; Validation</w:t>
      </w:r>
    </w:p>
    <w:p>
      <w:pPr>
        <w:spacing w:after="80" w:line="293" w:lineRule="auto"/>
        <w:jc w:val="left"/>
      </w:pPr>
      <w:r>
        <w:rPr>
          <w:rFonts w:ascii="Times New Roman" w:hAnsi="Times New Roman" w:cs="Times New Roman"/>
          <w:b w:val="0"/>
          <w:i w:val="0"/>
          <w:sz w:val="22"/>
        </w:rPr>
        <w:t>Governor validation checks:</w:t>
      </w:r>
    </w:p>
    <w:p>
      <w:pPr>
        <w:spacing w:after="80" w:line="293" w:lineRule="auto"/>
        <w:ind w:left="283"/>
        <w:jc w:val="left"/>
      </w:pPr>
      <w:r>
        <w:rPr>
          <w:rFonts w:ascii="Times New Roman" w:hAnsi="Times New Roman" w:cs="Times New Roman"/>
          <w:b w:val="0"/>
          <w:i w:val="0"/>
          <w:sz w:val="22"/>
        </w:rPr>
        <w:t>- The modified shipment must be in SCHEDULED status (LOCKED shipments are immutable).</w:t>
      </w:r>
    </w:p>
    <w:p>
      <w:pPr>
        <w:spacing w:after="80" w:line="293" w:lineRule="auto"/>
        <w:ind w:left="283"/>
        <w:jc w:val="left"/>
      </w:pPr>
      <w:r>
        <w:rPr>
          <w:rFonts w:ascii="Times New Roman" w:hAnsi="Times New Roman" w:cs="Times New Roman"/>
          <w:b w:val="0"/>
          <w:i w:val="0"/>
          <w:sz w:val="22"/>
        </w:rPr>
        <w:t>- The proposed port must exist and not be sanctioned.</w:t>
      </w:r>
    </w:p>
    <w:p>
      <w:pPr>
        <w:spacing w:after="80" w:line="293" w:lineRule="auto"/>
        <w:ind w:left="283"/>
        <w:jc w:val="left"/>
      </w:pPr>
      <w:r>
        <w:rPr>
          <w:rFonts w:ascii="Times New Roman" w:hAnsi="Times New Roman" w:cs="Times New Roman"/>
          <w:b w:val="0"/>
          <w:i w:val="0"/>
          <w:sz w:val="22"/>
        </w:rPr>
        <w:t>- The proposed delivery date must be in the future.</w:t>
      </w:r>
    </w:p>
    <w:p>
      <w:pPr>
        <w:spacing w:after="80" w:line="293" w:lineRule="auto"/>
        <w:ind w:left="283"/>
        <w:jc w:val="left"/>
      </w:pPr>
      <w:r>
        <w:rPr>
          <w:rFonts w:ascii="Times New Roman" w:hAnsi="Times New Roman" w:cs="Times New Roman"/>
          <w:b w:val="0"/>
          <w:i w:val="0"/>
          <w:sz w:val="22"/>
        </w:rPr>
        <w:t>- The modification must not change the total contract value (value changes require the full</w:t>
      </w:r>
    </w:p>
    <w:p>
      <w:pPr>
        <w:spacing w:after="80" w:line="293" w:lineRule="auto"/>
        <w:jc w:val="left"/>
      </w:pPr>
      <w:r>
        <w:rPr>
          <w:rFonts w:ascii="Times New Roman" w:hAnsi="Times New Roman" w:cs="Times New Roman"/>
          <w:b w:val="0"/>
          <w:i w:val="0"/>
          <w:sz w:val="22"/>
        </w:rPr>
        <w:t>negotiation workflow).</w:t>
      </w:r>
    </w:p>
    <w:p>
      <w:pPr>
        <w:spacing w:after="80" w:line="293" w:lineRule="auto"/>
        <w:ind w:left="283"/>
        <w:jc w:val="left"/>
      </w:pPr>
      <w:r>
        <w:rPr>
          <w:rFonts w:ascii="Times New Roman" w:hAnsi="Times New Roman" w:cs="Times New Roman"/>
          <w:b w:val="0"/>
          <w:i w:val="0"/>
          <w:sz w:val="22"/>
        </w:rPr>
        <w:t>- The reason must be at least 20 characters.</w:t>
      </w:r>
    </w:p>
    <w:p>
      <w:pPr>
        <w:spacing w:after="80" w:line="293" w:lineRule="auto"/>
        <w:jc w:val="left"/>
      </w:pPr>
      <w:r>
        <w:rPr>
          <w:rFonts w:ascii="Times New Roman" w:hAnsi="Times New Roman" w:cs="Times New Roman"/>
          <w:b w:val="0"/>
          <w:i w:val="0"/>
          <w:sz w:val="22"/>
        </w:rPr>
        <w:t>Security &amp; audit: the modification request, diff view acceptance, and addendum signatures are Loom-hashed; the addendum is stored as an immutable contract artefact; the modification history is visible on the schedule card to both parties.</w:t>
      </w:r>
    </w:p>
    <w:p>
      <w:pPr>
        <w:keepNext/>
        <w:spacing w:before="140" w:after="60"/>
        <w:outlineLvl w:val="3"/>
      </w:pPr>
      <w:r>
        <w:rPr>
          <w:rFonts w:ascii="Arial" w:hAnsi="Arial" w:cs="Arial"/>
          <w:b/>
          <w:i/>
          <w:color w:val="333333"/>
          <w:sz w:val="22"/>
        </w:rPr>
        <w:t>23.4.4.6 Summary — One-Click Counts</w:t>
      </w:r>
    </w:p>
    <w:p>
      <w:pPr>
        <w:spacing w:after="80" w:line="293" w:lineRule="auto"/>
        <w:jc w:val="left"/>
      </w:pPr>
      <w:r>
        <w:rPr>
          <w:rFonts w:ascii="Times New Roman" w:hAnsi="Times New Roman" w:cs="Times New Roman"/>
          <w:b w:val="0"/>
          <w:i w:val="0"/>
          <w:sz w:val="22"/>
        </w:rPr>
        <w:t>Per phase: Phase 3 (modification) 4 clicks total; Phase 5 (Shipment 2 activation) 3 clicks total.</w:t>
      </w:r>
    </w:p>
    <w:p>
      <w:pPr>
        <w:spacing w:after="80" w:line="293" w:lineRule="auto"/>
        <w:jc w:val="left"/>
      </w:pPr>
      <w:r>
        <w:rPr>
          <w:rFonts w:ascii="Times New Roman" w:hAnsi="Times New Roman" w:cs="Times New Roman"/>
          <w:b w:val="0"/>
          <w:i w:val="0"/>
          <w:sz w:val="22"/>
        </w:rPr>
        <w:t>Per actor: buyer 3 (request 2 + confirm 1), seller 3 (review/accept 1 + sign 1 + ready 1), fee payment 1 (seller). All other steps are automatic.</w:t>
      </w:r>
    </w:p>
    <w:p>
      <w:pPr>
        <w:keepNext/>
        <w:spacing w:before="140" w:after="60"/>
        <w:outlineLvl w:val="3"/>
      </w:pPr>
      <w:r>
        <w:rPr>
          <w:rFonts w:ascii="Arial" w:hAnsi="Arial" w:cs="Arial"/>
          <w:b/>
          <w:i/>
          <w:color w:val="333333"/>
          <w:sz w:val="22"/>
        </w:rPr>
        <w:t>23.4.4.7 Lessons Learned &amp; Best Practices</w:t>
      </w:r>
    </w:p>
    <w:p>
      <w:pPr>
        <w:spacing w:after="80" w:line="293" w:lineRule="auto"/>
        <w:ind w:left="283"/>
        <w:jc w:val="left"/>
      </w:pPr>
      <w:r>
        <w:rPr>
          <w:rFonts w:ascii="Times New Roman" w:hAnsi="Times New Roman" w:cs="Times New Roman"/>
          <w:b w:val="0"/>
          <w:i w:val="0"/>
          <w:sz w:val="22"/>
        </w:rPr>
        <w:t>- Modify, never re-contract: the addendum preserved the original commercial terms, signatures, and</w:t>
      </w:r>
    </w:p>
    <w:p>
      <w:pPr>
        <w:spacing w:after="80" w:line="293" w:lineRule="auto"/>
        <w:jc w:val="left"/>
      </w:pPr>
      <w:r>
        <w:rPr>
          <w:rFonts w:ascii="Times New Roman" w:hAnsi="Times New Roman" w:cs="Times New Roman"/>
          <w:b w:val="0"/>
          <w:i w:val="0"/>
          <w:sz w:val="22"/>
        </w:rPr>
        <w:t>fee structure.</w:t>
      </w:r>
    </w:p>
    <w:p>
      <w:pPr>
        <w:spacing w:after="80" w:line="293" w:lineRule="auto"/>
        <w:ind w:left="283"/>
        <w:jc w:val="left"/>
      </w:pPr>
      <w:r>
        <w:rPr>
          <w:rFonts w:ascii="Times New Roman" w:hAnsi="Times New Roman" w:cs="Times New Roman"/>
          <w:b w:val="0"/>
          <w:i w:val="0"/>
          <w:sz w:val="22"/>
        </w:rPr>
        <w:t>- Locked shipments are immutable by design — the in-transit Shipment 1 was untouched, protecting</w:t>
      </w:r>
    </w:p>
    <w:p>
      <w:pPr>
        <w:spacing w:after="80" w:line="293" w:lineRule="auto"/>
        <w:jc w:val="left"/>
      </w:pPr>
      <w:r>
        <w:rPr>
          <w:rFonts w:ascii="Times New Roman" w:hAnsi="Times New Roman" w:cs="Times New Roman"/>
          <w:b w:val="0"/>
          <w:i w:val="0"/>
          <w:sz w:val="22"/>
        </w:rPr>
        <w:t>execution certainty.</w:t>
      </w:r>
    </w:p>
    <w:p>
      <w:pPr>
        <w:spacing w:after="80" w:line="293" w:lineRule="auto"/>
        <w:ind w:left="283"/>
        <w:jc w:val="left"/>
      </w:pPr>
      <w:r>
        <w:rPr>
          <w:rFonts w:ascii="Times New Roman" w:hAnsi="Times New Roman" w:cs="Times New Roman"/>
          <w:b w:val="0"/>
          <w:i w:val="0"/>
          <w:sz w:val="22"/>
        </w:rPr>
        <w:t>- The 20-character minimum reason keeps the modification history meaningful for audits.</w:t>
      </w:r>
    </w:p>
    <w:p>
      <w:pPr>
        <w:keepNext/>
        <w:spacing w:before="180" w:after="80"/>
        <w:outlineLvl w:val="2"/>
      </w:pPr>
      <w:r>
        <w:rPr>
          <w:rFonts w:ascii="Arial" w:hAnsi="Arial" w:cs="Arial"/>
          <w:b/>
          <w:i w:val="0"/>
          <w:color w:val="333333"/>
          <w:sz w:val="23"/>
        </w:rPr>
        <w:t>23.4.5 Further Worked Examples</w:t>
      </w:r>
    </w:p>
    <w:p>
      <w:pPr>
        <w:keepNext/>
        <w:spacing w:before="140" w:after="60"/>
        <w:outlineLvl w:val="3"/>
      </w:pPr>
      <w:r>
        <w:rPr>
          <w:rFonts w:ascii="Arial" w:hAnsi="Arial" w:cs="Arial"/>
          <w:b/>
          <w:i/>
          <w:color w:val="333333"/>
          <w:sz w:val="22"/>
        </w:rPr>
        <w:t>23.4.5.1 Example 4 — QC Conditional Pass with Action Plan</w:t>
      </w:r>
    </w:p>
    <w:p>
      <w:pPr>
        <w:spacing w:after="80" w:line="293" w:lineRule="auto"/>
        <w:jc w:val="left"/>
      </w:pPr>
      <w:r>
        <w:rPr>
          <w:rFonts w:ascii="Times New Roman" w:hAnsi="Times New Roman" w:cs="Times New Roman"/>
          <w:b w:val="0"/>
          <w:i w:val="0"/>
          <w:sz w:val="22"/>
        </w:rPr>
        <w:t>Scenario: frozen strawberries, 22 pallets. Inspection finding: minor bruising on 2 cartons (pallet OR020) — not severe enough to fail the entire shipment, but requiring remediation. QC verdict: CONDITIONAL PASS — loading proceeds with a hold.</w:t>
      </w:r>
    </w:p>
    <w:p>
      <w:pPr>
        <w:spacing w:after="80" w:line="293" w:lineRule="auto"/>
        <w:jc w:val="left"/>
      </w:pPr>
      <w:r>
        <w:rPr>
          <w:rFonts w:ascii="Times New Roman" w:hAnsi="Times New Roman" w:cs="Times New Roman"/>
          <w:b w:val="0"/>
          <w:i w:val="0"/>
          <w:sz w:val="22"/>
        </w:rPr>
        <w:t>Conditional QC workflow (one-click count: inspector 3, seller 1 → 4 clicks total): the inspector selects the CONDITIONAL verdict (1), fills the action plan (replace 2 damaged cartons on pallet OR020 within 24h) and submits (1 + 1); the seller completes the action plan and marks it completed (1); the Governor verifies and releases the hold automatically.</w:t>
      </w:r>
    </w:p>
    <w:p>
      <w:pPr>
        <w:spacing w:after="80" w:line="293" w:lineRule="auto"/>
        <w:jc w:val="left"/>
      </w:pPr>
      <w:r>
        <w:rPr>
          <w:rFonts w:ascii="Times New Roman" w:hAnsi="Times New Roman" w:cs="Times New Roman"/>
          <w:b w:val="0"/>
          <w:i w:val="0"/>
          <w:sz w:val="22"/>
        </w:rPr>
        <w:t>Conditional QC hold panel (TCC):</w:t>
      </w:r>
    </w:p>
    <w:p>
      <w:pPr>
        <w:spacing w:after="0" w:before="0" w:line="240" w:lineRule="auto"/>
        <w:ind w:left="57"/>
        <w:jc w:val="left"/>
        <w:shd w:val="clear" w:fill="F2F2F2"/>
      </w:pPr>
      <w:r>
        <w:rPr>
          <w:rFonts w:ascii="Consolas" w:hAnsi="Consolas" w:cs="Consolas"/>
          <w:b w:val="0"/>
          <w:i w:val="0"/>
          <w:sz w:val="15"/>
        </w:rPr>
        <w:t>CONDITIONAL QC HOLD — USTN SGTX-1397F3A-456ABC-...</w:t>
      </w:r>
    </w:p>
    <w:p>
      <w:pPr>
        <w:spacing w:after="0" w:before="0" w:line="240" w:lineRule="auto"/>
        <w:ind w:left="57"/>
        <w:jc w:val="left"/>
        <w:shd w:val="clear" w:fill="F2F2F2"/>
      </w:pPr>
      <w:r>
        <w:rPr>
          <w:rFonts w:ascii="Consolas" w:hAnsi="Consolas" w:cs="Consolas"/>
          <w:b w:val="0"/>
          <w:i w:val="0"/>
          <w:sz w:val="15"/>
        </w:rPr>
        <w:t>Verdict: CONDITIONAL PASS</w:t>
      </w:r>
    </w:p>
    <w:p>
      <w:pPr>
        <w:spacing w:after="0" w:before="0" w:line="240" w:lineRule="auto"/>
        <w:ind w:left="57"/>
        <w:jc w:val="left"/>
        <w:shd w:val="clear" w:fill="F2F2F2"/>
      </w:pPr>
      <w:r>
        <w:rPr>
          <w:rFonts w:ascii="Consolas" w:hAnsi="Consolas" w:cs="Consolas"/>
          <w:b w:val="0"/>
          <w:i w:val="0"/>
          <w:sz w:val="15"/>
        </w:rPr>
        <w:t>Action Plan: Replace 2 damaged cartons on pallet OR020 within 24h.</w:t>
      </w:r>
    </w:p>
    <w:p>
      <w:pPr>
        <w:spacing w:after="0" w:before="0" w:line="240" w:lineRule="auto"/>
        <w:ind w:left="57"/>
        <w:jc w:val="left"/>
        <w:shd w:val="clear" w:fill="F2F2F2"/>
      </w:pPr>
      <w:r>
        <w:rPr>
          <w:rFonts w:ascii="Consolas" w:hAnsi="Consolas" w:cs="Consolas"/>
          <w:b w:val="0"/>
          <w:i w:val="0"/>
          <w:sz w:val="15"/>
        </w:rPr>
        <w:t>Deadline: 2026-04-16T12:00:00Z (expires in 18h 23m)</w:t>
      </w:r>
    </w:p>
    <w:p>
      <w:pPr>
        <w:spacing w:after="0" w:before="0" w:line="240" w:lineRule="auto"/>
        <w:ind w:left="57"/>
        <w:jc w:val="left"/>
        <w:shd w:val="clear" w:fill="F2F2F2"/>
      </w:pPr>
      <w:r>
        <w:rPr>
          <w:rFonts w:ascii="Consolas" w:hAnsi="Consolas" w:cs="Consolas"/>
          <w:b w:val="0"/>
          <w:i w:val="0"/>
          <w:sz w:val="15"/>
        </w:rPr>
        <w:t>Status: PENDING</w:t>
      </w:r>
    </w:p>
    <w:p>
      <w:pPr>
        <w:spacing w:after="0" w:before="0" w:line="240" w:lineRule="auto"/>
        <w:ind w:left="57"/>
        <w:jc w:val="left"/>
        <w:shd w:val="clear" w:fill="F2F2F2"/>
      </w:pPr>
      <w:r>
        <w:rPr>
          <w:rFonts w:ascii="Consolas" w:hAnsi="Consolas" w:cs="Consolas"/>
          <w:b w:val="0"/>
          <w:i w:val="0"/>
          <w:sz w:val="15"/>
        </w:rPr>
        <w:t>[Mark Completed] [Request Extension] [Escalate]</w:t>
      </w:r>
    </w:p>
    <w:p>
      <w:pPr>
        <w:spacing w:after="0" w:before="0" w:line="240" w:lineRule="auto"/>
        <w:ind w:left="57"/>
        <w:jc w:val="left"/>
        <w:shd w:val="clear" w:fill="F2F2F2"/>
      </w:pPr>
      <w:r>
        <w:rPr>
          <w:rFonts w:ascii="Consolas" w:hAnsi="Consolas" w:cs="Consolas"/>
          <w:b w:val="0"/>
          <w:i w:val="0"/>
          <w:sz w:val="15"/>
        </w:rPr>
        <w:t>Settlement is blocked until the action plan is completed and verified.</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23.4.5.2 Example 5 — Deferred Government Fee Payment</w:t>
      </w:r>
    </w:p>
    <w:p>
      <w:pPr>
        <w:spacing w:after="80" w:line="293" w:lineRule="auto"/>
        <w:jc w:val="left"/>
      </w:pPr>
      <w:r>
        <w:rPr>
          <w:rFonts w:ascii="Times New Roman" w:hAnsi="Times New Roman" w:cs="Times New Roman"/>
          <w:b w:val="0"/>
          <w:i w:val="0"/>
          <w:sz w:val="22"/>
        </w:rPr>
        <w:t>Scenario: destination Nigeria — import duties must be paid after customs clearance, not before. Deferred fee: import duties $10,000 (eligibility detected by the RIA).</w:t>
      </w:r>
    </w:p>
    <w:p>
      <w:pPr>
        <w:spacing w:after="80" w:line="293" w:lineRule="auto"/>
        <w:jc w:val="left"/>
      </w:pPr>
      <w:r>
        <w:rPr>
          <w:rFonts w:ascii="Times New Roman" w:hAnsi="Times New Roman" w:cs="Times New Roman"/>
          <w:b w:val="0"/>
          <w:i w:val="0"/>
          <w:sz w:val="22"/>
        </w:rPr>
        <w:t>Deferred payment workflow (one-click count: seller 2 → 2 clicks; the rest is automatic): the seller accepts the deferred guarantee terms (1); the guarantee is held automatically at the CUSTOMS_IMPORT trigger; the seller pays the duties after clearance (1).</w:t>
      </w:r>
    </w:p>
    <w:p>
      <w:pPr>
        <w:spacing w:after="80" w:line="293" w:lineRule="auto"/>
        <w:jc w:val="left"/>
      </w:pPr>
      <w:r>
        <w:rPr>
          <w:rFonts w:ascii="Times New Roman" w:hAnsi="Times New Roman" w:cs="Times New Roman"/>
          <w:b w:val="0"/>
          <w:i w:val="0"/>
          <w:sz w:val="22"/>
        </w:rPr>
        <w:t>Deferred payment status dashboard:</w:t>
      </w:r>
    </w:p>
    <w:p>
      <w:pPr>
        <w:spacing w:after="0" w:before="0" w:line="240" w:lineRule="auto"/>
        <w:ind w:left="57"/>
        <w:jc w:val="left"/>
        <w:shd w:val="clear" w:fill="F2F2F2"/>
      </w:pPr>
      <w:r>
        <w:rPr>
          <w:rFonts w:ascii="Consolas" w:hAnsi="Consolas" w:cs="Consolas"/>
          <w:b w:val="0"/>
          <w:i w:val="0"/>
          <w:sz w:val="15"/>
        </w:rPr>
        <w:t>DEFERRED PAYMENT GUARANTEE — USTN SGTX-1397F3A-456ABC-...</w:t>
      </w:r>
    </w:p>
    <w:p>
      <w:pPr>
        <w:spacing w:after="0" w:before="0" w:line="240" w:lineRule="auto"/>
        <w:ind w:left="57"/>
        <w:jc w:val="left"/>
        <w:shd w:val="clear" w:fill="F2F2F2"/>
      </w:pPr>
      <w:r>
        <w:rPr>
          <w:rFonts w:ascii="Consolas" w:hAnsi="Consolas" w:cs="Consolas"/>
          <w:b w:val="0"/>
          <w:i w:val="0"/>
          <w:sz w:val="15"/>
        </w:rPr>
        <w:t>Fee Type: Import Duties       Amount: $10,000</w:t>
      </w:r>
    </w:p>
    <w:p>
      <w:pPr>
        <w:spacing w:after="0" w:before="0" w:line="240" w:lineRule="auto"/>
        <w:ind w:left="57"/>
        <w:jc w:val="left"/>
        <w:shd w:val="clear" w:fill="F2F2F2"/>
      </w:pPr>
      <w:r>
        <w:rPr>
          <w:rFonts w:ascii="Consolas" w:hAnsi="Consolas" w:cs="Consolas"/>
          <w:b w:val="0"/>
          <w:i w:val="0"/>
          <w:sz w:val="15"/>
        </w:rPr>
        <w:t>Status: GUARANTEE_HELD        Expiry: 2026-06-15T23:59:59Z (in 7 days)</w:t>
      </w:r>
    </w:p>
    <w:p>
      <w:pPr>
        <w:spacing w:after="0" w:before="0" w:line="240" w:lineRule="auto"/>
        <w:ind w:left="57"/>
        <w:jc w:val="left"/>
        <w:shd w:val="clear" w:fill="F2F2F2"/>
      </w:pPr>
      <w:r>
        <w:rPr>
          <w:rFonts w:ascii="Consolas" w:hAnsi="Consolas" w:cs="Consolas"/>
          <w:b w:val="0"/>
          <w:i w:val="0"/>
          <w:sz w:val="15"/>
        </w:rPr>
        <w:t>Trigger: Customs Clearance (CUSTOMS_IMPORT)</w:t>
      </w:r>
    </w:p>
    <w:p>
      <w:pPr>
        <w:spacing w:after="0" w:before="0" w:line="240" w:lineRule="auto"/>
        <w:ind w:left="57"/>
        <w:jc w:val="left"/>
        <w:shd w:val="clear" w:fill="F2F2F2"/>
      </w:pPr>
      <w:r>
        <w:rPr>
          <w:rFonts w:ascii="Consolas" w:hAnsi="Consolas" w:cs="Consolas"/>
          <w:b w:val="0"/>
          <w:i w:val="0"/>
          <w:sz w:val="15"/>
        </w:rPr>
        <w:t>Escalation:</w:t>
      </w:r>
    </w:p>
    <w:p>
      <w:pPr>
        <w:spacing w:after="0" w:before="0" w:line="240" w:lineRule="auto"/>
        <w:ind w:left="57"/>
        <w:jc w:val="left"/>
        <w:shd w:val="clear" w:fill="F2F2F2"/>
      </w:pPr>
      <w:r>
        <w:rPr>
          <w:rFonts w:ascii="Consolas" w:hAnsi="Consolas" w:cs="Consolas"/>
          <w:b w:val="0"/>
          <w:i w:val="0"/>
          <w:sz w:val="15"/>
        </w:rPr>
        <w:t xml:space="preserve">  • 7 days before expiry: reminder sent</w:t>
      </w:r>
    </w:p>
    <w:p>
      <w:pPr>
        <w:spacing w:after="0" w:before="0" w:line="240" w:lineRule="auto"/>
        <w:ind w:left="57"/>
        <w:jc w:val="left"/>
        <w:shd w:val="clear" w:fill="F2F2F2"/>
      </w:pPr>
      <w:r>
        <w:rPr>
          <w:rFonts w:ascii="Consolas" w:hAnsi="Consolas" w:cs="Consolas"/>
          <w:b w:val="0"/>
          <w:i w:val="0"/>
          <w:sz w:val="15"/>
        </w:rPr>
        <w:t xml:space="preserve">  • 1 day before expiry: alert to be sent</w:t>
      </w:r>
    </w:p>
    <w:p>
      <w:pPr>
        <w:spacing w:after="0" w:before="0" w:line="240" w:lineRule="auto"/>
        <w:ind w:left="57"/>
        <w:jc w:val="left"/>
        <w:shd w:val="clear" w:fill="F2F2F2"/>
      </w:pPr>
      <w:r>
        <w:rPr>
          <w:rFonts w:ascii="Consolas" w:hAnsi="Consolas" w:cs="Consolas"/>
          <w:b w:val="0"/>
          <w:i w:val="0"/>
          <w:sz w:val="15"/>
        </w:rPr>
        <w:t xml:space="preserve">  • At expiry: auto-charge (if authorised) or block</w:t>
      </w:r>
    </w:p>
    <w:p>
      <w:pPr>
        <w:spacing w:after="0" w:before="0" w:line="240" w:lineRule="auto"/>
        <w:ind w:left="57"/>
        <w:jc w:val="left"/>
        <w:shd w:val="clear" w:fill="F2F2F2"/>
      </w:pPr>
      <w:r>
        <w:rPr>
          <w:rFonts w:ascii="Consolas" w:hAnsi="Consolas" w:cs="Consolas"/>
          <w:b w:val="0"/>
          <w:i w:val="0"/>
          <w:sz w:val="15"/>
        </w:rPr>
        <w:t>[Pay Now] [Extend Guarantee] [View Details]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23.4.5.3 Example 6 — Financing with Co-Financing</w:t>
      </w:r>
    </w:p>
    <w:p>
      <w:pPr>
        <w:spacing w:after="80" w:line="293" w:lineRule="auto"/>
        <w:jc w:val="left"/>
      </w:pPr>
      <w:r>
        <w:rPr>
          <w:rFonts w:ascii="Times New Roman" w:hAnsi="Times New Roman" w:cs="Times New Roman"/>
          <w:b w:val="0"/>
          <w:i w:val="0"/>
          <w:sz w:val="22"/>
        </w:rPr>
        <w:t>Scenario: financing request $100,000 pre-shipment financing for citrus. Bank X finances $60,000 at 4.8%; PFI Y finances $40,000 at 5.2% (both with bank transfer settlement).</w:t>
      </w:r>
    </w:p>
    <w:p>
      <w:pPr>
        <w:spacing w:after="80" w:line="293" w:lineRule="auto"/>
        <w:jc w:val="left"/>
      </w:pPr>
      <w:r>
        <w:rPr>
          <w:rFonts w:ascii="Times New Roman" w:hAnsi="Times New Roman" w:cs="Times New Roman"/>
          <w:b w:val="0"/>
          <w:i w:val="0"/>
          <w:sz w:val="22"/>
        </w:rPr>
        <w:t>Financing workflow (one-click count: seller 3, Bank X 2, PFI Y 2 → ~7 clicks total): the seller requests financing (1), signs the financing agreement (1), receives disbursement (1); Bank X submits its bid (1) and disburses (1); PFI Y submits its bid (1) and disburses (1). The dedicated settlement leg deducts 0.25%; repayment is monitored automatically.</w:t>
      </w:r>
    </w:p>
    <w:p>
      <w:pPr>
        <w:spacing w:after="80" w:line="293" w:lineRule="auto"/>
        <w:jc w:val="left"/>
      </w:pPr>
      <w:r>
        <w:rPr>
          <w:rFonts w:ascii="Times New Roman" w:hAnsi="Times New Roman" w:cs="Times New Roman"/>
          <w:b w:val="0"/>
          <w:i w:val="0"/>
          <w:sz w:val="22"/>
        </w:rPr>
        <w:t>Collateral monitoring dashboard (Bank X view):</w:t>
      </w:r>
    </w:p>
    <w:p>
      <w:pPr>
        <w:spacing w:after="0" w:before="0" w:line="240" w:lineRule="auto"/>
        <w:ind w:left="57"/>
        <w:jc w:val="left"/>
        <w:shd w:val="clear" w:fill="F2F2F2"/>
      </w:pPr>
      <w:r>
        <w:rPr>
          <w:rFonts w:ascii="Consolas" w:hAnsi="Consolas" w:cs="Consolas"/>
          <w:b w:val="0"/>
          <w:i w:val="0"/>
          <w:sz w:val="15"/>
        </w:rPr>
        <w:t>COLLATERAL MONITORING — USTN SGTX-1397F3A-456ABC-...</w:t>
      </w:r>
    </w:p>
    <w:p>
      <w:pPr>
        <w:spacing w:after="0" w:before="0" w:line="240" w:lineRule="auto"/>
        <w:ind w:left="57"/>
        <w:jc w:val="left"/>
        <w:shd w:val="clear" w:fill="F2F2F2"/>
      </w:pPr>
      <w:r>
        <w:rPr>
          <w:rFonts w:ascii="Consolas" w:hAnsi="Consolas" w:cs="Consolas"/>
          <w:b w:val="0"/>
          <w:i w:val="0"/>
          <w:sz w:val="15"/>
        </w:rPr>
        <w:t>Financier: Bank X | Borrower: Mekong Fresh | Amount: $60,000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LTV GAUGE                    LTV HISTORY (30 DAYS)</w:t>
      </w:r>
    </w:p>
    <w:p>
      <w:pPr>
        <w:spacing w:after="0" w:before="0" w:line="240" w:lineRule="auto"/>
        <w:ind w:left="57"/>
        <w:jc w:val="left"/>
        <w:shd w:val="clear" w:fill="F2F2F2"/>
      </w:pPr>
      <w:r>
        <w:rPr>
          <w:rFonts w:ascii="Consolas" w:hAnsi="Consolas" w:cs="Consolas"/>
          <w:b w:val="0"/>
          <w:i w:val="0"/>
          <w:sz w:val="15"/>
        </w:rPr>
        <w:t>[Gauge: 70%]                 80%</w:t>
      </w:r>
    </w:p>
    <w:p>
      <w:pPr>
        <w:spacing w:after="0" w:before="0" w:line="240" w:lineRule="auto"/>
        <w:ind w:left="57"/>
        <w:jc w:val="left"/>
        <w:shd w:val="clear" w:fill="F2F2F2"/>
      </w:pPr>
      <w:r>
        <w:rPr>
          <w:rFonts w:ascii="Consolas" w:hAnsi="Consolas" w:cs="Consolas"/>
          <w:b w:val="0"/>
          <w:i w:val="0"/>
          <w:sz w:val="15"/>
        </w:rPr>
        <w:t xml:space="preserve">  Green  0-70%               70%   ▲ Margin call issued 22 Jun</w:t>
      </w:r>
    </w:p>
    <w:p>
      <w:pPr>
        <w:spacing w:after="0" w:before="0" w:line="240" w:lineRule="auto"/>
        <w:ind w:left="57"/>
        <w:jc w:val="left"/>
        <w:shd w:val="clear" w:fill="F2F2F2"/>
      </w:pPr>
      <w:r>
        <w:rPr>
          <w:rFonts w:ascii="Consolas" w:hAnsi="Consolas" w:cs="Consolas"/>
          <w:b w:val="0"/>
          <w:i w:val="0"/>
          <w:sz w:val="15"/>
        </w:rPr>
        <w:t xml:space="preserve">  Amber  70-85%              60%     Collateral added 20 Jun</w:t>
      </w:r>
    </w:p>
    <w:p>
      <w:pPr>
        <w:spacing w:after="0" w:before="0" w:line="240" w:lineRule="auto"/>
        <w:ind w:left="57"/>
        <w:jc w:val="left"/>
        <w:shd w:val="clear" w:fill="F2F2F2"/>
      </w:pPr>
      <w:r>
        <w:rPr>
          <w:rFonts w:ascii="Consolas" w:hAnsi="Consolas" w:cs="Consolas"/>
          <w:b w:val="0"/>
          <w:i w:val="0"/>
          <w:sz w:val="15"/>
        </w:rPr>
        <w:t xml:space="preserve">  Red    85-100%             50%</w:t>
      </w:r>
    </w:p>
    <w:p>
      <w:pPr>
        <w:spacing w:after="0" w:before="0" w:line="240" w:lineRule="auto"/>
        <w:ind w:left="57"/>
        <w:jc w:val="left"/>
        <w:shd w:val="clear" w:fill="F2F2F2"/>
      </w:pPr>
      <w:r>
        <w:rPr>
          <w:rFonts w:ascii="Consolas" w:hAnsi="Consolas" w:cs="Consolas"/>
          <w:b w:val="0"/>
          <w:i w:val="0"/>
          <w:sz w:val="15"/>
        </w:rPr>
        <w:t>Collateral: $85,000</w:t>
      </w:r>
    </w:p>
    <w:p>
      <w:pPr>
        <w:spacing w:after="0" w:before="0" w:line="240" w:lineRule="auto"/>
        <w:ind w:left="57"/>
        <w:jc w:val="left"/>
        <w:shd w:val="clear" w:fill="F2F2F2"/>
      </w:pPr>
      <w:r>
        <w:rPr>
          <w:rFonts w:ascii="Consolas" w:hAnsi="Consolas" w:cs="Consolas"/>
          <w:b w:val="0"/>
          <w:i w:val="0"/>
          <w:sz w:val="15"/>
        </w:rPr>
        <w:t>Loan:       $60,000</w:t>
      </w:r>
    </w:p>
    <w:p>
      <w:pPr>
        <w:spacing w:after="0" w:before="0" w:line="240" w:lineRule="auto"/>
        <w:ind w:left="57"/>
        <w:jc w:val="left"/>
        <w:shd w:val="clear" w:fill="F2F2F2"/>
      </w:pPr>
      <w:r>
        <w:rPr>
          <w:rFonts w:ascii="Consolas" w:hAnsi="Consolas" w:cs="Consolas"/>
          <w:b w:val="0"/>
          <w:i w:val="0"/>
          <w:sz w:val="15"/>
        </w:rPr>
        <w:t>LTV:        70.6%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LIQUIDATION RISK METER</w:t>
      </w:r>
    </w:p>
    <w:p>
      <w:pPr>
        <w:spacing w:after="0" w:before="0" w:line="240" w:lineRule="auto"/>
        <w:ind w:left="57"/>
        <w:jc w:val="left"/>
        <w:shd w:val="clear" w:fill="F2F2F2"/>
      </w:pPr>
      <w:r>
        <w:rPr>
          <w:rFonts w:ascii="Consolas" w:hAnsi="Consolas" w:cs="Consolas"/>
          <w:b w:val="0"/>
          <w:i w:val="0"/>
          <w:sz w:val="15"/>
        </w:rPr>
        <w:t>[█ 68%]  Low 0-20% | Medium 20-50% | High 50-100%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Groq: "Livestock collateral has high feed-price volatility (+15% this</w:t>
      </w:r>
    </w:p>
    <w:p>
      <w:pPr>
        <w:spacing w:after="0" w:before="0" w:line="240" w:lineRule="auto"/>
        <w:ind w:left="57"/>
        <w:jc w:val="left"/>
        <w:shd w:val="clear" w:fill="F2F2F2"/>
      </w:pPr>
      <w:r>
        <w:rPr>
          <w:rFonts w:ascii="Consolas" w:hAnsi="Consolas" w:cs="Consolas"/>
          <w:b w:val="0"/>
          <w:i w:val="0"/>
          <w:sz w:val="15"/>
        </w:rPr>
        <w:t>week), elevating liquidation risk to 68%. Consider a proactive margin call."</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MARGIN CALL LOG</w:t>
      </w:r>
    </w:p>
    <w:p>
      <w:pPr>
        <w:spacing w:after="0" w:before="0" w:line="240" w:lineRule="auto"/>
        <w:ind w:left="57"/>
        <w:jc w:val="left"/>
        <w:shd w:val="clear" w:fill="F2F2F2"/>
      </w:pPr>
      <w:r>
        <w:rPr>
          <w:rFonts w:ascii="Consolas" w:hAnsi="Consolas" w:cs="Consolas"/>
          <w:b w:val="0"/>
          <w:i w:val="0"/>
          <w:sz w:val="15"/>
        </w:rPr>
        <w:t>Date  LTV  Amount Required  Deadline  Status</w:t>
      </w:r>
    </w:p>
    <w:p>
      <w:pPr>
        <w:spacing w:after="0" w:before="0" w:line="240" w:lineRule="auto"/>
        <w:ind w:left="57"/>
        <w:jc w:val="left"/>
        <w:shd w:val="clear" w:fill="F2F2F2"/>
      </w:pPr>
      <w:r>
        <w:rPr>
          <w:rFonts w:ascii="Consolas" w:hAnsi="Consolas" w:cs="Consolas"/>
          <w:b w:val="0"/>
          <w:i w:val="0"/>
          <w:sz w:val="15"/>
        </w:rPr>
        <w:t>22/6  82%  $10,000         24/6      Pending</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SIMULATE PRICE DROP</w:t>
      </w:r>
    </w:p>
    <w:p>
      <w:pPr>
        <w:spacing w:after="0" w:before="0" w:line="240" w:lineRule="auto"/>
        <w:ind w:left="57"/>
        <w:jc w:val="left"/>
        <w:shd w:val="clear" w:fill="F2F2F2"/>
      </w:pPr>
      <w:r>
        <w:rPr>
          <w:rFonts w:ascii="Consolas" w:hAnsi="Consolas" w:cs="Consolas"/>
          <w:b w:val="0"/>
          <w:i w:val="0"/>
          <w:sz w:val="15"/>
        </w:rPr>
        <w:t>Collateral value decline: [10%]</w:t>
      </w:r>
    </w:p>
    <w:p>
      <w:pPr>
        <w:spacing w:after="0" w:before="0" w:line="240" w:lineRule="auto"/>
        <w:ind w:left="57"/>
        <w:jc w:val="left"/>
        <w:shd w:val="clear" w:fill="F2F2F2"/>
      </w:pPr>
      <w:r>
        <w:rPr>
          <w:rFonts w:ascii="Consolas" w:hAnsi="Consolas" w:cs="Consolas"/>
          <w:b w:val="0"/>
          <w:i w:val="0"/>
          <w:sz w:val="15"/>
        </w:rPr>
        <w:t>New LTV: 78.4%</w:t>
      </w:r>
    </w:p>
    <w:p>
      <w:pPr>
        <w:spacing w:after="0" w:before="0" w:line="240" w:lineRule="auto"/>
        <w:ind w:left="57"/>
        <w:jc w:val="left"/>
        <w:shd w:val="clear" w:fill="F2F2F2"/>
      </w:pPr>
      <w:r>
        <w:rPr>
          <w:rFonts w:ascii="Consolas" w:hAnsi="Consolas" w:cs="Consolas"/>
          <w:b w:val="0"/>
          <w:i w:val="0"/>
          <w:sz w:val="15"/>
        </w:rPr>
        <w:t>Additional collateral required to restore 70%: $6,400</w:t>
      </w:r>
    </w:p>
    <w:p>
      <w:pPr>
        <w:spacing w:after="0" w:before="0" w:line="240" w:lineRule="auto"/>
        <w:ind w:left="57"/>
        <w:jc w:val="left"/>
        <w:shd w:val="clear" w:fill="F2F2F2"/>
      </w:pPr>
      <w:r>
        <w:rPr>
          <w:rFonts w:ascii="Consolas" w:hAnsi="Consolas" w:cs="Consolas"/>
          <w:b w:val="0"/>
          <w:i w:val="0"/>
          <w:sz w:val="15"/>
        </w:rPr>
        <w:t>[Apply Simulation] [Reset]</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23.4.5.4 Example 7 — Dispute with Third-Party Expert</w:t>
      </w:r>
    </w:p>
    <w:p>
      <w:pPr>
        <w:spacing w:after="80" w:line="293" w:lineRule="auto"/>
        <w:jc w:val="left"/>
      </w:pPr>
      <w:r>
        <w:rPr>
          <w:rFonts w:ascii="Times New Roman" w:hAnsi="Times New Roman" w:cs="Times New Roman"/>
          <w:b w:val="0"/>
          <w:i w:val="0"/>
          <w:sz w:val="22"/>
        </w:rPr>
        <w:t>Scenario: quality dispute — oranges arrived with mould; the buyer claims a $2,000 refund. Third-party expert: SGS surveyor (invited by the buyer).</w:t>
      </w:r>
    </w:p>
    <w:p>
      <w:pPr>
        <w:spacing w:after="80" w:line="293" w:lineRule="auto"/>
        <w:jc w:val="left"/>
      </w:pPr>
      <w:r>
        <w:rPr>
          <w:rFonts w:ascii="Times New Roman" w:hAnsi="Times New Roman" w:cs="Times New Roman"/>
          <w:b w:val="0"/>
          <w:i w:val="0"/>
          <w:sz w:val="22"/>
        </w:rPr>
        <w:t>Dispute workflow (one-click count: buyer 4, seller 1, expert 1 → 6 clicks total): the buyer files the dispute (1), uploads additional evidence (1), invites the third-party expert (1), and accepts the settlement proposal (1); the seller counters (1); the expert submits the opinion (1).</w:t>
      </w:r>
    </w:p>
    <w:p>
      <w:pPr>
        <w:spacing w:after="80" w:line="293" w:lineRule="auto"/>
        <w:jc w:val="left"/>
      </w:pPr>
      <w:r>
        <w:rPr>
          <w:rFonts w:ascii="Times New Roman" w:hAnsi="Times New Roman" w:cs="Times New Roman"/>
          <w:b w:val="0"/>
          <w:i w:val="0"/>
          <w:sz w:val="22"/>
        </w:rPr>
        <w:t>Mediation log view:</w:t>
      </w:r>
    </w:p>
    <w:p>
      <w:pPr>
        <w:spacing w:after="0" w:before="0" w:line="240" w:lineRule="auto"/>
        <w:ind w:left="57"/>
        <w:jc w:val="left"/>
        <w:shd w:val="clear" w:fill="F2F2F2"/>
      </w:pPr>
      <w:r>
        <w:rPr>
          <w:rFonts w:ascii="Consolas" w:hAnsi="Consolas" w:cs="Consolas"/>
          <w:b w:val="0"/>
          <w:i w:val="0"/>
          <w:sz w:val="15"/>
        </w:rPr>
        <w:t>MEDIATION LOG — DSP-20260415-001</w:t>
      </w:r>
    </w:p>
    <w:p>
      <w:pPr>
        <w:spacing w:after="0" w:before="0" w:line="240" w:lineRule="auto"/>
        <w:ind w:left="57"/>
        <w:jc w:val="left"/>
        <w:shd w:val="clear" w:fill="F2F2F2"/>
      </w:pPr>
      <w:r>
        <w:rPr>
          <w:rFonts w:ascii="Consolas" w:hAnsi="Consolas" w:cs="Consolas"/>
          <w:b w:val="0"/>
          <w:i w:val="0"/>
          <w:sz w:val="15"/>
        </w:rPr>
        <w:t>USTN: SGTX-EG-26-F3A-1</w:t>
      </w:r>
    </w:p>
    <w:p>
      <w:pPr>
        <w:spacing w:after="0" w:before="0" w:line="240" w:lineRule="auto"/>
        <w:ind w:left="57"/>
        <w:jc w:val="left"/>
        <w:shd w:val="clear" w:fill="F2F2F2"/>
      </w:pPr>
      <w:r>
        <w:rPr>
          <w:rFonts w:ascii="Consolas" w:hAnsi="Consolas" w:cs="Consolas"/>
          <w:b w:val="0"/>
          <w:i w:val="0"/>
          <w:sz w:val="15"/>
        </w:rPr>
        <w:t>Buyer: Nile Foods (English)   Seller: Mekong Fresh (Vietnamese)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2026-04-16 10:00:00 — Buyer</w:t>
      </w:r>
    </w:p>
    <w:p>
      <w:pPr>
        <w:spacing w:after="0" w:before="0" w:line="240" w:lineRule="auto"/>
        <w:ind w:left="57"/>
        <w:jc w:val="left"/>
        <w:shd w:val="clear" w:fill="F2F2F2"/>
      </w:pPr>
      <w:r>
        <w:rPr>
          <w:rFonts w:ascii="Consolas" w:hAnsi="Consolas" w:cs="Consolas"/>
          <w:b w:val="0"/>
          <w:i w:val="0"/>
          <w:sz w:val="15"/>
        </w:rPr>
        <w:t xml:space="preserve">  The strawberries arrived with 10% mould. I am claiming $2,000 refund</w:t>
      </w:r>
    </w:p>
    <w:p>
      <w:pPr>
        <w:spacing w:after="0" w:before="0" w:line="240" w:lineRule="auto"/>
        <w:ind w:left="57"/>
        <w:jc w:val="left"/>
        <w:shd w:val="clear" w:fill="F2F2F2"/>
      </w:pPr>
      <w:r>
        <w:rPr>
          <w:rFonts w:ascii="Consolas" w:hAnsi="Consolas" w:cs="Consolas"/>
          <w:b w:val="0"/>
          <w:i w:val="0"/>
          <w:sz w:val="15"/>
        </w:rPr>
        <w:t xml:space="preserve">  based on photos and temperature log.</w:t>
      </w:r>
    </w:p>
    <w:p>
      <w:pPr>
        <w:spacing w:after="0" w:before="0" w:line="240" w:lineRule="auto"/>
        <w:ind w:left="57"/>
        <w:jc w:val="left"/>
        <w:shd w:val="clear" w:fill="F2F2F2"/>
      </w:pPr>
      <w:r>
        <w:rPr>
          <w:rFonts w:ascii="Consolas" w:hAnsi="Consolas" w:cs="Consolas"/>
          <w:b w:val="0"/>
          <w:i w:val="0"/>
          <w:sz w:val="15"/>
        </w:rPr>
        <w:t xml:space="preserve">  [Translate to Vietnamese] [Reply]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2026-04-16 11:30:00 — Seller</w:t>
      </w:r>
    </w:p>
    <w:p>
      <w:pPr>
        <w:spacing w:after="0" w:before="0" w:line="240" w:lineRule="auto"/>
        <w:ind w:left="57"/>
        <w:jc w:val="left"/>
        <w:shd w:val="clear" w:fill="F2F2F2"/>
      </w:pPr>
      <w:r>
        <w:rPr>
          <w:rFonts w:ascii="Consolas" w:hAnsi="Consolas" w:cs="Consolas"/>
          <w:b w:val="0"/>
          <w:i w:val="0"/>
          <w:sz w:val="15"/>
        </w:rPr>
        <w:t xml:space="preserve">  We dispute the claim. Our reefer log shows -18°C throughout. The damage</w:t>
      </w:r>
    </w:p>
    <w:p>
      <w:pPr>
        <w:spacing w:after="0" w:before="0" w:line="240" w:lineRule="auto"/>
        <w:ind w:left="57"/>
        <w:jc w:val="left"/>
        <w:shd w:val="clear" w:fill="F2F2F2"/>
      </w:pPr>
      <w:r>
        <w:rPr>
          <w:rFonts w:ascii="Consolas" w:hAnsi="Consolas" w:cs="Consolas"/>
          <w:b w:val="0"/>
          <w:i w:val="0"/>
          <w:sz w:val="15"/>
        </w:rPr>
        <w:t xml:space="preserve">  likely occurred after delivery. We counter-offer $500 as goodwill.</w:t>
      </w:r>
    </w:p>
    <w:p>
      <w:pPr>
        <w:spacing w:after="0" w:before="0" w:line="240" w:lineRule="auto"/>
        <w:ind w:left="57"/>
        <w:jc w:val="left"/>
        <w:shd w:val="clear" w:fill="F2F2F2"/>
      </w:pPr>
      <w:r>
        <w:rPr>
          <w:rFonts w:ascii="Consolas" w:hAnsi="Consolas" w:cs="Consolas"/>
          <w:b w:val="0"/>
          <w:i w:val="0"/>
          <w:sz w:val="15"/>
        </w:rPr>
        <w:t xml:space="preserve">  [Translate to English] [Reply]</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2026-04-16 12:00:00 — Expert (SGS)</w:t>
      </w:r>
    </w:p>
    <w:p>
      <w:pPr>
        <w:spacing w:after="0" w:before="0" w:line="240" w:lineRule="auto"/>
        <w:ind w:left="57"/>
        <w:jc w:val="left"/>
        <w:shd w:val="clear" w:fill="F2F2F2"/>
      </w:pPr>
      <w:r>
        <w:rPr>
          <w:rFonts w:ascii="Consolas" w:hAnsi="Consolas" w:cs="Consolas"/>
          <w:b w:val="0"/>
          <w:i w:val="0"/>
          <w:sz w:val="15"/>
        </w:rPr>
        <w:t xml:space="preserve">  Expert Opinion: The temperature log shows a deviation to -8°C for 6</w:t>
      </w:r>
    </w:p>
    <w:p>
      <w:pPr>
        <w:spacing w:after="0" w:before="0" w:line="240" w:lineRule="auto"/>
        <w:ind w:left="57"/>
        <w:jc w:val="left"/>
        <w:shd w:val="clear" w:fill="F2F2F2"/>
      </w:pPr>
      <w:r>
        <w:rPr>
          <w:rFonts w:ascii="Consolas" w:hAnsi="Consolas" w:cs="Consolas"/>
          <w:b w:val="0"/>
          <w:i w:val="0"/>
          <w:sz w:val="15"/>
        </w:rPr>
        <w:t xml:space="preserve">  hours. This is the likely cause of the mould.</w:t>
      </w:r>
    </w:p>
    <w:p>
      <w:pPr>
        <w:spacing w:after="0" w:before="0" w:line="240" w:lineRule="auto"/>
        <w:ind w:left="57"/>
        <w:jc w:val="left"/>
        <w:shd w:val="clear" w:fill="F2F2F2"/>
      </w:pPr>
      <w:r>
        <w:rPr>
          <w:rFonts w:ascii="Consolas" w:hAnsi="Consolas" w:cs="Consolas"/>
          <w:b w:val="0"/>
          <w:i w:val="0"/>
          <w:sz w:val="15"/>
        </w:rPr>
        <w:t xml:space="preserve">  [View Full Report]</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AI Settlement Proposal (Groq)</w:t>
      </w:r>
    </w:p>
    <w:p>
      <w:pPr>
        <w:spacing w:after="0" w:before="0" w:line="240" w:lineRule="auto"/>
        <w:ind w:left="57"/>
        <w:jc w:val="left"/>
        <w:shd w:val="clear" w:fill="F2F2F2"/>
      </w:pPr>
      <w:r>
        <w:rPr>
          <w:rFonts w:ascii="Consolas" w:hAnsi="Consolas" w:cs="Consolas"/>
          <w:b w:val="0"/>
          <w:i w:val="0"/>
          <w:sz w:val="15"/>
        </w:rPr>
        <w:t xml:space="preserve">  Based on the evidence, recommended settlement: $800 (4% of invoice).</w:t>
      </w:r>
    </w:p>
    <w:p>
      <w:pPr>
        <w:spacing w:after="0" w:before="0" w:line="240" w:lineRule="auto"/>
        <w:ind w:left="57"/>
        <w:jc w:val="left"/>
        <w:shd w:val="clear" w:fill="F2F2F2"/>
      </w:pPr>
      <w:r>
        <w:rPr>
          <w:rFonts w:ascii="Consolas" w:hAnsi="Consolas" w:cs="Consolas"/>
          <w:b w:val="0"/>
          <w:i w:val="0"/>
          <w:sz w:val="15"/>
        </w:rPr>
        <w:t xml:space="preserve">  Confidence: 87%</w:t>
      </w:r>
    </w:p>
    <w:p>
      <w:pPr>
        <w:spacing w:after="0" w:before="0" w:line="240" w:lineRule="auto"/>
        <w:ind w:left="57"/>
        <w:jc w:val="left"/>
        <w:shd w:val="clear" w:fill="F2F2F2"/>
      </w:pPr>
      <w:r>
        <w:rPr>
          <w:rFonts w:ascii="Consolas" w:hAnsi="Consolas" w:cs="Consolas"/>
          <w:b w:val="0"/>
          <w:i w:val="0"/>
          <w:sz w:val="15"/>
        </w:rPr>
        <w:t xml:space="preserve">  [Accept Proposal] [Reject] [Counter]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Status: SETTLED</w:t>
      </w:r>
    </w:p>
    <w:p>
      <w:pPr>
        <w:spacing w:after="0" w:before="0" w:line="240" w:lineRule="auto"/>
        <w:ind w:left="57"/>
        <w:jc w:val="left"/>
        <w:shd w:val="clear" w:fill="F2F2F2"/>
      </w:pPr>
      <w:r>
        <w:rPr>
          <w:rFonts w:ascii="Consolas" w:hAnsi="Consolas" w:cs="Consolas"/>
          <w:b w:val="0"/>
          <w:i w:val="0"/>
          <w:sz w:val="15"/>
        </w:rPr>
        <w:t>Resolution: $800 refund</w:t>
      </w:r>
    </w:p>
    <w:p>
      <w:pPr>
        <w:spacing w:after="0" w:before="0" w:line="240" w:lineRule="auto"/>
        <w:ind w:left="57"/>
        <w:jc w:val="left"/>
        <w:shd w:val="clear" w:fill="F2F2F2"/>
      </w:pPr>
      <w:r>
        <w:rPr>
          <w:rFonts w:ascii="Consolas" w:hAnsi="Consolas" w:cs="Consolas"/>
          <w:b w:val="0"/>
          <w:i w:val="0"/>
          <w:sz w:val="15"/>
        </w:rPr>
        <w:t>Settlement addendum signed: 2026-04-16 13:00:00Z</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23.4.5.5 Example 8 — Admin Portal: Special Rate &amp; Impersonation</w:t>
      </w:r>
    </w:p>
    <w:p>
      <w:pPr>
        <w:spacing w:after="80" w:line="293" w:lineRule="auto"/>
        <w:jc w:val="left"/>
      </w:pPr>
      <w:r>
        <w:rPr>
          <w:rFonts w:ascii="Times New Roman" w:hAnsi="Times New Roman" w:cs="Times New Roman"/>
          <w:b w:val="0"/>
          <w:i w:val="0"/>
          <w:sz w:val="22"/>
        </w:rPr>
        <w:t>Admin context: a Platform Governance Authority multisig member needs to (a) propose a special platform fee rate for a strategic partnership and (b) investigate a tenant complaint via impersonation.</w:t>
      </w:r>
    </w:p>
    <w:p>
      <w:pPr>
        <w:spacing w:after="80" w:line="293" w:lineRule="auto"/>
        <w:jc w:val="left"/>
      </w:pPr>
      <w:r>
        <w:rPr>
          <w:rFonts w:ascii="Times New Roman" w:hAnsi="Times New Roman" w:cs="Times New Roman"/>
          <w:b w:val="0"/>
          <w:i w:val="0"/>
          <w:sz w:val="22"/>
        </w:rPr>
        <w:t>Special rate proposal: seller SGTX-VN-TRD-002 (Mekong Fresh), buyer SGTX-EG-TRD-001 (Nile Foods), special pricing type institutional volume rate, new fee rate 0.8% (reduced from the engine effective rate), reason "High-volume corridor strategic partnership — 500 containers/year", valid 2026-07-01 to 2027-06-30. Tenant impersonation: Nile Foods reported a fee calculation error; the admin investigates.</w:t>
      </w:r>
    </w:p>
    <w:p>
      <w:pPr>
        <w:spacing w:after="80" w:line="293" w:lineRule="auto"/>
        <w:jc w:val="left"/>
      </w:pPr>
      <w:r>
        <w:rPr>
          <w:rFonts w:ascii="Times New Roman" w:hAnsi="Times New Roman" w:cs="Times New Roman"/>
          <w:b w:val="0"/>
          <w:i w:val="0"/>
          <w:sz w:val="22"/>
        </w:rPr>
        <w:t>Admin workflow (one-click count: admin 5, other admins 2 → 7 clicks total): the admin proposes the special rate (1), submits for multisig (1), two other multisig members approve (1 each), the admin opens tenant impersonation (1), the multisig approves the time-limited readonly impersonation (1), the admin reviews the tenant view (readonly, logged), and the session closes automatically.</w:t>
      </w:r>
    </w:p>
    <w:p>
      <w:pPr>
        <w:spacing w:after="80" w:line="293" w:lineRule="auto"/>
        <w:jc w:val="left"/>
      </w:pPr>
      <w:r>
        <w:rPr>
          <w:rFonts w:ascii="Times New Roman" w:hAnsi="Times New Roman" w:cs="Times New Roman"/>
          <w:b w:val="0"/>
          <w:i w:val="0"/>
          <w:sz w:val="22"/>
        </w:rPr>
        <w:t>Special Rate Manager view:</w:t>
      </w:r>
    </w:p>
    <w:p>
      <w:pPr>
        <w:spacing w:after="0" w:before="0" w:line="240" w:lineRule="auto"/>
        <w:ind w:left="57"/>
        <w:jc w:val="left"/>
        <w:shd w:val="clear" w:fill="F2F2F2"/>
      </w:pPr>
      <w:r>
        <w:rPr>
          <w:rFonts w:ascii="Consolas" w:hAnsi="Consolas" w:cs="Consolas"/>
          <w:b w:val="0"/>
          <w:i w:val="0"/>
          <w:sz w:val="15"/>
        </w:rPr>
        <w:t>SPECIAL RATE MANAGER</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ACTIVE SPECIAL RATES</w:t>
      </w:r>
    </w:p>
    <w:p>
      <w:pPr>
        <w:spacing w:after="0" w:before="0" w:line="240" w:lineRule="auto"/>
        <w:ind w:left="57"/>
        <w:jc w:val="left"/>
        <w:shd w:val="clear" w:fill="F2F2F2"/>
      </w:pPr>
      <w:r>
        <w:rPr>
          <w:rFonts w:ascii="Consolas" w:hAnsi="Consolas" w:cs="Consolas"/>
          <w:b w:val="0"/>
          <w:i w:val="0"/>
          <w:sz w:val="15"/>
        </w:rPr>
        <w:t>Seller            Buyer             Rate  Valid From  Valid To    Status</w:t>
      </w:r>
    </w:p>
    <w:p>
      <w:pPr>
        <w:spacing w:after="0" w:before="0" w:line="240" w:lineRule="auto"/>
        <w:ind w:left="57"/>
        <w:jc w:val="left"/>
        <w:shd w:val="clear" w:fill="F2F2F2"/>
      </w:pPr>
      <w:r>
        <w:rPr>
          <w:rFonts w:ascii="Consolas" w:hAnsi="Consolas" w:cs="Consolas"/>
          <w:b w:val="0"/>
          <w:i w:val="0"/>
          <w:sz w:val="15"/>
        </w:rPr>
        <w:t>SGTX-VN-TRD-002   SGTX-EG-TRD-001   0.8%  2026-07-01  2027-06-30  ACTIVE</w:t>
      </w:r>
    </w:p>
    <w:p>
      <w:pPr>
        <w:spacing w:after="0" w:before="0" w:line="240" w:lineRule="auto"/>
        <w:ind w:left="57"/>
        <w:jc w:val="left"/>
        <w:shd w:val="clear" w:fill="F2F2F2"/>
      </w:pPr>
      <w:r>
        <w:rPr>
          <w:rFonts w:ascii="Consolas" w:hAnsi="Consolas" w:cs="Consolas"/>
          <w:b w:val="0"/>
          <w:i w:val="0"/>
          <w:sz w:val="15"/>
        </w:rPr>
        <w:t>Reason: High-volume corridor strategic partnership — 500 containers/yr</w:t>
      </w:r>
    </w:p>
    <w:p>
      <w:pPr>
        <w:spacing w:after="0" w:before="0" w:line="240" w:lineRule="auto"/>
        <w:ind w:left="57"/>
        <w:jc w:val="left"/>
        <w:shd w:val="clear" w:fill="F2F2F2"/>
      </w:pPr>
      <w:r>
        <w:rPr>
          <w:rFonts w:ascii="Consolas" w:hAnsi="Consolas" w:cs="Consolas"/>
          <w:b w:val="0"/>
          <w:i w:val="0"/>
          <w:sz w:val="15"/>
        </w:rPr>
        <w:t>[Edit] [Revoke]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PROPOSED SPECIAL RATES</w:t>
      </w:r>
    </w:p>
    <w:p>
      <w:pPr>
        <w:spacing w:after="0" w:before="0" w:line="240" w:lineRule="auto"/>
        <w:ind w:left="57"/>
        <w:jc w:val="left"/>
        <w:shd w:val="clear" w:fill="F2F2F2"/>
      </w:pPr>
      <w:r>
        <w:rPr>
          <w:rFonts w:ascii="Consolas" w:hAnsi="Consolas" w:cs="Consolas"/>
          <w:b w:val="0"/>
          <w:i w:val="0"/>
          <w:sz w:val="15"/>
        </w:rPr>
        <w:t>Seller            Buyer             Rate  Proposed     Status</w:t>
      </w:r>
    </w:p>
    <w:p>
      <w:pPr>
        <w:spacing w:after="0" w:before="0" w:line="240" w:lineRule="auto"/>
        <w:ind w:left="57"/>
        <w:jc w:val="left"/>
        <w:shd w:val="clear" w:fill="F2F2F2"/>
      </w:pPr>
      <w:r>
        <w:rPr>
          <w:rFonts w:ascii="Consolas" w:hAnsi="Consolas" w:cs="Consolas"/>
          <w:b w:val="0"/>
          <w:i w:val="0"/>
          <w:sz w:val="15"/>
        </w:rPr>
        <w:t>SGTX-VN-TRD-003   SGTX-EG-TRD-004   0.7%  2026-07-15   PENDING (2/3)</w:t>
      </w:r>
    </w:p>
    <w:p>
      <w:pPr>
        <w:spacing w:after="0" w:before="0" w:line="240" w:lineRule="auto"/>
        <w:ind w:left="57"/>
        <w:jc w:val="left"/>
        <w:shd w:val="clear" w:fill="F2F2F2"/>
      </w:pPr>
      <w:r>
        <w:rPr>
          <w:rFonts w:ascii="Consolas" w:hAnsi="Consolas" w:cs="Consolas"/>
          <w:b w:val="0"/>
          <w:i w:val="0"/>
          <w:sz w:val="15"/>
        </w:rPr>
        <w:t>Reason: Pilot program for new corridor</w:t>
      </w:r>
    </w:p>
    <w:p>
      <w:pPr>
        <w:spacing w:after="0" w:before="0" w:line="240" w:lineRule="auto"/>
        <w:ind w:left="57"/>
        <w:jc w:val="left"/>
        <w:shd w:val="clear" w:fill="F2F2F2"/>
      </w:pPr>
      <w:r>
        <w:rPr>
          <w:rFonts w:ascii="Consolas" w:hAnsi="Consolas" w:cs="Consolas"/>
          <w:b w:val="0"/>
          <w:i w:val="0"/>
          <w:sz w:val="15"/>
        </w:rPr>
        <w:t>[Review] [Propose Special Rate]</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23.4.6 One-Click Summary &amp; Lessons Across All Examples</w:t>
      </w:r>
    </w:p>
    <w:p>
      <w:pPr>
        <w:keepNext/>
        <w:spacing w:before="140" w:after="60"/>
        <w:outlineLvl w:val="3"/>
      </w:pPr>
      <w:r>
        <w:rPr>
          <w:rFonts w:ascii="Arial" w:hAnsi="Arial" w:cs="Arial"/>
          <w:b/>
          <w:i/>
          <w:color w:val="333333"/>
          <w:sz w:val="22"/>
        </w:rPr>
        <w:t>23.4.6.1 One-Click Counts Across Examples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Example</w:t>
            </w:r>
          </w:p>
        </w:tc>
        <w:tc>
          <w:tcPr>
            <w:tcW w:type="dxa" w:w="3213"/>
            <w:shd w:val="clear" w:fill="D9E2F3"/>
          </w:tcPr>
          <w:p>
            <w:pPr>
              <w:spacing w:after="20" w:before="20" w:line="240" w:lineRule="auto"/>
            </w:pPr>
            <w:r/>
            <w:r>
              <w:rPr>
                <w:rFonts w:ascii="Arial" w:hAnsi="Arial" w:cs="Arial"/>
                <w:b/>
                <w:i w:val="0"/>
                <w:sz w:val="18"/>
              </w:rPr>
              <w:t>Total One-Click Count</w:t>
            </w:r>
          </w:p>
        </w:tc>
        <w:tc>
          <w:tcPr>
            <w:tcW w:type="dxa" w:w="3213"/>
            <w:shd w:val="clear" w:fill="D9E2F3"/>
          </w:tcPr>
          <w:p>
            <w:pPr>
              <w:spacing w:after="20" w:before="20" w:line="240" w:lineRule="auto"/>
            </w:pPr>
            <w:r/>
            <w:r>
              <w:rPr>
                <w:rFonts w:ascii="Arial" w:hAnsi="Arial" w:cs="Arial"/>
                <w:b/>
                <w:i w:val="0"/>
                <w:sz w:val="18"/>
              </w:rPr>
              <w:t>Notes</w:t>
            </w:r>
          </w:p>
        </w:tc>
      </w:tr>
      <w:tr>
        <w:tc>
          <w:tcPr>
            <w:tcW w:type="dxa" w:w="3213"/>
          </w:tcPr>
          <w:p>
            <w:pPr>
              <w:spacing w:after="20" w:before="20" w:line="240" w:lineRule="auto"/>
            </w:pPr>
            <w:r/>
            <w:r>
              <w:rPr>
                <w:rFonts w:ascii="Arial" w:hAnsi="Arial" w:cs="Arial"/>
                <w:b w:val="0"/>
                <w:i w:val="0"/>
                <w:sz w:val="17"/>
              </w:rPr>
              <w:t>1 — Strawberry export full workflow (healthy trade)</w:t>
            </w:r>
          </w:p>
        </w:tc>
        <w:tc>
          <w:tcPr>
            <w:tcW w:type="dxa" w:w="3213"/>
          </w:tcPr>
          <w:p>
            <w:pPr>
              <w:spacing w:after="20" w:before="20" w:line="240" w:lineRule="auto"/>
            </w:pPr>
            <w:r/>
            <w:r>
              <w:rPr>
                <w:rFonts w:ascii="Arial" w:hAnsi="Arial" w:cs="Arial"/>
                <w:b w:val="0"/>
                <w:i w:val="0"/>
                <w:sz w:val="17"/>
              </w:rPr>
              <w:t>~41</w:t>
            </w:r>
          </w:p>
        </w:tc>
        <w:tc>
          <w:tcPr>
            <w:tcW w:type="dxa" w:w="3213"/>
          </w:tcPr>
          <w:p>
            <w:pPr>
              <w:spacing w:after="20" w:before="20" w:line="240" w:lineRule="auto"/>
            </w:pPr>
            <w:r/>
            <w:r>
              <w:rPr>
                <w:rFonts w:ascii="Arial" w:hAnsi="Arial" w:cs="Arial"/>
                <w:b w:val="0"/>
                <w:i w:val="0"/>
                <w:sz w:val="17"/>
              </w:rPr>
              <w:t>Buyer ≈ 13, seller ≈ 16, providers ≈ 12</w:t>
            </w:r>
          </w:p>
        </w:tc>
      </w:tr>
      <w:tr>
        <w:tc>
          <w:tcPr>
            <w:tcW w:type="dxa" w:w="3213"/>
          </w:tcPr>
          <w:p>
            <w:pPr>
              <w:spacing w:after="20" w:before="20" w:line="240" w:lineRule="auto"/>
            </w:pPr>
            <w:r/>
            <w:r>
              <w:rPr>
                <w:rFonts w:ascii="Arial" w:hAnsi="Arial" w:cs="Arial"/>
                <w:b w:val="0"/>
                <w:i w:val="0"/>
                <w:sz w:val="17"/>
              </w:rPr>
              <w:t>2 — Distressed accelerated outreach</w:t>
            </w:r>
          </w:p>
        </w:tc>
        <w:tc>
          <w:tcPr>
            <w:tcW w:type="dxa" w:w="3213"/>
          </w:tcPr>
          <w:p>
            <w:pPr>
              <w:spacing w:after="20" w:before="20" w:line="240" w:lineRule="auto"/>
            </w:pPr>
            <w:r/>
            <w:r>
              <w:rPr>
                <w:rFonts w:ascii="Arial" w:hAnsi="Arial" w:cs="Arial"/>
                <w:b w:val="0"/>
                <w:i w:val="0"/>
                <w:sz w:val="17"/>
              </w:rPr>
              <w:t>16</w:t>
            </w:r>
          </w:p>
        </w:tc>
        <w:tc>
          <w:tcPr>
            <w:tcW w:type="dxa" w:w="3213"/>
          </w:tcPr>
          <w:p>
            <w:pPr>
              <w:spacing w:after="20" w:before="20" w:line="240" w:lineRule="auto"/>
            </w:pPr>
            <w:r/>
            <w:r>
              <w:rPr>
                <w:rFonts w:ascii="Arial" w:hAnsi="Arial" w:cs="Arial"/>
                <w:b w:val="0"/>
                <w:i w:val="0"/>
                <w:sz w:val="17"/>
              </w:rPr>
              <w:t>Seller 8, buyers 5, receipt 1, automatics 0</w:t>
            </w:r>
          </w:p>
        </w:tc>
      </w:tr>
      <w:tr>
        <w:tc>
          <w:tcPr>
            <w:tcW w:type="dxa" w:w="3213"/>
          </w:tcPr>
          <w:p>
            <w:pPr>
              <w:spacing w:after="20" w:before="20" w:line="240" w:lineRule="auto"/>
            </w:pPr>
            <w:r/>
            <w:r>
              <w:rPr>
                <w:rFonts w:ascii="Arial" w:hAnsi="Arial" w:cs="Arial"/>
                <w:b w:val="0"/>
                <w:i w:val="0"/>
                <w:sz w:val="17"/>
              </w:rPr>
              <w:t>3 — Multi-shipment schedule modification</w:t>
            </w:r>
          </w:p>
        </w:tc>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Buyer 3, seller 3, fee 1</w:t>
            </w:r>
          </w:p>
        </w:tc>
      </w:tr>
      <w:tr>
        <w:tc>
          <w:tcPr>
            <w:tcW w:type="dxa" w:w="3213"/>
          </w:tcPr>
          <w:p>
            <w:pPr>
              <w:spacing w:after="20" w:before="20" w:line="240" w:lineRule="auto"/>
            </w:pPr>
            <w:r/>
            <w:r>
              <w:rPr>
                <w:rFonts w:ascii="Arial" w:hAnsi="Arial" w:cs="Arial"/>
                <w:b w:val="0"/>
                <w:i w:val="0"/>
                <w:sz w:val="17"/>
              </w:rPr>
              <w:t>4 — QC conditional pass</w:t>
            </w:r>
          </w:p>
        </w:tc>
        <w:tc>
          <w:tcPr>
            <w:tcW w:type="dxa" w:w="3213"/>
          </w:tcPr>
          <w:p>
            <w:pPr>
              <w:spacing w:after="20" w:before="20" w:line="240" w:lineRule="auto"/>
            </w:pPr>
            <w:r/>
            <w:r>
              <w:rPr>
                <w:rFonts w:ascii="Arial" w:hAnsi="Arial" w:cs="Arial"/>
                <w:b w:val="0"/>
                <w:i w:val="0"/>
                <w:sz w:val="17"/>
              </w:rPr>
              <w:t>4</w:t>
            </w:r>
          </w:p>
        </w:tc>
        <w:tc>
          <w:tcPr>
            <w:tcW w:type="dxa" w:w="3213"/>
          </w:tcPr>
          <w:p>
            <w:pPr>
              <w:spacing w:after="20" w:before="20" w:line="240" w:lineRule="auto"/>
            </w:pPr>
            <w:r/>
            <w:r>
              <w:rPr>
                <w:rFonts w:ascii="Arial" w:hAnsi="Arial" w:cs="Arial"/>
                <w:b w:val="0"/>
                <w:i w:val="0"/>
                <w:sz w:val="17"/>
              </w:rPr>
              <w:t>Inspector 3, seller 1</w:t>
            </w:r>
          </w:p>
        </w:tc>
      </w:tr>
      <w:tr>
        <w:tc>
          <w:tcPr>
            <w:tcW w:type="dxa" w:w="3213"/>
          </w:tcPr>
          <w:p>
            <w:pPr>
              <w:spacing w:after="20" w:before="20" w:line="240" w:lineRule="auto"/>
            </w:pPr>
            <w:r/>
            <w:r>
              <w:rPr>
                <w:rFonts w:ascii="Arial" w:hAnsi="Arial" w:cs="Arial"/>
                <w:b w:val="0"/>
                <w:i w:val="0"/>
                <w:sz w:val="17"/>
              </w:rPr>
              <w:t>5 — Deferred government fee</w:t>
            </w:r>
          </w:p>
        </w:tc>
        <w:tc>
          <w:tcPr>
            <w:tcW w:type="dxa" w:w="3213"/>
          </w:tcPr>
          <w:p>
            <w:pPr>
              <w:spacing w:after="20" w:before="20" w:line="240" w:lineRule="auto"/>
            </w:pPr>
            <w:r/>
            <w:r>
              <w:rPr>
                <w:rFonts w:ascii="Arial" w:hAnsi="Arial" w:cs="Arial"/>
                <w:b w:val="0"/>
                <w:i w:val="0"/>
                <w:sz w:val="17"/>
              </w:rPr>
              <w:t>2</w:t>
            </w:r>
          </w:p>
        </w:tc>
        <w:tc>
          <w:tcPr>
            <w:tcW w:type="dxa" w:w="3213"/>
          </w:tcPr>
          <w:p>
            <w:pPr>
              <w:spacing w:after="20" w:before="20" w:line="240" w:lineRule="auto"/>
            </w:pPr>
            <w:r/>
            <w:r>
              <w:rPr>
                <w:rFonts w:ascii="Arial" w:hAnsi="Arial" w:cs="Arial"/>
                <w:b w:val="0"/>
                <w:i w:val="0"/>
                <w:sz w:val="17"/>
              </w:rPr>
              <w:t>Seller 2, rest automatic</w:t>
            </w:r>
          </w:p>
        </w:tc>
      </w:tr>
      <w:tr>
        <w:tc>
          <w:tcPr>
            <w:tcW w:type="dxa" w:w="3213"/>
          </w:tcPr>
          <w:p>
            <w:pPr>
              <w:spacing w:after="20" w:before="20" w:line="240" w:lineRule="auto"/>
            </w:pPr>
            <w:r/>
            <w:r>
              <w:rPr>
                <w:rFonts w:ascii="Arial" w:hAnsi="Arial" w:cs="Arial"/>
                <w:b w:val="0"/>
                <w:i w:val="0"/>
                <w:sz w:val="17"/>
              </w:rPr>
              <w:t>6 — Financing with co-financing</w:t>
            </w:r>
          </w:p>
        </w:tc>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Seller 3, Bank X 2, PFI Y 2</w:t>
            </w:r>
          </w:p>
        </w:tc>
      </w:tr>
      <w:tr>
        <w:tc>
          <w:tcPr>
            <w:tcW w:type="dxa" w:w="3213"/>
          </w:tcPr>
          <w:p>
            <w:pPr>
              <w:spacing w:after="20" w:before="20" w:line="240" w:lineRule="auto"/>
            </w:pPr>
            <w:r/>
            <w:r>
              <w:rPr>
                <w:rFonts w:ascii="Arial" w:hAnsi="Arial" w:cs="Arial"/>
                <w:b w:val="0"/>
                <w:i w:val="0"/>
                <w:sz w:val="17"/>
              </w:rPr>
              <w:t>7 — Dispute with third-party expert</w:t>
            </w:r>
          </w:p>
        </w:tc>
        <w:tc>
          <w:tcPr>
            <w:tcW w:type="dxa" w:w="3213"/>
          </w:tcPr>
          <w:p>
            <w:pPr>
              <w:spacing w:after="20" w:before="20" w:line="240" w:lineRule="auto"/>
            </w:pPr>
            <w:r/>
            <w:r>
              <w:rPr>
                <w:rFonts w:ascii="Arial" w:hAnsi="Arial" w:cs="Arial"/>
                <w:b w:val="0"/>
                <w:i w:val="0"/>
                <w:sz w:val="17"/>
              </w:rPr>
              <w:t>6</w:t>
            </w:r>
          </w:p>
        </w:tc>
        <w:tc>
          <w:tcPr>
            <w:tcW w:type="dxa" w:w="3213"/>
          </w:tcPr>
          <w:p>
            <w:pPr>
              <w:spacing w:after="20" w:before="20" w:line="240" w:lineRule="auto"/>
            </w:pPr>
            <w:r/>
            <w:r>
              <w:rPr>
                <w:rFonts w:ascii="Arial" w:hAnsi="Arial" w:cs="Arial"/>
                <w:b w:val="0"/>
                <w:i w:val="0"/>
                <w:sz w:val="17"/>
              </w:rPr>
              <w:t>Buyer 4, seller 1, expert 1</w:t>
            </w:r>
          </w:p>
        </w:tc>
      </w:tr>
      <w:tr>
        <w:tc>
          <w:tcPr>
            <w:tcW w:type="dxa" w:w="3213"/>
          </w:tcPr>
          <w:p>
            <w:pPr>
              <w:spacing w:after="20" w:before="20" w:line="240" w:lineRule="auto"/>
            </w:pPr>
            <w:r/>
            <w:r>
              <w:rPr>
                <w:rFonts w:ascii="Arial" w:hAnsi="Arial" w:cs="Arial"/>
                <w:b w:val="0"/>
                <w:i w:val="0"/>
                <w:sz w:val="17"/>
              </w:rPr>
              <w:t>8 — Admin special rate &amp; impersonation</w:t>
            </w:r>
          </w:p>
        </w:tc>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Admin 5, other multisig members 2</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All counts exclude data entry clicks and count irreversible actions only; voice commands count as zero clicks.</w:t>
      </w:r>
    </w:p>
    <w:p>
      <w:pPr>
        <w:keepNext/>
        <w:spacing w:before="140" w:after="60"/>
        <w:outlineLvl w:val="3"/>
      </w:pPr>
      <w:r>
        <w:rPr>
          <w:rFonts w:ascii="Arial" w:hAnsi="Arial" w:cs="Arial"/>
          <w:b/>
          <w:i/>
          <w:color w:val="333333"/>
          <w:sz w:val="22"/>
        </w:rPr>
        <w:t>23.4.6.2 Lessons Learned &amp; Best Practices (Cross-Example)</w:t>
      </w:r>
    </w:p>
    <w:p>
      <w:pPr>
        <w:spacing w:after="80" w:line="293" w:lineRule="auto"/>
        <w:ind w:left="283"/>
        <w:jc w:val="left"/>
      </w:pPr>
      <w:r>
        <w:rPr>
          <w:rFonts w:ascii="Times New Roman" w:hAnsi="Times New Roman" w:cs="Times New Roman"/>
          <w:b w:val="0"/>
          <w:i w:val="0"/>
          <w:sz w:val="22"/>
        </w:rPr>
        <w:t>- Structure first: every example began with a structured request; the structure carried through to</w:t>
      </w:r>
    </w:p>
    <w:p>
      <w:pPr>
        <w:spacing w:after="80" w:line="293" w:lineRule="auto"/>
        <w:jc w:val="left"/>
      </w:pPr>
      <w:r>
        <w:rPr>
          <w:rFonts w:ascii="Times New Roman" w:hAnsi="Times New Roman" w:cs="Times New Roman"/>
          <w:b w:val="0"/>
          <w:i w:val="0"/>
          <w:sz w:val="22"/>
        </w:rPr>
        <w:t>quotes, contracts, labels, and statements without re-entry.</w:t>
      </w:r>
    </w:p>
    <w:p>
      <w:pPr>
        <w:spacing w:after="80" w:line="293" w:lineRule="auto"/>
        <w:ind w:left="283"/>
        <w:jc w:val="left"/>
      </w:pPr>
      <w:r>
        <w:rPr>
          <w:rFonts w:ascii="Times New Roman" w:hAnsi="Times New Roman" w:cs="Times New Roman"/>
          <w:b w:val="0"/>
          <w:i w:val="0"/>
          <w:sz w:val="22"/>
        </w:rPr>
        <w:t>- The one-click guarantee holds under distress: even the distressed example (16 clicks end-to-end)</w:t>
      </w:r>
    </w:p>
    <w:p>
      <w:pPr>
        <w:spacing w:after="80" w:line="293" w:lineRule="auto"/>
        <w:jc w:val="left"/>
      </w:pPr>
      <w:r>
        <w:rPr>
          <w:rFonts w:ascii="Times New Roman" w:hAnsi="Times New Roman" w:cs="Times New Roman"/>
          <w:b w:val="0"/>
          <w:i w:val="0"/>
          <w:sz w:val="22"/>
        </w:rPr>
        <w:t>resolved inside a single day.</w:t>
      </w:r>
    </w:p>
    <w:p>
      <w:pPr>
        <w:spacing w:after="80" w:line="293" w:lineRule="auto"/>
        <w:ind w:left="283"/>
        <w:jc w:val="left"/>
      </w:pPr>
      <w:r>
        <w:rPr>
          <w:rFonts w:ascii="Times New Roman" w:hAnsi="Times New Roman" w:cs="Times New Roman"/>
          <w:b w:val="0"/>
          <w:i w:val="0"/>
          <w:sz w:val="22"/>
        </w:rPr>
        <w:t>- Governance is never a detour: Governor blocks always arrive with a plain-language reason and a</w:t>
      </w:r>
    </w:p>
    <w:p>
      <w:pPr>
        <w:spacing w:after="80" w:line="293" w:lineRule="auto"/>
        <w:jc w:val="left"/>
      </w:pPr>
      <w:r>
        <w:rPr>
          <w:rFonts w:ascii="Times New Roman" w:hAnsi="Times New Roman" w:cs="Times New Roman"/>
          <w:b w:val="0"/>
          <w:i w:val="0"/>
          <w:sz w:val="22"/>
        </w:rPr>
        <w:t>one-click remediation path (16.4).</w:t>
      </w:r>
    </w:p>
    <w:p>
      <w:pPr>
        <w:spacing w:after="80" w:line="293" w:lineRule="auto"/>
        <w:ind w:left="283"/>
        <w:jc w:val="left"/>
      </w:pPr>
      <w:r>
        <w:rPr>
          <w:rFonts w:ascii="Times New Roman" w:hAnsi="Times New Roman" w:cs="Times New Roman"/>
          <w:b w:val="0"/>
          <w:i w:val="0"/>
          <w:sz w:val="22"/>
        </w:rPr>
        <w:t>- Evidence is a by-product of execution: disputes (Examples 1, 7) resolved from automatically</w:t>
      </w:r>
    </w:p>
    <w:p>
      <w:pPr>
        <w:spacing w:after="80" w:line="293" w:lineRule="auto"/>
        <w:jc w:val="left"/>
      </w:pPr>
      <w:r>
        <w:rPr>
          <w:rFonts w:ascii="Times New Roman" w:hAnsi="Times New Roman" w:cs="Times New Roman"/>
          <w:b w:val="0"/>
          <w:i w:val="0"/>
          <w:sz w:val="22"/>
        </w:rPr>
        <w:t>compiled evidence, not from after-the-fact assembly.</w:t>
      </w:r>
    </w:p>
    <w:p>
      <w:pPr>
        <w:spacing w:after="80" w:line="293" w:lineRule="auto"/>
        <w:ind w:left="283"/>
        <w:jc w:val="left"/>
      </w:pPr>
      <w:r>
        <w:rPr>
          <w:rFonts w:ascii="Times New Roman" w:hAnsi="Times New Roman" w:cs="Times New Roman"/>
          <w:b w:val="0"/>
          <w:i w:val="0"/>
          <w:sz w:val="22"/>
        </w:rPr>
        <w:t>- Non-marketplace holds everywhere: buyers came from saved contacts, financiers from consented</w:t>
      </w:r>
    </w:p>
    <w:p>
      <w:pPr>
        <w:spacing w:after="80" w:line="293" w:lineRule="auto"/>
        <w:jc w:val="left"/>
      </w:pPr>
      <w:r>
        <w:rPr>
          <w:rFonts w:ascii="Times New Roman" w:hAnsi="Times New Roman" w:cs="Times New Roman"/>
          <w:b w:val="0"/>
          <w:i w:val="0"/>
          <w:sz w:val="22"/>
        </w:rPr>
        <w:t>RFQ broadcasts, and providers from invitations — in every example.</w:t>
      </w:r>
    </w:p>
    <w:p>
      <w:pPr>
        <w:keepNext/>
        <w:spacing w:before="240" w:after="100"/>
        <w:outlineLvl w:val="1"/>
      </w:pPr>
      <w:r>
        <w:rPr>
          <w:rFonts w:ascii="Arial" w:hAnsi="Arial" w:cs="Arial"/>
          <w:b/>
          <w:i w:val="0"/>
          <w:color w:val="2E528F"/>
          <w:sz w:val="26"/>
        </w:rPr>
        <w:t>23.5 Reference Appendices</w:t>
      </w:r>
    </w:p>
    <w:p>
      <w:pPr>
        <w:spacing w:after="80" w:line="293" w:lineRule="auto"/>
        <w:jc w:val="left"/>
      </w:pPr>
      <w:r>
        <w:rPr>
          <w:rFonts w:ascii="Times New Roman" w:hAnsi="Times New Roman" w:cs="Times New Roman"/>
          <w:b w:val="0"/>
          <w:i w:val="0"/>
          <w:sz w:val="22"/>
        </w:rPr>
        <w:t>This subsection consolidates the supporting reference material used throughout the document: appendix A1 (USTN format cross-reference), A2 (Incoterms 2020 reference), A3 (AI agent registry and authority mapping), A4 (technical specifications), A5 (distressed cargo matrix), A6 (AI provider fallback chain), A7 (tenant quick start guide), and A8 (terminal automation reference). The material is designed to be used as standalone reference for developers, implementers, and operators.</w:t>
      </w:r>
    </w:p>
    <w:p>
      <w:pPr>
        <w:keepNext/>
        <w:spacing w:before="180" w:after="80"/>
        <w:outlineLvl w:val="2"/>
      </w:pPr>
      <w:r>
        <w:rPr>
          <w:rFonts w:ascii="Arial" w:hAnsi="Arial" w:cs="Arial"/>
          <w:b/>
          <w:i w:val="0"/>
          <w:color w:val="333333"/>
          <w:sz w:val="23"/>
        </w:rPr>
        <w:t>23.5.1 USTN Format Specification (Cross-Reference)</w:t>
      </w:r>
    </w:p>
    <w:p>
      <w:pPr>
        <w:spacing w:after="80" w:line="293" w:lineRule="auto"/>
        <w:jc w:val="left"/>
      </w:pPr>
      <w:r>
        <w:rPr>
          <w:rFonts w:ascii="Times New Roman" w:hAnsi="Times New Roman" w:cs="Times New Roman"/>
          <w:b w:val="0"/>
          <w:i w:val="0"/>
          <w:sz w:val="22"/>
        </w:rPr>
        <w:t>The USTN (Unique SGTX Transaction Number) is generated at contract lock (single-shipment) or per-shipment lock (multi-shipment). It incorporates the identities of the involved companies to prevent replay and ensure non-repeatability. The canonical format, alphabet, generation algorithm, validation rules, and counter semantics are specified in Section 5 and are not repeated here.</w:t>
      </w:r>
    </w:p>
    <w:p>
      <w:pPr>
        <w:spacing w:after="80" w:line="293" w:lineRule="auto"/>
        <w:jc w:val="left"/>
      </w:pPr>
      <w:r>
        <w:rPr>
          <w:rFonts w:ascii="Times New Roman" w:hAnsi="Times New Roman" w:cs="Times New Roman"/>
          <w:b w:val="0"/>
          <w:i w:val="0"/>
          <w:sz w:val="22"/>
        </w:rPr>
        <w:t>Two derived forms are used by the workflows in this section:</w:t>
      </w:r>
    </w:p>
    <w:p>
      <w:pPr>
        <w:spacing w:after="80" w:line="293" w:lineRule="auto"/>
        <w:ind w:left="283"/>
        <w:jc w:val="left"/>
      </w:pPr>
      <w:r>
        <w:rPr>
          <w:rFonts w:ascii="Times New Roman" w:hAnsi="Times New Roman" w:cs="Times New Roman"/>
          <w:b w:val="0"/>
          <w:i w:val="0"/>
          <w:sz w:val="22"/>
        </w:rPr>
        <w:t>- MicroUSTN (distressed partial sale) — for distressed partial sales (Section 14), a</w:t>
      </w:r>
    </w:p>
    <w:p>
      <w:pPr>
        <w:spacing w:after="80" w:line="293" w:lineRule="auto"/>
        <w:jc w:val="left"/>
      </w:pPr>
      <w:r>
        <w:rPr>
          <w:rFonts w:ascii="Times New Roman" w:hAnsi="Times New Roman" w:cs="Times New Roman"/>
          <w:b w:val="0"/>
          <w:i w:val="0"/>
          <w:sz w:val="22"/>
        </w:rPr>
        <w:t>microUSTN is generated from the original USTN with a new timestamp and sequence. Example: original USTN SGTX-EG-26-F3A-1 → microUSTN SGTX-1397F3A-456ABC-20260420150000-D4E5F6G7.</w:t>
      </w:r>
    </w:p>
    <w:p>
      <w:pPr>
        <w:spacing w:after="80" w:line="293" w:lineRule="auto"/>
        <w:ind w:left="283"/>
        <w:jc w:val="left"/>
      </w:pPr>
      <w:r>
        <w:rPr>
          <w:rFonts w:ascii="Times New Roman" w:hAnsi="Times New Roman" w:cs="Times New Roman"/>
          <w:b w:val="0"/>
          <w:i w:val="0"/>
          <w:sz w:val="22"/>
        </w:rPr>
        <w:t>- Multi-shipment USTNs — for multi-shipment contracts, each shipment has its own USTN (e.g.,</w:t>
      </w:r>
    </w:p>
    <w:p>
      <w:pPr>
        <w:spacing w:after="80" w:line="293" w:lineRule="auto"/>
        <w:jc w:val="left"/>
      </w:pPr>
      <w:r>
        <w:rPr>
          <w:rFonts w:ascii="Times New Roman" w:hAnsi="Times New Roman" w:cs="Times New Roman"/>
          <w:b w:val="0"/>
          <w:i w:val="0"/>
          <w:sz w:val="22"/>
        </w:rPr>
        <w:t>...-V1, ...-V2); the master contract has a contract ID (e.g., MC-20260415-001) but no master USTN.</w:t>
      </w:r>
    </w:p>
    <w:p>
      <w:pPr>
        <w:spacing w:after="80" w:line="293" w:lineRule="auto"/>
        <w:ind w:left="283"/>
        <w:jc w:val="left"/>
      </w:pPr>
      <w:r>
        <w:rPr>
          <w:rFonts w:ascii="Times New Roman" w:hAnsi="Times New Roman" w:cs="Times New Roman"/>
          <w:b w:val="0"/>
          <w:i w:val="0"/>
          <w:sz w:val="22"/>
        </w:rPr>
        <w:t>- Corridor extension — corridor-routed trades append the corridor code (23.2.19), e.g.,</w:t>
      </w:r>
    </w:p>
    <w:p>
      <w:pPr>
        <w:spacing w:after="80" w:line="293" w:lineRule="auto"/>
        <w:jc w:val="left"/>
      </w:pPr>
      <w:r>
        <w:rPr>
          <w:rFonts w:ascii="Times New Roman" w:hAnsi="Times New Roman" w:cs="Times New Roman"/>
          <w:b w:val="0"/>
          <w:i w:val="0"/>
          <w:sz w:val="22"/>
        </w:rPr>
        <w:t>SGTX-EG-26-F3A-1-RORO.</w:t>
      </w:r>
    </w:p>
    <w:p>
      <w:pPr>
        <w:keepNext/>
        <w:spacing w:before="180" w:after="80"/>
        <w:outlineLvl w:val="2"/>
      </w:pPr>
      <w:r>
        <w:rPr>
          <w:rFonts w:ascii="Arial" w:hAnsi="Arial" w:cs="Arial"/>
          <w:b/>
          <w:i w:val="0"/>
          <w:color w:val="333333"/>
          <w:sz w:val="23"/>
        </w:rPr>
        <w:t>23.5.2 Incoterms 2020 Reference (Cost Rules)</w:t>
      </w:r>
    </w:p>
    <w:p>
      <w:pPr>
        <w:keepNext/>
        <w:spacing w:before="140" w:after="60"/>
        <w:outlineLvl w:val="3"/>
      </w:pPr>
      <w:r>
        <w:rPr>
          <w:rFonts w:ascii="Arial" w:hAnsi="Arial" w:cs="Arial"/>
          <w:b/>
          <w:i/>
          <w:color w:val="333333"/>
          <w:sz w:val="22"/>
        </w:rPr>
        <w:t>23.5.2.1 Incoterm Applicability Matrix</w:t>
      </w:r>
    </w:p>
    <w:p>
      <w:pPr>
        <w:spacing w:after="80" w:line="293" w:lineRule="auto"/>
        <w:jc w:val="left"/>
      </w:pPr>
      <w:r>
        <w:rPr>
          <w:rFonts w:ascii="Times New Roman" w:hAnsi="Times New Roman" w:cs="Times New Roman"/>
          <w:b w:val="0"/>
          <w:i w:val="0"/>
          <w:sz w:val="22"/>
        </w:rPr>
        <w:t>The applicable logistics services and cost responsibilities per incoterm are enforced at request time: the buyer's incoterm selection pre-populates the seller's mandatory services list (16.9.3, Step 2.2) and the Logistics Builder filters services by incoterm (16.10.3, Tab 5). EXW places all transport on the buyer from the seller's premises; FAS/FOB/CFR/CIF shift responsibility at the port of loading (with the seller arranging ocean freight under CFR/CIF, and insurance under CIF); DAP/DDP deliver to destination with duties on the seller under DDP; CPT/CIP generalise carriage and insurance to any destination. The full Incoterms 2020 reference table is displayed in-portal as a helper (16.9.3) and enforced by the validation engine below.</w:t>
      </w:r>
    </w:p>
    <w:p>
      <w:pPr>
        <w:keepNext/>
        <w:spacing w:before="140" w:after="60"/>
        <w:outlineLvl w:val="3"/>
      </w:pPr>
      <w:r>
        <w:rPr>
          <w:rFonts w:ascii="Arial" w:hAnsi="Arial" w:cs="Arial"/>
          <w:b/>
          <w:i/>
          <w:color w:val="333333"/>
          <w:sz w:val="22"/>
        </w:rPr>
        <w:t>23.5.2.2 Mandatory Logistics Services by Incoterm</w:t>
      </w:r>
    </w:p>
    <w:p>
      <w:pPr>
        <w:spacing w:after="80" w:line="293" w:lineRule="auto"/>
        <w:jc w:val="left"/>
      </w:pPr>
      <w:r>
        <w:rPr>
          <w:rFonts w:ascii="Times New Roman" w:hAnsi="Times New Roman" w:cs="Times New Roman"/>
          <w:b w:val="0"/>
          <w:i w:val="0"/>
          <w:sz w:val="22"/>
        </w:rPr>
        <w:t>The incoterms engine derives the mandatory service set from the selected incoterm and blocks quote submission when a mandatory service has no selected quote (16.10.3, 5.6).</w:t>
      </w:r>
    </w:p>
    <w:p>
      <w:pPr>
        <w:keepNext/>
        <w:spacing w:before="140" w:after="60"/>
        <w:outlineLvl w:val="3"/>
      </w:pPr>
      <w:r>
        <w:rPr>
          <w:rFonts w:ascii="Arial" w:hAnsi="Arial" w:cs="Arial"/>
          <w:b/>
          <w:i/>
          <w:color w:val="333333"/>
          <w:sz w:val="22"/>
        </w:rPr>
        <w:t>23.5.2.3 Incoterm Validation Engine (WasmEdge)</w:t>
      </w:r>
    </w:p>
    <w:p>
      <w:pPr>
        <w:spacing w:after="80" w:line="293" w:lineRule="auto"/>
        <w:jc w:val="left"/>
      </w:pPr>
      <w:r>
        <w:rPr>
          <w:rFonts w:ascii="Times New Roman" w:hAnsi="Times New Roman" w:cs="Times New Roman"/>
          <w:b w:val="0"/>
          <w:i w:val="0"/>
          <w:sz w:val="22"/>
        </w:rPr>
        <w:t>The `incoterms_engine.wasm` module enforces:</w:t>
      </w:r>
    </w:p>
    <w:p>
      <w:pPr>
        <w:spacing w:after="80" w:line="293" w:lineRule="auto"/>
        <w:ind w:left="283"/>
        <w:jc w:val="left"/>
      </w:pPr>
      <w:r>
        <w:rPr>
          <w:rFonts w:ascii="Times New Roman" w:hAnsi="Times New Roman" w:cs="Times New Roman"/>
          <w:b w:val="0"/>
          <w:i w:val="0"/>
          <w:sz w:val="22"/>
        </w:rPr>
        <w:t>- Logistics cost validation — the seller cannot add ocean freight for FOB.</w:t>
      </w:r>
    </w:p>
    <w:p>
      <w:pPr>
        <w:spacing w:after="80" w:line="293" w:lineRule="auto"/>
        <w:ind w:left="283"/>
        <w:jc w:val="left"/>
      </w:pPr>
      <w:r>
        <w:rPr>
          <w:rFonts w:ascii="Times New Roman" w:hAnsi="Times New Roman" w:cs="Times New Roman"/>
          <w:b w:val="0"/>
          <w:i w:val="0"/>
          <w:sz w:val="22"/>
        </w:rPr>
        <w:t>- Mandatory service check — all mandatory services must have a selected quote.</w:t>
      </w:r>
    </w:p>
    <w:p>
      <w:pPr>
        <w:spacing w:after="80" w:line="293" w:lineRule="auto"/>
        <w:ind w:left="283"/>
        <w:jc w:val="left"/>
      </w:pPr>
      <w:r>
        <w:rPr>
          <w:rFonts w:ascii="Times New Roman" w:hAnsi="Times New Roman" w:cs="Times New Roman"/>
          <w:b w:val="0"/>
          <w:i w:val="0"/>
          <w:sz w:val="22"/>
        </w:rPr>
        <w:t>- Insurance validation — for CIF and CIP, insurance must be included.</w:t>
      </w:r>
    </w:p>
    <w:p>
      <w:pPr>
        <w:spacing w:after="80" w:line="293" w:lineRule="auto"/>
        <w:ind w:left="283"/>
        <w:jc w:val="left"/>
      </w:pPr>
      <w:r>
        <w:rPr>
          <w:rFonts w:ascii="Times New Roman" w:hAnsi="Times New Roman" w:cs="Times New Roman"/>
          <w:b w:val="0"/>
          <w:i w:val="0"/>
          <w:sz w:val="22"/>
        </w:rPr>
        <w:t>- Duty validation — for DDP, duties must be included.</w:t>
      </w:r>
    </w:p>
    <w:p>
      <w:pPr>
        <w:spacing w:after="80" w:line="293" w:lineRule="auto"/>
        <w:jc w:val="left"/>
      </w:pPr>
      <w:r>
        <w:rPr>
          <w:rFonts w:ascii="Times New Roman" w:hAnsi="Times New Roman" w:cs="Times New Roman"/>
          <w:b w:val="0"/>
          <w:i w:val="0"/>
          <w:sz w:val="22"/>
        </w:rPr>
        <w:t>Example deny reason: "Ocean freight cannot be added for FOB incoterm. Please remove or change incoterm."</w:t>
      </w:r>
    </w:p>
    <w:p>
      <w:pPr>
        <w:keepNext/>
        <w:spacing w:before="180" w:after="80"/>
        <w:outlineLvl w:val="2"/>
      </w:pPr>
      <w:r>
        <w:rPr>
          <w:rFonts w:ascii="Arial" w:hAnsi="Arial" w:cs="Arial"/>
          <w:b/>
          <w:i w:val="0"/>
          <w:color w:val="333333"/>
          <w:sz w:val="23"/>
        </w:rPr>
        <w:t>23.5.3 AI Agent Registry &amp; Authority Mapping</w:t>
      </w:r>
    </w:p>
    <w:p>
      <w:pPr>
        <w:keepNext/>
        <w:spacing w:before="140" w:after="60"/>
        <w:outlineLvl w:val="3"/>
      </w:pPr>
      <w:r>
        <w:rPr>
          <w:rFonts w:ascii="Arial" w:hAnsi="Arial" w:cs="Arial"/>
          <w:b/>
          <w:i/>
          <w:color w:val="333333"/>
          <w:sz w:val="22"/>
        </w:rPr>
        <w:t>23.5.3.1 Agent Registry</w:t>
      </w:r>
    </w:p>
    <w:p>
      <w:pPr>
        <w:spacing w:after="80" w:line="293" w:lineRule="auto"/>
        <w:jc w:val="left"/>
      </w:pPr>
      <w:r>
        <w:rPr>
          <w:rFonts w:ascii="Times New Roman" w:hAnsi="Times New Roman" w:cs="Times New Roman"/>
          <w:b w:val="0"/>
          <w:i w:val="0"/>
          <w:sz w:val="22"/>
        </w:rPr>
        <w:t>All agents use the three-tier strategy: Groq (A1) with Ollama fallback; Hugging Face local (A2/A3) with Ollama fallback. The full registry is maintained in the repository at `/core/ai/agents/registry.json`. Agent families include: advisory agents (container advisor, criticality suggestion, insurance recommender, settlement structure recommender, tenant message generator, AI operations assistant), constraining agents (product form agent, intent parser, commodity classification, schedule optimiser, readiness score, quality assessment, document requirement extractor, port congestion detection, fraud detection, route oracle, risk radar, pricing dynamics, packing solver), and the escalation agent (Regulatory Intelligence Agent, RIA). The authority ladder (A0–A5), per-agent authority assignment, and FORBIDDEN functions are specified in Sections 3 and 15.</w:t>
      </w:r>
    </w:p>
    <w:p>
      <w:pPr>
        <w:keepNext/>
        <w:spacing w:before="140" w:after="60"/>
        <w:outlineLvl w:val="3"/>
      </w:pPr>
      <w:r>
        <w:rPr>
          <w:rFonts w:ascii="Arial" w:hAnsi="Arial" w:cs="Arial"/>
          <w:b/>
          <w:i/>
          <w:color w:val="333333"/>
          <w:sz w:val="22"/>
        </w:rPr>
        <w:t>23.5.3.2 Authority Level Summary</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Level</w:t>
            </w:r>
          </w:p>
        </w:tc>
        <w:tc>
          <w:tcPr>
            <w:tcW w:type="dxa" w:w="2409"/>
            <w:shd w:val="clear" w:fill="D9E2F3"/>
          </w:tcPr>
          <w:p>
            <w:pPr>
              <w:spacing w:after="20" w:before="20" w:line="240" w:lineRule="auto"/>
            </w:pPr>
            <w:r/>
            <w:r>
              <w:rPr>
                <w:rFonts w:ascii="Arial" w:hAnsi="Arial" w:cs="Arial"/>
                <w:b/>
                <w:i w:val="0"/>
                <w:sz w:val="18"/>
              </w:rPr>
              <w:t>Role</w:t>
            </w:r>
          </w:p>
        </w:tc>
        <w:tc>
          <w:tcPr>
            <w:tcW w:type="dxa" w:w="2409"/>
            <w:shd w:val="clear" w:fill="D9E2F3"/>
          </w:tcPr>
          <w:p>
            <w:pPr>
              <w:spacing w:after="20" w:before="20" w:line="240" w:lineRule="auto"/>
            </w:pPr>
            <w:r/>
            <w:r>
              <w:rPr>
                <w:rFonts w:ascii="Arial" w:hAnsi="Arial" w:cs="Arial"/>
                <w:b/>
                <w:i w:val="0"/>
                <w:sz w:val="18"/>
              </w:rPr>
              <w:t>Can Block</w:t>
            </w:r>
          </w:p>
        </w:tc>
        <w:tc>
          <w:tcPr>
            <w:tcW w:type="dxa" w:w="2409"/>
            <w:shd w:val="clear" w:fill="D9E2F3"/>
          </w:tcPr>
          <w:p>
            <w:pPr>
              <w:spacing w:after="20" w:before="20" w:line="240" w:lineRule="auto"/>
            </w:pPr>
            <w:r/>
            <w:r>
              <w:rPr>
                <w:rFonts w:ascii="Arial" w:hAnsi="Arial" w:cs="Arial"/>
                <w:b/>
                <w:i w:val="0"/>
                <w:sz w:val="18"/>
              </w:rPr>
              <w:t>Examples</w:t>
            </w:r>
          </w:p>
        </w:tc>
      </w:tr>
      <w:tr>
        <w:tc>
          <w:tcPr>
            <w:tcW w:type="dxa" w:w="2409"/>
          </w:tcPr>
          <w:p>
            <w:pPr>
              <w:spacing w:after="20" w:before="20" w:line="240" w:lineRule="auto"/>
            </w:pPr>
            <w:r/>
            <w:r>
              <w:rPr>
                <w:rFonts w:ascii="Arial" w:hAnsi="Arial" w:cs="Arial"/>
                <w:b w:val="0"/>
                <w:i w:val="0"/>
                <w:sz w:val="17"/>
              </w:rPr>
              <w:t>A1</w:t>
            </w:r>
          </w:p>
        </w:tc>
        <w:tc>
          <w:tcPr>
            <w:tcW w:type="dxa" w:w="2409"/>
          </w:tcPr>
          <w:p>
            <w:pPr>
              <w:spacing w:after="20" w:before="20" w:line="240" w:lineRule="auto"/>
            </w:pPr>
            <w:r/>
            <w:r>
              <w:rPr>
                <w:rFonts w:ascii="Arial" w:hAnsi="Arial" w:cs="Arial"/>
                <w:b w:val="0"/>
                <w:i w:val="0"/>
                <w:sz w:val="17"/>
              </w:rPr>
              <w:t>Advisory</w:t>
            </w:r>
          </w:p>
        </w:tc>
        <w:tc>
          <w:tcPr>
            <w:tcW w:type="dxa" w:w="2409"/>
          </w:tcPr>
          <w:p>
            <w:pPr>
              <w:spacing w:after="20" w:before="20" w:line="240" w:lineRule="auto"/>
            </w:pPr>
            <w:r/>
            <w:r>
              <w:rPr>
                <w:rFonts w:ascii="Arial" w:hAnsi="Arial" w:cs="Arial"/>
                <w:b w:val="0"/>
                <w:i w:val="0"/>
                <w:sz w:val="17"/>
              </w:rPr>
              <w:t>No</w:t>
            </w:r>
          </w:p>
        </w:tc>
        <w:tc>
          <w:tcPr>
            <w:tcW w:type="dxa" w:w="2409"/>
          </w:tcPr>
          <w:p>
            <w:pPr>
              <w:spacing w:after="20" w:before="20" w:line="240" w:lineRule="auto"/>
            </w:pPr>
            <w:r/>
            <w:r>
              <w:rPr>
                <w:rFonts w:ascii="Arial" w:hAnsi="Arial" w:cs="Arial"/>
                <w:b w:val="0"/>
                <w:i w:val="0"/>
                <w:sz w:val="17"/>
              </w:rPr>
              <w:t>Container Advisor, tenant messages, operations assistant</w:t>
            </w:r>
          </w:p>
        </w:tc>
      </w:tr>
      <w:tr>
        <w:tc>
          <w:tcPr>
            <w:tcW w:type="dxa" w:w="2409"/>
          </w:tcPr>
          <w:p>
            <w:pPr>
              <w:spacing w:after="20" w:before="20" w:line="240" w:lineRule="auto"/>
            </w:pPr>
            <w:r/>
            <w:r>
              <w:rPr>
                <w:rFonts w:ascii="Arial" w:hAnsi="Arial" w:cs="Arial"/>
                <w:b w:val="0"/>
                <w:i w:val="0"/>
                <w:sz w:val="17"/>
              </w:rPr>
              <w:t>A2</w:t>
            </w:r>
          </w:p>
        </w:tc>
        <w:tc>
          <w:tcPr>
            <w:tcW w:type="dxa" w:w="2409"/>
          </w:tcPr>
          <w:p>
            <w:pPr>
              <w:spacing w:after="20" w:before="20" w:line="240" w:lineRule="auto"/>
            </w:pPr>
            <w:r/>
            <w:r>
              <w:rPr>
                <w:rFonts w:ascii="Arial" w:hAnsi="Arial" w:cs="Arial"/>
                <w:b w:val="0"/>
                <w:i w:val="0"/>
                <w:sz w:val="17"/>
              </w:rPr>
              <w:t>Constraining</w:t>
            </w:r>
          </w:p>
        </w:tc>
        <w:tc>
          <w:tcPr>
            <w:tcW w:type="dxa" w:w="2409"/>
          </w:tcPr>
          <w:p>
            <w:pPr>
              <w:spacing w:after="20" w:before="20" w:line="240" w:lineRule="auto"/>
            </w:pPr>
            <w:r/>
            <w:r>
              <w:rPr>
                <w:rFonts w:ascii="Arial" w:hAnsi="Arial" w:cs="Arial"/>
                <w:b w:val="0"/>
                <w:i w:val="0"/>
                <w:sz w:val="17"/>
              </w:rPr>
              <w:t>Yes (CONDITIONAL)</w:t>
            </w:r>
          </w:p>
        </w:tc>
        <w:tc>
          <w:tcPr>
            <w:tcW w:type="dxa" w:w="2409"/>
          </w:tcPr>
          <w:p>
            <w:pPr>
              <w:spacing w:after="20" w:before="20" w:line="240" w:lineRule="auto"/>
            </w:pPr>
            <w:r/>
            <w:r>
              <w:rPr>
                <w:rFonts w:ascii="Arial" w:hAnsi="Arial" w:cs="Arial"/>
                <w:b w:val="0"/>
                <w:i w:val="0"/>
                <w:sz w:val="17"/>
              </w:rPr>
              <w:t>Product Form Agent, fraud detection, packing solver</w:t>
            </w:r>
          </w:p>
        </w:tc>
      </w:tr>
      <w:tr>
        <w:tc>
          <w:tcPr>
            <w:tcW w:type="dxa" w:w="2409"/>
          </w:tcPr>
          <w:p>
            <w:pPr>
              <w:spacing w:after="20" w:before="20" w:line="240" w:lineRule="auto"/>
            </w:pPr>
            <w:r/>
            <w:r>
              <w:rPr>
                <w:rFonts w:ascii="Arial" w:hAnsi="Arial" w:cs="Arial"/>
                <w:b w:val="0"/>
                <w:i w:val="0"/>
                <w:sz w:val="17"/>
              </w:rPr>
              <w:t>A3</w:t>
            </w:r>
          </w:p>
        </w:tc>
        <w:tc>
          <w:tcPr>
            <w:tcW w:type="dxa" w:w="2409"/>
          </w:tcPr>
          <w:p>
            <w:pPr>
              <w:spacing w:after="20" w:before="20" w:line="240" w:lineRule="auto"/>
            </w:pPr>
            <w:r/>
            <w:r>
              <w:rPr>
                <w:rFonts w:ascii="Arial" w:hAnsi="Arial" w:cs="Arial"/>
                <w:b w:val="0"/>
                <w:i w:val="0"/>
                <w:sz w:val="17"/>
              </w:rPr>
              <w:t>Escalation</w:t>
            </w:r>
          </w:p>
        </w:tc>
        <w:tc>
          <w:tcPr>
            <w:tcW w:type="dxa" w:w="2409"/>
          </w:tcPr>
          <w:p>
            <w:pPr>
              <w:spacing w:after="20" w:before="20" w:line="240" w:lineRule="auto"/>
            </w:pPr>
            <w:r/>
            <w:r>
              <w:rPr>
                <w:rFonts w:ascii="Arial" w:hAnsi="Arial" w:cs="Arial"/>
                <w:b w:val="0"/>
                <w:i w:val="0"/>
                <w:sz w:val="17"/>
              </w:rPr>
              <w:t>Forces human review</w:t>
            </w:r>
          </w:p>
        </w:tc>
        <w:tc>
          <w:tcPr>
            <w:tcW w:type="dxa" w:w="2409"/>
          </w:tcPr>
          <w:p>
            <w:pPr>
              <w:spacing w:after="20" w:before="20" w:line="240" w:lineRule="auto"/>
            </w:pPr>
            <w:r/>
            <w:r>
              <w:rPr>
                <w:rFonts w:ascii="Arial" w:hAnsi="Arial" w:cs="Arial"/>
                <w:b w:val="0"/>
                <w:i w:val="0"/>
                <w:sz w:val="17"/>
              </w:rPr>
              <w:t>RIA</w:t>
            </w:r>
          </w:p>
        </w:tc>
      </w:tr>
      <w:tr>
        <w:tc>
          <w:tcPr>
            <w:tcW w:type="dxa" w:w="2409"/>
          </w:tcPr>
          <w:p>
            <w:pPr>
              <w:spacing w:after="20" w:before="20" w:line="240" w:lineRule="auto"/>
            </w:pPr>
            <w:r/>
            <w:r>
              <w:rPr>
                <w:rFonts w:ascii="Arial" w:hAnsi="Arial" w:cs="Arial"/>
                <w:b w:val="0"/>
                <w:i w:val="0"/>
                <w:sz w:val="17"/>
              </w:rPr>
              <w:t>A4</w:t>
            </w:r>
          </w:p>
        </w:tc>
        <w:tc>
          <w:tcPr>
            <w:tcW w:type="dxa" w:w="2409"/>
          </w:tcPr>
          <w:p>
            <w:pPr>
              <w:spacing w:after="20" w:before="20" w:line="240" w:lineRule="auto"/>
            </w:pPr>
            <w:r/>
            <w:r>
              <w:rPr>
                <w:rFonts w:ascii="Arial" w:hAnsi="Arial" w:cs="Arial"/>
                <w:b w:val="0"/>
                <w:i w:val="0"/>
                <w:sz w:val="17"/>
              </w:rPr>
              <w:t>Deterministic policy</w:t>
            </w:r>
          </w:p>
        </w:tc>
        <w:tc>
          <w:tcPr>
            <w:tcW w:type="dxa" w:w="2409"/>
          </w:tcPr>
          <w:p>
            <w:pPr>
              <w:spacing w:after="20" w:before="20" w:line="240" w:lineRule="auto"/>
            </w:pPr>
            <w:r/>
            <w:r>
              <w:rPr>
                <w:rFonts w:ascii="Arial" w:hAnsi="Arial" w:cs="Arial"/>
                <w:b w:val="0"/>
                <w:i w:val="0"/>
                <w:sz w:val="17"/>
              </w:rPr>
              <w:t>Yes (all verdicts)</w:t>
            </w:r>
          </w:p>
        </w:tc>
        <w:tc>
          <w:tcPr>
            <w:tcW w:type="dxa" w:w="2409"/>
          </w:tcPr>
          <w:p>
            <w:pPr>
              <w:spacing w:after="20" w:before="20" w:line="240" w:lineRule="auto"/>
            </w:pPr>
            <w:r/>
            <w:r>
              <w:rPr>
                <w:rFonts w:ascii="Arial" w:hAnsi="Arial" w:cs="Arial"/>
                <w:b w:val="0"/>
                <w:i w:val="0"/>
                <w:sz w:val="17"/>
              </w:rPr>
              <w:t>Governor (OPA + WasmEdge)</w:t>
            </w:r>
          </w:p>
        </w:tc>
      </w:tr>
      <w:tr>
        <w:tc>
          <w:tcPr>
            <w:tcW w:type="dxa" w:w="2409"/>
          </w:tcPr>
          <w:p>
            <w:pPr>
              <w:spacing w:after="20" w:before="20" w:line="240" w:lineRule="auto"/>
            </w:pPr>
            <w:r/>
            <w:r>
              <w:rPr>
                <w:rFonts w:ascii="Arial" w:hAnsi="Arial" w:cs="Arial"/>
                <w:b w:val="0"/>
                <w:i w:val="0"/>
                <w:sz w:val="17"/>
              </w:rPr>
              <w:t>A5</w:t>
            </w:r>
          </w:p>
        </w:tc>
        <w:tc>
          <w:tcPr>
            <w:tcW w:type="dxa" w:w="2409"/>
          </w:tcPr>
          <w:p>
            <w:pPr>
              <w:spacing w:after="20" w:before="20" w:line="240" w:lineRule="auto"/>
            </w:pPr>
            <w:r/>
            <w:r>
              <w:rPr>
                <w:rFonts w:ascii="Arial" w:hAnsi="Arial" w:cs="Arial"/>
                <w:b w:val="0"/>
                <w:i w:val="0"/>
                <w:sz w:val="17"/>
              </w:rPr>
              <w:t>FORBIDDEN</w:t>
            </w:r>
          </w:p>
        </w:tc>
        <w:tc>
          <w:tcPr>
            <w:tcW w:type="dxa" w:w="2409"/>
          </w:tcPr>
          <w:p>
            <w:pPr>
              <w:spacing w:after="20" w:before="20" w:line="240" w:lineRule="auto"/>
            </w:pPr>
            <w:r/>
            <w:r>
              <w:rPr>
                <w:rFonts w:ascii="Arial" w:hAnsi="Arial" w:cs="Arial"/>
                <w:b w:val="0"/>
                <w:i w:val="0"/>
                <w:sz w:val="17"/>
              </w:rPr>
              <w:t>—</w:t>
            </w:r>
          </w:p>
        </w:tc>
        <w:tc>
          <w:tcPr>
            <w:tcW w:type="dxa" w:w="2409"/>
          </w:tcPr>
          <w:p>
            <w:pPr>
              <w:spacing w:after="20" w:before="20" w:line="240" w:lineRule="auto"/>
            </w:pPr>
            <w:r/>
            <w:r>
              <w:rPr>
                <w:rFonts w:ascii="Arial" w:hAnsi="Arial" w:cs="Arial"/>
                <w:b w:val="0"/>
                <w:i w:val="0"/>
                <w:sz w:val="17"/>
              </w:rPr>
              <w:t>Autonomous execution of irreversible actions (blocked at WASM compile)</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23.5.3.3 Model Training &amp; Update Frequency</w:t>
      </w:r>
    </w:p>
    <w:p>
      <w:pPr>
        <w:spacing w:after="80" w:line="293" w:lineRule="auto"/>
        <w:jc w:val="left"/>
      </w:pPr>
      <w:r>
        <w:rPr>
          <w:rFonts w:ascii="Times New Roman" w:hAnsi="Times New Roman" w:cs="Times New Roman"/>
          <w:b w:val="0"/>
          <w:i w:val="0"/>
          <w:sz w:val="22"/>
        </w:rPr>
        <w:t>Model retraining runs on the federated learning schedule (weekly for visual recognition and defect models; nightly for pricing and risk models), with all training data drawn from consented, anonymised Trade Memory (Section 20). Every model version is logged; inference records carry the model version for audit.</w:t>
      </w:r>
    </w:p>
    <w:p>
      <w:pPr>
        <w:keepNext/>
        <w:spacing w:before="180" w:after="80"/>
        <w:outlineLvl w:val="2"/>
      </w:pPr>
      <w:r>
        <w:rPr>
          <w:rFonts w:ascii="Arial" w:hAnsi="Arial" w:cs="Arial"/>
          <w:b/>
          <w:i w:val="0"/>
          <w:color w:val="333333"/>
          <w:sz w:val="23"/>
        </w:rPr>
        <w:t>23.5.4 Technical Specifications (Key Services)</w:t>
      </w:r>
    </w:p>
    <w:p>
      <w:pPr>
        <w:keepNext/>
        <w:spacing w:before="140" w:after="60"/>
        <w:outlineLvl w:val="3"/>
      </w:pPr>
      <w:r>
        <w:rPr>
          <w:rFonts w:ascii="Arial" w:hAnsi="Arial" w:cs="Arial"/>
          <w:b/>
          <w:i/>
          <w:color w:val="333333"/>
          <w:sz w:val="22"/>
        </w:rPr>
        <w:t>23.5.4.1 Service Ports &amp; Health Endpoints</w:t>
      </w:r>
    </w:p>
    <w:p>
      <w:pPr>
        <w:spacing w:after="80" w:line="293" w:lineRule="auto"/>
        <w:jc w:val="left"/>
      </w:pPr>
      <w:r>
        <w:rPr>
          <w:rFonts w:ascii="Times New Roman" w:hAnsi="Times New Roman" w:cs="Times New Roman"/>
          <w:b w:val="0"/>
          <w:i w:val="0"/>
          <w:sz w:val="22"/>
        </w:rPr>
        <w:t>Every microservice exposes a `/health` endpoint and a metrics endpoint for Prometheus scraping. Service ports, health paths, and readiness probes are maintained in the service configuration (`services.toml`) and the API index (Section 18). Health status feeds the Platform Health tab (16.8.13.3) and the SLA monitors (Section 21).</w:t>
      </w:r>
    </w:p>
    <w:p>
      <w:pPr>
        <w:keepNext/>
        <w:spacing w:before="140" w:after="60"/>
        <w:outlineLvl w:val="3"/>
      </w:pPr>
      <w:r>
        <w:rPr>
          <w:rFonts w:ascii="Arial" w:hAnsi="Arial" w:cs="Arial"/>
          <w:b/>
          <w:i/>
          <w:color w:val="333333"/>
          <w:sz w:val="22"/>
        </w:rPr>
        <w:t>23.5.4.2 Database Connection Pool</w:t>
      </w:r>
    </w:p>
    <w:p>
      <w:pPr>
        <w:spacing w:after="80" w:line="293" w:lineRule="auto"/>
        <w:jc w:val="left"/>
      </w:pPr>
      <w:r>
        <w:rPr>
          <w:rFonts w:ascii="Times New Roman" w:hAnsi="Times New Roman" w:cs="Times New Roman"/>
          <w:b w:val="0"/>
          <w:i w:val="0"/>
          <w:sz w:val="22"/>
        </w:rPr>
        <w:t>Connection pool bounds (maximum connections, idle timeout, statement timeout) are configuration-controlled per service; the authoritative values are maintained with the data model deployment (Section 17) and operational runbooks. Pools are sized per service tier and monitored by the predictive node-failure dashboard.</w:t>
      </w:r>
    </w:p>
    <w:p>
      <w:pPr>
        <w:keepNext/>
        <w:spacing w:before="140" w:after="60"/>
        <w:outlineLvl w:val="3"/>
      </w:pPr>
      <w:r>
        <w:rPr>
          <w:rFonts w:ascii="Arial" w:hAnsi="Arial" w:cs="Arial"/>
          <w:b/>
          <w:i/>
          <w:color w:val="333333"/>
          <w:sz w:val="22"/>
        </w:rPr>
        <w:t>23.5.4.3 NATS JetStream Configuration</w:t>
      </w:r>
    </w:p>
    <w:p>
      <w:pPr>
        <w:spacing w:after="80" w:line="293" w:lineRule="auto"/>
        <w:jc w:val="left"/>
      </w:pPr>
      <w:r>
        <w:rPr>
          <w:rFonts w:ascii="Times New Roman" w:hAnsi="Times New Roman" w:cs="Times New Roman"/>
          <w:b w:val="0"/>
          <w:i w:val="0"/>
          <w:sz w:val="22"/>
        </w:rPr>
        <w:t>NATS JetStream provides the event backbone: durable consumers per service, at-least-once delivery, and per-stream retention windows. Subject naming follows the `&lt;domain&gt;.&lt;entity&gt;.&lt;event&gt;` convention used throughout this document (e.g., `inbox.item.state_changed`, `trade.{ustn}.*`, `pallet.loaded`).</w:t>
      </w:r>
    </w:p>
    <w:p>
      <w:pPr>
        <w:keepNext/>
        <w:spacing w:before="140" w:after="60"/>
        <w:outlineLvl w:val="3"/>
      </w:pPr>
      <w:r>
        <w:rPr>
          <w:rFonts w:ascii="Arial" w:hAnsi="Arial" w:cs="Arial"/>
          <w:b/>
          <w:i/>
          <w:color w:val="333333"/>
          <w:sz w:val="22"/>
        </w:rPr>
        <w:t>23.5.4.4 Temporal Workflow Configuration</w:t>
      </w:r>
    </w:p>
    <w:p>
      <w:pPr>
        <w:spacing w:after="80" w:line="293" w:lineRule="auto"/>
        <w:jc w:val="left"/>
      </w:pPr>
      <w:r>
        <w:rPr>
          <w:rFonts w:ascii="Times New Roman" w:hAnsi="Times New Roman" w:cs="Times New Roman"/>
          <w:b w:val="0"/>
          <w:i w:val="0"/>
          <w:sz w:val="22"/>
        </w:rPr>
        <w:t>Long-running workflows (settlement orchestration, stuck-trade recovery, distressed outreach windows, retention sweeps) execute as Temporal workflows with retry policies and heartbeat timeouts; the workflow definitions live in the respective services (13.5 of the repository map, 23.5.8).</w:t>
      </w:r>
    </w:p>
    <w:p>
      <w:pPr>
        <w:keepNext/>
        <w:spacing w:before="140" w:after="60"/>
        <w:outlineLvl w:val="3"/>
      </w:pPr>
      <w:r>
        <w:rPr>
          <w:rFonts w:ascii="Arial" w:hAnsi="Arial" w:cs="Arial"/>
          <w:b/>
          <w:i/>
          <w:color w:val="333333"/>
          <w:sz w:val="22"/>
        </w:rPr>
        <w:t>23.5.4.5 AI Inference Timeouts</w:t>
      </w:r>
    </w:p>
    <w:p>
      <w:pPr>
        <w:spacing w:after="80" w:line="293" w:lineRule="auto"/>
        <w:jc w:val="left"/>
      </w:pPr>
      <w:r>
        <w:rPr>
          <w:rFonts w:ascii="Times New Roman" w:hAnsi="Times New Roman" w:cs="Times New Roman"/>
          <w:b w:val="0"/>
          <w:i w:val="0"/>
          <w:sz w:val="22"/>
        </w:rPr>
        <w:t>AI inference timeout budgets per authority level are configuration-controlled and enforced with fallback: A1 advisory calls (Groq ≤ 3 s, template fallback ≤ 50 ms), A2 local inference budgets per model, and A3 escalation queues with human SLAs. Timeouts feed the fallback logging below (23.5.6).</w:t>
      </w:r>
    </w:p>
    <w:p>
      <w:pPr>
        <w:keepNext/>
        <w:spacing w:before="180" w:after="80"/>
        <w:outlineLvl w:val="2"/>
      </w:pPr>
      <w:r>
        <w:rPr>
          <w:rFonts w:ascii="Arial" w:hAnsi="Arial" w:cs="Arial"/>
          <w:b/>
          <w:i w:val="0"/>
          <w:color w:val="333333"/>
          <w:sz w:val="23"/>
        </w:rPr>
        <w:t>23.5.5 Distressed Cargo Matrix (Extended, Dynamic)</w:t>
      </w:r>
    </w:p>
    <w:p>
      <w:pPr>
        <w:keepNext/>
        <w:spacing w:before="140" w:after="60"/>
        <w:outlineLvl w:val="3"/>
      </w:pPr>
      <w:r>
        <w:rPr>
          <w:rFonts w:ascii="Arial" w:hAnsi="Arial" w:cs="Arial"/>
          <w:b/>
          <w:i/>
          <w:color w:val="333333"/>
          <w:sz w:val="22"/>
        </w:rPr>
        <w:t>23.5.5.1 Country-Specific Rules</w:t>
      </w:r>
    </w:p>
    <w:p>
      <w:pPr>
        <w:spacing w:after="80" w:line="293" w:lineRule="auto"/>
        <w:jc w:val="left"/>
      </w:pPr>
      <w:r>
        <w:rPr>
          <w:rFonts w:ascii="Times New Roman" w:hAnsi="Times New Roman" w:cs="Times New Roman"/>
          <w:b w:val="0"/>
          <w:i w:val="0"/>
          <w:sz w:val="22"/>
        </w:rPr>
        <w:t>The matrix is updated in real time by the RIA. The fee factor is applied to the distressed micro-contract's platform fee. Country rules cover: whether a distressed sale is permitted; whether a mandatory liquidator is required; central bank notification thresholds (e.g., CBE notification required if &gt; $1,000 in Egypt); destruction rules for unsafe goods; and insurance claim requirements. Current values are maintained in the jurisdiction matrix (Section 20) and surfaced in the triage dashboard's "Comply with Local Law" path (23.4.3.4).</w:t>
      </w:r>
    </w:p>
    <w:p>
      <w:pPr>
        <w:keepNext/>
        <w:spacing w:before="140" w:after="60"/>
        <w:outlineLvl w:val="3"/>
      </w:pPr>
      <w:r>
        <w:rPr>
          <w:rFonts w:ascii="Arial" w:hAnsi="Arial" w:cs="Arial"/>
          <w:b/>
          <w:i/>
          <w:color w:val="333333"/>
          <w:sz w:val="22"/>
        </w:rPr>
        <w:t>23.5.5.2 Distressed Fee Calculation</w:t>
      </w:r>
    </w:p>
    <w:p>
      <w:pPr>
        <w:spacing w:after="0" w:before="0" w:line="240" w:lineRule="auto"/>
        <w:ind w:left="57"/>
        <w:jc w:val="left"/>
        <w:shd w:val="clear" w:fill="F2F2F2"/>
      </w:pPr>
      <w:r>
        <w:rPr>
          <w:rFonts w:ascii="Consolas" w:hAnsi="Consolas" w:cs="Consolas"/>
          <w:b w:val="0"/>
          <w:i w:val="0"/>
          <w:sz w:val="15"/>
        </w:rPr>
        <w:t>Distressed Fee = Original Trade Effective Rate × Distressed Jurisdiction Factor × Distressed Sale CFB</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i w:val="0"/>
          <w:sz w:val="22"/>
        </w:rPr>
        <w:t>Example:</w:t>
      </w:r>
      <w:r>
        <w:rPr>
          <w:rFonts w:ascii="Times New Roman" w:hAnsi="Times New Roman" w:cs="Times New Roman"/>
          <w:b w:val="0"/>
          <w:i w:val="0"/>
          <w:sz w:val="22"/>
        </w:rPr>
        <w:t xml:space="preserve"> original trade effective rate = 0.144% (engine-determined); jurisdiction factor (UAE) = 0.85; distressed sale CFB = $900 → Distressed Fee = 0.144% × 0.85 × $900 = $1.10 (micro-trade policy, Section 9.27.21).</w:t>
      </w:r>
    </w:p>
    <w:p>
      <w:pPr>
        <w:keepNext/>
        <w:spacing w:before="140" w:after="60"/>
        <w:outlineLvl w:val="3"/>
      </w:pPr>
      <w:r>
        <w:rPr>
          <w:rFonts w:ascii="Arial" w:hAnsi="Arial" w:cs="Arial"/>
          <w:b/>
          <w:i/>
          <w:color w:val="333333"/>
          <w:sz w:val="22"/>
        </w:rPr>
        <w:t>23.5.5.3 Distressed Triage Paths</w:t>
      </w:r>
    </w:p>
    <w:p>
      <w:pPr>
        <w:spacing w:after="80" w:line="293" w:lineRule="auto"/>
        <w:jc w:val="left"/>
      </w:pPr>
      <w:r>
        <w:rPr>
          <w:rFonts w:ascii="Times New Roman" w:hAnsi="Times New Roman" w:cs="Times New Roman"/>
          <w:b w:val="0"/>
          <w:i w:val="0"/>
          <w:sz w:val="22"/>
        </w:rPr>
        <w:t>Path A — Sell Quickly (accelerated outreach, 23.4.3); Path B — Comply with Local Law (jurisdiction compliance assistant report); Path C — File Insurance Claim (evidence package compiler with sensor logs, photos, condition assessment, market valuation, and claim narrative). Full specification in Section 14 and 23.4.3.</w:t>
      </w:r>
    </w:p>
    <w:p>
      <w:pPr>
        <w:keepNext/>
        <w:spacing w:before="180" w:after="80"/>
        <w:outlineLvl w:val="2"/>
      </w:pPr>
      <w:r>
        <w:rPr>
          <w:rFonts w:ascii="Arial" w:hAnsi="Arial" w:cs="Arial"/>
          <w:b/>
          <w:i w:val="0"/>
          <w:color w:val="333333"/>
          <w:sz w:val="23"/>
        </w:rPr>
        <w:t>23.5.6 AI Provider Fallback Chain (Zero-Cost)</w:t>
      </w:r>
    </w:p>
    <w:p>
      <w:pPr>
        <w:keepNext/>
        <w:spacing w:before="140" w:after="60"/>
        <w:outlineLvl w:val="3"/>
      </w:pPr>
      <w:r>
        <w:rPr>
          <w:rFonts w:ascii="Arial" w:hAnsi="Arial" w:cs="Arial"/>
          <w:b/>
          <w:i/>
          <w:color w:val="333333"/>
          <w:sz w:val="22"/>
        </w:rPr>
        <w:t>23.5.6.1 Fallback Chain</w:t>
      </w:r>
    </w:p>
    <w:p>
      <w:pPr>
        <w:spacing w:after="80" w:line="293" w:lineRule="auto"/>
        <w:ind w:left="283"/>
        <w:jc w:val="left"/>
      </w:pPr>
      <w:r>
        <w:rPr>
          <w:rFonts w:ascii="Times New Roman" w:hAnsi="Times New Roman" w:cs="Times New Roman"/>
          <w:b w:val="0"/>
          <w:i w:val="0"/>
          <w:sz w:val="22"/>
        </w:rPr>
        <w:t>- A1 (advisory) — Groq → Ollama → static templates.</w:t>
      </w:r>
    </w:p>
    <w:p>
      <w:pPr>
        <w:spacing w:after="80" w:line="293" w:lineRule="auto"/>
        <w:ind w:left="283"/>
        <w:jc w:val="left"/>
      </w:pPr>
      <w:r>
        <w:rPr>
          <w:rFonts w:ascii="Times New Roman" w:hAnsi="Times New Roman" w:cs="Times New Roman"/>
          <w:b w:val="0"/>
          <w:i w:val="0"/>
          <w:sz w:val="22"/>
        </w:rPr>
        <w:t>- A2/A3 (local) — Hugging Face local models → Ollama → static templates + escalation to human</w:t>
      </w:r>
    </w:p>
    <w:p>
      <w:pPr>
        <w:spacing w:after="80" w:line="293" w:lineRule="auto"/>
        <w:jc w:val="left"/>
      </w:pPr>
      <w:r>
        <w:rPr>
          <w:rFonts w:ascii="Times New Roman" w:hAnsi="Times New Roman" w:cs="Times New Roman"/>
          <w:b w:val="0"/>
          <w:i w:val="0"/>
          <w:sz w:val="22"/>
        </w:rPr>
        <w:t>review.</w:t>
      </w:r>
    </w:p>
    <w:p>
      <w:pPr>
        <w:spacing w:after="80" w:line="293" w:lineRule="auto"/>
        <w:jc w:val="left"/>
      </w:pPr>
      <w:r>
        <w:rPr>
          <w:rFonts w:ascii="Times New Roman" w:hAnsi="Times New Roman" w:cs="Times New Roman"/>
          <w:b w:val="0"/>
          <w:i w:val="0"/>
          <w:sz w:val="22"/>
        </w:rPr>
        <w:t>The chain is a platform invariant, not a per-feature choice (Section 3).</w:t>
      </w:r>
    </w:p>
    <w:p>
      <w:pPr>
        <w:keepNext/>
        <w:spacing w:before="140" w:after="60"/>
        <w:outlineLvl w:val="3"/>
      </w:pPr>
      <w:r>
        <w:rPr>
          <w:rFonts w:ascii="Arial" w:hAnsi="Arial" w:cs="Arial"/>
          <w:b/>
          <w:i/>
          <w:color w:val="333333"/>
          <w:sz w:val="22"/>
        </w:rPr>
        <w:t>23.5.6.2 Provider Availability</w:t>
      </w:r>
    </w:p>
    <w:p>
      <w:pPr>
        <w:spacing w:after="80" w:line="293" w:lineRule="auto"/>
        <w:jc w:val="left"/>
      </w:pPr>
      <w:r>
        <w:rPr>
          <w:rFonts w:ascii="Times New Roman" w:hAnsi="Times New Roman" w:cs="Times New Roman"/>
          <w:b w:val="0"/>
          <w:i w:val="0"/>
          <w:sz w:val="22"/>
        </w:rPr>
        <w:t>Provider availability is monitored continuously; a provider is marked degraded when its error rate or latency exceeds thresholds, and traffic shifts automatically to the next tier.</w:t>
      </w:r>
    </w:p>
    <w:p>
      <w:pPr>
        <w:keepNext/>
        <w:spacing w:before="140" w:after="60"/>
        <w:outlineLvl w:val="3"/>
      </w:pPr>
      <w:r>
        <w:rPr>
          <w:rFonts w:ascii="Arial" w:hAnsi="Arial" w:cs="Arial"/>
          <w:b/>
          <w:i/>
          <w:color w:val="333333"/>
          <w:sz w:val="22"/>
        </w:rPr>
        <w:t>23.5.6.3 Fallback Trigger Logic</w:t>
      </w:r>
    </w:p>
    <w:p>
      <w:pPr>
        <w:spacing w:after="80" w:line="293" w:lineRule="auto"/>
        <w:jc w:val="left"/>
      </w:pPr>
      <w:r>
        <w:rPr>
          <w:rFonts w:ascii="Times New Roman" w:hAnsi="Times New Roman" w:cs="Times New Roman"/>
          <w:b w:val="0"/>
          <w:i w:val="0"/>
          <w:sz w:val="22"/>
        </w:rPr>
        <w:t>Fallback triggers on: provider error, timeout breach, rate limit, or provider health degradation. The first successful tier serves the request; the fallback decision is recorded per inference.</w:t>
      </w:r>
    </w:p>
    <w:p>
      <w:pPr>
        <w:keepNext/>
        <w:spacing w:before="140" w:after="60"/>
        <w:outlineLvl w:val="3"/>
      </w:pPr>
      <w:r>
        <w:rPr>
          <w:rFonts w:ascii="Arial" w:hAnsi="Arial" w:cs="Arial"/>
          <w:b/>
          <w:i/>
          <w:color w:val="333333"/>
          <w:sz w:val="22"/>
        </w:rPr>
        <w:t>23.5.6.4 Fallback Logging</w:t>
      </w:r>
    </w:p>
    <w:p>
      <w:pPr>
        <w:spacing w:after="80" w:line="293" w:lineRule="auto"/>
        <w:jc w:val="left"/>
      </w:pPr>
      <w:r>
        <w:rPr>
          <w:rFonts w:ascii="Times New Roman" w:hAnsi="Times New Roman" w:cs="Times New Roman"/>
          <w:b w:val="0"/>
          <w:i w:val="0"/>
          <w:sz w:val="22"/>
        </w:rPr>
        <w:t>All fallback events are logged in `ai_inference_records`:</w:t>
      </w:r>
    </w:p>
    <w:p>
      <w:pPr>
        <w:spacing w:after="0" w:before="0" w:line="240" w:lineRule="auto"/>
        <w:ind w:left="57"/>
        <w:jc w:val="left"/>
        <w:shd w:val="clear" w:fill="F2F2F2"/>
      </w:pPr>
      <w:r>
        <w:rPr>
          <w:rFonts w:ascii="Consolas" w:hAnsi="Consolas" w:cs="Consolas"/>
          <w:b w:val="0"/>
          <w:i w:val="0"/>
          <w:sz w:val="15"/>
        </w:rPr>
        <w:t>{</w:t>
      </w:r>
    </w:p>
    <w:p>
      <w:pPr>
        <w:spacing w:after="0" w:before="0" w:line="240" w:lineRule="auto"/>
        <w:ind w:left="57"/>
        <w:jc w:val="left"/>
        <w:shd w:val="clear" w:fill="F2F2F2"/>
      </w:pPr>
      <w:r>
        <w:rPr>
          <w:rFonts w:ascii="Consolas" w:hAnsi="Consolas" w:cs="Consolas"/>
          <w:b w:val="0"/>
          <w:i w:val="0"/>
          <w:sz w:val="15"/>
        </w:rPr>
        <w:t xml:space="preserve">  "agent_name": "tenant_message_generator",</w:t>
      </w:r>
    </w:p>
    <w:p>
      <w:pPr>
        <w:spacing w:after="0" w:before="0" w:line="240" w:lineRule="auto"/>
        <w:ind w:left="57"/>
        <w:jc w:val="left"/>
        <w:shd w:val="clear" w:fill="F2F2F2"/>
      </w:pPr>
      <w:r>
        <w:rPr>
          <w:rFonts w:ascii="Consolas" w:hAnsi="Consolas" w:cs="Consolas"/>
          <w:b w:val="0"/>
          <w:i w:val="0"/>
          <w:sz w:val="15"/>
        </w:rPr>
        <w:t xml:space="preserve">  "authority_level": "A1",</w:t>
      </w:r>
    </w:p>
    <w:p>
      <w:pPr>
        <w:spacing w:after="0" w:before="0" w:line="240" w:lineRule="auto"/>
        <w:ind w:left="57"/>
        <w:jc w:val="left"/>
        <w:shd w:val="clear" w:fill="F2F2F2"/>
      </w:pPr>
      <w:r>
        <w:rPr>
          <w:rFonts w:ascii="Consolas" w:hAnsi="Consolas" w:cs="Consolas"/>
          <w:b w:val="0"/>
          <w:i w:val="0"/>
          <w:sz w:val="15"/>
        </w:rPr>
        <w:t xml:space="preserve">  "provider": "ollama",</w:t>
      </w:r>
    </w:p>
    <w:p>
      <w:pPr>
        <w:spacing w:after="0" w:before="0" w:line="240" w:lineRule="auto"/>
        <w:ind w:left="57"/>
        <w:jc w:val="left"/>
        <w:shd w:val="clear" w:fill="F2F2F2"/>
      </w:pPr>
      <w:r>
        <w:rPr>
          <w:rFonts w:ascii="Consolas" w:hAnsi="Consolas" w:cs="Consolas"/>
          <w:b w:val="0"/>
          <w:i w:val="0"/>
          <w:sz w:val="15"/>
        </w:rPr>
        <w:t xml:space="preserve">  "fallback_used": true,</w:t>
      </w:r>
    </w:p>
    <w:p>
      <w:pPr>
        <w:spacing w:after="0" w:before="0" w:line="240" w:lineRule="auto"/>
        <w:ind w:left="57"/>
        <w:jc w:val="left"/>
        <w:shd w:val="clear" w:fill="F2F2F2"/>
      </w:pPr>
      <w:r>
        <w:rPr>
          <w:rFonts w:ascii="Consolas" w:hAnsi="Consolas" w:cs="Consolas"/>
          <w:b w:val="0"/>
          <w:i w:val="0"/>
          <w:sz w:val="15"/>
        </w:rPr>
        <w:t xml:space="preserve">  "fallback_reason": "groq_rate_limit_exceeded",</w:t>
      </w:r>
    </w:p>
    <w:p>
      <w:pPr>
        <w:spacing w:after="0" w:before="0" w:line="240" w:lineRule="auto"/>
        <w:ind w:left="57"/>
        <w:jc w:val="left"/>
        <w:shd w:val="clear" w:fill="F2F2F2"/>
      </w:pPr>
      <w:r>
        <w:rPr>
          <w:rFonts w:ascii="Consolas" w:hAnsi="Consolas" w:cs="Consolas"/>
          <w:b w:val="0"/>
          <w:i w:val="0"/>
          <w:sz w:val="15"/>
        </w:rPr>
        <w:t xml:space="preserve">  "model": "llama3.2:3b",</w:t>
      </w:r>
    </w:p>
    <w:p>
      <w:pPr>
        <w:spacing w:after="0" w:before="0" w:line="240" w:lineRule="auto"/>
        <w:ind w:left="57"/>
        <w:jc w:val="left"/>
        <w:shd w:val="clear" w:fill="F2F2F2"/>
      </w:pPr>
      <w:r>
        <w:rPr>
          <w:rFonts w:ascii="Consolas" w:hAnsi="Consolas" w:cs="Consolas"/>
          <w:b w:val="0"/>
          <w:i w:val="0"/>
          <w:sz w:val="15"/>
        </w:rPr>
        <w:t xml:space="preserve">  "latency_ms": 450,</w:t>
      </w:r>
    </w:p>
    <w:p>
      <w:pPr>
        <w:spacing w:after="0" w:before="0" w:line="240" w:lineRule="auto"/>
        <w:ind w:left="57"/>
        <w:jc w:val="left"/>
        <w:shd w:val="clear" w:fill="F2F2F2"/>
      </w:pPr>
      <w:r>
        <w:rPr>
          <w:rFonts w:ascii="Consolas" w:hAnsi="Consolas" w:cs="Consolas"/>
          <w:b w:val="0"/>
          <w:i w:val="0"/>
          <w:sz w:val="15"/>
        </w:rPr>
        <w:t xml:space="preserve">  "created_at": "2026-06-07T10:00:00Z"</w:t>
      </w:r>
    </w:p>
    <w:p>
      <w:pPr>
        <w:spacing w:after="0" w:before="0" w:line="240" w:lineRule="auto"/>
        <w:ind w:left="57"/>
        <w:jc w:val="left"/>
        <w:shd w:val="clear" w:fill="F2F2F2"/>
      </w:pPr>
      <w:r>
        <w:rPr>
          <w:rFonts w:ascii="Consolas" w:hAnsi="Consolas" w:cs="Consolas"/>
          <w:b w:val="0"/>
          <w:i w:val="0"/>
          <w:sz w:val="15"/>
        </w:rPr>
        <w:t>}</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23.5.7 Tenant Quick Start Guide (Uniform Experience)</w:t>
      </w:r>
    </w:p>
    <w:p>
      <w:pPr>
        <w:keepNext/>
        <w:spacing w:before="140" w:after="60"/>
        <w:outlineLvl w:val="3"/>
      </w:pPr>
      <w:r>
        <w:rPr>
          <w:rFonts w:ascii="Arial" w:hAnsi="Arial" w:cs="Arial"/>
          <w:b/>
          <w:i/>
          <w:color w:val="333333"/>
          <w:sz w:val="22"/>
        </w:rPr>
        <w:t>23.5.7.1 First Steps</w:t>
      </w:r>
    </w:p>
    <w:p>
      <w:pPr>
        <w:spacing w:after="80" w:line="293" w:lineRule="auto"/>
        <w:jc w:val="left"/>
      </w:pPr>
      <w:r>
        <w:rPr>
          <w:rFonts w:ascii="Times New Roman" w:hAnsi="Times New Roman" w:cs="Times New Roman"/>
          <w:b w:val="0"/>
          <w:i w:val="0"/>
          <w:sz w:val="22"/>
        </w:rPr>
        <w:t>Step 1 — Complete the onboarding wizard (6 steps):</w:t>
      </w:r>
    </w:p>
    <w:p>
      <w:pPr>
        <w:spacing w:after="80" w:line="293" w:lineRule="auto"/>
        <w:jc w:val="left"/>
      </w:pPr>
      <w:r>
        <w:rPr>
          <w:rFonts w:ascii="Times New Roman" w:hAnsi="Times New Roman" w:cs="Times New Roman"/>
          <w:b w:val="0"/>
          <w:i w:val="0"/>
          <w:sz w:val="22"/>
        </w:rPr>
        <w:t>1. Welcome &amp; GTID Confirmation — select entity type (TRD, LSP, SHIP, LAB, QC, FIN, GOV, MP, CBR); the system generates a provisional GTID; click "Confirm GTID". 2. Organization Details — enter legal name, commercial register, tax ID; upload supporting documents (HF Donut extracts fields); click "Verify &amp; Continue". 3. KYB/KYC Verification — upload required documents based on jurisdiction; the system verifies against government registries; click "Submit Documents". 4. Profile Configuration — for TRD: select trader mode (BUY, SELL, or DUAL); set preferred language and consent for optional features; click "Save Preferences". 5. Create First Resource (optional) — pre-configure commodities, service catalogues, default fees; click "Save Resource" or "Skip". 6. Enter Sandbox — practice a full trade in an isolated environment with synthetic data; click "Start Sandbox".</w:t>
      </w:r>
    </w:p>
    <w:p>
      <w:pPr>
        <w:spacing w:after="80" w:line="293" w:lineRule="auto"/>
        <w:jc w:val="left"/>
      </w:pPr>
      <w:r>
        <w:rPr>
          <w:rFonts w:ascii="Times New Roman" w:hAnsi="Times New Roman" w:cs="Times New Roman"/>
          <w:b w:val="0"/>
          <w:i w:val="0"/>
          <w:sz w:val="22"/>
        </w:rPr>
        <w:t>Step 2 — Go live: after completing the sandbox (or after KYB verification), click "Go Live" — one click transitions the tenant to production.</w:t>
      </w:r>
    </w:p>
    <w:p>
      <w:pPr>
        <w:keepNext/>
        <w:spacing w:before="140" w:after="60"/>
        <w:outlineLvl w:val="3"/>
      </w:pPr>
      <w:r>
        <w:rPr>
          <w:rFonts w:ascii="Arial" w:hAnsi="Arial" w:cs="Arial"/>
          <w:b/>
          <w:i/>
          <w:color w:val="333333"/>
          <w:sz w:val="22"/>
        </w:rPr>
        <w:t>23.5.7.2 Buyer Dashboard Quick Start</w:t>
      </w:r>
    </w:p>
    <w:p>
      <w:pPr>
        <w:spacing w:after="80" w:line="293" w:lineRule="auto"/>
        <w:jc w:val="left"/>
      </w:pPr>
      <w:r>
        <w:rPr>
          <w:rFonts w:ascii="Times New Roman" w:hAnsi="Times New Roman" w:cs="Times New Roman"/>
          <w:b w:val="0"/>
          <w:i w:val="0"/>
          <w:sz w:val="22"/>
        </w:rPr>
        <w:t>After going live, a buyer lands on the Universal Command Center (16.13) with buyer cards and quick actions. The first trade follows the navigation map (16.14.5.1): New Trade Request → select seller → select incoterm → configure containers → add commodities → submit. Full tab specification: 16.9.</w:t>
      </w:r>
    </w:p>
    <w:p>
      <w:pPr>
        <w:keepNext/>
        <w:spacing w:before="140" w:after="60"/>
        <w:outlineLvl w:val="3"/>
      </w:pPr>
      <w:r>
        <w:rPr>
          <w:rFonts w:ascii="Arial" w:hAnsi="Arial" w:cs="Arial"/>
          <w:b/>
          <w:i/>
          <w:color w:val="333333"/>
          <w:sz w:val="22"/>
        </w:rPr>
        <w:t>23.5.7.3 Seller Dashboard Quick Start</w:t>
      </w:r>
    </w:p>
    <w:p>
      <w:pPr>
        <w:spacing w:after="80" w:line="293" w:lineRule="auto"/>
        <w:jc w:val="left"/>
      </w:pPr>
      <w:r>
        <w:rPr>
          <w:rFonts w:ascii="Times New Roman" w:hAnsi="Times New Roman" w:cs="Times New Roman"/>
          <w:b w:val="0"/>
          <w:i w:val="0"/>
          <w:sz w:val="22"/>
        </w:rPr>
        <w:t>A seller lands on the Universal Command Center with seller cards; the first response follows 16.14.5.2: Pending Requests → accept → EXW Price Lock → Containerisation &amp; Packing → Logistics Builder → Quote Submission. Full tab specification: 16.10.</w:t>
      </w:r>
    </w:p>
    <w:p>
      <w:pPr>
        <w:keepNext/>
        <w:spacing w:before="140" w:after="60"/>
        <w:outlineLvl w:val="3"/>
      </w:pPr>
      <w:r>
        <w:rPr>
          <w:rFonts w:ascii="Arial" w:hAnsi="Arial" w:cs="Arial"/>
          <w:b/>
          <w:i/>
          <w:color w:val="333333"/>
          <w:sz w:val="22"/>
        </w:rPr>
        <w:t>23.5.7.4 Logistics Provider Quick Start</w:t>
      </w:r>
    </w:p>
    <w:p>
      <w:pPr>
        <w:spacing w:after="80" w:line="293" w:lineRule="auto"/>
        <w:jc w:val="left"/>
      </w:pPr>
      <w:r>
        <w:rPr>
          <w:rFonts w:ascii="Times New Roman" w:hAnsi="Times New Roman" w:cs="Times New Roman"/>
          <w:b w:val="0"/>
          <w:i w:val="0"/>
          <w:sz w:val="22"/>
        </w:rPr>
        <w:t>An LSP completes KYB Tier 2 with fleet/warehouse data, configures its service catalogue (16.11.3, Tab 10), and responds to its first RFQ from the RFQ Inbox. Full tab specification: 16.11.</w:t>
      </w:r>
    </w:p>
    <w:p>
      <w:pPr>
        <w:keepNext/>
        <w:spacing w:before="140" w:after="60"/>
        <w:outlineLvl w:val="3"/>
      </w:pPr>
      <w:r>
        <w:rPr>
          <w:rFonts w:ascii="Arial" w:hAnsi="Arial" w:cs="Arial"/>
          <w:b/>
          <w:i/>
          <w:color w:val="333333"/>
          <w:sz w:val="22"/>
        </w:rPr>
        <w:t>23.5.7.5 Financier Quick Start</w:t>
      </w:r>
    </w:p>
    <w:p>
      <w:pPr>
        <w:spacing w:after="80" w:line="293" w:lineRule="auto"/>
        <w:jc w:val="left"/>
      </w:pPr>
      <w:r>
        <w:rPr>
          <w:rFonts w:ascii="Times New Roman" w:hAnsi="Times New Roman" w:cs="Times New Roman"/>
          <w:b w:val="0"/>
          <w:i w:val="0"/>
          <w:sz w:val="22"/>
        </w:rPr>
        <w:t>A financier (Bank/PFI) completes KYB Tier 3 (or exemption checks for PFI), configures preferences and exposure limits, and receives its first auto-RFQ in Financing Opportunities. Full tab specification: 16.8.10 / 16.8.11.</w:t>
      </w:r>
    </w:p>
    <w:p>
      <w:pPr>
        <w:keepNext/>
        <w:spacing w:before="140" w:after="60"/>
        <w:outlineLvl w:val="3"/>
      </w:pPr>
      <w:r>
        <w:rPr>
          <w:rFonts w:ascii="Arial" w:hAnsi="Arial" w:cs="Arial"/>
          <w:b/>
          <w:i/>
          <w:color w:val="333333"/>
          <w:sz w:val="22"/>
        </w:rPr>
        <w:t>23.5.7.6 Need Help?</w:t>
      </w:r>
    </w:p>
    <w:p>
      <w:pPr>
        <w:spacing w:after="80" w:line="293" w:lineRule="auto"/>
        <w:jc w:val="left"/>
      </w:pPr>
      <w:r>
        <w:rPr>
          <w:rFonts w:ascii="Times New Roman" w:hAnsi="Times New Roman" w:cs="Times New Roman"/>
          <w:b w:val="0"/>
          <w:i w:val="0"/>
          <w:sz w:val="22"/>
        </w:rPr>
        <w:t>The floating Help FAB (16.14.9), the Customer Care Chatbot (16.7), and the Help Center (16.14.14) — including the Quick Start guide, role guides, video academy, and ticketing — are available from every portal.</w:t>
      </w:r>
    </w:p>
    <w:p>
      <w:pPr>
        <w:keepNext/>
        <w:spacing w:before="180" w:after="80"/>
        <w:outlineLvl w:val="2"/>
      </w:pPr>
      <w:r>
        <w:rPr>
          <w:rFonts w:ascii="Arial" w:hAnsi="Arial" w:cs="Arial"/>
          <w:b/>
          <w:i w:val="0"/>
          <w:color w:val="333333"/>
          <w:sz w:val="23"/>
        </w:rPr>
        <w:t>23.5.8 Terminal Automation Reference &amp; cd Path Index</w:t>
      </w:r>
    </w:p>
    <w:p>
      <w:pPr>
        <w:keepNext/>
        <w:spacing w:before="140" w:after="60"/>
        <w:outlineLvl w:val="3"/>
      </w:pPr>
      <w:r>
        <w:rPr>
          <w:rFonts w:ascii="Arial" w:hAnsi="Arial" w:cs="Arial"/>
          <w:b/>
          <w:i/>
          <w:color w:val="333333"/>
          <w:sz w:val="22"/>
        </w:rPr>
        <w:t>23.5.8.1 Root Directory Structure</w:t>
      </w:r>
    </w:p>
    <w:p>
      <w:pPr>
        <w:spacing w:after="0" w:before="0" w:line="240" w:lineRule="auto"/>
        <w:ind w:left="57"/>
        <w:jc w:val="left"/>
        <w:shd w:val="clear" w:fill="F2F2F2"/>
      </w:pPr>
      <w:r>
        <w:rPr>
          <w:rFonts w:ascii="Consolas" w:hAnsi="Consolas" w:cs="Consolas"/>
          <w:b w:val="0"/>
          <w:i w:val="0"/>
          <w:sz w:val="15"/>
        </w:rPr>
        <w:t>/sgtx</w:t>
      </w:r>
    </w:p>
    <w:p>
      <w:pPr>
        <w:spacing w:after="0" w:before="0" w:line="240" w:lineRule="auto"/>
        <w:ind w:left="57"/>
        <w:jc w:val="left"/>
        <w:shd w:val="clear" w:fill="F2F2F2"/>
      </w:pPr>
      <w:r>
        <w:rPr>
          <w:rFonts w:ascii="Consolas" w:hAnsi="Consolas" w:cs="Consolas"/>
          <w:b w:val="0"/>
          <w:i w:val="0"/>
          <w:sz w:val="15"/>
        </w:rPr>
        <w:t xml:space="preserve">  core/                           # Microservices</w:t>
      </w:r>
    </w:p>
    <w:p>
      <w:pPr>
        <w:spacing w:after="0" w:before="0" w:line="240" w:lineRule="auto"/>
        <w:ind w:left="57"/>
        <w:jc w:val="left"/>
        <w:shd w:val="clear" w:fill="F2F2F2"/>
      </w:pPr>
      <w:r>
        <w:rPr>
          <w:rFonts w:ascii="Consolas" w:hAnsi="Consolas" w:cs="Consolas"/>
          <w:b w:val="0"/>
          <w:i w:val="0"/>
          <w:sz w:val="15"/>
        </w:rPr>
        <w:t xml:space="preserve">    governor/                     # Governor Service</w:t>
      </w:r>
    </w:p>
    <w:p>
      <w:pPr>
        <w:spacing w:after="0" w:before="0" w:line="240" w:lineRule="auto"/>
        <w:ind w:left="57"/>
        <w:jc w:val="left"/>
        <w:shd w:val="clear" w:fill="F2F2F2"/>
      </w:pPr>
      <w:r>
        <w:rPr>
          <w:rFonts w:ascii="Consolas" w:hAnsi="Consolas" w:cs="Consolas"/>
          <w:b w:val="0"/>
          <w:i w:val="0"/>
          <w:sz w:val="15"/>
        </w:rPr>
        <w:t xml:space="preserve">    identity/                     # Identity Service</w:t>
      </w:r>
    </w:p>
    <w:p>
      <w:pPr>
        <w:spacing w:after="0" w:before="0" w:line="240" w:lineRule="auto"/>
        <w:ind w:left="57"/>
        <w:jc w:val="left"/>
        <w:shd w:val="clear" w:fill="F2F2F2"/>
      </w:pPr>
      <w:r>
        <w:rPr>
          <w:rFonts w:ascii="Consolas" w:hAnsi="Consolas" w:cs="Consolas"/>
          <w:b w:val="0"/>
          <w:i w:val="0"/>
          <w:sz w:val="15"/>
        </w:rPr>
        <w:t xml:space="preserve">    trade-service/                # Trade Service</w:t>
      </w:r>
    </w:p>
    <w:p>
      <w:pPr>
        <w:spacing w:after="0" w:before="0" w:line="240" w:lineRule="auto"/>
        <w:ind w:left="57"/>
        <w:jc w:val="left"/>
        <w:shd w:val="clear" w:fill="F2F2F2"/>
      </w:pPr>
      <w:r>
        <w:rPr>
          <w:rFonts w:ascii="Consolas" w:hAnsi="Consolas" w:cs="Consolas"/>
          <w:b w:val="0"/>
          <w:i w:val="0"/>
          <w:sz w:val="15"/>
        </w:rPr>
        <w:t xml:space="preserve">    quote-service/                # Quote Service</w:t>
      </w:r>
    </w:p>
    <w:p>
      <w:pPr>
        <w:spacing w:after="0" w:before="0" w:line="240" w:lineRule="auto"/>
        <w:ind w:left="57"/>
        <w:jc w:val="left"/>
        <w:shd w:val="clear" w:fill="F2F2F2"/>
      </w:pPr>
      <w:r>
        <w:rPr>
          <w:rFonts w:ascii="Consolas" w:hAnsi="Consolas" w:cs="Consolas"/>
          <w:b w:val="0"/>
          <w:i w:val="0"/>
          <w:sz w:val="15"/>
        </w:rPr>
        <w:t xml:space="preserve">    contract-service/             # Contract Service</w:t>
      </w:r>
    </w:p>
    <w:p>
      <w:pPr>
        <w:spacing w:after="0" w:before="0" w:line="240" w:lineRule="auto"/>
        <w:ind w:left="57"/>
        <w:jc w:val="left"/>
        <w:shd w:val="clear" w:fill="F2F2F2"/>
      </w:pPr>
      <w:r>
        <w:rPr>
          <w:rFonts w:ascii="Consolas" w:hAnsi="Consolas" w:cs="Consolas"/>
          <w:b w:val="0"/>
          <w:i w:val="0"/>
          <w:sz w:val="15"/>
        </w:rPr>
        <w:t xml:space="preserve">    shipment-service/             # Shipment Service</w:t>
      </w:r>
    </w:p>
    <w:p>
      <w:pPr>
        <w:spacing w:after="0" w:before="0" w:line="240" w:lineRule="auto"/>
        <w:ind w:left="57"/>
        <w:jc w:val="left"/>
        <w:shd w:val="clear" w:fill="F2F2F2"/>
      </w:pPr>
      <w:r>
        <w:rPr>
          <w:rFonts w:ascii="Consolas" w:hAnsi="Consolas" w:cs="Consolas"/>
          <w:b w:val="0"/>
          <w:i w:val="0"/>
          <w:sz w:val="15"/>
        </w:rPr>
        <w:t xml:space="preserve">    payment-orchestrator/         # Payment Orchestrator</w:t>
      </w:r>
    </w:p>
    <w:p>
      <w:pPr>
        <w:spacing w:after="0" w:before="0" w:line="240" w:lineRule="auto"/>
        <w:ind w:left="57"/>
        <w:jc w:val="left"/>
        <w:shd w:val="clear" w:fill="F2F2F2"/>
      </w:pPr>
      <w:r>
        <w:rPr>
          <w:rFonts w:ascii="Consolas" w:hAnsi="Consolas" w:cs="Consolas"/>
          <w:b w:val="0"/>
          <w:i w:val="0"/>
          <w:sz w:val="15"/>
        </w:rPr>
        <w:t xml:space="preserve">    finance-service/              # Financing Service</w:t>
      </w:r>
    </w:p>
    <w:p>
      <w:pPr>
        <w:spacing w:after="0" w:before="0" w:line="240" w:lineRule="auto"/>
        <w:ind w:left="57"/>
        <w:jc w:val="left"/>
        <w:shd w:val="clear" w:fill="F2F2F2"/>
      </w:pPr>
      <w:r>
        <w:rPr>
          <w:rFonts w:ascii="Consolas" w:hAnsi="Consolas" w:cs="Consolas"/>
          <w:b w:val="0"/>
          <w:i w:val="0"/>
          <w:sz w:val="15"/>
        </w:rPr>
        <w:t xml:space="preserve">    inbox-service/                # Smart Inbox Service</w:t>
      </w:r>
    </w:p>
    <w:p>
      <w:pPr>
        <w:spacing w:after="0" w:before="0" w:line="240" w:lineRule="auto"/>
        <w:ind w:left="57"/>
        <w:jc w:val="left"/>
        <w:shd w:val="clear" w:fill="F2F2F2"/>
      </w:pPr>
      <w:r>
        <w:rPr>
          <w:rFonts w:ascii="Consolas" w:hAnsi="Consolas" w:cs="Consolas"/>
          <w:b w:val="0"/>
          <w:i w:val="0"/>
          <w:sz w:val="15"/>
        </w:rPr>
        <w:t xml:space="preserve">    tenant-experience-service/    # Tenant Experience Service</w:t>
      </w:r>
    </w:p>
    <w:p>
      <w:pPr>
        <w:spacing w:after="0" w:before="0" w:line="240" w:lineRule="auto"/>
        <w:ind w:left="57"/>
        <w:jc w:val="left"/>
        <w:shd w:val="clear" w:fill="F2F2F2"/>
      </w:pPr>
      <w:r>
        <w:rPr>
          <w:rFonts w:ascii="Consolas" w:hAnsi="Consolas" w:cs="Consolas"/>
          <w:b w:val="0"/>
          <w:i w:val="0"/>
          <w:sz w:val="15"/>
        </w:rPr>
        <w:t xml:space="preserve">    workflow-recovery-service/    # Workflow Recovery Service</w:t>
      </w:r>
    </w:p>
    <w:p>
      <w:pPr>
        <w:spacing w:after="0" w:before="0" w:line="240" w:lineRule="auto"/>
        <w:ind w:left="57"/>
        <w:jc w:val="left"/>
        <w:shd w:val="clear" w:fill="F2F2F2"/>
      </w:pPr>
      <w:r>
        <w:rPr>
          <w:rFonts w:ascii="Consolas" w:hAnsi="Consolas" w:cs="Consolas"/>
          <w:b w:val="0"/>
          <w:i w:val="0"/>
          <w:sz w:val="15"/>
        </w:rPr>
        <w:t xml:space="preserve">    tenant-data-export-service/   # Tenant Data Export Service</w:t>
      </w:r>
    </w:p>
    <w:p>
      <w:pPr>
        <w:spacing w:after="0" w:before="0" w:line="240" w:lineRule="auto"/>
        <w:ind w:left="57"/>
        <w:jc w:val="left"/>
        <w:shd w:val="clear" w:fill="F2F2F2"/>
      </w:pPr>
      <w:r>
        <w:rPr>
          <w:rFonts w:ascii="Consolas" w:hAnsi="Consolas" w:cs="Consolas"/>
          <w:b w:val="0"/>
          <w:i w:val="0"/>
          <w:sz w:val="15"/>
        </w:rPr>
        <w:t xml:space="preserve">    financier-preference-service/ # Financier Preference Service</w:t>
      </w:r>
    </w:p>
    <w:p>
      <w:pPr>
        <w:spacing w:after="0" w:before="0" w:line="240" w:lineRule="auto"/>
        <w:ind w:left="57"/>
        <w:jc w:val="left"/>
        <w:shd w:val="clear" w:fill="F2F2F2"/>
      </w:pPr>
      <w:r>
        <w:rPr>
          <w:rFonts w:ascii="Consolas" w:hAnsi="Consolas" w:cs="Consolas"/>
          <w:b w:val="0"/>
          <w:i w:val="0"/>
          <w:sz w:val="15"/>
        </w:rPr>
        <w:t xml:space="preserve">    multi-shipment-coordinator/   # Multi-shipment Coordinator</w:t>
      </w:r>
    </w:p>
    <w:p>
      <w:pPr>
        <w:spacing w:after="0" w:before="0" w:line="240" w:lineRule="auto"/>
        <w:ind w:left="57"/>
        <w:jc w:val="left"/>
        <w:shd w:val="clear" w:fill="F2F2F2"/>
      </w:pPr>
      <w:r>
        <w:rPr>
          <w:rFonts w:ascii="Consolas" w:hAnsi="Consolas" w:cs="Consolas"/>
          <w:b w:val="0"/>
          <w:i w:val="0"/>
          <w:sz w:val="15"/>
        </w:rPr>
        <w:t xml:space="preserve">    fee-split-orchestrator/       # Fee-Split Orchestrator</w:t>
      </w:r>
    </w:p>
    <w:p>
      <w:pPr>
        <w:spacing w:after="0" w:before="0" w:line="240" w:lineRule="auto"/>
        <w:ind w:left="57"/>
        <w:jc w:val="left"/>
        <w:shd w:val="clear" w:fill="F2F2F2"/>
      </w:pPr>
      <w:r>
        <w:rPr>
          <w:rFonts w:ascii="Consolas" w:hAnsi="Consolas" w:cs="Consolas"/>
          <w:b w:val="0"/>
          <w:i w:val="0"/>
          <w:sz w:val="15"/>
        </w:rPr>
        <w:t xml:space="preserve">    logistics-service/            # Logistics Service</w:t>
      </w:r>
    </w:p>
    <w:p>
      <w:pPr>
        <w:spacing w:after="0" w:before="0" w:line="240" w:lineRule="auto"/>
        <w:ind w:left="57"/>
        <w:jc w:val="left"/>
        <w:shd w:val="clear" w:fill="F2F2F2"/>
      </w:pPr>
      <w:r>
        <w:rPr>
          <w:rFonts w:ascii="Consolas" w:hAnsi="Consolas" w:cs="Consolas"/>
          <w:b w:val="0"/>
          <w:i w:val="0"/>
          <w:sz w:val="15"/>
        </w:rPr>
        <w:t xml:space="preserve">    document-service/             # Document Service</w:t>
      </w:r>
    </w:p>
    <w:p>
      <w:pPr>
        <w:spacing w:after="0" w:before="0" w:line="240" w:lineRule="auto"/>
        <w:ind w:left="57"/>
        <w:jc w:val="left"/>
        <w:shd w:val="clear" w:fill="F2F2F2"/>
      </w:pPr>
      <w:r>
        <w:rPr>
          <w:rFonts w:ascii="Consolas" w:hAnsi="Consolas" w:cs="Consolas"/>
          <w:b w:val="0"/>
          <w:i w:val="0"/>
          <w:sz w:val="15"/>
        </w:rPr>
        <w:t xml:space="preserve">    barcode-service/              # Barcode Service</w:t>
      </w:r>
    </w:p>
    <w:p>
      <w:pPr>
        <w:spacing w:after="0" w:before="0" w:line="240" w:lineRule="auto"/>
        <w:ind w:left="57"/>
        <w:jc w:val="left"/>
        <w:shd w:val="clear" w:fill="F2F2F2"/>
      </w:pPr>
      <w:r>
        <w:rPr>
          <w:rFonts w:ascii="Consolas" w:hAnsi="Consolas" w:cs="Consolas"/>
          <w:b w:val="0"/>
          <w:i w:val="0"/>
          <w:sz w:val="15"/>
        </w:rPr>
        <w:t xml:space="preserve">    network-service/              # Network Service</w:t>
      </w:r>
    </w:p>
    <w:p>
      <w:pPr>
        <w:spacing w:after="0" w:before="0" w:line="240" w:lineRule="auto"/>
        <w:ind w:left="57"/>
        <w:jc w:val="left"/>
        <w:shd w:val="clear" w:fill="F2F2F2"/>
      </w:pPr>
      <w:r>
        <w:rPr>
          <w:rFonts w:ascii="Consolas" w:hAnsi="Consolas" w:cs="Consolas"/>
          <w:b w:val="0"/>
          <w:i w:val="0"/>
          <w:sz w:val="15"/>
        </w:rPr>
        <w:t xml:space="preserve">    dispute-service/              # Dispute Service</w:t>
      </w:r>
    </w:p>
    <w:p>
      <w:pPr>
        <w:spacing w:after="0" w:before="0" w:line="240" w:lineRule="auto"/>
        <w:ind w:left="57"/>
        <w:jc w:val="left"/>
        <w:shd w:val="clear" w:fill="F2F2F2"/>
      </w:pPr>
      <w:r>
        <w:rPr>
          <w:rFonts w:ascii="Consolas" w:hAnsi="Consolas" w:cs="Consolas"/>
          <w:b w:val="0"/>
          <w:i w:val="0"/>
          <w:sz w:val="15"/>
        </w:rPr>
        <w:t xml:space="preserve">    distressed-service/           # Distressed Service</w:t>
      </w:r>
    </w:p>
    <w:p>
      <w:pPr>
        <w:spacing w:after="0" w:before="0" w:line="240" w:lineRule="auto"/>
        <w:ind w:left="57"/>
        <w:jc w:val="left"/>
        <w:shd w:val="clear" w:fill="F2F2F2"/>
      </w:pPr>
      <w:r>
        <w:rPr>
          <w:rFonts w:ascii="Consolas" w:hAnsi="Consolas" w:cs="Consolas"/>
          <w:b w:val="0"/>
          <w:i w:val="0"/>
          <w:sz w:val="15"/>
        </w:rPr>
        <w:t xml:space="preserve">    location-service/             # Location Service</w:t>
      </w:r>
    </w:p>
    <w:p>
      <w:pPr>
        <w:spacing w:after="0" w:before="0" w:line="240" w:lineRule="auto"/>
        <w:ind w:left="57"/>
        <w:jc w:val="left"/>
        <w:shd w:val="clear" w:fill="F2F2F2"/>
      </w:pPr>
      <w:r>
        <w:rPr>
          <w:rFonts w:ascii="Consolas" w:hAnsi="Consolas" w:cs="Consolas"/>
          <w:b w:val="0"/>
          <w:i w:val="0"/>
          <w:sz w:val="15"/>
        </w:rPr>
        <w:t xml:space="preserve">  portals/                        # Frontend portals</w:t>
      </w:r>
    </w:p>
    <w:p>
      <w:pPr>
        <w:spacing w:after="0" w:before="0" w:line="240" w:lineRule="auto"/>
        <w:ind w:left="57"/>
        <w:jc w:val="left"/>
        <w:shd w:val="clear" w:fill="F2F2F2"/>
      </w:pPr>
      <w:r>
        <w:rPr>
          <w:rFonts w:ascii="Consolas" w:hAnsi="Consolas" w:cs="Consolas"/>
          <w:b w:val="0"/>
          <w:i w:val="0"/>
          <w:sz w:val="15"/>
        </w:rPr>
        <w:t xml:space="preserve">    buyer-portal/                 # Buyer Dashboard</w:t>
      </w:r>
    </w:p>
    <w:p>
      <w:pPr>
        <w:spacing w:after="0" w:before="0" w:line="240" w:lineRule="auto"/>
        <w:ind w:left="57"/>
        <w:jc w:val="left"/>
        <w:shd w:val="clear" w:fill="F2F2F2"/>
      </w:pPr>
      <w:r>
        <w:rPr>
          <w:rFonts w:ascii="Consolas" w:hAnsi="Consolas" w:cs="Consolas"/>
          <w:b w:val="0"/>
          <w:i w:val="0"/>
          <w:sz w:val="15"/>
        </w:rPr>
        <w:t xml:space="preserve">    seller-portal/                # Seller Dashboard</w:t>
      </w:r>
    </w:p>
    <w:p>
      <w:pPr>
        <w:spacing w:after="0" w:before="0" w:line="240" w:lineRule="auto"/>
        <w:ind w:left="57"/>
        <w:jc w:val="left"/>
        <w:shd w:val="clear" w:fill="F2F2F2"/>
      </w:pPr>
      <w:r>
        <w:rPr>
          <w:rFonts w:ascii="Consolas" w:hAnsi="Consolas" w:cs="Consolas"/>
          <w:b w:val="0"/>
          <w:i w:val="0"/>
          <w:sz w:val="15"/>
        </w:rPr>
        <w:t xml:space="preserve">    logistics-portal/             # Logistics Provider Portal</w:t>
      </w:r>
    </w:p>
    <w:p>
      <w:pPr>
        <w:spacing w:after="0" w:before="0" w:line="240" w:lineRule="auto"/>
        <w:ind w:left="57"/>
        <w:jc w:val="left"/>
        <w:shd w:val="clear" w:fill="F2F2F2"/>
      </w:pPr>
      <w:r>
        <w:rPr>
          <w:rFonts w:ascii="Consolas" w:hAnsi="Consolas" w:cs="Consolas"/>
          <w:b w:val="0"/>
          <w:i w:val="0"/>
          <w:sz w:val="15"/>
        </w:rPr>
        <w:t xml:space="preserve">    qc-portal/                    # QC Portal</w:t>
      </w:r>
    </w:p>
    <w:p>
      <w:pPr>
        <w:spacing w:after="0" w:before="0" w:line="240" w:lineRule="auto"/>
        <w:ind w:left="57"/>
        <w:jc w:val="left"/>
        <w:shd w:val="clear" w:fill="F2F2F2"/>
      </w:pPr>
      <w:r>
        <w:rPr>
          <w:rFonts w:ascii="Consolas" w:hAnsi="Consolas" w:cs="Consolas"/>
          <w:b w:val="0"/>
          <w:i w:val="0"/>
          <w:sz w:val="15"/>
        </w:rPr>
        <w:t xml:space="preserve">    financier-portal/             # Financier Portal</w:t>
      </w:r>
    </w:p>
    <w:p>
      <w:pPr>
        <w:spacing w:after="0" w:before="0" w:line="240" w:lineRule="auto"/>
        <w:ind w:left="57"/>
        <w:jc w:val="left"/>
        <w:shd w:val="clear" w:fill="F2F2F2"/>
      </w:pPr>
      <w:r>
        <w:rPr>
          <w:rFonts w:ascii="Consolas" w:hAnsi="Consolas" w:cs="Consolas"/>
          <w:b w:val="0"/>
          <w:i w:val="0"/>
          <w:sz w:val="15"/>
        </w:rPr>
        <w:t xml:space="preserve">    government-portal/            # Government Portal</w:t>
      </w:r>
    </w:p>
    <w:p>
      <w:pPr>
        <w:spacing w:after="0" w:before="0" w:line="240" w:lineRule="auto"/>
        <w:ind w:left="57"/>
        <w:jc w:val="left"/>
        <w:shd w:val="clear" w:fill="F2F2F2"/>
      </w:pPr>
      <w:r>
        <w:rPr>
          <w:rFonts w:ascii="Consolas" w:hAnsi="Consolas" w:cs="Consolas"/>
          <w:b w:val="0"/>
          <w:i w:val="0"/>
          <w:sz w:val="15"/>
        </w:rPr>
        <w:t xml:space="preserve">    admin-portal/                 # Admin Portal</w:t>
      </w:r>
    </w:p>
    <w:p>
      <w:pPr>
        <w:spacing w:after="0" w:before="0" w:line="240" w:lineRule="auto"/>
        <w:ind w:left="57"/>
        <w:jc w:val="left"/>
        <w:shd w:val="clear" w:fill="F2F2F2"/>
      </w:pPr>
      <w:r>
        <w:rPr>
          <w:rFonts w:ascii="Consolas" w:hAnsi="Consolas" w:cs="Consolas"/>
          <w:b w:val="0"/>
          <w:i w:val="0"/>
          <w:sz w:val="15"/>
        </w:rPr>
        <w:t xml:space="preserve">    marketplace-partner-portal/   # Marketplace Partner Portal</w:t>
      </w:r>
    </w:p>
    <w:p>
      <w:pPr>
        <w:spacing w:after="0" w:before="0" w:line="240" w:lineRule="auto"/>
        <w:ind w:left="57"/>
        <w:jc w:val="left"/>
        <w:shd w:val="clear" w:fill="F2F2F2"/>
      </w:pPr>
      <w:r>
        <w:rPr>
          <w:rFonts w:ascii="Consolas" w:hAnsi="Consolas" w:cs="Consolas"/>
          <w:b w:val="0"/>
          <w:i w:val="0"/>
          <w:sz w:val="15"/>
        </w:rPr>
        <w:t xml:space="preserve">  mobile/                         # Mobile application</w:t>
      </w:r>
    </w:p>
    <w:p>
      <w:pPr>
        <w:spacing w:after="0" w:before="0" w:line="240" w:lineRule="auto"/>
        <w:ind w:left="57"/>
        <w:jc w:val="left"/>
        <w:shd w:val="clear" w:fill="F2F2F2"/>
      </w:pPr>
      <w:r>
        <w:rPr>
          <w:rFonts w:ascii="Consolas" w:hAnsi="Consolas" w:cs="Consolas"/>
          <w:b w:val="0"/>
          <w:i w:val="0"/>
          <w:sz w:val="15"/>
        </w:rPr>
        <w:t xml:space="preserve">    app/                          # React Native app</w:t>
      </w:r>
    </w:p>
    <w:p>
      <w:pPr>
        <w:spacing w:after="0" w:before="0" w:line="240" w:lineRule="auto"/>
        <w:ind w:left="57"/>
        <w:jc w:val="left"/>
        <w:shd w:val="clear" w:fill="F2F2F2"/>
      </w:pPr>
      <w:r>
        <w:rPr>
          <w:rFonts w:ascii="Consolas" w:hAnsi="Consolas" w:cs="Consolas"/>
          <w:b w:val="0"/>
          <w:i w:val="0"/>
          <w:sz w:val="15"/>
        </w:rPr>
        <w:t xml:space="preserve">    models/                       # Vosk, ONNX models</w:t>
      </w:r>
    </w:p>
    <w:p>
      <w:pPr>
        <w:spacing w:after="0" w:before="0" w:line="240" w:lineRule="auto"/>
        <w:ind w:left="57"/>
        <w:jc w:val="left"/>
        <w:shd w:val="clear" w:fill="F2F2F2"/>
      </w:pPr>
      <w:r>
        <w:rPr>
          <w:rFonts w:ascii="Consolas" w:hAnsi="Consolas" w:cs="Consolas"/>
          <w:b w:val="0"/>
          <w:i w:val="0"/>
          <w:sz w:val="15"/>
        </w:rPr>
        <w:t xml:space="preserve">    assets/                       # Images, fonts</w:t>
      </w:r>
    </w:p>
    <w:p>
      <w:pPr>
        <w:spacing w:after="0" w:before="0" w:line="240" w:lineRule="auto"/>
        <w:ind w:left="57"/>
        <w:jc w:val="left"/>
        <w:shd w:val="clear" w:fill="F2F2F2"/>
      </w:pPr>
      <w:r>
        <w:rPr>
          <w:rFonts w:ascii="Consolas" w:hAnsi="Consolas" w:cs="Consolas"/>
          <w:b w:val="0"/>
          <w:i w:val="0"/>
          <w:sz w:val="15"/>
        </w:rPr>
        <w:t xml:space="preserve">  desktop/                        # Desktop application</w:t>
      </w:r>
    </w:p>
    <w:p>
      <w:pPr>
        <w:spacing w:after="0" w:before="0" w:line="240" w:lineRule="auto"/>
        <w:ind w:left="57"/>
        <w:jc w:val="left"/>
        <w:shd w:val="clear" w:fill="F2F2F2"/>
      </w:pPr>
      <w:r>
        <w:rPr>
          <w:rFonts w:ascii="Consolas" w:hAnsi="Consolas" w:cs="Consolas"/>
          <w:b w:val="0"/>
          <w:i w:val="0"/>
          <w:sz w:val="15"/>
        </w:rPr>
        <w:t xml:space="preserve">    tauri/                        # Tauri v2 app</w:t>
      </w:r>
    </w:p>
    <w:p>
      <w:pPr>
        <w:spacing w:after="0" w:before="0" w:line="240" w:lineRule="auto"/>
        <w:ind w:left="57"/>
        <w:jc w:val="left"/>
        <w:shd w:val="clear" w:fill="F2F2F2"/>
      </w:pPr>
      <w:r>
        <w:rPr>
          <w:rFonts w:ascii="Consolas" w:hAnsi="Consolas" w:cs="Consolas"/>
          <w:b w:val="0"/>
          <w:i w:val="0"/>
          <w:sz w:val="15"/>
        </w:rPr>
        <w:t xml:space="preserve">  database/                       # Database schemas</w:t>
      </w:r>
    </w:p>
    <w:p>
      <w:pPr>
        <w:spacing w:after="0" w:before="0" w:line="240" w:lineRule="auto"/>
        <w:ind w:left="57"/>
        <w:jc w:val="left"/>
        <w:shd w:val="clear" w:fill="F2F2F2"/>
      </w:pPr>
      <w:r>
        <w:rPr>
          <w:rFonts w:ascii="Consolas" w:hAnsi="Consolas" w:cs="Consolas"/>
          <w:b w:val="0"/>
          <w:i w:val="0"/>
          <w:sz w:val="15"/>
        </w:rPr>
        <w:t xml:space="preserve">    migrations/                   # PostgreSQL migrations</w:t>
      </w:r>
    </w:p>
    <w:p>
      <w:pPr>
        <w:spacing w:after="0" w:before="0" w:line="240" w:lineRule="auto"/>
        <w:ind w:left="57"/>
        <w:jc w:val="left"/>
        <w:shd w:val="clear" w:fill="F2F2F2"/>
      </w:pPr>
      <w:r>
        <w:rPr>
          <w:rFonts w:ascii="Consolas" w:hAnsi="Consolas" w:cs="Consolas"/>
          <w:b w:val="0"/>
          <w:i w:val="0"/>
          <w:sz w:val="15"/>
        </w:rPr>
        <w:t xml:space="preserve">    schemas/                      # Schema definitions</w:t>
      </w:r>
    </w:p>
    <w:p>
      <w:pPr>
        <w:spacing w:after="0" w:before="0" w:line="240" w:lineRule="auto"/>
        <w:ind w:left="57"/>
        <w:jc w:val="left"/>
        <w:shd w:val="clear" w:fill="F2F2F2"/>
      </w:pPr>
      <w:r>
        <w:rPr>
          <w:rFonts w:ascii="Consolas" w:hAnsi="Consolas" w:cs="Consolas"/>
          <w:b w:val="0"/>
          <w:i w:val="0"/>
          <w:sz w:val="15"/>
        </w:rPr>
        <w:t xml:space="preserve">  config/                         # Configuration</w:t>
      </w:r>
    </w:p>
    <w:p>
      <w:pPr>
        <w:spacing w:after="0" w:before="0" w:line="240" w:lineRule="auto"/>
        <w:ind w:left="57"/>
        <w:jc w:val="left"/>
        <w:shd w:val="clear" w:fill="F2F2F2"/>
      </w:pPr>
      <w:r>
        <w:rPr>
          <w:rFonts w:ascii="Consolas" w:hAnsi="Consolas" w:cs="Consolas"/>
          <w:b w:val="0"/>
          <w:i w:val="0"/>
          <w:sz w:val="15"/>
        </w:rPr>
        <w:t xml:space="preserve">    governor.toml                 # Governor configuration</w:t>
      </w:r>
    </w:p>
    <w:p>
      <w:pPr>
        <w:spacing w:after="0" w:before="0" w:line="240" w:lineRule="auto"/>
        <w:ind w:left="57"/>
        <w:jc w:val="left"/>
        <w:shd w:val="clear" w:fill="F2F2F2"/>
      </w:pPr>
      <w:r>
        <w:rPr>
          <w:rFonts w:ascii="Consolas" w:hAnsi="Consolas" w:cs="Consolas"/>
          <w:b w:val="0"/>
          <w:i w:val="0"/>
          <w:sz w:val="15"/>
        </w:rPr>
        <w:t xml:space="preserve">    services.toml                 # Service configuration</w:t>
      </w:r>
    </w:p>
    <w:p>
      <w:pPr>
        <w:spacing w:after="0" w:before="0" w:line="240" w:lineRule="auto"/>
        <w:ind w:left="57"/>
        <w:jc w:val="left"/>
        <w:shd w:val="clear" w:fill="F2F2F2"/>
      </w:pPr>
      <w:r>
        <w:rPr>
          <w:rFonts w:ascii="Consolas" w:hAnsi="Consolas" w:cs="Consolas"/>
          <w:b w:val="0"/>
          <w:i w:val="0"/>
          <w:sz w:val="15"/>
        </w:rPr>
        <w:t xml:space="preserve">  policies/                       # OPA Rego policies</w:t>
      </w:r>
    </w:p>
    <w:p>
      <w:pPr>
        <w:spacing w:after="0" w:before="0" w:line="240" w:lineRule="auto"/>
        <w:ind w:left="57"/>
        <w:jc w:val="left"/>
        <w:shd w:val="clear" w:fill="F2F2F2"/>
      </w:pPr>
      <w:r>
        <w:rPr>
          <w:rFonts w:ascii="Consolas" w:hAnsi="Consolas" w:cs="Consolas"/>
          <w:b w:val="0"/>
          <w:i w:val="0"/>
          <w:sz w:val="15"/>
        </w:rPr>
        <w:t xml:space="preserve">  scripts/                        # Automation scripts</w:t>
      </w:r>
    </w:p>
    <w:p>
      <w:pPr>
        <w:spacing w:after="0" w:before="0" w:line="240" w:lineRule="auto"/>
        <w:ind w:left="57"/>
        <w:jc w:val="left"/>
        <w:shd w:val="clear" w:fill="F2F2F2"/>
      </w:pPr>
      <w:r>
        <w:rPr>
          <w:rFonts w:ascii="Consolas" w:hAnsi="Consolas" w:cs="Consolas"/>
          <w:b w:val="0"/>
          <w:i w:val="0"/>
          <w:sz w:val="15"/>
        </w:rPr>
        <w:t xml:space="preserve">    dev_start.sh                  # Start all services</w:t>
      </w:r>
    </w:p>
    <w:p>
      <w:pPr>
        <w:spacing w:after="0" w:before="0" w:line="240" w:lineRule="auto"/>
        <w:ind w:left="57"/>
        <w:jc w:val="left"/>
        <w:shd w:val="clear" w:fill="F2F2F2"/>
      </w:pPr>
      <w:r>
        <w:rPr>
          <w:rFonts w:ascii="Consolas" w:hAnsi="Consolas" w:cs="Consolas"/>
          <w:b w:val="0"/>
          <w:i w:val="0"/>
          <w:sz w:val="15"/>
        </w:rPr>
        <w:t xml:space="preserve">    health_check.sh               # Check all health endpoints</w:t>
      </w:r>
    </w:p>
    <w:p>
      <w:pPr>
        <w:spacing w:after="0" w:before="0" w:line="240" w:lineRule="auto"/>
        <w:ind w:left="57"/>
        <w:jc w:val="left"/>
        <w:shd w:val="clear" w:fill="F2F2F2"/>
      </w:pPr>
      <w:r>
        <w:rPr>
          <w:rFonts w:ascii="Consolas" w:hAnsi="Consolas" w:cs="Consolas"/>
          <w:b w:val="0"/>
          <w:i w:val="0"/>
          <w:sz w:val="15"/>
        </w:rPr>
        <w:t xml:space="preserve">    build_all.sh                  # Build all services</w:t>
      </w:r>
    </w:p>
    <w:p>
      <w:pPr>
        <w:spacing w:after="0" w:before="0" w:line="240" w:lineRule="auto"/>
        <w:ind w:left="57"/>
        <w:jc w:val="left"/>
        <w:shd w:val="clear" w:fill="F2F2F2"/>
      </w:pPr>
      <w:r>
        <w:rPr>
          <w:rFonts w:ascii="Consolas" w:hAnsi="Consolas" w:cs="Consolas"/>
          <w:b w:val="0"/>
          <w:i w:val="0"/>
          <w:sz w:val="15"/>
        </w:rPr>
        <w:t xml:space="preserve">    db_migrate.sh                 # Run database migrations</w:t>
      </w:r>
    </w:p>
    <w:p>
      <w:pPr>
        <w:spacing w:after="0" w:before="0" w:line="240" w:lineRule="auto"/>
        <w:ind w:left="57"/>
        <w:jc w:val="left"/>
        <w:shd w:val="clear" w:fill="F2F2F2"/>
      </w:pPr>
      <w:r>
        <w:rPr>
          <w:rFonts w:ascii="Consolas" w:hAnsi="Consolas" w:cs="Consolas"/>
          <w:b w:val="0"/>
          <w:i w:val="0"/>
          <w:sz w:val="15"/>
        </w:rPr>
        <w:t xml:space="preserve">    verify_deps.sh                # Verify dependencies</w:t>
      </w:r>
    </w:p>
    <w:p>
      <w:pPr>
        <w:spacing w:after="0" w:before="0" w:line="240" w:lineRule="auto"/>
        <w:ind w:left="57"/>
        <w:jc w:val="left"/>
        <w:shd w:val="clear" w:fill="F2F2F2"/>
      </w:pPr>
      <w:r>
        <w:rPr>
          <w:rFonts w:ascii="Consolas" w:hAnsi="Consolas" w:cs="Consolas"/>
          <w:b w:val="0"/>
          <w:i w:val="0"/>
          <w:sz w:val="15"/>
        </w:rPr>
        <w:t xml:space="preserve">  docs/                           # Documentation</w:t>
      </w:r>
    </w:p>
    <w:p>
      <w:pPr>
        <w:spacing w:after="0" w:before="0" w:line="240" w:lineRule="auto"/>
        <w:ind w:left="57"/>
        <w:jc w:val="left"/>
        <w:shd w:val="clear" w:fill="F2F2F2"/>
      </w:pPr>
      <w:r>
        <w:rPr>
          <w:rFonts w:ascii="Consolas" w:hAnsi="Consolas" w:cs="Consolas"/>
          <w:b w:val="0"/>
          <w:i w:val="0"/>
          <w:sz w:val="15"/>
        </w:rPr>
        <w:t xml:space="preserve">    api/                          # OpenAPI specifications</w:t>
      </w:r>
    </w:p>
    <w:p>
      <w:pPr>
        <w:spacing w:after="0" w:before="0" w:line="240" w:lineRule="auto"/>
        <w:ind w:left="57"/>
        <w:jc w:val="left"/>
        <w:shd w:val="clear" w:fill="F2F2F2"/>
      </w:pPr>
      <w:r>
        <w:rPr>
          <w:rFonts w:ascii="Consolas" w:hAnsi="Consolas" w:cs="Consolas"/>
          <w:b w:val="0"/>
          <w:i w:val="0"/>
          <w:sz w:val="15"/>
        </w:rPr>
        <w:t xml:space="preserve">    guides/                       # User guides</w:t>
      </w:r>
    </w:p>
    <w:p>
      <w:pPr>
        <w:spacing w:after="0" w:before="0" w:line="240" w:lineRule="auto"/>
        <w:ind w:left="57"/>
        <w:jc w:val="left"/>
        <w:shd w:val="clear" w:fill="F2F2F2"/>
      </w:pPr>
      <w:r>
        <w:rPr>
          <w:rFonts w:ascii="Consolas" w:hAnsi="Consolas" w:cs="Consolas"/>
          <w:b w:val="0"/>
          <w:i w:val="0"/>
          <w:sz w:val="15"/>
        </w:rPr>
        <w:t xml:space="preserve">  tests/                          # Tests</w:t>
      </w:r>
    </w:p>
    <w:p>
      <w:pPr>
        <w:spacing w:after="0" w:before="0" w:line="240" w:lineRule="auto"/>
        <w:ind w:left="57"/>
        <w:jc w:val="left"/>
        <w:shd w:val="clear" w:fill="F2F2F2"/>
      </w:pPr>
      <w:r>
        <w:rPr>
          <w:rFonts w:ascii="Consolas" w:hAnsi="Consolas" w:cs="Consolas"/>
          <w:b w:val="0"/>
          <w:i w:val="0"/>
          <w:sz w:val="15"/>
        </w:rPr>
        <w:t xml:space="preserve">    unit/                         # Unit tests</w:t>
      </w:r>
    </w:p>
    <w:p>
      <w:pPr>
        <w:spacing w:after="0" w:before="0" w:line="240" w:lineRule="auto"/>
        <w:ind w:left="57"/>
        <w:jc w:val="left"/>
        <w:shd w:val="clear" w:fill="F2F2F2"/>
      </w:pPr>
      <w:r>
        <w:rPr>
          <w:rFonts w:ascii="Consolas" w:hAnsi="Consolas" w:cs="Consolas"/>
          <w:b w:val="0"/>
          <w:i w:val="0"/>
          <w:sz w:val="15"/>
        </w:rPr>
        <w:t xml:space="preserve">    integration/                  # Integration tests</w:t>
      </w:r>
    </w:p>
    <w:p>
      <w:pPr>
        <w:spacing w:after="0" w:before="0" w:line="240" w:lineRule="auto"/>
        <w:ind w:left="57"/>
        <w:jc w:val="left"/>
        <w:shd w:val="clear" w:fill="F2F2F2"/>
      </w:pPr>
      <w:r>
        <w:rPr>
          <w:rFonts w:ascii="Consolas" w:hAnsi="Consolas" w:cs="Consolas"/>
          <w:b w:val="0"/>
          <w:i w:val="0"/>
          <w:sz w:val="15"/>
        </w:rPr>
        <w:t xml:space="preserve">    e2e/                          # End-to-end tests</w:t>
      </w:r>
    </w:p>
    <w:p>
      <w:pPr>
        <w:spacing w:after="120" w:before="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23.5.8.2 Key File Paths</w:t>
      </w:r>
    </w:p>
    <w:p>
      <w:pPr>
        <w:spacing w:after="80" w:line="293" w:lineRule="auto"/>
        <w:jc w:val="left"/>
      </w:pPr>
      <w:r>
        <w:rPr>
          <w:rFonts w:ascii="Times New Roman" w:hAnsi="Times New Roman" w:cs="Times New Roman"/>
          <w:b w:val="0"/>
          <w:i w:val="0"/>
          <w:sz w:val="22"/>
        </w:rPr>
        <w:t>Key configuration files: `/sgtx/config/governor.toml` (Governor configuration), `/sgtx/config/services.toml` (service configuration), `/sgtx/policies/` (OPA Rego policies including `inbox-scoring.rego` and the constitutional policy bundle), `/sgtx/core/ai/agents/registry.json` (AI agent registry), and the database migrations under `/sgtx/database/migrations/`.</w:t>
      </w:r>
    </w:p>
    <w:p>
      <w:pPr>
        <w:keepNext/>
        <w:spacing w:before="140" w:after="60"/>
        <w:outlineLvl w:val="3"/>
      </w:pPr>
      <w:r>
        <w:rPr>
          <w:rFonts w:ascii="Arial" w:hAnsi="Arial" w:cs="Arial"/>
          <w:b/>
          <w:i/>
          <w:color w:val="333333"/>
          <w:sz w:val="22"/>
        </w:rPr>
        <w:t>23.5.8.3 Automation Scripts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Script</w:t>
            </w:r>
          </w:p>
        </w:tc>
        <w:tc>
          <w:tcPr>
            <w:tcW w:type="dxa" w:w="4819"/>
            <w:shd w:val="clear" w:fill="D9E2F3"/>
          </w:tcPr>
          <w:p>
            <w:pPr>
              <w:spacing w:after="20" w:before="20" w:line="240" w:lineRule="auto"/>
            </w:pPr>
            <w:r/>
            <w:r>
              <w:rPr>
                <w:rFonts w:ascii="Arial" w:hAnsi="Arial" w:cs="Arial"/>
                <w:b/>
                <w:i w:val="0"/>
                <w:sz w:val="18"/>
              </w:rPr>
              <w:t>Purpose</w:t>
            </w:r>
          </w:p>
        </w:tc>
      </w:tr>
      <w:tr>
        <w:tc>
          <w:tcPr>
            <w:tcW w:type="dxa" w:w="4819"/>
          </w:tcPr>
          <w:p>
            <w:pPr>
              <w:spacing w:after="20" w:before="20" w:line="240" w:lineRule="auto"/>
            </w:pPr>
            <w:r/>
            <w:r>
              <w:rPr>
                <w:rFonts w:ascii="Arial" w:hAnsi="Arial" w:cs="Arial"/>
                <w:b w:val="0"/>
                <w:i w:val="0"/>
                <w:sz w:val="17"/>
              </w:rPr>
              <w:t>scripts/dev_start.sh</w:t>
            </w:r>
          </w:p>
        </w:tc>
        <w:tc>
          <w:tcPr>
            <w:tcW w:type="dxa" w:w="4819"/>
          </w:tcPr>
          <w:p>
            <w:pPr>
              <w:spacing w:after="20" w:before="20" w:line="240" w:lineRule="auto"/>
            </w:pPr>
            <w:r/>
            <w:r>
              <w:rPr>
                <w:rFonts w:ascii="Arial" w:hAnsi="Arial" w:cs="Arial"/>
                <w:b w:val="0"/>
                <w:i w:val="0"/>
                <w:sz w:val="17"/>
              </w:rPr>
              <w:t>Start all services</w:t>
            </w:r>
          </w:p>
        </w:tc>
      </w:tr>
      <w:tr>
        <w:tc>
          <w:tcPr>
            <w:tcW w:type="dxa" w:w="4819"/>
          </w:tcPr>
          <w:p>
            <w:pPr>
              <w:spacing w:after="20" w:before="20" w:line="240" w:lineRule="auto"/>
            </w:pPr>
            <w:r/>
            <w:r>
              <w:rPr>
                <w:rFonts w:ascii="Arial" w:hAnsi="Arial" w:cs="Arial"/>
                <w:b w:val="0"/>
                <w:i w:val="0"/>
                <w:sz w:val="17"/>
              </w:rPr>
              <w:t>scripts/health_check.sh</w:t>
            </w:r>
          </w:p>
        </w:tc>
        <w:tc>
          <w:tcPr>
            <w:tcW w:type="dxa" w:w="4819"/>
          </w:tcPr>
          <w:p>
            <w:pPr>
              <w:spacing w:after="20" w:before="20" w:line="240" w:lineRule="auto"/>
            </w:pPr>
            <w:r/>
            <w:r>
              <w:rPr>
                <w:rFonts w:ascii="Arial" w:hAnsi="Arial" w:cs="Arial"/>
                <w:b w:val="0"/>
                <w:i w:val="0"/>
                <w:sz w:val="17"/>
              </w:rPr>
              <w:t>Check all health endpoints</w:t>
            </w:r>
          </w:p>
        </w:tc>
      </w:tr>
      <w:tr>
        <w:tc>
          <w:tcPr>
            <w:tcW w:type="dxa" w:w="4819"/>
          </w:tcPr>
          <w:p>
            <w:pPr>
              <w:spacing w:after="20" w:before="20" w:line="240" w:lineRule="auto"/>
            </w:pPr>
            <w:r/>
            <w:r>
              <w:rPr>
                <w:rFonts w:ascii="Arial" w:hAnsi="Arial" w:cs="Arial"/>
                <w:b w:val="0"/>
                <w:i w:val="0"/>
                <w:sz w:val="17"/>
              </w:rPr>
              <w:t>scripts/build_all.sh</w:t>
            </w:r>
          </w:p>
        </w:tc>
        <w:tc>
          <w:tcPr>
            <w:tcW w:type="dxa" w:w="4819"/>
          </w:tcPr>
          <w:p>
            <w:pPr>
              <w:spacing w:after="20" w:before="20" w:line="240" w:lineRule="auto"/>
            </w:pPr>
            <w:r/>
            <w:r>
              <w:rPr>
                <w:rFonts w:ascii="Arial" w:hAnsi="Arial" w:cs="Arial"/>
                <w:b w:val="0"/>
                <w:i w:val="0"/>
                <w:sz w:val="17"/>
              </w:rPr>
              <w:t>Build all services</w:t>
            </w:r>
          </w:p>
        </w:tc>
      </w:tr>
      <w:tr>
        <w:tc>
          <w:tcPr>
            <w:tcW w:type="dxa" w:w="4819"/>
          </w:tcPr>
          <w:p>
            <w:pPr>
              <w:spacing w:after="20" w:before="20" w:line="240" w:lineRule="auto"/>
            </w:pPr>
            <w:r/>
            <w:r>
              <w:rPr>
                <w:rFonts w:ascii="Arial" w:hAnsi="Arial" w:cs="Arial"/>
                <w:b w:val="0"/>
                <w:i w:val="0"/>
                <w:sz w:val="17"/>
              </w:rPr>
              <w:t>scripts/db_migrate.sh</w:t>
            </w:r>
          </w:p>
        </w:tc>
        <w:tc>
          <w:tcPr>
            <w:tcW w:type="dxa" w:w="4819"/>
          </w:tcPr>
          <w:p>
            <w:pPr>
              <w:spacing w:after="20" w:before="20" w:line="240" w:lineRule="auto"/>
            </w:pPr>
            <w:r/>
            <w:r>
              <w:rPr>
                <w:rFonts w:ascii="Arial" w:hAnsi="Arial" w:cs="Arial"/>
                <w:b w:val="0"/>
                <w:i w:val="0"/>
                <w:sz w:val="17"/>
              </w:rPr>
              <w:t>Run database migrations</w:t>
            </w:r>
          </w:p>
        </w:tc>
      </w:tr>
      <w:tr>
        <w:tc>
          <w:tcPr>
            <w:tcW w:type="dxa" w:w="4819"/>
          </w:tcPr>
          <w:p>
            <w:pPr>
              <w:spacing w:after="20" w:before="20" w:line="240" w:lineRule="auto"/>
            </w:pPr>
            <w:r/>
            <w:r>
              <w:rPr>
                <w:rFonts w:ascii="Arial" w:hAnsi="Arial" w:cs="Arial"/>
                <w:b w:val="0"/>
                <w:i w:val="0"/>
                <w:sz w:val="17"/>
              </w:rPr>
              <w:t>scripts/verify_deps.sh</w:t>
            </w:r>
          </w:p>
        </w:tc>
        <w:tc>
          <w:tcPr>
            <w:tcW w:type="dxa" w:w="4819"/>
          </w:tcPr>
          <w:p>
            <w:pPr>
              <w:spacing w:after="20" w:before="20" w:line="240" w:lineRule="auto"/>
            </w:pPr>
            <w:r/>
            <w:r>
              <w:rPr>
                <w:rFonts w:ascii="Arial" w:hAnsi="Arial" w:cs="Arial"/>
                <w:b w:val="0"/>
                <w:i w:val="0"/>
                <w:sz w:val="17"/>
              </w:rPr>
              <w:t>Verify dependencies</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23.5.8.4 Environment Variables</w:t>
      </w:r>
    </w:p>
    <w:p>
      <w:pPr>
        <w:spacing w:after="80" w:line="293" w:lineRule="auto"/>
        <w:jc w:val="left"/>
      </w:pPr>
      <w:r>
        <w:rPr>
          <w:rFonts w:ascii="Times New Roman" w:hAnsi="Times New Roman" w:cs="Times New Roman"/>
          <w:b w:val="0"/>
          <w:i w:val="0"/>
          <w:sz w:val="22"/>
        </w:rPr>
        <w:t>Service configuration is file-based (TOML) with environment-variable overrides for deployment-specific values (database DSN, NATS URLs, ZITADEL issuer, AI provider endpoints, printer endpoints). Secrets are never committed; the configuration reference lives with the deployment runbooks.</w:t>
      </w:r>
    </w:p>
    <w:p>
      <w:pPr>
        <w:keepNext/>
        <w:spacing w:before="140" w:after="60"/>
        <w:outlineLvl w:val="3"/>
      </w:pPr>
      <w:r>
        <w:rPr>
          <w:rFonts w:ascii="Arial" w:hAnsi="Arial" w:cs="Arial"/>
          <w:b/>
          <w:i/>
          <w:color w:val="333333"/>
          <w:sz w:val="22"/>
        </w:rPr>
        <w:t>23.5.8.5 Terminal Integration Checklist</w:t>
      </w:r>
    </w:p>
    <w:p>
      <w:pPr>
        <w:spacing w:after="80" w:line="293" w:lineRule="auto"/>
        <w:ind w:left="283"/>
        <w:jc w:val="left"/>
      </w:pPr>
      <w:r>
        <w:rPr>
          <w:rFonts w:ascii="Times New Roman" w:hAnsi="Times New Roman" w:cs="Times New Roman"/>
          <w:b w:val="0"/>
          <w:i w:val="0"/>
          <w:sz w:val="22"/>
        </w:rPr>
        <w:t>- Terminal API endpoint: `GET /v1/release/authorization?ustn={USTN}&amp;container={CONTAINER}`.</w:t>
      </w:r>
    </w:p>
    <w:p>
      <w:pPr>
        <w:spacing w:after="80" w:line="293" w:lineRule="auto"/>
        <w:ind w:left="283"/>
        <w:jc w:val="left"/>
      </w:pPr>
      <w:r>
        <w:rPr>
          <w:rFonts w:ascii="Times New Roman" w:hAnsi="Times New Roman" w:cs="Times New Roman"/>
          <w:b w:val="0"/>
          <w:i w:val="0"/>
          <w:sz w:val="22"/>
        </w:rPr>
        <w:t>- Rate limit: 60 requests per minute per terminal.</w:t>
      </w:r>
    </w:p>
    <w:p>
      <w:pPr>
        <w:spacing w:after="80" w:line="293" w:lineRule="auto"/>
        <w:ind w:left="283"/>
        <w:jc w:val="left"/>
      </w:pPr>
      <w:r>
        <w:rPr>
          <w:rFonts w:ascii="Times New Roman" w:hAnsi="Times New Roman" w:cs="Times New Roman"/>
          <w:b w:val="0"/>
          <w:i w:val="0"/>
          <w:sz w:val="22"/>
        </w:rPr>
        <w:t>- Certificate renewal: 1 year; the platform sends a renewal reminder 30 days before expiry.</w:t>
      </w:r>
    </w:p>
    <w:p>
      <w:pPr>
        <w:spacing w:after="80" w:line="293" w:lineRule="auto"/>
        <w:jc w:val="left"/>
      </w:pPr>
      <w:r>
        <w:rPr>
          <w:rFonts w:ascii="Times New Roman" w:hAnsi="Times New Roman" w:cs="Times New Roman"/>
          <w:b w:val="0"/>
          <w:i w:val="0"/>
          <w:sz w:val="22"/>
        </w:rPr>
        <w:t>Terminal operators (port community systems, gate automation) consume the release-authorization endpoint to verify container release tokens (16.11.3 / 16.12.3) before allowing gate-out; every call is authenticated with the terminal's client certificate and logged.</w:t>
      </w:r>
    </w:p>
    <w:p>
      <w:pPr>
        <w:keepNext/>
        <w:spacing w:before="360" w:after="160"/>
        <w:outlineLvl w:val="0"/>
      </w:pPr>
      <w:r>
        <w:rPr>
          <w:rFonts w:ascii="Arial" w:hAnsi="Arial" w:cs="Arial"/>
          <w:b/>
          <w:i w:val="0"/>
          <w:color w:val="1F3864"/>
          <w:sz w:val="32"/>
        </w:rPr>
        <w:t>24. Canonical Terminology &amp; Implementation Roadmap</w:t>
      </w:r>
    </w:p>
    <w:p>
      <w:pPr>
        <w:spacing w:after="80" w:line="293" w:lineRule="auto"/>
        <w:jc w:val="left"/>
      </w:pPr>
      <w:r>
        <w:rPr>
          <w:rFonts w:ascii="Times New Roman" w:hAnsi="Times New Roman" w:cs="Times New Roman"/>
          <w:b w:val="0"/>
          <w:i w:val="0"/>
          <w:sz w:val="22"/>
        </w:rPr>
        <w:t>This section fixes the normative vocabulary of the platform and translates the blueprint into a time-bound, risk-managed implementation plan. The glossary is binding for code, APIs, UI copy, documentation, and regulatory filings; the roadmap, dependency map, per-domain checklists, external readiness scorecard, and zero-cost implementation checklist together define how the platform is delivered and accepted.</w:t>
      </w:r>
    </w:p>
    <w:p>
      <w:pPr>
        <w:keepNext/>
        <w:spacing w:before="240" w:after="100"/>
        <w:outlineLvl w:val="1"/>
      </w:pPr>
      <w:r>
        <w:rPr>
          <w:rFonts w:ascii="Arial" w:hAnsi="Arial" w:cs="Arial"/>
          <w:b/>
          <w:i w:val="0"/>
          <w:color w:val="2E528F"/>
          <w:sz w:val="26"/>
        </w:rPr>
        <w:t>24.1 Glossary of Defined Terms</w:t>
      </w:r>
    </w:p>
    <w:p>
      <w:pPr>
        <w:spacing w:after="80" w:line="293" w:lineRule="auto"/>
        <w:jc w:val="left"/>
      </w:pPr>
      <w:r>
        <w:rPr>
          <w:rFonts w:ascii="Times New Roman" w:hAnsi="Times New Roman" w:cs="Times New Roman"/>
          <w:b w:val="0"/>
          <w:i w:val="0"/>
          <w:sz w:val="22"/>
        </w:rPr>
        <w:t>This glossary defines every key term, acronym, and concept used throughout the SGTX blueprint. It is a living document, maintained under versioned change control, with terms presented in a single normative table. The glossary serves multiple audiences: new users (quick reference for unfamiliar terms), developers (consistent terminology across code, documentation, and APIs), compliance officers (clear definitions for regulatory filings), and implementers (accurate understanding of system components). Each term carries a concise plain-language definition, its context of use in SGTX, and, where applicable, a cross-reference to the section that specifies it.</w:t>
      </w:r>
    </w:p>
    <w:p>
      <w:pPr>
        <w:spacing w:after="80" w:line="293" w:lineRule="auto"/>
        <w:jc w:val="left"/>
      </w:pPr>
      <w:r>
        <w:rPr>
          <w:rFonts w:ascii="Times New Roman" w:hAnsi="Times New Roman" w:cs="Times New Roman"/>
          <w:b w:val="0"/>
          <w:i w:val="0"/>
          <w:sz w:val="22"/>
        </w:rPr>
        <w:t>The following terms are normative. Teams must use these exact terms in code, APIs, UI copy, and documentation; synonyms create ambiguity that the constitution explicitly forbids (never collapse distinct states).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Term</w:t>
            </w:r>
          </w:p>
        </w:tc>
        <w:tc>
          <w:tcPr>
            <w:tcW w:type="dxa" w:w="4819"/>
            <w:shd w:val="clear" w:fill="D9E2F3"/>
          </w:tcPr>
          <w:p>
            <w:pPr>
              <w:spacing w:after="20" w:before="20" w:line="240" w:lineRule="auto"/>
            </w:pPr>
            <w:r/>
            <w:r>
              <w:rPr>
                <w:rFonts w:ascii="Arial" w:hAnsi="Arial" w:cs="Arial"/>
                <w:b/>
                <w:i w:val="0"/>
                <w:sz w:val="18"/>
              </w:rPr>
              <w:t>Definition</w:t>
            </w:r>
          </w:p>
        </w:tc>
      </w:tr>
      <w:tr>
        <w:tc>
          <w:tcPr>
            <w:tcW w:type="dxa" w:w="4819"/>
          </w:tcPr>
          <w:p>
            <w:pPr>
              <w:spacing w:after="20" w:before="20" w:line="240" w:lineRule="auto"/>
            </w:pPr>
            <w:r/>
            <w:r>
              <w:rPr>
                <w:rFonts w:ascii="Arial" w:hAnsi="Arial" w:cs="Arial"/>
                <w:b w:val="0"/>
                <w:i w:val="0"/>
                <w:sz w:val="17"/>
              </w:rPr>
              <w:t>USTN</w:t>
            </w:r>
          </w:p>
        </w:tc>
        <w:tc>
          <w:tcPr>
            <w:tcW w:type="dxa" w:w="4819"/>
          </w:tcPr>
          <w:p>
            <w:pPr>
              <w:spacing w:after="20" w:before="20" w:line="240" w:lineRule="auto"/>
            </w:pPr>
            <w:r/>
            <w:r>
              <w:rPr>
                <w:rFonts w:ascii="Arial" w:hAnsi="Arial" w:cs="Arial"/>
                <w:b w:val="0"/>
                <w:i w:val="0"/>
                <w:sz w:val="17"/>
              </w:rPr>
              <w:t>Universal Shipment Tracking Number — canonical namespace for every trade. Minted at the authoritative lock point.</w:t>
            </w:r>
          </w:p>
        </w:tc>
      </w:tr>
      <w:tr>
        <w:tc>
          <w:tcPr>
            <w:tcW w:type="dxa" w:w="4819"/>
          </w:tcPr>
          <w:p>
            <w:pPr>
              <w:spacing w:after="20" w:before="20" w:line="240" w:lineRule="auto"/>
            </w:pPr>
            <w:r/>
            <w:r>
              <w:rPr>
                <w:rFonts w:ascii="Arial" w:hAnsi="Arial" w:cs="Arial"/>
                <w:b w:val="0"/>
                <w:i w:val="0"/>
                <w:sz w:val="17"/>
              </w:rPr>
              <w:t>GTID</w:t>
            </w:r>
          </w:p>
        </w:tc>
        <w:tc>
          <w:tcPr>
            <w:tcW w:type="dxa" w:w="4819"/>
          </w:tcPr>
          <w:p>
            <w:pPr>
              <w:spacing w:after="20" w:before="20" w:line="240" w:lineRule="auto"/>
            </w:pPr>
            <w:r/>
            <w:r>
              <w:rPr>
                <w:rFonts w:ascii="Arial" w:hAnsi="Arial" w:cs="Arial"/>
                <w:b w:val="0"/>
                <w:i w:val="0"/>
                <w:sz w:val="17"/>
              </w:rPr>
              <w:t>Global Trade Entity ID — unique identifier for every tenant (buyer, seller, LSP, bank, etc.).</w:t>
            </w:r>
          </w:p>
        </w:tc>
      </w:tr>
      <w:tr>
        <w:tc>
          <w:tcPr>
            <w:tcW w:type="dxa" w:w="4819"/>
          </w:tcPr>
          <w:p>
            <w:pPr>
              <w:spacing w:after="20" w:before="20" w:line="240" w:lineRule="auto"/>
            </w:pPr>
            <w:r/>
            <w:r>
              <w:rPr>
                <w:rFonts w:ascii="Arial" w:hAnsi="Arial" w:cs="Arial"/>
                <w:b w:val="0"/>
                <w:i w:val="0"/>
                <w:sz w:val="17"/>
              </w:rPr>
              <w:t>MicroUSTN</w:t>
            </w:r>
          </w:p>
        </w:tc>
        <w:tc>
          <w:tcPr>
            <w:tcW w:type="dxa" w:w="4819"/>
          </w:tcPr>
          <w:p>
            <w:pPr>
              <w:spacing w:after="20" w:before="20" w:line="240" w:lineRule="auto"/>
            </w:pPr>
            <w:r/>
            <w:r>
              <w:rPr>
                <w:rFonts w:ascii="Arial" w:hAnsi="Arial" w:cs="Arial"/>
                <w:b w:val="0"/>
                <w:i w:val="0"/>
                <w:sz w:val="17"/>
              </w:rPr>
              <w:t>USTN-format identifier for a distressed partial sale lot, linked to its parent USTN.</w:t>
            </w:r>
          </w:p>
        </w:tc>
      </w:tr>
      <w:tr>
        <w:tc>
          <w:tcPr>
            <w:tcW w:type="dxa" w:w="4819"/>
          </w:tcPr>
          <w:p>
            <w:pPr>
              <w:spacing w:after="20" w:before="20" w:line="240" w:lineRule="auto"/>
            </w:pPr>
            <w:r/>
            <w:r>
              <w:rPr>
                <w:rFonts w:ascii="Arial" w:hAnsi="Arial" w:cs="Arial"/>
                <w:b w:val="0"/>
                <w:i w:val="0"/>
                <w:sz w:val="17"/>
              </w:rPr>
              <w:t>CFR</w:t>
            </w:r>
          </w:p>
        </w:tc>
        <w:tc>
          <w:tcPr>
            <w:tcW w:type="dxa" w:w="4819"/>
          </w:tcPr>
          <w:p>
            <w:pPr>
              <w:spacing w:after="20" w:before="20" w:line="240" w:lineRule="auto"/>
            </w:pPr>
            <w:r/>
            <w:r>
              <w:rPr>
                <w:rFonts w:ascii="Arial" w:hAnsi="Arial" w:cs="Arial"/>
                <w:b w:val="0"/>
                <w:i w:val="0"/>
                <w:sz w:val="17"/>
              </w:rPr>
              <w:t>Conditional Financing Reference — non-binding, indicative financing pre-clearance issued before contract lock.</w:t>
            </w:r>
          </w:p>
        </w:tc>
      </w:tr>
      <w:tr>
        <w:tc>
          <w:tcPr>
            <w:tcW w:type="dxa" w:w="4819"/>
          </w:tcPr>
          <w:p>
            <w:pPr>
              <w:spacing w:after="20" w:before="20" w:line="240" w:lineRule="auto"/>
            </w:pPr>
            <w:r/>
            <w:r>
              <w:rPr>
                <w:rFonts w:ascii="Arial" w:hAnsi="Arial" w:cs="Arial"/>
                <w:b w:val="0"/>
                <w:i w:val="0"/>
                <w:sz w:val="17"/>
              </w:rPr>
              <w:t>FeeLock</w:t>
            </w:r>
          </w:p>
        </w:tc>
        <w:tc>
          <w:tcPr>
            <w:tcW w:type="dxa" w:w="4819"/>
          </w:tcPr>
          <w:p>
            <w:pPr>
              <w:spacing w:after="20" w:before="20" w:line="240" w:lineRule="auto"/>
            </w:pPr>
            <w:r/>
            <w:r>
              <w:rPr>
                <w:rFonts w:ascii="Arial" w:hAnsi="Arial" w:cs="Arial"/>
                <w:b w:val="0"/>
                <w:i w:val="0"/>
                <w:sz w:val="17"/>
              </w:rPr>
              <w:t>Non-custodial fee locking mechanism. SGTX fee locked as an instruction; NATS KV is authoritative; collected by bank at settlement.</w:t>
            </w:r>
          </w:p>
        </w:tc>
      </w:tr>
      <w:tr>
        <w:tc>
          <w:tcPr>
            <w:tcW w:type="dxa" w:w="4819"/>
          </w:tcPr>
          <w:p>
            <w:pPr>
              <w:spacing w:after="20" w:before="20" w:line="240" w:lineRule="auto"/>
            </w:pPr>
            <w:r/>
            <w:r>
              <w:rPr>
                <w:rFonts w:ascii="Arial" w:hAnsi="Arial" w:cs="Arial"/>
                <w:b w:val="0"/>
                <w:i w:val="0"/>
                <w:sz w:val="17"/>
              </w:rPr>
              <w:t>Governor</w:t>
            </w:r>
          </w:p>
        </w:tc>
        <w:tc>
          <w:tcPr>
            <w:tcW w:type="dxa" w:w="4819"/>
          </w:tcPr>
          <w:p>
            <w:pPr>
              <w:spacing w:after="20" w:before="20" w:line="240" w:lineRule="auto"/>
            </w:pPr>
            <w:r/>
            <w:r>
              <w:rPr>
                <w:rFonts w:ascii="Arial" w:hAnsi="Arial" w:cs="Arial"/>
                <w:b w:val="0"/>
                <w:i w:val="0"/>
                <w:sz w:val="17"/>
              </w:rPr>
              <w:t>Constitutional enforcement engine. Evaluates every irreversible action against G1–G7 principles.</w:t>
            </w:r>
          </w:p>
        </w:tc>
      </w:tr>
      <w:tr>
        <w:tc>
          <w:tcPr>
            <w:tcW w:type="dxa" w:w="4819"/>
          </w:tcPr>
          <w:p>
            <w:pPr>
              <w:spacing w:after="20" w:before="20" w:line="240" w:lineRule="auto"/>
            </w:pPr>
            <w:r/>
            <w:r>
              <w:rPr>
                <w:rFonts w:ascii="Arial" w:hAnsi="Arial" w:cs="Arial"/>
                <w:b w:val="0"/>
                <w:i w:val="0"/>
                <w:sz w:val="17"/>
              </w:rPr>
              <w:t>OPA</w:t>
            </w:r>
          </w:p>
        </w:tc>
        <w:tc>
          <w:tcPr>
            <w:tcW w:type="dxa" w:w="4819"/>
          </w:tcPr>
          <w:p>
            <w:pPr>
              <w:spacing w:after="20" w:before="20" w:line="240" w:lineRule="auto"/>
            </w:pPr>
            <w:r/>
            <w:r>
              <w:rPr>
                <w:rFonts w:ascii="Arial" w:hAnsi="Arial" w:cs="Arial"/>
                <w:b w:val="0"/>
                <w:i w:val="0"/>
                <w:sz w:val="17"/>
              </w:rPr>
              <w:t>Open Policy Agent. Evaluates decisions against authored policies. Sidecar in the Governor pipeline.</w:t>
            </w:r>
          </w:p>
        </w:tc>
      </w:tr>
      <w:tr>
        <w:tc>
          <w:tcPr>
            <w:tcW w:type="dxa" w:w="4819"/>
          </w:tcPr>
          <w:p>
            <w:pPr>
              <w:spacing w:after="20" w:before="20" w:line="240" w:lineRule="auto"/>
            </w:pPr>
            <w:r/>
            <w:r>
              <w:rPr>
                <w:rFonts w:ascii="Arial" w:hAnsi="Arial" w:cs="Arial"/>
                <w:b w:val="0"/>
                <w:i w:val="0"/>
                <w:sz w:val="17"/>
              </w:rPr>
              <w:t>WasmEdge</w:t>
            </w:r>
          </w:p>
        </w:tc>
        <w:tc>
          <w:tcPr>
            <w:tcW w:type="dxa" w:w="4819"/>
          </w:tcPr>
          <w:p>
            <w:pPr>
              <w:spacing w:after="20" w:before="20" w:line="240" w:lineRule="auto"/>
            </w:pPr>
            <w:r/>
            <w:r>
              <w:rPr>
                <w:rFonts w:ascii="Arial" w:hAnsi="Arial" w:cs="Arial"/>
                <w:b w:val="0"/>
                <w:i w:val="0"/>
                <w:sz w:val="17"/>
              </w:rPr>
              <w:t>WebAssembly runtime executing constitutional rules as deterministic, sandboxed modules.</w:t>
            </w:r>
          </w:p>
        </w:tc>
      </w:tr>
      <w:tr>
        <w:tc>
          <w:tcPr>
            <w:tcW w:type="dxa" w:w="4819"/>
          </w:tcPr>
          <w:p>
            <w:pPr>
              <w:spacing w:after="20" w:before="20" w:line="240" w:lineRule="auto"/>
            </w:pPr>
            <w:r/>
            <w:r>
              <w:rPr>
                <w:rFonts w:ascii="Arial" w:hAnsi="Arial" w:cs="Arial"/>
                <w:b w:val="0"/>
                <w:i w:val="0"/>
                <w:sz w:val="17"/>
              </w:rPr>
              <w:t>Loom</w:t>
            </w:r>
          </w:p>
        </w:tc>
        <w:tc>
          <w:tcPr>
            <w:tcW w:type="dxa" w:w="4819"/>
          </w:tcPr>
          <w:p>
            <w:pPr>
              <w:spacing w:after="20" w:before="20" w:line="240" w:lineRule="auto"/>
            </w:pPr>
            <w:r/>
            <w:r>
              <w:rPr>
                <w:rFonts w:ascii="Arial" w:hAnsi="Arial" w:cs="Arial"/>
                <w:b w:val="0"/>
                <w:i w:val="0"/>
                <w:sz w:val="17"/>
              </w:rPr>
              <w:t>SHA-256 hash-chained immutable audit log. Every Governor decision appended; hourly verification.</w:t>
            </w:r>
          </w:p>
        </w:tc>
      </w:tr>
      <w:tr>
        <w:tc>
          <w:tcPr>
            <w:tcW w:type="dxa" w:w="4819"/>
          </w:tcPr>
          <w:p>
            <w:pPr>
              <w:spacing w:after="20" w:before="20" w:line="240" w:lineRule="auto"/>
            </w:pPr>
            <w:r/>
            <w:r>
              <w:rPr>
                <w:rFonts w:ascii="Arial" w:hAnsi="Arial" w:cs="Arial"/>
                <w:b w:val="0"/>
                <w:i w:val="0"/>
                <w:sz w:val="17"/>
              </w:rPr>
              <w:t>Event Spine</w:t>
            </w:r>
          </w:p>
        </w:tc>
        <w:tc>
          <w:tcPr>
            <w:tcW w:type="dxa" w:w="4819"/>
          </w:tcPr>
          <w:p>
            <w:pPr>
              <w:spacing w:after="20" w:before="20" w:line="240" w:lineRule="auto"/>
            </w:pPr>
            <w:r/>
            <w:r>
              <w:rPr>
                <w:rFonts w:ascii="Arial" w:hAnsi="Arial" w:cs="Arial"/>
                <w:b w:val="0"/>
                <w:i w:val="0"/>
                <w:sz w:val="17"/>
              </w:rPr>
              <w:t>Immutable, append-only, hash-chained log of every significant event.</w:t>
            </w:r>
          </w:p>
        </w:tc>
      </w:tr>
      <w:tr>
        <w:tc>
          <w:tcPr>
            <w:tcW w:type="dxa" w:w="4819"/>
          </w:tcPr>
          <w:p>
            <w:pPr>
              <w:spacing w:after="20" w:before="20" w:line="240" w:lineRule="auto"/>
            </w:pPr>
            <w:r/>
            <w:r>
              <w:rPr>
                <w:rFonts w:ascii="Arial" w:hAnsi="Arial" w:cs="Arial"/>
                <w:b w:val="0"/>
                <w:i w:val="0"/>
                <w:sz w:val="17"/>
              </w:rPr>
              <w:t>State Vector</w:t>
            </w:r>
          </w:p>
        </w:tc>
        <w:tc>
          <w:tcPr>
            <w:tcW w:type="dxa" w:w="4819"/>
          </w:tcPr>
          <w:p>
            <w:pPr>
              <w:spacing w:after="20" w:before="20" w:line="240" w:lineRule="auto"/>
            </w:pPr>
            <w:r/>
            <w:r>
              <w:rPr>
                <w:rFonts w:ascii="Arial" w:hAnsi="Arial" w:cs="Arial"/>
                <w:b w:val="0"/>
                <w:i w:val="0"/>
                <w:sz w:val="17"/>
              </w:rPr>
              <w:t>Multi-domain per-USTN state tracking (execution, loading, customs, documents, transport, QC, cold-chain, delivery, risk). Each domain advances through F0–F5 finality levels.</w:t>
            </w:r>
          </w:p>
        </w:tc>
      </w:tr>
      <w:tr>
        <w:tc>
          <w:tcPr>
            <w:tcW w:type="dxa" w:w="4819"/>
          </w:tcPr>
          <w:p>
            <w:pPr>
              <w:spacing w:after="20" w:before="20" w:line="240" w:lineRule="auto"/>
            </w:pPr>
            <w:r/>
            <w:r>
              <w:rPr>
                <w:rFonts w:ascii="Arial" w:hAnsi="Arial" w:cs="Arial"/>
                <w:b w:val="0"/>
                <w:i w:val="0"/>
                <w:sz w:val="17"/>
              </w:rPr>
              <w:t>Bank Settlement Gateway</w:t>
            </w:r>
          </w:p>
        </w:tc>
        <w:tc>
          <w:tcPr>
            <w:tcW w:type="dxa" w:w="4819"/>
          </w:tcPr>
          <w:p>
            <w:pPr>
              <w:spacing w:after="20" w:before="20" w:line="240" w:lineRule="auto"/>
            </w:pPr>
            <w:r/>
            <w:r>
              <w:rPr>
                <w:rFonts w:ascii="Arial" w:hAnsi="Arial" w:cs="Arial"/>
                <w:b w:val="0"/>
                <w:i w:val="0"/>
                <w:sz w:val="17"/>
              </w:rPr>
              <w:t>Non-custodial pipeline processing payment instructions before bank submission; a 6-stage pipeline.</w:t>
            </w:r>
          </w:p>
        </w:tc>
      </w:tr>
      <w:tr>
        <w:tc>
          <w:tcPr>
            <w:tcW w:type="dxa" w:w="4819"/>
          </w:tcPr>
          <w:p>
            <w:pPr>
              <w:spacing w:after="20" w:before="20" w:line="240" w:lineRule="auto"/>
            </w:pPr>
            <w:r/>
            <w:r>
              <w:rPr>
                <w:rFonts w:ascii="Arial" w:hAnsi="Arial" w:cs="Arial"/>
                <w:b w:val="0"/>
                <w:i w:val="0"/>
                <w:sz w:val="17"/>
              </w:rPr>
              <w:t>Settlement Orchestration Control Plane</w:t>
            </w:r>
          </w:p>
        </w:tc>
        <w:tc>
          <w:tcPr>
            <w:tcW w:type="dxa" w:w="4819"/>
          </w:tcPr>
          <w:p>
            <w:pPr>
              <w:spacing w:after="20" w:before="20" w:line="240" w:lineRule="auto"/>
            </w:pPr>
            <w:r/>
            <w:r>
              <w:rPr>
                <w:rFonts w:ascii="Arial" w:hAnsi="Arial" w:cs="Arial"/>
                <w:b w:val="0"/>
                <w:i w:val="0"/>
                <w:sz w:val="17"/>
              </w:rPr>
              <w:t>Manages multi-leg payment instructions with atomicity policies.</w:t>
            </w:r>
          </w:p>
        </w:tc>
      </w:tr>
      <w:tr>
        <w:tc>
          <w:tcPr>
            <w:tcW w:type="dxa" w:w="4819"/>
          </w:tcPr>
          <w:p>
            <w:pPr>
              <w:spacing w:after="20" w:before="20" w:line="240" w:lineRule="auto"/>
            </w:pPr>
            <w:r/>
            <w:r>
              <w:rPr>
                <w:rFonts w:ascii="Arial" w:hAnsi="Arial" w:cs="Arial"/>
                <w:b w:val="0"/>
                <w:i w:val="0"/>
                <w:sz w:val="17"/>
              </w:rPr>
              <w:t>canClose</w:t>
            </w:r>
          </w:p>
        </w:tc>
        <w:tc>
          <w:tcPr>
            <w:tcW w:type="dxa" w:w="4819"/>
          </w:tcPr>
          <w:p>
            <w:pPr>
              <w:spacing w:after="20" w:before="20" w:line="240" w:lineRule="auto"/>
            </w:pPr>
            <w:r/>
            <w:r>
              <w:rPr>
                <w:rFonts w:ascii="Arial" w:hAnsi="Arial" w:cs="Arial"/>
                <w:b w:val="0"/>
                <w:i w:val="0"/>
                <w:sz w:val="17"/>
              </w:rPr>
              <w:t>Pure function evaluating the 7 closure conditions. Returns true only if all are met.</w:t>
            </w:r>
          </w:p>
        </w:tc>
      </w:tr>
      <w:tr>
        <w:tc>
          <w:tcPr>
            <w:tcW w:type="dxa" w:w="4819"/>
          </w:tcPr>
          <w:p>
            <w:pPr>
              <w:spacing w:after="20" w:before="20" w:line="240" w:lineRule="auto"/>
            </w:pPr>
            <w:r/>
            <w:r>
              <w:rPr>
                <w:rFonts w:ascii="Arial" w:hAnsi="Arial" w:cs="Arial"/>
                <w:b w:val="0"/>
                <w:i w:val="0"/>
                <w:sz w:val="17"/>
              </w:rPr>
              <w:t>Regulatory Snapshot</w:t>
            </w:r>
          </w:p>
        </w:tc>
        <w:tc>
          <w:tcPr>
            <w:tcW w:type="dxa" w:w="4819"/>
          </w:tcPr>
          <w:p>
            <w:pPr>
              <w:spacing w:after="20" w:before="20" w:line="240" w:lineRule="auto"/>
            </w:pPr>
            <w:r/>
            <w:r>
              <w:rPr>
                <w:rFonts w:ascii="Arial" w:hAnsi="Arial" w:cs="Arial"/>
                <w:b w:val="0"/>
                <w:i w:val="0"/>
                <w:sz w:val="17"/>
              </w:rPr>
              <w:t>Immutable per-trade regulatory capture at contract lock. SHA-256 hashed.</w:t>
            </w:r>
          </w:p>
        </w:tc>
      </w:tr>
      <w:tr>
        <w:tc>
          <w:tcPr>
            <w:tcW w:type="dxa" w:w="4819"/>
          </w:tcPr>
          <w:p>
            <w:pPr>
              <w:spacing w:after="20" w:before="20" w:line="240" w:lineRule="auto"/>
            </w:pPr>
            <w:r/>
            <w:r>
              <w:rPr>
                <w:rFonts w:ascii="Arial" w:hAnsi="Arial" w:cs="Arial"/>
                <w:b w:val="0"/>
                <w:i w:val="0"/>
                <w:sz w:val="17"/>
              </w:rPr>
              <w:t>Transaction Twin</w:t>
            </w:r>
          </w:p>
        </w:tc>
        <w:tc>
          <w:tcPr>
            <w:tcW w:type="dxa" w:w="4819"/>
          </w:tcPr>
          <w:p>
            <w:pPr>
              <w:spacing w:after="20" w:before="20" w:line="240" w:lineRule="auto"/>
            </w:pPr>
            <w:r/>
            <w:r>
              <w:rPr>
                <w:rFonts w:ascii="Arial" w:hAnsi="Arial" w:cs="Arial"/>
                <w:b w:val="0"/>
                <w:i w:val="0"/>
                <w:sz w:val="17"/>
              </w:rPr>
              <w:t>Live digital twin connecting plan, actual, verified evidence, predictions, and exceptions per USTN; 14-domain digital twin for post-closure observation.</w:t>
            </w:r>
          </w:p>
        </w:tc>
      </w:tr>
      <w:tr>
        <w:tc>
          <w:tcPr>
            <w:tcW w:type="dxa" w:w="4819"/>
          </w:tcPr>
          <w:p>
            <w:pPr>
              <w:spacing w:after="20" w:before="20" w:line="240" w:lineRule="auto"/>
            </w:pPr>
            <w:r/>
            <w:r>
              <w:rPr>
                <w:rFonts w:ascii="Arial" w:hAnsi="Arial" w:cs="Arial"/>
                <w:b w:val="0"/>
                <w:i w:val="0"/>
                <w:sz w:val="17"/>
              </w:rPr>
              <w:t>Recovery Vault</w:t>
            </w:r>
          </w:p>
        </w:tc>
        <w:tc>
          <w:tcPr>
            <w:tcW w:type="dxa" w:w="4819"/>
          </w:tcPr>
          <w:p>
            <w:pPr>
              <w:spacing w:after="20" w:before="20" w:line="240" w:lineRule="auto"/>
            </w:pPr>
            <w:r/>
            <w:r>
              <w:rPr>
                <w:rFonts w:ascii="Arial" w:hAnsi="Arial" w:cs="Arial"/>
                <w:b w:val="0"/>
                <w:i w:val="0"/>
                <w:sz w:val="17"/>
              </w:rPr>
              <w:t>Content-addressable (SHA-256) evidence storage.</w:t>
            </w:r>
          </w:p>
        </w:tc>
      </w:tr>
      <w:tr>
        <w:tc>
          <w:tcPr>
            <w:tcW w:type="dxa" w:w="4819"/>
          </w:tcPr>
          <w:p>
            <w:pPr>
              <w:spacing w:after="20" w:before="20" w:line="240" w:lineRule="auto"/>
            </w:pPr>
            <w:r/>
            <w:r>
              <w:rPr>
                <w:rFonts w:ascii="Arial" w:hAnsi="Arial" w:cs="Arial"/>
                <w:b w:val="0"/>
                <w:i w:val="0"/>
                <w:sz w:val="17"/>
              </w:rPr>
              <w:t>Smart Inbox</w:t>
            </w:r>
          </w:p>
        </w:tc>
        <w:tc>
          <w:tcPr>
            <w:tcW w:type="dxa" w:w="4819"/>
          </w:tcPr>
          <w:p>
            <w:pPr>
              <w:spacing w:after="20" w:before="20" w:line="240" w:lineRule="auto"/>
            </w:pPr>
            <w:r/>
            <w:r>
              <w:rPr>
                <w:rFonts w:ascii="Arial" w:hAnsi="Arial" w:cs="Arial"/>
                <w:b w:val="0"/>
                <w:i w:val="0"/>
                <w:sz w:val="17"/>
              </w:rPr>
              <w:t>Action-first default landing surface; items structured as WHAT → WHY → DEADLINE → ACTION.</w:t>
            </w:r>
          </w:p>
        </w:tc>
      </w:tr>
      <w:tr>
        <w:tc>
          <w:tcPr>
            <w:tcW w:type="dxa" w:w="4819"/>
          </w:tcPr>
          <w:p>
            <w:pPr>
              <w:spacing w:after="20" w:before="20" w:line="240" w:lineRule="auto"/>
            </w:pPr>
            <w:r/>
            <w:r>
              <w:rPr>
                <w:rFonts w:ascii="Arial" w:hAnsi="Arial" w:cs="Arial"/>
                <w:b w:val="0"/>
                <w:i w:val="0"/>
                <w:sz w:val="17"/>
              </w:rPr>
              <w:t>Trade Command Center (TCC)</w:t>
            </w:r>
          </w:p>
        </w:tc>
        <w:tc>
          <w:tcPr>
            <w:tcW w:type="dxa" w:w="4819"/>
          </w:tcPr>
          <w:p>
            <w:pPr>
              <w:spacing w:after="20" w:before="20" w:line="240" w:lineRule="auto"/>
            </w:pPr>
            <w:r/>
            <w:r>
              <w:rPr>
                <w:rFonts w:ascii="Arial" w:hAnsi="Arial" w:cs="Arial"/>
                <w:b w:val="0"/>
                <w:i w:val="0"/>
                <w:sz w:val="17"/>
              </w:rPr>
              <w:t>Universal role-adaptive landing dashboard with executive cards, quick actions, AI assistant, activity feed, and Trade Health Score.</w:t>
            </w:r>
          </w:p>
        </w:tc>
      </w:tr>
      <w:tr>
        <w:tc>
          <w:tcPr>
            <w:tcW w:type="dxa" w:w="4819"/>
          </w:tcPr>
          <w:p>
            <w:pPr>
              <w:spacing w:after="20" w:before="20" w:line="240" w:lineRule="auto"/>
            </w:pPr>
            <w:r/>
            <w:r>
              <w:rPr>
                <w:rFonts w:ascii="Arial" w:hAnsi="Arial" w:cs="Arial"/>
                <w:b w:val="0"/>
                <w:i w:val="0"/>
                <w:sz w:val="17"/>
              </w:rPr>
              <w:t>Trade Health Score</w:t>
            </w:r>
          </w:p>
        </w:tc>
        <w:tc>
          <w:tcPr>
            <w:tcW w:type="dxa" w:w="4819"/>
          </w:tcPr>
          <w:p>
            <w:pPr>
              <w:spacing w:after="20" w:before="20" w:line="240" w:lineRule="auto"/>
            </w:pPr>
            <w:r/>
            <w:r>
              <w:rPr>
                <w:rFonts w:ascii="Arial" w:hAnsi="Arial" w:cs="Arial"/>
                <w:b w:val="0"/>
                <w:i w:val="0"/>
                <w:sz w:val="17"/>
              </w:rPr>
              <w:t>0–100 composite per USTN: Compliance 20%, Documentation 20%, Logistics 15%, Payment 15%, Risk 20%, Timeline 10%.</w:t>
            </w:r>
          </w:p>
        </w:tc>
      </w:tr>
      <w:tr>
        <w:tc>
          <w:tcPr>
            <w:tcW w:type="dxa" w:w="4819"/>
          </w:tcPr>
          <w:p>
            <w:pPr>
              <w:spacing w:after="20" w:before="20" w:line="240" w:lineRule="auto"/>
            </w:pPr>
            <w:r/>
            <w:r>
              <w:rPr>
                <w:rFonts w:ascii="Arial" w:hAnsi="Arial" w:cs="Arial"/>
                <w:b w:val="0"/>
                <w:i w:val="0"/>
                <w:sz w:val="17"/>
              </w:rPr>
              <w:t>TRI</w:t>
            </w:r>
          </w:p>
        </w:tc>
        <w:tc>
          <w:tcPr>
            <w:tcW w:type="dxa" w:w="4819"/>
          </w:tcPr>
          <w:p>
            <w:pPr>
              <w:spacing w:after="20" w:before="20" w:line="240" w:lineRule="auto"/>
            </w:pPr>
            <w:r/>
            <w:r>
              <w:rPr>
                <w:rFonts w:ascii="Arial" w:hAnsi="Arial" w:cs="Arial"/>
                <w:b w:val="0"/>
                <w:i w:val="0"/>
                <w:sz w:val="17"/>
              </w:rPr>
              <w:t>Trade Reliability Index — tenant reliability score across five weighted components; raw score private, badge public.</w:t>
            </w:r>
          </w:p>
        </w:tc>
      </w:tr>
      <w:tr>
        <w:tc>
          <w:tcPr>
            <w:tcW w:type="dxa" w:w="4819"/>
          </w:tcPr>
          <w:p>
            <w:pPr>
              <w:spacing w:after="20" w:before="20" w:line="240" w:lineRule="auto"/>
            </w:pPr>
            <w:r/>
            <w:r>
              <w:rPr>
                <w:rFonts w:ascii="Arial" w:hAnsi="Arial" w:cs="Arial"/>
                <w:b w:val="0"/>
                <w:i w:val="0"/>
                <w:sz w:val="17"/>
              </w:rPr>
              <w:t>Trust Passport</w:t>
            </w:r>
          </w:p>
        </w:tc>
        <w:tc>
          <w:tcPr>
            <w:tcW w:type="dxa" w:w="4819"/>
          </w:tcPr>
          <w:p>
            <w:pPr>
              <w:spacing w:after="20" w:before="20" w:line="240" w:lineRule="auto"/>
            </w:pPr>
            <w:r/>
            <w:r>
              <w:rPr>
                <w:rFonts w:ascii="Arial" w:hAnsi="Arial" w:cs="Arial"/>
                <w:b w:val="0"/>
                <w:i w:val="0"/>
                <w:sz w:val="17"/>
              </w:rPr>
              <w:t>Consent-based share of tenant trust data with verification tokens and revocation.</w:t>
            </w:r>
          </w:p>
        </w:tc>
      </w:tr>
      <w:tr>
        <w:tc>
          <w:tcPr>
            <w:tcW w:type="dxa" w:w="4819"/>
          </w:tcPr>
          <w:p>
            <w:pPr>
              <w:spacing w:after="20" w:before="20" w:line="240" w:lineRule="auto"/>
            </w:pPr>
            <w:r/>
            <w:r>
              <w:rPr>
                <w:rFonts w:ascii="Arial" w:hAnsi="Arial" w:cs="Arial"/>
                <w:b w:val="0"/>
                <w:i w:val="0"/>
                <w:sz w:val="17"/>
              </w:rPr>
              <w:t>RIA</w:t>
            </w:r>
          </w:p>
        </w:tc>
        <w:tc>
          <w:tcPr>
            <w:tcW w:type="dxa" w:w="4819"/>
          </w:tcPr>
          <w:p>
            <w:pPr>
              <w:spacing w:after="20" w:before="20" w:line="240" w:lineRule="auto"/>
            </w:pPr>
            <w:r/>
            <w:r>
              <w:rPr>
                <w:rFonts w:ascii="Arial" w:hAnsi="Arial" w:cs="Arial"/>
                <w:b w:val="0"/>
                <w:i w:val="0"/>
                <w:sz w:val="17"/>
              </w:rPr>
              <w:t>Regulatory Intelligence Agent (A3) — jurisdiction, treatment, MRL, and document requirement intelligence.</w:t>
            </w:r>
          </w:p>
        </w:tc>
      </w:tr>
      <w:tr>
        <w:tc>
          <w:tcPr>
            <w:tcW w:type="dxa" w:w="4819"/>
          </w:tcPr>
          <w:p>
            <w:pPr>
              <w:spacing w:after="20" w:before="20" w:line="240" w:lineRule="auto"/>
            </w:pPr>
            <w:r/>
            <w:r>
              <w:rPr>
                <w:rFonts w:ascii="Arial" w:hAnsi="Arial" w:cs="Arial"/>
                <w:b w:val="0"/>
                <w:i w:val="0"/>
                <w:sz w:val="17"/>
              </w:rPr>
              <w:t>GNN</w:t>
            </w:r>
          </w:p>
        </w:tc>
        <w:tc>
          <w:tcPr>
            <w:tcW w:type="dxa" w:w="4819"/>
          </w:tcPr>
          <w:p>
            <w:pPr>
              <w:spacing w:after="20" w:before="20" w:line="240" w:lineRule="auto"/>
            </w:pPr>
            <w:r/>
            <w:r>
              <w:rPr>
                <w:rFonts w:ascii="Arial" w:hAnsi="Arial" w:cs="Arial"/>
                <w:b w:val="0"/>
                <w:i w:val="0"/>
                <w:sz w:val="17"/>
              </w:rPr>
              <w:t>Graph Neural Network risk engine; trust analytics for known parties only; never recommends or ranks.</w:t>
            </w:r>
          </w:p>
        </w:tc>
      </w:tr>
      <w:tr>
        <w:tc>
          <w:tcPr>
            <w:tcW w:type="dxa" w:w="4819"/>
          </w:tcPr>
          <w:p>
            <w:pPr>
              <w:spacing w:after="20" w:before="20" w:line="240" w:lineRule="auto"/>
            </w:pPr>
            <w:r/>
            <w:r>
              <w:rPr>
                <w:rFonts w:ascii="Arial" w:hAnsi="Arial" w:cs="Arial"/>
                <w:b w:val="0"/>
                <w:i w:val="0"/>
                <w:sz w:val="17"/>
              </w:rPr>
              <w:t>Data-Sovereign Financing</w:t>
            </w:r>
          </w:p>
        </w:tc>
        <w:tc>
          <w:tcPr>
            <w:tcW w:type="dxa" w:w="4819"/>
          </w:tcPr>
          <w:p>
            <w:pPr>
              <w:spacing w:after="20" w:before="20" w:line="240" w:lineRule="auto"/>
            </w:pPr>
            <w:r/>
            <w:r>
              <w:rPr>
                <w:rFonts w:ascii="Arial" w:hAnsi="Arial" w:cs="Arial"/>
                <w:b w:val="0"/>
                <w:i w:val="0"/>
                <w:sz w:val="17"/>
              </w:rPr>
              <w:t>Each party declares only its own financing need; never visible to the counterparty unless explicitly shared.</w:t>
            </w:r>
          </w:p>
        </w:tc>
      </w:tr>
      <w:tr>
        <w:tc>
          <w:tcPr>
            <w:tcW w:type="dxa" w:w="4819"/>
          </w:tcPr>
          <w:p>
            <w:pPr>
              <w:spacing w:after="20" w:before="20" w:line="240" w:lineRule="auto"/>
            </w:pPr>
            <w:r/>
            <w:r>
              <w:rPr>
                <w:rFonts w:ascii="Arial" w:hAnsi="Arial" w:cs="Arial"/>
                <w:b w:val="0"/>
                <w:i w:val="0"/>
                <w:sz w:val="17"/>
              </w:rPr>
              <w:t>service_capabilities</w:t>
            </w:r>
          </w:p>
        </w:tc>
        <w:tc>
          <w:tcPr>
            <w:tcW w:type="dxa" w:w="4819"/>
          </w:tcPr>
          <w:p>
            <w:pPr>
              <w:spacing w:after="20" w:before="20" w:line="240" w:lineRule="auto"/>
            </w:pPr>
            <w:r/>
            <w:r>
              <w:rPr>
                <w:rFonts w:ascii="Arial" w:hAnsi="Arial" w:cs="Arial"/>
                <w:b w:val="0"/>
                <w:i w:val="0"/>
                <w:sz w:val="17"/>
              </w:rPr>
              <w:t>Tenant array of offered services (TRUCKING, CUSTOMS_BROKERAGE, …) driving unified portal rendering.</w:t>
            </w:r>
          </w:p>
        </w:tc>
      </w:tr>
      <w:tr>
        <w:tc>
          <w:tcPr>
            <w:tcW w:type="dxa" w:w="4819"/>
          </w:tcPr>
          <w:p>
            <w:pPr>
              <w:spacing w:after="20" w:before="20" w:line="240" w:lineRule="auto"/>
            </w:pPr>
            <w:r/>
            <w:r>
              <w:rPr>
                <w:rFonts w:ascii="Arial" w:hAnsi="Arial" w:cs="Arial"/>
                <w:b w:val="0"/>
                <w:i w:val="0"/>
                <w:sz w:val="17"/>
              </w:rPr>
              <w:t>Provider Port Coverage</w:t>
            </w:r>
          </w:p>
        </w:tc>
        <w:tc>
          <w:tcPr>
            <w:tcW w:type="dxa" w:w="4819"/>
          </w:tcPr>
          <w:p>
            <w:pPr>
              <w:spacing w:after="20" w:before="20" w:line="240" w:lineRule="auto"/>
            </w:pPr>
            <w:r/>
            <w:r>
              <w:rPr>
                <w:rFonts w:ascii="Arial" w:hAnsi="Arial" w:cs="Arial"/>
                <w:b w:val="0"/>
                <w:i w:val="0"/>
                <w:sz w:val="17"/>
              </w:rPr>
              <w:t>Validation record that a provider can deliver a specific service at a specific port.</w:t>
            </w:r>
          </w:p>
        </w:tc>
      </w:tr>
      <w:tr>
        <w:tc>
          <w:tcPr>
            <w:tcW w:type="dxa" w:w="4819"/>
          </w:tcPr>
          <w:p>
            <w:pPr>
              <w:spacing w:after="20" w:before="20" w:line="240" w:lineRule="auto"/>
            </w:pPr>
            <w:r/>
            <w:r>
              <w:rPr>
                <w:rFonts w:ascii="Arial" w:hAnsi="Arial" w:cs="Arial"/>
                <w:b w:val="0"/>
                <w:i w:val="0"/>
                <w:sz w:val="17"/>
              </w:rPr>
              <w:t>Core_READY (CORE_READY)</w:t>
            </w:r>
          </w:p>
        </w:tc>
        <w:tc>
          <w:tcPr>
            <w:tcW w:type="dxa" w:w="4819"/>
          </w:tcPr>
          <w:p>
            <w:pPr>
              <w:spacing w:after="20" w:before="20" w:line="240" w:lineRule="auto"/>
            </w:pPr>
            <w:r/>
            <w:r>
              <w:rPr>
                <w:rFonts w:ascii="Arial" w:hAnsi="Arial" w:cs="Arial"/>
                <w:b w:val="0"/>
                <w:i w:val="0"/>
                <w:sz w:val="17"/>
              </w:rPr>
              <w:t>Deployment state: implemented, tested, passes adversarial test suite.</w:t>
            </w:r>
          </w:p>
        </w:tc>
      </w:tr>
      <w:tr>
        <w:tc>
          <w:tcPr>
            <w:tcW w:type="dxa" w:w="4819"/>
          </w:tcPr>
          <w:p>
            <w:pPr>
              <w:spacing w:after="20" w:before="20" w:line="240" w:lineRule="auto"/>
            </w:pPr>
            <w:r/>
            <w:r>
              <w:rPr>
                <w:rFonts w:ascii="Arial" w:hAnsi="Arial" w:cs="Arial"/>
                <w:b w:val="0"/>
                <w:i w:val="0"/>
                <w:sz w:val="17"/>
              </w:rPr>
              <w:t>PRODUCTION_CONNECTED</w:t>
            </w:r>
          </w:p>
        </w:tc>
        <w:tc>
          <w:tcPr>
            <w:tcW w:type="dxa" w:w="4819"/>
          </w:tcPr>
          <w:p>
            <w:pPr>
              <w:spacing w:after="20" w:before="20" w:line="240" w:lineRule="auto"/>
            </w:pPr>
            <w:r/>
            <w:r>
              <w:rPr>
                <w:rFonts w:ascii="Arial" w:hAnsi="Arial" w:cs="Arial"/>
                <w:b w:val="0"/>
                <w:i w:val="0"/>
                <w:sz w:val="17"/>
              </w:rPr>
              <w:t>Deployment state: live production integration active with all 4 readiness dimensions (TECHNICAL, LEGAL, OPERATIONAL, COMMERCIAL).</w:t>
            </w:r>
          </w:p>
        </w:tc>
      </w:tr>
      <w:tr>
        <w:tc>
          <w:tcPr>
            <w:tcW w:type="dxa" w:w="4819"/>
          </w:tcPr>
          <w:p>
            <w:pPr>
              <w:spacing w:after="20" w:before="20" w:line="240" w:lineRule="auto"/>
            </w:pPr>
            <w:r/>
            <w:r>
              <w:rPr>
                <w:rFonts w:ascii="Arial" w:hAnsi="Arial" w:cs="Arial"/>
                <w:b w:val="0"/>
                <w:i w:val="0"/>
                <w:sz w:val="17"/>
              </w:rPr>
              <w:t>LEGAL_AUTHORIZATION_REQUIRED</w:t>
            </w:r>
          </w:p>
        </w:tc>
        <w:tc>
          <w:tcPr>
            <w:tcW w:type="dxa" w:w="4819"/>
          </w:tcPr>
          <w:p>
            <w:pPr>
              <w:spacing w:after="20" w:before="20" w:line="240" w:lineRule="auto"/>
            </w:pPr>
            <w:r/>
            <w:r>
              <w:rPr>
                <w:rFonts w:ascii="Arial" w:hAnsi="Arial" w:cs="Arial"/>
                <w:b w:val="0"/>
                <w:i w:val="0"/>
                <w:sz w:val="17"/>
              </w:rPr>
              <w:t>Deployment state: technical ready, awaiting legal/regulatory approval.</w:t>
            </w:r>
          </w:p>
        </w:tc>
      </w:tr>
      <w:tr>
        <w:tc>
          <w:tcPr>
            <w:tcW w:type="dxa" w:w="4819"/>
          </w:tcPr>
          <w:p>
            <w:pPr>
              <w:spacing w:after="20" w:before="20" w:line="240" w:lineRule="auto"/>
            </w:pPr>
            <w:r/>
            <w:r>
              <w:rPr>
                <w:rFonts w:ascii="Arial" w:hAnsi="Arial" w:cs="Arial"/>
                <w:b w:val="0"/>
                <w:i w:val="0"/>
                <w:sz w:val="17"/>
              </w:rPr>
              <w:t>A0–A5</w:t>
            </w:r>
          </w:p>
        </w:tc>
        <w:tc>
          <w:tcPr>
            <w:tcW w:type="dxa" w:w="4819"/>
          </w:tcPr>
          <w:p>
            <w:pPr>
              <w:spacing w:after="20" w:before="20" w:line="240" w:lineRule="auto"/>
            </w:pPr>
            <w:r/>
            <w:r>
              <w:rPr>
                <w:rFonts w:ascii="Arial" w:hAnsi="Arial" w:cs="Arial"/>
                <w:b w:val="0"/>
                <w:i w:val="0"/>
                <w:sz w:val="17"/>
              </w:rPr>
              <w:t>AI Authority Ladder: None, Advisory, Constraining, Escalation, Execution-within-bounds, Forbidden.</w:t>
            </w:r>
          </w:p>
        </w:tc>
      </w:tr>
      <w:tr>
        <w:tc>
          <w:tcPr>
            <w:tcW w:type="dxa" w:w="4819"/>
          </w:tcPr>
          <w:p>
            <w:pPr>
              <w:spacing w:after="20" w:before="20" w:line="240" w:lineRule="auto"/>
            </w:pPr>
            <w:r/>
            <w:r>
              <w:rPr>
                <w:rFonts w:ascii="Arial" w:hAnsi="Arial" w:cs="Arial"/>
                <w:b w:val="0"/>
                <w:i w:val="0"/>
                <w:sz w:val="17"/>
              </w:rPr>
              <w:t>G1–G7</w:t>
            </w:r>
          </w:p>
        </w:tc>
        <w:tc>
          <w:tcPr>
            <w:tcW w:type="dxa" w:w="4819"/>
          </w:tcPr>
          <w:p>
            <w:pPr>
              <w:spacing w:after="20" w:before="20" w:line="240" w:lineRule="auto"/>
            </w:pPr>
            <w:r/>
            <w:r>
              <w:rPr>
                <w:rFonts w:ascii="Arial" w:hAnsi="Arial" w:cs="Arial"/>
                <w:b w:val="0"/>
                <w:i w:val="0"/>
                <w:sz w:val="17"/>
              </w:rPr>
              <w:t>Governor principles: Execution Gated, OPA Enforced, WasmEdge Constitutional, Loom Audited, Multisig, AI Advisory Only, Bank-Authoritative Settlement.</w:t>
            </w:r>
          </w:p>
        </w:tc>
      </w:tr>
      <w:tr>
        <w:tc>
          <w:tcPr>
            <w:tcW w:type="dxa" w:w="4819"/>
          </w:tcPr>
          <w:p>
            <w:pPr>
              <w:spacing w:after="20" w:before="20" w:line="240" w:lineRule="auto"/>
            </w:pPr>
            <w:r/>
            <w:r>
              <w:rPr>
                <w:rFonts w:ascii="Arial" w:hAnsi="Arial" w:cs="Arial"/>
                <w:b w:val="0"/>
                <w:i w:val="0"/>
                <w:sz w:val="17"/>
              </w:rPr>
              <w:t>Non-custodial</w:t>
            </w:r>
          </w:p>
        </w:tc>
        <w:tc>
          <w:tcPr>
            <w:tcW w:type="dxa" w:w="4819"/>
          </w:tcPr>
          <w:p>
            <w:pPr>
              <w:spacing w:after="20" w:before="20" w:line="240" w:lineRule="auto"/>
            </w:pPr>
            <w:r/>
            <w:r>
              <w:rPr>
                <w:rFonts w:ascii="Arial" w:hAnsi="Arial" w:cs="Arial"/>
                <w:b w:val="0"/>
                <w:i w:val="0"/>
                <w:sz w:val="17"/>
              </w:rPr>
              <w:t>Architectural property: SGTX never holds customer funds. Not a legal classification.</w:t>
            </w:r>
          </w:p>
        </w:tc>
      </w:tr>
      <w:tr>
        <w:tc>
          <w:tcPr>
            <w:tcW w:type="dxa" w:w="4819"/>
          </w:tcPr>
          <w:p>
            <w:pPr>
              <w:spacing w:after="20" w:before="20" w:line="240" w:lineRule="auto"/>
            </w:pPr>
            <w:r/>
            <w:r>
              <w:rPr>
                <w:rFonts w:ascii="Arial" w:hAnsi="Arial" w:cs="Arial"/>
                <w:b w:val="0"/>
                <w:i w:val="0"/>
                <w:sz w:val="17"/>
              </w:rPr>
              <w:t>Non-marketplace</w:t>
            </w:r>
          </w:p>
        </w:tc>
        <w:tc>
          <w:tcPr>
            <w:tcW w:type="dxa" w:w="4819"/>
          </w:tcPr>
          <w:p>
            <w:pPr>
              <w:spacing w:after="20" w:before="20" w:line="240" w:lineRule="auto"/>
            </w:pPr>
            <w:r/>
            <w:r>
              <w:rPr>
                <w:rFonts w:ascii="Arial" w:hAnsi="Arial" w:cs="Arial"/>
                <w:b w:val="0"/>
                <w:i w:val="0"/>
                <w:sz w:val="17"/>
              </w:rPr>
              <w:t>No public matching, ranking, or recommendation. Relationship-controlled.</w:t>
            </w:r>
          </w:p>
        </w:tc>
      </w:tr>
      <w:tr>
        <w:tc>
          <w:tcPr>
            <w:tcW w:type="dxa" w:w="4819"/>
          </w:tcPr>
          <w:p>
            <w:pPr>
              <w:spacing w:after="20" w:before="20" w:line="240" w:lineRule="auto"/>
            </w:pPr>
            <w:r/>
            <w:r>
              <w:rPr>
                <w:rFonts w:ascii="Arial" w:hAnsi="Arial" w:cs="Arial"/>
                <w:b w:val="0"/>
                <w:i w:val="0"/>
                <w:sz w:val="17"/>
              </w:rPr>
              <w:t>Closure-is-earned</w:t>
            </w:r>
          </w:p>
        </w:tc>
        <w:tc>
          <w:tcPr>
            <w:tcW w:type="dxa" w:w="4819"/>
          </w:tcPr>
          <w:p>
            <w:pPr>
              <w:spacing w:after="20" w:before="20" w:line="240" w:lineRule="auto"/>
            </w:pPr>
            <w:r/>
            <w:r>
              <w:rPr>
                <w:rFonts w:ascii="Arial" w:hAnsi="Arial" w:cs="Arial"/>
                <w:b w:val="0"/>
                <w:i w:val="0"/>
                <w:sz w:val="17"/>
              </w:rPr>
              <w:t>USTN closed only when all 7 conditions met. Cannot be forced.</w:t>
            </w:r>
          </w:p>
        </w:tc>
      </w:tr>
      <w:tr>
        <w:tc>
          <w:tcPr>
            <w:tcW w:type="dxa" w:w="4819"/>
          </w:tcPr>
          <w:p>
            <w:pPr>
              <w:spacing w:after="20" w:before="20" w:line="240" w:lineRule="auto"/>
            </w:pPr>
            <w:r/>
            <w:r>
              <w:rPr>
                <w:rFonts w:ascii="Arial" w:hAnsi="Arial" w:cs="Arial"/>
                <w:b w:val="0"/>
                <w:i w:val="0"/>
                <w:sz w:val="17"/>
              </w:rPr>
              <w:t>Recovery ≠ erasure</w:t>
            </w:r>
          </w:p>
        </w:tc>
        <w:tc>
          <w:tcPr>
            <w:tcW w:type="dxa" w:w="4819"/>
          </w:tcPr>
          <w:p>
            <w:pPr>
              <w:spacing w:after="20" w:before="20" w:line="240" w:lineRule="auto"/>
            </w:pPr>
            <w:r/>
            <w:r>
              <w:rPr>
                <w:rFonts w:ascii="Arial" w:hAnsi="Arial" w:cs="Arial"/>
                <w:b w:val="0"/>
                <w:i w:val="0"/>
                <w:sz w:val="17"/>
              </w:rPr>
              <w:t>Recovery restores state but never erases audit history.</w:t>
            </w:r>
          </w:p>
        </w:tc>
      </w:tr>
      <w:tr>
        <w:tc>
          <w:tcPr>
            <w:tcW w:type="dxa" w:w="4819"/>
          </w:tcPr>
          <w:p>
            <w:pPr>
              <w:spacing w:after="20" w:before="20" w:line="240" w:lineRule="auto"/>
            </w:pPr>
            <w:r/>
            <w:r>
              <w:rPr>
                <w:rFonts w:ascii="Arial" w:hAnsi="Arial" w:cs="Arial"/>
                <w:b w:val="0"/>
                <w:i w:val="0"/>
                <w:sz w:val="17"/>
              </w:rPr>
              <w:t>4-Dimension External Readiness</w:t>
            </w:r>
          </w:p>
        </w:tc>
        <w:tc>
          <w:tcPr>
            <w:tcW w:type="dxa" w:w="4819"/>
          </w:tcPr>
          <w:p>
            <w:pPr>
              <w:spacing w:after="20" w:before="20" w:line="240" w:lineRule="auto"/>
            </w:pPr>
            <w:r/>
            <w:r>
              <w:rPr>
                <w:rFonts w:ascii="Arial" w:hAnsi="Arial" w:cs="Arial"/>
                <w:b w:val="0"/>
                <w:i w:val="0"/>
                <w:sz w:val="17"/>
              </w:rPr>
              <w:t>TECHNICAL + LEGAL + OPERATIONAL + COMMERCIAL; "Connected" requires all four.</w:t>
            </w:r>
          </w:p>
        </w:tc>
      </w:tr>
      <w:tr>
        <w:tc>
          <w:tcPr>
            <w:tcW w:type="dxa" w:w="4819"/>
          </w:tcPr>
          <w:p>
            <w:pPr>
              <w:spacing w:after="20" w:before="20" w:line="240" w:lineRule="auto"/>
            </w:pPr>
            <w:r/>
            <w:r>
              <w:rPr>
                <w:rFonts w:ascii="Arial" w:hAnsi="Arial" w:cs="Arial"/>
                <w:b w:val="0"/>
                <w:i w:val="0"/>
                <w:sz w:val="17"/>
              </w:rPr>
              <w:t>28-Add-On Catalogue</w:t>
            </w:r>
          </w:p>
        </w:tc>
        <w:tc>
          <w:tcPr>
            <w:tcW w:type="dxa" w:w="4819"/>
          </w:tcPr>
          <w:p>
            <w:pPr>
              <w:spacing w:after="20" w:before="20" w:line="240" w:lineRule="auto"/>
            </w:pPr>
            <w:r/>
            <w:r>
              <w:rPr>
                <w:rFonts w:ascii="Arial" w:hAnsi="Arial" w:cs="Arial"/>
                <w:b w:val="0"/>
                <w:i w:val="0"/>
                <w:sz w:val="17"/>
              </w:rPr>
              <w:t>Canonical set of 28 extension modules (Add-On 27 reserved). Each has a status in the completion matrix.</w:t>
            </w:r>
          </w:p>
        </w:tc>
      </w:tr>
      <w:tr>
        <w:tc>
          <w:tcPr>
            <w:tcW w:type="dxa" w:w="4819"/>
          </w:tcPr>
          <w:p>
            <w:pPr>
              <w:spacing w:after="20" w:before="20" w:line="240" w:lineRule="auto"/>
            </w:pPr>
            <w:r/>
            <w:r>
              <w:rPr>
                <w:rFonts w:ascii="Arial" w:hAnsi="Arial" w:cs="Arial"/>
                <w:b w:val="0"/>
                <w:i w:val="0"/>
                <w:sz w:val="17"/>
              </w:rPr>
              <w:t>GRiRE</w:t>
            </w:r>
          </w:p>
        </w:tc>
        <w:tc>
          <w:tcPr>
            <w:tcW w:type="dxa" w:w="4819"/>
          </w:tcPr>
          <w:p>
            <w:pPr>
              <w:spacing w:after="20" w:before="20" w:line="240" w:lineRule="auto"/>
            </w:pPr>
            <w:r/>
            <w:r>
              <w:rPr>
                <w:rFonts w:ascii="Arial" w:hAnsi="Arial" w:cs="Arial"/>
                <w:b w:val="0"/>
                <w:i w:val="0"/>
                <w:sz w:val="17"/>
              </w:rPr>
              <w:t>Global Regulatory Intelligence &amp; Requirements Engine — AI-powered regulatory discovery for 195+ countries.</w:t>
            </w:r>
          </w:p>
        </w:tc>
      </w:tr>
      <w:tr>
        <w:tc>
          <w:tcPr>
            <w:tcW w:type="dxa" w:w="4819"/>
          </w:tcPr>
          <w:p>
            <w:pPr>
              <w:spacing w:after="20" w:before="20" w:line="240" w:lineRule="auto"/>
            </w:pPr>
            <w:r/>
            <w:r>
              <w:rPr>
                <w:rFonts w:ascii="Arial" w:hAnsi="Arial" w:cs="Arial"/>
                <w:b w:val="0"/>
                <w:i w:val="0"/>
                <w:sz w:val="17"/>
              </w:rPr>
              <w:t>RoRo</w:t>
            </w:r>
          </w:p>
        </w:tc>
        <w:tc>
          <w:tcPr>
            <w:tcW w:type="dxa" w:w="4819"/>
          </w:tcPr>
          <w:p>
            <w:pPr>
              <w:spacing w:after="20" w:before="20" w:line="240" w:lineRule="auto"/>
            </w:pPr>
            <w:r/>
            <w:r>
              <w:rPr>
                <w:rFonts w:ascii="Arial" w:hAnsi="Arial" w:cs="Arial"/>
                <w:b w:val="0"/>
                <w:i w:val="0"/>
                <w:sz w:val="17"/>
              </w:rPr>
              <w:t>Roll-on/Roll-off cargo. First-class transport mode with VIN-level tracking.</w:t>
            </w:r>
          </w:p>
        </w:tc>
      </w:tr>
      <w:tr>
        <w:tc>
          <w:tcPr>
            <w:tcW w:type="dxa" w:w="4819"/>
          </w:tcPr>
          <w:p>
            <w:pPr>
              <w:spacing w:after="20" w:before="20" w:line="240" w:lineRule="auto"/>
            </w:pPr>
            <w:r/>
            <w:r>
              <w:rPr>
                <w:rFonts w:ascii="Arial" w:hAnsi="Arial" w:cs="Arial"/>
                <w:b w:val="0"/>
                <w:i w:val="0"/>
                <w:sz w:val="17"/>
              </w:rPr>
              <w:t>Command ≠ Event</w:t>
            </w:r>
          </w:p>
        </w:tc>
        <w:tc>
          <w:tcPr>
            <w:tcW w:type="dxa" w:w="4819"/>
          </w:tcPr>
          <w:p>
            <w:pPr>
              <w:spacing w:after="20" w:before="20" w:line="240" w:lineRule="auto"/>
            </w:pPr>
            <w:r/>
            <w:r>
              <w:rPr>
                <w:rFonts w:ascii="Arial" w:hAnsi="Arial" w:cs="Arial"/>
                <w:b w:val="0"/>
                <w:i w:val="0"/>
                <w:sz w:val="17"/>
              </w:rPr>
              <w:t>Command = intent to change state; Event = fact that has occurred. Commands flow to the Governor; events append to the spine.</w:t>
            </w:r>
          </w:p>
        </w:tc>
      </w:tr>
      <w:tr>
        <w:tc>
          <w:tcPr>
            <w:tcW w:type="dxa" w:w="4819"/>
          </w:tcPr>
          <w:p>
            <w:pPr>
              <w:spacing w:after="20" w:before="20" w:line="240" w:lineRule="auto"/>
            </w:pPr>
            <w:r/>
            <w:r>
              <w:rPr>
                <w:rFonts w:ascii="Arial" w:hAnsi="Arial" w:cs="Arial"/>
                <w:b w:val="0"/>
                <w:i w:val="0"/>
                <w:sz w:val="17"/>
              </w:rPr>
              <w:t>Planned ≠ Verified</w:t>
            </w:r>
          </w:p>
        </w:tc>
        <w:tc>
          <w:tcPr>
            <w:tcW w:type="dxa" w:w="4819"/>
          </w:tcPr>
          <w:p>
            <w:pPr>
              <w:spacing w:after="20" w:before="20" w:line="240" w:lineRule="auto"/>
            </w:pPr>
            <w:r/>
            <w:r>
              <w:rPr>
                <w:rFonts w:ascii="Arial" w:hAnsi="Arial" w:cs="Arial"/>
                <w:b w:val="0"/>
                <w:i w:val="0"/>
                <w:sz w:val="17"/>
              </w:rPr>
              <w:t>A planned physical event is never treated as a verified physical event (see Section 12).</w:t>
            </w:r>
          </w:p>
        </w:tc>
      </w:tr>
      <w:tr>
        <w:tc>
          <w:tcPr>
            <w:tcW w:type="dxa" w:w="4819"/>
          </w:tcPr>
          <w:p>
            <w:pPr>
              <w:spacing w:after="20" w:before="20" w:line="240" w:lineRule="auto"/>
            </w:pPr>
            <w:r/>
            <w:r>
              <w:rPr>
                <w:rFonts w:ascii="Arial" w:hAnsi="Arial" w:cs="Arial"/>
                <w:b w:val="0"/>
                <w:i w:val="0"/>
                <w:sz w:val="17"/>
              </w:rPr>
              <w:t>Instruction ≠ Settled</w:t>
            </w:r>
          </w:p>
        </w:tc>
        <w:tc>
          <w:tcPr>
            <w:tcW w:type="dxa" w:w="4819"/>
          </w:tcPr>
          <w:p>
            <w:pPr>
              <w:spacing w:after="20" w:before="20" w:line="240" w:lineRule="auto"/>
            </w:pPr>
            <w:r/>
            <w:r>
              <w:rPr>
                <w:rFonts w:ascii="Arial" w:hAnsi="Arial" w:cs="Arial"/>
                <w:b w:val="0"/>
                <w:i w:val="0"/>
                <w:sz w:val="17"/>
              </w:rPr>
              <w:t>A payment instruction is never equated with a settled payment (see Section 13).</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The three inequality terms (Command ≠ Event, Planned ≠ Verified, Instruction ≠ Settled) are constitutional discipline rules: collapsing any pair of these states is a constitutional violation, not a usability choice.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USTN Multi-Leg Settlement Manifest</w:t>
            </w:r>
          </w:p>
        </w:tc>
        <w:tc>
          <w:tcPr>
            <w:tcW w:type="dxa" w:w="4819"/>
            <w:shd w:val="clear" w:fill="D9E2F3"/>
          </w:tcPr>
          <w:p>
            <w:pPr>
              <w:spacing w:after="20" w:before="20" w:line="240" w:lineRule="auto"/>
            </w:pPr>
            <w:r/>
            <w:r>
              <w:rPr>
                <w:rFonts w:ascii="Arial" w:hAnsi="Arial" w:cs="Arial"/>
                <w:b/>
                <w:i w:val="0"/>
                <w:sz w:val="18"/>
              </w:rPr>
              <w:t>The single financial contract of a USTN: all EGP and USD payment legs with payee GTIDs, quote references, amounts, milestone conditions, and beneficiary accounts. Hashed and Loom-logged; versioned, never mutated.</w:t>
            </w:r>
          </w:p>
        </w:tc>
      </w:tr>
      <w:tr>
        <w:tc>
          <w:tcPr>
            <w:tcW w:type="dxa" w:w="4819"/>
          </w:tcPr>
          <w:p>
            <w:pPr>
              <w:spacing w:after="20" w:before="20" w:line="240" w:lineRule="auto"/>
            </w:pPr>
            <w:r/>
            <w:r>
              <w:rPr>
                <w:rFonts w:ascii="Arial" w:hAnsi="Arial" w:cs="Arial"/>
                <w:b w:val="0"/>
                <w:i w:val="0"/>
                <w:sz w:val="17"/>
              </w:rPr>
              <w:t>Settlement Leg</w:t>
            </w:r>
          </w:p>
        </w:tc>
        <w:tc>
          <w:tcPr>
            <w:tcW w:type="dxa" w:w="4819"/>
          </w:tcPr>
          <w:p>
            <w:pPr>
              <w:spacing w:after="20" w:before="20" w:line="240" w:lineRule="auto"/>
            </w:pPr>
            <w:r/>
            <w:r>
              <w:rPr>
                <w:rFonts w:ascii="Arial" w:hAnsi="Arial" w:cs="Arial"/>
                <w:b w:val="0"/>
                <w:i w:val="0"/>
                <w:sz w:val="17"/>
              </w:rPr>
              <w:t>One payment obligation within the manifest (e.g., LEG_CUSTOMS_EGP). Identified end-to-end by {USTN}-{LEG_ID}.</w:t>
            </w:r>
          </w:p>
        </w:tc>
      </w:tr>
      <w:tr>
        <w:tc>
          <w:tcPr>
            <w:tcW w:type="dxa" w:w="4819"/>
          </w:tcPr>
          <w:p>
            <w:pPr>
              <w:spacing w:after="20" w:before="20" w:line="240" w:lineRule="auto"/>
            </w:pPr>
            <w:r/>
            <w:r>
              <w:rPr>
                <w:rFonts w:ascii="Arial" w:hAnsi="Arial" w:cs="Arial"/>
                <w:b w:val="0"/>
                <w:i w:val="0"/>
                <w:sz w:val="17"/>
              </w:rPr>
              <w:t>Bank Mandate</w:t>
            </w:r>
          </w:p>
        </w:tc>
        <w:tc>
          <w:tcPr>
            <w:tcW w:type="dxa" w:w="4819"/>
          </w:tcPr>
          <w:p>
            <w:pPr>
              <w:spacing w:after="20" w:before="20" w:line="240" w:lineRule="auto"/>
            </w:pPr>
            <w:r/>
            <w:r>
              <w:rPr>
                <w:rFonts w:ascii="Arial" w:hAnsi="Arial" w:cs="Arial"/>
                <w:b w:val="0"/>
                <w:i w:val="0"/>
                <w:sz w:val="17"/>
              </w:rPr>
              <w:t>The signed legal instrument (Egyptian Banking Law No. 194 of 2020; QES via Egypt Trust) authorizing SGTX to submit ISO 20022 payment instructions on the buyer's behalf.</w:t>
            </w:r>
          </w:p>
        </w:tc>
      </w:tr>
      <w:tr>
        <w:tc>
          <w:tcPr>
            <w:tcW w:type="dxa" w:w="4819"/>
          </w:tcPr>
          <w:p>
            <w:pPr>
              <w:spacing w:after="20" w:before="20" w:line="240" w:lineRule="auto"/>
            </w:pPr>
            <w:r/>
            <w:r>
              <w:rPr>
                <w:rFonts w:ascii="Arial" w:hAnsi="Arial" w:cs="Arial"/>
                <w:b w:val="0"/>
                <w:i w:val="0"/>
                <w:sz w:val="17"/>
              </w:rPr>
              <w:t>QES</w:t>
            </w:r>
          </w:p>
        </w:tc>
        <w:tc>
          <w:tcPr>
            <w:tcW w:type="dxa" w:w="4819"/>
          </w:tcPr>
          <w:p>
            <w:pPr>
              <w:spacing w:after="20" w:before="20" w:line="240" w:lineRule="auto"/>
            </w:pPr>
            <w:r/>
            <w:r>
              <w:rPr>
                <w:rFonts w:ascii="Arial" w:hAnsi="Arial" w:cs="Arial"/>
                <w:b w:val="0"/>
                <w:i w:val="0"/>
                <w:sz w:val="17"/>
              </w:rPr>
              <w:t>Qualified Electronic Signature (Egypt Trust, HSM-backed) — legally equivalent to handwritten; required for payment mandates and constitutional multisig.</w:t>
            </w:r>
          </w:p>
        </w:tc>
      </w:tr>
      <w:tr>
        <w:tc>
          <w:tcPr>
            <w:tcW w:type="dxa" w:w="4819"/>
          </w:tcPr>
          <w:p>
            <w:pPr>
              <w:spacing w:after="20" w:before="20" w:line="240" w:lineRule="auto"/>
            </w:pPr>
            <w:r/>
            <w:r>
              <w:rPr>
                <w:rFonts w:ascii="Arial" w:hAnsi="Arial" w:cs="Arial"/>
                <w:b w:val="0"/>
                <w:i w:val="0"/>
                <w:sz w:val="17"/>
              </w:rPr>
              <w:t>Dynamic Fee Engine</w:t>
            </w:r>
          </w:p>
        </w:tc>
        <w:tc>
          <w:tcPr>
            <w:tcW w:type="dxa" w:w="4819"/>
          </w:tcPr>
          <w:p>
            <w:pPr>
              <w:spacing w:after="20" w:before="20" w:line="240" w:lineRule="auto"/>
            </w:pPr>
            <w:r/>
            <w:r>
              <w:rPr>
                <w:rFonts w:ascii="Arial" w:hAnsi="Arial" w:cs="Arial"/>
                <w:b w:val="0"/>
                <w:i w:val="0"/>
                <w:sz w:val="17"/>
              </w:rPr>
              <w:t>The deterministic fee calculation engine (with RIA inputs) producing all platform fee rates, including the distressed rate and country factors. The UI can never calculate fees differently from the backend.</w:t>
            </w:r>
          </w:p>
        </w:tc>
      </w:tr>
      <w:tr>
        <w:tc>
          <w:tcPr>
            <w:tcW w:type="dxa" w:w="4819"/>
          </w:tcPr>
          <w:p>
            <w:pPr>
              <w:spacing w:after="20" w:before="20" w:line="240" w:lineRule="auto"/>
            </w:pPr>
            <w:r/>
            <w:r>
              <w:rPr>
                <w:rFonts w:ascii="Arial" w:hAnsi="Arial" w:cs="Arial"/>
                <w:b w:val="0"/>
                <w:i w:val="0"/>
                <w:sz w:val="17"/>
              </w:rPr>
              <w:t>pain.001</w:t>
            </w:r>
          </w:p>
        </w:tc>
        <w:tc>
          <w:tcPr>
            <w:tcW w:type="dxa" w:w="4819"/>
          </w:tcPr>
          <w:p>
            <w:pPr>
              <w:spacing w:after="20" w:before="20" w:line="240" w:lineRule="auto"/>
            </w:pPr>
            <w:r/>
            <w:r>
              <w:rPr>
                <w:rFonts w:ascii="Arial" w:hAnsi="Arial" w:cs="Arial"/>
                <w:b w:val="0"/>
                <w:i w:val="0"/>
                <w:sz w:val="17"/>
              </w:rPr>
              <w:t>ISO 20022 Credit Transfer Initiation — the payment instruction the Bank Settlement Gateway submits to banks.</w:t>
            </w:r>
          </w:p>
        </w:tc>
      </w:tr>
      <w:tr>
        <w:tc>
          <w:tcPr>
            <w:tcW w:type="dxa" w:w="4819"/>
          </w:tcPr>
          <w:p>
            <w:pPr>
              <w:spacing w:after="20" w:before="20" w:line="240" w:lineRule="auto"/>
            </w:pPr>
            <w:r/>
            <w:r>
              <w:rPr>
                <w:rFonts w:ascii="Arial" w:hAnsi="Arial" w:cs="Arial"/>
                <w:b w:val="0"/>
                <w:i w:val="0"/>
                <w:sz w:val="17"/>
              </w:rPr>
              <w:t>pain.002</w:t>
            </w:r>
          </w:p>
        </w:tc>
        <w:tc>
          <w:tcPr>
            <w:tcW w:type="dxa" w:w="4819"/>
          </w:tcPr>
          <w:p>
            <w:pPr>
              <w:spacing w:after="20" w:before="20" w:line="240" w:lineRule="auto"/>
            </w:pPr>
            <w:r/>
            <w:r>
              <w:rPr>
                <w:rFonts w:ascii="Arial" w:hAnsi="Arial" w:cs="Arial"/>
                <w:b w:val="0"/>
                <w:i w:val="0"/>
                <w:sz w:val="17"/>
              </w:rPr>
              <w:t>ISO 20022 Payment Status Report — bank acknowledgment of an instruction.</w:t>
            </w:r>
          </w:p>
        </w:tc>
      </w:tr>
      <w:tr>
        <w:tc>
          <w:tcPr>
            <w:tcW w:type="dxa" w:w="4819"/>
          </w:tcPr>
          <w:p>
            <w:pPr>
              <w:spacing w:after="20" w:before="20" w:line="240" w:lineRule="auto"/>
            </w:pPr>
            <w:r/>
            <w:r>
              <w:rPr>
                <w:rFonts w:ascii="Arial" w:hAnsi="Arial" w:cs="Arial"/>
                <w:b w:val="0"/>
                <w:i w:val="0"/>
                <w:sz w:val="17"/>
              </w:rPr>
              <w:t>pain.008</w:t>
            </w:r>
          </w:p>
        </w:tc>
        <w:tc>
          <w:tcPr>
            <w:tcW w:type="dxa" w:w="4819"/>
          </w:tcPr>
          <w:p>
            <w:pPr>
              <w:spacing w:after="20" w:before="20" w:line="240" w:lineRule="auto"/>
            </w:pPr>
            <w:r/>
            <w:r>
              <w:rPr>
                <w:rFonts w:ascii="Arial" w:hAnsi="Arial" w:cs="Arial"/>
                <w:b w:val="0"/>
                <w:i w:val="0"/>
                <w:sz w:val="17"/>
              </w:rPr>
              <w:t>ISO 20022 Direct Debit / future-dated instruction — used for deferred payment legs held at the bank.</w:t>
            </w:r>
          </w:p>
        </w:tc>
      </w:tr>
      <w:tr>
        <w:tc>
          <w:tcPr>
            <w:tcW w:type="dxa" w:w="4819"/>
          </w:tcPr>
          <w:p>
            <w:pPr>
              <w:spacing w:after="20" w:before="20" w:line="240" w:lineRule="auto"/>
            </w:pPr>
            <w:r/>
            <w:r>
              <w:rPr>
                <w:rFonts w:ascii="Arial" w:hAnsi="Arial" w:cs="Arial"/>
                <w:b w:val="0"/>
                <w:i w:val="0"/>
                <w:sz w:val="17"/>
              </w:rPr>
              <w:t>camt.054</w:t>
            </w:r>
          </w:p>
        </w:tc>
        <w:tc>
          <w:tcPr>
            <w:tcW w:type="dxa" w:w="4819"/>
          </w:tcPr>
          <w:p>
            <w:pPr>
              <w:spacing w:after="20" w:before="20" w:line="240" w:lineRule="auto"/>
            </w:pPr>
            <w:r/>
            <w:r>
              <w:rPr>
                <w:rFonts w:ascii="Arial" w:hAnsi="Arial" w:cs="Arial"/>
                <w:b w:val="0"/>
                <w:i w:val="0"/>
                <w:sz w:val="17"/>
              </w:rPr>
              <w:t>ISO 20022 Credit/Debit Notification — the bank confirmation that settles a leg; proof hash stored on the instruction.</w:t>
            </w:r>
          </w:p>
        </w:tc>
      </w:tr>
      <w:tr>
        <w:tc>
          <w:tcPr>
            <w:tcW w:type="dxa" w:w="4819"/>
          </w:tcPr>
          <w:p>
            <w:pPr>
              <w:spacing w:after="20" w:before="20" w:line="240" w:lineRule="auto"/>
            </w:pPr>
            <w:r/>
            <w:r>
              <w:rPr>
                <w:rFonts w:ascii="Arial" w:hAnsi="Arial" w:cs="Arial"/>
                <w:b w:val="0"/>
                <w:i w:val="0"/>
                <w:sz w:val="17"/>
              </w:rPr>
              <w:t>SWIFT gpi / UETR</w:t>
            </w:r>
          </w:p>
        </w:tc>
        <w:tc>
          <w:tcPr>
            <w:tcW w:type="dxa" w:w="4819"/>
          </w:tcPr>
          <w:p>
            <w:pPr>
              <w:spacing w:after="20" w:before="20" w:line="240" w:lineRule="auto"/>
            </w:pPr>
            <w:r/>
            <w:r>
              <w:rPr>
                <w:rFonts w:ascii="Arial" w:hAnsi="Arial" w:cs="Arial"/>
                <w:b w:val="0"/>
                <w:i w:val="0"/>
                <w:sz w:val="17"/>
              </w:rPr>
              <w:t>SWIFT global payments innovation tracking with the Unique End-to-End Transaction Reference (RFC 4122 UUID v4) for cross-border legs.</w:t>
            </w:r>
          </w:p>
        </w:tc>
      </w:tr>
      <w:tr>
        <w:tc>
          <w:tcPr>
            <w:tcW w:type="dxa" w:w="4819"/>
          </w:tcPr>
          <w:p>
            <w:pPr>
              <w:spacing w:after="20" w:before="20" w:line="240" w:lineRule="auto"/>
            </w:pPr>
            <w:r/>
            <w:r>
              <w:rPr>
                <w:rFonts w:ascii="Arial" w:hAnsi="Arial" w:cs="Arial"/>
                <w:b w:val="0"/>
                <w:i w:val="0"/>
                <w:sz w:val="17"/>
              </w:rPr>
              <w:t>EndToEndId</w:t>
            </w:r>
          </w:p>
        </w:tc>
        <w:tc>
          <w:tcPr>
            <w:tcW w:type="dxa" w:w="4819"/>
          </w:tcPr>
          <w:p>
            <w:pPr>
              <w:spacing w:after="20" w:before="20" w:line="240" w:lineRule="auto"/>
            </w:pPr>
            <w:r/>
            <w:r>
              <w:rPr>
                <w:rFonts w:ascii="Arial" w:hAnsi="Arial" w:cs="Arial"/>
                <w:b w:val="0"/>
                <w:i w:val="0"/>
                <w:sz w:val="17"/>
              </w:rPr>
              <w:t>The immutable trace string {USTN}-{LEG_ID} carried in every ISO 20022 message and matched on confirmation.</w:t>
            </w:r>
          </w:p>
        </w:tc>
      </w:tr>
      <w:tr>
        <w:tc>
          <w:tcPr>
            <w:tcW w:type="dxa" w:w="4819"/>
          </w:tcPr>
          <w:p>
            <w:pPr>
              <w:spacing w:after="20" w:before="20" w:line="240" w:lineRule="auto"/>
            </w:pPr>
            <w:r/>
            <w:r>
              <w:rPr>
                <w:rFonts w:ascii="Arial" w:hAnsi="Arial" w:cs="Arial"/>
                <w:b w:val="0"/>
                <w:i w:val="0"/>
                <w:sz w:val="17"/>
              </w:rPr>
              <w:t>UNKNOWN state</w:t>
            </w:r>
          </w:p>
        </w:tc>
        <w:tc>
          <w:tcPr>
            <w:tcW w:type="dxa" w:w="4819"/>
          </w:tcPr>
          <w:p>
            <w:pPr>
              <w:spacing w:after="20" w:before="20" w:line="240" w:lineRule="auto"/>
            </w:pPr>
            <w:r/>
            <w:r>
              <w:rPr>
                <w:rFonts w:ascii="Arial" w:hAnsi="Arial" w:cs="Arial"/>
                <w:b w:val="0"/>
                <w:i w:val="0"/>
                <w:sz w:val="17"/>
              </w:rPr>
              <w:t>The preserved state when no confirmation arrives within SLA; a timeout never creates finality (Point 30).</w:t>
            </w:r>
          </w:p>
        </w:tc>
      </w:tr>
      <w:tr>
        <w:tc>
          <w:tcPr>
            <w:tcW w:type="dxa" w:w="4819"/>
          </w:tcPr>
          <w:p>
            <w:pPr>
              <w:spacing w:after="20" w:before="20" w:line="240" w:lineRule="auto"/>
            </w:pPr>
            <w:r/>
            <w:r>
              <w:rPr>
                <w:rFonts w:ascii="Arial" w:hAnsi="Arial" w:cs="Arial"/>
                <w:b w:val="0"/>
                <w:i w:val="0"/>
                <w:sz w:val="17"/>
              </w:rPr>
              <w:t>AIS</w:t>
            </w:r>
          </w:p>
        </w:tc>
        <w:tc>
          <w:tcPr>
            <w:tcW w:type="dxa" w:w="4819"/>
          </w:tcPr>
          <w:p>
            <w:pPr>
              <w:spacing w:after="20" w:before="20" w:line="240" w:lineRule="auto"/>
            </w:pPr>
            <w:r/>
            <w:r>
              <w:rPr>
                <w:rFonts w:ascii="Arial" w:hAnsi="Arial" w:cs="Arial"/>
                <w:b w:val="0"/>
                <w:i w:val="0"/>
                <w:sz w:val="17"/>
              </w:rPr>
              <w:t>Automatic Identification System — vessel position source for maritime tracking (provisional evidence, never authoritative finality).</w:t>
            </w:r>
          </w:p>
        </w:tc>
      </w:tr>
      <w:tr>
        <w:tc>
          <w:tcPr>
            <w:tcW w:type="dxa" w:w="4819"/>
          </w:tcPr>
          <w:p>
            <w:pPr>
              <w:spacing w:after="20" w:before="20" w:line="240" w:lineRule="auto"/>
            </w:pPr>
            <w:r/>
            <w:r>
              <w:rPr>
                <w:rFonts w:ascii="Arial" w:hAnsi="Arial" w:cs="Arial"/>
                <w:b w:val="0"/>
                <w:i w:val="0"/>
                <w:sz w:val="17"/>
              </w:rPr>
              <w:t>SSCC</w:t>
            </w:r>
          </w:p>
        </w:tc>
        <w:tc>
          <w:tcPr>
            <w:tcW w:type="dxa" w:w="4819"/>
          </w:tcPr>
          <w:p>
            <w:pPr>
              <w:spacing w:after="20" w:before="20" w:line="240" w:lineRule="auto"/>
            </w:pPr>
            <w:r/>
            <w:r>
              <w:rPr>
                <w:rFonts w:ascii="Arial" w:hAnsi="Arial" w:cs="Arial"/>
                <w:b w:val="0"/>
                <w:i w:val="0"/>
                <w:sz w:val="17"/>
              </w:rPr>
              <w:t>Serial Shipping Container Code (GS1) — pallet/handling unit identity.</w:t>
            </w:r>
          </w:p>
        </w:tc>
      </w:tr>
      <w:tr>
        <w:tc>
          <w:tcPr>
            <w:tcW w:type="dxa" w:w="4819"/>
          </w:tcPr>
          <w:p>
            <w:pPr>
              <w:spacing w:after="20" w:before="20" w:line="240" w:lineRule="auto"/>
            </w:pPr>
            <w:r/>
            <w:r>
              <w:rPr>
                <w:rFonts w:ascii="Arial" w:hAnsi="Arial" w:cs="Arial"/>
                <w:b w:val="0"/>
                <w:i w:val="0"/>
                <w:sz w:val="17"/>
              </w:rPr>
              <w:t>eBL</w:t>
            </w:r>
          </w:p>
        </w:tc>
        <w:tc>
          <w:tcPr>
            <w:tcW w:type="dxa" w:w="4819"/>
          </w:tcPr>
          <w:p>
            <w:pPr>
              <w:spacing w:after="20" w:before="20" w:line="240" w:lineRule="auto"/>
            </w:pPr>
            <w:r/>
            <w:r>
              <w:rPr>
                <w:rFonts w:ascii="Arial" w:hAnsi="Arial" w:cs="Arial"/>
                <w:b w:val="0"/>
                <w:i w:val="0"/>
                <w:sz w:val="17"/>
              </w:rPr>
              <w:t>Electronic Bill of Lading issued by the shipping line after confirmed freight settlement.</w:t>
            </w:r>
          </w:p>
        </w:tc>
      </w:tr>
      <w:tr>
        <w:tc>
          <w:tcPr>
            <w:tcW w:type="dxa" w:w="4819"/>
          </w:tcPr>
          <w:p>
            <w:pPr>
              <w:spacing w:after="20" w:before="20" w:line="240" w:lineRule="auto"/>
            </w:pPr>
            <w:r/>
            <w:r>
              <w:rPr>
                <w:rFonts w:ascii="Arial" w:hAnsi="Arial" w:cs="Arial"/>
                <w:b w:val="0"/>
                <w:i w:val="0"/>
                <w:sz w:val="17"/>
              </w:rPr>
              <w:t>Nafeza / CAPQ / GOEIC / CargoX</w:t>
            </w:r>
          </w:p>
        </w:tc>
        <w:tc>
          <w:tcPr>
            <w:tcW w:type="dxa" w:w="4819"/>
          </w:tcPr>
          <w:p>
            <w:pPr>
              <w:spacing w:after="20" w:before="20" w:line="240" w:lineRule="auto"/>
            </w:pPr>
            <w:r/>
            <w:r>
              <w:rPr>
                <w:rFonts w:ascii="Arial" w:hAnsi="Arial" w:cs="Arial"/>
                <w:b w:val="0"/>
                <w:i w:val="0"/>
                <w:sz w:val="17"/>
              </w:rPr>
              <w:t>Egyptian government platforms: customs single window, phytosanitary authority, laboratory authority, and blockchain document transfer — integrated one-directionally as authoritative systems.</w:t>
            </w:r>
          </w:p>
        </w:tc>
      </w:tr>
      <w:tr>
        <w:tc>
          <w:tcPr>
            <w:tcW w:type="dxa" w:w="4819"/>
          </w:tcPr>
          <w:p>
            <w:pPr>
              <w:spacing w:after="20" w:before="20" w:line="240" w:lineRule="auto"/>
            </w:pPr>
            <w:r/>
            <w:r>
              <w:rPr>
                <w:rFonts w:ascii="Arial" w:hAnsi="Arial" w:cs="Arial"/>
                <w:b w:val="0"/>
                <w:i w:val="0"/>
                <w:sz w:val="17"/>
              </w:rPr>
              <w:t>CBE</w:t>
            </w:r>
          </w:p>
        </w:tc>
        <w:tc>
          <w:tcPr>
            <w:tcW w:type="dxa" w:w="4819"/>
          </w:tcPr>
          <w:p>
            <w:pPr>
              <w:spacing w:after="20" w:before="20" w:line="240" w:lineRule="auto"/>
            </w:pPr>
            <w:r/>
            <w:r>
              <w:rPr>
                <w:rFonts w:ascii="Arial" w:hAnsi="Arial" w:cs="Arial"/>
                <w:b w:val="0"/>
                <w:i w:val="0"/>
                <w:sz w:val="17"/>
              </w:rPr>
              <w:t>Central Bank of Egypt — recipient of monthly cross-border remittance reporting.</w:t>
            </w:r>
          </w:p>
        </w:tc>
      </w:tr>
      <w:tr>
        <w:tc>
          <w:tcPr>
            <w:tcW w:type="dxa" w:w="4819"/>
          </w:tcPr>
          <w:p>
            <w:pPr>
              <w:spacing w:after="20" w:before="20" w:line="240" w:lineRule="auto"/>
            </w:pPr>
            <w:r/>
            <w:r>
              <w:rPr>
                <w:rFonts w:ascii="Arial" w:hAnsi="Arial" w:cs="Arial"/>
                <w:b w:val="0"/>
                <w:i w:val="0"/>
                <w:sz w:val="17"/>
              </w:rPr>
              <w:t>Multisig</w:t>
            </w:r>
          </w:p>
        </w:tc>
        <w:tc>
          <w:tcPr>
            <w:tcW w:type="dxa" w:w="4819"/>
          </w:tcPr>
          <w:p>
            <w:pPr>
              <w:spacing w:after="20" w:before="20" w:line="240" w:lineRule="auto"/>
            </w:pPr>
            <w:r/>
            <w:r>
              <w:rPr>
                <w:rFonts w:ascii="Arial" w:hAnsi="Arial" w:cs="Arial"/>
                <w:b w:val="0"/>
                <w:i w:val="0"/>
                <w:sz w:val="17"/>
              </w:rPr>
              <w:t>Multi-signature governance: 2-of-3 standard, 3-of-5 constitutional amendments with 30-day notice.</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24.2 Implementation Roadmap Phases 0–4</w:t>
      </w:r>
    </w:p>
    <w:p>
      <w:pPr>
        <w:keepNext/>
        <w:spacing w:before="180" w:after="80"/>
        <w:outlineLvl w:val="2"/>
      </w:pPr>
      <w:r>
        <w:rPr>
          <w:rFonts w:ascii="Arial" w:hAnsi="Arial" w:cs="Arial"/>
          <w:b/>
          <w:i w:val="0"/>
          <w:color w:val="333333"/>
          <w:sz w:val="23"/>
        </w:rPr>
        <w:t>24.2.1 Roadmap Principles &amp; Team</w:t>
      </w:r>
    </w:p>
    <w:p>
      <w:pPr>
        <w:spacing w:after="80" w:line="293" w:lineRule="auto"/>
        <w:jc w:val="left"/>
      </w:pPr>
      <w:r>
        <w:rPr>
          <w:rFonts w:ascii="Times New Roman" w:hAnsi="Times New Roman" w:cs="Times New Roman"/>
          <w:b w:val="0"/>
          <w:i w:val="0"/>
          <w:sz w:val="22"/>
        </w:rPr>
        <w:t>This roadmap translates the entire SGTX blueprint into a practical, time-bound, risk-managed implementation plan. The roadmap is organised into five phases (0 through 4), each with clear objectives, deliverables, success criteria (KPIs), dependencies, and estimated duration. The plan is designed to deliver early value (Phase 1 — agricultural exports) while progressively adding complexity (multi-shipment, financing, imports, add-ons). All phases assume a team of 8–12 engineers (backend, frontend, DevOps, QA) plus a parallel legal/compliance team, and run on the same self-hosted, zero-cost, open-source stack.</w:t>
      </w:r>
    </w:p>
    <w:p>
      <w:pPr>
        <w:spacing w:after="80" w:line="293" w:lineRule="auto"/>
        <w:jc w:val="left"/>
      </w:pPr>
      <w:r>
        <w:rPr>
          <w:rFonts w:ascii="Times New Roman" w:hAnsi="Times New Roman" w:cs="Times New Roman"/>
          <w:b w:val="0"/>
          <w:i w:val="0"/>
          <w:sz w:val="22"/>
        </w:rPr>
        <w:t>Core disciplines:</w:t>
      </w:r>
    </w:p>
    <w:p>
      <w:pPr>
        <w:spacing w:after="80" w:line="293" w:lineRule="auto"/>
        <w:ind w:left="283"/>
        <w:jc w:val="left"/>
      </w:pPr>
      <w:r>
        <w:rPr>
          <w:rFonts w:ascii="Times New Roman" w:hAnsi="Times New Roman" w:cs="Times New Roman"/>
          <w:b w:val="0"/>
          <w:i w:val="0"/>
          <w:sz w:val="22"/>
        </w:rPr>
        <w:t>- Demonstrate then mandate — pilot with real exporters before any government mandate.</w:t>
      </w:r>
    </w:p>
    <w:p>
      <w:pPr>
        <w:spacing w:after="80" w:line="293" w:lineRule="auto"/>
        <w:ind w:left="283"/>
        <w:jc w:val="left"/>
      </w:pPr>
      <w:r>
        <w:rPr>
          <w:rFonts w:ascii="Times New Roman" w:hAnsi="Times New Roman" w:cs="Times New Roman"/>
          <w:b w:val="0"/>
          <w:i w:val="0"/>
          <w:sz w:val="22"/>
        </w:rPr>
        <w:t>- Zero-cost infrastructure from day one — all phases use the same self-hosted, open-source stack (bare-metal K3s,</w:t>
      </w:r>
    </w:p>
    <w:p>
      <w:pPr>
        <w:spacing w:after="80" w:line="293" w:lineRule="auto"/>
        <w:jc w:val="left"/>
      </w:pPr>
      <w:r>
        <w:rPr>
          <w:rFonts w:ascii="Times New Roman" w:hAnsi="Times New Roman" w:cs="Times New Roman"/>
          <w:b w:val="0"/>
          <w:i w:val="0"/>
          <w:sz w:val="22"/>
        </w:rPr>
        <w:t>open-source CI/CD, self-hosted project management); no cloud vendor lock-in, no proprietary project management tools, no billing details required.</w:t>
      </w:r>
    </w:p>
    <w:p>
      <w:pPr>
        <w:spacing w:after="80" w:line="293" w:lineRule="auto"/>
        <w:ind w:left="283"/>
        <w:jc w:val="left"/>
      </w:pPr>
      <w:r>
        <w:rPr>
          <w:rFonts w:ascii="Times New Roman" w:hAnsi="Times New Roman" w:cs="Times New Roman"/>
          <w:b w:val="0"/>
          <w:i w:val="0"/>
          <w:sz w:val="22"/>
        </w:rPr>
        <w:t>- Regulatory alignment — engage CBE, Customs, and the Ministry of Trade early.</w:t>
      </w:r>
    </w:p>
    <w:p>
      <w:pPr>
        <w:spacing w:after="80" w:line="293" w:lineRule="auto"/>
        <w:ind w:left="283"/>
        <w:jc w:val="left"/>
      </w:pPr>
      <w:r>
        <w:rPr>
          <w:rFonts w:ascii="Times New Roman" w:hAnsi="Times New Roman" w:cs="Times New Roman"/>
          <w:b w:val="0"/>
          <w:i w:val="0"/>
          <w:sz w:val="22"/>
        </w:rPr>
        <w:t>- Continuous testing and security — each phase includes integration tests, security scans, and load testing.</w:t>
      </w:r>
    </w:p>
    <w:p>
      <w:pPr>
        <w:spacing w:after="80" w:line="293" w:lineRule="auto"/>
        <w:ind w:left="283"/>
        <w:jc w:val="left"/>
      </w:pPr>
      <w:r>
        <w:rPr>
          <w:rFonts w:ascii="Times New Roman" w:hAnsi="Times New Roman" w:cs="Times New Roman"/>
          <w:b w:val="0"/>
          <w:i w:val="0"/>
          <w:sz w:val="22"/>
        </w:rPr>
        <w:t>- AI-assisted project management — use Groq to generate progress reports, risk assessments, and post-mortems</w:t>
      </w:r>
    </w:p>
    <w:p>
      <w:pPr>
        <w:spacing w:after="80" w:line="293" w:lineRule="auto"/>
        <w:jc w:val="left"/>
      </w:pPr>
      <w:r>
        <w:rPr>
          <w:rFonts w:ascii="Times New Roman" w:hAnsi="Times New Roman" w:cs="Times New Roman"/>
          <w:b w:val="0"/>
          <w:i w:val="0"/>
          <w:sz w:val="22"/>
        </w:rPr>
        <w:t>(advisory only).</w:t>
      </w:r>
    </w:p>
    <w:p>
      <w:pPr>
        <w:spacing w:after="80" w:line="293" w:lineRule="auto"/>
        <w:jc w:val="left"/>
      </w:pPr>
      <w:r>
        <w:rPr>
          <w:rFonts w:ascii="Times New Roman" w:hAnsi="Times New Roman" w:cs="Times New Roman"/>
          <w:b w:val="0"/>
          <w:i w:val="0"/>
          <w:sz w:val="22"/>
        </w:rPr>
        <w:t>The roadmap is itself an AI-managed, self-correcting process. Priorities shift automatically when a new law passes in a target jurisdiction, when a microservice shows unexpected latency, or when user growth in a region demands immediate infrastructure expansion.</w:t>
      </w:r>
    </w:p>
    <w:p>
      <w:pPr>
        <w:keepNext/>
        <w:spacing w:before="180" w:after="80"/>
        <w:outlineLvl w:val="2"/>
      </w:pPr>
      <w:r>
        <w:rPr>
          <w:rFonts w:ascii="Arial" w:hAnsi="Arial" w:cs="Arial"/>
          <w:b/>
          <w:i w:val="0"/>
          <w:color w:val="333333"/>
          <w:sz w:val="23"/>
        </w:rPr>
        <w:t>24.2.2 Phase Overview</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20" w:before="20" w:line="240" w:lineRule="auto"/>
            </w:pPr>
            <w:r/>
            <w:r>
              <w:rPr>
                <w:rFonts w:ascii="Arial" w:hAnsi="Arial" w:cs="Arial"/>
                <w:b/>
                <w:i w:val="0"/>
                <w:sz w:val="18"/>
              </w:rPr>
              <w:t>Phase</w:t>
            </w:r>
          </w:p>
        </w:tc>
        <w:tc>
          <w:tcPr>
            <w:tcW w:type="dxa" w:w="1928"/>
            <w:shd w:val="clear" w:fill="D9E2F3"/>
          </w:tcPr>
          <w:p>
            <w:pPr>
              <w:spacing w:after="20" w:before="20" w:line="240" w:lineRule="auto"/>
            </w:pPr>
            <w:r/>
            <w:r>
              <w:rPr>
                <w:rFonts w:ascii="Arial" w:hAnsi="Arial" w:cs="Arial"/>
                <w:b/>
                <w:i w:val="0"/>
                <w:sz w:val="18"/>
              </w:rPr>
              <w:t>Window</w:t>
            </w:r>
          </w:p>
        </w:tc>
        <w:tc>
          <w:tcPr>
            <w:tcW w:type="dxa" w:w="1928"/>
            <w:shd w:val="clear" w:fill="D9E2F3"/>
          </w:tcPr>
          <w:p>
            <w:pPr>
              <w:spacing w:after="20" w:before="20" w:line="240" w:lineRule="auto"/>
            </w:pPr>
            <w:r/>
            <w:r>
              <w:rPr>
                <w:rFonts w:ascii="Arial" w:hAnsi="Arial" w:cs="Arial"/>
                <w:b/>
                <w:i w:val="0"/>
                <w:sz w:val="18"/>
              </w:rPr>
              <w:t>Objective</w:t>
            </w:r>
          </w:p>
        </w:tc>
        <w:tc>
          <w:tcPr>
            <w:tcW w:type="dxa" w:w="1928"/>
            <w:shd w:val="clear" w:fill="D9E2F3"/>
          </w:tcPr>
          <w:p>
            <w:pPr>
              <w:spacing w:after="20" w:before="20" w:line="240" w:lineRule="auto"/>
            </w:pPr>
            <w:r/>
            <w:r>
              <w:rPr>
                <w:rFonts w:ascii="Arial" w:hAnsi="Arial" w:cs="Arial"/>
                <w:b/>
                <w:i w:val="0"/>
                <w:sz w:val="18"/>
              </w:rPr>
              <w:t>Scope Highlights</w:t>
            </w:r>
          </w:p>
        </w:tc>
        <w:tc>
          <w:tcPr>
            <w:tcW w:type="dxa" w:w="1928"/>
            <w:shd w:val="clear" w:fill="D9E2F3"/>
          </w:tcPr>
          <w:p>
            <w:pPr>
              <w:spacing w:after="20" w:before="20" w:line="240" w:lineRule="auto"/>
            </w:pPr>
            <w:r/>
            <w:r>
              <w:rPr>
                <w:rFonts w:ascii="Arial" w:hAnsi="Arial" w:cs="Arial"/>
                <w:b/>
                <w:i w:val="0"/>
                <w:sz w:val="18"/>
              </w:rPr>
              <w:t>Explicitly Out of Scope</w:t>
            </w:r>
          </w:p>
        </w:tc>
      </w:tr>
      <w:tr>
        <w:tc>
          <w:tcPr>
            <w:tcW w:type="dxa" w:w="1928"/>
          </w:tcPr>
          <w:p>
            <w:pPr>
              <w:spacing w:after="20" w:before="20" w:line="240" w:lineRule="auto"/>
            </w:pPr>
            <w:r/>
            <w:r>
              <w:rPr>
                <w:rFonts w:ascii="Arial" w:hAnsi="Arial" w:cs="Arial"/>
                <w:b w:val="0"/>
                <w:i w:val="0"/>
                <w:sz w:val="17"/>
              </w:rPr>
              <w:t>0 — Foundation &amp; Pilot Preparation</w:t>
            </w:r>
          </w:p>
        </w:tc>
        <w:tc>
          <w:tcPr>
            <w:tcW w:type="dxa" w:w="1928"/>
          </w:tcPr>
          <w:p>
            <w:pPr>
              <w:spacing w:after="20" w:before="20" w:line="240" w:lineRule="auto"/>
            </w:pPr>
            <w:r/>
            <w:r>
              <w:rPr>
                <w:rFonts w:ascii="Arial" w:hAnsi="Arial" w:cs="Arial"/>
                <w:b w:val="0"/>
                <w:i w:val="0"/>
                <w:sz w:val="17"/>
              </w:rPr>
              <w:t>Months 1–3</w:t>
            </w:r>
          </w:p>
        </w:tc>
        <w:tc>
          <w:tcPr>
            <w:tcW w:type="dxa" w:w="1928"/>
          </w:tcPr>
          <w:p>
            <w:pPr>
              <w:spacing w:after="20" w:before="20" w:line="240" w:lineRule="auto"/>
            </w:pPr>
            <w:r/>
            <w:r>
              <w:rPr>
                <w:rFonts w:ascii="Arial" w:hAnsi="Arial" w:cs="Arial"/>
                <w:b w:val="0"/>
                <w:i w:val="0"/>
                <w:sz w:val="17"/>
              </w:rPr>
              <w:t>Legal entity, core infrastructure, one pilot exporter end-to-end with real documents and payments</w:t>
            </w:r>
          </w:p>
        </w:tc>
        <w:tc>
          <w:tcPr>
            <w:tcW w:type="dxa" w:w="1928"/>
          </w:tcPr>
          <w:p>
            <w:pPr>
              <w:spacing w:after="20" w:before="20" w:line="240" w:lineRule="auto"/>
            </w:pPr>
            <w:r/>
            <w:r>
              <w:rPr>
                <w:rFonts w:ascii="Arial" w:hAnsi="Arial" w:cs="Arial"/>
                <w:b w:val="0"/>
                <w:i w:val="0"/>
                <w:sz w:val="17"/>
              </w:rPr>
              <w:t>Identity (GTID, ZITADEL), Governor core (OPA + WasmEdge + Loom), single-corridor trade request → quote → contract → fee → USTN → shipment → settlement, Smart Inbox first release</w:t>
            </w:r>
          </w:p>
        </w:tc>
        <w:tc>
          <w:tcPr>
            <w:tcW w:type="dxa" w:w="1928"/>
          </w:tcPr>
          <w:p>
            <w:pPr>
              <w:spacing w:after="20" w:before="20" w:line="240" w:lineRule="auto"/>
            </w:pPr>
            <w:r/>
            <w:r>
              <w:rPr>
                <w:rFonts w:ascii="Arial" w:hAnsi="Arial" w:cs="Arial"/>
                <w:b w:val="0"/>
                <w:i w:val="0"/>
                <w:sz w:val="17"/>
              </w:rPr>
              <w:t>Multi-shipment; non-uniform stacking; logistics modes B/C; conditional QC; deferred payment; milestone settlement; ZK proofs; distressed cargo full workflow; Trade Memory; predictive insights; Trust Passport</w:t>
            </w:r>
          </w:p>
        </w:tc>
      </w:tr>
      <w:tr>
        <w:tc>
          <w:tcPr>
            <w:tcW w:type="dxa" w:w="1928"/>
          </w:tcPr>
          <w:p>
            <w:pPr>
              <w:spacing w:after="20" w:before="20" w:line="240" w:lineRule="auto"/>
            </w:pPr>
            <w:r/>
            <w:r>
              <w:rPr>
                <w:rFonts w:ascii="Arial" w:hAnsi="Arial" w:cs="Arial"/>
                <w:b w:val="0"/>
                <w:i w:val="0"/>
                <w:sz w:val="17"/>
              </w:rPr>
              <w:t>1 — Agricultural Exports MVP</w:t>
            </w:r>
          </w:p>
        </w:tc>
        <w:tc>
          <w:tcPr>
            <w:tcW w:type="dxa" w:w="1928"/>
          </w:tcPr>
          <w:p>
            <w:pPr>
              <w:spacing w:after="20" w:before="20" w:line="240" w:lineRule="auto"/>
            </w:pPr>
            <w:r/>
            <w:r>
              <w:rPr>
                <w:rFonts w:ascii="Arial" w:hAnsi="Arial" w:cs="Arial"/>
                <w:b w:val="0"/>
                <w:i w:val="0"/>
                <w:sz w:val="17"/>
              </w:rPr>
              <w:t>Months 4–9</w:t>
            </w:r>
          </w:p>
        </w:tc>
        <w:tc>
          <w:tcPr>
            <w:tcW w:type="dxa" w:w="1928"/>
          </w:tcPr>
          <w:p>
            <w:pPr>
              <w:spacing w:after="20" w:before="20" w:line="240" w:lineRule="auto"/>
            </w:pPr>
            <w:r/>
            <w:r>
              <w:rPr>
                <w:rFonts w:ascii="Arial" w:hAnsi="Arial" w:cs="Arial"/>
                <w:b w:val="0"/>
                <w:i w:val="0"/>
                <w:sz w:val="17"/>
              </w:rPr>
              <w:t>Production-ready for agricultural exports (HS 06–11) on limited corridors (e.g., Egypt → EU, Egypt → UAE); voluntary adoption up to 50 exporters</w:t>
            </w:r>
          </w:p>
        </w:tc>
        <w:tc>
          <w:tcPr>
            <w:tcW w:type="dxa" w:w="1928"/>
          </w:tcPr>
          <w:p>
            <w:pPr>
              <w:spacing w:after="20" w:before="20" w:line="240" w:lineRule="auto"/>
            </w:pPr>
            <w:r/>
            <w:r>
              <w:rPr>
                <w:rFonts w:ascii="Arial" w:hAnsi="Arial" w:cs="Arial"/>
                <w:b w:val="0"/>
                <w:i w:val="0"/>
                <w:sz w:val="17"/>
              </w:rPr>
              <w:t>CFR pre-clearance, lab/QC requirements, capability-based provider selection, financing RFQ (single financier), full Phase 5 tracking, reconciliation, TRI first release</w:t>
            </w:r>
          </w:p>
        </w:tc>
        <w:tc>
          <w:tcPr>
            <w:tcW w:type="dxa" w:w="1928"/>
          </w:tcPr>
          <w:p>
            <w:pPr>
              <w:spacing w:after="20" w:before="20" w:line="240" w:lineRule="auto"/>
            </w:pPr>
            <w:r/>
            <w:r>
              <w:rPr>
                <w:rFonts w:ascii="Arial" w:hAnsi="Arial" w:cs="Arial"/>
                <w:b w:val="0"/>
                <w:i w:val="0"/>
                <w:sz w:val="17"/>
              </w:rPr>
              <w:t>Multi-shipment; modes B/C; conditional QC; deferred payment; milestone settlement; ZK proofs; accelerated distressed outreach; third-party experts; causal inference; Trade Memory; predictive insights; Trust Passport</w:t>
            </w:r>
          </w:p>
        </w:tc>
      </w:tr>
      <w:tr>
        <w:tc>
          <w:tcPr>
            <w:tcW w:type="dxa" w:w="1928"/>
          </w:tcPr>
          <w:p>
            <w:pPr>
              <w:spacing w:after="20" w:before="20" w:line="240" w:lineRule="auto"/>
            </w:pPr>
            <w:r/>
            <w:r>
              <w:rPr>
                <w:rFonts w:ascii="Arial" w:hAnsi="Arial" w:cs="Arial"/>
                <w:b w:val="0"/>
                <w:i w:val="0"/>
                <w:sz w:val="17"/>
              </w:rPr>
              <w:t>2 — Multi-Shipment, Financing &amp; Advanced Logistics</w:t>
            </w:r>
          </w:p>
        </w:tc>
        <w:tc>
          <w:tcPr>
            <w:tcW w:type="dxa" w:w="1928"/>
          </w:tcPr>
          <w:p>
            <w:pPr>
              <w:spacing w:after="20" w:before="20" w:line="240" w:lineRule="auto"/>
            </w:pPr>
            <w:r/>
            <w:r>
              <w:rPr>
                <w:rFonts w:ascii="Arial" w:hAnsi="Arial" w:cs="Arial"/>
                <w:b w:val="0"/>
                <w:i w:val="0"/>
                <w:sz w:val="17"/>
              </w:rPr>
              <w:t>Months 10–18</w:t>
            </w:r>
          </w:p>
        </w:tc>
        <w:tc>
          <w:tcPr>
            <w:tcW w:type="dxa" w:w="1928"/>
          </w:tcPr>
          <w:p>
            <w:pPr>
              <w:spacing w:after="20" w:before="20" w:line="240" w:lineRule="auto"/>
            </w:pPr>
            <w:r/>
            <w:r>
              <w:rPr>
                <w:rFonts w:ascii="Arial" w:hAnsi="Arial" w:cs="Arial"/>
                <w:b w:val="0"/>
                <w:i w:val="0"/>
                <w:sz w:val="17"/>
              </w:rPr>
              <w:t>Multi-shipment contracts, trade finance (co-financing, financier portal), logistics modes B and C, non-uniform stacking, conditional QC, distressed cargo full workflow, milestone partial settlement; more corridors and participating banks</w:t>
            </w:r>
          </w:p>
        </w:tc>
        <w:tc>
          <w:tcPr>
            <w:tcW w:type="dxa" w:w="1928"/>
          </w:tcPr>
          <w:p>
            <w:pPr>
              <w:spacing w:after="20" w:before="20" w:line="240" w:lineRule="auto"/>
            </w:pPr>
            <w:r/>
            <w:r>
              <w:rPr>
                <w:rFonts w:ascii="Arial" w:hAnsi="Arial" w:cs="Arial"/>
                <w:b w:val="0"/>
                <w:i w:val="0"/>
                <w:sz w:val="17"/>
              </w:rPr>
              <w:t>Everything in Phase 1 plus the full Phase 4 financing domain</w:t>
            </w:r>
          </w:p>
        </w:tc>
        <w:tc>
          <w:tcPr>
            <w:tcW w:type="dxa" w:w="1928"/>
          </w:tcPr>
          <w:p>
            <w:pPr>
              <w:spacing w:after="20" w:before="20" w:line="240" w:lineRule="auto"/>
            </w:pPr>
            <w:r/>
            <w:r>
              <w:rPr>
                <w:rFonts w:ascii="Arial" w:hAnsi="Arial" w:cs="Arial"/>
                <w:b w:val="0"/>
                <w:i w:val="0"/>
                <w:sz w:val="17"/>
              </w:rPr>
              <w:t>Imports; full add-on catalogue</w:t>
            </w:r>
          </w:p>
        </w:tc>
      </w:tr>
      <w:tr>
        <w:tc>
          <w:tcPr>
            <w:tcW w:type="dxa" w:w="1928"/>
          </w:tcPr>
          <w:p>
            <w:pPr>
              <w:spacing w:after="20" w:before="20" w:line="240" w:lineRule="auto"/>
            </w:pPr>
            <w:r/>
            <w:r>
              <w:rPr>
                <w:rFonts w:ascii="Arial" w:hAnsi="Arial" w:cs="Arial"/>
                <w:b w:val="0"/>
                <w:i w:val="0"/>
                <w:sz w:val="17"/>
              </w:rPr>
              <w:t>3 — Imports &amp; Full Add-Ons</w:t>
            </w:r>
          </w:p>
        </w:tc>
        <w:tc>
          <w:tcPr>
            <w:tcW w:type="dxa" w:w="1928"/>
          </w:tcPr>
          <w:p>
            <w:pPr>
              <w:spacing w:after="20" w:before="20" w:line="240" w:lineRule="auto"/>
            </w:pPr>
            <w:r/>
            <w:r>
              <w:rPr>
                <w:rFonts w:ascii="Arial" w:hAnsi="Arial" w:cs="Arial"/>
                <w:b w:val="0"/>
                <w:i w:val="0"/>
                <w:sz w:val="17"/>
              </w:rPr>
              <w:t>Months 19–30</w:t>
            </w:r>
          </w:p>
        </w:tc>
        <w:tc>
          <w:tcPr>
            <w:tcW w:type="dxa" w:w="1928"/>
          </w:tcPr>
          <w:p>
            <w:pPr>
              <w:spacing w:after="20" w:before="20" w:line="240" w:lineRule="auto"/>
            </w:pPr>
            <w:r/>
            <w:r>
              <w:rPr>
                <w:rFonts w:ascii="Arial" w:hAnsi="Arial" w:cs="Arial"/>
                <w:b w:val="0"/>
                <w:i w:val="0"/>
                <w:sz w:val="17"/>
              </w:rPr>
              <w:t>Import functionality (Form 4, duties, local payment batch) and the seven critical add-ons (GNN, federated learning, self-healing, automated pentesting, post-quantum cryptography, expanded ZK); full national coverage; mandate preparation</w:t>
            </w:r>
          </w:p>
        </w:tc>
        <w:tc>
          <w:tcPr>
            <w:tcW w:type="dxa" w:w="1928"/>
          </w:tcPr>
          <w:p>
            <w:pPr>
              <w:spacing w:after="20" w:before="20" w:line="240" w:lineRule="auto"/>
            </w:pPr>
            <w:r/>
            <w:r>
              <w:rPr>
                <w:rFonts w:ascii="Arial" w:hAnsi="Arial" w:cs="Arial"/>
                <w:b w:val="0"/>
                <w:i w:val="0"/>
                <w:sz w:val="17"/>
              </w:rPr>
              <w:t>Full add-on catalogue, sovereign node hardening</w:t>
            </w:r>
          </w:p>
        </w:tc>
        <w:tc>
          <w:tcPr>
            <w:tcW w:type="dxa" w:w="1928"/>
          </w:tcPr>
          <w:p>
            <w:pPr>
              <w:spacing w:after="20" w:before="20" w:line="240" w:lineRule="auto"/>
            </w:pPr>
            <w:r/>
            <w:r>
              <w:rPr>
                <w:rFonts w:ascii="Arial" w:hAnsi="Arial" w:cs="Arial"/>
                <w:b w:val="0"/>
                <w:i w:val="0"/>
                <w:sz w:val="17"/>
              </w:rPr>
              <w:t>—</w:t>
            </w:r>
          </w:p>
        </w:tc>
      </w:tr>
      <w:tr>
        <w:tc>
          <w:tcPr>
            <w:tcW w:type="dxa" w:w="1928"/>
          </w:tcPr>
          <w:p>
            <w:pPr>
              <w:spacing w:after="20" w:before="20" w:line="240" w:lineRule="auto"/>
            </w:pPr>
            <w:r/>
            <w:r>
              <w:rPr>
                <w:rFonts w:ascii="Arial" w:hAnsi="Arial" w:cs="Arial"/>
                <w:b w:val="0"/>
                <w:i w:val="0"/>
                <w:sz w:val="17"/>
              </w:rPr>
              <w:t>4 — Global Expansion &amp; Continuous Evolution</w:t>
            </w:r>
          </w:p>
        </w:tc>
        <w:tc>
          <w:tcPr>
            <w:tcW w:type="dxa" w:w="1928"/>
          </w:tcPr>
          <w:p>
            <w:pPr>
              <w:spacing w:after="20" w:before="20" w:line="240" w:lineRule="auto"/>
            </w:pPr>
            <w:r/>
            <w:r>
              <w:rPr>
                <w:rFonts w:ascii="Arial" w:hAnsi="Arial" w:cs="Arial"/>
                <w:b w:val="0"/>
                <w:i w:val="0"/>
                <w:sz w:val="17"/>
              </w:rPr>
              <w:t>Years 3–5</w:t>
            </w:r>
          </w:p>
        </w:tc>
        <w:tc>
          <w:tcPr>
            <w:tcW w:type="dxa" w:w="1928"/>
          </w:tcPr>
          <w:p>
            <w:pPr>
              <w:spacing w:after="20" w:before="20" w:line="240" w:lineRule="auto"/>
            </w:pPr>
            <w:r/>
            <w:r>
              <w:rPr>
                <w:rFonts w:ascii="Arial" w:hAnsi="Arial" w:cs="Arial"/>
                <w:b w:val="0"/>
                <w:i w:val="0"/>
                <w:sz w:val="17"/>
              </w:rPr>
              <w:t>Partner-country expansion (first UAE, then Germany, Vietnam, and beyond), sovereign nodes per region, mutual USTN recognition, market-feedback evolution</w:t>
            </w:r>
          </w:p>
        </w:tc>
        <w:tc>
          <w:tcPr>
            <w:tcW w:type="dxa" w:w="1928"/>
          </w:tcPr>
          <w:p>
            <w:pPr>
              <w:spacing w:after="20" w:before="20" w:line="240" w:lineRule="auto"/>
            </w:pPr>
            <w:r/>
            <w:r>
              <w:rPr>
                <w:rFonts w:ascii="Arial" w:hAnsi="Arial" w:cs="Arial"/>
                <w:b w:val="0"/>
                <w:i w:val="0"/>
                <w:sz w:val="17"/>
              </w:rPr>
              <w:t>Federated learning across international nodes; predictive scaling for new regions</w:t>
            </w:r>
          </w:p>
        </w:tc>
        <w:tc>
          <w:tcPr>
            <w:tcW w:type="dxa" w:w="1928"/>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24.2.3 Phase 0 — Foundation &amp; Pilot Preparation (Months 1–3)</w:t>
      </w:r>
    </w:p>
    <w:p>
      <w:pPr>
        <w:spacing w:after="80" w:line="293" w:lineRule="auto"/>
        <w:jc w:val="left"/>
      </w:pPr>
      <w:r>
        <w:rPr>
          <w:rFonts w:ascii="Times New Roman" w:hAnsi="Times New Roman" w:cs="Times New Roman"/>
          <w:b w:val="0"/>
          <w:i w:val="0"/>
          <w:sz w:val="22"/>
        </w:rPr>
        <w:t>Objective: establish the legal entity, core infrastructure, and a single pilot exporter (e.g., frozen strawberries) to prove the concept end-to-end with real documents and payments.</w:t>
      </w:r>
    </w:p>
    <w:p>
      <w:pPr>
        <w:spacing w:after="80" w:line="293" w:lineRule="auto"/>
        <w:jc w:val="left"/>
      </w:pPr>
      <w:r>
        <w:rPr>
          <w:rFonts w:ascii="Times New Roman" w:hAnsi="Times New Roman" w:cs="Times New Roman"/>
          <w:b w:val="0"/>
          <w:i w:val="0"/>
          <w:sz w:val="22"/>
        </w:rPr>
        <w:t>Core deliverables:</w:t>
      </w:r>
    </w:p>
    <w:p>
      <w:pPr>
        <w:spacing w:after="80" w:line="293" w:lineRule="auto"/>
        <w:ind w:left="283"/>
        <w:jc w:val="left"/>
      </w:pPr>
      <w:r>
        <w:rPr>
          <w:rFonts w:ascii="Times New Roman" w:hAnsi="Times New Roman" w:cs="Times New Roman"/>
          <w:b w:val="0"/>
          <w:i w:val="0"/>
          <w:sz w:val="22"/>
        </w:rPr>
        <w:t>- Legal entity formation and regulatory engagement (CBE, Customs, Ministry of Trade).</w:t>
      </w:r>
    </w:p>
    <w:p>
      <w:pPr>
        <w:spacing w:after="80" w:line="293" w:lineRule="auto"/>
        <w:ind w:left="283"/>
        <w:jc w:val="left"/>
      </w:pPr>
      <w:r>
        <w:rPr>
          <w:rFonts w:ascii="Times New Roman" w:hAnsi="Times New Roman" w:cs="Times New Roman"/>
          <w:b w:val="0"/>
          <w:i w:val="0"/>
          <w:sz w:val="22"/>
        </w:rPr>
        <w:t>- Identity layer: GTID issuance and ZITADEL deployment (see Section 4).</w:t>
      </w:r>
    </w:p>
    <w:p>
      <w:pPr>
        <w:spacing w:after="80" w:line="293" w:lineRule="auto"/>
        <w:ind w:left="283"/>
        <w:jc w:val="left"/>
      </w:pPr>
      <w:r>
        <w:rPr>
          <w:rFonts w:ascii="Times New Roman" w:hAnsi="Times New Roman" w:cs="Times New Roman"/>
          <w:b w:val="0"/>
          <w:i w:val="0"/>
          <w:sz w:val="22"/>
        </w:rPr>
        <w:t>- Governor core: OPA + WasmEdge + Loom with the constitutional gate set (see Sections 3 and 15).</w:t>
      </w:r>
    </w:p>
    <w:p>
      <w:pPr>
        <w:spacing w:after="80" w:line="293" w:lineRule="auto"/>
        <w:ind w:left="283"/>
        <w:jc w:val="left"/>
      </w:pPr>
      <w:r>
        <w:rPr>
          <w:rFonts w:ascii="Times New Roman" w:hAnsi="Times New Roman" w:cs="Times New Roman"/>
          <w:b w:val="0"/>
          <w:i w:val="0"/>
          <w:sz w:val="22"/>
        </w:rPr>
        <w:t>- Single-corridor trade execution path: trade request → quote → contract → fee → USTN → shipment → settlement</w:t>
      </w:r>
    </w:p>
    <w:p>
      <w:pPr>
        <w:spacing w:after="80" w:line="293" w:lineRule="auto"/>
        <w:jc w:val="left"/>
      </w:pPr>
      <w:r>
        <w:rPr>
          <w:rFonts w:ascii="Times New Roman" w:hAnsi="Times New Roman" w:cs="Times New Roman"/>
          <w:b w:val="0"/>
          <w:i w:val="0"/>
          <w:sz w:val="22"/>
        </w:rPr>
        <w:t>(see Sections 6 through 13).</w:t>
      </w:r>
    </w:p>
    <w:p>
      <w:pPr>
        <w:spacing w:after="80" w:line="293" w:lineRule="auto"/>
        <w:ind w:left="283"/>
        <w:jc w:val="left"/>
      </w:pPr>
      <w:r>
        <w:rPr>
          <w:rFonts w:ascii="Times New Roman" w:hAnsi="Times New Roman" w:cs="Times New Roman"/>
          <w:b w:val="0"/>
          <w:i w:val="0"/>
          <w:sz w:val="22"/>
        </w:rPr>
        <w:t>- Smart Inbox first release as the default landing surface (see Section 16).</w:t>
      </w:r>
    </w:p>
    <w:p>
      <w:pPr>
        <w:spacing w:after="80" w:line="293" w:lineRule="auto"/>
        <w:jc w:val="left"/>
      </w:pPr>
      <w:r>
        <w:rPr>
          <w:rFonts w:ascii="Times New Roman" w:hAnsi="Times New Roman" w:cs="Times New Roman"/>
          <w:b w:val="0"/>
          <w:i w:val="0"/>
          <w:sz w:val="22"/>
        </w:rPr>
        <w:t>Features explicitly not in Phase 0: multi-shipment contracts, non-uniform layer stacking, Mode B/C logistics, conditional QC, deferred payment, milestone-based settlement, ZK proofs, distressed cargo full workflow, Trade Memory Layer, Predictive Insights, Trust Passport.</w:t>
      </w:r>
    </w:p>
    <w:p>
      <w:pPr>
        <w:spacing w:after="80" w:line="293" w:lineRule="auto"/>
        <w:jc w:val="left"/>
      </w:pPr>
      <w:r>
        <w:rPr>
          <w:rFonts w:ascii="Times New Roman" w:hAnsi="Times New Roman" w:cs="Times New Roman"/>
          <w:b w:val="0"/>
          <w:i w:val="0"/>
          <w:sz w:val="22"/>
        </w:rPr>
        <w:t>Dependencies: none — Phase 0 is the foundation; all subsequent phases depend on it.</w:t>
      </w:r>
    </w:p>
    <w:p>
      <w:pPr>
        <w:spacing w:after="80" w:line="293" w:lineRule="auto"/>
        <w:jc w:val="left"/>
      </w:pPr>
      <w:r>
        <w:rPr>
          <w:rFonts w:ascii="Times New Roman" w:hAnsi="Times New Roman" w:cs="Times New Roman"/>
          <w:b w:val="0"/>
          <w:i w:val="0"/>
          <w:sz w:val="22"/>
        </w:rPr>
        <w:t>Success criteria: the pilot exporter completes one end-to-end trade with real documents and real payments; the Governor, Loom, and settlement paths operate under the controls of Sections 15, 19, and 13 respectively.</w:t>
      </w:r>
    </w:p>
    <w:p>
      <w:pPr>
        <w:spacing w:after="80" w:line="293" w:lineRule="auto"/>
        <w:jc w:val="left"/>
      </w:pPr>
      <w:r>
        <w:rPr>
          <w:rFonts w:ascii="Times New Roman" w:hAnsi="Times New Roman" w:cs="Times New Roman"/>
          <w:b w:val="0"/>
          <w:i w:val="0"/>
          <w:sz w:val="22"/>
        </w:rPr>
        <w:t>Timeline: months 1–3.</w:t>
      </w:r>
    </w:p>
    <w:p>
      <w:pPr>
        <w:spacing w:after="80" w:line="293" w:lineRule="auto"/>
        <w:jc w:val="left"/>
      </w:pPr>
      <w:r>
        <w:rPr>
          <w:rFonts w:ascii="Times New Roman" w:hAnsi="Times New Roman" w:cs="Times New Roman"/>
          <w:b w:val="0"/>
          <w:i w:val="0"/>
          <w:sz w:val="22"/>
        </w:rPr>
        <w:t>AI assistance: use Groq to generate weekly status reports for stakeholders, summarising progress and risks.</w:t>
      </w:r>
    </w:p>
    <w:p>
      <w:pPr>
        <w:keepNext/>
        <w:spacing w:before="180" w:after="80"/>
        <w:outlineLvl w:val="2"/>
      </w:pPr>
      <w:r>
        <w:rPr>
          <w:rFonts w:ascii="Arial" w:hAnsi="Arial" w:cs="Arial"/>
          <w:b/>
          <w:i w:val="0"/>
          <w:color w:val="333333"/>
          <w:sz w:val="23"/>
        </w:rPr>
        <w:t>24.2.4 Phase 1 — Agricultural Exports MVP (Months 4–9)</w:t>
      </w:r>
    </w:p>
    <w:p>
      <w:pPr>
        <w:spacing w:after="80" w:line="293" w:lineRule="auto"/>
        <w:jc w:val="left"/>
      </w:pPr>
      <w:r>
        <w:rPr>
          <w:rFonts w:ascii="Times New Roman" w:hAnsi="Times New Roman" w:cs="Times New Roman"/>
          <w:b w:val="0"/>
          <w:i w:val="0"/>
          <w:sz w:val="22"/>
        </w:rPr>
        <w:t>Objective: launch a production-ready platform for agricultural exports (HS 06–11) for a limited set of corridors (Egypt → EU, Egypt → UAE). The mandate is not yet enforced; voluntary adoption by up to 50 exporters.</w:t>
      </w:r>
    </w:p>
    <w:p>
      <w:pPr>
        <w:spacing w:after="80" w:line="293" w:lineRule="auto"/>
        <w:jc w:val="left"/>
      </w:pPr>
      <w:r>
        <w:rPr>
          <w:rFonts w:ascii="Times New Roman" w:hAnsi="Times New Roman" w:cs="Times New Roman"/>
          <w:b w:val="0"/>
          <w:i w:val="0"/>
          <w:sz w:val="22"/>
        </w:rPr>
        <w:t>Core deliverables:</w:t>
      </w:r>
    </w:p>
    <w:p>
      <w:pPr>
        <w:spacing w:after="80" w:line="293" w:lineRule="auto"/>
        <w:ind w:left="283"/>
        <w:jc w:val="left"/>
      </w:pPr>
      <w:r>
        <w:rPr>
          <w:rFonts w:ascii="Times New Roman" w:hAnsi="Times New Roman" w:cs="Times New Roman"/>
          <w:b w:val="0"/>
          <w:i w:val="0"/>
          <w:sz w:val="22"/>
        </w:rPr>
        <w:t>- CFR financing pre-clearance (see Section 7).</w:t>
      </w:r>
    </w:p>
    <w:p>
      <w:pPr>
        <w:spacing w:after="80" w:line="293" w:lineRule="auto"/>
        <w:ind w:left="283"/>
        <w:jc w:val="left"/>
      </w:pPr>
      <w:r>
        <w:rPr>
          <w:rFonts w:ascii="Times New Roman" w:hAnsi="Times New Roman" w:cs="Times New Roman"/>
          <w:b w:val="0"/>
          <w:i w:val="0"/>
          <w:sz w:val="22"/>
        </w:rPr>
        <w:t>- Lab and QC requirement enforcement, including mandatory-test lock (G1U4, see Section 15).</w:t>
      </w:r>
    </w:p>
    <w:p>
      <w:pPr>
        <w:spacing w:after="80" w:line="293" w:lineRule="auto"/>
        <w:ind w:left="283"/>
        <w:jc w:val="left"/>
      </w:pPr>
      <w:r>
        <w:rPr>
          <w:rFonts w:ascii="Times New Roman" w:hAnsi="Times New Roman" w:cs="Times New Roman"/>
          <w:b w:val="0"/>
          <w:i w:val="0"/>
          <w:sz w:val="22"/>
        </w:rPr>
        <w:t>- Capability-based provider selection on service_capabilities and Provider Port Coverage (see Section 11).</w:t>
      </w:r>
    </w:p>
    <w:p>
      <w:pPr>
        <w:spacing w:after="80" w:line="293" w:lineRule="auto"/>
        <w:ind w:left="283"/>
        <w:jc w:val="left"/>
      </w:pPr>
      <w:r>
        <w:rPr>
          <w:rFonts w:ascii="Times New Roman" w:hAnsi="Times New Roman" w:cs="Times New Roman"/>
          <w:b w:val="0"/>
          <w:i w:val="0"/>
          <w:sz w:val="22"/>
        </w:rPr>
        <w:t>- Financing RFQ with a single financier (see Section 10).</w:t>
      </w:r>
    </w:p>
    <w:p>
      <w:pPr>
        <w:spacing w:after="80" w:line="293" w:lineRule="auto"/>
        <w:ind w:left="283"/>
        <w:jc w:val="left"/>
      </w:pPr>
      <w:r>
        <w:rPr>
          <w:rFonts w:ascii="Times New Roman" w:hAnsi="Times New Roman" w:cs="Times New Roman"/>
          <w:b w:val="0"/>
          <w:i w:val="0"/>
          <w:sz w:val="22"/>
        </w:rPr>
        <w:t>- Full physical-execution tracking (see Section 12) and reconciliation (see Section 14).</w:t>
      </w:r>
    </w:p>
    <w:p>
      <w:pPr>
        <w:spacing w:after="80" w:line="293" w:lineRule="auto"/>
        <w:ind w:left="283"/>
        <w:jc w:val="left"/>
      </w:pPr>
      <w:r>
        <w:rPr>
          <w:rFonts w:ascii="Times New Roman" w:hAnsi="Times New Roman" w:cs="Times New Roman"/>
          <w:b w:val="0"/>
          <w:i w:val="0"/>
          <w:sz w:val="22"/>
        </w:rPr>
        <w:t>- Trade Reliability Index first release (see Section 23).</w:t>
      </w:r>
    </w:p>
    <w:p>
      <w:pPr>
        <w:spacing w:after="80" w:line="293" w:lineRule="auto"/>
        <w:jc w:val="left"/>
      </w:pPr>
      <w:r>
        <w:rPr>
          <w:rFonts w:ascii="Times New Roman" w:hAnsi="Times New Roman" w:cs="Times New Roman"/>
          <w:b w:val="0"/>
          <w:i w:val="0"/>
          <w:sz w:val="22"/>
        </w:rPr>
        <w:t>Features explicitly not in Phase 1: multi-shipment contracts, Mode B/C logistics, conditional QC, deferred payment, milestone-based settlement, ZK proofs, accelerated distressed outreach, third-party expert, causal inference, Trade Memory Layer, Predictive Insights, Trust Passport.</w:t>
      </w:r>
    </w:p>
    <w:p>
      <w:pPr>
        <w:spacing w:after="80" w:line="293" w:lineRule="auto"/>
        <w:jc w:val="left"/>
      </w:pPr>
      <w:r>
        <w:rPr>
          <w:rFonts w:ascii="Times New Roman" w:hAnsi="Times New Roman" w:cs="Times New Roman"/>
          <w:b w:val="0"/>
          <w:i w:val="0"/>
          <w:sz w:val="22"/>
        </w:rPr>
        <w:t>Dependencies: Phase 0 complete (identity, Governor core, single-corridor execution path).</w:t>
      </w:r>
    </w:p>
    <w:p>
      <w:pPr>
        <w:spacing w:after="80" w:line="293" w:lineRule="auto"/>
        <w:jc w:val="left"/>
      </w:pPr>
      <w:r>
        <w:rPr>
          <w:rFonts w:ascii="Times New Roman" w:hAnsi="Times New Roman" w:cs="Times New Roman"/>
          <w:b w:val="0"/>
          <w:i w:val="0"/>
          <w:sz w:val="22"/>
        </w:rPr>
        <w:t>Success criteria: production readiness on the two launch corridors for HS 06–11; voluntary adoption by up to 50 exporters; SLA monitoring active per Section 21.8.</w:t>
      </w:r>
    </w:p>
    <w:p>
      <w:pPr>
        <w:spacing w:after="80" w:line="293" w:lineRule="auto"/>
        <w:jc w:val="left"/>
      </w:pPr>
      <w:r>
        <w:rPr>
          <w:rFonts w:ascii="Times New Roman" w:hAnsi="Times New Roman" w:cs="Times New Roman"/>
          <w:b w:val="0"/>
          <w:i w:val="0"/>
          <w:sz w:val="22"/>
        </w:rPr>
        <w:t>Timeline: months 4–9.</w:t>
      </w:r>
    </w:p>
    <w:p>
      <w:pPr>
        <w:spacing w:after="80" w:line="293" w:lineRule="auto"/>
        <w:jc w:val="left"/>
      </w:pPr>
      <w:r>
        <w:rPr>
          <w:rFonts w:ascii="Times New Roman" w:hAnsi="Times New Roman" w:cs="Times New Roman"/>
          <w:b w:val="0"/>
          <w:i w:val="0"/>
          <w:sz w:val="22"/>
        </w:rPr>
        <w:t>AI assistance: use Groq to generate Smart Inbox titles, tenant messages, and dispute mediation suggestions (advisory). Use HF local for document extraction during onboarding.</w:t>
      </w:r>
    </w:p>
    <w:p>
      <w:pPr>
        <w:keepNext/>
        <w:spacing w:before="180" w:after="80"/>
        <w:outlineLvl w:val="2"/>
      </w:pPr>
      <w:r>
        <w:rPr>
          <w:rFonts w:ascii="Arial" w:hAnsi="Arial" w:cs="Arial"/>
          <w:b/>
          <w:i w:val="0"/>
          <w:color w:val="333333"/>
          <w:sz w:val="23"/>
        </w:rPr>
        <w:t>24.2.5 Phase 2 — Multi-Shipment, Financing &amp; Advanced Logistics (Months 10–18)</w:t>
      </w:r>
    </w:p>
    <w:p>
      <w:pPr>
        <w:spacing w:after="80" w:line="293" w:lineRule="auto"/>
        <w:jc w:val="left"/>
      </w:pPr>
      <w:r>
        <w:rPr>
          <w:rFonts w:ascii="Times New Roman" w:hAnsi="Times New Roman" w:cs="Times New Roman"/>
          <w:b w:val="0"/>
          <w:i w:val="0"/>
          <w:sz w:val="22"/>
        </w:rPr>
        <w:t>Objective: add multi-shipment contracts, trade finance (co-financing, financier portal), advanced logistics modes (B and C), non-uniform layer stacking, conditional QC, distressed cargo full workflow, and milestone-based partial settlement. Expand to more corridors and additional participating banks.</w:t>
      </w:r>
    </w:p>
    <w:p>
      <w:pPr>
        <w:spacing w:after="80" w:line="293" w:lineRule="auto"/>
        <w:jc w:val="left"/>
      </w:pPr>
      <w:r>
        <w:rPr>
          <w:rFonts w:ascii="Times New Roman" w:hAnsi="Times New Roman" w:cs="Times New Roman"/>
          <w:b w:val="0"/>
          <w:i w:val="0"/>
          <w:sz w:val="22"/>
        </w:rPr>
        <w:t>Core deliverables:</w:t>
      </w:r>
    </w:p>
    <w:p>
      <w:pPr>
        <w:spacing w:after="80" w:line="293" w:lineRule="auto"/>
        <w:ind w:left="283"/>
        <w:jc w:val="left"/>
      </w:pPr>
      <w:r>
        <w:rPr>
          <w:rFonts w:ascii="Times New Roman" w:hAnsi="Times New Roman" w:cs="Times New Roman"/>
          <w:b w:val="0"/>
          <w:i w:val="0"/>
          <w:sz w:val="22"/>
        </w:rPr>
        <w:t>- Multi-shipment contracts with per-shipment fees, amendments, and independent execution (see Section 9).</w:t>
      </w:r>
    </w:p>
    <w:p>
      <w:pPr>
        <w:spacing w:after="80" w:line="293" w:lineRule="auto"/>
        <w:ind w:left="283"/>
        <w:jc w:val="left"/>
      </w:pPr>
      <w:r>
        <w:rPr>
          <w:rFonts w:ascii="Times New Roman" w:hAnsi="Times New Roman" w:cs="Times New Roman"/>
          <w:b w:val="0"/>
          <w:i w:val="0"/>
          <w:sz w:val="22"/>
        </w:rPr>
        <w:t>- Full trade finance domain: co-financing, financier portal, financing finality states (see Section 10).</w:t>
      </w:r>
    </w:p>
    <w:p>
      <w:pPr>
        <w:spacing w:after="80" w:line="293" w:lineRule="auto"/>
        <w:ind w:left="283"/>
        <w:jc w:val="left"/>
      </w:pPr>
      <w:r>
        <w:rPr>
          <w:rFonts w:ascii="Times New Roman" w:hAnsi="Times New Roman" w:cs="Times New Roman"/>
          <w:b w:val="0"/>
          <w:i w:val="0"/>
          <w:sz w:val="22"/>
        </w:rPr>
        <w:t>- Logistics Mode B (RFQ) and Mode C (direct to SHIP), non-uniform layer stacking (see Sections 8 and 12).</w:t>
      </w:r>
    </w:p>
    <w:p>
      <w:pPr>
        <w:spacing w:after="80" w:line="293" w:lineRule="auto"/>
        <w:ind w:left="283"/>
        <w:jc w:val="left"/>
      </w:pPr>
      <w:r>
        <w:rPr>
          <w:rFonts w:ascii="Times New Roman" w:hAnsi="Times New Roman" w:cs="Times New Roman"/>
          <w:b w:val="0"/>
          <w:i w:val="0"/>
          <w:sz w:val="22"/>
        </w:rPr>
        <w:t>- Conditional QC holds and deferred payment guarantees (see Sections 12 and 13).</w:t>
      </w:r>
    </w:p>
    <w:p>
      <w:pPr>
        <w:spacing w:after="80" w:line="293" w:lineRule="auto"/>
        <w:ind w:left="283"/>
        <w:jc w:val="left"/>
      </w:pPr>
      <w:r>
        <w:rPr>
          <w:rFonts w:ascii="Times New Roman" w:hAnsi="Times New Roman" w:cs="Times New Roman"/>
          <w:b w:val="0"/>
          <w:i w:val="0"/>
          <w:sz w:val="22"/>
        </w:rPr>
        <w:t>- Distressed cargo full workflow and milestone partial settlement (see Sections 13 and 14).</w:t>
      </w:r>
    </w:p>
    <w:p>
      <w:pPr>
        <w:spacing w:after="80" w:line="293" w:lineRule="auto"/>
        <w:ind w:left="283"/>
        <w:jc w:val="left"/>
      </w:pPr>
      <w:r>
        <w:rPr>
          <w:rFonts w:ascii="Times New Roman" w:hAnsi="Times New Roman" w:cs="Times New Roman"/>
          <w:b w:val="0"/>
          <w:i w:val="0"/>
          <w:sz w:val="22"/>
        </w:rPr>
        <w:t>- Additional corridors and participating banks.</w:t>
      </w:r>
    </w:p>
    <w:p>
      <w:pPr>
        <w:spacing w:after="80" w:line="293" w:lineRule="auto"/>
        <w:jc w:val="left"/>
      </w:pPr>
      <w:r>
        <w:rPr>
          <w:rFonts w:ascii="Times New Roman" w:hAnsi="Times New Roman" w:cs="Times New Roman"/>
          <w:b w:val="0"/>
          <w:i w:val="0"/>
          <w:sz w:val="22"/>
        </w:rPr>
        <w:t>Features explicitly not in Phase 2: imports; the full add-on catalogue (Phase 3).</w:t>
      </w:r>
    </w:p>
    <w:p>
      <w:pPr>
        <w:spacing w:after="80" w:line="293" w:lineRule="auto"/>
        <w:jc w:val="left"/>
      </w:pPr>
      <w:r>
        <w:rPr>
          <w:rFonts w:ascii="Times New Roman" w:hAnsi="Times New Roman" w:cs="Times New Roman"/>
          <w:b w:val="0"/>
          <w:i w:val="0"/>
          <w:sz w:val="22"/>
        </w:rPr>
        <w:t>Dependencies: Phase 1 complete (production corridors, financing RFQ, tracking, reconciliation).</w:t>
      </w:r>
    </w:p>
    <w:p>
      <w:pPr>
        <w:spacing w:after="80" w:line="293" w:lineRule="auto"/>
        <w:jc w:val="left"/>
      </w:pPr>
      <w:r>
        <w:rPr>
          <w:rFonts w:ascii="Times New Roman" w:hAnsi="Times New Roman" w:cs="Times New Roman"/>
          <w:b w:val="0"/>
          <w:i w:val="0"/>
          <w:sz w:val="22"/>
        </w:rPr>
        <w:t>Success criteria: multi-shipment and advanced logistics flows operate under Governor control with per-shipment SLA monitoring; the financing domain supports co-financing with full disclosure controls.</w:t>
      </w:r>
    </w:p>
    <w:p>
      <w:pPr>
        <w:spacing w:after="80" w:line="293" w:lineRule="auto"/>
        <w:jc w:val="left"/>
      </w:pPr>
      <w:r>
        <w:rPr>
          <w:rFonts w:ascii="Times New Roman" w:hAnsi="Times New Roman" w:cs="Times New Roman"/>
          <w:b w:val="0"/>
          <w:i w:val="0"/>
          <w:sz w:val="22"/>
        </w:rPr>
        <w:t>Timeline: months 10–18.</w:t>
      </w:r>
    </w:p>
    <w:p>
      <w:pPr>
        <w:spacing w:after="80" w:line="293" w:lineRule="auto"/>
        <w:jc w:val="left"/>
      </w:pPr>
      <w:r>
        <w:rPr>
          <w:rFonts w:ascii="Times New Roman" w:hAnsi="Times New Roman" w:cs="Times New Roman"/>
          <w:b w:val="0"/>
          <w:i w:val="0"/>
          <w:sz w:val="22"/>
        </w:rPr>
        <w:t>AI assistance: the causal inference engine (DoWhy + EconML) is integrated into the dispute workflow; the GNN risk engine (Add-On 1) is trained and deployed.</w:t>
      </w:r>
    </w:p>
    <w:p>
      <w:pPr>
        <w:keepNext/>
        <w:spacing w:before="180" w:after="80"/>
        <w:outlineLvl w:val="2"/>
      </w:pPr>
      <w:r>
        <w:rPr>
          <w:rFonts w:ascii="Arial" w:hAnsi="Arial" w:cs="Arial"/>
          <w:b/>
          <w:i w:val="0"/>
          <w:color w:val="333333"/>
          <w:sz w:val="23"/>
        </w:rPr>
        <w:t>24.2.6 Phase 3 — Imports &amp; Full Add-Ons (Months 19–30)</w:t>
      </w:r>
    </w:p>
    <w:p>
      <w:pPr>
        <w:spacing w:after="80" w:line="293" w:lineRule="auto"/>
        <w:jc w:val="left"/>
      </w:pPr>
      <w:r>
        <w:rPr>
          <w:rFonts w:ascii="Times New Roman" w:hAnsi="Times New Roman" w:cs="Times New Roman"/>
          <w:b w:val="0"/>
          <w:i w:val="0"/>
          <w:sz w:val="22"/>
        </w:rPr>
        <w:t>Objective: launch import functionality (Form 4, duties, local payment batch) and the seven critical add-ons (GNN, federated learning, self-healing, automated pentesting, post-quantum cryptography, expanded ZK). Achieve full national coverage (all commodities, all ports) and prepare for the mandatory decree.</w:t>
      </w:r>
    </w:p>
    <w:p>
      <w:pPr>
        <w:spacing w:after="80" w:line="293" w:lineRule="auto"/>
        <w:jc w:val="left"/>
      </w:pPr>
      <w:r>
        <w:rPr>
          <w:rFonts w:ascii="Times New Roman" w:hAnsi="Times New Roman" w:cs="Times New Roman"/>
          <w:b w:val="0"/>
          <w:i w:val="0"/>
          <w:sz w:val="22"/>
        </w:rPr>
        <w:t>Core deliverables:</w:t>
      </w:r>
    </w:p>
    <w:p>
      <w:pPr>
        <w:spacing w:after="80" w:line="293" w:lineRule="auto"/>
        <w:ind w:left="283"/>
        <w:jc w:val="left"/>
      </w:pPr>
      <w:r>
        <w:rPr>
          <w:rFonts w:ascii="Times New Roman" w:hAnsi="Times New Roman" w:cs="Times New Roman"/>
          <w:b w:val="0"/>
          <w:i w:val="0"/>
          <w:sz w:val="22"/>
        </w:rPr>
        <w:t>- Import workflow: Form 4, duties calculation, local payment batch (see Sections 6 and 13).</w:t>
      </w:r>
    </w:p>
    <w:p>
      <w:pPr>
        <w:spacing w:after="80" w:line="293" w:lineRule="auto"/>
        <w:ind w:left="283"/>
        <w:jc w:val="left"/>
      </w:pPr>
      <w:r>
        <w:rPr>
          <w:rFonts w:ascii="Times New Roman" w:hAnsi="Times New Roman" w:cs="Times New Roman"/>
          <w:b w:val="0"/>
          <w:i w:val="0"/>
          <w:sz w:val="22"/>
        </w:rPr>
        <w:t>- The seven critical add-ons at Core_READY status (see Section 22).</w:t>
      </w:r>
    </w:p>
    <w:p>
      <w:pPr>
        <w:spacing w:after="80" w:line="293" w:lineRule="auto"/>
        <w:ind w:left="283"/>
        <w:jc w:val="left"/>
      </w:pPr>
      <w:r>
        <w:rPr>
          <w:rFonts w:ascii="Times New Roman" w:hAnsi="Times New Roman" w:cs="Times New Roman"/>
          <w:b w:val="0"/>
          <w:i w:val="0"/>
          <w:sz w:val="22"/>
        </w:rPr>
        <w:t>- Full national coverage and mandate preparation.</w:t>
      </w:r>
    </w:p>
    <w:p>
      <w:pPr>
        <w:spacing w:after="80" w:line="293" w:lineRule="auto"/>
        <w:jc w:val="left"/>
      </w:pPr>
      <w:r>
        <w:rPr>
          <w:rFonts w:ascii="Times New Roman" w:hAnsi="Times New Roman" w:cs="Times New Roman"/>
          <w:b w:val="0"/>
          <w:i w:val="0"/>
          <w:sz w:val="22"/>
        </w:rPr>
        <w:t>Dependencies: Phase 2 complete (multi-shipment, financing domain, conditional QC, deferred payment).</w:t>
      </w:r>
    </w:p>
    <w:p>
      <w:pPr>
        <w:spacing w:after="80" w:line="293" w:lineRule="auto"/>
        <w:jc w:val="left"/>
      </w:pPr>
      <w:r>
        <w:rPr>
          <w:rFonts w:ascii="Times New Roman" w:hAnsi="Times New Roman" w:cs="Times New Roman"/>
          <w:b w:val="0"/>
          <w:i w:val="0"/>
          <w:sz w:val="22"/>
        </w:rPr>
        <w:t>Success criteria: full national coverage across all commodities and ports; the add-on completion matrix shows the seven critical add-ons implemented, tested, and passing adversarial test suites; the platform is prepared for the mandatory decree.</w:t>
      </w:r>
    </w:p>
    <w:p>
      <w:pPr>
        <w:spacing w:after="80" w:line="293" w:lineRule="auto"/>
        <w:jc w:val="left"/>
      </w:pPr>
      <w:r>
        <w:rPr>
          <w:rFonts w:ascii="Times New Roman" w:hAnsi="Times New Roman" w:cs="Times New Roman"/>
          <w:b w:val="0"/>
          <w:i w:val="0"/>
          <w:sz w:val="22"/>
        </w:rPr>
        <w:t>Timeline: months 19–30.</w:t>
      </w:r>
    </w:p>
    <w:p>
      <w:pPr>
        <w:spacing w:after="80" w:line="293" w:lineRule="auto"/>
        <w:jc w:val="left"/>
      </w:pPr>
      <w:r>
        <w:rPr>
          <w:rFonts w:ascii="Times New Roman" w:hAnsi="Times New Roman" w:cs="Times New Roman"/>
          <w:b w:val="0"/>
          <w:i w:val="0"/>
          <w:sz w:val="22"/>
        </w:rPr>
        <w:t>AI assistance: federated learning coordinator; GNN model retrained weekly; ZK proof generation client-side (WASM).</w:t>
      </w:r>
    </w:p>
    <w:p>
      <w:pPr>
        <w:keepNext/>
        <w:spacing w:before="180" w:after="80"/>
        <w:outlineLvl w:val="2"/>
      </w:pPr>
      <w:r>
        <w:rPr>
          <w:rFonts w:ascii="Arial" w:hAnsi="Arial" w:cs="Arial"/>
          <w:b/>
          <w:i w:val="0"/>
          <w:color w:val="333333"/>
          <w:sz w:val="23"/>
        </w:rPr>
        <w:t>24.2.7 Phase 4 — Global Expansion &amp; Continuous Evolution (Years 3–5)</w:t>
      </w:r>
    </w:p>
    <w:p>
      <w:pPr>
        <w:spacing w:after="80" w:line="293" w:lineRule="auto"/>
        <w:jc w:val="left"/>
      </w:pPr>
      <w:r>
        <w:rPr>
          <w:rFonts w:ascii="Times New Roman" w:hAnsi="Times New Roman" w:cs="Times New Roman"/>
          <w:b w:val="0"/>
          <w:i w:val="0"/>
          <w:sz w:val="22"/>
        </w:rPr>
        <w:t>Objective: expand SGTX to partner countries (first UAE, then Germany, Vietnam, and beyond), deploy sovereign nodes in each region, and establish mutual recognition of USTNs. Evolve the platform based on market feedback and new regulations.</w:t>
      </w:r>
    </w:p>
    <w:p>
      <w:pPr>
        <w:spacing w:after="80" w:line="293" w:lineRule="auto"/>
        <w:jc w:val="left"/>
      </w:pPr>
      <w:r>
        <w:rPr>
          <w:rFonts w:ascii="Times New Roman" w:hAnsi="Times New Roman" w:cs="Times New Roman"/>
          <w:b w:val="0"/>
          <w:i w:val="0"/>
          <w:sz w:val="22"/>
        </w:rPr>
        <w:t>Core deliverables:</w:t>
      </w:r>
    </w:p>
    <w:p>
      <w:pPr>
        <w:spacing w:after="80" w:line="293" w:lineRule="auto"/>
        <w:ind w:left="283"/>
        <w:jc w:val="left"/>
      </w:pPr>
      <w:r>
        <w:rPr>
          <w:rFonts w:ascii="Times New Roman" w:hAnsi="Times New Roman" w:cs="Times New Roman"/>
          <w:b w:val="0"/>
          <w:i w:val="0"/>
          <w:sz w:val="22"/>
        </w:rPr>
        <w:t>- Partner-country expansion with sovereign nodes per region.</w:t>
      </w:r>
    </w:p>
    <w:p>
      <w:pPr>
        <w:spacing w:after="80" w:line="293" w:lineRule="auto"/>
        <w:ind w:left="283"/>
        <w:jc w:val="left"/>
      </w:pPr>
      <w:r>
        <w:rPr>
          <w:rFonts w:ascii="Times New Roman" w:hAnsi="Times New Roman" w:cs="Times New Roman"/>
          <w:b w:val="0"/>
          <w:i w:val="0"/>
          <w:sz w:val="22"/>
        </w:rPr>
        <w:t>- Mutual recognition of USTNs across jurisdictions.</w:t>
      </w:r>
    </w:p>
    <w:p>
      <w:pPr>
        <w:spacing w:after="80" w:line="293" w:lineRule="auto"/>
        <w:ind w:left="283"/>
        <w:jc w:val="left"/>
      </w:pPr>
      <w:r>
        <w:rPr>
          <w:rFonts w:ascii="Times New Roman" w:hAnsi="Times New Roman" w:cs="Times New Roman"/>
          <w:b w:val="0"/>
          <w:i w:val="0"/>
          <w:sz w:val="22"/>
        </w:rPr>
        <w:t>- Market-feedback evolution under constitutional change control.</w:t>
      </w:r>
    </w:p>
    <w:p>
      <w:pPr>
        <w:spacing w:after="80" w:line="293" w:lineRule="auto"/>
        <w:jc w:val="left"/>
      </w:pPr>
      <w:r>
        <w:rPr>
          <w:rFonts w:ascii="Times New Roman" w:hAnsi="Times New Roman" w:cs="Times New Roman"/>
          <w:b w:val="0"/>
          <w:i w:val="0"/>
          <w:sz w:val="22"/>
        </w:rPr>
        <w:t>Dependencies: Phase 3 complete (full national coverage, add-ons, mandate preparation).</w:t>
      </w:r>
    </w:p>
    <w:p>
      <w:pPr>
        <w:spacing w:after="80" w:line="293" w:lineRule="auto"/>
        <w:jc w:val="left"/>
      </w:pPr>
      <w:r>
        <w:rPr>
          <w:rFonts w:ascii="Times New Roman" w:hAnsi="Times New Roman" w:cs="Times New Roman"/>
          <w:b w:val="0"/>
          <w:i w:val="0"/>
          <w:sz w:val="22"/>
        </w:rPr>
        <w:t>Success criteria: sovereign nodes operate in the first partner countries with mutual USTN recognition; the expansion pipeline is governed by the Dynamic Geographic Expansion Optimizer (Section 24.2.12).</w:t>
      </w:r>
    </w:p>
    <w:p>
      <w:pPr>
        <w:spacing w:after="80" w:line="293" w:lineRule="auto"/>
        <w:jc w:val="left"/>
      </w:pPr>
      <w:r>
        <w:rPr>
          <w:rFonts w:ascii="Times New Roman" w:hAnsi="Times New Roman" w:cs="Times New Roman"/>
          <w:b w:val="0"/>
          <w:i w:val="0"/>
          <w:sz w:val="22"/>
        </w:rPr>
        <w:t>Timeline: years 3–5.</w:t>
      </w:r>
    </w:p>
    <w:p>
      <w:pPr>
        <w:spacing w:after="80" w:line="293" w:lineRule="auto"/>
        <w:jc w:val="left"/>
      </w:pPr>
      <w:r>
        <w:rPr>
          <w:rFonts w:ascii="Times New Roman" w:hAnsi="Times New Roman" w:cs="Times New Roman"/>
          <w:b w:val="0"/>
          <w:i w:val="0"/>
          <w:sz w:val="22"/>
        </w:rPr>
        <w:t>AI assistance: federated learning across international nodes; predictive scaling for new regions.</w:t>
      </w:r>
    </w:p>
    <w:p>
      <w:pPr>
        <w:keepNext/>
        <w:spacing w:before="180" w:after="80"/>
        <w:outlineLvl w:val="2"/>
      </w:pPr>
      <w:r>
        <w:rPr>
          <w:rFonts w:ascii="Arial" w:hAnsi="Arial" w:cs="Arial"/>
          <w:b/>
          <w:i w:val="0"/>
          <w:color w:val="333333"/>
          <w:sz w:val="23"/>
        </w:rPr>
        <w:t>24.2.8 Resource Requirements</w:t>
      </w:r>
    </w:p>
    <w:p>
      <w:pPr>
        <w:spacing w:after="80" w:line="293" w:lineRule="auto"/>
        <w:jc w:val="left"/>
      </w:pPr>
      <w:r>
        <w:rPr>
          <w:rFonts w:ascii="Times New Roman" w:hAnsi="Times New Roman" w:cs="Times New Roman"/>
          <w:b w:val="0"/>
          <w:i w:val="0"/>
          <w:sz w:val="22"/>
        </w:rPr>
        <w:t>All phases assume a team of 8–12 engineers (backend, frontend, DevOps, QA) plus a parallel legal/compliance team. Infrastructure costs are zero by construction: bare-metal K3s clusters, open-source CI/CD, and self-hosted project management (Gitea + Drone + Taiga). No phase introduces a paid tool or cloud dependency; capacity growth is provisioned through the Predictive Scaling Engine and Ansible playbooks (Section 24.2.11).</w:t>
      </w:r>
    </w:p>
    <w:p>
      <w:pPr>
        <w:keepNext/>
        <w:spacing w:before="180" w:after="80"/>
        <w:outlineLvl w:val="2"/>
      </w:pPr>
      <w:r>
        <w:rPr>
          <w:rFonts w:ascii="Arial" w:hAnsi="Arial" w:cs="Arial"/>
          <w:b/>
          <w:i w:val="0"/>
          <w:color w:val="333333"/>
          <w:sz w:val="23"/>
        </w:rPr>
        <w:t>24.2.9 Risk Mitigation</w:t>
      </w:r>
    </w:p>
    <w:p>
      <w:pPr>
        <w:spacing w:after="80" w:line="293" w:lineRule="auto"/>
        <w:jc w:val="left"/>
      </w:pPr>
      <w:r>
        <w:rPr>
          <w:rFonts w:ascii="Times New Roman" w:hAnsi="Times New Roman" w:cs="Times New Roman"/>
          <w:b w:val="0"/>
          <w:i w:val="0"/>
          <w:sz w:val="22"/>
        </w:rPr>
        <w:t>The roadmap manages delivery risk through its core disciplines: demonstrate then mandate (no mandate before a proven pilot), zero-cost infrastructure from day one (no vendor lock-in, no billing exposure), regulatory alignment early (CBE, Customs, Ministry of Trade engaged from Phase 0), continuous testing and security per phase (integration tests, security scans, load testing in every phase gate), and AI-assisted project management (advisory only). The self-correcting roadmap process (Section 24.2.1) re-prioritises automatically on regulatory change, latency regression, or regional growth, so schedule risk is absorbed by re-slicing features rather than by skipping controls.</w:t>
      </w:r>
    </w:p>
    <w:p>
      <w:pPr>
        <w:keepNext/>
        <w:spacing w:before="180" w:after="80"/>
        <w:outlineLvl w:val="2"/>
      </w:pPr>
      <w:r>
        <w:rPr>
          <w:rFonts w:ascii="Arial" w:hAnsi="Arial" w:cs="Arial"/>
          <w:b/>
          <w:i w:val="0"/>
          <w:color w:val="333333"/>
          <w:sz w:val="23"/>
        </w:rPr>
        <w:t>24.2.10 AI-Powered Project Management &amp; Dynamic Resource Allocation</w:t>
      </w:r>
    </w:p>
    <w:p>
      <w:pPr>
        <w:spacing w:after="80" w:line="293" w:lineRule="auto"/>
        <w:jc w:val="left"/>
      </w:pPr>
      <w:r>
        <w:rPr>
          <w:rFonts w:ascii="Times New Roman" w:hAnsi="Times New Roman" w:cs="Times New Roman"/>
          <w:b w:val="0"/>
          <w:i w:val="0"/>
          <w:sz w:val="22"/>
        </w:rPr>
        <w:t>The Project Oracle agent (Rig + XGBoost) monitors the entire development pipeline. Output: a revised priority list every Monday.</w:t>
      </w:r>
    </w:p>
    <w:p>
      <w:pPr>
        <w:spacing w:after="80" w:line="293" w:lineRule="auto"/>
        <w:jc w:val="left"/>
      </w:pPr>
      <w:r>
        <w:rPr>
          <w:rFonts w:ascii="Times New Roman" w:hAnsi="Times New Roman" w:cs="Times New Roman"/>
          <w:b w:val="0"/>
          <w:i w:val="0"/>
          <w:sz w:val="22"/>
        </w:rPr>
        <w:t>Example Project Oracle output (Groq-generated): "The barcode visual recognition model is taking 40% longer to train than estimated due to insufficient labelled data. Allocate Developer Y to data labelling for 3 days, delaying the AR feature by 2 days but keeping the Phase 2 schedule on track. Also, the rate of tenant onboarding has dropped 15% — consider streamlining Step 3 (KYB/KYC) with pre-filled data from the commercial registry."</w:t>
      </w:r>
    </w:p>
    <w:p>
      <w:pPr>
        <w:spacing w:after="80" w:line="293" w:lineRule="auto"/>
        <w:jc w:val="left"/>
      </w:pPr>
      <w:r>
        <w:rPr>
          <w:rFonts w:ascii="Times New Roman" w:hAnsi="Times New Roman" w:cs="Times New Roman"/>
          <w:b w:val="0"/>
          <w:i w:val="0"/>
          <w:sz w:val="22"/>
        </w:rPr>
        <w:t>One-click: Project Oracle generates a weekly progress report with one click; the admin can accept recommendations with one click.</w:t>
      </w:r>
    </w:p>
    <w:p>
      <w:pPr>
        <w:spacing w:after="80" w:line="293" w:lineRule="auto"/>
        <w:jc w:val="left"/>
      </w:pPr>
      <w:r>
        <w:rPr>
          <w:rFonts w:ascii="Times New Roman" w:hAnsi="Times New Roman" w:cs="Times New Roman"/>
          <w:b w:val="0"/>
          <w:i w:val="0"/>
          <w:sz w:val="22"/>
        </w:rPr>
        <w:t>Dynamic resource allocation: the Project Oracle's revised priorities drive task reassignment across the team; the predictive models feed both the scaling engine (infrastructure) and the delivery plan (people), so that resource shifts are data-driven and logged.</w:t>
      </w:r>
    </w:p>
    <w:p>
      <w:pPr>
        <w:keepNext/>
        <w:spacing w:before="180" w:after="80"/>
        <w:outlineLvl w:val="2"/>
      </w:pPr>
      <w:r>
        <w:rPr>
          <w:rFonts w:ascii="Arial" w:hAnsi="Arial" w:cs="Arial"/>
          <w:b/>
          <w:i w:val="0"/>
          <w:color w:val="333333"/>
          <w:sz w:val="23"/>
        </w:rPr>
        <w:t>24.2.11 Self-Healing CI/CD with Intelligent Rollback</w:t>
      </w:r>
    </w:p>
    <w:p>
      <w:pPr>
        <w:spacing w:after="80" w:line="293" w:lineRule="auto"/>
        <w:jc w:val="left"/>
      </w:pPr>
      <w:r>
        <w:rPr>
          <w:rFonts w:ascii="Times New Roman" w:hAnsi="Times New Roman" w:cs="Times New Roman"/>
          <w:b w:val="0"/>
          <w:i w:val="0"/>
          <w:sz w:val="22"/>
        </w:rPr>
        <w:t>The CI/CD pipeline deploys through canary releases with automatic rollback on trigger conditions (error-rate increase, latency regression, SLA probe failure).</w:t>
      </w:r>
    </w:p>
    <w:p>
      <w:pPr>
        <w:spacing w:after="80" w:line="293" w:lineRule="auto"/>
        <w:jc w:val="left"/>
      </w:pPr>
      <w:r>
        <w:rPr>
          <w:rFonts w:ascii="Times New Roman" w:hAnsi="Times New Roman" w:cs="Times New Roman"/>
          <w:b w:val="0"/>
          <w:i w:val="0"/>
          <w:sz w:val="22"/>
        </w:rPr>
        <w:t>Post-rollback analysis: Groq generates a root-cause analysis: "Rollback triggered at 14:32 due to 15% increase in Governor latency. Root cause: database query change in trade-service missing index. Rollback restored the prior deployment. Recommendation: add index before redeploying."</w:t>
      </w:r>
    </w:p>
    <w:p>
      <w:pPr>
        <w:keepNext/>
        <w:spacing w:before="180" w:after="80"/>
        <w:outlineLvl w:val="2"/>
      </w:pPr>
      <w:r>
        <w:rPr>
          <w:rFonts w:ascii="Arial" w:hAnsi="Arial" w:cs="Arial"/>
          <w:b/>
          <w:i w:val="0"/>
          <w:color w:val="333333"/>
          <w:sz w:val="23"/>
        </w:rPr>
        <w:t>24.2.12 Predictive Scaling Engine</w:t>
      </w:r>
    </w:p>
    <w:p>
      <w:pPr>
        <w:spacing w:after="80" w:line="293" w:lineRule="auto"/>
        <w:jc w:val="left"/>
      </w:pPr>
      <w:r>
        <w:rPr>
          <w:rFonts w:ascii="Times New Roman" w:hAnsi="Times New Roman" w:cs="Times New Roman"/>
          <w:b w:val="0"/>
          <w:i w:val="0"/>
          <w:sz w:val="22"/>
        </w:rPr>
        <w:t>The Predictive Scaling Engine (A2, LSTM) forecasts resource needs. Output: a 12-month capacity plan per sovereign node.</w:t>
      </w:r>
    </w:p>
    <w:p>
      <w:pPr>
        <w:spacing w:after="80" w:line="293" w:lineRule="auto"/>
        <w:jc w:val="left"/>
      </w:pPr>
      <w:r>
        <w:rPr>
          <w:rFonts w:ascii="Times New Roman" w:hAnsi="Times New Roman" w:cs="Times New Roman"/>
          <w:b w:val="0"/>
          <w:i w:val="0"/>
          <w:sz w:val="22"/>
        </w:rPr>
        <w:t>Example prediction: "Based on current growth and upcoming citrus season, Cairo node will reach 85% CPU utilisation by November 2026. Provision a second node in Cairo by 2026-10-01. Recommendation: add 2 worker nodes (4 CPU, 16GB RAM each) to the Cairo cluster."</w:t>
      </w:r>
    </w:p>
    <w:p>
      <w:pPr>
        <w:spacing w:after="80" w:line="293" w:lineRule="auto"/>
        <w:jc w:val="left"/>
      </w:pPr>
      <w:r>
        <w:rPr>
          <w:rFonts w:ascii="Times New Roman" w:hAnsi="Times New Roman" w:cs="Times New Roman"/>
          <w:b w:val="0"/>
          <w:i w:val="0"/>
          <w:sz w:val="22"/>
        </w:rPr>
        <w:t>One-click: the admin clicks "Approve Provisioning" → the Ansible playbook runs automatically.</w:t>
      </w:r>
    </w:p>
    <w:p>
      <w:pPr>
        <w:spacing w:after="80" w:line="293" w:lineRule="auto"/>
        <w:jc w:val="left"/>
      </w:pPr>
      <w:r>
        <w:rPr>
          <w:rFonts w:ascii="Times New Roman" w:hAnsi="Times New Roman" w:cs="Times New Roman"/>
          <w:b w:val="0"/>
          <w:i w:val="0"/>
          <w:sz w:val="22"/>
        </w:rPr>
        <w:t>HPA auto-scaling rules: the cluster applies horizontal pod autoscaling with the CPU thresholds defined in Section 21.8 (scale at 70% CPU for the Governor service after the remediation of the 2026-06-07 latency spike).</w:t>
      </w:r>
    </w:p>
    <w:p>
      <w:pPr>
        <w:keepNext/>
        <w:spacing w:before="180" w:after="80"/>
        <w:outlineLvl w:val="2"/>
      </w:pPr>
      <w:r>
        <w:rPr>
          <w:rFonts w:ascii="Arial" w:hAnsi="Arial" w:cs="Arial"/>
          <w:b/>
          <w:i w:val="0"/>
          <w:color w:val="333333"/>
          <w:sz w:val="23"/>
        </w:rPr>
        <w:t>24.2.13 Dynamic Geographic Expansion Optimizer</w:t>
      </w:r>
    </w:p>
    <w:p>
      <w:pPr>
        <w:spacing w:after="80" w:line="293" w:lineRule="auto"/>
        <w:jc w:val="left"/>
      </w:pPr>
      <w:r>
        <w:rPr>
          <w:rFonts w:ascii="Times New Roman" w:hAnsi="Times New Roman" w:cs="Times New Roman"/>
          <w:b w:val="0"/>
          <w:i w:val="0"/>
          <w:sz w:val="22"/>
        </w:rPr>
        <w:t>The Dynamic Geographic Expansion Optimizer (A2, multi-armed bandit) balances exploration (new regions) and exploitation (scaling existing regions) to maximise platform revenue. Output: monthly expansion recommendations.</w:t>
      </w:r>
    </w:p>
    <w:p>
      <w:pPr>
        <w:spacing w:after="80" w:line="293" w:lineRule="auto"/>
        <w:jc w:val="left"/>
      </w:pPr>
      <w:r>
        <w:rPr>
          <w:rFonts w:ascii="Times New Roman" w:hAnsi="Times New Roman" w:cs="Times New Roman"/>
          <w:b w:val="0"/>
          <w:i w:val="0"/>
          <w:sz w:val="22"/>
        </w:rPr>
        <w:t>Example recommendation: "Priority 1: São Paulo, Brazil. 230 registered users waitlisted, regulatory environment stable, no sanctions. Existing trade volume with Egypt: $180M/year. Estimated first-year GMV $12M. Cost to deploy: $15,000 (hardware). Recommended: deploy sovereign node by Q3 2026."</w:t>
      </w:r>
    </w:p>
    <w:p>
      <w:pPr>
        <w:spacing w:after="80" w:line="293" w:lineRule="auto"/>
        <w:jc w:val="left"/>
      </w:pPr>
      <w:r>
        <w:rPr>
          <w:rFonts w:ascii="Times New Roman" w:hAnsi="Times New Roman" w:cs="Times New Roman"/>
          <w:b w:val="0"/>
          <w:i w:val="0"/>
          <w:sz w:val="22"/>
        </w:rPr>
        <w:t>One-click: the admin clicks "Deploy Node" → the Ansible playbook provisions the entire sovereign node.</w:t>
      </w:r>
    </w:p>
    <w:p>
      <w:pPr>
        <w:keepNext/>
        <w:spacing w:before="180" w:after="80"/>
        <w:outlineLvl w:val="2"/>
      </w:pPr>
      <w:r>
        <w:rPr>
          <w:rFonts w:ascii="Arial" w:hAnsi="Arial" w:cs="Arial"/>
          <w:b/>
          <w:i w:val="0"/>
          <w:color w:val="333333"/>
          <w:sz w:val="23"/>
        </w:rPr>
        <w:t>24.2.14 Zero-Cost Infrastructure Lifecycle Management</w:t>
      </w:r>
    </w:p>
    <w:p>
      <w:pPr>
        <w:spacing w:after="80" w:line="293" w:lineRule="auto"/>
        <w:jc w:val="left"/>
      </w:pPr>
      <w:r>
        <w:rPr>
          <w:rFonts w:ascii="Times New Roman" w:hAnsi="Times New Roman" w:cs="Times New Roman"/>
          <w:b w:val="0"/>
          <w:i w:val="0"/>
          <w:sz w:val="22"/>
        </w:rPr>
        <w:t>The Predictive Hardware Failure model (A2, LSTM trained on the Backblaze drive failure dataset) forecasts component failure. Example alert (Groq): "Cairo node SSD 3 (model: Samsung PM9A3) predicted to fail in 45 days (confidence: 92%). Replacement ordered. Maintenance window scheduled for 2026-08-15 02:00–04:00 EET. Workloads shifted to Cairo node 2 during maintenance."</w:t>
      </w:r>
    </w:p>
    <w:p>
      <w:pPr>
        <w:spacing w:after="80" w:line="293" w:lineRule="auto"/>
        <w:jc w:val="left"/>
      </w:pPr>
      <w:r>
        <w:rPr>
          <w:rFonts w:ascii="Times New Roman" w:hAnsi="Times New Roman" w:cs="Times New Roman"/>
          <w:b w:val="0"/>
          <w:i w:val="0"/>
          <w:sz w:val="22"/>
        </w:rPr>
        <w:t>Automated maintenance: predicted failures generate maintenance windows under the standard maintenance rules of Section 21.8.8 (announced 14 days in advance, excluded from SLA), with workload shift to healthy nodes during the window.</w:t>
      </w:r>
    </w:p>
    <w:p>
      <w:pPr>
        <w:keepNext/>
        <w:spacing w:before="180" w:after="80"/>
        <w:outlineLvl w:val="2"/>
      </w:pPr>
      <w:r>
        <w:rPr>
          <w:rFonts w:ascii="Arial" w:hAnsi="Arial" w:cs="Arial"/>
          <w:b/>
          <w:i w:val="0"/>
          <w:color w:val="333333"/>
          <w:sz w:val="23"/>
        </w:rPr>
        <w:t>24.2.15 AI-Generated Partnership Proposals</w:t>
      </w:r>
    </w:p>
    <w:p>
      <w:pPr>
        <w:spacing w:after="80" w:line="293" w:lineRule="auto"/>
        <w:jc w:val="left"/>
      </w:pPr>
      <w:r>
        <w:rPr>
          <w:rFonts w:ascii="Times New Roman" w:hAnsi="Times New Roman" w:cs="Times New Roman"/>
          <w:b w:val="0"/>
          <w:i w:val="0"/>
          <w:sz w:val="22"/>
        </w:rPr>
        <w:t>The Partnership Proposals agent (RIA + Groq) identifies potential marketplace partners and generates personalised proposals.</w:t>
      </w:r>
    </w:p>
    <w:p>
      <w:pPr>
        <w:spacing w:after="80" w:line="293" w:lineRule="auto"/>
        <w:jc w:val="left"/>
      </w:pPr>
      <w:r>
        <w:rPr>
          <w:rFonts w:ascii="Times New Roman" w:hAnsi="Times New Roman" w:cs="Times New Roman"/>
          <w:b w:val="0"/>
          <w:i w:val="0"/>
          <w:sz w:val="22"/>
        </w:rPr>
        <w:t>Example proposal content (Groq-generated): Partnership proposal — TradeBridge. Company overview: TradeBridge is a digital trade platform connecting buyers and sellers in the MENA region, with 5,000+ registered users and $50M/year in trade leads. Why partner with SGTX: SGTX provides cryptographic trade execution — TradeBridge users can execute trades with zero counterparty risk; revenue share: TradeBridge earns 0.5% of SGTX trade fees on attributed trades; integration effort: 2 developer weeks (API + webhook); expected first-year revenue for TradeBridge: $120,000; compliance alignment: TradeBridge is registered in the UAE, a Full tier jurisdiction. Recommended next steps: send the proposal (PDF) to TradeBridge's BD team; offer a 30-minute demo for their technical team; provide a sandbox account for integration testing.</w:t>
      </w:r>
    </w:p>
    <w:p>
      <w:pPr>
        <w:spacing w:after="80" w:line="293" w:lineRule="auto"/>
        <w:jc w:val="left"/>
      </w:pPr>
      <w:r>
        <w:rPr>
          <w:rFonts w:ascii="Times New Roman" w:hAnsi="Times New Roman" w:cs="Times New Roman"/>
          <w:b w:val="0"/>
          <w:i w:val="0"/>
          <w:sz w:val="22"/>
        </w:rPr>
        <w:t>One-click: click "Generate Proposal" → PDF ready for download; click "Send" → email sent via the notification service.</w:t>
      </w:r>
    </w:p>
    <w:p>
      <w:pPr>
        <w:keepNext/>
        <w:spacing w:before="180" w:after="80"/>
        <w:outlineLvl w:val="2"/>
      </w:pPr>
      <w:r>
        <w:rPr>
          <w:rFonts w:ascii="Arial" w:hAnsi="Arial" w:cs="Arial"/>
          <w:b/>
          <w:i w:val="0"/>
          <w:color w:val="333333"/>
          <w:sz w:val="23"/>
        </w:rPr>
        <w:t>24.2.16 Continuous Compliance Roadmap Alignment</w:t>
      </w:r>
    </w:p>
    <w:p>
      <w:pPr>
        <w:spacing w:after="80" w:line="293" w:lineRule="auto"/>
        <w:jc w:val="left"/>
      </w:pPr>
      <w:r>
        <w:rPr>
          <w:rFonts w:ascii="Times New Roman" w:hAnsi="Times New Roman" w:cs="Times New Roman"/>
          <w:b w:val="0"/>
          <w:i w:val="0"/>
          <w:sz w:val="22"/>
        </w:rPr>
        <w:t>When RIA detects a significant regulatory change, the Compliance Roadmap Agent creates a compliance milestone in project management.</w:t>
      </w:r>
    </w:p>
    <w:p>
      <w:pPr>
        <w:spacing w:after="80" w:line="293" w:lineRule="auto"/>
        <w:jc w:val="left"/>
      </w:pPr>
      <w:r>
        <w:rPr>
          <w:rFonts w:ascii="Times New Roman" w:hAnsi="Times New Roman" w:cs="Times New Roman"/>
          <w:b w:val="0"/>
          <w:i w:val="0"/>
          <w:sz w:val="22"/>
        </w:rPr>
        <w:t>Example alert: compliance milestone created — Regulation: EU General Product Safety Regulation (GPSR). Effective date: 13 Dec 2026. Impact: additional documentation required for consumer goods. Priority: P1 (within 3 months). Due date: 1 Dec 2026. Assigned to: Document Service team. Groq explanation: "The new EU GPSR requires additional documentation for certain consumer goods. The Document Requirement Service must be updated to include new document types for affected HS codes. Estimated effort: 3 developer days."</w:t>
      </w:r>
    </w:p>
    <w:p>
      <w:pPr>
        <w:spacing w:after="80" w:line="293" w:lineRule="auto"/>
        <w:jc w:val="left"/>
      </w:pPr>
      <w:r>
        <w:rPr>
          <w:rFonts w:ascii="Times New Roman" w:hAnsi="Times New Roman" w:cs="Times New Roman"/>
          <w:b w:val="0"/>
          <w:i w:val="0"/>
          <w:sz w:val="22"/>
        </w:rPr>
        <w:t>One-click: click "Create Ticket" → Gitea issue created; click "Assign" → assigned to the appropriate team.</w:t>
      </w:r>
    </w:p>
    <w:p>
      <w:pPr>
        <w:keepNext/>
        <w:spacing w:before="180" w:after="80"/>
        <w:outlineLvl w:val="2"/>
      </w:pPr>
      <w:r>
        <w:rPr>
          <w:rFonts w:ascii="Arial" w:hAnsi="Arial" w:cs="Arial"/>
          <w:b/>
          <w:i w:val="0"/>
          <w:color w:val="333333"/>
          <w:sz w:val="23"/>
        </w:rPr>
        <w:t>24.2.17 Scaling Metrics (Living Dashboard)</w:t>
      </w:r>
    </w:p>
    <w:p>
      <w:pPr>
        <w:spacing w:after="80" w:line="293" w:lineRule="auto"/>
        <w:jc w:val="left"/>
      </w:pPr>
      <w:r>
        <w:rPr>
          <w:rFonts w:ascii="Times New Roman" w:hAnsi="Times New Roman" w:cs="Times New Roman"/>
          <w:b w:val="0"/>
          <w:i w:val="0"/>
          <w:sz w:val="22"/>
        </w:rPr>
        <w:t>The Grafana living dashboard tracks five sections: growth, reliability, compliance, tenant experience, and finance. Adoption, reliability, efficiency, finance, quality, and security metrics are collected continuously (their sources are the SLA monitoring stack of Section 21.8.11, the Trade Memory analytics of Section 21.10, and the operational metrics of the command center, Section 16).</w:t>
      </w:r>
    </w:p>
    <w:p>
      <w:pPr>
        <w:spacing w:after="80" w:line="293" w:lineRule="auto"/>
        <w:jc w:val="left"/>
      </w:pPr>
      <w:r>
        <w:rPr>
          <w:rFonts w:ascii="Times New Roman" w:hAnsi="Times New Roman" w:cs="Times New Roman"/>
          <w:b w:val="0"/>
          <w:i w:val="0"/>
          <w:sz w:val="22"/>
        </w:rPr>
        <w:t>AI-generated board summary (Groq), monthly. Example:</w:t>
      </w:r>
    </w:p>
    <w:p>
      <w:pPr>
        <w:spacing w:after="0" w:before="0" w:line="240" w:lineRule="auto"/>
        <w:ind w:left="57"/>
        <w:jc w:val="left"/>
        <w:shd w:val="clear" w:fill="F2F2F2"/>
      </w:pPr>
      <w:r>
        <w:rPr>
          <w:rFonts w:ascii="Consolas" w:hAnsi="Consolas" w:cs="Consolas"/>
          <w:b w:val="0"/>
          <w:i w:val="0"/>
          <w:sz w:val="15"/>
        </w:rPr>
        <w:t>SGTX BOARD SUMMARY — June 2026</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GROWTH</w:t>
      </w:r>
    </w:p>
    <w:p>
      <w:pPr>
        <w:spacing w:after="0" w:before="0" w:line="240" w:lineRule="auto"/>
        <w:ind w:left="57"/>
        <w:jc w:val="left"/>
        <w:shd w:val="clear" w:fill="F2F2F2"/>
      </w:pPr>
      <w:r>
        <w:rPr>
          <w:rFonts w:ascii="Consolas" w:hAnsi="Consolas" w:cs="Consolas"/>
          <w:b w:val="0"/>
          <w:i w:val="0"/>
          <w:sz w:val="15"/>
        </w:rPr>
        <w:t>GMV grew 12% this month, driven by the new Brazil corridor. Total GMV: $47.5M YTD.</w:t>
      </w:r>
    </w:p>
    <w:p>
      <w:pPr>
        <w:spacing w:after="0" w:before="0" w:line="240" w:lineRule="auto"/>
        <w:ind w:left="57"/>
        <w:jc w:val="left"/>
        <w:shd w:val="clear" w:fill="F2F2F2"/>
      </w:pPr>
      <w:r>
        <w:rPr>
          <w:rFonts w:ascii="Consolas" w:hAnsi="Consolas" w:cs="Consolas"/>
          <w:b w:val="0"/>
          <w:i w:val="0"/>
          <w:sz w:val="15"/>
        </w:rPr>
        <w:t>New tenants: 87 (up from 72 last month). Active tenants: 423.</w:t>
      </w:r>
    </w:p>
    <w:p>
      <w:pPr>
        <w:spacing w:after="0" w:before="0" w:line="240" w:lineRule="auto"/>
        <w:ind w:left="57"/>
        <w:jc w:val="left"/>
        <w:shd w:val="clear" w:fill="F2F2F2"/>
      </w:pPr>
      <w:r>
        <w:rPr>
          <w:rFonts w:ascii="Consolas" w:hAnsi="Consolas" w:cs="Consolas"/>
          <w:b w:val="0"/>
          <w:i w:val="0"/>
          <w:sz w:val="15"/>
        </w:rPr>
        <w:t>Financing volume: $18M (up 8% MoM).</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RELIABILITY</w:t>
      </w:r>
    </w:p>
    <w:p>
      <w:pPr>
        <w:spacing w:after="0" w:before="0" w:line="240" w:lineRule="auto"/>
        <w:ind w:left="57"/>
        <w:jc w:val="left"/>
        <w:shd w:val="clear" w:fill="F2F2F2"/>
      </w:pPr>
      <w:r>
        <w:rPr>
          <w:rFonts w:ascii="Consolas" w:hAnsi="Consolas" w:cs="Consolas"/>
          <w:b w:val="0"/>
          <w:i w:val="0"/>
          <w:sz w:val="15"/>
        </w:rPr>
        <w:t>Platform uptime: 99.97% (above 99.95% target). P95 latency: 620ms.</w:t>
      </w:r>
    </w:p>
    <w:p>
      <w:pPr>
        <w:spacing w:after="0" w:before="0" w:line="240" w:lineRule="auto"/>
        <w:ind w:left="57"/>
        <w:jc w:val="left"/>
        <w:shd w:val="clear" w:fill="F2F2F2"/>
      </w:pPr>
      <w:r>
        <w:rPr>
          <w:rFonts w:ascii="Consolas" w:hAnsi="Consolas" w:cs="Consolas"/>
          <w:b w:val="0"/>
          <w:i w:val="0"/>
          <w:sz w:val="15"/>
        </w:rPr>
        <w:t>Two incidents: one minor (5 min) due to network switch failure, resolved automatically.</w:t>
      </w:r>
    </w:p>
    <w:p>
      <w:pPr>
        <w:spacing w:after="0" w:before="0" w:line="240" w:lineRule="auto"/>
        <w:ind w:left="57"/>
        <w:jc w:val="left"/>
        <w:shd w:val="clear" w:fill="F2F2F2"/>
      </w:pPr>
      <w:r>
        <w:rPr>
          <w:rFonts w:ascii="Consolas" w:hAnsi="Consolas" w:cs="Consolas"/>
          <w:b w:val="0"/>
          <w:i w:val="0"/>
          <w:sz w:val="15"/>
        </w:rPr>
        <w:t>One P1 incident (12 min) due to Governor latency spike — post-mortem published.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COMPLIANCE</w:t>
      </w:r>
    </w:p>
    <w:p>
      <w:pPr>
        <w:spacing w:after="0" w:before="0" w:line="240" w:lineRule="auto"/>
        <w:ind w:left="57"/>
        <w:jc w:val="left"/>
        <w:shd w:val="clear" w:fill="F2F2F2"/>
      </w:pPr>
      <w:r>
        <w:rPr>
          <w:rFonts w:ascii="Consolas" w:hAnsi="Consolas" w:cs="Consolas"/>
          <w:b w:val="0"/>
          <w:i w:val="0"/>
          <w:sz w:val="15"/>
        </w:rPr>
        <w:t>Two compliance items resolved: Egypt cold treatment update (completed 5 Jun) and</w:t>
      </w:r>
    </w:p>
    <w:p>
      <w:pPr>
        <w:spacing w:after="0" w:before="0" w:line="240" w:lineRule="auto"/>
        <w:ind w:left="57"/>
        <w:jc w:val="left"/>
        <w:shd w:val="clear" w:fill="F2F2F2"/>
      </w:pPr>
      <w:r>
        <w:rPr>
          <w:rFonts w:ascii="Consolas" w:hAnsi="Consolas" w:cs="Consolas"/>
          <w:b w:val="0"/>
          <w:i w:val="0"/>
          <w:sz w:val="15"/>
        </w:rPr>
        <w:t>UAE customs rule (completed 12 Jun). Three new EU regulations flagged for Q1 2027.</w:t>
      </w:r>
    </w:p>
    <w:p>
      <w:pPr>
        <w:spacing w:after="0" w:before="0" w:line="240" w:lineRule="auto"/>
        <w:ind w:left="57"/>
        <w:jc w:val="left"/>
        <w:shd w:val="clear" w:fill="F2F2F2"/>
      </w:pPr>
      <w:r>
        <w:rPr>
          <w:rFonts w:ascii="Consolas" w:hAnsi="Consolas" w:cs="Consolas"/>
          <w:b w:val="0"/>
          <w:i w:val="0"/>
          <w:sz w:val="15"/>
        </w:rPr>
        <w:t>No overdue reports.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TENANT EXPERIENCE</w:t>
      </w:r>
    </w:p>
    <w:p>
      <w:pPr>
        <w:spacing w:after="0" w:before="0" w:line="240" w:lineRule="auto"/>
        <w:ind w:left="57"/>
        <w:jc w:val="left"/>
        <w:shd w:val="clear" w:fill="F2F2F2"/>
      </w:pPr>
      <w:r>
        <w:rPr>
          <w:rFonts w:ascii="Consolas" w:hAnsi="Consolas" w:cs="Consolas"/>
          <w:b w:val="0"/>
          <w:i w:val="0"/>
          <w:sz w:val="15"/>
        </w:rPr>
        <w:t>Onboarding completion rate: 88% (up from 82%). Smart Inbox time-to-action: 3.2h</w:t>
      </w:r>
    </w:p>
    <w:p>
      <w:pPr>
        <w:spacing w:after="0" w:before="0" w:line="240" w:lineRule="auto"/>
        <w:ind w:left="57"/>
        <w:jc w:val="left"/>
        <w:shd w:val="clear" w:fill="F2F2F2"/>
      </w:pPr>
      <w:r>
        <w:rPr>
          <w:rFonts w:ascii="Consolas" w:hAnsi="Consolas" w:cs="Consolas"/>
          <w:b w:val="0"/>
          <w:i w:val="0"/>
          <w:sz w:val="15"/>
        </w:rPr>
        <w:t>(target: &lt;4h). Dual-mode toggle usage: 34% of active tenants. Multi-shipment</w:t>
      </w:r>
    </w:p>
    <w:p>
      <w:pPr>
        <w:spacing w:after="0" w:before="0" w:line="240" w:lineRule="auto"/>
        <w:ind w:left="57"/>
        <w:jc w:val="left"/>
        <w:shd w:val="clear" w:fill="F2F2F2"/>
      </w:pPr>
      <w:r>
        <w:rPr>
          <w:rFonts w:ascii="Consolas" w:hAnsi="Consolas" w:cs="Consolas"/>
          <w:b w:val="0"/>
          <w:i w:val="0"/>
          <w:sz w:val="15"/>
        </w:rPr>
        <w:t>contract usage: 12% of new trades.</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FINANCE</w:t>
      </w:r>
    </w:p>
    <w:p>
      <w:pPr>
        <w:spacing w:after="0" w:before="0" w:line="240" w:lineRule="auto"/>
        <w:ind w:left="57"/>
        <w:jc w:val="left"/>
        <w:shd w:val="clear" w:fill="F2F2F2"/>
      </w:pPr>
      <w:r>
        <w:rPr>
          <w:rFonts w:ascii="Consolas" w:hAnsi="Consolas" w:cs="Consolas"/>
          <w:b w:val="0"/>
          <w:i w:val="0"/>
          <w:sz w:val="15"/>
        </w:rPr>
        <w:t>Revenue: $712,500 (trade fees) + $45,000 (financing fees) = $757,500.</w:t>
      </w:r>
    </w:p>
    <w:p>
      <w:pPr>
        <w:spacing w:after="0" w:before="0" w:line="240" w:lineRule="auto"/>
        <w:ind w:left="57"/>
        <w:jc w:val="left"/>
        <w:shd w:val="clear" w:fill="F2F2F2"/>
      </w:pPr>
      <w:r>
        <w:rPr>
          <w:rFonts w:ascii="Consolas" w:hAnsi="Consolas" w:cs="Consolas"/>
          <w:b w:val="0"/>
          <w:i w:val="0"/>
          <w:sz w:val="15"/>
        </w:rPr>
        <w:t>SLA credits issued: $12,400. Net revenue: $745,100. Partner share: $87,600.</w:t>
      </w:r>
    </w:p>
    <w:p>
      <w:pPr>
        <w:spacing w:after="0" w:before="0" w:line="240" w:lineRule="auto"/>
        <w:ind w:left="57"/>
        <w:jc w:val="left"/>
        <w:shd w:val="clear" w:fill="F2F2F2"/>
      </w:pPr>
      <w:r>
        <w:rPr>
          <w:rFonts w:ascii="Consolas" w:hAnsi="Consolas" w:cs="Consolas"/>
          <w:b w:val="0"/>
          <w:i w:val="0"/>
          <w:sz w:val="15"/>
        </w:rPr>
        <w:t>Estimated monthly run-rate: $900,000.</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RECOMMENDATIONS</w:t>
      </w:r>
    </w:p>
    <w:p>
      <w:pPr>
        <w:spacing w:after="0" w:before="0" w:line="240" w:lineRule="auto"/>
        <w:ind w:left="57"/>
        <w:jc w:val="left"/>
        <w:shd w:val="clear" w:fill="F2F2F2"/>
      </w:pPr>
      <w:r>
        <w:rPr>
          <w:rFonts w:ascii="Consolas" w:hAnsi="Consolas" w:cs="Consolas"/>
          <w:b w:val="0"/>
          <w:i w:val="0"/>
          <w:sz w:val="15"/>
        </w:rPr>
        <w:t>1. Accelerate Brazil node deployment — 230 users waiting.</w:t>
      </w:r>
    </w:p>
    <w:p>
      <w:pPr>
        <w:spacing w:after="0" w:before="0" w:line="240" w:lineRule="auto"/>
        <w:ind w:left="57"/>
        <w:jc w:val="left"/>
        <w:shd w:val="clear" w:fill="F2F2F2"/>
      </w:pPr>
      <w:r>
        <w:rPr>
          <w:rFonts w:ascii="Consolas" w:hAnsi="Consolas" w:cs="Consolas"/>
          <w:b w:val="0"/>
          <w:i w:val="0"/>
          <w:sz w:val="15"/>
        </w:rPr>
        <w:t>2. Add 2 replicas to Governor service due to traffic growth.</w:t>
      </w:r>
    </w:p>
    <w:p>
      <w:pPr>
        <w:spacing w:after="0" w:before="0" w:line="240" w:lineRule="auto"/>
        <w:ind w:left="57"/>
        <w:jc w:val="left"/>
        <w:shd w:val="clear" w:fill="F2F2F2"/>
      </w:pPr>
      <w:r>
        <w:rPr>
          <w:rFonts w:ascii="Consolas" w:hAnsi="Consolas" w:cs="Consolas"/>
          <w:b w:val="0"/>
          <w:i w:val="0"/>
          <w:sz w:val="15"/>
        </w:rPr>
        <w:t>3. Update onboarding wizard to reduce Step 3 drop-off.</w:t>
      </w:r>
    </w:p>
    <w:p>
      <w:pPr>
        <w:spacing w:after="120" w:before="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One-click: click "Refresh" → current data; click "Export PDF" → board-ready PDF.</w:t>
      </w:r>
    </w:p>
    <w:p>
      <w:pPr>
        <w:keepNext/>
        <w:spacing w:before="180" w:after="80"/>
        <w:outlineLvl w:val="2"/>
      </w:pPr>
      <w:r>
        <w:rPr>
          <w:rFonts w:ascii="Arial" w:hAnsi="Arial" w:cs="Arial"/>
          <w:b/>
          <w:i w:val="0"/>
          <w:color w:val="333333"/>
          <w:sz w:val="23"/>
        </w:rPr>
        <w:t>24.2.18 Founding Team Next Steps</w:t>
      </w:r>
    </w:p>
    <w:p>
      <w:pPr>
        <w:spacing w:after="80" w:line="293" w:lineRule="auto"/>
        <w:jc w:val="left"/>
      </w:pPr>
      <w:r>
        <w:rPr>
          <w:rFonts w:ascii="Times New Roman" w:hAnsi="Times New Roman" w:cs="Times New Roman"/>
          <w:b w:val="0"/>
          <w:i w:val="0"/>
          <w:sz w:val="22"/>
        </w:rPr>
        <w:t>The founding team's sequence follows the phase structure: the first 30 days concentrate on legal entity formation, core infrastructure provisioning, and pilot exporter selection (Phase 0 dependencies); months 1–3 complete the Phase 0 deliverables; months 4–9 operate the Phase 1 MVP on the launch corridors; year 2 onward executes Phases 2 and 3 in dependency order. Every next step is tracked as a dependency-mapped item (Section 24.3) in the self-hosted project management stack.</w:t>
      </w:r>
    </w:p>
    <w:p>
      <w:pPr>
        <w:spacing w:after="80" w:line="293" w:lineRule="auto"/>
        <w:jc w:val="left"/>
      </w:pPr>
      <w:r>
        <w:rPr>
          <w:rFonts w:ascii="Times New Roman" w:hAnsi="Times New Roman" w:cs="Times New Roman"/>
          <w:b w:val="0"/>
          <w:i w:val="0"/>
          <w:sz w:val="22"/>
        </w:rPr>
        <w:t>Following the roadmap delivers a zero-cost, non-custodial, AI-orchestrated platform with: elimination of trade-based money laundering exposure through evidence-locked settlement; reduced demurrage and document discrepancies through readiness tracking; instant financing access for SMEs through CFR pre-clearance and the financing RFQ flow; real-time, auditable trade visibility for government; and support for multi-shipment contracts, non-uniform packing, conditional QC, deferred payments, milestone-based settlement, and privacy-preserving ZK proofs.</w:t>
      </w:r>
    </w:p>
    <w:p>
      <w:pPr>
        <w:keepNext/>
        <w:spacing w:before="180" w:after="80"/>
        <w:outlineLvl w:val="2"/>
      </w:pPr>
      <w:r>
        <w:rPr>
          <w:rFonts w:ascii="Arial" w:hAnsi="Arial" w:cs="Arial"/>
          <w:b/>
          <w:i w:val="0"/>
          <w:color w:val="333333"/>
          <w:sz w:val="23"/>
        </w:rPr>
        <w:t>24.2.19 Reconciliation Implementation Order</w:t>
      </w:r>
    </w:p>
    <w:p>
      <w:pPr>
        <w:spacing w:after="80" w:line="293" w:lineRule="auto"/>
        <w:jc w:val="left"/>
      </w:pPr>
      <w:r>
        <w:rPr>
          <w:rFonts w:ascii="Times New Roman" w:hAnsi="Times New Roman" w:cs="Times New Roman"/>
          <w:b w:val="0"/>
          <w:i w:val="0"/>
          <w:sz w:val="22"/>
        </w:rPr>
        <w:t>Where engineering work spans multiple domains of this blueprint, the following implementation order is canonical. The sequence ensures each layer is semantically stable before the layers that depend on it are modified:</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Step</w:t>
            </w:r>
          </w:p>
        </w:tc>
        <w:tc>
          <w:tcPr>
            <w:tcW w:type="dxa" w:w="3213"/>
            <w:shd w:val="clear" w:fill="D9E2F3"/>
          </w:tcPr>
          <w:p>
            <w:pPr>
              <w:spacing w:after="20" w:before="20" w:line="240" w:lineRule="auto"/>
            </w:pPr>
            <w:r/>
            <w:r>
              <w:rPr>
                <w:rFonts w:ascii="Arial" w:hAnsi="Arial" w:cs="Arial"/>
                <w:b/>
                <w:i w:val="0"/>
                <w:sz w:val="18"/>
              </w:rPr>
              <w:t>Domain</w:t>
            </w:r>
          </w:p>
        </w:tc>
        <w:tc>
          <w:tcPr>
            <w:tcW w:type="dxa" w:w="3213"/>
            <w:shd w:val="clear" w:fill="D9E2F3"/>
          </w:tcPr>
          <w:p>
            <w:pPr>
              <w:spacing w:after="20" w:before="20" w:line="240" w:lineRule="auto"/>
            </w:pPr>
            <w:r/>
            <w:r>
              <w:rPr>
                <w:rFonts w:ascii="Arial" w:hAnsi="Arial" w:cs="Arial"/>
                <w:b/>
                <w:i w:val="0"/>
                <w:sz w:val="18"/>
              </w:rPr>
              <w:t>Content</w:t>
            </w:r>
          </w:p>
        </w:tc>
      </w:tr>
      <w:tr>
        <w:tc>
          <w:tcPr>
            <w:tcW w:type="dxa" w:w="3213"/>
          </w:tcPr>
          <w:p>
            <w:pPr>
              <w:spacing w:after="20" w:before="20" w:line="240" w:lineRule="auto"/>
            </w:pPr>
            <w:r/>
            <w:r>
              <w:rPr>
                <w:rFonts w:ascii="Arial" w:hAnsi="Arial" w:cs="Arial"/>
                <w:b w:val="0"/>
                <w:i w:val="0"/>
                <w:sz w:val="17"/>
              </w:rPr>
              <w:t>1</w:t>
            </w:r>
          </w:p>
        </w:tc>
        <w:tc>
          <w:tcPr>
            <w:tcW w:type="dxa" w:w="3213"/>
          </w:tcPr>
          <w:p>
            <w:pPr>
              <w:spacing w:after="20" w:before="20" w:line="240" w:lineRule="auto"/>
            </w:pPr>
            <w:r/>
            <w:r>
              <w:rPr>
                <w:rFonts w:ascii="Arial" w:hAnsi="Arial" w:cs="Arial"/>
                <w:b w:val="0"/>
                <w:i w:val="0"/>
                <w:sz w:val="17"/>
              </w:rPr>
              <w:t>Canonical identity</w:t>
            </w:r>
          </w:p>
        </w:tc>
        <w:tc>
          <w:tcPr>
            <w:tcW w:type="dxa" w:w="3213"/>
          </w:tcPr>
          <w:p>
            <w:pPr>
              <w:spacing w:after="20" w:before="20" w:line="240" w:lineRule="auto"/>
            </w:pPr>
            <w:r/>
            <w:r>
              <w:rPr>
                <w:rFonts w:ascii="Arial" w:hAnsi="Arial" w:cs="Arial"/>
                <w:b w:val="0"/>
                <w:i w:val="0"/>
                <w:sz w:val="17"/>
              </w:rPr>
              <w:t>Request UUID / Contract ID / Shipment ID / USTN identity model and phase-aware API classification (Sections 5.1.16, 5.8.5)</w:t>
            </w:r>
          </w:p>
        </w:tc>
      </w:tr>
      <w:tr>
        <w:tc>
          <w:tcPr>
            <w:tcW w:type="dxa" w:w="3213"/>
          </w:tcPr>
          <w:p>
            <w:pPr>
              <w:spacing w:after="20" w:before="20" w:line="240" w:lineRule="auto"/>
            </w:pPr>
            <w:r/>
            <w:r>
              <w:rPr>
                <w:rFonts w:ascii="Arial" w:hAnsi="Arial" w:cs="Arial"/>
                <w:b w:val="0"/>
                <w:i w:val="0"/>
                <w:sz w:val="17"/>
              </w:rPr>
              <w:t>2</w:t>
            </w:r>
          </w:p>
        </w:tc>
        <w:tc>
          <w:tcPr>
            <w:tcW w:type="dxa" w:w="3213"/>
          </w:tcPr>
          <w:p>
            <w:pPr>
              <w:spacing w:after="20" w:before="20" w:line="240" w:lineRule="auto"/>
            </w:pPr>
            <w:r/>
            <w:r>
              <w:rPr>
                <w:rFonts w:ascii="Arial" w:hAnsi="Arial" w:cs="Arial"/>
                <w:b w:val="0"/>
                <w:i w:val="0"/>
                <w:sz w:val="17"/>
              </w:rPr>
              <w:t>State-vector &amp; event model</w:t>
            </w:r>
          </w:p>
        </w:tc>
        <w:tc>
          <w:tcPr>
            <w:tcW w:type="dxa" w:w="3213"/>
          </w:tcPr>
          <w:p>
            <w:pPr>
              <w:spacing w:after="20" w:before="20" w:line="240" w:lineRule="auto"/>
            </w:pPr>
            <w:r/>
            <w:r>
              <w:rPr>
                <w:rFonts w:ascii="Arial" w:hAnsi="Arial" w:cs="Arial"/>
                <w:b w:val="0"/>
                <w:i w:val="0"/>
                <w:sz w:val="17"/>
              </w:rPr>
              <w:t>Event envelope, state-vector derivation, projection discipline (Sections 19.12.1, 19.26.1)</w:t>
            </w:r>
          </w:p>
        </w:tc>
      </w:tr>
      <w:tr>
        <w:tc>
          <w:tcPr>
            <w:tcW w:type="dxa" w:w="3213"/>
          </w:tcPr>
          <w:p>
            <w:pPr>
              <w:spacing w:after="20" w:before="20" w:line="240" w:lineRule="auto"/>
            </w:pPr>
            <w:r/>
            <w:r>
              <w:rPr>
                <w:rFonts w:ascii="Arial" w:hAnsi="Arial" w:cs="Arial"/>
                <w:b w:val="0"/>
                <w:i w:val="0"/>
                <w:sz w:val="17"/>
              </w:rPr>
              <w:t>3</w:t>
            </w:r>
          </w:p>
        </w:tc>
        <w:tc>
          <w:tcPr>
            <w:tcW w:type="dxa" w:w="3213"/>
          </w:tcPr>
          <w:p>
            <w:pPr>
              <w:spacing w:after="20" w:before="20" w:line="240" w:lineRule="auto"/>
            </w:pPr>
            <w:r/>
            <w:r>
              <w:rPr>
                <w:rFonts w:ascii="Arial" w:hAnsi="Arial" w:cs="Arial"/>
                <w:b w:val="0"/>
                <w:i w:val="0"/>
                <w:sz w:val="17"/>
              </w:rPr>
              <w:t>Fee &amp; payment state</w:t>
            </w:r>
          </w:p>
        </w:tc>
        <w:tc>
          <w:tcPr>
            <w:tcW w:type="dxa" w:w="3213"/>
          </w:tcPr>
          <w:p>
            <w:pPr>
              <w:spacing w:after="20" w:before="20" w:line="240" w:lineRule="auto"/>
            </w:pPr>
            <w:r/>
            <w:r>
              <w:rPr>
                <w:rFonts w:ascii="Arial" w:hAnsi="Arial" w:cs="Arial"/>
                <w:b w:val="0"/>
                <w:i w:val="0"/>
                <w:sz w:val="17"/>
              </w:rPr>
              <w:t>Fee lifecycle, bank-agnostic state model, due-date policy (Sections 9.29.1, 9.30.2, 9.31.1)</w:t>
            </w:r>
          </w:p>
        </w:tc>
      </w:tr>
      <w:tr>
        <w:tc>
          <w:tcPr>
            <w:tcW w:type="dxa" w:w="3213"/>
          </w:tcPr>
          <w:p>
            <w:pPr>
              <w:spacing w:after="20" w:before="20" w:line="240" w:lineRule="auto"/>
            </w:pPr>
            <w:r/>
            <w:r>
              <w:rPr>
                <w:rFonts w:ascii="Arial" w:hAnsi="Arial" w:cs="Arial"/>
                <w:b w:val="0"/>
                <w:i w:val="0"/>
                <w:sz w:val="17"/>
              </w:rPr>
              <w:t>4</w:t>
            </w:r>
          </w:p>
        </w:tc>
        <w:tc>
          <w:tcPr>
            <w:tcW w:type="dxa" w:w="3213"/>
          </w:tcPr>
          <w:p>
            <w:pPr>
              <w:spacing w:after="20" w:before="20" w:line="240" w:lineRule="auto"/>
            </w:pPr>
            <w:r/>
            <w:r>
              <w:rPr>
                <w:rFonts w:ascii="Arial" w:hAnsi="Arial" w:cs="Arial"/>
                <w:b w:val="0"/>
                <w:i w:val="0"/>
                <w:sz w:val="17"/>
              </w:rPr>
              <w:t>Signature authority</w:t>
            </w:r>
          </w:p>
        </w:tc>
        <w:tc>
          <w:tcPr>
            <w:tcW w:type="dxa" w:w="3213"/>
          </w:tcPr>
          <w:p>
            <w:pPr>
              <w:spacing w:after="20" w:before="20" w:line="240" w:lineRule="auto"/>
            </w:pPr>
            <w:r/>
            <w:r>
              <w:rPr>
                <w:rFonts w:ascii="Arial" w:hAnsi="Arial" w:cs="Arial"/>
                <w:b w:val="0"/>
                <w:i w:val="0"/>
                <w:sz w:val="17"/>
              </w:rPr>
              <w:t>Three signature classes, QES fallback (Sections 9.24.1, 3.5.10.6)</w:t>
            </w:r>
          </w:p>
        </w:tc>
      </w:tr>
      <w:tr>
        <w:tc>
          <w:tcPr>
            <w:tcW w:type="dxa" w:w="3213"/>
          </w:tcPr>
          <w:p>
            <w:pPr>
              <w:spacing w:after="20" w:before="20" w:line="240" w:lineRule="auto"/>
            </w:pPr>
            <w:r/>
            <w:r>
              <w:rPr>
                <w:rFonts w:ascii="Arial" w:hAnsi="Arial" w:cs="Arial"/>
                <w:b w:val="0"/>
                <w:i w:val="0"/>
                <w:sz w:val="17"/>
              </w:rPr>
              <w:t>5</w:t>
            </w:r>
          </w:p>
        </w:tc>
        <w:tc>
          <w:tcPr>
            <w:tcW w:type="dxa" w:w="3213"/>
          </w:tcPr>
          <w:p>
            <w:pPr>
              <w:spacing w:after="20" w:before="20" w:line="240" w:lineRule="auto"/>
            </w:pPr>
            <w:r/>
            <w:r>
              <w:rPr>
                <w:rFonts w:ascii="Arial" w:hAnsi="Arial" w:cs="Arial"/>
                <w:b w:val="0"/>
                <w:i w:val="0"/>
                <w:sz w:val="17"/>
              </w:rPr>
              <w:t>Economic exposure &amp; financing</w:t>
            </w:r>
          </w:p>
        </w:tc>
        <w:tc>
          <w:tcPr>
            <w:tcW w:type="dxa" w:w="3213"/>
          </w:tcPr>
          <w:p>
            <w:pPr>
              <w:spacing w:after="20" w:before="20" w:line="240" w:lineRule="auto"/>
            </w:pPr>
            <w:r/>
            <w:r>
              <w:rPr>
                <w:rFonts w:ascii="Arial" w:hAnsi="Arial" w:cs="Arial"/>
                <w:b w:val="0"/>
                <w:i w:val="0"/>
                <w:sz w:val="17"/>
              </w:rPr>
              <w:t>Exposure graph, allocation model (Sections 19.64.1, 10.23.1)</w:t>
            </w:r>
          </w:p>
        </w:tc>
      </w:tr>
      <w:tr>
        <w:tc>
          <w:tcPr>
            <w:tcW w:type="dxa" w:w="3213"/>
          </w:tcPr>
          <w:p>
            <w:pPr>
              <w:spacing w:after="20" w:before="20" w:line="240" w:lineRule="auto"/>
            </w:pPr>
            <w:r/>
            <w:r>
              <w:rPr>
                <w:rFonts w:ascii="Arial" w:hAnsi="Arial" w:cs="Arial"/>
                <w:b w:val="0"/>
                <w:i w:val="0"/>
                <w:sz w:val="17"/>
              </w:rPr>
              <w:t>6</w:t>
            </w:r>
          </w:p>
        </w:tc>
        <w:tc>
          <w:tcPr>
            <w:tcW w:type="dxa" w:w="3213"/>
          </w:tcPr>
          <w:p>
            <w:pPr>
              <w:spacing w:after="20" w:before="20" w:line="240" w:lineRule="auto"/>
            </w:pPr>
            <w:r/>
            <w:r>
              <w:rPr>
                <w:rFonts w:ascii="Arial" w:hAnsi="Arial" w:cs="Arial"/>
                <w:b w:val="0"/>
                <w:i w:val="0"/>
                <w:sz w:val="17"/>
              </w:rPr>
              <w:t>ERR &amp; Incoterm responsibility</w:t>
            </w:r>
          </w:p>
        </w:tc>
        <w:tc>
          <w:tcPr>
            <w:tcW w:type="dxa" w:w="3213"/>
          </w:tcPr>
          <w:p>
            <w:pPr>
              <w:spacing w:after="20" w:before="20" w:line="240" w:lineRule="auto"/>
            </w:pPr>
            <w:r/>
            <w:r>
              <w:rPr>
                <w:rFonts w:ascii="Arial" w:hAnsi="Arial" w:cs="Arial"/>
                <w:b w:val="0"/>
                <w:i w:val="0"/>
                <w:sz w:val="17"/>
              </w:rPr>
              <w:t>ERR model, structured Incoterm framework (Sections 10.7.1, 6.4)</w:t>
            </w:r>
          </w:p>
        </w:tc>
      </w:tr>
      <w:tr>
        <w:tc>
          <w:tcPr>
            <w:tcW w:type="dxa" w:w="3213"/>
          </w:tcPr>
          <w:p>
            <w:pPr>
              <w:spacing w:after="20" w:before="20" w:line="240" w:lineRule="auto"/>
            </w:pPr>
            <w:r/>
            <w:r>
              <w:rPr>
                <w:rFonts w:ascii="Arial" w:hAnsi="Arial" w:cs="Arial"/>
                <w:b w:val="0"/>
                <w:i w:val="0"/>
                <w:sz w:val="17"/>
              </w:rPr>
              <w:t>7</w:t>
            </w:r>
          </w:p>
        </w:tc>
        <w:tc>
          <w:tcPr>
            <w:tcW w:type="dxa" w:w="3213"/>
          </w:tcPr>
          <w:p>
            <w:pPr>
              <w:spacing w:after="20" w:before="20" w:line="240" w:lineRule="auto"/>
            </w:pPr>
            <w:r/>
            <w:r>
              <w:rPr>
                <w:rFonts w:ascii="Arial" w:hAnsi="Arial" w:cs="Arial"/>
                <w:b w:val="0"/>
                <w:i w:val="0"/>
                <w:sz w:val="17"/>
              </w:rPr>
              <w:t>Dependency graph</w:t>
            </w:r>
          </w:p>
        </w:tc>
        <w:tc>
          <w:tcPr>
            <w:tcW w:type="dxa" w:w="3213"/>
          </w:tcPr>
          <w:p>
            <w:pPr>
              <w:spacing w:after="20" w:before="20" w:line="240" w:lineRule="auto"/>
            </w:pPr>
            <w:r/>
            <w:r>
              <w:rPr>
                <w:rFonts w:ascii="Arial" w:hAnsi="Arial" w:cs="Arial"/>
                <w:b w:val="0"/>
                <w:i w:val="0"/>
                <w:sz w:val="17"/>
              </w:rPr>
              <w:t>Readiness dimensions, node/edge model (Section 19.67.1)</w:t>
            </w:r>
          </w:p>
        </w:tc>
      </w:tr>
      <w:tr>
        <w:tc>
          <w:tcPr>
            <w:tcW w:type="dxa" w:w="3213"/>
          </w:tcPr>
          <w:p>
            <w:pPr>
              <w:spacing w:after="20" w:before="20" w:line="240" w:lineRule="auto"/>
            </w:pPr>
            <w:r/>
            <w:r>
              <w:rPr>
                <w:rFonts w:ascii="Arial" w:hAnsi="Arial" w:cs="Arial"/>
                <w:b w:val="0"/>
                <w:i w:val="0"/>
                <w:sz w:val="17"/>
              </w:rPr>
              <w:t>8</w:t>
            </w:r>
          </w:p>
        </w:tc>
        <w:tc>
          <w:tcPr>
            <w:tcW w:type="dxa" w:w="3213"/>
          </w:tcPr>
          <w:p>
            <w:pPr>
              <w:spacing w:after="20" w:before="20" w:line="240" w:lineRule="auto"/>
            </w:pPr>
            <w:r/>
            <w:r>
              <w:rPr>
                <w:rFonts w:ascii="Arial" w:hAnsi="Arial" w:cs="Arial"/>
                <w:b w:val="0"/>
                <w:i w:val="0"/>
                <w:sz w:val="17"/>
              </w:rPr>
              <w:t>Dwell &amp; exposure clock</w:t>
            </w:r>
          </w:p>
        </w:tc>
        <w:tc>
          <w:tcPr>
            <w:tcW w:type="dxa" w:w="3213"/>
          </w:tcPr>
          <w:p>
            <w:pPr>
              <w:spacing w:after="20" w:before="20" w:line="240" w:lineRule="auto"/>
            </w:pPr>
            <w:r/>
            <w:r>
              <w:rPr>
                <w:rFonts w:ascii="Arial" w:hAnsi="Arial" w:cs="Arial"/>
                <w:b w:val="0"/>
                <w:i w:val="0"/>
                <w:sz w:val="17"/>
              </w:rPr>
              <w:t>Dwell exposure domain (Section 22.4.10)</w:t>
            </w:r>
          </w:p>
        </w:tc>
      </w:tr>
      <w:tr>
        <w:tc>
          <w:tcPr>
            <w:tcW w:type="dxa" w:w="3213"/>
          </w:tcPr>
          <w:p>
            <w:pPr>
              <w:spacing w:after="20" w:before="20" w:line="240" w:lineRule="auto"/>
            </w:pPr>
            <w:r/>
            <w:r>
              <w:rPr>
                <w:rFonts w:ascii="Arial" w:hAnsi="Arial" w:cs="Arial"/>
                <w:b w:val="0"/>
                <w:i w:val="0"/>
                <w:sz w:val="17"/>
              </w:rPr>
              <w:t>9</w:t>
            </w:r>
          </w:p>
        </w:tc>
        <w:tc>
          <w:tcPr>
            <w:tcW w:type="dxa" w:w="3213"/>
          </w:tcPr>
          <w:p>
            <w:pPr>
              <w:spacing w:after="20" w:before="20" w:line="240" w:lineRule="auto"/>
            </w:pPr>
            <w:r/>
            <w:r>
              <w:rPr>
                <w:rFonts w:ascii="Arial" w:hAnsi="Arial" w:cs="Arial"/>
                <w:b w:val="0"/>
                <w:i w:val="0"/>
                <w:sz w:val="17"/>
              </w:rPr>
              <w:t>Compliance cache &amp; RIA</w:t>
            </w:r>
          </w:p>
        </w:tc>
        <w:tc>
          <w:tcPr>
            <w:tcW w:type="dxa" w:w="3213"/>
          </w:tcPr>
          <w:p>
            <w:pPr>
              <w:spacing w:after="20" w:before="20" w:line="240" w:lineRule="auto"/>
            </w:pPr>
            <w:r/>
            <w:r>
              <w:rPr>
                <w:rFonts w:ascii="Arial" w:hAnsi="Arial" w:cs="Arial"/>
                <w:b w:val="0"/>
                <w:i w:val="0"/>
                <w:sz w:val="17"/>
              </w:rPr>
              <w:t>Source tiering, outbox pipeline (Section 6.3)</w:t>
            </w:r>
          </w:p>
        </w:tc>
      </w:tr>
      <w:tr>
        <w:tc>
          <w:tcPr>
            <w:tcW w:type="dxa" w:w="3213"/>
          </w:tcPr>
          <w:p>
            <w:pPr>
              <w:spacing w:after="20" w:before="20" w:line="240" w:lineRule="auto"/>
            </w:pPr>
            <w:r/>
            <w:r>
              <w:rPr>
                <w:rFonts w:ascii="Arial" w:hAnsi="Arial" w:cs="Arial"/>
                <w:b w:val="0"/>
                <w:i w:val="0"/>
                <w:sz w:val="17"/>
              </w:rPr>
              <w:t>10</w:t>
            </w:r>
          </w:p>
        </w:tc>
        <w:tc>
          <w:tcPr>
            <w:tcW w:type="dxa" w:w="3213"/>
          </w:tcPr>
          <w:p>
            <w:pPr>
              <w:spacing w:after="20" w:before="20" w:line="240" w:lineRule="auto"/>
            </w:pPr>
            <w:r/>
            <w:r>
              <w:rPr>
                <w:rFonts w:ascii="Arial" w:hAnsi="Arial" w:cs="Arial"/>
                <w:b w:val="0"/>
                <w:i w:val="0"/>
                <w:sz w:val="17"/>
              </w:rPr>
              <w:t>External authority &amp; reconciliation</w:t>
            </w:r>
          </w:p>
        </w:tc>
        <w:tc>
          <w:tcPr>
            <w:tcW w:type="dxa" w:w="3213"/>
          </w:tcPr>
          <w:p>
            <w:pPr>
              <w:spacing w:after="20" w:before="20" w:line="240" w:lineRule="auto"/>
            </w:pPr>
            <w:r/>
            <w:r>
              <w:rPr>
                <w:rFonts w:ascii="Arial" w:hAnsi="Arial" w:cs="Arial"/>
                <w:b w:val="0"/>
                <w:i w:val="0"/>
                <w:sz w:val="17"/>
              </w:rPr>
              <w:t>Authority metadata, control plane (Sections 19.32.1, 19.26.1)</w:t>
            </w:r>
          </w:p>
        </w:tc>
      </w:tr>
      <w:tr>
        <w:tc>
          <w:tcPr>
            <w:tcW w:type="dxa" w:w="3213"/>
          </w:tcPr>
          <w:p>
            <w:pPr>
              <w:spacing w:after="20" w:before="20" w:line="240" w:lineRule="auto"/>
            </w:pPr>
            <w:r/>
            <w:r>
              <w:rPr>
                <w:rFonts w:ascii="Arial" w:hAnsi="Arial" w:cs="Arial"/>
                <w:b w:val="0"/>
                <w:i w:val="0"/>
                <w:sz w:val="17"/>
              </w:rPr>
              <w:t>11</w:t>
            </w:r>
          </w:p>
        </w:tc>
        <w:tc>
          <w:tcPr>
            <w:tcW w:type="dxa" w:w="3213"/>
          </w:tcPr>
          <w:p>
            <w:pPr>
              <w:spacing w:after="20" w:before="20" w:line="240" w:lineRule="auto"/>
            </w:pPr>
            <w:r/>
            <w:r>
              <w:rPr>
                <w:rFonts w:ascii="Arial" w:hAnsi="Arial" w:cs="Arial"/>
                <w:b w:val="0"/>
                <w:i w:val="0"/>
                <w:sz w:val="17"/>
              </w:rPr>
              <w:t>Closure hardening</w:t>
            </w:r>
          </w:p>
        </w:tc>
        <w:tc>
          <w:tcPr>
            <w:tcW w:type="dxa" w:w="3213"/>
          </w:tcPr>
          <w:p>
            <w:pPr>
              <w:spacing w:after="20" w:before="20" w:line="240" w:lineRule="auto"/>
            </w:pPr>
            <w:r/>
            <w:r>
              <w:rPr>
                <w:rFonts w:ascii="Arial" w:hAnsi="Arial" w:cs="Arial"/>
                <w:b w:val="0"/>
                <w:i w:val="0"/>
                <w:sz w:val="17"/>
              </w:rPr>
              <w:t>Closure checks, closure-with-exception record (Sections 5.10, 19.113.1)</w:t>
            </w:r>
          </w:p>
        </w:tc>
      </w:tr>
      <w:tr>
        <w:tc>
          <w:tcPr>
            <w:tcW w:type="dxa" w:w="3213"/>
          </w:tcPr>
          <w:p>
            <w:pPr>
              <w:spacing w:after="20" w:before="20" w:line="240" w:lineRule="auto"/>
            </w:pPr>
            <w:r/>
            <w:r>
              <w:rPr>
                <w:rFonts w:ascii="Arial" w:hAnsi="Arial" w:cs="Arial"/>
                <w:b w:val="0"/>
                <w:i w:val="0"/>
                <w:sz w:val="17"/>
              </w:rPr>
              <w:t>12</w:t>
            </w:r>
          </w:p>
        </w:tc>
        <w:tc>
          <w:tcPr>
            <w:tcW w:type="dxa" w:w="3213"/>
          </w:tcPr>
          <w:p>
            <w:pPr>
              <w:spacing w:after="20" w:before="20" w:line="240" w:lineRule="auto"/>
            </w:pPr>
            <w:r/>
            <w:r>
              <w:rPr>
                <w:rFonts w:ascii="Arial" w:hAnsi="Arial" w:cs="Arial"/>
                <w:b w:val="0"/>
                <w:i w:val="0"/>
                <w:sz w:val="17"/>
              </w:rPr>
              <w:t>API &amp; schema migrations</w:t>
            </w:r>
          </w:p>
        </w:tc>
        <w:tc>
          <w:tcPr>
            <w:tcW w:type="dxa" w:w="3213"/>
          </w:tcPr>
          <w:p>
            <w:pPr>
              <w:spacing w:after="20" w:before="20" w:line="240" w:lineRule="auto"/>
            </w:pPr>
            <w:r/>
            <w:r>
              <w:rPr>
                <w:rFonts w:ascii="Arial" w:hAnsi="Arial" w:cs="Arial"/>
                <w:b w:val="0"/>
                <w:i w:val="0"/>
                <w:sz w:val="17"/>
              </w:rPr>
              <w:t>Normalized entities, endpoint classification (Sections 17.32.1, 18)</w:t>
            </w:r>
          </w:p>
        </w:tc>
      </w:tr>
      <w:tr>
        <w:tc>
          <w:tcPr>
            <w:tcW w:type="dxa" w:w="3213"/>
          </w:tcPr>
          <w:p>
            <w:pPr>
              <w:spacing w:after="20" w:before="20" w:line="240" w:lineRule="auto"/>
            </w:pPr>
            <w:r/>
            <w:r>
              <w:rPr>
                <w:rFonts w:ascii="Arial" w:hAnsi="Arial" w:cs="Arial"/>
                <w:b w:val="0"/>
                <w:i w:val="0"/>
                <w:sz w:val="17"/>
              </w:rPr>
              <w:t>13</w:t>
            </w:r>
          </w:p>
        </w:tc>
        <w:tc>
          <w:tcPr>
            <w:tcW w:type="dxa" w:w="3213"/>
          </w:tcPr>
          <w:p>
            <w:pPr>
              <w:spacing w:after="20" w:before="20" w:line="240" w:lineRule="auto"/>
            </w:pPr>
            <w:r/>
            <w:r>
              <w:rPr>
                <w:rFonts w:ascii="Arial" w:hAnsi="Arial" w:cs="Arial"/>
                <w:b w:val="0"/>
                <w:i w:val="0"/>
                <w:sz w:val="17"/>
              </w:rPr>
              <w:t>UI reconciliation</w:t>
            </w:r>
          </w:p>
        </w:tc>
        <w:tc>
          <w:tcPr>
            <w:tcW w:type="dxa" w:w="3213"/>
          </w:tcPr>
          <w:p>
            <w:pPr>
              <w:spacing w:after="20" w:before="20" w:line="240" w:lineRule="auto"/>
            </w:pPr>
            <w:r/>
            <w:r>
              <w:rPr>
                <w:rFonts w:ascii="Arial" w:hAnsi="Arial" w:cs="Arial"/>
                <w:b w:val="0"/>
                <w:i w:val="0"/>
                <w:sz w:val="17"/>
              </w:rPr>
              <w:t>Blocker model, presentation modes (Sections 16.4.5, 16.4.2)</w:t>
            </w:r>
          </w:p>
        </w:tc>
      </w:tr>
      <w:tr>
        <w:tc>
          <w:tcPr>
            <w:tcW w:type="dxa" w:w="3213"/>
          </w:tcPr>
          <w:p>
            <w:pPr>
              <w:spacing w:after="20" w:before="20" w:line="240" w:lineRule="auto"/>
            </w:pPr>
            <w:r/>
            <w:r>
              <w:rPr>
                <w:rFonts w:ascii="Arial" w:hAnsi="Arial" w:cs="Arial"/>
                <w:b w:val="0"/>
                <w:i w:val="0"/>
                <w:sz w:val="17"/>
              </w:rPr>
              <w:t>14</w:t>
            </w:r>
          </w:p>
        </w:tc>
        <w:tc>
          <w:tcPr>
            <w:tcW w:type="dxa" w:w="3213"/>
          </w:tcPr>
          <w:p>
            <w:pPr>
              <w:spacing w:after="20" w:before="20" w:line="240" w:lineRule="auto"/>
            </w:pPr>
            <w:r/>
            <w:r>
              <w:rPr>
                <w:rFonts w:ascii="Arial" w:hAnsi="Arial" w:cs="Arial"/>
                <w:b w:val="0"/>
                <w:i w:val="0"/>
                <w:sz w:val="17"/>
              </w:rPr>
              <w:t>End-to-end testing</w:t>
            </w:r>
          </w:p>
        </w:tc>
        <w:tc>
          <w:tcPr>
            <w:tcW w:type="dxa" w:w="3213"/>
          </w:tcPr>
          <w:p>
            <w:pPr>
              <w:spacing w:after="20" w:before="20" w:line="240" w:lineRule="auto"/>
            </w:pPr>
            <w:r/>
            <w:r>
              <w:rPr>
                <w:rFonts w:ascii="Arial" w:hAnsi="Arial" w:cs="Arial"/>
                <w:b w:val="0"/>
                <w:i w:val="0"/>
                <w:sz w:val="17"/>
              </w:rPr>
              <w:t>Cross-section test suite, L1–L4 validation (Sections 24.4.11–24.4.13)</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24.2.20 Payment &amp; Bank Integration Milestones</w:t>
      </w:r>
    </w:p>
    <w:p>
      <w:pPr>
        <w:spacing w:after="80" w:line="293" w:lineRule="auto"/>
        <w:jc w:val="left"/>
      </w:pPr>
      <w:r>
        <w:rPr>
          <w:rFonts w:ascii="Times New Roman" w:hAnsi="Times New Roman" w:cs="Times New Roman"/>
          <w:b w:val="0"/>
          <w:i w:val="0"/>
          <w:sz w:val="22"/>
        </w:rPr>
        <w:t>These milestones extend the roadmap phases above with the Direct Bank Settlement deliverables:</w:t>
      </w:r>
    </w:p>
    <w:p>
      <w:pPr>
        <w:keepNext/>
        <w:spacing w:before="140" w:after="60"/>
        <w:outlineLvl w:val="3"/>
      </w:pPr>
      <w:r>
        <w:rPr>
          <w:rFonts w:ascii="Arial" w:hAnsi="Arial" w:cs="Arial"/>
          <w:b/>
          <w:i/>
          <w:color w:val="333333"/>
          <w:sz w:val="22"/>
        </w:rPr>
        <w:t>Foundation — Bank Integration (Months 1–3)</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Deliverable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Success Criteria</w:t>
            </w:r>
          </w:p>
        </w:tc>
      </w:tr>
      <w:tr>
        <w:tc>
          <w:tcPr>
            <w:tcW w:type="dxa" w:w="3213"/>
          </w:tcPr>
          <w:p>
            <w:pPr>
              <w:spacing w:after="20" w:before="20" w:line="240" w:lineRule="auto"/>
            </w:pPr>
            <w:r/>
            <w:r>
              <w:rPr>
                <w:rFonts w:ascii="Arial" w:hAnsi="Arial" w:cs="Arial"/>
                <w:b w:val="0"/>
                <w:i w:val="0"/>
                <w:sz w:val="17"/>
              </w:rPr>
              <w:t>Bank Capability Registry</w:t>
            </w:r>
          </w:p>
        </w:tc>
        <w:tc>
          <w:tcPr>
            <w:tcW w:type="dxa" w:w="3213"/>
          </w:tcPr>
          <w:p>
            <w:pPr>
              <w:spacing w:after="20" w:before="20" w:line="240" w:lineRule="auto"/>
            </w:pPr>
            <w:r/>
            <w:r>
              <w:rPr>
                <w:rFonts w:ascii="Arial" w:hAnsi="Arial" w:cs="Arial"/>
                <w:b w:val="0"/>
                <w:i w:val="0"/>
                <w:sz w:val="17"/>
              </w:rPr>
              <w:t>Register first bank (CIB Egypt)</w:t>
            </w:r>
          </w:p>
        </w:tc>
        <w:tc>
          <w:tcPr>
            <w:tcW w:type="dxa" w:w="3213"/>
          </w:tcPr>
          <w:p>
            <w:pPr>
              <w:spacing w:after="20" w:before="20" w:line="240" w:lineRule="auto"/>
            </w:pPr>
            <w:r/>
            <w:r>
              <w:rPr>
                <w:rFonts w:ascii="Arial" w:hAnsi="Arial" w:cs="Arial"/>
                <w:b w:val="0"/>
                <w:i w:val="0"/>
                <w:sz w:val="17"/>
              </w:rPr>
              <w:t>Bank confirms ISO 20022 integration</w:t>
            </w:r>
          </w:p>
        </w:tc>
      </w:tr>
      <w:tr>
        <w:tc>
          <w:tcPr>
            <w:tcW w:type="dxa" w:w="3213"/>
          </w:tcPr>
          <w:p>
            <w:pPr>
              <w:spacing w:after="20" w:before="20" w:line="240" w:lineRule="auto"/>
            </w:pPr>
            <w:r/>
            <w:r>
              <w:rPr>
                <w:rFonts w:ascii="Arial" w:hAnsi="Arial" w:cs="Arial"/>
                <w:b w:val="0"/>
                <w:i w:val="0"/>
                <w:sz w:val="17"/>
              </w:rPr>
              <w:t>Buyer Banking Details</w:t>
            </w:r>
          </w:p>
        </w:tc>
        <w:tc>
          <w:tcPr>
            <w:tcW w:type="dxa" w:w="3213"/>
          </w:tcPr>
          <w:p>
            <w:pPr>
              <w:spacing w:after="20" w:before="20" w:line="240" w:lineRule="auto"/>
            </w:pPr>
            <w:r/>
            <w:r>
              <w:rPr>
                <w:rFonts w:ascii="Arial" w:hAnsi="Arial" w:cs="Arial"/>
                <w:b w:val="0"/>
                <w:i w:val="0"/>
                <w:sz w:val="17"/>
              </w:rPr>
              <w:t>Collect and verify banking details</w:t>
            </w:r>
          </w:p>
        </w:tc>
        <w:tc>
          <w:tcPr>
            <w:tcW w:type="dxa" w:w="3213"/>
          </w:tcPr>
          <w:p>
            <w:pPr>
              <w:spacing w:after="20" w:before="20" w:line="240" w:lineRule="auto"/>
            </w:pPr>
            <w:r/>
            <w:r>
              <w:rPr>
                <w:rFonts w:ascii="Arial" w:hAnsi="Arial" w:cs="Arial"/>
                <w:b w:val="0"/>
                <w:i w:val="0"/>
                <w:sz w:val="17"/>
              </w:rPr>
              <w:t>Micro-deposits verified</w:t>
            </w:r>
          </w:p>
        </w:tc>
      </w:tr>
      <w:tr>
        <w:tc>
          <w:tcPr>
            <w:tcW w:type="dxa" w:w="3213"/>
          </w:tcPr>
          <w:p>
            <w:pPr>
              <w:spacing w:after="20" w:before="20" w:line="240" w:lineRule="auto"/>
            </w:pPr>
            <w:r/>
            <w:r>
              <w:rPr>
                <w:rFonts w:ascii="Arial" w:hAnsi="Arial" w:cs="Arial"/>
                <w:b w:val="0"/>
                <w:i w:val="0"/>
                <w:sz w:val="17"/>
              </w:rPr>
              <w:t>ISO 20022 Message Generation</w:t>
            </w:r>
          </w:p>
        </w:tc>
        <w:tc>
          <w:tcPr>
            <w:tcW w:type="dxa" w:w="3213"/>
          </w:tcPr>
          <w:p>
            <w:pPr>
              <w:spacing w:after="20" w:before="20" w:line="240" w:lineRule="auto"/>
            </w:pPr>
            <w:r/>
            <w:r>
              <w:rPr>
                <w:rFonts w:ascii="Arial" w:hAnsi="Arial" w:cs="Arial"/>
                <w:b w:val="0"/>
                <w:i w:val="0"/>
                <w:sz w:val="17"/>
              </w:rPr>
              <w:t>Implement pain.001 generation</w:t>
            </w:r>
          </w:p>
        </w:tc>
        <w:tc>
          <w:tcPr>
            <w:tcW w:type="dxa" w:w="3213"/>
          </w:tcPr>
          <w:p>
            <w:pPr>
              <w:spacing w:after="20" w:before="20" w:line="240" w:lineRule="auto"/>
            </w:pPr>
            <w:r/>
            <w:r>
              <w:rPr>
                <w:rFonts w:ascii="Arial" w:hAnsi="Arial" w:cs="Arial"/>
                <w:b w:val="0"/>
                <w:i w:val="0"/>
                <w:sz w:val="17"/>
              </w:rPr>
              <w:t>Sample message validates against ISO schema</w:t>
            </w:r>
          </w:p>
        </w:tc>
      </w:tr>
      <w:tr>
        <w:tc>
          <w:tcPr>
            <w:tcW w:type="dxa" w:w="3213"/>
          </w:tcPr>
          <w:p>
            <w:pPr>
              <w:spacing w:after="20" w:before="20" w:line="240" w:lineRule="auto"/>
            </w:pPr>
            <w:r/>
            <w:r>
              <w:rPr>
                <w:rFonts w:ascii="Arial" w:hAnsi="Arial" w:cs="Arial"/>
                <w:b w:val="0"/>
                <w:i w:val="0"/>
                <w:sz w:val="17"/>
              </w:rPr>
              <w:t>Basic Quotation Service</w:t>
            </w:r>
          </w:p>
        </w:tc>
        <w:tc>
          <w:tcPr>
            <w:tcW w:type="dxa" w:w="3213"/>
          </w:tcPr>
          <w:p>
            <w:pPr>
              <w:spacing w:after="20" w:before="20" w:line="240" w:lineRule="auto"/>
            </w:pPr>
            <w:r/>
            <w:r>
              <w:rPr>
                <w:rFonts w:ascii="Arial" w:hAnsi="Arial" w:cs="Arial"/>
                <w:b w:val="0"/>
                <w:i w:val="0"/>
                <w:sz w:val="17"/>
              </w:rPr>
              <w:t>Create quotation table and API</w:t>
            </w:r>
          </w:p>
        </w:tc>
        <w:tc>
          <w:tcPr>
            <w:tcW w:type="dxa" w:w="3213"/>
          </w:tcPr>
          <w:p>
            <w:pPr>
              <w:spacing w:after="20" w:before="20" w:line="240" w:lineRule="auto"/>
            </w:pPr>
            <w:r/>
            <w:r>
              <w:rPr>
                <w:rFonts w:ascii="Arial" w:hAnsi="Arial" w:cs="Arial"/>
                <w:b w:val="0"/>
                <w:i w:val="0"/>
                <w:sz w:val="17"/>
              </w:rPr>
              <w:t>Quotations stored with GTID and USTN</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Multi-Currency Settlement (Months 4–6)</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Deliverable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Success Criteria</w:t>
            </w:r>
          </w:p>
        </w:tc>
      </w:tr>
      <w:tr>
        <w:tc>
          <w:tcPr>
            <w:tcW w:type="dxa" w:w="3213"/>
          </w:tcPr>
          <w:p>
            <w:pPr>
              <w:spacing w:after="20" w:before="20" w:line="240" w:lineRule="auto"/>
            </w:pPr>
            <w:r/>
            <w:r>
              <w:rPr>
                <w:rFonts w:ascii="Arial" w:hAnsi="Arial" w:cs="Arial"/>
                <w:b w:val="0"/>
                <w:i w:val="0"/>
                <w:sz w:val="17"/>
              </w:rPr>
              <w:t>Payment Manifest</w:t>
            </w:r>
          </w:p>
        </w:tc>
        <w:tc>
          <w:tcPr>
            <w:tcW w:type="dxa" w:w="3213"/>
          </w:tcPr>
          <w:p>
            <w:pPr>
              <w:spacing w:after="20" w:before="20" w:line="240" w:lineRule="auto"/>
            </w:pPr>
            <w:r/>
            <w:r>
              <w:rPr>
                <w:rFonts w:ascii="Arial" w:hAnsi="Arial" w:cs="Arial"/>
                <w:b w:val="0"/>
                <w:i w:val="0"/>
                <w:sz w:val="17"/>
              </w:rPr>
              <w:t>Generate USTN Multi-Leg Settlement Manifest</w:t>
            </w:r>
          </w:p>
        </w:tc>
        <w:tc>
          <w:tcPr>
            <w:tcW w:type="dxa" w:w="3213"/>
          </w:tcPr>
          <w:p>
            <w:pPr>
              <w:spacing w:after="20" w:before="20" w:line="240" w:lineRule="auto"/>
            </w:pPr>
            <w:r/>
            <w:r>
              <w:rPr>
                <w:rFonts w:ascii="Arial" w:hAnsi="Arial" w:cs="Arial"/>
                <w:b w:val="0"/>
                <w:i w:val="0"/>
                <w:sz w:val="17"/>
              </w:rPr>
              <w:t>Manifest includes all fee legs</w:t>
            </w:r>
          </w:p>
        </w:tc>
      </w:tr>
      <w:tr>
        <w:tc>
          <w:tcPr>
            <w:tcW w:type="dxa" w:w="3213"/>
          </w:tcPr>
          <w:p>
            <w:pPr>
              <w:spacing w:after="20" w:before="20" w:line="240" w:lineRule="auto"/>
            </w:pPr>
            <w:r/>
            <w:r>
              <w:rPr>
                <w:rFonts w:ascii="Arial" w:hAnsi="Arial" w:cs="Arial"/>
                <w:b w:val="0"/>
                <w:i w:val="0"/>
                <w:sz w:val="17"/>
              </w:rPr>
              <w:t>EGP Settlement</w:t>
            </w:r>
          </w:p>
        </w:tc>
        <w:tc>
          <w:tcPr>
            <w:tcW w:type="dxa" w:w="3213"/>
          </w:tcPr>
          <w:p>
            <w:pPr>
              <w:spacing w:after="20" w:before="20" w:line="240" w:lineRule="auto"/>
            </w:pPr>
            <w:r/>
            <w:r>
              <w:rPr>
                <w:rFonts w:ascii="Arial" w:hAnsi="Arial" w:cs="Arial"/>
                <w:b w:val="0"/>
                <w:i w:val="0"/>
                <w:sz w:val="17"/>
              </w:rPr>
              <w:t>Implement EGP pain.001 dispatch</w:t>
            </w:r>
          </w:p>
        </w:tc>
        <w:tc>
          <w:tcPr>
            <w:tcW w:type="dxa" w:w="3213"/>
          </w:tcPr>
          <w:p>
            <w:pPr>
              <w:spacing w:after="20" w:before="20" w:line="240" w:lineRule="auto"/>
            </w:pPr>
            <w:r/>
            <w:r>
              <w:rPr>
                <w:rFonts w:ascii="Arial" w:hAnsi="Arial" w:cs="Arial"/>
                <w:b w:val="0"/>
                <w:i w:val="0"/>
                <w:sz w:val="17"/>
              </w:rPr>
              <w:t>Bank executes EGP multi-leg payment</w:t>
            </w:r>
          </w:p>
        </w:tc>
      </w:tr>
      <w:tr>
        <w:tc>
          <w:tcPr>
            <w:tcW w:type="dxa" w:w="3213"/>
          </w:tcPr>
          <w:p>
            <w:pPr>
              <w:spacing w:after="20" w:before="20" w:line="240" w:lineRule="auto"/>
            </w:pPr>
            <w:r/>
            <w:r>
              <w:rPr>
                <w:rFonts w:ascii="Arial" w:hAnsi="Arial" w:cs="Arial"/>
                <w:b w:val="0"/>
                <w:i w:val="0"/>
                <w:sz w:val="17"/>
              </w:rPr>
              <w:t>USD Settlement</w:t>
            </w:r>
          </w:p>
        </w:tc>
        <w:tc>
          <w:tcPr>
            <w:tcW w:type="dxa" w:w="3213"/>
          </w:tcPr>
          <w:p>
            <w:pPr>
              <w:spacing w:after="20" w:before="20" w:line="240" w:lineRule="auto"/>
            </w:pPr>
            <w:r/>
            <w:r>
              <w:rPr>
                <w:rFonts w:ascii="Arial" w:hAnsi="Arial" w:cs="Arial"/>
                <w:b w:val="0"/>
                <w:i w:val="0"/>
                <w:sz w:val="17"/>
              </w:rPr>
              <w:t>Implement USD SWIFT gpi dispatch</w:t>
            </w:r>
          </w:p>
        </w:tc>
        <w:tc>
          <w:tcPr>
            <w:tcW w:type="dxa" w:w="3213"/>
          </w:tcPr>
          <w:p>
            <w:pPr>
              <w:spacing w:after="20" w:before="20" w:line="240" w:lineRule="auto"/>
            </w:pPr>
            <w:r/>
            <w:r>
              <w:rPr>
                <w:rFonts w:ascii="Arial" w:hAnsi="Arial" w:cs="Arial"/>
                <w:b w:val="0"/>
                <w:i w:val="0"/>
                <w:sz w:val="17"/>
              </w:rPr>
              <w:t>Bank executes USD multi-leg payment</w:t>
            </w:r>
          </w:p>
        </w:tc>
      </w:tr>
      <w:tr>
        <w:tc>
          <w:tcPr>
            <w:tcW w:type="dxa" w:w="3213"/>
          </w:tcPr>
          <w:p>
            <w:pPr>
              <w:spacing w:after="20" w:before="20" w:line="240" w:lineRule="auto"/>
            </w:pPr>
            <w:r/>
            <w:r>
              <w:rPr>
                <w:rFonts w:ascii="Arial" w:hAnsi="Arial" w:cs="Arial"/>
                <w:b w:val="0"/>
                <w:i w:val="0"/>
                <w:sz w:val="17"/>
              </w:rPr>
              <w:t>camt.054 Ingestion</w:t>
            </w:r>
          </w:p>
        </w:tc>
        <w:tc>
          <w:tcPr>
            <w:tcW w:type="dxa" w:w="3213"/>
          </w:tcPr>
          <w:p>
            <w:pPr>
              <w:spacing w:after="20" w:before="20" w:line="240" w:lineRule="auto"/>
            </w:pPr>
            <w:r/>
            <w:r>
              <w:rPr>
                <w:rFonts w:ascii="Arial" w:hAnsi="Arial" w:cs="Arial"/>
                <w:b w:val="0"/>
                <w:i w:val="0"/>
                <w:sz w:val="17"/>
              </w:rPr>
              <w:t>Receive and parse camt.054 confirmations</w:t>
            </w:r>
          </w:p>
        </w:tc>
        <w:tc>
          <w:tcPr>
            <w:tcW w:type="dxa" w:w="3213"/>
          </w:tcPr>
          <w:p>
            <w:pPr>
              <w:spacing w:after="20" w:before="20" w:line="240" w:lineRule="auto"/>
            </w:pPr>
            <w:r/>
            <w:r>
              <w:rPr>
                <w:rFonts w:ascii="Arial" w:hAnsi="Arial" w:cs="Arial"/>
                <w:b w:val="0"/>
                <w:i w:val="0"/>
                <w:sz w:val="17"/>
              </w:rPr>
              <w:t>Payment status updates automatically</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Government Payment Integration (Months 7–9)</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Deliverable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Success Criteria</w:t>
            </w:r>
          </w:p>
        </w:tc>
      </w:tr>
      <w:tr>
        <w:tc>
          <w:tcPr>
            <w:tcW w:type="dxa" w:w="3213"/>
          </w:tcPr>
          <w:p>
            <w:pPr>
              <w:spacing w:after="20" w:before="20" w:line="240" w:lineRule="auto"/>
            </w:pPr>
            <w:r/>
            <w:r>
              <w:rPr>
                <w:rFonts w:ascii="Arial" w:hAnsi="Arial" w:cs="Arial"/>
                <w:b w:val="0"/>
                <w:i w:val="0"/>
                <w:sz w:val="17"/>
              </w:rPr>
              <w:t>Nafeza Integration</w:t>
            </w:r>
          </w:p>
        </w:tc>
        <w:tc>
          <w:tcPr>
            <w:tcW w:type="dxa" w:w="3213"/>
          </w:tcPr>
          <w:p>
            <w:pPr>
              <w:spacing w:after="20" w:before="20" w:line="240" w:lineRule="auto"/>
            </w:pPr>
            <w:r/>
            <w:r>
              <w:rPr>
                <w:rFonts w:ascii="Arial" w:hAnsi="Arial" w:cs="Arial"/>
                <w:b w:val="0"/>
                <w:i w:val="0"/>
                <w:sz w:val="17"/>
              </w:rPr>
              <w:t>Customs duty payment settlement</w:t>
            </w:r>
          </w:p>
        </w:tc>
        <w:tc>
          <w:tcPr>
            <w:tcW w:type="dxa" w:w="3213"/>
          </w:tcPr>
          <w:p>
            <w:pPr>
              <w:spacing w:after="20" w:before="20" w:line="240" w:lineRule="auto"/>
            </w:pPr>
            <w:r/>
            <w:r>
              <w:rPr>
                <w:rFonts w:ascii="Arial" w:hAnsi="Arial" w:cs="Arial"/>
                <w:b w:val="0"/>
                <w:i w:val="0"/>
                <w:sz w:val="17"/>
              </w:rPr>
              <w:t>Nafeza receives payment confirmation</w:t>
            </w:r>
          </w:p>
        </w:tc>
      </w:tr>
      <w:tr>
        <w:tc>
          <w:tcPr>
            <w:tcW w:type="dxa" w:w="3213"/>
          </w:tcPr>
          <w:p>
            <w:pPr>
              <w:spacing w:after="20" w:before="20" w:line="240" w:lineRule="auto"/>
            </w:pPr>
            <w:r/>
            <w:r>
              <w:rPr>
                <w:rFonts w:ascii="Arial" w:hAnsi="Arial" w:cs="Arial"/>
                <w:b w:val="0"/>
                <w:i w:val="0"/>
                <w:sz w:val="17"/>
              </w:rPr>
              <w:t>CAPQ Integration</w:t>
            </w:r>
          </w:p>
        </w:tc>
        <w:tc>
          <w:tcPr>
            <w:tcW w:type="dxa" w:w="3213"/>
          </w:tcPr>
          <w:p>
            <w:pPr>
              <w:spacing w:after="20" w:before="20" w:line="240" w:lineRule="auto"/>
            </w:pPr>
            <w:r/>
            <w:r>
              <w:rPr>
                <w:rFonts w:ascii="Arial" w:hAnsi="Arial" w:cs="Arial"/>
                <w:b w:val="0"/>
                <w:i w:val="0"/>
                <w:sz w:val="17"/>
              </w:rPr>
              <w:t>Phytosanitary fee settlement</w:t>
            </w:r>
          </w:p>
        </w:tc>
        <w:tc>
          <w:tcPr>
            <w:tcW w:type="dxa" w:w="3213"/>
          </w:tcPr>
          <w:p>
            <w:pPr>
              <w:spacing w:after="20" w:before="20" w:line="240" w:lineRule="auto"/>
            </w:pPr>
            <w:r/>
            <w:r>
              <w:rPr>
                <w:rFonts w:ascii="Arial" w:hAnsi="Arial" w:cs="Arial"/>
                <w:b w:val="0"/>
                <w:i w:val="0"/>
                <w:sz w:val="17"/>
              </w:rPr>
              <w:t>CAPQ receives payment confirmation</w:t>
            </w:r>
          </w:p>
        </w:tc>
      </w:tr>
      <w:tr>
        <w:tc>
          <w:tcPr>
            <w:tcW w:type="dxa" w:w="3213"/>
          </w:tcPr>
          <w:p>
            <w:pPr>
              <w:spacing w:after="20" w:before="20" w:line="240" w:lineRule="auto"/>
            </w:pPr>
            <w:r/>
            <w:r>
              <w:rPr>
                <w:rFonts w:ascii="Arial" w:hAnsi="Arial" w:cs="Arial"/>
                <w:b w:val="0"/>
                <w:i w:val="0"/>
                <w:sz w:val="17"/>
              </w:rPr>
              <w:t>GOEIC Integration</w:t>
            </w:r>
          </w:p>
        </w:tc>
        <w:tc>
          <w:tcPr>
            <w:tcW w:type="dxa" w:w="3213"/>
          </w:tcPr>
          <w:p>
            <w:pPr>
              <w:spacing w:after="20" w:before="20" w:line="240" w:lineRule="auto"/>
            </w:pPr>
            <w:r/>
            <w:r>
              <w:rPr>
                <w:rFonts w:ascii="Arial" w:hAnsi="Arial" w:cs="Arial"/>
                <w:b w:val="0"/>
                <w:i w:val="0"/>
                <w:sz w:val="17"/>
              </w:rPr>
              <w:t>Lab fee settlement</w:t>
            </w:r>
          </w:p>
        </w:tc>
        <w:tc>
          <w:tcPr>
            <w:tcW w:type="dxa" w:w="3213"/>
          </w:tcPr>
          <w:p>
            <w:pPr>
              <w:spacing w:after="20" w:before="20" w:line="240" w:lineRule="auto"/>
            </w:pPr>
            <w:r/>
            <w:r>
              <w:rPr>
                <w:rFonts w:ascii="Arial" w:hAnsi="Arial" w:cs="Arial"/>
                <w:b w:val="0"/>
                <w:i w:val="0"/>
                <w:sz w:val="17"/>
              </w:rPr>
              <w:t>GOEIC receives payment confirmation</w:t>
            </w:r>
          </w:p>
        </w:tc>
      </w:tr>
      <w:tr>
        <w:tc>
          <w:tcPr>
            <w:tcW w:type="dxa" w:w="3213"/>
          </w:tcPr>
          <w:p>
            <w:pPr>
              <w:spacing w:after="20" w:before="20" w:line="240" w:lineRule="auto"/>
            </w:pPr>
            <w:r/>
            <w:r>
              <w:rPr>
                <w:rFonts w:ascii="Arial" w:hAnsi="Arial" w:cs="Arial"/>
                <w:b w:val="0"/>
                <w:i w:val="0"/>
                <w:sz w:val="17"/>
              </w:rPr>
              <w:t>Customs Release Gate</w:t>
            </w:r>
          </w:p>
        </w:tc>
        <w:tc>
          <w:tcPr>
            <w:tcW w:type="dxa" w:w="3213"/>
          </w:tcPr>
          <w:p>
            <w:pPr>
              <w:spacing w:after="20" w:before="20" w:line="240" w:lineRule="auto"/>
            </w:pPr>
            <w:r/>
            <w:r>
              <w:rPr>
                <w:rFonts w:ascii="Arial" w:hAnsi="Arial" w:cs="Arial"/>
                <w:b w:val="0"/>
                <w:i w:val="0"/>
                <w:sz w:val="17"/>
              </w:rPr>
              <w:t>Release gated on payment confirmation</w:t>
            </w:r>
          </w:p>
        </w:tc>
        <w:tc>
          <w:tcPr>
            <w:tcW w:type="dxa" w:w="3213"/>
          </w:tcPr>
          <w:p>
            <w:pPr>
              <w:spacing w:after="20" w:before="20" w:line="240" w:lineRule="auto"/>
            </w:pPr>
            <w:r/>
            <w:r>
              <w:rPr>
                <w:rFonts w:ascii="Arial" w:hAnsi="Arial" w:cs="Arial"/>
                <w:b w:val="0"/>
                <w:i w:val="0"/>
                <w:sz w:val="17"/>
              </w:rPr>
              <w:t>Container release only after settlement</w:t>
            </w:r>
          </w:p>
        </w:tc>
      </w:tr>
    </w:tbl>
    <w:p>
      <w:pPr>
        <w:spacing w:after="120"/>
      </w:pPr>
      <w:r>
        <w:rPr>
          <w:rFonts w:ascii="Times New Roman" w:hAnsi="Times New Roman" w:cs="Times New Roman"/>
          <w:b w:val="0"/>
          <w:i w:val="0"/>
          <w:sz w:val="4"/>
        </w:rPr>
        <w:t xml:space="preserve"> </w:t>
      </w:r>
    </w:p>
    <w:p>
      <w:pPr>
        <w:keepNext/>
        <w:spacing w:before="140" w:after="60"/>
        <w:outlineLvl w:val="3"/>
      </w:pPr>
      <w:r>
        <w:rPr>
          <w:rFonts w:ascii="Arial" w:hAnsi="Arial" w:cs="Arial"/>
          <w:b/>
          <w:i/>
          <w:color w:val="333333"/>
          <w:sz w:val="22"/>
        </w:rPr>
        <w:t>Full Payment Rollout (Months 10–12)</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Deliverable</w:t>
            </w:r>
          </w:p>
        </w:tc>
        <w:tc>
          <w:tcPr>
            <w:tcW w:type="dxa" w:w="3213"/>
            <w:shd w:val="clear" w:fill="D9E2F3"/>
          </w:tcPr>
          <w:p>
            <w:pPr>
              <w:spacing w:after="20" w:before="20" w:line="240" w:lineRule="auto"/>
            </w:pPr>
            <w:r/>
            <w:r>
              <w:rPr>
                <w:rFonts w:ascii="Arial" w:hAnsi="Arial" w:cs="Arial"/>
                <w:b/>
                <w:i w:val="0"/>
                <w:sz w:val="18"/>
              </w:rPr>
              <w:t>Description</w:t>
            </w:r>
          </w:p>
        </w:tc>
        <w:tc>
          <w:tcPr>
            <w:tcW w:type="dxa" w:w="3213"/>
            <w:shd w:val="clear" w:fill="D9E2F3"/>
          </w:tcPr>
          <w:p>
            <w:pPr>
              <w:spacing w:after="20" w:before="20" w:line="240" w:lineRule="auto"/>
            </w:pPr>
            <w:r/>
            <w:r>
              <w:rPr>
                <w:rFonts w:ascii="Arial" w:hAnsi="Arial" w:cs="Arial"/>
                <w:b/>
                <w:i w:val="0"/>
                <w:sz w:val="18"/>
              </w:rPr>
              <w:t>Success Criteria</w:t>
            </w:r>
          </w:p>
        </w:tc>
      </w:tr>
      <w:tr>
        <w:tc>
          <w:tcPr>
            <w:tcW w:type="dxa" w:w="3213"/>
          </w:tcPr>
          <w:p>
            <w:pPr>
              <w:spacing w:after="20" w:before="20" w:line="240" w:lineRule="auto"/>
            </w:pPr>
            <w:r/>
            <w:r>
              <w:rPr>
                <w:rFonts w:ascii="Arial" w:hAnsi="Arial" w:cs="Arial"/>
                <w:b w:val="0"/>
                <w:i w:val="0"/>
                <w:sz w:val="17"/>
              </w:rPr>
              <w:t>Multi-Bank Support</w:t>
            </w:r>
          </w:p>
        </w:tc>
        <w:tc>
          <w:tcPr>
            <w:tcW w:type="dxa" w:w="3213"/>
          </w:tcPr>
          <w:p>
            <w:pPr>
              <w:spacing w:after="20" w:before="20" w:line="240" w:lineRule="auto"/>
            </w:pPr>
            <w:r/>
            <w:r>
              <w:rPr>
                <w:rFonts w:ascii="Arial" w:hAnsi="Arial" w:cs="Arial"/>
                <w:b w:val="0"/>
                <w:i w:val="0"/>
                <w:sz w:val="17"/>
              </w:rPr>
              <w:t>Onboard all major Egyptian banks</w:t>
            </w:r>
          </w:p>
        </w:tc>
        <w:tc>
          <w:tcPr>
            <w:tcW w:type="dxa" w:w="3213"/>
          </w:tcPr>
          <w:p>
            <w:pPr>
              <w:spacing w:after="20" w:before="20" w:line="240" w:lineRule="auto"/>
            </w:pPr>
            <w:r/>
            <w:r>
              <w:rPr>
                <w:rFonts w:ascii="Arial" w:hAnsi="Arial" w:cs="Arial"/>
                <w:b w:val="0"/>
                <w:i w:val="0"/>
                <w:sz w:val="17"/>
              </w:rPr>
              <w:t>All banks support tiered integration</w:t>
            </w:r>
          </w:p>
        </w:tc>
      </w:tr>
      <w:tr>
        <w:tc>
          <w:tcPr>
            <w:tcW w:type="dxa" w:w="3213"/>
          </w:tcPr>
          <w:p>
            <w:pPr>
              <w:spacing w:after="20" w:before="20" w:line="240" w:lineRule="auto"/>
            </w:pPr>
            <w:r/>
            <w:r>
              <w:rPr>
                <w:rFonts w:ascii="Arial" w:hAnsi="Arial" w:cs="Arial"/>
                <w:b w:val="0"/>
                <w:i w:val="0"/>
                <w:sz w:val="17"/>
              </w:rPr>
              <w:t>Reconciliation Engine</w:t>
            </w:r>
          </w:p>
        </w:tc>
        <w:tc>
          <w:tcPr>
            <w:tcW w:type="dxa" w:w="3213"/>
          </w:tcPr>
          <w:p>
            <w:pPr>
              <w:spacing w:after="20" w:before="20" w:line="240" w:lineRule="auto"/>
            </w:pPr>
            <w:r/>
            <w:r>
              <w:rPr>
                <w:rFonts w:ascii="Arial" w:hAnsi="Arial" w:cs="Arial"/>
                <w:b w:val="0"/>
                <w:i w:val="0"/>
                <w:sz w:val="17"/>
              </w:rPr>
              <w:t>Automatic reconciliation of all legs</w:t>
            </w:r>
          </w:p>
        </w:tc>
        <w:tc>
          <w:tcPr>
            <w:tcW w:type="dxa" w:w="3213"/>
          </w:tcPr>
          <w:p>
            <w:pPr>
              <w:spacing w:after="20" w:before="20" w:line="240" w:lineRule="auto"/>
            </w:pPr>
            <w:r/>
            <w:r>
              <w:rPr>
                <w:rFonts w:ascii="Arial" w:hAnsi="Arial" w:cs="Arial"/>
                <w:b w:val="0"/>
                <w:i w:val="0"/>
                <w:sz w:val="17"/>
              </w:rPr>
              <w:t>All legs matched to camt.054 proofs</w:t>
            </w:r>
          </w:p>
        </w:tc>
      </w:tr>
      <w:tr>
        <w:tc>
          <w:tcPr>
            <w:tcW w:type="dxa" w:w="3213"/>
          </w:tcPr>
          <w:p>
            <w:pPr>
              <w:spacing w:after="20" w:before="20" w:line="240" w:lineRule="auto"/>
            </w:pPr>
            <w:r/>
            <w:r>
              <w:rPr>
                <w:rFonts w:ascii="Arial" w:hAnsi="Arial" w:cs="Arial"/>
                <w:b w:val="0"/>
                <w:i w:val="0"/>
                <w:sz w:val="17"/>
              </w:rPr>
              <w:t>Monthly Statements</w:t>
            </w:r>
          </w:p>
        </w:tc>
        <w:tc>
          <w:tcPr>
            <w:tcW w:type="dxa" w:w="3213"/>
          </w:tcPr>
          <w:p>
            <w:pPr>
              <w:spacing w:after="20" w:before="20" w:line="240" w:lineRule="auto"/>
            </w:pPr>
            <w:r/>
            <w:r>
              <w:rPr>
                <w:rFonts w:ascii="Arial" w:hAnsi="Arial" w:cs="Arial"/>
                <w:b w:val="0"/>
                <w:i w:val="0"/>
                <w:sz w:val="17"/>
              </w:rPr>
              <w:t>Generate reconciliation statements</w:t>
            </w:r>
          </w:p>
        </w:tc>
        <w:tc>
          <w:tcPr>
            <w:tcW w:type="dxa" w:w="3213"/>
          </w:tcPr>
          <w:p>
            <w:pPr>
              <w:spacing w:after="20" w:before="20" w:line="240" w:lineRule="auto"/>
            </w:pPr>
            <w:r/>
            <w:r>
              <w:rPr>
                <w:rFonts w:ascii="Arial" w:hAnsi="Arial" w:cs="Arial"/>
                <w:b w:val="0"/>
                <w:i w:val="0"/>
                <w:sz w:val="17"/>
              </w:rPr>
              <w:t>Statements signed and available</w:t>
            </w:r>
          </w:p>
        </w:tc>
      </w:tr>
      <w:tr>
        <w:tc>
          <w:tcPr>
            <w:tcW w:type="dxa" w:w="3213"/>
          </w:tcPr>
          <w:p>
            <w:pPr>
              <w:spacing w:after="20" w:before="20" w:line="240" w:lineRule="auto"/>
            </w:pPr>
            <w:r/>
            <w:r>
              <w:rPr>
                <w:rFonts w:ascii="Arial" w:hAnsi="Arial" w:cs="Arial"/>
                <w:b w:val="0"/>
                <w:i w:val="0"/>
                <w:sz w:val="17"/>
              </w:rPr>
              <w:t>Distressed Payments</w:t>
            </w:r>
          </w:p>
        </w:tc>
        <w:tc>
          <w:tcPr>
            <w:tcW w:type="dxa" w:w="3213"/>
          </w:tcPr>
          <w:p>
            <w:pPr>
              <w:spacing w:after="20" w:before="20" w:line="240" w:lineRule="auto"/>
            </w:pPr>
            <w:r/>
            <w:r>
              <w:rPr>
                <w:rFonts w:ascii="Arial" w:hAnsi="Arial" w:cs="Arial"/>
                <w:b w:val="0"/>
                <w:i w:val="0"/>
                <w:sz w:val="17"/>
              </w:rPr>
              <w:t>Distressed fee settlement</w:t>
            </w:r>
          </w:p>
        </w:tc>
        <w:tc>
          <w:tcPr>
            <w:tcW w:type="dxa" w:w="3213"/>
          </w:tcPr>
          <w:p>
            <w:pPr>
              <w:spacing w:after="20" w:before="20" w:line="240" w:lineRule="auto"/>
            </w:pPr>
            <w:r/>
            <w:r>
              <w:rPr>
                <w:rFonts w:ascii="Arial" w:hAnsi="Arial" w:cs="Arial"/>
                <w:b w:val="0"/>
                <w:i w:val="0"/>
                <w:sz w:val="17"/>
              </w:rPr>
              <w:t>Distressed fee paid via bank-direct</w:t>
            </w:r>
          </w:p>
        </w:tc>
      </w:tr>
    </w:tbl>
    <w:p>
      <w:pPr>
        <w:spacing w:after="120"/>
      </w:pPr>
      <w:r>
        <w:rPr>
          <w:rFonts w:ascii="Times New Roman" w:hAnsi="Times New Roman" w:cs="Times New Roman"/>
          <w:b w:val="0"/>
          <w:i w:val="0"/>
          <w:sz w:val="4"/>
        </w:rPr>
        <w:t xml:space="preserve"> </w:t>
      </w:r>
    </w:p>
    <w:p>
      <w:pPr>
        <w:keepNext/>
        <w:spacing w:before="240" w:after="100"/>
        <w:outlineLvl w:val="1"/>
      </w:pPr>
      <w:r>
        <w:rPr>
          <w:rFonts w:ascii="Arial" w:hAnsi="Arial" w:cs="Arial"/>
          <w:b/>
          <w:i w:val="0"/>
          <w:color w:val="2E528F"/>
          <w:sz w:val="26"/>
        </w:rPr>
        <w:t>24.3 Dependency Map</w:t>
      </w:r>
    </w:p>
    <w:p>
      <w:pPr>
        <w:spacing w:after="80" w:line="293" w:lineRule="auto"/>
        <w:jc w:val="left"/>
      </w:pPr>
      <w:r>
        <w:rPr>
          <w:rFonts w:ascii="Times New Roman" w:hAnsi="Times New Roman" w:cs="Times New Roman"/>
          <w:b w:val="0"/>
          <w:i w:val="0"/>
          <w:sz w:val="22"/>
        </w:rPr>
        <w:t>Implementation items carry stable identifiers and must be delivered in dependency order. The eight layers, their identifier ranges, and their build order:</w:t>
      </w:r>
    </w:p>
    <w:p>
      <w:pPr>
        <w:spacing w:after="0" w:before="0" w:line="240" w:lineRule="auto"/>
        <w:ind w:left="57"/>
        <w:jc w:val="left"/>
        <w:shd w:val="clear" w:fill="F2F2F2"/>
      </w:pPr>
      <w:r>
        <w:rPr>
          <w:rFonts w:ascii="Consolas" w:hAnsi="Consolas" w:cs="Consolas"/>
          <w:b w:val="0"/>
          <w:i w:val="0"/>
          <w:sz w:val="15"/>
        </w:rPr>
        <w:t>1. Data Model &amp; Migrations ............ DM-001 … DM-022</w:t>
      </w:r>
    </w:p>
    <w:p>
      <w:pPr>
        <w:spacing w:after="0" w:before="0" w:line="240" w:lineRule="auto"/>
        <w:ind w:left="57"/>
        <w:jc w:val="left"/>
        <w:shd w:val="clear" w:fill="F2F2F2"/>
      </w:pPr>
      <w:r>
        <w:rPr>
          <w:rFonts w:ascii="Consolas" w:hAnsi="Consolas" w:cs="Consolas"/>
          <w:b w:val="0"/>
          <w:i w:val="0"/>
          <w:sz w:val="15"/>
        </w:rPr>
        <w:t>2. Backend Services .................... BS-001 … BS-066</w:t>
      </w:r>
    </w:p>
    <w:p>
      <w:pPr>
        <w:spacing w:after="0" w:before="0" w:line="240" w:lineRule="auto"/>
        <w:ind w:left="57"/>
        <w:jc w:val="left"/>
        <w:shd w:val="clear" w:fill="F2F2F2"/>
      </w:pPr>
      <w:r>
        <w:rPr>
          <w:rFonts w:ascii="Consolas" w:hAnsi="Consolas" w:cs="Consolas"/>
          <w:b w:val="0"/>
          <w:i w:val="0"/>
          <w:sz w:val="15"/>
        </w:rPr>
        <w:t>3. Governor &amp; Validation ............... GV-001 … GV-010, OP-001 … OP-007, WM-001 … WM-007</w:t>
      </w:r>
    </w:p>
    <w:p>
      <w:pPr>
        <w:spacing w:after="0" w:before="0" w:line="240" w:lineRule="auto"/>
        <w:ind w:left="57"/>
        <w:jc w:val="left"/>
        <w:shd w:val="clear" w:fill="F2F2F2"/>
      </w:pPr>
      <w:r>
        <w:rPr>
          <w:rFonts w:ascii="Consolas" w:hAnsi="Consolas" w:cs="Consolas"/>
          <w:b w:val="0"/>
          <w:i w:val="0"/>
          <w:sz w:val="15"/>
        </w:rPr>
        <w:t>4. RIA Integration ..................... RI-001 … RI-010</w:t>
      </w:r>
    </w:p>
    <w:p>
      <w:pPr>
        <w:spacing w:after="0" w:before="0" w:line="240" w:lineRule="auto"/>
        <w:ind w:left="57"/>
        <w:jc w:val="left"/>
        <w:shd w:val="clear" w:fill="F2F2F2"/>
      </w:pPr>
      <w:r>
        <w:rPr>
          <w:rFonts w:ascii="Consolas" w:hAnsi="Consolas" w:cs="Consolas"/>
          <w:b w:val="0"/>
          <w:i w:val="0"/>
          <w:sz w:val="15"/>
        </w:rPr>
        <w:t>5. AI Integration ...................... AI-001 … AI-012</w:t>
      </w:r>
    </w:p>
    <w:p>
      <w:pPr>
        <w:spacing w:after="0" w:before="0" w:line="240" w:lineRule="auto"/>
        <w:ind w:left="57"/>
        <w:jc w:val="left"/>
        <w:shd w:val="clear" w:fill="F2F2F2"/>
      </w:pPr>
      <w:r>
        <w:rPr>
          <w:rFonts w:ascii="Consolas" w:hAnsi="Consolas" w:cs="Consolas"/>
          <w:b w:val="0"/>
          <w:i w:val="0"/>
          <w:sz w:val="15"/>
        </w:rPr>
        <w:t>6. Frontend Components ................. FC-001 … FC-068</w:t>
      </w:r>
    </w:p>
    <w:p>
      <w:pPr>
        <w:spacing w:after="0" w:before="0" w:line="240" w:lineRule="auto"/>
        <w:ind w:left="57"/>
        <w:jc w:val="left"/>
        <w:shd w:val="clear" w:fill="F2F2F2"/>
      </w:pPr>
      <w:r>
        <w:rPr>
          <w:rFonts w:ascii="Consolas" w:hAnsi="Consolas" w:cs="Consolas"/>
          <w:b w:val="0"/>
          <w:i w:val="0"/>
          <w:sz w:val="15"/>
        </w:rPr>
        <w:t>7. Quality Assurance ................... QT-001 … QT-005 (incl. performance PT-001 … PT-005)</w:t>
      </w:r>
    </w:p>
    <w:p>
      <w:pPr>
        <w:spacing w:after="0" w:before="0" w:line="240" w:lineRule="auto"/>
        <w:ind w:left="57"/>
        <w:jc w:val="left"/>
        <w:shd w:val="clear" w:fill="F2F2F2"/>
      </w:pPr>
      <w:r>
        <w:rPr>
          <w:rFonts w:ascii="Consolas" w:hAnsi="Consolas" w:cs="Consolas"/>
          <w:b w:val="0"/>
          <w:i w:val="0"/>
          <w:sz w:val="15"/>
        </w:rPr>
        <w:t>8. Documentation ....................... DC-001 … DC-006</w:t>
      </w:r>
    </w:p>
    <w:p>
      <w:pPr>
        <w:spacing w:after="120" w:before="0"/>
      </w:pPr>
      <w:r>
        <w:rPr>
          <w:rFonts w:ascii="Times New Roman" w:hAnsi="Times New Roman" w:cs="Times New Roman"/>
          <w:b w:val="0"/>
          <w:i w:val="0"/>
          <w:sz w:val="4"/>
        </w:rPr>
        <w:t xml:space="preserve"> </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Layer</w:t>
            </w:r>
          </w:p>
        </w:tc>
        <w:tc>
          <w:tcPr>
            <w:tcW w:type="dxa" w:w="2409"/>
            <w:shd w:val="clear" w:fill="D9E2F3"/>
          </w:tcPr>
          <w:p>
            <w:pPr>
              <w:spacing w:after="20" w:before="20" w:line="240" w:lineRule="auto"/>
            </w:pPr>
            <w:r/>
            <w:r>
              <w:rPr>
                <w:rFonts w:ascii="Arial" w:hAnsi="Arial" w:cs="Arial"/>
                <w:b/>
                <w:i w:val="0"/>
                <w:sz w:val="18"/>
              </w:rPr>
              <w:t>ID Range</w:t>
            </w:r>
          </w:p>
        </w:tc>
        <w:tc>
          <w:tcPr>
            <w:tcW w:type="dxa" w:w="2409"/>
            <w:shd w:val="clear" w:fill="D9E2F3"/>
          </w:tcPr>
          <w:p>
            <w:pPr>
              <w:spacing w:after="20" w:before="20" w:line="240" w:lineRule="auto"/>
            </w:pPr>
            <w:r/>
            <w:r>
              <w:rPr>
                <w:rFonts w:ascii="Arial" w:hAnsi="Arial" w:cs="Arial"/>
                <w:b/>
                <w:i w:val="0"/>
                <w:sz w:val="18"/>
              </w:rPr>
              <w:t>Scope</w:t>
            </w:r>
          </w:p>
        </w:tc>
        <w:tc>
          <w:tcPr>
            <w:tcW w:type="dxa" w:w="2409"/>
            <w:shd w:val="clear" w:fill="D9E2F3"/>
          </w:tcPr>
          <w:p>
            <w:pPr>
              <w:spacing w:after="20" w:before="20" w:line="240" w:lineRule="auto"/>
            </w:pPr>
            <w:r/>
            <w:r>
              <w:rPr>
                <w:rFonts w:ascii="Arial" w:hAnsi="Arial" w:cs="Arial"/>
                <w:b/>
                <w:i w:val="0"/>
                <w:sz w:val="18"/>
              </w:rPr>
              <w:t>Depends On</w:t>
            </w:r>
          </w:p>
        </w:tc>
      </w:tr>
      <w:tr>
        <w:tc>
          <w:tcPr>
            <w:tcW w:type="dxa" w:w="2409"/>
          </w:tcPr>
          <w:p>
            <w:pPr>
              <w:spacing w:after="20" w:before="20" w:line="240" w:lineRule="auto"/>
            </w:pPr>
            <w:r/>
            <w:r>
              <w:rPr>
                <w:rFonts w:ascii="Arial" w:hAnsi="Arial" w:cs="Arial"/>
                <w:b w:val="0"/>
                <w:i w:val="0"/>
                <w:sz w:val="17"/>
              </w:rPr>
              <w:t>Data Model &amp; Migrations</w:t>
            </w:r>
          </w:p>
        </w:tc>
        <w:tc>
          <w:tcPr>
            <w:tcW w:type="dxa" w:w="2409"/>
          </w:tcPr>
          <w:p>
            <w:pPr>
              <w:spacing w:after="20" w:before="20" w:line="240" w:lineRule="auto"/>
            </w:pPr>
            <w:r/>
            <w:r>
              <w:rPr>
                <w:rFonts w:ascii="Arial" w:hAnsi="Arial" w:cs="Arial"/>
                <w:b w:val="0"/>
                <w:i w:val="0"/>
                <w:sz w:val="17"/>
              </w:rPr>
              <w:t>DM-001 … DM-022</w:t>
            </w:r>
          </w:p>
        </w:tc>
        <w:tc>
          <w:tcPr>
            <w:tcW w:type="dxa" w:w="2409"/>
          </w:tcPr>
          <w:p>
            <w:pPr>
              <w:spacing w:after="20" w:before="20" w:line="240" w:lineRule="auto"/>
            </w:pPr>
            <w:r/>
            <w:r>
              <w:rPr>
                <w:rFonts w:ascii="Arial" w:hAnsi="Arial" w:cs="Arial"/>
                <w:b w:val="0"/>
                <w:i w:val="0"/>
                <w:sz w:val="17"/>
              </w:rPr>
              <w:t>Every table, enum, index, RLS policy, and hypertable in Section 17</w:t>
            </w:r>
          </w:p>
        </w:tc>
        <w:tc>
          <w:tcPr>
            <w:tcW w:type="dxa" w:w="2409"/>
          </w:tcPr>
          <w:p>
            <w:pPr>
              <w:spacing w:after="20" w:before="20" w:line="240" w:lineRule="auto"/>
            </w:pPr>
            <w:r/>
            <w:r>
              <w:rPr>
                <w:rFonts w:ascii="Arial" w:hAnsi="Arial" w:cs="Arial"/>
                <w:b w:val="0"/>
                <w:i w:val="0"/>
                <w:sz w:val="17"/>
              </w:rPr>
              <w:t>—</w:t>
            </w:r>
          </w:p>
        </w:tc>
      </w:tr>
      <w:tr>
        <w:tc>
          <w:tcPr>
            <w:tcW w:type="dxa" w:w="2409"/>
          </w:tcPr>
          <w:p>
            <w:pPr>
              <w:spacing w:after="20" w:before="20" w:line="240" w:lineRule="auto"/>
            </w:pPr>
            <w:r/>
            <w:r>
              <w:rPr>
                <w:rFonts w:ascii="Arial" w:hAnsi="Arial" w:cs="Arial"/>
                <w:b w:val="0"/>
                <w:i w:val="0"/>
                <w:sz w:val="17"/>
              </w:rPr>
              <w:t>Backend Services</w:t>
            </w:r>
          </w:p>
        </w:tc>
        <w:tc>
          <w:tcPr>
            <w:tcW w:type="dxa" w:w="2409"/>
          </w:tcPr>
          <w:p>
            <w:pPr>
              <w:spacing w:after="20" w:before="20" w:line="240" w:lineRule="auto"/>
            </w:pPr>
            <w:r/>
            <w:r>
              <w:rPr>
                <w:rFonts w:ascii="Arial" w:hAnsi="Arial" w:cs="Arial"/>
                <w:b w:val="0"/>
                <w:i w:val="0"/>
                <w:sz w:val="17"/>
              </w:rPr>
              <w:t>BS-001 … BS-066</w:t>
            </w:r>
          </w:p>
        </w:tc>
        <w:tc>
          <w:tcPr>
            <w:tcW w:type="dxa" w:w="2409"/>
          </w:tcPr>
          <w:p>
            <w:pPr>
              <w:spacing w:after="20" w:before="20" w:line="240" w:lineRule="auto"/>
            </w:pPr>
            <w:r/>
            <w:r>
              <w:rPr>
                <w:rFonts w:ascii="Arial" w:hAnsi="Arial" w:cs="Arial"/>
                <w:b w:val="0"/>
                <w:i w:val="0"/>
                <w:sz w:val="17"/>
              </w:rPr>
              <w:t>All state-mutating services and their Governor integration</w:t>
            </w:r>
          </w:p>
        </w:tc>
        <w:tc>
          <w:tcPr>
            <w:tcW w:type="dxa" w:w="2409"/>
          </w:tcPr>
          <w:p>
            <w:pPr>
              <w:spacing w:after="20" w:before="20" w:line="240" w:lineRule="auto"/>
            </w:pPr>
            <w:r/>
            <w:r>
              <w:rPr>
                <w:rFonts w:ascii="Arial" w:hAnsi="Arial" w:cs="Arial"/>
                <w:b w:val="0"/>
                <w:i w:val="0"/>
                <w:sz w:val="17"/>
              </w:rPr>
              <w:t>DM</w:t>
            </w:r>
          </w:p>
        </w:tc>
      </w:tr>
      <w:tr>
        <w:tc>
          <w:tcPr>
            <w:tcW w:type="dxa" w:w="2409"/>
          </w:tcPr>
          <w:p>
            <w:pPr>
              <w:spacing w:after="20" w:before="20" w:line="240" w:lineRule="auto"/>
            </w:pPr>
            <w:r/>
            <w:r>
              <w:rPr>
                <w:rFonts w:ascii="Arial" w:hAnsi="Arial" w:cs="Arial"/>
                <w:b w:val="0"/>
                <w:i w:val="0"/>
                <w:sz w:val="17"/>
              </w:rPr>
              <w:t>Governor &amp; Validation</w:t>
            </w:r>
          </w:p>
        </w:tc>
        <w:tc>
          <w:tcPr>
            <w:tcW w:type="dxa" w:w="2409"/>
          </w:tcPr>
          <w:p>
            <w:pPr>
              <w:spacing w:after="20" w:before="20" w:line="240" w:lineRule="auto"/>
            </w:pPr>
            <w:r/>
            <w:r>
              <w:rPr>
                <w:rFonts w:ascii="Arial" w:hAnsi="Arial" w:cs="Arial"/>
                <w:b w:val="0"/>
                <w:i w:val="0"/>
                <w:sz w:val="17"/>
              </w:rPr>
              <w:t>GV-001 … GV-010, OP-001 … OP-007, WM-001 … WM-007</w:t>
            </w:r>
          </w:p>
        </w:tc>
        <w:tc>
          <w:tcPr>
            <w:tcW w:type="dxa" w:w="2409"/>
          </w:tcPr>
          <w:p>
            <w:pPr>
              <w:spacing w:after="20" w:before="20" w:line="240" w:lineRule="auto"/>
            </w:pPr>
            <w:r/>
            <w:r>
              <w:rPr>
                <w:rFonts w:ascii="Arial" w:hAnsi="Arial" w:cs="Arial"/>
                <w:b w:val="0"/>
                <w:i w:val="0"/>
                <w:sz w:val="17"/>
              </w:rPr>
              <w:t>Governor service, OPA policy set, WasmEdge constitutional modules</w:t>
            </w:r>
          </w:p>
        </w:tc>
        <w:tc>
          <w:tcPr>
            <w:tcW w:type="dxa" w:w="2409"/>
          </w:tcPr>
          <w:p>
            <w:pPr>
              <w:spacing w:after="20" w:before="20" w:line="240" w:lineRule="auto"/>
            </w:pPr>
            <w:r/>
            <w:r>
              <w:rPr>
                <w:rFonts w:ascii="Arial" w:hAnsi="Arial" w:cs="Arial"/>
                <w:b w:val="0"/>
                <w:i w:val="0"/>
                <w:sz w:val="17"/>
              </w:rPr>
              <w:t>DM, BS</w:t>
            </w:r>
          </w:p>
        </w:tc>
      </w:tr>
      <w:tr>
        <w:tc>
          <w:tcPr>
            <w:tcW w:type="dxa" w:w="2409"/>
          </w:tcPr>
          <w:p>
            <w:pPr>
              <w:spacing w:after="20" w:before="20" w:line="240" w:lineRule="auto"/>
            </w:pPr>
            <w:r/>
            <w:r>
              <w:rPr>
                <w:rFonts w:ascii="Arial" w:hAnsi="Arial" w:cs="Arial"/>
                <w:b w:val="0"/>
                <w:i w:val="0"/>
                <w:sz w:val="17"/>
              </w:rPr>
              <w:t>RIA Integration</w:t>
            </w:r>
          </w:p>
        </w:tc>
        <w:tc>
          <w:tcPr>
            <w:tcW w:type="dxa" w:w="2409"/>
          </w:tcPr>
          <w:p>
            <w:pPr>
              <w:spacing w:after="20" w:before="20" w:line="240" w:lineRule="auto"/>
            </w:pPr>
            <w:r/>
            <w:r>
              <w:rPr>
                <w:rFonts w:ascii="Arial" w:hAnsi="Arial" w:cs="Arial"/>
                <w:b w:val="0"/>
                <w:i w:val="0"/>
                <w:sz w:val="17"/>
              </w:rPr>
              <w:t>RI-001 … RI-010</w:t>
            </w:r>
          </w:p>
        </w:tc>
        <w:tc>
          <w:tcPr>
            <w:tcW w:type="dxa" w:w="2409"/>
          </w:tcPr>
          <w:p>
            <w:pPr>
              <w:spacing w:after="20" w:before="20" w:line="240" w:lineRule="auto"/>
            </w:pPr>
            <w:r/>
            <w:r>
              <w:rPr>
                <w:rFonts w:ascii="Arial" w:hAnsi="Arial" w:cs="Arial"/>
                <w:b w:val="0"/>
                <w:i w:val="0"/>
                <w:sz w:val="17"/>
              </w:rPr>
              <w:t>Jurisdiction matrix, treatments, MRLs, port rules, commodity schemas</w:t>
            </w:r>
          </w:p>
        </w:tc>
        <w:tc>
          <w:tcPr>
            <w:tcW w:type="dxa" w:w="2409"/>
          </w:tcPr>
          <w:p>
            <w:pPr>
              <w:spacing w:after="20" w:before="20" w:line="240" w:lineRule="auto"/>
            </w:pPr>
            <w:r/>
            <w:r>
              <w:rPr>
                <w:rFonts w:ascii="Arial" w:hAnsi="Arial" w:cs="Arial"/>
                <w:b w:val="0"/>
                <w:i w:val="0"/>
                <w:sz w:val="17"/>
              </w:rPr>
              <w:t>DM, BS</w:t>
            </w:r>
          </w:p>
        </w:tc>
      </w:tr>
      <w:tr>
        <w:tc>
          <w:tcPr>
            <w:tcW w:type="dxa" w:w="2409"/>
          </w:tcPr>
          <w:p>
            <w:pPr>
              <w:spacing w:after="20" w:before="20" w:line="240" w:lineRule="auto"/>
            </w:pPr>
            <w:r/>
            <w:r>
              <w:rPr>
                <w:rFonts w:ascii="Arial" w:hAnsi="Arial" w:cs="Arial"/>
                <w:b w:val="0"/>
                <w:i w:val="0"/>
                <w:sz w:val="17"/>
              </w:rPr>
              <w:t>AI Integration</w:t>
            </w:r>
          </w:p>
        </w:tc>
        <w:tc>
          <w:tcPr>
            <w:tcW w:type="dxa" w:w="2409"/>
          </w:tcPr>
          <w:p>
            <w:pPr>
              <w:spacing w:after="20" w:before="20" w:line="240" w:lineRule="auto"/>
            </w:pPr>
            <w:r/>
            <w:r>
              <w:rPr>
                <w:rFonts w:ascii="Arial" w:hAnsi="Arial" w:cs="Arial"/>
                <w:b w:val="0"/>
                <w:i w:val="0"/>
                <w:sz w:val="17"/>
              </w:rPr>
              <w:t>AI-001 … AI-012</w:t>
            </w:r>
          </w:p>
        </w:tc>
        <w:tc>
          <w:tcPr>
            <w:tcW w:type="dxa" w:w="2409"/>
          </w:tcPr>
          <w:p>
            <w:pPr>
              <w:spacing w:after="20" w:before="20" w:line="240" w:lineRule="auto"/>
            </w:pPr>
            <w:r/>
            <w:r>
              <w:rPr>
                <w:rFonts w:ascii="Arial" w:hAnsi="Arial" w:cs="Arial"/>
                <w:b w:val="0"/>
                <w:i w:val="0"/>
                <w:sz w:val="17"/>
              </w:rPr>
              <w:t>Agent registry, fallback chains, inference records, authority enforcement</w:t>
            </w:r>
          </w:p>
        </w:tc>
        <w:tc>
          <w:tcPr>
            <w:tcW w:type="dxa" w:w="2409"/>
          </w:tcPr>
          <w:p>
            <w:pPr>
              <w:spacing w:after="20" w:before="20" w:line="240" w:lineRule="auto"/>
            </w:pPr>
            <w:r/>
            <w:r>
              <w:rPr>
                <w:rFonts w:ascii="Arial" w:hAnsi="Arial" w:cs="Arial"/>
                <w:b w:val="0"/>
                <w:i w:val="0"/>
                <w:sz w:val="17"/>
              </w:rPr>
              <w:t>DM, BS, GV</w:t>
            </w:r>
          </w:p>
        </w:tc>
      </w:tr>
      <w:tr>
        <w:tc>
          <w:tcPr>
            <w:tcW w:type="dxa" w:w="2409"/>
          </w:tcPr>
          <w:p>
            <w:pPr>
              <w:spacing w:after="20" w:before="20" w:line="240" w:lineRule="auto"/>
            </w:pPr>
            <w:r/>
            <w:r>
              <w:rPr>
                <w:rFonts w:ascii="Arial" w:hAnsi="Arial" w:cs="Arial"/>
                <w:b w:val="0"/>
                <w:i w:val="0"/>
                <w:sz w:val="17"/>
              </w:rPr>
              <w:t>Frontend Components</w:t>
            </w:r>
          </w:p>
        </w:tc>
        <w:tc>
          <w:tcPr>
            <w:tcW w:type="dxa" w:w="2409"/>
          </w:tcPr>
          <w:p>
            <w:pPr>
              <w:spacing w:after="20" w:before="20" w:line="240" w:lineRule="auto"/>
            </w:pPr>
            <w:r/>
            <w:r>
              <w:rPr>
                <w:rFonts w:ascii="Arial" w:hAnsi="Arial" w:cs="Arial"/>
                <w:b w:val="0"/>
                <w:i w:val="0"/>
                <w:sz w:val="17"/>
              </w:rPr>
              <w:t>FC-001 … FC-068</w:t>
            </w:r>
          </w:p>
        </w:tc>
        <w:tc>
          <w:tcPr>
            <w:tcW w:type="dxa" w:w="2409"/>
          </w:tcPr>
          <w:p>
            <w:pPr>
              <w:spacing w:after="20" w:before="20" w:line="240" w:lineRule="auto"/>
            </w:pPr>
            <w:r/>
            <w:r>
              <w:rPr>
                <w:rFonts w:ascii="Arial" w:hAnsi="Arial" w:cs="Arial"/>
                <w:b w:val="0"/>
                <w:i w:val="0"/>
                <w:sz w:val="17"/>
              </w:rPr>
              <w:t>Portal surfaces, forms, Decision Panels, inbox and command center</w:t>
            </w:r>
          </w:p>
        </w:tc>
        <w:tc>
          <w:tcPr>
            <w:tcW w:type="dxa" w:w="2409"/>
          </w:tcPr>
          <w:p>
            <w:pPr>
              <w:spacing w:after="20" w:before="20" w:line="240" w:lineRule="auto"/>
            </w:pPr>
            <w:r/>
            <w:r>
              <w:rPr>
                <w:rFonts w:ascii="Arial" w:hAnsi="Arial" w:cs="Arial"/>
                <w:b w:val="0"/>
                <w:i w:val="0"/>
                <w:sz w:val="17"/>
              </w:rPr>
              <w:t>BS, GV</w:t>
            </w:r>
          </w:p>
        </w:tc>
      </w:tr>
      <w:tr>
        <w:tc>
          <w:tcPr>
            <w:tcW w:type="dxa" w:w="2409"/>
          </w:tcPr>
          <w:p>
            <w:pPr>
              <w:spacing w:after="20" w:before="20" w:line="240" w:lineRule="auto"/>
            </w:pPr>
            <w:r/>
            <w:r>
              <w:rPr>
                <w:rFonts w:ascii="Arial" w:hAnsi="Arial" w:cs="Arial"/>
                <w:b w:val="0"/>
                <w:i w:val="0"/>
                <w:sz w:val="17"/>
              </w:rPr>
              <w:t>Quality Assurance</w:t>
            </w:r>
          </w:p>
        </w:tc>
        <w:tc>
          <w:tcPr>
            <w:tcW w:type="dxa" w:w="2409"/>
          </w:tcPr>
          <w:p>
            <w:pPr>
              <w:spacing w:after="20" w:before="20" w:line="240" w:lineRule="auto"/>
            </w:pPr>
            <w:r/>
            <w:r>
              <w:rPr>
                <w:rFonts w:ascii="Arial" w:hAnsi="Arial" w:cs="Arial"/>
                <w:b w:val="0"/>
                <w:i w:val="0"/>
                <w:sz w:val="17"/>
              </w:rPr>
              <w:t>QT-001 … QT-005, PT-001 … PT-005</w:t>
            </w:r>
          </w:p>
        </w:tc>
        <w:tc>
          <w:tcPr>
            <w:tcW w:type="dxa" w:w="2409"/>
          </w:tcPr>
          <w:p>
            <w:pPr>
              <w:spacing w:after="20" w:before="20" w:line="240" w:lineRule="auto"/>
            </w:pPr>
            <w:r/>
            <w:r>
              <w:rPr>
                <w:rFonts w:ascii="Arial" w:hAnsi="Arial" w:cs="Arial"/>
                <w:b w:val="0"/>
                <w:i w:val="0"/>
                <w:sz w:val="17"/>
              </w:rPr>
              <w:t>Unit, integration, end-to-end, and performance tests</w:t>
            </w:r>
          </w:p>
        </w:tc>
        <w:tc>
          <w:tcPr>
            <w:tcW w:type="dxa" w:w="2409"/>
          </w:tcPr>
          <w:p>
            <w:pPr>
              <w:spacing w:after="20" w:before="20" w:line="240" w:lineRule="auto"/>
            </w:pPr>
            <w:r/>
            <w:r>
              <w:rPr>
                <w:rFonts w:ascii="Arial" w:hAnsi="Arial" w:cs="Arial"/>
                <w:b w:val="0"/>
                <w:i w:val="0"/>
                <w:sz w:val="17"/>
              </w:rPr>
              <w:t>All preceding layers</w:t>
            </w:r>
          </w:p>
        </w:tc>
      </w:tr>
      <w:tr>
        <w:tc>
          <w:tcPr>
            <w:tcW w:type="dxa" w:w="2409"/>
          </w:tcPr>
          <w:p>
            <w:pPr>
              <w:spacing w:after="20" w:before="20" w:line="240" w:lineRule="auto"/>
            </w:pPr>
            <w:r/>
            <w:r>
              <w:rPr>
                <w:rFonts w:ascii="Arial" w:hAnsi="Arial" w:cs="Arial"/>
                <w:b w:val="0"/>
                <w:i w:val="0"/>
                <w:sz w:val="17"/>
              </w:rPr>
              <w:t>Documentation</w:t>
            </w:r>
          </w:p>
        </w:tc>
        <w:tc>
          <w:tcPr>
            <w:tcW w:type="dxa" w:w="2409"/>
          </w:tcPr>
          <w:p>
            <w:pPr>
              <w:spacing w:after="20" w:before="20" w:line="240" w:lineRule="auto"/>
            </w:pPr>
            <w:r/>
            <w:r>
              <w:rPr>
                <w:rFonts w:ascii="Arial" w:hAnsi="Arial" w:cs="Arial"/>
                <w:b w:val="0"/>
                <w:i w:val="0"/>
                <w:sz w:val="17"/>
              </w:rPr>
              <w:t>DC-001 … DC-006</w:t>
            </w:r>
          </w:p>
        </w:tc>
        <w:tc>
          <w:tcPr>
            <w:tcW w:type="dxa" w:w="2409"/>
          </w:tcPr>
          <w:p>
            <w:pPr>
              <w:spacing w:after="20" w:before="20" w:line="240" w:lineRule="auto"/>
            </w:pPr>
            <w:r/>
            <w:r>
              <w:rPr>
                <w:rFonts w:ascii="Arial" w:hAnsi="Arial" w:cs="Arial"/>
                <w:b w:val="0"/>
                <w:i w:val="0"/>
                <w:sz w:val="17"/>
              </w:rPr>
              <w:t>OpenAPI synchronisation, runbooks, blueprint change control</w:t>
            </w:r>
          </w:p>
        </w:tc>
        <w:tc>
          <w:tcPr>
            <w:tcW w:type="dxa" w:w="2409"/>
          </w:tcPr>
          <w:p>
            <w:pPr>
              <w:spacing w:after="20" w:before="20" w:line="240" w:lineRule="auto"/>
            </w:pPr>
            <w:r/>
            <w:r>
              <w:rPr>
                <w:rFonts w:ascii="Arial" w:hAnsi="Arial" w:cs="Arial"/>
                <w:b w:val="0"/>
                <w:i w:val="0"/>
                <w:sz w:val="17"/>
              </w:rPr>
              <w:t>All preceding layers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Each layer is complete only when every identifier in its range is delivered, tested, and traced to its blueprint section; QA and documentation layers are always the final gates before a phase is accepted.</w:t>
      </w:r>
    </w:p>
    <w:p>
      <w:pPr>
        <w:keepNext/>
        <w:spacing w:before="240" w:after="100"/>
        <w:outlineLvl w:val="1"/>
      </w:pPr>
      <w:r>
        <w:rPr>
          <w:rFonts w:ascii="Arial" w:hAnsi="Arial" w:cs="Arial"/>
          <w:b/>
          <w:i w:val="0"/>
          <w:color w:val="2E528F"/>
          <w:sz w:val="26"/>
        </w:rPr>
        <w:t>24.4 Implementation Checklists (Per Domain)</w:t>
      </w:r>
    </w:p>
    <w:p>
      <w:pPr>
        <w:keepNext/>
        <w:spacing w:before="180" w:after="80"/>
        <w:outlineLvl w:val="2"/>
      </w:pPr>
      <w:r>
        <w:rPr>
          <w:rFonts w:ascii="Arial" w:hAnsi="Arial" w:cs="Arial"/>
          <w:b/>
          <w:i w:val="0"/>
          <w:color w:val="333333"/>
          <w:sz w:val="23"/>
        </w:rPr>
        <w:t>24.4.1 Data &amp; Migrations (DM-001 … DM-022)</w:t>
      </w:r>
    </w:p>
    <w:p>
      <w:pPr>
        <w:spacing w:after="80" w:line="293" w:lineRule="auto"/>
        <w:ind w:left="283"/>
        <w:jc w:val="left"/>
      </w:pPr>
      <w:r>
        <w:rPr>
          <w:rFonts w:ascii="Times New Roman" w:hAnsi="Times New Roman" w:cs="Times New Roman"/>
          <w:b w:val="0"/>
          <w:i w:val="0"/>
          <w:sz w:val="22"/>
        </w:rPr>
        <w:t>- Implement every table in Section 17 exactly; migrations are idempotent with IF NOT EXISTS guards.</w:t>
      </w:r>
    </w:p>
    <w:p>
      <w:pPr>
        <w:spacing w:after="80" w:line="293" w:lineRule="auto"/>
        <w:ind w:left="283"/>
        <w:jc w:val="left"/>
      </w:pPr>
      <w:r>
        <w:rPr>
          <w:rFonts w:ascii="Times New Roman" w:hAnsi="Times New Roman" w:cs="Times New Roman"/>
          <w:b w:val="0"/>
          <w:i w:val="0"/>
          <w:sz w:val="22"/>
        </w:rPr>
        <w:t>- RLS enabled and policy-tested for every tenant-scoped table.</w:t>
      </w:r>
    </w:p>
    <w:p>
      <w:pPr>
        <w:spacing w:after="80" w:line="293" w:lineRule="auto"/>
        <w:ind w:left="283"/>
        <w:jc w:val="left"/>
      </w:pPr>
      <w:r>
        <w:rPr>
          <w:rFonts w:ascii="Times New Roman" w:hAnsi="Times New Roman" w:cs="Times New Roman"/>
          <w:b w:val="0"/>
          <w:i w:val="0"/>
          <w:sz w:val="22"/>
        </w:rPr>
        <w:t>- Hypertables and compression policies applied (trade_memory_events, security_events, iot_sensor_readings).</w:t>
      </w:r>
    </w:p>
    <w:p>
      <w:pPr>
        <w:spacing w:after="80" w:line="293" w:lineRule="auto"/>
        <w:ind w:left="283"/>
        <w:jc w:val="left"/>
      </w:pPr>
      <w:r>
        <w:rPr>
          <w:rFonts w:ascii="Times New Roman" w:hAnsi="Times New Roman" w:cs="Times New Roman"/>
          <w:b w:val="0"/>
          <w:i w:val="0"/>
          <w:sz w:val="22"/>
        </w:rPr>
        <w:t>- Seed service_capability_definitions, jurisdictions, and ports.</w:t>
      </w:r>
    </w:p>
    <w:p>
      <w:pPr>
        <w:spacing w:after="80" w:line="293" w:lineRule="auto"/>
        <w:ind w:left="283"/>
        <w:jc w:val="left"/>
      </w:pPr>
      <w:r>
        <w:rPr>
          <w:rFonts w:ascii="Times New Roman" w:hAnsi="Times New Roman" w:cs="Times New Roman"/>
          <w:b w:val="0"/>
          <w:i w:val="0"/>
          <w:sz w:val="22"/>
        </w:rPr>
        <w:t>- Verify the ustn_counters atomic function under concurrency.</w:t>
      </w:r>
    </w:p>
    <w:p>
      <w:pPr>
        <w:spacing w:after="80" w:line="293" w:lineRule="auto"/>
        <w:jc w:val="left"/>
      </w:pPr>
      <w:r>
        <w:rPr>
          <w:rFonts w:ascii="Times New Roman" w:hAnsi="Times New Roman" w:cs="Times New Roman"/>
          <w:b w:val="0"/>
          <w:i w:val="0"/>
          <w:sz w:val="22"/>
        </w:rPr>
        <w:t>Component coverage: full schema of Section 17 including identity, trade, contracts and fees, logistics, QC, financing, distressed, disputes, governance and inbox, jurisdictions and ports, documents, payments, integrations, release, marketplace, contacts, tasks, SAR, GNN/federated learning, infrastructure, security, and special rates.</w:t>
      </w:r>
    </w:p>
    <w:p>
      <w:pPr>
        <w:keepNext/>
        <w:spacing w:before="180" w:after="80"/>
        <w:outlineLvl w:val="2"/>
      </w:pPr>
      <w:r>
        <w:rPr>
          <w:rFonts w:ascii="Arial" w:hAnsi="Arial" w:cs="Arial"/>
          <w:b/>
          <w:i w:val="0"/>
          <w:color w:val="333333"/>
          <w:sz w:val="23"/>
        </w:rPr>
        <w:t>24.4.2 Backend Services (BS-001 … BS-066)</w:t>
      </w:r>
    </w:p>
    <w:p>
      <w:pPr>
        <w:spacing w:after="80" w:line="293" w:lineRule="auto"/>
        <w:ind w:left="283"/>
        <w:jc w:val="left"/>
      </w:pPr>
      <w:r>
        <w:rPr>
          <w:rFonts w:ascii="Times New Roman" w:hAnsi="Times New Roman" w:cs="Times New Roman"/>
          <w:b w:val="0"/>
          <w:i w:val="0"/>
          <w:sz w:val="22"/>
        </w:rPr>
        <w:t>- Every mutating endpoint calls governorDecide() and persists the decision id.</w:t>
      </w:r>
    </w:p>
    <w:p>
      <w:pPr>
        <w:spacing w:after="80" w:line="293" w:lineRule="auto"/>
        <w:ind w:left="283"/>
        <w:jc w:val="left"/>
      </w:pPr>
      <w:r>
        <w:rPr>
          <w:rFonts w:ascii="Times New Roman" w:hAnsi="Times New Roman" w:cs="Times New Roman"/>
          <w:b w:val="0"/>
          <w:i w:val="0"/>
          <w:sz w:val="22"/>
        </w:rPr>
        <w:t>- Fee calculation exists only server-side.</w:t>
      </w:r>
    </w:p>
    <w:p>
      <w:pPr>
        <w:spacing w:after="80" w:line="293" w:lineRule="auto"/>
        <w:ind w:left="283"/>
        <w:jc w:val="left"/>
      </w:pPr>
      <w:r>
        <w:rPr>
          <w:rFonts w:ascii="Times New Roman" w:hAnsi="Times New Roman" w:cs="Times New Roman"/>
          <w:b w:val="0"/>
          <w:i w:val="0"/>
          <w:sz w:val="22"/>
        </w:rPr>
        <w:t>- Settlement states advance only on external evidence (webhook / bank / MT940 / ISO 20022).</w:t>
      </w:r>
    </w:p>
    <w:p>
      <w:pPr>
        <w:spacing w:after="80" w:line="293" w:lineRule="auto"/>
        <w:ind w:left="283"/>
        <w:jc w:val="left"/>
      </w:pPr>
      <w:r>
        <w:rPr>
          <w:rFonts w:ascii="Times New Roman" w:hAnsi="Times New Roman" w:cs="Times New Roman"/>
          <w:b w:val="0"/>
          <w:i w:val="0"/>
          <w:sz w:val="22"/>
        </w:rPr>
        <w:t>- Financing states follow the finality table (Section 10).</w:t>
      </w:r>
    </w:p>
    <w:p>
      <w:pPr>
        <w:spacing w:after="80" w:line="293" w:lineRule="auto"/>
        <w:ind w:left="283"/>
        <w:jc w:val="left"/>
      </w:pPr>
      <w:r>
        <w:rPr>
          <w:rFonts w:ascii="Times New Roman" w:hAnsi="Times New Roman" w:cs="Times New Roman"/>
          <w:b w:val="0"/>
          <w:i w:val="0"/>
          <w:sz w:val="22"/>
        </w:rPr>
        <w:t>- Idempotency keys enforced on POST/PUT/PATCH.</w:t>
      </w:r>
    </w:p>
    <w:p>
      <w:pPr>
        <w:spacing w:after="80" w:line="293" w:lineRule="auto"/>
        <w:ind w:left="283"/>
        <w:jc w:val="left"/>
      </w:pPr>
      <w:r>
        <w:rPr>
          <w:rFonts w:ascii="Times New Roman" w:hAnsi="Times New Roman" w:cs="Times New Roman"/>
          <w:b w:val="0"/>
          <w:i w:val="0"/>
          <w:sz w:val="22"/>
        </w:rPr>
        <w:t>- Event spine emission for every canonical event (Sections 7 and 12).</w:t>
      </w:r>
    </w:p>
    <w:p>
      <w:pPr>
        <w:spacing w:after="80" w:line="293" w:lineRule="auto"/>
        <w:ind w:left="283"/>
        <w:jc w:val="left"/>
      </w:pPr>
      <w:r>
        <w:rPr>
          <w:rFonts w:ascii="Times New Roman" w:hAnsi="Times New Roman" w:cs="Times New Roman"/>
          <w:b w:val="0"/>
          <w:i w:val="0"/>
          <w:sz w:val="22"/>
        </w:rPr>
        <w:t>- USTN mandatory-reference validation on trade mutations.</w:t>
      </w:r>
    </w:p>
    <w:p>
      <w:pPr>
        <w:spacing w:after="80" w:line="293" w:lineRule="auto"/>
        <w:jc w:val="left"/>
      </w:pPr>
      <w:r>
        <w:rPr>
          <w:rFonts w:ascii="Times New Roman" w:hAnsi="Times New Roman" w:cs="Times New Roman"/>
          <w:b w:val="0"/>
          <w:i w:val="0"/>
          <w:sz w:val="22"/>
        </w:rPr>
        <w:t>Component coverage: core services; container &amp; commodity services; product form agent; express mode; documentation services; special instructions; transport &amp; logistics; insurance services; commercial settlement; multi-shipment; trade readiness &amp; criticality.</w:t>
      </w:r>
    </w:p>
    <w:p>
      <w:pPr>
        <w:keepNext/>
        <w:spacing w:before="180" w:after="80"/>
        <w:outlineLvl w:val="2"/>
      </w:pPr>
      <w:r>
        <w:rPr>
          <w:rFonts w:ascii="Arial" w:hAnsi="Arial" w:cs="Arial"/>
          <w:b/>
          <w:i w:val="0"/>
          <w:color w:val="333333"/>
          <w:sz w:val="23"/>
        </w:rPr>
        <w:t>24.4.3 Governor &amp; Validation (GV-001 … GV-010, OP-001 … OP-007, WM-001 … WM-007)</w:t>
      </w:r>
    </w:p>
    <w:p>
      <w:pPr>
        <w:spacing w:after="80" w:line="293" w:lineRule="auto"/>
        <w:ind w:left="283"/>
        <w:jc w:val="left"/>
      </w:pPr>
      <w:r>
        <w:rPr>
          <w:rFonts w:ascii="Times New Roman" w:hAnsi="Times New Roman" w:cs="Times New Roman"/>
          <w:b w:val="0"/>
          <w:i w:val="0"/>
          <w:sz w:val="22"/>
        </w:rPr>
        <w:t>- OPA policies authored for every gate in Section 15.</w:t>
      </w:r>
    </w:p>
    <w:p>
      <w:pPr>
        <w:spacing w:after="80" w:line="293" w:lineRule="auto"/>
        <w:ind w:left="283"/>
        <w:jc w:val="left"/>
      </w:pPr>
      <w:r>
        <w:rPr>
          <w:rFonts w:ascii="Times New Roman" w:hAnsi="Times New Roman" w:cs="Times New Roman"/>
          <w:b w:val="0"/>
          <w:i w:val="0"/>
          <w:sz w:val="22"/>
        </w:rPr>
        <w:t>- WasmEdge modules compiled from Layer 0, signed, hashed, sandboxed.</w:t>
      </w:r>
    </w:p>
    <w:p>
      <w:pPr>
        <w:spacing w:after="80" w:line="293" w:lineRule="auto"/>
        <w:ind w:left="283"/>
        <w:jc w:val="left"/>
      </w:pPr>
      <w:r>
        <w:rPr>
          <w:rFonts w:ascii="Times New Roman" w:hAnsi="Times New Roman" w:cs="Times New Roman"/>
          <w:b w:val="0"/>
          <w:i w:val="0"/>
          <w:sz w:val="22"/>
        </w:rPr>
        <w:t>- Multisig flows for constitutional actions.</w:t>
      </w:r>
    </w:p>
    <w:p>
      <w:pPr>
        <w:spacing w:after="80" w:line="293" w:lineRule="auto"/>
        <w:ind w:left="283"/>
        <w:jc w:val="left"/>
      </w:pPr>
      <w:r>
        <w:rPr>
          <w:rFonts w:ascii="Times New Roman" w:hAnsi="Times New Roman" w:cs="Times New Roman"/>
          <w:b w:val="0"/>
          <w:i w:val="0"/>
          <w:sz w:val="22"/>
        </w:rPr>
        <w:t>- Plain-language Decision Panel copy for DENY/CONDITIONAL.</w:t>
      </w:r>
    </w:p>
    <w:p>
      <w:pPr>
        <w:spacing w:after="80" w:line="293" w:lineRule="auto"/>
        <w:ind w:left="283"/>
        <w:jc w:val="left"/>
      </w:pPr>
      <w:r>
        <w:rPr>
          <w:rFonts w:ascii="Times New Roman" w:hAnsi="Times New Roman" w:cs="Times New Roman"/>
          <w:b w:val="0"/>
          <w:i w:val="0"/>
          <w:sz w:val="22"/>
        </w:rPr>
        <w:t>- Loom append on every decision with the hourly verifier green.</w:t>
      </w:r>
    </w:p>
    <w:p>
      <w:pPr>
        <w:spacing w:after="80" w:line="293" w:lineRule="auto"/>
        <w:jc w:val="left"/>
      </w:pPr>
      <w:r>
        <w:rPr>
          <w:rFonts w:ascii="Times New Roman" w:hAnsi="Times New Roman" w:cs="Times New Roman"/>
          <w:b w:val="0"/>
          <w:i w:val="0"/>
          <w:sz w:val="22"/>
        </w:rPr>
        <w:t>Component coverage: OPA policy set (one policy per constitutional gate plus the cross-border consent gate); WasmEdge module set (constitutional rules, incoterm engine, weight validation, release authorisation).</w:t>
      </w:r>
    </w:p>
    <w:p>
      <w:pPr>
        <w:keepNext/>
        <w:spacing w:before="180" w:after="80"/>
        <w:outlineLvl w:val="2"/>
      </w:pPr>
      <w:r>
        <w:rPr>
          <w:rFonts w:ascii="Arial" w:hAnsi="Arial" w:cs="Arial"/>
          <w:b/>
          <w:i w:val="0"/>
          <w:color w:val="333333"/>
          <w:sz w:val="23"/>
        </w:rPr>
        <w:t>24.4.4 Frontend Components (FC-001 … FC-068)</w:t>
      </w:r>
    </w:p>
    <w:p>
      <w:pPr>
        <w:spacing w:after="80" w:line="293" w:lineRule="auto"/>
        <w:ind w:left="283"/>
        <w:jc w:val="left"/>
      </w:pPr>
      <w:r>
        <w:rPr>
          <w:rFonts w:ascii="Times New Roman" w:hAnsi="Times New Roman" w:cs="Times New Roman"/>
          <w:b w:val="0"/>
          <w:i w:val="0"/>
          <w:sz w:val="22"/>
        </w:rPr>
        <w:t>- Smart Inbox and Trade Command Center are the only landing surfaces.</w:t>
      </w:r>
    </w:p>
    <w:p>
      <w:pPr>
        <w:spacing w:after="80" w:line="293" w:lineRule="auto"/>
        <w:ind w:left="283"/>
        <w:jc w:val="left"/>
      </w:pPr>
      <w:r>
        <w:rPr>
          <w:rFonts w:ascii="Times New Roman" w:hAnsi="Times New Roman" w:cs="Times New Roman"/>
          <w:b w:val="0"/>
          <w:i w:val="0"/>
          <w:sz w:val="22"/>
        </w:rPr>
        <w:t>- Three-column negotiation center; side-by-side diff and impact analysis; pre-signing commitment review.</w:t>
      </w:r>
    </w:p>
    <w:p>
      <w:pPr>
        <w:spacing w:after="80" w:line="293" w:lineRule="auto"/>
        <w:ind w:left="283"/>
        <w:jc w:val="left"/>
      </w:pPr>
      <w:r>
        <w:rPr>
          <w:rFonts w:ascii="Times New Roman" w:hAnsi="Times New Roman" w:cs="Times New Roman"/>
          <w:b w:val="0"/>
          <w:i w:val="0"/>
          <w:sz w:val="22"/>
        </w:rPr>
        <w:t>- No fee calculation client-side.</w:t>
      </w:r>
    </w:p>
    <w:p>
      <w:pPr>
        <w:spacing w:after="80" w:line="293" w:lineRule="auto"/>
        <w:ind w:left="283"/>
        <w:jc w:val="left"/>
      </w:pPr>
      <w:r>
        <w:rPr>
          <w:rFonts w:ascii="Times New Roman" w:hAnsi="Times New Roman" w:cs="Times New Roman"/>
          <w:b w:val="0"/>
          <w:i w:val="0"/>
          <w:sz w:val="22"/>
        </w:rPr>
        <w:t>- AI suggestions always labelled and overridable; WCAG 2.2 AA; offline-first mobile patterns (Section 12).</w:t>
      </w:r>
    </w:p>
    <w:p>
      <w:pPr>
        <w:spacing w:after="80" w:line="293" w:lineRule="auto"/>
        <w:jc w:val="left"/>
      </w:pPr>
      <w:r>
        <w:rPr>
          <w:rFonts w:ascii="Times New Roman" w:hAnsi="Times New Roman" w:cs="Times New Roman"/>
          <w:b w:val="0"/>
          <w:i w:val="0"/>
          <w:sz w:val="22"/>
        </w:rPr>
        <w:t>Component coverage: core form components; dynamic form components; documentation components; special instructions; transport &amp; logistics; insurance; commercial settlement; multi-shipment; readiness &amp; criticality; express mode; Decision Panel; draft &amp; recovery.</w:t>
      </w:r>
    </w:p>
    <w:p>
      <w:pPr>
        <w:keepNext/>
        <w:spacing w:before="180" w:after="80"/>
        <w:outlineLvl w:val="2"/>
      </w:pPr>
      <w:r>
        <w:rPr>
          <w:rFonts w:ascii="Arial" w:hAnsi="Arial" w:cs="Arial"/>
          <w:b/>
          <w:i w:val="0"/>
          <w:color w:val="333333"/>
          <w:sz w:val="23"/>
        </w:rPr>
        <w:t>24.4.5 RIA Integration (RI-001 … RI-010)</w:t>
      </w:r>
    </w:p>
    <w:p>
      <w:pPr>
        <w:spacing w:after="80" w:line="293" w:lineRule="auto"/>
        <w:ind w:left="283"/>
        <w:jc w:val="left"/>
      </w:pPr>
      <w:r>
        <w:rPr>
          <w:rFonts w:ascii="Times New Roman" w:hAnsi="Times New Roman" w:cs="Times New Roman"/>
          <w:b w:val="0"/>
          <w:i w:val="0"/>
          <w:sz w:val="22"/>
        </w:rPr>
        <w:t>- Jurisdiction matrix, treatment requirements, country MRLs, port special rules, and commodity dynamic schemas</w:t>
      </w:r>
    </w:p>
    <w:p>
      <w:pPr>
        <w:spacing w:after="80" w:line="293" w:lineRule="auto"/>
        <w:jc w:val="left"/>
      </w:pPr>
      <w:r>
        <w:rPr>
          <w:rFonts w:ascii="Times New Roman" w:hAnsi="Times New Roman" w:cs="Times New Roman"/>
          <w:b w:val="0"/>
          <w:i w:val="0"/>
          <w:sz w:val="22"/>
        </w:rPr>
        <w:t>cached per Section 17.</w:t>
      </w:r>
    </w:p>
    <w:p>
      <w:pPr>
        <w:spacing w:after="80" w:line="293" w:lineRule="auto"/>
        <w:ind w:left="283"/>
        <w:jc w:val="left"/>
      </w:pPr>
      <w:r>
        <w:rPr>
          <w:rFonts w:ascii="Times New Roman" w:hAnsi="Times New Roman" w:cs="Times New Roman"/>
          <w:b w:val="0"/>
          <w:i w:val="0"/>
          <w:sz w:val="22"/>
        </w:rPr>
        <w:t>- Mandatory-test lock enforced (G1U4, Section 15).</w:t>
      </w:r>
    </w:p>
    <w:p>
      <w:pPr>
        <w:keepNext/>
        <w:spacing w:before="180" w:after="80"/>
        <w:outlineLvl w:val="2"/>
      </w:pPr>
      <w:r>
        <w:rPr>
          <w:rFonts w:ascii="Arial" w:hAnsi="Arial" w:cs="Arial"/>
          <w:b/>
          <w:i w:val="0"/>
          <w:color w:val="333333"/>
          <w:sz w:val="23"/>
        </w:rPr>
        <w:t>24.4.6 AI Integration (AI-001 … AI-012)</w:t>
      </w:r>
    </w:p>
    <w:p>
      <w:pPr>
        <w:spacing w:after="80" w:line="293" w:lineRule="auto"/>
        <w:ind w:left="283"/>
        <w:jc w:val="left"/>
      </w:pPr>
      <w:r>
        <w:rPr>
          <w:rFonts w:ascii="Times New Roman" w:hAnsi="Times New Roman" w:cs="Times New Roman"/>
          <w:b w:val="0"/>
          <w:i w:val="0"/>
          <w:sz w:val="22"/>
        </w:rPr>
        <w:t>- Agent registry per Section 3.</w:t>
      </w:r>
    </w:p>
    <w:p>
      <w:pPr>
        <w:spacing w:after="80" w:line="293" w:lineRule="auto"/>
        <w:ind w:left="283"/>
        <w:jc w:val="left"/>
      </w:pPr>
      <w:r>
        <w:rPr>
          <w:rFonts w:ascii="Times New Roman" w:hAnsi="Times New Roman" w:cs="Times New Roman"/>
          <w:b w:val="0"/>
          <w:i w:val="0"/>
          <w:sz w:val="22"/>
        </w:rPr>
        <w:t>- Three-tier fallback (Groq → Ollama → static) exercised in tests.</w:t>
      </w:r>
    </w:p>
    <w:p>
      <w:pPr>
        <w:spacing w:after="80" w:line="293" w:lineRule="auto"/>
        <w:ind w:left="283"/>
        <w:jc w:val="left"/>
      </w:pPr>
      <w:r>
        <w:rPr>
          <w:rFonts w:ascii="Times New Roman" w:hAnsi="Times New Roman" w:cs="Times New Roman"/>
          <w:b w:val="0"/>
          <w:i w:val="0"/>
          <w:sz w:val="22"/>
        </w:rPr>
        <w:t>- ai_inference_records written for every inference with authority level and confidence.</w:t>
      </w:r>
    </w:p>
    <w:p>
      <w:pPr>
        <w:spacing w:after="80" w:line="293" w:lineRule="auto"/>
        <w:ind w:left="283"/>
        <w:jc w:val="left"/>
      </w:pPr>
      <w:r>
        <w:rPr>
          <w:rFonts w:ascii="Times New Roman" w:hAnsi="Times New Roman" w:cs="Times New Roman"/>
          <w:b w:val="0"/>
          <w:i w:val="0"/>
          <w:sz w:val="22"/>
        </w:rPr>
        <w:t>- A5 blocked at WASM compile with the SEV-0 alert path tested.</w:t>
      </w:r>
    </w:p>
    <w:p>
      <w:pPr>
        <w:keepNext/>
        <w:spacing w:before="180" w:after="80"/>
        <w:outlineLvl w:val="2"/>
      </w:pPr>
      <w:r>
        <w:rPr>
          <w:rFonts w:ascii="Arial" w:hAnsi="Arial" w:cs="Arial"/>
          <w:b/>
          <w:i w:val="0"/>
          <w:color w:val="333333"/>
          <w:sz w:val="23"/>
        </w:rPr>
        <w:t>24.4.7 Quality Assurance (QT-001 … QT-005, PT-001 … PT-005)</w:t>
      </w:r>
    </w:p>
    <w:p>
      <w:pPr>
        <w:spacing w:after="80" w:line="293" w:lineRule="auto"/>
        <w:ind w:left="283"/>
        <w:jc w:val="left"/>
      </w:pPr>
      <w:r>
        <w:rPr>
          <w:rFonts w:ascii="Times New Roman" w:hAnsi="Times New Roman" w:cs="Times New Roman"/>
          <w:b w:val="0"/>
          <w:i w:val="0"/>
          <w:sz w:val="22"/>
        </w:rPr>
        <w:t>- Unit tests per service.</w:t>
      </w:r>
    </w:p>
    <w:p>
      <w:pPr>
        <w:spacing w:after="80" w:line="293" w:lineRule="auto"/>
        <w:ind w:left="283"/>
        <w:jc w:val="left"/>
      </w:pPr>
      <w:r>
        <w:rPr>
          <w:rFonts w:ascii="Times New Roman" w:hAnsi="Times New Roman" w:cs="Times New Roman"/>
          <w:b w:val="0"/>
          <w:i w:val="0"/>
          <w:sz w:val="22"/>
        </w:rPr>
        <w:t>- Integration tests per gate.</w:t>
      </w:r>
    </w:p>
    <w:p>
      <w:pPr>
        <w:spacing w:after="80" w:line="293" w:lineRule="auto"/>
        <w:ind w:left="283"/>
        <w:jc w:val="left"/>
      </w:pPr>
      <w:r>
        <w:rPr>
          <w:rFonts w:ascii="Times New Roman" w:hAnsi="Times New Roman" w:cs="Times New Roman"/>
          <w:b w:val="0"/>
          <w:i w:val="0"/>
          <w:sz w:val="22"/>
        </w:rPr>
        <w:t>- End-to-end tests running the three canonical fixtures (COMPLETE, SETTLEMENT_BLOCKED, MULTI_BLOCKED) with</w:t>
      </w:r>
    </w:p>
    <w:p>
      <w:pPr>
        <w:spacing w:after="80" w:line="293" w:lineRule="auto"/>
        <w:jc w:val="left"/>
      </w:pPr>
      <w:r>
        <w:rPr>
          <w:rFonts w:ascii="Times New Roman" w:hAnsi="Times New Roman" w:cs="Times New Roman"/>
          <w:b w:val="0"/>
          <w:i w:val="0"/>
          <w:sz w:val="22"/>
        </w:rPr>
        <w:t>canClose verdicts asserted.</w:t>
      </w:r>
    </w:p>
    <w:p>
      <w:pPr>
        <w:spacing w:after="80" w:line="293" w:lineRule="auto"/>
        <w:ind w:left="283"/>
        <w:jc w:val="left"/>
      </w:pPr>
      <w:r>
        <w:rPr>
          <w:rFonts w:ascii="Times New Roman" w:hAnsi="Times New Roman" w:cs="Times New Roman"/>
          <w:b w:val="0"/>
          <w:i w:val="0"/>
          <w:sz w:val="22"/>
        </w:rPr>
        <w:t>- Performance tests against the SLA targets (Section 21.8).</w:t>
      </w:r>
    </w:p>
    <w:p>
      <w:pPr>
        <w:spacing w:after="80" w:line="293" w:lineRule="auto"/>
        <w:ind w:left="283"/>
        <w:jc w:val="left"/>
      </w:pPr>
      <w:r>
        <w:rPr>
          <w:rFonts w:ascii="Times New Roman" w:hAnsi="Times New Roman" w:cs="Times New Roman"/>
          <w:b w:val="0"/>
          <w:i w:val="0"/>
          <w:sz w:val="22"/>
        </w:rPr>
        <w:t>- Adversarial tests for the STRIDE mitigations (Section 21.2).</w:t>
      </w:r>
    </w:p>
    <w:p>
      <w:pPr>
        <w:spacing w:after="80" w:line="293" w:lineRule="auto"/>
        <w:ind w:left="283"/>
        <w:jc w:val="left"/>
      </w:pPr>
      <w:r>
        <w:rPr>
          <w:rFonts w:ascii="Times New Roman" w:hAnsi="Times New Roman" w:cs="Times New Roman"/>
          <w:b w:val="0"/>
          <w:i w:val="0"/>
          <w:sz w:val="22"/>
        </w:rPr>
        <w:t>- State-integrity invariants (12) monitored in production.</w:t>
      </w:r>
    </w:p>
    <w:p>
      <w:pPr>
        <w:keepNext/>
        <w:spacing w:before="180" w:after="80"/>
        <w:outlineLvl w:val="2"/>
      </w:pPr>
      <w:r>
        <w:rPr>
          <w:rFonts w:ascii="Arial" w:hAnsi="Arial" w:cs="Arial"/>
          <w:b/>
          <w:i w:val="0"/>
          <w:color w:val="333333"/>
          <w:sz w:val="23"/>
        </w:rPr>
        <w:t>24.4.8 Documentation (DC-001 … DC-006)</w:t>
      </w:r>
    </w:p>
    <w:p>
      <w:pPr>
        <w:spacing w:after="80" w:line="293" w:lineRule="auto"/>
        <w:ind w:left="283"/>
        <w:jc w:val="left"/>
      </w:pPr>
      <w:r>
        <w:rPr>
          <w:rFonts w:ascii="Times New Roman" w:hAnsi="Times New Roman" w:cs="Times New Roman"/>
          <w:b w:val="0"/>
          <w:i w:val="0"/>
          <w:sz w:val="22"/>
        </w:rPr>
        <w:t>- OpenAPI synchronised with Section 18.</w:t>
      </w:r>
    </w:p>
    <w:p>
      <w:pPr>
        <w:spacing w:after="80" w:line="293" w:lineRule="auto"/>
        <w:ind w:left="283"/>
        <w:jc w:val="left"/>
      </w:pPr>
      <w:r>
        <w:rPr>
          <w:rFonts w:ascii="Times New Roman" w:hAnsi="Times New Roman" w:cs="Times New Roman"/>
          <w:b w:val="0"/>
          <w:i w:val="0"/>
          <w:sz w:val="22"/>
        </w:rPr>
        <w:t>- Runbooks for Governor, settlement, financing, and release systems.</w:t>
      </w:r>
    </w:p>
    <w:p>
      <w:pPr>
        <w:spacing w:after="80" w:line="293" w:lineRule="auto"/>
        <w:ind w:left="283"/>
        <w:jc w:val="left"/>
      </w:pPr>
      <w:r>
        <w:rPr>
          <w:rFonts w:ascii="Times New Roman" w:hAnsi="Times New Roman" w:cs="Times New Roman"/>
          <w:b w:val="0"/>
          <w:i w:val="0"/>
          <w:sz w:val="22"/>
        </w:rPr>
        <w:t>- This blueprint updated through versioned change control whenever L1/L2 content changes.</w:t>
      </w:r>
    </w:p>
    <w:p>
      <w:pPr>
        <w:keepNext/>
        <w:spacing w:before="180" w:after="80"/>
        <w:outlineLvl w:val="2"/>
      </w:pPr>
      <w:r>
        <w:rPr>
          <w:rFonts w:ascii="Arial" w:hAnsi="Arial" w:cs="Arial"/>
          <w:b/>
          <w:i w:val="0"/>
          <w:color w:val="333333"/>
          <w:sz w:val="23"/>
        </w:rPr>
        <w:t>24.4.9 Platform Engineering Checklist</w:t>
      </w:r>
    </w:p>
    <w:p>
      <w:pPr>
        <w:spacing w:after="80" w:line="293" w:lineRule="auto"/>
        <w:ind w:left="283"/>
        <w:jc w:val="left"/>
      </w:pPr>
      <w:r>
        <w:rPr>
          <w:rFonts w:ascii="Times New Roman" w:hAnsi="Times New Roman" w:cs="Times New Roman"/>
          <w:b w:val="0"/>
          <w:i w:val="0"/>
          <w:sz w:val="22"/>
        </w:rPr>
        <w:t>- Set up self-hosted project management and CI/CD with canary deployments and intelligent rollback triggers</w:t>
      </w:r>
    </w:p>
    <w:p>
      <w:pPr>
        <w:spacing w:after="80" w:line="293" w:lineRule="auto"/>
        <w:jc w:val="left"/>
      </w:pPr>
      <w:r>
        <w:rPr>
          <w:rFonts w:ascii="Times New Roman" w:hAnsi="Times New Roman" w:cs="Times New Roman"/>
          <w:b w:val="0"/>
          <w:i w:val="0"/>
          <w:sz w:val="22"/>
        </w:rPr>
        <w:t>(Section 24.2.11).</w:t>
      </w:r>
    </w:p>
    <w:p>
      <w:pPr>
        <w:spacing w:after="80" w:line="293" w:lineRule="auto"/>
        <w:ind w:left="283"/>
        <w:jc w:val="left"/>
      </w:pPr>
      <w:r>
        <w:rPr>
          <w:rFonts w:ascii="Times New Roman" w:hAnsi="Times New Roman" w:cs="Times New Roman"/>
          <w:b w:val="0"/>
          <w:i w:val="0"/>
          <w:sz w:val="22"/>
        </w:rPr>
        <w:t>- Deploy the Project Oracle agent (development-pipeline monitoring, weekly revised priorities, one-click reports).</w:t>
      </w:r>
    </w:p>
    <w:p>
      <w:pPr>
        <w:spacing w:after="80" w:line="293" w:lineRule="auto"/>
        <w:ind w:left="283"/>
        <w:jc w:val="left"/>
      </w:pPr>
      <w:r>
        <w:rPr>
          <w:rFonts w:ascii="Times New Roman" w:hAnsi="Times New Roman" w:cs="Times New Roman"/>
          <w:b w:val="0"/>
          <w:i w:val="0"/>
          <w:sz w:val="22"/>
        </w:rPr>
        <w:t>- Enable the Predictive Scaling Engine (LSTM capacity forecasts, Ansible-provisioned, one-click approval).</w:t>
      </w:r>
    </w:p>
    <w:p>
      <w:pPr>
        <w:spacing w:after="80" w:line="293" w:lineRule="auto"/>
        <w:ind w:left="283"/>
        <w:jc w:val="left"/>
      </w:pPr>
      <w:r>
        <w:rPr>
          <w:rFonts w:ascii="Times New Roman" w:hAnsi="Times New Roman" w:cs="Times New Roman"/>
          <w:b w:val="0"/>
          <w:i w:val="0"/>
          <w:sz w:val="22"/>
        </w:rPr>
        <w:t>- Train and deploy the hardware-failure prediction model with automated maintenance windows.</w:t>
      </w:r>
    </w:p>
    <w:p>
      <w:pPr>
        <w:spacing w:after="80" w:line="293" w:lineRule="auto"/>
        <w:ind w:left="283"/>
        <w:jc w:val="left"/>
      </w:pPr>
      <w:r>
        <w:rPr>
          <w:rFonts w:ascii="Times New Roman" w:hAnsi="Times New Roman" w:cs="Times New Roman"/>
          <w:b w:val="0"/>
          <w:i w:val="0"/>
          <w:sz w:val="22"/>
        </w:rPr>
        <w:t>- Deploy the compliance roadmap agent (RIA-driven compliance milestones become Gitea tickets with Smart Inbox</w:t>
      </w:r>
    </w:p>
    <w:p>
      <w:pPr>
        <w:spacing w:after="80" w:line="293" w:lineRule="auto"/>
        <w:jc w:val="left"/>
      </w:pPr>
      <w:r>
        <w:rPr>
          <w:rFonts w:ascii="Times New Roman" w:hAnsi="Times New Roman" w:cs="Times New Roman"/>
          <w:b w:val="0"/>
          <w:i w:val="0"/>
          <w:sz w:val="22"/>
        </w:rPr>
        <w:t>alerts).</w:t>
      </w:r>
    </w:p>
    <w:p>
      <w:pPr>
        <w:spacing w:after="80" w:line="293" w:lineRule="auto"/>
        <w:ind w:left="283"/>
        <w:jc w:val="left"/>
      </w:pPr>
      <w:r>
        <w:rPr>
          <w:rFonts w:ascii="Times New Roman" w:hAnsi="Times New Roman" w:cs="Times New Roman"/>
          <w:b w:val="0"/>
          <w:i w:val="0"/>
          <w:sz w:val="22"/>
        </w:rPr>
        <w:t>- Build the Grafana living dashboard (growth, reliability, compliance, tenant experience, finance) with monthly</w:t>
      </w:r>
    </w:p>
    <w:p>
      <w:pPr>
        <w:spacing w:after="80" w:line="293" w:lineRule="auto"/>
        <w:jc w:val="left"/>
      </w:pPr>
      <w:r>
        <w:rPr>
          <w:rFonts w:ascii="Times New Roman" w:hAnsi="Times New Roman" w:cs="Times New Roman"/>
          <w:b w:val="0"/>
          <w:i w:val="0"/>
          <w:sz w:val="22"/>
        </w:rPr>
        <w:t>AI-generated board summaries.</w:t>
      </w:r>
    </w:p>
    <w:p>
      <w:pPr>
        <w:spacing w:after="80" w:line="293" w:lineRule="auto"/>
        <w:ind w:left="283"/>
        <w:jc w:val="left"/>
      </w:pPr>
      <w:r>
        <w:rPr>
          <w:rFonts w:ascii="Times New Roman" w:hAnsi="Times New Roman" w:cs="Times New Roman"/>
          <w:b w:val="0"/>
          <w:i w:val="0"/>
          <w:sz w:val="22"/>
        </w:rPr>
        <w:t>- Deploy the Dynamic Geographic Expansion Optimizer with a tested sovereign-node provisioning playbook.</w:t>
      </w:r>
    </w:p>
    <w:p>
      <w:pPr>
        <w:spacing w:after="80" w:line="293" w:lineRule="auto"/>
        <w:ind w:left="283"/>
        <w:jc w:val="left"/>
      </w:pPr>
      <w:r>
        <w:rPr>
          <w:rFonts w:ascii="Times New Roman" w:hAnsi="Times New Roman" w:cs="Times New Roman"/>
          <w:b w:val="0"/>
          <w:i w:val="0"/>
          <w:sz w:val="22"/>
        </w:rPr>
        <w:t>- Enable AI-generated partnership proposals for marketplace partner growth.</w:t>
      </w:r>
    </w:p>
    <w:p>
      <w:pPr>
        <w:keepNext/>
        <w:spacing w:before="180" w:after="80"/>
        <w:outlineLvl w:val="2"/>
      </w:pPr>
      <w:r>
        <w:rPr>
          <w:rFonts w:ascii="Arial" w:hAnsi="Arial" w:cs="Arial"/>
          <w:b/>
          <w:i w:val="0"/>
          <w:color w:val="333333"/>
          <w:sz w:val="23"/>
        </w:rPr>
        <w:t>24.4.10 Completion Matrix &amp; Final Acceptance</w:t>
      </w:r>
    </w:p>
    <w:p>
      <w:pPr>
        <w:spacing w:after="80" w:line="293" w:lineRule="auto"/>
        <w:jc w:val="left"/>
      </w:pPr>
      <w:r>
        <w:rPr>
          <w:rFonts w:ascii="Times New Roman" w:hAnsi="Times New Roman" w:cs="Times New Roman"/>
          <w:b w:val="0"/>
          <w:i w:val="0"/>
          <w:sz w:val="22"/>
        </w:rPr>
        <w:t>The final system must maintain the FINAL_COMPLETENESS_MATRIX with, per subsystem: Implemented, Database, API, OpenAPI, UI, Governor, OPA, WasmEdge, Loom, Tested, Integrated, Production, Fallback, Admin Visible, Documentation, Owner, Status. No UNKNOWN is acceptable at final acceptance.</w:t>
      </w:r>
    </w:p>
    <w:p>
      <w:pPr>
        <w:spacing w:after="80" w:line="293" w:lineRule="auto"/>
        <w:jc w:val="left"/>
      </w:pPr>
      <w:r>
        <w:rPr>
          <w:rFonts w:ascii="Times New Roman" w:hAnsi="Times New Roman" w:cs="Times New Roman"/>
          <w:b w:val="0"/>
          <w:i w:val="0"/>
          <w:sz w:val="22"/>
        </w:rPr>
        <w:t>Acceptance criteria:</w:t>
      </w:r>
    </w:p>
    <w:p>
      <w:pPr>
        <w:spacing w:after="80" w:line="293" w:lineRule="auto"/>
        <w:ind w:left="283"/>
        <w:jc w:val="left"/>
      </w:pPr>
      <w:r>
        <w:rPr>
          <w:rFonts w:ascii="Times New Roman" w:hAnsi="Times New Roman" w:cs="Times New Roman"/>
          <w:b w:val="0"/>
          <w:i w:val="0"/>
          <w:sz w:val="22"/>
        </w:rPr>
        <w:t>- All constitutional gates enforced (Section 15).</w:t>
      </w:r>
    </w:p>
    <w:p>
      <w:pPr>
        <w:spacing w:after="80" w:line="293" w:lineRule="auto"/>
        <w:ind w:left="283"/>
        <w:jc w:val="left"/>
      </w:pPr>
      <w:r>
        <w:rPr>
          <w:rFonts w:ascii="Times New Roman" w:hAnsi="Times New Roman" w:cs="Times New Roman"/>
          <w:b w:val="0"/>
          <w:i w:val="0"/>
          <w:sz w:val="22"/>
        </w:rPr>
        <w:t>- The three canonical end-to-end fixtures green with canClose semantics.</w:t>
      </w:r>
    </w:p>
    <w:p>
      <w:pPr>
        <w:spacing w:after="80" w:line="293" w:lineRule="auto"/>
        <w:ind w:left="283"/>
        <w:jc w:val="left"/>
      </w:pPr>
      <w:r>
        <w:rPr>
          <w:rFonts w:ascii="Times New Roman" w:hAnsi="Times New Roman" w:cs="Times New Roman"/>
          <w:b w:val="0"/>
          <w:i w:val="0"/>
          <w:sz w:val="22"/>
        </w:rPr>
        <w:t>- State-integrity invariants (12) monitored with zero unhandled exceptions.</w:t>
      </w:r>
    </w:p>
    <w:p>
      <w:pPr>
        <w:spacing w:after="80" w:line="293" w:lineRule="auto"/>
        <w:ind w:left="283"/>
        <w:jc w:val="left"/>
      </w:pPr>
      <w:r>
        <w:rPr>
          <w:rFonts w:ascii="Times New Roman" w:hAnsi="Times New Roman" w:cs="Times New Roman"/>
          <w:b w:val="0"/>
          <w:i w:val="0"/>
          <w:sz w:val="22"/>
        </w:rPr>
        <w:t>- The 29-point constitution audited against implementation with sign-off by the Platform Governance Authority.</w:t>
      </w:r>
    </w:p>
    <w:p>
      <w:pPr>
        <w:spacing w:after="80" w:line="293" w:lineRule="auto"/>
        <w:ind w:left="283"/>
        <w:jc w:val="left"/>
      </w:pPr>
      <w:r>
        <w:rPr>
          <w:rFonts w:ascii="Times New Roman" w:hAnsi="Times New Roman" w:cs="Times New Roman"/>
          <w:b w:val="0"/>
          <w:i w:val="0"/>
          <w:sz w:val="22"/>
        </w:rPr>
        <w:t>- Production-readiness vocabulary applied honestly per external system (CORE_READY / PRODUCTION_CONNECTED /</w:t>
      </w:r>
    </w:p>
    <w:p>
      <w:pPr>
        <w:spacing w:after="80" w:line="293" w:lineRule="auto"/>
        <w:jc w:val="left"/>
      </w:pPr>
      <w:r>
        <w:rPr>
          <w:rFonts w:ascii="Times New Roman" w:hAnsi="Times New Roman" w:cs="Times New Roman"/>
          <w:b w:val="0"/>
          <w:i w:val="0"/>
          <w:sz w:val="22"/>
        </w:rPr>
        <w:t>LEGAL_AUTHORIZATION_REQUIRED — no integration claimed without four-dimensional evidence, Section 24.5).</w:t>
      </w:r>
    </w:p>
    <w:p>
      <w:pPr>
        <w:spacing w:after="80" w:line="293" w:lineRule="auto"/>
        <w:ind w:left="283"/>
        <w:jc w:val="left"/>
      </w:pPr>
      <w:r>
        <w:rPr>
          <w:rFonts w:ascii="Times New Roman" w:hAnsi="Times New Roman" w:cs="Times New Roman"/>
          <w:b w:val="0"/>
          <w:i w:val="0"/>
          <w:sz w:val="22"/>
        </w:rPr>
        <w:t>- Manual fallback paths tested under the same governance controls as automated paths.</w:t>
      </w:r>
    </w:p>
    <w:p>
      <w:pPr>
        <w:keepNext/>
        <w:spacing w:before="180" w:after="80"/>
        <w:outlineLvl w:val="2"/>
      </w:pPr>
      <w:r>
        <w:rPr>
          <w:rFonts w:ascii="Arial" w:hAnsi="Arial" w:cs="Arial"/>
          <w:b/>
          <w:i w:val="0"/>
          <w:color w:val="333333"/>
          <w:sz w:val="23"/>
        </w:rPr>
        <w:t>24.4.11 Mandatory Cross-Section Test Suite</w:t>
      </w:r>
    </w:p>
    <w:p>
      <w:pPr>
        <w:spacing w:after="80" w:line="293" w:lineRule="auto"/>
        <w:jc w:val="left"/>
      </w:pPr>
      <w:r>
        <w:rPr>
          <w:rFonts w:ascii="Times New Roman" w:hAnsi="Times New Roman" w:cs="Times New Roman"/>
          <w:b w:val="0"/>
          <w:i w:val="0"/>
          <w:sz w:val="22"/>
        </w:rPr>
        <w:t>The cross-section test suite is mandatory and covers every corrected semantic in this blueprint. The suite is executed in CI on every release candidate and its results are part of the final acceptance evidence (Section 24.4.10).</w:t>
      </w:r>
    </w:p>
    <w:p>
      <w:pPr>
        <w:spacing w:after="80" w:line="293" w:lineRule="auto"/>
        <w:jc w:val="left"/>
      </w:pPr>
      <w:r>
        <w:rPr>
          <w:rFonts w:ascii="Times New Roman" w:hAnsi="Times New Roman" w:cs="Times New Roman"/>
          <w:b w:val="0"/>
          <w:i w:val="0"/>
          <w:sz w:val="22"/>
        </w:rPr>
        <w:t>USTN tests: a trade request exists without a USTN; the USTN is generated at the authoritative lock; a pre-USTN mutation succeeds with the Request UUID; a post-USTN mutation requires the USTN; multi-shipment creates independent USTNs; no master USTN is ever created.</w:t>
      </w:r>
    </w:p>
    <w:p>
      <w:pPr>
        <w:spacing w:after="80" w:line="293" w:lineRule="auto"/>
        <w:jc w:val="left"/>
      </w:pPr>
      <w:r>
        <w:rPr>
          <w:rFonts w:ascii="Times New Roman" w:hAnsi="Times New Roman" w:cs="Times New Roman"/>
          <w:b w:val="0"/>
          <w:i w:val="0"/>
          <w:sz w:val="22"/>
        </w:rPr>
        <w:t>Fee tests: a fee estimate exists before lock; the fee obligation is finalized at lock; payment is bank-agnostic; authorization and settlement are distinct states; refund and reversal create new events; fee payment never represents trade settlement.</w:t>
      </w:r>
    </w:p>
    <w:p>
      <w:pPr>
        <w:spacing w:after="80" w:line="293" w:lineRule="auto"/>
        <w:jc w:val="left"/>
      </w:pPr>
      <w:r>
        <w:rPr>
          <w:rFonts w:ascii="Times New Roman" w:hAnsi="Times New Roman" w:cs="Times New Roman"/>
          <w:b w:val="0"/>
          <w:i w:val="0"/>
          <w:sz w:val="22"/>
        </w:rPr>
        <w:t>Financing tests: one financing exposure supports multiple allocations; co-financing works end-to-end; internal double-financing is blocked; external global prevention is never falsely asserted; a requested amount cannot exceed the controlled exposure; the CFR is conditional; the CFR is never treated as an executed financing agreement.</w:t>
      </w:r>
    </w:p>
    <w:p>
      <w:pPr>
        <w:spacing w:after="80" w:line="293" w:lineRule="auto"/>
        <w:jc w:val="left"/>
      </w:pPr>
      <w:r>
        <w:rPr>
          <w:rFonts w:ascii="Times New Roman" w:hAnsi="Times New Roman" w:cs="Times New Roman"/>
          <w:b w:val="0"/>
          <w:i w:val="0"/>
          <w:sz w:val="22"/>
        </w:rPr>
        <w:t>Incoterm and ERR tests: the Incoterm affects readiness; the Incoterm never automatically selects the borrower; the Incoterm never automatically approves financing; ERR returns candidate responsibility mappings; the actual financier policy remains authoritative.</w:t>
      </w:r>
    </w:p>
    <w:p>
      <w:pPr>
        <w:spacing w:after="80" w:line="293" w:lineRule="auto"/>
        <w:jc w:val="left"/>
      </w:pPr>
      <w:r>
        <w:rPr>
          <w:rFonts w:ascii="Times New Roman" w:hAnsi="Times New Roman" w:cs="Times New Roman"/>
          <w:b w:val="0"/>
          <w:i w:val="0"/>
          <w:sz w:val="22"/>
        </w:rPr>
        <w:t>Dependency-graph tests: booking and customs may proceed in parallel where the corridor allows; dependencies vary by corridor; optional dependency paths work; a blocked readiness node is explainable through the blocker model.</w:t>
      </w:r>
    </w:p>
    <w:p>
      <w:pPr>
        <w:spacing w:after="80" w:line="293" w:lineRule="auto"/>
        <w:jc w:val="left"/>
      </w:pPr>
      <w:r>
        <w:rPr>
          <w:rFonts w:ascii="Times New Roman" w:hAnsi="Times New Roman" w:cs="Times New Roman"/>
          <w:b w:val="0"/>
          <w:i w:val="0"/>
          <w:sz w:val="22"/>
        </w:rPr>
        <w:t>Dwell tests: the dwell clock starts from an authoritative event; free-time expiry is calculated; exposure can remain unresolved after settlement; closure blocks where policy requires.</w:t>
      </w:r>
    </w:p>
    <w:p>
      <w:pPr>
        <w:spacing w:after="80" w:line="293" w:lineRule="auto"/>
        <w:jc w:val="left"/>
      </w:pPr>
      <w:r>
        <w:rPr>
          <w:rFonts w:ascii="Times New Roman" w:hAnsi="Times New Roman" w:cs="Times New Roman"/>
          <w:b w:val="0"/>
          <w:i w:val="0"/>
          <w:sz w:val="22"/>
        </w:rPr>
        <w:t>Reconciliation tests: an internal/external mismatch creates a divergence case; the historical event remains immutable; correction creates a new event; an authoritative external confirmation resolves divergence; UNKNOWN is never treated as success.</w:t>
      </w:r>
    </w:p>
    <w:p>
      <w:pPr>
        <w:spacing w:after="80" w:line="293" w:lineRule="auto"/>
        <w:jc w:val="left"/>
      </w:pPr>
      <w:r>
        <w:rPr>
          <w:rFonts w:ascii="Times New Roman" w:hAnsi="Times New Roman" w:cs="Times New Roman"/>
          <w:b w:val="0"/>
          <w:i w:val="0"/>
          <w:sz w:val="22"/>
        </w:rPr>
        <w:t>Closure tests: settlement never implies closure; an unresolved dispute prevents closure where required; unresolved financial exposure prevents closure where required; evidence completeness is enforced; CLOSED is policy-derived.</w:t>
      </w:r>
    </w:p>
    <w:p>
      <w:pPr>
        <w:spacing w:after="80" w:line="293" w:lineRule="auto"/>
        <w:jc w:val="left"/>
      </w:pPr>
      <w:r>
        <w:rPr>
          <w:rFonts w:ascii="Times New Roman" w:hAnsi="Times New Roman" w:cs="Times New Roman"/>
          <w:b w:val="0"/>
          <w:i w:val="0"/>
          <w:sz w:val="22"/>
        </w:rPr>
        <w:t>Signature tests: platform multisig is distinct from tenant approval; tenant approval is distinct from trade-party signature; a QES-required transaction cannot silently use a fallback ordinary signature; a document version mismatch invalidates the signing cycle.</w:t>
      </w:r>
    </w:p>
    <w:p>
      <w:pPr>
        <w:keepNext/>
        <w:spacing w:before="180" w:after="80"/>
        <w:outlineLvl w:val="2"/>
      </w:pPr>
      <w:r>
        <w:rPr>
          <w:rFonts w:ascii="Arial" w:hAnsi="Arial" w:cs="Arial"/>
          <w:b/>
          <w:i w:val="0"/>
          <w:color w:val="333333"/>
          <w:sz w:val="23"/>
        </w:rPr>
        <w:t>24.4.12 Code-Level Audit Protocol &amp; Contradiction Matrix</w:t>
      </w:r>
    </w:p>
    <w:p>
      <w:pPr>
        <w:spacing w:after="80" w:line="293" w:lineRule="auto"/>
        <w:jc w:val="left"/>
      </w:pPr>
      <w:r>
        <w:rPr>
          <w:rFonts w:ascii="Times New Roman" w:hAnsi="Times New Roman" w:cs="Times New Roman"/>
          <w:b w:val="0"/>
          <w:i w:val="0"/>
          <w:sz w:val="22"/>
        </w:rPr>
        <w:t>Before implementing any change against this blueprint, the engineering team audits the entire repository for contradictory implementations. The audit searches application code, database schema, migrations, API contracts, workers, Temporal workflows, NATS consumers, event handlers, OPA policies, WasmEdge modules, frontend code, tests, documentation, seed data, fixtures, and examples for every occurrence of the canonical terms: USTN; transaction.status; contract.lock; contract_locked; fee; feepayment; FeeLock; financing; borrower; co-financing; Incoterm; CIF; CIP; DDP; booking; customs; demurrage; dwell; closure; CLOSED; settlement; reconciliation; multisig; QES; signature; Governor; OPA; WasmEdge; and AI authority. The audit does not stop after the first occurrence of a contradiction; every occurrence is catalogued.</w:t>
      </w:r>
    </w:p>
    <w:p>
      <w:pPr>
        <w:spacing w:after="80" w:line="293" w:lineRule="auto"/>
        <w:jc w:val="left"/>
      </w:pPr>
      <w:r>
        <w:rPr>
          <w:rFonts w:ascii="Times New Roman" w:hAnsi="Times New Roman" w:cs="Times New Roman"/>
          <w:b w:val="0"/>
          <w:i w:val="0"/>
          <w:sz w:val="22"/>
        </w:rPr>
        <w:t>The audit output is a contradiction matrix with one row per contradiction: the rule domain, the existing implementation, the canonical rule from this blueprint, and the action (fix, extend, harden, separate, or reconcile). Representative matrix shape: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Rule Domain</w:t>
            </w:r>
          </w:p>
        </w:tc>
        <w:tc>
          <w:tcPr>
            <w:tcW w:type="dxa" w:w="2409"/>
            <w:shd w:val="clear" w:fill="D9E2F3"/>
          </w:tcPr>
          <w:p>
            <w:pPr>
              <w:spacing w:after="20" w:before="20" w:line="240" w:lineRule="auto"/>
            </w:pPr>
            <w:r/>
            <w:r>
              <w:rPr>
                <w:rFonts w:ascii="Arial" w:hAnsi="Arial" w:cs="Arial"/>
                <w:b/>
                <w:i w:val="0"/>
                <w:sz w:val="18"/>
              </w:rPr>
              <w:t>Existing Implementation</w:t>
            </w:r>
          </w:p>
        </w:tc>
        <w:tc>
          <w:tcPr>
            <w:tcW w:type="dxa" w:w="2409"/>
            <w:shd w:val="clear" w:fill="D9E2F3"/>
          </w:tcPr>
          <w:p>
            <w:pPr>
              <w:spacing w:after="20" w:before="20" w:line="240" w:lineRule="auto"/>
            </w:pPr>
            <w:r/>
            <w:r>
              <w:rPr>
                <w:rFonts w:ascii="Arial" w:hAnsi="Arial" w:cs="Arial"/>
                <w:b/>
                <w:i w:val="0"/>
                <w:sz w:val="18"/>
              </w:rPr>
              <w:t>Canonical Rule</w:t>
            </w:r>
          </w:p>
        </w:tc>
        <w:tc>
          <w:tcPr>
            <w:tcW w:type="dxa" w:w="2409"/>
            <w:shd w:val="clear" w:fill="D9E2F3"/>
          </w:tcPr>
          <w:p>
            <w:pPr>
              <w:spacing w:after="20" w:before="20" w:line="240" w:lineRule="auto"/>
            </w:pPr>
            <w:r/>
            <w:r>
              <w:rPr>
                <w:rFonts w:ascii="Arial" w:hAnsi="Arial" w:cs="Arial"/>
                <w:b/>
                <w:i w:val="0"/>
                <w:sz w:val="18"/>
              </w:rPr>
              <w:t>Action</w:t>
            </w:r>
          </w:p>
        </w:tc>
      </w:tr>
      <w:tr>
        <w:tc>
          <w:tcPr>
            <w:tcW w:type="dxa" w:w="2409"/>
          </w:tcPr>
          <w:p>
            <w:pPr>
              <w:spacing w:after="20" w:before="20" w:line="240" w:lineRule="auto"/>
            </w:pPr>
            <w:r/>
            <w:r>
              <w:rPr>
                <w:rFonts w:ascii="Arial" w:hAnsi="Arial" w:cs="Arial"/>
                <w:b w:val="0"/>
                <w:i w:val="0"/>
                <w:sz w:val="17"/>
              </w:rPr>
              <w:t>USTN pre-request</w:t>
            </w:r>
          </w:p>
        </w:tc>
        <w:tc>
          <w:tcPr>
            <w:tcW w:type="dxa" w:w="2409"/>
          </w:tcPr>
          <w:p>
            <w:pPr>
              <w:spacing w:after="20" w:before="20" w:line="240" w:lineRule="auto"/>
            </w:pPr>
            <w:r/>
            <w:r>
              <w:rPr>
                <w:rFonts w:ascii="Arial" w:hAnsi="Arial" w:cs="Arial"/>
                <w:b w:val="0"/>
                <w:i w:val="0"/>
                <w:sz w:val="17"/>
              </w:rPr>
              <w:t>Conflicting</w:t>
            </w:r>
          </w:p>
        </w:tc>
        <w:tc>
          <w:tcPr>
            <w:tcW w:type="dxa" w:w="2409"/>
          </w:tcPr>
          <w:p>
            <w:pPr>
              <w:spacing w:after="20" w:before="20" w:line="240" w:lineRule="auto"/>
            </w:pPr>
            <w:r/>
            <w:r>
              <w:rPr>
                <w:rFonts w:ascii="Arial" w:hAnsi="Arial" w:cs="Arial"/>
                <w:b w:val="0"/>
                <w:i w:val="0"/>
                <w:sz w:val="17"/>
              </w:rPr>
              <w:t>A request may exist without a USTN (Section 5.1.16)</w:t>
            </w:r>
          </w:p>
        </w:tc>
        <w:tc>
          <w:tcPr>
            <w:tcW w:type="dxa" w:w="2409"/>
          </w:tcPr>
          <w:p>
            <w:pPr>
              <w:spacing w:after="20" w:before="20" w:line="240" w:lineRule="auto"/>
            </w:pPr>
            <w:r/>
            <w:r>
              <w:rPr>
                <w:rFonts w:ascii="Arial" w:hAnsi="Arial" w:cs="Arial"/>
                <w:b w:val="0"/>
                <w:i w:val="0"/>
                <w:sz w:val="17"/>
              </w:rPr>
              <w:t>fix</w:t>
            </w:r>
          </w:p>
        </w:tc>
      </w:tr>
      <w:tr>
        <w:tc>
          <w:tcPr>
            <w:tcW w:type="dxa" w:w="2409"/>
          </w:tcPr>
          <w:p>
            <w:pPr>
              <w:spacing w:after="20" w:before="20" w:line="240" w:lineRule="auto"/>
            </w:pPr>
            <w:r/>
            <w:r>
              <w:rPr>
                <w:rFonts w:ascii="Arial" w:hAnsi="Arial" w:cs="Arial"/>
                <w:b w:val="0"/>
                <w:i w:val="0"/>
                <w:sz w:val="17"/>
              </w:rPr>
              <w:t>Fee before lock</w:t>
            </w:r>
          </w:p>
        </w:tc>
        <w:tc>
          <w:tcPr>
            <w:tcW w:type="dxa" w:w="2409"/>
          </w:tcPr>
          <w:p>
            <w:pPr>
              <w:spacing w:after="20" w:before="20" w:line="240" w:lineRule="auto"/>
            </w:pPr>
            <w:r/>
            <w:r>
              <w:rPr>
                <w:rFonts w:ascii="Arial" w:hAnsi="Arial" w:cs="Arial"/>
                <w:b w:val="0"/>
                <w:i w:val="0"/>
                <w:sz w:val="17"/>
              </w:rPr>
              <w:t>Conflicting</w:t>
            </w:r>
          </w:p>
        </w:tc>
        <w:tc>
          <w:tcPr>
            <w:tcW w:type="dxa" w:w="2409"/>
          </w:tcPr>
          <w:p>
            <w:pPr>
              <w:spacing w:after="20" w:before="20" w:line="240" w:lineRule="auto"/>
            </w:pPr>
            <w:r/>
            <w:r>
              <w:rPr>
                <w:rFonts w:ascii="Arial" w:hAnsi="Arial" w:cs="Arial"/>
                <w:b w:val="0"/>
                <w:i w:val="0"/>
                <w:sz w:val="17"/>
              </w:rPr>
              <w:t>Fee obligation finalized at lock (Section 9.29.1)</w:t>
            </w:r>
          </w:p>
        </w:tc>
        <w:tc>
          <w:tcPr>
            <w:tcW w:type="dxa" w:w="2409"/>
          </w:tcPr>
          <w:p>
            <w:pPr>
              <w:spacing w:after="20" w:before="20" w:line="240" w:lineRule="auto"/>
            </w:pPr>
            <w:r/>
            <w:r>
              <w:rPr>
                <w:rFonts w:ascii="Arial" w:hAnsi="Arial" w:cs="Arial"/>
                <w:b w:val="0"/>
                <w:i w:val="0"/>
                <w:sz w:val="17"/>
              </w:rPr>
              <w:t>fix</w:t>
            </w:r>
          </w:p>
        </w:tc>
      </w:tr>
      <w:tr>
        <w:tc>
          <w:tcPr>
            <w:tcW w:type="dxa" w:w="2409"/>
          </w:tcPr>
          <w:p>
            <w:pPr>
              <w:spacing w:after="20" w:before="20" w:line="240" w:lineRule="auto"/>
            </w:pPr>
            <w:r/>
            <w:r>
              <w:rPr>
                <w:rFonts w:ascii="Arial" w:hAnsi="Arial" w:cs="Arial"/>
                <w:b w:val="0"/>
                <w:i w:val="0"/>
                <w:sz w:val="17"/>
              </w:rPr>
              <w:t>One financing per USTN</w:t>
            </w:r>
          </w:p>
        </w:tc>
        <w:tc>
          <w:tcPr>
            <w:tcW w:type="dxa" w:w="2409"/>
          </w:tcPr>
          <w:p>
            <w:pPr>
              <w:spacing w:after="20" w:before="20" w:line="240" w:lineRule="auto"/>
            </w:pPr>
            <w:r/>
            <w:r>
              <w:rPr>
                <w:rFonts w:ascii="Arial" w:hAnsi="Arial" w:cs="Arial"/>
                <w:b w:val="0"/>
                <w:i w:val="0"/>
                <w:sz w:val="17"/>
              </w:rPr>
              <w:t>Conflicts with co-financing</w:t>
            </w:r>
          </w:p>
        </w:tc>
        <w:tc>
          <w:tcPr>
            <w:tcW w:type="dxa" w:w="2409"/>
          </w:tcPr>
          <w:p>
            <w:pPr>
              <w:spacing w:after="20" w:before="20" w:line="240" w:lineRule="auto"/>
            </w:pPr>
            <w:r/>
            <w:r>
              <w:rPr>
                <w:rFonts w:ascii="Arial" w:hAnsi="Arial" w:cs="Arial"/>
                <w:b w:val="0"/>
                <w:i w:val="0"/>
                <w:sz w:val="17"/>
              </w:rPr>
              <w:t>Exposure + allocations (Section 10.23.1)</w:t>
            </w:r>
          </w:p>
        </w:tc>
        <w:tc>
          <w:tcPr>
            <w:tcW w:type="dxa" w:w="2409"/>
          </w:tcPr>
          <w:p>
            <w:pPr>
              <w:spacing w:after="20" w:before="20" w:line="240" w:lineRule="auto"/>
            </w:pPr>
            <w:r/>
            <w:r>
              <w:rPr>
                <w:rFonts w:ascii="Arial" w:hAnsi="Arial" w:cs="Arial"/>
                <w:b w:val="0"/>
                <w:i w:val="0"/>
                <w:sz w:val="17"/>
              </w:rPr>
              <w:t>fix</w:t>
            </w:r>
          </w:p>
        </w:tc>
      </w:tr>
      <w:tr>
        <w:tc>
          <w:tcPr>
            <w:tcW w:type="dxa" w:w="2409"/>
          </w:tcPr>
          <w:p>
            <w:pPr>
              <w:spacing w:after="20" w:before="20" w:line="240" w:lineRule="auto"/>
            </w:pPr>
            <w:r/>
            <w:r>
              <w:rPr>
                <w:rFonts w:ascii="Arial" w:hAnsi="Arial" w:cs="Arial"/>
                <w:b w:val="0"/>
                <w:i w:val="0"/>
                <w:sz w:val="17"/>
              </w:rPr>
              <w:t>Incoterm determines borrower</w:t>
            </w:r>
          </w:p>
        </w:tc>
        <w:tc>
          <w:tcPr>
            <w:tcW w:type="dxa" w:w="2409"/>
          </w:tcPr>
          <w:p>
            <w:pPr>
              <w:spacing w:after="20" w:before="20" w:line="240" w:lineRule="auto"/>
            </w:pPr>
            <w:r/>
            <w:r>
              <w:rPr>
                <w:rFonts w:ascii="Arial" w:hAnsi="Arial" w:cs="Arial"/>
                <w:b w:val="0"/>
                <w:i w:val="0"/>
                <w:sz w:val="17"/>
              </w:rPr>
              <w:t>Unsafe</w:t>
            </w:r>
          </w:p>
        </w:tc>
        <w:tc>
          <w:tcPr>
            <w:tcW w:type="dxa" w:w="2409"/>
          </w:tcPr>
          <w:p>
            <w:pPr>
              <w:spacing w:after="20" w:before="20" w:line="240" w:lineRule="auto"/>
            </w:pPr>
            <w:r/>
            <w:r>
              <w:rPr>
                <w:rFonts w:ascii="Arial" w:hAnsi="Arial" w:cs="Arial"/>
                <w:b w:val="0"/>
                <w:i w:val="0"/>
                <w:sz w:val="17"/>
              </w:rPr>
              <w:t>Incoterm informs responsibility only (Section 10.43.1)</w:t>
            </w:r>
          </w:p>
        </w:tc>
        <w:tc>
          <w:tcPr>
            <w:tcW w:type="dxa" w:w="2409"/>
          </w:tcPr>
          <w:p>
            <w:pPr>
              <w:spacing w:after="20" w:before="20" w:line="240" w:lineRule="auto"/>
            </w:pPr>
            <w:r/>
            <w:r>
              <w:rPr>
                <w:rFonts w:ascii="Arial" w:hAnsi="Arial" w:cs="Arial"/>
                <w:b w:val="0"/>
                <w:i w:val="0"/>
                <w:sz w:val="17"/>
              </w:rPr>
              <w:t>fix</w:t>
            </w:r>
          </w:p>
        </w:tc>
      </w:tr>
      <w:tr>
        <w:tc>
          <w:tcPr>
            <w:tcW w:type="dxa" w:w="2409"/>
          </w:tcPr>
          <w:p>
            <w:pPr>
              <w:spacing w:after="20" w:before="20" w:line="240" w:lineRule="auto"/>
            </w:pPr>
            <w:r/>
            <w:r>
              <w:rPr>
                <w:rFonts w:ascii="Arial" w:hAnsi="Arial" w:cs="Arial"/>
                <w:b w:val="0"/>
                <w:i w:val="0"/>
                <w:sz w:val="17"/>
              </w:rPr>
              <w:t>Booking/customs sequence</w:t>
            </w:r>
          </w:p>
        </w:tc>
        <w:tc>
          <w:tcPr>
            <w:tcW w:type="dxa" w:w="2409"/>
          </w:tcPr>
          <w:p>
            <w:pPr>
              <w:spacing w:after="20" w:before="20" w:line="240" w:lineRule="auto"/>
            </w:pPr>
            <w:r/>
            <w:r>
              <w:rPr>
                <w:rFonts w:ascii="Arial" w:hAnsi="Arial" w:cs="Arial"/>
                <w:b w:val="0"/>
                <w:i w:val="0"/>
                <w:sz w:val="17"/>
              </w:rPr>
              <w:t>Over-rigid</w:t>
            </w:r>
          </w:p>
        </w:tc>
        <w:tc>
          <w:tcPr>
            <w:tcW w:type="dxa" w:w="2409"/>
          </w:tcPr>
          <w:p>
            <w:pPr>
              <w:spacing w:after="20" w:before="20" w:line="240" w:lineRule="auto"/>
            </w:pPr>
            <w:r/>
            <w:r>
              <w:rPr>
                <w:rFonts w:ascii="Arial" w:hAnsi="Arial" w:cs="Arial"/>
                <w:b w:val="0"/>
                <w:i w:val="0"/>
                <w:sz w:val="17"/>
              </w:rPr>
              <w:t>Dependency graph (Section 19.67.1)</w:t>
            </w:r>
          </w:p>
        </w:tc>
        <w:tc>
          <w:tcPr>
            <w:tcW w:type="dxa" w:w="2409"/>
          </w:tcPr>
          <w:p>
            <w:pPr>
              <w:spacing w:after="20" w:before="20" w:line="240" w:lineRule="auto"/>
            </w:pPr>
            <w:r/>
            <w:r>
              <w:rPr>
                <w:rFonts w:ascii="Arial" w:hAnsi="Arial" w:cs="Arial"/>
                <w:b w:val="0"/>
                <w:i w:val="0"/>
                <w:sz w:val="17"/>
              </w:rPr>
              <w:t>fix</w:t>
            </w:r>
          </w:p>
        </w:tc>
      </w:tr>
      <w:tr>
        <w:tc>
          <w:tcPr>
            <w:tcW w:type="dxa" w:w="2409"/>
          </w:tcPr>
          <w:p>
            <w:pPr>
              <w:spacing w:after="20" w:before="20" w:line="240" w:lineRule="auto"/>
            </w:pPr>
            <w:r/>
            <w:r>
              <w:rPr>
                <w:rFonts w:ascii="Arial" w:hAnsi="Arial" w:cs="Arial"/>
                <w:b w:val="0"/>
                <w:i w:val="0"/>
                <w:sz w:val="17"/>
              </w:rPr>
              <w:t>Dwell</w:t>
            </w:r>
          </w:p>
        </w:tc>
        <w:tc>
          <w:tcPr>
            <w:tcW w:type="dxa" w:w="2409"/>
          </w:tcPr>
          <w:p>
            <w:pPr>
              <w:spacing w:after="20" w:before="20" w:line="240" w:lineRule="auto"/>
            </w:pPr>
            <w:r/>
            <w:r>
              <w:rPr>
                <w:rFonts w:ascii="Arial" w:hAnsi="Arial" w:cs="Arial"/>
                <w:b w:val="0"/>
                <w:i w:val="0"/>
                <w:sz w:val="17"/>
              </w:rPr>
              <w:t>Partial</w:t>
            </w:r>
          </w:p>
        </w:tc>
        <w:tc>
          <w:tcPr>
            <w:tcW w:type="dxa" w:w="2409"/>
          </w:tcPr>
          <w:p>
            <w:pPr>
              <w:spacing w:after="20" w:before="20" w:line="240" w:lineRule="auto"/>
            </w:pPr>
            <w:r/>
            <w:r>
              <w:rPr>
                <w:rFonts w:ascii="Arial" w:hAnsi="Arial" w:cs="Arial"/>
                <w:b w:val="0"/>
                <w:i w:val="0"/>
                <w:sz w:val="17"/>
              </w:rPr>
              <w:t>Exposure clock (Section 22.4.10)</w:t>
            </w:r>
          </w:p>
        </w:tc>
        <w:tc>
          <w:tcPr>
            <w:tcW w:type="dxa" w:w="2409"/>
          </w:tcPr>
          <w:p>
            <w:pPr>
              <w:spacing w:after="20" w:before="20" w:line="240" w:lineRule="auto"/>
            </w:pPr>
            <w:r/>
            <w:r>
              <w:rPr>
                <w:rFonts w:ascii="Arial" w:hAnsi="Arial" w:cs="Arial"/>
                <w:b w:val="0"/>
                <w:i w:val="0"/>
                <w:sz w:val="17"/>
              </w:rPr>
              <w:t>extend</w:t>
            </w:r>
          </w:p>
        </w:tc>
      </w:tr>
      <w:tr>
        <w:tc>
          <w:tcPr>
            <w:tcW w:type="dxa" w:w="2409"/>
          </w:tcPr>
          <w:p>
            <w:pPr>
              <w:spacing w:after="20" w:before="20" w:line="240" w:lineRule="auto"/>
            </w:pPr>
            <w:r/>
            <w:r>
              <w:rPr>
                <w:rFonts w:ascii="Arial" w:hAnsi="Arial" w:cs="Arial"/>
                <w:b w:val="0"/>
                <w:i w:val="0"/>
                <w:sz w:val="17"/>
              </w:rPr>
              <w:t>Compliance cache</w:t>
            </w:r>
          </w:p>
        </w:tc>
        <w:tc>
          <w:tcPr>
            <w:tcW w:type="dxa" w:w="2409"/>
          </w:tcPr>
          <w:p>
            <w:pPr>
              <w:spacing w:after="20" w:before="20" w:line="240" w:lineRule="auto"/>
            </w:pPr>
            <w:r/>
            <w:r>
              <w:rPr>
                <w:rFonts w:ascii="Arial" w:hAnsi="Arial" w:cs="Arial"/>
                <w:b w:val="0"/>
                <w:i w:val="0"/>
                <w:sz w:val="17"/>
              </w:rPr>
              <w:t>Stale-risk</w:t>
            </w:r>
          </w:p>
        </w:tc>
        <w:tc>
          <w:tcPr>
            <w:tcW w:type="dxa" w:w="2409"/>
          </w:tcPr>
          <w:p>
            <w:pPr>
              <w:spacing w:after="20" w:before="20" w:line="240" w:lineRule="auto"/>
            </w:pPr>
            <w:r/>
            <w:r>
              <w:rPr>
                <w:rFonts w:ascii="Arial" w:hAnsi="Arial" w:cs="Arial"/>
                <w:b w:val="0"/>
                <w:i w:val="0"/>
                <w:sz w:val="17"/>
              </w:rPr>
              <w:t>Authoritative outbox pipeline (Section 6.3)</w:t>
            </w:r>
          </w:p>
        </w:tc>
        <w:tc>
          <w:tcPr>
            <w:tcW w:type="dxa" w:w="2409"/>
          </w:tcPr>
          <w:p>
            <w:pPr>
              <w:spacing w:after="20" w:before="20" w:line="240" w:lineRule="auto"/>
            </w:pPr>
            <w:r/>
            <w:r>
              <w:rPr>
                <w:rFonts w:ascii="Arial" w:hAnsi="Arial" w:cs="Arial"/>
                <w:b w:val="0"/>
                <w:i w:val="0"/>
                <w:sz w:val="17"/>
              </w:rPr>
              <w:t>harden</w:t>
            </w:r>
          </w:p>
        </w:tc>
      </w:tr>
      <w:tr>
        <w:tc>
          <w:tcPr>
            <w:tcW w:type="dxa" w:w="2409"/>
          </w:tcPr>
          <w:p>
            <w:pPr>
              <w:spacing w:after="20" w:before="20" w:line="240" w:lineRule="auto"/>
            </w:pPr>
            <w:r/>
            <w:r>
              <w:rPr>
                <w:rFonts w:ascii="Arial" w:hAnsi="Arial" w:cs="Arial"/>
                <w:b w:val="0"/>
                <w:i w:val="0"/>
                <w:sz w:val="17"/>
              </w:rPr>
              <w:t>Signatures</w:t>
            </w:r>
          </w:p>
        </w:tc>
        <w:tc>
          <w:tcPr>
            <w:tcW w:type="dxa" w:w="2409"/>
          </w:tcPr>
          <w:p>
            <w:pPr>
              <w:spacing w:after="20" w:before="20" w:line="240" w:lineRule="auto"/>
            </w:pPr>
            <w:r/>
            <w:r>
              <w:rPr>
                <w:rFonts w:ascii="Arial" w:hAnsi="Arial" w:cs="Arial"/>
                <w:b w:val="0"/>
                <w:i w:val="0"/>
                <w:sz w:val="17"/>
              </w:rPr>
              <w:t>Conflated</w:t>
            </w:r>
          </w:p>
        </w:tc>
        <w:tc>
          <w:tcPr>
            <w:tcW w:type="dxa" w:w="2409"/>
          </w:tcPr>
          <w:p>
            <w:pPr>
              <w:spacing w:after="20" w:before="20" w:line="240" w:lineRule="auto"/>
            </w:pPr>
            <w:r/>
            <w:r>
              <w:rPr>
                <w:rFonts w:ascii="Arial" w:hAnsi="Arial" w:cs="Arial"/>
                <w:b w:val="0"/>
                <w:i w:val="0"/>
                <w:sz w:val="17"/>
              </w:rPr>
              <w:t>Three authority domains (Section 9.24.1)</w:t>
            </w:r>
          </w:p>
        </w:tc>
        <w:tc>
          <w:tcPr>
            <w:tcW w:type="dxa" w:w="2409"/>
          </w:tcPr>
          <w:p>
            <w:pPr>
              <w:spacing w:after="20" w:before="20" w:line="240" w:lineRule="auto"/>
            </w:pPr>
            <w:r/>
            <w:r>
              <w:rPr>
                <w:rFonts w:ascii="Arial" w:hAnsi="Arial" w:cs="Arial"/>
                <w:b w:val="0"/>
                <w:i w:val="0"/>
                <w:sz w:val="17"/>
              </w:rPr>
              <w:t>separate</w:t>
            </w:r>
          </w:p>
        </w:tc>
      </w:tr>
      <w:tr>
        <w:tc>
          <w:tcPr>
            <w:tcW w:type="dxa" w:w="2409"/>
          </w:tcPr>
          <w:p>
            <w:pPr>
              <w:spacing w:after="20" w:before="20" w:line="240" w:lineRule="auto"/>
            </w:pPr>
            <w:r/>
            <w:r>
              <w:rPr>
                <w:rFonts w:ascii="Arial" w:hAnsi="Arial" w:cs="Arial"/>
                <w:b w:val="0"/>
                <w:i w:val="0"/>
                <w:sz w:val="17"/>
              </w:rPr>
              <w:t>Closure</w:t>
            </w:r>
          </w:p>
        </w:tc>
        <w:tc>
          <w:tcPr>
            <w:tcW w:type="dxa" w:w="2409"/>
          </w:tcPr>
          <w:p>
            <w:pPr>
              <w:spacing w:after="20" w:before="20" w:line="240" w:lineRule="auto"/>
            </w:pPr>
            <w:r/>
            <w:r>
              <w:rPr>
                <w:rFonts w:ascii="Arial" w:hAnsi="Arial" w:cs="Arial"/>
                <w:b w:val="0"/>
                <w:i w:val="0"/>
                <w:sz w:val="17"/>
              </w:rPr>
              <w:t>Partly linear</w:t>
            </w:r>
          </w:p>
        </w:tc>
        <w:tc>
          <w:tcPr>
            <w:tcW w:type="dxa" w:w="2409"/>
          </w:tcPr>
          <w:p>
            <w:pPr>
              <w:spacing w:after="20" w:before="20" w:line="240" w:lineRule="auto"/>
            </w:pPr>
            <w:r/>
            <w:r>
              <w:rPr>
                <w:rFonts w:ascii="Arial" w:hAnsi="Arial" w:cs="Arial"/>
                <w:b w:val="0"/>
                <w:i w:val="0"/>
                <w:sz w:val="17"/>
              </w:rPr>
              <w:t>Policy-derived state (Section 5.10)</w:t>
            </w:r>
          </w:p>
        </w:tc>
        <w:tc>
          <w:tcPr>
            <w:tcW w:type="dxa" w:w="2409"/>
          </w:tcPr>
          <w:p>
            <w:pPr>
              <w:spacing w:after="20" w:before="20" w:line="240" w:lineRule="auto"/>
            </w:pPr>
            <w:r/>
            <w:r>
              <w:rPr>
                <w:rFonts w:ascii="Arial" w:hAnsi="Arial" w:cs="Arial"/>
                <w:b w:val="0"/>
                <w:i w:val="0"/>
                <w:sz w:val="17"/>
              </w:rPr>
              <w:t>reconcile</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Legacy conflicts are never left silently active and never patched around. The canonical discipline for any conflicting legacy implementation is: identify, migrate, replace, test, document — in that order, with migrations following Section 24.4.1. There is exactly one canonical semantic rule per domain (constitutional Point 35); where legacy fields are replaced, the migration creates the mapping, introduces a compatibility projection where necessary, deprecates the conflicting field, and updates APIs, UI, documentation, and tests. A legacy field that allows contradictory state to be written is never preserved.</w:t>
      </w:r>
    </w:p>
    <w:p>
      <w:pPr>
        <w:keepNext/>
        <w:spacing w:before="180" w:after="80"/>
        <w:outlineLvl w:val="2"/>
      </w:pPr>
      <w:r>
        <w:rPr>
          <w:rFonts w:ascii="Arial" w:hAnsi="Arial" w:cs="Arial"/>
          <w:b/>
          <w:i w:val="0"/>
          <w:color w:val="333333"/>
          <w:sz w:val="23"/>
        </w:rPr>
        <w:t>24.4.13 L1–L4 Final Semantic Validation</w:t>
      </w:r>
    </w:p>
    <w:p>
      <w:pPr>
        <w:spacing w:after="80" w:line="293" w:lineRule="auto"/>
        <w:jc w:val="left"/>
      </w:pPr>
      <w:r>
        <w:rPr>
          <w:rFonts w:ascii="Times New Roman" w:hAnsi="Times New Roman" w:cs="Times New Roman"/>
          <w:b w:val="0"/>
          <w:i w:val="0"/>
          <w:sz w:val="22"/>
        </w:rPr>
        <w:t>After implementation, every release candidate undergoes complete semantic end-to-end validation on four levels: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Level</w:t>
            </w:r>
          </w:p>
        </w:tc>
        <w:tc>
          <w:tcPr>
            <w:tcW w:type="dxa" w:w="3213"/>
            <w:shd w:val="clear" w:fill="D9E2F3"/>
          </w:tcPr>
          <w:p>
            <w:pPr>
              <w:spacing w:after="20" w:before="20" w:line="240" w:lineRule="auto"/>
            </w:pPr>
            <w:r/>
            <w:r>
              <w:rPr>
                <w:rFonts w:ascii="Arial" w:hAnsi="Arial" w:cs="Arial"/>
                <w:b/>
                <w:i w:val="0"/>
                <w:sz w:val="18"/>
              </w:rPr>
              <w:t>Validation</w:t>
            </w:r>
          </w:p>
        </w:tc>
        <w:tc>
          <w:tcPr>
            <w:tcW w:type="dxa" w:w="3213"/>
            <w:shd w:val="clear" w:fill="D9E2F3"/>
          </w:tcPr>
          <w:p>
            <w:pPr>
              <w:spacing w:after="20" w:before="20" w:line="240" w:lineRule="auto"/>
            </w:pPr>
            <w:r/>
            <w:r>
              <w:rPr>
                <w:rFonts w:ascii="Arial" w:hAnsi="Arial" w:cs="Arial"/>
                <w:b/>
                <w:i w:val="0"/>
                <w:sz w:val="18"/>
              </w:rPr>
              <w:t>Content</w:t>
            </w:r>
          </w:p>
        </w:tc>
      </w:tr>
      <w:tr>
        <w:tc>
          <w:tcPr>
            <w:tcW w:type="dxa" w:w="3213"/>
          </w:tcPr>
          <w:p>
            <w:pPr>
              <w:spacing w:after="20" w:before="20" w:line="240" w:lineRule="auto"/>
            </w:pPr>
            <w:r/>
            <w:r>
              <w:rPr>
                <w:rFonts w:ascii="Arial" w:hAnsi="Arial" w:cs="Arial"/>
                <w:b w:val="0"/>
                <w:i w:val="0"/>
                <w:sz w:val="17"/>
              </w:rPr>
              <w:t>L1</w:t>
            </w:r>
          </w:p>
        </w:tc>
        <w:tc>
          <w:tcPr>
            <w:tcW w:type="dxa" w:w="3213"/>
          </w:tcPr>
          <w:p>
            <w:pPr>
              <w:spacing w:after="20" w:before="20" w:line="240" w:lineRule="auto"/>
            </w:pPr>
            <w:r/>
            <w:r>
              <w:rPr>
                <w:rFonts w:ascii="Arial" w:hAnsi="Arial" w:cs="Arial"/>
                <w:b w:val="0"/>
                <w:i w:val="0"/>
                <w:sz w:val="17"/>
              </w:rPr>
              <w:t>Existence</w:t>
            </w:r>
          </w:p>
        </w:tc>
        <w:tc>
          <w:tcPr>
            <w:tcW w:type="dxa" w:w="3213"/>
          </w:tcPr>
          <w:p>
            <w:pPr>
              <w:spacing w:after="20" w:before="20" w:line="240" w:lineRule="auto"/>
            </w:pPr>
            <w:r/>
            <w:r>
              <w:rPr>
                <w:rFonts w:ascii="Arial" w:hAnsi="Arial" w:cs="Arial"/>
                <w:b w:val="0"/>
                <w:i w:val="0"/>
                <w:sz w:val="17"/>
              </w:rPr>
              <w:t>Every entity, event, endpoint, and gate defined in this blueprint exists in the implementation</w:t>
            </w:r>
          </w:p>
        </w:tc>
      </w:tr>
      <w:tr>
        <w:tc>
          <w:tcPr>
            <w:tcW w:type="dxa" w:w="3213"/>
          </w:tcPr>
          <w:p>
            <w:pPr>
              <w:spacing w:after="20" w:before="20" w:line="240" w:lineRule="auto"/>
            </w:pPr>
            <w:r/>
            <w:r>
              <w:rPr>
                <w:rFonts w:ascii="Arial" w:hAnsi="Arial" w:cs="Arial"/>
                <w:b w:val="0"/>
                <w:i w:val="0"/>
                <w:sz w:val="17"/>
              </w:rPr>
              <w:t>L2</w:t>
            </w:r>
          </w:p>
        </w:tc>
        <w:tc>
          <w:tcPr>
            <w:tcW w:type="dxa" w:w="3213"/>
          </w:tcPr>
          <w:p>
            <w:pPr>
              <w:spacing w:after="20" w:before="20" w:line="240" w:lineRule="auto"/>
            </w:pPr>
            <w:r/>
            <w:r>
              <w:rPr>
                <w:rFonts w:ascii="Arial" w:hAnsi="Arial" w:cs="Arial"/>
                <w:b w:val="0"/>
                <w:i w:val="0"/>
                <w:sz w:val="17"/>
              </w:rPr>
              <w:t>Referential integrity</w:t>
            </w:r>
          </w:p>
        </w:tc>
        <w:tc>
          <w:tcPr>
            <w:tcW w:type="dxa" w:w="3213"/>
          </w:tcPr>
          <w:p>
            <w:pPr>
              <w:spacing w:after="20" w:before="20" w:line="240" w:lineRule="auto"/>
            </w:pPr>
            <w:r/>
            <w:r>
              <w:rPr>
                <w:rFonts w:ascii="Arial" w:hAnsi="Arial" w:cs="Arial"/>
                <w:b w:val="0"/>
                <w:i w:val="0"/>
                <w:sz w:val="17"/>
              </w:rPr>
              <w:t>Every cross-reference resolves: identities, events, evidence, obligations, allocations, and reconciliation cases</w:t>
            </w:r>
          </w:p>
        </w:tc>
      </w:tr>
      <w:tr>
        <w:tc>
          <w:tcPr>
            <w:tcW w:type="dxa" w:w="3213"/>
          </w:tcPr>
          <w:p>
            <w:pPr>
              <w:spacing w:after="20" w:before="20" w:line="240" w:lineRule="auto"/>
            </w:pPr>
            <w:r/>
            <w:r>
              <w:rPr>
                <w:rFonts w:ascii="Arial" w:hAnsi="Arial" w:cs="Arial"/>
                <w:b w:val="0"/>
                <w:i w:val="0"/>
                <w:sz w:val="17"/>
              </w:rPr>
              <w:t>L3</w:t>
            </w:r>
          </w:p>
        </w:tc>
        <w:tc>
          <w:tcPr>
            <w:tcW w:type="dxa" w:w="3213"/>
          </w:tcPr>
          <w:p>
            <w:pPr>
              <w:spacing w:after="20" w:before="20" w:line="240" w:lineRule="auto"/>
            </w:pPr>
            <w:r/>
            <w:r>
              <w:rPr>
                <w:rFonts w:ascii="Arial" w:hAnsi="Arial" w:cs="Arial"/>
                <w:b w:val="0"/>
                <w:i w:val="0"/>
                <w:sz w:val="17"/>
              </w:rPr>
              <w:t>State integrity</w:t>
            </w:r>
          </w:p>
        </w:tc>
        <w:tc>
          <w:tcPr>
            <w:tcW w:type="dxa" w:w="3213"/>
          </w:tcPr>
          <w:p>
            <w:pPr>
              <w:spacing w:after="20" w:before="20" w:line="240" w:lineRule="auto"/>
            </w:pPr>
            <w:r/>
            <w:r>
              <w:rPr>
                <w:rFonts w:ascii="Arial" w:hAnsi="Arial" w:cs="Arial"/>
                <w:b w:val="0"/>
                <w:i w:val="0"/>
                <w:sz w:val="17"/>
              </w:rPr>
              <w:t>The state vector, event spine, projections, and invariants I-01–I-20 hold across every fixture</w:t>
            </w:r>
          </w:p>
        </w:tc>
      </w:tr>
      <w:tr>
        <w:tc>
          <w:tcPr>
            <w:tcW w:type="dxa" w:w="3213"/>
          </w:tcPr>
          <w:p>
            <w:pPr>
              <w:spacing w:after="20" w:before="20" w:line="240" w:lineRule="auto"/>
            </w:pPr>
            <w:r/>
            <w:r>
              <w:rPr>
                <w:rFonts w:ascii="Arial" w:hAnsi="Arial" w:cs="Arial"/>
                <w:b w:val="0"/>
                <w:i w:val="0"/>
                <w:sz w:val="17"/>
              </w:rPr>
              <w:t>L4</w:t>
            </w:r>
          </w:p>
        </w:tc>
        <w:tc>
          <w:tcPr>
            <w:tcW w:type="dxa" w:w="3213"/>
          </w:tcPr>
          <w:p>
            <w:pPr>
              <w:spacing w:after="20" w:before="20" w:line="240" w:lineRule="auto"/>
            </w:pPr>
            <w:r/>
            <w:r>
              <w:rPr>
                <w:rFonts w:ascii="Arial" w:hAnsi="Arial" w:cs="Arial"/>
                <w:b w:val="0"/>
                <w:i w:val="0"/>
                <w:sz w:val="17"/>
              </w:rPr>
              <w:t>Constitutional authorization</w:t>
            </w:r>
          </w:p>
        </w:tc>
        <w:tc>
          <w:tcPr>
            <w:tcW w:type="dxa" w:w="3213"/>
          </w:tcPr>
          <w:p>
            <w:pPr>
              <w:spacing w:after="20" w:before="20" w:line="240" w:lineRule="auto"/>
            </w:pPr>
            <w:r/>
            <w:r>
              <w:rPr>
                <w:rFonts w:ascii="Arial" w:hAnsi="Arial" w:cs="Arial"/>
                <w:b w:val="0"/>
                <w:i w:val="0"/>
                <w:sz w:val="17"/>
              </w:rPr>
              <w:t>Every irreversible action passed the Governor under the correct authority domains and signature classes</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Beyond L1–L4, the validation proves: USTN integrity (identity model invariants); financial integrity (payment states match external confirmations); authority integrity (every external fact carries authority metadata); reconciliation integrity (divergences resolve only through governed events); exposure integrity (allocations reconcile to exposures); and closure completeness (all closure conditions independently represented and evaluated).</w:t>
      </w:r>
    </w:p>
    <w:p>
      <w:pPr>
        <w:spacing w:after="80" w:line="293" w:lineRule="auto"/>
        <w:jc w:val="left"/>
      </w:pPr>
      <w:r>
        <w:rPr>
          <w:rFonts w:ascii="Times New Roman" w:hAnsi="Times New Roman" w:cs="Times New Roman"/>
          <w:b w:val="0"/>
          <w:i w:val="0"/>
          <w:sz w:val="22"/>
        </w:rPr>
        <w:t>A transaction is never reported as production-complete merely because individual service tests pass. Production completeness requires the semantic E2E validator (Section 20.103) to pass the three canonical E2E fixtures (Section 20.104) with the production-readiness vocabulary of Section 20.107 satisfied.</w:t>
      </w:r>
    </w:p>
    <w:p>
      <w:pPr>
        <w:keepNext/>
        <w:spacing w:before="240" w:after="100"/>
        <w:outlineLvl w:val="1"/>
      </w:pPr>
      <w:r>
        <w:rPr>
          <w:rFonts w:ascii="Arial" w:hAnsi="Arial" w:cs="Arial"/>
          <w:b/>
          <w:i w:val="0"/>
          <w:color w:val="2E528F"/>
          <w:sz w:val="26"/>
        </w:rPr>
        <w:t>24.5 External Readiness Scorecard</w:t>
      </w:r>
    </w:p>
    <w:p>
      <w:pPr>
        <w:spacing w:after="80" w:line="293" w:lineRule="auto"/>
        <w:jc w:val="left"/>
      </w:pPr>
      <w:r>
        <w:rPr>
          <w:rFonts w:ascii="Times New Roman" w:hAnsi="Times New Roman" w:cs="Times New Roman"/>
          <w:b w:val="0"/>
          <w:i w:val="0"/>
          <w:sz w:val="22"/>
        </w:rPr>
        <w:t>Every external integration reports readiness across 4 independent dimensions; "Connected" requires ALL FOUR. This is the deployment-state discipline behind CORE_READY, PRODUCTION_CONNECTED, and LEGAL_AUTHORIZATION_REQUIRED: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fill="D9E2F3"/>
          </w:tcPr>
          <w:p>
            <w:pPr>
              <w:spacing w:after="20" w:before="20" w:line="240" w:lineRule="auto"/>
            </w:pPr>
            <w:r/>
            <w:r>
              <w:rPr>
                <w:rFonts w:ascii="Arial" w:hAnsi="Arial" w:cs="Arial"/>
                <w:b/>
                <w:i w:val="0"/>
                <w:sz w:val="18"/>
              </w:rPr>
              <w:t>Dimension</w:t>
            </w:r>
          </w:p>
        </w:tc>
        <w:tc>
          <w:tcPr>
            <w:tcW w:type="dxa" w:w="2409"/>
            <w:shd w:val="clear" w:fill="D9E2F3"/>
          </w:tcPr>
          <w:p>
            <w:pPr>
              <w:spacing w:after="20" w:before="20" w:line="240" w:lineRule="auto"/>
            </w:pPr>
            <w:r/>
            <w:r>
              <w:rPr>
                <w:rFonts w:ascii="Arial" w:hAnsi="Arial" w:cs="Arial"/>
                <w:b/>
                <w:i w:val="0"/>
                <w:sz w:val="18"/>
              </w:rPr>
              <w:t>Question</w:t>
            </w:r>
          </w:p>
        </w:tc>
        <w:tc>
          <w:tcPr>
            <w:tcW w:type="dxa" w:w="2409"/>
            <w:shd w:val="clear" w:fill="D9E2F3"/>
          </w:tcPr>
          <w:p>
            <w:pPr>
              <w:spacing w:after="20" w:before="20" w:line="240" w:lineRule="auto"/>
            </w:pPr>
            <w:r/>
            <w:r>
              <w:rPr>
                <w:rFonts w:ascii="Arial" w:hAnsi="Arial" w:cs="Arial"/>
                <w:b/>
                <w:i w:val="0"/>
                <w:sz w:val="18"/>
              </w:rPr>
              <w:t>Evidence Required</w:t>
            </w:r>
          </w:p>
        </w:tc>
        <w:tc>
          <w:tcPr>
            <w:tcW w:type="dxa" w:w="2409"/>
            <w:shd w:val="clear" w:fill="D9E2F3"/>
          </w:tcPr>
          <w:p>
            <w:pPr>
              <w:spacing w:after="20" w:before="20" w:line="240" w:lineRule="auto"/>
            </w:pPr>
            <w:r/>
            <w:r>
              <w:rPr>
                <w:rFonts w:ascii="Arial" w:hAnsi="Arial" w:cs="Arial"/>
                <w:b/>
                <w:i w:val="0"/>
                <w:sz w:val="18"/>
              </w:rPr>
              <w:t>Current Platform Status</w:t>
            </w:r>
          </w:p>
        </w:tc>
      </w:tr>
      <w:tr>
        <w:tc>
          <w:tcPr>
            <w:tcW w:type="dxa" w:w="2409"/>
          </w:tcPr>
          <w:p>
            <w:pPr>
              <w:spacing w:after="20" w:before="20" w:line="240" w:lineRule="auto"/>
            </w:pPr>
            <w:r/>
            <w:r>
              <w:rPr>
                <w:rFonts w:ascii="Arial" w:hAnsi="Arial" w:cs="Arial"/>
                <w:b w:val="0"/>
                <w:i w:val="0"/>
                <w:sz w:val="17"/>
              </w:rPr>
              <w:t>TECHNICAL</w:t>
            </w:r>
          </w:p>
        </w:tc>
        <w:tc>
          <w:tcPr>
            <w:tcW w:type="dxa" w:w="2409"/>
          </w:tcPr>
          <w:p>
            <w:pPr>
              <w:spacing w:after="20" w:before="20" w:line="240" w:lineRule="auto"/>
            </w:pPr>
            <w:r/>
            <w:r>
              <w:rPr>
                <w:rFonts w:ascii="Arial" w:hAnsi="Arial" w:cs="Arial"/>
                <w:b w:val="0"/>
                <w:i w:val="0"/>
                <w:sz w:val="17"/>
              </w:rPr>
              <w:t>Is the API/EDI integration working?</w:t>
            </w:r>
          </w:p>
        </w:tc>
        <w:tc>
          <w:tcPr>
            <w:tcW w:type="dxa" w:w="2409"/>
          </w:tcPr>
          <w:p>
            <w:pPr>
              <w:spacing w:after="20" w:before="20" w:line="240" w:lineRule="auto"/>
            </w:pPr>
            <w:r/>
            <w:r>
              <w:rPr>
                <w:rFonts w:ascii="Arial" w:hAnsi="Arial" w:cs="Arial"/>
                <w:b w:val="0"/>
                <w:i w:val="0"/>
                <w:sz w:val="17"/>
              </w:rPr>
              <w:t>API response logs, successful test transactions, CORE_READY uptime metrics</w:t>
            </w:r>
          </w:p>
        </w:tc>
        <w:tc>
          <w:tcPr>
            <w:tcW w:type="dxa" w:w="2409"/>
          </w:tcPr>
          <w:p>
            <w:pPr>
              <w:spacing w:after="20" w:before="20" w:line="240" w:lineRule="auto"/>
            </w:pPr>
            <w:r/>
            <w:r>
              <w:rPr>
                <w:rFonts w:ascii="Arial" w:hAnsi="Arial" w:cs="Arial"/>
                <w:b w:val="0"/>
                <w:i w:val="0"/>
                <w:sz w:val="17"/>
              </w:rPr>
              <w:t>CORE_READY (APIs implemented + tested)</w:t>
            </w:r>
          </w:p>
        </w:tc>
      </w:tr>
      <w:tr>
        <w:tc>
          <w:tcPr>
            <w:tcW w:type="dxa" w:w="2409"/>
          </w:tcPr>
          <w:p>
            <w:pPr>
              <w:spacing w:after="20" w:before="20" w:line="240" w:lineRule="auto"/>
            </w:pPr>
            <w:r/>
            <w:r>
              <w:rPr>
                <w:rFonts w:ascii="Arial" w:hAnsi="Arial" w:cs="Arial"/>
                <w:b w:val="0"/>
                <w:i w:val="0"/>
                <w:sz w:val="17"/>
              </w:rPr>
              <w:t>LEGAL</w:t>
            </w:r>
          </w:p>
        </w:tc>
        <w:tc>
          <w:tcPr>
            <w:tcW w:type="dxa" w:w="2409"/>
          </w:tcPr>
          <w:p>
            <w:pPr>
              <w:spacing w:after="20" w:before="20" w:line="240" w:lineRule="auto"/>
            </w:pPr>
            <w:r/>
            <w:r>
              <w:rPr>
                <w:rFonts w:ascii="Arial" w:hAnsi="Arial" w:cs="Arial"/>
                <w:b w:val="0"/>
                <w:i w:val="0"/>
                <w:sz w:val="17"/>
              </w:rPr>
              <w:t>Are contracts/agreements signed?</w:t>
            </w:r>
          </w:p>
        </w:tc>
        <w:tc>
          <w:tcPr>
            <w:tcW w:type="dxa" w:w="2409"/>
          </w:tcPr>
          <w:p>
            <w:pPr>
              <w:spacing w:after="20" w:before="20" w:line="240" w:lineRule="auto"/>
            </w:pPr>
            <w:r/>
            <w:r>
              <w:rPr>
                <w:rFonts w:ascii="Arial" w:hAnsi="Arial" w:cs="Arial"/>
                <w:b w:val="0"/>
                <w:i w:val="0"/>
                <w:sz w:val="17"/>
              </w:rPr>
              <w:t>Signed legal agreement, data processing agreement, NDA</w:t>
            </w:r>
          </w:p>
        </w:tc>
        <w:tc>
          <w:tcPr>
            <w:tcW w:type="dxa" w:w="2409"/>
          </w:tcPr>
          <w:p>
            <w:pPr>
              <w:spacing w:after="20" w:before="20" w:line="240" w:lineRule="auto"/>
            </w:pPr>
            <w:r/>
            <w:r>
              <w:rPr>
                <w:rFonts w:ascii="Arial" w:hAnsi="Arial" w:cs="Arial"/>
                <w:b w:val="0"/>
                <w:i w:val="0"/>
                <w:sz w:val="17"/>
              </w:rPr>
              <w:t>LEGAL_AUTHORIZATION_REQUIRED (contracts pending)</w:t>
            </w:r>
          </w:p>
        </w:tc>
      </w:tr>
      <w:tr>
        <w:tc>
          <w:tcPr>
            <w:tcW w:type="dxa" w:w="2409"/>
          </w:tcPr>
          <w:p>
            <w:pPr>
              <w:spacing w:after="20" w:before="20" w:line="240" w:lineRule="auto"/>
            </w:pPr>
            <w:r/>
            <w:r>
              <w:rPr>
                <w:rFonts w:ascii="Arial" w:hAnsi="Arial" w:cs="Arial"/>
                <w:b w:val="0"/>
                <w:i w:val="0"/>
                <w:sz w:val="17"/>
              </w:rPr>
              <w:t>OPERATIONAL</w:t>
            </w:r>
          </w:p>
        </w:tc>
        <w:tc>
          <w:tcPr>
            <w:tcW w:type="dxa" w:w="2409"/>
          </w:tcPr>
          <w:p>
            <w:pPr>
              <w:spacing w:after="20" w:before="20" w:line="240" w:lineRule="auto"/>
            </w:pPr>
            <w:r/>
            <w:r>
              <w:rPr>
                <w:rFonts w:ascii="Arial" w:hAnsi="Arial" w:cs="Arial"/>
                <w:b w:val="0"/>
                <w:i w:val="0"/>
                <w:sz w:val="17"/>
              </w:rPr>
              <w:t>Are procedures tested and documented?</w:t>
            </w:r>
          </w:p>
        </w:tc>
        <w:tc>
          <w:tcPr>
            <w:tcW w:type="dxa" w:w="2409"/>
          </w:tcPr>
          <w:p>
            <w:pPr>
              <w:spacing w:after="20" w:before="20" w:line="240" w:lineRule="auto"/>
            </w:pPr>
            <w:r/>
            <w:r>
              <w:rPr>
                <w:rFonts w:ascii="Arial" w:hAnsi="Arial" w:cs="Arial"/>
                <w:b w:val="0"/>
                <w:i w:val="0"/>
                <w:sz w:val="17"/>
              </w:rPr>
              <w:t>Runbook, trained operators, tested failure scenarios</w:t>
            </w:r>
          </w:p>
        </w:tc>
        <w:tc>
          <w:tcPr>
            <w:tcW w:type="dxa" w:w="2409"/>
          </w:tcPr>
          <w:p>
            <w:pPr>
              <w:spacing w:after="20" w:before="20" w:line="240" w:lineRule="auto"/>
            </w:pPr>
            <w:r/>
            <w:r>
              <w:rPr>
                <w:rFonts w:ascii="Arial" w:hAnsi="Arial" w:cs="Arial"/>
                <w:b w:val="0"/>
                <w:i w:val="0"/>
                <w:sz w:val="17"/>
              </w:rPr>
              <w:t>CORE_READY (runbooks + test suite)</w:t>
            </w:r>
          </w:p>
        </w:tc>
      </w:tr>
      <w:tr>
        <w:tc>
          <w:tcPr>
            <w:tcW w:type="dxa" w:w="2409"/>
          </w:tcPr>
          <w:p>
            <w:pPr>
              <w:spacing w:after="20" w:before="20" w:line="240" w:lineRule="auto"/>
            </w:pPr>
            <w:r/>
            <w:r>
              <w:rPr>
                <w:rFonts w:ascii="Arial" w:hAnsi="Arial" w:cs="Arial"/>
                <w:b w:val="0"/>
                <w:i w:val="0"/>
                <w:sz w:val="17"/>
              </w:rPr>
              <w:t>COMMERCIAL</w:t>
            </w:r>
          </w:p>
        </w:tc>
        <w:tc>
          <w:tcPr>
            <w:tcW w:type="dxa" w:w="2409"/>
          </w:tcPr>
          <w:p>
            <w:pPr>
              <w:spacing w:after="20" w:before="20" w:line="240" w:lineRule="auto"/>
            </w:pPr>
            <w:r/>
            <w:r>
              <w:rPr>
                <w:rFonts w:ascii="Arial" w:hAnsi="Arial" w:cs="Arial"/>
                <w:b w:val="0"/>
                <w:i w:val="0"/>
                <w:sz w:val="17"/>
              </w:rPr>
              <w:t>Are fees and commercial terms agreed?</w:t>
            </w:r>
          </w:p>
        </w:tc>
        <w:tc>
          <w:tcPr>
            <w:tcW w:type="dxa" w:w="2409"/>
          </w:tcPr>
          <w:p>
            <w:pPr>
              <w:spacing w:after="20" w:before="20" w:line="240" w:lineRule="auto"/>
            </w:pPr>
            <w:r/>
            <w:r>
              <w:rPr>
                <w:rFonts w:ascii="Arial" w:hAnsi="Arial" w:cs="Arial"/>
                <w:b w:val="0"/>
                <w:i w:val="0"/>
                <w:sz w:val="17"/>
              </w:rPr>
              <w:t>Signed commercial agreement, fee schedule, SLA</w:t>
            </w:r>
          </w:p>
        </w:tc>
        <w:tc>
          <w:tcPr>
            <w:tcW w:type="dxa" w:w="2409"/>
          </w:tcPr>
          <w:p>
            <w:pPr>
              <w:spacing w:after="20" w:before="20" w:line="240" w:lineRule="auto"/>
            </w:pPr>
            <w:r/>
            <w:r>
              <w:rPr>
                <w:rFonts w:ascii="Arial" w:hAnsi="Arial" w:cs="Arial"/>
                <w:b w:val="0"/>
                <w:i w:val="0"/>
                <w:sz w:val="17"/>
              </w:rPr>
              <w:t>LEGAL_AUTHORIZATION_REQUIRED (commercial terms pending)</w:t>
            </w:r>
          </w:p>
        </w:tc>
      </w:tr>
    </w:tbl>
    <w:p>
      <w:pPr>
        <w:spacing w:after="120"/>
      </w:pPr>
      <w:r>
        <w:rPr>
          <w:rFonts w:ascii="Times New Roman" w:hAnsi="Times New Roman" w:cs="Times New Roman"/>
          <w:b w:val="0"/>
          <w:i w:val="0"/>
          <w:sz w:val="4"/>
        </w:rPr>
        <w:t xml:space="preserve"> </w:t>
      </w:r>
    </w:p>
    <w:p>
      <w:pPr>
        <w:spacing w:after="80" w:line="293" w:lineRule="auto"/>
        <w:jc w:val="left"/>
      </w:pPr>
      <w:r>
        <w:rPr>
          <w:rFonts w:ascii="Times New Roman" w:hAnsi="Times New Roman" w:cs="Times New Roman"/>
          <w:b w:val="0"/>
          <w:i w:val="0"/>
          <w:sz w:val="22"/>
        </w:rPr>
        <w:t>Deployment-state definitions:</w:t>
      </w:r>
    </w:p>
    <w:p>
      <w:pPr>
        <w:spacing w:after="80" w:line="293" w:lineRule="auto"/>
        <w:ind w:left="283"/>
        <w:jc w:val="left"/>
      </w:pPr>
      <w:r>
        <w:rPr>
          <w:rFonts w:ascii="Times New Roman" w:hAnsi="Times New Roman" w:cs="Times New Roman"/>
          <w:b w:val="0"/>
          <w:i w:val="0"/>
          <w:sz w:val="22"/>
        </w:rPr>
        <w:t>- CORE_READY — implemented, tested, passes the adversarial test suite.</w:t>
      </w:r>
    </w:p>
    <w:p>
      <w:pPr>
        <w:spacing w:after="80" w:line="293" w:lineRule="auto"/>
        <w:ind w:left="283"/>
        <w:jc w:val="left"/>
      </w:pPr>
      <w:r>
        <w:rPr>
          <w:rFonts w:ascii="Times New Roman" w:hAnsi="Times New Roman" w:cs="Times New Roman"/>
          <w:b w:val="0"/>
          <w:i w:val="0"/>
          <w:sz w:val="22"/>
        </w:rPr>
        <w:t>- PRODUCTION_CONNECTED — live production integration active with all 4 readiness dimensions (TECHNICAL, LEGAL,</w:t>
      </w:r>
    </w:p>
    <w:p>
      <w:pPr>
        <w:spacing w:after="80" w:line="293" w:lineRule="auto"/>
        <w:jc w:val="left"/>
      </w:pPr>
      <w:r>
        <w:rPr>
          <w:rFonts w:ascii="Times New Roman" w:hAnsi="Times New Roman" w:cs="Times New Roman"/>
          <w:b w:val="0"/>
          <w:i w:val="0"/>
          <w:sz w:val="22"/>
        </w:rPr>
        <w:t>OPERATIONAL, COMMERCIAL).</w:t>
      </w:r>
    </w:p>
    <w:p>
      <w:pPr>
        <w:spacing w:after="80" w:line="293" w:lineRule="auto"/>
        <w:ind w:left="283"/>
        <w:jc w:val="left"/>
      </w:pPr>
      <w:r>
        <w:rPr>
          <w:rFonts w:ascii="Times New Roman" w:hAnsi="Times New Roman" w:cs="Times New Roman"/>
          <w:b w:val="0"/>
          <w:i w:val="0"/>
          <w:sz w:val="22"/>
        </w:rPr>
        <w:t>- LEGAL_AUTHORIZATION_REQUIRED — technical ready, awaiting legal/regulatory approval.</w:t>
      </w:r>
    </w:p>
    <w:p>
      <w:pPr>
        <w:spacing w:after="80" w:line="293" w:lineRule="auto"/>
        <w:jc w:val="left"/>
      </w:pPr>
      <w:r>
        <w:rPr>
          <w:rFonts w:ascii="Times New Roman" w:hAnsi="Times New Roman" w:cs="Times New Roman"/>
          <w:b w:val="0"/>
          <w:i w:val="0"/>
          <w:sz w:val="22"/>
        </w:rPr>
        <w:t>The same scorecard governs the 28-add-on status matrix (Section 22): each add-on reports its per-dimension state, and an add-on is described as connected only when all four dimensions are evidenced. No external integration or add-on may be described as live without four-dimensional evidence.</w:t>
      </w:r>
    </w:p>
    <w:p>
      <w:pPr>
        <w:keepNext/>
        <w:spacing w:before="240" w:after="100"/>
        <w:outlineLvl w:val="1"/>
      </w:pPr>
      <w:r>
        <w:rPr>
          <w:rFonts w:ascii="Arial" w:hAnsi="Arial" w:cs="Arial"/>
          <w:b/>
          <w:i w:val="0"/>
          <w:color w:val="2E528F"/>
          <w:sz w:val="26"/>
        </w:rPr>
        <w:t>24.6 Zero-Cost Implementation Checklist</w:t>
      </w:r>
    </w:p>
    <w:p>
      <w:pPr>
        <w:spacing w:after="80" w:line="293" w:lineRule="auto"/>
        <w:jc w:val="left"/>
      </w:pPr>
      <w:r>
        <w:rPr>
          <w:rFonts w:ascii="Times New Roman" w:hAnsi="Times New Roman" w:cs="Times New Roman"/>
          <w:b w:val="0"/>
          <w:i w:val="0"/>
          <w:sz w:val="22"/>
        </w:rPr>
        <w:t>The roadmap itself runs on zero-cost infrastructure; every item below uses self-hosted, open-source tooling only.</w:t>
      </w:r>
    </w:p>
    <w:p>
      <w:pPr>
        <w:spacing w:after="80" w:line="293" w:lineRule="auto"/>
        <w:jc w:val="left"/>
      </w:pPr>
      <w:r>
        <w:rPr>
          <w:rFonts w:ascii="Times New Roman" w:hAnsi="Times New Roman" w:cs="Times New Roman"/>
          <w:b w:val="0"/>
          <w:i w:val="0"/>
          <w:sz w:val="22"/>
        </w:rPr>
        <w:t>Project management infrastructure:</w:t>
      </w:r>
    </w:p>
    <w:p>
      <w:pPr>
        <w:spacing w:after="80" w:line="293" w:lineRule="auto"/>
        <w:ind w:left="283"/>
        <w:jc w:val="left"/>
      </w:pPr>
      <w:r>
        <w:rPr>
          <w:rFonts w:ascii="Times New Roman" w:hAnsi="Times New Roman" w:cs="Times New Roman"/>
          <w:b w:val="0"/>
          <w:i w:val="0"/>
          <w:sz w:val="22"/>
        </w:rPr>
        <w:t>- Set up self-hosted project management (Gitea + Drone + Taiga).</w:t>
      </w:r>
    </w:p>
    <w:p>
      <w:pPr>
        <w:spacing w:after="80" w:line="293" w:lineRule="auto"/>
        <w:ind w:left="283"/>
        <w:jc w:val="left"/>
      </w:pPr>
      <w:r>
        <w:rPr>
          <w:rFonts w:ascii="Times New Roman" w:hAnsi="Times New Roman" w:cs="Times New Roman"/>
          <w:b w:val="0"/>
          <w:i w:val="0"/>
          <w:sz w:val="22"/>
        </w:rPr>
        <w:t>- Configure the CI/CD pipeline with canary deployments.</w:t>
      </w:r>
    </w:p>
    <w:p>
      <w:pPr>
        <w:spacing w:after="80" w:line="293" w:lineRule="auto"/>
        <w:ind w:left="283"/>
        <w:jc w:val="left"/>
      </w:pPr>
      <w:r>
        <w:rPr>
          <w:rFonts w:ascii="Times New Roman" w:hAnsi="Times New Roman" w:cs="Times New Roman"/>
          <w:b w:val="0"/>
          <w:i w:val="0"/>
          <w:sz w:val="22"/>
        </w:rPr>
        <w:t>- Deploy the Project Oracle agent (Rig + XGBoost).</w:t>
      </w:r>
    </w:p>
    <w:p>
      <w:pPr>
        <w:spacing w:after="80" w:line="293" w:lineRule="auto"/>
        <w:jc w:val="left"/>
      </w:pPr>
      <w:r>
        <w:rPr>
          <w:rFonts w:ascii="Times New Roman" w:hAnsi="Times New Roman" w:cs="Times New Roman"/>
          <w:b w:val="0"/>
          <w:i w:val="0"/>
          <w:sz w:val="22"/>
        </w:rPr>
        <w:t>Predictive scaling:</w:t>
      </w:r>
    </w:p>
    <w:p>
      <w:pPr>
        <w:spacing w:after="80" w:line="293" w:lineRule="auto"/>
        <w:ind w:left="283"/>
        <w:jc w:val="left"/>
      </w:pPr>
      <w:r>
        <w:rPr>
          <w:rFonts w:ascii="Times New Roman" w:hAnsi="Times New Roman" w:cs="Times New Roman"/>
          <w:b w:val="0"/>
          <w:i w:val="0"/>
          <w:sz w:val="22"/>
        </w:rPr>
        <w:t>- Enable the Predictive Scaling Engine (LSTM model).</w:t>
      </w:r>
    </w:p>
    <w:p>
      <w:pPr>
        <w:spacing w:after="80" w:line="293" w:lineRule="auto"/>
        <w:ind w:left="283"/>
        <w:jc w:val="left"/>
      </w:pPr>
      <w:r>
        <w:rPr>
          <w:rFonts w:ascii="Times New Roman" w:hAnsi="Times New Roman" w:cs="Times New Roman"/>
          <w:b w:val="0"/>
          <w:i w:val="0"/>
          <w:sz w:val="22"/>
        </w:rPr>
        <w:t>- Train on historical resource usage data.</w:t>
      </w:r>
    </w:p>
    <w:p>
      <w:pPr>
        <w:spacing w:after="80" w:line="293" w:lineRule="auto"/>
        <w:ind w:left="283"/>
        <w:jc w:val="left"/>
      </w:pPr>
      <w:r>
        <w:rPr>
          <w:rFonts w:ascii="Times New Roman" w:hAnsi="Times New Roman" w:cs="Times New Roman"/>
          <w:b w:val="0"/>
          <w:i w:val="0"/>
          <w:sz w:val="22"/>
        </w:rPr>
        <w:t>- Integrate with Ansible for automated provisioning.</w:t>
      </w:r>
    </w:p>
    <w:p>
      <w:pPr>
        <w:spacing w:after="80" w:line="293" w:lineRule="auto"/>
        <w:jc w:val="left"/>
      </w:pPr>
      <w:r>
        <w:rPr>
          <w:rFonts w:ascii="Times New Roman" w:hAnsi="Times New Roman" w:cs="Times New Roman"/>
          <w:b w:val="0"/>
          <w:i w:val="0"/>
          <w:sz w:val="22"/>
        </w:rPr>
        <w:t>Hardware failure prediction:</w:t>
      </w:r>
    </w:p>
    <w:p>
      <w:pPr>
        <w:spacing w:after="80" w:line="293" w:lineRule="auto"/>
        <w:ind w:left="283"/>
        <w:jc w:val="left"/>
      </w:pPr>
      <w:r>
        <w:rPr>
          <w:rFonts w:ascii="Times New Roman" w:hAnsi="Times New Roman" w:cs="Times New Roman"/>
          <w:b w:val="0"/>
          <w:i w:val="0"/>
          <w:sz w:val="22"/>
        </w:rPr>
        <w:t>- Train the hardware failure model (Backblaze dataset).</w:t>
      </w:r>
    </w:p>
    <w:p>
      <w:pPr>
        <w:spacing w:after="80" w:line="293" w:lineRule="auto"/>
        <w:ind w:left="283"/>
        <w:jc w:val="left"/>
      </w:pPr>
      <w:r>
        <w:rPr>
          <w:rFonts w:ascii="Times New Roman" w:hAnsi="Times New Roman" w:cs="Times New Roman"/>
          <w:b w:val="0"/>
          <w:i w:val="0"/>
          <w:sz w:val="22"/>
        </w:rPr>
        <w:t>- Integrate with inventory management.</w:t>
      </w:r>
    </w:p>
    <w:p>
      <w:pPr>
        <w:spacing w:after="80" w:line="293" w:lineRule="auto"/>
        <w:ind w:left="283"/>
        <w:jc w:val="left"/>
      </w:pPr>
      <w:r>
        <w:rPr>
          <w:rFonts w:ascii="Times New Roman" w:hAnsi="Times New Roman" w:cs="Times New Roman"/>
          <w:b w:val="0"/>
          <w:i w:val="0"/>
          <w:sz w:val="22"/>
        </w:rPr>
        <w:t>- Set up maintenance scheduling.</w:t>
      </w:r>
    </w:p>
    <w:p>
      <w:pPr>
        <w:spacing w:after="80" w:line="293" w:lineRule="auto"/>
        <w:jc w:val="left"/>
      </w:pPr>
      <w:r>
        <w:rPr>
          <w:rFonts w:ascii="Times New Roman" w:hAnsi="Times New Roman" w:cs="Times New Roman"/>
          <w:b w:val="0"/>
          <w:i w:val="0"/>
          <w:sz w:val="22"/>
        </w:rPr>
        <w:t>Compliance roadmap:</w:t>
      </w:r>
    </w:p>
    <w:p>
      <w:pPr>
        <w:spacing w:after="80" w:line="293" w:lineRule="auto"/>
        <w:ind w:left="283"/>
        <w:jc w:val="left"/>
      </w:pPr>
      <w:r>
        <w:rPr>
          <w:rFonts w:ascii="Times New Roman" w:hAnsi="Times New Roman" w:cs="Times New Roman"/>
          <w:b w:val="0"/>
          <w:i w:val="0"/>
          <w:sz w:val="22"/>
        </w:rPr>
        <w:t>- Deploy the compliance roadmap agent (RIA extension).</w:t>
      </w:r>
    </w:p>
    <w:p>
      <w:pPr>
        <w:spacing w:after="80" w:line="293" w:lineRule="auto"/>
        <w:ind w:left="283"/>
        <w:jc w:val="left"/>
      </w:pPr>
      <w:r>
        <w:rPr>
          <w:rFonts w:ascii="Times New Roman" w:hAnsi="Times New Roman" w:cs="Times New Roman"/>
          <w:b w:val="0"/>
          <w:i w:val="0"/>
          <w:sz w:val="22"/>
        </w:rPr>
        <w:t>- Create the Gitea integration for compliance milestones.</w:t>
      </w:r>
    </w:p>
    <w:p>
      <w:pPr>
        <w:spacing w:after="80" w:line="293" w:lineRule="auto"/>
        <w:ind w:left="283"/>
        <w:jc w:val="left"/>
      </w:pPr>
      <w:r>
        <w:rPr>
          <w:rFonts w:ascii="Times New Roman" w:hAnsi="Times New Roman" w:cs="Times New Roman"/>
          <w:b w:val="0"/>
          <w:i w:val="0"/>
          <w:sz w:val="22"/>
        </w:rPr>
        <w:t>- Set up Smart Inbox alerts for regulatory changes.</w:t>
      </w:r>
    </w:p>
    <w:p>
      <w:pPr>
        <w:spacing w:after="80" w:line="293" w:lineRule="auto"/>
        <w:jc w:val="left"/>
      </w:pPr>
      <w:r>
        <w:rPr>
          <w:rFonts w:ascii="Times New Roman" w:hAnsi="Times New Roman" w:cs="Times New Roman"/>
          <w:b w:val="0"/>
          <w:i w:val="0"/>
          <w:sz w:val="22"/>
        </w:rPr>
        <w:t>Reporting:</w:t>
      </w:r>
    </w:p>
    <w:p>
      <w:pPr>
        <w:spacing w:after="80" w:line="293" w:lineRule="auto"/>
        <w:ind w:left="283"/>
        <w:jc w:val="left"/>
      </w:pPr>
      <w:r>
        <w:rPr>
          <w:rFonts w:ascii="Times New Roman" w:hAnsi="Times New Roman" w:cs="Times New Roman"/>
          <w:b w:val="0"/>
          <w:i w:val="0"/>
          <w:sz w:val="22"/>
        </w:rPr>
        <w:t>- Build the Grafana dashboard with all sections.</w:t>
      </w:r>
    </w:p>
    <w:p>
      <w:pPr>
        <w:spacing w:after="80" w:line="293" w:lineRule="auto"/>
        <w:ind w:left="283"/>
        <w:jc w:val="left"/>
      </w:pPr>
      <w:r>
        <w:rPr>
          <w:rFonts w:ascii="Times New Roman" w:hAnsi="Times New Roman" w:cs="Times New Roman"/>
          <w:b w:val="0"/>
          <w:i w:val="0"/>
          <w:sz w:val="22"/>
        </w:rPr>
        <w:t>- Generate the first AI board summary using Groq.</w:t>
      </w:r>
    </w:p>
    <w:p>
      <w:pPr>
        <w:spacing w:after="80" w:line="293" w:lineRule="auto"/>
        <w:ind w:left="283"/>
        <w:jc w:val="left"/>
      </w:pPr>
      <w:r>
        <w:rPr>
          <w:rFonts w:ascii="Times New Roman" w:hAnsi="Times New Roman" w:cs="Times New Roman"/>
          <w:b w:val="0"/>
          <w:i w:val="0"/>
          <w:sz w:val="22"/>
        </w:rPr>
        <w:t>- Verify tenant experience KPIs are being collected.</w:t>
      </w:r>
    </w:p>
    <w:p>
      <w:pPr>
        <w:spacing w:after="80" w:line="293" w:lineRule="auto"/>
        <w:jc w:val="left"/>
      </w:pPr>
      <w:r>
        <w:rPr>
          <w:rFonts w:ascii="Times New Roman" w:hAnsi="Times New Roman" w:cs="Times New Roman"/>
          <w:b w:val="0"/>
          <w:i w:val="0"/>
          <w:sz w:val="22"/>
        </w:rPr>
        <w:t>Geographic expansion:</w:t>
      </w:r>
    </w:p>
    <w:p>
      <w:pPr>
        <w:spacing w:after="80" w:line="293" w:lineRule="auto"/>
        <w:ind w:left="283"/>
        <w:jc w:val="left"/>
      </w:pPr>
      <w:r>
        <w:rPr>
          <w:rFonts w:ascii="Times New Roman" w:hAnsi="Times New Roman" w:cs="Times New Roman"/>
          <w:b w:val="0"/>
          <w:i w:val="0"/>
          <w:sz w:val="22"/>
        </w:rPr>
        <w:t>- Deploy the Dynamic Geographic Expansion Optimizer (A2).</w:t>
      </w:r>
    </w:p>
    <w:p>
      <w:pPr>
        <w:spacing w:after="80" w:line="293" w:lineRule="auto"/>
        <w:ind w:left="283"/>
        <w:jc w:val="left"/>
      </w:pPr>
      <w:r>
        <w:rPr>
          <w:rFonts w:ascii="Times New Roman" w:hAnsi="Times New Roman" w:cs="Times New Roman"/>
          <w:b w:val="0"/>
          <w:i w:val="0"/>
          <w:sz w:val="22"/>
        </w:rPr>
        <w:t>- Create the Ansible playbook for sovereign node provisioning.</w:t>
      </w:r>
    </w:p>
    <w:p>
      <w:pPr>
        <w:spacing w:after="80" w:line="293" w:lineRule="auto"/>
        <w:ind w:left="283"/>
        <w:jc w:val="left"/>
      </w:pPr>
      <w:r>
        <w:rPr>
          <w:rFonts w:ascii="Times New Roman" w:hAnsi="Times New Roman" w:cs="Times New Roman"/>
          <w:b w:val="0"/>
          <w:i w:val="0"/>
          <w:sz w:val="22"/>
        </w:rPr>
        <w:t>- Test deployment in a new region (sandbox).</w:t>
      </w:r>
    </w:p>
    <w:p>
      <w:pPr>
        <w:keepNext/>
        <w:spacing w:before="240" w:after="100"/>
        <w:outlineLvl w:val="1"/>
      </w:pPr>
      <w:r>
        <w:rPr>
          <w:rFonts w:ascii="Arial" w:hAnsi="Arial" w:cs="Arial"/>
          <w:b/>
          <w:i w:val="0"/>
          <w:color w:val="2E528F"/>
          <w:sz w:val="26"/>
        </w:rPr>
        <w:t>24.7 Engineering Deliverables, Final Architectural Test &amp; Success Condition</w:t>
      </w:r>
    </w:p>
    <w:p>
      <w:pPr>
        <w:spacing w:after="80" w:line="293" w:lineRule="auto"/>
        <w:jc w:val="left"/>
      </w:pPr>
      <w:r>
        <w:rPr>
          <w:rFonts w:ascii="Times New Roman" w:hAnsi="Times New Roman" w:cs="Times New Roman"/>
          <w:b w:val="0"/>
          <w:i w:val="0"/>
          <w:sz w:val="22"/>
        </w:rPr>
        <w:t>Every engineering engagement against this blueprint produces a complete evidence package. The package contains thirteen reports:</w:t>
      </w:r>
    </w:p>
    <w:p>
      <w:pPr>
        <w:spacing w:after="80" w:line="293" w:lineRule="auto"/>
        <w:jc w:val="left"/>
      </w:pPr>
      <w:r>
        <w:rPr>
          <w:rFonts w:ascii="Times New Roman" w:hAnsi="Times New Roman" w:cs="Times New Roman"/>
          <w:b w:val="0"/>
          <w:i w:val="0"/>
          <w:sz w:val="22"/>
        </w:rPr>
        <w:t>A — Architecture Change Report: every changed subsystem and the reason for the change. B — Contradiction Matrix: the old rule, the new canonical rule, affected sections, affected files, migration required, and tests added (Section 24.4.12). C — Database Migration Report: every new and changed table, index, constraint, enum, and migration. D — API Migration Report: every changed endpoint and request/response schema. E — State Machine Report: the canonical state-vector domains and transitions as implemented. F — Financing Exposure Report: how co-financing, allocations, tranches, and exposure are represented (Section 10.23.1). G — ERR Report: inputs, outputs, Incoterm logic, and financing-responsibility boundaries (Section 10.7.1). H — Dependency Graph Report: worked examples for Egypt-to-EU, Egypt-to-UAE, sea, air, trucking, and RoRo corridors without hard-coded universal sequencing (Section 19.67.1). I — Reconciliation Report: how internal events are reconciled against external authority (Section 19.26.1). J — Closure Report: proof that settlement, delivery, exposure, evidence, customs, dispute, and post-clearance conditions are independently represented (Section 5.10). K — Test Report: all new and modified tests and their results (Section 24.4.11). L — Security and Governance Report: proof of separation between platform governance, tenant approval, and trade-party signature (Section 9.24.1). M — Regression Report: confirmation that all previously valid functionality remains intact.</w:t>
      </w:r>
    </w:p>
    <w:p>
      <w:pPr>
        <w:spacing w:after="80" w:line="293" w:lineRule="auto"/>
        <w:jc w:val="left"/>
      </w:pPr>
      <w:r>
        <w:rPr>
          <w:rFonts w:ascii="Times New Roman" w:hAnsi="Times New Roman" w:cs="Times New Roman"/>
          <w:b w:val="0"/>
          <w:i w:val="0"/>
          <w:sz w:val="22"/>
        </w:rPr>
        <w:t>Final architectural test. Before declaring any engagement complete, the following questions are answered with actual code and schema evidence: Can a trade request exist before a USTN, and is the API architecture consistent with that? Can a fee obligation be finalized without pretending the platform has custody? Can Bank X and PFI Y finance different portions of one controlled economic exposure? Does the platform prevent internal double financing without falsely claiming worldwide prevention? Does the Incoterm influence responsibility without becoming the borrower-selection engine? Can booking and customs progress independently where the corridor allows? Can dwell exposure remain active after financial settlement? Can the platform distinguish confidence from authority? Can stale cache data cause an unsafe compliance decision? Can a platform witness accidentally become a trade counterparty? Can settlement occur without closure? Can the system represent a reversal without deleting historical truth? Can AI cause an irreversible state transition outside the governed authorization path? If any answer is unsafe, the implementation is not complete.</w:t>
      </w:r>
    </w:p>
    <w:p>
      <w:pPr>
        <w:spacing w:after="80" w:line="293" w:lineRule="auto"/>
        <w:jc w:val="left"/>
      </w:pPr>
      <w:r>
        <w:rPr>
          <w:rFonts w:ascii="Times New Roman" w:hAnsi="Times New Roman" w:cs="Times New Roman"/>
          <w:b w:val="0"/>
          <w:i w:val="0"/>
          <w:sz w:val="22"/>
        </w:rPr>
        <w:t>The reports are produced as evidence, not as restatements of intent: each report cites the implementing files, schemas, and tests. The final directive of this blueprint is that the platform converges on the canonical architecture of Section 19.134.1 as one unified whole — never as independent feature patches — and that the success condition of Section 1.1 (Business Workflow = API Model = Database Model = Event Model = Governor Rules = Policy Engine = External Authority Model = Reconciliation Model = UI State = Test Assertions) is demonstrated, not assumed, before any production declaration.</w:t>
      </w:r>
    </w:p>
    <w:p>
      <w:pPr>
        <w:spacing w:after="80" w:line="293" w:lineRule="auto"/>
        <w:jc w:val="left"/>
      </w:pPr>
      <w:r>
        <w:rPr>
          <w:rFonts w:ascii="Times New Roman" w:hAnsi="Times New Roman" w:cs="Times New Roman"/>
          <w:b w:val="0"/>
          <w:i w:val="0"/>
          <w:sz w:val="22"/>
        </w:rPr>
        <w:t>Every item is one-click operable from the Admin Portal where applicable, and every automated action is logged to the Loom chain under the governance controls of Section 21.</w:t>
      </w:r>
    </w:p>
    <w:p>
      <w:pPr>
        <w:keepNext/>
        <w:spacing w:before="240" w:after="100"/>
        <w:outlineLvl w:val="1"/>
      </w:pPr>
      <w:r>
        <w:rPr>
          <w:rFonts w:ascii="Arial" w:hAnsi="Arial" w:cs="Arial"/>
          <w:b/>
          <w:i w:val="0"/>
          <w:color w:val="2E528F"/>
          <w:sz w:val="26"/>
        </w:rPr>
        <w:t>24.8 Payment Model Verification &amp; Compliance Summary</w:t>
      </w:r>
    </w:p>
    <w:p>
      <w:pPr>
        <w:keepNext/>
        <w:spacing w:before="180" w:after="80"/>
        <w:outlineLvl w:val="2"/>
      </w:pPr>
      <w:r>
        <w:rPr>
          <w:rFonts w:ascii="Arial" w:hAnsi="Arial" w:cs="Arial"/>
          <w:b/>
          <w:i w:val="0"/>
          <w:color w:val="333333"/>
          <w:sz w:val="23"/>
        </w:rPr>
        <w:t>24.8.1 Governor Principles in Payment Enforcement</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Principle</w:t>
            </w:r>
          </w:p>
        </w:tc>
        <w:tc>
          <w:tcPr>
            <w:tcW w:type="dxa" w:w="4819"/>
            <w:shd w:val="clear" w:fill="D9E2F3"/>
          </w:tcPr>
          <w:p>
            <w:pPr>
              <w:spacing w:after="20" w:before="20" w:line="240" w:lineRule="auto"/>
            </w:pPr>
            <w:r/>
            <w:r>
              <w:rPr>
                <w:rFonts w:ascii="Arial" w:hAnsi="Arial" w:cs="Arial"/>
                <w:b/>
                <w:i w:val="0"/>
                <w:sz w:val="18"/>
              </w:rPr>
              <w:t>Implementation</w:t>
            </w:r>
          </w:p>
        </w:tc>
      </w:tr>
      <w:tr>
        <w:tc>
          <w:tcPr>
            <w:tcW w:type="dxa" w:w="4819"/>
          </w:tcPr>
          <w:p>
            <w:pPr>
              <w:spacing w:after="20" w:before="20" w:line="240" w:lineRule="auto"/>
            </w:pPr>
            <w:r/>
            <w:r>
              <w:rPr>
                <w:rFonts w:ascii="Arial" w:hAnsi="Arial" w:cs="Arial"/>
                <w:b w:val="0"/>
                <w:i w:val="0"/>
                <w:sz w:val="17"/>
              </w:rPr>
              <w:t>G1 — Execution Always Gated</w:t>
            </w:r>
          </w:p>
        </w:tc>
        <w:tc>
          <w:tcPr>
            <w:tcW w:type="dxa" w:w="4819"/>
          </w:tcPr>
          <w:p>
            <w:pPr>
              <w:spacing w:after="20" w:before="20" w:line="240" w:lineRule="auto"/>
            </w:pPr>
            <w:r/>
            <w:r>
              <w:rPr>
                <w:rFonts w:ascii="Arial" w:hAnsi="Arial" w:cs="Arial"/>
                <w:b w:val="0"/>
                <w:i w:val="0"/>
                <w:sz w:val="17"/>
              </w:rPr>
              <w:t>Every payment action passes through Governor</w:t>
            </w:r>
          </w:p>
        </w:tc>
      </w:tr>
      <w:tr>
        <w:tc>
          <w:tcPr>
            <w:tcW w:type="dxa" w:w="4819"/>
          </w:tcPr>
          <w:p>
            <w:pPr>
              <w:spacing w:after="20" w:before="20" w:line="240" w:lineRule="auto"/>
            </w:pPr>
            <w:r/>
            <w:r>
              <w:rPr>
                <w:rFonts w:ascii="Arial" w:hAnsi="Arial" w:cs="Arial"/>
                <w:b w:val="0"/>
                <w:i w:val="0"/>
                <w:sz w:val="17"/>
              </w:rPr>
              <w:t>G4 — Loom Audited</w:t>
            </w:r>
          </w:p>
        </w:tc>
        <w:tc>
          <w:tcPr>
            <w:tcW w:type="dxa" w:w="4819"/>
          </w:tcPr>
          <w:p>
            <w:pPr>
              <w:spacing w:after="20" w:before="20" w:line="240" w:lineRule="auto"/>
            </w:pPr>
            <w:r/>
            <w:r>
              <w:rPr>
                <w:rFonts w:ascii="Arial" w:hAnsi="Arial" w:cs="Arial"/>
                <w:b w:val="0"/>
                <w:i w:val="0"/>
                <w:sz w:val="17"/>
              </w:rPr>
              <w:t>Every payment event Loom-logged</w:t>
            </w:r>
          </w:p>
        </w:tc>
      </w:tr>
      <w:tr>
        <w:tc>
          <w:tcPr>
            <w:tcW w:type="dxa" w:w="4819"/>
          </w:tcPr>
          <w:p>
            <w:pPr>
              <w:spacing w:after="20" w:before="20" w:line="240" w:lineRule="auto"/>
            </w:pPr>
            <w:r/>
            <w:r>
              <w:rPr>
                <w:rFonts w:ascii="Arial" w:hAnsi="Arial" w:cs="Arial"/>
                <w:b w:val="0"/>
                <w:i w:val="0"/>
                <w:sz w:val="17"/>
              </w:rPr>
              <w:t>G5 — Multisig for Irreversible</w:t>
            </w:r>
          </w:p>
        </w:tc>
        <w:tc>
          <w:tcPr>
            <w:tcW w:type="dxa" w:w="4819"/>
          </w:tcPr>
          <w:p>
            <w:pPr>
              <w:spacing w:after="20" w:before="20" w:line="240" w:lineRule="auto"/>
            </w:pPr>
            <w:r/>
            <w:r>
              <w:rPr>
                <w:rFonts w:ascii="Arial" w:hAnsi="Arial" w:cs="Arial"/>
                <w:b w:val="0"/>
                <w:i w:val="0"/>
                <w:sz w:val="17"/>
              </w:rPr>
              <w:t>QES for payment authorization</w:t>
            </w:r>
          </w:p>
        </w:tc>
      </w:tr>
      <w:tr>
        <w:tc>
          <w:tcPr>
            <w:tcW w:type="dxa" w:w="4819"/>
          </w:tcPr>
          <w:p>
            <w:pPr>
              <w:spacing w:after="20" w:before="20" w:line="240" w:lineRule="auto"/>
            </w:pPr>
            <w:r/>
            <w:r>
              <w:rPr>
                <w:rFonts w:ascii="Arial" w:hAnsi="Arial" w:cs="Arial"/>
                <w:b w:val="0"/>
                <w:i w:val="0"/>
                <w:sz w:val="17"/>
              </w:rPr>
              <w:t>G6 — AI Advisory Only</w:t>
            </w:r>
          </w:p>
        </w:tc>
        <w:tc>
          <w:tcPr>
            <w:tcW w:type="dxa" w:w="4819"/>
          </w:tcPr>
          <w:p>
            <w:pPr>
              <w:spacing w:after="20" w:before="20" w:line="240" w:lineRule="auto"/>
            </w:pPr>
            <w:r/>
            <w:r>
              <w:rPr>
                <w:rFonts w:ascii="Arial" w:hAnsi="Arial" w:cs="Arial"/>
                <w:b w:val="0"/>
                <w:i w:val="0"/>
                <w:sz w:val="17"/>
              </w:rPr>
              <w:t>AI assists with fee estimation, never authorizes</w:t>
            </w:r>
          </w:p>
        </w:tc>
      </w:tr>
      <w:tr>
        <w:tc>
          <w:tcPr>
            <w:tcW w:type="dxa" w:w="4819"/>
          </w:tcPr>
          <w:p>
            <w:pPr>
              <w:spacing w:after="20" w:before="20" w:line="240" w:lineRule="auto"/>
            </w:pPr>
            <w:r/>
            <w:r>
              <w:rPr>
                <w:rFonts w:ascii="Arial" w:hAnsi="Arial" w:cs="Arial"/>
                <w:b w:val="0"/>
                <w:i w:val="0"/>
                <w:sz w:val="17"/>
              </w:rPr>
              <w:t>G7 — Bank-Authoritative Settlement</w:t>
            </w:r>
          </w:p>
        </w:tc>
        <w:tc>
          <w:tcPr>
            <w:tcW w:type="dxa" w:w="4819"/>
          </w:tcPr>
          <w:p>
            <w:pPr>
              <w:spacing w:after="20" w:before="20" w:line="240" w:lineRule="auto"/>
            </w:pPr>
            <w:r/>
            <w:r>
              <w:rPr>
                <w:rFonts w:ascii="Arial" w:hAnsi="Arial" w:cs="Arial"/>
                <w:b w:val="0"/>
                <w:i w:val="0"/>
                <w:sz w:val="17"/>
              </w:rPr>
              <w:t>Payment truth from camt.054 / SWIFT gpi</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24.8.2 Constitutional Points Addressed by the Payment Model</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fill="D9E2F3"/>
          </w:tcPr>
          <w:p>
            <w:pPr>
              <w:spacing w:after="20" w:before="20" w:line="240" w:lineRule="auto"/>
            </w:pPr>
            <w:r/>
            <w:r>
              <w:rPr>
                <w:rFonts w:ascii="Arial" w:hAnsi="Arial" w:cs="Arial"/>
                <w:b/>
                <w:i w:val="0"/>
                <w:sz w:val="18"/>
              </w:rPr>
              <w:t>Point</w:t>
            </w:r>
          </w:p>
        </w:tc>
        <w:tc>
          <w:tcPr>
            <w:tcW w:type="dxa" w:w="4819"/>
            <w:shd w:val="clear" w:fill="D9E2F3"/>
          </w:tcPr>
          <w:p>
            <w:pPr>
              <w:spacing w:after="20" w:before="20" w:line="240" w:lineRule="auto"/>
            </w:pPr>
            <w:r/>
            <w:r>
              <w:rPr>
                <w:rFonts w:ascii="Arial" w:hAnsi="Arial" w:cs="Arial"/>
                <w:b/>
                <w:i w:val="0"/>
                <w:sz w:val="18"/>
              </w:rPr>
              <w:t>Implementation</w:t>
            </w:r>
          </w:p>
        </w:tc>
      </w:tr>
      <w:tr>
        <w:tc>
          <w:tcPr>
            <w:tcW w:type="dxa" w:w="4819"/>
          </w:tcPr>
          <w:p>
            <w:pPr>
              <w:spacing w:after="20" w:before="20" w:line="240" w:lineRule="auto"/>
            </w:pPr>
            <w:r/>
            <w:r>
              <w:rPr>
                <w:rFonts w:ascii="Arial" w:hAnsi="Arial" w:cs="Arial"/>
                <w:b w:val="0"/>
                <w:i w:val="0"/>
                <w:sz w:val="17"/>
              </w:rPr>
              <w:t>1 — Non-custodial</w:t>
            </w:r>
          </w:p>
        </w:tc>
        <w:tc>
          <w:tcPr>
            <w:tcW w:type="dxa" w:w="4819"/>
          </w:tcPr>
          <w:p>
            <w:pPr>
              <w:spacing w:after="20" w:before="20" w:line="240" w:lineRule="auto"/>
            </w:pPr>
            <w:r/>
            <w:r>
              <w:rPr>
                <w:rFonts w:ascii="Arial" w:hAnsi="Arial" w:cs="Arial"/>
                <w:b w:val="0"/>
                <w:i w:val="0"/>
                <w:sz w:val="17"/>
              </w:rPr>
              <w:t>SGTX never holds funds; all legs bank-to-bank</w:t>
            </w:r>
          </w:p>
        </w:tc>
      </w:tr>
      <w:tr>
        <w:tc>
          <w:tcPr>
            <w:tcW w:type="dxa" w:w="4819"/>
          </w:tcPr>
          <w:p>
            <w:pPr>
              <w:spacing w:after="20" w:before="20" w:line="240" w:lineRule="auto"/>
            </w:pPr>
            <w:r/>
            <w:r>
              <w:rPr>
                <w:rFonts w:ascii="Arial" w:hAnsi="Arial" w:cs="Arial"/>
                <w:b w:val="0"/>
                <w:i w:val="0"/>
                <w:sz w:val="17"/>
              </w:rPr>
              <w:t>14 — USTN-centric</w:t>
            </w:r>
          </w:p>
        </w:tc>
        <w:tc>
          <w:tcPr>
            <w:tcW w:type="dxa" w:w="4819"/>
          </w:tcPr>
          <w:p>
            <w:pPr>
              <w:spacing w:after="20" w:before="20" w:line="240" w:lineRule="auto"/>
            </w:pPr>
            <w:r/>
            <w:r>
              <w:rPr>
                <w:rFonts w:ascii="Arial" w:hAnsi="Arial" w:cs="Arial"/>
                <w:b w:val="0"/>
                <w:i w:val="0"/>
                <w:sz w:val="17"/>
              </w:rPr>
              <w:t>Every payment bound to USTN in structured remittance</w:t>
            </w:r>
          </w:p>
        </w:tc>
      </w:tr>
      <w:tr>
        <w:tc>
          <w:tcPr>
            <w:tcW w:type="dxa" w:w="4819"/>
          </w:tcPr>
          <w:p>
            <w:pPr>
              <w:spacing w:after="20" w:before="20" w:line="240" w:lineRule="auto"/>
            </w:pPr>
            <w:r/>
            <w:r>
              <w:rPr>
                <w:rFonts w:ascii="Arial" w:hAnsi="Arial" w:cs="Arial"/>
                <w:b w:val="0"/>
                <w:i w:val="0"/>
                <w:sz w:val="17"/>
              </w:rPr>
              <w:t>17 — Closure-is-earned</w:t>
            </w:r>
          </w:p>
        </w:tc>
        <w:tc>
          <w:tcPr>
            <w:tcW w:type="dxa" w:w="4819"/>
          </w:tcPr>
          <w:p>
            <w:pPr>
              <w:spacing w:after="20" w:before="20" w:line="240" w:lineRule="auto"/>
            </w:pPr>
            <w:r/>
            <w:r>
              <w:rPr>
                <w:rFonts w:ascii="Arial" w:hAnsi="Arial" w:cs="Arial"/>
                <w:b w:val="0"/>
                <w:i w:val="0"/>
                <w:sz w:val="17"/>
              </w:rPr>
              <w:t>USTN closes only on canClose = true (all 7 conditions)</w:t>
            </w:r>
          </w:p>
        </w:tc>
      </w:tr>
      <w:tr>
        <w:tc>
          <w:tcPr>
            <w:tcW w:type="dxa" w:w="4819"/>
          </w:tcPr>
          <w:p>
            <w:pPr>
              <w:spacing w:after="20" w:before="20" w:line="240" w:lineRule="auto"/>
            </w:pPr>
            <w:r/>
            <w:r>
              <w:rPr>
                <w:rFonts w:ascii="Arial" w:hAnsi="Arial" w:cs="Arial"/>
                <w:b w:val="0"/>
                <w:i w:val="0"/>
                <w:sz w:val="17"/>
              </w:rPr>
              <w:t>20 — Bank-authoritative settlement</w:t>
            </w:r>
          </w:p>
        </w:tc>
        <w:tc>
          <w:tcPr>
            <w:tcW w:type="dxa" w:w="4819"/>
          </w:tcPr>
          <w:p>
            <w:pPr>
              <w:spacing w:after="20" w:before="20" w:line="240" w:lineRule="auto"/>
            </w:pPr>
            <w:r/>
            <w:r>
              <w:rPr>
                <w:rFonts w:ascii="Arial" w:hAnsi="Arial" w:cs="Arial"/>
                <w:b w:val="0"/>
                <w:i w:val="0"/>
                <w:sz w:val="17"/>
              </w:rPr>
              <w:t>Payment truth from camt.054 / SWIFT gpi only</w:t>
            </w:r>
          </w:p>
        </w:tc>
      </w:tr>
      <w:tr>
        <w:tc>
          <w:tcPr>
            <w:tcW w:type="dxa" w:w="4819"/>
          </w:tcPr>
          <w:p>
            <w:pPr>
              <w:spacing w:after="20" w:before="20" w:line="240" w:lineRule="auto"/>
            </w:pPr>
            <w:r/>
            <w:r>
              <w:rPr>
                <w:rFonts w:ascii="Arial" w:hAnsi="Arial" w:cs="Arial"/>
                <w:b w:val="0"/>
                <w:i w:val="0"/>
                <w:sz w:val="17"/>
              </w:rPr>
              <w:t>21 — Non-custody is architectural</w:t>
            </w:r>
          </w:p>
        </w:tc>
        <w:tc>
          <w:tcPr>
            <w:tcW w:type="dxa" w:w="4819"/>
          </w:tcPr>
          <w:p>
            <w:pPr>
              <w:spacing w:after="20" w:before="20" w:line="240" w:lineRule="auto"/>
            </w:pPr>
            <w:r/>
            <w:r>
              <w:rPr>
                <w:rFonts w:ascii="Arial" w:hAnsi="Arial" w:cs="Arial"/>
                <w:b w:val="0"/>
                <w:i w:val="0"/>
                <w:sz w:val="17"/>
              </w:rPr>
              <w:t>PSP-free, bank-direct, mandate-based</w:t>
            </w:r>
          </w:p>
        </w:tc>
      </w:tr>
      <w:tr>
        <w:tc>
          <w:tcPr>
            <w:tcW w:type="dxa" w:w="4819"/>
          </w:tcPr>
          <w:p>
            <w:pPr>
              <w:spacing w:after="20" w:before="20" w:line="240" w:lineRule="auto"/>
            </w:pPr>
            <w:r/>
            <w:r>
              <w:rPr>
                <w:rFonts w:ascii="Arial" w:hAnsi="Arial" w:cs="Arial"/>
                <w:b w:val="0"/>
                <w:i w:val="0"/>
                <w:sz w:val="17"/>
              </w:rPr>
              <w:t>22 — GNN non-marketplace bounded</w:t>
            </w:r>
          </w:p>
        </w:tc>
        <w:tc>
          <w:tcPr>
            <w:tcW w:type="dxa" w:w="4819"/>
          </w:tcPr>
          <w:p>
            <w:pPr>
              <w:spacing w:after="20" w:before="20" w:line="240" w:lineRule="auto"/>
            </w:pPr>
            <w:r/>
            <w:r>
              <w:rPr>
                <w:rFonts w:ascii="Arial" w:hAnsi="Arial" w:cs="Arial"/>
                <w:b w:val="0"/>
                <w:i w:val="0"/>
                <w:sz w:val="17"/>
              </w:rPr>
              <w:t>Never recommends counterparties or providers</w:t>
            </w:r>
          </w:p>
        </w:tc>
      </w:tr>
      <w:tr>
        <w:tc>
          <w:tcPr>
            <w:tcW w:type="dxa" w:w="4819"/>
          </w:tcPr>
          <w:p>
            <w:pPr>
              <w:spacing w:after="20" w:before="20" w:line="240" w:lineRule="auto"/>
            </w:pPr>
            <w:r/>
            <w:r>
              <w:rPr>
                <w:rFonts w:ascii="Arial" w:hAnsi="Arial" w:cs="Arial"/>
                <w:b w:val="0"/>
                <w:i w:val="0"/>
                <w:sz w:val="17"/>
              </w:rPr>
              <w:t>30 — Timeout ≠ finality</w:t>
            </w:r>
          </w:p>
        </w:tc>
        <w:tc>
          <w:tcPr>
            <w:tcW w:type="dxa" w:w="4819"/>
          </w:tcPr>
          <w:p>
            <w:pPr>
              <w:spacing w:after="20" w:before="20" w:line="240" w:lineRule="auto"/>
            </w:pPr>
            <w:r/>
            <w:r>
              <w:rPr>
                <w:rFonts w:ascii="Arial" w:hAnsi="Arial" w:cs="Arial"/>
                <w:b w:val="0"/>
                <w:i w:val="0"/>
                <w:sz w:val="17"/>
              </w:rPr>
              <w:t>UNKNOWN state preserved; no confirmation ≠ settlement</w:t>
            </w:r>
          </w:p>
        </w:tc>
      </w:tr>
      <w:tr>
        <w:tc>
          <w:tcPr>
            <w:tcW w:type="dxa" w:w="4819"/>
          </w:tcPr>
          <w:p>
            <w:pPr>
              <w:spacing w:after="20" w:before="20" w:line="240" w:lineRule="auto"/>
            </w:pPr>
            <w:r/>
            <w:r>
              <w:rPr>
                <w:rFonts w:ascii="Arial" w:hAnsi="Arial" w:cs="Arial"/>
                <w:b w:val="0"/>
                <w:i w:val="0"/>
                <w:sz w:val="17"/>
              </w:rPr>
              <w:t>31 — Settlement ≠ closure</w:t>
            </w:r>
          </w:p>
        </w:tc>
        <w:tc>
          <w:tcPr>
            <w:tcW w:type="dxa" w:w="4819"/>
          </w:tcPr>
          <w:p>
            <w:pPr>
              <w:spacing w:after="20" w:before="20" w:line="240" w:lineRule="auto"/>
            </w:pPr>
            <w:r/>
            <w:r>
              <w:rPr>
                <w:rFonts w:ascii="Arial" w:hAnsi="Arial" w:cs="Arial"/>
                <w:b w:val="0"/>
                <w:i w:val="0"/>
                <w:sz w:val="17"/>
              </w:rPr>
              <w:t>Settlement is one closure condition of seven</w:t>
            </w:r>
          </w:p>
        </w:tc>
      </w:tr>
      <w:tr>
        <w:tc>
          <w:tcPr>
            <w:tcW w:type="dxa" w:w="4819"/>
          </w:tcPr>
          <w:p>
            <w:pPr>
              <w:spacing w:after="20" w:before="20" w:line="240" w:lineRule="auto"/>
            </w:pPr>
            <w:r/>
            <w:r>
              <w:rPr>
                <w:rFonts w:ascii="Arial" w:hAnsi="Arial" w:cs="Arial"/>
                <w:b w:val="0"/>
                <w:i w:val="0"/>
                <w:sz w:val="17"/>
              </w:rPr>
              <w:t>32 — Evidence integrity ≠ legal authority</w:t>
            </w:r>
          </w:p>
        </w:tc>
        <w:tc>
          <w:tcPr>
            <w:tcW w:type="dxa" w:w="4819"/>
          </w:tcPr>
          <w:p>
            <w:pPr>
              <w:spacing w:after="20" w:before="20" w:line="240" w:lineRule="auto"/>
            </w:pPr>
            <w:r/>
            <w:r>
              <w:rPr>
                <w:rFonts w:ascii="Arial" w:hAnsi="Arial" w:cs="Arial"/>
                <w:b w:val="0"/>
                <w:i w:val="0"/>
                <w:sz w:val="17"/>
              </w:rPr>
              <w:t>camt.054 proof hash vs. legal standing distinguished</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24.8.3 ISO 20022 Messages Implemented</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Message</w:t>
            </w:r>
          </w:p>
        </w:tc>
        <w:tc>
          <w:tcPr>
            <w:tcW w:type="dxa" w:w="3213"/>
            <w:shd w:val="clear" w:fill="D9E2F3"/>
          </w:tcPr>
          <w:p>
            <w:pPr>
              <w:spacing w:after="20" w:before="20" w:line="240" w:lineRule="auto"/>
            </w:pPr>
            <w:r/>
            <w:r>
              <w:rPr>
                <w:rFonts w:ascii="Arial" w:hAnsi="Arial" w:cs="Arial"/>
                <w:b/>
                <w:i w:val="0"/>
                <w:sz w:val="18"/>
              </w:rPr>
              <w:t>Purpose</w:t>
            </w:r>
          </w:p>
        </w:tc>
        <w:tc>
          <w:tcPr>
            <w:tcW w:type="dxa" w:w="3213"/>
            <w:shd w:val="clear" w:fill="D9E2F3"/>
          </w:tcPr>
          <w:p>
            <w:pPr>
              <w:spacing w:after="20" w:before="20" w:line="240" w:lineRule="auto"/>
            </w:pPr>
            <w:r/>
            <w:r>
              <w:rPr>
                <w:rFonts w:ascii="Arial" w:hAnsi="Arial" w:cs="Arial"/>
                <w:b/>
                <w:i w:val="0"/>
                <w:sz w:val="18"/>
              </w:rPr>
              <w:t>Status</w:t>
            </w:r>
          </w:p>
        </w:tc>
      </w:tr>
      <w:tr>
        <w:tc>
          <w:tcPr>
            <w:tcW w:type="dxa" w:w="3213"/>
          </w:tcPr>
          <w:p>
            <w:pPr>
              <w:spacing w:after="20" w:before="20" w:line="240" w:lineRule="auto"/>
            </w:pPr>
            <w:r/>
            <w:r>
              <w:rPr>
                <w:rFonts w:ascii="Arial" w:hAnsi="Arial" w:cs="Arial"/>
                <w:b w:val="0"/>
                <w:i w:val="0"/>
                <w:sz w:val="17"/>
              </w:rPr>
              <w:t>pain.001</w:t>
            </w:r>
          </w:p>
        </w:tc>
        <w:tc>
          <w:tcPr>
            <w:tcW w:type="dxa" w:w="3213"/>
          </w:tcPr>
          <w:p>
            <w:pPr>
              <w:spacing w:after="20" w:before="20" w:line="240" w:lineRule="auto"/>
            </w:pPr>
            <w:r/>
            <w:r>
              <w:rPr>
                <w:rFonts w:ascii="Arial" w:hAnsi="Arial" w:cs="Arial"/>
                <w:b w:val="0"/>
                <w:i w:val="0"/>
                <w:sz w:val="17"/>
              </w:rPr>
              <w:t>Credit Transfer Initiation</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pain.002</w:t>
            </w:r>
          </w:p>
        </w:tc>
        <w:tc>
          <w:tcPr>
            <w:tcW w:type="dxa" w:w="3213"/>
          </w:tcPr>
          <w:p>
            <w:pPr>
              <w:spacing w:after="20" w:before="20" w:line="240" w:lineRule="auto"/>
            </w:pPr>
            <w:r/>
            <w:r>
              <w:rPr>
                <w:rFonts w:ascii="Arial" w:hAnsi="Arial" w:cs="Arial"/>
                <w:b w:val="0"/>
                <w:i w:val="0"/>
                <w:sz w:val="17"/>
              </w:rPr>
              <w:t>Payment Status Report</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camt.054</w:t>
            </w:r>
          </w:p>
        </w:tc>
        <w:tc>
          <w:tcPr>
            <w:tcW w:type="dxa" w:w="3213"/>
          </w:tcPr>
          <w:p>
            <w:pPr>
              <w:spacing w:after="20" w:before="20" w:line="240" w:lineRule="auto"/>
            </w:pPr>
            <w:r/>
            <w:r>
              <w:rPr>
                <w:rFonts w:ascii="Arial" w:hAnsi="Arial" w:cs="Arial"/>
                <w:b w:val="0"/>
                <w:i w:val="0"/>
                <w:sz w:val="17"/>
              </w:rPr>
              <w:t>Credit/Debit Notification</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pain.008</w:t>
            </w:r>
          </w:p>
        </w:tc>
        <w:tc>
          <w:tcPr>
            <w:tcW w:type="dxa" w:w="3213"/>
          </w:tcPr>
          <w:p>
            <w:pPr>
              <w:spacing w:after="20" w:before="20" w:line="240" w:lineRule="auto"/>
            </w:pPr>
            <w:r/>
            <w:r>
              <w:rPr>
                <w:rFonts w:ascii="Arial" w:hAnsi="Arial" w:cs="Arial"/>
                <w:b w:val="0"/>
                <w:i w:val="0"/>
                <w:sz w:val="17"/>
              </w:rPr>
              <w:t>Direct Debit Mandate</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SWIFT gpi UETR</w:t>
            </w:r>
          </w:p>
        </w:tc>
        <w:tc>
          <w:tcPr>
            <w:tcW w:type="dxa" w:w="3213"/>
          </w:tcPr>
          <w:p>
            <w:pPr>
              <w:spacing w:after="20" w:before="20" w:line="240" w:lineRule="auto"/>
            </w:pPr>
            <w:r/>
            <w:r>
              <w:rPr>
                <w:rFonts w:ascii="Arial" w:hAnsi="Arial" w:cs="Arial"/>
                <w:b w:val="0"/>
                <w:i w:val="0"/>
                <w:sz w:val="17"/>
              </w:rPr>
              <w:t>Cross-border tracking</w:t>
            </w:r>
          </w:p>
        </w:tc>
        <w:tc>
          <w:tcPr>
            <w:tcW w:type="dxa" w:w="3213"/>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24.8.4 Quotation Types Supported</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fill="D9E2F3"/>
          </w:tcPr>
          <w:p>
            <w:pPr>
              <w:spacing w:after="20" w:before="20" w:line="240" w:lineRule="auto"/>
            </w:pPr>
            <w:r/>
            <w:r>
              <w:rPr>
                <w:rFonts w:ascii="Arial" w:hAnsi="Arial" w:cs="Arial"/>
                <w:b/>
                <w:i w:val="0"/>
                <w:sz w:val="18"/>
              </w:rPr>
              <w:t>Quote Type</w:t>
            </w:r>
          </w:p>
        </w:tc>
        <w:tc>
          <w:tcPr>
            <w:tcW w:type="dxa" w:w="3213"/>
            <w:shd w:val="clear" w:fill="D9E2F3"/>
          </w:tcPr>
          <w:p>
            <w:pPr>
              <w:spacing w:after="20" w:before="20" w:line="240" w:lineRule="auto"/>
            </w:pPr>
            <w:r/>
            <w:r>
              <w:rPr>
                <w:rFonts w:ascii="Arial" w:hAnsi="Arial" w:cs="Arial"/>
                <w:b/>
                <w:i w:val="0"/>
                <w:sz w:val="18"/>
              </w:rPr>
              <w:t>GTID Example</w:t>
            </w:r>
          </w:p>
        </w:tc>
        <w:tc>
          <w:tcPr>
            <w:tcW w:type="dxa" w:w="3213"/>
            <w:shd w:val="clear" w:fill="D9E2F3"/>
          </w:tcPr>
          <w:p>
            <w:pPr>
              <w:spacing w:after="20" w:before="20" w:line="240" w:lineRule="auto"/>
            </w:pPr>
            <w:r/>
            <w:r>
              <w:rPr>
                <w:rFonts w:ascii="Arial" w:hAnsi="Arial" w:cs="Arial"/>
                <w:b/>
                <w:i w:val="0"/>
                <w:sz w:val="18"/>
              </w:rPr>
              <w:t>Status</w:t>
            </w:r>
          </w:p>
        </w:tc>
      </w:tr>
      <w:tr>
        <w:tc>
          <w:tcPr>
            <w:tcW w:type="dxa" w:w="3213"/>
          </w:tcPr>
          <w:p>
            <w:pPr>
              <w:spacing w:after="20" w:before="20" w:line="240" w:lineRule="auto"/>
            </w:pPr>
            <w:r/>
            <w:r>
              <w:rPr>
                <w:rFonts w:ascii="Arial" w:hAnsi="Arial" w:cs="Arial"/>
                <w:b w:val="0"/>
                <w:i w:val="0"/>
                <w:sz w:val="17"/>
              </w:rPr>
              <w:t>Shipping Line</w:t>
            </w:r>
          </w:p>
        </w:tc>
        <w:tc>
          <w:tcPr>
            <w:tcW w:type="dxa" w:w="3213"/>
          </w:tcPr>
          <w:p>
            <w:pPr>
              <w:spacing w:after="20" w:before="20" w:line="240" w:lineRule="auto"/>
            </w:pPr>
            <w:r/>
            <w:r>
              <w:rPr>
                <w:rFonts w:ascii="Arial" w:hAnsi="Arial" w:cs="Arial"/>
                <w:b w:val="0"/>
                <w:i w:val="0"/>
                <w:sz w:val="17"/>
              </w:rPr>
              <w:t>SGTX-EG-SHIP-001</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Trucking</w:t>
            </w:r>
          </w:p>
        </w:tc>
        <w:tc>
          <w:tcPr>
            <w:tcW w:type="dxa" w:w="3213"/>
          </w:tcPr>
          <w:p>
            <w:pPr>
              <w:spacing w:after="20" w:before="20" w:line="240" w:lineRule="auto"/>
            </w:pPr>
            <w:r/>
            <w:r>
              <w:rPr>
                <w:rFonts w:ascii="Arial" w:hAnsi="Arial" w:cs="Arial"/>
                <w:b w:val="0"/>
                <w:i w:val="0"/>
                <w:sz w:val="17"/>
              </w:rPr>
              <w:t>SGTX-EG-LSP-001</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Customs Broker</w:t>
            </w:r>
          </w:p>
        </w:tc>
        <w:tc>
          <w:tcPr>
            <w:tcW w:type="dxa" w:w="3213"/>
          </w:tcPr>
          <w:p>
            <w:pPr>
              <w:spacing w:after="20" w:before="20" w:line="240" w:lineRule="auto"/>
            </w:pPr>
            <w:r/>
            <w:r>
              <w:rPr>
                <w:rFonts w:ascii="Arial" w:hAnsi="Arial" w:cs="Arial"/>
                <w:b w:val="0"/>
                <w:i w:val="0"/>
                <w:sz w:val="17"/>
              </w:rPr>
              <w:t>SGTX-EG-CBR-001</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Laboratory</w:t>
            </w:r>
          </w:p>
        </w:tc>
        <w:tc>
          <w:tcPr>
            <w:tcW w:type="dxa" w:w="3213"/>
          </w:tcPr>
          <w:p>
            <w:pPr>
              <w:spacing w:after="20" w:before="20" w:line="240" w:lineRule="auto"/>
            </w:pPr>
            <w:r/>
            <w:r>
              <w:rPr>
                <w:rFonts w:ascii="Arial" w:hAnsi="Arial" w:cs="Arial"/>
                <w:b w:val="0"/>
                <w:i w:val="0"/>
                <w:sz w:val="17"/>
              </w:rPr>
              <w:t>SGTX-EG-LAB-001</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QC Inspection</w:t>
            </w:r>
          </w:p>
        </w:tc>
        <w:tc>
          <w:tcPr>
            <w:tcW w:type="dxa" w:w="3213"/>
          </w:tcPr>
          <w:p>
            <w:pPr>
              <w:spacing w:after="20" w:before="20" w:line="240" w:lineRule="auto"/>
            </w:pPr>
            <w:r/>
            <w:r>
              <w:rPr>
                <w:rFonts w:ascii="Arial" w:hAnsi="Arial" w:cs="Arial"/>
                <w:b w:val="0"/>
                <w:i w:val="0"/>
                <w:sz w:val="17"/>
              </w:rPr>
              <w:t>SGTX-EG-QC-001</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Government Fee</w:t>
            </w:r>
          </w:p>
        </w:tc>
        <w:tc>
          <w:tcPr>
            <w:tcW w:type="dxa" w:w="3213"/>
          </w:tcPr>
          <w:p>
            <w:pPr>
              <w:spacing w:after="20" w:before="20" w:line="240" w:lineRule="auto"/>
            </w:pPr>
            <w:r/>
            <w:r>
              <w:rPr>
                <w:rFonts w:ascii="Arial" w:hAnsi="Arial" w:cs="Arial"/>
                <w:b w:val="0"/>
                <w:i w:val="0"/>
                <w:sz w:val="17"/>
              </w:rPr>
              <w:t>SGTX-EG-CUSTOMS-001</w:t>
            </w:r>
          </w:p>
        </w:tc>
        <w:tc>
          <w:tcPr>
            <w:tcW w:type="dxa" w:w="3213"/>
          </w:tcPr>
          <w:p>
            <w:pPr>
              <w:spacing w:after="20" w:before="20" w:line="240" w:lineRule="auto"/>
            </w:pPr>
            <w:r/>
            <w:r>
              <w:rPr>
                <w:rFonts w:ascii="Arial" w:hAnsi="Arial" w:cs="Arial"/>
                <w:b w:val="0"/>
                <w:i w:val="0"/>
                <w:sz w:val="17"/>
              </w:rPr>
              <w:t>✅</w:t>
            </w:r>
          </w:p>
        </w:tc>
      </w:tr>
      <w:tr>
        <w:tc>
          <w:tcPr>
            <w:tcW w:type="dxa" w:w="3213"/>
          </w:tcPr>
          <w:p>
            <w:pPr>
              <w:spacing w:after="20" w:before="20" w:line="240" w:lineRule="auto"/>
            </w:pPr>
            <w:r/>
            <w:r>
              <w:rPr>
                <w:rFonts w:ascii="Arial" w:hAnsi="Arial" w:cs="Arial"/>
                <w:b w:val="0"/>
                <w:i w:val="0"/>
                <w:sz w:val="17"/>
              </w:rPr>
              <w:t>Financing</w:t>
            </w:r>
          </w:p>
        </w:tc>
        <w:tc>
          <w:tcPr>
            <w:tcW w:type="dxa" w:w="3213"/>
          </w:tcPr>
          <w:p>
            <w:pPr>
              <w:spacing w:after="20" w:before="20" w:line="240" w:lineRule="auto"/>
            </w:pPr>
            <w:r/>
            <w:r>
              <w:rPr>
                <w:rFonts w:ascii="Arial" w:hAnsi="Arial" w:cs="Arial"/>
                <w:b w:val="0"/>
                <w:i w:val="0"/>
                <w:sz w:val="17"/>
              </w:rPr>
              <w:t>SGTX-EG-FIN-001</w:t>
            </w:r>
          </w:p>
        </w:tc>
        <w:tc>
          <w:tcPr>
            <w:tcW w:type="dxa" w:w="3213"/>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24.8.5 Feature Coverage Matrix</w:t>
      </w:r>
    </w:p>
    <w:p>
      <w:pPr>
        <w:spacing w:after="80" w:line="293" w:lineRule="auto"/>
        <w:jc w:val="left"/>
      </w:pPr>
      <w:r>
        <w:rPr>
          <w:rFonts w:ascii="Times New Roman" w:hAnsi="Times New Roman" w:cs="Times New Roman"/>
          <w:b w:val="0"/>
          <w:i w:val="0"/>
          <w:sz w:val="22"/>
        </w:rPr>
        <w:t>Feature coverage across phases (✓ marks the phase in which each payment feature is operational):</w:t>
      </w:r>
    </w:p>
    <w:tbl>
      <w:tblPr>
        <w:tblStyle w:val="TableGrid"/>
        <w:tblW w:type="auto" w:w="0"/>
        <w:jc w:val="left"/>
        <w:tblLayout w:type="autofit"/>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fill="D9E2F3"/>
          </w:tcPr>
          <w:p>
            <w:pPr>
              <w:spacing w:after="20" w:before="20" w:line="240" w:lineRule="auto"/>
            </w:pPr>
            <w:r/>
            <w:r>
              <w:rPr>
                <w:rFonts w:ascii="Arial" w:hAnsi="Arial" w:cs="Arial"/>
                <w:b/>
                <w:i w:val="0"/>
                <w:sz w:val="18"/>
              </w:rPr>
              <w:t>Feature</w:t>
            </w:r>
          </w:p>
        </w:tc>
        <w:tc>
          <w:tcPr>
            <w:tcW w:type="dxa" w:w="876"/>
            <w:shd w:val="clear" w:fill="D9E2F3"/>
          </w:tcPr>
          <w:p>
            <w:pPr>
              <w:spacing w:after="20" w:before="20" w:line="240" w:lineRule="auto"/>
            </w:pPr>
            <w:r/>
            <w:r>
              <w:rPr>
                <w:rFonts w:ascii="Arial" w:hAnsi="Arial" w:cs="Arial"/>
                <w:b/>
                <w:i w:val="0"/>
                <w:sz w:val="18"/>
              </w:rPr>
              <w:t>Phase 0</w:t>
            </w:r>
          </w:p>
        </w:tc>
        <w:tc>
          <w:tcPr>
            <w:tcW w:type="dxa" w:w="876"/>
            <w:shd w:val="clear" w:fill="D9E2F3"/>
          </w:tcPr>
          <w:p>
            <w:pPr>
              <w:spacing w:after="20" w:before="20" w:line="240" w:lineRule="auto"/>
            </w:pPr>
            <w:r/>
            <w:r>
              <w:rPr>
                <w:rFonts w:ascii="Arial" w:hAnsi="Arial" w:cs="Arial"/>
                <w:b/>
                <w:i w:val="0"/>
                <w:sz w:val="18"/>
              </w:rPr>
              <w:t>Phase 1</w:t>
            </w:r>
          </w:p>
        </w:tc>
        <w:tc>
          <w:tcPr>
            <w:tcW w:type="dxa" w:w="876"/>
            <w:shd w:val="clear" w:fill="D9E2F3"/>
          </w:tcPr>
          <w:p>
            <w:pPr>
              <w:spacing w:after="20" w:before="20" w:line="240" w:lineRule="auto"/>
            </w:pPr>
            <w:r/>
            <w:r>
              <w:rPr>
                <w:rFonts w:ascii="Arial" w:hAnsi="Arial" w:cs="Arial"/>
                <w:b/>
                <w:i w:val="0"/>
                <w:sz w:val="18"/>
              </w:rPr>
              <w:t>Phase 2</w:t>
            </w:r>
          </w:p>
        </w:tc>
        <w:tc>
          <w:tcPr>
            <w:tcW w:type="dxa" w:w="876"/>
            <w:shd w:val="clear" w:fill="D9E2F3"/>
          </w:tcPr>
          <w:p>
            <w:pPr>
              <w:spacing w:after="20" w:before="20" w:line="240" w:lineRule="auto"/>
            </w:pPr>
            <w:r/>
            <w:r>
              <w:rPr>
                <w:rFonts w:ascii="Arial" w:hAnsi="Arial" w:cs="Arial"/>
                <w:b/>
                <w:i w:val="0"/>
                <w:sz w:val="18"/>
              </w:rPr>
              <w:t>Phase 3</w:t>
            </w:r>
          </w:p>
        </w:tc>
        <w:tc>
          <w:tcPr>
            <w:tcW w:type="dxa" w:w="876"/>
            <w:shd w:val="clear" w:fill="D9E2F3"/>
          </w:tcPr>
          <w:p>
            <w:pPr>
              <w:spacing w:after="20" w:before="20" w:line="240" w:lineRule="auto"/>
            </w:pPr>
            <w:r/>
            <w:r>
              <w:rPr>
                <w:rFonts w:ascii="Arial" w:hAnsi="Arial" w:cs="Arial"/>
                <w:b/>
                <w:i w:val="0"/>
                <w:sz w:val="18"/>
              </w:rPr>
              <w:t>Phase 4</w:t>
            </w:r>
          </w:p>
        </w:tc>
        <w:tc>
          <w:tcPr>
            <w:tcW w:type="dxa" w:w="876"/>
            <w:shd w:val="clear" w:fill="D9E2F3"/>
          </w:tcPr>
          <w:p>
            <w:pPr>
              <w:spacing w:after="20" w:before="20" w:line="240" w:lineRule="auto"/>
            </w:pPr>
            <w:r/>
            <w:r>
              <w:rPr>
                <w:rFonts w:ascii="Arial" w:hAnsi="Arial" w:cs="Arial"/>
                <w:b/>
                <w:i w:val="0"/>
                <w:sz w:val="18"/>
              </w:rPr>
              <w:t>Phase 5</w:t>
            </w:r>
          </w:p>
        </w:tc>
        <w:tc>
          <w:tcPr>
            <w:tcW w:type="dxa" w:w="876"/>
            <w:shd w:val="clear" w:fill="D9E2F3"/>
          </w:tcPr>
          <w:p>
            <w:pPr>
              <w:spacing w:after="20" w:before="20" w:line="240" w:lineRule="auto"/>
            </w:pPr>
            <w:r/>
            <w:r>
              <w:rPr>
                <w:rFonts w:ascii="Arial" w:hAnsi="Arial" w:cs="Arial"/>
                <w:b/>
                <w:i w:val="0"/>
                <w:sz w:val="18"/>
              </w:rPr>
              <w:t>Phase 6</w:t>
            </w:r>
          </w:p>
        </w:tc>
        <w:tc>
          <w:tcPr>
            <w:tcW w:type="dxa" w:w="876"/>
            <w:shd w:val="clear" w:fill="D9E2F3"/>
          </w:tcPr>
          <w:p>
            <w:pPr>
              <w:spacing w:after="20" w:before="20" w:line="240" w:lineRule="auto"/>
            </w:pPr>
            <w:r/>
            <w:r>
              <w:rPr>
                <w:rFonts w:ascii="Arial" w:hAnsi="Arial" w:cs="Arial"/>
                <w:b/>
                <w:i w:val="0"/>
                <w:sz w:val="18"/>
              </w:rPr>
              <w:t>Phase 7</w:t>
            </w:r>
          </w:p>
        </w:tc>
        <w:tc>
          <w:tcPr>
            <w:tcW w:type="dxa" w:w="876"/>
            <w:shd w:val="clear" w:fill="D9E2F3"/>
          </w:tcPr>
          <w:p>
            <w:pPr>
              <w:spacing w:after="20" w:before="20" w:line="240" w:lineRule="auto"/>
            </w:pPr>
            <w:r/>
            <w:r>
              <w:rPr>
                <w:rFonts w:ascii="Arial" w:hAnsi="Arial" w:cs="Arial"/>
                <w:b/>
                <w:i w:val="0"/>
                <w:sz w:val="18"/>
              </w:rPr>
              <w:t>Phase 8</w:t>
            </w:r>
          </w:p>
        </w:tc>
        <w:tc>
          <w:tcPr>
            <w:tcW w:type="dxa" w:w="876"/>
            <w:shd w:val="clear" w:fill="D9E2F3"/>
          </w:tcPr>
          <w:p>
            <w:pPr>
              <w:spacing w:after="20" w:before="20" w:line="240" w:lineRule="auto"/>
            </w:pPr>
            <w:r/>
            <w:r>
              <w:rPr>
                <w:rFonts w:ascii="Arial" w:hAnsi="Arial" w:cs="Arial"/>
                <w:b/>
                <w:i w:val="0"/>
                <w:sz w:val="18"/>
              </w:rPr>
              <w:t>Phase 9</w:t>
            </w:r>
          </w:p>
        </w:tc>
      </w:tr>
      <w:tr>
        <w:tc>
          <w:tcPr>
            <w:tcW w:type="dxa" w:w="876"/>
          </w:tcPr>
          <w:p>
            <w:pPr>
              <w:spacing w:after="20" w:before="20" w:line="240" w:lineRule="auto"/>
            </w:pPr>
            <w:r/>
            <w:r>
              <w:rPr>
                <w:rFonts w:ascii="Arial" w:hAnsi="Arial" w:cs="Arial"/>
                <w:b w:val="0"/>
                <w:i w:val="0"/>
                <w:sz w:val="17"/>
              </w:rPr>
              <w:t>Bank Mandate</w:t>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Banking Details</w:t>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Quotations (GTID + USTN)</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Payment Manifest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QES Authorization</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Bank Dispatch pain.001</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Financing Disbursement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Lab/Phyto Payment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Freight Payment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Customs Duty Payment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Seller Balance Payment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Deferred Payment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QC Hold Impact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Reconciliation</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Trade Health Score</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Trade Memory Recording</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Regulatory Reporting</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SLA Monitoring</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Payment Failure/Retry</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Distressed Payment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Dispute Payment Freeze</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Dispute Settlement Payment</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c>
          <w:tcPr>
            <w:tcW w:type="dxa" w:w="876"/>
          </w:tcPr>
          <w:p>
            <w:pPr>
              <w:spacing w:after="20" w:before="20" w:line="240" w:lineRule="auto"/>
            </w:pPr>
            <w:r/>
            <w:r>
              <w:rPr>
                <w:rFonts w:ascii="Arial" w:hAnsi="Arial" w:cs="Arial"/>
                <w:b w:val="0"/>
                <w:i w:val="0"/>
                <w:sz w:val="17"/>
              </w:rPr>
            </w:r>
          </w:p>
        </w:tc>
      </w:tr>
      <w:tr>
        <w:tc>
          <w:tcPr>
            <w:tcW w:type="dxa" w:w="876"/>
          </w:tcPr>
          <w:p>
            <w:pPr>
              <w:spacing w:after="20" w:before="20" w:line="240" w:lineRule="auto"/>
            </w:pPr>
            <w:r/>
            <w:r>
              <w:rPr>
                <w:rFonts w:ascii="Arial" w:hAnsi="Arial" w:cs="Arial"/>
                <w:b w:val="0"/>
                <w:i w:val="0"/>
                <w:sz w:val="17"/>
              </w:rPr>
              <w:t>USTN Closure</w:t>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r>
          </w:p>
        </w:tc>
        <w:tc>
          <w:tcPr>
            <w:tcW w:type="dxa" w:w="876"/>
          </w:tcPr>
          <w:p>
            <w:pPr>
              <w:spacing w:after="20" w:before="20" w:line="240" w:lineRule="auto"/>
            </w:pPr>
            <w:r/>
            <w:r>
              <w:rPr>
                <w:rFonts w:ascii="Arial" w:hAnsi="Arial" w:cs="Arial"/>
                <w:b w:val="0"/>
                <w:i w:val="0"/>
                <w:sz w:val="17"/>
              </w:rPr>
              <w:t>✓</w:t>
            </w:r>
          </w:p>
        </w:tc>
      </w:tr>
    </w:tbl>
    <w:p>
      <w:pPr>
        <w:spacing w:after="12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24.8.6 End-to-End Payment Flow Summary</w:t>
      </w:r>
    </w:p>
    <w:p>
      <w:pPr>
        <w:spacing w:after="0" w:before="0" w:line="240" w:lineRule="auto"/>
        <w:ind w:left="57"/>
        <w:jc w:val="left"/>
        <w:shd w:val="clear" w:fill="F2F2F2"/>
      </w:pPr>
      <w:r>
        <w:rPr>
          <w:rFonts w:ascii="Consolas" w:hAnsi="Consolas" w:cs="Consolas"/>
          <w:b w:val="0"/>
          <w:i w:val="0"/>
          <w:sz w:val="15"/>
        </w:rPr>
        <w:t>PHASE 0: FOUNDATION</w:t>
      </w:r>
    </w:p>
    <w:p>
      <w:pPr>
        <w:spacing w:after="0" w:before="0" w:line="240" w:lineRule="auto"/>
        <w:ind w:left="57"/>
        <w:jc w:val="left"/>
        <w:shd w:val="clear" w:fill="F2F2F2"/>
      </w:pPr>
      <w:r>
        <w:rPr>
          <w:rFonts w:ascii="Consolas" w:hAnsi="Consolas" w:cs="Consolas"/>
          <w:b w:val="0"/>
          <w:i w:val="0"/>
          <w:sz w:val="15"/>
        </w:rPr>
        <w:t>├── Bank Mandate Agreement (Legal Framework)</w:t>
      </w:r>
    </w:p>
    <w:p>
      <w:pPr>
        <w:spacing w:after="0" w:before="0" w:line="240" w:lineRule="auto"/>
        <w:ind w:left="57"/>
        <w:jc w:val="left"/>
        <w:shd w:val="clear" w:fill="F2F2F2"/>
      </w:pPr>
      <w:r>
        <w:rPr>
          <w:rFonts w:ascii="Consolas" w:hAnsi="Consolas" w:cs="Consolas"/>
          <w:b w:val="0"/>
          <w:i w:val="0"/>
          <w:sz w:val="15"/>
        </w:rPr>
        <w:t>├── Buyer Banking Details (EGP + USD accounts)</w:t>
      </w:r>
    </w:p>
    <w:p>
      <w:pPr>
        <w:spacing w:after="0" w:before="0" w:line="240" w:lineRule="auto"/>
        <w:ind w:left="57"/>
        <w:jc w:val="left"/>
        <w:shd w:val="clear" w:fill="F2F2F2"/>
      </w:pPr>
      <w:r>
        <w:rPr>
          <w:rFonts w:ascii="Consolas" w:hAnsi="Consolas" w:cs="Consolas"/>
          <w:b w:val="0"/>
          <w:i w:val="0"/>
          <w:sz w:val="15"/>
        </w:rPr>
        <w:t>├── QES Certificate Enrollment</w:t>
      </w:r>
    </w:p>
    <w:p>
      <w:pPr>
        <w:spacing w:after="0" w:before="0" w:line="240" w:lineRule="auto"/>
        <w:ind w:left="57"/>
        <w:jc w:val="left"/>
        <w:shd w:val="clear" w:fill="F2F2F2"/>
      </w:pPr>
      <w:r>
        <w:rPr>
          <w:rFonts w:ascii="Consolas" w:hAnsi="Consolas" w:cs="Consolas"/>
          <w:b w:val="0"/>
          <w:i w:val="0"/>
          <w:sz w:val="15"/>
        </w:rPr>
        <w:t>├── Provider Onboarding (GTID + Service Capabilities)</w:t>
      </w:r>
    </w:p>
    <w:p>
      <w:pPr>
        <w:spacing w:after="0" w:before="0" w:line="240" w:lineRule="auto"/>
        <w:ind w:left="57"/>
        <w:jc w:val="left"/>
        <w:shd w:val="clear" w:fill="F2F2F2"/>
      </w:pPr>
      <w:r>
        <w:rPr>
          <w:rFonts w:ascii="Consolas" w:hAnsi="Consolas" w:cs="Consolas"/>
          <w:b w:val="0"/>
          <w:i w:val="0"/>
          <w:sz w:val="15"/>
        </w:rPr>
        <w:t>└── Bank Capability Registry (Tier 1-3)</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1: TRADE INITIATION</w:t>
      </w:r>
    </w:p>
    <w:p>
      <w:pPr>
        <w:spacing w:after="0" w:before="0" w:line="240" w:lineRule="auto"/>
        <w:ind w:left="57"/>
        <w:jc w:val="left"/>
        <w:shd w:val="clear" w:fill="F2F2F2"/>
      </w:pPr>
      <w:r>
        <w:rPr>
          <w:rFonts w:ascii="Consolas" w:hAnsi="Consolas" w:cs="Consolas"/>
          <w:b w:val="0"/>
          <w:i w:val="0"/>
          <w:sz w:val="15"/>
        </w:rPr>
        <w:t>├── Trade Request Created</w:t>
      </w:r>
    </w:p>
    <w:p>
      <w:pPr>
        <w:spacing w:after="0" w:before="0" w:line="240" w:lineRule="auto"/>
        <w:ind w:left="57"/>
        <w:jc w:val="left"/>
        <w:shd w:val="clear" w:fill="F2F2F2"/>
      </w:pPr>
      <w:r>
        <w:rPr>
          <w:rFonts w:ascii="Consolas" w:hAnsi="Consolas" w:cs="Consolas"/>
          <w:b w:val="0"/>
          <w:i w:val="0"/>
          <w:sz w:val="15"/>
        </w:rPr>
        <w:t>├── Payment Intent Captured</w:t>
      </w:r>
    </w:p>
    <w:p>
      <w:pPr>
        <w:spacing w:after="0" w:before="0" w:line="240" w:lineRule="auto"/>
        <w:ind w:left="57"/>
        <w:jc w:val="left"/>
        <w:shd w:val="clear" w:fill="F2F2F2"/>
      </w:pPr>
      <w:r>
        <w:rPr>
          <w:rFonts w:ascii="Consolas" w:hAnsi="Consolas" w:cs="Consolas"/>
          <w:b w:val="0"/>
          <w:i w:val="0"/>
          <w:sz w:val="15"/>
        </w:rPr>
        <w:t>├── RIA-Driven Fee Estimation</w:t>
      </w:r>
    </w:p>
    <w:p>
      <w:pPr>
        <w:spacing w:after="0" w:before="0" w:line="240" w:lineRule="auto"/>
        <w:ind w:left="57"/>
        <w:jc w:val="left"/>
        <w:shd w:val="clear" w:fill="F2F2F2"/>
      </w:pPr>
      <w:r>
        <w:rPr>
          <w:rFonts w:ascii="Consolas" w:hAnsi="Consolas" w:cs="Consolas"/>
          <w:b w:val="0"/>
          <w:i w:val="0"/>
          <w:sz w:val="15"/>
        </w:rPr>
        <w:t>└── Fee Estimate Attached to Trade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2: SELLER QUOTE</w:t>
      </w:r>
    </w:p>
    <w:p>
      <w:pPr>
        <w:spacing w:after="0" w:before="0" w:line="240" w:lineRule="auto"/>
        <w:ind w:left="57"/>
        <w:jc w:val="left"/>
        <w:shd w:val="clear" w:fill="F2F2F2"/>
      </w:pPr>
      <w:r>
        <w:rPr>
          <w:rFonts w:ascii="Consolas" w:hAnsi="Consolas" w:cs="Consolas"/>
          <w:b w:val="0"/>
          <w:i w:val="0"/>
          <w:sz w:val="15"/>
        </w:rPr>
        <w:t>├── EXW Price Locked</w:t>
      </w:r>
    </w:p>
    <w:p>
      <w:pPr>
        <w:spacing w:after="0" w:before="0" w:line="240" w:lineRule="auto"/>
        <w:ind w:left="57"/>
        <w:jc w:val="left"/>
        <w:shd w:val="clear" w:fill="F2F2F2"/>
      </w:pPr>
      <w:r>
        <w:rPr>
          <w:rFonts w:ascii="Consolas" w:hAnsi="Consolas" w:cs="Consolas"/>
          <w:b w:val="0"/>
          <w:i w:val="0"/>
          <w:sz w:val="15"/>
        </w:rPr>
        <w:t>├── Providers Submit Quotes (GTID + USTN bound)</w:t>
      </w:r>
    </w:p>
    <w:p>
      <w:pPr>
        <w:spacing w:after="0" w:before="0" w:line="240" w:lineRule="auto"/>
        <w:ind w:left="57"/>
        <w:jc w:val="left"/>
        <w:shd w:val="clear" w:fill="F2F2F2"/>
      </w:pPr>
      <w:r>
        <w:rPr>
          <w:rFonts w:ascii="Consolas" w:hAnsi="Consolas" w:cs="Consolas"/>
          <w:b w:val="0"/>
          <w:i w:val="0"/>
          <w:sz w:val="15"/>
        </w:rPr>
        <w:t>│   ├── Shipping Line Quote (SGTX-EG-SHIP-001)</w:t>
      </w:r>
    </w:p>
    <w:p>
      <w:pPr>
        <w:spacing w:after="0" w:before="0" w:line="240" w:lineRule="auto"/>
        <w:ind w:left="57"/>
        <w:jc w:val="left"/>
        <w:shd w:val="clear" w:fill="F2F2F2"/>
      </w:pPr>
      <w:r>
        <w:rPr>
          <w:rFonts w:ascii="Consolas" w:hAnsi="Consolas" w:cs="Consolas"/>
          <w:b w:val="0"/>
          <w:i w:val="0"/>
          <w:sz w:val="15"/>
        </w:rPr>
        <w:t>│   ├── Trucking Quote (SGTX-EG-LSP-001)</w:t>
      </w:r>
    </w:p>
    <w:p>
      <w:pPr>
        <w:spacing w:after="0" w:before="0" w:line="240" w:lineRule="auto"/>
        <w:ind w:left="57"/>
        <w:jc w:val="left"/>
        <w:shd w:val="clear" w:fill="F2F2F2"/>
      </w:pPr>
      <w:r>
        <w:rPr>
          <w:rFonts w:ascii="Consolas" w:hAnsi="Consolas" w:cs="Consolas"/>
          <w:b w:val="0"/>
          <w:i w:val="0"/>
          <w:sz w:val="15"/>
        </w:rPr>
        <w:t>│   ├── Customs Broker Quote (SGTX-EG-CBR-001)</w:t>
      </w:r>
    </w:p>
    <w:p>
      <w:pPr>
        <w:spacing w:after="0" w:before="0" w:line="240" w:lineRule="auto"/>
        <w:ind w:left="57"/>
        <w:jc w:val="left"/>
        <w:shd w:val="clear" w:fill="F2F2F2"/>
      </w:pPr>
      <w:r>
        <w:rPr>
          <w:rFonts w:ascii="Consolas" w:hAnsi="Consolas" w:cs="Consolas"/>
          <w:b w:val="0"/>
          <w:i w:val="0"/>
          <w:sz w:val="15"/>
        </w:rPr>
        <w:t>│   ├── Laboratory Quote (SGTX-EG-LAB-001)</w:t>
      </w:r>
    </w:p>
    <w:p>
      <w:pPr>
        <w:spacing w:after="0" w:before="0" w:line="240" w:lineRule="auto"/>
        <w:ind w:left="57"/>
        <w:jc w:val="left"/>
        <w:shd w:val="clear" w:fill="F2F2F2"/>
      </w:pPr>
      <w:r>
        <w:rPr>
          <w:rFonts w:ascii="Consolas" w:hAnsi="Consolas" w:cs="Consolas"/>
          <w:b w:val="0"/>
          <w:i w:val="0"/>
          <w:sz w:val="15"/>
        </w:rPr>
        <w:t>│   └── QC Quote (SGTX-EG-QC-001)</w:t>
      </w:r>
    </w:p>
    <w:p>
      <w:pPr>
        <w:spacing w:after="0" w:before="0" w:line="240" w:lineRule="auto"/>
        <w:ind w:left="57"/>
        <w:jc w:val="left"/>
        <w:shd w:val="clear" w:fill="F2F2F2"/>
      </w:pPr>
      <w:r>
        <w:rPr>
          <w:rFonts w:ascii="Consolas" w:hAnsi="Consolas" w:cs="Consolas"/>
          <w:b w:val="0"/>
          <w:i w:val="0"/>
          <w:sz w:val="15"/>
        </w:rPr>
        <w:t>├── Quote Comparison &amp; Selection</w:t>
      </w:r>
    </w:p>
    <w:p>
      <w:pPr>
        <w:spacing w:after="0" w:before="0" w:line="240" w:lineRule="auto"/>
        <w:ind w:left="57"/>
        <w:jc w:val="left"/>
        <w:shd w:val="clear" w:fill="F2F2F2"/>
      </w:pPr>
      <w:r>
        <w:rPr>
          <w:rFonts w:ascii="Consolas" w:hAnsi="Consolas" w:cs="Consolas"/>
          <w:b w:val="0"/>
          <w:i w:val="0"/>
          <w:sz w:val="15"/>
        </w:rPr>
        <w:t>├── Payment Manifest Constructed</w:t>
      </w:r>
    </w:p>
    <w:p>
      <w:pPr>
        <w:spacing w:after="0" w:before="0" w:line="240" w:lineRule="auto"/>
        <w:ind w:left="57"/>
        <w:jc w:val="left"/>
        <w:shd w:val="clear" w:fill="F2F2F2"/>
      </w:pPr>
      <w:r>
        <w:rPr>
          <w:rFonts w:ascii="Consolas" w:hAnsi="Consolas" w:cs="Consolas"/>
          <w:b w:val="0"/>
          <w:i w:val="0"/>
          <w:sz w:val="15"/>
        </w:rPr>
        <w:t>└── Quote Submitted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3: CONTRACT &amp; MANDATE</w:t>
      </w:r>
    </w:p>
    <w:p>
      <w:pPr>
        <w:spacing w:after="0" w:before="0" w:line="240" w:lineRule="auto"/>
        <w:ind w:left="57"/>
        <w:jc w:val="left"/>
        <w:shd w:val="clear" w:fill="F2F2F2"/>
      </w:pPr>
      <w:r>
        <w:rPr>
          <w:rFonts w:ascii="Consolas" w:hAnsi="Consolas" w:cs="Consolas"/>
          <w:b w:val="0"/>
          <w:i w:val="0"/>
          <w:sz w:val="15"/>
        </w:rPr>
        <w:t>├── Mutual Confirmation</w:t>
      </w:r>
    </w:p>
    <w:p>
      <w:pPr>
        <w:spacing w:after="0" w:before="0" w:line="240" w:lineRule="auto"/>
        <w:ind w:left="57"/>
        <w:jc w:val="left"/>
        <w:shd w:val="clear" w:fill="F2F2F2"/>
      </w:pPr>
      <w:r>
        <w:rPr>
          <w:rFonts w:ascii="Consolas" w:hAnsi="Consolas" w:cs="Consolas"/>
          <w:b w:val="0"/>
          <w:i w:val="0"/>
          <w:sz w:val="15"/>
        </w:rPr>
        <w:t>├── Contract Generated (Payment Annex included)</w:t>
      </w:r>
    </w:p>
    <w:p>
      <w:pPr>
        <w:spacing w:after="0" w:before="0" w:line="240" w:lineRule="auto"/>
        <w:ind w:left="57"/>
        <w:jc w:val="left"/>
        <w:shd w:val="clear" w:fill="F2F2F2"/>
      </w:pPr>
      <w:r>
        <w:rPr>
          <w:rFonts w:ascii="Consolas" w:hAnsi="Consolas" w:cs="Consolas"/>
          <w:b w:val="0"/>
          <w:i w:val="0"/>
          <w:sz w:val="15"/>
        </w:rPr>
        <w:t>├── Buyer Authorizes USTN Payment Manifest (one click + QES)</w:t>
      </w:r>
    </w:p>
    <w:p>
      <w:pPr>
        <w:spacing w:after="0" w:before="0" w:line="240" w:lineRule="auto"/>
        <w:ind w:left="57"/>
        <w:jc w:val="left"/>
        <w:shd w:val="clear" w:fill="F2F2F2"/>
      </w:pPr>
      <w:r>
        <w:rPr>
          <w:rFonts w:ascii="Consolas" w:hAnsi="Consolas" w:cs="Consolas"/>
          <w:b w:val="0"/>
          <w:i w:val="0"/>
          <w:sz w:val="15"/>
        </w:rPr>
        <w:t>├── SGTX Sends ISO 20022 pain.001 to Bank</w:t>
      </w:r>
    </w:p>
    <w:p>
      <w:pPr>
        <w:spacing w:after="0" w:before="0" w:line="240" w:lineRule="auto"/>
        <w:ind w:left="57"/>
        <w:jc w:val="left"/>
        <w:shd w:val="clear" w:fill="F2F2F2"/>
      </w:pPr>
      <w:r>
        <w:rPr>
          <w:rFonts w:ascii="Consolas" w:hAnsi="Consolas" w:cs="Consolas"/>
          <w:b w:val="0"/>
          <w:i w:val="0"/>
          <w:sz w:val="15"/>
        </w:rPr>
        <w:t>└── SGTX Fee Leg SETTLED (FeeLock ACTIVE)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4: FINANCING (Optional)</w:t>
      </w:r>
    </w:p>
    <w:p>
      <w:pPr>
        <w:spacing w:after="0" w:before="0" w:line="240" w:lineRule="auto"/>
        <w:ind w:left="57"/>
        <w:jc w:val="left"/>
        <w:shd w:val="clear" w:fill="F2F2F2"/>
      </w:pPr>
      <w:r>
        <w:rPr>
          <w:rFonts w:ascii="Consolas" w:hAnsi="Consolas" w:cs="Consolas"/>
          <w:b w:val="0"/>
          <w:i w:val="0"/>
          <w:sz w:val="15"/>
        </w:rPr>
        <w:t>├── Financing Request</w:t>
      </w:r>
    </w:p>
    <w:p>
      <w:pPr>
        <w:spacing w:after="0" w:before="0" w:line="240" w:lineRule="auto"/>
        <w:ind w:left="57"/>
        <w:jc w:val="left"/>
        <w:shd w:val="clear" w:fill="F2F2F2"/>
      </w:pPr>
      <w:r>
        <w:rPr>
          <w:rFonts w:ascii="Consolas" w:hAnsi="Consolas" w:cs="Consolas"/>
          <w:b w:val="0"/>
          <w:i w:val="0"/>
          <w:sz w:val="15"/>
        </w:rPr>
        <w:t>├── Financing Agreement</w:t>
      </w:r>
    </w:p>
    <w:p>
      <w:pPr>
        <w:spacing w:after="0" w:before="0" w:line="240" w:lineRule="auto"/>
        <w:ind w:left="57"/>
        <w:jc w:val="left"/>
        <w:shd w:val="clear" w:fill="F2F2F2"/>
      </w:pPr>
      <w:r>
        <w:rPr>
          <w:rFonts w:ascii="Consolas" w:hAnsi="Consolas" w:cs="Consolas"/>
          <w:b w:val="0"/>
          <w:i w:val="0"/>
          <w:sz w:val="15"/>
        </w:rPr>
        <w:t>├── Financing Disbursement (ISO 20022 pain.001)</w:t>
      </w:r>
    </w:p>
    <w:p>
      <w:pPr>
        <w:spacing w:after="0" w:before="0" w:line="240" w:lineRule="auto"/>
        <w:ind w:left="57"/>
        <w:jc w:val="left"/>
        <w:shd w:val="clear" w:fill="F2F2F2"/>
      </w:pPr>
      <w:r>
        <w:rPr>
          <w:rFonts w:ascii="Consolas" w:hAnsi="Consolas" w:cs="Consolas"/>
          <w:b w:val="0"/>
          <w:i w:val="0"/>
          <w:sz w:val="15"/>
        </w:rPr>
        <w:t>└── Financing FeeLock ACTIVE</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5: PHYSICAL EXECUTION</w:t>
      </w:r>
    </w:p>
    <w:p>
      <w:pPr>
        <w:spacing w:after="0" w:before="0" w:line="240" w:lineRule="auto"/>
        <w:ind w:left="57"/>
        <w:jc w:val="left"/>
        <w:shd w:val="clear" w:fill="F2F2F2"/>
      </w:pPr>
      <w:r>
        <w:rPr>
          <w:rFonts w:ascii="Consolas" w:hAnsi="Consolas" w:cs="Consolas"/>
          <w:b w:val="0"/>
          <w:i w:val="0"/>
          <w:sz w:val="15"/>
        </w:rPr>
        <w:t>├── LOADED → No payment (QC Hold Check)</w:t>
      </w:r>
    </w:p>
    <w:p>
      <w:pPr>
        <w:spacing w:after="0" w:before="0" w:line="240" w:lineRule="auto"/>
        <w:ind w:left="57"/>
        <w:jc w:val="left"/>
        <w:shd w:val="clear" w:fill="F2F2F2"/>
      </w:pPr>
      <w:r>
        <w:rPr>
          <w:rFonts w:ascii="Consolas" w:hAnsi="Consolas" w:cs="Consolas"/>
          <w:b w:val="0"/>
          <w:i w:val="0"/>
          <w:sz w:val="15"/>
        </w:rPr>
        <w:t>├── CUSTOMS_SUBMITTED → Lab/Phyto fees paid (EGP)</w:t>
      </w:r>
    </w:p>
    <w:p>
      <w:pPr>
        <w:spacing w:after="0" w:before="0" w:line="240" w:lineRule="auto"/>
        <w:ind w:left="57"/>
        <w:jc w:val="left"/>
        <w:shd w:val="clear" w:fill="F2F2F2"/>
      </w:pPr>
      <w:r>
        <w:rPr>
          <w:rFonts w:ascii="Consolas" w:hAnsi="Consolas" w:cs="Consolas"/>
          <w:b w:val="0"/>
          <w:i w:val="0"/>
          <w:sz w:val="15"/>
        </w:rPr>
        <w:t>│   ├── GOEIC Lab Fee (LEG_LAB_EGP)</w:t>
      </w:r>
    </w:p>
    <w:p>
      <w:pPr>
        <w:spacing w:after="0" w:before="0" w:line="240" w:lineRule="auto"/>
        <w:ind w:left="57"/>
        <w:jc w:val="left"/>
        <w:shd w:val="clear" w:fill="F2F2F2"/>
      </w:pPr>
      <w:r>
        <w:rPr>
          <w:rFonts w:ascii="Consolas" w:hAnsi="Consolas" w:cs="Consolas"/>
          <w:b w:val="0"/>
          <w:i w:val="0"/>
          <w:sz w:val="15"/>
        </w:rPr>
        <w:t>│   └── CAPQ Phyto Fee (LEG_PHYTO_EGP)</w:t>
      </w:r>
    </w:p>
    <w:p>
      <w:pPr>
        <w:spacing w:after="0" w:before="0" w:line="240" w:lineRule="auto"/>
        <w:ind w:left="57"/>
        <w:jc w:val="left"/>
        <w:shd w:val="clear" w:fill="F2F2F2"/>
      </w:pPr>
      <w:r>
        <w:rPr>
          <w:rFonts w:ascii="Consolas" w:hAnsi="Consolas" w:cs="Consolas"/>
          <w:b w:val="0"/>
          <w:i w:val="0"/>
          <w:sz w:val="15"/>
        </w:rPr>
        <w:t>├── DEPARTED → Freight paid (USD)</w:t>
      </w:r>
    </w:p>
    <w:p>
      <w:pPr>
        <w:spacing w:after="0" w:before="0" w:line="240" w:lineRule="auto"/>
        <w:ind w:left="57"/>
        <w:jc w:val="left"/>
        <w:shd w:val="clear" w:fill="F2F2F2"/>
      </w:pPr>
      <w:r>
        <w:rPr>
          <w:rFonts w:ascii="Consolas" w:hAnsi="Consolas" w:cs="Consolas"/>
          <w:b w:val="0"/>
          <w:i w:val="0"/>
          <w:sz w:val="15"/>
        </w:rPr>
        <w:t>│   └── Shipping Line (LEG_FREIGHT_USD)</w:t>
      </w:r>
    </w:p>
    <w:p>
      <w:pPr>
        <w:spacing w:after="0" w:before="0" w:line="240" w:lineRule="auto"/>
        <w:ind w:left="57"/>
        <w:jc w:val="left"/>
        <w:shd w:val="clear" w:fill="F2F2F2"/>
      </w:pPr>
      <w:r>
        <w:rPr>
          <w:rFonts w:ascii="Consolas" w:hAnsi="Consolas" w:cs="Consolas"/>
          <w:b w:val="0"/>
          <w:i w:val="0"/>
          <w:sz w:val="15"/>
        </w:rPr>
        <w:t>├── ARRIVED → No payment</w:t>
      </w:r>
    </w:p>
    <w:p>
      <w:pPr>
        <w:spacing w:after="0" w:before="0" w:line="240" w:lineRule="auto"/>
        <w:ind w:left="57"/>
        <w:jc w:val="left"/>
        <w:shd w:val="clear" w:fill="F2F2F2"/>
      </w:pPr>
      <w:r>
        <w:rPr>
          <w:rFonts w:ascii="Consolas" w:hAnsi="Consolas" w:cs="Consolas"/>
          <w:b w:val="0"/>
          <w:i w:val="0"/>
          <w:sz w:val="15"/>
        </w:rPr>
        <w:t>├── CUSTOMS_IMPORT → Customs duty paid (EGP)</w:t>
      </w:r>
    </w:p>
    <w:p>
      <w:pPr>
        <w:spacing w:after="0" w:before="0" w:line="240" w:lineRule="auto"/>
        <w:ind w:left="57"/>
        <w:jc w:val="left"/>
        <w:shd w:val="clear" w:fill="F2F2F2"/>
      </w:pPr>
      <w:r>
        <w:rPr>
          <w:rFonts w:ascii="Consolas" w:hAnsi="Consolas" w:cs="Consolas"/>
          <w:b w:val="0"/>
          <w:i w:val="0"/>
          <w:sz w:val="15"/>
        </w:rPr>
        <w:t>│   └── Nafeza / Egypt Customs (LEG_CUSTOMS_EGP)</w:t>
      </w:r>
    </w:p>
    <w:p>
      <w:pPr>
        <w:spacing w:after="0" w:before="0" w:line="240" w:lineRule="auto"/>
        <w:ind w:left="57"/>
        <w:jc w:val="left"/>
        <w:shd w:val="clear" w:fill="F2F2F2"/>
      </w:pPr>
      <w:r>
        <w:rPr>
          <w:rFonts w:ascii="Consolas" w:hAnsi="Consolas" w:cs="Consolas"/>
          <w:b w:val="0"/>
          <w:i w:val="0"/>
          <w:sz w:val="15"/>
        </w:rPr>
        <w:t>└── DELIVERED → Seller balance paid (USD)</w:t>
      </w:r>
    </w:p>
    <w:p>
      <w:pPr>
        <w:spacing w:after="0" w:before="0" w:line="240" w:lineRule="auto"/>
        <w:ind w:left="57"/>
        <w:jc w:val="left"/>
        <w:shd w:val="clear" w:fill="F2F2F2"/>
      </w:pPr>
      <w:r>
        <w:rPr>
          <w:rFonts w:ascii="Consolas" w:hAnsi="Consolas" w:cs="Consolas"/>
          <w:b w:val="0"/>
          <w:i w:val="0"/>
          <w:sz w:val="15"/>
        </w:rPr>
        <w:t xml:space="preserve">    └── Seller Commercial Balance (LEG_SELLER_USD)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6: SETTLEMENT &amp; RECONCILIATION</w:t>
      </w:r>
    </w:p>
    <w:p>
      <w:pPr>
        <w:spacing w:after="0" w:before="0" w:line="240" w:lineRule="auto"/>
        <w:ind w:left="57"/>
        <w:jc w:val="left"/>
        <w:shd w:val="clear" w:fill="F2F2F2"/>
      </w:pPr>
      <w:r>
        <w:rPr>
          <w:rFonts w:ascii="Consolas" w:hAnsi="Consolas" w:cs="Consolas"/>
          <w:b w:val="0"/>
          <w:i w:val="0"/>
          <w:sz w:val="15"/>
        </w:rPr>
        <w:t>├── All legs SETTLED</w:t>
      </w:r>
    </w:p>
    <w:p>
      <w:pPr>
        <w:spacing w:after="0" w:before="0" w:line="240" w:lineRule="auto"/>
        <w:ind w:left="57"/>
        <w:jc w:val="left"/>
        <w:shd w:val="clear" w:fill="F2F2F2"/>
      </w:pPr>
      <w:r>
        <w:rPr>
          <w:rFonts w:ascii="Consolas" w:hAnsi="Consolas" w:cs="Consolas"/>
          <w:b w:val="0"/>
          <w:i w:val="0"/>
          <w:sz w:val="15"/>
        </w:rPr>
        <w:t>│   ├── camt.054 Proofs Matched</w:t>
      </w:r>
    </w:p>
    <w:p>
      <w:pPr>
        <w:spacing w:after="0" w:before="0" w:line="240" w:lineRule="auto"/>
        <w:ind w:left="57"/>
        <w:jc w:val="left"/>
        <w:shd w:val="clear" w:fill="F2F2F2"/>
      </w:pPr>
      <w:r>
        <w:rPr>
          <w:rFonts w:ascii="Consolas" w:hAnsi="Consolas" w:cs="Consolas"/>
          <w:b w:val="0"/>
          <w:i w:val="0"/>
          <w:sz w:val="15"/>
        </w:rPr>
        <w:t>│   └── SWIFT gpi UETR Matched</w:t>
      </w:r>
    </w:p>
    <w:p>
      <w:pPr>
        <w:spacing w:after="0" w:before="0" w:line="240" w:lineRule="auto"/>
        <w:ind w:left="57"/>
        <w:jc w:val="left"/>
        <w:shd w:val="clear" w:fill="F2F2F2"/>
      </w:pPr>
      <w:r>
        <w:rPr>
          <w:rFonts w:ascii="Consolas" w:hAnsi="Consolas" w:cs="Consolas"/>
          <w:b w:val="0"/>
          <w:i w:val="0"/>
          <w:sz w:val="15"/>
        </w:rPr>
        <w:t>├── Reconciliation Complete</w:t>
      </w:r>
    </w:p>
    <w:p>
      <w:pPr>
        <w:spacing w:after="0" w:before="0" w:line="240" w:lineRule="auto"/>
        <w:ind w:left="57"/>
        <w:jc w:val="left"/>
        <w:shd w:val="clear" w:fill="F2F2F2"/>
      </w:pPr>
      <w:r>
        <w:rPr>
          <w:rFonts w:ascii="Consolas" w:hAnsi="Consolas" w:cs="Consolas"/>
          <w:b w:val="0"/>
          <w:i w:val="0"/>
          <w:sz w:val="15"/>
        </w:rPr>
        <w:t>│   ├── Payment Failure/Retry Handled</w:t>
      </w:r>
    </w:p>
    <w:p>
      <w:pPr>
        <w:spacing w:after="0" w:before="0" w:line="240" w:lineRule="auto"/>
        <w:ind w:left="57"/>
        <w:jc w:val="left"/>
        <w:shd w:val="clear" w:fill="F2F2F2"/>
      </w:pPr>
      <w:r>
        <w:rPr>
          <w:rFonts w:ascii="Consolas" w:hAnsi="Consolas" w:cs="Consolas"/>
          <w:b w:val="0"/>
          <w:i w:val="0"/>
          <w:sz w:val="15"/>
        </w:rPr>
        <w:t>│   ├── Trade Health Score Updated</w:t>
      </w:r>
    </w:p>
    <w:p>
      <w:pPr>
        <w:spacing w:after="0" w:before="0" w:line="240" w:lineRule="auto"/>
        <w:ind w:left="57"/>
        <w:jc w:val="left"/>
        <w:shd w:val="clear" w:fill="F2F2F2"/>
      </w:pPr>
      <w:r>
        <w:rPr>
          <w:rFonts w:ascii="Consolas" w:hAnsi="Consolas" w:cs="Consolas"/>
          <w:b w:val="0"/>
          <w:i w:val="0"/>
          <w:sz w:val="15"/>
        </w:rPr>
        <w:t>│   ├── Trade Memory Layer Recorded</w:t>
      </w:r>
    </w:p>
    <w:p>
      <w:pPr>
        <w:spacing w:after="0" w:before="0" w:line="240" w:lineRule="auto"/>
        <w:ind w:left="57"/>
        <w:jc w:val="left"/>
        <w:shd w:val="clear" w:fill="F2F2F2"/>
      </w:pPr>
      <w:r>
        <w:rPr>
          <w:rFonts w:ascii="Consolas" w:hAnsi="Consolas" w:cs="Consolas"/>
          <w:b w:val="0"/>
          <w:i w:val="0"/>
          <w:sz w:val="15"/>
        </w:rPr>
        <w:t>│   └── Regulatory Reports Generated</w:t>
      </w:r>
    </w:p>
    <w:p>
      <w:pPr>
        <w:spacing w:after="0" w:before="0" w:line="240" w:lineRule="auto"/>
        <w:ind w:left="57"/>
        <w:jc w:val="left"/>
        <w:shd w:val="clear" w:fill="F2F2F2"/>
      </w:pPr>
      <w:r>
        <w:rPr>
          <w:rFonts w:ascii="Consolas" w:hAnsi="Consolas" w:cs="Consolas"/>
          <w:b w:val="0"/>
          <w:i w:val="0"/>
          <w:sz w:val="15"/>
        </w:rPr>
        <w:t>└── Monthly Statement Generated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7: DISTRESSED (If applicable)</w:t>
      </w:r>
    </w:p>
    <w:p>
      <w:pPr>
        <w:spacing w:after="0" w:before="0" w:line="240" w:lineRule="auto"/>
        <w:ind w:left="57"/>
        <w:jc w:val="left"/>
        <w:shd w:val="clear" w:fill="F2F2F2"/>
      </w:pPr>
      <w:r>
        <w:rPr>
          <w:rFonts w:ascii="Consolas" w:hAnsi="Consolas" w:cs="Consolas"/>
          <w:b w:val="0"/>
          <w:i w:val="0"/>
          <w:sz w:val="15"/>
        </w:rPr>
        <w:t>├── Distressed Declaration</w:t>
      </w:r>
    </w:p>
    <w:p>
      <w:pPr>
        <w:spacing w:after="0" w:before="0" w:line="240" w:lineRule="auto"/>
        <w:ind w:left="57"/>
        <w:jc w:val="left"/>
        <w:shd w:val="clear" w:fill="F2F2F2"/>
      </w:pPr>
      <w:r>
        <w:rPr>
          <w:rFonts w:ascii="Consolas" w:hAnsi="Consolas" w:cs="Consolas"/>
          <w:b w:val="0"/>
          <w:i w:val="0"/>
          <w:sz w:val="15"/>
        </w:rPr>
        <w:t>├── Microcontract Created</w:t>
      </w:r>
    </w:p>
    <w:p>
      <w:pPr>
        <w:spacing w:after="0" w:before="0" w:line="240" w:lineRule="auto"/>
        <w:ind w:left="57"/>
        <w:jc w:val="left"/>
        <w:shd w:val="clear" w:fill="F2F2F2"/>
      </w:pPr>
      <w:r>
        <w:rPr>
          <w:rFonts w:ascii="Consolas" w:hAnsi="Consolas" w:cs="Consolas"/>
          <w:b w:val="0"/>
          <w:i w:val="0"/>
          <w:sz w:val="15"/>
        </w:rPr>
        <w:t>└── Distressed Fee Paid (SGTX-EG-26-F3A-1-MICRO)</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8: DISPUTE (If applicable)</w:t>
      </w:r>
    </w:p>
    <w:p>
      <w:pPr>
        <w:spacing w:after="0" w:before="0" w:line="240" w:lineRule="auto"/>
        <w:ind w:left="57"/>
        <w:jc w:val="left"/>
        <w:shd w:val="clear" w:fill="F2F2F2"/>
      </w:pPr>
      <w:r>
        <w:rPr>
          <w:rFonts w:ascii="Consolas" w:hAnsi="Consolas" w:cs="Consolas"/>
          <w:b w:val="0"/>
          <w:i w:val="0"/>
          <w:sz w:val="15"/>
        </w:rPr>
        <w:t>├── Dispute Filed → Payment Freeze</w:t>
      </w:r>
    </w:p>
    <w:p>
      <w:pPr>
        <w:spacing w:after="0" w:before="0" w:line="240" w:lineRule="auto"/>
        <w:ind w:left="57"/>
        <w:jc w:val="left"/>
        <w:shd w:val="clear" w:fill="F2F2F2"/>
      </w:pPr>
      <w:r>
        <w:rPr>
          <w:rFonts w:ascii="Consolas" w:hAnsi="Consolas" w:cs="Consolas"/>
          <w:b w:val="0"/>
          <w:i w:val="0"/>
          <w:sz w:val="15"/>
        </w:rPr>
        <w:t>├── Mediation &amp; Settlement</w:t>
      </w:r>
    </w:p>
    <w:p>
      <w:pPr>
        <w:spacing w:after="0" w:before="0" w:line="240" w:lineRule="auto"/>
        <w:ind w:left="57"/>
        <w:jc w:val="left"/>
        <w:shd w:val="clear" w:fill="F2F2F2"/>
      </w:pPr>
      <w:r>
        <w:rPr>
          <w:rFonts w:ascii="Consolas" w:hAnsi="Consolas" w:cs="Consolas"/>
          <w:b w:val="0"/>
          <w:i w:val="0"/>
          <w:sz w:val="15"/>
        </w:rPr>
        <w:t>└── Settlement Payment Executed</w:t>
      </w:r>
    </w:p>
    <w:p>
      <w:pPr>
        <w:spacing w:after="0" w:before="0" w:line="240" w:lineRule="auto"/>
        <w:ind w:left="57"/>
        <w:jc w:val="left"/>
        <w:shd w:val="clear" w:fill="F2F2F2"/>
      </w:pPr>
      <w:r>
        <w:rPr>
          <w:rFonts w:ascii="Consolas" w:hAnsi="Consolas" w:cs="Consolas"/>
          <w:b w:val="0"/>
          <w:i w:val="0"/>
          <w:sz w:val="15"/>
        </w:rPr>
        <w:t xml:space="preserve"> </w:t>
      </w:r>
    </w:p>
    <w:p>
      <w:pPr>
        <w:spacing w:after="0" w:before="0" w:line="240" w:lineRule="auto"/>
        <w:ind w:left="57"/>
        <w:jc w:val="left"/>
        <w:shd w:val="clear" w:fill="F2F2F2"/>
      </w:pPr>
      <w:r>
        <w:rPr>
          <w:rFonts w:ascii="Consolas" w:hAnsi="Consolas" w:cs="Consolas"/>
          <w:b w:val="0"/>
          <w:i w:val="0"/>
          <w:sz w:val="15"/>
        </w:rPr>
        <w:t>PHASE 9: USTN CLOSURE</w:t>
      </w:r>
    </w:p>
    <w:p>
      <w:pPr>
        <w:spacing w:after="0" w:before="0" w:line="240" w:lineRule="auto"/>
        <w:ind w:left="57"/>
        <w:jc w:val="left"/>
        <w:shd w:val="clear" w:fill="F2F2F2"/>
      </w:pPr>
      <w:r>
        <w:rPr>
          <w:rFonts w:ascii="Consolas" w:hAnsi="Consolas" w:cs="Consolas"/>
          <w:b w:val="0"/>
          <w:i w:val="0"/>
          <w:sz w:val="15"/>
        </w:rPr>
        <w:t>├── canClose = true</w:t>
      </w:r>
    </w:p>
    <w:p>
      <w:pPr>
        <w:spacing w:after="0" w:before="0" w:line="240" w:lineRule="auto"/>
        <w:ind w:left="57"/>
        <w:jc w:val="left"/>
        <w:shd w:val="clear" w:fill="F2F2F2"/>
      </w:pPr>
      <w:r>
        <w:rPr>
          <w:rFonts w:ascii="Consolas" w:hAnsi="Consolas" w:cs="Consolas"/>
          <w:b w:val="0"/>
          <w:i w:val="0"/>
          <w:sz w:val="15"/>
        </w:rPr>
        <w:t>├── USTN_CLOSED</w:t>
      </w:r>
    </w:p>
    <w:p>
      <w:pPr>
        <w:spacing w:after="0" w:before="0" w:line="240" w:lineRule="auto"/>
        <w:ind w:left="57"/>
        <w:jc w:val="left"/>
        <w:shd w:val="clear" w:fill="F2F2F2"/>
      </w:pPr>
      <w:r>
        <w:rPr>
          <w:rFonts w:ascii="Consolas" w:hAnsi="Consolas" w:cs="Consolas"/>
          <w:b w:val="0"/>
          <w:i w:val="0"/>
          <w:sz w:val="15"/>
        </w:rPr>
        <w:t>└── Evidence Sealed</w:t>
      </w:r>
    </w:p>
    <w:p>
      <w:pPr>
        <w:spacing w:after="120" w:before="0"/>
      </w:pPr>
      <w:r>
        <w:rPr>
          <w:rFonts w:ascii="Times New Roman" w:hAnsi="Times New Roman" w:cs="Times New Roman"/>
          <w:b w:val="0"/>
          <w:i w:val="0"/>
          <w:sz w:val="4"/>
        </w:rPr>
        <w:t xml:space="preserve"> </w:t>
      </w:r>
    </w:p>
    <w:p>
      <w:pPr>
        <w:keepNext/>
        <w:spacing w:before="180" w:after="80"/>
        <w:outlineLvl w:val="2"/>
      </w:pPr>
      <w:r>
        <w:rPr>
          <w:rFonts w:ascii="Arial" w:hAnsi="Arial" w:cs="Arial"/>
          <w:b/>
          <w:i w:val="0"/>
          <w:color w:val="333333"/>
          <w:sz w:val="23"/>
        </w:rPr>
        <w:t>24.8.7 Concluding Statement</w:t>
      </w:r>
    </w:p>
    <w:sectPr w:rsidR="00FC693F" w:rsidRPr="0006063C" w:rsidSect="00034616">
      <w:headerReference w:type="default" r:id="rId9"/>
      <w:footerReference w:type="default" r:id="rId10"/>
      <w:pgSz w:w="11906" w:h="16838"/>
      <w:pgMar w:top="1417" w:right="1134" w:bottom="1247"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t xml:space="preserve">Page </w:t>
    </w:r>
    <w:r>
      <w:rPr>
        <w:rFonts w:ascii="Arial" w:hAnsi="Arial" w:cs="Arial"/>
        <w:b w:val="0"/>
        <w:i w:val="0"/>
        <w:color w:val="595959"/>
        <w:sz w:val="18"/>
      </w:rPr>
      <w:fldChar w:fldCharType="begin"/>
      <w:instrText xml:space="preserve">PAGE</w:instrText>
      <w:fldChar w:fldCharType="separate"/>
      <w:t>1</w:t>
      <w:fldChar w:fldCharType="end"/>
    </w:r>
    <w:r>
      <w:rPr>
        <w:rFonts w:ascii="Arial" w:hAnsi="Arial" w:cs="Arial"/>
        <w:b w:val="0"/>
        <w:i w:val="0"/>
        <w:color w:val="595959"/>
        <w:sz w:val="18"/>
      </w:rPr>
      <w:t xml:space="preserve"> of </w:t>
    </w:r>
    <w:r>
      <w:rPr>
        <w:rFonts w:ascii="Arial" w:hAnsi="Arial" w:cs="Arial"/>
        <w:b w:val="0"/>
        <w:i w:val="0"/>
        <w:color w:val="595959"/>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i w:val="0"/>
        <w:color w:val="595959"/>
        <w:sz w:val="18"/>
      </w:rPr>
      <w:t>SGTX Platform — Complete Master Blueprint — v18.0 (sgtx_v18)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